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92EB1" w14:textId="77777777" w:rsidR="009C32A0" w:rsidRPr="005675B2" w:rsidRDefault="009C32A0" w:rsidP="000636C2">
      <w:pPr>
        <w:tabs>
          <w:tab w:val="left" w:pos="302"/>
        </w:tabs>
        <w:rPr>
          <w:rFonts w:cs="Monotype Koufi"/>
          <w:b/>
          <w:lang w:bidi="ar-KW"/>
        </w:rPr>
      </w:pPr>
    </w:p>
    <w:p w14:paraId="7E3313F4" w14:textId="77777777" w:rsidR="00AD724E" w:rsidRDefault="00AD724E" w:rsidP="00AD724E">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08918017" w14:textId="77777777" w:rsidR="00AD724E" w:rsidRDefault="00AD724E" w:rsidP="00AD724E">
      <w:pPr>
        <w:tabs>
          <w:tab w:val="left" w:pos="302"/>
        </w:tabs>
        <w:jc w:val="center"/>
        <w:rPr>
          <w:rFonts w:cs="Monotype Koufi"/>
        </w:rPr>
      </w:pPr>
      <w:r>
        <w:rPr>
          <w:rFonts w:cs="Monotype Koufi" w:hint="cs"/>
          <w:rtl/>
        </w:rPr>
        <w:t>ومحاربة بدعة الحشو والتجسيم</w:t>
      </w:r>
    </w:p>
    <w:p w14:paraId="50EB9CFD" w14:textId="4EAD7B53" w:rsidR="00AD724E" w:rsidRDefault="00AD724E" w:rsidP="00AD724E">
      <w:pPr>
        <w:tabs>
          <w:tab w:val="left" w:pos="302"/>
        </w:tabs>
        <w:jc w:val="center"/>
        <w:rPr>
          <w:rFonts w:cs="Monotype Koufi"/>
          <w:sz w:val="32"/>
          <w:rtl/>
        </w:rPr>
      </w:pPr>
      <w:r>
        <w:rPr>
          <w:rFonts w:cs="Monotype Koufi" w:hint="cs"/>
          <w:sz w:val="32"/>
          <w:rtl/>
        </w:rPr>
        <w:t>الرسالة التاسعة عشرة</w:t>
      </w:r>
    </w:p>
    <w:p w14:paraId="4DCF6ABC" w14:textId="77777777" w:rsidR="009C32A0" w:rsidRPr="005675B2" w:rsidRDefault="009C32A0" w:rsidP="000636C2">
      <w:pPr>
        <w:tabs>
          <w:tab w:val="left" w:pos="302"/>
        </w:tabs>
        <w:jc w:val="center"/>
        <w:rPr>
          <w:rFonts w:cs="Monotype Koufi"/>
          <w:b/>
          <w:sz w:val="52"/>
          <w:szCs w:val="52"/>
          <w:rtl/>
        </w:rPr>
      </w:pPr>
    </w:p>
    <w:p w14:paraId="293E9C71" w14:textId="3B724724" w:rsidR="009C32A0"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A1FFCCE" w14:textId="77777777" w:rsidR="00AD724E" w:rsidRPr="005675B2" w:rsidRDefault="00AD724E" w:rsidP="00AD724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1CD0A80" w14:textId="7A694D23" w:rsidR="00AD724E" w:rsidRPr="00306AAB"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r w:rsidRPr="00306AAB">
        <w:rPr>
          <w:rFonts w:cs="Monotype Koufi" w:hint="cs"/>
          <w:sz w:val="56"/>
          <w:szCs w:val="56"/>
          <w:rtl/>
        </w:rPr>
        <w:t>الانتصار</w:t>
      </w:r>
      <w:r w:rsidRPr="00306AAB">
        <w:rPr>
          <w:rFonts w:cs="Monotype Koufi"/>
          <w:sz w:val="56"/>
          <w:szCs w:val="56"/>
          <w:rtl/>
        </w:rPr>
        <w:t xml:space="preserve"> </w:t>
      </w:r>
      <w:r w:rsidR="00AD724E" w:rsidRPr="00306AAB">
        <w:rPr>
          <w:rFonts w:cs="Monotype Koufi" w:hint="cs"/>
          <w:sz w:val="56"/>
          <w:szCs w:val="56"/>
          <w:rtl/>
        </w:rPr>
        <w:t xml:space="preserve">للسادة </w:t>
      </w:r>
    </w:p>
    <w:p w14:paraId="62047556" w14:textId="7060EF66" w:rsidR="009C32A0" w:rsidRPr="00306AAB"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306AAB">
        <w:rPr>
          <w:rFonts w:cs="Monotype Koufi" w:hint="cs"/>
          <w:sz w:val="56"/>
          <w:szCs w:val="56"/>
          <w:rtl/>
        </w:rPr>
        <w:t>للأثرية والأشاعرة والماتريدية</w:t>
      </w:r>
    </w:p>
    <w:p w14:paraId="60165FB9" w14:textId="77777777" w:rsidR="009C32A0" w:rsidRPr="00306AAB"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306AAB">
        <w:rPr>
          <w:rFonts w:cs="Monotype Koufi"/>
          <w:sz w:val="56"/>
          <w:szCs w:val="56"/>
          <w:rtl/>
        </w:rPr>
        <w:t>أهل التخصص في</w:t>
      </w:r>
      <w:r w:rsidRPr="00306AAB">
        <w:rPr>
          <w:rFonts w:cs="Monotype Koufi" w:hint="cs"/>
          <w:sz w:val="56"/>
          <w:szCs w:val="56"/>
          <w:rtl/>
        </w:rPr>
        <w:t xml:space="preserve"> العقيدة </w:t>
      </w:r>
    </w:p>
    <w:p w14:paraId="45D02E59" w14:textId="77777777" w:rsidR="00AD724E" w:rsidRPr="00306AAB"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r w:rsidRPr="00306AAB">
        <w:rPr>
          <w:rFonts w:cs="Monotype Koufi" w:hint="cs"/>
          <w:sz w:val="56"/>
          <w:szCs w:val="56"/>
          <w:rtl/>
        </w:rPr>
        <w:t>على منهاج أهل السنّة والجماعة</w:t>
      </w:r>
    </w:p>
    <w:p w14:paraId="0749F615" w14:textId="77777777" w:rsidR="00AD724E" w:rsidRPr="00306AAB" w:rsidRDefault="00AD724E" w:rsidP="00AD724E">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p>
    <w:p w14:paraId="07EC9650" w14:textId="4E64ACE7" w:rsidR="00AD724E" w:rsidRPr="00306AAB" w:rsidRDefault="00AD724E" w:rsidP="00AD724E">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r w:rsidRPr="00306AAB">
        <w:rPr>
          <w:rFonts w:cs="Monotype Koufi" w:hint="cs"/>
          <w:sz w:val="32"/>
          <w:szCs w:val="32"/>
          <w:rtl/>
        </w:rPr>
        <w:t xml:space="preserve">جمع وإعداد </w:t>
      </w:r>
    </w:p>
    <w:p w14:paraId="5563233C" w14:textId="31A0B56A" w:rsidR="009C32A0" w:rsidRPr="00AD724E" w:rsidRDefault="00AD724E" w:rsidP="00AD724E">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Pr>
      </w:pPr>
      <w:r w:rsidRPr="00306AAB">
        <w:rPr>
          <w:rFonts w:cs="Monotype Koufi" w:hint="cs"/>
          <w:sz w:val="32"/>
          <w:szCs w:val="32"/>
          <w:rtl/>
        </w:rPr>
        <w:t>مجدي محمد علي</w:t>
      </w:r>
      <w:r w:rsidR="009C32A0" w:rsidRPr="00AD724E">
        <w:rPr>
          <w:rFonts w:cs="Monotype Koufi" w:hint="cs"/>
          <w:sz w:val="32"/>
          <w:szCs w:val="32"/>
          <w:rtl/>
        </w:rPr>
        <w:t xml:space="preserve"> </w:t>
      </w:r>
    </w:p>
    <w:p w14:paraId="574B8545" w14:textId="77777777" w:rsidR="009C32A0" w:rsidRPr="005675B2" w:rsidRDefault="009C32A0" w:rsidP="00AD724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1D4E3F4" w14:textId="77777777" w:rsidR="00776780" w:rsidRDefault="00776780" w:rsidP="00776780">
      <w:pPr>
        <w:jc w:val="center"/>
        <w:rPr>
          <w:rFonts w:cs="Monotype Koufi"/>
          <w:b/>
          <w:rtl/>
        </w:rPr>
      </w:pPr>
    </w:p>
    <w:p w14:paraId="0F39F5F1" w14:textId="77777777" w:rsidR="00776780" w:rsidRDefault="00776780" w:rsidP="00776780">
      <w:pPr>
        <w:jc w:val="center"/>
        <w:rPr>
          <w:rFonts w:cs="Monotype Koufi"/>
          <w:b/>
          <w:rtl/>
        </w:rPr>
      </w:pPr>
    </w:p>
    <w:p w14:paraId="3D9CC597" w14:textId="77777777" w:rsidR="00776780" w:rsidRDefault="00776780" w:rsidP="00776780">
      <w:pPr>
        <w:jc w:val="center"/>
        <w:rPr>
          <w:rFonts w:cs="Monotype Koufi"/>
          <w:b/>
          <w:rtl/>
        </w:rPr>
      </w:pPr>
    </w:p>
    <w:p w14:paraId="4254FDAF" w14:textId="77777777" w:rsidR="00776780" w:rsidRDefault="00776780" w:rsidP="00776780">
      <w:pPr>
        <w:jc w:val="center"/>
        <w:rPr>
          <w:rFonts w:cs="Monotype Koufi"/>
          <w:b/>
          <w:rtl/>
        </w:rPr>
      </w:pPr>
    </w:p>
    <w:p w14:paraId="5194F585" w14:textId="77777777" w:rsidR="00776780" w:rsidRDefault="00776780" w:rsidP="00776780">
      <w:pPr>
        <w:jc w:val="center"/>
        <w:rPr>
          <w:rFonts w:cs="Monotype Koufi"/>
          <w:b/>
          <w:rtl/>
        </w:rPr>
      </w:pPr>
    </w:p>
    <w:p w14:paraId="5A9BCC14"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5F0F029"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273A2705"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7CF7A149"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42F36FBF"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1012C08A"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3A7132EB" w14:textId="77777777" w:rsidR="00776780" w:rsidRDefault="00776780" w:rsidP="0077678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23BB3179" w14:textId="77777777" w:rsidR="00776780" w:rsidRDefault="00776780" w:rsidP="00776780">
      <w:pPr>
        <w:jc w:val="center"/>
        <w:rPr>
          <w:rFonts w:cs="Monotype Koufi"/>
          <w:b/>
          <w:rtl/>
        </w:rPr>
      </w:pPr>
    </w:p>
    <w:p w14:paraId="5F65A91A" w14:textId="77777777" w:rsidR="00776780" w:rsidRDefault="00776780" w:rsidP="00776780">
      <w:pPr>
        <w:jc w:val="center"/>
        <w:rPr>
          <w:rFonts w:cs="Monotype Koufi"/>
          <w:b/>
        </w:rPr>
      </w:pPr>
    </w:p>
    <w:p w14:paraId="5A15227C" w14:textId="77777777" w:rsidR="00776780" w:rsidRDefault="00776780" w:rsidP="00776780">
      <w:pPr>
        <w:jc w:val="center"/>
        <w:rPr>
          <w:rFonts w:cs="Monotype Koufi"/>
          <w:b/>
          <w:rtl/>
        </w:rPr>
      </w:pPr>
    </w:p>
    <w:p w14:paraId="77D8D94B" w14:textId="77777777" w:rsidR="00776780" w:rsidRDefault="00776780" w:rsidP="00776780">
      <w:pPr>
        <w:jc w:val="center"/>
        <w:rPr>
          <w:rFonts w:cs="Monotype Koufi"/>
          <w:b/>
          <w:rtl/>
        </w:rPr>
      </w:pPr>
    </w:p>
    <w:p w14:paraId="551501D0" w14:textId="77777777" w:rsidR="00776780" w:rsidRDefault="00776780" w:rsidP="00776780">
      <w:pPr>
        <w:jc w:val="center"/>
        <w:rPr>
          <w:rFonts w:cs="Monotype Koufi"/>
          <w:b/>
          <w:rtl/>
        </w:rPr>
      </w:pPr>
    </w:p>
    <w:p w14:paraId="21F3743D" w14:textId="77777777" w:rsidR="00776780" w:rsidRDefault="00776780" w:rsidP="00776780">
      <w:pPr>
        <w:jc w:val="center"/>
        <w:rPr>
          <w:rFonts w:cs="Monotype Koufi"/>
          <w:sz w:val="32"/>
          <w:szCs w:val="32"/>
          <w:rtl/>
        </w:rPr>
      </w:pPr>
    </w:p>
    <w:p w14:paraId="7BA592EE" w14:textId="77777777" w:rsidR="009C32A0" w:rsidRPr="005675B2" w:rsidRDefault="009C32A0" w:rsidP="000636C2">
      <w:pPr>
        <w:jc w:val="center"/>
        <w:rPr>
          <w:rFonts w:cs="Monotype Koufi"/>
          <w:b/>
          <w:rtl/>
        </w:rPr>
      </w:pPr>
    </w:p>
    <w:p w14:paraId="1A029E43" w14:textId="59851244" w:rsidR="009C32A0" w:rsidRPr="00306AAB" w:rsidRDefault="009C32A0" w:rsidP="00306AAB">
      <w:pPr>
        <w:pStyle w:val="1"/>
        <w:rPr>
          <w:u w:val="none"/>
          <w:rtl/>
        </w:rPr>
      </w:pPr>
      <w:r w:rsidRPr="00306AAB">
        <w:rPr>
          <w:rFonts w:hint="cs"/>
          <w:u w:val="none"/>
          <w:rtl/>
        </w:rPr>
        <w:lastRenderedPageBreak/>
        <w:t>المقدمة</w:t>
      </w:r>
    </w:p>
    <w:p w14:paraId="611AAB78" w14:textId="70C6928A" w:rsidR="00AD724E" w:rsidRPr="00AD724E" w:rsidRDefault="00AD724E" w:rsidP="000636C2">
      <w:pPr>
        <w:jc w:val="center"/>
        <w:rPr>
          <w:rFonts w:cs="Monotype Koufi"/>
          <w:b/>
          <w:sz w:val="32"/>
          <w:szCs w:val="32"/>
          <w:rtl/>
        </w:rPr>
      </w:pPr>
      <w:r w:rsidRPr="00AD724E">
        <w:rPr>
          <w:rFonts w:cs="Monotype Koufi" w:hint="cs"/>
          <w:sz w:val="32"/>
          <w:szCs w:val="32"/>
          <w:rtl/>
        </w:rPr>
        <w:t>بسم الله الرحمن الرحيم</w:t>
      </w:r>
    </w:p>
    <w:p w14:paraId="717E3618" w14:textId="78D0792D" w:rsidR="009C32A0" w:rsidRPr="005675B2" w:rsidRDefault="009C32A0" w:rsidP="000636C2">
      <w:pPr>
        <w:rPr>
          <w:b/>
          <w:bCs/>
          <w:rtl/>
        </w:rPr>
      </w:pPr>
      <w:r w:rsidRPr="005675B2">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0636C2">
        <w:rPr>
          <w:rFonts w:hint="cs"/>
          <w:rtl/>
        </w:rPr>
        <w:t>،</w:t>
      </w:r>
      <w:r w:rsidRPr="005675B2">
        <w:rPr>
          <w:rFonts w:hint="cs"/>
          <w:rtl/>
        </w:rPr>
        <w:t xml:space="preserve"> {يَا أَيُّهَا الَّذِينَ آمَنُوا اتَّقُوا اللَّهَ حَقَّ تُقَاتِهِ وَلَا تَمُوتُنَّ إِلَّا وَأَنْتُمْ مُسْلِمُونَ</w:t>
      </w:r>
      <w:r w:rsidRPr="005675B2">
        <w:rPr>
          <w:rFonts w:hint="cs"/>
          <w:rtl/>
          <w:lang w:bidi="ar-KW"/>
        </w:rPr>
        <w:t>}</w:t>
      </w:r>
      <w:r w:rsidR="000636C2">
        <w:rPr>
          <w:rFonts w:hint="cs"/>
          <w:rtl/>
          <w:lang w:bidi="ar-KW"/>
        </w:rPr>
        <w:t>[</w:t>
      </w:r>
      <w:r w:rsidRPr="005675B2">
        <w:rPr>
          <w:rFonts w:hint="cs"/>
          <w:rtl/>
        </w:rPr>
        <w:t>آل عمران: 102]</w:t>
      </w:r>
      <w:r w:rsidR="000636C2">
        <w:rPr>
          <w:rFonts w:hint="cs"/>
          <w:rtl/>
        </w:rPr>
        <w:t>،</w:t>
      </w:r>
      <w:r w:rsidRPr="005675B2">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0636C2">
        <w:rPr>
          <w:rFonts w:hint="cs"/>
          <w:rtl/>
        </w:rPr>
        <w:t>}[</w:t>
      </w:r>
      <w:r w:rsidRPr="005675B2">
        <w:rPr>
          <w:rFonts w:hint="cs"/>
          <w:rtl/>
        </w:rPr>
        <w:t>النساء: 1</w:t>
      </w:r>
      <w:r w:rsidR="000636C2">
        <w:rPr>
          <w:rFonts w:hint="cs"/>
          <w:rtl/>
        </w:rPr>
        <w:t>]،</w:t>
      </w:r>
      <w:r w:rsidRPr="005675B2">
        <w:rPr>
          <w:rFonts w:hint="cs"/>
          <w:rtl/>
        </w:rPr>
        <w:t>{يَا أَيُّهَا الَّذِينَ آمَنُوا اتَّقُوا اللَّهَ وَقُولُوا قَوْلًا سَدِيدًا * يُصْلِحْ لَكُمْ أَعْمَالَكُمْ وَيَغْفِرْ لَكُمْ ذُنُوبَكُمْ وَمَنْ يُطِعِ اللَّهَ وَرَسُولَهُ فَقَدْ فَازَ فَوْزًا عَظِيمًا}</w:t>
      </w:r>
      <w:r w:rsidR="000636C2">
        <w:rPr>
          <w:rFonts w:hint="cs"/>
          <w:rtl/>
        </w:rPr>
        <w:t>[</w:t>
      </w:r>
      <w:r w:rsidRPr="005675B2">
        <w:rPr>
          <w:rFonts w:hint="cs"/>
          <w:rtl/>
        </w:rPr>
        <w:t>الأحزاب</w:t>
      </w:r>
      <w:r w:rsidR="000636C2">
        <w:rPr>
          <w:rFonts w:hint="cs"/>
          <w:rtl/>
        </w:rPr>
        <w:t>:</w:t>
      </w:r>
      <w:r w:rsidRPr="005675B2">
        <w:rPr>
          <w:rFonts w:hint="cs"/>
          <w:rtl/>
        </w:rPr>
        <w:t>70</w:t>
      </w:r>
      <w:r w:rsidR="000636C2">
        <w:rPr>
          <w:rFonts w:hint="cs"/>
          <w:rtl/>
        </w:rPr>
        <w:t>،</w:t>
      </w:r>
      <w:r w:rsidRPr="005675B2">
        <w:rPr>
          <w:rFonts w:hint="cs"/>
          <w:rtl/>
        </w:rPr>
        <w:t xml:space="preserve"> 71</w:t>
      </w:r>
      <w:r w:rsidR="000636C2">
        <w:rPr>
          <w:rFonts w:hint="cs"/>
          <w:rtl/>
        </w:rPr>
        <w:t>]،</w:t>
      </w:r>
      <w:r w:rsidRPr="005675B2">
        <w:rPr>
          <w:rFonts w:hint="cs"/>
          <w:rtl/>
        </w:rPr>
        <w:t xml:space="preserve"> أما بعد</w:t>
      </w:r>
      <w:r w:rsidR="000636C2">
        <w:rPr>
          <w:rFonts w:hint="cs"/>
          <w:rtl/>
        </w:rPr>
        <w:t>:</w:t>
      </w:r>
      <w:r w:rsidRPr="005675B2">
        <w:rPr>
          <w:rFonts w:hint="cs"/>
          <w:rtl/>
        </w:rPr>
        <w:t xml:space="preserve"> فإن أصدق الحديث كتاب الله</w:t>
      </w:r>
      <w:r w:rsidR="000636C2">
        <w:rPr>
          <w:rFonts w:hint="cs"/>
          <w:rtl/>
        </w:rPr>
        <w:t>،</w:t>
      </w:r>
      <w:r w:rsidRPr="005675B2">
        <w:rPr>
          <w:rFonts w:hint="cs"/>
          <w:rtl/>
        </w:rPr>
        <w:t xml:space="preserve"> وأحسن الهدي هدي محمد</w:t>
      </w:r>
      <w:r w:rsidR="000636C2">
        <w:rPr>
          <w:rFonts w:hint="cs"/>
          <w:rtl/>
        </w:rPr>
        <w:t xml:space="preserve"> </w:t>
      </w:r>
      <w:r w:rsidRPr="005675B2">
        <w:rPr>
          <w:rFonts w:hint="cs"/>
          <w:rtl/>
        </w:rPr>
        <w:t>صلى الله عليه وسلم وشرّ الأمور محدثاتها</w:t>
      </w:r>
      <w:r w:rsidR="000636C2">
        <w:rPr>
          <w:rFonts w:hint="cs"/>
          <w:rtl/>
        </w:rPr>
        <w:t>،</w:t>
      </w:r>
      <w:r w:rsidRPr="005675B2">
        <w:rPr>
          <w:rFonts w:hint="cs"/>
          <w:rtl/>
        </w:rPr>
        <w:t xml:space="preserve"> وكل محدثة بدعة</w:t>
      </w:r>
      <w:r w:rsidR="000636C2">
        <w:rPr>
          <w:rFonts w:hint="cs"/>
          <w:rtl/>
        </w:rPr>
        <w:t>،</w:t>
      </w:r>
      <w:r w:rsidRPr="005675B2">
        <w:rPr>
          <w:rFonts w:hint="cs"/>
          <w:rtl/>
        </w:rPr>
        <w:t xml:space="preserve"> وكل بدعة ضلالة</w:t>
      </w:r>
      <w:r w:rsidR="000636C2">
        <w:rPr>
          <w:rFonts w:hint="cs"/>
          <w:rtl/>
        </w:rPr>
        <w:t>،</w:t>
      </w:r>
      <w:r w:rsidRPr="005675B2">
        <w:rPr>
          <w:rFonts w:hint="cs"/>
          <w:rtl/>
        </w:rPr>
        <w:t xml:space="preserve"> وكل ضلالة في النار</w:t>
      </w:r>
      <w:r w:rsidR="000636C2">
        <w:rPr>
          <w:rFonts w:hint="cs"/>
          <w:vertAlign w:val="superscript"/>
          <w:rtl/>
        </w:rPr>
        <w:t>،</w:t>
      </w:r>
      <w:r w:rsidRPr="005675B2">
        <w:rPr>
          <w:rFonts w:hint="cs"/>
          <w:rtl/>
        </w:rPr>
        <w:t xml:space="preserve"> ثم أما بعد</w:t>
      </w:r>
      <w:r w:rsidR="000636C2">
        <w:rPr>
          <w:rFonts w:hint="cs"/>
          <w:rtl/>
        </w:rPr>
        <w:t>:</w:t>
      </w:r>
    </w:p>
    <w:p w14:paraId="11EE3B0C" w14:textId="77777777" w:rsidR="009C32A0" w:rsidRPr="005675B2" w:rsidRDefault="009C32A0" w:rsidP="000636C2">
      <w:pPr>
        <w:jc w:val="center"/>
        <w:rPr>
          <w:rFonts w:cs="Monotype Koufi"/>
          <w:b/>
          <w:rtl/>
        </w:rPr>
      </w:pPr>
      <w:r w:rsidRPr="005675B2">
        <w:rPr>
          <w:rFonts w:cs="Monotype Koufi" w:hint="cs"/>
          <w:rtl/>
        </w:rPr>
        <w:t>بين يدي الرسالة</w:t>
      </w:r>
    </w:p>
    <w:p w14:paraId="7B5BE671" w14:textId="7E69373A" w:rsidR="009C32A0" w:rsidRPr="005675B2" w:rsidRDefault="009C32A0" w:rsidP="000636C2">
      <w:pPr>
        <w:rPr>
          <w:b/>
          <w:bCs/>
          <w:rtl/>
        </w:rPr>
      </w:pPr>
      <w:r w:rsidRPr="005675B2">
        <w:rPr>
          <w:rFonts w:hint="cs"/>
          <w:rtl/>
        </w:rPr>
        <w:t xml:space="preserve">هذه الرسالة تتناول </w:t>
      </w:r>
      <w:r w:rsidRPr="005675B2">
        <w:rPr>
          <w:rtl/>
        </w:rPr>
        <w:t xml:space="preserve">الانتصار لأهل التخصص في العقيدة على منهاج أهل السنّة والجماعة </w:t>
      </w:r>
      <w:r w:rsidR="000636C2">
        <w:rPr>
          <w:rtl/>
        </w:rPr>
        <w:t>(</w:t>
      </w:r>
      <w:r>
        <w:rPr>
          <w:rFonts w:hint="cs"/>
          <w:rtl/>
        </w:rPr>
        <w:t>الأثرية و</w:t>
      </w:r>
      <w:r w:rsidRPr="005675B2">
        <w:rPr>
          <w:rtl/>
        </w:rPr>
        <w:t xml:space="preserve">الأشاعرة </w:t>
      </w:r>
      <w:r>
        <w:rPr>
          <w:rFonts w:hint="cs"/>
          <w:rtl/>
        </w:rPr>
        <w:t>والماتريدية</w:t>
      </w:r>
      <w:r w:rsidR="000636C2">
        <w:rPr>
          <w:rFonts w:hint="cs"/>
          <w:rtl/>
        </w:rPr>
        <w:t>:</w:t>
      </w:r>
      <w:r w:rsidRPr="005675B2">
        <w:rPr>
          <w:rtl/>
        </w:rPr>
        <w:t xml:space="preserve"> أهل التخصص في عقائد أهل الفرقة الناجية أهل السنّة والجماعة</w:t>
      </w:r>
      <w:r w:rsidR="000636C2">
        <w:rPr>
          <w:rtl/>
        </w:rPr>
        <w:t>)،</w:t>
      </w:r>
      <w:r w:rsidRPr="005675B2">
        <w:rPr>
          <w:rtl/>
        </w:rPr>
        <w:t xml:space="preserve"> </w:t>
      </w:r>
      <w:r>
        <w:rPr>
          <w:rFonts w:hint="cs"/>
          <w:rtl/>
        </w:rPr>
        <w:t>وبيان أنّ ما عدا تلك المدارس انحراف</w:t>
      </w:r>
      <w:r w:rsidR="000636C2">
        <w:rPr>
          <w:rFonts w:hint="cs"/>
          <w:rtl/>
        </w:rPr>
        <w:t xml:space="preserve"> </w:t>
      </w:r>
      <w:r>
        <w:rPr>
          <w:rFonts w:hint="cs"/>
          <w:rtl/>
        </w:rPr>
        <w:t>عن عقائد أهل السنّة والجماعة إلى عقائد الفرق الضالة</w:t>
      </w:r>
      <w:r w:rsidR="000636C2">
        <w:rPr>
          <w:rFonts w:hint="cs"/>
          <w:rtl/>
        </w:rPr>
        <w:t>،</w:t>
      </w:r>
      <w:r>
        <w:rPr>
          <w:rFonts w:hint="cs"/>
          <w:rtl/>
        </w:rPr>
        <w:t xml:space="preserve"> </w:t>
      </w:r>
      <w:r w:rsidRPr="005675B2">
        <w:rPr>
          <w:rFonts w:hint="cs"/>
          <w:rtl/>
        </w:rPr>
        <w:t xml:space="preserve">وقد حوت هذه الرسالة </w:t>
      </w:r>
      <w:r w:rsidRPr="005675B2">
        <w:t>–</w:t>
      </w:r>
      <w:r w:rsidRPr="005675B2">
        <w:rPr>
          <w:rFonts w:hint="cs"/>
          <w:rtl/>
        </w:rPr>
        <w:t xml:space="preserve"> بحمد الله تعالى </w:t>
      </w:r>
      <w:r w:rsidRPr="005675B2">
        <w:t>–</w:t>
      </w:r>
      <w:r w:rsidRPr="005675B2">
        <w:rPr>
          <w:rFonts w:hint="cs"/>
          <w:rtl/>
        </w:rPr>
        <w:t xml:space="preserve"> على الكثير من أقوال العلماء الأئمة من علماء أهل السنّة والجماعة الثقات في </w:t>
      </w:r>
      <w:r w:rsidRPr="005675B2">
        <w:rPr>
          <w:rtl/>
        </w:rPr>
        <w:t xml:space="preserve">الانتصار </w:t>
      </w:r>
      <w:r>
        <w:rPr>
          <w:rFonts w:hint="cs"/>
          <w:rtl/>
        </w:rPr>
        <w:t>للطوائف الثلاث</w:t>
      </w:r>
      <w:r w:rsidR="000636C2">
        <w:rPr>
          <w:rFonts w:hint="cs"/>
          <w:rtl/>
        </w:rPr>
        <w:t>،</w:t>
      </w:r>
      <w:r>
        <w:rPr>
          <w:rFonts w:hint="cs"/>
          <w:rtl/>
        </w:rPr>
        <w:t xml:space="preserve"> </w:t>
      </w:r>
      <w:r w:rsidRPr="005675B2">
        <w:rPr>
          <w:rFonts w:hint="cs"/>
          <w:rtl/>
        </w:rPr>
        <w:t>وأسأل الله عز وجل أن يسهم بتلك المؤلفات في تبيان الحق وبيان من هم المتخصصون في العقائد على منهاج أهل السنّة والجماعة</w:t>
      </w:r>
      <w:r w:rsidR="000636C2">
        <w:rPr>
          <w:rFonts w:hint="cs"/>
          <w:rtl/>
        </w:rPr>
        <w:t>،</w:t>
      </w:r>
      <w:r w:rsidRPr="005675B2">
        <w:rPr>
          <w:rFonts w:hint="cs"/>
          <w:rtl/>
        </w:rPr>
        <w:t xml:space="preserve"> وأسأله سبحانه أن يجعلها خالصة لوجهه الكريم وأن ينفع بها إخواني من طلاب العلم الذين يصبرون لطلبه ويتواضعون لمدارسته ابتغاء وجه الله</w:t>
      </w:r>
      <w:r w:rsidR="000636C2">
        <w:rPr>
          <w:rFonts w:hint="cs"/>
          <w:rtl/>
        </w:rPr>
        <w:t>،</w:t>
      </w:r>
      <w:r w:rsidRPr="005675B2">
        <w:rPr>
          <w:rFonts w:hint="cs"/>
          <w:rtl/>
        </w:rPr>
        <w:t xml:space="preserve"> وإن أريد إلاّ الإصلاح ما استطعت وما توفيقي إلاّ بالله عليه توكلت وإليه أنيب</w:t>
      </w:r>
      <w:r w:rsidR="000636C2">
        <w:rPr>
          <w:rFonts w:hint="cs"/>
          <w:rtl/>
        </w:rPr>
        <w:t>،</w:t>
      </w:r>
    </w:p>
    <w:p w14:paraId="0FA467E7" w14:textId="77777777" w:rsidR="009C32A0" w:rsidRPr="005675B2" w:rsidRDefault="009C32A0" w:rsidP="000636C2">
      <w:pPr>
        <w:jc w:val="center"/>
        <w:rPr>
          <w:b/>
          <w:rtl/>
        </w:rPr>
      </w:pPr>
      <w:r>
        <w:rPr>
          <w:rFonts w:hint="cs"/>
          <w:rtl/>
        </w:rPr>
        <w:t>***</w:t>
      </w:r>
    </w:p>
    <w:p w14:paraId="3132BD4B" w14:textId="77777777" w:rsidR="009C32A0" w:rsidRPr="005675B2" w:rsidRDefault="009C32A0" w:rsidP="000636C2">
      <w:pPr>
        <w:jc w:val="center"/>
        <w:rPr>
          <w:rFonts w:cs="Monotype Koufi"/>
          <w:b/>
          <w:rtl/>
        </w:rPr>
      </w:pPr>
    </w:p>
    <w:p w14:paraId="0294BED1" w14:textId="77777777" w:rsidR="009C32A0" w:rsidRPr="005675B2" w:rsidRDefault="009C32A0" w:rsidP="000636C2">
      <w:pPr>
        <w:jc w:val="center"/>
        <w:rPr>
          <w:rFonts w:cs="Monotype Koufi"/>
          <w:b/>
          <w:rtl/>
        </w:rPr>
      </w:pPr>
    </w:p>
    <w:p w14:paraId="1F68FFDD" w14:textId="77777777" w:rsidR="009C32A0" w:rsidRPr="005675B2" w:rsidRDefault="009C32A0" w:rsidP="000636C2">
      <w:pPr>
        <w:jc w:val="center"/>
        <w:rPr>
          <w:rFonts w:cs="Monotype Koufi"/>
          <w:b/>
          <w:rtl/>
        </w:rPr>
      </w:pPr>
      <w:r w:rsidRPr="005675B2">
        <w:rPr>
          <w:rFonts w:cs="Monotype Koufi" w:hint="cs"/>
          <w:rtl/>
        </w:rPr>
        <w:t>خطوط عريضة لأهم موضوعات الرسالة</w:t>
      </w:r>
    </w:p>
    <w:p w14:paraId="1A2C9403" w14:textId="4EA8741A" w:rsidR="009C32A0" w:rsidRPr="005675B2" w:rsidRDefault="009C32A0" w:rsidP="000636C2">
      <w:pPr>
        <w:rPr>
          <w:b/>
          <w:bCs/>
          <w:rtl/>
          <w:lang w:bidi="ar-KW"/>
        </w:rPr>
      </w:pPr>
      <w:r w:rsidRPr="005675B2">
        <w:rPr>
          <w:rFonts w:hint="cs"/>
          <w:rtl/>
        </w:rPr>
        <w:t xml:space="preserve">حوت الرسالة بحمد الله تعالى على مدخل </w:t>
      </w:r>
      <w:r>
        <w:rPr>
          <w:rFonts w:hint="cs"/>
          <w:rtl/>
        </w:rPr>
        <w:t>وخمسة</w:t>
      </w:r>
      <w:r w:rsidRPr="005675B2">
        <w:rPr>
          <w:rFonts w:hint="cs"/>
          <w:rtl/>
        </w:rPr>
        <w:t xml:space="preserve"> ملاحق وخاتمة</w:t>
      </w:r>
      <w:r w:rsidR="000636C2">
        <w:rPr>
          <w:rFonts w:hint="cs"/>
          <w:rtl/>
        </w:rPr>
        <w:t>،</w:t>
      </w:r>
      <w:r w:rsidRPr="005675B2">
        <w:rPr>
          <w:rFonts w:hint="cs"/>
          <w:rtl/>
        </w:rPr>
        <w:t xml:space="preserve"> وتتمثل في</w:t>
      </w:r>
      <w:r w:rsidR="000636C2">
        <w:rPr>
          <w:rFonts w:hint="cs"/>
          <w:rtl/>
        </w:rPr>
        <w:t>:</w:t>
      </w:r>
    </w:p>
    <w:p w14:paraId="3B36EF96" w14:textId="16C1EC77" w:rsidR="009C32A0" w:rsidRDefault="009C32A0" w:rsidP="000636C2">
      <w:pPr>
        <w:rPr>
          <w:b/>
          <w:bCs/>
          <w:rtl/>
        </w:rPr>
      </w:pPr>
      <w:r>
        <w:rPr>
          <w:rFonts w:hint="cs"/>
          <w:bCs/>
          <w:rtl/>
        </w:rPr>
        <w:t>مدخل أول</w:t>
      </w:r>
      <w:r w:rsidR="000636C2">
        <w:rPr>
          <w:rFonts w:hint="cs"/>
          <w:bCs/>
          <w:rtl/>
        </w:rPr>
        <w:t>:</w:t>
      </w:r>
      <w:r>
        <w:rPr>
          <w:rFonts w:hint="cs"/>
          <w:bCs/>
          <w:rtl/>
        </w:rPr>
        <w:t xml:space="preserve"> </w:t>
      </w:r>
      <w:r w:rsidRPr="006E3F54">
        <w:rPr>
          <w:rFonts w:hint="cs"/>
          <w:rtl/>
        </w:rPr>
        <w:t>لبيان فضل الأثرية وأنّهم امتداد السلف الصالح</w:t>
      </w:r>
      <w:r>
        <w:rPr>
          <w:rFonts w:hint="cs"/>
          <w:bCs/>
          <w:rtl/>
        </w:rPr>
        <w:t xml:space="preserve"> </w:t>
      </w:r>
    </w:p>
    <w:p w14:paraId="459225AF" w14:textId="1AE505D1" w:rsidR="009C32A0" w:rsidRDefault="009C32A0" w:rsidP="000636C2">
      <w:pPr>
        <w:rPr>
          <w:rtl/>
          <w:lang w:bidi="ar-KW"/>
        </w:rPr>
      </w:pPr>
      <w:r w:rsidRPr="005675B2">
        <w:rPr>
          <w:rFonts w:hint="cs"/>
          <w:bCs/>
          <w:rtl/>
        </w:rPr>
        <w:t xml:space="preserve">مدخل </w:t>
      </w:r>
      <w:r>
        <w:rPr>
          <w:rFonts w:hint="cs"/>
          <w:bCs/>
          <w:rtl/>
        </w:rPr>
        <w:t>ثان</w:t>
      </w:r>
      <w:r w:rsidR="000636C2">
        <w:rPr>
          <w:rFonts w:hint="cs"/>
          <w:bCs/>
          <w:rtl/>
        </w:rPr>
        <w:t>:</w:t>
      </w:r>
      <w:r w:rsidRPr="005675B2">
        <w:rPr>
          <w:rFonts w:hint="cs"/>
          <w:rtl/>
        </w:rPr>
        <w:t xml:space="preserve"> </w:t>
      </w:r>
      <w:r w:rsidRPr="005675B2">
        <w:rPr>
          <w:rFonts w:hint="cs"/>
          <w:rtl/>
          <w:lang w:bidi="ar-KW"/>
        </w:rPr>
        <w:t xml:space="preserve">لبيان فضل الأشاعرة </w:t>
      </w:r>
      <w:r>
        <w:rPr>
          <w:rFonts w:hint="cs"/>
          <w:rtl/>
          <w:lang w:bidi="ar-KW"/>
        </w:rPr>
        <w:t xml:space="preserve">والماتريدية وأنّهم هم المتخصصون في العقيدة على منهاج أهل السنّة </w:t>
      </w:r>
    </w:p>
    <w:p w14:paraId="12BC7C66" w14:textId="72230A86" w:rsidR="009C32A0" w:rsidRDefault="009C32A0" w:rsidP="000636C2">
      <w:pPr>
        <w:rPr>
          <w:rtl/>
          <w:lang w:bidi="ar-KW"/>
        </w:rPr>
      </w:pPr>
      <w:r w:rsidRPr="00E50131">
        <w:rPr>
          <w:rFonts w:hint="cs"/>
          <w:bCs/>
          <w:rtl/>
          <w:lang w:bidi="ar-KW"/>
        </w:rPr>
        <w:t>مدخل ثالث</w:t>
      </w:r>
      <w:r w:rsidR="000636C2">
        <w:rPr>
          <w:rFonts w:hint="cs"/>
          <w:rtl/>
          <w:lang w:bidi="ar-KW"/>
        </w:rPr>
        <w:t>:</w:t>
      </w:r>
      <w:r>
        <w:rPr>
          <w:rFonts w:hint="cs"/>
          <w:rtl/>
          <w:lang w:bidi="ar-KW"/>
        </w:rPr>
        <w:t xml:space="preserve"> لبيان خطر الحشوية وأنّهم ليسوا من السلفية في شيء </w:t>
      </w:r>
    </w:p>
    <w:p w14:paraId="63FD1604" w14:textId="5088B3DA" w:rsidR="009C32A0" w:rsidRPr="00E50131" w:rsidRDefault="009C32A0" w:rsidP="000636C2">
      <w:pPr>
        <w:rPr>
          <w:rtl/>
          <w:lang w:bidi="ar-KW"/>
        </w:rPr>
      </w:pPr>
      <w:r w:rsidRPr="00E50131">
        <w:rPr>
          <w:rFonts w:hint="cs"/>
          <w:bCs/>
          <w:rtl/>
          <w:lang w:bidi="ar-KW"/>
        </w:rPr>
        <w:t>الملحق الأول</w:t>
      </w:r>
      <w:r w:rsidR="000636C2">
        <w:rPr>
          <w:rFonts w:hint="cs"/>
          <w:rtl/>
          <w:lang w:bidi="ar-KW"/>
        </w:rPr>
        <w:t>:</w:t>
      </w:r>
      <w:r>
        <w:rPr>
          <w:rFonts w:hint="cs"/>
          <w:rtl/>
          <w:lang w:bidi="ar-KW"/>
        </w:rPr>
        <w:t xml:space="preserve"> كتاب دفع شبه التشبيه بأكف التنزيه للحافظ الأثري ابن الجوزي</w:t>
      </w:r>
    </w:p>
    <w:p w14:paraId="7F4283CC" w14:textId="7107A47B" w:rsidR="009C32A0" w:rsidRPr="005675B2" w:rsidRDefault="009C32A0" w:rsidP="000636C2">
      <w:pPr>
        <w:rPr>
          <w:b/>
          <w:rtl/>
        </w:rPr>
      </w:pPr>
      <w:r w:rsidRPr="005675B2">
        <w:rPr>
          <w:rFonts w:hint="cs"/>
          <w:bCs/>
          <w:rtl/>
          <w:lang w:bidi="ar-KW"/>
        </w:rPr>
        <w:t xml:space="preserve">الملحق </w:t>
      </w:r>
      <w:r>
        <w:rPr>
          <w:rFonts w:hint="cs"/>
          <w:bCs/>
          <w:rtl/>
          <w:lang w:bidi="ar-KW"/>
        </w:rPr>
        <w:t>الثاني</w:t>
      </w:r>
      <w:r w:rsidR="000636C2">
        <w:rPr>
          <w:rFonts w:hint="cs"/>
          <w:bCs/>
          <w:rtl/>
          <w:lang w:bidi="ar-KW"/>
        </w:rPr>
        <w:t>:</w:t>
      </w:r>
      <w:r w:rsidRPr="005675B2">
        <w:rPr>
          <w:rFonts w:hint="cs"/>
          <w:rtl/>
          <w:lang w:bidi="ar-KW"/>
        </w:rPr>
        <w:t xml:space="preserve"> كتاب </w:t>
      </w:r>
      <w:r w:rsidRPr="005675B2">
        <w:rPr>
          <w:rFonts w:hint="cs"/>
          <w:rtl/>
        </w:rPr>
        <w:t>أ</w:t>
      </w:r>
      <w:r w:rsidRPr="005675B2">
        <w:rPr>
          <w:rtl/>
        </w:rPr>
        <w:t xml:space="preserve">هل السنة الأشاعرة جمع وإعداد </w:t>
      </w:r>
      <w:r w:rsidRPr="005675B2">
        <w:rPr>
          <w:rFonts w:hint="cs"/>
          <w:rtl/>
        </w:rPr>
        <w:t xml:space="preserve">الشيخ </w:t>
      </w:r>
      <w:r w:rsidRPr="005675B2">
        <w:rPr>
          <w:rtl/>
        </w:rPr>
        <w:t>حمد سنان</w:t>
      </w:r>
      <w:r w:rsidR="000636C2">
        <w:rPr>
          <w:rtl/>
        </w:rPr>
        <w:t>،</w:t>
      </w:r>
      <w:r w:rsidRPr="005675B2">
        <w:rPr>
          <w:rFonts w:hint="cs"/>
          <w:rtl/>
        </w:rPr>
        <w:t xml:space="preserve"> والشيخ </w:t>
      </w:r>
      <w:r w:rsidRPr="005675B2">
        <w:rPr>
          <w:rtl/>
        </w:rPr>
        <w:t>فوزي العنجري</w:t>
      </w:r>
      <w:r w:rsidR="000636C2">
        <w:rPr>
          <w:rFonts w:hint="cs"/>
          <w:rtl/>
        </w:rPr>
        <w:t>،</w:t>
      </w:r>
      <w:r w:rsidRPr="005675B2">
        <w:rPr>
          <w:rFonts w:hint="cs"/>
          <w:rtl/>
        </w:rPr>
        <w:t xml:space="preserve"> </w:t>
      </w:r>
    </w:p>
    <w:p w14:paraId="35C71BFA" w14:textId="5EB3F3A0" w:rsidR="009C32A0" w:rsidRPr="005675B2" w:rsidRDefault="009C32A0" w:rsidP="000636C2">
      <w:pPr>
        <w:rPr>
          <w:b/>
          <w:rtl/>
          <w:lang w:bidi="ar-KW"/>
        </w:rPr>
      </w:pPr>
      <w:r w:rsidRPr="005675B2">
        <w:rPr>
          <w:rFonts w:hint="cs"/>
          <w:bCs/>
          <w:rtl/>
        </w:rPr>
        <w:t xml:space="preserve">الملحق </w:t>
      </w:r>
      <w:r>
        <w:rPr>
          <w:rFonts w:hint="cs"/>
          <w:bCs/>
          <w:rtl/>
        </w:rPr>
        <w:t>الثالث</w:t>
      </w:r>
      <w:r w:rsidR="000636C2">
        <w:rPr>
          <w:rFonts w:hint="cs"/>
          <w:rtl/>
        </w:rPr>
        <w:t>:</w:t>
      </w:r>
      <w:r w:rsidRPr="005675B2">
        <w:rPr>
          <w:rFonts w:hint="cs"/>
          <w:rtl/>
        </w:rPr>
        <w:t xml:space="preserve"> كتاب </w:t>
      </w:r>
      <w:r w:rsidRPr="005675B2">
        <w:rPr>
          <w:rtl/>
          <w:lang w:bidi="ar-KW"/>
        </w:rPr>
        <w:t xml:space="preserve">عقائد الأشاعرة </w:t>
      </w:r>
      <w:r w:rsidRPr="005675B2">
        <w:rPr>
          <w:rtl/>
        </w:rPr>
        <w:t>في حوارٍ هادئٍ مع شُبهاتِ المناوئين</w:t>
      </w:r>
      <w:r w:rsidRPr="005675B2">
        <w:rPr>
          <w:rtl/>
          <w:lang w:bidi="ar-KW"/>
        </w:rPr>
        <w:t xml:space="preserve"> للشيخ صلاح الدين الإدلبي</w:t>
      </w:r>
    </w:p>
    <w:p w14:paraId="32890AD5" w14:textId="66042E5C" w:rsidR="009C32A0" w:rsidRPr="005675B2" w:rsidRDefault="009C32A0" w:rsidP="000636C2">
      <w:pPr>
        <w:rPr>
          <w:b/>
          <w:rtl/>
          <w:lang w:bidi="ar-KW"/>
        </w:rPr>
      </w:pPr>
      <w:r w:rsidRPr="005675B2">
        <w:rPr>
          <w:rFonts w:hint="cs"/>
          <w:bCs/>
          <w:rtl/>
          <w:lang w:bidi="ar-KW"/>
        </w:rPr>
        <w:t xml:space="preserve">الملحق </w:t>
      </w:r>
      <w:r>
        <w:rPr>
          <w:rFonts w:hint="cs"/>
          <w:bCs/>
          <w:rtl/>
          <w:lang w:bidi="ar-KW"/>
        </w:rPr>
        <w:t>الرابع</w:t>
      </w:r>
      <w:r w:rsidR="000636C2">
        <w:rPr>
          <w:rFonts w:hint="cs"/>
          <w:rtl/>
          <w:lang w:bidi="ar-KW"/>
        </w:rPr>
        <w:t>:</w:t>
      </w:r>
      <w:r w:rsidRPr="005675B2">
        <w:rPr>
          <w:rFonts w:hint="cs"/>
          <w:rtl/>
          <w:lang w:bidi="ar-KW"/>
        </w:rPr>
        <w:t xml:space="preserve"> </w:t>
      </w:r>
      <w:r w:rsidRPr="005675B2">
        <w:rPr>
          <w:rFonts w:hint="cs"/>
          <w:rtl/>
        </w:rPr>
        <w:t xml:space="preserve">كتاب </w:t>
      </w:r>
      <w:r w:rsidRPr="005675B2">
        <w:rPr>
          <w:rtl/>
        </w:rPr>
        <w:t>منهج الأشاعرة في العقيدة بين الحقائق والأوهام</w:t>
      </w:r>
      <w:r w:rsidRPr="005675B2">
        <w:rPr>
          <w:rFonts w:hint="cs"/>
          <w:rtl/>
        </w:rPr>
        <w:t xml:space="preserve"> للشيخ محمد صالح الغرسي</w:t>
      </w:r>
      <w:r w:rsidRPr="005675B2">
        <w:rPr>
          <w:rtl/>
          <w:lang w:bidi="ar-KW"/>
        </w:rPr>
        <w:t xml:space="preserve"> </w:t>
      </w:r>
    </w:p>
    <w:p w14:paraId="4E714C05" w14:textId="606446AE" w:rsidR="009C32A0" w:rsidRPr="005675B2" w:rsidRDefault="009C32A0" w:rsidP="000636C2">
      <w:pPr>
        <w:rPr>
          <w:b/>
          <w:bCs/>
          <w:rtl/>
        </w:rPr>
      </w:pPr>
      <w:r w:rsidRPr="005675B2">
        <w:rPr>
          <w:rFonts w:hint="cs"/>
          <w:bCs/>
          <w:rtl/>
        </w:rPr>
        <w:t xml:space="preserve">الملحق </w:t>
      </w:r>
      <w:r>
        <w:rPr>
          <w:rFonts w:hint="cs"/>
          <w:bCs/>
          <w:rtl/>
        </w:rPr>
        <w:t>الخامس</w:t>
      </w:r>
      <w:r w:rsidR="000636C2">
        <w:rPr>
          <w:rFonts w:hint="cs"/>
          <w:rtl/>
        </w:rPr>
        <w:t>:</w:t>
      </w:r>
      <w:r w:rsidRPr="005675B2">
        <w:rPr>
          <w:rFonts w:hint="cs"/>
          <w:rtl/>
        </w:rPr>
        <w:t xml:space="preserve"> </w:t>
      </w:r>
      <w:r w:rsidRPr="005675B2">
        <w:rPr>
          <w:rtl/>
          <w:lang w:bidi="ar-KW"/>
        </w:rPr>
        <w:t>كتاب درر الألفاظ العوالي في الرد على الموجان والحوالي دفاع عن الأشاعرة</w:t>
      </w:r>
      <w:r w:rsidR="000636C2">
        <w:rPr>
          <w:rFonts w:hint="cs"/>
          <w:bCs/>
          <w:rtl/>
        </w:rPr>
        <w:t>،</w:t>
      </w:r>
      <w:r w:rsidRPr="005675B2">
        <w:rPr>
          <w:rFonts w:hint="cs"/>
          <w:bCs/>
          <w:rtl/>
        </w:rPr>
        <w:t xml:space="preserve"> </w:t>
      </w:r>
    </w:p>
    <w:p w14:paraId="6B7E2FF5" w14:textId="34C33A1B" w:rsidR="009C32A0" w:rsidRPr="005675B2" w:rsidRDefault="009C32A0" w:rsidP="000636C2">
      <w:pPr>
        <w:rPr>
          <w:b/>
          <w:bCs/>
          <w:rtl/>
        </w:rPr>
      </w:pPr>
      <w:r w:rsidRPr="005675B2">
        <w:rPr>
          <w:rFonts w:hint="cs"/>
          <w:bCs/>
          <w:rtl/>
        </w:rPr>
        <w:t xml:space="preserve">الملحق </w:t>
      </w:r>
      <w:r>
        <w:rPr>
          <w:rFonts w:hint="cs"/>
          <w:bCs/>
          <w:rtl/>
        </w:rPr>
        <w:t>السادس</w:t>
      </w:r>
      <w:r w:rsidR="000636C2">
        <w:rPr>
          <w:rFonts w:hint="cs"/>
          <w:bCs/>
          <w:rtl/>
        </w:rPr>
        <w:t>:</w:t>
      </w:r>
      <w:r w:rsidRPr="005675B2">
        <w:rPr>
          <w:rFonts w:hint="cs"/>
          <w:bCs/>
          <w:rtl/>
        </w:rPr>
        <w:t xml:space="preserve"> </w:t>
      </w:r>
      <w:r w:rsidRPr="005675B2">
        <w:rPr>
          <w:rFonts w:eastAsia="MS Mincho"/>
          <w:rtl/>
        </w:rPr>
        <w:t>النقد والتقويم لمنتقد عقائد الماتريدية</w:t>
      </w:r>
      <w:r w:rsidRPr="005675B2">
        <w:rPr>
          <w:rFonts w:eastAsia="MS Mincho" w:hint="cs"/>
          <w:rtl/>
        </w:rPr>
        <w:t xml:space="preserve"> للشيخ سعيد فودة</w:t>
      </w:r>
      <w:r w:rsidR="000636C2">
        <w:rPr>
          <w:rFonts w:eastAsia="MS Mincho" w:hint="cs"/>
          <w:rtl/>
        </w:rPr>
        <w:t>،</w:t>
      </w:r>
      <w:r w:rsidRPr="005675B2">
        <w:rPr>
          <w:rFonts w:eastAsia="MS Mincho" w:hint="cs"/>
          <w:rtl/>
        </w:rPr>
        <w:t xml:space="preserve"> </w:t>
      </w:r>
    </w:p>
    <w:p w14:paraId="6302C988" w14:textId="43EF0BAF" w:rsidR="009C32A0" w:rsidRPr="005675B2" w:rsidRDefault="009C32A0" w:rsidP="000636C2">
      <w:pPr>
        <w:rPr>
          <w:b/>
          <w:rtl/>
        </w:rPr>
      </w:pPr>
      <w:r w:rsidRPr="005675B2">
        <w:rPr>
          <w:rFonts w:hint="cs"/>
          <w:bCs/>
          <w:rtl/>
        </w:rPr>
        <w:t>الخاتمة</w:t>
      </w:r>
      <w:r w:rsidR="000636C2">
        <w:rPr>
          <w:rFonts w:hint="cs"/>
          <w:rtl/>
        </w:rPr>
        <w:t>:</w:t>
      </w:r>
      <w:r w:rsidRPr="005675B2">
        <w:rPr>
          <w:rFonts w:hint="cs"/>
          <w:rtl/>
        </w:rPr>
        <w:t xml:space="preserve"> وأهم توصيات الرسالـة</w:t>
      </w:r>
      <w:r w:rsidR="000636C2">
        <w:rPr>
          <w:rFonts w:hint="cs"/>
          <w:rtl/>
        </w:rPr>
        <w:t>،</w:t>
      </w:r>
      <w:r w:rsidRPr="005675B2">
        <w:rPr>
          <w:rFonts w:hint="cs"/>
          <w:rtl/>
        </w:rPr>
        <w:t xml:space="preserve"> </w:t>
      </w:r>
    </w:p>
    <w:p w14:paraId="7CFA463C" w14:textId="77777777" w:rsidR="009C32A0" w:rsidRPr="005675B2" w:rsidRDefault="009C32A0" w:rsidP="000636C2">
      <w:pPr>
        <w:rPr>
          <w:b/>
          <w:rtl/>
        </w:rPr>
      </w:pPr>
    </w:p>
    <w:p w14:paraId="28657837" w14:textId="77777777" w:rsidR="009C32A0" w:rsidRPr="005675B2" w:rsidRDefault="009C32A0" w:rsidP="000636C2">
      <w:pPr>
        <w:jc w:val="center"/>
        <w:rPr>
          <w:b/>
          <w:bCs/>
          <w:rtl/>
        </w:rPr>
      </w:pPr>
      <w:r>
        <w:rPr>
          <w:rFonts w:hint="cs"/>
          <w:bCs/>
          <w:rtl/>
        </w:rPr>
        <w:t>***</w:t>
      </w:r>
    </w:p>
    <w:p w14:paraId="57C198BE" w14:textId="77777777" w:rsidR="009C32A0" w:rsidRPr="005675B2" w:rsidRDefault="009C32A0" w:rsidP="000636C2">
      <w:pPr>
        <w:rPr>
          <w:b/>
          <w:rtl/>
        </w:rPr>
      </w:pPr>
    </w:p>
    <w:p w14:paraId="390D84CB" w14:textId="77777777" w:rsidR="009C32A0" w:rsidRPr="005675B2" w:rsidRDefault="009C32A0" w:rsidP="000636C2">
      <w:pPr>
        <w:rPr>
          <w:b/>
          <w:rtl/>
          <w:lang w:bidi="ar-KW"/>
        </w:rPr>
      </w:pPr>
    </w:p>
    <w:p w14:paraId="56AC3C6E" w14:textId="77777777" w:rsidR="009C32A0" w:rsidRPr="005675B2" w:rsidRDefault="009C32A0" w:rsidP="000636C2">
      <w:pPr>
        <w:rPr>
          <w:b/>
          <w:rtl/>
          <w:lang w:bidi="ar-KW"/>
        </w:rPr>
      </w:pPr>
    </w:p>
    <w:p w14:paraId="28973C40" w14:textId="77777777" w:rsidR="009C32A0" w:rsidRPr="005675B2" w:rsidRDefault="009C32A0" w:rsidP="000636C2">
      <w:pPr>
        <w:rPr>
          <w:b/>
          <w:rtl/>
        </w:rPr>
      </w:pPr>
    </w:p>
    <w:p w14:paraId="4CEF397E" w14:textId="77777777" w:rsidR="009C32A0" w:rsidRPr="005675B2" w:rsidRDefault="009C32A0" w:rsidP="000636C2">
      <w:pPr>
        <w:rPr>
          <w:b/>
          <w:rtl/>
        </w:rPr>
      </w:pPr>
    </w:p>
    <w:p w14:paraId="0E395B52" w14:textId="644F8123" w:rsidR="009C32A0" w:rsidRPr="00306AAB" w:rsidRDefault="009C32A0" w:rsidP="00306AAB">
      <w:pPr>
        <w:pStyle w:val="1"/>
        <w:rPr>
          <w:u w:val="none"/>
          <w:rtl/>
          <w:lang w:bidi="ar-KW"/>
        </w:rPr>
      </w:pPr>
      <w:r w:rsidRPr="00306AAB">
        <w:rPr>
          <w:u w:val="none"/>
          <w:rtl/>
          <w:lang w:bidi="ar-KW"/>
        </w:rPr>
        <w:t>مدخل أول</w:t>
      </w:r>
      <w:r w:rsidR="00306AAB" w:rsidRPr="00306AAB">
        <w:rPr>
          <w:u w:val="none"/>
          <w:lang w:bidi="ar-KW"/>
        </w:rPr>
        <w:t xml:space="preserve"> </w:t>
      </w:r>
      <w:r w:rsidRPr="00306AAB">
        <w:rPr>
          <w:u w:val="none"/>
          <w:rtl/>
          <w:lang w:bidi="ar-KW"/>
        </w:rPr>
        <w:t>لبيان فضل الأثرية وأنّهم امتداد السلف الصالح</w:t>
      </w:r>
    </w:p>
    <w:p w14:paraId="1129DBCB" w14:textId="77777777" w:rsidR="009C32A0" w:rsidRDefault="009C32A0" w:rsidP="000636C2">
      <w:pPr>
        <w:rPr>
          <w:b/>
          <w:rtl/>
        </w:rPr>
      </w:pPr>
    </w:p>
    <w:p w14:paraId="0DE1A815" w14:textId="4A629007" w:rsidR="009C32A0" w:rsidRDefault="009C32A0" w:rsidP="000636C2">
      <w:pPr>
        <w:ind w:left="-58" w:right="-58"/>
        <w:jc w:val="center"/>
        <w:rPr>
          <w:rFonts w:cs="Monotype Koufi"/>
          <w:rtl/>
        </w:rPr>
      </w:pPr>
      <w:r>
        <w:rPr>
          <w:rFonts w:cs="Monotype Koufi" w:hint="cs"/>
          <w:rtl/>
        </w:rPr>
        <w:t>أولاً</w:t>
      </w:r>
      <w:r w:rsidR="000636C2">
        <w:rPr>
          <w:rFonts w:cs="Monotype Koufi" w:hint="cs"/>
          <w:rtl/>
        </w:rPr>
        <w:t>:</w:t>
      </w:r>
      <w:r>
        <w:rPr>
          <w:rFonts w:cs="Monotype Koufi" w:hint="cs"/>
          <w:rtl/>
        </w:rPr>
        <w:t xml:space="preserve"> الأثرية هم الامتداد الحقيقي لمذهب السلف </w:t>
      </w:r>
    </w:p>
    <w:p w14:paraId="24F9DCFC" w14:textId="7685CB4F" w:rsidR="009C32A0" w:rsidRDefault="009C32A0" w:rsidP="000636C2">
      <w:pPr>
        <w:ind w:left="-58"/>
        <w:rPr>
          <w:b/>
          <w:i/>
          <w:iCs/>
          <w:sz w:val="24"/>
          <w:szCs w:val="24"/>
        </w:rPr>
      </w:pPr>
      <w:r>
        <w:rPr>
          <w:rFonts w:hint="cs"/>
          <w:bCs/>
          <w:rtl/>
        </w:rPr>
        <w:t>الأثرية</w:t>
      </w:r>
      <w:r w:rsidR="000636C2">
        <w:rPr>
          <w:rFonts w:hint="cs"/>
          <w:rtl/>
        </w:rPr>
        <w:t>:</w:t>
      </w:r>
      <w:r>
        <w:rPr>
          <w:rFonts w:hint="cs"/>
          <w:rtl/>
        </w:rPr>
        <w:t xml:space="preserve"> هي النسبة الصحيحة الحقيقية للسلف الكرام وأهم علماؤه الأئمة مالك والشافعي وأحمد ابن حنبل وسفيان ابن عيينة</w:t>
      </w:r>
      <w:r w:rsidR="000636C2">
        <w:rPr>
          <w:rFonts w:hint="cs"/>
          <w:rtl/>
        </w:rPr>
        <w:t>،</w:t>
      </w:r>
      <w:r>
        <w:rPr>
          <w:rFonts w:hint="cs"/>
          <w:rtl/>
        </w:rPr>
        <w:t xml:space="preserve"> وسفيان الثوري ومذهبهم واضح وأهم أصوله</w:t>
      </w:r>
      <w:r w:rsidR="000636C2">
        <w:rPr>
          <w:rFonts w:hint="cs"/>
          <w:rtl/>
        </w:rPr>
        <w:t>:</w:t>
      </w:r>
      <w:r>
        <w:rPr>
          <w:rFonts w:hint="cs"/>
          <w:rtl/>
        </w:rPr>
        <w:t xml:space="preserve"> التفريق بين المحكم والمتشابه</w:t>
      </w:r>
      <w:r w:rsidR="000636C2">
        <w:rPr>
          <w:rFonts w:hint="cs"/>
          <w:rtl/>
        </w:rPr>
        <w:t>،</w:t>
      </w:r>
      <w:r>
        <w:rPr>
          <w:rFonts w:hint="cs"/>
          <w:rtl/>
        </w:rPr>
        <w:t xml:space="preserve"> تفويض كيفية المحكم وتفويض علم المتشابه</w:t>
      </w:r>
      <w:r w:rsidR="000636C2">
        <w:rPr>
          <w:rFonts w:hint="cs"/>
          <w:rtl/>
        </w:rPr>
        <w:t>،</w:t>
      </w:r>
      <w:r>
        <w:rPr>
          <w:rFonts w:hint="cs"/>
          <w:rtl/>
        </w:rPr>
        <w:t xml:space="preserve"> عدم الخوض بالحشو والتجسيم</w:t>
      </w:r>
      <w:r w:rsidR="000636C2">
        <w:rPr>
          <w:rFonts w:hint="cs"/>
          <w:rtl/>
        </w:rPr>
        <w:t>،</w:t>
      </w:r>
      <w:r>
        <w:rPr>
          <w:rFonts w:hint="cs"/>
          <w:rtl/>
        </w:rPr>
        <w:t xml:space="preserve"> والأثرية هم الامتداد</w:t>
      </w:r>
      <w:r w:rsidR="000636C2">
        <w:rPr>
          <w:rFonts w:hint="cs"/>
          <w:rtl/>
        </w:rPr>
        <w:t xml:space="preserve"> </w:t>
      </w:r>
      <w:r>
        <w:rPr>
          <w:rFonts w:hint="cs"/>
          <w:rtl/>
        </w:rPr>
        <w:t>الصحيح والحقيقي للسلف الصالح في فهم النصوص المتشابهة</w:t>
      </w:r>
      <w:r w:rsidR="000636C2">
        <w:rPr>
          <w:rFonts w:hint="cs"/>
          <w:rtl/>
        </w:rPr>
        <w:t>،</w:t>
      </w:r>
      <w:r>
        <w:rPr>
          <w:rFonts w:hint="cs"/>
          <w:rtl/>
        </w:rPr>
        <w:t xml:space="preserve"> إنّ أصول التقديس والتنزيه - عند اهل السنّة والجماعة - تمنع المؤمن العاقل من الخوض في ذات الله تعالى والمتشابه من صفاته</w:t>
      </w:r>
      <w:r w:rsidR="000636C2">
        <w:rPr>
          <w:rFonts w:hint="cs"/>
          <w:rtl/>
        </w:rPr>
        <w:t>،</w:t>
      </w:r>
      <w:r>
        <w:rPr>
          <w:rFonts w:hint="cs"/>
          <w:rtl/>
        </w:rPr>
        <w:t xml:space="preserve"> وذلك لأنّ الله عز وجل ليس له شبيه ولا كفء وليس له سمي ولا مثيل</w:t>
      </w:r>
      <w:r w:rsidR="000636C2">
        <w:rPr>
          <w:rFonts w:hint="cs"/>
          <w:rtl/>
        </w:rPr>
        <w:t>،</w:t>
      </w:r>
      <w:r>
        <w:rPr>
          <w:rFonts w:hint="cs"/>
          <w:rtl/>
        </w:rPr>
        <w:t xml:space="preserve"> وكل ما خطر بالبال فالله بخلافه</w:t>
      </w:r>
      <w:r w:rsidR="000636C2">
        <w:rPr>
          <w:rFonts w:hint="cs"/>
          <w:rtl/>
        </w:rPr>
        <w:t>،</w:t>
      </w:r>
      <w:r>
        <w:rPr>
          <w:rFonts w:hint="cs"/>
          <w:rtl/>
        </w:rPr>
        <w:t xml:space="preserve"> دل على ذلك قوله تعالى</w:t>
      </w:r>
      <w:r w:rsidR="000636C2">
        <w:rPr>
          <w:rFonts w:hint="cs"/>
          <w:rtl/>
        </w:rPr>
        <w:t>:</w:t>
      </w:r>
      <w:r>
        <w:rPr>
          <w:rFonts w:hint="cs"/>
          <w:rtl/>
        </w:rPr>
        <w:t xml:space="preserve"> </w:t>
      </w:r>
      <w:r w:rsidR="000636C2">
        <w:rPr>
          <w:rFonts w:eastAsia="Times New Roman" w:hint="cs"/>
          <w:rtl/>
        </w:rPr>
        <w:t>{</w:t>
      </w:r>
      <w:r>
        <w:rPr>
          <w:rFonts w:eastAsia="Times New Roman" w:hint="cs"/>
          <w:bCs/>
          <w:rtl/>
        </w:rPr>
        <w:t>ليس كمثلِه شيء</w:t>
      </w:r>
      <w:r w:rsidR="000636C2">
        <w:rPr>
          <w:rFonts w:eastAsia="Times New Roman" w:hint="cs"/>
          <w:bCs/>
          <w:rtl/>
        </w:rPr>
        <w:t xml:space="preserve">} </w:t>
      </w:r>
      <w:r>
        <w:rPr>
          <w:rFonts w:eastAsia="Times New Roman" w:hint="cs"/>
          <w:rtl/>
        </w:rPr>
        <w:t>[سورة الشورى</w:t>
      </w:r>
      <w:r w:rsidR="000636C2">
        <w:rPr>
          <w:rFonts w:eastAsia="Times New Roman" w:hint="cs"/>
          <w:rtl/>
        </w:rPr>
        <w:t>:</w:t>
      </w:r>
      <w:r>
        <w:rPr>
          <w:rFonts w:eastAsia="Times New Roman" w:hint="cs"/>
          <w:rtl/>
        </w:rPr>
        <w:t xml:space="preserve"> 11]</w:t>
      </w:r>
      <w:r w:rsidR="000636C2">
        <w:rPr>
          <w:rFonts w:eastAsia="Times New Roman" w:hint="cs"/>
          <w:rtl/>
        </w:rPr>
        <w:t>،</w:t>
      </w:r>
      <w:r>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bCs/>
          <w:rtl/>
        </w:rPr>
        <w:t>وللهِ المثَلُ الأعلى</w:t>
      </w:r>
      <w:r w:rsidR="000636C2">
        <w:rPr>
          <w:rFonts w:eastAsia="Times New Roman" w:hint="cs"/>
          <w:bCs/>
          <w:rtl/>
        </w:rPr>
        <w:t>}</w:t>
      </w:r>
      <w:r>
        <w:rPr>
          <w:rFonts w:eastAsia="Times New Roman" w:hint="cs"/>
          <w:rtl/>
        </w:rPr>
        <w:t xml:space="preserve"> </w:t>
      </w:r>
      <w:r w:rsidR="000636C2">
        <w:rPr>
          <w:rFonts w:eastAsia="Times New Roman" w:hint="cs"/>
          <w:rtl/>
        </w:rPr>
        <w:t>[</w:t>
      </w:r>
      <w:r>
        <w:rPr>
          <w:rFonts w:eastAsia="Times New Roman" w:hint="cs"/>
          <w:rtl/>
        </w:rPr>
        <w:t>النحل</w:t>
      </w:r>
      <w:r w:rsidR="000636C2">
        <w:rPr>
          <w:rFonts w:eastAsia="Times New Roman" w:hint="cs"/>
          <w:rtl/>
        </w:rPr>
        <w:t>:</w:t>
      </w:r>
      <w:r>
        <w:rPr>
          <w:rFonts w:eastAsia="Times New Roman" w:hint="cs"/>
          <w:rtl/>
        </w:rPr>
        <w:t xml:space="preserve"> 60</w:t>
      </w:r>
      <w:r w:rsidR="000636C2">
        <w:rPr>
          <w:rFonts w:eastAsia="Times New Roman" w:hint="cs"/>
          <w:rtl/>
        </w:rPr>
        <w:t>]</w:t>
      </w:r>
      <w:r>
        <w:rPr>
          <w:rFonts w:eastAsia="Times New Roman" w:hint="cs"/>
          <w:rtl/>
        </w:rPr>
        <w:t xml:space="preserve"> أي الوصف الذي لا يشبه وصف غيره، فلا يوصف ربنا عزَّ وجلَّ بصفات المخلوقين</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bCs/>
          <w:rtl/>
        </w:rPr>
        <w:t>{</w:t>
      </w:r>
      <w:r>
        <w:rPr>
          <w:rFonts w:eastAsia="Times New Roman" w:hint="cs"/>
          <w:bCs/>
          <w:rtl/>
        </w:rPr>
        <w:t>فلا تضربوا للهِ الأمثال</w:t>
      </w:r>
      <w:r w:rsidR="000636C2">
        <w:rPr>
          <w:rFonts w:eastAsia="Times New Roman" w:hint="cs"/>
          <w:bCs/>
          <w:rtl/>
        </w:rPr>
        <w:t>}</w:t>
      </w:r>
      <w:r>
        <w:rPr>
          <w:rFonts w:eastAsia="Times New Roman" w:hint="cs"/>
          <w:rtl/>
        </w:rPr>
        <w:t xml:space="preserve"> </w:t>
      </w:r>
      <w:r w:rsidR="000636C2">
        <w:rPr>
          <w:rFonts w:eastAsia="Times New Roman" w:hint="cs"/>
          <w:rtl/>
        </w:rPr>
        <w:t>[</w:t>
      </w:r>
      <w:r>
        <w:rPr>
          <w:rFonts w:eastAsia="Times New Roman" w:hint="cs"/>
          <w:rtl/>
        </w:rPr>
        <w:t>النحل</w:t>
      </w:r>
      <w:r w:rsidR="000636C2">
        <w:rPr>
          <w:rFonts w:eastAsia="Times New Roman" w:hint="cs"/>
          <w:rtl/>
        </w:rPr>
        <w:t>:</w:t>
      </w:r>
      <w:r>
        <w:rPr>
          <w:rFonts w:eastAsia="Times New Roman" w:hint="cs"/>
          <w:rtl/>
        </w:rPr>
        <w:t xml:space="preserve"> 74</w:t>
      </w:r>
      <w:r w:rsidR="000636C2">
        <w:rPr>
          <w:rFonts w:eastAsia="Times New Roman" w:hint="cs"/>
          <w:rtl/>
        </w:rPr>
        <w:t>]</w:t>
      </w:r>
      <w:r>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Pr>
          <w:rFonts w:eastAsia="Times New Roman" w:hint="cs"/>
          <w:bCs/>
          <w:rtl/>
        </w:rPr>
        <w:t>هل تعلمُ لهُ سميًّا)</w:t>
      </w:r>
      <w:r>
        <w:rPr>
          <w:rFonts w:eastAsia="Times New Roman" w:hint="cs"/>
          <w:rtl/>
        </w:rPr>
        <w:t xml:space="preserve"> </w:t>
      </w:r>
      <w:r w:rsidR="000636C2">
        <w:rPr>
          <w:rFonts w:eastAsia="Times New Roman" w:hint="cs"/>
          <w:rtl/>
        </w:rPr>
        <w:t>[</w:t>
      </w:r>
      <w:r>
        <w:rPr>
          <w:rFonts w:eastAsia="Times New Roman" w:hint="cs"/>
          <w:rtl/>
        </w:rPr>
        <w:t>مريم</w:t>
      </w:r>
      <w:r w:rsidR="000636C2">
        <w:rPr>
          <w:rFonts w:eastAsia="Times New Roman" w:hint="cs"/>
          <w:rtl/>
        </w:rPr>
        <w:t>:</w:t>
      </w:r>
      <w:r>
        <w:rPr>
          <w:rFonts w:eastAsia="Times New Roman" w:hint="cs"/>
          <w:rtl/>
        </w:rPr>
        <w:t xml:space="preserve"> 65</w:t>
      </w:r>
      <w:r w:rsidR="000636C2">
        <w:rPr>
          <w:rFonts w:eastAsia="Times New Roman" w:hint="cs"/>
          <w:rtl/>
        </w:rPr>
        <w:t>]</w:t>
      </w:r>
      <w:r>
        <w:rPr>
          <w:rFonts w:eastAsia="Times New Roman" w:hint="cs"/>
          <w:rtl/>
        </w:rPr>
        <w:t xml:space="preserve"> أي مِثلاً، فالله تعالى لا مِثْلَ له ولا شبيه ولا نظير، فذاتُه سبحانه لا يشبه الذواتِ ولا صفاتُه تشبه الصفاتِ</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bCs/>
          <w:rtl/>
        </w:rPr>
        <w:t>سُبْحَانَهُ وَتَعَالَى عَمَّا يَصِفُونَ</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الأنعام</w:t>
      </w:r>
      <w:r w:rsidR="000636C2">
        <w:rPr>
          <w:rFonts w:eastAsia="Times New Roman" w:hint="cs"/>
          <w:rtl/>
        </w:rPr>
        <w:t>:</w:t>
      </w:r>
      <w:r>
        <w:rPr>
          <w:rFonts w:eastAsia="Times New Roman" w:hint="cs"/>
          <w:rtl/>
        </w:rPr>
        <w:t xml:space="preserve"> 100] تنزيه وتقديس لله تعالى عن كل وصف يخطر ببال بشر لأنه </w:t>
      </w:r>
      <w:r>
        <w:rPr>
          <w:rFonts w:eastAsia="Times New Roman" w:hint="cs"/>
          <w:rtl/>
        </w:rPr>
        <w:lastRenderedPageBreak/>
        <w:t>ليس كمثله شيء ولا نعلم له سميا</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bCs/>
          <w:rtl/>
        </w:rPr>
        <w:t>{</w:t>
      </w:r>
      <w:r>
        <w:rPr>
          <w:rFonts w:eastAsia="Times New Roman" w:hint="cs"/>
          <w:bCs/>
          <w:rtl/>
        </w:rPr>
        <w:t>وَلَا يُحِيطُونَ بِهِ عِلْمًا</w:t>
      </w:r>
      <w:r w:rsidR="000636C2">
        <w:rPr>
          <w:rFonts w:eastAsia="Times New Roman" w:hint="cs"/>
          <w:bCs/>
          <w:rtl/>
        </w:rPr>
        <w:t>}</w:t>
      </w:r>
      <w:r w:rsidR="000636C2">
        <w:rPr>
          <w:rFonts w:eastAsia="Times New Roman" w:hint="cs"/>
          <w:rtl/>
        </w:rPr>
        <w:t>[</w:t>
      </w:r>
      <w:r>
        <w:rPr>
          <w:rFonts w:eastAsia="Times New Roman" w:hint="cs"/>
          <w:rtl/>
        </w:rPr>
        <w:t>طه</w:t>
      </w:r>
      <w:r w:rsidR="000636C2">
        <w:rPr>
          <w:rFonts w:eastAsia="Times New Roman" w:hint="cs"/>
          <w:rtl/>
        </w:rPr>
        <w:t>:</w:t>
      </w:r>
      <w:r>
        <w:rPr>
          <w:rFonts w:eastAsia="Times New Roman" w:hint="cs"/>
          <w:rtl/>
        </w:rPr>
        <w:t xml:space="preserve"> 110</w:t>
      </w:r>
      <w:r w:rsidR="000636C2">
        <w:rPr>
          <w:rFonts w:eastAsia="Times New Roman" w:hint="cs"/>
          <w:rtl/>
        </w:rPr>
        <w:t>]،</w:t>
      </w:r>
      <w:r>
        <w:rPr>
          <w:rFonts w:eastAsia="Times New Roman" w:hint="cs"/>
          <w:rtl/>
        </w:rPr>
        <w:t xml:space="preserve"> ولو كان له كفء أو شبيه أو مثيل لأحاطت به علوم البشر</w:t>
      </w:r>
      <w:r w:rsidR="000636C2">
        <w:rPr>
          <w:rFonts w:eastAsia="Times New Roman" w:hint="cs"/>
          <w:rtl/>
        </w:rPr>
        <w:t>،</w:t>
      </w:r>
      <w:r>
        <w:rPr>
          <w:rFonts w:eastAsia="Times New Roman" w:hint="cs"/>
          <w:rtl/>
        </w:rPr>
        <w:t xml:space="preserve"> </w:t>
      </w:r>
      <w:r>
        <w:rPr>
          <w:rFonts w:hint="cs"/>
          <w:rtl/>
        </w:rPr>
        <w:t>وقوله تعالى</w:t>
      </w:r>
      <w:r w:rsidR="000636C2">
        <w:rPr>
          <w:rFonts w:hint="cs"/>
          <w:rtl/>
        </w:rPr>
        <w:t>:</w:t>
      </w:r>
      <w:r>
        <w:rPr>
          <w:rFonts w:hint="cs"/>
          <w:rtl/>
        </w:rPr>
        <w:t xml:space="preserve"> </w:t>
      </w:r>
      <w:r w:rsidR="000636C2">
        <w:rPr>
          <w:rFonts w:hint="cs"/>
          <w:bCs/>
          <w:rtl/>
        </w:rPr>
        <w:t>{</w:t>
      </w:r>
      <w:r>
        <w:rPr>
          <w:rFonts w:hint="cs"/>
          <w:bCs/>
          <w:rtl/>
        </w:rPr>
        <w:t>وَلَمْ يَكُنْ لَهُ كُفُوًا أَحَدٌ</w:t>
      </w:r>
      <w:r w:rsidR="000636C2">
        <w:rPr>
          <w:rFonts w:hint="cs"/>
          <w:bCs/>
          <w:rtl/>
        </w:rPr>
        <w:t>}</w:t>
      </w:r>
      <w:r>
        <w:rPr>
          <w:rFonts w:eastAsia="Times New Roman" w:hint="cs"/>
          <w:rtl/>
        </w:rPr>
        <w:t xml:space="preserve"> أي لا نظير له بوجه من الوجوه، ولا كفء له ولا شبيه</w:t>
      </w:r>
      <w:r w:rsidR="000636C2">
        <w:rPr>
          <w:rFonts w:eastAsia="Times New Roman" w:hint="cs"/>
          <w:rtl/>
          <w:lang w:bidi="ar-KW"/>
        </w:rPr>
        <w:t>،</w:t>
      </w:r>
      <w:r>
        <w:rPr>
          <w:rFonts w:eastAsia="Times New Roman" w:hint="cs"/>
          <w:rtl/>
          <w:lang w:bidi="ar-KW"/>
        </w:rPr>
        <w:t xml:space="preserve"> </w:t>
      </w:r>
      <w:r>
        <w:rPr>
          <w:rFonts w:eastAsia="Times New Roman" w:hint="cs"/>
          <w:rtl/>
        </w:rPr>
        <w:t>ومنه نعلم مخالفة ذات الله تعالى لجميع المخلوقات والموجودات والمحدثات</w:t>
      </w:r>
      <w:r w:rsidR="000636C2">
        <w:rPr>
          <w:rFonts w:eastAsia="Times New Roman" w:hint="cs"/>
          <w:rtl/>
        </w:rPr>
        <w:t>،</w:t>
      </w:r>
      <w:r w:rsidR="000636C2">
        <w:rPr>
          <w:rFonts w:hint="cs"/>
          <w:rtl/>
        </w:rPr>
        <w:t xml:space="preserve"> </w:t>
      </w:r>
      <w:r>
        <w:rPr>
          <w:rFonts w:hint="cs"/>
          <w:rtl/>
        </w:rPr>
        <w:t>وخير من علموا تلك القواعد التنزيهية</w:t>
      </w:r>
      <w:r w:rsidR="000636C2">
        <w:rPr>
          <w:rFonts w:hint="cs"/>
          <w:rtl/>
        </w:rPr>
        <w:t>،</w:t>
      </w:r>
      <w:r>
        <w:rPr>
          <w:rFonts w:hint="cs"/>
          <w:rtl/>
        </w:rPr>
        <w:t xml:space="preserve"> هم أئمة السلف الصالح</w:t>
      </w:r>
      <w:r w:rsidR="000636C2">
        <w:rPr>
          <w:rFonts w:hint="cs"/>
          <w:rtl/>
        </w:rPr>
        <w:t>،</w:t>
      </w:r>
      <w:r>
        <w:rPr>
          <w:rFonts w:hint="cs"/>
          <w:rtl/>
        </w:rPr>
        <w:t xml:space="preserve"> فقد كان حرصهم شديدا على عدم الخوض في المتشابهات المتعلقة بذات وصفات الرحمن سبحانه</w:t>
      </w:r>
      <w:r w:rsidR="000636C2">
        <w:rPr>
          <w:rFonts w:hint="cs"/>
          <w:rtl/>
        </w:rPr>
        <w:t>،</w:t>
      </w:r>
      <w:r>
        <w:rPr>
          <w:rFonts w:hint="cs"/>
          <w:rtl/>
        </w:rPr>
        <w:t xml:space="preserve"> والمنع من مجرد السؤال عنها على سبيل الزيغ والفتنة</w:t>
      </w:r>
      <w:r w:rsidR="000636C2">
        <w:rPr>
          <w:rFonts w:hint="cs"/>
          <w:rtl/>
        </w:rPr>
        <w:t>،</w:t>
      </w:r>
      <w:r>
        <w:rPr>
          <w:rFonts w:hint="cs"/>
          <w:rtl/>
        </w:rPr>
        <w:t xml:space="preserve"> والمتمعن في مقالاتهم في المتشابه يجد أنّها ترتكز على كلمات لها مدلول عجيب على غلق باب الفتنة بتفويض المراد منها إلى الله</w:t>
      </w:r>
      <w:r w:rsidR="000636C2">
        <w:rPr>
          <w:rFonts w:hint="cs"/>
          <w:rtl/>
        </w:rPr>
        <w:t>،</w:t>
      </w:r>
      <w:r>
        <w:rPr>
          <w:rFonts w:hint="cs"/>
          <w:rtl/>
        </w:rPr>
        <w:t xml:space="preserve"> فمن ذلك</w:t>
      </w:r>
      <w:r w:rsidR="000636C2">
        <w:rPr>
          <w:rFonts w:hint="cs"/>
          <w:rtl/>
        </w:rPr>
        <w:t>:</w:t>
      </w:r>
      <w:r>
        <w:rPr>
          <w:rFonts w:hint="cs"/>
          <w:rtl/>
        </w:rPr>
        <w:t xml:space="preserve"> قولهم</w:t>
      </w:r>
      <w:r w:rsidR="000636C2">
        <w:rPr>
          <w:rFonts w:hint="cs"/>
          <w:rtl/>
        </w:rPr>
        <w:t>:</w:t>
      </w:r>
      <w:r>
        <w:rPr>
          <w:rFonts w:hint="cs"/>
          <w:rtl/>
        </w:rPr>
        <w:t xml:space="preserve"> ونؤمن بها ولا يقال كيف ولا نفسر ولا نتوهم</w:t>
      </w:r>
      <w:r w:rsidR="000636C2">
        <w:rPr>
          <w:rFonts w:hint="cs"/>
          <w:rtl/>
        </w:rPr>
        <w:t>،</w:t>
      </w:r>
      <w:r>
        <w:rPr>
          <w:rFonts w:hint="cs"/>
          <w:rtl/>
        </w:rPr>
        <w:t xml:space="preserve"> وقولهم</w:t>
      </w:r>
      <w:r w:rsidR="000636C2">
        <w:rPr>
          <w:rFonts w:hint="cs"/>
          <w:rtl/>
        </w:rPr>
        <w:t>:</w:t>
      </w:r>
      <w:r>
        <w:rPr>
          <w:rFonts w:hint="cs"/>
          <w:rtl/>
        </w:rPr>
        <w:t xml:space="preserve"> ويؤمن بها ولا تفسر ولا يتوهم ولا يقال كيف</w:t>
      </w:r>
      <w:r w:rsidR="000636C2">
        <w:rPr>
          <w:rFonts w:hint="cs"/>
          <w:rtl/>
        </w:rPr>
        <w:t>،</w:t>
      </w:r>
      <w:r>
        <w:rPr>
          <w:rFonts w:hint="cs"/>
          <w:rtl/>
        </w:rPr>
        <w:t xml:space="preserve"> وقولهم</w:t>
      </w:r>
      <w:r w:rsidR="000636C2">
        <w:rPr>
          <w:rFonts w:hint="cs"/>
          <w:rtl/>
        </w:rPr>
        <w:t>:</w:t>
      </w:r>
      <w:r>
        <w:rPr>
          <w:rFonts w:hint="cs"/>
          <w:rtl/>
        </w:rPr>
        <w:t xml:space="preserve"> نؤمن بها ونفوض معناها المراد منها إلى الله تعالى ولا نفسرها</w:t>
      </w:r>
      <w:r w:rsidR="000636C2">
        <w:rPr>
          <w:rFonts w:hint="cs"/>
          <w:rtl/>
        </w:rPr>
        <w:t>،</w:t>
      </w:r>
      <w:r>
        <w:rPr>
          <w:rFonts w:hint="cs"/>
          <w:rtl/>
        </w:rPr>
        <w:t xml:space="preserve"> وقولهم</w:t>
      </w:r>
      <w:r w:rsidR="000636C2">
        <w:rPr>
          <w:rFonts w:hint="cs"/>
          <w:rtl/>
        </w:rPr>
        <w:t>:</w:t>
      </w:r>
      <w:r>
        <w:rPr>
          <w:rFonts w:hint="cs"/>
          <w:rtl/>
        </w:rPr>
        <w:t xml:space="preserve"> نترك التعرض لمعانيها</w:t>
      </w:r>
      <w:r w:rsidR="000636C2">
        <w:rPr>
          <w:rFonts w:hint="cs"/>
          <w:rtl/>
        </w:rPr>
        <w:t>،</w:t>
      </w:r>
      <w:r>
        <w:rPr>
          <w:rFonts w:hint="cs"/>
          <w:rtl/>
        </w:rPr>
        <w:t xml:space="preserve"> وقولهم</w:t>
      </w:r>
      <w:r w:rsidR="000636C2">
        <w:rPr>
          <w:rFonts w:hint="cs"/>
          <w:rtl/>
        </w:rPr>
        <w:t>:</w:t>
      </w:r>
      <w:r>
        <w:rPr>
          <w:rFonts w:hint="cs"/>
          <w:rtl/>
        </w:rPr>
        <w:t xml:space="preserve"> نحن نروي هذه الأحاديث ولا نريغ لها المعاني</w:t>
      </w:r>
      <w:r w:rsidR="000636C2">
        <w:rPr>
          <w:rFonts w:hint="cs"/>
          <w:rtl/>
        </w:rPr>
        <w:t>،</w:t>
      </w:r>
      <w:r>
        <w:rPr>
          <w:rFonts w:hint="cs"/>
          <w:rtl/>
        </w:rPr>
        <w:t xml:space="preserve"> وقولهم</w:t>
      </w:r>
      <w:r w:rsidR="000636C2">
        <w:rPr>
          <w:rFonts w:hint="cs"/>
          <w:rtl/>
        </w:rPr>
        <w:t>:</w:t>
      </w:r>
      <w:r>
        <w:rPr>
          <w:rFonts w:hint="cs"/>
          <w:rtl/>
        </w:rPr>
        <w:t xml:space="preserve"> كلما وصف الله به نفسه في القرآن فقراءته تفسيره</w:t>
      </w:r>
      <w:r w:rsidR="000636C2">
        <w:rPr>
          <w:rFonts w:hint="cs"/>
          <w:rtl/>
        </w:rPr>
        <w:t>،</w:t>
      </w:r>
      <w:r>
        <w:rPr>
          <w:rFonts w:hint="cs"/>
          <w:rtl/>
        </w:rPr>
        <w:t xml:space="preserve"> وقولهم</w:t>
      </w:r>
      <w:r w:rsidR="000636C2">
        <w:rPr>
          <w:rFonts w:hint="cs"/>
          <w:rtl/>
        </w:rPr>
        <w:t>:</w:t>
      </w:r>
      <w:r>
        <w:rPr>
          <w:rFonts w:hint="cs"/>
          <w:rtl/>
        </w:rPr>
        <w:t xml:space="preserve"> ما وصف الله تبارك به نفسه في كتابه فقراءته تفسيره ليس لأحد أن يفسره بالعربية ولا بالفارسية</w:t>
      </w:r>
      <w:r w:rsidR="000636C2">
        <w:rPr>
          <w:rFonts w:hint="cs"/>
          <w:rtl/>
        </w:rPr>
        <w:t>،</w:t>
      </w:r>
      <w:r>
        <w:rPr>
          <w:rFonts w:hint="cs"/>
          <w:rtl/>
        </w:rPr>
        <w:t xml:space="preserve"> وقولهم</w:t>
      </w:r>
      <w:r w:rsidR="000636C2">
        <w:rPr>
          <w:rFonts w:hint="cs"/>
          <w:bCs/>
          <w:rtl/>
        </w:rPr>
        <w:t>:</w:t>
      </w:r>
      <w:r>
        <w:rPr>
          <w:rFonts w:hint="cs"/>
          <w:bCs/>
          <w:rtl/>
        </w:rPr>
        <w:t xml:space="preserve"> </w:t>
      </w:r>
      <w:r>
        <w:rPr>
          <w:rFonts w:hint="cs"/>
          <w:rtl/>
        </w:rPr>
        <w:t>فتفسيره قراءته والسكوت عنه ليس لأحد أن يفسره إلا الله ورسوله</w:t>
      </w:r>
      <w:r w:rsidR="000636C2">
        <w:rPr>
          <w:rFonts w:hint="cs"/>
          <w:rtl/>
        </w:rPr>
        <w:t>،</w:t>
      </w:r>
      <w:r>
        <w:rPr>
          <w:rFonts w:hint="cs"/>
          <w:rtl/>
        </w:rPr>
        <w:t xml:space="preserve"> وقولهم</w:t>
      </w:r>
      <w:r w:rsidR="000636C2">
        <w:rPr>
          <w:rFonts w:hint="cs"/>
          <w:rtl/>
        </w:rPr>
        <w:t>:</w:t>
      </w:r>
      <w:r>
        <w:rPr>
          <w:rFonts w:hint="cs"/>
          <w:rtl/>
        </w:rPr>
        <w:t xml:space="preserve"> أمروا الأحاديث كما جاءت</w:t>
      </w:r>
      <w:r w:rsidR="000636C2">
        <w:rPr>
          <w:rFonts w:hint="cs"/>
          <w:rtl/>
        </w:rPr>
        <w:t>،</w:t>
      </w:r>
      <w:r>
        <w:rPr>
          <w:rFonts w:hint="cs"/>
          <w:rtl/>
        </w:rPr>
        <w:t xml:space="preserve"> وقولهم</w:t>
      </w:r>
      <w:r w:rsidR="000636C2">
        <w:rPr>
          <w:rFonts w:hint="cs"/>
          <w:rtl/>
        </w:rPr>
        <w:t>:</w:t>
      </w:r>
      <w:r>
        <w:rPr>
          <w:rFonts w:hint="cs"/>
          <w:rtl/>
        </w:rPr>
        <w:t xml:space="preserve"> كانوا لا يفسرون شيئا</w:t>
      </w:r>
      <w:r w:rsidR="000636C2">
        <w:rPr>
          <w:rFonts w:hint="cs"/>
          <w:rtl/>
        </w:rPr>
        <w:t>،</w:t>
      </w:r>
      <w:r>
        <w:rPr>
          <w:rFonts w:hint="cs"/>
          <w:rtl/>
        </w:rPr>
        <w:t xml:space="preserve"> وقولهم</w:t>
      </w:r>
      <w:r w:rsidR="000636C2">
        <w:rPr>
          <w:rFonts w:hint="cs"/>
          <w:rtl/>
        </w:rPr>
        <w:t>:</w:t>
      </w:r>
      <w:r>
        <w:rPr>
          <w:rFonts w:hint="cs"/>
          <w:rtl/>
        </w:rPr>
        <w:t xml:space="preserve"> قلنا لا نفسر هذا ولا سمعنا أحدا يفسره</w:t>
      </w:r>
      <w:r w:rsidR="000636C2">
        <w:rPr>
          <w:rFonts w:hint="cs"/>
          <w:rtl/>
        </w:rPr>
        <w:t>،</w:t>
      </w:r>
      <w:r>
        <w:rPr>
          <w:rFonts w:hint="cs"/>
          <w:rtl/>
        </w:rPr>
        <w:t xml:space="preserve"> وقولهم</w:t>
      </w:r>
      <w:r w:rsidR="000636C2">
        <w:rPr>
          <w:rFonts w:hint="cs"/>
          <w:rtl/>
        </w:rPr>
        <w:t>:</w:t>
      </w:r>
      <w:r>
        <w:rPr>
          <w:rFonts w:hint="cs"/>
          <w:rtl/>
        </w:rPr>
        <w:t xml:space="preserve"> فتفسيره تلاوته والسكوت عليه</w:t>
      </w:r>
      <w:r w:rsidR="000636C2">
        <w:rPr>
          <w:rFonts w:hint="cs"/>
          <w:rtl/>
        </w:rPr>
        <w:t>،</w:t>
      </w:r>
      <w:r>
        <w:rPr>
          <w:rFonts w:hint="cs"/>
          <w:rtl/>
        </w:rPr>
        <w:t xml:space="preserve"> وقولهم</w:t>
      </w:r>
      <w:r w:rsidR="000636C2">
        <w:rPr>
          <w:rFonts w:hint="cs"/>
          <w:rtl/>
        </w:rPr>
        <w:t>:</w:t>
      </w:r>
      <w:r>
        <w:rPr>
          <w:rFonts w:hint="cs"/>
          <w:rtl/>
        </w:rPr>
        <w:t xml:space="preserve"> فنحن نرويها ونؤمن بها ولا نفسرها</w:t>
      </w:r>
      <w:r w:rsidR="000636C2">
        <w:rPr>
          <w:rFonts w:hint="cs"/>
          <w:rtl/>
        </w:rPr>
        <w:t>،</w:t>
      </w:r>
      <w:r>
        <w:rPr>
          <w:rFonts w:hint="cs"/>
          <w:rtl/>
        </w:rPr>
        <w:t xml:space="preserve"> وقولهم</w:t>
      </w:r>
      <w:r w:rsidR="000636C2">
        <w:rPr>
          <w:rFonts w:hint="cs"/>
          <w:rtl/>
        </w:rPr>
        <w:t>:</w:t>
      </w:r>
      <w:r>
        <w:rPr>
          <w:rFonts w:hint="cs"/>
          <w:rtl/>
        </w:rPr>
        <w:t xml:space="preserve"> كل شيء وصف الله به نفسه في القرآن فقراءته تفسيره لا كيف ولا مثل</w:t>
      </w:r>
      <w:r w:rsidR="000636C2">
        <w:rPr>
          <w:rFonts w:hint="cs"/>
          <w:rtl/>
        </w:rPr>
        <w:t>،</w:t>
      </w:r>
      <w:r>
        <w:rPr>
          <w:rFonts w:hint="cs"/>
          <w:rtl/>
        </w:rPr>
        <w:t xml:space="preserve"> وقولهم</w:t>
      </w:r>
      <w:r w:rsidR="000636C2">
        <w:rPr>
          <w:rFonts w:hint="cs"/>
          <w:rtl/>
        </w:rPr>
        <w:t>:</w:t>
      </w:r>
      <w:r>
        <w:rPr>
          <w:rFonts w:hint="cs"/>
          <w:rtl/>
        </w:rPr>
        <w:t xml:space="preserve"> فمن فسر اليوم شيئا من ذلك فقد خرج مما كان عليه النبي صلى الله عليه وسلم والجماعة فإنهم لم يصفوا ولم يفسروا</w:t>
      </w:r>
      <w:r w:rsidR="000636C2">
        <w:rPr>
          <w:rFonts w:hint="cs"/>
          <w:rtl/>
        </w:rPr>
        <w:t>،</w:t>
      </w:r>
      <w:r>
        <w:rPr>
          <w:rFonts w:hint="cs"/>
          <w:rtl/>
        </w:rPr>
        <w:t xml:space="preserve"> وقولهم</w:t>
      </w:r>
      <w:r w:rsidR="000636C2">
        <w:rPr>
          <w:rFonts w:hint="cs"/>
          <w:rtl/>
        </w:rPr>
        <w:t>:</w:t>
      </w:r>
      <w:r>
        <w:rPr>
          <w:rFonts w:hint="cs"/>
          <w:rtl/>
        </w:rPr>
        <w:t xml:space="preserve"> كل ما جاء في القرآن أو صح عن المصطفي عليه السلام من صفات الرحمن وجب الإيمان به وتلقيه بالتسليم والقبول وترك التعرض له</w:t>
      </w:r>
      <w:r w:rsidR="000636C2">
        <w:rPr>
          <w:rFonts w:hint="cs"/>
          <w:rtl/>
        </w:rPr>
        <w:t>،</w:t>
      </w:r>
      <w:r>
        <w:rPr>
          <w:rFonts w:hint="cs"/>
          <w:rtl/>
        </w:rPr>
        <w:t xml:space="preserve"> وقولهم</w:t>
      </w:r>
      <w:r w:rsidR="000636C2">
        <w:rPr>
          <w:rFonts w:hint="cs"/>
          <w:rtl/>
        </w:rPr>
        <w:t>:</w:t>
      </w:r>
      <w:r>
        <w:rPr>
          <w:rFonts w:hint="cs"/>
          <w:rtl/>
        </w:rPr>
        <w:t xml:space="preserve"> نحن نرويها ونؤمن بها ولا نفسرها</w:t>
      </w:r>
      <w:r w:rsidR="000636C2">
        <w:rPr>
          <w:rFonts w:hint="cs"/>
          <w:rtl/>
        </w:rPr>
        <w:t>،</w:t>
      </w:r>
      <w:r>
        <w:rPr>
          <w:rFonts w:hint="cs"/>
          <w:rtl/>
        </w:rPr>
        <w:t xml:space="preserve"> وقولهم</w:t>
      </w:r>
      <w:r w:rsidR="000636C2">
        <w:rPr>
          <w:rFonts w:hint="cs"/>
          <w:rtl/>
        </w:rPr>
        <w:t>:</w:t>
      </w:r>
      <w:r>
        <w:rPr>
          <w:rFonts w:hint="cs"/>
          <w:rtl/>
        </w:rPr>
        <w:t xml:space="preserve"> إذا سئلنا عن تفسيرها قلنا</w:t>
      </w:r>
      <w:r w:rsidR="000636C2">
        <w:rPr>
          <w:rFonts w:hint="cs"/>
          <w:rtl/>
        </w:rPr>
        <w:t>:</w:t>
      </w:r>
      <w:r>
        <w:rPr>
          <w:rFonts w:hint="cs"/>
          <w:rtl/>
        </w:rPr>
        <w:t xml:space="preserve"> ما أدركنا أحدا يفسر منها شيئا ونحن لا نفسر منها شيئا نصدق بها ونسكت</w:t>
      </w:r>
      <w:r w:rsidR="000636C2">
        <w:rPr>
          <w:rFonts w:hint="cs"/>
          <w:rtl/>
        </w:rPr>
        <w:t>،</w:t>
      </w:r>
      <w:r>
        <w:rPr>
          <w:rFonts w:hint="cs"/>
          <w:rtl/>
        </w:rPr>
        <w:t xml:space="preserve"> وقولهم</w:t>
      </w:r>
      <w:r w:rsidR="000636C2">
        <w:rPr>
          <w:rFonts w:hint="cs"/>
          <w:rtl/>
        </w:rPr>
        <w:t>:</w:t>
      </w:r>
      <w:r>
        <w:rPr>
          <w:rFonts w:hint="cs"/>
          <w:rtl/>
        </w:rPr>
        <w:t xml:space="preserve"> وما يعلم تأويله إلا الله</w:t>
      </w:r>
      <w:r w:rsidR="000636C2">
        <w:rPr>
          <w:rFonts w:hint="cs"/>
          <w:rtl/>
        </w:rPr>
        <w:t>،</w:t>
      </w:r>
      <w:r>
        <w:rPr>
          <w:rFonts w:hint="cs"/>
          <w:rtl/>
        </w:rPr>
        <w:t xml:space="preserve"> وقولهم</w:t>
      </w:r>
      <w:r w:rsidR="000636C2">
        <w:rPr>
          <w:rFonts w:hint="cs"/>
          <w:rtl/>
        </w:rPr>
        <w:t>:</w:t>
      </w:r>
      <w:r>
        <w:rPr>
          <w:rFonts w:hint="cs"/>
          <w:rtl/>
        </w:rPr>
        <w:t xml:space="preserve"> كان رسوخهم في العلم أن آمنوا</w:t>
      </w:r>
      <w:r w:rsidR="000636C2">
        <w:rPr>
          <w:rFonts w:hint="cs"/>
          <w:rtl/>
        </w:rPr>
        <w:t xml:space="preserve"> </w:t>
      </w:r>
      <w:r>
        <w:rPr>
          <w:rFonts w:hint="cs"/>
          <w:rtl/>
        </w:rPr>
        <w:t>بمتشابهه ولا يعلمونه</w:t>
      </w:r>
      <w:r w:rsidR="000636C2">
        <w:rPr>
          <w:rFonts w:hint="cs"/>
          <w:rtl/>
        </w:rPr>
        <w:t>،</w:t>
      </w:r>
      <w:r>
        <w:rPr>
          <w:rFonts w:hint="cs"/>
          <w:rtl/>
        </w:rPr>
        <w:t xml:space="preserve"> وقولهم</w:t>
      </w:r>
      <w:r w:rsidR="000636C2">
        <w:rPr>
          <w:rFonts w:hint="cs"/>
          <w:rtl/>
        </w:rPr>
        <w:t>:</w:t>
      </w:r>
      <w:r>
        <w:rPr>
          <w:rFonts w:hint="cs"/>
          <w:rtl/>
        </w:rPr>
        <w:t xml:space="preserve"> نكل علمه إلى الله</w:t>
      </w:r>
      <w:r w:rsidR="000636C2">
        <w:rPr>
          <w:rFonts w:hint="cs"/>
          <w:rtl/>
        </w:rPr>
        <w:t>،</w:t>
      </w:r>
      <w:r>
        <w:rPr>
          <w:rFonts w:hint="cs"/>
          <w:rtl/>
        </w:rPr>
        <w:t xml:space="preserve"> وقولهم</w:t>
      </w:r>
      <w:r w:rsidR="000636C2">
        <w:rPr>
          <w:rFonts w:hint="cs"/>
          <w:rtl/>
        </w:rPr>
        <w:t>:</w:t>
      </w:r>
      <w:r>
        <w:rPr>
          <w:rFonts w:hint="cs"/>
          <w:rtl/>
        </w:rPr>
        <w:t xml:space="preserve"> ونفوض علمه إلى الله</w:t>
      </w:r>
      <w:r w:rsidR="000636C2">
        <w:rPr>
          <w:rFonts w:hint="cs"/>
          <w:rtl/>
        </w:rPr>
        <w:t>،</w:t>
      </w:r>
      <w:r>
        <w:rPr>
          <w:rFonts w:hint="cs"/>
          <w:rtl/>
        </w:rPr>
        <w:t xml:space="preserve"> وقولهم</w:t>
      </w:r>
      <w:r w:rsidR="000636C2">
        <w:rPr>
          <w:rFonts w:hint="cs"/>
          <w:rtl/>
        </w:rPr>
        <w:t>:</w:t>
      </w:r>
      <w:r>
        <w:rPr>
          <w:rFonts w:hint="cs"/>
          <w:rtl/>
        </w:rPr>
        <w:t xml:space="preserve"> هذا من متشابه القرآن الذي نؤمن به ولا نتعرض لمعناه</w:t>
      </w:r>
      <w:r w:rsidR="000636C2">
        <w:rPr>
          <w:rFonts w:hint="cs"/>
          <w:rtl/>
        </w:rPr>
        <w:t>،</w:t>
      </w:r>
      <w:r>
        <w:rPr>
          <w:rFonts w:hint="cs"/>
          <w:rtl/>
        </w:rPr>
        <w:t xml:space="preserve"> وقولهم</w:t>
      </w:r>
      <w:r w:rsidR="000636C2">
        <w:rPr>
          <w:rFonts w:hint="cs"/>
          <w:rtl/>
        </w:rPr>
        <w:t>:</w:t>
      </w:r>
      <w:r>
        <w:rPr>
          <w:rFonts w:hint="cs"/>
          <w:rtl/>
        </w:rPr>
        <w:t xml:space="preserve"> هذا من المكتوم الذي لا يفسر</w:t>
      </w:r>
      <w:r w:rsidR="000636C2">
        <w:rPr>
          <w:rFonts w:hint="cs"/>
          <w:rtl/>
        </w:rPr>
        <w:t>،</w:t>
      </w:r>
      <w:r>
        <w:rPr>
          <w:rFonts w:hint="cs"/>
          <w:rtl/>
        </w:rPr>
        <w:t xml:space="preserve"> وقولهم</w:t>
      </w:r>
      <w:r w:rsidR="000636C2">
        <w:rPr>
          <w:rFonts w:hint="cs"/>
          <w:rtl/>
        </w:rPr>
        <w:t>:</w:t>
      </w:r>
      <w:r>
        <w:rPr>
          <w:rFonts w:hint="cs"/>
          <w:rtl/>
        </w:rPr>
        <w:t xml:space="preserve"> المذهب هو عدم الخوض في مثل هذا والسكوت عنه وتفويض علمه إلى الله تعالى</w:t>
      </w:r>
      <w:r w:rsidR="000636C2">
        <w:rPr>
          <w:rFonts w:hint="cs"/>
          <w:rtl/>
        </w:rPr>
        <w:t>،</w:t>
      </w:r>
      <w:r>
        <w:rPr>
          <w:rFonts w:hint="cs"/>
          <w:rtl/>
        </w:rPr>
        <w:t xml:space="preserve"> وقولهم</w:t>
      </w:r>
      <w:r w:rsidR="000636C2">
        <w:rPr>
          <w:rFonts w:hint="cs"/>
          <w:rtl/>
          <w:lang w:bidi="ar-KW"/>
        </w:rPr>
        <w:t>:</w:t>
      </w:r>
      <w:r>
        <w:rPr>
          <w:rFonts w:hint="cs"/>
          <w:rtl/>
        </w:rPr>
        <w:t>المذهب في هذا وأمثاله السكوت عن الخوض في معناه وتفويض علمه إلى الله تعالى</w:t>
      </w:r>
      <w:r w:rsidR="000636C2">
        <w:rPr>
          <w:rFonts w:hint="cs"/>
          <w:rtl/>
        </w:rPr>
        <w:t>،</w:t>
      </w:r>
      <w:r>
        <w:rPr>
          <w:rFonts w:hint="cs"/>
          <w:rtl/>
        </w:rPr>
        <w:t xml:space="preserve"> وقولهم</w:t>
      </w:r>
      <w:r w:rsidR="000636C2">
        <w:rPr>
          <w:rFonts w:hint="cs"/>
          <w:rtl/>
        </w:rPr>
        <w:t>:</w:t>
      </w:r>
      <w:r>
        <w:rPr>
          <w:rFonts w:hint="cs"/>
          <w:rtl/>
        </w:rPr>
        <w:t xml:space="preserve"> هذه الأحاديث ونحوها تروى كما جاءت ويفوض معناها إلى الله</w:t>
      </w:r>
      <w:r w:rsidR="000636C2">
        <w:rPr>
          <w:rFonts w:hint="cs"/>
          <w:rtl/>
        </w:rPr>
        <w:t>،</w:t>
      </w:r>
      <w:r>
        <w:rPr>
          <w:rFonts w:hint="cs"/>
          <w:rtl/>
        </w:rPr>
        <w:t xml:space="preserve"> وقولهم</w:t>
      </w:r>
      <w:r w:rsidR="000636C2">
        <w:rPr>
          <w:rFonts w:hint="cs"/>
          <w:rtl/>
        </w:rPr>
        <w:t>:</w:t>
      </w:r>
      <w:r>
        <w:rPr>
          <w:rFonts w:hint="cs"/>
          <w:rtl/>
        </w:rPr>
        <w:t xml:space="preserve"> حرام على العقول أن تمثل الله تعالى وعلى الأوهام أن تحد وعلى الظنون أن تقطع وعلى النفوس أن تفكر </w:t>
      </w:r>
      <w:r>
        <w:rPr>
          <w:rFonts w:hint="cs"/>
          <w:rtl/>
        </w:rPr>
        <w:lastRenderedPageBreak/>
        <w:t>وعلى الضمائر أن تعمق وعلى الخواطر أن تحيط</w:t>
      </w:r>
      <w:r w:rsidR="000636C2">
        <w:rPr>
          <w:rFonts w:hint="cs"/>
          <w:rtl/>
        </w:rPr>
        <w:t>،</w:t>
      </w:r>
      <w:r>
        <w:rPr>
          <w:rFonts w:hint="cs"/>
          <w:rtl/>
        </w:rPr>
        <w:t xml:space="preserve"> وقولهم</w:t>
      </w:r>
      <w:r w:rsidR="000636C2">
        <w:rPr>
          <w:rFonts w:hint="cs"/>
          <w:rtl/>
        </w:rPr>
        <w:t>:</w:t>
      </w:r>
      <w:r>
        <w:rPr>
          <w:rFonts w:hint="cs"/>
          <w:rtl/>
        </w:rPr>
        <w:t xml:space="preserve"> آمنت بالله وبما جاء عن الله وعلى مراد الله وآمنت برسول الله وبما جاء به رسول الله وعلى مراد رسول الله</w:t>
      </w:r>
      <w:r w:rsidR="000636C2">
        <w:rPr>
          <w:rFonts w:hint="cs"/>
          <w:rtl/>
        </w:rPr>
        <w:t>،</w:t>
      </w:r>
      <w:r>
        <w:rPr>
          <w:rFonts w:hint="cs"/>
          <w:rtl/>
        </w:rPr>
        <w:t xml:space="preserve"> وقولهم</w:t>
      </w:r>
      <w:r w:rsidR="000636C2">
        <w:rPr>
          <w:rFonts w:hint="cs"/>
          <w:rtl/>
        </w:rPr>
        <w:t>:</w:t>
      </w:r>
      <w:r>
        <w:rPr>
          <w:rFonts w:hint="cs"/>
          <w:rtl/>
        </w:rPr>
        <w:t xml:space="preserve"> نكل علمه إلى الله تعالى</w:t>
      </w:r>
      <w:r w:rsidR="000636C2">
        <w:rPr>
          <w:rFonts w:hint="cs"/>
          <w:rtl/>
        </w:rPr>
        <w:t>،</w:t>
      </w:r>
      <w:r>
        <w:rPr>
          <w:rFonts w:hint="cs"/>
          <w:rtl/>
        </w:rPr>
        <w:t xml:space="preserve"> وقولهم</w:t>
      </w:r>
      <w:r w:rsidR="000636C2">
        <w:rPr>
          <w:rFonts w:hint="cs"/>
          <w:rtl/>
        </w:rPr>
        <w:t>:</w:t>
      </w:r>
      <w:r>
        <w:rPr>
          <w:rFonts w:hint="cs"/>
          <w:rtl/>
        </w:rPr>
        <w:t xml:space="preserve"> والسؤال عنه بدعة</w:t>
      </w:r>
      <w:r w:rsidR="000636C2">
        <w:rPr>
          <w:rFonts w:hint="cs"/>
          <w:rtl/>
        </w:rPr>
        <w:t>،</w:t>
      </w:r>
      <w:r>
        <w:rPr>
          <w:rFonts w:hint="cs"/>
          <w:rtl/>
        </w:rPr>
        <w:t xml:space="preserve"> وقولهم</w:t>
      </w:r>
      <w:r w:rsidR="000636C2">
        <w:rPr>
          <w:rFonts w:hint="cs"/>
          <w:rtl/>
        </w:rPr>
        <w:t>:</w:t>
      </w:r>
      <w:r>
        <w:rPr>
          <w:rFonts w:hint="cs"/>
          <w:rtl/>
        </w:rPr>
        <w:t xml:space="preserve"> من تكلم في معناها فقد ابتدع</w:t>
      </w:r>
      <w:r w:rsidR="000636C2">
        <w:rPr>
          <w:rFonts w:hint="cs"/>
          <w:rtl/>
        </w:rPr>
        <w:t>،</w:t>
      </w:r>
      <w:r>
        <w:rPr>
          <w:rFonts w:hint="cs"/>
          <w:rtl/>
        </w:rPr>
        <w:t xml:space="preserve"> ومن هذه العبارات الممتلئة علماً وورعاً استدللنا على مدى حذر السلف من الخوض في المتشابه حذراً من قوله تعالى</w:t>
      </w:r>
      <w:r w:rsidR="000636C2">
        <w:rPr>
          <w:rFonts w:hint="cs"/>
          <w:rtl/>
        </w:rPr>
        <w:t>:</w:t>
      </w:r>
      <w:r>
        <w:rPr>
          <w:rFonts w:hint="cs"/>
          <w:rtl/>
        </w:rPr>
        <w:t xml:space="preserve"> </w:t>
      </w:r>
      <w:r w:rsidR="000636C2">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w:t>
      </w:r>
      <w:r w:rsidR="000636C2">
        <w:rPr>
          <w:rFonts w:hint="cs"/>
          <w:rtl/>
        </w:rPr>
        <w:t>}</w:t>
      </w:r>
      <w:r>
        <w:rPr>
          <w:rFonts w:hint="cs"/>
          <w:rtl/>
        </w:rPr>
        <w:t xml:space="preserve"> </w:t>
      </w:r>
      <w:r w:rsidR="000636C2">
        <w:rPr>
          <w:rFonts w:hint="cs"/>
          <w:rtl/>
        </w:rPr>
        <w:t>[</w:t>
      </w:r>
      <w:r>
        <w:rPr>
          <w:rFonts w:hint="cs"/>
          <w:rtl/>
        </w:rPr>
        <w:t>آل عمران</w:t>
      </w:r>
      <w:r w:rsidR="000636C2">
        <w:rPr>
          <w:rFonts w:hint="cs"/>
          <w:rtl/>
        </w:rPr>
        <w:t>:</w:t>
      </w:r>
      <w:r>
        <w:rPr>
          <w:rFonts w:hint="cs"/>
          <w:rtl/>
        </w:rPr>
        <w:t xml:space="preserve"> 7]</w:t>
      </w:r>
      <w:r w:rsidR="000636C2">
        <w:rPr>
          <w:rFonts w:hint="cs"/>
          <w:rtl/>
        </w:rPr>
        <w:t>،</w:t>
      </w:r>
      <w:r>
        <w:rPr>
          <w:rFonts w:hint="cs"/>
          <w:rtl/>
        </w:rPr>
        <w:t xml:space="preserve"> </w:t>
      </w:r>
      <w:r>
        <w:rPr>
          <w:rFonts w:hint="cs"/>
          <w:bCs/>
          <w:rtl/>
        </w:rPr>
        <w:t>ومن الأمثلة لمنهج السلف في متشابه الإضافات إلى الله</w:t>
      </w:r>
      <w:r w:rsidR="000636C2">
        <w:rPr>
          <w:rFonts w:hint="cs"/>
          <w:bCs/>
          <w:rtl/>
        </w:rPr>
        <w:t>:</w:t>
      </w:r>
      <w:r w:rsidR="000636C2">
        <w:rPr>
          <w:rFonts w:hint="cs"/>
          <w:rtl/>
        </w:rPr>
        <w:t xml:space="preserve"> </w:t>
      </w:r>
      <w:r w:rsidR="000636C2">
        <w:rPr>
          <w:rFonts w:hint="cs"/>
          <w:bCs/>
          <w:rtl/>
        </w:rPr>
        <w:t>(</w:t>
      </w:r>
      <w:r>
        <w:rPr>
          <w:rFonts w:hint="cs"/>
          <w:bCs/>
          <w:rtl/>
        </w:rPr>
        <w:t>1</w:t>
      </w:r>
      <w:r w:rsidR="000636C2">
        <w:rPr>
          <w:rFonts w:hint="cs"/>
          <w:bCs/>
          <w:rtl/>
        </w:rPr>
        <w:t>)</w:t>
      </w:r>
      <w:r>
        <w:rPr>
          <w:rFonts w:hint="cs"/>
          <w:bCs/>
          <w:rtl/>
        </w:rPr>
        <w:t xml:space="preserve"> الأئمة مالك بن أنس وسفيان بن عيينة، وعبد الله بن المبارك ومذهب السلف</w:t>
      </w:r>
      <w:r w:rsidR="000636C2">
        <w:rPr>
          <w:rFonts w:hint="cs"/>
          <w:bCs/>
          <w:rtl/>
        </w:rPr>
        <w:t>:</w:t>
      </w:r>
      <w:r>
        <w:rPr>
          <w:rFonts w:hint="cs"/>
          <w:rtl/>
        </w:rPr>
        <w:t xml:space="preserve"> قال الإمام الترمذي رحمه الله في السنن</w:t>
      </w:r>
      <w:r w:rsidR="000636C2">
        <w:rPr>
          <w:rFonts w:hint="cs"/>
          <w:rtl/>
        </w:rPr>
        <w:t>:</w:t>
      </w:r>
      <w:r>
        <w:rPr>
          <w:rFonts w:hint="cs"/>
          <w:rtl/>
        </w:rPr>
        <w:t xml:space="preserve"> " قد قال غير واحد من أهل العلم في هذه الروايات من الصفات ونزول الرب تبارك وتعالى كل ليلة إلى السماء الدنيا، فإنهم قالوا: قد ثبتت الروايات في هذا ونؤمن بها ولا نتوهم، ولا يقال كيف هكذا روي عن مالك بن أنس وسفيان بن عيينة، وعبد الله بن المبارك، أنهم قالوا في هذه الأحاديث أمرُّوها بلا كيف وهذا قول أهل العلم من أهل السنة والجماعة "</w:t>
      </w:r>
      <w:r w:rsidR="000636C2">
        <w:rPr>
          <w:rFonts w:hint="cs"/>
          <w:rtl/>
        </w:rPr>
        <w:t>[</w:t>
      </w:r>
      <w:r>
        <w:rPr>
          <w:rFonts w:hint="cs"/>
          <w:rtl/>
        </w:rPr>
        <w:t xml:space="preserve">سنن الترمذي – كتاب الزكاة </w:t>
      </w:r>
      <w:r w:rsidR="000636C2">
        <w:rPr>
          <w:rFonts w:hint="cs"/>
          <w:rtl/>
        </w:rPr>
        <w:t>(</w:t>
      </w:r>
      <w:r>
        <w:rPr>
          <w:rFonts w:hint="cs"/>
          <w:rtl/>
        </w:rPr>
        <w:t>3/24</w:t>
      </w:r>
      <w:r w:rsidR="000636C2">
        <w:rPr>
          <w:rFonts w:hint="cs"/>
          <w:rtl/>
        </w:rPr>
        <w:t>)</w:t>
      </w:r>
      <w:r>
        <w:rPr>
          <w:rFonts w:hint="cs"/>
          <w:rtl/>
        </w:rPr>
        <w:t>] أهـ</w:t>
      </w:r>
      <w:r w:rsidR="000636C2">
        <w:rPr>
          <w:rFonts w:hint="cs"/>
          <w:rtl/>
        </w:rPr>
        <w:t xml:space="preserve">، </w:t>
      </w:r>
      <w:r w:rsidR="000636C2">
        <w:rPr>
          <w:rFonts w:hint="cs"/>
          <w:bCs/>
          <w:rtl/>
        </w:rPr>
        <w:t>(</w:t>
      </w:r>
      <w:r>
        <w:rPr>
          <w:rFonts w:hint="cs"/>
          <w:bCs/>
          <w:rtl/>
        </w:rPr>
        <w:t>2</w:t>
      </w:r>
      <w:r w:rsidR="000636C2">
        <w:rPr>
          <w:rFonts w:hint="cs"/>
          <w:bCs/>
          <w:rtl/>
        </w:rPr>
        <w:t>)</w:t>
      </w:r>
      <w:r>
        <w:rPr>
          <w:rFonts w:hint="cs"/>
          <w:bCs/>
          <w:rtl/>
        </w:rPr>
        <w:t xml:space="preserve"> الأئمة الأوزاعي ومالك بن أنس وسفيان الثوري والليث بن سعد ووكيع واسماعيل بن أبى خالد وسفيان بن عيينة وسليمان ومذهب السلف</w:t>
      </w:r>
      <w:r w:rsidR="000636C2">
        <w:rPr>
          <w:rFonts w:hint="cs"/>
          <w:bCs/>
          <w:rtl/>
        </w:rPr>
        <w:t>،</w:t>
      </w:r>
      <w:r>
        <w:rPr>
          <w:rFonts w:hint="cs"/>
          <w:bCs/>
          <w:rtl/>
        </w:rPr>
        <w:t xml:space="preserve"> </w:t>
      </w:r>
      <w:r>
        <w:rPr>
          <w:rFonts w:hint="cs"/>
          <w:rtl/>
        </w:rPr>
        <w:t>جاء في كتاب الصفات للإمام علي بن عمر الدارقطني</w:t>
      </w:r>
      <w:r w:rsidR="000636C2">
        <w:rPr>
          <w:rFonts w:hint="cs"/>
          <w:rtl/>
        </w:rPr>
        <w:t>:</w:t>
      </w:r>
      <w:r>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w:t>
      </w:r>
      <w:r>
        <w:rPr>
          <w:rFonts w:hint="cs"/>
          <w:bCs/>
          <w:rtl/>
        </w:rPr>
        <w:t>فقال وكيع أدركنا اسماعيل بن أبى خالد وسفيان وسليمان يحدثون بهذه الأحاديث ولا يفسرون شيئا</w:t>
      </w:r>
      <w:r w:rsidR="000636C2">
        <w:rPr>
          <w:rFonts w:hint="cs"/>
          <w:rtl/>
        </w:rPr>
        <w:t xml:space="preserve"> </w:t>
      </w:r>
      <w:r>
        <w:rPr>
          <w:rFonts w:hint="cs"/>
          <w:rtl/>
        </w:rPr>
        <w:t xml:space="preserve">.. حدثنا محمد بن مخلد حدثنا عيسى بن اسحاق بن موسى الأنصاري أبو العباس قال سمعت أبى يقول </w:t>
      </w:r>
      <w:r>
        <w:rPr>
          <w:rFonts w:hint="cs"/>
          <w:bCs/>
          <w:rtl/>
        </w:rPr>
        <w:t>سمعت سفيان بن عيينة يقول كل ما وصف الله به نفسه فى القرآن فقراءته تفسيره لا كيف ولا مثل</w:t>
      </w:r>
      <w:r w:rsidR="000636C2">
        <w:rPr>
          <w:rFonts w:hint="cs"/>
          <w:rtl/>
        </w:rPr>
        <w:t>،</w:t>
      </w:r>
      <w:r>
        <w:rPr>
          <w:rFonts w:hint="cs"/>
          <w:rtl/>
        </w:rPr>
        <w:t xml:space="preserve"> حدثنا محمد بن مخلد حدثنا اسحاق بن يعقوب العطار قال سمعت أحمد بن الدورقى يقول </w:t>
      </w:r>
      <w:r>
        <w:rPr>
          <w:rFonts w:hint="cs"/>
          <w:bCs/>
          <w:rtl/>
        </w:rPr>
        <w:t>سمعت وكيعا يقول نسلم هذه الأحاديث كما جاءت ولا نقول كيف هذا ولم جاء هذا</w:t>
      </w:r>
      <w:r w:rsidR="000636C2">
        <w:rPr>
          <w:rFonts w:hint="cs"/>
          <w:rtl/>
        </w:rPr>
        <w:t xml:space="preserve">، </w:t>
      </w:r>
      <w:r>
        <w:rPr>
          <w:rFonts w:hint="cs"/>
          <w:rtl/>
        </w:rPr>
        <w:t>حدثنا محمد بن مخلد حدثنا أبو العباس اسحاق ابن يعقوب قال سمعت أحمد بن الدورقى يقول حدثنى أحمد بن نصر رحمه الله قال سمعت سفيان بن عيينة وأنا فى منزله بعد العتمة فجعلت ألح عليه فى المسألة فقال دعنى أتنفس فقلت له يا أبا محمد إنى أريد أن أسألك عن شىء فقال لا تسأل فقلت لا بد من أن أسألك إذا لم أسألك فمن أسأل فقال هات سل فقلت كيف حديث عبيدة عن عبد الله عن النبى</w:t>
      </w:r>
      <w:r w:rsidR="000636C2">
        <w:rPr>
          <w:rFonts w:hint="cs"/>
          <w:rtl/>
        </w:rPr>
        <w:t xml:space="preserve"> </w:t>
      </w:r>
      <w:r>
        <w:rPr>
          <w:rFonts w:hint="cs"/>
          <w:rtl/>
        </w:rPr>
        <w:t xml:space="preserve">صلى الله عليه وسلم إن الله عز وجل يحمل السماوات على أصبع والأرضين على </w:t>
      </w:r>
      <w:r>
        <w:rPr>
          <w:rFonts w:hint="cs"/>
          <w:rtl/>
        </w:rPr>
        <w:lastRenderedPageBreak/>
        <w:t>أصبع</w:t>
      </w:r>
      <w:r w:rsidR="000636C2">
        <w:rPr>
          <w:rFonts w:hint="cs"/>
          <w:rtl/>
        </w:rPr>
        <w:t xml:space="preserve"> </w:t>
      </w:r>
      <w:r>
        <w:rPr>
          <w:rFonts w:hint="cs"/>
          <w:rtl/>
        </w:rPr>
        <w:t>وحديث إن قلوب بنى آدم بين أصبعين من أصابع الرحمن</w:t>
      </w:r>
      <w:r w:rsidR="000636C2">
        <w:rPr>
          <w:rFonts w:hint="cs"/>
          <w:rtl/>
        </w:rPr>
        <w:t xml:space="preserve"> </w:t>
      </w:r>
      <w:r>
        <w:rPr>
          <w:rFonts w:hint="cs"/>
          <w:rtl/>
        </w:rPr>
        <w:t xml:space="preserve">وحديث إن الله عز وجل يعجب ويضجك ممن يذكره فى الآفاق </w:t>
      </w:r>
      <w:r>
        <w:rPr>
          <w:rFonts w:hint="cs"/>
          <w:bCs/>
          <w:rtl/>
        </w:rPr>
        <w:t>فقال سفيان هى كما جاءت نقر بها ونحدث بها بلا كيف</w:t>
      </w:r>
      <w:r>
        <w:rPr>
          <w:rFonts w:hint="cs"/>
          <w:rtl/>
        </w:rPr>
        <w:t xml:space="preserve"> ... حدثنا محمد بن مخلد حدثنا أحمد بن سعد أبو إبراهيم الزبيرى حدثنا الهيثم بن خارجة حدثنا الوليد بن مسلم </w:t>
      </w:r>
      <w:r>
        <w:rPr>
          <w:rFonts w:hint="cs"/>
          <w:bCs/>
          <w:rtl/>
        </w:rPr>
        <w:t>قال سألت الأوزاعى ومالك بن أنس وسفيان الثورى والليث بن سعد عن هذه الأحاديث التى فيها الرؤية وغير ذلك فقالوا أمضها بلا كيف</w:t>
      </w:r>
      <w:r>
        <w:rPr>
          <w:rFonts w:hint="cs"/>
          <w:rtl/>
        </w:rPr>
        <w:t xml:space="preserve"> "</w:t>
      </w:r>
      <w:r w:rsidR="000636C2">
        <w:rPr>
          <w:rFonts w:hint="cs"/>
          <w:rtl/>
        </w:rPr>
        <w:t xml:space="preserve"> </w:t>
      </w:r>
      <w:r>
        <w:rPr>
          <w:rFonts w:hint="cs"/>
          <w:rtl/>
        </w:rPr>
        <w:t>[الصفات ج: 1 ص:41- 44] أهـ</w:t>
      </w:r>
      <w:r w:rsidR="000636C2">
        <w:rPr>
          <w:rFonts w:hint="cs"/>
          <w:rtl/>
        </w:rPr>
        <w:t xml:space="preserve">، </w:t>
      </w:r>
      <w:r w:rsidR="000636C2">
        <w:rPr>
          <w:rFonts w:hint="cs"/>
          <w:bCs/>
          <w:rtl/>
        </w:rPr>
        <w:t>(</w:t>
      </w:r>
      <w:r>
        <w:rPr>
          <w:rFonts w:hint="cs"/>
          <w:bCs/>
          <w:rtl/>
        </w:rPr>
        <w:t>3</w:t>
      </w:r>
      <w:r w:rsidR="000636C2">
        <w:rPr>
          <w:rFonts w:hint="cs"/>
          <w:bCs/>
          <w:rtl/>
        </w:rPr>
        <w:t>)</w:t>
      </w:r>
      <w:r>
        <w:rPr>
          <w:rFonts w:hint="cs"/>
          <w:bCs/>
          <w:rtl/>
        </w:rPr>
        <w:t xml:space="preserve"> الأئمة محمد بن الحسن و الزهري ومكحول و أحمد بن حنبل</w:t>
      </w:r>
      <w:r w:rsidR="000636C2">
        <w:rPr>
          <w:rFonts w:hint="cs"/>
          <w:bCs/>
          <w:rtl/>
        </w:rPr>
        <w:t>،</w:t>
      </w:r>
      <w:r>
        <w:rPr>
          <w:rFonts w:hint="cs"/>
          <w:bCs/>
          <w:rtl/>
        </w:rPr>
        <w:t xml:space="preserve"> و أبو عبيد بن سلام و اتفاق الفقهاء كلهم قبل محمد بن الحسن على مذهب السلف</w:t>
      </w:r>
      <w:r w:rsidR="000636C2">
        <w:rPr>
          <w:rFonts w:hint="cs"/>
          <w:bCs/>
          <w:rtl/>
        </w:rPr>
        <w:t>:</w:t>
      </w:r>
      <w:r>
        <w:rPr>
          <w:rFonts w:hint="cs"/>
          <w:bCs/>
          <w:rtl/>
        </w:rPr>
        <w:t xml:space="preserve"> جاء في كتاب اعتقاد أهل السنة للحافظ هبة الله بن الحسن بن منصور اللالكائي</w:t>
      </w:r>
      <w:r w:rsidR="000636C2">
        <w:rPr>
          <w:rFonts w:hint="cs"/>
          <w:rtl/>
        </w:rPr>
        <w:t>:</w:t>
      </w:r>
      <w:r>
        <w:rPr>
          <w:rFonts w:hint="cs"/>
          <w:rtl/>
        </w:rPr>
        <w:t xml:space="preserve">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حكيم</w:t>
      </w:r>
      <w:r w:rsidR="000636C2">
        <w:rPr>
          <w:rFonts w:hint="cs"/>
          <w:rtl/>
        </w:rPr>
        <w:t xml:space="preserve"> </w:t>
      </w:r>
      <w:r>
        <w:rPr>
          <w:rFonts w:hint="cs"/>
          <w:bCs/>
          <w:rtl/>
        </w:rPr>
        <w:t>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Pr>
          <w:rFonts w:hint="cs"/>
          <w:rtl/>
        </w:rPr>
        <w:t xml:space="preserve"> " [اعتقاد أهل السنة ج 3 ص 433] أهـ</w:t>
      </w:r>
      <w:r w:rsidR="000636C2">
        <w:rPr>
          <w:rFonts w:hint="cs"/>
          <w:bCs/>
          <w:rtl/>
        </w:rPr>
        <w:t>،</w:t>
      </w:r>
      <w:r>
        <w:rPr>
          <w:rFonts w:hint="cs"/>
          <w:bCs/>
          <w:rtl/>
        </w:rPr>
        <w:t xml:space="preserve"> وجاء فيه أيضا</w:t>
      </w:r>
      <w:r w:rsidR="000636C2">
        <w:rPr>
          <w:rFonts w:hint="cs"/>
          <w:bCs/>
          <w:rtl/>
        </w:rPr>
        <w:t>:</w:t>
      </w:r>
      <w:r>
        <w:rPr>
          <w:rFonts w:hint="cs"/>
          <w:bCs/>
          <w:rtl/>
        </w:rPr>
        <w:t xml:space="preserve"> "</w:t>
      </w:r>
      <w:r>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Pr>
          <w:rFonts w:hint="cs"/>
          <w:bCs/>
          <w:rtl/>
        </w:rPr>
        <w:t>كان الزهري ومكحول يقولان أمروا الأحاديث كما جاءت</w:t>
      </w:r>
      <w:r w:rsidR="000636C2">
        <w:rPr>
          <w:rFonts w:hint="cs"/>
          <w:rtl/>
        </w:rPr>
        <w:t>،</w:t>
      </w:r>
      <w:r>
        <w:rPr>
          <w:rFonts w:hint="cs"/>
          <w:rtl/>
        </w:rPr>
        <w:t xml:space="preserve"> أخبرنا محمد بن رزق الله قال أخبرنا بن عثمان قال نا عيسى بن موسى بن إسحاق الأنصاري قال سمعت أبي يقول</w:t>
      </w:r>
      <w:r w:rsidR="000636C2">
        <w:rPr>
          <w:rFonts w:hint="cs"/>
          <w:rtl/>
        </w:rPr>
        <w:t>:</w:t>
      </w:r>
      <w:r>
        <w:rPr>
          <w:rFonts w:hint="cs"/>
          <w:rtl/>
        </w:rPr>
        <w:t xml:space="preserve"> </w:t>
      </w:r>
      <w:r>
        <w:rPr>
          <w:rFonts w:hint="cs"/>
          <w:bCs/>
          <w:rtl/>
        </w:rPr>
        <w:t>سمعت سفيان بن عيينة يقول كل شيء وصف الله به نفسه في القرآن فقراءته تفسيره لا كيف ولا مثل</w:t>
      </w:r>
      <w:r w:rsidR="000636C2">
        <w:rPr>
          <w:rFonts w:hint="cs"/>
          <w:rtl/>
        </w:rPr>
        <w:t>)</w:t>
      </w:r>
      <w:r>
        <w:rPr>
          <w:rFonts w:hint="cs"/>
          <w:rtl/>
        </w:rPr>
        <w:t>) [اعتقاد أهل السنة ج: 3 ص: 431] أهـ</w:t>
      </w:r>
      <w:r w:rsidR="000636C2">
        <w:rPr>
          <w:rFonts w:hint="cs"/>
          <w:rtl/>
        </w:rPr>
        <w:t xml:space="preserve">، </w:t>
      </w:r>
      <w:r>
        <w:rPr>
          <w:rFonts w:hint="cs"/>
          <w:bCs/>
          <w:rtl/>
        </w:rPr>
        <w:t>وجاء فيه أيضا</w:t>
      </w:r>
      <w:r w:rsidR="000636C2">
        <w:rPr>
          <w:rFonts w:hint="cs"/>
          <w:bCs/>
          <w:rtl/>
        </w:rPr>
        <w:t>:</w:t>
      </w:r>
      <w:r>
        <w:rPr>
          <w:rFonts w:hint="cs"/>
          <w:bCs/>
          <w:rtl/>
        </w:rPr>
        <w:t xml:space="preserve"> "</w:t>
      </w:r>
      <w:r w:rsidR="000636C2">
        <w:rPr>
          <w:rFonts w:hint="cs"/>
          <w:bCs/>
          <w:rtl/>
        </w:rPr>
        <w:t xml:space="preserve"> </w:t>
      </w:r>
      <w:r>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sidR="000636C2">
        <w:rPr>
          <w:rFonts w:hint="cs"/>
          <w:rtl/>
        </w:rPr>
        <w:t>،</w:t>
      </w:r>
      <w:r>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sidR="000636C2">
        <w:rPr>
          <w:rFonts w:hint="cs"/>
          <w:rtl/>
        </w:rPr>
        <w:t>،</w:t>
      </w:r>
      <w:r>
        <w:rPr>
          <w:rFonts w:hint="cs"/>
          <w:rtl/>
        </w:rPr>
        <w:t xml:space="preserve"> </w:t>
      </w:r>
      <w:r>
        <w:rPr>
          <w:rFonts w:hint="cs"/>
          <w:bCs/>
          <w:rtl/>
        </w:rPr>
        <w:t>فقال لي اسكت عن هذا مالك ولهذا امض الحديث على ما روي</w:t>
      </w:r>
      <w:r w:rsidR="000636C2">
        <w:rPr>
          <w:rFonts w:hint="cs"/>
          <w:bCs/>
          <w:rtl/>
        </w:rPr>
        <w:t xml:space="preserve"> </w:t>
      </w:r>
      <w:r>
        <w:rPr>
          <w:rFonts w:hint="cs"/>
          <w:bCs/>
          <w:rtl/>
        </w:rPr>
        <w:t>بلا كيف</w:t>
      </w:r>
      <w:r w:rsidR="000636C2">
        <w:rPr>
          <w:rFonts w:hint="cs"/>
          <w:bCs/>
          <w:rtl/>
        </w:rPr>
        <w:t xml:space="preserve"> </w:t>
      </w:r>
      <w:r>
        <w:rPr>
          <w:rFonts w:hint="cs"/>
          <w:bCs/>
          <w:rtl/>
        </w:rPr>
        <w:t>ولاحد</w:t>
      </w:r>
      <w:r w:rsidR="000636C2">
        <w:rPr>
          <w:rFonts w:hint="cs"/>
          <w:bCs/>
          <w:rtl/>
        </w:rPr>
        <w:t xml:space="preserve"> </w:t>
      </w:r>
      <w:r>
        <w:rPr>
          <w:rFonts w:hint="cs"/>
          <w:bCs/>
          <w:rtl/>
        </w:rPr>
        <w:t>قال الله عز وجل ولا تضربوا لله الأمثال</w:t>
      </w:r>
      <w:r w:rsidR="000636C2">
        <w:rPr>
          <w:rFonts w:hint="cs"/>
          <w:bCs/>
          <w:rtl/>
        </w:rPr>
        <w:t>،</w:t>
      </w:r>
      <w:r>
        <w:rPr>
          <w:rFonts w:hint="cs"/>
          <w:bCs/>
          <w:rtl/>
        </w:rPr>
        <w:t xml:space="preserve"> ينزل كيف يشاء بعلمه وقدرته وعظمته أحاط بكل شيء علما لا يبلغ قدره واصف ولا ينأى عنه هرب هارب</w:t>
      </w:r>
      <w:r>
        <w:rPr>
          <w:rFonts w:hint="cs"/>
          <w:rtl/>
        </w:rPr>
        <w:t xml:space="preserve"> "</w:t>
      </w:r>
      <w:r w:rsidR="000636C2">
        <w:rPr>
          <w:rFonts w:hint="cs"/>
          <w:rtl/>
        </w:rPr>
        <w:t xml:space="preserve"> </w:t>
      </w:r>
      <w:r>
        <w:rPr>
          <w:rFonts w:hint="cs"/>
          <w:rtl/>
        </w:rPr>
        <w:t>[اعتقاد أهل السنة ج 3 ص 453] أهـ</w:t>
      </w:r>
      <w:r w:rsidR="000636C2">
        <w:rPr>
          <w:rFonts w:hint="cs"/>
          <w:rtl/>
        </w:rPr>
        <w:t xml:space="preserve">، </w:t>
      </w:r>
      <w:r>
        <w:rPr>
          <w:rFonts w:hint="cs"/>
          <w:bCs/>
          <w:rtl/>
        </w:rPr>
        <w:t>وجاء فيه أيضا</w:t>
      </w:r>
      <w:r w:rsidR="000636C2">
        <w:rPr>
          <w:rFonts w:hint="cs"/>
          <w:bCs/>
          <w:rtl/>
        </w:rPr>
        <w:t>:</w:t>
      </w:r>
      <w:r>
        <w:rPr>
          <w:rFonts w:hint="cs"/>
          <w:bCs/>
          <w:rtl/>
        </w:rPr>
        <w:t xml:space="preserve"> </w:t>
      </w:r>
      <w:r>
        <w:rPr>
          <w:rFonts w:hint="cs"/>
          <w:rtl/>
        </w:rPr>
        <w:t>سمعت أبا محمد الحسن بن عثمان بن جابر يقول سمعت أبا نصر أحمد بن يعقوب بن زاذان قال</w:t>
      </w:r>
      <w:r w:rsidR="000636C2">
        <w:rPr>
          <w:rFonts w:hint="cs"/>
          <w:rtl/>
        </w:rPr>
        <w:t>:</w:t>
      </w:r>
      <w:r>
        <w:rPr>
          <w:rFonts w:hint="cs"/>
          <w:rtl/>
        </w:rPr>
        <w:t xml:space="preserve"> بلغني أن أحمد بن حنبل قرأ عليه رجل وما قدروا الله حق قدره </w:t>
      </w:r>
      <w:r>
        <w:rPr>
          <w:rFonts w:hint="cs"/>
          <w:rtl/>
        </w:rPr>
        <w:lastRenderedPageBreak/>
        <w:t>والأرض جميعا قبضته يوم القيامة والسموات مطويات بيمينه قال ثم أومأ بيده</w:t>
      </w:r>
      <w:r w:rsidR="000636C2">
        <w:rPr>
          <w:rFonts w:hint="cs"/>
          <w:rtl/>
        </w:rPr>
        <w:t>،</w:t>
      </w:r>
      <w:r>
        <w:rPr>
          <w:rFonts w:hint="cs"/>
          <w:rtl/>
        </w:rPr>
        <w:t xml:space="preserve"> </w:t>
      </w:r>
      <w:r>
        <w:rPr>
          <w:rFonts w:hint="cs"/>
          <w:bCs/>
          <w:rtl/>
        </w:rPr>
        <w:t>فقال له أحمد قطعها الله قطعها الله قطعها الله ثم حرد وقام</w:t>
      </w:r>
      <w:r w:rsidR="000636C2">
        <w:rPr>
          <w:rFonts w:hint="cs"/>
          <w:rtl/>
        </w:rPr>
        <w:t>،</w:t>
      </w:r>
      <w:r>
        <w:rPr>
          <w:rFonts w:hint="cs"/>
          <w:rtl/>
        </w:rPr>
        <w:t xml:space="preserve"> أخبرنا أحمد بن محمد بن حفص قال ثنا محمد بن أحمد بن سلمة قال ثنا أبو محمد سهل بن عثمان بن سعيد بن حكيم السلمي قال سمعت أبا إسحاق إبراهيم بن المهدي بن يونس يقول سمعت أبا سليمان داود بن طلحة سمعت عبد الله بن أبي حنيفة الدوسي يقول</w:t>
      </w:r>
      <w:r w:rsidR="000636C2">
        <w:rPr>
          <w:rFonts w:hint="cs"/>
          <w:rtl/>
        </w:rPr>
        <w:t xml:space="preserve"> </w:t>
      </w:r>
      <w:r>
        <w:rPr>
          <w:rFonts w:hint="cs"/>
          <w:bCs/>
          <w:rtl/>
        </w:rPr>
        <w:t>سمعت محمد بن الحسن يقول اتفق الفقهاء كلهم من المشرق إلى المغرب على الإيمان بالقرآن والأحاديث التي جاء بها الثقات عن رسول الله صلى الله عليه وسلم في صفة الرب عز وجل من غير تغيير ولا وصف ولا تشبيه</w:t>
      </w:r>
      <w:r w:rsidR="000636C2">
        <w:rPr>
          <w:rFonts w:hint="cs"/>
          <w:bCs/>
          <w:rtl/>
        </w:rPr>
        <w:t>،</w:t>
      </w:r>
      <w:r>
        <w:rPr>
          <w:rFonts w:hint="cs"/>
          <w:bCs/>
          <w:rtl/>
        </w:rPr>
        <w:t xml:space="preserve"> فمن فسر اليوم شيئا من ذلك فقد خرج مما كان عليه النبي صلى الله عليه وسلم والجماعة فإنهم لم يصفوا ولم يفسروا ولكن أفتوا بما في الكتاب والسنة ثم سكتوا</w:t>
      </w:r>
      <w:r w:rsidR="000636C2">
        <w:rPr>
          <w:rFonts w:hint="cs"/>
          <w:bCs/>
          <w:rtl/>
        </w:rPr>
        <w:t>،</w:t>
      </w:r>
      <w:r>
        <w:rPr>
          <w:rFonts w:hint="cs"/>
          <w:bCs/>
          <w:rtl/>
        </w:rPr>
        <w:t xml:space="preserve"> وكل ما جاء في القرآن أو صح عن المصطفى عليه السلام من صفات الرحمن وجب الإيمان به وتلقيه بالتسليم والقبول وترك التعرض له</w:t>
      </w:r>
      <w:r>
        <w:rPr>
          <w:rFonts w:hint="cs"/>
          <w:rtl/>
        </w:rPr>
        <w:t xml:space="preserve"> "</w:t>
      </w:r>
      <w:r w:rsidR="000636C2">
        <w:rPr>
          <w:rFonts w:hint="cs"/>
          <w:rtl/>
        </w:rPr>
        <w:t>[</w:t>
      </w:r>
      <w:r>
        <w:rPr>
          <w:rFonts w:hint="cs"/>
          <w:rtl/>
        </w:rPr>
        <w:t>اعتقاد أهل السنة ج: 3 ص: 432] أهـ</w:t>
      </w:r>
      <w:r w:rsidR="000636C2">
        <w:rPr>
          <w:rFonts w:hint="cs"/>
          <w:rtl/>
        </w:rPr>
        <w:t>،</w:t>
      </w:r>
      <w:r>
        <w:rPr>
          <w:rFonts w:hint="cs"/>
          <w:rtl/>
        </w:rPr>
        <w:t xml:space="preserve"> </w:t>
      </w:r>
      <w:r>
        <w:rPr>
          <w:rFonts w:hint="cs"/>
          <w:bCs/>
          <w:rtl/>
        </w:rPr>
        <w:t>وجاء فيه أيضا</w:t>
      </w:r>
      <w:r w:rsidR="000636C2">
        <w:rPr>
          <w:rFonts w:hint="cs"/>
          <w:bCs/>
          <w:rtl/>
        </w:rPr>
        <w:t>:</w:t>
      </w:r>
      <w:r>
        <w:rPr>
          <w:rFonts w:hint="cs"/>
          <w:rtl/>
        </w:rPr>
        <w:t xml:space="preserve"> "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w:t>
      </w:r>
      <w:r>
        <w:rPr>
          <w:rFonts w:hint="cs"/>
          <w:bCs/>
          <w:rtl/>
        </w:rPr>
        <w:t>حكيم</w:t>
      </w:r>
      <w:r w:rsidR="000636C2">
        <w:rPr>
          <w:rFonts w:hint="cs"/>
          <w:bCs/>
          <w:rtl/>
        </w:rPr>
        <w:t>،</w:t>
      </w:r>
      <w:r>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Pr>
          <w:rFonts w:hint="cs"/>
          <w:rtl/>
        </w:rPr>
        <w:t xml:space="preserve"> " [اعتقاد أهل السنة ج: 3 ص: 433] أهـ</w:t>
      </w:r>
      <w:r w:rsidR="000636C2">
        <w:rPr>
          <w:rFonts w:hint="cs"/>
          <w:rtl/>
        </w:rPr>
        <w:t>،</w:t>
      </w:r>
      <w:r>
        <w:rPr>
          <w:rFonts w:hint="cs"/>
          <w:rtl/>
        </w:rPr>
        <w:t xml:space="preserve"> </w:t>
      </w:r>
      <w:r>
        <w:rPr>
          <w:rFonts w:hint="cs"/>
          <w:bCs/>
          <w:rtl/>
        </w:rPr>
        <w:t>وجاء فيه أيضا</w:t>
      </w:r>
      <w:r w:rsidR="000636C2">
        <w:rPr>
          <w:rFonts w:hint="cs"/>
          <w:bCs/>
          <w:rtl/>
        </w:rPr>
        <w:t>:</w:t>
      </w:r>
      <w:r>
        <w:rPr>
          <w:rFonts w:hint="cs"/>
          <w:rtl/>
        </w:rPr>
        <w:t xml:space="preserve"> "</w:t>
      </w:r>
      <w:r w:rsidR="000636C2">
        <w:rPr>
          <w:rFonts w:hint="cs"/>
          <w:rtl/>
        </w:rPr>
        <w:t xml:space="preserve"> </w:t>
      </w:r>
      <w:r>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sidR="000636C2">
        <w:rPr>
          <w:rFonts w:hint="cs"/>
          <w:rtl/>
        </w:rPr>
        <w:t>:</w:t>
      </w:r>
      <w:r>
        <w:rPr>
          <w:rFonts w:hint="cs"/>
          <w:rtl/>
        </w:rPr>
        <w:t xml:space="preserve"> </w:t>
      </w:r>
      <w:r>
        <w:rPr>
          <w:rFonts w:hint="cs"/>
          <w:bCs/>
          <w:rtl/>
        </w:rPr>
        <w:t>سألت الأوزاعي وسفيان الثوري ومالك بن أنس والليث بن سعد عن هذه الأحاديث التي فيها الرؤية فقالوا</w:t>
      </w:r>
      <w:r w:rsidR="000636C2">
        <w:rPr>
          <w:rFonts w:hint="cs"/>
          <w:bCs/>
          <w:rtl/>
        </w:rPr>
        <w:t>:</w:t>
      </w:r>
      <w:r>
        <w:rPr>
          <w:rFonts w:hint="cs"/>
          <w:bCs/>
          <w:rtl/>
        </w:rPr>
        <w:t xml:space="preserve"> أمروها</w:t>
      </w:r>
      <w:r w:rsidR="000636C2">
        <w:rPr>
          <w:rFonts w:hint="cs"/>
          <w:bCs/>
          <w:rtl/>
        </w:rPr>
        <w:t xml:space="preserve"> </w:t>
      </w:r>
      <w:r>
        <w:rPr>
          <w:rFonts w:hint="cs"/>
          <w:bCs/>
          <w:rtl/>
        </w:rPr>
        <w:t>بلا كيف</w:t>
      </w:r>
      <w:r>
        <w:rPr>
          <w:rFonts w:hint="cs"/>
          <w:rtl/>
        </w:rPr>
        <w:t xml:space="preserve"> " [اعتقاد أهل السنة ج 3 ص 5</w:t>
      </w:r>
      <w:r w:rsidR="000636C2">
        <w:rPr>
          <w:rFonts w:hint="cs"/>
          <w:rtl/>
        </w:rPr>
        <w:t>،</w:t>
      </w:r>
      <w:r>
        <w:rPr>
          <w:rFonts w:hint="cs"/>
          <w:rtl/>
        </w:rPr>
        <w:t xml:space="preserve"> 3] أهـ</w:t>
      </w:r>
      <w:r w:rsidR="000636C2">
        <w:rPr>
          <w:rFonts w:hint="cs"/>
          <w:rtl/>
        </w:rPr>
        <w:t>،</w:t>
      </w:r>
      <w:r>
        <w:rPr>
          <w:rFonts w:hint="cs"/>
          <w:rtl/>
        </w:rPr>
        <w:t xml:space="preserve"> </w:t>
      </w:r>
      <w:r>
        <w:rPr>
          <w:rFonts w:hint="cs"/>
          <w:bCs/>
          <w:rtl/>
        </w:rPr>
        <w:t>وجاء فيه أيضا</w:t>
      </w:r>
      <w:r w:rsidR="000636C2">
        <w:rPr>
          <w:rFonts w:hint="cs"/>
          <w:bCs/>
          <w:rtl/>
        </w:rPr>
        <w:t>:</w:t>
      </w:r>
      <w:r>
        <w:rPr>
          <w:rFonts w:hint="cs"/>
          <w:bCs/>
          <w:rtl/>
        </w:rPr>
        <w:t xml:space="preserve"> </w:t>
      </w:r>
      <w:r>
        <w:rPr>
          <w:rFonts w:hint="cs"/>
          <w:rtl/>
        </w:rPr>
        <w:t>" أخبرنا أحمد بن محمد بن الجراح ومحمد بن مخلد قالا ثنا عباس بن محمد الدوري قال</w:t>
      </w:r>
      <w:r w:rsidR="000636C2">
        <w:rPr>
          <w:rFonts w:hint="cs"/>
          <w:rtl/>
        </w:rPr>
        <w:t xml:space="preserve"> </w:t>
      </w:r>
      <w:r>
        <w:rPr>
          <w:rFonts w:hint="cs"/>
          <w:rtl/>
        </w:rPr>
        <w:t>سمعت أبا عبيد القاسم بن سلام وذكر عنده هذه الأحاديث ضحك ربنا عز وجل من قنوط عباده وقرب غيره</w:t>
      </w:r>
      <w:r w:rsidR="000636C2">
        <w:rPr>
          <w:rFonts w:hint="cs"/>
          <w:rtl/>
        </w:rPr>
        <w:t>،</w:t>
      </w:r>
      <w:r>
        <w:rPr>
          <w:rFonts w:hint="cs"/>
          <w:rtl/>
        </w:rPr>
        <w:t xml:space="preserve"> والكرسي موضع القدمين</w:t>
      </w:r>
      <w:r w:rsidR="000636C2">
        <w:rPr>
          <w:rFonts w:hint="cs"/>
          <w:rtl/>
        </w:rPr>
        <w:t>،</w:t>
      </w:r>
      <w:r>
        <w:rPr>
          <w:rFonts w:hint="cs"/>
          <w:rtl/>
        </w:rPr>
        <w:t xml:space="preserve"> وأن جهنم لتمتلئ فيضع ربك قدمه فيها وأشباه هذه الأحاديث</w:t>
      </w:r>
      <w:r w:rsidR="000636C2">
        <w:rPr>
          <w:rFonts w:hint="cs"/>
          <w:rtl/>
        </w:rPr>
        <w:t xml:space="preserve"> </w:t>
      </w:r>
      <w:r>
        <w:rPr>
          <w:rFonts w:hint="cs"/>
          <w:bCs/>
          <w:rtl/>
        </w:rPr>
        <w:t>فقال أبو عبيد هذه الأحاديث عندنا حق يرويها الثقات بعضهم عن بعض إلا أنا إذا سئلنا عن تفسيرها</w:t>
      </w:r>
      <w:r w:rsidR="000636C2">
        <w:rPr>
          <w:rFonts w:hint="cs"/>
          <w:bCs/>
          <w:rtl/>
        </w:rPr>
        <w:t>،</w:t>
      </w:r>
      <w:r>
        <w:rPr>
          <w:rFonts w:hint="cs"/>
          <w:bCs/>
          <w:rtl/>
        </w:rPr>
        <w:t xml:space="preserve"> قلنا ما أدركنا أحدا يفسر منها شيئا ونحن لا نفسر منها شيئا نصدق بها ونسكت</w:t>
      </w:r>
      <w:r>
        <w:rPr>
          <w:rFonts w:hint="cs"/>
          <w:rtl/>
        </w:rPr>
        <w:t xml:space="preserve"> " [اعتقاد أهل السنة ج: 3 ص: 526] أهـ</w:t>
      </w:r>
      <w:r w:rsidR="000636C2">
        <w:rPr>
          <w:rFonts w:hint="cs"/>
          <w:rtl/>
        </w:rPr>
        <w:t>،</w:t>
      </w:r>
      <w:r>
        <w:rPr>
          <w:rFonts w:hint="cs"/>
          <w:rtl/>
        </w:rPr>
        <w:t xml:space="preserve"> </w:t>
      </w:r>
      <w:r>
        <w:rPr>
          <w:rFonts w:hint="cs"/>
          <w:bCs/>
          <w:rtl/>
        </w:rPr>
        <w:t>وجاء فيه أيضا</w:t>
      </w:r>
      <w:r w:rsidR="000636C2">
        <w:rPr>
          <w:rFonts w:hint="cs"/>
          <w:bCs/>
          <w:rtl/>
        </w:rPr>
        <w:t>:</w:t>
      </w:r>
      <w:r>
        <w:rPr>
          <w:rFonts w:hint="cs"/>
          <w:bCs/>
          <w:rtl/>
        </w:rPr>
        <w:t xml:space="preserve"> </w:t>
      </w:r>
      <w:r>
        <w:rPr>
          <w:rFonts w:hint="cs"/>
          <w:rtl/>
        </w:rPr>
        <w:t xml:space="preserve">" وسئل ربيعة بن أبي عبد الرحمن عن قوله </w:t>
      </w:r>
      <w:r w:rsidR="000636C2">
        <w:rPr>
          <w:rFonts w:hint="cs"/>
          <w:rtl/>
        </w:rPr>
        <w:t>{</w:t>
      </w:r>
      <w:r>
        <w:rPr>
          <w:rFonts w:hint="cs"/>
          <w:rtl/>
        </w:rPr>
        <w:t>الرحمن على العرش استوى</w:t>
      </w:r>
      <w:r w:rsidR="000636C2">
        <w:rPr>
          <w:rFonts w:hint="cs"/>
          <w:rtl/>
        </w:rPr>
        <w:t>}،</w:t>
      </w:r>
      <w:r>
        <w:rPr>
          <w:rFonts w:hint="cs"/>
          <w:rtl/>
        </w:rPr>
        <w:t xml:space="preserve"> فقال الاستواء معقول </w:t>
      </w:r>
      <w:r>
        <w:rPr>
          <w:rFonts w:hint="cs"/>
          <w:rtl/>
        </w:rPr>
        <w:lastRenderedPageBreak/>
        <w:t>والكيف مجهول والإيمان به واجب قال ابن الجراح والله عز وجل لا يحد ...</w:t>
      </w:r>
      <w:r w:rsidR="000636C2">
        <w:rPr>
          <w:rFonts w:hint="cs"/>
          <w:rtl/>
        </w:rPr>
        <w:t xml:space="preserve"> </w:t>
      </w:r>
      <w:r>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Pr>
          <w:rFonts w:hint="cs"/>
          <w:bCs/>
          <w:rtl/>
        </w:rPr>
        <w:t>سألت الأوزاعي وسفيان الثوري ومالك بن أنس عن هذه الأحاديث التي فيها ذكر الرؤية</w:t>
      </w:r>
      <w:r w:rsidR="000636C2">
        <w:rPr>
          <w:rFonts w:hint="cs"/>
          <w:bCs/>
          <w:rtl/>
        </w:rPr>
        <w:t>،</w:t>
      </w:r>
      <w:r>
        <w:rPr>
          <w:rFonts w:hint="cs"/>
          <w:bCs/>
          <w:rtl/>
        </w:rPr>
        <w:t xml:space="preserve"> فقالوا أمروها كما جاءت</w:t>
      </w:r>
      <w:r w:rsidR="000636C2">
        <w:rPr>
          <w:rFonts w:hint="cs"/>
          <w:bCs/>
          <w:rtl/>
        </w:rPr>
        <w:t xml:space="preserve"> </w:t>
      </w:r>
      <w:r>
        <w:rPr>
          <w:rFonts w:hint="cs"/>
          <w:bCs/>
          <w:rtl/>
        </w:rPr>
        <w:t>بلا كيف</w:t>
      </w:r>
      <w:r w:rsidR="000636C2">
        <w:rPr>
          <w:rFonts w:hint="cs"/>
          <w:bCs/>
          <w:rtl/>
        </w:rPr>
        <w:t>)</w:t>
      </w:r>
      <w:r>
        <w:rPr>
          <w:rFonts w:hint="cs"/>
          <w:rtl/>
        </w:rPr>
        <w:t>) [اعتقاد أهل السنة ج 3 ص 527] أهـ</w:t>
      </w:r>
      <w:r w:rsidR="000636C2">
        <w:rPr>
          <w:rFonts w:hint="cs"/>
          <w:rtl/>
        </w:rPr>
        <w:t xml:space="preserve">، </w:t>
      </w:r>
      <w:r w:rsidR="000636C2">
        <w:rPr>
          <w:rFonts w:hint="cs"/>
          <w:bCs/>
          <w:rtl/>
        </w:rPr>
        <w:t>(</w:t>
      </w:r>
      <w:r>
        <w:rPr>
          <w:rFonts w:hint="cs"/>
          <w:bCs/>
          <w:rtl/>
        </w:rPr>
        <w:t>4</w:t>
      </w:r>
      <w:r w:rsidR="000636C2">
        <w:rPr>
          <w:rFonts w:hint="cs"/>
          <w:bCs/>
          <w:rtl/>
        </w:rPr>
        <w:t>)</w:t>
      </w:r>
      <w:r>
        <w:rPr>
          <w:rFonts w:hint="cs"/>
          <w:bCs/>
          <w:rtl/>
        </w:rPr>
        <w:t xml:space="preserve"> مذهب السلف والشافعي وأهل الحديث</w:t>
      </w:r>
      <w:r w:rsidR="000636C2">
        <w:rPr>
          <w:rFonts w:hint="cs"/>
          <w:bCs/>
          <w:rtl/>
        </w:rPr>
        <w:t>:</w:t>
      </w:r>
      <w:r>
        <w:rPr>
          <w:rFonts w:hint="cs"/>
          <w:bCs/>
          <w:rtl/>
        </w:rPr>
        <w:t xml:space="preserve"> قال شيخ محدثي زمانه الإمام</w:t>
      </w:r>
      <w:r w:rsidR="000636C2">
        <w:rPr>
          <w:rFonts w:hint="cs"/>
          <w:bCs/>
          <w:rtl/>
        </w:rPr>
        <w:t xml:space="preserve"> </w:t>
      </w:r>
      <w:r>
        <w:rPr>
          <w:rFonts w:hint="cs"/>
          <w:bCs/>
          <w:rtl/>
        </w:rPr>
        <w:t>البيهقي</w:t>
      </w:r>
      <w:r w:rsidR="000636C2">
        <w:rPr>
          <w:rFonts w:hint="cs"/>
          <w:rtl/>
        </w:rPr>
        <w:t>:</w:t>
      </w:r>
      <w:r>
        <w:rPr>
          <w:rFonts w:hint="cs"/>
          <w:rtl/>
        </w:rPr>
        <w:t xml:space="preserve"> - وهو يوضح مذهب السلف والشافعي وأهل الحديث في الاستواء - " وقوله عز وجل</w:t>
      </w:r>
      <w:r w:rsidR="000636C2">
        <w:rPr>
          <w:rFonts w:hint="cs"/>
          <w:rtl/>
        </w:rPr>
        <w:t>:</w:t>
      </w:r>
      <w:r>
        <w:rPr>
          <w:rFonts w:hint="cs"/>
          <w:rtl/>
        </w:rPr>
        <w:t xml:space="preserve"> </w:t>
      </w:r>
      <w:r w:rsidR="000636C2">
        <w:rPr>
          <w:rFonts w:hint="cs"/>
          <w:rtl/>
        </w:rPr>
        <w:t>{</w:t>
      </w:r>
      <w:r>
        <w:rPr>
          <w:rFonts w:hint="cs"/>
          <w:rtl/>
        </w:rPr>
        <w:t>وهو معكم أينما كنتم</w:t>
      </w:r>
      <w:r w:rsidR="000636C2">
        <w:rPr>
          <w:rFonts w:hint="cs"/>
          <w:rtl/>
        </w:rPr>
        <w:t>}،</w:t>
      </w:r>
      <w:r>
        <w:rPr>
          <w:rFonts w:hint="cs"/>
          <w:rtl/>
        </w:rPr>
        <w:t xml:space="preserve">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0636C2">
        <w:rPr>
          <w:rFonts w:hint="cs"/>
          <w:rtl/>
        </w:rPr>
        <w:t>،</w:t>
      </w:r>
      <w:r>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Pr>
          <w:rFonts w:hint="cs"/>
          <w:bCs/>
          <w:rtl/>
        </w:rPr>
        <w:t>مالك بن أنس</w:t>
      </w:r>
      <w:r>
        <w:rPr>
          <w:rFonts w:hint="cs"/>
          <w:rtl/>
        </w:rPr>
        <w:t xml:space="preserve"> فجاء رجل فقال يا أبا عبد الله الرحمن على العرش استوى كيف استوى فأطرق مالك رأسه ثم علاه الرحضاء ثم قال</w:t>
      </w:r>
      <w:r w:rsidR="000636C2">
        <w:rPr>
          <w:rFonts w:hint="cs"/>
          <w:rtl/>
        </w:rPr>
        <w:t>:</w:t>
      </w:r>
      <w:r>
        <w:rPr>
          <w:rFonts w:hint="cs"/>
          <w:rtl/>
        </w:rPr>
        <w:t xml:space="preserve"> </w:t>
      </w:r>
      <w:r>
        <w:rPr>
          <w:rFonts w:hint="cs"/>
          <w:bCs/>
          <w:rtl/>
        </w:rPr>
        <w:t xml:space="preserve">الاستواء غير مجهول والكيف غير معقول والإيمان به واجب والسؤال عنه بدعة </w:t>
      </w:r>
      <w:r>
        <w:rPr>
          <w:rFonts w:hint="cs"/>
          <w:rtl/>
        </w:rPr>
        <w:t>وما أراك إلا مبتدعا فأمر به أن يخرج</w:t>
      </w:r>
      <w:r w:rsidR="000636C2">
        <w:rPr>
          <w:rFonts w:hint="cs"/>
          <w:rtl/>
        </w:rPr>
        <w:t>،</w:t>
      </w:r>
      <w:r>
        <w:rPr>
          <w:rFonts w:hint="cs"/>
          <w:bCs/>
          <w:rtl/>
        </w:rPr>
        <w:t xml:space="preserve"> وعلى مثل هذا درج أكثر علمائنا في مسألة الاستواء وفي مسألة المجيء والإتيان والنزول</w:t>
      </w:r>
      <w:r>
        <w:rPr>
          <w:rFonts w:hint="cs"/>
          <w:rtl/>
        </w:rPr>
        <w:t xml:space="preserve"> قال الله عز وجل</w:t>
      </w:r>
      <w:r w:rsidR="000636C2">
        <w:rPr>
          <w:rFonts w:hint="cs"/>
          <w:rtl/>
        </w:rPr>
        <w:t>:</w:t>
      </w:r>
      <w:r>
        <w:rPr>
          <w:rFonts w:hint="cs"/>
          <w:rtl/>
        </w:rPr>
        <w:t xml:space="preserve"> </w:t>
      </w:r>
      <w:r w:rsidR="000636C2">
        <w:rPr>
          <w:rFonts w:hint="cs"/>
          <w:rtl/>
        </w:rPr>
        <w:t>{</w:t>
      </w:r>
      <w:r>
        <w:rPr>
          <w:rFonts w:hint="cs"/>
          <w:rtl/>
        </w:rPr>
        <w:t>وجاء ربك والملك صفا صفا</w:t>
      </w:r>
      <w:r w:rsidR="000636C2">
        <w:rPr>
          <w:rFonts w:hint="cs"/>
          <w:rtl/>
        </w:rPr>
        <w:t xml:space="preserve">}، </w:t>
      </w:r>
      <w:r>
        <w:rPr>
          <w:rFonts w:hint="cs"/>
          <w:rtl/>
        </w:rPr>
        <w:t>وقال</w:t>
      </w:r>
      <w:r w:rsidR="000636C2">
        <w:rPr>
          <w:rFonts w:hint="cs"/>
          <w:rtl/>
        </w:rPr>
        <w:t>:</w:t>
      </w:r>
      <w:r>
        <w:rPr>
          <w:rFonts w:hint="cs"/>
          <w:rtl/>
        </w:rPr>
        <w:t xml:space="preserve"> </w:t>
      </w:r>
      <w:r w:rsidR="000636C2">
        <w:rPr>
          <w:rFonts w:hint="cs"/>
          <w:rtl/>
        </w:rPr>
        <w:t>{</w:t>
      </w:r>
      <w:r>
        <w:rPr>
          <w:rFonts w:hint="cs"/>
          <w:rtl/>
        </w:rPr>
        <w:t>هل ينظرون إلا أن يأتيهم الله في ظلل من الغمام</w:t>
      </w:r>
      <w:r w:rsidR="000636C2">
        <w:rPr>
          <w:rFonts w:hint="cs"/>
          <w:rtl/>
        </w:rPr>
        <w:t xml:space="preserve">} </w:t>
      </w:r>
      <w:r>
        <w:rPr>
          <w:rFonts w:hint="cs"/>
          <w:rtl/>
        </w:rPr>
        <w:t>وعن أبي هريرة رضي الله عنه أن رسول الله صلى الله عليه وسلم قال</w:t>
      </w:r>
      <w:r w:rsidR="000636C2">
        <w:rPr>
          <w:rFonts w:hint="cs"/>
          <w:rtl/>
        </w:rPr>
        <w:t>:</w:t>
      </w:r>
      <w:r>
        <w:rPr>
          <w:rFonts w:hint="cs"/>
          <w:rtl/>
        </w:rPr>
        <w:t xml:space="preserve"> (</w:t>
      </w:r>
      <w:r w:rsidR="000636C2">
        <w:rPr>
          <w:rFonts w:hint="cs"/>
          <w:rtl/>
        </w:rPr>
        <w:t>(</w:t>
      </w:r>
      <w:r>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0636C2">
        <w:rPr>
          <w:rFonts w:hint="cs"/>
          <w:rtl/>
        </w:rPr>
        <w:t>)</w:t>
      </w:r>
      <w:r>
        <w:rPr>
          <w:rFonts w:hint="cs"/>
          <w:rtl/>
        </w:rPr>
        <w:t>)</w:t>
      </w:r>
      <w:r w:rsidR="000636C2">
        <w:rPr>
          <w:rFonts w:hint="cs"/>
          <w:rtl/>
        </w:rPr>
        <w:t xml:space="preserve"> </w:t>
      </w:r>
      <w:r>
        <w:rPr>
          <w:rFonts w:hint="cs"/>
          <w:rtl/>
        </w:rPr>
        <w:t>وهذا حديث صحيح رواه جماعة من الصحابة عن النبي صلى الله عليه وسلم</w:t>
      </w:r>
      <w:r w:rsidR="000636C2">
        <w:rPr>
          <w:rFonts w:hint="cs"/>
          <w:rtl/>
        </w:rPr>
        <w:t>،</w:t>
      </w:r>
      <w:r>
        <w:rPr>
          <w:rFonts w:hint="cs"/>
          <w:rtl/>
        </w:rPr>
        <w:t xml:space="preserve"> </w:t>
      </w:r>
      <w:r>
        <w:rPr>
          <w:rFonts w:hint="cs"/>
          <w:bCs/>
          <w:rtl/>
        </w:rPr>
        <w:t>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اللغة ولا يناقض التوحيد</w:t>
      </w:r>
      <w:r w:rsidR="000636C2">
        <w:rPr>
          <w:rFonts w:hint="cs"/>
          <w:rtl/>
        </w:rPr>
        <w:t>،</w:t>
      </w:r>
      <w:r>
        <w:rPr>
          <w:rFonts w:hint="cs"/>
          <w:rtl/>
        </w:rPr>
        <w:t xml:space="preserve"> وقد ذكرنا هاتين الطريقتين في كتاب الأسماء والصفات في المسائل التي تكلموا فيها من هذا الباب</w:t>
      </w:r>
      <w:r w:rsidR="000636C2">
        <w:rPr>
          <w:rFonts w:hint="cs"/>
          <w:rtl/>
        </w:rPr>
        <w:t>،</w:t>
      </w:r>
      <w:r>
        <w:rPr>
          <w:rFonts w:hint="cs"/>
          <w:rtl/>
        </w:rPr>
        <w:t xml:space="preserve"> </w:t>
      </w:r>
      <w:r>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Pr>
          <w:rFonts w:hint="cs"/>
          <w:rtl/>
        </w:rPr>
        <w:t xml:space="preserve"> </w:t>
      </w:r>
      <w:r>
        <w:rPr>
          <w:rFonts w:hint="cs"/>
          <w:bCs/>
          <w:rtl/>
        </w:rPr>
        <w:t xml:space="preserve">وأن إتيانه ليس بإتيان من مكان إلى مكان </w:t>
      </w:r>
      <w:r>
        <w:rPr>
          <w:rFonts w:hint="cs"/>
          <w:bCs/>
          <w:rtl/>
        </w:rPr>
        <w:lastRenderedPageBreak/>
        <w:t>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0636C2">
        <w:rPr>
          <w:rFonts w:hint="cs"/>
          <w:rtl/>
        </w:rPr>
        <w:t>،</w:t>
      </w:r>
      <w:r>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0636C2">
        <w:rPr>
          <w:rFonts w:hint="cs"/>
          <w:rtl/>
        </w:rPr>
        <w:t>:</w:t>
      </w:r>
      <w:r>
        <w:rPr>
          <w:rFonts w:hint="cs"/>
          <w:rtl/>
        </w:rPr>
        <w:t xml:space="preserve"> سئل الأوزاعي ومالك وسفيان الثوري والليث بن سعد عن هذه الأحاديث </w:t>
      </w:r>
      <w:r>
        <w:rPr>
          <w:rFonts w:hint="cs"/>
          <w:bCs/>
          <w:rtl/>
        </w:rPr>
        <w:t>فقالوا أمروها كما جاءت بلا كيفية</w:t>
      </w:r>
      <w:r>
        <w:rPr>
          <w:rFonts w:hint="cs"/>
          <w:rtl/>
        </w:rPr>
        <w:t xml:space="preserve"> </w:t>
      </w:r>
      <w:r w:rsidR="000636C2">
        <w:rPr>
          <w:rFonts w:hint="cs"/>
          <w:rtl/>
        </w:rPr>
        <w:t xml:space="preserve">، </w:t>
      </w:r>
      <w:r>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Pr>
          <w:rFonts w:hint="cs"/>
          <w:bCs/>
          <w:rtl/>
        </w:rPr>
        <w:t>فتفسيره تلاوته</w:t>
      </w:r>
      <w:r>
        <w:rPr>
          <w:rFonts w:hint="cs"/>
          <w:rtl/>
        </w:rPr>
        <w:t xml:space="preserve"> </w:t>
      </w:r>
      <w:r>
        <w:rPr>
          <w:rFonts w:hint="cs"/>
          <w:bCs/>
          <w:rtl/>
        </w:rPr>
        <w:t>والسكوت عليه</w:t>
      </w:r>
      <w:r>
        <w:rPr>
          <w:rFonts w:hint="cs"/>
          <w:rtl/>
        </w:rPr>
        <w:t xml:space="preserve"> وإنما أراد به والله أعلم فيما تفسيره يؤدي إلى تكييف وتكييفه يقتضي تشبيهه له بخلقه في أوصاف الحدوث</w:t>
      </w:r>
      <w:r w:rsidR="000636C2">
        <w:rPr>
          <w:rFonts w:hint="cs"/>
          <w:rtl/>
        </w:rPr>
        <w:t xml:space="preserve"> </w:t>
      </w:r>
      <w:r>
        <w:rPr>
          <w:rFonts w:hint="cs"/>
          <w:rtl/>
        </w:rPr>
        <w:t>"</w:t>
      </w:r>
      <w:r w:rsidR="000636C2">
        <w:rPr>
          <w:rFonts w:hint="cs"/>
          <w:rtl/>
        </w:rPr>
        <w:t>[</w:t>
      </w:r>
      <w:r>
        <w:rPr>
          <w:rFonts w:hint="cs"/>
          <w:rtl/>
        </w:rPr>
        <w:t>الاعتقاد للبيهقي ج: 1 ص: 114- 118] أ هـ</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 .. عن إسحاق بن موسى الأنباري قال سمعت سفيان بن عيينة يقول ما وصف الله تبارك وتعالى به نفسه في كتابه فقراءته تفسيره ليس لأحد أن يفسره بالعربية ولا بالفارسية</w:t>
      </w:r>
      <w:r w:rsidR="000636C2">
        <w:rPr>
          <w:rFonts w:hint="cs"/>
          <w:rtl/>
        </w:rPr>
        <w:t xml:space="preserve"> </w:t>
      </w:r>
      <w:r>
        <w:rPr>
          <w:rFonts w:hint="cs"/>
          <w:rtl/>
        </w:rPr>
        <w:t>" [الأسماء والصفات للبيهقي ص 314] أهـ</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 أخبرنا محمد بن عبد الله الحافظ قال هذه نسخة الكتاب الذي أملاه الشيخ أبو بكر أحمد بن اسحاق بن أيوب في مذهب أهل السنة فيما جرى بين محمد بن إسحاق بن خزيمة وبين أصحابه فذكرها وذكر فيها</w:t>
      </w:r>
      <w:r w:rsidR="000636C2">
        <w:rPr>
          <w:rtl/>
        </w:rPr>
        <w:t xml:space="preserve"> </w:t>
      </w:r>
      <w:r>
        <w:rPr>
          <w:rFonts w:hint="cs"/>
          <w:rtl/>
        </w:rPr>
        <w:t>الرحمن على العرش استوى</w:t>
      </w:r>
      <w:r w:rsidR="000636C2">
        <w:rPr>
          <w:rtl/>
        </w:rPr>
        <w:t xml:space="preserve"> </w:t>
      </w:r>
      <w:r>
        <w:rPr>
          <w:rFonts w:hint="cs"/>
          <w:rtl/>
        </w:rPr>
        <w:t xml:space="preserve">بلا كيف والآثار عن السلف في هذا كثيرة </w:t>
      </w:r>
      <w:r>
        <w:rPr>
          <w:rFonts w:hint="cs"/>
          <w:bCs/>
          <w:rtl/>
        </w:rPr>
        <w:t>وعلى هذه الطريقة يدل مذهب الشافعي رحمه الله تعالى وإليها ذهب أحمد بن حنبل والحسين بن الفضل البجلي ومن المتأخرين أبو سليمان الخطابي</w:t>
      </w:r>
      <w:r>
        <w:rPr>
          <w:rFonts w:hint="cs"/>
          <w:rtl/>
        </w:rPr>
        <w:t xml:space="preserve"> " [الأسماء والصفات ص 4</w:t>
      </w:r>
      <w:r w:rsidR="000636C2">
        <w:rPr>
          <w:rFonts w:hint="cs"/>
          <w:rtl/>
        </w:rPr>
        <w:t>،</w:t>
      </w:r>
      <w:r>
        <w:rPr>
          <w:rFonts w:hint="cs"/>
          <w:rtl/>
        </w:rPr>
        <w:t xml:space="preserve"> 8] أهـ</w:t>
      </w:r>
      <w:r w:rsidR="000636C2">
        <w:rPr>
          <w:rFonts w:hint="cs"/>
          <w:rtl/>
        </w:rPr>
        <w:t xml:space="preserve">، </w:t>
      </w:r>
      <w:r>
        <w:rPr>
          <w:rFonts w:hint="cs"/>
          <w:bCs/>
          <w:rtl/>
        </w:rPr>
        <w:t>وقال البغوي في تفسيره</w:t>
      </w:r>
      <w:r w:rsidR="000636C2">
        <w:rPr>
          <w:rFonts w:hint="cs"/>
          <w:rtl/>
        </w:rPr>
        <w:t>:</w:t>
      </w:r>
      <w:r>
        <w:rPr>
          <w:rFonts w:hint="cs"/>
          <w:rtl/>
        </w:rPr>
        <w:t xml:space="preserve"> " بل يداه مبسوطتان ويد الله صفة من صفات ذاته كالسمع والبصر والوجه وقال جل ذكره لما خلقت بيدى وقال النبي صلى الله عليه وسلم كلتا يديه يمين والله أعلم بصفاته فعلى العباد فيها الايمان والتسليم </w:t>
      </w:r>
      <w:r>
        <w:rPr>
          <w:rFonts w:hint="cs"/>
          <w:bCs/>
          <w:rtl/>
        </w:rPr>
        <w:t>وقال أئمة السلف من أهل السنة</w:t>
      </w:r>
      <w:r>
        <w:rPr>
          <w:rFonts w:hint="cs"/>
          <w:rtl/>
        </w:rPr>
        <w:t xml:space="preserve"> في هذه الصفات</w:t>
      </w:r>
      <w:r w:rsidR="000636C2">
        <w:rPr>
          <w:rFonts w:hint="cs"/>
          <w:rtl/>
        </w:rPr>
        <w:t xml:space="preserve"> </w:t>
      </w:r>
      <w:r>
        <w:rPr>
          <w:rFonts w:hint="cs"/>
          <w:bCs/>
          <w:rtl/>
        </w:rPr>
        <w:t>أمروها</w:t>
      </w:r>
      <w:r w:rsidR="000636C2">
        <w:rPr>
          <w:rFonts w:hint="cs"/>
          <w:bCs/>
          <w:rtl/>
        </w:rPr>
        <w:t xml:space="preserve"> </w:t>
      </w:r>
      <w:r>
        <w:rPr>
          <w:rFonts w:hint="cs"/>
          <w:bCs/>
          <w:rtl/>
        </w:rPr>
        <w:t xml:space="preserve">كما جاءت بلا كيف" </w:t>
      </w:r>
      <w:r>
        <w:rPr>
          <w:rFonts w:hint="cs"/>
          <w:rtl/>
        </w:rPr>
        <w:t>[تفسير البغوي ج: 2 ص: 5</w:t>
      </w:r>
      <w:r w:rsidR="000636C2">
        <w:rPr>
          <w:rFonts w:hint="cs"/>
          <w:rtl/>
        </w:rPr>
        <w:t>،]</w:t>
      </w:r>
      <w:r>
        <w:rPr>
          <w:rFonts w:hint="cs"/>
          <w:rtl/>
        </w:rPr>
        <w:t xml:space="preserve"> أهـ</w:t>
      </w:r>
      <w:r w:rsidR="000636C2">
        <w:rPr>
          <w:rFonts w:hint="cs"/>
          <w:rtl/>
        </w:rPr>
        <w:t xml:space="preserve">، </w:t>
      </w:r>
      <w:r>
        <w:rPr>
          <w:rFonts w:hint="cs"/>
          <w:bCs/>
          <w:rtl/>
        </w:rPr>
        <w:t>وقال رحمه الله</w:t>
      </w:r>
      <w:r w:rsidR="000636C2">
        <w:rPr>
          <w:rFonts w:hint="cs"/>
          <w:rtl/>
        </w:rPr>
        <w:t>:</w:t>
      </w:r>
      <w:r>
        <w:rPr>
          <w:rFonts w:hint="cs"/>
          <w:rtl/>
        </w:rPr>
        <w:t xml:space="preserve"> "</w:t>
      </w:r>
      <w:r w:rsidR="000636C2">
        <w:rPr>
          <w:rFonts w:hint="cs"/>
          <w:rtl/>
        </w:rPr>
        <w:t xml:space="preserve"> </w:t>
      </w:r>
      <w:r>
        <w:rPr>
          <w:rFonts w:hint="cs"/>
          <w:rtl/>
        </w:rPr>
        <w:t xml:space="preserve">وروي عن سفيان الثوري والأوزاعي والليث بن سعد وسفيان بن عيينة وعبد الله بن المبارك وغيرهم من علماء السنة في هذه الآيات التي جاءت </w:t>
      </w:r>
      <w:r>
        <w:rPr>
          <w:rFonts w:hint="cs"/>
          <w:bCs/>
          <w:rtl/>
        </w:rPr>
        <w:t>في الصفات المتشابهات</w:t>
      </w:r>
      <w:r w:rsidR="000636C2">
        <w:rPr>
          <w:rFonts w:hint="cs"/>
          <w:bCs/>
          <w:rtl/>
        </w:rPr>
        <w:t xml:space="preserve"> </w:t>
      </w:r>
      <w:r>
        <w:rPr>
          <w:rFonts w:hint="cs"/>
          <w:bCs/>
          <w:rtl/>
        </w:rPr>
        <w:t>أمروها</w:t>
      </w:r>
      <w:r w:rsidR="000636C2">
        <w:rPr>
          <w:rFonts w:hint="cs"/>
          <w:bCs/>
          <w:rtl/>
        </w:rPr>
        <w:t xml:space="preserve"> </w:t>
      </w:r>
      <w:r>
        <w:rPr>
          <w:rFonts w:hint="cs"/>
          <w:bCs/>
          <w:rtl/>
        </w:rPr>
        <w:t>كما جاءت بلا كيف</w:t>
      </w:r>
      <w:r w:rsidR="000636C2">
        <w:rPr>
          <w:rFonts w:hint="cs"/>
          <w:rtl/>
        </w:rPr>
        <w:t>)</w:t>
      </w:r>
      <w:r>
        <w:rPr>
          <w:rFonts w:hint="cs"/>
          <w:rtl/>
        </w:rPr>
        <w:t>)</w:t>
      </w:r>
      <w:r w:rsidR="000636C2">
        <w:rPr>
          <w:rFonts w:hint="cs"/>
          <w:rtl/>
        </w:rPr>
        <w:t>[</w:t>
      </w:r>
      <w:r>
        <w:rPr>
          <w:rFonts w:hint="cs"/>
          <w:rtl/>
        </w:rPr>
        <w:t>تفسير البغوي ج: 2 ص: 165] أهـ</w:t>
      </w:r>
      <w:r w:rsidR="000636C2">
        <w:rPr>
          <w:rFonts w:hint="cs"/>
          <w:rtl/>
        </w:rPr>
        <w:t xml:space="preserve">، </w:t>
      </w:r>
      <w:r>
        <w:rPr>
          <w:rFonts w:hint="cs"/>
          <w:bCs/>
          <w:rtl/>
        </w:rPr>
        <w:t>وقال القرطبي في تفسيره</w:t>
      </w:r>
      <w:r w:rsidR="000636C2">
        <w:rPr>
          <w:rFonts w:hint="cs"/>
          <w:rtl/>
        </w:rPr>
        <w:t>:</w:t>
      </w:r>
      <w:r>
        <w:rPr>
          <w:rFonts w:hint="cs"/>
          <w:rtl/>
        </w:rPr>
        <w:t xml:space="preserve"> " وقد قيل</w:t>
      </w:r>
      <w:r w:rsidR="000636C2">
        <w:rPr>
          <w:rFonts w:hint="cs"/>
          <w:rtl/>
        </w:rPr>
        <w:t xml:space="preserve"> </w:t>
      </w:r>
      <w:r>
        <w:rPr>
          <w:rFonts w:hint="cs"/>
          <w:rtl/>
        </w:rPr>
        <w:t>إن معنى تربو في كف الرحمن عبارة عن كفة الميزان التي توزن فيها الأعمال فيكون من باب حذف المضاف كأنه قال</w:t>
      </w:r>
      <w:r w:rsidR="000636C2">
        <w:rPr>
          <w:rFonts w:hint="cs"/>
          <w:rtl/>
        </w:rPr>
        <w:t xml:space="preserve"> </w:t>
      </w:r>
      <w:r>
        <w:rPr>
          <w:rFonts w:hint="cs"/>
          <w:rtl/>
        </w:rPr>
        <w:t>فتربو كفة ميزان الرحمن وروي عن مالك والثوري وابن المبارك أنهم قالوا في تأويل هذه</w:t>
      </w:r>
      <w:r w:rsidR="000636C2">
        <w:rPr>
          <w:rFonts w:hint="cs"/>
          <w:rtl/>
        </w:rPr>
        <w:t xml:space="preserve"> </w:t>
      </w:r>
      <w:r>
        <w:rPr>
          <w:rFonts w:hint="cs"/>
          <w:rtl/>
        </w:rPr>
        <w:t xml:space="preserve">الأحاديث وما </w:t>
      </w:r>
      <w:r>
        <w:rPr>
          <w:rFonts w:hint="cs"/>
          <w:rtl/>
        </w:rPr>
        <w:lastRenderedPageBreak/>
        <w:t>شابهها</w:t>
      </w:r>
      <w:r w:rsidR="000636C2">
        <w:rPr>
          <w:rFonts w:hint="cs"/>
          <w:rtl/>
        </w:rPr>
        <w:t xml:space="preserve"> </w:t>
      </w:r>
      <w:r>
        <w:rPr>
          <w:rFonts w:hint="cs"/>
          <w:bCs/>
          <w:rtl/>
        </w:rPr>
        <w:t>أمروها</w:t>
      </w:r>
      <w:r w:rsidR="000636C2">
        <w:rPr>
          <w:rFonts w:hint="cs"/>
          <w:bCs/>
          <w:rtl/>
        </w:rPr>
        <w:t xml:space="preserve"> </w:t>
      </w:r>
      <w:r>
        <w:rPr>
          <w:rFonts w:hint="cs"/>
          <w:bCs/>
          <w:rtl/>
        </w:rPr>
        <w:t>بلا كيف</w:t>
      </w:r>
      <w:r>
        <w:rPr>
          <w:rFonts w:hint="cs"/>
          <w:rtl/>
        </w:rPr>
        <w:t xml:space="preserve"> قاله الترمذي وغيره وهكذا قول أهل العلم من أهل السنة والجماعة</w:t>
      </w:r>
      <w:r w:rsidR="000636C2">
        <w:rPr>
          <w:rFonts w:hint="cs"/>
          <w:rtl/>
        </w:rPr>
        <w:t>)</w:t>
      </w:r>
      <w:r>
        <w:rPr>
          <w:rFonts w:hint="cs"/>
          <w:rtl/>
        </w:rPr>
        <w:t>) [تفسير القرطبي ج: 8 ص: 252] أهـ</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w:t>
      </w:r>
      <w:r w:rsidR="000636C2">
        <w:rPr>
          <w:rFonts w:hint="cs"/>
          <w:rtl/>
        </w:rPr>
        <w:t xml:space="preserve"> </w:t>
      </w:r>
      <w:r>
        <w:rPr>
          <w:rFonts w:hint="cs"/>
          <w:rtl/>
        </w:rPr>
        <w:t>قال بعضهم</w:t>
      </w:r>
      <w:r w:rsidR="000636C2">
        <w:rPr>
          <w:rFonts w:hint="cs"/>
          <w:rtl/>
        </w:rPr>
        <w:t xml:space="preserve"> </w:t>
      </w:r>
      <w:r>
        <w:rPr>
          <w:rFonts w:hint="cs"/>
          <w:bCs/>
          <w:rtl/>
        </w:rPr>
        <w:t>نقرؤها ونؤمن بها ولا نفسرها</w:t>
      </w:r>
      <w:r>
        <w:rPr>
          <w:rFonts w:hint="cs"/>
          <w:rtl/>
        </w:rPr>
        <w:t xml:space="preserve"> وذهب إليه كثير من الأئمة وهذا كما روي عن مالك رحمه الله أن رجلا سأله عن قوله تعالى</w:t>
      </w:r>
      <w:r w:rsidR="000636C2">
        <w:rPr>
          <w:rFonts w:hint="cs"/>
          <w:rtl/>
        </w:rPr>
        <w:t xml:space="preserve"> </w:t>
      </w:r>
      <w:r>
        <w:rPr>
          <w:rFonts w:hint="cs"/>
          <w:rtl/>
        </w:rPr>
        <w:t>الرحمن على العرش أستوى قال مالك</w:t>
      </w:r>
      <w:r w:rsidR="000636C2">
        <w:rPr>
          <w:rFonts w:hint="cs"/>
          <w:rtl/>
        </w:rPr>
        <w:t xml:space="preserve"> </w:t>
      </w:r>
      <w:r>
        <w:rPr>
          <w:rFonts w:hint="cs"/>
          <w:rtl/>
        </w:rPr>
        <w:t>الأستواء غير مجهول والكيف غير معقول والإيمان به واجب</w:t>
      </w:r>
      <w:r w:rsidR="000636C2">
        <w:rPr>
          <w:rFonts w:hint="cs"/>
          <w:rtl/>
        </w:rPr>
        <w:t xml:space="preserve"> </w:t>
      </w:r>
      <w:r>
        <w:rPr>
          <w:rFonts w:hint="cs"/>
          <w:rtl/>
        </w:rPr>
        <w:t>والسؤال عنه بدعة " [تفسير القرطبي ج: 1 ص: 254] أهـ</w:t>
      </w:r>
      <w:r w:rsidR="000636C2">
        <w:rPr>
          <w:rFonts w:hint="cs"/>
          <w:rtl/>
        </w:rPr>
        <w:t xml:space="preserve">، </w:t>
      </w:r>
      <w:r w:rsidR="000636C2">
        <w:rPr>
          <w:rFonts w:hint="cs"/>
          <w:bCs/>
          <w:rtl/>
        </w:rPr>
        <w:t>(</w:t>
      </w:r>
      <w:r>
        <w:rPr>
          <w:rFonts w:hint="cs"/>
          <w:bCs/>
          <w:rtl/>
        </w:rPr>
        <w:t>5</w:t>
      </w:r>
      <w:r w:rsidR="000636C2">
        <w:rPr>
          <w:rFonts w:hint="cs"/>
          <w:bCs/>
          <w:rtl/>
        </w:rPr>
        <w:t>)</w:t>
      </w:r>
      <w:r>
        <w:rPr>
          <w:rFonts w:hint="cs"/>
          <w:bCs/>
          <w:rtl/>
        </w:rPr>
        <w:t xml:space="preserve"> الإمام الشافعي ومذهب السلف</w:t>
      </w:r>
      <w:r w:rsidR="000636C2">
        <w:rPr>
          <w:rFonts w:hint="cs"/>
          <w:bCs/>
          <w:rtl/>
        </w:rPr>
        <w:t>:</w:t>
      </w:r>
      <w:r>
        <w:rPr>
          <w:rFonts w:hint="cs"/>
          <w:bCs/>
          <w:rtl/>
        </w:rPr>
        <w:t xml:space="preserve"> جاء في طبقات الشافعية الكبرى للإمام السبكي</w:t>
      </w:r>
      <w:r w:rsidR="000636C2">
        <w:rPr>
          <w:rFonts w:hint="cs"/>
          <w:bCs/>
          <w:rtl/>
        </w:rPr>
        <w:t>:</w:t>
      </w:r>
      <w:r>
        <w:rPr>
          <w:rFonts w:hint="cs"/>
          <w:bCs/>
          <w:rtl/>
        </w:rPr>
        <w:t xml:space="preserve"> </w:t>
      </w:r>
      <w:r>
        <w:rPr>
          <w:rFonts w:hint="cs"/>
          <w:rtl/>
        </w:rPr>
        <w:t xml:space="preserve">" </w:t>
      </w:r>
      <w:r>
        <w:rPr>
          <w:rFonts w:hint="cs"/>
          <w:bCs/>
          <w:rtl/>
        </w:rPr>
        <w:t>وسئل الشافعي رضي الله عنه عن صفات الله فقال</w:t>
      </w:r>
      <w:r w:rsidR="000636C2">
        <w:rPr>
          <w:rFonts w:hint="cs"/>
          <w:rtl/>
        </w:rPr>
        <w:t>:</w:t>
      </w:r>
      <w:r>
        <w:rPr>
          <w:rFonts w:hint="cs"/>
          <w:rtl/>
        </w:rPr>
        <w:t xml:space="preserve">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sidR="000636C2">
        <w:rPr>
          <w:rFonts w:hint="cs"/>
          <w:rtl/>
        </w:rPr>
        <w:t xml:space="preserve"> </w:t>
      </w:r>
      <w:r>
        <w:rPr>
          <w:rFonts w:hint="cs"/>
          <w:rtl/>
        </w:rPr>
        <w:t xml:space="preserve">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w:t>
      </w:r>
      <w:r>
        <w:rPr>
          <w:rFonts w:hint="cs"/>
          <w:rtl/>
          <w:lang w:bidi="ar-KW"/>
        </w:rPr>
        <w:t>[</w:t>
      </w:r>
      <w:r>
        <w:rPr>
          <w:rFonts w:hint="cs"/>
          <w:rtl/>
        </w:rPr>
        <w:t>طبقات الشافعية الكبرى ج 9 ص 4</w:t>
      </w:r>
      <w:r w:rsidR="000636C2">
        <w:rPr>
          <w:rFonts w:hint="cs"/>
          <w:rtl/>
        </w:rPr>
        <w:t>،]</w:t>
      </w:r>
      <w:r>
        <w:rPr>
          <w:rFonts w:hint="cs"/>
          <w:rtl/>
        </w:rPr>
        <w:t xml:space="preserve"> أهـ</w:t>
      </w:r>
      <w:r w:rsidR="000636C2">
        <w:rPr>
          <w:rFonts w:hint="cs"/>
          <w:rtl/>
        </w:rPr>
        <w:t xml:space="preserve">، </w:t>
      </w:r>
      <w:r w:rsidR="000636C2">
        <w:rPr>
          <w:rFonts w:hint="cs"/>
          <w:bCs/>
          <w:rtl/>
        </w:rPr>
        <w:t>(</w:t>
      </w:r>
      <w:r>
        <w:rPr>
          <w:rFonts w:hint="cs"/>
          <w:bCs/>
          <w:rtl/>
        </w:rPr>
        <w:t>6</w:t>
      </w:r>
      <w:r w:rsidR="000636C2">
        <w:rPr>
          <w:rFonts w:hint="cs"/>
          <w:bCs/>
          <w:rtl/>
        </w:rPr>
        <w:t>)</w:t>
      </w:r>
      <w:r>
        <w:rPr>
          <w:rFonts w:hint="cs"/>
          <w:bCs/>
          <w:rtl/>
        </w:rPr>
        <w:t xml:space="preserve"> الإمام أحمد ومذهب السلف</w:t>
      </w:r>
      <w:r w:rsidR="000636C2">
        <w:rPr>
          <w:rFonts w:hint="cs"/>
          <w:bCs/>
          <w:rtl/>
        </w:rPr>
        <w:t>:</w:t>
      </w:r>
      <w:r>
        <w:rPr>
          <w:rFonts w:hint="cs"/>
          <w:bCs/>
          <w:rtl/>
        </w:rPr>
        <w:t xml:space="preserve"> جاء في كتاب عقيدة الإمام أحمد بن حنبل</w:t>
      </w:r>
      <w:r w:rsidR="000636C2">
        <w:rPr>
          <w:rFonts w:hint="cs"/>
          <w:bCs/>
          <w:rtl/>
        </w:rPr>
        <w:t>:</w:t>
      </w:r>
      <w:r>
        <w:rPr>
          <w:rFonts w:hint="cs"/>
          <w:bCs/>
          <w:rtl/>
        </w:rPr>
        <w:t xml:space="preserve"> </w:t>
      </w:r>
      <w:r>
        <w:rPr>
          <w:rFonts w:hint="cs"/>
          <w:rtl/>
        </w:rPr>
        <w:t>(</w:t>
      </w:r>
      <w:r w:rsidR="000636C2">
        <w:rPr>
          <w:rFonts w:hint="cs"/>
          <w:rtl/>
        </w:rPr>
        <w:t>(</w:t>
      </w:r>
      <w:r>
        <w:rPr>
          <w:rFonts w:hint="cs"/>
          <w:rtl/>
        </w:rPr>
        <w:t>نص اعتقاد الإمام أحمد بن حنبل</w:t>
      </w:r>
      <w:r w:rsidR="000636C2">
        <w:rPr>
          <w:rFonts w:hint="cs"/>
          <w:rtl/>
        </w:rPr>
        <w:t xml:space="preserve"> </w:t>
      </w:r>
      <w:r>
        <w:rPr>
          <w:rFonts w:hint="cs"/>
          <w:rtl/>
        </w:rPr>
        <w:t>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0636C2">
        <w:rPr>
          <w:rFonts w:hint="cs"/>
          <w:rtl/>
        </w:rPr>
        <w:t xml:space="preserve"> </w:t>
      </w:r>
      <w:r>
        <w:rPr>
          <w:rFonts w:hint="cs"/>
          <w:rtl/>
        </w:rPr>
        <w:t>مجمل الاعتقاد [العقيدة ج: 1 ص: 10 1</w:t>
      </w:r>
      <w:r w:rsidR="000636C2">
        <w:rPr>
          <w:rFonts w:hint="cs"/>
          <w:rtl/>
        </w:rPr>
        <w:t>]</w:t>
      </w:r>
      <w:r>
        <w:rPr>
          <w:rFonts w:hint="cs"/>
          <w:rtl/>
        </w:rPr>
        <w:t>...</w:t>
      </w:r>
      <w:r>
        <w:rPr>
          <w:rFonts w:hint="cs"/>
          <w:bCs/>
          <w:rtl/>
        </w:rPr>
        <w:t xml:space="preserve"> 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sidR="000636C2">
        <w:rPr>
          <w:rFonts w:hint="cs"/>
          <w:bCs/>
          <w:rtl/>
        </w:rPr>
        <w:t xml:space="preserve"> </w:t>
      </w:r>
      <w:r>
        <w:rPr>
          <w:rFonts w:hint="cs"/>
          <w:bCs/>
          <w:rtl/>
        </w:rPr>
        <w:t xml:space="preserve">ليس كمثله شيء وهو السميع البصير " </w:t>
      </w:r>
      <w:r>
        <w:rPr>
          <w:rFonts w:hint="cs"/>
          <w:rtl/>
        </w:rPr>
        <w:t>[العقيدة ج: 1 ص: 127] أهـ</w:t>
      </w:r>
      <w:r w:rsidR="000636C2">
        <w:rPr>
          <w:rFonts w:hint="cs"/>
          <w:bCs/>
          <w:rtl/>
        </w:rPr>
        <w:t>،</w:t>
      </w:r>
      <w:r>
        <w:rPr>
          <w:rFonts w:hint="cs"/>
          <w:bCs/>
          <w:rtl/>
        </w:rPr>
        <w:t xml:space="preserve"> </w:t>
      </w:r>
      <w:r>
        <w:rPr>
          <w:rFonts w:hint="cs"/>
          <w:rtl/>
        </w:rPr>
        <w:t>ونفس النص السابق جاء في كتاب اعتقاد الإمام المبجل ابن حنبل</w:t>
      </w:r>
      <w:r w:rsidR="000636C2">
        <w:rPr>
          <w:rFonts w:hint="cs"/>
          <w:rtl/>
        </w:rPr>
        <w:t>،</w:t>
      </w:r>
      <w:r>
        <w:rPr>
          <w:rFonts w:hint="cs"/>
          <w:rtl/>
        </w:rPr>
        <w:t xml:space="preserve"> "</w:t>
      </w:r>
      <w:r w:rsidR="000636C2">
        <w:rPr>
          <w:rFonts w:hint="cs"/>
          <w:rtl/>
        </w:rPr>
        <w:t xml:space="preserve"> </w:t>
      </w:r>
      <w:r>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w:t>
      </w:r>
      <w:r w:rsidR="000636C2">
        <w:rPr>
          <w:rFonts w:hint="cs"/>
          <w:rtl/>
        </w:rPr>
        <w:t xml:space="preserve"> </w:t>
      </w:r>
      <w:r>
        <w:rPr>
          <w:rFonts w:hint="cs"/>
          <w:rtl/>
        </w:rPr>
        <w:t>حد</w:t>
      </w:r>
      <w:r w:rsidR="000636C2">
        <w:rPr>
          <w:rFonts w:hint="cs"/>
          <w:rtl/>
        </w:rPr>
        <w:t xml:space="preserve"> </w:t>
      </w:r>
      <w:r>
        <w:rPr>
          <w:rFonts w:hint="cs"/>
          <w:rtl/>
        </w:rPr>
        <w:t xml:space="preserve">ولا غاية ليس كمثله شيء وهو السميع البصير </w:t>
      </w:r>
      <w:r>
        <w:rPr>
          <w:rFonts w:hint="cs"/>
          <w:bCs/>
          <w:rtl/>
        </w:rPr>
        <w:t>ومن تكلم في معناها ابتدع</w:t>
      </w:r>
      <w:r>
        <w:rPr>
          <w:rFonts w:hint="cs"/>
          <w:rtl/>
        </w:rPr>
        <w:t xml:space="preserve"> " </w:t>
      </w:r>
      <w:r>
        <w:rPr>
          <w:rFonts w:hint="cs"/>
          <w:rtl/>
          <w:lang w:bidi="ar-KW"/>
        </w:rPr>
        <w:t>[</w:t>
      </w:r>
      <w:r>
        <w:rPr>
          <w:rFonts w:hint="cs"/>
          <w:rtl/>
        </w:rPr>
        <w:t>اعتقاد الإمام المبجل ابن حنبل ج 1 ص 30 7</w:t>
      </w:r>
      <w:r>
        <w:rPr>
          <w:rFonts w:hint="cs"/>
          <w:rtl/>
          <w:lang w:bidi="ar-KW"/>
        </w:rPr>
        <w:t>]</w:t>
      </w:r>
      <w:r w:rsidR="000636C2">
        <w:rPr>
          <w:rFonts w:hint="cs"/>
          <w:rtl/>
          <w:lang w:bidi="ar-KW"/>
        </w:rPr>
        <w:t xml:space="preserve"> </w:t>
      </w:r>
      <w:r>
        <w:rPr>
          <w:rFonts w:hint="cs"/>
          <w:rtl/>
        </w:rPr>
        <w:t>أهـ</w:t>
      </w:r>
      <w:r w:rsidR="000636C2">
        <w:rPr>
          <w:rFonts w:hint="cs"/>
          <w:rtl/>
        </w:rPr>
        <w:t>،</w:t>
      </w:r>
      <w:r w:rsidR="000636C2">
        <w:rPr>
          <w:rFonts w:hint="cs"/>
          <w:rtl/>
          <w:lang w:bidi="ar-KW"/>
        </w:rPr>
        <w:t xml:space="preserve"> </w:t>
      </w:r>
      <w:r w:rsidR="000636C2">
        <w:rPr>
          <w:rFonts w:hint="cs"/>
          <w:bCs/>
          <w:rtl/>
        </w:rPr>
        <w:t>(</w:t>
      </w:r>
      <w:r>
        <w:rPr>
          <w:rFonts w:hint="cs"/>
          <w:bCs/>
          <w:rtl/>
        </w:rPr>
        <w:t>7</w:t>
      </w:r>
      <w:r w:rsidR="000636C2">
        <w:rPr>
          <w:rFonts w:hint="cs"/>
          <w:bCs/>
          <w:rtl/>
        </w:rPr>
        <w:t>)</w:t>
      </w:r>
      <w:r>
        <w:rPr>
          <w:rFonts w:hint="cs"/>
          <w:bCs/>
          <w:rtl/>
        </w:rPr>
        <w:t xml:space="preserve"> مذهب السلف الإمساك مع اعتقاد التنزيه</w:t>
      </w:r>
      <w:r w:rsidR="000636C2">
        <w:rPr>
          <w:rFonts w:hint="cs"/>
          <w:bCs/>
          <w:rtl/>
        </w:rPr>
        <w:t>:</w:t>
      </w:r>
      <w:r>
        <w:rPr>
          <w:rFonts w:hint="cs"/>
          <w:bCs/>
          <w:rtl/>
        </w:rPr>
        <w:t xml:space="preserve"> قال ابن كثير في تفسيره</w:t>
      </w:r>
      <w:r w:rsidR="000636C2">
        <w:rPr>
          <w:rFonts w:hint="cs"/>
          <w:rtl/>
        </w:rPr>
        <w:t>:</w:t>
      </w:r>
      <w:r>
        <w:rPr>
          <w:rFonts w:hint="cs"/>
          <w:rtl/>
        </w:rPr>
        <w:t xml:space="preserve"> " فقوله وهو العلى </w:t>
      </w:r>
      <w:r>
        <w:rPr>
          <w:rFonts w:hint="cs"/>
          <w:rtl/>
        </w:rPr>
        <w:lastRenderedPageBreak/>
        <w:t>العظيم كقوله وهو الكبير المتعال وهذه الآيات وما في معناها من الأحاديث الصحاح الأجود فيها طريقة السلف الصالح</w:t>
      </w:r>
      <w:r w:rsidR="000636C2">
        <w:rPr>
          <w:rFonts w:hint="cs"/>
          <w:rtl/>
        </w:rPr>
        <w:t xml:space="preserve"> </w:t>
      </w:r>
      <w:r>
        <w:rPr>
          <w:rFonts w:hint="cs"/>
          <w:bCs/>
          <w:rtl/>
        </w:rPr>
        <w:t>أمروها</w:t>
      </w:r>
      <w:r w:rsidR="000636C2">
        <w:rPr>
          <w:rFonts w:hint="cs"/>
          <w:bCs/>
          <w:rtl/>
        </w:rPr>
        <w:t xml:space="preserve"> </w:t>
      </w:r>
      <w:r>
        <w:rPr>
          <w:rFonts w:hint="cs"/>
          <w:bCs/>
          <w:rtl/>
        </w:rPr>
        <w:t>كما جاءت من غير تكييف ولا تشبيه</w:t>
      </w:r>
      <w:r>
        <w:rPr>
          <w:rFonts w:hint="cs"/>
          <w:rtl/>
        </w:rPr>
        <w:t xml:space="preserve"> " [تفسير ابن كثير ج: 1 ص: 311] أهـ</w:t>
      </w:r>
      <w:r w:rsidR="000636C2">
        <w:rPr>
          <w:rFonts w:hint="cs"/>
          <w:rtl/>
        </w:rPr>
        <w:t>،</w:t>
      </w:r>
      <w:r>
        <w:rPr>
          <w:rFonts w:hint="cs"/>
          <w:rtl/>
        </w:rPr>
        <w:t xml:space="preserve"> </w:t>
      </w:r>
      <w:r>
        <w:rPr>
          <w:rFonts w:hint="cs"/>
          <w:bCs/>
          <w:rtl/>
        </w:rPr>
        <w:t>وقال الزركشي في البرهان</w:t>
      </w:r>
      <w:r w:rsidR="000636C2">
        <w:rPr>
          <w:rFonts w:hint="cs"/>
          <w:bCs/>
          <w:rtl/>
        </w:rPr>
        <w:t>:</w:t>
      </w:r>
      <w:r>
        <w:rPr>
          <w:rFonts w:hint="cs"/>
          <w:bCs/>
          <w:rtl/>
        </w:rPr>
        <w:t xml:space="preserve"> " </w:t>
      </w:r>
      <w:r>
        <w:rPr>
          <w:rFonts w:hint="cs"/>
          <w:rtl/>
        </w:rPr>
        <w:t>فصل في حكم الآيات المتشابهات الواردة في الصفات</w:t>
      </w:r>
      <w:r w:rsidR="000636C2">
        <w:rPr>
          <w:rtl/>
        </w:rPr>
        <w:t xml:space="preserve"> </w:t>
      </w:r>
      <w:r>
        <w:rPr>
          <w:rFonts w:hint="cs"/>
          <w:rtl/>
        </w:rPr>
        <w:t>وقد اختلف الناس في الوارد منها في الآيات والأحاديث على ثلاث فرق</w:t>
      </w:r>
      <w:r w:rsidR="000636C2">
        <w:rPr>
          <w:rtl/>
        </w:rPr>
        <w:t xml:space="preserve"> </w:t>
      </w:r>
      <w:r>
        <w:rPr>
          <w:rFonts w:hint="cs"/>
          <w:rtl/>
        </w:rPr>
        <w:t>أحدها أنه لا مدخل للتأويل فيها بل تجري على ظاهرها ولا تؤول شيئا منها وهم المشبهة</w:t>
      </w:r>
      <w:r w:rsidR="000636C2">
        <w:rPr>
          <w:rtl/>
        </w:rPr>
        <w:t xml:space="preserve"> </w:t>
      </w:r>
      <w:r>
        <w:rPr>
          <w:rFonts w:hint="cs"/>
          <w:bCs/>
          <w:rtl/>
        </w:rPr>
        <w:t>والثاني أن لها تأويلا ولكنا نمسك عنه مع تنزيه اعتقادنا عن الشبه والتعطيل ونقول لا يعلمه إلا الله وهو قول السلف</w:t>
      </w:r>
      <w:r w:rsidR="000636C2">
        <w:rPr>
          <w:rtl/>
        </w:rPr>
        <w:t xml:space="preserve"> </w:t>
      </w:r>
      <w:r>
        <w:rPr>
          <w:rFonts w:hint="cs"/>
          <w:rtl/>
        </w:rPr>
        <w:t>والثالث أنها مؤولة وأولوها على ما يليق به</w:t>
      </w:r>
      <w:r w:rsidR="000636C2">
        <w:rPr>
          <w:rtl/>
        </w:rPr>
        <w:t xml:space="preserve"> </w:t>
      </w:r>
      <w:r>
        <w:rPr>
          <w:rFonts w:hint="cs"/>
          <w:rtl/>
        </w:rPr>
        <w:t xml:space="preserve">والأول باطل والأخيران منقولان عن الصحابة </w:t>
      </w:r>
      <w:r>
        <w:rPr>
          <w:rFonts w:hint="cs"/>
          <w:bCs/>
          <w:rtl/>
        </w:rPr>
        <w:t xml:space="preserve">فنقل الإمساك عن أم سلمة </w:t>
      </w:r>
      <w:r>
        <w:rPr>
          <w:rFonts w:hint="cs"/>
          <w:rtl/>
        </w:rPr>
        <w:t xml:space="preserve">أنها سئلت عن الاستواء فقالت الاستواء معلوم والكيف مجهول والإيمان به واجب والسؤال عنه بدعة وكذلك </w:t>
      </w:r>
      <w:r>
        <w:rPr>
          <w:rFonts w:hint="cs"/>
          <w:bCs/>
          <w:rtl/>
        </w:rPr>
        <w:t>سئل عنه مالك</w:t>
      </w:r>
      <w:r>
        <w:rPr>
          <w:rFonts w:hint="cs"/>
          <w:rtl/>
        </w:rPr>
        <w:t xml:space="preserve"> فأجاب بما قالته أم سلمة إلا أنه زاد فيها أن من عاد إلى هذا السؤال عنه أضرب عنقه وكذلك سئل سفيان الثوري فقال أفهم من قوله </w:t>
      </w:r>
      <w:r w:rsidR="000636C2">
        <w:rPr>
          <w:rFonts w:hint="cs"/>
          <w:rtl/>
        </w:rPr>
        <w:t>(</w:t>
      </w:r>
      <w:r>
        <w:rPr>
          <w:rFonts w:hint="cs"/>
          <w:rtl/>
        </w:rPr>
        <w:t>الرحمن على العرش استوى</w:t>
      </w:r>
      <w:r w:rsidR="000636C2">
        <w:rPr>
          <w:rFonts w:hint="cs"/>
          <w:rtl/>
        </w:rPr>
        <w:t>)</w:t>
      </w:r>
      <w:r>
        <w:rPr>
          <w:rFonts w:hint="cs"/>
          <w:rtl/>
        </w:rPr>
        <w:t xml:space="preserve"> ما أفهم من قوله </w:t>
      </w:r>
      <w:r w:rsidR="000636C2">
        <w:rPr>
          <w:rFonts w:hint="cs"/>
          <w:rtl/>
        </w:rPr>
        <w:t>(</w:t>
      </w:r>
      <w:r>
        <w:rPr>
          <w:rFonts w:hint="cs"/>
          <w:rtl/>
        </w:rPr>
        <w:t>ثم استوى إلى السماء</w:t>
      </w:r>
      <w:r w:rsidR="000636C2">
        <w:rPr>
          <w:rFonts w:hint="cs"/>
          <w:rtl/>
        </w:rPr>
        <w:t>)</w:t>
      </w:r>
      <w:r>
        <w:rPr>
          <w:rFonts w:hint="cs"/>
          <w:rtl/>
        </w:rPr>
        <w:t xml:space="preserve"> </w:t>
      </w:r>
      <w:r>
        <w:rPr>
          <w:rFonts w:hint="cs"/>
          <w:bCs/>
          <w:rtl/>
        </w:rPr>
        <w:t>وسئل الأوزاعي</w:t>
      </w:r>
      <w:r>
        <w:rPr>
          <w:rFonts w:hint="cs"/>
          <w:rtl/>
        </w:rPr>
        <w:t xml:space="preserve"> عن تفسير هذه الآية فقال </w:t>
      </w:r>
      <w:r w:rsidR="000636C2">
        <w:rPr>
          <w:rFonts w:hint="cs"/>
          <w:rtl/>
        </w:rPr>
        <w:t>(</w:t>
      </w:r>
      <w:r>
        <w:rPr>
          <w:rFonts w:hint="cs"/>
          <w:rtl/>
        </w:rPr>
        <w:t>الرحمن على العرش استوى</w:t>
      </w:r>
      <w:r w:rsidR="000636C2">
        <w:rPr>
          <w:rFonts w:hint="cs"/>
          <w:rtl/>
        </w:rPr>
        <w:t>)</w:t>
      </w:r>
      <w:r>
        <w:rPr>
          <w:rFonts w:hint="cs"/>
          <w:rtl/>
        </w:rPr>
        <w:t xml:space="preserve">كما قال وإني لأراك ضالا </w:t>
      </w:r>
      <w:r>
        <w:rPr>
          <w:rFonts w:hint="cs"/>
          <w:bCs/>
          <w:rtl/>
        </w:rPr>
        <w:t>وسئل ابن راهويه</w:t>
      </w:r>
      <w:r>
        <w:rPr>
          <w:rFonts w:hint="cs"/>
          <w:rtl/>
        </w:rPr>
        <w:t xml:space="preserve"> عن الاستواء أقائم هو أم قاعد فقال لا يمل القيام حتى يقعد ولا يمل القعود حتى يقوم وأنت إلى هذا السؤال أحوج</w:t>
      </w:r>
      <w:r w:rsidR="000636C2">
        <w:rPr>
          <w:rFonts w:hint="cs"/>
          <w:rtl/>
        </w:rPr>
        <w:t xml:space="preserve"> </w:t>
      </w:r>
      <w:r>
        <w:rPr>
          <w:rFonts w:hint="cs"/>
          <w:bCs/>
          <w:rtl/>
        </w:rPr>
        <w:t>قال الشيخ أبو عمرو بن الصلاح</w:t>
      </w:r>
      <w:r w:rsidR="000636C2">
        <w:rPr>
          <w:rFonts w:hint="cs"/>
          <w:bCs/>
          <w:rtl/>
        </w:rPr>
        <w:t>:</w:t>
      </w:r>
      <w:r>
        <w:rPr>
          <w:rFonts w:hint="cs"/>
          <w:bCs/>
          <w:rtl/>
        </w:rPr>
        <w:t xml:space="preserve"> وعلى هذه الطريقة مضى صدر الأمة وسادتها " </w:t>
      </w:r>
      <w:r>
        <w:rPr>
          <w:rFonts w:hint="cs"/>
          <w:rtl/>
          <w:lang w:bidi="ar-KW"/>
        </w:rPr>
        <w:t>[</w:t>
      </w:r>
      <w:r>
        <w:rPr>
          <w:rFonts w:hint="cs"/>
          <w:rtl/>
        </w:rPr>
        <w:t>البرهان في علوم القرآن ج: 2 ص: 78</w:t>
      </w:r>
      <w:r>
        <w:rPr>
          <w:rFonts w:hint="cs"/>
          <w:rtl/>
          <w:lang w:bidi="ar-KW"/>
        </w:rPr>
        <w:t>]</w:t>
      </w:r>
      <w:r>
        <w:rPr>
          <w:rFonts w:hint="cs"/>
          <w:rtl/>
        </w:rPr>
        <w:t xml:space="preserve"> أهـ</w:t>
      </w:r>
      <w:r w:rsidR="000636C2">
        <w:rPr>
          <w:rFonts w:hint="cs"/>
          <w:rtl/>
        </w:rPr>
        <w:t xml:space="preserve">، </w:t>
      </w:r>
      <w:r>
        <w:rPr>
          <w:rFonts w:hint="cs"/>
          <w:bCs/>
          <w:rtl/>
        </w:rPr>
        <w:t>وقال الحافظ ابن حجر في الفتح</w:t>
      </w:r>
      <w:r w:rsidR="000636C2">
        <w:rPr>
          <w:rFonts w:hint="cs"/>
          <w:rtl/>
        </w:rPr>
        <w:t>:</w:t>
      </w:r>
      <w:r>
        <w:rPr>
          <w:rFonts w:hint="cs"/>
          <w:rtl/>
        </w:rPr>
        <w:t xml:space="preserve"> "</w:t>
      </w:r>
      <w:r w:rsidR="000636C2">
        <w:rPr>
          <w:rFonts w:hint="cs"/>
          <w:rtl/>
        </w:rPr>
        <w:t xml:space="preserve"> </w:t>
      </w:r>
      <w:r>
        <w:rPr>
          <w:rFonts w:hint="cs"/>
          <w:rtl/>
        </w:rPr>
        <w:t xml:space="preserve">وأسند البيهقي بسند صحيح عن احمد بن أبي الحواري </w:t>
      </w:r>
      <w:r>
        <w:rPr>
          <w:rFonts w:hint="cs"/>
          <w:bCs/>
          <w:rtl/>
        </w:rPr>
        <w:t>عن سفيان بن عيينة</w:t>
      </w:r>
      <w:r>
        <w:rPr>
          <w:rFonts w:hint="cs"/>
          <w:rtl/>
        </w:rPr>
        <w:t xml:space="preserve"> قال </w:t>
      </w:r>
      <w:r>
        <w:rPr>
          <w:rFonts w:hint="cs"/>
          <w:bCs/>
          <w:rtl/>
        </w:rPr>
        <w:t>كل ما وصف الله به نفسه في كتابه فتفسيره تلاوته والسكوت عنه "</w:t>
      </w:r>
      <w:r w:rsidR="000636C2">
        <w:rPr>
          <w:rFonts w:hint="cs"/>
          <w:bCs/>
          <w:rtl/>
        </w:rPr>
        <w:t xml:space="preserve"> </w:t>
      </w:r>
      <w:r>
        <w:rPr>
          <w:rFonts w:hint="cs"/>
          <w:rtl/>
        </w:rPr>
        <w:t>[فتح الباري ج13 ص 4</w:t>
      </w:r>
      <w:r w:rsidR="000636C2">
        <w:rPr>
          <w:rFonts w:hint="cs"/>
          <w:rtl/>
        </w:rPr>
        <w:t>،</w:t>
      </w:r>
      <w:r>
        <w:rPr>
          <w:rFonts w:hint="cs"/>
          <w:rtl/>
        </w:rPr>
        <w:t xml:space="preserve"> 7] أهـ</w:t>
      </w:r>
      <w:r w:rsidR="000636C2">
        <w:rPr>
          <w:rFonts w:hint="cs"/>
          <w:rtl/>
        </w:rPr>
        <w:t>،</w:t>
      </w:r>
      <w:r>
        <w:rPr>
          <w:rFonts w:hint="cs"/>
          <w:rtl/>
        </w:rPr>
        <w:t xml:space="preserve"> </w:t>
      </w:r>
      <w:r>
        <w:rPr>
          <w:rFonts w:hint="cs"/>
          <w:bCs/>
          <w:rtl/>
        </w:rPr>
        <w:t>وقال القرطبي في تفسيره</w:t>
      </w:r>
      <w:r w:rsidR="000636C2">
        <w:rPr>
          <w:rFonts w:hint="cs"/>
          <w:bCs/>
          <w:rtl/>
        </w:rPr>
        <w:t>:</w:t>
      </w:r>
      <w:r w:rsidR="000636C2">
        <w:rPr>
          <w:rFonts w:hint="cs"/>
          <w:rtl/>
        </w:rPr>
        <w:t xml:space="preserve"> </w:t>
      </w:r>
      <w:r>
        <w:rPr>
          <w:rFonts w:hint="cs"/>
          <w:rtl/>
        </w:rPr>
        <w:t>" قال بعضهم</w:t>
      </w:r>
      <w:r w:rsidR="000636C2">
        <w:rPr>
          <w:rFonts w:hint="cs"/>
          <w:rtl/>
        </w:rPr>
        <w:t xml:space="preserve"> </w:t>
      </w:r>
      <w:r>
        <w:rPr>
          <w:rFonts w:hint="cs"/>
          <w:bCs/>
          <w:rtl/>
        </w:rPr>
        <w:t>نقرؤها ونؤمن بها ولا نفسرها</w:t>
      </w:r>
      <w:r>
        <w:rPr>
          <w:rFonts w:hint="cs"/>
          <w:rtl/>
        </w:rPr>
        <w:t xml:space="preserve"> وذهب إليه كثير من الأئمة وهذا كما روي عن مالك رحمه الله أن رجلا سأله عن قوله تعالى</w:t>
      </w:r>
      <w:r w:rsidR="000636C2">
        <w:rPr>
          <w:rFonts w:hint="cs"/>
          <w:rtl/>
        </w:rPr>
        <w:t xml:space="preserve"> </w:t>
      </w:r>
      <w:r>
        <w:rPr>
          <w:rFonts w:hint="cs"/>
          <w:rtl/>
        </w:rPr>
        <w:t>الرحمن على العرش أستوى قال مالك</w:t>
      </w:r>
      <w:r w:rsidR="000636C2">
        <w:rPr>
          <w:rFonts w:hint="cs"/>
          <w:rtl/>
        </w:rPr>
        <w:t xml:space="preserve"> </w:t>
      </w:r>
      <w:r>
        <w:rPr>
          <w:rFonts w:hint="cs"/>
          <w:rtl/>
        </w:rPr>
        <w:t>الأستواء غير مجهول والكيف غير معقول والإيمان به واجب</w:t>
      </w:r>
      <w:r w:rsidR="000636C2">
        <w:rPr>
          <w:rFonts w:hint="cs"/>
          <w:rtl/>
        </w:rPr>
        <w:t xml:space="preserve"> </w:t>
      </w:r>
      <w:r>
        <w:rPr>
          <w:rFonts w:hint="cs"/>
          <w:rtl/>
        </w:rPr>
        <w:t>والسؤال عنه بدعة" [تفسير القرطبي ج 1 ص254] أهـ</w:t>
      </w:r>
      <w:r w:rsidR="000636C2">
        <w:rPr>
          <w:rFonts w:hint="cs"/>
          <w:rtl/>
        </w:rPr>
        <w:t xml:space="preserve">، </w:t>
      </w:r>
      <w:r>
        <w:rPr>
          <w:rFonts w:hint="cs"/>
          <w:bCs/>
          <w:rtl/>
        </w:rPr>
        <w:t>وقال الزرقاني في شرحه على موطأ مالك</w:t>
      </w:r>
      <w:r w:rsidR="000636C2">
        <w:rPr>
          <w:rFonts w:hint="cs"/>
          <w:bCs/>
          <w:rtl/>
        </w:rPr>
        <w:t>:</w:t>
      </w:r>
      <w:r>
        <w:rPr>
          <w:rFonts w:hint="cs"/>
          <w:bCs/>
          <w:rtl/>
        </w:rPr>
        <w:t xml:space="preserve"> </w:t>
      </w:r>
      <w:r>
        <w:rPr>
          <w:bCs/>
        </w:rPr>
        <w:t>"</w:t>
      </w:r>
      <w:r w:rsidR="000636C2">
        <w:rPr>
          <w:bCs/>
          <w:rtl/>
        </w:rPr>
        <w:t xml:space="preserve"> </w:t>
      </w:r>
      <w:r>
        <w:rPr>
          <w:rFonts w:hint="cs"/>
          <w:rtl/>
        </w:rPr>
        <w:t>وعن أبي سلمة بن عبد الرحمن بن عوف القرشي الزهري عن أبي هريرة أن رسول الله قال</w:t>
      </w:r>
      <w:r w:rsidR="000636C2">
        <w:rPr>
          <w:rFonts w:hint="cs"/>
          <w:rtl/>
        </w:rPr>
        <w:t>:</w:t>
      </w:r>
      <w:r>
        <w:rPr>
          <w:rFonts w:hint="cs"/>
          <w:rtl/>
        </w:rPr>
        <w:t xml:space="preserve"> </w:t>
      </w:r>
      <w:r w:rsidR="000636C2">
        <w:rPr>
          <w:rtl/>
        </w:rPr>
        <w:t>(</w:t>
      </w:r>
      <w:r>
        <w:rPr>
          <w:rFonts w:hint="cs"/>
          <w:rtl/>
        </w:rPr>
        <w:t>ينزل ربنا</w:t>
      </w:r>
      <w:r w:rsidR="000636C2">
        <w:rPr>
          <w:rFonts w:hint="cs"/>
          <w:rtl/>
        </w:rPr>
        <w:t>)</w:t>
      </w:r>
      <w:r>
        <w:rPr>
          <w:rFonts w:hint="cs"/>
          <w:rtl/>
        </w:rPr>
        <w:t xml:space="preserve"> اختلف فيه </w:t>
      </w:r>
      <w:r>
        <w:rPr>
          <w:rFonts w:hint="cs"/>
          <w:bCs/>
          <w:rtl/>
        </w:rPr>
        <w:t>فالراسخون في العلم يقولون آمنا به كل من عند ربنا على طريق الإجمال منزهين لله تعالى عن الكيفية والتشبيه</w:t>
      </w:r>
      <w:r w:rsidR="000636C2">
        <w:rPr>
          <w:bCs/>
          <w:rtl/>
        </w:rPr>
        <w:t xml:space="preserve"> </w:t>
      </w:r>
      <w:r>
        <w:rPr>
          <w:rFonts w:hint="cs"/>
          <w:bCs/>
          <w:rtl/>
        </w:rPr>
        <w:t xml:space="preserve">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 </w:t>
      </w:r>
      <w:r>
        <w:rPr>
          <w:bCs/>
        </w:rPr>
        <w:t>"</w:t>
      </w:r>
      <w:r>
        <w:rPr>
          <w:rtl/>
        </w:rPr>
        <w:t xml:space="preserve"> </w:t>
      </w:r>
      <w:r>
        <w:rPr>
          <w:rFonts w:hint="cs"/>
          <w:rtl/>
        </w:rPr>
        <w:t>[شرح الزرقاني ج 2 ص49] أهـ</w:t>
      </w:r>
      <w:r w:rsidR="000636C2">
        <w:rPr>
          <w:rFonts w:hint="cs"/>
          <w:rtl/>
        </w:rPr>
        <w:t>، (</w:t>
      </w:r>
      <w:r>
        <w:rPr>
          <w:rFonts w:hint="cs"/>
          <w:rtl/>
        </w:rPr>
        <w:t>8</w:t>
      </w:r>
      <w:r w:rsidR="000636C2">
        <w:rPr>
          <w:rFonts w:hint="cs"/>
          <w:rtl/>
        </w:rPr>
        <w:t>)</w:t>
      </w:r>
      <w:r>
        <w:rPr>
          <w:rFonts w:hint="cs"/>
          <w:rtl/>
        </w:rPr>
        <w:t xml:space="preserve"> </w:t>
      </w:r>
      <w:r>
        <w:rPr>
          <w:rFonts w:hint="cs"/>
          <w:bCs/>
          <w:rtl/>
        </w:rPr>
        <w:t>قال الإمام السيوطي في الإتقان</w:t>
      </w:r>
      <w:r w:rsidR="000636C2">
        <w:rPr>
          <w:rFonts w:hint="cs"/>
          <w:bCs/>
          <w:rtl/>
        </w:rPr>
        <w:t>:</w:t>
      </w:r>
      <w:r>
        <w:rPr>
          <w:rFonts w:hint="cs"/>
          <w:bCs/>
          <w:rtl/>
        </w:rPr>
        <w:t xml:space="preserve"> " فصل</w:t>
      </w:r>
      <w:r w:rsidR="000636C2">
        <w:rPr>
          <w:rFonts w:hint="cs"/>
          <w:bCs/>
          <w:rtl/>
        </w:rPr>
        <w:t>:</w:t>
      </w:r>
      <w:r>
        <w:rPr>
          <w:rFonts w:hint="cs"/>
          <w:bCs/>
          <w:rtl/>
        </w:rPr>
        <w:t xml:space="preserve"> من المتشابه آيات الصفات</w:t>
      </w:r>
      <w:r>
        <w:rPr>
          <w:rFonts w:hint="cs"/>
          <w:rtl/>
        </w:rPr>
        <w:t xml:space="preserve"> ولابن اللبان فيها تصنيف مفرد نحو الرحمن </w:t>
      </w:r>
      <w:r>
        <w:rPr>
          <w:rFonts w:hint="cs"/>
          <w:rtl/>
        </w:rPr>
        <w:lastRenderedPageBreak/>
        <w:t>على العرش استوى كل شيء هالك إلا وجهه ويبقى وجه ربك ولتصنع على عيني يد الله فوق أيديهم والسموات مطويات بيمينه</w:t>
      </w:r>
      <w:r w:rsidR="000636C2">
        <w:rPr>
          <w:rFonts w:hint="cs"/>
          <w:rtl/>
        </w:rPr>
        <w:t>،</w:t>
      </w:r>
      <w:r>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sidR="000636C2">
        <w:rPr>
          <w:rFonts w:hint="cs"/>
          <w:rtl/>
        </w:rPr>
        <w:t xml:space="preserve">، </w:t>
      </w:r>
      <w:r>
        <w:rPr>
          <w:rFonts w:hint="cs"/>
          <w:rtl/>
        </w:rPr>
        <w:t>أخرج أبو القاسم اللالكائي في السنن عن طريق قرة بن خالد عن الحسن عن أمه عن أم سلمة في قوله تعالى الرحمن على العرش استوى قالت الكيف غير معقول والإستواء غير مجهول والإقرار به من الإيمان والجحود به كفر</w:t>
      </w:r>
      <w:r w:rsidR="000636C2">
        <w:rPr>
          <w:rFonts w:hint="cs"/>
          <w:rtl/>
        </w:rPr>
        <w:t>،</w:t>
      </w:r>
      <w:r>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0636C2">
        <w:rPr>
          <w:rFonts w:hint="cs"/>
          <w:rtl/>
        </w:rPr>
        <w:t>،</w:t>
      </w:r>
      <w:r>
        <w:rPr>
          <w:rFonts w:hint="cs"/>
          <w:rtl/>
        </w:rPr>
        <w:t xml:space="preserve"> وأخرج أيضا عن مالك أنه سئل عن الآية فقال الكيف غير معقول والإستواء غير مجهول والإيمان به واجب والسؤال عنه بدعة</w:t>
      </w:r>
      <w:r w:rsidR="000636C2">
        <w:rPr>
          <w:rFonts w:hint="cs"/>
          <w:rtl/>
        </w:rPr>
        <w:t>،</w:t>
      </w:r>
      <w:r>
        <w:rPr>
          <w:rFonts w:hint="cs"/>
          <w:rtl/>
        </w:rPr>
        <w:t xml:space="preserve"> وأخرج البيهقي عنه أنه قال هو كما وصف نفسه ولا يقال كيف وكيف</w:t>
      </w:r>
      <w:r w:rsidR="000636C2">
        <w:rPr>
          <w:rFonts w:hint="cs"/>
          <w:rtl/>
        </w:rPr>
        <w:t xml:space="preserve"> </w:t>
      </w:r>
      <w:r>
        <w:rPr>
          <w:rFonts w:hint="cs"/>
          <w:rtl/>
        </w:rPr>
        <w:t>مرفوع</w:t>
      </w:r>
      <w:r w:rsidR="000636C2">
        <w:rPr>
          <w:rFonts w:hint="cs"/>
          <w:rtl/>
        </w:rPr>
        <w:t>،</w:t>
      </w:r>
      <w:r>
        <w:rPr>
          <w:rFonts w:hint="cs"/>
          <w:rtl/>
        </w:rPr>
        <w:t xml:space="preserve"> وأخرج اللالكائي عن محمد بن الحسن قال إتفق الفقهاء كلهم من المشرق إلى المغرب على الإيمان بالصفات من غير تفسير ولا تشبيه</w:t>
      </w:r>
      <w:r w:rsidR="000636C2">
        <w:rPr>
          <w:rFonts w:hint="cs"/>
          <w:rtl/>
        </w:rPr>
        <w:t>،</w:t>
      </w:r>
      <w:r>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0636C2">
        <w:rPr>
          <w:rFonts w:hint="cs"/>
          <w:rtl/>
        </w:rPr>
        <w:t>،</w:t>
      </w:r>
      <w:r>
        <w:rPr>
          <w:rFonts w:hint="cs"/>
          <w:rtl/>
        </w:rPr>
        <w:t xml:space="preserve"> وذهبت طائفة من أهل السنة على أننا نؤولها على ما يليق بجلاله تعالى وهذا مذهب الخلف</w:t>
      </w:r>
      <w:r w:rsidR="000636C2">
        <w:rPr>
          <w:rFonts w:hint="cs"/>
          <w:rtl/>
        </w:rPr>
        <w:t xml:space="preserve"> </w:t>
      </w:r>
      <w:r>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sidR="000636C2">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 " [الإتقان ج: 2 ص:12- 15] أهـ</w:t>
      </w:r>
      <w:r w:rsidR="000636C2">
        <w:rPr>
          <w:rFonts w:hint="cs"/>
          <w:rtl/>
        </w:rPr>
        <w:t>،</w:t>
      </w:r>
      <w:r>
        <w:rPr>
          <w:rFonts w:hint="cs"/>
          <w:rtl/>
        </w:rPr>
        <w:t xml:space="preserve"> </w:t>
      </w:r>
      <w:r>
        <w:rPr>
          <w:rFonts w:hint="cs"/>
          <w:bCs/>
          <w:rtl/>
        </w:rPr>
        <w:t>وقال في الدر المنثور</w:t>
      </w:r>
      <w:r w:rsidR="000636C2">
        <w:rPr>
          <w:rFonts w:hint="cs"/>
          <w:bCs/>
          <w:rtl/>
        </w:rPr>
        <w:t>:</w:t>
      </w:r>
      <w:r>
        <w:rPr>
          <w:rFonts w:hint="cs"/>
          <w:bCs/>
          <w:rtl/>
        </w:rPr>
        <w:t xml:space="preserve"> " </w:t>
      </w:r>
      <w:r>
        <w:rPr>
          <w:rFonts w:hint="cs"/>
          <w:rtl/>
        </w:rPr>
        <w:t>وأخرج اللالكائي عن جعفر بن عبد الله قال</w:t>
      </w:r>
      <w:r w:rsidR="000636C2">
        <w:rPr>
          <w:rFonts w:hint="cs"/>
          <w:rtl/>
        </w:rPr>
        <w:t xml:space="preserve"> </w:t>
      </w:r>
      <w:r>
        <w:rPr>
          <w:rFonts w:hint="cs"/>
          <w:rtl/>
        </w:rPr>
        <w:t>جاء رجل إلى مالك بن أنس فقال له</w:t>
      </w:r>
      <w:r w:rsidR="000636C2">
        <w:rPr>
          <w:rFonts w:hint="cs"/>
          <w:rtl/>
        </w:rPr>
        <w:t xml:space="preserve"> </w:t>
      </w:r>
      <w:r>
        <w:rPr>
          <w:rFonts w:hint="cs"/>
          <w:rtl/>
        </w:rPr>
        <w:t>يا أبا عبد الله استوى على العرش كيف استوى</w:t>
      </w:r>
      <w:r w:rsidR="000636C2">
        <w:rPr>
          <w:rFonts w:hint="cs"/>
          <w:rtl/>
        </w:rPr>
        <w:t xml:space="preserve"> </w:t>
      </w:r>
      <w:r>
        <w:rPr>
          <w:rFonts w:hint="cs"/>
          <w:rtl/>
        </w:rPr>
        <w:t>قال</w:t>
      </w:r>
      <w:r w:rsidR="000636C2">
        <w:rPr>
          <w:rFonts w:hint="cs"/>
          <w:rtl/>
        </w:rPr>
        <w:t xml:space="preserve"> </w:t>
      </w:r>
      <w:r>
        <w:rPr>
          <w:rFonts w:hint="cs"/>
          <w:rtl/>
        </w:rPr>
        <w:t>فما رأيت مالكا وجد من شيء كموجدته من مقالته وعلاه الرحضاء</w:t>
      </w:r>
      <w:r w:rsidR="000636C2">
        <w:rPr>
          <w:rFonts w:hint="cs"/>
          <w:rtl/>
        </w:rPr>
        <w:t xml:space="preserve"> </w:t>
      </w:r>
      <w:r>
        <w:rPr>
          <w:rFonts w:hint="cs"/>
          <w:rtl/>
        </w:rPr>
        <w:t>يعني العرق</w:t>
      </w:r>
      <w:r w:rsidR="000636C2">
        <w:rPr>
          <w:rFonts w:hint="cs"/>
          <w:rtl/>
        </w:rPr>
        <w:t xml:space="preserve"> </w:t>
      </w:r>
      <w:r>
        <w:rPr>
          <w:rFonts w:hint="cs"/>
          <w:rtl/>
        </w:rPr>
        <w:t>وأطرق القوم قال</w:t>
      </w:r>
      <w:r w:rsidR="000636C2">
        <w:rPr>
          <w:rFonts w:hint="cs"/>
          <w:rtl/>
        </w:rPr>
        <w:t xml:space="preserve"> </w:t>
      </w:r>
      <w:r>
        <w:rPr>
          <w:rFonts w:hint="cs"/>
          <w:rtl/>
        </w:rPr>
        <w:t>فسرى عن مالك فقال</w:t>
      </w:r>
      <w:r w:rsidR="000636C2">
        <w:rPr>
          <w:rFonts w:hint="cs"/>
          <w:rtl/>
        </w:rPr>
        <w:t xml:space="preserve"> </w:t>
      </w:r>
      <w:r>
        <w:rPr>
          <w:rFonts w:hint="cs"/>
          <w:rtl/>
        </w:rPr>
        <w:t>الكيف غير معقول والاستواء منه غير مجهول والإيمان به واجب</w:t>
      </w:r>
      <w:r w:rsidR="000636C2">
        <w:rPr>
          <w:rFonts w:hint="cs"/>
          <w:rtl/>
        </w:rPr>
        <w:t xml:space="preserve"> </w:t>
      </w:r>
      <w:r>
        <w:rPr>
          <w:rFonts w:hint="cs"/>
          <w:rtl/>
        </w:rPr>
        <w:t>والسؤال عنه بدعة</w:t>
      </w:r>
      <w:r w:rsidR="000636C2">
        <w:rPr>
          <w:rFonts w:hint="cs"/>
          <w:rtl/>
        </w:rPr>
        <w:t xml:space="preserve"> </w:t>
      </w:r>
      <w:r>
        <w:rPr>
          <w:rFonts w:hint="cs"/>
          <w:rtl/>
        </w:rPr>
        <w:t>وإني أخاف أن تكون ضالا وأمر به فأخرج " [الدر المنثور ج: 3 ص: 473] أهـ</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w:t>
      </w:r>
      <w:r w:rsidR="000636C2">
        <w:rPr>
          <w:rFonts w:hint="cs"/>
          <w:rtl/>
        </w:rPr>
        <w:t xml:space="preserve"> </w:t>
      </w:r>
      <w:r>
        <w:rPr>
          <w:rFonts w:hint="cs"/>
          <w:rtl/>
        </w:rPr>
        <w:t>وأخرج البيهقي عن سفيان بن عيينة رضي الله عنه قال</w:t>
      </w:r>
      <w:r w:rsidR="000636C2">
        <w:rPr>
          <w:rFonts w:hint="cs"/>
          <w:rtl/>
        </w:rPr>
        <w:t xml:space="preserve"> </w:t>
      </w:r>
      <w:r>
        <w:rPr>
          <w:rFonts w:hint="cs"/>
          <w:rtl/>
        </w:rPr>
        <w:t>ما وصف الله تبارك به نفسه في كتابه فقراءته تفسيره ليس لأحد أن يفسره بالعربية ولا بالفارسية</w:t>
      </w:r>
      <w:r w:rsidR="000636C2">
        <w:rPr>
          <w:rFonts w:hint="cs"/>
          <w:rtl/>
        </w:rPr>
        <w:t>)</w:t>
      </w:r>
      <w:r>
        <w:rPr>
          <w:rFonts w:hint="cs"/>
          <w:rtl/>
        </w:rPr>
        <w:t>) [الدر المنثور ج 4 ص 418] أهـ</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w:t>
      </w:r>
      <w:r w:rsidR="000636C2">
        <w:rPr>
          <w:rFonts w:hint="cs"/>
          <w:rtl/>
        </w:rPr>
        <w:t xml:space="preserve"> </w:t>
      </w:r>
      <w:r>
        <w:rPr>
          <w:rFonts w:hint="cs"/>
          <w:rtl/>
        </w:rPr>
        <w:t xml:space="preserve">وأخرج البيهقي في الأسماء والصفات عن شيبان النحوي رضي الله عنه وما قدروا الله حق قدره والأرض جميعا </w:t>
      </w:r>
      <w:r>
        <w:rPr>
          <w:rFonts w:hint="cs"/>
          <w:rtl/>
        </w:rPr>
        <w:lastRenderedPageBreak/>
        <w:t>قبضته يوم القيامة قال</w:t>
      </w:r>
      <w:r w:rsidR="000636C2">
        <w:rPr>
          <w:rFonts w:hint="cs"/>
          <w:rtl/>
        </w:rPr>
        <w:t xml:space="preserve"> </w:t>
      </w:r>
      <w:r>
        <w:rPr>
          <w:rFonts w:hint="cs"/>
          <w:rtl/>
        </w:rPr>
        <w:t>لم يفسرها قتادة</w:t>
      </w:r>
      <w:r w:rsidR="000636C2">
        <w:rPr>
          <w:rFonts w:hint="cs"/>
          <w:rtl/>
        </w:rPr>
        <w:t xml:space="preserve"> </w:t>
      </w:r>
      <w:r>
        <w:rPr>
          <w:rFonts w:hint="cs"/>
          <w:rtl/>
        </w:rPr>
        <w:t>وأخرج البيهقي عن سفيان بن عيينة رضي الله عنه قال</w:t>
      </w:r>
      <w:r w:rsidR="000636C2">
        <w:rPr>
          <w:rFonts w:hint="cs"/>
          <w:rtl/>
        </w:rPr>
        <w:t xml:space="preserve"> </w:t>
      </w:r>
      <w:r>
        <w:rPr>
          <w:rFonts w:hint="cs"/>
          <w:rtl/>
        </w:rPr>
        <w:t>كل ما وصف الله من نفسه في كتابه فتفسيره تلاوته والسكوت عليه</w:t>
      </w:r>
      <w:r w:rsidR="000636C2">
        <w:rPr>
          <w:rFonts w:hint="cs"/>
          <w:rtl/>
        </w:rPr>
        <w:t>)</w:t>
      </w:r>
      <w:r>
        <w:rPr>
          <w:rFonts w:hint="cs"/>
          <w:rtl/>
        </w:rPr>
        <w:t>) [الدر المنثور ج 7 ص 248] أهـ</w:t>
      </w:r>
      <w:r w:rsidR="000636C2">
        <w:rPr>
          <w:rFonts w:hint="cs"/>
          <w:rtl/>
        </w:rPr>
        <w:t xml:space="preserve">، </w:t>
      </w:r>
      <w:r w:rsidR="000636C2">
        <w:rPr>
          <w:rFonts w:hint="cs"/>
          <w:bCs/>
          <w:rtl/>
        </w:rPr>
        <w:t>(</w:t>
      </w:r>
      <w:r>
        <w:rPr>
          <w:rFonts w:hint="cs"/>
          <w:bCs/>
          <w:rtl/>
        </w:rPr>
        <w:t>9</w:t>
      </w:r>
      <w:r w:rsidR="000636C2">
        <w:rPr>
          <w:rFonts w:hint="cs"/>
          <w:bCs/>
          <w:rtl/>
        </w:rPr>
        <w:t>)</w:t>
      </w:r>
      <w:r>
        <w:rPr>
          <w:rFonts w:hint="cs"/>
          <w:bCs/>
          <w:rtl/>
        </w:rPr>
        <w:t xml:space="preserve"> قال مرعي بن يوسف الكرمي المقدسي</w:t>
      </w:r>
      <w:r>
        <w:rPr>
          <w:rFonts w:hint="cs"/>
          <w:rtl/>
        </w:rPr>
        <w:t xml:space="preserve"> </w:t>
      </w:r>
      <w:r w:rsidR="000636C2">
        <w:rPr>
          <w:rFonts w:hint="cs"/>
          <w:rtl/>
        </w:rPr>
        <w:t>(</w:t>
      </w:r>
      <w:r>
        <w:rPr>
          <w:rFonts w:hint="cs"/>
          <w:rtl/>
        </w:rPr>
        <w:t xml:space="preserve">ت 10 </w:t>
      </w:r>
      <w:r>
        <w:t>33</w:t>
      </w:r>
      <w:r>
        <w:rPr>
          <w:rFonts w:hint="cs"/>
          <w:rtl/>
        </w:rPr>
        <w:t>هـ</w:t>
      </w:r>
      <w:r w:rsidR="000636C2">
        <w:rPr>
          <w:rFonts w:hint="cs"/>
          <w:rtl/>
        </w:rPr>
        <w:t>)</w:t>
      </w:r>
      <w:r>
        <w:rPr>
          <w:rFonts w:hint="cs"/>
          <w:rtl/>
        </w:rPr>
        <w:t>في كتابه أقاويل الثقات في تأويل الأسماء والصفات والآيات المحكمات والمشتبهات</w:t>
      </w:r>
      <w:r w:rsidR="000636C2">
        <w:rPr>
          <w:rFonts w:hint="cs"/>
          <w:rtl/>
          <w:lang w:bidi="ar-KW"/>
        </w:rPr>
        <w:t>:</w:t>
      </w:r>
      <w:r>
        <w:rPr>
          <w:rFonts w:hint="cs"/>
          <w:rtl/>
          <w:lang w:bidi="ar-KW"/>
        </w:rPr>
        <w:t xml:space="preserve"> </w:t>
      </w:r>
      <w:r>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 </w:t>
      </w:r>
      <w:r w:rsidR="000636C2">
        <w:rPr>
          <w:rFonts w:hint="cs"/>
          <w:rtl/>
        </w:rPr>
        <w:t xml:space="preserve">، </w:t>
      </w:r>
      <w:r>
        <w:rPr>
          <w:rFonts w:hint="cs"/>
          <w:rtl/>
        </w:rPr>
        <w:t xml:space="preserve">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Pr>
          <w:rFonts w:hint="cs"/>
          <w:bCs/>
          <w:rtl/>
        </w:rPr>
        <w:t>كان رسوخهم في العلم أن آمنوا بمتشابهه ولا يعلمونه</w:t>
      </w:r>
      <w:r w:rsidR="000636C2">
        <w:rPr>
          <w:rFonts w:hint="cs"/>
          <w:rtl/>
        </w:rPr>
        <w:t>)</w:t>
      </w:r>
      <w:r>
        <w:rPr>
          <w:rFonts w:hint="cs"/>
          <w:rtl/>
        </w:rPr>
        <w:t>) [أقاويل الثقات ج 1 ص57ـ 58] أهـ</w:t>
      </w:r>
      <w:r w:rsidR="000636C2">
        <w:rPr>
          <w:rFonts w:hint="cs"/>
          <w:rtl/>
        </w:rPr>
        <w:t>،</w:t>
      </w:r>
      <w:r>
        <w:rPr>
          <w:rFonts w:hint="cs"/>
          <w:rtl/>
        </w:rPr>
        <w:t xml:space="preserve"> </w:t>
      </w:r>
      <w:r>
        <w:rPr>
          <w:rFonts w:hint="cs"/>
          <w:bCs/>
          <w:rtl/>
        </w:rPr>
        <w:t>إلى أن قال رحمه الله</w:t>
      </w:r>
      <w:r w:rsidR="000636C2">
        <w:rPr>
          <w:rFonts w:hint="cs"/>
          <w:bCs/>
          <w:rtl/>
        </w:rPr>
        <w:t>:</w:t>
      </w:r>
      <w:r>
        <w:rPr>
          <w:rFonts w:hint="cs"/>
          <w:bCs/>
          <w:rtl/>
        </w:rPr>
        <w:t xml:space="preserve"> </w:t>
      </w:r>
      <w:r>
        <w:rPr>
          <w:rFonts w:hint="cs"/>
          <w:rtl/>
        </w:rPr>
        <w:t xml:space="preserve">" إذا تقرر هذا فاعلم أن من المتشابهات آيات الصفات التي التأويل فيها بعيد </w:t>
      </w:r>
      <w:r>
        <w:rPr>
          <w:rFonts w:hint="cs"/>
          <w:bCs/>
          <w:rtl/>
        </w:rPr>
        <w:t>فلا تؤول ولا تفسر</w:t>
      </w:r>
      <w:r w:rsidR="000636C2">
        <w:rPr>
          <w:rFonts w:hint="cs"/>
          <w:bCs/>
          <w:rtl/>
        </w:rPr>
        <w:t>،</w:t>
      </w:r>
      <w:r>
        <w:rPr>
          <w:rFonts w:hint="cs"/>
          <w:rtl/>
        </w:rPr>
        <w:t xml:space="preserve"> وجمهور أهل السنة منهم السلف وأهل الحديث على الإيمان بها </w:t>
      </w:r>
      <w:r>
        <w:rPr>
          <w:rFonts w:hint="cs"/>
          <w:bCs/>
          <w:rtl/>
        </w:rPr>
        <w:t>وتفويض معناها المراد منها إلى الله تعالى ولا نفسرها مع تنزيهنا له عن حقيقتها</w:t>
      </w:r>
      <w:r>
        <w:rPr>
          <w:rFonts w:hint="cs"/>
          <w:rtl/>
        </w:rPr>
        <w:t xml:space="preserve"> فقد روى الإمام اللالكائي الحافظ عن محمد بن الحسن قال اتفق الفقهاء كلهم من المشرق إلى المغرب على الإيمان بالصفات من غير تفسير ولا تشبيه ..</w:t>
      </w:r>
      <w:r w:rsidR="000636C2">
        <w:rPr>
          <w:rFonts w:hint="cs"/>
          <w:bCs/>
          <w:rtl/>
        </w:rPr>
        <w:t xml:space="preserve"> </w:t>
      </w:r>
      <w:r>
        <w:rPr>
          <w:rFonts w:hint="cs"/>
          <w:bCs/>
          <w:rtl/>
        </w:rPr>
        <w:t>وقال الإمام الترمذي</w:t>
      </w:r>
      <w:r>
        <w:rPr>
          <w:rFonts w:hint="cs"/>
          <w:rtl/>
        </w:rPr>
        <w:t xml:space="preserve"> في الكلام على حديث الرؤية المذهب في هذا عند أهل العلم من الأئمة مثل سفيان الثوري وابن المبارك ومالك وابن عيينة ووكيع وغيرهم </w:t>
      </w:r>
      <w:r>
        <w:rPr>
          <w:rFonts w:hint="cs"/>
          <w:bCs/>
          <w:rtl/>
        </w:rPr>
        <w:t>أنهم قالوا نروي هذه الأحاديث كما جاءت ونؤمن بها ولا يقال كيف ولا نفسر ولا نتوهم</w:t>
      </w:r>
      <w:r>
        <w:rPr>
          <w:rFonts w:hint="cs"/>
          <w:rtl/>
        </w:rPr>
        <w:t xml:space="preserve"> ..</w:t>
      </w:r>
      <w:r w:rsidR="000636C2">
        <w:rPr>
          <w:rFonts w:hint="cs"/>
          <w:bCs/>
          <w:rtl/>
        </w:rPr>
        <w:t xml:space="preserve"> </w:t>
      </w:r>
      <w:r>
        <w:rPr>
          <w:rFonts w:hint="cs"/>
          <w:bCs/>
          <w:rtl/>
        </w:rPr>
        <w:t xml:space="preserve">قال ابن عباس: </w:t>
      </w:r>
      <w:r w:rsidR="000636C2">
        <w:rPr>
          <w:rFonts w:hint="cs"/>
          <w:bCs/>
          <w:rtl/>
        </w:rPr>
        <w:t>(</w:t>
      </w:r>
      <w:r>
        <w:rPr>
          <w:rFonts w:hint="cs"/>
          <w:bCs/>
          <w:rtl/>
        </w:rPr>
        <w:t>هذا من المكتوم الذي لا يفسر)</w:t>
      </w:r>
      <w:r>
        <w:rPr>
          <w:rFonts w:hint="cs"/>
          <w:rtl/>
        </w:rPr>
        <w:t xml:space="preserve"> فالأولى في هذه الآية وما شاكلها أن يؤمن الإنسان بظاهرها </w:t>
      </w:r>
      <w:r>
        <w:rPr>
          <w:rFonts w:hint="cs"/>
          <w:bCs/>
          <w:rtl/>
        </w:rPr>
        <w:t>ويكل علمها إلى الله تعالى</w:t>
      </w:r>
      <w:r>
        <w:rPr>
          <w:rFonts w:hint="cs"/>
          <w:rtl/>
        </w:rPr>
        <w:t xml:space="preserve"> وعلى ذلك مضت أئمة السلف</w:t>
      </w:r>
      <w:r w:rsidR="000636C2">
        <w:rPr>
          <w:rFonts w:hint="cs"/>
          <w:rtl/>
        </w:rPr>
        <w:t xml:space="preserve">، </w:t>
      </w:r>
      <w:r>
        <w:rPr>
          <w:rFonts w:hint="cs"/>
          <w:rtl/>
        </w:rPr>
        <w:t xml:space="preserve">وكان الزهري ومالك والأوزاعي وسفيان الثوري والليث بن سعد وابن المبارك وأحمد بن حنبل وإسحاق يقولون في هذه الآية وأمثالها </w:t>
      </w:r>
      <w:r>
        <w:rPr>
          <w:rFonts w:hint="cs"/>
          <w:bCs/>
          <w:rtl/>
        </w:rPr>
        <w:t>أمروها كما جاءت</w:t>
      </w:r>
      <w:r>
        <w:rPr>
          <w:rFonts w:hint="cs"/>
          <w:rtl/>
        </w:rPr>
        <w:t xml:space="preserve"> وقال سفيان بن عيينة وناهيك به كل ما وصف الله به نفسه في كتابه </w:t>
      </w:r>
      <w:r>
        <w:rPr>
          <w:rFonts w:hint="cs"/>
          <w:bCs/>
          <w:rtl/>
        </w:rPr>
        <w:t>فتفسيره قراءته والسكوت عنه ليس لأحد أن يفسره إلا الله ورسوله</w:t>
      </w:r>
      <w:r w:rsidR="000636C2">
        <w:rPr>
          <w:rFonts w:hint="cs"/>
          <w:rtl/>
        </w:rPr>
        <w:t xml:space="preserve">، </w:t>
      </w:r>
      <w:r>
        <w:rPr>
          <w:rFonts w:hint="cs"/>
          <w:rtl/>
        </w:rPr>
        <w:t>وذكرت في كتابي البرهان في تفسير القرآن عند قوله تعالى هل ينظرون إلا أن يأتيهم الله في ظلل من الغمام</w:t>
      </w:r>
      <w:r w:rsidR="000636C2">
        <w:rPr>
          <w:rFonts w:hint="cs"/>
          <w:rtl/>
        </w:rPr>
        <w:t xml:space="preserve"> </w:t>
      </w:r>
      <w:r>
        <w:rPr>
          <w:rFonts w:hint="cs"/>
          <w:rtl/>
        </w:rPr>
        <w:t>البقرة 210</w:t>
      </w:r>
      <w:r w:rsidR="000636C2">
        <w:rPr>
          <w:rFonts w:hint="cs"/>
          <w:rtl/>
        </w:rPr>
        <w:t xml:space="preserve"> </w:t>
      </w:r>
      <w:r>
        <w:rPr>
          <w:rFonts w:hint="cs"/>
          <w:rtl/>
        </w:rPr>
        <w:t xml:space="preserve">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 [أقاويل الثقات ج 1 ص 6</w:t>
      </w:r>
      <w:r w:rsidR="000636C2">
        <w:rPr>
          <w:rFonts w:hint="cs"/>
          <w:rtl/>
        </w:rPr>
        <w:t>،</w:t>
      </w:r>
      <w:r>
        <w:rPr>
          <w:rFonts w:hint="cs"/>
          <w:rtl/>
        </w:rPr>
        <w:t xml:space="preserve"> - 62</w:t>
      </w:r>
      <w:r w:rsidR="000636C2">
        <w:rPr>
          <w:rFonts w:hint="cs"/>
          <w:rtl/>
        </w:rPr>
        <w:t>]</w:t>
      </w:r>
      <w:r>
        <w:rPr>
          <w:rFonts w:hint="cs"/>
          <w:rtl/>
        </w:rPr>
        <w:t xml:space="preserve"> أهـ</w:t>
      </w:r>
      <w:r w:rsidR="000636C2">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الحافظ السيوطي في كتابه الإتقان من المتشابه آيات الصفات ولابن اللبان فيها تصنيف مفرد نحو</w:t>
      </w:r>
      <w:r w:rsidR="000636C2">
        <w:rPr>
          <w:rFonts w:hint="cs"/>
          <w:rtl/>
        </w:rPr>
        <w:t xml:space="preserve"> </w:t>
      </w:r>
      <w:r>
        <w:rPr>
          <w:rFonts w:hint="cs"/>
          <w:rtl/>
        </w:rPr>
        <w:t>الرحمن على العرش استوى</w:t>
      </w:r>
      <w:r w:rsidR="000636C2">
        <w:rPr>
          <w:rFonts w:hint="cs"/>
          <w:rtl/>
        </w:rPr>
        <w:t xml:space="preserve"> </w:t>
      </w:r>
      <w:r>
        <w:rPr>
          <w:rFonts w:hint="cs"/>
          <w:rtl/>
        </w:rPr>
        <w:t>طه 5</w:t>
      </w:r>
      <w:r w:rsidR="000636C2">
        <w:rPr>
          <w:rFonts w:hint="cs"/>
          <w:rtl/>
        </w:rPr>
        <w:t xml:space="preserve"> </w:t>
      </w:r>
      <w:r>
        <w:rPr>
          <w:rFonts w:hint="cs"/>
          <w:rtl/>
        </w:rPr>
        <w:t xml:space="preserve">كل شيء هالك إلا </w:t>
      </w:r>
      <w:r>
        <w:rPr>
          <w:rFonts w:hint="cs"/>
          <w:rtl/>
        </w:rPr>
        <w:lastRenderedPageBreak/>
        <w:t>وجهه</w:t>
      </w:r>
      <w:r w:rsidR="000636C2">
        <w:rPr>
          <w:rFonts w:hint="cs"/>
          <w:rtl/>
        </w:rPr>
        <w:t xml:space="preserve"> </w:t>
      </w:r>
      <w:r>
        <w:rPr>
          <w:rFonts w:hint="cs"/>
          <w:rtl/>
        </w:rPr>
        <w:t>القصص 88</w:t>
      </w:r>
      <w:r w:rsidR="000636C2">
        <w:rPr>
          <w:rFonts w:hint="cs"/>
          <w:rtl/>
        </w:rPr>
        <w:t xml:space="preserve"> </w:t>
      </w:r>
      <w:r>
        <w:rPr>
          <w:rFonts w:hint="cs"/>
          <w:rtl/>
        </w:rPr>
        <w:t>ويبقى وجه ربك</w:t>
      </w:r>
      <w:r w:rsidR="000636C2">
        <w:rPr>
          <w:rFonts w:hint="cs"/>
          <w:rtl/>
        </w:rPr>
        <w:t xml:space="preserve"> </w:t>
      </w:r>
      <w:r>
        <w:rPr>
          <w:rFonts w:hint="cs"/>
          <w:rtl/>
        </w:rPr>
        <w:t>الرحمن 27</w:t>
      </w:r>
      <w:r w:rsidR="000636C2">
        <w:rPr>
          <w:rFonts w:hint="cs"/>
          <w:rtl/>
        </w:rPr>
        <w:t xml:space="preserve"> </w:t>
      </w:r>
      <w:r>
        <w:rPr>
          <w:rFonts w:hint="cs"/>
          <w:rtl/>
        </w:rPr>
        <w:t>ولتصنع على عيني</w:t>
      </w:r>
      <w:r w:rsidR="000636C2">
        <w:rPr>
          <w:rFonts w:hint="cs"/>
          <w:rtl/>
        </w:rPr>
        <w:t xml:space="preserve"> </w:t>
      </w:r>
      <w:r>
        <w:rPr>
          <w:rFonts w:hint="cs"/>
          <w:rtl/>
        </w:rPr>
        <w:t>طه 39</w:t>
      </w:r>
      <w:r w:rsidR="000636C2">
        <w:rPr>
          <w:rFonts w:hint="cs"/>
          <w:rtl/>
        </w:rPr>
        <w:t xml:space="preserve"> </w:t>
      </w:r>
      <w:r>
        <w:rPr>
          <w:rFonts w:hint="cs"/>
          <w:rtl/>
        </w:rPr>
        <w:t>يد الله فوق أيديهم</w:t>
      </w:r>
      <w:r w:rsidR="000636C2">
        <w:rPr>
          <w:rFonts w:hint="cs"/>
          <w:rtl/>
        </w:rPr>
        <w:t xml:space="preserve"> </w:t>
      </w:r>
      <w:r>
        <w:rPr>
          <w:rFonts w:hint="cs"/>
          <w:rtl/>
        </w:rPr>
        <w:t>الفتح 10</w:t>
      </w:r>
      <w:r w:rsidR="000636C2">
        <w:rPr>
          <w:rFonts w:hint="cs"/>
          <w:rtl/>
        </w:rPr>
        <w:t xml:space="preserve"> </w:t>
      </w:r>
      <w:r>
        <w:rPr>
          <w:rFonts w:hint="cs"/>
          <w:rtl/>
        </w:rPr>
        <w:t>لما خلقت بيدي</w:t>
      </w:r>
      <w:r w:rsidR="000636C2">
        <w:rPr>
          <w:rFonts w:hint="cs"/>
          <w:rtl/>
        </w:rPr>
        <w:t xml:space="preserve"> </w:t>
      </w:r>
      <w:r>
        <w:rPr>
          <w:rFonts w:hint="cs"/>
          <w:rtl/>
        </w:rPr>
        <w:t>ص 75</w:t>
      </w:r>
      <w:r w:rsidR="000636C2">
        <w:rPr>
          <w:rFonts w:hint="cs"/>
          <w:rtl/>
        </w:rPr>
        <w:t xml:space="preserve"> </w:t>
      </w:r>
      <w:r>
        <w:rPr>
          <w:rFonts w:hint="cs"/>
          <w:rtl/>
        </w:rPr>
        <w:t>والسموات مطويات بيمينه</w:t>
      </w:r>
      <w:r w:rsidR="000636C2">
        <w:rPr>
          <w:rFonts w:hint="cs"/>
          <w:rtl/>
        </w:rPr>
        <w:t xml:space="preserve"> </w:t>
      </w:r>
      <w:r>
        <w:rPr>
          <w:rFonts w:hint="cs"/>
          <w:rtl/>
        </w:rPr>
        <w:t>الزمر 67</w:t>
      </w:r>
      <w:r w:rsidR="000636C2">
        <w:rPr>
          <w:rFonts w:hint="cs"/>
          <w:rtl/>
        </w:rPr>
        <w:t xml:space="preserve"> </w:t>
      </w:r>
      <w:r>
        <w:rPr>
          <w:rFonts w:hint="cs"/>
          <w:bCs/>
          <w:rtl/>
        </w:rPr>
        <w:t xml:space="preserve">وجمهور أهل السنة منهم السلف وأهل الحديث على الإيمان بها وتفويض معناها المراد منها إلى الله تعالى ولا نفسرها مع تنزيهنا له عن حقيقتها " </w:t>
      </w:r>
      <w:r>
        <w:rPr>
          <w:rFonts w:hint="cs"/>
          <w:rtl/>
        </w:rPr>
        <w:t>[أقاويل الثقات ج 1 ص 62]</w:t>
      </w:r>
      <w:r>
        <w:rPr>
          <w:rFonts w:hint="cs"/>
          <w:bCs/>
          <w:rtl/>
        </w:rPr>
        <w:t xml:space="preserve"> أهـ</w:t>
      </w:r>
      <w:r w:rsidR="000636C2">
        <w:rPr>
          <w:rFonts w:hint="cs"/>
          <w:bCs/>
          <w:rtl/>
          <w:lang w:bidi="ar-KW"/>
        </w:rPr>
        <w:t>،</w:t>
      </w:r>
      <w:r>
        <w:rPr>
          <w:rFonts w:hint="cs"/>
          <w:bCs/>
          <w:rtl/>
          <w:lang w:bidi="ar-KW"/>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الجويني</w:t>
      </w:r>
      <w:r w:rsidR="000636C2">
        <w:rPr>
          <w:rFonts w:hint="cs"/>
          <w:rtl/>
        </w:rPr>
        <w:t>:</w:t>
      </w:r>
      <w:r>
        <w:rPr>
          <w:rFonts w:hint="cs"/>
          <w:rtl/>
        </w:rPr>
        <w:t xml:space="preserve"> في الرسالة النظامية الذي نرتضيه رأيا وندين الله تعالى به عقدا هو اتباع سلف الأمة فإنهم درجوا على ترك التعرض لمعانيها ودرك ما فيها وهم صفوة الإسلام وكانوا لا يألون جهدا في ضبط قواعد الملة والتواصي بحفظها وتعليم الناس ما يحتاجون إليه منها فلو كان تأويل هذه الظواهر سائغا لأوشك أن يكون اهتمامهم بها فوق اهتمامهم بفروع الشريعة فإذا انصرم عصرهم وعصر التابعين على الإضراب عن التأويل كان ذلك هو الوجه المتبع </w:t>
      </w:r>
      <w:r>
        <w:rPr>
          <w:rFonts w:hint="cs"/>
          <w:bCs/>
          <w:rtl/>
        </w:rPr>
        <w:t xml:space="preserve">فحق على ذي الدين أن يعتقد تنزيه الباري عن صفات المحدثين ولا يخوض في تأويل المشكلات ويكل معناها إلى الرب </w:t>
      </w:r>
      <w:r>
        <w:rPr>
          <w:rFonts w:hint="cs"/>
          <w:rtl/>
        </w:rPr>
        <w:t>وقال الإمام ابن الصلاح وعلى هذه الطريقة مضى صدر الأمة وساداتها وإياها اختار أئمة الفقهاء وقاداتها وإليها دعا أئمة الحديث وأعلامه ولا أحد من المتكلمين من أصحابنا يصدف عنها ويأباها انتهى</w:t>
      </w:r>
      <w:r w:rsidR="000636C2">
        <w:rPr>
          <w:rFonts w:hint="cs"/>
          <w:rtl/>
        </w:rPr>
        <w:t xml:space="preserve"> </w:t>
      </w:r>
      <w:r>
        <w:rPr>
          <w:rFonts w:hint="cs"/>
          <w:rtl/>
        </w:rPr>
        <w:t>قلت وهذا القول هو الحق " [أقاويل الثقات ج 1 ص 66] أهـ</w:t>
      </w:r>
      <w:r>
        <w:rPr>
          <w:rFonts w:hint="cs"/>
          <w:bCs/>
          <w:rtl/>
        </w:rPr>
        <w:t xml:space="preserve"> وقال رحمه الله</w:t>
      </w:r>
      <w:r w:rsidR="000636C2">
        <w:rPr>
          <w:rFonts w:hint="cs"/>
          <w:bCs/>
          <w:rtl/>
        </w:rPr>
        <w:t>:</w:t>
      </w:r>
      <w:r>
        <w:rPr>
          <w:rFonts w:hint="cs"/>
          <w:bCs/>
          <w:rtl/>
        </w:rPr>
        <w:t xml:space="preserve"> </w:t>
      </w:r>
      <w:r>
        <w:rPr>
          <w:rFonts w:hint="cs"/>
          <w:rtl/>
        </w:rPr>
        <w:t xml:space="preserve">" والمناقشة في مثل هذا تطول وتخرج عن المقصود والمقصود إنما هو الإشارة إلى أن كل واحد يدعي أن الحق بيده ويقيم الدليل عليه كما تقدم </w:t>
      </w:r>
      <w:r>
        <w:rPr>
          <w:rFonts w:hint="cs"/>
          <w:bCs/>
          <w:rtl/>
        </w:rPr>
        <w:t>فنسكت نحن عن الخوض في ذلك ولا نبحث في تحقيقه فإنه بدعة ونفوض علمه إلى الله تعالى</w:t>
      </w:r>
      <w:r>
        <w:rPr>
          <w:rFonts w:hint="cs"/>
          <w:rtl/>
        </w:rPr>
        <w:t xml:space="preserve"> ولا نكفر أحدا من أهل الفرق بما ذهب إليه واعتقده خصوصا مع قيام الشبهة " [أقاويل الثقات ج: 1 ص: 69] أهـ</w:t>
      </w:r>
      <w:r w:rsidR="000636C2">
        <w:rPr>
          <w:rFonts w:hint="cs"/>
          <w:rtl/>
          <w:lang w:bidi="ar-KW"/>
        </w:rPr>
        <w:t xml:space="preserve">، </w:t>
      </w:r>
      <w:r>
        <w:rPr>
          <w:rFonts w:hint="cs"/>
          <w:bCs/>
          <w:rtl/>
        </w:rPr>
        <w:t>وقال رحمه الله</w:t>
      </w:r>
      <w:r w:rsidR="000636C2">
        <w:rPr>
          <w:rFonts w:hint="cs"/>
          <w:bCs/>
          <w:rtl/>
        </w:rPr>
        <w:t>:</w:t>
      </w:r>
      <w:r>
        <w:rPr>
          <w:rFonts w:hint="cs"/>
          <w:bCs/>
          <w:rtl/>
        </w:rPr>
        <w:t xml:space="preserve"> </w:t>
      </w:r>
      <w:r>
        <w:rPr>
          <w:rFonts w:hint="cs"/>
          <w:rtl/>
        </w:rPr>
        <w:t>"</w:t>
      </w:r>
      <w:r w:rsidR="000636C2">
        <w:rPr>
          <w:rFonts w:hint="cs"/>
          <w:rtl/>
        </w:rPr>
        <w:t xml:space="preserve"> </w:t>
      </w:r>
      <w:r>
        <w:rPr>
          <w:rFonts w:hint="cs"/>
          <w:rtl/>
        </w:rPr>
        <w:t>قال القرطبي ..</w:t>
      </w:r>
      <w:r>
        <w:rPr>
          <w:rFonts w:hint="cs"/>
          <w:bCs/>
          <w:rtl/>
        </w:rPr>
        <w:t>فالسلف لم يفسروا مثال هذا ولم يشتغلوا بتأويله مع إعتقادهم أن الله تعالى غير متبعض ولا ذي حاجة.</w:t>
      </w:r>
      <w:r>
        <w:rPr>
          <w:rFonts w:hint="cs"/>
          <w:rtl/>
        </w:rPr>
        <w:t xml:space="preserve">... </w:t>
      </w:r>
      <w:r>
        <w:rPr>
          <w:rFonts w:hint="cs"/>
          <w:bCs/>
          <w:rtl/>
        </w:rPr>
        <w:t xml:space="preserve">واعلم أن هذه الأحاديث ونحوها تروى كما جاءت ويفوض معناها إلى الله أو تؤول بما يليق بجلاله سبحانه ولا ترد بمجرد العناد والمكابرة </w:t>
      </w:r>
      <w:r>
        <w:rPr>
          <w:rFonts w:hint="cs"/>
          <w:rtl/>
        </w:rPr>
        <w:t>" [أقاويل الثقات ج: 1 ص: 118] أهـ</w:t>
      </w:r>
      <w:r w:rsidR="000636C2">
        <w:rPr>
          <w:rFonts w:hint="cs"/>
          <w:rtl/>
        </w:rPr>
        <w:t xml:space="preserve">، </w:t>
      </w:r>
      <w:r>
        <w:rPr>
          <w:rFonts w:hint="cs"/>
          <w:bCs/>
          <w:rtl/>
        </w:rPr>
        <w:t>وقال رحمه الله</w:t>
      </w:r>
      <w:r w:rsidR="000636C2">
        <w:rPr>
          <w:rFonts w:hint="cs"/>
          <w:bCs/>
          <w:rtl/>
        </w:rPr>
        <w:t>:</w:t>
      </w:r>
      <w:r>
        <w:rPr>
          <w:rFonts w:hint="cs"/>
          <w:bCs/>
          <w:rtl/>
        </w:rPr>
        <w:t xml:space="preserve"> </w:t>
      </w:r>
      <w:r>
        <w:t>"</w:t>
      </w:r>
      <w:r>
        <w:rPr>
          <w:rFonts w:hint="cs"/>
          <w:rtl/>
        </w:rPr>
        <w:t xml:space="preserve"> ومن المتشابه الإستواء في قوله تعالى</w:t>
      </w:r>
      <w:r w:rsidR="000636C2">
        <w:rPr>
          <w:rtl/>
        </w:rPr>
        <w:t xml:space="preserve"> </w:t>
      </w:r>
      <w:r>
        <w:rPr>
          <w:rFonts w:hint="cs"/>
          <w:rtl/>
        </w:rPr>
        <w:t>الرحمن على العرش استوى</w:t>
      </w:r>
      <w:r w:rsidR="000636C2">
        <w:rPr>
          <w:rtl/>
        </w:rPr>
        <w:t xml:space="preserve"> </w:t>
      </w:r>
      <w:r>
        <w:rPr>
          <w:rFonts w:hint="cs"/>
          <w:rtl/>
        </w:rPr>
        <w:t>وقوله</w:t>
      </w:r>
      <w:r w:rsidR="000636C2">
        <w:rPr>
          <w:rtl/>
        </w:rPr>
        <w:t xml:space="preserve"> </w:t>
      </w:r>
      <w:r>
        <w:rPr>
          <w:rFonts w:hint="cs"/>
          <w:rtl/>
        </w:rPr>
        <w:t>ثم استوى على العرش</w:t>
      </w:r>
      <w:r w:rsidR="000636C2">
        <w:rPr>
          <w:rtl/>
        </w:rPr>
        <w:t xml:space="preserve"> </w:t>
      </w:r>
      <w:r>
        <w:rPr>
          <w:rFonts w:hint="cs"/>
          <w:rtl/>
        </w:rPr>
        <w:t xml:space="preserve">الأعراف </w:t>
      </w:r>
      <w:r>
        <w:t xml:space="preserve">54 </w:t>
      </w:r>
      <w:r>
        <w:rPr>
          <w:rFonts w:hint="cs"/>
          <w:rtl/>
        </w:rPr>
        <w:t>وهو مذكور في سبع آيات من القرآن</w:t>
      </w:r>
      <w:r w:rsidR="000636C2">
        <w:rPr>
          <w:rtl/>
        </w:rPr>
        <w:t xml:space="preserve"> </w:t>
      </w:r>
      <w:r>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0636C2">
        <w:rPr>
          <w:rtl/>
        </w:rPr>
        <w:t xml:space="preserve"> </w:t>
      </w:r>
      <w:r>
        <w:t>..</w:t>
      </w:r>
      <w:r>
        <w:rPr>
          <w:rFonts w:hint="cs"/>
          <w:rtl/>
        </w:rPr>
        <w:t>ويروى عن الشعبي أنه سئل عن الإستواء فقال</w:t>
      </w:r>
      <w:r w:rsidR="000636C2">
        <w:rPr>
          <w:rFonts w:hint="cs"/>
          <w:rtl/>
        </w:rPr>
        <w:t>:</w:t>
      </w:r>
      <w:r>
        <w:rPr>
          <w:rFonts w:hint="cs"/>
          <w:rtl/>
        </w:rPr>
        <w:t xml:space="preserve"> هذا من </w:t>
      </w:r>
      <w:r>
        <w:rPr>
          <w:rFonts w:hint="cs"/>
          <w:bCs/>
          <w:rtl/>
        </w:rPr>
        <w:t>متشابه القرآن نؤمن به ولا نتعرض لمعناه</w:t>
      </w:r>
      <w:r>
        <w:rPr>
          <w:rFonts w:hint="cs"/>
          <w:rtl/>
        </w:rPr>
        <w:t xml:space="preserve"> وعن الشافعي أنه قال لما سئل عن الإستواء آمنت بلا تشبيه وصدقت بلا تمثيل واتهمت نفسي في الإدراك وأمسكت عن الخوض غاية الإمساك</w:t>
      </w:r>
      <w:r w:rsidR="000636C2">
        <w:rPr>
          <w:rtl/>
        </w:rPr>
        <w:t xml:space="preserve"> </w:t>
      </w:r>
      <w:r>
        <w:rPr>
          <w:rFonts w:hint="cs"/>
          <w:rtl/>
        </w:rPr>
        <w:t>وعن أحمد بن حنبل أنه قال استوى كما ذكر لا كما يخطر للبشر</w:t>
      </w:r>
      <w:r w:rsidR="000636C2">
        <w:rPr>
          <w:rFonts w:hint="cs"/>
          <w:rtl/>
        </w:rPr>
        <w:t>،</w:t>
      </w:r>
      <w:r w:rsidR="000636C2">
        <w:rPr>
          <w:rtl/>
        </w:rPr>
        <w:t xml:space="preserve"> </w:t>
      </w:r>
      <w:r>
        <w:rPr>
          <w:rFonts w:hint="cs"/>
          <w:rtl/>
        </w:rPr>
        <w:lastRenderedPageBreak/>
        <w:t xml:space="preserve">وكلام السلف مستفيض بمثل هذا </w:t>
      </w:r>
      <w:r>
        <w:t>"</w:t>
      </w:r>
      <w:r>
        <w:rPr>
          <w:rtl/>
        </w:rPr>
        <w:t xml:space="preserve"> </w:t>
      </w:r>
      <w:r>
        <w:rPr>
          <w:rFonts w:hint="cs"/>
          <w:rtl/>
        </w:rPr>
        <w:t>[أقاويل الثقات ج: 1 ص: 12</w:t>
      </w:r>
      <w:r w:rsidR="000636C2">
        <w:rPr>
          <w:rFonts w:hint="cs"/>
          <w:rtl/>
        </w:rPr>
        <w:t>،</w:t>
      </w:r>
      <w:r>
        <w:rPr>
          <w:rFonts w:hint="cs"/>
          <w:rtl/>
        </w:rPr>
        <w:t xml:space="preserve"> /121] أ هـ</w:t>
      </w:r>
      <w:r w:rsidR="000636C2">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الطيبي</w:t>
      </w:r>
      <w:r w:rsidR="000636C2">
        <w:rPr>
          <w:rFonts w:hint="cs"/>
          <w:rtl/>
        </w:rPr>
        <w:t>:</w:t>
      </w:r>
      <w:r>
        <w:rPr>
          <w:rFonts w:hint="cs"/>
          <w:rtl/>
        </w:rPr>
        <w:t xml:space="preserve"> </w:t>
      </w:r>
      <w:r>
        <w:rPr>
          <w:rFonts w:hint="cs"/>
          <w:bCs/>
          <w:rtl/>
        </w:rPr>
        <w:t>هذا المذهب</w:t>
      </w:r>
      <w:r>
        <w:rPr>
          <w:rFonts w:hint="cs"/>
          <w:rtl/>
        </w:rPr>
        <w:t xml:space="preserve"> </w:t>
      </w:r>
      <w:r w:rsidR="000636C2">
        <w:rPr>
          <w:rFonts w:hint="cs"/>
          <w:rtl/>
        </w:rPr>
        <w:t>[</w:t>
      </w:r>
      <w:r>
        <w:rPr>
          <w:rFonts w:hint="cs"/>
          <w:rtl/>
        </w:rPr>
        <w:t>أي تفويض العلم</w:t>
      </w:r>
      <w:r w:rsidR="000636C2">
        <w:rPr>
          <w:rFonts w:hint="cs"/>
          <w:rtl/>
        </w:rPr>
        <w:t>]</w:t>
      </w:r>
      <w:r>
        <w:rPr>
          <w:rFonts w:hint="cs"/>
          <w:bCs/>
          <w:rtl/>
        </w:rPr>
        <w:t>هو المعتمد عليه وبه يقول السلف الصالح ومن ذهب إلى التأويل شرط فيه أن يكون مما يؤدي إلى تعظيم الله تعالى وجلاله وتنزيهه وكبريائه وما لا تعظيم فيه فلا يجوز الخوض فيه فكيف بما يؤدي إلى التجسيم والتشبيه</w:t>
      </w:r>
      <w:r>
        <w:rPr>
          <w:rFonts w:hint="cs"/>
          <w:rtl/>
        </w:rPr>
        <w:t xml:space="preserve"> انتهى</w:t>
      </w:r>
      <w:r w:rsidR="000636C2">
        <w:rPr>
          <w:rFonts w:hint="cs"/>
          <w:rtl/>
        </w:rPr>
        <w:t xml:space="preserve"> </w:t>
      </w:r>
      <w:r>
        <w:rPr>
          <w:rFonts w:hint="cs"/>
          <w:rtl/>
        </w:rPr>
        <w:t xml:space="preserve">وهو كلام في غاية التحقيق إلا أن ترك التأويل مطلقا </w:t>
      </w:r>
      <w:r>
        <w:rPr>
          <w:rFonts w:hint="cs"/>
          <w:bCs/>
          <w:rtl/>
        </w:rPr>
        <w:t>وتفويض العلم إلى الله أسلم</w:t>
      </w:r>
      <w:r w:rsidR="000636C2">
        <w:rPr>
          <w:rFonts w:hint="cs"/>
          <w:rtl/>
        </w:rPr>
        <w:t>)</w:t>
      </w:r>
      <w:r>
        <w:rPr>
          <w:rFonts w:hint="cs"/>
          <w:rtl/>
        </w:rPr>
        <w:t>) [أقاويل الثقات ج 1 ص 158ـ162] أهـ</w:t>
      </w:r>
      <w:r w:rsidR="000636C2">
        <w:rPr>
          <w:rFonts w:hint="cs"/>
          <w:rtl/>
        </w:rPr>
        <w:t xml:space="preserve">، </w:t>
      </w:r>
      <w:r>
        <w:rPr>
          <w:rFonts w:hint="cs"/>
          <w:bCs/>
          <w:rtl/>
        </w:rPr>
        <w:t>وقال رحمه الله</w:t>
      </w:r>
      <w:r w:rsidR="000636C2">
        <w:rPr>
          <w:rFonts w:hint="cs"/>
          <w:bCs/>
          <w:rtl/>
        </w:rPr>
        <w:t>:</w:t>
      </w:r>
      <w:r>
        <w:rPr>
          <w:rFonts w:hint="cs"/>
          <w:bCs/>
          <w:rtl/>
        </w:rPr>
        <w:t xml:space="preserve"> _ </w:t>
      </w:r>
      <w:r>
        <w:rPr>
          <w:rFonts w:hint="cs"/>
          <w:rtl/>
        </w:rPr>
        <w:t>عند تعرضه لحديث</w:t>
      </w:r>
      <w:r>
        <w:rPr>
          <w:rFonts w:hint="cs"/>
          <w:bCs/>
          <w:rtl/>
        </w:rPr>
        <w:t xml:space="preserve"> </w:t>
      </w:r>
      <w:r w:rsidR="000636C2">
        <w:rPr>
          <w:rFonts w:hint="cs"/>
          <w:bCs/>
          <w:rtl/>
        </w:rPr>
        <w:t>(</w:t>
      </w:r>
      <w:r>
        <w:rPr>
          <w:rFonts w:hint="cs"/>
          <w:rtl/>
        </w:rPr>
        <w:t>حتى يضع الجبار فيها قدمه</w:t>
      </w:r>
      <w:r w:rsidR="000636C2">
        <w:rPr>
          <w:rFonts w:hint="cs"/>
          <w:rtl/>
        </w:rPr>
        <w:t>)</w:t>
      </w:r>
      <w:r>
        <w:rPr>
          <w:rFonts w:hint="cs"/>
          <w:rtl/>
        </w:rPr>
        <w:t xml:space="preserve"> _</w:t>
      </w:r>
      <w:r>
        <w:rPr>
          <w:rFonts w:hint="cs"/>
          <w:bCs/>
          <w:rtl/>
        </w:rPr>
        <w:t xml:space="preserve"> </w:t>
      </w:r>
      <w:r>
        <w:rPr>
          <w:rFonts w:hint="cs"/>
          <w:rtl/>
        </w:rPr>
        <w:t>"</w:t>
      </w:r>
      <w:r w:rsidR="000636C2">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w:t>
      </w:r>
      <w:r w:rsidR="000636C2">
        <w:rPr>
          <w:rFonts w:hint="cs"/>
          <w:bCs/>
          <w:rtl/>
        </w:rPr>
        <w:t xml:space="preserve">، </w:t>
      </w:r>
      <w:r>
        <w:rPr>
          <w:rFonts w:hint="cs"/>
          <w:rtl/>
        </w:rPr>
        <w:t>وقال الخطابي كان أبو عبيد القاسم بن سلام وهو أحد أنهياء أهل العلم يقول</w:t>
      </w:r>
      <w:r>
        <w:rPr>
          <w:rFonts w:hint="cs"/>
          <w:bCs/>
          <w:rtl/>
        </w:rPr>
        <w:t xml:space="preserve"> نحن نروي هذه الأحاديث ولا نريغ لها المعاني</w:t>
      </w:r>
      <w:r w:rsidR="000636C2">
        <w:rPr>
          <w:rFonts w:hint="cs"/>
          <w:bCs/>
          <w:rtl/>
        </w:rPr>
        <w:t xml:space="preserve"> </w:t>
      </w:r>
      <w:r>
        <w:rPr>
          <w:rFonts w:hint="cs"/>
          <w:bCs/>
          <w:rtl/>
        </w:rPr>
        <w:t xml:space="preserve">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0636C2">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xml:space="preserve">" </w:t>
      </w:r>
      <w:r>
        <w:rPr>
          <w:rFonts w:hint="cs"/>
          <w:rtl/>
        </w:rPr>
        <w:t>[أقاويل الثقات ج: 1 ص</w:t>
      </w:r>
      <w:r w:rsidR="000636C2">
        <w:rPr>
          <w:rFonts w:hint="cs"/>
          <w:rtl/>
        </w:rPr>
        <w:t>:</w:t>
      </w:r>
      <w:r>
        <w:rPr>
          <w:rFonts w:hint="cs"/>
          <w:rtl/>
        </w:rPr>
        <w:t xml:space="preserve"> 177- 178]</w:t>
      </w:r>
      <w:r>
        <w:rPr>
          <w:rFonts w:hint="cs"/>
          <w:bCs/>
          <w:rtl/>
        </w:rPr>
        <w:t xml:space="preserve"> </w:t>
      </w:r>
      <w:r>
        <w:rPr>
          <w:rFonts w:hint="cs"/>
          <w:rtl/>
        </w:rPr>
        <w:t>أهـ</w:t>
      </w:r>
      <w:r w:rsidR="000636C2">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0636C2">
        <w:rPr>
          <w:rFonts w:hint="cs"/>
          <w:rtl/>
        </w:rPr>
        <w:t xml:space="preserve"> </w:t>
      </w:r>
      <w:r>
        <w:rPr>
          <w:rFonts w:hint="cs"/>
          <w:rtl/>
        </w:rPr>
        <w:t>وجاء ربك والملك صفا صفا</w:t>
      </w:r>
      <w:r w:rsidR="000636C2">
        <w:rPr>
          <w:rFonts w:hint="cs"/>
          <w:rtl/>
        </w:rPr>
        <w:t xml:space="preserve"> </w:t>
      </w:r>
      <w:r>
        <w:rPr>
          <w:rFonts w:hint="cs"/>
          <w:rtl/>
        </w:rPr>
        <w:t>الفجر 22 وقوله</w:t>
      </w:r>
      <w:r w:rsidR="000636C2">
        <w:rPr>
          <w:rFonts w:hint="cs"/>
          <w:rtl/>
        </w:rPr>
        <w:t xml:space="preserve"> </w:t>
      </w:r>
      <w:r>
        <w:rPr>
          <w:rFonts w:hint="cs"/>
          <w:rtl/>
        </w:rPr>
        <w:t>هل ينظرون إلا أن يأتيهم الله</w:t>
      </w:r>
      <w:r w:rsidR="000636C2">
        <w:rPr>
          <w:rFonts w:hint="cs"/>
          <w:rtl/>
        </w:rPr>
        <w:t xml:space="preserve"> </w:t>
      </w:r>
      <w:r>
        <w:rPr>
          <w:rFonts w:hint="cs"/>
          <w:rtl/>
        </w:rPr>
        <w:t>البقرة 210</w:t>
      </w:r>
      <w:r w:rsidR="000636C2">
        <w:rPr>
          <w:rFonts w:hint="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[أقاويل الثقات ج: 1 ص: 197] أهـ</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 </w:t>
      </w:r>
      <w:r>
        <w:rPr>
          <w:rFonts w:hint="cs"/>
          <w:rtl/>
        </w:rPr>
        <w:t>قال مسلمة بن القاسم في كتاب غرائب الأصول حديث تجلي الله يوم القيامة ومجيئه في الظلل محمول على أنه تعالى يغير أبصار خلقه حتى يروه كذلك وهو على عرشه غير متغير عن عظمته ولا متنقل عن ملكه كذلك جاء معناه عن عبد العزيز الماجشون قال فكل حديث جاء في التنقل والرؤية في المحشر فمعناه أنه تعالى يغير أبصار خلقه فيرونه نازلا ومتجليا ويناجي خلقه ويخاطبهم وهو غير متغير عن عظمته ولا متنقل عن ملكه انتهى</w:t>
      </w:r>
      <w:r w:rsidR="000636C2">
        <w:rPr>
          <w:rFonts w:hint="cs"/>
          <w:rtl/>
        </w:rPr>
        <w:t xml:space="preserve"> </w:t>
      </w:r>
      <w:r>
        <w:rPr>
          <w:rFonts w:hint="cs"/>
          <w:rtl/>
        </w:rPr>
        <w:lastRenderedPageBreak/>
        <w:t>وهو تأويل حسن يطرد في كثير من المواضع</w:t>
      </w:r>
      <w:r w:rsidR="000636C2">
        <w:rPr>
          <w:rFonts w:hint="cs"/>
          <w:rtl/>
        </w:rPr>
        <w:t xml:space="preserve"> </w:t>
      </w:r>
      <w:r>
        <w:rPr>
          <w:rFonts w:hint="cs"/>
          <w:bCs/>
          <w:rtl/>
        </w:rPr>
        <w:t>ومذهب السلف إنما هو التوحيد والتنزيه دون التجسيم والتشبيه والمبتدعة تزعم أنها على مذهب السلف "</w:t>
      </w:r>
      <w:r>
        <w:rPr>
          <w:rFonts w:hint="cs"/>
          <w:rtl/>
        </w:rPr>
        <w:t xml:space="preserve"> [أقاويل الثقات ج: 1 ص: 198] أهـ</w:t>
      </w:r>
      <w:r w:rsidR="000636C2">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0636C2">
        <w:rPr>
          <w:rFonts w:hint="cs"/>
          <w:rtl/>
        </w:rPr>
        <w:t xml:space="preserve"> (</w:t>
      </w:r>
      <w:r>
        <w:rPr>
          <w:rFonts w:hint="cs"/>
          <w:rtl/>
        </w:rPr>
        <w:t>قل الروح من أمر ربي</w:t>
      </w:r>
      <w:r w:rsidR="000636C2">
        <w:rPr>
          <w:rFonts w:hint="cs"/>
          <w:rtl/>
        </w:rPr>
        <w:t>)</w:t>
      </w:r>
      <w:r>
        <w:rPr>
          <w:rFonts w:hint="cs"/>
          <w:rtl/>
        </w:rPr>
        <w:t xml:space="preserve"> [الإسراء 85</w:t>
      </w:r>
      <w:r w:rsidR="000636C2">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sidR="000636C2">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0636C2">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0636C2">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 رسله ثم تتلقى أوصافه من كتبه ورسله ولا يزاد على ذلك ولقد بحث خلق كثير عن صفاته تعالى بآرائهم فعاد وبال ذلك عليهم</w:t>
      </w:r>
      <w:r w:rsidR="000636C2">
        <w:rPr>
          <w:rFonts w:hint="cs"/>
          <w:rtl/>
        </w:rPr>
        <w:t xml:space="preserve"> </w:t>
      </w:r>
      <w:r>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0636C2">
        <w:rPr>
          <w:rFonts w:hint="cs"/>
          <w:bCs/>
          <w:rtl/>
        </w:rPr>
        <w:t xml:space="preserve">، </w:t>
      </w:r>
      <w:r>
        <w:rPr>
          <w:rFonts w:hint="cs"/>
          <w:bCs/>
          <w:rtl/>
        </w:rPr>
        <w:t>وقال أيضا في موضع آخر</w:t>
      </w:r>
      <w:r w:rsidR="000636C2">
        <w:rPr>
          <w:rFonts w:hint="cs"/>
          <w:bCs/>
          <w:rtl/>
        </w:rPr>
        <w:t>:</w:t>
      </w:r>
      <w:r>
        <w:rPr>
          <w:rFonts w:hint="cs"/>
          <w:bCs/>
          <w:rtl/>
        </w:rPr>
        <w:t xml:space="preserve"> </w:t>
      </w:r>
      <w:r>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sidR="000636C2">
        <w:rPr>
          <w:rFonts w:hint="cs"/>
          <w:rtl/>
        </w:rPr>
        <w:t xml:space="preserve">: </w:t>
      </w:r>
      <w:r>
        <w:rPr>
          <w:rFonts w:hint="cs"/>
          <w:rtl/>
        </w:rPr>
        <w:t>" إذا نزل الحجاج أرضا مريضـة</w:t>
      </w:r>
      <w:r w:rsidR="000636C2">
        <w:rPr>
          <w:rFonts w:hint="cs"/>
          <w:rtl/>
        </w:rPr>
        <w:t xml:space="preserve"> </w:t>
      </w:r>
      <w:r>
        <w:rPr>
          <w:rFonts w:hint="cs"/>
          <w:rtl/>
        </w:rPr>
        <w:t>تتبع أقصى داءها فشفاها ... شفاها من الداء العضال الذي بها ... غلام إذا هز القناة شفاها "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0636C2">
        <w:rPr>
          <w:rFonts w:hint="cs"/>
          <w:rtl/>
        </w:rPr>
        <w:t>،</w:t>
      </w:r>
      <w:r>
        <w:rPr>
          <w:rFonts w:hint="cs"/>
          <w:rtl/>
        </w:rPr>
        <w:t xml:space="preserve"> </w:t>
      </w:r>
      <w:r>
        <w:rPr>
          <w:rFonts w:hint="cs"/>
          <w:bCs/>
          <w:rtl/>
        </w:rPr>
        <w:t xml:space="preserve">فكذلك الظاهرية الذين لم يسلموا بالتسليم فإنه من قرأ الآيات والأحاديث ولم يزد لم يلم وهذه طريقة السلف فأما من قال الحديث يقتضي كذا ويحمل على كذا مثل </w:t>
      </w:r>
      <w:r>
        <w:rPr>
          <w:rFonts w:hint="cs"/>
          <w:bCs/>
          <w:rtl/>
        </w:rPr>
        <w:lastRenderedPageBreak/>
        <w:t>أن يقول استوى على العرش بذاته وينزل إلى سماء الدنيا بذاته فهذه زيادة فهمها قائلها من الحس لا من النقل</w:t>
      </w:r>
      <w:r w:rsidR="000636C2">
        <w:rPr>
          <w:rFonts w:hint="cs"/>
          <w:rtl/>
        </w:rPr>
        <w:t>،</w:t>
      </w:r>
      <w:r>
        <w:rPr>
          <w:rFonts w:hint="cs"/>
          <w:rtl/>
        </w:rPr>
        <w:t xml:space="preserve"> قال وقد تكلموا بأقبح ما يتكلم به المتأولون ثم عابوا المتكلمين</w:t>
      </w:r>
      <w:r w:rsidR="000636C2">
        <w:rPr>
          <w:rFonts w:hint="cs"/>
          <w:rtl/>
        </w:rPr>
        <w:t xml:space="preserve"> </w:t>
      </w:r>
      <w:r>
        <w:rPr>
          <w:rFonts w:hint="cs"/>
          <w:rtl/>
        </w:rPr>
        <w:t>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الإنفعال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sidR="000636C2">
        <w:rPr>
          <w:rFonts w:hint="cs"/>
          <w:rtl/>
        </w:rPr>
        <w:t xml:space="preserve"> </w:t>
      </w:r>
      <w:r>
        <w:rPr>
          <w:rFonts w:hint="cs"/>
          <w:rtl/>
        </w:rPr>
        <w:t>فإذا قيل له فما تصنع في الحديث</w:t>
      </w:r>
      <w:r w:rsidR="000636C2">
        <w:rPr>
          <w:rFonts w:hint="cs"/>
          <w:rtl/>
        </w:rPr>
        <w:t xml:space="preserve"> </w:t>
      </w:r>
      <w:r>
        <w:rPr>
          <w:rFonts w:hint="cs"/>
          <w:rtl/>
        </w:rPr>
        <w:t>فقال هذا ضرب مثل بإقامة صورة ليعلم بتلك الصورة الحسية موت ذلك المعنى</w:t>
      </w:r>
      <w:r w:rsidR="000636C2">
        <w:rPr>
          <w:rFonts w:hint="cs"/>
          <w:rtl/>
        </w:rPr>
        <w:t xml:space="preserve"> </w:t>
      </w:r>
      <w:r>
        <w:rPr>
          <w:rFonts w:hint="cs"/>
          <w:rtl/>
        </w:rPr>
        <w:t>قلنا له قد ورد في الحديث الصحيح تأتي البقرة وآل عمران كأنهما غمامتان فقال الكلام لا يكون غمامة ولا يشبه بها</w:t>
      </w:r>
      <w:r w:rsidR="000636C2">
        <w:rPr>
          <w:rFonts w:hint="cs"/>
          <w:rtl/>
        </w:rPr>
        <w:t xml:space="preserve"> </w:t>
      </w:r>
      <w:r>
        <w:rPr>
          <w:rFonts w:hint="cs"/>
          <w:rtl/>
        </w:rPr>
        <w:t>قلنا أفتعطل النقل قال لا ولكن يأتي ثوابهما</w:t>
      </w:r>
      <w:r w:rsidR="000636C2">
        <w:rPr>
          <w:rFonts w:hint="cs"/>
          <w:rtl/>
        </w:rPr>
        <w:t>،</w:t>
      </w:r>
      <w:r>
        <w:rPr>
          <w:rFonts w:hint="cs"/>
          <w:rtl/>
        </w:rPr>
        <w:t xml:space="preserve"> قلنا فما الدليل الصارف لك عن هذه الحقائق قال علمي بأن الكلام لا يشبه بالأجسام والموت لا يذبح ذبح الأنعام ولو علمتم سعة لغة العرب ما ضاقت أعطانكم من سماع مثل هذا</w:t>
      </w:r>
      <w:r w:rsidR="000636C2">
        <w:rPr>
          <w:rFonts w:hint="cs"/>
          <w:rtl/>
        </w:rPr>
        <w:t xml:space="preserve"> </w:t>
      </w:r>
      <w:r>
        <w:rPr>
          <w:rFonts w:hint="cs"/>
          <w:rtl/>
        </w:rPr>
        <w:t>فقال العلماء صدقت هكذا نقول في تفسير مجيء سورة البقرة وفي ذبح الموت</w:t>
      </w:r>
      <w:r w:rsidR="000636C2">
        <w:rPr>
          <w:rFonts w:hint="cs"/>
          <w:rtl/>
        </w:rPr>
        <w:t>،</w:t>
      </w:r>
      <w:r>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sidR="000636C2">
        <w:rPr>
          <w:rFonts w:hint="cs"/>
          <w:rtl/>
        </w:rPr>
        <w:t xml:space="preserve">، </w:t>
      </w:r>
      <w:r w:rsidR="000636C2">
        <w:rPr>
          <w:rFonts w:hint="cs"/>
          <w:bCs/>
          <w:rtl/>
        </w:rPr>
        <w:t>(</w:t>
      </w:r>
      <w:r>
        <w:rPr>
          <w:rFonts w:hint="cs"/>
          <w:bCs/>
          <w:rtl/>
        </w:rPr>
        <w:t>10</w:t>
      </w:r>
      <w:r w:rsidR="000636C2">
        <w:rPr>
          <w:rFonts w:hint="cs"/>
          <w:bCs/>
          <w:rtl/>
        </w:rPr>
        <w:t>)</w:t>
      </w:r>
      <w:r>
        <w:rPr>
          <w:rFonts w:hint="cs"/>
          <w:bCs/>
          <w:rtl/>
        </w:rPr>
        <w:t xml:space="preserve"> قال عبدالباقي بن إبراهيم الحنبلي</w:t>
      </w:r>
      <w:r>
        <w:rPr>
          <w:rFonts w:hint="cs"/>
          <w:rtl/>
        </w:rPr>
        <w:t xml:space="preserve"> </w:t>
      </w:r>
      <w:r w:rsidR="000636C2">
        <w:rPr>
          <w:rFonts w:hint="cs"/>
          <w:rtl/>
        </w:rPr>
        <w:t>(</w:t>
      </w:r>
      <w:r>
        <w:rPr>
          <w:rFonts w:hint="cs"/>
          <w:rtl/>
        </w:rPr>
        <w:t>ت 10 71 هـ</w:t>
      </w:r>
      <w:r w:rsidR="000636C2">
        <w:rPr>
          <w:rFonts w:hint="cs"/>
          <w:rtl/>
        </w:rPr>
        <w:t>)</w:t>
      </w:r>
      <w:r>
        <w:rPr>
          <w:rFonts w:hint="cs"/>
          <w:rtl/>
        </w:rPr>
        <w:t xml:space="preserve"> في كتابه العين والأثر في عقائد أهل الأثر</w:t>
      </w:r>
      <w:r w:rsidR="000636C2">
        <w:rPr>
          <w:rFonts w:hint="cs"/>
          <w:rtl/>
        </w:rPr>
        <w:t>:</w:t>
      </w:r>
      <w:r>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0636C2">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0636C2">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 إلى الله تعالى</w:t>
      </w:r>
      <w:r w:rsidR="000636C2">
        <w:rPr>
          <w:rFonts w:hint="cs"/>
          <w:bCs/>
          <w:rtl/>
        </w:rPr>
        <w:t>،</w:t>
      </w:r>
      <w:r w:rsidR="000636C2">
        <w:rPr>
          <w:rFonts w:hint="cs"/>
          <w:rtl/>
        </w:rPr>
        <w:t xml:space="preserve"> </w:t>
      </w:r>
      <w:r>
        <w:rPr>
          <w:rFonts w:hint="cs"/>
          <w:rtl/>
        </w:rPr>
        <w:t>وكذلك ما أنزل الله عز اسمه في كتابه من ذكر المجيء والإتيان المذكورين في قوله تعالى</w:t>
      </w:r>
      <w:r w:rsidR="000636C2">
        <w:rPr>
          <w:rFonts w:hint="cs"/>
          <w:rtl/>
        </w:rPr>
        <w:t xml:space="preserve"> </w:t>
      </w:r>
      <w:r>
        <w:rPr>
          <w:rFonts w:hint="cs"/>
          <w:rtl/>
        </w:rPr>
        <w:t>وجاء ربك والملك</w:t>
      </w:r>
      <w:r w:rsidR="000636C2">
        <w:rPr>
          <w:rFonts w:hint="cs"/>
          <w:rtl/>
        </w:rPr>
        <w:t xml:space="preserve"> </w:t>
      </w:r>
      <w:r>
        <w:rPr>
          <w:rFonts w:hint="cs"/>
          <w:rtl/>
        </w:rPr>
        <w:t>الآية وفي قوله</w:t>
      </w:r>
      <w:r w:rsidR="000636C2">
        <w:rPr>
          <w:rFonts w:hint="cs"/>
          <w:rtl/>
        </w:rPr>
        <w:t xml:space="preserve"> </w:t>
      </w:r>
      <w:r>
        <w:rPr>
          <w:rFonts w:hint="cs"/>
          <w:rtl/>
        </w:rPr>
        <w:t>ينظرون إلا أن يأتيهم الله في ظلل من الغمام</w:t>
      </w:r>
      <w:r w:rsidR="000636C2">
        <w:rPr>
          <w:rFonts w:hint="cs"/>
          <w:rtl/>
        </w:rPr>
        <w:t xml:space="preserve"> </w:t>
      </w:r>
      <w:r>
        <w:rPr>
          <w:rFonts w:hint="cs"/>
          <w:rtl/>
        </w:rPr>
        <w:t>الآية</w:t>
      </w:r>
      <w:r w:rsidR="000636C2">
        <w:rPr>
          <w:rFonts w:hint="cs"/>
          <w:rtl/>
        </w:rPr>
        <w:t xml:space="preserve"> </w:t>
      </w:r>
      <w:r>
        <w:rPr>
          <w:rFonts w:hint="cs"/>
          <w:rtl/>
        </w:rPr>
        <w:t>ونؤمن بذلك بلا كيف فلو شاء سبحانه أن يبين لنا كيفية ذلك فعل فانتهينا إلى ما أحكمه وكففنا عن الذي يتشابه</w:t>
      </w:r>
      <w:r w:rsidR="000636C2">
        <w:rPr>
          <w:rFonts w:hint="cs"/>
          <w:rtl/>
        </w:rPr>
        <w:t xml:space="preserve">، </w:t>
      </w:r>
      <w:r>
        <w:rPr>
          <w:rFonts w:hint="cs"/>
          <w:rtl/>
        </w:rPr>
        <w:t xml:space="preserve">قال ابن عيينة </w:t>
      </w:r>
      <w:r>
        <w:rPr>
          <w:rFonts w:hint="cs"/>
          <w:bCs/>
          <w:rtl/>
        </w:rPr>
        <w:t>كل ما وصف الله به نفسه في كتابه فتفسيره تلاوته والسكوت عنه</w:t>
      </w:r>
      <w:r w:rsidR="000636C2">
        <w:rPr>
          <w:rFonts w:hint="cs"/>
          <w:rtl/>
        </w:rPr>
        <w:t>،</w:t>
      </w:r>
      <w:r>
        <w:rPr>
          <w:rFonts w:hint="cs"/>
          <w:rtl/>
        </w:rPr>
        <w:t xml:space="preserve"> وقال بعض السلف قدم الإسلام لا يثبت إلا على قنطرة التسليم</w:t>
      </w:r>
      <w:r w:rsidR="000636C2">
        <w:rPr>
          <w:rFonts w:hint="cs"/>
          <w:rtl/>
        </w:rPr>
        <w:t>،</w:t>
      </w:r>
      <w:r>
        <w:rPr>
          <w:rFonts w:hint="cs"/>
          <w:rtl/>
        </w:rPr>
        <w:t xml:space="preserve"> فقد </w:t>
      </w:r>
      <w:r>
        <w:rPr>
          <w:rFonts w:hint="cs"/>
          <w:rtl/>
        </w:rPr>
        <w:lastRenderedPageBreak/>
        <w:t xml:space="preserve">قال الإمام الشافعي رحمه الله تعالى </w:t>
      </w:r>
      <w:r>
        <w:rPr>
          <w:rFonts w:hint="cs"/>
          <w:bCs/>
          <w:rtl/>
        </w:rPr>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اللبوذي الحنبلي في كتابه اللمع في السنن والبدع وقال بعد وعلى هذا درج أئمة السلف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Pr>
          <w:rFonts w:hint="cs"/>
          <w:bCs/>
          <w:rtl/>
        </w:rPr>
        <w:t xml:space="preserve"> [</w:t>
      </w:r>
      <w:r>
        <w:rPr>
          <w:rFonts w:hint="cs"/>
          <w:rtl/>
        </w:rPr>
        <w:t>العين والأثر في عقائد أهل الأثر ج: 1 ص:62- 63</w:t>
      </w:r>
      <w:r>
        <w:rPr>
          <w:rFonts w:hint="cs"/>
          <w:bCs/>
          <w:rtl/>
        </w:rPr>
        <w:t>]</w:t>
      </w:r>
      <w:r>
        <w:rPr>
          <w:rFonts w:hint="cs"/>
          <w:rtl/>
        </w:rPr>
        <w:t xml:space="preserve"> أهـ</w:t>
      </w:r>
      <w:r w:rsidR="000636C2">
        <w:rPr>
          <w:rFonts w:hint="cs"/>
          <w:rtl/>
        </w:rPr>
        <w:t xml:space="preserve">، </w:t>
      </w:r>
      <w:r w:rsidR="000636C2">
        <w:rPr>
          <w:rFonts w:hint="cs"/>
          <w:bCs/>
          <w:rtl/>
        </w:rPr>
        <w:t>(</w:t>
      </w:r>
      <w:r>
        <w:rPr>
          <w:rFonts w:hint="cs"/>
          <w:bCs/>
          <w:rtl/>
        </w:rPr>
        <w:t>11</w:t>
      </w:r>
      <w:r w:rsidR="000636C2">
        <w:rPr>
          <w:rFonts w:hint="cs"/>
          <w:bCs/>
          <w:rtl/>
        </w:rPr>
        <w:t>)</w:t>
      </w:r>
      <w:r>
        <w:rPr>
          <w:rFonts w:hint="cs"/>
          <w:bCs/>
          <w:rtl/>
        </w:rPr>
        <w:t xml:space="preserve"> وقال ابن عبد البر في التمهيد</w:t>
      </w:r>
      <w:r w:rsidR="000636C2">
        <w:rPr>
          <w:rFonts w:hint="cs"/>
          <w:rtl/>
        </w:rPr>
        <w:t>:</w:t>
      </w:r>
      <w:r>
        <w:rPr>
          <w:rFonts w:hint="cs"/>
          <w:rtl/>
        </w:rPr>
        <w:t xml:space="preserve"> "</w:t>
      </w:r>
      <w:r w:rsidR="000636C2">
        <w:rPr>
          <w:rFonts w:hint="cs"/>
          <w:rtl/>
        </w:rPr>
        <w:t xml:space="preserve"> </w:t>
      </w:r>
      <w:r>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Pr>
          <w:rFonts w:hint="cs"/>
          <w:bCs/>
          <w:rtl/>
        </w:rPr>
        <w:t>فقال</w:t>
      </w:r>
      <w:r w:rsidR="000636C2">
        <w:rPr>
          <w:rFonts w:hint="cs"/>
          <w:bCs/>
          <w:rtl/>
        </w:rPr>
        <w:t>:</w:t>
      </w:r>
      <w:r>
        <w:rPr>
          <w:rFonts w:hint="cs"/>
          <w:bCs/>
          <w:rtl/>
        </w:rPr>
        <w:t xml:space="preserve"> هذه الأحاديث نرويها ونقر بها كما جاءت بلا كيف</w:t>
      </w:r>
      <w:r>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Pr>
          <w:rFonts w:hint="cs"/>
          <w:bCs/>
          <w:rtl/>
        </w:rPr>
        <w:t>فقالوا أمروها كما جاءت بلا كيف</w:t>
      </w:r>
      <w:r>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Pr>
          <w:rFonts w:hint="cs"/>
          <w:bCs/>
          <w:rtl/>
        </w:rPr>
        <w:t xml:space="preserve">يحدثون بهذه الأحاديث ولا يفسرون شيئا </w:t>
      </w:r>
      <w:r>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لتمتلىء وأشباه هذه الأحاديث وقالوا أن فلانا يقول يقع في قلوبنا أن هذه الأحاديث حق فقال ضعفتم عندي أمره هذه الأحاديث حق لا شك فيها رواها الثقات بعضهم عن بعض </w:t>
      </w:r>
      <w:r>
        <w:rPr>
          <w:rFonts w:hint="cs"/>
          <w:bCs/>
          <w:rtl/>
        </w:rPr>
        <w:t>إلا أنا إذا سئلنا عن تفسير هذه الأحاديث لم نفسرها ولم نذكر أحدا يفسرها</w:t>
      </w:r>
      <w:r w:rsidR="000636C2">
        <w:rPr>
          <w:rFonts w:hint="cs"/>
          <w:bCs/>
          <w:rtl/>
        </w:rPr>
        <w:t>،</w:t>
      </w:r>
      <w:r>
        <w:rPr>
          <w:rFonts w:hint="cs"/>
          <w:rtl/>
        </w:rPr>
        <w:t xml:space="preserve"> </w:t>
      </w:r>
      <w:r>
        <w:rPr>
          <w:rFonts w:hint="cs"/>
          <w:bCs/>
          <w:rtl/>
        </w:rPr>
        <w:t xml:space="preserve">وقد كان مالك ينكر على من حدث بمثل هذه الأحاديث </w:t>
      </w:r>
      <w:r>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Pr>
          <w:rFonts w:hint="cs"/>
          <w:bCs/>
          <w:rtl/>
        </w:rPr>
        <w:t xml:space="preserve"> فأنكر ذلك إنكارا شديدا ونهى أن يحدث به أحدا وإنما كره ذلك مالك خشية الخوض في التشبيه بكيف هاهنا</w:t>
      </w:r>
      <w:r>
        <w:rPr>
          <w:rFonts w:hint="cs"/>
          <w:rtl/>
        </w:rPr>
        <w:t xml:space="preserve"> ..وقال يحيى بن إبرهيم بن مزين إنما كره مالك أن يتحدث بتلك الأحاديث لأن فيها حدا وصفة وتشبيها والنجاة في هذا الانتهاء إلى ما </w:t>
      </w:r>
      <w:r>
        <w:rPr>
          <w:rFonts w:hint="cs"/>
          <w:rtl/>
        </w:rPr>
        <w:lastRenderedPageBreak/>
        <w:t xml:space="preserve">قال الله عز وجل ..ولا يعدوه </w:t>
      </w:r>
      <w:r>
        <w:rPr>
          <w:rFonts w:hint="cs"/>
          <w:bCs/>
          <w:rtl/>
        </w:rPr>
        <w:t>ولا يفسره</w:t>
      </w:r>
      <w:r>
        <w:rPr>
          <w:rFonts w:hint="cs"/>
          <w:rtl/>
        </w:rPr>
        <w:t xml:space="preserve"> ولا يقل كيف فإن في ذلك الهلاك لأن الله كلف عبيده الإيمان بالتنزيل ولم يكلفهم الخوض في التأويل الذي لا يعلمه غيره</w:t>
      </w:r>
      <w:r w:rsidR="000636C2">
        <w:rPr>
          <w:rFonts w:hint="cs"/>
          <w:rtl/>
        </w:rPr>
        <w:t>)</w:t>
      </w:r>
      <w:r>
        <w:rPr>
          <w:rFonts w:hint="cs"/>
          <w:rtl/>
        </w:rPr>
        <w:t>) [التمهيد لابن عبد البر ج 7 ص 149ـ152] أهـ</w:t>
      </w:r>
      <w:r w:rsidR="000636C2">
        <w:rPr>
          <w:rFonts w:hint="cs"/>
          <w:rtl/>
        </w:rPr>
        <w:t xml:space="preserve">، </w:t>
      </w:r>
      <w:r w:rsidR="000636C2">
        <w:rPr>
          <w:rFonts w:hint="cs"/>
          <w:bCs/>
          <w:rtl/>
        </w:rPr>
        <w:t>(</w:t>
      </w:r>
      <w:r>
        <w:rPr>
          <w:rFonts w:hint="cs"/>
          <w:bCs/>
          <w:rtl/>
        </w:rPr>
        <w:t>12</w:t>
      </w:r>
      <w:r w:rsidR="000636C2">
        <w:rPr>
          <w:rFonts w:hint="cs"/>
          <w:bCs/>
          <w:rtl/>
        </w:rPr>
        <w:t>)</w:t>
      </w:r>
      <w:r>
        <w:rPr>
          <w:rFonts w:hint="cs"/>
          <w:bCs/>
          <w:rtl/>
        </w:rPr>
        <w:t xml:space="preserve"> وقال الذهبي في سير أعلام النبلاء</w:t>
      </w:r>
      <w:r w:rsidR="000636C2">
        <w:rPr>
          <w:rFonts w:hint="cs"/>
          <w:bCs/>
          <w:rtl/>
        </w:rPr>
        <w:t>:</w:t>
      </w:r>
      <w:r>
        <w:rPr>
          <w:rFonts w:hint="cs"/>
          <w:bCs/>
          <w:rtl/>
        </w:rPr>
        <w:t xml:space="preserve"> </w:t>
      </w:r>
      <w:r>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sidR="000636C2">
        <w:rPr>
          <w:rFonts w:hint="cs"/>
          <w:rtl/>
        </w:rPr>
        <w:t xml:space="preserve"> </w:t>
      </w:r>
      <w:r>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Pr>
          <w:rFonts w:hint="cs"/>
          <w:bCs/>
          <w:rtl/>
        </w:rPr>
        <w:t>وتفويض معناه</w:t>
      </w:r>
      <w:r>
        <w:rPr>
          <w:rFonts w:hint="cs"/>
          <w:rtl/>
        </w:rPr>
        <w:t xml:space="preserve"> إلى قائله الصادق المعصوم</w:t>
      </w:r>
      <w:r w:rsidR="000636C2">
        <w:rPr>
          <w:rFonts w:hint="cs"/>
          <w:rtl/>
        </w:rPr>
        <w:t xml:space="preserve"> </w:t>
      </w:r>
      <w:r>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sidR="000636C2">
        <w:rPr>
          <w:rFonts w:hint="cs"/>
          <w:rtl/>
        </w:rPr>
        <w:t xml:space="preserve"> </w:t>
      </w:r>
      <w:r>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sidR="000636C2">
        <w:rPr>
          <w:rFonts w:hint="cs"/>
          <w:rtl/>
        </w:rPr>
        <w:t>[</w:t>
      </w:r>
      <w:r>
        <w:rPr>
          <w:rFonts w:hint="cs"/>
          <w:rtl/>
        </w:rPr>
        <w:t>سير أعلام النبلاء ج 8 ص 10 3-10 5] أهـ</w:t>
      </w:r>
      <w:r w:rsidR="000636C2">
        <w:rPr>
          <w:rFonts w:hint="cs"/>
          <w:rtl/>
        </w:rPr>
        <w:t xml:space="preserve">، </w:t>
      </w:r>
      <w:r>
        <w:rPr>
          <w:rFonts w:hint="cs"/>
          <w:bCs/>
          <w:rtl/>
        </w:rPr>
        <w:t>وقال رحمه الله</w:t>
      </w:r>
      <w:r w:rsidR="000636C2">
        <w:rPr>
          <w:rFonts w:hint="cs"/>
          <w:rtl/>
        </w:rPr>
        <w:t xml:space="preserve">: </w:t>
      </w:r>
      <w:r>
        <w:rPr>
          <w:rFonts w:hint="cs"/>
          <w:rtl/>
        </w:rPr>
        <w:t>"</w:t>
      </w:r>
      <w:r w:rsidR="000636C2">
        <w:rPr>
          <w:rFonts w:hint="cs"/>
          <w:rtl/>
        </w:rPr>
        <w:t xml:space="preserve"> </w:t>
      </w:r>
      <w:r>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Pr>
          <w:rFonts w:hint="cs"/>
          <w:bCs/>
          <w:rtl/>
        </w:rPr>
        <w:t>وذهب أئمة السلف إلى الانكفاف عن التأويل وإجراء الظواهر على مواردها</w:t>
      </w:r>
      <w:r w:rsidR="000636C2">
        <w:rPr>
          <w:rFonts w:hint="cs"/>
          <w:bCs/>
          <w:rtl/>
        </w:rPr>
        <w:t xml:space="preserve"> </w:t>
      </w:r>
      <w:r>
        <w:rPr>
          <w:rFonts w:hint="cs"/>
          <w:bCs/>
          <w:rtl/>
        </w:rPr>
        <w:t>وتفويض</w:t>
      </w:r>
      <w:r w:rsidR="000636C2">
        <w:rPr>
          <w:rFonts w:hint="cs"/>
          <w:bCs/>
          <w:rtl/>
        </w:rPr>
        <w:t xml:space="preserve"> </w:t>
      </w:r>
      <w:r>
        <w:rPr>
          <w:rFonts w:hint="cs"/>
          <w:bCs/>
          <w:rtl/>
        </w:rPr>
        <w:t xml:space="preserve">معانيها إلى الرب تعالى </w:t>
      </w:r>
      <w:r>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Pr>
          <w:rFonts w:hint="cs"/>
          <w:bCs/>
          <w:rtl/>
        </w:rPr>
        <w:t xml:space="preserve">وقد درج صحب الرسول صلى الله عليه وسلم على ترك التعرض لمعانيها </w:t>
      </w:r>
      <w:r>
        <w:rPr>
          <w:rFonts w:hint="cs"/>
          <w:rtl/>
        </w:rPr>
        <w:t xml:space="preserve">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أومحتوما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w:t>
      </w:r>
      <w:r>
        <w:rPr>
          <w:rFonts w:hint="cs"/>
          <w:rtl/>
        </w:rPr>
        <w:lastRenderedPageBreak/>
        <w:t>تنزه الباري عن صفات المحدثين ولا يخوض في تأويل المشكلات ويكل معناها إلى الرب فليجر آية الاستواء والمجيء وقوله (لما خلقت بيدي</w:t>
      </w:r>
      <w:r w:rsidR="000636C2">
        <w:rPr>
          <w:rFonts w:hint="cs"/>
          <w:rtl/>
        </w:rPr>
        <w:t>) (</w:t>
      </w:r>
      <w:r>
        <w:rPr>
          <w:rFonts w:hint="cs"/>
          <w:rtl/>
        </w:rPr>
        <w:t>ويبقى وجه ربك</w:t>
      </w:r>
      <w:r w:rsidR="000636C2">
        <w:rPr>
          <w:rFonts w:hint="cs"/>
          <w:rtl/>
        </w:rPr>
        <w:t>)</w:t>
      </w:r>
      <w:r>
        <w:rPr>
          <w:rFonts w:hint="cs"/>
          <w:rtl/>
        </w:rPr>
        <w:t xml:space="preserve"> </w:t>
      </w:r>
      <w:r w:rsidR="000636C2">
        <w:rPr>
          <w:rFonts w:hint="cs"/>
          <w:rtl/>
        </w:rPr>
        <w:t>(</w:t>
      </w:r>
      <w:r>
        <w:rPr>
          <w:rFonts w:hint="cs"/>
          <w:rtl/>
        </w:rPr>
        <w:t>تجري بأعيننا</w:t>
      </w:r>
      <w:r w:rsidR="000636C2">
        <w:rPr>
          <w:rFonts w:hint="cs"/>
          <w:rtl/>
        </w:rPr>
        <w:t>)</w:t>
      </w:r>
      <w:r>
        <w:rPr>
          <w:rFonts w:hint="cs"/>
          <w:rtl/>
        </w:rPr>
        <w:t xml:space="preserve"> وما صح من أخبار الرسول كخبر النزول وغيره على ما ذكرناه</w:t>
      </w:r>
      <w:r w:rsidR="000636C2">
        <w:rPr>
          <w:rFonts w:hint="cs"/>
          <w:rtl/>
        </w:rPr>
        <w:t>)</w:t>
      </w:r>
      <w:r>
        <w:rPr>
          <w:rFonts w:hint="cs"/>
          <w:rtl/>
        </w:rPr>
        <w:t>) [سير أعلام النبلاء ج 18 ص 473] أهـ</w:t>
      </w:r>
      <w:r w:rsidR="000636C2">
        <w:rPr>
          <w:rFonts w:hint="cs"/>
          <w:rtl/>
        </w:rPr>
        <w:t xml:space="preserve"> </w:t>
      </w:r>
    </w:p>
    <w:p w14:paraId="209F8198" w14:textId="42E83AB0" w:rsidR="009C32A0" w:rsidRDefault="000636C2" w:rsidP="000636C2">
      <w:pPr>
        <w:ind w:left="-58"/>
        <w:rPr>
          <w:b/>
          <w:lang w:bidi="ar-KW"/>
        </w:rPr>
      </w:pPr>
      <w:r>
        <w:rPr>
          <w:rFonts w:cs="Monotype Koufi" w:hint="cs"/>
          <w:rtl/>
        </w:rPr>
        <w:t>(</w:t>
      </w:r>
      <w:r w:rsidR="009C32A0">
        <w:rPr>
          <w:rFonts w:cs="Monotype Koufi" w:hint="cs"/>
          <w:rtl/>
        </w:rPr>
        <w:t>تنبيه أول</w:t>
      </w:r>
      <w:r>
        <w:rPr>
          <w:rFonts w:cs="Monotype Koufi" w:hint="cs"/>
          <w:rtl/>
        </w:rPr>
        <w:t>):</w:t>
      </w:r>
      <w:r w:rsidR="009C32A0">
        <w:rPr>
          <w:rFonts w:hint="cs"/>
          <w:bCs/>
          <w:rtl/>
          <w:lang w:bidi="ar-KW"/>
        </w:rPr>
        <w:t xml:space="preserve"> مذهب الأثرية من تفويض معنى المتشابه ليس معناه الجهل بالمراد من الآيات</w:t>
      </w:r>
      <w:r>
        <w:rPr>
          <w:rFonts w:hint="cs"/>
          <w:bCs/>
          <w:rtl/>
          <w:lang w:bidi="ar-KW"/>
        </w:rPr>
        <w:t>:</w:t>
      </w:r>
      <w:r w:rsidR="009C32A0">
        <w:rPr>
          <w:rFonts w:hint="cs"/>
          <w:bCs/>
          <w:rtl/>
          <w:lang w:bidi="ar-KW"/>
        </w:rPr>
        <w:t xml:space="preserve"> </w:t>
      </w:r>
      <w:r w:rsidR="009C32A0">
        <w:rPr>
          <w:rFonts w:hint="cs"/>
          <w:rtl/>
          <w:lang w:bidi="ar-KW"/>
        </w:rPr>
        <w:t>لقد فهم البعض من السلفية خطئاً أنّ معنى تفويض المعنى هو الجهل العريض بآيات الصفات</w:t>
      </w:r>
      <w:r>
        <w:rPr>
          <w:rFonts w:hint="cs"/>
          <w:rtl/>
          <w:lang w:bidi="ar-KW"/>
        </w:rPr>
        <w:t>،</w:t>
      </w:r>
      <w:r w:rsidR="009C32A0">
        <w:rPr>
          <w:rFonts w:hint="cs"/>
          <w:rtl/>
          <w:lang w:bidi="ar-KW"/>
        </w:rPr>
        <w:t xml:space="preserve"> وهذه سقطة عظيمة وزلة عالم</w:t>
      </w:r>
      <w:r>
        <w:rPr>
          <w:rFonts w:hint="cs"/>
          <w:rtl/>
          <w:lang w:bidi="ar-KW"/>
        </w:rPr>
        <w:t>،</w:t>
      </w:r>
      <w:r w:rsidR="009C32A0">
        <w:rPr>
          <w:rFonts w:hint="cs"/>
          <w:rtl/>
          <w:lang w:bidi="ar-KW"/>
        </w:rPr>
        <w:t xml:space="preserve"> لا ينبغي تتبعها لأنّ حقيقة مذهب السلف ومذهب الاثرية في المتشابهات التي توهم التشبيه أو التجسيم أو الحدوث</w:t>
      </w:r>
      <w:r>
        <w:rPr>
          <w:rFonts w:hint="cs"/>
          <w:rtl/>
          <w:lang w:bidi="ar-KW"/>
        </w:rPr>
        <w:t>،</w:t>
      </w:r>
      <w:r w:rsidR="009C32A0">
        <w:rPr>
          <w:rFonts w:hint="cs"/>
          <w:rtl/>
          <w:lang w:bidi="ar-KW"/>
        </w:rPr>
        <w:t xml:space="preserve"> من مثل النصوص التي توهم الجارحة كالوجه والعين واليد</w:t>
      </w:r>
      <w:r>
        <w:rPr>
          <w:rFonts w:hint="cs"/>
          <w:rtl/>
          <w:lang w:bidi="ar-KW"/>
        </w:rPr>
        <w:t>،</w:t>
      </w:r>
      <w:r w:rsidR="009C32A0">
        <w:rPr>
          <w:rFonts w:hint="cs"/>
          <w:rtl/>
          <w:lang w:bidi="ar-KW"/>
        </w:rPr>
        <w:t xml:space="preserve"> والنصوص توهم التغير والحدوث كالمجيء والإتيان والنزول</w:t>
      </w:r>
      <w:r>
        <w:rPr>
          <w:rFonts w:hint="cs"/>
          <w:rtl/>
          <w:lang w:bidi="ar-KW"/>
        </w:rPr>
        <w:t>،</w:t>
      </w:r>
      <w:r w:rsidR="009C32A0">
        <w:rPr>
          <w:rFonts w:hint="cs"/>
          <w:rtl/>
          <w:lang w:bidi="ar-KW"/>
        </w:rPr>
        <w:t xml:space="preserve"> والنصوص توهم النقص والحد</w:t>
      </w:r>
      <w:r>
        <w:rPr>
          <w:rFonts w:hint="cs"/>
          <w:rtl/>
          <w:lang w:bidi="ar-KW"/>
        </w:rPr>
        <w:t>،</w:t>
      </w:r>
      <w:r w:rsidR="009C32A0">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Pr>
          <w:rFonts w:hint="cs"/>
          <w:rtl/>
          <w:lang w:bidi="ar-KW"/>
        </w:rPr>
        <w:t>،</w:t>
      </w:r>
      <w:r w:rsidR="009C32A0">
        <w:rPr>
          <w:rFonts w:hint="cs"/>
          <w:rtl/>
          <w:lang w:bidi="ar-KW"/>
        </w:rPr>
        <w:t xml:space="preserve"> وليس معنى ذلك أن السلف كانوا لا يدركون أي معنى لهذه النصوص المتشابهة</w:t>
      </w:r>
      <w:r>
        <w:rPr>
          <w:rFonts w:hint="cs"/>
          <w:rtl/>
          <w:lang w:bidi="ar-KW"/>
        </w:rPr>
        <w:t>،</w:t>
      </w:r>
      <w:r w:rsidR="009C32A0">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9C32A0">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9C32A0">
        <w:rPr>
          <w:rFonts w:hint="cs"/>
          <w:rtl/>
          <w:lang w:bidi="ar-KW"/>
        </w:rPr>
        <w:t xml:space="preserve"> وهم أعلم الناس بمعنى قوله تعالى</w:t>
      </w:r>
      <w:r>
        <w:rPr>
          <w:rFonts w:hint="cs"/>
          <w:rtl/>
          <w:lang w:bidi="ar-KW"/>
        </w:rPr>
        <w:t>:</w:t>
      </w:r>
      <w:r w:rsidR="009C32A0">
        <w:rPr>
          <w:rFonts w:hint="cs"/>
          <w:rtl/>
        </w:rPr>
        <w:t xml:space="preserve"> </w:t>
      </w:r>
      <w:r>
        <w:rPr>
          <w:rFonts w:hint="cs"/>
          <w:rtl/>
        </w:rPr>
        <w:t>{</w:t>
      </w:r>
      <w:r w:rsidR="009C32A0">
        <w:rPr>
          <w:rFonts w:hint="cs"/>
          <w:rtl/>
        </w:rPr>
        <w:t>ولم يكن له كفوا أحد</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ليس كمثله شيء</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هل تعلم له سميا</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ولا يحيطون به علما</w:t>
      </w:r>
      <w:r>
        <w:rPr>
          <w:rFonts w:hint="cs"/>
          <w:rtl/>
        </w:rPr>
        <w:t>}،</w:t>
      </w:r>
      <w:r w:rsidR="009C32A0">
        <w:rPr>
          <w:rFonts w:hint="cs"/>
          <w:rtl/>
        </w:rPr>
        <w:t xml:space="preserve"> وما فيها من التنزيه ونفي الكفء والمثيل والسمي</w:t>
      </w:r>
      <w:r>
        <w:rPr>
          <w:rFonts w:hint="cs"/>
          <w:rtl/>
        </w:rPr>
        <w:t>،</w:t>
      </w:r>
      <w:r w:rsidR="009C32A0">
        <w:rPr>
          <w:rFonts w:hint="cs"/>
          <w:rtl/>
        </w:rPr>
        <w:t xml:space="preserve"> فكانوا لا يثبتون للمتشابه أي معنى يخالف التنزيه والتقديس</w:t>
      </w:r>
      <w:r>
        <w:rPr>
          <w:rFonts w:hint="cs"/>
          <w:rtl/>
        </w:rPr>
        <w:t>،</w:t>
      </w:r>
      <w:r w:rsidR="009C32A0">
        <w:rPr>
          <w:rFonts w:hint="cs"/>
          <w:rtl/>
        </w:rPr>
        <w:t xml:space="preserve"> و</w:t>
      </w:r>
      <w:r w:rsidR="009C32A0">
        <w:rPr>
          <w:rFonts w:hint="cs"/>
          <w:rtl/>
          <w:lang w:bidi="ar-KW"/>
        </w:rPr>
        <w:t>مثال على هذا قوله تعالى</w:t>
      </w:r>
      <w:r>
        <w:rPr>
          <w:rFonts w:hint="cs"/>
          <w:bCs/>
          <w:rtl/>
          <w:lang w:bidi="ar-KW"/>
        </w:rPr>
        <w:t>(</w:t>
      </w:r>
      <w:r w:rsidR="009C32A0">
        <w:rPr>
          <w:rFonts w:hint="cs"/>
          <w:bCs/>
          <w:rtl/>
          <w:lang w:bidi="ar-KW"/>
        </w:rPr>
        <w:t>بل يداه مبسوطتان</w:t>
      </w:r>
      <w:r>
        <w:rPr>
          <w:rFonts w:hint="cs"/>
          <w:bCs/>
          <w:rtl/>
          <w:lang w:bidi="ar-KW"/>
        </w:rPr>
        <w:t>)</w:t>
      </w:r>
      <w:r w:rsidR="009C32A0">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Pr>
          <w:rFonts w:hint="cs"/>
          <w:rtl/>
          <w:lang w:bidi="ar-KW"/>
        </w:rPr>
        <w:t>،</w:t>
      </w:r>
      <w:r w:rsidR="009C32A0">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Pr>
          <w:rFonts w:hint="cs"/>
          <w:rtl/>
          <w:lang w:bidi="ar-KW"/>
        </w:rPr>
        <w:t>،</w:t>
      </w:r>
      <w:r w:rsidR="009C32A0">
        <w:rPr>
          <w:rFonts w:hint="cs"/>
          <w:rtl/>
          <w:lang w:bidi="ar-KW"/>
        </w:rPr>
        <w:t xml:space="preserve"> منها أنه سبحانه </w:t>
      </w:r>
      <w:r>
        <w:rPr>
          <w:rFonts w:hint="cs"/>
          <w:rtl/>
          <w:lang w:bidi="ar-KW"/>
        </w:rPr>
        <w:t>(</w:t>
      </w:r>
      <w:r w:rsidR="009C32A0">
        <w:rPr>
          <w:rFonts w:hint="cs"/>
          <w:rtl/>
          <w:lang w:bidi="ar-KW"/>
        </w:rPr>
        <w:t>الأحد</w:t>
      </w:r>
      <w:r>
        <w:rPr>
          <w:rFonts w:hint="cs"/>
          <w:rtl/>
          <w:lang w:bidi="ar-KW"/>
        </w:rPr>
        <w:t>)</w:t>
      </w:r>
      <w:r w:rsidR="009C32A0">
        <w:rPr>
          <w:rFonts w:hint="cs"/>
          <w:rtl/>
          <w:lang w:bidi="ar-KW"/>
        </w:rPr>
        <w:t xml:space="preserve"> وصفة الأحدية تمنع من التركيب</w:t>
      </w:r>
      <w:r>
        <w:rPr>
          <w:rFonts w:hint="cs"/>
          <w:rtl/>
          <w:lang w:bidi="ar-KW"/>
        </w:rPr>
        <w:t>،</w:t>
      </w:r>
      <w:r w:rsidR="009C32A0">
        <w:rPr>
          <w:rFonts w:hint="cs"/>
          <w:rtl/>
          <w:lang w:bidi="ar-KW"/>
        </w:rPr>
        <w:t xml:space="preserve"> ومنع التركيب يمنع وجود الأجزاء</w:t>
      </w:r>
      <w:r>
        <w:rPr>
          <w:rFonts w:hint="cs"/>
          <w:rtl/>
          <w:lang w:bidi="ar-KW"/>
        </w:rPr>
        <w:t>،</w:t>
      </w:r>
      <w:r w:rsidR="009C32A0">
        <w:rPr>
          <w:rFonts w:hint="cs"/>
          <w:rtl/>
          <w:lang w:bidi="ar-KW"/>
        </w:rPr>
        <w:t xml:space="preserve"> كما أنه سبحانه </w:t>
      </w:r>
      <w:r>
        <w:rPr>
          <w:rFonts w:hint="cs"/>
          <w:rtl/>
          <w:lang w:bidi="ar-KW"/>
        </w:rPr>
        <w:t>(</w:t>
      </w:r>
      <w:r w:rsidR="009C32A0">
        <w:rPr>
          <w:rFonts w:hint="cs"/>
          <w:rtl/>
          <w:lang w:bidi="ar-KW"/>
        </w:rPr>
        <w:t>الغني</w:t>
      </w:r>
      <w:r>
        <w:rPr>
          <w:rFonts w:hint="cs"/>
          <w:rtl/>
          <w:lang w:bidi="ar-KW"/>
        </w:rPr>
        <w:t>)</w:t>
      </w:r>
      <w:r w:rsidR="009C32A0">
        <w:rPr>
          <w:rFonts w:hint="cs"/>
          <w:rtl/>
          <w:lang w:bidi="ar-KW"/>
        </w:rPr>
        <w:t xml:space="preserve"> وكمال الغنى يمنع من الاحتياج للجوارح في تصريف الأمور</w:t>
      </w:r>
      <w:r>
        <w:rPr>
          <w:rFonts w:hint="cs"/>
          <w:rtl/>
          <w:lang w:bidi="ar-KW"/>
        </w:rPr>
        <w:t>،</w:t>
      </w:r>
      <w:r w:rsidR="009C32A0">
        <w:rPr>
          <w:rFonts w:hint="cs"/>
          <w:rtl/>
          <w:lang w:bidi="ar-KW"/>
        </w:rPr>
        <w:t xml:space="preserve"> ومنها نفي المثلية في 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ليس كمثله شيء</w:t>
      </w:r>
      <w:r>
        <w:rPr>
          <w:rFonts w:hint="cs"/>
          <w:rtl/>
          <w:lang w:bidi="ar-KW"/>
        </w:rPr>
        <w:t>}،</w:t>
      </w:r>
      <w:r w:rsidR="009C32A0">
        <w:rPr>
          <w:rFonts w:hint="cs"/>
          <w:rtl/>
          <w:lang w:bidi="ar-KW"/>
        </w:rPr>
        <w:t xml:space="preserve"> وجميع الخلق تتكون أجسامهم من أجزاء والله تعالى ليس كمثله</w:t>
      </w:r>
      <w:r>
        <w:rPr>
          <w:rFonts w:hint="cs"/>
          <w:rtl/>
          <w:lang w:bidi="ar-KW"/>
        </w:rPr>
        <w:t>،</w:t>
      </w:r>
      <w:r w:rsidR="009C32A0">
        <w:rPr>
          <w:rFonts w:hint="cs"/>
          <w:rtl/>
          <w:lang w:bidi="ar-KW"/>
        </w:rPr>
        <w:t xml:space="preserve"> ولهذه الأسباب وغيرها - مما حواه علم التقديس -</w:t>
      </w:r>
      <w:r>
        <w:rPr>
          <w:rFonts w:hint="cs"/>
          <w:rtl/>
          <w:lang w:bidi="ar-KW"/>
        </w:rPr>
        <w:t xml:space="preserve"> </w:t>
      </w:r>
      <w:r w:rsidR="009C32A0">
        <w:rPr>
          <w:rFonts w:hint="cs"/>
          <w:rtl/>
          <w:lang w:bidi="ar-KW"/>
        </w:rPr>
        <w:t>توقف السلف عن الخوض في المتشابه</w:t>
      </w:r>
      <w:r>
        <w:rPr>
          <w:rFonts w:hint="cs"/>
          <w:rtl/>
          <w:lang w:bidi="ar-KW"/>
        </w:rPr>
        <w:t>،</w:t>
      </w:r>
      <w:r w:rsidR="009C32A0">
        <w:rPr>
          <w:rFonts w:hint="cs"/>
          <w:rtl/>
          <w:lang w:bidi="ar-KW"/>
        </w:rPr>
        <w:t xml:space="preserve"> واكتفوا بالمعنى الإجمالي المفهوم من الآيات</w:t>
      </w:r>
      <w:r>
        <w:rPr>
          <w:rFonts w:hint="cs"/>
          <w:rtl/>
          <w:lang w:bidi="ar-KW"/>
        </w:rPr>
        <w:t>،</w:t>
      </w:r>
      <w:r w:rsidR="009C32A0">
        <w:rPr>
          <w:rFonts w:hint="cs"/>
          <w:rtl/>
          <w:lang w:bidi="ar-KW"/>
        </w:rPr>
        <w:t xml:space="preserve"> هذا هو اللائق بمقامات السلف في العلم</w:t>
      </w:r>
      <w:r>
        <w:rPr>
          <w:rFonts w:hint="cs"/>
          <w:rtl/>
          <w:lang w:bidi="ar-KW"/>
        </w:rPr>
        <w:t>،</w:t>
      </w:r>
      <w:r w:rsidR="009C32A0">
        <w:rPr>
          <w:rFonts w:hint="cs"/>
          <w:rtl/>
          <w:lang w:bidi="ar-KW"/>
        </w:rPr>
        <w:t xml:space="preserve"> إذ لا يعقل أنهم كانوا يسمعون مثلاً قول الله تعالـى</w:t>
      </w:r>
      <w:r>
        <w:rPr>
          <w:rFonts w:hint="cs"/>
          <w:rtl/>
          <w:lang w:bidi="ar-KW"/>
        </w:rPr>
        <w:t>:</w:t>
      </w:r>
      <w:r w:rsidR="009C32A0">
        <w:rPr>
          <w:rFonts w:hint="cs"/>
          <w:bCs/>
          <w:rtl/>
          <w:lang w:bidi="ar-KW"/>
        </w:rPr>
        <w:t xml:space="preserve"> </w:t>
      </w:r>
      <w:r>
        <w:rPr>
          <w:rFonts w:hint="cs"/>
          <w:rtl/>
          <w:lang w:bidi="ar-KW"/>
        </w:rPr>
        <w:t>{</w:t>
      </w:r>
      <w:r w:rsidR="009C32A0">
        <w:rPr>
          <w:rFonts w:hint="cs"/>
          <w:bCs/>
          <w:rtl/>
          <w:lang w:bidi="ar-KW"/>
        </w:rPr>
        <w:t>يد الله فوق أيديهم</w:t>
      </w:r>
      <w:r>
        <w:rPr>
          <w:rFonts w:hint="cs"/>
          <w:bCs/>
          <w:rtl/>
          <w:lang w:bidi="ar-KW"/>
        </w:rPr>
        <w:t xml:space="preserve">} </w:t>
      </w:r>
      <w:r w:rsidR="009C32A0">
        <w:rPr>
          <w:rFonts w:hint="cs"/>
          <w:bCs/>
          <w:rtl/>
          <w:lang w:bidi="ar-KW"/>
        </w:rPr>
        <w:t xml:space="preserve">أو </w:t>
      </w:r>
      <w:r>
        <w:rPr>
          <w:rFonts w:hint="cs"/>
          <w:rtl/>
          <w:lang w:bidi="ar-KW"/>
        </w:rPr>
        <w:t>{</w:t>
      </w:r>
      <w:r w:rsidR="009C32A0">
        <w:rPr>
          <w:rFonts w:hint="cs"/>
          <w:bCs/>
          <w:rtl/>
          <w:lang w:bidi="ar-KW"/>
        </w:rPr>
        <w:t>بل يداه مبسوطتان ينفق كيف يشاء</w:t>
      </w:r>
      <w:r>
        <w:rPr>
          <w:rFonts w:hint="cs"/>
          <w:bCs/>
          <w:rtl/>
          <w:lang w:bidi="ar-KW"/>
        </w:rPr>
        <w:t xml:space="preserve">} </w:t>
      </w:r>
      <w:r w:rsidR="009C32A0">
        <w:rPr>
          <w:rFonts w:hint="cs"/>
          <w:bCs/>
          <w:rtl/>
          <w:lang w:bidi="ar-KW"/>
        </w:rPr>
        <w:t xml:space="preserve">أو </w:t>
      </w:r>
      <w:r>
        <w:rPr>
          <w:rFonts w:hint="cs"/>
          <w:rtl/>
          <w:lang w:bidi="ar-KW"/>
        </w:rPr>
        <w:t>{</w:t>
      </w:r>
      <w:r w:rsidR="009C32A0">
        <w:rPr>
          <w:rFonts w:hint="cs"/>
          <w:bCs/>
          <w:rtl/>
          <w:lang w:bidi="ar-KW"/>
        </w:rPr>
        <w:t xml:space="preserve">الرحمن على </w:t>
      </w:r>
      <w:r w:rsidR="009C32A0">
        <w:rPr>
          <w:rFonts w:hint="cs"/>
          <w:bCs/>
          <w:rtl/>
          <w:lang w:bidi="ar-KW"/>
        </w:rPr>
        <w:lastRenderedPageBreak/>
        <w:t>العرش استوى</w:t>
      </w:r>
      <w:r>
        <w:rPr>
          <w:rFonts w:hint="cs"/>
          <w:bCs/>
          <w:rtl/>
          <w:lang w:bidi="ar-KW"/>
        </w:rPr>
        <w:t xml:space="preserve">} </w:t>
      </w:r>
      <w:r w:rsidR="009C32A0">
        <w:rPr>
          <w:rFonts w:hint="cs"/>
          <w:bCs/>
          <w:rtl/>
          <w:lang w:bidi="ar-KW"/>
        </w:rPr>
        <w:t xml:space="preserve">أو </w:t>
      </w:r>
      <w:r>
        <w:rPr>
          <w:rFonts w:hint="cs"/>
          <w:rtl/>
          <w:lang w:bidi="ar-KW"/>
        </w:rPr>
        <w:t>{</w:t>
      </w:r>
      <w:r w:rsidR="009C32A0">
        <w:rPr>
          <w:rFonts w:hint="cs"/>
          <w:bCs/>
          <w:rtl/>
          <w:lang w:bidi="ar-KW"/>
        </w:rPr>
        <w:t>ثم استوى إلى السماء</w:t>
      </w:r>
      <w:r>
        <w:rPr>
          <w:rFonts w:hint="cs"/>
          <w:bCs/>
          <w:rtl/>
          <w:lang w:bidi="ar-KW"/>
        </w:rPr>
        <w:t>}</w:t>
      </w:r>
      <w:r w:rsidR="009C32A0">
        <w:rPr>
          <w:rFonts w:hint="cs"/>
          <w:bCs/>
          <w:rtl/>
          <w:lang w:bidi="ar-KW"/>
        </w:rPr>
        <w:t xml:space="preserve"> أو </w:t>
      </w:r>
      <w:r>
        <w:rPr>
          <w:rFonts w:hint="cs"/>
          <w:rtl/>
          <w:lang w:bidi="ar-KW"/>
        </w:rPr>
        <w:t>{</w:t>
      </w:r>
      <w:r w:rsidR="009C32A0">
        <w:rPr>
          <w:rFonts w:hint="cs"/>
          <w:bCs/>
          <w:rtl/>
          <w:lang w:bidi="ar-KW"/>
        </w:rPr>
        <w:t>يوم يكشف عن ساق</w:t>
      </w:r>
      <w:r>
        <w:rPr>
          <w:rFonts w:hint="cs"/>
          <w:bCs/>
          <w:rtl/>
          <w:lang w:bidi="ar-KW"/>
        </w:rPr>
        <w:t>}،</w:t>
      </w:r>
      <w:r w:rsidR="009C32A0">
        <w:rPr>
          <w:rFonts w:hint="cs"/>
          <w:rtl/>
          <w:lang w:bidi="ar-KW"/>
        </w:rPr>
        <w:t xml:space="preserve"> أو قول رسول الله</w:t>
      </w:r>
      <w:r>
        <w:rPr>
          <w:rFonts w:hint="cs"/>
          <w:rtl/>
          <w:lang w:bidi="ar-KW"/>
        </w:rPr>
        <w:t>:</w:t>
      </w:r>
      <w:r w:rsidR="009C32A0">
        <w:rPr>
          <w:rFonts w:hint="cs"/>
          <w:rtl/>
          <w:lang w:bidi="ar-KW"/>
        </w:rPr>
        <w:t xml:space="preserve"> (</w:t>
      </w:r>
      <w:r>
        <w:rPr>
          <w:rFonts w:hint="cs"/>
          <w:bCs/>
          <w:rtl/>
          <w:lang w:bidi="ar-KW"/>
        </w:rPr>
        <w:t>(</w:t>
      </w:r>
      <w:r w:rsidR="009C32A0">
        <w:rPr>
          <w:rFonts w:hint="cs"/>
          <w:bCs/>
          <w:rtl/>
          <w:lang w:bidi="ar-KW"/>
        </w:rPr>
        <w:t>يضحك ربنا</w:t>
      </w:r>
      <w:r>
        <w:rPr>
          <w:rFonts w:hint="cs"/>
          <w:bCs/>
          <w:rtl/>
          <w:lang w:bidi="ar-KW"/>
        </w:rPr>
        <w:t>)</w:t>
      </w:r>
      <w:r w:rsidR="009C32A0">
        <w:rPr>
          <w:rFonts w:hint="cs"/>
          <w:bCs/>
          <w:rtl/>
          <w:lang w:bidi="ar-KW"/>
        </w:rPr>
        <w:t>)</w:t>
      </w:r>
      <w:r w:rsidR="009C32A0">
        <w:rPr>
          <w:rFonts w:hint="cs"/>
          <w:rtl/>
          <w:lang w:bidi="ar-KW"/>
        </w:rPr>
        <w:t xml:space="preserve"> أو </w:t>
      </w:r>
      <w:r w:rsidR="009C32A0">
        <w:rPr>
          <w:rFonts w:hint="cs"/>
          <w:bCs/>
          <w:rtl/>
          <w:lang w:bidi="ar-KW"/>
        </w:rPr>
        <w:t>(</w:t>
      </w:r>
      <w:r>
        <w:rPr>
          <w:rFonts w:hint="cs"/>
          <w:bCs/>
          <w:rtl/>
          <w:lang w:bidi="ar-KW"/>
        </w:rPr>
        <w:t>(</w:t>
      </w:r>
      <w:r w:rsidR="009C32A0">
        <w:rPr>
          <w:rFonts w:hint="cs"/>
          <w:bCs/>
          <w:rtl/>
          <w:lang w:bidi="ar-KW"/>
        </w:rPr>
        <w:t>ينزل ربنا</w:t>
      </w:r>
      <w:r>
        <w:rPr>
          <w:rFonts w:hint="cs"/>
          <w:bCs/>
          <w:rtl/>
          <w:lang w:bidi="ar-KW"/>
        </w:rPr>
        <w:t>)</w:t>
      </w:r>
      <w:r w:rsidR="009C32A0">
        <w:rPr>
          <w:rFonts w:hint="cs"/>
          <w:bCs/>
          <w:rtl/>
          <w:lang w:bidi="ar-KW"/>
        </w:rPr>
        <w:t>)</w:t>
      </w:r>
      <w:r w:rsidR="009C32A0">
        <w:rPr>
          <w:rFonts w:hint="cs"/>
          <w:rtl/>
          <w:lang w:bidi="ar-KW"/>
        </w:rPr>
        <w:t xml:space="preserve"> أو (</w:t>
      </w:r>
      <w:r>
        <w:rPr>
          <w:rFonts w:hint="cs"/>
          <w:bCs/>
          <w:rtl/>
          <w:lang w:bidi="ar-KW"/>
        </w:rPr>
        <w:t>(</w:t>
      </w:r>
      <w:r w:rsidR="009C32A0">
        <w:rPr>
          <w:rFonts w:hint="cs"/>
          <w:bCs/>
          <w:rtl/>
          <w:lang w:bidi="ar-KW"/>
        </w:rPr>
        <w:t>يعجب ربنا</w:t>
      </w:r>
      <w:r>
        <w:rPr>
          <w:rFonts w:hint="cs"/>
          <w:bCs/>
          <w:rtl/>
          <w:lang w:bidi="ar-KW"/>
        </w:rPr>
        <w:t>)</w:t>
      </w:r>
      <w:r w:rsidR="009C32A0">
        <w:rPr>
          <w:rFonts w:hint="cs"/>
          <w:bCs/>
          <w:rtl/>
          <w:lang w:bidi="ar-KW"/>
        </w:rPr>
        <w:t>)</w:t>
      </w:r>
      <w:r w:rsidR="009C32A0">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Pr>
          <w:rFonts w:hint="cs"/>
          <w:rtl/>
          <w:lang w:bidi="ar-KW"/>
        </w:rPr>
        <w:t>،</w:t>
      </w:r>
      <w:r w:rsidR="009C32A0">
        <w:rPr>
          <w:rFonts w:hint="cs"/>
          <w:rtl/>
          <w:lang w:bidi="ar-KW"/>
        </w:rPr>
        <w:t xml:space="preserve"> </w:t>
      </w:r>
    </w:p>
    <w:p w14:paraId="223B7A17" w14:textId="4180B291" w:rsidR="009C32A0" w:rsidRDefault="000636C2" w:rsidP="000636C2">
      <w:pPr>
        <w:ind w:left="-58"/>
        <w:rPr>
          <w:rFonts w:eastAsia="Times New Roman"/>
          <w:b/>
          <w:rtl/>
        </w:rPr>
      </w:pPr>
      <w:r>
        <w:rPr>
          <w:rFonts w:cs="Monotype Koufi" w:hint="cs"/>
          <w:rtl/>
        </w:rPr>
        <w:t>(</w:t>
      </w:r>
      <w:r w:rsidR="009C32A0">
        <w:rPr>
          <w:rFonts w:cs="Monotype Koufi" w:hint="cs"/>
          <w:rtl/>
        </w:rPr>
        <w:t>تنبيه ثان</w:t>
      </w:r>
      <w:r>
        <w:rPr>
          <w:rFonts w:cs="Monotype Koufi" w:hint="cs"/>
          <w:rtl/>
        </w:rPr>
        <w:t>)</w:t>
      </w:r>
      <w:r>
        <w:rPr>
          <w:rFonts w:hint="cs"/>
          <w:bCs/>
          <w:rtl/>
          <w:lang w:bidi="ar-KW"/>
        </w:rPr>
        <w:t>:</w:t>
      </w:r>
      <w:r w:rsidR="009C32A0">
        <w:rPr>
          <w:rFonts w:hint="cs"/>
          <w:bCs/>
          <w:rtl/>
          <w:lang w:bidi="ar-KW"/>
        </w:rPr>
        <w:t xml:space="preserve"> الأثرية لا يخوضون في المتشابه لفرط خوفهم من التكلم على الله تعالى بغير علم</w:t>
      </w:r>
      <w:r>
        <w:rPr>
          <w:rFonts w:hint="cs"/>
          <w:bCs/>
          <w:rtl/>
          <w:lang w:bidi="ar-KW"/>
        </w:rPr>
        <w:t>،</w:t>
      </w:r>
      <w:r w:rsidR="009C32A0">
        <w:rPr>
          <w:rFonts w:hint="cs"/>
          <w:bCs/>
          <w:rtl/>
          <w:lang w:bidi="ar-KW"/>
        </w:rPr>
        <w:t xml:space="preserve"> لكنّهم يعرفون من أصول توحيد الذات وقواعد التقديس والتنزيه ما يمنعهم من نسبة النقص إلى ذات الله تعالى</w:t>
      </w:r>
      <w:r>
        <w:rPr>
          <w:rFonts w:hint="cs"/>
          <w:rtl/>
          <w:lang w:bidi="ar-KW"/>
        </w:rPr>
        <w:t>،</w:t>
      </w:r>
      <w:r w:rsidR="009C32A0">
        <w:rPr>
          <w:rFonts w:hint="cs"/>
          <w:rtl/>
          <w:lang w:bidi="ar-KW"/>
        </w:rPr>
        <w:t xml:space="preserve"> إذ هم يعرفون الواجب والجائز والمحال في حق الله تعالى</w:t>
      </w:r>
      <w:r>
        <w:rPr>
          <w:rFonts w:hint="cs"/>
          <w:rtl/>
          <w:lang w:bidi="ar-KW"/>
        </w:rPr>
        <w:t>،</w:t>
      </w:r>
      <w:r w:rsidR="009C32A0">
        <w:rPr>
          <w:rFonts w:hint="cs"/>
          <w:rtl/>
          <w:lang w:bidi="ar-KW"/>
        </w:rPr>
        <w:t xml:space="preserve"> وإذ هم منزهون لله تعالى عن المكان والزمان وحلول الحوادث</w:t>
      </w:r>
      <w:r>
        <w:rPr>
          <w:rFonts w:hint="cs"/>
          <w:rtl/>
          <w:lang w:bidi="ar-KW"/>
        </w:rPr>
        <w:t>،</w:t>
      </w:r>
      <w:r w:rsidR="009C32A0">
        <w:rPr>
          <w:rFonts w:hint="cs"/>
          <w:rtl/>
          <w:lang w:bidi="ar-KW"/>
        </w:rPr>
        <w:t xml:space="preserve"> </w:t>
      </w:r>
      <w:r w:rsidR="009C32A0">
        <w:rPr>
          <w:rFonts w:hint="cs"/>
          <w:rtl/>
        </w:rPr>
        <w:t>فقد جاء في متن العقيدة السفارينية</w:t>
      </w:r>
      <w:r>
        <w:rPr>
          <w:rFonts w:hint="cs"/>
          <w:rtl/>
        </w:rPr>
        <w:t>:</w:t>
      </w:r>
      <w:r w:rsidR="009C32A0">
        <w:rPr>
          <w:rFonts w:hint="cs"/>
          <w:rtl/>
        </w:rPr>
        <w:t xml:space="preserve"> </w:t>
      </w:r>
      <w:r>
        <w:rPr>
          <w:rFonts w:hint="cs"/>
          <w:rtl/>
        </w:rPr>
        <w:t>(</w:t>
      </w:r>
      <w:r w:rsidR="009C32A0">
        <w:rPr>
          <w:rFonts w:hint="cs"/>
          <w:rtl/>
        </w:rPr>
        <w:t>ويعلم الواجب والمحالا</w:t>
      </w:r>
      <w:r>
        <w:rPr>
          <w:rFonts w:hint="cs"/>
          <w:rtl/>
        </w:rPr>
        <w:t xml:space="preserve"> </w:t>
      </w:r>
      <w:r w:rsidR="009C32A0">
        <w:rPr>
          <w:rFonts w:hint="cs"/>
          <w:rtl/>
        </w:rPr>
        <w:t>كجائز في حقه تعالى</w:t>
      </w:r>
      <w:r>
        <w:rPr>
          <w:rFonts w:hint="cs"/>
          <w:rtl/>
        </w:rPr>
        <w:t>،</w:t>
      </w:r>
      <w:r w:rsidR="009C32A0">
        <w:rPr>
          <w:rFonts w:hint="cs"/>
          <w:rtl/>
        </w:rPr>
        <w:t xml:space="preserve"> وليس ربنا بجوهر ولا عرض ولا جسم تعالى ذو العلا</w:t>
      </w:r>
      <w:r>
        <w:rPr>
          <w:rFonts w:hint="cs"/>
          <w:rtl/>
        </w:rPr>
        <w:t>)</w:t>
      </w:r>
      <w:r w:rsidR="009C32A0">
        <w:rPr>
          <w:rFonts w:hint="cs"/>
          <w:rtl/>
        </w:rPr>
        <w:t xml:space="preserve"> أهـ</w:t>
      </w:r>
      <w:r>
        <w:rPr>
          <w:rFonts w:hint="cs"/>
          <w:rtl/>
        </w:rPr>
        <w:t xml:space="preserve">، </w:t>
      </w:r>
      <w:r w:rsidR="009C32A0">
        <w:rPr>
          <w:rFonts w:hint="cs"/>
          <w:rtl/>
        </w:rPr>
        <w:t>وجاء في كتاب العين والأثر في عقائد أهل الأثر</w:t>
      </w:r>
      <w:r>
        <w:rPr>
          <w:rFonts w:hint="cs"/>
          <w:rtl/>
        </w:rPr>
        <w:t xml:space="preserve"> </w:t>
      </w:r>
      <w:r w:rsidR="009C32A0">
        <w:rPr>
          <w:rFonts w:hint="cs"/>
          <w:rtl/>
        </w:rPr>
        <w:t>للمؤلف عبدالباقي بن عبدالباقي بن عبدالقادر الحنبلي</w:t>
      </w:r>
      <w:r>
        <w:rPr>
          <w:rFonts w:hint="cs"/>
          <w:rtl/>
        </w:rPr>
        <w:t>:</w:t>
      </w:r>
      <w:r w:rsidR="009C32A0">
        <w:rPr>
          <w:rFonts w:hint="cs"/>
          <w:rtl/>
        </w:rPr>
        <w:t xml:space="preserve"> </w:t>
      </w:r>
      <w:r>
        <w:rPr>
          <w:rFonts w:hint="cs"/>
          <w:rtl/>
        </w:rPr>
        <w:t>(</w:t>
      </w:r>
      <w:r w:rsidR="009C32A0">
        <w:rPr>
          <w:rFonts w:eastAsia="Times New Roman" w:hint="cs"/>
          <w:rtl/>
        </w:rPr>
        <w:t>ويجب الجزم بأنه تعالى واحد لا يتجزأ ولا ينقسم أحد لا من عدد فرد صمد لم يلد ولم يولد ولم يكن له كفوا أحد</w:t>
      </w:r>
      <w:r>
        <w:rPr>
          <w:rFonts w:eastAsia="Times New Roman" w:hint="cs"/>
          <w:rtl/>
        </w:rPr>
        <w:t>،</w:t>
      </w:r>
      <w:r w:rsidR="009C32A0">
        <w:rPr>
          <w:rFonts w:eastAsia="Times New Roman" w:hint="cs"/>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Pr>
          <w:rFonts w:eastAsia="Times New Roman" w:hint="cs"/>
          <w:rtl/>
        </w:rPr>
        <w:t>،</w:t>
      </w:r>
      <w:r w:rsidR="009C32A0">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Pr>
          <w:rFonts w:eastAsia="Times New Roman" w:hint="cs"/>
          <w:rtl/>
        </w:rPr>
        <w:t>،</w:t>
      </w:r>
      <w:r w:rsidR="009C32A0">
        <w:rPr>
          <w:rFonts w:eastAsia="Times New Roman" w:hint="cs"/>
          <w:rtl/>
        </w:rPr>
        <w:t xml:space="preserve"> وبأنه مريد بإرادة واحدة وجودية قديمة ذاتية باقية متعلقة بكل ممكن</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الحياة</w:t>
      </w:r>
      <w:r>
        <w:rPr>
          <w:rFonts w:eastAsia="Times New Roman" w:hint="cs"/>
          <w:rtl/>
        </w:rPr>
        <w:t>):</w:t>
      </w:r>
      <w:r w:rsidR="009C32A0">
        <w:rPr>
          <w:rFonts w:eastAsia="Times New Roman" w:hint="cs"/>
          <w:rtl/>
        </w:rPr>
        <w:t xml:space="preserve"> وبأنه تعالى حي بحياة واحدة وجودية قديمة ذاتية باقية</w:t>
      </w:r>
      <w:r>
        <w:rPr>
          <w:rFonts w:eastAsia="Times New Roman" w:hint="cs"/>
          <w:rtl/>
        </w:rPr>
        <w:t>،</w:t>
      </w:r>
      <w:r w:rsidR="009C32A0">
        <w:rPr>
          <w:rFonts w:eastAsia="Times New Roman" w:hint="cs"/>
          <w:rtl/>
        </w:rPr>
        <w:t xml:space="preserve"> وبأنه تعالى سميع بصير بسمع وبصر قديمين ذاتيين وجوديين متعلقين بكل مسموع ومبصر</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الكلام</w:t>
      </w:r>
      <w:r>
        <w:rPr>
          <w:rFonts w:eastAsia="Times New Roman" w:hint="cs"/>
          <w:rtl/>
        </w:rPr>
        <w:t>):</w:t>
      </w:r>
      <w:r w:rsidR="009C32A0">
        <w:rPr>
          <w:rFonts w:eastAsia="Times New Roman" w:hint="cs"/>
          <w:rtl/>
        </w:rPr>
        <w:t xml:space="preserve"> وبأنه تعالى قائل ومتكلم بكلام قديم ذاتي وجودي غير مخلوق ولا محدث ولا حادث بلا تمثيل ولا تشبيه ولا تكييف</w:t>
      </w:r>
      <w:r>
        <w:rPr>
          <w:rFonts w:eastAsia="Times New Roman" w:hint="cs"/>
          <w:rtl/>
        </w:rPr>
        <w:t>،</w:t>
      </w:r>
      <w:r w:rsidR="009C32A0">
        <w:rPr>
          <w:rFonts w:eastAsia="Times New Roman" w:hint="cs"/>
          <w:rtl/>
        </w:rPr>
        <w:t xml:space="preserve"> .. فصل</w:t>
      </w:r>
      <w:r>
        <w:rPr>
          <w:rFonts w:eastAsia="Times New Roman" w:hint="cs"/>
          <w:rtl/>
        </w:rPr>
        <w:t>:</w:t>
      </w:r>
      <w:r w:rsidR="009C32A0">
        <w:rPr>
          <w:rFonts w:eastAsia="Times New Roman"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Pr>
          <w:rFonts w:eastAsia="Times New Roman" w:hint="cs"/>
          <w:rtl/>
        </w:rPr>
        <w:t>،</w:t>
      </w:r>
      <w:r w:rsidR="009C32A0">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eastAsia="Times New Roman" w:hint="cs"/>
          <w:rtl/>
        </w:rPr>
        <w:t>،</w:t>
      </w:r>
      <w:r w:rsidR="009C32A0">
        <w:rPr>
          <w:rFonts w:eastAsia="Times New Roman" w:hint="cs"/>
          <w:rtl/>
        </w:rPr>
        <w:t xml:space="preserve"> وعلى كل حال مهما خطر بالبال أو توهمه الخيال فهو بخلاف ذي الإكرام والجلال</w:t>
      </w:r>
      <w:r>
        <w:rPr>
          <w:rFonts w:eastAsia="Times New Roman" w:hint="cs"/>
          <w:rtl/>
        </w:rPr>
        <w:t>)</w:t>
      </w:r>
      <w:r w:rsidR="009C32A0">
        <w:rPr>
          <w:rFonts w:eastAsia="Times New Roman" w:hint="cs"/>
          <w:rtl/>
        </w:rPr>
        <w:t xml:space="preserve"> أهـ </w:t>
      </w:r>
    </w:p>
    <w:p w14:paraId="5EC77DF9" w14:textId="59956F89" w:rsidR="009C32A0" w:rsidRDefault="000636C2" w:rsidP="000636C2">
      <w:pPr>
        <w:ind w:left="-58"/>
        <w:rPr>
          <w:b/>
          <w:rtl/>
          <w:lang w:bidi="ar-KW"/>
        </w:rPr>
      </w:pPr>
      <w:r>
        <w:rPr>
          <w:rFonts w:cs="Monotype Koufi" w:hint="cs"/>
          <w:rtl/>
        </w:rPr>
        <w:lastRenderedPageBreak/>
        <w:t>(</w:t>
      </w:r>
      <w:r w:rsidR="009C32A0">
        <w:rPr>
          <w:rFonts w:cs="Monotype Koufi" w:hint="cs"/>
          <w:rtl/>
        </w:rPr>
        <w:t>تنبيه ثالث</w:t>
      </w:r>
      <w:r>
        <w:rPr>
          <w:rFonts w:cs="Monotype Koufi" w:hint="cs"/>
          <w:rtl/>
        </w:rPr>
        <w:t>)</w:t>
      </w:r>
      <w:r>
        <w:rPr>
          <w:rFonts w:hint="cs"/>
          <w:rtl/>
          <w:lang w:bidi="ar-KW"/>
        </w:rPr>
        <w:t>:</w:t>
      </w:r>
      <w:r w:rsidR="009C32A0">
        <w:rPr>
          <w:rFonts w:hint="cs"/>
          <w:rtl/>
          <w:lang w:bidi="ar-KW"/>
        </w:rPr>
        <w:t xml:space="preserve"> الأثرية على وفاق تام مع الأشاعرة والماتريدية في أصول العقيدة</w:t>
      </w:r>
      <w:r>
        <w:rPr>
          <w:rFonts w:hint="cs"/>
          <w:rtl/>
          <w:lang w:bidi="ar-KW"/>
        </w:rPr>
        <w:t>،</w:t>
      </w:r>
      <w:r w:rsidR="009C32A0">
        <w:rPr>
          <w:rFonts w:hint="cs"/>
          <w:rtl/>
          <w:lang w:bidi="ar-KW"/>
        </w:rPr>
        <w:t xml:space="preserve"> ولذلك يعترف الجميع بأن الطوائف الثلاث تمثل أهل السنّة والجماعة في باب العقيدة</w:t>
      </w:r>
      <w:r>
        <w:rPr>
          <w:rFonts w:hint="cs"/>
          <w:rtl/>
          <w:lang w:bidi="ar-KW"/>
        </w:rPr>
        <w:t>،</w:t>
      </w:r>
      <w:r w:rsidR="009C32A0">
        <w:rPr>
          <w:rFonts w:hint="cs"/>
          <w:rtl/>
          <w:lang w:bidi="ar-KW"/>
        </w:rPr>
        <w:t xml:space="preserve"> قال الإمام تاج الدين السبكي رحمه الله تعالى (إتحاف السادة المتقين 2/6)</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اعلم أن أهل 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w:t>
      </w:r>
      <w:r>
        <w:rPr>
          <w:rFonts w:hint="cs"/>
          <w:rtl/>
          <w:lang w:bidi="ar-KW"/>
        </w:rPr>
        <w:t>(</w:t>
      </w:r>
      <w:r w:rsidR="009C32A0">
        <w:rPr>
          <w:rFonts w:hint="cs"/>
          <w:rtl/>
          <w:lang w:bidi="ar-KW"/>
        </w:rPr>
        <w:t>الأولى</w:t>
      </w:r>
      <w:r>
        <w:rPr>
          <w:rFonts w:hint="cs"/>
          <w:rtl/>
          <w:lang w:bidi="ar-KW"/>
        </w:rPr>
        <w:t>):</w:t>
      </w:r>
      <w:r w:rsidR="009C32A0">
        <w:rPr>
          <w:rFonts w:hint="cs"/>
          <w:rtl/>
          <w:lang w:bidi="ar-KW"/>
        </w:rPr>
        <w:t xml:space="preserve"> أهل الحديث ومعتمد مباديهم الأدلة السمعية</w:t>
      </w:r>
      <w:r>
        <w:rPr>
          <w:rFonts w:hint="cs"/>
          <w:rtl/>
          <w:lang w:bidi="ar-KW"/>
        </w:rPr>
        <w:t>،</w:t>
      </w:r>
      <w:r w:rsidR="009C32A0">
        <w:rPr>
          <w:rFonts w:hint="cs"/>
          <w:rtl/>
          <w:lang w:bidi="ar-KW"/>
        </w:rPr>
        <w:t xml:space="preserve"> أعني الكتاب والسنة والإجماع</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الثانية</w:t>
      </w:r>
      <w:r>
        <w:rPr>
          <w:rFonts w:hint="cs"/>
          <w:rtl/>
          <w:lang w:bidi="ar-KW"/>
        </w:rPr>
        <w:t>):</w:t>
      </w:r>
      <w:r w:rsidR="009C32A0">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Pr>
          <w:rFonts w:hint="cs"/>
          <w:rtl/>
          <w:lang w:bidi="ar-KW"/>
        </w:rPr>
        <w:t>(</w:t>
      </w:r>
      <w:r w:rsidR="009C32A0">
        <w:rPr>
          <w:rFonts w:hint="cs"/>
          <w:rtl/>
          <w:lang w:bidi="ar-KW"/>
        </w:rPr>
        <w:t>الثالثة</w:t>
      </w:r>
      <w:r>
        <w:rPr>
          <w:rFonts w:hint="cs"/>
          <w:rtl/>
          <w:lang w:bidi="ar-KW"/>
        </w:rPr>
        <w:t>):</w:t>
      </w:r>
      <w:r w:rsidR="009C32A0">
        <w:rPr>
          <w:rFonts w:hint="cs"/>
          <w:rtl/>
          <w:lang w:bidi="ar-KW"/>
        </w:rPr>
        <w:t xml:space="preserve"> أهل الوجدان والكشف، وهم الصوفية، ومباديهم مبادئ أهل النظر والحديث في البداية، والكشف والإلهام في النهاية</w:t>
      </w:r>
      <w:r>
        <w:rPr>
          <w:rFonts w:hint="cs"/>
          <w:rtl/>
          <w:lang w:bidi="ar-KW"/>
        </w:rPr>
        <w:t>)</w:t>
      </w:r>
      <w:r w:rsidR="009C32A0">
        <w:rPr>
          <w:rFonts w:hint="cs"/>
          <w:rtl/>
          <w:lang w:bidi="ar-KW"/>
        </w:rPr>
        <w:t xml:space="preserve"> اهـ</w:t>
      </w:r>
      <w:r>
        <w:rPr>
          <w:rFonts w:hint="cs"/>
          <w:rtl/>
          <w:lang w:bidi="ar-KW"/>
        </w:rPr>
        <w:t>،</w:t>
      </w:r>
      <w:r w:rsidR="009C32A0">
        <w:rPr>
          <w:rFonts w:hint="cs"/>
          <w:rtl/>
          <w:lang w:bidi="ar-KW"/>
        </w:rPr>
        <w:t xml:space="preserve"> وقال الإمام عضد الدين الإيجي - رحمه الله تعالى - في بيان الفرقة الناجية، بعد أن عدد فرق الهالكين (المواقف ص 430)</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وأما الفرقة الناجية المستثناة الذين قال النبي ـ </w:t>
      </w:r>
      <w:r w:rsidR="009C32A0">
        <w:rPr>
          <w:rFonts w:hint="cs"/>
          <w:rtl/>
        </w:rPr>
        <w:t xml:space="preserve">صلى الله عليه وسلم </w:t>
      </w:r>
      <w:r w:rsidR="009C32A0">
        <w:rPr>
          <w:rFonts w:hint="cs"/>
          <w:rtl/>
          <w:lang w:bidi="ar-KW"/>
        </w:rPr>
        <w:t>ـ فيهم "هم الذين على ما أنا عليه وأصحابي" فهم الأشاعرة والسلف من المحدثين وأهل السنة والجماعة، ومذهبهم خالٍ من بدع هؤلاء</w:t>
      </w:r>
      <w:r>
        <w:rPr>
          <w:rFonts w:hint="cs"/>
          <w:rtl/>
          <w:lang w:bidi="ar-KW"/>
        </w:rPr>
        <w:t>)</w:t>
      </w:r>
      <w:r w:rsidR="009C32A0">
        <w:rPr>
          <w:rFonts w:hint="cs"/>
          <w:rtl/>
          <w:lang w:bidi="ar-KW"/>
        </w:rPr>
        <w:t xml:space="preserve"> اهـ</w:t>
      </w:r>
      <w:r>
        <w:rPr>
          <w:rFonts w:hint="cs"/>
          <w:rtl/>
          <w:lang w:bidi="ar-KW"/>
        </w:rPr>
        <w:t>،</w:t>
      </w:r>
      <w:r w:rsidR="009C32A0">
        <w:rPr>
          <w:rFonts w:hint="cs"/>
          <w:rtl/>
          <w:lang w:bidi="ar-KW"/>
        </w:rPr>
        <w:t xml:space="preserve"> وقال الإمام عبد القاهر البغدادي رحمه الله </w:t>
      </w:r>
      <w:r>
        <w:rPr>
          <w:rFonts w:hint="cs"/>
          <w:rtl/>
          <w:lang w:bidi="ar-KW"/>
        </w:rPr>
        <w:t>(</w:t>
      </w:r>
      <w:r w:rsidR="009C32A0">
        <w:rPr>
          <w:rFonts w:hint="cs"/>
          <w:rtl/>
          <w:lang w:bidi="ar-KW"/>
        </w:rPr>
        <w:t>الفرق بين الفرق ص 19)</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فأما الفرقة الثالثة والسبعون فهي أهل السنة والجماعة من فريقي الرأي والحديث دون من 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الظاهر ..</w:t>
      </w:r>
      <w:r>
        <w:rPr>
          <w:rFonts w:hint="cs"/>
          <w:rtl/>
          <w:lang w:bidi="ar-KW"/>
        </w:rPr>
        <w:t>)</w:t>
      </w:r>
      <w:r w:rsidR="009C32A0">
        <w:rPr>
          <w:rFonts w:hint="cs"/>
          <w:rtl/>
          <w:lang w:bidi="ar-KW"/>
        </w:rPr>
        <w:t xml:space="preserve"> اهـ.</w:t>
      </w:r>
      <w:r>
        <w:rPr>
          <w:rFonts w:hint="cs"/>
          <w:rtl/>
          <w:lang w:bidi="ar-KW"/>
        </w:rPr>
        <w:t>،</w:t>
      </w:r>
      <w:r w:rsidR="009C32A0">
        <w:rPr>
          <w:rFonts w:hint="cs"/>
          <w:rtl/>
          <w:lang w:bidi="ar-KW"/>
        </w:rPr>
        <w:t xml:space="preserve"> وقال العلامة السفاريني الحنبلي رحمه الله تعالى (لوامع الأنوار البهية 1 / 73): أهل السنة والجماعة ثلاث فرق</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الأثرية</w:t>
      </w:r>
      <w:r>
        <w:rPr>
          <w:rFonts w:hint="cs"/>
          <w:rtl/>
          <w:lang w:bidi="ar-KW"/>
        </w:rPr>
        <w:t>)،</w:t>
      </w:r>
      <w:r w:rsidR="009C32A0">
        <w:rPr>
          <w:rFonts w:hint="cs"/>
          <w:rtl/>
          <w:lang w:bidi="ar-KW"/>
        </w:rPr>
        <w:t xml:space="preserve"> وإمامهم أحمد بن حنبل رضي الله عنه</w:t>
      </w:r>
      <w:r>
        <w:rPr>
          <w:rFonts w:hint="cs"/>
          <w:rtl/>
          <w:lang w:bidi="ar-KW"/>
        </w:rPr>
        <w:t>،</w:t>
      </w:r>
      <w:r w:rsidR="009C32A0">
        <w:rPr>
          <w:rFonts w:hint="cs"/>
          <w:rtl/>
          <w:lang w:bidi="ar-KW"/>
        </w:rPr>
        <w:t xml:space="preserve"> و </w:t>
      </w:r>
      <w:r>
        <w:rPr>
          <w:rFonts w:hint="cs"/>
          <w:rtl/>
          <w:lang w:bidi="ar-KW"/>
        </w:rPr>
        <w:t>(</w:t>
      </w:r>
      <w:r w:rsidR="009C32A0">
        <w:rPr>
          <w:rFonts w:hint="cs"/>
          <w:rtl/>
          <w:lang w:bidi="ar-KW"/>
        </w:rPr>
        <w:t>الأشعرية</w:t>
      </w:r>
      <w:r>
        <w:rPr>
          <w:rFonts w:hint="cs"/>
          <w:rtl/>
          <w:lang w:bidi="ar-KW"/>
        </w:rPr>
        <w:t>)،</w:t>
      </w:r>
      <w:r w:rsidR="009C32A0">
        <w:rPr>
          <w:rFonts w:hint="cs"/>
          <w:rtl/>
          <w:lang w:bidi="ar-KW"/>
        </w:rPr>
        <w:t xml:space="preserve"> وإمامهم أبو الحسن الأشعري رحمه الله</w:t>
      </w:r>
      <w:r>
        <w:rPr>
          <w:rFonts w:hint="cs"/>
          <w:rtl/>
          <w:lang w:bidi="ar-KW"/>
        </w:rPr>
        <w:t>،</w:t>
      </w:r>
      <w:r w:rsidR="009C32A0">
        <w:rPr>
          <w:rFonts w:hint="cs"/>
          <w:rtl/>
          <w:lang w:bidi="ar-KW"/>
        </w:rPr>
        <w:t xml:space="preserve"> و </w:t>
      </w:r>
      <w:r>
        <w:rPr>
          <w:rFonts w:hint="cs"/>
          <w:rtl/>
          <w:lang w:bidi="ar-KW"/>
        </w:rPr>
        <w:t>(</w:t>
      </w:r>
      <w:r w:rsidR="009C32A0">
        <w:rPr>
          <w:rFonts w:hint="cs"/>
          <w:rtl/>
          <w:lang w:bidi="ar-KW"/>
        </w:rPr>
        <w:t>الماتريدية</w:t>
      </w:r>
      <w:r>
        <w:rPr>
          <w:rFonts w:hint="cs"/>
          <w:rtl/>
          <w:lang w:bidi="ar-KW"/>
        </w:rPr>
        <w:t>)،</w:t>
      </w:r>
      <w:r w:rsidR="009C32A0">
        <w:rPr>
          <w:rFonts w:hint="cs"/>
          <w:rtl/>
          <w:lang w:bidi="ar-KW"/>
        </w:rPr>
        <w:t xml:space="preserve"> وإمامهم أبو منصور الماتريدي رحمه الله تعالى) اهـ.</w:t>
      </w:r>
      <w:r>
        <w:rPr>
          <w:rFonts w:hint="cs"/>
          <w:rtl/>
          <w:lang w:bidi="ar-KW"/>
        </w:rPr>
        <w:t>،</w:t>
      </w:r>
      <w:r w:rsidR="009C32A0">
        <w:rPr>
          <w:rFonts w:hint="cs"/>
          <w:rtl/>
          <w:lang w:bidi="ar-KW"/>
        </w:rPr>
        <w:t xml:space="preserve"> وقال العـلامة ابن الشطي الحنبلي - رحمه الله تعالى - في شرحـه على العقيـدة السفارينية (تبصير القانع في الجمع بين شرحي ابن شطي وابن مانع على العقيدة السفارينية، الصفحة / 73)</w:t>
      </w:r>
      <w:r>
        <w:rPr>
          <w:rFonts w:hint="cs"/>
          <w:rtl/>
          <w:lang w:bidi="ar-KW"/>
        </w:rPr>
        <w:t>:</w:t>
      </w:r>
      <w:r w:rsidR="009C32A0">
        <w:rPr>
          <w:rFonts w:hint="cs"/>
          <w:rtl/>
          <w:lang w:bidi="ar-KW"/>
        </w:rPr>
        <w:t xml:space="preserve"> (قال بعض العلماء هم - يعني الفرقة الناجية - أهل الحديث يعني الأثرية والأشعرية والماتريدية) ثم قال بعد ذلك بأسطر: (فائدة: أهل السنة والجماعة ثلاث فرق، الأثرية وإمامهم الإمام أحمد رضي الله عنه</w:t>
      </w:r>
      <w:r>
        <w:rPr>
          <w:rFonts w:hint="cs"/>
          <w:rtl/>
          <w:lang w:bidi="ar-KW"/>
        </w:rPr>
        <w:t>،</w:t>
      </w:r>
      <w:r w:rsidR="009C32A0">
        <w:rPr>
          <w:rFonts w:hint="cs"/>
          <w:rtl/>
          <w:lang w:bidi="ar-KW"/>
        </w:rPr>
        <w:t xml:space="preserve"> والأشعرية وإمامهم أبو الحسن الأشعري رحمه الله تعالى</w:t>
      </w:r>
      <w:r>
        <w:rPr>
          <w:rFonts w:hint="cs"/>
          <w:rtl/>
          <w:lang w:bidi="ar-KW"/>
        </w:rPr>
        <w:t>،</w:t>
      </w:r>
      <w:r w:rsidR="009C32A0">
        <w:rPr>
          <w:rFonts w:hint="cs"/>
          <w:rtl/>
          <w:lang w:bidi="ar-KW"/>
        </w:rPr>
        <w:t xml:space="preserve"> والماتريدية </w:t>
      </w:r>
      <w:r w:rsidR="009C32A0">
        <w:rPr>
          <w:rFonts w:hint="cs"/>
          <w:rtl/>
          <w:lang w:bidi="ar-KW"/>
        </w:rPr>
        <w:lastRenderedPageBreak/>
        <w:t>وإمامهم أبو منصور الماتريدي رحمه الله تعالى</w:t>
      </w:r>
      <w:r>
        <w:rPr>
          <w:rFonts w:hint="cs"/>
          <w:rtl/>
          <w:lang w:bidi="ar-KW"/>
        </w:rPr>
        <w:t>)</w:t>
      </w:r>
      <w:r w:rsidR="009C32A0">
        <w:rPr>
          <w:rFonts w:hint="cs"/>
          <w:rtl/>
          <w:lang w:bidi="ar-KW"/>
        </w:rPr>
        <w:t xml:space="preserve"> اهـ</w:t>
      </w:r>
      <w:r>
        <w:rPr>
          <w:rFonts w:hint="cs"/>
          <w:rtl/>
          <w:lang w:bidi="ar-KW"/>
        </w:rPr>
        <w:t>،</w:t>
      </w:r>
      <w:r w:rsidR="009C32A0">
        <w:rPr>
          <w:rFonts w:hint="cs"/>
          <w:rtl/>
          <w:lang w:bidi="ar-KW"/>
        </w:rPr>
        <w:t xml:space="preserve"> وقال علامة الكويت الشيخ عبد الله بن خلف الدحيان - رحمه الله تعالى - تعليقا على تقسيم السفاريني لأهل السنة إلى ثلاث فرق</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فإذا قلت: لفظ الحديـث يقتضـي عدم التعْدِيَة حيث قـال فيه </w:t>
      </w:r>
      <w:r w:rsidR="009C32A0">
        <w:rPr>
          <w:rFonts w:hint="cs"/>
          <w:rtl/>
        </w:rPr>
        <w:t>صلى الله عليه وسلم</w:t>
      </w:r>
      <w:r w:rsidR="009C32A0">
        <w:rPr>
          <w:rFonts w:hint="cs"/>
          <w:rtl/>
          <w:lang w:bidi="ar-KW"/>
        </w:rPr>
        <w:t xml:space="preserve"> " ستفترق أمتي على بضع وسبعين فرقة كلهم في النار إلا فرقة واحدة وهي ما كان على ما أنا عليه وأصحابي " فالجواب: أن الثلاث فرق هي فرقة واحدة لأنهم كلهم أهل الحديث</w:t>
      </w:r>
      <w:r>
        <w:rPr>
          <w:rFonts w:hint="cs"/>
          <w:rtl/>
          <w:lang w:bidi="ar-KW"/>
        </w:rPr>
        <w:t>،</w:t>
      </w:r>
      <w:r w:rsidR="009C32A0">
        <w:rPr>
          <w:rFonts w:hint="cs"/>
          <w:rtl/>
          <w:lang w:bidi="ar-KW"/>
        </w:rPr>
        <w:t xml:space="preserve"> فإن الأشاعرة والماتريدية لم يردوا الأحاديث ولا أهملوها، فإمّا فوضوها وإمّا أوّلوها، وكل منهـم أهـل حديث، وحينئذ فالثلاث فرقة واحدة</w:t>
      </w:r>
      <w:r>
        <w:rPr>
          <w:rFonts w:hint="cs"/>
          <w:rtl/>
          <w:lang w:bidi="ar-KW"/>
        </w:rPr>
        <w:t>،</w:t>
      </w:r>
      <w:r w:rsidR="009C32A0">
        <w:rPr>
          <w:rFonts w:hint="cs"/>
          <w:rtl/>
          <w:lang w:bidi="ar-KW"/>
        </w:rPr>
        <w:t xml:space="preserve"> لاقتفائهم الأخبار وانتحالهم الآثار، بخلاف باقي الفرق فإنهم حكّموا العقول وخالفوا المنقول فهم أهل بدعة وضلالة ومخالفة وجهالة والله تعالى أعلم</w:t>
      </w:r>
      <w:r>
        <w:rPr>
          <w:rFonts w:hint="cs"/>
          <w:rtl/>
          <w:lang w:bidi="ar-KW"/>
        </w:rPr>
        <w:t>)</w:t>
      </w:r>
      <w:r w:rsidR="009C32A0">
        <w:rPr>
          <w:rFonts w:hint="cs"/>
          <w:rtl/>
          <w:lang w:bidi="ar-KW"/>
        </w:rPr>
        <w:t xml:space="preserve"> اهـ. (تبصير القائع ص / 73)</w:t>
      </w:r>
      <w:r>
        <w:rPr>
          <w:rFonts w:hint="cs"/>
          <w:rtl/>
          <w:lang w:bidi="ar-KW"/>
        </w:rPr>
        <w:t>،</w:t>
      </w:r>
      <w:r w:rsidR="009C32A0">
        <w:rPr>
          <w:rFonts w:hint="cs"/>
          <w:rtl/>
          <w:lang w:bidi="ar-KW"/>
        </w:rPr>
        <w:t xml:space="preserve"> وقال الشيخ العلامة الحنبلي محمد بن علي بن سلوم رحمه الله تعالى في شرحه على العقيدة السفارينية مثل ذلك. (شرح الدرة المضية، الصفحة / 58)</w:t>
      </w:r>
      <w:r>
        <w:rPr>
          <w:rFonts w:hint="cs"/>
          <w:rtl/>
          <w:lang w:bidi="ar-KW"/>
        </w:rPr>
        <w:t>،</w:t>
      </w:r>
      <w:r w:rsidR="009C32A0">
        <w:rPr>
          <w:rFonts w:hint="cs"/>
          <w:rtl/>
          <w:lang w:bidi="ar-KW"/>
        </w:rPr>
        <w:t xml:space="preserve"> وقال العلامة المواهبي الحنبلي رحمه الله تعالى (العين والأثر ص/53): (طوائف أهل السنة ثلاثة: أشاعرة، وحنابلة، وماتريدية، بدليل عطف العلماء الحنابلة على الأشاعرة في كثير من الكتب الكلامية وجميع كتب الحنابلة) اهـ.</w:t>
      </w:r>
      <w:r>
        <w:rPr>
          <w:rFonts w:hint="cs"/>
          <w:rtl/>
          <w:lang w:bidi="ar-KW"/>
        </w:rPr>
        <w:t>، [</w:t>
      </w:r>
      <w:r w:rsidR="009C32A0">
        <w:rPr>
          <w:rFonts w:hint="cs"/>
          <w:rtl/>
          <w:lang w:bidi="ar-KW"/>
        </w:rPr>
        <w:t>قلت</w:t>
      </w:r>
      <w:r>
        <w:rPr>
          <w:rFonts w:hint="cs"/>
          <w:rtl/>
          <w:lang w:bidi="ar-KW"/>
        </w:rPr>
        <w:t>:</w:t>
      </w:r>
      <w:r w:rsidR="009C32A0">
        <w:rPr>
          <w:rFonts w:hint="cs"/>
          <w:rtl/>
          <w:lang w:bidi="ar-KW"/>
        </w:rPr>
        <w:t xml:space="preserve"> انظر كتاب </w:t>
      </w:r>
      <w:r w:rsidR="009C32A0">
        <w:rPr>
          <w:rFonts w:hint="cs"/>
          <w:rtl/>
        </w:rPr>
        <w:t>أهل السنة الأشاعرة شهادة علماء الأمة وأدلتهم</w:t>
      </w:r>
      <w:r>
        <w:rPr>
          <w:rFonts w:hint="cs"/>
          <w:rtl/>
        </w:rPr>
        <w:t>،</w:t>
      </w:r>
      <w:r w:rsidR="009C32A0">
        <w:rPr>
          <w:rFonts w:hint="cs"/>
          <w:rtl/>
        </w:rPr>
        <w:t xml:space="preserve"> جمع وإعداد حمد سنان وفوزي العنجري</w:t>
      </w:r>
      <w:r>
        <w:rPr>
          <w:rFonts w:hint="cs"/>
          <w:rtl/>
          <w:lang w:bidi="ar-KW"/>
        </w:rPr>
        <w:t>:</w:t>
      </w:r>
      <w:r w:rsidR="009C32A0">
        <w:rPr>
          <w:rFonts w:hint="cs"/>
          <w:rtl/>
          <w:lang w:bidi="ar-KW"/>
        </w:rPr>
        <w:t xml:space="preserve"> مبحث أهل السنة والجماعة فيه نقول عديدة تثبت الوفاق بين طوائف أهل السنّة الثلاث الأثرية والأشاعرة والماتريدية</w:t>
      </w:r>
      <w:r>
        <w:rPr>
          <w:rFonts w:hint="cs"/>
          <w:rtl/>
          <w:lang w:bidi="ar-KW"/>
        </w:rPr>
        <w:t>]،</w:t>
      </w:r>
    </w:p>
    <w:p w14:paraId="2638AD73" w14:textId="6C1114A9" w:rsidR="009C32A0" w:rsidRDefault="000636C2" w:rsidP="000636C2">
      <w:pPr>
        <w:ind w:left="-58"/>
        <w:rPr>
          <w:b/>
          <w:rtl/>
        </w:rPr>
      </w:pPr>
      <w:r>
        <w:rPr>
          <w:rFonts w:cs="Monotype Koufi" w:hint="cs"/>
          <w:rtl/>
        </w:rPr>
        <w:t>(</w:t>
      </w:r>
      <w:r w:rsidR="009C32A0">
        <w:rPr>
          <w:rFonts w:cs="Monotype Koufi" w:hint="cs"/>
          <w:rtl/>
        </w:rPr>
        <w:t>تنبيه رابع</w:t>
      </w:r>
      <w:r>
        <w:rPr>
          <w:rFonts w:cs="Monotype Koufi" w:hint="cs"/>
          <w:rtl/>
        </w:rPr>
        <w:t>)</w:t>
      </w:r>
      <w:r>
        <w:rPr>
          <w:rFonts w:hint="cs"/>
          <w:rtl/>
          <w:lang w:bidi="ar-KW"/>
        </w:rPr>
        <w:t>:</w:t>
      </w:r>
      <w:r w:rsidR="009C32A0">
        <w:rPr>
          <w:rFonts w:hint="cs"/>
          <w:rtl/>
          <w:lang w:bidi="ar-KW"/>
        </w:rPr>
        <w:t xml:space="preserve"> </w:t>
      </w:r>
      <w:r w:rsidR="009C32A0">
        <w:rPr>
          <w:rFonts w:hint="cs"/>
          <w:rtl/>
        </w:rPr>
        <w:t>الفرق كبير بين الأثرية والحشوية</w:t>
      </w:r>
      <w:r>
        <w:rPr>
          <w:rFonts w:hint="cs"/>
          <w:rtl/>
        </w:rPr>
        <w:t>،</w:t>
      </w:r>
      <w:r w:rsidR="009C32A0">
        <w:rPr>
          <w:rFonts w:hint="cs"/>
          <w:rtl/>
        </w:rPr>
        <w:t xml:space="preserve"> بل لا تصح المقارنة أصلاً</w:t>
      </w:r>
      <w:r>
        <w:rPr>
          <w:rFonts w:hint="cs"/>
          <w:rtl/>
        </w:rPr>
        <w:t>،</w:t>
      </w:r>
      <w:r w:rsidR="009C32A0">
        <w:rPr>
          <w:rFonts w:hint="cs"/>
          <w:rtl/>
        </w:rPr>
        <w:t xml:space="preserve"> فإنّ الأثرية لديهم من قواعد التقديس والتنزيه ما يمنعهم من الحشو والخوض في ذات الله تعالى وصفاته بما لا يليق</w:t>
      </w:r>
      <w:r>
        <w:rPr>
          <w:rFonts w:hint="cs"/>
          <w:rtl/>
        </w:rPr>
        <w:t>،</w:t>
      </w:r>
      <w:r w:rsidR="009C32A0">
        <w:rPr>
          <w:rFonts w:hint="cs"/>
          <w:rtl/>
        </w:rPr>
        <w:t xml:space="preserve"> ولذلك نجدهم عند متشابهات الصفات يرون تفويض علم هذا المتشابه إلى الله</w:t>
      </w:r>
      <w:r>
        <w:rPr>
          <w:rFonts w:hint="cs"/>
          <w:rtl/>
        </w:rPr>
        <w:t>،</w:t>
      </w:r>
      <w:r w:rsidR="009C32A0">
        <w:rPr>
          <w:rFonts w:hint="cs"/>
          <w:rtl/>
        </w:rPr>
        <w:t xml:space="preserve"> لأنّ ظاهره يوحي بما هو محال على الله تعالى من نسبة الأجزاء والأبعاض والجوارح إلى ذات الله تعالى</w:t>
      </w:r>
      <w:r>
        <w:rPr>
          <w:rFonts w:hint="cs"/>
          <w:rtl/>
        </w:rPr>
        <w:t>،</w:t>
      </w:r>
      <w:r w:rsidR="009C32A0">
        <w:rPr>
          <w:rFonts w:hint="cs"/>
          <w:rtl/>
        </w:rPr>
        <w:t xml:space="preserve"> أو نسبة الحوادث من الحركة والسكون إلى الله تعالى القديم المنزه عن الحوادث</w:t>
      </w:r>
      <w:r>
        <w:rPr>
          <w:rFonts w:hint="cs"/>
          <w:rtl/>
        </w:rPr>
        <w:t>،</w:t>
      </w:r>
      <w:r w:rsidR="009C32A0">
        <w:rPr>
          <w:rFonts w:hint="cs"/>
          <w:rtl/>
        </w:rPr>
        <w:t xml:space="preserve"> وأما الحشوية فليست لديهم قواعد للتنزيه ولا هم يعلمون من علم التقديس ما يردعهم عن الخوض في ذات الله تعالى وصفاته بما لا يليق</w:t>
      </w:r>
      <w:r>
        <w:rPr>
          <w:rFonts w:hint="cs"/>
          <w:rtl/>
        </w:rPr>
        <w:t>،</w:t>
      </w:r>
      <w:r w:rsidR="009C32A0">
        <w:rPr>
          <w:rFonts w:hint="cs"/>
          <w:rtl/>
        </w:rPr>
        <w:t xml:space="preserve"> وهم لا يفرقون بين المحكم والمتشابه</w:t>
      </w:r>
      <w:r>
        <w:rPr>
          <w:rFonts w:hint="cs"/>
          <w:rtl/>
        </w:rPr>
        <w:t xml:space="preserve">، </w:t>
      </w:r>
      <w:r w:rsidR="009C32A0">
        <w:rPr>
          <w:rFonts w:hint="cs"/>
          <w:rtl/>
        </w:rPr>
        <w:t>وهم يرون اثبات المعنى الظاهر للمتشابهات وتفويض الكيفية إلى الله</w:t>
      </w:r>
      <w:r>
        <w:rPr>
          <w:rFonts w:hint="cs"/>
          <w:rtl/>
        </w:rPr>
        <w:t>،</w:t>
      </w:r>
      <w:r w:rsidR="009C32A0">
        <w:rPr>
          <w:rFonts w:hint="cs"/>
          <w:rtl/>
        </w:rPr>
        <w:t xml:space="preserve"> وكلاهما </w:t>
      </w:r>
      <w:r>
        <w:rPr>
          <w:rFonts w:hint="cs"/>
          <w:rtl/>
        </w:rPr>
        <w:t>(</w:t>
      </w:r>
      <w:r w:rsidR="009C32A0">
        <w:rPr>
          <w:rFonts w:hint="cs"/>
          <w:rtl/>
        </w:rPr>
        <w:t>الأثرية والحشوية</w:t>
      </w:r>
      <w:r>
        <w:rPr>
          <w:rFonts w:hint="cs"/>
          <w:rtl/>
        </w:rPr>
        <w:t>)</w:t>
      </w:r>
      <w:r w:rsidR="009C32A0">
        <w:rPr>
          <w:rFonts w:hint="cs"/>
          <w:rtl/>
        </w:rPr>
        <w:t xml:space="preserve"> يتنازعان الانتساب إلى الإمام أحمد ابن حنبل رحمه الله</w:t>
      </w:r>
      <w:r>
        <w:rPr>
          <w:rFonts w:hint="cs"/>
          <w:rtl/>
        </w:rPr>
        <w:t>،</w:t>
      </w:r>
      <w:r w:rsidR="009C32A0">
        <w:rPr>
          <w:rFonts w:hint="cs"/>
          <w:rtl/>
        </w:rPr>
        <w:t xml:space="preserve"> وقد جزم الحافظ ابن الجوزي أحد أكبر أعلام الحنابلة في القرن الخامس</w:t>
      </w:r>
      <w:r>
        <w:rPr>
          <w:rFonts w:hint="cs"/>
          <w:rtl/>
        </w:rPr>
        <w:t>،</w:t>
      </w:r>
      <w:r w:rsidR="009C32A0">
        <w:rPr>
          <w:rFonts w:hint="cs"/>
          <w:rtl/>
        </w:rPr>
        <w:t xml:space="preserve"> وهو الإمام أبو الفرج عبد الرحمن بن أبي الحسن علي بن محمد</w:t>
      </w:r>
      <w:r w:rsidR="009C32A0">
        <w:t> </w:t>
      </w:r>
      <w:r w:rsidR="009C32A0">
        <w:rPr>
          <w:rFonts w:hint="cs"/>
          <w:rtl/>
        </w:rPr>
        <w:t>القرشي</w:t>
      </w:r>
      <w:r w:rsidR="009C32A0">
        <w:t> </w:t>
      </w:r>
      <w:r w:rsidR="009C32A0">
        <w:rPr>
          <w:rFonts w:hint="cs"/>
          <w:rtl/>
        </w:rPr>
        <w:t>التيمي البكري ينتهي نسبه إلى الصديق ابي بكر رضي الله عنه</w:t>
      </w:r>
      <w:r>
        <w:rPr>
          <w:rFonts w:hint="cs"/>
          <w:rtl/>
        </w:rPr>
        <w:t>:</w:t>
      </w:r>
      <w:r w:rsidR="009C32A0">
        <w:rPr>
          <w:rFonts w:hint="cs"/>
          <w:rtl/>
        </w:rPr>
        <w:t xml:space="preserve"> أنّ الإمام أحمد رحمه الله تعالى كان على تفويض علم المتشابه إلى الله</w:t>
      </w:r>
      <w:r>
        <w:rPr>
          <w:rFonts w:hint="cs"/>
          <w:rtl/>
        </w:rPr>
        <w:t>،</w:t>
      </w:r>
      <w:r w:rsidR="009C32A0">
        <w:rPr>
          <w:rFonts w:hint="cs"/>
          <w:rtl/>
        </w:rPr>
        <w:t xml:space="preserve"> وهو على ذلك كان أثرياً</w:t>
      </w:r>
      <w:r>
        <w:rPr>
          <w:rFonts w:hint="cs"/>
          <w:rtl/>
        </w:rPr>
        <w:t>،</w:t>
      </w:r>
      <w:r w:rsidR="009C32A0">
        <w:rPr>
          <w:rFonts w:hint="cs"/>
          <w:rtl/>
        </w:rPr>
        <w:t xml:space="preserve"> وهاجم </w:t>
      </w:r>
      <w:r w:rsidR="009C32A0">
        <w:rPr>
          <w:rFonts w:hint="cs"/>
          <w:rtl/>
        </w:rPr>
        <w:lastRenderedPageBreak/>
        <w:t>كل من خالف ذلك من الحنابلة</w:t>
      </w:r>
      <w:r>
        <w:rPr>
          <w:rFonts w:hint="cs"/>
          <w:rtl/>
        </w:rPr>
        <w:t>،</w:t>
      </w:r>
      <w:r w:rsidR="009C32A0">
        <w:rPr>
          <w:rFonts w:hint="cs"/>
          <w:rtl/>
        </w:rPr>
        <w:t xml:space="preserve"> واتهمهم بالإساءة إلى الإمام أحمد وإلى مذهبه</w:t>
      </w:r>
      <w:r>
        <w:rPr>
          <w:rFonts w:hint="cs"/>
          <w:rtl/>
        </w:rPr>
        <w:t>،</w:t>
      </w:r>
      <w:r w:rsidR="009C32A0">
        <w:rPr>
          <w:rFonts w:hint="cs"/>
          <w:rtl/>
        </w:rPr>
        <w:t xml:space="preserve"> ودعا عليهم</w:t>
      </w:r>
      <w:r>
        <w:rPr>
          <w:rFonts w:hint="cs"/>
          <w:rtl/>
        </w:rPr>
        <w:t>،</w:t>
      </w:r>
      <w:r w:rsidR="009C32A0">
        <w:rPr>
          <w:rFonts w:hint="cs"/>
          <w:rtl/>
        </w:rPr>
        <w:t xml:space="preserve"> وانظر كتابة الباز الأشهب في الرد على مخالفيه</w:t>
      </w:r>
      <w:r>
        <w:rPr>
          <w:rFonts w:hint="cs"/>
          <w:rtl/>
        </w:rPr>
        <w:t>،</w:t>
      </w:r>
      <w:r w:rsidR="009C32A0">
        <w:rPr>
          <w:rFonts w:hint="cs"/>
          <w:rtl/>
        </w:rPr>
        <w:t xml:space="preserve"> وكانوا ثلاثة من شيوخ المذهب الحنبلي</w:t>
      </w:r>
      <w:r>
        <w:rPr>
          <w:rFonts w:hint="cs"/>
          <w:rtl/>
        </w:rPr>
        <w:t>،</w:t>
      </w:r>
      <w:r w:rsidR="009C32A0">
        <w:rPr>
          <w:rFonts w:hint="cs"/>
          <w:rtl/>
        </w:rPr>
        <w:t xml:space="preserve"> وهم</w:t>
      </w:r>
      <w:r>
        <w:rPr>
          <w:rFonts w:hint="cs"/>
          <w:rtl/>
        </w:rPr>
        <w:t xml:space="preserve">: </w:t>
      </w:r>
      <w:r w:rsidR="009C32A0">
        <w:rPr>
          <w:rFonts w:hint="cs"/>
          <w:rtl/>
        </w:rPr>
        <w:t>ابن حامد البغدادي</w:t>
      </w:r>
      <w:r>
        <w:rPr>
          <w:rFonts w:hint="cs"/>
          <w:rtl/>
        </w:rPr>
        <w:t>،</w:t>
      </w:r>
      <w:r w:rsidR="009C32A0">
        <w:rPr>
          <w:rFonts w:hint="cs"/>
          <w:rtl/>
        </w:rPr>
        <w:t xml:space="preserve"> والقاضي أبو يعلى الفراء</w:t>
      </w:r>
      <w:r>
        <w:rPr>
          <w:rFonts w:hint="cs"/>
          <w:rtl/>
        </w:rPr>
        <w:t>،</w:t>
      </w:r>
      <w:r w:rsidR="009C32A0">
        <w:rPr>
          <w:rFonts w:hint="cs"/>
          <w:rtl/>
        </w:rPr>
        <w:t xml:space="preserve"> وأبو الحسن ابن الزاغوني</w:t>
      </w:r>
      <w:r>
        <w:rPr>
          <w:rFonts w:hint="cs"/>
          <w:rtl/>
        </w:rPr>
        <w:t>،</w:t>
      </w:r>
      <w:r w:rsidR="009C32A0">
        <w:rPr>
          <w:rFonts w:hint="cs"/>
          <w:rtl/>
        </w:rPr>
        <w:t xml:space="preserve"> واتهمهم بأنهم صنفوا كتبا شانوا بها مذهب الإمام أحمد بن حنبل</w:t>
      </w:r>
      <w:r>
        <w:rPr>
          <w:rFonts w:hint="cs"/>
          <w:rtl/>
        </w:rPr>
        <w:t xml:space="preserve">، </w:t>
      </w:r>
      <w:r w:rsidR="009C32A0">
        <w:rPr>
          <w:rFonts w:hint="cs"/>
          <w:rtl/>
        </w:rPr>
        <w:t>وقال في خاتمة كتابه</w:t>
      </w:r>
      <w:r>
        <w:rPr>
          <w:rFonts w:hint="cs"/>
          <w:rtl/>
        </w:rPr>
        <w:t>:</w:t>
      </w:r>
      <w:r w:rsidR="009C32A0">
        <w:rPr>
          <w:rFonts w:hint="cs"/>
          <w:rtl/>
        </w:rPr>
        <w:t xml:space="preserve">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w:t>
      </w:r>
      <w:r>
        <w:rPr>
          <w:rFonts w:hint="cs"/>
          <w:rtl/>
        </w:rPr>
        <w:t xml:space="preserve"> </w:t>
      </w:r>
      <w:r w:rsidR="009C32A0">
        <w:rPr>
          <w:rFonts w:hint="cs"/>
          <w:rtl/>
        </w:rPr>
        <w:t>أهـ</w:t>
      </w:r>
      <w:r>
        <w:rPr>
          <w:rFonts w:hint="cs"/>
          <w:rtl/>
        </w:rPr>
        <w:t>،</w:t>
      </w:r>
      <w:r w:rsidR="009C32A0">
        <w:rPr>
          <w:rFonts w:hint="cs"/>
          <w:rtl/>
        </w:rPr>
        <w:t xml:space="preserve"> </w:t>
      </w:r>
    </w:p>
    <w:p w14:paraId="6762CF25" w14:textId="399206FB" w:rsidR="009C32A0" w:rsidRDefault="000636C2" w:rsidP="000636C2">
      <w:pPr>
        <w:ind w:left="-58"/>
        <w:rPr>
          <w:b/>
          <w:rtl/>
        </w:rPr>
      </w:pPr>
      <w:r>
        <w:rPr>
          <w:rFonts w:cs="Monotype Koufi" w:hint="cs"/>
          <w:rtl/>
        </w:rPr>
        <w:t>(</w:t>
      </w:r>
      <w:r w:rsidR="009C32A0">
        <w:rPr>
          <w:rFonts w:cs="Monotype Koufi" w:hint="cs"/>
          <w:rtl/>
        </w:rPr>
        <w:t>تنبيه خامس</w:t>
      </w:r>
      <w:r>
        <w:rPr>
          <w:rFonts w:cs="Monotype Koufi" w:hint="cs"/>
          <w:rtl/>
        </w:rPr>
        <w:t>)</w:t>
      </w:r>
      <w:r>
        <w:rPr>
          <w:rFonts w:hint="cs"/>
          <w:rtl/>
          <w:lang w:bidi="ar-KW"/>
        </w:rPr>
        <w:t>:</w:t>
      </w:r>
      <w:r w:rsidR="009C32A0">
        <w:rPr>
          <w:rFonts w:hint="cs"/>
          <w:rtl/>
          <w:lang w:bidi="ar-KW"/>
        </w:rPr>
        <w:t xml:space="preserve"> لقد ذهل الحشوية عن حقيقة مذهب السلف والأثرية امتداد السلف الحقيقيون في تفويض علم المتشابه إلى الله تعالى</w:t>
      </w:r>
      <w:r>
        <w:rPr>
          <w:rFonts w:hint="cs"/>
          <w:rtl/>
          <w:lang w:bidi="ar-KW"/>
        </w:rPr>
        <w:t>،</w:t>
      </w:r>
      <w:r w:rsidR="009C32A0">
        <w:rPr>
          <w:rFonts w:hint="cs"/>
          <w:rtl/>
          <w:lang w:bidi="ar-KW"/>
        </w:rPr>
        <w:t xml:space="preserve"> ثم لم يكتفوا بذلك حتى اتهموا الأثرية المفوضة في المتشابهات بالتجهيل والتبديع وأنهم أشر أهل البدع</w:t>
      </w:r>
      <w:r>
        <w:rPr>
          <w:rFonts w:hint="cs"/>
          <w:rtl/>
          <w:lang w:bidi="ar-KW"/>
        </w:rPr>
        <w:t>،</w:t>
      </w:r>
      <w:r w:rsidR="009C32A0">
        <w:rPr>
          <w:rFonts w:hint="cs"/>
          <w:rtl/>
          <w:lang w:bidi="ar-KW"/>
        </w:rPr>
        <w:t xml:space="preserve"> مع أنهم هم امتداد السلف الحقيقيين</w:t>
      </w:r>
      <w:r>
        <w:rPr>
          <w:rFonts w:hint="cs"/>
          <w:rtl/>
          <w:lang w:bidi="ar-KW"/>
        </w:rPr>
        <w:t>،</w:t>
      </w:r>
      <w:r w:rsidR="009C32A0">
        <w:rPr>
          <w:rFonts w:hint="cs"/>
          <w:rtl/>
          <w:lang w:bidi="ar-KW"/>
        </w:rPr>
        <w:t xml:space="preserve"> ثم لم يكتفوا بذلك حتى اتهموا الأشاعرة والماتريدية أكابر علماء العقيدة المتخصصين فيها على منهاج اهل الحق بأنّهم متعطلة ومؤولة وانّهم ليسوا من اهل السنّة والجماعة في باب الصفات</w:t>
      </w:r>
      <w:r>
        <w:rPr>
          <w:rFonts w:hint="cs"/>
          <w:rtl/>
          <w:lang w:bidi="ar-KW"/>
        </w:rPr>
        <w:t>،</w:t>
      </w:r>
      <w:r w:rsidR="009C32A0">
        <w:rPr>
          <w:rFonts w:hint="cs"/>
          <w:rtl/>
          <w:lang w:bidi="ar-KW"/>
        </w:rPr>
        <w:t xml:space="preserve"> مع أنّ الحق والصواب أنّهم </w:t>
      </w:r>
      <w:r>
        <w:rPr>
          <w:rFonts w:hint="cs"/>
          <w:rtl/>
          <w:lang w:bidi="ar-KW"/>
        </w:rPr>
        <w:t>(</w:t>
      </w:r>
      <w:r w:rsidR="009C32A0">
        <w:rPr>
          <w:rFonts w:hint="cs"/>
          <w:rtl/>
          <w:lang w:bidi="ar-KW"/>
        </w:rPr>
        <w:t>الحشوية</w:t>
      </w:r>
      <w:r>
        <w:rPr>
          <w:rFonts w:hint="cs"/>
          <w:rtl/>
          <w:lang w:bidi="ar-KW"/>
        </w:rPr>
        <w:t>)</w:t>
      </w:r>
      <w:r w:rsidR="009C32A0">
        <w:rPr>
          <w:rFonts w:hint="cs"/>
          <w:rtl/>
          <w:lang w:bidi="ar-KW"/>
        </w:rPr>
        <w:t xml:space="preserve"> هم الضالون في هذا الباب لأسباب عديدة</w:t>
      </w:r>
      <w:r>
        <w:rPr>
          <w:rFonts w:hint="cs"/>
          <w:rtl/>
          <w:lang w:bidi="ar-KW"/>
        </w:rPr>
        <w:t>:</w:t>
      </w:r>
      <w:r w:rsidR="009C32A0">
        <w:rPr>
          <w:rFonts w:hint="cs"/>
          <w:rtl/>
          <w:lang w:bidi="ar-KW"/>
        </w:rPr>
        <w:t xml:space="preserve"> أهمها </w:t>
      </w:r>
      <w:r w:rsidR="009C32A0">
        <w:rPr>
          <w:rFonts w:eastAsia="Times New Roman" w:hint="cs"/>
          <w:rtl/>
          <w:lang w:eastAsia="ar-SA" w:bidi="ar-KW"/>
        </w:rPr>
        <w:t>الذهول عن قواعد التقديس والتنزيه والتسبيح</w:t>
      </w:r>
      <w:r>
        <w:rPr>
          <w:rFonts w:hint="cs"/>
          <w:rtl/>
          <w:lang w:bidi="ar-KW"/>
        </w:rPr>
        <w:t xml:space="preserve"> </w:t>
      </w:r>
      <w:r w:rsidR="009C32A0">
        <w:rPr>
          <w:rFonts w:hint="cs"/>
          <w:rtl/>
          <w:lang w:bidi="ar-KW"/>
        </w:rPr>
        <w:t>المتعلقة بذات الله تعالى</w:t>
      </w:r>
      <w:r>
        <w:rPr>
          <w:rFonts w:hint="cs"/>
          <w:rtl/>
          <w:lang w:bidi="ar-KW"/>
        </w:rPr>
        <w:t>،</w:t>
      </w:r>
      <w:r w:rsidR="009C32A0">
        <w:rPr>
          <w:rFonts w:hint="cs"/>
          <w:rtl/>
          <w:lang w:bidi="ar-KW"/>
        </w:rPr>
        <w:t xml:space="preserve"> والمستمدة من الكتاب والسنة</w:t>
      </w:r>
      <w:r>
        <w:rPr>
          <w:rFonts w:hint="cs"/>
          <w:rtl/>
          <w:lang w:bidi="ar-KW"/>
        </w:rPr>
        <w:t>،</w:t>
      </w:r>
      <w:r w:rsidR="009C32A0">
        <w:rPr>
          <w:rFonts w:hint="cs"/>
          <w:rtl/>
          <w:lang w:bidi="ar-KW"/>
        </w:rPr>
        <w:t xml:space="preserve"> وأدى ذلك إلى خلل في فهم قسم توحيد الذات </w:t>
      </w:r>
      <w:r>
        <w:rPr>
          <w:rFonts w:hint="cs"/>
          <w:rtl/>
          <w:lang w:bidi="ar-KW"/>
        </w:rPr>
        <w:t>(</w:t>
      </w:r>
      <w:r w:rsidR="009C32A0">
        <w:rPr>
          <w:rFonts w:hint="cs"/>
          <w:rtl/>
          <w:lang w:bidi="ar-KW"/>
        </w:rPr>
        <w:t>علم التقديس</w:t>
      </w:r>
      <w:r>
        <w:rPr>
          <w:rFonts w:hint="cs"/>
          <w:rtl/>
          <w:lang w:bidi="ar-KW"/>
        </w:rPr>
        <w:t>)</w:t>
      </w:r>
      <w:r w:rsidR="009C32A0">
        <w:rPr>
          <w:rFonts w:hint="cs"/>
          <w:rtl/>
          <w:lang w:bidi="ar-KW"/>
        </w:rPr>
        <w:t xml:space="preserve"> الذي يعد مفخرة عقائد المسلمين</w:t>
      </w:r>
      <w:r>
        <w:rPr>
          <w:rFonts w:hint="cs"/>
          <w:rtl/>
          <w:lang w:bidi="ar-KW"/>
        </w:rPr>
        <w:t>،</w:t>
      </w:r>
      <w:r w:rsidR="009C32A0">
        <w:rPr>
          <w:rFonts w:hint="cs"/>
          <w:rtl/>
          <w:lang w:bidi="ar-KW"/>
        </w:rPr>
        <w:t xml:space="preserve"> والذهول عن هذا القسم أدى إلى قصور واضح جلي في الإلمام بما يجب وما يجوز وما يستحيل في ذات الله تعالى</w:t>
      </w:r>
      <w:r>
        <w:rPr>
          <w:rFonts w:hint="cs"/>
          <w:rtl/>
          <w:lang w:bidi="ar-KW"/>
        </w:rPr>
        <w:t xml:space="preserve">، </w:t>
      </w:r>
      <w:r w:rsidR="009C32A0">
        <w:rPr>
          <w:rFonts w:hint="cs"/>
          <w:rtl/>
          <w:lang w:bidi="ar-KW"/>
        </w:rPr>
        <w:t>وإلى الوقوع في زيادة الإثبات على حساب التقديس</w:t>
      </w:r>
      <w:r>
        <w:rPr>
          <w:rFonts w:hint="cs"/>
          <w:rtl/>
          <w:lang w:bidi="ar-KW"/>
        </w:rPr>
        <w:t>،</w:t>
      </w:r>
      <w:r w:rsidR="009C32A0">
        <w:rPr>
          <w:rFonts w:hint="cs"/>
          <w:rtl/>
          <w:lang w:bidi="ar-KW"/>
        </w:rPr>
        <w:t xml:space="preserve"> بل واعتقاد التجسيم في بعض الأحيان وإن لم يشعروا بذلك</w:t>
      </w:r>
      <w:r>
        <w:rPr>
          <w:rFonts w:hint="cs"/>
          <w:rtl/>
          <w:lang w:bidi="ar-KW"/>
        </w:rPr>
        <w:t>،</w:t>
      </w:r>
      <w:r w:rsidR="009C32A0">
        <w:rPr>
          <w:rFonts w:hint="cs"/>
          <w:rtl/>
          <w:lang w:bidi="ar-KW"/>
        </w:rPr>
        <w:t xml:space="preserve"> فنشأ عن ذلك الحشو والجهل المركب في مسائل الصفات والإضافات بسبب الذهول عن تلك القواعد</w:t>
      </w:r>
      <w:r>
        <w:rPr>
          <w:rFonts w:hint="cs"/>
          <w:rtl/>
          <w:lang w:bidi="ar-KW"/>
        </w:rPr>
        <w:t>،</w:t>
      </w:r>
      <w:r w:rsidR="009C32A0">
        <w:rPr>
          <w:rFonts w:hint="cs"/>
          <w:rtl/>
          <w:lang w:bidi="ar-KW"/>
        </w:rPr>
        <w:t xml:space="preserve"> واعتبارها من علوم اليونان</w:t>
      </w:r>
      <w:r>
        <w:rPr>
          <w:rFonts w:hint="cs"/>
          <w:rtl/>
          <w:lang w:bidi="ar-KW"/>
        </w:rPr>
        <w:t>،</w:t>
      </w:r>
      <w:r w:rsidR="009C32A0">
        <w:rPr>
          <w:rFonts w:hint="cs"/>
          <w:rtl/>
          <w:lang w:bidi="ar-KW"/>
        </w:rPr>
        <w:t xml:space="preserve"> وهم لا يعلمون</w:t>
      </w:r>
      <w:r>
        <w:rPr>
          <w:rFonts w:hint="cs"/>
          <w:rtl/>
          <w:lang w:bidi="ar-KW"/>
        </w:rPr>
        <w:t>:</w:t>
      </w:r>
      <w:r w:rsidR="009C32A0">
        <w:rPr>
          <w:rFonts w:hint="cs"/>
          <w:rtl/>
          <w:lang w:bidi="ar-KW"/>
        </w:rPr>
        <w:t xml:space="preserve"> لا قواعد التنزيه المستمدة من الكتاب والسنة ولا ما هو الفرق بينها وبين علوم اليونان</w:t>
      </w:r>
      <w:r>
        <w:rPr>
          <w:rFonts w:hint="cs"/>
          <w:rtl/>
          <w:lang w:bidi="ar-KW"/>
        </w:rPr>
        <w:t>،</w:t>
      </w:r>
      <w:r w:rsidR="009C32A0">
        <w:rPr>
          <w:rFonts w:hint="cs"/>
          <w:rtl/>
          <w:lang w:bidi="ar-KW"/>
        </w:rPr>
        <w:t xml:space="preserve"> والحشوية ينتسبون إلى السلف الصالح</w:t>
      </w:r>
      <w:r>
        <w:rPr>
          <w:rFonts w:hint="cs"/>
          <w:rtl/>
          <w:lang w:bidi="ar-KW"/>
        </w:rPr>
        <w:t>،</w:t>
      </w:r>
      <w:r w:rsidR="009C32A0">
        <w:rPr>
          <w:rFonts w:hint="cs"/>
          <w:rtl/>
          <w:lang w:bidi="ar-KW"/>
        </w:rPr>
        <w:t xml:space="preserve"> </w:t>
      </w:r>
      <w:r w:rsidR="009C32A0">
        <w:rPr>
          <w:rFonts w:hint="cs"/>
          <w:rtl/>
        </w:rPr>
        <w:t>وهم أبعد الناس عن السلفية والسلف</w:t>
      </w:r>
      <w:r>
        <w:rPr>
          <w:rFonts w:hint="cs"/>
          <w:rtl/>
        </w:rPr>
        <w:t>،</w:t>
      </w:r>
      <w:r w:rsidR="009C32A0">
        <w:rPr>
          <w:rFonts w:hint="cs"/>
          <w:rtl/>
        </w:rPr>
        <w:t xml:space="preserve"> وهل كان السلف إلا منزهة ومقدسة لذات الباري سبحانه</w:t>
      </w:r>
      <w:r>
        <w:rPr>
          <w:rFonts w:hint="cs"/>
          <w:rtl/>
        </w:rPr>
        <w:t>،</w:t>
      </w:r>
      <w:r w:rsidR="009C32A0">
        <w:rPr>
          <w:rFonts w:hint="cs"/>
          <w:rtl/>
        </w:rPr>
        <w:t xml:space="preserve"> وهل خاضت السلفية فيما يخوض فيه أولئك الحشوية</w:t>
      </w:r>
      <w:r>
        <w:rPr>
          <w:rFonts w:hint="cs"/>
          <w:rtl/>
        </w:rPr>
        <w:t xml:space="preserve"> </w:t>
      </w:r>
      <w:r w:rsidR="009C32A0">
        <w:rPr>
          <w:rFonts w:hint="cs"/>
          <w:rtl/>
        </w:rPr>
        <w:t>من الحشو والجهل فيما يتعلق بذات الله تعالى وصفاته وأفعاله</w:t>
      </w:r>
      <w:r>
        <w:rPr>
          <w:rFonts w:hint="cs"/>
          <w:rtl/>
        </w:rPr>
        <w:t>،</w:t>
      </w:r>
      <w:r w:rsidR="009C32A0">
        <w:rPr>
          <w:rFonts w:hint="cs"/>
          <w:rtl/>
        </w:rPr>
        <w:t xml:space="preserve"> </w:t>
      </w:r>
      <w:r w:rsidR="009C32A0">
        <w:rPr>
          <w:rFonts w:eastAsia="Times New Roman" w:hint="cs"/>
          <w:rtl/>
        </w:rPr>
        <w:t>ثم هل من السلفية في شيء أن يأتي أحدهم بجمع الاحاديث التي تتعلق بالصفات الخبرية</w:t>
      </w:r>
      <w:r>
        <w:rPr>
          <w:rFonts w:eastAsia="Times New Roman" w:hint="cs"/>
          <w:rtl/>
        </w:rPr>
        <w:t>،</w:t>
      </w:r>
      <w:r w:rsidR="009C32A0">
        <w:rPr>
          <w:rFonts w:eastAsia="Times New Roman" w:hint="cs"/>
          <w:rtl/>
        </w:rPr>
        <w:t xml:space="preserve"> ويسردها في مؤلف واحد يُوهم التشبيه والتجسيم</w:t>
      </w:r>
      <w:r>
        <w:rPr>
          <w:rFonts w:eastAsia="Times New Roman" w:hint="cs"/>
          <w:rtl/>
        </w:rPr>
        <w:t>،</w:t>
      </w:r>
      <w:r w:rsidR="009C32A0">
        <w:rPr>
          <w:rFonts w:eastAsia="Times New Roman" w:hint="cs"/>
          <w:rtl/>
        </w:rPr>
        <w:t xml:space="preserve"> ويمتحن الناس باعتقادها</w:t>
      </w:r>
      <w:r>
        <w:rPr>
          <w:rFonts w:eastAsia="Times New Roman" w:hint="cs"/>
          <w:rtl/>
        </w:rPr>
        <w:t>،</w:t>
      </w:r>
      <w:r w:rsidR="009C32A0">
        <w:rPr>
          <w:rFonts w:eastAsia="Times New Roman" w:hint="cs"/>
          <w:rtl/>
        </w:rPr>
        <w:t xml:space="preserve"> هل هذه سلفية</w:t>
      </w:r>
      <w:r>
        <w:rPr>
          <w:rFonts w:eastAsia="Times New Roman" w:hint="cs"/>
          <w:rtl/>
        </w:rPr>
        <w:t>،</w:t>
      </w:r>
      <w:r w:rsidR="009C32A0">
        <w:rPr>
          <w:rFonts w:eastAsia="Times New Roman" w:hint="cs"/>
          <w:rtl/>
        </w:rPr>
        <w:t xml:space="preserve"> أم حشوية</w:t>
      </w:r>
      <w:r>
        <w:rPr>
          <w:rFonts w:eastAsia="Times New Roman" w:hint="cs"/>
          <w:rtl/>
        </w:rPr>
        <w:t>،</w:t>
      </w:r>
      <w:r w:rsidR="009C32A0">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9C32A0">
        <w:rPr>
          <w:rFonts w:eastAsia="Times New Roman" w:hint="cs"/>
          <w:rtl/>
        </w:rPr>
        <w:t xml:space="preserve"> خوفا من تتبع المتشابهات</w:t>
      </w:r>
      <w:r>
        <w:rPr>
          <w:rFonts w:eastAsia="Times New Roman" w:hint="cs"/>
          <w:rtl/>
        </w:rPr>
        <w:t>،</w:t>
      </w:r>
      <w:r w:rsidR="009C32A0">
        <w:rPr>
          <w:rFonts w:eastAsia="Times New Roman" w:hint="cs"/>
          <w:rtl/>
        </w:rPr>
        <w:t xml:space="preserve"> وكان يمنع في مجلسه </w:t>
      </w:r>
      <w:r w:rsidR="009C32A0">
        <w:rPr>
          <w:rFonts w:eastAsia="Times New Roman" w:hint="cs"/>
          <w:rtl/>
        </w:rPr>
        <w:lastRenderedPageBreak/>
        <w:t>من مجرد السؤال عنها</w:t>
      </w:r>
      <w:r>
        <w:rPr>
          <w:rFonts w:eastAsia="Times New Roman" w:hint="cs"/>
          <w:rtl/>
        </w:rPr>
        <w:t>،</w:t>
      </w:r>
      <w:r w:rsidR="009C32A0">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9C32A0">
        <w:rPr>
          <w:rFonts w:eastAsia="Times New Roman" w:hint="cs"/>
          <w:rtl/>
        </w:rPr>
        <w:t xml:space="preserve"> ثم ينسب ذلك إلى السلف</w:t>
      </w:r>
      <w:r>
        <w:rPr>
          <w:rFonts w:eastAsia="Times New Roman" w:hint="cs"/>
          <w:rtl/>
        </w:rPr>
        <w:t>،</w:t>
      </w:r>
      <w:r w:rsidR="009C32A0">
        <w:rPr>
          <w:rFonts w:eastAsia="Times New Roman" w:hint="cs"/>
          <w:rtl/>
        </w:rPr>
        <w:t xml:space="preserve"> </w:t>
      </w:r>
      <w:r w:rsidR="009C32A0">
        <w:rPr>
          <w:rFonts w:hint="cs"/>
          <w:rtl/>
        </w:rPr>
        <w:t>وقد كان السلف الأوائل يحجمون عن الخوض في ذلك مع اليقين باستحالة ظاهره على الله تعالى</w:t>
      </w:r>
      <w:r>
        <w:rPr>
          <w:rFonts w:hint="cs"/>
          <w:rtl/>
        </w:rPr>
        <w:t>،</w:t>
      </w:r>
      <w:r w:rsidR="009C32A0">
        <w:rPr>
          <w:rFonts w:hint="cs"/>
          <w:rtl/>
        </w:rPr>
        <w:t xml:space="preserve"> </w:t>
      </w:r>
      <w:r w:rsidR="009C32A0">
        <w:rPr>
          <w:rFonts w:eastAsia="Times New Roman" w:hint="cs"/>
          <w:rtl/>
        </w:rPr>
        <w:t>ما أشد حاجة السلفية المعاصرة من تنقيتها من أدران الحشو والتجسيم والغلو في التكفير والتشريك والتبديع</w:t>
      </w:r>
      <w:r>
        <w:rPr>
          <w:rFonts w:eastAsia="Times New Roman" w:hint="cs"/>
          <w:rtl/>
        </w:rPr>
        <w:t>،</w:t>
      </w:r>
      <w:r w:rsidR="009C32A0">
        <w:rPr>
          <w:rFonts w:eastAsia="Times New Roman" w:hint="cs"/>
          <w:rtl/>
        </w:rPr>
        <w:t xml:space="preserve"> والله الهادي إلى سواء السبيل</w:t>
      </w:r>
    </w:p>
    <w:p w14:paraId="54B1AB63" w14:textId="77777777" w:rsidR="009C32A0" w:rsidRDefault="009C32A0" w:rsidP="000636C2">
      <w:pPr>
        <w:ind w:left="-58"/>
        <w:jc w:val="center"/>
        <w:rPr>
          <w:b/>
        </w:rPr>
      </w:pPr>
      <w:r>
        <w:rPr>
          <w:rFonts w:hint="cs"/>
          <w:rtl/>
        </w:rPr>
        <w:t>***</w:t>
      </w:r>
    </w:p>
    <w:p w14:paraId="3F08D2DA" w14:textId="76BFC1BC" w:rsidR="009C32A0" w:rsidRDefault="009C32A0" w:rsidP="000636C2">
      <w:pPr>
        <w:ind w:left="-58"/>
        <w:jc w:val="center"/>
        <w:rPr>
          <w:rFonts w:cs="Monotype Koufi"/>
          <w:b/>
          <w:rtl/>
        </w:rPr>
      </w:pPr>
      <w:r>
        <w:rPr>
          <w:rFonts w:cs="Monotype Koufi" w:hint="cs"/>
          <w:rtl/>
        </w:rPr>
        <w:t>ثانياً</w:t>
      </w:r>
      <w:r w:rsidR="000636C2">
        <w:rPr>
          <w:rFonts w:cs="Monotype Koufi" w:hint="cs"/>
          <w:rtl/>
        </w:rPr>
        <w:t xml:space="preserve">: </w:t>
      </w:r>
      <w:r>
        <w:rPr>
          <w:rFonts w:cs="Monotype Koufi" w:hint="cs"/>
          <w:rtl/>
        </w:rPr>
        <w:t xml:space="preserve">بيان القواعد الأثرية في فهم الصفات الخبرية </w:t>
      </w:r>
    </w:p>
    <w:p w14:paraId="508DBF86" w14:textId="4112B7AB" w:rsidR="009C32A0" w:rsidRDefault="000636C2" w:rsidP="000636C2">
      <w:pPr>
        <w:shd w:val="clear" w:color="auto" w:fill="FFFFFF"/>
        <w:ind w:left="-58"/>
        <w:rPr>
          <w:rFonts w:eastAsia="Times New Roman"/>
          <w:b/>
          <w:rtl/>
        </w:rPr>
      </w:pPr>
      <w:r>
        <w:rPr>
          <w:rFonts w:cs="Monotype Koufi" w:hint="cs"/>
          <w:rtl/>
        </w:rPr>
        <w:t>[</w:t>
      </w:r>
      <w:r w:rsidR="009C32A0">
        <w:rPr>
          <w:rFonts w:cs="Monotype Koufi" w:hint="cs"/>
          <w:rtl/>
        </w:rPr>
        <w:t>1</w:t>
      </w:r>
      <w:r>
        <w:rPr>
          <w:rFonts w:cs="Monotype Koufi" w:hint="cs"/>
          <w:rtl/>
        </w:rPr>
        <w:t>]:</w:t>
      </w:r>
      <w:r w:rsidR="009C32A0">
        <w:rPr>
          <w:rFonts w:cs="Monotype Koufi" w:hint="cs"/>
          <w:rtl/>
        </w:rPr>
        <w:t xml:space="preserve"> الصفات السمعية عند الحنابلة من المتشابه</w:t>
      </w:r>
      <w:r>
        <w:rPr>
          <w:rFonts w:eastAsia="Times New Roman" w:hint="cs"/>
          <w:rtl/>
        </w:rPr>
        <w:t>:</w:t>
      </w:r>
      <w:r w:rsidR="009C32A0">
        <w:rPr>
          <w:rFonts w:eastAsia="Times New Roman" w:hint="cs"/>
          <w:rtl/>
        </w:rPr>
        <w:t xml:space="preserve"> قال الشيخ صالح بن محمد الأسمري</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بسم الله الرحمن الرحيم</w:t>
      </w:r>
      <w:r>
        <w:rPr>
          <w:rFonts w:eastAsia="Times New Roman" w:hint="cs"/>
          <w:rtl/>
        </w:rPr>
        <w:t>:</w:t>
      </w:r>
      <w:r w:rsidR="009C32A0">
        <w:rPr>
          <w:rFonts w:eastAsia="Times New Roman" w:hint="cs"/>
          <w:rtl/>
        </w:rPr>
        <w:t xml:space="preserve"> شنَّع التقي ابن تيمية رحمه الله على الحنابلة الذين يجعلون أخبار الصفات المسماة ب(الصفات السمعية) من باب المتشابه الذي لا يبحث عن معناه! وقال –كما في: "مجموع الفتاوي"(17/363) -</w:t>
      </w:r>
      <w:r>
        <w:rPr>
          <w:rFonts w:eastAsia="Times New Roman" w:hint="cs"/>
          <w:rtl/>
        </w:rPr>
        <w:t>:</w:t>
      </w:r>
      <w:r w:rsidR="009C32A0">
        <w:rPr>
          <w:rFonts w:eastAsia="Times New Roman" w:hint="cs"/>
          <w:rtl/>
        </w:rPr>
        <w:t xml:space="preserve"> "والمنتسبون إلى السنة من الحنابلة وغيرهم الذين جعلوا لفظ التأويل يعم القسمين، يتمسكون بما يجدونه من كلام الأئمة المتشابه، مثل قول أحمد في رواية حنبل: (ولا كيف ولا معنى)، فظنوا أن مراده أنا لا نعرف معناه</w:t>
      </w:r>
      <w:r>
        <w:rPr>
          <w:rFonts w:eastAsia="Times New Roman" w:hint="cs"/>
          <w:rtl/>
        </w:rPr>
        <w:t>!</w:t>
      </w:r>
      <w:r w:rsidR="009C32A0">
        <w:rPr>
          <w:rFonts w:eastAsia="Times New Roman" w:hint="cs"/>
          <w:rtl/>
        </w:rPr>
        <w:t>" أهـ المراد</w:t>
      </w:r>
      <w:r>
        <w:rPr>
          <w:rFonts w:eastAsia="Times New Roman" w:hint="cs"/>
          <w:rtl/>
        </w:rPr>
        <w:t>،</w:t>
      </w:r>
      <w:r w:rsidR="009C32A0">
        <w:rPr>
          <w:rFonts w:eastAsia="Times New Roman" w:hint="cs"/>
          <w:rtl/>
        </w:rPr>
        <w:t xml:space="preserve"> وما حكاه التقي ابن تيمية عن الإمام أحمد بن حنبل رضي الله عنه مشهور، ونقله الخلال في "كتاب السنة" عن حنبل بن إسحاق رحمه الله أنه قال</w:t>
      </w:r>
      <w:r>
        <w:rPr>
          <w:rFonts w:eastAsia="Times New Roman" w:hint="cs"/>
          <w:rtl/>
        </w:rPr>
        <w:t>:</w:t>
      </w:r>
      <w:r w:rsidR="009C32A0">
        <w:rPr>
          <w:rFonts w:eastAsia="Times New Roman" w:hint="cs"/>
          <w:rtl/>
        </w:rPr>
        <w:t>"سألت أبا عبد الله عن الأحاديث التي تروى "إن الله تبارك وتعالى ينزل إلى السماء الدنيا" . و "إن الله يرى" و "إن الله يضع قدمه" وما أشبه هذه الأحاديث</w:t>
      </w:r>
      <w:r>
        <w:rPr>
          <w:rFonts w:eastAsia="Times New Roman" w:hint="cs"/>
          <w:rtl/>
        </w:rPr>
        <w:t>؟</w:t>
      </w:r>
      <w:r w:rsidR="009C32A0">
        <w:rPr>
          <w:rFonts w:eastAsia="Times New Roman" w:hint="cs"/>
          <w:rtl/>
        </w:rPr>
        <w:t xml:space="preserve"> فقال أبو عبد الله</w:t>
      </w:r>
      <w:r>
        <w:rPr>
          <w:rFonts w:eastAsia="Times New Roman" w:hint="cs"/>
          <w:rtl/>
        </w:rPr>
        <w:t>:</w:t>
      </w:r>
      <w:r w:rsidR="009C32A0">
        <w:rPr>
          <w:rFonts w:eastAsia="Times New Roman" w:hint="cs"/>
          <w:rtl/>
        </w:rPr>
        <w:t xml:space="preserve"> نؤمن بها ونصدق بها</w:t>
      </w:r>
      <w:r w:rsidR="009C32A0">
        <w:rPr>
          <w:rFonts w:eastAsia="Times New Roman"/>
        </w:rPr>
        <w:t> </w:t>
      </w:r>
      <w:r w:rsidR="009C32A0">
        <w:rPr>
          <w:rFonts w:eastAsia="Times New Roman" w:hint="cs"/>
          <w:rtl/>
        </w:rPr>
        <w:t>ولا كيف ولا معنى</w:t>
      </w:r>
      <w:r>
        <w:rPr>
          <w:rFonts w:eastAsia="Times New Roman" w:hint="cs"/>
          <w:rtl/>
        </w:rPr>
        <w:t>،</w:t>
      </w:r>
      <w:r w:rsidR="009C32A0">
        <w:rPr>
          <w:rFonts w:eastAsia="Times New Roman"/>
        </w:rPr>
        <w:t> </w:t>
      </w:r>
      <w:r w:rsidR="009C32A0">
        <w:rPr>
          <w:rFonts w:eastAsia="Times New Roman" w:hint="cs"/>
          <w:rtl/>
        </w:rPr>
        <w:t>ولا نرد منها شيئاً</w:t>
      </w:r>
      <w:r>
        <w:rPr>
          <w:rFonts w:eastAsia="Times New Roman" w:hint="cs"/>
          <w:rtl/>
        </w:rPr>
        <w:t>،</w:t>
      </w:r>
      <w:r w:rsidR="009C32A0">
        <w:rPr>
          <w:rFonts w:eastAsia="Times New Roman" w:hint="cs"/>
          <w:rtl/>
        </w:rPr>
        <w:t xml:space="preserve"> ونعلم أن ما جاء به رسول الله</w:t>
      </w:r>
      <w:r w:rsidR="009C32A0">
        <w:rPr>
          <w:rFonts w:eastAsia="Times New Roman"/>
        </w:rPr>
        <w:t> </w:t>
      </w:r>
      <w:r w:rsidR="009C32A0">
        <w:rPr>
          <w:rFonts w:eastAsia="Times New Roman" w:hint="cs"/>
          <w:noProof/>
          <w:rtl/>
        </w:rPr>
        <w:t>صلى الله عليه وسلم</w:t>
      </w:r>
      <w:r w:rsidR="009C32A0">
        <w:rPr>
          <w:rFonts w:eastAsia="Times New Roman"/>
        </w:rPr>
        <w:t> </w:t>
      </w:r>
      <w:r w:rsidR="009C32A0">
        <w:rPr>
          <w:rFonts w:eastAsia="Times New Roman" w:hint="cs"/>
          <w:rtl/>
        </w:rPr>
        <w:t>حق إذا كان بأسانيد صحاح</w:t>
      </w:r>
      <w:r>
        <w:rPr>
          <w:rFonts w:eastAsia="Times New Roman" w:hint="cs"/>
          <w:rtl/>
        </w:rPr>
        <w:t>،</w:t>
      </w:r>
      <w:r w:rsidR="009C32A0">
        <w:rPr>
          <w:rFonts w:eastAsia="Times New Roman" w:hint="cs"/>
          <w:rtl/>
        </w:rPr>
        <w:t xml:space="preserve"> ولا نرد على الله قوله</w:t>
      </w:r>
      <w:r>
        <w:rPr>
          <w:rFonts w:eastAsia="Times New Roman" w:hint="cs"/>
          <w:rtl/>
        </w:rPr>
        <w:t>،</w:t>
      </w:r>
      <w:r w:rsidR="009C32A0">
        <w:rPr>
          <w:rFonts w:eastAsia="Times New Roman" w:hint="cs"/>
          <w:rtl/>
        </w:rPr>
        <w:t xml:space="preserve"> ولا يوصف الله تبارك وتعالى بأكثر مما وصف به نفسه بلا حد ولا غاية</w:t>
      </w:r>
      <w:r>
        <w:rPr>
          <w:rFonts w:eastAsia="Times New Roman" w:hint="cs"/>
          <w:rtl/>
        </w:rPr>
        <w:t>،</w:t>
      </w:r>
      <w:r w:rsidR="009C32A0">
        <w:rPr>
          <w:rFonts w:eastAsia="Times New Roman" w:hint="cs"/>
          <w:rtl/>
        </w:rPr>
        <w:t xml:space="preserve"> ليس كمثله شيء"أ.هـ.من "ذم التأويل"(ص</w:t>
      </w:r>
      <w:r>
        <w:rPr>
          <w:rFonts w:eastAsia="Times New Roman" w:hint="cs"/>
          <w:rtl/>
        </w:rPr>
        <w:t>:</w:t>
      </w:r>
      <w:r w:rsidR="009C32A0">
        <w:rPr>
          <w:rFonts w:eastAsia="Times New Roman" w:hint="cs"/>
          <w:rtl/>
        </w:rPr>
        <w:t xml:space="preserve"> 21) للموفق ابن قدامة رحمه الله تعالى</w:t>
      </w:r>
      <w:r>
        <w:rPr>
          <w:rFonts w:eastAsia="Times New Roman" w:hint="cs"/>
          <w:rtl/>
        </w:rPr>
        <w:t>،</w:t>
      </w:r>
      <w:r w:rsidR="009C32A0">
        <w:rPr>
          <w:rFonts w:eastAsia="Times New Roman" w:hint="cs"/>
          <w:rtl/>
        </w:rPr>
        <w:t xml:space="preserve"> والمشهور اعتماده مذهبا عند السادة الحنابلة أن أخبار الصفات من المتشابه</w:t>
      </w:r>
      <w:r>
        <w:rPr>
          <w:rFonts w:eastAsia="Times New Roman" w:hint="cs"/>
          <w:rtl/>
        </w:rPr>
        <w:t>،</w:t>
      </w:r>
      <w:r w:rsidR="009C32A0">
        <w:rPr>
          <w:rFonts w:eastAsia="Times New Roman" w:hint="cs"/>
          <w:rtl/>
        </w:rPr>
        <w:t xml:space="preserve"> قال الموفق ابنُ قدامة رحمه الله تعالى في "رَوْضَةِ النَّاظِر "(1/186-حاشية ابن بدران)</w:t>
      </w:r>
      <w:r>
        <w:rPr>
          <w:rFonts w:eastAsia="Times New Roman" w:hint="cs"/>
          <w:rtl/>
        </w:rPr>
        <w:t>:</w:t>
      </w:r>
      <w:r w:rsidR="009C32A0">
        <w:rPr>
          <w:rFonts w:eastAsia="Times New Roman" w:hint="cs"/>
          <w:rtl/>
        </w:rPr>
        <w:t xml:space="preserve"> "والصحيْحُ أنّ المُتَشابِه مَا وَرَدَ فِي صِفَاتِ اللهِ سُبْحَانَهُ</w:t>
      </w:r>
      <w:r w:rsidR="009C32A0">
        <w:rPr>
          <w:rFonts w:eastAsia="Times New Roman"/>
        </w:rPr>
        <w:t>".</w:t>
      </w:r>
      <w:r w:rsidR="009C32A0">
        <w:rPr>
          <w:rFonts w:eastAsia="Times New Roman" w:hint="cs"/>
          <w:rtl/>
        </w:rPr>
        <w:t>وقال الشمس ابن مفلح رحمه الله تعالى في "أصوله" (1/316)</w:t>
      </w:r>
      <w:r>
        <w:rPr>
          <w:rFonts w:eastAsia="Times New Roman" w:hint="cs"/>
          <w:rtl/>
        </w:rPr>
        <w:t>:</w:t>
      </w:r>
      <w:r w:rsidR="009C32A0">
        <w:rPr>
          <w:rFonts w:eastAsia="Times New Roman" w:hint="cs"/>
          <w:rtl/>
        </w:rPr>
        <w:t xml:space="preserve"> "والمُحْكَم مَا اتَّضَحَ مَعْنَاهُ</w:t>
      </w:r>
      <w:r>
        <w:rPr>
          <w:rFonts w:eastAsia="Times New Roman" w:hint="cs"/>
          <w:rtl/>
        </w:rPr>
        <w:t>،</w:t>
      </w:r>
      <w:r w:rsidR="009C32A0">
        <w:rPr>
          <w:rFonts w:eastAsia="Times New Roman" w:hint="cs"/>
          <w:rtl/>
        </w:rPr>
        <w:t xml:space="preserve"> فلم يَحْتَجْ إلى بَيَان</w:t>
      </w:r>
      <w:r>
        <w:rPr>
          <w:rFonts w:eastAsia="Times New Roman" w:hint="cs"/>
          <w:rtl/>
        </w:rPr>
        <w:t>،</w:t>
      </w:r>
      <w:r w:rsidR="009C32A0">
        <w:rPr>
          <w:rFonts w:eastAsia="Times New Roman" w:hint="cs"/>
          <w:rtl/>
        </w:rPr>
        <w:t xml:space="preserve"> والمُتشابه</w:t>
      </w:r>
      <w:r>
        <w:rPr>
          <w:rFonts w:eastAsia="Times New Roman" w:hint="cs"/>
          <w:rtl/>
        </w:rPr>
        <w:t xml:space="preserve"> </w:t>
      </w:r>
      <w:r w:rsidR="009C32A0">
        <w:rPr>
          <w:rFonts w:eastAsia="Times New Roman" w:hint="cs"/>
          <w:rtl/>
        </w:rPr>
        <w:t>عَكسُهُ ؛ لاشْتراكٍ أو إجمَال</w:t>
      </w:r>
      <w:r>
        <w:rPr>
          <w:rFonts w:eastAsia="Times New Roman" w:hint="cs"/>
          <w:rtl/>
        </w:rPr>
        <w:t>،</w:t>
      </w:r>
      <w:r w:rsidR="009C32A0">
        <w:rPr>
          <w:rFonts w:eastAsia="Times New Roman" w:hint="cs"/>
          <w:rtl/>
        </w:rPr>
        <w:t xml:space="preserve"> قال جماعةٌ من أصْحابنا وغيْرُهم</w:t>
      </w:r>
      <w:r>
        <w:rPr>
          <w:rFonts w:eastAsia="Times New Roman" w:hint="cs"/>
          <w:rtl/>
        </w:rPr>
        <w:t>:</w:t>
      </w:r>
      <w:r w:rsidR="009C32A0">
        <w:rPr>
          <w:rFonts w:eastAsia="Times New Roman" w:hint="cs"/>
          <w:rtl/>
        </w:rPr>
        <w:t xml:space="preserve"> وما ظاهرُهُ التشْبيْه</w:t>
      </w:r>
      <w:r>
        <w:rPr>
          <w:rFonts w:eastAsia="Times New Roman" w:hint="cs"/>
          <w:rtl/>
        </w:rPr>
        <w:t>،</w:t>
      </w:r>
      <w:r w:rsidR="009C32A0">
        <w:rPr>
          <w:rFonts w:eastAsia="Times New Roman" w:hint="cs"/>
          <w:rtl/>
        </w:rPr>
        <w:t xml:space="preserve"> كصِفاتِ اللهِ</w:t>
      </w:r>
      <w:r w:rsidR="009C32A0">
        <w:rPr>
          <w:rFonts w:eastAsia="Times New Roman"/>
        </w:rPr>
        <w:t>".</w:t>
      </w:r>
      <w:r w:rsidR="009C32A0">
        <w:rPr>
          <w:rFonts w:eastAsia="Times New Roman" w:hint="cs"/>
          <w:rtl/>
        </w:rPr>
        <w:t xml:space="preserve"> وقال الطوفي رحمه الله في: "شرح مختصر الروضة" (2/44 ـ التركي): "والمتشابه مقابل المحكم، وهو غير المتضح المعنى، فتشتبه بعض محتملاته ببعض للاشتراك، أي: </w:t>
      </w:r>
      <w:r w:rsidR="009C32A0">
        <w:rPr>
          <w:rFonts w:eastAsia="Times New Roman" w:hint="cs"/>
          <w:rtl/>
        </w:rPr>
        <w:lastRenderedPageBreak/>
        <w:t>تشابهه، وعدم اتضاح معناه إما لاشتراك كلفظ العين والقرء ... أو لظهور تشبيه في صفات الله تعالى، كآيات الصفات وأخبارها، نحو: "ويبقى وجه ربك"، "لما خلقت بيدي"، "بل يداه مبسوطتان"، "يد الله ملأى لا تَغِيضها النفقة"، فيضع الجبار قدمه"، "فيظهر لهم في الصورة التي يعرفونها"، "خلق الله آدم على صورة الرحمن"،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 مع اعتقاد التنزيه فَسَلِموا، وهم أهل السنة" ا.هـ.وقال العلاء المرْداوي رحمه الله تعالى في "التحْبيْر شَرْح التحْريْر" (3/1395)</w:t>
      </w:r>
      <w:r>
        <w:rPr>
          <w:rFonts w:eastAsia="Times New Roman" w:hint="cs"/>
          <w:rtl/>
        </w:rPr>
        <w:t>:</w:t>
      </w:r>
      <w:r w:rsidR="009C32A0">
        <w:rPr>
          <w:rFonts w:eastAsia="Times New Roman" w:hint="cs"/>
          <w:rtl/>
        </w:rPr>
        <w:t>" والأصح</w:t>
      </w:r>
      <w:r>
        <w:rPr>
          <w:rFonts w:eastAsia="Times New Roman" w:hint="cs"/>
          <w:rtl/>
        </w:rPr>
        <w:t>:</w:t>
      </w:r>
      <w:r w:rsidR="009C32A0">
        <w:rPr>
          <w:rFonts w:eastAsia="Times New Roman" w:hint="cs"/>
          <w:rtl/>
        </w:rPr>
        <w:t xml:space="preserve"> أنّ المُحْكم</w:t>
      </w:r>
      <w:r>
        <w:rPr>
          <w:rFonts w:eastAsia="Times New Roman" w:hint="cs"/>
          <w:rtl/>
        </w:rPr>
        <w:t xml:space="preserve"> </w:t>
      </w:r>
      <w:r w:rsidR="009C32A0">
        <w:rPr>
          <w:rFonts w:eastAsia="Times New Roman" w:hint="cs"/>
          <w:rtl/>
        </w:rPr>
        <w:t>ما اتضح مَعْنَاهُ</w:t>
      </w:r>
      <w:r>
        <w:rPr>
          <w:rFonts w:eastAsia="Times New Roman" w:hint="cs"/>
          <w:rtl/>
        </w:rPr>
        <w:t>،</w:t>
      </w:r>
      <w:r w:rsidR="009C32A0">
        <w:rPr>
          <w:rFonts w:eastAsia="Times New Roman" w:hint="cs"/>
          <w:rtl/>
        </w:rPr>
        <w:t xml:space="preserve"> والمُتَشابَه عَكسُهُ، لاشتراكٍ أو إجمالٍ</w:t>
      </w:r>
      <w:r>
        <w:rPr>
          <w:rFonts w:eastAsia="Times New Roman" w:hint="cs"/>
          <w:rtl/>
        </w:rPr>
        <w:t>،</w:t>
      </w:r>
      <w:r w:rsidR="009C32A0">
        <w:rPr>
          <w:rFonts w:eastAsia="Times New Roman" w:hint="cs"/>
          <w:rtl/>
        </w:rPr>
        <w:t xml:space="preserve"> أو ظهورِ التشبيْه</w:t>
      </w:r>
      <w:r>
        <w:rPr>
          <w:rFonts w:eastAsia="Times New Roman" w:hint="cs"/>
          <w:rtl/>
        </w:rPr>
        <w:t>،</w:t>
      </w:r>
      <w:r w:rsidR="009C32A0">
        <w:rPr>
          <w:rFonts w:eastAsia="Times New Roman" w:hint="cs"/>
          <w:rtl/>
        </w:rPr>
        <w:t xml:space="preserve"> كصفات الله تعالى</w:t>
      </w:r>
      <w:r w:rsidR="009C32A0">
        <w:rPr>
          <w:rFonts w:eastAsia="Times New Roman"/>
        </w:rPr>
        <w:t>".</w:t>
      </w:r>
      <w:r w:rsidR="009C32A0">
        <w:rPr>
          <w:rFonts w:eastAsia="Times New Roman" w:hint="cs"/>
          <w:rtl/>
        </w:rPr>
        <w:t>وكذا في: "شرح الكوكب المنير"</w:t>
      </w:r>
      <w:r>
        <w:rPr>
          <w:rFonts w:eastAsia="Times New Roman" w:hint="cs"/>
          <w:rtl/>
        </w:rPr>
        <w:t>(</w:t>
      </w:r>
      <w:r w:rsidR="009C32A0">
        <w:rPr>
          <w:rFonts w:eastAsia="Times New Roman" w:hint="cs"/>
          <w:rtl/>
        </w:rPr>
        <w:t>/</w:t>
      </w:r>
      <w:r>
        <w:rPr>
          <w:rFonts w:eastAsia="Times New Roman" w:hint="cs"/>
          <w:rtl/>
        </w:rPr>
        <w:t>)</w:t>
      </w:r>
      <w:r w:rsidR="009C32A0">
        <w:rPr>
          <w:rFonts w:eastAsia="Times New Roman" w:hint="cs"/>
          <w:rtl/>
        </w:rPr>
        <w:t>.</w:t>
      </w:r>
      <w:r w:rsidR="009C32A0">
        <w:rPr>
          <w:rFonts w:eastAsia="Times New Roman" w:hint="cs"/>
          <w:bCs/>
          <w:rtl/>
        </w:rPr>
        <w:t xml:space="preserve"> و</w:t>
      </w:r>
      <w:r w:rsidR="009C32A0">
        <w:rPr>
          <w:rFonts w:eastAsia="Times New Roman" w:hint="cs"/>
          <w:rtl/>
        </w:rPr>
        <w:t>قال مرعي الكرمي رحمه الله تعالى في: "أقاويل الثقات"(ص/65ـ66): "هذا كلام أئمة الحنابلة ولا خصوصية لهم في ذلك</w:t>
      </w:r>
      <w:r>
        <w:rPr>
          <w:rFonts w:eastAsia="Times New Roman" w:hint="cs"/>
          <w:rtl/>
        </w:rPr>
        <w:t>،</w:t>
      </w:r>
      <w:r w:rsidR="009C32A0">
        <w:rPr>
          <w:rFonts w:eastAsia="Times New Roman" w:hint="cs"/>
          <w:rtl/>
        </w:rPr>
        <w:t xml:space="preserve"> بل هذا مذهب جميع السلف والمحققين من الخَلَف. قال الحافظ السيوطي في كتابه: "الإتقان": "من المتشابه آيات الصفات، ولابن اللَّبَّان فيها تصنيف مُفْرد، نحو: "الرحمن على العرش استوى"، "كل شيء هالك إلا وجهه"، "ويبقى وجه ربك"، "ولتصنع على عيني"، "يد الله فوق أيديهم"، "لما خلقت بيدي"، "والسموات مطويات بيمينه</w:t>
      </w:r>
      <w:r w:rsidR="009C32A0">
        <w:rPr>
          <w:rFonts w:eastAsia="Times New Roman"/>
        </w:rPr>
        <w:t>". </w:t>
      </w:r>
      <w:r w:rsidR="009C32A0">
        <w:rPr>
          <w:rFonts w:eastAsia="Times New Roman" w:hint="cs"/>
          <w:rtl/>
        </w:rPr>
        <w:t>وجمهور أهل السنة، منهم السلف وأهل الحديث: على الإيمان بها، وتفويض معناها المراد منها إلى الله تعالى، ولا نُفَسِّرها مع تنزيهنا له عن حقيقتها</w:t>
      </w:r>
      <w:r w:rsidR="009C32A0">
        <w:rPr>
          <w:rFonts w:eastAsia="Times New Roman"/>
        </w:rPr>
        <w:t xml:space="preserve">" </w:t>
      </w:r>
      <w:r w:rsidR="009C32A0">
        <w:rPr>
          <w:rFonts w:eastAsia="Times New Roman" w:hint="cs"/>
          <w:rtl/>
        </w:rPr>
        <w:t>اهـ المراد</w:t>
      </w:r>
      <w:r>
        <w:rPr>
          <w:rFonts w:eastAsia="Times New Roman" w:hint="cs"/>
          <w:rtl/>
        </w:rPr>
        <w:t>،</w:t>
      </w:r>
      <w:r w:rsidR="009C32A0">
        <w:rPr>
          <w:rFonts w:eastAsia="Times New Roman" w:hint="cs"/>
          <w:rtl/>
        </w:rPr>
        <w:t xml:space="preserve"> وعليه حكموا بشيئين</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أولهما</w:t>
      </w:r>
      <w:r>
        <w:rPr>
          <w:rFonts w:eastAsia="Times New Roman" w:hint="cs"/>
          <w:rtl/>
        </w:rPr>
        <w:t>):</w:t>
      </w:r>
      <w:r w:rsidR="009C32A0">
        <w:rPr>
          <w:rFonts w:eastAsia="Times New Roman" w:hint="cs"/>
          <w:rtl/>
        </w:rPr>
        <w:t xml:space="preserve"> عدم جواز الخوض في المتشابه كأخبار الصفات بتأويل ؛لأنه قول بالظن، يقول مرعي الكرمي رحمه الله تعالى في</w:t>
      </w:r>
      <w:r>
        <w:rPr>
          <w:rFonts w:eastAsia="Times New Roman" w:hint="cs"/>
          <w:rtl/>
        </w:rPr>
        <w:t>:</w:t>
      </w:r>
      <w:r w:rsidR="009C32A0">
        <w:rPr>
          <w:rFonts w:eastAsia="Times New Roman" w:hint="cs"/>
          <w:rtl/>
        </w:rPr>
        <w:t xml:space="preserve"> "أقاويل الثقات"(ص/55) " مذهب السلف وإليه ذهب الحنابلة وكثير من المحققين عدم الخوض خصوصا في مسائل الأسماء والصفات فإنه ظن والظن يخطئ ويصيب فيكون من باب القول على الله بلا علم وهو محظور ويمتنعون من التعيين خشية الإلحاد في الأسماء والصفات ولهذا قالوا والسؤال عنه بدعة فإنه لم يعهد من الصحابة التصرف في أسمائه تعالى وصفاته بالظنون وحيث عملوا بالظنون فإنما عملوا بها في تفاصيل الأحكام الشرعية لا في المعتقدات الإيمانية</w:t>
      </w:r>
      <w:r w:rsidR="009C32A0">
        <w:rPr>
          <w:rFonts w:eastAsia="Times New Roman"/>
        </w:rPr>
        <w:t> </w:t>
      </w:r>
      <w:r w:rsidR="009C32A0">
        <w:rPr>
          <w:rFonts w:eastAsia="Times New Roman" w:hint="cs"/>
          <w:rtl/>
        </w:rPr>
        <w:t>وروى الشيخان وغيرهما عن عائشة رضي الله عنها قالت تلا رسول الله صلى الله عليه و سلم هذه الآية هو الذي أنزل عليك الكتاب إلى قوله أولوا الألباب آل عمران</w:t>
      </w:r>
      <w:r>
        <w:rPr>
          <w:rFonts w:eastAsia="Times New Roman" w:hint="cs"/>
          <w:rtl/>
        </w:rPr>
        <w:t>(</w:t>
      </w:r>
      <w:r w:rsidR="009C32A0">
        <w:rPr>
          <w:rFonts w:eastAsia="Times New Roman" w:hint="cs"/>
          <w:rtl/>
        </w:rPr>
        <w:t>7) قالت فقال رسول الله صلى الله عليه و سلم فإذا رأيت الذين يتبعون ما تشابه منه فأولئك الذين سمى الله فاحذرهم</w:t>
      </w:r>
      <w:r w:rsidR="009C32A0">
        <w:rPr>
          <w:rFonts w:eastAsia="Times New Roman"/>
        </w:rPr>
        <w:t> </w:t>
      </w:r>
      <w:r w:rsidR="009C32A0">
        <w:rPr>
          <w:rFonts w:eastAsia="Times New Roman" w:hint="cs"/>
          <w:rtl/>
        </w:rPr>
        <w:t xml:space="preserve">وروى الطبراني في الكبير عن أبي مالك الأشعري أنه سمع رسول الله صلى الله عليه و سلم يقول لا أخاف على أمتي إلا ثلاث خلال أن يكثر لهم المال فيتحاسدوا فيقتتلوا وأن يفتح لهم الكتاب </w:t>
      </w:r>
      <w:r w:rsidR="009C32A0">
        <w:rPr>
          <w:rFonts w:eastAsia="Times New Roman" w:hint="cs"/>
          <w:rtl/>
        </w:rPr>
        <w:lastRenderedPageBreak/>
        <w:t>فيأخذه المؤمن يبتغي تأويله وما يعلم تأويله إلا الله الحديث</w:t>
      </w:r>
      <w:r>
        <w:rPr>
          <w:rFonts w:eastAsia="Times New Roman" w:hint="cs"/>
          <w:rtl/>
        </w:rPr>
        <w:t>،</w:t>
      </w:r>
      <w:r w:rsidR="009C32A0">
        <w:rPr>
          <w:rFonts w:eastAsia="Times New Roman" w:hint="cs"/>
          <w:rtl/>
        </w:rPr>
        <w:t xml:space="preserve"> وفي حديث ابن مردويه أن القرآن لم ينزل ليكذب بعضه بعضا فما عرفتم فاعملوا يه وما تشابه فآمنوا به..."اهـ</w:t>
      </w:r>
      <w:r>
        <w:rPr>
          <w:rFonts w:eastAsia="Times New Roman" w:hint="cs"/>
          <w:rtl/>
        </w:rPr>
        <w:t>،</w:t>
      </w:r>
      <w:r w:rsidR="009C32A0">
        <w:rPr>
          <w:rFonts w:eastAsia="Times New Roman" w:hint="cs"/>
          <w:rtl/>
          <w:lang w:bidi="ar-KW"/>
        </w:rPr>
        <w:t xml:space="preserve"> و </w:t>
      </w:r>
      <w:r>
        <w:rPr>
          <w:rFonts w:eastAsia="Times New Roman" w:hint="cs"/>
          <w:rtl/>
          <w:lang w:bidi="ar-KW"/>
        </w:rPr>
        <w:t>(</w:t>
      </w:r>
      <w:r w:rsidR="009C32A0">
        <w:rPr>
          <w:rFonts w:eastAsia="Times New Roman" w:hint="cs"/>
          <w:rtl/>
        </w:rPr>
        <w:t>الثاني</w:t>
      </w:r>
      <w:r>
        <w:rPr>
          <w:rFonts w:eastAsia="Times New Roman" w:hint="cs"/>
          <w:rtl/>
        </w:rPr>
        <w:t>):</w:t>
      </w:r>
      <w:r w:rsidR="009C32A0">
        <w:rPr>
          <w:rFonts w:eastAsia="Times New Roman" w:hint="cs"/>
          <w:rtl/>
        </w:rPr>
        <w:t xml:space="preserve"> تفويض معنى المتشابه إلى الله كأخبار الصفات، قرره ابن حمدان رحمه الله تعالى في: "نهاية المبتدئين"(ص/30)</w:t>
      </w:r>
      <w:r>
        <w:rPr>
          <w:rFonts w:eastAsia="Times New Roman" w:hint="cs"/>
          <w:rtl/>
        </w:rPr>
        <w:t>،</w:t>
      </w:r>
      <w:r w:rsidR="009C32A0">
        <w:rPr>
          <w:rFonts w:eastAsia="Times New Roman" w:hint="cs"/>
          <w:rtl/>
        </w:rPr>
        <w:t xml:space="preserve"> وقال الحافظ ابن رجب رحمه الله تعالى في</w:t>
      </w:r>
      <w:r>
        <w:rPr>
          <w:rFonts w:eastAsia="Times New Roman" w:hint="cs"/>
          <w:rtl/>
        </w:rPr>
        <w:t>:</w:t>
      </w:r>
      <w:r w:rsidR="009C32A0">
        <w:rPr>
          <w:rFonts w:eastAsia="Times New Roman" w:hint="cs"/>
          <w:rtl/>
        </w:rPr>
        <w:t xml:space="preserve"> " فضل علم السلف على الخلف " </w:t>
      </w:r>
      <w:r>
        <w:rPr>
          <w:rFonts w:eastAsia="Times New Roman" w:hint="cs"/>
          <w:rtl/>
        </w:rPr>
        <w:t>(</w:t>
      </w:r>
      <w:r w:rsidR="009C32A0">
        <w:rPr>
          <w:rFonts w:eastAsia="Times New Roman" w:hint="cs"/>
          <w:rtl/>
        </w:rPr>
        <w:t>ص / 4</w:t>
      </w:r>
      <w:r>
        <w:rPr>
          <w:rFonts w:eastAsia="Times New Roman" w:hint="cs"/>
          <w:rtl/>
        </w:rPr>
        <w:t>):</w:t>
      </w:r>
      <w:r w:rsidR="009C32A0">
        <w:rPr>
          <w:rFonts w:eastAsia="Times New Roman" w:hint="cs"/>
          <w:rtl/>
        </w:rPr>
        <w:t xml:space="preserve"> " والصواب ما عليه السلف الصالح من إمرار آيات الصفات وأحاديثها كما جاءت من غير تفسير لها ولا تكييف ولا تمثيل: ولا يصح من أحد منهم خلاف ذلك البتة خصوصاً الإمام أحمد ولا خوض في معانيها " أهـ المراد</w:t>
      </w:r>
      <w:r>
        <w:rPr>
          <w:rFonts w:eastAsia="Times New Roman" w:hint="cs"/>
          <w:rtl/>
        </w:rPr>
        <w:t>،</w:t>
      </w:r>
      <w:r w:rsidR="009C32A0">
        <w:rPr>
          <w:rFonts w:eastAsia="Times New Roman" w:hint="cs"/>
          <w:rtl/>
        </w:rPr>
        <w:t xml:space="preserve"> وشرحه السفاريني رحمه الله تعالى في</w:t>
      </w:r>
      <w:r>
        <w:rPr>
          <w:rFonts w:eastAsia="Times New Roman" w:hint="cs"/>
          <w:rtl/>
        </w:rPr>
        <w:t>:</w:t>
      </w:r>
      <w:r w:rsidR="009C32A0">
        <w:rPr>
          <w:rFonts w:eastAsia="Times New Roman" w:hint="cs"/>
          <w:rtl/>
        </w:rPr>
        <w:t xml:space="preserve"> " لوامع الأنوار " (1/97) بقوله: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عند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فمذهب السلف: أنهم يصفون الله بما وصف به نفسه، وبما وصفه به رسوله صلى الله عليه وسلم من غير تحريف ولا تكييف، وهو سبحانه: "ليس كمثله شيء" لا في ذاته ولا في صفاته ولا في أفعاله. وكل ما أوجب نقصاً أو حدوثاً فالله تعالى منزه عنه حقيقة، فإنه تعالى مستحق الكمال الذي لا غاية فوقه. ومذهب السلف عدم الخوض في مثل هذا، والسكوت عنه، وتفويض علمه إلى الله تعالى" أهـ المراد</w:t>
      </w:r>
      <w:r>
        <w:rPr>
          <w:rFonts w:eastAsia="Times New Roman" w:hint="cs"/>
          <w:rtl/>
        </w:rPr>
        <w:t xml:space="preserve">، </w:t>
      </w:r>
      <w:r w:rsidR="009C32A0">
        <w:rPr>
          <w:rFonts w:eastAsia="Times New Roman" w:hint="cs"/>
          <w:rtl/>
        </w:rPr>
        <w:t>ثم قال رحمه الله عن الحنابلة (1/107)</w:t>
      </w:r>
      <w:r>
        <w:rPr>
          <w:rFonts w:eastAsia="Times New Roman" w:hint="cs"/>
          <w:rtl/>
        </w:rPr>
        <w:t>:</w:t>
      </w:r>
      <w:r w:rsidR="009C32A0">
        <w:rPr>
          <w:rFonts w:eastAsia="Times New Roman" w:hint="cs"/>
          <w:rtl/>
        </w:rPr>
        <w:t xml:space="preserve"> " اعلم أن مذهب الحنابلة هو مذهب السلف، فيصفون الله بما وصف به نفسه، وبما وصفه به رسوله، من غير تحريف ولا تعطيل، ومن غير تكييف ولا تمثيل. فالله تعالى ذات لا تشبه الذوات، متصفة بصفات الكمال التي لا تشبه الصفات من المحدثات. فإذا ورد القرآن العظيم، وصحيح سنة النبي الكريم، عليه أفضل الصلاة وأتم التسليم بوصف للباري جلَّ شأنه تلقيناه بالقبول والتسليم، ووجب إثباته له على الوجه الذي ورد، ونكل معناه للعزيز الحكيم، ولا نَعْدِل به عن حقيقة وصفه، ولا نُلْحِد في كلامه ولا في أسمائه ولا في صفاته، ولا نزيد على ما ورد، ولا نَلْتفت لمن طعن في ذلك ورد</w:t>
      </w:r>
      <w:r>
        <w:rPr>
          <w:rFonts w:eastAsia="Times New Roman" w:hint="cs"/>
          <w:rtl/>
        </w:rPr>
        <w:t>،</w:t>
      </w:r>
      <w:r w:rsidR="009C32A0">
        <w:rPr>
          <w:rFonts w:eastAsia="Times New Roman" w:hint="cs"/>
          <w:rtl/>
        </w:rPr>
        <w:t xml:space="preserve"> فهذا اعتقاد سائر الحنابلة كجميع السلف، فمن عدل عن هذا المنهج القويم زاغ عن الصراط المستقيم وانحرف. فدع عنك فلاناً عن فلان، وعليك بسنة سيد عدنان، فهي العروة الوثقى التي لا انفصام لها، والجنة الواقية التي لا انحلال لها. والله تعالى الموفق" اهـ</w:t>
      </w:r>
      <w:r>
        <w:rPr>
          <w:rFonts w:eastAsia="Times New Roman" w:hint="cs"/>
          <w:rtl/>
        </w:rPr>
        <w:t>،</w:t>
      </w:r>
      <w:r w:rsidR="009C32A0">
        <w:rPr>
          <w:rFonts w:eastAsia="Times New Roman" w:hint="cs"/>
          <w:rtl/>
        </w:rPr>
        <w:t xml:space="preserve"> ومع ذلك فهناك نوع من التفويض باطل، وله صورتان مشهورتان</w:t>
      </w:r>
      <w:r w:rsidR="009C32A0">
        <w:rPr>
          <w:rFonts w:eastAsia="Times New Roman"/>
        </w:rPr>
        <w:t>:</w:t>
      </w:r>
      <w:r w:rsidR="009C32A0">
        <w:rPr>
          <w:rFonts w:eastAsia="Times New Roman" w:hint="cs"/>
          <w:rtl/>
        </w:rPr>
        <w:t xml:space="preserve"> </w:t>
      </w:r>
      <w:r>
        <w:rPr>
          <w:rFonts w:eastAsia="Times New Roman" w:hint="cs"/>
          <w:rtl/>
        </w:rPr>
        <w:t>(</w:t>
      </w:r>
      <w:r w:rsidR="009C32A0">
        <w:rPr>
          <w:rFonts w:eastAsia="Times New Roman" w:hint="cs"/>
          <w:rtl/>
        </w:rPr>
        <w:t>أولاهما</w:t>
      </w:r>
      <w:r>
        <w:rPr>
          <w:rFonts w:eastAsia="Times New Roman" w:hint="cs"/>
          <w:rtl/>
        </w:rPr>
        <w:t>):</w:t>
      </w:r>
      <w:r w:rsidR="009C32A0">
        <w:rPr>
          <w:rFonts w:eastAsia="Times New Roman" w:hint="cs"/>
          <w:rtl/>
        </w:rPr>
        <w:t xml:space="preserve"> القول بأن آيات وأحاديث الصفات </w:t>
      </w:r>
      <w:r w:rsidR="009C32A0">
        <w:rPr>
          <w:rFonts w:eastAsia="Times New Roman" w:hint="cs"/>
          <w:rtl/>
        </w:rPr>
        <w:lastRenderedPageBreak/>
        <w:t>لا معنى لها، ولا مفهوم منها. والحنابلةُ يُقرُّون بأن للآيات والأحاديث معاني، ولكنهم يَكِلون معنى الصفة منها إلى الله، مع قطعهم أن لها معنى لائقا به سبحانه. فقوله عز وجل: "بل يداه مبسوطتان" قال عنها ابن الجوزي رحمه الله في</w:t>
      </w:r>
      <w:r>
        <w:rPr>
          <w:rFonts w:eastAsia="Times New Roman" w:hint="cs"/>
          <w:rtl/>
        </w:rPr>
        <w:t>:</w:t>
      </w:r>
      <w:r w:rsidR="009C32A0">
        <w:rPr>
          <w:rFonts w:eastAsia="Times New Roman" w:hint="cs"/>
          <w:rtl/>
        </w:rPr>
        <w:t xml:space="preserve"> " زاد المسير " (2/234)</w:t>
      </w:r>
      <w:r>
        <w:rPr>
          <w:rFonts w:eastAsia="Times New Roman" w:hint="cs"/>
          <w:rtl/>
        </w:rPr>
        <w:t>:</w:t>
      </w:r>
      <w:r w:rsidR="009C32A0">
        <w:rPr>
          <w:rFonts w:eastAsia="Times New Roman" w:hint="cs"/>
          <w:rtl/>
        </w:rPr>
        <w:t xml:space="preserve"> " والمراد بقوله: "بل يداه مبسوطتان" أنه جواد ينفق كيف يشاء، وإلى نحو هذا ذهب ابن الأنباري. قال ابن عباس: إن شاء وسَّع في الرزق، وإن شاء قَتَّر " اهـ</w:t>
      </w:r>
      <w:r>
        <w:rPr>
          <w:rFonts w:eastAsia="Times New Roman" w:hint="cs"/>
          <w:rtl/>
        </w:rPr>
        <w:t>،</w:t>
      </w:r>
      <w:r w:rsidR="009C32A0">
        <w:rPr>
          <w:rFonts w:eastAsia="Times New Roman" w:hint="cs"/>
          <w:rtl/>
          <w:lang w:bidi="ar-KW"/>
        </w:rPr>
        <w:t xml:space="preserve"> </w:t>
      </w:r>
      <w:r w:rsidR="009C32A0">
        <w:rPr>
          <w:rFonts w:eastAsia="Times New Roman" w:hint="cs"/>
          <w:rtl/>
        </w:rPr>
        <w:t>وقطع السادة الحنابلة بأنه ليس في كتاب الله ما لا معنى له، وفي ذلك يقول العلاء المرداوي رحمه الله في: "شرح التحرير" (3/1399)</w:t>
      </w:r>
      <w:r>
        <w:rPr>
          <w:rFonts w:eastAsia="Times New Roman" w:hint="cs"/>
          <w:rtl/>
        </w:rPr>
        <w:t>:</w:t>
      </w:r>
      <w:r w:rsidR="009C32A0">
        <w:rPr>
          <w:rFonts w:eastAsia="Times New Roman" w:hint="cs"/>
          <w:rtl/>
        </w:rPr>
        <w:t xml:space="preserve"> " (وليس فيه ـ أي: الكتاب... ما لا معنى له) وهذا مما يقطع به كل عاقل، ممن شم رائحة العلم، ولا يخالف في ذلك إلا جاهل أو معاند؛ لأن ما لا معنى له هذيان، ولا يليق النطق به من عاقل، فكيف بالباري سبحانه وتعالى" ا.هـ. وقال ابن النجار رحمه الله في: "شرح الكوكب المنير" (2/144)</w:t>
      </w:r>
      <w:r>
        <w:rPr>
          <w:rFonts w:eastAsia="Times New Roman" w:hint="cs"/>
          <w:rtl/>
        </w:rPr>
        <w:t>:</w:t>
      </w:r>
      <w:r w:rsidR="009C32A0">
        <w:rPr>
          <w:rFonts w:eastAsia="Times New Roman" w:hint="cs"/>
          <w:rtl/>
        </w:rPr>
        <w:t xml:space="preserve"> "لأنه لا يخالف فيه إلا جاهل أو معاند؛ لأن ما لا معنى له هذيان لا يليق أن يتكلم به عاقل، فكيف بالباري سبحانه وتعالى" اهـ</w:t>
      </w:r>
      <w:r>
        <w:rPr>
          <w:rFonts w:eastAsia="Times New Roman" w:hint="cs"/>
          <w:rtl/>
        </w:rPr>
        <w:t>،</w:t>
      </w:r>
      <w:r w:rsidR="009C32A0">
        <w:rPr>
          <w:rFonts w:eastAsia="Times New Roman" w:hint="cs"/>
          <w:rtl/>
        </w:rPr>
        <w:t xml:space="preserve"> و </w:t>
      </w:r>
      <w:r>
        <w:rPr>
          <w:rFonts w:eastAsia="Times New Roman" w:hint="cs"/>
          <w:rtl/>
        </w:rPr>
        <w:t>(</w:t>
      </w:r>
      <w:r w:rsidR="009C32A0">
        <w:rPr>
          <w:rFonts w:eastAsia="Times New Roman" w:hint="cs"/>
          <w:rtl/>
        </w:rPr>
        <w:t>الثانية</w:t>
      </w:r>
      <w:r>
        <w:rPr>
          <w:rFonts w:eastAsia="Times New Roman" w:hint="cs"/>
          <w:rtl/>
        </w:rPr>
        <w:t>):</w:t>
      </w:r>
      <w:r w:rsidR="009C32A0">
        <w:rPr>
          <w:rFonts w:eastAsia="Times New Roman" w:hint="cs"/>
          <w:rtl/>
        </w:rPr>
        <w:t xml:space="preserve"> القول بأن التفويض يَشْمل جميع أسماء الله وصفاته! والحنابلة يُقرُّون بأن معاني الأسماء والصفات معروفة لنا، سوى ما أوهم التشبيه والتمثيل كـ (الوجه)، و(اليد)، و(الأصبع)، و(الرجل)، و(القدم)، و(الساق)، و(النزول)، و(العين)، و(المجيء)، و(الإتيان)</w:t>
      </w:r>
      <w:r>
        <w:rPr>
          <w:rFonts w:eastAsia="Times New Roman" w:hint="cs"/>
          <w:rtl/>
        </w:rPr>
        <w:t>،</w:t>
      </w:r>
      <w:r w:rsidR="009C32A0">
        <w:rPr>
          <w:rFonts w:eastAsia="Times New Roman" w:hint="cs"/>
          <w:rtl/>
        </w:rPr>
        <w:t xml:space="preserve"> وفي ذلك يقول العلامة السفاريني رحمه الله في: "لوامع الأنوار" (1/97):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 أهل الفن العارفين بالجرح والتعديل، من الأحاديث الصحيحة، والآثار الصريحة: مما يوهم تشبيهاً أو تمثيلاً فهو من المتشابه الذي لا يعلمه إلا الله. نؤمن به، وبأنه من عند الله تعالى، ونُمِرُّه كما قد جاء عن الله أو عن رسول الله صلى الله عليه وسلم" اهـ المراد هذا وبالله التوفيق</w:t>
      </w:r>
      <w:r>
        <w:rPr>
          <w:rFonts w:eastAsia="Times New Roman" w:hint="cs"/>
          <w:rtl/>
        </w:rPr>
        <w:t>)</w:t>
      </w:r>
      <w:r w:rsidR="009C32A0">
        <w:rPr>
          <w:rFonts w:eastAsia="Times New Roman" w:hint="cs"/>
          <w:rtl/>
        </w:rPr>
        <w:t xml:space="preserve"> انتهى من كلام خادم الشريعة الشيخ صالح بن محمد الأسمري</w:t>
      </w:r>
    </w:p>
    <w:p w14:paraId="68F958B6" w14:textId="59A50E09" w:rsidR="009C32A0" w:rsidRDefault="000636C2" w:rsidP="000636C2">
      <w:pPr>
        <w:spacing w:before="100" w:beforeAutospacing="1" w:after="100" w:afterAutospacing="1"/>
        <w:ind w:left="-58"/>
        <w:rPr>
          <w:rFonts w:eastAsia="Times New Roman"/>
          <w:b/>
          <w:rtl/>
        </w:rPr>
      </w:pPr>
      <w:r>
        <w:rPr>
          <w:rFonts w:cs="Monotype Koufi" w:hint="cs"/>
          <w:rtl/>
        </w:rPr>
        <w:t>[</w:t>
      </w:r>
      <w:r w:rsidR="009C32A0">
        <w:rPr>
          <w:rFonts w:cs="Monotype Koufi" w:hint="cs"/>
          <w:rtl/>
        </w:rPr>
        <w:t>2</w:t>
      </w:r>
      <w:r>
        <w:rPr>
          <w:rFonts w:cs="Monotype Koufi" w:hint="cs"/>
          <w:rtl/>
        </w:rPr>
        <w:t>]:</w:t>
      </w:r>
      <w:r w:rsidR="009C32A0">
        <w:rPr>
          <w:rFonts w:cs="Monotype Koufi" w:hint="cs"/>
          <w:rtl/>
        </w:rPr>
        <w:t xml:space="preserve"> القاعدة السلفية في الصفات السمعية</w:t>
      </w:r>
      <w:r>
        <w:rPr>
          <w:rFonts w:cs="Monotype Koufi" w:hint="cs"/>
          <w:rtl/>
        </w:rPr>
        <w:t>:</w:t>
      </w:r>
      <w:r w:rsidR="009C32A0">
        <w:rPr>
          <w:rFonts w:hint="cs"/>
          <w:rtl/>
        </w:rPr>
        <w:t xml:space="preserve"> قال الشيخ </w:t>
      </w:r>
      <w:r w:rsidR="009C32A0">
        <w:rPr>
          <w:rFonts w:eastAsia="Times New Roman" w:hint="cs"/>
          <w:rtl/>
        </w:rPr>
        <w:t>صالح بن محمد الأسمري</w:t>
      </w:r>
      <w:r>
        <w:rPr>
          <w:rFonts w:eastAsia="Times New Roman" w:hint="cs"/>
          <w:rtl/>
        </w:rPr>
        <w:t>:</w:t>
      </w:r>
      <w:r w:rsidR="009C32A0">
        <w:rPr>
          <w:rFonts w:eastAsia="Times New Roman" w:hint="cs"/>
          <w:rtl/>
        </w:rPr>
        <w:t xml:space="preserve"> </w:t>
      </w:r>
      <w:r>
        <w:rPr>
          <w:rFonts w:eastAsia="Times New Roman" w:hint="cs"/>
          <w:rtl/>
        </w:rPr>
        <w:t>(</w:t>
      </w:r>
      <w:r w:rsidR="009C32A0">
        <w:rPr>
          <w:rFonts w:hint="cs"/>
          <w:bCs/>
          <w:rtl/>
        </w:rPr>
        <w:t>القاعدة السلفية في الصفات السمعية</w:t>
      </w:r>
      <w:r>
        <w:rPr>
          <w:rFonts w:hint="cs"/>
          <w:rtl/>
        </w:rPr>
        <w:t>:</w:t>
      </w:r>
      <w:r>
        <w:rPr>
          <w:rFonts w:eastAsia="Times New Roman" w:hint="cs"/>
          <w:rtl/>
        </w:rPr>
        <w:t xml:space="preserve"> </w:t>
      </w:r>
      <w:r w:rsidR="009C32A0">
        <w:rPr>
          <w:rFonts w:eastAsia="Times New Roman" w:hint="cs"/>
          <w:rtl/>
        </w:rPr>
        <w:t>اعلم - رحمني الله وإياك - أن للسلف الصالح فيما يسمى بصفات الله السمعية (قاعدة) تقوم على ركائز ثلاث</w:t>
      </w:r>
      <w:r>
        <w:rPr>
          <w:rFonts w:eastAsia="Times New Roman" w:hint="cs"/>
          <w:rtl/>
        </w:rPr>
        <w:t>:</w:t>
      </w:r>
      <w:r w:rsidR="009C32A0">
        <w:rPr>
          <w:rFonts w:eastAsia="Times New Roman" w:hint="cs"/>
          <w:rtl/>
        </w:rPr>
        <w:t xml:space="preserve"> الركيزة الأولى: الإيمان بما ورد من صفات سمعية كما ورد</w:t>
      </w:r>
      <w:r>
        <w:rPr>
          <w:rFonts w:eastAsia="Times New Roman" w:hint="cs"/>
          <w:rtl/>
        </w:rPr>
        <w:t>،</w:t>
      </w:r>
      <w:r w:rsidR="009C32A0">
        <w:rPr>
          <w:rFonts w:eastAsia="Times New Roman" w:hint="cs"/>
          <w:rtl/>
        </w:rPr>
        <w:t xml:space="preserve"> الركيزة الثانية: تنـزيه الله سبحانه عن معاني المِثْليَّة والتَّشْبِيه</w:t>
      </w:r>
      <w:r>
        <w:rPr>
          <w:rFonts w:eastAsia="Times New Roman" w:hint="cs"/>
          <w:rtl/>
        </w:rPr>
        <w:t>،</w:t>
      </w:r>
      <w:r w:rsidR="009C32A0">
        <w:rPr>
          <w:rFonts w:eastAsia="Times New Roman" w:hint="cs"/>
          <w:rtl/>
        </w:rPr>
        <w:t xml:space="preserve"> الركيزة الثالثة: التفويض مع عدم التفسير</w:t>
      </w:r>
      <w:r>
        <w:rPr>
          <w:rFonts w:eastAsia="Times New Roman" w:hint="cs"/>
          <w:rtl/>
        </w:rPr>
        <w:t xml:space="preserve">، </w:t>
      </w:r>
      <w:r w:rsidR="009C32A0">
        <w:rPr>
          <w:rFonts w:eastAsia="Times New Roman" w:hint="cs"/>
          <w:bCs/>
          <w:rtl/>
        </w:rPr>
        <w:t>أما الأولى</w:t>
      </w:r>
      <w:r>
        <w:rPr>
          <w:rFonts w:eastAsia="Times New Roman" w:hint="cs"/>
          <w:bCs/>
          <w:rtl/>
        </w:rPr>
        <w:t>:</w:t>
      </w:r>
      <w:r w:rsidR="009C32A0">
        <w:rPr>
          <w:rFonts w:eastAsia="Times New Roman" w:hint="cs"/>
          <w:bCs/>
          <w:rtl/>
        </w:rPr>
        <w:t xml:space="preserve"> فالإيمان بصفات الله التي وصف بها نفسه في آيات تَنْزيله أو على لسان رسوله من غير زيادة عليها ولا نقص منها ولا تجاوز لها</w:t>
      </w:r>
      <w:r w:rsidR="009C32A0">
        <w:rPr>
          <w:rFonts w:eastAsia="Times New Roman" w:hint="cs"/>
          <w:rtl/>
        </w:rPr>
        <w:t xml:space="preserve"> كقوله سبحانه</w:t>
      </w:r>
      <w:r>
        <w:rPr>
          <w:rFonts w:eastAsia="Times New Roman" w:hint="cs"/>
          <w:rtl/>
        </w:rPr>
        <w:t>:</w:t>
      </w:r>
      <w:r w:rsidR="009C32A0">
        <w:rPr>
          <w:rFonts w:eastAsia="Times New Roman" w:hint="cs"/>
          <w:rtl/>
        </w:rPr>
        <w:t xml:space="preserve"> (ويبقى وجه ربك ذو الجلال والإكرام) </w:t>
      </w:r>
      <w:r w:rsidR="009C32A0">
        <w:rPr>
          <w:rFonts w:eastAsia="Times New Roman" w:hint="cs"/>
          <w:rtl/>
        </w:rPr>
        <w:lastRenderedPageBreak/>
        <w:t>وقوله</w:t>
      </w:r>
      <w:r>
        <w:rPr>
          <w:rFonts w:eastAsia="Times New Roman" w:hint="cs"/>
          <w:rtl/>
        </w:rPr>
        <w:t>:</w:t>
      </w:r>
      <w:r w:rsidR="009C32A0">
        <w:rPr>
          <w:rFonts w:eastAsia="Times New Roman" w:hint="cs"/>
          <w:rtl/>
        </w:rPr>
        <w:t xml:space="preserve"> (بل يداه مبسوطتان) وقوله</w:t>
      </w:r>
      <w:r>
        <w:rPr>
          <w:rFonts w:eastAsia="Times New Roman" w:hint="cs"/>
          <w:rtl/>
        </w:rPr>
        <w:t>:</w:t>
      </w:r>
      <w:r w:rsidR="009C32A0">
        <w:rPr>
          <w:rFonts w:eastAsia="Times New Roman" w:hint="cs"/>
          <w:rtl/>
        </w:rPr>
        <w:t xml:space="preserve"> (ولتصنع على عيني) وحديث النـزول</w:t>
      </w:r>
      <w:r>
        <w:rPr>
          <w:rFonts w:eastAsia="Times New Roman" w:hint="cs"/>
          <w:rtl/>
        </w:rPr>
        <w:t xml:space="preserve">، </w:t>
      </w:r>
      <w:r w:rsidR="009C32A0">
        <w:rPr>
          <w:rFonts w:eastAsia="Times New Roman" w:hint="cs"/>
          <w:rtl/>
        </w:rPr>
        <w:t>قرَّره عن أهل الحديث والسلف الأئمةُ</w:t>
      </w:r>
      <w:r>
        <w:rPr>
          <w:rFonts w:eastAsia="Times New Roman" w:hint="cs"/>
          <w:rtl/>
        </w:rPr>
        <w:t>،</w:t>
      </w:r>
      <w:r w:rsidR="009C32A0">
        <w:rPr>
          <w:rFonts w:eastAsia="Times New Roman" w:hint="cs"/>
          <w:rtl/>
        </w:rPr>
        <w:t xml:space="preserve"> ومنهم الإمام الترمذي رحمه الله تعالى حيث قال في</w:t>
      </w:r>
      <w:r>
        <w:rPr>
          <w:rFonts w:eastAsia="Times New Roman" w:hint="cs"/>
          <w:rtl/>
        </w:rPr>
        <w:t>:</w:t>
      </w:r>
      <w:r w:rsidR="009C32A0">
        <w:rPr>
          <w:rFonts w:eastAsia="Times New Roman" w:hint="cs"/>
          <w:rtl/>
        </w:rPr>
        <w:t xml:space="preserve"> "الجامع" (4/692): "والمذهب في هذا عند أهل العلم من الأئمة مثل سفيان الثوري ومالك بن أنس وابن المبارك وابن عيينة ووكيع وغيرهم... أنهم رووا هذه الأشياء ثم قالوا</w:t>
      </w:r>
      <w:r>
        <w:rPr>
          <w:rFonts w:eastAsia="Times New Roman" w:hint="cs"/>
          <w:rtl/>
        </w:rPr>
        <w:t>:</w:t>
      </w:r>
      <w:r w:rsidR="009C32A0">
        <w:rPr>
          <w:rFonts w:eastAsia="Times New Roman" w:hint="cs"/>
          <w:rtl/>
        </w:rPr>
        <w:t xml:space="preserve"> نروي هذه الأحاديث ونؤمن بها، ولا يقال كيف . وهذا الذي اختاره أهل الحديث: أن تُروى هذه الأشياء كما جاءت ويؤمن بها" أ.هـ المراد . وقال الإمام محمد بن الحسن الشيباني رحمه الله تعالى</w:t>
      </w:r>
      <w:r>
        <w:rPr>
          <w:rFonts w:eastAsia="Times New Roman" w:hint="cs"/>
          <w:rtl/>
        </w:rPr>
        <w:t>:</w:t>
      </w:r>
      <w:r w:rsidR="009C32A0">
        <w:rPr>
          <w:rFonts w:eastAsia="Times New Roman" w:hint="cs"/>
          <w:rtl/>
        </w:rPr>
        <w:t xml:space="preserve"> كما في "شرح أصول اعتقاد أهل السنة " (3/432)</w:t>
      </w:r>
      <w:r>
        <w:rPr>
          <w:rFonts w:eastAsia="Times New Roman" w:hint="cs"/>
          <w:rtl/>
        </w:rPr>
        <w:t>:</w:t>
      </w:r>
      <w:r w:rsidR="009C32A0">
        <w:rPr>
          <w:rFonts w:eastAsia="Times New Roman" w:hint="cs"/>
          <w:rtl/>
        </w:rPr>
        <w:t xml:space="preserve"> "اتفق الفقهاء كلهم من المشرق إلى المغرب على الإيمان بالقرآن والأحاديث التي جاءت به ثقات عن رسول الله صلى الله عليه وسلم في صفة الرب من غير تغيير ولا وصف</w:t>
      </w:r>
      <w:r>
        <w:rPr>
          <w:rFonts w:eastAsia="Times New Roman" w:hint="cs"/>
          <w:rtl/>
        </w:rPr>
        <w:t>،</w:t>
      </w:r>
      <w:r w:rsidR="009C32A0">
        <w:rPr>
          <w:rFonts w:eastAsia="Times New Roman" w:hint="cs"/>
          <w:rtl/>
        </w:rPr>
        <w:t xml:space="preserve"> ولا تشبيه. فمن فَسَّر اليوم شيئاً من ذلك فقد خرج مما كان عليه النبي صلى الله عليه وسلم، وفارق الجماعة</w:t>
      </w:r>
      <w:r>
        <w:rPr>
          <w:rFonts w:eastAsia="Times New Roman" w:hint="cs"/>
          <w:rtl/>
        </w:rPr>
        <w:t>،</w:t>
      </w:r>
      <w:r w:rsidR="009C32A0">
        <w:rPr>
          <w:rFonts w:eastAsia="Times New Roman" w:hint="cs"/>
          <w:rtl/>
        </w:rPr>
        <w:t xml:space="preserve"> فإنهم لم يَصِفوا ولم يُفَسِّروا ولكن أفتوا بما في الكتاب والسنة ثم سكتوا</w:t>
      </w:r>
      <w:r>
        <w:rPr>
          <w:rFonts w:eastAsia="Times New Roman" w:hint="cs"/>
          <w:rtl/>
        </w:rPr>
        <w:t>،</w:t>
      </w:r>
      <w:r w:rsidR="009C32A0">
        <w:rPr>
          <w:rFonts w:eastAsia="Times New Roman" w:hint="cs"/>
          <w:rtl/>
        </w:rPr>
        <w:t xml:space="preserve"> فمن قال بقول جَهَمٍ فقد فارق الجماعة؛ لأنه قد وصفه بصفة لا شيء" أ.هـ. وقال الخطابي رحمه الله تعالى في</w:t>
      </w:r>
      <w:r>
        <w:rPr>
          <w:rFonts w:eastAsia="Times New Roman" w:hint="cs"/>
          <w:rtl/>
        </w:rPr>
        <w:t>:</w:t>
      </w:r>
      <w:r w:rsidR="009C32A0">
        <w:rPr>
          <w:rFonts w:eastAsia="Times New Roman" w:hint="cs"/>
          <w:rtl/>
        </w:rPr>
        <w:t xml:space="preserve"> "الغنية عن الكلام وأهله"</w:t>
      </w:r>
      <w:r>
        <w:rPr>
          <w:rFonts w:eastAsia="Times New Roman" w:hint="cs"/>
          <w:rtl/>
        </w:rPr>
        <w:t>:</w:t>
      </w:r>
      <w:r w:rsidR="009C32A0">
        <w:rPr>
          <w:rFonts w:eastAsia="Times New Roman" w:hint="cs"/>
          <w:rtl/>
        </w:rPr>
        <w:t xml:space="preserve"> "فأما ما سألت عنه من الصفات وما جاء منها في الكتاب والسنة، فإن مذهب السلف إثباتها، وإجراؤها على ظواهرها. أي: من غير تغيير أو تفسير، ونفي الكيفية والتشبيه عنها" أ.هـ. وقال الموفق بن قدامة رحمه الله تعالى في</w:t>
      </w:r>
      <w:r>
        <w:rPr>
          <w:rFonts w:eastAsia="Times New Roman" w:hint="cs"/>
          <w:rtl/>
        </w:rPr>
        <w:t>:</w:t>
      </w:r>
      <w:r w:rsidR="009C32A0">
        <w:rPr>
          <w:rFonts w:eastAsia="Times New Roman" w:hint="cs"/>
          <w:rtl/>
        </w:rPr>
        <w:t xml:space="preserve"> "ذم التأويل" (ص/11)</w:t>
      </w:r>
      <w:r>
        <w:rPr>
          <w:rFonts w:eastAsia="Times New Roman" w:hint="cs"/>
          <w:rtl/>
        </w:rPr>
        <w:t>:</w:t>
      </w:r>
      <w:r w:rsidR="009C32A0">
        <w:rPr>
          <w:rFonts w:eastAsia="Times New Roman" w:hint="cs"/>
          <w:rtl/>
        </w:rPr>
        <w:t xml:space="preserve"> "ومذهب السلف رحمة الله عليهم الإيمان بصفات الله تعالى وأسمائه التي وصف بها نفسه في آياته وتنـزيله</w:t>
      </w:r>
      <w:r>
        <w:rPr>
          <w:rFonts w:eastAsia="Times New Roman" w:hint="cs"/>
          <w:rtl/>
        </w:rPr>
        <w:t>،</w:t>
      </w:r>
      <w:r w:rsidR="009C32A0">
        <w:rPr>
          <w:rFonts w:eastAsia="Times New Roman" w:hint="cs"/>
          <w:rtl/>
        </w:rPr>
        <w:t xml:space="preserve"> أو على لسان رسوله</w:t>
      </w:r>
      <w:r>
        <w:rPr>
          <w:rFonts w:eastAsia="Times New Roman" w:hint="cs"/>
          <w:rtl/>
        </w:rPr>
        <w:t>،</w:t>
      </w:r>
      <w:r w:rsidR="009C32A0">
        <w:rPr>
          <w:rFonts w:eastAsia="Times New Roman" w:hint="cs"/>
          <w:rtl/>
        </w:rPr>
        <w:t xml:space="preserve"> من غير زيادة عليها</w:t>
      </w:r>
      <w:r>
        <w:rPr>
          <w:rFonts w:eastAsia="Times New Roman" w:hint="cs"/>
          <w:rtl/>
        </w:rPr>
        <w:t>،</w:t>
      </w:r>
      <w:r w:rsidR="009C32A0">
        <w:rPr>
          <w:rFonts w:eastAsia="Times New Roman" w:hint="cs"/>
          <w:rtl/>
        </w:rPr>
        <w:t xml:space="preserve"> ولا نقص منها، ولا تجاوز لها، ولا تفسير لها، ولا تأويل لها بما يخالف ظاهرها ـ أي</w:t>
      </w:r>
      <w:r>
        <w:rPr>
          <w:rFonts w:eastAsia="Times New Roman" w:hint="cs"/>
          <w:rtl/>
        </w:rPr>
        <w:t>:</w:t>
      </w:r>
      <w:r w:rsidR="009C32A0">
        <w:rPr>
          <w:rFonts w:eastAsia="Times New Roman" w:hint="cs"/>
          <w:rtl/>
        </w:rPr>
        <w:t xml:space="preserve"> دون تغيير أو تفسير ـ "أ.هـ المراد</w:t>
      </w:r>
      <w:r>
        <w:rPr>
          <w:rFonts w:eastAsia="Times New Roman" w:hint="cs"/>
          <w:rtl/>
        </w:rPr>
        <w:t xml:space="preserve">، </w:t>
      </w:r>
      <w:r w:rsidR="009C32A0">
        <w:rPr>
          <w:rFonts w:eastAsia="Times New Roman" w:hint="cs"/>
          <w:rtl/>
        </w:rPr>
        <w:t>لذا أثبتوا الصفات التي جاءت في الكتاب والسنة دون تغيير أو تفسير، يقول الإمام البغوي رحمه الله تعالى في</w:t>
      </w:r>
      <w:r>
        <w:rPr>
          <w:rFonts w:eastAsia="Times New Roman" w:hint="cs"/>
          <w:rtl/>
        </w:rPr>
        <w:t>:</w:t>
      </w:r>
      <w:r w:rsidR="009C32A0">
        <w:rPr>
          <w:rFonts w:eastAsia="Times New Roman" w:hint="cs"/>
          <w:rtl/>
        </w:rPr>
        <w:t xml:space="preserve"> "شرح السنة" (1/168): "والاصبع المذكورة في الحديث صفة من صفات الله عز وجل، وكذلك كل ما جاء به الكتاب أو السنة من هذا القبيل من صفات الله تعالى، كالنَّفْس والوجه والعين، واليد والرِّجل، والإتيان والمجيء والنـزول إلى السماء الدنيا، والاستواء على العرش، والضحك والفرح" أ.هـ. وقال أبو إسماعيل الصابوني رحمه الله تعالى في</w:t>
      </w:r>
      <w:r>
        <w:rPr>
          <w:rFonts w:eastAsia="Times New Roman" w:hint="cs"/>
          <w:rtl/>
        </w:rPr>
        <w:t>:</w:t>
      </w:r>
      <w:r w:rsidR="009C32A0">
        <w:rPr>
          <w:rFonts w:eastAsia="Times New Roman" w:hint="cs"/>
          <w:rtl/>
        </w:rPr>
        <w:t xml:space="preserve"> "عقيدة أصحاب الحديث" (ص/165)</w:t>
      </w:r>
      <w:r>
        <w:rPr>
          <w:rFonts w:eastAsia="Times New Roman" w:hint="cs"/>
          <w:rtl/>
        </w:rPr>
        <w:t>:</w:t>
      </w:r>
      <w:r w:rsidR="009C32A0">
        <w:rPr>
          <w:rFonts w:eastAsia="Times New Roman" w:hint="cs"/>
          <w:rtl/>
        </w:rPr>
        <w:t xml:space="preserve"> "وكذلك يقولون ـ أي</w:t>
      </w:r>
      <w:r>
        <w:rPr>
          <w:rFonts w:eastAsia="Times New Roman" w:hint="cs"/>
          <w:rtl/>
        </w:rPr>
        <w:t>:</w:t>
      </w:r>
      <w:r w:rsidR="009C32A0">
        <w:rPr>
          <w:rFonts w:eastAsia="Times New Roman" w:hint="cs"/>
          <w:rtl/>
        </w:rPr>
        <w:t xml:space="preserve"> أهل الحديث والسلف الصالح ـ في جميع الصفات التي نزل بذكرها القرآن</w:t>
      </w:r>
      <w:r>
        <w:rPr>
          <w:rFonts w:eastAsia="Times New Roman" w:hint="cs"/>
          <w:rtl/>
        </w:rPr>
        <w:t>،</w:t>
      </w:r>
      <w:r w:rsidR="009C32A0">
        <w:rPr>
          <w:rFonts w:eastAsia="Times New Roman" w:hint="cs"/>
          <w:rtl/>
        </w:rPr>
        <w:t xml:space="preserve"> ووردت به الأخبار الصحاح من السمع والبصر</w:t>
      </w:r>
      <w:r>
        <w:rPr>
          <w:rFonts w:eastAsia="Times New Roman" w:hint="cs"/>
          <w:rtl/>
        </w:rPr>
        <w:t>،</w:t>
      </w:r>
      <w:r w:rsidR="009C32A0">
        <w:rPr>
          <w:rFonts w:eastAsia="Times New Roman" w:hint="cs"/>
          <w:rtl/>
        </w:rPr>
        <w:t xml:space="preserve"> والعين والوجه، والعلم، والقوة</w:t>
      </w:r>
      <w:r>
        <w:rPr>
          <w:rFonts w:eastAsia="Times New Roman" w:hint="cs"/>
          <w:rtl/>
        </w:rPr>
        <w:t>،</w:t>
      </w:r>
      <w:r w:rsidR="009C32A0">
        <w:rPr>
          <w:rFonts w:eastAsia="Times New Roman" w:hint="cs"/>
          <w:rtl/>
        </w:rPr>
        <w:t xml:space="preserve"> والقدرة ..." أ.هـ.</w:t>
      </w:r>
      <w:r>
        <w:rPr>
          <w:rFonts w:eastAsia="Times New Roman" w:hint="cs"/>
          <w:rtl/>
        </w:rPr>
        <w:t>،</w:t>
      </w:r>
      <w:r w:rsidR="009C32A0">
        <w:rPr>
          <w:rFonts w:eastAsia="Times New Roman" w:hint="cs"/>
          <w:bCs/>
          <w:rtl/>
        </w:rPr>
        <w:t xml:space="preserve"> ثم لابد من اعتبار شيئين في ذلك</w:t>
      </w:r>
      <w:r>
        <w:rPr>
          <w:rFonts w:eastAsia="Times New Roman" w:hint="cs"/>
          <w:rtl/>
        </w:rPr>
        <w:t>:</w:t>
      </w:r>
      <w:r w:rsidR="009C32A0">
        <w:rPr>
          <w:rFonts w:eastAsia="Times New Roman" w:hint="cs"/>
          <w:rtl/>
        </w:rPr>
        <w:t xml:space="preserve"> أولهما</w:t>
      </w:r>
      <w:r>
        <w:rPr>
          <w:rFonts w:eastAsia="Times New Roman" w:hint="cs"/>
          <w:rtl/>
        </w:rPr>
        <w:t>:</w:t>
      </w:r>
      <w:r w:rsidR="009C32A0">
        <w:rPr>
          <w:rFonts w:eastAsia="Times New Roman" w:hint="cs"/>
          <w:rtl/>
        </w:rPr>
        <w:t xml:space="preserve"> حقيقة كلمة (الصفات)</w:t>
      </w:r>
      <w:r>
        <w:rPr>
          <w:rFonts w:eastAsia="Times New Roman" w:hint="cs"/>
          <w:rtl/>
        </w:rPr>
        <w:t>،</w:t>
      </w:r>
      <w:r w:rsidR="009C32A0">
        <w:rPr>
          <w:rFonts w:eastAsia="Times New Roman" w:hint="cs"/>
          <w:rtl/>
        </w:rPr>
        <w:t xml:space="preserve"> حيث إنها جمع صفة: قال أيوب بن موسى: "الصفة في الأصل مصدر "وصفت الشيء" إذا ذَكَرتَهُ بمعانٍ فيه لكن جُعل في الاصطلاح عبارة عن كل أمر زائد على الذات، </w:t>
      </w:r>
      <w:r w:rsidR="009C32A0">
        <w:rPr>
          <w:rFonts w:eastAsia="Times New Roman" w:hint="cs"/>
          <w:rtl/>
        </w:rPr>
        <w:lastRenderedPageBreak/>
        <w:t>يُفهَم في ضمن فهم الذات ثبوتياً كان أو سلبياً</w:t>
      </w:r>
      <w:r>
        <w:rPr>
          <w:rFonts w:eastAsia="Times New Roman" w:hint="cs"/>
          <w:rtl/>
        </w:rPr>
        <w:t>،</w:t>
      </w:r>
      <w:r w:rsidR="009C32A0">
        <w:rPr>
          <w:rFonts w:eastAsia="Times New Roman" w:hint="cs"/>
          <w:rtl/>
        </w:rPr>
        <w:t xml:space="preserve"> والعلاقة بين الصفة والموصوف هي النِّسْبْة الثبوتية، وتلك النسبة إذا اعتُبرتْ من جانب الموصوف يُعبَّر عنها بالاتصاف</w:t>
      </w:r>
      <w:r>
        <w:rPr>
          <w:rFonts w:eastAsia="Times New Roman" w:hint="cs"/>
          <w:rtl/>
        </w:rPr>
        <w:t>،</w:t>
      </w:r>
      <w:r w:rsidR="009C32A0">
        <w:rPr>
          <w:rFonts w:eastAsia="Times New Roman" w:hint="cs"/>
          <w:rtl/>
        </w:rPr>
        <w:t xml:space="preserve"> وإذا اعتُبرتْ من جانب الصفة يَعَبَّر عنها بالقيام" . وعليه فالصفة في اللسان (معنى قائم بالذات دال عليه، كدلالة اللفظ على الكلمة) قاله في "تاج العروس" (1/593)</w:t>
      </w:r>
      <w:r>
        <w:rPr>
          <w:rFonts w:eastAsia="Times New Roman" w:hint="cs"/>
          <w:rtl/>
        </w:rPr>
        <w:t xml:space="preserve">، </w:t>
      </w:r>
      <w:r w:rsidR="009C32A0">
        <w:rPr>
          <w:rFonts w:eastAsia="Times New Roman" w:hint="cs"/>
          <w:rtl/>
        </w:rPr>
        <w:t>وجملة (معنى قائم بالذات) أي</w:t>
      </w:r>
      <w:r>
        <w:rPr>
          <w:rFonts w:eastAsia="Times New Roman" w:hint="cs"/>
          <w:rtl/>
        </w:rPr>
        <w:t>:</w:t>
      </w:r>
      <w:r w:rsidR="009C32A0">
        <w:rPr>
          <w:rFonts w:eastAsia="Times New Roman" w:hint="cs"/>
          <w:rtl/>
        </w:rPr>
        <w:t xml:space="preserve"> ثابت لها نسبةً وإضافة،لا أن ذلك حادث فيهما أو قائم بها على وجه الجسمية</w:t>
      </w:r>
      <w:r>
        <w:rPr>
          <w:rFonts w:eastAsia="Times New Roman" w:hint="cs"/>
          <w:rtl/>
        </w:rPr>
        <w:t>،</w:t>
      </w:r>
      <w:r w:rsidR="009C32A0">
        <w:rPr>
          <w:rFonts w:eastAsia="Times New Roman" w:hint="cs"/>
          <w:rtl/>
        </w:rPr>
        <w:t xml:space="preserve"> والثاني: ثبوت الصفات له قاعدة عند أهل الحديث مَرَدُّها إلى شيئين</w:t>
      </w:r>
      <w:r>
        <w:rPr>
          <w:rFonts w:eastAsia="Times New Roman" w:hint="cs"/>
          <w:rtl/>
        </w:rPr>
        <w:t>:</w:t>
      </w:r>
      <w:r w:rsidR="009C32A0">
        <w:rPr>
          <w:rFonts w:eastAsia="Times New Roman" w:hint="cs"/>
          <w:rtl/>
        </w:rPr>
        <w:t xml:space="preserve"> الأول</w:t>
      </w:r>
      <w:r>
        <w:rPr>
          <w:rFonts w:eastAsia="Times New Roman" w:hint="cs"/>
          <w:rtl/>
        </w:rPr>
        <w:t>:</w:t>
      </w:r>
      <w:r w:rsidR="009C32A0">
        <w:rPr>
          <w:rFonts w:eastAsia="Times New Roman" w:hint="cs"/>
          <w:rtl/>
        </w:rPr>
        <w:t xml:space="preserve"> ما قرَّره الخطيب البغدادي رحمه الله تعالى في</w:t>
      </w:r>
      <w:r>
        <w:rPr>
          <w:rFonts w:eastAsia="Times New Roman" w:hint="cs"/>
          <w:rtl/>
        </w:rPr>
        <w:t>:</w:t>
      </w:r>
      <w:r w:rsidR="009C32A0">
        <w:rPr>
          <w:rFonts w:eastAsia="Times New Roman" w:hint="cs"/>
          <w:rtl/>
        </w:rPr>
        <w:t xml:space="preserve"> "الكفاية" (ص/432) بقوله</w:t>
      </w:r>
      <w:r>
        <w:rPr>
          <w:rFonts w:eastAsia="Times New Roman" w:hint="cs"/>
          <w:rtl/>
        </w:rPr>
        <w:t>:</w:t>
      </w:r>
      <w:r w:rsidR="009C32A0">
        <w:rPr>
          <w:rFonts w:eastAsia="Times New Roman" w:hint="cs"/>
          <w:rtl/>
        </w:rPr>
        <w:t xml:space="preserve"> "خبر الواحد لا يُقْبل في شيء من أبواب الدين المأخوذ على المكلفين العلم بها والقطع عليها؛ والعلة في ذلك أنه إذا لم يُعْلَم أن الخبر قول رسول الله صلى الله عليه وسلم</w:t>
      </w:r>
      <w:r>
        <w:rPr>
          <w:rFonts w:eastAsia="Times New Roman" w:hint="cs"/>
          <w:rtl/>
        </w:rPr>
        <w:t>:</w:t>
      </w:r>
      <w:r w:rsidR="009C32A0">
        <w:rPr>
          <w:rFonts w:eastAsia="Times New Roman" w:hint="cs"/>
          <w:rtl/>
        </w:rPr>
        <w:t xml:space="preserve"> كان أَبْعَدَ على العلم بمضمونه أما ما عدا ذلك من الأحكام التي لم يوجب علينا العلم بأن النبي صلى الله عليه وسلم قَرَّرها وأخبر بها عن الله عز وجل، فإن خبر الواحد فيها مقبول</w:t>
      </w:r>
      <w:r>
        <w:rPr>
          <w:rFonts w:eastAsia="Times New Roman" w:hint="cs"/>
          <w:rtl/>
        </w:rPr>
        <w:t xml:space="preserve"> </w:t>
      </w:r>
      <w:r w:rsidR="009C32A0">
        <w:rPr>
          <w:rFonts w:eastAsia="Times New Roman" w:hint="cs"/>
          <w:rtl/>
        </w:rPr>
        <w:t>والعمل بها واجب، ويكون ما ورد فيه شرعاً لسائر المكلفين أن يعمل به" أ.هـ. المراد</w:t>
      </w:r>
      <w:r>
        <w:rPr>
          <w:rFonts w:eastAsia="Times New Roman" w:hint="cs"/>
          <w:rtl/>
        </w:rPr>
        <w:t xml:space="preserve">، </w:t>
      </w:r>
      <w:r w:rsidR="009C32A0">
        <w:rPr>
          <w:rFonts w:eastAsia="Times New Roman" w:hint="cs"/>
          <w:rtl/>
        </w:rPr>
        <w:t>والثاني</w:t>
      </w:r>
      <w:r>
        <w:rPr>
          <w:rFonts w:eastAsia="Times New Roman" w:hint="cs"/>
          <w:rtl/>
        </w:rPr>
        <w:t>:</w:t>
      </w:r>
      <w:r w:rsidR="009C32A0">
        <w:rPr>
          <w:rFonts w:eastAsia="Times New Roman" w:hint="cs"/>
          <w:rtl/>
        </w:rPr>
        <w:t xml:space="preserve"> ما قَرَّره الخطيب البغدادي أيضاً في</w:t>
      </w:r>
      <w:r>
        <w:rPr>
          <w:rFonts w:eastAsia="Times New Roman" w:hint="cs"/>
          <w:rtl/>
        </w:rPr>
        <w:t>:</w:t>
      </w:r>
      <w:r w:rsidR="009C32A0">
        <w:rPr>
          <w:rFonts w:eastAsia="Times New Roman" w:hint="cs"/>
          <w:rtl/>
        </w:rPr>
        <w:t xml:space="preserve"> "الفقيه والمتفقه" (ص/132)</w:t>
      </w:r>
      <w:r>
        <w:rPr>
          <w:rFonts w:eastAsia="Times New Roman" w:hint="cs"/>
          <w:rtl/>
        </w:rPr>
        <w:t>:</w:t>
      </w:r>
      <w:r w:rsidR="009C32A0">
        <w:rPr>
          <w:rFonts w:eastAsia="Times New Roman" w:hint="cs"/>
          <w:rtl/>
        </w:rPr>
        <w:t xml:space="preserve"> "لا تَثْبت الصفة لله بقول صحابي أو تابعي إلا بما صَحَّ من الأحاديث النبوية المرفوعة المتفق على توثيق رواتها، فلا يُحْتج بالضعيف ولا بالمختلف في توثيق رواته حتى لو ورد إسنادٌ فيه مُخْتَلَف فيه وجاء حديث آخر يَعْضده فلا يُحْتَج به" أ.هـ.</w:t>
      </w:r>
      <w:r>
        <w:rPr>
          <w:rFonts w:eastAsia="Times New Roman" w:hint="cs"/>
          <w:rtl/>
        </w:rPr>
        <w:t xml:space="preserve">، </w:t>
      </w:r>
      <w:r w:rsidR="009C32A0">
        <w:rPr>
          <w:rFonts w:eastAsia="Times New Roman" w:hint="cs"/>
          <w:rtl/>
        </w:rPr>
        <w:t>وعليه فإذا جاء خبر الثقة مخالفاً للمعلوم في حق الله وصفاته</w:t>
      </w:r>
      <w:r>
        <w:rPr>
          <w:rFonts w:eastAsia="Times New Roman" w:hint="cs"/>
          <w:rtl/>
        </w:rPr>
        <w:t>:</w:t>
      </w:r>
      <w:r w:rsidR="009C32A0">
        <w:rPr>
          <w:rFonts w:eastAsia="Times New Roman" w:hint="cs"/>
          <w:rtl/>
        </w:rPr>
        <w:t xml:space="preserve"> رُدّ أو تُأَوُّل على معنى صحيح يَلِيْقُ بالله سبحانه</w:t>
      </w:r>
      <w:r>
        <w:rPr>
          <w:rFonts w:eastAsia="Times New Roman" w:hint="cs"/>
          <w:rtl/>
        </w:rPr>
        <w:t>،</w:t>
      </w:r>
      <w:r w:rsidR="009C32A0">
        <w:rPr>
          <w:rFonts w:eastAsia="Times New Roman" w:hint="cs"/>
          <w:rtl/>
        </w:rPr>
        <w:t xml:space="preserve"> وفي أصل ذلك يقول الخطيب البغدادي في</w:t>
      </w:r>
      <w:r>
        <w:rPr>
          <w:rFonts w:eastAsia="Times New Roman" w:hint="cs"/>
          <w:rtl/>
        </w:rPr>
        <w:t>:</w:t>
      </w:r>
      <w:r w:rsidR="009C32A0">
        <w:rPr>
          <w:rFonts w:eastAsia="Times New Roman" w:hint="cs"/>
          <w:rtl/>
        </w:rPr>
        <w:t xml:space="preserve"> "الفقيه والمتفقه" (ص/132)</w:t>
      </w:r>
      <w:r>
        <w:rPr>
          <w:rFonts w:eastAsia="Times New Roman" w:hint="cs"/>
          <w:rtl/>
        </w:rPr>
        <w:t>:</w:t>
      </w:r>
      <w:r w:rsidR="009C32A0">
        <w:rPr>
          <w:rFonts w:eastAsia="Times New Roman" w:hint="cs"/>
          <w:rtl/>
        </w:rPr>
        <w:t xml:space="preserve"> "وإذا روى الثقة المأمون خبراً متَّصل الإسناد رُدّ بأمور. أحدها</w:t>
      </w:r>
      <w:r>
        <w:rPr>
          <w:rFonts w:eastAsia="Times New Roman" w:hint="cs"/>
          <w:rtl/>
        </w:rPr>
        <w:t>:</w:t>
      </w:r>
      <w:r w:rsidR="009C32A0">
        <w:rPr>
          <w:rFonts w:eastAsia="Times New Roman" w:hint="cs"/>
          <w:rtl/>
        </w:rPr>
        <w:t xml:space="preserve"> أن يُخَالف موجبات العقول فيُعْلَم بطلانه، لأن الشرع إنما يَرِدُ بمجوِّزات العقول، وأما بخلاف العقول فلا . والثاني</w:t>
      </w:r>
      <w:r>
        <w:rPr>
          <w:rFonts w:eastAsia="Times New Roman" w:hint="cs"/>
          <w:rtl/>
        </w:rPr>
        <w:t>:</w:t>
      </w:r>
      <w:r w:rsidR="009C32A0">
        <w:rPr>
          <w:rFonts w:eastAsia="Times New Roman" w:hint="cs"/>
          <w:rtl/>
        </w:rPr>
        <w:t xml:space="preserve"> أن يُخالف نَصَّ الكِتاب والسنة المتواترة فيُعْلَم أنه لا أصل له أو منسوخ. والثالث: أن يخالف الإجماع فيستدل على أنه منسوخ أو لا أصل له، لأنه لا يجوز أن يكون صحيحاً غير منسوخ وتُجْمع الأمة على خلافه . والرابع</w:t>
      </w:r>
      <w:r>
        <w:rPr>
          <w:rFonts w:eastAsia="Times New Roman" w:hint="cs"/>
          <w:rtl/>
        </w:rPr>
        <w:t>:</w:t>
      </w:r>
      <w:r w:rsidR="009C32A0">
        <w:rPr>
          <w:rFonts w:eastAsia="Times New Roman" w:hint="cs"/>
          <w:rtl/>
        </w:rPr>
        <w:t xml:space="preserve"> أن يَنْفرد الواحد برواية ما يجب على كافة الخَلْقِ عِلْمُهُ، فيدُلَ ذلك على أنه لا أصل له؛ لأنه لا يجوز أن يكون له أصل</w:t>
      </w:r>
      <w:r>
        <w:rPr>
          <w:rFonts w:eastAsia="Times New Roman" w:hint="cs"/>
          <w:rtl/>
        </w:rPr>
        <w:t>،</w:t>
      </w:r>
      <w:r w:rsidR="009C32A0">
        <w:rPr>
          <w:rFonts w:eastAsia="Times New Roman" w:hint="cs"/>
          <w:rtl/>
        </w:rPr>
        <w:t xml:space="preserve"> فلا يقبل ؛ لأنه لا يجوز أن ينفرد في مثل هذا بالرواية" أ.هـ. المراد.</w:t>
      </w:r>
      <w:r>
        <w:rPr>
          <w:rFonts w:eastAsia="Times New Roman" w:hint="cs"/>
          <w:rtl/>
        </w:rPr>
        <w:t xml:space="preserve"> </w:t>
      </w:r>
      <w:r w:rsidR="009C32A0">
        <w:rPr>
          <w:rFonts w:eastAsia="Times New Roman" w:hint="cs"/>
          <w:rtl/>
        </w:rPr>
        <w:t>وقال أبو سليمان الخطابي رحمه الله تعالى في</w:t>
      </w:r>
      <w:r>
        <w:rPr>
          <w:rFonts w:eastAsia="Times New Roman" w:hint="cs"/>
          <w:rtl/>
        </w:rPr>
        <w:t>:</w:t>
      </w:r>
      <w:r w:rsidR="009C32A0">
        <w:rPr>
          <w:rFonts w:eastAsia="Times New Roman" w:hint="cs"/>
          <w:rtl/>
        </w:rPr>
        <w:t xml:space="preserve"> "أعلام الحديث" (3/1898)</w:t>
      </w:r>
      <w:r>
        <w:rPr>
          <w:rFonts w:eastAsia="Times New Roman" w:hint="cs"/>
          <w:rtl/>
        </w:rPr>
        <w:t>:</w:t>
      </w:r>
      <w:r w:rsidR="009C32A0">
        <w:rPr>
          <w:rFonts w:eastAsia="Times New Roman" w:hint="cs"/>
          <w:rtl/>
        </w:rPr>
        <w:t xml:space="preserve"> "الأصل في هذا وما أشبهه من أحاديث الصفات والأسماء: أنه لا يجوز ذلك إلا أن يكون كتاب ناطق أو خبر مقطوع بصحته، فإن لم يكونا فبما يثبت من أخبار الآحاد المستندة إلى أصل في الكتاب أو في السنة المقطوع بصحتها، أو بموافقة معانيها، وما كان بخلاف ذلك فالتوقف عن إطلاق الاسم به هو الواجب</w:t>
      </w:r>
      <w:r>
        <w:rPr>
          <w:rFonts w:eastAsia="Times New Roman" w:hint="cs"/>
          <w:rtl/>
        </w:rPr>
        <w:t>،</w:t>
      </w:r>
      <w:r w:rsidR="009C32A0">
        <w:rPr>
          <w:rFonts w:eastAsia="Times New Roman" w:hint="cs"/>
          <w:rtl/>
        </w:rPr>
        <w:t xml:space="preserve"> </w:t>
      </w:r>
      <w:r w:rsidR="009C32A0">
        <w:rPr>
          <w:rFonts w:eastAsia="Times New Roman" w:hint="cs"/>
          <w:rtl/>
        </w:rPr>
        <w:lastRenderedPageBreak/>
        <w:t>ويُتَأوَّل حينئذٍ على ما يَلِيْق بمعاني الأصول المتفق عليها من أقاويل أهل الدين والعلم مع نفي التشبيه فيه" أ.هـ. المراد</w:t>
      </w:r>
      <w:r>
        <w:rPr>
          <w:rFonts w:eastAsia="Times New Roman" w:hint="cs"/>
          <w:rtl/>
        </w:rPr>
        <w:t xml:space="preserve">، </w:t>
      </w:r>
      <w:r w:rsidR="009C32A0">
        <w:rPr>
          <w:rFonts w:eastAsia="Times New Roman" w:hint="cs"/>
          <w:bCs/>
          <w:rtl/>
        </w:rPr>
        <w:t>وأما الثانية</w:t>
      </w:r>
      <w:r>
        <w:rPr>
          <w:rFonts w:eastAsia="Times New Roman" w:hint="cs"/>
          <w:bCs/>
          <w:rtl/>
        </w:rPr>
        <w:t>:</w:t>
      </w:r>
      <w:r w:rsidR="009C32A0">
        <w:rPr>
          <w:rFonts w:eastAsia="Times New Roman" w:hint="cs"/>
          <w:bCs/>
          <w:rtl/>
        </w:rPr>
        <w:t xml:space="preserve"> فتنـزيه الله سبحانه عن معاني المِثْليَّة والتَّشْبِيه</w:t>
      </w:r>
      <w:r>
        <w:rPr>
          <w:rFonts w:eastAsia="Times New Roman" w:hint="cs"/>
          <w:rtl/>
        </w:rPr>
        <w:t>:</w:t>
      </w:r>
      <w:r w:rsidR="009C32A0">
        <w:rPr>
          <w:rFonts w:eastAsia="Times New Roman" w:hint="cs"/>
          <w:rtl/>
        </w:rPr>
        <w:t xml:space="preserve"> كما قال تعالى</w:t>
      </w:r>
      <w:r>
        <w:rPr>
          <w:rFonts w:eastAsia="Times New Roman" w:hint="cs"/>
          <w:rtl/>
        </w:rPr>
        <w:t>:</w:t>
      </w:r>
      <w:r w:rsidR="009C32A0">
        <w:rPr>
          <w:rFonts w:eastAsia="Times New Roman" w:hint="cs"/>
          <w:rtl/>
        </w:rPr>
        <w:t xml:space="preserve"> (ليس كمثله شيء) وقال</w:t>
      </w:r>
      <w:r>
        <w:rPr>
          <w:rFonts w:eastAsia="Times New Roman" w:hint="cs"/>
          <w:rtl/>
        </w:rPr>
        <w:t>:</w:t>
      </w:r>
      <w:r w:rsidR="009C32A0">
        <w:rPr>
          <w:rFonts w:eastAsia="Times New Roman" w:hint="cs"/>
          <w:rtl/>
        </w:rPr>
        <w:t xml:space="preserve"> (فلا تجعلوا لله أنداداً وأنتم تعلمون) قال ابن عباس رضي الله عنهما</w:t>
      </w:r>
      <w:r>
        <w:rPr>
          <w:rFonts w:eastAsia="Times New Roman" w:hint="cs"/>
          <w:rtl/>
        </w:rPr>
        <w:t>:</w:t>
      </w:r>
      <w:r w:rsidR="009C32A0">
        <w:rPr>
          <w:rFonts w:eastAsia="Times New Roman" w:hint="cs"/>
          <w:rtl/>
        </w:rPr>
        <w:t xml:space="preserve"> (أنداداً) أشباهاً</w:t>
      </w:r>
      <w:r>
        <w:rPr>
          <w:rFonts w:eastAsia="Times New Roman" w:hint="cs"/>
          <w:rtl/>
        </w:rPr>
        <w:t>،</w:t>
      </w:r>
      <w:r w:rsidR="009C32A0">
        <w:rPr>
          <w:rFonts w:eastAsia="Times New Roman" w:hint="cs"/>
          <w:rtl/>
        </w:rPr>
        <w:t xml:space="preserve"> وقاله جمع من السلف . خَرَّجه ابن جرير الطبري في</w:t>
      </w:r>
      <w:r>
        <w:rPr>
          <w:rFonts w:eastAsia="Times New Roman" w:hint="cs"/>
          <w:rtl/>
        </w:rPr>
        <w:t>:</w:t>
      </w:r>
      <w:r w:rsidR="009C32A0">
        <w:rPr>
          <w:rFonts w:eastAsia="Times New Roman" w:hint="cs"/>
          <w:rtl/>
        </w:rPr>
        <w:t xml:space="preserve"> "التفسير" (1/198) وقال</w:t>
      </w:r>
      <w:r>
        <w:rPr>
          <w:rFonts w:eastAsia="Times New Roman" w:hint="cs"/>
          <w:rtl/>
        </w:rPr>
        <w:t>:</w:t>
      </w:r>
      <w:r w:rsidR="009C32A0">
        <w:rPr>
          <w:rFonts w:eastAsia="Times New Roman" w:hint="cs"/>
          <w:rtl/>
        </w:rPr>
        <w:t xml:space="preserve"> "(أندادا) جَمْعُ نِدّ، وهو العِدْل والمِثْل، وكل شيء كان له نظير لشيء، وله شبيه فهو له نِدٌّ" أ.هـ. وكذا قوله سبحانه: (هل تعلم له سمياً) قال ابن عباس رضي الله عنهما</w:t>
      </w:r>
      <w:r>
        <w:rPr>
          <w:rFonts w:eastAsia="Times New Roman" w:hint="cs"/>
          <w:rtl/>
        </w:rPr>
        <w:t>:</w:t>
      </w:r>
      <w:r w:rsidR="009C32A0">
        <w:rPr>
          <w:rFonts w:eastAsia="Times New Roman" w:hint="cs"/>
          <w:rtl/>
        </w:rPr>
        <w:t xml:space="preserve"> "هل تَعْلَمُ للرّبِ مِثْلاً أو شبيها" . خرجه ابن جرير في</w:t>
      </w:r>
      <w:r>
        <w:rPr>
          <w:rFonts w:eastAsia="Times New Roman" w:hint="cs"/>
          <w:rtl/>
        </w:rPr>
        <w:t>:</w:t>
      </w:r>
      <w:r w:rsidR="009C32A0">
        <w:rPr>
          <w:rFonts w:eastAsia="Times New Roman" w:hint="cs"/>
          <w:rtl/>
        </w:rPr>
        <w:t xml:space="preserve"> "التفسير" (8/316) . وقوله</w:t>
      </w:r>
      <w:r>
        <w:rPr>
          <w:rFonts w:eastAsia="Times New Roman" w:hint="cs"/>
          <w:rtl/>
        </w:rPr>
        <w:t>:</w:t>
      </w:r>
      <w:r w:rsidR="009C32A0">
        <w:rPr>
          <w:rFonts w:eastAsia="Times New Roman" w:hint="cs"/>
          <w:rtl/>
        </w:rPr>
        <w:t xml:space="preserve"> (ولم يكن له كفواً أحد) قال أبيّ بن كعب رضي الله عنه</w:t>
      </w:r>
      <w:r>
        <w:rPr>
          <w:rFonts w:eastAsia="Times New Roman" w:hint="cs"/>
          <w:rtl/>
        </w:rPr>
        <w:t>:</w:t>
      </w:r>
      <w:r w:rsidR="009C32A0">
        <w:rPr>
          <w:rFonts w:eastAsia="Times New Roman" w:hint="cs"/>
          <w:rtl/>
        </w:rPr>
        <w:t xml:space="preserve"> "لم يكن له شبيه ولا عِدل، وليس كمثله شيء" خرجه الحاكم في "المستدرك" (2/589) وقال</w:t>
      </w:r>
      <w:r>
        <w:rPr>
          <w:rFonts w:eastAsia="Times New Roman" w:hint="cs"/>
          <w:rtl/>
        </w:rPr>
        <w:t>:</w:t>
      </w:r>
      <w:r w:rsidR="009C32A0">
        <w:rPr>
          <w:rFonts w:eastAsia="Times New Roman" w:hint="cs"/>
          <w:rtl/>
        </w:rPr>
        <w:t xml:space="preserve"> "حديث صحيح الإسناد ولم يخرجاه" وخرج الطبري في "التفسير" (12/745) عن ابن عباس رضي الله عنهما قوله</w:t>
      </w:r>
      <w:r>
        <w:rPr>
          <w:rFonts w:eastAsia="Times New Roman" w:hint="cs"/>
          <w:rtl/>
        </w:rPr>
        <w:t>:</w:t>
      </w:r>
      <w:r w:rsidR="009C32A0">
        <w:rPr>
          <w:rFonts w:eastAsia="Times New Roman" w:hint="cs"/>
          <w:rtl/>
        </w:rPr>
        <w:t xml:space="preserve"> "ليس كمثله شيء فسبحان الله الواحد القهار" وعن أبي العالية رحمه الله أنه قال</w:t>
      </w:r>
      <w:r>
        <w:rPr>
          <w:rFonts w:eastAsia="Times New Roman" w:hint="cs"/>
          <w:rtl/>
        </w:rPr>
        <w:t>:</w:t>
      </w:r>
      <w:r w:rsidR="009C32A0">
        <w:rPr>
          <w:rFonts w:eastAsia="Times New Roman" w:hint="cs"/>
          <w:rtl/>
        </w:rPr>
        <w:t xml:space="preserve"> "لم يكن له شبيه ولا عِدْل وليس كمثله شيء"</w:t>
      </w:r>
      <w:r>
        <w:rPr>
          <w:rFonts w:eastAsia="Times New Roman" w:hint="cs"/>
          <w:rtl/>
        </w:rPr>
        <w:t>،</w:t>
      </w:r>
      <w:r w:rsidR="009C32A0">
        <w:rPr>
          <w:rFonts w:eastAsia="Times New Roman" w:hint="cs"/>
          <w:rtl/>
        </w:rPr>
        <w:t xml:space="preserve"> وعلى ذلك التنـزيه أهل الحديث والسلف الصالح، يقول الإمام الخطيب البغدادي (ت:463هـ) ـ كما في</w:t>
      </w:r>
      <w:r>
        <w:rPr>
          <w:rFonts w:eastAsia="Times New Roman" w:hint="cs"/>
          <w:rtl/>
        </w:rPr>
        <w:t>:</w:t>
      </w:r>
      <w:r w:rsidR="009C32A0">
        <w:rPr>
          <w:rFonts w:eastAsia="Times New Roman" w:hint="cs"/>
          <w:rtl/>
        </w:rPr>
        <w:t xml:space="preserve"> "تذكرة الحفاظ" (3/114) للذهبي ـ</w:t>
      </w:r>
      <w:r>
        <w:rPr>
          <w:rFonts w:eastAsia="Times New Roman" w:hint="cs"/>
          <w:rtl/>
        </w:rPr>
        <w:t>:</w:t>
      </w:r>
      <w:r w:rsidR="009C32A0">
        <w:rPr>
          <w:rFonts w:eastAsia="Times New Roman" w:hint="cs"/>
          <w:rtl/>
        </w:rPr>
        <w:t xml:space="preserve"> "أما الكلام في الصفات فإن ما رُوي منها في السنن الصحاح مذهبُ السلف إثباتها</w:t>
      </w:r>
      <w:r>
        <w:rPr>
          <w:rFonts w:eastAsia="Times New Roman" w:hint="cs"/>
          <w:rtl/>
        </w:rPr>
        <w:t>،</w:t>
      </w:r>
      <w:r w:rsidR="009C32A0">
        <w:rPr>
          <w:rFonts w:eastAsia="Times New Roman" w:hint="cs"/>
          <w:rtl/>
        </w:rPr>
        <w:t xml:space="preserve"> وإجراؤها على ظواهرها ـ أي</w:t>
      </w:r>
      <w:r>
        <w:rPr>
          <w:rFonts w:eastAsia="Times New Roman" w:hint="cs"/>
          <w:rtl/>
        </w:rPr>
        <w:t>:</w:t>
      </w:r>
      <w:r w:rsidR="009C32A0">
        <w:rPr>
          <w:rFonts w:eastAsia="Times New Roman" w:hint="cs"/>
          <w:rtl/>
        </w:rPr>
        <w:t xml:space="preserve"> بلا تفسير ولا تغيير ـ وهي الكيفية والتشبيه عنها ـ وقد نفاها قوم فأبطلوا ما أثبته الله، وحققها قوم من المثبتين فخرجوا في ذلك إلى ضرب من التشبيه والتكييف، والفصل إنما هو سلوك الطريقة المتوسطة بين الأمرين</w:t>
      </w:r>
      <w:r>
        <w:rPr>
          <w:rFonts w:eastAsia="Times New Roman" w:hint="cs"/>
          <w:rtl/>
        </w:rPr>
        <w:t>،</w:t>
      </w:r>
      <w:r w:rsidR="009C32A0">
        <w:rPr>
          <w:rFonts w:eastAsia="Times New Roman" w:hint="cs"/>
          <w:rtl/>
        </w:rPr>
        <w:t xml:space="preserve"> ودين الله بين الغالي فيه والمقصر عنه ...الأصل في هذا</w:t>
      </w:r>
      <w:r>
        <w:rPr>
          <w:rFonts w:eastAsia="Times New Roman" w:hint="cs"/>
          <w:rtl/>
        </w:rPr>
        <w:t>:</w:t>
      </w:r>
      <w:r w:rsidR="009C32A0">
        <w:rPr>
          <w:rFonts w:eastAsia="Times New Roman" w:hint="cs"/>
          <w:rtl/>
        </w:rPr>
        <w:t xml:space="preserve"> أن الكلام في الصفات فرع الكلام في الذات، ويَحْتذِي حذوه ومثاله</w:t>
      </w:r>
      <w:r>
        <w:rPr>
          <w:rFonts w:eastAsia="Times New Roman" w:hint="cs"/>
          <w:rtl/>
        </w:rPr>
        <w:t>،</w:t>
      </w:r>
      <w:r w:rsidR="009C32A0">
        <w:rPr>
          <w:rFonts w:eastAsia="Times New Roman" w:hint="cs"/>
          <w:rtl/>
        </w:rPr>
        <w:t xml:space="preserve"> وإذا كان معلوم أن إثبات رب العالمين إنما هو إثبات وجود لا إثبات تحديد وتكييف، فإذا قلنا</w:t>
      </w:r>
      <w:r>
        <w:rPr>
          <w:rFonts w:eastAsia="Times New Roman" w:hint="cs"/>
          <w:rtl/>
        </w:rPr>
        <w:t>:</w:t>
      </w:r>
      <w:r w:rsidR="009C32A0">
        <w:rPr>
          <w:rFonts w:eastAsia="Times New Roman" w:hint="cs"/>
          <w:rtl/>
        </w:rPr>
        <w:t xml:space="preserve"> لله يَدُ وسمع وبصر فإنما هي صفات أَثْبَتَها الله تعالى لنفسه، ولا نقول إن معنى اليد القدرة، ولا أن معنى السمع والبصر</w:t>
      </w:r>
      <w:r>
        <w:rPr>
          <w:rFonts w:eastAsia="Times New Roman" w:hint="cs"/>
          <w:rtl/>
        </w:rPr>
        <w:t>:</w:t>
      </w:r>
      <w:r w:rsidR="009C32A0">
        <w:rPr>
          <w:rFonts w:eastAsia="Times New Roman" w:hint="cs"/>
          <w:rtl/>
        </w:rPr>
        <w:t xml:space="preserve"> العلم</w:t>
      </w:r>
      <w:r>
        <w:rPr>
          <w:rFonts w:eastAsia="Times New Roman" w:hint="cs"/>
          <w:rtl/>
        </w:rPr>
        <w:t>،</w:t>
      </w:r>
      <w:r w:rsidR="009C32A0">
        <w:rPr>
          <w:rFonts w:eastAsia="Times New Roman" w:hint="cs"/>
          <w:rtl/>
        </w:rPr>
        <w:t xml:space="preserve"> ولا نقول أنها جوارح، ولا نشبهها بالأيدي والأسماع والأبصار التي هي جوارح وأدوات للفعل، ونقول إنما وَجَبَ إثباتها لأن التوقيف ورد بها، ووجب نفي التشبيه عنها لقوله تعالى</w:t>
      </w:r>
      <w:r>
        <w:rPr>
          <w:rFonts w:eastAsia="Times New Roman" w:hint="cs"/>
          <w:rtl/>
        </w:rPr>
        <w:t>:</w:t>
      </w:r>
      <w:r w:rsidR="009C32A0">
        <w:rPr>
          <w:rFonts w:eastAsia="Times New Roman" w:hint="cs"/>
          <w:rtl/>
        </w:rPr>
        <w:t xml:space="preserve"> (ليس كمثله شيء) و(ولم يكن له كُفُواً أحداً) " أهـ</w:t>
      </w:r>
      <w:r>
        <w:rPr>
          <w:rFonts w:eastAsia="Times New Roman" w:hint="cs"/>
          <w:rtl/>
        </w:rPr>
        <w:t xml:space="preserve">، </w:t>
      </w:r>
      <w:r w:rsidR="009C32A0">
        <w:rPr>
          <w:rFonts w:eastAsia="Times New Roman" w:hint="cs"/>
          <w:rtl/>
        </w:rPr>
        <w:t>وينبغي لحظ شيئين في ذلك</w:t>
      </w:r>
      <w:r>
        <w:rPr>
          <w:rFonts w:eastAsia="Times New Roman" w:hint="cs"/>
          <w:rtl/>
        </w:rPr>
        <w:t>:</w:t>
      </w:r>
      <w:r w:rsidR="009C32A0">
        <w:rPr>
          <w:rFonts w:eastAsia="Times New Roman" w:hint="cs"/>
          <w:rtl/>
        </w:rPr>
        <w:t xml:space="preserve"> أولهما</w:t>
      </w:r>
      <w:r>
        <w:rPr>
          <w:rFonts w:eastAsia="Times New Roman" w:hint="cs"/>
          <w:rtl/>
        </w:rPr>
        <w:t>:</w:t>
      </w:r>
      <w:r w:rsidR="009C32A0">
        <w:rPr>
          <w:rFonts w:eastAsia="Times New Roman" w:hint="cs"/>
          <w:rtl/>
        </w:rPr>
        <w:t xml:space="preserve"> معنى (التشبيه) وحقيقته . قال ابن فارس رحمه الله تعالى في</w:t>
      </w:r>
      <w:r>
        <w:rPr>
          <w:rFonts w:eastAsia="Times New Roman" w:hint="cs"/>
          <w:rtl/>
        </w:rPr>
        <w:t>:</w:t>
      </w:r>
      <w:r w:rsidR="009C32A0">
        <w:rPr>
          <w:rFonts w:eastAsia="Times New Roman" w:hint="cs"/>
          <w:rtl/>
        </w:rPr>
        <w:t xml:space="preserve"> "مقاييس اللغة"</w:t>
      </w:r>
      <w:r>
        <w:rPr>
          <w:rFonts w:eastAsia="Times New Roman" w:hint="cs"/>
          <w:rtl/>
        </w:rPr>
        <w:t>:</w:t>
      </w:r>
      <w:r w:rsidR="009C32A0">
        <w:rPr>
          <w:rFonts w:eastAsia="Times New Roman" w:hint="cs"/>
          <w:rtl/>
        </w:rPr>
        <w:t xml:space="preserve"> (3/243)</w:t>
      </w:r>
      <w:r>
        <w:rPr>
          <w:rFonts w:eastAsia="Times New Roman" w:hint="cs"/>
          <w:rtl/>
        </w:rPr>
        <w:t>:</w:t>
      </w:r>
      <w:r w:rsidR="009C32A0">
        <w:rPr>
          <w:rFonts w:eastAsia="Times New Roman" w:hint="cs"/>
          <w:rtl/>
        </w:rPr>
        <w:t xml:space="preserve"> "الشين والباء والهاء أصل يدل على تشابه الشيء وتشاكله لوناً ووصفاً" وقال في</w:t>
      </w:r>
      <w:r>
        <w:rPr>
          <w:rFonts w:eastAsia="Times New Roman" w:hint="cs"/>
          <w:rtl/>
        </w:rPr>
        <w:t>:</w:t>
      </w:r>
      <w:r w:rsidR="009C32A0">
        <w:rPr>
          <w:rFonts w:eastAsia="Times New Roman" w:hint="cs"/>
          <w:rtl/>
        </w:rPr>
        <w:t xml:space="preserve"> (5/296): "الميم والثاء واللام أصل صحيح يدل على مناظرة الشيء للشيء. وهذا مثل هذا: أي نظيره . والمِثْل والمثال في معنى واحد</w:t>
      </w:r>
      <w:r>
        <w:rPr>
          <w:rFonts w:eastAsia="Times New Roman" w:hint="cs"/>
          <w:rtl/>
        </w:rPr>
        <w:t>،</w:t>
      </w:r>
      <w:r w:rsidR="009C32A0">
        <w:rPr>
          <w:rFonts w:eastAsia="Times New Roman" w:hint="cs"/>
          <w:rtl/>
        </w:rPr>
        <w:t>وربما قالوا</w:t>
      </w:r>
      <w:r>
        <w:rPr>
          <w:rFonts w:eastAsia="Times New Roman" w:hint="cs"/>
          <w:rtl/>
        </w:rPr>
        <w:t>:</w:t>
      </w:r>
      <w:r w:rsidR="009C32A0">
        <w:rPr>
          <w:rFonts w:eastAsia="Times New Roman" w:hint="cs"/>
          <w:rtl/>
        </w:rPr>
        <w:t xml:space="preserve"> مَثِيل كشبيه" أ.هـ. وكذا في</w:t>
      </w:r>
      <w:r>
        <w:rPr>
          <w:rFonts w:eastAsia="Times New Roman" w:hint="cs"/>
          <w:rtl/>
        </w:rPr>
        <w:t>:</w:t>
      </w:r>
      <w:r w:rsidR="009C32A0">
        <w:rPr>
          <w:rFonts w:eastAsia="Times New Roman" w:hint="cs"/>
          <w:rtl/>
        </w:rPr>
        <w:t xml:space="preserve"> "تهذيب اللغة" (6/90) و"القاموس" (ص/1610) </w:t>
      </w:r>
      <w:r w:rsidR="009C32A0">
        <w:rPr>
          <w:rFonts w:eastAsia="Times New Roman" w:hint="cs"/>
          <w:rtl/>
        </w:rPr>
        <w:lastRenderedPageBreak/>
        <w:t>و"اللسان" (13/504) و"الصحاح" (6/2236) وغيرها . وقال الكفوي في "الكليات" (ص/270)</w:t>
      </w:r>
      <w:r>
        <w:rPr>
          <w:rFonts w:eastAsia="Times New Roman" w:hint="cs"/>
          <w:rtl/>
        </w:rPr>
        <w:t>:</w:t>
      </w:r>
      <w:r w:rsidR="009C32A0">
        <w:rPr>
          <w:rFonts w:eastAsia="Times New Roman" w:hint="cs"/>
          <w:rtl/>
        </w:rPr>
        <w:t xml:space="preserve"> "التشبيه في اللغة</w:t>
      </w:r>
      <w:r>
        <w:rPr>
          <w:rFonts w:eastAsia="Times New Roman" w:hint="cs"/>
          <w:rtl/>
        </w:rPr>
        <w:t>:</w:t>
      </w:r>
      <w:r w:rsidR="009C32A0">
        <w:rPr>
          <w:rFonts w:eastAsia="Times New Roman" w:hint="cs"/>
          <w:rtl/>
        </w:rPr>
        <w:t xml:space="preserve"> التمثيل مطلقاً . وفي الاصطلاح: هو الدلالة على اشتراك شيئين في وصف من أوصاف الشيء الواحد في نفسه" أ. هـ</w:t>
      </w:r>
      <w:r>
        <w:rPr>
          <w:rFonts w:eastAsia="Times New Roman" w:hint="cs"/>
          <w:rtl/>
        </w:rPr>
        <w:t>،</w:t>
      </w:r>
      <w:r w:rsidR="009C32A0">
        <w:rPr>
          <w:rFonts w:eastAsia="Times New Roman" w:hint="cs"/>
          <w:rtl/>
        </w:rPr>
        <w:t xml:space="preserve"> والثاني</w:t>
      </w:r>
      <w:r>
        <w:rPr>
          <w:rFonts w:eastAsia="Times New Roman" w:hint="cs"/>
          <w:rtl/>
        </w:rPr>
        <w:t>:</w:t>
      </w:r>
      <w:r w:rsidR="009C32A0">
        <w:rPr>
          <w:rFonts w:eastAsia="Times New Roman" w:hint="cs"/>
          <w:rtl/>
        </w:rPr>
        <w:t xml:space="preserve"> ليس من التشبيه الباطل التَّشابه اللَّفْظي</w:t>
      </w:r>
      <w:r>
        <w:rPr>
          <w:rFonts w:eastAsia="Times New Roman" w:hint="cs"/>
          <w:rtl/>
        </w:rPr>
        <w:t>:</w:t>
      </w:r>
      <w:r w:rsidR="009C32A0">
        <w:rPr>
          <w:rFonts w:eastAsia="Times New Roman" w:hint="cs"/>
          <w:rtl/>
        </w:rPr>
        <w:t xml:space="preserve"> كـ (السميع البصير) في قوله سبحانه</w:t>
      </w:r>
      <w:r>
        <w:rPr>
          <w:rFonts w:eastAsia="Times New Roman" w:hint="cs"/>
          <w:rtl/>
        </w:rPr>
        <w:t>:</w:t>
      </w:r>
      <w:r w:rsidR="009C32A0">
        <w:rPr>
          <w:rFonts w:eastAsia="Times New Roman" w:hint="cs"/>
          <w:rtl/>
        </w:rPr>
        <w:t xml:space="preserve"> (ليس كمثله شيء وهو السميع البصير) وقوله</w:t>
      </w:r>
      <w:r>
        <w:rPr>
          <w:rFonts w:eastAsia="Times New Roman" w:hint="cs"/>
          <w:rtl/>
        </w:rPr>
        <w:t>:</w:t>
      </w:r>
      <w:r w:rsidR="009C32A0">
        <w:rPr>
          <w:rFonts w:eastAsia="Times New Roman" w:hint="cs"/>
          <w:rtl/>
        </w:rPr>
        <w:t xml:space="preserve"> (إنا خلقنا الإنسان من نطفة أمشاجٍ نبتليه فجعلناه سميعاً بصيراً) وهلم جراً من الأمثلة</w:t>
      </w:r>
      <w:r>
        <w:rPr>
          <w:rFonts w:eastAsia="Times New Roman" w:hint="cs"/>
          <w:rtl/>
        </w:rPr>
        <w:t xml:space="preserve">، </w:t>
      </w:r>
      <w:r w:rsidR="009C32A0">
        <w:rPr>
          <w:rFonts w:eastAsia="Times New Roman" w:hint="cs"/>
          <w:rtl/>
        </w:rPr>
        <w:t>وكذا الجائز في حق الله من المعاني، كـ (السَّمِيْع) من السَّمْع وهو إدراك الأصوات</w:t>
      </w:r>
      <w:r>
        <w:rPr>
          <w:rFonts w:eastAsia="Times New Roman" w:hint="cs"/>
          <w:rtl/>
        </w:rPr>
        <w:t>،</w:t>
      </w:r>
      <w:r w:rsidR="009C32A0">
        <w:rPr>
          <w:rFonts w:eastAsia="Times New Roman" w:hint="cs"/>
          <w:rtl/>
        </w:rPr>
        <w:t xml:space="preserve"> حيث يجوز إضافة هذا المعنى إلى الله، قال البخاري في</w:t>
      </w:r>
      <w:r>
        <w:rPr>
          <w:rFonts w:eastAsia="Times New Roman" w:hint="cs"/>
          <w:rtl/>
        </w:rPr>
        <w:t>:</w:t>
      </w:r>
      <w:r w:rsidR="009C32A0">
        <w:rPr>
          <w:rFonts w:eastAsia="Times New Roman" w:hint="cs"/>
          <w:rtl/>
        </w:rPr>
        <w:t xml:space="preserve"> "جامعه"</w:t>
      </w:r>
      <w:r>
        <w:rPr>
          <w:rFonts w:eastAsia="Times New Roman" w:hint="cs"/>
          <w:rtl/>
        </w:rPr>
        <w:t>:</w:t>
      </w:r>
      <w:r w:rsidR="009C32A0">
        <w:rPr>
          <w:rFonts w:eastAsia="Times New Roman" w:hint="cs"/>
          <w:rtl/>
        </w:rPr>
        <w:t xml:space="preserve"> "قالت عائشة رضي الله عنها</w:t>
      </w:r>
      <w:r>
        <w:rPr>
          <w:rFonts w:eastAsia="Times New Roman" w:hint="cs"/>
          <w:rtl/>
        </w:rPr>
        <w:t>:</w:t>
      </w:r>
      <w:r w:rsidR="009C32A0">
        <w:rPr>
          <w:rFonts w:eastAsia="Times New Roman" w:hint="cs"/>
          <w:rtl/>
        </w:rPr>
        <w:t xml:space="preserve"> (الحمد لله الذي وسع سمعه الأصوات)". قال البخاري رحمه الله تعالى في</w:t>
      </w:r>
      <w:r>
        <w:rPr>
          <w:rFonts w:eastAsia="Times New Roman" w:hint="cs"/>
          <w:rtl/>
        </w:rPr>
        <w:t>:</w:t>
      </w:r>
      <w:r w:rsidR="009C32A0">
        <w:rPr>
          <w:rFonts w:eastAsia="Times New Roman" w:hint="cs"/>
          <w:rtl/>
        </w:rPr>
        <w:t xml:space="preserve"> "الصحيح"</w:t>
      </w:r>
      <w:r>
        <w:rPr>
          <w:rFonts w:eastAsia="Times New Roman" w:hint="cs"/>
          <w:rtl/>
        </w:rPr>
        <w:t>:</w:t>
      </w:r>
      <w:r w:rsidR="009C32A0">
        <w:rPr>
          <w:rFonts w:eastAsia="Times New Roman" w:hint="cs"/>
          <w:rtl/>
        </w:rPr>
        <w:t xml:space="preserve"> "باب قوله تعالى: (وكان الله سميعاً عليماً) وقالت عائشة</w:t>
      </w:r>
      <w:r>
        <w:rPr>
          <w:rFonts w:eastAsia="Times New Roman" w:hint="cs"/>
          <w:rtl/>
        </w:rPr>
        <w:t>:</w:t>
      </w:r>
      <w:r w:rsidR="009C32A0">
        <w:rPr>
          <w:rFonts w:eastAsia="Times New Roman" w:hint="cs"/>
          <w:rtl/>
        </w:rPr>
        <w:t>&lt; الحمد لله الذي وسع سمعه الأصوات&gt; فأنزل الله</w:t>
      </w:r>
      <w:r>
        <w:rPr>
          <w:rFonts w:eastAsia="Times New Roman" w:hint="cs"/>
          <w:rtl/>
        </w:rPr>
        <w:t>:</w:t>
      </w:r>
      <w:r w:rsidR="009C32A0">
        <w:rPr>
          <w:rFonts w:eastAsia="Times New Roman" w:hint="cs"/>
          <w:rtl/>
        </w:rPr>
        <w:t xml:space="preserve"> (قد سمع الله قول التي تجادلك في زوجها) الآية ". قال ابن بطال رحمه الله تعالى في</w:t>
      </w:r>
      <w:r>
        <w:rPr>
          <w:rFonts w:eastAsia="Times New Roman" w:hint="cs"/>
          <w:rtl/>
        </w:rPr>
        <w:t>:</w:t>
      </w:r>
      <w:r w:rsidR="009C32A0">
        <w:rPr>
          <w:rFonts w:eastAsia="Times New Roman" w:hint="cs"/>
          <w:rtl/>
        </w:rPr>
        <w:t xml:space="preserve"> "شرح البخاري" (1/417)</w:t>
      </w:r>
      <w:r>
        <w:rPr>
          <w:rFonts w:eastAsia="Times New Roman" w:hint="cs"/>
          <w:rtl/>
        </w:rPr>
        <w:t>:</w:t>
      </w:r>
      <w:r w:rsidR="009C32A0">
        <w:rPr>
          <w:rFonts w:eastAsia="Times New Roman" w:hint="cs"/>
          <w:rtl/>
        </w:rPr>
        <w:t xml:space="preserve"> "ومعنى قول عائشة</w:t>
      </w:r>
      <w:r>
        <w:rPr>
          <w:rFonts w:eastAsia="Times New Roman" w:hint="cs"/>
          <w:rtl/>
        </w:rPr>
        <w:t>:</w:t>
      </w:r>
      <w:r w:rsidR="009C32A0">
        <w:rPr>
          <w:rFonts w:eastAsia="Times New Roman" w:hint="cs"/>
          <w:rtl/>
        </w:rPr>
        <w:t xml:space="preserve"> (الحمد لله الذي وسع سمعه الأصوات) أدرك سمعه الأصوات، لا أنه اتسع سمعه لها؛ لأن الموصوف بالسعة يَصِحَّ وصفه بالضيق بدلاً منه، والوصفان جميعاً من صفات الأجسام" أ.هـ. المراد . وأما السمع الخاص بالمخلوق فَحِسُّ الأذن وما وَقَرَ فيها، كذا في</w:t>
      </w:r>
      <w:r>
        <w:rPr>
          <w:rFonts w:eastAsia="Times New Roman" w:hint="cs"/>
          <w:rtl/>
        </w:rPr>
        <w:t>:</w:t>
      </w:r>
      <w:r w:rsidR="009C32A0">
        <w:rPr>
          <w:rFonts w:eastAsia="Times New Roman" w:hint="cs"/>
          <w:rtl/>
        </w:rPr>
        <w:t xml:space="preserve"> "اللسان" (3/2096) وقال الراغب الأصفهاني رحمه الله تعالى في</w:t>
      </w:r>
      <w:r>
        <w:rPr>
          <w:rFonts w:eastAsia="Times New Roman" w:hint="cs"/>
          <w:rtl/>
        </w:rPr>
        <w:t>:</w:t>
      </w:r>
      <w:r w:rsidR="009C32A0">
        <w:rPr>
          <w:rFonts w:eastAsia="Times New Roman" w:hint="cs"/>
          <w:rtl/>
        </w:rPr>
        <w:t xml:space="preserve"> "مفردات ألفاظ القرآن" (ص/425)</w:t>
      </w:r>
      <w:r>
        <w:rPr>
          <w:rFonts w:eastAsia="Times New Roman" w:hint="cs"/>
          <w:rtl/>
        </w:rPr>
        <w:t>:</w:t>
      </w:r>
      <w:r w:rsidR="009C32A0">
        <w:rPr>
          <w:rFonts w:eastAsia="Times New Roman" w:hint="cs"/>
          <w:rtl/>
        </w:rPr>
        <w:t xml:space="preserve"> "السَّمْع قوة في الأذن به يُدْرِك الأصوات" أ.هـ. المراد . وأما ما علّقه البخاري عن عائشة رضي الله عنها فقد خرجه أحمد في</w:t>
      </w:r>
      <w:r>
        <w:rPr>
          <w:rFonts w:eastAsia="Times New Roman" w:hint="cs"/>
          <w:rtl/>
        </w:rPr>
        <w:t>:</w:t>
      </w:r>
      <w:r w:rsidR="009C32A0">
        <w:rPr>
          <w:rFonts w:eastAsia="Times New Roman" w:hint="cs"/>
          <w:rtl/>
        </w:rPr>
        <w:t xml:space="preserve"> "المسند" (6/46) والنسائي في</w:t>
      </w:r>
      <w:r>
        <w:rPr>
          <w:rFonts w:eastAsia="Times New Roman" w:hint="cs"/>
          <w:rtl/>
        </w:rPr>
        <w:t>:</w:t>
      </w:r>
      <w:r w:rsidR="009C32A0">
        <w:rPr>
          <w:rFonts w:eastAsia="Times New Roman" w:hint="cs"/>
          <w:rtl/>
        </w:rPr>
        <w:t xml:space="preserve"> "ألسنن" (6/168) وابن ماجه في ا: "السنن" برقم (188، 2063)، والحاكم في</w:t>
      </w:r>
      <w:r>
        <w:rPr>
          <w:rFonts w:eastAsia="Times New Roman" w:hint="cs"/>
          <w:rtl/>
        </w:rPr>
        <w:t>:</w:t>
      </w:r>
      <w:r w:rsidR="009C32A0">
        <w:rPr>
          <w:rFonts w:eastAsia="Times New Roman" w:hint="cs"/>
          <w:rtl/>
        </w:rPr>
        <w:t xml:space="preserve"> "المستدرك" (2/481) وقال</w:t>
      </w:r>
      <w:r>
        <w:rPr>
          <w:rFonts w:eastAsia="Times New Roman" w:hint="cs"/>
          <w:rtl/>
        </w:rPr>
        <w:t>:</w:t>
      </w:r>
      <w:r w:rsidR="009C32A0">
        <w:rPr>
          <w:rFonts w:eastAsia="Times New Roman" w:hint="cs"/>
          <w:rtl/>
        </w:rPr>
        <w:t xml:space="preserve"> "صحيح الإسناد ولم يخرجاه" ووافقه الذهبي</w:t>
      </w:r>
      <w:r>
        <w:rPr>
          <w:rFonts w:eastAsia="Times New Roman" w:hint="cs"/>
          <w:rtl/>
        </w:rPr>
        <w:t>،</w:t>
      </w:r>
      <w:r w:rsidR="009C32A0">
        <w:rPr>
          <w:rFonts w:eastAsia="Times New Roman" w:hint="cs"/>
          <w:rtl/>
        </w:rPr>
        <w:t xml:space="preserve"> وعلى كلٍّ فالتشابه في ذَيْنك الوجهين ليس من (التشبيه) لأن ما وصف الله به نفسه وكذا رسوله</w:t>
      </w:r>
      <w:r>
        <w:rPr>
          <w:rFonts w:eastAsia="Times New Roman" w:hint="cs"/>
          <w:rtl/>
        </w:rPr>
        <w:t>:</w:t>
      </w:r>
      <w:r w:rsidR="009C32A0">
        <w:rPr>
          <w:rFonts w:eastAsia="Times New Roman" w:hint="cs"/>
          <w:rtl/>
        </w:rPr>
        <w:t xml:space="preserve"> لا يكون كذلك ألبتَّة، يقول الإمام نُعيم بن حماد الخزاعي (ت: 228هـ) ـ كما في</w:t>
      </w:r>
      <w:r>
        <w:rPr>
          <w:rFonts w:eastAsia="Times New Roman" w:hint="cs"/>
          <w:rtl/>
        </w:rPr>
        <w:t>:</w:t>
      </w:r>
      <w:r w:rsidR="009C32A0">
        <w:rPr>
          <w:rFonts w:eastAsia="Times New Roman" w:hint="cs"/>
          <w:rtl/>
        </w:rPr>
        <w:t xml:space="preserve"> "شرح أصول الاعتقاد" (2/532) للالكائي</w:t>
      </w:r>
      <w:r>
        <w:rPr>
          <w:rFonts w:eastAsia="Times New Roman" w:hint="cs"/>
          <w:rtl/>
        </w:rPr>
        <w:t>:</w:t>
      </w:r>
      <w:r w:rsidR="009C32A0">
        <w:rPr>
          <w:rFonts w:eastAsia="Times New Roman" w:hint="cs"/>
          <w:rtl/>
        </w:rPr>
        <w:t xml:space="preserve"> "من شَبَّه الله بخلقه فقد كفر، ومن جحد ما وصف الله به نفسه فقد كفر، وليس ما وصف الله به نفسه ولا رسوله تشبيهاً" أهـ</w:t>
      </w:r>
      <w:r>
        <w:rPr>
          <w:rFonts w:eastAsia="Times New Roman" w:hint="cs"/>
          <w:rtl/>
        </w:rPr>
        <w:t xml:space="preserve">، </w:t>
      </w:r>
      <w:r w:rsidR="009C32A0">
        <w:rPr>
          <w:rFonts w:eastAsia="Times New Roman" w:hint="cs"/>
          <w:bCs/>
          <w:rtl/>
        </w:rPr>
        <w:t>وأما الثالثة</w:t>
      </w:r>
      <w:r>
        <w:rPr>
          <w:rFonts w:eastAsia="Times New Roman" w:hint="cs"/>
          <w:bCs/>
          <w:rtl/>
        </w:rPr>
        <w:t>:</w:t>
      </w:r>
      <w:r w:rsidR="009C32A0">
        <w:rPr>
          <w:rFonts w:eastAsia="Times New Roman" w:hint="cs"/>
          <w:bCs/>
          <w:rtl/>
        </w:rPr>
        <w:t xml:space="preserve"> فالتفويض مع عدم التفسير</w:t>
      </w:r>
      <w:r w:rsidR="009C32A0">
        <w:rPr>
          <w:rFonts w:eastAsia="Times New Roman" w:hint="cs"/>
          <w:rtl/>
        </w:rPr>
        <w:t>، قال الإمام البغوي رحمه الله تعالى في</w:t>
      </w:r>
      <w:r>
        <w:rPr>
          <w:rFonts w:eastAsia="Times New Roman" w:hint="cs"/>
          <w:rtl/>
        </w:rPr>
        <w:t>:</w:t>
      </w:r>
      <w:r w:rsidR="009C32A0">
        <w:rPr>
          <w:rFonts w:eastAsia="Times New Roman" w:hint="cs"/>
          <w:rtl/>
        </w:rPr>
        <w:t xml:space="preserve"> "التفسير" (1/241) عند قوله</w:t>
      </w:r>
      <w:r>
        <w:rPr>
          <w:rFonts w:eastAsia="Times New Roman" w:hint="cs"/>
          <w:rtl/>
        </w:rPr>
        <w:t>:</w:t>
      </w:r>
      <w:r w:rsidR="009C32A0">
        <w:rPr>
          <w:rFonts w:eastAsia="Times New Roman" w:hint="cs"/>
          <w:rtl/>
        </w:rPr>
        <w:t xml:space="preserve"> "إلا أن يأتيهم الله في ظلل من الغمام"</w:t>
      </w:r>
      <w:r>
        <w:rPr>
          <w:rFonts w:eastAsia="Times New Roman" w:hint="cs"/>
          <w:rtl/>
        </w:rPr>
        <w:t>:</w:t>
      </w:r>
      <w:r w:rsidR="009C32A0">
        <w:rPr>
          <w:rFonts w:eastAsia="Times New Roman" w:hint="cs"/>
          <w:rtl/>
        </w:rPr>
        <w:t xml:space="preserve"> "والأولى في هذه الآية وما شاكلها</w:t>
      </w:r>
      <w:r>
        <w:rPr>
          <w:rFonts w:eastAsia="Times New Roman" w:hint="cs"/>
          <w:rtl/>
        </w:rPr>
        <w:t>:</w:t>
      </w:r>
      <w:r w:rsidR="009C32A0">
        <w:rPr>
          <w:rFonts w:eastAsia="Times New Roman" w:hint="cs"/>
          <w:rtl/>
        </w:rPr>
        <w:t xml:space="preserve"> أن يؤمن الإنسان بظاهرها، ويَكلِ علمها إلى الله تعالى ويعتقد أن الله عز اسمه مُنَزَّه عن سمات الحدث، على ذلك مضت أئمة السلف وعلماء السنة . ثم قال</w:t>
      </w:r>
      <w:r>
        <w:rPr>
          <w:rFonts w:eastAsia="Times New Roman" w:hint="cs"/>
          <w:rtl/>
        </w:rPr>
        <w:t>:</w:t>
      </w:r>
      <w:r w:rsidR="009C32A0">
        <w:rPr>
          <w:rFonts w:eastAsia="Times New Roman" w:hint="cs"/>
          <w:rtl/>
        </w:rPr>
        <w:t xml:space="preserve"> "قال سفيان بن عيينة</w:t>
      </w:r>
      <w:r>
        <w:rPr>
          <w:rFonts w:eastAsia="Times New Roman" w:hint="cs"/>
          <w:rtl/>
        </w:rPr>
        <w:t>:</w:t>
      </w:r>
      <w:r w:rsidR="009C32A0">
        <w:rPr>
          <w:rFonts w:eastAsia="Times New Roman" w:hint="cs"/>
          <w:rtl/>
        </w:rPr>
        <w:t xml:space="preserve"> (كل ما وصف الله به نفسه في كتابه فتفسيره قراءته والسكوت عنه</w:t>
      </w:r>
      <w:r>
        <w:rPr>
          <w:rFonts w:eastAsia="Times New Roman" w:hint="cs"/>
          <w:rtl/>
        </w:rPr>
        <w:t>،</w:t>
      </w:r>
      <w:r w:rsidR="009C32A0">
        <w:rPr>
          <w:rFonts w:eastAsia="Times New Roman" w:hint="cs"/>
          <w:rtl/>
        </w:rPr>
        <w:t xml:space="preserve"> ليس لأحد أن يُفَسِّره إلا الله سبحانه ورسوله" أ.هـ. وقال الترمذي رحمه الله تعالى </w:t>
      </w:r>
      <w:r w:rsidR="009C32A0">
        <w:rPr>
          <w:rFonts w:eastAsia="Times New Roman" w:hint="cs"/>
          <w:rtl/>
        </w:rPr>
        <w:lastRenderedPageBreak/>
        <w:t>في "الجامع" (4/692)</w:t>
      </w:r>
      <w:r>
        <w:rPr>
          <w:rFonts w:eastAsia="Times New Roman" w:hint="cs"/>
          <w:rtl/>
        </w:rPr>
        <w:t>:</w:t>
      </w:r>
      <w:r w:rsidR="009C32A0">
        <w:rPr>
          <w:rFonts w:eastAsia="Times New Roman" w:hint="cs"/>
          <w:rtl/>
        </w:rPr>
        <w:t xml:space="preserve"> "الذي اختاره أهل الحديث</w:t>
      </w:r>
      <w:r>
        <w:rPr>
          <w:rFonts w:eastAsia="Times New Roman" w:hint="cs"/>
          <w:rtl/>
        </w:rPr>
        <w:t>:</w:t>
      </w:r>
      <w:r w:rsidR="009C32A0">
        <w:rPr>
          <w:rFonts w:eastAsia="Times New Roman" w:hint="cs"/>
          <w:rtl/>
        </w:rPr>
        <w:t xml:space="preserve"> أن تُروى هذه الأشياء كما جاءتْ ويُؤْمَن بها ولا تُفَسَّر، ولا تُتَوَهَّم ولا يُقال كيف؟ وهذا أمر أهل العلم الذي اختاروه وذهبوا إليه" أ.هـ. ويقول الإمام أبو عثمان الصابوني رحمه الله تعالى في</w:t>
      </w:r>
      <w:r>
        <w:rPr>
          <w:rFonts w:eastAsia="Times New Roman" w:hint="cs"/>
          <w:rtl/>
        </w:rPr>
        <w:t>:</w:t>
      </w:r>
      <w:r w:rsidR="009C32A0">
        <w:rPr>
          <w:rFonts w:eastAsia="Times New Roman" w:hint="cs"/>
          <w:rtl/>
        </w:rPr>
        <w:t xml:space="preserve"> "عقيدة أهل الحديث" (ص/44)</w:t>
      </w:r>
      <w:r>
        <w:rPr>
          <w:rFonts w:eastAsia="Times New Roman" w:hint="cs"/>
          <w:rtl/>
        </w:rPr>
        <w:t>:</w:t>
      </w:r>
      <w:r w:rsidR="009C32A0">
        <w:rPr>
          <w:rFonts w:eastAsia="Times New Roman" w:hint="cs"/>
          <w:rtl/>
        </w:rPr>
        <w:t xml:space="preserve"> "وعلماء الأمة وأعيان الأئمة من السلف رحمهم الله: لم يَخْتلفوا في أن الله على عرشه، وعرشه فوق سماواته، يُْثبتون من ذلك ما أثبته الله تعالى ويؤمنون به ويُصدِّقون الرب جل جلاله في خبره ويطلقون ما أطلقه سبحانه وتعالى من استوائه على العرش ويُمِرُّونه على ظاهره وَيكلِون علمه إلى الله، ويقولون (آمنا به كل من عند ربنا وما يذكر إلا أولو الألباب) كما أخبر الله تعالى عن الراسخين في العلم أنهم يقولون ذلك ورضيه منهم فأثنا عليهم به" أ.هـ</w:t>
      </w:r>
      <w:r>
        <w:rPr>
          <w:rFonts w:eastAsia="Times New Roman" w:hint="cs"/>
          <w:rtl/>
        </w:rPr>
        <w:t xml:space="preserve">، </w:t>
      </w:r>
      <w:r w:rsidR="009C32A0">
        <w:rPr>
          <w:rFonts w:eastAsia="Times New Roman" w:hint="cs"/>
          <w:bCs/>
          <w:rtl/>
        </w:rPr>
        <w:t>وحاصل حقيقة (التفويض) ثلاثة أشياء</w:t>
      </w:r>
      <w:r>
        <w:rPr>
          <w:rFonts w:eastAsia="Times New Roman" w:hint="cs"/>
          <w:rtl/>
        </w:rPr>
        <w:t>: (</w:t>
      </w:r>
      <w:r w:rsidR="009C32A0">
        <w:rPr>
          <w:rFonts w:eastAsia="Times New Roman" w:hint="cs"/>
          <w:rtl/>
        </w:rPr>
        <w:t>أولها</w:t>
      </w:r>
      <w:r>
        <w:rPr>
          <w:rFonts w:eastAsia="Times New Roman" w:hint="cs"/>
          <w:rtl/>
        </w:rPr>
        <w:t>):</w:t>
      </w:r>
      <w:r w:rsidR="009C32A0">
        <w:rPr>
          <w:rFonts w:eastAsia="Times New Roman" w:hint="cs"/>
          <w:rtl/>
        </w:rPr>
        <w:t xml:space="preserve"> أن المعنى المُتبادَر للذِّهن من أخبار الصفات غيرُ مراد ؛ لأنه لا يَلِيق بالله تعالى بل بالحسٍّيات كمعنى الجارحة في (اليد) والحَدَقَة في (العين)، والطَّرَف الأدنى الذي يَعْتَنِزُ عليه الجسم في قيامه ومَشْيه في (القَدَم) و(الرِّجْل) . وهو بَيِّن بنفي التشبيه عن الله جَلّ جلاله، ونَصَّ عليه جماعة عند تقريرهم لمذهب السلف، ومنهم ابن جماعة الكناني رحمه الله تعالى في</w:t>
      </w:r>
      <w:r>
        <w:rPr>
          <w:rFonts w:eastAsia="Times New Roman" w:hint="cs"/>
          <w:rtl/>
        </w:rPr>
        <w:t>:</w:t>
      </w:r>
      <w:r w:rsidR="009C32A0">
        <w:rPr>
          <w:rFonts w:eastAsia="Times New Roman" w:hint="cs"/>
          <w:rtl/>
        </w:rPr>
        <w:t xml:space="preserve"> "إيضاح الدليل في قَطْع حُججِ أهل التعطيل" (ص/92) حيث قال بعد تقريره افتراق الأمة وظهور البدع</w:t>
      </w:r>
      <w:r>
        <w:rPr>
          <w:rFonts w:eastAsia="Times New Roman" w:hint="cs"/>
          <w:rtl/>
        </w:rPr>
        <w:t>:</w:t>
      </w:r>
      <w:r w:rsidR="009C32A0">
        <w:rPr>
          <w:rFonts w:eastAsia="Times New Roman" w:hint="cs"/>
          <w:rtl/>
        </w:rPr>
        <w:t xml:space="preserve"> "فاحتاج أهل الحق إلى الرد على ما ابتدعوه، وإقامة الحجج على ما تقولوه، وانقسموا قسمين: أحدهما</w:t>
      </w:r>
      <w:r>
        <w:rPr>
          <w:rFonts w:eastAsia="Times New Roman" w:hint="cs"/>
          <w:rtl/>
        </w:rPr>
        <w:t>:</w:t>
      </w:r>
      <w:r w:rsidR="009C32A0">
        <w:rPr>
          <w:rFonts w:eastAsia="Times New Roman" w:hint="cs"/>
          <w:rtl/>
        </w:rPr>
        <w:t xml:space="preserve"> أهل التأويل ... والثاني</w:t>
      </w:r>
      <w:r>
        <w:rPr>
          <w:rFonts w:eastAsia="Times New Roman" w:hint="cs"/>
          <w:rtl/>
        </w:rPr>
        <w:t>:</w:t>
      </w:r>
      <w:r w:rsidR="009C32A0">
        <w:rPr>
          <w:rFonts w:eastAsia="Times New Roman" w:hint="cs"/>
          <w:rtl/>
        </w:rPr>
        <w:t xml:space="preserve"> القائلون بالقول المعروف بقول السلف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 أ.هـ المراد</w:t>
      </w:r>
      <w:r>
        <w:rPr>
          <w:rFonts w:eastAsia="Times New Roman" w:hint="cs"/>
          <w:rtl/>
        </w:rPr>
        <w:t>،</w:t>
      </w:r>
      <w:r w:rsidR="009C32A0">
        <w:rPr>
          <w:rFonts w:eastAsia="Times New Roman" w:hint="cs"/>
          <w:rtl/>
        </w:rPr>
        <w:t xml:space="preserve"> و </w:t>
      </w:r>
      <w:r>
        <w:rPr>
          <w:rFonts w:eastAsia="Times New Roman" w:hint="cs"/>
          <w:rtl/>
        </w:rPr>
        <w:t>(</w:t>
      </w:r>
      <w:r w:rsidR="009C32A0">
        <w:rPr>
          <w:rFonts w:eastAsia="Times New Roman" w:hint="cs"/>
          <w:rtl/>
        </w:rPr>
        <w:t>ثانيها</w:t>
      </w:r>
      <w:r>
        <w:rPr>
          <w:rFonts w:eastAsia="Times New Roman" w:hint="cs"/>
          <w:rtl/>
        </w:rPr>
        <w:t>):</w:t>
      </w:r>
      <w:r w:rsidR="009C32A0">
        <w:rPr>
          <w:rFonts w:eastAsia="Times New Roman" w:hint="cs"/>
          <w:rtl/>
        </w:rPr>
        <w:t xml:space="preserve"> أن هناك معنى للصفة يَلِيق بالله لكن يُسْكَتْ عن تَعْيينه وهو بَيِّن بِرَدِّ عِلْم الصِّفات إلى الله تعالى مع أن جماعة قَرَّروه عن السلف، ومنهم الإمام النووي رحمه الله تعالى في</w:t>
      </w:r>
      <w:r>
        <w:rPr>
          <w:rFonts w:eastAsia="Times New Roman" w:hint="cs"/>
          <w:rtl/>
        </w:rPr>
        <w:t>:</w:t>
      </w:r>
      <w:r w:rsidR="009C32A0">
        <w:rPr>
          <w:rFonts w:eastAsia="Times New Roman" w:hint="cs"/>
          <w:rtl/>
        </w:rPr>
        <w:t xml:space="preserve"> "شرح مسلم" (3/19) حيث قال</w:t>
      </w:r>
      <w:r>
        <w:rPr>
          <w:rFonts w:eastAsia="Times New Roman" w:hint="cs"/>
          <w:rtl/>
        </w:rPr>
        <w:t>:</w:t>
      </w:r>
      <w:r w:rsidR="009C32A0">
        <w:rPr>
          <w:rFonts w:eastAsia="Times New Roman" w:hint="cs"/>
          <w:rtl/>
        </w:rPr>
        <w:t xml:space="preserve"> "اعلم أن لأهل العلم في أحاديث الصفات وآيات الصفات قولين</w:t>
      </w:r>
      <w:r>
        <w:rPr>
          <w:rFonts w:eastAsia="Times New Roman" w:hint="cs"/>
          <w:rtl/>
        </w:rPr>
        <w:t>:</w:t>
      </w:r>
      <w:r w:rsidR="009C32A0">
        <w:rPr>
          <w:rFonts w:eastAsia="Times New Roman" w:hint="cs"/>
          <w:rtl/>
        </w:rPr>
        <w:t xml:space="preserve"> أحدهما: وهو مذهب معظم السلف أو كلهم</w:t>
      </w:r>
      <w:r>
        <w:rPr>
          <w:rFonts w:eastAsia="Times New Roman" w:hint="cs"/>
          <w:rtl/>
        </w:rPr>
        <w:t>:</w:t>
      </w:r>
      <w:r w:rsidR="009C32A0">
        <w:rPr>
          <w:rFonts w:eastAsia="Times New Roman" w:hint="cs"/>
          <w:rtl/>
        </w:rPr>
        <w:t xml:space="preserve"> أنه لا يُتَكَلَّم في معناها، بل يقولون</w:t>
      </w:r>
      <w:r>
        <w:rPr>
          <w:rFonts w:eastAsia="Times New Roman" w:hint="cs"/>
          <w:rtl/>
        </w:rPr>
        <w:t>:</w:t>
      </w:r>
      <w:r w:rsidR="009C32A0">
        <w:rPr>
          <w:rFonts w:eastAsia="Times New Roman" w:hint="cs"/>
          <w:rtl/>
        </w:rPr>
        <w:t xml:space="preserve"> يجب علينا أن نؤمن بها ونعتقد لها معنى يليق بجلال الله وعظمته</w:t>
      </w:r>
      <w:r>
        <w:rPr>
          <w:rFonts w:eastAsia="Times New Roman" w:hint="cs"/>
          <w:rtl/>
        </w:rPr>
        <w:t>،</w:t>
      </w:r>
      <w:r w:rsidR="009C32A0">
        <w:rPr>
          <w:rFonts w:eastAsia="Times New Roman" w:hint="cs"/>
          <w:rtl/>
        </w:rPr>
        <w:t xml:space="preserve"> مع اعتقادنا الجازم بأن الله تعالى ليس كمثله شيء، وأنه مُنـزَّه عن التجسيم والانتقال والتَّحيُّر في جهة وعن سائر صفات المخلوق" أ.هـ. المراد . وقال الإمام ابن عبد البر رحمه الله تعالى في</w:t>
      </w:r>
      <w:r>
        <w:rPr>
          <w:rFonts w:eastAsia="Times New Roman" w:hint="cs"/>
          <w:rtl/>
        </w:rPr>
        <w:t>:</w:t>
      </w:r>
      <w:r w:rsidR="009C32A0">
        <w:rPr>
          <w:rFonts w:eastAsia="Times New Roman" w:hint="cs"/>
          <w:rtl/>
        </w:rPr>
        <w:t xml:space="preserve"> "جامع بيان العلم وفضله" (2/97)</w:t>
      </w:r>
      <w:r>
        <w:rPr>
          <w:rFonts w:eastAsia="Times New Roman" w:hint="cs"/>
          <w:rtl/>
        </w:rPr>
        <w:t>:</w:t>
      </w:r>
      <w:r w:rsidR="009C32A0">
        <w:rPr>
          <w:rFonts w:eastAsia="Times New Roman" w:hint="cs"/>
          <w:rtl/>
        </w:rPr>
        <w:t xml:space="preserve"> "رواها ـ أي</w:t>
      </w:r>
      <w:r>
        <w:rPr>
          <w:rFonts w:eastAsia="Times New Roman" w:hint="cs"/>
          <w:rtl/>
        </w:rPr>
        <w:t>:</w:t>
      </w:r>
      <w:r w:rsidR="009C32A0">
        <w:rPr>
          <w:rFonts w:eastAsia="Times New Roman" w:hint="cs"/>
          <w:rtl/>
        </w:rPr>
        <w:t xml:space="preserve"> أخبار الصفات ـ السلف وسكتوا عنها، وهم كانوا أعمق الناس علماً</w:t>
      </w:r>
      <w:r>
        <w:rPr>
          <w:rFonts w:eastAsia="Times New Roman" w:hint="cs"/>
          <w:rtl/>
        </w:rPr>
        <w:t>،</w:t>
      </w:r>
      <w:r w:rsidR="009C32A0">
        <w:rPr>
          <w:rFonts w:eastAsia="Times New Roman" w:hint="cs"/>
          <w:rtl/>
        </w:rPr>
        <w:t xml:space="preserve"> وأوسعهم فهماً، وأقلهم تكلفاً، ولم يكن سكوتهم عن عِيّ، فمن لم يَسَعَه ما وَسِعَهم فقد خاب وخسر" أ.هـ</w:t>
      </w:r>
      <w:r>
        <w:rPr>
          <w:rFonts w:eastAsia="Times New Roman" w:hint="cs"/>
          <w:rtl/>
        </w:rPr>
        <w:t>،</w:t>
      </w:r>
      <w:r w:rsidR="009C32A0">
        <w:rPr>
          <w:rFonts w:eastAsia="Times New Roman" w:hint="cs"/>
          <w:rtl/>
        </w:rPr>
        <w:t xml:space="preserve"> و </w:t>
      </w:r>
      <w:r>
        <w:rPr>
          <w:rFonts w:eastAsia="Times New Roman" w:hint="cs"/>
          <w:rtl/>
        </w:rPr>
        <w:t>(</w:t>
      </w:r>
      <w:r w:rsidR="009C32A0">
        <w:rPr>
          <w:rFonts w:eastAsia="Times New Roman" w:hint="cs"/>
          <w:rtl/>
        </w:rPr>
        <w:t>ثالثها</w:t>
      </w:r>
      <w:r>
        <w:rPr>
          <w:rFonts w:eastAsia="Times New Roman" w:hint="cs"/>
          <w:rtl/>
        </w:rPr>
        <w:t>):</w:t>
      </w:r>
      <w:r w:rsidR="009C32A0">
        <w:rPr>
          <w:rFonts w:eastAsia="Times New Roman" w:hint="cs"/>
          <w:rtl/>
        </w:rPr>
        <w:t xml:space="preserve"> رَدُّ العلم بمعاني الصفاتِ اللائقة بالله إليه سبحانه . وفيه نُقُولٌ سبقتْ، وهو مشهور عن </w:t>
      </w:r>
      <w:r w:rsidR="009C32A0">
        <w:rPr>
          <w:rFonts w:eastAsia="Times New Roman" w:hint="cs"/>
          <w:rtl/>
        </w:rPr>
        <w:lastRenderedPageBreak/>
        <w:t>السلف، قال البدر العيني رحمه الله تعالى في "عمدة القاري"</w:t>
      </w:r>
      <w:r>
        <w:rPr>
          <w:rFonts w:eastAsia="Times New Roman" w:hint="cs"/>
          <w:rtl/>
        </w:rPr>
        <w:t>:</w:t>
      </w:r>
      <w:r w:rsidR="009C32A0">
        <w:rPr>
          <w:rFonts w:eastAsia="Times New Roman" w:hint="cs"/>
          <w:rtl/>
        </w:rPr>
        <w:t xml:space="preserve"> (3/624)</w:t>
      </w:r>
      <w:r>
        <w:rPr>
          <w:rFonts w:eastAsia="Times New Roman" w:hint="cs"/>
          <w:rtl/>
        </w:rPr>
        <w:t>:</w:t>
      </w:r>
      <w:r w:rsidR="009C32A0">
        <w:rPr>
          <w:rFonts w:eastAsia="Times New Roman" w:hint="cs"/>
          <w:rtl/>
        </w:rPr>
        <w:t xml:space="preserve"> "لا شك أن النـزول انتقال الجسم من فوق إلى تحت، والله منـزه عن ذلك فما ورد من ذلك فهو من المتشابهات والعلماء فيه على قسمين</w:t>
      </w:r>
      <w:r>
        <w:rPr>
          <w:rFonts w:eastAsia="Times New Roman" w:hint="cs"/>
          <w:rtl/>
        </w:rPr>
        <w:t>:</w:t>
      </w:r>
      <w:r w:rsidR="009C32A0">
        <w:rPr>
          <w:rFonts w:eastAsia="Times New Roman" w:hint="cs"/>
          <w:rtl/>
        </w:rPr>
        <w:t xml:space="preserve"> الأول</w:t>
      </w:r>
      <w:r>
        <w:rPr>
          <w:rFonts w:eastAsia="Times New Roman" w:hint="cs"/>
          <w:rtl/>
        </w:rPr>
        <w:t>:</w:t>
      </w:r>
      <w:r w:rsidR="009C32A0">
        <w:rPr>
          <w:rFonts w:eastAsia="Times New Roman" w:hint="cs"/>
          <w:rtl/>
        </w:rPr>
        <w:t xml:space="preserve"> المفوِّضة، يؤمنون بها يُفَوِّضون تأويلها إلى الله عز وجل مع الجزم بتنـزيهه عن صفات النقصان . والثاني</w:t>
      </w:r>
      <w:r>
        <w:rPr>
          <w:rFonts w:eastAsia="Times New Roman" w:hint="cs"/>
          <w:rtl/>
        </w:rPr>
        <w:t>:</w:t>
      </w:r>
      <w:r w:rsidR="009C32A0">
        <w:rPr>
          <w:rFonts w:eastAsia="Times New Roman" w:hint="cs"/>
          <w:rtl/>
        </w:rPr>
        <w:t xml:space="preserve"> المؤولة . يؤولونها على ما يليق به بحسب المواطن، فأولوا بأن معنى (ينـزل الله)</w:t>
      </w:r>
      <w:r>
        <w:rPr>
          <w:rFonts w:eastAsia="Times New Roman" w:hint="cs"/>
          <w:rtl/>
        </w:rPr>
        <w:t>:</w:t>
      </w:r>
      <w:r w:rsidR="009C32A0">
        <w:rPr>
          <w:rFonts w:eastAsia="Times New Roman" w:hint="cs"/>
          <w:rtl/>
        </w:rPr>
        <w:t xml:space="preserve"> ينـزل أمره، أو ملائكته، وبأنه استعارة، ومعناه</w:t>
      </w:r>
      <w:r>
        <w:rPr>
          <w:rFonts w:eastAsia="Times New Roman" w:hint="cs"/>
          <w:rtl/>
        </w:rPr>
        <w:t>:</w:t>
      </w:r>
      <w:r w:rsidR="009C32A0">
        <w:rPr>
          <w:rFonts w:eastAsia="Times New Roman" w:hint="cs"/>
          <w:rtl/>
        </w:rPr>
        <w:t xml:space="preserve"> التَّلطُّف بالداعين والإجابة لهم ونحو ذلك" أ.هـ المراد. وقال الإمام السيوطي رحمه الله تعالى</w:t>
      </w:r>
      <w:r>
        <w:rPr>
          <w:rFonts w:eastAsia="Times New Roman" w:hint="cs"/>
          <w:rtl/>
        </w:rPr>
        <w:t>:</w:t>
      </w:r>
      <w:r w:rsidR="009C32A0">
        <w:rPr>
          <w:rFonts w:eastAsia="Times New Roman" w:hint="cs"/>
          <w:rtl/>
        </w:rPr>
        <w:t xml:space="preserve"> في "الإتقان" (2/6)</w:t>
      </w:r>
      <w:r>
        <w:rPr>
          <w:rFonts w:eastAsia="Times New Roman" w:hint="cs"/>
          <w:rtl/>
        </w:rPr>
        <w:t>:</w:t>
      </w:r>
      <w:r w:rsidR="009C32A0">
        <w:rPr>
          <w:rFonts w:eastAsia="Times New Roman" w:hint="cs"/>
          <w:rtl/>
        </w:rPr>
        <w:t xml:space="preserve"> "ومن المتشابه آيات الصفات... وجمهور أهل السنة منهم السلف وأهل الحديث على الإيمان بها وتفويض معناها المراد منها إلى الله تعالى</w:t>
      </w:r>
      <w:r>
        <w:rPr>
          <w:rFonts w:eastAsia="Times New Roman" w:hint="cs"/>
          <w:rtl/>
        </w:rPr>
        <w:t>،</w:t>
      </w:r>
      <w:r w:rsidR="009C32A0">
        <w:rPr>
          <w:rFonts w:eastAsia="Times New Roman" w:hint="cs"/>
          <w:rtl/>
        </w:rPr>
        <w:t xml:space="preserve"> ولا نُفسِّرها مع تنزيهنا له عن حقيقتها"،</w:t>
      </w:r>
      <w:r>
        <w:rPr>
          <w:rFonts w:eastAsia="Times New Roman" w:hint="cs"/>
          <w:rtl/>
        </w:rPr>
        <w:t xml:space="preserve"> </w:t>
      </w:r>
      <w:r w:rsidR="009C32A0">
        <w:rPr>
          <w:rFonts w:eastAsia="Times New Roman" w:hint="cs"/>
          <w:rtl/>
        </w:rPr>
        <w:t>وقال البدر الزركشي رحمه الله تعالى في</w:t>
      </w:r>
      <w:r>
        <w:rPr>
          <w:rFonts w:eastAsia="Times New Roman" w:hint="cs"/>
          <w:rtl/>
        </w:rPr>
        <w:t>:</w:t>
      </w:r>
      <w:r w:rsidR="009C32A0">
        <w:rPr>
          <w:rFonts w:eastAsia="Times New Roman" w:hint="cs"/>
          <w:rtl/>
        </w:rPr>
        <w:t xml:space="preserve"> "البرهان" (1/78ـ79)</w:t>
      </w:r>
      <w:r>
        <w:rPr>
          <w:rFonts w:eastAsia="Times New Roman" w:hint="cs"/>
          <w:rtl/>
        </w:rPr>
        <w:t>:</w:t>
      </w:r>
      <w:r w:rsidR="009C32A0">
        <w:rPr>
          <w:rFonts w:eastAsia="Times New Roman" w:hint="cs"/>
          <w:rtl/>
        </w:rPr>
        <w:t xml:space="preserve"> "النوع السابع والثلاثون: في حكم المتشابهات الواردة في الصفات وقد اختلف الناس في الوارد منها في الآيات والأحاديث على ثلاث فرق</w:t>
      </w:r>
      <w:r>
        <w:rPr>
          <w:rFonts w:eastAsia="Times New Roman" w:hint="cs"/>
          <w:rtl/>
        </w:rPr>
        <w:t>:</w:t>
      </w:r>
      <w:r w:rsidR="009C32A0">
        <w:rPr>
          <w:rFonts w:eastAsia="Times New Roman" w:hint="cs"/>
          <w:rtl/>
        </w:rPr>
        <w:t xml:space="preserve"> أحدها؛ أنه لا مدخل للتأويل فيها، بل تُجرى على ظاهرها، ولا تُؤَوِّل شيئاً منها</w:t>
      </w:r>
      <w:r>
        <w:rPr>
          <w:rFonts w:eastAsia="Times New Roman" w:hint="cs"/>
          <w:rtl/>
        </w:rPr>
        <w:t>،</w:t>
      </w:r>
      <w:r w:rsidR="009C32A0">
        <w:rPr>
          <w:rFonts w:eastAsia="Times New Roman" w:hint="cs"/>
          <w:rtl/>
        </w:rPr>
        <w:t xml:space="preserve"> وهم المشبهة. والثاني</w:t>
      </w:r>
      <w:r>
        <w:rPr>
          <w:rFonts w:eastAsia="Times New Roman" w:hint="cs"/>
          <w:rtl/>
        </w:rPr>
        <w:t>:</w:t>
      </w:r>
      <w:r w:rsidR="009C32A0">
        <w:rPr>
          <w:rFonts w:eastAsia="Times New Roman" w:hint="cs"/>
          <w:rtl/>
        </w:rPr>
        <w:t xml:space="preserve"> أن لها تأويلاً، ولكنا نمسك عنه مع تنـزيه اعتقادنا عن الشَّبه والتعطيل، ونقول</w:t>
      </w:r>
      <w:r>
        <w:rPr>
          <w:rFonts w:eastAsia="Times New Roman" w:hint="cs"/>
          <w:rtl/>
        </w:rPr>
        <w:t>:</w:t>
      </w:r>
      <w:r w:rsidR="009C32A0">
        <w:rPr>
          <w:rFonts w:eastAsia="Times New Roman" w:hint="cs"/>
          <w:rtl/>
        </w:rPr>
        <w:t xml:space="preserve"> لا يعلمه إلا الله، وهو قول السلف. والثالث</w:t>
      </w:r>
      <w:r>
        <w:rPr>
          <w:rFonts w:eastAsia="Times New Roman" w:hint="cs"/>
          <w:rtl/>
        </w:rPr>
        <w:t>:</w:t>
      </w:r>
      <w:r w:rsidR="009C32A0">
        <w:rPr>
          <w:rFonts w:eastAsia="Times New Roman" w:hint="cs"/>
          <w:rtl/>
        </w:rPr>
        <w:t xml:space="preserve"> بأنها مؤولة</w:t>
      </w:r>
      <w:r>
        <w:rPr>
          <w:rFonts w:eastAsia="Times New Roman" w:hint="cs"/>
          <w:rtl/>
        </w:rPr>
        <w:t>،</w:t>
      </w:r>
      <w:r w:rsidR="009C32A0">
        <w:rPr>
          <w:rFonts w:eastAsia="Times New Roman" w:hint="cs"/>
          <w:rtl/>
        </w:rPr>
        <w:t xml:space="preserve"> وأَوَّلوها على ما يليق به، والأول باطل، والأخيران منقولان عن الصحابة ... قال الشيخ أبو عمر بن الصلاح</w:t>
      </w:r>
      <w:r>
        <w:rPr>
          <w:rFonts w:eastAsia="Times New Roman" w:hint="cs"/>
          <w:rtl/>
        </w:rPr>
        <w:t>:</w:t>
      </w:r>
      <w:r w:rsidR="009C32A0">
        <w:rPr>
          <w:rFonts w:eastAsia="Times New Roman" w:hint="cs"/>
          <w:rtl/>
        </w:rPr>
        <w:t xml:space="preserve"> (وعلى هذه الطريقة أي: التفويض ـ مضى صدر الأمة وسادتها</w:t>
      </w:r>
      <w:r>
        <w:rPr>
          <w:rFonts w:eastAsia="Times New Roman" w:hint="cs"/>
          <w:rtl/>
        </w:rPr>
        <w:t>،</w:t>
      </w:r>
      <w:r w:rsidR="009C32A0">
        <w:rPr>
          <w:rFonts w:eastAsia="Times New Roman" w:hint="cs"/>
          <w:rtl/>
        </w:rPr>
        <w:t>وإياها اختار أئمة الفقهاء وقادتها</w:t>
      </w:r>
      <w:r>
        <w:rPr>
          <w:rFonts w:eastAsia="Times New Roman" w:hint="cs"/>
          <w:rtl/>
        </w:rPr>
        <w:t>،</w:t>
      </w:r>
      <w:r w:rsidR="009C32A0">
        <w:rPr>
          <w:rFonts w:eastAsia="Times New Roman" w:hint="cs"/>
          <w:rtl/>
        </w:rPr>
        <w:t xml:space="preserve"> وإليها دعا أئمة الحديث وأعلامه</w:t>
      </w:r>
      <w:r>
        <w:rPr>
          <w:rFonts w:eastAsia="Times New Roman" w:hint="cs"/>
          <w:rtl/>
        </w:rPr>
        <w:t>،</w:t>
      </w:r>
      <w:r w:rsidR="009C32A0">
        <w:rPr>
          <w:rFonts w:eastAsia="Times New Roman" w:hint="cs"/>
          <w:rtl/>
        </w:rPr>
        <w:t xml:space="preserve"> ولا أحد من المتكلمين من أصحابنا يَصْدق عنها ويأباها. وأفصح الغَزَّالي عنهم في غير موضع بتهجين ما سواها حتى ألْجم آخراً في (إلجامه) كل عالم أو عامي عما عداها) . قال</w:t>
      </w:r>
      <w:r>
        <w:rPr>
          <w:rFonts w:eastAsia="Times New Roman" w:hint="cs"/>
          <w:rtl/>
        </w:rPr>
        <w:t>:</w:t>
      </w:r>
      <w:r w:rsidR="009C32A0">
        <w:rPr>
          <w:rFonts w:eastAsia="Times New Roman" w:hint="cs"/>
          <w:rtl/>
        </w:rPr>
        <w:t xml:space="preserve"> وهو كتاب</w:t>
      </w:r>
      <w:r>
        <w:rPr>
          <w:rFonts w:eastAsia="Times New Roman" w:hint="cs"/>
          <w:rtl/>
        </w:rPr>
        <w:t>:</w:t>
      </w:r>
      <w:r w:rsidR="009C32A0">
        <w:rPr>
          <w:rFonts w:eastAsia="Times New Roman" w:hint="cs"/>
          <w:rtl/>
        </w:rPr>
        <w:t xml:space="preserve"> "إلجام العوام عن علم الكلام" آخر تصانيف الغزالي مطلقاً، آخر تصانيفه في أصول الدين، حَثَّ فيه على مذاهب السلف وَمْن تبعهم" أ.هـ. المراد</w:t>
      </w:r>
      <w:r>
        <w:rPr>
          <w:rFonts w:eastAsia="Times New Roman" w:hint="cs"/>
          <w:rtl/>
        </w:rPr>
        <w:t xml:space="preserve">، </w:t>
      </w:r>
      <w:r w:rsidR="009C32A0">
        <w:rPr>
          <w:rFonts w:eastAsia="Times New Roman" w:hint="cs"/>
          <w:bCs/>
          <w:rtl/>
        </w:rPr>
        <w:t>وتلك المعاني الثلاثة لـ (التفويض) لخَّصها جماعة عند التعريف بتفويض السلف</w:t>
      </w:r>
      <w:r>
        <w:rPr>
          <w:rFonts w:eastAsia="Times New Roman" w:hint="cs"/>
          <w:bCs/>
          <w:rtl/>
        </w:rPr>
        <w:t>،</w:t>
      </w:r>
      <w:r w:rsidR="009C32A0">
        <w:rPr>
          <w:rFonts w:eastAsia="Times New Roman" w:hint="cs"/>
          <w:rtl/>
        </w:rPr>
        <w:t xml:space="preserve"> ومنهم البدر العيني في</w:t>
      </w:r>
      <w:r>
        <w:rPr>
          <w:rFonts w:eastAsia="Times New Roman" w:hint="cs"/>
          <w:rtl/>
        </w:rPr>
        <w:t>:</w:t>
      </w:r>
      <w:r w:rsidR="009C32A0">
        <w:rPr>
          <w:rFonts w:eastAsia="Times New Roman" w:hint="cs"/>
          <w:rtl/>
        </w:rPr>
        <w:t xml:space="preserve"> "عمدة القاري" (9/188) حيث عَرَّف التفويض في الصفات بقوله</w:t>
      </w:r>
      <w:r>
        <w:rPr>
          <w:rFonts w:eastAsia="Times New Roman" w:hint="cs"/>
          <w:rtl/>
        </w:rPr>
        <w:t>:</w:t>
      </w:r>
      <w:r w:rsidR="009C32A0">
        <w:rPr>
          <w:rFonts w:eastAsia="Times New Roman" w:hint="cs"/>
          <w:rtl/>
        </w:rPr>
        <w:t xml:space="preserve"> "وهو الإيمان بأنها حق على ما أراد الله، ولها معنى يليق به، وظاهرها غير مراد" أ.هـ. والمراد بـ (الظاهر) هنا (ما يُفْهَم عند الإطلاق على الأجسام) قاله الشهرستاني في</w:t>
      </w:r>
      <w:r>
        <w:rPr>
          <w:rFonts w:eastAsia="Times New Roman" w:hint="cs"/>
          <w:rtl/>
        </w:rPr>
        <w:t>:</w:t>
      </w:r>
      <w:r w:rsidR="009C32A0">
        <w:rPr>
          <w:rFonts w:eastAsia="Times New Roman" w:hint="cs"/>
          <w:rtl/>
        </w:rPr>
        <w:t xml:space="preserve"> "الملل والنحل" (1/175)</w:t>
      </w:r>
      <w:r>
        <w:rPr>
          <w:rFonts w:eastAsia="Times New Roman" w:hint="cs"/>
          <w:rtl/>
        </w:rPr>
        <w:t xml:space="preserve">، </w:t>
      </w:r>
      <w:r w:rsidR="009C32A0">
        <w:rPr>
          <w:rFonts w:eastAsia="Times New Roman" w:hint="cs"/>
          <w:rtl/>
        </w:rPr>
        <w:t>وعلى ذلك المعتقد مضت القرون الفاضلة، يقول إمام الحرمين أبو المعالي الجويني رحمه الله تعالى في</w:t>
      </w:r>
      <w:r>
        <w:rPr>
          <w:rFonts w:eastAsia="Times New Roman" w:hint="cs"/>
          <w:rtl/>
        </w:rPr>
        <w:t>:</w:t>
      </w:r>
      <w:r w:rsidR="009C32A0">
        <w:rPr>
          <w:rFonts w:eastAsia="Times New Roman" w:hint="cs"/>
          <w:rtl/>
        </w:rPr>
        <w:t xml:space="preserve"> "العقيدة النظامية" (ص/32)</w:t>
      </w:r>
      <w:r>
        <w:rPr>
          <w:rFonts w:eastAsia="Times New Roman" w:hint="cs"/>
          <w:rtl/>
        </w:rPr>
        <w:t>:</w:t>
      </w:r>
      <w:r w:rsidR="009C32A0">
        <w:rPr>
          <w:rFonts w:eastAsia="Times New Roman" w:hint="cs"/>
          <w:rtl/>
        </w:rPr>
        <w:t xml:space="preserve"> "اختلفت مسالك العلماء في هذه الظواهر، فرأى بعضهم تأويلها، والتزم ذلك في آي الكتاب</w:t>
      </w:r>
      <w:r>
        <w:rPr>
          <w:rFonts w:eastAsia="Times New Roman" w:hint="cs"/>
          <w:rtl/>
        </w:rPr>
        <w:t>،</w:t>
      </w:r>
      <w:r w:rsidR="009C32A0">
        <w:rPr>
          <w:rFonts w:eastAsia="Times New Roman" w:hint="cs"/>
          <w:rtl/>
        </w:rPr>
        <w:t xml:space="preserve"> وما يصح من السنن</w:t>
      </w:r>
      <w:r>
        <w:rPr>
          <w:rFonts w:eastAsia="Times New Roman" w:hint="cs"/>
          <w:rtl/>
        </w:rPr>
        <w:t>،</w:t>
      </w:r>
      <w:r w:rsidR="009C32A0">
        <w:rPr>
          <w:rFonts w:eastAsia="Times New Roman" w:hint="cs"/>
          <w:rtl/>
        </w:rPr>
        <w:t xml:space="preserve"> وذهب أئمة السلف إلى الانكفاف عن التأويل وإجراء الظواهر على مواردها، وتفويض معانيها إلى الله تعالى. والذي نرتضيه رأياً، وندين الله به عقيدة: اتباع </w:t>
      </w:r>
      <w:r w:rsidR="009C32A0">
        <w:rPr>
          <w:rFonts w:eastAsia="Times New Roman" w:hint="cs"/>
          <w:rtl/>
        </w:rPr>
        <w:lastRenderedPageBreak/>
        <w:t>سلف الأمة للدليل القاطع على أن إجماع الأمة حجة، فلو كان تأويل هذه الظواهر حتماً لأوشك أن يكون اهتمامهم به فوق اهتمامهم بفروع الشريعة، وإذا انصرم عصر الصحابة والتابعين على الإضراب عن التأويل كان ذلك هو الوجه المُتَّبع" أ.هـ. قال الحافظ في</w:t>
      </w:r>
      <w:r>
        <w:rPr>
          <w:rFonts w:eastAsia="Times New Roman" w:hint="cs"/>
          <w:rtl/>
        </w:rPr>
        <w:t>:</w:t>
      </w:r>
      <w:r w:rsidR="009C32A0">
        <w:rPr>
          <w:rFonts w:eastAsia="Times New Roman" w:hint="cs"/>
          <w:rtl/>
        </w:rPr>
        <w:t xml:space="preserve"> "الفتح" (13/407) "وقد تقدم النقل عن أهل العصر الثالث، وهم فقهاء الأمصار، كالثوري والأوزاعي، ومالك والليث ومن عاصرهم وكذا من أخذ عنهم الأئمة، فكيف لا يوثق بما اتفق عليه أهل القرون الثلاثة. وهم خير القرون بشهادة صاحب الشريعة" أهـ</w:t>
      </w:r>
      <w:r>
        <w:rPr>
          <w:rFonts w:eastAsia="Times New Roman" w:hint="cs"/>
          <w:rtl/>
        </w:rPr>
        <w:t xml:space="preserve">، </w:t>
      </w:r>
      <w:r w:rsidR="009C32A0">
        <w:rPr>
          <w:rFonts w:eastAsia="Times New Roman" w:hint="cs"/>
          <w:rtl/>
        </w:rPr>
        <w:t>ثم ينبغي التَّنبيه إلى شيئين في التفويض</w:t>
      </w:r>
      <w:r>
        <w:rPr>
          <w:rFonts w:eastAsia="Times New Roman" w:hint="cs"/>
          <w:rtl/>
        </w:rPr>
        <w:t>:</w:t>
      </w:r>
      <w:r w:rsidR="009C32A0">
        <w:rPr>
          <w:rFonts w:eastAsia="Times New Roman" w:hint="cs"/>
          <w:rtl/>
        </w:rPr>
        <w:t xml:space="preserve"> الأول</w:t>
      </w:r>
      <w:r>
        <w:rPr>
          <w:rFonts w:eastAsia="Times New Roman" w:hint="cs"/>
          <w:rtl/>
        </w:rPr>
        <w:t>:</w:t>
      </w:r>
      <w:r w:rsidR="009C32A0">
        <w:rPr>
          <w:rFonts w:eastAsia="Times New Roman" w:hint="cs"/>
          <w:rtl/>
        </w:rPr>
        <w:t xml:space="preserve"> أن محل التفويض فيما يوهم التشبيه</w:t>
      </w:r>
      <w:r>
        <w:rPr>
          <w:rFonts w:eastAsia="Times New Roman" w:hint="cs"/>
          <w:rtl/>
        </w:rPr>
        <w:t>،</w:t>
      </w:r>
      <w:r w:rsidR="009C32A0">
        <w:rPr>
          <w:rFonts w:eastAsia="Times New Roman" w:hint="cs"/>
          <w:rtl/>
        </w:rPr>
        <w:t xml:space="preserve"> لا فيما تَمحَّض للكمال أو النقص، كذا الأصل. قال أبو بكر ابن العربي رحمه الله تعالى في</w:t>
      </w:r>
      <w:r>
        <w:rPr>
          <w:rFonts w:eastAsia="Times New Roman" w:hint="cs"/>
          <w:rtl/>
        </w:rPr>
        <w:t>:</w:t>
      </w:r>
      <w:r w:rsidR="009C32A0">
        <w:rPr>
          <w:rFonts w:eastAsia="Times New Roman" w:hint="cs"/>
          <w:rtl/>
        </w:rPr>
        <w:t xml:space="preserve"> "العواصم والقواصم" (2/42)</w:t>
      </w:r>
      <w:r>
        <w:rPr>
          <w:rFonts w:eastAsia="Times New Roman" w:hint="cs"/>
          <w:rtl/>
        </w:rPr>
        <w:t>:</w:t>
      </w:r>
      <w:r w:rsidR="009C32A0">
        <w:rPr>
          <w:rFonts w:eastAsia="Times New Roman" w:hint="cs"/>
          <w:rtl/>
        </w:rPr>
        <w:t xml:space="preserve"> "والأحاديث الصحيحة في هذا الباب ـ أي</w:t>
      </w:r>
      <w:r>
        <w:rPr>
          <w:rFonts w:eastAsia="Times New Roman" w:hint="cs"/>
          <w:rtl/>
        </w:rPr>
        <w:t>:</w:t>
      </w:r>
      <w:r w:rsidR="009C32A0">
        <w:rPr>
          <w:rFonts w:eastAsia="Times New Roman" w:hint="cs"/>
          <w:rtl/>
        </w:rPr>
        <w:t xml:space="preserve"> باب الصفات لله على ثلاث مراتب</w:t>
      </w:r>
      <w:r>
        <w:rPr>
          <w:rFonts w:eastAsia="Times New Roman" w:hint="cs"/>
          <w:rtl/>
        </w:rPr>
        <w:t>:</w:t>
      </w:r>
      <w:r w:rsidR="009C32A0">
        <w:rPr>
          <w:rFonts w:eastAsia="Times New Roman" w:hint="cs"/>
          <w:rtl/>
        </w:rPr>
        <w:t xml:space="preserve"> الأولى</w:t>
      </w:r>
      <w:r>
        <w:rPr>
          <w:rFonts w:eastAsia="Times New Roman" w:hint="cs"/>
          <w:rtl/>
        </w:rPr>
        <w:t>:</w:t>
      </w:r>
      <w:r w:rsidR="009C32A0">
        <w:rPr>
          <w:rFonts w:eastAsia="Times New Roman" w:hint="cs"/>
          <w:rtl/>
        </w:rPr>
        <w:t xml:space="preserve"> ما ورد من الألفاظ وهو كمال محض ليس للنقائص والآفات فيه حظ</w:t>
      </w:r>
      <w:r>
        <w:rPr>
          <w:rFonts w:eastAsia="Times New Roman" w:hint="cs"/>
          <w:rtl/>
        </w:rPr>
        <w:t>،</w:t>
      </w:r>
      <w:r w:rsidR="009C32A0">
        <w:rPr>
          <w:rFonts w:eastAsia="Times New Roman" w:hint="cs"/>
          <w:rtl/>
        </w:rPr>
        <w:t xml:space="preserve"> فهذا يجب اعتقاده</w:t>
      </w:r>
      <w:r>
        <w:rPr>
          <w:rFonts w:eastAsia="Times New Roman" w:hint="cs"/>
          <w:rtl/>
        </w:rPr>
        <w:t>،</w:t>
      </w:r>
      <w:r w:rsidR="009C32A0">
        <w:rPr>
          <w:rFonts w:eastAsia="Times New Roman" w:hint="cs"/>
          <w:rtl/>
        </w:rPr>
        <w:t xml:space="preserve"> الثانية</w:t>
      </w:r>
      <w:r>
        <w:rPr>
          <w:rFonts w:eastAsia="Times New Roman" w:hint="cs"/>
          <w:rtl/>
        </w:rPr>
        <w:t>:</w:t>
      </w:r>
      <w:r w:rsidR="009C32A0">
        <w:rPr>
          <w:rFonts w:eastAsia="Times New Roman" w:hint="cs"/>
          <w:rtl/>
        </w:rPr>
        <w:t xml:space="preserve"> ما ورد وهو نقص محض، فهذا ليس لله تعالى فيه نصيب، فلا يضاف إليه إلا وهو محجوب عنه في المعنى ضرورةً</w:t>
      </w:r>
      <w:r>
        <w:rPr>
          <w:rFonts w:eastAsia="Times New Roman" w:hint="cs"/>
          <w:rtl/>
        </w:rPr>
        <w:t>،</w:t>
      </w:r>
      <w:r w:rsidR="009C32A0">
        <w:rPr>
          <w:rFonts w:eastAsia="Times New Roman" w:hint="cs"/>
          <w:rtl/>
        </w:rPr>
        <w:t xml:space="preserve"> كقوله</w:t>
      </w:r>
      <w:r>
        <w:rPr>
          <w:rFonts w:eastAsia="Times New Roman" w:hint="cs"/>
          <w:rtl/>
        </w:rPr>
        <w:t>:</w:t>
      </w:r>
      <w:r w:rsidR="009C32A0">
        <w:rPr>
          <w:rFonts w:eastAsia="Times New Roman" w:hint="cs"/>
          <w:rtl/>
        </w:rPr>
        <w:t xml:space="preserve"> "عبدي</w:t>
      </w:r>
      <w:r>
        <w:rPr>
          <w:rFonts w:eastAsia="Times New Roman" w:hint="cs"/>
          <w:rtl/>
        </w:rPr>
        <w:t>:</w:t>
      </w:r>
      <w:r w:rsidR="009C32A0">
        <w:rPr>
          <w:rFonts w:eastAsia="Times New Roman" w:hint="cs"/>
          <w:rtl/>
        </w:rPr>
        <w:t xml:space="preserve"> مرضتُ فلم تَعُدْني"</w:t>
      </w:r>
      <w:r>
        <w:rPr>
          <w:rFonts w:eastAsia="Times New Roman" w:hint="cs"/>
          <w:rtl/>
        </w:rPr>
        <w:t>،</w:t>
      </w:r>
      <w:r w:rsidR="009C32A0">
        <w:rPr>
          <w:rFonts w:eastAsia="Times New Roman" w:hint="cs"/>
          <w:rtl/>
        </w:rPr>
        <w:t xml:space="preserve"> وما أشبهه</w:t>
      </w:r>
      <w:r>
        <w:rPr>
          <w:rFonts w:eastAsia="Times New Roman" w:hint="cs"/>
          <w:rtl/>
        </w:rPr>
        <w:t>،</w:t>
      </w:r>
      <w:r w:rsidR="009C32A0">
        <w:rPr>
          <w:rFonts w:eastAsia="Times New Roman" w:hint="cs"/>
          <w:rtl/>
        </w:rPr>
        <w:t xml:space="preserve"> الثالثة</w:t>
      </w:r>
      <w:r>
        <w:rPr>
          <w:rFonts w:eastAsia="Times New Roman" w:hint="cs"/>
          <w:rtl/>
        </w:rPr>
        <w:t>:</w:t>
      </w:r>
      <w:r w:rsidR="009C32A0">
        <w:rPr>
          <w:rFonts w:eastAsia="Times New Roman" w:hint="cs"/>
          <w:rtl/>
        </w:rPr>
        <w:t xml:space="preserve"> ما يكون كمالاً ولكنه يوهم تشبيهاً" أ. هـ المراد</w:t>
      </w:r>
      <w:r>
        <w:rPr>
          <w:rFonts w:eastAsia="Times New Roman" w:hint="cs"/>
          <w:rtl/>
        </w:rPr>
        <w:t xml:space="preserve">، </w:t>
      </w:r>
      <w:r w:rsidR="009C32A0">
        <w:rPr>
          <w:rFonts w:eastAsia="Times New Roman" w:hint="cs"/>
          <w:rtl/>
        </w:rPr>
        <w:t>وقد مثَّل على المتمحض للكمال بـ "الوحدانية والعلم والحياة وعدم المثل والنظير) ونحوها . وضرب على المحتمل للنقصان بـ (اليد والأصابع) ونحوها</w:t>
      </w:r>
      <w:r>
        <w:rPr>
          <w:rFonts w:eastAsia="Times New Roman" w:hint="cs"/>
          <w:rtl/>
        </w:rPr>
        <w:t>،</w:t>
      </w:r>
      <w:r w:rsidR="009C32A0">
        <w:rPr>
          <w:rFonts w:eastAsia="Times New Roman" w:hint="cs"/>
          <w:rtl/>
        </w:rPr>
        <w:t xml:space="preserve"> لذا جعل جمع مذهب السلف على التأويل الإجمالي خلافاً للخلف كالأشاعرة، ومنهم عبد السلام اللقَّاني رحمه الله تعالى (1078هـ) حيث قال في</w:t>
      </w:r>
      <w:r>
        <w:rPr>
          <w:rFonts w:eastAsia="Times New Roman" w:hint="cs"/>
          <w:rtl/>
        </w:rPr>
        <w:t>:</w:t>
      </w:r>
      <w:r w:rsidR="009C32A0">
        <w:rPr>
          <w:rFonts w:eastAsia="Times New Roman" w:hint="cs"/>
          <w:rtl/>
        </w:rPr>
        <w:t xml:space="preserve"> "إتحاف المريد بشرح جوهرة التوحيد" (131) شرحاً لـ</w:t>
      </w:r>
      <w:r>
        <w:rPr>
          <w:rFonts w:eastAsia="Times New Roman" w:hint="cs"/>
          <w:rtl/>
        </w:rPr>
        <w:t>:</w:t>
      </w:r>
      <w:r w:rsidR="009C32A0">
        <w:rPr>
          <w:rFonts w:eastAsia="Times New Roman" w:hint="cs"/>
          <w:rtl/>
        </w:rPr>
        <w:t xml:space="preserve"> وكـل نصٍّ أَوْهَمَ التَّشْبيها ... أوِّلـه أو فوِّض ورُمْ تَنْزِهـا</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وكل نص</w:t>
      </w:r>
      <w:r>
        <w:rPr>
          <w:rFonts w:eastAsia="Times New Roman" w:hint="cs"/>
          <w:rtl/>
        </w:rPr>
        <w:t>)</w:t>
      </w:r>
      <w:r w:rsidR="009C32A0">
        <w:rPr>
          <w:rFonts w:eastAsia="Times New Roman" w:hint="cs"/>
          <w:rtl/>
        </w:rPr>
        <w:t xml:space="preserve"> أي</w:t>
      </w:r>
      <w:r>
        <w:rPr>
          <w:rFonts w:eastAsia="Times New Roman" w:hint="cs"/>
          <w:rtl/>
        </w:rPr>
        <w:t>:</w:t>
      </w:r>
      <w:r w:rsidR="009C32A0">
        <w:rPr>
          <w:rFonts w:eastAsia="Times New Roman" w:hint="cs"/>
          <w:rtl/>
        </w:rPr>
        <w:t xml:space="preserve"> لفظٍ ناصٍ ورد في كتاب أو سنة صحيحة (أوهم التشبيها) باعتبار ظاهر دلالته، أي</w:t>
      </w:r>
      <w:r>
        <w:rPr>
          <w:rFonts w:eastAsia="Times New Roman" w:hint="cs"/>
          <w:rtl/>
        </w:rPr>
        <w:t>:</w:t>
      </w:r>
      <w:r w:rsidR="009C32A0">
        <w:rPr>
          <w:rFonts w:eastAsia="Times New Roman" w:hint="cs"/>
          <w:rtl/>
        </w:rPr>
        <w:t xml:space="preserve"> أَوْقَعَ في الوهم صحة القول به ... (أوِّله) وجوباً؛ بأن تحمله على خلاف ظاهره، والمراد (أوِّله تفصيلاً) مُعَيِّناً فيه المعنى الخاص ... كما هو مختار "الخلف" من المتأخرين ... وأشار لتنويع الخلاف بقوله</w:t>
      </w:r>
      <w:r>
        <w:rPr>
          <w:rFonts w:eastAsia="Times New Roman" w:hint="cs"/>
          <w:rtl/>
        </w:rPr>
        <w:t>:</w:t>
      </w:r>
      <w:r w:rsidR="009C32A0">
        <w:rPr>
          <w:rFonts w:eastAsia="Times New Roman" w:hint="cs"/>
          <w:rtl/>
        </w:rPr>
        <w:t xml:space="preserve"> "أَو فَوِّض" عِلْمَ المعنى المراد من ذلك النص تفصيلاً إليه تعالى، وأَوِّله إجمالاً كما هو طريق السلف . (ورُمْ) أي</w:t>
      </w:r>
      <w:r>
        <w:rPr>
          <w:rFonts w:eastAsia="Times New Roman" w:hint="cs"/>
          <w:rtl/>
        </w:rPr>
        <w:t>:</w:t>
      </w:r>
      <w:r w:rsidR="009C32A0">
        <w:rPr>
          <w:rFonts w:eastAsia="Times New Roman" w:hint="cs"/>
          <w:rtl/>
        </w:rPr>
        <w:t xml:space="preserve"> اقصد واعتقد مع تفويض علم ذلك المعنى (تنـزيهاً) له تعالى عما لا يليق به، فالسلف يُنَزِّهونه سبحانه عما يُوهِمُه ذلك الظاهر من المعنى المحال</w:t>
      </w:r>
      <w:r>
        <w:rPr>
          <w:rFonts w:eastAsia="Times New Roman" w:hint="cs"/>
          <w:rtl/>
        </w:rPr>
        <w:t>،</w:t>
      </w:r>
      <w:r w:rsidR="009C32A0">
        <w:rPr>
          <w:rFonts w:eastAsia="Times New Roman" w:hint="cs"/>
          <w:rtl/>
        </w:rPr>
        <w:t xml:space="preserve"> ويفوضون علم حقيقته على التفصيل إليه تعالى، مع اعتقاد أن هذه النصوص من عنده سبحانه. فظهر مما قَرَّرنا</w:t>
      </w:r>
      <w:r>
        <w:rPr>
          <w:rFonts w:eastAsia="Times New Roman" w:hint="cs"/>
          <w:rtl/>
        </w:rPr>
        <w:t>:</w:t>
      </w:r>
      <w:r w:rsidR="009C32A0">
        <w:rPr>
          <w:rFonts w:eastAsia="Times New Roman" w:hint="cs"/>
          <w:rtl/>
        </w:rPr>
        <w:t xml:space="preserve"> اتفاق السلف والخلف على تنـزيهه تعالى عن المعنى المحال الذي دل عليه ذلك الظاهر ـ وعلى تأويله وإخراجه عن ظاهره المحال، وعلى الإيمان بأنه من عند الله، جاء به رسول الله صلى الله عليه وسلم</w:t>
      </w:r>
      <w:r>
        <w:rPr>
          <w:rFonts w:eastAsia="Times New Roman" w:hint="cs"/>
          <w:rtl/>
        </w:rPr>
        <w:t>،</w:t>
      </w:r>
      <w:r w:rsidR="009C32A0">
        <w:rPr>
          <w:rFonts w:eastAsia="Times New Roman" w:hint="cs"/>
          <w:rtl/>
        </w:rPr>
        <w:t xml:space="preserve"> لكنهم اختلفوا في تعيين مَحْمَلٍ له معنى صحيح وعدم تعيينه" أ.هـ. وقال الشيخ الدردير </w:t>
      </w:r>
      <w:r w:rsidR="009C32A0">
        <w:rPr>
          <w:rFonts w:eastAsia="Times New Roman" w:hint="cs"/>
          <w:rtl/>
        </w:rPr>
        <w:lastRenderedPageBreak/>
        <w:t>رحمه الله تعالى (1201هـ) في</w:t>
      </w:r>
      <w:r>
        <w:rPr>
          <w:rFonts w:eastAsia="Times New Roman" w:hint="cs"/>
          <w:rtl/>
        </w:rPr>
        <w:t>:</w:t>
      </w:r>
      <w:r w:rsidR="009C32A0">
        <w:rPr>
          <w:rFonts w:eastAsia="Times New Roman" w:hint="cs"/>
          <w:rtl/>
        </w:rPr>
        <w:t xml:space="preserve"> "شرح الخريدة البهية" (ص/43)</w:t>
      </w:r>
      <w:r>
        <w:rPr>
          <w:rFonts w:eastAsia="Times New Roman" w:hint="cs"/>
          <w:rtl/>
        </w:rPr>
        <w:t>:</w:t>
      </w:r>
      <w:r w:rsidR="009C32A0">
        <w:rPr>
          <w:rFonts w:eastAsia="Times New Roman" w:hint="cs"/>
          <w:rtl/>
        </w:rPr>
        <w:t xml:space="preserve"> "واشتبه الأمر . أي</w:t>
      </w:r>
      <w:r>
        <w:rPr>
          <w:rFonts w:eastAsia="Times New Roman" w:hint="cs"/>
          <w:rtl/>
        </w:rPr>
        <w:t>:</w:t>
      </w:r>
      <w:r w:rsidR="009C32A0">
        <w:rPr>
          <w:rFonts w:eastAsia="Times New Roman" w:hint="cs"/>
          <w:rtl/>
        </w:rPr>
        <w:t xml:space="preserve"> في باب الصفات ـ على أقوام وقوفاً مع الأمور العادية، وتَمَسُّكاً بظواهر نصوص شرعية... وأجاب ائمتنا</w:t>
      </w:r>
      <w:r>
        <w:rPr>
          <w:rFonts w:eastAsia="Times New Roman" w:hint="cs"/>
          <w:rtl/>
        </w:rPr>
        <w:t>:</w:t>
      </w:r>
      <w:r w:rsidR="009C32A0">
        <w:rPr>
          <w:rFonts w:eastAsia="Times New Roman" w:hint="cs"/>
          <w:rtl/>
        </w:rPr>
        <w:t xml:space="preserve"> سَلَفُهُم</w:t>
      </w:r>
      <w:r>
        <w:rPr>
          <w:rFonts w:eastAsia="Times New Roman" w:hint="cs"/>
          <w:rtl/>
        </w:rPr>
        <w:t>:</w:t>
      </w:r>
      <w:r w:rsidR="009C32A0">
        <w:rPr>
          <w:rFonts w:eastAsia="Times New Roman" w:hint="cs"/>
          <w:rtl/>
        </w:rPr>
        <w:t xml:space="preserve"> بأن الله تعالى منـزَّه عن صفات الحوادث مع تفويض معاني هذه النصوص إليه تعالى؛ إيثاراً للطريق الأسلم (وما يعلم تأويله إلا الله) . وخَلَفُهُم: بتعيين محامل صحيحة إبطالاً لمذهب الضالين، وإرشاداً للقاصدين... والحاصل أنه لابد من تأويلٍ، أي</w:t>
      </w:r>
      <w:r>
        <w:rPr>
          <w:rFonts w:eastAsia="Times New Roman" w:hint="cs"/>
          <w:rtl/>
        </w:rPr>
        <w:t>:</w:t>
      </w:r>
      <w:r w:rsidR="009C32A0">
        <w:rPr>
          <w:rFonts w:eastAsia="Times New Roman" w:hint="cs"/>
          <w:rtl/>
        </w:rPr>
        <w:t xml:space="preserve"> حمل اللفظ على غير ظاهره، إلا أن الخلف عينوا المحامل فتأويلهم تفصيلي، وتأويل السلف إجمالي" أهـ</w:t>
      </w:r>
      <w:r>
        <w:rPr>
          <w:rFonts w:eastAsia="Times New Roman" w:hint="cs"/>
          <w:rtl/>
        </w:rPr>
        <w:t xml:space="preserve">، </w:t>
      </w:r>
      <w:r w:rsidR="009C32A0">
        <w:rPr>
          <w:rFonts w:eastAsia="Times New Roman" w:hint="cs"/>
          <w:rtl/>
        </w:rPr>
        <w:t>وقال الزرقاني رحمه الله تعالى (1367هـ) ملخصاً الفَارِق كما في كتابه</w:t>
      </w:r>
      <w:r>
        <w:rPr>
          <w:rFonts w:eastAsia="Times New Roman" w:hint="cs"/>
          <w:rtl/>
        </w:rPr>
        <w:t>:</w:t>
      </w:r>
      <w:r w:rsidR="009C32A0">
        <w:rPr>
          <w:rFonts w:eastAsia="Times New Roman" w:hint="cs"/>
          <w:rtl/>
        </w:rPr>
        <w:t xml:space="preserve"> "مناهل العرفان" (ص/162)</w:t>
      </w:r>
      <w:r>
        <w:rPr>
          <w:rFonts w:eastAsia="Times New Roman" w:hint="cs"/>
          <w:rtl/>
        </w:rPr>
        <w:t>:</w:t>
      </w:r>
      <w:r w:rsidR="009C32A0">
        <w:rPr>
          <w:rFonts w:eastAsia="Times New Roman" w:hint="cs"/>
          <w:rtl/>
        </w:rPr>
        <w:t xml:space="preserve"> "علماؤنا أجزل الله مثوبتهم قد اتفقوا على ثلاثة أمور تتعلَّق بهذه المتشابهات، ثم اختلفوا فيما وراءها</w:t>
      </w:r>
      <w:r>
        <w:rPr>
          <w:rFonts w:eastAsia="Times New Roman" w:hint="cs"/>
          <w:rtl/>
        </w:rPr>
        <w:t>:</w:t>
      </w:r>
      <w:r w:rsidR="009C32A0">
        <w:rPr>
          <w:rFonts w:eastAsia="Times New Roman" w:hint="cs"/>
          <w:rtl/>
        </w:rPr>
        <w:t xml:space="preserve"> فأول ما اتفقوا عليه صرفُها عن ظواهرها المستحيلة، واعتقاد أن هذه الظواهر غير مرادة للشارع قطعاً . كيف وهذه الظواهر باطلة بالأدلة القطعية</w:t>
      </w:r>
      <w:r>
        <w:rPr>
          <w:rFonts w:eastAsia="Times New Roman" w:hint="cs"/>
          <w:rtl/>
        </w:rPr>
        <w:t>،</w:t>
      </w:r>
      <w:r w:rsidR="009C32A0">
        <w:rPr>
          <w:rFonts w:eastAsia="Times New Roman" w:hint="cs"/>
          <w:rtl/>
        </w:rPr>
        <w:t xml:space="preserve"> وبما هو معروف عن الشارع نفسه في محكماته</w:t>
      </w:r>
      <w:r>
        <w:rPr>
          <w:rFonts w:eastAsia="Times New Roman" w:hint="cs"/>
          <w:rtl/>
        </w:rPr>
        <w:t>،</w:t>
      </w:r>
      <w:r w:rsidR="009C32A0">
        <w:rPr>
          <w:rFonts w:eastAsia="Times New Roman" w:hint="cs"/>
          <w:rtl/>
        </w:rPr>
        <w:t xml:space="preserve"> ثانية</w:t>
      </w:r>
      <w:r>
        <w:rPr>
          <w:rFonts w:eastAsia="Times New Roman" w:hint="cs"/>
          <w:rtl/>
        </w:rPr>
        <w:t>:</w:t>
      </w:r>
      <w:r w:rsidR="009C32A0">
        <w:rPr>
          <w:rFonts w:eastAsia="Times New Roman" w:hint="cs"/>
          <w:rtl/>
        </w:rPr>
        <w:t xml:space="preserve"> أنه إذا توقَّف الدفاع عن الإسلام على التأويل لهذه المتشابهات وجب تأويلها بما يدفع شبهات المشتبهين</w:t>
      </w:r>
      <w:r>
        <w:rPr>
          <w:rFonts w:eastAsia="Times New Roman" w:hint="cs"/>
          <w:rtl/>
        </w:rPr>
        <w:t>،</w:t>
      </w:r>
      <w:r w:rsidR="009C32A0">
        <w:rPr>
          <w:rFonts w:eastAsia="Times New Roman" w:hint="cs"/>
          <w:rtl/>
        </w:rPr>
        <w:t xml:space="preserve"> ويرد طعن الطاعنين</w:t>
      </w:r>
      <w:r>
        <w:rPr>
          <w:rFonts w:eastAsia="Times New Roman" w:hint="cs"/>
          <w:rtl/>
        </w:rPr>
        <w:t>،</w:t>
      </w:r>
      <w:r w:rsidR="009C32A0">
        <w:rPr>
          <w:rFonts w:eastAsia="Times New Roman" w:hint="cs"/>
          <w:rtl/>
        </w:rPr>
        <w:t xml:space="preserve"> ثالثة</w:t>
      </w:r>
      <w:r>
        <w:rPr>
          <w:rFonts w:eastAsia="Times New Roman" w:hint="cs"/>
          <w:rtl/>
        </w:rPr>
        <w:t>:</w:t>
      </w:r>
      <w:r w:rsidR="009C32A0">
        <w:rPr>
          <w:rFonts w:eastAsia="Times New Roman" w:hint="cs"/>
          <w:rtl/>
        </w:rPr>
        <w:t xml:space="preserve"> أن المتشابه إن كان له تأويل واحد يُفْهم منه فهماً قريباً</w:t>
      </w:r>
      <w:r>
        <w:rPr>
          <w:rFonts w:eastAsia="Times New Roman" w:hint="cs"/>
          <w:rtl/>
        </w:rPr>
        <w:t>،</w:t>
      </w:r>
      <w:r w:rsidR="009C32A0">
        <w:rPr>
          <w:rFonts w:eastAsia="Times New Roman" w:hint="cs"/>
          <w:rtl/>
        </w:rPr>
        <w:t xml:space="preserve"> وجب القول به إجماعاً، وذلك كقوله سبحانه</w:t>
      </w:r>
      <w:r>
        <w:rPr>
          <w:rFonts w:eastAsia="Times New Roman" w:hint="cs"/>
          <w:rtl/>
        </w:rPr>
        <w:t>:</w:t>
      </w:r>
      <w:r w:rsidR="009C32A0">
        <w:rPr>
          <w:rFonts w:eastAsia="Times New Roman" w:hint="cs"/>
          <w:rtl/>
        </w:rPr>
        <w:t xml:space="preserve"> "وهو معكم أين ما كنتم" ؛ فإن الكينونة بالذات مع الخلق مستحيلة قطعاً، وليس لها بعد ذلك إلا تأويل واحد، هو الكينونة معهم بالإحاطة علماً وسمعاً وبصراً وقدرة وإرادة</w:t>
      </w:r>
      <w:r>
        <w:rPr>
          <w:rFonts w:eastAsia="Times New Roman" w:hint="cs"/>
          <w:rtl/>
        </w:rPr>
        <w:t>،</w:t>
      </w:r>
      <w:r w:rsidR="009C32A0">
        <w:rPr>
          <w:rFonts w:eastAsia="Times New Roman" w:hint="cs"/>
          <w:rtl/>
        </w:rPr>
        <w:t xml:space="preserve"> وأما اختلاف العلماء فيما وراء ذلك فقد وقع على ثلاثة مذاهب</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المذهب الأول</w:t>
      </w:r>
      <w:r>
        <w:rPr>
          <w:rFonts w:eastAsia="Times New Roman" w:hint="cs"/>
          <w:rtl/>
        </w:rPr>
        <w:t>):</w:t>
      </w:r>
      <w:r w:rsidR="009C32A0">
        <w:rPr>
          <w:rFonts w:eastAsia="Times New Roman" w:hint="cs"/>
          <w:rtl/>
        </w:rPr>
        <w:t xml:space="preserve"> مذهب السلف</w:t>
      </w:r>
      <w:r>
        <w:rPr>
          <w:rFonts w:eastAsia="Times New Roman" w:hint="cs"/>
          <w:rtl/>
        </w:rPr>
        <w:t>،</w:t>
      </w:r>
      <w:r w:rsidR="009C32A0">
        <w:rPr>
          <w:rFonts w:eastAsia="Times New Roman" w:hint="cs"/>
          <w:rtl/>
        </w:rPr>
        <w:t xml:space="preserve"> ويُسمَّى مذهب (المُفوِّضة) بكسر الواو وتشديدها، وهو تفويض معاني هذه المتشابهات إلى الله وحده، بعد تنـزيهه تعالى عن ظواهرها المستحيلة ـ أي</w:t>
      </w:r>
      <w:r>
        <w:rPr>
          <w:rFonts w:eastAsia="Times New Roman" w:hint="cs"/>
          <w:rtl/>
        </w:rPr>
        <w:t>:</w:t>
      </w:r>
      <w:r w:rsidR="009C32A0">
        <w:rPr>
          <w:rFonts w:eastAsia="Times New Roman" w:hint="cs"/>
          <w:rtl/>
        </w:rPr>
        <w:t xml:space="preserve"> على الله</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المذهب الثاني</w:t>
      </w:r>
      <w:r>
        <w:rPr>
          <w:rFonts w:eastAsia="Times New Roman" w:hint="cs"/>
          <w:rtl/>
        </w:rPr>
        <w:t>):</w:t>
      </w:r>
      <w:r w:rsidR="009C32A0">
        <w:rPr>
          <w:rFonts w:eastAsia="Times New Roman" w:hint="cs"/>
          <w:rtl/>
        </w:rPr>
        <w:t xml:space="preserve"> مذهب الخَلَف</w:t>
      </w:r>
      <w:r>
        <w:rPr>
          <w:rFonts w:eastAsia="Times New Roman" w:hint="cs"/>
          <w:rtl/>
        </w:rPr>
        <w:t>،</w:t>
      </w:r>
      <w:r w:rsidR="009C32A0">
        <w:rPr>
          <w:rFonts w:eastAsia="Times New Roman" w:hint="cs"/>
          <w:rtl/>
        </w:rPr>
        <w:t xml:space="preserve"> ويسمى مذهب (المُؤوِّلة) بتشديد الواو وكسرها... "أهـ</w:t>
      </w:r>
      <w:r>
        <w:rPr>
          <w:rFonts w:eastAsia="Times New Roman" w:hint="cs"/>
          <w:rtl/>
        </w:rPr>
        <w:t xml:space="preserve">، </w:t>
      </w:r>
      <w:r w:rsidR="009C32A0">
        <w:rPr>
          <w:rFonts w:eastAsia="Times New Roman" w:hint="cs"/>
          <w:rtl/>
        </w:rPr>
        <w:t>الثاني</w:t>
      </w:r>
      <w:r>
        <w:rPr>
          <w:rFonts w:eastAsia="Times New Roman" w:hint="cs"/>
          <w:rtl/>
        </w:rPr>
        <w:t>:</w:t>
      </w:r>
      <w:r w:rsidR="009C32A0">
        <w:rPr>
          <w:rFonts w:eastAsia="Times New Roman" w:hint="cs"/>
          <w:rtl/>
        </w:rPr>
        <w:t xml:space="preserve"> قال الشيخ القضاعي رحمه الله تعالى في</w:t>
      </w:r>
      <w:r>
        <w:rPr>
          <w:rFonts w:eastAsia="Times New Roman" w:hint="cs"/>
          <w:rtl/>
        </w:rPr>
        <w:t>:</w:t>
      </w:r>
      <w:r w:rsidR="009C32A0">
        <w:rPr>
          <w:rFonts w:eastAsia="Times New Roman" w:hint="cs"/>
          <w:rtl/>
        </w:rPr>
        <w:t xml:space="preserve"> "فرقان القرآن بين صفات الخالق وصفات الأكوان" (ص/80)</w:t>
      </w:r>
      <w:r>
        <w:rPr>
          <w:rFonts w:eastAsia="Times New Roman" w:hint="cs"/>
          <w:rtl/>
        </w:rPr>
        <w:t>:</w:t>
      </w:r>
      <w:r w:rsidR="009C32A0">
        <w:rPr>
          <w:rFonts w:eastAsia="Times New Roman" w:hint="cs"/>
          <w:rtl/>
        </w:rPr>
        <w:t>" إذا سمعتَ في عبارات بعض السلف: (إنما نؤمن بأن له وجهاً لا كالوجوه، ويداً لا كالأيدي) فلا تَظُن أنهم أرادوا ذاته العليَّة منقسمة إلى أجزاء وأبعاض</w:t>
      </w:r>
      <w:r>
        <w:rPr>
          <w:rFonts w:eastAsia="Times New Roman" w:hint="cs"/>
          <w:rtl/>
        </w:rPr>
        <w:t>،</w:t>
      </w:r>
      <w:r w:rsidR="009C32A0">
        <w:rPr>
          <w:rFonts w:eastAsia="Times New Roman" w:hint="cs"/>
          <w:rtl/>
        </w:rPr>
        <w:t xml:space="preserve"> فجزء منها يد، وجزء منها وجه، غير أنه لا يُشابه الأيدي والوجوه التي للخلق، حاشاهم من ذلك، وما هذا إلا التشبيه بعينه، وإنما أرادوا بذلك أن لفظ اليد والوجه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والمشبهة مثل هذه العبارة فغرروا بها العوام" أ.هـ المراد</w:t>
      </w:r>
      <w:r>
        <w:rPr>
          <w:rFonts w:eastAsia="Times New Roman" w:hint="cs"/>
          <w:rtl/>
        </w:rPr>
        <w:t xml:space="preserve">، </w:t>
      </w:r>
      <w:r w:rsidR="009C32A0">
        <w:rPr>
          <w:rFonts w:eastAsia="Times New Roman" w:hint="cs"/>
          <w:rtl/>
        </w:rPr>
        <w:t xml:space="preserve">ولهذه اللُّوْثة اختار جمهور الخلف من علماء الأمة بدعة التأويل الخاص على كفر الحمل على الظاهر مع تصحيحهم مذهب السلف بأنه </w:t>
      </w:r>
      <w:r w:rsidR="009C32A0">
        <w:rPr>
          <w:rFonts w:eastAsia="Times New Roman" w:hint="cs"/>
          <w:rtl/>
        </w:rPr>
        <w:lastRenderedPageBreak/>
        <w:t>أسلم، وفي ذلك يقول العلاء بن عابدين رحمه الله تعالى (1306هـ) في</w:t>
      </w:r>
      <w:r>
        <w:rPr>
          <w:rFonts w:eastAsia="Times New Roman" w:hint="cs"/>
          <w:rtl/>
        </w:rPr>
        <w:t>:</w:t>
      </w:r>
      <w:r w:rsidR="009C32A0">
        <w:rPr>
          <w:rFonts w:eastAsia="Times New Roman" w:hint="cs"/>
          <w:rtl/>
        </w:rPr>
        <w:t xml:space="preserve"> "الهدية العلائية" (ص/471)</w:t>
      </w:r>
      <w:r>
        <w:rPr>
          <w:rFonts w:eastAsia="Times New Roman" w:hint="cs"/>
          <w:rtl/>
        </w:rPr>
        <w:t>:</w:t>
      </w:r>
      <w:r w:rsidR="009C32A0">
        <w:rPr>
          <w:rFonts w:eastAsia="Times New Roman" w:hint="cs"/>
          <w:rtl/>
        </w:rPr>
        <w:t xml:space="preserve"> "وأما الخلف فلما ظهرت البدع والضلالات ارتكبوا تأويل ذلك. وصَرْفه عن ظاهره مخافة الكفر، فاختاروا بدعة التأويل على كفر الحَمْل على الظاهر الموهم التجسيم والتشبيه، وقالوا</w:t>
      </w:r>
      <w:r>
        <w:rPr>
          <w:rFonts w:eastAsia="Times New Roman" w:hint="cs"/>
          <w:rtl/>
        </w:rPr>
        <w:t>:</w:t>
      </w:r>
      <w:r w:rsidR="009C32A0">
        <w:rPr>
          <w:rFonts w:eastAsia="Times New Roman" w:hint="cs"/>
          <w:rtl/>
        </w:rPr>
        <w:t xml:space="preserve"> استوى بمعنى استولى... واليد بمعنى القدرة، والنـزول بمعنى نزول الرحمة " أ.هـ. المراد</w:t>
      </w:r>
      <w:r>
        <w:rPr>
          <w:rFonts w:eastAsia="Times New Roman" w:hint="cs"/>
          <w:rtl/>
        </w:rPr>
        <w:t xml:space="preserve">، </w:t>
      </w:r>
      <w:r w:rsidR="009C32A0">
        <w:rPr>
          <w:rFonts w:eastAsia="Times New Roman" w:hint="cs"/>
          <w:rtl/>
        </w:rPr>
        <w:t>وقانون التأويل عند الخلف قائم على قواعد اللغة ورد تلك الأخبار إلى صفات الفعل، يقول أبو محمد الجويني رحمه الله تعالى-كما في: "إتحاف السادة المتقين"(2/110)- مبينا طريقة الخلف: "والطريقة الثانية: الكلام فيها وفي تفسيرها؛ بأن يردها عن صفات الذات إلى صفات الفعل، فيحمل النزول على قرب الرحمة،واليد على النعمة،والإستواء على القهر والقدرة"أ.هـ.المراد.وقال المرتضى الزبيدي رحمه الله تعالى في: "إتحاف السادة المتقين"(2/109)</w:t>
      </w:r>
      <w:r>
        <w:rPr>
          <w:rFonts w:eastAsia="Times New Roman" w:hint="cs"/>
          <w:rtl/>
        </w:rPr>
        <w:t>:</w:t>
      </w:r>
      <w:r w:rsidR="009C32A0">
        <w:rPr>
          <w:rFonts w:eastAsia="Times New Roman" w:hint="cs"/>
          <w:rtl/>
        </w:rPr>
        <w:t xml:space="preserve"> "وشرط التأويل أن يكون على مقتضى لسان العرب"أهـ</w:t>
      </w:r>
      <w:r>
        <w:rPr>
          <w:rFonts w:eastAsia="Times New Roman" w:hint="cs"/>
          <w:rtl/>
        </w:rPr>
        <w:t xml:space="preserve">، </w:t>
      </w:r>
      <w:r w:rsidR="009C32A0">
        <w:rPr>
          <w:rFonts w:eastAsia="Times New Roman" w:hint="cs"/>
          <w:rtl/>
        </w:rPr>
        <w:t>لذا جعله العز بن عبد السلام رحمه الله تعالى في: "فتاويه"(ص/22) بدعة حسنة لرد التشبيه، حيث قال: "وليس الكلام في هذا بدعة قبيحة، وإنما الكلام فيه بدعة حسنة، واجبة لما ظهرت الشبهة</w:t>
      </w:r>
      <w:r>
        <w:rPr>
          <w:rFonts w:eastAsia="Times New Roman" w:hint="cs"/>
          <w:rtl/>
        </w:rPr>
        <w:t xml:space="preserve">، </w:t>
      </w:r>
      <w:r w:rsidR="009C32A0">
        <w:rPr>
          <w:rFonts w:eastAsia="Times New Roman" w:hint="cs"/>
          <w:rtl/>
        </w:rPr>
        <w:t>وإنما سكت السلف عن الكلام فيه، إذ لم يكن في عصرهم من يحمل كلام الله ورسوله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ولا يردون على ذلك، ولا يردون على قائله، ولا نقل عن أحد من الصحابة شيء من ذلك إذ لا تدعو الحاجة إليه. والله أعلم" أ.هـ</w:t>
      </w:r>
      <w:r>
        <w:rPr>
          <w:rFonts w:eastAsia="Times New Roman" w:hint="cs"/>
          <w:rtl/>
        </w:rPr>
        <w:t xml:space="preserve"> [</w:t>
      </w:r>
      <w:r w:rsidR="009C32A0">
        <w:rPr>
          <w:rFonts w:eastAsia="Times New Roman" w:hint="cs"/>
          <w:rtl/>
        </w:rPr>
        <w:t>تمت بحمد الله</w:t>
      </w:r>
      <w:r>
        <w:rPr>
          <w:rFonts w:eastAsia="Times New Roman" w:hint="cs"/>
          <w:rtl/>
        </w:rPr>
        <w:t>،</w:t>
      </w:r>
      <w:r w:rsidR="009C32A0">
        <w:rPr>
          <w:rFonts w:eastAsia="Times New Roman" w:hint="cs"/>
          <w:rtl/>
        </w:rPr>
        <w:t xml:space="preserve"> رسالة القاعدة السلفية في الصفات السمعية للشيخ صالح بن محمد الأسمري</w:t>
      </w:r>
      <w:r>
        <w:rPr>
          <w:rFonts w:eastAsia="Times New Roman" w:hint="cs"/>
          <w:rtl/>
        </w:rPr>
        <w:t>]</w:t>
      </w:r>
    </w:p>
    <w:p w14:paraId="40CD2093" w14:textId="77777777" w:rsidR="009C32A0" w:rsidRDefault="009C32A0" w:rsidP="000636C2">
      <w:pPr>
        <w:ind w:left="-58"/>
        <w:jc w:val="center"/>
        <w:rPr>
          <w:bCs/>
          <w:rtl/>
        </w:rPr>
      </w:pPr>
      <w:r>
        <w:rPr>
          <w:rFonts w:hint="cs"/>
          <w:bCs/>
          <w:rtl/>
        </w:rPr>
        <w:t xml:space="preserve">*** </w:t>
      </w:r>
    </w:p>
    <w:p w14:paraId="186774CE" w14:textId="77777777" w:rsidR="009C32A0" w:rsidRDefault="009C32A0" w:rsidP="000636C2">
      <w:pPr>
        <w:ind w:left="-58"/>
        <w:jc w:val="center"/>
        <w:rPr>
          <w:rFonts w:cs="Monotype Koufi"/>
          <w:b/>
        </w:rPr>
      </w:pPr>
      <w:r>
        <w:rPr>
          <w:rFonts w:cs="Monotype Koufi" w:hint="cs"/>
          <w:rtl/>
        </w:rPr>
        <w:t xml:space="preserve">من هم المعبرون عن الأثرية وأصحاب الحديث </w:t>
      </w:r>
    </w:p>
    <w:p w14:paraId="53F8CEAA" w14:textId="4EDB1D32" w:rsidR="009C32A0" w:rsidRDefault="009C32A0" w:rsidP="000636C2">
      <w:pPr>
        <w:ind w:left="-58"/>
        <w:rPr>
          <w:b/>
          <w:rtl/>
        </w:rPr>
      </w:pPr>
      <w:r>
        <w:rPr>
          <w:rFonts w:cs="Monotype Koufi" w:hint="cs"/>
          <w:rtl/>
        </w:rPr>
        <w:t>أولاً</w:t>
      </w:r>
      <w:r w:rsidR="000636C2">
        <w:rPr>
          <w:rFonts w:cs="Monotype Koufi" w:hint="cs"/>
          <w:rtl/>
        </w:rPr>
        <w:t>:</w:t>
      </w:r>
      <w:r>
        <w:rPr>
          <w:rFonts w:cs="Monotype Koufi" w:hint="cs"/>
          <w:rtl/>
        </w:rPr>
        <w:t xml:space="preserve"> المعبرون عن الأثرية من أهل الحديث</w:t>
      </w:r>
      <w:r w:rsidR="000636C2">
        <w:rPr>
          <w:rFonts w:hint="cs"/>
          <w:rtl/>
        </w:rPr>
        <w:t>:</w:t>
      </w:r>
      <w:r>
        <w:rPr>
          <w:rFonts w:hint="cs"/>
          <w:rtl/>
        </w:rPr>
        <w:t xml:space="preserve"> </w:t>
      </w:r>
      <w:r w:rsidR="000636C2">
        <w:rPr>
          <w:rFonts w:hint="cs"/>
          <w:rtl/>
        </w:rPr>
        <w:t>(</w:t>
      </w:r>
      <w:r>
        <w:rPr>
          <w:rFonts w:hint="cs"/>
          <w:rtl/>
        </w:rPr>
        <w:t>المحدث</w:t>
      </w:r>
      <w:r w:rsidR="000636C2">
        <w:rPr>
          <w:rFonts w:hint="cs"/>
          <w:rtl/>
        </w:rPr>
        <w:t>)</w:t>
      </w:r>
      <w:r>
        <w:rPr>
          <w:rFonts w:hint="cs"/>
          <w:rtl/>
        </w:rPr>
        <w:t xml:space="preserve"> هو كل من اشتغل بعلم الحديث رواية ودراية</w:t>
      </w:r>
      <w:r w:rsidR="000636C2">
        <w:rPr>
          <w:rFonts w:hint="cs"/>
          <w:rtl/>
        </w:rPr>
        <w:t>،</w:t>
      </w:r>
      <w:r>
        <w:rPr>
          <w:rFonts w:hint="cs"/>
          <w:rtl/>
        </w:rPr>
        <w:t xml:space="preserve"> واشتهر عنه ذلك</w:t>
      </w:r>
      <w:r w:rsidR="000636C2">
        <w:rPr>
          <w:rFonts w:hint="cs"/>
          <w:rtl/>
        </w:rPr>
        <w:t>،</w:t>
      </w:r>
      <w:r>
        <w:rPr>
          <w:rFonts w:hint="cs"/>
          <w:rtl/>
        </w:rPr>
        <w:t xml:space="preserve"> ولكن من المعروف عند اهل العلم</w:t>
      </w:r>
      <w:r w:rsidR="000636C2">
        <w:rPr>
          <w:rFonts w:hint="cs"/>
          <w:rtl/>
        </w:rPr>
        <w:t>:</w:t>
      </w:r>
      <w:r>
        <w:rPr>
          <w:rFonts w:hint="cs"/>
          <w:rtl/>
        </w:rPr>
        <w:t xml:space="preserve"> أن المحدثين ليس لهم مذهب مستقل في الاعتقاد</w:t>
      </w:r>
      <w:r w:rsidR="000636C2">
        <w:rPr>
          <w:rFonts w:hint="cs"/>
          <w:rtl/>
        </w:rPr>
        <w:t xml:space="preserve">، </w:t>
      </w:r>
      <w:r>
        <w:rPr>
          <w:rFonts w:hint="cs"/>
          <w:rtl/>
        </w:rPr>
        <w:t>ففيهم أهل السنّة وفيهم الحشوية</w:t>
      </w:r>
      <w:r w:rsidR="000636C2">
        <w:rPr>
          <w:rFonts w:hint="cs"/>
          <w:rtl/>
        </w:rPr>
        <w:t>،</w:t>
      </w:r>
      <w:r>
        <w:rPr>
          <w:rFonts w:hint="cs"/>
          <w:rtl/>
        </w:rPr>
        <w:t xml:space="preserve"> وفيهم الرافضة وفيهم الخوارج</w:t>
      </w:r>
      <w:r w:rsidR="000636C2">
        <w:rPr>
          <w:rFonts w:hint="cs"/>
          <w:rtl/>
        </w:rPr>
        <w:t>،</w:t>
      </w:r>
      <w:r>
        <w:rPr>
          <w:rFonts w:hint="cs"/>
          <w:rtl/>
        </w:rPr>
        <w:t xml:space="preserve"> ونظرة سريعة إلى كتب الجرح والتعديل تدلنا على ذلك</w:t>
      </w:r>
      <w:r w:rsidR="000636C2">
        <w:rPr>
          <w:rFonts w:hint="cs"/>
          <w:rtl/>
        </w:rPr>
        <w:t>،</w:t>
      </w:r>
      <w:r>
        <w:rPr>
          <w:rFonts w:hint="cs"/>
          <w:rtl/>
        </w:rPr>
        <w:t xml:space="preserve"> والذي يهمنا في هذا المبحث</w:t>
      </w:r>
      <w:r w:rsidR="000636C2">
        <w:rPr>
          <w:rFonts w:hint="cs"/>
          <w:rtl/>
        </w:rPr>
        <w:t>:</w:t>
      </w:r>
      <w:r>
        <w:rPr>
          <w:rFonts w:hint="cs"/>
          <w:rtl/>
        </w:rPr>
        <w:t xml:space="preserve"> أنّ من أهل الحديث من يمثل الأثرية</w:t>
      </w:r>
      <w:r w:rsidR="000636C2">
        <w:rPr>
          <w:rFonts w:hint="cs"/>
          <w:rtl/>
        </w:rPr>
        <w:t>،</w:t>
      </w:r>
      <w:r>
        <w:rPr>
          <w:rFonts w:hint="cs"/>
          <w:rtl/>
        </w:rPr>
        <w:t xml:space="preserve"> وعلى رأسهم الإمام مالك بن أنس رحمه الله</w:t>
      </w:r>
      <w:r w:rsidR="000636C2">
        <w:rPr>
          <w:rFonts w:hint="cs"/>
          <w:rtl/>
        </w:rPr>
        <w:t>،</w:t>
      </w:r>
      <w:r>
        <w:rPr>
          <w:rFonts w:hint="cs"/>
          <w:rtl/>
        </w:rPr>
        <w:t xml:space="preserve"> فقد</w:t>
      </w:r>
      <w:r w:rsidR="000636C2">
        <w:rPr>
          <w:rFonts w:hint="cs"/>
          <w:rtl/>
        </w:rPr>
        <w:t xml:space="preserve"> </w:t>
      </w:r>
      <w:r>
        <w:rPr>
          <w:rFonts w:hint="cs"/>
          <w:rtl/>
        </w:rPr>
        <w:t>ذكر القاضي عياض</w:t>
      </w:r>
      <w:r w:rsidR="000636C2">
        <w:rPr>
          <w:rFonts w:hint="cs"/>
          <w:rtl/>
        </w:rPr>
        <w:t xml:space="preserve"> </w:t>
      </w:r>
      <w:r>
        <w:rPr>
          <w:rFonts w:hint="cs"/>
          <w:rtl/>
        </w:rPr>
        <w:t>في كتابه الشفا</w:t>
      </w:r>
      <w:r w:rsidR="000636C2">
        <w:rPr>
          <w:rFonts w:hint="cs"/>
          <w:rtl/>
        </w:rPr>
        <w:t>:</w:t>
      </w:r>
      <w:r>
        <w:rPr>
          <w:rFonts w:hint="cs"/>
          <w:rtl/>
        </w:rPr>
        <w:t xml:space="preserve"> أنّه كان ينهى عن التحديث بالأحاديث المتشابهات التي توهم التشبيه</w:t>
      </w:r>
      <w:r w:rsidR="000636C2">
        <w:rPr>
          <w:rFonts w:hint="cs"/>
          <w:rtl/>
        </w:rPr>
        <w:t>،</w:t>
      </w:r>
      <w:r>
        <w:rPr>
          <w:rFonts w:hint="cs"/>
          <w:rtl/>
        </w:rPr>
        <w:t xml:space="preserve"> وكان يمنع من السؤال عنها</w:t>
      </w:r>
      <w:r w:rsidR="000636C2">
        <w:rPr>
          <w:rFonts w:hint="cs"/>
          <w:rtl/>
        </w:rPr>
        <w:t>،</w:t>
      </w:r>
      <w:r>
        <w:rPr>
          <w:rFonts w:hint="cs"/>
          <w:rtl/>
        </w:rPr>
        <w:t xml:space="preserve"> وكان مجرد السؤال عن المتشابه </w:t>
      </w:r>
      <w:r>
        <w:rPr>
          <w:rFonts w:hint="cs"/>
          <w:rtl/>
        </w:rPr>
        <w:lastRenderedPageBreak/>
        <w:t>أمامه موجباً لغضبه على السائل وطرده من المجلس كما هو مشهور عنه في طرد السائل عن معنى الاستواء وتبديعه</w:t>
      </w:r>
      <w:r w:rsidR="000636C2">
        <w:rPr>
          <w:rFonts w:hint="cs"/>
          <w:rtl/>
        </w:rPr>
        <w:t>،</w:t>
      </w:r>
      <w:r>
        <w:rPr>
          <w:rFonts w:hint="cs"/>
          <w:rtl/>
        </w:rPr>
        <w:t xml:space="preserve"> وعلى رأسهم أيضاً</w:t>
      </w:r>
      <w:r w:rsidR="000636C2">
        <w:rPr>
          <w:rFonts w:hint="cs"/>
          <w:rtl/>
        </w:rPr>
        <w:t>:</w:t>
      </w:r>
      <w:r>
        <w:rPr>
          <w:rFonts w:hint="cs"/>
          <w:rtl/>
        </w:rPr>
        <w:t xml:space="preserve"> الإمام أحمد بن حنبل الذي ثبت عنه تفويض معنى المتشابهات</w:t>
      </w:r>
      <w:r w:rsidR="000636C2">
        <w:rPr>
          <w:rFonts w:hint="cs"/>
          <w:rtl/>
        </w:rPr>
        <w:t>،</w:t>
      </w:r>
      <w:r>
        <w:rPr>
          <w:rFonts w:hint="cs"/>
          <w:rtl/>
        </w:rPr>
        <w:t xml:space="preserve"> كما ثبت عنه التأويل عند الضرورة رداً على أصحاب البدع بسند صحيح أخرجه البيهقي</w:t>
      </w:r>
      <w:r w:rsidR="000636C2">
        <w:rPr>
          <w:rFonts w:hint="cs"/>
          <w:rtl/>
        </w:rPr>
        <w:t>،</w:t>
      </w:r>
      <w:r>
        <w:rPr>
          <w:rFonts w:hint="cs"/>
          <w:rtl/>
        </w:rPr>
        <w:t xml:space="preserve"> والأثرية من أهل الحديث هم كل من سار على</w:t>
      </w:r>
      <w:r w:rsidR="000636C2">
        <w:rPr>
          <w:rFonts w:hint="cs"/>
          <w:rtl/>
        </w:rPr>
        <w:t xml:space="preserve"> </w:t>
      </w:r>
      <w:r>
        <w:rPr>
          <w:rFonts w:hint="cs"/>
          <w:rtl/>
        </w:rPr>
        <w:t>نهج الإمام مالك والإمام أحمد بن حنبل</w:t>
      </w:r>
      <w:r w:rsidR="000636C2">
        <w:rPr>
          <w:rFonts w:hint="cs"/>
          <w:rtl/>
        </w:rPr>
        <w:t>،</w:t>
      </w:r>
      <w:r>
        <w:rPr>
          <w:rFonts w:hint="cs"/>
          <w:rtl/>
        </w:rPr>
        <w:t xml:space="preserve"> </w:t>
      </w:r>
      <w:r>
        <w:rPr>
          <w:rFonts w:hint="cs"/>
          <w:bCs/>
          <w:rtl/>
        </w:rPr>
        <w:t xml:space="preserve">و </w:t>
      </w:r>
      <w:r w:rsidR="000636C2">
        <w:rPr>
          <w:rFonts w:hint="cs"/>
          <w:bCs/>
          <w:rtl/>
        </w:rPr>
        <w:t>(</w:t>
      </w:r>
      <w:r>
        <w:rPr>
          <w:rFonts w:hint="cs"/>
          <w:bCs/>
          <w:rtl/>
        </w:rPr>
        <w:t>الأثرية</w:t>
      </w:r>
      <w:r w:rsidR="000636C2">
        <w:rPr>
          <w:rFonts w:hint="cs"/>
          <w:bCs/>
          <w:rtl/>
        </w:rPr>
        <w:t>)</w:t>
      </w:r>
      <w:r>
        <w:rPr>
          <w:rFonts w:hint="cs"/>
          <w:bCs/>
          <w:rtl/>
        </w:rPr>
        <w:t xml:space="preserve"> من أهل الحديث</w:t>
      </w:r>
      <w:r>
        <w:rPr>
          <w:rFonts w:hint="cs"/>
          <w:rtl/>
        </w:rPr>
        <w:t xml:space="preserve"> هم أهل التقديس والتنزيه الذين كانوا على وفاق مع الأشاعرة والماتريدية في مباحث العقيدة</w:t>
      </w:r>
      <w:r w:rsidR="000636C2">
        <w:rPr>
          <w:rFonts w:hint="cs"/>
          <w:rtl/>
        </w:rPr>
        <w:t>،</w:t>
      </w:r>
      <w:r>
        <w:rPr>
          <w:rFonts w:hint="cs"/>
          <w:rtl/>
        </w:rPr>
        <w:t xml:space="preserve"> واهمهم من علماء أهل الحديث</w:t>
      </w:r>
      <w:r w:rsidR="000636C2">
        <w:rPr>
          <w:rFonts w:hint="cs"/>
          <w:rtl/>
        </w:rPr>
        <w:t>،</w:t>
      </w:r>
      <w:r>
        <w:rPr>
          <w:rFonts w:hint="cs"/>
          <w:rtl/>
        </w:rPr>
        <w:t xml:space="preserve"> فخر الحديث وأهله الإمام البيهقي</w:t>
      </w:r>
      <w:r w:rsidR="000636C2">
        <w:rPr>
          <w:rFonts w:hint="cs"/>
          <w:rtl/>
        </w:rPr>
        <w:t>،</w:t>
      </w:r>
      <w:r>
        <w:rPr>
          <w:rFonts w:hint="cs"/>
          <w:rtl/>
        </w:rPr>
        <w:t xml:space="preserve"> وله رسالة </w:t>
      </w:r>
      <w:r w:rsidR="000636C2">
        <w:rPr>
          <w:rFonts w:hint="cs"/>
          <w:rtl/>
        </w:rPr>
        <w:t>(</w:t>
      </w:r>
      <w:r>
        <w:rPr>
          <w:rFonts w:hint="cs"/>
          <w:rtl/>
        </w:rPr>
        <w:t>الأسماء والصفات</w:t>
      </w:r>
      <w:r w:rsidR="000636C2">
        <w:rPr>
          <w:rFonts w:hint="cs"/>
          <w:rtl/>
        </w:rPr>
        <w:t>)</w:t>
      </w:r>
      <w:r>
        <w:rPr>
          <w:rFonts w:hint="cs"/>
          <w:rtl/>
        </w:rPr>
        <w:t xml:space="preserve"> تدل على رسوخ قدمه في علم العقيدة والتنزيه والتقديس</w:t>
      </w:r>
      <w:r w:rsidR="000636C2">
        <w:rPr>
          <w:rFonts w:hint="cs"/>
          <w:rtl/>
        </w:rPr>
        <w:t>،</w:t>
      </w:r>
      <w:r>
        <w:rPr>
          <w:rFonts w:hint="cs"/>
          <w:rtl/>
        </w:rPr>
        <w:t xml:space="preserve"> وهي من أهم مراجع العقيدة الأثرية</w:t>
      </w:r>
      <w:r w:rsidR="000636C2">
        <w:rPr>
          <w:rFonts w:hint="cs"/>
          <w:rtl/>
        </w:rPr>
        <w:t>،</w:t>
      </w:r>
      <w:r>
        <w:rPr>
          <w:rFonts w:hint="cs"/>
          <w:rtl/>
        </w:rPr>
        <w:t xml:space="preserve"> والإمام النووي شارح صحيح مسلم</w:t>
      </w:r>
      <w:r w:rsidR="000636C2">
        <w:rPr>
          <w:rFonts w:hint="cs"/>
          <w:rtl/>
        </w:rPr>
        <w:t>،</w:t>
      </w:r>
      <w:r>
        <w:rPr>
          <w:rFonts w:hint="cs"/>
          <w:rtl/>
        </w:rPr>
        <w:t xml:space="preserve"> وقد تتبعت مباحث العقيدة في كتابه القيم</w:t>
      </w:r>
      <w:r w:rsidR="000636C2">
        <w:rPr>
          <w:rFonts w:hint="cs"/>
          <w:rtl/>
        </w:rPr>
        <w:t xml:space="preserve"> </w:t>
      </w:r>
      <w:r>
        <w:rPr>
          <w:rStyle w:val="breadcrambspan1"/>
          <w:rFonts w:hint="cs"/>
          <w:rtl/>
        </w:rPr>
        <w:t>المنهاج شرح صحيح مسلم بن الحجاج</w:t>
      </w:r>
      <w:r w:rsidR="000636C2">
        <w:rPr>
          <w:rStyle w:val="breadcrambspan1"/>
          <w:rFonts w:hint="cs"/>
          <w:rtl/>
        </w:rPr>
        <w:t>،</w:t>
      </w:r>
      <w:r>
        <w:rPr>
          <w:rStyle w:val="breadcrambspan1"/>
          <w:rFonts w:hint="cs"/>
          <w:rtl/>
        </w:rPr>
        <w:t xml:space="preserve"> والمشهور</w:t>
      </w:r>
      <w:r>
        <w:rPr>
          <w:rFonts w:hint="cs"/>
          <w:rtl/>
        </w:rPr>
        <w:t xml:space="preserve"> </w:t>
      </w:r>
      <w:r>
        <w:rPr>
          <w:rFonts w:eastAsia="Times New Roman" w:hint="cs"/>
          <w:rtl/>
        </w:rPr>
        <w:t>بشرح النووي على صحيح مسلم</w:t>
      </w:r>
      <w:r w:rsidR="000636C2">
        <w:rPr>
          <w:rFonts w:eastAsia="Times New Roman" w:hint="cs"/>
          <w:rtl/>
        </w:rPr>
        <w:t>،</w:t>
      </w:r>
      <w:r>
        <w:rPr>
          <w:rFonts w:eastAsia="Times New Roman" w:hint="cs"/>
          <w:rtl/>
        </w:rPr>
        <w:t xml:space="preserve"> وهو أهم الشروح على صحيح مسلم</w:t>
      </w:r>
      <w:r w:rsidR="000636C2">
        <w:rPr>
          <w:rFonts w:eastAsia="Times New Roman" w:hint="cs"/>
          <w:rtl/>
        </w:rPr>
        <w:t>،</w:t>
      </w:r>
      <w:r>
        <w:rPr>
          <w:rFonts w:hint="cs"/>
          <w:rtl/>
        </w:rPr>
        <w:t xml:space="preserve"> فجمعت منها ما يصلح لأنّ يكون مرجعاً لعقيدة أهل الأثر</w:t>
      </w:r>
      <w:r w:rsidR="000636C2">
        <w:rPr>
          <w:rFonts w:hint="cs"/>
          <w:rtl/>
        </w:rPr>
        <w:t>،</w:t>
      </w:r>
      <w:r>
        <w:rPr>
          <w:rFonts w:hint="cs"/>
          <w:rtl/>
        </w:rPr>
        <w:t xml:space="preserve"> وأمير المؤمنين في الحديث ابن حجر العسقلاني</w:t>
      </w:r>
      <w:r w:rsidR="000636C2">
        <w:rPr>
          <w:rFonts w:hint="cs"/>
          <w:rtl/>
        </w:rPr>
        <w:t>،</w:t>
      </w:r>
      <w:r>
        <w:rPr>
          <w:rFonts w:hint="cs"/>
          <w:rtl/>
        </w:rPr>
        <w:t xml:space="preserve"> صاحب كتاب فتح الباري شرح صحيح البخاري</w:t>
      </w:r>
      <w:r w:rsidR="000636C2">
        <w:rPr>
          <w:rFonts w:hint="cs"/>
          <w:rtl/>
        </w:rPr>
        <w:t>،</w:t>
      </w:r>
      <w:r>
        <w:rPr>
          <w:rFonts w:hint="cs"/>
          <w:rtl/>
        </w:rPr>
        <w:t xml:space="preserve"> وهو من أعظم كتب تفسير الحديث وأجمعها</w:t>
      </w:r>
      <w:r w:rsidR="000636C2">
        <w:rPr>
          <w:rFonts w:hint="cs"/>
          <w:rtl/>
        </w:rPr>
        <w:t>،</w:t>
      </w:r>
      <w:r>
        <w:rPr>
          <w:rFonts w:hint="cs"/>
          <w:rtl/>
        </w:rPr>
        <w:t xml:space="preserve"> لا يستغني عنه طالب علم</w:t>
      </w:r>
      <w:r w:rsidR="000636C2">
        <w:rPr>
          <w:rFonts w:hint="cs"/>
          <w:rtl/>
        </w:rPr>
        <w:t>،</w:t>
      </w:r>
      <w:r>
        <w:rPr>
          <w:rFonts w:hint="cs"/>
          <w:rtl/>
        </w:rPr>
        <w:t xml:space="preserve"> وأهم ما يميز فتح الباري أنّه يجمع في كل باب بالإضافة إلى ما رواه البخاري أهم الأحاديث المتعلقة بالباب التي وردت في دواوين السنة الأخرى من بقية الكتب الستة والمسانيد وغيرها، كما يجمع فيه شروح العلماء قبله على صحيح البخاري</w:t>
      </w:r>
      <w:r w:rsidR="000636C2">
        <w:rPr>
          <w:rFonts w:hint="cs"/>
          <w:rtl/>
        </w:rPr>
        <w:t>،</w:t>
      </w:r>
      <w:r>
        <w:rPr>
          <w:rFonts w:hint="cs"/>
          <w:rtl/>
        </w:rPr>
        <w:t xml:space="preserve"> وينقل عن شراح كتب السنة الأخرى كشرح النووي على صحيح مسلم وشرح الخطابي لسنن أبي داود وكلام البغوي في شرح السنة وغيرهم</w:t>
      </w:r>
      <w:r w:rsidR="000636C2">
        <w:rPr>
          <w:rFonts w:hint="cs"/>
          <w:rtl/>
        </w:rPr>
        <w:t>،</w:t>
      </w:r>
      <w:r>
        <w:rPr>
          <w:rFonts w:hint="cs"/>
          <w:rtl/>
        </w:rPr>
        <w:t xml:space="preserve"> حتى صار بحق أحد أعظم دواوين الإسلام المعتبرة</w:t>
      </w:r>
      <w:r w:rsidR="000636C2">
        <w:rPr>
          <w:rFonts w:hint="cs"/>
          <w:rtl/>
        </w:rPr>
        <w:t>،</w:t>
      </w:r>
      <w:r>
        <w:rPr>
          <w:rFonts w:hint="cs"/>
          <w:rtl/>
        </w:rPr>
        <w:t xml:space="preserve"> ومصادره العلمية المهمة</w:t>
      </w:r>
      <w:r w:rsidR="000636C2">
        <w:rPr>
          <w:rFonts w:hint="cs"/>
          <w:rtl/>
        </w:rPr>
        <w:t>،</w:t>
      </w:r>
      <w:r>
        <w:rPr>
          <w:rFonts w:hint="cs"/>
          <w:rtl/>
        </w:rPr>
        <w:t xml:space="preserve"> وقد تتبعت مباحث العقيدة فيه فجمعت منها ما يصلح لأنّ يكون مرجعاً كاملاً لعقيدة أهل الأثر</w:t>
      </w:r>
      <w:r w:rsidR="000636C2">
        <w:rPr>
          <w:rFonts w:hint="cs"/>
          <w:rtl/>
        </w:rPr>
        <w:t>،</w:t>
      </w:r>
      <w:r>
        <w:rPr>
          <w:rFonts w:hint="cs"/>
          <w:rtl/>
        </w:rPr>
        <w:t xml:space="preserve"> </w:t>
      </w:r>
    </w:p>
    <w:p w14:paraId="0B1D22B5" w14:textId="481BF339" w:rsidR="009C32A0" w:rsidRDefault="009C32A0" w:rsidP="000636C2">
      <w:pPr>
        <w:ind w:left="-58"/>
        <w:rPr>
          <w:b/>
          <w:snapToGrid w:val="0"/>
          <w:rtl/>
        </w:rPr>
      </w:pPr>
      <w:r>
        <w:rPr>
          <w:rFonts w:cs="Monotype Koufi" w:hint="cs"/>
          <w:rtl/>
        </w:rPr>
        <w:t>ثانياً</w:t>
      </w:r>
      <w:r w:rsidR="000636C2">
        <w:rPr>
          <w:rFonts w:cs="Monotype Koufi" w:hint="cs"/>
          <w:rtl/>
        </w:rPr>
        <w:t>:</w:t>
      </w:r>
      <w:r>
        <w:rPr>
          <w:rFonts w:cs="Monotype Koufi" w:hint="cs"/>
          <w:rtl/>
        </w:rPr>
        <w:t xml:space="preserve"> المعبرون عن الأثرية من الحنابلة</w:t>
      </w:r>
      <w:r w:rsidR="000636C2">
        <w:rPr>
          <w:rFonts w:cs="Monotype Koufi" w:hint="cs"/>
          <w:rtl/>
        </w:rPr>
        <w:t>:</w:t>
      </w:r>
      <w:r>
        <w:rPr>
          <w:rFonts w:hint="cs"/>
          <w:rtl/>
        </w:rPr>
        <w:t xml:space="preserve"> من أفضل علماء الحنابلة الذين تكلموا في العقيدة على منهاج المتخصصين الإمام الحافظ أبو الفرج عبد الرحمن بن أبي الحسن علي بن محمد القرشي التيمي البكري</w:t>
      </w:r>
      <w:r w:rsidR="000636C2">
        <w:rPr>
          <w:rFonts w:hint="cs"/>
          <w:rtl/>
        </w:rPr>
        <w:t>،</w:t>
      </w:r>
      <w:r>
        <w:rPr>
          <w:rFonts w:hint="cs"/>
          <w:rtl/>
        </w:rPr>
        <w:t xml:space="preserve"> </w:t>
      </w:r>
      <w:r w:rsidR="000636C2">
        <w:rPr>
          <w:rFonts w:hint="cs"/>
          <w:rtl/>
        </w:rPr>
        <w:t>(</w:t>
      </w:r>
      <w:r>
        <w:rPr>
          <w:rFonts w:hint="cs"/>
          <w:rtl/>
        </w:rPr>
        <w:t>ت 597 هـ</w:t>
      </w:r>
      <w:r w:rsidR="000636C2">
        <w:rPr>
          <w:rFonts w:hint="cs"/>
          <w:rtl/>
        </w:rPr>
        <w:t>)</w:t>
      </w:r>
      <w:r>
        <w:rPr>
          <w:rFonts w:hint="cs"/>
          <w:rtl/>
        </w:rPr>
        <w:t xml:space="preserve"> في كتابه </w:t>
      </w:r>
      <w:r>
        <w:rPr>
          <w:rFonts w:hint="cs"/>
          <w:rtl/>
          <w:lang w:bidi="ar-KW"/>
        </w:rPr>
        <w:t xml:space="preserve">الباز الأشهب </w:t>
      </w:r>
      <w:r>
        <w:rPr>
          <w:rFonts w:hint="cs"/>
          <w:rtl/>
        </w:rPr>
        <w:t>في الرد على منتقضي المذهب</w:t>
      </w:r>
      <w:r w:rsidR="000636C2">
        <w:rPr>
          <w:rFonts w:hint="cs"/>
          <w:rtl/>
        </w:rPr>
        <w:t>،</w:t>
      </w:r>
      <w:r>
        <w:rPr>
          <w:rFonts w:hint="cs"/>
          <w:rtl/>
        </w:rPr>
        <w:t xml:space="preserve"> والمسمى كذلك </w:t>
      </w:r>
      <w:r>
        <w:rPr>
          <w:rFonts w:hint="cs"/>
          <w:snapToGrid w:val="0"/>
          <w:rtl/>
        </w:rPr>
        <w:t>دفع شبه التشبيه</w:t>
      </w:r>
      <w:r>
        <w:rPr>
          <w:rFonts w:hint="cs"/>
          <w:rtl/>
        </w:rPr>
        <w:t xml:space="preserve"> بأكف التنزيه</w:t>
      </w:r>
      <w:r w:rsidR="000636C2">
        <w:rPr>
          <w:rFonts w:hint="cs"/>
          <w:rtl/>
        </w:rPr>
        <w:t>،</w:t>
      </w:r>
      <w:r>
        <w:rPr>
          <w:rFonts w:hint="cs"/>
          <w:rtl/>
        </w:rPr>
        <w:t xml:space="preserve"> رد فيه على حشوية الحنابلة</w:t>
      </w:r>
      <w:r w:rsidR="000636C2">
        <w:rPr>
          <w:rFonts w:hint="cs"/>
          <w:rtl/>
        </w:rPr>
        <w:t>،</w:t>
      </w:r>
      <w:r>
        <w:rPr>
          <w:rFonts w:hint="cs"/>
          <w:rtl/>
        </w:rPr>
        <w:t xml:space="preserve"> وكان يُخاطب ابن حامد وابن الزاغوني والقاضي أبي يعلى القاضي وهم من كُبراء حشوية الحنابلة</w:t>
      </w:r>
      <w:r w:rsidR="000636C2">
        <w:rPr>
          <w:rFonts w:hint="cs"/>
          <w:rtl/>
        </w:rPr>
        <w:t>،</w:t>
      </w:r>
      <w:r>
        <w:rPr>
          <w:rFonts w:hint="cs"/>
          <w:rtl/>
        </w:rPr>
        <w:t xml:space="preserve"> بقوله</w:t>
      </w:r>
      <w:r w:rsidR="000636C2">
        <w:rPr>
          <w:rFonts w:hint="cs"/>
          <w:rtl/>
        </w:rPr>
        <w:t>:</w:t>
      </w:r>
      <w:r>
        <w:rPr>
          <w:rFonts w:hint="cs"/>
          <w:rtl/>
        </w:rPr>
        <w:t xml:space="preserve"> " </w:t>
      </w:r>
      <w:r>
        <w:rPr>
          <w:rFonts w:hint="cs"/>
          <w:snapToGrid w:val="0"/>
          <w:rtl/>
        </w:rPr>
        <w:t>ورأيت من أصحابنا من تكلم في الأصول بما لا يصلح</w:t>
      </w:r>
      <w:r w:rsidR="000636C2">
        <w:rPr>
          <w:rFonts w:hint="cs"/>
          <w:snapToGrid w:val="0"/>
          <w:rtl/>
        </w:rPr>
        <w:t>،</w:t>
      </w:r>
      <w:r>
        <w:rPr>
          <w:rFonts w:hint="cs"/>
          <w:snapToGrid w:val="0"/>
          <w:rtl/>
        </w:rPr>
        <w:t xml:space="preserve"> وانتدب للتصنيف ثلاثة: أبو عبد الله بن حامد وصاحبه القاضي</w:t>
      </w:r>
      <w:r>
        <w:rPr>
          <w:rFonts w:hint="cs"/>
          <w:snapToGrid w:val="0"/>
          <w:vertAlign w:val="superscript"/>
          <w:rtl/>
        </w:rPr>
        <w:t xml:space="preserve"> </w:t>
      </w:r>
      <w:r>
        <w:rPr>
          <w:rFonts w:hint="cs"/>
          <w:snapToGrid w:val="0"/>
          <w:rtl/>
        </w:rPr>
        <w:t xml:space="preserve">وابن الزاغوني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w:t>
      </w:r>
      <w:r>
        <w:rPr>
          <w:rFonts w:hint="cs"/>
          <w:snapToGrid w:val="0"/>
          <w:rtl/>
        </w:rPr>
        <w:lastRenderedPageBreak/>
        <w:t>وأضراساً .. ويدين وأصابعَ وكفاً وخنصراً وإبهاماً وصدراً وفخذاً وساقين ورجلين. وقالوا: ما سمعنا بذكر الرأس. وقالوا</w:t>
      </w:r>
      <w:r w:rsidR="000636C2">
        <w:rPr>
          <w:rFonts w:hint="cs"/>
          <w:snapToGrid w:val="0"/>
          <w:rtl/>
        </w:rPr>
        <w:t>:</w:t>
      </w:r>
      <w:r>
        <w:rPr>
          <w:rFonts w:hint="cs"/>
          <w:snapToGrid w:val="0"/>
          <w:rtl/>
        </w:rPr>
        <w:t xml:space="preserve"> يجوز أن يُمس وَيمس، ويدني العبد من ذاته. وقال بعضهم: ويتنفس. ثم يرضون العوام بقولهم: لا كما يعقل</w:t>
      </w:r>
      <w:r w:rsidR="000636C2">
        <w:rPr>
          <w:rFonts w:hint="cs"/>
          <w:snapToGrid w:val="0"/>
          <w:rtl/>
        </w:rPr>
        <w:t xml:space="preserve"> </w:t>
      </w:r>
      <w:r>
        <w:rPr>
          <w:rFonts w:hint="cs"/>
          <w:snapToGrid w:val="0"/>
          <w:rtl/>
        </w:rPr>
        <w:t>ثم يتحرجون من التشبيه ويأنفون من إضافته إليهم ويقولون</w:t>
      </w:r>
      <w:r w:rsidR="000636C2">
        <w:rPr>
          <w:rFonts w:hint="cs"/>
          <w:snapToGrid w:val="0"/>
          <w:rtl/>
        </w:rPr>
        <w:t>:</w:t>
      </w:r>
      <w:r>
        <w:rPr>
          <w:rFonts w:hint="cs"/>
          <w:snapToGrid w:val="0"/>
          <w:rtl/>
        </w:rPr>
        <w:t xml:space="preserve"> نحن أهل السنة، وكلامهم صريح في التشبيه. وقد تبعهم خلق من العوام. فقد نصحت التابع والمتبوع فقلت لهم: يا أصحابنا أنتم أصحاب نقل وإمامكم الاكبر أحمد بن حنبل يقول وهو تحت السياط:" كيف أقول ما لم يقل". فإياكم أن تبتدعوا في مذهبه ما ليس منه</w:t>
      </w:r>
      <w:r w:rsidR="000636C2">
        <w:rPr>
          <w:rFonts w:hint="cs"/>
          <w:snapToGrid w:val="0"/>
          <w:rtl/>
        </w:rPr>
        <w:t>،</w:t>
      </w:r>
      <w:r>
        <w:rPr>
          <w:rFonts w:hint="cs"/>
          <w:snapToGrid w:val="0"/>
          <w:rtl/>
        </w:rPr>
        <w:t xml:space="preserve"> فلو أنكم قلتم: نقرأ الأحاديث ونسكت ما أنكر عليكم أحد، إنما حمْلكم إياها على الظاهر قبيح، فلا تدخلوا في مذهب هذا الرجل الصالح السلفي ما ليس منه. ولقد كسيتم هذا المذهب شيناً قبيحاً حتى صار لا يقال حنبلي إلا مجسم..</w:t>
      </w:r>
      <w:r w:rsidR="000636C2">
        <w:rPr>
          <w:rFonts w:hint="cs"/>
          <w:snapToGrid w:val="0"/>
          <w:rtl/>
        </w:rPr>
        <w:t>)</w:t>
      </w:r>
      <w:r>
        <w:rPr>
          <w:rFonts w:hint="cs"/>
          <w:snapToGrid w:val="0"/>
          <w:rtl/>
        </w:rPr>
        <w:t xml:space="preserve"> أهـ </w:t>
      </w:r>
      <w:r w:rsidR="000636C2">
        <w:rPr>
          <w:rFonts w:hint="cs"/>
          <w:snapToGrid w:val="0"/>
          <w:rtl/>
        </w:rPr>
        <w:t>[</w:t>
      </w:r>
      <w:r>
        <w:rPr>
          <w:rFonts w:hint="cs"/>
          <w:snapToGrid w:val="0"/>
          <w:rtl/>
        </w:rPr>
        <w:t>دفع شبه التشبيه لابن الجوزي 30-33</w:t>
      </w:r>
      <w:r w:rsidR="000636C2">
        <w:rPr>
          <w:rFonts w:hint="cs"/>
          <w:snapToGrid w:val="0"/>
          <w:rtl/>
        </w:rPr>
        <w:t>]،</w:t>
      </w:r>
      <w:r>
        <w:rPr>
          <w:rFonts w:hint="cs"/>
          <w:snapToGrid w:val="0"/>
          <w:rtl/>
        </w:rPr>
        <w:t xml:space="preserve"> وكتابه الباز الأشهب من خير الكتب التي ردت على بدعة الحشو</w:t>
      </w:r>
      <w:r w:rsidR="000636C2">
        <w:rPr>
          <w:rFonts w:hint="cs"/>
          <w:snapToGrid w:val="0"/>
          <w:rtl/>
        </w:rPr>
        <w:t>،</w:t>
      </w:r>
      <w:r>
        <w:rPr>
          <w:rFonts w:hint="cs"/>
          <w:snapToGrid w:val="0"/>
          <w:rtl/>
        </w:rPr>
        <w:t xml:space="preserve"> ومن الكتب المعبرة عن مذهب الأثرية كتاب أقاويل الثقات في تأويل الأسماء والصفات والآيات المحكمات والمشبهات</w:t>
      </w:r>
      <w:r w:rsidR="000636C2">
        <w:rPr>
          <w:rFonts w:hint="cs"/>
          <w:snapToGrid w:val="0"/>
          <w:rtl/>
        </w:rPr>
        <w:t>)</w:t>
      </w:r>
      <w:r>
        <w:rPr>
          <w:rFonts w:hint="cs"/>
          <w:snapToGrid w:val="0"/>
          <w:rtl/>
        </w:rPr>
        <w:t xml:space="preserve"> . صنفه العلامة مرعي بن يوسف بن أبي بكر الكرمي </w:t>
      </w:r>
      <w:r w:rsidR="000636C2">
        <w:rPr>
          <w:rFonts w:hint="cs"/>
          <w:snapToGrid w:val="0"/>
          <w:rtl/>
        </w:rPr>
        <w:t>(</w:t>
      </w:r>
      <w:r>
        <w:rPr>
          <w:rFonts w:hint="cs"/>
          <w:snapToGrid w:val="0"/>
          <w:rtl/>
        </w:rPr>
        <w:t>ت</w:t>
      </w:r>
      <w:r w:rsidR="000636C2">
        <w:rPr>
          <w:rFonts w:hint="cs"/>
          <w:snapToGrid w:val="0"/>
          <w:rtl/>
        </w:rPr>
        <w:t>:</w:t>
      </w:r>
      <w:r>
        <w:rPr>
          <w:rFonts w:hint="cs"/>
          <w:snapToGrid w:val="0"/>
          <w:rtl/>
        </w:rPr>
        <w:t xml:space="preserve"> 1033 هـ</w:t>
      </w:r>
      <w:r w:rsidR="000636C2">
        <w:rPr>
          <w:rFonts w:hint="cs"/>
          <w:snapToGrid w:val="0"/>
          <w:rtl/>
        </w:rPr>
        <w:t>)،</w:t>
      </w:r>
      <w:r>
        <w:rPr>
          <w:rFonts w:hint="cs"/>
          <w:snapToGrid w:val="0"/>
          <w:rtl/>
        </w:rPr>
        <w:t xml:space="preserve"> وكتاب العين والأثر في</w:t>
      </w:r>
      <w:r>
        <w:rPr>
          <w:rFonts w:hint="cs"/>
          <w:snapToGrid w:val="0"/>
        </w:rPr>
        <w:t xml:space="preserve"> </w:t>
      </w:r>
      <w:r>
        <w:rPr>
          <w:rFonts w:hint="cs"/>
          <w:snapToGrid w:val="0"/>
          <w:rtl/>
        </w:rPr>
        <w:t>عقائد أهل الأثر لعبد الباقي بن عبد الباقي بن عبد القادر</w:t>
      </w:r>
      <w:r w:rsidR="000636C2">
        <w:rPr>
          <w:rFonts w:hint="cs"/>
          <w:snapToGrid w:val="0"/>
          <w:rtl/>
        </w:rPr>
        <w:t>،</w:t>
      </w:r>
      <w:r>
        <w:rPr>
          <w:rFonts w:hint="cs"/>
          <w:snapToGrid w:val="0"/>
          <w:rtl/>
        </w:rPr>
        <w:t xml:space="preserve"> وكتاب لوامع الأنوار البهية شرح الدرة المضية في عقد الفرقة المرضية وكلاهما للشيخ محمد بن أحمد بن سالم بن سليمان السفاريني النابلسي الحنبلي</w:t>
      </w:r>
      <w:r w:rsidR="000636C2">
        <w:rPr>
          <w:rFonts w:hint="cs"/>
          <w:snapToGrid w:val="0"/>
          <w:rtl/>
        </w:rPr>
        <w:t>،</w:t>
      </w:r>
      <w:r>
        <w:rPr>
          <w:rFonts w:hint="cs"/>
          <w:snapToGrid w:val="0"/>
          <w:rtl/>
        </w:rPr>
        <w:t xml:space="preserve"> </w:t>
      </w:r>
    </w:p>
    <w:p w14:paraId="77C93026" w14:textId="785C3E04" w:rsidR="009C32A0" w:rsidRDefault="009C32A0" w:rsidP="000636C2">
      <w:pPr>
        <w:ind w:left="-58"/>
        <w:rPr>
          <w:b/>
          <w:rtl/>
        </w:rPr>
      </w:pPr>
      <w:r>
        <w:rPr>
          <w:rFonts w:cs="Monotype Koufi" w:hint="cs"/>
          <w:rtl/>
        </w:rPr>
        <w:t>ثالثاً</w:t>
      </w:r>
      <w:r w:rsidR="000636C2">
        <w:rPr>
          <w:rFonts w:cs="Monotype Koufi" w:hint="cs"/>
          <w:rtl/>
        </w:rPr>
        <w:t>:</w:t>
      </w:r>
      <w:r>
        <w:rPr>
          <w:rFonts w:cs="Monotype Koufi" w:hint="cs"/>
          <w:rtl/>
        </w:rPr>
        <w:t xml:space="preserve"> التحذير من كتب حديثية كُتبت على منهج أهل الحشو ونُسبت إلى أهل السنّة والجماعة</w:t>
      </w:r>
      <w:r w:rsidR="000636C2">
        <w:rPr>
          <w:rFonts w:hint="cs"/>
          <w:bCs/>
          <w:snapToGrid w:val="0"/>
          <w:rtl/>
        </w:rPr>
        <w:t>:</w:t>
      </w:r>
      <w:r>
        <w:rPr>
          <w:rFonts w:hint="cs"/>
          <w:bCs/>
          <w:snapToGrid w:val="0"/>
          <w:rtl/>
        </w:rPr>
        <w:t xml:space="preserve"> </w:t>
      </w:r>
      <w:r>
        <w:rPr>
          <w:rFonts w:hint="cs"/>
          <w:bCs/>
          <w:rtl/>
        </w:rPr>
        <w:t>إنّ من الأمانة العلمية أمام الله تعالى وأمام الرسول صلى الله عليه وسلم وأمام المؤمنين تقتضي التحذير من كتب تلبس مسوح اهل السنّة</w:t>
      </w:r>
      <w:r w:rsidR="000636C2">
        <w:rPr>
          <w:rFonts w:hint="cs"/>
          <w:bCs/>
          <w:rtl/>
        </w:rPr>
        <w:t>،</w:t>
      </w:r>
      <w:r>
        <w:rPr>
          <w:rFonts w:hint="cs"/>
          <w:bCs/>
          <w:rtl/>
        </w:rPr>
        <w:t xml:space="preserve"> والسنّة منها برآء</w:t>
      </w:r>
      <w:r w:rsidR="000636C2">
        <w:rPr>
          <w:rFonts w:hint="cs"/>
          <w:bCs/>
          <w:rtl/>
        </w:rPr>
        <w:t>،</w:t>
      </w:r>
      <w:r>
        <w:rPr>
          <w:rFonts w:hint="cs"/>
          <w:bCs/>
          <w:rtl/>
        </w:rPr>
        <w:t xml:space="preserve"> وهي في الحقيقة لا تنتمي إلى العقيدة الأثرية</w:t>
      </w:r>
      <w:r w:rsidR="000636C2">
        <w:rPr>
          <w:rFonts w:hint="cs"/>
          <w:bCs/>
          <w:rtl/>
        </w:rPr>
        <w:t>،</w:t>
      </w:r>
      <w:r>
        <w:rPr>
          <w:rFonts w:hint="cs"/>
          <w:bCs/>
          <w:rtl/>
        </w:rPr>
        <w:t xml:space="preserve"> ولا إلى عقائد أهل السنّة والجماعة القائمة على التقديس والتنزيه</w:t>
      </w:r>
      <w:r w:rsidR="000636C2">
        <w:rPr>
          <w:rFonts w:hint="cs"/>
          <w:bCs/>
          <w:rtl/>
        </w:rPr>
        <w:t>،</w:t>
      </w:r>
      <w:r>
        <w:rPr>
          <w:rFonts w:hint="cs"/>
          <w:bCs/>
          <w:rtl/>
        </w:rPr>
        <w:t xml:space="preserve"> بل هي إلى عقيدة الحشو والتجسيم أقرب</w:t>
      </w:r>
      <w:r w:rsidR="000636C2">
        <w:rPr>
          <w:rFonts w:hint="cs"/>
          <w:bCs/>
          <w:rtl/>
        </w:rPr>
        <w:t>،</w:t>
      </w:r>
      <w:r>
        <w:rPr>
          <w:rFonts w:hint="cs"/>
          <w:bCs/>
          <w:rtl/>
        </w:rPr>
        <w:t xml:space="preserve"> ومن ذلك</w:t>
      </w:r>
      <w:r w:rsidR="000636C2">
        <w:rPr>
          <w:rFonts w:hint="cs"/>
          <w:bCs/>
          <w:rtl/>
        </w:rPr>
        <w:t>:</w:t>
      </w:r>
      <w:r>
        <w:rPr>
          <w:rFonts w:hint="cs"/>
          <w:rtl/>
        </w:rPr>
        <w:t xml:space="preserve"> </w:t>
      </w:r>
      <w:r w:rsidR="000636C2">
        <w:rPr>
          <w:rFonts w:hint="cs"/>
          <w:rtl/>
        </w:rPr>
        <w:t>(</w:t>
      </w:r>
      <w:r>
        <w:rPr>
          <w:rFonts w:hint="cs"/>
          <w:rtl/>
        </w:rPr>
        <w:t>1</w:t>
      </w:r>
      <w:r w:rsidR="000636C2">
        <w:rPr>
          <w:rFonts w:hint="cs"/>
          <w:rtl/>
        </w:rPr>
        <w:t>)</w:t>
      </w:r>
      <w:r>
        <w:rPr>
          <w:rFonts w:hint="cs"/>
          <w:rtl/>
        </w:rPr>
        <w:t xml:space="preserve"> </w:t>
      </w:r>
      <w:r>
        <w:rPr>
          <w:rFonts w:hint="cs"/>
          <w:bCs/>
          <w:rtl/>
        </w:rPr>
        <w:t>كتاب الرد على الجهمية وكتاب نقض عثمان بن سعيد على المريسي العنيد</w:t>
      </w:r>
      <w:r w:rsidR="000636C2">
        <w:rPr>
          <w:rFonts w:hint="cs"/>
          <w:bCs/>
          <w:rtl/>
        </w:rPr>
        <w:t>:</w:t>
      </w:r>
      <w:r>
        <w:rPr>
          <w:rFonts w:hint="cs"/>
          <w:bCs/>
          <w:rtl/>
        </w:rPr>
        <w:t xml:space="preserve"> </w:t>
      </w:r>
      <w:r>
        <w:rPr>
          <w:rFonts w:hint="cs"/>
          <w:rtl/>
        </w:rPr>
        <w:t>لعثمان بن سعيد الدارمي (280 هـ</w:t>
      </w:r>
      <w:r w:rsidR="000636C2">
        <w:rPr>
          <w:rFonts w:hint="cs"/>
          <w:rtl/>
        </w:rPr>
        <w:t>)</w:t>
      </w:r>
      <w:r w:rsidR="000636C2">
        <w:rPr>
          <w:rFonts w:hint="cs"/>
          <w:vertAlign w:val="superscript"/>
          <w:rtl/>
        </w:rPr>
        <w:t>:</w:t>
      </w:r>
      <w:r>
        <w:rPr>
          <w:rFonts w:hint="cs"/>
          <w:rtl/>
        </w:rPr>
        <w:t xml:space="preserve"> فقد احتج فيهما بكثير من الأسانيد الواهية والمتون المنكرة التي تخالف التنزيه وأثبت فيهما أن العرش يئط من ثقل الجبار فوقه</w:t>
      </w:r>
      <w:r w:rsidR="000636C2">
        <w:rPr>
          <w:rFonts w:hint="cs"/>
          <w:rtl/>
        </w:rPr>
        <w:t>،</w:t>
      </w:r>
      <w:r>
        <w:rPr>
          <w:rFonts w:hint="cs"/>
          <w:rtl/>
        </w:rPr>
        <w:t xml:space="preserve"> وأنه ينزل في الليل إلى جنة عدن وهي مسكنه يسكن معه فيها النبيون والصديقون والشهداء، وأنه يهبط من عرشه إلى كرسيه ثم يرتفع عن كرسيه إلى عرشه</w:t>
      </w:r>
      <w:r w:rsidR="000636C2">
        <w:rPr>
          <w:rFonts w:hint="cs"/>
          <w:rtl/>
        </w:rPr>
        <w:t>،</w:t>
      </w:r>
      <w:r>
        <w:rPr>
          <w:rFonts w:hint="cs"/>
          <w:rtl/>
        </w:rPr>
        <w:t xml:space="preserve"> وأثبتَ الثقل والحركة والقرب الحسي الذي يُقاس بالمسافة والحد لله عز وجل</w:t>
      </w:r>
      <w:r w:rsidR="000636C2">
        <w:rPr>
          <w:rFonts w:hint="cs"/>
          <w:rtl/>
        </w:rPr>
        <w:t>،</w:t>
      </w:r>
      <w:r>
        <w:rPr>
          <w:rFonts w:hint="cs"/>
          <w:rtl/>
        </w:rPr>
        <w:t xml:space="preserve"> وأنه مس آدم مسيساً بيده</w:t>
      </w:r>
      <w:r w:rsidR="000636C2">
        <w:rPr>
          <w:rFonts w:hint="cs"/>
          <w:rtl/>
        </w:rPr>
        <w:t>،</w:t>
      </w:r>
      <w:r>
        <w:rPr>
          <w:rFonts w:hint="cs"/>
          <w:rtl/>
        </w:rPr>
        <w:t xml:space="preserve"> وأنه يقعد على العرش فما يفضل منه إلا قدر أربعة أصابع</w:t>
      </w:r>
      <w:r w:rsidR="000636C2">
        <w:rPr>
          <w:rFonts w:hint="cs"/>
          <w:rtl/>
        </w:rPr>
        <w:t>،</w:t>
      </w:r>
      <w:r>
        <w:rPr>
          <w:rFonts w:hint="cs"/>
          <w:rtl/>
        </w:rPr>
        <w:t xml:space="preserve"> وأنه قادر على الاستقرار على ظهر بعوضة</w:t>
      </w:r>
      <w:r w:rsidR="000636C2">
        <w:rPr>
          <w:rFonts w:hint="cs"/>
          <w:rtl/>
        </w:rPr>
        <w:t>،</w:t>
      </w:r>
      <w:r>
        <w:rPr>
          <w:rFonts w:hint="cs"/>
          <w:rtl/>
        </w:rPr>
        <w:t xml:space="preserve"> وأنه إذا غضب ثقل على حملة العرش</w:t>
      </w:r>
      <w:r w:rsidR="000636C2">
        <w:rPr>
          <w:rFonts w:hint="cs"/>
          <w:rtl/>
        </w:rPr>
        <w:t>،</w:t>
      </w:r>
      <w:r>
        <w:rPr>
          <w:rFonts w:hint="cs"/>
          <w:rtl/>
        </w:rPr>
        <w:t xml:space="preserve"> وأن رأس المنارة أقرب إليه </w:t>
      </w:r>
      <w:r>
        <w:rPr>
          <w:rFonts w:hint="cs"/>
          <w:rtl/>
        </w:rPr>
        <w:lastRenderedPageBreak/>
        <w:t>من أسفلها، وغير ذلك مما يدل على جهله العظيم بما يجب وما يستحيل في حق الله تعالى لما يوحي به من النقص والمشابهة لخلقه</w:t>
      </w:r>
      <w:r w:rsidR="000636C2">
        <w:rPr>
          <w:rFonts w:hint="cs"/>
          <w:rtl/>
        </w:rPr>
        <w:t>،</w:t>
      </w:r>
      <w:r>
        <w:rPr>
          <w:rFonts w:hint="cs"/>
          <w:bCs/>
          <w:rtl/>
        </w:rPr>
        <w:t xml:space="preserve"> </w:t>
      </w:r>
      <w:r w:rsidR="000636C2">
        <w:rPr>
          <w:rFonts w:hint="cs"/>
          <w:bCs/>
          <w:rtl/>
        </w:rPr>
        <w:t>(</w:t>
      </w:r>
      <w:r>
        <w:rPr>
          <w:rFonts w:hint="cs"/>
          <w:bCs/>
          <w:rtl/>
        </w:rPr>
        <w:t>2</w:t>
      </w:r>
      <w:r w:rsidR="000636C2">
        <w:rPr>
          <w:rFonts w:hint="cs"/>
          <w:bCs/>
          <w:rtl/>
        </w:rPr>
        <w:t>)</w:t>
      </w:r>
      <w:r>
        <w:rPr>
          <w:rFonts w:hint="cs"/>
          <w:bCs/>
          <w:rtl/>
        </w:rPr>
        <w:t xml:space="preserve"> كتاب السنة لابن أبي عاصم</w:t>
      </w:r>
      <w:r w:rsidR="000636C2">
        <w:rPr>
          <w:rFonts w:hint="cs"/>
          <w:bCs/>
          <w:rtl/>
        </w:rPr>
        <w:t>:</w:t>
      </w:r>
      <w:r>
        <w:rPr>
          <w:rFonts w:hint="cs"/>
          <w:bCs/>
          <w:rtl/>
        </w:rPr>
        <w:t xml:space="preserve"> </w:t>
      </w:r>
      <w:r>
        <w:rPr>
          <w:rFonts w:hint="cs"/>
          <w:rtl/>
        </w:rPr>
        <w:t>وكان ظاهريا حشوياً يابسا أثبت في كتابه من الأخبار المنكرة والأحاديث الموضوعة ما يستحي المسلم من ذكرها</w:t>
      </w:r>
      <w:r w:rsidR="000636C2">
        <w:rPr>
          <w:rFonts w:hint="cs"/>
          <w:rtl/>
        </w:rPr>
        <w:t>،</w:t>
      </w:r>
      <w:r>
        <w:rPr>
          <w:rFonts w:hint="cs"/>
          <w:rtl/>
        </w:rPr>
        <w:t xml:space="preserve"> ومنها أن الله خلق آدم على صورة وجهه</w:t>
      </w:r>
      <w:r w:rsidR="000636C2">
        <w:rPr>
          <w:rFonts w:hint="cs"/>
          <w:rtl/>
        </w:rPr>
        <w:t>،</w:t>
      </w:r>
      <w:r>
        <w:rPr>
          <w:rFonts w:hint="cs"/>
          <w:rtl/>
        </w:rPr>
        <w:t xml:space="preserve">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r w:rsidR="000636C2">
        <w:rPr>
          <w:rFonts w:hint="cs"/>
          <w:rtl/>
        </w:rPr>
        <w:t>،</w:t>
      </w:r>
      <w:r>
        <w:rPr>
          <w:rFonts w:hint="cs"/>
          <w:rtl/>
        </w:rPr>
        <w:t xml:space="preserve"> </w:t>
      </w:r>
      <w:r w:rsidR="000636C2">
        <w:rPr>
          <w:rFonts w:hint="cs"/>
          <w:rtl/>
        </w:rPr>
        <w:t>(</w:t>
      </w:r>
      <w:r>
        <w:rPr>
          <w:rFonts w:hint="cs"/>
          <w:rtl/>
        </w:rPr>
        <w:t>3</w:t>
      </w:r>
      <w:r w:rsidR="000636C2">
        <w:rPr>
          <w:rFonts w:hint="cs"/>
          <w:rtl/>
        </w:rPr>
        <w:t xml:space="preserve">) </w:t>
      </w:r>
      <w:r>
        <w:rPr>
          <w:rFonts w:hint="cs"/>
          <w:bCs/>
          <w:rtl/>
        </w:rPr>
        <w:t xml:space="preserve">كتاب السنة المنسوب إلى عبد الله بن الإمام أحمد بن حنبل رحمه الله </w:t>
      </w:r>
      <w:r>
        <w:rPr>
          <w:rFonts w:hint="cs"/>
          <w:rtl/>
        </w:rPr>
        <w:t>(290هـ</w:t>
      </w:r>
      <w:r w:rsidR="000636C2">
        <w:rPr>
          <w:rFonts w:hint="cs"/>
          <w:rtl/>
        </w:rPr>
        <w:t>):</w:t>
      </w:r>
      <w:r>
        <w:rPr>
          <w:rFonts w:hint="cs"/>
          <w:rtl/>
        </w:rPr>
        <w:t xml:space="preserve"> وقلت</w:t>
      </w:r>
      <w:r w:rsidR="000636C2">
        <w:rPr>
          <w:rFonts w:hint="cs"/>
          <w:rtl/>
        </w:rPr>
        <w:t>:</w:t>
      </w:r>
      <w:r>
        <w:rPr>
          <w:rFonts w:hint="cs"/>
          <w:rtl/>
        </w:rPr>
        <w:t xml:space="preserve"> المنسوب لأنّ الغالب بل اليقين عندي أنّه لا تصح نسبته إليه</w:t>
      </w:r>
      <w:r w:rsidR="000636C2">
        <w:rPr>
          <w:rFonts w:hint="cs"/>
          <w:rtl/>
        </w:rPr>
        <w:t>،</w:t>
      </w:r>
      <w:r>
        <w:rPr>
          <w:rFonts w:hint="cs"/>
          <w:rtl/>
        </w:rPr>
        <w:t xml:space="preserve"> لوجود مجهولين في طبقتين من طبقات إسناد هذا الكتاب إلى مؤلفه</w:t>
      </w:r>
      <w:r w:rsidR="000636C2">
        <w:rPr>
          <w:rFonts w:hint="cs"/>
          <w:rtl/>
        </w:rPr>
        <w:t>،</w:t>
      </w:r>
      <w:r>
        <w:rPr>
          <w:rFonts w:hint="cs"/>
          <w:rtl/>
        </w:rPr>
        <w:t xml:space="preserve"> ولكونه اشتمل هذا الكتاب على أكثر من مئة وثمانين نصاً في الطعن في الإمام أبي حنيفة</w:t>
      </w:r>
      <w:r w:rsidR="000636C2">
        <w:rPr>
          <w:rFonts w:hint="cs"/>
          <w:rtl/>
        </w:rPr>
        <w:t>،</w:t>
      </w:r>
      <w:r>
        <w:rPr>
          <w:rFonts w:hint="cs"/>
          <w:rtl/>
        </w:rPr>
        <w:t xml:space="preserve"> بل في بعضها تكفيره</w:t>
      </w:r>
      <w:r w:rsidR="000636C2">
        <w:rPr>
          <w:rFonts w:hint="cs"/>
          <w:rtl/>
        </w:rPr>
        <w:t>،</w:t>
      </w:r>
      <w:r>
        <w:rPr>
          <w:rFonts w:hint="cs"/>
          <w:rtl/>
        </w:rPr>
        <w:t xml:space="preserve"> وأنه أُخِذ من لحيته كأنه تيس يدار به على الحلق يستتاب من الكفر أكثر من مرة</w:t>
      </w:r>
      <w:r w:rsidR="000636C2">
        <w:rPr>
          <w:rFonts w:hint="cs"/>
          <w:rtl/>
        </w:rPr>
        <w:t>،</w:t>
      </w:r>
      <w:r>
        <w:rPr>
          <w:rFonts w:hint="cs"/>
          <w:rtl/>
        </w:rPr>
        <w:t xml:space="preserve"> وأنه أفتى بأكل لحم الخنزير، وفيه نقلٌ عن الإمام مالك أنه ذكره بسوء، وقال: كاد الدين ومن كاد الدين فليس من الدين وغير ذلك من المثالب التي تقشعر منها الأبدان</w:t>
      </w:r>
      <w:r w:rsidR="000636C2">
        <w:rPr>
          <w:rFonts w:hint="cs"/>
          <w:rtl/>
        </w:rPr>
        <w:t>،</w:t>
      </w:r>
      <w:r>
        <w:rPr>
          <w:rFonts w:hint="cs"/>
          <w:rtl/>
        </w:rPr>
        <w:t xml:space="preserve"> وقد كان أبوه الإمام أحمد يُجل الإمام أبي حنيفة وتتلمذ على تلامذته كمحمد بن الحسن الشيباني</w:t>
      </w:r>
      <w:r w:rsidR="000636C2">
        <w:rPr>
          <w:rFonts w:hint="cs"/>
          <w:rtl/>
        </w:rPr>
        <w:t xml:space="preserve">، </w:t>
      </w:r>
      <w:r>
        <w:rPr>
          <w:rFonts w:hint="cs"/>
          <w:rtl/>
        </w:rPr>
        <w:t>ومما اشتمل عليه هذا الكتاب من الجرأة على الله عز وجل وصفُه بالجلوس على العرش</w:t>
      </w:r>
      <w:r w:rsidR="000636C2">
        <w:rPr>
          <w:rFonts w:hint="cs"/>
          <w:rtl/>
        </w:rPr>
        <w:t>،</w:t>
      </w:r>
      <w:r>
        <w:rPr>
          <w:rFonts w:hint="cs"/>
          <w:rtl/>
        </w:rPr>
        <w:t xml:space="preserve"> وإثبات صدر له وذراعين</w:t>
      </w:r>
      <w:r w:rsidR="000636C2">
        <w:rPr>
          <w:rFonts w:hint="cs"/>
          <w:rtl/>
        </w:rPr>
        <w:t>،</w:t>
      </w:r>
      <w:r>
        <w:rPr>
          <w:rFonts w:hint="cs"/>
          <w:rtl/>
        </w:rPr>
        <w:t xml:space="preserve"> وإثبات الثقل والصورة التي صور عليها آدم</w:t>
      </w:r>
      <w:r w:rsidR="000636C2">
        <w:rPr>
          <w:rFonts w:hint="cs"/>
          <w:rtl/>
        </w:rPr>
        <w:t>،</w:t>
      </w:r>
      <w:r>
        <w:rPr>
          <w:rFonts w:hint="cs"/>
          <w:rtl/>
        </w:rPr>
        <w:t xml:space="preserve"> وأنه على كرسي من ذهب تحمله أربعة من الملائكة</w:t>
      </w:r>
      <w:r w:rsidR="000636C2">
        <w:rPr>
          <w:rFonts w:hint="cs"/>
          <w:rtl/>
        </w:rPr>
        <w:t>،</w:t>
      </w:r>
      <w:r>
        <w:rPr>
          <w:rFonts w:hint="cs"/>
          <w:rtl/>
        </w:rPr>
        <w:t xml:space="preserve"> وأنه واضع رجليه على الكرسي، وأن الكرسي قد عاد كالنعل في قدميه، وأنه إذا أراد أن يخوف أحداً من عباده أبدى عن بعضه</w:t>
      </w:r>
      <w:r w:rsidR="000636C2">
        <w:rPr>
          <w:rFonts w:hint="cs"/>
          <w:rtl/>
        </w:rPr>
        <w:t>،</w:t>
      </w:r>
      <w:r>
        <w:rPr>
          <w:rFonts w:hint="cs"/>
          <w:rtl/>
        </w:rPr>
        <w:t xml:space="preserve"> وأنه قرَّب داودَ عليه السلام حتى مس بعضه وأخذ بقدمه وغير ذلك من الحشو الذي يؤول بصاحبه إلى التجسيم</w:t>
      </w:r>
      <w:r w:rsidR="000636C2">
        <w:rPr>
          <w:rFonts w:hint="cs"/>
          <w:rtl/>
        </w:rPr>
        <w:t>،</w:t>
      </w:r>
      <w:r>
        <w:rPr>
          <w:rFonts w:hint="cs"/>
          <w:rtl/>
        </w:rPr>
        <w:t xml:space="preserve"> ومما اشتمل عليه في حق الإمام أحمد أنه نقل عنه تصحيح الأخبار التي تثبت جلوسَه عز وجل على العرش وحصولَ الأطيط من هذا الجلوس</w:t>
      </w:r>
      <w:r w:rsidR="000636C2">
        <w:rPr>
          <w:rFonts w:hint="cs"/>
          <w:rtl/>
        </w:rPr>
        <w:t>،</w:t>
      </w:r>
      <w:r>
        <w:rPr>
          <w:rFonts w:hint="cs"/>
          <w:rtl/>
        </w:rPr>
        <w:t xml:space="preserve"> وأنه واضع رجليه على الكرسي وأن الكرسي</w:t>
      </w:r>
      <w:r w:rsidR="000636C2">
        <w:rPr>
          <w:rFonts w:hint="cs"/>
          <w:rtl/>
        </w:rPr>
        <w:t xml:space="preserve"> </w:t>
      </w:r>
      <w:r>
        <w:rPr>
          <w:rFonts w:hint="cs"/>
          <w:rtl/>
        </w:rPr>
        <w:t>موضع قدميه، وأنه يقعد على العرش فما يفضل منه إلا قيد أربعة أصابع</w:t>
      </w:r>
      <w:r w:rsidR="000636C2">
        <w:rPr>
          <w:rFonts w:hint="cs"/>
          <w:rtl/>
        </w:rPr>
        <w:t>،</w:t>
      </w:r>
      <w:r>
        <w:rPr>
          <w:rFonts w:hint="cs"/>
          <w:rtl/>
        </w:rPr>
        <w:t xml:space="preserve"> ويعلم المحققون أنّ هذه الأخبار مكذوبة على الإمام أحمد وابنه عبد الله</w:t>
      </w:r>
      <w:r w:rsidR="000636C2">
        <w:rPr>
          <w:rFonts w:hint="cs"/>
          <w:rtl/>
        </w:rPr>
        <w:t xml:space="preserve">، </w:t>
      </w:r>
      <w:r>
        <w:rPr>
          <w:rFonts w:hint="cs"/>
          <w:rtl/>
        </w:rPr>
        <w:t>بل الكتاب كله مكذوب عليه</w:t>
      </w:r>
      <w:r w:rsidR="000636C2">
        <w:rPr>
          <w:rFonts w:hint="cs"/>
          <w:rtl/>
        </w:rPr>
        <w:t>،</w:t>
      </w:r>
      <w:r>
        <w:rPr>
          <w:rFonts w:hint="cs"/>
          <w:rtl/>
        </w:rPr>
        <w:t xml:space="preserve"> فإن كان هو واضعه فالله حسيبه</w:t>
      </w:r>
      <w:r w:rsidR="000636C2">
        <w:rPr>
          <w:rFonts w:hint="cs"/>
          <w:rtl/>
        </w:rPr>
        <w:t>،</w:t>
      </w:r>
      <w:r>
        <w:rPr>
          <w:rFonts w:hint="cs"/>
          <w:rtl/>
        </w:rPr>
        <w:t xml:space="preserve"> والحق أحق أن يُتبع</w:t>
      </w:r>
      <w:r w:rsidR="000636C2">
        <w:rPr>
          <w:rFonts w:hint="cs"/>
          <w:rtl/>
        </w:rPr>
        <w:t>،</w:t>
      </w:r>
      <w:r>
        <w:rPr>
          <w:rFonts w:hint="cs"/>
          <w:rtl/>
        </w:rPr>
        <w:t xml:space="preserve"> والكتاب عند المتخصصين في العقيدة لا يمثل سوى طائفة الحشوية وحسب</w:t>
      </w:r>
      <w:r w:rsidR="000636C2">
        <w:rPr>
          <w:rFonts w:hint="cs"/>
          <w:rtl/>
        </w:rPr>
        <w:t>،</w:t>
      </w:r>
      <w:r>
        <w:rPr>
          <w:rFonts w:hint="cs"/>
          <w:rtl/>
        </w:rPr>
        <w:t xml:space="preserve"> </w:t>
      </w:r>
      <w:r w:rsidR="000636C2">
        <w:rPr>
          <w:rFonts w:hint="cs"/>
          <w:bCs/>
          <w:rtl/>
        </w:rPr>
        <w:t>(</w:t>
      </w:r>
      <w:r>
        <w:rPr>
          <w:rFonts w:hint="cs"/>
          <w:bCs/>
          <w:rtl/>
        </w:rPr>
        <w:t>4</w:t>
      </w:r>
      <w:r w:rsidR="000636C2">
        <w:rPr>
          <w:rFonts w:hint="cs"/>
          <w:bCs/>
          <w:rtl/>
        </w:rPr>
        <w:t xml:space="preserve">) </w:t>
      </w:r>
      <w:r>
        <w:rPr>
          <w:rFonts w:hint="cs"/>
          <w:bCs/>
          <w:rtl/>
        </w:rPr>
        <w:t>كتاب السنة للخلال</w:t>
      </w:r>
      <w:r w:rsidR="000636C2">
        <w:rPr>
          <w:rFonts w:hint="cs"/>
          <w:bCs/>
          <w:rtl/>
          <w:lang w:eastAsia="ar-SA"/>
        </w:rPr>
        <w:t>:</w:t>
      </w:r>
      <w:r>
        <w:rPr>
          <w:rFonts w:hint="cs"/>
          <w:bCs/>
          <w:rtl/>
          <w:lang w:eastAsia="ar-SA"/>
        </w:rPr>
        <w:t xml:space="preserve"> </w:t>
      </w:r>
      <w:r>
        <w:rPr>
          <w:rFonts w:hint="cs"/>
          <w:rtl/>
        </w:rPr>
        <w:t>وفيه أطال الخلال في تقرير قعود النبي صلى الله عليه وسلم مع الباري سبحانه على الفضلة التي تفضل من العرش</w:t>
      </w:r>
      <w:r w:rsidR="000636C2">
        <w:rPr>
          <w:rFonts w:hint="cs"/>
          <w:rtl/>
        </w:rPr>
        <w:t>،</w:t>
      </w:r>
      <w:r>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0636C2">
        <w:rPr>
          <w:rFonts w:hint="cs"/>
          <w:rtl/>
        </w:rPr>
        <w:t>،</w:t>
      </w:r>
      <w:r>
        <w:rPr>
          <w:rFonts w:hint="cs"/>
          <w:rtl/>
        </w:rPr>
        <w:t xml:space="preserve"> وفيه أيضاً </w:t>
      </w:r>
      <w:r>
        <w:rPr>
          <w:rFonts w:hint="cs"/>
          <w:rtl/>
        </w:rPr>
        <w:lastRenderedPageBreak/>
        <w:t>الكذب على الإمام أحمد وأنه تلهف لسماع هذا الخبر إذ لم تحصل روايته له من علو</w:t>
      </w:r>
      <w:r w:rsidR="000636C2">
        <w:rPr>
          <w:rFonts w:hint="cs"/>
          <w:rtl/>
        </w:rPr>
        <w:t>،</w:t>
      </w:r>
      <w:r>
        <w:rPr>
          <w:rFonts w:hint="cs"/>
          <w:rtl/>
        </w:rPr>
        <w:t xml:space="preserve"> والكتاب تقرير لعقائد أهل الحشو لا أهل السنّة</w:t>
      </w:r>
      <w:r w:rsidR="000636C2">
        <w:rPr>
          <w:rFonts w:hint="cs"/>
          <w:rtl/>
        </w:rPr>
        <w:t>،</w:t>
      </w:r>
      <w:r>
        <w:rPr>
          <w:rFonts w:hint="cs"/>
          <w:rtl/>
        </w:rPr>
        <w:t xml:space="preserve"> </w:t>
      </w:r>
      <w:r w:rsidR="000636C2">
        <w:rPr>
          <w:rFonts w:hint="cs"/>
          <w:rtl/>
        </w:rPr>
        <w:t>(</w:t>
      </w:r>
      <w:r>
        <w:rPr>
          <w:rFonts w:hint="cs"/>
          <w:rtl/>
        </w:rPr>
        <w:t>5</w:t>
      </w:r>
      <w:r w:rsidR="000636C2">
        <w:rPr>
          <w:rFonts w:hint="cs"/>
          <w:rtl/>
        </w:rPr>
        <w:t>)</w:t>
      </w:r>
      <w:r>
        <w:rPr>
          <w:rFonts w:hint="cs"/>
          <w:rtl/>
        </w:rPr>
        <w:t xml:space="preserve"> </w:t>
      </w:r>
      <w:r>
        <w:rPr>
          <w:rFonts w:hint="cs"/>
          <w:bCs/>
          <w:rtl/>
        </w:rPr>
        <w:t>كتاب التوحيد لا بن خزيمة</w:t>
      </w:r>
      <w:r w:rsidR="000636C2">
        <w:rPr>
          <w:rFonts w:hint="cs"/>
          <w:bCs/>
          <w:rtl/>
        </w:rPr>
        <w:t>:</w:t>
      </w:r>
      <w:r>
        <w:rPr>
          <w:rFonts w:hint="cs"/>
          <w:bCs/>
          <w:rtl/>
        </w:rPr>
        <w:t xml:space="preserve"> </w:t>
      </w:r>
      <w:r>
        <w:rPr>
          <w:rFonts w:hint="cs"/>
          <w:rtl/>
        </w:rPr>
        <w:t>تأثر - على علمه بالحديث - بابن كرام</w:t>
      </w:r>
      <w:r w:rsidR="000636C2">
        <w:rPr>
          <w:rFonts w:hint="cs"/>
          <w:rtl/>
        </w:rPr>
        <w:t xml:space="preserve">، </w:t>
      </w:r>
      <w:r>
        <w:rPr>
          <w:rFonts w:hint="cs"/>
          <w:rtl/>
        </w:rPr>
        <w:t>صنف كتابه على طريقة أهل الحشو من جمع المتشابهات</w:t>
      </w:r>
      <w:r w:rsidR="000636C2">
        <w:rPr>
          <w:rFonts w:hint="cs"/>
          <w:rtl/>
        </w:rPr>
        <w:t>،</w:t>
      </w:r>
      <w:r>
        <w:rPr>
          <w:rFonts w:hint="cs"/>
          <w:rtl/>
        </w:rPr>
        <w:t xml:space="preserve"> ولكنه تاب عنه وندم فقد أخرج البيهقي بسنده عن عبد الرحمن بن أبي حاتم الرازي أنه قال: </w:t>
      </w:r>
      <w:r w:rsidR="000636C2">
        <w:rPr>
          <w:rFonts w:hint="cs"/>
          <w:rtl/>
        </w:rPr>
        <w:t>(</w:t>
      </w:r>
      <w:r>
        <w:rPr>
          <w:rFonts w:hint="cs"/>
          <w:rtl/>
        </w:rPr>
        <w:t>ما لأبي بكر والكلام</w:t>
      </w:r>
      <w:r w:rsidR="000636C2">
        <w:rPr>
          <w:rFonts w:hint="cs"/>
          <w:rtl/>
        </w:rPr>
        <w:t>؟</w:t>
      </w:r>
      <w:r>
        <w:rPr>
          <w:rFonts w:hint="cs"/>
          <w:rtl/>
        </w:rPr>
        <w:t xml:space="preserve"> إنما الأولى بنا وبه ألا نتكلم فيما لم نتعلمه ..</w:t>
      </w:r>
      <w:r w:rsidR="000636C2">
        <w:rPr>
          <w:rFonts w:hint="cs"/>
          <w:rtl/>
        </w:rPr>
        <w:t>،</w:t>
      </w:r>
      <w:r>
        <w:rPr>
          <w:rFonts w:hint="cs"/>
          <w:rtl/>
        </w:rPr>
        <w:t xml:space="preserve"> ثم قال البيهقي</w:t>
      </w:r>
      <w:r w:rsidR="000636C2">
        <w:rPr>
          <w:rFonts w:hint="cs"/>
          <w:rtl/>
        </w:rPr>
        <w:t>:</w:t>
      </w:r>
      <w:r>
        <w:rPr>
          <w:rFonts w:hint="cs"/>
          <w:rtl/>
        </w:rPr>
        <w:t xml:space="preserve"> والقصة فيه طويلة وقد رجع محمد بن إسحاق إلى طريقة السلف وتلهف على ما قال والله أعلم " </w:t>
      </w:r>
      <w:r w:rsidR="000636C2">
        <w:rPr>
          <w:rFonts w:hint="cs"/>
          <w:rtl/>
        </w:rPr>
        <w:t>[</w:t>
      </w:r>
      <w:r>
        <w:rPr>
          <w:rFonts w:hint="cs"/>
          <w:rtl/>
        </w:rPr>
        <w:t>الأسماء والصفات للبيهقي</w:t>
      </w:r>
      <w:r w:rsidR="000636C2">
        <w:rPr>
          <w:rFonts w:hint="cs"/>
          <w:rtl/>
        </w:rPr>
        <w:t>،</w:t>
      </w:r>
      <w:r>
        <w:rPr>
          <w:rFonts w:hint="cs"/>
          <w:rtl/>
        </w:rPr>
        <w:t xml:space="preserve"> ص 342</w:t>
      </w:r>
      <w:r w:rsidR="000636C2">
        <w:rPr>
          <w:rFonts w:hint="cs"/>
          <w:rtl/>
        </w:rPr>
        <w:t>]،</w:t>
      </w:r>
      <w:r>
        <w:rPr>
          <w:rFonts w:hint="cs"/>
          <w:rtl/>
        </w:rPr>
        <w:t xml:space="preserve"> واعترف ابن خزيمة على نفسه بأنه لا يحسن الكلام فقد نقل البيهقي عنه أنه قال: (ما تنكرون على فقيه راوي حديث لا يحسن الكلام " أهـ</w:t>
      </w:r>
      <w:r w:rsidR="000636C2">
        <w:rPr>
          <w:rFonts w:hint="cs"/>
          <w:rtl/>
        </w:rPr>
        <w:t xml:space="preserve"> [</w:t>
      </w:r>
      <w:r>
        <w:rPr>
          <w:rFonts w:hint="cs"/>
          <w:rtl/>
        </w:rPr>
        <w:t>الأسماء والصفات للبيهقي</w:t>
      </w:r>
      <w:r w:rsidR="000636C2">
        <w:rPr>
          <w:rFonts w:hint="cs"/>
          <w:rtl/>
        </w:rPr>
        <w:t>،</w:t>
      </w:r>
      <w:r>
        <w:rPr>
          <w:rFonts w:hint="cs"/>
          <w:rtl/>
        </w:rPr>
        <w:t xml:space="preserve"> ص 340</w:t>
      </w:r>
      <w:r w:rsidR="000636C2">
        <w:rPr>
          <w:rFonts w:hint="cs"/>
          <w:rtl/>
        </w:rPr>
        <w:t>]،</w:t>
      </w:r>
      <w:r>
        <w:rPr>
          <w:rFonts w:hint="cs"/>
          <w:rtl/>
        </w:rPr>
        <w:t xml:space="preserve"> وكتاب التوحيد أخرج فيه متوناً منكرة وأسانيدَ واهيةً</w:t>
      </w:r>
      <w:r w:rsidR="000636C2">
        <w:rPr>
          <w:rFonts w:hint="cs"/>
          <w:rtl/>
        </w:rPr>
        <w:t>،</w:t>
      </w:r>
      <w:r>
        <w:rPr>
          <w:rFonts w:hint="cs"/>
          <w:rtl/>
        </w:rPr>
        <w:t xml:space="preserve"> منها ما جاء في أن الكرسي موضع قدميه</w:t>
      </w:r>
      <w:r w:rsidR="000636C2">
        <w:rPr>
          <w:rFonts w:hint="cs"/>
          <w:rtl/>
        </w:rPr>
        <w:t>،</w:t>
      </w:r>
      <w:r>
        <w:rPr>
          <w:rFonts w:hint="cs"/>
          <w:rtl/>
        </w:rPr>
        <w:t xml:space="preserve"> وأن العرش يئط به، وأنه تجلى منه مثل طرف الخنصر</w:t>
      </w:r>
      <w:r w:rsidR="000636C2">
        <w:rPr>
          <w:rFonts w:hint="cs"/>
          <w:rtl/>
        </w:rPr>
        <w:t>،</w:t>
      </w:r>
      <w:r>
        <w:rPr>
          <w:rFonts w:hint="cs"/>
          <w:rtl/>
        </w:rPr>
        <w:t xml:space="preserve"> وأنه يهبط ثم يرتفع</w:t>
      </w:r>
      <w:r w:rsidR="000636C2">
        <w:rPr>
          <w:rFonts w:hint="cs"/>
          <w:rtl/>
        </w:rPr>
        <w:t>،</w:t>
      </w:r>
      <w:r>
        <w:rPr>
          <w:rFonts w:hint="cs"/>
          <w:rtl/>
        </w:rPr>
        <w:t xml:space="preserve"> وأنه ينزل إلى سماء الدنيا بروحه وملائكته فينتفض تعالى عن ذلك علواً كبيراً</w:t>
      </w:r>
      <w:r w:rsidR="000636C2">
        <w:rPr>
          <w:rFonts w:hint="cs"/>
          <w:rtl/>
        </w:rPr>
        <w:t>،</w:t>
      </w:r>
      <w:r>
        <w:rPr>
          <w:rFonts w:hint="cs"/>
          <w:rtl/>
        </w:rPr>
        <w:t xml:space="preserve"> وأن جنة عدن مسكنه</w:t>
      </w:r>
      <w:r w:rsidR="000636C2">
        <w:rPr>
          <w:rFonts w:hint="cs"/>
          <w:rtl/>
        </w:rPr>
        <w:t>،</w:t>
      </w:r>
      <w:r>
        <w:rPr>
          <w:rFonts w:hint="cs"/>
          <w:rtl/>
        </w:rPr>
        <w:t xml:space="preserve"> وأن محمداً صلى الله عليه وسلم رآه في روضة خضراء دونه فراش من ذهب يحمله أربعة من الملائكة، وغير ذلك من خيالات أهل الحشو</w:t>
      </w:r>
      <w:r w:rsidR="000636C2">
        <w:rPr>
          <w:rFonts w:hint="cs"/>
          <w:rtl/>
        </w:rPr>
        <w:t>،</w:t>
      </w:r>
      <w:r>
        <w:rPr>
          <w:rFonts w:hint="cs"/>
          <w:rtl/>
        </w:rPr>
        <w:t xml:space="preserve"> </w:t>
      </w:r>
      <w:r w:rsidR="000636C2">
        <w:rPr>
          <w:rFonts w:hint="cs"/>
          <w:bCs/>
          <w:rtl/>
        </w:rPr>
        <w:t>(</w:t>
      </w:r>
      <w:r>
        <w:rPr>
          <w:rFonts w:hint="cs"/>
          <w:bCs/>
          <w:rtl/>
        </w:rPr>
        <w:t>6</w:t>
      </w:r>
      <w:r w:rsidR="000636C2">
        <w:rPr>
          <w:rFonts w:hint="cs"/>
          <w:bCs/>
          <w:rtl/>
        </w:rPr>
        <w:t xml:space="preserve">) </w:t>
      </w:r>
      <w:r>
        <w:rPr>
          <w:rFonts w:hint="cs"/>
          <w:bCs/>
          <w:rtl/>
        </w:rPr>
        <w:t>كتاب الصفات المنسوب للدارقطني</w:t>
      </w:r>
      <w:r w:rsidR="000636C2">
        <w:rPr>
          <w:rFonts w:hint="cs"/>
          <w:bCs/>
          <w:rtl/>
        </w:rPr>
        <w:t>:</w:t>
      </w:r>
      <w:r>
        <w:rPr>
          <w:rFonts w:hint="cs"/>
          <w:bCs/>
          <w:rtl/>
        </w:rPr>
        <w:t xml:space="preserve"> </w:t>
      </w:r>
      <w:r>
        <w:rPr>
          <w:rFonts w:hint="cs"/>
          <w:rtl/>
        </w:rPr>
        <w:t>وهذا الكتاب تشهد حاله الحديثية على براءة الدارقطني البصير بعلل الحديث ورجاله منه</w:t>
      </w:r>
      <w:r w:rsidR="000636C2">
        <w:rPr>
          <w:rFonts w:hint="cs"/>
          <w:rtl/>
        </w:rPr>
        <w:t>،</w:t>
      </w:r>
      <w:r>
        <w:rPr>
          <w:rFonts w:hint="cs"/>
          <w:rtl/>
        </w:rPr>
        <w:t xml:space="preserve"> وإنما يصلح أن يكون من صنيع من رواه عنه. فلا تصح نسبته إلى الدارقطني كما نبه عليه الكوثري في [</w:t>
      </w:r>
      <w:r>
        <w:rPr>
          <w:rFonts w:hint="cs"/>
          <w:snapToGrid w:val="0"/>
          <w:rtl/>
        </w:rPr>
        <w:t>تبديد الظلام المخيم 206</w:t>
      </w:r>
      <w:r w:rsidR="000636C2">
        <w:rPr>
          <w:rFonts w:hint="cs"/>
          <w:rtl/>
        </w:rPr>
        <w:t>]،</w:t>
      </w:r>
      <w:r>
        <w:rPr>
          <w:rFonts w:hint="cs"/>
          <w:rtl/>
        </w:rPr>
        <w:t xml:space="preserve"> لأن في سنده إليه </w:t>
      </w:r>
      <w:r>
        <w:rPr>
          <w:rFonts w:hint="cs"/>
          <w:snapToGrid w:val="0"/>
          <w:rtl/>
        </w:rPr>
        <w:t>أبا العز بن كادش أحمد بن عبيد الله (526هـ) قال الذهبي في ترجمته</w:t>
      </w:r>
      <w:r>
        <w:rPr>
          <w:rFonts w:hint="cs"/>
          <w:rtl/>
        </w:rPr>
        <w:t xml:space="preserve"> في </w:t>
      </w:r>
      <w:r w:rsidR="000636C2">
        <w:rPr>
          <w:rFonts w:hint="cs"/>
          <w:rtl/>
        </w:rPr>
        <w:t>[</w:t>
      </w:r>
      <w:r>
        <w:rPr>
          <w:rFonts w:hint="cs"/>
          <w:rtl/>
        </w:rPr>
        <w:t>ميزان الإعتدال 1/259</w:t>
      </w:r>
      <w:r w:rsidR="000636C2">
        <w:rPr>
          <w:rFonts w:hint="cs"/>
          <w:snapToGrid w:val="0"/>
          <w:rtl/>
        </w:rPr>
        <w:t>]:</w:t>
      </w:r>
      <w:r>
        <w:rPr>
          <w:rFonts w:hint="cs"/>
          <w:snapToGrid w:val="0"/>
          <w:rtl/>
        </w:rPr>
        <w:t xml:space="preserve"> (</w:t>
      </w:r>
      <w:r>
        <w:rPr>
          <w:rFonts w:hint="cs"/>
          <w:rtl/>
        </w:rPr>
        <w:t>أقر بوضع حديث وتاب وأناب</w:t>
      </w:r>
      <w:r w:rsidR="000636C2">
        <w:rPr>
          <w:rFonts w:hint="cs"/>
          <w:rtl/>
        </w:rPr>
        <w:t>)</w:t>
      </w:r>
      <w:r w:rsidR="000636C2">
        <w:rPr>
          <w:rFonts w:hint="cs"/>
          <w:vertAlign w:val="superscript"/>
          <w:rtl/>
        </w:rPr>
        <w:t>،</w:t>
      </w:r>
      <w:r>
        <w:rPr>
          <w:rFonts w:hint="cs"/>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w:t>
      </w:r>
      <w:r w:rsidR="000636C2">
        <w:rPr>
          <w:rFonts w:hint="cs"/>
          <w:rtl/>
        </w:rPr>
        <w:t>[</w:t>
      </w:r>
      <w:r>
        <w:rPr>
          <w:rFonts w:hint="cs"/>
          <w:rtl/>
        </w:rPr>
        <w:t>تدريب الراوي ج 1 / 329</w:t>
      </w:r>
      <w:r w:rsidR="000636C2">
        <w:rPr>
          <w:rFonts w:hint="cs"/>
          <w:rtl/>
        </w:rPr>
        <w:t>]،</w:t>
      </w:r>
      <w:r>
        <w:rPr>
          <w:rFonts w:hint="cs"/>
          <w:rtl/>
        </w:rPr>
        <w:t xml:space="preserve">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w:t>
      </w:r>
      <w:r w:rsidR="000636C2">
        <w:rPr>
          <w:rFonts w:hint="cs"/>
          <w:rtl/>
        </w:rPr>
        <w:t>[</w:t>
      </w:r>
      <w:r>
        <w:rPr>
          <w:rFonts w:hint="cs"/>
          <w:rtl/>
        </w:rPr>
        <w:t>لسان الميزان 1/ 218</w:t>
      </w:r>
      <w:r w:rsidR="000636C2">
        <w:rPr>
          <w:rFonts w:hint="cs"/>
          <w:rtl/>
        </w:rPr>
        <w:t>]،</w:t>
      </w:r>
      <w:r>
        <w:rPr>
          <w:rFonts w:hint="cs"/>
          <w:rtl/>
        </w:rPr>
        <w:t xml:space="preserve">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w:t>
      </w:r>
      <w:r w:rsidR="000636C2">
        <w:rPr>
          <w:rFonts w:hint="cs"/>
          <w:rtl/>
        </w:rPr>
        <w:t>،</w:t>
      </w:r>
      <w:r>
        <w:rPr>
          <w:rFonts w:hint="cs"/>
          <w:rtl/>
        </w:rPr>
        <w:t xml:space="preserve"> وذكر بعض الأباطيل عنه ثم قال - فقبح الله من وضعه والعتب إنما هو على محدثي بغداد كيف تركوا العشاري يروي هذه الأباطيل) [</w:t>
      </w:r>
      <w:r>
        <w:rPr>
          <w:rFonts w:hint="cs"/>
          <w:sz w:val="20"/>
          <w:szCs w:val="20"/>
          <w:rtl/>
        </w:rPr>
        <w:t>ميزان الإعتدال6/ 267</w:t>
      </w:r>
      <w:r w:rsidR="000636C2">
        <w:rPr>
          <w:rFonts w:hint="cs"/>
          <w:sz w:val="20"/>
          <w:szCs w:val="20"/>
          <w:rtl/>
        </w:rPr>
        <w:t>]،</w:t>
      </w:r>
      <w:r>
        <w:rPr>
          <w:rFonts w:hint="cs"/>
          <w:rtl/>
        </w:rPr>
        <w:t xml:space="preserve"> وفي هذا الكتاب باب في إثبات القدمين، وفيه أن الكرسي موضع القدمين، </w:t>
      </w:r>
      <w:r>
        <w:rPr>
          <w:rFonts w:hint="cs"/>
          <w:rtl/>
        </w:rPr>
        <w:lastRenderedPageBreak/>
        <w:t>وفيه الأطيط وخلق آدم على صورة الرحمن</w:t>
      </w:r>
      <w:r w:rsidR="000636C2">
        <w:rPr>
          <w:rFonts w:hint="cs"/>
          <w:rtl/>
        </w:rPr>
        <w:t>،</w:t>
      </w:r>
      <w:r>
        <w:rPr>
          <w:rFonts w:hint="cs"/>
          <w:rtl/>
        </w:rPr>
        <w:t xml:space="preserve"> </w:t>
      </w:r>
      <w:r w:rsidR="000636C2">
        <w:rPr>
          <w:rFonts w:hint="cs"/>
          <w:rtl/>
        </w:rPr>
        <w:t>(</w:t>
      </w:r>
      <w:r>
        <w:rPr>
          <w:rFonts w:hint="cs"/>
          <w:rtl/>
        </w:rPr>
        <w:t>7</w:t>
      </w:r>
      <w:r w:rsidR="000636C2">
        <w:rPr>
          <w:rFonts w:hint="cs"/>
          <w:rtl/>
        </w:rPr>
        <w:t>)</w:t>
      </w:r>
      <w:r>
        <w:rPr>
          <w:rFonts w:hint="cs"/>
          <w:rtl/>
        </w:rPr>
        <w:t xml:space="preserve"> </w:t>
      </w:r>
      <w:r>
        <w:rPr>
          <w:rFonts w:hint="cs"/>
          <w:bCs/>
          <w:rtl/>
        </w:rPr>
        <w:t>كتاب التوحيد لابن مندة</w:t>
      </w:r>
      <w:r w:rsidR="000636C2">
        <w:rPr>
          <w:rFonts w:hint="cs"/>
          <w:bCs/>
          <w:rtl/>
        </w:rPr>
        <w:t>:</w:t>
      </w:r>
      <w:r>
        <w:rPr>
          <w:rFonts w:hint="cs"/>
          <w:bCs/>
          <w:rtl/>
        </w:rPr>
        <w:t xml:space="preserve"> </w:t>
      </w:r>
      <w:r>
        <w:rPr>
          <w:rFonts w:hint="cs"/>
          <w:rtl/>
        </w:rPr>
        <w:t>وله أيضا كتاب الرد على الجهمية</w:t>
      </w:r>
      <w:r w:rsidR="000636C2">
        <w:rPr>
          <w:rFonts w:hint="cs"/>
          <w:rtl/>
        </w:rPr>
        <w:t>،</w:t>
      </w:r>
      <w:r>
        <w:rPr>
          <w:rFonts w:hint="cs"/>
          <w:rtl/>
        </w:rPr>
        <w:t xml:space="preserve"> وفيه أن الله يكشف يوم القيامة عن ساقيه</w:t>
      </w:r>
      <w:r w:rsidR="000636C2">
        <w:rPr>
          <w:rFonts w:hint="cs"/>
          <w:rtl/>
        </w:rPr>
        <w:t>،</w:t>
      </w:r>
      <w:r>
        <w:rPr>
          <w:rFonts w:hint="cs"/>
          <w:rtl/>
        </w:rPr>
        <w:t xml:space="preserve"> وعزاه إلى البخاري ومسلم</w:t>
      </w:r>
      <w:r w:rsidR="000636C2">
        <w:rPr>
          <w:rFonts w:hint="cs"/>
          <w:rtl/>
        </w:rPr>
        <w:t>،</w:t>
      </w:r>
      <w:r>
        <w:rPr>
          <w:rFonts w:hint="cs"/>
          <w:rtl/>
        </w:rPr>
        <w:t xml:space="preserve"> مع أنه ليس في أحدهما</w:t>
      </w:r>
      <w:r w:rsidR="000636C2">
        <w:rPr>
          <w:rFonts w:hint="cs"/>
          <w:rtl/>
        </w:rPr>
        <w:t>،</w:t>
      </w:r>
      <w:r>
        <w:rPr>
          <w:rFonts w:hint="cs"/>
          <w:rtl/>
        </w:rPr>
        <w:t xml:space="preserve"> وفيه أن الله خلق الملائكة من نور الصدر والذراعين، وأن الكرسي موضع قدمه، ونحو ذلك من أخبار أهل الحشو لا أهل التخصص والعلم بالعقيدة</w:t>
      </w:r>
      <w:r w:rsidR="000636C2">
        <w:rPr>
          <w:rFonts w:hint="cs"/>
          <w:rtl/>
        </w:rPr>
        <w:t>،</w:t>
      </w:r>
      <w:r>
        <w:rPr>
          <w:rFonts w:hint="cs"/>
          <w:rtl/>
        </w:rPr>
        <w:t xml:space="preserve"> </w:t>
      </w:r>
      <w:r w:rsidR="000636C2">
        <w:rPr>
          <w:rFonts w:hint="cs"/>
          <w:rtl/>
        </w:rPr>
        <w:t>(</w:t>
      </w:r>
      <w:r>
        <w:rPr>
          <w:rFonts w:hint="cs"/>
          <w:rtl/>
        </w:rPr>
        <w:t>8</w:t>
      </w:r>
      <w:r w:rsidR="000636C2">
        <w:rPr>
          <w:rFonts w:hint="cs"/>
          <w:rtl/>
        </w:rPr>
        <w:t xml:space="preserve">) </w:t>
      </w:r>
      <w:r>
        <w:rPr>
          <w:rFonts w:hint="cs"/>
          <w:bCs/>
          <w:rtl/>
        </w:rPr>
        <w:t>كتاب العرش وما روي فيه</w:t>
      </w:r>
      <w:r w:rsidR="000636C2">
        <w:rPr>
          <w:rFonts w:hint="cs"/>
          <w:bCs/>
          <w:rtl/>
        </w:rPr>
        <w:t>:</w:t>
      </w:r>
      <w:r>
        <w:rPr>
          <w:rFonts w:hint="cs"/>
          <w:bCs/>
          <w:rtl/>
        </w:rPr>
        <w:t xml:space="preserve"> </w:t>
      </w:r>
      <w:r>
        <w:rPr>
          <w:rFonts w:hint="cs"/>
          <w:rtl/>
        </w:rPr>
        <w:t>لمحمد بن عثمان بن أبي شيبة</w:t>
      </w:r>
      <w:r w:rsidR="000636C2">
        <w:rPr>
          <w:rFonts w:hint="cs"/>
          <w:rtl/>
        </w:rPr>
        <w:t>،</w:t>
      </w:r>
      <w:r>
        <w:rPr>
          <w:rFonts w:hint="cs"/>
          <w:rtl/>
        </w:rPr>
        <w:t xml:space="preserve"> وحال الكتاب من حال مؤلفه الذي نقل الذهبي تضعيفه عن الجمهور وتكذيبَه عن عبد الله بن أحمد بن حنبل</w:t>
      </w:r>
      <w:r w:rsidR="000636C2">
        <w:rPr>
          <w:rFonts w:hint="cs"/>
          <w:rtl/>
        </w:rPr>
        <w:t>،</w:t>
      </w:r>
      <w:r>
        <w:rPr>
          <w:rFonts w:hint="cs"/>
          <w:rtl/>
        </w:rPr>
        <w:t xml:space="preserve"> وعن غيره الاتهام بالوضع</w:t>
      </w:r>
      <w:r w:rsidR="000636C2">
        <w:rPr>
          <w:rFonts w:hint="cs"/>
          <w:rtl/>
        </w:rPr>
        <w:t>،</w:t>
      </w:r>
      <w:r>
        <w:rPr>
          <w:rFonts w:hint="cs"/>
          <w:rtl/>
        </w:rPr>
        <w:t xml:space="preserve">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w:t>
      </w:r>
      <w:r w:rsidR="000636C2">
        <w:rPr>
          <w:rFonts w:hint="cs"/>
          <w:rtl/>
        </w:rPr>
        <w:t>،</w:t>
      </w:r>
      <w:r>
        <w:rPr>
          <w:rFonts w:hint="cs"/>
          <w:rtl/>
        </w:rPr>
        <w:t xml:space="preserve"> </w:t>
      </w:r>
      <w:r w:rsidR="000636C2">
        <w:rPr>
          <w:rFonts w:hint="cs"/>
          <w:rtl/>
        </w:rPr>
        <w:t>(</w:t>
      </w:r>
      <w:r>
        <w:rPr>
          <w:rFonts w:hint="cs"/>
          <w:rtl/>
        </w:rPr>
        <w:t>9</w:t>
      </w:r>
      <w:r w:rsidR="000636C2">
        <w:rPr>
          <w:rFonts w:hint="cs"/>
          <w:rtl/>
        </w:rPr>
        <w:t xml:space="preserve">) </w:t>
      </w:r>
      <w:r>
        <w:rPr>
          <w:rFonts w:hint="cs"/>
          <w:bCs/>
          <w:rtl/>
        </w:rPr>
        <w:t xml:space="preserve">كتاب الأربعين في دلائل التوحيد لأبي إسماعيل عبد الله بن محمد الهروي </w:t>
      </w:r>
      <w:r w:rsidR="000636C2">
        <w:rPr>
          <w:rFonts w:hint="cs"/>
          <w:bCs/>
          <w:rtl/>
        </w:rPr>
        <w:t>(</w:t>
      </w:r>
      <w:r>
        <w:rPr>
          <w:rFonts w:hint="cs"/>
          <w:bCs/>
          <w:rtl/>
        </w:rPr>
        <w:t>ت 481 هـ</w:t>
      </w:r>
      <w:r w:rsidR="000636C2">
        <w:rPr>
          <w:rFonts w:hint="cs"/>
          <w:bCs/>
          <w:rtl/>
        </w:rPr>
        <w:t>):</w:t>
      </w:r>
      <w:r>
        <w:rPr>
          <w:rFonts w:hint="cs"/>
          <w:bCs/>
          <w:rtl/>
        </w:rPr>
        <w:t xml:space="preserve"> </w:t>
      </w:r>
      <w:r>
        <w:rPr>
          <w:rFonts w:hint="cs"/>
          <w:rtl/>
        </w:rPr>
        <w:t>والهروي هو الذي كان المجسمة بهراة يلقبونه شيخ الإسلام نكاية بمن سمى به الحافظ أبا عثمان الصابوني الإمام المتقن</w:t>
      </w:r>
      <w:r w:rsidR="000636C2">
        <w:rPr>
          <w:rFonts w:hint="cs"/>
          <w:rtl/>
        </w:rPr>
        <w:t>،</w:t>
      </w:r>
      <w:r>
        <w:rPr>
          <w:rFonts w:hint="cs"/>
          <w:rtl/>
        </w:rPr>
        <w:t xml:space="preserve"> ومن مصنفاته التي أضرت بعقيدة أهل الإسلام الصافية الصحيحة</w:t>
      </w:r>
      <w:r w:rsidR="000636C2">
        <w:rPr>
          <w:rFonts w:hint="cs"/>
          <w:rtl/>
        </w:rPr>
        <w:t>،</w:t>
      </w:r>
      <w:r>
        <w:rPr>
          <w:rFonts w:hint="cs"/>
          <w:rtl/>
        </w:rPr>
        <w:t xml:space="preserve"> كتاب ذم الكلام وكتاب الفاروق في الصفات وكتاب الأربعين</w:t>
      </w:r>
      <w:r w:rsidR="000636C2">
        <w:rPr>
          <w:rFonts w:hint="cs"/>
          <w:rtl/>
        </w:rPr>
        <w:t>،</w:t>
      </w:r>
      <w:r>
        <w:rPr>
          <w:rFonts w:hint="cs"/>
          <w:rtl/>
        </w:rPr>
        <w:t xml:space="preserve"> وهذه الكتب الثلاثة أبان فيها عن اعتقاد التشبيه</w:t>
      </w:r>
      <w:r w:rsidR="000636C2">
        <w:rPr>
          <w:rFonts w:hint="cs"/>
          <w:rtl/>
        </w:rPr>
        <w:t>،</w:t>
      </w:r>
      <w:r>
        <w:rPr>
          <w:rFonts w:hint="cs"/>
          <w:rtl/>
        </w:rPr>
        <w:t xml:space="preserve"> وفي كتاب الأربعين ذكر أن محمداً صلى الله عليه وسلم رأى ربه في صورة شاب أمرد في قدميه خضرة</w:t>
      </w:r>
      <w:r w:rsidR="000636C2">
        <w:rPr>
          <w:rFonts w:hint="cs"/>
          <w:rtl/>
        </w:rPr>
        <w:t>،</w:t>
      </w:r>
      <w:r>
        <w:rPr>
          <w:rFonts w:hint="cs"/>
          <w:rtl/>
        </w:rPr>
        <w:t xml:space="preserve">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w:t>
      </w:r>
      <w:r w:rsidR="000636C2">
        <w:rPr>
          <w:rFonts w:hint="cs"/>
          <w:rtl/>
        </w:rPr>
        <w:t>،</w:t>
      </w:r>
      <w:r>
        <w:rPr>
          <w:rFonts w:hint="cs"/>
          <w:rtl/>
        </w:rPr>
        <w:t xml:space="preserve"> وباب في إثبات الهرولة</w:t>
      </w:r>
      <w:r w:rsidR="000636C2">
        <w:rPr>
          <w:rFonts w:hint="cs"/>
          <w:rtl/>
        </w:rPr>
        <w:t>،</w:t>
      </w:r>
      <w:r>
        <w:rPr>
          <w:rFonts w:hint="cs"/>
          <w:rtl/>
        </w:rPr>
        <w:t xml:space="preserve"> </w:t>
      </w:r>
      <w:r>
        <w:rPr>
          <w:rFonts w:hint="cs"/>
          <w:snapToGrid w:val="0"/>
          <w:rtl/>
        </w:rPr>
        <w:t>وأهم أغلاط</w:t>
      </w:r>
      <w:r>
        <w:rPr>
          <w:rFonts w:hint="cs"/>
          <w:bCs/>
          <w:snapToGrid w:val="0"/>
          <w:rtl/>
        </w:rPr>
        <w:t xml:space="preserve"> هؤلاء المصنفين على وجه الإجمال أنّهم</w:t>
      </w:r>
      <w:r w:rsidR="000636C2">
        <w:rPr>
          <w:rFonts w:hint="cs"/>
          <w:bCs/>
          <w:snapToGrid w:val="0"/>
          <w:rtl/>
        </w:rPr>
        <w:t>:</w:t>
      </w:r>
      <w:r>
        <w:rPr>
          <w:rFonts w:hint="cs"/>
          <w:bCs/>
          <w:snapToGrid w:val="0"/>
          <w:rtl/>
        </w:rPr>
        <w:t xml:space="preserve"> </w:t>
      </w:r>
      <w:r w:rsidR="000636C2">
        <w:rPr>
          <w:rFonts w:hint="cs"/>
          <w:bCs/>
          <w:snapToGrid w:val="0"/>
          <w:rtl/>
        </w:rPr>
        <w:t>(</w:t>
      </w:r>
      <w:r>
        <w:rPr>
          <w:rFonts w:hint="cs"/>
          <w:bCs/>
          <w:snapToGrid w:val="0"/>
          <w:rtl/>
        </w:rPr>
        <w:t>أولاً</w:t>
      </w:r>
      <w:r w:rsidR="000636C2">
        <w:rPr>
          <w:rFonts w:hint="cs"/>
          <w:snapToGrid w:val="0"/>
          <w:rtl/>
        </w:rPr>
        <w:t>):</w:t>
      </w:r>
      <w:r>
        <w:rPr>
          <w:rFonts w:hint="cs"/>
          <w:snapToGrid w:val="0"/>
          <w:rtl/>
        </w:rPr>
        <w:t xml:space="preserve"> جمعوا فيها أخباراً متفرقة فأحدث هذا الجمع في دلالتها تقوية لظاهرها الموهم كما سبق في الكلام على التفويض</w:t>
      </w:r>
      <w:r w:rsidR="000636C2">
        <w:rPr>
          <w:rFonts w:hint="cs"/>
          <w:snapToGrid w:val="0"/>
          <w:rtl/>
        </w:rPr>
        <w:t>،</w:t>
      </w:r>
      <w:r>
        <w:rPr>
          <w:rFonts w:hint="cs"/>
          <w:snapToGrid w:val="0"/>
          <w:rtl/>
        </w:rPr>
        <w:t xml:space="preserve"> </w:t>
      </w:r>
      <w:r w:rsidR="000636C2">
        <w:rPr>
          <w:rFonts w:hint="cs"/>
          <w:snapToGrid w:val="0"/>
          <w:rtl/>
        </w:rPr>
        <w:t>(</w:t>
      </w:r>
      <w:r>
        <w:rPr>
          <w:rFonts w:hint="cs"/>
          <w:bCs/>
          <w:snapToGrid w:val="0"/>
          <w:rtl/>
        </w:rPr>
        <w:t>ثانياً</w:t>
      </w:r>
      <w:r w:rsidR="000636C2">
        <w:rPr>
          <w:rFonts w:hint="cs"/>
          <w:snapToGrid w:val="0"/>
          <w:rtl/>
        </w:rPr>
        <w:t>):</w:t>
      </w:r>
      <w:r>
        <w:rPr>
          <w:rFonts w:hint="cs"/>
          <w:snapToGrid w:val="0"/>
          <w:rtl/>
        </w:rPr>
        <w:t xml:space="preserve"> لم يفرقوا فيها بين النصوص التي تتفاوت دلالة وثبوتاً فمثلاً جعلوا قوله تعالى: </w:t>
      </w:r>
      <w:r w:rsidR="000636C2">
        <w:rPr>
          <w:rFonts w:hint="cs"/>
          <w:snapToGrid w:val="0"/>
          <w:rtl/>
        </w:rPr>
        <w:t>{</w:t>
      </w:r>
      <w:r>
        <w:rPr>
          <w:rFonts w:hint="cs"/>
          <w:snapToGrid w:val="0"/>
          <w:rtl/>
        </w:rPr>
        <w:t>الرحمن على العرش استوى</w:t>
      </w:r>
      <w:r w:rsidR="000636C2">
        <w:rPr>
          <w:rFonts w:hint="cs"/>
          <w:snapToGrid w:val="0"/>
          <w:rtl/>
        </w:rPr>
        <w:t>}</w:t>
      </w:r>
      <w:r>
        <w:rPr>
          <w:rFonts w:hint="cs"/>
          <w:snapToGrid w:val="0"/>
          <w:rtl/>
        </w:rPr>
        <w:t xml:space="preserve"> مع الأخبار المنكرة التي تتحدث عن القعود على العرش وأطيط العرش من ثقل الجبار فوقه، وجعلوا هذين المتفاوتين من أدلة الاستواء على العرش</w:t>
      </w:r>
      <w:r w:rsidR="000636C2">
        <w:rPr>
          <w:rFonts w:hint="cs"/>
          <w:snapToGrid w:val="0"/>
          <w:rtl/>
        </w:rPr>
        <w:t>، (</w:t>
      </w:r>
      <w:r>
        <w:rPr>
          <w:rFonts w:hint="cs"/>
          <w:bCs/>
          <w:snapToGrid w:val="0"/>
          <w:rtl/>
        </w:rPr>
        <w:t>ثالثاً</w:t>
      </w:r>
      <w:r w:rsidR="000636C2">
        <w:rPr>
          <w:rFonts w:hint="cs"/>
          <w:snapToGrid w:val="0"/>
          <w:rtl/>
        </w:rPr>
        <w:t>):</w:t>
      </w:r>
      <w:r>
        <w:rPr>
          <w:rFonts w:hint="cs"/>
          <w:snapToGrid w:val="0"/>
          <w:rtl/>
        </w:rPr>
        <w:t xml:space="preserve"> أنهم لم يفرقوا بين حديث مرفوع وبين حديث موقوف على صحابي أو تابعي، فأثبتوا بهذا ما أثبتوا بهذا</w:t>
      </w:r>
      <w:r w:rsidR="000636C2">
        <w:rPr>
          <w:rFonts w:hint="cs"/>
          <w:snapToGrid w:val="0"/>
          <w:rtl/>
        </w:rPr>
        <w:t>،</w:t>
      </w:r>
      <w:r>
        <w:rPr>
          <w:rFonts w:hint="cs"/>
          <w:snapToGrid w:val="0"/>
          <w:rtl/>
        </w:rPr>
        <w:t xml:space="preserve"> بل 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 أهل الكتاب. ومثال ذلك ما ذكروه في الاستلقاء على العرش ووضع إحدى رجليه على الأخرى وغير ذلك مما هو مبسوط في الشبه السمعية</w:t>
      </w:r>
      <w:r w:rsidR="000636C2">
        <w:rPr>
          <w:rFonts w:hint="cs"/>
          <w:snapToGrid w:val="0"/>
          <w:rtl/>
        </w:rPr>
        <w:t>،</w:t>
      </w:r>
      <w:r>
        <w:rPr>
          <w:rFonts w:hint="cs"/>
          <w:snapToGrid w:val="0"/>
          <w:rtl/>
        </w:rPr>
        <w:t xml:space="preserve"> </w:t>
      </w:r>
      <w:r w:rsidR="000636C2">
        <w:rPr>
          <w:rFonts w:hint="cs"/>
          <w:snapToGrid w:val="0"/>
          <w:rtl/>
        </w:rPr>
        <w:t>(</w:t>
      </w:r>
      <w:r>
        <w:rPr>
          <w:rFonts w:hint="cs"/>
          <w:bCs/>
          <w:rtl/>
        </w:rPr>
        <w:t>رابعاً</w:t>
      </w:r>
      <w:r w:rsidR="000636C2">
        <w:rPr>
          <w:rFonts w:hint="cs"/>
          <w:rtl/>
        </w:rPr>
        <w:t>):</w:t>
      </w:r>
      <w:r>
        <w:rPr>
          <w:rFonts w:hint="cs"/>
          <w:rtl/>
        </w:rPr>
        <w:t xml:space="preserve"> أنهم لم يفرقوا بين منقول بالتواتر من الكتاب والسنة وخبر لم يصح سنده فأثبتوا </w:t>
      </w:r>
      <w:r>
        <w:rPr>
          <w:rFonts w:hint="cs"/>
          <w:rtl/>
        </w:rPr>
        <w:lastRenderedPageBreak/>
        <w:t>بالثاني ما أثبتوه بالأول</w:t>
      </w:r>
      <w:r w:rsidR="000636C2">
        <w:rPr>
          <w:rFonts w:hint="cs"/>
          <w:rtl/>
        </w:rPr>
        <w:t>،</w:t>
      </w:r>
      <w:r>
        <w:rPr>
          <w:rFonts w:hint="cs"/>
          <w:rtl/>
        </w:rPr>
        <w:t xml:space="preserve"> </w:t>
      </w:r>
      <w:r w:rsidR="000636C2">
        <w:rPr>
          <w:rFonts w:hint="cs"/>
          <w:rtl/>
        </w:rPr>
        <w:t>[</w:t>
      </w:r>
      <w:r>
        <w:rPr>
          <w:rFonts w:hint="cs"/>
          <w:rtl/>
        </w:rPr>
        <w:t>للتوسع في معرفة خلل هؤلاء انظر كتاب التجسيم في الفكر الإسلامي للدكتور صهيب السقار</w:t>
      </w:r>
      <w:r w:rsidR="000636C2">
        <w:rPr>
          <w:rFonts w:hint="cs"/>
          <w:rtl/>
        </w:rPr>
        <w:t>،</w:t>
      </w:r>
      <w:r>
        <w:rPr>
          <w:rFonts w:hint="cs"/>
          <w:rtl/>
        </w:rPr>
        <w:t xml:space="preserve"> مبحث</w:t>
      </w:r>
      <w:r w:rsidR="000636C2">
        <w:rPr>
          <w:rFonts w:hint="cs"/>
          <w:rtl/>
        </w:rPr>
        <w:t>:</w:t>
      </w:r>
      <w:r>
        <w:rPr>
          <w:rFonts w:hint="cs"/>
          <w:rtl/>
        </w:rPr>
        <w:t xml:space="preserve"> التجسيم في فكر المحدثين</w:t>
      </w:r>
      <w:r w:rsidR="000636C2">
        <w:rPr>
          <w:rFonts w:hint="cs"/>
          <w:rtl/>
        </w:rPr>
        <w:t>]،</w:t>
      </w:r>
      <w:r>
        <w:rPr>
          <w:rFonts w:hint="cs"/>
          <w:rtl/>
        </w:rPr>
        <w:t xml:space="preserve"> </w:t>
      </w:r>
    </w:p>
    <w:p w14:paraId="7C491D0F" w14:textId="262F9F3C" w:rsidR="009C32A0" w:rsidRDefault="009C32A0" w:rsidP="000636C2">
      <w:pPr>
        <w:ind w:left="-58"/>
        <w:jc w:val="lowKashida"/>
        <w:rPr>
          <w:b/>
          <w:rtl/>
          <w:lang w:bidi="ar-KW"/>
        </w:rPr>
      </w:pPr>
      <w:r>
        <w:rPr>
          <w:rFonts w:cs="Monotype Koufi" w:hint="cs"/>
          <w:rtl/>
        </w:rPr>
        <w:t>رابعاً</w:t>
      </w:r>
      <w:r w:rsidR="000636C2">
        <w:rPr>
          <w:rFonts w:cs="Monotype Koufi" w:hint="cs"/>
          <w:rtl/>
        </w:rPr>
        <w:t>:</w:t>
      </w:r>
      <w:r>
        <w:rPr>
          <w:rFonts w:cs="Monotype Koufi" w:hint="cs"/>
          <w:rtl/>
        </w:rPr>
        <w:t xml:space="preserve"> براءة الإمام أحمد ابن حنبل رحمه الله من انتساب الحشوية إليه والتحذير من الحشوية المنتسبين إلى الإمام أحمد ابن حنبل</w:t>
      </w:r>
      <w:r w:rsidR="000636C2">
        <w:rPr>
          <w:rFonts w:hint="cs"/>
          <w:bCs/>
          <w:rtl/>
        </w:rPr>
        <w:t>:</w:t>
      </w:r>
      <w:r>
        <w:rPr>
          <w:rFonts w:hint="cs"/>
          <w:bCs/>
          <w:rtl/>
        </w:rPr>
        <w:t xml:space="preserve"> </w:t>
      </w:r>
      <w:r>
        <w:rPr>
          <w:rFonts w:hint="cs"/>
          <w:rtl/>
        </w:rPr>
        <w:t>اشتهر انتساب الحَشْويّة إلى مذهب أحمد بن حنبل (ت241هـ)</w:t>
      </w:r>
      <w:r w:rsidR="000636C2">
        <w:rPr>
          <w:rFonts w:hint="cs"/>
          <w:rtl/>
        </w:rPr>
        <w:t>،</w:t>
      </w:r>
      <w:r>
        <w:rPr>
          <w:rFonts w:hint="cs"/>
          <w:rtl/>
        </w:rPr>
        <w:t xml:space="preserve"> ولا ريبَ أنّ الامامَ أحمد إمامٌ عظيمُ القدر</w:t>
      </w:r>
      <w:r w:rsidR="000636C2">
        <w:rPr>
          <w:rFonts w:hint="cs"/>
          <w:rtl/>
        </w:rPr>
        <w:t>،</w:t>
      </w:r>
      <w:r>
        <w:rPr>
          <w:rFonts w:hint="cs"/>
          <w:rtl/>
        </w:rPr>
        <w:t xml:space="preserve"> ومن أكبر أئمّة الاسلام</w:t>
      </w:r>
      <w:r w:rsidR="000636C2">
        <w:rPr>
          <w:rFonts w:hint="cs"/>
          <w:rtl/>
        </w:rPr>
        <w:t>،</w:t>
      </w:r>
      <w:r>
        <w:rPr>
          <w:rFonts w:hint="cs"/>
          <w:rtl/>
        </w:rPr>
        <w:t xml:space="preserve"> لكن قد انتسب إليه هؤلاء هو منهم بريء</w:t>
      </w:r>
      <w:r w:rsidR="000636C2">
        <w:rPr>
          <w:rFonts w:hint="cs"/>
          <w:rtl/>
        </w:rPr>
        <w:t>،،</w:t>
      </w:r>
      <w:r>
        <w:rPr>
          <w:rFonts w:hint="cs"/>
          <w:rtl/>
        </w:rPr>
        <w:t xml:space="preserve"> وقد تقدم مخاطبة الإمام ابن الجوزي</w:t>
      </w:r>
      <w:r w:rsidR="000636C2">
        <w:rPr>
          <w:rFonts w:hint="cs"/>
          <w:rtl/>
        </w:rPr>
        <w:t>،</w:t>
      </w:r>
      <w:r>
        <w:rPr>
          <w:rFonts w:hint="cs"/>
          <w:rtl/>
        </w:rPr>
        <w:t xml:space="preserve"> الذي لم يأت في الحنابلة بعد الإمام أحمد مثله</w:t>
      </w:r>
      <w:r w:rsidR="000636C2">
        <w:rPr>
          <w:rFonts w:hint="cs"/>
          <w:rtl/>
        </w:rPr>
        <w:t>،</w:t>
      </w:r>
      <w:r>
        <w:rPr>
          <w:rFonts w:hint="cs"/>
          <w:rtl/>
        </w:rPr>
        <w:t xml:space="preserve"> لحشوية الحنابلة</w:t>
      </w:r>
      <w:r w:rsidR="000636C2">
        <w:rPr>
          <w:rFonts w:hint="cs"/>
          <w:rtl/>
        </w:rPr>
        <w:t xml:space="preserve"> </w:t>
      </w:r>
      <w:r>
        <w:rPr>
          <w:rFonts w:hint="cs"/>
          <w:rtl/>
        </w:rPr>
        <w:t>ابن حامد وابن الزاغوني والقاضي أبي يعلى القاضي</w:t>
      </w:r>
      <w:r w:rsidR="000636C2">
        <w:rPr>
          <w:rFonts w:hint="cs"/>
          <w:rtl/>
        </w:rPr>
        <w:t>،</w:t>
      </w:r>
      <w:r>
        <w:rPr>
          <w:rFonts w:hint="cs"/>
          <w:rtl/>
        </w:rPr>
        <w:t xml:space="preserve"> ومن نظر في كتابه الباز الأشهب علم مدى الحشو الذي وصل إليه هؤلاء</w:t>
      </w:r>
      <w:r w:rsidR="000636C2">
        <w:rPr>
          <w:rFonts w:hint="cs"/>
          <w:rtl/>
        </w:rPr>
        <w:t>،</w:t>
      </w:r>
      <w:r>
        <w:rPr>
          <w:rFonts w:hint="cs"/>
          <w:rtl/>
        </w:rPr>
        <w:t xml:space="preserve"> حيث قال في خاتمة كتابه</w:t>
      </w:r>
      <w:r w:rsidR="000636C2">
        <w:rPr>
          <w:rFonts w:hint="cs"/>
          <w:rtl/>
        </w:rPr>
        <w:t xml:space="preserve">: </w:t>
      </w:r>
      <w:r>
        <w:rPr>
          <w:rFonts w:hint="cs"/>
          <w:rtl/>
        </w:rPr>
        <w:t>(</w:t>
      </w:r>
      <w:r w:rsidR="000636C2">
        <w:rPr>
          <w:rFonts w:hint="cs"/>
          <w:rtl/>
        </w:rPr>
        <w:t>(</w:t>
      </w:r>
      <w:r>
        <w:rPr>
          <w:rFonts w:hint="cs"/>
          <w:rtl/>
        </w:rPr>
        <w:t>ولما علم بكتابي هذا جماعة من الجهال</w:t>
      </w:r>
      <w:r w:rsidR="000636C2">
        <w:rPr>
          <w:rFonts w:hint="cs"/>
          <w:rtl/>
        </w:rPr>
        <w:t>،</w:t>
      </w:r>
      <w:r>
        <w:rPr>
          <w:rFonts w:hint="cs"/>
          <w:rtl/>
        </w:rPr>
        <w:t xml:space="preserve"> لم يعجبهم لأنهم أَلِفُوا كلام رؤسائهم المجسمة فقالوا</w:t>
      </w:r>
      <w:r w:rsidR="000636C2">
        <w:rPr>
          <w:rFonts w:hint="cs"/>
          <w:rtl/>
        </w:rPr>
        <w:t>:</w:t>
      </w:r>
      <w:r>
        <w:rPr>
          <w:rFonts w:hint="cs"/>
          <w:rtl/>
        </w:rPr>
        <w:t xml:space="preserve"> ليس هذا المذهب . قلت</w:t>
      </w:r>
      <w:r w:rsidR="000636C2">
        <w:rPr>
          <w:rFonts w:hint="cs"/>
          <w:rtl/>
        </w:rPr>
        <w:t>:</w:t>
      </w:r>
      <w:r>
        <w:rPr>
          <w:rFonts w:hint="cs"/>
          <w:rtl/>
        </w:rPr>
        <w:t xml:space="preserve"> ليس مذهبكم ولا مذهب من قلدتم من أشياخكم</w:t>
      </w:r>
      <w:r w:rsidR="000636C2">
        <w:rPr>
          <w:rFonts w:hint="cs"/>
          <w:rtl/>
        </w:rPr>
        <w:t>،</w:t>
      </w:r>
      <w:r>
        <w:rPr>
          <w:rFonts w:hint="cs"/>
          <w:rtl/>
        </w:rPr>
        <w:t xml:space="preserve"> فقد نزهت مذهب الإمام أحمد</w:t>
      </w:r>
      <w:r w:rsidR="000636C2">
        <w:rPr>
          <w:rFonts w:hint="cs"/>
          <w:rtl/>
        </w:rPr>
        <w:t>،</w:t>
      </w:r>
      <w:r>
        <w:rPr>
          <w:rFonts w:hint="cs"/>
          <w:rtl/>
        </w:rPr>
        <w:t xml:space="preserve"> ونفيت عنه كذب المنقولات</w:t>
      </w:r>
      <w:r w:rsidR="000636C2">
        <w:rPr>
          <w:rFonts w:hint="cs"/>
          <w:rtl/>
        </w:rPr>
        <w:t>،</w:t>
      </w:r>
      <w:r>
        <w:rPr>
          <w:rFonts w:hint="cs"/>
          <w:rtl/>
        </w:rPr>
        <w:t xml:space="preserve"> وهذيان المقولات</w:t>
      </w:r>
      <w:r w:rsidR="000636C2">
        <w:rPr>
          <w:rFonts w:hint="cs"/>
          <w:rtl/>
        </w:rPr>
        <w:t>)</w:t>
      </w:r>
      <w:r>
        <w:rPr>
          <w:rFonts w:hint="cs"/>
          <w:rtl/>
        </w:rPr>
        <w:t>) اهـ</w:t>
      </w:r>
      <w:r w:rsidR="000636C2">
        <w:rPr>
          <w:rFonts w:hint="cs"/>
          <w:rtl/>
        </w:rPr>
        <w:t>،</w:t>
      </w:r>
      <w:r>
        <w:rPr>
          <w:rFonts w:hint="cs"/>
          <w:rtl/>
        </w:rPr>
        <w:t xml:space="preserve"> ومن نظر في كتاب ابطال التأويلات</w:t>
      </w:r>
      <w:r w:rsidR="000636C2">
        <w:rPr>
          <w:rFonts w:hint="cs"/>
          <w:rtl/>
        </w:rPr>
        <w:t xml:space="preserve"> </w:t>
      </w:r>
      <w:r>
        <w:rPr>
          <w:rFonts w:hint="cs"/>
          <w:rtl/>
        </w:rPr>
        <w:t>للقاضي أبي يعلى علم ما وصل إليه القوم من الحشو</w:t>
      </w:r>
      <w:r w:rsidR="000636C2">
        <w:rPr>
          <w:rFonts w:hint="cs"/>
          <w:rtl/>
        </w:rPr>
        <w:t>،،</w:t>
      </w:r>
      <w:r>
        <w:rPr>
          <w:rFonts w:hint="cs"/>
          <w:rtl/>
        </w:rPr>
        <w:t xml:space="preserve"> ومن ذلك ما ذكره أبو يعلى</w:t>
      </w:r>
      <w:r w:rsidR="000636C2">
        <w:rPr>
          <w:rFonts w:hint="cs"/>
          <w:rtl/>
        </w:rPr>
        <w:t>:</w:t>
      </w:r>
      <w:r>
        <w:rPr>
          <w:rFonts w:hint="cs"/>
          <w:rtl/>
        </w:rPr>
        <w:t xml:space="preserve"> أن النبي يقعد على العرش يوم القيامة مع الله تعالى وأن هذا هو المقام المحمود الذي وعده به ربه</w:t>
      </w:r>
      <w:r w:rsidR="000636C2">
        <w:rPr>
          <w:rFonts w:hint="cs"/>
          <w:rtl/>
        </w:rPr>
        <w:t>،</w:t>
      </w:r>
      <w:r>
        <w:rPr>
          <w:rFonts w:hint="cs"/>
          <w:rtl/>
        </w:rPr>
        <w:t xml:space="preserve"> وذكر في ذلك روايات موضوعة</w:t>
      </w:r>
      <w:r w:rsidR="000636C2">
        <w:rPr>
          <w:rFonts w:hint="cs"/>
          <w:rtl/>
        </w:rPr>
        <w:t>،</w:t>
      </w:r>
      <w:r>
        <w:rPr>
          <w:rFonts w:hint="cs"/>
          <w:rtl/>
        </w:rPr>
        <w:t xml:space="preserve"> ثم قال مستدلاً بها على تضليل المسلمين</w:t>
      </w:r>
      <w:r w:rsidR="000636C2">
        <w:rPr>
          <w:rFonts w:hint="cs"/>
          <w:rtl/>
        </w:rPr>
        <w:t>:</w:t>
      </w:r>
      <w:r>
        <w:rPr>
          <w:rFonts w:hint="cs"/>
          <w:rtl/>
        </w:rPr>
        <w:t xml:space="preserve"> (</w:t>
      </w:r>
      <w:r w:rsidR="000636C2">
        <w:rPr>
          <w:rFonts w:hint="cs"/>
          <w:rtl/>
        </w:rPr>
        <w:t>(</w:t>
      </w:r>
      <w:r>
        <w:rPr>
          <w:rFonts w:hint="cs"/>
          <w:rtl/>
        </w:rPr>
        <w:t>فلزمنا الإنكار على من رد هذه الفضيلة التي قالتها العلماء وتلقوها بالقبول</w:t>
      </w:r>
      <w:r w:rsidR="000636C2">
        <w:rPr>
          <w:rFonts w:hint="cs"/>
          <w:rtl/>
        </w:rPr>
        <w:t>،</w:t>
      </w:r>
      <w:r>
        <w:rPr>
          <w:rFonts w:hint="cs"/>
          <w:rtl/>
        </w:rPr>
        <w:t xml:space="preserve"> فمن ردها فهو من الفرق الهالكة</w:t>
      </w:r>
      <w:r w:rsidR="000636C2">
        <w:rPr>
          <w:rFonts w:hint="cs"/>
          <w:rtl/>
        </w:rPr>
        <w:t>)</w:t>
      </w:r>
      <w:r>
        <w:rPr>
          <w:rFonts w:hint="cs"/>
          <w:rtl/>
        </w:rPr>
        <w:t>) اهـ</w:t>
      </w:r>
      <w:r w:rsidR="000636C2">
        <w:rPr>
          <w:rFonts w:hint="cs"/>
          <w:rtl/>
        </w:rPr>
        <w:t>،</w:t>
      </w:r>
      <w:r>
        <w:rPr>
          <w:rFonts w:hint="cs"/>
          <w:rtl/>
        </w:rPr>
        <w:t xml:space="preserve"> وذكر</w:t>
      </w:r>
      <w:r w:rsidR="000636C2">
        <w:rPr>
          <w:rFonts w:hint="cs"/>
          <w:rtl/>
        </w:rPr>
        <w:t xml:space="preserve"> </w:t>
      </w:r>
      <w:r>
        <w:rPr>
          <w:rFonts w:hint="cs"/>
          <w:rtl/>
        </w:rPr>
        <w:t>روايات موضوعة منها رواية</w:t>
      </w:r>
      <w:r w:rsidR="000636C2">
        <w:rPr>
          <w:rFonts w:hint="cs"/>
          <w:rtl/>
        </w:rPr>
        <w:t>:</w:t>
      </w:r>
      <w:r>
        <w:rPr>
          <w:rFonts w:hint="cs"/>
          <w:rtl/>
        </w:rPr>
        <w:t xml:space="preserve"> (</w:t>
      </w:r>
      <w:r w:rsidR="000636C2">
        <w:rPr>
          <w:rFonts w:hint="cs"/>
          <w:rtl/>
        </w:rPr>
        <w:t>(</w:t>
      </w:r>
      <w:r>
        <w:rPr>
          <w:rFonts w:hint="cs"/>
          <w:rtl/>
        </w:rPr>
        <w:t>إن الله لما فرغ من خلقه استوى على عرشه واستلقى ووضع إحدى رجليه على الأخرى وقال</w:t>
      </w:r>
      <w:r w:rsidR="000636C2">
        <w:rPr>
          <w:rFonts w:hint="cs"/>
          <w:rtl/>
        </w:rPr>
        <w:t>:</w:t>
      </w:r>
      <w:r>
        <w:rPr>
          <w:rFonts w:hint="cs"/>
          <w:rtl/>
        </w:rPr>
        <w:t xml:space="preserve"> إنها لا تصلح لبشر</w:t>
      </w:r>
      <w:r w:rsidR="000636C2">
        <w:rPr>
          <w:rFonts w:hint="cs"/>
          <w:rtl/>
        </w:rPr>
        <w:t>)</w:t>
      </w:r>
      <w:r>
        <w:rPr>
          <w:rFonts w:hint="cs"/>
          <w:rtl/>
        </w:rPr>
        <w:t>)</w:t>
      </w:r>
      <w:r w:rsidR="000636C2">
        <w:rPr>
          <w:rFonts w:hint="cs"/>
          <w:rtl/>
        </w:rPr>
        <w:t>،</w:t>
      </w:r>
      <w:r>
        <w:rPr>
          <w:rFonts w:hint="cs"/>
          <w:rtl/>
        </w:rPr>
        <w:t xml:space="preserve"> وذكر عن كعب الأحبار أنه قال لمن سأله أين ربنا</w:t>
      </w:r>
      <w:r w:rsidR="000636C2">
        <w:rPr>
          <w:rFonts w:hint="cs"/>
          <w:rtl/>
        </w:rPr>
        <w:t>:</w:t>
      </w:r>
      <w:r>
        <w:rPr>
          <w:rFonts w:hint="cs"/>
          <w:rtl/>
        </w:rPr>
        <w:t xml:space="preserve"> (</w:t>
      </w:r>
      <w:r w:rsidR="000636C2">
        <w:rPr>
          <w:rFonts w:hint="cs"/>
          <w:rtl/>
        </w:rPr>
        <w:t>(</w:t>
      </w:r>
      <w:r>
        <w:rPr>
          <w:rFonts w:hint="cs"/>
          <w:rtl/>
        </w:rPr>
        <w:t>هو على العرش العظيم متكئ واضع إحدى رجليه على الأخرى</w:t>
      </w:r>
      <w:r w:rsidR="000636C2">
        <w:rPr>
          <w:rFonts w:hint="cs"/>
          <w:rtl/>
        </w:rPr>
        <w:t>)</w:t>
      </w:r>
      <w:r>
        <w:rPr>
          <w:rFonts w:hint="cs"/>
          <w:rtl/>
        </w:rPr>
        <w:t>) وأثبت بهذه الموضوعات صفات لله عز وجل</w:t>
      </w:r>
      <w:r w:rsidR="000636C2">
        <w:rPr>
          <w:rFonts w:hint="cs"/>
          <w:rtl/>
        </w:rPr>
        <w:t>،</w:t>
      </w:r>
      <w:r>
        <w:rPr>
          <w:rFonts w:hint="cs"/>
          <w:rtl/>
        </w:rPr>
        <w:t xml:space="preserve"> فقال</w:t>
      </w:r>
      <w:r w:rsidR="000636C2">
        <w:rPr>
          <w:rFonts w:hint="cs"/>
          <w:rtl/>
        </w:rPr>
        <w:t>:</w:t>
      </w:r>
      <w:r>
        <w:rPr>
          <w:rFonts w:hint="cs"/>
          <w:rtl/>
        </w:rPr>
        <w:t xml:space="preserve"> (</w:t>
      </w:r>
      <w:r w:rsidR="000636C2">
        <w:rPr>
          <w:rFonts w:hint="cs"/>
          <w:rtl/>
        </w:rPr>
        <w:t>(</w:t>
      </w:r>
      <w:r>
        <w:rPr>
          <w:rFonts w:hint="cs"/>
          <w:rtl/>
        </w:rPr>
        <w:t>اعلم أن هذا الخبر يفيد أشياء</w:t>
      </w:r>
      <w:r w:rsidR="000636C2">
        <w:rPr>
          <w:rFonts w:hint="cs"/>
          <w:rtl/>
        </w:rPr>
        <w:t>:</w:t>
      </w:r>
      <w:r>
        <w:rPr>
          <w:rFonts w:hint="cs"/>
          <w:rtl/>
        </w:rPr>
        <w:t xml:space="preserve"> منها جواز إطلاق الاستلقاء عليه</w:t>
      </w:r>
      <w:r w:rsidR="000636C2">
        <w:rPr>
          <w:rFonts w:hint="cs"/>
          <w:rtl/>
        </w:rPr>
        <w:t>،</w:t>
      </w:r>
      <w:r>
        <w:rPr>
          <w:rFonts w:hint="cs"/>
          <w:rtl/>
        </w:rPr>
        <w:t xml:space="preserve"> لا على وجه الاستراحة بل على صفة لا نعقل معناها</w:t>
      </w:r>
      <w:r w:rsidR="000636C2">
        <w:rPr>
          <w:rFonts w:hint="cs"/>
          <w:rtl/>
        </w:rPr>
        <w:t>،</w:t>
      </w:r>
      <w:r>
        <w:rPr>
          <w:rFonts w:hint="cs"/>
          <w:rtl/>
        </w:rPr>
        <w:t xml:space="preserve"> وأن له رجلين كما له يدان</w:t>
      </w:r>
      <w:r w:rsidR="000636C2">
        <w:rPr>
          <w:rFonts w:hint="cs"/>
          <w:rtl/>
        </w:rPr>
        <w:t>،</w:t>
      </w:r>
      <w:r>
        <w:rPr>
          <w:rFonts w:hint="cs"/>
          <w:rtl/>
        </w:rPr>
        <w:t xml:space="preserve"> وأنه</w:t>
      </w:r>
      <w:r w:rsidR="000636C2">
        <w:rPr>
          <w:rFonts w:hint="cs"/>
          <w:rtl/>
        </w:rPr>
        <w:t xml:space="preserve"> </w:t>
      </w:r>
      <w:r>
        <w:rPr>
          <w:rFonts w:hint="cs"/>
          <w:rtl/>
        </w:rPr>
        <w:t>يضع إحداهما على الأخرى على صفة لا نعقلها</w:t>
      </w:r>
      <w:r w:rsidR="000636C2">
        <w:rPr>
          <w:rFonts w:hint="cs"/>
          <w:rtl/>
        </w:rPr>
        <w:t>)</w:t>
      </w:r>
      <w:r>
        <w:rPr>
          <w:rFonts w:hint="cs"/>
          <w:rtl/>
        </w:rPr>
        <w:t>)</w:t>
      </w:r>
      <w:r w:rsidR="000636C2">
        <w:rPr>
          <w:rFonts w:hint="cs"/>
          <w:rtl/>
        </w:rPr>
        <w:t>،</w:t>
      </w:r>
      <w:r>
        <w:rPr>
          <w:rFonts w:hint="cs"/>
          <w:rtl/>
        </w:rPr>
        <w:t xml:space="preserve"> وقال (</w:t>
      </w:r>
      <w:r w:rsidR="000636C2">
        <w:rPr>
          <w:rFonts w:hint="cs"/>
          <w:rtl/>
        </w:rPr>
        <w:t>(</w:t>
      </w:r>
      <w:r>
        <w:rPr>
          <w:rFonts w:hint="cs"/>
          <w:rtl/>
        </w:rPr>
        <w:t>ما تعجبون من رجل نصر الله ورسوله</w:t>
      </w:r>
      <w:r w:rsidR="000636C2">
        <w:rPr>
          <w:rFonts w:hint="cs"/>
          <w:rtl/>
        </w:rPr>
        <w:t>،</w:t>
      </w:r>
      <w:r>
        <w:rPr>
          <w:rFonts w:hint="cs"/>
          <w:rtl/>
        </w:rPr>
        <w:t xml:space="preserve"> لقي الله غدا متكئا فقعد له</w:t>
      </w:r>
      <w:r w:rsidR="000636C2">
        <w:rPr>
          <w:rFonts w:hint="cs"/>
          <w:rtl/>
        </w:rPr>
        <w:t>)</w:t>
      </w:r>
      <w:r>
        <w:rPr>
          <w:rFonts w:hint="cs"/>
          <w:rtl/>
        </w:rPr>
        <w:t>) ثم قال على إثرها</w:t>
      </w:r>
      <w:r w:rsidR="000636C2">
        <w:rPr>
          <w:rFonts w:hint="cs"/>
          <w:rtl/>
        </w:rPr>
        <w:t>:</w:t>
      </w:r>
      <w:r>
        <w:rPr>
          <w:rFonts w:hint="cs"/>
          <w:rtl/>
        </w:rPr>
        <w:t xml:space="preserve"> (</w:t>
      </w:r>
      <w:r w:rsidR="000636C2">
        <w:rPr>
          <w:rFonts w:hint="cs"/>
          <w:rtl/>
        </w:rPr>
        <w:t>(</w:t>
      </w:r>
      <w:r>
        <w:rPr>
          <w:rFonts w:hint="cs"/>
          <w:rtl/>
        </w:rPr>
        <w:t>والكلام فيه كالكلام في الذي قبله في الاستلقاء سواء</w:t>
      </w:r>
      <w:r w:rsidR="000636C2">
        <w:rPr>
          <w:rFonts w:hint="cs"/>
          <w:rtl/>
        </w:rPr>
        <w:t>)</w:t>
      </w:r>
      <w:r>
        <w:rPr>
          <w:rFonts w:hint="cs"/>
          <w:rtl/>
        </w:rPr>
        <w:t>) اهـ</w:t>
      </w:r>
      <w:r w:rsidR="000636C2">
        <w:rPr>
          <w:rFonts w:hint="cs"/>
          <w:rtl/>
        </w:rPr>
        <w:t>،</w:t>
      </w:r>
      <w:r>
        <w:rPr>
          <w:rFonts w:hint="cs"/>
          <w:rtl/>
        </w:rPr>
        <w:t xml:space="preserve"> فأتبت بهذا لله سبحانه الاتكاء والقعود</w:t>
      </w:r>
      <w:r w:rsidR="000636C2">
        <w:rPr>
          <w:rFonts w:hint="cs"/>
          <w:rtl/>
        </w:rPr>
        <w:t>،</w:t>
      </w:r>
      <w:r>
        <w:rPr>
          <w:rFonts w:hint="cs"/>
          <w:rtl/>
        </w:rPr>
        <w:t xml:space="preserve"> كما تكلم بحشو متناقض عند ذكره لحديث</w:t>
      </w:r>
      <w:r w:rsidR="000636C2">
        <w:rPr>
          <w:rFonts w:hint="cs"/>
          <w:rtl/>
        </w:rPr>
        <w:t>:</w:t>
      </w:r>
      <w:r>
        <w:rPr>
          <w:rFonts w:hint="cs"/>
          <w:rtl/>
        </w:rPr>
        <w:t xml:space="preserve"> (</w:t>
      </w:r>
      <w:r w:rsidR="000636C2">
        <w:rPr>
          <w:rFonts w:hint="cs"/>
          <w:rtl/>
        </w:rPr>
        <w:t>(</w:t>
      </w:r>
      <w:r>
        <w:rPr>
          <w:rFonts w:hint="cs"/>
          <w:rtl/>
        </w:rPr>
        <w:t>إن الله خلق آدم على صورته</w:t>
      </w:r>
      <w:r w:rsidR="000636C2">
        <w:rPr>
          <w:rFonts w:hint="cs"/>
          <w:rtl/>
        </w:rPr>
        <w:t>)</w:t>
      </w:r>
      <w:r>
        <w:rPr>
          <w:rFonts w:hint="cs"/>
          <w:rtl/>
        </w:rPr>
        <w:t>)</w:t>
      </w:r>
      <w:r w:rsidR="000636C2">
        <w:rPr>
          <w:rFonts w:hint="cs"/>
          <w:rtl/>
        </w:rPr>
        <w:t>،</w:t>
      </w:r>
      <w:r>
        <w:rPr>
          <w:rFonts w:hint="cs"/>
          <w:rtl/>
        </w:rPr>
        <w:t xml:space="preserve"> واستدل برواية باطلة</w:t>
      </w:r>
      <w:r w:rsidR="000636C2">
        <w:rPr>
          <w:rFonts w:hint="cs"/>
          <w:rtl/>
        </w:rPr>
        <w:t xml:space="preserve"> </w:t>
      </w:r>
      <w:r>
        <w:rPr>
          <w:rFonts w:hint="cs"/>
          <w:rtl/>
        </w:rPr>
        <w:t>(</w:t>
      </w:r>
      <w:r w:rsidR="000636C2">
        <w:rPr>
          <w:rFonts w:hint="cs"/>
          <w:rtl/>
        </w:rPr>
        <w:t>(</w:t>
      </w:r>
      <w:r>
        <w:rPr>
          <w:rFonts w:hint="cs"/>
          <w:rtl/>
        </w:rPr>
        <w:t>.. غضب</w:t>
      </w:r>
      <w:r w:rsidR="000636C2">
        <w:rPr>
          <w:rFonts w:hint="cs"/>
          <w:rtl/>
        </w:rPr>
        <w:t xml:space="preserve"> </w:t>
      </w:r>
      <w:r>
        <w:rPr>
          <w:rFonts w:hint="cs"/>
          <w:rtl/>
        </w:rPr>
        <w:t>موسى على قومه في بعض ما كانوا يسألونه</w:t>
      </w:r>
      <w:r w:rsidR="000636C2">
        <w:rPr>
          <w:rFonts w:hint="cs"/>
          <w:rtl/>
        </w:rPr>
        <w:t>،</w:t>
      </w:r>
      <w:r>
        <w:rPr>
          <w:rFonts w:hint="cs"/>
          <w:rtl/>
        </w:rPr>
        <w:t xml:space="preserve"> فلما نزل الحَجَر قال</w:t>
      </w:r>
      <w:r w:rsidR="000636C2">
        <w:rPr>
          <w:rFonts w:hint="cs"/>
          <w:rtl/>
        </w:rPr>
        <w:t>:</w:t>
      </w:r>
      <w:r>
        <w:rPr>
          <w:rFonts w:hint="cs"/>
          <w:rtl/>
        </w:rPr>
        <w:t xml:space="preserve"> اشربوا يا حمير</w:t>
      </w:r>
      <w:r w:rsidR="000636C2">
        <w:rPr>
          <w:rFonts w:hint="cs"/>
          <w:rtl/>
        </w:rPr>
        <w:t>،</w:t>
      </w:r>
      <w:r>
        <w:rPr>
          <w:rFonts w:hint="cs"/>
          <w:rtl/>
        </w:rPr>
        <w:t xml:space="preserve"> فأوحى الله إليه</w:t>
      </w:r>
      <w:r w:rsidR="000636C2">
        <w:rPr>
          <w:rFonts w:hint="cs"/>
          <w:rtl/>
        </w:rPr>
        <w:t>:</w:t>
      </w:r>
      <w:r>
        <w:rPr>
          <w:rFonts w:hint="cs"/>
          <w:rtl/>
        </w:rPr>
        <w:t xml:space="preserve"> تعمد إلى عبيد من عبيدي خلقتهم على مثل صورتي فتقول اشربوا</w:t>
      </w:r>
      <w:r w:rsidR="000636C2">
        <w:rPr>
          <w:rFonts w:hint="cs"/>
          <w:rtl/>
        </w:rPr>
        <w:t xml:space="preserve"> </w:t>
      </w:r>
      <w:r>
        <w:rPr>
          <w:rFonts w:hint="cs"/>
          <w:rtl/>
        </w:rPr>
        <w:t>يا حمير</w:t>
      </w:r>
      <w:r w:rsidR="000636C2">
        <w:rPr>
          <w:rFonts w:hint="cs"/>
          <w:rtl/>
        </w:rPr>
        <w:t>،</w:t>
      </w:r>
      <w:r>
        <w:rPr>
          <w:rFonts w:hint="cs"/>
          <w:rtl/>
        </w:rPr>
        <w:t xml:space="preserve"> قال</w:t>
      </w:r>
      <w:r w:rsidR="000636C2">
        <w:rPr>
          <w:rFonts w:hint="cs"/>
          <w:rtl/>
        </w:rPr>
        <w:t>:</w:t>
      </w:r>
      <w:r>
        <w:rPr>
          <w:rFonts w:hint="cs"/>
          <w:rtl/>
        </w:rPr>
        <w:t xml:space="preserve"> فما </w:t>
      </w:r>
      <w:r>
        <w:rPr>
          <w:rFonts w:hint="cs"/>
          <w:rtl/>
        </w:rPr>
        <w:lastRenderedPageBreak/>
        <w:t>برح حتى أصابته عقوبة</w:t>
      </w:r>
      <w:r w:rsidR="000636C2">
        <w:rPr>
          <w:rFonts w:hint="cs"/>
          <w:rtl/>
        </w:rPr>
        <w:t>)</w:t>
      </w:r>
      <w:r>
        <w:rPr>
          <w:rFonts w:hint="cs"/>
          <w:rtl/>
        </w:rPr>
        <w:t>)</w:t>
      </w:r>
      <w:r w:rsidR="000636C2">
        <w:rPr>
          <w:rFonts w:hint="cs"/>
          <w:rtl/>
        </w:rPr>
        <w:t>،</w:t>
      </w:r>
      <w:r>
        <w:rPr>
          <w:rFonts w:hint="cs"/>
          <w:rtl/>
        </w:rPr>
        <w:t xml:space="preserve"> على التجسيم وانتقاص الأنبياء</w:t>
      </w:r>
      <w:r w:rsidR="000636C2">
        <w:rPr>
          <w:rFonts w:hint="cs"/>
          <w:rtl/>
        </w:rPr>
        <w:t>،</w:t>
      </w:r>
      <w:r>
        <w:rPr>
          <w:rFonts w:hint="cs"/>
          <w:rtl/>
        </w:rPr>
        <w:t xml:space="preserve"> كما استدل بقوله تعالى</w:t>
      </w:r>
      <w:r w:rsidR="000636C2">
        <w:rPr>
          <w:rFonts w:hint="cs"/>
          <w:rtl/>
        </w:rPr>
        <w:t>:</w:t>
      </w:r>
      <w:r>
        <w:rPr>
          <w:rFonts w:hint="cs"/>
          <w:rtl/>
        </w:rPr>
        <w:t xml:space="preserve"> </w:t>
      </w:r>
      <w:r w:rsidR="000636C2">
        <w:rPr>
          <w:rFonts w:hint="cs"/>
          <w:rtl/>
        </w:rPr>
        <w:t>{</w:t>
      </w:r>
      <w:r>
        <w:rPr>
          <w:rFonts w:hint="cs"/>
          <w:rtl/>
        </w:rPr>
        <w:t>ثم دنا فتدلى</w:t>
      </w:r>
      <w:r w:rsidR="000636C2">
        <w:rPr>
          <w:rFonts w:hint="cs"/>
          <w:rtl/>
        </w:rPr>
        <w:t xml:space="preserve">} </w:t>
      </w:r>
      <w:r>
        <w:rPr>
          <w:rFonts w:hint="cs"/>
          <w:rtl/>
        </w:rPr>
        <w:t>على أن المتدلي هو الله</w:t>
      </w:r>
      <w:r w:rsidR="000636C2">
        <w:rPr>
          <w:rFonts w:hint="cs"/>
          <w:rtl/>
        </w:rPr>
        <w:t>،</w:t>
      </w:r>
      <w:r>
        <w:rPr>
          <w:rFonts w:hint="cs"/>
          <w:rtl/>
        </w:rPr>
        <w:t xml:space="preserve"> وأورد روايات يخجل الحمقى من ذكرها تصف الله تعالى بأنّه شاب</w:t>
      </w:r>
      <w:r w:rsidR="000636C2">
        <w:rPr>
          <w:rFonts w:hint="cs"/>
          <w:rtl/>
        </w:rPr>
        <w:t>،</w:t>
      </w:r>
      <w:r>
        <w:rPr>
          <w:rFonts w:hint="cs"/>
          <w:rtl/>
        </w:rPr>
        <w:t xml:space="preserve"> أمرد</w:t>
      </w:r>
      <w:r w:rsidR="000636C2">
        <w:rPr>
          <w:rFonts w:hint="cs"/>
          <w:rtl/>
        </w:rPr>
        <w:t>،</w:t>
      </w:r>
      <w:r>
        <w:rPr>
          <w:rFonts w:hint="cs"/>
          <w:rtl/>
        </w:rPr>
        <w:t xml:space="preserve"> أجعد</w:t>
      </w:r>
      <w:r w:rsidR="000636C2">
        <w:rPr>
          <w:rFonts w:hint="cs"/>
          <w:rtl/>
        </w:rPr>
        <w:t>،</w:t>
      </w:r>
      <w:r>
        <w:rPr>
          <w:rFonts w:hint="cs"/>
          <w:rtl/>
        </w:rPr>
        <w:t xml:space="preserve"> في حلة حمراء</w:t>
      </w:r>
      <w:r w:rsidR="000636C2">
        <w:rPr>
          <w:rFonts w:hint="cs"/>
          <w:rtl/>
        </w:rPr>
        <w:t>،</w:t>
      </w:r>
      <w:r>
        <w:rPr>
          <w:rFonts w:hint="cs"/>
          <w:rtl/>
        </w:rPr>
        <w:t xml:space="preserve"> عليه تاج</w:t>
      </w:r>
      <w:r w:rsidR="000636C2">
        <w:rPr>
          <w:rFonts w:hint="cs"/>
          <w:rtl/>
        </w:rPr>
        <w:t>،</w:t>
      </w:r>
      <w:r>
        <w:rPr>
          <w:rFonts w:hint="cs"/>
          <w:rtl/>
        </w:rPr>
        <w:t xml:space="preserve"> ونعلان من ذهب</w:t>
      </w:r>
      <w:r w:rsidR="000636C2">
        <w:rPr>
          <w:rFonts w:hint="cs"/>
          <w:rtl/>
        </w:rPr>
        <w:t>،</w:t>
      </w:r>
      <w:r>
        <w:rPr>
          <w:rFonts w:hint="cs"/>
          <w:rtl/>
        </w:rPr>
        <w:t xml:space="preserve"> وعلى وجهه فَرَاش من ذهب</w:t>
      </w:r>
      <w:r w:rsidR="000636C2">
        <w:rPr>
          <w:rFonts w:hint="cs"/>
          <w:rtl/>
        </w:rPr>
        <w:t>،</w:t>
      </w:r>
      <w:r>
        <w:rPr>
          <w:rFonts w:hint="cs"/>
          <w:rtl/>
        </w:rPr>
        <w:t xml:space="preserve"> ثم ذكر أنّ من لم</w:t>
      </w:r>
      <w:r w:rsidR="000636C2">
        <w:rPr>
          <w:rFonts w:hint="cs"/>
          <w:rtl/>
        </w:rPr>
        <w:t xml:space="preserve"> </w:t>
      </w:r>
      <w:r>
        <w:rPr>
          <w:rFonts w:hint="cs"/>
          <w:rtl/>
        </w:rPr>
        <w:t>يؤمن بهذه الصفات فهو</w:t>
      </w:r>
      <w:r w:rsidR="000636C2">
        <w:rPr>
          <w:rFonts w:hint="cs"/>
          <w:rtl/>
        </w:rPr>
        <w:t>:</w:t>
      </w:r>
      <w:r>
        <w:rPr>
          <w:rFonts w:hint="cs"/>
          <w:rtl/>
        </w:rPr>
        <w:t xml:space="preserve"> زنديق معتزلي جهمي لا تقبل شهادته ولا يسلم عليه ولا يعاد في مرضه</w:t>
      </w:r>
      <w:r w:rsidR="000636C2">
        <w:rPr>
          <w:rFonts w:hint="cs"/>
          <w:rtl/>
        </w:rPr>
        <w:t>،</w:t>
      </w:r>
      <w:r>
        <w:rPr>
          <w:rFonts w:hint="cs"/>
          <w:rtl/>
        </w:rPr>
        <w:t xml:space="preserve"> ولك انّ تتعجب من حشويته حيث يقول</w:t>
      </w:r>
      <w:r w:rsidR="000636C2">
        <w:rPr>
          <w:rFonts w:hint="cs"/>
          <w:rtl/>
        </w:rPr>
        <w:t>:</w:t>
      </w:r>
      <w:r>
        <w:rPr>
          <w:rFonts w:hint="cs"/>
          <w:rtl/>
        </w:rPr>
        <w:t xml:space="preserve"> </w:t>
      </w:r>
      <w:r w:rsidR="000636C2">
        <w:rPr>
          <w:rFonts w:hint="cs"/>
          <w:rtl/>
        </w:rPr>
        <w:t>(</w:t>
      </w:r>
      <w:r>
        <w:rPr>
          <w:rFonts w:hint="cs"/>
          <w:rtl/>
        </w:rPr>
        <w:t>وليس في قوله</w:t>
      </w:r>
      <w:r w:rsidR="000636C2">
        <w:rPr>
          <w:rFonts w:hint="cs"/>
          <w:rtl/>
        </w:rPr>
        <w:t>:</w:t>
      </w:r>
      <w:r>
        <w:rPr>
          <w:rFonts w:hint="cs"/>
          <w:rtl/>
        </w:rPr>
        <w:t xml:space="preserve"> شاب وأمرد وجعد وقطط وموفور إثبات تشبيه</w:t>
      </w:r>
      <w:r w:rsidR="000636C2">
        <w:rPr>
          <w:rFonts w:hint="cs"/>
          <w:rtl/>
        </w:rPr>
        <w:t>،</w:t>
      </w:r>
      <w:r>
        <w:rPr>
          <w:rFonts w:hint="cs"/>
          <w:rtl/>
        </w:rPr>
        <w:t xml:space="preserve"> لأننا نثبت ذلك تسمية كما جاء الخبر لا نعقل معناها</w:t>
      </w:r>
      <w:r w:rsidR="000636C2">
        <w:rPr>
          <w:rFonts w:hint="cs"/>
          <w:rtl/>
        </w:rPr>
        <w:t>،</w:t>
      </w:r>
      <w:r>
        <w:rPr>
          <w:rFonts w:hint="cs"/>
          <w:rtl/>
        </w:rPr>
        <w:t xml:space="preserve"> كما أثبتنا ذاتا ونفسا</w:t>
      </w:r>
      <w:r w:rsidR="000636C2">
        <w:rPr>
          <w:rFonts w:hint="cs"/>
          <w:rtl/>
        </w:rPr>
        <w:t>،</w:t>
      </w:r>
      <w:r>
        <w:rPr>
          <w:rFonts w:hint="cs"/>
          <w:rtl/>
        </w:rPr>
        <w:t xml:space="preserve"> ولأنه ليس في إثبات الفَرَاش والنعلين والتاج وأخضر أكثر من تقريب المحدث من القديم</w:t>
      </w:r>
      <w:r w:rsidR="000636C2">
        <w:rPr>
          <w:rFonts w:hint="cs"/>
          <w:rtl/>
        </w:rPr>
        <w:t>،</w:t>
      </w:r>
      <w:r>
        <w:rPr>
          <w:rFonts w:hint="cs"/>
          <w:rtl/>
        </w:rPr>
        <w:t xml:space="preserve"> وهذا غير ممتنع كما لم يمتنع وصفه بالجلوس على العرش</w:t>
      </w:r>
      <w:r w:rsidR="000636C2">
        <w:rPr>
          <w:rFonts w:hint="cs"/>
          <w:rtl/>
        </w:rPr>
        <w:t>)،</w:t>
      </w:r>
      <w:r>
        <w:rPr>
          <w:rFonts w:hint="cs"/>
          <w:rtl/>
        </w:rPr>
        <w:t xml:space="preserve"> وذكر عن كعب الأحبار أنه قال</w:t>
      </w:r>
      <w:r w:rsidR="000636C2">
        <w:rPr>
          <w:rFonts w:hint="cs"/>
          <w:rtl/>
        </w:rPr>
        <w:t>:</w:t>
      </w:r>
      <w:r>
        <w:rPr>
          <w:rFonts w:hint="cs"/>
          <w:rtl/>
        </w:rPr>
        <w:t xml:space="preserve"> (</w:t>
      </w:r>
      <w:r w:rsidR="000636C2">
        <w:rPr>
          <w:rFonts w:hint="cs"/>
          <w:rtl/>
        </w:rPr>
        <w:t>(</w:t>
      </w:r>
      <w:r>
        <w:rPr>
          <w:rFonts w:hint="cs"/>
          <w:rtl/>
        </w:rPr>
        <w:t>إن الله تعالى نظر إلى الأرض فقال</w:t>
      </w:r>
      <w:r w:rsidR="000636C2">
        <w:rPr>
          <w:rFonts w:hint="cs"/>
          <w:rtl/>
        </w:rPr>
        <w:t>:</w:t>
      </w:r>
      <w:r>
        <w:rPr>
          <w:rFonts w:hint="cs"/>
          <w:rtl/>
        </w:rPr>
        <w:t xml:space="preserve"> إني واط على بعضك</w:t>
      </w:r>
      <w:r w:rsidR="000636C2">
        <w:rPr>
          <w:rFonts w:hint="cs"/>
          <w:rtl/>
        </w:rPr>
        <w:t>،</w:t>
      </w:r>
      <w:r>
        <w:rPr>
          <w:rFonts w:hint="cs"/>
          <w:rtl/>
        </w:rPr>
        <w:t xml:space="preserve"> فانتسفت إليه الجبال فتضعضعت الصخرة فشكر الله لها ذلك فوضع عليها قدمه</w:t>
      </w:r>
      <w:r w:rsidR="000636C2">
        <w:rPr>
          <w:rFonts w:hint="cs"/>
          <w:rtl/>
        </w:rPr>
        <w:t>)</w:t>
      </w:r>
      <w:r>
        <w:rPr>
          <w:rFonts w:hint="cs"/>
          <w:rtl/>
        </w:rPr>
        <w:t>) اهـ</w:t>
      </w:r>
      <w:r w:rsidR="000636C2">
        <w:rPr>
          <w:rFonts w:hint="cs"/>
          <w:rtl/>
        </w:rPr>
        <w:t>،</w:t>
      </w:r>
      <w:r>
        <w:rPr>
          <w:rFonts w:hint="cs"/>
          <w:rtl/>
        </w:rPr>
        <w:t xml:space="preserve"> ولم يتورع عن إثبات صفات بمثل هذا</w:t>
      </w:r>
      <w:r w:rsidR="000636C2">
        <w:rPr>
          <w:rFonts w:hint="cs"/>
          <w:rtl/>
        </w:rPr>
        <w:t>،</w:t>
      </w:r>
      <w:r>
        <w:rPr>
          <w:rFonts w:hint="cs"/>
          <w:rtl/>
        </w:rPr>
        <w:t xml:space="preserve"> ويستدل بخبر موضوع</w:t>
      </w:r>
      <w:r w:rsidR="000636C2">
        <w:rPr>
          <w:rFonts w:hint="cs"/>
          <w:rtl/>
        </w:rPr>
        <w:t>:</w:t>
      </w:r>
      <w:r>
        <w:rPr>
          <w:rFonts w:hint="cs"/>
          <w:rtl/>
        </w:rPr>
        <w:t xml:space="preserve"> (</w:t>
      </w:r>
      <w:r w:rsidR="000636C2">
        <w:rPr>
          <w:rFonts w:hint="cs"/>
          <w:rtl/>
        </w:rPr>
        <w:t>(</w:t>
      </w:r>
      <w:r>
        <w:rPr>
          <w:rFonts w:hint="cs"/>
          <w:rtl/>
        </w:rPr>
        <w:t>إن الله جل اسمه إذا أراد أن ينـزل نزل بذاته</w:t>
      </w:r>
      <w:r w:rsidR="000636C2">
        <w:rPr>
          <w:rFonts w:hint="cs"/>
          <w:rtl/>
        </w:rPr>
        <w:t>)</w:t>
      </w:r>
      <w:r>
        <w:rPr>
          <w:rFonts w:hint="cs"/>
          <w:rtl/>
        </w:rPr>
        <w:t>) على صفات هبوط الذات الدنو والقرب من الذات</w:t>
      </w:r>
      <w:r w:rsidR="000636C2">
        <w:rPr>
          <w:rFonts w:hint="cs"/>
          <w:rtl/>
        </w:rPr>
        <w:t>،</w:t>
      </w:r>
      <w:r>
        <w:rPr>
          <w:rFonts w:hint="cs"/>
          <w:rtl/>
        </w:rPr>
        <w:t xml:space="preserve"> وأثبت صفات الذراعين والصدر والساعد واستدل لذلك بأثر باطل نصه</w:t>
      </w:r>
      <w:r w:rsidR="000636C2">
        <w:rPr>
          <w:rFonts w:hint="cs"/>
          <w:rtl/>
        </w:rPr>
        <w:t>:</w:t>
      </w:r>
      <w:r>
        <w:rPr>
          <w:rFonts w:hint="cs"/>
          <w:rtl/>
        </w:rPr>
        <w:t xml:space="preserve"> (</w:t>
      </w:r>
      <w:r w:rsidR="000636C2">
        <w:rPr>
          <w:rFonts w:hint="cs"/>
          <w:rtl/>
        </w:rPr>
        <w:t>(</w:t>
      </w:r>
      <w:r>
        <w:rPr>
          <w:rFonts w:hint="cs"/>
          <w:rtl/>
        </w:rPr>
        <w:t>خلق الله الملائكة من نور الذراعين والصدر</w:t>
      </w:r>
      <w:r w:rsidR="000636C2">
        <w:rPr>
          <w:rFonts w:hint="cs"/>
          <w:rtl/>
        </w:rPr>
        <w:t>)</w:t>
      </w:r>
      <w:r>
        <w:rPr>
          <w:rFonts w:hint="cs"/>
          <w:rtl/>
        </w:rPr>
        <w:t>) ثم قال</w:t>
      </w:r>
      <w:r w:rsidR="000636C2">
        <w:rPr>
          <w:rFonts w:hint="cs"/>
          <w:rtl/>
        </w:rPr>
        <w:t>:</w:t>
      </w:r>
      <w:r>
        <w:rPr>
          <w:rFonts w:hint="cs"/>
          <w:rtl/>
        </w:rPr>
        <w:t xml:space="preserve"> (</w:t>
      </w:r>
      <w:r w:rsidR="000636C2">
        <w:rPr>
          <w:rFonts w:hint="cs"/>
          <w:rtl/>
        </w:rPr>
        <w:t>(</w:t>
      </w:r>
      <w:r>
        <w:rPr>
          <w:rFonts w:hint="cs"/>
          <w:rtl/>
        </w:rPr>
        <w:t>الكلام في هذا الخبر في فصلين</w:t>
      </w:r>
      <w:r w:rsidR="000636C2">
        <w:rPr>
          <w:rFonts w:hint="cs"/>
          <w:rtl/>
        </w:rPr>
        <w:t>:</w:t>
      </w:r>
      <w:r>
        <w:rPr>
          <w:rFonts w:hint="cs"/>
          <w:rtl/>
        </w:rPr>
        <w:t xml:space="preserve"> أحدهما في إثبات الذراعين والصدر</w:t>
      </w:r>
      <w:r w:rsidR="000636C2">
        <w:rPr>
          <w:rFonts w:hint="cs"/>
          <w:rtl/>
        </w:rPr>
        <w:t>،</w:t>
      </w:r>
      <w:r>
        <w:rPr>
          <w:rFonts w:hint="cs"/>
          <w:rtl/>
        </w:rPr>
        <w:t xml:space="preserve"> والثاني في خلق الملائكة من نوره</w:t>
      </w:r>
      <w:r w:rsidR="000636C2">
        <w:rPr>
          <w:rFonts w:hint="cs"/>
          <w:rtl/>
        </w:rPr>
        <w:t>)</w:t>
      </w:r>
      <w:r>
        <w:rPr>
          <w:rFonts w:hint="cs"/>
          <w:rtl/>
        </w:rPr>
        <w:t>)</w:t>
      </w:r>
      <w:r w:rsidR="000636C2">
        <w:rPr>
          <w:rFonts w:hint="cs"/>
          <w:rtl/>
        </w:rPr>
        <w:t>،</w:t>
      </w:r>
      <w:r>
        <w:rPr>
          <w:rFonts w:hint="cs"/>
          <w:rtl/>
        </w:rPr>
        <w:t xml:space="preserve"> وأثبت صفة الفخذ بالرواية الباطلة</w:t>
      </w:r>
      <w:r w:rsidR="000636C2">
        <w:rPr>
          <w:rFonts w:hint="cs"/>
          <w:rtl/>
        </w:rPr>
        <w:t>:</w:t>
      </w:r>
      <w:r>
        <w:rPr>
          <w:rFonts w:hint="cs"/>
          <w:rtl/>
        </w:rPr>
        <w:t xml:space="preserve"> (</w:t>
      </w:r>
      <w:r w:rsidR="000636C2">
        <w:rPr>
          <w:rFonts w:hint="cs"/>
          <w:rtl/>
        </w:rPr>
        <w:t>(</w:t>
      </w:r>
      <w:r>
        <w:rPr>
          <w:rFonts w:hint="cs"/>
          <w:rtl/>
        </w:rPr>
        <w:t>إن الله عز وجل ليقرب داود حتى يضع يده على فخذه يقول</w:t>
      </w:r>
      <w:r w:rsidR="000636C2">
        <w:rPr>
          <w:rFonts w:hint="cs"/>
          <w:rtl/>
        </w:rPr>
        <w:t>:</w:t>
      </w:r>
      <w:r>
        <w:rPr>
          <w:rFonts w:hint="cs"/>
          <w:rtl/>
        </w:rPr>
        <w:t xml:space="preserve"> ادن منا أزلفت لدينا</w:t>
      </w:r>
      <w:r w:rsidR="000636C2">
        <w:rPr>
          <w:rFonts w:hint="cs"/>
          <w:rtl/>
        </w:rPr>
        <w:t>)</w:t>
      </w:r>
      <w:r>
        <w:rPr>
          <w:rFonts w:hint="cs"/>
          <w:rtl/>
        </w:rPr>
        <w:t>) وقال</w:t>
      </w:r>
      <w:r w:rsidR="000636C2">
        <w:rPr>
          <w:rFonts w:hint="cs"/>
          <w:rtl/>
        </w:rPr>
        <w:t>:</w:t>
      </w:r>
      <w:r>
        <w:rPr>
          <w:rFonts w:hint="cs"/>
          <w:rtl/>
        </w:rPr>
        <w:t xml:space="preserve"> (</w:t>
      </w:r>
      <w:r w:rsidR="000636C2">
        <w:rPr>
          <w:rFonts w:hint="cs"/>
          <w:rtl/>
        </w:rPr>
        <w:t>(</w:t>
      </w:r>
      <w:r>
        <w:rPr>
          <w:rFonts w:hint="cs"/>
          <w:rtl/>
        </w:rPr>
        <w:t>اعلم أنه غير ممتنع حمل هذا الخبر على ظاهره</w:t>
      </w:r>
      <w:r w:rsidR="000636C2">
        <w:rPr>
          <w:rFonts w:hint="cs"/>
          <w:rtl/>
        </w:rPr>
        <w:t>،</w:t>
      </w:r>
      <w:r>
        <w:rPr>
          <w:rFonts w:hint="cs"/>
          <w:rtl/>
        </w:rPr>
        <w:t xml:space="preserve"> إذ ليس فيه ما يحيل صفاته ولا يخرجها عما تستحقه لأنا لا نثبت قدما وفخذا جارحة ولا أبعاضا</w:t>
      </w:r>
      <w:r w:rsidR="000636C2">
        <w:rPr>
          <w:rFonts w:hint="cs"/>
          <w:rtl/>
        </w:rPr>
        <w:t>،</w:t>
      </w:r>
      <w:r>
        <w:rPr>
          <w:rFonts w:hint="cs"/>
          <w:rtl/>
        </w:rPr>
        <w:t xml:space="preserve"> بل نثبت ذلك صفة كما أثبتنا الذات والوجه واليدين … ولا نثبت أيضا أماما وخلفا على وجه الحد والجهة</w:t>
      </w:r>
      <w:r w:rsidR="000636C2">
        <w:rPr>
          <w:rFonts w:hint="cs"/>
          <w:rtl/>
        </w:rPr>
        <w:t>،</w:t>
      </w:r>
      <w:r>
        <w:rPr>
          <w:rFonts w:hint="cs"/>
          <w:rtl/>
        </w:rPr>
        <w:t xml:space="preserve"> بل نثبت ذلك صفة غير محدودة …</w:t>
      </w:r>
      <w:r w:rsidR="000636C2">
        <w:rPr>
          <w:rFonts w:hint="cs"/>
          <w:rtl/>
        </w:rPr>
        <w:t>)</w:t>
      </w:r>
      <w:r>
        <w:rPr>
          <w:rFonts w:hint="cs"/>
          <w:rtl/>
        </w:rPr>
        <w:t>)</w:t>
      </w:r>
      <w:r w:rsidR="000636C2">
        <w:rPr>
          <w:rFonts w:hint="cs"/>
          <w:rtl/>
        </w:rPr>
        <w:t>،</w:t>
      </w:r>
      <w:r>
        <w:rPr>
          <w:rFonts w:hint="cs"/>
          <w:rtl/>
        </w:rPr>
        <w:t xml:space="preserve"> كما أثبت الحَقْو والإبهام والخنصر والسبابة والتي تليها</w:t>
      </w:r>
      <w:r w:rsidR="000636C2">
        <w:rPr>
          <w:rFonts w:hint="cs"/>
          <w:rtl/>
        </w:rPr>
        <w:t>،</w:t>
      </w:r>
      <w:r>
        <w:rPr>
          <w:rFonts w:hint="cs"/>
          <w:rtl/>
        </w:rPr>
        <w:t xml:space="preserve"> كما أثبت صفات اللهوات والأضراس</w:t>
      </w:r>
      <w:r w:rsidR="000636C2">
        <w:rPr>
          <w:rFonts w:hint="cs"/>
          <w:rtl/>
        </w:rPr>
        <w:t>،</w:t>
      </w:r>
      <w:r>
        <w:rPr>
          <w:rFonts w:hint="cs"/>
          <w:rtl/>
        </w:rPr>
        <w:t xml:space="preserve"> والفم</w:t>
      </w:r>
      <w:r w:rsidR="000636C2">
        <w:rPr>
          <w:rFonts w:hint="cs"/>
          <w:rtl/>
        </w:rPr>
        <w:t>،</w:t>
      </w:r>
      <w:r>
        <w:rPr>
          <w:rFonts w:hint="cs"/>
          <w:rtl/>
        </w:rPr>
        <w:t xml:space="preserve"> بروايات منكرة لا تصح في اثبات شيء في الوضوء</w:t>
      </w:r>
      <w:r w:rsidR="000636C2">
        <w:rPr>
          <w:rFonts w:hint="cs"/>
          <w:rtl/>
        </w:rPr>
        <w:t>،</w:t>
      </w:r>
      <w:r>
        <w:rPr>
          <w:rFonts w:hint="cs"/>
          <w:rtl/>
        </w:rPr>
        <w:t xml:space="preserve"> وهو يثبت بها صفات لله تعالى</w:t>
      </w:r>
      <w:r w:rsidR="000636C2">
        <w:rPr>
          <w:rFonts w:hint="cs"/>
          <w:rtl/>
        </w:rPr>
        <w:t>،</w:t>
      </w:r>
      <w:r>
        <w:rPr>
          <w:rFonts w:hint="cs"/>
          <w:rtl/>
        </w:rPr>
        <w:t xml:space="preserve"> كما أثبت صفات الملل والهجو والاستهزاء والسخرية</w:t>
      </w:r>
      <w:r w:rsidR="000636C2">
        <w:rPr>
          <w:rFonts w:hint="cs"/>
          <w:rtl/>
        </w:rPr>
        <w:t>،</w:t>
      </w:r>
      <w:r>
        <w:rPr>
          <w:rFonts w:hint="cs"/>
          <w:rtl/>
        </w:rPr>
        <w:t xml:space="preserve"> أضف إلى ذلك روايات موضوعة لا تُصدق كرواية عن عبدالله بن الحسين المِصِّيصي قال</w:t>
      </w:r>
      <w:r w:rsidR="000636C2">
        <w:rPr>
          <w:rFonts w:hint="cs"/>
          <w:rtl/>
        </w:rPr>
        <w:t>:</w:t>
      </w:r>
      <w:r>
        <w:rPr>
          <w:rFonts w:hint="cs"/>
          <w:rtl/>
        </w:rPr>
        <w:t xml:space="preserve"> دخلت طَرَسُوسَ</w:t>
      </w:r>
      <w:r w:rsidR="000636C2">
        <w:rPr>
          <w:rFonts w:hint="cs"/>
          <w:rtl/>
        </w:rPr>
        <w:t>،</w:t>
      </w:r>
      <w:r>
        <w:rPr>
          <w:rFonts w:hint="cs"/>
          <w:rtl/>
        </w:rPr>
        <w:t xml:space="preserve"> فقيل لي ههنا امرأة</w:t>
      </w:r>
      <w:r w:rsidR="000636C2">
        <w:rPr>
          <w:rFonts w:hint="cs"/>
          <w:rtl/>
        </w:rPr>
        <w:t xml:space="preserve"> </w:t>
      </w:r>
      <w:r>
        <w:rPr>
          <w:rFonts w:hint="cs"/>
          <w:rtl/>
        </w:rPr>
        <w:t xml:space="preserve">قد رأت الجن الذين وفدوا إلى النبي </w:t>
      </w:r>
      <w:r>
        <w:sym w:font="Traditional Arabic" w:char="F065"/>
      </w:r>
      <w:r w:rsidR="000636C2">
        <w:rPr>
          <w:rtl/>
        </w:rPr>
        <w:t>،</w:t>
      </w:r>
      <w:r>
        <w:rPr>
          <w:rFonts w:hint="cs"/>
          <w:rtl/>
        </w:rPr>
        <w:t xml:space="preserve"> فأتيتها</w:t>
      </w:r>
      <w:r w:rsidR="000636C2">
        <w:rPr>
          <w:rFonts w:hint="cs"/>
          <w:rtl/>
        </w:rPr>
        <w:t>،</w:t>
      </w:r>
      <w:r>
        <w:rPr>
          <w:rFonts w:hint="cs"/>
          <w:rtl/>
        </w:rPr>
        <w:t xml:space="preserve"> فإذا هي امرأة مستلقية على قفاها فقلت</w:t>
      </w:r>
      <w:r w:rsidR="000636C2">
        <w:rPr>
          <w:rFonts w:hint="cs"/>
          <w:rtl/>
        </w:rPr>
        <w:t>:</w:t>
      </w:r>
      <w:r>
        <w:rPr>
          <w:rFonts w:hint="cs"/>
          <w:rtl/>
        </w:rPr>
        <w:t xml:space="preserve"> رأيت أحدا من الجن الذين وفدوا إلى رسول الله </w:t>
      </w:r>
      <w:r>
        <w:sym w:font="Traditional Arabic" w:char="F065"/>
      </w:r>
      <w:r w:rsidR="000636C2">
        <w:rPr>
          <w:rtl/>
        </w:rPr>
        <w:t>؟</w:t>
      </w:r>
      <w:r>
        <w:rPr>
          <w:rFonts w:hint="cs"/>
          <w:rtl/>
        </w:rPr>
        <w:t xml:space="preserve"> قالت</w:t>
      </w:r>
      <w:r w:rsidR="000636C2">
        <w:rPr>
          <w:rFonts w:hint="cs"/>
          <w:rtl/>
        </w:rPr>
        <w:t>:</w:t>
      </w:r>
      <w:r>
        <w:rPr>
          <w:rFonts w:hint="cs"/>
          <w:rtl/>
        </w:rPr>
        <w:t xml:space="preserve"> نعم</w:t>
      </w:r>
      <w:r w:rsidR="000636C2">
        <w:rPr>
          <w:rFonts w:hint="cs"/>
          <w:rtl/>
        </w:rPr>
        <w:t>،</w:t>
      </w:r>
      <w:r>
        <w:rPr>
          <w:rFonts w:hint="cs"/>
          <w:rtl/>
        </w:rPr>
        <w:t xml:space="preserve"> حدثني عبدالله سمحج قال</w:t>
      </w:r>
      <w:r w:rsidR="000636C2">
        <w:rPr>
          <w:rFonts w:hint="cs"/>
          <w:rtl/>
        </w:rPr>
        <w:t>:</w:t>
      </w:r>
      <w:r>
        <w:rPr>
          <w:rFonts w:hint="cs"/>
          <w:rtl/>
        </w:rPr>
        <w:t xml:space="preserve"> قلت</w:t>
      </w:r>
      <w:r w:rsidR="000636C2">
        <w:rPr>
          <w:rFonts w:hint="cs"/>
          <w:rtl/>
        </w:rPr>
        <w:t>:</w:t>
      </w:r>
      <w:r>
        <w:rPr>
          <w:rFonts w:hint="cs"/>
          <w:rtl/>
        </w:rPr>
        <w:t xml:space="preserve"> يا رسول الله</w:t>
      </w:r>
      <w:r w:rsidR="000636C2">
        <w:rPr>
          <w:rFonts w:hint="cs"/>
          <w:rtl/>
        </w:rPr>
        <w:t>،</w:t>
      </w:r>
      <w:r>
        <w:rPr>
          <w:rFonts w:hint="cs"/>
          <w:rtl/>
        </w:rPr>
        <w:t xml:space="preserve"> أين كان ربنا قبل أن يخلق السموات والأرض</w:t>
      </w:r>
      <w:r w:rsidR="000636C2">
        <w:rPr>
          <w:rFonts w:hint="cs"/>
          <w:rtl/>
        </w:rPr>
        <w:t>؟</w:t>
      </w:r>
      <w:r>
        <w:rPr>
          <w:rFonts w:hint="cs"/>
          <w:rtl/>
        </w:rPr>
        <w:t xml:space="preserve"> قال</w:t>
      </w:r>
      <w:r w:rsidR="000636C2">
        <w:rPr>
          <w:rFonts w:hint="cs"/>
          <w:rtl/>
        </w:rPr>
        <w:t>:</w:t>
      </w:r>
      <w:r>
        <w:rPr>
          <w:rFonts w:hint="cs"/>
          <w:rtl/>
        </w:rPr>
        <w:t xml:space="preserve"> </w:t>
      </w:r>
      <w:r w:rsidR="000636C2">
        <w:rPr>
          <w:rFonts w:hint="cs"/>
          <w:rtl/>
        </w:rPr>
        <w:t>(</w:t>
      </w:r>
      <w:r>
        <w:rPr>
          <w:rFonts w:hint="cs"/>
          <w:rtl/>
        </w:rPr>
        <w:t>على حوت من نور يتلجلج في النور</w:t>
      </w:r>
      <w:r w:rsidR="000636C2">
        <w:rPr>
          <w:rFonts w:hint="cs"/>
          <w:rtl/>
        </w:rPr>
        <w:t>)</w:t>
      </w:r>
      <w:r>
        <w:rPr>
          <w:rFonts w:hint="cs"/>
          <w:rtl/>
        </w:rPr>
        <w:t xml:space="preserve"> ..</w:t>
      </w:r>
      <w:r w:rsidR="000636C2">
        <w:rPr>
          <w:rFonts w:hint="cs"/>
          <w:rtl/>
        </w:rPr>
        <w:t>)</w:t>
      </w:r>
      <w:r>
        <w:rPr>
          <w:rFonts w:hint="cs"/>
          <w:rtl/>
        </w:rPr>
        <w:t>)</w:t>
      </w:r>
      <w:r w:rsidR="000636C2">
        <w:rPr>
          <w:rFonts w:hint="cs"/>
          <w:rtl/>
        </w:rPr>
        <w:t>،</w:t>
      </w:r>
      <w:r>
        <w:rPr>
          <w:rFonts w:hint="cs"/>
          <w:rtl/>
        </w:rPr>
        <w:t xml:space="preserve"> فهل بعد ذلك من حشو</w:t>
      </w:r>
      <w:r w:rsidR="000636C2">
        <w:rPr>
          <w:rFonts w:hint="cs"/>
          <w:rtl/>
        </w:rPr>
        <w:t>،</w:t>
      </w:r>
      <w:r>
        <w:rPr>
          <w:rFonts w:hint="cs"/>
          <w:rtl/>
        </w:rPr>
        <w:t xml:space="preserve"> والعجيب أنّ بعض الجهلاء يعتقدون أنّه متخصص </w:t>
      </w:r>
      <w:r>
        <w:rPr>
          <w:rFonts w:hint="cs"/>
          <w:rtl/>
        </w:rPr>
        <w:lastRenderedPageBreak/>
        <w:t>في العقيدة على منهاج أهل السنّة والجماعة</w:t>
      </w:r>
      <w:r w:rsidR="000636C2">
        <w:rPr>
          <w:rFonts w:hint="cs"/>
          <w:rtl/>
        </w:rPr>
        <w:t>،</w:t>
      </w:r>
      <w:r>
        <w:rPr>
          <w:rFonts w:hint="cs"/>
          <w:rtl/>
        </w:rPr>
        <w:t xml:space="preserve"> ووالله إن لم يكن هذا حشو فأين يكون الحشو إذن وهذا ما دعا ابن الجوزي أن يقول عنهم</w:t>
      </w:r>
      <w:r w:rsidR="000636C2">
        <w:rPr>
          <w:rFonts w:hint="cs"/>
          <w:rtl/>
        </w:rPr>
        <w:t>:</w:t>
      </w:r>
      <w:r>
        <w:rPr>
          <w:rFonts w:hint="cs"/>
          <w:rtl/>
        </w:rPr>
        <w:t xml:space="preserve"> (وقال بن حامد</w:t>
      </w:r>
      <w:r w:rsidR="000636C2">
        <w:rPr>
          <w:rFonts w:hint="cs"/>
          <w:rtl/>
        </w:rPr>
        <w:t>:</w:t>
      </w:r>
      <w:r>
        <w:rPr>
          <w:rFonts w:hint="cs"/>
          <w:rtl/>
        </w:rPr>
        <w:t xml:space="preserve"> رأيت بعض أصحابنا يثبتون لله وصفا في ذاته بأنه</w:t>
      </w:r>
      <w:r w:rsidR="000636C2">
        <w:rPr>
          <w:rFonts w:hint="cs"/>
          <w:rtl/>
        </w:rPr>
        <w:t xml:space="preserve"> </w:t>
      </w:r>
      <w:r>
        <w:rPr>
          <w:rFonts w:hint="cs"/>
          <w:rtl/>
        </w:rPr>
        <w:t>يتنفس قال</w:t>
      </w:r>
      <w:r w:rsidR="000636C2">
        <w:rPr>
          <w:rFonts w:hint="cs"/>
          <w:rtl/>
        </w:rPr>
        <w:t>:</w:t>
      </w:r>
      <w:r>
        <w:rPr>
          <w:rFonts w:hint="cs"/>
          <w:rtl/>
        </w:rPr>
        <w:t xml:space="preserve"> وقالوا الرياح الهفافة مثل الرياح العاصفة</w:t>
      </w:r>
      <w:r w:rsidR="000636C2">
        <w:rPr>
          <w:rFonts w:hint="cs"/>
          <w:rtl/>
        </w:rPr>
        <w:t>،</w:t>
      </w:r>
      <w:r>
        <w:rPr>
          <w:rFonts w:hint="cs"/>
          <w:rtl/>
        </w:rPr>
        <w:t xml:space="preserve"> والعقيم والجنوب والشمال والصبا والدبور مخلوقة</w:t>
      </w:r>
      <w:r w:rsidR="000636C2">
        <w:rPr>
          <w:rFonts w:hint="cs"/>
          <w:rtl/>
        </w:rPr>
        <w:t>،</w:t>
      </w:r>
      <w:r>
        <w:rPr>
          <w:rFonts w:hint="cs"/>
          <w:rtl/>
        </w:rPr>
        <w:t xml:space="preserve"> إلا رياحا من صفاته هي ذات نسيم حياتي</w:t>
      </w:r>
      <w:r w:rsidR="000636C2">
        <w:rPr>
          <w:rFonts w:hint="cs"/>
          <w:rtl/>
        </w:rPr>
        <w:t>،</w:t>
      </w:r>
      <w:r>
        <w:rPr>
          <w:rFonts w:hint="cs"/>
          <w:rtl/>
        </w:rPr>
        <w:t xml:space="preserve"> وهي من نفس الرحمن</w:t>
      </w:r>
      <w:r w:rsidR="000636C2">
        <w:rPr>
          <w:rFonts w:hint="cs"/>
          <w:rtl/>
        </w:rPr>
        <w:t>،</w:t>
      </w:r>
      <w:r>
        <w:rPr>
          <w:rFonts w:hint="cs"/>
          <w:rtl/>
        </w:rPr>
        <w:t xml:space="preserve"> </w:t>
      </w:r>
      <w:r w:rsidR="000636C2">
        <w:rPr>
          <w:rFonts w:hint="cs"/>
          <w:rtl/>
        </w:rPr>
        <w:t>(</w:t>
      </w:r>
      <w:r>
        <w:rPr>
          <w:rFonts w:hint="cs"/>
          <w:rtl/>
        </w:rPr>
        <w:t>قلت</w:t>
      </w:r>
      <w:r w:rsidR="000636C2">
        <w:rPr>
          <w:rFonts w:hint="cs"/>
          <w:rtl/>
        </w:rPr>
        <w:t>):</w:t>
      </w:r>
      <w:r>
        <w:rPr>
          <w:rFonts w:hint="cs"/>
          <w:rtl/>
        </w:rPr>
        <w:t xml:space="preserve"> علي من يعتقد هذه اللعنة</w:t>
      </w:r>
      <w:r w:rsidR="000636C2">
        <w:rPr>
          <w:rFonts w:hint="cs"/>
          <w:rtl/>
        </w:rPr>
        <w:t>،</w:t>
      </w:r>
      <w:r>
        <w:rPr>
          <w:rFonts w:hint="cs"/>
          <w:rtl/>
        </w:rPr>
        <w:t xml:space="preserve"> لأنه يثبت جسدا مخلوقا وما هؤلاء بمسلمين</w:t>
      </w:r>
      <w:r w:rsidR="000636C2">
        <w:rPr>
          <w:rFonts w:hint="cs"/>
          <w:rtl/>
        </w:rPr>
        <w:t>)</w:t>
      </w:r>
      <w:r>
        <w:rPr>
          <w:rFonts w:hint="cs"/>
          <w:rtl/>
        </w:rPr>
        <w:t xml:space="preserve"> أهـ </w:t>
      </w:r>
      <w:r w:rsidR="000636C2">
        <w:rPr>
          <w:rFonts w:hint="cs"/>
          <w:rtl/>
        </w:rPr>
        <w:t>[</w:t>
      </w:r>
      <w:r>
        <w:rPr>
          <w:rFonts w:hint="cs"/>
          <w:rtl/>
        </w:rPr>
        <w:t>الباز الأشهب ص 66</w:t>
      </w:r>
      <w:r w:rsidR="000636C2">
        <w:rPr>
          <w:rFonts w:hint="cs"/>
          <w:rtl/>
        </w:rPr>
        <w:t>]،</w:t>
      </w:r>
      <w:r>
        <w:rPr>
          <w:rFonts w:hint="cs"/>
          <w:rtl/>
        </w:rPr>
        <w:t xml:space="preserve"> ولله دره قاتلهم الله ما أجهلهم بما يستحيل نسبته إلى الرحمن</w:t>
      </w:r>
      <w:r w:rsidR="000636C2">
        <w:rPr>
          <w:rFonts w:hint="cs"/>
          <w:rtl/>
        </w:rPr>
        <w:t>،</w:t>
      </w:r>
      <w:r>
        <w:rPr>
          <w:rFonts w:hint="cs"/>
          <w:rtl/>
        </w:rPr>
        <w:t xml:space="preserve"> ولو تعلموا أصول العقيدة وقواعد التنزيه ما كان هذا حالهم</w:t>
      </w:r>
      <w:r w:rsidR="000636C2">
        <w:rPr>
          <w:rFonts w:hint="cs"/>
          <w:rtl/>
        </w:rPr>
        <w:t>،</w:t>
      </w:r>
      <w:r>
        <w:rPr>
          <w:rFonts w:hint="cs"/>
          <w:rtl/>
        </w:rPr>
        <w:t xml:space="preserve"> وليس العجب من هؤلاء الذين كما قال فيهم العلامة القرشي التيمي ابن الجوزي</w:t>
      </w:r>
      <w:r w:rsidR="000636C2">
        <w:rPr>
          <w:rFonts w:hint="cs"/>
          <w:rtl/>
        </w:rPr>
        <w:t>:</w:t>
      </w:r>
      <w:r>
        <w:rPr>
          <w:rFonts w:hint="cs"/>
          <w:rtl/>
        </w:rPr>
        <w:t xml:space="preserve"> (فلا تدخلوا في مذهب هذا الرجل الصالح السلفي </w:t>
      </w:r>
      <w:r w:rsidR="000636C2">
        <w:rPr>
          <w:rFonts w:hint="cs"/>
          <w:rtl/>
        </w:rPr>
        <w:t>[</w:t>
      </w:r>
      <w:r>
        <w:rPr>
          <w:rFonts w:hint="cs"/>
          <w:rtl/>
        </w:rPr>
        <w:t>أحمد بن حنبل</w:t>
      </w:r>
      <w:r w:rsidR="000636C2">
        <w:rPr>
          <w:rFonts w:hint="cs"/>
          <w:rtl/>
        </w:rPr>
        <w:t>]</w:t>
      </w:r>
      <w:r>
        <w:rPr>
          <w:rFonts w:hint="cs"/>
          <w:rtl/>
        </w:rPr>
        <w:t xml:space="preserve"> ما ليس فيه</w:t>
      </w:r>
      <w:r w:rsidR="000636C2">
        <w:rPr>
          <w:rFonts w:hint="cs"/>
          <w:rtl/>
        </w:rPr>
        <w:t>،</w:t>
      </w:r>
      <w:r>
        <w:rPr>
          <w:rFonts w:hint="cs"/>
          <w:rtl/>
        </w:rPr>
        <w:t xml:space="preserve"> ولقد كسيتم هذا المذهب شيئا قبيحا حتى لا يقال حنبلي إلا مجسم</w:t>
      </w:r>
      <w:r w:rsidR="000636C2">
        <w:rPr>
          <w:rFonts w:hint="cs"/>
          <w:rtl/>
        </w:rPr>
        <w:t>،</w:t>
      </w:r>
      <w:r>
        <w:rPr>
          <w:rFonts w:hint="cs"/>
          <w:rtl/>
        </w:rPr>
        <w:t xml:space="preserve"> ثم زينتم مذهبكم بالعصبية ليزيد بن معاوية</w:t>
      </w:r>
      <w:r w:rsidR="000636C2">
        <w:rPr>
          <w:rFonts w:hint="cs"/>
          <w:rtl/>
        </w:rPr>
        <w:t>،</w:t>
      </w:r>
      <w:r>
        <w:rPr>
          <w:rFonts w:hint="cs"/>
          <w:rtl/>
        </w:rPr>
        <w:t xml:space="preserve"> ولقد علمتم أن صاحب المذهب أجاز لعنته</w:t>
      </w:r>
      <w:r w:rsidR="000636C2">
        <w:rPr>
          <w:rFonts w:hint="cs"/>
          <w:rtl/>
        </w:rPr>
        <w:t>،</w:t>
      </w:r>
      <w:r>
        <w:rPr>
          <w:rFonts w:hint="cs"/>
          <w:rtl/>
        </w:rPr>
        <w:t xml:space="preserve"> وقد كان أبو محمد التميمي يقول في بعض أئمتكم</w:t>
      </w:r>
      <w:r w:rsidR="000636C2">
        <w:rPr>
          <w:rFonts w:hint="cs"/>
          <w:rtl/>
        </w:rPr>
        <w:t>:</w:t>
      </w:r>
      <w:r>
        <w:rPr>
          <w:rFonts w:hint="cs"/>
          <w:rtl/>
        </w:rPr>
        <w:t xml:space="preserve"> لقد شان هذا المذهب شيئا قبيحا لا يغسل الى يوم القيامة</w:t>
      </w:r>
      <w:r w:rsidR="000636C2">
        <w:rPr>
          <w:rFonts w:hint="cs"/>
          <w:rtl/>
        </w:rPr>
        <w:t>)</w:t>
      </w:r>
      <w:r>
        <w:rPr>
          <w:rFonts w:hint="cs"/>
          <w:rtl/>
        </w:rPr>
        <w:t xml:space="preserve"> أهـ </w:t>
      </w:r>
      <w:r w:rsidR="000636C2">
        <w:rPr>
          <w:rFonts w:hint="cs"/>
          <w:rtl/>
        </w:rPr>
        <w:t>[</w:t>
      </w:r>
      <w:r>
        <w:rPr>
          <w:rFonts w:hint="cs"/>
          <w:rtl/>
        </w:rPr>
        <w:t>الباز الأشهب ص 4</w:t>
      </w:r>
      <w:r w:rsidR="000636C2">
        <w:rPr>
          <w:rFonts w:hint="cs"/>
          <w:rtl/>
        </w:rPr>
        <w:t>]،</w:t>
      </w:r>
      <w:r>
        <w:rPr>
          <w:rFonts w:hint="cs"/>
          <w:bCs/>
          <w:rtl/>
        </w:rPr>
        <w:t xml:space="preserve"> </w:t>
      </w:r>
      <w:r w:rsidR="000636C2">
        <w:rPr>
          <w:rFonts w:hint="cs"/>
          <w:bCs/>
          <w:rtl/>
        </w:rPr>
        <w:t>(</w:t>
      </w:r>
      <w:r>
        <w:rPr>
          <w:rFonts w:hint="cs"/>
          <w:bCs/>
          <w:rtl/>
        </w:rPr>
        <w:t>قلت</w:t>
      </w:r>
      <w:r w:rsidR="000636C2">
        <w:rPr>
          <w:rFonts w:hint="cs"/>
          <w:bCs/>
          <w:rtl/>
        </w:rPr>
        <w:t>):</w:t>
      </w:r>
      <w:r>
        <w:rPr>
          <w:rFonts w:hint="cs"/>
          <w:bCs/>
          <w:rtl/>
        </w:rPr>
        <w:t xml:space="preserve"> </w:t>
      </w:r>
      <w:r>
        <w:rPr>
          <w:rFonts w:hint="cs"/>
          <w:rtl/>
        </w:rPr>
        <w:t>وسياتي بيان حقيقة الحشوية ومخازيهم في قاعدة</w:t>
      </w:r>
      <w:r w:rsidR="000636C2">
        <w:rPr>
          <w:rFonts w:hint="cs"/>
          <w:rtl/>
          <w:lang w:bidi="ar-KW"/>
        </w:rPr>
        <w:t>:</w:t>
      </w:r>
      <w:r>
        <w:rPr>
          <w:rFonts w:hint="cs"/>
          <w:rtl/>
          <w:lang w:bidi="ar-KW"/>
        </w:rPr>
        <w:t xml:space="preserve"> تطهير السلفية المعاصرة من أدران الحشو والتجسيم</w:t>
      </w:r>
    </w:p>
    <w:p w14:paraId="1BECC103" w14:textId="77777777" w:rsidR="009C32A0" w:rsidRPr="005675B2" w:rsidRDefault="009C32A0" w:rsidP="000636C2">
      <w:pPr>
        <w:jc w:val="center"/>
        <w:rPr>
          <w:b/>
          <w:rtl/>
        </w:rPr>
      </w:pPr>
      <w:r>
        <w:rPr>
          <w:rFonts w:hint="cs"/>
          <w:rtl/>
        </w:rPr>
        <w:t>***</w:t>
      </w:r>
    </w:p>
    <w:p w14:paraId="64B54D9B" w14:textId="77777777" w:rsidR="009C32A0" w:rsidRDefault="009C32A0" w:rsidP="000636C2">
      <w:pPr>
        <w:rPr>
          <w:b/>
          <w:rtl/>
        </w:rPr>
      </w:pPr>
    </w:p>
    <w:p w14:paraId="1A6F1205" w14:textId="77777777" w:rsidR="009C32A0" w:rsidRDefault="009C32A0" w:rsidP="000636C2">
      <w:pPr>
        <w:rPr>
          <w:b/>
          <w:rtl/>
        </w:rPr>
      </w:pPr>
    </w:p>
    <w:p w14:paraId="32131412" w14:textId="77777777" w:rsidR="009C32A0" w:rsidRDefault="009C32A0" w:rsidP="000636C2">
      <w:pPr>
        <w:rPr>
          <w:b/>
          <w:rtl/>
        </w:rPr>
      </w:pPr>
    </w:p>
    <w:p w14:paraId="20F5D09B" w14:textId="77777777" w:rsidR="009C32A0" w:rsidRPr="005675B2" w:rsidRDefault="009C32A0" w:rsidP="000636C2">
      <w:pPr>
        <w:rPr>
          <w:b/>
          <w:rtl/>
        </w:rPr>
      </w:pPr>
    </w:p>
    <w:p w14:paraId="585CFAFF" w14:textId="466A9790" w:rsidR="009C32A0" w:rsidRPr="00306AAB" w:rsidRDefault="009C32A0" w:rsidP="00306AAB">
      <w:pPr>
        <w:pStyle w:val="1"/>
        <w:rPr>
          <w:u w:val="none"/>
          <w:rtl/>
          <w:lang w:bidi="ar-KW"/>
        </w:rPr>
      </w:pPr>
      <w:r w:rsidRPr="00306AAB">
        <w:rPr>
          <w:rFonts w:hint="cs"/>
          <w:u w:val="none"/>
          <w:rtl/>
          <w:lang w:bidi="ar-KW"/>
        </w:rPr>
        <w:lastRenderedPageBreak/>
        <w:t>مدخل ثان</w:t>
      </w:r>
      <w:r w:rsidR="00306AAB" w:rsidRPr="00306AAB">
        <w:rPr>
          <w:u w:val="none"/>
          <w:lang w:bidi="ar-KW"/>
        </w:rPr>
        <w:t xml:space="preserve"> </w:t>
      </w:r>
      <w:r w:rsidRPr="00306AAB">
        <w:rPr>
          <w:rFonts w:hint="cs"/>
          <w:u w:val="none"/>
          <w:rtl/>
          <w:lang w:bidi="ar-KW"/>
        </w:rPr>
        <w:t>بيان فضل الأشاعرة والماتريدية وأنّه</w:t>
      </w:r>
      <w:r w:rsidR="00306AAB" w:rsidRPr="00306AAB">
        <w:rPr>
          <w:u w:val="none"/>
          <w:lang w:bidi="ar-KW"/>
        </w:rPr>
        <w:t xml:space="preserve"> </w:t>
      </w:r>
      <w:r w:rsidRPr="00306AAB">
        <w:rPr>
          <w:rFonts w:hint="cs"/>
          <w:u w:val="none"/>
          <w:rtl/>
          <w:lang w:bidi="ar-KW"/>
        </w:rPr>
        <w:t>هم المتخصصون في العقيدة على منهاج أهل السنّة</w:t>
      </w:r>
    </w:p>
    <w:p w14:paraId="1CC6722F" w14:textId="77777777" w:rsidR="009C32A0" w:rsidRPr="005675B2" w:rsidRDefault="009C32A0" w:rsidP="000636C2">
      <w:pPr>
        <w:rPr>
          <w:b/>
          <w:rtl/>
        </w:rPr>
      </w:pPr>
    </w:p>
    <w:p w14:paraId="04173B23" w14:textId="6E2F25B9" w:rsidR="009C32A0" w:rsidRDefault="009C32A0" w:rsidP="000636C2">
      <w:pPr>
        <w:ind w:left="-58"/>
        <w:rPr>
          <w:b/>
          <w:lang w:bidi="ar-KW"/>
        </w:rPr>
      </w:pPr>
      <w:r>
        <w:rPr>
          <w:rFonts w:hint="cs"/>
          <w:rtl/>
          <w:lang w:bidi="ar-KW"/>
        </w:rPr>
        <w:t xml:space="preserve">المقصود بالجانب السني هم </w:t>
      </w:r>
      <w:r w:rsidR="000636C2">
        <w:rPr>
          <w:rFonts w:hint="cs"/>
          <w:rtl/>
          <w:lang w:bidi="ar-KW"/>
        </w:rPr>
        <w:t>(</w:t>
      </w:r>
      <w:r>
        <w:rPr>
          <w:rFonts w:hint="cs"/>
          <w:rtl/>
          <w:lang w:bidi="ar-KW"/>
        </w:rPr>
        <w:t>الأثرية والأشاعرة والماتريدية</w:t>
      </w:r>
      <w:r w:rsidR="000636C2">
        <w:rPr>
          <w:rFonts w:hint="cs"/>
          <w:rtl/>
          <w:lang w:bidi="ar-KW"/>
        </w:rPr>
        <w:t>)</w:t>
      </w:r>
      <w:r>
        <w:rPr>
          <w:rFonts w:hint="cs"/>
          <w:rtl/>
          <w:lang w:bidi="ar-KW"/>
        </w:rPr>
        <w:t xml:space="preserve"> وهم كما سيأتي</w:t>
      </w:r>
      <w:r w:rsidR="000636C2">
        <w:rPr>
          <w:rFonts w:hint="cs"/>
          <w:rtl/>
          <w:lang w:bidi="ar-KW"/>
        </w:rPr>
        <w:t xml:space="preserve"> </w:t>
      </w:r>
      <w:r>
        <w:rPr>
          <w:rFonts w:hint="cs"/>
          <w:rtl/>
          <w:lang w:bidi="ar-KW"/>
        </w:rPr>
        <w:t>امتداد السلف</w:t>
      </w:r>
      <w:r w:rsidR="000636C2">
        <w:rPr>
          <w:rFonts w:hint="cs"/>
          <w:rtl/>
          <w:lang w:bidi="ar-KW"/>
        </w:rPr>
        <w:t>،</w:t>
      </w:r>
      <w:r>
        <w:rPr>
          <w:rFonts w:hint="cs"/>
          <w:rtl/>
          <w:lang w:bidi="ar-KW"/>
        </w:rPr>
        <w:t xml:space="preserve"> وحملة لواء عقيدة أهل السنة والجماعة</w:t>
      </w:r>
      <w:r w:rsidR="000636C2">
        <w:rPr>
          <w:rFonts w:hint="cs"/>
          <w:rtl/>
          <w:lang w:bidi="ar-KW"/>
        </w:rPr>
        <w:t>،</w:t>
      </w:r>
      <w:r>
        <w:rPr>
          <w:rFonts w:hint="cs"/>
          <w:rtl/>
          <w:lang w:bidi="ar-KW"/>
        </w:rPr>
        <w:t xml:space="preserve"> والواقفون على ثغور الدفاع عن عقائد الإسلام أمام الفرق الضالة جميعها</w:t>
      </w:r>
      <w:r w:rsidR="000636C2">
        <w:rPr>
          <w:rFonts w:hint="cs"/>
          <w:rtl/>
          <w:lang w:bidi="ar-KW"/>
        </w:rPr>
        <w:t>،</w:t>
      </w:r>
      <w:r>
        <w:rPr>
          <w:rFonts w:hint="cs"/>
          <w:rtl/>
          <w:lang w:bidi="ar-KW"/>
        </w:rPr>
        <w:t xml:space="preserve"> وهم يمثلون أغلبية علماء أهل السنة على مر عصور الإسلام</w:t>
      </w:r>
      <w:r w:rsidR="000636C2">
        <w:rPr>
          <w:rFonts w:hint="cs"/>
          <w:rtl/>
          <w:lang w:bidi="ar-KW"/>
        </w:rPr>
        <w:t>،</w:t>
      </w:r>
      <w:r>
        <w:rPr>
          <w:rFonts w:hint="cs"/>
          <w:rtl/>
          <w:lang w:bidi="ar-KW"/>
        </w:rPr>
        <w:t xml:space="preserve"> لا يعرف قدرهم إلا عالم بالله وبدين الله ولا ينتقصهم إلا جاهل بأمرهم وقدرهم في دين الله تعالى أو مبتدع ضال</w:t>
      </w:r>
      <w:r w:rsidR="000636C2">
        <w:rPr>
          <w:rFonts w:hint="cs"/>
          <w:rtl/>
          <w:lang w:bidi="ar-KW"/>
        </w:rPr>
        <w:t>،</w:t>
      </w:r>
      <w:r>
        <w:rPr>
          <w:rFonts w:hint="cs"/>
          <w:rtl/>
          <w:lang w:bidi="ar-KW"/>
        </w:rPr>
        <w:t xml:space="preserve"> أو جاهل بقواعد التقديس والتنزيه المستمدة من الكتاب والسنة</w:t>
      </w:r>
      <w:r w:rsidR="000636C2">
        <w:rPr>
          <w:rFonts w:hint="cs"/>
          <w:rtl/>
          <w:lang w:bidi="ar-KW"/>
        </w:rPr>
        <w:t>،</w:t>
      </w:r>
      <w:r>
        <w:rPr>
          <w:rFonts w:hint="cs"/>
          <w:rtl/>
          <w:lang w:bidi="ar-KW"/>
        </w:rPr>
        <w:t xml:space="preserve"> ثم كيف يعقل أن لا يكونوا ضمن إطار أهل السنة</w:t>
      </w:r>
      <w:r w:rsidR="000636C2">
        <w:rPr>
          <w:rFonts w:hint="cs"/>
          <w:rtl/>
          <w:lang w:bidi="ar-KW"/>
        </w:rPr>
        <w:t>،</w:t>
      </w:r>
      <w:r>
        <w:rPr>
          <w:rFonts w:hint="cs"/>
          <w:rtl/>
          <w:lang w:bidi="ar-KW"/>
        </w:rPr>
        <w:t xml:space="preserve"> وهم من بينوا إطاره</w:t>
      </w:r>
      <w:r w:rsidR="000636C2">
        <w:rPr>
          <w:rFonts w:hint="cs"/>
          <w:rtl/>
          <w:lang w:bidi="ar-KW"/>
        </w:rPr>
        <w:t>،</w:t>
      </w:r>
      <w:r>
        <w:rPr>
          <w:rFonts w:hint="cs"/>
          <w:rtl/>
          <w:lang w:bidi="ar-KW"/>
        </w:rPr>
        <w:t xml:space="preserve"> ووضحوا أسسه وقواعده</w:t>
      </w:r>
      <w:r w:rsidR="000636C2">
        <w:rPr>
          <w:rFonts w:hint="cs"/>
          <w:rtl/>
          <w:lang w:bidi="ar-KW"/>
        </w:rPr>
        <w:t>،</w:t>
      </w:r>
      <w:r>
        <w:rPr>
          <w:rFonts w:hint="cs"/>
          <w:rtl/>
          <w:lang w:bidi="ar-KW"/>
        </w:rPr>
        <w:t xml:space="preserve"> فإلى الله المشتكى من جهل هؤلاء الذين تكلموا في حقهم وهم يجهلون موقعهم من دين الله </w:t>
      </w:r>
    </w:p>
    <w:p w14:paraId="0A4471D4" w14:textId="77777777" w:rsidR="009C32A0" w:rsidRDefault="009C32A0" w:rsidP="000636C2">
      <w:pPr>
        <w:ind w:left="-58"/>
        <w:jc w:val="center"/>
        <w:rPr>
          <w:b/>
          <w:rtl/>
          <w:lang w:bidi="ar-KW"/>
        </w:rPr>
      </w:pPr>
      <w:r>
        <w:rPr>
          <w:rFonts w:hint="cs"/>
          <w:rtl/>
          <w:lang w:bidi="ar-KW"/>
        </w:rPr>
        <w:t>***</w:t>
      </w:r>
    </w:p>
    <w:p w14:paraId="7ECF89C2" w14:textId="77777777" w:rsidR="009C32A0" w:rsidRDefault="009C32A0" w:rsidP="000636C2">
      <w:pPr>
        <w:ind w:left="-58"/>
        <w:jc w:val="center"/>
        <w:rPr>
          <w:b/>
          <w:bCs/>
          <w:rtl/>
          <w:lang w:bidi="ar-KW"/>
        </w:rPr>
      </w:pPr>
      <w:r>
        <w:rPr>
          <w:rFonts w:cs="Monotype Koufi" w:hint="cs"/>
          <w:rtl/>
        </w:rPr>
        <w:t xml:space="preserve">الأثرية والأشاعرة والماتريدية هم أهل السنة والجماعة في باب العقيدة </w:t>
      </w:r>
    </w:p>
    <w:p w14:paraId="7AE4DD12" w14:textId="62D4CFD5" w:rsidR="009C32A0" w:rsidRDefault="009C32A0" w:rsidP="000636C2">
      <w:pPr>
        <w:ind w:left="-58"/>
        <w:rPr>
          <w:b/>
          <w:bCs/>
          <w:i/>
          <w:iCs/>
          <w:rtl/>
        </w:rPr>
      </w:pPr>
      <w:r>
        <w:rPr>
          <w:rFonts w:hint="cs"/>
          <w:rtl/>
          <w:lang w:bidi="ar-KW"/>
        </w:rPr>
        <w:t xml:space="preserve">على مر عصور الإسلام وقرونه المتتالية كان مصطلح </w:t>
      </w:r>
      <w:r w:rsidR="000636C2">
        <w:rPr>
          <w:rFonts w:hint="cs"/>
          <w:rtl/>
          <w:lang w:bidi="ar-KW"/>
        </w:rPr>
        <w:t>(</w:t>
      </w:r>
      <w:r>
        <w:rPr>
          <w:rFonts w:hint="cs"/>
          <w:rtl/>
          <w:lang w:bidi="ar-KW"/>
        </w:rPr>
        <w:t>أهل السنة والجماعة</w:t>
      </w:r>
      <w:r w:rsidR="000636C2">
        <w:rPr>
          <w:rFonts w:hint="cs"/>
          <w:rtl/>
          <w:lang w:bidi="ar-KW"/>
        </w:rPr>
        <w:t>)</w:t>
      </w:r>
      <w:r>
        <w:rPr>
          <w:rFonts w:hint="cs"/>
          <w:rtl/>
          <w:lang w:bidi="ar-KW"/>
        </w:rPr>
        <w:t xml:space="preserve"> إذا أطلق فالمراد بهم أصحاب الحديث </w:t>
      </w:r>
      <w:r w:rsidR="000636C2">
        <w:rPr>
          <w:rFonts w:hint="cs"/>
          <w:rtl/>
          <w:lang w:bidi="ar-KW"/>
        </w:rPr>
        <w:t>(</w:t>
      </w:r>
      <w:r>
        <w:rPr>
          <w:rFonts w:hint="cs"/>
          <w:rtl/>
          <w:lang w:bidi="ar-KW"/>
        </w:rPr>
        <w:t>أهل الأثر</w:t>
      </w:r>
      <w:r w:rsidR="000636C2">
        <w:rPr>
          <w:rFonts w:hint="cs"/>
          <w:rtl/>
          <w:lang w:bidi="ar-KW"/>
        </w:rPr>
        <w:t>)،</w:t>
      </w:r>
      <w:r>
        <w:rPr>
          <w:rFonts w:hint="cs"/>
          <w:rtl/>
          <w:lang w:bidi="ar-KW"/>
        </w:rPr>
        <w:t xml:space="preserve"> والأشاعرة</w:t>
      </w:r>
      <w:r w:rsidR="000636C2">
        <w:rPr>
          <w:rFonts w:hint="cs"/>
          <w:rtl/>
          <w:lang w:bidi="ar-KW"/>
        </w:rPr>
        <w:t>،</w:t>
      </w:r>
      <w:r>
        <w:rPr>
          <w:rFonts w:hint="cs"/>
          <w:rtl/>
          <w:lang w:bidi="ar-KW"/>
        </w:rPr>
        <w:t xml:space="preserve"> والماتريدية</w:t>
      </w:r>
      <w:r w:rsidR="000636C2">
        <w:rPr>
          <w:rFonts w:hint="cs"/>
          <w:rtl/>
          <w:lang w:bidi="ar-KW"/>
        </w:rPr>
        <w:t>،</w:t>
      </w:r>
      <w:r>
        <w:rPr>
          <w:rFonts w:hint="cs"/>
          <w:rtl/>
          <w:lang w:bidi="ar-KW"/>
        </w:rPr>
        <w:t xml:space="preserve"> ومجموعهم هم سواد الأمة الذين لا يجتمعون على ضلالة كما جاء في الحديث المشهور </w:t>
      </w:r>
      <w:r>
        <w:rPr>
          <w:rFonts w:hint="cs"/>
          <w:bCs/>
          <w:rtl/>
          <w:lang w:bidi="ar-KW"/>
        </w:rPr>
        <w:t>(لا تجتمع أمتـي علـى الضلالة</w:t>
      </w:r>
      <w:r>
        <w:rPr>
          <w:rFonts w:hint="cs"/>
          <w:rtl/>
          <w:lang w:bidi="ar-KW"/>
        </w:rPr>
        <w:t>)</w:t>
      </w:r>
      <w:r w:rsidR="000636C2">
        <w:rPr>
          <w:rFonts w:hint="cs"/>
          <w:rtl/>
          <w:lang w:bidi="ar-KW"/>
        </w:rPr>
        <w:t xml:space="preserve"> </w:t>
      </w:r>
      <w:r>
        <w:rPr>
          <w:rFonts w:hint="cs"/>
          <w:rtl/>
          <w:lang w:bidi="ar-KW"/>
        </w:rPr>
        <w:t>[</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0636C2">
        <w:rPr>
          <w:rFonts w:hint="cs"/>
          <w:rtl/>
        </w:rPr>
        <w:t>]</w:t>
      </w:r>
      <w:r w:rsidR="000636C2">
        <w:rPr>
          <w:rFonts w:hint="cs"/>
          <w:bCs/>
          <w:rtl/>
          <w:lang w:bidi="ar-KW"/>
        </w:rPr>
        <w:t>،</w:t>
      </w:r>
      <w:r>
        <w:rPr>
          <w:rFonts w:hint="cs"/>
          <w:bCs/>
          <w:rtl/>
          <w:lang w:bidi="ar-KW"/>
        </w:rPr>
        <w:t xml:space="preserve"> قال العلامة السفاريني الحنبلي</w:t>
      </w:r>
      <w:r w:rsidR="000636C2">
        <w:rPr>
          <w:rFonts w:hint="cs"/>
          <w:rtl/>
          <w:lang w:bidi="ar-KW"/>
        </w:rPr>
        <w:t>:</w:t>
      </w:r>
      <w:r>
        <w:rPr>
          <w:rFonts w:hint="cs"/>
          <w:rtl/>
          <w:lang w:bidi="ar-KW"/>
        </w:rPr>
        <w:t xml:space="preserve"> " أهل السنة والجماعة ثلاث فرق</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الأثرية</w:t>
      </w:r>
      <w:r w:rsidR="000636C2">
        <w:rPr>
          <w:rFonts w:hint="cs"/>
          <w:rtl/>
          <w:lang w:bidi="ar-KW"/>
        </w:rPr>
        <w:t>)</w:t>
      </w:r>
      <w:r>
        <w:rPr>
          <w:rFonts w:hint="cs"/>
          <w:rtl/>
          <w:lang w:bidi="ar-KW"/>
        </w:rPr>
        <w:t>، وإمامهم أحمد بن حنبل رضي الله عنه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الأشعرية</w:t>
      </w:r>
      <w:r w:rsidR="000636C2">
        <w:rPr>
          <w:rFonts w:hint="cs"/>
          <w:rtl/>
          <w:lang w:bidi="ar-KW"/>
        </w:rPr>
        <w:t>)،</w:t>
      </w:r>
      <w:r>
        <w:rPr>
          <w:rFonts w:hint="cs"/>
          <w:rtl/>
          <w:lang w:bidi="ar-KW"/>
        </w:rPr>
        <w:t xml:space="preserve"> وإمامهم أبو الحسن الأشعري رحمه الله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الماتريدية</w:t>
      </w:r>
      <w:r w:rsidR="000636C2">
        <w:rPr>
          <w:rFonts w:hint="cs"/>
          <w:rtl/>
          <w:lang w:bidi="ar-KW"/>
        </w:rPr>
        <w:t>)،</w:t>
      </w:r>
      <w:r>
        <w:rPr>
          <w:rFonts w:hint="cs"/>
          <w:rtl/>
          <w:lang w:bidi="ar-KW"/>
        </w:rPr>
        <w:t xml:space="preserve"> وإمامهم أبو منصور الماتريدي رحمه الله تعالى " اهـ. </w:t>
      </w:r>
      <w:r w:rsidR="000636C2">
        <w:rPr>
          <w:rFonts w:hint="cs"/>
          <w:rtl/>
          <w:lang w:bidi="ar-KW"/>
        </w:rPr>
        <w:t>[</w:t>
      </w:r>
      <w:r>
        <w:rPr>
          <w:rFonts w:hint="cs"/>
          <w:rtl/>
          <w:lang w:bidi="ar-KW"/>
        </w:rPr>
        <w:t>لوامع الأنوار البهية 1 / 73</w:t>
      </w:r>
      <w:r w:rsidR="000636C2">
        <w:rPr>
          <w:rFonts w:hint="cs"/>
          <w:rtl/>
          <w:lang w:bidi="ar-KW"/>
        </w:rPr>
        <w:t>]،</w:t>
      </w:r>
      <w:r>
        <w:rPr>
          <w:rFonts w:hint="cs"/>
          <w:rtl/>
          <w:lang w:bidi="ar-KW"/>
        </w:rPr>
        <w:t xml:space="preserve"> </w:t>
      </w:r>
      <w:r>
        <w:rPr>
          <w:rFonts w:hint="cs"/>
          <w:bCs/>
          <w:rtl/>
          <w:lang w:bidi="ar-KW"/>
        </w:rPr>
        <w:t>وقال العـلامة ابن الشطي الحنبلي</w:t>
      </w:r>
      <w:r w:rsidR="000636C2">
        <w:rPr>
          <w:rFonts w:hint="cs"/>
          <w:rtl/>
          <w:lang w:bidi="ar-KW"/>
        </w:rPr>
        <w:t>:</w:t>
      </w:r>
      <w:r>
        <w:rPr>
          <w:rFonts w:hint="cs"/>
          <w:rtl/>
          <w:lang w:bidi="ar-KW"/>
        </w:rPr>
        <w:t xml:space="preserve"> " أهل السنة والجماعة ثلاث فرق، </w:t>
      </w:r>
      <w:r w:rsidR="000636C2">
        <w:rPr>
          <w:rFonts w:hint="cs"/>
          <w:rtl/>
          <w:lang w:bidi="ar-KW"/>
        </w:rPr>
        <w:t>(</w:t>
      </w:r>
      <w:r>
        <w:rPr>
          <w:rFonts w:hint="cs"/>
          <w:rtl/>
          <w:lang w:bidi="ar-KW"/>
        </w:rPr>
        <w:t>الأثرية</w:t>
      </w:r>
      <w:r w:rsidR="000636C2">
        <w:rPr>
          <w:rFonts w:hint="cs"/>
          <w:rtl/>
          <w:lang w:bidi="ar-KW"/>
        </w:rPr>
        <w:t>)</w:t>
      </w:r>
      <w:r>
        <w:rPr>
          <w:rFonts w:hint="cs"/>
          <w:rtl/>
          <w:lang w:bidi="ar-KW"/>
        </w:rPr>
        <w:t xml:space="preserve"> </w:t>
      </w:r>
      <w:r>
        <w:rPr>
          <w:rFonts w:hint="cs"/>
          <w:rtl/>
          <w:lang w:bidi="ar-KW"/>
        </w:rPr>
        <w:lastRenderedPageBreak/>
        <w:t>وإمامهم الإمام أحمد رضي الله عنه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الأشعرية</w:t>
      </w:r>
      <w:r w:rsidR="000636C2">
        <w:rPr>
          <w:rFonts w:hint="cs"/>
          <w:rtl/>
          <w:lang w:bidi="ar-KW"/>
        </w:rPr>
        <w:t>)</w:t>
      </w:r>
      <w:r>
        <w:rPr>
          <w:rFonts w:hint="cs"/>
          <w:rtl/>
          <w:lang w:bidi="ar-KW"/>
        </w:rPr>
        <w:t xml:space="preserve"> وإمامهم أبو الحسن الأشعري رحمه الله تعالى</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الماتريدية</w:t>
      </w:r>
      <w:r w:rsidR="000636C2">
        <w:rPr>
          <w:rFonts w:hint="cs"/>
          <w:rtl/>
          <w:lang w:bidi="ar-KW"/>
        </w:rPr>
        <w:t>)</w:t>
      </w:r>
      <w:r>
        <w:rPr>
          <w:rFonts w:hint="cs"/>
          <w:rtl/>
          <w:lang w:bidi="ar-KW"/>
        </w:rPr>
        <w:t xml:space="preserve"> وإمامهم أبو منصور الماتريدي رحمه الله تعالى"</w:t>
      </w:r>
      <w:r w:rsidR="000636C2">
        <w:rPr>
          <w:rFonts w:hint="cs"/>
          <w:rtl/>
          <w:lang w:bidi="ar-KW"/>
        </w:rPr>
        <w:t xml:space="preserve"> </w:t>
      </w:r>
      <w:r>
        <w:rPr>
          <w:rFonts w:hint="cs"/>
          <w:rtl/>
          <w:lang w:bidi="ar-KW"/>
        </w:rPr>
        <w:t xml:space="preserve">اهـ. </w:t>
      </w:r>
      <w:r w:rsidR="000636C2">
        <w:rPr>
          <w:rFonts w:hint="cs"/>
          <w:rtl/>
          <w:lang w:bidi="ar-KW"/>
        </w:rPr>
        <w:t>[</w:t>
      </w:r>
      <w:r>
        <w:rPr>
          <w:rFonts w:hint="cs"/>
          <w:rtl/>
          <w:lang w:bidi="ar-KW"/>
        </w:rPr>
        <w:t>تبصير القانع في الجمع بين شرحي ابن شطي وابن مانع على العقيدة السفارينية</w:t>
      </w:r>
      <w:r w:rsidR="000636C2">
        <w:rPr>
          <w:rFonts w:hint="cs"/>
          <w:rtl/>
          <w:lang w:bidi="ar-KW"/>
        </w:rPr>
        <w:t xml:space="preserve">، </w:t>
      </w:r>
      <w:r>
        <w:rPr>
          <w:rFonts w:hint="cs"/>
          <w:rtl/>
          <w:lang w:bidi="ar-KW"/>
        </w:rPr>
        <w:t>الصفحة / 73</w:t>
      </w:r>
      <w:r w:rsidR="000636C2">
        <w:rPr>
          <w:rFonts w:hint="cs"/>
          <w:rtl/>
          <w:lang w:bidi="ar-KW"/>
        </w:rPr>
        <w:t>]</w:t>
      </w:r>
      <w:r w:rsidR="000636C2">
        <w:rPr>
          <w:rFonts w:hint="cs"/>
          <w:bCs/>
          <w:rtl/>
          <w:lang w:bidi="ar-KW"/>
        </w:rPr>
        <w:t>،</w:t>
      </w:r>
      <w:r>
        <w:rPr>
          <w:rFonts w:hint="cs"/>
          <w:rtl/>
          <w:lang w:bidi="ar-KW"/>
        </w:rPr>
        <w:t xml:space="preserve"> </w:t>
      </w:r>
      <w:r>
        <w:rPr>
          <w:rFonts w:hint="cs"/>
          <w:bCs/>
          <w:rtl/>
          <w:lang w:bidi="ar-KW"/>
        </w:rPr>
        <w:t>وقال الإمام تاج الدين السبكي</w:t>
      </w:r>
      <w:r w:rsidR="000636C2">
        <w:rPr>
          <w:rFonts w:hint="cs"/>
          <w:rtl/>
          <w:lang w:bidi="ar-KW"/>
        </w:rPr>
        <w:t>:</w:t>
      </w:r>
      <w:r>
        <w:rPr>
          <w:rFonts w:hint="cs"/>
          <w:rtl/>
          <w:lang w:bidi="ar-KW"/>
        </w:rPr>
        <w:t xml:space="preserve"> " اعلم أن أهل السنة والجماعة .. بالاستقراء ثلاث طوائف</w:t>
      </w:r>
      <w:r w:rsidR="000636C2">
        <w:rPr>
          <w:rFonts w:hint="cs"/>
          <w:rtl/>
          <w:lang w:bidi="ar-KW"/>
        </w:rPr>
        <w:t>:</w:t>
      </w:r>
      <w:r>
        <w:rPr>
          <w:rFonts w:hint="cs"/>
          <w:rtl/>
          <w:lang w:bidi="ar-KW"/>
        </w:rPr>
        <w:t xml:space="preserve"> </w:t>
      </w:r>
      <w:r>
        <w:rPr>
          <w:rFonts w:hint="cs"/>
          <w:bCs/>
          <w:rtl/>
          <w:lang w:bidi="ar-KW"/>
        </w:rPr>
        <w:t>الأولى:</w:t>
      </w:r>
      <w:r>
        <w:rPr>
          <w:rFonts w:hint="cs"/>
          <w:rtl/>
          <w:lang w:bidi="ar-KW"/>
        </w:rPr>
        <w:t xml:space="preserve"> أهل الحديث ومعتمد مباديهم الأدلة السمعية، أعني الكتاب والسنة والإجماع</w:t>
      </w:r>
      <w:r w:rsidR="000636C2">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w:t>
      </w:r>
      <w:r>
        <w:rPr>
          <w:rFonts w:hint="cs"/>
          <w:bCs/>
          <w:rtl/>
          <w:lang w:bidi="ar-KW"/>
        </w:rPr>
        <w:t>الثالثة:</w:t>
      </w:r>
      <w:r>
        <w:rPr>
          <w:rFonts w:hint="cs"/>
          <w:rtl/>
          <w:lang w:bidi="ar-KW"/>
        </w:rPr>
        <w:t xml:space="preserve"> أهل الوجدان والكشف، وهم الصوفية، ومباديهم مبادئ أهل النظر والحديث في البداية، والكشف والإلهام في النهاية) اهـ. </w:t>
      </w:r>
      <w:r w:rsidR="000636C2">
        <w:rPr>
          <w:rFonts w:hint="cs"/>
          <w:rtl/>
          <w:lang w:bidi="ar-KW"/>
        </w:rPr>
        <w:t>[</w:t>
      </w:r>
      <w:r>
        <w:rPr>
          <w:rFonts w:hint="cs"/>
          <w:rtl/>
          <w:lang w:bidi="ar-KW"/>
        </w:rPr>
        <w:t>إتحاف السادة المتقين 2/6</w:t>
      </w:r>
      <w:r w:rsidR="000636C2">
        <w:rPr>
          <w:rFonts w:hint="cs"/>
          <w:rtl/>
          <w:lang w:bidi="ar-KW"/>
        </w:rPr>
        <w:t>]،</w:t>
      </w:r>
      <w:r>
        <w:rPr>
          <w:rFonts w:hint="cs"/>
          <w:rtl/>
          <w:lang w:bidi="ar-KW"/>
        </w:rPr>
        <w:t xml:space="preserve"> </w:t>
      </w:r>
      <w:r>
        <w:rPr>
          <w:rFonts w:hint="cs"/>
          <w:bCs/>
          <w:rtl/>
          <w:lang w:bidi="ar-KW"/>
        </w:rPr>
        <w:t>وقال الإمام المرتضى الزبيدي</w:t>
      </w:r>
      <w:r w:rsidR="000636C2">
        <w:rPr>
          <w:rFonts w:hint="cs"/>
          <w:bCs/>
          <w:rtl/>
          <w:lang w:bidi="ar-KW"/>
        </w:rPr>
        <w:t>:</w:t>
      </w:r>
      <w:r>
        <w:rPr>
          <w:rFonts w:hint="cs"/>
          <w:rtl/>
          <w:lang w:bidi="ar-KW"/>
        </w:rPr>
        <w:t xml:space="preserve"> " والمراد بأهل السنة هم الفرق الأربعة، المحدثون والصوفية والأشاعرة و الماتريدية " اهـ. </w:t>
      </w:r>
      <w:r w:rsidR="000636C2">
        <w:rPr>
          <w:rFonts w:hint="cs"/>
          <w:rtl/>
          <w:lang w:bidi="ar-KW"/>
        </w:rPr>
        <w:t>[</w:t>
      </w:r>
      <w:r>
        <w:rPr>
          <w:rFonts w:hint="cs"/>
          <w:rtl/>
          <w:lang w:bidi="ar-KW"/>
        </w:rPr>
        <w:t>إتحاف السادة المتقين: 2 / 86</w:t>
      </w:r>
      <w:r w:rsidR="000636C2">
        <w:rPr>
          <w:rFonts w:hint="cs"/>
          <w:rtl/>
          <w:lang w:bidi="ar-KW"/>
        </w:rPr>
        <w:t>]،</w:t>
      </w:r>
      <w:r>
        <w:rPr>
          <w:rFonts w:hint="cs"/>
          <w:rtl/>
          <w:lang w:bidi="ar-KW"/>
        </w:rPr>
        <w:t xml:space="preserve"> </w:t>
      </w:r>
      <w:r>
        <w:rPr>
          <w:rFonts w:hint="cs"/>
          <w:rtl/>
        </w:rPr>
        <w:t>وعلى ذلك فإنه إذا أطلقت كلمة أهل السنة والجماعة في كتب العلم- على اختلاف أنواعها- فإن المراد بها هذه الطوائف الثلاث</w:t>
      </w:r>
      <w:r w:rsidR="000636C2">
        <w:rPr>
          <w:rFonts w:hint="cs"/>
          <w:rtl/>
        </w:rPr>
        <w:t>،</w:t>
      </w:r>
      <w:r>
        <w:rPr>
          <w:rFonts w:hint="cs"/>
          <w:rtl/>
        </w:rPr>
        <w:t xml:space="preserve"> </w:t>
      </w:r>
      <w:r w:rsidR="000636C2">
        <w:rPr>
          <w:rFonts w:hint="cs"/>
          <w:rtl/>
          <w:lang w:bidi="ar-KW"/>
        </w:rPr>
        <w:t>(</w:t>
      </w:r>
      <w:r>
        <w:rPr>
          <w:rFonts w:hint="cs"/>
          <w:rtl/>
          <w:lang w:bidi="ar-KW"/>
        </w:rPr>
        <w:t>الأثرية</w:t>
      </w:r>
      <w:r w:rsidR="000636C2">
        <w:rPr>
          <w:rFonts w:hint="cs"/>
          <w:rtl/>
          <w:lang w:bidi="ar-KW"/>
        </w:rPr>
        <w:t>)</w:t>
      </w:r>
      <w:r>
        <w:rPr>
          <w:rFonts w:hint="cs"/>
          <w:rtl/>
          <w:lang w:bidi="ar-KW"/>
        </w:rPr>
        <w:t>، وإمامهم أحمد بن حنبل رحمه الله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الأشعرية</w:t>
      </w:r>
      <w:r w:rsidR="000636C2">
        <w:rPr>
          <w:rFonts w:hint="cs"/>
          <w:rtl/>
          <w:lang w:bidi="ar-KW"/>
        </w:rPr>
        <w:t>)،</w:t>
      </w:r>
      <w:r>
        <w:rPr>
          <w:rFonts w:hint="cs"/>
          <w:rtl/>
          <w:lang w:bidi="ar-KW"/>
        </w:rPr>
        <w:t xml:space="preserve"> وإمامهم أبو الحسن الأشعري رحمه الله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الماتريدية</w:t>
      </w:r>
      <w:r w:rsidR="000636C2">
        <w:rPr>
          <w:rFonts w:hint="cs"/>
          <w:rtl/>
          <w:lang w:bidi="ar-KW"/>
        </w:rPr>
        <w:t>)،</w:t>
      </w:r>
      <w:r>
        <w:rPr>
          <w:rFonts w:hint="cs"/>
          <w:rtl/>
          <w:lang w:bidi="ar-KW"/>
        </w:rPr>
        <w:t xml:space="preserve"> وإمامهم أبو منصور الماتريدي رحمه الله</w:t>
      </w:r>
      <w:r w:rsidR="000636C2">
        <w:rPr>
          <w:rFonts w:hint="cs"/>
          <w:rtl/>
          <w:lang w:bidi="ar-KW"/>
        </w:rPr>
        <w:t>،</w:t>
      </w:r>
      <w:r>
        <w:rPr>
          <w:rFonts w:hint="cs"/>
          <w:rtl/>
          <w:lang w:bidi="ar-KW"/>
        </w:rPr>
        <w:t xml:space="preserve"> </w:t>
      </w:r>
      <w:r>
        <w:rPr>
          <w:rFonts w:hint="cs"/>
          <w:rtl/>
        </w:rPr>
        <w:t>وأهل الفقه يدخلون بالضرورة ضمن تلك الطوائف</w:t>
      </w:r>
      <w:r w:rsidR="000636C2">
        <w:rPr>
          <w:rFonts w:hint="cs"/>
          <w:rtl/>
        </w:rPr>
        <w:t>،</w:t>
      </w:r>
      <w:r>
        <w:rPr>
          <w:rFonts w:hint="cs"/>
          <w:rtl/>
        </w:rPr>
        <w:t xml:space="preserve"> فالمالكية أشاعرة</w:t>
      </w:r>
      <w:r w:rsidR="000636C2">
        <w:rPr>
          <w:rFonts w:hint="cs"/>
          <w:rtl/>
        </w:rPr>
        <w:t>،</w:t>
      </w:r>
      <w:r>
        <w:rPr>
          <w:rFonts w:hint="cs"/>
          <w:rtl/>
        </w:rPr>
        <w:t xml:space="preserve"> والشافعية أشاعرة</w:t>
      </w:r>
      <w:r w:rsidR="000636C2">
        <w:rPr>
          <w:rFonts w:hint="cs"/>
          <w:rtl/>
        </w:rPr>
        <w:t>،</w:t>
      </w:r>
      <w:r>
        <w:rPr>
          <w:rFonts w:hint="cs"/>
          <w:rtl/>
        </w:rPr>
        <w:t xml:space="preserve"> والحنفية ماتريدية</w:t>
      </w:r>
      <w:r w:rsidR="000636C2">
        <w:rPr>
          <w:rFonts w:hint="cs"/>
          <w:rtl/>
        </w:rPr>
        <w:t>،</w:t>
      </w:r>
      <w:r>
        <w:rPr>
          <w:rFonts w:hint="cs"/>
          <w:rtl/>
        </w:rPr>
        <w:t xml:space="preserve"> والحنابلة أثرية</w:t>
      </w:r>
      <w:r w:rsidR="000636C2">
        <w:rPr>
          <w:rFonts w:hint="cs"/>
          <w:rtl/>
        </w:rPr>
        <w:t xml:space="preserve"> </w:t>
      </w:r>
      <w:r>
        <w:rPr>
          <w:rFonts w:hint="cs"/>
          <w:rtl/>
        </w:rPr>
        <w:t>ولا خلاف بينهم في شيء من الأصول إلا من مال إلى الاعتزال أو مال إلى الحشو والتجسيم</w:t>
      </w:r>
      <w:r w:rsidR="000636C2">
        <w:rPr>
          <w:rFonts w:hint="cs"/>
          <w:rtl/>
        </w:rPr>
        <w:t>،</w:t>
      </w:r>
    </w:p>
    <w:p w14:paraId="3901F6A6" w14:textId="7BE70FEB" w:rsidR="009C32A0" w:rsidRDefault="000636C2" w:rsidP="000636C2">
      <w:pPr>
        <w:ind w:left="-58"/>
        <w:jc w:val="center"/>
        <w:rPr>
          <w:bCs/>
          <w:rtl/>
        </w:rPr>
      </w:pPr>
      <w:r>
        <w:rPr>
          <w:rFonts w:cs="Monotype Koufi" w:hint="cs"/>
          <w:rtl/>
        </w:rPr>
        <w:t>(</w:t>
      </w:r>
      <w:r w:rsidR="009C32A0">
        <w:rPr>
          <w:rFonts w:cs="Monotype Koufi" w:hint="cs"/>
          <w:rtl/>
        </w:rPr>
        <w:t>الأثرية</w:t>
      </w:r>
      <w:r>
        <w:rPr>
          <w:rFonts w:cs="Monotype Koufi" w:hint="cs"/>
          <w:rtl/>
        </w:rPr>
        <w:t xml:space="preserve">) </w:t>
      </w:r>
      <w:r w:rsidR="009C32A0">
        <w:rPr>
          <w:rFonts w:cs="Monotype Koufi" w:hint="cs"/>
          <w:rtl/>
        </w:rPr>
        <w:t>امتداد</w:t>
      </w:r>
      <w:r>
        <w:rPr>
          <w:rFonts w:cs="Monotype Koufi" w:hint="cs"/>
          <w:rtl/>
        </w:rPr>
        <w:t xml:space="preserve"> </w:t>
      </w:r>
      <w:r w:rsidR="009C32A0">
        <w:rPr>
          <w:rFonts w:cs="Monotype Koufi" w:hint="cs"/>
          <w:rtl/>
        </w:rPr>
        <w:t>للسلف الصالح في فهم النصوص المتشابهة</w:t>
      </w:r>
    </w:p>
    <w:p w14:paraId="1B600291" w14:textId="69FC3DAB" w:rsidR="009C32A0" w:rsidRDefault="009C32A0" w:rsidP="000636C2">
      <w:pPr>
        <w:ind w:left="-58"/>
        <w:rPr>
          <w:b/>
          <w:i/>
          <w:iCs/>
          <w:sz w:val="24"/>
          <w:szCs w:val="24"/>
          <w:rtl/>
        </w:rPr>
      </w:pPr>
      <w:r>
        <w:rPr>
          <w:rFonts w:hint="cs"/>
          <w:rtl/>
        </w:rPr>
        <w:t>أصول التقديس والتنزيه - عند أهل السنّة والجماعة - تمنع المؤمن العاقل من الخوض في ذات الله تعالى والمتشابه من صفاته</w:t>
      </w:r>
      <w:r w:rsidR="000636C2">
        <w:rPr>
          <w:rFonts w:hint="cs"/>
          <w:rtl/>
        </w:rPr>
        <w:t>،</w:t>
      </w:r>
      <w:r>
        <w:rPr>
          <w:rFonts w:hint="cs"/>
          <w:rtl/>
        </w:rPr>
        <w:t xml:space="preserve"> وذلك لأنّ الله عز وجل ليس له شبيه ولا كفء وليس له سمي ولا مثيل</w:t>
      </w:r>
      <w:r w:rsidR="000636C2">
        <w:rPr>
          <w:rFonts w:hint="cs"/>
          <w:rtl/>
        </w:rPr>
        <w:t>،</w:t>
      </w:r>
      <w:r>
        <w:rPr>
          <w:rFonts w:hint="cs"/>
          <w:rtl/>
        </w:rPr>
        <w:t xml:space="preserve"> وكل ما خطر بالبال فالله بخلافه</w:t>
      </w:r>
      <w:r w:rsidR="000636C2">
        <w:rPr>
          <w:rFonts w:hint="cs"/>
          <w:rtl/>
        </w:rPr>
        <w:t>،</w:t>
      </w:r>
      <w:r>
        <w:rPr>
          <w:rFonts w:hint="cs"/>
          <w:rtl/>
        </w:rPr>
        <w:t xml:space="preserve"> دل على ذلك قوله تعالى</w:t>
      </w:r>
      <w:r w:rsidR="000636C2">
        <w:rPr>
          <w:rFonts w:hint="cs"/>
          <w:rtl/>
        </w:rPr>
        <w:t>:</w:t>
      </w:r>
      <w:r>
        <w:rPr>
          <w:rFonts w:hint="cs"/>
          <w:rtl/>
        </w:rPr>
        <w:t xml:space="preserve"> </w:t>
      </w:r>
      <w:r w:rsidR="000636C2">
        <w:rPr>
          <w:rFonts w:eastAsia="Times New Roman" w:hint="cs"/>
          <w:rtl/>
        </w:rPr>
        <w:t>{</w:t>
      </w:r>
      <w:r>
        <w:rPr>
          <w:rFonts w:eastAsia="Times New Roman" w:hint="cs"/>
          <w:bCs/>
          <w:rtl/>
        </w:rPr>
        <w:t>ليس كمثلِه شيء</w:t>
      </w:r>
      <w:r w:rsidR="000636C2">
        <w:rPr>
          <w:rFonts w:eastAsia="Times New Roman" w:hint="cs"/>
          <w:bCs/>
          <w:rtl/>
        </w:rPr>
        <w:t xml:space="preserve">} </w:t>
      </w:r>
      <w:r>
        <w:rPr>
          <w:rFonts w:eastAsia="Times New Roman" w:hint="cs"/>
          <w:rtl/>
        </w:rPr>
        <w:t>[سورة الشورى</w:t>
      </w:r>
      <w:r w:rsidR="000636C2">
        <w:rPr>
          <w:rFonts w:eastAsia="Times New Roman" w:hint="cs"/>
          <w:rtl/>
        </w:rPr>
        <w:t>:</w:t>
      </w:r>
      <w:r>
        <w:rPr>
          <w:rFonts w:eastAsia="Times New Roman" w:hint="cs"/>
          <w:rtl/>
        </w:rPr>
        <w:t xml:space="preserve"> 11]</w:t>
      </w:r>
      <w:r w:rsidR="000636C2">
        <w:rPr>
          <w:rFonts w:eastAsia="Times New Roman" w:hint="cs"/>
          <w:rtl/>
        </w:rPr>
        <w:t>،</w:t>
      </w:r>
      <w:r>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bCs/>
          <w:rtl/>
        </w:rPr>
        <w:t>وللهِ المثَلُ الأعلى</w:t>
      </w:r>
      <w:r w:rsidR="000636C2">
        <w:rPr>
          <w:rFonts w:eastAsia="Times New Roman" w:hint="cs"/>
          <w:bCs/>
          <w:rtl/>
        </w:rPr>
        <w:t>}</w:t>
      </w:r>
      <w:r>
        <w:rPr>
          <w:rFonts w:eastAsia="Times New Roman" w:hint="cs"/>
          <w:rtl/>
        </w:rPr>
        <w:t xml:space="preserve"> </w:t>
      </w:r>
      <w:r w:rsidR="000636C2">
        <w:rPr>
          <w:rFonts w:eastAsia="Times New Roman" w:hint="cs"/>
          <w:rtl/>
        </w:rPr>
        <w:t>[</w:t>
      </w:r>
      <w:r>
        <w:rPr>
          <w:rFonts w:eastAsia="Times New Roman" w:hint="cs"/>
          <w:rtl/>
        </w:rPr>
        <w:t>النحل</w:t>
      </w:r>
      <w:r w:rsidR="000636C2">
        <w:rPr>
          <w:rFonts w:eastAsia="Times New Roman" w:hint="cs"/>
          <w:rtl/>
        </w:rPr>
        <w:t>:</w:t>
      </w:r>
      <w:r>
        <w:rPr>
          <w:rFonts w:eastAsia="Times New Roman" w:hint="cs"/>
          <w:rtl/>
        </w:rPr>
        <w:t xml:space="preserve"> 60</w:t>
      </w:r>
      <w:r w:rsidR="000636C2">
        <w:rPr>
          <w:rFonts w:eastAsia="Times New Roman" w:hint="cs"/>
          <w:rtl/>
        </w:rPr>
        <w:t>]</w:t>
      </w:r>
      <w:r>
        <w:rPr>
          <w:rFonts w:eastAsia="Times New Roman" w:hint="cs"/>
          <w:rtl/>
        </w:rPr>
        <w:t xml:space="preserve"> أي الوصف الذي لا يشبه وصف غيره، فلا يوصف ربنا عزَّ وجلَّ بصفات المخلوقين</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bCs/>
          <w:rtl/>
        </w:rPr>
        <w:t>{</w:t>
      </w:r>
      <w:r>
        <w:rPr>
          <w:rFonts w:eastAsia="Times New Roman" w:hint="cs"/>
          <w:bCs/>
          <w:rtl/>
        </w:rPr>
        <w:t>فلا تضربوا للهِ الأمثال</w:t>
      </w:r>
      <w:r w:rsidR="000636C2">
        <w:rPr>
          <w:rFonts w:eastAsia="Times New Roman" w:hint="cs"/>
          <w:bCs/>
          <w:rtl/>
        </w:rPr>
        <w:t>}</w:t>
      </w:r>
      <w:r>
        <w:rPr>
          <w:rFonts w:eastAsia="Times New Roman" w:hint="cs"/>
          <w:rtl/>
        </w:rPr>
        <w:t xml:space="preserve"> </w:t>
      </w:r>
      <w:r w:rsidR="000636C2">
        <w:rPr>
          <w:rFonts w:eastAsia="Times New Roman" w:hint="cs"/>
          <w:rtl/>
        </w:rPr>
        <w:t>[</w:t>
      </w:r>
      <w:r>
        <w:rPr>
          <w:rFonts w:eastAsia="Times New Roman" w:hint="cs"/>
          <w:rtl/>
        </w:rPr>
        <w:t>النحل</w:t>
      </w:r>
      <w:r w:rsidR="000636C2">
        <w:rPr>
          <w:rFonts w:eastAsia="Times New Roman" w:hint="cs"/>
          <w:rtl/>
        </w:rPr>
        <w:t>:</w:t>
      </w:r>
      <w:r>
        <w:rPr>
          <w:rFonts w:eastAsia="Times New Roman" w:hint="cs"/>
          <w:rtl/>
        </w:rPr>
        <w:t xml:space="preserve"> 74</w:t>
      </w:r>
      <w:r w:rsidR="000636C2">
        <w:rPr>
          <w:rFonts w:eastAsia="Times New Roman" w:hint="cs"/>
          <w:rtl/>
        </w:rPr>
        <w:t>]</w:t>
      </w:r>
      <w:r>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Pr>
          <w:rFonts w:eastAsia="Times New Roman" w:hint="cs"/>
          <w:bCs/>
          <w:rtl/>
        </w:rPr>
        <w:t>هل تعلمُ لهُ سميًّا)</w:t>
      </w:r>
      <w:r>
        <w:rPr>
          <w:rFonts w:eastAsia="Times New Roman" w:hint="cs"/>
          <w:rtl/>
        </w:rPr>
        <w:t xml:space="preserve"> </w:t>
      </w:r>
      <w:r w:rsidR="000636C2">
        <w:rPr>
          <w:rFonts w:eastAsia="Times New Roman" w:hint="cs"/>
          <w:rtl/>
        </w:rPr>
        <w:t>[</w:t>
      </w:r>
      <w:r>
        <w:rPr>
          <w:rFonts w:eastAsia="Times New Roman" w:hint="cs"/>
          <w:rtl/>
        </w:rPr>
        <w:t>مريم</w:t>
      </w:r>
      <w:r w:rsidR="000636C2">
        <w:rPr>
          <w:rFonts w:eastAsia="Times New Roman" w:hint="cs"/>
          <w:rtl/>
        </w:rPr>
        <w:t>:</w:t>
      </w:r>
      <w:r>
        <w:rPr>
          <w:rFonts w:eastAsia="Times New Roman" w:hint="cs"/>
          <w:rtl/>
        </w:rPr>
        <w:t xml:space="preserve"> 65</w:t>
      </w:r>
      <w:r w:rsidR="000636C2">
        <w:rPr>
          <w:rFonts w:eastAsia="Times New Roman" w:hint="cs"/>
          <w:rtl/>
        </w:rPr>
        <w:t>]</w:t>
      </w:r>
      <w:r>
        <w:rPr>
          <w:rFonts w:eastAsia="Times New Roman" w:hint="cs"/>
          <w:rtl/>
        </w:rPr>
        <w:t xml:space="preserve"> أي مِثلاً، فالله تعالى لا مِثْلَ له ولا شبيه ولا نظير، فذاتُه سبحانه لا يشبه الذواتِ ولا صفاتُه تشبه الصفاتِ</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bCs/>
          <w:rtl/>
        </w:rPr>
        <w:t>سُبْحَانَهُ وَتَعَالَى عَمَّا يَصِفُونَ</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الأنعام</w:t>
      </w:r>
      <w:r w:rsidR="000636C2">
        <w:rPr>
          <w:rFonts w:eastAsia="Times New Roman" w:hint="cs"/>
          <w:rtl/>
        </w:rPr>
        <w:t>:</w:t>
      </w:r>
      <w:r>
        <w:rPr>
          <w:rFonts w:eastAsia="Times New Roman" w:hint="cs"/>
          <w:rtl/>
        </w:rPr>
        <w:t xml:space="preserve"> 100] تنزيه وتقديس لله تعالى عن </w:t>
      </w:r>
      <w:r>
        <w:rPr>
          <w:rFonts w:eastAsia="Times New Roman" w:hint="cs"/>
          <w:rtl/>
        </w:rPr>
        <w:lastRenderedPageBreak/>
        <w:t>كل وصف يخطر ببال بشر لأنه ليس كمثله شيء ولا نعلم له سميا</w:t>
      </w:r>
      <w:r w:rsidR="000636C2">
        <w:rPr>
          <w:rFonts w:eastAsia="Times New Roman" w:hint="cs"/>
          <w:rtl/>
        </w:rPr>
        <w:t>،،</w:t>
      </w:r>
      <w:r>
        <w:rPr>
          <w:rFonts w:eastAsia="Times New Roman" w:hint="cs"/>
          <w:rtl/>
        </w:rPr>
        <w:t xml:space="preserve"> وقوله تعالى</w:t>
      </w:r>
      <w:r w:rsidR="000636C2">
        <w:rPr>
          <w:rFonts w:eastAsia="Times New Roman" w:hint="cs"/>
          <w:rtl/>
        </w:rPr>
        <w:t>:</w:t>
      </w:r>
      <w:r>
        <w:rPr>
          <w:rFonts w:eastAsia="Times New Roman" w:hint="cs"/>
          <w:rtl/>
        </w:rPr>
        <w:t xml:space="preserve"> </w:t>
      </w:r>
      <w:r w:rsidR="000636C2">
        <w:rPr>
          <w:rFonts w:eastAsia="Times New Roman" w:hint="cs"/>
          <w:bCs/>
          <w:rtl/>
        </w:rPr>
        <w:t>{</w:t>
      </w:r>
      <w:r>
        <w:rPr>
          <w:rFonts w:eastAsia="Times New Roman" w:hint="cs"/>
          <w:bCs/>
          <w:rtl/>
        </w:rPr>
        <w:t>وَلَا يُحِيطُونَ بِهِ عِلْمًا</w:t>
      </w:r>
      <w:r w:rsidR="000636C2">
        <w:rPr>
          <w:rFonts w:eastAsia="Times New Roman" w:hint="cs"/>
          <w:bCs/>
          <w:rtl/>
        </w:rPr>
        <w:t>}</w:t>
      </w:r>
      <w:r>
        <w:rPr>
          <w:rFonts w:hint="cs"/>
          <w:rtl/>
        </w:rPr>
        <w:t xml:space="preserve"> </w:t>
      </w:r>
      <w:r w:rsidR="000636C2">
        <w:rPr>
          <w:rFonts w:eastAsia="Times New Roman" w:hint="cs"/>
          <w:rtl/>
        </w:rPr>
        <w:t>[</w:t>
      </w:r>
      <w:r>
        <w:rPr>
          <w:rFonts w:eastAsia="Times New Roman" w:hint="cs"/>
          <w:rtl/>
        </w:rPr>
        <w:t>طه</w:t>
      </w:r>
      <w:r w:rsidR="000636C2">
        <w:rPr>
          <w:rFonts w:eastAsia="Times New Roman" w:hint="cs"/>
          <w:rtl/>
        </w:rPr>
        <w:t>:</w:t>
      </w:r>
      <w:r>
        <w:rPr>
          <w:rFonts w:eastAsia="Times New Roman" w:hint="cs"/>
          <w:rtl/>
        </w:rPr>
        <w:t xml:space="preserve"> 110</w:t>
      </w:r>
      <w:r w:rsidR="000636C2">
        <w:rPr>
          <w:rFonts w:eastAsia="Times New Roman" w:hint="cs"/>
          <w:rtl/>
        </w:rPr>
        <w:t>]،</w:t>
      </w:r>
      <w:r>
        <w:rPr>
          <w:rFonts w:eastAsia="Times New Roman" w:hint="cs"/>
          <w:rtl/>
        </w:rPr>
        <w:t xml:space="preserve"> ولو كان له كفء أو شبيه أو مثيل لأحاطت به علوم البشر</w:t>
      </w:r>
      <w:r w:rsidR="000636C2">
        <w:rPr>
          <w:rFonts w:eastAsia="Times New Roman" w:hint="cs"/>
          <w:rtl/>
        </w:rPr>
        <w:t>،</w:t>
      </w:r>
      <w:r>
        <w:rPr>
          <w:rFonts w:eastAsia="Times New Roman" w:hint="cs"/>
          <w:rtl/>
        </w:rPr>
        <w:t xml:space="preserve"> </w:t>
      </w:r>
      <w:r>
        <w:rPr>
          <w:rFonts w:hint="cs"/>
          <w:rtl/>
        </w:rPr>
        <w:t>وقوله تعالى</w:t>
      </w:r>
      <w:r w:rsidR="000636C2">
        <w:rPr>
          <w:rFonts w:hint="cs"/>
          <w:rtl/>
        </w:rPr>
        <w:t>:</w:t>
      </w:r>
      <w:r>
        <w:rPr>
          <w:rFonts w:hint="cs"/>
          <w:rtl/>
        </w:rPr>
        <w:t xml:space="preserve"> </w:t>
      </w:r>
      <w:r w:rsidR="000636C2">
        <w:rPr>
          <w:rFonts w:hint="cs"/>
          <w:bCs/>
          <w:rtl/>
        </w:rPr>
        <w:t>{</w:t>
      </w:r>
      <w:r>
        <w:rPr>
          <w:rFonts w:hint="cs"/>
          <w:bCs/>
          <w:rtl/>
        </w:rPr>
        <w:t>وَلَمْ يَكُنْ لَهُ كُفُوًا أَحَدٌ</w:t>
      </w:r>
      <w:r w:rsidR="000636C2">
        <w:rPr>
          <w:rFonts w:hint="cs"/>
          <w:bCs/>
          <w:rtl/>
        </w:rPr>
        <w:t>}</w:t>
      </w:r>
      <w:r>
        <w:rPr>
          <w:rFonts w:eastAsia="Times New Roman" w:hint="cs"/>
          <w:rtl/>
        </w:rPr>
        <w:t xml:space="preserve"> أي لا نظير له بوجه من الوجوه، ولا كفء له ولا شبيه</w:t>
      </w:r>
      <w:r w:rsidR="000636C2">
        <w:rPr>
          <w:rFonts w:eastAsia="Times New Roman" w:hint="cs"/>
          <w:rtl/>
          <w:lang w:bidi="ar-KW"/>
        </w:rPr>
        <w:t>،</w:t>
      </w:r>
      <w:r>
        <w:rPr>
          <w:rFonts w:eastAsia="Times New Roman" w:hint="cs"/>
          <w:rtl/>
          <w:lang w:bidi="ar-KW"/>
        </w:rPr>
        <w:t xml:space="preserve"> </w:t>
      </w:r>
      <w:r>
        <w:rPr>
          <w:rFonts w:eastAsia="Times New Roman" w:hint="cs"/>
          <w:rtl/>
        </w:rPr>
        <w:t>ومنه نعلم مخالفة ذات الله تعالى لجميع المخلوقات والموجودات والمحدثات</w:t>
      </w:r>
      <w:r w:rsidR="000636C2">
        <w:rPr>
          <w:rFonts w:eastAsia="Times New Roman" w:hint="cs"/>
          <w:rtl/>
        </w:rPr>
        <w:t>،</w:t>
      </w:r>
      <w:r w:rsidR="000636C2">
        <w:rPr>
          <w:rFonts w:hint="cs"/>
          <w:rtl/>
        </w:rPr>
        <w:t xml:space="preserve"> </w:t>
      </w:r>
      <w:r>
        <w:rPr>
          <w:rFonts w:hint="cs"/>
          <w:rtl/>
        </w:rPr>
        <w:t>وخير من علموا تلك القواعد التنزيهية</w:t>
      </w:r>
      <w:r w:rsidR="000636C2">
        <w:rPr>
          <w:rFonts w:hint="cs"/>
          <w:rtl/>
        </w:rPr>
        <w:t>،</w:t>
      </w:r>
      <w:r>
        <w:rPr>
          <w:rFonts w:hint="cs"/>
          <w:rtl/>
        </w:rPr>
        <w:t xml:space="preserve"> هم أئمة السلف الصالح</w:t>
      </w:r>
      <w:r w:rsidR="000636C2">
        <w:rPr>
          <w:rFonts w:hint="cs"/>
          <w:rtl/>
        </w:rPr>
        <w:t>،</w:t>
      </w:r>
      <w:r>
        <w:rPr>
          <w:rFonts w:hint="cs"/>
          <w:rtl/>
        </w:rPr>
        <w:t xml:space="preserve"> فقد كان حرصهم شديدا على عدم الخوض في المتشابهات المتعلقة بذات وصفات الرحمن سبحانه</w:t>
      </w:r>
      <w:r w:rsidR="000636C2">
        <w:rPr>
          <w:rFonts w:hint="cs"/>
          <w:rtl/>
        </w:rPr>
        <w:t>،</w:t>
      </w:r>
      <w:r>
        <w:rPr>
          <w:rFonts w:hint="cs"/>
          <w:rtl/>
        </w:rPr>
        <w:t xml:space="preserve"> والمنع من مجرد السؤال عنها على سبيل الزيغ والفتنة</w:t>
      </w:r>
      <w:r w:rsidR="000636C2">
        <w:rPr>
          <w:rFonts w:hint="cs"/>
          <w:rtl/>
        </w:rPr>
        <w:t>،</w:t>
      </w:r>
      <w:r>
        <w:rPr>
          <w:rFonts w:hint="cs"/>
          <w:rtl/>
        </w:rPr>
        <w:t xml:space="preserve"> والمتمعن في مقالاتهم في المتشابه يجد أنّها ترتكز على كلمات لها مدلول عجيب على غلق باب الفتنة بتفويض المراد منها إلى الله</w:t>
      </w:r>
      <w:r w:rsidR="000636C2">
        <w:rPr>
          <w:rFonts w:hint="cs"/>
          <w:rtl/>
        </w:rPr>
        <w:t>،</w:t>
      </w:r>
      <w:r>
        <w:rPr>
          <w:rFonts w:hint="cs"/>
          <w:rtl/>
        </w:rPr>
        <w:t xml:space="preserve"> فمن ذلك</w:t>
      </w:r>
      <w:r w:rsidR="000636C2">
        <w:rPr>
          <w:rFonts w:hint="cs"/>
          <w:rtl/>
        </w:rPr>
        <w:t>:</w:t>
      </w:r>
      <w:r>
        <w:rPr>
          <w:rFonts w:hint="cs"/>
          <w:rtl/>
        </w:rPr>
        <w:t xml:space="preserve"> قولهم</w:t>
      </w:r>
      <w:r w:rsidR="000636C2">
        <w:rPr>
          <w:rFonts w:hint="cs"/>
          <w:rtl/>
        </w:rPr>
        <w:t>:</w:t>
      </w:r>
      <w:r>
        <w:rPr>
          <w:rFonts w:hint="cs"/>
          <w:rtl/>
        </w:rPr>
        <w:t xml:space="preserve"> ونؤمن</w:t>
      </w:r>
      <w:r>
        <w:rPr>
          <w:rFonts w:hint="cs"/>
        </w:rPr>
        <w:t xml:space="preserve"> </w:t>
      </w:r>
      <w:r>
        <w:rPr>
          <w:rFonts w:hint="cs"/>
          <w:rtl/>
        </w:rPr>
        <w:t>بها ولا يقال كيف ولا نفسر ولا نتوهم</w:t>
      </w:r>
      <w:r w:rsidR="000636C2">
        <w:rPr>
          <w:rFonts w:hint="cs"/>
          <w:rtl/>
        </w:rPr>
        <w:t>،</w:t>
      </w:r>
      <w:r>
        <w:rPr>
          <w:rFonts w:hint="cs"/>
          <w:rtl/>
        </w:rPr>
        <w:t xml:space="preserve"> وقولهم</w:t>
      </w:r>
      <w:r w:rsidR="000636C2">
        <w:rPr>
          <w:rFonts w:hint="cs"/>
          <w:rtl/>
        </w:rPr>
        <w:t>:</w:t>
      </w:r>
      <w:r>
        <w:rPr>
          <w:rFonts w:hint="cs"/>
          <w:rtl/>
        </w:rPr>
        <w:t xml:space="preserve"> ويؤمن بها</w:t>
      </w:r>
      <w:r>
        <w:rPr>
          <w:rFonts w:hint="cs"/>
        </w:rPr>
        <w:t xml:space="preserve"> </w:t>
      </w:r>
      <w:r>
        <w:rPr>
          <w:rFonts w:hint="cs"/>
          <w:rtl/>
        </w:rPr>
        <w:t>ولا تفسر ولا يتوهم ولا يقال كيف</w:t>
      </w:r>
      <w:r w:rsidR="000636C2">
        <w:rPr>
          <w:rFonts w:hint="cs"/>
          <w:rtl/>
        </w:rPr>
        <w:t>،</w:t>
      </w:r>
      <w:r>
        <w:rPr>
          <w:rFonts w:hint="cs"/>
          <w:rtl/>
        </w:rPr>
        <w:t xml:space="preserve"> وقولهم</w:t>
      </w:r>
      <w:r w:rsidR="000636C2">
        <w:rPr>
          <w:rFonts w:hint="cs"/>
          <w:rtl/>
        </w:rPr>
        <w:t>:</w:t>
      </w:r>
      <w:r>
        <w:rPr>
          <w:rFonts w:hint="cs"/>
          <w:rtl/>
        </w:rPr>
        <w:t xml:space="preserve"> نؤمن بها ونفوض معناها المراد منها إلى الله تعالى ولا نفسرها</w:t>
      </w:r>
      <w:r w:rsidR="000636C2">
        <w:rPr>
          <w:rFonts w:hint="cs"/>
          <w:rtl/>
        </w:rPr>
        <w:t>،</w:t>
      </w:r>
      <w:r>
        <w:rPr>
          <w:rFonts w:hint="cs"/>
          <w:rtl/>
        </w:rPr>
        <w:t xml:space="preserve"> وقولهم</w:t>
      </w:r>
      <w:r w:rsidR="000636C2">
        <w:rPr>
          <w:rFonts w:hint="cs"/>
          <w:rtl/>
        </w:rPr>
        <w:t>:</w:t>
      </w:r>
      <w:r>
        <w:rPr>
          <w:rFonts w:hint="cs"/>
          <w:rtl/>
        </w:rPr>
        <w:t xml:space="preserve"> نترك التعرض لمعانيها</w:t>
      </w:r>
      <w:r w:rsidR="000636C2">
        <w:rPr>
          <w:rFonts w:hint="cs"/>
          <w:rtl/>
        </w:rPr>
        <w:t>،</w:t>
      </w:r>
      <w:r>
        <w:rPr>
          <w:rFonts w:hint="cs"/>
          <w:rtl/>
        </w:rPr>
        <w:t xml:space="preserve"> وقولهم</w:t>
      </w:r>
      <w:r w:rsidR="000636C2">
        <w:rPr>
          <w:rFonts w:hint="cs"/>
          <w:rtl/>
        </w:rPr>
        <w:t>:</w:t>
      </w:r>
      <w:r>
        <w:rPr>
          <w:rFonts w:hint="cs"/>
          <w:rtl/>
        </w:rPr>
        <w:t xml:space="preserve"> نحن نروي هذه الأحاديث ولا نريغ لها المعاني</w:t>
      </w:r>
      <w:r w:rsidR="000636C2">
        <w:rPr>
          <w:rFonts w:hint="cs"/>
          <w:rtl/>
        </w:rPr>
        <w:t>،</w:t>
      </w:r>
      <w:r>
        <w:rPr>
          <w:rFonts w:hint="cs"/>
          <w:rtl/>
        </w:rPr>
        <w:t xml:space="preserve"> وقولهم</w:t>
      </w:r>
      <w:r w:rsidR="000636C2">
        <w:rPr>
          <w:rFonts w:hint="cs"/>
          <w:rtl/>
        </w:rPr>
        <w:t>:</w:t>
      </w:r>
      <w:r>
        <w:rPr>
          <w:rFonts w:hint="cs"/>
          <w:rtl/>
        </w:rPr>
        <w:t xml:space="preserve"> كل</w:t>
      </w:r>
      <w:r>
        <w:rPr>
          <w:rFonts w:hint="cs"/>
        </w:rPr>
        <w:t xml:space="preserve"> </w:t>
      </w:r>
      <w:r>
        <w:rPr>
          <w:rFonts w:hint="cs"/>
          <w:rtl/>
        </w:rPr>
        <w:t>ما وصف الله به نفسه في القرآن فقراءته تفسيره</w:t>
      </w:r>
      <w:r w:rsidR="000636C2">
        <w:rPr>
          <w:rFonts w:hint="cs"/>
          <w:rtl/>
        </w:rPr>
        <w:t>،</w:t>
      </w:r>
      <w:r>
        <w:rPr>
          <w:rFonts w:hint="cs"/>
          <w:rtl/>
        </w:rPr>
        <w:t xml:space="preserve"> وقولهم</w:t>
      </w:r>
      <w:r w:rsidR="000636C2">
        <w:rPr>
          <w:rFonts w:hint="cs"/>
          <w:rtl/>
        </w:rPr>
        <w:t>:</w:t>
      </w:r>
      <w:r>
        <w:rPr>
          <w:rFonts w:hint="cs"/>
          <w:rtl/>
        </w:rPr>
        <w:t xml:space="preserve"> ما</w:t>
      </w:r>
      <w:r>
        <w:rPr>
          <w:rFonts w:hint="cs"/>
        </w:rPr>
        <w:t xml:space="preserve"> </w:t>
      </w:r>
      <w:r>
        <w:rPr>
          <w:rFonts w:hint="cs"/>
          <w:rtl/>
        </w:rPr>
        <w:t>وصف الله تبارك به نفسه في كتابه فقراءته تفسيره ليس لأحد</w:t>
      </w:r>
      <w:r>
        <w:rPr>
          <w:rFonts w:hint="cs"/>
        </w:rPr>
        <w:t xml:space="preserve"> </w:t>
      </w:r>
      <w:r>
        <w:rPr>
          <w:rFonts w:hint="cs"/>
          <w:rtl/>
        </w:rPr>
        <w:t>أن يفسره بالعربية ولا بالفارسية</w:t>
      </w:r>
      <w:r w:rsidR="000636C2">
        <w:rPr>
          <w:rFonts w:hint="cs"/>
          <w:rtl/>
        </w:rPr>
        <w:t>،</w:t>
      </w:r>
      <w:r>
        <w:rPr>
          <w:rFonts w:hint="cs"/>
          <w:rtl/>
        </w:rPr>
        <w:t xml:space="preserve"> وقولهم</w:t>
      </w:r>
      <w:r w:rsidR="000636C2">
        <w:rPr>
          <w:rFonts w:hint="cs"/>
          <w:bCs/>
          <w:rtl/>
        </w:rPr>
        <w:t>:</w:t>
      </w:r>
      <w:r>
        <w:rPr>
          <w:rFonts w:hint="cs"/>
          <w:bCs/>
          <w:rtl/>
        </w:rPr>
        <w:t xml:space="preserve"> </w:t>
      </w:r>
      <w:r>
        <w:rPr>
          <w:rFonts w:hint="cs"/>
          <w:rtl/>
        </w:rPr>
        <w:t>فتفسيره قراءته والسكوت عنه ليس</w:t>
      </w:r>
      <w:r>
        <w:rPr>
          <w:rFonts w:hint="cs"/>
        </w:rPr>
        <w:t xml:space="preserve"> </w:t>
      </w:r>
      <w:r>
        <w:rPr>
          <w:rFonts w:hint="cs"/>
          <w:rtl/>
        </w:rPr>
        <w:t>لأحد أن يفسره إلا الله ورسوله</w:t>
      </w:r>
      <w:r w:rsidR="000636C2">
        <w:rPr>
          <w:rFonts w:hint="cs"/>
          <w:rtl/>
        </w:rPr>
        <w:t>،</w:t>
      </w:r>
      <w:r>
        <w:rPr>
          <w:rFonts w:hint="cs"/>
          <w:rtl/>
        </w:rPr>
        <w:t xml:space="preserve"> وقولهم</w:t>
      </w:r>
      <w:r w:rsidR="000636C2">
        <w:rPr>
          <w:rFonts w:hint="cs"/>
          <w:rtl/>
        </w:rPr>
        <w:t>:</w:t>
      </w:r>
      <w:r>
        <w:rPr>
          <w:rFonts w:hint="cs"/>
          <w:rtl/>
        </w:rPr>
        <w:t xml:space="preserve"> أمروا الأحاديث كما جاءت</w:t>
      </w:r>
      <w:r w:rsidR="000636C2">
        <w:rPr>
          <w:rFonts w:hint="cs"/>
          <w:rtl/>
        </w:rPr>
        <w:t>،</w:t>
      </w:r>
      <w:r>
        <w:rPr>
          <w:rFonts w:hint="cs"/>
          <w:rtl/>
        </w:rPr>
        <w:t xml:space="preserve"> وقولهم</w:t>
      </w:r>
      <w:r w:rsidR="000636C2">
        <w:rPr>
          <w:rFonts w:hint="cs"/>
          <w:rtl/>
        </w:rPr>
        <w:t>:</w:t>
      </w:r>
      <w:r>
        <w:rPr>
          <w:rFonts w:hint="cs"/>
          <w:rtl/>
        </w:rPr>
        <w:t xml:space="preserve"> كانوا لا يفسرون شيئا</w:t>
      </w:r>
      <w:r w:rsidR="000636C2">
        <w:rPr>
          <w:rFonts w:hint="cs"/>
          <w:rtl/>
        </w:rPr>
        <w:t>،</w:t>
      </w:r>
      <w:r>
        <w:rPr>
          <w:rFonts w:hint="cs"/>
          <w:rtl/>
        </w:rPr>
        <w:t xml:space="preserve"> وقولهم</w:t>
      </w:r>
      <w:r w:rsidR="000636C2">
        <w:rPr>
          <w:rFonts w:hint="cs"/>
          <w:rtl/>
        </w:rPr>
        <w:t>:</w:t>
      </w:r>
      <w:r>
        <w:rPr>
          <w:rFonts w:hint="cs"/>
          <w:rtl/>
        </w:rPr>
        <w:t xml:space="preserve"> قلنا لا نفسر هذا ولا سمعنا أحدا يفسره</w:t>
      </w:r>
      <w:r w:rsidR="000636C2">
        <w:rPr>
          <w:rFonts w:hint="cs"/>
          <w:rtl/>
        </w:rPr>
        <w:t>،</w:t>
      </w:r>
      <w:r>
        <w:rPr>
          <w:rFonts w:hint="cs"/>
          <w:rtl/>
        </w:rPr>
        <w:t xml:space="preserve"> وقولهم</w:t>
      </w:r>
      <w:r w:rsidR="000636C2">
        <w:rPr>
          <w:rFonts w:hint="cs"/>
          <w:rtl/>
        </w:rPr>
        <w:t>:</w:t>
      </w:r>
      <w:r>
        <w:rPr>
          <w:rFonts w:hint="cs"/>
          <w:rtl/>
        </w:rPr>
        <w:t xml:space="preserve"> فتفسيره تلاوته</w:t>
      </w:r>
      <w:r>
        <w:rPr>
          <w:rFonts w:hint="cs"/>
        </w:rPr>
        <w:t xml:space="preserve"> </w:t>
      </w:r>
      <w:r>
        <w:rPr>
          <w:rFonts w:hint="cs"/>
          <w:rtl/>
        </w:rPr>
        <w:t>والسكوت عليه</w:t>
      </w:r>
      <w:r w:rsidR="000636C2">
        <w:rPr>
          <w:rFonts w:hint="cs"/>
          <w:rtl/>
        </w:rPr>
        <w:t>،</w:t>
      </w:r>
      <w:r>
        <w:rPr>
          <w:rFonts w:hint="cs"/>
          <w:rtl/>
        </w:rPr>
        <w:t xml:space="preserve"> وقولهم</w:t>
      </w:r>
      <w:r w:rsidR="000636C2">
        <w:rPr>
          <w:rFonts w:hint="cs"/>
          <w:rtl/>
        </w:rPr>
        <w:t>:</w:t>
      </w:r>
      <w:r>
        <w:rPr>
          <w:rFonts w:hint="cs"/>
          <w:rtl/>
        </w:rPr>
        <w:t xml:space="preserve"> فنحن</w:t>
      </w:r>
      <w:r>
        <w:rPr>
          <w:rFonts w:hint="cs"/>
        </w:rPr>
        <w:t xml:space="preserve"> </w:t>
      </w:r>
      <w:r>
        <w:rPr>
          <w:rFonts w:hint="cs"/>
          <w:rtl/>
        </w:rPr>
        <w:t>نرويها ونؤمن بها ولا نفسرها</w:t>
      </w:r>
      <w:r w:rsidR="000636C2">
        <w:rPr>
          <w:rFonts w:hint="cs"/>
          <w:rtl/>
        </w:rPr>
        <w:t>،</w:t>
      </w:r>
      <w:r>
        <w:rPr>
          <w:rFonts w:hint="cs"/>
          <w:rtl/>
        </w:rPr>
        <w:t xml:space="preserve"> وقولهم</w:t>
      </w:r>
      <w:r w:rsidR="000636C2">
        <w:rPr>
          <w:rFonts w:hint="cs"/>
          <w:rtl/>
        </w:rPr>
        <w:t>:</w:t>
      </w:r>
      <w:r>
        <w:rPr>
          <w:rFonts w:hint="cs"/>
          <w:rtl/>
        </w:rPr>
        <w:t xml:space="preserve"> كل شيء وصف</w:t>
      </w:r>
      <w:r>
        <w:rPr>
          <w:rFonts w:hint="cs"/>
        </w:rPr>
        <w:t xml:space="preserve"> </w:t>
      </w:r>
      <w:r>
        <w:rPr>
          <w:rFonts w:hint="cs"/>
          <w:rtl/>
        </w:rPr>
        <w:t>الله به نفسه في القرآن فقراءته تفسيره لا كيف</w:t>
      </w:r>
      <w:r>
        <w:rPr>
          <w:rFonts w:hint="cs"/>
        </w:rPr>
        <w:t xml:space="preserve"> </w:t>
      </w:r>
      <w:r>
        <w:rPr>
          <w:rFonts w:hint="cs"/>
          <w:rtl/>
        </w:rPr>
        <w:t>ولا مثل</w:t>
      </w:r>
      <w:r w:rsidR="000636C2">
        <w:rPr>
          <w:rFonts w:hint="cs"/>
          <w:rtl/>
        </w:rPr>
        <w:t>،</w:t>
      </w:r>
      <w:r>
        <w:rPr>
          <w:rFonts w:hint="cs"/>
          <w:rtl/>
        </w:rPr>
        <w:t xml:space="preserve"> وقولهم</w:t>
      </w:r>
      <w:r w:rsidR="000636C2">
        <w:rPr>
          <w:rFonts w:hint="cs"/>
          <w:rtl/>
        </w:rPr>
        <w:t>:</w:t>
      </w:r>
      <w:r>
        <w:rPr>
          <w:rFonts w:hint="cs"/>
          <w:rtl/>
        </w:rPr>
        <w:t xml:space="preserve"> فمن فسر اليوم شيئا من</w:t>
      </w:r>
      <w:r>
        <w:rPr>
          <w:rFonts w:hint="cs"/>
        </w:rPr>
        <w:t xml:space="preserve"> </w:t>
      </w:r>
      <w:r>
        <w:rPr>
          <w:rFonts w:hint="cs"/>
          <w:rtl/>
        </w:rPr>
        <w:t>ذلك فقد خرج مما كان عليه النبي صلى الله عليه وسلم والجماعة فإنهم لم يصفوا</w:t>
      </w:r>
      <w:r>
        <w:rPr>
          <w:rFonts w:hint="cs"/>
        </w:rPr>
        <w:t xml:space="preserve"> </w:t>
      </w:r>
      <w:r>
        <w:rPr>
          <w:rFonts w:hint="cs"/>
          <w:rtl/>
        </w:rPr>
        <w:t>ولم يفسروا</w:t>
      </w:r>
      <w:r w:rsidR="000636C2">
        <w:rPr>
          <w:rFonts w:hint="cs"/>
          <w:rtl/>
        </w:rPr>
        <w:t>،</w:t>
      </w:r>
      <w:r>
        <w:rPr>
          <w:rFonts w:hint="cs"/>
          <w:rtl/>
        </w:rPr>
        <w:t xml:space="preserve"> وقولهم</w:t>
      </w:r>
      <w:r w:rsidR="000636C2">
        <w:rPr>
          <w:rFonts w:hint="cs"/>
          <w:rtl/>
        </w:rPr>
        <w:t>:</w:t>
      </w:r>
      <w:r>
        <w:rPr>
          <w:rFonts w:hint="cs"/>
          <w:rtl/>
        </w:rPr>
        <w:t xml:space="preserve"> كل ما جاء في القرآن أو صح عن المصطفى عليه السلام من صفات الرحمن وجب الإيمان به وتلقيه بالتسليم والقبول وترك التعرض له</w:t>
      </w:r>
      <w:r w:rsidR="000636C2">
        <w:rPr>
          <w:rFonts w:hint="cs"/>
          <w:rtl/>
        </w:rPr>
        <w:t>،</w:t>
      </w:r>
      <w:r>
        <w:rPr>
          <w:rFonts w:hint="cs"/>
          <w:rtl/>
        </w:rPr>
        <w:t xml:space="preserve"> وقولهم</w:t>
      </w:r>
      <w:r w:rsidR="000636C2">
        <w:rPr>
          <w:rFonts w:hint="cs"/>
          <w:rtl/>
        </w:rPr>
        <w:t>:</w:t>
      </w:r>
      <w:r>
        <w:rPr>
          <w:rFonts w:hint="cs"/>
          <w:rtl/>
        </w:rPr>
        <w:t xml:space="preserve"> نحن</w:t>
      </w:r>
      <w:r>
        <w:rPr>
          <w:rFonts w:hint="cs"/>
        </w:rPr>
        <w:t xml:space="preserve"> </w:t>
      </w:r>
      <w:r>
        <w:rPr>
          <w:rFonts w:hint="cs"/>
          <w:rtl/>
        </w:rPr>
        <w:t>نرويها ونؤمن بها ولا نفسرها</w:t>
      </w:r>
      <w:r w:rsidR="000636C2">
        <w:rPr>
          <w:rFonts w:hint="cs"/>
          <w:rtl/>
        </w:rPr>
        <w:t>،</w:t>
      </w:r>
      <w:r>
        <w:rPr>
          <w:rFonts w:hint="cs"/>
          <w:rtl/>
        </w:rPr>
        <w:t xml:space="preserve"> وقولهم</w:t>
      </w:r>
      <w:r w:rsidR="000636C2">
        <w:rPr>
          <w:rFonts w:hint="cs"/>
          <w:rtl/>
        </w:rPr>
        <w:t>:</w:t>
      </w:r>
      <w:r>
        <w:rPr>
          <w:rFonts w:hint="cs"/>
          <w:rtl/>
        </w:rPr>
        <w:t xml:space="preserve"> إذا سئلنا عن تفسيرها</w:t>
      </w:r>
      <w:r w:rsidR="000636C2">
        <w:rPr>
          <w:rtl/>
        </w:rPr>
        <w:t xml:space="preserve"> </w:t>
      </w:r>
      <w:r>
        <w:rPr>
          <w:rFonts w:hint="cs"/>
          <w:rtl/>
        </w:rPr>
        <w:t>قلنا</w:t>
      </w:r>
      <w:r w:rsidR="000636C2">
        <w:rPr>
          <w:rFonts w:hint="cs"/>
          <w:rtl/>
        </w:rPr>
        <w:t>:</w:t>
      </w:r>
      <w:r>
        <w:rPr>
          <w:rFonts w:hint="cs"/>
          <w:rtl/>
        </w:rPr>
        <w:t xml:space="preserve"> ما أدركنا أحدا يفسر منها شيئا ونحن لا نفسر منها شيئا نصدق بها ونسكت</w:t>
      </w:r>
      <w:r w:rsidR="000636C2">
        <w:rPr>
          <w:rFonts w:hint="cs"/>
          <w:rtl/>
        </w:rPr>
        <w:t>،</w:t>
      </w:r>
      <w:r>
        <w:rPr>
          <w:rFonts w:hint="cs"/>
          <w:rtl/>
        </w:rPr>
        <w:t xml:space="preserve"> وقولهم</w:t>
      </w:r>
      <w:r w:rsidR="000636C2">
        <w:rPr>
          <w:rFonts w:hint="cs"/>
          <w:rtl/>
        </w:rPr>
        <w:t>:</w:t>
      </w:r>
      <w:r>
        <w:rPr>
          <w:rFonts w:hint="cs"/>
          <w:rtl/>
        </w:rPr>
        <w:t xml:space="preserve"> وما يعلم تأويله إلا الله</w:t>
      </w:r>
      <w:r w:rsidR="000636C2">
        <w:rPr>
          <w:rFonts w:hint="cs"/>
          <w:rtl/>
        </w:rPr>
        <w:t>،</w:t>
      </w:r>
      <w:r>
        <w:rPr>
          <w:rFonts w:hint="cs"/>
          <w:rtl/>
        </w:rPr>
        <w:t xml:space="preserve"> وقولهم</w:t>
      </w:r>
      <w:r w:rsidR="000636C2">
        <w:rPr>
          <w:rFonts w:hint="cs"/>
          <w:rtl/>
        </w:rPr>
        <w:t>:</w:t>
      </w:r>
      <w:r>
        <w:rPr>
          <w:rFonts w:hint="cs"/>
          <w:rtl/>
        </w:rPr>
        <w:t xml:space="preserve"> كان</w:t>
      </w:r>
      <w:r>
        <w:rPr>
          <w:rFonts w:hint="cs"/>
        </w:rPr>
        <w:t xml:space="preserve"> </w:t>
      </w:r>
      <w:r>
        <w:rPr>
          <w:rFonts w:hint="cs"/>
          <w:rtl/>
        </w:rPr>
        <w:t>رسوخهم في العلم أن آمنوا بمتشابهه</w:t>
      </w:r>
      <w:r>
        <w:rPr>
          <w:rFonts w:hint="cs"/>
        </w:rPr>
        <w:t xml:space="preserve"> </w:t>
      </w:r>
      <w:r>
        <w:rPr>
          <w:rFonts w:hint="cs"/>
          <w:rtl/>
        </w:rPr>
        <w:t>ولا</w:t>
      </w:r>
      <w:r>
        <w:rPr>
          <w:rFonts w:hint="cs"/>
        </w:rPr>
        <w:t xml:space="preserve"> </w:t>
      </w:r>
      <w:r>
        <w:rPr>
          <w:rFonts w:hint="cs"/>
          <w:rtl/>
        </w:rPr>
        <w:t>يعلمونه</w:t>
      </w:r>
      <w:r w:rsidR="000636C2">
        <w:rPr>
          <w:rFonts w:hint="cs"/>
          <w:rtl/>
        </w:rPr>
        <w:t>،</w:t>
      </w:r>
      <w:r>
        <w:rPr>
          <w:rFonts w:hint="cs"/>
          <w:rtl/>
        </w:rPr>
        <w:t xml:space="preserve"> وقولهم</w:t>
      </w:r>
      <w:r w:rsidR="000636C2">
        <w:rPr>
          <w:rFonts w:hint="cs"/>
          <w:rtl/>
        </w:rPr>
        <w:t>:</w:t>
      </w:r>
      <w:r>
        <w:rPr>
          <w:rFonts w:hint="cs"/>
          <w:rtl/>
        </w:rPr>
        <w:t xml:space="preserve"> نكل</w:t>
      </w:r>
      <w:r>
        <w:rPr>
          <w:rFonts w:hint="cs"/>
        </w:rPr>
        <w:t xml:space="preserve"> </w:t>
      </w:r>
      <w:r>
        <w:rPr>
          <w:rFonts w:hint="cs"/>
          <w:rtl/>
        </w:rPr>
        <w:t>علمه إلى الله</w:t>
      </w:r>
      <w:r w:rsidR="000636C2">
        <w:rPr>
          <w:rFonts w:hint="cs"/>
          <w:rtl/>
        </w:rPr>
        <w:t>،</w:t>
      </w:r>
      <w:r>
        <w:rPr>
          <w:rFonts w:hint="cs"/>
          <w:rtl/>
        </w:rPr>
        <w:t xml:space="preserve"> وقولهم: ونفوض علمه إلى الله</w:t>
      </w:r>
      <w:r w:rsidR="000636C2">
        <w:rPr>
          <w:rFonts w:hint="cs"/>
          <w:rtl/>
        </w:rPr>
        <w:t>،</w:t>
      </w:r>
      <w:r>
        <w:rPr>
          <w:rFonts w:hint="cs"/>
          <w:rtl/>
        </w:rPr>
        <w:t xml:space="preserve"> وقولهم</w:t>
      </w:r>
      <w:r w:rsidR="000636C2">
        <w:rPr>
          <w:rFonts w:hint="cs"/>
          <w:rtl/>
        </w:rPr>
        <w:t>:</w:t>
      </w:r>
      <w:r>
        <w:rPr>
          <w:rFonts w:hint="cs"/>
          <w:rtl/>
        </w:rPr>
        <w:t xml:space="preserve"> هذا من متشابه</w:t>
      </w:r>
      <w:r>
        <w:rPr>
          <w:rFonts w:hint="cs"/>
        </w:rPr>
        <w:t xml:space="preserve"> </w:t>
      </w:r>
      <w:r>
        <w:rPr>
          <w:rFonts w:hint="cs"/>
          <w:rtl/>
        </w:rPr>
        <w:t>القرآن الذي</w:t>
      </w:r>
      <w:r>
        <w:rPr>
          <w:rFonts w:hint="cs"/>
        </w:rPr>
        <w:t xml:space="preserve"> </w:t>
      </w:r>
      <w:r>
        <w:rPr>
          <w:rFonts w:hint="cs"/>
          <w:rtl/>
        </w:rPr>
        <w:t>نؤمن</w:t>
      </w:r>
      <w:r>
        <w:rPr>
          <w:rFonts w:hint="cs"/>
        </w:rPr>
        <w:t xml:space="preserve"> </w:t>
      </w:r>
      <w:r>
        <w:rPr>
          <w:rFonts w:hint="cs"/>
          <w:rtl/>
        </w:rPr>
        <w:t>به</w:t>
      </w:r>
      <w:r>
        <w:rPr>
          <w:rFonts w:hint="cs"/>
        </w:rPr>
        <w:t xml:space="preserve"> </w:t>
      </w:r>
      <w:r>
        <w:rPr>
          <w:rFonts w:hint="cs"/>
          <w:rtl/>
        </w:rPr>
        <w:t>ولا</w:t>
      </w:r>
      <w:r>
        <w:rPr>
          <w:rFonts w:hint="cs"/>
        </w:rPr>
        <w:t xml:space="preserve"> </w:t>
      </w:r>
      <w:r>
        <w:rPr>
          <w:rFonts w:hint="cs"/>
          <w:rtl/>
        </w:rPr>
        <w:t>نتعرض</w:t>
      </w:r>
      <w:r>
        <w:rPr>
          <w:rFonts w:hint="cs"/>
        </w:rPr>
        <w:t xml:space="preserve"> </w:t>
      </w:r>
      <w:r>
        <w:rPr>
          <w:rFonts w:hint="cs"/>
          <w:rtl/>
        </w:rPr>
        <w:t>لمعناه</w:t>
      </w:r>
      <w:r w:rsidR="000636C2">
        <w:rPr>
          <w:rFonts w:hint="cs"/>
          <w:rtl/>
        </w:rPr>
        <w:t>،</w:t>
      </w:r>
      <w:r>
        <w:rPr>
          <w:rFonts w:hint="cs"/>
          <w:rtl/>
        </w:rPr>
        <w:t xml:space="preserve"> وقولهم</w:t>
      </w:r>
      <w:r w:rsidR="000636C2">
        <w:rPr>
          <w:rFonts w:hint="cs"/>
          <w:rtl/>
        </w:rPr>
        <w:t xml:space="preserve">: </w:t>
      </w:r>
      <w:r>
        <w:rPr>
          <w:rFonts w:hint="cs"/>
          <w:rtl/>
        </w:rPr>
        <w:t>هذا</w:t>
      </w:r>
      <w:r>
        <w:rPr>
          <w:rFonts w:hint="cs"/>
        </w:rPr>
        <w:t xml:space="preserve"> </w:t>
      </w:r>
      <w:r>
        <w:rPr>
          <w:rFonts w:hint="cs"/>
          <w:rtl/>
        </w:rPr>
        <w:t>من المكتوم الذي لا يفسر</w:t>
      </w:r>
      <w:r w:rsidR="000636C2">
        <w:rPr>
          <w:rFonts w:hint="cs"/>
          <w:rtl/>
        </w:rPr>
        <w:t>،</w:t>
      </w:r>
      <w:r>
        <w:rPr>
          <w:rFonts w:hint="cs"/>
          <w:rtl/>
        </w:rPr>
        <w:t xml:space="preserve"> وقولهم</w:t>
      </w:r>
      <w:r w:rsidR="000636C2">
        <w:rPr>
          <w:rFonts w:hint="cs"/>
          <w:rtl/>
        </w:rPr>
        <w:t>:</w:t>
      </w:r>
      <w:r>
        <w:rPr>
          <w:rFonts w:hint="cs"/>
          <w:rtl/>
        </w:rPr>
        <w:t xml:space="preserve"> المذهب هو عدم الخوض في مثل هذا والسكوت عنه وتفويض علمه</w:t>
      </w:r>
      <w:r>
        <w:rPr>
          <w:rFonts w:hint="cs"/>
        </w:rPr>
        <w:t xml:space="preserve"> </w:t>
      </w:r>
      <w:r>
        <w:rPr>
          <w:rFonts w:hint="cs"/>
          <w:rtl/>
        </w:rPr>
        <w:t>إلى الله تعالى</w:t>
      </w:r>
      <w:r w:rsidR="000636C2">
        <w:rPr>
          <w:rFonts w:hint="cs"/>
          <w:rtl/>
        </w:rPr>
        <w:t>،</w:t>
      </w:r>
      <w:r>
        <w:rPr>
          <w:rFonts w:hint="cs"/>
          <w:rtl/>
        </w:rPr>
        <w:t xml:space="preserve"> وقولهم</w:t>
      </w:r>
      <w:r w:rsidR="000636C2">
        <w:rPr>
          <w:rtl/>
        </w:rPr>
        <w:t>:</w:t>
      </w:r>
      <w:r>
        <w:rPr>
          <w:rtl/>
        </w:rPr>
        <w:t xml:space="preserve"> </w:t>
      </w:r>
      <w:r>
        <w:rPr>
          <w:rFonts w:hint="cs"/>
          <w:rtl/>
        </w:rPr>
        <w:t>المذهب في هذا وأمثاله السكوت عن الخوض في معناه وتفويض علمه</w:t>
      </w:r>
      <w:r>
        <w:rPr>
          <w:rFonts w:hint="cs"/>
        </w:rPr>
        <w:t xml:space="preserve"> </w:t>
      </w:r>
      <w:r>
        <w:rPr>
          <w:rFonts w:hint="cs"/>
          <w:rtl/>
        </w:rPr>
        <w:t>إلى الله تعالى</w:t>
      </w:r>
      <w:r w:rsidR="000636C2">
        <w:rPr>
          <w:rFonts w:hint="cs"/>
          <w:rtl/>
        </w:rPr>
        <w:t>،</w:t>
      </w:r>
      <w:r>
        <w:rPr>
          <w:rFonts w:hint="cs"/>
          <w:rtl/>
        </w:rPr>
        <w:t xml:space="preserve"> وقولهم</w:t>
      </w:r>
      <w:r w:rsidR="000636C2">
        <w:rPr>
          <w:rFonts w:hint="cs"/>
          <w:rtl/>
        </w:rPr>
        <w:t>:</w:t>
      </w:r>
      <w:r>
        <w:rPr>
          <w:rFonts w:hint="cs"/>
          <w:rtl/>
        </w:rPr>
        <w:t xml:space="preserve"> هذه</w:t>
      </w:r>
      <w:r>
        <w:rPr>
          <w:rFonts w:hint="cs"/>
        </w:rPr>
        <w:t xml:space="preserve"> </w:t>
      </w:r>
      <w:r>
        <w:rPr>
          <w:rFonts w:hint="cs"/>
          <w:rtl/>
        </w:rPr>
        <w:t>الأحاديث ونحوها تروى كما جاءت ويفوض معناها إلى</w:t>
      </w:r>
      <w:r>
        <w:rPr>
          <w:rFonts w:hint="cs"/>
        </w:rPr>
        <w:t xml:space="preserve"> </w:t>
      </w:r>
      <w:r>
        <w:rPr>
          <w:rFonts w:hint="cs"/>
          <w:rtl/>
        </w:rPr>
        <w:t>الله</w:t>
      </w:r>
      <w:r w:rsidR="000636C2">
        <w:rPr>
          <w:rFonts w:hint="cs"/>
          <w:rtl/>
        </w:rPr>
        <w:t>،</w:t>
      </w:r>
      <w:r>
        <w:rPr>
          <w:rFonts w:hint="cs"/>
          <w:rtl/>
        </w:rPr>
        <w:t xml:space="preserve"> وقولهم</w:t>
      </w:r>
      <w:r w:rsidR="000636C2">
        <w:rPr>
          <w:rFonts w:hint="cs"/>
          <w:rtl/>
        </w:rPr>
        <w:t>:</w:t>
      </w:r>
      <w:r>
        <w:rPr>
          <w:rFonts w:hint="cs"/>
          <w:rtl/>
        </w:rPr>
        <w:t xml:space="preserve"> حرام</w:t>
      </w:r>
      <w:r>
        <w:rPr>
          <w:rFonts w:hint="cs"/>
        </w:rPr>
        <w:t xml:space="preserve"> </w:t>
      </w:r>
      <w:r>
        <w:rPr>
          <w:rFonts w:hint="cs"/>
          <w:rtl/>
        </w:rPr>
        <w:t>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w:t>
      </w:r>
      <w:r>
        <w:rPr>
          <w:rFonts w:hint="cs"/>
        </w:rPr>
        <w:t xml:space="preserve"> </w:t>
      </w:r>
      <w:r>
        <w:rPr>
          <w:rFonts w:hint="cs"/>
          <w:rtl/>
        </w:rPr>
        <w:t>تعالى وعلى الأوهام أن</w:t>
      </w:r>
      <w:r>
        <w:rPr>
          <w:rFonts w:hint="cs"/>
        </w:rPr>
        <w:t xml:space="preserve"> </w:t>
      </w:r>
      <w:r>
        <w:rPr>
          <w:rFonts w:hint="cs"/>
          <w:rtl/>
        </w:rPr>
        <w:lastRenderedPageBreak/>
        <w:t>تحد</w:t>
      </w:r>
      <w:r>
        <w:rPr>
          <w:rFonts w:hint="cs"/>
        </w:rPr>
        <w:t xml:space="preserve"> </w:t>
      </w:r>
      <w:r>
        <w:rPr>
          <w:rFonts w:hint="cs"/>
          <w:rtl/>
        </w:rPr>
        <w:t>وعلى</w:t>
      </w:r>
      <w:r>
        <w:rPr>
          <w:rFonts w:hint="cs"/>
        </w:rPr>
        <w:t xml:space="preserve"> </w:t>
      </w:r>
      <w:r>
        <w:rPr>
          <w:rFonts w:hint="cs"/>
          <w:rtl/>
        </w:rPr>
        <w:t>الظنون</w:t>
      </w:r>
      <w:r>
        <w:rPr>
          <w:rFonts w:hint="cs"/>
        </w:rPr>
        <w:t xml:space="preserve"> </w:t>
      </w:r>
      <w:r>
        <w:rPr>
          <w:rFonts w:hint="cs"/>
          <w:rtl/>
        </w:rPr>
        <w:t>أن</w:t>
      </w:r>
      <w:r>
        <w:rPr>
          <w:rFonts w:hint="cs"/>
        </w:rPr>
        <w:t xml:space="preserve"> </w:t>
      </w:r>
      <w:r>
        <w:rPr>
          <w:rFonts w:hint="cs"/>
          <w:rtl/>
        </w:rPr>
        <w:t>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w:t>
      </w:r>
      <w:r>
        <w:rPr>
          <w:rFonts w:hint="cs"/>
        </w:rPr>
        <w:t xml:space="preserve"> </w:t>
      </w:r>
      <w:r>
        <w:rPr>
          <w:rFonts w:hint="cs"/>
          <w:rtl/>
        </w:rPr>
        <w:t>أن تعمق وعلى الخواطر أن تحيط</w:t>
      </w:r>
      <w:r w:rsidR="000636C2">
        <w:rPr>
          <w:rFonts w:hint="cs"/>
          <w:rtl/>
        </w:rPr>
        <w:t>،</w:t>
      </w:r>
      <w:r>
        <w:rPr>
          <w:rFonts w:hint="cs"/>
          <w:rtl/>
        </w:rPr>
        <w:t xml:space="preserve"> وقولهم</w:t>
      </w:r>
      <w:r w:rsidR="000636C2">
        <w:rPr>
          <w:rFonts w:hint="cs"/>
          <w:rtl/>
        </w:rPr>
        <w:t>:</w:t>
      </w:r>
      <w:r>
        <w:rPr>
          <w:rFonts w:hint="cs"/>
          <w:rtl/>
        </w:rPr>
        <w:t xml:space="preserve"> آمنت</w:t>
      </w:r>
      <w:r>
        <w:rPr>
          <w:rFonts w:hint="cs"/>
        </w:rPr>
        <w:t xml:space="preserve"> </w:t>
      </w:r>
      <w:r>
        <w:rPr>
          <w:rFonts w:hint="cs"/>
          <w:rtl/>
        </w:rPr>
        <w:t>بالله وبما جاء عن الله وعلى مراد الله وآمنت برسول الله</w:t>
      </w:r>
      <w:r>
        <w:rPr>
          <w:rFonts w:hint="cs"/>
        </w:rPr>
        <w:t xml:space="preserve"> </w:t>
      </w:r>
      <w:r>
        <w:rPr>
          <w:rFonts w:hint="cs"/>
          <w:rtl/>
        </w:rPr>
        <w:t>وبما جاء به رسول الله وعلى مراد رسول الله</w:t>
      </w:r>
      <w:r w:rsidR="000636C2">
        <w:rPr>
          <w:rFonts w:hint="cs"/>
          <w:rtl/>
        </w:rPr>
        <w:t>،</w:t>
      </w:r>
      <w:r>
        <w:rPr>
          <w:rFonts w:hint="cs"/>
          <w:rtl/>
        </w:rPr>
        <w:t xml:space="preserve"> وقولهم</w:t>
      </w:r>
      <w:r w:rsidR="000636C2">
        <w:rPr>
          <w:rFonts w:hint="cs"/>
          <w:rtl/>
        </w:rPr>
        <w:t>:</w:t>
      </w:r>
      <w:r>
        <w:rPr>
          <w:rFonts w:hint="cs"/>
          <w:rtl/>
        </w:rPr>
        <w:t xml:space="preserve"> نكل علمه</w:t>
      </w:r>
      <w:r>
        <w:rPr>
          <w:rFonts w:hint="cs"/>
        </w:rPr>
        <w:t xml:space="preserve"> </w:t>
      </w:r>
      <w:r>
        <w:rPr>
          <w:rFonts w:hint="cs"/>
          <w:rtl/>
        </w:rPr>
        <w:t>إلى الله تعالى</w:t>
      </w:r>
      <w:r w:rsidR="000636C2">
        <w:rPr>
          <w:rFonts w:hint="cs"/>
          <w:rtl/>
        </w:rPr>
        <w:t>،</w:t>
      </w:r>
      <w:r>
        <w:rPr>
          <w:rFonts w:hint="cs"/>
          <w:rtl/>
        </w:rPr>
        <w:t xml:space="preserve"> وقولهم</w:t>
      </w:r>
      <w:r w:rsidR="000636C2">
        <w:rPr>
          <w:rFonts w:hint="cs"/>
          <w:rtl/>
        </w:rPr>
        <w:t>:</w:t>
      </w:r>
      <w:r>
        <w:rPr>
          <w:rFonts w:hint="cs"/>
          <w:rtl/>
        </w:rPr>
        <w:t xml:space="preserve"> والسؤال عنه بدعة</w:t>
      </w:r>
      <w:r w:rsidR="000636C2">
        <w:rPr>
          <w:rFonts w:hint="cs"/>
          <w:rtl/>
        </w:rPr>
        <w:t>،</w:t>
      </w:r>
      <w:r>
        <w:rPr>
          <w:rFonts w:hint="cs"/>
          <w:rtl/>
        </w:rPr>
        <w:t xml:space="preserve"> وقولهم</w:t>
      </w:r>
      <w:r w:rsidR="000636C2">
        <w:rPr>
          <w:rFonts w:hint="cs"/>
          <w:rtl/>
        </w:rPr>
        <w:t>:</w:t>
      </w:r>
      <w:r>
        <w:rPr>
          <w:rFonts w:hint="cs"/>
          <w:rtl/>
        </w:rPr>
        <w:t xml:space="preserve"> من</w:t>
      </w:r>
      <w:r>
        <w:rPr>
          <w:rFonts w:hint="cs"/>
        </w:rPr>
        <w:t xml:space="preserve"> </w:t>
      </w:r>
      <w:r>
        <w:rPr>
          <w:rFonts w:hint="cs"/>
          <w:rtl/>
        </w:rPr>
        <w:t>تكلم في معناها فقد ابتدع</w:t>
      </w:r>
      <w:r w:rsidR="000636C2">
        <w:rPr>
          <w:rFonts w:hint="cs"/>
          <w:rtl/>
        </w:rPr>
        <w:t>،</w:t>
      </w:r>
      <w:r>
        <w:rPr>
          <w:rFonts w:hint="cs"/>
          <w:rtl/>
        </w:rPr>
        <w:t xml:space="preserve"> ومن هذه العبارات الممتلئة علماً وورعاً تبين لنا مدى حذر السلف الكرام من الخوض في المتشابه حذراً من قوله تعالى</w:t>
      </w:r>
      <w:r w:rsidR="000636C2">
        <w:rPr>
          <w:rFonts w:hint="cs"/>
          <w:rtl/>
        </w:rPr>
        <w:t>:</w:t>
      </w:r>
      <w:r>
        <w:rPr>
          <w:rFonts w:hint="cs"/>
          <w:rtl/>
        </w:rPr>
        <w:t xml:space="preserve"> </w:t>
      </w:r>
      <w:r w:rsidR="000636C2">
        <w:rPr>
          <w:rFonts w:hint="cs"/>
          <w:rtl/>
        </w:rPr>
        <w:t>{</w:t>
      </w:r>
      <w:r>
        <w:rPr>
          <w:rFonts w:hint="cs"/>
          <w:rtl/>
        </w:rPr>
        <w:t>هُوَ الَّذِيَ</w:t>
      </w:r>
      <w:r>
        <w:rPr>
          <w:rFonts w:hint="cs"/>
        </w:rPr>
        <w:t xml:space="preserve"> </w:t>
      </w:r>
      <w:r>
        <w:rPr>
          <w:rFonts w:hint="cs"/>
          <w:rtl/>
        </w:rPr>
        <w:t>أَنزَلَ عَلَيْكَ الْكِتَابَ مِنْهُ آيَاتٌ مُّحْكَمَاتٌ هُنَّ أُمُّ الْكِتَابِ</w:t>
      </w:r>
      <w:r>
        <w:rPr>
          <w:rFonts w:hint="cs"/>
        </w:rPr>
        <w:t xml:space="preserve"> </w:t>
      </w:r>
      <w:r>
        <w:rPr>
          <w:rFonts w:hint="cs"/>
          <w:rtl/>
        </w:rPr>
        <w:t>وَأُخَرُ مُتَشَابِهَاتٌ فَأَمَّا الَّذِينَ في قُلُوبِهِمْ زَيْغٌ فَيَتَّبِعُونَ</w:t>
      </w:r>
      <w:r>
        <w:rPr>
          <w:rFonts w:hint="cs"/>
        </w:rPr>
        <w:t xml:space="preserve"> </w:t>
      </w:r>
      <w:r>
        <w:rPr>
          <w:rFonts w:hint="cs"/>
          <w:rtl/>
        </w:rPr>
        <w:t>مَا تَشَابَهَ مِنْهُ ابْتِغَاء الْفِتْنَةِ وَابْتِغَاء تَأْوِيلِهِ</w:t>
      </w:r>
      <w:r w:rsidR="000636C2">
        <w:rPr>
          <w:rFonts w:hint="cs"/>
          <w:rtl/>
        </w:rPr>
        <w:t>}</w:t>
      </w:r>
      <w:r>
        <w:rPr>
          <w:rFonts w:hint="cs"/>
          <w:rtl/>
        </w:rPr>
        <w:t xml:space="preserve"> </w:t>
      </w:r>
      <w:r w:rsidR="000636C2">
        <w:rPr>
          <w:rFonts w:hint="cs"/>
          <w:rtl/>
        </w:rPr>
        <w:t>[</w:t>
      </w:r>
      <w:r>
        <w:rPr>
          <w:rFonts w:hint="cs"/>
          <w:rtl/>
        </w:rPr>
        <w:t>آل عمران</w:t>
      </w:r>
      <w:r w:rsidR="000636C2">
        <w:rPr>
          <w:rFonts w:hint="cs"/>
          <w:rtl/>
        </w:rPr>
        <w:t>:</w:t>
      </w:r>
      <w:r>
        <w:rPr>
          <w:rFonts w:hint="cs"/>
          <w:rtl/>
        </w:rPr>
        <w:t xml:space="preserve"> 7]</w:t>
      </w:r>
      <w:r w:rsidR="000636C2">
        <w:rPr>
          <w:rFonts w:hint="cs"/>
          <w:rtl/>
        </w:rPr>
        <w:t>،</w:t>
      </w:r>
      <w:r>
        <w:rPr>
          <w:rFonts w:hint="cs"/>
          <w:rtl/>
        </w:rPr>
        <w:t xml:space="preserve"> </w:t>
      </w:r>
      <w:r>
        <w:rPr>
          <w:rFonts w:hint="cs"/>
          <w:bCs/>
          <w:rtl/>
        </w:rPr>
        <w:t>جاء في طبقات الشافعية الكبرى للإمام السبكي</w:t>
      </w:r>
      <w:r w:rsidR="000636C2">
        <w:rPr>
          <w:rFonts w:hint="cs"/>
          <w:bCs/>
          <w:rtl/>
        </w:rPr>
        <w:t>:</w:t>
      </w:r>
      <w:r>
        <w:rPr>
          <w:rFonts w:hint="cs"/>
          <w:bCs/>
          <w:rtl/>
        </w:rPr>
        <w:t xml:space="preserve"> </w:t>
      </w:r>
      <w:r>
        <w:rPr>
          <w:rFonts w:hint="cs"/>
          <w:rtl/>
        </w:rPr>
        <w:t xml:space="preserve">" </w:t>
      </w:r>
      <w:r>
        <w:rPr>
          <w:rFonts w:hint="cs"/>
          <w:bCs/>
          <w:rtl/>
        </w:rPr>
        <w:t>وسئل</w:t>
      </w:r>
      <w:r>
        <w:rPr>
          <w:rFonts w:hint="cs"/>
          <w:bCs/>
        </w:rPr>
        <w:t xml:space="preserve"> </w:t>
      </w:r>
      <w:r>
        <w:rPr>
          <w:rFonts w:hint="cs"/>
          <w:bCs/>
          <w:rtl/>
        </w:rPr>
        <w:t>الشافعي</w:t>
      </w:r>
      <w:r>
        <w:rPr>
          <w:rFonts w:hint="cs"/>
          <w:bCs/>
        </w:rPr>
        <w:t xml:space="preserve"> </w:t>
      </w:r>
      <w:r>
        <w:rPr>
          <w:rFonts w:hint="cs"/>
          <w:bCs/>
          <w:rtl/>
        </w:rPr>
        <w:t>رضي</w:t>
      </w:r>
      <w:r>
        <w:rPr>
          <w:rFonts w:hint="cs"/>
          <w:bCs/>
        </w:rPr>
        <w:t xml:space="preserve"> </w:t>
      </w:r>
      <w:r>
        <w:rPr>
          <w:rFonts w:hint="cs"/>
          <w:bCs/>
          <w:rtl/>
        </w:rPr>
        <w:t>الله عنه عن صفات الله فقال</w:t>
      </w:r>
      <w:r w:rsidR="000636C2">
        <w:rPr>
          <w:rFonts w:hint="cs"/>
          <w:rtl/>
        </w:rPr>
        <w:t>:</w:t>
      </w:r>
      <w:r>
        <w:rPr>
          <w:rFonts w:hint="cs"/>
          <w:rtl/>
        </w:rPr>
        <w:t xml:space="preserve"> حرام على العقول</w:t>
      </w:r>
      <w:r>
        <w:rPr>
          <w:rFonts w:hint="cs"/>
        </w:rPr>
        <w:t xml:space="preserve"> </w:t>
      </w:r>
      <w:r>
        <w:rPr>
          <w:rFonts w:hint="cs"/>
          <w:rtl/>
        </w:rPr>
        <w:t>أن</w:t>
      </w:r>
      <w:r>
        <w:rPr>
          <w:rFonts w:hint="cs"/>
        </w:rPr>
        <w:t xml:space="preserve"> </w:t>
      </w:r>
      <w:r>
        <w:rPr>
          <w:rFonts w:hint="cs"/>
          <w:rtl/>
        </w:rPr>
        <w:t>تمثل</w:t>
      </w:r>
      <w:r>
        <w:rPr>
          <w:rFonts w:hint="cs"/>
        </w:rPr>
        <w:t xml:space="preserve"> </w:t>
      </w:r>
      <w:r>
        <w:rPr>
          <w:rFonts w:hint="cs"/>
          <w:rtl/>
        </w:rPr>
        <w:t>الله تعالى وعلى الأوهام أن</w:t>
      </w:r>
      <w:r>
        <w:rPr>
          <w:rFonts w:hint="cs"/>
        </w:rPr>
        <w:t xml:space="preserve"> </w:t>
      </w:r>
      <w:r>
        <w:rPr>
          <w:rFonts w:hint="cs"/>
          <w:rtl/>
        </w:rPr>
        <w:t>تحد وعلى</w:t>
      </w:r>
      <w:r>
        <w:rPr>
          <w:rFonts w:hint="cs"/>
        </w:rPr>
        <w:t xml:space="preserve"> </w:t>
      </w:r>
      <w:r>
        <w:rPr>
          <w:rFonts w:hint="cs"/>
          <w:rtl/>
        </w:rPr>
        <w:t>الظنون</w:t>
      </w:r>
      <w:r>
        <w:rPr>
          <w:rFonts w:hint="cs"/>
        </w:rPr>
        <w:t xml:space="preserve"> </w:t>
      </w:r>
      <w:r>
        <w:rPr>
          <w:rFonts w:hint="cs"/>
          <w:rtl/>
        </w:rPr>
        <w:t>أن تقطع وعلى النفوس أن</w:t>
      </w:r>
      <w:r>
        <w:rPr>
          <w:rFonts w:hint="cs"/>
        </w:rPr>
        <w:t xml:space="preserve"> </w:t>
      </w:r>
      <w:r>
        <w:rPr>
          <w:rFonts w:hint="cs"/>
          <w:rtl/>
        </w:rPr>
        <w:t>تفكر</w:t>
      </w:r>
      <w:r>
        <w:rPr>
          <w:rFonts w:hint="cs"/>
        </w:rPr>
        <w:t xml:space="preserve"> </w:t>
      </w:r>
      <w:r>
        <w:rPr>
          <w:rFonts w:hint="cs"/>
          <w:rtl/>
        </w:rPr>
        <w:t>وعلى</w:t>
      </w:r>
      <w:r>
        <w:rPr>
          <w:rFonts w:hint="cs"/>
        </w:rPr>
        <w:t xml:space="preserve"> </w:t>
      </w:r>
      <w:r>
        <w:rPr>
          <w:rFonts w:hint="cs"/>
          <w:rtl/>
        </w:rPr>
        <w:t>الضمائر أن تعمق وعلى الخواطر أن تحيط إلا ما وصف</w:t>
      </w:r>
      <w:r>
        <w:rPr>
          <w:rFonts w:hint="cs"/>
        </w:rPr>
        <w:t xml:space="preserve"> </w:t>
      </w:r>
      <w:r>
        <w:rPr>
          <w:rFonts w:hint="cs"/>
          <w:rtl/>
        </w:rPr>
        <w:t>به</w:t>
      </w:r>
      <w:r>
        <w:rPr>
          <w:rFonts w:hint="cs"/>
        </w:rPr>
        <w:t xml:space="preserve"> </w:t>
      </w:r>
      <w:r>
        <w:rPr>
          <w:rFonts w:hint="cs"/>
          <w:rtl/>
        </w:rPr>
        <w:t>نفسه على لسان نبيه</w:t>
      </w:r>
      <w:r w:rsidR="000636C2">
        <w:rPr>
          <w:rFonts w:hint="cs"/>
          <w:rtl/>
        </w:rPr>
        <w:t xml:space="preserve"> </w:t>
      </w:r>
      <w:r>
        <w:rPr>
          <w:rFonts w:hint="cs"/>
          <w:rtl/>
        </w:rPr>
        <w:t>ومن</w:t>
      </w:r>
      <w:r>
        <w:rPr>
          <w:rFonts w:hint="cs"/>
        </w:rPr>
        <w:t xml:space="preserve"> </w:t>
      </w:r>
      <w:r>
        <w:rPr>
          <w:rFonts w:hint="cs"/>
          <w:rtl/>
        </w:rPr>
        <w:t>تقصى</w:t>
      </w:r>
      <w:r>
        <w:rPr>
          <w:rFonts w:hint="cs"/>
        </w:rPr>
        <w:t xml:space="preserve"> </w:t>
      </w:r>
      <w:r>
        <w:rPr>
          <w:rFonts w:hint="cs"/>
          <w:rtl/>
        </w:rPr>
        <w:t>وفتش</w:t>
      </w:r>
      <w:r>
        <w:rPr>
          <w:rFonts w:hint="cs"/>
        </w:rPr>
        <w:t xml:space="preserve"> </w:t>
      </w:r>
      <w:r>
        <w:rPr>
          <w:rFonts w:hint="cs"/>
          <w:rtl/>
        </w:rPr>
        <w:t>وبحث وجد أن الصحابة رضي</w:t>
      </w:r>
      <w:r>
        <w:rPr>
          <w:rFonts w:hint="cs"/>
        </w:rPr>
        <w:t xml:space="preserve"> </w:t>
      </w:r>
      <w:r>
        <w:rPr>
          <w:rFonts w:hint="cs"/>
          <w:rtl/>
        </w:rPr>
        <w:t>الله</w:t>
      </w:r>
      <w:r>
        <w:rPr>
          <w:rFonts w:hint="cs"/>
        </w:rPr>
        <w:t xml:space="preserve"> </w:t>
      </w:r>
      <w:r>
        <w:rPr>
          <w:rFonts w:hint="cs"/>
          <w:rtl/>
        </w:rPr>
        <w:t>عنهم</w:t>
      </w:r>
      <w:r>
        <w:rPr>
          <w:rFonts w:hint="cs"/>
        </w:rPr>
        <w:t xml:space="preserve"> </w:t>
      </w:r>
      <w:r>
        <w:rPr>
          <w:rFonts w:hint="cs"/>
          <w:rtl/>
        </w:rPr>
        <w:t>والتابعين والصدر الأول لم يكن دأبهم غير الإمساك</w:t>
      </w:r>
      <w:r>
        <w:rPr>
          <w:rFonts w:hint="cs"/>
        </w:rPr>
        <w:t xml:space="preserve"> </w:t>
      </w:r>
      <w:r>
        <w:rPr>
          <w:rFonts w:hint="cs"/>
          <w:rtl/>
        </w:rPr>
        <w:t>عن</w:t>
      </w:r>
      <w:r>
        <w:rPr>
          <w:rFonts w:hint="cs"/>
        </w:rPr>
        <w:t xml:space="preserve"> </w:t>
      </w:r>
      <w:r>
        <w:rPr>
          <w:rFonts w:hint="cs"/>
          <w:rtl/>
        </w:rPr>
        <w:t>الخوض في هذه الأمور</w:t>
      </w:r>
      <w:r>
        <w:rPr>
          <w:rFonts w:hint="cs"/>
        </w:rPr>
        <w:t xml:space="preserve"> </w:t>
      </w:r>
      <w:r>
        <w:rPr>
          <w:rFonts w:hint="cs"/>
          <w:rtl/>
        </w:rPr>
        <w:t>وترك</w:t>
      </w:r>
      <w:r>
        <w:rPr>
          <w:rFonts w:hint="cs"/>
        </w:rPr>
        <w:t xml:space="preserve"> </w:t>
      </w:r>
      <w:r>
        <w:rPr>
          <w:rFonts w:hint="cs"/>
          <w:rtl/>
        </w:rPr>
        <w:t>ذكرها</w:t>
      </w:r>
      <w:r>
        <w:rPr>
          <w:rFonts w:hint="cs"/>
        </w:rPr>
        <w:t xml:space="preserve"> </w:t>
      </w:r>
      <w:r>
        <w:rPr>
          <w:rFonts w:hint="cs"/>
          <w:rtl/>
        </w:rPr>
        <w:t>في المشاهد ولم يكونوا يدسونها إلى العوام ولا</w:t>
      </w:r>
      <w:r>
        <w:rPr>
          <w:rFonts w:hint="cs"/>
        </w:rPr>
        <w:t xml:space="preserve"> </w:t>
      </w:r>
      <w:r>
        <w:rPr>
          <w:rFonts w:hint="cs"/>
          <w:rtl/>
        </w:rPr>
        <w:t>يتكلمون</w:t>
      </w:r>
      <w:r>
        <w:rPr>
          <w:rFonts w:hint="cs"/>
        </w:rPr>
        <w:t xml:space="preserve"> </w:t>
      </w:r>
      <w:r>
        <w:rPr>
          <w:rFonts w:hint="cs"/>
          <w:rtl/>
        </w:rPr>
        <w:t>بها على المنابر</w:t>
      </w:r>
      <w:r>
        <w:rPr>
          <w:rFonts w:hint="cs"/>
        </w:rPr>
        <w:t xml:space="preserve"> </w:t>
      </w:r>
      <w:r>
        <w:rPr>
          <w:rFonts w:hint="cs"/>
          <w:rtl/>
        </w:rPr>
        <w:t>ولا</w:t>
      </w:r>
      <w:r>
        <w:rPr>
          <w:rFonts w:hint="cs"/>
        </w:rPr>
        <w:t xml:space="preserve"> </w:t>
      </w:r>
      <w:r>
        <w:rPr>
          <w:rFonts w:hint="cs"/>
          <w:rtl/>
        </w:rPr>
        <w:t>يوقعون</w:t>
      </w:r>
      <w:r>
        <w:rPr>
          <w:rFonts w:hint="cs"/>
        </w:rPr>
        <w:t xml:space="preserve"> </w:t>
      </w:r>
      <w:r>
        <w:rPr>
          <w:rFonts w:hint="cs"/>
          <w:rtl/>
        </w:rPr>
        <w:t>في قلوب الناس منها هواجس كالحريق المشعل وهذا</w:t>
      </w:r>
      <w:r>
        <w:rPr>
          <w:rFonts w:hint="cs"/>
        </w:rPr>
        <w:t xml:space="preserve"> </w:t>
      </w:r>
      <w:r>
        <w:rPr>
          <w:rFonts w:hint="cs"/>
          <w:rtl/>
        </w:rPr>
        <w:t>معلوم</w:t>
      </w:r>
      <w:r>
        <w:rPr>
          <w:rFonts w:hint="cs"/>
        </w:rPr>
        <w:t xml:space="preserve"> </w:t>
      </w:r>
      <w:r>
        <w:rPr>
          <w:rFonts w:hint="cs"/>
          <w:rtl/>
        </w:rPr>
        <w:t>بالضرورة من</w:t>
      </w:r>
      <w:r>
        <w:rPr>
          <w:rFonts w:hint="cs"/>
        </w:rPr>
        <w:t xml:space="preserve"> </w:t>
      </w:r>
      <w:r>
        <w:rPr>
          <w:rFonts w:hint="cs"/>
          <w:rtl/>
        </w:rPr>
        <w:t>سيرهم"</w:t>
      </w:r>
      <w:r w:rsidR="000636C2">
        <w:rPr>
          <w:rFonts w:hint="cs"/>
          <w:rtl/>
        </w:rPr>
        <w:t xml:space="preserve"> </w:t>
      </w:r>
      <w:r>
        <w:rPr>
          <w:rFonts w:hint="cs"/>
          <w:rtl/>
        </w:rPr>
        <w:t>أهـ</w:t>
      </w:r>
      <w:r w:rsidR="000636C2">
        <w:rPr>
          <w:rFonts w:hint="cs"/>
          <w:rtl/>
        </w:rPr>
        <w:t xml:space="preserve"> [</w:t>
      </w:r>
      <w:r>
        <w:rPr>
          <w:rFonts w:hint="cs"/>
          <w:rtl/>
        </w:rPr>
        <w:t>طبقات الشافعية الكبرى ج 9 ص 40</w:t>
      </w:r>
      <w:r w:rsidR="000636C2">
        <w:rPr>
          <w:rFonts w:hint="cs"/>
          <w:rtl/>
        </w:rPr>
        <w:t>]،</w:t>
      </w:r>
      <w:r>
        <w:rPr>
          <w:rFonts w:hint="cs"/>
          <w:bCs/>
          <w:rtl/>
        </w:rPr>
        <w:t xml:space="preserve"> وجاء في كتاب عقيدة الإمام أحمد بن حنبل</w:t>
      </w:r>
      <w:r w:rsidR="000636C2">
        <w:rPr>
          <w:rFonts w:hint="cs"/>
          <w:bCs/>
          <w:rtl/>
        </w:rPr>
        <w:t>:</w:t>
      </w:r>
      <w:r>
        <w:rPr>
          <w:rFonts w:hint="cs"/>
          <w:bCs/>
          <w:rtl/>
        </w:rPr>
        <w:t xml:space="preserve"> </w:t>
      </w:r>
      <w:r w:rsidR="000636C2">
        <w:rPr>
          <w:rFonts w:hint="cs"/>
          <w:rtl/>
        </w:rPr>
        <w:t>(</w:t>
      </w:r>
      <w:r>
        <w:rPr>
          <w:rFonts w:hint="cs"/>
          <w:rtl/>
        </w:rPr>
        <w:t>نص اعتقاد الإمام أحمد بن حنبل</w:t>
      </w:r>
      <w:r w:rsidR="000636C2">
        <w:rPr>
          <w:rFonts w:hint="cs"/>
          <w:rtl/>
        </w:rPr>
        <w:t>:</w:t>
      </w:r>
      <w:r>
        <w:rPr>
          <w:rFonts w:hint="cs"/>
          <w:rtl/>
        </w:rPr>
        <w:t xml:space="preserve">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sidR="000636C2">
        <w:rPr>
          <w:rFonts w:hint="cs"/>
          <w:rtl/>
        </w:rPr>
        <w:t xml:space="preserve"> </w:t>
      </w:r>
      <w:r>
        <w:rPr>
          <w:rFonts w:hint="cs"/>
          <w:rtl/>
        </w:rPr>
        <w:t>مجمل الاعتقاد</w:t>
      </w:r>
      <w:r w:rsidR="000636C2">
        <w:rPr>
          <w:rFonts w:hint="cs"/>
          <w:rtl/>
        </w:rPr>
        <w:t xml:space="preserve"> </w:t>
      </w:r>
      <w:r>
        <w:rPr>
          <w:rFonts w:hint="cs"/>
          <w:rtl/>
        </w:rPr>
        <w:t>...</w:t>
      </w:r>
      <w:r>
        <w:rPr>
          <w:rFonts w:hint="cs"/>
          <w:bCs/>
          <w:rtl/>
        </w:rPr>
        <w:t xml:space="preserve"> </w:t>
      </w:r>
      <w:r>
        <w:rPr>
          <w:rFonts w:hint="cs"/>
          <w:rtl/>
        </w:rPr>
        <w:t>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sidR="000636C2">
        <w:rPr>
          <w:rFonts w:hint="cs"/>
          <w:rtl/>
        </w:rPr>
        <w:t xml:space="preserve"> </w:t>
      </w:r>
      <w:r>
        <w:rPr>
          <w:rFonts w:hint="cs"/>
          <w:rtl/>
        </w:rPr>
        <w:t>ليس كمثله شيء وهو السميع البصير "</w:t>
      </w:r>
      <w:r>
        <w:rPr>
          <w:rFonts w:hint="cs"/>
          <w:bCs/>
          <w:rtl/>
        </w:rPr>
        <w:t xml:space="preserve"> </w:t>
      </w:r>
      <w:r>
        <w:rPr>
          <w:rFonts w:hint="cs"/>
          <w:rtl/>
        </w:rPr>
        <w:t>أهـ</w:t>
      </w:r>
      <w:r>
        <w:rPr>
          <w:rFonts w:hint="cs"/>
          <w:bCs/>
          <w:rtl/>
        </w:rPr>
        <w:t xml:space="preserve"> </w:t>
      </w:r>
      <w:r w:rsidR="000636C2">
        <w:rPr>
          <w:rFonts w:hint="cs"/>
          <w:rtl/>
        </w:rPr>
        <w:t>[</w:t>
      </w:r>
      <w:r>
        <w:rPr>
          <w:rFonts w:hint="cs"/>
          <w:rtl/>
        </w:rPr>
        <w:t>العقيدة ج: 1 ص: 127</w:t>
      </w:r>
      <w:r w:rsidR="000636C2">
        <w:rPr>
          <w:rFonts w:hint="cs"/>
          <w:rtl/>
        </w:rPr>
        <w:t>]،</w:t>
      </w:r>
      <w:r>
        <w:rPr>
          <w:rFonts w:hint="cs"/>
          <w:rtl/>
        </w:rPr>
        <w:t xml:space="preserve"> ونفس النص السابق جاء في كتاب اعتقاد الإمام المبجل ابن حنبل "</w:t>
      </w:r>
      <w:r w:rsidR="000636C2">
        <w:rPr>
          <w:rFonts w:hint="cs"/>
          <w:rtl/>
        </w:rPr>
        <w:t xml:space="preserve"> </w:t>
      </w:r>
      <w:r>
        <w:rPr>
          <w:rFonts w:hint="cs"/>
          <w:rtl/>
        </w:rPr>
        <w:t>وسئل قبل موته بيوم عن أحاديث الصفات فقال تمر كما جاءت ويؤمن بها ولا يرد منه شيء إذا كانت بأسانيد صحاح ولا يوصف الله بأكثر مما وصف به نفسه بلا</w:t>
      </w:r>
      <w:r w:rsidR="000636C2">
        <w:rPr>
          <w:rFonts w:hint="cs"/>
          <w:rtl/>
        </w:rPr>
        <w:t xml:space="preserve"> </w:t>
      </w:r>
      <w:r>
        <w:rPr>
          <w:rFonts w:hint="cs"/>
          <w:rtl/>
        </w:rPr>
        <w:t>حد</w:t>
      </w:r>
      <w:r w:rsidR="000636C2">
        <w:rPr>
          <w:rFonts w:hint="cs"/>
          <w:rtl/>
        </w:rPr>
        <w:t xml:space="preserve"> </w:t>
      </w:r>
      <w:r>
        <w:rPr>
          <w:rFonts w:hint="cs"/>
          <w:rtl/>
        </w:rPr>
        <w:t xml:space="preserve">ولا غاية ليس كمثله شيء وهو السميع البصير </w:t>
      </w:r>
      <w:r>
        <w:rPr>
          <w:rFonts w:hint="cs"/>
          <w:bCs/>
          <w:rtl/>
        </w:rPr>
        <w:t>ومن تكلم في معناها ابتدع</w:t>
      </w:r>
      <w:r>
        <w:rPr>
          <w:rFonts w:hint="cs"/>
          <w:rtl/>
        </w:rPr>
        <w:t xml:space="preserve"> " أهـ </w:t>
      </w:r>
      <w:r w:rsidR="000636C2">
        <w:rPr>
          <w:rFonts w:hint="cs"/>
          <w:rtl/>
        </w:rPr>
        <w:t>[</w:t>
      </w:r>
      <w:r>
        <w:rPr>
          <w:rFonts w:hint="cs"/>
          <w:rtl/>
        </w:rPr>
        <w:t>اعتقاد الإمام المبجل ابن حنبل ج 1 ص 307</w:t>
      </w:r>
      <w:r w:rsidR="000636C2">
        <w:rPr>
          <w:rFonts w:hint="cs"/>
          <w:rtl/>
        </w:rPr>
        <w:t xml:space="preserve">]، </w:t>
      </w:r>
      <w:r>
        <w:rPr>
          <w:rFonts w:hint="cs"/>
          <w:bCs/>
          <w:rtl/>
        </w:rPr>
        <w:t xml:space="preserve">وأنا هنا أنقل أقوال ثلاثة من أكابر علماء </w:t>
      </w:r>
      <w:r>
        <w:rPr>
          <w:rFonts w:hint="cs"/>
          <w:bCs/>
          <w:rtl/>
        </w:rPr>
        <w:lastRenderedPageBreak/>
        <w:t>الحنابلة الأثرية</w:t>
      </w:r>
      <w:r w:rsidR="000636C2">
        <w:rPr>
          <w:rFonts w:hint="cs"/>
          <w:bCs/>
          <w:rtl/>
        </w:rPr>
        <w:t>،</w:t>
      </w:r>
      <w:r>
        <w:rPr>
          <w:rFonts w:hint="cs"/>
          <w:bCs/>
          <w:rtl/>
        </w:rPr>
        <w:t xml:space="preserve"> </w:t>
      </w:r>
      <w:r>
        <w:rPr>
          <w:rFonts w:hint="cs"/>
          <w:rtl/>
        </w:rPr>
        <w:t>وهم ينقلون عن السلف</w:t>
      </w:r>
      <w:r w:rsidR="000636C2">
        <w:rPr>
          <w:rFonts w:hint="cs"/>
          <w:rtl/>
        </w:rPr>
        <w:t>،</w:t>
      </w:r>
      <w:r>
        <w:rPr>
          <w:rFonts w:hint="cs"/>
          <w:bCs/>
          <w:rtl/>
        </w:rPr>
        <w:t xml:space="preserve"> </w:t>
      </w:r>
      <w:r>
        <w:rPr>
          <w:rFonts w:hint="cs"/>
          <w:rtl/>
        </w:rPr>
        <w:t>تفويض معنى المتشابهات خوفا من الوقوع في بدعة التشبيه والتجسيم</w:t>
      </w:r>
      <w:r w:rsidR="000636C2">
        <w:rPr>
          <w:rFonts w:hint="cs"/>
          <w:rtl/>
        </w:rPr>
        <w:t>،</w:t>
      </w:r>
      <w:r>
        <w:rPr>
          <w:rFonts w:hint="cs"/>
          <w:bCs/>
          <w:rtl/>
        </w:rPr>
        <w:t xml:space="preserve"> قال الإمام الأثري الحنبلي مرعي بن يوسف الكرمي المقدسي</w:t>
      </w:r>
      <w:r>
        <w:rPr>
          <w:rFonts w:hint="cs"/>
          <w:rtl/>
        </w:rPr>
        <w:t xml:space="preserve"> في كتابه أقاويل الثقات في تأويل الأسماء والصفات والآيات المحكمات والمشتبهات</w:t>
      </w:r>
      <w:r w:rsidR="000636C2">
        <w:rPr>
          <w:rFonts w:hint="cs"/>
          <w:rtl/>
        </w:rPr>
        <w:t>:</w:t>
      </w:r>
      <w:r>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Pr>
          <w:rFonts w:hint="cs"/>
          <w:bCs/>
          <w:rtl/>
        </w:rPr>
        <w:t>ومتشابه لا يعلمه إلا الله ومن ادعى علمه سوى الله فهو كاذب</w:t>
      </w:r>
      <w:r>
        <w:rPr>
          <w:rFonts w:hint="cs"/>
          <w:rtl/>
        </w:rPr>
        <w:t xml:space="preserve"> ثم رواه من وجه آخر عن ابن عباس موقوفا بنحوه</w:t>
      </w:r>
      <w:r w:rsidR="000636C2">
        <w:rPr>
          <w:rFonts w:hint="cs"/>
          <w:rtl/>
        </w:rPr>
        <w:t>،</w:t>
      </w:r>
      <w:r>
        <w:rPr>
          <w:rFonts w:hint="cs"/>
          <w:rtl/>
        </w:rPr>
        <w:t xml:space="preserve"> 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Pr>
          <w:rFonts w:hint="cs"/>
          <w:bCs/>
          <w:rtl/>
        </w:rPr>
        <w:t>كان رسوخهم في العلم أن آمنوا بمتشابهه ولا يعلمونه</w:t>
      </w:r>
      <w:r w:rsidR="000636C2">
        <w:rPr>
          <w:rFonts w:hint="cs"/>
          <w:rtl/>
        </w:rPr>
        <w:t>)</w:t>
      </w:r>
      <w:r>
        <w:rPr>
          <w:rFonts w:hint="cs"/>
          <w:rtl/>
        </w:rPr>
        <w:t xml:space="preserve">) أهـ </w:t>
      </w:r>
      <w:r w:rsidR="000636C2">
        <w:rPr>
          <w:rFonts w:hint="cs"/>
          <w:rtl/>
        </w:rPr>
        <w:t>[</w:t>
      </w:r>
      <w:r>
        <w:rPr>
          <w:rFonts w:hint="cs"/>
          <w:rtl/>
        </w:rPr>
        <w:t>أقاويل الثقات ج 1 ص57ـ 58</w:t>
      </w:r>
      <w:r w:rsidR="000636C2">
        <w:rPr>
          <w:rFonts w:hint="cs"/>
          <w:rtl/>
        </w:rPr>
        <w:t>]،</w:t>
      </w:r>
      <w:r>
        <w:rPr>
          <w:rFonts w:hint="cs"/>
          <w:rtl/>
        </w:rPr>
        <w:t xml:space="preserve"> </w:t>
      </w:r>
      <w:r>
        <w:rPr>
          <w:rFonts w:hint="cs"/>
          <w:bCs/>
          <w:rtl/>
        </w:rPr>
        <w:t>إلى أن قال رحمه الله</w:t>
      </w:r>
      <w:r w:rsidR="000636C2">
        <w:rPr>
          <w:rFonts w:hint="cs"/>
          <w:bCs/>
          <w:rtl/>
        </w:rPr>
        <w:t>:</w:t>
      </w:r>
      <w:r>
        <w:rPr>
          <w:rFonts w:hint="cs"/>
          <w:bCs/>
          <w:rtl/>
        </w:rPr>
        <w:t xml:space="preserve"> </w:t>
      </w:r>
      <w:r>
        <w:rPr>
          <w:rFonts w:hint="cs"/>
          <w:rtl/>
        </w:rPr>
        <w:t xml:space="preserve">" إذا تقرر هذا فاعلم أن من المتشابهات آيات الصفات التي التأويل فيها بعيد </w:t>
      </w:r>
      <w:r>
        <w:rPr>
          <w:rFonts w:hint="cs"/>
          <w:bCs/>
          <w:rtl/>
        </w:rPr>
        <w:t>فلا تؤول ولا تفسر</w:t>
      </w:r>
      <w:r w:rsidR="000636C2">
        <w:rPr>
          <w:rFonts w:hint="cs"/>
          <w:bCs/>
          <w:rtl/>
        </w:rPr>
        <w:t>،</w:t>
      </w:r>
      <w:r>
        <w:rPr>
          <w:rFonts w:hint="cs"/>
          <w:rtl/>
        </w:rPr>
        <w:t xml:space="preserve"> وجمهور أهل السنة منهم السلف وأهل الحديث على الإيمان بها </w:t>
      </w:r>
      <w:r>
        <w:rPr>
          <w:rFonts w:hint="cs"/>
          <w:bCs/>
          <w:rtl/>
        </w:rPr>
        <w:t>وتفويض معناها المراد منها إلى الله تعالى ولا نفسرها مع تنزيهنا له عن حقيقتها</w:t>
      </w:r>
      <w:r>
        <w:rPr>
          <w:rFonts w:hint="cs"/>
          <w:rtl/>
        </w:rPr>
        <w:t xml:space="preserve"> فقد روى الإمام اللالكائي الحافظ عن محمد بن الحسن قال اتفق الفقهاء كلهم من المشرق إلى المغرب على الإيمان بالصفات من غير تفسير ولا تشبيه ..</w:t>
      </w:r>
      <w:r>
        <w:rPr>
          <w:rFonts w:hint="cs"/>
          <w:bCs/>
          <w:rtl/>
        </w:rPr>
        <w:t xml:space="preserve"> وقال الإمام الترمذي</w:t>
      </w:r>
      <w:r>
        <w:rPr>
          <w:rFonts w:hint="cs"/>
          <w:rtl/>
        </w:rPr>
        <w:t xml:space="preserve"> في الكلام على حديث الرؤية المذهب في هذا عند أهل العلم من الأئمة مثل سفيان الثوري وابن المبارك ومالك وابن عيينة ووكيع وغيرهم </w:t>
      </w:r>
      <w:r>
        <w:rPr>
          <w:rFonts w:hint="cs"/>
          <w:bCs/>
          <w:rtl/>
        </w:rPr>
        <w:t>أنهم قالوا نروي هذه الأحاديث كما جاءت ونؤمن بها ولا يقال كيف ولا نفسر ولا نتوهم</w:t>
      </w:r>
      <w:r>
        <w:rPr>
          <w:rFonts w:hint="cs"/>
          <w:rtl/>
        </w:rPr>
        <w:t xml:space="preserve"> ..</w:t>
      </w:r>
      <w:r w:rsidR="000636C2">
        <w:rPr>
          <w:rFonts w:hint="cs"/>
          <w:bCs/>
          <w:rtl/>
        </w:rPr>
        <w:t xml:space="preserve">، </w:t>
      </w:r>
      <w:r>
        <w:rPr>
          <w:rFonts w:hint="cs"/>
          <w:bCs/>
          <w:rtl/>
        </w:rPr>
        <w:t xml:space="preserve">قال ابن عباس: </w:t>
      </w:r>
      <w:r w:rsidR="000636C2">
        <w:rPr>
          <w:rFonts w:hint="cs"/>
          <w:bCs/>
          <w:rtl/>
        </w:rPr>
        <w:t>(</w:t>
      </w:r>
      <w:r>
        <w:rPr>
          <w:rFonts w:hint="cs"/>
          <w:bCs/>
          <w:rtl/>
        </w:rPr>
        <w:t>هذا من المكتوم الذي لا يفسر)</w:t>
      </w:r>
      <w:r>
        <w:rPr>
          <w:rFonts w:hint="cs"/>
          <w:rtl/>
        </w:rPr>
        <w:t xml:space="preserve"> فالأولى في هذه الآية وما شاكلها أن يؤمن الإنسان بظاهرها </w:t>
      </w:r>
      <w:r>
        <w:rPr>
          <w:rFonts w:hint="cs"/>
          <w:bCs/>
          <w:rtl/>
        </w:rPr>
        <w:t>ويكل علمها إلى الله تعالى</w:t>
      </w:r>
      <w:r>
        <w:rPr>
          <w:rFonts w:hint="cs"/>
          <w:rtl/>
        </w:rPr>
        <w:t xml:space="preserve"> وعلى ذلك مضت أئمة السلف</w:t>
      </w:r>
      <w:r w:rsidR="000636C2">
        <w:rPr>
          <w:rFonts w:hint="cs"/>
          <w:rtl/>
        </w:rPr>
        <w:t>،</w:t>
      </w:r>
      <w:r>
        <w:rPr>
          <w:rFonts w:hint="cs"/>
          <w:rtl/>
        </w:rPr>
        <w:t xml:space="preserve"> وكان الزهري ومالك والأوزاعي وسفيان الثوري والليث بن سعد وابن المبارك وأحمد بن حنبل وإسحاق يقولون في هذه الآية وأمثالها </w:t>
      </w:r>
      <w:r>
        <w:rPr>
          <w:rFonts w:hint="cs"/>
          <w:bCs/>
          <w:rtl/>
        </w:rPr>
        <w:t>أمروها كما جاءت</w:t>
      </w:r>
      <w:r w:rsidR="000636C2">
        <w:rPr>
          <w:rFonts w:hint="cs"/>
          <w:bCs/>
          <w:rtl/>
        </w:rPr>
        <w:t>،</w:t>
      </w:r>
      <w:r>
        <w:rPr>
          <w:rFonts w:hint="cs"/>
          <w:bCs/>
          <w:rtl/>
        </w:rPr>
        <w:t xml:space="preserve"> </w:t>
      </w:r>
      <w:r>
        <w:rPr>
          <w:rFonts w:hint="cs"/>
          <w:rtl/>
        </w:rPr>
        <w:t xml:space="preserve">وقال سفيان بن عيينة وناهيك به كل ما وصف الله به نفسه في كتابه </w:t>
      </w:r>
      <w:r>
        <w:rPr>
          <w:rFonts w:hint="cs"/>
          <w:bCs/>
          <w:rtl/>
        </w:rPr>
        <w:t>فتفسيره قراءته والسكوت عنه ليس لأحد أن يفسره إلا الله ورسوله</w:t>
      </w:r>
      <w:r w:rsidR="000636C2">
        <w:rPr>
          <w:rFonts w:hint="cs"/>
          <w:rtl/>
        </w:rPr>
        <w:t>،</w:t>
      </w:r>
      <w:r>
        <w:rPr>
          <w:rFonts w:hint="cs"/>
          <w:rtl/>
        </w:rPr>
        <w:t xml:space="preserve"> وذكرت في كتابي البرهان في تفسير القرآن عند قوله تعالى هل ينظرون إلا أن يأتيهم الله في ظلل من الغمام</w:t>
      </w:r>
      <w:r w:rsidR="000636C2">
        <w:rPr>
          <w:rFonts w:hint="cs"/>
          <w:rtl/>
        </w:rPr>
        <w:t xml:space="preserve"> </w:t>
      </w:r>
      <w:r>
        <w:rPr>
          <w:rFonts w:hint="cs"/>
          <w:rtl/>
        </w:rPr>
        <w:t xml:space="preserve">البقرة 210 وبعد أن ذكرت مذاهب المتأولين أن مذهب السلف هو عدم الخوض في مثل هذا والسكوت عنه </w:t>
      </w:r>
      <w:r>
        <w:rPr>
          <w:rFonts w:hint="cs"/>
          <w:bCs/>
          <w:rtl/>
        </w:rPr>
        <w:t>وتفويض علمه إلى الله تعالى</w:t>
      </w:r>
      <w:r>
        <w:rPr>
          <w:rFonts w:hint="cs"/>
          <w:rtl/>
        </w:rPr>
        <w:t xml:space="preserve"> "</w:t>
      </w:r>
      <w:r w:rsidR="000636C2">
        <w:rPr>
          <w:rFonts w:hint="cs"/>
          <w:rtl/>
        </w:rPr>
        <w:t xml:space="preserve"> </w:t>
      </w:r>
      <w:r>
        <w:rPr>
          <w:rFonts w:hint="cs"/>
          <w:rtl/>
        </w:rPr>
        <w:t xml:space="preserve">أهـ </w:t>
      </w:r>
      <w:r w:rsidR="000636C2">
        <w:rPr>
          <w:rFonts w:hint="cs"/>
          <w:rtl/>
        </w:rPr>
        <w:t>[</w:t>
      </w:r>
      <w:r>
        <w:rPr>
          <w:rFonts w:hint="cs"/>
          <w:rtl/>
        </w:rPr>
        <w:t>أقاويل الثقات ج 1 ص 60- 62</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الحافظ السيوطي في كتابه الإتقان من المتشابه آيات الصفات ولابن اللبان فيها تصنيف مفرد نحو</w:t>
      </w:r>
      <w:r w:rsidR="000636C2">
        <w:rPr>
          <w:rFonts w:hint="cs"/>
          <w:rtl/>
        </w:rPr>
        <w:t>:</w:t>
      </w:r>
      <w:r>
        <w:rPr>
          <w:rFonts w:hint="cs"/>
          <w:rtl/>
        </w:rPr>
        <w:t xml:space="preserve"> </w:t>
      </w:r>
      <w:r w:rsidR="000636C2">
        <w:rPr>
          <w:rFonts w:hint="cs"/>
          <w:rtl/>
        </w:rPr>
        <w:t>{</w:t>
      </w:r>
      <w:r>
        <w:rPr>
          <w:rFonts w:hint="cs"/>
          <w:rtl/>
        </w:rPr>
        <w:t>الرحمن على العرش استوى</w:t>
      </w:r>
      <w:r w:rsidR="000636C2">
        <w:rPr>
          <w:rFonts w:hint="cs"/>
          <w:rtl/>
        </w:rPr>
        <w:t>}</w:t>
      </w:r>
      <w:r>
        <w:rPr>
          <w:rFonts w:hint="cs"/>
          <w:rtl/>
        </w:rPr>
        <w:t xml:space="preserve"> و </w:t>
      </w:r>
      <w:r w:rsidR="000636C2">
        <w:rPr>
          <w:rFonts w:hint="cs"/>
          <w:rtl/>
        </w:rPr>
        <w:t>{</w:t>
      </w:r>
      <w:r>
        <w:rPr>
          <w:rFonts w:hint="cs"/>
          <w:rtl/>
        </w:rPr>
        <w:t>كل شيء هالك إلا وجهه</w:t>
      </w:r>
      <w:r w:rsidR="000636C2">
        <w:rPr>
          <w:rFonts w:hint="cs"/>
          <w:rtl/>
        </w:rPr>
        <w:t>}</w:t>
      </w:r>
      <w:r>
        <w:rPr>
          <w:rFonts w:hint="cs"/>
          <w:rtl/>
        </w:rPr>
        <w:t xml:space="preserve"> و </w:t>
      </w:r>
      <w:r w:rsidR="000636C2">
        <w:rPr>
          <w:rFonts w:hint="cs"/>
          <w:rtl/>
        </w:rPr>
        <w:t>{</w:t>
      </w:r>
      <w:r>
        <w:rPr>
          <w:rFonts w:hint="cs"/>
          <w:rtl/>
        </w:rPr>
        <w:t>ويبقى وجه ربك</w:t>
      </w:r>
      <w:r w:rsidR="000636C2">
        <w:rPr>
          <w:rFonts w:hint="cs"/>
          <w:rtl/>
        </w:rPr>
        <w:t>}</w:t>
      </w:r>
      <w:r>
        <w:rPr>
          <w:rFonts w:hint="cs"/>
          <w:rtl/>
        </w:rPr>
        <w:t xml:space="preserve"> و </w:t>
      </w:r>
      <w:r w:rsidR="000636C2">
        <w:rPr>
          <w:rFonts w:hint="cs"/>
          <w:rtl/>
        </w:rPr>
        <w:t>{</w:t>
      </w:r>
      <w:r>
        <w:rPr>
          <w:rFonts w:hint="cs"/>
          <w:rtl/>
        </w:rPr>
        <w:t>ولتصنع على عيني</w:t>
      </w:r>
      <w:r w:rsidR="000636C2">
        <w:rPr>
          <w:rFonts w:hint="cs"/>
          <w:rtl/>
        </w:rPr>
        <w:t>}</w:t>
      </w:r>
      <w:r>
        <w:rPr>
          <w:rFonts w:hint="cs"/>
          <w:rtl/>
        </w:rPr>
        <w:t xml:space="preserve"> و </w:t>
      </w:r>
      <w:r w:rsidR="000636C2">
        <w:rPr>
          <w:rFonts w:hint="cs"/>
          <w:rtl/>
        </w:rPr>
        <w:t>{</w:t>
      </w:r>
      <w:r>
        <w:rPr>
          <w:rFonts w:hint="cs"/>
          <w:rtl/>
        </w:rPr>
        <w:t>يد الله فوق أيديهم</w:t>
      </w:r>
      <w:r w:rsidR="000636C2">
        <w:rPr>
          <w:rFonts w:hint="cs"/>
          <w:rtl/>
        </w:rPr>
        <w:t>}</w:t>
      </w:r>
      <w:r>
        <w:rPr>
          <w:rFonts w:hint="cs"/>
          <w:rtl/>
        </w:rPr>
        <w:t xml:space="preserve"> و </w:t>
      </w:r>
      <w:r w:rsidR="000636C2">
        <w:rPr>
          <w:rFonts w:hint="cs"/>
          <w:rtl/>
        </w:rPr>
        <w:t>{</w:t>
      </w:r>
      <w:r>
        <w:rPr>
          <w:rFonts w:hint="cs"/>
          <w:rtl/>
        </w:rPr>
        <w:t xml:space="preserve">لما </w:t>
      </w:r>
      <w:r>
        <w:rPr>
          <w:rFonts w:hint="cs"/>
          <w:rtl/>
        </w:rPr>
        <w:lastRenderedPageBreak/>
        <w:t>خلقت بيدي</w:t>
      </w:r>
      <w:r w:rsidR="000636C2">
        <w:rPr>
          <w:rFonts w:hint="cs"/>
          <w:rtl/>
        </w:rPr>
        <w:t>}</w:t>
      </w:r>
      <w:r>
        <w:rPr>
          <w:rFonts w:hint="cs"/>
          <w:rtl/>
        </w:rPr>
        <w:t xml:space="preserve"> و </w:t>
      </w:r>
      <w:r w:rsidR="000636C2">
        <w:rPr>
          <w:rFonts w:hint="cs"/>
          <w:rtl/>
        </w:rPr>
        <w:t>{</w:t>
      </w:r>
      <w:r>
        <w:rPr>
          <w:rFonts w:hint="cs"/>
          <w:rtl/>
        </w:rPr>
        <w:t>والسموات مطويات بيمينه</w:t>
      </w:r>
      <w:r w:rsidR="000636C2">
        <w:rPr>
          <w:rFonts w:hint="cs"/>
          <w:rtl/>
        </w:rPr>
        <w:t>}،</w:t>
      </w:r>
      <w:r>
        <w:rPr>
          <w:rFonts w:hint="cs"/>
          <w:rtl/>
        </w:rPr>
        <w:t xml:space="preserve"> </w:t>
      </w:r>
      <w:r>
        <w:rPr>
          <w:rFonts w:hint="cs"/>
          <w:bCs/>
          <w:rtl/>
        </w:rPr>
        <w:t xml:space="preserve">وجمهور أهل السنة منهم السلف وأهل الحديث على الإيمان بها وتفويض معناها المراد منها إلى الله تعالى ولا نفسرها مع تنزيهنا له عن حقيقتها " أهـ </w:t>
      </w:r>
      <w:r w:rsidR="000636C2">
        <w:rPr>
          <w:rFonts w:hint="cs"/>
          <w:bCs/>
          <w:rtl/>
        </w:rPr>
        <w:t>[</w:t>
      </w:r>
      <w:r>
        <w:rPr>
          <w:rFonts w:hint="cs"/>
          <w:rtl/>
        </w:rPr>
        <w:t>أقاويل الثقات ج 1 ص 62</w:t>
      </w:r>
      <w:r w:rsidR="000636C2">
        <w:rPr>
          <w:rFonts w:hint="cs"/>
          <w:rtl/>
        </w:rPr>
        <w:t>]،</w:t>
      </w:r>
      <w:r>
        <w:rPr>
          <w:rFonts w:hint="cs"/>
          <w:bCs/>
          <w:rtl/>
        </w:rPr>
        <w:t xml:space="preserve"> وقال رحمه الله</w:t>
      </w:r>
      <w:r w:rsidR="000636C2">
        <w:rPr>
          <w:rFonts w:hint="cs"/>
          <w:bCs/>
          <w:rtl/>
        </w:rPr>
        <w:t>:</w:t>
      </w:r>
      <w:r>
        <w:rPr>
          <w:rFonts w:hint="cs"/>
          <w:bCs/>
          <w:rtl/>
        </w:rPr>
        <w:t xml:space="preserve"> </w:t>
      </w:r>
      <w:r>
        <w:rPr>
          <w:rFonts w:hint="cs"/>
          <w:rtl/>
        </w:rPr>
        <w:t>" قال الجويني</w:t>
      </w:r>
      <w:r w:rsidR="000636C2">
        <w:rPr>
          <w:rFonts w:hint="cs"/>
          <w:rtl/>
        </w:rPr>
        <w:t>:</w:t>
      </w:r>
      <w:r>
        <w:rPr>
          <w:rFonts w:hint="cs"/>
          <w:rtl/>
        </w:rPr>
        <w:t xml:space="preserve"> في الرسالة النظامية الذي نرتضيه رأيا وندين الله تعالى به عقدا هو اتباع سلف الأمة فإنهم درجوا على ترك التعرض لمعانيها ودرك ما فيها وهم صفوة الإسلام وكانوا لا يألون جهدا في ضبط قواعد الملة والتواصي بحفظها وتعليم الناس ما يحتاجون إليه منها فلو كان تأويل هذه الظواهر سائغا لأوشك أن يكون اهتمامهم بها فوق اهتمامهم بفروع الشريعة فإذا انصرم عصرهم وعصر التابعين على الإضراب عن التأويل كان ذلك هو الوجه المتبع </w:t>
      </w:r>
      <w:r>
        <w:rPr>
          <w:rFonts w:hint="cs"/>
          <w:bCs/>
          <w:rtl/>
        </w:rPr>
        <w:t xml:space="preserve">فحق على ذي الدين أن يعتقد تنزيه الباري عن صفات المحدثين ولا يخوض في تأويل المشكلات ويكل معناها إلى الرب </w:t>
      </w:r>
      <w:r>
        <w:rPr>
          <w:rFonts w:hint="cs"/>
          <w:rtl/>
        </w:rPr>
        <w:t>وقال الإمام ابن الصلاح وعلى هذه الطريقة مضى صدر الأمة وساداتها وإياها اختار أئمة الفقهاء وقاداتها وإليها دعا أئمة الحديث وأعلامه ولا أحد من المتكلمين من أصحابنا يصدف عنها ويأباها انتهى</w:t>
      </w:r>
      <w:r w:rsidR="000636C2">
        <w:rPr>
          <w:rFonts w:hint="cs"/>
          <w:rtl/>
        </w:rPr>
        <w:t>،</w:t>
      </w:r>
      <w:r>
        <w:rPr>
          <w:rFonts w:hint="cs"/>
          <w:rtl/>
        </w:rPr>
        <w:t xml:space="preserve"> قلت وهذا القول هو الحق "</w:t>
      </w:r>
      <w:r w:rsidR="000636C2">
        <w:rPr>
          <w:rFonts w:hint="cs"/>
          <w:rtl/>
        </w:rPr>
        <w:t xml:space="preserve"> </w:t>
      </w:r>
      <w:r>
        <w:rPr>
          <w:rFonts w:hint="cs"/>
          <w:rtl/>
        </w:rPr>
        <w:t>أهـ</w:t>
      </w:r>
      <w:r>
        <w:rPr>
          <w:rFonts w:hint="cs"/>
          <w:bCs/>
          <w:rtl/>
        </w:rPr>
        <w:t xml:space="preserve"> </w:t>
      </w:r>
      <w:r w:rsidR="000636C2">
        <w:rPr>
          <w:rFonts w:hint="cs"/>
          <w:bCs/>
          <w:rtl/>
        </w:rPr>
        <w:t>[</w:t>
      </w:r>
      <w:r>
        <w:rPr>
          <w:rFonts w:hint="cs"/>
          <w:rtl/>
        </w:rPr>
        <w:t>أقاويل الثقات ج 1 ص 66</w:t>
      </w:r>
      <w:r w:rsidR="000636C2">
        <w:rPr>
          <w:rFonts w:hint="cs"/>
          <w:rtl/>
        </w:rPr>
        <w:t>]،</w:t>
      </w:r>
      <w:r>
        <w:rPr>
          <w:rFonts w:hint="cs"/>
          <w:bCs/>
          <w:rtl/>
        </w:rPr>
        <w:t xml:space="preserve"> وقال رحمه الله</w:t>
      </w:r>
      <w:r w:rsidR="000636C2">
        <w:rPr>
          <w:rFonts w:hint="cs"/>
          <w:bCs/>
          <w:rtl/>
        </w:rPr>
        <w:t>:</w:t>
      </w:r>
      <w:r>
        <w:rPr>
          <w:rFonts w:hint="cs"/>
          <w:bCs/>
          <w:rtl/>
        </w:rPr>
        <w:t xml:space="preserve"> </w:t>
      </w:r>
      <w:r>
        <w:rPr>
          <w:rFonts w:hint="cs"/>
          <w:rtl/>
        </w:rPr>
        <w:t xml:space="preserve">" والمناقشة في مثل هذا تطول وتخرج عن المقصود والمقصود إنما هو الإشارة إلى أن كل واحد يدعي أن الحق بيده ويقيم الدليل عليه كما تقدم </w:t>
      </w:r>
      <w:r>
        <w:rPr>
          <w:rFonts w:hint="cs"/>
          <w:bCs/>
          <w:rtl/>
        </w:rPr>
        <w:t>فنسكت نحن عن الخوض في ذلك ولا نبحث في تحقيقه فإنه بدعة ونفوض علمه إلى الله تعالى</w:t>
      </w:r>
      <w:r>
        <w:rPr>
          <w:rFonts w:hint="cs"/>
          <w:rtl/>
        </w:rPr>
        <w:t xml:space="preserve"> ولا نكفر أحدا من أهل الفرق بما ذهب إليه واعتقده خصوصا مع قيام الشبهة " أهـ </w:t>
      </w:r>
      <w:r w:rsidR="000636C2">
        <w:rPr>
          <w:rFonts w:hint="cs"/>
          <w:rtl/>
        </w:rPr>
        <w:t>[</w:t>
      </w:r>
      <w:r>
        <w:rPr>
          <w:rFonts w:hint="cs"/>
          <w:rtl/>
        </w:rPr>
        <w:t>أقاويل الثقات ج: 1 ص: 69</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القرطبي ..</w:t>
      </w:r>
      <w:r>
        <w:rPr>
          <w:rFonts w:hint="cs"/>
          <w:bCs/>
          <w:rtl/>
        </w:rPr>
        <w:t xml:space="preserve">فالسلف لم يفسروا مثال هذا ولم يشتغلوا بتأويله مع اعتقادهم أن الله تعالى غير متبعض ولا ذي حاجة </w:t>
      </w:r>
      <w:r>
        <w:rPr>
          <w:rFonts w:hint="cs"/>
          <w:rtl/>
        </w:rPr>
        <w:t xml:space="preserve">... </w:t>
      </w:r>
      <w:r>
        <w:rPr>
          <w:rFonts w:hint="cs"/>
          <w:bCs/>
          <w:rtl/>
        </w:rPr>
        <w:t xml:space="preserve">واعلم أن هذه الأحاديث ونحوها تروى كما جاءت ويفوض معناها إلى الله أو تؤول بما يليق بجلاله سبحانه ولا ترد بمجرد العناد والمكابرة " </w:t>
      </w:r>
      <w:r>
        <w:rPr>
          <w:rFonts w:hint="cs"/>
          <w:rtl/>
        </w:rPr>
        <w:t xml:space="preserve">أهـ </w:t>
      </w:r>
      <w:r w:rsidR="000636C2">
        <w:rPr>
          <w:rFonts w:hint="cs"/>
          <w:rtl/>
        </w:rPr>
        <w:t>[</w:t>
      </w:r>
      <w:r>
        <w:rPr>
          <w:rFonts w:hint="cs"/>
          <w:rtl/>
        </w:rPr>
        <w:t>أقاويل الثقات ج: 1 ص: 118</w:t>
      </w:r>
      <w:r w:rsidR="000636C2">
        <w:rPr>
          <w:rFonts w:hint="cs"/>
          <w:rtl/>
        </w:rPr>
        <w:t>]</w:t>
      </w:r>
      <w:r w:rsidR="000636C2">
        <w:rPr>
          <w:rFonts w:hint="cs"/>
          <w:bCs/>
          <w:rtl/>
        </w:rPr>
        <w:t>،</w:t>
      </w:r>
      <w:r>
        <w:rPr>
          <w:rFonts w:hint="cs"/>
          <w:rtl/>
        </w:rPr>
        <w:t xml:space="preserve"> </w:t>
      </w:r>
      <w:r>
        <w:rPr>
          <w:rFonts w:hint="cs"/>
          <w:bCs/>
          <w:rtl/>
        </w:rPr>
        <w:t>وقال رحمه الله</w:t>
      </w:r>
      <w:r w:rsidR="000636C2">
        <w:rPr>
          <w:rFonts w:hint="cs"/>
          <w:bCs/>
          <w:rtl/>
        </w:rPr>
        <w:t>:</w:t>
      </w:r>
      <w:r>
        <w:rPr>
          <w:rFonts w:hint="cs"/>
          <w:bCs/>
          <w:rtl/>
        </w:rPr>
        <w:t xml:space="preserve"> </w:t>
      </w:r>
      <w:r>
        <w:t>"</w:t>
      </w:r>
      <w:r>
        <w:rPr>
          <w:rtl/>
        </w:rPr>
        <w:t xml:space="preserve"> </w:t>
      </w:r>
      <w:r>
        <w:rPr>
          <w:rFonts w:hint="cs"/>
          <w:rtl/>
        </w:rPr>
        <w:t>ومن المتشابه الاستواء في قوله تعالى</w:t>
      </w:r>
      <w:r w:rsidR="000636C2">
        <w:rPr>
          <w:rFonts w:hint="cs"/>
          <w:rtl/>
        </w:rPr>
        <w:t>:</w:t>
      </w:r>
      <w:r>
        <w:rPr>
          <w:rFonts w:hint="cs"/>
          <w:rtl/>
          <w:lang w:bidi="ar-KW"/>
        </w:rPr>
        <w:t xml:space="preserve"> </w:t>
      </w:r>
      <w:r w:rsidR="000636C2">
        <w:rPr>
          <w:rFonts w:hint="cs"/>
          <w:rtl/>
          <w:lang w:bidi="ar-KW"/>
        </w:rPr>
        <w:t>{</w:t>
      </w:r>
      <w:r>
        <w:rPr>
          <w:rFonts w:hint="cs"/>
          <w:rtl/>
        </w:rPr>
        <w:t>الرحمن على العرش استوى}</w:t>
      </w:r>
      <w:r w:rsidR="000636C2">
        <w:rPr>
          <w:rFonts w:hint="cs"/>
          <w:rtl/>
        </w:rPr>
        <w:t>،</w:t>
      </w:r>
      <w:r>
        <w:rPr>
          <w:rFonts w:hint="cs"/>
          <w:rtl/>
        </w:rPr>
        <w:t xml:space="preserve"> وقوله</w:t>
      </w:r>
      <w:r>
        <w:rPr>
          <w:rFonts w:hint="cs"/>
          <w:rtl/>
          <w:lang w:bidi="ar-KW"/>
        </w:rPr>
        <w:t xml:space="preserve"> تعالى</w:t>
      </w:r>
      <w:r w:rsidR="000636C2">
        <w:rPr>
          <w:rFonts w:hint="cs"/>
          <w:rtl/>
          <w:lang w:bidi="ar-KW"/>
        </w:rPr>
        <w:t>:</w:t>
      </w:r>
      <w:r>
        <w:rPr>
          <w:rFonts w:hint="cs"/>
          <w:rtl/>
          <w:lang w:bidi="ar-KW"/>
        </w:rPr>
        <w:t xml:space="preserve"> </w:t>
      </w:r>
      <w:r w:rsidR="000636C2">
        <w:rPr>
          <w:rFonts w:hint="cs"/>
          <w:rtl/>
          <w:lang w:bidi="ar-KW"/>
        </w:rPr>
        <w:t>{</w:t>
      </w:r>
      <w:r>
        <w:rPr>
          <w:rFonts w:hint="cs"/>
          <w:rtl/>
        </w:rPr>
        <w:t>ثم استوى على العرش</w:t>
      </w:r>
      <w:r w:rsidR="000636C2">
        <w:rPr>
          <w:rFonts w:hint="cs"/>
          <w:rtl/>
          <w:lang w:bidi="ar-KW"/>
        </w:rPr>
        <w:t>}،</w:t>
      </w:r>
      <w:r>
        <w:rPr>
          <w:rFonts w:hint="cs"/>
          <w:rtl/>
          <w:lang w:bidi="ar-KW"/>
        </w:rPr>
        <w:t xml:space="preserve"> </w:t>
      </w:r>
      <w:r>
        <w:rPr>
          <w:rFonts w:hint="cs"/>
          <w:rtl/>
        </w:rPr>
        <w:t xml:space="preserve">وهو مذكور في سبع آيات من القرآن، </w:t>
      </w:r>
      <w:r>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0636C2">
        <w:rPr>
          <w:rFonts w:hint="cs"/>
          <w:rtl/>
        </w:rPr>
        <w:t xml:space="preserve"> </w:t>
      </w:r>
      <w:r>
        <w:rPr>
          <w:rFonts w:hint="cs"/>
          <w:rtl/>
          <w:lang w:bidi="ar-KW"/>
        </w:rPr>
        <w:t xml:space="preserve">.. </w:t>
      </w:r>
      <w:r>
        <w:rPr>
          <w:rFonts w:hint="cs"/>
          <w:rtl/>
        </w:rPr>
        <w:t>ويروى عن الشعبي أنه سئل عن الاستواء فقال</w:t>
      </w:r>
      <w:r w:rsidR="000636C2">
        <w:rPr>
          <w:rFonts w:hint="cs"/>
          <w:rtl/>
        </w:rPr>
        <w:t>:</w:t>
      </w:r>
      <w:r>
        <w:rPr>
          <w:rFonts w:hint="cs"/>
          <w:rtl/>
        </w:rPr>
        <w:t xml:space="preserve"> هذا من </w:t>
      </w:r>
      <w:r>
        <w:rPr>
          <w:rFonts w:hint="cs"/>
          <w:bCs/>
          <w:rtl/>
        </w:rPr>
        <w:t>متشابه القرآن نؤمن به ولا نتعرض لمعناه</w:t>
      </w:r>
      <w:r>
        <w:rPr>
          <w:rFonts w:hint="cs"/>
          <w:rtl/>
        </w:rPr>
        <w:t xml:space="preserve"> وعن الشافعي أنه قال لما سئل عن الاستواء آمنت بلا تشبيه وصدقت بلا تمثيل واتهمت نفسي في الإدراك وأمسكت عن الخوض غاية الإمساك</w:t>
      </w:r>
      <w:r w:rsidR="000636C2">
        <w:rPr>
          <w:rtl/>
        </w:rPr>
        <w:t xml:space="preserve"> </w:t>
      </w:r>
      <w:r>
        <w:rPr>
          <w:rFonts w:hint="cs"/>
          <w:rtl/>
        </w:rPr>
        <w:t>وعن أحمد بن حنبل أنه قال استوى كما ذكر لا كما يخطر للبشر</w:t>
      </w:r>
      <w:r w:rsidR="000636C2">
        <w:rPr>
          <w:rFonts w:hint="cs"/>
          <w:rtl/>
        </w:rPr>
        <w:t>،</w:t>
      </w:r>
      <w:r w:rsidR="000636C2">
        <w:rPr>
          <w:rtl/>
        </w:rPr>
        <w:t xml:space="preserve"> </w:t>
      </w:r>
      <w:r>
        <w:rPr>
          <w:rFonts w:hint="cs"/>
          <w:rtl/>
        </w:rPr>
        <w:t xml:space="preserve">وكلام السلف مستفيض بمثل هذا </w:t>
      </w:r>
      <w:r>
        <w:t>"</w:t>
      </w:r>
      <w:r w:rsidR="000636C2">
        <w:rPr>
          <w:rtl/>
        </w:rPr>
        <w:t xml:space="preserve"> </w:t>
      </w:r>
      <w:r>
        <w:rPr>
          <w:rFonts w:hint="cs"/>
          <w:rtl/>
        </w:rPr>
        <w:t xml:space="preserve">أ هـ </w:t>
      </w:r>
      <w:r w:rsidR="000636C2">
        <w:rPr>
          <w:rFonts w:hint="cs"/>
          <w:rtl/>
        </w:rPr>
        <w:t>[</w:t>
      </w:r>
      <w:r>
        <w:rPr>
          <w:rFonts w:hint="cs"/>
          <w:rtl/>
        </w:rPr>
        <w:t>أقاويل الثقات ج: 1 ص: 120/121</w:t>
      </w:r>
      <w:r w:rsidR="000636C2">
        <w:rPr>
          <w:rFonts w:hint="cs"/>
          <w:rtl/>
        </w:rPr>
        <w:t>]،</w:t>
      </w:r>
      <w:r>
        <w:rPr>
          <w:rFonts w:hint="cs"/>
          <w:rtl/>
        </w:rPr>
        <w:t xml:space="preserve"> </w:t>
      </w:r>
      <w:r>
        <w:rPr>
          <w:rFonts w:hint="cs"/>
          <w:bCs/>
          <w:rtl/>
        </w:rPr>
        <w:t xml:space="preserve">وقال </w:t>
      </w:r>
      <w:r>
        <w:rPr>
          <w:rFonts w:hint="cs"/>
          <w:bCs/>
          <w:rtl/>
        </w:rPr>
        <w:lastRenderedPageBreak/>
        <w:t>رحمه الله</w:t>
      </w:r>
      <w:r w:rsidR="000636C2">
        <w:rPr>
          <w:rFonts w:hint="cs"/>
          <w:bCs/>
          <w:rtl/>
        </w:rPr>
        <w:t>:</w:t>
      </w:r>
      <w:r>
        <w:rPr>
          <w:rFonts w:hint="cs"/>
          <w:bCs/>
          <w:rtl/>
        </w:rPr>
        <w:t xml:space="preserve"> </w:t>
      </w:r>
      <w:r>
        <w:rPr>
          <w:rFonts w:hint="cs"/>
          <w:rtl/>
        </w:rPr>
        <w:t>" قال الطيبي</w:t>
      </w:r>
      <w:r w:rsidR="000636C2">
        <w:rPr>
          <w:rFonts w:hint="cs"/>
          <w:rtl/>
        </w:rPr>
        <w:t>:</w:t>
      </w:r>
      <w:r>
        <w:rPr>
          <w:rFonts w:hint="cs"/>
          <w:rtl/>
        </w:rPr>
        <w:t xml:space="preserve"> هذا المذهب </w:t>
      </w:r>
      <w:r w:rsidR="000636C2">
        <w:rPr>
          <w:rFonts w:hint="cs"/>
          <w:rtl/>
        </w:rPr>
        <w:t>[</w:t>
      </w:r>
      <w:r>
        <w:rPr>
          <w:rFonts w:hint="cs"/>
          <w:rtl/>
        </w:rPr>
        <w:t>أي تفويض العلم</w:t>
      </w:r>
      <w:r w:rsidR="000636C2">
        <w:rPr>
          <w:rFonts w:hint="cs"/>
          <w:rtl/>
        </w:rPr>
        <w:t>]</w:t>
      </w:r>
      <w:r>
        <w:rPr>
          <w:rFonts w:hint="cs"/>
          <w:rtl/>
        </w:rPr>
        <w:t>هو المعتمد عليه وبه يقول السلف الصالح ومن ذهب إلى التأويل شرط فيه أن يكون مما يؤدي إلى تعظيم الله تعالى وجلاله وتنزيهه وكبريائه وما لا تعظيم فيه فلا يجوز الخوض فيه فكيف بما يؤدي إلى التجسيم والتشبيه انتهى</w:t>
      </w:r>
      <w:r w:rsidR="000636C2">
        <w:rPr>
          <w:rFonts w:hint="cs"/>
          <w:rtl/>
        </w:rPr>
        <w:t xml:space="preserve"> </w:t>
      </w:r>
      <w:r>
        <w:rPr>
          <w:rFonts w:hint="cs"/>
          <w:rtl/>
        </w:rPr>
        <w:t>وهو كلام في غاية التحقيق إلا أن ترك التأويل مطلقا وتفويض العلم إلى الله أسلم</w:t>
      </w:r>
      <w:r w:rsidR="000636C2">
        <w:rPr>
          <w:rFonts w:hint="cs"/>
          <w:rtl/>
        </w:rPr>
        <w:t>)</w:t>
      </w:r>
      <w:r>
        <w:rPr>
          <w:rFonts w:hint="cs"/>
          <w:rtl/>
        </w:rPr>
        <w:t xml:space="preserve">) أهـ </w:t>
      </w:r>
      <w:r w:rsidR="000636C2">
        <w:rPr>
          <w:rFonts w:hint="cs"/>
          <w:rtl/>
        </w:rPr>
        <w:t>[</w:t>
      </w:r>
      <w:r>
        <w:rPr>
          <w:rFonts w:hint="cs"/>
          <w:rtl/>
        </w:rPr>
        <w:t>أقاويل الثقات ج 1 ص 158ـ162</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_ </w:t>
      </w:r>
      <w:r>
        <w:rPr>
          <w:rFonts w:hint="cs"/>
          <w:rtl/>
        </w:rPr>
        <w:t>عند تعرضه لحديث</w:t>
      </w:r>
      <w:r>
        <w:rPr>
          <w:rFonts w:hint="cs"/>
          <w:bCs/>
          <w:rtl/>
        </w:rPr>
        <w:t xml:space="preserve"> </w:t>
      </w:r>
      <w:r w:rsidR="000636C2">
        <w:rPr>
          <w:rFonts w:hint="cs"/>
          <w:bCs/>
          <w:rtl/>
        </w:rPr>
        <w:t>(</w:t>
      </w:r>
      <w:r>
        <w:rPr>
          <w:rFonts w:hint="cs"/>
          <w:rtl/>
        </w:rPr>
        <w:t>حتى يضع الجبار فيها قدمه</w:t>
      </w:r>
      <w:r w:rsidR="000636C2">
        <w:rPr>
          <w:rFonts w:hint="cs"/>
          <w:rtl/>
        </w:rPr>
        <w:t>)</w:t>
      </w:r>
      <w:r>
        <w:rPr>
          <w:rFonts w:hint="cs"/>
          <w:rtl/>
        </w:rPr>
        <w:t xml:space="preserve"> _</w:t>
      </w:r>
      <w:r w:rsidR="000636C2">
        <w:rPr>
          <w:rFonts w:hint="cs"/>
          <w:bCs/>
          <w:rtl/>
        </w:rPr>
        <w:t xml:space="preserve"> </w:t>
      </w:r>
      <w:r>
        <w:rPr>
          <w:rFonts w:hint="cs"/>
          <w:rtl/>
        </w:rPr>
        <w:t xml:space="preserve">" </w:t>
      </w:r>
      <w:r>
        <w:rPr>
          <w:rFonts w:hint="cs"/>
          <w:bCs/>
          <w:rtl/>
        </w:rPr>
        <w:t xml:space="preserve">قال الترمذي </w:t>
      </w:r>
      <w:r>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اختاروه وذهبوا إليه</w:t>
      </w:r>
      <w:r w:rsidR="000636C2">
        <w:rPr>
          <w:rFonts w:hint="cs"/>
          <w:bCs/>
          <w:rtl/>
        </w:rPr>
        <w:t xml:space="preserve">، </w:t>
      </w:r>
      <w:r>
        <w:rPr>
          <w:rFonts w:hint="cs"/>
          <w:rtl/>
        </w:rPr>
        <w:t>وقال الخطابي كان أبو عبيد القاسم بن سلام وهو أحد أنهياء أهل العلم يقول</w:t>
      </w:r>
      <w:r>
        <w:rPr>
          <w:rFonts w:hint="cs"/>
          <w:bCs/>
          <w:rtl/>
        </w:rPr>
        <w:t xml:space="preserve"> نحن نروي هذه الأحاديث ولا نريغ لها المعاني</w:t>
      </w:r>
      <w:r w:rsidR="000636C2">
        <w:rPr>
          <w:rFonts w:hint="cs"/>
          <w:bCs/>
          <w:rtl/>
        </w:rPr>
        <w:t>،</w:t>
      </w:r>
      <w:r>
        <w:rPr>
          <w:rFonts w:hint="cs"/>
          <w:bCs/>
          <w:rtl/>
        </w:rPr>
        <w:t xml:space="preserve"> قال الخطابي ونحن أحرى أن لا نتقدم فيما تأخر عنه من هو أكثر منا علما وأقدم زمانا وسنا </w:t>
      </w:r>
      <w:r>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sidR="000636C2">
        <w:rPr>
          <w:rFonts w:hint="cs"/>
          <w:rtl/>
        </w:rPr>
        <w:t>،</w:t>
      </w:r>
      <w:r>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Pr>
          <w:rFonts w:hint="cs"/>
          <w:bCs/>
          <w:rtl/>
        </w:rPr>
        <w:t xml:space="preserve">" </w:t>
      </w:r>
      <w:r>
        <w:rPr>
          <w:rFonts w:hint="cs"/>
          <w:rtl/>
        </w:rPr>
        <w:t>أهـ</w:t>
      </w:r>
      <w:r w:rsidR="000636C2">
        <w:rPr>
          <w:rFonts w:hint="cs"/>
          <w:rtl/>
        </w:rPr>
        <w:t xml:space="preserve"> [</w:t>
      </w:r>
      <w:r>
        <w:rPr>
          <w:rFonts w:hint="cs"/>
          <w:rtl/>
        </w:rPr>
        <w:t>أقاويل الثقات ج: 1 ص</w:t>
      </w:r>
      <w:r w:rsidR="000636C2">
        <w:rPr>
          <w:rFonts w:hint="cs"/>
          <w:rtl/>
        </w:rPr>
        <w:t>:</w:t>
      </w:r>
      <w:r>
        <w:rPr>
          <w:rFonts w:hint="cs"/>
          <w:rtl/>
        </w:rPr>
        <w:t xml:space="preserve"> 177- 178</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xml:space="preserve">" </w:t>
      </w:r>
      <w:r>
        <w:rPr>
          <w:rFonts w:hint="cs"/>
          <w:bCs/>
          <w:rtl/>
        </w:rPr>
        <w:t xml:space="preserve">ومن المتشابه المجيء </w:t>
      </w:r>
      <w:r>
        <w:rPr>
          <w:rFonts w:hint="cs"/>
          <w:rtl/>
        </w:rPr>
        <w:t>في قوله تعالى</w:t>
      </w:r>
      <w:r w:rsidR="000636C2">
        <w:rPr>
          <w:rFonts w:hint="cs"/>
          <w:rtl/>
        </w:rPr>
        <w:t>:</w:t>
      </w:r>
      <w:r>
        <w:rPr>
          <w:rFonts w:hint="cs"/>
          <w:rtl/>
        </w:rPr>
        <w:t xml:space="preserve"> </w:t>
      </w:r>
      <w:r w:rsidR="000636C2">
        <w:rPr>
          <w:rFonts w:hint="cs"/>
          <w:rtl/>
        </w:rPr>
        <w:t>{</w:t>
      </w:r>
      <w:r>
        <w:rPr>
          <w:rFonts w:hint="cs"/>
          <w:rtl/>
        </w:rPr>
        <w:t>وجاء ربك والملك صفا صفا</w:t>
      </w:r>
      <w:r w:rsidR="000636C2">
        <w:rPr>
          <w:rFonts w:hint="cs"/>
          <w:rtl/>
        </w:rPr>
        <w:t xml:space="preserve">}، </w:t>
      </w:r>
      <w:r>
        <w:rPr>
          <w:rFonts w:hint="cs"/>
          <w:rtl/>
        </w:rPr>
        <w:t>وقوله</w:t>
      </w:r>
      <w:r w:rsidR="000636C2">
        <w:rPr>
          <w:rFonts w:hint="cs"/>
          <w:rtl/>
        </w:rPr>
        <w:t>:</w:t>
      </w:r>
      <w:r>
        <w:rPr>
          <w:rFonts w:hint="cs"/>
          <w:rtl/>
        </w:rPr>
        <w:t xml:space="preserve"> </w:t>
      </w:r>
      <w:r w:rsidR="000636C2">
        <w:rPr>
          <w:rFonts w:hint="cs"/>
          <w:rtl/>
        </w:rPr>
        <w:t>{</w:t>
      </w:r>
      <w:r>
        <w:rPr>
          <w:rFonts w:hint="cs"/>
          <w:rtl/>
        </w:rPr>
        <w:t>هل ينظرون إلا أن يأتيهم الله</w:t>
      </w:r>
      <w:r w:rsidR="000636C2">
        <w:rPr>
          <w:rFonts w:hint="cs"/>
          <w:rtl/>
        </w:rPr>
        <w:t>}،</w:t>
      </w:r>
      <w:r>
        <w:rPr>
          <w:rFonts w:hint="cs"/>
          <w:rtl/>
        </w:rPr>
        <w:t xml:space="preserve"> </w:t>
      </w:r>
      <w:r>
        <w:rPr>
          <w:rFonts w:hint="cs"/>
          <w:bCs/>
          <w:rtl/>
        </w:rPr>
        <w:t xml:space="preserve">فمذهب السلف في هذا وأمثاله السكوت عن الخوض في معناه وتفويض علمه إلى الله تعالى كما مرت الإشارة إليه أول الكتاب " </w:t>
      </w:r>
      <w:r>
        <w:rPr>
          <w:rFonts w:hint="cs"/>
          <w:rtl/>
        </w:rPr>
        <w:t xml:space="preserve">أهـ </w:t>
      </w:r>
      <w:r w:rsidR="000636C2">
        <w:rPr>
          <w:rFonts w:hint="cs"/>
          <w:rtl/>
        </w:rPr>
        <w:t>[</w:t>
      </w:r>
      <w:r>
        <w:rPr>
          <w:rFonts w:hint="cs"/>
          <w:rtl/>
        </w:rPr>
        <w:t>أقاويل الثقات ج: 1 ص: 197</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 ومذهب السلف إنما هو التوحيد والتنزيه دون التجسيم والتشبيه والمبتدعة تزعم أنها على مذهب السلف "</w:t>
      </w:r>
      <w:r>
        <w:rPr>
          <w:rFonts w:hint="cs"/>
          <w:rtl/>
        </w:rPr>
        <w:t xml:space="preserve"> أهـ </w:t>
      </w:r>
      <w:r w:rsidR="000636C2">
        <w:rPr>
          <w:rFonts w:hint="cs"/>
          <w:rtl/>
        </w:rPr>
        <w:t>[</w:t>
      </w:r>
      <w:r>
        <w:rPr>
          <w:rFonts w:hint="cs"/>
          <w:rtl/>
        </w:rPr>
        <w:t>أقاويل الثقات ج: 1 ص: 198</w:t>
      </w:r>
      <w:r w:rsidR="000636C2">
        <w:rPr>
          <w:rFonts w:hint="cs"/>
          <w:rtl/>
        </w:rPr>
        <w:t>]،</w:t>
      </w:r>
      <w:r>
        <w:rPr>
          <w:rFonts w:hint="cs"/>
          <w:rtl/>
        </w:rPr>
        <w:t xml:space="preserve"> </w:t>
      </w:r>
      <w:r>
        <w:rPr>
          <w:rFonts w:hint="cs"/>
          <w:bCs/>
          <w:rtl/>
        </w:rPr>
        <w:t>وقال رحمه الله</w:t>
      </w:r>
      <w:r w:rsidR="000636C2">
        <w:rPr>
          <w:rFonts w:hint="cs"/>
          <w:bCs/>
          <w:rtl/>
        </w:rPr>
        <w:t>:</w:t>
      </w:r>
      <w:r>
        <w:rPr>
          <w:rFonts w:hint="cs"/>
          <w:bCs/>
          <w:rtl/>
        </w:rPr>
        <w:t xml:space="preserve"> </w:t>
      </w:r>
      <w:r>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sidR="000636C2">
        <w:rPr>
          <w:rFonts w:hint="cs"/>
          <w:rtl/>
        </w:rPr>
        <w:t xml:space="preserve"> (</w:t>
      </w:r>
      <w:r>
        <w:rPr>
          <w:rFonts w:hint="cs"/>
          <w:rtl/>
        </w:rPr>
        <w:t>قل الروح من أمر ربي</w:t>
      </w:r>
      <w:r w:rsidR="000636C2">
        <w:rPr>
          <w:rFonts w:hint="cs"/>
          <w:rtl/>
        </w:rPr>
        <w:t>)</w:t>
      </w:r>
      <w:r>
        <w:rPr>
          <w:rFonts w:hint="cs"/>
          <w:rtl/>
        </w:rPr>
        <w:t xml:space="preserve"> [الإسراء 85</w:t>
      </w:r>
      <w:r w:rsidR="000636C2">
        <w:rPr>
          <w:rFonts w:hint="cs"/>
          <w:rtl/>
        </w:rPr>
        <w:t>]</w:t>
      </w:r>
      <w:r>
        <w:rPr>
          <w:rFonts w:hint="cs"/>
          <w:rtl/>
        </w:rPr>
        <w:t xml:space="preserve"> 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w:t>
      </w:r>
      <w:r>
        <w:rPr>
          <w:rFonts w:hint="cs"/>
          <w:rtl/>
        </w:rPr>
        <w:lastRenderedPageBreak/>
        <w:t>إنما يعرف بآثاره لا بحقيقة ذاته</w:t>
      </w:r>
      <w:r w:rsidR="000636C2">
        <w:rPr>
          <w:rFonts w:hint="cs"/>
          <w:rtl/>
        </w:rPr>
        <w:t xml:space="preserve"> </w:t>
      </w:r>
      <w:r>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sidR="000636C2">
        <w:rPr>
          <w:rFonts w:hint="cs"/>
          <w:rtl/>
        </w:rPr>
        <w:t xml:space="preserve"> </w:t>
      </w:r>
      <w:r>
        <w:rPr>
          <w:rFonts w:hint="cs"/>
          <w:rtl/>
        </w:rPr>
        <w:t>ولو قال قائل ما الصواعق وما البرق وما الزلازل قلنا شيء مزعج ويكفي والسر في هذا أنه لو كشفت حقائقه لخف مقدار تعظيمه</w:t>
      </w:r>
      <w:r w:rsidR="000636C2">
        <w:rPr>
          <w:rFonts w:hint="cs"/>
          <w:rtl/>
        </w:rPr>
        <w:t xml:space="preserve"> </w:t>
      </w:r>
      <w:r>
        <w:rPr>
          <w:rFonts w:hint="cs"/>
          <w:rtl/>
        </w:rPr>
        <w:t>قال فإذا ثبت هذا في المخلوقات فالخالق أجل وأعلا فينبغي أن يوقف في إثباته على دليل وجوده ثم يستدل على جواز بعثه رسله ثم تتلقى أوصافه من كتبه ورسله ولا يزاد على ذلك ولقد بحث خلق كثير عن صفاته تعالى بآرائهم فعاد وبال ذلك عليهم</w:t>
      </w:r>
      <w:r w:rsidR="000636C2">
        <w:rPr>
          <w:rFonts w:hint="cs"/>
          <w:rtl/>
        </w:rPr>
        <w:t xml:space="preserve"> </w:t>
      </w:r>
      <w:r>
        <w:rPr>
          <w:rFonts w:hint="cs"/>
          <w:rtl/>
        </w:rPr>
        <w:t>فإذا قلنا إنه موجود وعلمنا من كلامه أنه سميع بصير حي قادر كفانا هذا في صفاته ولا نخوض في شيء آخر وكذلك نقول متكلم والقرآن كلامه ولا نتكلف ما فوق ذلك</w:t>
      </w:r>
      <w:r w:rsidR="000636C2">
        <w:rPr>
          <w:rFonts w:hint="cs"/>
          <w:rtl/>
        </w:rPr>
        <w:t>،</w:t>
      </w:r>
      <w:r>
        <w:rPr>
          <w:rFonts w:hint="cs"/>
          <w:rtl/>
        </w:rPr>
        <w:t xml:space="preserve"> </w:t>
      </w:r>
      <w:r>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sidR="000636C2">
        <w:rPr>
          <w:rFonts w:hint="cs"/>
          <w:bCs/>
          <w:rtl/>
        </w:rPr>
        <w:t>،</w:t>
      </w:r>
      <w:r>
        <w:rPr>
          <w:rFonts w:hint="cs"/>
          <w:bCs/>
          <w:rtl/>
        </w:rPr>
        <w:t xml:space="preserve"> </w:t>
      </w:r>
      <w:r>
        <w:rPr>
          <w:rFonts w:hint="cs"/>
          <w:rtl/>
        </w:rPr>
        <w:t>وقال أيضا في موضع آخر</w:t>
      </w:r>
      <w:r w:rsidR="000636C2">
        <w:rPr>
          <w:rFonts w:hint="cs"/>
          <w:bCs/>
          <w:rtl/>
        </w:rPr>
        <w:t>:</w:t>
      </w:r>
      <w:r>
        <w:rPr>
          <w:rFonts w:hint="cs"/>
          <w:bCs/>
          <w:rtl/>
        </w:rPr>
        <w:t xml:space="preserve"> </w:t>
      </w:r>
      <w:r>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مدحته الخنساء أو ليلى الأخيلية</w:t>
      </w:r>
      <w:r w:rsidR="000636C2">
        <w:rPr>
          <w:rFonts w:hint="cs"/>
          <w:rtl/>
        </w:rPr>
        <w:t>،</w:t>
      </w:r>
      <w:r>
        <w:rPr>
          <w:rFonts w:hint="cs"/>
          <w:rtl/>
        </w:rPr>
        <w:t xml:space="preserve">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sidR="000636C2">
        <w:rPr>
          <w:rFonts w:hint="cs"/>
          <w:rtl/>
        </w:rPr>
        <w:t>،</w:t>
      </w:r>
      <w:r>
        <w:rPr>
          <w:rFonts w:hint="cs"/>
          <w:rtl/>
        </w:rPr>
        <w:t xml:space="preserve"> </w:t>
      </w:r>
      <w:r>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sidR="000636C2">
        <w:rPr>
          <w:rFonts w:hint="cs"/>
          <w:rtl/>
        </w:rPr>
        <w:t>،</w:t>
      </w:r>
      <w:r>
        <w:rPr>
          <w:rFonts w:hint="cs"/>
          <w:rtl/>
        </w:rPr>
        <w:t xml:space="preserve"> قال وقد تكلموا بأقبح ما يتكلم به المتأولون ثم عابوا المتكلمين</w:t>
      </w:r>
      <w:r w:rsidR="000636C2">
        <w:rPr>
          <w:rFonts w:hint="cs"/>
          <w:rtl/>
        </w:rPr>
        <w:t>،</w:t>
      </w:r>
      <w:r>
        <w:rPr>
          <w:rFonts w:hint="cs"/>
          <w:rtl/>
        </w:rPr>
        <w:t xml:space="preserve"> قال واعلم أنه قد سبق إلينا من العقل والنقل أصلان راسخان عليهما نمر الأحاديث كلها</w:t>
      </w:r>
      <w:r w:rsidR="000636C2">
        <w:rPr>
          <w:rFonts w:hint="cs"/>
          <w:rtl/>
        </w:rPr>
        <w:t>،</w:t>
      </w:r>
      <w:r>
        <w:rPr>
          <w:rFonts w:hint="cs"/>
          <w:rtl/>
        </w:rPr>
        <w:t xml:space="preserve"> أما النقل فقوله سبحانه</w:t>
      </w:r>
      <w:r w:rsidR="000636C2">
        <w:rPr>
          <w:rFonts w:hint="cs"/>
          <w:rtl/>
        </w:rPr>
        <w:t>:</w:t>
      </w:r>
      <w:r>
        <w:rPr>
          <w:rFonts w:hint="cs"/>
          <w:rtl/>
        </w:rPr>
        <w:t xml:space="preserve"> </w:t>
      </w:r>
      <w:r w:rsidR="000636C2">
        <w:rPr>
          <w:rFonts w:hint="cs"/>
          <w:rtl/>
        </w:rPr>
        <w:t>{</w:t>
      </w:r>
      <w:r>
        <w:rPr>
          <w:rFonts w:hint="cs"/>
          <w:rtl/>
        </w:rPr>
        <w:t>ليس كمثله شيء</w:t>
      </w:r>
      <w:r w:rsidR="000636C2">
        <w:rPr>
          <w:rFonts w:hint="cs"/>
          <w:rtl/>
        </w:rPr>
        <w:t>}،</w:t>
      </w:r>
      <w:r>
        <w:rPr>
          <w:rFonts w:hint="cs"/>
          <w:rtl/>
        </w:rPr>
        <w:t xml:space="preserve"> ومن فهم هذا لم يحمل وصفا له تعالى على ما يوجبه الحس</w:t>
      </w:r>
      <w:r w:rsidR="000636C2">
        <w:rPr>
          <w:rFonts w:hint="cs"/>
          <w:rtl/>
        </w:rPr>
        <w:t>،</w:t>
      </w:r>
      <w:r>
        <w:rPr>
          <w:rFonts w:hint="cs"/>
          <w:rtl/>
        </w:rPr>
        <w:t xml:space="preserve"> وأما العقل فقد علم مباينة الصانع للمصنوعات واستدل على حدوثها بتغيرها ودخول الانفعال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w:t>
      </w:r>
      <w:r w:rsidR="000636C2">
        <w:rPr>
          <w:rFonts w:hint="cs"/>
          <w:rtl/>
        </w:rPr>
        <w:t>،</w:t>
      </w:r>
      <w:r>
        <w:rPr>
          <w:rFonts w:hint="cs"/>
          <w:rtl/>
        </w:rPr>
        <w:t xml:space="preserve"> فقال الموت عرض يوجب بطلان الحياة فكيف يموت الموت أو يذبح</w:t>
      </w:r>
      <w:r w:rsidR="000636C2">
        <w:rPr>
          <w:rFonts w:hint="cs"/>
          <w:rtl/>
        </w:rPr>
        <w:t>،</w:t>
      </w:r>
      <w:r>
        <w:rPr>
          <w:rFonts w:hint="cs"/>
          <w:rtl/>
        </w:rPr>
        <w:t>فإذا قيل له فما تصنع في الحديث</w:t>
      </w:r>
      <w:r w:rsidR="000636C2">
        <w:rPr>
          <w:rFonts w:hint="cs"/>
          <w:rtl/>
        </w:rPr>
        <w:t>،</w:t>
      </w:r>
      <w:r>
        <w:rPr>
          <w:rFonts w:hint="cs"/>
          <w:rtl/>
        </w:rPr>
        <w:t xml:space="preserve"> </w:t>
      </w:r>
      <w:r>
        <w:rPr>
          <w:rFonts w:hint="cs"/>
          <w:rtl/>
        </w:rPr>
        <w:lastRenderedPageBreak/>
        <w:t>فقال هذا ضرب مثل بإقامة صورة ليعلم بتلك الصورة الحسية موت ذلك المعنى</w:t>
      </w:r>
      <w:r w:rsidR="000636C2">
        <w:rPr>
          <w:rFonts w:hint="cs"/>
          <w:rtl/>
        </w:rPr>
        <w:t>،</w:t>
      </w:r>
      <w:r>
        <w:rPr>
          <w:rFonts w:hint="cs"/>
          <w:rtl/>
        </w:rPr>
        <w:t xml:space="preserve"> قلنا له قد ورد في الحديث الصحيح (</w:t>
      </w:r>
      <w:r w:rsidR="000636C2">
        <w:rPr>
          <w:rFonts w:hint="cs"/>
          <w:rtl/>
        </w:rPr>
        <w:t>(</w:t>
      </w:r>
      <w:r>
        <w:rPr>
          <w:rFonts w:hint="cs"/>
          <w:rtl/>
        </w:rPr>
        <w:t>تأتي البقرة وآل عمران كأنهما غمامتان</w:t>
      </w:r>
      <w:r w:rsidR="000636C2">
        <w:rPr>
          <w:rFonts w:hint="cs"/>
          <w:rtl/>
        </w:rPr>
        <w:t>)</w:t>
      </w:r>
      <w:r>
        <w:rPr>
          <w:rFonts w:hint="cs"/>
          <w:rtl/>
        </w:rPr>
        <w:t>) فقال الكلام لا يكون غمامة ولا يشبه بها</w:t>
      </w:r>
      <w:r w:rsidR="000636C2">
        <w:rPr>
          <w:rFonts w:hint="cs"/>
          <w:rtl/>
        </w:rPr>
        <w:t>،</w:t>
      </w:r>
      <w:r>
        <w:rPr>
          <w:rFonts w:hint="cs"/>
          <w:rtl/>
        </w:rPr>
        <w:t xml:space="preserve"> قلنا أفتعطل النقل</w:t>
      </w:r>
      <w:r w:rsidR="000636C2">
        <w:rPr>
          <w:rFonts w:hint="cs"/>
          <w:rtl/>
        </w:rPr>
        <w:t>؟</w:t>
      </w:r>
      <w:r>
        <w:rPr>
          <w:rFonts w:hint="cs"/>
          <w:rtl/>
        </w:rPr>
        <w:t xml:space="preserve"> قال لا ولكن يأتي ثوابهما</w:t>
      </w:r>
      <w:r w:rsidR="000636C2">
        <w:rPr>
          <w:rFonts w:hint="cs"/>
          <w:rtl/>
        </w:rPr>
        <w:t>،</w:t>
      </w:r>
      <w:r>
        <w:rPr>
          <w:rFonts w:hint="cs"/>
          <w:rtl/>
        </w:rPr>
        <w:t xml:space="preserve"> قلنا فما الدليل الصارف لك عن هذه الحقائق</w:t>
      </w:r>
      <w:r w:rsidR="000636C2">
        <w:rPr>
          <w:rFonts w:hint="cs"/>
          <w:rtl/>
        </w:rPr>
        <w:t>،</w:t>
      </w:r>
      <w:r>
        <w:rPr>
          <w:rFonts w:hint="cs"/>
          <w:rtl/>
        </w:rPr>
        <w:t xml:space="preserve"> قال علمي بأن الكلام لا يشبه بالأجسام والموت لا يذبح ذبح الأنعام ولو علمتم سعة لغة العرب ما ضاقت أعطانكم من سماع مثل هذا</w:t>
      </w:r>
      <w:r w:rsidR="000636C2">
        <w:rPr>
          <w:rFonts w:hint="cs"/>
          <w:rtl/>
        </w:rPr>
        <w:t xml:space="preserve"> </w:t>
      </w:r>
      <w:r>
        <w:rPr>
          <w:rFonts w:hint="cs"/>
          <w:rtl/>
        </w:rPr>
        <w:t>فقال العلماء صدقت هكذا نقول في تفسير مجيء سورة البقرة وفي ذبح الموت</w:t>
      </w:r>
      <w:r w:rsidR="000636C2">
        <w:rPr>
          <w:rFonts w:hint="cs"/>
          <w:rtl/>
        </w:rPr>
        <w:t>،</w:t>
      </w:r>
      <w:r>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أهـ </w:t>
      </w:r>
      <w:r w:rsidR="000636C2">
        <w:rPr>
          <w:rFonts w:hint="cs"/>
          <w:rtl/>
        </w:rPr>
        <w:t>[</w:t>
      </w:r>
      <w:r>
        <w:rPr>
          <w:rFonts w:hint="cs"/>
          <w:rtl/>
        </w:rPr>
        <w:t>أقاويل الثقات ج 1 ص 214ـ218</w:t>
      </w:r>
      <w:r w:rsidR="000636C2">
        <w:rPr>
          <w:rFonts w:hint="cs"/>
          <w:rtl/>
        </w:rPr>
        <w:t>]،</w:t>
      </w:r>
      <w:r>
        <w:rPr>
          <w:rFonts w:hint="cs"/>
          <w:rtl/>
        </w:rPr>
        <w:t xml:space="preserve"> </w:t>
      </w:r>
      <w:r>
        <w:rPr>
          <w:rFonts w:hint="cs"/>
          <w:bCs/>
          <w:rtl/>
        </w:rPr>
        <w:t>وقال عبدالباقي بن إبراهيم الحنبلي</w:t>
      </w:r>
      <w:r>
        <w:rPr>
          <w:rFonts w:hint="cs"/>
          <w:rtl/>
        </w:rPr>
        <w:t xml:space="preserve"> الأثري في كتابه العين والأثر في عقائد أهل الأثر</w:t>
      </w:r>
      <w:r w:rsidR="000636C2">
        <w:rPr>
          <w:rFonts w:hint="cs"/>
          <w:rtl/>
        </w:rPr>
        <w:t>:</w:t>
      </w:r>
      <w:r>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0636C2">
        <w:rPr>
          <w:rFonts w:hint="cs"/>
          <w:rtl/>
        </w:rPr>
        <w:t>،</w:t>
      </w:r>
      <w:r>
        <w:rPr>
          <w:rFonts w:hint="cs"/>
          <w:rtl/>
        </w:rPr>
        <w:t xml:space="preserve"> ومنها نزول الرب سبحانه وتعالى كل ليلة إلى السماء الدنيا من غير تشبيه بنزول المخلوقين ولا تمثيل ولا تكييف</w:t>
      </w:r>
      <w:r w:rsidR="000636C2">
        <w:rPr>
          <w:rFonts w:hint="cs"/>
          <w:rtl/>
        </w:rPr>
        <w:t>،</w:t>
      </w:r>
      <w:r>
        <w:rPr>
          <w:rFonts w:hint="cs"/>
          <w:rtl/>
        </w:rPr>
        <w:t xml:space="preserve"> بل يثبت الحنابلة ما أثبته رسول الله ويمرون الخبر الصحيح الوارد بذكره على ظاهره </w:t>
      </w:r>
      <w:r>
        <w:rPr>
          <w:rFonts w:hint="cs"/>
          <w:bCs/>
          <w:rtl/>
        </w:rPr>
        <w:t>ويكلون علمه إلى الله تعالى</w:t>
      </w:r>
      <w:r w:rsidR="000636C2">
        <w:rPr>
          <w:rFonts w:hint="cs"/>
          <w:bCs/>
          <w:rtl/>
        </w:rPr>
        <w:t>،</w:t>
      </w:r>
      <w:r>
        <w:rPr>
          <w:rFonts w:hint="cs"/>
          <w:rtl/>
        </w:rPr>
        <w:t xml:space="preserve"> وكذلك ما أنزل الله عز اسمه في كتابه من ذكر المجيء والإتيان المذكورين في قوله تعالى</w:t>
      </w:r>
      <w:r w:rsidR="000636C2">
        <w:rPr>
          <w:rFonts w:hint="cs"/>
          <w:rtl/>
        </w:rPr>
        <w:t>:</w:t>
      </w:r>
      <w:r>
        <w:rPr>
          <w:rFonts w:hint="cs"/>
          <w:rtl/>
        </w:rPr>
        <w:t xml:space="preserve"> </w:t>
      </w:r>
      <w:r w:rsidR="000636C2">
        <w:rPr>
          <w:rFonts w:hint="cs"/>
          <w:rtl/>
        </w:rPr>
        <w:t>{</w:t>
      </w:r>
      <w:r>
        <w:rPr>
          <w:rFonts w:hint="cs"/>
          <w:rtl/>
        </w:rPr>
        <w:t>وجاء ربك والملك</w:t>
      </w:r>
      <w:r w:rsidR="000636C2">
        <w:rPr>
          <w:rFonts w:hint="cs"/>
          <w:rtl/>
        </w:rPr>
        <w:t>}</w:t>
      </w:r>
      <w:r>
        <w:rPr>
          <w:rFonts w:hint="cs"/>
          <w:rtl/>
        </w:rPr>
        <w:t xml:space="preserve"> الآية وفي قوله</w:t>
      </w:r>
      <w:r w:rsidR="000636C2">
        <w:rPr>
          <w:rFonts w:hint="cs"/>
          <w:rtl/>
        </w:rPr>
        <w:t>:</w:t>
      </w:r>
      <w:r>
        <w:rPr>
          <w:rFonts w:hint="cs"/>
          <w:rtl/>
        </w:rPr>
        <w:t xml:space="preserve"> </w:t>
      </w:r>
      <w:r w:rsidR="000636C2">
        <w:rPr>
          <w:rFonts w:hint="cs"/>
          <w:rtl/>
        </w:rPr>
        <w:t>{</w:t>
      </w:r>
      <w:r>
        <w:rPr>
          <w:rFonts w:hint="cs"/>
          <w:rtl/>
        </w:rPr>
        <w:t>هل ينظرون إلا أن يأتيهم الله في ظلل من الغمام</w:t>
      </w:r>
      <w:r w:rsidR="000636C2">
        <w:rPr>
          <w:rFonts w:hint="cs"/>
          <w:rtl/>
        </w:rPr>
        <w:t>}</w:t>
      </w:r>
      <w:r>
        <w:rPr>
          <w:rFonts w:hint="cs"/>
          <w:rtl/>
        </w:rPr>
        <w:t xml:space="preserve"> الآية</w:t>
      </w:r>
      <w:r w:rsidR="000636C2">
        <w:rPr>
          <w:rFonts w:hint="cs"/>
          <w:rtl/>
        </w:rPr>
        <w:t>،</w:t>
      </w:r>
      <w:r>
        <w:rPr>
          <w:rFonts w:hint="cs"/>
          <w:rtl/>
        </w:rPr>
        <w:t xml:space="preserve"> ونؤمن بذلك بلا كيف فلو شاء سبحانه أن يبين لنا كيفية ذلك فعل فانتهينا إلى ما أحكمه وكففنا عن الذي يتشابه</w:t>
      </w:r>
      <w:r w:rsidR="000636C2">
        <w:rPr>
          <w:rFonts w:hint="cs"/>
          <w:rtl/>
        </w:rPr>
        <w:t xml:space="preserve">، </w:t>
      </w:r>
      <w:r>
        <w:rPr>
          <w:rFonts w:hint="cs"/>
          <w:rtl/>
        </w:rPr>
        <w:t xml:space="preserve">قال ابن عيينة </w:t>
      </w:r>
      <w:r>
        <w:rPr>
          <w:rFonts w:hint="cs"/>
          <w:bCs/>
          <w:rtl/>
        </w:rPr>
        <w:t>كل ما وصف الله به نفسه في كتابه فتفسيره تلاوته والسكوت عنه</w:t>
      </w:r>
      <w:r w:rsidR="000636C2">
        <w:rPr>
          <w:rFonts w:hint="cs"/>
          <w:rtl/>
        </w:rPr>
        <w:t>،</w:t>
      </w:r>
      <w:r>
        <w:rPr>
          <w:rFonts w:hint="cs"/>
          <w:rtl/>
        </w:rPr>
        <w:t xml:space="preserve"> وقال بعض السلف قدم الإسلام لا يثبت إلا على قنطرة التسليم</w:t>
      </w:r>
      <w:r w:rsidR="000636C2">
        <w:rPr>
          <w:rFonts w:hint="cs"/>
          <w:rtl/>
        </w:rPr>
        <w:t>،</w:t>
      </w:r>
      <w:r>
        <w:rPr>
          <w:rFonts w:hint="cs"/>
          <w:rtl/>
        </w:rPr>
        <w:t xml:space="preserve"> فقد قال الإمام الشافعي رحمه الله تعالى </w:t>
      </w:r>
      <w:r>
        <w:rPr>
          <w:rFonts w:hint="cs"/>
          <w:bCs/>
          <w:rtl/>
        </w:rPr>
        <w:t>آمنت بالله وبما جاء عن الله وعلى مراد الله وآمنت برسول الله وبما جاء به رسول الله وعلى مراد رسول الله</w:t>
      </w:r>
      <w:r>
        <w:rPr>
          <w:rFonts w:hint="cs"/>
          <w:rtl/>
        </w:rPr>
        <w:t xml:space="preserve"> نقله عنه الإمام أبو الحسن اللبوذي الحنبلي في كتابه اللمع في السنن والبدع وقال بعد وعلى هذا درج أئمة السلف</w:t>
      </w:r>
      <w:r w:rsidR="000636C2">
        <w:rPr>
          <w:rFonts w:hint="cs"/>
          <w:rtl/>
        </w:rPr>
        <w:t>،</w:t>
      </w:r>
      <w:r>
        <w:rPr>
          <w:rFonts w:hint="cs"/>
          <w:rtl/>
        </w:rPr>
        <w:t xml:space="preserve">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Pr>
          <w:rFonts w:hint="cs"/>
          <w:bCs/>
          <w:rtl/>
        </w:rPr>
        <w:t xml:space="preserve"> </w:t>
      </w:r>
      <w:r>
        <w:rPr>
          <w:rFonts w:hint="cs"/>
          <w:rtl/>
        </w:rPr>
        <w:t>أهـ</w:t>
      </w:r>
      <w:r>
        <w:rPr>
          <w:rFonts w:hint="cs"/>
          <w:rtl/>
          <w:lang w:bidi="ar-KW"/>
        </w:rPr>
        <w:t xml:space="preserve"> </w:t>
      </w:r>
      <w:r w:rsidR="000636C2">
        <w:rPr>
          <w:rFonts w:hint="cs"/>
          <w:rtl/>
        </w:rPr>
        <w:t>[</w:t>
      </w:r>
      <w:r>
        <w:rPr>
          <w:rFonts w:hint="cs"/>
          <w:rtl/>
        </w:rPr>
        <w:t>العين والأثر في عقائد أهل الأثر ج: 1 ص:62- 63</w:t>
      </w:r>
      <w:r w:rsidR="000636C2">
        <w:rPr>
          <w:rFonts w:hint="cs"/>
          <w:rtl/>
        </w:rPr>
        <w:t>]،</w:t>
      </w:r>
      <w:r>
        <w:rPr>
          <w:rFonts w:hint="cs"/>
          <w:bCs/>
          <w:rtl/>
        </w:rPr>
        <w:t xml:space="preserve"> وقال الإمام ابن الجوزي الحنبلي الأثري</w:t>
      </w:r>
      <w:r w:rsidR="000636C2">
        <w:rPr>
          <w:rFonts w:hint="cs"/>
          <w:rtl/>
        </w:rPr>
        <w:t>:</w:t>
      </w:r>
      <w:r>
        <w:rPr>
          <w:rFonts w:hint="cs"/>
          <w:rtl/>
        </w:rPr>
        <w:t xml:space="preserve"> " ورأيت من أصحابنا من تكلم في الأصول بما لا يصلح</w:t>
      </w:r>
      <w:r w:rsidR="000636C2">
        <w:rPr>
          <w:rFonts w:hint="cs"/>
          <w:rtl/>
        </w:rPr>
        <w:t>،</w:t>
      </w:r>
      <w:r>
        <w:rPr>
          <w:rFonts w:hint="cs"/>
          <w:rtl/>
        </w:rPr>
        <w:t xml:space="preserve"> وانتدب للتصنيف ثلاثة أبو عبد الله بن حامد . وصاحبه القاضي</w:t>
      </w:r>
      <w:r w:rsidR="000636C2">
        <w:rPr>
          <w:rFonts w:hint="cs"/>
          <w:rtl/>
        </w:rPr>
        <w:t>،</w:t>
      </w:r>
      <w:r>
        <w:rPr>
          <w:rFonts w:hint="cs"/>
          <w:rtl/>
        </w:rPr>
        <w:t xml:space="preserve"> وابن الزاغوني " فصنفوا كتابا شانوا </w:t>
      </w:r>
      <w:r>
        <w:rPr>
          <w:rFonts w:hint="cs"/>
          <w:rtl/>
        </w:rPr>
        <w:lastRenderedPageBreak/>
        <w:t>بها المذاهب</w:t>
      </w:r>
      <w:r w:rsidR="000636C2">
        <w:rPr>
          <w:rFonts w:hint="cs"/>
          <w:rtl/>
        </w:rPr>
        <w:t>،</w:t>
      </w:r>
      <w:r>
        <w:rPr>
          <w:rFonts w:hint="cs"/>
          <w:rtl/>
        </w:rPr>
        <w:t xml:space="preserve"> ورأيتهم قد نزلوا إلى مرتبة العوام</w:t>
      </w:r>
      <w:r w:rsidR="000636C2">
        <w:rPr>
          <w:rFonts w:hint="cs"/>
          <w:rtl/>
        </w:rPr>
        <w:t>،</w:t>
      </w:r>
      <w:r>
        <w:rPr>
          <w:rFonts w:hint="cs"/>
          <w:rtl/>
        </w:rPr>
        <w:t xml:space="preserve"> فحملوا الصفات علي مقتضى الحس . فسمعوا أن الله تعالى خلق آدم علي صورته</w:t>
      </w:r>
      <w:r w:rsidR="000636C2">
        <w:rPr>
          <w:rFonts w:hint="cs"/>
          <w:rtl/>
        </w:rPr>
        <w:t>،</w:t>
      </w:r>
      <w:r>
        <w:rPr>
          <w:rFonts w:hint="cs"/>
          <w:rtl/>
        </w:rPr>
        <w:t xml:space="preserve"> فأثبتوا له صورة ووجها زائدا علي الذات</w:t>
      </w:r>
      <w:r w:rsidR="000636C2">
        <w:rPr>
          <w:rFonts w:hint="cs"/>
          <w:rtl/>
        </w:rPr>
        <w:t>،</w:t>
      </w:r>
      <w:r>
        <w:rPr>
          <w:rFonts w:hint="cs"/>
          <w:rtl/>
        </w:rPr>
        <w:t xml:space="preserve"> وعينين وفما ولهوات وأضراسا وجهة هي السبحات ويدين وأصابع وكفا وخنصرا وإبهاما وصدرا وفخدا وساقين ورجلين</w:t>
      </w:r>
      <w:r w:rsidR="000636C2">
        <w:rPr>
          <w:rFonts w:hint="cs"/>
          <w:rtl/>
        </w:rPr>
        <w:t>،</w:t>
      </w:r>
      <w:r>
        <w:rPr>
          <w:rFonts w:hint="cs"/>
          <w:rtl/>
        </w:rPr>
        <w:t xml:space="preserve"> وقالوا ما سمعنا بذكر الرأس</w:t>
      </w:r>
      <w:r w:rsidR="000636C2">
        <w:rPr>
          <w:rFonts w:hint="cs"/>
          <w:rtl/>
        </w:rPr>
        <w:t>،</w:t>
      </w:r>
      <w:r>
        <w:rPr>
          <w:rFonts w:hint="cs"/>
          <w:rtl/>
        </w:rPr>
        <w:t xml:space="preserve"> وقالوا يجوز أن يمس ويمس</w:t>
      </w:r>
      <w:r w:rsidR="000636C2">
        <w:rPr>
          <w:rFonts w:hint="cs"/>
          <w:rtl/>
        </w:rPr>
        <w:t>،</w:t>
      </w:r>
      <w:r>
        <w:rPr>
          <w:rFonts w:hint="cs"/>
          <w:rtl/>
        </w:rPr>
        <w:t xml:space="preserve"> ويدني العبد من ذاته</w:t>
      </w:r>
      <w:r w:rsidR="000636C2">
        <w:rPr>
          <w:rFonts w:hint="cs"/>
          <w:rtl/>
        </w:rPr>
        <w:t>،</w:t>
      </w:r>
      <w:r>
        <w:rPr>
          <w:rFonts w:hint="cs"/>
          <w:rtl/>
        </w:rPr>
        <w:t xml:space="preserve"> وقال بعضهم ويتنفس</w:t>
      </w:r>
      <w:r w:rsidR="000636C2">
        <w:rPr>
          <w:rFonts w:hint="cs"/>
          <w:rtl/>
        </w:rPr>
        <w:t>،</w:t>
      </w:r>
      <w:r>
        <w:rPr>
          <w:rFonts w:hint="cs"/>
          <w:rtl/>
        </w:rPr>
        <w:t xml:space="preserve"> </w:t>
      </w:r>
      <w:r>
        <w:rPr>
          <w:rFonts w:hint="cs"/>
          <w:bCs/>
          <w:rtl/>
        </w:rPr>
        <w:t>وقد أخذوا بالظاهر في الأسماء والصفات</w:t>
      </w:r>
      <w:r w:rsidR="000636C2">
        <w:rPr>
          <w:rFonts w:hint="cs"/>
          <w:rtl/>
        </w:rPr>
        <w:t>،</w:t>
      </w:r>
      <w:r>
        <w:rPr>
          <w:rFonts w:hint="cs"/>
          <w:rtl/>
        </w:rPr>
        <w:t xml:space="preserve"> فسموها بالصفات وهي تسمية مبتدعة لا دليل لهم في ذلك من النقل ولا من العقل</w:t>
      </w:r>
      <w:r w:rsidR="000636C2">
        <w:rPr>
          <w:rFonts w:hint="cs"/>
          <w:rtl/>
        </w:rPr>
        <w:t>،</w:t>
      </w:r>
      <w:r>
        <w:rPr>
          <w:rFonts w:hint="cs"/>
          <w:rtl/>
        </w:rPr>
        <w:t xml:space="preserve"> ولم يلتفتوا إلى النصوص الصارمة عن الظواهر إلى المعاني الواجبة لله تعالى ولا إلى إلغاء ما يوجبه الظاهر من سمات الحدوث</w:t>
      </w:r>
      <w:r w:rsidR="000636C2">
        <w:rPr>
          <w:rFonts w:hint="cs"/>
          <w:rtl/>
        </w:rPr>
        <w:t>،</w:t>
      </w:r>
      <w:r>
        <w:rPr>
          <w:rFonts w:hint="cs"/>
          <w:rtl/>
        </w:rPr>
        <w:t xml:space="preserve"> ولم يقنعوا أن يقولوا صفة فعل</w:t>
      </w:r>
      <w:r w:rsidR="000636C2">
        <w:rPr>
          <w:rFonts w:hint="cs"/>
          <w:rtl/>
        </w:rPr>
        <w:t>،</w:t>
      </w:r>
      <w:r>
        <w:rPr>
          <w:rFonts w:hint="cs"/>
          <w:rtl/>
        </w:rPr>
        <w:t xml:space="preserve"> حتى قالوا صفة ذات</w:t>
      </w:r>
      <w:r w:rsidR="000636C2">
        <w:rPr>
          <w:rFonts w:hint="cs"/>
          <w:rtl/>
        </w:rPr>
        <w:t>،</w:t>
      </w:r>
      <w:r>
        <w:rPr>
          <w:rFonts w:hint="cs"/>
          <w:rtl/>
        </w:rPr>
        <w:t xml:space="preserve"> ثم لما أثبتوا أنها صفات ذات قالوا لا نحملها علي توجيه اللغة مثل يد علي نعمة وقدرة ومجيء وإتيان علي معني بر ولطف</w:t>
      </w:r>
      <w:r w:rsidR="000636C2">
        <w:rPr>
          <w:rFonts w:hint="cs"/>
          <w:rtl/>
        </w:rPr>
        <w:t>،</w:t>
      </w:r>
      <w:r>
        <w:rPr>
          <w:rFonts w:hint="cs"/>
          <w:rtl/>
        </w:rPr>
        <w:t xml:space="preserve"> وساق علي شدة</w:t>
      </w:r>
      <w:r w:rsidR="000636C2">
        <w:rPr>
          <w:rFonts w:hint="cs"/>
          <w:rtl/>
        </w:rPr>
        <w:t>،</w:t>
      </w:r>
      <w:r>
        <w:rPr>
          <w:rFonts w:hint="cs"/>
          <w:rtl/>
        </w:rPr>
        <w:t xml:space="preserve"> بل قالوا نحملها علي ظواهرها</w:t>
      </w:r>
      <w:r w:rsidR="000636C2">
        <w:rPr>
          <w:rFonts w:hint="cs"/>
          <w:rtl/>
        </w:rPr>
        <w:t>،</w:t>
      </w:r>
      <w:r>
        <w:rPr>
          <w:rFonts w:hint="cs"/>
          <w:rtl/>
        </w:rPr>
        <w:t xml:space="preserve"> والظاهر المعهود من نعوت الآدميين</w:t>
      </w:r>
      <w:r w:rsidR="000636C2">
        <w:rPr>
          <w:rFonts w:hint="cs"/>
          <w:rtl/>
        </w:rPr>
        <w:t>،</w:t>
      </w:r>
      <w:r>
        <w:rPr>
          <w:rFonts w:hint="cs"/>
          <w:rtl/>
        </w:rPr>
        <w:t xml:space="preserve"> والشيء إنما يجعل علي حقيقته إذا أمكن</w:t>
      </w:r>
      <w:r w:rsidR="000636C2">
        <w:rPr>
          <w:rFonts w:hint="cs"/>
          <w:rtl/>
        </w:rPr>
        <w:t>،</w:t>
      </w:r>
      <w:r>
        <w:rPr>
          <w:rFonts w:hint="cs"/>
          <w:rtl/>
        </w:rPr>
        <w:t xml:space="preserve"> </w:t>
      </w:r>
      <w:r>
        <w:rPr>
          <w:rFonts w:hint="cs"/>
          <w:bCs/>
          <w:rtl/>
        </w:rPr>
        <w:t>وهم يتجرحون من التشبيه ويأنفون من اضافته إليهم ويقولون نحن أهل السنة</w:t>
      </w:r>
      <w:r w:rsidR="000636C2">
        <w:rPr>
          <w:rFonts w:hint="cs"/>
          <w:bCs/>
          <w:rtl/>
        </w:rPr>
        <w:t>،</w:t>
      </w:r>
      <w:r>
        <w:rPr>
          <w:rFonts w:hint="cs"/>
          <w:bCs/>
          <w:rtl/>
        </w:rPr>
        <w:t xml:space="preserve"> وكلامهم صريح في التشبيه</w:t>
      </w:r>
      <w:r>
        <w:rPr>
          <w:rFonts w:hint="cs"/>
          <w:rtl/>
        </w:rPr>
        <w:t xml:space="preserve"> وقد تبعهم خلق من العوام</w:t>
      </w:r>
      <w:r w:rsidR="000636C2">
        <w:rPr>
          <w:rFonts w:hint="cs"/>
          <w:rtl/>
        </w:rPr>
        <w:t>،</w:t>
      </w:r>
      <w:r>
        <w:rPr>
          <w:rFonts w:hint="cs"/>
          <w:rtl/>
        </w:rPr>
        <w:t xml:space="preserve"> فقد نصحت التابع والمتبوع فقلت لهم</w:t>
      </w:r>
      <w:r w:rsidR="000636C2">
        <w:rPr>
          <w:rFonts w:hint="cs"/>
          <w:rtl/>
        </w:rPr>
        <w:t>:</w:t>
      </w:r>
      <w:r>
        <w:rPr>
          <w:rFonts w:hint="cs"/>
          <w:rtl/>
        </w:rPr>
        <w:t xml:space="preserve"> </w:t>
      </w:r>
      <w:r>
        <w:rPr>
          <w:rFonts w:hint="cs"/>
          <w:bCs/>
          <w:rtl/>
        </w:rPr>
        <w:t>يا أصحابنا أنتم أصحاب نقل واتباع وإمامكم الاكبر أحمد بن حنبل يقول وهو تحت السياط</w:t>
      </w:r>
      <w:r w:rsidR="000636C2">
        <w:rPr>
          <w:rFonts w:hint="cs"/>
          <w:bCs/>
          <w:rtl/>
        </w:rPr>
        <w:t>:</w:t>
      </w:r>
      <w:r>
        <w:rPr>
          <w:rFonts w:hint="cs"/>
          <w:bCs/>
          <w:rtl/>
        </w:rPr>
        <w:t xml:space="preserve"> " كيف أقول ما لم يقل " فإياكم أن تبتدعوا في مذهبه ما ليس فيه</w:t>
      </w:r>
      <w:r w:rsidR="000636C2">
        <w:rPr>
          <w:rFonts w:hint="cs"/>
          <w:rtl/>
        </w:rPr>
        <w:t xml:space="preserve">، </w:t>
      </w:r>
      <w:r>
        <w:rPr>
          <w:rFonts w:hint="cs"/>
          <w:rtl/>
        </w:rPr>
        <w:t>ثم قلت في الأحاديث</w:t>
      </w:r>
      <w:r w:rsidR="000636C2">
        <w:rPr>
          <w:rFonts w:hint="cs"/>
          <w:rtl/>
        </w:rPr>
        <w:t>،</w:t>
      </w:r>
      <w:r>
        <w:rPr>
          <w:rFonts w:hint="cs"/>
          <w:rtl/>
        </w:rPr>
        <w:t xml:space="preserve"> تحمل علي ظاهرها . وظاهر القدم الجارحة</w:t>
      </w:r>
      <w:r w:rsidR="000636C2">
        <w:rPr>
          <w:rFonts w:hint="cs"/>
          <w:rtl/>
        </w:rPr>
        <w:t>،</w:t>
      </w:r>
      <w:r>
        <w:rPr>
          <w:rFonts w:hint="cs"/>
          <w:rtl/>
        </w:rPr>
        <w:t xml:space="preserve"> فإنه لما قيل في عيسى روح الله اعتقدت النصارى أن لله صفة هي روح ولجت في مريم ومن قال</w:t>
      </w:r>
      <w:r w:rsidR="000636C2">
        <w:rPr>
          <w:rFonts w:hint="cs"/>
          <w:rtl/>
        </w:rPr>
        <w:t>:</w:t>
      </w:r>
      <w:r>
        <w:rPr>
          <w:rFonts w:hint="cs"/>
          <w:rtl/>
        </w:rPr>
        <w:t xml:space="preserve"> استوي بذاته فقد أجراه مجري الحسيات</w:t>
      </w:r>
      <w:r w:rsidR="000636C2">
        <w:rPr>
          <w:rFonts w:hint="cs"/>
          <w:rtl/>
        </w:rPr>
        <w:t>،</w:t>
      </w:r>
      <w:r>
        <w:rPr>
          <w:rFonts w:hint="cs"/>
          <w:rtl/>
        </w:rPr>
        <w:t xml:space="preserve"> وينبغي أن لا يهمل ما يثبت به الأصل . وهو العقل</w:t>
      </w:r>
      <w:r w:rsidR="000636C2">
        <w:rPr>
          <w:rFonts w:hint="cs"/>
          <w:rtl/>
        </w:rPr>
        <w:t>،</w:t>
      </w:r>
      <w:r>
        <w:rPr>
          <w:rFonts w:hint="cs"/>
          <w:rtl/>
        </w:rPr>
        <w:t xml:space="preserve"> فإنه به عرفنا الله تعالى</w:t>
      </w:r>
      <w:r w:rsidR="000636C2">
        <w:rPr>
          <w:rFonts w:hint="cs"/>
          <w:rtl/>
        </w:rPr>
        <w:t>،</w:t>
      </w:r>
      <w:r>
        <w:rPr>
          <w:rFonts w:hint="cs"/>
          <w:rtl/>
        </w:rPr>
        <w:t xml:space="preserve"> وحكمنا له بالقدم</w:t>
      </w:r>
      <w:r w:rsidR="000636C2">
        <w:rPr>
          <w:rFonts w:hint="cs"/>
          <w:rtl/>
        </w:rPr>
        <w:t>،</w:t>
      </w:r>
      <w:r>
        <w:rPr>
          <w:rFonts w:hint="cs"/>
          <w:rtl/>
        </w:rPr>
        <w:t xml:space="preserve"> فلو أنكم قلتم</w:t>
      </w:r>
      <w:r w:rsidR="000636C2">
        <w:rPr>
          <w:rFonts w:hint="cs"/>
          <w:rtl/>
        </w:rPr>
        <w:t>:</w:t>
      </w:r>
      <w:r>
        <w:rPr>
          <w:rFonts w:hint="cs"/>
          <w:rtl/>
        </w:rPr>
        <w:t xml:space="preserve"> نقرأ الأحاديث ونسكت</w:t>
      </w:r>
      <w:r w:rsidR="000636C2">
        <w:rPr>
          <w:rFonts w:hint="cs"/>
          <w:rtl/>
        </w:rPr>
        <w:t>،</w:t>
      </w:r>
      <w:r>
        <w:rPr>
          <w:rFonts w:hint="cs"/>
          <w:rtl/>
        </w:rPr>
        <w:t xml:space="preserve"> ما أنكر عليكم أحد</w:t>
      </w:r>
      <w:r w:rsidR="000636C2">
        <w:rPr>
          <w:rFonts w:hint="cs"/>
          <w:rtl/>
        </w:rPr>
        <w:t>،</w:t>
      </w:r>
      <w:r>
        <w:rPr>
          <w:rFonts w:hint="cs"/>
          <w:rtl/>
        </w:rPr>
        <w:t xml:space="preserve"> إنما حملكم إياها علي الظاهر قبيح</w:t>
      </w:r>
      <w:r w:rsidR="000636C2">
        <w:rPr>
          <w:rFonts w:hint="cs"/>
          <w:rtl/>
        </w:rPr>
        <w:t>،</w:t>
      </w:r>
      <w:r>
        <w:rPr>
          <w:rFonts w:hint="cs"/>
          <w:rtl/>
        </w:rPr>
        <w:t xml:space="preserve"> فلا تدخلوا في مذهب هذا الرجل الصالح السلفي ما ليس فيه</w:t>
      </w:r>
      <w:r w:rsidR="000636C2">
        <w:rPr>
          <w:rFonts w:hint="cs"/>
          <w:rtl/>
        </w:rPr>
        <w:t>،</w:t>
      </w:r>
      <w:r>
        <w:rPr>
          <w:rFonts w:hint="cs"/>
          <w:rtl/>
        </w:rPr>
        <w:t xml:space="preserve"> ولقد كسيتم هذا المذهب شيئا قبيحا حتى لا يقال حنبلي إلا مجسم</w:t>
      </w:r>
      <w:r w:rsidR="000636C2">
        <w:rPr>
          <w:rFonts w:hint="cs"/>
          <w:rtl/>
        </w:rPr>
        <w:t>،</w:t>
      </w:r>
      <w:r>
        <w:rPr>
          <w:rFonts w:hint="cs"/>
          <w:rtl/>
        </w:rPr>
        <w:t xml:space="preserve"> ثم زينتم مذهبكم بالعصبية ليزيد بن معاوية</w:t>
      </w:r>
      <w:r w:rsidR="000636C2">
        <w:rPr>
          <w:rFonts w:hint="cs"/>
          <w:rtl/>
        </w:rPr>
        <w:t>،</w:t>
      </w:r>
      <w:r>
        <w:rPr>
          <w:rFonts w:hint="cs"/>
          <w:rtl/>
        </w:rPr>
        <w:t xml:space="preserve"> ولقد علمتم أن صاحب المذهب أجاز لعنته</w:t>
      </w:r>
      <w:r w:rsidR="000636C2">
        <w:rPr>
          <w:rFonts w:hint="cs"/>
          <w:rtl/>
        </w:rPr>
        <w:t>،</w:t>
      </w:r>
      <w:r>
        <w:rPr>
          <w:rFonts w:hint="cs"/>
          <w:rtl/>
        </w:rPr>
        <w:t xml:space="preserve"> وقد كان أبو محمد التميمي يقول في بعض أئمتكم</w:t>
      </w:r>
      <w:r w:rsidR="000636C2">
        <w:rPr>
          <w:rFonts w:hint="cs"/>
          <w:rtl/>
        </w:rPr>
        <w:t>:</w:t>
      </w:r>
      <w:r>
        <w:rPr>
          <w:rFonts w:hint="cs"/>
          <w:rtl/>
        </w:rPr>
        <w:t xml:space="preserve"> لقد شان هذا المذهب شيئا قبيحا لا يغسل الى يوم القيامة</w:t>
      </w:r>
      <w:r w:rsidR="000636C2">
        <w:rPr>
          <w:rFonts w:hint="cs"/>
          <w:rtl/>
        </w:rPr>
        <w:t>،</w:t>
      </w:r>
      <w:r>
        <w:rPr>
          <w:rFonts w:hint="cs"/>
          <w:rtl/>
        </w:rPr>
        <w:t xml:space="preserve"> </w:t>
      </w:r>
      <w:r w:rsidR="000636C2">
        <w:rPr>
          <w:rFonts w:hint="cs"/>
          <w:bCs/>
          <w:rtl/>
        </w:rPr>
        <w:t>(</w:t>
      </w:r>
      <w:r>
        <w:rPr>
          <w:rFonts w:hint="cs"/>
          <w:bCs/>
          <w:rtl/>
        </w:rPr>
        <w:t>فصل</w:t>
      </w:r>
      <w:r w:rsidR="000636C2">
        <w:rPr>
          <w:rFonts w:hint="cs"/>
          <w:bCs/>
          <w:rtl/>
        </w:rPr>
        <w:t>)</w:t>
      </w:r>
      <w:r>
        <w:rPr>
          <w:rFonts w:hint="cs"/>
          <w:bCs/>
          <w:rtl/>
        </w:rPr>
        <w:t xml:space="preserve"> قلت وقد وقع غلط المصنفين الذين ذكرتهم في سبعة أوجه</w:t>
      </w:r>
      <w:r w:rsidR="000636C2">
        <w:rPr>
          <w:rFonts w:hint="cs"/>
          <w:bCs/>
          <w:rtl/>
        </w:rPr>
        <w:t>:</w:t>
      </w:r>
      <w:r>
        <w:rPr>
          <w:rFonts w:hint="cs"/>
          <w:bCs/>
          <w:rtl/>
        </w:rPr>
        <w:t xml:space="preserve"> أحدها:</w:t>
      </w:r>
      <w:r>
        <w:rPr>
          <w:rFonts w:hint="cs"/>
          <w:rtl/>
        </w:rPr>
        <w:t xml:space="preserve"> أنهم سموا الأخبار أخبار صفات</w:t>
      </w:r>
      <w:r w:rsidR="000636C2">
        <w:rPr>
          <w:rFonts w:hint="cs"/>
          <w:rtl/>
        </w:rPr>
        <w:t>،</w:t>
      </w:r>
      <w:r>
        <w:rPr>
          <w:rFonts w:hint="cs"/>
          <w:rtl/>
        </w:rPr>
        <w:t xml:space="preserve"> وإنما هي إضافات</w:t>
      </w:r>
      <w:r w:rsidR="000636C2">
        <w:rPr>
          <w:rFonts w:hint="cs"/>
          <w:rtl/>
        </w:rPr>
        <w:t>،</w:t>
      </w:r>
      <w:r>
        <w:rPr>
          <w:rFonts w:hint="cs"/>
          <w:rtl/>
        </w:rPr>
        <w:t xml:space="preserve"> وليس كل مضاف صفة</w:t>
      </w:r>
      <w:r w:rsidR="000636C2">
        <w:rPr>
          <w:rFonts w:hint="cs"/>
          <w:rtl/>
        </w:rPr>
        <w:t>،</w:t>
      </w:r>
      <w:r>
        <w:rPr>
          <w:rFonts w:hint="cs"/>
          <w:rtl/>
        </w:rPr>
        <w:t xml:space="preserve"> فإنه قال سبحانه وتعالى</w:t>
      </w:r>
      <w:r w:rsidR="000636C2">
        <w:rPr>
          <w:rFonts w:hint="cs"/>
          <w:rtl/>
        </w:rPr>
        <w:t>:</w:t>
      </w:r>
      <w:r>
        <w:rPr>
          <w:rFonts w:hint="cs"/>
          <w:rtl/>
        </w:rPr>
        <w:t xml:space="preserve"> </w:t>
      </w:r>
      <w:r w:rsidR="000636C2">
        <w:rPr>
          <w:rFonts w:hint="cs"/>
          <w:rtl/>
        </w:rPr>
        <w:t>{</w:t>
      </w:r>
      <w:r>
        <w:rPr>
          <w:rFonts w:hint="cs"/>
          <w:rtl/>
        </w:rPr>
        <w:t>ونفخت فيه من روحي</w:t>
      </w:r>
      <w:r w:rsidR="000636C2">
        <w:rPr>
          <w:rFonts w:hint="cs"/>
          <w:rtl/>
        </w:rPr>
        <w:t>}،</w:t>
      </w:r>
      <w:r>
        <w:rPr>
          <w:rFonts w:hint="cs"/>
          <w:rtl/>
        </w:rPr>
        <w:t xml:space="preserve"> وليس لله صفة تسمي روحا</w:t>
      </w:r>
      <w:r w:rsidR="000636C2">
        <w:rPr>
          <w:rFonts w:hint="cs"/>
          <w:rtl/>
        </w:rPr>
        <w:t>،</w:t>
      </w:r>
      <w:r>
        <w:rPr>
          <w:rFonts w:hint="cs"/>
          <w:rtl/>
        </w:rPr>
        <w:t xml:space="preserve"> فقد ابتدع من سمي المضاف صفة</w:t>
      </w:r>
      <w:r w:rsidR="000636C2">
        <w:rPr>
          <w:rFonts w:hint="cs"/>
          <w:rtl/>
        </w:rPr>
        <w:t>،</w:t>
      </w:r>
      <w:r>
        <w:rPr>
          <w:rFonts w:hint="cs"/>
          <w:rtl/>
        </w:rPr>
        <w:t xml:space="preserve"> </w:t>
      </w:r>
      <w:r>
        <w:rPr>
          <w:rFonts w:hint="cs"/>
          <w:bCs/>
          <w:rtl/>
        </w:rPr>
        <w:t>الثاني</w:t>
      </w:r>
      <w:r w:rsidR="000636C2">
        <w:rPr>
          <w:rFonts w:hint="cs"/>
          <w:rtl/>
        </w:rPr>
        <w:t>:</w:t>
      </w:r>
      <w:r>
        <w:rPr>
          <w:rFonts w:hint="cs"/>
          <w:rtl/>
        </w:rPr>
        <w:t xml:space="preserve"> أنهم قالوا</w:t>
      </w:r>
      <w:r w:rsidR="000636C2">
        <w:rPr>
          <w:rFonts w:hint="cs"/>
          <w:rtl/>
        </w:rPr>
        <w:t>:</w:t>
      </w:r>
      <w:r>
        <w:rPr>
          <w:rFonts w:hint="cs"/>
          <w:rtl/>
        </w:rPr>
        <w:t xml:space="preserve"> إن هذه الأحاديث من المتشابه الذي لا يعلمه إلا الله تعالى . ثم قالوا</w:t>
      </w:r>
      <w:r w:rsidR="000636C2">
        <w:rPr>
          <w:rFonts w:hint="cs"/>
          <w:rtl/>
        </w:rPr>
        <w:t>:</w:t>
      </w:r>
      <w:r>
        <w:rPr>
          <w:rFonts w:hint="cs"/>
          <w:rtl/>
        </w:rPr>
        <w:t xml:space="preserve"> نحملها علي ظواهرها</w:t>
      </w:r>
      <w:r w:rsidR="000636C2">
        <w:rPr>
          <w:rFonts w:hint="cs"/>
          <w:rtl/>
        </w:rPr>
        <w:t>،</w:t>
      </w:r>
      <w:r>
        <w:rPr>
          <w:rFonts w:hint="cs"/>
          <w:rtl/>
        </w:rPr>
        <w:t xml:space="preserve"> فواعجبا ما لا يعلمه إلا الله أي ظاهر له ..؟ فهل ظاهر الاستواء إلا القعود</w:t>
      </w:r>
      <w:r w:rsidR="000636C2">
        <w:rPr>
          <w:rFonts w:hint="cs"/>
          <w:rtl/>
        </w:rPr>
        <w:t>،</w:t>
      </w:r>
      <w:r>
        <w:rPr>
          <w:rFonts w:hint="cs"/>
          <w:rtl/>
        </w:rPr>
        <w:t xml:space="preserve"> وظاهر النزول إلا الانتقال</w:t>
      </w:r>
      <w:r w:rsidR="000636C2">
        <w:rPr>
          <w:rFonts w:hint="cs"/>
          <w:rtl/>
        </w:rPr>
        <w:t>،</w:t>
      </w:r>
      <w:r>
        <w:rPr>
          <w:rFonts w:hint="cs"/>
          <w:rtl/>
        </w:rPr>
        <w:t xml:space="preserve"> </w:t>
      </w:r>
      <w:r>
        <w:rPr>
          <w:rFonts w:hint="cs"/>
          <w:bCs/>
          <w:rtl/>
        </w:rPr>
        <w:lastRenderedPageBreak/>
        <w:t>الثالث</w:t>
      </w:r>
      <w:r w:rsidR="000636C2">
        <w:rPr>
          <w:rFonts w:hint="cs"/>
          <w:rtl/>
        </w:rPr>
        <w:t>:</w:t>
      </w:r>
      <w:r>
        <w:rPr>
          <w:rFonts w:hint="cs"/>
          <w:rtl/>
        </w:rPr>
        <w:t xml:space="preserve"> أنهم أثبتوا لله تعالى صفات</w:t>
      </w:r>
      <w:r w:rsidR="000636C2">
        <w:rPr>
          <w:rFonts w:hint="cs"/>
          <w:rtl/>
        </w:rPr>
        <w:t>،</w:t>
      </w:r>
      <w:r>
        <w:rPr>
          <w:rFonts w:hint="cs"/>
          <w:rtl/>
        </w:rPr>
        <w:t xml:space="preserve"> وصفات الحق لا تثبت إلا بما يثبت به الذات من الأدلة القطعية . وقال ابن حامد من رد ما يتعلق به بالأخبار الثابتة فهل يكفر</w:t>
      </w:r>
      <w:r w:rsidR="000636C2">
        <w:rPr>
          <w:rFonts w:hint="cs"/>
          <w:rtl/>
        </w:rPr>
        <w:t>؟</w:t>
      </w:r>
      <w:r>
        <w:rPr>
          <w:rFonts w:hint="cs"/>
          <w:rtl/>
        </w:rPr>
        <w:t xml:space="preserve"> علي وجهين</w:t>
      </w:r>
      <w:r w:rsidR="000636C2">
        <w:rPr>
          <w:rFonts w:hint="cs"/>
          <w:rtl/>
        </w:rPr>
        <w:t>،</w:t>
      </w:r>
      <w:r>
        <w:rPr>
          <w:rFonts w:hint="cs"/>
          <w:rtl/>
        </w:rPr>
        <w:t xml:space="preserve"> وقال</w:t>
      </w:r>
      <w:r w:rsidR="000636C2">
        <w:rPr>
          <w:rFonts w:hint="cs"/>
          <w:rtl/>
        </w:rPr>
        <w:t>:</w:t>
      </w:r>
      <w:r>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sidR="000636C2">
        <w:rPr>
          <w:rFonts w:hint="cs"/>
          <w:rtl/>
        </w:rPr>
        <w:t>،</w:t>
      </w:r>
      <w:r>
        <w:rPr>
          <w:rFonts w:hint="cs"/>
          <w:rtl/>
        </w:rPr>
        <w:t xml:space="preserve"> قلت: هذا قول ما لا يفهم الفقه ولا العقل</w:t>
      </w:r>
      <w:r w:rsidR="000636C2">
        <w:rPr>
          <w:rFonts w:hint="cs"/>
          <w:rtl/>
        </w:rPr>
        <w:t>،</w:t>
      </w:r>
      <w:r>
        <w:rPr>
          <w:rFonts w:hint="cs"/>
          <w:rtl/>
        </w:rPr>
        <w:t xml:space="preserve"> </w:t>
      </w:r>
      <w:r>
        <w:rPr>
          <w:rFonts w:hint="cs"/>
          <w:bCs/>
          <w:rtl/>
        </w:rPr>
        <w:t>الرابع</w:t>
      </w:r>
      <w:r w:rsidR="000636C2">
        <w:rPr>
          <w:rFonts w:hint="cs"/>
          <w:rtl/>
        </w:rPr>
        <w:t>:</w:t>
      </w:r>
      <w:r>
        <w:rPr>
          <w:rFonts w:hint="cs"/>
          <w:rtl/>
        </w:rPr>
        <w:t xml:space="preserve"> أنهم لم يفرقوا في الأحاديث بين خبر مشهور في قوله (</w:t>
      </w:r>
      <w:r w:rsidR="000636C2">
        <w:rPr>
          <w:rFonts w:hint="cs"/>
          <w:rtl/>
        </w:rPr>
        <w:t>(</w:t>
      </w:r>
      <w:r>
        <w:rPr>
          <w:rFonts w:hint="cs"/>
          <w:rtl/>
        </w:rPr>
        <w:t>ينزل إلى السماء الدنيا</w:t>
      </w:r>
      <w:r w:rsidR="000636C2">
        <w:rPr>
          <w:rFonts w:hint="cs"/>
          <w:rtl/>
        </w:rPr>
        <w:t>)</w:t>
      </w:r>
      <w:r>
        <w:rPr>
          <w:rFonts w:hint="cs"/>
          <w:rtl/>
        </w:rPr>
        <w:t>)</w:t>
      </w:r>
      <w:r w:rsidR="000636C2">
        <w:rPr>
          <w:rFonts w:hint="cs"/>
          <w:rtl/>
        </w:rPr>
        <w:t>،</w:t>
      </w:r>
      <w:r>
        <w:rPr>
          <w:rFonts w:hint="cs"/>
          <w:rtl/>
        </w:rPr>
        <w:t xml:space="preserve"> وبين حديث لا يصح كقوله</w:t>
      </w:r>
      <w:r w:rsidR="000636C2">
        <w:rPr>
          <w:rFonts w:hint="cs"/>
          <w:rtl/>
        </w:rPr>
        <w:t>:</w:t>
      </w:r>
      <w:r>
        <w:rPr>
          <w:rFonts w:hint="cs"/>
          <w:rtl/>
        </w:rPr>
        <w:t xml:space="preserve"> (</w:t>
      </w:r>
      <w:r w:rsidR="000636C2">
        <w:rPr>
          <w:rFonts w:hint="cs"/>
          <w:rtl/>
        </w:rPr>
        <w:t>(</w:t>
      </w:r>
      <w:r>
        <w:rPr>
          <w:rFonts w:hint="cs"/>
          <w:rtl/>
        </w:rPr>
        <w:t>رأيت ربي في أحسن صورة</w:t>
      </w:r>
      <w:r w:rsidR="000636C2">
        <w:rPr>
          <w:rFonts w:hint="cs"/>
          <w:rtl/>
        </w:rPr>
        <w:t>)</w:t>
      </w:r>
      <w:r>
        <w:rPr>
          <w:rFonts w:hint="cs"/>
          <w:rtl/>
        </w:rPr>
        <w:t>) بل أثبتوا هذا صفة وهذا صفة</w:t>
      </w:r>
      <w:r w:rsidR="000636C2">
        <w:rPr>
          <w:rFonts w:hint="cs"/>
          <w:rtl/>
        </w:rPr>
        <w:t>،</w:t>
      </w:r>
      <w:r>
        <w:rPr>
          <w:rFonts w:hint="cs"/>
          <w:rtl/>
        </w:rPr>
        <w:t xml:space="preserve"> </w:t>
      </w:r>
      <w:r>
        <w:rPr>
          <w:rFonts w:hint="cs"/>
          <w:bCs/>
          <w:rtl/>
        </w:rPr>
        <w:t>الخامس</w:t>
      </w:r>
      <w:r>
        <w:rPr>
          <w:rFonts w:hint="cs"/>
          <w:rtl/>
        </w:rPr>
        <w:t>: أنهم لم يفرقوا بين حديث مرفوع إلى النبي صلى الله عليه وسلم وبين حديث موقوف علي صحابي أو تابعي فأثبتوا بهذا ما أثبتوا هذا</w:t>
      </w:r>
      <w:r w:rsidR="000636C2">
        <w:rPr>
          <w:rFonts w:hint="cs"/>
          <w:rtl/>
        </w:rPr>
        <w:t>،</w:t>
      </w:r>
      <w:r>
        <w:rPr>
          <w:rFonts w:hint="cs"/>
          <w:rtl/>
        </w:rPr>
        <w:t xml:space="preserve"> </w:t>
      </w:r>
      <w:r>
        <w:rPr>
          <w:rFonts w:hint="cs"/>
          <w:bCs/>
          <w:rtl/>
        </w:rPr>
        <w:t>السادس</w:t>
      </w:r>
      <w:r>
        <w:rPr>
          <w:rFonts w:hint="cs"/>
          <w:rtl/>
        </w:rPr>
        <w:t>: أنهم تأولوا بعض الألفاظ في موضع ولم يتأولوها في آخر كقوله</w:t>
      </w:r>
      <w:r w:rsidR="000636C2">
        <w:rPr>
          <w:rFonts w:hint="cs"/>
          <w:rtl/>
        </w:rPr>
        <w:t>:</w:t>
      </w:r>
      <w:r>
        <w:rPr>
          <w:rFonts w:hint="cs"/>
          <w:rtl/>
        </w:rPr>
        <w:t xml:space="preserve"> (</w:t>
      </w:r>
      <w:r w:rsidR="000636C2">
        <w:rPr>
          <w:rFonts w:hint="cs"/>
          <w:rtl/>
        </w:rPr>
        <w:t>(</w:t>
      </w:r>
      <w:r>
        <w:rPr>
          <w:rFonts w:hint="cs"/>
          <w:rtl/>
        </w:rPr>
        <w:t>ومن أتاني يمشي أتيته هرولة</w:t>
      </w:r>
      <w:r w:rsidR="000636C2">
        <w:rPr>
          <w:rFonts w:hint="cs"/>
          <w:rtl/>
        </w:rPr>
        <w:t>)</w:t>
      </w:r>
      <w:r>
        <w:rPr>
          <w:rFonts w:hint="cs"/>
          <w:rtl/>
        </w:rPr>
        <w:t>)</w:t>
      </w:r>
      <w:r w:rsidR="000636C2">
        <w:rPr>
          <w:rFonts w:hint="cs"/>
          <w:rtl/>
        </w:rPr>
        <w:t>،</w:t>
      </w:r>
      <w:r>
        <w:rPr>
          <w:rFonts w:hint="cs"/>
          <w:rtl/>
        </w:rPr>
        <w:t xml:space="preserve"> قالوا هذا ضرب مثل الأنعام</w:t>
      </w:r>
      <w:r w:rsidR="000636C2">
        <w:rPr>
          <w:rFonts w:hint="cs"/>
          <w:rtl/>
        </w:rPr>
        <w:t xml:space="preserve">، </w:t>
      </w:r>
      <w:r>
        <w:rPr>
          <w:rFonts w:hint="cs"/>
          <w:rtl/>
        </w:rPr>
        <w:t>وروي عن عمر بن عبد العزيز أنه قال</w:t>
      </w:r>
      <w:r w:rsidR="000636C2">
        <w:rPr>
          <w:rFonts w:hint="cs"/>
          <w:rtl/>
        </w:rPr>
        <w:t>:</w:t>
      </w:r>
      <w:r>
        <w:rPr>
          <w:rFonts w:hint="cs"/>
          <w:rtl/>
        </w:rPr>
        <w:t xml:space="preserve"> </w:t>
      </w:r>
      <w:r w:rsidR="000636C2">
        <w:rPr>
          <w:rFonts w:hint="cs"/>
          <w:rtl/>
        </w:rPr>
        <w:t>(</w:t>
      </w:r>
      <w:r>
        <w:rPr>
          <w:rFonts w:hint="cs"/>
          <w:rtl/>
        </w:rPr>
        <w:t>إذا كان يوم القيامة جاء الله يمشي</w:t>
      </w:r>
      <w:r w:rsidR="000636C2">
        <w:rPr>
          <w:rFonts w:hint="cs"/>
          <w:rtl/>
        </w:rPr>
        <w:t>)</w:t>
      </w:r>
      <w:r>
        <w:rPr>
          <w:rFonts w:hint="cs"/>
          <w:rtl/>
        </w:rPr>
        <w:t xml:space="preserve"> فقالوا نحمله علي ظاهره فواعجبا من تأول حديث رسول الله صلى الله عليه وسلم ولا يتأول كلام عمر بن عبد العزيز</w:t>
      </w:r>
      <w:r w:rsidR="000636C2">
        <w:rPr>
          <w:rFonts w:hint="cs"/>
          <w:rtl/>
        </w:rPr>
        <w:t>،</w:t>
      </w:r>
      <w:r>
        <w:rPr>
          <w:rFonts w:hint="cs"/>
          <w:rtl/>
        </w:rPr>
        <w:t xml:space="preserve"> </w:t>
      </w:r>
      <w:r>
        <w:rPr>
          <w:rFonts w:hint="cs"/>
          <w:bCs/>
          <w:rtl/>
        </w:rPr>
        <w:t>السابع</w:t>
      </w:r>
      <w:r w:rsidR="000636C2">
        <w:rPr>
          <w:rFonts w:hint="cs"/>
          <w:bCs/>
          <w:rtl/>
        </w:rPr>
        <w:t>:</w:t>
      </w:r>
      <w:r>
        <w:rPr>
          <w:rFonts w:hint="cs"/>
          <w:rtl/>
        </w:rPr>
        <w:t xml:space="preserve"> أنهم حملوا الأحاديث علي مقتضى الحس فقالوا</w:t>
      </w:r>
      <w:r w:rsidR="000636C2">
        <w:rPr>
          <w:rFonts w:hint="cs"/>
          <w:rtl/>
        </w:rPr>
        <w:t>:</w:t>
      </w:r>
      <w:r>
        <w:rPr>
          <w:rFonts w:hint="cs"/>
          <w:rtl/>
        </w:rPr>
        <w:t xml:space="preserve"> ينزل بذاته وينتقل ويتحرك</w:t>
      </w:r>
      <w:r w:rsidR="000636C2">
        <w:rPr>
          <w:rFonts w:hint="cs"/>
          <w:rtl/>
        </w:rPr>
        <w:t>،</w:t>
      </w:r>
      <w:r>
        <w:rPr>
          <w:rFonts w:hint="cs"/>
          <w:rtl/>
        </w:rPr>
        <w:t xml:space="preserve"> ثم قالوا</w:t>
      </w:r>
      <w:r w:rsidR="000636C2">
        <w:rPr>
          <w:rFonts w:hint="cs"/>
          <w:rtl/>
        </w:rPr>
        <w:t>:</w:t>
      </w:r>
      <w:r>
        <w:rPr>
          <w:rFonts w:hint="cs"/>
          <w:rtl/>
        </w:rPr>
        <w:t xml:space="preserve"> لاكما يعقل . فغالطوا من يسمع فكابروا الحس والعقل فحملوا الأحاديث علي الحسيات</w:t>
      </w:r>
      <w:r w:rsidR="000636C2">
        <w:rPr>
          <w:rFonts w:hint="cs"/>
          <w:rtl/>
        </w:rPr>
        <w:t>،</w:t>
      </w:r>
      <w:r>
        <w:rPr>
          <w:rFonts w:hint="cs"/>
          <w:rtl/>
        </w:rPr>
        <w:t xml:space="preserve"> فرأيت الرد عليهم لازما لئلا ينسب الإمام </w:t>
      </w:r>
      <w:r w:rsidR="000636C2">
        <w:rPr>
          <w:rFonts w:hint="cs"/>
          <w:rtl/>
        </w:rPr>
        <w:t>[</w:t>
      </w:r>
      <w:r>
        <w:rPr>
          <w:rFonts w:hint="cs"/>
          <w:rtl/>
        </w:rPr>
        <w:t>أحمد ابن حنبل رحمه الله</w:t>
      </w:r>
      <w:r w:rsidR="000636C2">
        <w:rPr>
          <w:rFonts w:hint="cs"/>
          <w:rtl/>
        </w:rPr>
        <w:t>]</w:t>
      </w:r>
      <w:r>
        <w:rPr>
          <w:rFonts w:hint="cs"/>
          <w:rtl/>
        </w:rPr>
        <w:t xml:space="preserve"> إلى ذلك " أهـ</w:t>
      </w:r>
      <w:r w:rsidR="000636C2">
        <w:rPr>
          <w:rFonts w:hint="cs"/>
          <w:rtl/>
        </w:rPr>
        <w:t xml:space="preserve"> </w:t>
      </w:r>
      <w:r w:rsidR="000636C2">
        <w:rPr>
          <w:rFonts w:hint="cs"/>
          <w:rtl/>
          <w:lang w:bidi="ar-KW"/>
        </w:rPr>
        <w:t>[</w:t>
      </w:r>
      <w:r>
        <w:rPr>
          <w:rFonts w:hint="cs"/>
          <w:rtl/>
          <w:lang w:bidi="ar-KW"/>
        </w:rPr>
        <w:t xml:space="preserve">مقدمة كتابة </w:t>
      </w:r>
      <w:r>
        <w:rPr>
          <w:rFonts w:hint="cs"/>
          <w:rtl/>
        </w:rPr>
        <w:t>الباز الأشهب المنقض علي مخالفي المذهب</w:t>
      </w:r>
      <w:r w:rsidR="000636C2">
        <w:rPr>
          <w:rFonts w:hint="cs"/>
          <w:rtl/>
          <w:lang w:bidi="ar-KW"/>
        </w:rPr>
        <w:t>]،</w:t>
      </w:r>
      <w:r>
        <w:rPr>
          <w:rFonts w:hint="cs"/>
          <w:rtl/>
          <w:lang w:bidi="ar-KW"/>
        </w:rPr>
        <w:t xml:space="preserve"> " قلت ويؤيد ما قالوا ما نقله الحافظ السيوطي عن السلف الصالح</w:t>
      </w:r>
      <w:r w:rsidR="000636C2">
        <w:rPr>
          <w:rFonts w:hint="cs"/>
          <w:rtl/>
          <w:lang w:bidi="ar-KW"/>
        </w:rPr>
        <w:t>،</w:t>
      </w:r>
      <w:r>
        <w:rPr>
          <w:rFonts w:hint="cs"/>
          <w:rtl/>
          <w:lang w:bidi="ar-KW"/>
        </w:rPr>
        <w:t xml:space="preserve"> في كتابه الإتقان</w:t>
      </w:r>
      <w:r w:rsidR="000636C2">
        <w:rPr>
          <w:rFonts w:hint="cs"/>
          <w:rtl/>
          <w:lang w:bidi="ar-KW"/>
        </w:rPr>
        <w:t>:</w:t>
      </w:r>
      <w:r>
        <w:rPr>
          <w:rFonts w:hint="cs"/>
          <w:rtl/>
          <w:lang w:bidi="ar-KW"/>
        </w:rPr>
        <w:t xml:space="preserve"> " </w:t>
      </w:r>
      <w:r>
        <w:rPr>
          <w:rFonts w:hint="cs"/>
          <w:bCs/>
          <w:rtl/>
        </w:rPr>
        <w:t>وقال الإمام السيوطي في الإتقان</w:t>
      </w:r>
      <w:r w:rsidR="000636C2">
        <w:rPr>
          <w:rFonts w:hint="cs"/>
          <w:bCs/>
          <w:rtl/>
        </w:rPr>
        <w:t>:</w:t>
      </w:r>
      <w:r>
        <w:rPr>
          <w:rFonts w:hint="cs"/>
          <w:bCs/>
          <w:rtl/>
        </w:rPr>
        <w:t xml:space="preserve"> " فصل</w:t>
      </w:r>
      <w:r w:rsidR="000636C2">
        <w:rPr>
          <w:rFonts w:hint="cs"/>
          <w:bCs/>
          <w:rtl/>
        </w:rPr>
        <w:t>:</w:t>
      </w:r>
      <w:r>
        <w:rPr>
          <w:rFonts w:hint="cs"/>
          <w:bCs/>
          <w:rtl/>
        </w:rPr>
        <w:t xml:space="preserve"> من المتشابه آيات الصفات</w:t>
      </w:r>
      <w:r>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sidR="000636C2">
        <w:rPr>
          <w:rFonts w:hint="cs"/>
          <w:rtl/>
        </w:rPr>
        <w:t>،</w:t>
      </w:r>
      <w:r>
        <w:rPr>
          <w:rFonts w:hint="cs"/>
          <w:rtl/>
        </w:rPr>
        <w:t xml:space="preserve"> وجمهور أهل السنة منهم السلف وأهل الحديث على الإيمان بها </w:t>
      </w:r>
      <w:r>
        <w:rPr>
          <w:rFonts w:hint="cs"/>
          <w:bCs/>
          <w:rtl/>
        </w:rPr>
        <w:t>وتفويض معناها المراد منها إلى الله تعالى ولا نفسرها</w:t>
      </w:r>
      <w:r>
        <w:rPr>
          <w:rFonts w:hint="cs"/>
          <w:rtl/>
        </w:rPr>
        <w:t xml:space="preserve"> مع تنزيهنا له عن حقيقتها</w:t>
      </w:r>
      <w:r w:rsidR="000636C2">
        <w:rPr>
          <w:rFonts w:hint="cs"/>
          <w:rtl/>
        </w:rPr>
        <w:t>،</w:t>
      </w:r>
      <w:r>
        <w:rPr>
          <w:rFonts w:hint="cs"/>
          <w:rtl/>
        </w:rPr>
        <w:t xml:space="preserve"> 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w:t>
      </w:r>
      <w:r w:rsidR="000636C2">
        <w:rPr>
          <w:rFonts w:hint="cs"/>
          <w:rtl/>
        </w:rPr>
        <w:t>،</w:t>
      </w:r>
      <w:r>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sidR="000636C2">
        <w:rPr>
          <w:rFonts w:hint="cs"/>
          <w:rtl/>
        </w:rPr>
        <w:t>،</w:t>
      </w:r>
      <w:r>
        <w:rPr>
          <w:rFonts w:hint="cs"/>
          <w:rtl/>
        </w:rPr>
        <w:t xml:space="preserve"> وأخرج أيضا عن مالك أنه سئل عن الآية فقال الكيف غير معقول والاستواء غير مجهول والإيمان به واجب والسؤال عنه بدعة</w:t>
      </w:r>
      <w:r w:rsidR="000636C2">
        <w:rPr>
          <w:rFonts w:hint="cs"/>
          <w:rtl/>
        </w:rPr>
        <w:t>،</w:t>
      </w:r>
      <w:r>
        <w:rPr>
          <w:rFonts w:hint="cs"/>
          <w:rtl/>
        </w:rPr>
        <w:t xml:space="preserve"> وأخرج البيهقي عنه أنه قال هو كما وصف نفسه ولا يقال كيف وكيف</w:t>
      </w:r>
      <w:r w:rsidR="000636C2">
        <w:rPr>
          <w:rFonts w:hint="cs"/>
          <w:rtl/>
        </w:rPr>
        <w:t xml:space="preserve"> </w:t>
      </w:r>
      <w:r>
        <w:rPr>
          <w:rFonts w:hint="cs"/>
          <w:rtl/>
        </w:rPr>
        <w:t>مرفوع</w:t>
      </w:r>
      <w:r w:rsidR="000636C2">
        <w:rPr>
          <w:rFonts w:hint="cs"/>
          <w:rtl/>
        </w:rPr>
        <w:t>،</w:t>
      </w:r>
      <w:r>
        <w:rPr>
          <w:rFonts w:hint="cs"/>
          <w:rtl/>
        </w:rPr>
        <w:t xml:space="preserve"> وأخرج اللالكائي عن محمد بن الحسن قال اتفق الفقهاء </w:t>
      </w:r>
      <w:r>
        <w:rPr>
          <w:rFonts w:hint="cs"/>
          <w:rtl/>
        </w:rPr>
        <w:lastRenderedPageBreak/>
        <w:t>كلهم من المشرق إلى المغرب على الإيمان بالصفات من غير تفسير ولا تشبيه</w:t>
      </w:r>
      <w:r w:rsidR="000636C2">
        <w:rPr>
          <w:rFonts w:hint="cs"/>
          <w:rtl/>
        </w:rPr>
        <w:t>،</w:t>
      </w:r>
      <w:r>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sidR="000636C2">
        <w:rPr>
          <w:rFonts w:hint="cs"/>
          <w:rtl/>
        </w:rPr>
        <w:t>،</w:t>
      </w:r>
      <w:r>
        <w:rPr>
          <w:rFonts w:hint="cs"/>
          <w:rtl/>
        </w:rPr>
        <w:t xml:space="preserve"> وذهبت طائفة من أهل السنة على أننا نؤولها على ما يليق بجلاله تعالى وهذا مذهب الخلف</w:t>
      </w:r>
      <w:r w:rsidR="000636C2">
        <w:rPr>
          <w:rFonts w:hint="cs"/>
          <w:rtl/>
        </w:rPr>
        <w:t xml:space="preserve"> </w:t>
      </w:r>
      <w:r>
        <w:rPr>
          <w:rFonts w:hint="cs"/>
          <w:rtl/>
        </w:rPr>
        <w:t xml:space="preserve">وكان إمام الحرمين يذهب إليه ثم رجع عنه فقال في الرسالة النظامية الذي نرتضيه دينا وندين الله به عقدا </w:t>
      </w:r>
      <w:r>
        <w:rPr>
          <w:rFonts w:hint="cs"/>
          <w:bCs/>
          <w:rtl/>
        </w:rPr>
        <w:t>إتباع سلف الأمة فإنهم درجوا على ترك التعرض لمعانيها</w:t>
      </w:r>
      <w:r w:rsidR="000636C2">
        <w:rPr>
          <w:rFonts w:hint="cs"/>
          <w:rtl/>
        </w:rPr>
        <w:t>،</w:t>
      </w:r>
      <w:r>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ويأباها " أهـ </w:t>
      </w:r>
      <w:r w:rsidR="000636C2">
        <w:rPr>
          <w:rFonts w:hint="cs"/>
          <w:rtl/>
        </w:rPr>
        <w:t>[</w:t>
      </w:r>
      <w:r>
        <w:rPr>
          <w:rFonts w:hint="cs"/>
          <w:rtl/>
        </w:rPr>
        <w:t>الإتقان ج: 2 ص:12- 15</w:t>
      </w:r>
      <w:r w:rsidR="000636C2">
        <w:rPr>
          <w:rFonts w:hint="cs"/>
          <w:rtl/>
        </w:rPr>
        <w:t>]،</w:t>
      </w:r>
      <w:r>
        <w:rPr>
          <w:rFonts w:hint="cs"/>
          <w:rtl/>
        </w:rPr>
        <w:t xml:space="preserve"> </w:t>
      </w:r>
      <w:r>
        <w:rPr>
          <w:rFonts w:hint="cs"/>
          <w:bCs/>
          <w:rtl/>
        </w:rPr>
        <w:t>وقال في الدر المنثور</w:t>
      </w:r>
      <w:r w:rsidR="000636C2">
        <w:rPr>
          <w:rFonts w:hint="cs"/>
          <w:bCs/>
          <w:rtl/>
        </w:rPr>
        <w:t>:</w:t>
      </w:r>
      <w:r>
        <w:rPr>
          <w:rFonts w:hint="cs"/>
          <w:bCs/>
          <w:rtl/>
        </w:rPr>
        <w:t xml:space="preserve"> </w:t>
      </w:r>
      <w:r>
        <w:rPr>
          <w:rFonts w:hint="cs"/>
          <w:rtl/>
        </w:rPr>
        <w:t>"</w:t>
      </w:r>
      <w:r w:rsidR="000636C2">
        <w:rPr>
          <w:rFonts w:hint="cs"/>
          <w:rtl/>
        </w:rPr>
        <w:t xml:space="preserve"> </w:t>
      </w:r>
      <w:r>
        <w:rPr>
          <w:rFonts w:hint="cs"/>
          <w:rtl/>
        </w:rPr>
        <w:t>وأخرج البيهقي عن سفيان بن عيينة رضي الله عنه قال</w:t>
      </w:r>
      <w:r w:rsidR="000636C2">
        <w:rPr>
          <w:rFonts w:hint="cs"/>
          <w:rtl/>
        </w:rPr>
        <w:t xml:space="preserve"> </w:t>
      </w:r>
      <w:r>
        <w:rPr>
          <w:rFonts w:hint="cs"/>
          <w:rtl/>
        </w:rPr>
        <w:t>ما وصف الله تبارك به نفسه في كتابه فقراءته تفسيره ليس لأحد أن يفسره بالعربية ولا بالفارسية "</w:t>
      </w:r>
      <w:r w:rsidR="000636C2">
        <w:rPr>
          <w:rFonts w:hint="cs"/>
          <w:rtl/>
        </w:rPr>
        <w:t xml:space="preserve"> </w:t>
      </w:r>
      <w:r>
        <w:rPr>
          <w:rFonts w:hint="cs"/>
          <w:rtl/>
        </w:rPr>
        <w:t>أهـ</w:t>
      </w:r>
      <w:r>
        <w:rPr>
          <w:rFonts w:hint="cs"/>
          <w:bCs/>
          <w:rtl/>
        </w:rPr>
        <w:t xml:space="preserve"> </w:t>
      </w:r>
      <w:r w:rsidR="000636C2">
        <w:rPr>
          <w:rFonts w:hint="cs"/>
          <w:bCs/>
          <w:rtl/>
        </w:rPr>
        <w:t>[</w:t>
      </w:r>
      <w:r>
        <w:rPr>
          <w:rFonts w:hint="cs"/>
          <w:rtl/>
        </w:rPr>
        <w:t>الدر المنثور ج 4 ص 418</w:t>
      </w:r>
      <w:r w:rsidR="000636C2">
        <w:rPr>
          <w:rFonts w:hint="cs"/>
          <w:bCs/>
          <w:rtl/>
        </w:rPr>
        <w:t>]،</w:t>
      </w:r>
      <w:r>
        <w:rPr>
          <w:rFonts w:hint="cs"/>
          <w:bCs/>
          <w:rtl/>
        </w:rPr>
        <w:t xml:space="preserve"> وقال رحمه الله</w:t>
      </w:r>
      <w:r w:rsidR="000636C2">
        <w:rPr>
          <w:rFonts w:hint="cs"/>
          <w:rtl/>
        </w:rPr>
        <w:t>:</w:t>
      </w:r>
      <w:r>
        <w:rPr>
          <w:rFonts w:hint="cs"/>
          <w:rtl/>
        </w:rPr>
        <w:t xml:space="preserve"> </w:t>
      </w:r>
      <w:r>
        <w:rPr>
          <w:rFonts w:hint="cs"/>
          <w:bCs/>
          <w:rtl/>
        </w:rPr>
        <w:t>"</w:t>
      </w:r>
      <w:r>
        <w:rPr>
          <w:rFonts w:hint="cs"/>
          <w:rtl/>
        </w:rPr>
        <w:t>وأخرج اللالكائي عن جعفر بن عبد الله قال</w:t>
      </w:r>
      <w:r w:rsidR="000636C2">
        <w:rPr>
          <w:rFonts w:hint="cs"/>
          <w:rtl/>
        </w:rPr>
        <w:t xml:space="preserve"> </w:t>
      </w:r>
      <w:r>
        <w:rPr>
          <w:rFonts w:hint="cs"/>
          <w:rtl/>
        </w:rPr>
        <w:t>جاء رجل إلى مالك بن أنس فقال له</w:t>
      </w:r>
      <w:r w:rsidR="000636C2">
        <w:rPr>
          <w:rFonts w:hint="cs"/>
          <w:rtl/>
        </w:rPr>
        <w:t xml:space="preserve"> </w:t>
      </w:r>
      <w:r>
        <w:rPr>
          <w:rFonts w:hint="cs"/>
          <w:rtl/>
        </w:rPr>
        <w:t>يا أبا عبد الله استوى على العرش كيف استوى</w:t>
      </w:r>
      <w:r w:rsidR="000636C2">
        <w:rPr>
          <w:rFonts w:hint="cs"/>
          <w:rtl/>
        </w:rPr>
        <w:t xml:space="preserve"> </w:t>
      </w:r>
      <w:r>
        <w:rPr>
          <w:rFonts w:hint="cs"/>
          <w:rtl/>
        </w:rPr>
        <w:t>قال</w:t>
      </w:r>
      <w:r w:rsidR="000636C2">
        <w:rPr>
          <w:rFonts w:hint="cs"/>
          <w:rtl/>
        </w:rPr>
        <w:t xml:space="preserve"> </w:t>
      </w:r>
      <w:r>
        <w:rPr>
          <w:rFonts w:hint="cs"/>
          <w:rtl/>
        </w:rPr>
        <w:t>فما رأيت مالكا وجد من شيء كموجدته من مقالته وعلاه الرحضاء</w:t>
      </w:r>
      <w:r w:rsidR="000636C2">
        <w:rPr>
          <w:rFonts w:hint="cs"/>
          <w:rtl/>
        </w:rPr>
        <w:t xml:space="preserve"> </w:t>
      </w:r>
      <w:r>
        <w:rPr>
          <w:rFonts w:hint="cs"/>
          <w:rtl/>
        </w:rPr>
        <w:t>يعني العرق</w:t>
      </w:r>
      <w:r w:rsidR="000636C2">
        <w:rPr>
          <w:rFonts w:hint="cs"/>
          <w:rtl/>
        </w:rPr>
        <w:t xml:space="preserve"> </w:t>
      </w:r>
      <w:r>
        <w:rPr>
          <w:rFonts w:hint="cs"/>
          <w:rtl/>
        </w:rPr>
        <w:t>وأطرق القوم قال</w:t>
      </w:r>
      <w:r w:rsidR="000636C2">
        <w:rPr>
          <w:rFonts w:hint="cs"/>
          <w:rtl/>
        </w:rPr>
        <w:t xml:space="preserve"> </w:t>
      </w:r>
      <w:r>
        <w:rPr>
          <w:rFonts w:hint="cs"/>
          <w:rtl/>
        </w:rPr>
        <w:t>فسرى عن مالك فقال</w:t>
      </w:r>
      <w:r w:rsidR="000636C2">
        <w:rPr>
          <w:rFonts w:hint="cs"/>
          <w:rtl/>
        </w:rPr>
        <w:t xml:space="preserve"> </w:t>
      </w:r>
      <w:r>
        <w:rPr>
          <w:rFonts w:hint="cs"/>
          <w:rtl/>
        </w:rPr>
        <w:t>الكيف غير معقول والاستواء منه غير مجهول والإيمان به واجب</w:t>
      </w:r>
      <w:r w:rsidR="000636C2">
        <w:rPr>
          <w:rFonts w:hint="cs"/>
          <w:rtl/>
        </w:rPr>
        <w:t xml:space="preserve"> </w:t>
      </w:r>
      <w:r>
        <w:rPr>
          <w:rFonts w:hint="cs"/>
          <w:rtl/>
        </w:rPr>
        <w:t>والسؤال عنه بدعة</w:t>
      </w:r>
      <w:r w:rsidR="000636C2">
        <w:rPr>
          <w:rFonts w:hint="cs"/>
          <w:rtl/>
        </w:rPr>
        <w:t xml:space="preserve"> </w:t>
      </w:r>
      <w:r>
        <w:rPr>
          <w:rFonts w:hint="cs"/>
          <w:rtl/>
        </w:rPr>
        <w:t xml:space="preserve">وإني أخاف أن تكون ضالا وأمر به فأخرج " أهـ </w:t>
      </w:r>
      <w:r w:rsidR="000636C2">
        <w:rPr>
          <w:rFonts w:hint="cs"/>
          <w:rtl/>
        </w:rPr>
        <w:t>[</w:t>
      </w:r>
      <w:r>
        <w:rPr>
          <w:rFonts w:hint="cs"/>
          <w:rtl/>
        </w:rPr>
        <w:t>الدر المنثور ج: 3 ص: 473</w:t>
      </w:r>
      <w:r w:rsidR="000636C2">
        <w:rPr>
          <w:rFonts w:hint="cs"/>
          <w:rtl/>
        </w:rPr>
        <w:t>]،</w:t>
      </w:r>
      <w:r>
        <w:rPr>
          <w:rFonts w:hint="cs"/>
          <w:rtl/>
        </w:rPr>
        <w:t xml:space="preserve"> </w:t>
      </w:r>
      <w:r>
        <w:rPr>
          <w:rFonts w:hint="cs"/>
          <w:bCs/>
          <w:rtl/>
        </w:rPr>
        <w:t>وقال رحمه الله</w:t>
      </w:r>
      <w:r w:rsidR="000636C2">
        <w:rPr>
          <w:rFonts w:hint="cs"/>
          <w:rtl/>
        </w:rPr>
        <w:t>:</w:t>
      </w:r>
      <w:r>
        <w:rPr>
          <w:rFonts w:hint="cs"/>
          <w:rtl/>
        </w:rPr>
        <w:t xml:space="preserve"> "</w:t>
      </w:r>
      <w:r w:rsidR="000636C2">
        <w:rPr>
          <w:rFonts w:hint="cs"/>
          <w:rtl/>
        </w:rPr>
        <w:t xml:space="preserve"> </w:t>
      </w:r>
      <w:r>
        <w:rPr>
          <w:rFonts w:hint="cs"/>
          <w:rtl/>
        </w:rPr>
        <w:t>وأخرج البيهقي في الأسماء والصفات عن شيبان النحوي رضي الله عنه وما قدروا الله حق قدره والأرض جميعا قبضته يوم القيامة قال</w:t>
      </w:r>
      <w:r w:rsidR="000636C2">
        <w:rPr>
          <w:rFonts w:hint="cs"/>
          <w:rtl/>
        </w:rPr>
        <w:t xml:space="preserve"> </w:t>
      </w:r>
      <w:r>
        <w:rPr>
          <w:rFonts w:hint="cs"/>
          <w:rtl/>
        </w:rPr>
        <w:t>لم يفسرها قتادة</w:t>
      </w:r>
      <w:r w:rsidR="000636C2">
        <w:rPr>
          <w:rFonts w:hint="cs"/>
          <w:rtl/>
        </w:rPr>
        <w:t xml:space="preserve"> </w:t>
      </w:r>
      <w:r>
        <w:rPr>
          <w:rFonts w:hint="cs"/>
          <w:rtl/>
        </w:rPr>
        <w:t>وأخرج البيهقي عن سفيان بن عيينة رضي الله عنه قال</w:t>
      </w:r>
      <w:r w:rsidR="000636C2">
        <w:rPr>
          <w:rFonts w:hint="cs"/>
          <w:rtl/>
        </w:rPr>
        <w:t xml:space="preserve"> </w:t>
      </w:r>
      <w:r>
        <w:rPr>
          <w:rFonts w:hint="cs"/>
          <w:rtl/>
        </w:rPr>
        <w:t>كل ما وصف الله من نفسه في كتابه</w:t>
      </w:r>
      <w:r w:rsidR="000636C2">
        <w:rPr>
          <w:rFonts w:hint="cs"/>
          <w:rtl/>
        </w:rPr>
        <w:t xml:space="preserve"> </w:t>
      </w:r>
      <w:r>
        <w:rPr>
          <w:rFonts w:hint="cs"/>
          <w:rtl/>
        </w:rPr>
        <w:t>فتفسيره تلاوته والسكوت عليه</w:t>
      </w:r>
      <w:r w:rsidR="000636C2">
        <w:rPr>
          <w:rFonts w:hint="cs"/>
          <w:rtl/>
        </w:rPr>
        <w:t>)</w:t>
      </w:r>
      <w:r>
        <w:rPr>
          <w:rFonts w:hint="cs"/>
          <w:rtl/>
        </w:rPr>
        <w:t>) أهـ</w:t>
      </w:r>
      <w:r w:rsidR="000636C2">
        <w:rPr>
          <w:rFonts w:hint="cs"/>
          <w:rtl/>
        </w:rPr>
        <w:t xml:space="preserve"> [</w:t>
      </w:r>
      <w:r>
        <w:rPr>
          <w:rFonts w:hint="cs"/>
          <w:rtl/>
        </w:rPr>
        <w:t>الدر المنثور ج 7 ص 248</w:t>
      </w:r>
      <w:r w:rsidR="000636C2">
        <w:rPr>
          <w:rFonts w:hint="cs"/>
          <w:rtl/>
        </w:rPr>
        <w:t>]،</w:t>
      </w:r>
      <w:r>
        <w:rPr>
          <w:rFonts w:hint="cs"/>
          <w:rtl/>
        </w:rPr>
        <w:t xml:space="preserve"> </w:t>
      </w:r>
      <w:r>
        <w:rPr>
          <w:rFonts w:hint="cs"/>
          <w:bCs/>
          <w:rtl/>
          <w:lang w:bidi="ar-KW"/>
        </w:rPr>
        <w:t>ويؤيد مذهب السلف كذلك ما قاله الإمام النووي في المجموع</w:t>
      </w:r>
      <w:r w:rsidR="000636C2">
        <w:rPr>
          <w:rFonts w:hint="cs"/>
          <w:bCs/>
          <w:rtl/>
          <w:lang w:bidi="ar-KW"/>
        </w:rPr>
        <w:t>:</w:t>
      </w:r>
      <w:r>
        <w:rPr>
          <w:rFonts w:hint="cs"/>
          <w:rtl/>
          <w:lang w:bidi="ar-KW"/>
        </w:rPr>
        <w:t xml:space="preserve"> " اختلفوا في آيات الصفات وأخبارها هل يخاض فيها بالتأويل أم لا</w:t>
      </w:r>
      <w:r w:rsidR="000636C2">
        <w:rPr>
          <w:rFonts w:hint="cs"/>
          <w:rtl/>
          <w:lang w:bidi="ar-KW"/>
        </w:rPr>
        <w:t>؟</w:t>
      </w:r>
      <w:r>
        <w:rPr>
          <w:rFonts w:hint="cs"/>
          <w:rtl/>
          <w:lang w:bidi="ar-KW"/>
        </w:rPr>
        <w:t xml:space="preserve"> فقال قائلون تتأول على ما يليق بها، وهذا أشهر المذهبين للمتكلمين، وقال آخرون: لا تتأول بل يمسك عن الكلام في معناها </w:t>
      </w:r>
      <w:r>
        <w:rPr>
          <w:rFonts w:hint="cs"/>
          <w:bCs/>
          <w:rtl/>
          <w:lang w:bidi="ar-KW"/>
        </w:rPr>
        <w:t>ويوكل علمها إلى الله تعالى</w:t>
      </w:r>
      <w:r>
        <w:rPr>
          <w:rFonts w:hint="cs"/>
          <w:rtl/>
          <w:lang w:bidi="ar-KW"/>
        </w:rPr>
        <w:t xml:space="preserve">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w:t>
      </w:r>
      <w:r w:rsidR="000636C2">
        <w:rPr>
          <w:rFonts w:hint="cs"/>
          <w:rtl/>
          <w:lang w:bidi="ar-KW"/>
        </w:rPr>
        <w:t xml:space="preserve"> </w:t>
      </w:r>
      <w:r>
        <w:rPr>
          <w:rFonts w:hint="cs"/>
          <w:rtl/>
          <w:lang w:bidi="ar-KW"/>
        </w:rPr>
        <w:t xml:space="preserve">أهـ </w:t>
      </w:r>
      <w:r w:rsidR="000636C2">
        <w:rPr>
          <w:rFonts w:hint="cs"/>
          <w:rtl/>
          <w:lang w:bidi="ar-KW"/>
        </w:rPr>
        <w:t>[</w:t>
      </w:r>
      <w:r>
        <w:rPr>
          <w:rFonts w:hint="cs"/>
          <w:rtl/>
          <w:lang w:bidi="ar-KW"/>
        </w:rPr>
        <w:t>المجموع 1 / 25</w:t>
      </w:r>
      <w:r w:rsidR="000636C2">
        <w:rPr>
          <w:rFonts w:hint="cs"/>
          <w:rtl/>
          <w:lang w:bidi="ar-KW"/>
        </w:rPr>
        <w:t>]،</w:t>
      </w:r>
    </w:p>
    <w:p w14:paraId="4D4F3A5C" w14:textId="77777777" w:rsidR="009C32A0" w:rsidRDefault="009C32A0" w:rsidP="000636C2">
      <w:pPr>
        <w:ind w:left="-58"/>
        <w:jc w:val="center"/>
        <w:rPr>
          <w:bCs/>
        </w:rPr>
      </w:pPr>
      <w:r>
        <w:rPr>
          <w:rFonts w:hint="cs"/>
          <w:bCs/>
          <w:rtl/>
        </w:rPr>
        <w:t>****</w:t>
      </w:r>
    </w:p>
    <w:p w14:paraId="737EB269" w14:textId="77777777" w:rsidR="009C32A0" w:rsidRDefault="009C32A0" w:rsidP="000636C2">
      <w:pPr>
        <w:ind w:left="-58"/>
        <w:jc w:val="center"/>
        <w:rPr>
          <w:bCs/>
          <w:rtl/>
        </w:rPr>
      </w:pPr>
      <w:r>
        <w:rPr>
          <w:rFonts w:cs="Monotype Koufi" w:hint="cs"/>
          <w:rtl/>
        </w:rPr>
        <w:lastRenderedPageBreak/>
        <w:t>مذهب الأثرية من تفويض معنى المتشابه ليس معناه الجهل بالمراد من الآيات</w:t>
      </w:r>
    </w:p>
    <w:p w14:paraId="5E8F61ED" w14:textId="0A6A0A3D" w:rsidR="009C32A0" w:rsidRDefault="009C32A0" w:rsidP="000636C2">
      <w:pPr>
        <w:ind w:left="-58"/>
        <w:rPr>
          <w:rtl/>
          <w:lang w:bidi="ar-KW"/>
        </w:rPr>
      </w:pPr>
      <w:r>
        <w:rPr>
          <w:rFonts w:hint="cs"/>
          <w:rtl/>
          <w:lang w:bidi="ar-KW"/>
        </w:rPr>
        <w:t>لقد فهم البعض من السلفية خطئاً أنّ معنى تفويض المعنى هو الجهل العريض بآيات الصفات</w:t>
      </w:r>
      <w:r w:rsidR="000636C2">
        <w:rPr>
          <w:rFonts w:hint="cs"/>
          <w:rtl/>
          <w:lang w:bidi="ar-KW"/>
        </w:rPr>
        <w:t>،</w:t>
      </w:r>
      <w:r>
        <w:rPr>
          <w:rFonts w:hint="cs"/>
          <w:rtl/>
          <w:lang w:bidi="ar-KW"/>
        </w:rPr>
        <w:t xml:space="preserve"> وهذه سقطة عظيمة وزلة عالم</w:t>
      </w:r>
      <w:r w:rsidR="000636C2">
        <w:rPr>
          <w:rFonts w:hint="cs"/>
          <w:rtl/>
          <w:lang w:bidi="ar-KW"/>
        </w:rPr>
        <w:t>،</w:t>
      </w:r>
      <w:r>
        <w:rPr>
          <w:rFonts w:hint="cs"/>
          <w:rtl/>
          <w:lang w:bidi="ar-KW"/>
        </w:rPr>
        <w:t xml:space="preserve"> لا ينبغي تتبعها لأنّ حقيقة مذهب السلف ومذهب الاثرية في المتشابهات التي توهم التشبيه أو التجسيم أو الحدوث</w:t>
      </w:r>
      <w:r w:rsidR="000636C2">
        <w:rPr>
          <w:rFonts w:hint="cs"/>
          <w:rtl/>
          <w:lang w:bidi="ar-KW"/>
        </w:rPr>
        <w:t>،</w:t>
      </w:r>
      <w:r>
        <w:rPr>
          <w:rFonts w:hint="cs"/>
          <w:rtl/>
          <w:lang w:bidi="ar-KW"/>
        </w:rPr>
        <w:t xml:space="preserve"> من مثل النصوص التي توهم الجارحة كالوجه والعين واليد</w:t>
      </w:r>
      <w:r w:rsidR="000636C2">
        <w:rPr>
          <w:rFonts w:hint="cs"/>
          <w:rtl/>
          <w:lang w:bidi="ar-KW"/>
        </w:rPr>
        <w:t>،</w:t>
      </w:r>
      <w:r>
        <w:rPr>
          <w:rFonts w:hint="cs"/>
          <w:rtl/>
          <w:lang w:bidi="ar-KW"/>
        </w:rPr>
        <w:t xml:space="preserve"> والنصوص توهم التغير والحدوث كالمجيء والإتيان والنزول</w:t>
      </w:r>
      <w:r w:rsidR="000636C2">
        <w:rPr>
          <w:rFonts w:hint="cs"/>
          <w:rtl/>
          <w:lang w:bidi="ar-KW"/>
        </w:rPr>
        <w:t>،</w:t>
      </w:r>
      <w:r>
        <w:rPr>
          <w:rFonts w:hint="cs"/>
          <w:rtl/>
          <w:lang w:bidi="ar-KW"/>
        </w:rPr>
        <w:t xml:space="preserve"> والنصوص توهم النقص والحد</w:t>
      </w:r>
      <w:r w:rsidR="000636C2">
        <w:rPr>
          <w:rFonts w:hint="cs"/>
          <w:rtl/>
          <w:lang w:bidi="ar-KW"/>
        </w:rPr>
        <w:t>،</w:t>
      </w:r>
      <w:r>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sidR="000636C2">
        <w:rPr>
          <w:rFonts w:hint="cs"/>
          <w:rtl/>
          <w:lang w:bidi="ar-KW"/>
        </w:rPr>
        <w:t>،</w:t>
      </w:r>
      <w:r>
        <w:rPr>
          <w:rFonts w:hint="cs"/>
          <w:rtl/>
          <w:lang w:bidi="ar-KW"/>
        </w:rPr>
        <w:t xml:space="preserve"> وليس معنى ذلك أن السلف كانوا لا يدركون أي معنى لهذه النصوص المتشابهة</w:t>
      </w:r>
      <w:r w:rsidR="000636C2">
        <w:rPr>
          <w:rFonts w:hint="cs"/>
          <w:rtl/>
          <w:lang w:bidi="ar-KW"/>
        </w:rPr>
        <w:t>،</w:t>
      </w:r>
      <w:r>
        <w:rPr>
          <w:rFonts w:hint="cs"/>
          <w:rtl/>
          <w:lang w:bidi="ar-KW"/>
        </w:rPr>
        <w:t xml:space="preserve"> - حاش لله من هذا الظن السيئ بهم - بل كانوا يدركون المعنى الإجمالي الذي سيقت الآيات من أجله</w:t>
      </w:r>
      <w:r w:rsidR="000636C2">
        <w:rPr>
          <w:rFonts w:hint="cs"/>
          <w:rtl/>
          <w:lang w:bidi="ar-KW"/>
        </w:rPr>
        <w:t>،</w:t>
      </w:r>
      <w:r>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sidR="000636C2">
        <w:rPr>
          <w:rFonts w:hint="cs"/>
          <w:rtl/>
          <w:lang w:bidi="ar-KW"/>
        </w:rPr>
        <w:t>،</w:t>
      </w:r>
      <w:r>
        <w:rPr>
          <w:rFonts w:hint="cs"/>
          <w:rtl/>
          <w:lang w:bidi="ar-KW"/>
        </w:rPr>
        <w:t xml:space="preserve"> وهم أعلم الناس بمعنى قوله تعالى</w:t>
      </w:r>
      <w:r w:rsidR="000636C2">
        <w:rPr>
          <w:rFonts w:hint="cs"/>
          <w:rtl/>
          <w:lang w:bidi="ar-KW"/>
        </w:rPr>
        <w:t>:</w:t>
      </w:r>
      <w:r>
        <w:rPr>
          <w:rFonts w:hint="cs"/>
          <w:rtl/>
        </w:rPr>
        <w:t xml:space="preserve"> </w:t>
      </w:r>
      <w:r w:rsidR="000636C2">
        <w:rPr>
          <w:rFonts w:hint="cs"/>
          <w:rtl/>
        </w:rPr>
        <w:t>{</w:t>
      </w:r>
      <w:r>
        <w:rPr>
          <w:rFonts w:hint="cs"/>
          <w:rtl/>
        </w:rPr>
        <w:t>ولم يكن له كفوا أحد</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ليس كمثله شيء</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هل تعلم له سميا</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ولا يحيطون به علما</w:t>
      </w:r>
      <w:r w:rsidR="000636C2">
        <w:rPr>
          <w:rFonts w:hint="cs"/>
          <w:rtl/>
        </w:rPr>
        <w:t>}،</w:t>
      </w:r>
      <w:r>
        <w:rPr>
          <w:rFonts w:hint="cs"/>
          <w:rtl/>
        </w:rPr>
        <w:t xml:space="preserve"> وما فيها من التنزيه ونفي الكفء والمثيل والسمي</w:t>
      </w:r>
      <w:r w:rsidR="000636C2">
        <w:rPr>
          <w:rFonts w:hint="cs"/>
          <w:rtl/>
        </w:rPr>
        <w:t>،</w:t>
      </w:r>
      <w:r>
        <w:rPr>
          <w:rFonts w:hint="cs"/>
          <w:rtl/>
        </w:rPr>
        <w:t xml:space="preserve"> فكانوا لا يثبتون للمتشابه أي معنى يخالف التنزيه والتقديس</w:t>
      </w:r>
      <w:r w:rsidR="000636C2">
        <w:rPr>
          <w:rFonts w:hint="cs"/>
          <w:rtl/>
        </w:rPr>
        <w:t>،</w:t>
      </w:r>
      <w:r>
        <w:rPr>
          <w:rFonts w:hint="cs"/>
          <w:rtl/>
        </w:rPr>
        <w:t xml:space="preserve"> و</w:t>
      </w:r>
      <w:r>
        <w:rPr>
          <w:rFonts w:hint="cs"/>
          <w:rtl/>
          <w:lang w:bidi="ar-KW"/>
        </w:rPr>
        <w:t>مثال على هذا قوله تعالى</w:t>
      </w:r>
      <w:r w:rsidR="000636C2">
        <w:rPr>
          <w:rFonts w:hint="cs"/>
          <w:bCs/>
          <w:rtl/>
          <w:lang w:bidi="ar-KW"/>
        </w:rPr>
        <w:t>(</w:t>
      </w:r>
      <w:r>
        <w:rPr>
          <w:rFonts w:hint="cs"/>
          <w:bCs/>
          <w:rtl/>
          <w:lang w:bidi="ar-KW"/>
        </w:rPr>
        <w:t>بل يداه مبسوطتان</w:t>
      </w:r>
      <w:r w:rsidR="000636C2">
        <w:rPr>
          <w:rFonts w:hint="cs"/>
          <w:bCs/>
          <w:rtl/>
          <w:lang w:bidi="ar-KW"/>
        </w:rPr>
        <w:t>)</w:t>
      </w:r>
      <w:r>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sidR="000636C2">
        <w:rPr>
          <w:rFonts w:hint="cs"/>
          <w:rtl/>
          <w:lang w:bidi="ar-KW"/>
        </w:rPr>
        <w:t>،</w:t>
      </w:r>
      <w:r>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sidR="000636C2">
        <w:rPr>
          <w:rFonts w:hint="cs"/>
          <w:rtl/>
          <w:lang w:bidi="ar-KW"/>
        </w:rPr>
        <w:t>،</w:t>
      </w:r>
      <w:r>
        <w:rPr>
          <w:rFonts w:hint="cs"/>
          <w:rtl/>
          <w:lang w:bidi="ar-KW"/>
        </w:rPr>
        <w:t xml:space="preserve"> منها أنه سبحانه </w:t>
      </w:r>
      <w:r w:rsidR="000636C2">
        <w:rPr>
          <w:rFonts w:hint="cs"/>
          <w:rtl/>
          <w:lang w:bidi="ar-KW"/>
        </w:rPr>
        <w:t>(</w:t>
      </w:r>
      <w:r>
        <w:rPr>
          <w:rFonts w:hint="cs"/>
          <w:rtl/>
          <w:lang w:bidi="ar-KW"/>
        </w:rPr>
        <w:t>الأحد</w:t>
      </w:r>
      <w:r w:rsidR="000636C2">
        <w:rPr>
          <w:rFonts w:hint="cs"/>
          <w:rtl/>
          <w:lang w:bidi="ar-KW"/>
        </w:rPr>
        <w:t>)</w:t>
      </w:r>
      <w:r>
        <w:rPr>
          <w:rFonts w:hint="cs"/>
          <w:rtl/>
          <w:lang w:bidi="ar-KW"/>
        </w:rPr>
        <w:t xml:space="preserve"> وصفة الأحدية تمنع من التركيب</w:t>
      </w:r>
      <w:r w:rsidR="000636C2">
        <w:rPr>
          <w:rFonts w:hint="cs"/>
          <w:rtl/>
          <w:lang w:bidi="ar-KW"/>
        </w:rPr>
        <w:t>،</w:t>
      </w:r>
      <w:r>
        <w:rPr>
          <w:rFonts w:hint="cs"/>
          <w:rtl/>
          <w:lang w:bidi="ar-KW"/>
        </w:rPr>
        <w:t xml:space="preserve"> ومنع التركيب يمنع وجود الأجزاء</w:t>
      </w:r>
      <w:r w:rsidR="000636C2">
        <w:rPr>
          <w:rFonts w:hint="cs"/>
          <w:rtl/>
          <w:lang w:bidi="ar-KW"/>
        </w:rPr>
        <w:t>،</w:t>
      </w:r>
      <w:r>
        <w:rPr>
          <w:rFonts w:hint="cs"/>
          <w:rtl/>
          <w:lang w:bidi="ar-KW"/>
        </w:rPr>
        <w:t xml:space="preserve"> كما أنه سبحانه </w:t>
      </w:r>
      <w:r w:rsidR="000636C2">
        <w:rPr>
          <w:rFonts w:hint="cs"/>
          <w:rtl/>
          <w:lang w:bidi="ar-KW"/>
        </w:rPr>
        <w:t>(</w:t>
      </w:r>
      <w:r>
        <w:rPr>
          <w:rFonts w:hint="cs"/>
          <w:rtl/>
          <w:lang w:bidi="ar-KW"/>
        </w:rPr>
        <w:t>الغني</w:t>
      </w:r>
      <w:r w:rsidR="000636C2">
        <w:rPr>
          <w:rFonts w:hint="cs"/>
          <w:rtl/>
          <w:lang w:bidi="ar-KW"/>
        </w:rPr>
        <w:t>)</w:t>
      </w:r>
      <w:r>
        <w:rPr>
          <w:rFonts w:hint="cs"/>
          <w:rtl/>
          <w:lang w:bidi="ar-KW"/>
        </w:rPr>
        <w:t xml:space="preserve"> وكمال الغنى يمنع من الاحتياج للجوارح في تصريف الأمور</w:t>
      </w:r>
      <w:r w:rsidR="000636C2">
        <w:rPr>
          <w:rFonts w:hint="cs"/>
          <w:rtl/>
          <w:lang w:bidi="ar-KW"/>
        </w:rPr>
        <w:t>،</w:t>
      </w:r>
      <w:r>
        <w:rPr>
          <w:rFonts w:hint="cs"/>
          <w:rtl/>
          <w:lang w:bidi="ar-KW"/>
        </w:rPr>
        <w:t xml:space="preserve"> ومنها نفي المثلية في قوله تعالى</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ليس كمثله شيء</w:t>
      </w:r>
      <w:r w:rsidR="000636C2">
        <w:rPr>
          <w:rFonts w:hint="cs"/>
          <w:rtl/>
          <w:lang w:bidi="ar-KW"/>
        </w:rPr>
        <w:t>}،</w:t>
      </w:r>
      <w:r>
        <w:rPr>
          <w:rFonts w:hint="cs"/>
          <w:rtl/>
          <w:lang w:bidi="ar-KW"/>
        </w:rPr>
        <w:t xml:space="preserve"> وجميع الخلق تتكون أجسامهم من أجزاء والله تعالى ليس كمثله</w:t>
      </w:r>
      <w:r w:rsidR="000636C2">
        <w:rPr>
          <w:rFonts w:hint="cs"/>
          <w:rtl/>
          <w:lang w:bidi="ar-KW"/>
        </w:rPr>
        <w:t>،</w:t>
      </w:r>
      <w:r>
        <w:rPr>
          <w:rFonts w:hint="cs"/>
          <w:rtl/>
          <w:lang w:bidi="ar-KW"/>
        </w:rPr>
        <w:t xml:space="preserve"> ولهذه الأسباب وغيرها - مما حواه علم التقديس -</w:t>
      </w:r>
      <w:r w:rsidR="000636C2">
        <w:rPr>
          <w:rFonts w:hint="cs"/>
          <w:rtl/>
          <w:lang w:bidi="ar-KW"/>
        </w:rPr>
        <w:t xml:space="preserve"> </w:t>
      </w:r>
      <w:r>
        <w:rPr>
          <w:rFonts w:hint="cs"/>
          <w:rtl/>
          <w:lang w:bidi="ar-KW"/>
        </w:rPr>
        <w:t>توقف السلف عن الخوض في المتشابه</w:t>
      </w:r>
      <w:r w:rsidR="000636C2">
        <w:rPr>
          <w:rFonts w:hint="cs"/>
          <w:rtl/>
          <w:lang w:bidi="ar-KW"/>
        </w:rPr>
        <w:t>،</w:t>
      </w:r>
      <w:r>
        <w:rPr>
          <w:rFonts w:hint="cs"/>
          <w:rtl/>
          <w:lang w:bidi="ar-KW"/>
        </w:rPr>
        <w:t xml:space="preserve"> واكتفوا بالمعنى الإجمالي المفهوم من الآيات</w:t>
      </w:r>
      <w:r w:rsidR="000636C2">
        <w:rPr>
          <w:rFonts w:hint="cs"/>
          <w:rtl/>
          <w:lang w:bidi="ar-KW"/>
        </w:rPr>
        <w:t>،</w:t>
      </w:r>
      <w:r>
        <w:rPr>
          <w:rFonts w:hint="cs"/>
          <w:rtl/>
          <w:lang w:bidi="ar-KW"/>
        </w:rPr>
        <w:t xml:space="preserve"> هذا هو اللائق بمقامات السلف في العلم</w:t>
      </w:r>
      <w:r w:rsidR="000636C2">
        <w:rPr>
          <w:rFonts w:hint="cs"/>
          <w:rtl/>
          <w:lang w:bidi="ar-KW"/>
        </w:rPr>
        <w:t>،</w:t>
      </w:r>
      <w:r>
        <w:rPr>
          <w:rFonts w:hint="cs"/>
          <w:rtl/>
          <w:lang w:bidi="ar-KW"/>
        </w:rPr>
        <w:t xml:space="preserve"> إذ لا يعقل أنهم كانوا يسمعون مثلاً قول الله تعالـى</w:t>
      </w:r>
      <w:r w:rsidR="000636C2">
        <w:rPr>
          <w:rFonts w:hint="cs"/>
          <w:rtl/>
          <w:lang w:bidi="ar-KW"/>
        </w:rPr>
        <w:t>:</w:t>
      </w:r>
      <w:r>
        <w:rPr>
          <w:rFonts w:hint="cs"/>
          <w:bCs/>
          <w:rtl/>
          <w:lang w:bidi="ar-KW"/>
        </w:rPr>
        <w:t xml:space="preserve"> </w:t>
      </w:r>
      <w:r w:rsidR="000636C2">
        <w:rPr>
          <w:rFonts w:hint="cs"/>
          <w:rtl/>
          <w:lang w:bidi="ar-KW"/>
        </w:rPr>
        <w:t>{</w:t>
      </w:r>
      <w:r>
        <w:rPr>
          <w:rFonts w:hint="cs"/>
          <w:bCs/>
          <w:rtl/>
          <w:lang w:bidi="ar-KW"/>
        </w:rPr>
        <w:t>يد الله فوق أيديهم</w:t>
      </w:r>
      <w:r w:rsidR="000636C2">
        <w:rPr>
          <w:rFonts w:hint="cs"/>
          <w:bCs/>
          <w:rtl/>
          <w:lang w:bidi="ar-KW"/>
        </w:rPr>
        <w:t xml:space="preserve">} </w:t>
      </w:r>
      <w:r>
        <w:rPr>
          <w:rFonts w:hint="cs"/>
          <w:bCs/>
          <w:rtl/>
          <w:lang w:bidi="ar-KW"/>
        </w:rPr>
        <w:t xml:space="preserve">أو </w:t>
      </w:r>
      <w:r w:rsidR="000636C2">
        <w:rPr>
          <w:rFonts w:hint="cs"/>
          <w:rtl/>
          <w:lang w:bidi="ar-KW"/>
        </w:rPr>
        <w:t>{</w:t>
      </w:r>
      <w:r>
        <w:rPr>
          <w:rFonts w:hint="cs"/>
          <w:bCs/>
          <w:rtl/>
          <w:lang w:bidi="ar-KW"/>
        </w:rPr>
        <w:t>بل يداه مبسوطتان ينفق كيف يشاء</w:t>
      </w:r>
      <w:r w:rsidR="000636C2">
        <w:rPr>
          <w:rFonts w:hint="cs"/>
          <w:bCs/>
          <w:rtl/>
          <w:lang w:bidi="ar-KW"/>
        </w:rPr>
        <w:t xml:space="preserve">} </w:t>
      </w:r>
      <w:r>
        <w:rPr>
          <w:rFonts w:hint="cs"/>
          <w:bCs/>
          <w:rtl/>
          <w:lang w:bidi="ar-KW"/>
        </w:rPr>
        <w:t xml:space="preserve">أو </w:t>
      </w:r>
      <w:r w:rsidR="000636C2">
        <w:rPr>
          <w:rFonts w:hint="cs"/>
          <w:rtl/>
          <w:lang w:bidi="ar-KW"/>
        </w:rPr>
        <w:t>{</w:t>
      </w:r>
      <w:r>
        <w:rPr>
          <w:rFonts w:hint="cs"/>
          <w:bCs/>
          <w:rtl/>
          <w:lang w:bidi="ar-KW"/>
        </w:rPr>
        <w:t>الرحمن على العرش استوى</w:t>
      </w:r>
      <w:r w:rsidR="000636C2">
        <w:rPr>
          <w:rFonts w:hint="cs"/>
          <w:bCs/>
          <w:rtl/>
          <w:lang w:bidi="ar-KW"/>
        </w:rPr>
        <w:t xml:space="preserve">} </w:t>
      </w:r>
      <w:r>
        <w:rPr>
          <w:rFonts w:hint="cs"/>
          <w:bCs/>
          <w:rtl/>
          <w:lang w:bidi="ar-KW"/>
        </w:rPr>
        <w:t xml:space="preserve">أو </w:t>
      </w:r>
      <w:r w:rsidR="000636C2">
        <w:rPr>
          <w:rFonts w:hint="cs"/>
          <w:rtl/>
          <w:lang w:bidi="ar-KW"/>
        </w:rPr>
        <w:t>{</w:t>
      </w:r>
      <w:r>
        <w:rPr>
          <w:rFonts w:hint="cs"/>
          <w:bCs/>
          <w:rtl/>
          <w:lang w:bidi="ar-KW"/>
        </w:rPr>
        <w:t>ثم استوى إلى السماء</w:t>
      </w:r>
      <w:r w:rsidR="000636C2">
        <w:rPr>
          <w:rFonts w:hint="cs"/>
          <w:bCs/>
          <w:rtl/>
          <w:lang w:bidi="ar-KW"/>
        </w:rPr>
        <w:t>}</w:t>
      </w:r>
      <w:r>
        <w:rPr>
          <w:rFonts w:hint="cs"/>
          <w:bCs/>
          <w:rtl/>
          <w:lang w:bidi="ar-KW"/>
        </w:rPr>
        <w:t xml:space="preserve"> أو </w:t>
      </w:r>
      <w:r w:rsidR="000636C2">
        <w:rPr>
          <w:rFonts w:hint="cs"/>
          <w:rtl/>
          <w:lang w:bidi="ar-KW"/>
        </w:rPr>
        <w:t>{</w:t>
      </w:r>
      <w:r>
        <w:rPr>
          <w:rFonts w:hint="cs"/>
          <w:bCs/>
          <w:rtl/>
          <w:lang w:bidi="ar-KW"/>
        </w:rPr>
        <w:t>يوم يكشف عن ساق</w:t>
      </w:r>
      <w:r w:rsidR="000636C2">
        <w:rPr>
          <w:rFonts w:hint="cs"/>
          <w:bCs/>
          <w:rtl/>
          <w:lang w:bidi="ar-KW"/>
        </w:rPr>
        <w:t>}،</w:t>
      </w:r>
      <w:r>
        <w:rPr>
          <w:rFonts w:hint="cs"/>
          <w:rtl/>
          <w:lang w:bidi="ar-KW"/>
        </w:rPr>
        <w:t xml:space="preserve"> أو قول رسول الله</w:t>
      </w:r>
      <w:r w:rsidR="000636C2">
        <w:rPr>
          <w:rFonts w:hint="cs"/>
          <w:rtl/>
          <w:lang w:bidi="ar-KW"/>
        </w:rPr>
        <w:t>:</w:t>
      </w:r>
      <w:r>
        <w:rPr>
          <w:rFonts w:hint="cs"/>
          <w:rtl/>
          <w:lang w:bidi="ar-KW"/>
        </w:rPr>
        <w:t xml:space="preserve"> (</w:t>
      </w:r>
      <w:r w:rsidR="000636C2">
        <w:rPr>
          <w:rFonts w:hint="cs"/>
          <w:bCs/>
          <w:rtl/>
          <w:lang w:bidi="ar-KW"/>
        </w:rPr>
        <w:t>(</w:t>
      </w:r>
      <w:r>
        <w:rPr>
          <w:rFonts w:hint="cs"/>
          <w:bCs/>
          <w:rtl/>
          <w:lang w:bidi="ar-KW"/>
        </w:rPr>
        <w:t>يضحك ربنا</w:t>
      </w:r>
      <w:r w:rsidR="000636C2">
        <w:rPr>
          <w:rFonts w:hint="cs"/>
          <w:bCs/>
          <w:rtl/>
          <w:lang w:bidi="ar-KW"/>
        </w:rPr>
        <w:t>)</w:t>
      </w:r>
      <w:r>
        <w:rPr>
          <w:rFonts w:hint="cs"/>
          <w:bCs/>
          <w:rtl/>
          <w:lang w:bidi="ar-KW"/>
        </w:rPr>
        <w:t>)</w:t>
      </w:r>
      <w:r>
        <w:rPr>
          <w:rFonts w:hint="cs"/>
          <w:rtl/>
          <w:lang w:bidi="ar-KW"/>
        </w:rPr>
        <w:t xml:space="preserve"> أو </w:t>
      </w:r>
      <w:r>
        <w:rPr>
          <w:rFonts w:hint="cs"/>
          <w:bCs/>
          <w:rtl/>
          <w:lang w:bidi="ar-KW"/>
        </w:rPr>
        <w:t>(</w:t>
      </w:r>
      <w:r w:rsidR="000636C2">
        <w:rPr>
          <w:rFonts w:hint="cs"/>
          <w:bCs/>
          <w:rtl/>
          <w:lang w:bidi="ar-KW"/>
        </w:rPr>
        <w:t>(</w:t>
      </w:r>
      <w:r>
        <w:rPr>
          <w:rFonts w:hint="cs"/>
          <w:bCs/>
          <w:rtl/>
          <w:lang w:bidi="ar-KW"/>
        </w:rPr>
        <w:t>ينزل ربنا</w:t>
      </w:r>
      <w:r w:rsidR="000636C2">
        <w:rPr>
          <w:rFonts w:hint="cs"/>
          <w:bCs/>
          <w:rtl/>
          <w:lang w:bidi="ar-KW"/>
        </w:rPr>
        <w:t>)</w:t>
      </w:r>
      <w:r>
        <w:rPr>
          <w:rFonts w:hint="cs"/>
          <w:bCs/>
          <w:rtl/>
          <w:lang w:bidi="ar-KW"/>
        </w:rPr>
        <w:t>)</w:t>
      </w:r>
      <w:r>
        <w:rPr>
          <w:rFonts w:hint="cs"/>
          <w:rtl/>
          <w:lang w:bidi="ar-KW"/>
        </w:rPr>
        <w:t xml:space="preserve"> أو (</w:t>
      </w:r>
      <w:r w:rsidR="000636C2">
        <w:rPr>
          <w:rFonts w:hint="cs"/>
          <w:bCs/>
          <w:rtl/>
          <w:lang w:bidi="ar-KW"/>
        </w:rPr>
        <w:t>(</w:t>
      </w:r>
      <w:r>
        <w:rPr>
          <w:rFonts w:hint="cs"/>
          <w:bCs/>
          <w:rtl/>
          <w:lang w:bidi="ar-KW"/>
        </w:rPr>
        <w:t>يعجب ربنا</w:t>
      </w:r>
      <w:r w:rsidR="000636C2">
        <w:rPr>
          <w:rFonts w:hint="cs"/>
          <w:bCs/>
          <w:rtl/>
          <w:lang w:bidi="ar-KW"/>
        </w:rPr>
        <w:t>)</w:t>
      </w:r>
      <w:r>
        <w:rPr>
          <w:rFonts w:hint="cs"/>
          <w:bCs/>
          <w:rtl/>
          <w:lang w:bidi="ar-KW"/>
        </w:rPr>
        <w:t>)</w:t>
      </w:r>
      <w:r>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w:t>
      </w:r>
      <w:r>
        <w:rPr>
          <w:rFonts w:hint="cs"/>
          <w:rtl/>
          <w:lang w:bidi="ar-KW"/>
        </w:rPr>
        <w:lastRenderedPageBreak/>
        <w:t>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sidR="000636C2">
        <w:rPr>
          <w:rFonts w:hint="cs"/>
          <w:rtl/>
          <w:lang w:bidi="ar-KW"/>
        </w:rPr>
        <w:t>،</w:t>
      </w:r>
      <w:r>
        <w:rPr>
          <w:rFonts w:hint="cs"/>
          <w:rtl/>
          <w:lang w:bidi="ar-KW"/>
        </w:rPr>
        <w:t xml:space="preserve"> </w:t>
      </w:r>
    </w:p>
    <w:p w14:paraId="3DAC9DA2" w14:textId="77777777" w:rsidR="009C32A0" w:rsidRDefault="009C32A0" w:rsidP="000636C2">
      <w:pPr>
        <w:ind w:left="-58"/>
        <w:jc w:val="center"/>
        <w:rPr>
          <w:b/>
          <w:bCs/>
        </w:rPr>
      </w:pPr>
      <w:r>
        <w:rPr>
          <w:rFonts w:hint="cs"/>
          <w:bCs/>
          <w:rtl/>
        </w:rPr>
        <w:t xml:space="preserve">*** </w:t>
      </w:r>
    </w:p>
    <w:p w14:paraId="22283635" w14:textId="77777777" w:rsidR="009C32A0" w:rsidRDefault="009C32A0" w:rsidP="000636C2">
      <w:pPr>
        <w:ind w:left="-58"/>
        <w:jc w:val="center"/>
        <w:rPr>
          <w:rFonts w:cs="Monotype Koufi"/>
          <w:b/>
          <w:rtl/>
        </w:rPr>
      </w:pPr>
      <w:r>
        <w:rPr>
          <w:rFonts w:cs="Monotype Koufi" w:hint="cs"/>
          <w:rtl/>
        </w:rPr>
        <w:t>الأثرية يعرفون من قواعد التقديس ما يمنعهم من نسبة النقص إلى ذات الله تعالى</w:t>
      </w:r>
    </w:p>
    <w:p w14:paraId="7BB4475F" w14:textId="084A7589" w:rsidR="009C32A0" w:rsidRDefault="009C32A0" w:rsidP="000636C2">
      <w:pPr>
        <w:ind w:left="-58"/>
        <w:rPr>
          <w:b/>
          <w:rtl/>
        </w:rPr>
      </w:pPr>
      <w:r>
        <w:rPr>
          <w:rFonts w:hint="cs"/>
          <w:rtl/>
          <w:lang w:bidi="ar-KW"/>
        </w:rPr>
        <w:t>الأثرية يعرفون الواجب والجائز والمحال في حق الله تعالى</w:t>
      </w:r>
      <w:r w:rsidR="000636C2">
        <w:rPr>
          <w:rFonts w:hint="cs"/>
          <w:rtl/>
          <w:lang w:bidi="ar-KW"/>
        </w:rPr>
        <w:t>،</w:t>
      </w:r>
      <w:r>
        <w:rPr>
          <w:rFonts w:hint="cs"/>
          <w:rtl/>
          <w:lang w:bidi="ar-KW"/>
        </w:rPr>
        <w:t xml:space="preserve"> ولذلك فهم منزهون لله تعالى عن المكان والزمان وحلول الحوادث</w:t>
      </w:r>
      <w:r w:rsidR="000636C2">
        <w:rPr>
          <w:rFonts w:hint="cs"/>
          <w:rtl/>
          <w:lang w:bidi="ar-KW"/>
        </w:rPr>
        <w:t>،</w:t>
      </w:r>
      <w:r>
        <w:rPr>
          <w:rFonts w:hint="cs"/>
          <w:rtl/>
          <w:lang w:bidi="ar-KW"/>
        </w:rPr>
        <w:t xml:space="preserve"> </w:t>
      </w:r>
      <w:r>
        <w:rPr>
          <w:rFonts w:hint="cs"/>
          <w:rtl/>
        </w:rPr>
        <w:t>فقد جاء في متن العقيدة السفارينية</w:t>
      </w:r>
      <w:r w:rsidR="000636C2">
        <w:rPr>
          <w:rFonts w:hint="cs"/>
          <w:rtl/>
        </w:rPr>
        <w:t>:</w:t>
      </w:r>
      <w:r>
        <w:rPr>
          <w:rFonts w:hint="cs"/>
          <w:rtl/>
        </w:rPr>
        <w:t xml:space="preserve"> </w:t>
      </w:r>
      <w:r w:rsidR="000636C2">
        <w:rPr>
          <w:rFonts w:hint="cs"/>
          <w:rtl/>
        </w:rPr>
        <w:t>(</w:t>
      </w:r>
      <w:r>
        <w:rPr>
          <w:rFonts w:hint="cs"/>
          <w:rtl/>
        </w:rPr>
        <w:t>ويعلم الواجب والمحالا</w:t>
      </w:r>
      <w:r w:rsidR="000636C2">
        <w:rPr>
          <w:rFonts w:hint="cs"/>
          <w:rtl/>
        </w:rPr>
        <w:t xml:space="preserve"> </w:t>
      </w:r>
      <w:r>
        <w:rPr>
          <w:rFonts w:hint="cs"/>
          <w:rtl/>
        </w:rPr>
        <w:t>...</w:t>
      </w:r>
      <w:r w:rsidR="000636C2">
        <w:rPr>
          <w:rFonts w:hint="cs"/>
          <w:rtl/>
        </w:rPr>
        <w:t xml:space="preserve"> </w:t>
      </w:r>
      <w:r>
        <w:rPr>
          <w:rFonts w:hint="cs"/>
          <w:rtl/>
        </w:rPr>
        <w:t>كجائز في حقه تعالى ... وليس ربنا بجوهر ولا ... عرض ولا جسم تعالى ذو العلا</w:t>
      </w:r>
      <w:r w:rsidR="000636C2">
        <w:rPr>
          <w:rFonts w:hint="cs"/>
          <w:rtl/>
        </w:rPr>
        <w:t>)</w:t>
      </w:r>
      <w:r>
        <w:rPr>
          <w:rFonts w:hint="cs"/>
          <w:rtl/>
        </w:rPr>
        <w:t xml:space="preserve"> أهـ</w:t>
      </w:r>
      <w:r w:rsidR="000636C2">
        <w:rPr>
          <w:rFonts w:hint="cs"/>
          <w:rtl/>
        </w:rPr>
        <w:t xml:space="preserve">، </w:t>
      </w:r>
      <w:r>
        <w:rPr>
          <w:rFonts w:hint="cs"/>
          <w:rtl/>
        </w:rPr>
        <w:t>وجاء في كتاب العين والأثر في عقائد أهل الأثر</w:t>
      </w:r>
      <w:r w:rsidR="000636C2">
        <w:rPr>
          <w:rFonts w:hint="cs"/>
          <w:rtl/>
        </w:rPr>
        <w:t xml:space="preserve"> </w:t>
      </w:r>
      <w:r>
        <w:rPr>
          <w:rFonts w:hint="cs"/>
          <w:rtl/>
        </w:rPr>
        <w:t>للمؤلف عبدالباقي بن عبد القادر الحنبلي</w:t>
      </w:r>
      <w:r w:rsidR="000636C2">
        <w:rPr>
          <w:rFonts w:hint="cs"/>
          <w:rtl/>
        </w:rPr>
        <w:t>:</w:t>
      </w:r>
      <w:r>
        <w:rPr>
          <w:rFonts w:hint="cs"/>
          <w:rtl/>
        </w:rPr>
        <w:t xml:space="preserve"> </w:t>
      </w:r>
      <w:r w:rsidR="000636C2">
        <w:rPr>
          <w:rFonts w:hint="cs"/>
          <w:rtl/>
        </w:rPr>
        <w:t>(</w:t>
      </w:r>
      <w:r>
        <w:rPr>
          <w:rFonts w:eastAsia="Times New Roman" w:hint="cs"/>
          <w:rtl/>
        </w:rPr>
        <w:t>ويجب الجزم بأنه تعالى واحد لا يتجزأ ولا ينقسم أحد لا من عدد فرد صمد لم يلد ولم يولد ولم يكن له كفوا أحد</w:t>
      </w:r>
      <w:r w:rsidR="000636C2">
        <w:rPr>
          <w:rFonts w:eastAsia="Times New Roman" w:hint="cs"/>
          <w:rtl/>
        </w:rPr>
        <w:t>،</w:t>
      </w:r>
      <w:r>
        <w:rPr>
          <w:rFonts w:eastAsia="Times New Roman" w:hint="cs"/>
          <w:rtl/>
        </w:rPr>
        <w:t xml:space="preserve"> وبأنه تعالى عالم بعلم واحد قديم باق ذاتي محيط بكل معلوم كلي أو جزئي على ما هو عليه فلا يتجدد علمه بتجدد المعلومات ولا يتعدد بتعددها ليس بضروري ولا كسبي ولا استدلالي</w:t>
      </w:r>
      <w:r w:rsidR="000636C2">
        <w:rPr>
          <w:rFonts w:eastAsia="Times New Roman" w:hint="cs"/>
          <w:rtl/>
        </w:rPr>
        <w:t>،</w:t>
      </w:r>
      <w:r>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sidR="000636C2">
        <w:rPr>
          <w:rFonts w:eastAsia="Times New Roman" w:hint="cs"/>
          <w:rtl/>
        </w:rPr>
        <w:t>،</w:t>
      </w:r>
      <w:r>
        <w:rPr>
          <w:rFonts w:eastAsia="Times New Roman" w:hint="cs"/>
          <w:rtl/>
        </w:rPr>
        <w:t xml:space="preserve"> وبأنه مريد بإرادة واحدة وجودية قديمة ذاتية باقية متعلقة بكل ممكن</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الحياة</w:t>
      </w:r>
      <w:r w:rsidR="000636C2">
        <w:rPr>
          <w:rFonts w:eastAsia="Times New Roman" w:hint="cs"/>
          <w:rtl/>
        </w:rPr>
        <w:t>):</w:t>
      </w:r>
      <w:r>
        <w:rPr>
          <w:rFonts w:eastAsia="Times New Roman" w:hint="cs"/>
          <w:rtl/>
        </w:rPr>
        <w:t xml:space="preserve"> وبأنه تعالى حي بحياة واحدة وجودية قديمة ذاتية باقية</w:t>
      </w:r>
      <w:r w:rsidR="000636C2">
        <w:rPr>
          <w:rFonts w:eastAsia="Times New Roman" w:hint="cs"/>
          <w:rtl/>
        </w:rPr>
        <w:t>،</w:t>
      </w:r>
      <w:r>
        <w:rPr>
          <w:rFonts w:eastAsia="Times New Roman" w:hint="cs"/>
          <w:rtl/>
        </w:rPr>
        <w:t xml:space="preserve"> وبأنه تعالى سميع بصير بسمع وبصر قديمين ذاتيين وجوديين متعلقين بكل مسموع ومبصر</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الكلام</w:t>
      </w:r>
      <w:r w:rsidR="000636C2">
        <w:rPr>
          <w:rFonts w:eastAsia="Times New Roman" w:hint="cs"/>
          <w:rtl/>
        </w:rPr>
        <w:t>):</w:t>
      </w:r>
      <w:r>
        <w:rPr>
          <w:rFonts w:eastAsia="Times New Roman" w:hint="cs"/>
          <w:rtl/>
        </w:rPr>
        <w:t xml:space="preserve"> وبأنه تعالى قائل ومتكلم بكلام قديم ذاتي وجودي غير مخلوق ولا محدث ولا حادث بلا تمثيل ولا تشبيه ولا تكييف</w:t>
      </w:r>
      <w:r w:rsidR="000636C2">
        <w:rPr>
          <w:rFonts w:eastAsia="Times New Roman" w:hint="cs"/>
          <w:rtl/>
        </w:rPr>
        <w:t>،</w:t>
      </w:r>
      <w:r>
        <w:rPr>
          <w:rFonts w:eastAsia="Times New Roman" w:hint="cs"/>
          <w:rtl/>
        </w:rPr>
        <w:t xml:space="preserve"> .. فصل</w:t>
      </w:r>
      <w:r w:rsidR="000636C2">
        <w:rPr>
          <w:rFonts w:eastAsia="Times New Roman" w:hint="cs"/>
          <w:rtl/>
        </w:rPr>
        <w:t>:</w:t>
      </w:r>
      <w:r>
        <w:rPr>
          <w:rFonts w:eastAsia="Times New Roman"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sidR="000636C2">
        <w:rPr>
          <w:rFonts w:eastAsia="Times New Roman" w:hint="cs"/>
          <w:rtl/>
        </w:rPr>
        <w:t>،</w:t>
      </w:r>
      <w:r>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0636C2">
        <w:rPr>
          <w:rFonts w:eastAsia="Times New Roman" w:hint="cs"/>
          <w:rtl/>
        </w:rPr>
        <w:t>،</w:t>
      </w:r>
      <w:r>
        <w:rPr>
          <w:rFonts w:eastAsia="Times New Roman" w:hint="cs"/>
          <w:rtl/>
        </w:rPr>
        <w:t xml:space="preserve"> وعلى كل حال مهما خطر بالبال أو توهمه الخيال فهو بخلاف ذي الإكرام والجلال</w:t>
      </w:r>
      <w:r w:rsidR="000636C2">
        <w:rPr>
          <w:rFonts w:eastAsia="Times New Roman" w:hint="cs"/>
          <w:rtl/>
        </w:rPr>
        <w:t>)</w:t>
      </w:r>
      <w:r>
        <w:rPr>
          <w:rFonts w:eastAsia="Times New Roman" w:hint="cs"/>
          <w:rtl/>
        </w:rPr>
        <w:t xml:space="preserve"> أهـ</w:t>
      </w:r>
    </w:p>
    <w:p w14:paraId="4E230996" w14:textId="77777777" w:rsidR="009C32A0" w:rsidRDefault="009C32A0" w:rsidP="000636C2">
      <w:pPr>
        <w:ind w:left="-58"/>
        <w:jc w:val="center"/>
        <w:rPr>
          <w:b/>
          <w:rtl/>
        </w:rPr>
      </w:pPr>
      <w:r>
        <w:rPr>
          <w:rFonts w:hint="cs"/>
          <w:rtl/>
        </w:rPr>
        <w:t>***</w:t>
      </w:r>
    </w:p>
    <w:p w14:paraId="3133A5EC" w14:textId="77777777" w:rsidR="009C32A0" w:rsidRDefault="009C32A0" w:rsidP="000636C2">
      <w:pPr>
        <w:ind w:left="-58"/>
        <w:jc w:val="center"/>
        <w:rPr>
          <w:rFonts w:cs="Monotype Koufi"/>
          <w:rtl/>
        </w:rPr>
      </w:pPr>
      <w:r>
        <w:rPr>
          <w:rFonts w:cs="Monotype Koufi" w:hint="cs"/>
          <w:rtl/>
        </w:rPr>
        <w:t>الأثرية على وفاق تام مع الأشاعرة والماتريدية في أصول العقيدة</w:t>
      </w:r>
    </w:p>
    <w:p w14:paraId="25710DD3" w14:textId="1AD3FFE4" w:rsidR="009C32A0" w:rsidRDefault="009C32A0" w:rsidP="000636C2">
      <w:pPr>
        <w:ind w:left="-58"/>
        <w:rPr>
          <w:b/>
          <w:lang w:bidi="ar-KW"/>
        </w:rPr>
      </w:pPr>
      <w:r>
        <w:rPr>
          <w:rFonts w:hint="cs"/>
          <w:rtl/>
          <w:lang w:bidi="ar-KW"/>
        </w:rPr>
        <w:lastRenderedPageBreak/>
        <w:t>لذلك يذكر المحققون من العلماء أن هذه الطوائف الثلاث تمثل أهل السنّة والجماعة في باب العقيدة</w:t>
      </w:r>
      <w:r w:rsidR="000636C2">
        <w:rPr>
          <w:rFonts w:hint="cs"/>
          <w:rtl/>
          <w:lang w:bidi="ar-KW"/>
        </w:rPr>
        <w:t>،</w:t>
      </w:r>
      <w:r>
        <w:rPr>
          <w:rFonts w:hint="cs"/>
          <w:rtl/>
          <w:lang w:bidi="ar-KW"/>
        </w:rPr>
        <w:t xml:space="preserve"> قال الإمام تاج الدين السبكي رحمه الله تعالى (إتحاف السادة المتقين 2/6)</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اعلم أن أهل السنة والجماعة كلهم قد اتفقوا على معتقد واحد فيما يجب ويجوز ويستحيل، وإن اختلفوا في الطرق والمبادئ الموصلة لذلك، أو في لِميّة ما هنالك</w:t>
      </w:r>
      <w:r w:rsidR="000636C2">
        <w:rPr>
          <w:rFonts w:hint="cs"/>
          <w:rtl/>
          <w:lang w:bidi="ar-KW"/>
        </w:rPr>
        <w:t>،</w:t>
      </w:r>
      <w:r>
        <w:rPr>
          <w:rFonts w:hint="cs"/>
          <w:rtl/>
          <w:lang w:bidi="ar-KW"/>
        </w:rPr>
        <w:t xml:space="preserve"> وبالجملة فهم بالاستقراء ثلاث طوائف: </w:t>
      </w:r>
      <w:r w:rsidR="000636C2">
        <w:rPr>
          <w:rFonts w:hint="cs"/>
          <w:rtl/>
          <w:lang w:bidi="ar-KW"/>
        </w:rPr>
        <w:t>(</w:t>
      </w:r>
      <w:r>
        <w:rPr>
          <w:rFonts w:hint="cs"/>
          <w:rtl/>
          <w:lang w:bidi="ar-KW"/>
        </w:rPr>
        <w:t>الأولى</w:t>
      </w:r>
      <w:r w:rsidR="000636C2">
        <w:rPr>
          <w:rFonts w:hint="cs"/>
          <w:rtl/>
          <w:lang w:bidi="ar-KW"/>
        </w:rPr>
        <w:t>):</w:t>
      </w:r>
      <w:r>
        <w:rPr>
          <w:rFonts w:hint="cs"/>
          <w:rtl/>
          <w:lang w:bidi="ar-KW"/>
        </w:rPr>
        <w:t xml:space="preserve"> أهل الحديث ومعتمد مباديهم الأدلة السمعية</w:t>
      </w:r>
      <w:r w:rsidR="000636C2">
        <w:rPr>
          <w:rFonts w:hint="cs"/>
          <w:rtl/>
          <w:lang w:bidi="ar-KW"/>
        </w:rPr>
        <w:t>،</w:t>
      </w:r>
      <w:r>
        <w:rPr>
          <w:rFonts w:hint="cs"/>
          <w:rtl/>
          <w:lang w:bidi="ar-KW"/>
        </w:rPr>
        <w:t xml:space="preserve"> أعني الكتاب والسنة والإجماع</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الثانية</w:t>
      </w:r>
      <w:r w:rsidR="000636C2">
        <w:rPr>
          <w:rFonts w:hint="cs"/>
          <w:rtl/>
          <w:lang w:bidi="ar-KW"/>
        </w:rPr>
        <w:t>):</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sidR="000636C2">
        <w:rPr>
          <w:rFonts w:hint="cs"/>
          <w:rtl/>
          <w:lang w:bidi="ar-KW"/>
        </w:rPr>
        <w:t>(</w:t>
      </w:r>
      <w:r>
        <w:rPr>
          <w:rFonts w:hint="cs"/>
          <w:rtl/>
          <w:lang w:bidi="ar-KW"/>
        </w:rPr>
        <w:t>الثالثة</w:t>
      </w:r>
      <w:r w:rsidR="000636C2">
        <w:rPr>
          <w:rFonts w:hint="cs"/>
          <w:rtl/>
          <w:lang w:bidi="ar-KW"/>
        </w:rPr>
        <w:t>):</w:t>
      </w:r>
      <w:r>
        <w:rPr>
          <w:rFonts w:hint="cs"/>
          <w:rtl/>
          <w:lang w:bidi="ar-KW"/>
        </w:rPr>
        <w:t xml:space="preserve"> أهل الوجدان والكشف، وهم الصوفية، ومباديهم مبادئ أهل النظر والحديث في البداية، والكشف والإلهام في النهاية</w:t>
      </w:r>
      <w:r w:rsidR="000636C2">
        <w:rPr>
          <w:rFonts w:hint="cs"/>
          <w:rtl/>
          <w:lang w:bidi="ar-KW"/>
        </w:rPr>
        <w:t>)</w:t>
      </w:r>
      <w:r>
        <w:rPr>
          <w:rFonts w:hint="cs"/>
          <w:rtl/>
          <w:lang w:bidi="ar-KW"/>
        </w:rPr>
        <w:t xml:space="preserve"> اهـ</w:t>
      </w:r>
      <w:r w:rsidR="000636C2">
        <w:rPr>
          <w:rFonts w:hint="cs"/>
          <w:rtl/>
          <w:lang w:bidi="ar-KW"/>
        </w:rPr>
        <w:t>،</w:t>
      </w:r>
      <w:r>
        <w:rPr>
          <w:rFonts w:hint="cs"/>
          <w:rtl/>
          <w:lang w:bidi="ar-KW"/>
        </w:rPr>
        <w:t xml:space="preserve"> وقال الإمام عضد الدين الإيجي - رحمه الله تعالى - في بيان الفرقة الناجية، بعد أن عدد فرق الهالكين (المواقف ص 430)</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 xml:space="preserve">وأما الفرقة الناجية المستثناة الذين قال النبي ـ </w:t>
      </w:r>
      <w:r>
        <w:rPr>
          <w:rFonts w:hint="cs"/>
          <w:rtl/>
        </w:rPr>
        <w:t xml:space="preserve">صلى الله عليه وسلم </w:t>
      </w:r>
      <w:r>
        <w:rPr>
          <w:rFonts w:hint="cs"/>
          <w:rtl/>
          <w:lang w:bidi="ar-KW"/>
        </w:rPr>
        <w:t>ـ فيهم "هم الذين على ما أنا عليه وأصحابي" فهم الأشاعرة والسلف من المحدثين وأهل السنة والجماعة، ومذهبهم خالٍ من بدع هؤلاء</w:t>
      </w:r>
      <w:r w:rsidR="000636C2">
        <w:rPr>
          <w:rFonts w:hint="cs"/>
          <w:rtl/>
          <w:lang w:bidi="ar-KW"/>
        </w:rPr>
        <w:t>)</w:t>
      </w:r>
      <w:r>
        <w:rPr>
          <w:rFonts w:hint="cs"/>
          <w:rtl/>
          <w:lang w:bidi="ar-KW"/>
        </w:rPr>
        <w:t xml:space="preserve"> اهـ</w:t>
      </w:r>
      <w:r w:rsidR="000636C2">
        <w:rPr>
          <w:rFonts w:hint="cs"/>
          <w:rtl/>
          <w:lang w:bidi="ar-KW"/>
        </w:rPr>
        <w:t>،</w:t>
      </w:r>
      <w:r>
        <w:rPr>
          <w:rFonts w:hint="cs"/>
          <w:rtl/>
          <w:lang w:bidi="ar-KW"/>
        </w:rPr>
        <w:t xml:space="preserve"> وقال الإمام عبد القاهر البغدادي رحمه الله </w:t>
      </w:r>
      <w:r w:rsidR="000636C2">
        <w:rPr>
          <w:rFonts w:hint="cs"/>
          <w:rtl/>
          <w:lang w:bidi="ar-KW"/>
        </w:rPr>
        <w:t>(</w:t>
      </w:r>
      <w:r>
        <w:rPr>
          <w:rFonts w:hint="cs"/>
          <w:rtl/>
          <w:lang w:bidi="ar-KW"/>
        </w:rPr>
        <w:t>الفرق بين الفرق ص 19)</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 فأما الفرقة الثالثة والسبعون فهي أهل السنة والجماعة من فريقي الرأي والحديث دون من 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الظاهر ..</w:t>
      </w:r>
      <w:r w:rsidR="000636C2">
        <w:rPr>
          <w:rFonts w:hint="cs"/>
          <w:rtl/>
          <w:lang w:bidi="ar-KW"/>
        </w:rPr>
        <w:t>)</w:t>
      </w:r>
      <w:r>
        <w:rPr>
          <w:rFonts w:hint="cs"/>
          <w:rtl/>
          <w:lang w:bidi="ar-KW"/>
        </w:rPr>
        <w:t xml:space="preserve"> اهـ.</w:t>
      </w:r>
      <w:r w:rsidR="000636C2">
        <w:rPr>
          <w:rFonts w:hint="cs"/>
          <w:rtl/>
          <w:lang w:bidi="ar-KW"/>
        </w:rPr>
        <w:t>،</w:t>
      </w:r>
      <w:r>
        <w:rPr>
          <w:rFonts w:hint="cs"/>
          <w:rtl/>
          <w:lang w:bidi="ar-KW"/>
        </w:rPr>
        <w:t xml:space="preserve"> وقال العلامة السفاريني الحنبلي رحمه الله تعالى (لوامع الأنوار البهية 1 / 73): أهل السنة والجماعة ثلاث فرق</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الأثرية</w:t>
      </w:r>
      <w:r w:rsidR="000636C2">
        <w:rPr>
          <w:rFonts w:hint="cs"/>
          <w:rtl/>
          <w:lang w:bidi="ar-KW"/>
        </w:rPr>
        <w:t>)،</w:t>
      </w:r>
      <w:r>
        <w:rPr>
          <w:rFonts w:hint="cs"/>
          <w:rtl/>
          <w:lang w:bidi="ar-KW"/>
        </w:rPr>
        <w:t xml:space="preserve"> وإمامهم أحمد بن حنبل رضي الله عنه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الأشعرية</w:t>
      </w:r>
      <w:r w:rsidR="000636C2">
        <w:rPr>
          <w:rFonts w:hint="cs"/>
          <w:rtl/>
          <w:lang w:bidi="ar-KW"/>
        </w:rPr>
        <w:t>)،</w:t>
      </w:r>
      <w:r>
        <w:rPr>
          <w:rFonts w:hint="cs"/>
          <w:rtl/>
          <w:lang w:bidi="ar-KW"/>
        </w:rPr>
        <w:t xml:space="preserve"> وإمامهم أبو الحسن الأشعري رحمه الله</w:t>
      </w:r>
      <w:r w:rsidR="000636C2">
        <w:rPr>
          <w:rFonts w:hint="cs"/>
          <w:rtl/>
          <w:lang w:bidi="ar-KW"/>
        </w:rPr>
        <w:t>،</w:t>
      </w:r>
      <w:r>
        <w:rPr>
          <w:rFonts w:hint="cs"/>
          <w:rtl/>
          <w:lang w:bidi="ar-KW"/>
        </w:rPr>
        <w:t xml:space="preserve"> و </w:t>
      </w:r>
      <w:r w:rsidR="000636C2">
        <w:rPr>
          <w:rFonts w:hint="cs"/>
          <w:rtl/>
          <w:lang w:bidi="ar-KW"/>
        </w:rPr>
        <w:t>(</w:t>
      </w:r>
      <w:r>
        <w:rPr>
          <w:rFonts w:hint="cs"/>
          <w:rtl/>
          <w:lang w:bidi="ar-KW"/>
        </w:rPr>
        <w:t>الماتريدية</w:t>
      </w:r>
      <w:r w:rsidR="000636C2">
        <w:rPr>
          <w:rFonts w:hint="cs"/>
          <w:rtl/>
          <w:lang w:bidi="ar-KW"/>
        </w:rPr>
        <w:t>)،</w:t>
      </w:r>
      <w:r>
        <w:rPr>
          <w:rFonts w:hint="cs"/>
          <w:rtl/>
          <w:lang w:bidi="ar-KW"/>
        </w:rPr>
        <w:t xml:space="preserve"> وإمامهم أبو منصور الماتريدي رحمه الله تعالى) اهـ.</w:t>
      </w:r>
      <w:r w:rsidR="000636C2">
        <w:rPr>
          <w:rFonts w:hint="cs"/>
          <w:rtl/>
          <w:lang w:bidi="ar-KW"/>
        </w:rPr>
        <w:t>،</w:t>
      </w:r>
      <w:r>
        <w:rPr>
          <w:rFonts w:hint="cs"/>
          <w:rtl/>
          <w:lang w:bidi="ar-KW"/>
        </w:rPr>
        <w:t xml:space="preserve"> وقال العـلامة ابن الشطي الحنبلي - رحمه الله تعالى - في شرحـه على العقيـدة السفارينية (تبصير القانع في الجمع بين شرحي ابن شطي وابن مانع على العقيدة السفارينية، الصفحة / 73)</w:t>
      </w:r>
      <w:r w:rsidR="000636C2">
        <w:rPr>
          <w:rFonts w:hint="cs"/>
          <w:rtl/>
          <w:lang w:bidi="ar-KW"/>
        </w:rPr>
        <w:t>:</w:t>
      </w:r>
      <w:r>
        <w:rPr>
          <w:rFonts w:hint="cs"/>
          <w:rtl/>
          <w:lang w:bidi="ar-KW"/>
        </w:rPr>
        <w:t xml:space="preserve"> (قال بعض العلماء هم - يعني الفرقة الناجية - أهل الحديث يعني الأثرية والأشعرية والماتريدية) ثم قال بعد ذلك بأسطر: (فائدة: أهل السنة والجماعة ثلاث فرق، الأثرية وإمامهم الإمام أحمد رضي الله عنه</w:t>
      </w:r>
      <w:r w:rsidR="000636C2">
        <w:rPr>
          <w:rFonts w:hint="cs"/>
          <w:rtl/>
          <w:lang w:bidi="ar-KW"/>
        </w:rPr>
        <w:t>،</w:t>
      </w:r>
      <w:r>
        <w:rPr>
          <w:rFonts w:hint="cs"/>
          <w:rtl/>
          <w:lang w:bidi="ar-KW"/>
        </w:rPr>
        <w:t xml:space="preserve"> والأشعرية وإمامهم أبو الحسن الأشعري رحمه الله تعالى</w:t>
      </w:r>
      <w:r w:rsidR="000636C2">
        <w:rPr>
          <w:rFonts w:hint="cs"/>
          <w:rtl/>
          <w:lang w:bidi="ar-KW"/>
        </w:rPr>
        <w:t>،</w:t>
      </w:r>
      <w:r>
        <w:rPr>
          <w:rFonts w:hint="cs"/>
          <w:rtl/>
          <w:lang w:bidi="ar-KW"/>
        </w:rPr>
        <w:t xml:space="preserve"> والماتريدية وإمامهم أبو منصور الماتريدي رحمه الله تعالى</w:t>
      </w:r>
      <w:r w:rsidR="000636C2">
        <w:rPr>
          <w:rFonts w:hint="cs"/>
          <w:rtl/>
          <w:lang w:bidi="ar-KW"/>
        </w:rPr>
        <w:t>)</w:t>
      </w:r>
      <w:r>
        <w:rPr>
          <w:rFonts w:hint="cs"/>
          <w:rtl/>
          <w:lang w:bidi="ar-KW"/>
        </w:rPr>
        <w:t xml:space="preserve"> اهـ</w:t>
      </w:r>
      <w:r w:rsidR="000636C2">
        <w:rPr>
          <w:rFonts w:hint="cs"/>
          <w:rtl/>
          <w:lang w:bidi="ar-KW"/>
        </w:rPr>
        <w:t>،</w:t>
      </w:r>
      <w:r>
        <w:rPr>
          <w:rFonts w:hint="cs"/>
          <w:rtl/>
          <w:lang w:bidi="ar-KW"/>
        </w:rPr>
        <w:t xml:space="preserve"> </w:t>
      </w:r>
      <w:r>
        <w:rPr>
          <w:rFonts w:hint="cs"/>
          <w:rtl/>
          <w:lang w:bidi="ar-KW"/>
        </w:rPr>
        <w:lastRenderedPageBreak/>
        <w:t>وقال علامة الكويت الشيخ عبد الله بن خلف الدحيان - رحمه الله تعالى - تعليقا على تقسيم السفاريني لأهل السنة إلى ثلاث فرق</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 xml:space="preserve">فإذا قلت: لفظ الحديـث يقتضـي عدم التعْدِيَة حيث قـال فيه </w:t>
      </w:r>
      <w:r>
        <w:rPr>
          <w:rFonts w:hint="cs"/>
          <w:rtl/>
        </w:rPr>
        <w:t>صلى الله عليه وسلم</w:t>
      </w:r>
      <w:r>
        <w:rPr>
          <w:rFonts w:hint="cs"/>
          <w:rtl/>
          <w:lang w:bidi="ar-KW"/>
        </w:rPr>
        <w:t xml:space="preserve"> " ستفترق أمتي على بضع وسبعين فرقة كلهم في النار إلا فرقة واحدة وهي ما كان على ما أنا عليه وأصحابي " فالجواب: أن الثلاث فرق هي فرقة واحدة لأنهم كلهم أهل الحديث</w:t>
      </w:r>
      <w:r w:rsidR="000636C2">
        <w:rPr>
          <w:rFonts w:hint="cs"/>
          <w:rtl/>
          <w:lang w:bidi="ar-KW"/>
        </w:rPr>
        <w:t>،</w:t>
      </w:r>
      <w:r>
        <w:rPr>
          <w:rFonts w:hint="cs"/>
          <w:rtl/>
          <w:lang w:bidi="ar-KW"/>
        </w:rPr>
        <w:t xml:space="preserve"> فإن الأشاعرة والماتريدية لم يردوا الأحاديث ولا أهملوها، فإمّا فوضوها وإمّا أوّلوها، وكل منهـم أهـل حديث، وحينئذ فالثلاث فرقة واحدة</w:t>
      </w:r>
      <w:r w:rsidR="000636C2">
        <w:rPr>
          <w:rFonts w:hint="cs"/>
          <w:rtl/>
          <w:lang w:bidi="ar-KW"/>
        </w:rPr>
        <w:t>،</w:t>
      </w:r>
      <w:r>
        <w:rPr>
          <w:rFonts w:hint="cs"/>
          <w:rtl/>
          <w:lang w:bidi="ar-KW"/>
        </w:rPr>
        <w:t xml:space="preserve"> لاقتفائهم الأخبار وانتحالهم الآثار، بخلاف باقي الفرق فإنهم حكّموا العقول وخالفوا المنقول فهم أهل بدعة وضلالة ومخالفة وجهالة والله تعالى أعلم</w:t>
      </w:r>
      <w:r w:rsidR="000636C2">
        <w:rPr>
          <w:rFonts w:hint="cs"/>
          <w:rtl/>
          <w:lang w:bidi="ar-KW"/>
        </w:rPr>
        <w:t>)</w:t>
      </w:r>
      <w:r>
        <w:rPr>
          <w:rFonts w:hint="cs"/>
          <w:rtl/>
          <w:lang w:bidi="ar-KW"/>
        </w:rPr>
        <w:t xml:space="preserve"> اهـ. (تبصير القائع ص / 73)</w:t>
      </w:r>
      <w:r w:rsidR="000636C2">
        <w:rPr>
          <w:rFonts w:hint="cs"/>
          <w:rtl/>
          <w:lang w:bidi="ar-KW"/>
        </w:rPr>
        <w:t>،</w:t>
      </w:r>
      <w:r>
        <w:rPr>
          <w:rFonts w:hint="cs"/>
          <w:rtl/>
          <w:lang w:bidi="ar-KW"/>
        </w:rPr>
        <w:t xml:space="preserve"> وقال الشيخ العلامة الحنبلي محمد بن علي بن سلوم رحمه الله تعالى في شرحه على العقيدة السفارينية مثل ذلك. (شرح الدرة المضية، الصفحة / 58)</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قلت</w:t>
      </w:r>
      <w:r w:rsidR="000636C2">
        <w:rPr>
          <w:rFonts w:hint="cs"/>
          <w:rtl/>
          <w:lang w:bidi="ar-KW"/>
        </w:rPr>
        <w:t>:</w:t>
      </w:r>
      <w:r>
        <w:rPr>
          <w:rFonts w:hint="cs"/>
          <w:rtl/>
          <w:lang w:bidi="ar-KW"/>
        </w:rPr>
        <w:t xml:space="preserve"> انظر كتاب </w:t>
      </w:r>
      <w:r>
        <w:rPr>
          <w:rFonts w:hint="cs"/>
          <w:rtl/>
        </w:rPr>
        <w:t>أهل السنة الأشاعرة شهادة علماء الأمة وأدلتهم</w:t>
      </w:r>
      <w:r w:rsidR="000636C2">
        <w:rPr>
          <w:rFonts w:hint="cs"/>
          <w:rtl/>
        </w:rPr>
        <w:t>،</w:t>
      </w:r>
      <w:r>
        <w:rPr>
          <w:rFonts w:hint="cs"/>
          <w:rtl/>
        </w:rPr>
        <w:t xml:space="preserve"> جمع وإعداد حمد سنان وفوزي العنجري</w:t>
      </w:r>
      <w:r w:rsidR="000636C2">
        <w:rPr>
          <w:rFonts w:hint="cs"/>
          <w:rtl/>
          <w:lang w:bidi="ar-KW"/>
        </w:rPr>
        <w:t>:</w:t>
      </w:r>
      <w:r>
        <w:rPr>
          <w:rFonts w:hint="cs"/>
          <w:rtl/>
          <w:lang w:bidi="ar-KW"/>
        </w:rPr>
        <w:t xml:space="preserve"> مبحث أهل السنة والجماعة فيه نقول عديدة تثبت الوفاق بين طوائف أهل السنّة الثلاث الأثرية والأشاعرة والماتريدية</w:t>
      </w:r>
      <w:r w:rsidR="000636C2">
        <w:rPr>
          <w:rFonts w:hint="cs"/>
          <w:rtl/>
          <w:lang w:bidi="ar-KW"/>
        </w:rPr>
        <w:t>]،</w:t>
      </w:r>
    </w:p>
    <w:p w14:paraId="7D2C2F3D" w14:textId="77777777" w:rsidR="009C32A0" w:rsidRDefault="009C32A0" w:rsidP="000636C2">
      <w:pPr>
        <w:ind w:left="-58"/>
        <w:jc w:val="center"/>
        <w:rPr>
          <w:b/>
          <w:rtl/>
          <w:lang w:bidi="ar-KW"/>
        </w:rPr>
      </w:pPr>
      <w:r>
        <w:rPr>
          <w:rFonts w:hint="cs"/>
          <w:rtl/>
          <w:lang w:bidi="ar-KW"/>
        </w:rPr>
        <w:t xml:space="preserve">*** </w:t>
      </w:r>
    </w:p>
    <w:p w14:paraId="231D4454" w14:textId="77777777" w:rsidR="009C32A0" w:rsidRDefault="009C32A0" w:rsidP="000636C2">
      <w:pPr>
        <w:ind w:left="-58"/>
        <w:jc w:val="center"/>
        <w:rPr>
          <w:rFonts w:cs="Monotype Koufi"/>
          <w:b/>
          <w:rtl/>
        </w:rPr>
      </w:pPr>
      <w:r>
        <w:rPr>
          <w:rFonts w:cs="Monotype Koufi" w:hint="cs"/>
          <w:rtl/>
        </w:rPr>
        <w:t>الفرق كبير بين الأثرية والحشوية</w:t>
      </w:r>
    </w:p>
    <w:p w14:paraId="34D30616" w14:textId="77777777" w:rsidR="009C32A0" w:rsidRDefault="009C32A0" w:rsidP="000636C2">
      <w:pPr>
        <w:ind w:left="-58"/>
        <w:jc w:val="center"/>
        <w:rPr>
          <w:rFonts w:cs="Monotype Koufi"/>
          <w:b/>
          <w:rtl/>
        </w:rPr>
      </w:pPr>
      <w:r>
        <w:rPr>
          <w:rFonts w:cs="Monotype Koufi" w:hint="cs"/>
          <w:rtl/>
        </w:rPr>
        <w:t>فالأثرية طائفة من طوائف أهل السنّة والجماعة أمّا الحشوية فهي فرقة ضالة</w:t>
      </w:r>
    </w:p>
    <w:p w14:paraId="1E9D3CFB" w14:textId="5B60E97D" w:rsidR="009C32A0" w:rsidRDefault="009C32A0" w:rsidP="000636C2">
      <w:pPr>
        <w:ind w:left="-58"/>
        <w:rPr>
          <w:b/>
          <w:rtl/>
        </w:rPr>
      </w:pPr>
      <w:r>
        <w:rPr>
          <w:rFonts w:hint="cs"/>
          <w:rtl/>
        </w:rPr>
        <w:t>بل لا تصح المقارنة أصلاً</w:t>
      </w:r>
      <w:r w:rsidR="000636C2">
        <w:rPr>
          <w:rFonts w:hint="cs"/>
          <w:rtl/>
        </w:rPr>
        <w:t>،</w:t>
      </w:r>
      <w:r>
        <w:rPr>
          <w:rFonts w:hint="cs"/>
          <w:rtl/>
        </w:rPr>
        <w:t xml:space="preserve"> فإنّ الأثرية لديهم من قواعد التقديس والتنزيه ما يمنعهم من الحشو والخوض في ذات الله تعالى وصفاته بما لا يليق</w:t>
      </w:r>
      <w:r w:rsidR="000636C2">
        <w:rPr>
          <w:rFonts w:hint="cs"/>
          <w:rtl/>
        </w:rPr>
        <w:t>،</w:t>
      </w:r>
      <w:r>
        <w:rPr>
          <w:rFonts w:hint="cs"/>
          <w:rtl/>
        </w:rPr>
        <w:t xml:space="preserve"> ولذلك نجدهم عند متشابهات الصفات يرون تفويض علم هذا المتشابه إلى الله</w:t>
      </w:r>
      <w:r w:rsidR="000636C2">
        <w:rPr>
          <w:rFonts w:hint="cs"/>
          <w:rtl/>
        </w:rPr>
        <w:t>،</w:t>
      </w:r>
      <w:r>
        <w:rPr>
          <w:rFonts w:hint="cs"/>
          <w:rtl/>
        </w:rPr>
        <w:t xml:space="preserve"> لأنّ ظاهره يوحي بما هو محال على الله تعالى من نسبة الأجزاء والأبعاض والجوارح إلى ذات الله تعالى</w:t>
      </w:r>
      <w:r w:rsidR="000636C2">
        <w:rPr>
          <w:rFonts w:hint="cs"/>
          <w:rtl/>
        </w:rPr>
        <w:t>،</w:t>
      </w:r>
      <w:r>
        <w:rPr>
          <w:rFonts w:hint="cs"/>
          <w:rtl/>
        </w:rPr>
        <w:t xml:space="preserve"> أو نسبة الحوادث من الحركة والسكون إلى الله تعالى القديم المنزه عن الحوادث</w:t>
      </w:r>
      <w:r w:rsidR="000636C2">
        <w:rPr>
          <w:rFonts w:hint="cs"/>
          <w:rtl/>
        </w:rPr>
        <w:t>،</w:t>
      </w:r>
      <w:r>
        <w:rPr>
          <w:rFonts w:hint="cs"/>
          <w:rtl/>
        </w:rPr>
        <w:t xml:space="preserve"> وأما الحشوية فليست لديهم قواعد للتنزيه ولا هم يعلمون من علم التقديس ما يردعهم عن الخوض في ذات الله تعالى وصفاته بما لا يليق</w:t>
      </w:r>
      <w:r w:rsidR="000636C2">
        <w:rPr>
          <w:rFonts w:hint="cs"/>
          <w:rtl/>
        </w:rPr>
        <w:t>،</w:t>
      </w:r>
      <w:r>
        <w:rPr>
          <w:rFonts w:hint="cs"/>
          <w:rtl/>
        </w:rPr>
        <w:t xml:space="preserve"> وهم لا يفرقون بين المحكم والمتشابه</w:t>
      </w:r>
      <w:r w:rsidR="000636C2">
        <w:rPr>
          <w:rFonts w:hint="cs"/>
          <w:rtl/>
        </w:rPr>
        <w:t xml:space="preserve">، </w:t>
      </w:r>
      <w:r>
        <w:rPr>
          <w:rFonts w:hint="cs"/>
          <w:rtl/>
        </w:rPr>
        <w:t>وهم يرون اثبات المعنى الظاهر للمتشابهات وتفويض الكيفية إلى الله</w:t>
      </w:r>
      <w:r w:rsidR="000636C2">
        <w:rPr>
          <w:rFonts w:hint="cs"/>
          <w:rtl/>
        </w:rPr>
        <w:t>،</w:t>
      </w:r>
      <w:r>
        <w:rPr>
          <w:rFonts w:hint="cs"/>
          <w:rtl/>
        </w:rPr>
        <w:t xml:space="preserve"> وكلاهما </w:t>
      </w:r>
      <w:r w:rsidR="000636C2">
        <w:rPr>
          <w:rFonts w:hint="cs"/>
          <w:rtl/>
        </w:rPr>
        <w:t>(</w:t>
      </w:r>
      <w:r>
        <w:rPr>
          <w:rFonts w:hint="cs"/>
          <w:rtl/>
        </w:rPr>
        <w:t>الأثرية والحشوية</w:t>
      </w:r>
      <w:r w:rsidR="000636C2">
        <w:rPr>
          <w:rFonts w:hint="cs"/>
          <w:rtl/>
        </w:rPr>
        <w:t>)</w:t>
      </w:r>
      <w:r>
        <w:rPr>
          <w:rFonts w:hint="cs"/>
          <w:rtl/>
        </w:rPr>
        <w:t xml:space="preserve"> يتنازعان الانتساب إلى الإمام أحمد ابن حنبل رحمه الله</w:t>
      </w:r>
      <w:r w:rsidR="000636C2">
        <w:rPr>
          <w:rFonts w:hint="cs"/>
          <w:rtl/>
        </w:rPr>
        <w:t>،</w:t>
      </w:r>
      <w:r>
        <w:rPr>
          <w:rFonts w:hint="cs"/>
          <w:rtl/>
        </w:rPr>
        <w:t xml:space="preserve"> وقد جزم الحافظ ابن الجوزي أحد أكبر أعلام الحنابلة في القرن الخامس</w:t>
      </w:r>
      <w:r w:rsidR="000636C2">
        <w:rPr>
          <w:rFonts w:hint="cs"/>
          <w:rtl/>
        </w:rPr>
        <w:t>،</w:t>
      </w:r>
      <w:r>
        <w:rPr>
          <w:rFonts w:hint="cs"/>
          <w:rtl/>
        </w:rPr>
        <w:t xml:space="preserve"> وهو الإمام أبو الفرج عبد الرحمن بن أبي الحسن علي بن محمد</w:t>
      </w:r>
      <w:r>
        <w:t> </w:t>
      </w:r>
      <w:r>
        <w:rPr>
          <w:rFonts w:hint="cs"/>
          <w:rtl/>
        </w:rPr>
        <w:t>القرشي</w:t>
      </w:r>
      <w:r>
        <w:t> </w:t>
      </w:r>
      <w:r>
        <w:rPr>
          <w:rFonts w:hint="cs"/>
          <w:rtl/>
        </w:rPr>
        <w:t>التيمي البكري ينتهي نسبه إلى الصديق ابي بكر رضي الله عنه</w:t>
      </w:r>
      <w:r w:rsidR="000636C2">
        <w:rPr>
          <w:rFonts w:hint="cs"/>
          <w:rtl/>
        </w:rPr>
        <w:t>:</w:t>
      </w:r>
      <w:r>
        <w:rPr>
          <w:rFonts w:hint="cs"/>
          <w:rtl/>
        </w:rPr>
        <w:t xml:space="preserve"> أنّ الإمام أحمد رحمه الله تعالى كان على تفويض علم المتشابه إلى </w:t>
      </w:r>
      <w:r>
        <w:rPr>
          <w:rFonts w:hint="cs"/>
          <w:rtl/>
        </w:rPr>
        <w:lastRenderedPageBreak/>
        <w:t>الله</w:t>
      </w:r>
      <w:r w:rsidR="000636C2">
        <w:rPr>
          <w:rFonts w:hint="cs"/>
          <w:rtl/>
        </w:rPr>
        <w:t>،</w:t>
      </w:r>
      <w:r>
        <w:rPr>
          <w:rFonts w:hint="cs"/>
          <w:rtl/>
        </w:rPr>
        <w:t xml:space="preserve"> وهو على ذلك كان أثرياً</w:t>
      </w:r>
      <w:r w:rsidR="000636C2">
        <w:rPr>
          <w:rFonts w:hint="cs"/>
          <w:rtl/>
        </w:rPr>
        <w:t>،</w:t>
      </w:r>
      <w:r>
        <w:rPr>
          <w:rFonts w:hint="cs"/>
          <w:rtl/>
        </w:rPr>
        <w:t xml:space="preserve"> وهاجم كل من خالف ذلك من الحنابلة</w:t>
      </w:r>
      <w:r w:rsidR="000636C2">
        <w:rPr>
          <w:rFonts w:hint="cs"/>
          <w:rtl/>
        </w:rPr>
        <w:t>،</w:t>
      </w:r>
      <w:r>
        <w:rPr>
          <w:rFonts w:hint="cs"/>
          <w:rtl/>
        </w:rPr>
        <w:t xml:space="preserve"> واتهمهم بالإساءة إلى الإمام أحمد وإلى مذهبه</w:t>
      </w:r>
      <w:r w:rsidR="000636C2">
        <w:rPr>
          <w:rFonts w:hint="cs"/>
          <w:rtl/>
        </w:rPr>
        <w:t>،</w:t>
      </w:r>
      <w:r>
        <w:rPr>
          <w:rFonts w:hint="cs"/>
          <w:rtl/>
        </w:rPr>
        <w:t xml:space="preserve"> ودعا عليهم</w:t>
      </w:r>
      <w:r w:rsidR="000636C2">
        <w:rPr>
          <w:rFonts w:hint="cs"/>
          <w:rtl/>
        </w:rPr>
        <w:t>،</w:t>
      </w:r>
      <w:r>
        <w:rPr>
          <w:rFonts w:hint="cs"/>
          <w:rtl/>
        </w:rPr>
        <w:t xml:space="preserve"> وانظر كتابة الباز الأشهب في الرد على مخالفيه</w:t>
      </w:r>
      <w:r w:rsidR="000636C2">
        <w:rPr>
          <w:rFonts w:hint="cs"/>
          <w:rtl/>
        </w:rPr>
        <w:t>،</w:t>
      </w:r>
      <w:r>
        <w:rPr>
          <w:rFonts w:hint="cs"/>
          <w:rtl/>
        </w:rPr>
        <w:t xml:space="preserve"> وكانوا ثلاثة من شيوخ المذهب الحنبلي</w:t>
      </w:r>
      <w:r w:rsidR="000636C2">
        <w:rPr>
          <w:rFonts w:hint="cs"/>
          <w:rtl/>
        </w:rPr>
        <w:t>،</w:t>
      </w:r>
      <w:r>
        <w:rPr>
          <w:rFonts w:hint="cs"/>
          <w:rtl/>
        </w:rPr>
        <w:t xml:space="preserve"> وهم</w:t>
      </w:r>
      <w:r w:rsidR="000636C2">
        <w:rPr>
          <w:rFonts w:hint="cs"/>
          <w:rtl/>
        </w:rPr>
        <w:t xml:space="preserve">: </w:t>
      </w:r>
      <w:r>
        <w:rPr>
          <w:rFonts w:hint="cs"/>
          <w:rtl/>
        </w:rPr>
        <w:t>ابن حامد البغدادي</w:t>
      </w:r>
      <w:r w:rsidR="000636C2">
        <w:rPr>
          <w:rFonts w:hint="cs"/>
          <w:rtl/>
        </w:rPr>
        <w:t>،</w:t>
      </w:r>
      <w:r>
        <w:rPr>
          <w:rFonts w:hint="cs"/>
          <w:rtl/>
        </w:rPr>
        <w:t xml:space="preserve"> والقاضي أبو يعلى الفراء</w:t>
      </w:r>
      <w:r w:rsidR="000636C2">
        <w:rPr>
          <w:rFonts w:hint="cs"/>
          <w:rtl/>
        </w:rPr>
        <w:t>،</w:t>
      </w:r>
      <w:r>
        <w:rPr>
          <w:rFonts w:hint="cs"/>
          <w:rtl/>
        </w:rPr>
        <w:t xml:space="preserve"> وأبو الحسن ابن الزاغوني</w:t>
      </w:r>
      <w:r w:rsidR="000636C2">
        <w:rPr>
          <w:rFonts w:hint="cs"/>
          <w:rtl/>
        </w:rPr>
        <w:t>،</w:t>
      </w:r>
      <w:r>
        <w:rPr>
          <w:rFonts w:hint="cs"/>
          <w:rtl/>
        </w:rPr>
        <w:t xml:space="preserve"> واتهمهم بأنهم صنفوا كتبا شانوا بها مذهب الإمام أحمد بن حنبل</w:t>
      </w:r>
      <w:r w:rsidR="000636C2">
        <w:rPr>
          <w:rFonts w:hint="cs"/>
          <w:rtl/>
        </w:rPr>
        <w:t xml:space="preserve">، </w:t>
      </w:r>
      <w:r>
        <w:rPr>
          <w:rFonts w:hint="cs"/>
          <w:rtl/>
        </w:rPr>
        <w:t>وقال في خاتمة كتابه</w:t>
      </w:r>
      <w:r w:rsidR="000636C2">
        <w:rPr>
          <w:rFonts w:hint="cs"/>
          <w:rtl/>
        </w:rPr>
        <w:t>:</w:t>
      </w:r>
      <w:r>
        <w:rPr>
          <w:rFonts w:hint="cs"/>
          <w:rtl/>
        </w:rPr>
        <w:t xml:space="preserve">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w:t>
      </w:r>
      <w:r w:rsidR="000636C2">
        <w:rPr>
          <w:rFonts w:hint="cs"/>
          <w:rtl/>
        </w:rPr>
        <w:t xml:space="preserve"> </w:t>
      </w:r>
      <w:r>
        <w:rPr>
          <w:rFonts w:hint="cs"/>
          <w:rtl/>
        </w:rPr>
        <w:t>أهـ</w:t>
      </w:r>
      <w:r w:rsidR="000636C2">
        <w:rPr>
          <w:rFonts w:hint="cs"/>
          <w:rtl/>
        </w:rPr>
        <w:t>،</w:t>
      </w:r>
    </w:p>
    <w:p w14:paraId="11392B80" w14:textId="77777777" w:rsidR="009C32A0" w:rsidRDefault="009C32A0" w:rsidP="000636C2">
      <w:pPr>
        <w:ind w:left="-58"/>
        <w:jc w:val="center"/>
        <w:rPr>
          <w:b/>
          <w:rtl/>
          <w:lang w:bidi="ar-KW"/>
        </w:rPr>
      </w:pPr>
      <w:r>
        <w:rPr>
          <w:rFonts w:hint="cs"/>
          <w:rtl/>
          <w:lang w:bidi="ar-KW"/>
        </w:rPr>
        <w:t>***</w:t>
      </w:r>
    </w:p>
    <w:p w14:paraId="59467775" w14:textId="77777777" w:rsidR="009C32A0" w:rsidRDefault="009C32A0" w:rsidP="000636C2">
      <w:pPr>
        <w:ind w:left="-58"/>
        <w:jc w:val="center"/>
        <w:rPr>
          <w:rFonts w:cs="Monotype Koufi"/>
          <w:rtl/>
        </w:rPr>
      </w:pPr>
      <w:r>
        <w:rPr>
          <w:rFonts w:cs="Monotype Koufi" w:hint="cs"/>
          <w:rtl/>
        </w:rPr>
        <w:t>ذهول الحشوية عن حقيقة مذهب السلف</w:t>
      </w:r>
    </w:p>
    <w:p w14:paraId="7F61B8EA" w14:textId="10329C09" w:rsidR="009C32A0" w:rsidRDefault="009C32A0" w:rsidP="000636C2">
      <w:pPr>
        <w:ind w:left="-58"/>
        <w:rPr>
          <w:b/>
        </w:rPr>
      </w:pPr>
      <w:r>
        <w:rPr>
          <w:rFonts w:hint="cs"/>
          <w:rtl/>
          <w:lang w:bidi="ar-KW"/>
        </w:rPr>
        <w:t>لقد ذهل الحشوية عن حقيقة مذهب السلف</w:t>
      </w:r>
      <w:r w:rsidR="000636C2">
        <w:rPr>
          <w:rFonts w:hint="cs"/>
          <w:rtl/>
          <w:lang w:bidi="ar-KW"/>
        </w:rPr>
        <w:t>،</w:t>
      </w:r>
      <w:r>
        <w:rPr>
          <w:rFonts w:hint="cs"/>
          <w:rtl/>
          <w:lang w:bidi="ar-KW"/>
        </w:rPr>
        <w:t xml:space="preserve"> ثم لم يكتفوا بذلك حتى اتهموا الأثرية المفوضة في المتشابهات بالتجهيل والتبديع وأنهم أشر أهل البدع</w:t>
      </w:r>
      <w:r w:rsidR="000636C2">
        <w:rPr>
          <w:rFonts w:hint="cs"/>
          <w:rtl/>
          <w:lang w:bidi="ar-KW"/>
        </w:rPr>
        <w:t>،</w:t>
      </w:r>
      <w:r>
        <w:rPr>
          <w:rFonts w:hint="cs"/>
          <w:rtl/>
          <w:lang w:bidi="ar-KW"/>
        </w:rPr>
        <w:t xml:space="preserve"> مع أنهم هم امتداد السلف الحقيقيين</w:t>
      </w:r>
      <w:r w:rsidR="000636C2">
        <w:rPr>
          <w:rFonts w:hint="cs"/>
          <w:rtl/>
          <w:lang w:bidi="ar-KW"/>
        </w:rPr>
        <w:t>،</w:t>
      </w:r>
      <w:r>
        <w:rPr>
          <w:rFonts w:hint="cs"/>
          <w:rtl/>
          <w:lang w:bidi="ar-KW"/>
        </w:rPr>
        <w:t xml:space="preserve"> ثم لم يكتفوا بذلك حتى اتهموا الأشاعرة والماتريدية أكابر علماء العقيدة المتخصصين فيها على منهاج اهل الحق بأنّهم متعطلة ومؤولة وانّهم ليسوا من اهل السنّة والجماعة في باب الصفات</w:t>
      </w:r>
      <w:r w:rsidR="000636C2">
        <w:rPr>
          <w:rFonts w:hint="cs"/>
          <w:rtl/>
          <w:lang w:bidi="ar-KW"/>
        </w:rPr>
        <w:t>،</w:t>
      </w:r>
      <w:r>
        <w:rPr>
          <w:rFonts w:hint="cs"/>
          <w:rtl/>
          <w:lang w:bidi="ar-KW"/>
        </w:rPr>
        <w:t xml:space="preserve"> مع أنّ الحق والصواب أنّهم </w:t>
      </w:r>
      <w:r w:rsidR="000636C2">
        <w:rPr>
          <w:rFonts w:hint="cs"/>
          <w:rtl/>
          <w:lang w:bidi="ar-KW"/>
        </w:rPr>
        <w:t>(</w:t>
      </w:r>
      <w:r>
        <w:rPr>
          <w:rFonts w:hint="cs"/>
          <w:rtl/>
          <w:lang w:bidi="ar-KW"/>
        </w:rPr>
        <w:t>أي الحشوية</w:t>
      </w:r>
      <w:r w:rsidR="000636C2">
        <w:rPr>
          <w:rFonts w:hint="cs"/>
          <w:rtl/>
          <w:lang w:bidi="ar-KW"/>
        </w:rPr>
        <w:t>)</w:t>
      </w:r>
      <w:r>
        <w:rPr>
          <w:rFonts w:hint="cs"/>
          <w:rtl/>
          <w:lang w:bidi="ar-KW"/>
        </w:rPr>
        <w:t xml:space="preserve"> هم الضالون في هذا الباب لأسباب عديدة</w:t>
      </w:r>
      <w:r w:rsidR="000636C2">
        <w:rPr>
          <w:rFonts w:hint="cs"/>
          <w:rtl/>
          <w:lang w:bidi="ar-KW"/>
        </w:rPr>
        <w:t>:</w:t>
      </w:r>
      <w:r>
        <w:rPr>
          <w:rFonts w:hint="cs"/>
          <w:rtl/>
          <w:lang w:bidi="ar-KW"/>
        </w:rPr>
        <w:t xml:space="preserve"> أهمها </w:t>
      </w:r>
      <w:r>
        <w:rPr>
          <w:rFonts w:eastAsia="Times New Roman" w:hint="cs"/>
          <w:rtl/>
          <w:lang w:eastAsia="ar-SA" w:bidi="ar-KW"/>
        </w:rPr>
        <w:t>الذهول عن قواعد التقديس والتنزيه والتسبيح</w:t>
      </w:r>
      <w:r w:rsidR="000636C2">
        <w:rPr>
          <w:rFonts w:hint="cs"/>
          <w:rtl/>
          <w:lang w:bidi="ar-KW"/>
        </w:rPr>
        <w:t xml:space="preserve"> </w:t>
      </w:r>
      <w:r>
        <w:rPr>
          <w:rFonts w:hint="cs"/>
          <w:rtl/>
          <w:lang w:bidi="ar-KW"/>
        </w:rPr>
        <w:t>المتعلقة بذات الله تعالى</w:t>
      </w:r>
      <w:r w:rsidR="000636C2">
        <w:rPr>
          <w:rFonts w:hint="cs"/>
          <w:rtl/>
          <w:lang w:bidi="ar-KW"/>
        </w:rPr>
        <w:t>،</w:t>
      </w:r>
      <w:r>
        <w:rPr>
          <w:rFonts w:hint="cs"/>
          <w:rtl/>
          <w:lang w:bidi="ar-KW"/>
        </w:rPr>
        <w:t xml:space="preserve"> والمستمدة من الكتاب والسنة</w:t>
      </w:r>
      <w:r w:rsidR="000636C2">
        <w:rPr>
          <w:rFonts w:hint="cs"/>
          <w:rtl/>
          <w:lang w:bidi="ar-KW"/>
        </w:rPr>
        <w:t>،</w:t>
      </w:r>
      <w:r>
        <w:rPr>
          <w:rFonts w:hint="cs"/>
          <w:rtl/>
          <w:lang w:bidi="ar-KW"/>
        </w:rPr>
        <w:t xml:space="preserve"> وأدى ذلك إلى خلل في فهم قسم توحيد الذات </w:t>
      </w:r>
      <w:r w:rsidR="000636C2">
        <w:rPr>
          <w:rFonts w:hint="cs"/>
          <w:rtl/>
          <w:lang w:bidi="ar-KW"/>
        </w:rPr>
        <w:t>(</w:t>
      </w:r>
      <w:r>
        <w:rPr>
          <w:rFonts w:hint="cs"/>
          <w:rtl/>
          <w:lang w:bidi="ar-KW"/>
        </w:rPr>
        <w:t>علم التقديس</w:t>
      </w:r>
      <w:r w:rsidR="000636C2">
        <w:rPr>
          <w:rFonts w:hint="cs"/>
          <w:rtl/>
          <w:lang w:bidi="ar-KW"/>
        </w:rPr>
        <w:t>)</w:t>
      </w:r>
      <w:r>
        <w:rPr>
          <w:rFonts w:hint="cs"/>
          <w:rtl/>
          <w:lang w:bidi="ar-KW"/>
        </w:rPr>
        <w:t xml:space="preserve"> الذي يعد مفخرة عقائد المسلمين</w:t>
      </w:r>
      <w:r w:rsidR="000636C2">
        <w:rPr>
          <w:rFonts w:hint="cs"/>
          <w:rtl/>
          <w:lang w:bidi="ar-KW"/>
        </w:rPr>
        <w:t>،</w:t>
      </w:r>
      <w:r>
        <w:rPr>
          <w:rFonts w:hint="cs"/>
          <w:rtl/>
          <w:lang w:bidi="ar-KW"/>
        </w:rPr>
        <w:t xml:space="preserve"> والذهول عن هذا القسم أدى إلى قصور واضح جلي في الإلمام بما يجب وما يجوز وما يستحيل في ذات الله تعالى</w:t>
      </w:r>
      <w:r w:rsidR="000636C2">
        <w:rPr>
          <w:rFonts w:hint="cs"/>
          <w:rtl/>
          <w:lang w:bidi="ar-KW"/>
        </w:rPr>
        <w:t xml:space="preserve">، </w:t>
      </w:r>
      <w:r>
        <w:rPr>
          <w:rFonts w:hint="cs"/>
          <w:rtl/>
          <w:lang w:bidi="ar-KW"/>
        </w:rPr>
        <w:t>وإلى الوقوع في زيادة الإثبات على حساب التقديس</w:t>
      </w:r>
      <w:r w:rsidR="000636C2">
        <w:rPr>
          <w:rFonts w:hint="cs"/>
          <w:rtl/>
          <w:lang w:bidi="ar-KW"/>
        </w:rPr>
        <w:t>،</w:t>
      </w:r>
      <w:r>
        <w:rPr>
          <w:rFonts w:hint="cs"/>
          <w:rtl/>
          <w:lang w:bidi="ar-KW"/>
        </w:rPr>
        <w:t xml:space="preserve"> بل واعتقاد التجسيم في بعض الأحيان وإن لم يشعروا بذلك</w:t>
      </w:r>
      <w:r w:rsidR="000636C2">
        <w:rPr>
          <w:rFonts w:hint="cs"/>
          <w:rtl/>
          <w:lang w:bidi="ar-KW"/>
        </w:rPr>
        <w:t>،</w:t>
      </w:r>
      <w:r>
        <w:rPr>
          <w:rFonts w:hint="cs"/>
          <w:rtl/>
          <w:lang w:bidi="ar-KW"/>
        </w:rPr>
        <w:t xml:space="preserve"> فنشأ عن ذلك الحشو والجهل المركب في مسائل الصفات والإضافات بسبب الذهول عن تلك القواعد</w:t>
      </w:r>
      <w:r w:rsidR="000636C2">
        <w:rPr>
          <w:rFonts w:hint="cs"/>
          <w:rtl/>
          <w:lang w:bidi="ar-KW"/>
        </w:rPr>
        <w:t>،</w:t>
      </w:r>
      <w:r>
        <w:rPr>
          <w:rFonts w:hint="cs"/>
          <w:rtl/>
          <w:lang w:bidi="ar-KW"/>
        </w:rPr>
        <w:t xml:space="preserve"> واعتبارها من علوم اليونان</w:t>
      </w:r>
      <w:r w:rsidR="000636C2">
        <w:rPr>
          <w:rFonts w:hint="cs"/>
          <w:rtl/>
          <w:lang w:bidi="ar-KW"/>
        </w:rPr>
        <w:t>،</w:t>
      </w:r>
      <w:r>
        <w:rPr>
          <w:rFonts w:hint="cs"/>
          <w:rtl/>
          <w:lang w:bidi="ar-KW"/>
        </w:rPr>
        <w:t xml:space="preserve"> وهم لا يعلمون</w:t>
      </w:r>
      <w:r w:rsidR="000636C2">
        <w:rPr>
          <w:rFonts w:hint="cs"/>
          <w:rtl/>
          <w:lang w:bidi="ar-KW"/>
        </w:rPr>
        <w:t>:</w:t>
      </w:r>
      <w:r>
        <w:rPr>
          <w:rFonts w:hint="cs"/>
          <w:rtl/>
          <w:lang w:bidi="ar-KW"/>
        </w:rPr>
        <w:t xml:space="preserve"> لا قواعد التنزيه المستمدة من الكتاب والسنة ولا ما هو الفرق بينها وبين علوم اليونان</w:t>
      </w:r>
      <w:r w:rsidR="000636C2">
        <w:rPr>
          <w:rFonts w:hint="cs"/>
          <w:rtl/>
          <w:lang w:bidi="ar-KW"/>
        </w:rPr>
        <w:t>،</w:t>
      </w:r>
      <w:r>
        <w:rPr>
          <w:rFonts w:hint="cs"/>
          <w:rtl/>
          <w:lang w:bidi="ar-KW"/>
        </w:rPr>
        <w:t xml:space="preserve"> والحشوية ينتسبون إلى السلف الصالح</w:t>
      </w:r>
      <w:r w:rsidR="000636C2">
        <w:rPr>
          <w:rFonts w:hint="cs"/>
          <w:rtl/>
          <w:lang w:bidi="ar-KW"/>
        </w:rPr>
        <w:t>،</w:t>
      </w:r>
      <w:r>
        <w:rPr>
          <w:rFonts w:hint="cs"/>
          <w:rtl/>
          <w:lang w:bidi="ar-KW"/>
        </w:rPr>
        <w:t xml:space="preserve"> </w:t>
      </w:r>
      <w:r>
        <w:rPr>
          <w:rFonts w:hint="cs"/>
          <w:rtl/>
        </w:rPr>
        <w:t>وهم أبعد الناس عن السلفية والسلف</w:t>
      </w:r>
      <w:r w:rsidR="000636C2">
        <w:rPr>
          <w:rFonts w:hint="cs"/>
          <w:rtl/>
        </w:rPr>
        <w:t>،</w:t>
      </w:r>
      <w:r>
        <w:rPr>
          <w:rFonts w:hint="cs"/>
          <w:rtl/>
        </w:rPr>
        <w:t xml:space="preserve"> وهل كان السلف إلا منزهة ومقدسة لذات الباري سبحانه</w:t>
      </w:r>
      <w:r w:rsidR="000636C2">
        <w:rPr>
          <w:rFonts w:hint="cs"/>
          <w:rtl/>
        </w:rPr>
        <w:t>،</w:t>
      </w:r>
      <w:r>
        <w:rPr>
          <w:rFonts w:hint="cs"/>
          <w:rtl/>
        </w:rPr>
        <w:t xml:space="preserve"> وهل خاضت السلفية فيما يخوض فيه أولئك الحشوية</w:t>
      </w:r>
      <w:r w:rsidR="000636C2">
        <w:rPr>
          <w:rFonts w:hint="cs"/>
          <w:rtl/>
        </w:rPr>
        <w:t xml:space="preserve"> </w:t>
      </w:r>
      <w:r>
        <w:rPr>
          <w:rFonts w:hint="cs"/>
          <w:rtl/>
        </w:rPr>
        <w:t>من الحشو والجهل فيما يتعلق بذات الله تعالى وصفاته وأفعاله</w:t>
      </w:r>
      <w:r w:rsidR="000636C2">
        <w:rPr>
          <w:rFonts w:hint="cs"/>
          <w:rtl/>
        </w:rPr>
        <w:t>،</w:t>
      </w:r>
      <w:r>
        <w:rPr>
          <w:rFonts w:hint="cs"/>
          <w:rtl/>
        </w:rPr>
        <w:t xml:space="preserve"> </w:t>
      </w:r>
      <w:r>
        <w:rPr>
          <w:rFonts w:eastAsia="Times New Roman" w:hint="cs"/>
          <w:rtl/>
        </w:rPr>
        <w:t>ثم هل من السلفية في شيء أن يأتي أحدهم بجمع الاحاديث التي تتعلق بالصفات الخبرية</w:t>
      </w:r>
      <w:r w:rsidR="000636C2">
        <w:rPr>
          <w:rFonts w:eastAsia="Times New Roman" w:hint="cs"/>
          <w:rtl/>
        </w:rPr>
        <w:t>،</w:t>
      </w:r>
      <w:r>
        <w:rPr>
          <w:rFonts w:eastAsia="Times New Roman" w:hint="cs"/>
          <w:rtl/>
        </w:rPr>
        <w:t xml:space="preserve"> ويسردها في مؤلف واحد يُوهم التشبيه والتجسيم</w:t>
      </w:r>
      <w:r w:rsidR="000636C2">
        <w:rPr>
          <w:rFonts w:eastAsia="Times New Roman" w:hint="cs"/>
          <w:rtl/>
        </w:rPr>
        <w:t>،</w:t>
      </w:r>
      <w:r>
        <w:rPr>
          <w:rFonts w:eastAsia="Times New Roman" w:hint="cs"/>
          <w:rtl/>
        </w:rPr>
        <w:t xml:space="preserve"> ويمتحن الناس باعتقادها</w:t>
      </w:r>
      <w:r w:rsidR="000636C2">
        <w:rPr>
          <w:rFonts w:eastAsia="Times New Roman" w:hint="cs"/>
          <w:rtl/>
        </w:rPr>
        <w:t>،</w:t>
      </w:r>
      <w:r>
        <w:rPr>
          <w:rFonts w:eastAsia="Times New Roman" w:hint="cs"/>
          <w:rtl/>
        </w:rPr>
        <w:t xml:space="preserve"> هل هذه سلفية</w:t>
      </w:r>
      <w:r w:rsidR="000636C2">
        <w:rPr>
          <w:rFonts w:eastAsia="Times New Roman" w:hint="cs"/>
          <w:rtl/>
        </w:rPr>
        <w:t>،</w:t>
      </w:r>
      <w:r>
        <w:rPr>
          <w:rFonts w:eastAsia="Times New Roman" w:hint="cs"/>
          <w:rtl/>
        </w:rPr>
        <w:t xml:space="preserve"> أم حشوية</w:t>
      </w:r>
      <w:r w:rsidR="000636C2">
        <w:rPr>
          <w:rFonts w:eastAsia="Times New Roman" w:hint="cs"/>
          <w:rtl/>
        </w:rPr>
        <w:t>،</w:t>
      </w:r>
      <w:r>
        <w:rPr>
          <w:rFonts w:eastAsia="Times New Roman" w:hint="cs"/>
          <w:rtl/>
        </w:rPr>
        <w:t xml:space="preserve"> لقد كان الإمام مالك ابن أنس إمام السلفية بحق عندما </w:t>
      </w:r>
      <w:r>
        <w:rPr>
          <w:rFonts w:eastAsia="Times New Roman" w:hint="cs"/>
          <w:rtl/>
        </w:rPr>
        <w:lastRenderedPageBreak/>
        <w:t>كان يمنع من رواية الاحاديث التي تتعلق بالصفات الخبرية</w:t>
      </w:r>
      <w:r w:rsidR="000636C2">
        <w:rPr>
          <w:rFonts w:eastAsia="Times New Roman" w:hint="cs"/>
          <w:rtl/>
        </w:rPr>
        <w:t>،</w:t>
      </w:r>
      <w:r>
        <w:rPr>
          <w:rFonts w:eastAsia="Times New Roman" w:hint="cs"/>
          <w:rtl/>
        </w:rPr>
        <w:t xml:space="preserve"> خوفا من تتبع المتشابهات</w:t>
      </w:r>
      <w:r w:rsidR="000636C2">
        <w:rPr>
          <w:rFonts w:eastAsia="Times New Roman" w:hint="cs"/>
          <w:rtl/>
        </w:rPr>
        <w:t>،</w:t>
      </w:r>
      <w:r>
        <w:rPr>
          <w:rFonts w:eastAsia="Times New Roman" w:hint="cs"/>
          <w:rtl/>
        </w:rPr>
        <w:t xml:space="preserve"> وكان يمنع في مجلسه من مجرد السؤال عنها</w:t>
      </w:r>
      <w:r w:rsidR="000636C2">
        <w:rPr>
          <w:rFonts w:eastAsia="Times New Roman" w:hint="cs"/>
          <w:rtl/>
        </w:rPr>
        <w:t>،</w:t>
      </w:r>
      <w:r>
        <w:rPr>
          <w:rFonts w:eastAsia="Times New Roman" w:hint="cs"/>
          <w:rtl/>
        </w:rPr>
        <w:t xml:space="preserve"> فكيف ينتسب إلى السلفية من يجمع تلك المتشابهات ويسردها في مؤلف واحد يُوهم التشبيه والتجسيم</w:t>
      </w:r>
      <w:r w:rsidR="000636C2">
        <w:rPr>
          <w:rFonts w:eastAsia="Times New Roman" w:hint="cs"/>
          <w:rtl/>
        </w:rPr>
        <w:t>،</w:t>
      </w:r>
      <w:r>
        <w:rPr>
          <w:rFonts w:eastAsia="Times New Roman" w:hint="cs"/>
          <w:rtl/>
        </w:rPr>
        <w:t xml:space="preserve"> ثم ينسب ذلك إلى السلف</w:t>
      </w:r>
      <w:r w:rsidR="000636C2">
        <w:rPr>
          <w:rFonts w:eastAsia="Times New Roman" w:hint="cs"/>
          <w:rtl/>
        </w:rPr>
        <w:t>،</w:t>
      </w:r>
      <w:r>
        <w:rPr>
          <w:rFonts w:eastAsia="Times New Roman" w:hint="cs"/>
          <w:rtl/>
        </w:rPr>
        <w:t xml:space="preserve"> </w:t>
      </w:r>
      <w:r>
        <w:rPr>
          <w:rFonts w:hint="cs"/>
          <w:rtl/>
        </w:rPr>
        <w:t>وقد كان السلف الأوائل يحجمون عن الخوض في ذلك مع اليقين باستحالة ظاهره على الله تعالى</w:t>
      </w:r>
      <w:r w:rsidR="000636C2">
        <w:rPr>
          <w:rFonts w:hint="cs"/>
          <w:rtl/>
        </w:rPr>
        <w:t>،</w:t>
      </w:r>
      <w:r>
        <w:rPr>
          <w:rFonts w:hint="cs"/>
          <w:rtl/>
        </w:rPr>
        <w:t xml:space="preserve"> </w:t>
      </w:r>
      <w:r>
        <w:rPr>
          <w:rFonts w:eastAsia="Times New Roman" w:hint="cs"/>
          <w:rtl/>
        </w:rPr>
        <w:t>ما أشد حاجة السلفية المعاصرة إلى تنقيتها من أدران الحشو والتجسيم والغلو في التكفير والتشريك والتبديع</w:t>
      </w:r>
      <w:r w:rsidR="000636C2">
        <w:rPr>
          <w:rFonts w:eastAsia="Times New Roman" w:hint="cs"/>
          <w:rtl/>
        </w:rPr>
        <w:t>،</w:t>
      </w:r>
      <w:r>
        <w:rPr>
          <w:rFonts w:eastAsia="Times New Roman" w:hint="cs"/>
          <w:rtl/>
        </w:rPr>
        <w:t xml:space="preserve"> والله الهادي إلى سواء السبيل</w:t>
      </w:r>
      <w:r w:rsidR="000636C2">
        <w:rPr>
          <w:rFonts w:eastAsia="Times New Roman" w:hint="cs"/>
          <w:rtl/>
        </w:rPr>
        <w:t>،</w:t>
      </w:r>
    </w:p>
    <w:p w14:paraId="62FFDB0C" w14:textId="77777777" w:rsidR="009C32A0" w:rsidRDefault="009C32A0" w:rsidP="000636C2">
      <w:pPr>
        <w:ind w:left="-58"/>
        <w:jc w:val="center"/>
        <w:rPr>
          <w:b/>
          <w:rtl/>
        </w:rPr>
      </w:pPr>
      <w:r>
        <w:rPr>
          <w:rFonts w:hint="cs"/>
          <w:rtl/>
        </w:rPr>
        <w:t>***</w:t>
      </w:r>
    </w:p>
    <w:p w14:paraId="0C8346E3" w14:textId="77777777" w:rsidR="009C32A0" w:rsidRDefault="009C32A0" w:rsidP="000636C2">
      <w:pPr>
        <w:ind w:left="-58"/>
        <w:jc w:val="center"/>
        <w:rPr>
          <w:b/>
          <w:rtl/>
        </w:rPr>
      </w:pPr>
      <w:r>
        <w:rPr>
          <w:rFonts w:cs="Monotype Koufi" w:hint="cs"/>
          <w:rtl/>
        </w:rPr>
        <w:t>الأسباب التي دعت الأشاعرة والماتريدية إلى تبني منهج التنزيه في العقيدة</w:t>
      </w:r>
    </w:p>
    <w:p w14:paraId="234318AE" w14:textId="016F60F9" w:rsidR="009C32A0" w:rsidRDefault="009C32A0" w:rsidP="000636C2">
      <w:pPr>
        <w:ind w:left="-58"/>
        <w:rPr>
          <w:b/>
          <w:rtl/>
        </w:rPr>
      </w:pPr>
      <w:r>
        <w:rPr>
          <w:rFonts w:hint="cs"/>
          <w:rtl/>
        </w:rPr>
        <w:t>هناك أسباب عديدة دعت علماء الأشاعرة والماتريدية</w:t>
      </w:r>
      <w:r w:rsidR="000636C2">
        <w:rPr>
          <w:rFonts w:hint="cs"/>
          <w:rtl/>
        </w:rPr>
        <w:t xml:space="preserve"> </w:t>
      </w:r>
      <w:r>
        <w:rPr>
          <w:rFonts w:hint="cs"/>
          <w:rtl/>
        </w:rPr>
        <w:t>المتخصصين في العقيدة</w:t>
      </w:r>
      <w:r w:rsidR="000636C2">
        <w:rPr>
          <w:rFonts w:hint="cs"/>
          <w:rtl/>
        </w:rPr>
        <w:t>،</w:t>
      </w:r>
      <w:r>
        <w:rPr>
          <w:rFonts w:hint="cs"/>
          <w:rtl/>
        </w:rPr>
        <w:t xml:space="preserve"> إلى اعتقاد ما قرروه</w:t>
      </w:r>
      <w:r w:rsidR="000636C2">
        <w:rPr>
          <w:rFonts w:hint="cs"/>
          <w:rtl/>
        </w:rPr>
        <w:t>،</w:t>
      </w:r>
      <w:r>
        <w:rPr>
          <w:rFonts w:hint="cs"/>
          <w:rtl/>
        </w:rPr>
        <w:t xml:space="preserve"> وإلى صيانة عقائد المسلمين من مهاوي الاعتزال ومن مهاوي الحشو والتجسيم والتشبيه</w:t>
      </w:r>
      <w:r w:rsidR="000636C2">
        <w:rPr>
          <w:rFonts w:hint="cs"/>
          <w:rtl/>
        </w:rPr>
        <w:t>،</w:t>
      </w:r>
      <w:r>
        <w:rPr>
          <w:rFonts w:hint="cs"/>
          <w:rtl/>
        </w:rPr>
        <w:t xml:space="preserve"> فإنّهم الواقفون على ثغور الرد على سائر الفرق المخالفة لأهل السنّة والجماعة في باب العقيدة</w:t>
      </w:r>
      <w:r w:rsidR="000636C2">
        <w:rPr>
          <w:rFonts w:hint="cs"/>
          <w:rtl/>
        </w:rPr>
        <w:t>،</w:t>
      </w:r>
      <w:r>
        <w:rPr>
          <w:rFonts w:hint="cs"/>
          <w:rtl/>
        </w:rPr>
        <w:t xml:space="preserve"> ومن هذه الأسباب التي دعتهم إلى تبني منهاجهم في التقديس والتنزيه وتأصيل مباحث العقيدة</w:t>
      </w:r>
      <w:r w:rsidR="000636C2">
        <w:rPr>
          <w:rFonts w:hint="cs"/>
          <w:rtl/>
        </w:rPr>
        <w:t>:</w:t>
      </w:r>
      <w:r>
        <w:rPr>
          <w:rFonts w:hint="cs"/>
          <w:rtl/>
        </w:rPr>
        <w:t xml:space="preserve"> </w:t>
      </w:r>
    </w:p>
    <w:p w14:paraId="6016971D" w14:textId="6AD84CB5" w:rsidR="009C32A0" w:rsidRDefault="000636C2" w:rsidP="000636C2">
      <w:pPr>
        <w:ind w:left="-58"/>
        <w:rPr>
          <w:b/>
          <w:rtl/>
        </w:rPr>
      </w:pPr>
      <w:r>
        <w:rPr>
          <w:rFonts w:hint="cs"/>
          <w:bCs/>
          <w:rtl/>
        </w:rPr>
        <w:t>[</w:t>
      </w:r>
      <w:r w:rsidR="009C32A0">
        <w:rPr>
          <w:rFonts w:hint="cs"/>
          <w:bCs/>
          <w:rtl/>
        </w:rPr>
        <w:t>1</w:t>
      </w:r>
      <w:r>
        <w:rPr>
          <w:rFonts w:hint="cs"/>
          <w:bCs/>
          <w:rtl/>
        </w:rPr>
        <w:t>]</w:t>
      </w:r>
      <w:r w:rsidR="009C32A0">
        <w:rPr>
          <w:rFonts w:hint="cs"/>
          <w:bCs/>
          <w:rtl/>
        </w:rPr>
        <w:t xml:space="preserve"> الله عز وجل ليس له شبيه ولا كفء ولا شريك وليس له سمي ولا مثيل</w:t>
      </w:r>
      <w:r>
        <w:rPr>
          <w:rFonts w:hint="cs"/>
          <w:bCs/>
          <w:rtl/>
        </w:rPr>
        <w:t>،</w:t>
      </w:r>
      <w:r w:rsidR="009C32A0">
        <w:rPr>
          <w:rFonts w:hint="cs"/>
          <w:bCs/>
          <w:rtl/>
        </w:rPr>
        <w:t xml:space="preserve"> وكل ما خطر بالبال فالله بخلافه</w:t>
      </w:r>
      <w:r>
        <w:rPr>
          <w:rFonts w:hint="cs"/>
          <w:bCs/>
          <w:rtl/>
        </w:rPr>
        <w:t>،</w:t>
      </w:r>
      <w:r w:rsidR="009C32A0">
        <w:rPr>
          <w:rFonts w:hint="cs"/>
          <w:rtl/>
        </w:rPr>
        <w:t xml:space="preserve"> دل على ذلك قوله تعالى</w:t>
      </w:r>
      <w:r>
        <w:rPr>
          <w:rFonts w:hint="cs"/>
          <w:rtl/>
        </w:rPr>
        <w:t>:</w:t>
      </w:r>
      <w:r w:rsidR="009C32A0">
        <w:rPr>
          <w:rFonts w:hint="cs"/>
          <w:rtl/>
        </w:rPr>
        <w:t xml:space="preserve"> </w:t>
      </w:r>
      <w:r>
        <w:rPr>
          <w:rFonts w:eastAsia="Times New Roman" w:hint="cs"/>
          <w:rtl/>
        </w:rPr>
        <w:t>{</w:t>
      </w:r>
      <w:r w:rsidR="009C32A0">
        <w:rPr>
          <w:rFonts w:eastAsia="Times New Roman" w:hint="cs"/>
          <w:bCs/>
          <w:rtl/>
        </w:rPr>
        <w:t>ليس كمثلِه شيء</w:t>
      </w:r>
      <w:r>
        <w:rPr>
          <w:rFonts w:eastAsia="Times New Roman" w:hint="cs"/>
          <w:bCs/>
          <w:rtl/>
        </w:rPr>
        <w:t xml:space="preserve">} </w:t>
      </w:r>
      <w:r w:rsidR="009C32A0">
        <w:rPr>
          <w:rFonts w:eastAsia="Times New Roman" w:hint="cs"/>
          <w:rtl/>
        </w:rPr>
        <w:t>[سورة الشورى</w:t>
      </w:r>
      <w:r>
        <w:rPr>
          <w:rFonts w:eastAsia="Times New Roman" w:hint="cs"/>
          <w:rtl/>
        </w:rPr>
        <w:t>:</w:t>
      </w:r>
      <w:r w:rsidR="009C32A0">
        <w:rPr>
          <w:rFonts w:eastAsia="Times New Roman" w:hint="cs"/>
          <w:rtl/>
        </w:rPr>
        <w:t xml:space="preserve"> 11]</w:t>
      </w:r>
      <w:r>
        <w:rPr>
          <w:rFonts w:eastAsia="Times New Roman" w:hint="cs"/>
          <w:rtl/>
        </w:rPr>
        <w:t>،</w:t>
      </w:r>
      <w:r w:rsidR="009C32A0">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Pr>
          <w:rFonts w:eastAsia="Times New Roman" w:hint="cs"/>
          <w:rtl/>
        </w:rPr>
        <w:t>،</w:t>
      </w:r>
      <w:r w:rsidR="009C32A0">
        <w:rPr>
          <w:rFonts w:eastAsia="Times New Roman" w:hint="cs"/>
          <w:rtl/>
        </w:rPr>
        <w:t xml:space="preserve"> وقوله تعالى</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bCs/>
          <w:rtl/>
        </w:rPr>
        <w:t>وللهِ المثَلُ الأعلى</w:t>
      </w:r>
      <w:r>
        <w:rPr>
          <w:rFonts w:eastAsia="Times New Roman" w:hint="cs"/>
          <w:bCs/>
          <w:rtl/>
        </w:rPr>
        <w:t>}</w:t>
      </w:r>
      <w:r w:rsidR="009C32A0">
        <w:rPr>
          <w:rFonts w:eastAsia="Times New Roman" w:hint="cs"/>
          <w:rtl/>
        </w:rPr>
        <w:t xml:space="preserve"> </w:t>
      </w:r>
      <w:r>
        <w:rPr>
          <w:rFonts w:eastAsia="Times New Roman" w:hint="cs"/>
          <w:rtl/>
        </w:rPr>
        <w:t>[</w:t>
      </w:r>
      <w:r w:rsidR="009C32A0">
        <w:rPr>
          <w:rFonts w:eastAsia="Times New Roman" w:hint="cs"/>
          <w:rtl/>
        </w:rPr>
        <w:t>النحل</w:t>
      </w:r>
      <w:r>
        <w:rPr>
          <w:rFonts w:eastAsia="Times New Roman" w:hint="cs"/>
          <w:rtl/>
        </w:rPr>
        <w:t>:</w:t>
      </w:r>
      <w:r w:rsidR="009C32A0">
        <w:rPr>
          <w:rFonts w:eastAsia="Times New Roman" w:hint="cs"/>
          <w:rtl/>
        </w:rPr>
        <w:t xml:space="preserve"> 60</w:t>
      </w:r>
      <w:r>
        <w:rPr>
          <w:rFonts w:eastAsia="Times New Roman" w:hint="cs"/>
          <w:rtl/>
        </w:rPr>
        <w:t>]</w:t>
      </w:r>
      <w:r w:rsidR="009C32A0">
        <w:rPr>
          <w:rFonts w:eastAsia="Times New Roman" w:hint="cs"/>
          <w:rtl/>
        </w:rPr>
        <w:t xml:space="preserve"> أي الوصف الذي لا يشبه وصف غيره، فلا يوصف ربنا عزَّ وجلَّ بصفات المخلوقين</w:t>
      </w:r>
      <w:r>
        <w:rPr>
          <w:rFonts w:eastAsia="Times New Roman" w:hint="cs"/>
          <w:rtl/>
        </w:rPr>
        <w:t>،،</w:t>
      </w:r>
      <w:r w:rsidR="009C32A0">
        <w:rPr>
          <w:rFonts w:eastAsia="Times New Roman" w:hint="cs"/>
          <w:rtl/>
        </w:rPr>
        <w:t xml:space="preserve"> وقوله تعالى</w:t>
      </w:r>
      <w:r>
        <w:rPr>
          <w:rFonts w:eastAsia="Times New Roman" w:hint="cs"/>
          <w:rtl/>
        </w:rPr>
        <w:t>:</w:t>
      </w:r>
      <w:r w:rsidR="009C32A0">
        <w:rPr>
          <w:rFonts w:eastAsia="Times New Roman" w:hint="cs"/>
          <w:rtl/>
        </w:rPr>
        <w:t xml:space="preserve"> </w:t>
      </w:r>
      <w:r>
        <w:rPr>
          <w:rFonts w:eastAsia="Times New Roman" w:hint="cs"/>
          <w:bCs/>
          <w:rtl/>
        </w:rPr>
        <w:t>{</w:t>
      </w:r>
      <w:r w:rsidR="009C32A0">
        <w:rPr>
          <w:rFonts w:eastAsia="Times New Roman" w:hint="cs"/>
          <w:bCs/>
          <w:rtl/>
        </w:rPr>
        <w:t>فلا تضربوا للهِ الأمثال</w:t>
      </w:r>
      <w:r>
        <w:rPr>
          <w:rFonts w:eastAsia="Times New Roman" w:hint="cs"/>
          <w:bCs/>
          <w:rtl/>
        </w:rPr>
        <w:t>}</w:t>
      </w:r>
      <w:r w:rsidR="009C32A0">
        <w:rPr>
          <w:rFonts w:eastAsia="Times New Roman" w:hint="cs"/>
          <w:rtl/>
        </w:rPr>
        <w:t xml:space="preserve"> </w:t>
      </w:r>
      <w:r>
        <w:rPr>
          <w:rFonts w:eastAsia="Times New Roman" w:hint="cs"/>
          <w:rtl/>
        </w:rPr>
        <w:t>[</w:t>
      </w:r>
      <w:r w:rsidR="009C32A0">
        <w:rPr>
          <w:rFonts w:eastAsia="Times New Roman" w:hint="cs"/>
          <w:rtl/>
        </w:rPr>
        <w:t>النحل</w:t>
      </w:r>
      <w:r>
        <w:rPr>
          <w:rFonts w:eastAsia="Times New Roman" w:hint="cs"/>
          <w:rtl/>
        </w:rPr>
        <w:t>:</w:t>
      </w:r>
      <w:r w:rsidR="009C32A0">
        <w:rPr>
          <w:rFonts w:eastAsia="Times New Roman" w:hint="cs"/>
          <w:rtl/>
        </w:rPr>
        <w:t xml:space="preserve"> 74</w:t>
      </w:r>
      <w:r>
        <w:rPr>
          <w:rFonts w:eastAsia="Times New Roman" w:hint="cs"/>
          <w:rtl/>
        </w:rPr>
        <w:t>]</w:t>
      </w:r>
      <w:r w:rsidR="009C32A0">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Pr>
          <w:rFonts w:eastAsia="Times New Roman" w:hint="cs"/>
          <w:rtl/>
        </w:rPr>
        <w:t>،</w:t>
      </w:r>
      <w:r w:rsidR="009C32A0">
        <w:rPr>
          <w:rFonts w:eastAsia="Times New Roman" w:hint="cs"/>
          <w:rtl/>
        </w:rPr>
        <w:t xml:space="preserve"> وقوله تعالى</w:t>
      </w:r>
      <w:r>
        <w:rPr>
          <w:rFonts w:eastAsia="Times New Roman" w:hint="cs"/>
          <w:rtl/>
        </w:rPr>
        <w:t>:</w:t>
      </w:r>
      <w:r w:rsidR="009C32A0">
        <w:rPr>
          <w:rFonts w:eastAsia="Times New Roman" w:hint="cs"/>
          <w:rtl/>
        </w:rPr>
        <w:t xml:space="preserve"> {</w:t>
      </w:r>
      <w:r w:rsidR="009C32A0">
        <w:rPr>
          <w:rFonts w:eastAsia="Times New Roman" w:hint="cs"/>
          <w:bCs/>
          <w:rtl/>
        </w:rPr>
        <w:t>هل تعلمُ لهُ سميًّا)</w:t>
      </w:r>
      <w:r w:rsidR="009C32A0">
        <w:rPr>
          <w:rFonts w:eastAsia="Times New Roman" w:hint="cs"/>
          <w:rtl/>
        </w:rPr>
        <w:t xml:space="preserve"> </w:t>
      </w:r>
      <w:r>
        <w:rPr>
          <w:rFonts w:eastAsia="Times New Roman" w:hint="cs"/>
          <w:rtl/>
        </w:rPr>
        <w:t>[</w:t>
      </w:r>
      <w:r w:rsidR="009C32A0">
        <w:rPr>
          <w:rFonts w:eastAsia="Times New Roman" w:hint="cs"/>
          <w:rtl/>
        </w:rPr>
        <w:t>مريم</w:t>
      </w:r>
      <w:r>
        <w:rPr>
          <w:rFonts w:eastAsia="Times New Roman" w:hint="cs"/>
          <w:rtl/>
        </w:rPr>
        <w:t>:</w:t>
      </w:r>
      <w:r w:rsidR="009C32A0">
        <w:rPr>
          <w:rFonts w:eastAsia="Times New Roman" w:hint="cs"/>
          <w:rtl/>
        </w:rPr>
        <w:t xml:space="preserve"> 65</w:t>
      </w:r>
      <w:r>
        <w:rPr>
          <w:rFonts w:eastAsia="Times New Roman" w:hint="cs"/>
          <w:rtl/>
        </w:rPr>
        <w:t>]</w:t>
      </w:r>
      <w:r w:rsidR="009C32A0">
        <w:rPr>
          <w:rFonts w:eastAsia="Times New Roman" w:hint="cs"/>
          <w:rtl/>
        </w:rPr>
        <w:t xml:space="preserve"> أي مِثلاً، فالله تعالى لا مِثْلَ له ولا شبيه ولا نظير، فذاتُه سبحانه لا يشبه الذواتِ ولا صفاتُه تشبه الصفاتِ</w:t>
      </w:r>
      <w:r>
        <w:rPr>
          <w:rFonts w:eastAsia="Times New Roman" w:hint="cs"/>
          <w:rtl/>
        </w:rPr>
        <w:t>،</w:t>
      </w:r>
      <w:r w:rsidR="009C32A0">
        <w:rPr>
          <w:rFonts w:eastAsia="Times New Roman" w:hint="cs"/>
          <w:rtl/>
        </w:rPr>
        <w:t xml:space="preserve"> وقوله تعالى</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bCs/>
          <w:rtl/>
        </w:rPr>
        <w:t>سُبْحَانَهُ وَتَعَالَى عَمَّا يَصِفُونَ</w:t>
      </w:r>
      <w:r>
        <w:rPr>
          <w:rFonts w:eastAsia="Times New Roman" w:hint="cs"/>
          <w:rtl/>
        </w:rPr>
        <w:t>}</w:t>
      </w:r>
      <w:r w:rsidR="009C32A0">
        <w:rPr>
          <w:rFonts w:eastAsia="Times New Roman" w:hint="cs"/>
          <w:rtl/>
        </w:rPr>
        <w:t xml:space="preserve"> </w:t>
      </w:r>
      <w:r>
        <w:rPr>
          <w:rFonts w:eastAsia="Times New Roman" w:hint="cs"/>
          <w:rtl/>
        </w:rPr>
        <w:t>[</w:t>
      </w:r>
      <w:r w:rsidR="009C32A0">
        <w:rPr>
          <w:rFonts w:eastAsia="Times New Roman" w:hint="cs"/>
          <w:rtl/>
        </w:rPr>
        <w:t>الأنعام</w:t>
      </w:r>
      <w:r>
        <w:rPr>
          <w:rFonts w:eastAsia="Times New Roman" w:hint="cs"/>
          <w:rtl/>
        </w:rPr>
        <w:t>:</w:t>
      </w:r>
      <w:r w:rsidR="009C32A0">
        <w:rPr>
          <w:rFonts w:eastAsia="Times New Roman" w:hint="cs"/>
          <w:rtl/>
        </w:rPr>
        <w:t xml:space="preserve"> 100] تنزيه وتقديس لله تعالى عن كل وصف يخطر ببال بشر لأنه ليس كمثله شيء ولا نعلم له سميا</w:t>
      </w:r>
      <w:r>
        <w:rPr>
          <w:rFonts w:eastAsia="Times New Roman" w:hint="cs"/>
          <w:rtl/>
        </w:rPr>
        <w:t>،،</w:t>
      </w:r>
      <w:r w:rsidR="009C32A0">
        <w:rPr>
          <w:rFonts w:eastAsia="Times New Roman" w:hint="cs"/>
          <w:rtl/>
        </w:rPr>
        <w:t xml:space="preserve"> وقوله تعالى</w:t>
      </w:r>
      <w:r>
        <w:rPr>
          <w:rFonts w:eastAsia="Times New Roman" w:hint="cs"/>
          <w:rtl/>
        </w:rPr>
        <w:t>:</w:t>
      </w:r>
      <w:r w:rsidR="009C32A0">
        <w:rPr>
          <w:rFonts w:eastAsia="Times New Roman" w:hint="cs"/>
          <w:rtl/>
        </w:rPr>
        <w:t xml:space="preserve"> </w:t>
      </w:r>
      <w:r>
        <w:rPr>
          <w:rFonts w:eastAsia="Times New Roman" w:hint="cs"/>
          <w:bCs/>
          <w:rtl/>
        </w:rPr>
        <w:t>{</w:t>
      </w:r>
      <w:r w:rsidR="009C32A0">
        <w:rPr>
          <w:rFonts w:eastAsia="Times New Roman" w:hint="cs"/>
          <w:bCs/>
          <w:rtl/>
        </w:rPr>
        <w:t>وَلَا يُحِيطُونَ بِهِ عِلْمًا</w:t>
      </w:r>
      <w:r>
        <w:rPr>
          <w:rFonts w:eastAsia="Times New Roman" w:hint="cs"/>
          <w:bCs/>
          <w:rtl/>
        </w:rPr>
        <w:t>}</w:t>
      </w:r>
      <w:r w:rsidR="009C32A0">
        <w:rPr>
          <w:rFonts w:hint="cs"/>
          <w:rtl/>
        </w:rPr>
        <w:t xml:space="preserve"> </w:t>
      </w:r>
      <w:r>
        <w:rPr>
          <w:rFonts w:eastAsia="Times New Roman" w:hint="cs"/>
          <w:rtl/>
        </w:rPr>
        <w:t>[</w:t>
      </w:r>
      <w:r w:rsidR="009C32A0">
        <w:rPr>
          <w:rFonts w:eastAsia="Times New Roman" w:hint="cs"/>
          <w:rtl/>
        </w:rPr>
        <w:t>طه</w:t>
      </w:r>
      <w:r>
        <w:rPr>
          <w:rFonts w:eastAsia="Times New Roman" w:hint="cs"/>
          <w:rtl/>
        </w:rPr>
        <w:t>:</w:t>
      </w:r>
      <w:r w:rsidR="009C32A0">
        <w:rPr>
          <w:rFonts w:eastAsia="Times New Roman" w:hint="cs"/>
          <w:rtl/>
        </w:rPr>
        <w:t xml:space="preserve"> 110</w:t>
      </w:r>
      <w:r>
        <w:rPr>
          <w:rFonts w:eastAsia="Times New Roman" w:hint="cs"/>
          <w:rtl/>
        </w:rPr>
        <w:t>]،</w:t>
      </w:r>
      <w:r w:rsidR="009C32A0">
        <w:rPr>
          <w:rFonts w:eastAsia="Times New Roman" w:hint="cs"/>
          <w:rtl/>
        </w:rPr>
        <w:t xml:space="preserve"> ولو كان له كفء أو شبيه أو مثيل لأحاطت به علوم البشر</w:t>
      </w:r>
      <w:r>
        <w:rPr>
          <w:rFonts w:eastAsia="Times New Roman" w:hint="cs"/>
          <w:rtl/>
        </w:rPr>
        <w:t>،</w:t>
      </w:r>
      <w:r w:rsidR="009C32A0">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9C32A0">
        <w:rPr>
          <w:rFonts w:eastAsia="Times New Roman" w:hint="cs"/>
          <w:rtl/>
        </w:rPr>
        <w:t xml:space="preserve"> ولما كانت جميع المخلوقات مخلوقة من مواد</w:t>
      </w:r>
      <w:r>
        <w:rPr>
          <w:rFonts w:eastAsia="Times New Roman" w:hint="cs"/>
          <w:rtl/>
        </w:rPr>
        <w:t>،</w:t>
      </w:r>
      <w:r w:rsidR="009C32A0">
        <w:rPr>
          <w:rFonts w:eastAsia="Times New Roman" w:hint="cs"/>
          <w:rtl/>
        </w:rPr>
        <w:t xml:space="preserve"> وهي ذات أجسام تتصف بالطول والعرض والحجم</w:t>
      </w:r>
      <w:r>
        <w:rPr>
          <w:rFonts w:eastAsia="Times New Roman" w:hint="cs"/>
          <w:rtl/>
        </w:rPr>
        <w:t xml:space="preserve">، </w:t>
      </w:r>
      <w:r w:rsidR="009C32A0">
        <w:rPr>
          <w:rFonts w:eastAsia="Times New Roman" w:hint="cs"/>
          <w:rtl/>
        </w:rPr>
        <w:t>وكان الله تعالى منزهاً عن مشابهة خلقه</w:t>
      </w:r>
      <w:r>
        <w:rPr>
          <w:rFonts w:eastAsia="Times New Roman" w:hint="cs"/>
          <w:rtl/>
        </w:rPr>
        <w:t>،</w:t>
      </w:r>
      <w:r w:rsidR="009C32A0">
        <w:rPr>
          <w:rFonts w:hint="cs"/>
          <w:rtl/>
        </w:rPr>
        <w:t xml:space="preserve"> كان الله تعالى منزهاً عن </w:t>
      </w:r>
      <w:r w:rsidR="009C32A0">
        <w:rPr>
          <w:rFonts w:hint="cs"/>
          <w:rtl/>
        </w:rPr>
        <w:lastRenderedPageBreak/>
        <w:t>المادة والجسم</w:t>
      </w:r>
      <w:r>
        <w:rPr>
          <w:rFonts w:hint="cs"/>
          <w:rtl/>
        </w:rPr>
        <w:t>،</w:t>
      </w:r>
      <w:r w:rsidR="009C32A0">
        <w:rPr>
          <w:rFonts w:hint="cs"/>
          <w:rtl/>
        </w:rPr>
        <w:t xml:space="preserve"> لأنها ذوات المخلوقات</w:t>
      </w:r>
      <w:r>
        <w:rPr>
          <w:rFonts w:hint="cs"/>
          <w:rtl/>
        </w:rPr>
        <w:t>،</w:t>
      </w:r>
      <w:r w:rsidR="009C32A0">
        <w:rPr>
          <w:rFonts w:hint="cs"/>
          <w:rtl/>
        </w:rPr>
        <w:t xml:space="preserve"> وأجمع كل أهل التقديس والتنزيه على تنزيه الله تعالى عن المواد والأجسام لأنها ذوات المخلوقات ودلائل الحدوث والخلق</w:t>
      </w:r>
      <w:r>
        <w:rPr>
          <w:rFonts w:hint="cs"/>
          <w:rtl/>
        </w:rPr>
        <w:t>،</w:t>
      </w:r>
      <w:r w:rsidR="009C32A0">
        <w:rPr>
          <w:rFonts w:hint="cs"/>
          <w:rtl/>
        </w:rPr>
        <w:t xml:space="preserve"> </w:t>
      </w:r>
    </w:p>
    <w:p w14:paraId="5DB00D73" w14:textId="04DE275D" w:rsidR="009C32A0" w:rsidRDefault="000636C2" w:rsidP="000636C2">
      <w:pPr>
        <w:ind w:left="-58"/>
        <w:rPr>
          <w:rtl/>
        </w:rPr>
      </w:pPr>
      <w:r>
        <w:rPr>
          <w:rFonts w:hint="cs"/>
          <w:bCs/>
          <w:rtl/>
        </w:rPr>
        <w:t>[</w:t>
      </w:r>
      <w:r w:rsidR="009C32A0">
        <w:rPr>
          <w:rFonts w:hint="cs"/>
          <w:bCs/>
          <w:rtl/>
        </w:rPr>
        <w:t>2</w:t>
      </w:r>
      <w:r>
        <w:rPr>
          <w:rFonts w:hint="cs"/>
          <w:bCs/>
          <w:rtl/>
        </w:rPr>
        <w:t>]</w:t>
      </w:r>
      <w:r w:rsidR="009C32A0">
        <w:rPr>
          <w:rFonts w:hint="cs"/>
          <w:bCs/>
          <w:rtl/>
        </w:rPr>
        <w:t xml:space="preserve"> الله عز وجل أحد</w:t>
      </w:r>
      <w:r>
        <w:rPr>
          <w:rFonts w:hint="cs"/>
          <w:bCs/>
          <w:rtl/>
        </w:rPr>
        <w:t>:</w:t>
      </w:r>
      <w:r w:rsidR="009C32A0">
        <w:rPr>
          <w:rFonts w:hint="cs"/>
          <w:bCs/>
          <w:rtl/>
        </w:rPr>
        <w:t xml:space="preserve"> </w:t>
      </w:r>
      <w:r>
        <w:rPr>
          <w:rFonts w:hint="cs"/>
          <w:bCs/>
          <w:rtl/>
        </w:rPr>
        <w:t>{</w:t>
      </w:r>
      <w:r w:rsidR="009C32A0">
        <w:rPr>
          <w:rFonts w:hint="cs"/>
          <w:bCs/>
          <w:rtl/>
        </w:rPr>
        <w:t>قُلْ هُوَ اللَّهُ أَحَدٌ</w:t>
      </w:r>
      <w:r>
        <w:rPr>
          <w:rFonts w:hint="cs"/>
          <w:bCs/>
          <w:rtl/>
        </w:rPr>
        <w:t>}</w:t>
      </w:r>
      <w:r w:rsidR="009C32A0">
        <w:rPr>
          <w:rFonts w:hint="cs"/>
          <w:bCs/>
          <w:rtl/>
        </w:rPr>
        <w:t xml:space="preserve"> له أحدية الذات التي تعني نفي التبعيض والتركيب عن ذات الله سبحانه وتعالى</w:t>
      </w:r>
      <w:r>
        <w:rPr>
          <w:rFonts w:hint="cs"/>
          <w:bCs/>
          <w:rtl/>
        </w:rPr>
        <w:t>،</w:t>
      </w:r>
      <w:r w:rsidR="009C32A0">
        <w:rPr>
          <w:rFonts w:hint="cs"/>
          <w:rtl/>
        </w:rPr>
        <w:t xml:space="preserve"> تنزه سبحانه عن البعض والجزء والجارحة والمادة والجسمية والانقسام في ذاته</w:t>
      </w:r>
      <w:r>
        <w:rPr>
          <w:rFonts w:hint="cs"/>
          <w:rtl/>
        </w:rPr>
        <w:t>،</w:t>
      </w:r>
      <w:r w:rsidR="009C32A0">
        <w:rPr>
          <w:rFonts w:hint="cs"/>
          <w:rtl/>
        </w:rPr>
        <w:t xml:space="preserve"> لأنّه </w:t>
      </w:r>
      <w:r>
        <w:rPr>
          <w:rFonts w:hint="cs"/>
          <w:rtl/>
        </w:rPr>
        <w:t>{</w:t>
      </w:r>
      <w:r w:rsidR="009C32A0">
        <w:rPr>
          <w:rFonts w:hint="cs"/>
          <w:rtl/>
        </w:rPr>
        <w:t>أحد</w:t>
      </w:r>
      <w:r>
        <w:rPr>
          <w:rFonts w:hint="cs"/>
          <w:rtl/>
        </w:rPr>
        <w:t>}،</w:t>
      </w:r>
      <w:r w:rsidR="009C32A0">
        <w:rPr>
          <w:rFonts w:hint="cs"/>
          <w:rtl/>
        </w:rPr>
        <w:t xml:space="preserve"> وتوحيد ذات الله سبحانه </w:t>
      </w:r>
      <w:r w:rsidR="009C32A0">
        <w:rPr>
          <w:rFonts w:eastAsia="Times New Roman" w:hint="cs"/>
          <w:rtl/>
        </w:rPr>
        <w:t>يعني أنه متفرّد ليس له مثل أو نظير</w:t>
      </w:r>
      <w:r>
        <w:rPr>
          <w:rFonts w:eastAsia="Times New Roman" w:hint="cs"/>
          <w:rtl/>
        </w:rPr>
        <w:t>،</w:t>
      </w:r>
      <w:r w:rsidR="009C32A0">
        <w:rPr>
          <w:rFonts w:eastAsia="Times New Roman" w:hint="cs"/>
          <w:rtl/>
        </w:rPr>
        <w:t xml:space="preserve"> له الأحدية المطلقة فلا يُمكن أن يكون مركباً أبداً ؛ لان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9C32A0">
        <w:rPr>
          <w:rFonts w:eastAsia="Times New Roman" w:hint="cs"/>
          <w:rtl/>
        </w:rPr>
        <w:t xml:space="preserve"> والحاجة والمحدودية نقص وعيب، والنقص والعيب يستحيل أن يتطرق إلى ذات الغنيّ المطلق</w:t>
      </w:r>
      <w:r>
        <w:rPr>
          <w:rFonts w:eastAsia="Times New Roman" w:hint="cs"/>
          <w:rtl/>
        </w:rPr>
        <w:t>،</w:t>
      </w:r>
      <w:r w:rsidR="009C32A0">
        <w:rPr>
          <w:rFonts w:eastAsia="Times New Roman" w:hint="cs"/>
          <w:rtl/>
        </w:rPr>
        <w:t xml:space="preserve"> فنتج لكل ذي عقل أنَّ الله تعالى منزه عن التركيب والجوارح</w:t>
      </w:r>
      <w:r>
        <w:rPr>
          <w:rFonts w:eastAsia="Times New Roman" w:hint="cs"/>
          <w:rtl/>
        </w:rPr>
        <w:t>،</w:t>
      </w:r>
      <w:r w:rsidR="009C32A0">
        <w:rPr>
          <w:rFonts w:eastAsia="Times New Roman" w:hint="cs"/>
          <w:rtl/>
        </w:rPr>
        <w:t xml:space="preserve"> </w:t>
      </w:r>
      <w:r>
        <w:rPr>
          <w:rFonts w:eastAsia="Times New Roman" w:hint="cs"/>
          <w:rtl/>
        </w:rPr>
        <w:t>{</w:t>
      </w:r>
      <w:r w:rsidR="009C32A0">
        <w:rPr>
          <w:rFonts w:hint="cs"/>
          <w:rtl/>
        </w:rPr>
        <w:t>اللَّهُ الصَّمَدُ</w:t>
      </w:r>
      <w:r>
        <w:rPr>
          <w:rFonts w:hint="cs"/>
          <w:rtl/>
        </w:rPr>
        <w:t>}</w:t>
      </w:r>
      <w:r w:rsidR="009C32A0">
        <w:rPr>
          <w:rFonts w:hint="cs"/>
          <w:rtl/>
        </w:rPr>
        <w:t xml:space="preserve"> الصمدية تعني أنه سبحانه هو السيد الغني الذي له كمال الغنى والمقصود على الدوام تصمد إليه الخلائق في حوائجهم ومسائلهم</w:t>
      </w:r>
      <w:r>
        <w:rPr>
          <w:rFonts w:hint="cs"/>
          <w:rtl/>
        </w:rPr>
        <w:t>،</w:t>
      </w:r>
      <w:r w:rsidR="009C32A0">
        <w:rPr>
          <w:rFonts w:hint="cs"/>
          <w:rtl/>
        </w:rPr>
        <w:t xml:space="preserve"> و </w:t>
      </w:r>
      <w:r>
        <w:rPr>
          <w:rFonts w:hint="cs"/>
          <w:rtl/>
        </w:rPr>
        <w:t>[</w:t>
      </w:r>
      <w:r w:rsidR="009C32A0">
        <w:rPr>
          <w:rFonts w:hint="cs"/>
          <w:rtl/>
        </w:rPr>
        <w:t>الصمد</w:t>
      </w:r>
      <w:r>
        <w:rPr>
          <w:rFonts w:hint="cs"/>
          <w:rtl/>
        </w:rPr>
        <w:t>]</w:t>
      </w:r>
      <w:r w:rsidR="009C32A0">
        <w:rPr>
          <w:rFonts w:hint="cs"/>
          <w:rtl/>
        </w:rPr>
        <w:t xml:space="preserve"> السيد الذي اكتمل غناه تنزه عن الحاجة والنقص والعيب</w:t>
      </w:r>
      <w:r>
        <w:rPr>
          <w:rFonts w:hint="cs"/>
          <w:rtl/>
        </w:rPr>
        <w:t>،</w:t>
      </w:r>
      <w:r w:rsidR="009C32A0">
        <w:rPr>
          <w:rFonts w:hint="cs"/>
          <w:rtl/>
        </w:rPr>
        <w:t xml:space="preserve"> و</w:t>
      </w:r>
      <w:r>
        <w:rPr>
          <w:rFonts w:hint="cs"/>
          <w:rtl/>
        </w:rPr>
        <w:t xml:space="preserve"> {</w:t>
      </w:r>
      <w:r w:rsidR="009C32A0">
        <w:rPr>
          <w:rFonts w:hint="cs"/>
          <w:rtl/>
        </w:rPr>
        <w:t>اللَّهُ أَحَدٌ * اللَّهُ الصَّمَدُ</w:t>
      </w:r>
      <w:r>
        <w:rPr>
          <w:rFonts w:hint="cs"/>
          <w:rtl/>
        </w:rPr>
        <w:t>}</w:t>
      </w:r>
      <w:r w:rsidR="009C32A0">
        <w:rPr>
          <w:rFonts w:hint="cs"/>
          <w:rtl/>
        </w:rPr>
        <w:t xml:space="preserve"> أي الله الذي لا مثيل له ولا نظير ولا شبيه</w:t>
      </w:r>
      <w:r>
        <w:rPr>
          <w:rFonts w:hint="cs"/>
          <w:rtl/>
        </w:rPr>
        <w:t>،</w:t>
      </w:r>
      <w:r w:rsidR="009C32A0">
        <w:rPr>
          <w:rFonts w:hint="cs"/>
          <w:rtl/>
        </w:rPr>
        <w:t xml:space="preserve"> له الكمال المنزه عن النقصان والحاجه</w:t>
      </w:r>
      <w:r>
        <w:rPr>
          <w:rFonts w:hint="cs"/>
          <w:rtl/>
        </w:rPr>
        <w:t>،</w:t>
      </w:r>
      <w:r w:rsidR="009C32A0">
        <w:rPr>
          <w:rFonts w:hint="cs"/>
          <w:rtl/>
        </w:rPr>
        <w:t xml:space="preserve"> وجميع خلقه إليه محتاج</w:t>
      </w:r>
      <w:r>
        <w:rPr>
          <w:rFonts w:hint="cs"/>
          <w:rtl/>
        </w:rPr>
        <w:t>،</w:t>
      </w:r>
      <w:r w:rsidR="009C32A0">
        <w:rPr>
          <w:rFonts w:hint="cs"/>
          <w:rtl/>
        </w:rPr>
        <w:t xml:space="preserve"> </w:t>
      </w:r>
      <w:r>
        <w:rPr>
          <w:rFonts w:hint="cs"/>
          <w:rtl/>
        </w:rPr>
        <w:t>{</w:t>
      </w:r>
      <w:r w:rsidR="009C32A0">
        <w:rPr>
          <w:rFonts w:hint="cs"/>
          <w:rtl/>
        </w:rPr>
        <w:t>لَمْ يَلِدْ وَلَمْ يُولَدْ</w:t>
      </w:r>
      <w:r>
        <w:rPr>
          <w:rFonts w:hint="cs"/>
          <w:rtl/>
        </w:rPr>
        <w:t>}</w:t>
      </w:r>
      <w:r w:rsidR="009C32A0">
        <w:rPr>
          <w:rFonts w:hint="cs"/>
          <w:rtl/>
        </w:rPr>
        <w:t xml:space="preserve"> معناه</w:t>
      </w:r>
      <w:r>
        <w:rPr>
          <w:rFonts w:hint="cs"/>
          <w:rtl/>
        </w:rPr>
        <w:t>:</w:t>
      </w:r>
      <w:r w:rsidR="009C32A0">
        <w:rPr>
          <w:rFonts w:hint="cs"/>
          <w:rtl/>
        </w:rPr>
        <w:t xml:space="preserve"> أنه تعالى أحد صمد</w:t>
      </w:r>
      <w:r>
        <w:rPr>
          <w:rFonts w:hint="cs"/>
          <w:rtl/>
        </w:rPr>
        <w:t>،</w:t>
      </w:r>
      <w:r w:rsidR="009C32A0">
        <w:rPr>
          <w:rFonts w:hint="cs"/>
          <w:rtl/>
        </w:rPr>
        <w:t xml:space="preserve"> لا ينفصل من شيء ولم ينفصل منه شيء</w:t>
      </w:r>
      <w:r>
        <w:rPr>
          <w:rFonts w:hint="cs"/>
          <w:rtl/>
        </w:rPr>
        <w:t>،</w:t>
      </w:r>
      <w:r w:rsidR="009C32A0">
        <w:rPr>
          <w:rFonts w:hint="cs"/>
          <w:rtl/>
        </w:rPr>
        <w:t xml:space="preserve"> تنزه عن أن يكون منه جزء مخلوق {لَمْ يَلِدْ</w:t>
      </w:r>
      <w:r>
        <w:rPr>
          <w:rFonts w:hint="cs"/>
          <w:rtl/>
        </w:rPr>
        <w:t>}،</w:t>
      </w:r>
      <w:r w:rsidR="009C32A0">
        <w:rPr>
          <w:rFonts w:hint="cs"/>
          <w:rtl/>
        </w:rPr>
        <w:t xml:space="preserve"> وتنزه عن أن يكون هو محدث مخلوق </w:t>
      </w:r>
      <w:r>
        <w:rPr>
          <w:rFonts w:hint="cs"/>
          <w:rtl/>
        </w:rPr>
        <w:t>{</w:t>
      </w:r>
      <w:r w:rsidR="009C32A0">
        <w:rPr>
          <w:rFonts w:hint="cs"/>
          <w:rtl/>
        </w:rPr>
        <w:t>وَلَمْ يُولَدْ</w:t>
      </w:r>
      <w:r>
        <w:rPr>
          <w:rFonts w:hint="cs"/>
          <w:rtl/>
        </w:rPr>
        <w:t>}،</w:t>
      </w:r>
      <w:r w:rsidR="009C32A0">
        <w:rPr>
          <w:rFonts w:hint="cs"/>
          <w:rtl/>
        </w:rPr>
        <w:t xml:space="preserve"> بل هو الأول فليس قبله شيء وهو الآخر فليس بعده شيء</w:t>
      </w:r>
      <w:r>
        <w:rPr>
          <w:rFonts w:hint="cs"/>
          <w:rtl/>
        </w:rPr>
        <w:t>،</w:t>
      </w:r>
      <w:r w:rsidR="009C32A0">
        <w:rPr>
          <w:rFonts w:hint="cs"/>
          <w:rtl/>
        </w:rPr>
        <w:t xml:space="preserve"> الخالق لكل شيء ومن عداه مخلوق</w:t>
      </w:r>
      <w:r>
        <w:rPr>
          <w:rFonts w:hint="cs"/>
          <w:rtl/>
        </w:rPr>
        <w:t xml:space="preserve">، </w:t>
      </w:r>
      <w:r w:rsidR="009C32A0">
        <w:rPr>
          <w:rFonts w:hint="cs"/>
          <w:rtl/>
        </w:rPr>
        <w:t>أحد لا نظير له</w:t>
      </w:r>
      <w:r>
        <w:rPr>
          <w:rFonts w:hint="cs"/>
          <w:rtl/>
        </w:rPr>
        <w:t>،</w:t>
      </w:r>
      <w:r w:rsidR="009C32A0">
        <w:rPr>
          <w:rFonts w:hint="cs"/>
          <w:rtl/>
        </w:rPr>
        <w:t xml:space="preserve"> صمد لا ينفصل من شيء ولم ينفصل منه شيء</w:t>
      </w:r>
      <w:r>
        <w:rPr>
          <w:rFonts w:hint="cs"/>
          <w:rtl/>
        </w:rPr>
        <w:t>،</w:t>
      </w:r>
      <w:r w:rsidR="009C32A0">
        <w:rPr>
          <w:rFonts w:hint="cs"/>
          <w:rtl/>
        </w:rPr>
        <w:t xml:space="preserve"> و </w:t>
      </w:r>
      <w:r>
        <w:rPr>
          <w:rFonts w:hint="cs"/>
          <w:rtl/>
        </w:rPr>
        <w:t>{</w:t>
      </w:r>
      <w:r w:rsidR="009C32A0">
        <w:rPr>
          <w:rFonts w:hint="cs"/>
          <w:rtl/>
        </w:rPr>
        <w:t>وَلَمْ يَكُنْ لَهُ كُفُوًا أَحَدٌ</w:t>
      </w:r>
      <w:r>
        <w:rPr>
          <w:rFonts w:hint="cs"/>
          <w:rtl/>
        </w:rPr>
        <w:t>}</w:t>
      </w:r>
      <w:r w:rsidR="009C32A0">
        <w:rPr>
          <w:rFonts w:eastAsia="Times New Roman" w:hint="cs"/>
          <w:rtl/>
        </w:rPr>
        <w:t xml:space="preserve"> أي لا نظير له بوجه من الوجوه، ولا كفء له ولا شبيه</w:t>
      </w:r>
      <w:r>
        <w:rPr>
          <w:rFonts w:eastAsia="Times New Roman" w:hint="cs"/>
          <w:rtl/>
          <w:lang w:bidi="ar-KW"/>
        </w:rPr>
        <w:t>،</w:t>
      </w:r>
      <w:r w:rsidR="009C32A0">
        <w:rPr>
          <w:rFonts w:eastAsia="Times New Roman" w:hint="cs"/>
          <w:rtl/>
          <w:lang w:bidi="ar-KW"/>
        </w:rPr>
        <w:t xml:space="preserve"> </w:t>
      </w:r>
    </w:p>
    <w:p w14:paraId="4600CD6B" w14:textId="7F861BFC" w:rsidR="009C32A0" w:rsidRDefault="000636C2" w:rsidP="000636C2">
      <w:pPr>
        <w:ind w:left="-58"/>
        <w:rPr>
          <w:rFonts w:ascii="Times New Roman" w:hAnsi="Times New Roman" w:cs="Times New Roman"/>
          <w:b/>
          <w:sz w:val="24"/>
          <w:szCs w:val="24"/>
        </w:rPr>
      </w:pPr>
      <w:r>
        <w:rPr>
          <w:rFonts w:hint="cs"/>
          <w:bCs/>
          <w:rtl/>
          <w:lang w:bidi="ar-KW"/>
        </w:rPr>
        <w:t>[</w:t>
      </w:r>
      <w:r w:rsidR="009C32A0">
        <w:rPr>
          <w:rFonts w:hint="cs"/>
          <w:bCs/>
          <w:rtl/>
          <w:lang w:bidi="ar-KW"/>
        </w:rPr>
        <w:t>3</w:t>
      </w:r>
      <w:r>
        <w:rPr>
          <w:rFonts w:hint="cs"/>
          <w:bCs/>
          <w:rtl/>
          <w:lang w:bidi="ar-KW"/>
        </w:rPr>
        <w:t>]</w:t>
      </w:r>
      <w:r w:rsidR="009C32A0">
        <w:rPr>
          <w:rFonts w:hint="cs"/>
          <w:bCs/>
          <w:rtl/>
          <w:lang w:bidi="ar-KW"/>
        </w:rPr>
        <w:t xml:space="preserve"> قوله تعالى</w:t>
      </w:r>
      <w:r>
        <w:rPr>
          <w:rFonts w:hint="cs"/>
          <w:bCs/>
          <w:rtl/>
          <w:lang w:bidi="ar-KW"/>
        </w:rPr>
        <w:t>:</w:t>
      </w:r>
      <w:r w:rsidR="009C32A0">
        <w:rPr>
          <w:rFonts w:hint="cs"/>
          <w:bCs/>
          <w:rtl/>
          <w:lang w:bidi="ar-KW"/>
        </w:rPr>
        <w:t xml:space="preserve"> </w:t>
      </w:r>
      <w:r>
        <w:rPr>
          <w:rFonts w:hint="cs"/>
          <w:bCs/>
          <w:rtl/>
          <w:lang w:bidi="ar-KW"/>
        </w:rPr>
        <w:t>{</w:t>
      </w:r>
      <w:r w:rsidR="009C32A0">
        <w:rPr>
          <w:rFonts w:hint="cs"/>
          <w:bCs/>
          <w:rtl/>
        </w:rPr>
        <w:t>قُلِ اللَّهُ خَالِقُ كُلِّ شَيْءٍ وَهُوَ الْوَاحِدُ الْقَهَّارُ</w:t>
      </w:r>
      <w:r>
        <w:rPr>
          <w:rFonts w:hint="cs"/>
          <w:bCs/>
          <w:rtl/>
        </w:rPr>
        <w:t>}</w:t>
      </w:r>
      <w:r w:rsidR="009C32A0">
        <w:rPr>
          <w:rFonts w:hint="cs"/>
          <w:bCs/>
          <w:rtl/>
        </w:rPr>
        <w:t xml:space="preserve"> </w:t>
      </w:r>
      <w:r>
        <w:rPr>
          <w:rFonts w:hint="cs"/>
          <w:bCs/>
          <w:rtl/>
        </w:rPr>
        <w:t>[</w:t>
      </w:r>
      <w:r w:rsidR="009C32A0">
        <w:rPr>
          <w:rFonts w:hint="cs"/>
          <w:bCs/>
          <w:rtl/>
        </w:rPr>
        <w:t>الرعد</w:t>
      </w:r>
      <w:r>
        <w:rPr>
          <w:rFonts w:hint="cs"/>
          <w:bCs/>
          <w:rtl/>
        </w:rPr>
        <w:t>:</w:t>
      </w:r>
      <w:r w:rsidR="009C32A0">
        <w:rPr>
          <w:rFonts w:hint="cs"/>
          <w:bCs/>
          <w:rtl/>
        </w:rPr>
        <w:t xml:space="preserve"> 16</w:t>
      </w:r>
      <w:r>
        <w:rPr>
          <w:rFonts w:hint="cs"/>
          <w:bCs/>
          <w:rtl/>
        </w:rPr>
        <w:t>]،</w:t>
      </w:r>
      <w:r w:rsidR="009C32A0">
        <w:rPr>
          <w:rFonts w:hint="cs"/>
          <w:bCs/>
          <w:rtl/>
        </w:rPr>
        <w:t xml:space="preserve"> </w:t>
      </w:r>
      <w:r>
        <w:rPr>
          <w:rFonts w:hint="cs"/>
          <w:bCs/>
          <w:rtl/>
          <w:lang w:bidi="ar-KW"/>
        </w:rPr>
        <w:t>{</w:t>
      </w:r>
      <w:r w:rsidR="009C32A0">
        <w:rPr>
          <w:rFonts w:hint="cs"/>
          <w:bCs/>
          <w:rtl/>
        </w:rPr>
        <w:t>قُلِ اللَّهُ خَالِقُ كُلِّ شَيْءٍ</w:t>
      </w:r>
      <w:r>
        <w:rPr>
          <w:rFonts w:hint="cs"/>
          <w:bCs/>
          <w:rtl/>
        </w:rPr>
        <w:t>}</w:t>
      </w:r>
      <w:r w:rsidR="009C32A0">
        <w:rPr>
          <w:rFonts w:hint="cs"/>
          <w:rtl/>
        </w:rPr>
        <w:t xml:space="preserve"> يدل على أنّ كل ما في الوجود خلق الله تعالى ومن ذلك المكان والزمان</w:t>
      </w:r>
      <w:r>
        <w:rPr>
          <w:rFonts w:hint="cs"/>
          <w:rtl/>
        </w:rPr>
        <w:t>،</w:t>
      </w:r>
      <w:r w:rsidR="009C32A0">
        <w:rPr>
          <w:rFonts w:hint="cs"/>
          <w:rtl/>
        </w:rPr>
        <w:t xml:space="preserve"> والعرش والكرسي والسموات والأرض كل ذلك من خلق الله تعالى</w:t>
      </w:r>
      <w:r>
        <w:rPr>
          <w:rFonts w:hint="cs"/>
          <w:rtl/>
        </w:rPr>
        <w:t>،</w:t>
      </w:r>
      <w:r w:rsidR="009C32A0">
        <w:rPr>
          <w:rFonts w:hint="cs"/>
          <w:rtl/>
        </w:rPr>
        <w:t xml:space="preserve"> ولا ينكر ذلك مسلم موحد لله تعالى</w:t>
      </w:r>
      <w:r>
        <w:rPr>
          <w:rFonts w:hint="cs"/>
          <w:rtl/>
        </w:rPr>
        <w:t>،</w:t>
      </w:r>
      <w:r w:rsidR="009C32A0">
        <w:rPr>
          <w:rFonts w:hint="cs"/>
          <w:rtl/>
        </w:rPr>
        <w:t xml:space="preserve"> والله عز وجل تنزه أن يحل في شيء من مخلوقاته</w:t>
      </w:r>
      <w:r>
        <w:rPr>
          <w:rFonts w:hint="cs"/>
          <w:rtl/>
        </w:rPr>
        <w:t>،</w:t>
      </w:r>
      <w:r w:rsidR="009C32A0">
        <w:rPr>
          <w:rFonts w:hint="cs"/>
          <w:rtl/>
        </w:rPr>
        <w:t xml:space="preserve"> وعقيدة الاتحاد والحلول عقيدة تكَفّر صاحبها</w:t>
      </w:r>
      <w:r>
        <w:rPr>
          <w:rFonts w:hint="cs"/>
          <w:rtl/>
        </w:rPr>
        <w:t>،</w:t>
      </w:r>
      <w:r w:rsidR="009C32A0">
        <w:rPr>
          <w:rFonts w:hint="cs"/>
          <w:rtl/>
        </w:rPr>
        <w:t xml:space="preserve"> فدل ذلك على أنّ الله تعالى لا يحل في مكان ولا يجري عليه زمان لأنّه ليس كمثله شيء</w:t>
      </w:r>
      <w:r>
        <w:rPr>
          <w:rFonts w:hint="cs"/>
          <w:rtl/>
        </w:rPr>
        <w:t>،</w:t>
      </w:r>
      <w:r w:rsidR="009C32A0">
        <w:rPr>
          <w:rFonts w:hint="cs"/>
          <w:rtl/>
        </w:rPr>
        <w:t xml:space="preserve"> وقوله تعالى </w:t>
      </w:r>
      <w:r>
        <w:rPr>
          <w:rFonts w:hint="cs"/>
          <w:rtl/>
        </w:rPr>
        <w:t>{</w:t>
      </w:r>
      <w:r w:rsidR="009C32A0">
        <w:rPr>
          <w:rFonts w:hint="cs"/>
          <w:rtl/>
        </w:rPr>
        <w:t>وَهُوَ الْوَاحِدُ الْقَهَّارُ</w:t>
      </w:r>
      <w:r>
        <w:rPr>
          <w:rFonts w:hint="cs"/>
          <w:rtl/>
        </w:rPr>
        <w:t>}،</w:t>
      </w:r>
      <w:r w:rsidR="009C32A0">
        <w:rPr>
          <w:rFonts w:hint="cs"/>
          <w:rtl/>
        </w:rPr>
        <w:t xml:space="preserve"> الله عز وجل هو وحده سبحانه الواحد القهار لأنه قهر الوجود بما فيه من مخلوقاته</w:t>
      </w:r>
      <w:r>
        <w:rPr>
          <w:rFonts w:hint="cs"/>
          <w:rtl/>
        </w:rPr>
        <w:t>،</w:t>
      </w:r>
      <w:r w:rsidR="009C32A0">
        <w:rPr>
          <w:rFonts w:hint="cs"/>
          <w:rtl/>
        </w:rPr>
        <w:t xml:space="preserve"> حدّ لهم الحدود وقدّر لهم المقادير</w:t>
      </w:r>
      <w:r>
        <w:rPr>
          <w:rFonts w:hint="cs"/>
          <w:rtl/>
        </w:rPr>
        <w:t>،</w:t>
      </w:r>
      <w:r w:rsidR="009C32A0">
        <w:rPr>
          <w:rFonts w:hint="cs"/>
          <w:rtl/>
        </w:rPr>
        <w:t xml:space="preserve"> وقهرها جميعها بالحد والمقدار</w:t>
      </w:r>
      <w:r>
        <w:rPr>
          <w:rFonts w:hint="cs"/>
          <w:rtl/>
        </w:rPr>
        <w:t>،</w:t>
      </w:r>
      <w:r w:rsidR="009C32A0">
        <w:rPr>
          <w:rFonts w:hint="cs"/>
          <w:rtl/>
        </w:rPr>
        <w:t xml:space="preserve"> فما من مخلوق إلاّ وله حد ومقدار</w:t>
      </w:r>
      <w:r>
        <w:rPr>
          <w:rFonts w:hint="cs"/>
          <w:rtl/>
        </w:rPr>
        <w:t>،</w:t>
      </w:r>
      <w:r w:rsidR="009C32A0">
        <w:rPr>
          <w:rFonts w:hint="cs"/>
          <w:rtl/>
        </w:rPr>
        <w:t xml:space="preserve"> لأن الخالق سبحانه هو الذي حد له حدوده</w:t>
      </w:r>
      <w:r>
        <w:rPr>
          <w:rFonts w:hint="cs"/>
          <w:rtl/>
        </w:rPr>
        <w:t>،</w:t>
      </w:r>
      <w:r w:rsidR="009C32A0">
        <w:rPr>
          <w:rFonts w:hint="cs"/>
          <w:rtl/>
        </w:rPr>
        <w:t xml:space="preserve"> وقدّر له مقداره</w:t>
      </w:r>
      <w:r>
        <w:rPr>
          <w:rFonts w:hint="cs"/>
          <w:rtl/>
        </w:rPr>
        <w:t>،</w:t>
      </w:r>
      <w:r w:rsidR="009C32A0">
        <w:rPr>
          <w:rFonts w:hint="cs"/>
          <w:rtl/>
        </w:rPr>
        <w:t xml:space="preserve"> وقهرها جميعها بالحد والمقدار</w:t>
      </w:r>
      <w:r>
        <w:rPr>
          <w:rFonts w:hint="cs"/>
          <w:rtl/>
        </w:rPr>
        <w:t>،</w:t>
      </w:r>
      <w:r w:rsidR="009C32A0">
        <w:rPr>
          <w:rFonts w:hint="cs"/>
          <w:rtl/>
        </w:rPr>
        <w:t xml:space="preserve"> فكل مخلوق محدود متناهي مقهور </w:t>
      </w:r>
      <w:r w:rsidR="009C32A0">
        <w:rPr>
          <w:rFonts w:hint="cs"/>
          <w:rtl/>
        </w:rPr>
        <w:lastRenderedPageBreak/>
        <w:t>للحدود والقيود الحاكمة عليه</w:t>
      </w:r>
      <w:r>
        <w:rPr>
          <w:rFonts w:hint="cs"/>
          <w:rtl/>
        </w:rPr>
        <w:t>،</w:t>
      </w:r>
      <w:r w:rsidR="009C32A0">
        <w:rPr>
          <w:rFonts w:hint="cs"/>
          <w:rtl/>
        </w:rPr>
        <w:t xml:space="preserve"> والدليل على ذلك</w:t>
      </w:r>
      <w:r>
        <w:rPr>
          <w:rFonts w:hint="cs"/>
          <w:rtl/>
        </w:rPr>
        <w:t>:</w:t>
      </w:r>
      <w:r w:rsidR="009C32A0">
        <w:rPr>
          <w:rFonts w:hint="cs"/>
          <w:rtl/>
        </w:rPr>
        <w:t xml:space="preserve"> قوله تعالى: </w:t>
      </w:r>
      <w:r>
        <w:rPr>
          <w:rFonts w:hint="cs"/>
          <w:rtl/>
        </w:rPr>
        <w:t>{</w:t>
      </w:r>
      <w:r w:rsidR="009C32A0">
        <w:rPr>
          <w:rFonts w:hint="cs"/>
          <w:rtl/>
        </w:rPr>
        <w:t>وخلق كل شيء فقدره تقديراً</w:t>
      </w:r>
      <w:r>
        <w:rPr>
          <w:rFonts w:hint="cs"/>
          <w:rtl/>
        </w:rPr>
        <w:t>}،</w:t>
      </w:r>
      <w:r w:rsidR="009C32A0">
        <w:rPr>
          <w:rFonts w:hint="cs"/>
          <w:rtl/>
        </w:rPr>
        <w:t xml:space="preserve"> وقوله تعالى</w:t>
      </w:r>
      <w:r>
        <w:rPr>
          <w:rFonts w:hint="cs"/>
          <w:rtl/>
        </w:rPr>
        <w:t>:{</w:t>
      </w:r>
      <w:r w:rsidR="009C32A0">
        <w:rPr>
          <w:rFonts w:hint="cs"/>
          <w:rtl/>
        </w:rPr>
        <w:t>جعل الله لكل شيء قدرا</w:t>
      </w:r>
      <w:r>
        <w:rPr>
          <w:rFonts w:hint="cs"/>
          <w:rtl/>
        </w:rPr>
        <w:t>}،</w:t>
      </w:r>
      <w:r w:rsidR="009C32A0">
        <w:rPr>
          <w:rFonts w:hint="cs"/>
          <w:rtl/>
        </w:rPr>
        <w:t xml:space="preserve"> وقوله تعالى</w:t>
      </w:r>
      <w:r>
        <w:rPr>
          <w:rFonts w:hint="cs"/>
          <w:rtl/>
        </w:rPr>
        <w:t>:{</w:t>
      </w:r>
      <w:r w:rsidR="009C32A0">
        <w:rPr>
          <w:rFonts w:hint="cs"/>
          <w:rtl/>
        </w:rPr>
        <w:t>وإن من شيء إلاّ عندنا خزائنه وما ننزله إلا بقدر معلوم</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إنا كل شيء خلقناه بقدر</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قد جعل الله لكل شيء قدرا</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وكل شيء عنده بمقدار</w:t>
      </w:r>
      <w:r>
        <w:rPr>
          <w:rFonts w:hint="cs"/>
          <w:rtl/>
        </w:rPr>
        <w:t>}،</w:t>
      </w:r>
      <w:r w:rsidR="009C32A0">
        <w:rPr>
          <w:rFonts w:hint="cs"/>
          <w:rtl/>
        </w:rPr>
        <w:t xml:space="preserve"> ومعنى هذه الآيات</w:t>
      </w:r>
      <w:r>
        <w:rPr>
          <w:rFonts w:hint="cs"/>
          <w:rtl/>
        </w:rPr>
        <w:t xml:space="preserve"> </w:t>
      </w:r>
      <w:r w:rsidR="009C32A0">
        <w:rPr>
          <w:rFonts w:hint="cs"/>
          <w:rtl/>
        </w:rPr>
        <w:t xml:space="preserve">أن الله عز وجل خص كل مخلوق </w:t>
      </w:r>
      <w:r>
        <w:rPr>
          <w:rFonts w:hint="cs"/>
          <w:rtl/>
        </w:rPr>
        <w:t>(</w:t>
      </w:r>
      <w:r w:rsidR="009C32A0">
        <w:rPr>
          <w:rFonts w:hint="cs"/>
          <w:rtl/>
        </w:rPr>
        <w:t>بحد ومقدار</w:t>
      </w:r>
      <w:r>
        <w:rPr>
          <w:rFonts w:hint="cs"/>
          <w:rtl/>
        </w:rPr>
        <w:t>)</w:t>
      </w:r>
      <w:r w:rsidR="009C32A0">
        <w:rPr>
          <w:rFonts w:hint="cs"/>
          <w:rtl/>
        </w:rPr>
        <w:t xml:space="preserve"> لا يجاوزهما ولا يقصر عنهما</w:t>
      </w:r>
      <w:r>
        <w:rPr>
          <w:rFonts w:hint="cs"/>
          <w:rtl/>
        </w:rPr>
        <w:t>،</w:t>
      </w:r>
      <w:r w:rsidR="009C32A0">
        <w:rPr>
          <w:rFonts w:hint="cs"/>
          <w:rtl/>
        </w:rPr>
        <w:t xml:space="preserve"> والحد والمقدار سمتان من سمات المخلوق وبيان أن هناك خالق مقدِر خصصه على هذا الحد وهذا المقدار</w:t>
      </w:r>
      <w:r>
        <w:rPr>
          <w:rFonts w:hint="cs"/>
          <w:rtl/>
        </w:rPr>
        <w:t>،</w:t>
      </w:r>
      <w:r w:rsidR="009C32A0">
        <w:rPr>
          <w:rFonts w:hint="cs"/>
          <w:rtl/>
        </w:rPr>
        <w:t xml:space="preserve"> فكل موجود له حد ونهاية يكون الحد والنهاية دليل على انه مخلوق حادث</w:t>
      </w:r>
      <w:r>
        <w:rPr>
          <w:rFonts w:hint="cs"/>
          <w:rtl/>
        </w:rPr>
        <w:t xml:space="preserve">، </w:t>
      </w:r>
      <w:r w:rsidR="009C32A0">
        <w:rPr>
          <w:rFonts w:hint="cs"/>
          <w:rtl/>
        </w:rPr>
        <w:t>وأن موجده ومخصصه على هذه الحال هو الله تعالى</w:t>
      </w:r>
      <w:r>
        <w:rPr>
          <w:rFonts w:hint="cs"/>
          <w:rtl/>
        </w:rPr>
        <w:t>،</w:t>
      </w:r>
      <w:r w:rsidR="009C32A0">
        <w:rPr>
          <w:rFonts w:hint="cs"/>
          <w:rtl/>
        </w:rPr>
        <w:t xml:space="preserve"> أَمّا الله تعالى فهو الواحد القهار</w:t>
      </w:r>
      <w:r>
        <w:rPr>
          <w:rFonts w:hint="cs"/>
          <w:rtl/>
        </w:rPr>
        <w:t>،</w:t>
      </w:r>
      <w:r w:rsidR="009C32A0">
        <w:rPr>
          <w:rFonts w:hint="cs"/>
          <w:rtl/>
        </w:rPr>
        <w:t xml:space="preserve"> فإنه لما</w:t>
      </w:r>
      <w:r>
        <w:rPr>
          <w:rFonts w:hint="cs"/>
          <w:rtl/>
        </w:rPr>
        <w:t xml:space="preserve"> </w:t>
      </w:r>
      <w:r w:rsidR="009C32A0">
        <w:rPr>
          <w:rFonts w:hint="cs"/>
          <w:rtl/>
        </w:rPr>
        <w:t>كان قاهراً لجميع مخلوقاته</w:t>
      </w:r>
      <w:r>
        <w:rPr>
          <w:rFonts w:hint="cs"/>
          <w:rtl/>
        </w:rPr>
        <w:t>،</w:t>
      </w:r>
      <w:r w:rsidR="009C32A0">
        <w:rPr>
          <w:rFonts w:hint="cs"/>
          <w:rtl/>
        </w:rPr>
        <w:t xml:space="preserve"> لم تتحكّم فيه الحدود لأنّ الحدود من خلقه</w:t>
      </w:r>
      <w:r>
        <w:rPr>
          <w:rFonts w:hint="cs"/>
          <w:rtl/>
        </w:rPr>
        <w:t>،</w:t>
      </w:r>
      <w:r w:rsidR="009C32A0">
        <w:rPr>
          <w:rFonts w:hint="cs"/>
          <w:rtl/>
        </w:rPr>
        <w:t xml:space="preserve"> وهو خالق الحدود والمقادير</w:t>
      </w:r>
      <w:r>
        <w:rPr>
          <w:rFonts w:hint="cs"/>
          <w:rtl/>
        </w:rPr>
        <w:t>،</w:t>
      </w:r>
      <w:r w:rsidR="009C32A0">
        <w:rPr>
          <w:rFonts w:hint="cs"/>
          <w:rtl/>
        </w:rPr>
        <w:t xml:space="preserve"> وإذا كان تعالى لا يقهره شيء وهو القاهر فوق كلّ شيء، فليس بمحدود في شيء، منزه عن المقدار</w:t>
      </w:r>
      <w:r>
        <w:rPr>
          <w:rFonts w:hint="cs"/>
          <w:rtl/>
        </w:rPr>
        <w:t>،</w:t>
      </w:r>
      <w:r w:rsidR="009C32A0">
        <w:rPr>
          <w:rFonts w:hint="cs"/>
          <w:rtl/>
        </w:rPr>
        <w:t xml:space="preserve"> لأنه سبحانه الواحد القهار لا يشوبه نقص</w:t>
      </w:r>
      <w:r>
        <w:rPr>
          <w:rFonts w:hint="cs"/>
          <w:rtl/>
        </w:rPr>
        <w:t>،</w:t>
      </w:r>
      <w:r w:rsidR="009C32A0">
        <w:rPr>
          <w:rFonts w:hint="cs"/>
          <w:rtl/>
        </w:rPr>
        <w:t xml:space="preserve"> ولا يحده حد</w:t>
      </w:r>
      <w:r>
        <w:rPr>
          <w:rFonts w:hint="cs"/>
          <w:rtl/>
        </w:rPr>
        <w:t>،</w:t>
      </w:r>
      <w:r w:rsidR="009C32A0">
        <w:rPr>
          <w:rFonts w:hint="cs"/>
          <w:rtl/>
        </w:rPr>
        <w:t xml:space="preserve"> ولا يقدره مقدار</w:t>
      </w:r>
      <w:r>
        <w:rPr>
          <w:rFonts w:hint="cs"/>
          <w:rtl/>
        </w:rPr>
        <w:t>،</w:t>
      </w:r>
      <w:r w:rsidR="009C32A0">
        <w:rPr>
          <w:rFonts w:hint="cs"/>
          <w:rtl/>
        </w:rPr>
        <w:t xml:space="preserve"> كيف وهو الذي خلق الحدود والمقادير وهو الواحد القهار</w:t>
      </w:r>
      <w:r>
        <w:rPr>
          <w:rFonts w:hint="cs"/>
          <w:rtl/>
        </w:rPr>
        <w:t>،</w:t>
      </w:r>
      <w:r w:rsidR="009C32A0">
        <w:rPr>
          <w:rFonts w:hint="cs"/>
          <w:rtl/>
        </w:rPr>
        <w:t xml:space="preserve"> والله سبحانه هو الذي قهر الوجود بما فيه من مخلوقاته بأن خلق لهم المكان يحيط بهم من كل جانب</w:t>
      </w:r>
      <w:r>
        <w:rPr>
          <w:rFonts w:hint="cs"/>
          <w:rtl/>
        </w:rPr>
        <w:t>،</w:t>
      </w:r>
      <w:r w:rsidR="009C32A0">
        <w:rPr>
          <w:rFonts w:hint="cs"/>
          <w:rtl/>
        </w:rPr>
        <w:t xml:space="preserve"> فلا يستطيعون الفكاك منه وهم مقهورون به فلا يكونون إلا في مكان</w:t>
      </w:r>
      <w:r>
        <w:rPr>
          <w:rFonts w:hint="cs"/>
          <w:rtl/>
        </w:rPr>
        <w:t>،</w:t>
      </w:r>
      <w:r w:rsidR="009C32A0">
        <w:rPr>
          <w:rFonts w:hint="cs"/>
          <w:rtl/>
        </w:rPr>
        <w:t xml:space="preserve"> وخلق لهم الزمان لتجري عليهم قوانينه</w:t>
      </w:r>
      <w:r>
        <w:rPr>
          <w:rFonts w:hint="cs"/>
          <w:rtl/>
        </w:rPr>
        <w:t>،</w:t>
      </w:r>
      <w:r w:rsidR="009C32A0">
        <w:rPr>
          <w:rFonts w:hint="cs"/>
          <w:rtl/>
        </w:rPr>
        <w:t xml:space="preserve"> فلا يستطيعون الحياة إلا بقوانين الزمان</w:t>
      </w:r>
      <w:r>
        <w:rPr>
          <w:rFonts w:hint="cs"/>
          <w:rtl/>
        </w:rPr>
        <w:t>،</w:t>
      </w:r>
      <w:r w:rsidR="009C32A0">
        <w:rPr>
          <w:rFonts w:hint="cs"/>
          <w:rtl/>
        </w:rPr>
        <w:t xml:space="preserve"> أما الله تعالى خالق الزمان والمكان</w:t>
      </w:r>
      <w:r>
        <w:rPr>
          <w:rFonts w:hint="cs"/>
          <w:rtl/>
        </w:rPr>
        <w:t>،</w:t>
      </w:r>
      <w:r w:rsidR="009C32A0">
        <w:rPr>
          <w:rFonts w:hint="cs"/>
          <w:rtl/>
        </w:rPr>
        <w:t xml:space="preserve"> وهو القاهر والقهار فوق جميع خلقه</w:t>
      </w:r>
      <w:r>
        <w:rPr>
          <w:rFonts w:hint="cs"/>
          <w:rtl/>
        </w:rPr>
        <w:t>،</w:t>
      </w:r>
      <w:r w:rsidR="009C32A0">
        <w:rPr>
          <w:rFonts w:hint="cs"/>
          <w:rtl/>
        </w:rPr>
        <w:t xml:space="preserve"> فهو القاهر للمكان</w:t>
      </w:r>
      <w:r>
        <w:rPr>
          <w:rFonts w:hint="cs"/>
          <w:rtl/>
        </w:rPr>
        <w:t>،</w:t>
      </w:r>
      <w:r w:rsidR="009C32A0">
        <w:rPr>
          <w:rFonts w:hint="cs"/>
          <w:rtl/>
        </w:rPr>
        <w:t xml:space="preserve"> فلا يحويه مكان</w:t>
      </w:r>
      <w:r>
        <w:rPr>
          <w:rFonts w:hint="cs"/>
          <w:rtl/>
        </w:rPr>
        <w:t>،</w:t>
      </w:r>
      <w:r w:rsidR="009C32A0">
        <w:rPr>
          <w:rFonts w:hint="cs"/>
          <w:rtl/>
        </w:rPr>
        <w:t xml:space="preserve"> ولو حواه المكان كان المكان له قاهراً</w:t>
      </w:r>
      <w:r>
        <w:rPr>
          <w:rFonts w:hint="cs"/>
          <w:rtl/>
        </w:rPr>
        <w:t>،</w:t>
      </w:r>
      <w:r w:rsidR="009C32A0">
        <w:rPr>
          <w:rFonts w:hint="cs"/>
          <w:rtl/>
        </w:rPr>
        <w:t xml:space="preserve"> وعليه حاكما</w:t>
      </w:r>
      <w:r>
        <w:rPr>
          <w:rFonts w:hint="cs"/>
          <w:rtl/>
        </w:rPr>
        <w:t>،</w:t>
      </w:r>
      <w:r w:rsidR="009C32A0">
        <w:rPr>
          <w:rFonts w:hint="cs"/>
          <w:rtl/>
        </w:rPr>
        <w:t xml:space="preserve"> ولكنه سبحانه القاهر فوق المكان والمحيط بكل شيء ومنه المكان</w:t>
      </w:r>
      <w:r>
        <w:rPr>
          <w:rFonts w:hint="cs"/>
          <w:rtl/>
        </w:rPr>
        <w:t>،</w:t>
      </w:r>
      <w:r w:rsidR="009C32A0">
        <w:rPr>
          <w:rFonts w:hint="cs"/>
          <w:rtl/>
        </w:rPr>
        <w:t xml:space="preserve"> وهو سبحانه القاهر على الزمان</w:t>
      </w:r>
      <w:r>
        <w:rPr>
          <w:rFonts w:hint="cs"/>
          <w:rtl/>
        </w:rPr>
        <w:t>،</w:t>
      </w:r>
      <w:r w:rsidR="009C32A0">
        <w:rPr>
          <w:rFonts w:hint="cs"/>
          <w:rtl/>
        </w:rPr>
        <w:t xml:space="preserve"> فلا يجري عليه زمان</w:t>
      </w:r>
      <w:r>
        <w:rPr>
          <w:rFonts w:hint="cs"/>
          <w:rtl/>
        </w:rPr>
        <w:t>،</w:t>
      </w:r>
      <w:r w:rsidR="009C32A0">
        <w:rPr>
          <w:rFonts w:hint="cs"/>
          <w:rtl/>
        </w:rPr>
        <w:t xml:space="preserve"> ولو جرى عليه الزمان لكان الزمان له قاهرا</w:t>
      </w:r>
      <w:r>
        <w:rPr>
          <w:rFonts w:hint="cs"/>
          <w:rtl/>
        </w:rPr>
        <w:t>،</w:t>
      </w:r>
      <w:r w:rsidR="009C32A0">
        <w:rPr>
          <w:rFonts w:hint="cs"/>
          <w:rtl/>
        </w:rPr>
        <w:t xml:space="preserve"> وعليه حاكما</w:t>
      </w:r>
      <w:r>
        <w:rPr>
          <w:rFonts w:hint="cs"/>
          <w:rtl/>
        </w:rPr>
        <w:t>،</w:t>
      </w:r>
      <w:r w:rsidR="009C32A0">
        <w:rPr>
          <w:rFonts w:hint="cs"/>
          <w:rtl/>
        </w:rPr>
        <w:t xml:space="preserve"> ولكنه سبحانه خالق المكان والزمان</w:t>
      </w:r>
      <w:r>
        <w:rPr>
          <w:rFonts w:hint="cs"/>
          <w:rtl/>
        </w:rPr>
        <w:t>،</w:t>
      </w:r>
      <w:r w:rsidR="009C32A0">
        <w:rPr>
          <w:rFonts w:hint="cs"/>
          <w:rtl/>
        </w:rPr>
        <w:t xml:space="preserve"> وقاهر المكان والزمان</w:t>
      </w:r>
      <w:r>
        <w:rPr>
          <w:rFonts w:hint="cs"/>
          <w:rtl/>
        </w:rPr>
        <w:t>،</w:t>
      </w:r>
      <w:r w:rsidR="009C32A0">
        <w:rPr>
          <w:rFonts w:hint="cs"/>
          <w:rtl/>
        </w:rPr>
        <w:t xml:space="preserve"> فلا يحويه مكان</w:t>
      </w:r>
      <w:r>
        <w:rPr>
          <w:rFonts w:hint="cs"/>
          <w:rtl/>
        </w:rPr>
        <w:t>،</w:t>
      </w:r>
      <w:r w:rsidR="009C32A0">
        <w:rPr>
          <w:rFonts w:hint="cs"/>
          <w:rtl/>
        </w:rPr>
        <w:t xml:space="preserve"> ولا يجري عليه زمان</w:t>
      </w:r>
      <w:r>
        <w:rPr>
          <w:rFonts w:hint="cs"/>
          <w:rtl/>
        </w:rPr>
        <w:t>،</w:t>
      </w:r>
      <w:r w:rsidR="009C32A0">
        <w:rPr>
          <w:rFonts w:hint="cs"/>
          <w:rtl/>
        </w:rPr>
        <w:t xml:space="preserve"> تنزه عن الكون في مكان فلا يحيط به مكان</w:t>
      </w:r>
      <w:r>
        <w:rPr>
          <w:rFonts w:hint="cs"/>
          <w:rtl/>
        </w:rPr>
        <w:t>،</w:t>
      </w:r>
      <w:r w:rsidR="009C32A0">
        <w:rPr>
          <w:rFonts w:hint="cs"/>
          <w:rtl/>
        </w:rPr>
        <w:t xml:space="preserve"> كيف يحيط به المكان سبحانه وهو القائل</w:t>
      </w:r>
      <w:r>
        <w:rPr>
          <w:rFonts w:hint="cs"/>
          <w:rtl/>
        </w:rPr>
        <w:t>:</w:t>
      </w:r>
      <w:r w:rsidR="009C32A0">
        <w:rPr>
          <w:rFonts w:hint="cs"/>
          <w:rtl/>
        </w:rPr>
        <w:t xml:space="preserve"> </w:t>
      </w:r>
      <w:r>
        <w:rPr>
          <w:rFonts w:hint="cs"/>
          <w:rtl/>
        </w:rPr>
        <w:t>{</w:t>
      </w:r>
      <w:r w:rsidR="009C32A0">
        <w:rPr>
          <w:rFonts w:hint="cs"/>
          <w:rtl/>
        </w:rPr>
        <w:t>وَلِلَّهِ مَا فِي السَّمَوَاتِ وَمَا فِي الْأَرْضِ وَكَانَ اللَّهُ بِكُلِّ شَيْءٍ مُحِيطًا</w:t>
      </w:r>
      <w:r>
        <w:rPr>
          <w:rFonts w:hint="cs"/>
          <w:rtl/>
        </w:rPr>
        <w:t>}</w:t>
      </w:r>
      <w:r w:rsidR="009C32A0">
        <w:rPr>
          <w:rFonts w:hint="cs"/>
          <w:rtl/>
        </w:rPr>
        <w:t xml:space="preserve"> </w:t>
      </w:r>
      <w:r>
        <w:rPr>
          <w:rFonts w:hint="cs"/>
          <w:rtl/>
        </w:rPr>
        <w:t>[</w:t>
      </w:r>
      <w:r w:rsidR="009C32A0">
        <w:rPr>
          <w:rFonts w:hint="cs"/>
          <w:rtl/>
        </w:rPr>
        <w:t>النساء</w:t>
      </w:r>
      <w:r>
        <w:rPr>
          <w:rFonts w:hint="cs"/>
          <w:rtl/>
        </w:rPr>
        <w:t>:</w:t>
      </w:r>
      <w:r w:rsidR="009C32A0">
        <w:rPr>
          <w:rFonts w:hint="cs"/>
          <w:rtl/>
        </w:rPr>
        <w:t xml:space="preserve"> 126</w:t>
      </w:r>
      <w:r>
        <w:rPr>
          <w:rFonts w:hint="cs"/>
          <w:rtl/>
        </w:rPr>
        <w:t>]،</w:t>
      </w:r>
      <w:r w:rsidR="009C32A0">
        <w:rPr>
          <w:rFonts w:hint="cs"/>
          <w:rtl/>
        </w:rPr>
        <w:t xml:space="preserve"> وهو سبحانه القائل</w:t>
      </w:r>
      <w:r>
        <w:rPr>
          <w:rFonts w:hint="cs"/>
          <w:rtl/>
        </w:rPr>
        <w:t>:</w:t>
      </w:r>
      <w:r w:rsidR="009C32A0">
        <w:rPr>
          <w:rFonts w:hint="cs"/>
          <w:rtl/>
        </w:rPr>
        <w:t xml:space="preserve"> </w:t>
      </w:r>
      <w:r>
        <w:rPr>
          <w:rFonts w:hint="cs"/>
          <w:rtl/>
        </w:rPr>
        <w:t>{</w:t>
      </w:r>
      <w:r w:rsidR="009C32A0">
        <w:rPr>
          <w:rFonts w:hint="cs"/>
          <w:rtl/>
        </w:rPr>
        <w:t>أَلَا إِنَّهُمْ فِي مِرْيَةٍ مِنْ لِقَاءِ رَبِّهِمْ أَلَا إِنَّهُ بِكُلِّ شَيْءٍ مُحِيطٌ</w:t>
      </w:r>
      <w:r>
        <w:rPr>
          <w:rFonts w:hint="cs"/>
          <w:rtl/>
        </w:rPr>
        <w:t>}</w:t>
      </w:r>
      <w:r w:rsidR="009C32A0">
        <w:rPr>
          <w:rFonts w:hint="cs"/>
          <w:rtl/>
        </w:rPr>
        <w:t xml:space="preserve"> </w:t>
      </w:r>
      <w:r>
        <w:rPr>
          <w:rFonts w:hint="cs"/>
          <w:rtl/>
        </w:rPr>
        <w:t>[</w:t>
      </w:r>
      <w:r w:rsidR="009C32A0">
        <w:rPr>
          <w:rFonts w:hint="cs"/>
          <w:rtl/>
        </w:rPr>
        <w:t>فصلت</w:t>
      </w:r>
      <w:r>
        <w:rPr>
          <w:rFonts w:hint="cs"/>
          <w:rtl/>
        </w:rPr>
        <w:t>:</w:t>
      </w:r>
      <w:r w:rsidR="009C32A0">
        <w:rPr>
          <w:rFonts w:hint="cs"/>
          <w:rtl/>
        </w:rPr>
        <w:t xml:space="preserve"> 54</w:t>
      </w:r>
      <w:r>
        <w:rPr>
          <w:rFonts w:hint="cs"/>
          <w:rtl/>
        </w:rPr>
        <w:t>]،</w:t>
      </w:r>
      <w:r w:rsidR="009C32A0">
        <w:rPr>
          <w:rFonts w:hint="cs"/>
          <w:rtl/>
        </w:rPr>
        <w:t xml:space="preserve"> كما أنه سبحانه تنزه عن أن يجري عليه زمان</w:t>
      </w:r>
      <w:r>
        <w:rPr>
          <w:rFonts w:hint="cs"/>
          <w:rtl/>
        </w:rPr>
        <w:t>،</w:t>
      </w:r>
      <w:r w:rsidR="009C32A0">
        <w:rPr>
          <w:rFonts w:hint="cs"/>
          <w:rtl/>
        </w:rPr>
        <w:t xml:space="preserve"> وتحكمه قوانين الزمان</w:t>
      </w:r>
      <w:r>
        <w:rPr>
          <w:rFonts w:hint="cs"/>
          <w:rtl/>
        </w:rPr>
        <w:t>،</w:t>
      </w:r>
      <w:r w:rsidR="009C32A0">
        <w:rPr>
          <w:rFonts w:hint="cs"/>
          <w:rtl/>
        </w:rPr>
        <w:t xml:space="preserve"> فالماضي عنده حاضر والمستقبل عنده حاضر</w:t>
      </w:r>
      <w:r>
        <w:rPr>
          <w:rFonts w:hint="cs"/>
          <w:rtl/>
        </w:rPr>
        <w:t>،</w:t>
      </w:r>
      <w:r w:rsidR="009C32A0">
        <w:rPr>
          <w:rFonts w:hint="cs"/>
          <w:rtl/>
        </w:rPr>
        <w:t xml:space="preserve"> والجميع خلقه</w:t>
      </w:r>
      <w:r>
        <w:rPr>
          <w:rFonts w:hint="cs"/>
          <w:rtl/>
        </w:rPr>
        <w:t>،</w:t>
      </w:r>
      <w:r w:rsidR="009C32A0">
        <w:rPr>
          <w:rFonts w:hint="cs"/>
          <w:rtl/>
        </w:rPr>
        <w:t xml:space="preserve"> والجميع تقديره</w:t>
      </w:r>
      <w:r>
        <w:rPr>
          <w:rFonts w:hint="cs"/>
          <w:rtl/>
        </w:rPr>
        <w:t>،</w:t>
      </w:r>
      <w:r w:rsidR="009C32A0">
        <w:rPr>
          <w:rFonts w:hint="cs"/>
          <w:rtl/>
        </w:rPr>
        <w:t xml:space="preserve"> لا يغيب عن علمه وسمعه وبصره شيء من ماضٍ أو حاضرٍ أو غيبٍ مستقبل</w:t>
      </w:r>
      <w:r>
        <w:rPr>
          <w:rFonts w:hint="cs"/>
          <w:rtl/>
        </w:rPr>
        <w:t>،</w:t>
      </w:r>
      <w:r w:rsidR="009C32A0">
        <w:rPr>
          <w:rFonts w:hint="cs"/>
          <w:rtl/>
        </w:rPr>
        <w:t xml:space="preserve"> ليس كمثله شيء ولا نحيط به علما وما قدرناه سبحانه حق قدره وهو الواحد القهار</w:t>
      </w:r>
      <w:r>
        <w:rPr>
          <w:rFonts w:hint="cs"/>
          <w:rtl/>
        </w:rPr>
        <w:t>،</w:t>
      </w:r>
      <w:r w:rsidR="009C32A0">
        <w:rPr>
          <w:rFonts w:hint="cs"/>
          <w:rtl/>
        </w:rPr>
        <w:t xml:space="preserve"> ولو كان الزمان يحكمه سبحانه</w:t>
      </w:r>
      <w:r>
        <w:rPr>
          <w:rFonts w:hint="cs"/>
          <w:rtl/>
        </w:rPr>
        <w:t>،</w:t>
      </w:r>
      <w:r w:rsidR="009C32A0">
        <w:rPr>
          <w:rFonts w:hint="cs"/>
          <w:rtl/>
        </w:rPr>
        <w:t xml:space="preserve"> لكان مثل مخلوقاته تجري عليهم قوانين الزمان</w:t>
      </w:r>
      <w:r>
        <w:rPr>
          <w:rFonts w:hint="cs"/>
          <w:rtl/>
        </w:rPr>
        <w:t>،</w:t>
      </w:r>
      <w:r w:rsidR="009C32A0">
        <w:rPr>
          <w:rFonts w:hint="cs"/>
          <w:rtl/>
        </w:rPr>
        <w:t xml:space="preserve"> جل عن ذلك وتعالى علواً كبيرا</w:t>
      </w:r>
      <w:r>
        <w:rPr>
          <w:rFonts w:hint="cs"/>
          <w:rtl/>
        </w:rPr>
        <w:t>،</w:t>
      </w:r>
      <w:r w:rsidR="009C32A0">
        <w:rPr>
          <w:rFonts w:ascii="Times New Roman" w:hAnsi="Times New Roman" w:cs="Times New Roman"/>
          <w:sz w:val="24"/>
          <w:szCs w:val="24"/>
          <w:rtl/>
        </w:rPr>
        <w:t xml:space="preserve"> </w:t>
      </w:r>
    </w:p>
    <w:p w14:paraId="27D55724" w14:textId="4F0E2751" w:rsidR="009C32A0" w:rsidRDefault="000636C2" w:rsidP="000636C2">
      <w:pPr>
        <w:ind w:left="-58"/>
        <w:rPr>
          <w:rtl/>
        </w:rPr>
      </w:pPr>
      <w:r>
        <w:rPr>
          <w:rFonts w:hint="cs"/>
          <w:bCs/>
          <w:rtl/>
          <w:lang w:bidi="ar-KW"/>
        </w:rPr>
        <w:lastRenderedPageBreak/>
        <w:t>[</w:t>
      </w:r>
      <w:r w:rsidR="009C32A0">
        <w:rPr>
          <w:rFonts w:hint="cs"/>
          <w:bCs/>
          <w:rtl/>
          <w:lang w:bidi="ar-KW"/>
        </w:rPr>
        <w:t>4</w:t>
      </w:r>
      <w:r>
        <w:rPr>
          <w:rFonts w:hint="cs"/>
          <w:bCs/>
          <w:rtl/>
          <w:lang w:bidi="ar-KW"/>
        </w:rPr>
        <w:t>]</w:t>
      </w:r>
      <w:r w:rsidR="009C32A0">
        <w:rPr>
          <w:rFonts w:hint="cs"/>
          <w:bCs/>
          <w:rtl/>
          <w:lang w:bidi="ar-KW"/>
        </w:rPr>
        <w:t xml:space="preserve"> 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bCs/>
          <w:rtl/>
          <w:lang w:bidi="ar-KW"/>
        </w:rPr>
        <w:t>،</w:t>
      </w:r>
      <w:r>
        <w:rPr>
          <w:rFonts w:hint="cs"/>
          <w:rtl/>
          <w:lang w:bidi="ar-KW"/>
        </w:rPr>
        <w:t xml:space="preserve"> </w:t>
      </w:r>
      <w:r>
        <w:rPr>
          <w:rFonts w:hint="cs"/>
          <w:bCs/>
          <w:rtl/>
          <w:lang w:bidi="ar-KW"/>
        </w:rPr>
        <w:t>(</w:t>
      </w:r>
      <w:r w:rsidR="009C32A0">
        <w:rPr>
          <w:rFonts w:hint="cs"/>
          <w:bCs/>
          <w:rtl/>
          <w:lang w:bidi="ar-KW"/>
        </w:rPr>
        <w:t>فمن آيات القرب</w:t>
      </w:r>
      <w:r>
        <w:rPr>
          <w:rFonts w:hint="cs"/>
          <w:bCs/>
          <w:rtl/>
          <w:lang w:bidi="ar-KW"/>
        </w:rPr>
        <w:t>)</w:t>
      </w:r>
      <w:r w:rsidR="009C32A0">
        <w:rPr>
          <w:rFonts w:hint="cs"/>
          <w:rtl/>
          <w:lang w:bidi="ar-KW"/>
        </w:rPr>
        <w:t xml:space="preserve"> قول الله تعالى</w:t>
      </w:r>
      <w:r>
        <w:rPr>
          <w:rFonts w:hint="cs"/>
          <w:rtl/>
          <w:lang w:bidi="ar-KW"/>
        </w:rPr>
        <w:t>:</w:t>
      </w:r>
      <w:r w:rsidR="009C32A0">
        <w:rPr>
          <w:rFonts w:hint="cs"/>
          <w:rtl/>
          <w:lang w:bidi="ar-KW"/>
        </w:rPr>
        <w:t xml:space="preserve"> </w:t>
      </w:r>
      <w:r>
        <w:rPr>
          <w:rFonts w:hint="cs"/>
          <w:rtl/>
          <w:lang w:bidi="ar-KW"/>
        </w:rPr>
        <w:t>{</w:t>
      </w:r>
      <w:r w:rsidR="009C32A0">
        <w:rPr>
          <w:rFonts w:hint="cs"/>
          <w:rtl/>
        </w:rPr>
        <w:t>وَإِذَا سَأَلَكَ عِبَادِي عَنِّي فَإِنِّي قَرِيبٌ أُجِيبُ دَعْوَةَ الدَّاعِ إِذَا دَعَانِ</w:t>
      </w:r>
      <w:r>
        <w:rPr>
          <w:rFonts w:hint="cs"/>
          <w:rtl/>
        </w:rPr>
        <w:t>}</w:t>
      </w:r>
      <w:r w:rsidR="009C32A0">
        <w:rPr>
          <w:rFonts w:hint="cs"/>
          <w:rtl/>
        </w:rPr>
        <w:t xml:space="preserve"> </w:t>
      </w:r>
      <w:r>
        <w:rPr>
          <w:rFonts w:hint="cs"/>
          <w:rtl/>
        </w:rPr>
        <w:t>[</w:t>
      </w:r>
      <w:r w:rsidR="009C32A0">
        <w:rPr>
          <w:rFonts w:hint="cs"/>
          <w:rtl/>
        </w:rPr>
        <w:t>البقرة</w:t>
      </w:r>
      <w:r>
        <w:rPr>
          <w:rFonts w:hint="cs"/>
          <w:rtl/>
        </w:rPr>
        <w:t>:</w:t>
      </w:r>
      <w:r w:rsidR="009C32A0">
        <w:rPr>
          <w:rFonts w:hint="cs"/>
          <w:rtl/>
        </w:rPr>
        <w:t xml:space="preserve"> 186</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فَاسْتَغْفِرُوهُ ثُمَّ تُوبُوا إِلَيْهِ إِنَّ رَبِّي قَرِيبٌ مُجِيبٌ</w:t>
      </w:r>
      <w:r>
        <w:rPr>
          <w:rFonts w:hint="cs"/>
          <w:rtl/>
        </w:rPr>
        <w:t>}</w:t>
      </w:r>
      <w:r w:rsidR="009C32A0">
        <w:rPr>
          <w:rFonts w:hint="cs"/>
          <w:rtl/>
        </w:rPr>
        <w:t xml:space="preserve"> [هود</w:t>
      </w:r>
      <w:r>
        <w:rPr>
          <w:rFonts w:hint="cs"/>
          <w:rtl/>
        </w:rPr>
        <w:t>:</w:t>
      </w:r>
      <w:r w:rsidR="009C32A0">
        <w:rPr>
          <w:rFonts w:hint="cs"/>
          <w:rtl/>
        </w:rPr>
        <w:t xml:space="preserve"> 61</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وَلَقَدْ خَلَقْنَا الْإِنْسَانَ وَنَعْلَمُ مَا تُوَسْوِسُ بِهِ نَفْسُهُ وَنَحْنُ أَقْرَبُ إِلَيْهِ مِنْ حَبْلِ الْوَرِيدِ</w:t>
      </w:r>
      <w:r>
        <w:rPr>
          <w:rFonts w:hint="cs"/>
          <w:rtl/>
        </w:rPr>
        <w:t>}</w:t>
      </w:r>
      <w:r w:rsidR="009C32A0">
        <w:rPr>
          <w:rFonts w:hint="cs"/>
          <w:rtl/>
        </w:rPr>
        <w:t xml:space="preserve"> </w:t>
      </w:r>
      <w:r>
        <w:rPr>
          <w:rFonts w:hint="cs"/>
          <w:rtl/>
        </w:rPr>
        <w:t>[</w:t>
      </w:r>
      <w:r w:rsidR="009C32A0">
        <w:rPr>
          <w:rFonts w:hint="cs"/>
          <w:rtl/>
        </w:rPr>
        <w:t>ق</w:t>
      </w:r>
      <w:r>
        <w:rPr>
          <w:rFonts w:hint="cs"/>
          <w:rtl/>
        </w:rPr>
        <w:t>:</w:t>
      </w:r>
      <w:r w:rsidR="009C32A0">
        <w:rPr>
          <w:rFonts w:hint="cs"/>
          <w:rtl/>
        </w:rPr>
        <w:t xml:space="preserve"> 16</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وَنَحْنُ أَقْرَبُ إِلَيْهِ مِنْكُمْ وَلَكِنْ لَا تُبْصِرُونَ</w:t>
      </w:r>
      <w:r>
        <w:rPr>
          <w:rFonts w:hint="cs"/>
          <w:rtl/>
        </w:rPr>
        <w:t>}</w:t>
      </w:r>
      <w:r w:rsidR="009C32A0">
        <w:rPr>
          <w:rFonts w:hint="cs"/>
          <w:rtl/>
        </w:rPr>
        <w:t xml:space="preserve"> </w:t>
      </w:r>
      <w:r>
        <w:rPr>
          <w:rFonts w:hint="cs"/>
          <w:rtl/>
        </w:rPr>
        <w:t>[</w:t>
      </w:r>
      <w:r w:rsidR="009C32A0">
        <w:rPr>
          <w:rFonts w:hint="cs"/>
          <w:rtl/>
        </w:rPr>
        <w:t>الواقعة</w:t>
      </w:r>
      <w:r>
        <w:rPr>
          <w:rFonts w:hint="cs"/>
          <w:rtl/>
        </w:rPr>
        <w:t>:</w:t>
      </w:r>
      <w:r w:rsidR="009C32A0">
        <w:rPr>
          <w:rFonts w:hint="cs"/>
          <w:rtl/>
        </w:rPr>
        <w:t xml:space="preserve"> 85</w:t>
      </w:r>
      <w:r>
        <w:rPr>
          <w:rFonts w:hint="cs"/>
          <w:rtl/>
        </w:rPr>
        <w:t>]</w:t>
      </w:r>
      <w:r w:rsidR="009C32A0">
        <w:rPr>
          <w:rFonts w:hint="cs"/>
          <w:rtl/>
        </w:rPr>
        <w:t xml:space="preserve"> وما أخرجه الشيخان عن أبي موسى الأشعري قال</w:t>
      </w:r>
      <w:r>
        <w:rPr>
          <w:rFonts w:hint="cs"/>
          <w:rtl/>
        </w:rPr>
        <w:t xml:space="preserve">: </w:t>
      </w:r>
      <w:r w:rsidR="009C32A0">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9C32A0">
        <w:rPr>
          <w:rFonts w:hint="cs"/>
          <w:rtl/>
        </w:rPr>
        <w:t xml:space="preserve"> (</w:t>
      </w:r>
      <w:r>
        <w:rPr>
          <w:rFonts w:hint="cs"/>
          <w:rtl/>
        </w:rPr>
        <w:t>(</w:t>
      </w:r>
      <w:r w:rsidR="009C32A0">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9C32A0">
        <w:rPr>
          <w:rFonts w:hint="cs"/>
          <w:rtl/>
        </w:rPr>
        <w:t xml:space="preserve">) </w:t>
      </w:r>
      <w:r>
        <w:rPr>
          <w:rFonts w:hint="cs"/>
          <w:rtl/>
        </w:rPr>
        <w:t>[</w:t>
      </w:r>
      <w:r w:rsidR="009C32A0">
        <w:rPr>
          <w:rFonts w:hint="cs"/>
          <w:rtl/>
        </w:rPr>
        <w:t>متفق عليه</w:t>
      </w:r>
      <w:r>
        <w:rPr>
          <w:rFonts w:hint="cs"/>
          <w:rtl/>
        </w:rPr>
        <w:t>]،</w:t>
      </w:r>
      <w:r w:rsidR="009C32A0">
        <w:rPr>
          <w:rFonts w:hint="cs"/>
          <w:rtl/>
        </w:rPr>
        <w:t xml:space="preserve"> وهذه الادلة تدل على قرب الله تعالى من عباده</w:t>
      </w:r>
      <w:r>
        <w:rPr>
          <w:rFonts w:hint="cs"/>
          <w:rtl/>
        </w:rPr>
        <w:t>،</w:t>
      </w:r>
      <w:r w:rsidR="009C32A0">
        <w:rPr>
          <w:rFonts w:hint="cs"/>
          <w:rtl/>
        </w:rPr>
        <w:t xml:space="preserve"> قرب منزه عن الاتحاد والحلول والاتصال والانفصال مع خلقه ليس كمثله شيء</w:t>
      </w:r>
      <w:r>
        <w:rPr>
          <w:rFonts w:hint="cs"/>
          <w:rtl/>
        </w:rPr>
        <w:t>،</w:t>
      </w:r>
      <w:r w:rsidR="009C32A0">
        <w:rPr>
          <w:rFonts w:hint="cs"/>
          <w:rtl/>
        </w:rPr>
        <w:t xml:space="preserve"> وقد حمل العلماء المتخصصون في العقيدة القرب على قرب العلم والسمع والبصر والقدرة</w:t>
      </w:r>
      <w:r>
        <w:rPr>
          <w:rFonts w:hint="cs"/>
          <w:rtl/>
        </w:rPr>
        <w:t>،</w:t>
      </w:r>
      <w:r w:rsidR="009C32A0">
        <w:rPr>
          <w:rFonts w:hint="cs"/>
          <w:rtl/>
        </w:rPr>
        <w:t xml:space="preserve"> وقرب الملائكة</w:t>
      </w:r>
      <w:r>
        <w:rPr>
          <w:rFonts w:hint="cs"/>
          <w:rtl/>
        </w:rPr>
        <w:t>،</w:t>
      </w:r>
      <w:r w:rsidR="009C32A0">
        <w:rPr>
          <w:rFonts w:hint="cs"/>
          <w:rtl/>
        </w:rPr>
        <w:t xml:space="preserve"> وذلك للتنزيه وابعاد شبهة الحلول والاتحاد مع المخلوقات</w:t>
      </w:r>
      <w:r>
        <w:rPr>
          <w:rFonts w:hint="cs"/>
          <w:rtl/>
        </w:rPr>
        <w:t>،</w:t>
      </w:r>
      <w:r w:rsidR="009C32A0">
        <w:rPr>
          <w:rFonts w:hint="cs"/>
          <w:rtl/>
        </w:rPr>
        <w:t xml:space="preserve"> </w:t>
      </w:r>
      <w:r>
        <w:rPr>
          <w:rFonts w:hint="cs"/>
          <w:bCs/>
          <w:rtl/>
          <w:lang w:bidi="ar-KW"/>
        </w:rPr>
        <w:t>(</w:t>
      </w:r>
      <w:r w:rsidR="009C32A0">
        <w:rPr>
          <w:rFonts w:hint="cs"/>
          <w:bCs/>
          <w:rtl/>
          <w:lang w:bidi="ar-KW"/>
        </w:rPr>
        <w:t>ومن آيات الإحاطة</w:t>
      </w:r>
      <w:r>
        <w:rPr>
          <w:rFonts w:hint="cs"/>
          <w:bCs/>
          <w:rtl/>
          <w:lang w:bidi="ar-KW"/>
        </w:rPr>
        <w:t>):</w:t>
      </w:r>
      <w:r w:rsidR="009C32A0">
        <w:rPr>
          <w:rFonts w:hint="cs"/>
          <w:bCs/>
          <w:rtl/>
          <w:lang w:bidi="ar-KW"/>
        </w:rPr>
        <w:t xml:space="preserve"> </w:t>
      </w:r>
      <w:r w:rsidR="009C32A0">
        <w:rPr>
          <w:rFonts w:hint="cs"/>
          <w:rtl/>
          <w:lang w:bidi="ar-KW"/>
        </w:rPr>
        <w:t>قوله تعالى</w:t>
      </w:r>
      <w:r>
        <w:rPr>
          <w:rFonts w:hint="cs"/>
          <w:rtl/>
          <w:lang w:bidi="ar-KW"/>
        </w:rPr>
        <w:t>:</w:t>
      </w:r>
      <w:r w:rsidR="009C32A0">
        <w:rPr>
          <w:rFonts w:hint="cs"/>
          <w:rtl/>
          <w:lang w:bidi="ar-KW"/>
        </w:rPr>
        <w:t xml:space="preserve"> </w:t>
      </w:r>
      <w:r>
        <w:rPr>
          <w:rFonts w:hint="cs"/>
          <w:rtl/>
          <w:lang w:bidi="ar-KW"/>
        </w:rPr>
        <w:t>{</w:t>
      </w:r>
      <w:r w:rsidR="009C32A0">
        <w:rPr>
          <w:rFonts w:hint="cs"/>
          <w:rtl/>
        </w:rPr>
        <w:t>وَلِلَّهِ مَا فِي السَّمَوَاتِ وَمَا فِي الْأَرْضِ وَكَانَ اللَّهُ بِكُلِّ شَيْءٍ مُحِيطًا</w:t>
      </w:r>
      <w:r>
        <w:rPr>
          <w:rFonts w:hint="cs"/>
          <w:rtl/>
        </w:rPr>
        <w:t>}</w:t>
      </w:r>
      <w:r w:rsidR="009C32A0">
        <w:rPr>
          <w:rFonts w:hint="cs"/>
          <w:rtl/>
        </w:rPr>
        <w:t xml:space="preserve"> </w:t>
      </w:r>
      <w:r>
        <w:rPr>
          <w:rFonts w:hint="cs"/>
          <w:rtl/>
        </w:rPr>
        <w:t>[</w:t>
      </w:r>
      <w:r w:rsidR="009C32A0">
        <w:rPr>
          <w:rFonts w:hint="cs"/>
          <w:rtl/>
        </w:rPr>
        <w:t>النساء</w:t>
      </w:r>
      <w:r>
        <w:rPr>
          <w:rFonts w:hint="cs"/>
          <w:rtl/>
        </w:rPr>
        <w:t>:</w:t>
      </w:r>
      <w:r w:rsidR="009C32A0">
        <w:rPr>
          <w:rFonts w:hint="cs"/>
          <w:rtl/>
        </w:rPr>
        <w:t xml:space="preserve"> 126</w:t>
      </w:r>
      <w:r>
        <w:rPr>
          <w:rFonts w:hint="cs"/>
          <w:rtl/>
        </w:rPr>
        <w:t>]،</w:t>
      </w:r>
      <w:r w:rsidR="009C32A0">
        <w:rPr>
          <w:rFonts w:hint="cs"/>
          <w:rtl/>
        </w:rPr>
        <w:t xml:space="preserve"> وقال تعالى</w:t>
      </w:r>
      <w:r>
        <w:rPr>
          <w:rFonts w:hint="cs"/>
          <w:rtl/>
        </w:rPr>
        <w:t>:</w:t>
      </w:r>
      <w:r w:rsidR="009C32A0">
        <w:rPr>
          <w:rFonts w:hint="cs"/>
          <w:rtl/>
        </w:rPr>
        <w:t xml:space="preserve"> </w:t>
      </w:r>
      <w:r>
        <w:rPr>
          <w:rFonts w:hint="cs"/>
          <w:rtl/>
        </w:rPr>
        <w:t>{</w:t>
      </w:r>
      <w:r w:rsidR="009C32A0">
        <w:rPr>
          <w:rFonts w:hint="cs"/>
          <w:rtl/>
        </w:rPr>
        <w:t>أَلَا إِنَّهُمْ فِي مِرْيَةٍ مِنْ لِقَاءِ رَبِّهِمْ أَلَا إِنَّهُ بِكُلِّ شَيْءٍ مُحِيطٌ</w:t>
      </w:r>
      <w:r>
        <w:rPr>
          <w:rFonts w:hint="cs"/>
          <w:rtl/>
        </w:rPr>
        <w:t>}</w:t>
      </w:r>
      <w:r w:rsidR="009C32A0">
        <w:rPr>
          <w:rFonts w:hint="cs"/>
          <w:rtl/>
        </w:rPr>
        <w:t xml:space="preserve"> </w:t>
      </w:r>
      <w:r>
        <w:rPr>
          <w:rFonts w:hint="cs"/>
          <w:rtl/>
        </w:rPr>
        <w:t>[</w:t>
      </w:r>
      <w:r w:rsidR="009C32A0">
        <w:rPr>
          <w:rFonts w:hint="cs"/>
          <w:rtl/>
        </w:rPr>
        <w:t>فصلت</w:t>
      </w:r>
      <w:r>
        <w:rPr>
          <w:rFonts w:hint="cs"/>
          <w:rtl/>
        </w:rPr>
        <w:t>:</w:t>
      </w:r>
      <w:r w:rsidR="009C32A0">
        <w:rPr>
          <w:rFonts w:hint="cs"/>
          <w:rtl/>
        </w:rPr>
        <w:t xml:space="preserve"> 54</w:t>
      </w:r>
      <w:r>
        <w:rPr>
          <w:rFonts w:hint="cs"/>
          <w:rtl/>
        </w:rPr>
        <w:t>]،</w:t>
      </w:r>
      <w:r w:rsidR="009C32A0">
        <w:rPr>
          <w:rFonts w:hint="cs"/>
          <w:rtl/>
        </w:rPr>
        <w:t xml:space="preserve"> وهذه الادلة تفيد إحاطة الله تعالى بكل شيء</w:t>
      </w:r>
      <w:r>
        <w:rPr>
          <w:rFonts w:hint="cs"/>
          <w:rtl/>
        </w:rPr>
        <w:t>،</w:t>
      </w:r>
      <w:r w:rsidR="009C32A0">
        <w:rPr>
          <w:rFonts w:hint="cs"/>
          <w:rtl/>
        </w:rPr>
        <w:t xml:space="preserve"> والإحاطة ليس معناها أن الكون كله داخل في ذات الله </w:t>
      </w:r>
      <w:r>
        <w:rPr>
          <w:rFonts w:hint="cs"/>
          <w:rtl/>
        </w:rPr>
        <w:t>(</w:t>
      </w:r>
      <w:r w:rsidR="009C32A0">
        <w:rPr>
          <w:rFonts w:hint="cs"/>
          <w:rtl/>
        </w:rPr>
        <w:t>سبحانه</w:t>
      </w:r>
      <w:r>
        <w:rPr>
          <w:rFonts w:hint="cs"/>
          <w:rtl/>
        </w:rPr>
        <w:t>)</w:t>
      </w:r>
      <w:r w:rsidR="009C32A0">
        <w:rPr>
          <w:rFonts w:hint="cs"/>
          <w:rtl/>
        </w:rPr>
        <w:t xml:space="preserve"> إذ تنزه الخالق عن معاني الحلول والاتحاد ومعاني المماسة والاتصال ليس كذاته ذات</w:t>
      </w:r>
      <w:r>
        <w:rPr>
          <w:rFonts w:hint="cs"/>
          <w:rtl/>
        </w:rPr>
        <w:t xml:space="preserve"> </w:t>
      </w:r>
      <w:r w:rsidR="009C32A0">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9C32A0">
        <w:rPr>
          <w:rFonts w:hint="cs"/>
          <w:rtl/>
        </w:rPr>
        <w:t xml:space="preserve"> نعجز عن ادراك ذاته</w:t>
      </w:r>
      <w:r>
        <w:rPr>
          <w:rFonts w:hint="cs"/>
          <w:rtl/>
        </w:rPr>
        <w:t>،</w:t>
      </w:r>
      <w:r w:rsidR="009C32A0">
        <w:rPr>
          <w:rFonts w:hint="cs"/>
          <w:rtl/>
        </w:rPr>
        <w:t xml:space="preserve"> وما نستطيع ان نقدره قدره</w:t>
      </w:r>
      <w:r>
        <w:rPr>
          <w:rFonts w:hint="cs"/>
          <w:rtl/>
        </w:rPr>
        <w:t>،</w:t>
      </w:r>
      <w:r w:rsidR="009C32A0">
        <w:rPr>
          <w:rFonts w:hint="cs"/>
          <w:rtl/>
        </w:rPr>
        <w:t xml:space="preserve"> لا نحصي ثناءً عليه</w:t>
      </w:r>
      <w:r>
        <w:rPr>
          <w:rFonts w:hint="cs"/>
          <w:rtl/>
        </w:rPr>
        <w:t>،</w:t>
      </w:r>
      <w:r w:rsidR="009C32A0">
        <w:rPr>
          <w:rFonts w:hint="cs"/>
          <w:rtl/>
        </w:rPr>
        <w:t xml:space="preserve"> هو كما أثنى على نفسه</w:t>
      </w:r>
      <w:r>
        <w:rPr>
          <w:rFonts w:hint="cs"/>
          <w:rtl/>
        </w:rPr>
        <w:t>،</w:t>
      </w:r>
      <w:r w:rsidR="009C32A0">
        <w:rPr>
          <w:rFonts w:hint="cs"/>
          <w:rtl/>
        </w:rPr>
        <w:t xml:space="preserve"> وقد حمل العلماء المتخصصون في العقيدة الإحاطة على إحاطة العلم والسمع والبصر والقدرة</w:t>
      </w:r>
      <w:r>
        <w:rPr>
          <w:rFonts w:hint="cs"/>
          <w:rtl/>
        </w:rPr>
        <w:t>،</w:t>
      </w:r>
      <w:r w:rsidR="009C32A0">
        <w:rPr>
          <w:rFonts w:hint="cs"/>
          <w:rtl/>
        </w:rPr>
        <w:t xml:space="preserve"> وذلك للتنزيه وابعاد شبهة الحلول والاتحاد مع المخلوقات</w:t>
      </w:r>
      <w:r>
        <w:rPr>
          <w:rFonts w:hint="cs"/>
          <w:rtl/>
        </w:rPr>
        <w:t>،</w:t>
      </w:r>
      <w:r w:rsidR="009C32A0">
        <w:rPr>
          <w:rFonts w:hint="cs"/>
          <w:rtl/>
        </w:rPr>
        <w:t xml:space="preserve"> </w:t>
      </w:r>
      <w:r>
        <w:rPr>
          <w:rFonts w:hint="cs"/>
          <w:rtl/>
        </w:rPr>
        <w:t>(</w:t>
      </w:r>
      <w:r w:rsidR="009C32A0">
        <w:rPr>
          <w:rFonts w:hint="cs"/>
          <w:bCs/>
          <w:rtl/>
          <w:lang w:bidi="ar-KW"/>
        </w:rPr>
        <w:t>ومن آيات الاستواء</w:t>
      </w:r>
      <w:r>
        <w:rPr>
          <w:rFonts w:hint="cs"/>
          <w:bCs/>
          <w:rtl/>
          <w:lang w:bidi="ar-KW"/>
        </w:rPr>
        <w:t>):</w:t>
      </w:r>
      <w:r w:rsidR="009C32A0">
        <w:rPr>
          <w:rFonts w:hint="cs"/>
          <w:bCs/>
          <w:rtl/>
          <w:lang w:bidi="ar-KW"/>
        </w:rPr>
        <w:t xml:space="preserve"> </w:t>
      </w:r>
      <w:r w:rsidR="009C32A0">
        <w:rPr>
          <w:rFonts w:hint="cs"/>
          <w:rtl/>
        </w:rPr>
        <w:t>قوله تعالى</w:t>
      </w:r>
      <w:r>
        <w:rPr>
          <w:rFonts w:hint="cs"/>
          <w:rtl/>
        </w:rPr>
        <w:t>:</w:t>
      </w:r>
      <w:r w:rsidR="009C32A0">
        <w:rPr>
          <w:rFonts w:hint="cs"/>
          <w:rtl/>
        </w:rPr>
        <w:t xml:space="preserve"> </w:t>
      </w:r>
      <w:r>
        <w:rPr>
          <w:rFonts w:hint="cs"/>
          <w:rtl/>
        </w:rPr>
        <w:t>{</w:t>
      </w:r>
      <w:r w:rsidR="009C32A0">
        <w:rPr>
          <w:rFonts w:hint="cs"/>
          <w:rtl/>
        </w:rPr>
        <w:t>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 لَهُ مُلْكُ السَّمَوَاتِ وَالْأَرْضِ وَإِلَى اللَّهِ تُرْجَعُ الْأُمُورُ</w:t>
      </w:r>
      <w:r>
        <w:rPr>
          <w:rFonts w:hint="cs"/>
          <w:rtl/>
        </w:rPr>
        <w:t>}</w:t>
      </w:r>
      <w:r w:rsidR="009C32A0">
        <w:rPr>
          <w:rFonts w:hint="cs"/>
          <w:rtl/>
        </w:rPr>
        <w:t xml:space="preserve"> </w:t>
      </w:r>
      <w:r>
        <w:rPr>
          <w:rFonts w:hint="cs"/>
          <w:rtl/>
        </w:rPr>
        <w:t>[</w:t>
      </w:r>
      <w:r w:rsidR="009C32A0">
        <w:rPr>
          <w:rFonts w:hint="cs"/>
          <w:rtl/>
        </w:rPr>
        <w:t>الحديد: 2 إلى 5</w:t>
      </w:r>
      <w:r>
        <w:rPr>
          <w:rFonts w:hint="cs"/>
          <w:rtl/>
        </w:rPr>
        <w:t>]،</w:t>
      </w:r>
      <w:r w:rsidR="009C32A0">
        <w:rPr>
          <w:rFonts w:hint="cs"/>
          <w:rtl/>
        </w:rPr>
        <w:t xml:space="preserve"> والمفتاح لفهم الآية لمن تدبره أنّ الاستواء هاهنا استواء ملك وربوبية وتدبير بقرائن عديدة لمن تدبرها</w:t>
      </w:r>
      <w:r>
        <w:rPr>
          <w:rFonts w:hint="cs"/>
          <w:rtl/>
        </w:rPr>
        <w:t>،</w:t>
      </w:r>
      <w:r w:rsidR="009C32A0">
        <w:rPr>
          <w:rFonts w:hint="cs"/>
          <w:rtl/>
        </w:rPr>
        <w:t xml:space="preserve"> منها</w:t>
      </w:r>
      <w:r>
        <w:rPr>
          <w:rFonts w:hint="cs"/>
          <w:rtl/>
        </w:rPr>
        <w:t xml:space="preserve"> </w:t>
      </w:r>
      <w:r w:rsidR="009C32A0">
        <w:rPr>
          <w:rFonts w:hint="cs"/>
          <w:rtl/>
        </w:rPr>
        <w:t>قوله</w:t>
      </w:r>
      <w:r>
        <w:rPr>
          <w:rFonts w:hint="cs"/>
          <w:rtl/>
        </w:rPr>
        <w:t>:</w:t>
      </w:r>
      <w:r w:rsidR="009C32A0">
        <w:rPr>
          <w:rFonts w:hint="cs"/>
          <w:rtl/>
        </w:rPr>
        <w:t xml:space="preserve"> </w:t>
      </w:r>
      <w:r>
        <w:rPr>
          <w:rFonts w:hint="cs"/>
          <w:rtl/>
        </w:rPr>
        <w:t>{</w:t>
      </w:r>
      <w:r w:rsidR="009C32A0">
        <w:rPr>
          <w:rFonts w:hint="cs"/>
          <w:rtl/>
        </w:rPr>
        <w:t>لَهُ مُلْكُ السَّمَوَاتِ وَالْأَرْضِ</w:t>
      </w:r>
      <w:r>
        <w:rPr>
          <w:rFonts w:hint="cs"/>
          <w:rtl/>
        </w:rPr>
        <w:t>}،</w:t>
      </w:r>
      <w:r w:rsidR="009C32A0">
        <w:rPr>
          <w:rFonts w:hint="cs"/>
          <w:rtl/>
        </w:rPr>
        <w:t xml:space="preserve"> </w:t>
      </w:r>
      <w:r w:rsidR="009C32A0">
        <w:rPr>
          <w:rFonts w:hint="cs"/>
          <w:rtl/>
        </w:rPr>
        <w:lastRenderedPageBreak/>
        <w:t>وقوله تعالى</w:t>
      </w:r>
      <w:r>
        <w:rPr>
          <w:rFonts w:hint="cs"/>
          <w:rtl/>
        </w:rPr>
        <w:t>:</w:t>
      </w:r>
      <w:r w:rsidR="009C32A0">
        <w:rPr>
          <w:rFonts w:hint="cs"/>
          <w:rtl/>
        </w:rPr>
        <w:t xml:space="preserve"> </w:t>
      </w:r>
      <w:r>
        <w:rPr>
          <w:rFonts w:hint="cs"/>
          <w:rtl/>
        </w:rPr>
        <w:t>{</w:t>
      </w:r>
      <w:r w:rsidR="009C32A0">
        <w:rPr>
          <w:rFonts w:hint="cs"/>
          <w:rtl/>
        </w:rPr>
        <w:t>خَلَقَ السَّمَوَاتِ وَالْأَرْضَ</w:t>
      </w:r>
      <w:r>
        <w:rPr>
          <w:rFonts w:hint="cs"/>
          <w:rtl/>
        </w:rPr>
        <w:t>}،</w:t>
      </w:r>
      <w:r w:rsidR="009C32A0">
        <w:rPr>
          <w:rFonts w:hint="cs"/>
          <w:rtl/>
        </w:rPr>
        <w:t xml:space="preserve"> ثم قوله تعالى</w:t>
      </w:r>
      <w:r>
        <w:rPr>
          <w:rFonts w:hint="cs"/>
          <w:rtl/>
        </w:rPr>
        <w:t>:</w:t>
      </w:r>
      <w:r w:rsidR="009C32A0">
        <w:rPr>
          <w:rFonts w:hint="cs"/>
          <w:rtl/>
        </w:rPr>
        <w:t xml:space="preserve"> </w:t>
      </w:r>
      <w:r>
        <w:rPr>
          <w:rFonts w:hint="cs"/>
          <w:rtl/>
        </w:rPr>
        <w:t>{</w:t>
      </w:r>
      <w:r w:rsidR="009C32A0">
        <w:rPr>
          <w:rFonts w:hint="cs"/>
          <w:rtl/>
        </w:rPr>
        <w:t>لَهُ مُلْكُ السَّمَوَاتِ وَالْأَرْضِ</w:t>
      </w:r>
      <w:r>
        <w:rPr>
          <w:rFonts w:hint="cs"/>
          <w:rtl/>
        </w:rPr>
        <w:t xml:space="preserve">}، </w:t>
      </w:r>
      <w:r w:rsidR="009C32A0">
        <w:rPr>
          <w:rFonts w:hint="cs"/>
          <w:rtl/>
        </w:rPr>
        <w:t>ثم هذه الآية تمتلئ بقواعد تنزيه تنافي ما يقوله المخطئون</w:t>
      </w:r>
      <w:r>
        <w:rPr>
          <w:rFonts w:hint="cs"/>
          <w:rtl/>
        </w:rPr>
        <w:t>،</w:t>
      </w:r>
      <w:r w:rsidR="009C32A0">
        <w:rPr>
          <w:rFonts w:hint="cs"/>
          <w:rtl/>
        </w:rPr>
        <w:t xml:space="preserve"> </w:t>
      </w:r>
      <w:r>
        <w:rPr>
          <w:rFonts w:hint="cs"/>
          <w:rtl/>
        </w:rPr>
        <w:t>(</w:t>
      </w:r>
      <w:r w:rsidR="009C32A0">
        <w:rPr>
          <w:rFonts w:hint="cs"/>
          <w:bCs/>
          <w:rtl/>
        </w:rPr>
        <w:t>أولا</w:t>
      </w:r>
      <w:r>
        <w:rPr>
          <w:rFonts w:hint="cs"/>
          <w:b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الْأَوَّلُ وَالْآخِرُ</w:t>
      </w:r>
      <w:r>
        <w:rPr>
          <w:rFonts w:hint="cs"/>
          <w:rtl/>
        </w:rPr>
        <w:t>}</w:t>
      </w:r>
      <w:r w:rsidR="009C32A0">
        <w:rPr>
          <w:rFonts w:hint="cs"/>
          <w:rtl/>
        </w:rPr>
        <w:t xml:space="preserve"> تنزيه عن الزمان لأنه خالق الزمان فكان قبل الزمان</w:t>
      </w:r>
      <w:r>
        <w:rPr>
          <w:rFonts w:hint="cs"/>
          <w:rtl/>
        </w:rPr>
        <w:t>،</w:t>
      </w:r>
      <w:r w:rsidR="009C32A0">
        <w:rPr>
          <w:rFonts w:hint="cs"/>
          <w:rtl/>
        </w:rPr>
        <w:t xml:space="preserve"> والزمان لا ينتهي بدليل أن أهل الجنة خالدون فيها وأهل النار خالدون فيها فالزمان وإن لم يكن أزليا </w:t>
      </w:r>
      <w:r>
        <w:rPr>
          <w:rFonts w:hint="cs"/>
          <w:rtl/>
        </w:rPr>
        <w:t>(</w:t>
      </w:r>
      <w:r w:rsidR="009C32A0">
        <w:rPr>
          <w:rFonts w:hint="cs"/>
          <w:rtl/>
        </w:rPr>
        <w:t>أي له بداية</w:t>
      </w:r>
      <w:r>
        <w:rPr>
          <w:rFonts w:hint="cs"/>
          <w:rtl/>
        </w:rPr>
        <w:t>)</w:t>
      </w:r>
      <w:r w:rsidR="009C32A0">
        <w:rPr>
          <w:rFonts w:hint="cs"/>
          <w:rtl/>
        </w:rPr>
        <w:t xml:space="preserve"> فهو أبدي </w:t>
      </w:r>
      <w:r>
        <w:rPr>
          <w:rFonts w:hint="cs"/>
          <w:rtl/>
        </w:rPr>
        <w:t>(</w:t>
      </w:r>
      <w:r w:rsidR="009C32A0">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Pr>
          <w:rFonts w:hint="cs"/>
          <w:rtl/>
        </w:rPr>
        <w:t>:</w:t>
      </w:r>
      <w:r w:rsidR="009C32A0">
        <w:rPr>
          <w:rFonts w:hint="cs"/>
          <w:rtl/>
        </w:rPr>
        <w:t xml:space="preserve"> </w:t>
      </w:r>
      <w:r>
        <w:rPr>
          <w:rFonts w:hint="cs"/>
          <w:rtl/>
        </w:rPr>
        <w:t>{</w:t>
      </w:r>
      <w:r w:rsidR="009C32A0">
        <w:rPr>
          <w:rFonts w:hint="cs"/>
          <w:rtl/>
        </w:rPr>
        <w:t>هُوَ الْأَوَّلُ وَالْآخِرُ</w:t>
      </w:r>
      <w:r>
        <w:rPr>
          <w:rFonts w:hint="cs"/>
          <w:rtl/>
        </w:rPr>
        <w:t>}</w:t>
      </w:r>
      <w:r w:rsidR="009C32A0">
        <w:rPr>
          <w:rFonts w:hint="cs"/>
          <w:rtl/>
        </w:rPr>
        <w:t xml:space="preserve"> دليل على تنزيه الله عن الزمان فلا يتعلق به زمان لأنه خالق الزمان وهذا ما أجمع عليه أهل الأصول من هذه الأمة</w:t>
      </w:r>
      <w:r>
        <w:rPr>
          <w:rFonts w:hint="cs"/>
          <w:rtl/>
        </w:rPr>
        <w:t>،</w:t>
      </w:r>
      <w:r w:rsidR="009C32A0">
        <w:rPr>
          <w:rFonts w:hint="cs"/>
          <w:rtl/>
        </w:rPr>
        <w:t xml:space="preserve"> </w:t>
      </w:r>
      <w:r>
        <w:rPr>
          <w:rFonts w:hint="cs"/>
          <w:rtl/>
        </w:rPr>
        <w:t>(</w:t>
      </w:r>
      <w:r w:rsidR="009C32A0">
        <w:rPr>
          <w:rFonts w:hint="cs"/>
          <w:bCs/>
          <w:rtl/>
        </w:rPr>
        <w:t>ثانيا</w:t>
      </w:r>
      <w:r>
        <w:rPr>
          <w:rFonts w:hint="cs"/>
          <w:b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وَالظَّاهِرُ وَالْبَاطِنُ</w:t>
      </w:r>
      <w:r>
        <w:rPr>
          <w:rFonts w:hint="cs"/>
          <w:rtl/>
        </w:rPr>
        <w:t>}</w:t>
      </w:r>
      <w:r w:rsidR="009C32A0">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 (</w:t>
      </w:r>
      <w:r w:rsidR="009C32A0">
        <w:rPr>
          <w:rFonts w:hint="cs"/>
          <w:bCs/>
          <w:rtl/>
        </w:rPr>
        <w:t>ثالثا</w:t>
      </w:r>
      <w:r>
        <w:rPr>
          <w:rFonts w:hint="cs"/>
          <w:b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وَهُوَ مَعَكُمْ أَيْنَمَا كُنْتُمْ</w:t>
      </w:r>
      <w:r>
        <w:rPr>
          <w:rFonts w:hint="cs"/>
          <w:rtl/>
        </w:rPr>
        <w:t xml:space="preserve">}، </w:t>
      </w:r>
      <w:r w:rsidR="009C32A0">
        <w:rPr>
          <w:rFonts w:hint="cs"/>
          <w:rtl/>
        </w:rPr>
        <w:t>دليل على قربه</w:t>
      </w:r>
      <w:r>
        <w:rPr>
          <w:rFonts w:hint="cs"/>
          <w:rtl/>
        </w:rPr>
        <w:t>،</w:t>
      </w:r>
      <w:r w:rsidR="009C32A0">
        <w:rPr>
          <w:rFonts w:hint="cs"/>
          <w:rtl/>
        </w:rPr>
        <w:t xml:space="preserve"> إلا أننا نقول أنه قرب منزه عن المسافة وعن التحيز وعن الحلول في الأمكنة والمخلوقات ليس كمثله شيء ء</w:t>
      </w:r>
      <w:r>
        <w:rPr>
          <w:rFonts w:hint="cs"/>
          <w:rtl/>
        </w:rPr>
        <w:t>،</w:t>
      </w:r>
      <w:r w:rsidR="009C32A0">
        <w:rPr>
          <w:rFonts w:hint="cs"/>
          <w:rtl/>
        </w:rPr>
        <w:t xml:space="preserve"> وجمعه تعالى بين الاستواء والمعية في آية واحدة مما يدل دلالة قطعية على أن الاستواء ليس بمعنى الاستقرار المكاني وإلا نافى </w:t>
      </w:r>
      <w:r>
        <w:rPr>
          <w:rFonts w:hint="cs"/>
          <w:rtl/>
        </w:rPr>
        <w:t>(</w:t>
      </w:r>
      <w:r w:rsidR="009C32A0">
        <w:rPr>
          <w:rFonts w:hint="cs"/>
          <w:rtl/>
        </w:rPr>
        <w:t>المعية</w:t>
      </w:r>
      <w:r>
        <w:rPr>
          <w:rFonts w:hint="cs"/>
          <w:rtl/>
        </w:rPr>
        <w:t>)،</w:t>
      </w:r>
      <w:r w:rsidR="009C32A0">
        <w:rPr>
          <w:rFonts w:hint="cs"/>
          <w:rtl/>
        </w:rPr>
        <w:t xml:space="preserve"> وليست المعية بأجدر بالتأويل من الاستواء</w:t>
      </w:r>
      <w:r>
        <w:rPr>
          <w:rFonts w:hint="cs"/>
          <w:rtl/>
        </w:rPr>
        <w:t>،</w:t>
      </w:r>
      <w:r w:rsidR="009C32A0">
        <w:rPr>
          <w:rFonts w:hint="cs"/>
          <w:rtl/>
        </w:rPr>
        <w:t xml:space="preserve"> فإنّ تأويل المعية بمعية العلم والسمع والبصر</w:t>
      </w:r>
      <w:r>
        <w:rPr>
          <w:rFonts w:hint="cs"/>
          <w:rtl/>
        </w:rPr>
        <w:t>،</w:t>
      </w:r>
      <w:r w:rsidR="009C32A0">
        <w:rPr>
          <w:rFonts w:hint="cs"/>
          <w:rtl/>
        </w:rPr>
        <w:t xml:space="preserve"> ليس بأولى من تأويل الاستواء بالربوبية والهيمنة والتدبير والتصريف</w:t>
      </w:r>
      <w:r>
        <w:rPr>
          <w:rFonts w:hint="cs"/>
          <w:rtl/>
        </w:rPr>
        <w:t>،</w:t>
      </w:r>
      <w:r w:rsidR="009C32A0">
        <w:rPr>
          <w:rFonts w:hint="cs"/>
          <w:rtl/>
        </w:rPr>
        <w:t xml:space="preserve"> والمنهج الصحيح السوي يقتضي تأويل الجميع</w:t>
      </w:r>
      <w:r>
        <w:rPr>
          <w:rFonts w:hint="cs"/>
          <w:rtl/>
        </w:rPr>
        <w:t>،</w:t>
      </w:r>
      <w:r w:rsidR="009C32A0">
        <w:rPr>
          <w:rFonts w:hint="cs"/>
          <w:rtl/>
        </w:rPr>
        <w:t xml:space="preserve"> بمعنى حمل الجميع على المجاز اللغوي</w:t>
      </w:r>
      <w:r>
        <w:rPr>
          <w:rFonts w:hint="cs"/>
          <w:rtl/>
        </w:rPr>
        <w:t>،</w:t>
      </w:r>
      <w:r w:rsidR="009C32A0">
        <w:rPr>
          <w:rFonts w:hint="cs"/>
          <w:rtl/>
        </w:rPr>
        <w:t xml:space="preserve"> فلا القرب قرب الذات بالمعنى الحسي الذي يلائم المخلوق ولا يلائم الخالق</w:t>
      </w:r>
      <w:r>
        <w:rPr>
          <w:rFonts w:hint="cs"/>
          <w:rtl/>
        </w:rPr>
        <w:t>،</w:t>
      </w:r>
      <w:r w:rsidR="009C32A0">
        <w:rPr>
          <w:rFonts w:hint="cs"/>
          <w:rtl/>
        </w:rPr>
        <w:t xml:space="preserve"> ولا الاستواء استواء الذات بالمعنى الحسي الذي يلائم المخلوق ولا يلائم الخالق</w:t>
      </w:r>
      <w:r>
        <w:rPr>
          <w:rFonts w:hint="cs"/>
          <w:rtl/>
        </w:rPr>
        <w:t>،</w:t>
      </w:r>
      <w:r w:rsidR="009C32A0">
        <w:rPr>
          <w:rFonts w:hint="cs"/>
          <w:rtl/>
        </w:rPr>
        <w:t xml:space="preserve"> أو التفويض في الجميع</w:t>
      </w:r>
      <w:r>
        <w:rPr>
          <w:rFonts w:hint="cs"/>
          <w:rtl/>
        </w:rPr>
        <w:t>،</w:t>
      </w:r>
      <w:r w:rsidR="009C32A0">
        <w:rPr>
          <w:rFonts w:hint="cs"/>
          <w:rtl/>
        </w:rPr>
        <w:t xml:space="preserve"> قربٌ ليس كمثله شيء</w:t>
      </w:r>
      <w:r>
        <w:rPr>
          <w:rFonts w:hint="cs"/>
          <w:rtl/>
        </w:rPr>
        <w:t>،</w:t>
      </w:r>
      <w:r w:rsidR="009C32A0">
        <w:rPr>
          <w:rFonts w:hint="cs"/>
          <w:rtl/>
        </w:rPr>
        <w:t xml:space="preserve"> واستواءٌ ليس كمثله شيء</w:t>
      </w:r>
      <w:r>
        <w:rPr>
          <w:rFonts w:hint="cs"/>
          <w:rtl/>
        </w:rPr>
        <w:t>،</w:t>
      </w:r>
      <w:r w:rsidR="009C32A0">
        <w:rPr>
          <w:rFonts w:hint="cs"/>
          <w:rtl/>
        </w:rPr>
        <w:t xml:space="preserve"> </w:t>
      </w:r>
      <w:r>
        <w:rPr>
          <w:rFonts w:hint="cs"/>
          <w:rtl/>
        </w:rPr>
        <w:t>[</w:t>
      </w:r>
      <w:r w:rsidR="009C32A0">
        <w:rPr>
          <w:rFonts w:hint="cs"/>
          <w:rtl/>
        </w:rPr>
        <w:t>قلت</w:t>
      </w:r>
      <w:r>
        <w:rPr>
          <w:rFonts w:hint="cs"/>
          <w:rtl/>
        </w:rPr>
        <w:t>]:</w:t>
      </w:r>
      <w:r w:rsidR="009C32A0">
        <w:rPr>
          <w:rFonts w:hint="cs"/>
          <w:rtl/>
        </w:rPr>
        <w:t xml:space="preserve"> </w:t>
      </w:r>
      <w:r w:rsidR="009C32A0">
        <w:rPr>
          <w:rFonts w:hint="cs"/>
          <w:rtl/>
          <w:lang w:bidi="ar-KW"/>
        </w:rPr>
        <w:t>الجميع متفق على حمل القرب على قرب العلم والسمع والبصر</w:t>
      </w:r>
      <w:r>
        <w:rPr>
          <w:rFonts w:hint="cs"/>
          <w:rtl/>
          <w:lang w:bidi="ar-KW"/>
        </w:rPr>
        <w:t>،</w:t>
      </w:r>
      <w:r w:rsidR="009C32A0">
        <w:rPr>
          <w:rFonts w:hint="cs"/>
          <w:rtl/>
          <w:lang w:bidi="ar-KW"/>
        </w:rPr>
        <w:t xml:space="preserve"> والجميع متفق على حمل الإحاطة على العلم والسمع والبصر</w:t>
      </w:r>
      <w:r>
        <w:rPr>
          <w:rFonts w:hint="cs"/>
          <w:rtl/>
          <w:lang w:bidi="ar-KW"/>
        </w:rPr>
        <w:t>،</w:t>
      </w:r>
      <w:r w:rsidR="009C32A0">
        <w:rPr>
          <w:rFonts w:hint="cs"/>
          <w:rtl/>
          <w:lang w:bidi="ar-KW"/>
        </w:rPr>
        <w:t xml:space="preserve"> ولكن عند الاستواء اختلفوا</w:t>
      </w:r>
      <w:r>
        <w:rPr>
          <w:rFonts w:hint="cs"/>
          <w:rtl/>
          <w:lang w:bidi="ar-KW"/>
        </w:rPr>
        <w:t>،</w:t>
      </w:r>
      <w:r w:rsidR="009C32A0">
        <w:rPr>
          <w:rFonts w:hint="cs"/>
          <w:rtl/>
          <w:lang w:bidi="ar-KW"/>
        </w:rPr>
        <w:t xml:space="preserve"> فحمل علماء الأصول المتخصصون في العقيدة الاستواء على معاني </w:t>
      </w:r>
      <w:r w:rsidR="009C32A0">
        <w:rPr>
          <w:rFonts w:hint="cs"/>
          <w:rtl/>
        </w:rPr>
        <w:t>استواء الملك والقهر والتسخير والهيمنة والربوبية للعالم</w:t>
      </w:r>
      <w:r>
        <w:rPr>
          <w:rFonts w:hint="cs"/>
          <w:rtl/>
        </w:rPr>
        <w:t>،</w:t>
      </w:r>
      <w:r w:rsidR="009C32A0">
        <w:rPr>
          <w:rFonts w:hint="cs"/>
          <w:rtl/>
        </w:rPr>
        <w:t>وبيان</w:t>
      </w:r>
      <w:r w:rsidR="009C32A0">
        <w:rPr>
          <w:rFonts w:hint="cs"/>
        </w:rPr>
        <w:t xml:space="preserve"> </w:t>
      </w:r>
      <w:r w:rsidR="009C32A0">
        <w:rPr>
          <w:rFonts w:hint="cs"/>
          <w:rtl/>
        </w:rPr>
        <w:t>كمال قدرته التامة سبحانه في تدابير الملك والملكوت</w:t>
      </w:r>
      <w:r>
        <w:rPr>
          <w:rFonts w:hint="cs"/>
          <w:rtl/>
        </w:rPr>
        <w:t>،</w:t>
      </w:r>
      <w:r w:rsidR="009C32A0">
        <w:rPr>
          <w:rFonts w:hint="cs"/>
          <w:rtl/>
        </w:rPr>
        <w:t xml:space="preserve"> </w:t>
      </w:r>
      <w:r w:rsidR="009C32A0">
        <w:rPr>
          <w:rFonts w:hint="cs"/>
          <w:rtl/>
          <w:lang w:bidi="ar-KW"/>
        </w:rPr>
        <w:t>وحملها غير المتخصصين على معاني الجلوس والاستقرار</w:t>
      </w:r>
      <w:r>
        <w:rPr>
          <w:rFonts w:hint="cs"/>
          <w:rtl/>
          <w:lang w:bidi="ar-KW"/>
        </w:rPr>
        <w:t>،</w:t>
      </w:r>
      <w:r w:rsidR="009C32A0">
        <w:rPr>
          <w:rFonts w:hint="cs"/>
          <w:rtl/>
          <w:lang w:bidi="ar-KW"/>
        </w:rPr>
        <w:t xml:space="preserve"> وقالوا</w:t>
      </w:r>
      <w:r>
        <w:rPr>
          <w:rFonts w:hint="cs"/>
          <w:rtl/>
          <w:lang w:bidi="ar-KW"/>
        </w:rPr>
        <w:t>:</w:t>
      </w:r>
      <w:r w:rsidR="009C32A0">
        <w:rPr>
          <w:rFonts w:hint="cs"/>
          <w:rtl/>
          <w:lang w:bidi="ar-KW"/>
        </w:rPr>
        <w:t xml:space="preserve"> مستو على العرش بذاته </w:t>
      </w:r>
      <w:r>
        <w:rPr>
          <w:rFonts w:hint="cs"/>
          <w:rtl/>
          <w:lang w:bidi="ar-KW"/>
        </w:rPr>
        <w:t>(</w:t>
      </w:r>
      <w:r w:rsidR="009C32A0">
        <w:rPr>
          <w:rFonts w:hint="cs"/>
          <w:rtl/>
          <w:lang w:bidi="ar-KW"/>
        </w:rPr>
        <w:t>سبحانه</w:t>
      </w:r>
      <w:r>
        <w:rPr>
          <w:rFonts w:hint="cs"/>
          <w:rtl/>
          <w:lang w:bidi="ar-KW"/>
        </w:rPr>
        <w:t>)</w:t>
      </w:r>
      <w:r w:rsidR="009C32A0">
        <w:rPr>
          <w:rFonts w:hint="cs"/>
          <w:rtl/>
          <w:lang w:bidi="ar-KW"/>
        </w:rPr>
        <w:t xml:space="preserve"> فمن أين جاءوا من كتاب أو سنة أنه </w:t>
      </w:r>
      <w:r>
        <w:rPr>
          <w:rFonts w:hint="cs"/>
          <w:rtl/>
          <w:lang w:bidi="ar-KW"/>
        </w:rPr>
        <w:t>(</w:t>
      </w:r>
      <w:r w:rsidR="009C32A0">
        <w:rPr>
          <w:rFonts w:hint="cs"/>
          <w:rtl/>
          <w:lang w:bidi="ar-KW"/>
        </w:rPr>
        <w:t>بذاته</w:t>
      </w:r>
      <w:r>
        <w:rPr>
          <w:rFonts w:hint="cs"/>
          <w:rtl/>
          <w:lang w:bidi="ar-KW"/>
        </w:rPr>
        <w:t>)،</w:t>
      </w:r>
      <w:r w:rsidR="009C32A0">
        <w:rPr>
          <w:rFonts w:hint="cs"/>
          <w:rtl/>
          <w:lang w:bidi="ar-KW"/>
        </w:rPr>
        <w:t xml:space="preserve"> ولم لا يكون استواء ربوبية وقهر كما أن القرب قرب علم وقدرة</w:t>
      </w:r>
      <w:r>
        <w:rPr>
          <w:rFonts w:hint="cs"/>
          <w:rtl/>
          <w:lang w:bidi="ar-KW"/>
        </w:rPr>
        <w:t xml:space="preserve">، </w:t>
      </w:r>
      <w:r w:rsidR="009C32A0">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9C32A0">
        <w:rPr>
          <w:rFonts w:hint="cs"/>
          <w:rtl/>
          <w:lang w:bidi="ar-KW"/>
        </w:rPr>
        <w:t xml:space="preserve"> وآيات الاستواء في القرآن الكريم سبعة</w:t>
      </w:r>
      <w:r>
        <w:rPr>
          <w:rFonts w:hint="cs"/>
          <w:rtl/>
          <w:lang w:bidi="ar-KW"/>
        </w:rPr>
        <w:t>،</w:t>
      </w:r>
      <w:r w:rsidR="009C32A0">
        <w:rPr>
          <w:rFonts w:hint="cs"/>
          <w:rtl/>
          <w:lang w:bidi="ar-KW"/>
        </w:rPr>
        <w:t xml:space="preserve"> هذه إحداها</w:t>
      </w:r>
      <w:r>
        <w:rPr>
          <w:rFonts w:hint="cs"/>
          <w:rtl/>
          <w:lang w:bidi="ar-KW"/>
        </w:rPr>
        <w:t>،</w:t>
      </w:r>
      <w:r w:rsidR="009C32A0">
        <w:rPr>
          <w:rFonts w:hint="cs"/>
          <w:rtl/>
          <w:lang w:bidi="ar-KW"/>
        </w:rPr>
        <w:t xml:space="preserve"> وكل آيات الاستواء </w:t>
      </w:r>
      <w:r w:rsidR="009C32A0">
        <w:rPr>
          <w:rFonts w:hint="cs"/>
          <w:rtl/>
        </w:rPr>
        <w:t xml:space="preserve">تدل لمن تدبرها بقرآئنها الموجودة في الآيات نفسها بأن الاستواء </w:t>
      </w:r>
      <w:r w:rsidR="009C32A0">
        <w:rPr>
          <w:rFonts w:hint="cs"/>
          <w:rtl/>
        </w:rPr>
        <w:lastRenderedPageBreak/>
        <w:t>المقصود هو استواء ملك وقهر وتسخير وهيمنة وربوبية للعالم</w:t>
      </w:r>
      <w:r>
        <w:rPr>
          <w:rFonts w:hint="cs"/>
          <w:rtl/>
        </w:rPr>
        <w:t>،</w:t>
      </w:r>
      <w:r w:rsidR="009C32A0">
        <w:rPr>
          <w:rFonts w:hint="cs"/>
          <w:rtl/>
        </w:rPr>
        <w:t xml:space="preserve"> وبيان</w:t>
      </w:r>
      <w:r w:rsidR="009C32A0">
        <w:rPr>
          <w:rFonts w:hint="cs"/>
        </w:rPr>
        <w:t xml:space="preserve"> </w:t>
      </w:r>
      <w:r w:rsidR="009C32A0">
        <w:rPr>
          <w:rFonts w:hint="cs"/>
          <w:rtl/>
        </w:rPr>
        <w:t>كمال قدرته التامة سبحانه في تدابير الملك والملكوت</w:t>
      </w:r>
      <w:r>
        <w:rPr>
          <w:rFonts w:hint="cs"/>
          <w:rtl/>
        </w:rPr>
        <w:t>،</w:t>
      </w:r>
      <w:r w:rsidR="009C32A0">
        <w:rPr>
          <w:rFonts w:hint="cs"/>
          <w:rtl/>
        </w:rPr>
        <w:t xml:space="preserve"> وهذا هو التمدح المقصود بالاستواء</w:t>
      </w:r>
      <w:r>
        <w:rPr>
          <w:rFonts w:hint="cs"/>
          <w:rtl/>
        </w:rPr>
        <w:t>،</w:t>
      </w:r>
      <w:r w:rsidR="009C32A0">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9C32A0">
        <w:rPr>
          <w:rFonts w:hint="cs"/>
          <w:rtl/>
        </w:rPr>
        <w:t xml:space="preserve"> أما</w:t>
      </w:r>
      <w:r w:rsidR="009C32A0">
        <w:rPr>
          <w:rFonts w:hint="cs"/>
        </w:rPr>
        <w:t xml:space="preserve"> </w:t>
      </w:r>
      <w:r w:rsidR="009C32A0">
        <w:rPr>
          <w:rFonts w:hint="cs"/>
          <w:rtl/>
        </w:rPr>
        <w:t>ما يزعمون من أنه استواء مكان فالله خالق المكان ومالكه</w:t>
      </w:r>
      <w:r w:rsidR="009C32A0">
        <w:rPr>
          <w:rFonts w:hint="cs"/>
        </w:rPr>
        <w:t xml:space="preserve"> </w:t>
      </w:r>
      <w:r w:rsidR="009C32A0">
        <w:rPr>
          <w:rFonts w:hint="cs"/>
          <w:rtl/>
        </w:rPr>
        <w:t>وهو منزه عن المكان والمكان محدود مهما كبر والله تعالى كما أنه لا حد لصفاته</w:t>
      </w:r>
      <w:r w:rsidR="009C32A0">
        <w:rPr>
          <w:rFonts w:hint="cs"/>
        </w:rPr>
        <w:t xml:space="preserve"> </w:t>
      </w:r>
      <w:r w:rsidR="009C32A0">
        <w:rPr>
          <w:rFonts w:hint="cs"/>
          <w:rtl/>
        </w:rPr>
        <w:t>من العلم والقدرة وغيرها فلا حد لذاته</w:t>
      </w:r>
      <w:r>
        <w:rPr>
          <w:rFonts w:hint="cs"/>
          <w:rtl/>
        </w:rPr>
        <w:t>،</w:t>
      </w:r>
      <w:r w:rsidR="009C32A0">
        <w:rPr>
          <w:rFonts w:hint="cs"/>
          <w:rtl/>
        </w:rPr>
        <w:t xml:space="preserve"> وأما ما يزعمون من أنه استواء استقرار</w:t>
      </w:r>
      <w:r w:rsidR="009C32A0">
        <w:rPr>
          <w:rFonts w:hint="cs"/>
        </w:rPr>
        <w:t xml:space="preserve"> </w:t>
      </w:r>
      <w:r w:rsidR="009C32A0">
        <w:rPr>
          <w:rFonts w:hint="cs"/>
          <w:rtl/>
        </w:rPr>
        <w:t>فهو باطل لأن الله عز وجل منزه عن التغير والحدوث</w:t>
      </w:r>
      <w:r>
        <w:rPr>
          <w:rFonts w:hint="cs"/>
          <w:rtl/>
        </w:rPr>
        <w:t>،</w:t>
      </w:r>
      <w:r w:rsidR="009C32A0">
        <w:rPr>
          <w:rFonts w:hint="cs"/>
          <w:rtl/>
        </w:rPr>
        <w:t xml:space="preserve"> والاستقرار يوحي بمعنى الحاجة وهل</w:t>
      </w:r>
      <w:r w:rsidR="009C32A0">
        <w:rPr>
          <w:rFonts w:hint="cs"/>
        </w:rPr>
        <w:t xml:space="preserve"> </w:t>
      </w:r>
      <w:r w:rsidR="009C32A0">
        <w:rPr>
          <w:rFonts w:hint="cs"/>
          <w:rtl/>
        </w:rPr>
        <w:t>يحتاج الله لمخلوق حتى يستقر عليه وقبل الاستقرار أخبرونا ماذا كان حاله تعالى الله عما</w:t>
      </w:r>
      <w:r w:rsidR="009C32A0">
        <w:rPr>
          <w:rFonts w:hint="cs"/>
        </w:rPr>
        <w:t xml:space="preserve"> </w:t>
      </w:r>
      <w:r w:rsidR="009C32A0">
        <w:rPr>
          <w:rFonts w:hint="cs"/>
          <w:rtl/>
        </w:rPr>
        <w:t>يقولون علوا كبيراً</w:t>
      </w:r>
      <w:r>
        <w:rPr>
          <w:rFonts w:hint="cs"/>
          <w:rtl/>
        </w:rPr>
        <w:t>،</w:t>
      </w:r>
      <w:r w:rsidR="009C32A0">
        <w:rPr>
          <w:rFonts w:hint="cs"/>
          <w:rtl/>
        </w:rPr>
        <w:t xml:space="preserve"> والتمدح لا يكون بالكون في المكان ولا بالاستقرار ولكن ببيان</w:t>
      </w:r>
      <w:r w:rsidR="009C32A0">
        <w:rPr>
          <w:rFonts w:hint="cs"/>
        </w:rPr>
        <w:t xml:space="preserve"> </w:t>
      </w:r>
      <w:r w:rsidR="009C32A0">
        <w:rPr>
          <w:rFonts w:hint="cs"/>
          <w:rtl/>
        </w:rPr>
        <w:t>صفات القدرة والعظمة وهذا هو مقصود آيات القرآن كما سيتبين</w:t>
      </w:r>
      <w:r>
        <w:rPr>
          <w:rFonts w:hint="cs"/>
          <w:rtl/>
        </w:rPr>
        <w:t>،</w:t>
      </w:r>
      <w:r w:rsidR="009C32A0">
        <w:rPr>
          <w:rFonts w:hint="cs"/>
          <w:rtl/>
        </w:rPr>
        <w:t xml:space="preserve"> </w:t>
      </w:r>
      <w:r>
        <w:rPr>
          <w:rFonts w:hint="cs"/>
          <w:rtl/>
        </w:rPr>
        <w:t>(</w:t>
      </w:r>
      <w:r w:rsidR="009C32A0">
        <w:rPr>
          <w:rFonts w:hint="cs"/>
          <w:bCs/>
          <w:rtl/>
        </w:rPr>
        <w:t>الآية الثانية من آيات الاستواء</w:t>
      </w:r>
      <w:r>
        <w:rPr>
          <w:rFonts w:hint="cs"/>
          <w:bCs/>
          <w:rtl/>
        </w:rPr>
        <w:t>):</w:t>
      </w:r>
      <w:r w:rsidR="009C32A0">
        <w:rPr>
          <w:rFonts w:hint="cs"/>
          <w:bCs/>
          <w:rtl/>
        </w:rPr>
        <w:t xml:space="preserve"> </w:t>
      </w:r>
      <w:r w:rsidR="009C32A0">
        <w:rPr>
          <w:rFonts w:hint="cs"/>
          <w:rtl/>
        </w:rPr>
        <w:t>قوله تعالى</w:t>
      </w:r>
      <w:r>
        <w:rPr>
          <w:rFonts w:hint="cs"/>
          <w:rtl/>
        </w:rPr>
        <w:t xml:space="preserve"> {</w:t>
      </w:r>
      <w:r w:rsidR="009C32A0">
        <w:rPr>
          <w:rFonts w:hint="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w:t>
      </w:r>
      <w:r w:rsidR="009C32A0">
        <w:rPr>
          <w:rFonts w:hint="cs"/>
          <w:rtl/>
        </w:rPr>
        <w:t xml:space="preserve"> </w:t>
      </w:r>
      <w:r>
        <w:rPr>
          <w:rFonts w:hint="cs"/>
          <w:rtl/>
        </w:rPr>
        <w:t>[</w:t>
      </w:r>
      <w:r w:rsidR="009C32A0">
        <w:rPr>
          <w:rFonts w:hint="cs"/>
          <w:rtl/>
        </w:rPr>
        <w:t>الأعراف 54-55]</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Pr>
          <w:rFonts w:hint="cs"/>
          <w:rtl/>
        </w:rPr>
        <w:t>،</w:t>
      </w:r>
      <w:r w:rsidR="009C32A0">
        <w:rPr>
          <w:rFonts w:hint="cs"/>
          <w:rtl/>
        </w:rPr>
        <w:t xml:space="preserve"> و </w:t>
      </w:r>
      <w:r>
        <w:rPr>
          <w:rFonts w:hint="cs"/>
          <w:rtl/>
        </w:rPr>
        <w:t>(</w:t>
      </w:r>
      <w:r w:rsidR="009C32A0">
        <w:rPr>
          <w:rFonts w:hint="cs"/>
          <w:bCs/>
          <w:rtl/>
        </w:rPr>
        <w:t>الآية الثالثة</w:t>
      </w:r>
      <w:r>
        <w:rPr>
          <w:rFonts w:hint="cs"/>
          <w:bCs/>
          <w:rtl/>
        </w:rPr>
        <w:t>):</w:t>
      </w:r>
      <w:r w:rsidR="009C32A0">
        <w:rPr>
          <w:rFonts w:hint="cs"/>
          <w:bCs/>
          <w:rtl/>
        </w:rPr>
        <w:t xml:space="preserve"> </w:t>
      </w:r>
      <w:r w:rsidR="009C32A0">
        <w:rPr>
          <w:rFonts w:hint="cs"/>
          <w:rtl/>
        </w:rPr>
        <w:t>قوله تعالى</w:t>
      </w:r>
      <w:r>
        <w:rPr>
          <w:rFonts w:hint="cs"/>
          <w:rtl/>
        </w:rPr>
        <w:t>:</w:t>
      </w:r>
      <w:r w:rsidR="009C32A0">
        <w:rPr>
          <w:rFonts w:hint="cs"/>
          <w:rtl/>
        </w:rPr>
        <w:t xml:space="preserve"> </w:t>
      </w:r>
      <w:r>
        <w:rPr>
          <w:rFonts w:hint="cs"/>
          <w:rtl/>
        </w:rPr>
        <w:t>{</w:t>
      </w:r>
      <w:r w:rsidR="009C32A0">
        <w:rPr>
          <w:rFonts w:hint="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9C32A0">
        <w:rPr>
          <w:rFonts w:hint="cs"/>
          <w:rtl/>
        </w:rPr>
        <w:t xml:space="preserve"> </w:t>
      </w:r>
      <w:r>
        <w:rPr>
          <w:rFonts w:hint="cs"/>
          <w:rtl/>
        </w:rPr>
        <w:t>[</w:t>
      </w:r>
      <w:r w:rsidR="009C32A0">
        <w:rPr>
          <w:rFonts w:hint="cs"/>
          <w:rtl/>
        </w:rPr>
        <w:t>يونس 3</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ربوبية </w:t>
      </w:r>
      <w:r w:rsidR="009C32A0">
        <w:rPr>
          <w:rFonts w:hint="cs"/>
          <w:bCs/>
          <w:rtl/>
        </w:rPr>
        <w:t>وتدبير</w:t>
      </w:r>
      <w:r w:rsidR="009C32A0">
        <w:rPr>
          <w:rFonts w:hint="cs"/>
          <w:rtl/>
        </w:rPr>
        <w:t xml:space="preserve"> وقهر لقرينته افتتاح الآية بالتذكير بالربوبية في قوله إن ربكم</w:t>
      </w:r>
      <w:r>
        <w:rPr>
          <w:rFonts w:hint="cs"/>
          <w:rtl/>
        </w:rPr>
        <w:t>،</w:t>
      </w:r>
      <w:r w:rsidR="009C32A0">
        <w:rPr>
          <w:rFonts w:hint="cs"/>
          <w:rtl/>
        </w:rPr>
        <w:t xml:space="preserve"> ثم ذكر التدبير بعد الاستواء مباشرة للدلالة على أنه استواء تدبير للمملكة التي تشمل السموات والأرض لا استواء جلوس</w:t>
      </w:r>
      <w:r>
        <w:rPr>
          <w:rFonts w:hint="cs"/>
          <w:rtl/>
        </w:rPr>
        <w:t>،</w:t>
      </w:r>
      <w:r w:rsidR="009C32A0">
        <w:rPr>
          <w:rFonts w:hint="cs"/>
          <w:rtl/>
        </w:rPr>
        <w:t xml:space="preserve"> فقوله تعالى</w:t>
      </w:r>
      <w:r>
        <w:rPr>
          <w:rFonts w:hint="cs"/>
          <w:rtl/>
        </w:rPr>
        <w:t>:</w:t>
      </w:r>
      <w:r w:rsidR="009C32A0">
        <w:rPr>
          <w:rFonts w:hint="cs"/>
          <w:rtl/>
        </w:rPr>
        <w:t xml:space="preserve"> </w:t>
      </w:r>
      <w:r>
        <w:rPr>
          <w:rFonts w:hint="cs"/>
          <w:rtl/>
        </w:rPr>
        <w:t>(</w:t>
      </w:r>
      <w:r w:rsidR="009C32A0">
        <w:rPr>
          <w:rFonts w:hint="cs"/>
          <w:rtl/>
        </w:rPr>
        <w:t>يدبر الأمر</w:t>
      </w:r>
      <w:r>
        <w:rPr>
          <w:rFonts w:hint="cs"/>
          <w:rtl/>
        </w:rPr>
        <w:t>)</w:t>
      </w:r>
      <w:r w:rsidR="009C32A0">
        <w:rPr>
          <w:rFonts w:hint="cs"/>
          <w:rtl/>
        </w:rPr>
        <w:t xml:space="preserve"> جرى مجرى التفسير لقوله: </w:t>
      </w:r>
      <w:r>
        <w:rPr>
          <w:rFonts w:hint="cs"/>
          <w:rtl/>
        </w:rPr>
        <w:t>(</w:t>
      </w:r>
      <w:r w:rsidR="009C32A0">
        <w:rPr>
          <w:rFonts w:hint="cs"/>
          <w:rtl/>
        </w:rPr>
        <w:t>استوى على العرش) على أنه استواء تدبير وربوبية</w:t>
      </w:r>
      <w:r>
        <w:rPr>
          <w:rFonts w:hint="cs"/>
          <w:rtl/>
        </w:rPr>
        <w:t>،</w:t>
      </w:r>
      <w:r w:rsidR="009C32A0">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Pr>
          <w:rFonts w:hint="cs"/>
          <w:rtl/>
        </w:rPr>
        <w:t>،</w:t>
      </w:r>
      <w:r w:rsidR="009C32A0">
        <w:rPr>
          <w:rFonts w:hint="cs"/>
          <w:rtl/>
        </w:rPr>
        <w:t xml:space="preserve"> </w:t>
      </w:r>
      <w:r>
        <w:rPr>
          <w:rFonts w:hint="cs"/>
          <w:rtl/>
        </w:rPr>
        <w:t>(</w:t>
      </w:r>
      <w:r w:rsidR="009C32A0">
        <w:rPr>
          <w:rFonts w:hint="cs"/>
          <w:bCs/>
          <w:rtl/>
        </w:rPr>
        <w:t>والآية الرابعة</w:t>
      </w:r>
      <w:r>
        <w:rPr>
          <w:rFonts w:hint="cs"/>
          <w:bCs/>
          <w:rtl/>
        </w:rPr>
        <w:t>):</w:t>
      </w:r>
      <w:r w:rsidR="009C32A0">
        <w:rPr>
          <w:rFonts w:hint="cs"/>
          <w:bCs/>
          <w:rtl/>
        </w:rPr>
        <w:t xml:space="preserve"> </w:t>
      </w:r>
      <w:r w:rsidR="009C32A0">
        <w:rPr>
          <w:rFonts w:hint="cs"/>
          <w:rtl/>
        </w:rPr>
        <w:t xml:space="preserve">قوله تعالى </w:t>
      </w:r>
      <w:r>
        <w:rPr>
          <w:rFonts w:hint="cs"/>
          <w:rtl/>
        </w:rPr>
        <w:t>{</w:t>
      </w:r>
      <w:r w:rsidR="009C32A0">
        <w:rPr>
          <w:rFonts w:hint="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9C32A0">
        <w:rPr>
          <w:rFonts w:hint="cs"/>
          <w:rtl/>
        </w:rPr>
        <w:t xml:space="preserve"> </w:t>
      </w:r>
      <w:r>
        <w:rPr>
          <w:rFonts w:hint="cs"/>
          <w:rtl/>
        </w:rPr>
        <w:t>[</w:t>
      </w:r>
      <w:r w:rsidR="009C32A0">
        <w:rPr>
          <w:rFonts w:hint="cs"/>
          <w:rtl/>
        </w:rPr>
        <w:t>الرعد 2</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ربوبية وتسخير </w:t>
      </w:r>
      <w:r w:rsidR="009C32A0">
        <w:rPr>
          <w:rFonts w:hint="cs"/>
          <w:rtl/>
        </w:rPr>
        <w:lastRenderedPageBreak/>
        <w:t>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9C32A0">
        <w:rPr>
          <w:rFonts w:hint="cs"/>
          <w:rtl/>
        </w:rPr>
        <w:t xml:space="preserve"> </w:t>
      </w:r>
      <w:r>
        <w:rPr>
          <w:rFonts w:hint="cs"/>
          <w:bCs/>
          <w:rtl/>
        </w:rPr>
        <w:t>(</w:t>
      </w:r>
      <w:r w:rsidR="009C32A0">
        <w:rPr>
          <w:rFonts w:hint="cs"/>
          <w:bCs/>
          <w:rtl/>
        </w:rPr>
        <w:t>والآية الخامسة</w:t>
      </w:r>
      <w:r>
        <w:rPr>
          <w:rFonts w:hint="cs"/>
          <w:bCs/>
          <w:rtl/>
        </w:rPr>
        <w:t>):</w:t>
      </w:r>
      <w:r w:rsidR="009C32A0">
        <w:rPr>
          <w:rFonts w:hint="cs"/>
          <w:bCs/>
          <w:rtl/>
        </w:rPr>
        <w:t xml:space="preserve"> </w:t>
      </w:r>
      <w:r w:rsidR="009C32A0">
        <w:rPr>
          <w:rFonts w:hint="cs"/>
          <w:rtl/>
        </w:rPr>
        <w:t>قوله تعالى</w:t>
      </w:r>
      <w:r>
        <w:rPr>
          <w:rFonts w:hint="cs"/>
          <w:rtl/>
        </w:rPr>
        <w:t>:</w:t>
      </w:r>
      <w:r w:rsidR="009C32A0">
        <w:rPr>
          <w:rFonts w:hint="cs"/>
          <w:rtl/>
        </w:rPr>
        <w:t xml:space="preserve"> </w:t>
      </w:r>
      <w:r>
        <w:rPr>
          <w:rFonts w:hint="cs"/>
          <w:rtl/>
        </w:rPr>
        <w:t>{</w:t>
      </w:r>
      <w:r w:rsidR="009C32A0">
        <w:rPr>
          <w:rFonts w:hint="cs"/>
          <w:rtl/>
        </w:rPr>
        <w:t>تنزيلاً ممن خلق الأرض والسموات العلى الرحمن على العرش استوى له ما في السموات وما في الأرض وما بينهما وما تحت الثرى</w:t>
      </w:r>
      <w:r>
        <w:rPr>
          <w:rFonts w:hint="cs"/>
          <w:rtl/>
        </w:rPr>
        <w:t>}</w:t>
      </w:r>
      <w:r w:rsidR="009C32A0">
        <w:rPr>
          <w:rFonts w:hint="cs"/>
          <w:rtl/>
        </w:rPr>
        <w:t xml:space="preserve"> </w:t>
      </w:r>
      <w:r>
        <w:rPr>
          <w:rFonts w:hint="cs"/>
          <w:rtl/>
        </w:rPr>
        <w:t>[</w:t>
      </w:r>
      <w:r w:rsidR="009C32A0">
        <w:rPr>
          <w:rFonts w:hint="cs"/>
          <w:rtl/>
        </w:rPr>
        <w:t>طه 4،5، 6]</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ملك وتدبير وربوبية بقرائن ذكر الخلق في قوله ممن خلق الأرض والسموات</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له ما في السموات وما في الأرض</w:t>
      </w:r>
      <w:r>
        <w:rPr>
          <w:rFonts w:hint="cs"/>
          <w:rtl/>
        </w:rPr>
        <w:t>}</w:t>
      </w:r>
      <w:r w:rsidR="009C32A0">
        <w:rPr>
          <w:rFonts w:hint="cs"/>
          <w:rtl/>
        </w:rPr>
        <w:t xml:space="preserve">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لذاته</w:t>
      </w:r>
      <w:r>
        <w:rPr>
          <w:rFonts w:hint="cs"/>
          <w:rtl/>
        </w:rPr>
        <w:t>،</w:t>
      </w:r>
      <w:r w:rsidR="009C32A0">
        <w:rPr>
          <w:rFonts w:hint="cs"/>
          <w:rtl/>
        </w:rPr>
        <w:t xml:space="preserve"> أما ما يزعمونه من أنه استواء استقرار فهو باطل لأن الله عز وجل منزه عن التغير</w:t>
      </w:r>
      <w:r>
        <w:rPr>
          <w:rFonts w:hint="cs"/>
          <w:rtl/>
        </w:rPr>
        <w:t>،</w:t>
      </w:r>
      <w:r w:rsidR="009C32A0">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9C32A0">
        <w:rPr>
          <w:rFonts w:hint="cs"/>
          <w:rtl/>
        </w:rPr>
        <w:t xml:space="preserve"> ومثال ذلك تسمية الكعبة ببيت الله والمساجد بيوت الله والعقلاء فهموا من هذه التسمية أن له بيتاً يجب على عباده حجه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9C32A0">
        <w:rPr>
          <w:rFonts w:hint="cs"/>
          <w:rtl/>
        </w:rPr>
        <w:t>ثم استوى على العرش</w:t>
      </w:r>
      <w:r>
        <w:rPr>
          <w:rFonts w:hint="cs"/>
          <w:rtl/>
        </w:rPr>
        <w:t>}</w:t>
      </w:r>
      <w:r w:rsidR="009C32A0">
        <w:rPr>
          <w:rFonts w:hint="cs"/>
          <w:rtl/>
        </w:rPr>
        <w:t xml:space="preserve"> أي بعد أن خلقها استوى على عرش الملك والجلال</w:t>
      </w:r>
      <w:r>
        <w:rPr>
          <w:rFonts w:hint="cs"/>
          <w:rtl/>
        </w:rPr>
        <w:t>،</w:t>
      </w:r>
      <w:r w:rsidR="009C32A0">
        <w:rPr>
          <w:rFonts w:hint="cs"/>
          <w:rtl/>
        </w:rPr>
        <w:t xml:space="preserve"> فإن قيل: فإذا حمل قوله تعالى</w:t>
      </w:r>
      <w:r>
        <w:rPr>
          <w:rFonts w:hint="cs"/>
          <w:rtl/>
        </w:rPr>
        <w:t>:</w:t>
      </w:r>
      <w:r w:rsidR="009C32A0">
        <w:rPr>
          <w:rFonts w:hint="cs"/>
          <w:rtl/>
        </w:rPr>
        <w:t xml:space="preserve"> </w:t>
      </w:r>
      <w:r>
        <w:rPr>
          <w:rFonts w:hint="cs"/>
          <w:rtl/>
        </w:rPr>
        <w:t>{</w:t>
      </w:r>
      <w:r w:rsidR="009C32A0">
        <w:rPr>
          <w:rFonts w:hint="cs"/>
          <w:rtl/>
        </w:rPr>
        <w:t>ثم استوى على العرش</w:t>
      </w:r>
      <w:r>
        <w:rPr>
          <w:rFonts w:hint="cs"/>
          <w:rtl/>
        </w:rPr>
        <w:t>}</w:t>
      </w:r>
      <w:r w:rsidR="009C32A0">
        <w:rPr>
          <w:rFonts w:hint="cs"/>
          <w:rtl/>
        </w:rPr>
        <w:t xml:space="preserve"> على أن المراد</w:t>
      </w:r>
      <w:r>
        <w:rPr>
          <w:rFonts w:hint="cs"/>
          <w:rtl/>
        </w:rPr>
        <w:t>:</w:t>
      </w:r>
      <w:r w:rsidR="009C32A0">
        <w:rPr>
          <w:rFonts w:hint="cs"/>
          <w:rtl/>
        </w:rPr>
        <w:t xml:space="preserve"> استوى على الملك بالقهر والتدبير</w:t>
      </w:r>
      <w:r>
        <w:rPr>
          <w:rFonts w:hint="cs"/>
          <w:rtl/>
        </w:rPr>
        <w:t xml:space="preserve"> </w:t>
      </w:r>
      <w:r w:rsidR="009C32A0">
        <w:rPr>
          <w:rFonts w:hint="cs"/>
          <w:rtl/>
        </w:rPr>
        <w:t>وجب أن يقال: الله لم يكن مستوياً استواء ملك وربوبية وتدبير قبل خلق السموات والأرض.</w:t>
      </w:r>
      <w:r>
        <w:rPr>
          <w:rFonts w:hint="cs"/>
          <w:rtl/>
        </w:rPr>
        <w:t xml:space="preserve"> </w:t>
      </w:r>
      <w:r w:rsidR="009C32A0">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Pr>
          <w:rFonts w:hint="cs"/>
          <w:rtl/>
        </w:rPr>
        <w:t>،</w:t>
      </w:r>
      <w:r w:rsidR="009C32A0">
        <w:rPr>
          <w:rFonts w:hint="cs"/>
          <w:rtl/>
        </w:rPr>
        <w:t xml:space="preserve"> ثم لا ننسى قوله تعالى:</w:t>
      </w:r>
      <w:r>
        <w:rPr>
          <w:rFonts w:hint="cs"/>
          <w:rtl/>
        </w:rPr>
        <w:t xml:space="preserve"> {</w:t>
      </w:r>
      <w:r w:rsidR="009C32A0">
        <w:rPr>
          <w:rFonts w:hint="cs"/>
          <w:rtl/>
        </w:rPr>
        <w:t>ويحمل عرش ربك فوقهم يومئذ ثمانية</w:t>
      </w:r>
      <w:r>
        <w:rPr>
          <w:rFonts w:hint="cs"/>
          <w:rtl/>
        </w:rPr>
        <w:t>}</w:t>
      </w:r>
      <w:r w:rsidR="009C32A0">
        <w:rPr>
          <w:rFonts w:hint="cs"/>
          <w:rtl/>
        </w:rPr>
        <w:t xml:space="preserve"> </w:t>
      </w:r>
      <w:r>
        <w:rPr>
          <w:rFonts w:hint="cs"/>
          <w:rtl/>
        </w:rPr>
        <w:t>[</w:t>
      </w:r>
      <w:r w:rsidR="009C32A0">
        <w:rPr>
          <w:rFonts w:hint="cs"/>
          <w:rtl/>
        </w:rPr>
        <w:t>الحاقة</w:t>
      </w:r>
      <w:r>
        <w:rPr>
          <w:rFonts w:hint="cs"/>
          <w:rtl/>
        </w:rPr>
        <w:t xml:space="preserve">: </w:t>
      </w:r>
      <w:r w:rsidR="009C32A0">
        <w:rPr>
          <w:rFonts w:hint="cs"/>
          <w:rtl/>
        </w:rPr>
        <w:t>17</w:t>
      </w:r>
      <w:r>
        <w:rPr>
          <w:rFonts w:hint="cs"/>
          <w:rtl/>
        </w:rPr>
        <w:t>]</w:t>
      </w:r>
      <w:r w:rsidR="009C32A0">
        <w:rPr>
          <w:rFonts w:hint="cs"/>
          <w:rtl/>
        </w:rPr>
        <w:t xml:space="preserve"> فإذا كانوا حاملين للعرش والعرش مكان المعبود كما يتوهم المخطئون</w:t>
      </w:r>
      <w:r>
        <w:rPr>
          <w:rFonts w:hint="cs"/>
          <w:rtl/>
        </w:rPr>
        <w:t>،</w:t>
      </w:r>
      <w:r w:rsidR="009C32A0">
        <w:rPr>
          <w:rFonts w:hint="cs"/>
          <w:rtl/>
        </w:rPr>
        <w:t xml:space="preserve"> فيلزم أن تكون الملائكة </w:t>
      </w:r>
      <w:r w:rsidR="009C32A0">
        <w:rPr>
          <w:rFonts w:hint="cs"/>
          <w:rtl/>
        </w:rPr>
        <w:lastRenderedPageBreak/>
        <w:t>حاملين لخالقهم ومعبودهم وذلك غير معقول لأن الخالق هو الذي يحفظ المخلوق</w:t>
      </w:r>
      <w:r>
        <w:rPr>
          <w:rFonts w:hint="cs"/>
          <w:rtl/>
        </w:rPr>
        <w:t xml:space="preserve"> </w:t>
      </w:r>
      <w:r w:rsidR="009C32A0">
        <w:rPr>
          <w:rFonts w:hint="cs"/>
          <w:rtl/>
        </w:rPr>
        <w:t>أما المخلوق فلا يحفظ الخالق ولا يحمله. والحاصل أن الاستواء المقصود هو استواء على الملك بالقهر والتدبير</w:t>
      </w:r>
      <w:r>
        <w:rPr>
          <w:rFonts w:hint="cs"/>
          <w:rtl/>
        </w:rPr>
        <w:t>،</w:t>
      </w:r>
      <w:r w:rsidR="009C32A0">
        <w:rPr>
          <w:rFonts w:hint="cs"/>
          <w:rtl/>
        </w:rPr>
        <w:t xml:space="preserve"> </w:t>
      </w:r>
      <w:r>
        <w:rPr>
          <w:rFonts w:hint="cs"/>
          <w:rtl/>
        </w:rPr>
        <w:t>(</w:t>
      </w:r>
      <w:r w:rsidR="009C32A0">
        <w:rPr>
          <w:rFonts w:hint="cs"/>
          <w:rtl/>
        </w:rPr>
        <w:t>و</w:t>
      </w:r>
      <w:r w:rsidR="009C32A0">
        <w:rPr>
          <w:rFonts w:hint="cs"/>
          <w:bCs/>
          <w:rtl/>
        </w:rPr>
        <w:t>الآية السادسة</w:t>
      </w:r>
      <w:r>
        <w:rPr>
          <w:rFonts w:hint="cs"/>
          <w:b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الذي خلق السموات والارض وما بينهما في ستة أيام ثم استوى على العرش الرحمن فاسأل به خبيرا</w:t>
      </w:r>
      <w:r>
        <w:rPr>
          <w:rFonts w:hint="cs"/>
          <w:rtl/>
        </w:rPr>
        <w:t>}</w:t>
      </w:r>
      <w:r w:rsidR="009C32A0">
        <w:rPr>
          <w:rFonts w:hint="cs"/>
          <w:rtl/>
        </w:rPr>
        <w:t xml:space="preserve"> </w:t>
      </w:r>
      <w:r>
        <w:rPr>
          <w:rFonts w:hint="cs"/>
          <w:rtl/>
        </w:rPr>
        <w:t>[</w:t>
      </w:r>
      <w:r w:rsidR="009C32A0">
        <w:rPr>
          <w:rFonts w:hint="cs"/>
          <w:rtl/>
        </w:rPr>
        <w:t>الفرقان 59</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9C32A0">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Pr>
          <w:rFonts w:hint="cs"/>
          <w:rtl/>
        </w:rPr>
        <w:t>،</w:t>
      </w:r>
      <w:r w:rsidR="009C32A0">
        <w:rPr>
          <w:rFonts w:hint="cs"/>
          <w:rtl/>
        </w:rPr>
        <w:t xml:space="preserve"> </w:t>
      </w:r>
      <w:r>
        <w:rPr>
          <w:rFonts w:hint="cs"/>
          <w:rtl/>
        </w:rPr>
        <w:t>(</w:t>
      </w:r>
      <w:r w:rsidR="009C32A0">
        <w:rPr>
          <w:rFonts w:hint="cs"/>
          <w:rtl/>
        </w:rPr>
        <w:t>و</w:t>
      </w:r>
      <w:r w:rsidR="009C32A0">
        <w:rPr>
          <w:rFonts w:hint="cs"/>
          <w:bCs/>
          <w:rtl/>
        </w:rPr>
        <w:t>الآية السابعة</w:t>
      </w:r>
      <w:r>
        <w:rPr>
          <w:rFonts w:hint="cs"/>
          <w:bCs/>
          <w:rtl/>
        </w:rPr>
        <w:t>):</w:t>
      </w:r>
      <w:r w:rsidR="009C32A0">
        <w:rPr>
          <w:rFonts w:hint="cs"/>
          <w:bCs/>
          <w:rtl/>
        </w:rPr>
        <w:t xml:space="preserve"> </w:t>
      </w:r>
      <w:r w:rsidR="009C32A0">
        <w:rPr>
          <w:rFonts w:hint="cs"/>
          <w:rtl/>
        </w:rPr>
        <w:t>قوله تعالى</w:t>
      </w:r>
      <w:r>
        <w:rPr>
          <w:rFonts w:hint="cs"/>
          <w:rtl/>
        </w:rPr>
        <w:t>:</w:t>
      </w:r>
      <w:r w:rsidR="009C32A0">
        <w:rPr>
          <w:rFonts w:hint="cs"/>
          <w:rtl/>
        </w:rPr>
        <w:t xml:space="preserve"> </w:t>
      </w:r>
      <w:r>
        <w:rPr>
          <w:rFonts w:hint="cs"/>
          <w:rtl/>
        </w:rPr>
        <w:t>{</w:t>
      </w:r>
      <w:r w:rsidR="009C32A0">
        <w:rPr>
          <w:rFonts w:hint="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9C32A0">
        <w:rPr>
          <w:rFonts w:hint="cs"/>
          <w:rtl/>
        </w:rPr>
        <w:t xml:space="preserve"> </w:t>
      </w:r>
      <w:r>
        <w:rPr>
          <w:rFonts w:hint="cs"/>
          <w:rtl/>
        </w:rPr>
        <w:t>[</w:t>
      </w:r>
      <w:r w:rsidR="009C32A0">
        <w:rPr>
          <w:rFonts w:hint="cs"/>
          <w:rtl/>
        </w:rPr>
        <w:t>السجدة 4 إلى 7</w:t>
      </w:r>
      <w:r>
        <w:rPr>
          <w:rFonts w:hint="cs"/>
          <w:rtl/>
        </w:rPr>
        <w:t>]،</w:t>
      </w:r>
      <w:r w:rsidR="009C32A0">
        <w:rPr>
          <w:rFonts w:hint="cs"/>
          <w:rtl/>
        </w:rPr>
        <w:t xml:space="preserve"> والمفتاح</w:t>
      </w:r>
      <w:r>
        <w:rPr>
          <w:rFonts w:hint="cs"/>
          <w:rtl/>
        </w:rPr>
        <w:t>:</w:t>
      </w:r>
      <w:r w:rsidR="009C32A0">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9C32A0">
        <w:rPr>
          <w:rFonts w:hint="cs"/>
          <w:rtl/>
        </w:rPr>
        <w:t>ما لكم من دونه من ولي ولا شفيع</w:t>
      </w:r>
      <w:r>
        <w:rPr>
          <w:rFonts w:hint="cs"/>
          <w:rtl/>
        </w:rPr>
        <w:t>)،</w:t>
      </w:r>
      <w:r w:rsidR="009C32A0">
        <w:rPr>
          <w:rFonts w:hint="cs"/>
          <w:rtl/>
        </w:rPr>
        <w:t xml:space="preserve"> </w:t>
      </w:r>
      <w:r>
        <w:rPr>
          <w:rFonts w:hint="cs"/>
          <w:bCs/>
          <w:rtl/>
          <w:lang w:bidi="ar-KW"/>
        </w:rPr>
        <w:t>[</w:t>
      </w:r>
      <w:r w:rsidR="009C32A0">
        <w:rPr>
          <w:rFonts w:hint="cs"/>
          <w:bCs/>
          <w:rtl/>
          <w:lang w:bidi="ar-KW"/>
        </w:rPr>
        <w:t>قلت</w:t>
      </w:r>
      <w:r>
        <w:rPr>
          <w:rFonts w:hint="cs"/>
          <w:bCs/>
          <w:rtl/>
          <w:lang w:bidi="ar-KW"/>
        </w:rPr>
        <w:t>]</w:t>
      </w:r>
      <w:r>
        <w:rPr>
          <w:rFonts w:hint="cs"/>
          <w:rtl/>
          <w:lang w:bidi="ar-KW"/>
        </w:rPr>
        <w:t>:</w:t>
      </w:r>
      <w:r w:rsidR="009C32A0">
        <w:rPr>
          <w:rFonts w:hint="cs"/>
          <w:rtl/>
          <w:lang w:bidi="ar-KW"/>
        </w:rPr>
        <w:t xml:space="preserve"> </w:t>
      </w:r>
      <w:r w:rsidR="009C32A0">
        <w:rPr>
          <w:rFonts w:hint="cs"/>
          <w:rtl/>
        </w:rPr>
        <w:t>والحاصل أن الفقه في الدين يحتم على المسلم أن ينحى أحد ثلاث مسالك جميعها يعبر عن منهاج أهل السنّة والجماعة وما عداها انحراف نحو الحشو التجسيم أو نحو التجهم والاعتزال والتعطيل</w:t>
      </w:r>
      <w:r>
        <w:rPr>
          <w:rFonts w:hint="cs"/>
          <w:rtl/>
        </w:rPr>
        <w:t>،</w:t>
      </w:r>
      <w:r w:rsidR="009C32A0">
        <w:rPr>
          <w:rFonts w:hint="cs"/>
          <w:rtl/>
        </w:rPr>
        <w:t xml:space="preserve"> </w:t>
      </w:r>
      <w:r w:rsidR="009C32A0">
        <w:rPr>
          <w:rFonts w:hint="cs"/>
          <w:bCs/>
          <w:rtl/>
        </w:rPr>
        <w:t>وأول تلك المسالك</w:t>
      </w:r>
      <w:r>
        <w:rPr>
          <w:rFonts w:hint="cs"/>
          <w:rtl/>
        </w:rPr>
        <w:t>:</w:t>
      </w:r>
      <w:r w:rsidR="009C32A0">
        <w:rPr>
          <w:rFonts w:hint="cs"/>
          <w:rtl/>
        </w:rPr>
        <w:t xml:space="preserve"> أنه من باب الاستعارة التمثيلية </w:t>
      </w:r>
      <w:r>
        <w:rPr>
          <w:rFonts w:hint="cs"/>
          <w:rtl/>
        </w:rPr>
        <w:t>(</w:t>
      </w:r>
      <w:r w:rsidR="009C32A0">
        <w:rPr>
          <w:rFonts w:hint="cs"/>
          <w:rtl/>
        </w:rPr>
        <w:t>وهي أعلى مراتب البلاغة عند العرب والقرآن الكريم ديوان العربية</w:t>
      </w:r>
      <w:r>
        <w:rPr>
          <w:rFonts w:hint="cs"/>
          <w:rtl/>
        </w:rPr>
        <w:t>،</w:t>
      </w:r>
      <w:r w:rsidR="009C32A0">
        <w:rPr>
          <w:rFonts w:hint="cs"/>
          <w:rtl/>
        </w:rPr>
        <w:t xml:space="preserve"> وإذا كانت البلاغة أحسن ما في العربية فإن بلاغة القرآن فوق ذلك كله</w:t>
      </w:r>
      <w:r>
        <w:rPr>
          <w:rFonts w:hint="cs"/>
          <w:rtl/>
        </w:rPr>
        <w:t>)</w:t>
      </w:r>
      <w:r w:rsidR="009C32A0">
        <w:rPr>
          <w:rFonts w:hint="cs"/>
          <w:rtl/>
        </w:rPr>
        <w:t xml:space="preserve"> وشرح ذلك أنّه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9C32A0">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9C32A0">
        <w:rPr>
          <w:rFonts w:hint="cs"/>
          <w:rtl/>
        </w:rPr>
        <w:t>والتي تعقب ذكر الاستواء عادة والله تعالى أعلم</w:t>
      </w:r>
      <w:r>
        <w:rPr>
          <w:rFonts w:hint="cs"/>
          <w:rtl/>
        </w:rPr>
        <w:t>،</w:t>
      </w:r>
      <w:r w:rsidR="009C32A0">
        <w:rPr>
          <w:rFonts w:hint="cs"/>
          <w:rtl/>
        </w:rPr>
        <w:t xml:space="preserve"> وفي بيان الاستعارة التمثيلية جاء في فتح الباري</w:t>
      </w:r>
      <w:r>
        <w:rPr>
          <w:rFonts w:hint="cs"/>
          <w:rtl/>
        </w:rPr>
        <w:t>:</w:t>
      </w:r>
      <w:r w:rsidR="009C32A0">
        <w:rPr>
          <w:rFonts w:hint="cs"/>
          <w:rtl/>
        </w:rPr>
        <w:t xml:space="preserve"> " قال الحافظ</w:t>
      </w:r>
      <w:r w:rsidR="009C32A0">
        <w:rPr>
          <w:rFonts w:hint="cs"/>
        </w:rPr>
        <w:t xml:space="preserve"> </w:t>
      </w:r>
      <w:r w:rsidR="009C32A0">
        <w:rPr>
          <w:rFonts w:hint="cs"/>
          <w:rtl/>
        </w:rPr>
        <w:t>صلاح الدين العلائي</w:t>
      </w:r>
      <w:r>
        <w:rPr>
          <w:rFonts w:hint="cs"/>
          <w:rtl/>
        </w:rPr>
        <w:t>:</w:t>
      </w:r>
      <w:r w:rsidR="009C32A0">
        <w:rPr>
          <w:rFonts w:hint="cs"/>
          <w:rtl/>
        </w:rPr>
        <w:t xml:space="preserve"> ويتخرج</w:t>
      </w:r>
      <w:r w:rsidR="009C32A0">
        <w:rPr>
          <w:rFonts w:hint="cs"/>
        </w:rPr>
        <w:t xml:space="preserve"> </w:t>
      </w:r>
      <w:r w:rsidR="009C32A0">
        <w:rPr>
          <w:rFonts w:hint="cs"/>
          <w:rtl/>
        </w:rPr>
        <w:t>كثير من أحاديث الصفات</w:t>
      </w:r>
      <w:r w:rsidR="009C32A0">
        <w:rPr>
          <w:rFonts w:hint="cs"/>
        </w:rPr>
        <w:t xml:space="preserve"> </w:t>
      </w:r>
      <w:r w:rsidR="009C32A0">
        <w:rPr>
          <w:rFonts w:hint="cs"/>
          <w:rtl/>
        </w:rPr>
        <w:t>على الاستعارة</w:t>
      </w:r>
      <w:r w:rsidR="009C32A0">
        <w:rPr>
          <w:rFonts w:hint="cs"/>
        </w:rPr>
        <w:t xml:space="preserve"> </w:t>
      </w:r>
      <w:r w:rsidR="009C32A0">
        <w:rPr>
          <w:rFonts w:hint="cs"/>
          <w:rtl/>
        </w:rPr>
        <w:t>التخييلية وهي ان يشترك شيئان في وصف ثم يعتمد لوازم أحدهما حيث</w:t>
      </w:r>
      <w:r w:rsidR="009C32A0">
        <w:rPr>
          <w:rFonts w:hint="cs"/>
        </w:rPr>
        <w:t xml:space="preserve"> </w:t>
      </w:r>
      <w:r w:rsidR="009C32A0">
        <w:rPr>
          <w:rFonts w:hint="cs"/>
          <w:rtl/>
        </w:rPr>
        <w:t>تكون جهة</w:t>
      </w:r>
      <w:r w:rsidR="009C32A0">
        <w:rPr>
          <w:rFonts w:hint="cs"/>
        </w:rPr>
        <w:t xml:space="preserve"> </w:t>
      </w:r>
      <w:r w:rsidR="009C32A0">
        <w:rPr>
          <w:rFonts w:hint="cs"/>
          <w:rtl/>
        </w:rPr>
        <w:t>الاشتراك وصفا فيثبت كماله في المستعار بواسطة شيء آخر فيثبت ذلك للمستعار</w:t>
      </w:r>
      <w:r w:rsidR="009C32A0">
        <w:rPr>
          <w:rFonts w:hint="cs"/>
        </w:rPr>
        <w:t xml:space="preserve"> </w:t>
      </w:r>
      <w:r w:rsidR="009C32A0">
        <w:rPr>
          <w:rFonts w:hint="cs"/>
          <w:rtl/>
        </w:rPr>
        <w:t>مبالغة في</w:t>
      </w:r>
      <w:r w:rsidR="009C32A0">
        <w:rPr>
          <w:rFonts w:hint="cs"/>
        </w:rPr>
        <w:t xml:space="preserve"> </w:t>
      </w:r>
      <w:r w:rsidR="009C32A0">
        <w:rPr>
          <w:rFonts w:hint="cs"/>
          <w:rtl/>
        </w:rPr>
        <w:t xml:space="preserve">اثبات المشترك قال وبالحمل على </w:t>
      </w:r>
      <w:r w:rsidR="009C32A0">
        <w:rPr>
          <w:rFonts w:hint="cs"/>
          <w:rtl/>
        </w:rPr>
        <w:lastRenderedPageBreak/>
        <w:t>هذه الاستعارة التخييلية يحصل التخلص</w:t>
      </w:r>
      <w:r w:rsidR="009C32A0">
        <w:rPr>
          <w:rFonts w:hint="cs"/>
        </w:rPr>
        <w:t xml:space="preserve"> </w:t>
      </w:r>
      <w:r w:rsidR="009C32A0">
        <w:rPr>
          <w:rFonts w:hint="cs"/>
          <w:rtl/>
        </w:rPr>
        <w:t>من مهاوي</w:t>
      </w:r>
      <w:r w:rsidR="009C32A0">
        <w:rPr>
          <w:rFonts w:hint="cs"/>
        </w:rPr>
        <w:t xml:space="preserve"> </w:t>
      </w:r>
      <w:r w:rsidR="009C32A0">
        <w:rPr>
          <w:rFonts w:hint="cs"/>
          <w:rtl/>
        </w:rPr>
        <w:t xml:space="preserve">التجسيم " أ هـ </w:t>
      </w:r>
      <w:r>
        <w:rPr>
          <w:rFonts w:hint="cs"/>
          <w:rtl/>
        </w:rPr>
        <w:t>[</w:t>
      </w:r>
      <w:r w:rsidR="009C32A0">
        <w:rPr>
          <w:rFonts w:hint="cs"/>
          <w:rtl/>
        </w:rPr>
        <w:t>فتح</w:t>
      </w:r>
      <w:r w:rsidR="009C32A0">
        <w:rPr>
          <w:rFonts w:hint="cs"/>
        </w:rPr>
        <w:t xml:space="preserve"> </w:t>
      </w:r>
      <w:r w:rsidR="009C32A0">
        <w:rPr>
          <w:rFonts w:hint="cs"/>
          <w:rtl/>
        </w:rPr>
        <w:t>الباري ج: 13 ص: 431</w:t>
      </w:r>
      <w:r>
        <w:rPr>
          <w:rFonts w:hint="cs"/>
          <w:rtl/>
        </w:rPr>
        <w:t>]،</w:t>
      </w:r>
      <w:r w:rsidR="009C32A0">
        <w:rPr>
          <w:rFonts w:hint="cs"/>
          <w:rtl/>
        </w:rPr>
        <w:t xml:space="preserve"> </w:t>
      </w:r>
      <w:r w:rsidR="009C32A0">
        <w:rPr>
          <w:rFonts w:hint="cs"/>
          <w:bCs/>
          <w:rtl/>
        </w:rPr>
        <w:t>والمسلك الثاني</w:t>
      </w:r>
      <w:r>
        <w:rPr>
          <w:rFonts w:hint="cs"/>
          <w:rtl/>
        </w:rPr>
        <w:t>:</w:t>
      </w:r>
      <w:r w:rsidR="009C32A0">
        <w:rPr>
          <w:rFonts w:hint="cs"/>
          <w:rtl/>
        </w:rPr>
        <w:t xml:space="preserve"> أنه </w:t>
      </w:r>
      <w:r>
        <w:rPr>
          <w:rFonts w:hint="cs"/>
          <w:rtl/>
        </w:rPr>
        <w:t>(</w:t>
      </w:r>
      <w:r w:rsidR="009C32A0">
        <w:rPr>
          <w:rFonts w:hint="cs"/>
          <w:rtl/>
        </w:rPr>
        <w:t>استواء</w:t>
      </w:r>
      <w:r>
        <w:rPr>
          <w:rFonts w:hint="cs"/>
          <w:rtl/>
        </w:rPr>
        <w:t>)</w:t>
      </w:r>
      <w:r w:rsidR="009C32A0">
        <w:rPr>
          <w:rFonts w:hint="cs"/>
          <w:rtl/>
        </w:rPr>
        <w:t xml:space="preserve"> على مراد الله تعالى ومراد رسوله</w:t>
      </w:r>
      <w:r>
        <w:rPr>
          <w:rFonts w:hint="cs"/>
          <w:rtl/>
        </w:rPr>
        <w:t>،</w:t>
      </w:r>
      <w:r w:rsidR="009C32A0">
        <w:rPr>
          <w:rFonts w:hint="cs"/>
          <w:rtl/>
        </w:rPr>
        <w:t xml:space="preserve"> ليس كمثل استوائه استواء</w:t>
      </w:r>
      <w:r>
        <w:rPr>
          <w:rFonts w:hint="cs"/>
          <w:rtl/>
        </w:rPr>
        <w:t>،</w:t>
      </w:r>
      <w:r w:rsidR="009C32A0">
        <w:rPr>
          <w:rFonts w:hint="cs"/>
          <w:rtl/>
        </w:rPr>
        <w:t xml:space="preserve"> كما أنه ليس كمثل ذاته ذات</w:t>
      </w:r>
      <w:r>
        <w:rPr>
          <w:rFonts w:hint="cs"/>
          <w:rtl/>
        </w:rPr>
        <w:t>،</w:t>
      </w:r>
      <w:r w:rsidR="009C32A0">
        <w:rPr>
          <w:rFonts w:hint="cs"/>
          <w:rtl/>
        </w:rPr>
        <w:t xml:space="preserve"> وليس كمثل صفاته صفات</w:t>
      </w:r>
      <w:r>
        <w:rPr>
          <w:rFonts w:hint="cs"/>
          <w:rtl/>
        </w:rPr>
        <w:t>،</w:t>
      </w:r>
      <w:r w:rsidR="009C32A0">
        <w:rPr>
          <w:rFonts w:hint="cs"/>
          <w:rtl/>
        </w:rPr>
        <w:t xml:space="preserve"> </w:t>
      </w:r>
      <w:r w:rsidR="009C32A0">
        <w:rPr>
          <w:rFonts w:hint="cs"/>
          <w:bCs/>
          <w:rtl/>
        </w:rPr>
        <w:t>والمسلك الثالث</w:t>
      </w:r>
      <w:r>
        <w:rPr>
          <w:rFonts w:hint="cs"/>
          <w:rtl/>
        </w:rPr>
        <w:t>:</w:t>
      </w:r>
      <w:r w:rsidR="009C32A0">
        <w:rPr>
          <w:rFonts w:hint="cs"/>
          <w:rtl/>
        </w:rPr>
        <w:t xml:space="preserve"> معاملة صفات القرب والإحاطة والاستواء معاملة واحدة</w:t>
      </w:r>
      <w:r>
        <w:rPr>
          <w:rFonts w:hint="cs"/>
          <w:rtl/>
        </w:rPr>
        <w:t>،</w:t>
      </w:r>
      <w:r w:rsidR="009C32A0">
        <w:rPr>
          <w:rFonts w:hint="cs"/>
          <w:rtl/>
        </w:rPr>
        <w:t xml:space="preserve"> فإذا أثبتنا الاستواء أثبتنا القرب</w:t>
      </w:r>
      <w:r>
        <w:rPr>
          <w:rFonts w:hint="cs"/>
          <w:rtl/>
        </w:rPr>
        <w:t>،</w:t>
      </w:r>
      <w:r w:rsidR="009C32A0">
        <w:rPr>
          <w:rFonts w:hint="cs"/>
          <w:rtl/>
        </w:rPr>
        <w:t xml:space="preserve"> وأثبتنا الإحاطة</w:t>
      </w:r>
      <w:r>
        <w:rPr>
          <w:rFonts w:hint="cs"/>
          <w:rtl/>
        </w:rPr>
        <w:t>،</w:t>
      </w:r>
      <w:r w:rsidR="009C32A0">
        <w:rPr>
          <w:rFonts w:hint="cs"/>
          <w:rtl/>
        </w:rPr>
        <w:t xml:space="preserve"> وآنذاك</w:t>
      </w:r>
      <w:r>
        <w:rPr>
          <w:rFonts w:hint="cs"/>
          <w:rtl/>
        </w:rPr>
        <w:t>،</w:t>
      </w:r>
      <w:r w:rsidR="009C32A0">
        <w:rPr>
          <w:rFonts w:hint="cs"/>
          <w:rtl/>
        </w:rPr>
        <w:t xml:space="preserve"> يمتنع التكييف لأنه جمع بين الأضداد</w:t>
      </w:r>
      <w:r>
        <w:rPr>
          <w:rFonts w:hint="cs"/>
          <w:rtl/>
        </w:rPr>
        <w:t>،</w:t>
      </w:r>
      <w:r w:rsidR="009C32A0">
        <w:rPr>
          <w:rFonts w:hint="cs"/>
          <w:rtl/>
        </w:rPr>
        <w:t xml:space="preserve"> أما اعتقاد الظاهر وهو الجلوس والاستقرار على العرش المخلوق المربوب المقهور بقدرة الله فهو محال على الله تعالى المنزه عن الجوارح والأجزاء والمنزه عن الحد والمقدار والأكبر من كل تصور وهو الواحد القهار وهو الكبير المتعال وهو المحيط القريب</w:t>
      </w:r>
      <w:r>
        <w:rPr>
          <w:rFonts w:hint="cs"/>
          <w:rtl/>
        </w:rPr>
        <w:t>،</w:t>
      </w:r>
      <w:r w:rsidR="009C32A0">
        <w:rPr>
          <w:rFonts w:hint="cs"/>
          <w:rtl/>
        </w:rPr>
        <w:t xml:space="preserve"> ولله در ابن كثير حيث يقول " 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w:t>
      </w:r>
      <w:r>
        <w:rPr>
          <w:rFonts w:hint="cs"/>
          <w:rtl/>
        </w:rPr>
        <w:t>{</w:t>
      </w:r>
      <w:r w:rsidR="009C32A0">
        <w:rPr>
          <w:rFonts w:hint="cs"/>
          <w:rtl/>
        </w:rPr>
        <w:t>ليس كمثله شيء وهو السميع البصير} أهـ</w:t>
      </w:r>
      <w:r>
        <w:rPr>
          <w:rFonts w:hint="cs"/>
          <w:rtl/>
        </w:rPr>
        <w:t>،</w:t>
      </w:r>
      <w:r w:rsidR="009C32A0">
        <w:rPr>
          <w:rFonts w:hint="cs"/>
          <w:rtl/>
        </w:rPr>
        <w:t xml:space="preserve"> [تفسير بن كثير</w:t>
      </w:r>
      <w:r>
        <w:rPr>
          <w:rFonts w:hint="cs"/>
          <w:rtl/>
        </w:rPr>
        <w:t>:</w:t>
      </w:r>
      <w:r w:rsidR="009C32A0">
        <w:rPr>
          <w:rFonts w:hint="cs"/>
          <w:rtl/>
        </w:rPr>
        <w:t xml:space="preserve"> الاعراف</w:t>
      </w:r>
      <w:r>
        <w:rPr>
          <w:rFonts w:hint="cs"/>
          <w:rtl/>
        </w:rPr>
        <w:t>:</w:t>
      </w:r>
      <w:r w:rsidR="009C32A0">
        <w:rPr>
          <w:rFonts w:hint="cs"/>
          <w:rtl/>
        </w:rPr>
        <w:t xml:space="preserve"> آية</w:t>
      </w:r>
      <w:r>
        <w:rPr>
          <w:rFonts w:hint="cs"/>
          <w:rtl/>
        </w:rPr>
        <w:t>:</w:t>
      </w:r>
      <w:r w:rsidR="009C32A0">
        <w:rPr>
          <w:rFonts w:hint="cs"/>
          <w:rtl/>
        </w:rPr>
        <w:t xml:space="preserve"> 54</w:t>
      </w:r>
      <w:r>
        <w:rPr>
          <w:rFonts w:hint="cs"/>
          <w:rtl/>
        </w:rPr>
        <w:t>]،</w:t>
      </w:r>
      <w:r w:rsidR="009C32A0">
        <w:rPr>
          <w:rFonts w:hint="cs"/>
          <w:rtl/>
        </w:rPr>
        <w:t xml:space="preserve"> </w:t>
      </w:r>
    </w:p>
    <w:p w14:paraId="3E7CCEAE" w14:textId="120BFF03" w:rsidR="009C32A0" w:rsidRDefault="000636C2" w:rsidP="000636C2">
      <w:pPr>
        <w:ind w:left="-58"/>
        <w:rPr>
          <w:b/>
          <w:lang w:bidi="ar-KW"/>
        </w:rPr>
      </w:pPr>
      <w:r>
        <w:rPr>
          <w:rFonts w:hint="cs"/>
          <w:bCs/>
          <w:rtl/>
          <w:lang w:bidi="ar-KW"/>
        </w:rPr>
        <w:t>[</w:t>
      </w:r>
      <w:r w:rsidR="009C32A0">
        <w:rPr>
          <w:rFonts w:hint="cs"/>
          <w:bCs/>
          <w:rtl/>
          <w:lang w:bidi="ar-KW"/>
        </w:rPr>
        <w:t>5</w:t>
      </w:r>
      <w:r>
        <w:rPr>
          <w:rFonts w:hint="cs"/>
          <w:bCs/>
          <w:rtl/>
          <w:lang w:bidi="ar-KW"/>
        </w:rPr>
        <w:t>]</w:t>
      </w:r>
      <w:r w:rsidR="009C32A0">
        <w:rPr>
          <w:rFonts w:hint="cs"/>
          <w:bCs/>
          <w:rtl/>
          <w:lang w:bidi="ar-KW"/>
        </w:rPr>
        <w:t xml:space="preserve"> فقه المراد بالوجه واليد والعين في القرآن الكريم</w:t>
      </w:r>
      <w:r>
        <w:rPr>
          <w:rFonts w:hint="cs"/>
          <w:bCs/>
          <w:rtl/>
          <w:lang w:bidi="ar-KW"/>
        </w:rPr>
        <w:t>:</w:t>
      </w:r>
      <w:r w:rsidR="009C32A0">
        <w:rPr>
          <w:rFonts w:hint="cs"/>
          <w:bCs/>
          <w:rtl/>
          <w:lang w:bidi="ar-KW"/>
        </w:rPr>
        <w:t xml:space="preserve"> </w:t>
      </w:r>
      <w:r w:rsidR="009C32A0">
        <w:rPr>
          <w:rFonts w:hint="cs"/>
          <w:rtl/>
        </w:rPr>
        <w:t>أجمع أهل القبلة عدا المجسمة والمشبهة على تنزيه الله تعالى عن الأجزاء والأعضاء والجوارح تعالى الله عن ذلك علوا كبيرا</w:t>
      </w:r>
      <w:r>
        <w:rPr>
          <w:rFonts w:hint="cs"/>
          <w:rtl/>
        </w:rPr>
        <w:t>،</w:t>
      </w:r>
      <w:r w:rsidR="009C32A0">
        <w:rPr>
          <w:rFonts w:hint="cs"/>
          <w:rtl/>
        </w:rPr>
        <w:t xml:space="preserve"> فلم يقل بأنها جوارح وأجزاء وأعضاء سوى الزائغة قلوبهم</w:t>
      </w:r>
      <w:r>
        <w:rPr>
          <w:rFonts w:hint="cs"/>
          <w:rtl/>
        </w:rPr>
        <w:t>،</w:t>
      </w:r>
      <w:r w:rsidR="009C32A0">
        <w:rPr>
          <w:rFonts w:hint="cs"/>
          <w:rtl/>
        </w:rPr>
        <w:t xml:space="preserve"> قال تعالى: {قل هو الله أحد} </w:t>
      </w:r>
      <w:r>
        <w:rPr>
          <w:rFonts w:hint="cs"/>
          <w:rtl/>
        </w:rPr>
        <w:t>[</w:t>
      </w:r>
      <w:r w:rsidR="009C32A0">
        <w:rPr>
          <w:rFonts w:hint="cs"/>
          <w:rtl/>
        </w:rPr>
        <w:t>الإخلاص</w:t>
      </w:r>
      <w:r>
        <w:rPr>
          <w:rFonts w:hint="cs"/>
          <w:rtl/>
        </w:rPr>
        <w:t>:</w:t>
      </w:r>
      <w:r w:rsidR="009C32A0">
        <w:rPr>
          <w:rFonts w:hint="cs"/>
          <w:rtl/>
        </w:rPr>
        <w:t xml:space="preserve"> 1</w:t>
      </w:r>
      <w:r>
        <w:rPr>
          <w:rFonts w:hint="cs"/>
          <w:rtl/>
        </w:rPr>
        <w:t>]</w:t>
      </w:r>
      <w:r w:rsidR="009C32A0">
        <w:rPr>
          <w:rFonts w:hint="cs"/>
          <w:rtl/>
        </w:rPr>
        <w:t xml:space="preserve"> ولفظ الأحد مبالغة في الوحدة، وذلك ينافي كونه مركباً من الأجزاء والأبعاض</w:t>
      </w:r>
      <w:r>
        <w:rPr>
          <w:rFonts w:hint="cs"/>
          <w:rtl/>
        </w:rPr>
        <w:t>،</w:t>
      </w:r>
      <w:r w:rsidR="009C32A0">
        <w:rPr>
          <w:rFonts w:hint="cs"/>
          <w:rtl/>
        </w:rPr>
        <w:t xml:space="preserve"> وقال تعالى: {والله الغني وأنتم الفقراء} </w:t>
      </w:r>
      <w:r>
        <w:rPr>
          <w:rFonts w:hint="cs"/>
          <w:rtl/>
        </w:rPr>
        <w:t>[</w:t>
      </w:r>
      <w:r w:rsidR="009C32A0">
        <w:rPr>
          <w:rFonts w:hint="cs"/>
          <w:rtl/>
        </w:rPr>
        <w:t>محمد: 38</w:t>
      </w:r>
      <w:r>
        <w:rPr>
          <w:rFonts w:hint="cs"/>
          <w:rtl/>
        </w:rPr>
        <w:t>]</w:t>
      </w:r>
      <w:r w:rsidR="009C32A0">
        <w:rPr>
          <w:rFonts w:hint="cs"/>
          <w:rtl/>
        </w:rPr>
        <w:t xml:space="preserve">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sidR="009C32A0">
        <w:rPr>
          <w:rFonts w:hint="cs"/>
          <w:rtl/>
          <w:lang w:bidi="ar-KW"/>
        </w:rPr>
        <w:t xml:space="preserve"> </w:t>
      </w:r>
    </w:p>
    <w:p w14:paraId="5511B171" w14:textId="1D6F2F70" w:rsidR="009C32A0" w:rsidRDefault="000636C2" w:rsidP="000636C2">
      <w:pPr>
        <w:ind w:left="-58"/>
        <w:rPr>
          <w:b/>
          <w:rtl/>
          <w:lang w:bidi="ar-KW"/>
        </w:rPr>
      </w:pPr>
      <w:r>
        <w:rPr>
          <w:rFonts w:hint="cs"/>
          <w:bCs/>
          <w:rtl/>
          <w:lang w:bidi="ar-KW"/>
        </w:rPr>
        <w:t>[</w:t>
      </w:r>
      <w:r w:rsidR="009C32A0">
        <w:rPr>
          <w:rFonts w:hint="cs"/>
          <w:bCs/>
          <w:rtl/>
          <w:lang w:bidi="ar-KW"/>
        </w:rPr>
        <w:t>6</w:t>
      </w:r>
      <w:r>
        <w:rPr>
          <w:rFonts w:hint="cs"/>
          <w:bCs/>
          <w:rtl/>
          <w:lang w:bidi="ar-KW"/>
        </w:rPr>
        <w:t>]</w:t>
      </w:r>
      <w:r w:rsidR="009C32A0">
        <w:rPr>
          <w:rFonts w:hint="cs"/>
          <w:bCs/>
          <w:rtl/>
          <w:lang w:bidi="ar-KW"/>
        </w:rPr>
        <w:t xml:space="preserve"> فقه المراد بالوجه في القرآن الكريم</w:t>
      </w:r>
      <w:r>
        <w:rPr>
          <w:rFonts w:hint="cs"/>
          <w:bCs/>
          <w:rtl/>
          <w:lang w:bidi="ar-KW"/>
        </w:rPr>
        <w:t>:</w:t>
      </w:r>
      <w:r w:rsidR="009C32A0">
        <w:rPr>
          <w:rFonts w:hint="cs"/>
          <w:rtl/>
          <w:lang w:bidi="ar-KW"/>
        </w:rPr>
        <w:t xml:space="preserve"> </w:t>
      </w:r>
      <w:r w:rsidR="009C32A0">
        <w:rPr>
          <w:rFonts w:hint="cs"/>
          <w:rtl/>
        </w:rPr>
        <w:t>المتدبر لآيات القرآن يعلم يقينا أن الوجه يستعمل فيه في مجازات متعددة لا يمكن إنكارها ومثالها</w:t>
      </w:r>
      <w:r>
        <w:rPr>
          <w:rFonts w:hint="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وَقَالَت طَّآئِفَةٌ مِّنْ أَهْلِ الْكِتَابِ آمِنُواْ بِالَّذِيَ أُنزِلَ عَلَى الَّذِينَ آمَنُواْ وَجْهَ النَّهَارِ وَاكْفُرُواْ آخِرَهُ لَعَلَّهُمْ يَرْجِعُونَ</w:t>
      </w:r>
      <w:r>
        <w:rPr>
          <w:rFonts w:hint="cs"/>
          <w:rtl/>
        </w:rPr>
        <w:t>}</w:t>
      </w:r>
      <w:r w:rsidR="009C32A0">
        <w:rPr>
          <w:rFonts w:hint="cs"/>
          <w:rtl/>
        </w:rPr>
        <w:t xml:space="preserve"> </w:t>
      </w:r>
      <w:r>
        <w:rPr>
          <w:rFonts w:hint="cs"/>
          <w:rtl/>
        </w:rPr>
        <w:t>[</w:t>
      </w:r>
      <w:r w:rsidR="009C32A0">
        <w:rPr>
          <w:rFonts w:hint="cs"/>
          <w:rtl/>
        </w:rPr>
        <w:t>آل عمران</w:t>
      </w:r>
      <w:r>
        <w:rPr>
          <w:rFonts w:hint="cs"/>
          <w:rtl/>
        </w:rPr>
        <w:t>:</w:t>
      </w:r>
      <w:r w:rsidR="009C32A0">
        <w:rPr>
          <w:rFonts w:hint="cs"/>
          <w:rtl/>
        </w:rPr>
        <w:t>72</w:t>
      </w:r>
      <w:r>
        <w:rPr>
          <w:rFonts w:hint="cs"/>
          <w:rtl/>
        </w:rPr>
        <w:t>]،</w:t>
      </w:r>
      <w:r w:rsidR="009C32A0">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9C32A0">
        <w:rPr>
          <w:rFonts w:hint="cs"/>
          <w:rtl/>
        </w:rPr>
        <w:t xml:space="preserve"> والعرب تستعمل الوجه في معانٍ كثيرة</w:t>
      </w:r>
      <w:r>
        <w:rPr>
          <w:rFonts w:hint="cs"/>
          <w:rtl/>
        </w:rPr>
        <w:t>،</w:t>
      </w:r>
      <w:r w:rsidR="009C32A0">
        <w:rPr>
          <w:rFonts w:hint="cs"/>
          <w:rtl/>
        </w:rPr>
        <w:t xml:space="preserve"> فيقولون هذا الرجل وجه الناس ويقصدون المقدم فيهم والمفضل عندهم</w:t>
      </w:r>
      <w:r>
        <w:rPr>
          <w:rFonts w:hint="cs"/>
          <w:rtl/>
        </w:rPr>
        <w:t>،</w:t>
      </w:r>
      <w:r w:rsidR="009C32A0">
        <w:rPr>
          <w:rFonts w:hint="cs"/>
          <w:rtl/>
        </w:rPr>
        <w:t xml:space="preserve"> ومنه </w:t>
      </w:r>
      <w:r w:rsidR="009C32A0">
        <w:rPr>
          <w:rFonts w:hint="cs"/>
          <w:rtl/>
        </w:rPr>
        <w:lastRenderedPageBreak/>
        <w:t>قوله تعالى</w:t>
      </w:r>
      <w:r>
        <w:rPr>
          <w:rFonts w:hint="cs"/>
          <w:rtl/>
        </w:rPr>
        <w:t>:</w:t>
      </w:r>
      <w:r w:rsidR="009C32A0">
        <w:rPr>
          <w:rFonts w:hint="cs"/>
          <w:rtl/>
        </w:rPr>
        <w:t xml:space="preserve"> </w:t>
      </w:r>
      <w:r>
        <w:rPr>
          <w:rFonts w:hint="cs"/>
          <w:rtl/>
        </w:rPr>
        <w:t>{</w:t>
      </w:r>
      <w:r w:rsidR="009C32A0">
        <w:rPr>
          <w:rFonts w:hint="cs"/>
          <w:rtl/>
        </w:rPr>
        <w:t>وكان عند الله وجيها</w:t>
      </w:r>
      <w:r>
        <w:rPr>
          <w:rFonts w:hint="cs"/>
          <w:rtl/>
        </w:rPr>
        <w:t xml:space="preserve">} </w:t>
      </w:r>
      <w:r w:rsidR="009C32A0">
        <w:rPr>
          <w:rFonts w:hint="cs"/>
          <w:rtl/>
        </w:rPr>
        <w:t>أي ذا منزلة عند الله</w:t>
      </w:r>
      <w:r>
        <w:rPr>
          <w:rFonts w:hint="cs"/>
          <w:rtl/>
        </w:rPr>
        <w:t>،</w:t>
      </w:r>
      <w:r w:rsidR="009C32A0">
        <w:rPr>
          <w:rFonts w:hint="cs"/>
          <w:rtl/>
        </w:rPr>
        <w:t xml:space="preserve"> ويقولون وجه الثياب ويقصدون أفضله وأجوده</w:t>
      </w:r>
      <w:r>
        <w:rPr>
          <w:rFonts w:hint="cs"/>
          <w:rtl/>
        </w:rPr>
        <w:t>،</w:t>
      </w:r>
      <w:r w:rsidR="009C32A0">
        <w:rPr>
          <w:rFonts w:hint="cs"/>
          <w:rtl/>
        </w:rPr>
        <w:t xml:space="preserve"> ويقولون وجه الصواب وعين الصواب ولا يقصدون أن للصواب وجه أو عين</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ذَلِكَ أَدْنَى أَن يَأْتُواْ بِالشَّهَادَةِ عَلَى وَجْهِهَا</w:t>
      </w:r>
      <w:r>
        <w:rPr>
          <w:rFonts w:hint="cs"/>
          <w:rtl/>
        </w:rPr>
        <w:t>}</w:t>
      </w:r>
      <w:r w:rsidR="009C32A0">
        <w:rPr>
          <w:rFonts w:hint="cs"/>
          <w:rtl/>
        </w:rPr>
        <w:t xml:space="preserve"> </w:t>
      </w:r>
      <w:r>
        <w:rPr>
          <w:rFonts w:hint="cs"/>
          <w:rtl/>
        </w:rPr>
        <w:t>[</w:t>
      </w:r>
      <w:r w:rsidR="009C32A0">
        <w:rPr>
          <w:rFonts w:hint="cs"/>
          <w:rtl/>
        </w:rPr>
        <w:t>المائدة</w:t>
      </w:r>
      <w:r>
        <w:rPr>
          <w:rFonts w:hint="cs"/>
          <w:rtl/>
        </w:rPr>
        <w:t>:</w:t>
      </w:r>
      <w:r w:rsidR="009C32A0">
        <w:rPr>
          <w:rFonts w:hint="cs"/>
          <w:rtl/>
        </w:rPr>
        <w:t xml:space="preserve"> 108</w:t>
      </w:r>
      <w:r>
        <w:rPr>
          <w:rFonts w:hint="cs"/>
          <w:rtl/>
        </w:rPr>
        <w:t>]،</w:t>
      </w:r>
      <w:r w:rsidR="009C32A0">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Fonts w:hint="cs"/>
          <w:rtl/>
        </w:rPr>
        <w:t>،</w:t>
      </w:r>
      <w:r w:rsidR="009C32A0">
        <w:rPr>
          <w:rFonts w:hint="cs"/>
          <w:rtl/>
        </w:rPr>
        <w:t xml:space="preserve"> وقد اتفق المفسرون على أن المعنى المقصود من الآية هو</w:t>
      </w:r>
      <w:r>
        <w:rPr>
          <w:rFonts w:hint="cs"/>
          <w:rtl/>
        </w:rPr>
        <w:t xml:space="preserve"> </w:t>
      </w:r>
      <w:r w:rsidR="009C32A0">
        <w:rPr>
          <w:rFonts w:hint="cs"/>
          <w:rtl/>
        </w:rPr>
        <w:t>أن يؤدي الشهود الشهادة كما حملوها على حقيقتها من غير تغيير لها ولا تحريف ولا خيانة</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بَلَى مَنْ أَسْلَمَ وَجْهَهُ لِلّهِ وَهُوَ مُحْسِنٌ فَلَهُ أَجْرُهُ عِندَ رَبِّهِ</w:t>
      </w:r>
      <w:r>
        <w:rPr>
          <w:rFonts w:hint="cs"/>
          <w:rtl/>
        </w:rPr>
        <w:t>}</w:t>
      </w:r>
      <w:r w:rsidR="009C32A0">
        <w:rPr>
          <w:rFonts w:hint="cs"/>
          <w:rtl/>
        </w:rPr>
        <w:t xml:space="preserve"> </w:t>
      </w:r>
      <w:r>
        <w:rPr>
          <w:rFonts w:hint="cs"/>
          <w:rtl/>
        </w:rPr>
        <w:t>[</w:t>
      </w:r>
      <w:r w:rsidR="009C32A0">
        <w:rPr>
          <w:rFonts w:hint="cs"/>
          <w:rtl/>
        </w:rPr>
        <w:t>البقرة</w:t>
      </w:r>
      <w:r>
        <w:rPr>
          <w:rFonts w:hint="cs"/>
          <w:rtl/>
        </w:rPr>
        <w:t>:</w:t>
      </w:r>
      <w:r w:rsidR="009C32A0">
        <w:rPr>
          <w:rFonts w:hint="cs"/>
          <w:rtl/>
        </w:rPr>
        <w:t>112]‏</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وَمَنْ أَحْسَنُ دِينًا مِّمَّنْ أَسْلَمَ وَجْهَهُ لله وَهُوَ مُحْسِنٌ</w:t>
      </w:r>
      <w:r>
        <w:rPr>
          <w:rFonts w:hint="cs"/>
          <w:rtl/>
        </w:rPr>
        <w:t>}</w:t>
      </w:r>
      <w:r w:rsidR="009C32A0">
        <w:rPr>
          <w:rFonts w:hint="cs"/>
          <w:rtl/>
        </w:rPr>
        <w:t xml:space="preserve"> </w:t>
      </w:r>
      <w:r>
        <w:rPr>
          <w:rFonts w:hint="cs"/>
          <w:rtl/>
        </w:rPr>
        <w:t>[</w:t>
      </w:r>
      <w:r w:rsidR="009C32A0">
        <w:rPr>
          <w:rFonts w:hint="cs"/>
          <w:rtl/>
        </w:rPr>
        <w:t>النساء</w:t>
      </w:r>
      <w:r>
        <w:rPr>
          <w:rFonts w:hint="cs"/>
          <w:rtl/>
        </w:rPr>
        <w:t>:</w:t>
      </w:r>
      <w:r w:rsidR="009C32A0">
        <w:rPr>
          <w:rFonts w:hint="cs"/>
          <w:rtl/>
        </w:rPr>
        <w:t>125</w:t>
      </w:r>
      <w:r>
        <w:rPr>
          <w:rFonts w:hint="cs"/>
          <w:rtl/>
        </w:rPr>
        <w:t>]،</w:t>
      </w:r>
      <w:r w:rsidR="009C32A0">
        <w:rPr>
          <w:rFonts w:hint="cs"/>
          <w:rtl/>
        </w:rPr>
        <w:t xml:space="preserve"> وقوله تعالى (إِنِّي وَجَّهْتُ وَجْهِيَ لِلَّذِي فَطَرَ السَّمَاوَاتِ وَالأَرْضَ حَنِيفًا وَمَا أَنَاْ مِنَ الْمُشْرِكِينَ </w:t>
      </w:r>
      <w:r>
        <w:rPr>
          <w:rFonts w:hint="cs"/>
          <w:rtl/>
        </w:rPr>
        <w:t>[</w:t>
      </w:r>
      <w:r w:rsidR="009C32A0">
        <w:rPr>
          <w:rFonts w:hint="cs"/>
          <w:rtl/>
        </w:rPr>
        <w:t>الأنعام</w:t>
      </w:r>
      <w:r>
        <w:rPr>
          <w:rFonts w:hint="cs"/>
          <w:rtl/>
        </w:rPr>
        <w:t>:</w:t>
      </w:r>
      <w:r w:rsidR="009C32A0">
        <w:rPr>
          <w:rFonts w:hint="cs"/>
          <w:rtl/>
        </w:rPr>
        <w:t xml:space="preserve"> 79</w:t>
      </w:r>
      <w:r>
        <w:rPr>
          <w:rFonts w:hint="cs"/>
          <w:rtl/>
        </w:rPr>
        <w:t>]،</w:t>
      </w:r>
      <w:r w:rsidR="009C32A0">
        <w:rPr>
          <w:rFonts w:hint="cs"/>
          <w:rtl/>
        </w:rPr>
        <w:t xml:space="preserve"> قلت</w:t>
      </w:r>
      <w:r>
        <w:rPr>
          <w:rFonts w:hint="cs"/>
          <w:rtl/>
        </w:rPr>
        <w:t>:</w:t>
      </w:r>
      <w:r w:rsidR="009C32A0">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Fonts w:hint="cs"/>
          <w:rtl/>
        </w:rPr>
        <w:t>،</w:t>
      </w:r>
      <w:r w:rsidR="009C32A0">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Fonts w:hint="cs"/>
          <w:rtl/>
        </w:rPr>
        <w:t>،</w:t>
      </w:r>
      <w:r w:rsidR="009C32A0">
        <w:rPr>
          <w:rFonts w:hint="cs"/>
          <w:rtl/>
        </w:rPr>
        <w:t xml:space="preserve"> أو أن المراد إخلاص النية والتوجه إلى الله</w:t>
      </w:r>
      <w:r>
        <w:rPr>
          <w:rFonts w:hint="cs"/>
          <w:rtl/>
        </w:rPr>
        <w:t>،</w:t>
      </w:r>
      <w:r w:rsidR="009C32A0">
        <w:rPr>
          <w:rFonts w:hint="cs"/>
          <w:rtl/>
        </w:rPr>
        <w:t xml:space="preserve"> وعلى نفس المنوال ينبغي حمل قوله تعالى {كل شيء هالك إلا وجهه</w:t>
      </w:r>
      <w:r>
        <w:rPr>
          <w:rFonts w:hint="cs"/>
          <w:rtl/>
        </w:rPr>
        <w:t>}</w:t>
      </w:r>
      <w:r w:rsidR="009C32A0">
        <w:rPr>
          <w:rFonts w:hint="cs"/>
          <w:rtl/>
        </w:rPr>
        <w:t xml:space="preserve"> وقوله تعالى {ويبقى وجه ربك ذي الجلال والإكرام</w:t>
      </w:r>
      <w:r>
        <w:rPr>
          <w:rFonts w:hint="cs"/>
          <w:rtl/>
        </w:rPr>
        <w:t>}</w:t>
      </w:r>
      <w:r w:rsidR="009C32A0">
        <w:rPr>
          <w:rFonts w:hint="cs"/>
          <w:rtl/>
        </w:rPr>
        <w:t xml:space="preserve"> على الذات أو ما قصد به ذات الله تعالى من العمل الصالح</w:t>
      </w:r>
      <w:r>
        <w:rPr>
          <w:rFonts w:hint="cs"/>
          <w:rtl/>
        </w:rPr>
        <w:t>،</w:t>
      </w:r>
      <w:r w:rsidR="009C32A0">
        <w:rPr>
          <w:rFonts w:hint="cs"/>
          <w:rtl/>
        </w:rPr>
        <w:t xml:space="preserve"> إذ لا يعقل لذي لُب أن الهلاك سيلحق بالذات ولا يبقى إلا الوجه سبحانك هذا كفر عظيم</w:t>
      </w:r>
      <w:r>
        <w:rPr>
          <w:rFonts w:hint="cs"/>
          <w:rtl/>
        </w:rPr>
        <w:t>،</w:t>
      </w:r>
      <w:r w:rsidR="009C32A0">
        <w:rPr>
          <w:rFonts w:hint="cs"/>
          <w:rtl/>
        </w:rPr>
        <w:t xml:space="preserve"> إذن لابد من إعادة النظر في معنى الآية وأنها تدل على بقاء الله تعالى وأنه لا معنى للوجه في سياق الآيات سوى الذات أو ما قصد به الذات من الأعمال الصالحة الخالصة</w:t>
      </w:r>
      <w:r>
        <w:rPr>
          <w:rFonts w:hint="cs"/>
          <w:rtl/>
        </w:rPr>
        <w:t>،</w:t>
      </w:r>
      <w:r w:rsidR="009C32A0">
        <w:rPr>
          <w:rFonts w:hint="cs"/>
          <w:rtl/>
        </w:rPr>
        <w:t xml:space="preserve"> وسيأتي إن شاء الله تعالى بيان ذلك بأحسن تفصيل</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اقْتُلُواْ يُوسُفَ أَوِ اطْرَحُوهُ أَرْضًا يَخْلُ لَكُمْ وَجْهُ أَبِيكُمْ</w:t>
      </w:r>
      <w:r>
        <w:rPr>
          <w:rFonts w:hint="cs"/>
          <w:rtl/>
        </w:rPr>
        <w:t xml:space="preserve">} </w:t>
      </w:r>
      <w:r w:rsidR="009C32A0">
        <w:rPr>
          <w:rFonts w:hint="cs"/>
          <w:rtl/>
        </w:rPr>
        <w:t>[يوسف</w:t>
      </w:r>
      <w:r>
        <w:rPr>
          <w:rFonts w:hint="cs"/>
          <w:rtl/>
        </w:rPr>
        <w:t>:</w:t>
      </w:r>
      <w:r w:rsidR="009C32A0">
        <w:rPr>
          <w:rFonts w:hint="cs"/>
          <w:rtl/>
        </w:rPr>
        <w:t xml:space="preserve"> 9]</w:t>
      </w:r>
      <w:r>
        <w:rPr>
          <w:rFonts w:hint="cs"/>
          <w:rtl/>
        </w:rPr>
        <w:t>،</w:t>
      </w:r>
      <w:r w:rsidR="009C32A0">
        <w:rPr>
          <w:rFonts w:hint="cs"/>
          <w:rtl/>
        </w:rPr>
        <w:t xml:space="preserve"> فهل يقصد أخوة يوسف خلو وجه أبيهم عليه السلام</w:t>
      </w:r>
      <w:r>
        <w:rPr>
          <w:rFonts w:hint="cs"/>
          <w:rtl/>
        </w:rPr>
        <w:t>،</w:t>
      </w:r>
      <w:r w:rsidR="009C32A0">
        <w:rPr>
          <w:rFonts w:hint="cs"/>
          <w:rtl/>
        </w:rPr>
        <w:t xml:space="preserve"> وكيف يخلو هذا الوجه</w:t>
      </w:r>
      <w:r>
        <w:rPr>
          <w:rFonts w:hint="cs"/>
          <w:rtl/>
        </w:rPr>
        <w:t>؟</w:t>
      </w:r>
      <w:r w:rsidR="009C32A0">
        <w:rPr>
          <w:rFonts w:hint="cs"/>
          <w:rtl/>
        </w:rPr>
        <w:t xml:space="preserve"> ومن أي شيءٍ يخلو</w:t>
      </w:r>
      <w:r>
        <w:rPr>
          <w:rFonts w:hint="cs"/>
          <w:rtl/>
        </w:rPr>
        <w:t>؟</w:t>
      </w:r>
      <w:r w:rsidR="009C32A0">
        <w:rPr>
          <w:rFonts w:hint="cs"/>
          <w:rtl/>
        </w:rPr>
        <w:t xml:space="preserve"> اللهم إلا أن يراد بسياق الكلام معنى آخر وهو فراغ أبيهم لهم وإقباله عليهم وتوجهه بكليته إليهم ولا يلتفت عنهم إلى غيرهم وسلامة محبته لهم ممن يشاركهم فيها بعد ما كان كل ذلك</w:t>
      </w:r>
      <w:r>
        <w:rPr>
          <w:rFonts w:hint="cs"/>
          <w:rtl/>
        </w:rPr>
        <w:t xml:space="preserve"> </w:t>
      </w:r>
      <w:r w:rsidR="009C32A0">
        <w:rPr>
          <w:rFonts w:hint="cs"/>
          <w:rtl/>
        </w:rPr>
        <w:t>ليوسف عليه السلام . فكان ذكر الوجه مجازاً لتصوير معنى إقباله عليهم لأن الرجل إذا أقبل على الشيء أقبل بوجهه</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وَمِنَ النَّاسِ مَن يَعْبُدُ اللَّهَ عَلَى حَرْفٍ فَإِنْ أَصَابَهُ خَيْرٌ اطْمَأَنَّ بِهِ وَإِنْ أَصَابَتْهُ فِتْنَةٌ انقَلَبَ عَلَى وَجْهِهِ خَسِرَ الدُّنْيَا وَالْآخِرَةَ ذَلِكَ هُوَ الْخُسْرَانُ الْمُبِينُ</w:t>
      </w:r>
      <w:r>
        <w:rPr>
          <w:rFonts w:hint="cs"/>
          <w:rtl/>
        </w:rPr>
        <w:t>}</w:t>
      </w:r>
      <w:r w:rsidR="009C32A0">
        <w:rPr>
          <w:rFonts w:hint="cs"/>
          <w:rtl/>
        </w:rPr>
        <w:t xml:space="preserve"> [الحج</w:t>
      </w:r>
      <w:r>
        <w:rPr>
          <w:rFonts w:hint="cs"/>
          <w:rtl/>
        </w:rPr>
        <w:t>:</w:t>
      </w:r>
      <w:r w:rsidR="009C32A0">
        <w:rPr>
          <w:rFonts w:hint="cs"/>
          <w:rtl/>
        </w:rPr>
        <w:t xml:space="preserve"> 11]</w:t>
      </w:r>
      <w:r>
        <w:rPr>
          <w:rFonts w:hint="cs"/>
          <w:rtl/>
        </w:rPr>
        <w:t>،</w:t>
      </w:r>
      <w:r w:rsidR="009C32A0">
        <w:rPr>
          <w:rFonts w:hint="cs"/>
          <w:rtl/>
        </w:rPr>
        <w:t xml:space="preserve"> وانقلاب الإنسان على وجهه هاهنا هل يراد به معناه اللفظي وأنه متى ما وقع إنسان وانقلب على </w:t>
      </w:r>
      <w:r w:rsidR="009C32A0">
        <w:rPr>
          <w:rFonts w:hint="cs"/>
          <w:rtl/>
        </w:rPr>
        <w:lastRenderedPageBreak/>
        <w:t>وجهه (الجارحة المعروفة</w:t>
      </w:r>
      <w:r>
        <w:rPr>
          <w:rFonts w:hint="cs"/>
          <w:rtl/>
        </w:rPr>
        <w:t>)</w:t>
      </w:r>
      <w:r w:rsidR="009C32A0">
        <w:rPr>
          <w:rFonts w:hint="cs"/>
          <w:rtl/>
        </w:rPr>
        <w:t>خسر الدنيا والآخرة</w:t>
      </w:r>
      <w:r>
        <w:rPr>
          <w:rFonts w:hint="cs"/>
          <w:rtl/>
        </w:rPr>
        <w:t>،</w:t>
      </w:r>
      <w:r w:rsidR="009C32A0">
        <w:rPr>
          <w:rFonts w:hint="cs"/>
          <w:rtl/>
        </w:rPr>
        <w:t xml:space="preserve"> أم المقصود الذي لا ريب في صحته هو ردته عن دينه وتراجعه عن إيمانه بقرينة خسران الدنيا والآخرة</w:t>
      </w:r>
      <w:r>
        <w:rPr>
          <w:rFonts w:hint="cs"/>
          <w:rtl/>
        </w:rPr>
        <w:t>،</w:t>
      </w:r>
      <w:r w:rsidR="009C32A0">
        <w:rPr>
          <w:rFonts w:hint="cs"/>
          <w:rtl/>
        </w:rPr>
        <w:t xml:space="preserve"> </w:t>
      </w:r>
      <w:r w:rsidR="009C32A0">
        <w:rPr>
          <w:rFonts w:hint="cs"/>
          <w:bCs/>
          <w:rtl/>
        </w:rPr>
        <w:t>إذن لابد من فقه المراد من ذكر الوجه في القرآن الكريم</w:t>
      </w:r>
      <w:r>
        <w:rPr>
          <w:rFonts w:hint="cs"/>
          <w:rtl/>
        </w:rPr>
        <w:t>،</w:t>
      </w:r>
      <w:r w:rsidR="009C32A0">
        <w:rPr>
          <w:rFonts w:hint="cs"/>
          <w:rtl/>
        </w:rPr>
        <w:t xml:space="preserve"> إذ كيف يكون الوجه على سبيل الجارحة والجزء من الكل</w:t>
      </w:r>
      <w:r>
        <w:rPr>
          <w:rFonts w:hint="cs"/>
          <w:rtl/>
        </w:rPr>
        <w:t>،</w:t>
      </w:r>
      <w:r w:rsidR="009C32A0">
        <w:rPr>
          <w:rFonts w:hint="cs"/>
          <w:rtl/>
        </w:rPr>
        <w:t xml:space="preserve"> والله تعالى يقول</w:t>
      </w:r>
      <w:r>
        <w:rPr>
          <w:rFonts w:hint="cs"/>
          <w:rtl/>
        </w:rPr>
        <w:t>:</w:t>
      </w:r>
      <w:r w:rsidR="009C32A0">
        <w:rPr>
          <w:rFonts w:hint="cs"/>
          <w:rtl/>
        </w:rPr>
        <w:t xml:space="preserve"> </w:t>
      </w:r>
      <w:r>
        <w:rPr>
          <w:rFonts w:hint="cs"/>
          <w:rtl/>
        </w:rPr>
        <w:t>{</w:t>
      </w:r>
      <w:r w:rsidR="009C32A0">
        <w:rPr>
          <w:rFonts w:hint="cs"/>
          <w:rtl/>
        </w:rPr>
        <w:t>كل شيء هالك إلا وجهه</w:t>
      </w:r>
      <w:r>
        <w:rPr>
          <w:rFonts w:hint="cs"/>
          <w:rtl/>
        </w:rPr>
        <w:t>}،</w:t>
      </w:r>
      <w:r w:rsidR="009C32A0">
        <w:rPr>
          <w:rFonts w:hint="cs"/>
          <w:rtl/>
        </w:rPr>
        <w:t xml:space="preserve"> فهل يهلك الكل إلا الوجه</w:t>
      </w:r>
      <w:r>
        <w:rPr>
          <w:rFonts w:hint="cs"/>
          <w:rtl/>
        </w:rPr>
        <w:t>،</w:t>
      </w:r>
      <w:r w:rsidR="009C32A0">
        <w:rPr>
          <w:rFonts w:hint="cs"/>
          <w:rtl/>
        </w:rPr>
        <w:t xml:space="preserve"> والله تعالى يقول</w:t>
      </w:r>
      <w:r>
        <w:rPr>
          <w:rFonts w:hint="cs"/>
          <w:rtl/>
        </w:rPr>
        <w:t>:</w:t>
      </w:r>
      <w:r w:rsidR="009C32A0">
        <w:rPr>
          <w:rFonts w:hint="cs"/>
          <w:rtl/>
        </w:rPr>
        <w:t xml:space="preserve"> </w:t>
      </w:r>
      <w:r>
        <w:rPr>
          <w:rFonts w:hint="cs"/>
          <w:rtl/>
        </w:rPr>
        <w:t>{</w:t>
      </w:r>
      <w:r w:rsidR="009C32A0">
        <w:rPr>
          <w:rFonts w:hint="cs"/>
          <w:rtl/>
        </w:rPr>
        <w:t>ويبقى وجه ربك ذي الجلال والإكرام</w:t>
      </w:r>
      <w:r>
        <w:rPr>
          <w:rFonts w:hint="cs"/>
          <w:rtl/>
        </w:rPr>
        <w:t>}،</w:t>
      </w:r>
      <w:r w:rsidR="009C32A0">
        <w:rPr>
          <w:rFonts w:hint="cs"/>
          <w:rtl/>
        </w:rPr>
        <w:t xml:space="preserve"> فهل لا يبقى من الكل إلا الوجه</w:t>
      </w:r>
      <w:r>
        <w:rPr>
          <w:rFonts w:hint="cs"/>
          <w:rtl/>
        </w:rPr>
        <w:t>،</w:t>
      </w:r>
      <w:r w:rsidR="009C32A0">
        <w:rPr>
          <w:rFonts w:hint="cs"/>
          <w:rtl/>
        </w:rPr>
        <w:t xml:space="preserve"> أخزى الله المجسمة والمشبهة أينما حلّوا</w:t>
      </w:r>
      <w:r>
        <w:rPr>
          <w:rFonts w:hint="cs"/>
          <w:rtl/>
        </w:rPr>
        <w:t>،</w:t>
      </w:r>
      <w:r w:rsidR="009C32A0">
        <w:rPr>
          <w:rFonts w:hint="cs"/>
          <w:rtl/>
        </w:rPr>
        <w:t xml:space="preserve"> وإنّما المقصد كما قال العلماء</w:t>
      </w:r>
      <w:r>
        <w:rPr>
          <w:rFonts w:hint="cs"/>
          <w:rtl/>
        </w:rPr>
        <w:t>:</w:t>
      </w:r>
      <w:r w:rsidR="009C32A0">
        <w:rPr>
          <w:rFonts w:hint="cs"/>
          <w:rtl/>
        </w:rPr>
        <w:t xml:space="preserve"> عبّر بالوجه عن الذات</w:t>
      </w:r>
      <w:r>
        <w:rPr>
          <w:rFonts w:hint="cs"/>
          <w:rtl/>
        </w:rPr>
        <w:t>،</w:t>
      </w:r>
      <w:r w:rsidR="009C32A0">
        <w:rPr>
          <w:rFonts w:hint="cs"/>
          <w:rtl/>
        </w:rPr>
        <w:t xml:space="preserve"> أو عن ما أُريد به رضا الله تعالى</w:t>
      </w:r>
      <w:r>
        <w:rPr>
          <w:rFonts w:hint="cs"/>
          <w:rtl/>
        </w:rPr>
        <w:t>،</w:t>
      </w:r>
      <w:r w:rsidR="009C32A0">
        <w:rPr>
          <w:rFonts w:hint="cs"/>
          <w:rtl/>
        </w:rPr>
        <w:t xml:space="preserve"> والله تعالى يقول</w:t>
      </w:r>
      <w:r>
        <w:rPr>
          <w:rFonts w:hint="cs"/>
          <w:rtl/>
        </w:rPr>
        <w:t>:</w:t>
      </w:r>
      <w:r w:rsidR="009C32A0">
        <w:rPr>
          <w:rFonts w:hint="cs"/>
          <w:rtl/>
        </w:rPr>
        <w:t xml:space="preserve"> </w:t>
      </w:r>
      <w:r>
        <w:rPr>
          <w:rFonts w:hint="cs"/>
          <w:rtl/>
        </w:rPr>
        <w:t>{</w:t>
      </w:r>
      <w:r w:rsidR="009C32A0">
        <w:rPr>
          <w:rFonts w:hint="cs"/>
          <w:rtl/>
        </w:rPr>
        <w:t>وَلِلّهِ الْمَشْرِقُ</w:t>
      </w:r>
      <w:r w:rsidR="009C32A0">
        <w:rPr>
          <w:rFonts w:hint="cs"/>
        </w:rPr>
        <w:t xml:space="preserve"> </w:t>
      </w:r>
      <w:r w:rsidR="009C32A0">
        <w:rPr>
          <w:rFonts w:hint="cs"/>
          <w:rtl/>
        </w:rPr>
        <w:t>وَالْمَغْرِبُ فَأَيْنَمَا تُوَلُّواْ فَثَمَّ وَجْهُ اللّهِ</w:t>
      </w:r>
      <w:r>
        <w:rPr>
          <w:rFonts w:hint="cs"/>
          <w:rtl/>
        </w:rPr>
        <w:t>}</w:t>
      </w:r>
      <w:r w:rsidR="009C32A0">
        <w:rPr>
          <w:rFonts w:hint="cs"/>
          <w:rtl/>
        </w:rPr>
        <w:t xml:space="preserve"> فهل وجه الله - سبحانه - محيط بالمشارق والمغارب</w:t>
      </w:r>
      <w:r>
        <w:rPr>
          <w:rFonts w:hint="cs"/>
          <w:rtl/>
        </w:rPr>
        <w:t>،</w:t>
      </w:r>
      <w:r w:rsidR="009C32A0">
        <w:rPr>
          <w:rFonts w:hint="cs"/>
          <w:rtl/>
        </w:rPr>
        <w:t xml:space="preserve"> كإحاطة الفلك بالفلك</w:t>
      </w:r>
      <w:r>
        <w:rPr>
          <w:rFonts w:hint="cs"/>
          <w:rtl/>
        </w:rPr>
        <w:t>،</w:t>
      </w:r>
      <w:r w:rsidR="009C32A0">
        <w:rPr>
          <w:rFonts w:hint="cs"/>
          <w:rtl/>
        </w:rPr>
        <w:t xml:space="preserve"> سبحان الله وتعالى عمّا يصفون</w:t>
      </w:r>
      <w:r>
        <w:rPr>
          <w:rFonts w:hint="cs"/>
          <w:rtl/>
        </w:rPr>
        <w:t>،</w:t>
      </w:r>
      <w:r w:rsidR="009C32A0">
        <w:rPr>
          <w:rFonts w:hint="cs"/>
          <w:rtl/>
        </w:rPr>
        <w:t xml:space="preserve"> بل المراد كما قال المفسرون</w:t>
      </w:r>
      <w:r>
        <w:rPr>
          <w:rFonts w:hint="cs"/>
          <w:rtl/>
        </w:rPr>
        <w:t>:</w:t>
      </w:r>
      <w:r w:rsidR="009C32A0">
        <w:rPr>
          <w:rFonts w:hint="cs"/>
          <w:rtl/>
        </w:rPr>
        <w:t xml:space="preserve"> فأينما تولوا فثم قبلة</w:t>
      </w:r>
      <w:r w:rsidR="009C32A0">
        <w:rPr>
          <w:rFonts w:hint="cs"/>
        </w:rPr>
        <w:t xml:space="preserve"> </w:t>
      </w:r>
      <w:r w:rsidR="009C32A0">
        <w:rPr>
          <w:rFonts w:hint="cs"/>
          <w:rtl/>
        </w:rPr>
        <w:t>الله يعني بذلك الوجهة والجهة التي وجههم إليها</w:t>
      </w:r>
      <w:r>
        <w:rPr>
          <w:rFonts w:hint="cs"/>
          <w:rtl/>
        </w:rPr>
        <w:t>،</w:t>
      </w:r>
      <w:r w:rsidR="009C32A0">
        <w:rPr>
          <w:rFonts w:hint="cs"/>
          <w:rtl/>
        </w:rPr>
        <w:t xml:space="preserve"> قال السيوطي في الدر المنثور</w:t>
      </w:r>
      <w:r>
        <w:rPr>
          <w:rFonts w:hint="cs"/>
          <w:rtl/>
        </w:rPr>
        <w:t>:</w:t>
      </w:r>
      <w:r w:rsidR="009C32A0">
        <w:rPr>
          <w:rFonts w:hint="cs"/>
          <w:rtl/>
        </w:rPr>
        <w:t xml:space="preserve"> " وأخرج ابن أبي حاتم عن ابن عباس فأينما تولوا</w:t>
      </w:r>
      <w:r>
        <w:rPr>
          <w:rFonts w:hint="cs"/>
          <w:rtl/>
        </w:rPr>
        <w:t xml:space="preserve"> </w:t>
      </w:r>
      <w:r w:rsidR="009C32A0">
        <w:rPr>
          <w:rFonts w:hint="cs"/>
          <w:rtl/>
        </w:rPr>
        <w:t>فثم وجه الله</w:t>
      </w:r>
      <w:r>
        <w:rPr>
          <w:rFonts w:hint="cs"/>
          <w:rtl/>
        </w:rPr>
        <w:t xml:space="preserve"> </w:t>
      </w:r>
      <w:r w:rsidR="009C32A0">
        <w:rPr>
          <w:rFonts w:hint="cs"/>
          <w:rtl/>
        </w:rPr>
        <w:t>قال</w:t>
      </w:r>
      <w:r>
        <w:rPr>
          <w:rFonts w:hint="cs"/>
          <w:rtl/>
        </w:rPr>
        <w:t>:</w:t>
      </w:r>
      <w:r w:rsidR="009C32A0">
        <w:rPr>
          <w:rFonts w:hint="cs"/>
          <w:rtl/>
        </w:rPr>
        <w:t xml:space="preserve"> قبلة الله أينما توجهت شرقا أو غربا</w:t>
      </w:r>
      <w:r>
        <w:rPr>
          <w:rFonts w:hint="cs"/>
          <w:rtl/>
        </w:rPr>
        <w:t xml:space="preserve"> </w:t>
      </w:r>
      <w:r w:rsidR="009C32A0">
        <w:rPr>
          <w:rFonts w:hint="cs"/>
          <w:rtl/>
        </w:rPr>
        <w:t>وأخرج ابن ابي شيبة وعبد بن حميد والترمذي والبيهقي في سننه عن مجاهد</w:t>
      </w:r>
      <w:r>
        <w:rPr>
          <w:rFonts w:hint="cs"/>
          <w:rtl/>
        </w:rPr>
        <w:t xml:space="preserve"> </w:t>
      </w:r>
      <w:r w:rsidR="009C32A0">
        <w:rPr>
          <w:rFonts w:hint="cs"/>
          <w:rtl/>
        </w:rPr>
        <w:t>(فثم وجه الله)</w:t>
      </w:r>
      <w:r>
        <w:rPr>
          <w:rFonts w:hint="cs"/>
          <w:rtl/>
        </w:rPr>
        <w:t xml:space="preserve"> </w:t>
      </w:r>
      <w:r w:rsidR="009C32A0">
        <w:rPr>
          <w:rFonts w:hint="cs"/>
          <w:rtl/>
        </w:rPr>
        <w:t>قال</w:t>
      </w:r>
      <w:r>
        <w:rPr>
          <w:rFonts w:hint="cs"/>
          <w:rtl/>
        </w:rPr>
        <w:t>:</w:t>
      </w:r>
      <w:r w:rsidR="009C32A0">
        <w:rPr>
          <w:rFonts w:hint="cs"/>
          <w:rtl/>
        </w:rPr>
        <w:t xml:space="preserve"> قبلة الله فأينما كنتم في شرق أو غرب فاستقبلوها " أهـ </w:t>
      </w:r>
      <w:r>
        <w:rPr>
          <w:rFonts w:hint="cs"/>
          <w:rtl/>
        </w:rPr>
        <w:t>[</w:t>
      </w:r>
      <w:r w:rsidR="009C32A0">
        <w:rPr>
          <w:rFonts w:hint="cs"/>
          <w:rtl/>
        </w:rPr>
        <w:t>الدر المنثور ج: 1 ص: 267</w:t>
      </w:r>
      <w:r>
        <w:rPr>
          <w:rFonts w:hint="cs"/>
          <w:rtl/>
        </w:rPr>
        <w:t>]،</w:t>
      </w:r>
      <w:r w:rsidR="009C32A0">
        <w:rPr>
          <w:rFonts w:hint="cs"/>
          <w:rtl/>
        </w:rPr>
        <w:t xml:space="preserve"> </w:t>
      </w:r>
      <w:r w:rsidR="009C32A0">
        <w:rPr>
          <w:rFonts w:hint="cs"/>
          <w:rtl/>
          <w:lang w:bidi="ar-KW"/>
        </w:rPr>
        <w:t>نعم نؤمن بصفة الوجه على مراد الله تعالى ومراد رسوله صلى الله عليه وسلم منزهاً عن الجارحة والجزء والبعض الذي تنزه عنه الواحد الأحد الذي ليس كمثله شيء</w:t>
      </w:r>
      <w:r>
        <w:rPr>
          <w:rFonts w:hint="cs"/>
          <w:rtl/>
          <w:lang w:bidi="ar-KW"/>
        </w:rPr>
        <w:t>،</w:t>
      </w:r>
      <w:r w:rsidR="009C32A0">
        <w:rPr>
          <w:rFonts w:hint="cs"/>
          <w:rtl/>
          <w:lang w:bidi="ar-KW"/>
        </w:rPr>
        <w:t xml:space="preserve"> </w:t>
      </w:r>
    </w:p>
    <w:p w14:paraId="22D119CA" w14:textId="5ED06A81" w:rsidR="009C32A0" w:rsidRDefault="000636C2" w:rsidP="000636C2">
      <w:pPr>
        <w:ind w:left="-58"/>
        <w:rPr>
          <w:b/>
          <w:rtl/>
        </w:rPr>
      </w:pPr>
      <w:r>
        <w:rPr>
          <w:rFonts w:hint="cs"/>
          <w:bCs/>
          <w:rtl/>
          <w:lang w:bidi="ar-KW"/>
        </w:rPr>
        <w:t>[</w:t>
      </w:r>
      <w:r w:rsidR="009C32A0">
        <w:rPr>
          <w:rFonts w:hint="cs"/>
          <w:bCs/>
          <w:rtl/>
          <w:lang w:bidi="ar-KW"/>
        </w:rPr>
        <w:t>7</w:t>
      </w:r>
      <w:r>
        <w:rPr>
          <w:rFonts w:hint="cs"/>
          <w:bCs/>
          <w:rtl/>
          <w:lang w:bidi="ar-KW"/>
        </w:rPr>
        <w:t>]</w:t>
      </w:r>
      <w:r w:rsidR="009C32A0">
        <w:rPr>
          <w:rFonts w:hint="cs"/>
          <w:bCs/>
          <w:rtl/>
          <w:lang w:bidi="ar-KW"/>
        </w:rPr>
        <w:t xml:space="preserve"> فقه المراد بالعين في القرآن الكريم</w:t>
      </w:r>
      <w:r>
        <w:rPr>
          <w:rFonts w:hint="cs"/>
          <w:bCs/>
          <w:rtl/>
          <w:lang w:bidi="ar-KW"/>
        </w:rPr>
        <w:t>:</w:t>
      </w:r>
      <w:r w:rsidR="009C32A0">
        <w:rPr>
          <w:rFonts w:hint="cs"/>
          <w:rtl/>
          <w:lang w:bidi="ar-KW"/>
        </w:rPr>
        <w:t xml:space="preserve"> كيف تكون العين على سبيل الجارحة</w:t>
      </w:r>
      <w:r>
        <w:rPr>
          <w:rFonts w:hint="cs"/>
          <w:rtl/>
          <w:lang w:bidi="ar-KW"/>
        </w:rPr>
        <w:t>،</w:t>
      </w:r>
      <w:r w:rsidR="009C32A0">
        <w:rPr>
          <w:rFonts w:hint="cs"/>
          <w:rtl/>
          <w:lang w:bidi="ar-KW"/>
        </w:rPr>
        <w:t xml:space="preserve"> </w:t>
      </w:r>
      <w:r w:rsidR="009C32A0">
        <w:rPr>
          <w:rFonts w:hint="cs"/>
          <w:rtl/>
        </w:rPr>
        <w:t>والله تعالى يقول</w:t>
      </w:r>
      <w:r>
        <w:rPr>
          <w:rFonts w:hint="cs"/>
          <w:rtl/>
        </w:rPr>
        <w:t>:</w:t>
      </w:r>
      <w:r w:rsidR="009C32A0">
        <w:rPr>
          <w:rFonts w:hint="cs"/>
          <w:rtl/>
        </w:rPr>
        <w:t xml:space="preserve"> </w:t>
      </w:r>
      <w:r>
        <w:rPr>
          <w:rFonts w:hint="cs"/>
          <w:rtl/>
        </w:rPr>
        <w:t>{</w:t>
      </w:r>
      <w:r w:rsidR="009C32A0">
        <w:rPr>
          <w:rFonts w:hint="cs"/>
          <w:rtl/>
        </w:rPr>
        <w:t>وَاصْنَعِ الْفُلْكَ بِأَعْيُنِنَا وَوَحْيِنَا}</w:t>
      </w:r>
      <w:r>
        <w:rPr>
          <w:rFonts w:hint="cs"/>
          <w:rtl/>
        </w:rPr>
        <w:t>،</w:t>
      </w:r>
      <w:r w:rsidR="009C32A0">
        <w:rPr>
          <w:rFonts w:hint="cs"/>
          <w:rtl/>
        </w:rPr>
        <w:t xml:space="preserve"> ويقول</w:t>
      </w:r>
      <w:r>
        <w:rPr>
          <w:rFonts w:hint="cs"/>
          <w:rtl/>
        </w:rPr>
        <w:t>:</w:t>
      </w:r>
      <w:r w:rsidR="009C32A0">
        <w:rPr>
          <w:rFonts w:hint="cs"/>
          <w:rtl/>
        </w:rPr>
        <w:t xml:space="preserve"> </w:t>
      </w:r>
      <w:r>
        <w:rPr>
          <w:rFonts w:hint="cs"/>
          <w:rtl/>
        </w:rPr>
        <w:t>{</w:t>
      </w:r>
      <w:r w:rsidR="009C32A0">
        <w:rPr>
          <w:rFonts w:hint="cs"/>
          <w:rtl/>
        </w:rPr>
        <w:t>وَاصْبِرْ لِحُكْمِ رَبِّكَ فَإِنَّكَ بِأَعْيُنِنَا</w:t>
      </w:r>
      <w:r>
        <w:rPr>
          <w:rFonts w:hint="cs"/>
          <w:rtl/>
        </w:rPr>
        <w:t>}،</w:t>
      </w:r>
      <w:r w:rsidR="009C32A0">
        <w:rPr>
          <w:rFonts w:hint="cs"/>
          <w:rtl/>
        </w:rPr>
        <w:t xml:space="preserve"> ويقول</w:t>
      </w:r>
      <w:r>
        <w:rPr>
          <w:rFonts w:hint="cs"/>
          <w:rtl/>
        </w:rPr>
        <w:t>:</w:t>
      </w:r>
      <w:r w:rsidR="009C32A0">
        <w:rPr>
          <w:rFonts w:hint="cs"/>
          <w:rtl/>
        </w:rPr>
        <w:t xml:space="preserve"> </w:t>
      </w:r>
      <w:r>
        <w:rPr>
          <w:rFonts w:hint="cs"/>
          <w:rtl/>
        </w:rPr>
        <w:t>{</w:t>
      </w:r>
      <w:r w:rsidR="009C32A0">
        <w:rPr>
          <w:rFonts w:hint="cs"/>
          <w:rtl/>
        </w:rPr>
        <w:t>وَلِتُصْنَعَ عَلَى عَيْنِي</w:t>
      </w:r>
      <w:r>
        <w:rPr>
          <w:rFonts w:hint="cs"/>
          <w:rtl/>
        </w:rPr>
        <w:t>}،</w:t>
      </w:r>
      <w:r w:rsidR="009C32A0">
        <w:rPr>
          <w:rFonts w:hint="cs"/>
          <w:rtl/>
        </w:rPr>
        <w:t xml:space="preserve"> فهل المقصد أنّ ذلك كله يتم داخل العين</w:t>
      </w:r>
      <w:r>
        <w:rPr>
          <w:rFonts w:hint="cs"/>
          <w:rtl/>
        </w:rPr>
        <w:t>،</w:t>
      </w:r>
      <w:r w:rsidR="009C32A0">
        <w:rPr>
          <w:rFonts w:hint="cs"/>
          <w:rtl/>
        </w:rPr>
        <w:t xml:space="preserve"> أم بمعنى كمال الحفظ والعناية والرعاية</w:t>
      </w:r>
      <w:r>
        <w:rPr>
          <w:rFonts w:hint="cs"/>
          <w:rtl/>
        </w:rPr>
        <w:t xml:space="preserve">، </w:t>
      </w:r>
      <w:r w:rsidR="009C32A0">
        <w:rPr>
          <w:rFonts w:hint="cs"/>
          <w:rtl/>
        </w:rPr>
        <w:t>وقد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Fonts w:hint="cs"/>
          <w:rtl/>
        </w:rPr>
        <w:t>،</w:t>
      </w:r>
      <w:r w:rsidR="009C32A0">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9C32A0">
        <w:rPr>
          <w:rFonts w:hint="cs"/>
          <w:rtl/>
        </w:rPr>
        <w:t xml:space="preserve"> تعالى الله عن مخازي المجسمة</w:t>
      </w:r>
      <w:r>
        <w:rPr>
          <w:rFonts w:hint="cs"/>
          <w:rtl/>
        </w:rPr>
        <w:t>،</w:t>
      </w:r>
      <w:r w:rsidR="009C32A0">
        <w:rPr>
          <w:rFonts w:hint="cs"/>
          <w:rtl/>
        </w:rPr>
        <w:t xml:space="preserve"> ولهذا فقد تواترت أقوال علماء أهل الإسلام من أصوليين وفقهاء ومحدثين ومفسرين على حمل الآيات المتعلقة بالعين على البصر والإدراك أو على الرعاية والحفظ أو على شدة العناية والحراسة</w:t>
      </w:r>
      <w:r>
        <w:rPr>
          <w:rFonts w:hint="cs"/>
          <w:rtl/>
        </w:rPr>
        <w:t>،</w:t>
      </w:r>
      <w:r w:rsidR="009C32A0">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9C32A0">
        <w:rPr>
          <w:rFonts w:hint="cs"/>
          <w:rtl/>
        </w:rPr>
        <w:t xml:space="preserve"> ثم تواترت أقوال الأئمة المقتدى بهم في الدين على ذلك</w:t>
      </w:r>
      <w:r>
        <w:rPr>
          <w:rFonts w:hint="cs"/>
          <w:rtl/>
        </w:rPr>
        <w:t>،</w:t>
      </w:r>
      <w:r w:rsidR="009C32A0">
        <w:rPr>
          <w:rFonts w:hint="cs"/>
          <w:rtl/>
        </w:rPr>
        <w:t xml:space="preserve"> فقوله تعالى </w:t>
      </w:r>
      <w:r>
        <w:rPr>
          <w:rFonts w:hint="cs"/>
          <w:rtl/>
        </w:rPr>
        <w:t>(</w:t>
      </w:r>
      <w:r w:rsidR="009C32A0">
        <w:rPr>
          <w:rFonts w:hint="cs"/>
          <w:rtl/>
        </w:rPr>
        <w:t>واصنع الفلك بأعيننا ووحينا</w:t>
      </w:r>
      <w:r>
        <w:rPr>
          <w:rFonts w:hint="cs"/>
          <w:rtl/>
        </w:rPr>
        <w:t>)</w:t>
      </w:r>
      <w:r w:rsidR="009C32A0">
        <w:rPr>
          <w:rFonts w:hint="cs"/>
          <w:rtl/>
        </w:rPr>
        <w:t xml:space="preserve"> معناه </w:t>
      </w:r>
      <w:r w:rsidR="009C32A0">
        <w:rPr>
          <w:rFonts w:hint="cs"/>
          <w:rtl/>
        </w:rPr>
        <w:lastRenderedPageBreak/>
        <w:t>بمرأى منا أو بحفظنا</w:t>
      </w:r>
      <w:r>
        <w:rPr>
          <w:rFonts w:hint="cs"/>
          <w:rtl/>
        </w:rPr>
        <w:t>،</w:t>
      </w:r>
      <w:r w:rsidR="009C32A0">
        <w:rPr>
          <w:rFonts w:hint="cs"/>
          <w:rtl/>
        </w:rPr>
        <w:t xml:space="preserve"> وقوله تعالى (وألقيت عليك محبة مني ولتصنع على عيني</w:t>
      </w:r>
      <w:r>
        <w:rPr>
          <w:rFonts w:hint="cs"/>
          <w:rtl/>
        </w:rPr>
        <w:t>)</w:t>
      </w:r>
      <w:r w:rsidR="009C32A0">
        <w:rPr>
          <w:rFonts w:hint="cs"/>
          <w:rtl/>
        </w:rPr>
        <w:t xml:space="preserve"> معناه أي بمرأى منى كناية عن الحفظ والصون والرعاية</w:t>
      </w:r>
      <w:r>
        <w:rPr>
          <w:rFonts w:hint="cs"/>
          <w:rtl/>
        </w:rPr>
        <w:t>،</w:t>
      </w:r>
      <w:r w:rsidR="009C32A0">
        <w:rPr>
          <w:rFonts w:hint="cs"/>
          <w:rtl/>
        </w:rPr>
        <w:t xml:space="preserve"> وقوله تعالى </w:t>
      </w:r>
      <w:r>
        <w:rPr>
          <w:rFonts w:hint="cs"/>
          <w:rtl/>
        </w:rPr>
        <w:t>(</w:t>
      </w:r>
      <w:r w:rsidR="009C32A0">
        <w:rPr>
          <w:rFonts w:hint="cs"/>
          <w:rtl/>
        </w:rPr>
        <w:t>واصبر لحكم ربك فإنك بأعيننا</w:t>
      </w:r>
      <w:r>
        <w:rPr>
          <w:rFonts w:hint="cs"/>
          <w:rtl/>
        </w:rPr>
        <w:t>)</w:t>
      </w:r>
      <w:r w:rsidR="009C32A0">
        <w:rPr>
          <w:rFonts w:hint="cs"/>
          <w:rtl/>
        </w:rPr>
        <w:t xml:space="preserve"> معناه بحفظنا إياك وحراستنا لك</w:t>
      </w:r>
      <w:r>
        <w:rPr>
          <w:rFonts w:hint="cs"/>
          <w:rtl/>
        </w:rPr>
        <w:t>،</w:t>
      </w:r>
      <w:r w:rsidR="009C32A0">
        <w:rPr>
          <w:rFonts w:hint="cs"/>
          <w:rtl/>
        </w:rPr>
        <w:t xml:space="preserve"> </w:t>
      </w:r>
    </w:p>
    <w:p w14:paraId="4AD716C6" w14:textId="358412C3" w:rsidR="009C32A0" w:rsidRDefault="000636C2" w:rsidP="000636C2">
      <w:pPr>
        <w:ind w:left="-58"/>
        <w:rPr>
          <w:rFonts w:ascii="Times New Roman" w:hAnsi="Times New Roman" w:cs="Times New Roman"/>
          <w:b/>
          <w:sz w:val="24"/>
          <w:szCs w:val="24"/>
          <w:rtl/>
        </w:rPr>
      </w:pPr>
      <w:r>
        <w:rPr>
          <w:rFonts w:hint="cs"/>
          <w:bCs/>
          <w:rtl/>
        </w:rPr>
        <w:t>[</w:t>
      </w:r>
      <w:r w:rsidR="009C32A0">
        <w:rPr>
          <w:rFonts w:hint="cs"/>
          <w:bCs/>
          <w:rtl/>
        </w:rPr>
        <w:t>8</w:t>
      </w:r>
      <w:r>
        <w:rPr>
          <w:rFonts w:hint="cs"/>
          <w:bCs/>
          <w:rtl/>
        </w:rPr>
        <w:t>]</w:t>
      </w:r>
      <w:r w:rsidR="009C32A0">
        <w:rPr>
          <w:rFonts w:hint="cs"/>
          <w:bCs/>
          <w:rtl/>
        </w:rPr>
        <w:t xml:space="preserve"> فقه المراد باليد في القرآن الكريم</w:t>
      </w:r>
      <w:r>
        <w:rPr>
          <w:rFonts w:hint="cs"/>
          <w:bCs/>
          <w:rtl/>
        </w:rPr>
        <w:t>:</w:t>
      </w:r>
      <w:r w:rsidR="009C32A0">
        <w:rPr>
          <w:rFonts w:hint="cs"/>
          <w:rtl/>
        </w:rPr>
        <w:t xml:space="preserve"> كيف تكون اليد على سبيل الجارحة والجزء</w:t>
      </w:r>
      <w:r>
        <w:rPr>
          <w:rFonts w:hint="cs"/>
          <w:rtl/>
        </w:rPr>
        <w:t>،</w:t>
      </w:r>
      <w:r w:rsidR="009C32A0">
        <w:rPr>
          <w:rFonts w:hint="cs"/>
          <w:rtl/>
        </w:rPr>
        <w:t xml:space="preserve"> والله تعالى يقول</w:t>
      </w:r>
      <w:r>
        <w:rPr>
          <w:rFonts w:hint="cs"/>
          <w:rtl/>
        </w:rPr>
        <w:t>:</w:t>
      </w:r>
      <w:r w:rsidR="009C32A0">
        <w:rPr>
          <w:rFonts w:hint="cs"/>
          <w:rtl/>
        </w:rPr>
        <w:t xml:space="preserve"> </w:t>
      </w:r>
      <w:r>
        <w:rPr>
          <w:rFonts w:hint="cs"/>
          <w:rtl/>
        </w:rPr>
        <w:t>{</w:t>
      </w:r>
      <w:r w:rsidR="009C32A0">
        <w:rPr>
          <w:rFonts w:hint="cs"/>
          <w:rtl/>
        </w:rPr>
        <w:t>وَهُوَ الَّذِي يُرْسِلُ الرِّيَاحَ بُشْرًا بَيْنَ يَدَيْ رَحْمَتِهِ</w:t>
      </w:r>
      <w:r>
        <w:rPr>
          <w:rFonts w:hint="cs"/>
          <w:rtl/>
        </w:rPr>
        <w:t>}،</w:t>
      </w:r>
      <w:r w:rsidR="009C32A0">
        <w:rPr>
          <w:rFonts w:hint="cs"/>
          <w:rtl/>
        </w:rPr>
        <w:t xml:space="preserve"> هل للرحمة يدين</w:t>
      </w:r>
      <w:r>
        <w:rPr>
          <w:rFonts w:hint="cs"/>
          <w:rtl/>
        </w:rPr>
        <w:t>؟،</w:t>
      </w:r>
      <w:r w:rsidR="009C32A0">
        <w:rPr>
          <w:rFonts w:hint="cs"/>
          <w:rtl/>
        </w:rPr>
        <w:t xml:space="preserve"> 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9C32A0">
        <w:rPr>
          <w:rFonts w:hint="cs"/>
          <w:rtl/>
        </w:rPr>
        <w:t xml:space="preserve"> وقوله تعالى</w:t>
      </w:r>
      <w:r>
        <w:rPr>
          <w:rFonts w:hint="cs"/>
          <w:rtl/>
        </w:rPr>
        <w:t xml:space="preserve"> {</w:t>
      </w:r>
      <w:r w:rsidR="009C32A0">
        <w:rPr>
          <w:rFonts w:hint="cs"/>
          <w:rtl/>
        </w:rPr>
        <w:t>إِنْ هُوَ إِلَّا نَذِيرٌ لَّكُم بَيْنَ يَدَيْ عَذَابٍ شَدِيدٍ</w:t>
      </w:r>
      <w:r>
        <w:rPr>
          <w:rFonts w:hint="cs"/>
          <w:rtl/>
        </w:rPr>
        <w:t>}،</w:t>
      </w:r>
      <w:r w:rsidR="009C32A0">
        <w:rPr>
          <w:rFonts w:hint="cs"/>
          <w:rtl/>
        </w:rPr>
        <w:t xml:space="preserve"> فهل للعذاب يدين</w:t>
      </w:r>
      <w:r>
        <w:rPr>
          <w:rFonts w:hint="cs"/>
          <w:rtl/>
        </w:rPr>
        <w:t>؟،</w:t>
      </w:r>
      <w:r w:rsidR="009C32A0">
        <w:rPr>
          <w:rFonts w:hint="cs"/>
          <w:rtl/>
        </w:rPr>
        <w:t xml:space="preserve"> 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أَأَشْفَقْتُمْ أَن تُقَدِّمُوا بَيْنَ يَدَيْ نَجْوَاكُمْ صَدَقَاتٍ</w:t>
      </w:r>
      <w:r>
        <w:rPr>
          <w:rFonts w:hint="cs"/>
          <w:rtl/>
        </w:rPr>
        <w:t>}،</w:t>
      </w:r>
      <w:r w:rsidR="009C32A0">
        <w:rPr>
          <w:rFonts w:hint="cs"/>
          <w:rtl/>
        </w:rPr>
        <w:t xml:space="preserve"> فهل للنجوى يدين</w:t>
      </w:r>
      <w:r>
        <w:rPr>
          <w:rFonts w:hint="cs"/>
          <w:rtl/>
        </w:rPr>
        <w:t>؟،</w:t>
      </w:r>
      <w:r w:rsidR="009C32A0">
        <w:rPr>
          <w:rFonts w:hint="cs"/>
          <w:rtl/>
        </w:rPr>
        <w:t xml:space="preserve"> 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وَاذْكُرْ عَبْدَنَا دَاوُودَ ذَا الْأَيْدِ إِنَّهُ أَوَّابٌ</w:t>
      </w:r>
      <w:r>
        <w:rPr>
          <w:rFonts w:hint="cs"/>
          <w:rtl/>
        </w:rPr>
        <w:t>}،</w:t>
      </w:r>
      <w:r w:rsidR="009C32A0">
        <w:rPr>
          <w:rFonts w:hint="cs"/>
          <w:rtl/>
        </w:rPr>
        <w:t xml:space="preserve"> فهل لنبي الله تعالى داود عليه السلام أيادي عديدة زائدة عن اليدين لكل إنسان</w:t>
      </w:r>
      <w:r>
        <w:rPr>
          <w:rFonts w:hint="cs"/>
          <w:rtl/>
        </w:rPr>
        <w:t>،</w:t>
      </w:r>
      <w:r w:rsidR="009C32A0">
        <w:rPr>
          <w:rFonts w:hint="cs"/>
          <w:rtl/>
        </w:rPr>
        <w:t xml:space="preserve"> أم هو التعبير البلاغي لبيان الجد والاجتهاد في الطاعة</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وَاذْكُرْ عِبَادَنَا إبْرَاهِيمَ وَإِسْحَقَ وَيَعْقُوبَ أُوْلِي الْأَيْدِي وَالْأَبْصَارِ</w:t>
      </w:r>
      <w:r>
        <w:rPr>
          <w:rFonts w:hint="cs"/>
          <w:rtl/>
        </w:rPr>
        <w:t>}،</w:t>
      </w:r>
      <w:r w:rsidR="009C32A0">
        <w:rPr>
          <w:rFonts w:hint="cs"/>
          <w:rtl/>
        </w:rPr>
        <w:t xml:space="preserve"> والمعلوم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ظَهَرَ الْفَسَادُ فِي الْبَرِّ وَالْبَحْرِ بِمَا كَسَبَتْ أَيْدِي النَّاسِ لِيُذِيقَهُم بَعْضَ الَّذِي عَمِلُوا لَعَلَّهُمْ يَرْجِعُونَ</w:t>
      </w:r>
      <w:r>
        <w:rPr>
          <w:rFonts w:hint="cs"/>
          <w:rtl/>
        </w:rPr>
        <w:t>}،</w:t>
      </w:r>
      <w:r w:rsidR="009C32A0">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9C32A0">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بما كسبتم وكسبت أنفسكم</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يَا أَيُّهَا النَّبِيُّ قُل لِّمَن فِي أَيْدِيكُم مِّنَ الأَسْرَى</w:t>
      </w:r>
      <w:r>
        <w:rPr>
          <w:rFonts w:hint="cs"/>
          <w:rtl/>
        </w:rPr>
        <w:t>}،</w:t>
      </w:r>
      <w:r w:rsidR="009C32A0">
        <w:rPr>
          <w:rFonts w:hint="cs"/>
          <w:rtl/>
        </w:rPr>
        <w:t xml:space="preserve"> ومعلوم يقيناً أن الأسرى ليسوا في يد الرسول ولا في أيدي الصحابة</w:t>
      </w:r>
      <w:r>
        <w:rPr>
          <w:rFonts w:hint="cs"/>
          <w:rtl/>
        </w:rPr>
        <w:t>،</w:t>
      </w:r>
      <w:r w:rsidR="009C32A0">
        <w:rPr>
          <w:rFonts w:hint="cs"/>
          <w:rtl/>
        </w:rPr>
        <w:t xml:space="preserve"> وإنما المقصد من تحت حكمكم من الأسرى وعبر عن هذا الحكم باليد لأنها موضع الإمساك والتحكم</w:t>
      </w:r>
      <w:r>
        <w:rPr>
          <w:rFonts w:hint="cs"/>
          <w:rtl/>
        </w:rPr>
        <w:t>،</w:t>
      </w:r>
      <w:r w:rsidR="009C32A0">
        <w:rPr>
          <w:rFonts w:hint="cs"/>
          <w:rtl/>
        </w:rPr>
        <w:t xml:space="preserve"> ومثاله {وما ملكت أيمانكم</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أَوْ يَعْفُوَ الَّذِي بِيَدِهِ عُقْدَةُ النِّكَاحِ</w:t>
      </w:r>
      <w:r>
        <w:rPr>
          <w:rFonts w:hint="cs"/>
          <w:rtl/>
        </w:rPr>
        <w:t>}،</w:t>
      </w:r>
      <w:r w:rsidR="009C32A0">
        <w:rPr>
          <w:rFonts w:hint="cs"/>
          <w:rtl/>
        </w:rPr>
        <w:t xml:space="preserve"> ومعلوم أن النكاح ليست له عقدة وأن هذه العقدة بيد ولي الأمر</w:t>
      </w:r>
      <w:r>
        <w:rPr>
          <w:rFonts w:hint="cs"/>
          <w:rtl/>
        </w:rPr>
        <w:t>،</w:t>
      </w:r>
      <w:r w:rsidR="009C32A0">
        <w:rPr>
          <w:rFonts w:hint="cs"/>
          <w:rtl/>
        </w:rPr>
        <w:t xml:space="preserve"> فهذا لا يقوله عاقل</w:t>
      </w:r>
      <w:r>
        <w:rPr>
          <w:rFonts w:hint="cs"/>
          <w:rtl/>
        </w:rPr>
        <w:t>،</w:t>
      </w:r>
      <w:r w:rsidR="009C32A0">
        <w:rPr>
          <w:rFonts w:hint="cs"/>
          <w:rtl/>
        </w:rPr>
        <w:t xml:space="preserve"> وإنما المعنى من له الولاية على النكاح حتى وإن كان مقطوع </w:t>
      </w:r>
      <w:r w:rsidR="009C32A0">
        <w:rPr>
          <w:rFonts w:hint="cs"/>
          <w:rtl/>
        </w:rPr>
        <w:lastRenderedPageBreak/>
        <w:t>اليدين</w:t>
      </w:r>
      <w:r>
        <w:rPr>
          <w:rFonts w:hint="cs"/>
          <w:rtl/>
        </w:rPr>
        <w:t>،</w:t>
      </w:r>
      <w:r w:rsidR="009C32A0">
        <w:rPr>
          <w:rFonts w:hint="cs"/>
          <w:rtl/>
        </w:rPr>
        <w:t xml:space="preserve"> فلا علاقة للآية بإثبات عقدة ولا يد وإنما هو الأسلوب البلاغي الذي يوصل المعنى في أجزل عبارة وأدق معنى</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الْمُنَافِقُونَ وَالْمُنَافِقَاتُ بَعْضُهُم مِّن بَعْضٍ يَأْمُرُونَ بِالْمُنكَرِ وَيَنْهَوْنَ عَنِ الْمَعْرُوفِ وَيَقْبِضُونَ أَيْدِيَهُمْ نَسُواْ اللّهَ فَنَسِيَهُمْ</w:t>
      </w:r>
      <w:r>
        <w:rPr>
          <w:rFonts w:hint="cs"/>
          <w:rtl/>
        </w:rPr>
        <w:t>}،</w:t>
      </w:r>
      <w:r w:rsidR="009C32A0">
        <w:rPr>
          <w:rFonts w:hint="cs"/>
          <w:rtl/>
        </w:rPr>
        <w:t xml:space="preserve"> ويستحيل أن يكون المراد من الآية المعنى الظاهر للقبض وهو ضم أصابع اليد</w:t>
      </w:r>
      <w:r>
        <w:rPr>
          <w:rFonts w:hint="cs"/>
          <w:rtl/>
        </w:rPr>
        <w:t>،</w:t>
      </w:r>
      <w:r w:rsidR="009C32A0">
        <w:rPr>
          <w:rFonts w:hint="cs"/>
          <w:rtl/>
        </w:rPr>
        <w:t xml:space="preserve"> ولكن المعنى المفهوم من القبض هاهنا البخل بالنفقة في الطاعة وفي سبيل الله</w:t>
      </w:r>
      <w:r>
        <w:rPr>
          <w:rFonts w:hint="cs"/>
          <w:rtl/>
        </w:rPr>
        <w:t>،</w:t>
      </w:r>
      <w:r w:rsidR="009C32A0">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9C32A0">
        <w:rPr>
          <w:rFonts w:hint="cs"/>
          <w:rtl/>
        </w:rPr>
        <w:t xml:space="preserve"> ثم هاهنا لطيفة أخرى وهي قوله تعالى (نسوا الله فنسيهم</w:t>
      </w:r>
      <w:r>
        <w:rPr>
          <w:rFonts w:hint="cs"/>
          <w:rtl/>
        </w:rPr>
        <w:t>)</w:t>
      </w:r>
      <w:r w:rsidR="009C32A0">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9C32A0">
        <w:rPr>
          <w:rFonts w:hint="cs"/>
          <w:rtl/>
        </w:rPr>
        <w:t xml:space="preserve"> وقوله تعالى </w:t>
      </w:r>
      <w:r>
        <w:rPr>
          <w:rFonts w:hint="cs"/>
          <w:rtl/>
        </w:rPr>
        <w:t>{</w:t>
      </w:r>
      <w:r w:rsidR="009C32A0">
        <w:rPr>
          <w:rFonts w:hint="cs"/>
          <w:rtl/>
        </w:rPr>
        <w:t>وَقَالَتِ الْيَهُودُ يَدُ اللّهِ مَغْلُولَةٌ غُلَّتْ أَيْدِيهِمْ وَلُعِنُواْ بِمَا قَالُواْ بَلْ يَدَاهُ مَبْسُوطَتَانِ يُنفِقُ كَيْفَ يَشَاء</w:t>
      </w:r>
      <w:r>
        <w:rPr>
          <w:rFonts w:hint="cs"/>
          <w:rtl/>
        </w:rPr>
        <w:t>}،</w:t>
      </w:r>
      <w:r w:rsidR="009C32A0">
        <w:rPr>
          <w:rFonts w:hint="cs"/>
          <w:rtl/>
        </w:rPr>
        <w:t xml:space="preserve"> فإن بلغاء العرب يعلمون أن الوصف بغل اليد وبسطها مجاز عن البخل والجود ومنه قوله تعالى آمراً نبيه صلى الله عليه وسلم </w:t>
      </w:r>
      <w:r>
        <w:rPr>
          <w:rFonts w:hint="cs"/>
          <w:rtl/>
        </w:rPr>
        <w:t>(</w:t>
      </w:r>
      <w:r w:rsidR="009C32A0">
        <w:rPr>
          <w:rFonts w:hint="cs"/>
          <w:rtl/>
        </w:rPr>
        <w:t>ولا تجعل يدك مغلولة إلى عنقك ولا تبسطها كل البسط</w:t>
      </w:r>
      <w:r>
        <w:rPr>
          <w:rFonts w:hint="cs"/>
          <w:rtl/>
        </w:rPr>
        <w:t>)</w:t>
      </w:r>
      <w:r w:rsidR="009C32A0">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9C32A0">
        <w:rPr>
          <w:rFonts w:hint="cs"/>
          <w:rtl/>
        </w:rPr>
        <w:t xml:space="preserve"> وإنما الأمر بالقصد في الإنفاق</w:t>
      </w:r>
      <w:r>
        <w:rPr>
          <w:rFonts w:hint="cs"/>
          <w:rtl/>
        </w:rPr>
        <w:t>،</w:t>
      </w:r>
      <w:r w:rsidR="009C32A0">
        <w:rPr>
          <w:rFonts w:hint="cs"/>
          <w:rtl/>
        </w:rPr>
        <w:t xml:space="preserve"> وهكذا هاهنا</w:t>
      </w:r>
      <w:r>
        <w:rPr>
          <w:rFonts w:hint="cs"/>
          <w:rtl/>
        </w:rPr>
        <w:t>،</w:t>
      </w:r>
      <w:r w:rsidR="009C32A0">
        <w:rPr>
          <w:rFonts w:hint="cs"/>
          <w:rtl/>
        </w:rPr>
        <w:t xml:space="preserve"> فالمقصود من غل اليد وبسطها المجاز عن محض البخل والجود من غير قصد في ذلك إلى إثبات يد أو غل أو بسط</w:t>
      </w:r>
      <w:r>
        <w:rPr>
          <w:rFonts w:hint="cs"/>
          <w:rtl/>
        </w:rPr>
        <w:t>،</w:t>
      </w:r>
      <w:r w:rsidR="009C32A0">
        <w:rPr>
          <w:rFonts w:hint="cs"/>
          <w:rtl/>
        </w:rPr>
        <w:t xml:space="preserve"> ومعنى الآيات</w:t>
      </w:r>
      <w:r>
        <w:rPr>
          <w:rFonts w:hint="cs"/>
          <w:rtl/>
        </w:rPr>
        <w:t>:</w:t>
      </w:r>
      <w:r w:rsidR="009C32A0">
        <w:rPr>
          <w:rFonts w:hint="cs"/>
          <w:rtl/>
        </w:rPr>
        <w:t xml:space="preserve"> أن</w:t>
      </w:r>
      <w:r>
        <w:rPr>
          <w:rFonts w:hint="cs"/>
          <w:rtl/>
        </w:rPr>
        <w:t xml:space="preserve"> </w:t>
      </w:r>
      <w:r w:rsidR="009C32A0">
        <w:rPr>
          <w:rFonts w:hint="cs"/>
          <w:rtl/>
        </w:rPr>
        <w:t>اليهود لعنهم الله عز وجل</w:t>
      </w:r>
      <w:r>
        <w:rPr>
          <w:rFonts w:hint="cs"/>
          <w:rtl/>
        </w:rPr>
        <w:t xml:space="preserve"> </w:t>
      </w:r>
      <w:r w:rsidR="009C32A0">
        <w:rPr>
          <w:rFonts w:hint="cs"/>
          <w:rtl/>
        </w:rPr>
        <w:t>قالوا على جهة الوصف بالبخل يد الله مغلولة فرد الله تعالى عليهم بقوله (بل يداه مبسوطتان</w:t>
      </w:r>
      <w:r>
        <w:rPr>
          <w:rFonts w:hint="cs"/>
          <w:rtl/>
        </w:rPr>
        <w:t>)</w:t>
      </w:r>
      <w:r w:rsidR="009C32A0">
        <w:rPr>
          <w:rFonts w:hint="cs"/>
          <w:rtl/>
        </w:rPr>
        <w:t xml:space="preserve"> معناه أي كلا ليس كذلك بل هو في غاية ما يكون من الجود والإنعام</w:t>
      </w:r>
      <w:r>
        <w:rPr>
          <w:rFonts w:hint="cs"/>
          <w:rtl/>
        </w:rPr>
        <w:t>،</w:t>
      </w:r>
      <w:r w:rsidR="009C32A0">
        <w:rPr>
          <w:rFonts w:hint="cs"/>
          <w:rtl/>
        </w:rPr>
        <w:t xml:space="preserve"> فإن قيل لم ثنيت اليد في قوله تعالى </w:t>
      </w:r>
      <w:r>
        <w:rPr>
          <w:rFonts w:hint="cs"/>
          <w:rtl/>
        </w:rPr>
        <w:t>{</w:t>
      </w:r>
      <w:r w:rsidR="009C32A0">
        <w:rPr>
          <w:rFonts w:hint="cs"/>
          <w:rtl/>
        </w:rPr>
        <w:t>بل يداه مبسوطتان</w:t>
      </w:r>
      <w:r>
        <w:rPr>
          <w:rFonts w:hint="cs"/>
          <w:rtl/>
        </w:rPr>
        <w:t>}؟</w:t>
      </w:r>
      <w:r w:rsidR="009C32A0">
        <w:rPr>
          <w:rFonts w:hint="cs"/>
          <w:rtl/>
        </w:rPr>
        <w:t xml:space="preserve"> فالجواب</w:t>
      </w:r>
      <w:r>
        <w:rPr>
          <w:rFonts w:hint="cs"/>
          <w:rtl/>
        </w:rPr>
        <w:t>:</w:t>
      </w:r>
      <w:r w:rsidR="009C32A0">
        <w:rPr>
          <w:rFonts w:hint="cs"/>
          <w:rtl/>
        </w:rPr>
        <w:t xml:space="preserve"> ثنيت اليد ليكون أبلغ وأدل على إثبات غاية السخاء له ونفى البخل عنه</w:t>
      </w:r>
      <w:r>
        <w:rPr>
          <w:rFonts w:hint="cs"/>
          <w:rtl/>
        </w:rPr>
        <w:t>،</w:t>
      </w:r>
      <w:r w:rsidR="009C32A0">
        <w:rPr>
          <w:rFonts w:hint="cs"/>
          <w:rtl/>
        </w:rPr>
        <w:t xml:space="preserve"> فإن أقصى ما ينتهي إليه همم الأسخياء من الوصف بالمبالغة في الجود والإنعام أن يعطوا ما يعطونه بكلتا يديهم</w:t>
      </w:r>
      <w:r>
        <w:rPr>
          <w:rFonts w:hint="cs"/>
          <w:rtl/>
        </w:rPr>
        <w:t>،</w:t>
      </w:r>
      <w:r w:rsidR="009C32A0">
        <w:rPr>
          <w:rFonts w:hint="cs"/>
          <w:rtl/>
        </w:rPr>
        <w:t xml:space="preserve"> فالآية من باب إعجاز القرآن في قمة البلاغة والبيان</w:t>
      </w:r>
      <w:r>
        <w:rPr>
          <w:rFonts w:hint="cs"/>
          <w:rtl/>
        </w:rPr>
        <w:t>،</w:t>
      </w:r>
      <w:r w:rsidR="009C32A0">
        <w:rPr>
          <w:rFonts w:hint="cs"/>
          <w:rtl/>
        </w:rPr>
        <w:t xml:space="preserve"> ومن نظر في علم البيان والبلاغة لا يصعب عليه تصور ذلك أبدا</w:t>
      </w:r>
      <w:r>
        <w:rPr>
          <w:rFonts w:hint="cs"/>
          <w:rtl/>
        </w:rPr>
        <w:t>،</w:t>
      </w:r>
      <w:r w:rsidR="009C32A0">
        <w:rPr>
          <w:rFonts w:hint="cs"/>
          <w:rtl/>
          <w:lang w:bidi="ar-KW"/>
        </w:rPr>
        <w:t xml:space="preserve"> </w:t>
      </w:r>
      <w:r w:rsidR="009C32A0">
        <w:rPr>
          <w:rFonts w:hint="cs"/>
          <w:rtl/>
        </w:rPr>
        <w:t>قال الثعالبي</w:t>
      </w:r>
      <w:r>
        <w:rPr>
          <w:rFonts w:hint="cs"/>
          <w:rtl/>
        </w:rPr>
        <w:t>:</w:t>
      </w:r>
      <w:r w:rsidR="009C32A0">
        <w:rPr>
          <w:rFonts w:hint="cs"/>
          <w:rtl/>
        </w:rPr>
        <w:t xml:space="preserve"> " وقوله تعالى </w:t>
      </w:r>
      <w:r>
        <w:rPr>
          <w:rFonts w:hint="cs"/>
          <w:rtl/>
        </w:rPr>
        <w:t>(</w:t>
      </w:r>
      <w:r w:rsidR="009C32A0">
        <w:rPr>
          <w:rFonts w:hint="cs"/>
          <w:rtl/>
        </w:rPr>
        <w:t>بل يداه مبسوطتان</w:t>
      </w:r>
      <w:r>
        <w:rPr>
          <w:rFonts w:hint="cs"/>
          <w:rtl/>
        </w:rPr>
        <w:t xml:space="preserve">) </w:t>
      </w:r>
      <w:r w:rsidR="009C32A0">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w:t>
      </w:r>
      <w:r>
        <w:rPr>
          <w:rFonts w:hint="cs"/>
          <w:rtl/>
        </w:rPr>
        <w:t xml:space="preserve"> </w:t>
      </w:r>
      <w:r w:rsidR="009C32A0">
        <w:rPr>
          <w:rFonts w:hint="cs"/>
          <w:rtl/>
        </w:rPr>
        <w:t xml:space="preserve">أهـ </w:t>
      </w:r>
      <w:r>
        <w:rPr>
          <w:rFonts w:hint="cs"/>
          <w:rtl/>
        </w:rPr>
        <w:t>[</w:t>
      </w:r>
      <w:r w:rsidR="009C32A0">
        <w:rPr>
          <w:rFonts w:hint="cs"/>
          <w:rtl/>
        </w:rPr>
        <w:t>تفسير الثعالبي ج: 1 ص: 473</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إِنَّ الَّذِينَ يُبَايِعُونَكَ إِنَّمَا يُبَايِعُونَ اللَّهَ يَدُ اللَّهِ فَوْقَ أَيْدِيهِمْ</w:t>
      </w:r>
      <w:r>
        <w:rPr>
          <w:rFonts w:hint="cs"/>
          <w:rtl/>
        </w:rPr>
        <w:t>}،</w:t>
      </w:r>
      <w:r w:rsidR="009C32A0">
        <w:rPr>
          <w:rFonts w:hint="cs"/>
          <w:rtl/>
        </w:rPr>
        <w:t xml:space="preserve"> فهل كانت فوق الأيادي حقيقة</w:t>
      </w:r>
      <w:r>
        <w:rPr>
          <w:rFonts w:hint="cs"/>
          <w:rtl/>
        </w:rPr>
        <w:t>،</w:t>
      </w:r>
      <w:r w:rsidR="009C32A0">
        <w:rPr>
          <w:rFonts w:hint="cs"/>
          <w:rtl/>
        </w:rPr>
        <w:t xml:space="preserve"> أم أنّها البلاغة القرآنية في بيان مدى رضا الله تعالى عن تلك البيعة</w:t>
      </w:r>
      <w:r>
        <w:rPr>
          <w:rFonts w:hint="cs"/>
          <w:rtl/>
        </w:rPr>
        <w:t>،</w:t>
      </w:r>
      <w:r w:rsidR="009C32A0">
        <w:rPr>
          <w:rFonts w:hint="cs"/>
          <w:rtl/>
        </w:rPr>
        <w:t xml:space="preserve"> وقوله تعالى </w:t>
      </w:r>
      <w:r>
        <w:rPr>
          <w:rFonts w:hint="cs"/>
          <w:rtl/>
        </w:rPr>
        <w:t>{</w:t>
      </w:r>
      <w:r w:rsidR="009C32A0">
        <w:rPr>
          <w:rFonts w:hint="cs"/>
          <w:rtl/>
        </w:rPr>
        <w:t xml:space="preserve">أَوَلَمْ يَرَوْا أَنَّا خَلَقْنَا لَهُمْ مِمَّا عَمِلَتْ أَيْدِينَا أَنْعَامًا فَهُمْ </w:t>
      </w:r>
      <w:r w:rsidR="009C32A0">
        <w:rPr>
          <w:rFonts w:hint="cs"/>
          <w:rtl/>
        </w:rPr>
        <w:lastRenderedPageBreak/>
        <w:t>لَهَا مَالِكُونَ}</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وَالسَّمَاء بَنَيْنَاهَا بِأَيْدٍ وَإِنَّا لَمُوسِعُونَ</w:t>
      </w:r>
      <w:r>
        <w:rPr>
          <w:rFonts w:hint="cs"/>
          <w:rtl/>
        </w:rPr>
        <w:t>}،</w:t>
      </w:r>
      <w:r w:rsidR="009C32A0">
        <w:rPr>
          <w:rFonts w:hint="cs"/>
          <w:rtl/>
        </w:rPr>
        <w:t xml:space="preserve"> قلت</w:t>
      </w:r>
      <w:r>
        <w:rPr>
          <w:rFonts w:hint="cs"/>
          <w:rtl/>
        </w:rPr>
        <w:t>:</w:t>
      </w:r>
      <w:r w:rsidR="009C32A0">
        <w:rPr>
          <w:rFonts w:hint="cs"/>
          <w:rtl/>
        </w:rPr>
        <w:t xml:space="preserve"> اليد تجمع على أيد قال تعالى </w:t>
      </w:r>
      <w:r>
        <w:rPr>
          <w:rFonts w:hint="cs"/>
          <w:rtl/>
        </w:rPr>
        <w:t>{</w:t>
      </w:r>
      <w:r w:rsidR="009C32A0">
        <w:rPr>
          <w:rFonts w:hint="cs"/>
          <w:rtl/>
        </w:rPr>
        <w:t>ألهم أيد يبطشون بها</w:t>
      </w:r>
      <w:r>
        <w:rPr>
          <w:rFonts w:hint="cs"/>
          <w:rtl/>
        </w:rPr>
        <w:t>}،</w:t>
      </w:r>
      <w:r w:rsidR="009C32A0">
        <w:rPr>
          <w:rFonts w:hint="cs"/>
          <w:rtl/>
        </w:rPr>
        <w:t xml:space="preserve"> وعلى أيادي كما قال تعالى </w:t>
      </w:r>
      <w:r>
        <w:rPr>
          <w:rFonts w:hint="cs"/>
          <w:rtl/>
        </w:rPr>
        <w:t>{</w:t>
      </w:r>
      <w:r w:rsidR="009C32A0">
        <w:rPr>
          <w:rFonts w:hint="cs"/>
          <w:rtl/>
        </w:rPr>
        <w:t>مما عملت أيدينا</w:t>
      </w:r>
      <w:r>
        <w:rPr>
          <w:rFonts w:hint="cs"/>
          <w:rtl/>
        </w:rPr>
        <w:t>}،</w:t>
      </w:r>
      <w:r w:rsidR="009C32A0">
        <w:rPr>
          <w:rFonts w:hint="cs"/>
          <w:rtl/>
        </w:rPr>
        <w:t xml:space="preserve"> فلا التفات إلى من زعم أن اليد لا تجمع على </w:t>
      </w:r>
      <w:r>
        <w:rPr>
          <w:rFonts w:hint="cs"/>
          <w:rtl/>
        </w:rPr>
        <w:t>(</w:t>
      </w:r>
      <w:r w:rsidR="009C32A0">
        <w:rPr>
          <w:rFonts w:hint="cs"/>
          <w:rtl/>
        </w:rPr>
        <w:t>أيد</w:t>
      </w:r>
      <w:r>
        <w:rPr>
          <w:rFonts w:hint="cs"/>
          <w:rtl/>
        </w:rPr>
        <w:t>)</w:t>
      </w:r>
      <w:r w:rsidR="009C32A0">
        <w:rPr>
          <w:rFonts w:hint="cs"/>
          <w:rtl/>
        </w:rPr>
        <w:t xml:space="preserve"> لأن ذلك مما جاء في القرآن والقرآن نزل بلسان عربي مبين</w:t>
      </w:r>
      <w:r>
        <w:rPr>
          <w:rFonts w:hint="cs"/>
          <w:rtl/>
        </w:rPr>
        <w:t>،</w:t>
      </w:r>
      <w:r w:rsidR="009C32A0">
        <w:rPr>
          <w:rFonts w:hint="cs"/>
          <w:rtl/>
        </w:rPr>
        <w:t xml:space="preserve"> فهل المراد اثبات أيادي متعددة على سبيل الأجزاء تعالى الله عمّا يقولون</w:t>
      </w:r>
      <w:r>
        <w:rPr>
          <w:rFonts w:hint="cs"/>
          <w:rtl/>
        </w:rPr>
        <w:t>،</w:t>
      </w:r>
      <w:r w:rsidR="009C32A0">
        <w:rPr>
          <w:rFonts w:hint="cs"/>
          <w:rtl/>
        </w:rPr>
        <w:t xml:space="preserve"> أم المراد إثبات صفة القوة لأنّ الله تعالى هو القوي</w:t>
      </w:r>
      <w:r>
        <w:rPr>
          <w:rFonts w:hint="cs"/>
          <w:rtl/>
        </w:rPr>
        <w:t>،</w:t>
      </w:r>
      <w:r w:rsidR="009C32A0">
        <w:rPr>
          <w:rFonts w:hint="cs"/>
          <w:rtl/>
        </w:rPr>
        <w:t xml:space="preserve"> واثبات صفة القدرة لأنّ الله تعالى هو القدير</w:t>
      </w:r>
      <w:r>
        <w:rPr>
          <w:rFonts w:hint="cs"/>
          <w:rtl/>
        </w:rPr>
        <w:t>،</w:t>
      </w:r>
      <w:r w:rsidR="009C32A0">
        <w:rPr>
          <w:rFonts w:hint="cs"/>
          <w:rtl/>
        </w:rPr>
        <w:t xml:space="preserve"> مثالها في ذلك تماما - كما ذكرنا - قوله تعالى </w:t>
      </w:r>
      <w:r>
        <w:rPr>
          <w:rFonts w:hint="cs"/>
          <w:rtl/>
        </w:rPr>
        <w:t>{</w:t>
      </w:r>
      <w:r w:rsidR="009C32A0">
        <w:rPr>
          <w:rFonts w:hint="cs"/>
          <w:rtl/>
        </w:rPr>
        <w:t>وَاذْكُرْ عَبْدَنَا دَاوُودَ ذَا الْأَيْدِ إِنَّهُ أَوَّابٌ</w:t>
      </w:r>
      <w:r>
        <w:rPr>
          <w:rFonts w:hint="cs"/>
          <w:rtl/>
        </w:rPr>
        <w:t>}</w:t>
      </w:r>
      <w:r w:rsidR="009C32A0">
        <w:rPr>
          <w:rFonts w:hint="cs"/>
          <w:rtl/>
        </w:rPr>
        <w:t xml:space="preserve"> وقوله تعالى</w:t>
      </w:r>
      <w:r>
        <w:rPr>
          <w:rFonts w:hint="cs"/>
          <w:rtl/>
        </w:rPr>
        <w:t xml:space="preserve"> {</w:t>
      </w:r>
      <w:r w:rsidR="009C32A0">
        <w:rPr>
          <w:rFonts w:hint="cs"/>
          <w:rtl/>
        </w:rPr>
        <w:t>وَاذْكُرْ عِبَادَنَا إبْرَاهِيمَ وَإِسْحَقَ وَيَعْقُوبَ أُوْلِي الْأَيْدِي وَالْأَبْصَارِ</w:t>
      </w:r>
      <w:r>
        <w:rPr>
          <w:rFonts w:hint="cs"/>
          <w:rtl/>
        </w:rPr>
        <w:t xml:space="preserve">}، </w:t>
      </w:r>
      <w:r w:rsidR="009C32A0">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9C32A0">
        <w:rPr>
          <w:rFonts w:hint="cs"/>
          <w:rtl/>
        </w:rPr>
        <w:t xml:space="preserve"> أم أن المقصود بالأيدي في الآيات هو قوتهم في الطاعة وجدهم وتشميرهم للعبادة</w:t>
      </w:r>
      <w:r>
        <w:rPr>
          <w:rFonts w:hint="cs"/>
          <w:rtl/>
        </w:rPr>
        <w:t>،</w:t>
      </w:r>
      <w:r w:rsidR="009C32A0">
        <w:rPr>
          <w:rFonts w:hint="cs"/>
          <w:rtl/>
        </w:rPr>
        <w:t xml:space="preserve"> واستعير لذلك بلفظ الأيدي لأنها عادة موضع القوة والجد والعمل . فلا شك أن المعنى المقصود هو الثاني</w:t>
      </w:r>
      <w:r>
        <w:rPr>
          <w:rFonts w:hint="cs"/>
          <w:rtl/>
        </w:rPr>
        <w:t>،</w:t>
      </w:r>
      <w:r w:rsidR="009C32A0">
        <w:rPr>
          <w:rFonts w:hint="cs"/>
          <w:rtl/>
        </w:rPr>
        <w:t xml:space="preserve"> والآية </w:t>
      </w:r>
      <w:r>
        <w:rPr>
          <w:rFonts w:hint="cs"/>
          <w:rtl/>
        </w:rPr>
        <w:t>{</w:t>
      </w:r>
      <w:r w:rsidR="009C32A0">
        <w:rPr>
          <w:rFonts w:hint="cs"/>
          <w:rtl/>
        </w:rPr>
        <w:t>وَالسَّمَاء بَنَيْنَاهَا بِأَيْدٍ وَإِنَّا لَمُوسِعُونَ</w:t>
      </w:r>
      <w:r>
        <w:rPr>
          <w:rFonts w:hint="cs"/>
          <w:rtl/>
        </w:rPr>
        <w:t>}</w:t>
      </w:r>
      <w:r w:rsidR="009C32A0">
        <w:rPr>
          <w:rFonts w:hint="cs"/>
          <w:rtl/>
        </w:rPr>
        <w:t xml:space="preserve"> لها نفس المقصود إذ لم تسق الآية لإثبات جارحة لله تعالى عن ذلك لأنه نقص يتنزه الأحد الصمد عنه</w:t>
      </w:r>
      <w:r>
        <w:rPr>
          <w:rFonts w:hint="cs"/>
          <w:rtl/>
        </w:rPr>
        <w:t>،</w:t>
      </w:r>
      <w:r w:rsidR="009C32A0">
        <w:rPr>
          <w:rFonts w:hint="cs"/>
          <w:rtl/>
        </w:rPr>
        <w:t xml:space="preserve"> لأن الجارحة تعني الجزء والتجزؤ يضاد الأحدية التي تعني نفي التبعض ويضاد الصمدية التي تعني كمال الغنى لأن المتجزىء يحتاج إلى جزئه فصاحب اليد </w:t>
      </w:r>
      <w:r>
        <w:rPr>
          <w:rFonts w:hint="cs"/>
          <w:rtl/>
        </w:rPr>
        <w:t>(</w:t>
      </w:r>
      <w:r w:rsidR="009C32A0">
        <w:rPr>
          <w:rFonts w:hint="cs"/>
          <w:rtl/>
        </w:rPr>
        <w:t>الجارحة</w:t>
      </w:r>
      <w:r>
        <w:rPr>
          <w:rFonts w:hint="cs"/>
          <w:rtl/>
        </w:rPr>
        <w:t>)</w:t>
      </w:r>
      <w:r w:rsidR="009C32A0">
        <w:rPr>
          <w:rFonts w:hint="cs"/>
          <w:rtl/>
        </w:rPr>
        <w:t xml:space="preserve"> يحتاج إلى يده لتناوله الأشياء وصاحب الرجل (الجارحة</w:t>
      </w:r>
      <w:r>
        <w:rPr>
          <w:rFonts w:hint="cs"/>
          <w:rtl/>
        </w:rPr>
        <w:t>)</w:t>
      </w:r>
      <w:r w:rsidR="009C32A0">
        <w:rPr>
          <w:rFonts w:hint="cs"/>
          <w:rtl/>
        </w:rPr>
        <w:t xml:space="preserve"> يحتاج إلى رجله ليتحرك بها وصاحب العين </w:t>
      </w:r>
      <w:r>
        <w:rPr>
          <w:rFonts w:hint="cs"/>
          <w:rtl/>
        </w:rPr>
        <w:t>(</w:t>
      </w:r>
      <w:r w:rsidR="009C32A0">
        <w:rPr>
          <w:rFonts w:hint="cs"/>
          <w:rtl/>
        </w:rPr>
        <w:t>الجارحة</w:t>
      </w:r>
      <w:r>
        <w:rPr>
          <w:rFonts w:hint="cs"/>
          <w:rtl/>
        </w:rPr>
        <w:t>)</w:t>
      </w:r>
      <w:r w:rsidR="009C32A0">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Pr>
          <w:rFonts w:hint="cs"/>
          <w:rtl/>
        </w:rPr>
        <w:t>،</w:t>
      </w:r>
      <w:r w:rsidR="009C32A0">
        <w:rPr>
          <w:rFonts w:hint="cs"/>
          <w:rtl/>
        </w:rPr>
        <w:t xml:space="preserve"> وإثبات الجارحة ليس فيه أي معنى للكمال الإلهي المتصف بكمال الأحدية وكمال الصمدية وكمال القيومية وكمال الغنى</w:t>
      </w:r>
      <w:r>
        <w:rPr>
          <w:rFonts w:hint="cs"/>
          <w:rtl/>
        </w:rPr>
        <w:t>،</w:t>
      </w:r>
      <w:r w:rsidR="009C32A0">
        <w:rPr>
          <w:rFonts w:hint="cs"/>
          <w:rtl/>
        </w:rPr>
        <w:t xml:space="preserve"> بل هو نقص يضاد الكمال ويتنزه الله تعالى عنه</w:t>
      </w:r>
      <w:r>
        <w:rPr>
          <w:rFonts w:hint="cs"/>
          <w:rtl/>
        </w:rPr>
        <w:t>،</w:t>
      </w:r>
      <w:r w:rsidR="009C32A0">
        <w:rPr>
          <w:rFonts w:hint="cs"/>
          <w:rtl/>
        </w:rPr>
        <w:t xml:space="preserve"> وقوله تعالى </w:t>
      </w:r>
      <w:r>
        <w:rPr>
          <w:rFonts w:hint="cs"/>
          <w:rtl/>
        </w:rPr>
        <w:t>(</w:t>
      </w:r>
      <w:r w:rsidR="009C32A0">
        <w:rPr>
          <w:rFonts w:hint="cs"/>
          <w:rtl/>
        </w:rPr>
        <w:t>قَالَ يَا إِبْلِيسُ مَا مَنَعَكَ أَن تَسْجُدَ لِمَا خَلَقْتُ بِيَدَيَّ أَسْتَكْبَرْتَ أَمْ كُنتَ مِنَ الْعَالِينَ</w:t>
      </w:r>
      <w:r>
        <w:rPr>
          <w:rFonts w:hint="cs"/>
          <w:rtl/>
        </w:rPr>
        <w:t>}،</w:t>
      </w:r>
      <w:r w:rsidR="009C32A0">
        <w:rPr>
          <w:rFonts w:hint="cs"/>
          <w:rtl/>
        </w:rPr>
        <w:t xml:space="preserve"> فهل المقصد اثبات جارحتين تمثلان اليدين - أستغفر الله -</w:t>
      </w:r>
      <w:r>
        <w:rPr>
          <w:rFonts w:hint="cs"/>
          <w:rtl/>
        </w:rPr>
        <w:t>،</w:t>
      </w:r>
      <w:r w:rsidR="009C32A0">
        <w:rPr>
          <w:rFonts w:hint="cs"/>
          <w:rtl/>
        </w:rPr>
        <w:t xml:space="preserve"> أم القصد</w:t>
      </w:r>
      <w:r>
        <w:rPr>
          <w:rFonts w:hint="cs"/>
          <w:rtl/>
        </w:rPr>
        <w:t>:</w:t>
      </w:r>
      <w:r w:rsidR="009C32A0">
        <w:rPr>
          <w:rFonts w:hint="cs"/>
          <w:rtl/>
        </w:rPr>
        <w:t xml:space="preserve"> لما أوليته عنايتي وأظهرت فيه عجائب قدرتي وخلقته في أحسن تقويم وعلمته من العلم ما لا يعلمه غيره وفضلته في ذلك كله على غيره من المخلوقين</w:t>
      </w:r>
      <w:r>
        <w:rPr>
          <w:rFonts w:hint="cs"/>
          <w:rtl/>
        </w:rPr>
        <w:t>،</w:t>
      </w:r>
      <w:r w:rsidR="009C32A0">
        <w:rPr>
          <w:rFonts w:hint="cs"/>
          <w:rtl/>
        </w:rPr>
        <w:t xml:space="preserve"> هذا هو المفهوم من سياق الآيات فلم تسق الآية لإثبات جارحة لله تعالى</w:t>
      </w:r>
      <w:r>
        <w:rPr>
          <w:rFonts w:hint="cs"/>
          <w:rtl/>
        </w:rPr>
        <w:t>،</w:t>
      </w:r>
      <w:r w:rsidR="009C32A0">
        <w:rPr>
          <w:rFonts w:hint="cs"/>
          <w:rtl/>
        </w:rPr>
        <w:t xml:space="preserve"> وإلا فما الفارق عند كل منصف لم تحرق البدعة قلبه بين هذا التعبير القرآني </w:t>
      </w:r>
      <w:r>
        <w:rPr>
          <w:rFonts w:hint="cs"/>
          <w:rtl/>
        </w:rPr>
        <w:t>(</w:t>
      </w:r>
      <w:r w:rsidR="009C32A0">
        <w:rPr>
          <w:rFonts w:hint="cs"/>
          <w:rtl/>
        </w:rPr>
        <w:t>لما خلقت بيدي</w:t>
      </w:r>
      <w:r>
        <w:rPr>
          <w:rFonts w:hint="cs"/>
          <w:rtl/>
        </w:rPr>
        <w:t>)</w:t>
      </w:r>
      <w:r w:rsidR="009C32A0">
        <w:rPr>
          <w:rFonts w:hint="cs"/>
          <w:rtl/>
        </w:rPr>
        <w:t xml:space="preserve"> وبين قوله تعالى </w:t>
      </w:r>
      <w:r>
        <w:rPr>
          <w:rFonts w:hint="cs"/>
          <w:rtl/>
        </w:rPr>
        <w:t>(</w:t>
      </w:r>
      <w:r w:rsidR="009C32A0">
        <w:rPr>
          <w:rFonts w:hint="cs"/>
          <w:rtl/>
        </w:rPr>
        <w:t>مما عملت أيدينا أنعاما</w:t>
      </w:r>
      <w:r>
        <w:rPr>
          <w:rFonts w:hint="cs"/>
          <w:rtl/>
        </w:rPr>
        <w:t>)</w:t>
      </w:r>
      <w:r w:rsidR="009C32A0">
        <w:rPr>
          <w:rFonts w:hint="cs"/>
          <w:rtl/>
        </w:rPr>
        <w:t xml:space="preserve"> و قوله تعالى </w:t>
      </w:r>
      <w:r>
        <w:rPr>
          <w:rFonts w:hint="cs"/>
          <w:rtl/>
        </w:rPr>
        <w:t>(</w:t>
      </w:r>
      <w:r w:rsidR="009C32A0">
        <w:rPr>
          <w:rFonts w:hint="cs"/>
          <w:rtl/>
        </w:rPr>
        <w:t>والسماء بنيناها بأيد</w:t>
      </w:r>
      <w:r>
        <w:rPr>
          <w:rFonts w:hint="cs"/>
          <w:rtl/>
        </w:rPr>
        <w:t>)،</w:t>
      </w:r>
      <w:r w:rsidR="009C32A0">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9C32A0">
        <w:rPr>
          <w:rFonts w:hint="cs"/>
          <w:rtl/>
        </w:rPr>
        <w:t xml:space="preserve"> ولا عبرة لمن اعترض على ذلك بأن إبليس كان بوسعه أن يقول وأنا خلقتني بيدك لأن الأمر بالسجود لم يكن بعلة تميز آدم بالخلق باليدين </w:t>
      </w:r>
      <w:r w:rsidR="009C32A0">
        <w:rPr>
          <w:rFonts w:hint="cs"/>
          <w:rtl/>
        </w:rPr>
        <w:lastRenderedPageBreak/>
        <w:t>ولكن لتمحيص المطيع بالأمر من المتكبر عنه ولذلك جاء في الآية الأخرى</w:t>
      </w:r>
      <w:r>
        <w:rPr>
          <w:rFonts w:hint="cs"/>
          <w:rtl/>
        </w:rPr>
        <w:t>:</w:t>
      </w:r>
      <w:r w:rsidR="009C32A0">
        <w:rPr>
          <w:rFonts w:hint="cs"/>
          <w:rtl/>
        </w:rPr>
        <w:t xml:space="preserve"> </w:t>
      </w:r>
      <w:r>
        <w:rPr>
          <w:rFonts w:hint="cs"/>
          <w:rtl/>
        </w:rPr>
        <w:t>{</w:t>
      </w:r>
      <w:r w:rsidR="009C32A0">
        <w:rPr>
          <w:rFonts w:hint="cs"/>
          <w:rtl/>
        </w:rPr>
        <w:t>أن تسجد إذ أمرتك</w:t>
      </w:r>
      <w:r>
        <w:rPr>
          <w:rFonts w:hint="cs"/>
          <w:rtl/>
        </w:rPr>
        <w:t>}،</w:t>
      </w:r>
      <w:r w:rsidR="009C32A0">
        <w:rPr>
          <w:rFonts w:hint="cs"/>
          <w:rtl/>
        </w:rPr>
        <w:t xml:space="preserve"> ولا عبرة لمن قال</w:t>
      </w:r>
      <w:r>
        <w:rPr>
          <w:rFonts w:hint="cs"/>
          <w:rtl/>
        </w:rPr>
        <w:t>:</w:t>
      </w:r>
      <w:r w:rsidR="009C32A0">
        <w:rPr>
          <w:rFonts w:hint="cs"/>
          <w:rtl/>
        </w:rPr>
        <w:t xml:space="preserve"> لو لم يكن لآدم مزية علي سائر الحيوانات باليد التي هي صفة لما عظمه بذكرها وأجله فقال </w:t>
      </w:r>
      <w:r>
        <w:rPr>
          <w:rFonts w:hint="cs"/>
          <w:rtl/>
        </w:rPr>
        <w:t>(</w:t>
      </w:r>
      <w:r w:rsidR="009C32A0">
        <w:rPr>
          <w:rFonts w:hint="cs"/>
          <w:rtl/>
        </w:rPr>
        <w:t>بيدي</w:t>
      </w:r>
      <w:r>
        <w:rPr>
          <w:rFonts w:hint="cs"/>
          <w:rtl/>
        </w:rPr>
        <w:t>)</w:t>
      </w:r>
      <w:r w:rsidR="009C32A0">
        <w:rPr>
          <w:rFonts w:hint="cs"/>
          <w:rtl/>
        </w:rPr>
        <w:t xml:space="preserve"> ولو كانت القدرة لما كانت له مزية</w:t>
      </w:r>
      <w:r>
        <w:rPr>
          <w:rFonts w:hint="cs"/>
          <w:rtl/>
        </w:rPr>
        <w:t>،</w:t>
      </w:r>
      <w:r w:rsidR="009C32A0">
        <w:rPr>
          <w:rFonts w:hint="cs"/>
          <w:rtl/>
        </w:rPr>
        <w:t xml:space="preserve"> وقولهم</w:t>
      </w:r>
      <w:r>
        <w:rPr>
          <w:rFonts w:hint="cs"/>
          <w:rtl/>
        </w:rPr>
        <w:t>:</w:t>
      </w:r>
      <w:r w:rsidR="009C32A0">
        <w:rPr>
          <w:rFonts w:hint="cs"/>
          <w:rtl/>
        </w:rPr>
        <w:t xml:space="preserve"> ميزه بذلك عن الحيوان فقد قال عز وجل</w:t>
      </w:r>
      <w:r>
        <w:rPr>
          <w:rFonts w:hint="cs"/>
          <w:rtl/>
        </w:rPr>
        <w:t>:</w:t>
      </w:r>
      <w:r w:rsidR="009C32A0">
        <w:rPr>
          <w:rFonts w:hint="cs"/>
          <w:rtl/>
        </w:rPr>
        <w:t xml:space="preserve"> {خلقنا لهم مما عملت أيدينا أنعاما</w:t>
      </w:r>
      <w:r>
        <w:rPr>
          <w:rFonts w:hint="cs"/>
          <w:rtl/>
        </w:rPr>
        <w:t>}</w:t>
      </w:r>
      <w:r w:rsidR="009C32A0">
        <w:rPr>
          <w:rFonts w:hint="cs"/>
          <w:rtl/>
        </w:rPr>
        <w:t xml:space="preserve"> ولم يدل هذا علي تمييز الأنعام علي بقية الحيوان وقال الله تعالي</w:t>
      </w:r>
      <w:r>
        <w:rPr>
          <w:rFonts w:hint="cs"/>
          <w:rtl/>
        </w:rPr>
        <w:t xml:space="preserve"> {</w:t>
      </w:r>
      <w:r w:rsidR="009C32A0">
        <w:rPr>
          <w:rFonts w:hint="cs"/>
          <w:rtl/>
        </w:rPr>
        <w:t>والسماء بنيناها بأيد وإنا لموسعون</w:t>
      </w:r>
      <w:r>
        <w:rPr>
          <w:rFonts w:hint="cs"/>
          <w:rtl/>
        </w:rPr>
        <w:t>}</w:t>
      </w:r>
      <w:r w:rsidR="009C32A0">
        <w:rPr>
          <w:rFonts w:hint="cs"/>
          <w:rtl/>
        </w:rPr>
        <w:t xml:space="preserve"> أي بقوة ولم يدل ذلك على تميز السماء على بقية المخلوقات</w:t>
      </w:r>
      <w:r>
        <w:rPr>
          <w:rFonts w:hint="cs"/>
          <w:rtl/>
        </w:rPr>
        <w:t>،</w:t>
      </w:r>
      <w:r w:rsidR="009C32A0">
        <w:rPr>
          <w:rFonts w:hint="cs"/>
          <w:rtl/>
        </w:rPr>
        <w:t xml:space="preserve"> فإن قالوا</w:t>
      </w:r>
      <w:r>
        <w:rPr>
          <w:rFonts w:hint="cs"/>
          <w:rtl/>
        </w:rPr>
        <w:t>:</w:t>
      </w:r>
      <w:r w:rsidR="009C32A0">
        <w:rPr>
          <w:rFonts w:hint="cs"/>
          <w:rtl/>
        </w:rPr>
        <w:t xml:space="preserve"> القدرة لا تثن</w:t>
      </w:r>
      <w:r>
        <w:rPr>
          <w:rFonts w:hint="cs"/>
          <w:rtl/>
        </w:rPr>
        <w:t>،</w:t>
      </w:r>
      <w:r w:rsidR="009C32A0">
        <w:rPr>
          <w:rFonts w:hint="cs"/>
          <w:rtl/>
        </w:rPr>
        <w:t xml:space="preserve"> وقد قال </w:t>
      </w:r>
      <w:r>
        <w:rPr>
          <w:rFonts w:hint="cs"/>
          <w:rtl/>
        </w:rPr>
        <w:t>{</w:t>
      </w:r>
      <w:r w:rsidR="009C32A0">
        <w:rPr>
          <w:rFonts w:hint="cs"/>
          <w:rtl/>
        </w:rPr>
        <w:t>بيدي</w:t>
      </w:r>
      <w:r>
        <w:rPr>
          <w:rFonts w:hint="cs"/>
          <w:rtl/>
        </w:rPr>
        <w:t>}</w:t>
      </w:r>
      <w:r w:rsidR="009C32A0">
        <w:rPr>
          <w:rFonts w:hint="cs"/>
          <w:rtl/>
        </w:rPr>
        <w:t xml:space="preserve"> قلنا بلي قال العربي</w:t>
      </w:r>
      <w:r>
        <w:rPr>
          <w:rFonts w:hint="cs"/>
          <w:rtl/>
        </w:rPr>
        <w:t>:</w:t>
      </w:r>
      <w:r w:rsidR="009C32A0">
        <w:rPr>
          <w:rFonts w:hint="cs"/>
          <w:rtl/>
        </w:rPr>
        <w:t xml:space="preserve"> ليس لي بهذا الأمر يدان</w:t>
      </w:r>
      <w:r>
        <w:rPr>
          <w:rFonts w:hint="cs"/>
          <w:rtl/>
        </w:rPr>
        <w:t>،</w:t>
      </w:r>
      <w:r w:rsidR="009C32A0">
        <w:rPr>
          <w:rFonts w:hint="cs"/>
          <w:rtl/>
        </w:rPr>
        <w:t xml:space="preserve"> أي ليس لي به قدرة ولا يقصد سوى ذلك</w:t>
      </w:r>
      <w:r>
        <w:rPr>
          <w:rFonts w:hint="cs"/>
          <w:rtl/>
        </w:rPr>
        <w:t>،</w:t>
      </w:r>
      <w:r w:rsidR="009C32A0">
        <w:rPr>
          <w:rFonts w:hint="cs"/>
          <w:rtl/>
        </w:rPr>
        <w:t xml:space="preserve"> فإن قالوا إنما عبروا بذلك لأن للإنسان يد على الحقيقة</w:t>
      </w:r>
      <w:r>
        <w:rPr>
          <w:rFonts w:hint="cs"/>
          <w:rtl/>
        </w:rPr>
        <w:t>،</w:t>
      </w:r>
      <w:r w:rsidR="009C32A0">
        <w:rPr>
          <w:rFonts w:hint="cs"/>
          <w:rtl/>
        </w:rPr>
        <w:t xml:space="preserve"> قلنا إذن يلزمنا إثبات اليدين للرحمة {بين يدي رحمته} وللعذاب {بين يدي عذاب شديد</w:t>
      </w:r>
      <w:r>
        <w:rPr>
          <w:rFonts w:hint="cs"/>
          <w:rtl/>
        </w:rPr>
        <w:t>}</w:t>
      </w:r>
      <w:r w:rsidR="009C32A0">
        <w:rPr>
          <w:rFonts w:hint="cs"/>
          <w:rtl/>
        </w:rPr>
        <w:t xml:space="preserve"> وللنجوى {بين يدي نجواكم صدقة</w:t>
      </w:r>
      <w:r>
        <w:rPr>
          <w:rFonts w:hint="cs"/>
          <w:rtl/>
        </w:rPr>
        <w:t>}</w:t>
      </w:r>
      <w:r w:rsidR="009C32A0">
        <w:rPr>
          <w:rFonts w:hint="cs"/>
          <w:rtl/>
        </w:rPr>
        <w:t xml:space="preserve"> وفي هذا الإثبات من الجهل باللغة والتلاعب بثوابتها ما فيه ومن قال بذلك فلا ينبغي أن يضيع الوقت معه</w:t>
      </w:r>
      <w:r>
        <w:rPr>
          <w:rFonts w:hint="cs"/>
          <w:rtl/>
        </w:rPr>
        <w:t>،</w:t>
      </w:r>
      <w:r w:rsidR="009C32A0">
        <w:rPr>
          <w:rFonts w:hint="cs"/>
          <w:rtl/>
        </w:rPr>
        <w:t xml:space="preserve"> فإن أصروا وجادلوا قلنا</w:t>
      </w:r>
      <w:r>
        <w:rPr>
          <w:rFonts w:hint="cs"/>
          <w:rtl/>
        </w:rPr>
        <w:t xml:space="preserve">: </w:t>
      </w:r>
      <w:r w:rsidR="009C32A0">
        <w:rPr>
          <w:rFonts w:hint="cs"/>
          <w:rtl/>
        </w:rPr>
        <w:t xml:space="preserve">قال الله تعالي في محكم التنزيل </w:t>
      </w:r>
      <w:r>
        <w:rPr>
          <w:rFonts w:hint="cs"/>
          <w:rtl/>
        </w:rPr>
        <w:t>{</w:t>
      </w:r>
      <w:r w:rsidR="009C32A0">
        <w:rPr>
          <w:rFonts w:hint="cs"/>
          <w:rtl/>
        </w:rPr>
        <w:t>إن مثل عيسي عند الله كمثل آدم خلقه من تراب ثم قال له كن فيكون</w:t>
      </w:r>
      <w:r>
        <w:rPr>
          <w:rFonts w:hint="cs"/>
          <w:rtl/>
        </w:rPr>
        <w:t>}،</w:t>
      </w:r>
      <w:r w:rsidR="009C32A0">
        <w:rPr>
          <w:rFonts w:hint="cs"/>
          <w:rtl/>
        </w:rPr>
        <w:t xml:space="preserve"> فالقرآن نص على أن خلق عيسى كخلق آدم كلاهما بالقدرة المعبر عنها بقوله تعالى </w:t>
      </w:r>
      <w:r>
        <w:rPr>
          <w:rFonts w:hint="cs"/>
          <w:rtl/>
        </w:rPr>
        <w:t>{</w:t>
      </w:r>
      <w:r w:rsidR="009C32A0">
        <w:rPr>
          <w:rFonts w:hint="cs"/>
          <w:rtl/>
        </w:rPr>
        <w:t>ثم قال له كن فيكون</w:t>
      </w:r>
      <w:r>
        <w:rPr>
          <w:rFonts w:hint="cs"/>
          <w:rtl/>
        </w:rPr>
        <w:t>}،</w:t>
      </w:r>
      <w:r w:rsidR="009C32A0">
        <w:rPr>
          <w:rFonts w:hint="cs"/>
          <w:rtl/>
        </w:rPr>
        <w:t xml:space="preserve"> فهذا هو صريح القرآن فهل ندعه لفهم خاطئ لحديث لم يصح أو حديث مختلف في صحته</w:t>
      </w:r>
      <w:r>
        <w:rPr>
          <w:rFonts w:hint="cs"/>
          <w:rtl/>
        </w:rPr>
        <w:t xml:space="preserve">، </w:t>
      </w:r>
      <w:r w:rsidR="009C32A0">
        <w:rPr>
          <w:rFonts w:hint="cs"/>
          <w:rtl/>
        </w:rPr>
        <w:t xml:space="preserve">فإن تواضعوا للعلم وقالوا فما معنى الآية </w:t>
      </w:r>
      <w:r>
        <w:rPr>
          <w:rFonts w:hint="cs"/>
          <w:rtl/>
        </w:rPr>
        <w:t>(</w:t>
      </w:r>
      <w:r w:rsidR="009C32A0">
        <w:rPr>
          <w:rFonts w:hint="cs"/>
          <w:rtl/>
        </w:rPr>
        <w:t>لما خلقت بيدي</w:t>
      </w:r>
      <w:r>
        <w:rPr>
          <w:rFonts w:hint="cs"/>
          <w:rtl/>
        </w:rPr>
        <w:t>)</w:t>
      </w:r>
      <w:r w:rsidR="009C32A0">
        <w:rPr>
          <w:rFonts w:hint="cs"/>
          <w:rtl/>
        </w:rPr>
        <w:t xml:space="preserve"> قلنا</w:t>
      </w:r>
      <w:r>
        <w:rPr>
          <w:rFonts w:hint="cs"/>
          <w:rtl/>
        </w:rPr>
        <w:t>:</w:t>
      </w:r>
      <w:r w:rsidR="009C32A0">
        <w:rPr>
          <w:rFonts w:hint="cs"/>
          <w:rtl/>
        </w:rPr>
        <w:t xml:space="preserve"> لا يليق بالخالق أن يحتاج إلى أن يفعل بواسطة</w:t>
      </w:r>
      <w:r>
        <w:rPr>
          <w:rFonts w:hint="cs"/>
          <w:rtl/>
        </w:rPr>
        <w:t>،</w:t>
      </w:r>
      <w:r w:rsidR="009C32A0">
        <w:rPr>
          <w:rFonts w:hint="cs"/>
          <w:rtl/>
        </w:rPr>
        <w:t xml:space="preserve"> لأن له الأحدية والغني المطلق بذاته منزه عن الأعضاء والاجزاء</w:t>
      </w:r>
      <w:r>
        <w:rPr>
          <w:rFonts w:hint="cs"/>
          <w:rtl/>
        </w:rPr>
        <w:t>،</w:t>
      </w:r>
      <w:r w:rsidR="009C32A0">
        <w:rPr>
          <w:rFonts w:hint="cs"/>
          <w:rtl/>
        </w:rPr>
        <w:t xml:space="preserve"> فلا ينبغي أن نتشاغل بطلب تعظيم آدم مع الغفلة عما يستحقه الباريء سبحانه من التعظيم بإثبات الأحدية </w:t>
      </w:r>
      <w:r>
        <w:rPr>
          <w:rFonts w:hint="cs"/>
          <w:rtl/>
        </w:rPr>
        <w:t>{</w:t>
      </w:r>
      <w:r w:rsidR="009C32A0">
        <w:rPr>
          <w:rFonts w:hint="cs"/>
          <w:rtl/>
        </w:rPr>
        <w:t>قل هو الله أحد</w:t>
      </w:r>
      <w:r>
        <w:rPr>
          <w:rFonts w:hint="cs"/>
          <w:rtl/>
        </w:rPr>
        <w:t>}</w:t>
      </w:r>
      <w:r w:rsidR="009C32A0">
        <w:rPr>
          <w:rFonts w:hint="cs"/>
          <w:rtl/>
        </w:rPr>
        <w:t xml:space="preserve"> ونفي المثلية </w:t>
      </w:r>
      <w:r>
        <w:rPr>
          <w:rFonts w:hint="cs"/>
          <w:rtl/>
        </w:rPr>
        <w:t>{</w:t>
      </w:r>
      <w:r w:rsidR="009C32A0">
        <w:rPr>
          <w:rFonts w:hint="cs"/>
          <w:rtl/>
        </w:rPr>
        <w:t>ليس كمثله شيء</w:t>
      </w:r>
      <w:r>
        <w:rPr>
          <w:rFonts w:hint="cs"/>
          <w:rtl/>
        </w:rPr>
        <w:t>}</w:t>
      </w:r>
      <w:r w:rsidR="009C32A0">
        <w:rPr>
          <w:rFonts w:hint="cs"/>
          <w:rtl/>
        </w:rPr>
        <w:t xml:space="preserve"> وذلك بنفي الأجزاء و الأبعاض والجوارح</w:t>
      </w:r>
      <w:r>
        <w:rPr>
          <w:rFonts w:hint="cs"/>
          <w:rtl/>
        </w:rPr>
        <w:t>،</w:t>
      </w:r>
      <w:r w:rsidR="009C32A0">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9C32A0">
        <w:rPr>
          <w:rFonts w:hint="cs"/>
          <w:rtl/>
        </w:rPr>
        <w:t>أن الله _تعالى_ مس طينة آدم بيد هي بعض ذاته</w:t>
      </w:r>
      <w:r>
        <w:rPr>
          <w:rFonts w:hint="cs"/>
          <w:rtl/>
        </w:rPr>
        <w:t>،</w:t>
      </w:r>
      <w:r w:rsidR="009C32A0">
        <w:rPr>
          <w:rFonts w:hint="cs"/>
          <w:rtl/>
        </w:rPr>
        <w:t xml:space="preserve"> والمس قرين الاتحاد والحلول فما يقبل المس يقبلهما</w:t>
      </w:r>
      <w:r>
        <w:rPr>
          <w:rFonts w:hint="cs"/>
          <w:rtl/>
        </w:rPr>
        <w:t>،</w:t>
      </w:r>
      <w:r w:rsidR="009C32A0">
        <w:rPr>
          <w:rFonts w:hint="cs"/>
          <w:rtl/>
        </w:rPr>
        <w:t xml:space="preserve"> سبحانه وتعالى عن ذلك علواً كبيرا</w:t>
      </w:r>
      <w:r>
        <w:rPr>
          <w:rFonts w:hint="cs"/>
          <w:rtl/>
        </w:rPr>
        <w:t>،</w:t>
      </w:r>
      <w:r w:rsidR="009C32A0">
        <w:rPr>
          <w:rFonts w:hint="cs"/>
          <w:rtl/>
        </w:rPr>
        <w:t xml:space="preserve"> فسياق الآية يدل على أن المراد من قوله تعالى </w:t>
      </w:r>
      <w:r>
        <w:rPr>
          <w:rFonts w:hint="cs"/>
          <w:rtl/>
        </w:rPr>
        <w:t>{</w:t>
      </w:r>
      <w:r w:rsidR="009C32A0">
        <w:rPr>
          <w:rFonts w:hint="cs"/>
          <w:rtl/>
        </w:rPr>
        <w:t>لما خلقت بيدي</w:t>
      </w:r>
      <w:r>
        <w:rPr>
          <w:rFonts w:hint="cs"/>
          <w:rtl/>
        </w:rPr>
        <w:t xml:space="preserve">} </w:t>
      </w:r>
      <w:r w:rsidR="009C32A0">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9C32A0">
        <w:rPr>
          <w:rFonts w:hint="cs"/>
          <w:rtl/>
        </w:rPr>
        <w:t>وعلم آدم الأسماء كلها</w:t>
      </w:r>
      <w:r>
        <w:rPr>
          <w:rFonts w:hint="cs"/>
          <w:rtl/>
        </w:rPr>
        <w:t>}،</w:t>
      </w:r>
      <w:r w:rsidR="009C32A0">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Fonts w:hint="cs"/>
          <w:rtl/>
        </w:rPr>
        <w:t>،</w:t>
      </w:r>
      <w:r w:rsidR="009C32A0">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Pr>
          <w:rFonts w:hint="cs"/>
          <w:rtl/>
        </w:rPr>
        <w:t>،</w:t>
      </w:r>
      <w:r w:rsidR="009C32A0">
        <w:rPr>
          <w:rFonts w:hint="cs"/>
          <w:rtl/>
        </w:rPr>
        <w:t xml:space="preserve"> على أن من مسالك علماء </w:t>
      </w:r>
      <w:r w:rsidR="009C32A0">
        <w:rPr>
          <w:rFonts w:hint="cs"/>
          <w:rtl/>
        </w:rPr>
        <w:lastRenderedPageBreak/>
        <w:t>أهل السنّة والجماعة الإيمان بصفة اليد على مراد الله تعالى ورسوله</w:t>
      </w:r>
      <w:r>
        <w:rPr>
          <w:rFonts w:hint="cs"/>
          <w:rtl/>
        </w:rPr>
        <w:t>،</w:t>
      </w:r>
      <w:r w:rsidR="009C32A0">
        <w:rPr>
          <w:rFonts w:hint="cs"/>
          <w:rtl/>
        </w:rPr>
        <w:t xml:space="preserve"> ليست على هيئة الجارحة</w:t>
      </w:r>
      <w:r>
        <w:rPr>
          <w:rFonts w:hint="cs"/>
          <w:rtl/>
        </w:rPr>
        <w:t>،</w:t>
      </w:r>
      <w:r w:rsidR="009C32A0">
        <w:rPr>
          <w:rFonts w:hint="cs"/>
          <w:rtl/>
        </w:rPr>
        <w:t xml:space="preserve"> وهذا المسلك مقبول ضمناً</w:t>
      </w:r>
      <w:r>
        <w:rPr>
          <w:rFonts w:hint="cs"/>
          <w:rtl/>
        </w:rPr>
        <w:t>،</w:t>
      </w:r>
      <w:r w:rsidR="009C32A0">
        <w:rPr>
          <w:rFonts w:hint="cs"/>
          <w:rtl/>
        </w:rPr>
        <w:t xml:space="preserve"> وقد استقر قول أكثر الأصوليين المتخصصين في العقيدة على منهاج أهل السنّة والجماعة على تفسير الآيات بما سيقت لأجله من إثبات معنى معين مع التنزيه وعدم التعرض لإثبات صفات إضافية لا تفيد التعظيم ولا التنزيه</w:t>
      </w:r>
      <w:r>
        <w:rPr>
          <w:rFonts w:hint="cs"/>
          <w:rtl/>
        </w:rPr>
        <w:t>،</w:t>
      </w:r>
      <w:r w:rsidR="009C32A0">
        <w:rPr>
          <w:rFonts w:hint="cs"/>
          <w:rtl/>
        </w:rPr>
        <w:t xml:space="preserve"> بل قد تدخل إلى التمثيل والتجسيم</w:t>
      </w:r>
      <w:r>
        <w:rPr>
          <w:rFonts w:hint="cs"/>
          <w:rtl/>
        </w:rPr>
        <w:t>،</w:t>
      </w:r>
      <w:r w:rsidR="009C32A0">
        <w:rPr>
          <w:rFonts w:hint="cs"/>
          <w:rtl/>
        </w:rPr>
        <w:t xml:space="preserve"> قال تعالى </w:t>
      </w:r>
      <w:r>
        <w:rPr>
          <w:rFonts w:hint="cs"/>
          <w:rtl/>
        </w:rPr>
        <w:t>{</w:t>
      </w:r>
      <w:r w:rsidR="009C32A0">
        <w:rPr>
          <w:rFonts w:hint="cs"/>
          <w:rtl/>
        </w:rPr>
        <w:t>لعلمه الذين يستنبطونه منهم</w:t>
      </w:r>
      <w:r>
        <w:rPr>
          <w:rFonts w:hint="cs"/>
          <w:rtl/>
        </w:rPr>
        <w:t xml:space="preserve">}، </w:t>
      </w:r>
      <w:r w:rsidR="009C32A0">
        <w:rPr>
          <w:rFonts w:hint="cs"/>
          <w:rtl/>
        </w:rPr>
        <w:t xml:space="preserve">وعدم التعرض للمعنى الحقيقي المراد من الآيات المتشابهات لأنه </w:t>
      </w:r>
      <w:r>
        <w:rPr>
          <w:rFonts w:hint="cs"/>
          <w:rtl/>
        </w:rPr>
        <w:t>{</w:t>
      </w:r>
      <w:r w:rsidR="009C32A0">
        <w:rPr>
          <w:rFonts w:hint="cs"/>
          <w:rtl/>
        </w:rPr>
        <w:t>وما يعلم تأويله إلا الله</w:t>
      </w:r>
      <w:r>
        <w:rPr>
          <w:rFonts w:hint="cs"/>
          <w:rtl/>
        </w:rPr>
        <w:t>}</w:t>
      </w:r>
      <w:r w:rsidR="009C32A0">
        <w:rPr>
          <w:rFonts w:hint="cs"/>
          <w:rtl/>
        </w:rPr>
        <w:t xml:space="preserve"> </w:t>
      </w:r>
      <w:r>
        <w:rPr>
          <w:rFonts w:hint="cs"/>
          <w:rtl/>
        </w:rPr>
        <w:t>{</w:t>
      </w:r>
      <w:r w:rsidR="009C32A0">
        <w:rPr>
          <w:rFonts w:hint="cs"/>
          <w:rtl/>
        </w:rPr>
        <w:t>والراسخون في العلم يقولون آمنا به كل من عند ربنا</w:t>
      </w:r>
      <w:r>
        <w:rPr>
          <w:rFonts w:hint="cs"/>
          <w:rtl/>
        </w:rPr>
        <w:t>}،</w:t>
      </w:r>
      <w:r w:rsidR="009C32A0">
        <w:rPr>
          <w:rFonts w:hint="cs"/>
          <w:rtl/>
        </w:rPr>
        <w:t xml:space="preserve"> فالمتشابه كاليد والوجه ونحو ذلك فظاهره المستعمل في اللغة (</w:t>
      </w:r>
      <w:r>
        <w:rPr>
          <w:rFonts w:hint="cs"/>
          <w:rtl/>
        </w:rPr>
        <w:t>(</w:t>
      </w:r>
      <w:r w:rsidR="009C32A0">
        <w:rPr>
          <w:rFonts w:hint="cs"/>
          <w:rtl/>
        </w:rPr>
        <w:t>الجارحة</w:t>
      </w:r>
      <w:r>
        <w:rPr>
          <w:rFonts w:hint="cs"/>
          <w:rtl/>
        </w:rPr>
        <w:t>)</w:t>
      </w:r>
      <w:r w:rsidR="009C32A0">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w:t>
      </w:r>
      <w:r w:rsidR="009C32A0">
        <w:rPr>
          <w:rFonts w:hint="cs"/>
          <w:rtl/>
        </w:rPr>
        <w:t xml:space="preserve"> والمتمثل في الجارحة والجزء والبعض</w:t>
      </w:r>
      <w:r>
        <w:rPr>
          <w:rFonts w:hint="cs"/>
          <w:rtl/>
        </w:rPr>
        <w:t>،</w:t>
      </w:r>
      <w:r w:rsidR="009C32A0">
        <w:rPr>
          <w:rFonts w:hint="cs"/>
          <w:rtl/>
        </w:rPr>
        <w:t xml:space="preserve"> فإنّ الله تعالى أحد صمد لم يلد ولم يولد ولم يكن له كفوا أحد</w:t>
      </w:r>
      <w:r>
        <w:rPr>
          <w:rFonts w:hint="cs"/>
          <w:rtl/>
        </w:rPr>
        <w:t>،</w:t>
      </w:r>
      <w:r w:rsidR="009C32A0">
        <w:rPr>
          <w:rFonts w:hint="cs"/>
          <w:rtl/>
        </w:rPr>
        <w:t xml:space="preserve"> </w:t>
      </w:r>
    </w:p>
    <w:p w14:paraId="38919334" w14:textId="2A12282A" w:rsidR="009C32A0" w:rsidRDefault="000636C2" w:rsidP="000636C2">
      <w:pPr>
        <w:ind w:left="-58"/>
        <w:rPr>
          <w:rtl/>
        </w:rPr>
      </w:pPr>
      <w:r>
        <w:rPr>
          <w:rFonts w:hint="cs"/>
          <w:bCs/>
          <w:rtl/>
        </w:rPr>
        <w:t>[</w:t>
      </w:r>
      <w:r w:rsidR="009C32A0">
        <w:rPr>
          <w:rFonts w:hint="cs"/>
          <w:bCs/>
          <w:rtl/>
        </w:rPr>
        <w:t>9</w:t>
      </w:r>
      <w:r>
        <w:rPr>
          <w:rFonts w:hint="cs"/>
          <w:bCs/>
          <w:rtl/>
        </w:rPr>
        <w:t>]</w:t>
      </w:r>
      <w:r w:rsidR="009C32A0">
        <w:rPr>
          <w:rFonts w:hint="cs"/>
          <w:bCs/>
          <w:rtl/>
        </w:rPr>
        <w:t xml:space="preserve"> ذات الله تعالى يتصف سبحانه بالوجود الحقيقي</w:t>
      </w:r>
      <w:r>
        <w:rPr>
          <w:rFonts w:hint="cs"/>
          <w:bCs/>
          <w:rtl/>
        </w:rPr>
        <w:t>،</w:t>
      </w:r>
      <w:r w:rsidR="009C32A0">
        <w:rPr>
          <w:rFonts w:hint="cs"/>
          <w:rtl/>
        </w:rPr>
        <w:t xml:space="preserve"> إلا أنّ ذاته تعالى لا يشبه ذوات المخلوقين لا من حيث الوجود ولا من حيث الصفات</w:t>
      </w:r>
      <w:r>
        <w:rPr>
          <w:rFonts w:hint="cs"/>
          <w:rtl/>
        </w:rPr>
        <w:t>،</w:t>
      </w:r>
      <w:r w:rsidR="009C32A0">
        <w:rPr>
          <w:rFonts w:hint="cs"/>
          <w:rtl/>
        </w:rPr>
        <w:t xml:space="preserve"> فوجود الله تعالى وجود كامل لم يسبق بعدم ولا يدركه فناء</w:t>
      </w:r>
      <w:r>
        <w:rPr>
          <w:rFonts w:hint="cs"/>
          <w:rtl/>
        </w:rPr>
        <w:t>،</w:t>
      </w:r>
      <w:r w:rsidR="009C32A0">
        <w:rPr>
          <w:rFonts w:hint="cs"/>
          <w:rtl/>
        </w:rPr>
        <w:t xml:space="preserve"> فهو الأول وليس قبله شيء، كما أنه الآخر وليس بعده شيء</w:t>
      </w:r>
      <w:r>
        <w:rPr>
          <w:rFonts w:hint="cs"/>
          <w:rtl/>
        </w:rPr>
        <w:t>،</w:t>
      </w:r>
      <w:r w:rsidR="009C32A0">
        <w:rPr>
          <w:rFonts w:hint="cs"/>
          <w:rtl/>
        </w:rPr>
        <w:t xml:space="preserve"> ولما كان ذات الله تعالى وتقدس بهذا الحال الذي ذكرنا, فإن العقل البشري يستحيل عليه إدراك كنه ذات الله تعالى , لأنه لا يتصور إلا الأشياء التي تدركها حواسه المحددة</w:t>
      </w:r>
      <w:r>
        <w:rPr>
          <w:rFonts w:hint="cs"/>
          <w:rtl/>
        </w:rPr>
        <w:t>،</w:t>
      </w:r>
      <w:r w:rsidR="009C32A0">
        <w:rPr>
          <w:rFonts w:hint="cs"/>
          <w:rtl/>
        </w:rPr>
        <w:t xml:space="preserve"> فذات الله تعالى جلّ عن الإدراك</w:t>
      </w:r>
      <w:r>
        <w:rPr>
          <w:rFonts w:hint="cs"/>
          <w:rtl/>
        </w:rPr>
        <w:t>،</w:t>
      </w:r>
      <w:r w:rsidR="009C32A0">
        <w:rPr>
          <w:rFonts w:hint="cs"/>
          <w:rtl/>
        </w:rPr>
        <w:t xml:space="preserve"> وعظم سبحانه عن أن تتوهمه الظنون أو تتصوره الأفكار</w:t>
      </w:r>
      <w:r>
        <w:rPr>
          <w:rFonts w:hint="cs"/>
          <w:rtl/>
        </w:rPr>
        <w:t>،</w:t>
      </w:r>
      <w:r w:rsidR="009C32A0">
        <w:rPr>
          <w:rFonts w:hint="cs"/>
          <w:rtl/>
        </w:rPr>
        <w:t xml:space="preserve"> كما أنّ الذات لا يسري عليه - تقدس وتعالى - أي من قوانين الطاقة والمادة والأجسام</w:t>
      </w:r>
      <w:r>
        <w:rPr>
          <w:rFonts w:hint="cs"/>
          <w:rtl/>
        </w:rPr>
        <w:t>،</w:t>
      </w:r>
      <w:r w:rsidR="009C32A0">
        <w:rPr>
          <w:rFonts w:hint="cs"/>
          <w:rtl/>
        </w:rPr>
        <w:t xml:space="preserve"> كيف وهو خالق تلك القوانين</w:t>
      </w:r>
      <w:r>
        <w:rPr>
          <w:rFonts w:hint="cs"/>
          <w:rtl/>
        </w:rPr>
        <w:t>،</w:t>
      </w:r>
      <w:r w:rsidR="009C32A0">
        <w:rPr>
          <w:rFonts w:hint="cs"/>
          <w:rtl/>
        </w:rPr>
        <w:t xml:space="preserve"> لأنّ المادة والجسم والطاقة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Pr>
          <w:rFonts w:hint="cs"/>
          <w:rtl/>
        </w:rPr>
        <w:t>،</w:t>
      </w:r>
      <w:r w:rsidR="009C32A0">
        <w:rPr>
          <w:rFonts w:hint="cs"/>
          <w:rtl/>
        </w:rPr>
        <w:t xml:space="preserve"> وأنّ الذي خلق المادة والجسم والطاقة هو الله تعالى وهو الذي قهرها بتلك القوانين</w:t>
      </w:r>
      <w:r>
        <w:rPr>
          <w:rFonts w:hint="cs"/>
          <w:rtl/>
        </w:rPr>
        <w:t>،</w:t>
      </w:r>
      <w:r w:rsidR="009C32A0">
        <w:rPr>
          <w:rFonts w:hint="cs"/>
          <w:rtl/>
        </w:rPr>
        <w:t xml:space="preserve"> ولكنّه هو القاهر فوق خلقه وفوق عباده وفوق كل شيء</w:t>
      </w:r>
      <w:r>
        <w:rPr>
          <w:rFonts w:hint="cs"/>
          <w:rtl/>
        </w:rPr>
        <w:t xml:space="preserve">، </w:t>
      </w:r>
      <w:r w:rsidR="009C32A0">
        <w:rPr>
          <w:rFonts w:hint="cs"/>
          <w:rtl/>
        </w:rPr>
        <w:t>فلا يحده حد ولا يقدره مقدار</w:t>
      </w:r>
      <w:r>
        <w:rPr>
          <w:rFonts w:hint="cs"/>
          <w:rtl/>
        </w:rPr>
        <w:t>،</w:t>
      </w:r>
      <w:r w:rsidR="009C32A0">
        <w:rPr>
          <w:rFonts w:hint="cs"/>
          <w:rtl/>
        </w:rPr>
        <w:t xml:space="preserve"> ولا يقهره مكان يحيط به</w:t>
      </w:r>
      <w:r>
        <w:rPr>
          <w:rFonts w:hint="cs"/>
          <w:rtl/>
        </w:rPr>
        <w:t>،</w:t>
      </w:r>
      <w:r w:rsidR="009C32A0">
        <w:rPr>
          <w:rFonts w:hint="cs"/>
          <w:rtl/>
        </w:rPr>
        <w:t xml:space="preserve"> ولا يقهره زمان يجري عليه</w:t>
      </w:r>
      <w:r>
        <w:rPr>
          <w:rFonts w:hint="cs"/>
          <w:rtl/>
        </w:rPr>
        <w:t>،</w:t>
      </w:r>
      <w:r w:rsidR="009C32A0">
        <w:rPr>
          <w:rFonts w:hint="cs"/>
          <w:rtl/>
        </w:rPr>
        <w:t xml:space="preserve"> ولا يجوز عليه ظهور وأفول</w:t>
      </w:r>
      <w:r>
        <w:rPr>
          <w:rFonts w:hint="cs"/>
          <w:rtl/>
        </w:rPr>
        <w:t>،</w:t>
      </w:r>
      <w:r w:rsidR="009C32A0">
        <w:rPr>
          <w:rFonts w:hint="cs"/>
          <w:rtl/>
        </w:rPr>
        <w:t xml:space="preserve"> ولا تغير وحدوث</w:t>
      </w:r>
      <w:r>
        <w:rPr>
          <w:rFonts w:hint="cs"/>
          <w:rtl/>
        </w:rPr>
        <w:t>،</w:t>
      </w:r>
      <w:r w:rsidR="009C32A0">
        <w:rPr>
          <w:rFonts w:hint="cs"/>
          <w:rtl/>
        </w:rPr>
        <w:t xml:space="preserve"> ولا يخضع لقوانين الحركة والسكون</w:t>
      </w:r>
      <w:r>
        <w:rPr>
          <w:rFonts w:hint="cs"/>
          <w:rtl/>
        </w:rPr>
        <w:t>،</w:t>
      </w:r>
      <w:r w:rsidR="009C32A0">
        <w:rPr>
          <w:rFonts w:hint="cs"/>
          <w:rtl/>
        </w:rPr>
        <w:t xml:space="preserve"> ولا تسري عليه مفاهيم الألوان والأشكال</w:t>
      </w:r>
      <w:r>
        <w:rPr>
          <w:rFonts w:hint="cs"/>
          <w:rtl/>
        </w:rPr>
        <w:t>،</w:t>
      </w:r>
      <w:r w:rsidR="009C32A0">
        <w:rPr>
          <w:rFonts w:hint="cs"/>
          <w:rtl/>
        </w:rPr>
        <w:t xml:space="preserve"> ولا الصور والأشكال</w:t>
      </w:r>
      <w:r>
        <w:rPr>
          <w:rFonts w:hint="cs"/>
          <w:rtl/>
        </w:rPr>
        <w:t>،</w:t>
      </w:r>
      <w:r w:rsidR="009C32A0">
        <w:rPr>
          <w:rFonts w:hint="cs"/>
          <w:rtl/>
        </w:rPr>
        <w:t xml:space="preserve"> لأنّه ليس كمثله شيء</w:t>
      </w:r>
      <w:r>
        <w:rPr>
          <w:rFonts w:hint="cs"/>
          <w:rtl/>
        </w:rPr>
        <w:t>،</w:t>
      </w:r>
      <w:r w:rsidR="009C32A0">
        <w:rPr>
          <w:rFonts w:hint="cs"/>
          <w:rtl/>
        </w:rPr>
        <w:t xml:space="preserve"> وكل ما خطر بالبال فالله خلافه</w:t>
      </w:r>
      <w:r>
        <w:rPr>
          <w:rFonts w:hint="cs"/>
          <w:rtl/>
        </w:rPr>
        <w:t>،</w:t>
      </w:r>
    </w:p>
    <w:p w14:paraId="43C91399" w14:textId="43E9BEEE" w:rsidR="009C32A0" w:rsidRDefault="000636C2" w:rsidP="000636C2">
      <w:pPr>
        <w:spacing w:before="240" w:after="240"/>
        <w:ind w:left="-58"/>
        <w:rPr>
          <w:b/>
          <w:lang w:bidi="ar-KW"/>
        </w:rPr>
      </w:pPr>
      <w:r>
        <w:rPr>
          <w:rFonts w:hint="cs"/>
          <w:bCs/>
          <w:rtl/>
        </w:rPr>
        <w:t>[</w:t>
      </w:r>
      <w:r w:rsidR="009C32A0">
        <w:rPr>
          <w:rFonts w:hint="cs"/>
          <w:bCs/>
          <w:rtl/>
        </w:rPr>
        <w:t>10</w:t>
      </w:r>
      <w:r>
        <w:rPr>
          <w:rFonts w:hint="cs"/>
          <w:bCs/>
          <w:rtl/>
        </w:rPr>
        <w:t>]</w:t>
      </w:r>
      <w:r w:rsidR="009C32A0">
        <w:rPr>
          <w:rFonts w:hint="cs"/>
          <w:bCs/>
          <w:rtl/>
        </w:rPr>
        <w:t xml:space="preserve"> جهود السادة الأشاعرة والماتريدية في بيان قواعد التوحيد والتقديس والتنزيه المستمدة من الكتاب والسنّة</w:t>
      </w:r>
      <w:r>
        <w:rPr>
          <w:rFonts w:hint="cs"/>
          <w:bCs/>
          <w:rtl/>
        </w:rPr>
        <w:t>،</w:t>
      </w:r>
      <w:r w:rsidR="009C32A0">
        <w:rPr>
          <w:rFonts w:hint="cs"/>
          <w:bCs/>
          <w:rtl/>
        </w:rPr>
        <w:t xml:space="preserve"> والتي هي عصمة المسلم من التمثيل والتشبيه والتكييف</w:t>
      </w:r>
      <w:r>
        <w:rPr>
          <w:rFonts w:hint="cs"/>
          <w:bCs/>
          <w:rtl/>
        </w:rPr>
        <w:t>:</w:t>
      </w:r>
      <w:r w:rsidR="009C32A0">
        <w:rPr>
          <w:rFonts w:hint="cs"/>
          <w:bCs/>
          <w:rtl/>
        </w:rPr>
        <w:t xml:space="preserve"> </w:t>
      </w:r>
      <w:r w:rsidR="009C32A0">
        <w:rPr>
          <w:rFonts w:hint="cs"/>
          <w:rtl/>
        </w:rPr>
        <w:t xml:space="preserve">جعل الأشاعرة والماتريدية </w:t>
      </w:r>
      <w:r w:rsidR="009C32A0">
        <w:rPr>
          <w:rFonts w:hint="cs"/>
          <w:rtl/>
        </w:rPr>
        <w:lastRenderedPageBreak/>
        <w:t>الطريق إلى معرفة الله تعالى العلم الواسع بأسماء الله تعالى الحسنى وصفاته العلا لأنه العلم الراسخ نحو المعرفة بالله ومن ثم توحيده</w:t>
      </w:r>
      <w:r>
        <w:rPr>
          <w:rFonts w:hint="cs"/>
          <w:rtl/>
        </w:rPr>
        <w:t>،</w:t>
      </w:r>
      <w:r w:rsidR="009C32A0">
        <w:rPr>
          <w:rFonts w:hint="cs"/>
          <w:rtl/>
        </w:rPr>
        <w:t xml:space="preserve"> وجعلوا الحاجز الذي يمنع من التشبيه والتجسيم والتمثيل</w:t>
      </w:r>
      <w:r>
        <w:rPr>
          <w:rFonts w:hint="cs"/>
          <w:rtl/>
        </w:rPr>
        <w:t>،</w:t>
      </w:r>
      <w:r w:rsidR="009C32A0">
        <w:rPr>
          <w:rFonts w:hint="cs"/>
          <w:rtl/>
        </w:rPr>
        <w:t xml:space="preserve"> ومن ثم يؤدي إلى التقديس والتنزيه هو معرفة ما يستحيل في حق الله تعالى لأنّه في حقيقة أمره نقص ولكن لا يدرك ذلك إلا المتخصصون</w:t>
      </w:r>
      <w:r>
        <w:rPr>
          <w:rFonts w:hint="cs"/>
          <w:rtl/>
        </w:rPr>
        <w:t>،</w:t>
      </w:r>
      <w:r w:rsidR="009C32A0">
        <w:rPr>
          <w:rFonts w:hint="cs"/>
          <w:rtl/>
        </w:rPr>
        <w:t xml:space="preserve"> وهذا المستحيل وصف الله تعالى به هو ما يُعرف بقواعد التقديس المتعلقة بالذات والتي تمنع من التمثيل والتشبيه</w:t>
      </w:r>
      <w:r>
        <w:rPr>
          <w:rFonts w:hint="cs"/>
          <w:rtl/>
        </w:rPr>
        <w:t>،</w:t>
      </w:r>
      <w:r w:rsidR="009C32A0">
        <w:rPr>
          <w:rFonts w:hint="cs"/>
          <w:rtl/>
        </w:rPr>
        <w:t xml:space="preserve"> </w:t>
      </w:r>
      <w:r w:rsidR="009C32A0">
        <w:rPr>
          <w:rFonts w:eastAsiaTheme="minorEastAsia" w:hint="cs"/>
          <w:rtl/>
        </w:rPr>
        <w:t>وقد استخرجتها من كتبهم وأقوالهم حتى صارت علما بالتقديس والتنزيه لا يصح الكلام فيما يتعلق بذات الله سبحانه إلا بعد الإلمام به</w:t>
      </w:r>
      <w:r>
        <w:rPr>
          <w:rFonts w:eastAsiaTheme="minorEastAsia" w:hint="cs"/>
          <w:rtl/>
        </w:rPr>
        <w:t>،</w:t>
      </w:r>
      <w:r w:rsidR="009C32A0">
        <w:rPr>
          <w:rFonts w:eastAsiaTheme="minorEastAsia" w:hint="cs"/>
          <w:rtl/>
        </w:rPr>
        <w:t xml:space="preserve"> وإلاّ صار الحديث أقرب إلى الحشو منه إلى التقديس</w:t>
      </w:r>
      <w:r>
        <w:rPr>
          <w:rFonts w:eastAsiaTheme="minorEastAsia" w:hint="cs"/>
          <w:rtl/>
        </w:rPr>
        <w:t>،</w:t>
      </w:r>
      <w:r w:rsidR="009C32A0">
        <w:rPr>
          <w:rFonts w:eastAsiaTheme="minorEastAsia" w:hint="cs"/>
          <w:rtl/>
        </w:rPr>
        <w:t xml:space="preserve"> وهكذا المتخصصون</w:t>
      </w:r>
      <w:r>
        <w:rPr>
          <w:rFonts w:eastAsiaTheme="minorEastAsia" w:hint="cs"/>
          <w:rtl/>
        </w:rPr>
        <w:t>،</w:t>
      </w:r>
      <w:r w:rsidR="009C32A0">
        <w:rPr>
          <w:rFonts w:eastAsiaTheme="minorEastAsia" w:hint="cs"/>
          <w:rtl/>
        </w:rPr>
        <w:t xml:space="preserve"> فلم يجيزوا على مر التاريخ لأحد أن يتكلم فيما يخص الذات إلا بعد معرفة ما يجب وما يجوز وما يستحيل اضافته إلى الله لأنّه نقص تنزه القدوس عنه سبحانه</w:t>
      </w:r>
      <w:r>
        <w:rPr>
          <w:rFonts w:eastAsiaTheme="minorEastAsia" w:hint="cs"/>
          <w:rtl/>
        </w:rPr>
        <w:t>،</w:t>
      </w:r>
      <w:r w:rsidR="009C32A0">
        <w:rPr>
          <w:rFonts w:eastAsiaTheme="minorEastAsia" w:hint="cs"/>
          <w:rtl/>
        </w:rPr>
        <w:t xml:space="preserve"> </w:t>
      </w:r>
      <w:r w:rsidR="009C32A0">
        <w:rPr>
          <w:rFonts w:hint="cs"/>
          <w:bCs/>
          <w:rtl/>
        </w:rPr>
        <w:t>ومن آثار تلك القواعد الربانية</w:t>
      </w:r>
      <w:r w:rsidR="009C32A0">
        <w:rPr>
          <w:rFonts w:hint="cs"/>
          <w:rtl/>
        </w:rPr>
        <w:t xml:space="preserve"> التي دل عليها الكتاب والسنة والعقل الصحيح</w:t>
      </w:r>
      <w:r>
        <w:rPr>
          <w:rFonts w:hint="cs"/>
          <w:rtl/>
        </w:rPr>
        <w:t>،</w:t>
      </w:r>
      <w:r w:rsidR="009C32A0">
        <w:rPr>
          <w:rFonts w:hint="cs"/>
          <w:rtl/>
        </w:rPr>
        <w:t xml:space="preserve"> أنّها تمنع من تشبيه الله تعالى في ذاته أو صفاته أو أفعاله بأحد من خلقه</w:t>
      </w:r>
      <w:r>
        <w:rPr>
          <w:rFonts w:hint="cs"/>
          <w:rtl/>
        </w:rPr>
        <w:t>،</w:t>
      </w:r>
      <w:r w:rsidR="009C32A0">
        <w:rPr>
          <w:rFonts w:hint="cs"/>
          <w:rtl/>
        </w:rPr>
        <w:t xml:space="preserve"> بل ترسخ التقديس والتنزيه والتسبيح في عقل المسلم ووجدانه</w:t>
      </w:r>
      <w:r>
        <w:rPr>
          <w:rFonts w:hint="cs"/>
          <w:rtl/>
        </w:rPr>
        <w:t>،</w:t>
      </w:r>
      <w:r w:rsidR="009C32A0">
        <w:rPr>
          <w:rFonts w:hint="cs"/>
          <w:rtl/>
        </w:rPr>
        <w:t xml:space="preserve"> وتمنعه من أي تمثيل لله تعالى بشيء من خلقه لأنّه ليس كمثله شيء</w:t>
      </w:r>
      <w:r>
        <w:rPr>
          <w:rFonts w:hint="cs"/>
          <w:rtl/>
        </w:rPr>
        <w:t>،</w:t>
      </w:r>
      <w:r w:rsidR="009C32A0">
        <w:rPr>
          <w:rFonts w:hint="cs"/>
          <w:rtl/>
        </w:rPr>
        <w:t xml:space="preserve"> تعالى عن الند والشبيه والمثيل والكفء والشريك والمعين والوزير والصاحبة والولد</w:t>
      </w:r>
      <w:r>
        <w:rPr>
          <w:rFonts w:hint="cs"/>
          <w:rtl/>
        </w:rPr>
        <w:t>،</w:t>
      </w:r>
      <w:r w:rsidR="009C32A0">
        <w:rPr>
          <w:rFonts w:hint="cs"/>
          <w:rtl/>
        </w:rPr>
        <w:t xml:space="preserve"> ومن أهم فوائد تلك القواعد التي تقدس لله وتنزه له</w:t>
      </w:r>
      <w:r>
        <w:rPr>
          <w:rFonts w:hint="cs"/>
          <w:rtl/>
        </w:rPr>
        <w:t>،</w:t>
      </w:r>
      <w:r w:rsidR="009C32A0">
        <w:rPr>
          <w:rFonts w:hint="cs"/>
          <w:rtl/>
        </w:rPr>
        <w:t xml:space="preserve"> </w:t>
      </w:r>
      <w:r w:rsidR="009C32A0">
        <w:rPr>
          <w:rFonts w:hint="cs"/>
          <w:bCs/>
          <w:rtl/>
        </w:rPr>
        <w:t>أنها</w:t>
      </w:r>
      <w:r w:rsidR="009C32A0">
        <w:rPr>
          <w:rFonts w:hint="cs"/>
          <w:rtl/>
        </w:rPr>
        <w:t xml:space="preserve"> تقطع الطمع تماماً في إدراك ذات الله </w:t>
      </w:r>
      <w:r>
        <w:rPr>
          <w:rFonts w:hint="cs"/>
          <w:rtl/>
        </w:rPr>
        <w:t>{</w:t>
      </w:r>
      <w:r w:rsidR="009C32A0">
        <w:rPr>
          <w:rFonts w:hint="cs"/>
          <w:rtl/>
        </w:rPr>
        <w:t>لا تدركه الأبصار وهو يدرك الأبصار</w:t>
      </w:r>
      <w:r>
        <w:rPr>
          <w:rFonts w:hint="cs"/>
          <w:rtl/>
        </w:rPr>
        <w:t>}،</w:t>
      </w:r>
      <w:r w:rsidR="009C32A0">
        <w:rPr>
          <w:rFonts w:hint="cs"/>
          <w:rtl/>
        </w:rPr>
        <w:t xml:space="preserve"> </w:t>
      </w:r>
      <w:r>
        <w:rPr>
          <w:rFonts w:hint="cs"/>
          <w:rtl/>
        </w:rPr>
        <w:t>{</w:t>
      </w:r>
      <w:r w:rsidR="009C32A0">
        <w:rPr>
          <w:rFonts w:hint="cs"/>
          <w:rtl/>
        </w:rPr>
        <w:t>ولا يحيطون به علما</w:t>
      </w:r>
      <w:r>
        <w:rPr>
          <w:rFonts w:hint="cs"/>
          <w:rtl/>
        </w:rPr>
        <w:t>}،</w:t>
      </w:r>
      <w:r w:rsidR="009C32A0">
        <w:rPr>
          <w:rFonts w:hint="cs"/>
          <w:rtl/>
        </w:rPr>
        <w:t xml:space="preserve"> </w:t>
      </w:r>
      <w:r w:rsidR="009C32A0">
        <w:rPr>
          <w:rFonts w:hint="cs"/>
          <w:bCs/>
          <w:rtl/>
        </w:rPr>
        <w:t>وأنها</w:t>
      </w:r>
      <w:r w:rsidR="009C32A0">
        <w:rPr>
          <w:rFonts w:hint="cs"/>
          <w:rtl/>
        </w:rPr>
        <w:t xml:space="preserve"> تصفي الذهن تماماً من شوائب التجسيم والتشبيه</w:t>
      </w:r>
      <w:r>
        <w:rPr>
          <w:rFonts w:hint="cs"/>
          <w:rtl/>
        </w:rPr>
        <w:t>،</w:t>
      </w:r>
      <w:r w:rsidR="009C32A0">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9C32A0">
        <w:rPr>
          <w:rFonts w:hint="cs"/>
          <w:rtl/>
        </w:rPr>
        <w:t>وَنَحْنُ نُسَبِّحُ بِحَمْدِكَ وَنُقَدِّسُ لَكَ</w:t>
      </w:r>
      <w:r>
        <w:rPr>
          <w:rFonts w:hint="cs"/>
          <w:rtl/>
        </w:rPr>
        <w:t>}</w:t>
      </w:r>
      <w:r w:rsidR="009C32A0">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9C32A0">
        <w:rPr>
          <w:rFonts w:hint="cs"/>
          <w:rtl/>
        </w:rPr>
        <w:t>من عالم البشر في حق الله تعالى كما في قوله تعالى</w:t>
      </w:r>
      <w:r>
        <w:rPr>
          <w:rFonts w:hint="cs"/>
          <w:rtl/>
        </w:rPr>
        <w:t>:</w:t>
      </w:r>
      <w:r w:rsidR="009C32A0">
        <w:rPr>
          <w:rFonts w:hint="cs"/>
          <w:rtl/>
        </w:rPr>
        <w:t xml:space="preserve"> </w:t>
      </w:r>
      <w:r>
        <w:rPr>
          <w:rFonts w:hint="cs"/>
          <w:rtl/>
        </w:rPr>
        <w:t>{</w:t>
      </w:r>
      <w:r w:rsidR="009C32A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9C32A0">
        <w:rPr>
          <w:rFonts w:hint="cs"/>
          <w:rtl/>
        </w:rPr>
        <w:t xml:space="preserve"> </w:t>
      </w:r>
      <w:r>
        <w:rPr>
          <w:rFonts w:hint="cs"/>
          <w:rtl/>
        </w:rPr>
        <w:t>[</w:t>
      </w:r>
      <w:r w:rsidR="009C32A0">
        <w:rPr>
          <w:rFonts w:hint="cs"/>
          <w:rtl/>
        </w:rPr>
        <w:t>مريم</w:t>
      </w:r>
      <w:r>
        <w:rPr>
          <w:rFonts w:hint="cs"/>
          <w:rtl/>
        </w:rPr>
        <w:t>:</w:t>
      </w:r>
      <w:r w:rsidR="009C32A0">
        <w:rPr>
          <w:rFonts w:hint="cs"/>
          <w:rtl/>
        </w:rPr>
        <w:t xml:space="preserve"> 89 إلى 93</w:t>
      </w:r>
      <w:r>
        <w:rPr>
          <w:rFonts w:hint="cs"/>
          <w:rtl/>
        </w:rPr>
        <w:t>]،</w:t>
      </w:r>
      <w:r w:rsidR="009C32A0">
        <w:rPr>
          <w:rFonts w:hint="cs"/>
          <w:rtl/>
        </w:rPr>
        <w:t xml:space="preserve"> </w:t>
      </w:r>
      <w:r w:rsidR="009C32A0">
        <w:rPr>
          <w:rFonts w:hint="cs"/>
          <w:bCs/>
          <w:rtl/>
        </w:rPr>
        <w:t xml:space="preserve">وقواعد التوحيد والتقديس والتنزيه هي مبادئ </w:t>
      </w:r>
      <w:r w:rsidR="009C32A0">
        <w:rPr>
          <w:rFonts w:hint="cs"/>
          <w:rtl/>
        </w:rPr>
        <w:t>الفقه في العقيدة</w:t>
      </w:r>
      <w:r>
        <w:rPr>
          <w:rFonts w:hint="cs"/>
          <w:rtl/>
        </w:rPr>
        <w:t>،</w:t>
      </w:r>
      <w:r w:rsidR="009C32A0">
        <w:rPr>
          <w:rFonts w:hint="cs"/>
          <w:rtl/>
        </w:rPr>
        <w:t xml:space="preserve"> والفقه في التوحيد والتقديس</w:t>
      </w:r>
      <w:r>
        <w:rPr>
          <w:rFonts w:hint="cs"/>
          <w:rtl/>
        </w:rPr>
        <w:t>،</w:t>
      </w:r>
      <w:r w:rsidR="009C32A0">
        <w:rPr>
          <w:rFonts w:hint="cs"/>
          <w:rtl/>
        </w:rPr>
        <w:t xml:space="preserve"> وهذا هو الفقه الذي لا يصح لمسلم أن يتكلم في علم الإلهيات إلا وهو ملم به</w:t>
      </w:r>
      <w:r>
        <w:rPr>
          <w:rFonts w:hint="cs"/>
          <w:rtl/>
        </w:rPr>
        <w:t>،</w:t>
      </w:r>
      <w:r w:rsidR="009C32A0">
        <w:rPr>
          <w:rFonts w:hint="cs"/>
          <w:rtl/>
        </w:rPr>
        <w:t xml:space="preserve"> </w:t>
      </w:r>
      <w:r w:rsidR="009C32A0">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9C32A0">
        <w:rPr>
          <w:rFonts w:hint="cs"/>
          <w:rtl/>
        </w:rPr>
        <w:t xml:space="preserve"> </w:t>
      </w:r>
      <w:r w:rsidR="009C32A0">
        <w:rPr>
          <w:rFonts w:eastAsia="Times New Roman" w:hint="cs"/>
          <w:bCs/>
          <w:rtl/>
          <w:lang w:eastAsia="ar-SA"/>
        </w:rPr>
        <w:t>ومن قواعد التوحيد والتقديس والتنزيه المتعلقة بذات الله تعالى والتي ركز الأشاعرة والماتريدية على تأصيلها</w:t>
      </w:r>
      <w:r>
        <w:rPr>
          <w:rFonts w:eastAsia="Times New Roman" w:hint="cs"/>
          <w:bCs/>
          <w:rtl/>
          <w:lang w:eastAsia="ar-SA"/>
        </w:rPr>
        <w:t>:</w:t>
      </w:r>
      <w:r w:rsidR="009C32A0">
        <w:rPr>
          <w:rFonts w:eastAsia="Times New Roman" w:hint="cs"/>
          <w:bCs/>
          <w:rtl/>
          <w:lang w:eastAsia="ar-SA"/>
        </w:rPr>
        <w:t xml:space="preserve"> </w:t>
      </w:r>
      <w:r w:rsidR="009C32A0">
        <w:rPr>
          <w:rFonts w:hint="cs"/>
          <w:rtl/>
          <w:lang w:bidi="ar-KW"/>
        </w:rPr>
        <w:t>القاعدة الأولى</w:t>
      </w:r>
      <w:r>
        <w:rPr>
          <w:rFonts w:hint="cs"/>
          <w:rtl/>
          <w:lang w:bidi="ar-KW"/>
        </w:rPr>
        <w:t>:</w:t>
      </w:r>
      <w:r w:rsidR="009C32A0">
        <w:rPr>
          <w:rFonts w:hint="cs"/>
          <w:rtl/>
          <w:lang w:bidi="ar-KW"/>
        </w:rPr>
        <w:t xml:space="preserve"> تنزيه ذات الله تعالى عن الحد والمقدار الذي تتصف به ذات المخلوق</w:t>
      </w:r>
      <w:r>
        <w:rPr>
          <w:rFonts w:hint="cs"/>
          <w:rtl/>
          <w:lang w:bidi="ar-KW"/>
        </w:rPr>
        <w:t>،</w:t>
      </w:r>
      <w:r w:rsidR="009C32A0">
        <w:rPr>
          <w:rFonts w:hint="cs"/>
          <w:rtl/>
          <w:lang w:bidi="ar-KW"/>
        </w:rPr>
        <w:t xml:space="preserve"> القاعدة الثانية</w:t>
      </w:r>
      <w:r>
        <w:rPr>
          <w:rFonts w:hint="cs"/>
          <w:rtl/>
          <w:lang w:bidi="ar-KW"/>
        </w:rPr>
        <w:t>:</w:t>
      </w:r>
      <w:r w:rsidR="009C32A0">
        <w:rPr>
          <w:rFonts w:hint="cs"/>
          <w:rtl/>
          <w:lang w:bidi="ar-KW"/>
        </w:rPr>
        <w:t xml:space="preserve"> تنزيه ذات الله تعالى عن أن يحيط به مكان أو أن يجري عليه زمان</w:t>
      </w:r>
      <w:r>
        <w:rPr>
          <w:rFonts w:hint="cs"/>
          <w:rtl/>
          <w:lang w:bidi="ar-KW"/>
        </w:rPr>
        <w:t>،</w:t>
      </w:r>
      <w:r w:rsidR="009C32A0">
        <w:rPr>
          <w:rFonts w:hint="cs"/>
          <w:rtl/>
          <w:lang w:bidi="ar-KW"/>
        </w:rPr>
        <w:t xml:space="preserve"> القاعدة الثالثة</w:t>
      </w:r>
      <w:r>
        <w:rPr>
          <w:rFonts w:hint="cs"/>
          <w:rtl/>
          <w:lang w:bidi="ar-KW"/>
        </w:rPr>
        <w:t>:</w:t>
      </w:r>
      <w:r w:rsidR="009C32A0">
        <w:rPr>
          <w:rFonts w:hint="cs"/>
          <w:rtl/>
          <w:lang w:bidi="ar-KW"/>
        </w:rPr>
        <w:t xml:space="preserve"> </w:t>
      </w:r>
      <w:r w:rsidR="009C32A0">
        <w:rPr>
          <w:rFonts w:hint="cs"/>
          <w:rtl/>
          <w:lang w:bidi="ar-KW"/>
        </w:rPr>
        <w:lastRenderedPageBreak/>
        <w:t>تنزيه ذات الله تعالى عن الحدوث أو الفناء</w:t>
      </w:r>
      <w:r>
        <w:rPr>
          <w:rFonts w:hint="cs"/>
          <w:rtl/>
          <w:lang w:bidi="ar-KW"/>
        </w:rPr>
        <w:t>،</w:t>
      </w:r>
      <w:r w:rsidR="009C32A0">
        <w:rPr>
          <w:rFonts w:hint="cs"/>
          <w:rtl/>
          <w:lang w:bidi="ar-KW"/>
        </w:rPr>
        <w:t xml:space="preserve"> القاعدة الرابعة</w:t>
      </w:r>
      <w:r>
        <w:rPr>
          <w:rFonts w:hint="cs"/>
          <w:rtl/>
          <w:lang w:bidi="ar-KW"/>
        </w:rPr>
        <w:t>:</w:t>
      </w:r>
      <w:r w:rsidR="009C32A0">
        <w:rPr>
          <w:rFonts w:hint="cs"/>
          <w:rtl/>
          <w:lang w:bidi="ar-KW"/>
        </w:rPr>
        <w:t xml:space="preserve"> تنزيه ذات الله تعالى عن</w:t>
      </w:r>
      <w:r>
        <w:rPr>
          <w:rFonts w:hint="cs"/>
          <w:rtl/>
          <w:lang w:bidi="ar-KW"/>
        </w:rPr>
        <w:t xml:space="preserve"> </w:t>
      </w:r>
      <w:r w:rsidR="009C32A0">
        <w:rPr>
          <w:rFonts w:hint="cs"/>
          <w:rtl/>
          <w:lang w:bidi="ar-KW"/>
        </w:rPr>
        <w:t>أي مثيل أو كفء أو شبيه</w:t>
      </w:r>
      <w:r>
        <w:rPr>
          <w:rFonts w:hint="cs"/>
          <w:rtl/>
          <w:lang w:bidi="ar-KW"/>
        </w:rPr>
        <w:t>،</w:t>
      </w:r>
      <w:r w:rsidR="009C32A0">
        <w:rPr>
          <w:rFonts w:hint="cs"/>
          <w:rtl/>
          <w:lang w:bidi="ar-KW"/>
        </w:rPr>
        <w:t xml:space="preserve"> القاعدة الخامسة</w:t>
      </w:r>
      <w:r>
        <w:rPr>
          <w:rFonts w:hint="cs"/>
          <w:rtl/>
          <w:lang w:bidi="ar-KW"/>
        </w:rPr>
        <w:t>:</w:t>
      </w:r>
      <w:r w:rsidR="009C32A0">
        <w:rPr>
          <w:rFonts w:hint="cs"/>
          <w:rtl/>
          <w:lang w:bidi="ar-KW"/>
        </w:rPr>
        <w:t xml:space="preserve"> تنزيه ذات الله تعالى عن الجسمية التي تتصف بها ذات المخلوق</w:t>
      </w:r>
      <w:r>
        <w:rPr>
          <w:rFonts w:hint="cs"/>
          <w:rtl/>
          <w:lang w:bidi="ar-KW"/>
        </w:rPr>
        <w:t>،</w:t>
      </w:r>
      <w:r w:rsidR="009C32A0">
        <w:rPr>
          <w:rFonts w:hint="cs"/>
          <w:rtl/>
          <w:lang w:bidi="ar-KW"/>
        </w:rPr>
        <w:t xml:space="preserve"> القاعدة السادسة</w:t>
      </w:r>
      <w:r>
        <w:rPr>
          <w:rFonts w:hint="cs"/>
          <w:rtl/>
          <w:lang w:bidi="ar-KW"/>
        </w:rPr>
        <w:t>:</w:t>
      </w:r>
      <w:r w:rsidR="009C32A0">
        <w:rPr>
          <w:rFonts w:hint="cs"/>
          <w:rtl/>
          <w:lang w:bidi="ar-KW"/>
        </w:rPr>
        <w:t xml:space="preserve"> تنزيه ذات الله تعالى عن الصورة والشكل الذي تتصف به ذات المخلوق</w:t>
      </w:r>
      <w:r>
        <w:rPr>
          <w:rFonts w:hint="cs"/>
          <w:rtl/>
          <w:lang w:bidi="ar-KW"/>
        </w:rPr>
        <w:t>،</w:t>
      </w:r>
      <w:r w:rsidR="009C32A0">
        <w:rPr>
          <w:rFonts w:hint="cs"/>
          <w:rtl/>
          <w:lang w:bidi="ar-KW"/>
        </w:rPr>
        <w:t xml:space="preserve"> القاعدة السابعة</w:t>
      </w:r>
      <w:r>
        <w:rPr>
          <w:rFonts w:hint="cs"/>
          <w:rtl/>
          <w:lang w:bidi="ar-KW"/>
        </w:rPr>
        <w:t>:</w:t>
      </w:r>
      <w:r w:rsidR="009C32A0">
        <w:rPr>
          <w:rFonts w:hint="cs"/>
          <w:rtl/>
          <w:lang w:bidi="ar-KW"/>
        </w:rPr>
        <w:t xml:space="preserve"> تنزيه ذات الله تعالى عن الجوارح والأجزاء والأعضاء التي تتصف به ذات المخلوق</w:t>
      </w:r>
      <w:r>
        <w:rPr>
          <w:rFonts w:hint="cs"/>
          <w:rtl/>
          <w:lang w:bidi="ar-KW"/>
        </w:rPr>
        <w:t>،</w:t>
      </w:r>
      <w:r w:rsidR="009C32A0">
        <w:rPr>
          <w:rFonts w:hint="cs"/>
          <w:rtl/>
          <w:lang w:bidi="ar-KW"/>
        </w:rPr>
        <w:t xml:space="preserve"> القاعدة الثامنة</w:t>
      </w:r>
      <w:r>
        <w:rPr>
          <w:rFonts w:hint="cs"/>
          <w:rtl/>
          <w:lang w:bidi="ar-KW"/>
        </w:rPr>
        <w:t>:</w:t>
      </w:r>
      <w:r w:rsidR="009C32A0">
        <w:rPr>
          <w:rFonts w:hint="cs"/>
          <w:rtl/>
          <w:lang w:bidi="ar-KW"/>
        </w:rPr>
        <w:t xml:space="preserve"> تنزيه ذات الله تعالى عن التغير والحدوث و عن حلول الحوادث بذاته تقدس وتعالى لأنها صفات المخلوق</w:t>
      </w:r>
      <w:r>
        <w:rPr>
          <w:rFonts w:hint="cs"/>
          <w:rtl/>
          <w:lang w:bidi="ar-KW"/>
        </w:rPr>
        <w:t>،</w:t>
      </w:r>
      <w:r w:rsidR="009C32A0">
        <w:rPr>
          <w:rFonts w:hint="cs"/>
          <w:rtl/>
          <w:lang w:bidi="ar-KW"/>
        </w:rPr>
        <w:t xml:space="preserve"> القاعدة التاسعة</w:t>
      </w:r>
      <w:r>
        <w:rPr>
          <w:rFonts w:hint="cs"/>
          <w:rtl/>
          <w:lang w:bidi="ar-KW"/>
        </w:rPr>
        <w:t>:</w:t>
      </w:r>
      <w:r w:rsidR="009C32A0">
        <w:rPr>
          <w:rFonts w:hint="cs"/>
          <w:rtl/>
          <w:lang w:bidi="ar-KW"/>
        </w:rPr>
        <w:t xml:space="preserve"> تنزيه ذات الله تعالى عن الاتحاد والحلول وعن الاتصال والانفصال لأنها صفات المخلوق</w:t>
      </w:r>
      <w:r>
        <w:rPr>
          <w:rFonts w:hint="cs"/>
          <w:rtl/>
          <w:lang w:bidi="ar-KW"/>
        </w:rPr>
        <w:t>،</w:t>
      </w:r>
      <w:r w:rsidR="009C32A0">
        <w:rPr>
          <w:rFonts w:hint="cs"/>
          <w:rtl/>
          <w:lang w:bidi="ar-KW"/>
        </w:rPr>
        <w:t xml:space="preserve"> القاعدة العاشرة</w:t>
      </w:r>
      <w:r>
        <w:rPr>
          <w:rFonts w:hint="cs"/>
          <w:rtl/>
          <w:lang w:bidi="ar-KW"/>
        </w:rPr>
        <w:t>:</w:t>
      </w:r>
      <w:r w:rsidR="009C32A0">
        <w:rPr>
          <w:rFonts w:hint="cs"/>
          <w:rtl/>
          <w:lang w:bidi="ar-KW"/>
        </w:rPr>
        <w:t xml:space="preserve"> تنزيه ذات الله تعالى عن الأعراض والكيفيات الحسية التي تتصف به ذات المخلوق</w:t>
      </w:r>
      <w:r>
        <w:rPr>
          <w:rFonts w:hint="cs"/>
          <w:rtl/>
          <w:lang w:bidi="ar-KW"/>
        </w:rPr>
        <w:t>،</w:t>
      </w:r>
      <w:r w:rsidR="009C32A0">
        <w:rPr>
          <w:rFonts w:hint="cs"/>
          <w:rtl/>
          <w:lang w:bidi="ar-KW"/>
        </w:rPr>
        <w:t xml:space="preserve"> القاعدة الحادية عشرة</w:t>
      </w:r>
      <w:r>
        <w:rPr>
          <w:rFonts w:hint="cs"/>
          <w:rtl/>
          <w:lang w:bidi="ar-KW"/>
        </w:rPr>
        <w:t>:</w:t>
      </w:r>
      <w:r w:rsidR="009C32A0">
        <w:rPr>
          <w:rFonts w:hint="cs"/>
          <w:rtl/>
          <w:lang w:bidi="ar-KW"/>
        </w:rPr>
        <w:t xml:space="preserve"> تنزيه ذات الله تعالى عن النقائص والعيوب التي تتصف به ذات المخلوق</w:t>
      </w:r>
      <w:r>
        <w:rPr>
          <w:rFonts w:hint="cs"/>
          <w:rtl/>
          <w:lang w:bidi="ar-KW"/>
        </w:rPr>
        <w:t>،</w:t>
      </w:r>
      <w:r w:rsidR="009C32A0">
        <w:rPr>
          <w:rFonts w:hint="cs"/>
          <w:rtl/>
          <w:lang w:bidi="ar-KW"/>
        </w:rPr>
        <w:t xml:space="preserve"> القاعدة الثانية عشرة</w:t>
      </w:r>
      <w:r>
        <w:rPr>
          <w:rFonts w:hint="cs"/>
          <w:rtl/>
          <w:lang w:bidi="ar-KW"/>
        </w:rPr>
        <w:t>:</w:t>
      </w:r>
      <w:r w:rsidR="009C32A0">
        <w:rPr>
          <w:rFonts w:hint="cs"/>
          <w:rtl/>
          <w:lang w:bidi="ar-KW"/>
        </w:rPr>
        <w:t xml:space="preserve"> تنزيه ذات الله تعالى عن الوالد والولد والصاحبة</w:t>
      </w:r>
      <w:r>
        <w:rPr>
          <w:rFonts w:hint="cs"/>
          <w:rtl/>
          <w:lang w:bidi="ar-KW"/>
        </w:rPr>
        <w:t>،</w:t>
      </w:r>
      <w:r w:rsidR="009C32A0">
        <w:rPr>
          <w:rFonts w:hint="cs"/>
          <w:rtl/>
          <w:lang w:bidi="ar-KW"/>
        </w:rPr>
        <w:t xml:space="preserve"> القاعدة الثالثة عشرة</w:t>
      </w:r>
      <w:r>
        <w:rPr>
          <w:rFonts w:hint="cs"/>
          <w:rtl/>
          <w:lang w:bidi="ar-KW"/>
        </w:rPr>
        <w:t>:</w:t>
      </w:r>
      <w:r w:rsidR="009C32A0">
        <w:rPr>
          <w:rFonts w:hint="cs"/>
          <w:rtl/>
          <w:lang w:bidi="ar-KW"/>
        </w:rPr>
        <w:t xml:space="preserve"> تنزيه ذات الله تعالى عن الند والشبيه والكفء والمثيل</w:t>
      </w:r>
      <w:r>
        <w:rPr>
          <w:rFonts w:hint="cs"/>
          <w:rtl/>
          <w:lang w:bidi="ar-KW"/>
        </w:rPr>
        <w:t>،</w:t>
      </w:r>
      <w:r w:rsidR="009C32A0">
        <w:rPr>
          <w:rFonts w:hint="cs"/>
          <w:rtl/>
          <w:lang w:bidi="ar-KW"/>
        </w:rPr>
        <w:t xml:space="preserve"> القاعدة الرابعة عشرة</w:t>
      </w:r>
      <w:r>
        <w:rPr>
          <w:rFonts w:hint="cs"/>
          <w:rtl/>
          <w:lang w:bidi="ar-KW"/>
        </w:rPr>
        <w:t>:</w:t>
      </w:r>
      <w:r w:rsidR="009C32A0">
        <w:rPr>
          <w:rFonts w:hint="cs"/>
          <w:rtl/>
          <w:lang w:bidi="ar-KW"/>
        </w:rPr>
        <w:t xml:space="preserve"> تنزيه ذات الله تعالى عن الشريك والوزير والناصر والمعين لكمال غناه وقهره</w:t>
      </w:r>
      <w:r>
        <w:rPr>
          <w:rFonts w:hint="cs"/>
          <w:rtl/>
          <w:lang w:bidi="ar-KW"/>
        </w:rPr>
        <w:t>،</w:t>
      </w:r>
      <w:r w:rsidR="009C32A0">
        <w:rPr>
          <w:rFonts w:hint="cs"/>
          <w:rtl/>
          <w:lang w:bidi="ar-KW"/>
        </w:rPr>
        <w:t xml:space="preserve"> القاعدة الخامسة عشرة</w:t>
      </w:r>
      <w:r>
        <w:rPr>
          <w:rFonts w:hint="cs"/>
          <w:rtl/>
          <w:lang w:bidi="ar-KW"/>
        </w:rPr>
        <w:t>:</w:t>
      </w:r>
      <w:r w:rsidR="009C32A0">
        <w:rPr>
          <w:rFonts w:hint="cs"/>
          <w:rtl/>
          <w:lang w:bidi="ar-KW"/>
        </w:rPr>
        <w:t xml:space="preserve"> رؤية الله تعالى في الآخرة</w:t>
      </w:r>
      <w:r>
        <w:rPr>
          <w:rFonts w:hint="cs"/>
          <w:rtl/>
          <w:lang w:bidi="ar-KW"/>
        </w:rPr>
        <w:t>،</w:t>
      </w:r>
      <w:r w:rsidR="009C32A0">
        <w:rPr>
          <w:rFonts w:hint="cs"/>
          <w:rtl/>
          <w:lang w:bidi="ar-KW"/>
        </w:rPr>
        <w:t xml:space="preserve"> القاعدة السادسة عشرة</w:t>
      </w:r>
      <w:r>
        <w:rPr>
          <w:rFonts w:hint="cs"/>
          <w:rtl/>
          <w:lang w:bidi="ar-KW"/>
        </w:rPr>
        <w:t>:</w:t>
      </w:r>
      <w:r w:rsidR="009C32A0">
        <w:rPr>
          <w:rFonts w:hint="cs"/>
          <w:rtl/>
          <w:lang w:bidi="ar-KW"/>
        </w:rPr>
        <w:t xml:space="preserve"> لماذا يجب تدريس وفهم قواعد التنزيه</w:t>
      </w:r>
      <w:r>
        <w:rPr>
          <w:rFonts w:hint="cs"/>
          <w:rtl/>
          <w:lang w:bidi="ar-KW"/>
        </w:rPr>
        <w:t>،</w:t>
      </w:r>
      <w:r w:rsidR="009C32A0">
        <w:rPr>
          <w:rFonts w:hint="cs"/>
          <w:rtl/>
          <w:lang w:bidi="ar-KW"/>
        </w:rPr>
        <w:t xml:space="preserve"> القاعدة السابعة عشرة</w:t>
      </w:r>
      <w:r>
        <w:rPr>
          <w:rFonts w:hint="cs"/>
          <w:rtl/>
          <w:lang w:bidi="ar-KW"/>
        </w:rPr>
        <w:t>:</w:t>
      </w:r>
      <w:r w:rsidR="009C32A0">
        <w:rPr>
          <w:rFonts w:hint="cs"/>
          <w:rtl/>
          <w:lang w:bidi="ar-KW"/>
        </w:rPr>
        <w:t xml:space="preserve"> ما يجب وما يجوز وما يستحيل على ذات الله تعالى</w:t>
      </w:r>
      <w:r>
        <w:rPr>
          <w:rFonts w:hint="cs"/>
          <w:rtl/>
          <w:lang w:bidi="ar-KW"/>
        </w:rPr>
        <w:t>،</w:t>
      </w:r>
      <w:r w:rsidR="009C32A0">
        <w:rPr>
          <w:rFonts w:hint="cs"/>
          <w:rtl/>
          <w:lang w:bidi="ar-KW"/>
        </w:rPr>
        <w:t xml:space="preserve"> القاعدة الثامنة عشرة</w:t>
      </w:r>
      <w:r>
        <w:rPr>
          <w:rFonts w:hint="cs"/>
          <w:rtl/>
          <w:lang w:bidi="ar-KW"/>
        </w:rPr>
        <w:t>:</w:t>
      </w:r>
      <w:r w:rsidR="009C32A0">
        <w:rPr>
          <w:rFonts w:hint="cs"/>
          <w:rtl/>
          <w:lang w:bidi="ar-KW"/>
        </w:rPr>
        <w:t xml:space="preserve"> رد المتشابهات إلى المحكمات فيما يتعلق بقواعد تنزيه ذات الله عن مماثلة الذوات</w:t>
      </w:r>
      <w:r>
        <w:rPr>
          <w:rFonts w:hint="cs"/>
          <w:rtl/>
          <w:lang w:bidi="ar-KW"/>
        </w:rPr>
        <w:t>،</w:t>
      </w:r>
      <w:r w:rsidR="009C32A0">
        <w:rPr>
          <w:rFonts w:hint="cs"/>
          <w:rtl/>
          <w:lang w:bidi="ar-KW"/>
        </w:rPr>
        <w:t xml:space="preserve"> القاعدة التاسعة عشرة</w:t>
      </w:r>
      <w:r>
        <w:rPr>
          <w:rFonts w:hint="cs"/>
          <w:rtl/>
          <w:lang w:bidi="ar-KW"/>
        </w:rPr>
        <w:t>:</w:t>
      </w:r>
      <w:r w:rsidR="009C32A0">
        <w:rPr>
          <w:rFonts w:hint="cs"/>
          <w:rtl/>
          <w:lang w:bidi="ar-KW"/>
        </w:rPr>
        <w:t xml:space="preserve"> خطأ اعتماد ظواهر النصوص في فهم علم التقديس والتنزيه</w:t>
      </w:r>
      <w:r>
        <w:rPr>
          <w:rFonts w:hint="cs"/>
          <w:rtl/>
          <w:lang w:bidi="ar-KW"/>
        </w:rPr>
        <w:t>،</w:t>
      </w:r>
      <w:r w:rsidR="009C32A0">
        <w:rPr>
          <w:rFonts w:hint="cs"/>
          <w:rtl/>
          <w:lang w:bidi="ar-KW"/>
        </w:rPr>
        <w:t xml:space="preserve"> القاعدة العشرون</w:t>
      </w:r>
      <w:r>
        <w:rPr>
          <w:rFonts w:hint="cs"/>
          <w:rtl/>
          <w:lang w:bidi="ar-KW"/>
        </w:rPr>
        <w:t>:</w:t>
      </w:r>
      <w:r w:rsidR="009C32A0">
        <w:rPr>
          <w:rFonts w:hint="cs"/>
          <w:rtl/>
          <w:lang w:bidi="ar-KW"/>
        </w:rPr>
        <w:t xml:space="preserve"> دراسة بلاغة القرآن فقه عظيم وفتح مبين لعلم التقديس والتنزيه</w:t>
      </w:r>
      <w:r>
        <w:rPr>
          <w:rFonts w:hint="cs"/>
          <w:rtl/>
          <w:lang w:bidi="ar-KW"/>
        </w:rPr>
        <w:t>،</w:t>
      </w:r>
      <w:r w:rsidR="009C32A0">
        <w:rPr>
          <w:rFonts w:hint="cs"/>
          <w:rtl/>
          <w:lang w:bidi="ar-KW"/>
        </w:rPr>
        <w:t xml:space="preserve"> و انظر تفضلاً كتاب التجديد الأول " تجديد علم التقديس " وهو من أجمل ما جمعت وأفضل ما كتبت</w:t>
      </w:r>
      <w:r>
        <w:rPr>
          <w:rFonts w:hint="cs"/>
          <w:rtl/>
          <w:lang w:bidi="ar-KW"/>
        </w:rPr>
        <w:t>،</w:t>
      </w:r>
      <w:r w:rsidR="009C32A0">
        <w:rPr>
          <w:rFonts w:hint="cs"/>
          <w:rtl/>
          <w:lang w:bidi="ar-KW"/>
        </w:rPr>
        <w:t xml:space="preserve"> وفيه - بحمد الله تعالى - بيان وافٍ شافٍ عن تلك القواعد التي تجعلك من علمها الراسخ في عداد المسبحين والمقدسين والموحدين والمنزهين لله تعالى عن كل شبيه أو كفء أو ند أو مثيل ليس كمثله شيء ولم يكن له كفوا أحد</w:t>
      </w:r>
      <w:r>
        <w:rPr>
          <w:rFonts w:hint="cs"/>
          <w:rtl/>
          <w:lang w:bidi="ar-KW"/>
        </w:rPr>
        <w:t>،</w:t>
      </w:r>
      <w:r w:rsidR="009C32A0">
        <w:rPr>
          <w:rFonts w:hint="cs"/>
          <w:rtl/>
          <w:lang w:bidi="ar-KW"/>
        </w:rPr>
        <w:t xml:space="preserve"> </w:t>
      </w:r>
    </w:p>
    <w:p w14:paraId="1401A907" w14:textId="77777777" w:rsidR="009C32A0" w:rsidRDefault="009C32A0" w:rsidP="000636C2">
      <w:pPr>
        <w:ind w:left="-58"/>
        <w:jc w:val="center"/>
        <w:rPr>
          <w:b/>
          <w:bCs/>
          <w:rtl/>
        </w:rPr>
      </w:pPr>
      <w:r>
        <w:rPr>
          <w:rFonts w:hint="cs"/>
          <w:bCs/>
          <w:rtl/>
        </w:rPr>
        <w:t>****</w:t>
      </w:r>
    </w:p>
    <w:p w14:paraId="1EBE4038" w14:textId="69F1E415" w:rsidR="009C32A0" w:rsidRDefault="009C32A0" w:rsidP="000636C2">
      <w:pPr>
        <w:ind w:left="-58"/>
        <w:jc w:val="center"/>
        <w:rPr>
          <w:rFonts w:cs="Monotype Koufi"/>
          <w:b/>
          <w:rtl/>
        </w:rPr>
      </w:pPr>
      <w:r>
        <w:rPr>
          <w:rFonts w:cs="Monotype Koufi" w:hint="cs"/>
          <w:rtl/>
        </w:rPr>
        <w:t xml:space="preserve">فضل الطائفة السنية </w:t>
      </w:r>
      <w:r w:rsidR="000636C2">
        <w:rPr>
          <w:rFonts w:cs="Monotype Koufi" w:hint="cs"/>
          <w:rtl/>
        </w:rPr>
        <w:t>(</w:t>
      </w:r>
      <w:r>
        <w:rPr>
          <w:rFonts w:cs="Monotype Koufi" w:hint="cs"/>
          <w:rtl/>
        </w:rPr>
        <w:t>الأثرية والأشاعرة والماتريدية</w:t>
      </w:r>
      <w:r w:rsidR="000636C2">
        <w:rPr>
          <w:rFonts w:cs="Monotype Koufi" w:hint="cs"/>
          <w:rtl/>
        </w:rPr>
        <w:t>)</w:t>
      </w:r>
      <w:r>
        <w:rPr>
          <w:rFonts w:cs="Monotype Koufi" w:hint="cs"/>
          <w:rtl/>
        </w:rPr>
        <w:t xml:space="preserve"> على مر عصور الإسلام</w:t>
      </w:r>
    </w:p>
    <w:p w14:paraId="03B2738C" w14:textId="06A95565" w:rsidR="009C32A0" w:rsidRDefault="009C32A0" w:rsidP="000636C2">
      <w:pPr>
        <w:ind w:left="-58"/>
        <w:rPr>
          <w:b/>
          <w:rtl/>
          <w:lang w:bidi="ar-KW"/>
        </w:rPr>
      </w:pPr>
      <w:r>
        <w:rPr>
          <w:rFonts w:hint="cs"/>
          <w:rtl/>
        </w:rPr>
        <w:t>الأثرية هم امتداد السلف الصالح</w:t>
      </w:r>
      <w:r w:rsidR="000636C2">
        <w:rPr>
          <w:rFonts w:hint="cs"/>
          <w:rtl/>
        </w:rPr>
        <w:t>،</w:t>
      </w:r>
      <w:r>
        <w:rPr>
          <w:rFonts w:hint="cs"/>
          <w:rtl/>
        </w:rPr>
        <w:t xml:space="preserve"> وهم أتباع الإمام أحمد إمام أهل السنّة في زمانه</w:t>
      </w:r>
      <w:r w:rsidR="000636C2">
        <w:rPr>
          <w:rFonts w:hint="cs"/>
          <w:rtl/>
        </w:rPr>
        <w:t>،</w:t>
      </w:r>
      <w:r>
        <w:rPr>
          <w:rFonts w:hint="cs"/>
          <w:rtl/>
        </w:rPr>
        <w:t xml:space="preserve"> والأشاعرة هم الذين وقفوا في وجه المعتزلة، فزيفوا أقوالهم، وأبطلوا شبههم، وأعادوا الحق إلى نصابه على طريق سلف هذه الأمة ومنهجهم</w:t>
      </w:r>
      <w:r w:rsidR="000636C2">
        <w:rPr>
          <w:rFonts w:hint="cs"/>
          <w:rtl/>
        </w:rPr>
        <w:t>،</w:t>
      </w:r>
      <w:r>
        <w:rPr>
          <w:rFonts w:hint="cs"/>
          <w:rtl/>
        </w:rPr>
        <w:t xml:space="preserve"> والإمام أبو الحسن الأشعري لم يؤسس في الإسلام مذهباً جديداً في العقيدة، يخالف </w:t>
      </w:r>
      <w:r>
        <w:rPr>
          <w:rFonts w:hint="cs"/>
          <w:rtl/>
        </w:rPr>
        <w:lastRenderedPageBreak/>
        <w:t>مذهب سلف هذه الأمة</w:t>
      </w:r>
      <w:r w:rsidR="000636C2">
        <w:rPr>
          <w:rFonts w:hint="cs"/>
          <w:rtl/>
        </w:rPr>
        <w:t>،</w:t>
      </w:r>
      <w:r>
        <w:rPr>
          <w:rFonts w:hint="cs"/>
          <w:rtl/>
        </w:rPr>
        <w:t xml:space="preserve"> وإنما هداه الله تعالى لالتزام مذهب أهل السنة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0636C2">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0636C2">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وابن الأثير، والرافعي، والنووي، والسبكي وأولاده، والمزي، والعراقي، وابن حجر العسقلاني وابن حجر الهيتمي</w:t>
      </w:r>
      <w:r w:rsidR="000636C2">
        <w:rPr>
          <w:rFonts w:hint="cs"/>
          <w:rtl/>
        </w:rPr>
        <w:t>،</w:t>
      </w:r>
      <w:r>
        <w:rPr>
          <w:rFonts w:hint="cs"/>
          <w:rtl/>
        </w:rPr>
        <w:t xml:space="preserve"> والسيوطي</w:t>
      </w:r>
      <w:r w:rsidR="000636C2">
        <w:rPr>
          <w:rFonts w:hint="cs"/>
          <w:rtl/>
        </w:rPr>
        <w:t>،</w:t>
      </w:r>
      <w:r>
        <w:rPr>
          <w:rFonts w:hint="cs"/>
          <w:rtl/>
        </w:rPr>
        <w:t xml:space="preserve"> وما لا يحصيه العد مما تنقطع بذكره الأنفاس، ويضيق بعده القرطاس</w:t>
      </w:r>
      <w:r w:rsidR="000636C2">
        <w:rPr>
          <w:rFonts w:hint="cs"/>
          <w:rtl/>
        </w:rPr>
        <w:t>،</w:t>
      </w:r>
      <w:r>
        <w:rPr>
          <w:rFonts w:hint="cs"/>
          <w:rtl/>
        </w:rPr>
        <w:t xml:space="preserve"> فهؤلاء هم الذين حفظ الله تعالى بهم دينه </w:t>
      </w:r>
      <w:r>
        <w:rPr>
          <w:rFonts w:hint="cs"/>
          <w:rtl/>
          <w:lang w:bidi="ar-KW"/>
        </w:rPr>
        <w:t>إلى يومنا هذا</w:t>
      </w:r>
      <w:r w:rsidR="000636C2">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0636C2">
        <w:rPr>
          <w:rFonts w:hint="cs"/>
          <w:rtl/>
          <w:lang w:bidi="ar-KW"/>
        </w:rPr>
        <w:t>،</w:t>
      </w:r>
      <w:r>
        <w:rPr>
          <w:rFonts w:hint="cs"/>
          <w:rtl/>
          <w:lang w:bidi="ar-KW"/>
        </w:rPr>
        <w:t xml:space="preserve"> والأشاعرة لم يبتدعوا</w:t>
      </w:r>
      <w:r w:rsidR="000636C2">
        <w:rPr>
          <w:rFonts w:hint="cs"/>
          <w:rtl/>
          <w:lang w:bidi="ar-KW"/>
        </w:rPr>
        <w:t xml:space="preserve"> </w:t>
      </w:r>
      <w:r>
        <w:rPr>
          <w:rFonts w:hint="cs"/>
          <w:rtl/>
          <w:lang w:bidi="ar-KW"/>
        </w:rPr>
        <w:t>مذهباً</w:t>
      </w:r>
      <w:r w:rsidR="000636C2">
        <w:rPr>
          <w:rFonts w:hint="cs"/>
          <w:rtl/>
          <w:lang w:bidi="ar-KW"/>
        </w:rPr>
        <w:t>،</w:t>
      </w:r>
      <w:r>
        <w:rPr>
          <w:rFonts w:hint="cs"/>
          <w:rtl/>
          <w:lang w:bidi="ar-KW"/>
        </w:rPr>
        <w:t xml:space="preserve"> وإنما كانوا مقررين لمذهب السلف، مناضلين عن عقائد الإسلام</w:t>
      </w:r>
      <w:r w:rsidR="000636C2">
        <w:rPr>
          <w:rFonts w:hint="cs"/>
          <w:rtl/>
          <w:lang w:bidi="ar-KW"/>
        </w:rPr>
        <w:t>،</w:t>
      </w:r>
      <w:r>
        <w:rPr>
          <w:rFonts w:hint="cs"/>
          <w:rtl/>
          <w:lang w:bidi="ar-KW"/>
        </w:rPr>
        <w:t xml:space="preserve"> وقد كان منهجهم منهجاً وسطاً بين من أساؤوا الظن بالله فتفكروا في ذاته</w:t>
      </w:r>
      <w:r w:rsidR="000636C2">
        <w:rPr>
          <w:rFonts w:hint="cs"/>
          <w:rtl/>
          <w:lang w:bidi="ar-KW"/>
        </w:rPr>
        <w:t>،</w:t>
      </w:r>
      <w:r>
        <w:rPr>
          <w:rFonts w:hint="cs"/>
          <w:rtl/>
          <w:lang w:bidi="ar-KW"/>
        </w:rPr>
        <w:t xml:space="preserve"> فوقعوا في التجسيم أو كادوا</w:t>
      </w:r>
      <w:r w:rsidR="000636C2">
        <w:rPr>
          <w:rFonts w:hint="cs"/>
          <w:rtl/>
          <w:lang w:bidi="ar-KW"/>
        </w:rPr>
        <w:t>،</w:t>
      </w:r>
      <w:r>
        <w:rPr>
          <w:rFonts w:hint="cs"/>
          <w:rtl/>
          <w:lang w:bidi="ar-KW"/>
        </w:rPr>
        <w:t xml:space="preserve"> كالمجسمة والمشبهة والحشوية</w:t>
      </w:r>
      <w:r w:rsidR="000636C2">
        <w:rPr>
          <w:rFonts w:hint="cs"/>
          <w:rtl/>
          <w:lang w:bidi="ar-KW"/>
        </w:rPr>
        <w:t>،</w:t>
      </w:r>
      <w:r>
        <w:rPr>
          <w:rFonts w:hint="cs"/>
          <w:rtl/>
          <w:lang w:bidi="ar-KW"/>
        </w:rPr>
        <w:t xml:space="preserve"> وبين من أنكروا صفاته العلية سبحانه وتعالى</w:t>
      </w:r>
      <w:r w:rsidR="000636C2">
        <w:rPr>
          <w:rFonts w:hint="cs"/>
          <w:rtl/>
          <w:lang w:bidi="ar-KW"/>
        </w:rPr>
        <w:t>،</w:t>
      </w:r>
      <w:r>
        <w:rPr>
          <w:rFonts w:hint="cs"/>
          <w:rtl/>
          <w:lang w:bidi="ar-KW"/>
        </w:rPr>
        <w:t xml:space="preserve"> كالمعتزلة والجهمية</w:t>
      </w:r>
      <w:r w:rsidR="000636C2">
        <w:rPr>
          <w:rFonts w:hint="cs"/>
          <w:rtl/>
          <w:lang w:bidi="ar-KW"/>
        </w:rPr>
        <w:t>،</w:t>
      </w:r>
      <w:r>
        <w:rPr>
          <w:rFonts w:hint="cs"/>
          <w:rtl/>
          <w:lang w:bidi="ar-KW"/>
        </w:rPr>
        <w:t xml:space="preserve"> وهذا ما جعل أهل الفقه بالدين يطلقون على السادة الأشاعرة أنهم أصحاب المذهب الحق</w:t>
      </w:r>
      <w:r w:rsidR="000636C2">
        <w:rPr>
          <w:rFonts w:hint="cs"/>
          <w:rtl/>
          <w:lang w:bidi="ar-KW"/>
        </w:rPr>
        <w:t>،</w:t>
      </w:r>
      <w:r>
        <w:rPr>
          <w:rFonts w:hint="cs"/>
          <w:rtl/>
          <w:lang w:bidi="ar-KW"/>
        </w:rPr>
        <w:t xml:space="preserve"> قال الحافظ أبو بكر البيهقي</w:t>
      </w:r>
      <w:r w:rsidR="000636C2">
        <w:rPr>
          <w:rFonts w:hint="cs"/>
          <w:rtl/>
          <w:lang w:bidi="ar-KW"/>
        </w:rPr>
        <w:t>:</w:t>
      </w:r>
      <w:r>
        <w:rPr>
          <w:rFonts w:hint="cs"/>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 أهـ </w:t>
      </w:r>
      <w:r w:rsidR="000636C2">
        <w:rPr>
          <w:rFonts w:hint="cs"/>
          <w:rtl/>
          <w:lang w:bidi="ar-KW"/>
        </w:rPr>
        <w:t>[</w:t>
      </w:r>
      <w:r>
        <w:rPr>
          <w:rFonts w:hint="cs"/>
          <w:rtl/>
          <w:lang w:bidi="ar-KW"/>
        </w:rPr>
        <w:t>تبيين كذب المفتري 103، الطبقات الكبرى للتاج السبكي 3/397</w:t>
      </w:r>
      <w:r w:rsidR="000636C2">
        <w:rPr>
          <w:rFonts w:hint="cs"/>
          <w:rtl/>
          <w:lang w:bidi="ar-KW"/>
        </w:rPr>
        <w:t>]،</w:t>
      </w:r>
      <w:r>
        <w:rPr>
          <w:rFonts w:hint="cs"/>
          <w:rtl/>
          <w:lang w:bidi="ar-KW"/>
        </w:rPr>
        <w:t xml:space="preserve"> </w:t>
      </w:r>
      <w:r>
        <w:rPr>
          <w:rFonts w:hint="cs"/>
          <w:bCs/>
          <w:rtl/>
          <w:lang w:bidi="ar-KW"/>
        </w:rPr>
        <w:t>وقال الحافظ ابن عساكر رحمه الله تعالى</w:t>
      </w:r>
      <w:r w:rsidR="000636C2">
        <w:rPr>
          <w:rFonts w:hint="cs"/>
          <w:bCs/>
          <w:rtl/>
          <w:lang w:bidi="ar-KW"/>
        </w:rPr>
        <w:t>:</w:t>
      </w:r>
      <w:r>
        <w:rPr>
          <w:rFonts w:hint="cs"/>
          <w:rtl/>
          <w:lang w:bidi="ar-KW"/>
        </w:rPr>
        <w:t xml:space="preserve"> "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w:t>
      </w:r>
      <w:r>
        <w:rPr>
          <w:rFonts w:hint="cs"/>
          <w:rtl/>
          <w:lang w:bidi="ar-KW"/>
        </w:rPr>
        <w:lastRenderedPageBreak/>
        <w:t>فيهم جرح جارح"</w:t>
      </w:r>
      <w:r w:rsidR="000636C2">
        <w:rPr>
          <w:rFonts w:hint="cs"/>
          <w:rtl/>
          <w:lang w:bidi="ar-KW"/>
        </w:rPr>
        <w:t xml:space="preserve"> </w:t>
      </w:r>
      <w:r>
        <w:rPr>
          <w:rFonts w:hint="cs"/>
          <w:rtl/>
          <w:lang w:bidi="ar-KW"/>
        </w:rPr>
        <w:t xml:space="preserve">اهـ </w:t>
      </w:r>
      <w:r w:rsidR="000636C2">
        <w:rPr>
          <w:rFonts w:hint="cs"/>
          <w:rtl/>
          <w:lang w:bidi="ar-KW"/>
        </w:rPr>
        <w:t>[</w:t>
      </w:r>
      <w:r>
        <w:rPr>
          <w:rFonts w:hint="cs"/>
          <w:rtl/>
          <w:lang w:bidi="ar-KW"/>
        </w:rPr>
        <w:t>تبيين كذب المفتري</w:t>
      </w:r>
      <w:r w:rsidR="000636C2">
        <w:rPr>
          <w:rFonts w:hint="cs"/>
          <w:rtl/>
          <w:lang w:bidi="ar-KW"/>
        </w:rPr>
        <w:t>:</w:t>
      </w:r>
      <w:r>
        <w:rPr>
          <w:rFonts w:hint="cs"/>
          <w:rtl/>
          <w:lang w:bidi="ar-KW"/>
        </w:rPr>
        <w:t xml:space="preserve"> 397</w:t>
      </w:r>
      <w:r w:rsidR="000636C2">
        <w:rPr>
          <w:rFonts w:hint="cs"/>
          <w:rtl/>
          <w:lang w:bidi="ar-KW"/>
        </w:rPr>
        <w:t>]،</w:t>
      </w:r>
      <w:r>
        <w:rPr>
          <w:rFonts w:hint="cs"/>
          <w:rtl/>
          <w:lang w:bidi="ar-KW"/>
        </w:rPr>
        <w:t xml:space="preserve"> </w:t>
      </w:r>
      <w:r>
        <w:rPr>
          <w:rFonts w:hint="cs"/>
          <w:bCs/>
          <w:rtl/>
          <w:lang w:bidi="ar-KW"/>
        </w:rPr>
        <w:t>وقال الإمام المرتضى الزبيدي</w:t>
      </w:r>
      <w:r w:rsidR="000636C2">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 عليه أصحاب رسول الله ... وناظَرَ كلٌّ منهما ذوي البدع والضلالات حتى انقطعوا وولوا منهزمين</w:t>
      </w:r>
      <w:r w:rsidR="000636C2">
        <w:rPr>
          <w:rFonts w:hint="cs"/>
          <w:rtl/>
          <w:lang w:bidi="ar-KW"/>
        </w:rPr>
        <w:t>)</w:t>
      </w:r>
      <w:r>
        <w:rPr>
          <w:rFonts w:hint="cs"/>
          <w:rtl/>
          <w:lang w:bidi="ar-KW"/>
        </w:rPr>
        <w:t xml:space="preserve"> أهـ </w:t>
      </w:r>
      <w:r w:rsidR="000636C2">
        <w:rPr>
          <w:rFonts w:hint="cs"/>
          <w:rtl/>
          <w:lang w:bidi="ar-KW"/>
        </w:rPr>
        <w:t>[</w:t>
      </w:r>
      <w:r>
        <w:rPr>
          <w:rFonts w:hint="cs"/>
          <w:rtl/>
          <w:lang w:bidi="ar-KW"/>
        </w:rPr>
        <w:t>إتحاف السادة المتقين 2/7</w:t>
      </w:r>
      <w:r w:rsidR="000636C2">
        <w:rPr>
          <w:rFonts w:hint="cs"/>
          <w:rtl/>
          <w:lang w:bidi="ar-KW"/>
        </w:rPr>
        <w:t>]</w:t>
      </w:r>
    </w:p>
    <w:p w14:paraId="7007751C" w14:textId="77777777" w:rsidR="009C32A0" w:rsidRDefault="009C32A0" w:rsidP="000636C2">
      <w:pPr>
        <w:widowControl w:val="0"/>
        <w:spacing w:before="80"/>
        <w:ind w:left="-58"/>
        <w:jc w:val="center"/>
        <w:rPr>
          <w:b/>
          <w:bCs/>
          <w:rtl/>
          <w:lang w:val="uz-Latn-UZ"/>
        </w:rPr>
      </w:pPr>
      <w:r>
        <w:rPr>
          <w:rFonts w:hint="cs"/>
          <w:bCs/>
          <w:rtl/>
          <w:lang w:val="uz-Latn-UZ"/>
        </w:rPr>
        <w:t>***</w:t>
      </w:r>
    </w:p>
    <w:p w14:paraId="6924964D" w14:textId="77777777" w:rsidR="009C32A0" w:rsidRDefault="009C32A0" w:rsidP="000636C2">
      <w:pPr>
        <w:widowControl w:val="0"/>
        <w:spacing w:before="80"/>
        <w:ind w:left="-58"/>
        <w:jc w:val="center"/>
        <w:rPr>
          <w:b/>
          <w:bCs/>
          <w:rtl/>
          <w:lang w:val="uz-Latn-UZ"/>
        </w:rPr>
      </w:pPr>
      <w:r>
        <w:rPr>
          <w:rFonts w:cs="Monotype Koufi" w:hint="cs"/>
          <w:rtl/>
        </w:rPr>
        <w:t>على مذهب الأشاعرة والماتريدية العقائدي غالب علماء أمة الإسلام</w:t>
      </w:r>
    </w:p>
    <w:p w14:paraId="3BA6EDCD" w14:textId="11D26192" w:rsidR="009C32A0" w:rsidRDefault="009C32A0" w:rsidP="000636C2">
      <w:pPr>
        <w:widowControl w:val="0"/>
        <w:spacing w:before="80"/>
        <w:ind w:left="-58"/>
        <w:rPr>
          <w:b/>
          <w:bCs/>
          <w:rtl/>
          <w:lang w:val="uz-Latn-UZ" w:bidi="ar-KW"/>
        </w:rPr>
      </w:pPr>
      <w:r>
        <w:rPr>
          <w:rFonts w:hint="cs"/>
          <w:rtl/>
          <w:lang w:val="uz-Latn-UZ"/>
        </w:rPr>
        <w:t>مذهب الأشاعرة والماتريدية هو المذهب العقائدي الذي عليه سواد الأمة وأكابر أهل الفضل فيها</w:t>
      </w:r>
      <w:r w:rsidR="000636C2">
        <w:rPr>
          <w:rFonts w:hint="cs"/>
          <w:rtl/>
          <w:lang w:val="uz-Latn-UZ"/>
        </w:rPr>
        <w:t>:</w:t>
      </w:r>
      <w:r w:rsidR="000636C2">
        <w:rPr>
          <w:rFonts w:hint="cs"/>
          <w:bCs/>
          <w:rtl/>
          <w:lang w:val="uz-Latn-UZ"/>
        </w:rPr>
        <w:t xml:space="preserve"> </w:t>
      </w:r>
      <w:r>
        <w:rPr>
          <w:rFonts w:hint="cs"/>
          <w:bCs/>
          <w:rtl/>
          <w:lang w:val="uz-Latn-UZ"/>
        </w:rPr>
        <w:t>فأكابر مفسري الأمة من الأشاعرة والماتريدية</w:t>
      </w:r>
      <w:r w:rsidR="000636C2">
        <w:rPr>
          <w:rFonts w:hint="cs"/>
          <w:bCs/>
          <w:rtl/>
          <w:lang w:val="uz-Latn-UZ" w:bidi="ar-KW"/>
        </w:rPr>
        <w:t>،</w:t>
      </w:r>
      <w:r>
        <w:rPr>
          <w:rFonts w:hint="cs"/>
          <w:rtl/>
          <w:lang w:val="uz-Latn-UZ"/>
        </w:rPr>
        <w:t xml:space="preserve"> منهم على سبيل المثال: الإمام العلامة القرطبي رحمه الله تعالى، صاحب تفسير الجامع لأحكام القرآن، </w:t>
      </w:r>
      <w:r>
        <w:rPr>
          <w:rFonts w:hint="cs"/>
          <w:rtl/>
          <w:lang w:bidi="ar-KW"/>
        </w:rPr>
        <w:t>والإمام الحافظ المفسر أبو الفداء إسماعيل بن كثير رحمه الله تعالى، صاحب التفسير العظيم والبداية والنهاية وغيرها،</w:t>
      </w:r>
      <w:r w:rsidR="000636C2">
        <w:rPr>
          <w:rFonts w:hint="cs"/>
          <w:rtl/>
          <w:lang w:bidi="ar-KW"/>
        </w:rPr>
        <w:t>،</w:t>
      </w:r>
      <w:r>
        <w:rPr>
          <w:rFonts w:hint="cs"/>
          <w:rtl/>
          <w:lang w:bidi="ar-KW"/>
        </w:rPr>
        <w:t xml:space="preserve"> </w:t>
      </w:r>
      <w:r>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w:t>
      </w:r>
      <w:r w:rsidR="000636C2">
        <w:rPr>
          <w:rFonts w:hint="cs"/>
          <w:rtl/>
          <w:lang w:val="uz-Latn-UZ"/>
        </w:rPr>
        <w:t>،</w:t>
      </w:r>
      <w:r>
        <w:rPr>
          <w:rFonts w:hint="cs"/>
          <w:rtl/>
          <w:lang w:val="uz-Latn-UZ"/>
        </w:rPr>
        <w:t xml:space="preserve"> والإمام المفسر شهاب الدين الآلوسي رحمه الله تعالى، خاتمة المفسريـن ونخبة المحدثيـن</w:t>
      </w:r>
      <w:r w:rsidR="000636C2">
        <w:rPr>
          <w:rFonts w:hint="cs"/>
          <w:rtl/>
          <w:lang w:val="uz-Latn-UZ"/>
        </w:rPr>
        <w:t>،</w:t>
      </w:r>
      <w:r>
        <w:rPr>
          <w:rFonts w:hint="cs"/>
          <w:rtl/>
          <w:lang w:val="uz-Latn-UZ"/>
        </w:rPr>
        <w:t xml:space="preserve"> و</w:t>
      </w:r>
      <w:r>
        <w:rPr>
          <w:rFonts w:hint="cs"/>
          <w:rtl/>
          <w:lang w:val="uz-Latn-UZ" w:bidi="ar-KW"/>
        </w:rPr>
        <w:t>الإمام الحافظ المفسر جلال الدين السيوطي رحمه الله تعالى صاحب الدر المنثور في التفسير بالمأثور</w:t>
      </w:r>
      <w:r w:rsidR="000636C2">
        <w:rPr>
          <w:rFonts w:hint="cs"/>
          <w:rtl/>
          <w:lang w:val="uz-Latn-UZ" w:bidi="ar-KW"/>
        </w:rPr>
        <w:t>،</w:t>
      </w:r>
      <w:r>
        <w:rPr>
          <w:rFonts w:hint="cs"/>
          <w:rtl/>
          <w:lang w:val="uz-Latn-UZ" w:bidi="ar-KW"/>
        </w:rPr>
        <w:t xml:space="preserve"> و</w:t>
      </w:r>
      <w:r>
        <w:rPr>
          <w:rFonts w:hint="cs"/>
          <w:rtl/>
          <w:lang w:val="uz-Latn-UZ"/>
        </w:rPr>
        <w:t>الإمام الخطيب الشربينى رحمه الله تعالى صاحب تفسير السراج المنير</w:t>
      </w:r>
      <w:r w:rsidR="000636C2">
        <w:rPr>
          <w:rFonts w:hint="cs"/>
          <w:rtl/>
          <w:lang w:val="uz-Latn-UZ"/>
        </w:rPr>
        <w:t>،</w:t>
      </w:r>
      <w:r>
        <w:rPr>
          <w:rFonts w:hint="cs"/>
          <w:rtl/>
          <w:lang w:val="uz-Latn-UZ"/>
        </w:rPr>
        <w:t xml:space="preserve"> وغير هؤلاء ممن لو أطلنا النفس بذكرهم لخرجنا عن المقصود، كلهم كانوا من أهل السنة الأشاعرة والماتريدية</w:t>
      </w:r>
      <w:r w:rsidR="000636C2">
        <w:rPr>
          <w:rFonts w:hint="cs"/>
          <w:rtl/>
          <w:lang w:val="uz-Latn-UZ"/>
        </w:rPr>
        <w:t>،</w:t>
      </w:r>
      <w:r>
        <w:rPr>
          <w:rFonts w:hint="cs"/>
          <w:rtl/>
          <w:lang w:val="uz-Latn-UZ"/>
        </w:rPr>
        <w:t xml:space="preserve"> </w:t>
      </w:r>
      <w:r>
        <w:rPr>
          <w:rFonts w:hint="cs"/>
          <w:bCs/>
          <w:rtl/>
          <w:lang w:val="uz-Latn-UZ"/>
        </w:rPr>
        <w:t>وأكابر محدثي الأمة وحفاظها من الأشاعرة والماتريدية</w:t>
      </w:r>
      <w:r w:rsidR="000636C2">
        <w:rPr>
          <w:rFonts w:hint="cs"/>
          <w:bCs/>
          <w:rtl/>
          <w:lang w:val="uz-Latn-UZ" w:bidi="ar-KW"/>
        </w:rPr>
        <w:t>،</w:t>
      </w:r>
      <w:r>
        <w:rPr>
          <w:rFonts w:hint="cs"/>
          <w:bCs/>
          <w:rtl/>
          <w:lang w:val="uz-Latn-UZ" w:bidi="ar-KW"/>
        </w:rPr>
        <w:t xml:space="preserve"> </w:t>
      </w:r>
      <w:r>
        <w:rPr>
          <w:rFonts w:hint="cs"/>
          <w:rtl/>
          <w:lang w:val="uz-Latn-UZ"/>
        </w:rPr>
        <w:t>منهم على سبيل المثال</w:t>
      </w:r>
      <w:r w:rsidR="000636C2">
        <w:rPr>
          <w:rFonts w:hint="cs"/>
          <w:rtl/>
          <w:lang w:val="uz-Latn-UZ"/>
        </w:rPr>
        <w:t>:</w:t>
      </w:r>
      <w:r>
        <w:rPr>
          <w:rFonts w:hint="cs"/>
          <w:rtl/>
          <w:lang w:val="uz-Latn-UZ"/>
        </w:rPr>
        <w:t xml:space="preserve"> </w:t>
      </w:r>
      <w:r>
        <w:rPr>
          <w:rFonts w:hint="cs"/>
          <w:rtl/>
          <w:lang w:val="uz-Latn-UZ" w:bidi="ar-KW"/>
        </w:rPr>
        <w:t>الإمام الحافظ أبو الحسن الدارقطني رحمه الله تعالى إمام وقته</w:t>
      </w:r>
      <w:r w:rsidR="000636C2">
        <w:rPr>
          <w:rFonts w:hint="cs"/>
          <w:rtl/>
          <w:lang w:val="uz-Latn-UZ" w:bidi="ar-KW"/>
        </w:rPr>
        <w:t>،</w:t>
      </w:r>
      <w:r>
        <w:rPr>
          <w:rFonts w:hint="cs"/>
          <w:rtl/>
          <w:lang w:val="uz-Latn-UZ" w:bidi="ar-KW"/>
        </w:rPr>
        <w:t xml:space="preserve">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Pr>
          <w:rFonts w:hint="cs"/>
          <w:rtl/>
          <w:lang w:val="uz-Latn-UZ"/>
        </w:rPr>
        <w:t xml:space="preserve">والحافظ الحاكم النيسابوري رحمه الله تعالى صاحب المستدرك على الصحيحين، وإمام أهل الحديث في </w:t>
      </w:r>
      <w:r>
        <w:rPr>
          <w:rFonts w:hint="cs"/>
          <w:rtl/>
          <w:lang w:val="uz-Latn-UZ"/>
        </w:rPr>
        <w:lastRenderedPageBreak/>
        <w:t>عصره، والحافظ ابن حبان البستي رحمه الله تعالى صاحب الصحيح وكتاب الثقات وغيرها، و</w:t>
      </w:r>
      <w:r>
        <w:rPr>
          <w:rFonts w:hint="cs"/>
          <w:rtl/>
          <w:lang w:val="uz-Latn-UZ" w:bidi="ar-KW"/>
        </w:rPr>
        <w:t>الحافظ أبو سعد ابن السمعاني رحمه الله تعالى، صاحب كتاب الأنساب</w:t>
      </w:r>
      <w:r w:rsidR="000636C2">
        <w:rPr>
          <w:rFonts w:hint="cs"/>
          <w:rtl/>
          <w:lang w:val="uz-Latn-UZ" w:bidi="ar-KW"/>
        </w:rPr>
        <w:t>،</w:t>
      </w:r>
      <w:r>
        <w:rPr>
          <w:rFonts w:hint="cs"/>
          <w:rtl/>
          <w:lang w:val="uz-Latn-UZ" w:bidi="ar-KW"/>
        </w:rPr>
        <w:t xml:space="preserve"> و</w:t>
      </w:r>
      <w:r>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w:t>
      </w:r>
      <w:r w:rsidR="000636C2">
        <w:rPr>
          <w:rFonts w:hint="cs"/>
          <w:rtl/>
          <w:lang w:val="uz-Latn-UZ"/>
        </w:rPr>
        <w:t>،</w:t>
      </w:r>
      <w:r>
        <w:rPr>
          <w:rFonts w:hint="cs"/>
          <w:rtl/>
          <w:lang w:val="uz-Latn-UZ"/>
        </w:rPr>
        <w:t xml:space="preserve"> و</w:t>
      </w:r>
      <w:r>
        <w:rPr>
          <w:rFonts w:hint="cs"/>
          <w:rtl/>
          <w:lang w:val="uz-Latn-UZ" w:bidi="ar-KW"/>
        </w:rPr>
        <w:t>الإمام الحافظ الخطيب البغدادي رحمه الله تعالى، و</w:t>
      </w:r>
      <w:r>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000636C2">
        <w:rPr>
          <w:rFonts w:hint="cs"/>
          <w:rtl/>
          <w:lang w:val="uz-Latn-UZ"/>
        </w:rPr>
        <w:t>،</w:t>
      </w:r>
      <w:r>
        <w:rPr>
          <w:rFonts w:hint="cs"/>
          <w:rtl/>
          <w:lang w:val="uz-Latn-UZ"/>
        </w:rPr>
        <w:t xml:space="preserve"> والإمام المحقق بقية الحفاظ صلاح الدين خليل بن كيكلدى العلائي الذي لم يخلف بعده في الحديث مثله</w:t>
      </w:r>
      <w:r w:rsidR="000636C2">
        <w:rPr>
          <w:rFonts w:hint="cs"/>
          <w:rtl/>
          <w:lang w:val="uz-Latn-UZ"/>
        </w:rPr>
        <w:t>،</w:t>
      </w:r>
      <w:r>
        <w:rPr>
          <w:rFonts w:hint="cs"/>
          <w:rtl/>
          <w:lang w:val="uz-Latn-UZ"/>
        </w:rPr>
        <w:t xml:space="preserve"> ولم يكن في عصره من يدانيه في علم الحديث</w:t>
      </w:r>
      <w:r w:rsidR="000636C2">
        <w:rPr>
          <w:rFonts w:hint="cs"/>
          <w:rtl/>
          <w:lang w:val="uz-Latn-UZ"/>
        </w:rPr>
        <w:t>،</w:t>
      </w:r>
      <w:r>
        <w:rPr>
          <w:rFonts w:hint="cs"/>
          <w:rtl/>
          <w:lang w:val="uz-Latn-UZ"/>
        </w:rPr>
        <w:t xml:space="preserve"> و</w:t>
      </w:r>
      <w:r>
        <w:rPr>
          <w:rFonts w:hint="cs"/>
          <w:rtl/>
          <w:lang w:val="uz-Latn-UZ" w:bidi="ar-KW"/>
        </w:rPr>
        <w:t>الإمام الحافظ أبو عمرو بن الصلاح رحمه الله تعالى</w:t>
      </w:r>
      <w:r w:rsidR="000636C2">
        <w:rPr>
          <w:rFonts w:hint="cs"/>
          <w:rtl/>
          <w:lang w:val="uz-Latn-UZ" w:bidi="ar-KW"/>
        </w:rPr>
        <w:t>،</w:t>
      </w:r>
      <w:r>
        <w:rPr>
          <w:rFonts w:hint="cs"/>
          <w:rtl/>
          <w:lang w:val="uz-Latn-UZ" w:bidi="ar-KW"/>
        </w:rPr>
        <w:t xml:space="preserve"> و</w:t>
      </w:r>
      <w:r>
        <w:rPr>
          <w:rFonts w:hint="cs"/>
          <w:rtl/>
          <w:lang w:val="uz-Latn-UZ"/>
        </w:rPr>
        <w:t>الإمام الحافظ ابن أبي جمرة الأندلسي مسند أهل المغرب رحمه الله تعالى</w:t>
      </w:r>
      <w:r w:rsidR="000636C2">
        <w:rPr>
          <w:rFonts w:hint="cs"/>
          <w:rtl/>
          <w:lang w:val="uz-Latn-UZ"/>
        </w:rPr>
        <w:t>،</w:t>
      </w:r>
      <w:r>
        <w:rPr>
          <w:rFonts w:hint="cs"/>
          <w:rtl/>
          <w:lang w:val="uz-Latn-UZ"/>
        </w:rPr>
        <w:t xml:space="preserve"> و</w:t>
      </w:r>
      <w:r>
        <w:rPr>
          <w:rFonts w:hint="cs"/>
          <w:spacing w:val="6"/>
          <w:rtl/>
          <w:lang w:val="uz-Latn-UZ"/>
        </w:rPr>
        <w:t>الإمام الحافظ الكرماني شمس الدين محمد بن يوسف رحمه الله ورضي عنه، صاحب الشرح المشهور على صحيح البخاري</w:t>
      </w:r>
      <w:r w:rsidR="000636C2">
        <w:rPr>
          <w:rFonts w:hint="cs"/>
          <w:spacing w:val="6"/>
          <w:rtl/>
          <w:lang w:val="uz-Latn-UZ"/>
        </w:rPr>
        <w:t>،</w:t>
      </w:r>
      <w:r>
        <w:rPr>
          <w:rFonts w:hint="cs"/>
          <w:spacing w:val="6"/>
          <w:rtl/>
          <w:lang w:val="uz-Latn-UZ"/>
        </w:rPr>
        <w:t xml:space="preserve"> و</w:t>
      </w:r>
      <w:r>
        <w:rPr>
          <w:rFonts w:hint="cs"/>
          <w:rtl/>
          <w:lang w:val="uz-Latn-UZ"/>
        </w:rPr>
        <w:t>الإمام الحافظ المنذري رحمه الله تعالى صاحب الترغيب والترهيب</w:t>
      </w:r>
      <w:r w:rsidR="000636C2">
        <w:rPr>
          <w:rFonts w:hint="cs"/>
          <w:rtl/>
          <w:lang w:val="uz-Latn-UZ"/>
        </w:rPr>
        <w:t>،</w:t>
      </w:r>
      <w:r>
        <w:rPr>
          <w:rFonts w:hint="cs"/>
          <w:rtl/>
          <w:lang w:val="uz-Latn-UZ"/>
        </w:rPr>
        <w:t xml:space="preserve"> والإمام الحافظ الأبي رحمه الله تعالى شارح صحيح مسلم</w:t>
      </w:r>
      <w:r w:rsidR="000636C2">
        <w:rPr>
          <w:rFonts w:hint="cs"/>
          <w:rtl/>
          <w:lang w:val="uz-Latn-UZ"/>
        </w:rPr>
        <w:t>،</w:t>
      </w:r>
      <w:r>
        <w:rPr>
          <w:rFonts w:hint="cs"/>
          <w:rtl/>
          <w:lang w:val="uz-Latn-UZ"/>
        </w:rPr>
        <w:t xml:space="preserve"> والإمام الحافظ ابن حجر العسقلاني رحمه الله تعالى صاحب فتح الباري</w:t>
      </w:r>
      <w:r w:rsidR="000636C2">
        <w:rPr>
          <w:rFonts w:hint="cs"/>
          <w:rtl/>
          <w:lang w:val="uz-Latn-UZ"/>
        </w:rPr>
        <w:t>،</w:t>
      </w:r>
      <w:r>
        <w:rPr>
          <w:rFonts w:hint="cs"/>
          <w:rtl/>
          <w:lang w:val="uz-Latn-UZ"/>
        </w:rPr>
        <w:t xml:space="preserve"> و</w:t>
      </w:r>
      <w:r>
        <w:rPr>
          <w:rFonts w:hint="cs"/>
          <w:rtl/>
          <w:lang w:val="uz-Latn-UZ" w:bidi="ar-KW"/>
        </w:rPr>
        <w:t>الإمام الحافظ السخاوي رحمه الله تعالى</w:t>
      </w:r>
      <w:r w:rsidR="000636C2">
        <w:rPr>
          <w:rFonts w:hint="cs"/>
          <w:rtl/>
          <w:lang w:val="uz-Latn-UZ" w:bidi="ar-KW"/>
        </w:rPr>
        <w:t>،</w:t>
      </w:r>
      <w:r>
        <w:rPr>
          <w:rFonts w:hint="cs"/>
          <w:rtl/>
          <w:lang w:val="uz-Latn-UZ" w:bidi="ar-KW"/>
        </w:rPr>
        <w:t xml:space="preserve"> والإمام الحافظ السيوطي رحمه الله تعالى</w:t>
      </w:r>
      <w:r w:rsidR="000636C2">
        <w:rPr>
          <w:rFonts w:hint="cs"/>
          <w:rtl/>
          <w:lang w:val="uz-Latn-UZ" w:bidi="ar-KW"/>
        </w:rPr>
        <w:t>،</w:t>
      </w:r>
      <w:r>
        <w:rPr>
          <w:rFonts w:hint="cs"/>
          <w:rtl/>
          <w:lang w:val="uz-Latn-UZ" w:bidi="ar-KW"/>
        </w:rPr>
        <w:t xml:space="preserve"> و</w:t>
      </w:r>
      <w:r>
        <w:rPr>
          <w:rFonts w:hint="cs"/>
          <w:rtl/>
          <w:lang w:val="uz-Latn-UZ"/>
        </w:rPr>
        <w:t>الإمام القسطلاني رحمه الله تعالى شارح الصحيح</w:t>
      </w:r>
      <w:r w:rsidR="000636C2">
        <w:rPr>
          <w:rFonts w:hint="cs"/>
          <w:rtl/>
          <w:lang w:val="uz-Latn-UZ"/>
        </w:rPr>
        <w:t>،</w:t>
      </w:r>
      <w:r>
        <w:rPr>
          <w:rFonts w:hint="cs"/>
          <w:rtl/>
          <w:lang w:val="uz-Latn-UZ"/>
        </w:rPr>
        <w:t xml:space="preserve"> والإمام الحافظ المناوي رحمه الله تعالى</w:t>
      </w:r>
      <w:r w:rsidR="000636C2">
        <w:rPr>
          <w:rFonts w:hint="cs"/>
          <w:rtl/>
          <w:lang w:val="uz-Latn-UZ"/>
        </w:rPr>
        <w:t>،</w:t>
      </w:r>
      <w:r>
        <w:rPr>
          <w:rFonts w:hint="cs"/>
          <w:rtl/>
          <w:lang w:val="uz-Latn-UZ"/>
        </w:rPr>
        <w:t xml:space="preserve"> وغيرهم وغيرهم من أئمة الحديث وحفاظ الأمة، كانوا من أهل السنة الأشاعرة والماتريدية</w:t>
      </w:r>
      <w:r w:rsidR="000636C2">
        <w:rPr>
          <w:rFonts w:hint="cs"/>
          <w:rtl/>
          <w:lang w:val="uz-Latn-UZ"/>
        </w:rPr>
        <w:t>،</w:t>
      </w:r>
      <w:r>
        <w:rPr>
          <w:rFonts w:hint="cs"/>
          <w:rtl/>
          <w:lang w:val="uz-Latn-UZ"/>
        </w:rPr>
        <w:t xml:space="preserve"> </w:t>
      </w:r>
      <w:r>
        <w:rPr>
          <w:rFonts w:hint="cs"/>
          <w:bCs/>
          <w:rtl/>
          <w:lang w:val="uz-Latn-UZ"/>
        </w:rPr>
        <w:t>وأكابر فقهاء الأمة من الأشاعرة والماتريدية</w:t>
      </w:r>
      <w:r w:rsidR="000636C2">
        <w:rPr>
          <w:rFonts w:hint="cs"/>
          <w:bCs/>
          <w:rtl/>
          <w:lang w:val="uz-Latn-UZ"/>
        </w:rPr>
        <w:t>،</w:t>
      </w:r>
      <w:r>
        <w:rPr>
          <w:rFonts w:hint="cs"/>
          <w:bCs/>
          <w:rtl/>
          <w:lang w:val="uz-Latn-UZ" w:bidi="ar-KW"/>
        </w:rPr>
        <w:t xml:space="preserve"> </w:t>
      </w:r>
      <w:r>
        <w:rPr>
          <w:rFonts w:hint="cs"/>
          <w:rtl/>
          <w:lang w:val="uz-Latn-UZ"/>
        </w:rPr>
        <w:t>قال الحافظ ابن عساكر رحمه الله تعالى</w:t>
      </w:r>
      <w:r w:rsidR="000636C2">
        <w:rPr>
          <w:rFonts w:hint="cs"/>
          <w:rtl/>
          <w:lang w:val="uz-Latn-UZ"/>
        </w:rPr>
        <w:t>:</w:t>
      </w:r>
      <w:r>
        <w:rPr>
          <w:rFonts w:hint="cs"/>
          <w:rtl/>
          <w:lang w:val="uz-Latn-UZ"/>
        </w:rPr>
        <w:t xml:space="preserve"> " وأكثر العلماء في جميع الأقطار عليه – يعني مذهب الأشعري – وأئمة الأمصار في سائر الأعصار يدعون إليه... </w:t>
      </w:r>
      <w:r>
        <w:rPr>
          <w:rFonts w:hint="cs"/>
          <w:bCs/>
          <w:rtl/>
          <w:lang w:val="uz-Latn-UZ"/>
        </w:rPr>
        <w:t>وهل من الفقهاء من الحنفية والمالكية والشافعية إلا موافق له أو</w:t>
      </w:r>
      <w:r>
        <w:rPr>
          <w:rFonts w:hint="cs"/>
          <w:rtl/>
          <w:lang w:val="uz-Latn-UZ"/>
        </w:rPr>
        <w:t xml:space="preserve"> </w:t>
      </w:r>
      <w:r>
        <w:rPr>
          <w:rFonts w:hint="cs"/>
          <w:bCs/>
          <w:rtl/>
          <w:lang w:val="uz-Latn-UZ"/>
        </w:rPr>
        <w:t>منتسب إليه أو راضٍ بحميد سعيه في دين الله أو مثنٍ بكثرة العلم عليه "</w:t>
      </w:r>
      <w:r w:rsidR="000636C2">
        <w:rPr>
          <w:rFonts w:hint="cs"/>
          <w:bCs/>
          <w:rtl/>
          <w:lang w:val="uz-Latn-UZ"/>
        </w:rPr>
        <w:t xml:space="preserve"> </w:t>
      </w:r>
      <w:r>
        <w:rPr>
          <w:rFonts w:hint="cs"/>
          <w:rtl/>
          <w:lang w:val="uz-Latn-UZ"/>
        </w:rPr>
        <w:t xml:space="preserve">اهـ. </w:t>
      </w:r>
      <w:r w:rsidR="000636C2">
        <w:rPr>
          <w:rFonts w:hint="cs"/>
          <w:rtl/>
          <w:lang w:val="uz-Latn-UZ"/>
        </w:rPr>
        <w:t>[</w:t>
      </w:r>
      <w:r>
        <w:rPr>
          <w:rFonts w:hint="cs"/>
          <w:rtl/>
          <w:lang w:val="uz-Latn-UZ"/>
        </w:rPr>
        <w:t>تبيين كذب المفتري ص/ 410]</w:t>
      </w:r>
      <w:r w:rsidR="000636C2">
        <w:rPr>
          <w:rFonts w:hint="cs"/>
          <w:rtl/>
          <w:lang w:val="uz-Latn-UZ"/>
        </w:rPr>
        <w:t>،</w:t>
      </w:r>
      <w:r>
        <w:rPr>
          <w:rFonts w:hint="cs"/>
          <w:rtl/>
          <w:lang w:val="uz-Latn-UZ"/>
        </w:rPr>
        <w:t xml:space="preserve"> </w:t>
      </w:r>
      <w:r>
        <w:rPr>
          <w:rFonts w:hint="cs"/>
          <w:rtl/>
          <w:lang w:val="uz-Latn-UZ" w:bidi="ar-KW"/>
        </w:rPr>
        <w:t>وقال الإمام ابن السبكي رحمه الله تعالى</w:t>
      </w:r>
      <w:r w:rsidR="000636C2">
        <w:rPr>
          <w:rFonts w:hint="cs"/>
          <w:rtl/>
          <w:lang w:val="uz-Latn-UZ" w:bidi="ar-KW"/>
        </w:rPr>
        <w:t>:</w:t>
      </w:r>
      <w:r>
        <w:rPr>
          <w:rFonts w:hint="cs"/>
          <w:rtl/>
          <w:lang w:val="uz-Latn-UZ" w:bidi="ar-KW"/>
        </w:rPr>
        <w:t xml:space="preserve"> " وقد ذكر شيخ الإسلام عز الدين ابن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w:t>
      </w:r>
      <w:r w:rsidR="000636C2">
        <w:rPr>
          <w:rFonts w:hint="cs"/>
          <w:rtl/>
          <w:lang w:val="uz-Latn-UZ" w:bidi="ar-KW"/>
        </w:rPr>
        <w:t xml:space="preserve"> </w:t>
      </w:r>
      <w:r>
        <w:rPr>
          <w:rFonts w:hint="cs"/>
          <w:rtl/>
          <w:lang w:val="uz-Latn-UZ" w:bidi="ar-KW"/>
        </w:rPr>
        <w:t>اهـ. [الطبقات 3/365]</w:t>
      </w:r>
      <w:r w:rsidR="000636C2">
        <w:rPr>
          <w:rFonts w:hint="cs"/>
          <w:rtl/>
          <w:lang w:val="uz-Latn-UZ" w:bidi="ar-KW"/>
        </w:rPr>
        <w:t>،</w:t>
      </w:r>
      <w:r>
        <w:rPr>
          <w:rFonts w:hint="cs"/>
          <w:rtl/>
          <w:lang w:val="uz-Latn-UZ" w:bidi="ar-KW"/>
        </w:rPr>
        <w:t xml:space="preserve"> </w:t>
      </w:r>
      <w:r>
        <w:rPr>
          <w:rFonts w:hint="cs"/>
          <w:bCs/>
          <w:rtl/>
          <w:lang w:val="uz-Latn-UZ"/>
        </w:rPr>
        <w:t>كما أن أكثر كتّاب سيرة المصطفى صلى الله عليه وسلم من الأشاعرة والماتريدية</w:t>
      </w:r>
      <w:r w:rsidR="000636C2">
        <w:rPr>
          <w:rFonts w:hint="cs"/>
          <w:bCs/>
          <w:rtl/>
          <w:lang w:val="uz-Latn-UZ" w:bidi="ar-KW"/>
        </w:rPr>
        <w:t>،</w:t>
      </w:r>
      <w:r>
        <w:rPr>
          <w:rFonts w:hint="cs"/>
          <w:bCs/>
          <w:rtl/>
          <w:lang w:val="uz-Latn-UZ" w:bidi="ar-KW"/>
        </w:rPr>
        <w:t xml:space="preserve"> </w:t>
      </w:r>
      <w:r>
        <w:rPr>
          <w:rFonts w:hint="cs"/>
          <w:rtl/>
          <w:lang w:val="uz-Latn-UZ"/>
        </w:rPr>
        <w:t>منهم على سبيل المثال: الإمام البيهقي رحمه الله تعالى صاحب دلائل النبوة</w:t>
      </w:r>
      <w:r w:rsidR="000636C2">
        <w:rPr>
          <w:rFonts w:hint="cs"/>
          <w:rtl/>
          <w:lang w:val="uz-Latn-UZ"/>
        </w:rPr>
        <w:t>،</w:t>
      </w:r>
      <w:r>
        <w:rPr>
          <w:rFonts w:hint="cs"/>
          <w:rtl/>
          <w:lang w:val="uz-Latn-UZ"/>
        </w:rPr>
        <w:t xml:space="preserve"> والإمام أبو نعيم الأصبهاني رحمه الله تعالى صاحب دلائل النبوة أيضاً</w:t>
      </w:r>
      <w:r w:rsidR="000636C2">
        <w:rPr>
          <w:rFonts w:hint="cs"/>
          <w:rtl/>
          <w:lang w:val="uz-Latn-UZ"/>
        </w:rPr>
        <w:t>،</w:t>
      </w:r>
      <w:r>
        <w:rPr>
          <w:rFonts w:hint="cs"/>
          <w:rtl/>
          <w:lang w:val="uz-Latn-UZ"/>
        </w:rPr>
        <w:t xml:space="preserve"> والقاضي عياض رحمه الله </w:t>
      </w:r>
      <w:r>
        <w:rPr>
          <w:rFonts w:hint="cs"/>
          <w:rtl/>
          <w:lang w:val="uz-Latn-UZ"/>
        </w:rPr>
        <w:lastRenderedPageBreak/>
        <w:t>تعالى صاحب الشفا في شمائل وأحوال المصطفى</w:t>
      </w:r>
      <w:r w:rsidR="000636C2">
        <w:rPr>
          <w:rFonts w:hint="cs"/>
          <w:rtl/>
          <w:lang w:val="uz-Latn-UZ"/>
        </w:rPr>
        <w:t>،</w:t>
      </w:r>
      <w:r>
        <w:rPr>
          <w:rFonts w:hint="cs"/>
          <w:rtl/>
          <w:lang w:val="uz-Latn-UZ"/>
        </w:rPr>
        <w:t xml:space="preserve"> والإمام الحلبي رحمه الله تعالى صاحب السيرة الحلبية المسماة بإنسان العيون</w:t>
      </w:r>
      <w:r w:rsidR="000636C2">
        <w:rPr>
          <w:rFonts w:hint="cs"/>
          <w:rtl/>
          <w:lang w:val="uz-Latn-UZ"/>
        </w:rPr>
        <w:t>،</w:t>
      </w:r>
      <w:r>
        <w:rPr>
          <w:rFonts w:hint="cs"/>
          <w:rtl/>
          <w:lang w:val="uz-Latn-UZ"/>
        </w:rPr>
        <w:t xml:space="preserve"> والإمام السهيلي رحمه الله تعالى صاحب الروض الأنف</w:t>
      </w:r>
      <w:r w:rsidR="000636C2">
        <w:rPr>
          <w:rFonts w:hint="cs"/>
          <w:rtl/>
          <w:lang w:val="uz-Latn-UZ"/>
        </w:rPr>
        <w:t>،</w:t>
      </w:r>
      <w:r>
        <w:rPr>
          <w:rFonts w:hint="cs"/>
          <w:rtl/>
          <w:lang w:val="uz-Latn-UZ"/>
        </w:rPr>
        <w:t xml:space="preserve"> و</w:t>
      </w:r>
      <w:r>
        <w:rPr>
          <w:rFonts w:hint="cs"/>
          <w:rtl/>
          <w:lang w:val="uz-Latn-UZ" w:bidi="ar-KW"/>
        </w:rPr>
        <w:t>الإمام القسطلاني رحمه الله تعالى صاحب المواهب اللدنية</w:t>
      </w:r>
      <w:r w:rsidR="000636C2">
        <w:rPr>
          <w:rFonts w:hint="cs"/>
          <w:rtl/>
          <w:lang w:val="uz-Latn-UZ" w:bidi="ar-KW"/>
        </w:rPr>
        <w:t>،</w:t>
      </w:r>
      <w:r>
        <w:rPr>
          <w:rFonts w:hint="cs"/>
          <w:rtl/>
          <w:lang w:val="uz-Latn-UZ" w:bidi="ar-KW"/>
        </w:rPr>
        <w:t xml:space="preserve"> و</w:t>
      </w:r>
      <w:r>
        <w:rPr>
          <w:rFonts w:hint="cs"/>
          <w:rtl/>
          <w:lang w:val="uz-Latn-UZ"/>
        </w:rPr>
        <w:t>الإمام الصالحي الدمشقي رحمه الله تعالى صاحب سبل الهدى والرشاد</w:t>
      </w:r>
      <w:r w:rsidR="000636C2">
        <w:rPr>
          <w:rFonts w:hint="cs"/>
          <w:rtl/>
          <w:lang w:val="uz-Latn-UZ"/>
        </w:rPr>
        <w:t>،</w:t>
      </w:r>
      <w:r>
        <w:rPr>
          <w:rFonts w:hint="cs"/>
          <w:rtl/>
          <w:lang w:val="uz-Latn-UZ"/>
        </w:rPr>
        <w:t xml:space="preserve"> والإمام المؤرخ المقريزي رحمه الله تعالى صاحب كتاب إمتاع الأسماع</w:t>
      </w:r>
      <w:r w:rsidR="000636C2">
        <w:rPr>
          <w:rFonts w:hint="cs"/>
          <w:rtl/>
          <w:lang w:val="uz-Latn-UZ"/>
        </w:rPr>
        <w:t>،</w:t>
      </w:r>
      <w:r>
        <w:rPr>
          <w:rFonts w:hint="cs"/>
          <w:rtl/>
          <w:lang w:val="uz-Latn-UZ"/>
        </w:rPr>
        <w:t xml:space="preserve"> </w:t>
      </w:r>
      <w:r>
        <w:rPr>
          <w:rFonts w:hint="cs"/>
          <w:bCs/>
          <w:rtl/>
          <w:lang w:val="uz-Latn-UZ" w:bidi="ar-KW"/>
        </w:rPr>
        <w:t>والصروح الشامخة والمراكز العلمية التي كانت تنشر علوم الإسلام</w:t>
      </w:r>
      <w:r>
        <w:rPr>
          <w:rFonts w:hint="cs"/>
          <w:rtl/>
          <w:lang w:val="uz-Latn-UZ" w:bidi="ar-KW"/>
        </w:rPr>
        <w:t xml:space="preserve"> في </w:t>
      </w:r>
      <w:r>
        <w:rPr>
          <w:rFonts w:hint="cs"/>
          <w:bCs/>
          <w:rtl/>
          <w:lang w:val="uz-Latn-UZ" w:bidi="ar-KW"/>
        </w:rPr>
        <w:t>بلاد المسلمين كانت تدرس المذهبين الأشعري والماتريدي</w:t>
      </w:r>
      <w:r w:rsidR="000636C2">
        <w:rPr>
          <w:rFonts w:hint="cs"/>
          <w:rtl/>
          <w:lang w:val="uz-Latn-UZ" w:bidi="ar-KW"/>
        </w:rPr>
        <w:t>،</w:t>
      </w:r>
      <w:r>
        <w:rPr>
          <w:rFonts w:hint="cs"/>
          <w:rtl/>
          <w:lang w:val="uz-Latn-UZ" w:bidi="ar-KW"/>
        </w:rPr>
        <w:t xml:space="preserve">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الماتريدية، </w:t>
      </w:r>
    </w:p>
    <w:p w14:paraId="0DFDA58C" w14:textId="77777777" w:rsidR="009C32A0" w:rsidRDefault="009C32A0" w:rsidP="000636C2">
      <w:pPr>
        <w:widowControl w:val="0"/>
        <w:spacing w:before="80"/>
        <w:ind w:left="-58"/>
        <w:jc w:val="center"/>
        <w:rPr>
          <w:b/>
          <w:bCs/>
          <w:rtl/>
          <w:lang w:val="uz-Latn-UZ" w:bidi="ar-KW"/>
        </w:rPr>
      </w:pPr>
      <w:r>
        <w:rPr>
          <w:rFonts w:hint="cs"/>
          <w:bCs/>
          <w:rtl/>
          <w:lang w:val="uz-Latn-UZ" w:bidi="ar-KW"/>
        </w:rPr>
        <w:t>***</w:t>
      </w:r>
    </w:p>
    <w:p w14:paraId="56C497B1" w14:textId="497EAF16" w:rsidR="009C32A0" w:rsidRDefault="009C32A0" w:rsidP="000636C2">
      <w:pPr>
        <w:ind w:left="-58"/>
        <w:jc w:val="center"/>
        <w:rPr>
          <w:b/>
          <w:bCs/>
          <w:rtl/>
          <w:lang w:bidi="ar-KW"/>
        </w:rPr>
      </w:pPr>
      <w:r>
        <w:rPr>
          <w:rFonts w:cs="Monotype Koufi" w:hint="cs"/>
          <w:rtl/>
        </w:rPr>
        <w:t>الأشاعرة والماتريدية</w:t>
      </w:r>
      <w:r w:rsidR="000636C2">
        <w:rPr>
          <w:rFonts w:cs="Monotype Koufi" w:hint="cs"/>
          <w:rtl/>
        </w:rPr>
        <w:t xml:space="preserve"> </w:t>
      </w:r>
      <w:r>
        <w:rPr>
          <w:rFonts w:cs="Monotype Koufi" w:hint="cs"/>
          <w:rtl/>
        </w:rPr>
        <w:t>علماء متخصصون في العقيدة على منهاج الفرقة الناجية</w:t>
      </w:r>
      <w:r>
        <w:rPr>
          <w:rFonts w:hint="cs"/>
          <w:bCs/>
          <w:rtl/>
          <w:lang w:bidi="ar-KW"/>
        </w:rPr>
        <w:t xml:space="preserve"> </w:t>
      </w:r>
    </w:p>
    <w:p w14:paraId="4EFC451B" w14:textId="61376D2E" w:rsidR="009C32A0" w:rsidRDefault="009C32A0" w:rsidP="000636C2">
      <w:pPr>
        <w:ind w:left="-58"/>
        <w:rPr>
          <w:b/>
          <w:rtl/>
          <w:lang w:bidi="ar-KW"/>
        </w:rPr>
      </w:pPr>
      <w:r>
        <w:rPr>
          <w:rFonts w:hint="cs"/>
          <w:rtl/>
          <w:lang w:bidi="ar-KW"/>
        </w:rPr>
        <w:t>الأشاعرة والماتريدية</w:t>
      </w:r>
      <w:r w:rsidR="000636C2">
        <w:rPr>
          <w:rFonts w:hint="cs"/>
          <w:rtl/>
          <w:lang w:bidi="ar-KW"/>
        </w:rPr>
        <w:t xml:space="preserve"> </w:t>
      </w:r>
      <w:r>
        <w:rPr>
          <w:rFonts w:hint="cs"/>
          <w:rtl/>
          <w:lang w:bidi="ar-KW"/>
        </w:rPr>
        <w:t xml:space="preserve">هم العلماء المتخصصون في العقيدة على منهاج الفرقة الناجية </w:t>
      </w:r>
      <w:r w:rsidR="000636C2">
        <w:rPr>
          <w:rFonts w:hint="cs"/>
          <w:rtl/>
          <w:lang w:bidi="ar-KW"/>
        </w:rPr>
        <w:t>(</w:t>
      </w:r>
      <w:r>
        <w:rPr>
          <w:rFonts w:hint="cs"/>
          <w:rtl/>
          <w:lang w:bidi="ar-KW"/>
        </w:rPr>
        <w:t>أهل السنّة والجماعة</w:t>
      </w:r>
      <w:r w:rsidR="000636C2">
        <w:rPr>
          <w:rFonts w:hint="cs"/>
          <w:rtl/>
          <w:lang w:bidi="ar-KW"/>
        </w:rPr>
        <w:t>)،</w:t>
      </w:r>
      <w:r>
        <w:rPr>
          <w:rFonts w:hint="cs"/>
          <w:rtl/>
          <w:lang w:bidi="ar-KW"/>
        </w:rPr>
        <w:t xml:space="preserve"> وهم يمثلون مع الأثرية الامتداد الصحيح للسلف الصالح في كل أبواب العقيدة</w:t>
      </w:r>
      <w:r w:rsidR="000636C2">
        <w:rPr>
          <w:rFonts w:hint="cs"/>
          <w:rtl/>
          <w:lang w:bidi="ar-KW"/>
        </w:rPr>
        <w:t>،</w:t>
      </w:r>
      <w:r>
        <w:rPr>
          <w:rFonts w:hint="cs"/>
          <w:rtl/>
          <w:lang w:bidi="ar-KW"/>
        </w:rPr>
        <w:t xml:space="preserve"> إن مذهب الأشاعرة والماتريدية في المتشابه</w:t>
      </w:r>
      <w:r w:rsidR="000636C2">
        <w:rPr>
          <w:rFonts w:hint="cs"/>
          <w:rtl/>
          <w:lang w:bidi="ar-KW"/>
        </w:rPr>
        <w:t>:</w:t>
      </w:r>
      <w:r>
        <w:rPr>
          <w:rFonts w:hint="cs"/>
          <w:rtl/>
          <w:lang w:bidi="ar-KW"/>
        </w:rPr>
        <w:t xml:space="preserve"> يقوم على ضوابط ربانية عظيمة تمنع من الزلل والإفراط والتفريط</w:t>
      </w:r>
      <w:r w:rsidR="000636C2">
        <w:rPr>
          <w:rFonts w:hint="cs"/>
          <w:rtl/>
          <w:lang w:bidi="ar-KW"/>
        </w:rPr>
        <w:t>،</w:t>
      </w:r>
      <w:r>
        <w:rPr>
          <w:rFonts w:hint="cs"/>
          <w:rtl/>
          <w:lang w:bidi="ar-KW"/>
        </w:rPr>
        <w:t xml:space="preserve"> وتجعل طريقهم عدلاً وسطا بين المشبهة والمجسمة</w:t>
      </w:r>
      <w:r w:rsidR="000636C2">
        <w:rPr>
          <w:rFonts w:hint="cs"/>
          <w:rtl/>
          <w:lang w:bidi="ar-KW"/>
        </w:rPr>
        <w:t>،</w:t>
      </w:r>
      <w:r>
        <w:rPr>
          <w:rFonts w:hint="cs"/>
          <w:rtl/>
          <w:lang w:bidi="ar-KW"/>
        </w:rPr>
        <w:t xml:space="preserve"> وبين الجهمية والمعتزلة</w:t>
      </w:r>
      <w:r w:rsidR="000636C2">
        <w:rPr>
          <w:rFonts w:hint="cs"/>
          <w:rtl/>
          <w:lang w:bidi="ar-KW"/>
        </w:rPr>
        <w:t>،</w:t>
      </w:r>
      <w:r>
        <w:rPr>
          <w:rFonts w:hint="cs"/>
          <w:rtl/>
          <w:lang w:bidi="ar-KW"/>
        </w:rPr>
        <w:t xml:space="preserve"> إنها ضوابط العلم الراسخ التي تقوم على</w:t>
      </w:r>
      <w:r w:rsidR="000636C2">
        <w:rPr>
          <w:rFonts w:hint="cs"/>
          <w:rtl/>
          <w:lang w:bidi="ar-KW"/>
        </w:rPr>
        <w:t>:</w:t>
      </w:r>
      <w:r>
        <w:rPr>
          <w:rFonts w:hint="cs"/>
          <w:rtl/>
          <w:lang w:bidi="ar-KW"/>
        </w:rPr>
        <w:t xml:space="preserve"> التقديس ثم التصديق ثم الاعتراف بالعجز ثم السكوت ثم الإمساك ثم الكف ثم التسليم</w:t>
      </w:r>
      <w:r w:rsidR="000636C2">
        <w:rPr>
          <w:rFonts w:hint="cs"/>
          <w:rtl/>
          <w:lang w:bidi="ar-KW"/>
        </w:rPr>
        <w:t>،</w:t>
      </w:r>
      <w:r>
        <w:rPr>
          <w:rFonts w:hint="cs"/>
          <w:rtl/>
          <w:lang w:bidi="ar-KW"/>
        </w:rPr>
        <w:t xml:space="preserve"> أما التقديس: فهو تنزيه الله تعالى عن التشبيه والتمثيل والتجسيم ولوازمها</w:t>
      </w:r>
      <w:r w:rsidR="000636C2">
        <w:rPr>
          <w:rFonts w:hint="cs"/>
          <w:rtl/>
          <w:lang w:bidi="ar-KW"/>
        </w:rPr>
        <w:t>،</w:t>
      </w:r>
      <w:r>
        <w:rPr>
          <w:rFonts w:hint="cs"/>
          <w:rtl/>
          <w:lang w:bidi="ar-KW"/>
        </w:rPr>
        <w:t xml:space="preserve"> وعن النقص والعجز والعيب ولوازمها</w:t>
      </w:r>
      <w:r w:rsidR="000636C2">
        <w:rPr>
          <w:rFonts w:hint="cs"/>
          <w:rtl/>
          <w:lang w:bidi="ar-KW"/>
        </w:rPr>
        <w:t>،</w:t>
      </w:r>
      <w:r>
        <w:rPr>
          <w:rFonts w:hint="cs"/>
          <w:rtl/>
          <w:lang w:bidi="ar-KW"/>
        </w:rPr>
        <w:t xml:space="preserve"> وأما التصديق: فهو الإيمان بما قاله الله تعالى</w:t>
      </w:r>
      <w:r w:rsidR="000636C2">
        <w:rPr>
          <w:rFonts w:hint="cs"/>
          <w:rtl/>
          <w:lang w:bidi="ar-KW"/>
        </w:rPr>
        <w:t>،</w:t>
      </w:r>
      <w:r>
        <w:rPr>
          <w:rFonts w:hint="cs"/>
          <w:rtl/>
          <w:lang w:bidi="ar-KW"/>
        </w:rPr>
        <w:t xml:space="preserve"> وبما صح من قول رسوله صلى الله عليه وسلم</w:t>
      </w:r>
      <w:r w:rsidR="000636C2">
        <w:rPr>
          <w:rFonts w:hint="cs"/>
          <w:rtl/>
          <w:lang w:bidi="ar-KW"/>
        </w:rPr>
        <w:t>،</w:t>
      </w:r>
      <w:r>
        <w:rPr>
          <w:rFonts w:hint="cs"/>
          <w:rtl/>
          <w:lang w:bidi="ar-KW"/>
        </w:rPr>
        <w:t xml:space="preserve"> وأن ما جاء في الكتاب والسنة من المتشابه حق وصدق</w:t>
      </w:r>
      <w:r w:rsidR="000636C2">
        <w:rPr>
          <w:rFonts w:hint="cs"/>
          <w:rtl/>
          <w:lang w:bidi="ar-KW"/>
        </w:rPr>
        <w:t>،</w:t>
      </w:r>
      <w:r>
        <w:rPr>
          <w:rFonts w:hint="cs"/>
          <w:rtl/>
          <w:lang w:bidi="ar-KW"/>
        </w:rPr>
        <w:t xml:space="preserve"> إلا أنه على مراد الله تعالى وعلى مراد رسوله صلى الله عليه وسلم</w:t>
      </w:r>
      <w:r w:rsidR="000636C2">
        <w:rPr>
          <w:rFonts w:hint="cs"/>
          <w:rtl/>
          <w:lang w:bidi="ar-KW"/>
        </w:rPr>
        <w:t xml:space="preserve">، </w:t>
      </w:r>
      <w:r>
        <w:rPr>
          <w:rFonts w:hint="cs"/>
          <w:rtl/>
          <w:lang w:bidi="ar-KW"/>
        </w:rPr>
        <w:t>وأما الاعتراف بالعجز: فهو الإقرار بأن معرفة مراد المتشابه ليست على قدر طاقته</w:t>
      </w:r>
      <w:r w:rsidR="000636C2">
        <w:rPr>
          <w:rFonts w:hint="cs"/>
          <w:rtl/>
          <w:lang w:bidi="ar-KW"/>
        </w:rPr>
        <w:t>،</w:t>
      </w:r>
      <w:r>
        <w:rPr>
          <w:rFonts w:hint="cs"/>
          <w:rtl/>
          <w:lang w:bidi="ar-KW"/>
        </w:rPr>
        <w:t xml:space="preserve"> وأن ذلك ليس من شأنه وحرفته</w:t>
      </w:r>
      <w:r w:rsidR="000636C2">
        <w:rPr>
          <w:rFonts w:hint="cs"/>
          <w:rtl/>
          <w:lang w:bidi="ar-KW"/>
        </w:rPr>
        <w:t>،</w:t>
      </w:r>
      <w:r>
        <w:rPr>
          <w:rFonts w:hint="cs"/>
          <w:rtl/>
          <w:lang w:bidi="ar-KW"/>
        </w:rPr>
        <w:t xml:space="preserve"> وأما السكوت: فهو عدم السؤال عن معناه وعدم الخوض فيه</w:t>
      </w:r>
      <w:r w:rsidR="000636C2">
        <w:rPr>
          <w:rFonts w:hint="cs"/>
          <w:rtl/>
          <w:lang w:bidi="ar-KW"/>
        </w:rPr>
        <w:t>،</w:t>
      </w:r>
      <w:r>
        <w:rPr>
          <w:rFonts w:hint="cs"/>
          <w:rtl/>
          <w:lang w:bidi="ar-KW"/>
        </w:rPr>
        <w:t xml:space="preserve"> ويعلم أن سؤاله عنه بدعة، وأنه في خوضه فيه مخاطر بدينه، وأنه يوشك أن يكفر لو خاض فيه من حيث لا يشعر</w:t>
      </w:r>
      <w:r w:rsidR="000636C2">
        <w:rPr>
          <w:rFonts w:hint="cs"/>
          <w:rtl/>
          <w:lang w:bidi="ar-KW"/>
        </w:rPr>
        <w:t>،</w:t>
      </w:r>
      <w:r>
        <w:rPr>
          <w:rFonts w:hint="cs"/>
          <w:rtl/>
          <w:lang w:bidi="ar-KW"/>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0636C2">
        <w:rPr>
          <w:rFonts w:hint="cs"/>
          <w:rtl/>
          <w:lang w:bidi="ar-KW"/>
        </w:rPr>
        <w:t>،</w:t>
      </w:r>
      <w:r>
        <w:rPr>
          <w:rFonts w:hint="cs"/>
          <w:rtl/>
          <w:lang w:bidi="ar-KW"/>
        </w:rPr>
        <w:t xml:space="preserve"> وأما الكف: فإن معناه أن يكف باطنه عن البحث عنه والتفكر فيه لأنه لا يقدره قدره ولا يعلم محاذير التصرف فيه</w:t>
      </w:r>
      <w:r w:rsidR="000636C2">
        <w:rPr>
          <w:rFonts w:hint="cs"/>
          <w:rtl/>
          <w:lang w:bidi="ar-KW"/>
        </w:rPr>
        <w:t>،</w:t>
      </w:r>
      <w:r>
        <w:rPr>
          <w:rFonts w:hint="cs"/>
          <w:rtl/>
          <w:lang w:bidi="ar-KW"/>
        </w:rPr>
        <w:t xml:space="preserve"> وهذا كله حذرا من إتباع المتشابه الذي يؤدي إلى </w:t>
      </w:r>
      <w:r>
        <w:rPr>
          <w:rFonts w:hint="cs"/>
          <w:rtl/>
          <w:lang w:bidi="ar-KW"/>
        </w:rPr>
        <w:lastRenderedPageBreak/>
        <w:t>الفتنة كما في قوله تعالى</w:t>
      </w:r>
      <w:r w:rsidR="000636C2">
        <w:rPr>
          <w:rFonts w:hint="cs"/>
          <w:rtl/>
          <w:lang w:bidi="ar-KW"/>
        </w:rPr>
        <w:t>:</w:t>
      </w:r>
      <w:r>
        <w:rPr>
          <w:rFonts w:hint="cs"/>
          <w:rtl/>
          <w:lang w:bidi="ar-KW"/>
        </w:rPr>
        <w:t xml:space="preserve"> </w:t>
      </w:r>
      <w:r w:rsidR="000636C2">
        <w:rPr>
          <w:rFonts w:hint="cs"/>
          <w:rtl/>
          <w:lang w:bidi="ar-KW"/>
        </w:rPr>
        <w:t>{</w:t>
      </w:r>
      <w:r>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636C2">
        <w:rPr>
          <w:rFonts w:hint="cs"/>
          <w:rtl/>
        </w:rPr>
        <w:t>}،</w:t>
      </w:r>
      <w:r>
        <w:rPr>
          <w:rFonts w:hint="cs"/>
          <w:rtl/>
          <w:lang w:bidi="ar-KW"/>
        </w:rPr>
        <w:t xml:space="preserve"> ثم لما كان الوقف - في الآية - محتملاً على لفظ الجلالة </w:t>
      </w:r>
      <w:r w:rsidR="000636C2">
        <w:rPr>
          <w:rFonts w:hint="cs"/>
          <w:rtl/>
          <w:lang w:bidi="ar-KW"/>
        </w:rPr>
        <w:t>(</w:t>
      </w:r>
      <w:r>
        <w:rPr>
          <w:rFonts w:hint="cs"/>
          <w:rtl/>
          <w:lang w:bidi="ar-KW"/>
        </w:rPr>
        <w:t>الله</w:t>
      </w:r>
      <w:r w:rsidR="000636C2">
        <w:rPr>
          <w:rFonts w:hint="cs"/>
          <w:rtl/>
          <w:lang w:bidi="ar-KW"/>
        </w:rPr>
        <w:t>)</w:t>
      </w:r>
      <w:r>
        <w:rPr>
          <w:rFonts w:hint="cs"/>
          <w:rtl/>
          <w:lang w:bidi="ar-KW"/>
        </w:rPr>
        <w:t xml:space="preserve"> أو على قوله تعالى </w:t>
      </w:r>
      <w:r w:rsidR="000636C2">
        <w:rPr>
          <w:rFonts w:hint="cs"/>
          <w:rtl/>
          <w:lang w:bidi="ar-KW"/>
        </w:rPr>
        <w:t>(</w:t>
      </w:r>
      <w:r>
        <w:rPr>
          <w:rFonts w:hint="cs"/>
          <w:rtl/>
          <w:lang w:bidi="ar-KW"/>
        </w:rPr>
        <w:t>والراسخون في العلم</w:t>
      </w:r>
      <w:r w:rsidR="000636C2">
        <w:rPr>
          <w:rFonts w:hint="cs"/>
          <w:rtl/>
          <w:lang w:bidi="ar-KW"/>
        </w:rPr>
        <w:t>)،</w:t>
      </w:r>
      <w:r>
        <w:rPr>
          <w:rFonts w:hint="cs"/>
          <w:rtl/>
          <w:lang w:bidi="ar-KW"/>
        </w:rPr>
        <w:t xml:space="preserve"> ولا سبيل للجزم بأيهما لأنه اجتهاد</w:t>
      </w:r>
      <w:r w:rsidR="000636C2">
        <w:rPr>
          <w:rFonts w:hint="cs"/>
          <w:rtl/>
          <w:lang w:bidi="ar-KW"/>
        </w:rPr>
        <w:t>،</w:t>
      </w:r>
      <w:r>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0636C2">
        <w:rPr>
          <w:rFonts w:hint="cs"/>
          <w:rtl/>
          <w:lang w:bidi="ar-KW"/>
        </w:rPr>
        <w:t>،</w:t>
      </w:r>
      <w:r>
        <w:rPr>
          <w:rFonts w:hint="cs"/>
          <w:rtl/>
          <w:lang w:bidi="ar-KW"/>
        </w:rPr>
        <w:t xml:space="preserve"> فيحملون الآيات المتشابهات على المعاني المحكمة التي تقبلها قواعد اللغة العربية </w:t>
      </w:r>
      <w:r w:rsidR="000636C2">
        <w:rPr>
          <w:rFonts w:hint="cs"/>
          <w:rtl/>
          <w:lang w:bidi="ar-KW"/>
        </w:rPr>
        <w:t>(</w:t>
      </w:r>
      <w:r>
        <w:rPr>
          <w:rFonts w:hint="cs"/>
          <w:rtl/>
          <w:lang w:bidi="ar-KW"/>
        </w:rPr>
        <w:t>لغة القرآن</w:t>
      </w:r>
      <w:r w:rsidR="000636C2">
        <w:rPr>
          <w:rFonts w:hint="cs"/>
          <w:rtl/>
          <w:lang w:bidi="ar-KW"/>
        </w:rPr>
        <w:t>)</w:t>
      </w:r>
      <w:r>
        <w:rPr>
          <w:rFonts w:hint="cs"/>
          <w:rtl/>
          <w:lang w:bidi="ar-KW"/>
        </w:rPr>
        <w:t xml:space="preserve"> لصرف العوام عن التشبيه والتمثيل</w:t>
      </w:r>
      <w:r w:rsidR="000636C2">
        <w:rPr>
          <w:rFonts w:hint="cs"/>
          <w:rtl/>
          <w:lang w:bidi="ar-KW"/>
        </w:rPr>
        <w:t>،</w:t>
      </w:r>
      <w:r>
        <w:rPr>
          <w:rFonts w:hint="cs"/>
          <w:rtl/>
          <w:lang w:bidi="ar-KW"/>
        </w:rPr>
        <w:t xml:space="preserve"> وللرد على طوائف المبتدعة الذين أوجب الله تعالى على أهل العلم الرد عليهم</w:t>
      </w:r>
      <w:r w:rsidR="000636C2">
        <w:rPr>
          <w:rFonts w:hint="cs"/>
          <w:rtl/>
          <w:lang w:bidi="ar-KW"/>
        </w:rPr>
        <w:t>،</w:t>
      </w:r>
      <w:r>
        <w:rPr>
          <w:rFonts w:hint="cs"/>
          <w:rtl/>
          <w:lang w:bidi="ar-KW"/>
        </w:rPr>
        <w:t xml:space="preserve"> دون الجزم بالمراد من المتشابه لأنه لا يعلم حقيقته إلا الله</w:t>
      </w:r>
      <w:r w:rsidR="000636C2">
        <w:rPr>
          <w:rFonts w:hint="cs"/>
          <w:rtl/>
          <w:lang w:bidi="ar-KW"/>
        </w:rPr>
        <w:t>،</w:t>
      </w:r>
      <w:r>
        <w:rPr>
          <w:rFonts w:hint="cs"/>
          <w:rtl/>
          <w:lang w:bidi="ar-KW"/>
        </w:rPr>
        <w:t xml:space="preserve"> </w:t>
      </w:r>
    </w:p>
    <w:p w14:paraId="3EF3F48D" w14:textId="77777777" w:rsidR="009C32A0" w:rsidRDefault="009C32A0" w:rsidP="000636C2">
      <w:pPr>
        <w:widowControl w:val="0"/>
        <w:spacing w:before="80"/>
        <w:ind w:left="-58"/>
        <w:jc w:val="center"/>
        <w:rPr>
          <w:b/>
          <w:bCs/>
          <w:rtl/>
          <w:lang w:bidi="ar-KW"/>
        </w:rPr>
      </w:pPr>
      <w:r>
        <w:rPr>
          <w:rFonts w:hint="cs"/>
          <w:bCs/>
          <w:rtl/>
          <w:lang w:bidi="ar-KW"/>
        </w:rPr>
        <w:t>***</w:t>
      </w:r>
    </w:p>
    <w:p w14:paraId="2FF99399" w14:textId="77777777" w:rsidR="009C32A0" w:rsidRDefault="009C32A0" w:rsidP="000636C2">
      <w:pPr>
        <w:widowControl w:val="0"/>
        <w:spacing w:before="80"/>
        <w:ind w:left="-58"/>
        <w:jc w:val="center"/>
        <w:rPr>
          <w:rFonts w:cs="Monotype Koufi"/>
          <w:b/>
          <w:rtl/>
        </w:rPr>
      </w:pPr>
      <w:r>
        <w:rPr>
          <w:rFonts w:cs="Monotype Koufi" w:hint="cs"/>
          <w:rtl/>
        </w:rPr>
        <w:t>ما يدل على جواز التأويل المقبول الذي أجازه الأشاعرة والماتريدية أنه ورد عن السلف الكرام وأنّ الهدف منه حمل المتشابه على أمه وأصله من المحكم</w:t>
      </w:r>
    </w:p>
    <w:p w14:paraId="14A02E46" w14:textId="71EBAF89" w:rsidR="009C32A0" w:rsidRDefault="009C32A0" w:rsidP="000636C2">
      <w:pPr>
        <w:widowControl w:val="0"/>
        <w:spacing w:before="80"/>
        <w:ind w:left="-58"/>
        <w:rPr>
          <w:b/>
          <w:rtl/>
          <w:lang w:bidi="ar-KW"/>
        </w:rPr>
      </w:pPr>
      <w:r>
        <w:rPr>
          <w:rFonts w:hint="cs"/>
          <w:rtl/>
          <w:lang w:bidi="ar-KW"/>
        </w:rPr>
        <w:t>قال تعالى</w:t>
      </w:r>
      <w:r w:rsidR="000636C2">
        <w:rPr>
          <w:rFonts w:hint="cs"/>
          <w:rtl/>
          <w:lang w:bidi="ar-KW"/>
        </w:rPr>
        <w:t>:</w:t>
      </w:r>
      <w:r>
        <w:rPr>
          <w:rFonts w:hint="cs"/>
          <w:rtl/>
          <w:lang w:bidi="ar-KW"/>
        </w:rPr>
        <w:t xml:space="preserve"> </w:t>
      </w:r>
      <w:r w:rsidR="000636C2">
        <w:rPr>
          <w:rFonts w:hint="cs"/>
          <w:rtl/>
          <w:lang w:bidi="ar-KW"/>
        </w:rPr>
        <w:t>{</w:t>
      </w:r>
      <w:r>
        <w:rPr>
          <w:rFonts w:hint="cs"/>
          <w:rtl/>
        </w:rPr>
        <w:t>هُوَ الَّذِي أَنْزَلَ عَلَيْكَ الْكِتَابَ مِنْهُ آيَاتٌ مُحْكَمَاتٌ هُنَّ أُمُّ الْكِتَابِ وَأُخَرُ مُتَشَابِهَاتٌ</w:t>
      </w:r>
      <w:r w:rsidR="000636C2">
        <w:rPr>
          <w:rFonts w:hint="cs"/>
          <w:rtl/>
        </w:rPr>
        <w:t>}،</w:t>
      </w:r>
      <w:r>
        <w:rPr>
          <w:rFonts w:hint="cs"/>
          <w:rtl/>
        </w:rPr>
        <w:t xml:space="preserve"> دلت الآية على أنّ المحكم هو أصل الكتاب وهم بمثابة الأم للمتشابه</w:t>
      </w:r>
      <w:r w:rsidR="000636C2">
        <w:rPr>
          <w:rFonts w:hint="cs"/>
          <w:rtl/>
        </w:rPr>
        <w:t>،</w:t>
      </w:r>
      <w:r>
        <w:rPr>
          <w:rFonts w:hint="cs"/>
          <w:rtl/>
        </w:rPr>
        <w:t xml:space="preserve"> وينبغي رد المتشابه إلى أصله وأمّه</w:t>
      </w:r>
      <w:r w:rsidR="000636C2">
        <w:rPr>
          <w:rFonts w:hint="cs"/>
          <w:rtl/>
        </w:rPr>
        <w:t>،</w:t>
      </w:r>
      <w:r>
        <w:rPr>
          <w:rFonts w:hint="cs"/>
          <w:rtl/>
        </w:rPr>
        <w:t xml:space="preserve"> و</w:t>
      </w:r>
      <w:r>
        <w:rPr>
          <w:rFonts w:hint="cs"/>
          <w:rtl/>
          <w:lang w:bidi="ar-KW"/>
        </w:rPr>
        <w:t>التأويل نوعان تأويل لسبب حقيقي تلزم به قواعد التقديس المستمدة من الكتاب والسنة</w:t>
      </w:r>
      <w:r w:rsidR="000636C2">
        <w:rPr>
          <w:rFonts w:hint="cs"/>
          <w:rtl/>
          <w:lang w:bidi="ar-KW"/>
        </w:rPr>
        <w:t>،</w:t>
      </w:r>
      <w:r>
        <w:rPr>
          <w:rFonts w:hint="cs"/>
          <w:rtl/>
          <w:lang w:bidi="ar-KW"/>
        </w:rPr>
        <w:t xml:space="preserve"> فهذا تأويل شرعي صحيح</w:t>
      </w:r>
      <w:r w:rsidR="000636C2">
        <w:rPr>
          <w:rFonts w:hint="cs"/>
          <w:rtl/>
          <w:lang w:bidi="ar-KW"/>
        </w:rPr>
        <w:t>،</w:t>
      </w:r>
      <w:r>
        <w:rPr>
          <w:rFonts w:hint="cs"/>
          <w:rtl/>
          <w:lang w:bidi="ar-KW"/>
        </w:rPr>
        <w:t xml:space="preserve"> ورد عن السلف الكرام بضوابط حكيمة</w:t>
      </w:r>
      <w:r w:rsidR="000636C2">
        <w:rPr>
          <w:rFonts w:hint="cs"/>
          <w:rtl/>
          <w:lang w:bidi="ar-KW"/>
        </w:rPr>
        <w:t>،</w:t>
      </w:r>
      <w:r>
        <w:rPr>
          <w:rFonts w:hint="cs"/>
          <w:rtl/>
          <w:lang w:bidi="ar-KW"/>
        </w:rPr>
        <w:t xml:space="preserve"> وهناك تأويل آخر للتلاعب بحقائق الدين والعقيدة</w:t>
      </w:r>
      <w:r w:rsidR="000636C2">
        <w:rPr>
          <w:rFonts w:hint="cs"/>
          <w:rtl/>
          <w:lang w:bidi="ar-KW"/>
        </w:rPr>
        <w:t>،</w:t>
      </w:r>
      <w:r>
        <w:rPr>
          <w:rFonts w:hint="cs"/>
          <w:rtl/>
          <w:lang w:bidi="ar-KW"/>
        </w:rPr>
        <w:t xml:space="preserve"> وهذا </w:t>
      </w:r>
      <w:r w:rsidR="000636C2">
        <w:rPr>
          <w:rFonts w:hint="cs"/>
          <w:rtl/>
          <w:lang w:bidi="ar-KW"/>
        </w:rPr>
        <w:t>(</w:t>
      </w:r>
      <w:r>
        <w:rPr>
          <w:rFonts w:hint="cs"/>
          <w:rtl/>
          <w:lang w:bidi="ar-KW"/>
        </w:rPr>
        <w:t>تعطيل</w:t>
      </w:r>
      <w:r w:rsidR="000636C2">
        <w:rPr>
          <w:rFonts w:hint="cs"/>
          <w:rtl/>
          <w:lang w:bidi="ar-KW"/>
        </w:rPr>
        <w:t>)</w:t>
      </w:r>
      <w:r>
        <w:rPr>
          <w:rFonts w:hint="cs"/>
          <w:rtl/>
          <w:lang w:bidi="ar-KW"/>
        </w:rPr>
        <w:t xml:space="preserve"> وليس تأويل</w:t>
      </w:r>
      <w:r w:rsidR="000636C2">
        <w:rPr>
          <w:rFonts w:hint="cs"/>
          <w:rtl/>
          <w:lang w:bidi="ar-KW"/>
        </w:rPr>
        <w:t>،</w:t>
      </w:r>
      <w:r>
        <w:rPr>
          <w:rFonts w:hint="cs"/>
          <w:rtl/>
          <w:lang w:bidi="ar-KW"/>
        </w:rPr>
        <w:t xml:space="preserve"> وهذا ما اتهمت به الفرق الضالة كالجهمية والباطنية والمعتزلة</w:t>
      </w:r>
      <w:r w:rsidR="000636C2">
        <w:rPr>
          <w:rFonts w:hint="cs"/>
          <w:rtl/>
          <w:lang w:bidi="ar-KW"/>
        </w:rPr>
        <w:t>،</w:t>
      </w:r>
      <w:r>
        <w:rPr>
          <w:rFonts w:hint="cs"/>
          <w:rtl/>
          <w:lang w:bidi="ar-KW"/>
        </w:rPr>
        <w:t xml:space="preserve"> وهذا </w:t>
      </w:r>
      <w:r w:rsidR="000636C2">
        <w:rPr>
          <w:rFonts w:hint="cs"/>
          <w:rtl/>
          <w:lang w:bidi="ar-KW"/>
        </w:rPr>
        <w:t>(</w:t>
      </w:r>
      <w:r>
        <w:rPr>
          <w:rFonts w:hint="cs"/>
          <w:rtl/>
          <w:lang w:bidi="ar-KW"/>
        </w:rPr>
        <w:t>التعطيل</w:t>
      </w:r>
      <w:r w:rsidR="000636C2">
        <w:rPr>
          <w:rFonts w:hint="cs"/>
          <w:rtl/>
          <w:lang w:bidi="ar-KW"/>
        </w:rPr>
        <w:t>)</w:t>
      </w:r>
      <w:r>
        <w:rPr>
          <w:rFonts w:hint="cs"/>
          <w:rtl/>
          <w:lang w:bidi="ar-KW"/>
        </w:rPr>
        <w:t xml:space="preserve"> لا يختلف على منعه وحرمته اثنان من علماء أهل السنة والجماعة</w:t>
      </w:r>
      <w:r w:rsidR="000636C2">
        <w:rPr>
          <w:rFonts w:hint="cs"/>
          <w:rtl/>
          <w:lang w:bidi="ar-KW"/>
        </w:rPr>
        <w:t>،</w:t>
      </w:r>
      <w:r>
        <w:rPr>
          <w:rFonts w:hint="cs"/>
          <w:rtl/>
          <w:lang w:bidi="ar-KW"/>
        </w:rPr>
        <w:t xml:space="preserve"> أما </w:t>
      </w:r>
      <w:r w:rsidR="000636C2">
        <w:rPr>
          <w:rFonts w:hint="cs"/>
          <w:rtl/>
          <w:lang w:bidi="ar-KW"/>
        </w:rPr>
        <w:t>(</w:t>
      </w:r>
      <w:r>
        <w:rPr>
          <w:rFonts w:hint="cs"/>
          <w:rtl/>
          <w:lang w:bidi="ar-KW"/>
        </w:rPr>
        <w:t>التأويل الصحيح بضوابطه</w:t>
      </w:r>
      <w:r w:rsidR="000636C2">
        <w:rPr>
          <w:rFonts w:hint="cs"/>
          <w:rtl/>
          <w:lang w:bidi="ar-KW"/>
        </w:rPr>
        <w:t xml:space="preserve">)، </w:t>
      </w:r>
      <w:r>
        <w:rPr>
          <w:rFonts w:hint="cs"/>
          <w:rtl/>
          <w:lang w:bidi="ar-KW"/>
        </w:rPr>
        <w:t>فهذا قد ورد عن السلف الكرام</w:t>
      </w:r>
      <w:r w:rsidR="000636C2">
        <w:rPr>
          <w:rFonts w:hint="cs"/>
          <w:rtl/>
          <w:lang w:bidi="ar-KW"/>
        </w:rPr>
        <w:t>،</w:t>
      </w:r>
      <w:r>
        <w:rPr>
          <w:rFonts w:hint="cs"/>
          <w:rtl/>
          <w:lang w:bidi="ar-KW"/>
        </w:rPr>
        <w:t xml:space="preserve"> وسارت به الركبان من علماء أهل السنة والجماعة بما لا مجال لدفعه البتة أبدا</w:t>
      </w:r>
      <w:r w:rsidR="000636C2">
        <w:rPr>
          <w:rFonts w:hint="cs"/>
          <w:rtl/>
          <w:lang w:bidi="ar-KW"/>
        </w:rPr>
        <w:t>،</w:t>
      </w:r>
      <w:r>
        <w:rPr>
          <w:rFonts w:hint="cs"/>
          <w:bCs/>
          <w:rtl/>
          <w:lang w:bidi="ar-KW"/>
        </w:rPr>
        <w:t xml:space="preserve"> قال الإمام الزركشي</w:t>
      </w:r>
      <w:r w:rsidR="000636C2">
        <w:rPr>
          <w:rFonts w:hint="cs"/>
          <w:rtl/>
          <w:lang w:bidi="ar-KW"/>
        </w:rPr>
        <w:t>:</w:t>
      </w:r>
      <w:r>
        <w:rPr>
          <w:rFonts w:hint="cs"/>
          <w:rtl/>
          <w:lang w:bidi="ar-KW"/>
        </w:rPr>
        <w:t xml:space="preserve"> " وقد اختلف الناس في الوارد منها - يعني المتشابهات - في الآيات والأحاديث على ثلاث فرق</w:t>
      </w:r>
      <w:r w:rsidR="000636C2">
        <w:rPr>
          <w:rFonts w:hint="cs"/>
          <w:rtl/>
          <w:lang w:bidi="ar-KW"/>
        </w:rPr>
        <w:t>:</w:t>
      </w:r>
      <w:r>
        <w:rPr>
          <w:rFonts w:hint="cs"/>
          <w:bCs/>
          <w:rtl/>
          <w:lang w:bidi="ar-KW"/>
        </w:rPr>
        <w:t xml:space="preserve"> أحدها</w:t>
      </w:r>
      <w:r w:rsidR="000636C2">
        <w:rPr>
          <w:rFonts w:hint="cs"/>
          <w:bCs/>
          <w:rtl/>
          <w:lang w:bidi="ar-KW"/>
        </w:rPr>
        <w:t>:</w:t>
      </w:r>
      <w:r>
        <w:rPr>
          <w:rFonts w:hint="cs"/>
          <w:rtl/>
          <w:lang w:bidi="ar-KW"/>
        </w:rPr>
        <w:t xml:space="preserve"> أنه لا مدخل للتأويل فيها، بل تجرى على ظاهرها، ولا نؤول شيئاً منها، وهم المشبهة</w:t>
      </w:r>
      <w:r w:rsidR="000636C2">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أن لها تأويلاً ولكنا نمسك عنه مع تنزيه اعتقادنا عن الشبه، والتعطيل، ونقول لا يعلمه إلا الله وهو قول السلف</w:t>
      </w:r>
      <w:r w:rsidR="000636C2">
        <w:rPr>
          <w:rFonts w:hint="cs"/>
          <w:rtl/>
          <w:lang w:bidi="ar-KW"/>
        </w:rPr>
        <w:t>،</w:t>
      </w:r>
      <w:r>
        <w:rPr>
          <w:rFonts w:hint="cs"/>
          <w:rtl/>
          <w:lang w:bidi="ar-KW"/>
        </w:rPr>
        <w:t xml:space="preserve"> </w:t>
      </w:r>
      <w:r>
        <w:rPr>
          <w:rFonts w:hint="cs"/>
          <w:bCs/>
          <w:rtl/>
          <w:lang w:bidi="ar-KW"/>
        </w:rPr>
        <w:t>والثالثة</w:t>
      </w:r>
      <w:r w:rsidR="000636C2">
        <w:rPr>
          <w:rFonts w:hint="cs"/>
          <w:bCs/>
          <w:rtl/>
          <w:lang w:bidi="ar-KW"/>
        </w:rPr>
        <w:t>:</w:t>
      </w:r>
      <w:r>
        <w:rPr>
          <w:rFonts w:hint="cs"/>
          <w:rtl/>
          <w:lang w:bidi="ar-KW"/>
        </w:rPr>
        <w:t xml:space="preserve"> أنها مؤولة وأولوها على ما يليق به</w:t>
      </w:r>
      <w:r w:rsidR="000636C2">
        <w:rPr>
          <w:rFonts w:hint="cs"/>
          <w:rtl/>
          <w:lang w:bidi="ar-KW"/>
        </w:rPr>
        <w:t>،</w:t>
      </w:r>
      <w:r>
        <w:rPr>
          <w:rFonts w:hint="cs"/>
          <w:rtl/>
          <w:lang w:bidi="ar-KW"/>
        </w:rPr>
        <w:t xml:space="preserve"> </w:t>
      </w:r>
      <w:r>
        <w:rPr>
          <w:rFonts w:hint="cs"/>
          <w:bCs/>
          <w:rtl/>
          <w:lang w:bidi="ar-KW"/>
        </w:rPr>
        <w:t>والأول باطل - يعني مذهب المشبهة - والأخيران منقولان عن الصحابة" اهـ.</w:t>
      </w:r>
      <w:r>
        <w:rPr>
          <w:rFonts w:hint="cs"/>
          <w:rtl/>
          <w:lang w:bidi="ar-KW"/>
        </w:rPr>
        <w:t xml:space="preserve"> [البرهان في علوم القرآن 2 / 207]</w:t>
      </w:r>
      <w:r w:rsidR="000636C2">
        <w:rPr>
          <w:rFonts w:hint="cs"/>
          <w:rtl/>
          <w:lang w:bidi="ar-KW"/>
        </w:rPr>
        <w:t>،</w:t>
      </w:r>
      <w:r>
        <w:rPr>
          <w:rFonts w:hint="cs"/>
          <w:rtl/>
          <w:lang w:bidi="ar-KW"/>
        </w:rPr>
        <w:t xml:space="preserve"> </w:t>
      </w:r>
      <w:r>
        <w:rPr>
          <w:rFonts w:hint="cs"/>
          <w:bCs/>
          <w:rtl/>
          <w:lang w:bidi="ar-KW"/>
        </w:rPr>
        <w:t>وقال الإمام النووي</w:t>
      </w:r>
      <w:r>
        <w:rPr>
          <w:rFonts w:hint="cs"/>
          <w:rtl/>
          <w:lang w:bidi="ar-KW"/>
        </w:rPr>
        <w:t xml:space="preserve"> في سياق شرحه لحديث من أحاديث الصفات</w:t>
      </w:r>
      <w:r w:rsidR="000636C2">
        <w:rPr>
          <w:rFonts w:hint="cs"/>
          <w:rtl/>
          <w:lang w:bidi="ar-KW"/>
        </w:rPr>
        <w:t>:</w:t>
      </w:r>
      <w:r>
        <w:rPr>
          <w:rFonts w:hint="cs"/>
          <w:rtl/>
          <w:lang w:bidi="ar-KW"/>
        </w:rPr>
        <w:t xml:space="preserve"> " هذا حديث من أحاديث الصفات وفيه مذهبان مشهوران للعلماء... أحدهما وهو مذهب السلف... </w:t>
      </w:r>
      <w:r>
        <w:rPr>
          <w:rFonts w:hint="cs"/>
          <w:bCs/>
          <w:rtl/>
          <w:lang w:bidi="ar-KW"/>
        </w:rPr>
        <w:lastRenderedPageBreak/>
        <w:t xml:space="preserve">والثاني مذهب أكثر المتكلمين وجماعات من السلف وهو محكي عن مالك والأوزاعي أنها تتأول على ما يليق بها بحسب مواطنها) </w:t>
      </w:r>
      <w:r>
        <w:rPr>
          <w:rFonts w:hint="cs"/>
          <w:rtl/>
          <w:lang w:bidi="ar-KW"/>
        </w:rPr>
        <w:t>اهـ</w:t>
      </w:r>
      <w:r>
        <w:rPr>
          <w:rFonts w:hint="cs"/>
          <w:bCs/>
          <w:rtl/>
          <w:lang w:bidi="ar-KW"/>
        </w:rPr>
        <w:t>.</w:t>
      </w:r>
      <w:r>
        <w:rPr>
          <w:rFonts w:hint="cs"/>
          <w:rtl/>
          <w:lang w:bidi="ar-KW"/>
        </w:rPr>
        <w:t xml:space="preserve"> </w:t>
      </w:r>
      <w:r w:rsidR="000636C2">
        <w:rPr>
          <w:rFonts w:hint="cs"/>
          <w:rtl/>
          <w:lang w:bidi="ar-KW"/>
        </w:rPr>
        <w:t>[</w:t>
      </w:r>
      <w:r>
        <w:rPr>
          <w:rFonts w:hint="cs"/>
          <w:rtl/>
          <w:lang w:bidi="ar-KW"/>
        </w:rPr>
        <w:t>شرح مسلم للنووي</w:t>
      </w:r>
      <w:r w:rsidR="000636C2">
        <w:rPr>
          <w:rFonts w:hint="cs"/>
          <w:rtl/>
          <w:lang w:bidi="ar-KW"/>
        </w:rPr>
        <w:t>:</w:t>
      </w:r>
      <w:r>
        <w:rPr>
          <w:rFonts w:hint="cs"/>
          <w:rtl/>
          <w:lang w:bidi="ar-KW"/>
        </w:rPr>
        <w:t xml:space="preserve"> 6 /</w:t>
      </w:r>
      <w:r w:rsidR="000636C2">
        <w:rPr>
          <w:rFonts w:hint="cs"/>
          <w:rtl/>
          <w:lang w:bidi="ar-KW"/>
        </w:rPr>
        <w:t xml:space="preserve"> </w:t>
      </w:r>
      <w:r>
        <w:rPr>
          <w:rFonts w:hint="cs"/>
          <w:rtl/>
          <w:lang w:bidi="ar-KW"/>
        </w:rPr>
        <w:t>36</w:t>
      </w:r>
      <w:r w:rsidR="000636C2">
        <w:rPr>
          <w:rFonts w:hint="cs"/>
          <w:rtl/>
          <w:lang w:bidi="ar-KW"/>
        </w:rPr>
        <w:t>]،</w:t>
      </w:r>
      <w:r>
        <w:rPr>
          <w:rFonts w:hint="cs"/>
          <w:rtl/>
          <w:lang w:bidi="ar-KW"/>
        </w:rPr>
        <w:t xml:space="preserve"> </w:t>
      </w:r>
      <w:r>
        <w:rPr>
          <w:rFonts w:hint="cs"/>
          <w:bCs/>
          <w:rtl/>
          <w:lang w:bidi="ar-KW"/>
        </w:rPr>
        <w:t>وقال العلامة الشوكاني</w:t>
      </w:r>
      <w:r w:rsidR="000636C2">
        <w:rPr>
          <w:rFonts w:hint="cs"/>
          <w:rtl/>
          <w:lang w:bidi="ar-KW"/>
        </w:rPr>
        <w:t>:</w:t>
      </w:r>
      <w:r>
        <w:rPr>
          <w:rFonts w:hint="cs"/>
          <w:rtl/>
          <w:lang w:bidi="ar-KW"/>
        </w:rPr>
        <w:t xml:space="preserve"> " الفصل الثاني: فيما يدخله التأويل، وهو قسمان</w:t>
      </w:r>
      <w:r w:rsidR="000636C2">
        <w:rPr>
          <w:rFonts w:hint="cs"/>
          <w:rtl/>
          <w:lang w:bidi="ar-KW"/>
        </w:rPr>
        <w:t>،</w:t>
      </w:r>
      <w:r>
        <w:rPr>
          <w:rFonts w:hint="cs"/>
          <w:rtl/>
          <w:lang w:bidi="ar-KW"/>
        </w:rPr>
        <w:t xml:space="preserve"> أحدهما</w:t>
      </w:r>
      <w:r w:rsidR="000636C2">
        <w:rPr>
          <w:rFonts w:hint="cs"/>
          <w:rtl/>
          <w:lang w:bidi="ar-KW"/>
        </w:rPr>
        <w:t>،</w:t>
      </w:r>
      <w:r>
        <w:rPr>
          <w:rFonts w:hint="cs"/>
          <w:rtl/>
          <w:lang w:bidi="ar-KW"/>
        </w:rPr>
        <w:t xml:space="preserve"> أغلب الفروع</w:t>
      </w:r>
      <w:r w:rsidR="000636C2">
        <w:rPr>
          <w:rFonts w:hint="cs"/>
          <w:rtl/>
          <w:lang w:bidi="ar-KW"/>
        </w:rPr>
        <w:t>،</w:t>
      </w:r>
      <w:r>
        <w:rPr>
          <w:rFonts w:hint="cs"/>
          <w:rtl/>
          <w:lang w:bidi="ar-KW"/>
        </w:rPr>
        <w:t xml:space="preserve"> ولا خلاف في ذلك</w:t>
      </w:r>
      <w:r w:rsidR="000636C2">
        <w:rPr>
          <w:rFonts w:hint="cs"/>
          <w:rtl/>
          <w:lang w:bidi="ar-KW"/>
        </w:rPr>
        <w:t>،</w:t>
      </w:r>
      <w:r>
        <w:rPr>
          <w:rFonts w:hint="cs"/>
          <w:rtl/>
          <w:lang w:bidi="ar-KW"/>
        </w:rPr>
        <w:t xml:space="preserve"> والثاني</w:t>
      </w:r>
      <w:r w:rsidR="000636C2">
        <w:rPr>
          <w:rFonts w:hint="cs"/>
          <w:rtl/>
          <w:lang w:bidi="ar-KW"/>
        </w:rPr>
        <w:t>،</w:t>
      </w:r>
      <w:r>
        <w:rPr>
          <w:rFonts w:hint="cs"/>
          <w:rtl/>
          <w:lang w:bidi="ar-KW"/>
        </w:rPr>
        <w:t xml:space="preserve"> الأصول كالعقائد وأصول الديانات وصفات الباري عز وجل</w:t>
      </w:r>
      <w:r w:rsidR="000636C2">
        <w:rPr>
          <w:rFonts w:hint="cs"/>
          <w:rtl/>
          <w:lang w:bidi="ar-KW"/>
        </w:rPr>
        <w:t>،</w:t>
      </w:r>
      <w:r>
        <w:rPr>
          <w:rFonts w:hint="cs"/>
          <w:rtl/>
          <w:lang w:bidi="ar-KW"/>
        </w:rPr>
        <w:t xml:space="preserve"> وقد اختلفوا في هذا القسم على ثلاثة مذاهب</w:t>
      </w:r>
      <w:r w:rsidR="000636C2">
        <w:rPr>
          <w:rFonts w:hint="cs"/>
          <w:rtl/>
          <w:lang w:bidi="ar-KW"/>
        </w:rPr>
        <w:t>:</w:t>
      </w:r>
      <w:r>
        <w:rPr>
          <w:rFonts w:hint="cs"/>
          <w:rtl/>
          <w:lang w:bidi="ar-KW"/>
        </w:rPr>
        <w:t xml:space="preserve"> </w:t>
      </w:r>
      <w:r>
        <w:rPr>
          <w:rFonts w:hint="cs"/>
          <w:bCs/>
          <w:rtl/>
          <w:lang w:bidi="ar-KW"/>
        </w:rPr>
        <w:t>الأول</w:t>
      </w:r>
      <w:r>
        <w:rPr>
          <w:rFonts w:hint="cs"/>
          <w:rtl/>
          <w:lang w:bidi="ar-KW"/>
        </w:rPr>
        <w:t>: أنه لا مدخل للتأويل فيها، بل تجرى على ظاهرها ولا يؤوَّل شيء منها، وهذا قول المشبهة</w:t>
      </w:r>
      <w:r w:rsidR="000636C2">
        <w:rPr>
          <w:rFonts w:hint="cs"/>
          <w:rtl/>
          <w:lang w:bidi="ar-KW"/>
        </w:rPr>
        <w:t>،</w:t>
      </w:r>
      <w:r>
        <w:rPr>
          <w:rFonts w:hint="cs"/>
          <w:rtl/>
          <w:lang w:bidi="ar-KW"/>
        </w:rPr>
        <w:t xml:space="preserve"> </w:t>
      </w:r>
      <w:r>
        <w:rPr>
          <w:rFonts w:hint="cs"/>
          <w:bCs/>
          <w:rtl/>
          <w:lang w:bidi="ar-KW"/>
        </w:rPr>
        <w:t>والثاني</w:t>
      </w:r>
      <w:r w:rsidR="000636C2">
        <w:rPr>
          <w:rFonts w:hint="cs"/>
          <w:bCs/>
          <w:rtl/>
          <w:lang w:bidi="ar-KW"/>
        </w:rPr>
        <w:t>:</w:t>
      </w:r>
      <w:r>
        <w:rPr>
          <w:rFonts w:hint="cs"/>
          <w:rtl/>
          <w:lang w:bidi="ar-KW"/>
        </w:rPr>
        <w:t xml:space="preserve"> أن لها تأويلاً ولكنا نمسك عنه، مع تنزيه اعتقادنا عن التشبيه والتعطيل لقوله تعالى </w:t>
      </w:r>
      <w:r w:rsidR="000636C2">
        <w:rPr>
          <w:rFonts w:hint="cs"/>
          <w:bCs/>
          <w:rtl/>
          <w:lang w:bidi="ar-KW"/>
        </w:rPr>
        <w:t>(</w:t>
      </w:r>
      <w:r>
        <w:rPr>
          <w:rFonts w:hint="cs"/>
          <w:bCs/>
          <w:rtl/>
          <w:lang w:bidi="ar-KW"/>
        </w:rPr>
        <w:t>وما يعلم تأويله إلا الله</w:t>
      </w:r>
      <w:r w:rsidR="000636C2">
        <w:rPr>
          <w:rFonts w:hint="cs"/>
          <w:bCs/>
          <w:rtl/>
          <w:lang w:bidi="ar-KW"/>
        </w:rPr>
        <w:t>)</w:t>
      </w:r>
      <w:r>
        <w:rPr>
          <w:rFonts w:hint="cs"/>
          <w:rtl/>
          <w:lang w:bidi="ar-KW"/>
        </w:rPr>
        <w:t>، قال ابن برهان وهذا قول السلف...</w:t>
      </w:r>
      <w:r w:rsidR="000636C2">
        <w:rPr>
          <w:rFonts w:hint="cs"/>
          <w:rtl/>
          <w:lang w:bidi="ar-KW"/>
        </w:rPr>
        <w:t>،</w:t>
      </w:r>
      <w:r>
        <w:rPr>
          <w:rFonts w:hint="cs"/>
          <w:rtl/>
          <w:lang w:bidi="ar-KW"/>
        </w:rPr>
        <w:t xml:space="preserve"> </w:t>
      </w:r>
      <w:r>
        <w:rPr>
          <w:rFonts w:hint="cs"/>
          <w:bCs/>
          <w:rtl/>
          <w:lang w:bidi="ar-KW"/>
        </w:rPr>
        <w:t>والمذهب الثالث:</w:t>
      </w:r>
      <w:r>
        <w:rPr>
          <w:rFonts w:hint="cs"/>
          <w:rtl/>
          <w:lang w:bidi="ar-KW"/>
        </w:rPr>
        <w:t xml:space="preserve"> أنها مؤولة. قال ابن برهان، والأول من هذه المذاهب باطل،</w:t>
      </w:r>
      <w:r>
        <w:rPr>
          <w:rFonts w:hint="cs"/>
          <w:bCs/>
          <w:rtl/>
          <w:lang w:bidi="ar-KW"/>
        </w:rPr>
        <w:t xml:space="preserve"> والآخران منقـولان عن الصحابة، ونقل هذا المذهب الثالث عن علي وابن مسعود وابن عباس وأم سلمة) </w:t>
      </w:r>
      <w:r>
        <w:rPr>
          <w:rFonts w:hint="cs"/>
          <w:rtl/>
          <w:lang w:bidi="ar-KW"/>
        </w:rPr>
        <w:t xml:space="preserve">اهـ. </w:t>
      </w:r>
      <w:r w:rsidR="000636C2">
        <w:rPr>
          <w:rFonts w:hint="cs"/>
          <w:rtl/>
          <w:lang w:bidi="ar-KW"/>
        </w:rPr>
        <w:t>[</w:t>
      </w:r>
      <w:r>
        <w:rPr>
          <w:rFonts w:hint="cs"/>
          <w:rtl/>
          <w:lang w:bidi="ar-KW"/>
        </w:rPr>
        <w:t>إرشاد الفحول 176]</w:t>
      </w:r>
      <w:r w:rsidR="000636C2">
        <w:rPr>
          <w:rFonts w:hint="cs"/>
          <w:rtl/>
          <w:lang w:bidi="ar-KW"/>
        </w:rPr>
        <w:t>،</w:t>
      </w:r>
      <w:r>
        <w:rPr>
          <w:rFonts w:hint="cs"/>
          <w:rtl/>
          <w:lang w:bidi="ar-KW"/>
        </w:rPr>
        <w:t xml:space="preserve"> وهذه أقوال صريحة للعلماء</w:t>
      </w:r>
      <w:r w:rsidR="000636C2">
        <w:rPr>
          <w:rFonts w:hint="cs"/>
          <w:rtl/>
          <w:lang w:bidi="ar-KW"/>
        </w:rPr>
        <w:t xml:space="preserve"> </w:t>
      </w:r>
      <w:r>
        <w:rPr>
          <w:rFonts w:hint="cs"/>
          <w:rtl/>
          <w:lang w:bidi="ar-KW"/>
        </w:rPr>
        <w:t>بإثبات جواز التأويل عند السلف الصالح</w:t>
      </w:r>
      <w:r w:rsidR="000636C2">
        <w:rPr>
          <w:rFonts w:hint="cs"/>
          <w:rtl/>
          <w:lang w:bidi="ar-KW"/>
        </w:rPr>
        <w:t>،</w:t>
      </w:r>
      <w:r>
        <w:rPr>
          <w:rFonts w:hint="cs"/>
          <w:rtl/>
          <w:lang w:bidi="ar-KW"/>
        </w:rPr>
        <w:t xml:space="preserve"> وتصديق هذا ما سبق نقله عن حبر الأمة عبد الله بن عباس رضي الله عنهما</w:t>
      </w:r>
      <w:r w:rsidR="000636C2">
        <w:rPr>
          <w:rFonts w:hint="cs"/>
          <w:rtl/>
          <w:lang w:bidi="ar-KW"/>
        </w:rPr>
        <w:t>،</w:t>
      </w:r>
      <w:r>
        <w:rPr>
          <w:rFonts w:hint="cs"/>
          <w:rtl/>
          <w:lang w:bidi="ar-KW"/>
        </w:rPr>
        <w:t xml:space="preserve"> وعن عدد من التابعين وتابعيهم عن تأويل بعض النصوص المتشابهات ما يدعم المعنى العام الذي سيقت له الآيات</w:t>
      </w:r>
      <w:r w:rsidR="000636C2">
        <w:rPr>
          <w:rFonts w:hint="cs"/>
          <w:rtl/>
          <w:lang w:bidi="ar-KW"/>
        </w:rPr>
        <w:t>،</w:t>
      </w:r>
      <w:r>
        <w:rPr>
          <w:rFonts w:hint="cs"/>
          <w:rtl/>
          <w:lang w:bidi="ar-KW"/>
        </w:rPr>
        <w:t xml:space="preserve"> ولا بأس بإعادته هنا مختصرا</w:t>
      </w:r>
      <w:r w:rsidR="000636C2">
        <w:rPr>
          <w:rFonts w:hint="cs"/>
          <w:rtl/>
          <w:lang w:bidi="ar-KW"/>
        </w:rPr>
        <w:t>،</w:t>
      </w:r>
      <w:r>
        <w:rPr>
          <w:rFonts w:hint="cs"/>
          <w:rtl/>
          <w:lang w:bidi="ar-KW"/>
        </w:rPr>
        <w:t xml:space="preserve"> </w:t>
      </w:r>
      <w:r>
        <w:rPr>
          <w:rFonts w:hint="cs"/>
          <w:bCs/>
          <w:rtl/>
        </w:rPr>
        <w:t xml:space="preserve">إذ التأويل </w:t>
      </w:r>
      <w:r>
        <w:rPr>
          <w:rFonts w:hint="cs"/>
          <w:bCs/>
          <w:rtl/>
          <w:lang w:bidi="ar-KW"/>
        </w:rPr>
        <w:t xml:space="preserve">ثابت في التفسير </w:t>
      </w:r>
      <w:r>
        <w:rPr>
          <w:rFonts w:hint="cs"/>
          <w:bCs/>
          <w:rtl/>
          <w:lang w:val="uz-Latn-UZ"/>
        </w:rPr>
        <w:t>عن حبر الأمة وترجمان القرآن</w:t>
      </w:r>
      <w:r w:rsidR="000636C2">
        <w:rPr>
          <w:rFonts w:hint="cs"/>
          <w:bCs/>
          <w:rtl/>
          <w:lang w:val="uz-Latn-UZ"/>
        </w:rPr>
        <w:t xml:space="preserve"> </w:t>
      </w:r>
      <w:r>
        <w:rPr>
          <w:rFonts w:hint="cs"/>
          <w:bCs/>
          <w:rtl/>
          <w:lang w:val="uz-Latn-UZ"/>
        </w:rPr>
        <w:t>عبد الله بن عباس رضي الله عنه</w:t>
      </w:r>
      <w:r w:rsidR="000636C2">
        <w:rPr>
          <w:rFonts w:hint="cs"/>
          <w:rtl/>
        </w:rPr>
        <w:t>،</w:t>
      </w:r>
      <w:r>
        <w:rPr>
          <w:rFonts w:hint="cs"/>
          <w:rtl/>
        </w:rPr>
        <w:t xml:space="preserve"> </w:t>
      </w:r>
      <w:r>
        <w:rPr>
          <w:rFonts w:hint="cs"/>
          <w:bCs/>
          <w:rtl/>
          <w:lang w:val="uz-Latn-UZ"/>
        </w:rPr>
        <w:t xml:space="preserve">ومن ذلك </w:t>
      </w:r>
      <w:r>
        <w:rPr>
          <w:rFonts w:hint="cs"/>
          <w:bCs/>
          <w:rtl/>
        </w:rPr>
        <w:t xml:space="preserve">تأويله رضي الله عنه </w:t>
      </w:r>
      <w:r>
        <w:rPr>
          <w:rFonts w:hint="cs"/>
          <w:color w:val="000000"/>
          <w:rtl/>
          <w:lang w:val="uz-Latn-UZ"/>
        </w:rPr>
        <w:t xml:space="preserve">للكرسي في قوله تعالى </w:t>
      </w:r>
      <w:r w:rsidR="000636C2">
        <w:rPr>
          <w:rFonts w:hint="cs"/>
          <w:color w:val="000000"/>
          <w:rtl/>
          <w:lang w:val="uz-Latn-UZ"/>
        </w:rPr>
        <w:t>(</w:t>
      </w:r>
      <w:r>
        <w:rPr>
          <w:rFonts w:hint="cs"/>
          <w:color w:val="000000"/>
          <w:rtl/>
          <w:lang w:val="uz-Latn-UZ"/>
        </w:rPr>
        <w:t>وسع كرسيه السموات والأرض</w:t>
      </w:r>
      <w:r w:rsidR="000636C2">
        <w:rPr>
          <w:rFonts w:hint="cs"/>
          <w:color w:val="000000"/>
          <w:rtl/>
          <w:lang w:val="uz-Latn-UZ"/>
        </w:rPr>
        <w:t>)</w:t>
      </w:r>
      <w:r>
        <w:rPr>
          <w:rFonts w:hint="cs"/>
          <w:color w:val="000000"/>
          <w:rtl/>
          <w:lang w:val="uz-Latn-UZ"/>
        </w:rPr>
        <w:t xml:space="preserve"> بعلم الله [</w:t>
      </w:r>
      <w:r>
        <w:rPr>
          <w:rFonts w:hint="cs"/>
          <w:color w:val="000000"/>
          <w:spacing w:val="-6"/>
          <w:rtl/>
          <w:lang w:val="uz-Latn-UZ"/>
        </w:rPr>
        <w:t>تفسير الطبري (3 / 7)</w:t>
      </w:r>
      <w:r w:rsidR="000636C2">
        <w:rPr>
          <w:rFonts w:hint="cs"/>
          <w:color w:val="000000"/>
          <w:rtl/>
          <w:lang w:val="uz-Latn-UZ"/>
        </w:rPr>
        <w:t>]،</w:t>
      </w:r>
      <w:r>
        <w:rPr>
          <w:rFonts w:hint="cs"/>
          <w:color w:val="000000"/>
          <w:rtl/>
          <w:lang w:val="uz-Latn-UZ"/>
        </w:rPr>
        <w:t xml:space="preserve"> وتأويله رضي الله عنه للفظ (الأعين) في قوله تعالى </w:t>
      </w:r>
      <w:r w:rsidR="000636C2">
        <w:rPr>
          <w:rFonts w:hint="cs"/>
          <w:color w:val="000000"/>
          <w:rtl/>
          <w:lang w:val="uz-Latn-UZ"/>
        </w:rPr>
        <w:t>(</w:t>
      </w:r>
      <w:r>
        <w:rPr>
          <w:rFonts w:hint="cs"/>
          <w:color w:val="000000"/>
          <w:rtl/>
          <w:lang w:val="uz-Latn-UZ"/>
        </w:rPr>
        <w:t>واصنع الفلك بأعيننا</w:t>
      </w:r>
      <w:r w:rsidR="000636C2">
        <w:rPr>
          <w:rFonts w:hint="cs"/>
          <w:color w:val="000000"/>
          <w:rtl/>
          <w:lang w:val="uz-Latn-UZ"/>
        </w:rPr>
        <w:t>)</w:t>
      </w:r>
      <w:r>
        <w:rPr>
          <w:rFonts w:hint="cs"/>
          <w:color w:val="000000"/>
          <w:rtl/>
          <w:lang w:val="uz-Latn-UZ"/>
        </w:rPr>
        <w:t xml:space="preserve"> قال رضي الله عنه: </w:t>
      </w:r>
      <w:r w:rsidR="000636C2">
        <w:rPr>
          <w:rFonts w:hint="cs"/>
          <w:color w:val="000000"/>
          <w:rtl/>
          <w:lang w:val="uz-Latn-UZ"/>
        </w:rPr>
        <w:t>(</w:t>
      </w:r>
      <w:r>
        <w:rPr>
          <w:rFonts w:hint="cs"/>
          <w:color w:val="000000"/>
          <w:rtl/>
          <w:lang w:val="uz-Latn-UZ"/>
        </w:rPr>
        <w:t>بمرأى منا</w:t>
      </w:r>
      <w:r w:rsidR="000636C2">
        <w:rPr>
          <w:rFonts w:hint="cs"/>
          <w:color w:val="000000"/>
          <w:rtl/>
          <w:lang w:val="uz-Latn-UZ"/>
        </w:rPr>
        <w:t>)</w:t>
      </w:r>
      <w:r>
        <w:rPr>
          <w:rFonts w:hint="cs"/>
          <w:color w:val="000000"/>
          <w:rtl/>
          <w:lang w:val="uz-Latn-UZ"/>
        </w:rPr>
        <w:t xml:space="preserve"> </w:t>
      </w:r>
      <w:r w:rsidR="000636C2">
        <w:rPr>
          <w:rFonts w:hint="cs"/>
          <w:color w:val="000000"/>
          <w:rtl/>
          <w:lang w:val="uz-Latn-UZ"/>
        </w:rPr>
        <w:t>[</w:t>
      </w:r>
      <w:r>
        <w:rPr>
          <w:rFonts w:hint="cs"/>
          <w:color w:val="000000"/>
          <w:rtl/>
          <w:lang w:val="uz-Latn-UZ"/>
        </w:rPr>
        <w:t>تفسير البغوي 2 / 322</w:t>
      </w:r>
      <w:r w:rsidR="000636C2">
        <w:rPr>
          <w:rFonts w:hint="cs"/>
          <w:color w:val="000000"/>
          <w:rtl/>
          <w:lang w:val="uz-Latn-UZ"/>
        </w:rPr>
        <w:t>]،</w:t>
      </w:r>
      <w:r>
        <w:rPr>
          <w:rFonts w:hint="cs"/>
          <w:color w:val="000000"/>
          <w:rtl/>
          <w:lang w:val="uz-Latn-UZ"/>
        </w:rPr>
        <w:t xml:space="preserve"> وتأويله رضي الله عنه للفظ </w:t>
      </w:r>
      <w:r w:rsidR="000636C2">
        <w:rPr>
          <w:rFonts w:hint="cs"/>
          <w:color w:val="000000"/>
          <w:rtl/>
          <w:lang w:val="uz-Latn-UZ"/>
        </w:rPr>
        <w:t>(</w:t>
      </w:r>
      <w:r>
        <w:rPr>
          <w:rFonts w:hint="cs"/>
          <w:color w:val="000000"/>
          <w:rtl/>
          <w:lang w:val="uz-Latn-UZ"/>
        </w:rPr>
        <w:t xml:space="preserve">الأيد) في قوله تعالى </w:t>
      </w:r>
      <w:r w:rsidR="000636C2">
        <w:rPr>
          <w:rFonts w:hint="cs"/>
          <w:color w:val="000000"/>
          <w:rtl/>
          <w:lang w:val="uz-Latn-UZ"/>
        </w:rPr>
        <w:t>(</w:t>
      </w:r>
      <w:r>
        <w:rPr>
          <w:rFonts w:hint="cs"/>
          <w:color w:val="000000"/>
          <w:rtl/>
          <w:lang w:val="uz-Latn-UZ"/>
        </w:rPr>
        <w:t>والسماء بنيناها بأييد</w:t>
      </w:r>
      <w:r w:rsidR="000636C2">
        <w:rPr>
          <w:rFonts w:hint="cs"/>
          <w:color w:val="000000"/>
          <w:rtl/>
          <w:lang w:val="uz-Latn-UZ"/>
        </w:rPr>
        <w:t>)</w:t>
      </w:r>
      <w:r>
        <w:rPr>
          <w:rFonts w:hint="cs"/>
          <w:color w:val="000000"/>
          <w:rtl/>
          <w:lang w:val="uz-Latn-UZ"/>
        </w:rPr>
        <w:t xml:space="preserve"> قال رضي الله عنه: </w:t>
      </w:r>
      <w:r w:rsidR="000636C2">
        <w:rPr>
          <w:rFonts w:hint="cs"/>
          <w:color w:val="000000"/>
          <w:rtl/>
          <w:lang w:val="uz-Latn-UZ"/>
        </w:rPr>
        <w:t>(</w:t>
      </w:r>
      <w:r>
        <w:rPr>
          <w:rFonts w:hint="cs"/>
          <w:color w:val="000000"/>
          <w:rtl/>
          <w:lang w:val="uz-Latn-UZ"/>
        </w:rPr>
        <w:t>بقوّة وقدرة</w:t>
      </w:r>
      <w:r w:rsidR="000636C2">
        <w:rPr>
          <w:rFonts w:hint="cs"/>
          <w:color w:val="000000"/>
          <w:rtl/>
          <w:lang w:val="uz-Latn-UZ"/>
        </w:rPr>
        <w:t>)</w:t>
      </w:r>
      <w:r>
        <w:rPr>
          <w:rFonts w:hint="cs"/>
          <w:color w:val="000000"/>
          <w:rtl/>
          <w:lang w:val="uz-Latn-UZ"/>
        </w:rPr>
        <w:t xml:space="preserve"> </w:t>
      </w:r>
      <w:r w:rsidR="000636C2">
        <w:rPr>
          <w:rFonts w:hint="cs"/>
          <w:color w:val="000000"/>
          <w:rtl/>
          <w:lang w:val="uz-Latn-UZ"/>
        </w:rPr>
        <w:t>[</w:t>
      </w:r>
      <w:r>
        <w:rPr>
          <w:rFonts w:hint="cs"/>
          <w:color w:val="000000"/>
          <w:rtl/>
          <w:lang w:val="uz-Latn-UZ"/>
        </w:rPr>
        <w:t>القرطبي17 / 52</w:t>
      </w:r>
      <w:r w:rsidR="000636C2">
        <w:rPr>
          <w:rFonts w:hint="cs"/>
          <w:color w:val="000000"/>
          <w:rtl/>
          <w:lang w:val="uz-Latn-UZ"/>
        </w:rPr>
        <w:t>]،</w:t>
      </w:r>
      <w:r>
        <w:rPr>
          <w:rFonts w:hint="cs"/>
          <w:color w:val="000000"/>
          <w:rtl/>
          <w:lang w:val="uz-Latn-UZ"/>
        </w:rPr>
        <w:t xml:space="preserve"> تأويله رضي الله عنه للنور في قوله تعالى </w:t>
      </w:r>
      <w:r w:rsidR="000636C2">
        <w:rPr>
          <w:rFonts w:hint="cs"/>
          <w:color w:val="000000"/>
          <w:rtl/>
          <w:lang w:val="uz-Latn-UZ"/>
        </w:rPr>
        <w:t>(</w:t>
      </w:r>
      <w:r>
        <w:rPr>
          <w:rFonts w:hint="cs"/>
          <w:color w:val="000000"/>
          <w:rtl/>
          <w:lang w:val="uz-Latn-UZ"/>
        </w:rPr>
        <w:t>الله نور السموات والأرض</w:t>
      </w:r>
      <w:r w:rsidR="000636C2">
        <w:rPr>
          <w:rFonts w:hint="cs"/>
          <w:color w:val="000000"/>
          <w:rtl/>
          <w:lang w:val="uz-Latn-UZ"/>
        </w:rPr>
        <w:t>)</w:t>
      </w:r>
      <w:r>
        <w:rPr>
          <w:rFonts w:hint="cs"/>
          <w:color w:val="000000"/>
          <w:rtl/>
          <w:lang w:val="uz-Latn-UZ"/>
        </w:rPr>
        <w:t xml:space="preserve"> بالهادي </w:t>
      </w:r>
      <w:r w:rsidR="000636C2">
        <w:rPr>
          <w:rFonts w:hint="cs"/>
          <w:color w:val="000000"/>
          <w:rtl/>
          <w:lang w:val="uz-Latn-UZ"/>
        </w:rPr>
        <w:t>[</w:t>
      </w:r>
      <w:r>
        <w:rPr>
          <w:rFonts w:hint="cs"/>
          <w:color w:val="000000"/>
          <w:spacing w:val="-10"/>
          <w:rtl/>
          <w:lang w:val="uz-Latn-UZ"/>
        </w:rPr>
        <w:t>تفسير الطبري (18/135)</w:t>
      </w:r>
      <w:r w:rsidR="000636C2">
        <w:rPr>
          <w:rFonts w:hint="cs"/>
          <w:color w:val="000000"/>
          <w:spacing w:val="-10"/>
          <w:rtl/>
          <w:lang w:val="uz-Latn-UZ"/>
        </w:rPr>
        <w:t>]،</w:t>
      </w:r>
      <w:r>
        <w:rPr>
          <w:rFonts w:hint="cs"/>
          <w:color w:val="000000"/>
          <w:spacing w:val="-10"/>
          <w:rtl/>
          <w:lang w:val="uz-Latn-UZ"/>
        </w:rPr>
        <w:t xml:space="preserve"> و</w:t>
      </w:r>
      <w:r>
        <w:rPr>
          <w:rFonts w:hint="cs"/>
          <w:color w:val="000000"/>
          <w:rtl/>
          <w:lang w:val="uz-Latn-UZ"/>
        </w:rPr>
        <w:t xml:space="preserve">تأويله رضي الله عنه للفظ (الساق) في قوله تعالى </w:t>
      </w:r>
      <w:r w:rsidR="000636C2">
        <w:rPr>
          <w:rFonts w:hint="cs"/>
          <w:color w:val="000000"/>
          <w:rtl/>
          <w:lang w:val="uz-Latn-UZ"/>
        </w:rPr>
        <w:t>(</w:t>
      </w:r>
      <w:r>
        <w:rPr>
          <w:rFonts w:hint="cs"/>
          <w:color w:val="000000"/>
          <w:rtl/>
          <w:lang w:val="uz-Latn-UZ"/>
        </w:rPr>
        <w:t>يوم يُكشف عن ساق</w:t>
      </w:r>
      <w:r w:rsidR="000636C2">
        <w:rPr>
          <w:rFonts w:hint="cs"/>
          <w:color w:val="000000"/>
          <w:rtl/>
          <w:lang w:val="uz-Latn-UZ"/>
        </w:rPr>
        <w:t>)</w:t>
      </w:r>
      <w:r>
        <w:rPr>
          <w:rFonts w:hint="cs"/>
          <w:color w:val="000000"/>
          <w:rtl/>
          <w:lang w:val="uz-Latn-UZ"/>
        </w:rPr>
        <w:t xml:space="preserve"> بالكرب شديـد </w:t>
      </w:r>
      <w:r w:rsidR="000636C2">
        <w:rPr>
          <w:rFonts w:hint="cs"/>
          <w:color w:val="000000"/>
          <w:rtl/>
          <w:lang w:val="uz-Latn-UZ"/>
        </w:rPr>
        <w:t>[</w:t>
      </w:r>
      <w:r>
        <w:rPr>
          <w:rFonts w:hint="cs"/>
          <w:color w:val="000000"/>
          <w:rtl/>
          <w:lang w:val="uz-Latn-UZ"/>
        </w:rPr>
        <w:t>الطبري 29 / 38، القرطبي 18 / 249]</w:t>
      </w:r>
      <w:r w:rsidR="000636C2">
        <w:rPr>
          <w:rFonts w:hint="cs"/>
          <w:color w:val="000000"/>
          <w:rtl/>
          <w:lang w:val="uz-Latn-UZ"/>
        </w:rPr>
        <w:t>،</w:t>
      </w:r>
      <w:r>
        <w:rPr>
          <w:rFonts w:hint="cs"/>
          <w:color w:val="000000"/>
          <w:rtl/>
          <w:lang w:val="uz-Latn-UZ"/>
        </w:rPr>
        <w:t xml:space="preserve"> فهذه هي تأويلات حبر الأمة وترجمان القرآن الذي دعـا له رسول الله </w:t>
      </w:r>
      <w:r>
        <w:rPr>
          <w:rFonts w:hint="cs"/>
          <w:color w:val="000000"/>
          <w:rtl/>
        </w:rPr>
        <w:t xml:space="preserve">‘ </w:t>
      </w:r>
      <w:r>
        <w:rPr>
          <w:rFonts w:hint="cs"/>
          <w:color w:val="000000"/>
          <w:rtl/>
          <w:lang w:val="uz-Latn-UZ"/>
        </w:rPr>
        <w:t>بقوله: (اللهمّ فقّهه في الدين وعلمه التأويل)</w:t>
      </w:r>
      <w:r w:rsidR="000636C2">
        <w:rPr>
          <w:rFonts w:hint="cs"/>
          <w:color w:val="000000"/>
          <w:rtl/>
          <w:lang w:val="uz-Latn-UZ"/>
        </w:rPr>
        <w:t>،</w:t>
      </w:r>
      <w:r>
        <w:rPr>
          <w:rFonts w:hint="cs"/>
          <w:color w:val="000000"/>
          <w:rtl/>
          <w:lang w:val="uz-Latn-UZ"/>
        </w:rPr>
        <w:t xml:space="preserve"> </w:t>
      </w:r>
      <w:r>
        <w:rPr>
          <w:rFonts w:hint="cs"/>
          <w:bCs/>
          <w:color w:val="000000"/>
          <w:rtl/>
          <w:lang w:val="uz-Latn-UZ"/>
        </w:rPr>
        <w:t>ومن تأويلات التابعين</w:t>
      </w:r>
      <w:r w:rsidR="000636C2">
        <w:rPr>
          <w:rFonts w:hint="cs"/>
          <w:color w:val="000000"/>
          <w:rtl/>
          <w:lang w:val="uz-Latn-UZ"/>
        </w:rPr>
        <w:t>:</w:t>
      </w:r>
      <w:r>
        <w:rPr>
          <w:rFonts w:hint="cs"/>
          <w:color w:val="000000"/>
          <w:rtl/>
          <w:lang w:val="uz-Latn-UZ"/>
        </w:rPr>
        <w:t xml:space="preserve"> تأويل مجاهد والسدي للفظ (الجنب</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أن تقول نفس يا حسرتى على ما فرّطت في جنب الله</w:t>
      </w:r>
      <w:r w:rsidR="000636C2">
        <w:rPr>
          <w:rFonts w:hint="cs"/>
          <w:color w:val="000000"/>
          <w:rtl/>
          <w:lang w:val="uz-Latn-UZ"/>
        </w:rPr>
        <w:t>)</w:t>
      </w:r>
      <w:r>
        <w:rPr>
          <w:rFonts w:hint="cs"/>
          <w:color w:val="000000"/>
          <w:rtl/>
          <w:lang w:val="uz-Latn-UZ"/>
        </w:rPr>
        <w:t xml:space="preserve"> قال مجاهد: في أمر الله، وقال السدي: على ما تركت من أمر الله. </w:t>
      </w:r>
      <w:r w:rsidR="000636C2">
        <w:rPr>
          <w:rFonts w:hint="cs"/>
          <w:color w:val="000000"/>
          <w:rtl/>
          <w:lang w:val="uz-Latn-UZ"/>
        </w:rPr>
        <w:t>[</w:t>
      </w:r>
      <w:r>
        <w:rPr>
          <w:rFonts w:hint="cs"/>
          <w:color w:val="000000"/>
          <w:rtl/>
          <w:lang w:val="uz-Latn-UZ"/>
        </w:rPr>
        <w:t>تفسير الطبري (24 / 19)</w:t>
      </w:r>
      <w:r w:rsidR="000636C2">
        <w:rPr>
          <w:rFonts w:hint="cs"/>
          <w:color w:val="000000"/>
          <w:rtl/>
          <w:lang w:val="uz-Latn-UZ"/>
        </w:rPr>
        <w:t>]،</w:t>
      </w:r>
      <w:r>
        <w:rPr>
          <w:rFonts w:hint="cs"/>
          <w:color w:val="000000"/>
          <w:rtl/>
          <w:lang w:val="uz-Latn-UZ"/>
        </w:rPr>
        <w:t xml:space="preserve"> وتأويل الضحاك وقتادة وسعيد بن جبير للفظ (الساق) قال الضحاك: هو أمر شديد، وقال قتادة: أمر فظيع وشدّة الأمر، وقال سعيد: شدة الأمر.</w:t>
      </w:r>
      <w:r w:rsidR="000636C2">
        <w:rPr>
          <w:rFonts w:hint="cs"/>
          <w:color w:val="000000"/>
          <w:rtl/>
          <w:lang w:val="uz-Latn-UZ"/>
        </w:rPr>
        <w:t>[</w:t>
      </w:r>
      <w:r>
        <w:rPr>
          <w:rFonts w:hint="cs"/>
          <w:color w:val="000000"/>
          <w:rtl/>
          <w:lang w:val="uz-Latn-UZ"/>
        </w:rPr>
        <w:t>تفسير الطبري (29 / 38 – 39)</w:t>
      </w:r>
      <w:r w:rsidR="000636C2">
        <w:rPr>
          <w:rFonts w:hint="cs"/>
          <w:color w:val="000000"/>
          <w:rtl/>
          <w:lang w:val="uz-Latn-UZ"/>
        </w:rPr>
        <w:t>]،</w:t>
      </w:r>
      <w:r>
        <w:rPr>
          <w:rFonts w:hint="cs"/>
          <w:color w:val="000000"/>
          <w:rtl/>
          <w:lang w:val="uz-Latn-UZ"/>
        </w:rPr>
        <w:t xml:space="preserve"> وتأويل مجاهد والضحاك وأبي عبيدة للفظ (الوجه)</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فأينما تولُّوا فثم وجه الله</w:t>
      </w:r>
      <w:r w:rsidR="000636C2">
        <w:rPr>
          <w:rFonts w:hint="cs"/>
          <w:color w:val="000000"/>
          <w:rtl/>
          <w:lang w:val="uz-Latn-UZ"/>
        </w:rPr>
        <w:t>)</w:t>
      </w:r>
      <w:r>
        <w:rPr>
          <w:rFonts w:hint="cs"/>
          <w:color w:val="000000"/>
          <w:rtl/>
          <w:lang w:val="uz-Latn-UZ"/>
        </w:rPr>
        <w:t xml:space="preserve"> بقبلة الله </w:t>
      </w:r>
      <w:r w:rsidR="000636C2">
        <w:rPr>
          <w:rFonts w:hint="cs"/>
          <w:color w:val="000000"/>
          <w:rtl/>
          <w:lang w:val="uz-Latn-UZ"/>
        </w:rPr>
        <w:lastRenderedPageBreak/>
        <w:t>[</w:t>
      </w:r>
      <w:r>
        <w:rPr>
          <w:rFonts w:hint="cs"/>
          <w:color w:val="000000"/>
          <w:rtl/>
          <w:lang w:val="uz-Latn-UZ"/>
        </w:rPr>
        <w:t>(الطبري 1 / 402</w:t>
      </w:r>
      <w:r w:rsidR="000636C2">
        <w:rPr>
          <w:rFonts w:hint="cs"/>
          <w:color w:val="000000"/>
          <w:rtl/>
          <w:lang w:val="uz-Latn-UZ"/>
        </w:rPr>
        <w:t>]،</w:t>
      </w:r>
      <w:r>
        <w:rPr>
          <w:rFonts w:hint="cs"/>
          <w:color w:val="000000"/>
          <w:rtl/>
          <w:lang w:val="uz-Latn-UZ"/>
        </w:rPr>
        <w:t xml:space="preserve"> وقال الضحاك وأبو عبيدة في قوله تعالى</w:t>
      </w:r>
      <w:r w:rsidR="000636C2">
        <w:rPr>
          <w:rFonts w:hint="cs"/>
          <w:color w:val="000000"/>
          <w:rtl/>
          <w:lang w:val="uz-Latn-UZ"/>
        </w:rPr>
        <w:t xml:space="preserve"> (</w:t>
      </w:r>
      <w:r>
        <w:rPr>
          <w:rFonts w:hint="cs"/>
          <w:color w:val="000000"/>
          <w:rtl/>
          <w:lang w:val="uz-Latn-UZ"/>
        </w:rPr>
        <w:t>كلُّ شيء هالك إلا وجهه</w:t>
      </w:r>
      <w:r w:rsidR="000636C2">
        <w:rPr>
          <w:rFonts w:hint="cs"/>
          <w:color w:val="000000"/>
          <w:rtl/>
          <w:lang w:val="uz-Latn-UZ"/>
        </w:rPr>
        <w:t>):</w:t>
      </w:r>
      <w:r>
        <w:rPr>
          <w:rFonts w:hint="cs"/>
          <w:color w:val="000000"/>
          <w:rtl/>
          <w:lang w:val="uz-Latn-UZ"/>
        </w:rPr>
        <w:t xml:space="preserve"> أي إلا هو </w:t>
      </w:r>
      <w:r w:rsidR="000636C2">
        <w:rPr>
          <w:rFonts w:hint="cs"/>
          <w:color w:val="000000"/>
          <w:rtl/>
          <w:lang w:val="uz-Latn-UZ"/>
        </w:rPr>
        <w:t>[</w:t>
      </w:r>
      <w:r>
        <w:rPr>
          <w:rFonts w:hint="cs"/>
          <w:color w:val="000000"/>
          <w:rtl/>
          <w:lang w:val="uz-Latn-UZ"/>
        </w:rPr>
        <w:t xml:space="preserve">دفع شبه التشبيه ص / 113] وتأويل الحسن البصري </w:t>
      </w:r>
      <w:r w:rsidR="000636C2">
        <w:rPr>
          <w:rFonts w:hint="cs"/>
          <w:color w:val="000000"/>
          <w:rtl/>
          <w:lang w:val="uz-Latn-UZ"/>
        </w:rPr>
        <w:t>(</w:t>
      </w:r>
      <w:r>
        <w:rPr>
          <w:rFonts w:hint="cs"/>
          <w:color w:val="000000"/>
          <w:rtl/>
          <w:lang w:val="uz-Latn-UZ"/>
        </w:rPr>
        <w:t>المجيء</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وجاء ربك</w:t>
      </w:r>
      <w:r w:rsidR="000636C2">
        <w:rPr>
          <w:rFonts w:hint="cs"/>
          <w:color w:val="000000"/>
          <w:rtl/>
          <w:lang w:val="uz-Latn-UZ"/>
        </w:rPr>
        <w:t>):</w:t>
      </w:r>
      <w:r>
        <w:rPr>
          <w:rFonts w:hint="cs"/>
          <w:color w:val="000000"/>
          <w:rtl/>
          <w:lang w:val="uz-Latn-UZ"/>
        </w:rPr>
        <w:t xml:space="preserve"> بمجيء أمره وقضاؤه </w:t>
      </w:r>
      <w:r w:rsidR="000636C2">
        <w:rPr>
          <w:rFonts w:hint="cs"/>
          <w:color w:val="000000"/>
          <w:rtl/>
          <w:lang w:val="uz-Latn-UZ"/>
        </w:rPr>
        <w:t>[</w:t>
      </w:r>
      <w:r>
        <w:rPr>
          <w:rFonts w:hint="cs"/>
          <w:color w:val="000000"/>
          <w:rtl/>
          <w:lang w:val="uz-Latn-UZ"/>
        </w:rPr>
        <w:t>تفسير البغوي 4 / 454</w:t>
      </w:r>
      <w:r w:rsidR="000636C2">
        <w:rPr>
          <w:rFonts w:hint="cs"/>
          <w:color w:val="000000"/>
          <w:rtl/>
          <w:lang w:val="uz-Latn-UZ"/>
        </w:rPr>
        <w:t>]،</w:t>
      </w:r>
      <w:r>
        <w:rPr>
          <w:rFonts w:hint="cs"/>
          <w:color w:val="000000"/>
          <w:rtl/>
          <w:lang w:val="uz-Latn-UZ"/>
        </w:rPr>
        <w:t xml:space="preserve"> وتأويله </w:t>
      </w:r>
      <w:r w:rsidR="000636C2">
        <w:rPr>
          <w:rFonts w:hint="cs"/>
          <w:color w:val="000000"/>
          <w:rtl/>
          <w:lang w:val="uz-Latn-UZ"/>
        </w:rPr>
        <w:t>(</w:t>
      </w:r>
      <w:r>
        <w:rPr>
          <w:rFonts w:hint="cs"/>
          <w:color w:val="000000"/>
          <w:rtl/>
          <w:lang w:val="uz-Latn-UZ"/>
        </w:rPr>
        <w:t>الجنب</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أن تقول نفس يا حسرتى على ما فرطت في جنب الله</w:t>
      </w:r>
      <w:r w:rsidR="000636C2">
        <w:rPr>
          <w:rFonts w:hint="cs"/>
          <w:color w:val="000000"/>
          <w:rtl/>
          <w:lang w:val="uz-Latn-UZ"/>
        </w:rPr>
        <w:t>)</w:t>
      </w:r>
      <w:r>
        <w:rPr>
          <w:rFonts w:hint="cs"/>
          <w:color w:val="000000"/>
          <w:rtl/>
          <w:lang w:val="uz-Latn-UZ"/>
        </w:rPr>
        <w:t xml:space="preserve"> قال: في طاعة الله. </w:t>
      </w:r>
      <w:r w:rsidR="000636C2">
        <w:rPr>
          <w:rFonts w:hint="cs"/>
          <w:color w:val="000000"/>
          <w:rtl/>
          <w:lang w:val="uz-Latn-UZ"/>
        </w:rPr>
        <w:t>[</w:t>
      </w:r>
      <w:r>
        <w:rPr>
          <w:rFonts w:hint="cs"/>
          <w:color w:val="000000"/>
          <w:rtl/>
          <w:lang w:val="uz-Latn-UZ"/>
        </w:rPr>
        <w:t>روح المعاني تفسير الآية 56 من سورة الزمر</w:t>
      </w:r>
      <w:r w:rsidR="000636C2">
        <w:rPr>
          <w:rFonts w:hint="cs"/>
          <w:color w:val="000000"/>
          <w:rtl/>
          <w:lang w:val="uz-Latn-UZ"/>
        </w:rPr>
        <w:t>]،</w:t>
      </w:r>
      <w:r>
        <w:rPr>
          <w:rFonts w:hint="cs"/>
          <w:color w:val="000000"/>
          <w:rtl/>
          <w:lang w:val="uz-Latn-UZ"/>
        </w:rPr>
        <w:t xml:space="preserve"> </w:t>
      </w:r>
      <w:r>
        <w:rPr>
          <w:rFonts w:hint="cs"/>
          <w:bCs/>
          <w:color w:val="000000"/>
          <w:rtl/>
          <w:lang w:val="uz-Latn-UZ"/>
        </w:rPr>
        <w:t>ومن تأويلات تابعي التابعين</w:t>
      </w:r>
      <w:r w:rsidR="000636C2">
        <w:rPr>
          <w:rFonts w:hint="cs"/>
          <w:color w:val="000000"/>
          <w:rtl/>
          <w:lang w:val="uz-Latn-UZ"/>
        </w:rPr>
        <w:t>،</w:t>
      </w:r>
      <w:r>
        <w:rPr>
          <w:rFonts w:hint="cs"/>
          <w:color w:val="000000"/>
          <w:rtl/>
          <w:lang w:val="uz-Latn-UZ"/>
        </w:rPr>
        <w:t xml:space="preserve"> تأويل سفيان الثوري للاستواء في قوله تعالى </w:t>
      </w:r>
      <w:r w:rsidR="000636C2">
        <w:rPr>
          <w:rFonts w:hint="cs"/>
          <w:color w:val="000000"/>
          <w:rtl/>
          <w:lang w:val="uz-Latn-UZ"/>
        </w:rPr>
        <w:t>(</w:t>
      </w:r>
      <w:r>
        <w:rPr>
          <w:rFonts w:hint="cs"/>
          <w:color w:val="000000"/>
          <w:rtl/>
          <w:lang w:val="uz-Latn-UZ"/>
        </w:rPr>
        <w:t>ثم استوي إلى السماء</w:t>
      </w:r>
      <w:r w:rsidR="000636C2">
        <w:rPr>
          <w:rFonts w:hint="cs"/>
          <w:color w:val="000000"/>
          <w:rtl/>
          <w:lang w:val="uz-Latn-UZ"/>
        </w:rPr>
        <w:t>)</w:t>
      </w:r>
      <w:r>
        <w:rPr>
          <w:rFonts w:hint="cs"/>
          <w:color w:val="000000"/>
          <w:rtl/>
          <w:lang w:val="uz-Latn-UZ"/>
        </w:rPr>
        <w:t xml:space="preserve"> بالقصد إليها </w:t>
      </w:r>
      <w:r w:rsidR="000636C2">
        <w:rPr>
          <w:rFonts w:hint="cs"/>
          <w:color w:val="000000"/>
          <w:rtl/>
          <w:lang w:val="uz-Latn-UZ"/>
        </w:rPr>
        <w:t>[</w:t>
      </w:r>
      <w:r>
        <w:rPr>
          <w:rFonts w:hint="cs"/>
          <w:color w:val="000000"/>
          <w:rtl/>
          <w:lang w:val="uz-Latn-UZ"/>
        </w:rPr>
        <w:t>مرقاة المفاتيح 2 / 137</w:t>
      </w:r>
      <w:r w:rsidR="000636C2">
        <w:rPr>
          <w:rFonts w:hint="cs"/>
          <w:color w:val="000000"/>
          <w:rtl/>
          <w:lang w:val="uz-Latn-UZ"/>
        </w:rPr>
        <w:t>]،</w:t>
      </w:r>
      <w:r>
        <w:rPr>
          <w:rFonts w:hint="cs"/>
          <w:color w:val="000000"/>
          <w:rtl/>
          <w:lang w:val="uz-Latn-UZ"/>
        </w:rPr>
        <w:t xml:space="preserve"> وتأويل الإمام مالك بن أنس للنزول في حديث النزول</w:t>
      </w:r>
      <w:r w:rsidR="000636C2">
        <w:rPr>
          <w:rFonts w:hint="cs"/>
          <w:color w:val="000000"/>
          <w:rtl/>
          <w:lang w:val="uz-Latn-UZ"/>
        </w:rPr>
        <w:t>،</w:t>
      </w:r>
      <w:r>
        <w:rPr>
          <w:rFonts w:hint="cs"/>
          <w:color w:val="000000"/>
          <w:rtl/>
          <w:lang w:val="uz-Latn-UZ"/>
        </w:rPr>
        <w:t xml:space="preserve"> بقوله</w:t>
      </w:r>
      <w:r w:rsidR="000636C2">
        <w:rPr>
          <w:rFonts w:hint="cs"/>
          <w:color w:val="000000"/>
          <w:rtl/>
          <w:lang w:val="uz-Latn-UZ"/>
        </w:rPr>
        <w:t xml:space="preserve">: </w:t>
      </w:r>
      <w:r>
        <w:rPr>
          <w:rFonts w:hint="cs"/>
          <w:color w:val="000000"/>
          <w:rtl/>
          <w:lang w:val="uz-Latn-UZ"/>
        </w:rPr>
        <w:t xml:space="preserve">(ينزل أمره - تعالى - كل سَحَر، فأما هو عزّ وجلّ فإنه دائم لا يزول ولا ينتقل سبحانه لا إله إلى هو) اهـ </w:t>
      </w:r>
      <w:r w:rsidR="000636C2">
        <w:rPr>
          <w:rFonts w:hint="cs"/>
          <w:color w:val="000000"/>
          <w:rtl/>
          <w:lang w:val="uz-Latn-UZ"/>
        </w:rPr>
        <w:t>[</w:t>
      </w:r>
      <w:r>
        <w:rPr>
          <w:rFonts w:hint="cs"/>
          <w:color w:val="000000"/>
          <w:rtl/>
          <w:lang w:val="uz-Latn-UZ"/>
        </w:rPr>
        <w:t>التمهيد 7 / 143، سير أعلام النبلاء 8 / 105</w:t>
      </w:r>
      <w:r w:rsidR="000636C2">
        <w:rPr>
          <w:rFonts w:hint="cs"/>
          <w:color w:val="000000"/>
          <w:rtl/>
          <w:lang w:val="uz-Latn-UZ"/>
        </w:rPr>
        <w:t>،</w:t>
      </w:r>
      <w:r>
        <w:rPr>
          <w:rFonts w:hint="cs"/>
          <w:color w:val="000000"/>
          <w:rtl/>
          <w:lang w:val="uz-Latn-UZ"/>
        </w:rPr>
        <w:t xml:space="preserve"> الرسالة الوافية لأبي عمرو الداني ص/136، شرح النووي على صحيح مسلم 6 / 37، الإنصاف لابن السيد البطليوسي ص / 82]</w:t>
      </w:r>
      <w:r w:rsidR="000636C2">
        <w:rPr>
          <w:rFonts w:hint="cs"/>
          <w:color w:val="000000"/>
          <w:rtl/>
          <w:lang w:val="uz-Latn-UZ"/>
        </w:rPr>
        <w:t>،</w:t>
      </w:r>
      <w:r>
        <w:rPr>
          <w:rFonts w:hint="cs"/>
          <w:color w:val="000000"/>
          <w:rtl/>
          <w:lang w:val="uz-Latn-UZ"/>
        </w:rPr>
        <w:t xml:space="preserve"> </w:t>
      </w:r>
      <w:r>
        <w:rPr>
          <w:rFonts w:hint="cs"/>
          <w:bCs/>
          <w:color w:val="000000"/>
          <w:rtl/>
          <w:lang w:val="uz-Latn-UZ"/>
        </w:rPr>
        <w:t>وقد تأول الإمام أحمد</w:t>
      </w:r>
      <w:r>
        <w:rPr>
          <w:rFonts w:hint="cs"/>
          <w:color w:val="000000"/>
          <w:rtl/>
          <w:lang w:val="uz-Latn-UZ"/>
        </w:rPr>
        <w:t xml:space="preserve"> مجيء الله تعالى</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وجاء ربك</w:t>
      </w:r>
      <w:r w:rsidR="000636C2">
        <w:rPr>
          <w:rFonts w:hint="cs"/>
          <w:color w:val="000000"/>
          <w:rtl/>
          <w:lang w:val="uz-Latn-UZ"/>
        </w:rPr>
        <w:t>)</w:t>
      </w:r>
      <w:r>
        <w:rPr>
          <w:rFonts w:hint="cs"/>
          <w:color w:val="000000"/>
          <w:rtl/>
          <w:lang w:val="uz-Latn-UZ"/>
        </w:rPr>
        <w:t xml:space="preserve"> أنه جاء ثوابه. ثم قال البيهقي: وهذا إسناد لا غبار عليه [البداية والنهاية لابن كثير 10 / 361</w:t>
      </w:r>
      <w:r w:rsidR="000636C2">
        <w:rPr>
          <w:rFonts w:hint="cs"/>
          <w:color w:val="000000"/>
          <w:rtl/>
          <w:lang w:val="uz-Latn-UZ"/>
        </w:rPr>
        <w:t>]،</w:t>
      </w:r>
      <w:r>
        <w:rPr>
          <w:rFonts w:hint="cs"/>
          <w:color w:val="000000"/>
          <w:rtl/>
          <w:lang w:val="uz-Latn-UZ"/>
        </w:rPr>
        <w:t xml:space="preserve"> ونقل الحافظ ابن الجوزي عن القاضي أبي يعلى عن الإمام أحمد في قولـه تعالـى: </w:t>
      </w:r>
      <w:r w:rsidR="000636C2">
        <w:rPr>
          <w:rFonts w:hint="cs"/>
          <w:color w:val="000000"/>
          <w:rtl/>
          <w:lang w:val="uz-Latn-UZ"/>
        </w:rPr>
        <w:t>(</w:t>
      </w:r>
      <w:r>
        <w:rPr>
          <w:rFonts w:hint="cs"/>
          <w:color w:val="000000"/>
          <w:rtl/>
          <w:lang w:val="uz-Latn-UZ"/>
        </w:rPr>
        <w:t>هل ينظرون إلا أن يأتيهم الله في ظلل من الغمام</w:t>
      </w:r>
      <w:r w:rsidR="000636C2">
        <w:rPr>
          <w:rFonts w:hint="cs"/>
          <w:color w:val="000000"/>
          <w:rtl/>
          <w:lang w:val="uz-Latn-UZ"/>
        </w:rPr>
        <w:t>)</w:t>
      </w:r>
      <w:r>
        <w:rPr>
          <w:rFonts w:hint="cs"/>
          <w:color w:val="000000"/>
          <w:rtl/>
          <w:lang w:val="uz-Latn-UZ"/>
        </w:rPr>
        <w:t xml:space="preserve"> أنه قال: المراد به قدرته وأمره. قال: وقد بيّنه في قوله تعالى </w:t>
      </w:r>
      <w:r w:rsidR="000636C2">
        <w:rPr>
          <w:rFonts w:hint="cs"/>
          <w:color w:val="000000"/>
          <w:rtl/>
          <w:lang w:val="uz-Latn-UZ"/>
        </w:rPr>
        <w:t>(</w:t>
      </w:r>
      <w:r>
        <w:rPr>
          <w:rFonts w:hint="cs"/>
          <w:color w:val="000000"/>
          <w:rtl/>
          <w:lang w:val="uz-Latn-UZ"/>
        </w:rPr>
        <w:t>أو يأتى أمر ربك</w:t>
      </w:r>
      <w:r w:rsidR="000636C2">
        <w:rPr>
          <w:rFonts w:hint="cs"/>
          <w:color w:val="000000"/>
          <w:rtl/>
          <w:lang w:val="uz-Latn-UZ"/>
        </w:rPr>
        <w:t>)</w:t>
      </w:r>
      <w:r>
        <w:rPr>
          <w:rFonts w:hint="cs"/>
          <w:color w:val="000000"/>
          <w:rtl/>
          <w:lang w:val="uz-Latn-UZ"/>
        </w:rPr>
        <w:t xml:space="preserve"> ومثل هذا في القرآن </w:t>
      </w:r>
      <w:r w:rsidR="000636C2">
        <w:rPr>
          <w:rFonts w:hint="cs"/>
          <w:color w:val="000000"/>
          <w:rtl/>
          <w:lang w:val="uz-Latn-UZ"/>
        </w:rPr>
        <w:t>(</w:t>
      </w:r>
      <w:r>
        <w:rPr>
          <w:rFonts w:hint="cs"/>
          <w:color w:val="000000"/>
          <w:rtl/>
          <w:lang w:val="uz-Latn-UZ"/>
        </w:rPr>
        <w:t>وجاء ربك</w:t>
      </w:r>
      <w:r w:rsidR="000636C2">
        <w:rPr>
          <w:rFonts w:hint="cs"/>
          <w:color w:val="000000"/>
          <w:rtl/>
          <w:lang w:val="uz-Latn-UZ"/>
        </w:rPr>
        <w:t xml:space="preserve">) </w:t>
      </w:r>
      <w:r>
        <w:rPr>
          <w:rFonts w:hint="cs"/>
          <w:color w:val="000000"/>
          <w:rtl/>
          <w:lang w:val="uz-Latn-UZ"/>
        </w:rPr>
        <w:t xml:space="preserve">قال: إنما هو قدرته. </w:t>
      </w:r>
      <w:r w:rsidR="000636C2">
        <w:rPr>
          <w:rFonts w:hint="cs"/>
          <w:color w:val="000000"/>
          <w:rtl/>
          <w:lang w:val="uz-Latn-UZ"/>
        </w:rPr>
        <w:t>[</w:t>
      </w:r>
      <w:r>
        <w:rPr>
          <w:rFonts w:hint="cs"/>
          <w:color w:val="000000"/>
          <w:rtl/>
          <w:lang w:val="uz-Latn-UZ"/>
        </w:rPr>
        <w:t>دفع شبه التشبيه ص/ 141</w:t>
      </w:r>
      <w:r w:rsidR="000636C2">
        <w:rPr>
          <w:rFonts w:hint="cs"/>
          <w:color w:val="000000"/>
          <w:rtl/>
          <w:lang w:val="uz-Latn-UZ"/>
        </w:rPr>
        <w:t>]،</w:t>
      </w:r>
      <w:r>
        <w:rPr>
          <w:rFonts w:hint="cs"/>
          <w:color w:val="000000"/>
          <w:rtl/>
          <w:lang w:val="uz-Latn-UZ"/>
        </w:rPr>
        <w:t xml:space="preserve"> </w:t>
      </w:r>
      <w:r>
        <w:rPr>
          <w:rFonts w:hint="cs"/>
          <w:bCs/>
          <w:color w:val="000000"/>
          <w:rtl/>
          <w:lang w:val="uz-Latn-UZ"/>
        </w:rPr>
        <w:t>وقد تأول الإمام البخاري</w:t>
      </w:r>
      <w:r>
        <w:rPr>
          <w:rFonts w:hint="cs"/>
          <w:color w:val="000000"/>
          <w:rtl/>
          <w:lang w:val="uz-Latn-UZ"/>
        </w:rPr>
        <w:t xml:space="preserve"> (الوجه) في قوله تعالى </w:t>
      </w:r>
      <w:r w:rsidR="000636C2">
        <w:rPr>
          <w:rFonts w:hint="cs"/>
          <w:color w:val="000000"/>
          <w:rtl/>
          <w:lang w:val="uz-Latn-UZ"/>
        </w:rPr>
        <w:t>(</w:t>
      </w:r>
      <w:r>
        <w:rPr>
          <w:rFonts w:hint="cs"/>
          <w:color w:val="000000"/>
          <w:rtl/>
          <w:lang w:val="uz-Latn-UZ"/>
        </w:rPr>
        <w:t>كلّ شيء هالك إلا وجهه</w:t>
      </w:r>
      <w:r w:rsidR="000636C2">
        <w:rPr>
          <w:rFonts w:hint="cs"/>
          <w:color w:val="000000"/>
          <w:rtl/>
          <w:lang w:val="uz-Latn-UZ"/>
        </w:rPr>
        <w:t>)</w:t>
      </w:r>
      <w:r>
        <w:rPr>
          <w:rFonts w:hint="cs"/>
          <w:color w:val="000000"/>
          <w:rtl/>
          <w:lang w:val="uz-Latn-UZ"/>
        </w:rPr>
        <w:t xml:space="preserve"> </w:t>
      </w:r>
      <w:r w:rsidR="000636C2">
        <w:rPr>
          <w:rFonts w:hint="cs"/>
          <w:color w:val="000000"/>
          <w:rtl/>
          <w:lang w:val="uz-Latn-UZ"/>
        </w:rPr>
        <w:t>(</w:t>
      </w:r>
      <w:r>
        <w:rPr>
          <w:rFonts w:hint="cs"/>
          <w:color w:val="000000"/>
          <w:rtl/>
          <w:lang w:val="uz-Latn-UZ"/>
        </w:rPr>
        <w:t>إلا ملكه</w:t>
      </w:r>
      <w:r w:rsidR="000636C2">
        <w:rPr>
          <w:rFonts w:hint="cs"/>
          <w:color w:val="000000"/>
          <w:rtl/>
          <w:lang w:val="uz-Latn-UZ"/>
        </w:rPr>
        <w:t>)</w:t>
      </w:r>
      <w:r>
        <w:rPr>
          <w:rFonts w:hint="cs"/>
          <w:color w:val="000000"/>
          <w:rtl/>
          <w:lang w:val="uz-Latn-UZ"/>
        </w:rPr>
        <w:t xml:space="preserve"> </w:t>
      </w:r>
      <w:r w:rsidR="000636C2">
        <w:rPr>
          <w:rFonts w:hint="cs"/>
          <w:color w:val="000000"/>
          <w:rtl/>
          <w:lang w:val="uz-Latn-UZ"/>
        </w:rPr>
        <w:t>[</w:t>
      </w:r>
      <w:r>
        <w:rPr>
          <w:rFonts w:hint="cs"/>
          <w:color w:val="000000"/>
          <w:rtl/>
          <w:lang w:val="uz-Latn-UZ"/>
        </w:rPr>
        <w:t>صحيـح</w:t>
      </w:r>
      <w:r w:rsidR="000636C2">
        <w:rPr>
          <w:rFonts w:hint="cs"/>
          <w:color w:val="000000"/>
          <w:rtl/>
          <w:lang w:val="uz-Latn-UZ"/>
        </w:rPr>
        <w:t xml:space="preserve"> </w:t>
      </w:r>
      <w:r>
        <w:rPr>
          <w:rFonts w:hint="cs"/>
          <w:color w:val="000000"/>
          <w:rtl/>
          <w:lang w:val="uz-Latn-UZ"/>
        </w:rPr>
        <w:t>البخاري كتـاب التفسيـر سـورة القصص، فتح البـاري 8 / 364]</w:t>
      </w:r>
      <w:r w:rsidR="000636C2">
        <w:rPr>
          <w:rFonts w:hint="cs"/>
          <w:color w:val="000000"/>
          <w:rtl/>
          <w:lang w:val="uz-Latn-UZ"/>
        </w:rPr>
        <w:t>،</w:t>
      </w:r>
      <w:r>
        <w:rPr>
          <w:rFonts w:hint="cs"/>
          <w:color w:val="000000"/>
          <w:rtl/>
          <w:lang w:val="uz-Latn-UZ"/>
        </w:rPr>
        <w:t xml:space="preserve"> </w:t>
      </w:r>
      <w:r>
        <w:rPr>
          <w:rFonts w:hint="cs"/>
          <w:bCs/>
          <w:color w:val="000000"/>
          <w:rtl/>
          <w:lang w:val="uz-Latn-UZ"/>
        </w:rPr>
        <w:t>وقد تأول الإمام الطبري</w:t>
      </w:r>
      <w:r>
        <w:rPr>
          <w:rFonts w:hint="cs"/>
          <w:color w:val="000000"/>
          <w:rtl/>
          <w:lang w:val="uz-Latn-UZ"/>
        </w:rPr>
        <w:t xml:space="preserve"> </w:t>
      </w:r>
      <w:r w:rsidR="000636C2">
        <w:rPr>
          <w:rFonts w:hint="cs"/>
          <w:color w:val="000000"/>
          <w:rtl/>
          <w:lang w:val="uz-Latn-UZ"/>
        </w:rPr>
        <w:t>(</w:t>
      </w:r>
      <w:r>
        <w:rPr>
          <w:rFonts w:hint="cs"/>
          <w:color w:val="000000"/>
          <w:rtl/>
          <w:lang w:val="uz-Latn-UZ"/>
        </w:rPr>
        <w:t>العين</w:t>
      </w:r>
      <w:r w:rsidR="000636C2">
        <w:rPr>
          <w:rFonts w:hint="cs"/>
          <w:color w:val="000000"/>
          <w:rtl/>
          <w:lang w:val="uz-Latn-UZ"/>
        </w:rPr>
        <w:t>)</w:t>
      </w:r>
      <w:r>
        <w:rPr>
          <w:rFonts w:hint="cs"/>
          <w:color w:val="000000"/>
          <w:rtl/>
          <w:lang w:val="uz-Latn-UZ"/>
        </w:rPr>
        <w:t xml:space="preserve"> في قوله تعالى </w:t>
      </w:r>
      <w:r w:rsidR="000636C2">
        <w:rPr>
          <w:rFonts w:hint="cs"/>
          <w:color w:val="000000"/>
          <w:rtl/>
          <w:lang w:val="uz-Latn-UZ"/>
        </w:rPr>
        <w:t>(</w:t>
      </w:r>
      <w:r>
        <w:rPr>
          <w:rFonts w:hint="cs"/>
          <w:color w:val="000000"/>
          <w:rtl/>
          <w:lang w:val="uz-Latn-UZ"/>
        </w:rPr>
        <w:t>ولتصنع على عيني</w:t>
      </w:r>
      <w:r w:rsidR="000636C2">
        <w:rPr>
          <w:rFonts w:hint="cs"/>
          <w:color w:val="000000"/>
          <w:rtl/>
          <w:lang w:val="uz-Latn-UZ"/>
        </w:rPr>
        <w:t>)</w:t>
      </w:r>
      <w:r>
        <w:rPr>
          <w:rFonts w:hint="cs"/>
          <w:color w:val="000000"/>
          <w:rtl/>
          <w:lang w:val="uz-Latn-UZ"/>
        </w:rPr>
        <w:t xml:space="preserve"> أي بمرأى مني ومحبة وإرادة </w:t>
      </w:r>
      <w:r w:rsidR="000636C2">
        <w:rPr>
          <w:rFonts w:hint="cs"/>
          <w:color w:val="000000"/>
          <w:rtl/>
          <w:lang w:val="uz-Latn-UZ"/>
        </w:rPr>
        <w:t>[</w:t>
      </w:r>
      <w:r>
        <w:rPr>
          <w:rFonts w:hint="cs"/>
          <w:color w:val="000000"/>
          <w:rtl/>
          <w:lang w:val="uz-Latn-UZ"/>
        </w:rPr>
        <w:t>تفسير الطبري (16 / 123)</w:t>
      </w:r>
      <w:r w:rsidR="000636C2">
        <w:rPr>
          <w:rFonts w:hint="cs"/>
          <w:color w:val="000000"/>
          <w:rtl/>
          <w:lang w:val="uz-Latn-UZ"/>
        </w:rPr>
        <w:t>]،</w:t>
      </w:r>
      <w:r>
        <w:rPr>
          <w:rFonts w:hint="cs"/>
          <w:color w:val="000000"/>
          <w:rtl/>
          <w:lang w:val="uz-Latn-UZ"/>
        </w:rPr>
        <w:t xml:space="preserve"> وتأول </w:t>
      </w:r>
      <w:r w:rsidR="000636C2">
        <w:rPr>
          <w:rFonts w:hint="cs"/>
          <w:color w:val="000000"/>
          <w:rtl/>
          <w:lang w:val="uz-Latn-UZ"/>
        </w:rPr>
        <w:t>(</w:t>
      </w:r>
      <w:r>
        <w:rPr>
          <w:rFonts w:hint="cs"/>
          <w:color w:val="000000"/>
          <w:rtl/>
          <w:lang w:val="uz-Latn-UZ"/>
        </w:rPr>
        <w:t>الاستواء</w:t>
      </w:r>
      <w:r w:rsidR="000636C2">
        <w:rPr>
          <w:rFonts w:hint="cs"/>
          <w:color w:val="000000"/>
          <w:rtl/>
          <w:lang w:val="uz-Latn-UZ"/>
        </w:rPr>
        <w:t>)</w:t>
      </w:r>
      <w:r>
        <w:rPr>
          <w:rFonts w:hint="cs"/>
          <w:color w:val="000000"/>
          <w:rtl/>
          <w:lang w:val="uz-Latn-UZ"/>
        </w:rPr>
        <w:t xml:space="preserve"> بقوله (علا عليهن وارتفع، فدبرهن بقدرته....علا عليها علو ملك وسلطان، لا علو انتقال وزوال) </w:t>
      </w:r>
      <w:r w:rsidR="000636C2">
        <w:rPr>
          <w:rFonts w:hint="cs"/>
          <w:color w:val="000000"/>
          <w:rtl/>
          <w:lang w:val="uz-Latn-UZ"/>
        </w:rPr>
        <w:t>[</w:t>
      </w:r>
      <w:r>
        <w:rPr>
          <w:rFonts w:hint="cs"/>
          <w:color w:val="000000"/>
          <w:rtl/>
          <w:lang w:val="uz-Latn-UZ"/>
        </w:rPr>
        <w:t>تفسير الطبري</w:t>
      </w:r>
      <w:r w:rsidR="000636C2">
        <w:rPr>
          <w:rFonts w:hint="cs"/>
          <w:color w:val="000000"/>
          <w:rtl/>
          <w:lang w:val="uz-Latn-UZ"/>
        </w:rPr>
        <w:t>:</w:t>
      </w:r>
      <w:r>
        <w:rPr>
          <w:rFonts w:hint="cs"/>
          <w:color w:val="000000"/>
          <w:rtl/>
          <w:lang w:val="uz-Latn-UZ"/>
        </w:rPr>
        <w:t xml:space="preserve"> (1 / 192)</w:t>
      </w:r>
      <w:r w:rsidR="000636C2">
        <w:rPr>
          <w:rFonts w:hint="cs"/>
          <w:color w:val="000000"/>
          <w:rtl/>
          <w:lang w:val="uz-Latn-UZ"/>
        </w:rPr>
        <w:t>]،</w:t>
      </w:r>
    </w:p>
    <w:p w14:paraId="601BF72A" w14:textId="77777777" w:rsidR="009C32A0" w:rsidRDefault="009C32A0" w:rsidP="000636C2">
      <w:pPr>
        <w:widowControl w:val="0"/>
        <w:spacing w:before="80"/>
        <w:ind w:left="-58"/>
        <w:jc w:val="center"/>
        <w:rPr>
          <w:b/>
          <w:rtl/>
          <w:lang w:bidi="ar-KW"/>
        </w:rPr>
      </w:pPr>
      <w:r>
        <w:rPr>
          <w:rFonts w:hint="cs"/>
          <w:rtl/>
          <w:lang w:bidi="ar-KW"/>
        </w:rPr>
        <w:t>***</w:t>
      </w:r>
    </w:p>
    <w:p w14:paraId="2DFDE34E" w14:textId="1DB8CF27" w:rsidR="009C32A0" w:rsidRDefault="009C32A0" w:rsidP="004B2AA4">
      <w:pPr>
        <w:rPr>
          <w:b/>
          <w:rtl/>
        </w:rPr>
      </w:pPr>
      <w:bookmarkStart w:id="0" w:name="_Toc112917427"/>
      <w:r w:rsidRPr="004B2AA4">
        <w:rPr>
          <w:rFonts w:hint="cs"/>
          <w:b/>
          <w:bCs/>
          <w:u w:val="single"/>
          <w:rtl/>
        </w:rPr>
        <w:t>ما يدل على جواز التأويل المقبول الذي أجازه الأشاعرة والماتريدية أنّ التمسك بظواهر جميع النصوص متعذر</w:t>
      </w:r>
      <w:bookmarkEnd w:id="0"/>
      <w:r w:rsidR="000636C2">
        <w:rPr>
          <w:rFonts w:hint="cs"/>
          <w:b/>
          <w:bCs/>
          <w:u w:val="single"/>
          <w:rtl/>
        </w:rPr>
        <w:t>:</w:t>
      </w:r>
      <w:r w:rsidR="004B2AA4">
        <w:rPr>
          <w:rFonts w:hint="cs"/>
          <w:b/>
          <w:bCs/>
          <w:u w:val="single"/>
          <w:rtl/>
        </w:rPr>
        <w:t xml:space="preserve"> </w:t>
      </w:r>
      <w:r>
        <w:rPr>
          <w:rFonts w:hint="cs"/>
          <w:rtl/>
        </w:rPr>
        <w:t>إنّ الدعوة إلى التمسك بظاهر النصوص متعذر</w:t>
      </w:r>
      <w:r w:rsidR="000636C2">
        <w:rPr>
          <w:rFonts w:hint="cs"/>
          <w:rtl/>
        </w:rPr>
        <w:t>،</w:t>
      </w:r>
      <w:r>
        <w:rPr>
          <w:rFonts w:hint="cs"/>
          <w:rtl/>
        </w:rPr>
        <w:t xml:space="preserve"> ولا يمكن الثبات على التمسك بجميع الظواهر، ولا بد أن يستسيغ التأويل في بعض المواضع</w:t>
      </w:r>
      <w:r w:rsidR="000636C2">
        <w:rPr>
          <w:rFonts w:hint="cs"/>
          <w:rtl/>
        </w:rPr>
        <w:t>،</w:t>
      </w:r>
      <w:r>
        <w:rPr>
          <w:rFonts w:hint="cs"/>
          <w:rtl/>
        </w:rPr>
        <w:t xml:space="preserve"> </w:t>
      </w:r>
      <w:r>
        <w:rPr>
          <w:rFonts w:hint="cs"/>
          <w:rtl/>
          <w:lang w:eastAsia="ar-SA"/>
        </w:rPr>
        <w:t xml:space="preserve">كما أننا مجبرون على التأويل في مواضع </w:t>
      </w:r>
      <w:r>
        <w:rPr>
          <w:rFonts w:hint="cs"/>
          <w:rtl/>
        </w:rPr>
        <w:t>عديدة وإلا وقعنا في الكفر من حيث لا نشعر</w:t>
      </w:r>
      <w:r w:rsidR="000636C2">
        <w:rPr>
          <w:rFonts w:hint="cs"/>
          <w:rtl/>
        </w:rPr>
        <w:t>،</w:t>
      </w:r>
      <w:r>
        <w:rPr>
          <w:rFonts w:hint="cs"/>
          <w:rtl/>
        </w:rPr>
        <w:t xml:space="preserve"> </w:t>
      </w:r>
      <w:r>
        <w:rPr>
          <w:rFonts w:hint="cs"/>
          <w:bCs/>
          <w:rtl/>
        </w:rPr>
        <w:t>إذ هناك آيات ظاهرها يدل على حدوث علم الله</w:t>
      </w:r>
      <w:r w:rsidR="000636C2">
        <w:rPr>
          <w:rFonts w:hint="cs"/>
          <w:rtl/>
        </w:rPr>
        <w:t>،</w:t>
      </w:r>
      <w:r>
        <w:rPr>
          <w:rFonts w:hint="cs"/>
          <w:rtl/>
        </w:rPr>
        <w:t xml:space="preserve"> واعتقاد هذا الظاهر كفر بالله تعالى وصفاته القديمة الكاملة</w:t>
      </w:r>
      <w:r w:rsidR="000636C2">
        <w:rPr>
          <w:rFonts w:hint="cs"/>
          <w:rtl/>
        </w:rPr>
        <w:t>،</w:t>
      </w:r>
      <w:r>
        <w:rPr>
          <w:rFonts w:hint="cs"/>
          <w:rtl/>
        </w:rPr>
        <w:t xml:space="preserve"> لأنّ علم الله تعالى قديم</w:t>
      </w:r>
      <w:r w:rsidR="000636C2">
        <w:rPr>
          <w:rFonts w:hint="cs"/>
          <w:rtl/>
        </w:rPr>
        <w:t>،</w:t>
      </w:r>
      <w:r>
        <w:rPr>
          <w:rFonts w:hint="cs"/>
          <w:rtl/>
        </w:rPr>
        <w:t xml:space="preserve"> يعلم ما كان وما يكون وما سيكون</w:t>
      </w:r>
      <w:r w:rsidR="000636C2">
        <w:rPr>
          <w:rFonts w:hint="cs"/>
          <w:rtl/>
        </w:rPr>
        <w:t>،</w:t>
      </w:r>
      <w:r>
        <w:rPr>
          <w:rFonts w:hint="cs"/>
          <w:rtl/>
        </w:rPr>
        <w:t xml:space="preserve"> لا يعزب عن علمه شيء في الماضي أو الحاضر أو المستقبل</w:t>
      </w:r>
      <w:r w:rsidR="000636C2">
        <w:rPr>
          <w:rFonts w:hint="cs"/>
          <w:rtl/>
        </w:rPr>
        <w:t>،</w:t>
      </w:r>
      <w:r>
        <w:rPr>
          <w:rFonts w:hint="cs"/>
          <w:rtl/>
        </w:rPr>
        <w:t xml:space="preserve"> وهذه عقيده </w:t>
      </w:r>
      <w:r>
        <w:rPr>
          <w:rFonts w:hint="cs"/>
          <w:rtl/>
        </w:rPr>
        <w:lastRenderedPageBreak/>
        <w:t>المسلمين جميعا من خالفها كفر والعياذ بالله</w:t>
      </w:r>
      <w:r w:rsidR="000636C2">
        <w:rPr>
          <w:rFonts w:hint="cs"/>
          <w:rtl/>
        </w:rPr>
        <w:t>،</w:t>
      </w:r>
      <w:r>
        <w:rPr>
          <w:rFonts w:hint="cs"/>
          <w:rtl/>
        </w:rPr>
        <w:t xml:space="preserve"> ومن هذه الآيات</w:t>
      </w:r>
      <w:r w:rsidR="000636C2">
        <w:rPr>
          <w:rFonts w:hint="cs"/>
          <w:rtl/>
        </w:rPr>
        <w:t>،</w:t>
      </w:r>
      <w:r>
        <w:rPr>
          <w:rFonts w:hint="cs"/>
          <w:rtl/>
        </w:rPr>
        <w:t xml:space="preserve"> قوله تعالى</w:t>
      </w:r>
      <w:r w:rsidR="000636C2">
        <w:rPr>
          <w:rFonts w:hint="cs"/>
          <w:rtl/>
        </w:rPr>
        <w:t>:</w:t>
      </w:r>
      <w:r>
        <w:rPr>
          <w:rFonts w:hint="cs"/>
          <w:rtl/>
        </w:rPr>
        <w:t xml:space="preserve"> </w:t>
      </w:r>
      <w:r w:rsidR="000636C2">
        <w:rPr>
          <w:rFonts w:hint="cs"/>
          <w:rtl/>
        </w:rPr>
        <w:t>{</w:t>
      </w:r>
      <w:r>
        <w:rPr>
          <w:rFonts w:hint="cs"/>
          <w:rtl/>
        </w:rPr>
        <w:t>أَمْ حَسِبْتُمْ أَن تَدْخُلُواْ الْجَنَّةَ وَلَمَّا يَعْلَمِ اللّهُ الَّذِينَ جَاهَدُواْ مِنكُمْ وَيَعْلَمَ الصَّابِرِينَ</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وَمَا أَصَابَكُمْ يَوْمَ الْتَقَى الْجَمْعَانِ فَبِإِذْنِ اللّهِ وَلِيَعْلَمَ الْمُؤْمِنِينَ *</w:t>
      </w:r>
      <w:r w:rsidR="000636C2">
        <w:rPr>
          <w:rFonts w:hint="cs"/>
          <w:rtl/>
        </w:rPr>
        <w:t xml:space="preserve"> </w:t>
      </w:r>
      <w:r>
        <w:rPr>
          <w:rFonts w:hint="cs"/>
          <w:rtl/>
        </w:rPr>
        <w:t>وَلْيَعْلَمَ الَّذِينَ نَافَقُواْ</w:t>
      </w:r>
      <w:r w:rsidR="000636C2">
        <w:rPr>
          <w:rFonts w:hint="cs"/>
          <w:rtl/>
        </w:rPr>
        <w:t>}،</w:t>
      </w:r>
      <w:r>
        <w:rPr>
          <w:rFonts w:hint="cs"/>
          <w:rtl/>
        </w:rPr>
        <w:t xml:space="preserve"> </w:t>
      </w:r>
      <w:r>
        <w:rPr>
          <w:rFonts w:hint="cs"/>
          <w:bCs/>
          <w:rtl/>
        </w:rPr>
        <w:t>وهناك آيات ظاهرها جواز النسيان على الله تعالى</w:t>
      </w:r>
      <w:r w:rsidR="000636C2">
        <w:rPr>
          <w:rFonts w:hint="cs"/>
          <w:bCs/>
          <w:rtl/>
        </w:rPr>
        <w:t>،</w:t>
      </w:r>
      <w:r>
        <w:rPr>
          <w:rFonts w:hint="cs"/>
          <w:rtl/>
        </w:rPr>
        <w:t xml:space="preserve"> واعتقاد هذا الظاهر كفر بالله تعالى لأنّ الله تعالى لا يضل ولا ينسى</w:t>
      </w:r>
      <w:r w:rsidR="000636C2">
        <w:rPr>
          <w:rFonts w:hint="cs"/>
          <w:rtl/>
        </w:rPr>
        <w:t>،</w:t>
      </w:r>
      <w:r>
        <w:rPr>
          <w:rFonts w:hint="cs"/>
          <w:rtl/>
        </w:rPr>
        <w:t xml:space="preserve"> وهذه عقيده المسلمين جميعا من خالفها كفر والعياذ بالله</w:t>
      </w:r>
      <w:r w:rsidR="000636C2">
        <w:rPr>
          <w:rFonts w:hint="cs"/>
          <w:rtl/>
        </w:rPr>
        <w:t>،</w:t>
      </w:r>
      <w:r>
        <w:rPr>
          <w:rFonts w:hint="cs"/>
          <w:rtl/>
        </w:rPr>
        <w:t xml:space="preserve"> ومن هذه الآيات</w:t>
      </w:r>
      <w:r w:rsidR="000636C2">
        <w:rPr>
          <w:rFonts w:hint="cs"/>
          <w:rtl/>
        </w:rPr>
        <w:t>،</w:t>
      </w:r>
      <w:r>
        <w:rPr>
          <w:rFonts w:hint="cs"/>
          <w:rtl/>
        </w:rPr>
        <w:t xml:space="preserve"> قوله تعالى</w:t>
      </w:r>
      <w:r w:rsidR="000636C2">
        <w:rPr>
          <w:rFonts w:hint="cs"/>
          <w:rtl/>
        </w:rPr>
        <w:t>:</w:t>
      </w:r>
      <w:r>
        <w:rPr>
          <w:rFonts w:hint="cs"/>
          <w:rtl/>
        </w:rPr>
        <w:t xml:space="preserve"> </w:t>
      </w:r>
      <w:r w:rsidR="000636C2">
        <w:rPr>
          <w:rFonts w:hint="cs"/>
          <w:rtl/>
        </w:rPr>
        <w:t>{</w:t>
      </w:r>
      <w:r>
        <w:rPr>
          <w:rFonts w:hint="cs"/>
          <w:rtl/>
        </w:rPr>
        <w:t>الْمُنَافِقُونَ وَالْمُنَافِقَاتُ بَعْضُهُمْ مِنْ بَعْضٍ يَأْمُرُونَ بِالْمُنْكَرِ وَيَنْهَوْنَ عَنِ الْمَعْرُوفِ وَيَقْبِضُونَ أَيْدِيَهُمْ نَسُوا اللَّهَ فَنَسِيَهُمْ إِنَّ الْمُنَافِقِينَ هُمُ الْفَاسِقُونَ</w:t>
      </w:r>
      <w:r w:rsidR="000636C2">
        <w:rPr>
          <w:rFonts w:hint="cs"/>
          <w:rtl/>
        </w:rPr>
        <w:t>}</w:t>
      </w:r>
      <w:r>
        <w:rPr>
          <w:rFonts w:hint="cs"/>
          <w:rtl/>
        </w:rPr>
        <w:t xml:space="preserve"> </w:t>
      </w:r>
      <w:r w:rsidR="000636C2">
        <w:rPr>
          <w:rFonts w:hint="cs"/>
          <w:rtl/>
        </w:rPr>
        <w:t>[</w:t>
      </w:r>
      <w:r>
        <w:rPr>
          <w:rFonts w:hint="cs"/>
          <w:rtl/>
        </w:rPr>
        <w:t>التوبة</w:t>
      </w:r>
      <w:r w:rsidR="000636C2">
        <w:rPr>
          <w:rFonts w:hint="cs"/>
          <w:rtl/>
        </w:rPr>
        <w:t>:</w:t>
      </w:r>
      <w:r>
        <w:rPr>
          <w:rFonts w:hint="cs"/>
          <w:rtl/>
        </w:rPr>
        <w:t xml:space="preserve"> 67</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فَذُوقُوا بِمَا نَسِيتُمْ لِقَاء يَوْمِكُمْ هَذَا إِنَّا نَسِينَاكُمْ وَذُوقُوا عَذَابَ الْخُلْدِ بِمَا كُنتُمْ تَعْمَلُونَ</w:t>
      </w:r>
      <w:r w:rsidR="000636C2">
        <w:rPr>
          <w:rFonts w:hint="cs"/>
          <w:rtl/>
        </w:rPr>
        <w:t>}</w:t>
      </w:r>
      <w:r>
        <w:rPr>
          <w:rFonts w:hint="cs"/>
          <w:rtl/>
        </w:rPr>
        <w:t xml:space="preserve"> </w:t>
      </w:r>
      <w:r w:rsidR="000636C2">
        <w:rPr>
          <w:rFonts w:hint="cs"/>
          <w:rtl/>
        </w:rPr>
        <w:t>[</w:t>
      </w:r>
      <w:r>
        <w:rPr>
          <w:rFonts w:hint="cs"/>
          <w:rtl/>
        </w:rPr>
        <w:t>السجدة</w:t>
      </w:r>
      <w:r w:rsidR="000636C2">
        <w:rPr>
          <w:rFonts w:hint="cs"/>
          <w:rtl/>
        </w:rPr>
        <w:t>:</w:t>
      </w:r>
      <w:r>
        <w:rPr>
          <w:rFonts w:hint="cs"/>
          <w:rtl/>
        </w:rPr>
        <w:t xml:space="preserve"> 14</w:t>
      </w:r>
      <w:r w:rsidR="000636C2">
        <w:rPr>
          <w:rFonts w:hint="cs"/>
          <w:rtl/>
        </w:rPr>
        <w:t>]،</w:t>
      </w:r>
      <w:r>
        <w:rPr>
          <w:rFonts w:hint="cs"/>
          <w:rtl/>
        </w:rPr>
        <w:t xml:space="preserve"> وهذا الظاهر محال على الله تعالى</w:t>
      </w:r>
      <w:r w:rsidR="000636C2">
        <w:rPr>
          <w:rFonts w:hint="cs"/>
          <w:rtl/>
        </w:rPr>
        <w:t>،</w:t>
      </w:r>
      <w:r>
        <w:rPr>
          <w:rFonts w:hint="cs"/>
          <w:rtl/>
        </w:rPr>
        <w:t xml:space="preserve"> قال ابن كثير</w:t>
      </w:r>
      <w:r w:rsidR="000636C2">
        <w:rPr>
          <w:rFonts w:hint="cs"/>
          <w:rtl/>
        </w:rPr>
        <w:t>:</w:t>
      </w:r>
      <w:r>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0636C2">
        <w:rPr>
          <w:rFonts w:hint="cs"/>
          <w:rtl/>
        </w:rPr>
        <w:t>:</w:t>
      </w:r>
      <w:r>
        <w:rPr>
          <w:rFonts w:hint="cs"/>
          <w:rtl/>
        </w:rPr>
        <w:t xml:space="preserve"> {في كتاب لا يضل ربي ولا ينسى</w:t>
      </w:r>
      <w:r w:rsidR="000636C2">
        <w:rPr>
          <w:rFonts w:hint="cs"/>
          <w:rtl/>
        </w:rPr>
        <w:t>}،</w:t>
      </w:r>
      <w:r>
        <w:rPr>
          <w:rFonts w:hint="cs"/>
          <w:rtl/>
        </w:rPr>
        <w:t xml:space="preserve"> وإنما قال تعالى هذا من باب المقابلة كقوله</w:t>
      </w:r>
      <w:r w:rsidR="000636C2">
        <w:rPr>
          <w:rFonts w:hint="cs"/>
          <w:rtl/>
        </w:rPr>
        <w:t>:</w:t>
      </w:r>
      <w:r>
        <w:rPr>
          <w:rFonts w:hint="cs"/>
          <w:rtl/>
        </w:rPr>
        <w:t xml:space="preserve"> {نسوا الله فنسيهم</w:t>
      </w:r>
      <w:r w:rsidR="000636C2">
        <w:rPr>
          <w:rFonts w:hint="cs"/>
          <w:rtl/>
        </w:rPr>
        <w:t>}،</w:t>
      </w:r>
      <w:r>
        <w:rPr>
          <w:rFonts w:hint="cs"/>
          <w:rtl/>
        </w:rPr>
        <w:t xml:space="preserve"> وقال</w:t>
      </w:r>
      <w:r w:rsidR="000636C2">
        <w:rPr>
          <w:rFonts w:hint="cs"/>
          <w:rtl/>
        </w:rPr>
        <w:t>:</w:t>
      </w:r>
      <w:r>
        <w:rPr>
          <w:rFonts w:hint="cs"/>
          <w:rtl/>
        </w:rPr>
        <w:t xml:space="preserve"> </w:t>
      </w:r>
      <w:r w:rsidR="000636C2">
        <w:rPr>
          <w:rFonts w:hint="cs"/>
          <w:rtl/>
        </w:rPr>
        <w:t>{</w:t>
      </w:r>
      <w:r>
        <w:rPr>
          <w:rFonts w:hint="cs"/>
          <w:rtl/>
        </w:rPr>
        <w:t>كذلك أتتك آياتنا فنسيتها وكذلك اليوم تنسى</w:t>
      </w:r>
      <w:r w:rsidR="000636C2">
        <w:rPr>
          <w:rFonts w:hint="cs"/>
          <w:rtl/>
        </w:rPr>
        <w:t>}</w:t>
      </w:r>
      <w:r>
        <w:rPr>
          <w:rFonts w:hint="cs"/>
          <w:rtl/>
        </w:rPr>
        <w:t xml:space="preserve"> وقال تعالى</w:t>
      </w:r>
      <w:r w:rsidR="000636C2">
        <w:rPr>
          <w:rFonts w:hint="cs"/>
          <w:rtl/>
        </w:rPr>
        <w:t>:</w:t>
      </w:r>
      <w:r>
        <w:rPr>
          <w:rFonts w:hint="cs"/>
          <w:rtl/>
        </w:rPr>
        <w:t xml:space="preserve"> </w:t>
      </w:r>
      <w:r w:rsidR="000636C2">
        <w:rPr>
          <w:rFonts w:hint="cs"/>
          <w:rtl/>
        </w:rPr>
        <w:t>{</w:t>
      </w:r>
      <w:r>
        <w:rPr>
          <w:rFonts w:hint="cs"/>
          <w:rtl/>
        </w:rPr>
        <w:t>وقيل اليوم ننساكم كما نسيتم لقاء يومكم هذا</w:t>
      </w:r>
      <w:r w:rsidR="000636C2">
        <w:rPr>
          <w:rFonts w:hint="cs"/>
          <w:rtl/>
        </w:rPr>
        <w:t>}،</w:t>
      </w:r>
      <w:r>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0636C2">
        <w:rPr>
          <w:rFonts w:hint="cs"/>
          <w:rtl/>
        </w:rPr>
        <w:t>[</w:t>
      </w:r>
      <w:r>
        <w:rPr>
          <w:rFonts w:hint="cs"/>
          <w:rtl/>
        </w:rPr>
        <w:t>تفسير ابن كثير ج</w:t>
      </w:r>
      <w:r w:rsidR="000636C2">
        <w:rPr>
          <w:rFonts w:hint="cs"/>
          <w:rtl/>
        </w:rPr>
        <w:t>:</w:t>
      </w:r>
      <w:r>
        <w:rPr>
          <w:rFonts w:hint="cs"/>
          <w:rtl/>
        </w:rPr>
        <w:t xml:space="preserve"> 2 ص</w:t>
      </w:r>
      <w:r w:rsidR="000636C2">
        <w:rPr>
          <w:rFonts w:hint="cs"/>
          <w:rtl/>
        </w:rPr>
        <w:t>:</w:t>
      </w:r>
      <w:r>
        <w:rPr>
          <w:rFonts w:hint="cs"/>
          <w:rtl/>
        </w:rPr>
        <w:t xml:space="preserve"> 22</w:t>
      </w:r>
      <w:r w:rsidR="000636C2">
        <w:rPr>
          <w:rFonts w:hint="cs"/>
          <w:rtl/>
        </w:rPr>
        <w:t>،]،</w:t>
      </w:r>
      <w:r>
        <w:rPr>
          <w:rFonts w:hint="cs"/>
          <w:rtl/>
        </w:rPr>
        <w:t xml:space="preserve"> </w:t>
      </w:r>
      <w:r>
        <w:rPr>
          <w:rFonts w:hint="cs"/>
          <w:bCs/>
          <w:rtl/>
        </w:rPr>
        <w:t>وهناك آيات ظاهرها أنّ الله تعالى يشغله شيء عن شيء</w:t>
      </w:r>
      <w:r w:rsidR="000636C2">
        <w:rPr>
          <w:rFonts w:hint="cs"/>
          <w:rtl/>
        </w:rPr>
        <w:t>،</w:t>
      </w:r>
      <w:r>
        <w:rPr>
          <w:rFonts w:hint="cs"/>
          <w:rtl/>
        </w:rPr>
        <w:t xml:space="preserve"> واعتقاد هذا الظاهر كفر بالله تعالى لأنّ الله تعالى لا يشغله شيء عن شيء</w:t>
      </w:r>
      <w:r w:rsidR="000636C2">
        <w:rPr>
          <w:rFonts w:hint="cs"/>
          <w:rtl/>
        </w:rPr>
        <w:t>،</w:t>
      </w:r>
      <w:r>
        <w:rPr>
          <w:rFonts w:hint="cs"/>
          <w:rtl/>
        </w:rPr>
        <w:t xml:space="preserve"> وسع علمه كل شيء ووسعت قدرته كل شيء</w:t>
      </w:r>
      <w:r w:rsidR="000636C2">
        <w:rPr>
          <w:rFonts w:hint="cs"/>
          <w:rtl/>
        </w:rPr>
        <w:t>،</w:t>
      </w:r>
      <w:r>
        <w:rPr>
          <w:rFonts w:hint="cs"/>
          <w:rtl/>
        </w:rPr>
        <w:t xml:space="preserve"> ومن هذه الآيات</w:t>
      </w:r>
      <w:r w:rsidR="000636C2">
        <w:rPr>
          <w:rFonts w:hint="cs"/>
          <w:rtl/>
        </w:rPr>
        <w:t>،</w:t>
      </w:r>
      <w:r>
        <w:rPr>
          <w:rFonts w:hint="cs"/>
          <w:rtl/>
        </w:rPr>
        <w:t xml:space="preserve"> قوله تعالى</w:t>
      </w:r>
      <w:r w:rsidR="000636C2">
        <w:rPr>
          <w:rFonts w:hint="cs"/>
          <w:rtl/>
        </w:rPr>
        <w:t>:</w:t>
      </w:r>
      <w:r>
        <w:rPr>
          <w:rFonts w:hint="cs"/>
          <w:rtl/>
        </w:rPr>
        <w:t xml:space="preserve"> </w:t>
      </w:r>
      <w:r w:rsidR="000636C2">
        <w:rPr>
          <w:rFonts w:hint="cs"/>
          <w:rtl/>
        </w:rPr>
        <w:t>{</w:t>
      </w:r>
      <w:r>
        <w:rPr>
          <w:rFonts w:hint="cs"/>
          <w:rtl/>
        </w:rPr>
        <w:t>سَنَفْرُغُ لَكُمْ أَيُّهَا الثَّقَلَانِ</w:t>
      </w:r>
      <w:r w:rsidR="000636C2">
        <w:rPr>
          <w:rFonts w:hint="cs"/>
          <w:rtl/>
        </w:rPr>
        <w:t>}</w:t>
      </w:r>
      <w:r>
        <w:rPr>
          <w:rFonts w:hint="cs"/>
          <w:rtl/>
        </w:rPr>
        <w:t xml:space="preserve"> </w:t>
      </w:r>
      <w:r w:rsidR="000636C2">
        <w:rPr>
          <w:rFonts w:hint="cs"/>
          <w:rtl/>
        </w:rPr>
        <w:t>[</w:t>
      </w:r>
      <w:r>
        <w:rPr>
          <w:rFonts w:hint="cs"/>
          <w:rtl/>
        </w:rPr>
        <w:t>الرحمن</w:t>
      </w:r>
      <w:r w:rsidR="000636C2">
        <w:rPr>
          <w:rFonts w:hint="cs"/>
          <w:rtl/>
        </w:rPr>
        <w:t>:</w:t>
      </w:r>
      <w:r>
        <w:rPr>
          <w:rFonts w:hint="cs"/>
          <w:rtl/>
        </w:rPr>
        <w:t xml:space="preserve"> 31</w:t>
      </w:r>
      <w:r w:rsidR="000636C2">
        <w:rPr>
          <w:rFonts w:hint="cs"/>
          <w:rtl/>
        </w:rPr>
        <w:t>]،</w:t>
      </w:r>
      <w:r>
        <w:rPr>
          <w:rFonts w:hint="cs"/>
          <w:rtl/>
        </w:rPr>
        <w:t xml:space="preserve"> وهذا الظاهر محال على الله تعالى</w:t>
      </w:r>
      <w:r w:rsidR="000636C2">
        <w:rPr>
          <w:rFonts w:hint="cs"/>
          <w:rtl/>
        </w:rPr>
        <w:t>،</w:t>
      </w:r>
      <w:r>
        <w:rPr>
          <w:rFonts w:hint="cs"/>
          <w:bCs/>
          <w:rtl/>
        </w:rPr>
        <w:t xml:space="preserve"> وهناك آيات ظاهرها أنّ الله تعالى</w:t>
      </w:r>
      <w:r>
        <w:rPr>
          <w:rFonts w:hint="cs"/>
          <w:rtl/>
        </w:rPr>
        <w:t xml:space="preserve"> تتفاوت قدرته</w:t>
      </w:r>
      <w:r w:rsidR="000636C2">
        <w:rPr>
          <w:rFonts w:hint="cs"/>
          <w:rtl/>
        </w:rPr>
        <w:t>،</w:t>
      </w:r>
      <w:r>
        <w:rPr>
          <w:rFonts w:hint="cs"/>
          <w:rtl/>
        </w:rPr>
        <w:t xml:space="preserve"> وأنّ هناك شيء أهون عليه من شيء</w:t>
      </w:r>
      <w:r w:rsidR="000636C2">
        <w:rPr>
          <w:rFonts w:hint="cs"/>
          <w:rtl/>
        </w:rPr>
        <w:t>،</w:t>
      </w:r>
      <w:r>
        <w:rPr>
          <w:rFonts w:hint="cs"/>
          <w:rtl/>
        </w:rPr>
        <w:t xml:space="preserve"> واعتقاد هذا الظاهر كفر</w:t>
      </w:r>
      <w:r w:rsidR="000636C2">
        <w:rPr>
          <w:rFonts w:hint="cs"/>
          <w:rtl/>
        </w:rPr>
        <w:t>،</w:t>
      </w:r>
      <w:r>
        <w:rPr>
          <w:rFonts w:hint="cs"/>
          <w:rtl/>
        </w:rPr>
        <w:t xml:space="preserve"> لأنّ الله تعالى وسعت قدرته كل شيء لا يعجزه شيء</w:t>
      </w:r>
      <w:r w:rsidR="000636C2">
        <w:rPr>
          <w:rFonts w:hint="cs"/>
          <w:rtl/>
        </w:rPr>
        <w:t>،</w:t>
      </w:r>
      <w:r>
        <w:rPr>
          <w:rFonts w:hint="cs"/>
          <w:rtl/>
        </w:rPr>
        <w:t xml:space="preserve"> وليس هناك شيء أهون عليه من شيء</w:t>
      </w:r>
      <w:r w:rsidR="000636C2">
        <w:rPr>
          <w:rFonts w:hint="cs"/>
          <w:rtl/>
        </w:rPr>
        <w:t>،</w:t>
      </w:r>
      <w:r>
        <w:rPr>
          <w:rFonts w:hint="cs"/>
          <w:rtl/>
        </w:rPr>
        <w:t xml:space="preserve"> ولا شيء أثقل عليه من شيء</w:t>
      </w:r>
      <w:r w:rsidR="000636C2">
        <w:rPr>
          <w:rFonts w:hint="cs"/>
          <w:rtl/>
        </w:rPr>
        <w:t>،</w:t>
      </w:r>
      <w:r>
        <w:rPr>
          <w:rFonts w:hint="cs"/>
          <w:rtl/>
        </w:rPr>
        <w:t xml:space="preserve"> ومن هذه الآيات</w:t>
      </w:r>
      <w:r w:rsidR="000636C2">
        <w:rPr>
          <w:rFonts w:hint="cs"/>
          <w:rtl/>
        </w:rPr>
        <w:t>،</w:t>
      </w:r>
      <w:r>
        <w:rPr>
          <w:rFonts w:hint="cs"/>
          <w:rtl/>
        </w:rPr>
        <w:t xml:space="preserve"> قوله تعالى</w:t>
      </w:r>
      <w:r w:rsidR="000636C2">
        <w:rPr>
          <w:rFonts w:hint="cs"/>
          <w:rtl/>
        </w:rPr>
        <w:t>:</w:t>
      </w:r>
      <w:r>
        <w:rPr>
          <w:rFonts w:hint="cs"/>
          <w:rtl/>
        </w:rPr>
        <w:t xml:space="preserve"> </w:t>
      </w:r>
      <w:r w:rsidR="000636C2">
        <w:rPr>
          <w:rFonts w:hint="cs"/>
          <w:rtl/>
        </w:rPr>
        <w:t>{</w:t>
      </w:r>
      <w:r>
        <w:rPr>
          <w:rFonts w:hint="cs"/>
          <w:rtl/>
        </w:rPr>
        <w:t>وَهُوَ الَّذِي يَبْدَأُ الْخَلْقَ ثُمَّ يُعِيدُهُ وَهُوَ أَهْوَنُ عَلَيْهِ</w:t>
      </w:r>
      <w:r w:rsidR="000636C2">
        <w:rPr>
          <w:rFonts w:hint="cs"/>
          <w:rtl/>
        </w:rPr>
        <w:t>}</w:t>
      </w:r>
      <w:r>
        <w:rPr>
          <w:rFonts w:hint="cs"/>
          <w:rtl/>
        </w:rPr>
        <w:t xml:space="preserve"> </w:t>
      </w:r>
      <w:r w:rsidR="000636C2">
        <w:rPr>
          <w:rFonts w:hint="cs"/>
          <w:rtl/>
        </w:rPr>
        <w:t>[</w:t>
      </w:r>
      <w:r>
        <w:rPr>
          <w:rFonts w:hint="cs"/>
          <w:rtl/>
        </w:rPr>
        <w:t>الروم</w:t>
      </w:r>
      <w:r w:rsidR="000636C2">
        <w:rPr>
          <w:rFonts w:hint="cs"/>
          <w:rtl/>
        </w:rPr>
        <w:t>:</w:t>
      </w:r>
      <w:r>
        <w:rPr>
          <w:rFonts w:hint="cs"/>
          <w:rtl/>
        </w:rPr>
        <w:t xml:space="preserve"> 27</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قَالَ كَذَلِكَ قَالَ رَبُّكَ هُوَ عَلَيَّ هَيِّنٌ وَقَدْ خَلَقْتُكَ مِنْ قَبْلُ وَلَمْ تَكُ شَيْئًا</w:t>
      </w:r>
      <w:r w:rsidR="000636C2">
        <w:rPr>
          <w:rFonts w:hint="cs"/>
          <w:rtl/>
        </w:rPr>
        <w:t>}</w:t>
      </w:r>
      <w:r>
        <w:rPr>
          <w:rFonts w:hint="cs"/>
          <w:rtl/>
        </w:rPr>
        <w:t xml:space="preserve"> </w:t>
      </w:r>
      <w:r w:rsidR="000636C2">
        <w:rPr>
          <w:rFonts w:hint="cs"/>
          <w:rtl/>
        </w:rPr>
        <w:t>[</w:t>
      </w:r>
      <w:r>
        <w:rPr>
          <w:rFonts w:hint="cs"/>
          <w:rtl/>
        </w:rPr>
        <w:t>مريم</w:t>
      </w:r>
      <w:r w:rsidR="000636C2">
        <w:rPr>
          <w:rFonts w:hint="cs"/>
          <w:rtl/>
        </w:rPr>
        <w:t>:</w:t>
      </w:r>
      <w:r>
        <w:rPr>
          <w:rFonts w:hint="cs"/>
          <w:rtl/>
        </w:rPr>
        <w:t xml:space="preserve"> 9</w:t>
      </w:r>
      <w:r w:rsidR="000636C2">
        <w:rPr>
          <w:rFonts w:hint="cs"/>
          <w:rtl/>
        </w:rPr>
        <w:t>]،</w:t>
      </w:r>
      <w:r>
        <w:rPr>
          <w:rFonts w:hint="cs"/>
          <w:rtl/>
        </w:rPr>
        <w:t xml:space="preserve"> وهذا الظاهر محال على الله تعالى</w:t>
      </w:r>
      <w:r w:rsidR="000636C2">
        <w:rPr>
          <w:rFonts w:hint="cs"/>
          <w:rtl/>
        </w:rPr>
        <w:t>،</w:t>
      </w:r>
      <w:r>
        <w:rPr>
          <w:rFonts w:hint="cs"/>
          <w:rtl/>
        </w:rPr>
        <w:t xml:space="preserve"> </w:t>
      </w:r>
      <w:r>
        <w:rPr>
          <w:rFonts w:hint="cs"/>
          <w:bCs/>
          <w:rtl/>
        </w:rPr>
        <w:t>وهناك آيات ظاهرها أنّ الله تعالى</w:t>
      </w:r>
      <w:r>
        <w:rPr>
          <w:rFonts w:hint="cs"/>
          <w:rtl/>
        </w:rPr>
        <w:t xml:space="preserve"> محيط بالعالم وأنّ احاطته بالعالم حسية</w:t>
      </w:r>
      <w:r w:rsidR="000636C2">
        <w:rPr>
          <w:rFonts w:hint="cs"/>
          <w:rtl/>
        </w:rPr>
        <w:t>،</w:t>
      </w:r>
      <w:r>
        <w:rPr>
          <w:rFonts w:hint="cs"/>
          <w:rtl/>
        </w:rPr>
        <w:t xml:space="preserve"> واعتقاد هذا الظاهر كفر</w:t>
      </w:r>
      <w:r w:rsidR="000636C2">
        <w:rPr>
          <w:rFonts w:hint="cs"/>
          <w:rtl/>
        </w:rPr>
        <w:t>،</w:t>
      </w:r>
      <w:r>
        <w:rPr>
          <w:rFonts w:hint="cs"/>
          <w:rtl/>
        </w:rPr>
        <w:t xml:space="preserve"> لأنّ معناه أنّ العالم كله محاط بالرحمن وأنّ الكون بما فيه داخل الرحمن</w:t>
      </w:r>
      <w:r w:rsidR="000636C2">
        <w:rPr>
          <w:rFonts w:hint="cs"/>
          <w:rtl/>
        </w:rPr>
        <w:t>،</w:t>
      </w:r>
      <w:r>
        <w:rPr>
          <w:rFonts w:hint="cs"/>
          <w:rtl/>
        </w:rPr>
        <w:t xml:space="preserve"> تعالى الله عن ذلك علواً كبيرا</w:t>
      </w:r>
      <w:r w:rsidR="000636C2">
        <w:rPr>
          <w:rFonts w:hint="cs"/>
          <w:rtl/>
        </w:rPr>
        <w:t>،</w:t>
      </w:r>
      <w:r>
        <w:rPr>
          <w:rFonts w:hint="cs"/>
          <w:rtl/>
        </w:rPr>
        <w:t xml:space="preserve"> ومن هذه الآيات</w:t>
      </w:r>
      <w:r w:rsidR="000636C2">
        <w:rPr>
          <w:rFonts w:hint="cs"/>
          <w:rtl/>
        </w:rPr>
        <w:t>،</w:t>
      </w:r>
      <w:r>
        <w:rPr>
          <w:rFonts w:hint="cs"/>
          <w:rtl/>
          <w:lang w:bidi="ar-KW"/>
        </w:rPr>
        <w:t xml:space="preserve"> قوله تعالى</w:t>
      </w:r>
      <w:r w:rsidR="000636C2">
        <w:rPr>
          <w:rFonts w:hint="cs"/>
          <w:rtl/>
          <w:lang w:bidi="ar-KW"/>
        </w:rPr>
        <w:t>:</w:t>
      </w:r>
      <w:r>
        <w:rPr>
          <w:rFonts w:hint="cs"/>
          <w:rtl/>
          <w:lang w:bidi="ar-KW"/>
        </w:rPr>
        <w:t xml:space="preserve"> </w:t>
      </w:r>
      <w:r w:rsidR="000636C2">
        <w:rPr>
          <w:rFonts w:hint="cs"/>
          <w:rtl/>
          <w:lang w:bidi="ar-KW"/>
        </w:rPr>
        <w:t>{</w:t>
      </w:r>
      <w:r>
        <w:rPr>
          <w:rFonts w:hint="cs"/>
          <w:rtl/>
        </w:rPr>
        <w:t>وَلِلَّهِ مَا فِي السَّمَوَاتِ وَمَا فِي الْأَرْضِ وَكَانَ اللَّهُ بِكُلِّ شَيْءٍ مُحِيطًا</w:t>
      </w:r>
      <w:r w:rsidR="000636C2">
        <w:rPr>
          <w:rFonts w:hint="cs"/>
          <w:rtl/>
        </w:rPr>
        <w:t>}</w:t>
      </w:r>
      <w:r>
        <w:rPr>
          <w:rFonts w:hint="cs"/>
          <w:rtl/>
        </w:rPr>
        <w:t xml:space="preserve"> </w:t>
      </w:r>
      <w:r w:rsidR="000636C2">
        <w:rPr>
          <w:rFonts w:hint="cs"/>
          <w:rtl/>
        </w:rPr>
        <w:lastRenderedPageBreak/>
        <w:t>[</w:t>
      </w:r>
      <w:r>
        <w:rPr>
          <w:rFonts w:hint="cs"/>
          <w:rtl/>
        </w:rPr>
        <w:t>النساء</w:t>
      </w:r>
      <w:r w:rsidR="000636C2">
        <w:rPr>
          <w:rFonts w:hint="cs"/>
          <w:rtl/>
        </w:rPr>
        <w:t>:</w:t>
      </w:r>
      <w:r>
        <w:rPr>
          <w:rFonts w:hint="cs"/>
          <w:rtl/>
        </w:rPr>
        <w:t xml:space="preserve"> 126</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أَلَا إِنَّهُمْ فِي مِرْيَةٍ مِنْ لِقَاءِ رَبِّهِمْ أَلَا إِنَّهُ بِكُلِّ شَيْءٍ مُحِيطٌ</w:t>
      </w:r>
      <w:r w:rsidR="000636C2">
        <w:rPr>
          <w:rFonts w:hint="cs"/>
          <w:rtl/>
        </w:rPr>
        <w:t>}</w:t>
      </w:r>
      <w:r>
        <w:rPr>
          <w:rFonts w:hint="cs"/>
          <w:rtl/>
        </w:rPr>
        <w:t xml:space="preserve"> </w:t>
      </w:r>
      <w:r w:rsidR="000636C2">
        <w:rPr>
          <w:rFonts w:hint="cs"/>
          <w:rtl/>
        </w:rPr>
        <w:t>[</w:t>
      </w:r>
      <w:r>
        <w:rPr>
          <w:rFonts w:hint="cs"/>
          <w:rtl/>
        </w:rPr>
        <w:t>فصلت</w:t>
      </w:r>
      <w:r w:rsidR="000636C2">
        <w:rPr>
          <w:rFonts w:hint="cs"/>
          <w:rtl/>
        </w:rPr>
        <w:t>:</w:t>
      </w:r>
      <w:r>
        <w:rPr>
          <w:rFonts w:hint="cs"/>
          <w:rtl/>
        </w:rPr>
        <w:t xml:space="preserve"> 54</w:t>
      </w:r>
      <w:r w:rsidR="000636C2">
        <w:rPr>
          <w:rFonts w:hint="cs"/>
          <w:rtl/>
        </w:rPr>
        <w:t>]،</w:t>
      </w:r>
      <w:r>
        <w:rPr>
          <w:rFonts w:hint="cs"/>
          <w:rtl/>
        </w:rPr>
        <w:t xml:space="preserve"> وهذه الادلة ظاهرها يفيد إحاطة الله تعالى الذاتية بكل شيء</w:t>
      </w:r>
      <w:r w:rsidR="000636C2">
        <w:rPr>
          <w:rFonts w:hint="cs"/>
          <w:rtl/>
        </w:rPr>
        <w:t>،</w:t>
      </w:r>
      <w:r>
        <w:rPr>
          <w:rFonts w:hint="cs"/>
          <w:rtl/>
        </w:rPr>
        <w:t xml:space="preserve"> وهذا الظاهر محال على الله تعالى</w:t>
      </w:r>
      <w:r w:rsidR="000636C2">
        <w:rPr>
          <w:rFonts w:hint="cs"/>
          <w:rtl/>
        </w:rPr>
        <w:t xml:space="preserve">، </w:t>
      </w:r>
      <w:r>
        <w:rPr>
          <w:rFonts w:hint="cs"/>
          <w:rtl/>
        </w:rPr>
        <w:t>واعتقاد هذا الظاهر كفر</w:t>
      </w:r>
      <w:r w:rsidR="000636C2">
        <w:rPr>
          <w:rFonts w:hint="cs"/>
          <w:rtl/>
        </w:rPr>
        <w:t>،</w:t>
      </w:r>
      <w:r>
        <w:rPr>
          <w:rFonts w:hint="cs"/>
          <w:rtl/>
        </w:rPr>
        <w:t xml:space="preserve"> لأنّ الله تعالى تقدس وتنزه عن معاني الحلول والاتحاد ومعاني المماسة والاتصال ليس كذاته ذات</w:t>
      </w:r>
      <w:r w:rsidR="000636C2">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0636C2">
        <w:rPr>
          <w:rFonts w:hint="cs"/>
          <w:rtl/>
        </w:rPr>
        <w:t>،</w:t>
      </w:r>
      <w:r>
        <w:rPr>
          <w:rFonts w:hint="cs"/>
          <w:rtl/>
        </w:rPr>
        <w:t xml:space="preserve"> نعجز عن ادراك ذاته</w:t>
      </w:r>
      <w:r w:rsidR="000636C2">
        <w:rPr>
          <w:rFonts w:hint="cs"/>
          <w:rtl/>
        </w:rPr>
        <w:t>،</w:t>
      </w:r>
      <w:r>
        <w:rPr>
          <w:rFonts w:hint="cs"/>
          <w:rtl/>
        </w:rPr>
        <w:t xml:space="preserve"> وما نستطيع ان نقدره قدره</w:t>
      </w:r>
      <w:r w:rsidR="000636C2">
        <w:rPr>
          <w:rFonts w:hint="cs"/>
          <w:rtl/>
        </w:rPr>
        <w:t>،</w:t>
      </w:r>
      <w:r>
        <w:rPr>
          <w:rFonts w:hint="cs"/>
          <w:rtl/>
        </w:rPr>
        <w:t xml:space="preserve"> لا نحصي ثناءً عليه</w:t>
      </w:r>
      <w:r w:rsidR="000636C2">
        <w:rPr>
          <w:rFonts w:hint="cs"/>
          <w:rtl/>
        </w:rPr>
        <w:t>،</w:t>
      </w:r>
      <w:r>
        <w:rPr>
          <w:rFonts w:hint="cs"/>
          <w:rtl/>
        </w:rPr>
        <w:t xml:space="preserve"> هو كما أثنى على نفسه</w:t>
      </w:r>
      <w:r w:rsidR="000636C2">
        <w:rPr>
          <w:rFonts w:hint="cs"/>
          <w:rtl/>
        </w:rPr>
        <w:t>،</w:t>
      </w:r>
      <w:r>
        <w:rPr>
          <w:rFonts w:hint="cs"/>
          <w:rtl/>
        </w:rPr>
        <w:t xml:space="preserve"> وقد حمل العلماء المتخصصون في العقيدة الإحاطة على إحاطة العلم والسمع والبصر والقدرة</w:t>
      </w:r>
      <w:r w:rsidR="000636C2">
        <w:rPr>
          <w:rFonts w:hint="cs"/>
          <w:rtl/>
        </w:rPr>
        <w:t>،</w:t>
      </w:r>
      <w:r>
        <w:rPr>
          <w:rFonts w:hint="cs"/>
          <w:rtl/>
        </w:rPr>
        <w:t xml:space="preserve"> وذلك للتنزيه وابعاد شبهة الحلول والاتحاد مع المخلوقات</w:t>
      </w:r>
      <w:r w:rsidR="000636C2">
        <w:rPr>
          <w:rFonts w:hint="cs"/>
          <w:rtl/>
        </w:rPr>
        <w:t>،</w:t>
      </w:r>
      <w:r>
        <w:rPr>
          <w:rFonts w:hint="cs"/>
          <w:rtl/>
        </w:rPr>
        <w:t xml:space="preserve"> كما حملوا متشابه الآيات السابقة على المحكم من قوله تعالى</w:t>
      </w:r>
      <w:r w:rsidR="000636C2">
        <w:rPr>
          <w:rFonts w:hint="cs"/>
          <w:rtl/>
        </w:rPr>
        <w:t>:</w:t>
      </w:r>
      <w:r>
        <w:rPr>
          <w:rFonts w:hint="cs"/>
          <w:rtl/>
        </w:rPr>
        <w:t xml:space="preserve"> </w:t>
      </w:r>
      <w:r w:rsidR="000636C2">
        <w:rPr>
          <w:rFonts w:hint="cs"/>
          <w:rtl/>
        </w:rPr>
        <w:t>{</w:t>
      </w:r>
      <w:r>
        <w:rPr>
          <w:rFonts w:hint="cs"/>
          <w:rtl/>
        </w:rPr>
        <w:t>وَأَنَّ اللَّهَ قَدْ أَحَاطَ بِكُلِّ شَيْءٍ عِلْمًا</w:t>
      </w:r>
      <w:r w:rsidR="000636C2">
        <w:rPr>
          <w:rFonts w:hint="cs"/>
          <w:rtl/>
        </w:rPr>
        <w:t>}</w:t>
      </w:r>
      <w:r>
        <w:rPr>
          <w:rFonts w:hint="cs"/>
          <w:rtl/>
        </w:rPr>
        <w:t xml:space="preserve"> </w:t>
      </w:r>
      <w:r w:rsidR="000636C2">
        <w:rPr>
          <w:rFonts w:hint="cs"/>
          <w:rtl/>
        </w:rPr>
        <w:t>[</w:t>
      </w:r>
      <w:r>
        <w:rPr>
          <w:rFonts w:hint="cs"/>
          <w:rtl/>
        </w:rPr>
        <w:t>الطلاق</w:t>
      </w:r>
      <w:r w:rsidR="000636C2">
        <w:rPr>
          <w:rFonts w:hint="cs"/>
          <w:rtl/>
        </w:rPr>
        <w:t>:</w:t>
      </w:r>
      <w:r>
        <w:rPr>
          <w:rFonts w:hint="cs"/>
          <w:rtl/>
        </w:rPr>
        <w:t xml:space="preserve"> 12</w:t>
      </w:r>
      <w:r w:rsidR="000636C2">
        <w:rPr>
          <w:rFonts w:hint="cs"/>
          <w:rtl/>
        </w:rPr>
        <w:t>]،</w:t>
      </w:r>
      <w:r>
        <w:rPr>
          <w:rFonts w:hint="cs"/>
          <w:rtl/>
        </w:rPr>
        <w:t xml:space="preserve"> إذ جعلت الآية الإحاطة هي إحاطة العلم</w:t>
      </w:r>
      <w:r w:rsidR="000636C2">
        <w:rPr>
          <w:rFonts w:hint="cs"/>
          <w:rtl/>
        </w:rPr>
        <w:t>،</w:t>
      </w:r>
      <w:r>
        <w:rPr>
          <w:rFonts w:hint="cs"/>
          <w:rtl/>
        </w:rPr>
        <w:t xml:space="preserve"> وسع ربي كل شيء علما</w:t>
      </w:r>
      <w:r w:rsidR="000636C2">
        <w:rPr>
          <w:rFonts w:hint="cs"/>
          <w:rtl/>
        </w:rPr>
        <w:t>،</w:t>
      </w:r>
      <w:r>
        <w:rPr>
          <w:rFonts w:hint="cs"/>
          <w:rtl/>
        </w:rPr>
        <w:t xml:space="preserve"> </w:t>
      </w:r>
      <w:r>
        <w:rPr>
          <w:rFonts w:hint="cs"/>
          <w:bCs/>
          <w:rtl/>
        </w:rPr>
        <w:t>وهناك آيات ظاهرها أنّ الله تعالى معنا بذاته</w:t>
      </w:r>
      <w:r w:rsidR="000636C2">
        <w:rPr>
          <w:rFonts w:hint="cs"/>
          <w:bCs/>
          <w:rtl/>
        </w:rPr>
        <w:t>،</w:t>
      </w:r>
      <w:r>
        <w:rPr>
          <w:rFonts w:hint="cs"/>
          <w:bCs/>
          <w:rtl/>
        </w:rPr>
        <w:t xml:space="preserve"> </w:t>
      </w:r>
      <w:r>
        <w:rPr>
          <w:rFonts w:hint="cs"/>
          <w:rtl/>
        </w:rPr>
        <w:t>واعتقاد هذا الظاهر كفر</w:t>
      </w:r>
      <w:r w:rsidR="000636C2">
        <w:rPr>
          <w:rFonts w:hint="cs"/>
          <w:rtl/>
        </w:rPr>
        <w:t>،</w:t>
      </w:r>
      <w:r>
        <w:rPr>
          <w:rFonts w:hint="cs"/>
          <w:rtl/>
        </w:rPr>
        <w:t xml:space="preserve"> لأنّ الله تعالى منزه عن الاتحاد أو الحلول بخلقه</w:t>
      </w:r>
      <w:r w:rsidR="000636C2">
        <w:rPr>
          <w:rFonts w:hint="cs"/>
          <w:rtl/>
        </w:rPr>
        <w:t>،</w:t>
      </w:r>
      <w:r>
        <w:rPr>
          <w:rFonts w:hint="cs"/>
          <w:bCs/>
          <w:rtl/>
        </w:rPr>
        <w:t xml:space="preserve"> </w:t>
      </w:r>
      <w:r>
        <w:rPr>
          <w:rFonts w:hint="cs"/>
          <w:rtl/>
        </w:rPr>
        <w:t>ومنزه عن القرب الحسي بالذات</w:t>
      </w:r>
      <w:r w:rsidR="000636C2">
        <w:rPr>
          <w:rFonts w:hint="cs"/>
          <w:rtl/>
        </w:rPr>
        <w:t>،</w:t>
      </w:r>
      <w:r>
        <w:rPr>
          <w:rFonts w:hint="cs"/>
          <w:rtl/>
        </w:rPr>
        <w:t xml:space="preserve"> ومن هذه الآيات </w:t>
      </w:r>
      <w:r>
        <w:rPr>
          <w:rFonts w:hint="cs"/>
          <w:rtl/>
          <w:lang w:bidi="ar-KW"/>
        </w:rPr>
        <w:t>قوله تعالى</w:t>
      </w:r>
      <w:r w:rsidR="000636C2">
        <w:rPr>
          <w:rFonts w:hint="cs"/>
          <w:rtl/>
          <w:lang w:bidi="ar-KW"/>
        </w:rPr>
        <w:t>:</w:t>
      </w:r>
      <w:r>
        <w:rPr>
          <w:rFonts w:hint="cs"/>
          <w:rtl/>
          <w:lang w:bidi="ar-KW"/>
        </w:rPr>
        <w:t xml:space="preserve"> </w:t>
      </w:r>
      <w:r w:rsidR="000636C2">
        <w:rPr>
          <w:rFonts w:hint="cs"/>
          <w:rtl/>
          <w:lang w:bidi="ar-KW"/>
        </w:rPr>
        <w:t>{</w:t>
      </w:r>
      <w:r>
        <w:rPr>
          <w:rFonts w:hint="cs"/>
          <w:rtl/>
        </w:rPr>
        <w:t>وَإِذَا سَأَلَكَ عِبَادِي عَنِّي فَإِنِّي قَرِيبٌ أُجِيبُ دَعْوَةَ الدَّاعِ إِذَا دَعَانِ</w:t>
      </w:r>
      <w:r w:rsidR="000636C2">
        <w:rPr>
          <w:rFonts w:hint="cs"/>
          <w:rtl/>
        </w:rPr>
        <w:t>}</w:t>
      </w:r>
      <w:r>
        <w:rPr>
          <w:rFonts w:hint="cs"/>
          <w:rtl/>
        </w:rPr>
        <w:t xml:space="preserve"> </w:t>
      </w:r>
      <w:r w:rsidR="000636C2">
        <w:rPr>
          <w:rFonts w:hint="cs"/>
          <w:rtl/>
        </w:rPr>
        <w:t>[</w:t>
      </w:r>
      <w:r>
        <w:rPr>
          <w:rFonts w:hint="cs"/>
          <w:rtl/>
        </w:rPr>
        <w:t>البقرة</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فَاسْتَغْفِرُوهُ ثُمَّ تُوبُوا إِلَيْهِ إِنَّ رَبِّي قَرِيبٌ مُجِيبٌ</w:t>
      </w:r>
      <w:r w:rsidR="000636C2">
        <w:rPr>
          <w:rFonts w:hint="cs"/>
          <w:rtl/>
        </w:rPr>
        <w:t>}</w:t>
      </w:r>
      <w:r>
        <w:rPr>
          <w:rFonts w:hint="cs"/>
          <w:rtl/>
        </w:rPr>
        <w:t xml:space="preserve"> [هود</w:t>
      </w:r>
      <w:r w:rsidR="000636C2">
        <w:rPr>
          <w:rFonts w:hint="cs"/>
          <w:rtl/>
        </w:rPr>
        <w:t>:</w:t>
      </w:r>
      <w:r>
        <w:rPr>
          <w:rFonts w:hint="cs"/>
          <w:rtl/>
        </w:rPr>
        <w:t xml:space="preserve"> 61</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قُلْ إِنْ ضَلَلْتُ فَإِنَّمَا أَضِلُّ عَلَى نَفْسِي وَإِنِ اهْتَدَيْتُ فَبِمَا يُوحِي إِلَيَّ رَبِّي إِنَّهُ سَمِيعٌ قَرِيبٌ</w:t>
      </w:r>
      <w:r w:rsidR="000636C2">
        <w:rPr>
          <w:rFonts w:hint="cs"/>
          <w:rtl/>
        </w:rPr>
        <w:t>}</w:t>
      </w:r>
      <w:r>
        <w:rPr>
          <w:rFonts w:hint="cs"/>
          <w:rtl/>
        </w:rPr>
        <w:t xml:space="preserve"> </w:t>
      </w:r>
      <w:r w:rsidR="000636C2">
        <w:rPr>
          <w:rFonts w:hint="cs"/>
          <w:rtl/>
        </w:rPr>
        <w:t>[</w:t>
      </w:r>
      <w:r>
        <w:rPr>
          <w:rFonts w:hint="cs"/>
          <w:rtl/>
        </w:rPr>
        <w:t>سبأ</w:t>
      </w:r>
      <w:r w:rsidR="000636C2">
        <w:rPr>
          <w:rFonts w:hint="cs"/>
          <w:rtl/>
        </w:rPr>
        <w:t>:</w:t>
      </w:r>
      <w:r>
        <w:rPr>
          <w:rFonts w:hint="cs"/>
          <w:rtl/>
        </w:rPr>
        <w:t xml:space="preserve"> 5</w:t>
      </w:r>
      <w:r w:rsidR="000636C2">
        <w:rPr>
          <w:rFonts w:hint="cs"/>
          <w:rtl/>
        </w:rPr>
        <w:t>،]،</w:t>
      </w:r>
      <w:r>
        <w:rPr>
          <w:rFonts w:hint="cs"/>
          <w:rtl/>
        </w:rPr>
        <w:t>، وقوله تعالى</w:t>
      </w:r>
      <w:r w:rsidR="000636C2">
        <w:rPr>
          <w:rFonts w:hint="cs"/>
          <w:rtl/>
        </w:rPr>
        <w:t>:</w:t>
      </w:r>
      <w:r>
        <w:rPr>
          <w:rFonts w:hint="cs"/>
          <w:rtl/>
        </w:rPr>
        <w:t xml:space="preserve"> </w:t>
      </w:r>
      <w:r w:rsidR="000636C2">
        <w:rPr>
          <w:rFonts w:hint="cs"/>
          <w:rtl/>
        </w:rPr>
        <w:t>{</w:t>
      </w:r>
      <w:r>
        <w:rPr>
          <w:rFonts w:hint="cs"/>
          <w:rtl/>
        </w:rPr>
        <w:t>وَلَقَدْ خَلَقْنَا الْإِنْسَانَ وَنَعْلَمُ مَا تُوَسْوِسُ بِهِ نَفْسُهُ وَنَحْنُ أَقْرَبُ إِلَيْهِ مِنْ حَبْلِ الْوَرِيدِ</w:t>
      </w:r>
      <w:r w:rsidR="000636C2">
        <w:rPr>
          <w:rFonts w:hint="cs"/>
          <w:rtl/>
        </w:rPr>
        <w:t>}</w:t>
      </w:r>
      <w:r>
        <w:rPr>
          <w:rFonts w:hint="cs"/>
          <w:rtl/>
        </w:rPr>
        <w:t xml:space="preserve"> </w:t>
      </w:r>
      <w:r w:rsidR="000636C2">
        <w:rPr>
          <w:rFonts w:hint="cs"/>
          <w:rtl/>
        </w:rPr>
        <w:t>[</w:t>
      </w:r>
      <w:r>
        <w:rPr>
          <w:rFonts w:hint="cs"/>
          <w:rtl/>
        </w:rPr>
        <w:t>ق</w:t>
      </w:r>
      <w:r w:rsidR="000636C2">
        <w:rPr>
          <w:rFonts w:hint="cs"/>
          <w:rtl/>
        </w:rPr>
        <w:t>:</w:t>
      </w:r>
      <w:r>
        <w:rPr>
          <w:rFonts w:hint="cs"/>
          <w:rtl/>
        </w:rPr>
        <w:t xml:space="preserve"> 16</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وَنَحْنُ أَقْرَبُ إِلَيْهِ مِنْكُمْ وَلَكِنْ لَا تُبْصِرُونَ</w:t>
      </w:r>
      <w:r w:rsidR="000636C2">
        <w:rPr>
          <w:rFonts w:hint="cs"/>
          <w:rtl/>
        </w:rPr>
        <w:t>}</w:t>
      </w:r>
      <w:r>
        <w:rPr>
          <w:rFonts w:hint="cs"/>
          <w:rtl/>
        </w:rPr>
        <w:t xml:space="preserve"> </w:t>
      </w:r>
      <w:r w:rsidR="000636C2">
        <w:rPr>
          <w:rFonts w:hint="cs"/>
          <w:rtl/>
        </w:rPr>
        <w:t>[</w:t>
      </w:r>
      <w:r>
        <w:rPr>
          <w:rFonts w:hint="cs"/>
          <w:rtl/>
        </w:rPr>
        <w:t>الواقعة</w:t>
      </w:r>
      <w:r w:rsidR="000636C2">
        <w:rPr>
          <w:rFonts w:hint="cs"/>
          <w:rtl/>
        </w:rPr>
        <w:t>:</w:t>
      </w:r>
      <w:r>
        <w:rPr>
          <w:rFonts w:hint="cs"/>
          <w:rtl/>
        </w:rPr>
        <w:t xml:space="preserve"> 85</w:t>
      </w:r>
      <w:r w:rsidR="000636C2">
        <w:rPr>
          <w:rFonts w:hint="cs"/>
          <w:rtl/>
        </w:rPr>
        <w:t>]،</w:t>
      </w:r>
      <w:r>
        <w:rPr>
          <w:rFonts w:hint="cs"/>
          <w:rtl/>
        </w:rPr>
        <w:t xml:space="preserve"> وظاهر هذه الادلة يدل على قرب الله تعالى بذاته من عباده</w:t>
      </w:r>
      <w:r w:rsidR="000636C2">
        <w:rPr>
          <w:rFonts w:hint="cs"/>
          <w:rtl/>
        </w:rPr>
        <w:t>،</w:t>
      </w:r>
      <w:r>
        <w:rPr>
          <w:rFonts w:hint="cs"/>
          <w:rtl/>
        </w:rPr>
        <w:t xml:space="preserve"> وهذا الظاهر محال على الله تعالى</w:t>
      </w:r>
      <w:r w:rsidR="000636C2">
        <w:rPr>
          <w:rFonts w:hint="cs"/>
          <w:rtl/>
        </w:rPr>
        <w:t>،</w:t>
      </w:r>
      <w:r>
        <w:rPr>
          <w:rFonts w:hint="cs"/>
          <w:rtl/>
        </w:rPr>
        <w:t xml:space="preserve"> إذ هو قرب منزه عن الاتحاد والحلول والاتصال والانفصال مع خلقه ليس كمثله شيء</w:t>
      </w:r>
      <w:r w:rsidR="000636C2">
        <w:rPr>
          <w:rFonts w:hint="cs"/>
          <w:rtl/>
        </w:rPr>
        <w:t>،</w:t>
      </w:r>
      <w:r>
        <w:rPr>
          <w:rFonts w:hint="cs"/>
          <w:rtl/>
        </w:rPr>
        <w:t xml:space="preserve"> وقد حمل العلماء المتخصصون في العقيدة القرب على قرب العلم والسمع والبصر والقدرة</w:t>
      </w:r>
      <w:r w:rsidR="000636C2">
        <w:rPr>
          <w:rFonts w:hint="cs"/>
          <w:rtl/>
        </w:rPr>
        <w:t>،</w:t>
      </w:r>
      <w:r>
        <w:rPr>
          <w:rFonts w:hint="cs"/>
          <w:rtl/>
        </w:rPr>
        <w:t xml:space="preserve"> وقرب الملائكة</w:t>
      </w:r>
      <w:r w:rsidR="000636C2">
        <w:rPr>
          <w:rFonts w:hint="cs"/>
          <w:rtl/>
        </w:rPr>
        <w:t>،</w:t>
      </w:r>
      <w:r>
        <w:rPr>
          <w:rFonts w:hint="cs"/>
          <w:rtl/>
        </w:rPr>
        <w:t xml:space="preserve"> وذلك للتنزيه وابعاد شبهة الحلول والاتحاد مع المخلوقات</w:t>
      </w:r>
      <w:r w:rsidR="000636C2">
        <w:rPr>
          <w:rFonts w:hint="cs"/>
          <w:rtl/>
        </w:rPr>
        <w:t>،</w:t>
      </w:r>
      <w:r>
        <w:rPr>
          <w:rFonts w:hint="cs"/>
          <w:rtl/>
        </w:rPr>
        <w:t xml:space="preserve"> </w:t>
      </w:r>
      <w:r>
        <w:rPr>
          <w:rFonts w:hint="cs"/>
          <w:bCs/>
          <w:rtl/>
        </w:rPr>
        <w:t>وهناك آيات ظاهرها - لمن جهل قواعد التقديس - أنّ الله تعالى يجلس على عرشه بذاته ويستقر عليه بذاته</w:t>
      </w:r>
      <w:r w:rsidR="000636C2">
        <w:rPr>
          <w:rFonts w:hint="cs"/>
          <w:bCs/>
          <w:rtl/>
        </w:rPr>
        <w:t>،</w:t>
      </w:r>
      <w:r>
        <w:rPr>
          <w:rFonts w:hint="cs"/>
          <w:bCs/>
          <w:rtl/>
        </w:rPr>
        <w:t xml:space="preserve"> وأنّ العرش مكان الرحمن</w:t>
      </w:r>
      <w:r w:rsidR="000636C2">
        <w:rPr>
          <w:rFonts w:hint="cs"/>
          <w:rtl/>
        </w:rPr>
        <w:t>،</w:t>
      </w:r>
      <w:r>
        <w:rPr>
          <w:rFonts w:hint="cs"/>
          <w:rtl/>
        </w:rPr>
        <w:t xml:space="preserve"> واعتقاد هذا الظاهر جهل وضلال</w:t>
      </w:r>
      <w:r w:rsidR="000636C2">
        <w:rPr>
          <w:rFonts w:hint="cs"/>
          <w:rtl/>
        </w:rPr>
        <w:t>،</w:t>
      </w:r>
      <w:r>
        <w:rPr>
          <w:rFonts w:hint="cs"/>
          <w:rtl/>
        </w:rPr>
        <w:t xml:space="preserve"> لأنّ العرش خلق من خلق الله</w:t>
      </w:r>
      <w:r w:rsidR="000636C2">
        <w:rPr>
          <w:rFonts w:hint="cs"/>
          <w:rtl/>
        </w:rPr>
        <w:t>،</w:t>
      </w:r>
      <w:r>
        <w:rPr>
          <w:rFonts w:hint="cs"/>
          <w:rtl/>
        </w:rPr>
        <w:t xml:space="preserve"> ولا يجوز في حق الله تعالى المماسة والاتصال مع شيء من خلقه</w:t>
      </w:r>
      <w:r w:rsidR="000636C2">
        <w:rPr>
          <w:rFonts w:hint="cs"/>
          <w:rtl/>
        </w:rPr>
        <w:t>،</w:t>
      </w:r>
      <w:r>
        <w:rPr>
          <w:rFonts w:hint="cs"/>
          <w:rtl/>
        </w:rPr>
        <w:t xml:space="preserve"> كما لا يجوز في حق الله تعالى الحيز والحد والمقدار</w:t>
      </w:r>
      <w:r w:rsidR="000636C2">
        <w:rPr>
          <w:rFonts w:hint="cs"/>
          <w:rtl/>
        </w:rPr>
        <w:t>،</w:t>
      </w:r>
      <w:r>
        <w:rPr>
          <w:rFonts w:hint="cs"/>
          <w:rtl/>
        </w:rPr>
        <w:t xml:space="preserve"> كما أنّ من لوازم هذا كون العرش أكبر من ذات الرحمن</w:t>
      </w:r>
      <w:r w:rsidR="000636C2">
        <w:rPr>
          <w:rFonts w:hint="cs"/>
          <w:rtl/>
        </w:rPr>
        <w:t>،</w:t>
      </w:r>
      <w:r>
        <w:rPr>
          <w:rFonts w:hint="cs"/>
          <w:rtl/>
        </w:rPr>
        <w:t xml:space="preserve"> وعقيدة كل المسلمين عدا المجسمة أنّ الله تعالى أكبر من كل شيء</w:t>
      </w:r>
      <w:r w:rsidR="000636C2">
        <w:rPr>
          <w:rFonts w:hint="cs"/>
          <w:rtl/>
        </w:rPr>
        <w:t>،</w:t>
      </w:r>
      <w:r>
        <w:rPr>
          <w:rFonts w:hint="cs"/>
          <w:rtl/>
        </w:rPr>
        <w:t xml:space="preserve"> وأنه الواحد القهار</w:t>
      </w:r>
      <w:r w:rsidR="000636C2">
        <w:rPr>
          <w:rFonts w:hint="cs"/>
          <w:rtl/>
        </w:rPr>
        <w:t>،</w:t>
      </w:r>
      <w:r>
        <w:rPr>
          <w:rFonts w:hint="cs"/>
          <w:rtl/>
        </w:rPr>
        <w:t xml:space="preserve"> وأنّه الكبير المتعال</w:t>
      </w:r>
      <w:r w:rsidR="000636C2">
        <w:rPr>
          <w:rFonts w:hint="cs"/>
          <w:rtl/>
        </w:rPr>
        <w:t>،</w:t>
      </w:r>
      <w:r>
        <w:rPr>
          <w:rFonts w:hint="cs"/>
          <w:rtl/>
        </w:rPr>
        <w:t xml:space="preserve"> وأنّه مستغن عن خلقه بما فيهم عرشه وغيره</w:t>
      </w:r>
      <w:r w:rsidR="000636C2">
        <w:rPr>
          <w:rFonts w:hint="cs"/>
          <w:rtl/>
        </w:rPr>
        <w:t>،</w:t>
      </w:r>
      <w:r>
        <w:rPr>
          <w:rFonts w:hint="cs"/>
          <w:rtl/>
        </w:rPr>
        <w:t xml:space="preserve"> وهو رب العالمين وهو رب العرش وغيره من خلق الله</w:t>
      </w:r>
      <w:r w:rsidR="000636C2">
        <w:rPr>
          <w:rFonts w:hint="cs"/>
          <w:rtl/>
        </w:rPr>
        <w:t xml:space="preserve">، </w:t>
      </w:r>
      <w:r>
        <w:rPr>
          <w:rFonts w:hint="cs"/>
          <w:bCs/>
          <w:rtl/>
        </w:rPr>
        <w:t xml:space="preserve">وقد ورد الاستواء في سبعة مواضع من القرآن الكريم كلها تدل </w:t>
      </w:r>
      <w:r>
        <w:rPr>
          <w:rFonts w:hint="cs"/>
          <w:bCs/>
          <w:rtl/>
        </w:rPr>
        <w:lastRenderedPageBreak/>
        <w:t>لمن تدبرها بقرآئنها</w:t>
      </w:r>
      <w:r w:rsidR="000636C2">
        <w:rPr>
          <w:rFonts w:hint="cs"/>
          <w:rtl/>
        </w:rPr>
        <w:t>،</w:t>
      </w:r>
      <w:r>
        <w:rPr>
          <w:rFonts w:hint="cs"/>
          <w:rtl/>
        </w:rPr>
        <w:t xml:space="preserve"> بأن الاستواء المقصود هو استواء ملك وقهر وتسخير وهيمنة وربوبية للعالم</w:t>
      </w:r>
      <w:r w:rsidR="000636C2">
        <w:rPr>
          <w:rFonts w:hint="cs"/>
          <w:rtl/>
        </w:rPr>
        <w:t>،</w:t>
      </w:r>
      <w:r>
        <w:rPr>
          <w:rFonts w:hint="cs"/>
          <w:rtl/>
        </w:rPr>
        <w:t>وبيان كمال قدرته التامة سبحانه في تدابير الملك والملكوت</w:t>
      </w:r>
      <w:r w:rsidR="000636C2">
        <w:rPr>
          <w:rFonts w:hint="cs"/>
          <w:rtl/>
        </w:rPr>
        <w:t>،</w:t>
      </w:r>
      <w:r>
        <w:rPr>
          <w:rFonts w:hint="cs"/>
          <w:rtl/>
        </w:rPr>
        <w:t xml:space="preserve"> فهذا هو التمدح المقصود بالاستواء</w:t>
      </w:r>
      <w:r w:rsidR="000636C2">
        <w:rPr>
          <w:rFonts w:hint="cs"/>
          <w:rtl/>
        </w:rPr>
        <w:t>،</w:t>
      </w:r>
      <w:r>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0636C2">
        <w:rPr>
          <w:rFonts w:hint="cs"/>
          <w:rtl/>
        </w:rPr>
        <w:t>،</w:t>
      </w:r>
      <w:r>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0636C2">
        <w:rPr>
          <w:rFonts w:hint="cs"/>
          <w:rtl/>
        </w:rPr>
        <w:t>،</w:t>
      </w:r>
      <w:r>
        <w:rPr>
          <w:rFonts w:hint="cs"/>
          <w:rtl/>
        </w:rPr>
        <w:t xml:space="preserve"> وأما ما يزعمون من أنه استواء استقرار فهو باطل لأن الله عز وجل منزه عن التغير والحدوث</w:t>
      </w:r>
      <w:r w:rsidR="000636C2">
        <w:rPr>
          <w:rFonts w:hint="cs"/>
          <w:rtl/>
        </w:rPr>
        <w:t>،</w:t>
      </w:r>
      <w:r>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0636C2">
        <w:rPr>
          <w:rFonts w:hint="cs"/>
          <w:rtl/>
        </w:rPr>
        <w:t>،</w:t>
      </w:r>
      <w:r>
        <w:rPr>
          <w:rFonts w:hint="cs"/>
          <w:rtl/>
        </w:rPr>
        <w:t xml:space="preserve"> والتمدح لا يكون بالكون في المكان ولا بالاستقرار ولكن ببيان صفات القدرة والعظمة وهذا هو مقصود آيات القرآن</w:t>
      </w:r>
      <w:r w:rsidR="000636C2">
        <w:rPr>
          <w:rFonts w:hint="cs"/>
          <w:rtl/>
        </w:rPr>
        <w:t>،</w:t>
      </w:r>
      <w:r>
        <w:rPr>
          <w:rFonts w:hint="cs"/>
          <w:rtl/>
        </w:rPr>
        <w:t xml:space="preserve"> </w:t>
      </w:r>
      <w:r>
        <w:rPr>
          <w:rFonts w:hint="cs"/>
          <w:bCs/>
          <w:rtl/>
        </w:rPr>
        <w:t>وهناك آيات ظاهرها - لمن جهل قواعد التقديس -</w:t>
      </w:r>
      <w:r w:rsidR="000636C2">
        <w:rPr>
          <w:rFonts w:hint="cs"/>
          <w:bCs/>
          <w:rtl/>
        </w:rPr>
        <w:t xml:space="preserve"> </w:t>
      </w:r>
      <w:r>
        <w:rPr>
          <w:rFonts w:hint="cs"/>
          <w:bCs/>
          <w:rtl/>
        </w:rPr>
        <w:t xml:space="preserve">يوحي </w:t>
      </w:r>
      <w:r>
        <w:rPr>
          <w:rFonts w:hint="cs"/>
          <w:rtl/>
          <w:lang w:bidi="ar-KW"/>
        </w:rPr>
        <w:t>نسبتها إلى الله تعالى بالجوارح والأعضاء</w:t>
      </w:r>
      <w:r w:rsidR="000636C2">
        <w:rPr>
          <w:rFonts w:hint="cs"/>
          <w:rtl/>
          <w:lang w:bidi="ar-KW"/>
        </w:rPr>
        <w:t>،</w:t>
      </w:r>
      <w:r>
        <w:rPr>
          <w:rFonts w:hint="cs"/>
          <w:rtl/>
          <w:lang w:bidi="ar-KW"/>
        </w:rPr>
        <w:t xml:space="preserve"> كالوجه واليد والعين</w:t>
      </w:r>
      <w:r w:rsidR="000636C2">
        <w:rPr>
          <w:rFonts w:hint="cs"/>
          <w:rtl/>
          <w:lang w:bidi="ar-KW"/>
        </w:rPr>
        <w:t>،</w:t>
      </w:r>
      <w:r>
        <w:rPr>
          <w:rFonts w:hint="cs"/>
          <w:rtl/>
          <w:lang w:bidi="ar-KW"/>
        </w:rPr>
        <w:t xml:space="preserve"> </w:t>
      </w:r>
      <w:r>
        <w:rPr>
          <w:rFonts w:hint="cs"/>
          <w:rtl/>
        </w:rPr>
        <w:t>وهذه نثبتها على الوجه الذي يحمل المتشابه على المحكم</w:t>
      </w:r>
      <w:r w:rsidR="000636C2">
        <w:rPr>
          <w:rFonts w:hint="cs"/>
          <w:rtl/>
        </w:rPr>
        <w:t>،</w:t>
      </w:r>
      <w:r>
        <w:rPr>
          <w:rFonts w:hint="cs"/>
          <w:rtl/>
        </w:rPr>
        <w:t xml:space="preserve"> وعلى الوجه الذي يدل على الكمال</w:t>
      </w:r>
      <w:r w:rsidR="000636C2">
        <w:rPr>
          <w:rFonts w:hint="cs"/>
          <w:rtl/>
        </w:rPr>
        <w:t>،</w:t>
      </w:r>
      <w:r>
        <w:rPr>
          <w:rFonts w:hint="cs"/>
          <w:rtl/>
        </w:rPr>
        <w:t xml:space="preserve"> مع تنزيه الله تعالى عن أوجه النقص فيها</w:t>
      </w:r>
      <w:r w:rsidR="000636C2">
        <w:rPr>
          <w:rFonts w:hint="cs"/>
          <w:rtl/>
        </w:rPr>
        <w:t>،</w:t>
      </w:r>
      <w:r>
        <w:rPr>
          <w:rFonts w:hint="cs"/>
          <w:rtl/>
        </w:rPr>
        <w:t xml:space="preserve"> ومثال ذلك </w:t>
      </w:r>
      <w:r w:rsidR="000636C2">
        <w:rPr>
          <w:rFonts w:hint="cs"/>
          <w:rtl/>
        </w:rPr>
        <w:t>(</w:t>
      </w:r>
      <w:r>
        <w:rPr>
          <w:rFonts w:hint="cs"/>
          <w:rtl/>
        </w:rPr>
        <w:t>الوجه</w:t>
      </w:r>
      <w:r w:rsidR="000636C2">
        <w:rPr>
          <w:rFonts w:hint="cs"/>
          <w:rtl/>
        </w:rPr>
        <w:t>)</w:t>
      </w:r>
      <w:r>
        <w:rPr>
          <w:rFonts w:hint="cs"/>
          <w:rtl/>
        </w:rPr>
        <w:t xml:space="preserve"> فإنه إثبات لصفة خبرية </w:t>
      </w:r>
      <w:r w:rsidR="000636C2">
        <w:rPr>
          <w:rFonts w:hint="cs"/>
          <w:rtl/>
        </w:rPr>
        <w:t>(</w:t>
      </w:r>
      <w:r>
        <w:rPr>
          <w:rFonts w:hint="cs"/>
          <w:rtl/>
        </w:rPr>
        <w:t>جاء بها الخبر</w:t>
      </w:r>
      <w:r w:rsidR="000636C2">
        <w:rPr>
          <w:rFonts w:hint="cs"/>
          <w:rtl/>
        </w:rPr>
        <w:t>)</w:t>
      </w:r>
      <w:r>
        <w:rPr>
          <w:rFonts w:hint="cs"/>
          <w:rtl/>
        </w:rPr>
        <w:t xml:space="preserve"> ولكن اثباتها على ظاهرها اللغوي قد يوحي بالجارحة والجزء من الله</w:t>
      </w:r>
      <w:r w:rsidR="000636C2">
        <w:rPr>
          <w:rFonts w:hint="cs"/>
          <w:rtl/>
        </w:rPr>
        <w:t>،</w:t>
      </w:r>
      <w:r>
        <w:rPr>
          <w:rFonts w:hint="cs"/>
          <w:rtl/>
        </w:rPr>
        <w:t xml:space="preserve"> وهذا محال لأنّ الله تعالى أحد لا جزء له</w:t>
      </w:r>
      <w:r w:rsidR="000636C2">
        <w:rPr>
          <w:rFonts w:hint="cs"/>
          <w:rtl/>
        </w:rPr>
        <w:t>،</w:t>
      </w:r>
      <w:r>
        <w:rPr>
          <w:rFonts w:hint="cs"/>
          <w:rtl/>
        </w:rPr>
        <w:t xml:space="preserve"> غني لا جارحة له</w:t>
      </w:r>
      <w:r w:rsidR="000636C2">
        <w:rPr>
          <w:rFonts w:hint="cs"/>
          <w:rtl/>
        </w:rPr>
        <w:t>،</w:t>
      </w:r>
      <w:r>
        <w:rPr>
          <w:rFonts w:hint="cs"/>
          <w:rtl/>
        </w:rPr>
        <w:t xml:space="preserve"> قهار لا حد له</w:t>
      </w:r>
      <w:r w:rsidR="000636C2">
        <w:rPr>
          <w:rFonts w:hint="cs"/>
          <w:rtl/>
        </w:rPr>
        <w:t>،</w:t>
      </w:r>
      <w:r>
        <w:rPr>
          <w:rFonts w:hint="cs"/>
          <w:rtl/>
        </w:rPr>
        <w:t xml:space="preserve"> متعال على النهاية فلا نهاية له</w:t>
      </w:r>
      <w:r w:rsidR="000636C2">
        <w:rPr>
          <w:rFonts w:hint="cs"/>
          <w:rtl/>
        </w:rPr>
        <w:t>،</w:t>
      </w:r>
      <w:r>
        <w:rPr>
          <w:rFonts w:hint="cs"/>
          <w:rtl/>
        </w:rPr>
        <w:t xml:space="preserve"> فينبغي أنّ نسلك في ذلك طرق الراسخين في العلم الذين علموا أنّ ظواهر تلك الآيات من الجارحة والجزء غير مرادة</w:t>
      </w:r>
      <w:r w:rsidR="000636C2">
        <w:rPr>
          <w:rFonts w:hint="cs"/>
          <w:rtl/>
        </w:rPr>
        <w:t>،</w:t>
      </w:r>
      <w:r>
        <w:rPr>
          <w:rFonts w:hint="cs"/>
          <w:rtl/>
        </w:rPr>
        <w:t xml:space="preserve"> ثم احترزوا من ظاهرها فسموها صفات أو حملوا الآيات على المعنى الذي سيقت الآيات من أجله</w:t>
      </w:r>
      <w:r w:rsidR="000636C2">
        <w:rPr>
          <w:rFonts w:hint="cs"/>
          <w:rtl/>
        </w:rPr>
        <w:t>،</w:t>
      </w:r>
      <w:r>
        <w:rPr>
          <w:rFonts w:hint="cs"/>
          <w:rtl/>
        </w:rPr>
        <w:t xml:space="preserve"> ومثال ذلك حمل الوجه على الذات في قوله تعالى</w:t>
      </w:r>
      <w:r w:rsidR="000636C2">
        <w:rPr>
          <w:rFonts w:hint="cs"/>
          <w:rtl/>
        </w:rPr>
        <w:t>:</w:t>
      </w:r>
      <w:r>
        <w:rPr>
          <w:rFonts w:hint="cs"/>
          <w:rtl/>
        </w:rPr>
        <w:t xml:space="preserve"> {كل شيء هالك إلا وجهه</w:t>
      </w:r>
      <w:r w:rsidR="000636C2">
        <w:rPr>
          <w:rFonts w:hint="cs"/>
          <w:rtl/>
        </w:rPr>
        <w:t>}</w:t>
      </w:r>
      <w:r>
        <w:rPr>
          <w:rFonts w:hint="cs"/>
          <w:rtl/>
        </w:rPr>
        <w:t xml:space="preserve"> وقوله تعالى {ويبقى وجه ربك ذي الجلال والإكرام</w:t>
      </w:r>
      <w:r w:rsidR="000636C2">
        <w:rPr>
          <w:rFonts w:hint="cs"/>
          <w:rtl/>
        </w:rPr>
        <w:t>}</w:t>
      </w:r>
      <w:r>
        <w:rPr>
          <w:rFonts w:hint="cs"/>
          <w:rtl/>
        </w:rPr>
        <w:t xml:space="preserve"> على الذات أو ما قصد به ذات الله تعالى من العمل الصالح</w:t>
      </w:r>
      <w:r w:rsidR="000636C2">
        <w:rPr>
          <w:rFonts w:hint="cs"/>
          <w:rtl/>
        </w:rPr>
        <w:t>،</w:t>
      </w:r>
      <w:r>
        <w:rPr>
          <w:rFonts w:hint="cs"/>
          <w:rtl/>
        </w:rPr>
        <w:t xml:space="preserve"> إذ لا يعقل لذي لُب أن الهلاك سيلحق بالذات ولا يبقى إلا الوجه سبحانك هذا كفر عظيم</w:t>
      </w:r>
      <w:r w:rsidR="000636C2">
        <w:rPr>
          <w:rFonts w:hint="cs"/>
          <w:rtl/>
        </w:rPr>
        <w:t>،</w:t>
      </w:r>
      <w:r>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0636C2">
        <w:rPr>
          <w:rFonts w:hint="cs"/>
          <w:bCs/>
          <w:rtl/>
        </w:rPr>
        <w:t>،</w:t>
      </w:r>
      <w:r>
        <w:rPr>
          <w:rFonts w:hint="cs"/>
          <w:bCs/>
          <w:rtl/>
        </w:rPr>
        <w:t xml:space="preserve"> وقوله تعالى</w:t>
      </w:r>
      <w:r w:rsidR="000636C2">
        <w:rPr>
          <w:rFonts w:hint="cs"/>
          <w:rtl/>
        </w:rPr>
        <w:t>:</w:t>
      </w:r>
      <w:r>
        <w:rPr>
          <w:rFonts w:hint="cs"/>
          <w:rtl/>
        </w:rPr>
        <w:t xml:space="preserve"> </w:t>
      </w:r>
      <w:r w:rsidR="000636C2">
        <w:rPr>
          <w:rFonts w:hint="cs"/>
          <w:rtl/>
        </w:rPr>
        <w:t>{</w:t>
      </w:r>
      <w:r>
        <w:rPr>
          <w:rFonts w:hint="cs"/>
          <w:rtl/>
        </w:rPr>
        <w:t>وَلِلّهِ الْمَشْرِقُ وَالْمَغْرِبُ فَأَيْنَمَا تُوَلُّواْ فَثَمَّ وَجْهُ اللّهِ إِنَّ اللّهَ وَاسِعٌ عَلِيمٌ</w:t>
      </w:r>
      <w:r w:rsidR="000636C2">
        <w:rPr>
          <w:rFonts w:hint="cs"/>
          <w:rtl/>
        </w:rPr>
        <w:t>}</w:t>
      </w:r>
      <w:r>
        <w:rPr>
          <w:rFonts w:hint="cs"/>
          <w:rtl/>
        </w:rPr>
        <w:t xml:space="preserve"> </w:t>
      </w:r>
      <w:r w:rsidR="000636C2">
        <w:rPr>
          <w:rFonts w:hint="cs"/>
          <w:rtl/>
        </w:rPr>
        <w:t>[</w:t>
      </w:r>
      <w:r>
        <w:rPr>
          <w:rFonts w:hint="cs"/>
          <w:rtl/>
        </w:rPr>
        <w:t>البقرة</w:t>
      </w:r>
      <w:r w:rsidR="000636C2">
        <w:rPr>
          <w:rFonts w:hint="cs"/>
          <w:rtl/>
        </w:rPr>
        <w:t>:</w:t>
      </w:r>
      <w:r>
        <w:rPr>
          <w:rFonts w:hint="cs"/>
          <w:rtl/>
        </w:rPr>
        <w:t xml:space="preserve"> 115]</w:t>
      </w:r>
      <w:r w:rsidR="000636C2">
        <w:rPr>
          <w:rFonts w:hint="cs"/>
          <w:rtl/>
        </w:rPr>
        <w:t>،</w:t>
      </w:r>
      <w:r>
        <w:rPr>
          <w:rFonts w:hint="cs"/>
          <w:rtl/>
        </w:rPr>
        <w:t xml:space="preserve"> فأينما تولوا فثم وجه الله تحتمل عدة معاني جاءت عن الصحابة والتابعين منها</w:t>
      </w:r>
      <w:r w:rsidR="000636C2">
        <w:rPr>
          <w:rFonts w:hint="cs"/>
          <w:rtl/>
        </w:rPr>
        <w:t>:</w:t>
      </w:r>
      <w:r>
        <w:rPr>
          <w:rFonts w:hint="cs"/>
          <w:rtl/>
        </w:rPr>
        <w:t xml:space="preserve"> </w:t>
      </w:r>
      <w:r w:rsidR="000636C2">
        <w:rPr>
          <w:rFonts w:hint="cs"/>
          <w:rtl/>
        </w:rPr>
        <w:t>(</w:t>
      </w:r>
      <w:r>
        <w:rPr>
          <w:rFonts w:hint="cs"/>
          <w:rtl/>
        </w:rPr>
        <w:t>أ</w:t>
      </w:r>
      <w:r w:rsidR="000636C2">
        <w:rPr>
          <w:rFonts w:hint="cs"/>
          <w:rtl/>
        </w:rPr>
        <w:t>)</w:t>
      </w:r>
      <w:r>
        <w:rPr>
          <w:rFonts w:hint="cs"/>
          <w:rtl/>
        </w:rPr>
        <w:t xml:space="preserve"> فثم قبلة الله</w:t>
      </w:r>
      <w:r w:rsidR="000636C2">
        <w:rPr>
          <w:rFonts w:hint="cs"/>
          <w:rtl/>
        </w:rPr>
        <w:t>،</w:t>
      </w:r>
      <w:r>
        <w:rPr>
          <w:rFonts w:hint="cs"/>
          <w:rtl/>
        </w:rPr>
        <w:t xml:space="preserve"> </w:t>
      </w:r>
      <w:r w:rsidR="000636C2">
        <w:rPr>
          <w:rFonts w:hint="cs"/>
          <w:rtl/>
        </w:rPr>
        <w:t>(</w:t>
      </w:r>
      <w:r>
        <w:rPr>
          <w:rFonts w:hint="cs"/>
          <w:rtl/>
        </w:rPr>
        <w:t>ب</w:t>
      </w:r>
      <w:r w:rsidR="000636C2">
        <w:rPr>
          <w:rFonts w:hint="cs"/>
          <w:rtl/>
        </w:rPr>
        <w:t>)</w:t>
      </w:r>
      <w:r>
        <w:rPr>
          <w:rFonts w:hint="cs"/>
          <w:rtl/>
        </w:rPr>
        <w:t xml:space="preserve"> فثم الله تبارك وتعالى يريد علمه معكم أينما كنتم</w:t>
      </w:r>
      <w:r w:rsidR="000636C2">
        <w:rPr>
          <w:rFonts w:hint="cs"/>
          <w:rtl/>
        </w:rPr>
        <w:t>،</w:t>
      </w:r>
      <w:r>
        <w:rPr>
          <w:rFonts w:hint="cs"/>
          <w:rtl/>
        </w:rPr>
        <w:t xml:space="preserve"> </w:t>
      </w:r>
      <w:r w:rsidR="000636C2">
        <w:rPr>
          <w:rFonts w:hint="cs"/>
          <w:rtl/>
        </w:rPr>
        <w:t>(</w:t>
      </w:r>
      <w:r>
        <w:rPr>
          <w:rFonts w:hint="cs"/>
          <w:rtl/>
        </w:rPr>
        <w:t>ت</w:t>
      </w:r>
      <w:r w:rsidR="000636C2">
        <w:rPr>
          <w:rFonts w:hint="cs"/>
          <w:rtl/>
        </w:rPr>
        <w:t>)</w:t>
      </w:r>
      <w:r>
        <w:rPr>
          <w:rFonts w:hint="cs"/>
          <w:rtl/>
        </w:rPr>
        <w:t xml:space="preserve"> فثم تدركون بالتوجه إليه رضا الله تعالى كقوله تعالى</w:t>
      </w:r>
      <w:r w:rsidR="000636C2">
        <w:rPr>
          <w:rFonts w:hint="cs"/>
          <w:rtl/>
        </w:rPr>
        <w:t>:</w:t>
      </w:r>
      <w:r>
        <w:rPr>
          <w:rFonts w:hint="cs"/>
          <w:rtl/>
        </w:rPr>
        <w:t xml:space="preserve"> </w:t>
      </w:r>
      <w:r w:rsidR="000636C2">
        <w:rPr>
          <w:rFonts w:hint="cs"/>
          <w:rtl/>
        </w:rPr>
        <w:t>{</w:t>
      </w:r>
      <w:r>
        <w:rPr>
          <w:rFonts w:hint="cs"/>
          <w:rtl/>
        </w:rPr>
        <w:t>إنما نطعمكم لوجه الله</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والذين صبروا ابتغاء وجه ربهم</w:t>
      </w:r>
      <w:r w:rsidR="000636C2">
        <w:rPr>
          <w:rFonts w:hint="cs"/>
          <w:rtl/>
        </w:rPr>
        <w:t>}</w:t>
      </w:r>
      <w:r>
        <w:rPr>
          <w:rFonts w:hint="cs"/>
          <w:rtl/>
        </w:rPr>
        <w:t xml:space="preserve"> أي لأجل رضا الله وابتغاء </w:t>
      </w:r>
      <w:r>
        <w:rPr>
          <w:rFonts w:hint="cs"/>
          <w:rtl/>
        </w:rPr>
        <w:lastRenderedPageBreak/>
        <w:t>مرضاته</w:t>
      </w:r>
      <w:r w:rsidR="000636C2">
        <w:rPr>
          <w:rFonts w:hint="cs"/>
          <w:rtl/>
        </w:rPr>
        <w:t>،</w:t>
      </w:r>
      <w:r>
        <w:rPr>
          <w:rFonts w:hint="cs"/>
          <w:rtl/>
        </w:rPr>
        <w:t xml:space="preserve"> فهذه المعاني هي التي جاءت عن الصحابة والتابعين وأما ما عدا ذلك فهو تكلف لا دليل عليه</w:t>
      </w:r>
      <w:r w:rsidR="000636C2">
        <w:rPr>
          <w:rFonts w:hint="cs"/>
          <w:rtl/>
        </w:rPr>
        <w:t>،</w:t>
      </w:r>
      <w:r>
        <w:rPr>
          <w:rFonts w:hint="cs"/>
          <w:rtl/>
        </w:rPr>
        <w:t xml:space="preserve"> وأما من أراد بهذه الآية إثبات وجه جارحة هو جزء من الذات فتعالى الله عما يصفون</w:t>
      </w:r>
      <w:r w:rsidR="000636C2">
        <w:rPr>
          <w:rFonts w:hint="cs"/>
          <w:rtl/>
        </w:rPr>
        <w:t>،</w:t>
      </w:r>
      <w:r>
        <w:rPr>
          <w:rFonts w:hint="cs"/>
          <w:rtl/>
        </w:rPr>
        <w:t xml:space="preserve"> لأن الله تعالى له الأحدية المطلقة فهو منزه عن الأبعاض والأجزاء والجوارح</w:t>
      </w:r>
      <w:r w:rsidR="000636C2">
        <w:rPr>
          <w:rFonts w:hint="cs"/>
          <w:rtl/>
        </w:rPr>
        <w:t>،</w:t>
      </w:r>
      <w:r w:rsidR="000636C2">
        <w:rPr>
          <w:rFonts w:hint="cs"/>
          <w:bCs/>
          <w:rtl/>
        </w:rPr>
        <w:t xml:space="preserve"> </w:t>
      </w:r>
      <w:r>
        <w:rPr>
          <w:rFonts w:hint="cs"/>
          <w:bCs/>
          <w:rtl/>
        </w:rPr>
        <w:t>وكذلك جاءت الآيات في العين مضافاً إلى الله تعالى</w:t>
      </w:r>
      <w:r w:rsidR="000636C2">
        <w:rPr>
          <w:rFonts w:hint="cs"/>
          <w:bCs/>
          <w:rtl/>
        </w:rPr>
        <w:t>:</w:t>
      </w:r>
      <w:r>
        <w:rPr>
          <w:rFonts w:hint="cs"/>
          <w:bCs/>
          <w:rtl/>
        </w:rPr>
        <w:t xml:space="preserve"> </w:t>
      </w:r>
      <w:r>
        <w:rPr>
          <w:rFonts w:hint="cs"/>
          <w:rtl/>
        </w:rPr>
        <w:t>والمتدبر لآيات القرآن يعلم يقينا أن العين يستعمل فيه في مجازات متعددة</w:t>
      </w:r>
      <w:r w:rsidR="000636C2">
        <w:rPr>
          <w:rFonts w:hint="cs"/>
          <w:rtl/>
        </w:rPr>
        <w:t>،</w:t>
      </w:r>
      <w:r>
        <w:rPr>
          <w:rFonts w:hint="cs"/>
          <w:rtl/>
        </w:rPr>
        <w:t xml:space="preserve"> فالعين تأتي حقيقة 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 الحراسة والحفظ في الغالب</w:t>
      </w:r>
      <w:r w:rsidR="000636C2">
        <w:rPr>
          <w:rFonts w:hint="cs"/>
          <w:rtl/>
        </w:rPr>
        <w:t>،</w:t>
      </w:r>
      <w:r>
        <w:rPr>
          <w:rFonts w:hint="cs"/>
          <w:rtl/>
        </w:rPr>
        <w:t xml:space="preserve"> فتأتي كناية على شدة العناية والحراسة</w:t>
      </w:r>
      <w:r w:rsidR="000636C2">
        <w:rPr>
          <w:rFonts w:hint="cs"/>
          <w:rtl/>
        </w:rPr>
        <w:t>،</w:t>
      </w:r>
      <w:r>
        <w:rPr>
          <w:rFonts w:hint="cs"/>
          <w:rtl/>
        </w:rPr>
        <w:t xml:space="preserve"> والوجه في حسن هذا المجاز</w:t>
      </w:r>
      <w:r w:rsidR="000636C2">
        <w:rPr>
          <w:rFonts w:hint="cs"/>
          <w:rtl/>
        </w:rPr>
        <w:t>:</w:t>
      </w:r>
      <w:r>
        <w:rPr>
          <w:rFonts w:hint="cs"/>
          <w:rtl/>
        </w:rPr>
        <w:t xml:space="preserve"> أن من عظمت عنايته بشيء وميله إليه</w:t>
      </w:r>
      <w:r w:rsidR="000636C2">
        <w:rPr>
          <w:rFonts w:hint="cs"/>
          <w:rtl/>
        </w:rPr>
        <w:t>،</w:t>
      </w:r>
      <w:r>
        <w:rPr>
          <w:rFonts w:hint="cs"/>
          <w:rtl/>
        </w:rPr>
        <w:t xml:space="preserve"> ورغبته فيه</w:t>
      </w:r>
      <w:r w:rsidR="000636C2">
        <w:rPr>
          <w:rFonts w:hint="cs"/>
          <w:rtl/>
        </w:rPr>
        <w:t>،</w:t>
      </w:r>
      <w:r>
        <w:rPr>
          <w:rFonts w:hint="cs"/>
          <w:rtl/>
        </w:rPr>
        <w:t xml:space="preserve"> كان كثير النظر إليه</w:t>
      </w:r>
      <w:r w:rsidR="000636C2">
        <w:rPr>
          <w:rFonts w:hint="cs"/>
          <w:rtl/>
        </w:rPr>
        <w:t>،</w:t>
      </w:r>
      <w:r>
        <w:rPr>
          <w:rFonts w:hint="cs"/>
          <w:rtl/>
        </w:rPr>
        <w:t xml:space="preserve"> فجعل لفظ العين ـ التي هي آلة لذلك النظر ـ كناية عن شدة العناية</w:t>
      </w:r>
      <w:r w:rsidR="000636C2">
        <w:rPr>
          <w:rFonts w:hint="cs"/>
          <w:rtl/>
        </w:rPr>
        <w:t>،</w:t>
      </w:r>
      <w:r>
        <w:rPr>
          <w:rFonts w:hint="cs"/>
          <w:rtl/>
        </w:rPr>
        <w:t xml:space="preserve"> فإذا جمعت العين دلت على كمال الحفظ والمبالغة فيه</w:t>
      </w:r>
      <w:r w:rsidR="000636C2">
        <w:rPr>
          <w:rFonts w:hint="cs"/>
          <w:rtl/>
        </w:rPr>
        <w:t>،</w:t>
      </w:r>
      <w:r>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0636C2">
        <w:rPr>
          <w:rFonts w:hint="cs"/>
          <w:rtl/>
        </w:rPr>
        <w:t>،</w:t>
      </w:r>
      <w:r>
        <w:rPr>
          <w:rFonts w:hint="cs"/>
          <w:rtl/>
        </w:rPr>
        <w:t xml:space="preserve"> فهو منزه في إبصاره للخلق ونظره إليهم من جارحة العين وغيرها بل هو السميع البصير بلا جارحة أذن أو عين</w:t>
      </w:r>
      <w:r w:rsidR="000636C2">
        <w:rPr>
          <w:rFonts w:hint="cs"/>
          <w:rtl/>
        </w:rPr>
        <w:t>،</w:t>
      </w:r>
      <w:r>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 العناية والحراسة</w:t>
      </w:r>
      <w:r w:rsidR="000636C2">
        <w:rPr>
          <w:rFonts w:hint="cs"/>
          <w:rtl/>
        </w:rPr>
        <w:t>،</w:t>
      </w:r>
      <w:r>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0636C2">
        <w:rPr>
          <w:rFonts w:hint="cs"/>
          <w:rtl/>
        </w:rPr>
        <w:t>،</w:t>
      </w:r>
      <w:r>
        <w:rPr>
          <w:rFonts w:hint="cs"/>
          <w:rtl/>
        </w:rPr>
        <w:t xml:space="preserve"> ثم تواترت أقوال الأئمة المقتدى بهم في الدين على ذلك</w:t>
      </w:r>
      <w:r w:rsidR="000636C2">
        <w:rPr>
          <w:rFonts w:hint="cs"/>
          <w:rtl/>
        </w:rPr>
        <w:t>،</w:t>
      </w:r>
      <w:r>
        <w:rPr>
          <w:rFonts w:hint="cs"/>
          <w:rtl/>
        </w:rPr>
        <w:t xml:space="preserve"> فقوله تعالى</w:t>
      </w:r>
      <w:r w:rsidR="000636C2">
        <w:rPr>
          <w:rFonts w:hint="cs"/>
          <w:rtl/>
        </w:rPr>
        <w:t>:</w:t>
      </w:r>
      <w:r>
        <w:rPr>
          <w:rFonts w:hint="cs"/>
          <w:rtl/>
        </w:rPr>
        <w:t xml:space="preserve"> </w:t>
      </w:r>
      <w:r w:rsidR="000636C2">
        <w:rPr>
          <w:rFonts w:hint="cs"/>
          <w:rtl/>
        </w:rPr>
        <w:t>{</w:t>
      </w:r>
      <w:r>
        <w:rPr>
          <w:rFonts w:hint="cs"/>
          <w:rtl/>
        </w:rPr>
        <w:t>واصنع الفلك بأعيننا ووحينا</w:t>
      </w:r>
      <w:r w:rsidR="000636C2">
        <w:rPr>
          <w:rFonts w:hint="cs"/>
          <w:rtl/>
        </w:rPr>
        <w:t>}،</w:t>
      </w:r>
      <w:r>
        <w:rPr>
          <w:rFonts w:hint="cs"/>
          <w:rtl/>
        </w:rPr>
        <w:t xml:space="preserve"> معناه بمرأى منا أو بحفظنا</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وألقيت عليك محبة مني ولتصنع على عيني</w:t>
      </w:r>
      <w:r w:rsidR="000636C2">
        <w:rPr>
          <w:rFonts w:hint="cs"/>
          <w:rtl/>
        </w:rPr>
        <w:t>}،</w:t>
      </w:r>
      <w:r>
        <w:rPr>
          <w:rFonts w:hint="cs"/>
          <w:rtl/>
        </w:rPr>
        <w:t xml:space="preserve"> معناه أي بمرأى منى كناية عن الحفظ والصون والحنو والشفقة والرعاية والمراقبة</w:t>
      </w:r>
      <w:r w:rsidR="000636C2">
        <w:rPr>
          <w:rFonts w:hint="cs"/>
          <w:rtl/>
        </w:rPr>
        <w:t>،</w:t>
      </w:r>
      <w:r>
        <w:rPr>
          <w:rFonts w:hint="cs"/>
          <w:rtl/>
        </w:rPr>
        <w:t xml:space="preserve"> وقوله تعالى </w:t>
      </w:r>
      <w:r w:rsidR="000636C2">
        <w:rPr>
          <w:rFonts w:hint="cs"/>
          <w:rtl/>
        </w:rPr>
        <w:t>{</w:t>
      </w:r>
      <w:r>
        <w:rPr>
          <w:rFonts w:hint="cs"/>
          <w:rtl/>
        </w:rPr>
        <w:t>واصبر لحكم ربك فإنك بأعيننا</w:t>
      </w:r>
      <w:r w:rsidR="000636C2">
        <w:rPr>
          <w:rFonts w:hint="cs"/>
          <w:rtl/>
        </w:rPr>
        <w:t>}</w:t>
      </w:r>
      <w:r>
        <w:rPr>
          <w:rFonts w:hint="cs"/>
          <w:rtl/>
        </w:rPr>
        <w:t xml:space="preserve"> معناه بحفظنا إياك وحراستنا لك</w:t>
      </w:r>
      <w:r w:rsidR="000636C2">
        <w:rPr>
          <w:rFonts w:hint="cs"/>
          <w:rtl/>
        </w:rPr>
        <w:t xml:space="preserve">، </w:t>
      </w:r>
      <w:r>
        <w:rPr>
          <w:rFonts w:hint="cs"/>
          <w:bCs/>
          <w:rtl/>
        </w:rPr>
        <w:t>وكذلك جاءت الآيات في اليد مضافاً إلى الله تعالى</w:t>
      </w:r>
      <w:r w:rsidR="000636C2">
        <w:rPr>
          <w:rFonts w:hint="cs"/>
          <w:bCs/>
          <w:rtl/>
        </w:rPr>
        <w:t>:</w:t>
      </w:r>
      <w:r>
        <w:rPr>
          <w:rFonts w:hint="cs"/>
          <w:bCs/>
          <w:rtl/>
        </w:rPr>
        <w:t xml:space="preserve"> </w:t>
      </w:r>
      <w:r>
        <w:rPr>
          <w:rFonts w:hint="cs"/>
          <w:rtl/>
        </w:rPr>
        <w:t>وبلغاء العرب يعلمون أن الوصف بغل اليد وبسطها مجاز عن البخل والجود ومنه قوله تعالى آمراً نبيه صلى الله عليه وسلم</w:t>
      </w:r>
      <w:r w:rsidR="000636C2">
        <w:rPr>
          <w:rFonts w:hint="cs"/>
          <w:rtl/>
        </w:rPr>
        <w:t>:</w:t>
      </w:r>
      <w:r>
        <w:rPr>
          <w:rFonts w:hint="cs"/>
          <w:rtl/>
        </w:rPr>
        <w:t xml:space="preserve"> </w:t>
      </w:r>
      <w:r w:rsidR="000636C2">
        <w:rPr>
          <w:rFonts w:hint="cs"/>
          <w:rtl/>
        </w:rPr>
        <w:t>{</w:t>
      </w:r>
      <w:r>
        <w:rPr>
          <w:rFonts w:hint="cs"/>
          <w:rtl/>
        </w:rPr>
        <w:t>ولا تجعل يدك مغلولة إلى عنقك ولا تبسطها كل البسط</w:t>
      </w:r>
      <w:r w:rsidR="000636C2">
        <w:rPr>
          <w:rFonts w:hint="cs"/>
          <w:rtl/>
        </w:rPr>
        <w:t>}،</w:t>
      </w:r>
      <w:r>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0636C2">
        <w:rPr>
          <w:rFonts w:hint="cs"/>
          <w:rtl/>
        </w:rPr>
        <w:t>،</w:t>
      </w:r>
      <w:r>
        <w:rPr>
          <w:rFonts w:hint="cs"/>
          <w:rtl/>
        </w:rPr>
        <w:t xml:space="preserve"> وإنما الأمر بالقصد في الإنفاق</w:t>
      </w:r>
      <w:r w:rsidR="000636C2">
        <w:rPr>
          <w:rFonts w:hint="cs"/>
          <w:rtl/>
        </w:rPr>
        <w:t>،</w:t>
      </w:r>
      <w:r>
        <w:rPr>
          <w:rFonts w:hint="cs"/>
          <w:rtl/>
        </w:rPr>
        <w:t xml:space="preserve"> وهكذا هاهنا</w:t>
      </w:r>
      <w:r w:rsidR="000636C2">
        <w:rPr>
          <w:rFonts w:hint="cs"/>
          <w:rtl/>
        </w:rPr>
        <w:t>،</w:t>
      </w:r>
      <w:r>
        <w:rPr>
          <w:rFonts w:hint="cs"/>
          <w:rtl/>
        </w:rPr>
        <w:t xml:space="preserve"> فالمقصود من غل اليد وبسطها المجاز عن محض البخل والجود من غير قصد في ذلك إلى إثبات يد أو غل أو بسط</w:t>
      </w:r>
      <w:r w:rsidR="000636C2">
        <w:rPr>
          <w:rFonts w:hint="cs"/>
          <w:rtl/>
        </w:rPr>
        <w:t>،</w:t>
      </w:r>
      <w:r>
        <w:rPr>
          <w:rFonts w:hint="cs"/>
          <w:rtl/>
        </w:rPr>
        <w:t xml:space="preserve"> واليهود لعنهم الله عز وجل</w:t>
      </w:r>
      <w:r w:rsidR="000636C2">
        <w:rPr>
          <w:rFonts w:hint="cs"/>
          <w:rtl/>
        </w:rPr>
        <w:t xml:space="preserve"> </w:t>
      </w:r>
      <w:r>
        <w:rPr>
          <w:rFonts w:hint="cs"/>
          <w:rtl/>
        </w:rPr>
        <w:lastRenderedPageBreak/>
        <w:t>قالوا على جهة الوصف بالبخل يد الله مغلولة فرد الله تعالى عليهم بقوله</w:t>
      </w:r>
      <w:r w:rsidR="000636C2">
        <w:rPr>
          <w:rFonts w:hint="cs"/>
          <w:rtl/>
        </w:rPr>
        <w:t>:</w:t>
      </w:r>
      <w:r>
        <w:rPr>
          <w:rFonts w:hint="cs"/>
          <w:rtl/>
        </w:rPr>
        <w:t xml:space="preserve"> </w:t>
      </w:r>
      <w:r w:rsidR="000636C2">
        <w:rPr>
          <w:rFonts w:hint="cs"/>
          <w:rtl/>
        </w:rPr>
        <w:t>{</w:t>
      </w:r>
      <w:r>
        <w:rPr>
          <w:rFonts w:hint="cs"/>
          <w:rtl/>
        </w:rPr>
        <w:t>بل يداه مبسوطتان</w:t>
      </w:r>
      <w:r w:rsidR="000636C2">
        <w:rPr>
          <w:rFonts w:hint="cs"/>
          <w:rtl/>
        </w:rPr>
        <w:t>}</w:t>
      </w:r>
      <w:r>
        <w:rPr>
          <w:rFonts w:hint="cs"/>
          <w:rtl/>
        </w:rPr>
        <w:t xml:space="preserve"> ن معناه أي كلا ليس كذلك بل هو في غاية ما يكون من الجود والإنعام</w:t>
      </w:r>
      <w:r w:rsidR="000636C2">
        <w:rPr>
          <w:rFonts w:hint="cs"/>
          <w:rtl/>
        </w:rPr>
        <w:t>،</w:t>
      </w:r>
      <w:r>
        <w:rPr>
          <w:rFonts w:hint="cs"/>
          <w:rtl/>
        </w:rPr>
        <w:t xml:space="preserve"> فإن قيل لم ثنيت اليد في قوله تعالى </w:t>
      </w:r>
      <w:r w:rsidR="000636C2">
        <w:rPr>
          <w:rFonts w:hint="cs"/>
          <w:rtl/>
        </w:rPr>
        <w:t>{</w:t>
      </w:r>
      <w:r>
        <w:rPr>
          <w:rFonts w:hint="cs"/>
          <w:rtl/>
        </w:rPr>
        <w:t>بل يداه مبسوطتان</w:t>
      </w:r>
      <w:r w:rsidR="000636C2">
        <w:rPr>
          <w:rFonts w:hint="cs"/>
          <w:rtl/>
        </w:rPr>
        <w:t>}؟</w:t>
      </w:r>
      <w:r>
        <w:rPr>
          <w:rFonts w:hint="cs"/>
          <w:rtl/>
        </w:rPr>
        <w:t xml:space="preserve"> قلت</w:t>
      </w:r>
      <w:r w:rsidR="000636C2">
        <w:rPr>
          <w:rFonts w:hint="cs"/>
          <w:rtl/>
        </w:rPr>
        <w:t>:</w:t>
      </w:r>
      <w:r>
        <w:rPr>
          <w:rFonts w:hint="cs"/>
          <w:rtl/>
        </w:rPr>
        <w:t xml:space="preserve"> ثنيت اليد ليكون أبلغ وأدل على إثبات غاية السخاء له ونفى البخل عنه</w:t>
      </w:r>
      <w:r w:rsidR="000636C2">
        <w:rPr>
          <w:rFonts w:hint="cs"/>
          <w:rtl/>
        </w:rPr>
        <w:t>،</w:t>
      </w:r>
      <w:r>
        <w:rPr>
          <w:rFonts w:hint="cs"/>
          <w:rtl/>
        </w:rPr>
        <w:t xml:space="preserve"> فإن أقصى ما ينتهي إليه همم الأسخياء من الوصف بالمبالغة في الجود والإنعام أن يعطوا ما يعطونه بكلتا يديهم</w:t>
      </w:r>
      <w:r w:rsidR="000636C2">
        <w:rPr>
          <w:rFonts w:hint="cs"/>
          <w:rtl/>
        </w:rPr>
        <w:t>،</w:t>
      </w:r>
      <w:r>
        <w:rPr>
          <w:rFonts w:hint="cs"/>
          <w:rtl/>
        </w:rPr>
        <w:t xml:space="preserve"> فالآية من باب الاستعارة التمثيلية ومن نظر في علم البيان والبلاغة لا يصعب عليه تصور ذلك أبدا</w:t>
      </w:r>
      <w:r w:rsidR="000636C2">
        <w:rPr>
          <w:rFonts w:hint="cs"/>
          <w:rtl/>
        </w:rPr>
        <w:t>،</w:t>
      </w:r>
      <w:r>
        <w:rPr>
          <w:rFonts w:hint="cs"/>
          <w:rtl/>
        </w:rPr>
        <w:t xml:space="preserve"> </w:t>
      </w:r>
      <w:r>
        <w:rPr>
          <w:rFonts w:hint="cs"/>
          <w:bCs/>
          <w:rtl/>
        </w:rPr>
        <w:t>قال الشوكاني</w:t>
      </w:r>
      <w:r>
        <w:rPr>
          <w:rFonts w:hint="cs"/>
          <w:rtl/>
        </w:rPr>
        <w:t xml:space="preserve"> في تفسير الآية</w:t>
      </w:r>
      <w:r w:rsidR="000636C2">
        <w:rPr>
          <w:rFonts w:hint="cs"/>
          <w:rtl/>
        </w:rPr>
        <w:t>:</w:t>
      </w:r>
      <w:r>
        <w:rPr>
          <w:rFonts w:hint="cs"/>
          <w:rtl/>
        </w:rPr>
        <w:t xml:space="preserve"> " قوله</w:t>
      </w:r>
      <w:r w:rsidR="000636C2">
        <w:rPr>
          <w:rFonts w:hint="cs"/>
          <w:rtl/>
        </w:rPr>
        <w:t xml:space="preserve"> (</w:t>
      </w:r>
      <w:r>
        <w:rPr>
          <w:rFonts w:hint="cs"/>
          <w:rtl/>
        </w:rPr>
        <w:t>يد الله مغلولة</w:t>
      </w:r>
      <w:r w:rsidR="000636C2">
        <w:rPr>
          <w:rFonts w:hint="cs"/>
          <w:rtl/>
        </w:rPr>
        <w:t>)،</w:t>
      </w:r>
      <w:r>
        <w:rPr>
          <w:rFonts w:hint="cs"/>
          <w:rtl/>
        </w:rPr>
        <w:t xml:space="preserve"> وهذه الآية هي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أهـ </w:t>
      </w:r>
      <w:r w:rsidR="000636C2">
        <w:rPr>
          <w:rFonts w:hint="cs"/>
          <w:rtl/>
        </w:rPr>
        <w:t>[</w:t>
      </w:r>
      <w:r>
        <w:rPr>
          <w:rFonts w:hint="cs"/>
          <w:rtl/>
        </w:rPr>
        <w:t>فتح القدير ج: 2 ص: 57</w:t>
      </w:r>
      <w:r w:rsidR="000636C2">
        <w:rPr>
          <w:rFonts w:hint="cs"/>
          <w:rtl/>
        </w:rPr>
        <w:t>]</w:t>
      </w:r>
      <w:r w:rsidR="000636C2">
        <w:rPr>
          <w:rFonts w:hint="cs"/>
          <w:bCs/>
          <w:sz w:val="24"/>
          <w:rtl/>
        </w:rPr>
        <w:t>،</w:t>
      </w:r>
      <w:r>
        <w:rPr>
          <w:rFonts w:hint="cs"/>
          <w:rtl/>
        </w:rPr>
        <w:t xml:space="preserve"> </w:t>
      </w:r>
      <w:r>
        <w:rPr>
          <w:rFonts w:hint="cs"/>
          <w:bCs/>
          <w:rtl/>
        </w:rPr>
        <w:t>وقوله تعالى</w:t>
      </w:r>
      <w:r w:rsidR="000636C2">
        <w:rPr>
          <w:rFonts w:hint="cs"/>
          <w:rtl/>
        </w:rPr>
        <w:t>:</w:t>
      </w:r>
      <w:r>
        <w:rPr>
          <w:rFonts w:hint="cs"/>
          <w:rtl/>
        </w:rPr>
        <w:t xml:space="preserve"> </w:t>
      </w:r>
      <w:r w:rsidR="000636C2">
        <w:rPr>
          <w:rFonts w:hint="cs"/>
          <w:bCs/>
          <w:rtl/>
        </w:rPr>
        <w:t>{</w:t>
      </w:r>
      <w:r>
        <w:rPr>
          <w:rFonts w:hint="cs"/>
          <w:bCs/>
          <w:rtl/>
        </w:rPr>
        <w:t>إِنَّ الَّذِينَ يُبَايِعُونَكَ إِنَّمَا يُبَايِعُونَ اللَّهَ يَدُ اللَّهِ فَوْقَ أَيْدِيهِمْ فَمَن نَّكَثَ فَإِنَّمَا يَنكُثُ عَلَى نَفْسِهِ وَمَنْ أَوْفَى بِمَا عَاهَدَ عَلَيْهُ اللَّهَ فَسَيُؤْتِيهِ أَجْرًا عَظِيمًا</w:t>
      </w:r>
      <w:r w:rsidR="000636C2">
        <w:rPr>
          <w:rFonts w:hint="cs"/>
          <w:bCs/>
          <w:rtl/>
        </w:rPr>
        <w:t>}</w:t>
      </w:r>
      <w:r>
        <w:rPr>
          <w:rFonts w:hint="cs"/>
          <w:rtl/>
        </w:rPr>
        <w:t xml:space="preserve"> </w:t>
      </w:r>
      <w:r w:rsidR="000636C2">
        <w:rPr>
          <w:rFonts w:hint="cs"/>
          <w:rtl/>
        </w:rPr>
        <w:t>[</w:t>
      </w:r>
      <w:r>
        <w:rPr>
          <w:rFonts w:hint="cs"/>
          <w:rtl/>
        </w:rPr>
        <w:t>الفتح</w:t>
      </w:r>
      <w:r w:rsidR="000636C2">
        <w:rPr>
          <w:rFonts w:hint="cs"/>
          <w:rtl/>
        </w:rPr>
        <w:t>:</w:t>
      </w:r>
      <w:r>
        <w:rPr>
          <w:rFonts w:hint="cs"/>
          <w:rtl/>
        </w:rPr>
        <w:t xml:space="preserve"> 10</w:t>
      </w:r>
      <w:r w:rsidR="000636C2">
        <w:rPr>
          <w:rFonts w:hint="cs"/>
          <w:rtl/>
        </w:rPr>
        <w:t>]،</w:t>
      </w:r>
      <w:r>
        <w:rPr>
          <w:rFonts w:hint="cs"/>
          <w:rtl/>
        </w:rPr>
        <w:t xml:space="preserve"> فإن سياق الآية يدل على الرضا ببيعتهم</w:t>
      </w:r>
      <w:r w:rsidR="000636C2">
        <w:rPr>
          <w:rFonts w:hint="cs"/>
          <w:rtl/>
        </w:rPr>
        <w:t>،</w:t>
      </w:r>
      <w:r>
        <w:rPr>
          <w:rFonts w:hint="cs"/>
          <w:rtl/>
        </w:rPr>
        <w:t xml:space="preserve"> والآية لم ترد للإخبار عن الله بأن له يداً</w:t>
      </w:r>
      <w:r w:rsidR="000636C2">
        <w:rPr>
          <w:rFonts w:hint="cs"/>
          <w:rtl/>
        </w:rPr>
        <w:t>،</w:t>
      </w:r>
      <w:r>
        <w:rPr>
          <w:rFonts w:hint="cs"/>
          <w:rtl/>
        </w:rPr>
        <w:t xml:space="preserve"> وأن يده هذه فوق الصحابة المبايعين</w:t>
      </w:r>
      <w:r w:rsidR="000636C2">
        <w:rPr>
          <w:rFonts w:hint="cs"/>
          <w:rtl/>
        </w:rPr>
        <w:t>،</w:t>
      </w:r>
      <w:r>
        <w:rPr>
          <w:rFonts w:hint="cs"/>
          <w:rtl/>
        </w:rPr>
        <w:t xml:space="preserve"> </w:t>
      </w:r>
      <w:r>
        <w:rPr>
          <w:rFonts w:hint="cs"/>
          <w:bCs/>
          <w:rtl/>
        </w:rPr>
        <w:t>وقوله تعالى</w:t>
      </w:r>
      <w:r w:rsidR="000636C2">
        <w:rPr>
          <w:rFonts w:hint="cs"/>
          <w:bCs/>
          <w:rtl/>
        </w:rPr>
        <w:t>:</w:t>
      </w:r>
      <w:r>
        <w:rPr>
          <w:rFonts w:hint="cs"/>
          <w:rtl/>
        </w:rPr>
        <w:t xml:space="preserve"> </w:t>
      </w:r>
      <w:r w:rsidR="000636C2">
        <w:rPr>
          <w:rFonts w:hint="cs"/>
          <w:rtl/>
        </w:rPr>
        <w:t>{</w:t>
      </w:r>
      <w:r>
        <w:rPr>
          <w:rFonts w:hint="cs"/>
          <w:rtl/>
        </w:rPr>
        <w:t>تَبَارَكَ الَّذِي بِيَدِهِ الْمُلْكُ وَهُوَ عَلَى كُلِّ شَيْءٍ قَدِيرٌ</w:t>
      </w:r>
      <w:r w:rsidR="000636C2">
        <w:rPr>
          <w:rFonts w:hint="cs"/>
          <w:rtl/>
        </w:rPr>
        <w:t>}</w:t>
      </w:r>
      <w:r>
        <w:rPr>
          <w:rFonts w:hint="cs"/>
          <w:rtl/>
        </w:rPr>
        <w:t xml:space="preserve"> </w:t>
      </w:r>
      <w:r w:rsidR="000636C2">
        <w:rPr>
          <w:rFonts w:hint="cs"/>
          <w:rtl/>
        </w:rPr>
        <w:t>[</w:t>
      </w:r>
      <w:r>
        <w:rPr>
          <w:rFonts w:hint="cs"/>
          <w:rtl/>
        </w:rPr>
        <w:t>سورة الملك</w:t>
      </w:r>
      <w:r w:rsidR="000636C2">
        <w:rPr>
          <w:rFonts w:hint="cs"/>
          <w:rtl/>
        </w:rPr>
        <w:t>:</w:t>
      </w:r>
      <w:r>
        <w:rPr>
          <w:rFonts w:hint="cs"/>
          <w:rtl/>
        </w:rPr>
        <w:t xml:space="preserve"> 1] </w:t>
      </w:r>
      <w:r>
        <w:rPr>
          <w:rFonts w:hint="cs"/>
          <w:bCs/>
          <w:rtl/>
        </w:rPr>
        <w:t>وهاهنا التعبير القرآني</w:t>
      </w:r>
      <w:r w:rsidR="000636C2">
        <w:rPr>
          <w:rFonts w:hint="cs"/>
          <w:bCs/>
          <w:rtl/>
        </w:rPr>
        <w:t>:</w:t>
      </w:r>
      <w:r>
        <w:rPr>
          <w:rFonts w:hint="cs"/>
          <w:bCs/>
          <w:rtl/>
        </w:rPr>
        <w:t xml:space="preserve"> </w:t>
      </w:r>
      <w:r w:rsidR="000636C2">
        <w:rPr>
          <w:rFonts w:hint="cs"/>
          <w:bCs/>
          <w:rtl/>
        </w:rPr>
        <w:t>{</w:t>
      </w:r>
      <w:r>
        <w:rPr>
          <w:rFonts w:hint="cs"/>
          <w:bCs/>
          <w:rtl/>
        </w:rPr>
        <w:t>بِيَدِهِ الْمُلْكُ</w:t>
      </w:r>
      <w:r w:rsidR="000636C2">
        <w:rPr>
          <w:rFonts w:hint="cs"/>
          <w:bCs/>
          <w:rtl/>
        </w:rPr>
        <w:t>}،</w:t>
      </w:r>
      <w:r>
        <w:rPr>
          <w:rFonts w:hint="cs"/>
          <w:bCs/>
          <w:rtl/>
        </w:rPr>
        <w:t xml:space="preserve"> كناية عن القدرة بقرينة ختم الآية بقوله تعالى </w:t>
      </w:r>
      <w:r w:rsidR="000636C2">
        <w:rPr>
          <w:rFonts w:hint="cs"/>
          <w:bCs/>
          <w:rtl/>
        </w:rPr>
        <w:t>{</w:t>
      </w:r>
      <w:r>
        <w:rPr>
          <w:rFonts w:hint="cs"/>
          <w:bCs/>
          <w:rtl/>
        </w:rPr>
        <w:t>وَهُوَ عَلَى كُلِّ شَيْءٍ قَدِيرٌ</w:t>
      </w:r>
      <w:r w:rsidR="000636C2">
        <w:rPr>
          <w:rFonts w:hint="cs"/>
          <w:bCs/>
          <w:rtl/>
        </w:rPr>
        <w:t xml:space="preserve">} </w:t>
      </w:r>
      <w:r>
        <w:rPr>
          <w:rFonts w:hint="cs"/>
          <w:bCs/>
          <w:rtl/>
        </w:rPr>
        <w:t>ولا يقصد بهذا الأسلوب العربي البليغ إثبات جارحة اليد وهذا لا يفهمه إلا شخص بعيد عن جمال اللغة وبديعها</w:t>
      </w:r>
      <w:r w:rsidR="000636C2">
        <w:rPr>
          <w:rFonts w:hint="cs"/>
          <w:bCs/>
          <w:rtl/>
        </w:rPr>
        <w:t>،</w:t>
      </w:r>
      <w:r>
        <w:rPr>
          <w:rFonts w:hint="cs"/>
          <w:bCs/>
          <w:rtl/>
        </w:rPr>
        <w:t xml:space="preserve"> </w:t>
      </w:r>
      <w:r>
        <w:rPr>
          <w:rFonts w:hint="cs"/>
          <w:rtl/>
        </w:rPr>
        <w:t>ولو كان المراد إثبات اليد على حقيقتها المعروفة لنا كجارحة لجاء التعبير المحكم بقوله اعلموا أن لله يد</w:t>
      </w:r>
      <w:r w:rsidR="000636C2">
        <w:rPr>
          <w:rFonts w:hint="cs"/>
          <w:rtl/>
        </w:rPr>
        <w:t>،</w:t>
      </w:r>
      <w:r>
        <w:rPr>
          <w:rFonts w:hint="cs"/>
          <w:rtl/>
        </w:rPr>
        <w:t xml:space="preserve"> أو آمنوا بأن لله يد وهكذا كما جاءت الآيات المحكمات تترا بمثل قوله تعالى</w:t>
      </w:r>
      <w:r w:rsidR="000636C2">
        <w:rPr>
          <w:rFonts w:hint="cs"/>
          <w:rtl/>
        </w:rPr>
        <w:t>:</w:t>
      </w:r>
      <w:r>
        <w:rPr>
          <w:rFonts w:hint="cs"/>
          <w:rtl/>
        </w:rPr>
        <w:t xml:space="preserve"> </w:t>
      </w:r>
      <w:r w:rsidR="000636C2">
        <w:rPr>
          <w:rFonts w:hint="cs"/>
          <w:rtl/>
        </w:rPr>
        <w:t>{</w:t>
      </w:r>
      <w:r>
        <w:rPr>
          <w:rFonts w:hint="cs"/>
          <w:rtl/>
        </w:rPr>
        <w:t>فَاعْلَمُواْ أَنَّ اللّهَ عَزِيزٌ حَكِيمٌ</w:t>
      </w:r>
      <w:r w:rsidR="000636C2">
        <w:rPr>
          <w:rFonts w:hint="cs"/>
          <w:rtl/>
        </w:rPr>
        <w:t>}</w:t>
      </w:r>
      <w:r>
        <w:rPr>
          <w:rFonts w:hint="cs"/>
          <w:rtl/>
        </w:rPr>
        <w:t xml:space="preserve"> و </w:t>
      </w:r>
      <w:r w:rsidR="000636C2">
        <w:rPr>
          <w:rFonts w:hint="cs"/>
          <w:rtl/>
        </w:rPr>
        <w:t>{</w:t>
      </w:r>
      <w:r>
        <w:rPr>
          <w:rFonts w:hint="cs"/>
          <w:rtl/>
        </w:rPr>
        <w:t>وَاعْلَمُواْ أَنَّ اللّهَ بِكُلِّ شَيْءٍ عَلِيمٌ</w:t>
      </w:r>
      <w:r w:rsidR="000636C2">
        <w:rPr>
          <w:rFonts w:hint="cs"/>
          <w:rtl/>
        </w:rPr>
        <w:t>}</w:t>
      </w:r>
      <w:r>
        <w:rPr>
          <w:rFonts w:hint="cs"/>
          <w:rtl/>
        </w:rPr>
        <w:t xml:space="preserve"> و </w:t>
      </w:r>
      <w:r w:rsidR="000636C2">
        <w:rPr>
          <w:rFonts w:hint="cs"/>
          <w:rtl/>
        </w:rPr>
        <w:t>{</w:t>
      </w:r>
      <w:r>
        <w:rPr>
          <w:rFonts w:hint="cs"/>
          <w:rtl/>
        </w:rPr>
        <w:t>وَاعْلَمُواْ أَنَّ اللّهَ غَفُورٌ حَلِيمٌ</w:t>
      </w:r>
      <w:r w:rsidR="000636C2">
        <w:rPr>
          <w:rFonts w:hint="cs"/>
          <w:rtl/>
        </w:rPr>
        <w:t>}</w:t>
      </w:r>
      <w:r>
        <w:rPr>
          <w:rFonts w:hint="cs"/>
          <w:rtl/>
        </w:rPr>
        <w:t xml:space="preserve"> و </w:t>
      </w:r>
      <w:r w:rsidR="000636C2">
        <w:rPr>
          <w:rFonts w:hint="cs"/>
          <w:rtl/>
        </w:rPr>
        <w:t>{</w:t>
      </w:r>
      <w:r>
        <w:rPr>
          <w:rFonts w:hint="cs"/>
          <w:rtl/>
        </w:rPr>
        <w:t>وَاعْلَمُواْ أَنَّ اللّهَ سَمِيعٌ عَلِيمٌ</w:t>
      </w:r>
      <w:r w:rsidR="000636C2">
        <w:rPr>
          <w:rFonts w:hint="cs"/>
          <w:rtl/>
        </w:rPr>
        <w:t>}</w:t>
      </w:r>
      <w:r>
        <w:rPr>
          <w:rFonts w:hint="cs"/>
          <w:rtl/>
        </w:rPr>
        <w:t xml:space="preserve"> و </w:t>
      </w:r>
      <w:r w:rsidR="000636C2">
        <w:rPr>
          <w:rFonts w:hint="cs"/>
          <w:rtl/>
        </w:rPr>
        <w:t>{</w:t>
      </w:r>
      <w:r>
        <w:rPr>
          <w:rFonts w:hint="cs"/>
          <w:rtl/>
        </w:rPr>
        <w:t xml:space="preserve">وَاعْلَمُواْ أَنَّ اللّهَ غَنِيٌّ حَمِيد ٌ} و </w:t>
      </w:r>
      <w:r w:rsidR="000636C2">
        <w:rPr>
          <w:rFonts w:hint="cs"/>
          <w:rtl/>
        </w:rPr>
        <w:t>{</w:t>
      </w:r>
      <w:r>
        <w:rPr>
          <w:rFonts w:hint="cs"/>
          <w:rtl/>
        </w:rPr>
        <w:t>فَاعْلَمُواْ أَنَّ اللّهَ غَفُورٌ رَّحِيمٌ</w:t>
      </w:r>
      <w:r w:rsidR="000636C2">
        <w:rPr>
          <w:rFonts w:hint="cs"/>
          <w:rtl/>
        </w:rPr>
        <w:t>}</w:t>
      </w:r>
      <w:r>
        <w:rPr>
          <w:rFonts w:hint="cs"/>
          <w:rtl/>
        </w:rPr>
        <w:t xml:space="preserve"> و </w:t>
      </w:r>
      <w:r w:rsidR="000636C2">
        <w:rPr>
          <w:rFonts w:hint="cs"/>
          <w:rtl/>
        </w:rPr>
        <w:t>{</w:t>
      </w:r>
      <w:r>
        <w:rPr>
          <w:rFonts w:hint="cs"/>
          <w:rtl/>
        </w:rPr>
        <w:t>فَاعْلَمُواْ أَنَّ اللّهَ عَزِيزٌ حَكِيمٌ</w:t>
      </w:r>
      <w:r w:rsidR="000636C2">
        <w:rPr>
          <w:rFonts w:hint="cs"/>
          <w:rtl/>
        </w:rPr>
        <w:t>}،</w:t>
      </w:r>
      <w:r>
        <w:rPr>
          <w:rFonts w:hint="cs"/>
          <w:rtl/>
        </w:rPr>
        <w:t xml:space="preserve"> </w:t>
      </w:r>
      <w:r>
        <w:rPr>
          <w:rFonts w:hint="cs"/>
          <w:bCs/>
          <w:rtl/>
        </w:rPr>
        <w:t>وقوله تعالى</w:t>
      </w:r>
      <w:r w:rsidR="000636C2">
        <w:rPr>
          <w:rFonts w:hint="cs"/>
          <w:bCs/>
          <w:rtl/>
        </w:rPr>
        <w:t>:</w:t>
      </w:r>
      <w:r>
        <w:rPr>
          <w:rFonts w:hint="cs"/>
          <w:bCs/>
          <w:rtl/>
        </w:rPr>
        <w:t xml:space="preserve"> </w:t>
      </w:r>
      <w:r w:rsidR="000636C2">
        <w:rPr>
          <w:rFonts w:hint="cs"/>
          <w:rtl/>
        </w:rPr>
        <w:t>{</w:t>
      </w:r>
      <w:r>
        <w:rPr>
          <w:rFonts w:hint="cs"/>
          <w:rtl/>
        </w:rPr>
        <w:t>وَالسَّمَاء بَنَيْنَاهَا بِأَيْدٍ وَإِنَّا لَمُوسِعُونَ</w:t>
      </w:r>
      <w:r w:rsidR="000636C2">
        <w:rPr>
          <w:rFonts w:hint="cs"/>
          <w:rtl/>
        </w:rPr>
        <w:t>}،</w:t>
      </w:r>
      <w:r>
        <w:rPr>
          <w:rFonts w:hint="cs"/>
          <w:rtl/>
        </w:rPr>
        <w:t xml:space="preserve"> قلت</w:t>
      </w:r>
      <w:r w:rsidR="000636C2">
        <w:rPr>
          <w:rFonts w:hint="cs"/>
          <w:rtl/>
        </w:rPr>
        <w:t>:</w:t>
      </w:r>
      <w:r>
        <w:rPr>
          <w:rFonts w:hint="cs"/>
          <w:rtl/>
        </w:rPr>
        <w:t xml:space="preserve"> اليد تجمع على أيد قال تعالى </w:t>
      </w:r>
      <w:r w:rsidR="000636C2">
        <w:rPr>
          <w:rFonts w:hint="cs"/>
          <w:rtl/>
        </w:rPr>
        <w:t>{</w:t>
      </w:r>
      <w:r>
        <w:rPr>
          <w:rFonts w:hint="cs"/>
          <w:rtl/>
        </w:rPr>
        <w:t>ألهم أيد يبطشون بها</w:t>
      </w:r>
      <w:r w:rsidR="000636C2">
        <w:rPr>
          <w:rFonts w:hint="cs"/>
          <w:rtl/>
        </w:rPr>
        <w:t>}</w:t>
      </w:r>
      <w:r>
        <w:rPr>
          <w:rFonts w:hint="cs"/>
          <w:rtl/>
        </w:rPr>
        <w:t xml:space="preserve"> وقال تعالى </w:t>
      </w:r>
      <w:r w:rsidR="000636C2">
        <w:rPr>
          <w:rFonts w:hint="cs"/>
          <w:rtl/>
        </w:rPr>
        <w:t>{</w:t>
      </w:r>
      <w:r>
        <w:rPr>
          <w:rFonts w:hint="cs"/>
          <w:rtl/>
        </w:rPr>
        <w:t>والسماء بنيناها بأيد</w:t>
      </w:r>
      <w:r w:rsidR="000636C2">
        <w:rPr>
          <w:rFonts w:hint="cs"/>
          <w:rtl/>
        </w:rPr>
        <w:t>}</w:t>
      </w:r>
      <w:r>
        <w:rPr>
          <w:rFonts w:hint="cs"/>
          <w:rtl/>
        </w:rPr>
        <w:t xml:space="preserve"> و على أيدي قال تعالى </w:t>
      </w:r>
      <w:r w:rsidR="000636C2">
        <w:rPr>
          <w:rFonts w:hint="cs"/>
          <w:rtl/>
        </w:rPr>
        <w:t>{</w:t>
      </w:r>
      <w:r>
        <w:rPr>
          <w:rFonts w:hint="cs"/>
          <w:rtl/>
        </w:rPr>
        <w:t>مما عملت أيدينا</w:t>
      </w:r>
      <w:r w:rsidR="000636C2">
        <w:rPr>
          <w:rFonts w:hint="cs"/>
          <w:rtl/>
        </w:rPr>
        <w:t>}،</w:t>
      </w:r>
      <w:r>
        <w:rPr>
          <w:rFonts w:hint="cs"/>
          <w:rtl/>
        </w:rPr>
        <w:t xml:space="preserve"> فلا التفات إلى من زعم أن اليد لا تجمع على أيد لأن ذلك مما جاء في القرآن والقرآن نزل بلسان عربي مبين</w:t>
      </w:r>
      <w:r w:rsidR="000636C2">
        <w:rPr>
          <w:rFonts w:hint="cs"/>
          <w:rtl/>
        </w:rPr>
        <w:t>،</w:t>
      </w:r>
      <w:r>
        <w:rPr>
          <w:rFonts w:hint="cs"/>
          <w:rtl/>
        </w:rPr>
        <w:t xml:space="preserve"> والمراد بالآية هاهنا</w:t>
      </w:r>
      <w:r w:rsidR="000636C2">
        <w:rPr>
          <w:rFonts w:hint="cs"/>
          <w:rtl/>
        </w:rPr>
        <w:t xml:space="preserve"> </w:t>
      </w:r>
      <w:r>
        <w:rPr>
          <w:rFonts w:hint="cs"/>
          <w:rtl/>
        </w:rPr>
        <w:t>إثبات القوة والقدرة</w:t>
      </w:r>
      <w:r w:rsidR="000636C2">
        <w:rPr>
          <w:rFonts w:hint="cs"/>
          <w:rtl/>
        </w:rPr>
        <w:t>،</w:t>
      </w:r>
      <w:r>
        <w:rPr>
          <w:rFonts w:hint="cs"/>
          <w:rtl/>
        </w:rPr>
        <w:t xml:space="preserve"> مثالها في ذلك تماما قوله تعالى </w:t>
      </w:r>
      <w:r w:rsidR="000636C2">
        <w:rPr>
          <w:rFonts w:hint="cs"/>
          <w:rtl/>
        </w:rPr>
        <w:t>{</w:t>
      </w:r>
      <w:r>
        <w:rPr>
          <w:rFonts w:hint="cs"/>
          <w:rtl/>
        </w:rPr>
        <w:t>وَاذْكُرْ عَبْدَنَا دَاوُودَ ذَا الْأَيْدِ إِنَّهُ أَوَّابٌ</w:t>
      </w:r>
      <w:r w:rsidR="000636C2">
        <w:rPr>
          <w:rFonts w:hint="cs"/>
          <w:rtl/>
        </w:rPr>
        <w:t>}</w:t>
      </w:r>
      <w:r>
        <w:rPr>
          <w:rFonts w:hint="cs"/>
          <w:rtl/>
        </w:rPr>
        <w:t xml:space="preserve"> وقوله تعالى</w:t>
      </w:r>
      <w:r w:rsidR="000636C2">
        <w:rPr>
          <w:rFonts w:hint="cs"/>
          <w:rtl/>
        </w:rPr>
        <w:t xml:space="preserve"> {</w:t>
      </w:r>
      <w:r>
        <w:rPr>
          <w:rFonts w:hint="cs"/>
          <w:rtl/>
        </w:rPr>
        <w:t>وَاذْكُرْ عِبَادَنَا إبْرَاهِيمَ وَإِسْحَقَ وَيَعْقُوبَ أُوْلِي الْأَيْدِي وَالْأَبْصَارِ</w:t>
      </w:r>
      <w:r w:rsidR="000636C2">
        <w:rPr>
          <w:rFonts w:hint="cs"/>
          <w:rtl/>
        </w:rPr>
        <w:t xml:space="preserve">}، </w:t>
      </w:r>
      <w:r>
        <w:rPr>
          <w:rFonts w:hint="cs"/>
          <w:rtl/>
        </w:rPr>
        <w:t>فهل المراد من الآيات مدح الأنبياء بوجود الأيد التي هي الجوارح مع أن جميع البشر بما فيهم الكفار والفجار لهم أيدي وأبصار</w:t>
      </w:r>
      <w:r w:rsidR="000636C2">
        <w:rPr>
          <w:rFonts w:hint="cs"/>
          <w:rtl/>
        </w:rPr>
        <w:t>،</w:t>
      </w:r>
      <w:r>
        <w:rPr>
          <w:rFonts w:hint="cs"/>
          <w:rtl/>
        </w:rPr>
        <w:t xml:space="preserve"> أم أن المقصود بالأيدي في الآيات هو قوتهم في الطاعة </w:t>
      </w:r>
      <w:r>
        <w:rPr>
          <w:rFonts w:hint="cs"/>
          <w:rtl/>
        </w:rPr>
        <w:lastRenderedPageBreak/>
        <w:t>وجدهم وتشميرهم للعبادة</w:t>
      </w:r>
      <w:r w:rsidR="000636C2">
        <w:rPr>
          <w:rFonts w:hint="cs"/>
          <w:rtl/>
        </w:rPr>
        <w:t>،</w:t>
      </w:r>
      <w:r>
        <w:rPr>
          <w:rFonts w:hint="cs"/>
          <w:rtl/>
        </w:rPr>
        <w:t xml:space="preserve"> واستعير لذلك بلفظ الأيدي لأنها عادة موضع القوة والجد والعمل</w:t>
      </w:r>
      <w:r w:rsidR="000636C2">
        <w:rPr>
          <w:rFonts w:hint="cs"/>
          <w:rtl/>
        </w:rPr>
        <w:t xml:space="preserve">، </w:t>
      </w:r>
      <w:r>
        <w:rPr>
          <w:rFonts w:hint="cs"/>
          <w:rtl/>
        </w:rPr>
        <w:t>فلا شك أن المعنى المقصود هو الثاني</w:t>
      </w:r>
      <w:r w:rsidR="000636C2">
        <w:rPr>
          <w:rFonts w:hint="cs"/>
          <w:rtl/>
        </w:rPr>
        <w:t>،</w:t>
      </w:r>
      <w:r>
        <w:rPr>
          <w:rFonts w:hint="cs"/>
          <w:rtl/>
        </w:rPr>
        <w:t xml:space="preserve"> وهاهنا في الآية </w:t>
      </w:r>
      <w:r w:rsidR="000636C2">
        <w:rPr>
          <w:rFonts w:hint="cs"/>
          <w:rtl/>
        </w:rPr>
        <w:t>{</w:t>
      </w:r>
      <w:r>
        <w:rPr>
          <w:rFonts w:hint="cs"/>
          <w:rtl/>
        </w:rPr>
        <w:t>وَالسَّمَاء بَنَيْنَاهَا بِأَيْدٍ وَإِنَّا لَمُوسِعُونَ</w:t>
      </w:r>
      <w:r w:rsidR="000636C2">
        <w:rPr>
          <w:rFonts w:hint="cs"/>
          <w:rtl/>
        </w:rPr>
        <w:t>}،</w:t>
      </w:r>
      <w:r>
        <w:rPr>
          <w:rFonts w:hint="cs"/>
          <w:rtl/>
        </w:rPr>
        <w:t xml:space="preserve"> نفس المقصود إذ لم تسق الآية لإثبات جارحة لله تعالى عن ذلك لأنه نقص يتنزه الأحد الصمد عنه</w:t>
      </w:r>
      <w:r w:rsidR="000636C2">
        <w:rPr>
          <w:rFonts w:hint="cs"/>
          <w:rtl/>
        </w:rPr>
        <w:t>،</w:t>
      </w:r>
      <w:r>
        <w:rPr>
          <w:rFonts w:hint="cs"/>
          <w:rtl/>
        </w:rPr>
        <w:t xml:space="preserve"> لأن الجارحة تعني الجزء ن والتجزؤ يضاد الأحدية التي تعني نفي التبغض ويضاد الصمدية التي تعني كمال الغنى لأن المتجزىء يحتاج إلى جزئه فصاحب اليد </w:t>
      </w:r>
      <w:r w:rsidR="000636C2">
        <w:rPr>
          <w:rFonts w:hint="cs"/>
          <w:rtl/>
        </w:rPr>
        <w:t>(</w:t>
      </w:r>
      <w:r>
        <w:rPr>
          <w:rFonts w:hint="cs"/>
          <w:rtl/>
        </w:rPr>
        <w:t>الجارحة</w:t>
      </w:r>
      <w:r w:rsidR="000636C2">
        <w:rPr>
          <w:rFonts w:hint="cs"/>
          <w:rtl/>
        </w:rPr>
        <w:t>)</w:t>
      </w:r>
      <w:r>
        <w:rPr>
          <w:rFonts w:hint="cs"/>
          <w:rtl/>
        </w:rPr>
        <w:t xml:space="preserve"> يحتاج إلى يده لتناوله الأشياء وصاحب الرجل (الجارحة</w:t>
      </w:r>
      <w:r w:rsidR="000636C2">
        <w:rPr>
          <w:rFonts w:hint="cs"/>
          <w:rtl/>
        </w:rPr>
        <w:t>)</w:t>
      </w:r>
      <w:r>
        <w:rPr>
          <w:rFonts w:hint="cs"/>
          <w:rtl/>
        </w:rPr>
        <w:t xml:space="preserve"> يحتاج إلى رجله ليتحرك بها وصاحب العين </w:t>
      </w:r>
      <w:r w:rsidR="000636C2">
        <w:rPr>
          <w:rFonts w:hint="cs"/>
          <w:rtl/>
        </w:rPr>
        <w:t>(</w:t>
      </w:r>
      <w:r>
        <w:rPr>
          <w:rFonts w:hint="cs"/>
          <w:rtl/>
        </w:rPr>
        <w:t>الجارحة</w:t>
      </w:r>
      <w:r w:rsidR="000636C2">
        <w:rPr>
          <w:rFonts w:hint="cs"/>
          <w:rtl/>
        </w:rPr>
        <w:t>)</w:t>
      </w:r>
      <w:r>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0636C2">
        <w:rPr>
          <w:rFonts w:hint="cs"/>
          <w:rtl/>
        </w:rPr>
        <w:t>،</w:t>
      </w:r>
      <w:r>
        <w:rPr>
          <w:rFonts w:hint="cs"/>
          <w:rtl/>
        </w:rPr>
        <w:t xml:space="preserve"> وإثبات الجارحة ليس فيه أي معنى للكمال الإلهي المتصف بكمال الأحدية وكمال الصمدية وكمال القيومية وكمال الغنى</w:t>
      </w:r>
      <w:r w:rsidR="000636C2">
        <w:rPr>
          <w:rFonts w:hint="cs"/>
          <w:rtl/>
        </w:rPr>
        <w:t>،</w:t>
      </w:r>
      <w:r>
        <w:rPr>
          <w:rFonts w:hint="cs"/>
          <w:rtl/>
        </w:rPr>
        <w:t xml:space="preserve"> بل هو نقص يتنزه الله تعالى عنه ويضاد جميع تلك الصفات العلا</w:t>
      </w:r>
      <w:r w:rsidR="000636C2">
        <w:rPr>
          <w:rFonts w:hint="cs"/>
          <w:rtl/>
        </w:rPr>
        <w:t>،</w:t>
      </w:r>
      <w:r>
        <w:rPr>
          <w:rFonts w:hint="cs"/>
          <w:rtl/>
        </w:rPr>
        <w:t xml:space="preserve"> </w:t>
      </w:r>
      <w:r>
        <w:rPr>
          <w:rFonts w:hint="cs"/>
          <w:bCs/>
          <w:rtl/>
        </w:rPr>
        <w:t>وقوله تعالى</w:t>
      </w:r>
      <w:r w:rsidR="000636C2">
        <w:rPr>
          <w:rFonts w:hint="cs"/>
          <w:rtl/>
        </w:rPr>
        <w:t>:</w:t>
      </w:r>
      <w:r>
        <w:rPr>
          <w:rFonts w:hint="cs"/>
          <w:rtl/>
        </w:rPr>
        <w:t xml:space="preserve"> </w:t>
      </w:r>
      <w:r w:rsidR="000636C2">
        <w:rPr>
          <w:rFonts w:hint="cs"/>
          <w:rtl/>
        </w:rPr>
        <w:t>{</w:t>
      </w:r>
      <w:r>
        <w:rPr>
          <w:rFonts w:hint="cs"/>
          <w:rtl/>
        </w:rPr>
        <w:t>قَالَ يَا إِبْلِيسُ مَا مَنَعَكَ أَن تَسْجُدَ لِمَا خَلَقْتُ بِيَدَيَّ أَسْتَكْبَرْتَ أَمْ كُنتَ مِنَ الْعَالِينَ * قَالَ أَنَا خَيْرٌ مِّنْهُ خَلَقْتَنِي مِن نَّارٍ وَخَلَقْتَهُ مِن طِينٍ</w:t>
      </w:r>
      <w:r w:rsidR="000636C2">
        <w:rPr>
          <w:rFonts w:hint="cs"/>
          <w:rtl/>
        </w:rPr>
        <w:t>}،</w:t>
      </w:r>
      <w:r>
        <w:rPr>
          <w:rFonts w:hint="cs"/>
          <w:rtl/>
        </w:rPr>
        <w:t xml:space="preserve"> </w:t>
      </w:r>
      <w:r>
        <w:rPr>
          <w:rFonts w:hint="cs"/>
          <w:bCs/>
          <w:rtl/>
        </w:rPr>
        <w:t>قلت</w:t>
      </w:r>
      <w:r w:rsidR="000636C2">
        <w:rPr>
          <w:rFonts w:hint="cs"/>
          <w:rtl/>
        </w:rPr>
        <w:t>:</w:t>
      </w:r>
      <w:r>
        <w:rPr>
          <w:rFonts w:hint="cs"/>
          <w:rtl/>
        </w:rPr>
        <w:t xml:space="preserve"> فصحاء العرب وأهل البلاغة فيه يعلمون من قوله تعالى</w:t>
      </w:r>
      <w:r w:rsidR="000636C2">
        <w:rPr>
          <w:rFonts w:hint="cs"/>
          <w:rtl/>
        </w:rPr>
        <w:t>:</w:t>
      </w:r>
      <w:r>
        <w:rPr>
          <w:rFonts w:hint="cs"/>
          <w:rtl/>
        </w:rPr>
        <w:t xml:space="preserve"> </w:t>
      </w:r>
      <w:r w:rsidR="000636C2">
        <w:rPr>
          <w:rFonts w:hint="cs"/>
          <w:rtl/>
        </w:rPr>
        <w:t>{</w:t>
      </w:r>
      <w:r>
        <w:rPr>
          <w:rFonts w:hint="cs"/>
          <w:rtl/>
        </w:rPr>
        <w:t>لما خلقت بيدي</w:t>
      </w:r>
      <w:r w:rsidR="000636C2">
        <w:rPr>
          <w:rFonts w:hint="cs"/>
          <w:rtl/>
        </w:rPr>
        <w:t>}،</w:t>
      </w:r>
      <w:r>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0636C2">
        <w:rPr>
          <w:rFonts w:hint="cs"/>
          <w:rtl/>
        </w:rPr>
        <w:t>،</w:t>
      </w:r>
      <w:r>
        <w:rPr>
          <w:rFonts w:hint="cs"/>
          <w:rtl/>
        </w:rPr>
        <w:t xml:space="preserve"> هذا هو المفهوم من سياق الآيات فلم تسق الآية لإثبات جارحة لله تعالى عن ذلك لأنه نقص يتنزه الأحد الصمد القيوم الغني عنه</w:t>
      </w:r>
      <w:r w:rsidR="000636C2">
        <w:rPr>
          <w:rFonts w:hint="cs"/>
          <w:rtl/>
        </w:rPr>
        <w:t>،</w:t>
      </w:r>
      <w:r>
        <w:rPr>
          <w:rFonts w:hint="cs"/>
          <w:rtl/>
        </w:rPr>
        <w:t xml:space="preserve"> وإلا فما الفارق عند كل منصف لم تحرق البدعة قلبه بين هذا التعبير القرآني</w:t>
      </w:r>
      <w:r w:rsidR="000636C2">
        <w:rPr>
          <w:rFonts w:hint="cs"/>
          <w:rtl/>
        </w:rPr>
        <w:t>:</w:t>
      </w:r>
      <w:r>
        <w:rPr>
          <w:rFonts w:hint="cs"/>
          <w:rtl/>
        </w:rPr>
        <w:t xml:space="preserve"> </w:t>
      </w:r>
      <w:r w:rsidR="000636C2">
        <w:rPr>
          <w:rFonts w:hint="cs"/>
          <w:rtl/>
        </w:rPr>
        <w:t>{</w:t>
      </w:r>
      <w:r>
        <w:rPr>
          <w:rFonts w:hint="cs"/>
          <w:rtl/>
        </w:rPr>
        <w:t>لما خلقت بيدي</w:t>
      </w:r>
      <w:r w:rsidR="000636C2">
        <w:rPr>
          <w:rFonts w:hint="cs"/>
          <w:rtl/>
        </w:rPr>
        <w:t>}،</w:t>
      </w:r>
      <w:r>
        <w:rPr>
          <w:rFonts w:hint="cs"/>
          <w:rtl/>
        </w:rPr>
        <w:t xml:space="preserve"> وبين قوله تعالى </w:t>
      </w:r>
      <w:r w:rsidR="000636C2">
        <w:rPr>
          <w:rFonts w:hint="cs"/>
          <w:rtl/>
        </w:rPr>
        <w:t>{</w:t>
      </w:r>
      <w:r>
        <w:rPr>
          <w:rFonts w:hint="cs"/>
          <w:rtl/>
        </w:rPr>
        <w:t>مما عملت أيدينا أنعاما</w:t>
      </w:r>
      <w:r w:rsidR="000636C2">
        <w:rPr>
          <w:rFonts w:hint="cs"/>
          <w:rtl/>
        </w:rPr>
        <w:t>}</w:t>
      </w:r>
      <w:r>
        <w:rPr>
          <w:rFonts w:hint="cs"/>
          <w:rtl/>
        </w:rPr>
        <w:t xml:space="preserve"> و قوله تعالى </w:t>
      </w:r>
      <w:r w:rsidR="000636C2">
        <w:rPr>
          <w:rFonts w:hint="cs"/>
          <w:rtl/>
        </w:rPr>
        <w:t>{</w:t>
      </w:r>
      <w:r>
        <w:rPr>
          <w:rFonts w:hint="cs"/>
          <w:rtl/>
        </w:rPr>
        <w:t>والسماء بنيناها بأيد</w:t>
      </w:r>
      <w:r w:rsidR="000636C2">
        <w:rPr>
          <w:rFonts w:hint="cs"/>
          <w:rtl/>
        </w:rPr>
        <w:t>}،</w:t>
      </w:r>
      <w:r>
        <w:rPr>
          <w:rFonts w:hint="cs"/>
          <w:rtl/>
        </w:rPr>
        <w:t xml:space="preserve"> وأيد جمع يد لقوله تعالى (ألهم أيد يبطشون بها</w:t>
      </w:r>
      <w:r w:rsidR="000636C2">
        <w:rPr>
          <w:rFonts w:hint="cs"/>
          <w:rtl/>
        </w:rPr>
        <w:t>)</w:t>
      </w:r>
      <w:r>
        <w:rPr>
          <w:rFonts w:hint="cs"/>
          <w:rtl/>
        </w:rPr>
        <w:t xml:space="preserve"> فالإنسان خلق بصفة اليد والأنعام كالغنم والبقر والإبل خلقت كذلك بصفة اليد والسماء خلقت كذلك بصفة اليد</w:t>
      </w:r>
      <w:r w:rsidR="000636C2">
        <w:rPr>
          <w:rFonts w:hint="cs"/>
          <w:rtl/>
        </w:rPr>
        <w:t>،</w:t>
      </w:r>
      <w:r>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w:t>
      </w:r>
      <w:r w:rsidR="000636C2">
        <w:rPr>
          <w:rFonts w:hint="cs"/>
          <w:rtl/>
        </w:rPr>
        <w:t>: {</w:t>
      </w:r>
      <w:r>
        <w:rPr>
          <w:rFonts w:hint="cs"/>
          <w:rtl/>
        </w:rPr>
        <w:t>قَالَ مَا مَنَعَكَ أَلَّا تَسْجُدَ إِذْ أَمَرْتُكَ</w:t>
      </w:r>
      <w:r w:rsidR="000636C2">
        <w:rPr>
          <w:rFonts w:hint="cs"/>
          <w:rtl/>
        </w:rPr>
        <w:t>}</w:t>
      </w:r>
      <w:r>
        <w:rPr>
          <w:rFonts w:hint="cs"/>
          <w:rtl/>
        </w:rPr>
        <w:t xml:space="preserve"> </w:t>
      </w:r>
      <w:r w:rsidR="000636C2">
        <w:rPr>
          <w:rFonts w:hint="cs"/>
          <w:rtl/>
        </w:rPr>
        <w:t>[</w:t>
      </w:r>
      <w:r>
        <w:rPr>
          <w:rFonts w:hint="cs"/>
          <w:rtl/>
        </w:rPr>
        <w:t>الأعراف</w:t>
      </w:r>
      <w:r w:rsidR="000636C2">
        <w:rPr>
          <w:rFonts w:hint="cs"/>
          <w:rtl/>
        </w:rPr>
        <w:t>:</w:t>
      </w:r>
      <w:r>
        <w:rPr>
          <w:rFonts w:hint="cs"/>
          <w:rtl/>
        </w:rPr>
        <w:t xml:space="preserve"> 12</w:t>
      </w:r>
      <w:r w:rsidR="000636C2">
        <w:rPr>
          <w:rFonts w:hint="cs"/>
          <w:rtl/>
        </w:rPr>
        <w:t>]،</w:t>
      </w:r>
      <w:r>
        <w:rPr>
          <w:rFonts w:hint="cs"/>
          <w:rtl/>
        </w:rPr>
        <w:t xml:space="preserve"> ولا عبرة لمن قال</w:t>
      </w:r>
      <w:r w:rsidR="000636C2">
        <w:rPr>
          <w:rFonts w:hint="cs"/>
          <w:rtl/>
        </w:rPr>
        <w:t>:</w:t>
      </w:r>
      <w:r>
        <w:rPr>
          <w:rFonts w:hint="cs"/>
          <w:rtl/>
        </w:rPr>
        <w:t xml:space="preserve"> لو لم يكن لآدم مزية علي سائر الحيوانات باليد التي هي صفة لما عظمه بذكرها وأجله فقال </w:t>
      </w:r>
      <w:r w:rsidR="000636C2">
        <w:rPr>
          <w:rFonts w:hint="cs"/>
          <w:rtl/>
        </w:rPr>
        <w:t>(</w:t>
      </w:r>
      <w:r>
        <w:rPr>
          <w:rFonts w:hint="cs"/>
          <w:rtl/>
        </w:rPr>
        <w:t>بيدي</w:t>
      </w:r>
      <w:r w:rsidR="000636C2">
        <w:rPr>
          <w:rFonts w:hint="cs"/>
          <w:rtl/>
        </w:rPr>
        <w:t>)</w:t>
      </w:r>
      <w:r>
        <w:rPr>
          <w:rFonts w:hint="cs"/>
          <w:rtl/>
        </w:rPr>
        <w:t xml:space="preserve"> ولو كانت القدرة لما كانت له مزية</w:t>
      </w:r>
      <w:r w:rsidR="000636C2">
        <w:rPr>
          <w:rFonts w:hint="cs"/>
          <w:rtl/>
        </w:rPr>
        <w:t>،</w:t>
      </w:r>
      <w:r>
        <w:rPr>
          <w:rFonts w:hint="cs"/>
          <w:rtl/>
        </w:rPr>
        <w:t xml:space="preserve"> وقولهم</w:t>
      </w:r>
      <w:r w:rsidR="000636C2">
        <w:rPr>
          <w:rFonts w:hint="cs"/>
          <w:rtl/>
        </w:rPr>
        <w:t>:</w:t>
      </w:r>
      <w:r>
        <w:rPr>
          <w:rFonts w:hint="cs"/>
          <w:rtl/>
        </w:rPr>
        <w:t xml:space="preserve"> ميزه بذلك عن الحيوان فقد قال عز وجل</w:t>
      </w:r>
      <w:r w:rsidR="000636C2">
        <w:rPr>
          <w:rFonts w:hint="cs"/>
          <w:rtl/>
        </w:rPr>
        <w:t>:</w:t>
      </w:r>
      <w:r>
        <w:rPr>
          <w:rFonts w:hint="cs"/>
          <w:rtl/>
        </w:rPr>
        <w:t xml:space="preserve"> {خلقنا لهم مما عملت أيدينا أنعاما</w:t>
      </w:r>
      <w:r w:rsidR="000636C2">
        <w:rPr>
          <w:rFonts w:hint="cs"/>
          <w:rtl/>
        </w:rPr>
        <w:t>}</w:t>
      </w:r>
      <w:r>
        <w:rPr>
          <w:rFonts w:hint="cs"/>
          <w:rtl/>
        </w:rPr>
        <w:t xml:space="preserve"> ولم يدل هذا علي تمييز الأنعام علي بقية الحيوان وقال الله تعالي</w:t>
      </w:r>
      <w:r w:rsidR="000636C2">
        <w:rPr>
          <w:rFonts w:hint="cs"/>
          <w:rtl/>
        </w:rPr>
        <w:t xml:space="preserve"> {</w:t>
      </w:r>
      <w:r>
        <w:rPr>
          <w:rFonts w:hint="cs"/>
          <w:rtl/>
        </w:rPr>
        <w:t>والسماء بنيناها بأيد وإنا لموسعون</w:t>
      </w:r>
      <w:r w:rsidR="000636C2">
        <w:rPr>
          <w:rFonts w:hint="cs"/>
          <w:rtl/>
        </w:rPr>
        <w:t>}</w:t>
      </w:r>
      <w:r>
        <w:rPr>
          <w:rFonts w:hint="cs"/>
          <w:rtl/>
        </w:rPr>
        <w:t xml:space="preserve"> أي بقوة ولم يدل ذلك على تميز السماء على بقية المخلوقات</w:t>
      </w:r>
      <w:r w:rsidR="000636C2">
        <w:rPr>
          <w:rFonts w:hint="cs"/>
          <w:rtl/>
        </w:rPr>
        <w:t>،</w:t>
      </w:r>
      <w:r>
        <w:rPr>
          <w:rFonts w:hint="cs"/>
          <w:rtl/>
        </w:rPr>
        <w:t xml:space="preserve"> فإن قالوا</w:t>
      </w:r>
      <w:r w:rsidR="000636C2">
        <w:rPr>
          <w:rFonts w:hint="cs"/>
          <w:rtl/>
        </w:rPr>
        <w:t>:</w:t>
      </w:r>
      <w:r>
        <w:rPr>
          <w:rFonts w:hint="cs"/>
          <w:rtl/>
        </w:rPr>
        <w:t xml:space="preserve"> القدرة لا تثن</w:t>
      </w:r>
      <w:r w:rsidR="000636C2">
        <w:rPr>
          <w:rFonts w:hint="cs"/>
          <w:rtl/>
        </w:rPr>
        <w:t>،</w:t>
      </w:r>
      <w:r>
        <w:rPr>
          <w:rFonts w:hint="cs"/>
          <w:rtl/>
        </w:rPr>
        <w:t xml:space="preserve"> وقد </w:t>
      </w:r>
      <w:r>
        <w:rPr>
          <w:rFonts w:hint="cs"/>
          <w:rtl/>
        </w:rPr>
        <w:lastRenderedPageBreak/>
        <w:t xml:space="preserve">قال </w:t>
      </w:r>
      <w:r w:rsidR="000636C2">
        <w:rPr>
          <w:rFonts w:hint="cs"/>
          <w:rtl/>
        </w:rPr>
        <w:t>{</w:t>
      </w:r>
      <w:r>
        <w:rPr>
          <w:rFonts w:hint="cs"/>
          <w:rtl/>
        </w:rPr>
        <w:t>بيدي</w:t>
      </w:r>
      <w:r w:rsidR="000636C2">
        <w:rPr>
          <w:rFonts w:hint="cs"/>
          <w:rtl/>
        </w:rPr>
        <w:t>}</w:t>
      </w:r>
      <w:r>
        <w:rPr>
          <w:rFonts w:hint="cs"/>
          <w:rtl/>
        </w:rPr>
        <w:t xml:space="preserve"> قلنا بلي قال العربي</w:t>
      </w:r>
      <w:r w:rsidR="000636C2">
        <w:rPr>
          <w:rFonts w:hint="cs"/>
          <w:rtl/>
        </w:rPr>
        <w:t>:</w:t>
      </w:r>
      <w:r>
        <w:rPr>
          <w:rFonts w:hint="cs"/>
          <w:rtl/>
        </w:rPr>
        <w:t xml:space="preserve"> ليس لي بهذا الأمر يدان</w:t>
      </w:r>
      <w:r w:rsidR="000636C2">
        <w:rPr>
          <w:rFonts w:hint="cs"/>
          <w:rtl/>
        </w:rPr>
        <w:t>،</w:t>
      </w:r>
      <w:r>
        <w:rPr>
          <w:rFonts w:hint="cs"/>
          <w:rtl/>
        </w:rPr>
        <w:t xml:space="preserve"> أي ليس لي به قدرة ولا يقصد سوى ذلك</w:t>
      </w:r>
      <w:r w:rsidR="000636C2">
        <w:rPr>
          <w:rFonts w:hint="cs"/>
          <w:rtl/>
        </w:rPr>
        <w:t>،</w:t>
      </w:r>
      <w:r>
        <w:rPr>
          <w:rFonts w:hint="cs"/>
          <w:rtl/>
        </w:rPr>
        <w:t xml:space="preserve"> فإن قالوا إنما عبروا بذلك لأن للإنسان يد على الحقيقة</w:t>
      </w:r>
      <w:r w:rsidR="000636C2">
        <w:rPr>
          <w:rFonts w:hint="cs"/>
          <w:rtl/>
        </w:rPr>
        <w:t>،</w:t>
      </w:r>
      <w:r>
        <w:rPr>
          <w:rFonts w:hint="cs"/>
          <w:rtl/>
        </w:rPr>
        <w:t xml:space="preserve"> قلنا إذن يلزمنا إثبات اليدين للرحمة {بين يدي رحمته} وللعذاب {بين يدي عذاب شديد</w:t>
      </w:r>
      <w:r w:rsidR="000636C2">
        <w:rPr>
          <w:rFonts w:hint="cs"/>
          <w:rtl/>
        </w:rPr>
        <w:t>}</w:t>
      </w:r>
      <w:r>
        <w:rPr>
          <w:rFonts w:hint="cs"/>
          <w:rtl/>
        </w:rPr>
        <w:t xml:space="preserve"> وللنجوى {بين يدي نجواكم صدقة</w:t>
      </w:r>
      <w:r w:rsidR="000636C2">
        <w:rPr>
          <w:rFonts w:hint="cs"/>
          <w:rtl/>
        </w:rPr>
        <w:t>}</w:t>
      </w:r>
      <w:r>
        <w:rPr>
          <w:rFonts w:hint="cs"/>
          <w:rtl/>
        </w:rPr>
        <w:t xml:space="preserve"> وفي هذا الإثبات من الجهل باللغة والتلاعب بثوابتها ما فيه ومن قال بذلك فلا ينبغي أن يضيع الوقت معه</w:t>
      </w:r>
      <w:r w:rsidR="000636C2">
        <w:rPr>
          <w:rFonts w:hint="cs"/>
          <w:rtl/>
        </w:rPr>
        <w:t>،</w:t>
      </w:r>
      <w:r>
        <w:rPr>
          <w:rFonts w:hint="cs"/>
          <w:rtl/>
        </w:rPr>
        <w:t xml:space="preserve"> فإن أصروا وجادلوا قلنا</w:t>
      </w:r>
      <w:r w:rsidR="000636C2">
        <w:rPr>
          <w:rFonts w:hint="cs"/>
          <w:rtl/>
        </w:rPr>
        <w:t xml:space="preserve">: </w:t>
      </w:r>
      <w:r>
        <w:rPr>
          <w:rFonts w:hint="cs"/>
          <w:rtl/>
        </w:rPr>
        <w:t xml:space="preserve">قال الله تعالي في محكم التنزيل </w:t>
      </w:r>
      <w:r w:rsidR="000636C2">
        <w:rPr>
          <w:rFonts w:hint="cs"/>
          <w:rtl/>
        </w:rPr>
        <w:t>{</w:t>
      </w:r>
      <w:r>
        <w:rPr>
          <w:rFonts w:hint="cs"/>
          <w:rtl/>
        </w:rPr>
        <w:t>إن مثل عيسي عند الله كمثل آدم خلقه من تراب ثم قال له كن فيكون</w:t>
      </w:r>
      <w:r w:rsidR="000636C2">
        <w:rPr>
          <w:rFonts w:hint="cs"/>
          <w:rtl/>
        </w:rPr>
        <w:t>}،</w:t>
      </w:r>
      <w:r>
        <w:rPr>
          <w:rFonts w:hint="cs"/>
          <w:rtl/>
        </w:rPr>
        <w:t xml:space="preserve"> فالقرآن نص على أن خلق عيسى كخلق آدم كلاهما بالقدرة المعبر عنها بقوله تعالى </w:t>
      </w:r>
      <w:r w:rsidR="000636C2">
        <w:rPr>
          <w:rFonts w:hint="cs"/>
          <w:rtl/>
        </w:rPr>
        <w:t>{</w:t>
      </w:r>
      <w:r>
        <w:rPr>
          <w:rFonts w:hint="cs"/>
          <w:rtl/>
        </w:rPr>
        <w:t>ثم قال له كن فيكون</w:t>
      </w:r>
      <w:r w:rsidR="000636C2">
        <w:rPr>
          <w:rFonts w:hint="cs"/>
          <w:rtl/>
        </w:rPr>
        <w:t>}،</w:t>
      </w:r>
      <w:r>
        <w:rPr>
          <w:rFonts w:hint="cs"/>
          <w:rtl/>
        </w:rPr>
        <w:t xml:space="preserve"> فإنّه لا يليق بالخالق أن يحتاج إلى أن يفعل بواسطة</w:t>
      </w:r>
      <w:r w:rsidR="000636C2">
        <w:rPr>
          <w:rFonts w:hint="cs"/>
          <w:rtl/>
        </w:rPr>
        <w:t>،</w:t>
      </w:r>
      <w:r>
        <w:rPr>
          <w:rFonts w:hint="cs"/>
          <w:rtl/>
        </w:rPr>
        <w:t xml:space="preserve"> </w:t>
      </w:r>
      <w:r>
        <w:rPr>
          <w:rFonts w:hint="cs"/>
          <w:bCs/>
          <w:rtl/>
        </w:rPr>
        <w:t>لأن له الأحدية والغني المطلق بذاته منزه عن الأعضاء والاجزاء</w:t>
      </w:r>
      <w:r w:rsidR="000636C2">
        <w:rPr>
          <w:rFonts w:hint="cs"/>
          <w:bCs/>
          <w:rtl/>
        </w:rPr>
        <w:t>،</w:t>
      </w:r>
      <w:r>
        <w:rPr>
          <w:rFonts w:hint="cs"/>
          <w:bCs/>
          <w:rtl/>
        </w:rPr>
        <w:t xml:space="preserve"> </w:t>
      </w:r>
      <w:r>
        <w:rPr>
          <w:rFonts w:hint="cs"/>
          <w:rtl/>
        </w:rPr>
        <w:t xml:space="preserve">فلا ينبغي أن نتشاغل بطلب تعظيم آدم مع الغفلة عما يستحقه الباريء سبحانه من التعظيم بإثبات الأحدية </w:t>
      </w:r>
      <w:r w:rsidR="000636C2">
        <w:rPr>
          <w:rFonts w:hint="cs"/>
          <w:rtl/>
        </w:rPr>
        <w:t>{</w:t>
      </w:r>
      <w:r>
        <w:rPr>
          <w:rFonts w:hint="cs"/>
          <w:rtl/>
        </w:rPr>
        <w:t>قل هو الله أحد</w:t>
      </w:r>
      <w:r w:rsidR="000636C2">
        <w:rPr>
          <w:rFonts w:hint="cs"/>
          <w:rtl/>
        </w:rPr>
        <w:t>}</w:t>
      </w:r>
      <w:r>
        <w:rPr>
          <w:rFonts w:hint="cs"/>
          <w:rtl/>
        </w:rPr>
        <w:t xml:space="preserve"> ونفي المثلية </w:t>
      </w:r>
      <w:r w:rsidR="000636C2">
        <w:rPr>
          <w:rFonts w:hint="cs"/>
          <w:rtl/>
        </w:rPr>
        <w:t>{</w:t>
      </w:r>
      <w:r>
        <w:rPr>
          <w:rFonts w:hint="cs"/>
          <w:rtl/>
        </w:rPr>
        <w:t>ليس كمثله شيء</w:t>
      </w:r>
      <w:r w:rsidR="000636C2">
        <w:rPr>
          <w:rFonts w:hint="cs"/>
          <w:rtl/>
        </w:rPr>
        <w:t>}</w:t>
      </w:r>
      <w:r>
        <w:rPr>
          <w:rFonts w:hint="cs"/>
          <w:rtl/>
        </w:rPr>
        <w:t xml:space="preserve"> وذلك بنفي الأجزاء و الأبعاض والجوارح</w:t>
      </w:r>
      <w:r w:rsidR="000636C2">
        <w:rPr>
          <w:rFonts w:hint="cs"/>
          <w:rtl/>
        </w:rPr>
        <w:t>،</w:t>
      </w:r>
      <w:r>
        <w:rPr>
          <w:rFonts w:hint="cs"/>
          <w:rtl/>
        </w:rPr>
        <w:t xml:space="preserve"> ونفي المماثلة في الأفعال بمس الطين ومعالجته حتى ظن بعض الجهلاء بما يجوز وما لا يجوز في حق الله تعالى</w:t>
      </w:r>
      <w:r w:rsidR="000636C2">
        <w:rPr>
          <w:rFonts w:hint="cs"/>
          <w:rtl/>
        </w:rPr>
        <w:t xml:space="preserve"> </w:t>
      </w:r>
      <w:r>
        <w:rPr>
          <w:rFonts w:hint="cs"/>
          <w:rtl/>
        </w:rPr>
        <w:t>أن الله</w:t>
      </w:r>
      <w:r w:rsidR="000636C2">
        <w:rPr>
          <w:rFonts w:hint="cs"/>
          <w:rtl/>
        </w:rPr>
        <w:t xml:space="preserve"> </w:t>
      </w:r>
      <w:r>
        <w:rPr>
          <w:rFonts w:hint="cs"/>
          <w:rtl/>
        </w:rPr>
        <w:t>- تعالى -</w:t>
      </w:r>
      <w:r w:rsidR="000636C2">
        <w:rPr>
          <w:rFonts w:hint="cs"/>
          <w:rtl/>
        </w:rPr>
        <w:t xml:space="preserve"> </w:t>
      </w:r>
      <w:r>
        <w:rPr>
          <w:rFonts w:hint="cs"/>
          <w:rtl/>
        </w:rPr>
        <w:t>مس طينة آدم بيد هي بعض ذاته</w:t>
      </w:r>
      <w:r w:rsidR="000636C2">
        <w:rPr>
          <w:rFonts w:hint="cs"/>
          <w:rtl/>
        </w:rPr>
        <w:t>،</w:t>
      </w:r>
      <w:r>
        <w:rPr>
          <w:rFonts w:hint="cs"/>
          <w:rtl/>
        </w:rPr>
        <w:t xml:space="preserve"> والمس قرين الاتحاد والحلول فما يقبل المس يقبلهما</w:t>
      </w:r>
      <w:r w:rsidR="000636C2">
        <w:rPr>
          <w:rFonts w:hint="cs"/>
          <w:rtl/>
        </w:rPr>
        <w:t>،</w:t>
      </w:r>
      <w:r>
        <w:rPr>
          <w:rFonts w:hint="cs"/>
          <w:rtl/>
        </w:rPr>
        <w:t xml:space="preserve"> سبحانه وتعالى عن ذلك علواً كبيرا</w:t>
      </w:r>
      <w:r w:rsidR="000636C2">
        <w:rPr>
          <w:rFonts w:hint="cs"/>
          <w:rtl/>
        </w:rPr>
        <w:t>،</w:t>
      </w:r>
      <w:r>
        <w:rPr>
          <w:rFonts w:hint="cs"/>
          <w:rtl/>
        </w:rPr>
        <w:t xml:space="preserve"> فسياق الآية يدل على أن المراد من قوله تعالى </w:t>
      </w:r>
      <w:r w:rsidR="000636C2">
        <w:rPr>
          <w:rFonts w:hint="cs"/>
          <w:rtl/>
        </w:rPr>
        <w:t>{</w:t>
      </w:r>
      <w:r>
        <w:rPr>
          <w:rFonts w:hint="cs"/>
          <w:rtl/>
        </w:rPr>
        <w:t>لما خلقت بيدي</w:t>
      </w:r>
      <w:r w:rsidR="000636C2">
        <w:rPr>
          <w:rFonts w:hint="cs"/>
          <w:rtl/>
        </w:rPr>
        <w:t xml:space="preserve">} </w:t>
      </w:r>
      <w:r>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0636C2">
        <w:rPr>
          <w:rFonts w:hint="cs"/>
          <w:rtl/>
        </w:rPr>
        <w:t>{</w:t>
      </w:r>
      <w:r>
        <w:rPr>
          <w:rFonts w:hint="cs"/>
          <w:rtl/>
        </w:rPr>
        <w:t>وعلم آدم الأسماء كلها</w:t>
      </w:r>
      <w:r w:rsidR="000636C2">
        <w:rPr>
          <w:rFonts w:hint="cs"/>
          <w:rtl/>
        </w:rPr>
        <w:t>}،</w:t>
      </w:r>
      <w:r>
        <w:rPr>
          <w:rFonts w:hint="cs"/>
          <w:rtl/>
        </w:rPr>
        <w:t xml:space="preserve"> وفضلته في ذلك كله على غيره من المخلوقين</w:t>
      </w:r>
      <w:r w:rsidR="000636C2">
        <w:rPr>
          <w:rFonts w:hint="cs"/>
          <w:rtl/>
        </w:rPr>
        <w:t>،</w:t>
      </w:r>
      <w:r>
        <w:rPr>
          <w:rFonts w:hint="cs"/>
          <w:rtl/>
        </w:rPr>
        <w:t xml:space="preserve"> هذا هو المفهوم من سياق الآيات فلم تسق الآية لإثبات جارحة لله تعالى عن ذلك</w:t>
      </w:r>
      <w:r w:rsidR="000636C2">
        <w:rPr>
          <w:rFonts w:hint="cs"/>
          <w:rtl/>
        </w:rPr>
        <w:t>،</w:t>
      </w:r>
      <w:r>
        <w:rPr>
          <w:rFonts w:hint="cs"/>
          <w:rtl/>
        </w:rPr>
        <w:t xml:space="preserve"> على أن بعض علماء أهل السنة والجماعة أثبت بالآيات صفات لله تعالى ليست على هيئة الجارحة وإنما صفات لا نعلمها</w:t>
      </w:r>
      <w:r w:rsidR="000636C2">
        <w:rPr>
          <w:rFonts w:hint="cs"/>
          <w:rtl/>
        </w:rPr>
        <w:t>،</w:t>
      </w:r>
      <w:r>
        <w:rPr>
          <w:rFonts w:hint="cs"/>
          <w:rtl/>
        </w:rPr>
        <w:t xml:space="preserve"> وهذا الوجه مقبول ضمناً</w:t>
      </w:r>
      <w:r w:rsidR="000636C2">
        <w:rPr>
          <w:rFonts w:hint="cs"/>
          <w:rtl/>
        </w:rPr>
        <w:t>،</w:t>
      </w:r>
      <w:r>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0636C2">
        <w:rPr>
          <w:rFonts w:hint="cs"/>
          <w:rtl/>
        </w:rPr>
        <w:t>،</w:t>
      </w:r>
      <w:r>
        <w:rPr>
          <w:rFonts w:hint="cs"/>
          <w:rtl/>
        </w:rPr>
        <w:t xml:space="preserve"> بل قد تدخل إلى التمثيل والتجسيم</w:t>
      </w:r>
      <w:r w:rsidR="000636C2">
        <w:rPr>
          <w:rFonts w:hint="cs"/>
          <w:rtl/>
        </w:rPr>
        <w:t>،</w:t>
      </w:r>
      <w:r>
        <w:rPr>
          <w:rFonts w:hint="cs"/>
          <w:rtl/>
        </w:rPr>
        <w:t xml:space="preserve"> قال تعالى </w:t>
      </w:r>
      <w:r w:rsidR="000636C2">
        <w:rPr>
          <w:rFonts w:hint="cs"/>
          <w:rtl/>
        </w:rPr>
        <w:t>{</w:t>
      </w:r>
      <w:r>
        <w:rPr>
          <w:rFonts w:hint="cs"/>
          <w:rtl/>
        </w:rPr>
        <w:t>لعلمه الذين يستنبطونه منهم</w:t>
      </w:r>
      <w:r w:rsidR="000636C2">
        <w:rPr>
          <w:rFonts w:hint="cs"/>
          <w:rtl/>
        </w:rPr>
        <w:t xml:space="preserve">}، </w:t>
      </w:r>
      <w:r>
        <w:rPr>
          <w:rFonts w:hint="cs"/>
          <w:rtl/>
        </w:rPr>
        <w:t xml:space="preserve">وعدم التعرض للمعنى الحقيقي المراد من الآيات المتشابهات لأنه </w:t>
      </w:r>
      <w:r w:rsidR="000636C2">
        <w:rPr>
          <w:rFonts w:hint="cs"/>
          <w:rtl/>
        </w:rPr>
        <w:t>{</w:t>
      </w:r>
      <w:r>
        <w:rPr>
          <w:rFonts w:hint="cs"/>
          <w:rtl/>
        </w:rPr>
        <w:t>وما يعلم تأويله إلا الله</w:t>
      </w:r>
      <w:r w:rsidR="000636C2">
        <w:rPr>
          <w:rFonts w:hint="cs"/>
          <w:rtl/>
        </w:rPr>
        <w:t>}</w:t>
      </w:r>
      <w:r>
        <w:rPr>
          <w:rFonts w:hint="cs"/>
          <w:rtl/>
        </w:rPr>
        <w:t xml:space="preserve"> </w:t>
      </w:r>
      <w:r w:rsidR="000636C2">
        <w:rPr>
          <w:rFonts w:hint="cs"/>
          <w:rtl/>
        </w:rPr>
        <w:t>{</w:t>
      </w:r>
      <w:r>
        <w:rPr>
          <w:rFonts w:hint="cs"/>
          <w:rtl/>
        </w:rPr>
        <w:t>والراسخون في العلم يقولون آمنا به كل من عند ربنا</w:t>
      </w:r>
      <w:r w:rsidR="000636C2">
        <w:rPr>
          <w:rFonts w:hint="cs"/>
          <w:rtl/>
        </w:rPr>
        <w:t>}،</w:t>
      </w:r>
      <w:r>
        <w:rPr>
          <w:rFonts w:hint="cs"/>
          <w:rtl/>
        </w:rPr>
        <w:t xml:space="preserve"> فالمتشابه كاليد والوجه ونحو ذلك فظاهره المستعمل في اللغة (</w:t>
      </w:r>
      <w:r w:rsidR="000636C2">
        <w:rPr>
          <w:rFonts w:hint="cs"/>
          <w:rtl/>
        </w:rPr>
        <w:t>(</w:t>
      </w:r>
      <w:r>
        <w:rPr>
          <w:rFonts w:hint="cs"/>
          <w:rtl/>
        </w:rPr>
        <w:t>الجارحة</w:t>
      </w:r>
      <w:r w:rsidR="000636C2">
        <w:rPr>
          <w:rFonts w:hint="cs"/>
          <w:rtl/>
        </w:rPr>
        <w:t>)</w:t>
      </w:r>
      <w:r>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0636C2">
        <w:rPr>
          <w:rFonts w:hint="cs"/>
          <w:rtl/>
        </w:rPr>
        <w:t>،</w:t>
      </w:r>
      <w:r w:rsidR="000636C2">
        <w:rPr>
          <w:rFonts w:hint="cs"/>
          <w:bCs/>
          <w:rtl/>
          <w:lang w:bidi="ar-KW"/>
        </w:rPr>
        <w:t xml:space="preserve"> </w:t>
      </w:r>
      <w:r>
        <w:rPr>
          <w:rFonts w:hint="cs"/>
          <w:bCs/>
          <w:rtl/>
        </w:rPr>
        <w:t>إنّ الدعوة إلى التمسك بظاهر النصوص متعذر</w:t>
      </w:r>
      <w:r w:rsidR="000636C2">
        <w:rPr>
          <w:rFonts w:hint="cs"/>
          <w:bCs/>
          <w:rtl/>
        </w:rPr>
        <w:t>،</w:t>
      </w:r>
      <w:r>
        <w:rPr>
          <w:rFonts w:hint="cs"/>
          <w:bCs/>
          <w:rtl/>
        </w:rPr>
        <w:t xml:space="preserve"> ولا يمكن الثبات على التمسك بجميع الظواهر</w:t>
      </w:r>
      <w:r>
        <w:rPr>
          <w:rFonts w:hint="cs"/>
          <w:rtl/>
        </w:rPr>
        <w:t xml:space="preserve">، </w:t>
      </w:r>
      <w:r>
        <w:rPr>
          <w:rFonts w:hint="cs"/>
          <w:bCs/>
          <w:rtl/>
        </w:rPr>
        <w:t>ولا بد أن يستسيغ التأويل في بعض المواضع</w:t>
      </w:r>
      <w:r w:rsidR="000636C2">
        <w:rPr>
          <w:rFonts w:hint="cs"/>
          <w:rtl/>
        </w:rPr>
        <w:t>،</w:t>
      </w:r>
      <w:r>
        <w:rPr>
          <w:rFonts w:hint="cs"/>
          <w:rtl/>
        </w:rPr>
        <w:t xml:space="preserve"> </w:t>
      </w:r>
      <w:r>
        <w:rPr>
          <w:rFonts w:hint="cs"/>
          <w:rtl/>
          <w:lang w:eastAsia="ar-SA"/>
        </w:rPr>
        <w:lastRenderedPageBreak/>
        <w:t xml:space="preserve">كما أننا مجبرون على التأويل في مواضع </w:t>
      </w:r>
      <w:r>
        <w:rPr>
          <w:rFonts w:hint="cs"/>
          <w:rtl/>
        </w:rPr>
        <w:t>عديدة وإلا أصبحنا في تهافتٍ وتناقضٍ واضطرابٍ عجيب</w:t>
      </w:r>
      <w:r w:rsidR="000636C2">
        <w:rPr>
          <w:rFonts w:hint="cs"/>
          <w:rtl/>
        </w:rPr>
        <w:t>،</w:t>
      </w:r>
      <w:r>
        <w:rPr>
          <w:rFonts w:hint="cs"/>
          <w:rtl/>
        </w:rPr>
        <w:t xml:space="preserve"> وذلك كقوله تعالى: {كل شيء هالك إلا وجهه} [القصص</w:t>
      </w:r>
      <w:r w:rsidR="000636C2">
        <w:rPr>
          <w:rFonts w:hint="cs"/>
          <w:rtl/>
        </w:rPr>
        <w:t>:</w:t>
      </w:r>
      <w:r>
        <w:rPr>
          <w:rFonts w:hint="cs"/>
          <w:rtl/>
        </w:rPr>
        <w:t xml:space="preserve"> 88</w:t>
      </w:r>
      <w:r w:rsidR="000636C2">
        <w:rPr>
          <w:rFonts w:hint="cs"/>
          <w:rtl/>
        </w:rPr>
        <w:t>]،</w:t>
      </w:r>
      <w:r>
        <w:rPr>
          <w:rFonts w:hint="cs"/>
          <w:rtl/>
          <w:lang w:eastAsia="ar-SA"/>
        </w:rPr>
        <w:t xml:space="preserve"> وظاهر الآية هلاك الذات إلا الوجه</w:t>
      </w:r>
      <w:r w:rsidR="000636C2">
        <w:rPr>
          <w:rFonts w:hint="cs"/>
          <w:rtl/>
          <w:lang w:eastAsia="ar-SA"/>
        </w:rPr>
        <w:t>،</w:t>
      </w:r>
      <w:r>
        <w:rPr>
          <w:rFonts w:hint="cs"/>
          <w:rtl/>
          <w:lang w:eastAsia="ar-SA"/>
        </w:rPr>
        <w:t xml:space="preserve"> ولا مناص من تأويل الوجه بالذات لأنّه يستحيل أن يهلك الذات إلا الوجه</w:t>
      </w:r>
      <w:r w:rsidR="000636C2">
        <w:rPr>
          <w:rFonts w:hint="cs"/>
          <w:rtl/>
          <w:lang w:eastAsia="ar-SA"/>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واصبر لحكم ربك فإنك بأعيننا</w:t>
      </w:r>
      <w:r w:rsidR="000636C2">
        <w:rPr>
          <w:rFonts w:hint="cs"/>
          <w:rtl/>
        </w:rPr>
        <w:t>}</w:t>
      </w:r>
      <w:r>
        <w:rPr>
          <w:rFonts w:hint="cs"/>
          <w:rtl/>
        </w:rPr>
        <w:t xml:space="preserve"> [الطور</w:t>
      </w:r>
      <w:r w:rsidR="000636C2">
        <w:rPr>
          <w:rFonts w:hint="cs"/>
          <w:rtl/>
        </w:rPr>
        <w:t>:</w:t>
      </w:r>
      <w:r>
        <w:rPr>
          <w:rFonts w:hint="cs"/>
          <w:rtl/>
        </w:rPr>
        <w:t xml:space="preserve"> 48</w:t>
      </w:r>
      <w:r w:rsidR="000636C2">
        <w:rPr>
          <w:rFonts w:hint="cs"/>
          <w:rtl/>
        </w:rPr>
        <w:t>]،</w:t>
      </w:r>
      <w:r>
        <w:rPr>
          <w:rFonts w:hint="cs"/>
          <w:rtl/>
        </w:rPr>
        <w:t xml:space="preserve"> والمعنى بمرأى منا ولا تغيب عنا وليس المراد أنك بداخل أعيننا</w:t>
      </w:r>
      <w:r w:rsidR="000636C2">
        <w:rPr>
          <w:rFonts w:hint="cs"/>
          <w:rtl/>
        </w:rPr>
        <w:t>،</w:t>
      </w:r>
      <w:r>
        <w:rPr>
          <w:rFonts w:hint="cs"/>
          <w:rtl/>
        </w:rPr>
        <w:t xml:space="preserve"> ولكن ظاهر الآية يدل على وجود النبي داخل العيون</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فإني قريب</w:t>
      </w:r>
      <w:r w:rsidR="000636C2">
        <w:rPr>
          <w:rFonts w:hint="cs"/>
          <w:rtl/>
        </w:rPr>
        <w:t>}[</w:t>
      </w:r>
      <w:r>
        <w:rPr>
          <w:rFonts w:hint="cs"/>
          <w:rtl/>
        </w:rPr>
        <w:t>البقرة</w:t>
      </w:r>
      <w:r w:rsidR="000636C2">
        <w:rPr>
          <w:rFonts w:hint="cs"/>
          <w:rtl/>
        </w:rPr>
        <w:t>:</w:t>
      </w:r>
      <w:r>
        <w:rPr>
          <w:rFonts w:hint="cs"/>
          <w:rtl/>
        </w:rPr>
        <w:t xml:space="preserve"> 186</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وَلَقَدْ خَلَقْنَا الْإِنْسَانَ وَنَعْلَمُ مَا تُوَسْوِسُ بِهِ نَفْسُهُ وَنَحْنُ أَقْرَبُ إِلَيْهِ مِنْ حَبْلِ الْوَرِيدِ</w:t>
      </w:r>
      <w:r w:rsidR="000636C2">
        <w:rPr>
          <w:rFonts w:hint="cs"/>
          <w:rtl/>
        </w:rPr>
        <w:t>}</w:t>
      </w:r>
      <w:r>
        <w:rPr>
          <w:rFonts w:hint="cs"/>
          <w:rtl/>
        </w:rPr>
        <w:t xml:space="preserve"> </w:t>
      </w:r>
      <w:r w:rsidR="000636C2">
        <w:rPr>
          <w:rFonts w:hint="cs"/>
          <w:rtl/>
        </w:rPr>
        <w:t>[</w:t>
      </w:r>
      <w:r>
        <w:rPr>
          <w:rFonts w:hint="cs"/>
          <w:rtl/>
        </w:rPr>
        <w:t>ق</w:t>
      </w:r>
      <w:r w:rsidR="000636C2">
        <w:rPr>
          <w:rFonts w:hint="cs"/>
          <w:rtl/>
        </w:rPr>
        <w:t>:</w:t>
      </w:r>
      <w:r>
        <w:rPr>
          <w:rFonts w:hint="cs"/>
          <w:rtl/>
        </w:rPr>
        <w:t xml:space="preserve"> 16</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وَنَحْنُ أَقْرَبُ إِلَيْهِ مِنْكُمْ وَلَكِنْ لَا تُبْصِرُونَ</w:t>
      </w:r>
      <w:r w:rsidR="000636C2">
        <w:rPr>
          <w:rFonts w:hint="cs"/>
          <w:rtl/>
        </w:rPr>
        <w:t>}</w:t>
      </w:r>
      <w:r>
        <w:rPr>
          <w:rFonts w:hint="cs"/>
          <w:rtl/>
        </w:rPr>
        <w:t xml:space="preserve"> </w:t>
      </w:r>
      <w:r w:rsidR="000636C2">
        <w:rPr>
          <w:rFonts w:hint="cs"/>
          <w:rtl/>
        </w:rPr>
        <w:t>[</w:t>
      </w:r>
      <w:r>
        <w:rPr>
          <w:rFonts w:hint="cs"/>
          <w:rtl/>
        </w:rPr>
        <w:t>الواقعة</w:t>
      </w:r>
      <w:r w:rsidR="000636C2">
        <w:rPr>
          <w:rFonts w:hint="cs"/>
          <w:rtl/>
        </w:rPr>
        <w:t>:</w:t>
      </w:r>
      <w:r>
        <w:rPr>
          <w:rFonts w:hint="cs"/>
          <w:rtl/>
        </w:rPr>
        <w:t xml:space="preserve"> 85</w:t>
      </w:r>
      <w:r w:rsidR="000636C2">
        <w:rPr>
          <w:rFonts w:hint="cs"/>
          <w:rtl/>
        </w:rPr>
        <w:t xml:space="preserve">]، </w:t>
      </w:r>
      <w:r>
        <w:rPr>
          <w:rFonts w:hint="cs"/>
          <w:rtl/>
        </w:rPr>
        <w:t>وظاهر</w:t>
      </w:r>
      <w:r w:rsidR="000636C2">
        <w:rPr>
          <w:rFonts w:hint="cs"/>
          <w:rtl/>
        </w:rPr>
        <w:t xml:space="preserve"> </w:t>
      </w:r>
      <w:r>
        <w:rPr>
          <w:rFonts w:hint="cs"/>
          <w:rtl/>
        </w:rPr>
        <w:t>الآيات يدل على قرب الله تعالى بذاته</w:t>
      </w:r>
      <w:r w:rsidR="000636C2">
        <w:rPr>
          <w:rFonts w:hint="cs"/>
          <w:rtl/>
        </w:rPr>
        <w:t>،</w:t>
      </w:r>
      <w:r>
        <w:rPr>
          <w:rFonts w:hint="cs"/>
          <w:rtl/>
        </w:rPr>
        <w:t xml:space="preserve"> والمراد قربه بالعلم والسمع والبصر والقدرة</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وهو معكم أينما كنتم</w:t>
      </w:r>
      <w:r w:rsidR="000636C2">
        <w:rPr>
          <w:rFonts w:hint="cs"/>
          <w:rtl/>
        </w:rPr>
        <w:t>}</w:t>
      </w:r>
      <w:r>
        <w:rPr>
          <w:rFonts w:hint="cs"/>
          <w:rtl/>
        </w:rPr>
        <w:t xml:space="preserve"> [الحديد</w:t>
      </w:r>
      <w:r w:rsidR="000636C2">
        <w:rPr>
          <w:rFonts w:hint="cs"/>
          <w:rtl/>
        </w:rPr>
        <w:t>:</w:t>
      </w:r>
      <w:r>
        <w:rPr>
          <w:rFonts w:hint="cs"/>
          <w:rtl/>
        </w:rPr>
        <w:t xml:space="preserve"> 4</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لا تحزن إن الله معنا</w:t>
      </w:r>
      <w:r w:rsidR="000636C2">
        <w:rPr>
          <w:rFonts w:hint="cs"/>
          <w:rtl/>
        </w:rPr>
        <w:t>}</w:t>
      </w:r>
      <w:r>
        <w:rPr>
          <w:rFonts w:hint="cs"/>
          <w:rtl/>
        </w:rPr>
        <w:t xml:space="preserve"> </w:t>
      </w:r>
      <w:r w:rsidR="000636C2">
        <w:rPr>
          <w:rFonts w:hint="cs"/>
          <w:rtl/>
        </w:rPr>
        <w:t>[</w:t>
      </w:r>
      <w:r>
        <w:rPr>
          <w:rFonts w:hint="cs"/>
          <w:rtl/>
        </w:rPr>
        <w:t>التوبة</w:t>
      </w:r>
      <w:r w:rsidR="000636C2">
        <w:rPr>
          <w:rFonts w:hint="cs"/>
          <w:rtl/>
        </w:rPr>
        <w:t>:</w:t>
      </w:r>
      <w:r>
        <w:rPr>
          <w:rFonts w:hint="cs"/>
          <w:rtl/>
        </w:rPr>
        <w:t xml:space="preserve"> 4</w:t>
      </w:r>
      <w:r w:rsidR="000636C2">
        <w:rPr>
          <w:rFonts w:hint="cs"/>
          <w:rtl/>
        </w:rPr>
        <w:t>،]،</w:t>
      </w:r>
      <w:r>
        <w:rPr>
          <w:rFonts w:hint="cs"/>
          <w:rtl/>
        </w:rPr>
        <w:t xml:space="preserve"> وظاهر</w:t>
      </w:r>
      <w:r w:rsidR="000636C2">
        <w:rPr>
          <w:rFonts w:hint="cs"/>
          <w:rtl/>
        </w:rPr>
        <w:t xml:space="preserve"> </w:t>
      </w:r>
      <w:r>
        <w:rPr>
          <w:rFonts w:hint="cs"/>
          <w:rtl/>
        </w:rPr>
        <w:t>الآيات يدل على أن الله تعالى معنا بذاته</w:t>
      </w:r>
      <w:r w:rsidR="000636C2">
        <w:rPr>
          <w:rFonts w:hint="cs"/>
          <w:rtl/>
        </w:rPr>
        <w:t>،</w:t>
      </w:r>
      <w:r>
        <w:rPr>
          <w:rFonts w:hint="cs"/>
          <w:rtl/>
        </w:rPr>
        <w:t xml:space="preserve"> والمراد معيته بالعلم والسمع والبصر والقدرة</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أَلَا إِنَّهُمْ فِي مِرْيَةٍ مِنْ لِقَاءِ رَبِّهِمْ أَلَا إِنَّهُ بِكُلِّ شَيْءٍ مُحِيطٌ</w:t>
      </w:r>
      <w:r w:rsidR="000636C2">
        <w:rPr>
          <w:rFonts w:hint="cs"/>
          <w:rtl/>
        </w:rPr>
        <w:t>}</w:t>
      </w:r>
      <w:r>
        <w:rPr>
          <w:rFonts w:hint="cs"/>
          <w:rtl/>
        </w:rPr>
        <w:t xml:space="preserve"> </w:t>
      </w:r>
      <w:r w:rsidR="000636C2">
        <w:rPr>
          <w:rFonts w:hint="cs"/>
          <w:rtl/>
        </w:rPr>
        <w:t>[</w:t>
      </w:r>
      <w:r>
        <w:rPr>
          <w:rFonts w:hint="cs"/>
          <w:rtl/>
        </w:rPr>
        <w:t>فصلت</w:t>
      </w:r>
      <w:r w:rsidR="000636C2">
        <w:rPr>
          <w:rFonts w:hint="cs"/>
          <w:rtl/>
        </w:rPr>
        <w:t>:</w:t>
      </w:r>
      <w:r>
        <w:rPr>
          <w:rFonts w:hint="cs"/>
          <w:rtl/>
        </w:rPr>
        <w:t xml:space="preserve"> 54</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وَاللَّهُ مِنْ وَرَائِهِمْ مُحِيطٌ</w:t>
      </w:r>
      <w:r w:rsidR="000636C2">
        <w:rPr>
          <w:rFonts w:hint="cs"/>
          <w:rtl/>
        </w:rPr>
        <w:t>}</w:t>
      </w:r>
      <w:r>
        <w:rPr>
          <w:rFonts w:hint="cs"/>
          <w:rtl/>
        </w:rPr>
        <w:t xml:space="preserve"> </w:t>
      </w:r>
      <w:r w:rsidR="000636C2">
        <w:rPr>
          <w:rFonts w:hint="cs"/>
          <w:rtl/>
        </w:rPr>
        <w:t>[</w:t>
      </w:r>
      <w:r>
        <w:rPr>
          <w:rFonts w:hint="cs"/>
          <w:rtl/>
        </w:rPr>
        <w:t>البروج</w:t>
      </w:r>
      <w:r w:rsidR="000636C2">
        <w:rPr>
          <w:rFonts w:hint="cs"/>
          <w:rtl/>
        </w:rPr>
        <w:t>:</w:t>
      </w:r>
      <w:r>
        <w:rPr>
          <w:rFonts w:hint="cs"/>
          <w:rtl/>
        </w:rPr>
        <w:t xml:space="preserve"> 2</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وَلِلَّهِ مَا فِي السَّمَوَاتِ وَمَا فِي الْأَرْضِ وَكَانَ اللَّهُ بِكُلِّ شَيْءٍ مُحِيطًا</w:t>
      </w:r>
      <w:r w:rsidR="000636C2">
        <w:rPr>
          <w:rFonts w:hint="cs"/>
          <w:rtl/>
        </w:rPr>
        <w:t>}</w:t>
      </w:r>
      <w:r>
        <w:rPr>
          <w:rFonts w:hint="cs"/>
          <w:rtl/>
        </w:rPr>
        <w:t xml:space="preserve"> </w:t>
      </w:r>
      <w:r w:rsidR="000636C2">
        <w:rPr>
          <w:rFonts w:hint="cs"/>
          <w:rtl/>
        </w:rPr>
        <w:t>[</w:t>
      </w:r>
      <w:r>
        <w:rPr>
          <w:rFonts w:hint="cs"/>
          <w:rtl/>
        </w:rPr>
        <w:t>النساء</w:t>
      </w:r>
      <w:r w:rsidR="000636C2">
        <w:rPr>
          <w:rFonts w:hint="cs"/>
          <w:rtl/>
        </w:rPr>
        <w:t>:</w:t>
      </w:r>
      <w:r>
        <w:rPr>
          <w:rFonts w:hint="cs"/>
          <w:rtl/>
        </w:rPr>
        <w:t xml:space="preserve"> 126</w:t>
      </w:r>
      <w:r w:rsidR="000636C2">
        <w:rPr>
          <w:rFonts w:hint="cs"/>
          <w:rtl/>
        </w:rPr>
        <w:t>]،</w:t>
      </w:r>
      <w:r>
        <w:rPr>
          <w:rFonts w:hint="cs"/>
          <w:rtl/>
        </w:rPr>
        <w:t xml:space="preserve"> وظاهر</w:t>
      </w:r>
      <w:r w:rsidR="000636C2">
        <w:rPr>
          <w:rFonts w:hint="cs"/>
          <w:rtl/>
        </w:rPr>
        <w:t xml:space="preserve"> </w:t>
      </w:r>
      <w:r>
        <w:rPr>
          <w:rFonts w:hint="cs"/>
          <w:rtl/>
        </w:rPr>
        <w:t>الآيات يدل على أن الله تعالى محيط بذاته بكل شيء</w:t>
      </w:r>
      <w:r w:rsidR="000636C2">
        <w:rPr>
          <w:rFonts w:hint="cs"/>
          <w:rtl/>
        </w:rPr>
        <w:t>،</w:t>
      </w:r>
      <w:r>
        <w:rPr>
          <w:rFonts w:hint="cs"/>
          <w:rtl/>
        </w:rPr>
        <w:t xml:space="preserve"> والمراد احاطته بالعلم والسمع والبصر والقدرة</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الرَّحْمَنُ عَلَى الْعَرْشِ اسْتَوَى</w:t>
      </w:r>
      <w:r w:rsidR="000636C2">
        <w:rPr>
          <w:rFonts w:hint="cs"/>
          <w:rtl/>
        </w:rPr>
        <w:t>}</w:t>
      </w:r>
      <w:r>
        <w:rPr>
          <w:rFonts w:hint="cs"/>
          <w:rtl/>
        </w:rPr>
        <w:t xml:space="preserve"> </w:t>
      </w:r>
      <w:r w:rsidR="000636C2">
        <w:rPr>
          <w:rFonts w:hint="cs"/>
          <w:rtl/>
        </w:rPr>
        <w:t>[</w:t>
      </w:r>
      <w:r>
        <w:rPr>
          <w:rFonts w:hint="cs"/>
          <w:rtl/>
        </w:rPr>
        <w:t>طه</w:t>
      </w:r>
      <w:r w:rsidR="000636C2">
        <w:rPr>
          <w:rFonts w:hint="cs"/>
          <w:rtl/>
        </w:rPr>
        <w:t>:</w:t>
      </w:r>
      <w:r>
        <w:rPr>
          <w:rFonts w:hint="cs"/>
          <w:rtl/>
        </w:rPr>
        <w:t xml:space="preserve"> 5</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الَّذِي خَلَقَ السَّمَوَاتِ وَالْأَرْضَ وَمَا بَيْنَهُمَا فِي سِتَّةِ أَيَّامٍ ثُمَّ اسْتَوَى عَلَى الْعَرْشِ الرَّحْمَنُ فَاسْأَلْ بِهِ خَبِيرًا</w:t>
      </w:r>
      <w:r w:rsidR="000636C2">
        <w:rPr>
          <w:rFonts w:hint="cs"/>
          <w:rtl/>
        </w:rPr>
        <w:t>}</w:t>
      </w:r>
      <w:r>
        <w:rPr>
          <w:rFonts w:hint="cs"/>
          <w:rtl/>
        </w:rPr>
        <w:t xml:space="preserve"> </w:t>
      </w:r>
      <w:r w:rsidR="000636C2">
        <w:rPr>
          <w:rFonts w:hint="cs"/>
          <w:rtl/>
        </w:rPr>
        <w:t>[</w:t>
      </w:r>
      <w:r>
        <w:rPr>
          <w:rFonts w:hint="cs"/>
          <w:rtl/>
        </w:rPr>
        <w:t>الفرقان</w:t>
      </w:r>
      <w:r w:rsidR="000636C2">
        <w:rPr>
          <w:rFonts w:hint="cs"/>
          <w:rtl/>
        </w:rPr>
        <w:t>:</w:t>
      </w:r>
      <w:r>
        <w:rPr>
          <w:rFonts w:hint="cs"/>
          <w:rtl/>
        </w:rPr>
        <w:t xml:space="preserve"> 59</w:t>
      </w:r>
      <w:r w:rsidR="000636C2">
        <w:rPr>
          <w:rFonts w:hint="cs"/>
          <w:rtl/>
        </w:rPr>
        <w:t>]،</w:t>
      </w:r>
      <w:r>
        <w:rPr>
          <w:rFonts w:hint="cs"/>
          <w:rtl/>
        </w:rPr>
        <w:t xml:space="preserve"> وظاهر</w:t>
      </w:r>
      <w:r w:rsidR="000636C2">
        <w:rPr>
          <w:rFonts w:hint="cs"/>
          <w:rtl/>
        </w:rPr>
        <w:t xml:space="preserve"> </w:t>
      </w:r>
      <w:r>
        <w:rPr>
          <w:rFonts w:hint="cs"/>
          <w:rtl/>
        </w:rPr>
        <w:t>الآيات يدل على أن الله تعالى على العرش بذاته</w:t>
      </w:r>
      <w:r w:rsidR="000636C2">
        <w:rPr>
          <w:rFonts w:hint="cs"/>
          <w:rtl/>
        </w:rPr>
        <w:t>،</w:t>
      </w:r>
      <w:r>
        <w:rPr>
          <w:rFonts w:hint="cs"/>
          <w:rtl/>
        </w:rPr>
        <w:t xml:space="preserve"> وليس تأويل آيات القرب والمعية والإحاطة بأولى من تأويل الاستواء</w:t>
      </w:r>
      <w:r w:rsidR="000636C2">
        <w:rPr>
          <w:rFonts w:hint="cs"/>
          <w:rtl/>
        </w:rPr>
        <w:t xml:space="preserve">، </w:t>
      </w:r>
      <w:r>
        <w:rPr>
          <w:rFonts w:hint="cs"/>
          <w:rtl/>
        </w:rPr>
        <w:t>لا سيما وآيات القرب والمعية والإحاطة أكثر عددا</w:t>
      </w:r>
      <w:r w:rsidR="000636C2">
        <w:rPr>
          <w:rFonts w:hint="cs"/>
          <w:rtl/>
        </w:rPr>
        <w:t>،</w:t>
      </w:r>
      <w:r>
        <w:rPr>
          <w:rFonts w:hint="cs"/>
          <w:rtl/>
        </w:rPr>
        <w:t xml:space="preserve"> والمراد استواؤه بالقدرة والربوبية والهيمنة</w:t>
      </w:r>
      <w:r w:rsidR="000636C2">
        <w:rPr>
          <w:rFonts w:hint="cs"/>
          <w:rtl/>
        </w:rPr>
        <w:t>،</w:t>
      </w:r>
      <w:r>
        <w:rPr>
          <w:rFonts w:hint="cs"/>
          <w:rtl/>
        </w:rPr>
        <w:t xml:space="preserve"> إذ التمدح لا يكون بالجلوس</w:t>
      </w:r>
      <w:r w:rsidR="000636C2">
        <w:rPr>
          <w:rFonts w:hint="cs"/>
          <w:rtl/>
        </w:rPr>
        <w:t>،</w:t>
      </w:r>
      <w:r>
        <w:rPr>
          <w:rFonts w:hint="cs"/>
          <w:rtl/>
        </w:rPr>
        <w:t xml:space="preserve"> وإنما بالهيمنة والقدرة</w:t>
      </w:r>
      <w:r w:rsidR="000636C2">
        <w:rPr>
          <w:rFonts w:hint="cs"/>
          <w:rtl/>
        </w:rPr>
        <w:t>،</w:t>
      </w:r>
      <w:r>
        <w:rPr>
          <w:rFonts w:hint="cs"/>
          <w:rtl/>
        </w:rPr>
        <w:t xml:space="preserve"> وقوله تعالى</w:t>
      </w:r>
      <w:r w:rsidR="000636C2">
        <w:rPr>
          <w:rFonts w:hint="cs"/>
          <w:rtl/>
        </w:rPr>
        <w:t>:</w:t>
      </w:r>
      <w:r>
        <w:rPr>
          <w:rFonts w:hint="cs"/>
          <w:rtl/>
        </w:rPr>
        <w:t xml:space="preserve"> </w:t>
      </w:r>
      <w:r w:rsidR="000636C2">
        <w:rPr>
          <w:rFonts w:hint="cs"/>
          <w:rtl/>
        </w:rPr>
        <w:t>{</w:t>
      </w:r>
      <w:r>
        <w:rPr>
          <w:rFonts w:hint="cs"/>
          <w:rtl/>
        </w:rPr>
        <w:t>وقالت اليهود يد الله مغلولة غلت أيديهم ولعنوا بما قالوا بل يداه مبسوطتان ينفق كيف يشاء</w:t>
      </w:r>
      <w:r w:rsidR="000636C2">
        <w:rPr>
          <w:rFonts w:hint="cs"/>
          <w:rtl/>
        </w:rPr>
        <w:t>}</w:t>
      </w:r>
      <w:r>
        <w:rPr>
          <w:rFonts w:hint="cs"/>
          <w:rtl/>
        </w:rPr>
        <w:t xml:space="preserve"> </w:t>
      </w:r>
      <w:r w:rsidR="000636C2">
        <w:rPr>
          <w:rFonts w:hint="cs"/>
          <w:rtl/>
        </w:rPr>
        <w:t>[</w:t>
      </w:r>
      <w:r>
        <w:rPr>
          <w:rFonts w:hint="cs"/>
          <w:rtl/>
        </w:rPr>
        <w:t>المائدة</w:t>
      </w:r>
      <w:r w:rsidR="000636C2">
        <w:rPr>
          <w:rFonts w:hint="cs"/>
          <w:rtl/>
        </w:rPr>
        <w:t>:</w:t>
      </w:r>
      <w:r>
        <w:rPr>
          <w:rFonts w:hint="cs"/>
          <w:rtl/>
        </w:rPr>
        <w:t xml:space="preserve"> 64</w:t>
      </w:r>
      <w:r w:rsidR="000636C2">
        <w:rPr>
          <w:rFonts w:hint="cs"/>
          <w:rtl/>
        </w:rPr>
        <w:t xml:space="preserve">]، </w:t>
      </w:r>
      <w:r>
        <w:rPr>
          <w:rFonts w:hint="cs"/>
          <w:rtl/>
        </w:rPr>
        <w:t>قوله تعالى</w:t>
      </w:r>
      <w:r w:rsidR="000636C2">
        <w:rPr>
          <w:rFonts w:hint="cs"/>
          <w:rtl/>
        </w:rPr>
        <w:t>:</w:t>
      </w:r>
      <w:r>
        <w:rPr>
          <w:rFonts w:hint="cs"/>
          <w:rtl/>
        </w:rPr>
        <w:t xml:space="preserve"> </w:t>
      </w:r>
      <w:r w:rsidR="000636C2">
        <w:rPr>
          <w:rFonts w:hint="cs"/>
          <w:rtl/>
        </w:rPr>
        <w:t>{</w:t>
      </w:r>
      <w:r>
        <w:rPr>
          <w:rFonts w:hint="cs"/>
          <w:rtl/>
        </w:rPr>
        <w:t>بل يداه مبسوطتان</w:t>
      </w:r>
      <w:r w:rsidR="000636C2">
        <w:rPr>
          <w:rFonts w:hint="cs"/>
          <w:rtl/>
        </w:rPr>
        <w:t>}</w:t>
      </w:r>
      <w:r>
        <w:rPr>
          <w:rFonts w:hint="cs"/>
          <w:rtl/>
        </w:rPr>
        <w:t xml:space="preserve"> يدل ظاهرها على البسط وعدم القبض وهذه حالة المتشنج</w:t>
      </w:r>
      <w:r w:rsidR="000636C2">
        <w:rPr>
          <w:rFonts w:hint="cs"/>
          <w:vertAlign w:val="superscript"/>
          <w:rtl/>
        </w:rPr>
        <w:t>،</w:t>
      </w:r>
      <w:r>
        <w:rPr>
          <w:rFonts w:hint="cs"/>
          <w:bCs/>
          <w:rtl/>
        </w:rPr>
        <w:t xml:space="preserve"> </w:t>
      </w:r>
      <w:r>
        <w:rPr>
          <w:rFonts w:hint="cs"/>
          <w:rtl/>
        </w:rPr>
        <w:t>والمعنى الذي أراده اليهود بعيد عن ذلك</w:t>
      </w:r>
      <w:r w:rsidR="000636C2">
        <w:rPr>
          <w:rFonts w:hint="cs"/>
          <w:rtl/>
        </w:rPr>
        <w:t>،</w:t>
      </w:r>
      <w:r>
        <w:rPr>
          <w:rFonts w:hint="cs"/>
          <w:rtl/>
        </w:rPr>
        <w:t xml:space="preserve"> أرادوا بقولهم يد الله مغلولة أنه بخيل فكذبهم الله في ذلك وبين أنه جواد لا يبخل فأخبر أن يديه مبسوطتان كما قال</w:t>
      </w:r>
      <w:r w:rsidR="000636C2">
        <w:rPr>
          <w:rFonts w:hint="cs"/>
          <w:rtl/>
        </w:rPr>
        <w:t>:</w:t>
      </w:r>
      <w:r>
        <w:rPr>
          <w:rFonts w:hint="cs"/>
          <w:rtl/>
        </w:rPr>
        <w:t xml:space="preserve"> </w:t>
      </w:r>
      <w:r w:rsidR="000636C2">
        <w:rPr>
          <w:rFonts w:hint="cs"/>
          <w:rtl/>
        </w:rPr>
        <w:t>{</w:t>
      </w:r>
      <w:r>
        <w:rPr>
          <w:rFonts w:hint="cs"/>
          <w:rtl/>
        </w:rPr>
        <w:t>ولا تجعل يدك مغلولة إلى عنقك ولا تبسطها كل البسط فتقعد ملوماً محسورا</w:t>
      </w:r>
      <w:r w:rsidR="000636C2">
        <w:rPr>
          <w:rFonts w:hint="cs"/>
          <w:rtl/>
        </w:rPr>
        <w:t>}</w:t>
      </w:r>
      <w:r>
        <w:rPr>
          <w:rFonts w:hint="cs"/>
          <w:rtl/>
        </w:rPr>
        <w:t xml:space="preserve"> </w:t>
      </w:r>
      <w:r w:rsidR="000636C2">
        <w:rPr>
          <w:rFonts w:hint="cs"/>
          <w:rtl/>
        </w:rPr>
        <w:t>[</w:t>
      </w:r>
      <w:r>
        <w:rPr>
          <w:rFonts w:hint="cs"/>
          <w:rtl/>
        </w:rPr>
        <w:t>الإسراء</w:t>
      </w:r>
      <w:r w:rsidR="000636C2">
        <w:rPr>
          <w:rFonts w:hint="cs"/>
          <w:rtl/>
        </w:rPr>
        <w:t>:</w:t>
      </w:r>
      <w:r>
        <w:rPr>
          <w:rFonts w:hint="cs"/>
          <w:rtl/>
        </w:rPr>
        <w:t xml:space="preserve"> 29</w:t>
      </w:r>
      <w:r w:rsidR="000636C2">
        <w:rPr>
          <w:rFonts w:hint="cs"/>
          <w:rtl/>
        </w:rPr>
        <w:t xml:space="preserve">]، </w:t>
      </w:r>
      <w:r>
        <w:rPr>
          <w:rFonts w:hint="cs"/>
          <w:bCs/>
          <w:rtl/>
        </w:rPr>
        <w:t>فبسط اليدين المراد به الجود والعطاء، ليس المراد ما توهموه من بسط مجرد ولما كان العطاء باليد يكون ببسطها صار من المعروف في اللغة التعبير ببسط اليد عن العطاء</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يد الله فوق أيديهم</w:t>
      </w:r>
      <w:r w:rsidR="000636C2">
        <w:rPr>
          <w:rFonts w:hint="cs"/>
          <w:rtl/>
        </w:rPr>
        <w:t>}</w:t>
      </w:r>
      <w:r>
        <w:rPr>
          <w:rFonts w:hint="cs"/>
          <w:rtl/>
        </w:rPr>
        <w:t xml:space="preserve"> </w:t>
      </w:r>
      <w:r w:rsidR="000636C2">
        <w:rPr>
          <w:rFonts w:hint="cs"/>
          <w:rtl/>
        </w:rPr>
        <w:t>[</w:t>
      </w:r>
      <w:r>
        <w:rPr>
          <w:rFonts w:hint="cs"/>
          <w:rtl/>
        </w:rPr>
        <w:t>الفتح</w:t>
      </w:r>
      <w:r w:rsidR="000636C2">
        <w:rPr>
          <w:rFonts w:hint="cs"/>
          <w:rtl/>
        </w:rPr>
        <w:t>:</w:t>
      </w:r>
      <w:r>
        <w:rPr>
          <w:rFonts w:hint="cs"/>
          <w:rtl/>
        </w:rPr>
        <w:t xml:space="preserve"> 10</w:t>
      </w:r>
      <w:r w:rsidR="000636C2">
        <w:rPr>
          <w:rFonts w:hint="cs"/>
          <w:rtl/>
        </w:rPr>
        <w:t>]،</w:t>
      </w:r>
      <w:r>
        <w:rPr>
          <w:rFonts w:hint="cs"/>
          <w:rtl/>
        </w:rPr>
        <w:t xml:space="preserve"> وظاهر الآية وجود اليد فوق الأيادي بمحاذاتها</w:t>
      </w:r>
      <w:r w:rsidR="000636C2">
        <w:rPr>
          <w:rFonts w:hint="cs"/>
          <w:rtl/>
        </w:rPr>
        <w:t>،</w:t>
      </w:r>
      <w:r>
        <w:rPr>
          <w:rFonts w:hint="cs"/>
          <w:rtl/>
        </w:rPr>
        <w:t xml:space="preserve"> والمراد </w:t>
      </w:r>
      <w:r>
        <w:rPr>
          <w:rFonts w:hint="cs"/>
          <w:rtl/>
        </w:rPr>
        <w:lastRenderedPageBreak/>
        <w:t>الكناية عن الرضا عن البيعة وقبولها</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نسوا الله فنسيهم</w:t>
      </w:r>
      <w:r w:rsidR="000636C2">
        <w:rPr>
          <w:rFonts w:hint="cs"/>
          <w:rtl/>
        </w:rPr>
        <w:t>}</w:t>
      </w:r>
      <w:r>
        <w:rPr>
          <w:rFonts w:hint="cs"/>
          <w:rtl/>
        </w:rPr>
        <w:t xml:space="preserve"> </w:t>
      </w:r>
      <w:r w:rsidR="000636C2">
        <w:rPr>
          <w:rFonts w:hint="cs"/>
          <w:rtl/>
        </w:rPr>
        <w:t>[</w:t>
      </w:r>
      <w:r>
        <w:rPr>
          <w:rFonts w:hint="cs"/>
          <w:rtl/>
        </w:rPr>
        <w:t>التوبة</w:t>
      </w:r>
      <w:r w:rsidR="000636C2">
        <w:rPr>
          <w:rFonts w:hint="cs"/>
          <w:rtl/>
        </w:rPr>
        <w:t>:</w:t>
      </w:r>
      <w:r>
        <w:rPr>
          <w:rFonts w:hint="cs"/>
          <w:rtl/>
        </w:rPr>
        <w:t xml:space="preserve"> 67</w:t>
      </w:r>
      <w:r w:rsidR="000636C2">
        <w:rPr>
          <w:rFonts w:hint="cs"/>
          <w:rtl/>
        </w:rPr>
        <w:t>]،</w:t>
      </w:r>
      <w:r>
        <w:rPr>
          <w:rFonts w:hint="cs"/>
          <w:rtl/>
        </w:rPr>
        <w:t xml:space="preserve"> وظاهر الآية جواز النسيان على الله</w:t>
      </w:r>
      <w:r w:rsidR="000636C2">
        <w:rPr>
          <w:rFonts w:hint="cs"/>
          <w:rtl/>
        </w:rPr>
        <w:t>،</w:t>
      </w:r>
      <w:r>
        <w:rPr>
          <w:rFonts w:hint="cs"/>
          <w:rtl/>
        </w:rPr>
        <w:t xml:space="preserve"> ولكن هذا الظاهر ليس هو المراد</w:t>
      </w:r>
      <w:r w:rsidR="000636C2">
        <w:rPr>
          <w:rFonts w:hint="cs"/>
          <w:rtl/>
        </w:rPr>
        <w:t>،</w:t>
      </w:r>
      <w:r>
        <w:rPr>
          <w:rFonts w:hint="cs"/>
          <w:rtl/>
        </w:rPr>
        <w:t xml:space="preserve"> وإنما المعنى المراد هو تركهم في النار</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إِنَّ الَّذِينَ يُؤْذُونَ اللَّهَ</w:t>
      </w:r>
      <w:r w:rsidR="000636C2">
        <w:rPr>
          <w:rFonts w:hint="cs"/>
          <w:rtl/>
        </w:rPr>
        <w:t>}</w:t>
      </w:r>
      <w:r>
        <w:rPr>
          <w:rFonts w:hint="cs"/>
          <w:rtl/>
        </w:rPr>
        <w:t xml:space="preserve"> </w:t>
      </w:r>
      <w:r w:rsidR="000636C2">
        <w:rPr>
          <w:rFonts w:hint="cs"/>
          <w:rtl/>
        </w:rPr>
        <w:t>[</w:t>
      </w:r>
      <w:r>
        <w:rPr>
          <w:rFonts w:hint="cs"/>
          <w:rtl/>
        </w:rPr>
        <w:t>الأحزاب</w:t>
      </w:r>
      <w:r w:rsidR="000636C2">
        <w:rPr>
          <w:rFonts w:hint="cs"/>
          <w:rtl/>
        </w:rPr>
        <w:t>:</w:t>
      </w:r>
      <w:r>
        <w:rPr>
          <w:rFonts w:hint="cs"/>
          <w:rtl/>
        </w:rPr>
        <w:t xml:space="preserve"> 57</w:t>
      </w:r>
      <w:r w:rsidR="000636C2">
        <w:rPr>
          <w:rFonts w:hint="cs"/>
          <w:rtl/>
        </w:rPr>
        <w:t>]</w:t>
      </w:r>
      <w:r>
        <w:rPr>
          <w:rFonts w:hint="cs"/>
          <w:rtl/>
        </w:rPr>
        <w:t xml:space="preserve"> وظاهر الآية جواز إيذاء الله تعالى</w:t>
      </w:r>
      <w:r w:rsidR="000636C2">
        <w:rPr>
          <w:rFonts w:hint="cs"/>
          <w:rtl/>
        </w:rPr>
        <w:t>،</w:t>
      </w:r>
      <w:r>
        <w:rPr>
          <w:rFonts w:hint="cs"/>
          <w:rtl/>
        </w:rPr>
        <w:t xml:space="preserve"> وهو محال والمقصود أولياء الله والمؤمنين بالله</w:t>
      </w:r>
      <w:r w:rsidR="000636C2">
        <w:rPr>
          <w:rFonts w:hint="cs"/>
          <w:rtl/>
        </w:rPr>
        <w:t>،</w:t>
      </w:r>
      <w:r>
        <w:rPr>
          <w:rFonts w:hint="cs"/>
          <w:rtl/>
        </w:rPr>
        <w:t xml:space="preserve"> وأتباع رسول الله صلى الله عليه وسلم</w:t>
      </w:r>
      <w:r w:rsidR="000636C2">
        <w:rPr>
          <w:rFonts w:hint="cs"/>
          <w:rtl/>
        </w:rPr>
        <w:t>،</w:t>
      </w:r>
      <w:r>
        <w:rPr>
          <w:rFonts w:hint="cs"/>
          <w:rtl/>
          <w:lang w:eastAsia="ar-SA"/>
        </w:rPr>
        <w:t xml:space="preserve"> </w:t>
      </w:r>
      <w:r>
        <w:rPr>
          <w:rFonts w:hint="cs"/>
          <w:rtl/>
        </w:rPr>
        <w:t>وقوله تعالى</w:t>
      </w:r>
      <w:r w:rsidR="000636C2">
        <w:rPr>
          <w:rFonts w:hint="cs"/>
          <w:rtl/>
        </w:rPr>
        <w:t>:</w:t>
      </w:r>
      <w:r>
        <w:rPr>
          <w:rFonts w:hint="cs"/>
          <w:rtl/>
        </w:rPr>
        <w:t xml:space="preserve"> </w:t>
      </w:r>
      <w:r w:rsidR="000636C2">
        <w:rPr>
          <w:rFonts w:hint="cs"/>
          <w:rtl/>
        </w:rPr>
        <w:t>{</w:t>
      </w:r>
      <w:r>
        <w:rPr>
          <w:rFonts w:hint="cs"/>
          <w:rtl/>
        </w:rPr>
        <w:t>أَمْ حَسِبْتُمْ أَنْ تَدْخُلُوا الْجَنَّةَ وَلَمَّا يَعْلَمِ اللَّهُ الَّذِينَ جَاهَدُوا مِنْكُمْ وَيَعْلَمَ الصَّابِرِينَ</w:t>
      </w:r>
      <w:r w:rsidR="000636C2">
        <w:rPr>
          <w:rFonts w:hint="cs"/>
          <w:rtl/>
        </w:rPr>
        <w:t>}</w:t>
      </w:r>
      <w:r>
        <w:rPr>
          <w:rFonts w:hint="cs"/>
          <w:rtl/>
        </w:rPr>
        <w:t xml:space="preserve"> </w:t>
      </w:r>
      <w:r w:rsidR="000636C2">
        <w:rPr>
          <w:rFonts w:hint="cs"/>
          <w:rtl/>
        </w:rPr>
        <w:t>[</w:t>
      </w:r>
      <w:r>
        <w:rPr>
          <w:rFonts w:hint="cs"/>
          <w:rtl/>
        </w:rPr>
        <w:t>آل عمران</w:t>
      </w:r>
      <w:r w:rsidR="000636C2">
        <w:rPr>
          <w:rFonts w:hint="cs"/>
          <w:rtl/>
        </w:rPr>
        <w:t>:</w:t>
      </w:r>
      <w:r>
        <w:rPr>
          <w:rFonts w:hint="cs"/>
          <w:rtl/>
        </w:rPr>
        <w:t xml:space="preserve"> 142</w:t>
      </w:r>
      <w:r w:rsidR="000636C2">
        <w:rPr>
          <w:rFonts w:hint="cs"/>
          <w:rtl/>
        </w:rPr>
        <w:t>]،</w:t>
      </w:r>
      <w:r>
        <w:rPr>
          <w:rFonts w:hint="cs"/>
          <w:rtl/>
        </w:rPr>
        <w:t xml:space="preserve"> وظاهر الآية نفي علم الله تعالى القديم</w:t>
      </w:r>
      <w:r w:rsidR="000636C2">
        <w:rPr>
          <w:rFonts w:hint="cs"/>
          <w:rtl/>
        </w:rPr>
        <w:t>،</w:t>
      </w:r>
      <w:r>
        <w:rPr>
          <w:rFonts w:hint="cs"/>
          <w:rtl/>
        </w:rPr>
        <w:t xml:space="preserve"> وهو محال</w:t>
      </w:r>
      <w:r w:rsidR="000636C2">
        <w:rPr>
          <w:rFonts w:hint="cs"/>
          <w:rtl/>
        </w:rPr>
        <w:t>،</w:t>
      </w:r>
      <w:r>
        <w:rPr>
          <w:rFonts w:hint="cs"/>
          <w:rtl/>
          <w:lang w:eastAsia="ar-SA"/>
        </w:rPr>
        <w:t xml:space="preserve"> </w:t>
      </w:r>
      <w:r>
        <w:rPr>
          <w:rFonts w:hint="cs"/>
          <w:rtl/>
        </w:rPr>
        <w:t>وقوله صلى الله عليه وسلم</w:t>
      </w:r>
      <w:r w:rsidR="000636C2">
        <w:rPr>
          <w:rFonts w:hint="cs"/>
          <w:rtl/>
        </w:rPr>
        <w:t>:</w:t>
      </w:r>
      <w:r>
        <w:rPr>
          <w:rFonts w:hint="cs"/>
          <w:rtl/>
        </w:rPr>
        <w:t xml:space="preserve"> (</w:t>
      </w:r>
      <w:r w:rsidR="000636C2">
        <w:rPr>
          <w:rFonts w:hint="cs"/>
          <w:rtl/>
        </w:rPr>
        <w:t>(</w:t>
      </w:r>
      <w:r>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sidR="000636C2">
        <w:rPr>
          <w:rFonts w:hint="cs"/>
          <w:rtl/>
        </w:rPr>
        <w:t>،</w:t>
      </w:r>
      <w:r>
        <w:rPr>
          <w:rFonts w:hint="cs"/>
          <w:rtl/>
        </w:rPr>
        <w:t xml:space="preserve"> اللهم أنت الأول فليس قبلك شيء وأنت الآخر فليس بعدك شيء وأنت الظاهر فليس</w:t>
      </w:r>
      <w:r w:rsidR="000636C2">
        <w:rPr>
          <w:rFonts w:hint="cs"/>
          <w:rtl/>
        </w:rPr>
        <w:t xml:space="preserve"> </w:t>
      </w:r>
      <w:r>
        <w:rPr>
          <w:rFonts w:hint="cs"/>
          <w:rtl/>
        </w:rPr>
        <w:t>فوقك شيء وأنت الباطن فليس دونك شيء))</w:t>
      </w:r>
      <w:r w:rsidR="000636C2">
        <w:rPr>
          <w:rFonts w:hint="cs"/>
          <w:rtl/>
        </w:rPr>
        <w:t xml:space="preserve"> [</w:t>
      </w:r>
      <w:r>
        <w:rPr>
          <w:rFonts w:hint="cs"/>
          <w:rtl/>
        </w:rPr>
        <w:t>أخرجه مسلم 4 /2084(2713) وهو في سنن الترمذي 5/518(3481) وسنن أبي داود 4/312(5051)</w:t>
      </w:r>
      <w:r w:rsidR="000636C2">
        <w:rPr>
          <w:rFonts w:hint="cs"/>
          <w:rtl/>
        </w:rPr>
        <w:t>]،</w:t>
      </w:r>
      <w:r>
        <w:rPr>
          <w:rFonts w:hint="cs"/>
          <w:rtl/>
        </w:rPr>
        <w:t xml:space="preserve"> ففي هذا الحديث مقابلة بين وصف الله عز وجل بأنه الظاهر الذي ليس فوقه شيء وبين وصفِه تعالى بأنه الباطن الذي ليس دونه شيء</w:t>
      </w:r>
      <w:r w:rsidR="000636C2">
        <w:rPr>
          <w:rFonts w:hint="cs"/>
          <w:rtl/>
        </w:rPr>
        <w:t xml:space="preserve">، </w:t>
      </w:r>
      <w:r>
        <w:rPr>
          <w:rFonts w:hint="cs"/>
          <w:rtl/>
        </w:rPr>
        <w:t>فلا ينبغي أن نختار</w:t>
      </w:r>
      <w:r w:rsidR="000636C2">
        <w:rPr>
          <w:rFonts w:hint="cs"/>
          <w:rtl/>
        </w:rPr>
        <w:t xml:space="preserve"> </w:t>
      </w:r>
      <w:r>
        <w:rPr>
          <w:rFonts w:hint="cs"/>
          <w:rtl/>
        </w:rPr>
        <w:t xml:space="preserve">في الوصف الأول </w:t>
      </w:r>
      <w:r w:rsidR="000636C2">
        <w:rPr>
          <w:rFonts w:hint="cs"/>
          <w:rtl/>
        </w:rPr>
        <w:t>(</w:t>
      </w:r>
      <w:r>
        <w:rPr>
          <w:rFonts w:hint="cs"/>
          <w:rtl/>
        </w:rPr>
        <w:t>الظاهر فليس فوقه شيء</w:t>
      </w:r>
      <w:r w:rsidR="000636C2">
        <w:rPr>
          <w:rFonts w:hint="cs"/>
          <w:rtl/>
        </w:rPr>
        <w:t>)</w:t>
      </w:r>
      <w:r>
        <w:rPr>
          <w:rFonts w:hint="cs"/>
          <w:rtl/>
        </w:rPr>
        <w:t xml:space="preserve"> المسلك الظاهر </w:t>
      </w:r>
      <w:r w:rsidR="000636C2">
        <w:rPr>
          <w:rFonts w:hint="cs"/>
          <w:rtl/>
        </w:rPr>
        <w:t>(</w:t>
      </w:r>
      <w:r>
        <w:rPr>
          <w:rFonts w:hint="cs"/>
          <w:rtl/>
        </w:rPr>
        <w:t>اثبات العلو الحسي</w:t>
      </w:r>
      <w:r w:rsidR="000636C2">
        <w:rPr>
          <w:rFonts w:hint="cs"/>
          <w:rtl/>
        </w:rPr>
        <w:t xml:space="preserve">) </w:t>
      </w:r>
      <w:r>
        <w:rPr>
          <w:rFonts w:hint="cs"/>
          <w:rtl/>
        </w:rPr>
        <w:t>وفي الوصف الآخر (الباطن فليس دونك شيء</w:t>
      </w:r>
      <w:r w:rsidR="000636C2">
        <w:rPr>
          <w:rFonts w:hint="cs"/>
          <w:rtl/>
        </w:rPr>
        <w:t xml:space="preserve">) </w:t>
      </w:r>
      <w:r>
        <w:rPr>
          <w:rFonts w:hint="cs"/>
          <w:rtl/>
        </w:rPr>
        <w:t xml:space="preserve">مسلك التأويل والمجاز </w:t>
      </w:r>
      <w:r w:rsidR="000636C2">
        <w:rPr>
          <w:rFonts w:hint="cs"/>
          <w:rtl/>
        </w:rPr>
        <w:t>(</w:t>
      </w:r>
      <w:r>
        <w:rPr>
          <w:rFonts w:hint="cs"/>
          <w:rtl/>
        </w:rPr>
        <w:t>الكناية عن القرب والإحاطة بالعلم والسمع والبصر</w:t>
      </w:r>
      <w:r w:rsidR="000636C2">
        <w:rPr>
          <w:rFonts w:hint="cs"/>
          <w:rtl/>
        </w:rPr>
        <w:t>)،</w:t>
      </w:r>
      <w:r>
        <w:rPr>
          <w:rFonts w:hint="cs"/>
          <w:rtl/>
        </w:rPr>
        <w:t xml:space="preserve"> </w:t>
      </w:r>
      <w:r>
        <w:rPr>
          <w:rFonts w:hint="cs"/>
          <w:bCs/>
          <w:rtl/>
        </w:rPr>
        <w:t>قال ابن عثيمين</w:t>
      </w:r>
      <w:r w:rsidR="000636C2">
        <w:rPr>
          <w:rFonts w:hint="cs"/>
          <w:bCs/>
          <w:rtl/>
        </w:rPr>
        <w:t>:</w:t>
      </w:r>
      <w:r>
        <w:rPr>
          <w:rFonts w:hint="cs"/>
          <w:rtl/>
        </w:rPr>
        <w:t xml:space="preserve"> </w:t>
      </w:r>
      <w:r w:rsidR="000636C2">
        <w:rPr>
          <w:rFonts w:hint="cs"/>
          <w:rtl/>
        </w:rPr>
        <w:t>(</w:t>
      </w:r>
      <w:r>
        <w:rPr>
          <w:rFonts w:hint="cs"/>
          <w:rtl/>
        </w:rPr>
        <w:t xml:space="preserve">الظاهر من الظهور وهو العلو… الباطن </w:t>
      </w:r>
      <w:r>
        <w:rPr>
          <w:rFonts w:hint="cs"/>
          <w:bCs/>
          <w:rtl/>
        </w:rPr>
        <w:t>كناية</w:t>
      </w:r>
      <w:r>
        <w:rPr>
          <w:rFonts w:hint="cs"/>
          <w:rtl/>
        </w:rPr>
        <w:t xml:space="preserve"> عن إحاطته بكل شيء ولكن المعنى أنه مع علوه فهو باطن فعلوه لا ينافي قربه عز وجل </w:t>
      </w:r>
      <w:r>
        <w:rPr>
          <w:rFonts w:hint="cs"/>
          <w:bCs/>
          <w:rtl/>
        </w:rPr>
        <w:t>فالباطن قريب من معنى القريب</w:t>
      </w:r>
      <w:r w:rsidR="000636C2">
        <w:rPr>
          <w:rFonts w:hint="cs"/>
          <w:rtl/>
        </w:rPr>
        <w:t>)</w:t>
      </w:r>
      <w:r>
        <w:rPr>
          <w:rFonts w:hint="cs"/>
          <w:rtl/>
        </w:rPr>
        <w:t xml:space="preserve"> أهـ </w:t>
      </w:r>
      <w:r w:rsidR="000636C2">
        <w:rPr>
          <w:rFonts w:hint="cs"/>
          <w:rtl/>
        </w:rPr>
        <w:t>[</w:t>
      </w:r>
      <w:r>
        <w:rPr>
          <w:rFonts w:hint="cs"/>
          <w:rtl/>
        </w:rPr>
        <w:t>المحاضرات السنية لابن عثيمين 1/142</w:t>
      </w:r>
      <w:r w:rsidR="000636C2">
        <w:rPr>
          <w:rFonts w:hint="cs"/>
          <w:rtl/>
        </w:rPr>
        <w:t>]،</w:t>
      </w:r>
      <w:r>
        <w:rPr>
          <w:rFonts w:hint="cs"/>
          <w:rtl/>
        </w:rPr>
        <w:t xml:space="preserve"> فجعل الوصف الأول على ظاهره</w:t>
      </w:r>
      <w:r w:rsidR="000636C2">
        <w:rPr>
          <w:rFonts w:hint="cs"/>
          <w:rtl/>
        </w:rPr>
        <w:t>،</w:t>
      </w:r>
      <w:r>
        <w:rPr>
          <w:rFonts w:hint="cs"/>
          <w:rtl/>
        </w:rPr>
        <w:t xml:space="preserve"> وجعل الوصف الثاني كناية ومجازا</w:t>
      </w:r>
      <w:r w:rsidR="000636C2">
        <w:rPr>
          <w:rFonts w:hint="cs"/>
          <w:rtl/>
        </w:rPr>
        <w:t>،</w:t>
      </w:r>
      <w:r>
        <w:rPr>
          <w:rFonts w:hint="cs"/>
          <w:rtl/>
        </w:rPr>
        <w:t xml:space="preserve"> وإنما ألجئه إلى ذلك علمه بأن الله تعالى لا يصح وصفه بالسفل الحسي</w:t>
      </w:r>
      <w:r w:rsidR="000636C2">
        <w:rPr>
          <w:rFonts w:hint="cs"/>
          <w:rtl/>
        </w:rPr>
        <w:t>،</w:t>
      </w:r>
      <w:r>
        <w:rPr>
          <w:rFonts w:hint="cs"/>
          <w:rtl/>
        </w:rPr>
        <w:t xml:space="preserve"> وعلماء الأصول المتخصصون في العقيدة</w:t>
      </w:r>
      <w:r w:rsidR="000636C2">
        <w:rPr>
          <w:rFonts w:hint="cs"/>
          <w:rtl/>
        </w:rPr>
        <w:t>،</w:t>
      </w:r>
      <w:r>
        <w:rPr>
          <w:rFonts w:hint="cs"/>
          <w:rtl/>
        </w:rPr>
        <w:t xml:space="preserve"> يعلمون بسبب تخصصهم في هذا العلم</w:t>
      </w:r>
      <w:r w:rsidR="000636C2">
        <w:rPr>
          <w:rFonts w:hint="cs"/>
          <w:rtl/>
        </w:rPr>
        <w:t>،</w:t>
      </w:r>
      <w:r>
        <w:rPr>
          <w:rFonts w:hint="cs"/>
          <w:rtl/>
        </w:rPr>
        <w:t xml:space="preserve"> أنّه يجب اثبات صفة العلو لله تعالى</w:t>
      </w:r>
      <w:r w:rsidR="000636C2">
        <w:rPr>
          <w:rFonts w:hint="cs"/>
          <w:rtl/>
        </w:rPr>
        <w:t>،</w:t>
      </w:r>
      <w:r>
        <w:rPr>
          <w:rFonts w:hint="cs"/>
          <w:rtl/>
        </w:rPr>
        <w:t xml:space="preserve"> ولكن على سبيل علو المكانة لا المكان</w:t>
      </w:r>
      <w:r w:rsidR="000636C2">
        <w:rPr>
          <w:rFonts w:hint="cs"/>
          <w:rtl/>
        </w:rPr>
        <w:t>،</w:t>
      </w:r>
      <w:r>
        <w:rPr>
          <w:rFonts w:hint="cs"/>
          <w:rtl/>
        </w:rPr>
        <w:t xml:space="preserve"> ويعلمون أنّه يستحيل وصف الله تعالى بالعلو المكاني ولا بالسفل المكاني لأنّ كل الأماكن عند الله تعالى سواء</w:t>
      </w:r>
      <w:r w:rsidR="000636C2">
        <w:rPr>
          <w:rFonts w:hint="cs"/>
          <w:rtl/>
        </w:rPr>
        <w:t>،</w:t>
      </w:r>
      <w:r>
        <w:rPr>
          <w:rFonts w:hint="cs"/>
          <w:rtl/>
        </w:rPr>
        <w:t xml:space="preserve"> هو القريب من كل شيء</w:t>
      </w:r>
      <w:r w:rsidR="000636C2">
        <w:rPr>
          <w:rFonts w:hint="cs"/>
          <w:rtl/>
        </w:rPr>
        <w:t>،</w:t>
      </w:r>
      <w:r>
        <w:rPr>
          <w:rFonts w:hint="cs"/>
          <w:rtl/>
        </w:rPr>
        <w:t xml:space="preserve"> فليس شيء منها بعيد عن الله</w:t>
      </w:r>
      <w:r w:rsidR="000636C2">
        <w:rPr>
          <w:rFonts w:hint="cs"/>
          <w:rtl/>
        </w:rPr>
        <w:t>،</w:t>
      </w:r>
      <w:r>
        <w:rPr>
          <w:rFonts w:hint="cs"/>
          <w:rtl/>
        </w:rPr>
        <w:t xml:space="preserve"> وهو المحيط بكل شيء وهو القاهر لكل شيء</w:t>
      </w:r>
      <w:r w:rsidR="000636C2">
        <w:rPr>
          <w:rFonts w:hint="cs"/>
          <w:rtl/>
        </w:rPr>
        <w:t>،</w:t>
      </w:r>
      <w:r>
        <w:rPr>
          <w:rFonts w:hint="cs"/>
          <w:rtl/>
        </w:rPr>
        <w:t xml:space="preserve"> ويعلمون أنّ المعنى المقصود من الحديث (وأنت الظاهر فليس</w:t>
      </w:r>
      <w:r w:rsidR="000636C2">
        <w:rPr>
          <w:rFonts w:hint="cs"/>
          <w:rtl/>
        </w:rPr>
        <w:t xml:space="preserve"> </w:t>
      </w:r>
      <w:r>
        <w:rPr>
          <w:rFonts w:hint="cs"/>
          <w:rtl/>
        </w:rPr>
        <w:t>فوقك شيء وأنت الباطن فليس دونك شيء</w:t>
      </w:r>
      <w:r w:rsidR="000636C2">
        <w:rPr>
          <w:rFonts w:hint="cs"/>
          <w:rtl/>
        </w:rPr>
        <w:t>)</w:t>
      </w:r>
      <w:r>
        <w:rPr>
          <w:rFonts w:hint="cs"/>
          <w:rtl/>
        </w:rPr>
        <w:t xml:space="preserve"> هو الإشارة إلى تنزهه تعالى عن الوجود المكاني</w:t>
      </w:r>
      <w:r w:rsidR="000636C2">
        <w:rPr>
          <w:rFonts w:hint="cs"/>
          <w:rtl/>
        </w:rPr>
        <w:t>،</w:t>
      </w:r>
      <w:r>
        <w:rPr>
          <w:rFonts w:hint="cs"/>
          <w:rtl/>
        </w:rPr>
        <w:t xml:space="preserve"> لأن الظاهر الذي لا يكون شيءٌ فوقه إذا كان هو الباطن الذي لا شيءَ دونه فلا يُعقل أن يكون مختصاً بالمكان</w:t>
      </w:r>
      <w:r w:rsidR="000636C2">
        <w:rPr>
          <w:rFonts w:hint="cs"/>
          <w:rtl/>
        </w:rPr>
        <w:t>،</w:t>
      </w:r>
      <w:r>
        <w:rPr>
          <w:rFonts w:hint="cs"/>
          <w:rtl/>
        </w:rPr>
        <w:t xml:space="preserve"> وغير هذا الفهم تحكم بغير </w:t>
      </w:r>
      <w:r>
        <w:rPr>
          <w:rFonts w:hint="cs"/>
          <w:rtl/>
        </w:rPr>
        <w:lastRenderedPageBreak/>
        <w:t>دليل</w:t>
      </w:r>
      <w:r w:rsidR="000636C2">
        <w:rPr>
          <w:rFonts w:hint="cs"/>
          <w:rtl/>
        </w:rPr>
        <w:t>،</w:t>
      </w:r>
      <w:r>
        <w:rPr>
          <w:rFonts w:hint="cs"/>
          <w:rtl/>
        </w:rPr>
        <w:t xml:space="preserve"> أما اثبات الظاهر في شطر الحديث</w:t>
      </w:r>
      <w:r w:rsidR="000636C2">
        <w:rPr>
          <w:rFonts w:hint="cs"/>
          <w:rtl/>
        </w:rPr>
        <w:t>،</w:t>
      </w:r>
      <w:r>
        <w:rPr>
          <w:rFonts w:hint="cs"/>
          <w:rtl/>
        </w:rPr>
        <w:t xml:space="preserve"> واثبات المجاز </w:t>
      </w:r>
      <w:r w:rsidR="000636C2">
        <w:rPr>
          <w:rFonts w:hint="cs"/>
          <w:rtl/>
        </w:rPr>
        <w:t>(</w:t>
      </w:r>
      <w:r>
        <w:rPr>
          <w:rFonts w:hint="cs"/>
          <w:rtl/>
        </w:rPr>
        <w:t>الكناية</w:t>
      </w:r>
      <w:r w:rsidR="000636C2">
        <w:rPr>
          <w:rFonts w:hint="cs"/>
          <w:rtl/>
        </w:rPr>
        <w:t>)</w:t>
      </w:r>
      <w:r>
        <w:rPr>
          <w:rFonts w:hint="cs"/>
          <w:rtl/>
        </w:rPr>
        <w:t xml:space="preserve"> في الشطر الآخر فهذا هو التناقض</w:t>
      </w:r>
      <w:r w:rsidR="000636C2">
        <w:rPr>
          <w:rFonts w:hint="cs"/>
          <w:rtl/>
        </w:rPr>
        <w:t>،</w:t>
      </w:r>
      <w:r>
        <w:rPr>
          <w:rFonts w:hint="cs"/>
          <w:rtl/>
        </w:rPr>
        <w:t xml:space="preserve"> وهذا هو التحكم بغير دليل</w:t>
      </w:r>
      <w:r w:rsidR="000636C2">
        <w:rPr>
          <w:rFonts w:hint="cs"/>
          <w:rtl/>
        </w:rPr>
        <w:t>،</w:t>
      </w:r>
      <w:r>
        <w:rPr>
          <w:rFonts w:hint="cs"/>
          <w:rtl/>
        </w:rPr>
        <w:t xml:space="preserve"> </w:t>
      </w:r>
    </w:p>
    <w:p w14:paraId="0005FA23" w14:textId="77777777" w:rsidR="009C32A0" w:rsidRDefault="009C32A0" w:rsidP="000636C2">
      <w:pPr>
        <w:widowControl w:val="0"/>
        <w:spacing w:before="80"/>
        <w:ind w:left="-58"/>
        <w:jc w:val="center"/>
        <w:rPr>
          <w:b/>
          <w:bCs/>
          <w:rtl/>
          <w:lang w:bidi="ar-KW"/>
        </w:rPr>
      </w:pPr>
      <w:r>
        <w:rPr>
          <w:rFonts w:hint="cs"/>
          <w:bCs/>
          <w:rtl/>
          <w:lang w:bidi="ar-KW"/>
        </w:rPr>
        <w:t>***</w:t>
      </w:r>
    </w:p>
    <w:p w14:paraId="0059B92E" w14:textId="77777777" w:rsidR="009C32A0" w:rsidRDefault="009C32A0" w:rsidP="000636C2">
      <w:pPr>
        <w:widowControl w:val="0"/>
        <w:spacing w:before="80"/>
        <w:ind w:left="-58"/>
        <w:jc w:val="center"/>
        <w:rPr>
          <w:b/>
          <w:bCs/>
          <w:rtl/>
          <w:lang w:bidi="ar-KW"/>
        </w:rPr>
      </w:pPr>
      <w:r>
        <w:rPr>
          <w:rFonts w:cs="Monotype Koufi" w:hint="cs"/>
          <w:rtl/>
        </w:rPr>
        <w:t xml:space="preserve">ما يدل على جواز التأويل المقبول الذي أجازه الأشاعرة والماتريدية أنّه تأويل ناشئ عن ضرورة </w:t>
      </w:r>
    </w:p>
    <w:p w14:paraId="0D21D07D" w14:textId="2E2BA4EB" w:rsidR="009C32A0" w:rsidRDefault="009C32A0" w:rsidP="000636C2">
      <w:pPr>
        <w:widowControl w:val="0"/>
        <w:spacing w:before="80"/>
        <w:ind w:left="-58"/>
        <w:rPr>
          <w:b/>
          <w:bCs/>
          <w:rtl/>
          <w:lang w:bidi="ar-KW"/>
        </w:rPr>
      </w:pPr>
      <w:r>
        <w:rPr>
          <w:rFonts w:hint="cs"/>
          <w:rtl/>
          <w:lang w:bidi="ar-KW"/>
        </w:rPr>
        <w:t xml:space="preserve">الأصل في مذهب </w:t>
      </w:r>
      <w:r w:rsidR="000636C2">
        <w:rPr>
          <w:rFonts w:hint="cs"/>
          <w:rtl/>
          <w:lang w:bidi="ar-KW"/>
        </w:rPr>
        <w:t>(</w:t>
      </w:r>
      <w:r>
        <w:rPr>
          <w:rFonts w:hint="cs"/>
          <w:rtl/>
          <w:lang w:bidi="ar-KW"/>
        </w:rPr>
        <w:t>الأشاعرة والماتريدية</w:t>
      </w:r>
      <w:r w:rsidR="000636C2">
        <w:rPr>
          <w:rFonts w:hint="cs"/>
          <w:rtl/>
          <w:lang w:bidi="ar-KW"/>
        </w:rPr>
        <w:t>)</w:t>
      </w:r>
      <w:r>
        <w:rPr>
          <w:rFonts w:hint="cs"/>
          <w:rtl/>
          <w:lang w:bidi="ar-KW"/>
        </w:rPr>
        <w:t xml:space="preserve"> هو مذهب السلف الحقيقي الصحيح</w:t>
      </w:r>
      <w:r w:rsidR="000636C2">
        <w:rPr>
          <w:rFonts w:hint="cs"/>
          <w:rtl/>
          <w:lang w:bidi="ar-KW"/>
        </w:rPr>
        <w:t>،</w:t>
      </w:r>
      <w:r>
        <w:rPr>
          <w:rFonts w:hint="cs"/>
          <w:rtl/>
          <w:lang w:bidi="ar-KW"/>
        </w:rPr>
        <w:t xml:space="preserve"> والمتمثل في الإيمان بما ورد به الكتاب والسنة من المتشابه على مراد الله تعالى ومراد رسوله صلى الله عليه وسلم</w:t>
      </w:r>
      <w:r w:rsidR="000636C2">
        <w:rPr>
          <w:rFonts w:hint="cs"/>
          <w:rtl/>
          <w:lang w:bidi="ar-KW"/>
        </w:rPr>
        <w:t>،</w:t>
      </w:r>
      <w:r>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sidR="000636C2">
        <w:rPr>
          <w:rFonts w:hint="cs"/>
          <w:rtl/>
          <w:lang w:bidi="ar-KW"/>
        </w:rPr>
        <w:t>،</w:t>
      </w:r>
      <w:r>
        <w:rPr>
          <w:rFonts w:hint="cs"/>
          <w:rtl/>
          <w:lang w:bidi="ar-KW"/>
        </w:rPr>
        <w:t xml:space="preserve"> </w:t>
      </w:r>
      <w:r>
        <w:rPr>
          <w:rFonts w:hint="cs"/>
          <w:bCs/>
          <w:rtl/>
          <w:lang w:bidi="ar-KW"/>
        </w:rPr>
        <w:t>ولكن قد يلجأ علماء الأصول إلى التأويل</w:t>
      </w:r>
      <w:r w:rsidR="000636C2">
        <w:rPr>
          <w:rFonts w:hint="cs"/>
          <w:rtl/>
          <w:lang w:bidi="ar-KW"/>
        </w:rPr>
        <w:t>:</w:t>
      </w:r>
      <w:r>
        <w:rPr>
          <w:rFonts w:hint="cs"/>
          <w:rtl/>
          <w:lang w:bidi="ar-KW"/>
        </w:rPr>
        <w:t xml:space="preserve"> لضرورة الرد على أهل البدع من المجسمة والمشبهة والحشوية الجاهلين بقواعد التقديس</w:t>
      </w:r>
      <w:r w:rsidR="000636C2">
        <w:rPr>
          <w:rFonts w:hint="cs"/>
          <w:rtl/>
          <w:lang w:bidi="ar-KW"/>
        </w:rPr>
        <w:t>،</w:t>
      </w:r>
      <w:r>
        <w:rPr>
          <w:rFonts w:hint="cs"/>
          <w:rtl/>
          <w:lang w:bidi="ar-KW"/>
        </w:rPr>
        <w:t xml:space="preserve"> أو عند انتشار التشبيه والتمثيل بين العامة الذين لا يفهمون البلاغة والمجاز في القرآن والسنّة</w:t>
      </w:r>
      <w:r w:rsidR="000636C2">
        <w:rPr>
          <w:rFonts w:hint="cs"/>
          <w:rtl/>
          <w:lang w:bidi="ar-KW"/>
        </w:rPr>
        <w:t>،</w:t>
      </w:r>
      <w:r>
        <w:rPr>
          <w:rFonts w:hint="cs"/>
          <w:rtl/>
          <w:lang w:bidi="ar-KW"/>
        </w:rPr>
        <w:t xml:space="preserve"> بل يحملون الألفاظ على معانيها الظاهرة</w:t>
      </w:r>
      <w:r w:rsidR="000636C2">
        <w:rPr>
          <w:rFonts w:hint="cs"/>
          <w:rtl/>
          <w:lang w:bidi="ar-KW"/>
        </w:rPr>
        <w:t>،</w:t>
      </w:r>
      <w:r>
        <w:rPr>
          <w:rFonts w:hint="cs"/>
          <w:rtl/>
          <w:lang w:bidi="ar-KW"/>
        </w:rPr>
        <w:t xml:space="preserve"> فآنذاك يكون التأويل مطلوباً لقطع دابر البدع والمحدثات</w:t>
      </w:r>
      <w:r w:rsidR="000636C2">
        <w:rPr>
          <w:rFonts w:hint="cs"/>
          <w:rtl/>
          <w:lang w:bidi="ar-KW"/>
        </w:rPr>
        <w:t>،</w:t>
      </w:r>
      <w:r>
        <w:rPr>
          <w:rFonts w:hint="cs"/>
          <w:rtl/>
          <w:lang w:bidi="ar-KW"/>
        </w:rPr>
        <w:t xml:space="preserve"> </w:t>
      </w:r>
      <w:r>
        <w:rPr>
          <w:rFonts w:hint="cs"/>
          <w:bCs/>
          <w:rtl/>
          <w:lang w:bidi="ar-KW"/>
        </w:rPr>
        <w:t>قال الإمام عدي بن مسافر الشامي</w:t>
      </w:r>
      <w:r w:rsidR="000636C2">
        <w:rPr>
          <w:rFonts w:hint="cs"/>
          <w:rtl/>
          <w:lang w:bidi="ar-KW"/>
        </w:rPr>
        <w:t>:</w:t>
      </w:r>
      <w:r>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Pr>
          <w:rFonts w:hint="cs"/>
          <w:bCs/>
          <w:rtl/>
          <w:lang w:bidi="ar-KW"/>
        </w:rPr>
        <w:t xml:space="preserve">)" </w:t>
      </w:r>
      <w:r>
        <w:rPr>
          <w:rFonts w:hint="cs"/>
          <w:rtl/>
          <w:lang w:bidi="ar-KW"/>
        </w:rPr>
        <w:t xml:space="preserve">اهـ. </w:t>
      </w:r>
      <w:r w:rsidR="000636C2">
        <w:rPr>
          <w:rFonts w:hint="cs"/>
          <w:rtl/>
          <w:lang w:bidi="ar-KW"/>
        </w:rPr>
        <w:t>[</w:t>
      </w:r>
      <w:r>
        <w:rPr>
          <w:rFonts w:hint="cs"/>
          <w:rtl/>
          <w:lang w:bidi="ar-KW"/>
        </w:rPr>
        <w:t>اعتقاد أهل السنة والجماعة ص</w:t>
      </w:r>
      <w:r w:rsidR="000636C2">
        <w:rPr>
          <w:rFonts w:hint="cs"/>
          <w:rtl/>
          <w:lang w:bidi="ar-KW"/>
        </w:rPr>
        <w:t>:</w:t>
      </w:r>
      <w:r>
        <w:rPr>
          <w:rFonts w:hint="cs"/>
          <w:rtl/>
          <w:lang w:bidi="ar-KW"/>
        </w:rPr>
        <w:t xml:space="preserve"> 26</w:t>
      </w:r>
      <w:r w:rsidR="000636C2">
        <w:rPr>
          <w:rFonts w:hint="cs"/>
          <w:rtl/>
          <w:lang w:bidi="ar-KW"/>
        </w:rPr>
        <w:t>]،</w:t>
      </w:r>
      <w:r>
        <w:rPr>
          <w:rFonts w:hint="cs"/>
          <w:rtl/>
          <w:lang w:bidi="ar-KW"/>
        </w:rPr>
        <w:t xml:space="preserve"> </w:t>
      </w:r>
      <w:r>
        <w:rPr>
          <w:rFonts w:hint="cs"/>
          <w:bCs/>
          <w:rtl/>
          <w:lang w:bidi="ar-KW"/>
        </w:rPr>
        <w:t>وقال العلامة ملا على القاري</w:t>
      </w:r>
      <w:r w:rsidR="000636C2">
        <w:rPr>
          <w:rFonts w:hint="cs"/>
          <w:rtl/>
          <w:lang w:bidi="ar-KW"/>
        </w:rPr>
        <w:t>:</w:t>
      </w:r>
      <w:r>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0636C2">
        <w:rPr>
          <w:rFonts w:hint="cs"/>
          <w:rtl/>
          <w:lang w:bidi="ar-KW"/>
        </w:rPr>
        <w:t>:</w:t>
      </w:r>
      <w:r>
        <w:rPr>
          <w:rFonts w:hint="cs"/>
          <w:rtl/>
          <w:lang w:bidi="ar-KW"/>
        </w:rPr>
        <w:t xml:space="preserve"> لو كنا على ما كان عليه السلف الصالح من صفاء العقائد وعدم المبطلين في زمنهم لم نخض في تأويل شيء من ذلك) اهـ. </w:t>
      </w:r>
      <w:r w:rsidR="000636C2">
        <w:rPr>
          <w:rFonts w:hint="cs"/>
          <w:rtl/>
          <w:lang w:bidi="ar-KW"/>
        </w:rPr>
        <w:t>[</w:t>
      </w:r>
      <w:r>
        <w:rPr>
          <w:rFonts w:hint="cs"/>
          <w:rtl/>
          <w:lang w:bidi="ar-KW"/>
        </w:rPr>
        <w:t>مرقاة المفاتيح 2 / 136</w:t>
      </w:r>
      <w:r w:rsidR="000636C2">
        <w:rPr>
          <w:rFonts w:hint="cs"/>
          <w:rtl/>
          <w:lang w:bidi="ar-KW"/>
        </w:rPr>
        <w:t>]</w:t>
      </w:r>
      <w:r>
        <w:rPr>
          <w:rFonts w:hint="cs"/>
          <w:rtl/>
          <w:lang w:bidi="ar-KW"/>
        </w:rPr>
        <w:t xml:space="preserve"> </w:t>
      </w:r>
      <w:r>
        <w:rPr>
          <w:rFonts w:hint="cs"/>
          <w:bCs/>
          <w:rtl/>
          <w:lang w:bidi="ar-KW"/>
        </w:rPr>
        <w:t>وقال الحافظ بن حجر</w:t>
      </w:r>
      <w:r w:rsidR="000636C2">
        <w:rPr>
          <w:rFonts w:hint="cs"/>
          <w:rtl/>
          <w:lang w:bidi="ar-KW"/>
        </w:rPr>
        <w:t>:</w:t>
      </w:r>
      <w:r>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sidR="000636C2">
        <w:rPr>
          <w:rFonts w:hint="cs"/>
          <w:rtl/>
          <w:lang w:bidi="ar-KW"/>
        </w:rPr>
        <w:t>[</w:t>
      </w:r>
      <w:r>
        <w:rPr>
          <w:rFonts w:hint="cs"/>
          <w:rtl/>
          <w:lang w:bidi="ar-KW"/>
        </w:rPr>
        <w:t>مرقاة المفاتيح 1/134</w:t>
      </w:r>
      <w:r w:rsidR="000636C2">
        <w:rPr>
          <w:rFonts w:hint="cs"/>
          <w:rtl/>
          <w:lang w:bidi="ar-KW"/>
        </w:rPr>
        <w:t>]،</w:t>
      </w:r>
      <w:r>
        <w:rPr>
          <w:rFonts w:hint="cs"/>
          <w:rtl/>
          <w:lang w:bidi="ar-KW"/>
        </w:rPr>
        <w:t xml:space="preserve"> و</w:t>
      </w:r>
      <w:r>
        <w:rPr>
          <w:rFonts w:hint="cs"/>
          <w:bCs/>
          <w:rtl/>
          <w:lang w:bidi="ar-KW"/>
        </w:rPr>
        <w:t>قال الإمام النووي</w:t>
      </w:r>
      <w:r w:rsidR="000636C2">
        <w:rPr>
          <w:rFonts w:hint="cs"/>
          <w:rtl/>
          <w:lang w:bidi="ar-KW"/>
        </w:rPr>
        <w:t>:</w:t>
      </w:r>
      <w:r>
        <w:rPr>
          <w:rFonts w:hint="cs"/>
          <w:rtl/>
          <w:lang w:bidi="ar-KW"/>
        </w:rPr>
        <w:t xml:space="preserve"> " (فإن دعت الحاجة إلى التأويل لرد مبتدع ونحوه تأوّلوا حينئذ، وعلى هذا يحمل ما جاء عن العلماء في هذا </w:t>
      </w:r>
      <w:r>
        <w:rPr>
          <w:rFonts w:hint="cs"/>
          <w:rtl/>
          <w:lang w:bidi="ar-KW"/>
        </w:rPr>
        <w:lastRenderedPageBreak/>
        <w:t>- أي التأويل - "</w:t>
      </w:r>
      <w:r w:rsidR="000636C2">
        <w:rPr>
          <w:rFonts w:hint="cs"/>
          <w:rtl/>
          <w:lang w:bidi="ar-KW"/>
        </w:rPr>
        <w:t xml:space="preserve"> </w:t>
      </w:r>
      <w:r>
        <w:rPr>
          <w:rFonts w:hint="cs"/>
          <w:rtl/>
          <w:lang w:bidi="ar-KW"/>
        </w:rPr>
        <w:t xml:space="preserve">اهـ. </w:t>
      </w:r>
      <w:r w:rsidR="000636C2">
        <w:rPr>
          <w:rFonts w:hint="cs"/>
          <w:rtl/>
          <w:lang w:bidi="ar-KW"/>
        </w:rPr>
        <w:t>[</w:t>
      </w:r>
      <w:r>
        <w:rPr>
          <w:rFonts w:hint="cs"/>
          <w:rtl/>
          <w:lang w:bidi="ar-KW"/>
        </w:rPr>
        <w:t>المجموع 1 / 25</w:t>
      </w:r>
      <w:r w:rsidR="000636C2">
        <w:rPr>
          <w:rFonts w:hint="cs"/>
          <w:rtl/>
          <w:lang w:bidi="ar-KW"/>
        </w:rPr>
        <w:t>]،</w:t>
      </w:r>
      <w:r>
        <w:rPr>
          <w:rFonts w:hint="cs"/>
          <w:rtl/>
          <w:lang w:bidi="ar-KW"/>
        </w:rPr>
        <w:t xml:space="preserve"> </w:t>
      </w:r>
      <w:r>
        <w:rPr>
          <w:rFonts w:hint="cs"/>
          <w:bCs/>
          <w:rtl/>
          <w:lang w:bidi="ar-KW"/>
        </w:rPr>
        <w:t>وقال العلامة ملا علي القاري</w:t>
      </w:r>
      <w:r w:rsidR="000636C2">
        <w:rPr>
          <w:rFonts w:hint="cs"/>
          <w:bCs/>
          <w:rtl/>
          <w:lang w:bidi="ar-KW"/>
        </w:rPr>
        <w:t>:</w:t>
      </w:r>
      <w:r>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sidR="000636C2">
        <w:rPr>
          <w:rFonts w:hint="cs"/>
          <w:rtl/>
          <w:lang w:bidi="ar-KW"/>
        </w:rPr>
        <w:t>[</w:t>
      </w:r>
      <w:r>
        <w:rPr>
          <w:rFonts w:hint="cs"/>
          <w:rtl/>
          <w:lang w:bidi="ar-KW"/>
        </w:rPr>
        <w:t>مرقاة المفاتيح 1/ 189]</w:t>
      </w:r>
      <w:r w:rsidR="000636C2">
        <w:rPr>
          <w:rFonts w:hint="cs"/>
          <w:rtl/>
          <w:lang w:bidi="ar-KW"/>
        </w:rPr>
        <w:t>،</w:t>
      </w:r>
      <w:r>
        <w:rPr>
          <w:rFonts w:hint="cs"/>
          <w:rtl/>
          <w:lang w:bidi="ar-KW"/>
        </w:rPr>
        <w:t xml:space="preserve"> </w:t>
      </w:r>
      <w:r>
        <w:rPr>
          <w:rFonts w:hint="cs"/>
          <w:bCs/>
          <w:rtl/>
          <w:lang w:bidi="ar-KW"/>
        </w:rPr>
        <w:t>وقال الإمام العز بن عبد السلام</w:t>
      </w:r>
      <w:r w:rsidR="000636C2">
        <w:rPr>
          <w:rFonts w:hint="cs"/>
          <w:rtl/>
          <w:lang w:bidi="ar-KW"/>
        </w:rPr>
        <w:t>:</w:t>
      </w:r>
      <w:r>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sidR="000636C2">
        <w:rPr>
          <w:rFonts w:hint="cs"/>
          <w:rtl/>
          <w:lang w:bidi="ar-KW"/>
        </w:rPr>
        <w:t>[</w:t>
      </w:r>
      <w:r>
        <w:rPr>
          <w:rFonts w:hint="cs"/>
          <w:rtl/>
          <w:lang w:bidi="ar-KW"/>
        </w:rPr>
        <w:t>فتاوى العز بن عبد السلام ص / 22</w:t>
      </w:r>
      <w:r w:rsidR="000636C2">
        <w:rPr>
          <w:rFonts w:hint="cs"/>
          <w:rtl/>
          <w:lang w:bidi="ar-KW"/>
        </w:rPr>
        <w:t>]،</w:t>
      </w:r>
      <w:r>
        <w:rPr>
          <w:rFonts w:hint="cs"/>
          <w:rtl/>
          <w:lang w:bidi="ar-KW"/>
        </w:rPr>
        <w:t xml:space="preserve"> وعلى ذلك فالأشاعرة و مثلهم الماتريدية</w:t>
      </w:r>
      <w:r w:rsidR="000636C2">
        <w:rPr>
          <w:rFonts w:hint="cs"/>
          <w:rtl/>
          <w:lang w:bidi="ar-KW"/>
        </w:rPr>
        <w:t xml:space="preserve"> </w:t>
      </w:r>
      <w:r>
        <w:rPr>
          <w:rFonts w:hint="cs"/>
          <w:rtl/>
          <w:lang w:bidi="ar-KW"/>
        </w:rPr>
        <w:t>لم يخالفوا السلف في الاعتقاد وإنما ألجأهم إلى التأويل ضرورة الرد على أهل البدع وصرف أذهان العامة عن التشبيه والتجسيم</w:t>
      </w:r>
      <w:r w:rsidR="000636C2">
        <w:rPr>
          <w:rFonts w:hint="cs"/>
          <w:rtl/>
          <w:lang w:bidi="ar-KW"/>
        </w:rPr>
        <w:t>،</w:t>
      </w:r>
      <w:r>
        <w:rPr>
          <w:rFonts w:hint="cs"/>
          <w:rtl/>
          <w:lang w:bidi="ar-KW"/>
        </w:rPr>
        <w:t xml:space="preserve"> </w:t>
      </w:r>
    </w:p>
    <w:p w14:paraId="65480413" w14:textId="77777777" w:rsidR="009C32A0" w:rsidRDefault="009C32A0" w:rsidP="000636C2">
      <w:pPr>
        <w:widowControl w:val="0"/>
        <w:spacing w:before="80"/>
        <w:ind w:left="-58"/>
        <w:jc w:val="center"/>
        <w:rPr>
          <w:b/>
          <w:bCs/>
          <w:rtl/>
          <w:lang w:bidi="ar-KW"/>
        </w:rPr>
      </w:pPr>
      <w:r>
        <w:rPr>
          <w:rFonts w:hint="cs"/>
          <w:bCs/>
          <w:rtl/>
          <w:lang w:bidi="ar-KW"/>
        </w:rPr>
        <w:t>***</w:t>
      </w:r>
    </w:p>
    <w:p w14:paraId="16D1284F" w14:textId="27F9A588" w:rsidR="009C32A0" w:rsidRDefault="009C32A0" w:rsidP="000636C2">
      <w:pPr>
        <w:widowControl w:val="0"/>
        <w:spacing w:before="80"/>
        <w:ind w:left="-58"/>
        <w:jc w:val="center"/>
        <w:rPr>
          <w:rFonts w:cs="Monotype Koufi"/>
          <w:b/>
          <w:rtl/>
        </w:rPr>
      </w:pPr>
      <w:r>
        <w:rPr>
          <w:rFonts w:cs="Monotype Koufi" w:hint="cs"/>
          <w:rtl/>
        </w:rPr>
        <w:t>ما يدل على جواز التأويل المقبول الذي أجازه الأشاعرة والماتريدية أنّه ليس تأويل بالهوى كما يفعل أهل البدع</w:t>
      </w:r>
      <w:r w:rsidR="000636C2">
        <w:rPr>
          <w:rFonts w:cs="Monotype Koufi" w:hint="cs"/>
          <w:rtl/>
        </w:rPr>
        <w:t>،</w:t>
      </w:r>
      <w:r>
        <w:rPr>
          <w:rFonts w:cs="Monotype Koufi" w:hint="cs"/>
          <w:rtl/>
        </w:rPr>
        <w:t xml:space="preserve"> بل هو تأويل له ضوابط دقيقة تضبطه</w:t>
      </w:r>
    </w:p>
    <w:p w14:paraId="710419F7" w14:textId="6DE54E47" w:rsidR="009C32A0" w:rsidRDefault="009C32A0" w:rsidP="000636C2">
      <w:pPr>
        <w:widowControl w:val="0"/>
        <w:spacing w:before="80"/>
        <w:ind w:left="-58"/>
        <w:rPr>
          <w:b/>
          <w:rtl/>
          <w:lang w:bidi="ar-KW"/>
        </w:rPr>
      </w:pPr>
      <w:r>
        <w:rPr>
          <w:rFonts w:hint="cs"/>
          <w:rtl/>
        </w:rPr>
        <w:t>المقصود بالتأويل عند الأشاعرة والماتريدية هو صرف اللفظ عن الاحتمال الراجح إلى الاحتمال المرجوح لاعتضاده بدليل يدل على أن مراد المتكلم بكلامه ذلك الاحتمال المرجوح</w:t>
      </w:r>
      <w:r w:rsidR="000636C2">
        <w:rPr>
          <w:rFonts w:hint="cs"/>
          <w:rtl/>
        </w:rPr>
        <w:t>،</w:t>
      </w:r>
      <w:r>
        <w:rPr>
          <w:rFonts w:hint="cs"/>
          <w:rtl/>
        </w:rPr>
        <w:t xml:space="preserve"> وللتأويل عندهم أقسام ثلاثة</w:t>
      </w:r>
      <w:r w:rsidR="000636C2">
        <w:rPr>
          <w:rFonts w:hint="cs"/>
          <w:rtl/>
        </w:rPr>
        <w:t>:</w:t>
      </w:r>
      <w:r>
        <w:rPr>
          <w:rFonts w:hint="cs"/>
          <w:rtl/>
        </w:rPr>
        <w:t xml:space="preserve"> الأول التأويل الصحيح وهو التأويل الذي يصار إليه بدليل مع استيفاء شروطه</w:t>
      </w:r>
      <w:r w:rsidR="000636C2">
        <w:rPr>
          <w:rFonts w:hint="cs"/>
          <w:rtl/>
        </w:rPr>
        <w:t>،</w:t>
      </w:r>
      <w:r>
        <w:rPr>
          <w:rFonts w:hint="cs"/>
          <w:rtl/>
        </w:rPr>
        <w:t xml:space="preserve"> والثاني</w:t>
      </w:r>
      <w:r w:rsidR="000636C2">
        <w:rPr>
          <w:rFonts w:hint="cs"/>
          <w:rtl/>
        </w:rPr>
        <w:t>:</w:t>
      </w:r>
      <w:r>
        <w:rPr>
          <w:rFonts w:hint="cs"/>
          <w:rtl/>
        </w:rPr>
        <w:t xml:space="preserve"> التأويل الفاسد</w:t>
      </w:r>
      <w:r w:rsidR="000636C2">
        <w:rPr>
          <w:rFonts w:hint="cs"/>
          <w:rtl/>
        </w:rPr>
        <w:t>:</w:t>
      </w:r>
      <w:r>
        <w:rPr>
          <w:rFonts w:hint="cs"/>
          <w:rtl/>
        </w:rPr>
        <w:t xml:space="preserve"> وهو التأويل الذي يصار إليه بما يظنه المؤوِّل باعتقاده دليلاً، وهو ليس كذلك في الواقع ونفس الأمر</w:t>
      </w:r>
      <w:r w:rsidR="000636C2">
        <w:rPr>
          <w:rFonts w:hint="cs"/>
          <w:rtl/>
        </w:rPr>
        <w:t>،</w:t>
      </w:r>
      <w:r>
        <w:rPr>
          <w:rFonts w:hint="cs"/>
          <w:rtl/>
        </w:rPr>
        <w:t xml:space="preserve"> والثالث: التأويل الباطل المردود: وهو التأويل الذي يصار إليه بلا دليل، بل هو لعب، وعبث، وتحكم</w:t>
      </w:r>
      <w:r w:rsidR="000636C2">
        <w:rPr>
          <w:rFonts w:hint="cs"/>
          <w:rtl/>
        </w:rPr>
        <w:t>،</w:t>
      </w:r>
      <w:r>
        <w:rPr>
          <w:rFonts w:hint="cs"/>
          <w:rtl/>
        </w:rPr>
        <w:t xml:space="preserve"> وهو ما جنح إليه أصحاب الأهواء والاعتزال</w:t>
      </w:r>
      <w:r w:rsidR="000636C2">
        <w:rPr>
          <w:rFonts w:hint="cs"/>
          <w:rtl/>
        </w:rPr>
        <w:t>،</w:t>
      </w:r>
      <w:r>
        <w:rPr>
          <w:rFonts w:hint="cs"/>
          <w:rtl/>
        </w:rPr>
        <w:t xml:space="preserve"> ولو فتح باب هذا التأويل الباطل لأدى ذلك إلى ضياع الشريعة</w:t>
      </w:r>
      <w:r w:rsidR="000636C2">
        <w:rPr>
          <w:rFonts w:hint="cs"/>
          <w:rtl/>
        </w:rPr>
        <w:t>،</w:t>
      </w:r>
      <w:r>
        <w:rPr>
          <w:rFonts w:hint="cs"/>
          <w:rtl/>
        </w:rPr>
        <w:t xml:space="preserve"> أما شروط التأويل الصحيح التي يجب مراعاتها حتى يصح عندهم تتمثل في</w:t>
      </w:r>
      <w:r w:rsidR="000636C2">
        <w:rPr>
          <w:rFonts w:hint="cs"/>
          <w:rtl/>
        </w:rPr>
        <w:t>:</w:t>
      </w:r>
      <w:r>
        <w:rPr>
          <w:rFonts w:hint="cs"/>
          <w:rtl/>
        </w:rPr>
        <w:t xml:space="preserve"> </w:t>
      </w:r>
      <w:r w:rsidR="000636C2">
        <w:rPr>
          <w:rFonts w:hint="cs"/>
          <w:rtl/>
        </w:rPr>
        <w:t>(</w:t>
      </w:r>
      <w:r>
        <w:rPr>
          <w:rFonts w:hint="cs"/>
          <w:rtl/>
        </w:rPr>
        <w:t>أ</w:t>
      </w:r>
      <w:r w:rsidR="000636C2">
        <w:rPr>
          <w:rFonts w:hint="cs"/>
          <w:rtl/>
        </w:rPr>
        <w:t>)</w:t>
      </w:r>
      <w:r>
        <w:rPr>
          <w:rFonts w:hint="cs"/>
          <w:rtl/>
        </w:rPr>
        <w:t xml:space="preserve"> أن يكون التأويل موافقاً لوضع اللغة العربية</w:t>
      </w:r>
      <w:r w:rsidR="000636C2">
        <w:rPr>
          <w:rFonts w:hint="cs"/>
          <w:rtl/>
        </w:rPr>
        <w:t>،</w:t>
      </w:r>
      <w:r>
        <w:rPr>
          <w:rFonts w:hint="cs"/>
          <w:rtl/>
        </w:rPr>
        <w:t xml:space="preserve"> أو عرف الاستعمال</w:t>
      </w:r>
      <w:r w:rsidR="000636C2">
        <w:rPr>
          <w:rFonts w:hint="cs"/>
          <w:rtl/>
        </w:rPr>
        <w:t>،</w:t>
      </w:r>
      <w:r>
        <w:rPr>
          <w:rFonts w:hint="cs"/>
          <w:rtl/>
        </w:rPr>
        <w:t xml:space="preserve"> وكل تأويل خرج عن هذا فليس بصحيح، </w:t>
      </w:r>
      <w:r w:rsidR="000636C2">
        <w:rPr>
          <w:rFonts w:hint="cs"/>
          <w:rtl/>
        </w:rPr>
        <w:t>(</w:t>
      </w:r>
      <w:r>
        <w:rPr>
          <w:rFonts w:hint="cs"/>
          <w:rtl/>
        </w:rPr>
        <w:t>ب</w:t>
      </w:r>
      <w:r w:rsidR="000636C2">
        <w:rPr>
          <w:rFonts w:hint="cs"/>
          <w:rtl/>
        </w:rPr>
        <w:t>)</w:t>
      </w:r>
      <w:r>
        <w:rPr>
          <w:rFonts w:hint="cs"/>
          <w:rtl/>
        </w:rPr>
        <w:t xml:space="preserve"> وأن يستند التأويل إلى دليل صحيح يصرف اللفظ عن معناه الظاهر إلى غيره</w:t>
      </w:r>
      <w:r w:rsidR="000636C2">
        <w:rPr>
          <w:rFonts w:hint="cs"/>
          <w:rtl/>
        </w:rPr>
        <w:t>،</w:t>
      </w:r>
      <w:r>
        <w:rPr>
          <w:rFonts w:hint="cs"/>
          <w:rtl/>
        </w:rPr>
        <w:t xml:space="preserve"> فإذا انعدم الدليل بطل التأويل</w:t>
      </w:r>
      <w:r w:rsidR="000636C2">
        <w:rPr>
          <w:rFonts w:hint="cs"/>
          <w:rtl/>
        </w:rPr>
        <w:t>،</w:t>
      </w:r>
      <w:r>
        <w:rPr>
          <w:rFonts w:hint="cs"/>
          <w:rtl/>
        </w:rPr>
        <w:t xml:space="preserve"> </w:t>
      </w:r>
      <w:r w:rsidR="000636C2">
        <w:rPr>
          <w:rFonts w:hint="cs"/>
          <w:rtl/>
        </w:rPr>
        <w:t>(</w:t>
      </w:r>
      <w:r>
        <w:rPr>
          <w:rFonts w:hint="cs"/>
          <w:rtl/>
        </w:rPr>
        <w:t>ت</w:t>
      </w:r>
      <w:r w:rsidR="000636C2">
        <w:rPr>
          <w:rFonts w:hint="cs"/>
          <w:rtl/>
        </w:rPr>
        <w:t>)</w:t>
      </w:r>
      <w:r>
        <w:rPr>
          <w:rFonts w:hint="cs"/>
          <w:rtl/>
        </w:rPr>
        <w:t xml:space="preserve"> و</w:t>
      </w:r>
      <w:r>
        <w:rPr>
          <w:rFonts w:hint="cs"/>
          <w:rtl/>
          <w:lang w:bidi="ar-DZ"/>
        </w:rPr>
        <w:t>أن يكون اللفظ المراد تأويله قابلاً للتأويل وأن يحتمل اللفظ المعنى الذي أول إليه وإلاَّ كان التأويل فاسدًا</w:t>
      </w:r>
      <w:r w:rsidR="000636C2">
        <w:rPr>
          <w:rFonts w:hint="cs"/>
          <w:rtl/>
        </w:rPr>
        <w:t>،</w:t>
      </w:r>
      <w:r>
        <w:rPr>
          <w:rFonts w:hint="cs"/>
          <w:rtl/>
        </w:rPr>
        <w:t xml:space="preserve"> </w:t>
      </w:r>
      <w:r w:rsidR="000636C2">
        <w:rPr>
          <w:rFonts w:hint="cs"/>
          <w:rtl/>
        </w:rPr>
        <w:t>(</w:t>
      </w:r>
      <w:r>
        <w:rPr>
          <w:rFonts w:hint="cs"/>
          <w:rtl/>
        </w:rPr>
        <w:t>ث</w:t>
      </w:r>
      <w:r w:rsidR="000636C2">
        <w:rPr>
          <w:rFonts w:hint="cs"/>
          <w:rtl/>
        </w:rPr>
        <w:t>)</w:t>
      </w:r>
      <w:r>
        <w:rPr>
          <w:rFonts w:hint="cs"/>
          <w:rtl/>
        </w:rPr>
        <w:t xml:space="preserve"> وأن يكون هذا الدليل أقوى من الظاهر، وإلا فإن الأصل الأخذ بالظاهر</w:t>
      </w:r>
      <w:r w:rsidR="000636C2">
        <w:rPr>
          <w:rFonts w:hint="cs"/>
          <w:rtl/>
        </w:rPr>
        <w:t>،</w:t>
      </w:r>
      <w:r>
        <w:rPr>
          <w:rFonts w:hint="cs"/>
          <w:rtl/>
        </w:rPr>
        <w:t xml:space="preserve"> </w:t>
      </w:r>
      <w:r w:rsidR="000636C2">
        <w:rPr>
          <w:rFonts w:hint="cs"/>
          <w:rtl/>
        </w:rPr>
        <w:t>(</w:t>
      </w:r>
      <w:r>
        <w:rPr>
          <w:rFonts w:hint="cs"/>
          <w:rtl/>
        </w:rPr>
        <w:t>ج</w:t>
      </w:r>
      <w:r w:rsidR="000636C2">
        <w:rPr>
          <w:rFonts w:hint="cs"/>
          <w:rtl/>
        </w:rPr>
        <w:t>)</w:t>
      </w:r>
      <w:r>
        <w:rPr>
          <w:rFonts w:hint="cs"/>
          <w:rtl/>
        </w:rPr>
        <w:t xml:space="preserve"> </w:t>
      </w:r>
      <w:r>
        <w:rPr>
          <w:rFonts w:hint="cs"/>
          <w:rtl/>
        </w:rPr>
        <w:lastRenderedPageBreak/>
        <w:t>أن يستحيل حمل اللفظ على ظاهره</w:t>
      </w:r>
      <w:r w:rsidR="000636C2">
        <w:rPr>
          <w:rFonts w:hint="cs"/>
          <w:rtl/>
        </w:rPr>
        <w:t>،</w:t>
      </w:r>
      <w:r>
        <w:rPr>
          <w:rFonts w:hint="cs"/>
          <w:rtl/>
        </w:rPr>
        <w:t xml:space="preserve"> وإلا أدى إلى وقوع الخلل والخطأ</w:t>
      </w:r>
      <w:r w:rsidR="000636C2">
        <w:rPr>
          <w:rFonts w:hint="cs"/>
          <w:rtl/>
        </w:rPr>
        <w:t>،</w:t>
      </w:r>
      <w:r>
        <w:rPr>
          <w:rFonts w:hint="cs"/>
          <w:rtl/>
        </w:rPr>
        <w:t xml:space="preserve"> </w:t>
      </w:r>
      <w:r w:rsidR="000636C2">
        <w:rPr>
          <w:rFonts w:hint="cs"/>
          <w:rtl/>
        </w:rPr>
        <w:t>(</w:t>
      </w:r>
      <w:r>
        <w:rPr>
          <w:rFonts w:hint="cs"/>
          <w:rtl/>
        </w:rPr>
        <w:t>ح</w:t>
      </w:r>
      <w:r w:rsidR="000636C2">
        <w:rPr>
          <w:rFonts w:hint="cs"/>
          <w:rtl/>
        </w:rPr>
        <w:t>)</w:t>
      </w:r>
      <w:r>
        <w:rPr>
          <w:rFonts w:hint="cs"/>
          <w:rtl/>
        </w:rPr>
        <w:t xml:space="preserve"> أهلية الناظر للتأويل</w:t>
      </w:r>
      <w:r w:rsidR="000636C2">
        <w:rPr>
          <w:rFonts w:hint="cs"/>
          <w:rtl/>
        </w:rPr>
        <w:t>،</w:t>
      </w:r>
      <w:r>
        <w:rPr>
          <w:rFonts w:hint="cs"/>
          <w:rtl/>
        </w:rPr>
        <w:t xml:space="preserve"> وذلك بأن يكون متخصصاً صاحب دراية بالأصول والقواعد الأصولية والفقهية</w:t>
      </w:r>
      <w:r w:rsidR="000636C2">
        <w:rPr>
          <w:rFonts w:hint="cs"/>
          <w:rtl/>
        </w:rPr>
        <w:t>،</w:t>
      </w:r>
      <w:r>
        <w:rPr>
          <w:rFonts w:hint="cs"/>
          <w:rtl/>
        </w:rPr>
        <w:t xml:space="preserve"> وله ملكة فقهية تؤهله للنظر، و إلاَّ كان قائلاً على الله تعالى بلا علم</w:t>
      </w:r>
      <w:r w:rsidR="000636C2">
        <w:rPr>
          <w:rFonts w:hint="cs"/>
          <w:rtl/>
        </w:rPr>
        <w:t>،</w:t>
      </w:r>
      <w:r>
        <w:rPr>
          <w:rFonts w:hint="cs"/>
          <w:rtl/>
        </w:rPr>
        <w:t xml:space="preserve"> وبعد فتلك ضوابط التأويل عندهم</w:t>
      </w:r>
      <w:r w:rsidR="000636C2">
        <w:rPr>
          <w:rFonts w:hint="cs"/>
          <w:rtl/>
        </w:rPr>
        <w:t>،</w:t>
      </w:r>
      <w:r>
        <w:rPr>
          <w:rFonts w:hint="cs"/>
          <w:rtl/>
        </w:rPr>
        <w:t xml:space="preserve"> ولابد من اجتماعها جميعاً لجواز التأويل</w:t>
      </w:r>
      <w:r w:rsidR="000636C2">
        <w:rPr>
          <w:rFonts w:hint="cs"/>
          <w:rtl/>
        </w:rPr>
        <w:t>،</w:t>
      </w:r>
      <w:r>
        <w:rPr>
          <w:rFonts w:hint="cs"/>
          <w:rtl/>
        </w:rPr>
        <w:t xml:space="preserve"> وإن انتفى شرط واحد منها</w:t>
      </w:r>
      <w:r w:rsidR="000636C2">
        <w:rPr>
          <w:rFonts w:hint="cs"/>
          <w:rtl/>
        </w:rPr>
        <w:t>،</w:t>
      </w:r>
      <w:r>
        <w:rPr>
          <w:rFonts w:hint="cs"/>
          <w:rtl/>
        </w:rPr>
        <w:t xml:space="preserve"> لم يقبل التأويل</w:t>
      </w:r>
      <w:r w:rsidR="000636C2">
        <w:rPr>
          <w:rFonts w:hint="cs"/>
          <w:rtl/>
        </w:rPr>
        <w:t>،</w:t>
      </w:r>
      <w:r>
        <w:rPr>
          <w:rFonts w:hint="cs"/>
          <w:rtl/>
        </w:rPr>
        <w:t xml:space="preserve"> وهي كما ترى قمة الضبط في العقيدة والفقه في الدين</w:t>
      </w:r>
      <w:r w:rsidR="000636C2">
        <w:rPr>
          <w:rFonts w:hint="cs"/>
          <w:rtl/>
        </w:rPr>
        <w:t>،</w:t>
      </w:r>
      <w:r>
        <w:rPr>
          <w:rFonts w:hint="cs"/>
          <w:rtl/>
        </w:rPr>
        <w:t xml:space="preserve"> والاحتراز من التقول على الدين بغير علم</w:t>
      </w:r>
      <w:r w:rsidR="000636C2">
        <w:rPr>
          <w:rFonts w:hint="cs"/>
          <w:rtl/>
        </w:rPr>
        <w:t>،</w:t>
      </w:r>
      <w:r>
        <w:rPr>
          <w:rFonts w:hint="cs"/>
          <w:rtl/>
        </w:rPr>
        <w:t xml:space="preserve"> فأين هذا التأويل من تأويل أهل البدع الذين تجري الأهواء</w:t>
      </w:r>
      <w:r w:rsidR="000636C2">
        <w:rPr>
          <w:rFonts w:hint="cs"/>
          <w:rtl/>
        </w:rPr>
        <w:t xml:space="preserve"> </w:t>
      </w:r>
      <w:r>
        <w:rPr>
          <w:rFonts w:hint="cs"/>
          <w:rtl/>
        </w:rPr>
        <w:t>في نفوسهم ك</w:t>
      </w:r>
      <w:r>
        <w:rPr>
          <w:rFonts w:hint="cs"/>
          <w:rtl/>
          <w:lang w:bidi="ar-DZ"/>
        </w:rPr>
        <w:t>مجرى الدم في العروق</w:t>
      </w:r>
      <w:r w:rsidR="000636C2">
        <w:rPr>
          <w:rFonts w:hint="cs"/>
          <w:rtl/>
          <w:lang w:bidi="ar-DZ"/>
        </w:rPr>
        <w:t>،</w:t>
      </w:r>
      <w:r>
        <w:rPr>
          <w:rFonts w:hint="cs"/>
          <w:rtl/>
          <w:lang w:bidi="ar-KW"/>
        </w:rPr>
        <w:t xml:space="preserve"> </w:t>
      </w:r>
    </w:p>
    <w:p w14:paraId="45650C92" w14:textId="77777777" w:rsidR="009C32A0" w:rsidRDefault="009C32A0" w:rsidP="000636C2">
      <w:pPr>
        <w:widowControl w:val="0"/>
        <w:spacing w:before="80"/>
        <w:ind w:left="-58"/>
        <w:jc w:val="center"/>
        <w:rPr>
          <w:b/>
          <w:rtl/>
          <w:lang w:bidi="ar-KW"/>
        </w:rPr>
      </w:pPr>
      <w:r>
        <w:rPr>
          <w:rFonts w:hint="cs"/>
          <w:rtl/>
          <w:lang w:bidi="ar-KW"/>
        </w:rPr>
        <w:t xml:space="preserve">*** </w:t>
      </w:r>
    </w:p>
    <w:p w14:paraId="50A00FFC" w14:textId="77777777" w:rsidR="009C32A0" w:rsidRDefault="009C32A0" w:rsidP="000636C2">
      <w:pPr>
        <w:ind w:left="-58"/>
        <w:jc w:val="center"/>
        <w:rPr>
          <w:rFonts w:cs="Monotype Koufi"/>
          <w:b/>
          <w:rtl/>
        </w:rPr>
      </w:pPr>
      <w:r>
        <w:rPr>
          <w:rFonts w:cs="Monotype Koufi" w:hint="cs"/>
          <w:rtl/>
        </w:rPr>
        <w:t>جهود السادة الأشاعرة والماتريدية في إبراز قواعد التقديس والتنزيه المتعلقة بذات الله تعالى والمستمدة من أدلة الكتاب والسنّة والعقل الصريح</w:t>
      </w:r>
    </w:p>
    <w:p w14:paraId="2792134F" w14:textId="47999D2C" w:rsidR="009C32A0" w:rsidRDefault="000636C2" w:rsidP="000636C2">
      <w:pPr>
        <w:ind w:left="-58"/>
        <w:rPr>
          <w:b/>
          <w:rtl/>
          <w:lang w:bidi="ar-KW"/>
        </w:rPr>
      </w:pPr>
      <w:r>
        <w:rPr>
          <w:rFonts w:hint="cs"/>
          <w:bCs/>
          <w:rtl/>
        </w:rPr>
        <w:t>[</w:t>
      </w:r>
      <w:r w:rsidR="009C32A0">
        <w:rPr>
          <w:rFonts w:hint="cs"/>
          <w:bCs/>
          <w:rtl/>
        </w:rPr>
        <w:t>1</w:t>
      </w:r>
      <w:r>
        <w:rPr>
          <w:rFonts w:hint="cs"/>
          <w:bCs/>
          <w:rtl/>
        </w:rPr>
        <w:t>]:</w:t>
      </w:r>
      <w:r w:rsidR="009C32A0">
        <w:rPr>
          <w:rFonts w:hint="cs"/>
          <w:bCs/>
          <w:rtl/>
        </w:rPr>
        <w:t xml:space="preserve"> القاعدة الأولى</w:t>
      </w:r>
      <w:r>
        <w:rPr>
          <w:rFonts w:hint="cs"/>
          <w:bCs/>
          <w:rtl/>
        </w:rPr>
        <w:t>:</w:t>
      </w:r>
      <w:r w:rsidR="009C32A0">
        <w:rPr>
          <w:rFonts w:hint="cs"/>
          <w:bCs/>
          <w:rtl/>
        </w:rPr>
        <w:t xml:space="preserve"> تنزيه ذات الله تعالى عن الحد والمقدار الذي تتصف به ذات المخلوق</w:t>
      </w:r>
      <w:r>
        <w:rPr>
          <w:rFonts w:hint="cs"/>
          <w:bCs/>
          <w:rtl/>
        </w:rPr>
        <w:t>:</w:t>
      </w:r>
      <w:r>
        <w:rPr>
          <w:rFonts w:cs="Monotype Koufi" w:hint="cs"/>
          <w:rtl/>
        </w:rPr>
        <w:t xml:space="preserve"> </w:t>
      </w:r>
      <w:r w:rsidR="009C32A0">
        <w:rPr>
          <w:rFonts w:hint="cs"/>
          <w:rtl/>
        </w:rPr>
        <w:t>لا شك في أنّ أي شيء محدود له نهاية تحده</w:t>
      </w:r>
      <w:r>
        <w:rPr>
          <w:rFonts w:hint="cs"/>
          <w:rtl/>
        </w:rPr>
        <w:t>،</w:t>
      </w:r>
      <w:r w:rsidR="009C32A0">
        <w:rPr>
          <w:rFonts w:hint="cs"/>
          <w:rtl/>
        </w:rPr>
        <w:t xml:space="preserve"> والحد معناه التناهي</w:t>
      </w:r>
      <w:r>
        <w:rPr>
          <w:rFonts w:hint="cs"/>
          <w:rtl/>
        </w:rPr>
        <w:t>،</w:t>
      </w:r>
      <w:r w:rsidR="009C32A0">
        <w:rPr>
          <w:rFonts w:hint="cs"/>
          <w:rtl/>
        </w:rPr>
        <w:t xml:space="preserve"> والتناهي في ذات الله تعالى نقص لا يجوز وصف ذات الله تعالى به</w:t>
      </w:r>
      <w:r>
        <w:rPr>
          <w:rFonts w:hint="cs"/>
          <w:rtl/>
        </w:rPr>
        <w:t>،</w:t>
      </w:r>
      <w:r w:rsidR="009C32A0">
        <w:rPr>
          <w:rFonts w:hint="cs"/>
          <w:rtl/>
        </w:rPr>
        <w:t xml:space="preserve"> لأنّ الكمال أن لا يكون للشيء حد ونهاية ينتهي إليه</w:t>
      </w:r>
      <w:r>
        <w:rPr>
          <w:rFonts w:hint="cs"/>
          <w:rtl/>
        </w:rPr>
        <w:t>،</w:t>
      </w:r>
      <w:r w:rsidR="009C32A0">
        <w:rPr>
          <w:rFonts w:hint="cs"/>
          <w:rtl/>
        </w:rPr>
        <w:t xml:space="preserve"> وإلا جاز أن يكون فوقه ما هو أكبر منه</w:t>
      </w:r>
      <w:r>
        <w:rPr>
          <w:rFonts w:hint="cs"/>
          <w:rtl/>
        </w:rPr>
        <w:t>،</w:t>
      </w:r>
      <w:r w:rsidR="009C32A0">
        <w:rPr>
          <w:rFonts w:hint="cs"/>
          <w:rtl/>
        </w:rPr>
        <w:t xml:space="preserve"> والله تعالى أكبر من كل تصور</w:t>
      </w:r>
      <w:r>
        <w:rPr>
          <w:rFonts w:hint="cs"/>
          <w:rtl/>
        </w:rPr>
        <w:t>،</w:t>
      </w:r>
      <w:r w:rsidR="009C32A0">
        <w:rPr>
          <w:rFonts w:hint="cs"/>
          <w:rtl/>
        </w:rPr>
        <w:t xml:space="preserve"> وأكبر من كل حد</w:t>
      </w:r>
      <w:r>
        <w:rPr>
          <w:rFonts w:hint="cs"/>
          <w:rtl/>
        </w:rPr>
        <w:t>،</w:t>
      </w:r>
      <w:r w:rsidR="009C32A0">
        <w:rPr>
          <w:rFonts w:hint="cs"/>
          <w:rtl/>
        </w:rPr>
        <w:t xml:space="preserve"> وأكبر من كل مقدار</w:t>
      </w:r>
      <w:r>
        <w:rPr>
          <w:rFonts w:hint="cs"/>
          <w:rtl/>
        </w:rPr>
        <w:t>،</w:t>
      </w:r>
      <w:r w:rsidR="009C32A0">
        <w:rPr>
          <w:rFonts w:hint="cs"/>
          <w:rtl/>
        </w:rPr>
        <w:t xml:space="preserve"> وأكبر من كل نهاية</w:t>
      </w:r>
      <w:r>
        <w:rPr>
          <w:rFonts w:hint="cs"/>
          <w:rtl/>
        </w:rPr>
        <w:t>،</w:t>
      </w:r>
      <w:r w:rsidR="009C32A0">
        <w:rPr>
          <w:rFonts w:hint="cs"/>
          <w:rtl/>
        </w:rPr>
        <w:t xml:space="preserve"> وهو الكبير المتعال على الحدود</w:t>
      </w:r>
      <w:r>
        <w:rPr>
          <w:rFonts w:hint="cs"/>
          <w:rtl/>
        </w:rPr>
        <w:t>،</w:t>
      </w:r>
      <w:r w:rsidR="009C32A0">
        <w:rPr>
          <w:rFonts w:hint="cs"/>
          <w:rtl/>
        </w:rPr>
        <w:t xml:space="preserve"> القاهر لكل خلقه بما حدهم عليه من حدود</w:t>
      </w:r>
      <w:r>
        <w:rPr>
          <w:rFonts w:hint="cs"/>
          <w:rtl/>
        </w:rPr>
        <w:t>،</w:t>
      </w:r>
      <w:r w:rsidR="009C32A0">
        <w:rPr>
          <w:rFonts w:hint="cs"/>
          <w:rtl/>
        </w:rPr>
        <w:t xml:space="preserve"> فهو الذي حد الحدود على خلقه بقدرته</w:t>
      </w:r>
      <w:r>
        <w:rPr>
          <w:rFonts w:hint="cs"/>
          <w:rtl/>
        </w:rPr>
        <w:t>،</w:t>
      </w:r>
      <w:r w:rsidR="009C32A0">
        <w:rPr>
          <w:rFonts w:hint="cs"/>
          <w:rtl/>
        </w:rPr>
        <w:t xml:space="preserve"> وكتب النهايات على كل محدود</w:t>
      </w:r>
      <w:r>
        <w:rPr>
          <w:rFonts w:hint="cs"/>
          <w:rtl/>
        </w:rPr>
        <w:t>،</w:t>
      </w:r>
      <w:r w:rsidR="009C32A0">
        <w:rPr>
          <w:rFonts w:hint="cs"/>
          <w:rtl/>
        </w:rPr>
        <w:t xml:space="preserve"> ليدل بحده على أنّه مخلوق له خالق قهره بحد ونهاية لا يتجاوزها إلى غيرها</w:t>
      </w:r>
      <w:r>
        <w:rPr>
          <w:rFonts w:hint="cs"/>
          <w:rtl/>
        </w:rPr>
        <w:t>،</w:t>
      </w:r>
      <w:r w:rsidR="009C32A0">
        <w:rPr>
          <w:rFonts w:hint="cs"/>
          <w:rtl/>
        </w:rPr>
        <w:t xml:space="preserve"> وكل محدود مخلوق</w:t>
      </w:r>
      <w:r>
        <w:rPr>
          <w:rFonts w:hint="cs"/>
          <w:rtl/>
        </w:rPr>
        <w:t>،</w:t>
      </w:r>
      <w:r w:rsidR="009C32A0">
        <w:rPr>
          <w:rFonts w:hint="cs"/>
          <w:rtl/>
        </w:rPr>
        <w:t xml:space="preserve"> والخالق متعالي عن الحد والنهاية</w:t>
      </w:r>
      <w:r>
        <w:rPr>
          <w:rFonts w:hint="cs"/>
          <w:rtl/>
        </w:rPr>
        <w:t xml:space="preserve">، </w:t>
      </w:r>
      <w:r w:rsidR="009C32A0">
        <w:rPr>
          <w:rFonts w:hint="cs"/>
          <w:rtl/>
        </w:rPr>
        <w:t>لأنّ صفات الله تعالى لا تتناهى ولا حد لها</w:t>
      </w:r>
      <w:r>
        <w:rPr>
          <w:rFonts w:hint="cs"/>
          <w:rtl/>
        </w:rPr>
        <w:t>،</w:t>
      </w:r>
      <w:r w:rsidR="009C32A0">
        <w:rPr>
          <w:rFonts w:hint="cs"/>
          <w:rtl/>
        </w:rPr>
        <w:t xml:space="preserve"> فلا حد لعلمه</w:t>
      </w:r>
      <w:r>
        <w:rPr>
          <w:rFonts w:hint="cs"/>
          <w:rtl/>
        </w:rPr>
        <w:t>،</w:t>
      </w:r>
      <w:r w:rsidR="009C32A0">
        <w:rPr>
          <w:rFonts w:hint="cs"/>
          <w:rtl/>
        </w:rPr>
        <w:t xml:space="preserve"> ولا حد لقدرته</w:t>
      </w:r>
      <w:r>
        <w:rPr>
          <w:rFonts w:hint="cs"/>
          <w:rtl/>
        </w:rPr>
        <w:t>،</w:t>
      </w:r>
      <w:r w:rsidR="009C32A0">
        <w:rPr>
          <w:rFonts w:hint="cs"/>
          <w:rtl/>
        </w:rPr>
        <w:t xml:space="preserve"> ولا حد لرحمته</w:t>
      </w:r>
      <w:r>
        <w:rPr>
          <w:rFonts w:hint="cs"/>
          <w:rtl/>
        </w:rPr>
        <w:t>،</w:t>
      </w:r>
      <w:r w:rsidR="009C32A0">
        <w:rPr>
          <w:rFonts w:hint="cs"/>
          <w:rtl/>
        </w:rPr>
        <w:t xml:space="preserve"> ولا حد لعزته</w:t>
      </w:r>
      <w:r>
        <w:rPr>
          <w:rFonts w:hint="cs"/>
          <w:rtl/>
        </w:rPr>
        <w:t>،</w:t>
      </w:r>
      <w:r w:rsidR="009C32A0">
        <w:rPr>
          <w:rFonts w:hint="cs"/>
          <w:rtl/>
        </w:rPr>
        <w:t xml:space="preserve"> ومن كانت تلك صفاته</w:t>
      </w:r>
      <w:r>
        <w:rPr>
          <w:rFonts w:hint="cs"/>
          <w:rtl/>
        </w:rPr>
        <w:t>،</w:t>
      </w:r>
      <w:r w:rsidR="009C32A0">
        <w:rPr>
          <w:rFonts w:hint="cs"/>
          <w:rtl/>
        </w:rPr>
        <w:t xml:space="preserve"> فلا حد لذاته</w:t>
      </w:r>
      <w:r>
        <w:rPr>
          <w:rFonts w:hint="cs"/>
          <w:rtl/>
        </w:rPr>
        <w:t>،</w:t>
      </w:r>
      <w:r w:rsidR="009C32A0">
        <w:rPr>
          <w:rFonts w:hint="cs"/>
          <w:rtl/>
        </w:rPr>
        <w:t xml:space="preserve"> ومن الأدلة على تنزيه الله تعالى عن الحد والنهاية والمقدار ما يلي</w:t>
      </w:r>
      <w:r>
        <w:rPr>
          <w:rFonts w:hint="cs"/>
          <w:rtl/>
        </w:rPr>
        <w:t>:</w:t>
      </w:r>
      <w:r w:rsidR="009C32A0">
        <w:rPr>
          <w:rFonts w:hint="cs"/>
          <w:rtl/>
        </w:rPr>
        <w:t xml:space="preserve"> </w:t>
      </w:r>
      <w:r>
        <w:rPr>
          <w:rFonts w:hint="cs"/>
          <w:rtl/>
        </w:rPr>
        <w:t>(</w:t>
      </w:r>
      <w:r w:rsidR="009C32A0">
        <w:rPr>
          <w:rFonts w:hint="cs"/>
          <w:rtl/>
        </w:rPr>
        <w:t>أ</w:t>
      </w:r>
      <w:r>
        <w:rPr>
          <w:rFonts w:hint="cs"/>
          <w:rtl/>
        </w:rPr>
        <w:t>)</w:t>
      </w:r>
      <w:r w:rsidR="009C32A0">
        <w:rPr>
          <w:rFonts w:hint="cs"/>
          <w:rtl/>
        </w:rPr>
        <w:t xml:space="preserve"> الله تعالى هو </w:t>
      </w:r>
      <w:r>
        <w:rPr>
          <w:rFonts w:hint="cs"/>
          <w:rtl/>
        </w:rPr>
        <w:t>{</w:t>
      </w:r>
      <w:r w:rsidR="009C32A0">
        <w:rPr>
          <w:rFonts w:hint="cs"/>
          <w:rtl/>
        </w:rPr>
        <w:t>الواحد القهار</w:t>
      </w:r>
      <w:r>
        <w:rPr>
          <w:rFonts w:hint="cs"/>
          <w:rtl/>
        </w:rPr>
        <w:t>}،</w:t>
      </w:r>
      <w:r w:rsidR="009C32A0">
        <w:rPr>
          <w:rFonts w:hint="cs"/>
          <w:rtl/>
        </w:rPr>
        <w:t xml:space="preserve"> وقد تكرر ذكر </w:t>
      </w:r>
      <w:r>
        <w:rPr>
          <w:rFonts w:hint="cs"/>
          <w:rtl/>
        </w:rPr>
        <w:t>{</w:t>
      </w:r>
      <w:r w:rsidR="009C32A0">
        <w:rPr>
          <w:rFonts w:hint="cs"/>
          <w:rtl/>
        </w:rPr>
        <w:t>الواحد القهار</w:t>
      </w:r>
      <w:r>
        <w:rPr>
          <w:rFonts w:hint="cs"/>
          <w:rtl/>
        </w:rPr>
        <w:t>}</w:t>
      </w:r>
      <w:r w:rsidR="009C32A0">
        <w:rPr>
          <w:rFonts w:hint="cs"/>
          <w:rtl/>
        </w:rPr>
        <w:t xml:space="preserve"> في القرآن الكريم في ستة مواضع</w:t>
      </w:r>
      <w:r>
        <w:rPr>
          <w:rFonts w:hint="cs"/>
          <w:rtl/>
        </w:rPr>
        <w:t>،</w:t>
      </w:r>
      <w:r w:rsidR="009C32A0">
        <w:rPr>
          <w:rFonts w:hint="cs"/>
          <w:rtl/>
        </w:rPr>
        <w:t xml:space="preserve"> هي</w:t>
      </w:r>
      <w:r>
        <w:rPr>
          <w:rFonts w:hint="cs"/>
          <w:rtl/>
        </w:rPr>
        <w:t xml:space="preserve"> </w:t>
      </w:r>
      <w:r w:rsidR="009C32A0">
        <w:rPr>
          <w:rFonts w:hint="cs"/>
          <w:rtl/>
        </w:rPr>
        <w:t>قوله تعالى</w:t>
      </w:r>
      <w:r>
        <w:rPr>
          <w:rFonts w:hint="cs"/>
          <w:rtl/>
        </w:rPr>
        <w:t>:</w:t>
      </w:r>
      <w:r w:rsidR="009C32A0">
        <w:rPr>
          <w:rFonts w:hint="cs"/>
          <w:rtl/>
        </w:rPr>
        <w:t xml:space="preserve"> </w:t>
      </w:r>
      <w:r>
        <w:rPr>
          <w:rFonts w:hint="cs"/>
          <w:rtl/>
        </w:rPr>
        <w:t>{</w:t>
      </w:r>
      <w:r w:rsidR="009C32A0">
        <w:rPr>
          <w:rFonts w:hint="cs"/>
          <w:rtl/>
        </w:rPr>
        <w:t>قُلِ اللَّهُ خَالِقُ كُلِّ شَيْءٍ وَهُوَ الْوَاحِدُ الْقَهَّارُ</w:t>
      </w:r>
      <w:r>
        <w:rPr>
          <w:rFonts w:hint="cs"/>
          <w:rtl/>
        </w:rPr>
        <w:t>}</w:t>
      </w:r>
      <w:r w:rsidR="009C32A0">
        <w:rPr>
          <w:rFonts w:hint="cs"/>
          <w:rtl/>
        </w:rPr>
        <w:t xml:space="preserve"> </w:t>
      </w:r>
      <w:r>
        <w:rPr>
          <w:rFonts w:hint="cs"/>
          <w:rtl/>
        </w:rPr>
        <w:t>[</w:t>
      </w:r>
      <w:r w:rsidR="009C32A0">
        <w:rPr>
          <w:rFonts w:hint="cs"/>
          <w:rtl/>
        </w:rPr>
        <w:t>الرعد</w:t>
      </w:r>
      <w:r>
        <w:rPr>
          <w:rFonts w:hint="cs"/>
          <w:rtl/>
        </w:rPr>
        <w:t>:</w:t>
      </w:r>
      <w:r w:rsidR="009C32A0">
        <w:rPr>
          <w:rFonts w:hint="cs"/>
          <w:rtl/>
        </w:rPr>
        <w:t xml:space="preserve"> 16</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وَبَرَزُوا لِلَّهِ الْوَاحِدِ الْقَهَّارِ</w:t>
      </w:r>
      <w:r>
        <w:rPr>
          <w:rFonts w:hint="cs"/>
          <w:rtl/>
        </w:rPr>
        <w:t>}</w:t>
      </w:r>
      <w:r w:rsidR="009C32A0">
        <w:rPr>
          <w:rFonts w:hint="cs"/>
          <w:rtl/>
        </w:rPr>
        <w:t xml:space="preserve"> </w:t>
      </w:r>
      <w:r>
        <w:rPr>
          <w:rFonts w:hint="cs"/>
          <w:rtl/>
        </w:rPr>
        <w:t>[</w:t>
      </w:r>
      <w:r w:rsidR="009C32A0">
        <w:rPr>
          <w:rFonts w:hint="cs"/>
          <w:rtl/>
        </w:rPr>
        <w:t>إِبراهيم</w:t>
      </w:r>
      <w:r>
        <w:rPr>
          <w:rFonts w:hint="cs"/>
          <w:rtl/>
        </w:rPr>
        <w:t>:</w:t>
      </w:r>
      <w:r w:rsidR="009C32A0">
        <w:rPr>
          <w:rFonts w:hint="cs"/>
          <w:rtl/>
        </w:rPr>
        <w:t xml:space="preserve"> 48</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وَمَا مِنْ إِلَهٍ إِلَّا اللَّهُ الْوَاحِدُ الْقَهَّارُ</w:t>
      </w:r>
      <w:r>
        <w:rPr>
          <w:rFonts w:hint="cs"/>
          <w:rtl/>
        </w:rPr>
        <w:t>}</w:t>
      </w:r>
      <w:r w:rsidR="009C32A0">
        <w:rPr>
          <w:rFonts w:hint="cs"/>
          <w:rtl/>
        </w:rPr>
        <w:t xml:space="preserve"> </w:t>
      </w:r>
      <w:r>
        <w:rPr>
          <w:rFonts w:hint="cs"/>
          <w:rtl/>
        </w:rPr>
        <w:t>[</w:t>
      </w:r>
      <w:r w:rsidR="009C32A0">
        <w:rPr>
          <w:rFonts w:hint="cs"/>
          <w:rtl/>
        </w:rPr>
        <w:t>ص</w:t>
      </w:r>
      <w:r>
        <w:rPr>
          <w:rFonts w:hint="cs"/>
          <w:rtl/>
        </w:rPr>
        <w:t>:</w:t>
      </w:r>
      <w:r w:rsidR="009C32A0">
        <w:rPr>
          <w:rFonts w:hint="cs"/>
          <w:rtl/>
        </w:rPr>
        <w:t xml:space="preserve"> 65</w:t>
      </w:r>
      <w:r>
        <w:rPr>
          <w:rFonts w:hint="cs"/>
          <w:rtl/>
        </w:rPr>
        <w:t>]،</w:t>
      </w:r>
      <w:r w:rsidR="009C32A0">
        <w:rPr>
          <w:rFonts w:hint="cs"/>
          <w:rtl/>
        </w:rPr>
        <w:t xml:space="preserve"> وقوله تعالى</w:t>
      </w:r>
      <w:r>
        <w:rPr>
          <w:rFonts w:hint="cs"/>
          <w:rtl/>
        </w:rPr>
        <w:t>:</w:t>
      </w:r>
      <w:r w:rsidR="009C32A0">
        <w:rPr>
          <w:rFonts w:hint="cs"/>
          <w:rtl/>
        </w:rPr>
        <w:t xml:space="preserve"> {سُبْحَانَهُ هُوَ اللَّهُ الْوَاحِدُ الْقَهَّارُ</w:t>
      </w:r>
      <w:r>
        <w:rPr>
          <w:rFonts w:hint="cs"/>
          <w:rtl/>
        </w:rPr>
        <w:t>}</w:t>
      </w:r>
      <w:r w:rsidR="009C32A0">
        <w:rPr>
          <w:rFonts w:hint="cs"/>
          <w:rtl/>
        </w:rPr>
        <w:t xml:space="preserve"> </w:t>
      </w:r>
      <w:r>
        <w:rPr>
          <w:rFonts w:hint="cs"/>
          <w:rtl/>
        </w:rPr>
        <w:t>[</w:t>
      </w:r>
      <w:r w:rsidR="009C32A0">
        <w:rPr>
          <w:rFonts w:hint="cs"/>
          <w:rtl/>
        </w:rPr>
        <w:t>الزمر</w:t>
      </w:r>
      <w:r>
        <w:rPr>
          <w:rFonts w:hint="cs"/>
          <w:rtl/>
        </w:rPr>
        <w:t>:</w:t>
      </w:r>
      <w:r w:rsidR="009C32A0">
        <w:rPr>
          <w:rFonts w:hint="cs"/>
          <w:rtl/>
        </w:rPr>
        <w:t xml:space="preserve"> 4</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لِمَنِ الْمُلْكُ الْيَوْمَ لِلَّهِ الْوَاحِدِ الْقَهَّارِ</w:t>
      </w:r>
      <w:r>
        <w:rPr>
          <w:rFonts w:hint="cs"/>
          <w:rtl/>
        </w:rPr>
        <w:t>}</w:t>
      </w:r>
      <w:r w:rsidR="009C32A0">
        <w:rPr>
          <w:rFonts w:hint="cs"/>
          <w:rtl/>
        </w:rPr>
        <w:t xml:space="preserve"> </w:t>
      </w:r>
      <w:r>
        <w:rPr>
          <w:rFonts w:hint="cs"/>
          <w:rtl/>
        </w:rPr>
        <w:t>[</w:t>
      </w:r>
      <w:r w:rsidR="009C32A0">
        <w:rPr>
          <w:rFonts w:hint="cs"/>
          <w:rtl/>
        </w:rPr>
        <w:t>غافر</w:t>
      </w:r>
      <w:r>
        <w:rPr>
          <w:rFonts w:hint="cs"/>
          <w:rtl/>
        </w:rPr>
        <w:t>:</w:t>
      </w:r>
      <w:r w:rsidR="009C32A0">
        <w:rPr>
          <w:rFonts w:hint="cs"/>
          <w:rtl/>
        </w:rPr>
        <w:t xml:space="preserve"> 16</w:t>
      </w:r>
      <w:r>
        <w:rPr>
          <w:rFonts w:hint="cs"/>
          <w:rtl/>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أَأَرْبَابٌ مُتَفَرِّقُونَ خَيْرٌ أَمِ اللَّهُ الْوَاحِدُ الْقَهَّارُ</w:t>
      </w:r>
      <w:r>
        <w:rPr>
          <w:rFonts w:hint="cs"/>
          <w:rtl/>
        </w:rPr>
        <w:t>}</w:t>
      </w:r>
      <w:r w:rsidR="009C32A0">
        <w:rPr>
          <w:rFonts w:hint="cs"/>
          <w:rtl/>
        </w:rPr>
        <w:t xml:space="preserve"> </w:t>
      </w:r>
      <w:r>
        <w:rPr>
          <w:rFonts w:hint="cs"/>
          <w:rtl/>
        </w:rPr>
        <w:t>[</w:t>
      </w:r>
      <w:r w:rsidR="009C32A0">
        <w:rPr>
          <w:rFonts w:hint="cs"/>
          <w:rtl/>
        </w:rPr>
        <w:t>يوسف</w:t>
      </w:r>
      <w:r>
        <w:rPr>
          <w:rFonts w:hint="cs"/>
          <w:rtl/>
        </w:rPr>
        <w:t>:</w:t>
      </w:r>
      <w:r w:rsidR="009C32A0">
        <w:rPr>
          <w:rFonts w:hint="cs"/>
          <w:rtl/>
        </w:rPr>
        <w:t xml:space="preserve"> 39</w:t>
      </w:r>
      <w:r>
        <w:rPr>
          <w:rFonts w:hint="cs"/>
          <w:rtl/>
        </w:rPr>
        <w:t>]،</w:t>
      </w:r>
      <w:r w:rsidR="009C32A0">
        <w:rPr>
          <w:rFonts w:hint="cs"/>
          <w:rtl/>
        </w:rPr>
        <w:t xml:space="preserve"> والله تعالى هو القاهر فوق عباده</w:t>
      </w:r>
      <w:r>
        <w:rPr>
          <w:rFonts w:hint="cs"/>
          <w:rtl/>
        </w:rPr>
        <w:t>،</w:t>
      </w:r>
      <w:r w:rsidR="009C32A0">
        <w:rPr>
          <w:rFonts w:hint="cs"/>
          <w:rtl/>
        </w:rPr>
        <w:t xml:space="preserve"> قال تعالى</w:t>
      </w:r>
      <w:r>
        <w:rPr>
          <w:rFonts w:hint="cs"/>
          <w:rtl/>
        </w:rPr>
        <w:t>:</w:t>
      </w:r>
      <w:r w:rsidR="009C32A0">
        <w:rPr>
          <w:rFonts w:hint="cs"/>
          <w:rtl/>
        </w:rPr>
        <w:t xml:space="preserve"> </w:t>
      </w:r>
      <w:r>
        <w:rPr>
          <w:rFonts w:hint="cs"/>
          <w:rtl/>
        </w:rPr>
        <w:t>{</w:t>
      </w:r>
      <w:r w:rsidR="009C32A0">
        <w:rPr>
          <w:rFonts w:hint="cs"/>
          <w:rtl/>
        </w:rPr>
        <w:t>وَهُوَ الْقَاهِرُ فَوْقَ عِبَادِهِ</w:t>
      </w:r>
      <w:r>
        <w:rPr>
          <w:rFonts w:hint="cs"/>
          <w:rtl/>
        </w:rPr>
        <w:t>}</w:t>
      </w:r>
      <w:r w:rsidR="009C32A0">
        <w:rPr>
          <w:rFonts w:hint="cs"/>
          <w:rtl/>
        </w:rPr>
        <w:t xml:space="preserve"> </w:t>
      </w:r>
      <w:r>
        <w:rPr>
          <w:rFonts w:hint="cs"/>
          <w:rtl/>
        </w:rPr>
        <w:t>[</w:t>
      </w:r>
      <w:r w:rsidR="009C32A0">
        <w:rPr>
          <w:rFonts w:hint="cs"/>
          <w:rtl/>
        </w:rPr>
        <w:t>الأنعام 18</w:t>
      </w:r>
      <w:r>
        <w:rPr>
          <w:rFonts w:hint="cs"/>
          <w:rtl/>
        </w:rPr>
        <w:t>]،</w:t>
      </w:r>
      <w:r w:rsidR="009C32A0">
        <w:rPr>
          <w:rFonts w:hint="cs"/>
          <w:rtl/>
        </w:rPr>
        <w:t xml:space="preserve"> فالله تعالى هو الواحد القهار</w:t>
      </w:r>
      <w:r>
        <w:rPr>
          <w:rFonts w:hint="cs"/>
          <w:rtl/>
        </w:rPr>
        <w:t>،</w:t>
      </w:r>
      <w:r w:rsidR="009C32A0">
        <w:rPr>
          <w:rFonts w:hint="cs"/>
          <w:rtl/>
        </w:rPr>
        <w:t xml:space="preserve"> وهو سبحانه القاهر فوق عباده</w:t>
      </w:r>
      <w:r>
        <w:rPr>
          <w:rFonts w:hint="cs"/>
          <w:rtl/>
        </w:rPr>
        <w:t>،</w:t>
      </w:r>
      <w:r w:rsidR="009C32A0">
        <w:rPr>
          <w:rFonts w:hint="cs"/>
          <w:rtl/>
        </w:rPr>
        <w:t xml:space="preserve"> قهر الخلق أجمعين بالحدود والمقادير</w:t>
      </w:r>
      <w:r>
        <w:rPr>
          <w:rFonts w:hint="cs"/>
          <w:rtl/>
        </w:rPr>
        <w:t>،</w:t>
      </w:r>
      <w:r w:rsidR="009C32A0">
        <w:rPr>
          <w:rFonts w:hint="cs"/>
          <w:rtl/>
        </w:rPr>
        <w:t xml:space="preserve"> فليس مخلوق إلا مقهور </w:t>
      </w:r>
      <w:r w:rsidR="009C32A0">
        <w:rPr>
          <w:rFonts w:hint="cs"/>
          <w:rtl/>
        </w:rPr>
        <w:lastRenderedPageBreak/>
        <w:t>بقدر معلوم وحد مخصوص</w:t>
      </w:r>
      <w:r>
        <w:rPr>
          <w:rFonts w:hint="cs"/>
          <w:rtl/>
        </w:rPr>
        <w:t>،</w:t>
      </w:r>
      <w:r w:rsidR="009C32A0">
        <w:rPr>
          <w:rFonts w:hint="cs"/>
          <w:rtl/>
        </w:rPr>
        <w:t xml:space="preserve"> لا يستطيع أن يتجاوز تلك الحدود</w:t>
      </w:r>
      <w:r>
        <w:rPr>
          <w:rFonts w:hint="cs"/>
          <w:rtl/>
        </w:rPr>
        <w:t>،</w:t>
      </w:r>
      <w:r w:rsidR="009C32A0">
        <w:rPr>
          <w:rFonts w:hint="cs"/>
          <w:rtl/>
        </w:rPr>
        <w:t xml:space="preserve"> لأنّه مقهور عليها</w:t>
      </w:r>
      <w:r>
        <w:rPr>
          <w:rFonts w:hint="cs"/>
          <w:rtl/>
        </w:rPr>
        <w:t>،</w:t>
      </w:r>
      <w:r w:rsidR="009C32A0">
        <w:rPr>
          <w:rFonts w:hint="cs"/>
          <w:rtl/>
        </w:rPr>
        <w:t xml:space="preserve"> والقاهر له هو خالقه الواحد القهار</w:t>
      </w:r>
      <w:r>
        <w:rPr>
          <w:rFonts w:hint="cs"/>
          <w:rtl/>
        </w:rPr>
        <w:t>،</w:t>
      </w:r>
      <w:r w:rsidR="009C32A0">
        <w:rPr>
          <w:rFonts w:hint="cs"/>
          <w:rtl/>
        </w:rPr>
        <w:t xml:space="preserve"> أما الخالق الواحد القهار فقد جل عن أن يقهره حدٌ أو يحده مقدار</w:t>
      </w:r>
      <w:r>
        <w:rPr>
          <w:rFonts w:hint="cs"/>
          <w:rtl/>
        </w:rPr>
        <w:t>،</w:t>
      </w:r>
      <w:r w:rsidR="009C32A0">
        <w:rPr>
          <w:rFonts w:hint="cs"/>
          <w:rtl/>
        </w:rPr>
        <w:t xml:space="preserve"> لأنّه قاهر الخلق بتلك الحدود والمقادير</w:t>
      </w:r>
      <w:r>
        <w:rPr>
          <w:rFonts w:hint="cs"/>
          <w:rtl/>
        </w:rPr>
        <w:t>،</w:t>
      </w:r>
      <w:r w:rsidR="009C32A0">
        <w:rPr>
          <w:rFonts w:hint="cs"/>
          <w:rtl/>
        </w:rPr>
        <w:t xml:space="preserve"> تنزه عن الحد والمقدار</w:t>
      </w:r>
      <w:r>
        <w:rPr>
          <w:rFonts w:hint="cs"/>
          <w:rtl/>
        </w:rPr>
        <w:t>،</w:t>
      </w:r>
      <w:r w:rsidR="009C32A0">
        <w:rPr>
          <w:rFonts w:hint="cs"/>
          <w:rtl/>
        </w:rPr>
        <w:t xml:space="preserve"> </w:t>
      </w:r>
      <w:r>
        <w:rPr>
          <w:rFonts w:hint="cs"/>
          <w:rtl/>
        </w:rPr>
        <w:t>(</w:t>
      </w:r>
      <w:r w:rsidR="009C32A0">
        <w:rPr>
          <w:rFonts w:hint="cs"/>
          <w:rtl/>
        </w:rPr>
        <w:t>تنبيه</w:t>
      </w:r>
      <w:r>
        <w:rPr>
          <w:rFonts w:hint="cs"/>
          <w:rtl/>
        </w:rPr>
        <w:t xml:space="preserve">): </w:t>
      </w:r>
      <w:r w:rsidR="009C32A0">
        <w:rPr>
          <w:rFonts w:hint="cs"/>
          <w:rtl/>
        </w:rPr>
        <w:t>كل مخلوق مهما كبر حجمه أو جل مقداره</w:t>
      </w:r>
      <w:r>
        <w:rPr>
          <w:rFonts w:hint="cs"/>
          <w:rtl/>
        </w:rPr>
        <w:t>،</w:t>
      </w:r>
      <w:r w:rsidR="009C32A0">
        <w:rPr>
          <w:rFonts w:hint="cs"/>
          <w:rtl/>
        </w:rPr>
        <w:t xml:space="preserve"> إلا أنّه محدود متناهي مقدر بمقدار</w:t>
      </w:r>
      <w:r>
        <w:rPr>
          <w:rFonts w:hint="cs"/>
          <w:rtl/>
        </w:rPr>
        <w:t>،</w:t>
      </w:r>
      <w:r w:rsidR="009C32A0">
        <w:rPr>
          <w:rFonts w:hint="cs"/>
          <w:rtl/>
        </w:rPr>
        <w:t xml:space="preserve"> مقهور للحدود والقيود الحاكمة عليه</w:t>
      </w:r>
      <w:r>
        <w:rPr>
          <w:rFonts w:hint="cs"/>
          <w:rtl/>
        </w:rPr>
        <w:t>،</w:t>
      </w:r>
      <w:r w:rsidR="009C32A0">
        <w:rPr>
          <w:rFonts w:hint="cs"/>
          <w:rtl/>
        </w:rPr>
        <w:t xml:space="preserve"> أما الله تعالى الواحد القهار فإنه لما</w:t>
      </w:r>
      <w:r>
        <w:rPr>
          <w:rFonts w:hint="cs"/>
          <w:rtl/>
        </w:rPr>
        <w:t xml:space="preserve"> </w:t>
      </w:r>
      <w:r w:rsidR="009C32A0">
        <w:rPr>
          <w:rFonts w:hint="cs"/>
          <w:rtl/>
        </w:rPr>
        <w:t>كان قاهراً من كلّ الجهات لم تتحكّم فيه الحدود</w:t>
      </w:r>
      <w:r>
        <w:rPr>
          <w:rFonts w:hint="cs"/>
          <w:rtl/>
        </w:rPr>
        <w:t>،</w:t>
      </w:r>
      <w:r w:rsidR="009C32A0">
        <w:rPr>
          <w:rFonts w:hint="cs"/>
          <w:rtl/>
        </w:rPr>
        <w:t xml:space="preserve"> وإذا كان تعالى لا يقهره شيء وهو القاهر فوق كلّ شيء</w:t>
      </w:r>
      <w:r>
        <w:rPr>
          <w:rFonts w:hint="cs"/>
          <w:rtl/>
        </w:rPr>
        <w:t>،</w:t>
      </w:r>
      <w:r w:rsidR="009C32A0">
        <w:rPr>
          <w:rFonts w:hint="cs"/>
          <w:rtl/>
        </w:rPr>
        <w:t xml:space="preserve"> فليس بمحدود في شيء</w:t>
      </w:r>
      <w:r>
        <w:rPr>
          <w:rFonts w:hint="cs"/>
          <w:rtl/>
        </w:rPr>
        <w:t>،</w:t>
      </w:r>
      <w:r w:rsidR="009C32A0">
        <w:rPr>
          <w:rFonts w:hint="cs"/>
          <w:rtl/>
        </w:rPr>
        <w:t xml:space="preserve"> فهو الواحد القهار لا يشوبه نقص</w:t>
      </w:r>
      <w:r>
        <w:rPr>
          <w:rFonts w:hint="cs"/>
          <w:rtl/>
        </w:rPr>
        <w:t>،</w:t>
      </w:r>
      <w:r w:rsidR="009C32A0">
        <w:rPr>
          <w:rFonts w:hint="cs"/>
          <w:rtl/>
        </w:rPr>
        <w:t xml:space="preserve"> ولا يحده حد</w:t>
      </w:r>
      <w:r>
        <w:rPr>
          <w:rFonts w:hint="cs"/>
          <w:rtl/>
        </w:rPr>
        <w:t>،</w:t>
      </w:r>
      <w:r w:rsidR="009C32A0">
        <w:rPr>
          <w:rFonts w:hint="cs"/>
          <w:rtl/>
        </w:rPr>
        <w:t xml:space="preserve"> ولا يقدره مقدار</w:t>
      </w:r>
      <w:r>
        <w:rPr>
          <w:rFonts w:hint="cs"/>
          <w:rtl/>
        </w:rPr>
        <w:t>،</w:t>
      </w:r>
      <w:r w:rsidR="009C32A0">
        <w:rPr>
          <w:rFonts w:hint="cs"/>
          <w:rtl/>
        </w:rPr>
        <w:t xml:space="preserve"> كيف وهو الذي خلق الحدود والمقادير وهو الواحد القهار</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بين الله تعالى في كتابه الكريم أنه تعالى خلق الأشياء وخصصها بما هي عليه من قدر معين قال تعالى</w:t>
      </w:r>
      <w:r>
        <w:rPr>
          <w:rFonts w:hint="cs"/>
          <w:rtl/>
        </w:rPr>
        <w:t>:</w:t>
      </w:r>
      <w:r w:rsidR="009C32A0">
        <w:rPr>
          <w:rFonts w:hint="cs"/>
          <w:rtl/>
        </w:rPr>
        <w:t xml:space="preserve"> </w:t>
      </w:r>
      <w:r>
        <w:rPr>
          <w:rFonts w:hint="cs"/>
          <w:rtl/>
        </w:rPr>
        <w:t>{</w:t>
      </w:r>
      <w:r w:rsidR="009C32A0">
        <w:rPr>
          <w:rFonts w:hint="cs"/>
          <w:rtl/>
        </w:rPr>
        <w:t>وخلق كل شيء فقدره تقديراً</w:t>
      </w:r>
      <w:r>
        <w:rPr>
          <w:rFonts w:hint="cs"/>
          <w:rtl/>
        </w:rPr>
        <w:t>}،</w:t>
      </w:r>
      <w:r w:rsidR="009C32A0">
        <w:rPr>
          <w:rFonts w:hint="cs"/>
          <w:rtl/>
        </w:rPr>
        <w:t xml:space="preserve"> وقال تعالى</w:t>
      </w:r>
      <w:r>
        <w:rPr>
          <w:rFonts w:hint="cs"/>
          <w:rtl/>
        </w:rPr>
        <w:t>:{</w:t>
      </w:r>
      <w:r w:rsidR="009C32A0">
        <w:rPr>
          <w:rFonts w:hint="cs"/>
          <w:rtl/>
        </w:rPr>
        <w:t>جعل الله لكل شيء قدرا</w:t>
      </w:r>
      <w:r>
        <w:rPr>
          <w:rFonts w:hint="cs"/>
          <w:rtl/>
        </w:rPr>
        <w:t>}،</w:t>
      </w:r>
      <w:r w:rsidR="009C32A0">
        <w:rPr>
          <w:rFonts w:hint="cs"/>
          <w:rtl/>
        </w:rPr>
        <w:t xml:space="preserve"> وقال تعالى</w:t>
      </w:r>
      <w:r>
        <w:rPr>
          <w:rFonts w:hint="cs"/>
          <w:rtl/>
        </w:rPr>
        <w:t>:</w:t>
      </w:r>
      <w:r w:rsidR="009C32A0">
        <w:rPr>
          <w:rFonts w:hint="cs"/>
          <w:rtl/>
        </w:rPr>
        <w:t>{وإن من شيء إلاّ عندنا خزآئنه وما ننزله إلا بقدر معلوم</w:t>
      </w:r>
      <w:r>
        <w:rPr>
          <w:rFonts w:hint="cs"/>
          <w:rtl/>
        </w:rPr>
        <w:t xml:space="preserve">}، </w:t>
      </w:r>
      <w:r w:rsidR="009C32A0">
        <w:rPr>
          <w:rFonts w:hint="cs"/>
          <w:rtl/>
        </w:rPr>
        <w:t>وقال تعالى</w:t>
      </w:r>
      <w:r>
        <w:rPr>
          <w:rFonts w:hint="cs"/>
          <w:rtl/>
        </w:rPr>
        <w:t>:</w:t>
      </w:r>
      <w:r w:rsidR="009C32A0">
        <w:rPr>
          <w:rFonts w:hint="cs"/>
          <w:rtl/>
        </w:rPr>
        <w:t xml:space="preserve"> </w:t>
      </w:r>
      <w:r>
        <w:rPr>
          <w:rFonts w:hint="cs"/>
          <w:rtl/>
        </w:rPr>
        <w:t>{</w:t>
      </w:r>
      <w:r w:rsidR="009C32A0">
        <w:rPr>
          <w:rFonts w:hint="cs"/>
          <w:rtl/>
        </w:rPr>
        <w:t>إنا كل شيء خلقناه بقدر</w:t>
      </w:r>
      <w:r>
        <w:rPr>
          <w:rFonts w:hint="cs"/>
          <w:rtl/>
        </w:rPr>
        <w:t xml:space="preserve">}، </w:t>
      </w:r>
      <w:r w:rsidR="009C32A0">
        <w:rPr>
          <w:rFonts w:hint="cs"/>
          <w:rtl/>
        </w:rPr>
        <w:t>وقال تعالى</w:t>
      </w:r>
      <w:r>
        <w:rPr>
          <w:rFonts w:hint="cs"/>
          <w:rtl/>
        </w:rPr>
        <w:t>:</w:t>
      </w:r>
      <w:r w:rsidR="009C32A0">
        <w:rPr>
          <w:rFonts w:hint="cs"/>
          <w:rtl/>
        </w:rPr>
        <w:t xml:space="preserve"> </w:t>
      </w:r>
      <w:r>
        <w:rPr>
          <w:rFonts w:hint="cs"/>
          <w:rtl/>
        </w:rPr>
        <w:t>{</w:t>
      </w:r>
      <w:r w:rsidR="009C32A0">
        <w:rPr>
          <w:rFonts w:hint="cs"/>
          <w:rtl/>
        </w:rPr>
        <w:t>قد جعل الله لكل شيء قدرا</w:t>
      </w:r>
      <w:r>
        <w:rPr>
          <w:rFonts w:hint="cs"/>
          <w:rtl/>
        </w:rPr>
        <w:t>}،</w:t>
      </w:r>
      <w:r w:rsidR="009C32A0">
        <w:rPr>
          <w:rFonts w:hint="cs"/>
          <w:rtl/>
        </w:rPr>
        <w:t xml:space="preserve"> وقال تعالى</w:t>
      </w:r>
      <w:r>
        <w:rPr>
          <w:rFonts w:hint="cs"/>
          <w:rtl/>
        </w:rPr>
        <w:t>:</w:t>
      </w:r>
      <w:r w:rsidR="009C32A0">
        <w:rPr>
          <w:rFonts w:hint="cs"/>
          <w:rtl/>
        </w:rPr>
        <w:t xml:space="preserve"> </w:t>
      </w:r>
      <w:r>
        <w:rPr>
          <w:rFonts w:hint="cs"/>
          <w:rtl/>
        </w:rPr>
        <w:t>{</w:t>
      </w:r>
      <w:r w:rsidR="009C32A0">
        <w:rPr>
          <w:rFonts w:hint="cs"/>
          <w:rtl/>
        </w:rPr>
        <w:t>وكل شيء عنده بمقدار</w:t>
      </w:r>
      <w:r>
        <w:rPr>
          <w:rFonts w:hint="cs"/>
          <w:rtl/>
        </w:rPr>
        <w:t>}،</w:t>
      </w:r>
      <w:r w:rsidR="009C32A0">
        <w:rPr>
          <w:rFonts w:hint="cs"/>
          <w:rtl/>
        </w:rPr>
        <w:t xml:space="preserve"> ومعنى هذه الآيات</w:t>
      </w:r>
      <w:r>
        <w:rPr>
          <w:rFonts w:hint="cs"/>
          <w:rtl/>
        </w:rPr>
        <w:t xml:space="preserve"> </w:t>
      </w:r>
      <w:r w:rsidR="009C32A0">
        <w:rPr>
          <w:rFonts w:hint="cs"/>
          <w:rtl/>
        </w:rPr>
        <w:t xml:space="preserve">أن الله عز وجل خص كل مخلوق </w:t>
      </w:r>
      <w:r>
        <w:rPr>
          <w:rFonts w:hint="cs"/>
          <w:rtl/>
        </w:rPr>
        <w:t>(</w:t>
      </w:r>
      <w:r w:rsidR="009C32A0">
        <w:rPr>
          <w:rFonts w:hint="cs"/>
          <w:rtl/>
        </w:rPr>
        <w:t>بحد ومقدار</w:t>
      </w:r>
      <w:r>
        <w:rPr>
          <w:rFonts w:hint="cs"/>
          <w:rtl/>
        </w:rPr>
        <w:t>)</w:t>
      </w:r>
      <w:r w:rsidR="009C32A0">
        <w:rPr>
          <w:rFonts w:hint="cs"/>
          <w:rtl/>
        </w:rPr>
        <w:t xml:space="preserve"> لا يجاوزهما ولا يقصر عنهما</w:t>
      </w:r>
      <w:r>
        <w:rPr>
          <w:rFonts w:hint="cs"/>
          <w:rtl/>
        </w:rPr>
        <w:t>،</w:t>
      </w:r>
      <w:r w:rsidR="009C32A0">
        <w:rPr>
          <w:rFonts w:hint="cs"/>
          <w:rtl/>
        </w:rPr>
        <w:t xml:space="preserve"> والحد والمقدار سمتان من سمات المخلوق وبيان أن هناك خالق مقدِر خصصه على هذا الحد وهذا المقدار</w:t>
      </w:r>
      <w:r>
        <w:rPr>
          <w:rFonts w:hint="cs"/>
          <w:rtl/>
        </w:rPr>
        <w:t>،</w:t>
      </w:r>
      <w:r w:rsidR="009C32A0">
        <w:rPr>
          <w:rFonts w:hint="cs"/>
          <w:rtl/>
        </w:rPr>
        <w:t xml:space="preserve"> فكل موجود له حد ونهاية يكون الحد والنهاية دليل على انه مخلوق حادث</w:t>
      </w:r>
      <w:r>
        <w:rPr>
          <w:rFonts w:hint="cs"/>
          <w:rtl/>
        </w:rPr>
        <w:t xml:space="preserve">، </w:t>
      </w:r>
      <w:r w:rsidR="009C32A0">
        <w:rPr>
          <w:rFonts w:hint="cs"/>
          <w:rtl/>
        </w:rPr>
        <w:t>وأن موجده ومخصصه على هذه الحال هو الله تعالى فمحال أن يكون الوصف</w:t>
      </w:r>
      <w:r w:rsidR="009C32A0">
        <w:rPr>
          <w:rFonts w:hint="cs"/>
        </w:rPr>
        <w:t xml:space="preserve"> </w:t>
      </w:r>
      <w:r w:rsidR="009C32A0">
        <w:rPr>
          <w:rFonts w:hint="cs"/>
          <w:rtl/>
        </w:rPr>
        <w:t>الذي يحتج به على الحدوث والمخلوقية وصفا لله تعالى في ذاته أو صفاته فلا حد لذات الله تعالى وتقدس ولا حد لصفات الله عز وجل</w:t>
      </w:r>
      <w:r>
        <w:rPr>
          <w:rFonts w:hint="cs"/>
          <w:rtl/>
        </w:rPr>
        <w:t>،</w:t>
      </w:r>
      <w:r w:rsidR="009C32A0">
        <w:rPr>
          <w:rFonts w:hint="cs"/>
          <w:rtl/>
        </w:rPr>
        <w:t xml:space="preserve"> </w:t>
      </w:r>
      <w:r>
        <w:rPr>
          <w:rFonts w:hint="cs"/>
          <w:rtl/>
        </w:rPr>
        <w:t>(</w:t>
      </w:r>
      <w:r w:rsidR="009C32A0">
        <w:rPr>
          <w:rFonts w:hint="cs"/>
          <w:rtl/>
        </w:rPr>
        <w:t>ت</w:t>
      </w:r>
      <w:r>
        <w:rPr>
          <w:rFonts w:hint="cs"/>
          <w:rtl/>
        </w:rPr>
        <w:t>)</w:t>
      </w:r>
      <w:r w:rsidR="009C32A0">
        <w:rPr>
          <w:rFonts w:hint="cs"/>
          <w:rtl/>
        </w:rPr>
        <w:t xml:space="preserve"> القاعدة تقول</w:t>
      </w:r>
      <w:r>
        <w:rPr>
          <w:rFonts w:hint="cs"/>
          <w:rtl/>
        </w:rPr>
        <w:t>:</w:t>
      </w:r>
      <w:r w:rsidR="009C32A0">
        <w:rPr>
          <w:rFonts w:hint="cs"/>
          <w:rtl/>
        </w:rPr>
        <w:t>كل ما يقبل الحد</w:t>
      </w:r>
      <w:r>
        <w:rPr>
          <w:rFonts w:hint="cs"/>
          <w:rtl/>
        </w:rPr>
        <w:t xml:space="preserve"> </w:t>
      </w:r>
      <w:r w:rsidR="009C32A0">
        <w:rPr>
          <w:rFonts w:hint="cs"/>
          <w:rtl/>
        </w:rPr>
        <w:t>فهو محدود</w:t>
      </w:r>
      <w:r>
        <w:rPr>
          <w:rFonts w:hint="cs"/>
          <w:rtl/>
        </w:rPr>
        <w:t>،</w:t>
      </w:r>
      <w:r w:rsidR="009C32A0">
        <w:rPr>
          <w:rFonts w:hint="cs"/>
          <w:rtl/>
        </w:rPr>
        <w:t xml:space="preserve"> وما يحد شيء بحد إلا وهو متناهي الذات</w:t>
      </w:r>
      <w:r>
        <w:rPr>
          <w:rFonts w:hint="cs"/>
          <w:rtl/>
        </w:rPr>
        <w:t>،</w:t>
      </w:r>
      <w:r w:rsidR="009C32A0">
        <w:rPr>
          <w:rFonts w:hint="cs"/>
          <w:rtl/>
        </w:rPr>
        <w:t xml:space="preserve"> وكل</w:t>
      </w:r>
      <w:r w:rsidR="009C32A0">
        <w:rPr>
          <w:rFonts w:hint="cs"/>
        </w:rPr>
        <w:t xml:space="preserve"> </w:t>
      </w:r>
      <w:r w:rsidR="009C32A0">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9C32A0">
        <w:rPr>
          <w:rFonts w:hint="cs"/>
          <w:rtl/>
        </w:rPr>
        <w:t>لا حد له فيها فبالتالي فلا حد لذاته تنزه عن الحد والمقدار والحصر والنهاية وكل ما يفيد الحدوث والخلق</w:t>
      </w:r>
      <w:r>
        <w:rPr>
          <w:rFonts w:hint="cs"/>
          <w:rtl/>
        </w:rPr>
        <w:t>،</w:t>
      </w:r>
      <w:r w:rsidR="009C32A0">
        <w:rPr>
          <w:rFonts w:hint="cs"/>
          <w:rtl/>
        </w:rPr>
        <w:t xml:space="preserve"> </w:t>
      </w:r>
      <w:r>
        <w:rPr>
          <w:rFonts w:hint="cs"/>
          <w:rtl/>
        </w:rPr>
        <w:t>(</w:t>
      </w:r>
      <w:r w:rsidR="009C32A0">
        <w:rPr>
          <w:rFonts w:hint="cs"/>
          <w:rtl/>
        </w:rPr>
        <w:t>ث</w:t>
      </w:r>
      <w:r>
        <w:rPr>
          <w:rFonts w:hint="cs"/>
          <w:rtl/>
        </w:rPr>
        <w:t>)</w:t>
      </w:r>
      <w:r w:rsidR="009C32A0">
        <w:rPr>
          <w:rFonts w:hint="cs"/>
          <w:rtl/>
        </w:rPr>
        <w:t xml:space="preserve"> كيف نصف الله تعالى بالحد والمقدار</w:t>
      </w:r>
      <w:r>
        <w:rPr>
          <w:rFonts w:hint="cs"/>
          <w:rtl/>
        </w:rPr>
        <w:t>،</w:t>
      </w:r>
      <w:r w:rsidR="009C32A0">
        <w:rPr>
          <w:rFonts w:hint="cs"/>
          <w:rtl/>
        </w:rPr>
        <w:t xml:space="preserve"> ونحن نقول في كل صلاة وعند كل حركة وانتقال</w:t>
      </w:r>
      <w:r>
        <w:rPr>
          <w:rFonts w:hint="cs"/>
          <w:rtl/>
        </w:rPr>
        <w:t>،</w:t>
      </w:r>
      <w:r w:rsidR="009C32A0">
        <w:rPr>
          <w:rFonts w:hint="cs"/>
          <w:rtl/>
        </w:rPr>
        <w:t xml:space="preserve"> وفي الاذكار عقب الصلوات وفي الصباح والمساء (</w:t>
      </w:r>
      <w:r>
        <w:rPr>
          <w:rFonts w:hint="cs"/>
          <w:rtl/>
        </w:rPr>
        <w:t>(</w:t>
      </w:r>
      <w:r w:rsidR="009C32A0">
        <w:rPr>
          <w:rFonts w:hint="cs"/>
          <w:rtl/>
        </w:rPr>
        <w:t>الله أكبر</w:t>
      </w:r>
      <w:r>
        <w:rPr>
          <w:rFonts w:hint="cs"/>
          <w:rtl/>
        </w:rPr>
        <w:t>)</w:t>
      </w:r>
      <w:r w:rsidR="009C32A0">
        <w:rPr>
          <w:rFonts w:hint="cs"/>
          <w:rtl/>
        </w:rPr>
        <w:t>) ومعناها</w:t>
      </w:r>
      <w:r>
        <w:rPr>
          <w:rFonts w:hint="cs"/>
          <w:rtl/>
        </w:rPr>
        <w:t>:</w:t>
      </w:r>
      <w:r w:rsidR="009C32A0">
        <w:rPr>
          <w:rFonts w:hint="cs"/>
          <w:rtl/>
        </w:rPr>
        <w:t xml:space="preserve"> الله أكبر من كل تصور</w:t>
      </w:r>
      <w:r>
        <w:rPr>
          <w:rFonts w:hint="cs"/>
          <w:rtl/>
        </w:rPr>
        <w:t>،</w:t>
      </w:r>
      <w:r w:rsidR="009C32A0">
        <w:rPr>
          <w:rFonts w:hint="cs"/>
          <w:rtl/>
        </w:rPr>
        <w:t xml:space="preserve"> والله أكبر من كل خيال</w:t>
      </w:r>
      <w:r>
        <w:rPr>
          <w:rFonts w:hint="cs"/>
          <w:rtl/>
        </w:rPr>
        <w:t>،</w:t>
      </w:r>
      <w:r w:rsidR="009C32A0">
        <w:rPr>
          <w:rFonts w:hint="cs"/>
          <w:rtl/>
        </w:rPr>
        <w:t xml:space="preserve"> والله أكبر من كل حد</w:t>
      </w:r>
      <w:r>
        <w:rPr>
          <w:rFonts w:hint="cs"/>
          <w:rtl/>
        </w:rPr>
        <w:t>،</w:t>
      </w:r>
      <w:r w:rsidR="009C32A0">
        <w:rPr>
          <w:rFonts w:hint="cs"/>
          <w:rtl/>
        </w:rPr>
        <w:t xml:space="preserve"> والله أكبر من كل مقدار</w:t>
      </w:r>
      <w:r>
        <w:rPr>
          <w:rFonts w:hint="cs"/>
          <w:rtl/>
        </w:rPr>
        <w:t>،</w:t>
      </w:r>
      <w:r w:rsidR="009C32A0">
        <w:rPr>
          <w:rFonts w:hint="cs"/>
          <w:rtl/>
        </w:rPr>
        <w:t xml:space="preserve"> </w:t>
      </w:r>
      <w:r>
        <w:rPr>
          <w:rFonts w:hint="cs"/>
          <w:rtl/>
        </w:rPr>
        <w:t>(</w:t>
      </w:r>
      <w:r w:rsidR="009C32A0">
        <w:rPr>
          <w:rFonts w:hint="cs"/>
          <w:rtl/>
        </w:rPr>
        <w:t>ج</w:t>
      </w:r>
      <w:r>
        <w:rPr>
          <w:rFonts w:hint="cs"/>
          <w:rtl/>
        </w:rPr>
        <w:t>)</w:t>
      </w:r>
      <w:r w:rsidR="009C32A0">
        <w:rPr>
          <w:rFonts w:hint="cs"/>
          <w:rtl/>
        </w:rPr>
        <w:t xml:space="preserve"> المخلوقات جميعها محدودة وإن اختلفت حدودها</w:t>
      </w:r>
      <w:r>
        <w:rPr>
          <w:rFonts w:hint="cs"/>
          <w:rtl/>
        </w:rPr>
        <w:t xml:space="preserve"> </w:t>
      </w:r>
      <w:r w:rsidR="009C32A0">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9C32A0">
        <w:rPr>
          <w:rFonts w:hint="cs"/>
          <w:rtl/>
        </w:rPr>
        <w:t>والمحدودية لأنها جميعا مخلوقة والمخلوق محدود الذات والصفات</w:t>
      </w:r>
      <w:r>
        <w:rPr>
          <w:rFonts w:hint="cs"/>
          <w:rtl/>
        </w:rPr>
        <w:t xml:space="preserve"> </w:t>
      </w:r>
      <w:r w:rsidR="009C32A0">
        <w:rPr>
          <w:rFonts w:hint="cs"/>
          <w:rtl/>
        </w:rPr>
        <w:t xml:space="preserve">والله تعالى ليس كمثله شيء في ذاته فليس له فيها حد وإلا شابه المخلوق وليس كمثله شيء </w:t>
      </w:r>
      <w:r w:rsidR="009C32A0">
        <w:rPr>
          <w:rFonts w:hint="cs"/>
          <w:rtl/>
        </w:rPr>
        <w:lastRenderedPageBreak/>
        <w:t>في صفاته فليس له فيها حد</w:t>
      </w:r>
      <w:r>
        <w:rPr>
          <w:rFonts w:hint="cs"/>
          <w:rtl/>
        </w:rPr>
        <w:t>،</w:t>
      </w:r>
      <w:r w:rsidR="009C32A0">
        <w:rPr>
          <w:rFonts w:hint="cs"/>
          <w:rtl/>
        </w:rPr>
        <w:t xml:space="preserve"> </w:t>
      </w:r>
      <w:r>
        <w:rPr>
          <w:rFonts w:hint="cs"/>
          <w:rtl/>
        </w:rPr>
        <w:t>(</w:t>
      </w:r>
      <w:r w:rsidR="009C32A0">
        <w:rPr>
          <w:rFonts w:hint="cs"/>
          <w:rtl/>
        </w:rPr>
        <w:t>ح</w:t>
      </w:r>
      <w:r>
        <w:rPr>
          <w:rFonts w:hint="cs"/>
          <w:rtl/>
        </w:rPr>
        <w:t xml:space="preserve">) </w:t>
      </w:r>
      <w:r w:rsidR="009C32A0">
        <w:rPr>
          <w:rFonts w:hint="cs"/>
          <w:rtl/>
        </w:rPr>
        <w:t>كل</w:t>
      </w:r>
      <w:r w:rsidR="009C32A0">
        <w:rPr>
          <w:rFonts w:hint="cs"/>
        </w:rPr>
        <w:t xml:space="preserve"> </w:t>
      </w:r>
      <w:r w:rsidR="009C32A0">
        <w:rPr>
          <w:rFonts w:hint="cs"/>
          <w:rtl/>
        </w:rPr>
        <w:t>متناه مٌحدَث لأن تخصيصه بهذا المقدار دون سائر المقادير</w:t>
      </w:r>
      <w:r w:rsidR="009C32A0">
        <w:rPr>
          <w:rFonts w:hint="cs"/>
        </w:rPr>
        <w:t xml:space="preserve"> </w:t>
      </w:r>
      <w:r w:rsidR="009C32A0">
        <w:rPr>
          <w:rFonts w:hint="cs"/>
          <w:rtl/>
        </w:rPr>
        <w:t>لا بد له من مخصص</w:t>
      </w:r>
      <w:r>
        <w:rPr>
          <w:rFonts w:hint="cs"/>
          <w:rtl/>
          <w:lang w:bidi="ar-KW"/>
        </w:rPr>
        <w:t xml:space="preserve">، </w:t>
      </w:r>
      <w:r w:rsidR="009C32A0">
        <w:rPr>
          <w:rFonts w:hint="cs"/>
          <w:rtl/>
        </w:rPr>
        <w:t>وجل الخالق تعالى عن ذلك أن يكون لذاته مخصص</w:t>
      </w:r>
      <w:r>
        <w:rPr>
          <w:rFonts w:hint="cs"/>
          <w:rtl/>
        </w:rPr>
        <w:t>،</w:t>
      </w:r>
      <w:r w:rsidR="009C32A0">
        <w:rPr>
          <w:rFonts w:hint="cs"/>
          <w:rtl/>
        </w:rPr>
        <w:t xml:space="preserve"> لأنه الخالق</w:t>
      </w:r>
      <w:r>
        <w:rPr>
          <w:rFonts w:hint="cs"/>
          <w:rtl/>
        </w:rPr>
        <w:t>،</w:t>
      </w:r>
      <w:r w:rsidR="009C32A0">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Pr>
          <w:rFonts w:hint="cs"/>
          <w:rtl/>
        </w:rPr>
        <w:t>،</w:t>
      </w:r>
      <w:r w:rsidR="009C32A0">
        <w:rPr>
          <w:rFonts w:hint="cs"/>
          <w:rtl/>
        </w:rPr>
        <w:t xml:space="preserve"> لان التقدير يوجب الخلق والحد يوجب الحدوث لحاجة الحد إلى حادّ يحده والله تعالى قديم بلا ابتداء ودائم بلا انتهاء</w:t>
      </w:r>
      <w:r>
        <w:rPr>
          <w:rFonts w:hint="cs"/>
          <w:rtl/>
        </w:rPr>
        <w:t>،</w:t>
      </w:r>
      <w:r w:rsidR="009C32A0">
        <w:rPr>
          <w:rFonts w:hint="cs"/>
          <w:rtl/>
        </w:rPr>
        <w:t>لم يزل منزه عن الحدوث هو الأول فليس قبله شيء</w:t>
      </w:r>
      <w:r>
        <w:rPr>
          <w:rFonts w:hint="cs"/>
          <w:rtl/>
        </w:rPr>
        <w:t>،</w:t>
      </w:r>
      <w:r w:rsidR="009C32A0">
        <w:rPr>
          <w:rFonts w:hint="cs"/>
          <w:rtl/>
        </w:rPr>
        <w:t xml:space="preserve"> </w:t>
      </w:r>
      <w:r>
        <w:rPr>
          <w:rFonts w:hint="cs"/>
          <w:rtl/>
        </w:rPr>
        <w:t>(</w:t>
      </w:r>
      <w:r w:rsidR="009C32A0">
        <w:rPr>
          <w:rFonts w:hint="cs"/>
          <w:rtl/>
        </w:rPr>
        <w:t>خ</w:t>
      </w:r>
      <w:r>
        <w:rPr>
          <w:rFonts w:hint="cs"/>
          <w:rtl/>
        </w:rPr>
        <w:t xml:space="preserve">) </w:t>
      </w:r>
      <w:r w:rsidR="009C32A0">
        <w:rPr>
          <w:rFonts w:hint="cs"/>
          <w:rtl/>
        </w:rPr>
        <w:t>الحد نقص والنهاية عجز والله تعالى منزه عن النقص والعجز</w:t>
      </w:r>
      <w:r>
        <w:rPr>
          <w:rFonts w:hint="cs"/>
          <w:rtl/>
        </w:rPr>
        <w:t>،</w:t>
      </w:r>
      <w:r w:rsidR="009C32A0">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Fonts w:hint="cs"/>
          <w:rtl/>
        </w:rPr>
        <w:t>،</w:t>
      </w:r>
      <w:r w:rsidR="009C32A0">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9C32A0">
        <w:rPr>
          <w:rFonts w:hint="cs"/>
          <w:rtl/>
        </w:rPr>
        <w:t>سبحانه وحاشاه</w:t>
      </w:r>
      <w:r>
        <w:rPr>
          <w:rFonts w:hint="cs"/>
          <w:rtl/>
        </w:rPr>
        <w:t>)</w:t>
      </w:r>
      <w:r w:rsidR="009C32A0">
        <w:rPr>
          <w:rFonts w:hint="cs"/>
          <w:rtl/>
        </w:rPr>
        <w:t xml:space="preserve"> فإنه يُتصور في الأذهان ما هو أكبر من ذاته</w:t>
      </w:r>
      <w:r>
        <w:rPr>
          <w:rFonts w:hint="cs"/>
          <w:rtl/>
        </w:rPr>
        <w:t>،</w:t>
      </w:r>
      <w:r w:rsidR="009C32A0">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9C32A0">
        <w:rPr>
          <w:rFonts w:hint="cs"/>
          <w:rtl/>
        </w:rPr>
        <w:t>الله أكبر</w:t>
      </w:r>
      <w:r>
        <w:rPr>
          <w:rFonts w:hint="cs"/>
          <w:rtl/>
        </w:rPr>
        <w:t>)</w:t>
      </w:r>
      <w:r w:rsidR="009C32A0">
        <w:rPr>
          <w:rFonts w:hint="cs"/>
          <w:rtl/>
        </w:rPr>
        <w:t xml:space="preserve"> فكيف جاز لهم أن يجعلوا ذات العرش اكبر من ذات الله سبحانه تعالى الله عما يصفون</w:t>
      </w:r>
      <w:r>
        <w:rPr>
          <w:rFonts w:hint="cs"/>
          <w:rtl/>
        </w:rPr>
        <w:t>،</w:t>
      </w:r>
      <w:r w:rsidR="009C32A0">
        <w:rPr>
          <w:rFonts w:hint="cs"/>
          <w:rtl/>
        </w:rPr>
        <w:t xml:space="preserve"> </w:t>
      </w:r>
      <w:r>
        <w:rPr>
          <w:rFonts w:hint="cs"/>
          <w:rtl/>
        </w:rPr>
        <w:t>(</w:t>
      </w:r>
      <w:r w:rsidR="009C32A0">
        <w:rPr>
          <w:rFonts w:hint="cs"/>
          <w:rtl/>
        </w:rPr>
        <w:t>تنبيه</w:t>
      </w:r>
      <w:r>
        <w:rPr>
          <w:rFonts w:hint="cs"/>
          <w:rtl/>
        </w:rPr>
        <w:t>):</w:t>
      </w:r>
      <w:r w:rsidR="009C32A0">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Fonts w:hint="cs"/>
          <w:rtl/>
        </w:rPr>
        <w:t>،</w:t>
      </w:r>
      <w:r w:rsidR="009C32A0">
        <w:rPr>
          <w:rFonts w:hint="cs"/>
          <w:rtl/>
        </w:rPr>
        <w:t xml:space="preserve"> </w:t>
      </w:r>
      <w:r>
        <w:rPr>
          <w:rFonts w:hint="cs"/>
          <w:rtl/>
        </w:rPr>
        <w:t>(</w:t>
      </w:r>
      <w:r w:rsidR="009C32A0">
        <w:rPr>
          <w:rFonts w:hint="cs"/>
          <w:rtl/>
        </w:rPr>
        <w:t>د</w:t>
      </w:r>
      <w:r>
        <w:rPr>
          <w:rFonts w:hint="cs"/>
          <w:rtl/>
        </w:rPr>
        <w:t>)</w:t>
      </w:r>
      <w:r w:rsidR="009C32A0">
        <w:rPr>
          <w:rFonts w:hint="cs"/>
          <w:rtl/>
        </w:rPr>
        <w:t xml:space="preserve"> الحدود مخلوقة والله عز وجل هو خالق الحدود فلا تجري الحدود على ذاته</w:t>
      </w:r>
      <w:r>
        <w:rPr>
          <w:rFonts w:hint="cs"/>
          <w:rtl/>
        </w:rPr>
        <w:t>،</w:t>
      </w:r>
      <w:r w:rsidR="009C32A0">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Fonts w:hint="cs"/>
          <w:rtl/>
        </w:rPr>
        <w:t>}،</w:t>
      </w:r>
      <w:r w:rsidR="009C32A0">
        <w:rPr>
          <w:rFonts w:hint="cs"/>
          <w:rtl/>
        </w:rPr>
        <w:t xml:space="preserve"> لا انتهاء لقدرته ولا حد لعلمه فكذلك ذاته المقدسة تنزهت عن الحد والحصر والمقدار</w:t>
      </w:r>
      <w:r>
        <w:rPr>
          <w:rFonts w:hint="cs"/>
          <w:rtl/>
        </w:rPr>
        <w:t>،</w:t>
      </w:r>
      <w:r w:rsidR="009C32A0">
        <w:rPr>
          <w:rFonts w:hint="cs"/>
          <w:rtl/>
        </w:rPr>
        <w:t xml:space="preserve"> لأن الحد نقص والحصر عجز والمقدار خلق و </w:t>
      </w:r>
      <w:r>
        <w:rPr>
          <w:rFonts w:hint="cs"/>
          <w:rtl/>
        </w:rPr>
        <w:t>(</w:t>
      </w:r>
      <w:r w:rsidR="009C32A0">
        <w:rPr>
          <w:rFonts w:hint="cs"/>
          <w:rtl/>
        </w:rPr>
        <w:t>الله اكبر</w:t>
      </w:r>
      <w:r>
        <w:rPr>
          <w:rFonts w:hint="cs"/>
          <w:rtl/>
        </w:rPr>
        <w:t>)</w:t>
      </w:r>
      <w:r w:rsidR="009C32A0">
        <w:rPr>
          <w:rFonts w:hint="cs"/>
          <w:rtl/>
        </w:rPr>
        <w:t xml:space="preserve"> من كل حد </w:t>
      </w:r>
      <w:r>
        <w:rPr>
          <w:rFonts w:hint="cs"/>
          <w:rtl/>
        </w:rPr>
        <w:t>(</w:t>
      </w:r>
      <w:r w:rsidR="009C32A0">
        <w:rPr>
          <w:rFonts w:hint="cs"/>
          <w:rtl/>
        </w:rPr>
        <w:t>وأعظم</w:t>
      </w:r>
      <w:r>
        <w:rPr>
          <w:rFonts w:hint="cs"/>
          <w:rtl/>
        </w:rPr>
        <w:t>)</w:t>
      </w:r>
      <w:r w:rsidR="009C32A0">
        <w:rPr>
          <w:rFonts w:hint="cs"/>
          <w:rtl/>
        </w:rPr>
        <w:t xml:space="preserve"> من كل حصر </w:t>
      </w:r>
      <w:r>
        <w:rPr>
          <w:rFonts w:hint="cs"/>
          <w:rtl/>
        </w:rPr>
        <w:t>(</w:t>
      </w:r>
      <w:r w:rsidR="009C32A0">
        <w:rPr>
          <w:rFonts w:hint="cs"/>
          <w:rtl/>
        </w:rPr>
        <w:t>ومتعال) على كل نهاية ومقدار</w:t>
      </w:r>
      <w:r>
        <w:rPr>
          <w:rFonts w:hint="cs"/>
          <w:rtl/>
        </w:rPr>
        <w:t>،</w:t>
      </w:r>
      <w:r w:rsidR="009C32A0">
        <w:rPr>
          <w:rFonts w:hint="cs"/>
          <w:rtl/>
        </w:rPr>
        <w:t xml:space="preserve"> حد الحدود وقدر المقادير على خلقه لا على ذاته سبحانه هو الواحد القهار</w:t>
      </w:r>
      <w:r>
        <w:rPr>
          <w:rFonts w:hint="cs"/>
          <w:rtl/>
        </w:rPr>
        <w:t>، (</w:t>
      </w:r>
      <w:r w:rsidR="009C32A0">
        <w:rPr>
          <w:rFonts w:hint="cs"/>
          <w:rtl/>
        </w:rPr>
        <w:t>ذ</w:t>
      </w:r>
      <w:r>
        <w:rPr>
          <w:rFonts w:hint="cs"/>
          <w:rtl/>
        </w:rPr>
        <w:t>)</w:t>
      </w:r>
      <w:r w:rsidR="009C32A0">
        <w:rPr>
          <w:rFonts w:hint="cs"/>
          <w:rtl/>
        </w:rPr>
        <w:t xml:space="preserve"> وليس معنى تنزيه الذات عن الحد والمقدار</w:t>
      </w:r>
      <w:r>
        <w:rPr>
          <w:rFonts w:hint="cs"/>
          <w:rtl/>
        </w:rPr>
        <w:t>،</w:t>
      </w:r>
      <w:r w:rsidR="009C32A0">
        <w:rPr>
          <w:rFonts w:hint="cs"/>
          <w:rtl/>
        </w:rPr>
        <w:t xml:space="preserve"> أن نصف الذات بالاتساع الحسي الذي لا نهاية له</w:t>
      </w:r>
      <w:r>
        <w:rPr>
          <w:rFonts w:hint="cs"/>
          <w:rtl/>
        </w:rPr>
        <w:t>،</w:t>
      </w:r>
      <w:r w:rsidR="009C32A0">
        <w:rPr>
          <w:rFonts w:hint="cs"/>
          <w:rtl/>
        </w:rPr>
        <w:t xml:space="preserve"> أو الكبر الحسي الذي يُقاس بالمسافات</w:t>
      </w:r>
      <w:r>
        <w:rPr>
          <w:rFonts w:hint="cs"/>
          <w:rtl/>
        </w:rPr>
        <w:t>،</w:t>
      </w:r>
      <w:r w:rsidR="009C32A0">
        <w:rPr>
          <w:rFonts w:hint="cs"/>
          <w:rtl/>
        </w:rPr>
        <w:t xml:space="preserve"> أو الحجم الذي تجاوز مقداره كل مقدار</w:t>
      </w:r>
      <w:r>
        <w:rPr>
          <w:rFonts w:hint="cs"/>
          <w:rtl/>
        </w:rPr>
        <w:t>،</w:t>
      </w:r>
      <w:r w:rsidR="009C32A0">
        <w:rPr>
          <w:rFonts w:hint="cs"/>
          <w:rtl/>
        </w:rPr>
        <w:t xml:space="preserve"> تعالى الله عن ذلك علواً كبيرا</w:t>
      </w:r>
      <w:r>
        <w:rPr>
          <w:rFonts w:hint="cs"/>
          <w:rtl/>
        </w:rPr>
        <w:t>،</w:t>
      </w:r>
      <w:r w:rsidR="009C32A0">
        <w:rPr>
          <w:rFonts w:hint="cs"/>
          <w:rtl/>
        </w:rPr>
        <w:t xml:space="preserve"> وإنما المقصود أن الذات منزه عن الحد والمقدار الحسيين</w:t>
      </w:r>
      <w:r>
        <w:rPr>
          <w:rFonts w:hint="cs"/>
          <w:rtl/>
        </w:rPr>
        <w:t>،</w:t>
      </w:r>
      <w:r w:rsidR="009C32A0">
        <w:rPr>
          <w:rFonts w:hint="cs"/>
          <w:rtl/>
        </w:rPr>
        <w:t xml:space="preserve"> كمالات الذات لا تتناهى</w:t>
      </w:r>
      <w:r>
        <w:rPr>
          <w:rFonts w:hint="cs"/>
          <w:rtl/>
        </w:rPr>
        <w:t>،</w:t>
      </w:r>
      <w:r w:rsidR="009C32A0">
        <w:rPr>
          <w:rFonts w:hint="cs"/>
          <w:rtl/>
        </w:rPr>
        <w:t xml:space="preserve"> فلا حد حسي ولا معنوي لذاته تنتهي إليه</w:t>
      </w:r>
      <w:r>
        <w:rPr>
          <w:rFonts w:hint="cs"/>
          <w:rtl/>
        </w:rPr>
        <w:t>،</w:t>
      </w:r>
      <w:r w:rsidR="009C32A0">
        <w:rPr>
          <w:rFonts w:hint="cs"/>
          <w:rtl/>
        </w:rPr>
        <w:t xml:space="preserve"> ولا مقدار لها يحدد </w:t>
      </w:r>
      <w:r w:rsidR="009C32A0">
        <w:rPr>
          <w:rFonts w:hint="cs"/>
          <w:rtl/>
        </w:rPr>
        <w:lastRenderedPageBreak/>
        <w:t>قدرها</w:t>
      </w:r>
      <w:r>
        <w:rPr>
          <w:rFonts w:hint="cs"/>
          <w:rtl/>
        </w:rPr>
        <w:t>،</w:t>
      </w:r>
      <w:r w:rsidR="009C32A0">
        <w:rPr>
          <w:rFonts w:hint="cs"/>
          <w:rtl/>
        </w:rPr>
        <w:t xml:space="preserve"> لأنّ الحد مهما اتسع</w:t>
      </w:r>
      <w:r>
        <w:rPr>
          <w:rFonts w:hint="cs"/>
          <w:rtl/>
        </w:rPr>
        <w:t>،</w:t>
      </w:r>
      <w:r w:rsidR="009C32A0">
        <w:rPr>
          <w:rFonts w:hint="cs"/>
          <w:rtl/>
        </w:rPr>
        <w:t xml:space="preserve"> ولأنّ المقدار مهما عظم وكبر فإنّه صفة المخلوق</w:t>
      </w:r>
      <w:r>
        <w:rPr>
          <w:rFonts w:hint="cs"/>
          <w:rtl/>
        </w:rPr>
        <w:t>،</w:t>
      </w:r>
      <w:r w:rsidR="009C32A0">
        <w:rPr>
          <w:rFonts w:hint="cs"/>
          <w:rtl/>
        </w:rPr>
        <w:t xml:space="preserve"> ويُحتمل وجود ما هو أكبر واعظم منه</w:t>
      </w:r>
      <w:r>
        <w:rPr>
          <w:rFonts w:hint="cs"/>
          <w:rtl/>
        </w:rPr>
        <w:t>،</w:t>
      </w:r>
      <w:r w:rsidR="009C32A0">
        <w:rPr>
          <w:rFonts w:hint="cs"/>
          <w:rtl/>
        </w:rPr>
        <w:t xml:space="preserve"> والخالق - سبحانه - لا تسري عليه قوانين المواد والأجسام لأنّه خالق كل ذلك</w:t>
      </w:r>
      <w:r>
        <w:rPr>
          <w:rFonts w:hint="cs"/>
          <w:rtl/>
        </w:rPr>
        <w:t>،</w:t>
      </w:r>
      <w:r w:rsidR="009C32A0">
        <w:rPr>
          <w:rFonts w:hint="cs"/>
          <w:rtl/>
        </w:rPr>
        <w:t xml:space="preserve"> ولا يُحتمل وجود ما هو أكبر</w:t>
      </w:r>
      <w:r>
        <w:rPr>
          <w:rFonts w:hint="cs"/>
          <w:rtl/>
        </w:rPr>
        <w:t>،</w:t>
      </w:r>
      <w:r w:rsidR="009C32A0">
        <w:rPr>
          <w:rFonts w:hint="cs"/>
          <w:rtl/>
        </w:rPr>
        <w:t xml:space="preserve"> أو اعظم منه</w:t>
      </w:r>
      <w:r>
        <w:rPr>
          <w:rFonts w:hint="cs"/>
          <w:rtl/>
        </w:rPr>
        <w:t>،</w:t>
      </w:r>
      <w:r w:rsidR="009C32A0">
        <w:rPr>
          <w:rFonts w:hint="cs"/>
          <w:rtl/>
        </w:rPr>
        <w:t xml:space="preserve"> لأنّ من أسمائه الحسنى</w:t>
      </w:r>
      <w:r>
        <w:rPr>
          <w:rFonts w:hint="cs"/>
          <w:rtl/>
        </w:rPr>
        <w:t>:</w:t>
      </w:r>
      <w:r w:rsidR="009C32A0">
        <w:rPr>
          <w:rFonts w:hint="cs"/>
          <w:rtl/>
        </w:rPr>
        <w:t xml:space="preserve"> الكبير</w:t>
      </w:r>
      <w:r>
        <w:rPr>
          <w:rFonts w:hint="cs"/>
          <w:rtl/>
        </w:rPr>
        <w:t xml:space="preserve"> </w:t>
      </w:r>
      <w:r w:rsidR="009C32A0">
        <w:rPr>
          <w:rFonts w:hint="cs"/>
          <w:rtl/>
        </w:rPr>
        <w:t>المتعال</w:t>
      </w:r>
      <w:r>
        <w:rPr>
          <w:rFonts w:hint="cs"/>
          <w:rtl/>
        </w:rPr>
        <w:t>،</w:t>
      </w:r>
      <w:r w:rsidR="009C32A0">
        <w:rPr>
          <w:rFonts w:hint="cs"/>
          <w:rtl/>
        </w:rPr>
        <w:t xml:space="preserve"> والعلي العظيم</w:t>
      </w:r>
      <w:r>
        <w:rPr>
          <w:rFonts w:hint="cs"/>
          <w:rtl/>
        </w:rPr>
        <w:t>،</w:t>
      </w:r>
      <w:r w:rsidR="009C32A0">
        <w:rPr>
          <w:rFonts w:hint="cs"/>
          <w:rtl/>
        </w:rPr>
        <w:t xml:space="preserve"> ليس كمثل ذاته ذات ولا مثل صفاته صفات</w:t>
      </w:r>
      <w:r>
        <w:rPr>
          <w:rFonts w:hint="cs"/>
          <w:rtl/>
        </w:rPr>
        <w:t>،</w:t>
      </w:r>
      <w:r w:rsidR="009C32A0">
        <w:rPr>
          <w:rFonts w:hint="cs"/>
          <w:rtl/>
        </w:rPr>
        <w:t xml:space="preserve"> منزه عن كل ما يخطر بالبال لأنّ كل ما خطر بالبال هو مخلوق</w:t>
      </w:r>
      <w:r>
        <w:rPr>
          <w:rFonts w:hint="cs"/>
          <w:rtl/>
        </w:rPr>
        <w:t>،</w:t>
      </w:r>
      <w:r w:rsidR="009C32A0">
        <w:rPr>
          <w:rFonts w:hint="cs"/>
          <w:rtl/>
        </w:rPr>
        <w:t xml:space="preserve"> والمخلوق المحدث المحدود لا يُدرك الخالق القديم المنزه عن الحدود</w:t>
      </w:r>
      <w:r>
        <w:rPr>
          <w:rFonts w:hint="cs"/>
          <w:rtl/>
        </w:rPr>
        <w:t>،</w:t>
      </w:r>
      <w:r w:rsidR="009C32A0">
        <w:rPr>
          <w:rFonts w:hint="cs"/>
          <w:rtl/>
        </w:rPr>
        <w:t xml:space="preserve"> فالله تعالى أكبر من كل تصور</w:t>
      </w:r>
      <w:r>
        <w:rPr>
          <w:rFonts w:hint="cs"/>
          <w:rtl/>
        </w:rPr>
        <w:t>،</w:t>
      </w:r>
      <w:r w:rsidR="009C32A0">
        <w:rPr>
          <w:rFonts w:hint="cs"/>
          <w:rtl/>
        </w:rPr>
        <w:t xml:space="preserve"> وأعظم من أن نحيط به علما</w:t>
      </w:r>
      <w:r>
        <w:rPr>
          <w:rFonts w:hint="cs"/>
          <w:rtl/>
        </w:rPr>
        <w:t>،</w:t>
      </w:r>
      <w:r w:rsidR="009C32A0">
        <w:rPr>
          <w:rFonts w:hint="cs"/>
          <w:rtl/>
        </w:rPr>
        <w:t xml:space="preserve"> </w:t>
      </w:r>
      <w:r>
        <w:rPr>
          <w:rFonts w:hint="cs"/>
          <w:rtl/>
        </w:rPr>
        <w:t>{</w:t>
      </w:r>
      <w:r w:rsidR="009C32A0">
        <w:rPr>
          <w:rFonts w:hint="cs"/>
          <w:rtl/>
        </w:rPr>
        <w:t>يَعْلَمُ مَا بَيْنَ أَيْدِيهِمْ وَمَا خَلْفَهُمْ وَلَا يُحِيطُونَ بِهِ عِلْمًا</w:t>
      </w:r>
      <w:r>
        <w:rPr>
          <w:rFonts w:hint="cs"/>
          <w:rtl/>
        </w:rPr>
        <w:t>}</w:t>
      </w:r>
      <w:r w:rsidR="009C32A0">
        <w:rPr>
          <w:rFonts w:hint="cs"/>
          <w:rtl/>
        </w:rPr>
        <w:t xml:space="preserve"> </w:t>
      </w:r>
      <w:r>
        <w:rPr>
          <w:rFonts w:hint="cs"/>
          <w:rtl/>
        </w:rPr>
        <w:t>[</w:t>
      </w:r>
      <w:r w:rsidR="009C32A0">
        <w:rPr>
          <w:rFonts w:hint="cs"/>
          <w:rtl/>
        </w:rPr>
        <w:t>طه</w:t>
      </w:r>
      <w:r>
        <w:rPr>
          <w:rFonts w:hint="cs"/>
          <w:rtl/>
        </w:rPr>
        <w:t>:</w:t>
      </w:r>
      <w:r w:rsidR="009C32A0">
        <w:rPr>
          <w:rFonts w:hint="cs"/>
          <w:rtl/>
        </w:rPr>
        <w:t xml:space="preserve"> 110</w:t>
      </w:r>
      <w:r>
        <w:rPr>
          <w:rFonts w:hint="cs"/>
          <w:rtl/>
        </w:rPr>
        <w:t>]،</w:t>
      </w:r>
      <w:r w:rsidR="009C32A0">
        <w:rPr>
          <w:rFonts w:hint="cs"/>
          <w:rtl/>
        </w:rPr>
        <w:t xml:space="preserve"> فالذات لا يُدرك</w:t>
      </w:r>
      <w:r>
        <w:rPr>
          <w:rFonts w:hint="cs"/>
          <w:rtl/>
        </w:rPr>
        <w:t>،</w:t>
      </w:r>
      <w:r w:rsidR="009C32A0">
        <w:rPr>
          <w:rFonts w:hint="cs"/>
          <w:rtl/>
        </w:rPr>
        <w:t xml:space="preserve"> ويجب على كل مسلم الاقرار بالعجز ومنع التتشبيه والتمثيل</w:t>
      </w:r>
      <w:r>
        <w:rPr>
          <w:rFonts w:hint="cs"/>
          <w:rtl/>
        </w:rPr>
        <w:t>،</w:t>
      </w:r>
      <w:r w:rsidR="009C32A0">
        <w:rPr>
          <w:rFonts w:hint="cs"/>
          <w:rtl/>
        </w:rPr>
        <w:t xml:space="preserve"> وأن يعيش على التقديس والتنزيه والتسبيح</w:t>
      </w:r>
      <w:r>
        <w:rPr>
          <w:rFonts w:hint="cs"/>
          <w:rtl/>
        </w:rPr>
        <w:t xml:space="preserve">، </w:t>
      </w:r>
      <w:r w:rsidR="009C32A0">
        <w:rPr>
          <w:rFonts w:hint="cs"/>
          <w:rtl/>
        </w:rPr>
        <w:t xml:space="preserve">فالله تعالى </w:t>
      </w:r>
      <w:r>
        <w:rPr>
          <w:rFonts w:hint="cs"/>
          <w:rtl/>
        </w:rPr>
        <w:t>{</w:t>
      </w:r>
      <w:r w:rsidR="009C32A0">
        <w:rPr>
          <w:rFonts w:hint="cs"/>
          <w:rtl/>
        </w:rPr>
        <w:t>ليس كمثله شيء</w:t>
      </w:r>
      <w:r>
        <w:rPr>
          <w:rFonts w:hint="cs"/>
          <w:rtl/>
        </w:rPr>
        <w:t>}</w:t>
      </w:r>
      <w:r w:rsidR="009C32A0">
        <w:rPr>
          <w:rFonts w:hint="cs"/>
          <w:rtl/>
        </w:rPr>
        <w:t xml:space="preserve"> وكل شيء سواه مخلوق مقدر محدود</w:t>
      </w:r>
      <w:r>
        <w:rPr>
          <w:rFonts w:hint="cs"/>
          <w:rtl/>
        </w:rPr>
        <w:t>،</w:t>
      </w:r>
      <w:r w:rsidR="009C32A0">
        <w:rPr>
          <w:rFonts w:hint="cs"/>
          <w:rtl/>
        </w:rPr>
        <w:t xml:space="preserve"> وكما ذكرت فإنّ من أراد التنزيه والتقديس فليذهب بعقله إلى ما فوق المادة والاجسام</w:t>
      </w:r>
      <w:r>
        <w:rPr>
          <w:rFonts w:hint="cs"/>
          <w:rtl/>
        </w:rPr>
        <w:t>،</w:t>
      </w:r>
      <w:r w:rsidR="009C32A0">
        <w:rPr>
          <w:rFonts w:hint="cs"/>
          <w:rtl/>
        </w:rPr>
        <w:t xml:space="preserve"> وليصف ذهنه عن مماثلة ذات الله تعالى بذوات خلقه</w:t>
      </w:r>
      <w:r>
        <w:rPr>
          <w:rFonts w:hint="cs"/>
          <w:rtl/>
        </w:rPr>
        <w:t>،</w:t>
      </w:r>
      <w:r w:rsidR="009C32A0">
        <w:rPr>
          <w:rFonts w:hint="cs"/>
          <w:rtl/>
        </w:rPr>
        <w:t xml:space="preserve"> وليذهب إلى التسبيح القلبي والتنزيه العقلي والتقديس العقائدي حيث الاقرار بالعجز عن الإدراك</w:t>
      </w:r>
      <w:r>
        <w:rPr>
          <w:rFonts w:hint="cs"/>
          <w:rtl/>
        </w:rPr>
        <w:t>،</w:t>
      </w:r>
      <w:r w:rsidR="009C32A0">
        <w:rPr>
          <w:rFonts w:hint="cs"/>
          <w:rtl/>
        </w:rPr>
        <w:t xml:space="preserve"> واليقين في وجود الواحد الأحد الذي ليس كمثل وجوده وجود</w:t>
      </w:r>
      <w:r>
        <w:rPr>
          <w:rFonts w:hint="cs"/>
          <w:rtl/>
        </w:rPr>
        <w:t>،</w:t>
      </w:r>
      <w:r w:rsidR="009C32A0">
        <w:rPr>
          <w:rFonts w:hint="cs"/>
          <w:rtl/>
        </w:rPr>
        <w:t xml:space="preserve"> ولا كمثل ذاته ذات</w:t>
      </w:r>
      <w:r>
        <w:rPr>
          <w:rFonts w:hint="cs"/>
          <w:rtl/>
        </w:rPr>
        <w:t>،</w:t>
      </w:r>
      <w:r w:rsidR="009C32A0">
        <w:rPr>
          <w:rFonts w:hint="cs"/>
          <w:rtl/>
        </w:rPr>
        <w:t xml:space="preserve"> ولا كمثل صفاته صفات</w:t>
      </w:r>
      <w:r>
        <w:rPr>
          <w:rFonts w:hint="cs"/>
          <w:rtl/>
        </w:rPr>
        <w:t>،</w:t>
      </w:r>
      <w:r w:rsidR="009C32A0">
        <w:rPr>
          <w:rFonts w:hint="cs"/>
          <w:rtl/>
        </w:rPr>
        <w:t xml:space="preserve"> تنزهت ذاته وصفاته عن كل حد ومقدار</w:t>
      </w:r>
      <w:r>
        <w:rPr>
          <w:rFonts w:hint="cs"/>
          <w:rtl/>
        </w:rPr>
        <w:t>،</w:t>
      </w:r>
      <w:r w:rsidR="009C32A0">
        <w:rPr>
          <w:rFonts w:hint="cs"/>
          <w:rtl/>
        </w:rPr>
        <w:t xml:space="preserve"> فإن لم يستطع ان يخرج من اطار المادة والاجسام وجميع المخلوقات المحدودة المقدرة</w:t>
      </w:r>
      <w:r>
        <w:rPr>
          <w:rFonts w:hint="cs"/>
          <w:rtl/>
        </w:rPr>
        <w:t>،</w:t>
      </w:r>
      <w:r w:rsidR="009C32A0">
        <w:rPr>
          <w:rFonts w:hint="cs"/>
          <w:rtl/>
        </w:rPr>
        <w:t xml:space="preserve"> فليوقن أنّه عامي ناقص العلم في باب توحيد الذات والصفات والافعال</w:t>
      </w:r>
      <w:r>
        <w:rPr>
          <w:rFonts w:hint="cs"/>
          <w:rtl/>
        </w:rPr>
        <w:t>،</w:t>
      </w:r>
      <w:r w:rsidR="009C32A0">
        <w:rPr>
          <w:rFonts w:hint="cs"/>
          <w:rtl/>
        </w:rPr>
        <w:t xml:space="preserve"> فلا يحل له القول على الله تعالى بغير علم ولا هدى ولا كتاب منير</w:t>
      </w:r>
      <w:r>
        <w:rPr>
          <w:rFonts w:hint="cs"/>
          <w:rtl/>
        </w:rPr>
        <w:t>،</w:t>
      </w:r>
      <w:r w:rsidR="009C32A0">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9C32A0">
        <w:rPr>
          <w:rFonts w:hint="cs"/>
          <w:rtl/>
        </w:rPr>
        <w:t xml:space="preserve"> وكل ما خطر بالبال فالله تعالى بخلافه</w:t>
      </w:r>
      <w:r>
        <w:rPr>
          <w:rFonts w:hint="cs"/>
          <w:rtl/>
        </w:rPr>
        <w:t>،</w:t>
      </w:r>
      <w:r w:rsidR="009C32A0">
        <w:rPr>
          <w:rFonts w:hint="cs"/>
          <w:rtl/>
        </w:rPr>
        <w:t xml:space="preserve"> ونحن لا نُطالب كل مسلم بالولوج في علم التقديس</w:t>
      </w:r>
      <w:r>
        <w:rPr>
          <w:rFonts w:hint="cs"/>
          <w:rtl/>
        </w:rPr>
        <w:t>،</w:t>
      </w:r>
      <w:r w:rsidR="009C32A0">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r w:rsidR="009C32A0">
        <w:rPr>
          <w:rFonts w:hint="cs"/>
          <w:rtl/>
        </w:rPr>
        <w:t xml:space="preserve"> </w:t>
      </w:r>
      <w:r>
        <w:rPr>
          <w:rFonts w:hint="cs"/>
          <w:rtl/>
        </w:rPr>
        <w:t>(</w:t>
      </w:r>
      <w:r w:rsidR="009C32A0">
        <w:rPr>
          <w:rFonts w:hint="cs"/>
          <w:rtl/>
        </w:rPr>
        <w:t>ر</w:t>
      </w:r>
      <w:r>
        <w:rPr>
          <w:rFonts w:hint="cs"/>
          <w:rtl/>
        </w:rPr>
        <w:t>)</w:t>
      </w:r>
      <w:r w:rsidR="009C32A0">
        <w:rPr>
          <w:rFonts w:hint="cs"/>
          <w:rtl/>
        </w:rPr>
        <w:t xml:space="preserve"> قد يأتي بعض من حرم نور التنزيه - أسأل الله تعالى لهم بقلب صادق هذه البصيرة وهذا النور - فيقول</w:t>
      </w:r>
      <w:r>
        <w:rPr>
          <w:rFonts w:hint="cs"/>
          <w:rtl/>
        </w:rPr>
        <w:t>:</w:t>
      </w:r>
      <w:r w:rsidR="009C32A0">
        <w:rPr>
          <w:rFonts w:hint="cs"/>
          <w:rtl/>
        </w:rPr>
        <w:t xml:space="preserve"> إن الله عز وجل وصف نفسه بأنه سميع بصير </w:t>
      </w:r>
      <w:r>
        <w:rPr>
          <w:rFonts w:hint="cs"/>
          <w:rtl/>
        </w:rPr>
        <w:t>{</w:t>
      </w:r>
      <w:r w:rsidR="009C32A0">
        <w:rPr>
          <w:rFonts w:hint="cs"/>
          <w:rtl/>
        </w:rPr>
        <w:t>وكان الله سميعا بصيرا</w:t>
      </w:r>
      <w:r>
        <w:rPr>
          <w:rFonts w:hint="cs"/>
          <w:rtl/>
        </w:rPr>
        <w:t xml:space="preserve">} </w:t>
      </w:r>
      <w:r w:rsidR="009C32A0">
        <w:rPr>
          <w:rFonts w:hint="cs"/>
          <w:rtl/>
        </w:rPr>
        <w:t xml:space="preserve">ووصف بعض خلقه بأنه سميع بصير </w:t>
      </w:r>
      <w:r>
        <w:rPr>
          <w:rFonts w:hint="cs"/>
          <w:rtl/>
        </w:rPr>
        <w:t>{</w:t>
      </w:r>
      <w:r w:rsidR="009C32A0">
        <w:rPr>
          <w:rFonts w:hint="cs"/>
          <w:rtl/>
        </w:rPr>
        <w:t>فجعلناه سميعا بصيرا</w:t>
      </w:r>
      <w:r>
        <w:rPr>
          <w:rFonts w:hint="cs"/>
          <w:rtl/>
        </w:rPr>
        <w:t>}،</w:t>
      </w:r>
      <w:r w:rsidR="009C32A0">
        <w:rPr>
          <w:rFonts w:hint="cs"/>
          <w:rtl/>
        </w:rPr>
        <w:t xml:space="preserve"> فما المانع أن يكون للمخلوق حد وينتهي إليه وكذلك يكون للخالق حد ينتهي إليه ولا يعلمه إلا هو</w:t>
      </w:r>
      <w:r>
        <w:rPr>
          <w:rFonts w:hint="cs"/>
          <w:rtl/>
        </w:rPr>
        <w:t>،</w:t>
      </w:r>
      <w:r w:rsidR="009C32A0">
        <w:rPr>
          <w:rFonts w:hint="cs"/>
          <w:rtl/>
        </w:rPr>
        <w:t xml:space="preserve"> والجواب عن تلك الشبهة من وجهين</w:t>
      </w:r>
      <w:r>
        <w:rPr>
          <w:rFonts w:hint="cs"/>
          <w:rtl/>
        </w:rPr>
        <w:t>:</w:t>
      </w:r>
      <w:r w:rsidR="009C32A0">
        <w:rPr>
          <w:rFonts w:hint="cs"/>
          <w:rtl/>
        </w:rPr>
        <w:t xml:space="preserve"> الوجه الأول</w:t>
      </w:r>
      <w:r>
        <w:rPr>
          <w:rFonts w:hint="cs"/>
          <w:rtl/>
        </w:rPr>
        <w:t>:</w:t>
      </w:r>
      <w:r w:rsidR="009C32A0">
        <w:rPr>
          <w:rFonts w:hint="cs"/>
          <w:rtl/>
        </w:rPr>
        <w:t xml:space="preserve"> أن السمع والبصر والعلم صفات مدح من كل وجه ولله تعالى كمال الصفات من العلم والسمع والبصر</w:t>
      </w:r>
      <w:r>
        <w:rPr>
          <w:rFonts w:hint="cs"/>
          <w:rtl/>
        </w:rPr>
        <w:t>،</w:t>
      </w:r>
      <w:r w:rsidR="009C32A0">
        <w:rPr>
          <w:rFonts w:hint="cs"/>
          <w:rtl/>
        </w:rPr>
        <w:t xml:space="preserve"> وقد أكرم بعض خلقه بالسمع والبصر والعلم تفضلا منه سبحانه</w:t>
      </w:r>
      <w:r>
        <w:rPr>
          <w:rFonts w:hint="cs"/>
          <w:rtl/>
        </w:rPr>
        <w:t>،</w:t>
      </w:r>
      <w:r w:rsidR="009C32A0">
        <w:rPr>
          <w:rFonts w:hint="cs"/>
          <w:rtl/>
        </w:rPr>
        <w:t xml:space="preserve"> ولكن الحد والنهاية والحصر </w:t>
      </w:r>
      <w:r w:rsidR="009C32A0">
        <w:rPr>
          <w:rFonts w:hint="cs"/>
          <w:rtl/>
        </w:rPr>
        <w:lastRenderedPageBreak/>
        <w:t>صفات عجز ونقص وقصور فهي سمة المخلوق الفقير إلى ربه والتنزه عن الحد والنهاية والحصر صفة الكمال اللازمة للقدوس الكبير المتعال</w:t>
      </w:r>
      <w:r>
        <w:rPr>
          <w:rFonts w:hint="cs"/>
          <w:rtl/>
        </w:rPr>
        <w:t>،</w:t>
      </w:r>
      <w:r w:rsidR="009C32A0">
        <w:rPr>
          <w:rFonts w:hint="cs"/>
          <w:rtl/>
        </w:rPr>
        <w:t xml:space="preserve"> وشتان بين الخالق والمخلوق وبين الغني عن الخلق والفقير إلى الله </w:t>
      </w:r>
      <w:r>
        <w:rPr>
          <w:rFonts w:hint="cs"/>
          <w:rtl/>
        </w:rPr>
        <w:t>(</w:t>
      </w:r>
      <w:r w:rsidR="009C32A0">
        <w:rPr>
          <w:rFonts w:hint="cs"/>
          <w:rtl/>
        </w:rPr>
        <w:t>أنتم الفقراء إلى الله والله هو الغني الحميد</w:t>
      </w:r>
      <w:r>
        <w:rPr>
          <w:rFonts w:hint="cs"/>
          <w:rtl/>
        </w:rPr>
        <w:t>)</w:t>
      </w:r>
      <w:r w:rsidR="009C32A0">
        <w:rPr>
          <w:rFonts w:hint="cs"/>
          <w:rtl/>
        </w:rPr>
        <w:t xml:space="preserve"> والوجه الثاني للجواب</w:t>
      </w:r>
      <w:r>
        <w:rPr>
          <w:rFonts w:hint="cs"/>
          <w:rtl/>
        </w:rPr>
        <w:t>:</w:t>
      </w:r>
      <w:r w:rsidR="009C32A0">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9C32A0">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9C32A0">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Fonts w:hint="cs"/>
          <w:rtl/>
        </w:rPr>
        <w:t>،</w:t>
      </w:r>
      <w:r w:rsidR="009C32A0">
        <w:rPr>
          <w:rFonts w:hint="cs"/>
          <w:rtl/>
        </w:rPr>
        <w:t xml:space="preserve"> والحاصل أن الحد والحصر حاصل للمخلوق في ذاته وصفاته والتنزيه عن الحد والحصر والمقدار حاصل لله تعالى في ذاته وصفاته</w:t>
      </w:r>
      <w:r>
        <w:rPr>
          <w:rFonts w:hint="cs"/>
          <w:rtl/>
        </w:rPr>
        <w:t>،</w:t>
      </w:r>
      <w:r w:rsidR="009C32A0">
        <w:rPr>
          <w:rFonts w:hint="cs"/>
          <w:rtl/>
        </w:rPr>
        <w:t xml:space="preserve"> </w:t>
      </w:r>
      <w:r>
        <w:rPr>
          <w:rFonts w:hint="cs"/>
          <w:rtl/>
        </w:rPr>
        <w:t>(</w:t>
      </w:r>
      <w:r w:rsidR="009C32A0">
        <w:rPr>
          <w:rFonts w:hint="cs"/>
          <w:rtl/>
        </w:rPr>
        <w:t>تنبيه ضروري</w:t>
      </w:r>
      <w:r>
        <w:rPr>
          <w:rFonts w:hint="cs"/>
          <w:rtl/>
        </w:rPr>
        <w:t>):</w:t>
      </w:r>
      <w:r w:rsidR="009C32A0">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Fonts w:hint="cs"/>
          <w:rtl/>
        </w:rPr>
        <w:t>،</w:t>
      </w:r>
      <w:r w:rsidR="009C32A0">
        <w:rPr>
          <w:rFonts w:hint="cs"/>
          <w:rtl/>
        </w:rPr>
        <w:t xml:space="preserve"> والعجز عن درك الإدراك إدراك</w:t>
      </w:r>
      <w:r>
        <w:rPr>
          <w:rFonts w:hint="cs"/>
          <w:rtl/>
        </w:rPr>
        <w:t>،</w:t>
      </w:r>
      <w:r w:rsidR="009C32A0">
        <w:rPr>
          <w:rFonts w:hint="cs"/>
          <w:rtl/>
        </w:rPr>
        <w:t xml:space="preserve"> </w:t>
      </w:r>
      <w:r>
        <w:rPr>
          <w:rFonts w:hint="cs"/>
          <w:rtl/>
        </w:rPr>
        <w:t>(</w:t>
      </w:r>
      <w:r w:rsidR="009C32A0">
        <w:rPr>
          <w:rFonts w:hint="cs"/>
          <w:rtl/>
        </w:rPr>
        <w:t>ز</w:t>
      </w:r>
      <w:r>
        <w:rPr>
          <w:rFonts w:hint="cs"/>
          <w:rtl/>
        </w:rPr>
        <w:t>)</w:t>
      </w:r>
      <w:r w:rsidR="009C32A0">
        <w:rPr>
          <w:rFonts w:hint="cs"/>
          <w:rtl/>
        </w:rPr>
        <w:t xml:space="preserve"> الكون جميعه من العرش إلى الفرش مهما اتسع محدود</w:t>
      </w:r>
      <w:r>
        <w:rPr>
          <w:rFonts w:hint="cs"/>
          <w:rtl/>
        </w:rPr>
        <w:t>،</w:t>
      </w:r>
      <w:r w:rsidR="009C32A0">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Fonts w:hint="cs"/>
          <w:rtl/>
        </w:rPr>
        <w:t>،</w:t>
      </w:r>
      <w:r w:rsidR="009C32A0">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9C32A0">
        <w:rPr>
          <w:rFonts w:hint="cs"/>
          <w:rtl/>
        </w:rPr>
        <w:t>والله اكبر</w:t>
      </w:r>
      <w:r>
        <w:rPr>
          <w:rFonts w:hint="cs"/>
          <w:rtl/>
        </w:rPr>
        <w:t>)</w:t>
      </w:r>
      <w:r w:rsidR="009C32A0">
        <w:rPr>
          <w:rFonts w:hint="cs"/>
          <w:rtl/>
        </w:rPr>
        <w:t xml:space="preserve"> عن كل تصور محدود جل عن الإحاطة</w:t>
      </w:r>
      <w:r>
        <w:rPr>
          <w:rFonts w:hint="cs"/>
          <w:rtl/>
        </w:rPr>
        <w:t>،</w:t>
      </w:r>
      <w:r w:rsidR="009C32A0">
        <w:rPr>
          <w:rFonts w:hint="cs"/>
          <w:rtl/>
        </w:rPr>
        <w:t xml:space="preserve"> إذ كيف يحيط المخلوق المحدود علما بالخالق المنزه عن الحدود </w:t>
      </w:r>
      <w:r>
        <w:rPr>
          <w:rFonts w:hint="cs"/>
          <w:rtl/>
        </w:rPr>
        <w:t>(</w:t>
      </w:r>
      <w:r w:rsidR="009C32A0">
        <w:rPr>
          <w:rFonts w:hint="cs"/>
          <w:rtl/>
        </w:rPr>
        <w:t>ولا يحيطون به علما</w:t>
      </w:r>
      <w:r>
        <w:rPr>
          <w:rFonts w:hint="cs"/>
          <w:rtl/>
        </w:rPr>
        <w:t>)</w:t>
      </w:r>
      <w:r w:rsidR="009C32A0">
        <w:rPr>
          <w:rFonts w:hint="cs"/>
          <w:rtl/>
        </w:rPr>
        <w:t xml:space="preserve"> و </w:t>
      </w:r>
      <w:r>
        <w:rPr>
          <w:rFonts w:hint="cs"/>
          <w:rtl/>
        </w:rPr>
        <w:t>(</w:t>
      </w:r>
      <w:r w:rsidR="009C32A0">
        <w:rPr>
          <w:rFonts w:hint="cs"/>
          <w:rtl/>
        </w:rPr>
        <w:t>ليس كمثله شيء</w:t>
      </w:r>
      <w:r>
        <w:rPr>
          <w:rFonts w:hint="cs"/>
          <w:rtl/>
        </w:rPr>
        <w:t>)</w:t>
      </w:r>
      <w:r w:rsidR="009C32A0">
        <w:rPr>
          <w:rFonts w:hint="cs"/>
          <w:rtl/>
        </w:rPr>
        <w:t xml:space="preserve"> و </w:t>
      </w:r>
      <w:r>
        <w:rPr>
          <w:rFonts w:hint="cs"/>
          <w:rtl/>
        </w:rPr>
        <w:t>(</w:t>
      </w:r>
      <w:r w:rsidR="009C32A0">
        <w:rPr>
          <w:rFonts w:hint="cs"/>
          <w:rtl/>
        </w:rPr>
        <w:t>لم يكن له كفوا احد</w:t>
      </w:r>
      <w:r>
        <w:rPr>
          <w:rFonts w:hint="cs"/>
          <w:rtl/>
        </w:rPr>
        <w:t>)</w:t>
      </w:r>
      <w:r w:rsidR="009C32A0">
        <w:rPr>
          <w:rFonts w:hint="cs"/>
          <w:rtl/>
        </w:rPr>
        <w:t xml:space="preserve"> ف </w:t>
      </w:r>
      <w:r>
        <w:rPr>
          <w:rFonts w:hint="cs"/>
          <w:rtl/>
        </w:rPr>
        <w:t>(</w:t>
      </w:r>
      <w:r w:rsidR="009C32A0">
        <w:rPr>
          <w:rFonts w:hint="cs"/>
          <w:rtl/>
        </w:rPr>
        <w:t>لا تضربوا لله الأمثال إن الله يعلم وأنتم لا تعلمون</w:t>
      </w:r>
      <w:r>
        <w:rPr>
          <w:rFonts w:hint="cs"/>
          <w:rtl/>
        </w:rPr>
        <w:t>)،</w:t>
      </w:r>
      <w:r w:rsidR="009C32A0">
        <w:rPr>
          <w:rFonts w:hint="cs"/>
          <w:rtl/>
        </w:rPr>
        <w:t xml:space="preserve"> </w:t>
      </w:r>
      <w:r>
        <w:rPr>
          <w:rFonts w:hint="cs"/>
          <w:rtl/>
        </w:rPr>
        <w:t>(</w:t>
      </w:r>
      <w:r w:rsidR="009C32A0">
        <w:rPr>
          <w:rFonts w:hint="cs"/>
          <w:rtl/>
        </w:rPr>
        <w:t>س</w:t>
      </w:r>
      <w:r>
        <w:rPr>
          <w:rFonts w:hint="cs"/>
          <w:rtl/>
        </w:rPr>
        <w:t>)</w:t>
      </w:r>
      <w:r w:rsidR="009C32A0">
        <w:rPr>
          <w:rFonts w:hint="cs"/>
          <w:rtl/>
        </w:rPr>
        <w:t xml:space="preserve"> نسبة الغير محدود إلى المحدود هي نفسها نسبة الخالق إلى المخلوق ونسبة الإله الرب إلى العبد المربوب</w:t>
      </w:r>
      <w:r>
        <w:rPr>
          <w:rFonts w:hint="cs"/>
          <w:rtl/>
        </w:rPr>
        <w:t>،</w:t>
      </w:r>
      <w:r w:rsidR="009C32A0">
        <w:rPr>
          <w:rFonts w:hint="cs"/>
          <w:rtl/>
        </w:rPr>
        <w:t xml:space="preserve"> ومنه نعلم بعض الحكمة من قولنا عند كل صلاة وقيام وركوع وسجود </w:t>
      </w:r>
      <w:r>
        <w:rPr>
          <w:rFonts w:hint="cs"/>
          <w:rtl/>
        </w:rPr>
        <w:t>(</w:t>
      </w:r>
      <w:r w:rsidR="009C32A0">
        <w:rPr>
          <w:rFonts w:hint="cs"/>
          <w:rtl/>
        </w:rPr>
        <w:t>الله أكبر</w:t>
      </w:r>
      <w:r>
        <w:rPr>
          <w:rFonts w:hint="cs"/>
          <w:rtl/>
        </w:rPr>
        <w:t>)</w:t>
      </w:r>
      <w:r w:rsidR="009C32A0">
        <w:rPr>
          <w:rFonts w:hint="cs"/>
          <w:rtl/>
        </w:rPr>
        <w:t xml:space="preserve"> أي عن كل تصور وحدود وعن كل عجز وعيب ونقص وقصور</w:t>
      </w:r>
      <w:r>
        <w:rPr>
          <w:rFonts w:hint="cs"/>
          <w:rtl/>
        </w:rPr>
        <w:t>،</w:t>
      </w:r>
      <w:r w:rsidR="009C32A0">
        <w:rPr>
          <w:rFonts w:hint="cs"/>
          <w:rtl/>
        </w:rPr>
        <w:t xml:space="preserve"> </w:t>
      </w:r>
      <w:r>
        <w:rPr>
          <w:rFonts w:hint="cs"/>
          <w:rtl/>
        </w:rPr>
        <w:t>(</w:t>
      </w:r>
      <w:r w:rsidR="009C32A0">
        <w:rPr>
          <w:rFonts w:hint="cs"/>
          <w:rtl/>
        </w:rPr>
        <w:t>ش</w:t>
      </w:r>
      <w:r>
        <w:rPr>
          <w:rFonts w:hint="cs"/>
          <w:rtl/>
        </w:rPr>
        <w:t>)</w:t>
      </w:r>
      <w:r w:rsidR="009C32A0">
        <w:rPr>
          <w:rFonts w:hint="cs"/>
          <w:rtl/>
        </w:rPr>
        <w:t xml:space="preserve"> الله تعالى منزه عن الحد والمقدار وكل ما يفيد الحصر والنهاية لأن ذلك سمة المخلوق الذي حده خالقه على كمية ومقدار معين</w:t>
      </w:r>
      <w:r>
        <w:rPr>
          <w:rFonts w:hint="cs"/>
          <w:rtl/>
        </w:rPr>
        <w:t>،</w:t>
      </w:r>
      <w:r w:rsidR="009C32A0">
        <w:rPr>
          <w:rFonts w:hint="cs"/>
          <w:rtl/>
        </w:rPr>
        <w:t xml:space="preserve"> وعلى تنزيه الله تعالى عن الحد والمقدار إجماع أهل التنزيه من هذه الأمة</w:t>
      </w:r>
      <w:r>
        <w:rPr>
          <w:rFonts w:hint="cs"/>
          <w:rtl/>
        </w:rPr>
        <w:t>،</w:t>
      </w:r>
      <w:r w:rsidR="009C32A0">
        <w:rPr>
          <w:rFonts w:hint="cs"/>
          <w:rtl/>
        </w:rPr>
        <w:t xml:space="preserve"> حتى ما نقل عن البعض بإثبات الحد فإنما يقصد بالحد الحاجز بين الخالق والمخلوق لا أكثر </w:t>
      </w:r>
      <w:r>
        <w:rPr>
          <w:rFonts w:hint="cs"/>
          <w:rtl/>
        </w:rPr>
        <w:t>(</w:t>
      </w:r>
      <w:r w:rsidR="009C32A0">
        <w:rPr>
          <w:rFonts w:hint="cs"/>
          <w:rtl/>
        </w:rPr>
        <w:t>أي الحد الذي يمنع الاتحاد والحلول</w:t>
      </w:r>
      <w:r>
        <w:rPr>
          <w:rFonts w:hint="cs"/>
          <w:rtl/>
        </w:rPr>
        <w:t>)</w:t>
      </w:r>
      <w:r w:rsidR="009C32A0">
        <w:rPr>
          <w:rFonts w:hint="cs"/>
          <w:rtl/>
        </w:rPr>
        <w:t xml:space="preserve"> وإلا فلا يصح أبداً إثبات الحد لله بمعنى المقدار الذي تنتهي إليه ذاته </w:t>
      </w:r>
      <w:r w:rsidR="009C32A0">
        <w:rPr>
          <w:rFonts w:hint="cs"/>
          <w:rtl/>
        </w:rPr>
        <w:lastRenderedPageBreak/>
        <w:t>سبحانه فإن ذات الله ليس لها نهاية</w:t>
      </w:r>
      <w:r>
        <w:rPr>
          <w:rFonts w:hint="cs"/>
          <w:rtl/>
        </w:rPr>
        <w:t>،</w:t>
      </w:r>
      <w:r w:rsidR="009C32A0">
        <w:rPr>
          <w:rFonts w:hint="cs"/>
          <w:rtl/>
        </w:rPr>
        <w:t xml:space="preserve"> منزه سبحانه عن الحصر لأن الحصر والنهاية نقص يضاد الكمال الذي اتصف به ذات الله</w:t>
      </w:r>
      <w:r>
        <w:rPr>
          <w:rFonts w:hint="cs"/>
          <w:rtl/>
        </w:rPr>
        <w:t>،</w:t>
      </w:r>
      <w:r w:rsidR="009C32A0">
        <w:rPr>
          <w:rFonts w:hint="cs"/>
          <w:rtl/>
        </w:rPr>
        <w:t xml:space="preserve"> فإن الحد في اللغة على معنيين</w:t>
      </w:r>
      <w:r>
        <w:rPr>
          <w:rFonts w:hint="cs"/>
          <w:rtl/>
        </w:rPr>
        <w:t>:</w:t>
      </w:r>
      <w:r w:rsidR="009C32A0">
        <w:rPr>
          <w:rFonts w:hint="cs"/>
          <w:rtl/>
        </w:rPr>
        <w:t xml:space="preserve"> الأول</w:t>
      </w:r>
      <w:r>
        <w:rPr>
          <w:rFonts w:hint="cs"/>
          <w:rtl/>
        </w:rPr>
        <w:t>:</w:t>
      </w:r>
      <w:r w:rsidR="009C32A0">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Pr>
          <w:rFonts w:hint="cs"/>
          <w:rtl/>
        </w:rPr>
        <w:t>،</w:t>
      </w:r>
      <w:r w:rsidR="009C32A0">
        <w:rPr>
          <w:rFonts w:hint="cs"/>
          <w:rtl/>
        </w:rPr>
        <w:t xml:space="preserve"> والثاني</w:t>
      </w:r>
      <w:r>
        <w:rPr>
          <w:rFonts w:hint="cs"/>
          <w:rtl/>
        </w:rPr>
        <w:t>:</w:t>
      </w:r>
      <w:r w:rsidR="009C32A0">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Pr>
          <w:rFonts w:hint="cs"/>
          <w:rtl/>
        </w:rPr>
        <w:t>[</w:t>
      </w:r>
      <w:r w:rsidR="009C32A0">
        <w:rPr>
          <w:rFonts w:hint="cs"/>
          <w:rtl/>
        </w:rPr>
        <w:t>انظر مختار الصحاح ج</w:t>
      </w:r>
      <w:r>
        <w:rPr>
          <w:rFonts w:hint="cs"/>
          <w:rtl/>
        </w:rPr>
        <w:t>:</w:t>
      </w:r>
      <w:r w:rsidR="009C32A0">
        <w:rPr>
          <w:rFonts w:hint="cs"/>
          <w:rtl/>
        </w:rPr>
        <w:t xml:space="preserve"> 1 ص</w:t>
      </w:r>
      <w:r>
        <w:rPr>
          <w:rFonts w:hint="cs"/>
          <w:rtl/>
        </w:rPr>
        <w:t>:</w:t>
      </w:r>
      <w:r w:rsidR="009C32A0">
        <w:rPr>
          <w:rFonts w:hint="cs"/>
          <w:rtl/>
        </w:rPr>
        <w:t xml:space="preserve"> 53</w:t>
      </w:r>
      <w:r>
        <w:rPr>
          <w:rFonts w:hint="cs"/>
          <w:rtl/>
        </w:rPr>
        <w:t>]، (</w:t>
      </w:r>
      <w:r w:rsidR="009C32A0">
        <w:rPr>
          <w:rFonts w:hint="cs"/>
          <w:rtl/>
        </w:rPr>
        <w:t>ص</w:t>
      </w:r>
      <w:r>
        <w:rPr>
          <w:rFonts w:hint="cs"/>
          <w:rtl/>
        </w:rPr>
        <w:t>)</w:t>
      </w:r>
      <w:r w:rsidR="009C32A0">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Fonts w:hint="cs"/>
          <w:rtl/>
        </w:rPr>
        <w:t>،</w:t>
      </w:r>
      <w:r w:rsidR="009C32A0">
        <w:rPr>
          <w:rFonts w:hint="cs"/>
          <w:rtl/>
        </w:rPr>
        <w:t xml:space="preserve"> يعتقدون ان إلههم محدود بحد لا يعلمه إلا هو وأكثرهم على أن حده العرش</w:t>
      </w:r>
      <w:r>
        <w:rPr>
          <w:rFonts w:hint="cs"/>
          <w:rtl/>
        </w:rPr>
        <w:t>،</w:t>
      </w:r>
      <w:r w:rsidR="009C32A0">
        <w:rPr>
          <w:rFonts w:hint="cs"/>
          <w:rtl/>
        </w:rPr>
        <w:t xml:space="preserve"> فحدوه بمخلوق مربوب مثلهم وقد اشار القرآن الكريم إلى ذلك بقوله تعالى </w:t>
      </w:r>
      <w:r>
        <w:rPr>
          <w:rFonts w:hint="cs"/>
          <w:rtl/>
        </w:rPr>
        <w:t>{</w:t>
      </w:r>
      <w:r w:rsidR="009C32A0">
        <w:rPr>
          <w:rFonts w:hint="cs"/>
          <w:rtl/>
        </w:rPr>
        <w:t>وهو رب العرش العظيم</w:t>
      </w:r>
      <w:r>
        <w:rPr>
          <w:rFonts w:hint="cs"/>
          <w:rtl/>
        </w:rPr>
        <w:t xml:space="preserve">} </w:t>
      </w:r>
      <w:r w:rsidR="009C32A0">
        <w:rPr>
          <w:rFonts w:hint="cs"/>
          <w:rtl/>
        </w:rPr>
        <w:t>كما أنه رب العالمين جميعا</w:t>
      </w:r>
      <w:r>
        <w:rPr>
          <w:rFonts w:hint="cs"/>
          <w:rtl/>
        </w:rPr>
        <w:t>،</w:t>
      </w:r>
      <w:r w:rsidR="009C32A0">
        <w:rPr>
          <w:rFonts w:hint="cs"/>
          <w:rtl/>
        </w:rPr>
        <w:t xml:space="preserve"> فالله تعالى رب العرش ورب العالمين والجميع محفوف بعناية الله ومحفوظ بحفظه</w:t>
      </w:r>
      <w:r>
        <w:rPr>
          <w:rFonts w:hint="cs"/>
          <w:rtl/>
        </w:rPr>
        <w:t>،</w:t>
      </w:r>
      <w:r w:rsidR="009C32A0">
        <w:rPr>
          <w:rFonts w:hint="cs"/>
          <w:rtl/>
        </w:rPr>
        <w:t xml:space="preserve"> وهل – أستغفر الله تعالى – الرب عز وجل محمول على عرش او كرسي</w:t>
      </w:r>
      <w:r>
        <w:rPr>
          <w:rFonts w:hint="cs"/>
          <w:rtl/>
        </w:rPr>
        <w:t>،</w:t>
      </w:r>
      <w:r w:rsidR="009C32A0">
        <w:rPr>
          <w:rFonts w:hint="cs"/>
          <w:rtl/>
        </w:rPr>
        <w:t xml:space="preserve"> الرب الذي قال عن نفسه سبحانه</w:t>
      </w:r>
      <w:r>
        <w:rPr>
          <w:rFonts w:hint="cs"/>
          <w:rtl/>
        </w:rPr>
        <w:t>:</w:t>
      </w:r>
      <w:r w:rsidR="009C32A0">
        <w:rPr>
          <w:rFonts w:hint="cs"/>
          <w:rtl/>
        </w:rPr>
        <w:t xml:space="preserve"> </w:t>
      </w:r>
      <w:r>
        <w:rPr>
          <w:rFonts w:hint="cs"/>
          <w:rtl/>
        </w:rPr>
        <w:t>{</w:t>
      </w:r>
      <w:r w:rsidR="009C32A0">
        <w:rPr>
          <w:rFonts w:hint="cs"/>
          <w:rtl/>
        </w:rPr>
        <w:t>إِنَّ اللَّهَ يُمْسِكُ السَّمَوَاتِ وَالْأَرْضَ أَنْ تَزُولَا وَلَئِنْ زَالَتَا إِنْ أَمْسَكَهُمَا مِنْ أَحَدٍ مِنْ بَعْدِهِ إِنَّهُ كَانَ حَلِيمًا غَفُورًا</w:t>
      </w:r>
      <w:r>
        <w:rPr>
          <w:rFonts w:hint="cs"/>
          <w:rtl/>
        </w:rPr>
        <w:t>}</w:t>
      </w:r>
      <w:r w:rsidR="009C32A0">
        <w:rPr>
          <w:rFonts w:hint="cs"/>
          <w:rtl/>
        </w:rPr>
        <w:t xml:space="preserve"> </w:t>
      </w:r>
      <w:r>
        <w:rPr>
          <w:rFonts w:hint="cs"/>
          <w:rtl/>
        </w:rPr>
        <w:t>[</w:t>
      </w:r>
      <w:r w:rsidR="009C32A0">
        <w:rPr>
          <w:rFonts w:hint="cs"/>
          <w:rtl/>
        </w:rPr>
        <w:t>فاطر</w:t>
      </w:r>
      <w:r>
        <w:rPr>
          <w:rFonts w:hint="cs"/>
          <w:rtl/>
        </w:rPr>
        <w:t>:</w:t>
      </w:r>
      <w:r w:rsidR="009C32A0">
        <w:rPr>
          <w:rFonts w:hint="cs"/>
          <w:rtl/>
        </w:rPr>
        <w:t xml:space="preserve"> 41</w:t>
      </w:r>
      <w:r>
        <w:rPr>
          <w:rFonts w:hint="cs"/>
          <w:rtl/>
        </w:rPr>
        <w:t>]،</w:t>
      </w:r>
      <w:r w:rsidR="009C32A0">
        <w:rPr>
          <w:rFonts w:hint="cs"/>
          <w:rtl/>
        </w:rPr>
        <w:t xml:space="preserve"> هل يحتاج إلى شيء يحمله</w:t>
      </w:r>
      <w:r>
        <w:rPr>
          <w:rFonts w:hint="cs"/>
          <w:rtl/>
        </w:rPr>
        <w:t>،</w:t>
      </w:r>
      <w:r w:rsidR="009C32A0">
        <w:rPr>
          <w:rFonts w:hint="cs"/>
          <w:rtl/>
        </w:rPr>
        <w:t xml:space="preserve"> أو شيء يحيط به ويحويه</w:t>
      </w:r>
      <w:r>
        <w:rPr>
          <w:rFonts w:hint="cs"/>
          <w:rtl/>
        </w:rPr>
        <w:t>،</w:t>
      </w:r>
      <w:r w:rsidR="009C32A0">
        <w:rPr>
          <w:rFonts w:hint="cs"/>
          <w:rtl/>
        </w:rPr>
        <w:t xml:space="preserve"> مهما بلغ اتساعه وحجمه</w:t>
      </w:r>
      <w:r>
        <w:rPr>
          <w:rFonts w:hint="cs"/>
          <w:rtl/>
        </w:rPr>
        <w:t>،</w:t>
      </w:r>
      <w:r w:rsidR="009C32A0">
        <w:rPr>
          <w:rFonts w:hint="cs"/>
          <w:rtl/>
        </w:rPr>
        <w:t xml:space="preserve"> فأنى للمخلوق المربوب أن يحمل الخالق</w:t>
      </w:r>
      <w:r>
        <w:rPr>
          <w:rFonts w:hint="cs"/>
          <w:rtl/>
        </w:rPr>
        <w:t>،</w:t>
      </w:r>
      <w:r w:rsidR="009C32A0">
        <w:rPr>
          <w:rFonts w:hint="cs"/>
          <w:rtl/>
        </w:rPr>
        <w:t xml:space="preserve"> وأنى للمحدود ان يحوي الذي تعالى عن الحد والمقدار</w:t>
      </w:r>
      <w:r>
        <w:rPr>
          <w:rFonts w:hint="cs"/>
          <w:rtl/>
        </w:rPr>
        <w:t>،</w:t>
      </w:r>
      <w:r w:rsidR="009C32A0">
        <w:rPr>
          <w:rFonts w:hint="cs"/>
          <w:rtl/>
        </w:rPr>
        <w:t xml:space="preserve"> وأين ذلك من اعتقاد كل مسلم بأن الله هو الغني الذي تحتاج إليه الخلائق بما فيها العرش</w:t>
      </w:r>
      <w:r>
        <w:rPr>
          <w:rFonts w:hint="cs"/>
          <w:rtl/>
        </w:rPr>
        <w:t>،</w:t>
      </w:r>
      <w:r w:rsidR="009C32A0">
        <w:rPr>
          <w:rFonts w:hint="cs"/>
          <w:rtl/>
        </w:rPr>
        <w:t xml:space="preserve"> وهو الغني عنها</w:t>
      </w:r>
      <w:r>
        <w:rPr>
          <w:rFonts w:hint="cs"/>
          <w:rtl/>
        </w:rPr>
        <w:t>،</w:t>
      </w:r>
      <w:r w:rsidR="009C32A0">
        <w:rPr>
          <w:rFonts w:hint="cs"/>
          <w:rtl/>
        </w:rPr>
        <w:t xml:space="preserve"> وأين ذلك من اعتقاد كل مسلم بان الله هو الحي القيوم الذي يقوم على حاجة كل مخلوق وهو مستغنٍ عنها</w:t>
      </w:r>
      <w:r>
        <w:rPr>
          <w:rFonts w:hint="cs"/>
          <w:rtl/>
        </w:rPr>
        <w:t>،</w:t>
      </w:r>
      <w:r w:rsidR="009C32A0">
        <w:rPr>
          <w:rFonts w:hint="cs"/>
          <w:rtl/>
        </w:rPr>
        <w:t xml:space="preserve"> سبحانك هذا بهتان عظيم</w:t>
      </w:r>
      <w:r>
        <w:rPr>
          <w:rFonts w:hint="cs"/>
          <w:rtl/>
        </w:rPr>
        <w:t>، (</w:t>
      </w:r>
      <w:r w:rsidR="009C32A0">
        <w:rPr>
          <w:rFonts w:hint="cs"/>
          <w:rtl/>
        </w:rPr>
        <w:t>ض</w:t>
      </w:r>
      <w:r>
        <w:rPr>
          <w:rFonts w:hint="cs"/>
          <w:rtl/>
        </w:rPr>
        <w:t>)</w:t>
      </w:r>
      <w:r w:rsidR="009C32A0">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rtl/>
        </w:rPr>
        <w:t>،</w:t>
      </w:r>
      <w:r w:rsidR="009C32A0">
        <w:rPr>
          <w:rFonts w:hint="cs"/>
          <w:rtl/>
        </w:rPr>
        <w:t xml:space="preserve"> وليس معناه أن الكون كله داخل في ذات الله </w:t>
      </w:r>
      <w:r>
        <w:rPr>
          <w:rFonts w:hint="cs"/>
          <w:rtl/>
        </w:rPr>
        <w:t>(</w:t>
      </w:r>
      <w:r w:rsidR="009C32A0">
        <w:rPr>
          <w:rFonts w:hint="cs"/>
          <w:rtl/>
        </w:rPr>
        <w:t>سبحانه</w:t>
      </w:r>
      <w:r>
        <w:rPr>
          <w:rFonts w:hint="cs"/>
          <w:rtl/>
        </w:rPr>
        <w:t>)</w:t>
      </w:r>
      <w:r w:rsidR="009C32A0">
        <w:rPr>
          <w:rFonts w:hint="cs"/>
          <w:rtl/>
        </w:rPr>
        <w:t xml:space="preserve"> إذ تنزه الخالق عن معاني الحلول والاتحاد ومعاني المماسة والاتصال ليس كذاته ذات</w:t>
      </w:r>
      <w:r>
        <w:rPr>
          <w:rFonts w:hint="cs"/>
          <w:rtl/>
        </w:rPr>
        <w:t xml:space="preserve"> </w:t>
      </w:r>
      <w:r w:rsidR="009C32A0">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9C32A0">
        <w:rPr>
          <w:rFonts w:hint="cs"/>
          <w:rtl/>
        </w:rPr>
        <w:t xml:space="preserve"> نعجز عن ادراك ذاته</w:t>
      </w:r>
      <w:r>
        <w:rPr>
          <w:rFonts w:hint="cs"/>
          <w:rtl/>
        </w:rPr>
        <w:t>،</w:t>
      </w:r>
      <w:r w:rsidR="009C32A0">
        <w:rPr>
          <w:rFonts w:hint="cs"/>
          <w:rtl/>
        </w:rPr>
        <w:t xml:space="preserve"> وما نستطيع ان نقدره قدره</w:t>
      </w:r>
      <w:r>
        <w:rPr>
          <w:rFonts w:hint="cs"/>
          <w:rtl/>
        </w:rPr>
        <w:t>،</w:t>
      </w:r>
      <w:r w:rsidR="009C32A0">
        <w:rPr>
          <w:rFonts w:hint="cs"/>
          <w:rtl/>
        </w:rPr>
        <w:t xml:space="preserve"> لا نحصي ثناءً عليه</w:t>
      </w:r>
      <w:r>
        <w:rPr>
          <w:rFonts w:hint="cs"/>
          <w:rtl/>
        </w:rPr>
        <w:t>،</w:t>
      </w:r>
      <w:r w:rsidR="009C32A0">
        <w:rPr>
          <w:rFonts w:hint="cs"/>
          <w:rtl/>
        </w:rPr>
        <w:t xml:space="preserve"> هو كما أثنى على نفسه</w:t>
      </w:r>
      <w:r>
        <w:rPr>
          <w:rFonts w:hint="cs"/>
          <w:rtl/>
        </w:rPr>
        <w:t>،</w:t>
      </w:r>
      <w:r w:rsidR="009C32A0">
        <w:rPr>
          <w:rFonts w:hint="cs"/>
          <w:rtl/>
        </w:rPr>
        <w:t xml:space="preserve"> </w:t>
      </w:r>
      <w:r>
        <w:rPr>
          <w:rFonts w:hint="cs"/>
          <w:rtl/>
        </w:rPr>
        <w:t>(</w:t>
      </w:r>
      <w:r w:rsidR="009C32A0">
        <w:rPr>
          <w:rFonts w:hint="cs"/>
          <w:rtl/>
        </w:rPr>
        <w:t>ط</w:t>
      </w:r>
      <w:r>
        <w:rPr>
          <w:rFonts w:hint="cs"/>
          <w:rtl/>
        </w:rPr>
        <w:t>)</w:t>
      </w:r>
      <w:r w:rsidR="009C32A0">
        <w:rPr>
          <w:rFonts w:hint="cs"/>
          <w:rtl/>
        </w:rPr>
        <w:t xml:space="preserve"> يقول علماء الحساب والرياضيات أنه لا نسبة بين المحدود واللامحدود</w:t>
      </w:r>
      <w:r>
        <w:rPr>
          <w:rFonts w:hint="cs"/>
          <w:rtl/>
        </w:rPr>
        <w:t>،</w:t>
      </w:r>
      <w:r w:rsidR="009C32A0">
        <w:rPr>
          <w:rFonts w:hint="cs"/>
          <w:rtl/>
        </w:rPr>
        <w:t xml:space="preserve"> ولا تصح المقارنة بين المحدود مهما كان كبيرا أو عظيما وبين اللامحدود</w:t>
      </w:r>
      <w:r>
        <w:rPr>
          <w:rFonts w:hint="cs"/>
          <w:rtl/>
        </w:rPr>
        <w:t>،</w:t>
      </w:r>
      <w:r w:rsidR="009C32A0">
        <w:rPr>
          <w:rFonts w:hint="cs"/>
          <w:rtl/>
        </w:rPr>
        <w:t xml:space="preserve"> إذ نسبة المحدود مهما كان كبيرا إلى اللامحدود هي نفسها نسبة الصفر الذي لا يساوي شيئا إلى الذي لا يتناهى من الأشياء</w:t>
      </w:r>
      <w:r>
        <w:rPr>
          <w:rFonts w:hint="cs"/>
          <w:rtl/>
        </w:rPr>
        <w:t>،</w:t>
      </w:r>
      <w:r w:rsidR="009C32A0">
        <w:rPr>
          <w:rFonts w:hint="cs"/>
          <w:rtl/>
        </w:rPr>
        <w:t xml:space="preserve"> ولله المثل الاعلى</w:t>
      </w:r>
      <w:r>
        <w:rPr>
          <w:rFonts w:hint="cs"/>
          <w:rtl/>
        </w:rPr>
        <w:t>،</w:t>
      </w:r>
      <w:r w:rsidR="009C32A0">
        <w:rPr>
          <w:rFonts w:hint="cs"/>
          <w:rtl/>
        </w:rPr>
        <w:t xml:space="preserve"> إذ كيف تصح </w:t>
      </w:r>
      <w:r w:rsidR="009C32A0">
        <w:rPr>
          <w:rFonts w:hint="cs"/>
          <w:rtl/>
        </w:rPr>
        <w:lastRenderedPageBreak/>
        <w:t>المقارنة بين الكون المخلوق المقدر المحدود – مهما بلغ اتساعه وهو عظيم كما قال تعالى</w:t>
      </w:r>
      <w:r>
        <w:rPr>
          <w:rFonts w:hint="cs"/>
          <w:rtl/>
        </w:rPr>
        <w:t>:</w:t>
      </w:r>
      <w:r w:rsidR="009C32A0">
        <w:rPr>
          <w:rFonts w:hint="cs"/>
          <w:rtl/>
        </w:rPr>
        <w:t xml:space="preserve"> </w:t>
      </w:r>
      <w:r>
        <w:rPr>
          <w:rFonts w:hint="cs"/>
          <w:rtl/>
        </w:rPr>
        <w:t>{</w:t>
      </w:r>
      <w:r w:rsidR="009C32A0">
        <w:rPr>
          <w:rFonts w:hint="cs"/>
          <w:rtl/>
        </w:rPr>
        <w:t>وَالسَّمَاءَ بَنَيْنَاهَا بِأَيْدٍ وَإِنَّا لَمُوسِعُونَ</w:t>
      </w:r>
      <w:r>
        <w:rPr>
          <w:rFonts w:hint="cs"/>
          <w:rtl/>
        </w:rPr>
        <w:t>}</w:t>
      </w:r>
      <w:r w:rsidR="009C32A0">
        <w:rPr>
          <w:rFonts w:hint="cs"/>
          <w:rtl/>
        </w:rPr>
        <w:t xml:space="preserve"> –</w:t>
      </w:r>
      <w:r>
        <w:rPr>
          <w:rFonts w:hint="cs"/>
          <w:rtl/>
        </w:rPr>
        <w:t xml:space="preserve"> </w:t>
      </w:r>
      <w:r w:rsidR="009C32A0">
        <w:rPr>
          <w:rFonts w:hint="cs"/>
          <w:rtl/>
        </w:rPr>
        <w:t>وبين الخالق الواحد القهار المنزه عن الحد والمقدار</w:t>
      </w:r>
      <w:r>
        <w:rPr>
          <w:rFonts w:hint="cs"/>
          <w:rtl/>
        </w:rPr>
        <w:t xml:space="preserve">، </w:t>
      </w:r>
      <w:r w:rsidR="009C32A0">
        <w:rPr>
          <w:rFonts w:hint="cs"/>
          <w:rtl/>
        </w:rPr>
        <w:t>ومن ذلك نفهم وجه المقارنة من حديث النبي صلى الله عليه وسلم</w:t>
      </w:r>
      <w:r>
        <w:rPr>
          <w:rFonts w:hint="cs"/>
          <w:rtl/>
        </w:rPr>
        <w:t>،</w:t>
      </w:r>
      <w:r w:rsidR="009C32A0">
        <w:rPr>
          <w:rFonts w:hint="cs"/>
          <w:rtl/>
        </w:rPr>
        <w:t xml:space="preserve"> فيما يرويه عن الله تبارك وتعالى أنه قال </w:t>
      </w:r>
      <w:r>
        <w:rPr>
          <w:rFonts w:hint="cs"/>
          <w:rtl/>
        </w:rPr>
        <w:t>(</w:t>
      </w:r>
      <w:r w:rsidR="009C32A0">
        <w:rPr>
          <w:rFonts w:hint="cs"/>
          <w:rtl/>
        </w:rPr>
        <w:t>يا عبادي</w:t>
      </w:r>
      <w:r>
        <w:rPr>
          <w:rtl/>
        </w:rPr>
        <w:t>!</w:t>
      </w:r>
      <w:r w:rsidR="009C32A0">
        <w:t xml:space="preserve"> </w:t>
      </w:r>
      <w:r w:rsidR="009C32A0">
        <w:rPr>
          <w:rFonts w:hint="cs"/>
          <w:rtl/>
        </w:rPr>
        <w:t>لو أن أولكم</w:t>
      </w:r>
      <w:r w:rsidR="009C32A0">
        <w:rPr>
          <w:rFonts w:hint="cs"/>
        </w:rPr>
        <w:t xml:space="preserve"> </w:t>
      </w:r>
      <w:r w:rsidR="009C32A0">
        <w:rPr>
          <w:rFonts w:hint="cs"/>
          <w:rtl/>
        </w:rPr>
        <w:t>وآخركم وإنسكم وجنكم</w:t>
      </w:r>
      <w:r>
        <w:rPr>
          <w:rFonts w:hint="cs"/>
          <w:rtl/>
        </w:rPr>
        <w:t xml:space="preserve"> </w:t>
      </w:r>
      <w:r w:rsidR="009C32A0">
        <w:rPr>
          <w:rFonts w:hint="cs"/>
          <w:rtl/>
        </w:rPr>
        <w:t>كانوا على أتقى قلب رجل واحد منكم ما زاد ذلك في ملكي شيئا</w:t>
      </w:r>
      <w:r>
        <w:rPr>
          <w:rFonts w:hint="cs"/>
          <w:rtl/>
        </w:rPr>
        <w:t>،</w:t>
      </w:r>
      <w:r w:rsidR="009C32A0">
        <w:rPr>
          <w:rFonts w:hint="cs"/>
          <w:rtl/>
        </w:rPr>
        <w:t xml:space="preserve"> يا عبادي</w:t>
      </w:r>
      <w:r>
        <w:rPr>
          <w:rFonts w:hint="cs"/>
          <w:rtl/>
        </w:rPr>
        <w:t>!</w:t>
      </w:r>
      <w:r w:rsidR="009C32A0">
        <w:rPr>
          <w:rFonts w:hint="cs"/>
          <w:rtl/>
        </w:rPr>
        <w:t xml:space="preserve"> لو أن أولكم وآخركم وإنسكم وجنكم كانوا على أفجر قلب رجل واحد</w:t>
      </w:r>
      <w:r w:rsidR="009C32A0">
        <w:rPr>
          <w:rFonts w:hint="cs"/>
        </w:rPr>
        <w:t xml:space="preserve"> </w:t>
      </w:r>
      <w:r w:rsidR="009C32A0">
        <w:rPr>
          <w:rFonts w:hint="cs"/>
          <w:rtl/>
        </w:rPr>
        <w:t>ما نقص ذلك من ملكي شيئا</w:t>
      </w:r>
      <w:r>
        <w:rPr>
          <w:rFonts w:hint="cs"/>
          <w:rtl/>
        </w:rPr>
        <w:t xml:space="preserve">، </w:t>
      </w:r>
      <w:r w:rsidR="009C32A0">
        <w:rPr>
          <w:rFonts w:hint="cs"/>
          <w:rtl/>
        </w:rPr>
        <w:t>يا عبادي</w:t>
      </w:r>
      <w:r>
        <w:rPr>
          <w:rFonts w:hint="cs"/>
          <w:rtl/>
        </w:rPr>
        <w:t>!</w:t>
      </w:r>
      <w:r w:rsidR="009C32A0">
        <w:rPr>
          <w:rFonts w:hint="cs"/>
          <w:rtl/>
        </w:rPr>
        <w:t xml:space="preserve"> لو أن أولكم وآخركم وإنسكم وجنكم قاموا</w:t>
      </w:r>
      <w:r w:rsidR="009C32A0">
        <w:rPr>
          <w:rFonts w:hint="cs"/>
        </w:rPr>
        <w:t xml:space="preserve"> </w:t>
      </w:r>
      <w:r w:rsidR="009C32A0">
        <w:rPr>
          <w:rFonts w:hint="cs"/>
          <w:rtl/>
        </w:rPr>
        <w:t>في صعيد واحد فسألوني فأعطيت كل إنسان مسألته ما نقص ذلك مما عندي إلا كما ينقص</w:t>
      </w:r>
      <w:r w:rsidR="009C32A0">
        <w:rPr>
          <w:rFonts w:hint="cs"/>
        </w:rPr>
        <w:t xml:space="preserve"> </w:t>
      </w:r>
      <w:r w:rsidR="009C32A0">
        <w:rPr>
          <w:rFonts w:hint="cs"/>
          <w:rtl/>
        </w:rPr>
        <w:t>المخيط إذا أدخل البحر</w:t>
      </w:r>
      <w:r>
        <w:rPr>
          <w:rFonts w:hint="cs"/>
          <w:rtl/>
        </w:rPr>
        <w:t>)</w:t>
      </w:r>
      <w:r w:rsidR="009C32A0">
        <w:rPr>
          <w:rFonts w:hint="cs"/>
          <w:rtl/>
        </w:rPr>
        <w:t xml:space="preserve"> </w:t>
      </w:r>
      <w:r>
        <w:rPr>
          <w:rFonts w:hint="cs"/>
          <w:rtl/>
        </w:rPr>
        <w:t>[</w:t>
      </w:r>
      <w:r w:rsidR="009C32A0">
        <w:rPr>
          <w:rFonts w:hint="cs"/>
          <w:rtl/>
        </w:rPr>
        <w:t>صحيح مسلم</w:t>
      </w:r>
      <w:r>
        <w:rPr>
          <w:rFonts w:hint="cs"/>
          <w:rtl/>
        </w:rPr>
        <w:t>:</w:t>
      </w:r>
      <w:r w:rsidR="009C32A0">
        <w:rPr>
          <w:rFonts w:hint="cs"/>
          <w:rtl/>
        </w:rPr>
        <w:t xml:space="preserve"> 2577] ومعلوم أن المخيط لا ينقص من البحر شيئا ولله المثل الأعلى قال تعالى </w:t>
      </w:r>
      <w:r>
        <w:rPr>
          <w:rFonts w:hint="cs"/>
          <w:rtl/>
        </w:rPr>
        <w:t>{</w:t>
      </w:r>
      <w:r w:rsidR="009C32A0">
        <w:rPr>
          <w:rFonts w:hint="cs"/>
          <w:rtl/>
        </w:rPr>
        <w:t>وما قدروا الله حق قدره</w:t>
      </w:r>
      <w:r>
        <w:rPr>
          <w:rFonts w:hint="cs"/>
          <w:rtl/>
        </w:rPr>
        <w:t>}،</w:t>
      </w:r>
      <w:r w:rsidR="009C32A0">
        <w:rPr>
          <w:rFonts w:hint="cs"/>
          <w:rtl/>
        </w:rPr>
        <w:t xml:space="preserve"> وقال تعالى</w:t>
      </w:r>
      <w:r>
        <w:rPr>
          <w:rFonts w:hint="cs"/>
          <w:rtl/>
        </w:rPr>
        <w:t>{</w:t>
      </w:r>
      <w:r w:rsidR="009C32A0">
        <w:rPr>
          <w:rFonts w:hint="cs"/>
          <w:rtl/>
        </w:rPr>
        <w:t>سبحان ربك رب العزة عما يصفون</w:t>
      </w:r>
      <w:r>
        <w:rPr>
          <w:rFonts w:hint="cs"/>
          <w:rtl/>
        </w:rPr>
        <w:t>}،</w:t>
      </w:r>
      <w:r w:rsidR="009C32A0">
        <w:rPr>
          <w:rFonts w:hint="cs"/>
          <w:rtl/>
        </w:rPr>
        <w:t xml:space="preserve"> سبحانك تقدست أسماؤك وتعالت عظمتك</w:t>
      </w:r>
      <w:r>
        <w:rPr>
          <w:rFonts w:hint="cs"/>
          <w:rtl/>
        </w:rPr>
        <w:t>، (</w:t>
      </w:r>
      <w:r w:rsidR="009C32A0">
        <w:rPr>
          <w:rFonts w:hint="cs"/>
          <w:rtl/>
        </w:rPr>
        <w:t>ظ</w:t>
      </w:r>
      <w:r>
        <w:rPr>
          <w:rFonts w:hint="cs"/>
          <w:rtl/>
        </w:rPr>
        <w:t>)</w:t>
      </w:r>
      <w:r w:rsidR="009C32A0">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9C32A0">
        <w:rPr>
          <w:rFonts w:hint="cs"/>
          <w:rtl/>
        </w:rPr>
        <w:t>الرحمن على العرش استوى</w:t>
      </w:r>
      <w:r>
        <w:rPr>
          <w:rFonts w:hint="cs"/>
          <w:rtl/>
        </w:rPr>
        <w:t>}،</w:t>
      </w:r>
      <w:r w:rsidR="009C32A0">
        <w:rPr>
          <w:rFonts w:hint="cs"/>
          <w:rtl/>
        </w:rPr>
        <w:t xml:space="preserve"> مع قوله تعالى </w:t>
      </w:r>
      <w:r>
        <w:rPr>
          <w:rFonts w:hint="cs"/>
          <w:rtl/>
        </w:rPr>
        <w:t>{</w:t>
      </w:r>
      <w:r w:rsidR="009C32A0">
        <w:rPr>
          <w:rFonts w:hint="cs"/>
          <w:rtl/>
        </w:rPr>
        <w:t>فإني قريب</w:t>
      </w:r>
      <w:r>
        <w:rPr>
          <w:rFonts w:hint="cs"/>
          <w:rtl/>
        </w:rPr>
        <w:t>}،</w:t>
      </w:r>
      <w:r w:rsidR="009C32A0">
        <w:rPr>
          <w:rFonts w:hint="cs"/>
          <w:rtl/>
        </w:rPr>
        <w:t xml:space="preserve"> مع قوله تعالى </w:t>
      </w:r>
      <w:r>
        <w:rPr>
          <w:rFonts w:hint="cs"/>
          <w:rtl/>
        </w:rPr>
        <w:t>{</w:t>
      </w:r>
      <w:r w:rsidR="009C32A0">
        <w:rPr>
          <w:rFonts w:hint="cs"/>
          <w:rtl/>
        </w:rPr>
        <w:t>فأينما تولوا فثم وجه الله إن الله واسع عليم</w:t>
      </w:r>
      <w:r>
        <w:rPr>
          <w:rFonts w:hint="cs"/>
          <w:rtl/>
        </w:rPr>
        <w:t>}،</w:t>
      </w:r>
      <w:r w:rsidR="009C32A0">
        <w:rPr>
          <w:rFonts w:hint="cs"/>
          <w:rtl/>
        </w:rPr>
        <w:t xml:space="preserve"> مع قوله تعالى </w:t>
      </w:r>
      <w:r>
        <w:rPr>
          <w:rFonts w:hint="cs"/>
          <w:rtl/>
        </w:rPr>
        <w:t>{</w:t>
      </w:r>
      <w:r w:rsidR="009C32A0">
        <w:rPr>
          <w:rFonts w:hint="cs"/>
          <w:rtl/>
        </w:rPr>
        <w:t>والله بكل شيء محيط</w:t>
      </w:r>
      <w:r>
        <w:rPr>
          <w:rFonts w:hint="cs"/>
          <w:rtl/>
        </w:rPr>
        <w:t>}،</w:t>
      </w:r>
      <w:r w:rsidR="009C32A0">
        <w:rPr>
          <w:rFonts w:hint="cs"/>
          <w:rtl/>
        </w:rPr>
        <w:t xml:space="preserve"> وقوله تعالى </w:t>
      </w:r>
      <w:r>
        <w:rPr>
          <w:rFonts w:hint="cs"/>
          <w:rtl/>
        </w:rPr>
        <w:t>{</w:t>
      </w:r>
      <w:r w:rsidR="009C32A0">
        <w:rPr>
          <w:rFonts w:hint="cs"/>
          <w:rtl/>
        </w:rPr>
        <w:t>وكان الله بكل شيء محيطا</w:t>
      </w:r>
      <w:r>
        <w:rPr>
          <w:rFonts w:hint="cs"/>
          <w:rtl/>
        </w:rPr>
        <w:t>}،</w:t>
      </w:r>
      <w:r w:rsidR="009C32A0">
        <w:rPr>
          <w:rFonts w:hint="cs"/>
          <w:rtl/>
        </w:rPr>
        <w:t xml:space="preserve"> لأننا نعبد المنزه عن الحد والحصر والمقدار</w:t>
      </w:r>
      <w:r>
        <w:rPr>
          <w:rFonts w:hint="cs"/>
          <w:rtl/>
        </w:rPr>
        <w:t>،</w:t>
      </w:r>
      <w:r w:rsidR="009C32A0">
        <w:rPr>
          <w:rFonts w:hint="cs"/>
          <w:rtl/>
        </w:rPr>
        <w:t xml:space="preserve"> ولا نقول كما قالت الحلولية والجهمية</w:t>
      </w:r>
      <w:r>
        <w:rPr>
          <w:rFonts w:hint="cs"/>
          <w:rtl/>
        </w:rPr>
        <w:t>:</w:t>
      </w:r>
      <w:r w:rsidR="009C32A0">
        <w:rPr>
          <w:rFonts w:hint="cs"/>
          <w:rtl/>
        </w:rPr>
        <w:t xml:space="preserve"> إن الله في كل مكان لا يخلو منه مكان</w:t>
      </w:r>
      <w:r>
        <w:rPr>
          <w:rFonts w:hint="cs"/>
          <w:rtl/>
        </w:rPr>
        <w:t>،</w:t>
      </w:r>
      <w:r w:rsidR="009C32A0">
        <w:rPr>
          <w:rFonts w:hint="cs"/>
          <w:rtl/>
        </w:rPr>
        <w:t xml:space="preserve"> ولا نقول كما قالت الحشوية الجهوية</w:t>
      </w:r>
      <w:r>
        <w:rPr>
          <w:rFonts w:hint="cs"/>
          <w:rtl/>
        </w:rPr>
        <w:t>:</w:t>
      </w:r>
      <w:r w:rsidR="009C32A0">
        <w:rPr>
          <w:rFonts w:hint="cs"/>
          <w:rtl/>
        </w:rPr>
        <w:t xml:space="preserve"> إن الله في مكان دون مكان ألا وهو العرش العظيم</w:t>
      </w:r>
      <w:r>
        <w:rPr>
          <w:rFonts w:hint="cs"/>
          <w:rtl/>
        </w:rPr>
        <w:t>،</w:t>
      </w:r>
      <w:r w:rsidR="009C32A0">
        <w:rPr>
          <w:rFonts w:hint="cs"/>
          <w:rtl/>
        </w:rPr>
        <w:t xml:space="preserve"> بل نقول إن الله خالق المكان منزه عن المكان لا يحل في كل مكان ولا في مكان دون مكان وأنه هو رب العرش العظيم</w:t>
      </w:r>
      <w:r>
        <w:rPr>
          <w:rFonts w:hint="cs"/>
          <w:rtl/>
        </w:rPr>
        <w:t>،</w:t>
      </w:r>
      <w:r w:rsidR="009C32A0">
        <w:rPr>
          <w:rFonts w:hint="cs"/>
          <w:rtl/>
        </w:rPr>
        <w:t xml:space="preserve"> خلق العرش إظهارا لقدرته ولم يتخذه مكانا لذاته </w:t>
      </w:r>
      <w:r>
        <w:rPr>
          <w:rFonts w:hint="cs"/>
          <w:rtl/>
        </w:rPr>
        <w:t>[</w:t>
      </w:r>
      <w:r w:rsidR="009C32A0">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rtl/>
        </w:rPr>
        <w:t xml:space="preserve"> </w:t>
      </w:r>
      <w:r w:rsidR="009C32A0">
        <w:rPr>
          <w:rFonts w:hint="cs"/>
          <w:rtl/>
        </w:rPr>
        <w:t>كان</w:t>
      </w:r>
      <w:r>
        <w:rPr>
          <w:rFonts w:hint="cs"/>
          <w:rtl/>
        </w:rPr>
        <w:t>)</w:t>
      </w:r>
      <w:r w:rsidR="009C32A0">
        <w:rPr>
          <w:rFonts w:hint="cs"/>
          <w:rtl/>
        </w:rPr>
        <w:t xml:space="preserve"> وقال (إن الله تعالى خلق العرش إظهارًا لقدرته لا مكانًا لذاته</w:t>
      </w:r>
      <w:r>
        <w:rPr>
          <w:rFonts w:hint="cs"/>
          <w:rtl/>
        </w:rPr>
        <w:t>)</w:t>
      </w:r>
      <w:r w:rsidR="009C32A0">
        <w:rPr>
          <w:rFonts w:hint="cs"/>
          <w:rtl/>
        </w:rPr>
        <w:t xml:space="preserve"> اهـ [الفرق بين الفرق لأبي منصور البغدادي ص 333</w:t>
      </w:r>
      <w:r>
        <w:rPr>
          <w:rFonts w:hint="cs"/>
          <w:rtl/>
        </w:rPr>
        <w:t>]،</w:t>
      </w:r>
      <w:r w:rsidR="009C32A0">
        <w:rPr>
          <w:rFonts w:hint="cs"/>
          <w:rtl/>
        </w:rPr>
        <w:t xml:space="preserve"> وأنه لا يُقال إن الله داخل الكون _ لأن ذلك يوحي بالحلول والاتحاد</w:t>
      </w:r>
      <w:r>
        <w:rPr>
          <w:rFonts w:hint="cs"/>
          <w:rtl/>
        </w:rPr>
        <w:t xml:space="preserve"> </w:t>
      </w:r>
      <w:r w:rsidR="009C32A0">
        <w:rPr>
          <w:rFonts w:hint="cs"/>
          <w:rtl/>
        </w:rPr>
        <w:t xml:space="preserve">وأنى يحل الخالق المنزه عن الحدود في الكون المحدود _ ولا يُقال إنه خارجه لأنه قريب كما قال تعالى </w:t>
      </w:r>
      <w:r>
        <w:rPr>
          <w:rFonts w:hint="cs"/>
          <w:rtl/>
        </w:rPr>
        <w:t>{</w:t>
      </w:r>
      <w:r w:rsidR="009C32A0">
        <w:rPr>
          <w:rFonts w:hint="cs"/>
          <w:rtl/>
        </w:rPr>
        <w:t>ونحن أقرب إليه منكم ولكن لا تبصرون</w:t>
      </w:r>
      <w:r>
        <w:rPr>
          <w:rFonts w:hint="cs"/>
          <w:rtl/>
        </w:rPr>
        <w:t>}</w:t>
      </w:r>
      <w:r w:rsidR="009C32A0">
        <w:rPr>
          <w:rFonts w:hint="cs"/>
          <w:rtl/>
        </w:rPr>
        <w:t xml:space="preserve"> وكما قال تعالى</w:t>
      </w:r>
      <w:r>
        <w:rPr>
          <w:rFonts w:hint="cs"/>
          <w:rtl/>
        </w:rPr>
        <w:t>:{</w:t>
      </w:r>
      <w:r w:rsidR="009C32A0">
        <w:rPr>
          <w:rFonts w:hint="cs"/>
          <w:rtl/>
        </w:rPr>
        <w:t>ونحن أقرب إليه من حبل الوريد</w:t>
      </w:r>
      <w:r>
        <w:rPr>
          <w:rFonts w:hint="cs"/>
          <w:rtl/>
        </w:rPr>
        <w:t>}،</w:t>
      </w:r>
      <w:r w:rsidR="009C32A0">
        <w:rPr>
          <w:rFonts w:hint="cs"/>
          <w:rtl/>
        </w:rPr>
        <w:t xml:space="preserve"> وكما قال تعالى </w:t>
      </w:r>
      <w:r>
        <w:rPr>
          <w:rFonts w:hint="cs"/>
          <w:rtl/>
        </w:rPr>
        <w:t>{</w:t>
      </w:r>
      <w:r w:rsidR="009C32A0">
        <w:rPr>
          <w:rFonts w:hint="cs"/>
          <w:rtl/>
        </w:rPr>
        <w:t>واسجد واقترب</w:t>
      </w:r>
      <w:r>
        <w:rPr>
          <w:rFonts w:hint="cs"/>
          <w:rtl/>
        </w:rPr>
        <w:t>}،</w:t>
      </w:r>
      <w:r w:rsidR="009C32A0">
        <w:rPr>
          <w:rFonts w:hint="cs"/>
          <w:rtl/>
        </w:rPr>
        <w:t xml:space="preserve"> وكما قال الرسول الكريم _ وهو يبين قرب الرحمن _ (</w:t>
      </w:r>
      <w:r>
        <w:rPr>
          <w:rFonts w:hint="cs"/>
          <w:rtl/>
        </w:rPr>
        <w:t>(</w:t>
      </w:r>
      <w:r w:rsidR="009C32A0">
        <w:rPr>
          <w:rFonts w:hint="cs"/>
          <w:rtl/>
        </w:rPr>
        <w:t>إذا كَانَ أَحَدُكُم في صَلاَتِهِ فَإِنَّهُ يُنَاجِي ربَّه فلا يَبْصُقَنَّ في قِبْلَتِهِ وَلاَ عَنْ يَمِينِهِ فَإِنَّ رَبَّهُ بَيْنَهُ وَبَيْنَ قِبْلَتِهِ</w:t>
      </w:r>
      <w:r>
        <w:rPr>
          <w:rFonts w:hint="cs"/>
          <w:rtl/>
        </w:rPr>
        <w:t>)</w:t>
      </w:r>
      <w:r w:rsidR="009C32A0">
        <w:rPr>
          <w:rFonts w:hint="cs"/>
          <w:rtl/>
        </w:rPr>
        <w:t xml:space="preserve">) </w:t>
      </w:r>
      <w:r>
        <w:rPr>
          <w:rFonts w:hint="cs"/>
          <w:rtl/>
        </w:rPr>
        <w:t>[</w:t>
      </w:r>
      <w:r w:rsidR="009C32A0">
        <w:rPr>
          <w:rFonts w:hint="cs"/>
          <w:rtl/>
        </w:rPr>
        <w:t>أخرجه البخاري</w:t>
      </w:r>
      <w:r>
        <w:rPr>
          <w:rFonts w:hint="cs"/>
          <w:rtl/>
        </w:rPr>
        <w:t>]</w:t>
      </w:r>
      <w:r w:rsidR="009C32A0">
        <w:rPr>
          <w:rFonts w:hint="cs"/>
          <w:rtl/>
        </w:rPr>
        <w:t xml:space="preserve"> وقوله صلى الله عليه وسلم (</w:t>
      </w:r>
      <w:r>
        <w:rPr>
          <w:rFonts w:hint="cs"/>
          <w:rtl/>
        </w:rPr>
        <w:t>(</w:t>
      </w:r>
      <w:r w:rsidR="009C32A0">
        <w:rPr>
          <w:rFonts w:hint="cs"/>
          <w:rtl/>
        </w:rPr>
        <w:t>أربعوا على أَنفُسِكُمْ فإنَّكُمْ لا تَدْعُونَ أَصَمَّ ولا غَائِباً</w:t>
      </w:r>
      <w:r>
        <w:rPr>
          <w:rFonts w:hint="cs"/>
          <w:rtl/>
        </w:rPr>
        <w:t>،</w:t>
      </w:r>
      <w:r w:rsidR="009C32A0">
        <w:rPr>
          <w:rFonts w:hint="cs"/>
          <w:rtl/>
        </w:rPr>
        <w:t xml:space="preserve"> إنَّكم تَدْعُونَ سميعاً قَرِيباً</w:t>
      </w:r>
      <w:r>
        <w:rPr>
          <w:rFonts w:hint="cs"/>
          <w:rtl/>
        </w:rPr>
        <w:t>،</w:t>
      </w:r>
      <w:r w:rsidR="009C32A0">
        <w:rPr>
          <w:rFonts w:hint="cs"/>
          <w:rtl/>
        </w:rPr>
        <w:t xml:space="preserve"> </w:t>
      </w:r>
      <w:r w:rsidR="009C32A0">
        <w:rPr>
          <w:rFonts w:hint="cs"/>
          <w:rtl/>
        </w:rPr>
        <w:lastRenderedPageBreak/>
        <w:t>والذي تَدْعُونَهُ أَقْرَبُ إلى أَحَدِكُمْ مِنْ عُنُقِ رَاحِلَةِ أَحَدِكُمْ</w:t>
      </w:r>
      <w:r>
        <w:rPr>
          <w:rFonts w:hint="cs"/>
          <w:rtl/>
        </w:rPr>
        <w:t>)</w:t>
      </w:r>
      <w:r w:rsidR="009C32A0">
        <w:rPr>
          <w:rFonts w:hint="cs"/>
          <w:rtl/>
        </w:rPr>
        <w:t xml:space="preserve">) </w:t>
      </w:r>
      <w:r>
        <w:rPr>
          <w:rFonts w:hint="cs"/>
          <w:rtl/>
        </w:rPr>
        <w:t>[</w:t>
      </w:r>
      <w:r w:rsidR="009C32A0">
        <w:rPr>
          <w:rFonts w:hint="cs"/>
          <w:rtl/>
        </w:rPr>
        <w:t>أخرجه البخاري</w:t>
      </w:r>
      <w:r>
        <w:rPr>
          <w:rFonts w:hint="cs"/>
          <w:rtl/>
        </w:rPr>
        <w:t>]</w:t>
      </w:r>
      <w:r w:rsidR="009C32A0">
        <w:rPr>
          <w:rFonts w:hint="cs"/>
          <w:rtl/>
        </w:rPr>
        <w:t xml:space="preserve"> ولا يُقال أنه متصل بالكون ولا يُقال أنه منفصل عنه لأنه سبحانه ليس كمثله شيء لا يُقاس قربه بالمسافة</w:t>
      </w:r>
      <w:r>
        <w:rPr>
          <w:rFonts w:hint="cs"/>
          <w:rtl/>
        </w:rPr>
        <w:t>،</w:t>
      </w:r>
      <w:r w:rsidR="009C32A0">
        <w:rPr>
          <w:rFonts w:hint="cs"/>
          <w:rtl/>
        </w:rPr>
        <w:t xml:space="preserve"> بل كل خلقه منه قريب تحيرت العقول في ذاته وصفاته والعجز عن درك الإدراك صفة المخلوق القاصر</w:t>
      </w:r>
      <w:r>
        <w:rPr>
          <w:rFonts w:hint="cs"/>
          <w:rtl/>
        </w:rPr>
        <w:t>،</w:t>
      </w:r>
      <w:r w:rsidR="009C32A0">
        <w:rPr>
          <w:rFonts w:hint="cs"/>
          <w:rtl/>
        </w:rPr>
        <w:t xml:space="preserve"> وهذا حد البشر نبذ التمثيل والتكييف والتشبيه وتنزيه الله عن الزمان والمكان والحد والمقدار</w:t>
      </w:r>
      <w:r>
        <w:rPr>
          <w:rFonts w:hint="cs"/>
          <w:rtl/>
        </w:rPr>
        <w:t>،</w:t>
      </w:r>
      <w:r w:rsidR="009C32A0">
        <w:rPr>
          <w:rFonts w:hint="cs"/>
          <w:rtl/>
        </w:rPr>
        <w:t xml:space="preserve"> و</w:t>
      </w:r>
      <w:r w:rsidR="009C32A0">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Pr>
          <w:rFonts w:hint="cs"/>
          <w:rtl/>
          <w:lang w:bidi="ar-KW"/>
        </w:rPr>
        <w:t>،</w:t>
      </w:r>
      <w:r w:rsidR="009C32A0">
        <w:rPr>
          <w:rFonts w:hint="cs"/>
          <w:rtl/>
          <w:lang w:bidi="ar-KW"/>
        </w:rPr>
        <w:t xml:space="preserve"> نقول</w:t>
      </w:r>
      <w:r>
        <w:rPr>
          <w:rFonts w:hint="cs"/>
          <w:rtl/>
          <w:lang w:bidi="ar-KW"/>
        </w:rPr>
        <w:t>:</w:t>
      </w:r>
      <w:r w:rsidR="009C32A0">
        <w:rPr>
          <w:rFonts w:hint="cs"/>
          <w:rtl/>
          <w:lang w:bidi="ar-KW"/>
        </w:rPr>
        <w:t xml:space="preserve"> هو التناقض إذا كان بين شيئين متماثلين في وجه من الوجوه</w:t>
      </w:r>
      <w:r>
        <w:rPr>
          <w:rFonts w:hint="cs"/>
          <w:rtl/>
          <w:lang w:bidi="ar-KW"/>
        </w:rPr>
        <w:t>،</w:t>
      </w:r>
      <w:r w:rsidR="009C32A0">
        <w:rPr>
          <w:rFonts w:hint="cs"/>
          <w:rtl/>
          <w:lang w:bidi="ar-KW"/>
        </w:rPr>
        <w:t xml:space="preserve"> فمثلا نقول أن هناك علاقة بين الإنسان وبين العلم فيصح أن يٌقال هذا إنسان عالم أو جاهل</w:t>
      </w:r>
      <w:r>
        <w:rPr>
          <w:rFonts w:hint="cs"/>
          <w:rtl/>
          <w:lang w:bidi="ar-KW"/>
        </w:rPr>
        <w:t>،</w:t>
      </w:r>
      <w:r w:rsidR="009C32A0">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rtl/>
          <w:lang w:bidi="ar-KW"/>
        </w:rPr>
        <w:t>،</w:t>
      </w:r>
      <w:r w:rsidR="009C32A0">
        <w:rPr>
          <w:rFonts w:hint="cs"/>
          <w:rtl/>
          <w:lang w:bidi="ar-KW"/>
        </w:rPr>
        <w:t xml:space="preserve"> ولله المثل الأعلى</w:t>
      </w:r>
      <w:r>
        <w:rPr>
          <w:rFonts w:hint="cs"/>
          <w:rtl/>
          <w:lang w:bidi="ar-KW"/>
        </w:rPr>
        <w:t>،</w:t>
      </w:r>
      <w:r w:rsidR="009C32A0">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rtl/>
          <w:lang w:bidi="ar-KW"/>
        </w:rPr>
        <w:t>،</w:t>
      </w:r>
      <w:r w:rsidR="009C32A0">
        <w:rPr>
          <w:rFonts w:hint="cs"/>
          <w:rtl/>
          <w:lang w:bidi="ar-KW"/>
        </w:rPr>
        <w:t xml:space="preserve"> وليس كمثل صفاته صفات</w:t>
      </w:r>
      <w:r>
        <w:rPr>
          <w:rFonts w:hint="cs"/>
          <w:rtl/>
          <w:lang w:bidi="ar-KW"/>
        </w:rPr>
        <w:t>،</w:t>
      </w:r>
      <w:r w:rsidR="009C32A0">
        <w:rPr>
          <w:rFonts w:hint="cs"/>
          <w:rtl/>
          <w:lang w:bidi="ar-KW"/>
        </w:rPr>
        <w:t xml:space="preserve"> وليس كمثل أفعاله أفعال</w:t>
      </w:r>
      <w:r>
        <w:rPr>
          <w:rFonts w:hint="cs"/>
          <w:rtl/>
          <w:lang w:bidi="ar-KW"/>
        </w:rPr>
        <w:t>،</w:t>
      </w:r>
      <w:r w:rsidR="009C32A0">
        <w:rPr>
          <w:rFonts w:hint="cs"/>
          <w:rtl/>
          <w:lang w:bidi="ar-KW"/>
        </w:rPr>
        <w:t xml:space="preserve"> وليس له مثيل ولم يكن له كفوا أحد</w:t>
      </w:r>
      <w:r>
        <w:rPr>
          <w:rFonts w:hint="cs"/>
          <w:rtl/>
          <w:lang w:bidi="ar-KW"/>
        </w:rPr>
        <w:t>،</w:t>
      </w:r>
      <w:r w:rsidR="009C32A0">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ع</w:t>
      </w:r>
      <w:r>
        <w:rPr>
          <w:rFonts w:hint="cs"/>
          <w:rtl/>
          <w:lang w:bidi="ar-KW"/>
        </w:rPr>
        <w:t>)</w:t>
      </w:r>
      <w:r w:rsidR="009C32A0">
        <w:rPr>
          <w:rFonts w:hint="cs"/>
          <w:rtl/>
          <w:lang w:bidi="ar-KW"/>
        </w:rPr>
        <w:t xml:space="preserve"> من الأدلة الشرعية على تنزيه الله تعالى عن الحد</w:t>
      </w:r>
      <w:r>
        <w:rPr>
          <w:rFonts w:hint="cs"/>
          <w:rtl/>
          <w:lang w:bidi="ar-KW"/>
        </w:rPr>
        <w:t xml:space="preserve">: </w:t>
      </w:r>
      <w:r w:rsidR="009C32A0">
        <w:rPr>
          <w:rFonts w:hint="cs"/>
          <w:rtl/>
        </w:rPr>
        <w:t>قوله تعالى</w:t>
      </w:r>
      <w:r>
        <w:rPr>
          <w:rFonts w:hint="cs"/>
          <w:rtl/>
        </w:rPr>
        <w:t>:</w:t>
      </w:r>
      <w:r w:rsidR="009C32A0">
        <w:rPr>
          <w:rFonts w:hint="cs"/>
          <w:rtl/>
        </w:rPr>
        <w:t xml:space="preserve"> (ليس كمثلِه شيء) [سورة الشورى</w:t>
      </w:r>
      <w:r>
        <w:rPr>
          <w:rFonts w:hint="cs"/>
          <w:rtl/>
        </w:rPr>
        <w:t>:</w:t>
      </w:r>
      <w:r w:rsidR="009C32A0">
        <w:rPr>
          <w:rFonts w:hint="cs"/>
          <w:rtl/>
        </w:rPr>
        <w:t xml:space="preserve"> 11]</w:t>
      </w:r>
      <w:r>
        <w:rPr>
          <w:rFonts w:hint="cs"/>
          <w:rtl/>
        </w:rPr>
        <w:t>،</w:t>
      </w:r>
      <w:r w:rsidR="009C32A0">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9C32A0">
        <w:rPr>
          <w:rFonts w:hint="cs"/>
          <w:rtl/>
        </w:rPr>
        <w:t xml:space="preserve"> فإذا كانت المخلوقات جميعا لها حد تنتهي إليه وهو علامة نقصها ودليل خلقها علمنا من ذلك أن خالقها منزه عن الحد والحصر والمقدار</w:t>
      </w:r>
      <w:r>
        <w:rPr>
          <w:rFonts w:hint="cs"/>
          <w:rtl/>
        </w:rPr>
        <w:t>،</w:t>
      </w:r>
      <w:r w:rsidR="009C32A0">
        <w:rPr>
          <w:rFonts w:hint="cs"/>
          <w:rtl/>
        </w:rPr>
        <w:t xml:space="preserve"> قوله تعالى</w:t>
      </w:r>
      <w:r>
        <w:rPr>
          <w:rFonts w:hint="cs"/>
          <w:rtl/>
        </w:rPr>
        <w:t>:</w:t>
      </w:r>
      <w:r w:rsidR="009C32A0">
        <w:rPr>
          <w:rFonts w:hint="cs"/>
          <w:rtl/>
        </w:rPr>
        <w:t>(وللهِ المثَلُ الأعلى) [سورة النحل/60] أي الوصف الذي لا يشبه وصف غيره</w:t>
      </w:r>
      <w:r>
        <w:rPr>
          <w:rFonts w:hint="cs"/>
          <w:rtl/>
        </w:rPr>
        <w:t>،</w:t>
      </w:r>
      <w:r w:rsidR="009C32A0">
        <w:rPr>
          <w:rFonts w:hint="cs"/>
          <w:rtl/>
        </w:rPr>
        <w:t xml:space="preserve"> فلا يوصف ربنا عزَّ وجلَّ بصفات المخلوقين من الحد والحصر والمقدار</w:t>
      </w:r>
      <w:r>
        <w:rPr>
          <w:rFonts w:hint="cs"/>
          <w:rtl/>
        </w:rPr>
        <w:t>،</w:t>
      </w:r>
      <w:r w:rsidR="009C32A0">
        <w:rPr>
          <w:rFonts w:hint="cs"/>
          <w:rtl/>
        </w:rPr>
        <w:t xml:space="preserve"> وقوله تعالى</w:t>
      </w:r>
      <w:r>
        <w:rPr>
          <w:rFonts w:hint="cs"/>
          <w:rtl/>
        </w:rPr>
        <w:t>:</w:t>
      </w:r>
      <w:r w:rsidR="009C32A0">
        <w:rPr>
          <w:rFonts w:hint="cs"/>
          <w:rtl/>
        </w:rPr>
        <w:t>(فلا تضربوا للهِ الأمثال) [سورة النحل/74]</w:t>
      </w:r>
      <w:r>
        <w:rPr>
          <w:rFonts w:hint="cs"/>
          <w:rtl/>
        </w:rPr>
        <w:t>،</w:t>
      </w:r>
      <w:r w:rsidR="009C32A0">
        <w:rPr>
          <w:rFonts w:hint="cs"/>
          <w:rtl/>
        </w:rPr>
        <w:t xml:space="preserve"> أي لا تجعلوا لله الشبيهَ والمِثْل فإن اللهَ تعالى لا شبيه له ولا مثيل له</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تنزه عن الحد والحصر والمقدار</w:t>
      </w:r>
      <w:r>
        <w:rPr>
          <w:rFonts w:hint="cs"/>
          <w:rtl/>
        </w:rPr>
        <w:t>،</w:t>
      </w:r>
      <w:r w:rsidR="009C32A0">
        <w:rPr>
          <w:rFonts w:hint="cs"/>
          <w:rtl/>
        </w:rPr>
        <w:t xml:space="preserve"> وقوله تعالى</w:t>
      </w:r>
      <w:r>
        <w:rPr>
          <w:rFonts w:hint="cs"/>
          <w:rtl/>
        </w:rPr>
        <w:t>:</w:t>
      </w:r>
      <w:r w:rsidR="009C32A0">
        <w:rPr>
          <w:rFonts w:hint="cs"/>
          <w:rtl/>
        </w:rPr>
        <w:t>(هل تعلمُ لهُ سميًّا) [سورة مريم/65] أي مِثلاً</w:t>
      </w:r>
      <w:r>
        <w:rPr>
          <w:rFonts w:hint="cs"/>
          <w:rtl/>
        </w:rPr>
        <w:t>،</w:t>
      </w:r>
      <w:r w:rsidR="009C32A0">
        <w:rPr>
          <w:rFonts w:hint="cs"/>
          <w:rtl/>
        </w:rPr>
        <w:t xml:space="preserve"> فالله تعالى لا مِثْلَ له ولا شبيه ولا نظير</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تنزه عن الحد والحصر والمقدار</w:t>
      </w:r>
      <w:r>
        <w:rPr>
          <w:rFonts w:hint="cs"/>
          <w:rtl/>
        </w:rPr>
        <w:t>،</w:t>
      </w:r>
      <w:r w:rsidR="009C32A0">
        <w:rPr>
          <w:rFonts w:hint="cs"/>
          <w:rtl/>
        </w:rPr>
        <w:t xml:space="preserve"> وقوله تعالى</w:t>
      </w:r>
      <w:r>
        <w:rPr>
          <w:rFonts w:hint="cs"/>
          <w:rtl/>
        </w:rPr>
        <w:t>:</w:t>
      </w:r>
      <w:r w:rsidR="009C32A0">
        <w:rPr>
          <w:rFonts w:hint="cs"/>
          <w:rtl/>
        </w:rPr>
        <w:t>(هُوَ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Fonts w:hint="cs"/>
          <w:rtl/>
        </w:rPr>
        <w:t>،</w:t>
      </w:r>
      <w:r w:rsidR="009C32A0">
        <w:rPr>
          <w:rFonts w:hint="cs"/>
          <w:rtl/>
        </w:rPr>
        <w:t xml:space="preserve"> تعالى عن الحد </w:t>
      </w:r>
      <w:r w:rsidR="009C32A0">
        <w:rPr>
          <w:rFonts w:hint="cs"/>
          <w:rtl/>
        </w:rPr>
        <w:lastRenderedPageBreak/>
        <w:t>والمقدار</w:t>
      </w:r>
      <w:r>
        <w:rPr>
          <w:rFonts w:hint="cs"/>
          <w:rtl/>
        </w:rPr>
        <w:t>،</w:t>
      </w:r>
      <w:r w:rsidR="009C32A0">
        <w:rPr>
          <w:rFonts w:hint="cs"/>
          <w:rtl/>
        </w:rPr>
        <w:t xml:space="preserve"> وقوله تعالى</w:t>
      </w:r>
      <w:r>
        <w:rPr>
          <w:rFonts w:hint="cs"/>
          <w:rtl/>
        </w:rPr>
        <w:t>:</w:t>
      </w:r>
      <w:r w:rsidR="009C32A0">
        <w:rPr>
          <w:rFonts w:hint="cs"/>
          <w:rtl/>
        </w:rPr>
        <w:t>(وَلَمْ يَكُن لَّهُ كُفُوًا أَحَدٌ) [سورة الإخلاص/4] أي لا نظير له بوجه من الوجوه</w:t>
      </w:r>
      <w:r>
        <w:rPr>
          <w:rFonts w:hint="cs"/>
          <w:rtl/>
        </w:rPr>
        <w:t>،</w:t>
      </w:r>
      <w:r w:rsidR="009C32A0">
        <w:rPr>
          <w:rFonts w:hint="cs"/>
          <w:rtl/>
        </w:rPr>
        <w:t xml:space="preserve"> فإذا فإذا كانت المخلوقات جميعا لها حد تنتهي إليه وهو علامة نقصها ودليل خلقها علمنا من ذلك أن خالقها منزه عن الحد والحصر والمقدار</w:t>
      </w:r>
      <w:r>
        <w:rPr>
          <w:rFonts w:hint="cs"/>
          <w:rtl/>
        </w:rPr>
        <w:t>،</w:t>
      </w:r>
      <w:r w:rsidR="009C32A0">
        <w:rPr>
          <w:rFonts w:hint="cs"/>
          <w:rtl/>
        </w:rPr>
        <w:t xml:space="preserve"> وقوله تعالى</w:t>
      </w:r>
      <w:r>
        <w:rPr>
          <w:rFonts w:hint="cs"/>
          <w:rtl/>
        </w:rPr>
        <w:t>:</w:t>
      </w:r>
      <w:r w:rsidR="009C32A0">
        <w:rPr>
          <w:rFonts w:hint="cs"/>
          <w:rtl/>
        </w:rPr>
        <w:t>(فَأَيْنَمَا تُوَلُّواْ فَثَمَّ وَجْهُ اللهِ) [سورة البقرة/115] ولا يكون ذلك إلا لمن هو منزه عن الحد والمقدار</w:t>
      </w:r>
      <w:r>
        <w:rPr>
          <w:rFonts w:hint="cs"/>
          <w:rtl/>
        </w:rPr>
        <w:t>،</w:t>
      </w:r>
      <w:r w:rsidR="009C32A0">
        <w:rPr>
          <w:rFonts w:hint="cs"/>
          <w:rtl/>
        </w:rPr>
        <w:t xml:space="preserve"> وقول رسول الله صلى الله عليه وسلم</w:t>
      </w:r>
      <w:r>
        <w:rPr>
          <w:rFonts w:hint="cs"/>
          <w:rtl/>
        </w:rPr>
        <w:t>:</w:t>
      </w:r>
      <w:r w:rsidR="009C32A0">
        <w:rPr>
          <w:rFonts w:hint="cs"/>
          <w:rtl/>
        </w:rPr>
        <w:t xml:space="preserve"> </w:t>
      </w:r>
      <w:r>
        <w:rPr>
          <w:rFonts w:hint="cs"/>
          <w:rtl/>
        </w:rPr>
        <w:t>(</w:t>
      </w:r>
      <w:r w:rsidR="009C32A0">
        <w:rPr>
          <w:rFonts w:hint="cs"/>
          <w:rtl/>
        </w:rPr>
        <w:t>اللهم أنت الأوَّلُ فليس قبلَك شىءٌ</w:t>
      </w:r>
      <w:r>
        <w:rPr>
          <w:rFonts w:hint="cs"/>
          <w:rtl/>
        </w:rPr>
        <w:t>،</w:t>
      </w:r>
      <w:r w:rsidR="009C32A0">
        <w:rPr>
          <w:rFonts w:hint="cs"/>
          <w:rtl/>
        </w:rPr>
        <w:t xml:space="preserve"> وأنت الآخِر فليس بعدَك شيء</w:t>
      </w:r>
      <w:r>
        <w:rPr>
          <w:rFonts w:hint="cs"/>
          <w:rtl/>
        </w:rPr>
        <w:t>،</w:t>
      </w:r>
      <w:r w:rsidR="009C32A0">
        <w:rPr>
          <w:rFonts w:hint="cs"/>
          <w:rtl/>
        </w:rPr>
        <w:t xml:space="preserve"> وأنت الظاهرُ فليس فوقَكَ شىءٌ</w:t>
      </w:r>
      <w:r>
        <w:rPr>
          <w:rFonts w:hint="cs"/>
          <w:rtl/>
        </w:rPr>
        <w:t>،</w:t>
      </w:r>
      <w:r w:rsidR="009C32A0">
        <w:rPr>
          <w:rFonts w:hint="cs"/>
          <w:rtl/>
        </w:rPr>
        <w:t xml:space="preserve"> وأنت الباطن فليس دونَك شيء)</w:t>
      </w:r>
      <w:r>
        <w:rPr>
          <w:rFonts w:hint="cs"/>
          <w:rtl/>
        </w:rPr>
        <w:t xml:space="preserve"> [</w:t>
      </w:r>
      <w:r w:rsidR="009C32A0">
        <w:rPr>
          <w:rFonts w:hint="cs"/>
          <w:rtl/>
        </w:rPr>
        <w:t>أخرجه مسلم] وإذا لم يكن فوقه شيء ولا دونه شيء لم يكن له حد</w:t>
      </w:r>
      <w:r>
        <w:rPr>
          <w:rFonts w:hint="cs"/>
          <w:rtl/>
        </w:rPr>
        <w:t xml:space="preserve">، </w:t>
      </w:r>
      <w:r>
        <w:rPr>
          <w:rFonts w:hint="cs"/>
          <w:rtl/>
          <w:lang w:bidi="ar-KW"/>
        </w:rPr>
        <w:t>(</w:t>
      </w:r>
      <w:r w:rsidR="009C32A0">
        <w:rPr>
          <w:rFonts w:hint="cs"/>
          <w:rtl/>
          <w:lang w:bidi="ar-KW"/>
        </w:rPr>
        <w:t>غ</w:t>
      </w:r>
      <w:r>
        <w:rPr>
          <w:rFonts w:hint="cs"/>
          <w:rtl/>
          <w:lang w:bidi="ar-KW"/>
        </w:rPr>
        <w:t>)</w:t>
      </w:r>
      <w:r w:rsidR="009C32A0">
        <w:rPr>
          <w:rFonts w:hint="cs"/>
          <w:rtl/>
          <w:lang w:bidi="ar-KW"/>
        </w:rPr>
        <w:t xml:space="preserve"> من درر العلماء في تنزيه الله تعالى عن الحد</w:t>
      </w:r>
      <w:r>
        <w:rPr>
          <w:rFonts w:hint="cs"/>
          <w:rtl/>
          <w:lang w:bidi="ar-KW"/>
        </w:rPr>
        <w:t>:</w:t>
      </w:r>
      <w:r w:rsidR="009C32A0">
        <w:rPr>
          <w:rFonts w:hint="cs"/>
          <w:rtl/>
          <w:lang w:bidi="ar-KW"/>
        </w:rPr>
        <w:t xml:space="preserve"> </w:t>
      </w:r>
      <w:r w:rsidR="009C32A0">
        <w:rPr>
          <w:rFonts w:hint="cs"/>
          <w:rtl/>
        </w:rPr>
        <w:t>قال الإمام</w:t>
      </w:r>
      <w:r w:rsidR="009C32A0">
        <w:rPr>
          <w:rFonts w:hint="cs"/>
        </w:rPr>
        <w:t xml:space="preserve"> </w:t>
      </w:r>
      <w:r w:rsidR="009C32A0">
        <w:rPr>
          <w:rFonts w:hint="cs"/>
          <w:rtl/>
        </w:rPr>
        <w:t xml:space="preserve">أبو جعفر الطحاوي في كتابه </w:t>
      </w:r>
      <w:r>
        <w:rPr>
          <w:rFonts w:hint="cs"/>
          <w:rtl/>
        </w:rPr>
        <w:t>[</w:t>
      </w:r>
      <w:r w:rsidR="009C32A0">
        <w:rPr>
          <w:rFonts w:hint="cs"/>
          <w:rtl/>
        </w:rPr>
        <w:t>اعتقاد أهل السنة والجماعة على مذهب فقهاء الملة</w:t>
      </w:r>
      <w:r w:rsidR="009C32A0">
        <w:rPr>
          <w:rFonts w:hint="cs"/>
        </w:rPr>
        <w:t xml:space="preserve"> </w:t>
      </w:r>
      <w:r w:rsidR="009C32A0">
        <w:rPr>
          <w:rFonts w:hint="cs"/>
          <w:rtl/>
        </w:rPr>
        <w:t>أبى حنفية وأبي يوسف ومحمد بن حسن</w:t>
      </w:r>
      <w:r>
        <w:rPr>
          <w:rFonts w:hint="cs"/>
          <w:rtl/>
        </w:rPr>
        <w:t>]</w:t>
      </w:r>
      <w:r w:rsidR="009C32A0">
        <w:rPr>
          <w:rFonts w:hint="cs"/>
          <w:rtl/>
        </w:rPr>
        <w:t xml:space="preserve"> " تعالى الله عن الحدود والغايات</w:t>
      </w:r>
      <w:r w:rsidR="009C32A0">
        <w:rPr>
          <w:rFonts w:hint="cs"/>
          <w:u w:val="single"/>
          <w:rtl/>
        </w:rPr>
        <w:t xml:space="preserve"> </w:t>
      </w:r>
      <w:r w:rsidR="009C32A0">
        <w:rPr>
          <w:rFonts w:hint="cs"/>
          <w:rtl/>
        </w:rPr>
        <w:t>والأركان</w:t>
      </w:r>
      <w:r w:rsidR="009C32A0">
        <w:rPr>
          <w:rFonts w:hint="cs"/>
        </w:rPr>
        <w:t xml:space="preserve"> </w:t>
      </w:r>
      <w:r w:rsidR="009C32A0">
        <w:rPr>
          <w:rFonts w:hint="cs"/>
          <w:rtl/>
        </w:rPr>
        <w:t>والأعضاء والأدوات ولا تحوية الجهات الست كسائر المبدعات " أهــ</w:t>
      </w:r>
      <w:r>
        <w:rPr>
          <w:rFonts w:hint="cs"/>
          <w:rtl/>
        </w:rPr>
        <w:t xml:space="preserve">، </w:t>
      </w:r>
      <w:r w:rsidR="009C32A0">
        <w:rPr>
          <w:rFonts w:hint="cs"/>
          <w:rtl/>
        </w:rPr>
        <w:t>وجاء في اعتقاد الإمام المبجل ابن حنبل [ج</w:t>
      </w:r>
      <w:r>
        <w:rPr>
          <w:rFonts w:hint="cs"/>
          <w:rtl/>
        </w:rPr>
        <w:t>:</w:t>
      </w:r>
      <w:r w:rsidR="009C32A0">
        <w:rPr>
          <w:rFonts w:hint="cs"/>
          <w:rtl/>
        </w:rPr>
        <w:t xml:space="preserve"> 1 ص</w:t>
      </w:r>
      <w:r>
        <w:rPr>
          <w:rFonts w:hint="cs"/>
          <w:rtl/>
        </w:rPr>
        <w:t>:</w:t>
      </w:r>
      <w:r w:rsidR="009C32A0">
        <w:rPr>
          <w:rFonts w:hint="cs"/>
          <w:rtl/>
        </w:rPr>
        <w:t xml:space="preserve"> 307</w:t>
      </w:r>
      <w:r>
        <w:rPr>
          <w:rFonts w:hint="cs"/>
          <w:rtl/>
        </w:rPr>
        <w:t>]</w:t>
      </w:r>
      <w:r w:rsidR="009C32A0">
        <w:rPr>
          <w:rFonts w:hint="cs"/>
          <w:rtl/>
        </w:rPr>
        <w:t xml:space="preserve"> وجاء في كتاب العقيدة </w:t>
      </w:r>
      <w:r>
        <w:rPr>
          <w:rFonts w:hint="cs"/>
          <w:rtl/>
        </w:rPr>
        <w:t>[</w:t>
      </w:r>
      <w:r w:rsidR="009C32A0">
        <w:rPr>
          <w:rFonts w:hint="cs"/>
          <w:rtl/>
        </w:rPr>
        <w:t>ج</w:t>
      </w:r>
      <w:r>
        <w:rPr>
          <w:rFonts w:hint="cs"/>
          <w:rtl/>
        </w:rPr>
        <w:t>:</w:t>
      </w:r>
      <w:r w:rsidR="009C32A0">
        <w:rPr>
          <w:rFonts w:hint="cs"/>
          <w:rtl/>
        </w:rPr>
        <w:t xml:space="preserve"> 1 ص</w:t>
      </w:r>
      <w:r>
        <w:rPr>
          <w:rFonts w:hint="cs"/>
          <w:rtl/>
        </w:rPr>
        <w:t>:</w:t>
      </w:r>
      <w:r w:rsidR="009C32A0">
        <w:rPr>
          <w:rFonts w:hint="cs"/>
          <w:rtl/>
        </w:rPr>
        <w:t xml:space="preserve"> 127] نص</w:t>
      </w:r>
      <w:r w:rsidR="009C32A0">
        <w:rPr>
          <w:rFonts w:hint="cs"/>
        </w:rPr>
        <w:t xml:space="preserve"> </w:t>
      </w:r>
      <w:r w:rsidR="009C32A0">
        <w:rPr>
          <w:rFonts w:hint="cs"/>
          <w:rtl/>
        </w:rPr>
        <w:t>اعتقاد الإمام أحمد</w:t>
      </w:r>
      <w:r w:rsidR="009C32A0">
        <w:rPr>
          <w:rFonts w:hint="cs"/>
        </w:rPr>
        <w:t xml:space="preserve"> </w:t>
      </w:r>
      <w:r w:rsidR="009C32A0">
        <w:rPr>
          <w:rFonts w:hint="cs"/>
          <w:rtl/>
        </w:rPr>
        <w:t>بن حنبل "</w:t>
      </w:r>
      <w:r>
        <w:rPr>
          <w:rFonts w:hint="cs"/>
          <w:rtl/>
        </w:rPr>
        <w:t xml:space="preserve"> </w:t>
      </w:r>
      <w:r w:rsidR="009C32A0">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Pr>
          <w:rFonts w:hint="cs"/>
          <w:rtl/>
        </w:rPr>
        <w:t xml:space="preserve"> </w:t>
      </w:r>
      <w:r w:rsidR="009C32A0">
        <w:rPr>
          <w:rFonts w:hint="cs"/>
          <w:rtl/>
        </w:rPr>
        <w:t>ليس كمثله شيء وهو السميع البصير " أهـ</w:t>
      </w:r>
      <w:r>
        <w:rPr>
          <w:rFonts w:hint="cs"/>
          <w:rtl/>
        </w:rPr>
        <w:t>،</w:t>
      </w:r>
      <w:r w:rsidR="009C32A0">
        <w:rPr>
          <w:rFonts w:hint="cs"/>
          <w:rtl/>
        </w:rPr>
        <w:t xml:space="preserve"> وقال العلامة ابن الجوزي الحنبلي رحمه الله في </w:t>
      </w:r>
      <w:r>
        <w:rPr>
          <w:rFonts w:hint="cs"/>
          <w:rtl/>
        </w:rPr>
        <w:t>[</w:t>
      </w:r>
      <w:r w:rsidR="009C32A0">
        <w:rPr>
          <w:rFonts w:hint="cs"/>
          <w:rtl/>
        </w:rPr>
        <w:t>الباز الأشهب ص 57</w:t>
      </w:r>
      <w:r>
        <w:rPr>
          <w:rFonts w:hint="cs"/>
          <w:rtl/>
        </w:rPr>
        <w:t>]</w:t>
      </w:r>
      <w:r w:rsidR="009C32A0">
        <w:rPr>
          <w:rFonts w:hint="cs"/>
          <w:rtl/>
        </w:rPr>
        <w:t xml:space="preserve"> " واعلم أن من يتصور وجود الحق سبحانه وجودا مكانيا</w:t>
      </w:r>
      <w:r w:rsidR="009C32A0">
        <w:rPr>
          <w:rFonts w:hint="cs"/>
        </w:rPr>
        <w:t xml:space="preserve"> </w:t>
      </w:r>
      <w:r w:rsidR="009C32A0">
        <w:rPr>
          <w:rFonts w:hint="cs"/>
          <w:rtl/>
        </w:rPr>
        <w:t>طلب له جهة كما أن من تخيل أن وجوده وجودا زمانيا طلب له مده في تقدمه علي العالم</w:t>
      </w:r>
      <w:r w:rsidR="009C32A0">
        <w:rPr>
          <w:rFonts w:hint="cs"/>
        </w:rPr>
        <w:t xml:space="preserve"> </w:t>
      </w:r>
      <w:r w:rsidR="009C32A0">
        <w:rPr>
          <w:rFonts w:hint="cs"/>
          <w:rtl/>
        </w:rPr>
        <w:t>بأزمنة وكلا التخيلين باطل</w:t>
      </w:r>
      <w:r>
        <w:rPr>
          <w:rFonts w:hint="cs"/>
          <w:rtl/>
        </w:rPr>
        <w:t xml:space="preserve">، </w:t>
      </w:r>
      <w:r w:rsidR="009C32A0">
        <w:rPr>
          <w:rFonts w:hint="cs"/>
          <w:rtl/>
        </w:rPr>
        <w:t>وقد ثبت أن جميع الجهات تتساوي بالإضافة إلي القائل</w:t>
      </w:r>
      <w:r w:rsidR="009C32A0">
        <w:rPr>
          <w:rFonts w:hint="cs"/>
        </w:rPr>
        <w:t xml:space="preserve"> </w:t>
      </w:r>
      <w:r w:rsidR="009C32A0">
        <w:rPr>
          <w:rFonts w:hint="cs"/>
          <w:rtl/>
        </w:rPr>
        <w:t>بالجهة فاختصاصه ببعضها ليس بواجب لذاته بل هو جائز فيحتاج إلي مخصص يخصصه ويكون</w:t>
      </w:r>
      <w:r w:rsidR="009C32A0">
        <w:rPr>
          <w:rFonts w:hint="cs"/>
        </w:rPr>
        <w:t xml:space="preserve"> </w:t>
      </w:r>
      <w:r w:rsidR="009C32A0">
        <w:rPr>
          <w:rFonts w:hint="cs"/>
          <w:rtl/>
        </w:rPr>
        <w:t>الاختصاص بذلك المعني زائدا علي ذاته وما تطرق الجواز إليه استحال قدمه لأن القديم</w:t>
      </w:r>
      <w:r w:rsidR="009C32A0">
        <w:rPr>
          <w:rFonts w:hint="cs"/>
        </w:rPr>
        <w:t xml:space="preserve"> </w:t>
      </w:r>
      <w:r w:rsidR="009C32A0">
        <w:rPr>
          <w:rFonts w:hint="cs"/>
          <w:rtl/>
        </w:rPr>
        <w:t>هو الواجب الوجود من جميع الجهات</w:t>
      </w:r>
      <w:r>
        <w:rPr>
          <w:rFonts w:hint="cs"/>
          <w:rtl/>
        </w:rPr>
        <w:t xml:space="preserve">، </w:t>
      </w:r>
      <w:r w:rsidR="009C32A0">
        <w:rPr>
          <w:rFonts w:hint="cs"/>
          <w:rtl/>
        </w:rPr>
        <w:t>ثم</w:t>
      </w:r>
      <w:r w:rsidR="009C32A0">
        <w:rPr>
          <w:rFonts w:hint="cs"/>
        </w:rPr>
        <w:t xml:space="preserve"> </w:t>
      </w:r>
      <w:r w:rsidR="009C32A0">
        <w:rPr>
          <w:rFonts w:hint="cs"/>
          <w:rtl/>
        </w:rPr>
        <w:t>إن كل من هو في جهة يكون مقدرا محدودا</w:t>
      </w:r>
      <w:r w:rsidR="009C32A0">
        <w:rPr>
          <w:rFonts w:hint="cs"/>
        </w:rPr>
        <w:t xml:space="preserve"> </w:t>
      </w:r>
      <w:r w:rsidR="009C32A0">
        <w:rPr>
          <w:rFonts w:hint="cs"/>
          <w:rtl/>
        </w:rPr>
        <w:t>وهو يتعالي عن ذلك وإنما</w:t>
      </w:r>
      <w:r w:rsidR="009C32A0">
        <w:rPr>
          <w:rFonts w:hint="cs"/>
        </w:rPr>
        <w:t xml:space="preserve"> </w:t>
      </w:r>
      <w:r w:rsidR="009C32A0">
        <w:rPr>
          <w:rFonts w:hint="cs"/>
          <w:rtl/>
        </w:rPr>
        <w:t>الجهات للجواهر والأجسام لأنها أجرام تحتاج</w:t>
      </w:r>
      <w:r w:rsidR="009C32A0">
        <w:rPr>
          <w:rFonts w:hint="cs"/>
        </w:rPr>
        <w:t xml:space="preserve"> </w:t>
      </w:r>
      <w:r w:rsidR="009C32A0">
        <w:rPr>
          <w:rFonts w:hint="cs"/>
          <w:rtl/>
        </w:rPr>
        <w:t>إلي جهة والجهة ليست في جهة وإذا ثبت بطلان الجهة ثبت بطلان المكان ويوضحه أن</w:t>
      </w:r>
      <w:r w:rsidR="009C32A0">
        <w:rPr>
          <w:rFonts w:hint="cs"/>
        </w:rPr>
        <w:t xml:space="preserve"> </w:t>
      </w:r>
      <w:r w:rsidR="009C32A0">
        <w:rPr>
          <w:rFonts w:hint="cs"/>
          <w:rtl/>
        </w:rPr>
        <w:t xml:space="preserve">المكان إذا كان يحيط بمن فيه والخالق لا يحويه شيء ولا تحدث له صفة " أهــ وقال في </w:t>
      </w:r>
      <w:r>
        <w:rPr>
          <w:rFonts w:hint="cs"/>
          <w:rtl/>
        </w:rPr>
        <w:t>[</w:t>
      </w:r>
      <w:r w:rsidR="009C32A0">
        <w:rPr>
          <w:rFonts w:hint="cs"/>
          <w:rtl/>
        </w:rPr>
        <w:t>الباز الأشهب ص100-102] " وقوله</w:t>
      </w:r>
      <w:r>
        <w:rPr>
          <w:rFonts w:hint="cs"/>
          <w:rtl/>
        </w:rPr>
        <w:t>:</w:t>
      </w:r>
      <w:r w:rsidR="009C32A0">
        <w:rPr>
          <w:rFonts w:hint="cs"/>
          <w:rtl/>
        </w:rPr>
        <w:t xml:space="preserve"> حجابه النور</w:t>
      </w:r>
      <w:r>
        <w:rPr>
          <w:rFonts w:hint="cs"/>
          <w:rtl/>
        </w:rPr>
        <w:t>،</w:t>
      </w:r>
      <w:r w:rsidR="009C32A0">
        <w:rPr>
          <w:rFonts w:hint="cs"/>
          <w:rtl/>
        </w:rPr>
        <w:t xml:space="preserve"> ينبغي أن يعلم أن هذا الحجاب للخلق عنه</w:t>
      </w:r>
      <w:r>
        <w:rPr>
          <w:rFonts w:hint="cs"/>
          <w:rtl/>
        </w:rPr>
        <w:t>،</w:t>
      </w:r>
      <w:r w:rsidR="009C32A0">
        <w:rPr>
          <w:rFonts w:hint="cs"/>
          <w:rtl/>
        </w:rPr>
        <w:t xml:space="preserve"> لأنه لا يجوز أن يكون محجوبا لأن الحجاب يكون أكبر مما يستره</w:t>
      </w:r>
      <w:r>
        <w:rPr>
          <w:rFonts w:hint="cs"/>
          <w:rtl/>
        </w:rPr>
        <w:t>،</w:t>
      </w:r>
      <w:r w:rsidR="009C32A0">
        <w:rPr>
          <w:rFonts w:hint="cs"/>
          <w:rtl/>
        </w:rPr>
        <w:t xml:space="preserve"> ويستحيل أن يكون جسما أو جوهرا أو متناهيا محاذيا إذ جميع ذلك من إمارات الحدث</w:t>
      </w:r>
      <w:r>
        <w:rPr>
          <w:rFonts w:hint="cs"/>
          <w:rtl/>
        </w:rPr>
        <w:t>،</w:t>
      </w:r>
      <w:r w:rsidR="009C32A0">
        <w:rPr>
          <w:rFonts w:hint="cs"/>
          <w:rtl/>
        </w:rPr>
        <w:t xml:space="preserve"> وإنما عرف الناس حدوث الأجسام من حيث وجودها متناهية محدودة محـلا للحوادث</w:t>
      </w:r>
      <w:r>
        <w:rPr>
          <w:rFonts w:hint="cs"/>
          <w:rtl/>
        </w:rPr>
        <w:t>،</w:t>
      </w:r>
      <w:r w:rsidR="009C32A0">
        <w:rPr>
          <w:rFonts w:hint="cs"/>
          <w:rtl/>
        </w:rPr>
        <w:t xml:space="preserve"> وكما</w:t>
      </w:r>
      <w:r w:rsidR="009C32A0">
        <w:rPr>
          <w:rFonts w:hint="cs"/>
        </w:rPr>
        <w:t xml:space="preserve"> </w:t>
      </w:r>
      <w:r w:rsidR="009C32A0">
        <w:rPr>
          <w:rFonts w:hint="cs"/>
          <w:rtl/>
        </w:rPr>
        <w:t>أنه لا يجوز أن يكون لوجوده ابتداء ولا انتهاء</w:t>
      </w:r>
      <w:r w:rsidR="009C32A0">
        <w:rPr>
          <w:rFonts w:hint="cs"/>
        </w:rPr>
        <w:t xml:space="preserve"> </w:t>
      </w:r>
      <w:r w:rsidR="009C32A0">
        <w:rPr>
          <w:rFonts w:hint="cs"/>
          <w:u w:val="single"/>
          <w:rtl/>
        </w:rPr>
        <w:t>لا يصح أن يكون لذاته انتهاء</w:t>
      </w:r>
      <w:r>
        <w:rPr>
          <w:rFonts w:hint="cs"/>
          <w:rtl/>
        </w:rPr>
        <w:t>،</w:t>
      </w:r>
      <w:r w:rsidR="009C32A0">
        <w:rPr>
          <w:rFonts w:hint="cs"/>
          <w:rtl/>
        </w:rPr>
        <w:t xml:space="preserve"> وإنمـا المراد</w:t>
      </w:r>
      <w:r>
        <w:rPr>
          <w:rFonts w:hint="cs"/>
          <w:rtl/>
        </w:rPr>
        <w:t>:</w:t>
      </w:r>
      <w:r w:rsidR="009C32A0">
        <w:rPr>
          <w:rFonts w:hint="cs"/>
          <w:rtl/>
        </w:rPr>
        <w:t xml:space="preserve"> أن الخلق </w:t>
      </w:r>
      <w:r w:rsidR="009C32A0">
        <w:rPr>
          <w:rFonts w:hint="cs"/>
          <w:rtl/>
        </w:rPr>
        <w:lastRenderedPageBreak/>
        <w:t>محجوبون عنه كما قال</w:t>
      </w:r>
      <w:r w:rsidR="009C32A0">
        <w:rPr>
          <w:rFonts w:hint="cs"/>
        </w:rPr>
        <w:t xml:space="preserve"> </w:t>
      </w:r>
      <w:r w:rsidR="009C32A0">
        <w:rPr>
          <w:rFonts w:hint="cs"/>
          <w:rtl/>
        </w:rPr>
        <w:t>سبحانه وتعالي</w:t>
      </w:r>
      <w:r>
        <w:rPr>
          <w:rFonts w:hint="cs"/>
          <w:rtl/>
        </w:rPr>
        <w:t>:</w:t>
      </w:r>
      <w:r w:rsidR="009C32A0">
        <w:rPr>
          <w:rFonts w:hint="cs"/>
          <w:rtl/>
        </w:rPr>
        <w:t xml:space="preserve"> </w:t>
      </w:r>
      <w:r w:rsidR="009C32A0">
        <w:t>"</w:t>
      </w:r>
      <w:r w:rsidR="009C32A0">
        <w:rPr>
          <w:rFonts w:hint="cs"/>
          <w:rtl/>
        </w:rPr>
        <w:t xml:space="preserve"> كلا</w:t>
      </w:r>
      <w:r w:rsidR="009C32A0">
        <w:rPr>
          <w:rFonts w:hint="cs"/>
        </w:rPr>
        <w:t xml:space="preserve"> </w:t>
      </w:r>
      <w:r w:rsidR="009C32A0">
        <w:rPr>
          <w:rFonts w:hint="cs"/>
          <w:rtl/>
        </w:rPr>
        <w:t xml:space="preserve">إنهم عن ربهم يومئذ لمحجوبون </w:t>
      </w:r>
      <w:r w:rsidR="009C32A0">
        <w:t>"</w:t>
      </w:r>
      <w:r w:rsidR="009C32A0">
        <w:rPr>
          <w:rFonts w:hint="cs"/>
          <w:rtl/>
        </w:rPr>
        <w:t xml:space="preserve"> أ هــ</w:t>
      </w:r>
      <w:r>
        <w:rPr>
          <w:rFonts w:hint="cs"/>
          <w:rtl/>
        </w:rPr>
        <w:t>،</w:t>
      </w:r>
      <w:r w:rsidR="009C32A0">
        <w:rPr>
          <w:rFonts w:hint="cs"/>
          <w:rtl/>
        </w:rPr>
        <w:t xml:space="preserve"> وقال النووي في </w:t>
      </w:r>
      <w:r>
        <w:rPr>
          <w:rFonts w:hint="cs"/>
          <w:rtl/>
        </w:rPr>
        <w:t>[</w:t>
      </w:r>
      <w:r w:rsidR="009C32A0">
        <w:rPr>
          <w:rFonts w:hint="cs"/>
          <w:rtl/>
        </w:rPr>
        <w:t>شرح النووي على صحيح مسلم ج</w:t>
      </w:r>
      <w:r>
        <w:rPr>
          <w:rFonts w:hint="cs"/>
          <w:rtl/>
        </w:rPr>
        <w:t>:</w:t>
      </w:r>
      <w:r w:rsidR="009C32A0">
        <w:rPr>
          <w:rFonts w:hint="cs"/>
          <w:rtl/>
        </w:rPr>
        <w:t xml:space="preserve"> 7 ص</w:t>
      </w:r>
      <w:r>
        <w:rPr>
          <w:rFonts w:hint="cs"/>
          <w:rtl/>
        </w:rPr>
        <w:t>:</w:t>
      </w:r>
      <w:r w:rsidR="009C32A0">
        <w:rPr>
          <w:rFonts w:hint="cs"/>
          <w:rtl/>
        </w:rPr>
        <w:t xml:space="preserve"> 80] "</w:t>
      </w:r>
      <w:r>
        <w:rPr>
          <w:rFonts w:hint="cs"/>
          <w:rtl/>
        </w:rPr>
        <w:t xml:space="preserve"> </w:t>
      </w:r>
      <w:r w:rsidR="009C32A0">
        <w:rPr>
          <w:rFonts w:hint="cs"/>
          <w:rtl/>
        </w:rPr>
        <w:t>يمين الله</w:t>
      </w:r>
      <w:r w:rsidR="009C32A0">
        <w:rPr>
          <w:rFonts w:hint="cs"/>
        </w:rPr>
        <w:t xml:space="preserve"> </w:t>
      </w:r>
      <w:r w:rsidR="009C32A0">
        <w:rPr>
          <w:rFonts w:hint="cs"/>
          <w:rtl/>
        </w:rPr>
        <w:t>ملأى سحاء لا يغيضها شيء قال الامام المازرى هذا مما يتأول لان اليمين اذا كانت بمعنى</w:t>
      </w:r>
      <w:r w:rsidR="009C32A0">
        <w:rPr>
          <w:rFonts w:hint="cs"/>
        </w:rPr>
        <w:t xml:space="preserve"> </w:t>
      </w:r>
      <w:r w:rsidR="009C32A0">
        <w:rPr>
          <w:rFonts w:hint="cs"/>
          <w:rtl/>
        </w:rPr>
        <w:t>المناسبة للشمال لا يوصف بها الباري سبحانه وتعالى لأنها</w:t>
      </w:r>
      <w:r w:rsidR="009C32A0">
        <w:rPr>
          <w:rFonts w:hint="cs"/>
        </w:rPr>
        <w:t xml:space="preserve"> </w:t>
      </w:r>
      <w:r w:rsidR="009C32A0">
        <w:rPr>
          <w:rFonts w:hint="cs"/>
          <w:rtl/>
        </w:rPr>
        <w:t>تتضمن اثبات الشمال</w:t>
      </w:r>
      <w:r w:rsidR="009C32A0">
        <w:rPr>
          <w:rFonts w:hint="cs"/>
        </w:rPr>
        <w:t xml:space="preserve"> </w:t>
      </w:r>
      <w:r w:rsidR="009C32A0">
        <w:rPr>
          <w:rFonts w:hint="cs"/>
          <w:rtl/>
        </w:rPr>
        <w:t>وهذا يتضمن التحديد ويتقدس الله سبحانه عن</w:t>
      </w:r>
      <w:r>
        <w:rPr>
          <w:rtl/>
        </w:rPr>
        <w:t xml:space="preserve"> </w:t>
      </w:r>
      <w:r w:rsidR="009C32A0">
        <w:rPr>
          <w:rFonts w:hint="cs"/>
          <w:rtl/>
        </w:rPr>
        <w:t>التجسيم</w:t>
      </w:r>
      <w:r>
        <w:rPr>
          <w:rFonts w:hint="cs"/>
          <w:rtl/>
        </w:rPr>
        <w:t xml:space="preserve"> </w:t>
      </w:r>
      <w:r w:rsidR="009C32A0">
        <w:rPr>
          <w:rFonts w:hint="cs"/>
          <w:rtl/>
        </w:rPr>
        <w:t>والحد " أهـ</w:t>
      </w:r>
      <w:r>
        <w:rPr>
          <w:rFonts w:hint="cs"/>
          <w:rtl/>
          <w:lang w:bidi="ar-KW"/>
        </w:rPr>
        <w:t>،</w:t>
      </w:r>
      <w:r w:rsidR="009C32A0">
        <w:rPr>
          <w:rFonts w:hint="cs"/>
          <w:rtl/>
          <w:lang w:bidi="ar-KW"/>
        </w:rPr>
        <w:t xml:space="preserve"> </w:t>
      </w:r>
    </w:p>
    <w:p w14:paraId="29FB9298" w14:textId="24640471" w:rsidR="009C32A0" w:rsidRDefault="000636C2" w:rsidP="000636C2">
      <w:pPr>
        <w:ind w:left="-58"/>
        <w:rPr>
          <w:b/>
          <w:lang w:bidi="ar-KW"/>
        </w:rPr>
      </w:pPr>
      <w:r>
        <w:rPr>
          <w:rFonts w:hint="cs"/>
          <w:bCs/>
          <w:rtl/>
          <w:lang w:bidi="ar-KW"/>
        </w:rPr>
        <w:t>[</w:t>
      </w:r>
      <w:r w:rsidR="009C32A0">
        <w:rPr>
          <w:rFonts w:hint="cs"/>
          <w:bCs/>
          <w:rtl/>
          <w:lang w:bidi="ar-KW"/>
        </w:rPr>
        <w:t>2</w:t>
      </w:r>
      <w:r>
        <w:rPr>
          <w:rFonts w:hint="cs"/>
          <w:bCs/>
          <w:rtl/>
          <w:lang w:bidi="ar-KW"/>
        </w:rPr>
        <w:t>]:</w:t>
      </w:r>
      <w:r w:rsidR="009C32A0">
        <w:rPr>
          <w:rFonts w:hint="cs"/>
          <w:bCs/>
          <w:rtl/>
          <w:lang w:bidi="ar-KW"/>
        </w:rPr>
        <w:t xml:space="preserve"> القاعدة الثانية</w:t>
      </w:r>
      <w:r>
        <w:rPr>
          <w:rFonts w:hint="cs"/>
          <w:bCs/>
          <w:rtl/>
          <w:lang w:bidi="ar-KW"/>
        </w:rPr>
        <w:t xml:space="preserve">: </w:t>
      </w:r>
      <w:r w:rsidR="009C32A0">
        <w:rPr>
          <w:rFonts w:hint="cs"/>
          <w:bCs/>
          <w:rtl/>
          <w:lang w:bidi="ar-KW"/>
        </w:rPr>
        <w:t>تنزيه ذات الله تعالى عن أن يحيط به مكان أو أن يجري عليه زمان</w:t>
      </w:r>
      <w:r>
        <w:rPr>
          <w:rFonts w:hint="cs"/>
          <w:rtl/>
          <w:lang w:bidi="ar-KW"/>
        </w:rPr>
        <w:t>: (</w:t>
      </w:r>
      <w:r w:rsidR="009C32A0">
        <w:rPr>
          <w:rFonts w:hint="cs"/>
          <w:rtl/>
          <w:lang w:bidi="ar-KW"/>
        </w:rPr>
        <w:t>أ</w:t>
      </w:r>
      <w:r>
        <w:rPr>
          <w:rFonts w:hint="cs"/>
          <w:rtl/>
          <w:lang w:bidi="ar-KW"/>
        </w:rPr>
        <w:t>)</w:t>
      </w:r>
      <w:r w:rsidR="009C32A0">
        <w:rPr>
          <w:rFonts w:hint="cs"/>
          <w:rtl/>
          <w:lang w:bidi="ar-KW"/>
        </w:rPr>
        <w:t xml:space="preserve"> عند تدبر قول الله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هُوَ الْأَوَّلُ وَالْآخِرُ وَالظَّاهِرُ وَالْبَاطِنُ وَهُوَ بِكُلِّ شَيْءٍ عَلِيمٌ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الحديد</w:t>
      </w:r>
      <w:r>
        <w:rPr>
          <w:rFonts w:hint="cs"/>
          <w:rtl/>
          <w:lang w:bidi="ar-KW"/>
        </w:rPr>
        <w:t>:</w:t>
      </w:r>
      <w:r w:rsidR="009C32A0">
        <w:rPr>
          <w:rFonts w:hint="cs"/>
          <w:rtl/>
          <w:lang w:bidi="ar-KW"/>
        </w:rPr>
        <w:t xml:space="preserve"> 3</w:t>
      </w:r>
      <w:r>
        <w:rPr>
          <w:rFonts w:hint="cs"/>
          <w:rtl/>
          <w:lang w:bidi="ar-KW"/>
        </w:rPr>
        <w:t>}،</w:t>
      </w:r>
      <w:r w:rsidR="009C32A0">
        <w:rPr>
          <w:rFonts w:hint="cs"/>
          <w:rtl/>
          <w:lang w:bidi="ar-KW"/>
        </w:rPr>
        <w:t xml:space="preserve"> مع قوله صلى الله عليه وسلم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اللهم أنت الأوَّلُ فليس قبلَك شىءٌ</w:t>
      </w:r>
      <w:r>
        <w:rPr>
          <w:rFonts w:hint="cs"/>
          <w:rtl/>
          <w:lang w:bidi="ar-KW"/>
        </w:rPr>
        <w:t>،</w:t>
      </w:r>
      <w:r w:rsidR="009C32A0">
        <w:rPr>
          <w:rFonts w:hint="cs"/>
          <w:rtl/>
          <w:lang w:bidi="ar-KW"/>
        </w:rPr>
        <w:t xml:space="preserve"> وأنت الآخِر فليس بعدَك شىءٌ</w:t>
      </w:r>
      <w:r>
        <w:rPr>
          <w:rFonts w:hint="cs"/>
          <w:rtl/>
          <w:lang w:bidi="ar-KW"/>
        </w:rPr>
        <w:t>،</w:t>
      </w:r>
      <w:r w:rsidR="009C32A0">
        <w:rPr>
          <w:rFonts w:hint="cs"/>
          <w:rtl/>
          <w:lang w:bidi="ar-KW"/>
        </w:rPr>
        <w:t xml:space="preserve"> وأنت الظاهرُ فليس فوقَكَ شيء</w:t>
      </w:r>
      <w:r>
        <w:rPr>
          <w:rFonts w:hint="cs"/>
          <w:rtl/>
          <w:lang w:bidi="ar-KW"/>
        </w:rPr>
        <w:t>،</w:t>
      </w:r>
      <w:r w:rsidR="009C32A0">
        <w:rPr>
          <w:rFonts w:hint="cs"/>
          <w:rtl/>
          <w:lang w:bidi="ar-KW"/>
        </w:rPr>
        <w:t xml:space="preserve"> وأنت الباطن فليس دونَك شيء))</w:t>
      </w:r>
      <w:r>
        <w:rPr>
          <w:rFonts w:hint="cs"/>
          <w:rtl/>
          <w:lang w:bidi="ar-KW"/>
        </w:rPr>
        <w:t xml:space="preserve"> [</w:t>
      </w:r>
      <w:r w:rsidR="009C32A0">
        <w:rPr>
          <w:rFonts w:hint="cs"/>
          <w:rtl/>
          <w:lang w:bidi="ar-KW"/>
        </w:rPr>
        <w:t>أخرجه مسلم]</w:t>
      </w:r>
      <w:r>
        <w:rPr>
          <w:rFonts w:hint="cs"/>
          <w:rtl/>
          <w:lang w:bidi="ar-KW"/>
        </w:rPr>
        <w:t>،</w:t>
      </w:r>
      <w:r w:rsidR="009C32A0">
        <w:rPr>
          <w:rFonts w:hint="cs"/>
          <w:rtl/>
          <w:lang w:bidi="ar-KW"/>
        </w:rPr>
        <w:t xml:space="preserve"> وقوله صلى الله عليه وسلم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كان الله ولم يكن شيء غيره</w:t>
      </w:r>
      <w:r>
        <w:rPr>
          <w:rFonts w:hint="cs"/>
          <w:rtl/>
          <w:lang w:bidi="ar-KW"/>
        </w:rPr>
        <w:t>)</w:t>
      </w:r>
      <w:r w:rsidR="009C32A0">
        <w:rPr>
          <w:rFonts w:hint="cs"/>
          <w:rtl/>
          <w:lang w:bidi="ar-KW"/>
        </w:rPr>
        <w:t>)</w:t>
      </w:r>
      <w:r>
        <w:rPr>
          <w:rFonts w:hint="cs"/>
          <w:rtl/>
          <w:lang w:bidi="ar-KW"/>
        </w:rPr>
        <w:t xml:space="preserve"> [</w:t>
      </w:r>
      <w:r w:rsidR="009C32A0">
        <w:rPr>
          <w:rFonts w:hint="cs"/>
          <w:rtl/>
          <w:lang w:bidi="ar-KW"/>
        </w:rPr>
        <w:t xml:space="preserve">البخاري </w:t>
      </w:r>
      <w:r>
        <w:rPr>
          <w:rFonts w:hint="cs"/>
          <w:rtl/>
          <w:lang w:bidi="ar-KW"/>
        </w:rPr>
        <w:t>(</w:t>
      </w:r>
      <w:r w:rsidR="009C32A0">
        <w:rPr>
          <w:rFonts w:hint="cs"/>
          <w:rtl/>
          <w:lang w:bidi="ar-KW"/>
        </w:rPr>
        <w:t>3020</w:t>
      </w:r>
      <w:r>
        <w:rPr>
          <w:rFonts w:hint="cs"/>
          <w:rtl/>
          <w:lang w:bidi="ar-KW"/>
        </w:rPr>
        <w:t>)]،</w:t>
      </w:r>
      <w:r w:rsidR="009C32A0">
        <w:rPr>
          <w:rFonts w:hint="cs"/>
          <w:rtl/>
          <w:lang w:bidi="ar-KW"/>
        </w:rPr>
        <w:t xml:space="preserve"> نعلم يقيناً أن الله تعالى له الكمال المطلق في وجود ذاته سبحانه</w:t>
      </w:r>
      <w:r>
        <w:rPr>
          <w:rFonts w:hint="cs"/>
          <w:rtl/>
          <w:lang w:bidi="ar-KW"/>
        </w:rPr>
        <w:t>،</w:t>
      </w:r>
      <w:r w:rsidR="009C32A0">
        <w:rPr>
          <w:rFonts w:hint="cs"/>
          <w:rtl/>
          <w:lang w:bidi="ar-KW"/>
        </w:rPr>
        <w:t xml:space="preserve"> كمال أكبر وأعلى من الوجود الزماني</w:t>
      </w:r>
      <w:r>
        <w:rPr>
          <w:rFonts w:hint="cs"/>
          <w:rtl/>
          <w:lang w:bidi="ar-KW"/>
        </w:rPr>
        <w:t>،</w:t>
      </w:r>
      <w:r w:rsidR="009C32A0">
        <w:rPr>
          <w:rFonts w:hint="cs"/>
          <w:rtl/>
          <w:lang w:bidi="ar-KW"/>
        </w:rPr>
        <w:t xml:space="preserve"> وكمال أكبر وأعلى من الوجود المكاني</w:t>
      </w:r>
      <w:r>
        <w:rPr>
          <w:rFonts w:hint="cs"/>
          <w:rtl/>
          <w:lang w:bidi="ar-KW"/>
        </w:rPr>
        <w:t>،</w:t>
      </w:r>
      <w:r w:rsidR="009C32A0">
        <w:rPr>
          <w:rFonts w:hint="cs"/>
          <w:rtl/>
          <w:lang w:bidi="ar-KW"/>
        </w:rPr>
        <w:t xml:space="preserve"> ليس كمثله شيء وليس كمثل وجوده وجود</w:t>
      </w:r>
      <w:r>
        <w:rPr>
          <w:rFonts w:hint="cs"/>
          <w:rtl/>
          <w:lang w:bidi="ar-KW"/>
        </w:rPr>
        <w:t>،</w:t>
      </w:r>
      <w:r w:rsidR="009C32A0">
        <w:rPr>
          <w:rFonts w:hint="cs"/>
          <w:rtl/>
          <w:lang w:bidi="ar-KW"/>
        </w:rPr>
        <w:t xml:space="preserve"> له كمال الوجود الأعلى من الزمان</w:t>
      </w:r>
      <w:r>
        <w:rPr>
          <w:rFonts w:hint="cs"/>
          <w:rtl/>
          <w:lang w:bidi="ar-KW"/>
        </w:rPr>
        <w:t>،</w:t>
      </w:r>
      <w:r w:rsidR="009C32A0">
        <w:rPr>
          <w:rFonts w:hint="cs"/>
          <w:rtl/>
          <w:lang w:bidi="ar-KW"/>
        </w:rPr>
        <w:t xml:space="preserve"> إذ هو الأول بلا ابتداء</w:t>
      </w:r>
      <w:r>
        <w:rPr>
          <w:rFonts w:hint="cs"/>
          <w:rtl/>
          <w:lang w:bidi="ar-KW"/>
        </w:rPr>
        <w:t>،</w:t>
      </w:r>
      <w:r w:rsidR="009C32A0">
        <w:rPr>
          <w:rFonts w:hint="cs"/>
          <w:rtl/>
          <w:lang w:bidi="ar-KW"/>
        </w:rPr>
        <w:t xml:space="preserve"> وهو الآخر بلا انتهاء</w:t>
      </w:r>
      <w:r>
        <w:rPr>
          <w:rFonts w:hint="cs"/>
          <w:rtl/>
          <w:lang w:bidi="ar-KW"/>
        </w:rPr>
        <w:t>،</w:t>
      </w:r>
      <w:r w:rsidR="009C32A0">
        <w:rPr>
          <w:rFonts w:hint="cs"/>
          <w:rtl/>
          <w:lang w:bidi="ar-KW"/>
        </w:rPr>
        <w:t xml:space="preserve"> فوجوده قبل الزمان</w:t>
      </w:r>
      <w:r>
        <w:rPr>
          <w:rFonts w:hint="cs"/>
          <w:rtl/>
          <w:lang w:bidi="ar-KW"/>
        </w:rPr>
        <w:t>،</w:t>
      </w:r>
      <w:r w:rsidR="009C32A0">
        <w:rPr>
          <w:rFonts w:hint="cs"/>
          <w:rtl/>
          <w:lang w:bidi="ar-KW"/>
        </w:rPr>
        <w:t xml:space="preserve"> ووجوده بعد انقضاء الزمان</w:t>
      </w:r>
      <w:r>
        <w:rPr>
          <w:rFonts w:hint="cs"/>
          <w:rtl/>
          <w:lang w:bidi="ar-KW"/>
        </w:rPr>
        <w:t>،</w:t>
      </w:r>
      <w:r w:rsidR="009C32A0">
        <w:rPr>
          <w:rFonts w:hint="cs"/>
          <w:rtl/>
          <w:lang w:bidi="ar-KW"/>
        </w:rPr>
        <w:t xml:space="preserve"> إذ هو خالق الزمان</w:t>
      </w:r>
      <w:r>
        <w:rPr>
          <w:rFonts w:hint="cs"/>
          <w:rtl/>
          <w:lang w:bidi="ar-KW"/>
        </w:rPr>
        <w:t>،</w:t>
      </w:r>
      <w:r w:rsidR="009C32A0">
        <w:rPr>
          <w:rFonts w:hint="cs"/>
          <w:rtl/>
          <w:lang w:bidi="ar-KW"/>
        </w:rPr>
        <w:t xml:space="preserve"> أزلي أبدي فلا يجري عليه زمان</w:t>
      </w:r>
      <w:r>
        <w:rPr>
          <w:rFonts w:hint="cs"/>
          <w:rtl/>
          <w:lang w:bidi="ar-KW"/>
        </w:rPr>
        <w:t>،</w:t>
      </w:r>
      <w:r w:rsidR="009C32A0">
        <w:rPr>
          <w:rFonts w:hint="cs"/>
          <w:rtl/>
          <w:lang w:bidi="ar-KW"/>
        </w:rPr>
        <w:t xml:space="preserve"> وله كمال الوجود الاعلى من المكان</w:t>
      </w:r>
      <w:r>
        <w:rPr>
          <w:rFonts w:hint="cs"/>
          <w:rtl/>
          <w:lang w:bidi="ar-KW"/>
        </w:rPr>
        <w:t>،</w:t>
      </w:r>
      <w:r w:rsidR="009C32A0">
        <w:rPr>
          <w:rFonts w:hint="cs"/>
          <w:rtl/>
          <w:lang w:bidi="ar-KW"/>
        </w:rPr>
        <w:t xml:space="preserve"> إذ هو الظاهر فليس فوقه شيء</w:t>
      </w:r>
      <w:r>
        <w:rPr>
          <w:rFonts w:hint="cs"/>
          <w:rtl/>
          <w:lang w:bidi="ar-KW"/>
        </w:rPr>
        <w:t>،</w:t>
      </w:r>
      <w:r w:rsidR="009C32A0">
        <w:rPr>
          <w:rFonts w:hint="cs"/>
          <w:rtl/>
          <w:lang w:bidi="ar-KW"/>
        </w:rPr>
        <w:t xml:space="preserve"> وهو الباطن فليس دونه شيء</w:t>
      </w:r>
      <w:r>
        <w:rPr>
          <w:rFonts w:hint="cs"/>
          <w:rtl/>
          <w:lang w:bidi="ar-KW"/>
        </w:rPr>
        <w:t>،</w:t>
      </w:r>
      <w:r w:rsidR="009C32A0">
        <w:rPr>
          <w:rFonts w:hint="cs"/>
          <w:rtl/>
          <w:lang w:bidi="ar-KW"/>
        </w:rPr>
        <w:t xml:space="preserve"> فوجوده قبل المكان</w:t>
      </w:r>
      <w:r>
        <w:rPr>
          <w:rFonts w:hint="cs"/>
          <w:rtl/>
          <w:lang w:bidi="ar-KW"/>
        </w:rPr>
        <w:t>،</w:t>
      </w:r>
      <w:r w:rsidR="009C32A0">
        <w:rPr>
          <w:rFonts w:hint="cs"/>
          <w:rtl/>
          <w:lang w:bidi="ar-KW"/>
        </w:rPr>
        <w:t xml:space="preserve"> إذ هو خالق المكان</w:t>
      </w:r>
      <w:r>
        <w:rPr>
          <w:rFonts w:hint="cs"/>
          <w:rtl/>
          <w:lang w:bidi="ar-KW"/>
        </w:rPr>
        <w:t>،</w:t>
      </w:r>
      <w:r w:rsidR="009C32A0">
        <w:rPr>
          <w:rFonts w:hint="cs"/>
          <w:rtl/>
          <w:lang w:bidi="ar-KW"/>
        </w:rPr>
        <w:t xml:space="preserve"> فكيف يحويه المكان وهو بكل شيء محيط</w:t>
      </w:r>
      <w:r>
        <w:rPr>
          <w:rFonts w:hint="cs"/>
          <w:rtl/>
          <w:lang w:bidi="ar-KW"/>
        </w:rPr>
        <w:t>،</w:t>
      </w:r>
      <w:r w:rsidR="009C32A0">
        <w:rPr>
          <w:rFonts w:hint="cs"/>
          <w:rtl/>
          <w:lang w:bidi="ar-KW"/>
        </w:rPr>
        <w:t xml:space="preserve"> </w:t>
      </w:r>
      <w:r w:rsidR="009C32A0">
        <w:rPr>
          <w:rFonts w:hint="cs"/>
          <w:rtl/>
        </w:rPr>
        <w:t xml:space="preserve">وإذا لم يكن قبل </w:t>
      </w:r>
      <w:r>
        <w:rPr>
          <w:rFonts w:hint="cs"/>
          <w:rtl/>
        </w:rPr>
        <w:t>(</w:t>
      </w:r>
      <w:r w:rsidR="009C32A0">
        <w:rPr>
          <w:rFonts w:hint="cs"/>
          <w:rtl/>
        </w:rPr>
        <w:t>الله</w:t>
      </w:r>
      <w:r>
        <w:rPr>
          <w:rFonts w:hint="cs"/>
          <w:rtl/>
        </w:rPr>
        <w:t>)</w:t>
      </w:r>
      <w:r w:rsidR="009C32A0">
        <w:rPr>
          <w:rFonts w:hint="cs"/>
          <w:rtl/>
        </w:rPr>
        <w:t xml:space="preserve"> تعالى شيء ولا بعده شيء ولا فوقه شيء ولا دونه شيء</w:t>
      </w:r>
      <w:r>
        <w:rPr>
          <w:rFonts w:hint="cs"/>
          <w:rtl/>
        </w:rPr>
        <w:t>،</w:t>
      </w:r>
      <w:r w:rsidR="009C32A0">
        <w:rPr>
          <w:rFonts w:hint="cs"/>
          <w:rtl/>
        </w:rPr>
        <w:t xml:space="preserve"> وهو بكل شيء محيط</w:t>
      </w:r>
      <w:r>
        <w:rPr>
          <w:rFonts w:hint="cs"/>
          <w:rtl/>
        </w:rPr>
        <w:t>،</w:t>
      </w:r>
      <w:r w:rsidR="009C32A0">
        <w:rPr>
          <w:rFonts w:hint="cs"/>
          <w:rtl/>
        </w:rPr>
        <w:t xml:space="preserve"> لم يكن له شبيه ولا مثيل في وجود ذاته</w:t>
      </w:r>
      <w:r>
        <w:rPr>
          <w:rFonts w:hint="cs"/>
          <w:rtl/>
        </w:rPr>
        <w:t xml:space="preserve">، </w:t>
      </w:r>
      <w:r w:rsidR="009C32A0">
        <w:rPr>
          <w:rFonts w:hint="cs"/>
          <w:rtl/>
        </w:rPr>
        <w:t>وعلى ذلك</w:t>
      </w:r>
      <w:r>
        <w:rPr>
          <w:rFonts w:hint="cs"/>
          <w:rtl/>
        </w:rPr>
        <w:t>:</w:t>
      </w:r>
      <w:r w:rsidR="009C32A0">
        <w:rPr>
          <w:rFonts w:hint="cs"/>
          <w:rtl/>
        </w:rPr>
        <w:t xml:space="preserve"> فالله موجود ولكن وجوده تعالى ليس كمثله شيء ولا له كفء ولا شبيه وليس له مثال يقاس عليه</w:t>
      </w:r>
      <w:r>
        <w:rPr>
          <w:rFonts w:hint="cs"/>
          <w:rtl/>
        </w:rPr>
        <w:t>،</w:t>
      </w:r>
      <w:r w:rsidR="009C32A0">
        <w:rPr>
          <w:rFonts w:hint="cs"/>
          <w:rtl/>
        </w:rPr>
        <w:t xml:space="preserve"> </w:t>
      </w:r>
      <w:r w:rsidR="009C32A0">
        <w:rPr>
          <w:rFonts w:hint="cs"/>
          <w:rtl/>
          <w:lang w:bidi="ar-KW"/>
        </w:rPr>
        <w:t>وعلى ذلك فإن لله تعالى كمال الوجود المطلق المنزه عن المكان فلا يحويه مكان</w:t>
      </w:r>
      <w:r>
        <w:rPr>
          <w:rFonts w:hint="cs"/>
          <w:rtl/>
          <w:lang w:bidi="ar-KW"/>
        </w:rPr>
        <w:t>،</w:t>
      </w:r>
      <w:r w:rsidR="009C32A0">
        <w:rPr>
          <w:rFonts w:hint="cs"/>
          <w:rtl/>
          <w:lang w:bidi="ar-KW"/>
        </w:rPr>
        <w:t xml:space="preserve"> والمنزه عن الزمان فلا يجري عليه زمان</w:t>
      </w:r>
      <w:r>
        <w:rPr>
          <w:rFonts w:hint="cs"/>
          <w:rtl/>
          <w:lang w:bidi="ar-KW"/>
        </w:rPr>
        <w:t>، (</w:t>
      </w:r>
      <w:r w:rsidR="009C32A0">
        <w:rPr>
          <w:rFonts w:hint="cs"/>
          <w:rtl/>
          <w:lang w:bidi="ar-KW"/>
        </w:rPr>
        <w:t>ب</w:t>
      </w:r>
      <w:r>
        <w:rPr>
          <w:rFonts w:hint="cs"/>
          <w:rtl/>
          <w:lang w:bidi="ar-KW"/>
        </w:rPr>
        <w:t>)</w:t>
      </w:r>
      <w:r w:rsidR="009C32A0">
        <w:rPr>
          <w:rFonts w:hint="cs"/>
          <w:rtl/>
          <w:lang w:bidi="ar-KW"/>
        </w:rPr>
        <w:t xml:space="preserve"> كل موجود سوى الله تعالى مخلوق حادث</w:t>
      </w:r>
      <w:r>
        <w:rPr>
          <w:rFonts w:hint="cs"/>
          <w:rtl/>
          <w:lang w:bidi="ar-KW"/>
        </w:rPr>
        <w:t>،</w:t>
      </w:r>
      <w:r w:rsidR="009C32A0">
        <w:rPr>
          <w:rFonts w:hint="cs"/>
          <w:rtl/>
          <w:lang w:bidi="ar-KW"/>
        </w:rPr>
        <w:t xml:space="preserve"> كان قبل خلقه عدما</w:t>
      </w:r>
      <w:r>
        <w:rPr>
          <w:rFonts w:hint="cs"/>
          <w:rtl/>
          <w:lang w:bidi="ar-KW"/>
        </w:rPr>
        <w:t xml:space="preserve"> </w:t>
      </w:r>
      <w:r w:rsidR="009C32A0">
        <w:rPr>
          <w:rFonts w:hint="cs"/>
          <w:rtl/>
          <w:lang w:bidi="ar-KW"/>
        </w:rPr>
        <w:t>ثم خلقه الله بقدرته ومشيئته</w:t>
      </w:r>
      <w:r>
        <w:rPr>
          <w:rFonts w:hint="cs"/>
          <w:rtl/>
          <w:lang w:bidi="ar-KW"/>
        </w:rPr>
        <w:t>،</w:t>
      </w:r>
      <w:r w:rsidR="009C32A0">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9C32A0">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w:t>
      </w:r>
      <w:r w:rsidR="009C32A0">
        <w:rPr>
          <w:rFonts w:hint="cs"/>
          <w:rtl/>
          <w:lang w:bidi="ar-KW"/>
        </w:rPr>
        <w:t>ت</w:t>
      </w:r>
      <w:r>
        <w:rPr>
          <w:rFonts w:hint="cs"/>
          <w:rtl/>
          <w:lang w:bidi="ar-KW"/>
        </w:rPr>
        <w:t>)</w:t>
      </w:r>
      <w:r w:rsidR="009C32A0">
        <w:rPr>
          <w:rFonts w:hint="cs"/>
          <w:rtl/>
          <w:lang w:bidi="ar-KW"/>
        </w:rPr>
        <w:t xml:space="preserve"> أما الله عز وجل فهو الخالق لكل شيء في الوجود قال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الله خالق كل شيء}</w:t>
      </w:r>
      <w:r>
        <w:rPr>
          <w:rFonts w:hint="cs"/>
          <w:rtl/>
          <w:lang w:bidi="ar-KW"/>
        </w:rPr>
        <w:t>،</w:t>
      </w:r>
      <w:r w:rsidR="009C32A0">
        <w:rPr>
          <w:rFonts w:hint="cs"/>
          <w:rtl/>
          <w:lang w:bidi="ar-KW"/>
        </w:rPr>
        <w:t xml:space="preserve"> وقال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هذا خلق الله فأروني ماذا خلق الذين من دونه</w:t>
      </w:r>
      <w:r>
        <w:rPr>
          <w:rFonts w:hint="cs"/>
          <w:rtl/>
          <w:lang w:bidi="ar-KW"/>
        </w:rPr>
        <w:t xml:space="preserve">}، </w:t>
      </w:r>
      <w:r w:rsidR="009C32A0">
        <w:rPr>
          <w:rFonts w:hint="cs"/>
          <w:rtl/>
          <w:lang w:bidi="ar-KW"/>
        </w:rPr>
        <w:t>ومن جملة خلقه المكان والزمان</w:t>
      </w:r>
      <w:r>
        <w:rPr>
          <w:rFonts w:hint="cs"/>
          <w:rtl/>
          <w:lang w:bidi="ar-KW"/>
        </w:rPr>
        <w:t>،</w:t>
      </w:r>
      <w:r w:rsidR="009C32A0">
        <w:rPr>
          <w:rFonts w:hint="cs"/>
          <w:rtl/>
          <w:lang w:bidi="ar-KW"/>
        </w:rPr>
        <w:t xml:space="preserve"> فهل يحل الخالق في المخلوق</w:t>
      </w:r>
      <w:r>
        <w:rPr>
          <w:rFonts w:hint="cs"/>
          <w:rtl/>
          <w:lang w:bidi="ar-KW"/>
        </w:rPr>
        <w:t xml:space="preserve"> </w:t>
      </w:r>
      <w:r w:rsidR="009C32A0">
        <w:rPr>
          <w:rFonts w:hint="cs"/>
          <w:rtl/>
          <w:lang w:bidi="ar-KW"/>
        </w:rPr>
        <w:t>أم هل تجري على الخالق قوانين المخلوق</w:t>
      </w:r>
      <w:r>
        <w:rPr>
          <w:rFonts w:hint="cs"/>
          <w:rtl/>
          <w:lang w:bidi="ar-KW"/>
        </w:rPr>
        <w:t>،</w:t>
      </w:r>
      <w:r w:rsidR="009C32A0">
        <w:rPr>
          <w:rFonts w:hint="cs"/>
          <w:rtl/>
          <w:lang w:bidi="ar-KW"/>
        </w:rPr>
        <w:t xml:space="preserve"> سبحانه </w:t>
      </w:r>
      <w:r w:rsidR="009C32A0">
        <w:rPr>
          <w:rFonts w:hint="cs"/>
          <w:rtl/>
          <w:lang w:bidi="ar-KW"/>
        </w:rPr>
        <w:lastRenderedPageBreak/>
        <w:t>كان قبل خلق المكان والزمان وهو على ما عليه كان</w:t>
      </w:r>
      <w:r>
        <w:rPr>
          <w:rFonts w:hint="cs"/>
          <w:rtl/>
          <w:lang w:bidi="ar-KW"/>
        </w:rPr>
        <w:t>،</w:t>
      </w:r>
      <w:r w:rsidR="009C32A0">
        <w:rPr>
          <w:rFonts w:hint="cs"/>
          <w:rtl/>
          <w:lang w:bidi="ar-KW"/>
        </w:rPr>
        <w:t xml:space="preserve"> منزه عن المكان تنزيه الخالق عن المخلوق</w:t>
      </w:r>
      <w:r>
        <w:rPr>
          <w:rFonts w:hint="cs"/>
          <w:rtl/>
          <w:lang w:bidi="ar-KW"/>
        </w:rPr>
        <w:t>،</w:t>
      </w:r>
      <w:r w:rsidR="009C32A0">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9C32A0">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 (</w:t>
      </w:r>
      <w:r w:rsidR="009C32A0">
        <w:rPr>
          <w:rFonts w:hint="cs"/>
          <w:rtl/>
          <w:lang w:bidi="ar-KW"/>
        </w:rPr>
        <w:t>ث</w:t>
      </w:r>
      <w:r>
        <w:rPr>
          <w:rFonts w:hint="cs"/>
          <w:rtl/>
          <w:lang w:bidi="ar-KW"/>
        </w:rPr>
        <w:t>)</w:t>
      </w:r>
      <w:r w:rsidR="009C32A0">
        <w:rPr>
          <w:rFonts w:hint="cs"/>
          <w:rtl/>
          <w:lang w:bidi="ar-KW"/>
        </w:rPr>
        <w:t xml:space="preserve"> قوله تعالى </w:t>
      </w:r>
      <w:r>
        <w:rPr>
          <w:rFonts w:hint="cs"/>
          <w:rtl/>
          <w:lang w:bidi="ar-KW"/>
        </w:rPr>
        <w:t>{</w:t>
      </w:r>
      <w:r w:rsidR="009C32A0">
        <w:rPr>
          <w:rFonts w:hint="cs"/>
          <w:rtl/>
          <w:lang w:bidi="ar-KW"/>
        </w:rPr>
        <w:t>قل لمن ما في السماوات والأرض * قل لله</w:t>
      </w:r>
      <w:r>
        <w:rPr>
          <w:rFonts w:hint="cs"/>
          <w:rtl/>
          <w:lang w:bidi="ar-KW"/>
        </w:rPr>
        <w:t>}</w:t>
      </w:r>
      <w:r w:rsidR="009C32A0">
        <w:rPr>
          <w:rFonts w:hint="cs"/>
          <w:rtl/>
          <w:lang w:bidi="ar-KW"/>
        </w:rPr>
        <w:t xml:space="preserve"> مشعر بأن المكان وكل ما فيه ملكاً لله تعالى وقوله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وله ما سكن في الليل والنهار</w:t>
      </w:r>
      <w:r>
        <w:rPr>
          <w:rFonts w:hint="cs"/>
          <w:rtl/>
          <w:lang w:bidi="ar-KW"/>
        </w:rPr>
        <w:t>}</w:t>
      </w:r>
      <w:r w:rsidR="009C32A0">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9C32A0">
        <w:rPr>
          <w:rFonts w:hint="cs"/>
          <w:rtl/>
          <w:lang w:bidi="ar-KW"/>
        </w:rPr>
        <w:t>كلها ملك لله تعالى وذلك يدل على تنزيهه عن المكان والمكان</w:t>
      </w:r>
      <w:r>
        <w:rPr>
          <w:rFonts w:hint="cs"/>
          <w:rtl/>
          <w:lang w:bidi="ar-KW"/>
        </w:rPr>
        <w:t>، (</w:t>
      </w:r>
      <w:r w:rsidR="009C32A0">
        <w:rPr>
          <w:rFonts w:hint="cs"/>
          <w:rtl/>
          <w:lang w:bidi="ar-KW"/>
        </w:rPr>
        <w:t>ج</w:t>
      </w:r>
      <w:r>
        <w:rPr>
          <w:rFonts w:hint="cs"/>
          <w:rtl/>
          <w:lang w:bidi="ar-KW"/>
        </w:rPr>
        <w:t>)</w:t>
      </w:r>
      <w:r w:rsidR="009C32A0">
        <w:rPr>
          <w:rFonts w:hint="cs"/>
          <w:rtl/>
          <w:lang w:bidi="ar-KW"/>
        </w:rPr>
        <w:t xml:space="preserve"> وجود الله تعالى قبل خلق المكان ووجوده سبحانه بعد فناء المكان فلا يحويه مكان</w:t>
      </w:r>
      <w:r>
        <w:rPr>
          <w:rFonts w:hint="cs"/>
          <w:rtl/>
          <w:lang w:bidi="ar-KW"/>
        </w:rPr>
        <w:t>،</w:t>
      </w:r>
      <w:r w:rsidR="009C32A0">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 (</w:t>
      </w:r>
      <w:r w:rsidR="009C32A0">
        <w:rPr>
          <w:rFonts w:hint="cs"/>
          <w:rtl/>
          <w:lang w:bidi="ar-KW"/>
        </w:rPr>
        <w:t>ح</w:t>
      </w:r>
      <w:r>
        <w:rPr>
          <w:rFonts w:hint="cs"/>
          <w:rtl/>
          <w:lang w:bidi="ar-KW"/>
        </w:rPr>
        <w:t>)</w:t>
      </w:r>
      <w:r w:rsidR="009C32A0">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وهو القاهر فوق عباده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خ</w:t>
      </w:r>
      <w:r>
        <w:rPr>
          <w:rFonts w:hint="cs"/>
          <w:rtl/>
          <w:lang w:bidi="ar-KW"/>
        </w:rPr>
        <w:t>)</w:t>
      </w:r>
      <w:r w:rsidR="009C32A0">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9C32A0">
        <w:rPr>
          <w:rFonts w:hint="cs"/>
          <w:rtl/>
          <w:lang w:bidi="ar-KW"/>
        </w:rPr>
        <w:t>د</w:t>
      </w:r>
      <w:r>
        <w:rPr>
          <w:rFonts w:hint="cs"/>
          <w:rtl/>
          <w:lang w:bidi="ar-KW"/>
        </w:rPr>
        <w:t>)</w:t>
      </w:r>
      <w:r w:rsidR="009C32A0">
        <w:rPr>
          <w:rFonts w:hint="cs"/>
          <w:rtl/>
          <w:lang w:bidi="ar-KW"/>
        </w:rPr>
        <w:t xml:space="preserve"> من الدلائل الواضحة على تنزه الله تعالى عن الوجود في جهة معينة من جهات الكون</w:t>
      </w:r>
      <w:r>
        <w:rPr>
          <w:rFonts w:hint="cs"/>
          <w:rtl/>
          <w:lang w:bidi="ar-KW"/>
        </w:rPr>
        <w:t>:</w:t>
      </w:r>
      <w:r w:rsidR="009C32A0">
        <w:rPr>
          <w:rFonts w:hint="cs"/>
          <w:rtl/>
          <w:lang w:bidi="ar-KW"/>
        </w:rPr>
        <w:t xml:space="preserve"> أن جهات الكون محدودة لأنها مخلوقة مقدَرة </w:t>
      </w:r>
      <w:r>
        <w:rPr>
          <w:rFonts w:hint="cs"/>
          <w:rtl/>
          <w:lang w:bidi="ar-KW"/>
        </w:rPr>
        <w:t>(</w:t>
      </w:r>
      <w:r w:rsidR="009C32A0">
        <w:rPr>
          <w:rFonts w:hint="cs"/>
          <w:rtl/>
          <w:lang w:bidi="ar-KW"/>
        </w:rPr>
        <w:t>بضم الميم وفتح الراء مع تشديدها</w:t>
      </w:r>
      <w:r>
        <w:rPr>
          <w:rFonts w:hint="cs"/>
          <w:rtl/>
          <w:lang w:bidi="ar-KW"/>
        </w:rPr>
        <w:t>)</w:t>
      </w:r>
      <w:r w:rsidR="009C32A0">
        <w:rPr>
          <w:rFonts w:hint="cs"/>
          <w:rtl/>
          <w:lang w:bidi="ar-KW"/>
        </w:rPr>
        <w:t xml:space="preserve"> والله تعالى خالق مقدِر </w:t>
      </w:r>
      <w:r>
        <w:rPr>
          <w:rFonts w:hint="cs"/>
          <w:rtl/>
          <w:lang w:bidi="ar-KW"/>
        </w:rPr>
        <w:t>(</w:t>
      </w:r>
      <w:r w:rsidR="009C32A0">
        <w:rPr>
          <w:rFonts w:hint="cs"/>
          <w:rtl/>
          <w:lang w:bidi="ar-KW"/>
        </w:rPr>
        <w:t>بضم الميم وكسر الراء مع تشديدها</w:t>
      </w:r>
      <w:r>
        <w:rPr>
          <w:rFonts w:hint="cs"/>
          <w:rtl/>
          <w:lang w:bidi="ar-KW"/>
        </w:rPr>
        <w:t>)</w:t>
      </w:r>
      <w:r w:rsidR="009C32A0">
        <w:rPr>
          <w:rFonts w:hint="cs"/>
          <w:rtl/>
          <w:lang w:bidi="ar-KW"/>
        </w:rPr>
        <w:t xml:space="preserve"> تنزه سبحانه عن الحيز والحد والمقدار لأنها علامات المخلوق الناقص</w:t>
      </w:r>
      <w:r>
        <w:rPr>
          <w:rFonts w:hint="cs"/>
          <w:rtl/>
          <w:lang w:bidi="ar-KW"/>
        </w:rPr>
        <w:t>،</w:t>
      </w:r>
      <w:r w:rsidR="009C32A0">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9C32A0">
        <w:rPr>
          <w:rFonts w:hint="cs"/>
          <w:rtl/>
          <w:lang w:bidi="ar-KW"/>
        </w:rPr>
        <w:t xml:space="preserve"> فيستحيل وجود المنزه عن الحد والمقدار في الحيز المحدود </w:t>
      </w:r>
      <w:r>
        <w:rPr>
          <w:rFonts w:hint="cs"/>
          <w:rtl/>
          <w:lang w:bidi="ar-KW"/>
        </w:rPr>
        <w:t>[</w:t>
      </w:r>
      <w:r w:rsidR="009C32A0">
        <w:rPr>
          <w:rFonts w:hint="cs"/>
          <w:rtl/>
          <w:lang w:bidi="ar-KW"/>
        </w:rPr>
        <w:t xml:space="preserve">سياتي الحديث عن تنزيه الله تعالى عن الحيز والحد والمقدار في الباب التالي </w:t>
      </w:r>
      <w:r>
        <w:rPr>
          <w:rFonts w:hint="cs"/>
          <w:rtl/>
          <w:lang w:bidi="ar-KW"/>
        </w:rPr>
        <w:t>(</w:t>
      </w:r>
      <w:r w:rsidR="009C32A0">
        <w:rPr>
          <w:rFonts w:hint="cs"/>
          <w:rtl/>
          <w:lang w:bidi="ar-KW"/>
        </w:rPr>
        <w:t>تنزيه الله تعالى في ذاته ليس كمثله شيء</w:t>
      </w:r>
      <w:r>
        <w:rPr>
          <w:rFonts w:hint="cs"/>
          <w:rtl/>
          <w:lang w:bidi="ar-KW"/>
        </w:rPr>
        <w:t>)]</w:t>
      </w:r>
      <w:r w:rsidR="009C32A0">
        <w:rPr>
          <w:rFonts w:hint="cs"/>
          <w:rtl/>
          <w:lang w:bidi="ar-KW"/>
        </w:rPr>
        <w:t xml:space="preserve"> وحاصل الأمر أن الله تعالى لا تحويه جهة من جهات الكون ولا سائر الجهات ورحم الله الطحاوي حيث يقول " تعالى عن </w:t>
      </w:r>
      <w:r w:rsidR="009C32A0">
        <w:rPr>
          <w:rFonts w:hint="cs"/>
          <w:rtl/>
          <w:lang w:bidi="ar-KW"/>
        </w:rPr>
        <w:lastRenderedPageBreak/>
        <w:t>الحدودِ والغاياتِ والأركانِ والأعضاءِ والأدوات</w:t>
      </w:r>
      <w:r>
        <w:rPr>
          <w:rFonts w:hint="cs"/>
          <w:rtl/>
          <w:lang w:bidi="ar-KW"/>
        </w:rPr>
        <w:t>،</w:t>
      </w:r>
      <w:r w:rsidR="009C32A0">
        <w:rPr>
          <w:rFonts w:hint="cs"/>
          <w:rtl/>
          <w:lang w:bidi="ar-KW"/>
        </w:rPr>
        <w:t xml:space="preserve"> لا تحويهِ الجهاتُ الستُّ كسائرِ المبتدعات " أهــ</w:t>
      </w:r>
      <w:r>
        <w:rPr>
          <w:rFonts w:hint="cs"/>
          <w:rtl/>
          <w:lang w:bidi="ar-KW"/>
        </w:rPr>
        <w:t>، (</w:t>
      </w:r>
      <w:r w:rsidR="009C32A0">
        <w:rPr>
          <w:rFonts w:hint="cs"/>
          <w:rtl/>
          <w:lang w:bidi="ar-KW"/>
        </w:rPr>
        <w:t>ذ</w:t>
      </w:r>
      <w:r>
        <w:rPr>
          <w:rFonts w:hint="cs"/>
          <w:rtl/>
          <w:lang w:bidi="ar-KW"/>
        </w:rPr>
        <w:t>)</w:t>
      </w:r>
      <w:r w:rsidR="009C32A0">
        <w:rPr>
          <w:rFonts w:hint="cs"/>
          <w:rtl/>
          <w:lang w:bidi="ar-KW"/>
        </w:rPr>
        <w:t xml:space="preserve"> ومن الادلة على تنزيه الله تعالى عن المكان</w:t>
      </w:r>
      <w:r>
        <w:rPr>
          <w:rFonts w:hint="cs"/>
          <w:rtl/>
          <w:lang w:bidi="ar-KW"/>
        </w:rPr>
        <w:t>:</w:t>
      </w:r>
      <w:r w:rsidR="009C32A0">
        <w:rPr>
          <w:rFonts w:hint="cs"/>
          <w:rtl/>
          <w:lang w:bidi="ar-KW"/>
        </w:rPr>
        <w:t xml:space="preserve"> أنّ ا</w:t>
      </w:r>
      <w:r w:rsidR="009C32A0">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9C32A0">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w:t>
      </w:r>
      <w:r>
        <w:rPr>
          <w:rFonts w:hint="cs"/>
          <w:rtl/>
        </w:rPr>
        <w:t>،</w:t>
      </w:r>
      <w:r w:rsidR="009C32A0">
        <w:rPr>
          <w:rFonts w:hint="cs"/>
          <w:rtl/>
        </w:rPr>
        <w:t xml:space="preserve"> ومنزه عن أن يحيط به شيء لأنه بكل شيء محيط</w:t>
      </w:r>
      <w:r>
        <w:rPr>
          <w:rFonts w:hint="cs"/>
          <w:rtl/>
        </w:rPr>
        <w:t>،</w:t>
      </w:r>
      <w:r w:rsidR="009C32A0">
        <w:rPr>
          <w:rFonts w:hint="cs"/>
          <w:rtl/>
        </w:rPr>
        <w:t xml:space="preserve"> فتحتم من ذلك تنزيهه عن أن يحيزه شيء من خلقه وكل ما في الوجود سواه فهو خلقه الفقير إليه وهو الغني عنهم</w:t>
      </w:r>
      <w:r>
        <w:rPr>
          <w:rFonts w:hint="cs"/>
          <w:rtl/>
        </w:rPr>
        <w:t>، (</w:t>
      </w:r>
      <w:r w:rsidR="009C32A0">
        <w:rPr>
          <w:rFonts w:hint="cs"/>
          <w:rtl/>
        </w:rPr>
        <w:t>ر</w:t>
      </w:r>
      <w:r>
        <w:rPr>
          <w:rFonts w:hint="cs"/>
          <w:rtl/>
        </w:rPr>
        <w:t>)</w:t>
      </w:r>
      <w:r w:rsidR="009C32A0">
        <w:rPr>
          <w:rFonts w:hint="cs"/>
          <w:rtl/>
        </w:rPr>
        <w:t xml:space="preserve"> عدم تنزيه الله تعالى عن المكان يعني أن هناك مكان ما يحيز الله</w:t>
      </w:r>
      <w:r>
        <w:rPr>
          <w:rFonts w:hint="cs"/>
          <w:rtl/>
        </w:rPr>
        <w:t>،</w:t>
      </w:r>
      <w:r w:rsidR="009C32A0">
        <w:rPr>
          <w:rFonts w:hint="cs"/>
          <w:rtl/>
        </w:rPr>
        <w:t xml:space="preserve"> والمكان الذي يحيز أي شيء</w:t>
      </w:r>
      <w:r>
        <w:rPr>
          <w:rFonts w:hint="cs"/>
          <w:rtl/>
        </w:rPr>
        <w:t xml:space="preserve"> </w:t>
      </w:r>
      <w:r w:rsidR="009C32A0">
        <w:rPr>
          <w:rFonts w:hint="cs"/>
          <w:rtl/>
        </w:rPr>
        <w:t>لاشك أنه أكبر منه</w:t>
      </w:r>
      <w:r>
        <w:rPr>
          <w:rFonts w:hint="cs"/>
          <w:rtl/>
        </w:rPr>
        <w:t>،</w:t>
      </w:r>
      <w:r w:rsidR="009C32A0">
        <w:rPr>
          <w:rFonts w:hint="cs"/>
          <w:rtl/>
        </w:rPr>
        <w:t xml:space="preserve"> وهذا يخالف القطعي والضروري من الدين من كون الله تعالى أكبر من كل شيء</w:t>
      </w:r>
      <w:r>
        <w:rPr>
          <w:rFonts w:hint="cs"/>
          <w:rtl/>
        </w:rPr>
        <w:t>،</w:t>
      </w:r>
      <w:r w:rsidR="009C32A0">
        <w:rPr>
          <w:rFonts w:hint="cs"/>
          <w:rtl/>
        </w:rPr>
        <w:t xml:space="preserve"> </w:t>
      </w:r>
      <w:r>
        <w:rPr>
          <w:rFonts w:hint="cs"/>
          <w:rtl/>
        </w:rPr>
        <w:t>(</w:t>
      </w:r>
      <w:r w:rsidR="009C32A0">
        <w:rPr>
          <w:rFonts w:hint="cs"/>
          <w:rtl/>
        </w:rPr>
        <w:t>ز</w:t>
      </w:r>
      <w:r>
        <w:rPr>
          <w:rFonts w:hint="cs"/>
          <w:rtl/>
        </w:rPr>
        <w:t>)</w:t>
      </w:r>
      <w:r w:rsidR="009C32A0">
        <w:rPr>
          <w:rFonts w:hint="cs"/>
          <w:rtl/>
        </w:rPr>
        <w:t xml:space="preserve"> عدم تنزيه الله تعالى عن المكان يستلزم ذلك احتياج الله إلى المكان</w:t>
      </w:r>
      <w:r>
        <w:rPr>
          <w:rFonts w:hint="cs"/>
          <w:rtl/>
        </w:rPr>
        <w:t>،</w:t>
      </w:r>
      <w:r w:rsidR="009C32A0">
        <w:rPr>
          <w:rFonts w:hint="cs"/>
          <w:rtl/>
        </w:rPr>
        <w:t xml:space="preserve"> لأنّ الكائن في مكان محتاج إلى المكان</w:t>
      </w:r>
      <w:r>
        <w:rPr>
          <w:rFonts w:hint="cs"/>
          <w:rtl/>
        </w:rPr>
        <w:t>،</w:t>
      </w:r>
      <w:r w:rsidR="009C32A0">
        <w:rPr>
          <w:rFonts w:hint="cs"/>
          <w:rtl/>
        </w:rPr>
        <w:t xml:space="preserve"> ولكنّه تعالى هو الغني الذي لا يحتاج إلى شيء</w:t>
      </w:r>
      <w:r>
        <w:rPr>
          <w:rFonts w:hint="cs"/>
          <w:rtl/>
        </w:rPr>
        <w:t>،</w:t>
      </w:r>
      <w:r w:rsidR="009C32A0">
        <w:rPr>
          <w:rFonts w:hint="cs"/>
          <w:rtl/>
        </w:rPr>
        <w:t xml:space="preserve"> والاحتياج من صفات المُحدَث المخلوق الفقير لا من صفات الخالق الغني الحميد</w:t>
      </w:r>
      <w:r>
        <w:rPr>
          <w:rFonts w:hint="cs"/>
          <w:rtl/>
        </w:rPr>
        <w:t>، (</w:t>
      </w:r>
      <w:r w:rsidR="009C32A0">
        <w:rPr>
          <w:rFonts w:hint="cs"/>
          <w:rtl/>
        </w:rPr>
        <w:t>س</w:t>
      </w:r>
      <w:r>
        <w:rPr>
          <w:rFonts w:hint="cs"/>
          <w:rtl/>
        </w:rPr>
        <w:t>)</w:t>
      </w:r>
      <w:r w:rsidR="009C32A0">
        <w:rPr>
          <w:rFonts w:hint="cs"/>
          <w:rtl/>
        </w:rPr>
        <w:t xml:space="preserve"> عدم تنزيه الله تعالى عن المكان يعني إنّ المكان الذي يكون الله فيه لا يخلو من أمرين</w:t>
      </w:r>
      <w:r>
        <w:rPr>
          <w:rFonts w:hint="cs"/>
          <w:rtl/>
        </w:rPr>
        <w:t>:</w:t>
      </w:r>
      <w:r w:rsidR="009C32A0">
        <w:rPr>
          <w:rFonts w:hint="cs"/>
          <w:rtl/>
        </w:rPr>
        <w:t xml:space="preserve"> الأوّل</w:t>
      </w:r>
      <w:r>
        <w:rPr>
          <w:rFonts w:hint="cs"/>
          <w:rtl/>
        </w:rPr>
        <w:t>:</w:t>
      </w:r>
      <w:r w:rsidR="009C32A0">
        <w:rPr>
          <w:rFonts w:hint="cs"/>
          <w:rtl/>
        </w:rPr>
        <w:t xml:space="preserve"> قديم</w:t>
      </w:r>
      <w:r>
        <w:rPr>
          <w:rFonts w:hint="cs"/>
          <w:rtl/>
        </w:rPr>
        <w:t>،</w:t>
      </w:r>
      <w:r w:rsidR="009C32A0">
        <w:rPr>
          <w:rFonts w:hint="cs"/>
          <w:rtl/>
        </w:rPr>
        <w:t xml:space="preserve"> فيستلزم ذلك تعدّد القدماء</w:t>
      </w:r>
      <w:r>
        <w:rPr>
          <w:rFonts w:hint="cs"/>
          <w:rtl/>
        </w:rPr>
        <w:t>،</w:t>
      </w:r>
      <w:r w:rsidR="009C32A0">
        <w:rPr>
          <w:rFonts w:hint="cs"/>
          <w:rtl/>
        </w:rPr>
        <w:t xml:space="preserve"> وهذا باطل</w:t>
      </w:r>
      <w:r>
        <w:rPr>
          <w:rFonts w:hint="cs"/>
          <w:rtl/>
        </w:rPr>
        <w:t>،</w:t>
      </w:r>
      <w:r w:rsidR="009C32A0">
        <w:rPr>
          <w:rFonts w:hint="cs"/>
          <w:rtl/>
        </w:rPr>
        <w:t xml:space="preserve"> الثاني</w:t>
      </w:r>
      <w:r>
        <w:rPr>
          <w:rFonts w:hint="cs"/>
          <w:rtl/>
        </w:rPr>
        <w:t>:</w:t>
      </w:r>
      <w:r w:rsidR="009C32A0">
        <w:rPr>
          <w:rFonts w:hint="cs"/>
          <w:rtl/>
        </w:rPr>
        <w:t xml:space="preserve"> حادث</w:t>
      </w:r>
      <w:r>
        <w:rPr>
          <w:rFonts w:hint="cs"/>
          <w:rtl/>
        </w:rPr>
        <w:t>،</w:t>
      </w:r>
      <w:r w:rsidR="009C32A0">
        <w:rPr>
          <w:rFonts w:hint="cs"/>
          <w:rtl/>
        </w:rPr>
        <w:t xml:space="preserve"> والحادث محدود</w:t>
      </w:r>
      <w:r>
        <w:rPr>
          <w:rFonts w:hint="cs"/>
          <w:rtl/>
        </w:rPr>
        <w:t>،</w:t>
      </w:r>
      <w:r w:rsidR="009C32A0">
        <w:rPr>
          <w:rFonts w:hint="cs"/>
          <w:rtl/>
        </w:rPr>
        <w:t xml:space="preserve"> ولكنّه تعالى غير محدود</w:t>
      </w:r>
      <w:r>
        <w:rPr>
          <w:rFonts w:hint="cs"/>
          <w:rtl/>
        </w:rPr>
        <w:t>،</w:t>
      </w:r>
      <w:r w:rsidR="009C32A0">
        <w:rPr>
          <w:rFonts w:hint="cs"/>
          <w:rtl/>
        </w:rPr>
        <w:t xml:space="preserve"> والشيء المحدود لا يسعه إحاطة الشيء غير المحدود</w:t>
      </w:r>
      <w:r>
        <w:rPr>
          <w:rFonts w:hint="cs"/>
          <w:rtl/>
        </w:rPr>
        <w:t>،</w:t>
      </w:r>
      <w:r w:rsidR="009C32A0">
        <w:rPr>
          <w:rFonts w:hint="cs"/>
          <w:rtl/>
        </w:rPr>
        <w:t xml:space="preserve"> فيثبت بطلان وجوده تعالى في مكان</w:t>
      </w:r>
      <w:r>
        <w:rPr>
          <w:rFonts w:hint="cs"/>
          <w:rtl/>
        </w:rPr>
        <w:t>،</w:t>
      </w:r>
      <w:r w:rsidR="009C32A0">
        <w:rPr>
          <w:rFonts w:hint="cs"/>
          <w:rtl/>
        </w:rPr>
        <w:t xml:space="preserve"> </w:t>
      </w:r>
      <w:r>
        <w:rPr>
          <w:rFonts w:hint="cs"/>
          <w:rtl/>
        </w:rPr>
        <w:t>(</w:t>
      </w:r>
      <w:r w:rsidR="009C32A0">
        <w:rPr>
          <w:rFonts w:hint="cs"/>
          <w:rtl/>
        </w:rPr>
        <w:t>ش</w:t>
      </w:r>
      <w:r>
        <w:rPr>
          <w:rFonts w:hint="cs"/>
          <w:rtl/>
        </w:rPr>
        <w:t>)</w:t>
      </w:r>
      <w:r w:rsidR="009C32A0">
        <w:rPr>
          <w:rFonts w:hint="cs"/>
          <w:rtl/>
        </w:rPr>
        <w:t xml:space="preserve"> قوله تعالى </w:t>
      </w:r>
      <w:r>
        <w:rPr>
          <w:rFonts w:hint="cs"/>
          <w:rtl/>
        </w:rPr>
        <w:t>(</w:t>
      </w:r>
      <w:r w:rsidR="009C32A0">
        <w:rPr>
          <w:rFonts w:hint="cs"/>
          <w:rtl/>
        </w:rPr>
        <w:t>الله الصمد</w:t>
      </w:r>
      <w:r>
        <w:rPr>
          <w:rFonts w:hint="cs"/>
          <w:rtl/>
        </w:rPr>
        <w:t>)</w:t>
      </w:r>
      <w:r w:rsidR="009C32A0">
        <w:rPr>
          <w:rFonts w:hint="cs"/>
          <w:rtl/>
        </w:rPr>
        <w:t xml:space="preserve"> فالصمد هو السيد المصمود إليه في الحوائج وذلك يدل على أنه ليس في مكان</w:t>
      </w:r>
      <w:r>
        <w:rPr>
          <w:rFonts w:hint="cs"/>
          <w:rtl/>
        </w:rPr>
        <w:t>،</w:t>
      </w:r>
      <w:r w:rsidR="009C32A0">
        <w:rPr>
          <w:rFonts w:hint="cs"/>
          <w:rtl/>
        </w:rPr>
        <w:t xml:space="preserve"> وأما بيان دلالته على أنه تعالى منزه عن المكان</w:t>
      </w:r>
      <w:r>
        <w:rPr>
          <w:rFonts w:hint="cs"/>
          <w:rtl/>
        </w:rPr>
        <w:t>،</w:t>
      </w:r>
      <w:r w:rsidR="009C32A0">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9C32A0">
        <w:rPr>
          <w:rFonts w:hint="cs"/>
          <w:rtl/>
        </w:rPr>
        <w:t xml:space="preserve"> </w:t>
      </w:r>
      <w:r>
        <w:rPr>
          <w:rFonts w:hint="cs"/>
          <w:rtl/>
        </w:rPr>
        <w:t>(</w:t>
      </w:r>
      <w:r w:rsidR="009C32A0">
        <w:rPr>
          <w:rFonts w:hint="cs"/>
          <w:rtl/>
        </w:rPr>
        <w:t>ص</w:t>
      </w:r>
      <w:r>
        <w:rPr>
          <w:rFonts w:hint="cs"/>
          <w:rtl/>
        </w:rPr>
        <w:t>)</w:t>
      </w:r>
      <w:r w:rsidR="009C32A0">
        <w:rPr>
          <w:rFonts w:hint="cs"/>
          <w:rtl/>
        </w:rPr>
        <w:t xml:space="preserve"> قوله تعالى </w:t>
      </w:r>
      <w:r>
        <w:rPr>
          <w:rFonts w:hint="cs"/>
          <w:rtl/>
        </w:rPr>
        <w:t>(</w:t>
      </w:r>
      <w:r w:rsidR="009C32A0">
        <w:rPr>
          <w:rFonts w:hint="cs"/>
          <w:rtl/>
        </w:rPr>
        <w:t>والله الغنى وأنتم الفقراء</w:t>
      </w:r>
      <w:r>
        <w:rPr>
          <w:rFonts w:hint="cs"/>
          <w:rtl/>
        </w:rPr>
        <w:t>)</w:t>
      </w:r>
      <w:r w:rsidR="009C32A0">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9C32A0">
        <w:rPr>
          <w:rFonts w:hint="cs"/>
          <w:rtl/>
        </w:rPr>
        <w:t xml:space="preserve"> </w:t>
      </w:r>
      <w:r>
        <w:rPr>
          <w:rFonts w:hint="cs"/>
          <w:rtl/>
        </w:rPr>
        <w:t>(</w:t>
      </w:r>
      <w:r w:rsidR="009C32A0">
        <w:rPr>
          <w:rFonts w:hint="cs"/>
          <w:rtl/>
        </w:rPr>
        <w:t>ض</w:t>
      </w:r>
      <w:r>
        <w:rPr>
          <w:rFonts w:hint="cs"/>
          <w:rtl/>
        </w:rPr>
        <w:t>)</w:t>
      </w:r>
      <w:r w:rsidR="009C32A0">
        <w:rPr>
          <w:rFonts w:hint="cs"/>
          <w:rtl/>
        </w:rPr>
        <w:t xml:space="preserve"> قوله تعالى </w:t>
      </w:r>
      <w:r>
        <w:rPr>
          <w:rFonts w:hint="cs"/>
          <w:rtl/>
        </w:rPr>
        <w:t>(</w:t>
      </w:r>
      <w:r w:rsidR="009C32A0">
        <w:rPr>
          <w:rFonts w:hint="cs"/>
          <w:rtl/>
        </w:rPr>
        <w:t>لا إله إلا هو الحى القيوم</w:t>
      </w:r>
      <w:r>
        <w:rPr>
          <w:rFonts w:hint="cs"/>
          <w:rtl/>
        </w:rPr>
        <w:t>)</w:t>
      </w:r>
      <w:r w:rsidR="009C32A0">
        <w:rPr>
          <w:rFonts w:hint="cs"/>
          <w:rtl/>
        </w:rPr>
        <w:t xml:space="preserve"> والقيوم مبالغة في كونه غنياً عن كل ما سواه</w:t>
      </w:r>
      <w:r>
        <w:rPr>
          <w:rFonts w:hint="cs"/>
          <w:rtl/>
        </w:rPr>
        <w:t>،</w:t>
      </w:r>
      <w:r w:rsidR="009C32A0">
        <w:rPr>
          <w:rFonts w:hint="cs"/>
          <w:rtl/>
        </w:rPr>
        <w:t xml:space="preserve"> وكونه مقوماً لغيره</w:t>
      </w:r>
      <w:r>
        <w:rPr>
          <w:rFonts w:hint="cs"/>
          <w:rtl/>
        </w:rPr>
        <w:t>:</w:t>
      </w:r>
      <w:r w:rsidR="009C32A0">
        <w:rPr>
          <w:rFonts w:hint="cs"/>
          <w:rtl/>
        </w:rPr>
        <w:t xml:space="preserve"> عبارة عن احتياج كل ما سواه إليه</w:t>
      </w:r>
      <w:r>
        <w:rPr>
          <w:rFonts w:hint="cs"/>
          <w:rtl/>
        </w:rPr>
        <w:t>،</w:t>
      </w:r>
      <w:r w:rsidR="009C32A0">
        <w:rPr>
          <w:rFonts w:hint="cs"/>
          <w:rtl/>
        </w:rPr>
        <w:t xml:space="preserve"> فلو كان في مكان لكان هو مفتقراً الى ذلك المكان فلن يكن قيوماً على الإطلاق</w:t>
      </w:r>
      <w:r>
        <w:rPr>
          <w:rFonts w:hint="cs"/>
          <w:rtl/>
        </w:rPr>
        <w:t>،</w:t>
      </w:r>
      <w:r w:rsidR="009C32A0">
        <w:rPr>
          <w:rFonts w:hint="cs"/>
          <w:rtl/>
        </w:rPr>
        <w:t xml:space="preserve"> </w:t>
      </w:r>
      <w:r>
        <w:rPr>
          <w:rFonts w:hint="cs"/>
          <w:rtl/>
        </w:rPr>
        <w:t>(</w:t>
      </w:r>
      <w:r w:rsidR="009C32A0">
        <w:rPr>
          <w:rFonts w:hint="cs"/>
          <w:rtl/>
        </w:rPr>
        <w:t>ط</w:t>
      </w:r>
      <w:r>
        <w:rPr>
          <w:rFonts w:hint="cs"/>
          <w:rtl/>
        </w:rPr>
        <w:t>)</w:t>
      </w:r>
      <w:r w:rsidR="009C32A0">
        <w:rPr>
          <w:rFonts w:hint="cs"/>
          <w:rtl/>
        </w:rPr>
        <w:t xml:space="preserve"> قوله تعالى </w:t>
      </w:r>
      <w:r>
        <w:rPr>
          <w:rFonts w:hint="cs"/>
          <w:rtl/>
        </w:rPr>
        <w:t>(</w:t>
      </w:r>
      <w:r w:rsidR="009C32A0">
        <w:rPr>
          <w:rFonts w:hint="cs"/>
          <w:rtl/>
        </w:rPr>
        <w:t>هل تعلم له سمياً</w:t>
      </w:r>
      <w:r>
        <w:rPr>
          <w:rFonts w:hint="cs"/>
          <w:rtl/>
        </w:rPr>
        <w:t>)</w:t>
      </w:r>
      <w:r w:rsidR="009C32A0">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9C32A0">
        <w:rPr>
          <w:rFonts w:hint="cs"/>
          <w:rtl/>
        </w:rPr>
        <w:t xml:space="preserve"> </w:t>
      </w:r>
      <w:r>
        <w:rPr>
          <w:rFonts w:hint="cs"/>
          <w:rtl/>
        </w:rPr>
        <w:t>(</w:t>
      </w:r>
      <w:r w:rsidR="009C32A0">
        <w:rPr>
          <w:rFonts w:hint="cs"/>
          <w:rtl/>
        </w:rPr>
        <w:t>ظ</w:t>
      </w:r>
      <w:r>
        <w:rPr>
          <w:rFonts w:hint="cs"/>
          <w:rtl/>
        </w:rPr>
        <w:t>)</w:t>
      </w:r>
      <w:r w:rsidR="009C32A0">
        <w:rPr>
          <w:rFonts w:hint="cs"/>
          <w:rtl/>
        </w:rPr>
        <w:t xml:space="preserve"> </w:t>
      </w:r>
      <w:r w:rsidR="009C32A0">
        <w:rPr>
          <w:rFonts w:hint="cs"/>
          <w:rtl/>
          <w:lang w:bidi="ar-KW"/>
        </w:rPr>
        <w:t xml:space="preserve">ومن الادلة على تنزيه </w:t>
      </w:r>
      <w:r w:rsidR="009C32A0">
        <w:rPr>
          <w:rFonts w:hint="cs"/>
          <w:rtl/>
          <w:lang w:bidi="ar-KW"/>
        </w:rPr>
        <w:lastRenderedPageBreak/>
        <w:t xml:space="preserve">الله تعالى عن الزمان أنّ الزمان هو عبارة عن أثر </w:t>
      </w:r>
      <w:r w:rsidR="009C32A0">
        <w:rPr>
          <w:rFonts w:hint="cs"/>
          <w:rtl/>
        </w:rPr>
        <w:t>الحركة الحادثة في المكان</w:t>
      </w:r>
      <w:r>
        <w:rPr>
          <w:rFonts w:hint="cs"/>
          <w:rtl/>
        </w:rPr>
        <w:t>،</w:t>
      </w:r>
      <w:r w:rsidR="009C32A0">
        <w:rPr>
          <w:rFonts w:hint="cs"/>
          <w:rtl/>
        </w:rPr>
        <w:t xml:space="preserve"> ولولا الحركة في المكان لما كان هناك زمان</w:t>
      </w:r>
      <w:r>
        <w:rPr>
          <w:rFonts w:hint="cs"/>
          <w:rtl/>
        </w:rPr>
        <w:t>،</w:t>
      </w:r>
      <w:r w:rsidR="009C32A0">
        <w:rPr>
          <w:rFonts w:hint="cs"/>
          <w:rtl/>
        </w:rPr>
        <w:t xml:space="preserve"> وإجماع أهل الأصول على أن المكان متقدم على الزمان</w:t>
      </w:r>
      <w:r>
        <w:rPr>
          <w:rFonts w:hint="cs"/>
          <w:rtl/>
        </w:rPr>
        <w:t>،</w:t>
      </w:r>
      <w:r w:rsidR="009C32A0">
        <w:rPr>
          <w:rFonts w:hint="cs"/>
          <w:rtl/>
        </w:rPr>
        <w:t xml:space="preserve"> وإذا كان الله تعالى كان قبل المكان ثم خلق المكان فمن الضرورة أنه كان قبل الزمان ثم خلق الزمان</w:t>
      </w:r>
      <w:r>
        <w:rPr>
          <w:rFonts w:hint="cs"/>
          <w:rtl/>
        </w:rPr>
        <w:t>،</w:t>
      </w:r>
      <w:r w:rsidR="009C32A0">
        <w:rPr>
          <w:rFonts w:hint="cs"/>
          <w:rtl/>
        </w:rPr>
        <w:t xml:space="preserve"> وإذا كان الله تعالى غني عن المكان غنى الخالق عن مخلوقه فإن الله تعالى غني عن الزمان فلا يحويه مكان ولا يجري عليه زمان</w:t>
      </w:r>
      <w:r>
        <w:rPr>
          <w:rFonts w:hint="cs"/>
          <w:rtl/>
        </w:rPr>
        <w:t>،</w:t>
      </w:r>
      <w:r w:rsidR="009C32A0">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 (</w:t>
      </w:r>
      <w:r w:rsidR="009C32A0">
        <w:rPr>
          <w:rFonts w:hint="cs"/>
          <w:rtl/>
        </w:rPr>
        <w:t>ع</w:t>
      </w:r>
      <w:r>
        <w:rPr>
          <w:rFonts w:hint="cs"/>
          <w:rtl/>
        </w:rPr>
        <w:t>)</w:t>
      </w:r>
      <w:r w:rsidR="009C32A0">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9C32A0">
        <w:rPr>
          <w:rFonts w:hint="cs"/>
          <w:rtl/>
        </w:rPr>
        <w:t xml:space="preserve"> فهذا نقول له رويدك فهذا الذي تقوله على وفق المحسوس الذي تشاهده والمخلوق الذي لا ترى غيره</w:t>
      </w:r>
      <w:r>
        <w:rPr>
          <w:rFonts w:hint="cs"/>
          <w:rtl/>
        </w:rPr>
        <w:t>،</w:t>
      </w:r>
      <w:r w:rsidR="009C32A0">
        <w:rPr>
          <w:rFonts w:hint="cs"/>
          <w:rtl/>
        </w:rPr>
        <w:t>ثم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9C32A0">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Pr>
          <w:rFonts w:hint="cs"/>
          <w:rtl/>
        </w:rPr>
        <w:t>،</w:t>
      </w:r>
      <w:r w:rsidR="009C32A0">
        <w:rPr>
          <w:rFonts w:hint="cs"/>
          <w:rtl/>
        </w:rPr>
        <w:t>والحاصل أن القسمة ثلاثية ساكن ومتحرك لهما أمثال كثيرة ومنزه عن السكون والحركة ليس كمثله شيء</w:t>
      </w:r>
      <w:r>
        <w:rPr>
          <w:rFonts w:hint="cs"/>
          <w:rtl/>
        </w:rPr>
        <w:t>،</w:t>
      </w:r>
      <w:r w:rsidR="009C32A0">
        <w:rPr>
          <w:rFonts w:hint="cs"/>
          <w:rtl/>
        </w:rPr>
        <w:t xml:space="preserve"> </w:t>
      </w:r>
      <w:r>
        <w:rPr>
          <w:rFonts w:hint="cs"/>
          <w:rtl/>
        </w:rPr>
        <w:t>(</w:t>
      </w:r>
      <w:r w:rsidR="009C32A0">
        <w:rPr>
          <w:rFonts w:hint="cs"/>
          <w:rtl/>
        </w:rPr>
        <w:t>غ</w:t>
      </w:r>
      <w:r>
        <w:rPr>
          <w:rFonts w:hint="cs"/>
          <w:rtl/>
        </w:rPr>
        <w:t>)</w:t>
      </w:r>
      <w:r w:rsidR="009C32A0">
        <w:rPr>
          <w:rFonts w:hint="cs"/>
          <w:rtl/>
        </w:rPr>
        <w:t xml:space="preserve"> </w:t>
      </w:r>
      <w:r w:rsidR="009C32A0">
        <w:rPr>
          <w:rFonts w:hint="cs"/>
          <w:snapToGrid w:val="0"/>
          <w:rtl/>
        </w:rPr>
        <w:t>الله تعالى كان ولا مكان ولا زمان ثم خلق المكان والزمان</w:t>
      </w:r>
      <w:r>
        <w:rPr>
          <w:rFonts w:hint="cs"/>
          <w:snapToGrid w:val="0"/>
          <w:rtl/>
        </w:rPr>
        <w:t>،</w:t>
      </w:r>
      <w:r w:rsidR="009C32A0">
        <w:rPr>
          <w:rFonts w:hint="cs"/>
          <w:snapToGrid w:val="0"/>
          <w:rtl/>
        </w:rPr>
        <w:t xml:space="preserve"> وهذا معتقد أهل التنزيه وهو موافق للمكتشفات العلمية عن حقيقة الكون</w:t>
      </w:r>
      <w:r>
        <w:rPr>
          <w:rFonts w:hint="cs"/>
          <w:snapToGrid w:val="0"/>
          <w:rtl/>
        </w:rPr>
        <w:t>،</w:t>
      </w:r>
      <w:r w:rsidR="009C32A0">
        <w:rPr>
          <w:rFonts w:hint="cs"/>
          <w:snapToGrid w:val="0"/>
          <w:rtl/>
        </w:rPr>
        <w:t xml:space="preserve"> وأن الزمان هو مقياس للحركة ومن صفات الأجسام</w:t>
      </w:r>
      <w:r>
        <w:rPr>
          <w:rFonts w:hint="cs"/>
          <w:snapToGrid w:val="0"/>
          <w:rtl/>
        </w:rPr>
        <w:t>،</w:t>
      </w:r>
      <w:r w:rsidR="009C32A0">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9C32A0">
        <w:rPr>
          <w:rFonts w:hint="cs"/>
          <w:snapToGrid w:val="0"/>
          <w:rtl/>
        </w:rPr>
        <w:t>كان الله ولم يكن معه غيره</w:t>
      </w:r>
      <w:r>
        <w:rPr>
          <w:rFonts w:hint="cs"/>
          <w:snapToGrid w:val="0"/>
          <w:rtl/>
        </w:rPr>
        <w:t>)</w:t>
      </w:r>
      <w:r w:rsidR="009C32A0">
        <w:rPr>
          <w:rFonts w:hint="cs"/>
          <w:snapToGrid w:val="0"/>
          <w:rtl/>
        </w:rPr>
        <w:t xml:space="preserve"> أخرجه البخاري</w:t>
      </w:r>
      <w:r>
        <w:rPr>
          <w:rFonts w:hint="cs"/>
          <w:rtl/>
        </w:rPr>
        <w:t>، (</w:t>
      </w:r>
      <w:r w:rsidR="009C32A0">
        <w:rPr>
          <w:rFonts w:hint="cs"/>
          <w:rtl/>
        </w:rPr>
        <w:t>ف</w:t>
      </w:r>
      <w:r>
        <w:rPr>
          <w:rFonts w:hint="cs"/>
          <w:rtl/>
        </w:rPr>
        <w:t>)</w:t>
      </w:r>
      <w:r w:rsidR="009C32A0">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Pr>
          <w:rFonts w:hint="cs"/>
          <w:rtl/>
          <w:lang w:bidi="ar-KW"/>
        </w:rPr>
        <w:t>(</w:t>
      </w:r>
      <w:r w:rsidR="009C32A0">
        <w:rPr>
          <w:rFonts w:hint="cs"/>
          <w:rtl/>
          <w:lang w:bidi="ar-KW"/>
        </w:rPr>
        <w:t>ق</w:t>
      </w:r>
      <w:r>
        <w:rPr>
          <w:rFonts w:hint="cs"/>
          <w:rtl/>
          <w:lang w:bidi="ar-KW"/>
        </w:rPr>
        <w:t>)</w:t>
      </w:r>
      <w:r w:rsidR="009C32A0">
        <w:rPr>
          <w:rFonts w:hint="cs"/>
          <w:rtl/>
          <w:lang w:bidi="ar-KW"/>
        </w:rPr>
        <w:t xml:space="preserve"> أخطأت الطائفة السلفية المعاصرة خطأ جسيما عندما كيفوا وجود الله وقاسوا وجود الله تعالى على وجود المخلوق</w:t>
      </w:r>
      <w:r>
        <w:rPr>
          <w:rFonts w:hint="cs"/>
          <w:rtl/>
          <w:lang w:bidi="ar-KW"/>
        </w:rPr>
        <w:t>،</w:t>
      </w:r>
      <w:r w:rsidR="009C32A0">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9C32A0">
        <w:rPr>
          <w:rFonts w:hint="cs"/>
          <w:rtl/>
          <w:lang w:bidi="ar-KW"/>
        </w:rPr>
        <w:t xml:space="preserve"> ونسوا </w:t>
      </w:r>
      <w:r w:rsidR="009C32A0">
        <w:rPr>
          <w:rFonts w:hint="cs"/>
          <w:rtl/>
          <w:lang w:bidi="ar-KW"/>
        </w:rPr>
        <w:lastRenderedPageBreak/>
        <w:t>إن الله ليس كمثله شيء وليس له مثيل وليس كوجوده وجود</w:t>
      </w:r>
      <w:r>
        <w:rPr>
          <w:rFonts w:hint="cs"/>
          <w:rtl/>
          <w:lang w:bidi="ar-KW"/>
        </w:rPr>
        <w:t>،</w:t>
      </w:r>
      <w:r w:rsidR="009C32A0">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ك</w:t>
      </w:r>
      <w:r>
        <w:rPr>
          <w:rFonts w:hint="cs"/>
          <w:rtl/>
          <w:lang w:bidi="ar-KW"/>
        </w:rPr>
        <w:t>)</w:t>
      </w:r>
      <w:r w:rsidR="009C32A0">
        <w:rPr>
          <w:rFonts w:hint="cs"/>
          <w:rtl/>
          <w:lang w:bidi="ar-KW"/>
        </w:rPr>
        <w:t xml:space="preserve"> وأخطأت الطائفة السلفية المعاصرة خطأ جسيما أيضاً</w:t>
      </w:r>
      <w:r>
        <w:rPr>
          <w:rFonts w:hint="cs"/>
          <w:rtl/>
          <w:lang w:bidi="ar-KW"/>
        </w:rPr>
        <w:t>:</w:t>
      </w:r>
      <w:r w:rsidR="009C32A0">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9C32A0">
        <w:rPr>
          <w:rFonts w:hint="cs"/>
          <w:rtl/>
          <w:lang w:bidi="ar-KW"/>
        </w:rPr>
        <w:t>- هل هو</w:t>
      </w:r>
      <w:r>
        <w:rPr>
          <w:rFonts w:hint="cs"/>
          <w:rtl/>
          <w:lang w:bidi="ar-KW"/>
        </w:rPr>
        <w:t xml:space="preserve"> (</w:t>
      </w:r>
      <w:r w:rsidR="009C32A0">
        <w:rPr>
          <w:rFonts w:hint="cs"/>
          <w:rtl/>
          <w:lang w:bidi="ar-KW"/>
        </w:rPr>
        <w:t>سبحانه</w:t>
      </w:r>
      <w:r>
        <w:rPr>
          <w:rFonts w:hint="cs"/>
          <w:rtl/>
          <w:lang w:bidi="ar-KW"/>
        </w:rPr>
        <w:t>)</w:t>
      </w:r>
      <w:r w:rsidR="009C32A0">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9C32A0">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w:t>
      </w:r>
      <w:r w:rsidR="009C32A0">
        <w:rPr>
          <w:rFonts w:hint="cs"/>
          <w:rtl/>
          <w:lang w:bidi="ar-KW"/>
        </w:rPr>
        <w:t>ل</w:t>
      </w:r>
      <w:r>
        <w:rPr>
          <w:rFonts w:hint="cs"/>
          <w:rtl/>
          <w:lang w:bidi="ar-KW"/>
        </w:rPr>
        <w:t>)</w:t>
      </w:r>
      <w:r w:rsidR="009C32A0">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9C32A0">
        <w:rPr>
          <w:rFonts w:hint="cs"/>
          <w:rtl/>
          <w:lang w:bidi="ar-KW"/>
        </w:rPr>
        <w:t xml:space="preserve"> وأعظم به من منهاج</w:t>
      </w:r>
      <w:r>
        <w:rPr>
          <w:rFonts w:hint="cs"/>
          <w:rtl/>
          <w:lang w:bidi="ar-KW"/>
        </w:rPr>
        <w:t>،</w:t>
      </w:r>
      <w:r w:rsidR="009C32A0">
        <w:rPr>
          <w:rFonts w:hint="cs"/>
          <w:rtl/>
          <w:lang w:bidi="ar-KW"/>
        </w:rPr>
        <w:t xml:space="preserve"> ولكن لم يكن لهم توسع في دراسة أدلة تنزيه الذات من الكتاب والسنة</w:t>
      </w:r>
      <w:r>
        <w:rPr>
          <w:rFonts w:hint="cs"/>
          <w:rtl/>
          <w:lang w:bidi="ar-KW"/>
        </w:rPr>
        <w:t>،</w:t>
      </w:r>
      <w:r w:rsidR="009C32A0">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9C32A0">
        <w:rPr>
          <w:rFonts w:hint="cs"/>
          <w:rtl/>
          <w:lang w:bidi="ar-KW"/>
        </w:rPr>
        <w:t xml:space="preserve"> ولو تواضعوا للعلم ودرسوا</w:t>
      </w:r>
      <w:r>
        <w:rPr>
          <w:rFonts w:hint="cs"/>
          <w:rtl/>
          <w:lang w:bidi="ar-KW"/>
        </w:rPr>
        <w:t xml:space="preserve"> (</w:t>
      </w:r>
      <w:r w:rsidR="009C32A0">
        <w:rPr>
          <w:rFonts w:hint="cs"/>
          <w:rtl/>
          <w:lang w:bidi="ar-KW"/>
        </w:rPr>
        <w:t>علم توحيد الذات</w:t>
      </w:r>
      <w:r>
        <w:rPr>
          <w:rFonts w:hint="cs"/>
          <w:rtl/>
          <w:lang w:bidi="ar-KW"/>
        </w:rPr>
        <w:t>)</w:t>
      </w:r>
      <w:r w:rsidR="009C32A0">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9C32A0">
        <w:rPr>
          <w:rFonts w:hint="cs"/>
          <w:rtl/>
          <w:lang w:bidi="ar-KW"/>
        </w:rPr>
        <w:t>أدنى مرتبة من العوام</w:t>
      </w:r>
      <w:r>
        <w:rPr>
          <w:rFonts w:hint="cs"/>
          <w:rtl/>
          <w:lang w:bidi="ar-KW"/>
        </w:rPr>
        <w:t>،</w:t>
      </w:r>
      <w:r w:rsidR="009C32A0">
        <w:rPr>
          <w:rFonts w:hint="cs"/>
          <w:rtl/>
          <w:lang w:bidi="ar-KW"/>
        </w:rPr>
        <w:t xml:space="preserve"> لا يحترمون تخصصات أهل العلم بخاصة أهل الأصول</w:t>
      </w:r>
      <w:r>
        <w:rPr>
          <w:rFonts w:hint="cs"/>
          <w:rtl/>
          <w:lang w:bidi="ar-KW"/>
        </w:rPr>
        <w:t>،</w:t>
      </w:r>
      <w:r w:rsidR="009C32A0">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9C32A0">
        <w:rPr>
          <w:rFonts w:hint="cs"/>
          <w:rtl/>
          <w:lang w:bidi="ar-KW"/>
        </w:rPr>
        <w:t xml:space="preserve"> نسأل الله تعالى لنا ولهم الهداية</w:t>
      </w:r>
      <w:r>
        <w:rPr>
          <w:rFonts w:hint="cs"/>
          <w:rtl/>
          <w:lang w:bidi="ar-KW"/>
        </w:rPr>
        <w:t>،</w:t>
      </w:r>
      <w:r w:rsidR="009C32A0">
        <w:rPr>
          <w:rFonts w:hint="cs"/>
          <w:rtl/>
          <w:lang w:bidi="ar-KW"/>
        </w:rPr>
        <w:t xml:space="preserve"> ومن يرد الله به خيرا يفقه في الدين</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w:t>
      </w:r>
      <w:r>
        <w:rPr>
          <w:rFonts w:hint="cs"/>
          <w:rtl/>
          <w:lang w:bidi="ar-KW"/>
        </w:rPr>
        <w:t>)</w:t>
      </w:r>
      <w:r w:rsidR="009C32A0">
        <w:rPr>
          <w:rFonts w:hint="cs"/>
          <w:rtl/>
          <w:lang w:bidi="ar-KW"/>
        </w:rPr>
        <w:t xml:space="preserve"> وهم مع ذلك متناقضون يفسرون الآيات وفق ما رسخ في أذهانهم من الحشو والتمثيل</w:t>
      </w:r>
      <w:r>
        <w:rPr>
          <w:rFonts w:hint="cs"/>
          <w:rtl/>
          <w:lang w:bidi="ar-KW"/>
        </w:rPr>
        <w:t>،</w:t>
      </w:r>
      <w:r w:rsidR="009C32A0">
        <w:rPr>
          <w:rFonts w:hint="cs"/>
          <w:rtl/>
          <w:lang w:bidi="ar-KW"/>
        </w:rPr>
        <w:t xml:space="preserve"> يؤولون آيات الإحاطة في مثل قوله تعالى </w:t>
      </w:r>
      <w:r>
        <w:rPr>
          <w:rFonts w:hint="cs"/>
          <w:rtl/>
          <w:lang w:bidi="ar-KW"/>
        </w:rPr>
        <w:t>(</w:t>
      </w:r>
      <w:r w:rsidR="009C32A0">
        <w:rPr>
          <w:rFonts w:hint="cs"/>
          <w:rtl/>
          <w:lang w:bidi="ar-KW"/>
        </w:rPr>
        <w:t>والله بكل شيء محيط</w:t>
      </w:r>
      <w:r>
        <w:rPr>
          <w:rFonts w:hint="cs"/>
          <w:rtl/>
          <w:lang w:bidi="ar-KW"/>
        </w:rPr>
        <w:t>)</w:t>
      </w:r>
      <w:r w:rsidR="009C32A0">
        <w:rPr>
          <w:rFonts w:hint="cs"/>
          <w:rtl/>
          <w:lang w:bidi="ar-KW"/>
        </w:rPr>
        <w:t xml:space="preserve"> وقوله تعالى </w:t>
      </w:r>
      <w:r>
        <w:rPr>
          <w:rFonts w:hint="cs"/>
          <w:rtl/>
          <w:lang w:bidi="ar-KW"/>
        </w:rPr>
        <w:t>(</w:t>
      </w:r>
      <w:r w:rsidR="009C32A0">
        <w:rPr>
          <w:rFonts w:hint="cs"/>
          <w:rtl/>
          <w:lang w:bidi="ar-KW"/>
        </w:rPr>
        <w:t>وكان الله بكل شيء محيطا</w:t>
      </w:r>
      <w:r>
        <w:rPr>
          <w:rFonts w:hint="cs"/>
          <w:rtl/>
          <w:lang w:bidi="ar-KW"/>
        </w:rPr>
        <w:t>)</w:t>
      </w:r>
      <w:r w:rsidR="009C32A0">
        <w:rPr>
          <w:rFonts w:hint="cs"/>
          <w:rtl/>
          <w:lang w:bidi="ar-KW"/>
        </w:rPr>
        <w:t xml:space="preserve"> بالعلم والقدرة يؤولون آيات القرب في مثل قوله تعالى </w:t>
      </w:r>
      <w:r>
        <w:rPr>
          <w:rFonts w:hint="cs"/>
          <w:rtl/>
          <w:lang w:bidi="ar-KW"/>
        </w:rPr>
        <w:t>(</w:t>
      </w:r>
      <w:r w:rsidR="009C32A0">
        <w:rPr>
          <w:rFonts w:hint="cs"/>
          <w:rtl/>
          <w:lang w:bidi="ar-KW"/>
        </w:rPr>
        <w:t>فإني قريب</w:t>
      </w:r>
      <w:r>
        <w:rPr>
          <w:rFonts w:hint="cs"/>
          <w:rtl/>
          <w:lang w:bidi="ar-KW"/>
        </w:rPr>
        <w:t>)</w:t>
      </w:r>
      <w:r w:rsidR="009C32A0">
        <w:rPr>
          <w:rFonts w:hint="cs"/>
          <w:rtl/>
          <w:lang w:bidi="ar-KW"/>
        </w:rPr>
        <w:t xml:space="preserve"> وقوله تعالى </w:t>
      </w:r>
      <w:r>
        <w:rPr>
          <w:rFonts w:hint="cs"/>
          <w:rtl/>
          <w:lang w:bidi="ar-KW"/>
        </w:rPr>
        <w:t>(</w:t>
      </w:r>
      <w:r w:rsidR="009C32A0">
        <w:rPr>
          <w:rFonts w:hint="cs"/>
          <w:rtl/>
          <w:lang w:bidi="ar-KW"/>
        </w:rPr>
        <w:t>ونحن أقرب إليه منكم ولكن لا تبصرون</w:t>
      </w:r>
      <w:r>
        <w:rPr>
          <w:rFonts w:hint="cs"/>
          <w:rtl/>
          <w:lang w:bidi="ar-KW"/>
        </w:rPr>
        <w:t>)</w:t>
      </w:r>
      <w:r w:rsidR="009C32A0">
        <w:rPr>
          <w:rFonts w:hint="cs"/>
          <w:rtl/>
          <w:lang w:bidi="ar-KW"/>
        </w:rPr>
        <w:t xml:space="preserve"> وقوله تعالى </w:t>
      </w:r>
      <w:r>
        <w:rPr>
          <w:rFonts w:hint="cs"/>
          <w:rtl/>
          <w:lang w:bidi="ar-KW"/>
        </w:rPr>
        <w:t>(</w:t>
      </w:r>
      <w:r w:rsidR="009C32A0">
        <w:rPr>
          <w:rFonts w:hint="cs"/>
          <w:rtl/>
          <w:lang w:bidi="ar-KW"/>
        </w:rPr>
        <w:t>ونحن أقرب إليه من حبل الوريد</w:t>
      </w:r>
      <w:r>
        <w:rPr>
          <w:rFonts w:hint="cs"/>
          <w:rtl/>
          <w:lang w:bidi="ar-KW"/>
        </w:rPr>
        <w:t>)</w:t>
      </w:r>
      <w:r w:rsidR="009C32A0">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9C32A0">
        <w:rPr>
          <w:rFonts w:hint="cs"/>
          <w:rtl/>
          <w:lang w:bidi="ar-KW"/>
        </w:rPr>
        <w:t>سبحانه</w:t>
      </w:r>
      <w:r>
        <w:rPr>
          <w:rFonts w:hint="cs"/>
          <w:rtl/>
          <w:lang w:bidi="ar-KW"/>
        </w:rPr>
        <w:t>)</w:t>
      </w:r>
      <w:r w:rsidR="009C32A0">
        <w:rPr>
          <w:rFonts w:hint="cs"/>
          <w:rtl/>
          <w:lang w:bidi="ar-KW"/>
        </w:rPr>
        <w:t xml:space="preserve"> فمن أين جاءوا من كتاب أو سنة أنه </w:t>
      </w:r>
      <w:r>
        <w:rPr>
          <w:rFonts w:hint="cs"/>
          <w:rtl/>
          <w:lang w:bidi="ar-KW"/>
        </w:rPr>
        <w:t>(</w:t>
      </w:r>
      <w:r w:rsidR="009C32A0">
        <w:rPr>
          <w:rFonts w:hint="cs"/>
          <w:rtl/>
          <w:lang w:bidi="ar-KW"/>
        </w:rPr>
        <w:t>بذاته</w:t>
      </w:r>
      <w:r>
        <w:rPr>
          <w:rFonts w:hint="cs"/>
          <w:rtl/>
          <w:lang w:bidi="ar-KW"/>
        </w:rPr>
        <w:t>)،</w:t>
      </w:r>
      <w:r w:rsidR="009C32A0">
        <w:rPr>
          <w:rFonts w:hint="cs"/>
          <w:rtl/>
          <w:lang w:bidi="ar-KW"/>
        </w:rPr>
        <w:t xml:space="preserve"> ولم لا يكون استواء ربوبية وقهر كما أن القرب قرب علم وقدرة</w:t>
      </w:r>
      <w:r>
        <w:rPr>
          <w:rFonts w:hint="cs"/>
          <w:rtl/>
          <w:lang w:bidi="ar-KW"/>
        </w:rPr>
        <w:t xml:space="preserve">، </w:t>
      </w:r>
      <w:r w:rsidR="009C32A0">
        <w:rPr>
          <w:rFonts w:hint="cs"/>
          <w:rtl/>
          <w:lang w:bidi="ar-KW"/>
        </w:rPr>
        <w:t xml:space="preserve">وقد قال الله تعالى _ مرشدا إياهم أن الأماكن كلها ملك لله _ </w:t>
      </w:r>
      <w:r>
        <w:rPr>
          <w:rFonts w:hint="cs"/>
          <w:rtl/>
          <w:lang w:bidi="ar-KW"/>
        </w:rPr>
        <w:t>(</w:t>
      </w:r>
      <w:r w:rsidR="009C32A0">
        <w:rPr>
          <w:rFonts w:hint="cs"/>
          <w:rtl/>
          <w:lang w:bidi="ar-KW"/>
        </w:rPr>
        <w:t>ولله المشرق والمغرب فأينما تولوا فثم وجه الله إن الله واسع عليم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تنبيه</w:t>
      </w:r>
      <w:r>
        <w:rPr>
          <w:rFonts w:hint="cs"/>
          <w:rtl/>
          <w:lang w:bidi="ar-KW"/>
        </w:rPr>
        <w:t>):</w:t>
      </w:r>
      <w:r w:rsidR="009C32A0">
        <w:rPr>
          <w:rFonts w:hint="cs"/>
          <w:rtl/>
          <w:lang w:bidi="ar-KW"/>
        </w:rPr>
        <w:t xml:space="preserve"> تنزيه الخالق سبحانه عن المكان ليس معناه أن الله في كل مكان إذ المكان مهما كبر </w:t>
      </w:r>
      <w:r w:rsidR="009C32A0">
        <w:rPr>
          <w:rFonts w:hint="cs"/>
          <w:rtl/>
          <w:lang w:bidi="ar-KW"/>
        </w:rPr>
        <w:lastRenderedPageBreak/>
        <w:t>فهو محدود والله تنزه عن الحدود</w:t>
      </w:r>
      <w:r>
        <w:rPr>
          <w:rFonts w:hint="cs"/>
          <w:rtl/>
          <w:lang w:bidi="ar-KW"/>
        </w:rPr>
        <w:t>،</w:t>
      </w:r>
      <w:r w:rsidR="009C32A0">
        <w:rPr>
          <w:rFonts w:hint="cs"/>
          <w:rtl/>
          <w:lang w:bidi="ar-KW"/>
        </w:rPr>
        <w:t xml:space="preserve"> والإحاطة في قوله تعالى </w:t>
      </w:r>
      <w:r>
        <w:rPr>
          <w:rFonts w:hint="cs"/>
          <w:rtl/>
          <w:lang w:bidi="ar-KW"/>
        </w:rPr>
        <w:t>{</w:t>
      </w:r>
      <w:r w:rsidR="009C32A0">
        <w:rPr>
          <w:rFonts w:hint="cs"/>
          <w:rtl/>
          <w:lang w:bidi="ar-KW"/>
        </w:rPr>
        <w:t>والله بكل شيء محيط</w:t>
      </w:r>
      <w:r>
        <w:rPr>
          <w:rFonts w:hint="cs"/>
          <w:rtl/>
          <w:lang w:bidi="ar-KW"/>
        </w:rPr>
        <w:t>}</w:t>
      </w:r>
      <w:r w:rsidR="009C32A0">
        <w:rPr>
          <w:rFonts w:hint="cs"/>
          <w:rtl/>
          <w:lang w:bidi="ar-KW"/>
        </w:rPr>
        <w:t xml:space="preserve"> ليس معناها أن الكون كله داخل في ذات الله </w:t>
      </w:r>
      <w:r>
        <w:rPr>
          <w:rFonts w:hint="cs"/>
          <w:rtl/>
          <w:lang w:bidi="ar-KW"/>
        </w:rPr>
        <w:t>(</w:t>
      </w:r>
      <w:r w:rsidR="009C32A0">
        <w:rPr>
          <w:rFonts w:hint="cs"/>
          <w:rtl/>
          <w:lang w:bidi="ar-KW"/>
        </w:rPr>
        <w:t>سبحانه</w:t>
      </w:r>
      <w:r>
        <w:rPr>
          <w:rFonts w:hint="cs"/>
          <w:rtl/>
          <w:lang w:bidi="ar-KW"/>
        </w:rPr>
        <w:t>)</w:t>
      </w:r>
      <w:r w:rsidR="009C32A0">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9C32A0">
        <w:rPr>
          <w:rFonts w:hint="cs"/>
          <w:rtl/>
          <w:lang w:bidi="ar-KW"/>
        </w:rPr>
        <w:t>تنزه عن كل ما خطر بقلوب البشر له الكمال والتنزيه المطلقين في ذاته وصفاته وافعاله ليس كمثله شيء ولا نحيط به علما</w:t>
      </w:r>
      <w:r>
        <w:rPr>
          <w:rFonts w:hint="cs"/>
          <w:rtl/>
          <w:lang w:bidi="ar-KW"/>
        </w:rPr>
        <w:t>،</w:t>
      </w:r>
      <w:r w:rsidR="009C32A0">
        <w:rPr>
          <w:rFonts w:hint="cs"/>
          <w:rtl/>
          <w:lang w:bidi="ar-KW"/>
        </w:rPr>
        <w:t xml:space="preserve"> نعجز عن ادراك ذاته</w:t>
      </w:r>
      <w:r>
        <w:rPr>
          <w:rFonts w:hint="cs"/>
          <w:rtl/>
          <w:lang w:bidi="ar-KW"/>
        </w:rPr>
        <w:t>،</w:t>
      </w:r>
      <w:r w:rsidR="009C32A0">
        <w:rPr>
          <w:rFonts w:hint="cs"/>
          <w:rtl/>
          <w:lang w:bidi="ar-KW"/>
        </w:rPr>
        <w:t xml:space="preserve"> ولا نستطيع ان نقدره قدره</w:t>
      </w:r>
      <w:r>
        <w:rPr>
          <w:rFonts w:hint="cs"/>
          <w:rtl/>
          <w:lang w:bidi="ar-KW"/>
        </w:rPr>
        <w:t>،</w:t>
      </w:r>
      <w:r w:rsidR="009C32A0">
        <w:rPr>
          <w:rFonts w:hint="cs"/>
          <w:rtl/>
          <w:lang w:bidi="ar-KW"/>
        </w:rPr>
        <w:t xml:space="preserve"> لا نحصي ثناءً عليه</w:t>
      </w:r>
      <w:r>
        <w:rPr>
          <w:rFonts w:hint="cs"/>
          <w:rtl/>
          <w:lang w:bidi="ar-KW"/>
        </w:rPr>
        <w:t>،</w:t>
      </w:r>
      <w:r w:rsidR="009C32A0">
        <w:rPr>
          <w:rFonts w:hint="cs"/>
          <w:rtl/>
          <w:lang w:bidi="ar-KW"/>
        </w:rPr>
        <w:t xml:space="preserve"> هو كما أثنى على نفسه</w:t>
      </w:r>
      <w:r>
        <w:rPr>
          <w:rFonts w:hint="cs"/>
          <w:rtl/>
          <w:lang w:bidi="ar-KW"/>
        </w:rPr>
        <w:t xml:space="preserve">، </w:t>
      </w:r>
      <w:r>
        <w:rPr>
          <w:rFonts w:hint="cs"/>
          <w:rtl/>
        </w:rPr>
        <w:t>(</w:t>
      </w:r>
      <w:r w:rsidR="009C32A0">
        <w:rPr>
          <w:rFonts w:hint="cs"/>
          <w:rtl/>
        </w:rPr>
        <w:t>ن</w:t>
      </w:r>
      <w:r>
        <w:rPr>
          <w:rFonts w:hint="cs"/>
          <w:rtl/>
        </w:rPr>
        <w:t>)</w:t>
      </w:r>
      <w:r w:rsidR="009C32A0">
        <w:rPr>
          <w:rFonts w:hint="cs"/>
          <w:rtl/>
        </w:rPr>
        <w:t xml:space="preserve"> من أقوال علماء أهل السنّة والجماعة في تنزيه الله تعالى عن المكان والزمان</w:t>
      </w:r>
      <w:r>
        <w:rPr>
          <w:rFonts w:hint="cs"/>
          <w:rtl/>
        </w:rPr>
        <w:t>:</w:t>
      </w:r>
      <w:r w:rsidR="009C32A0">
        <w:rPr>
          <w:rFonts w:hint="cs"/>
          <w:rtl/>
        </w:rPr>
        <w:t xml:space="preserve"> علماء أهل السنة والجماعة </w:t>
      </w:r>
      <w:r w:rsidR="009C32A0">
        <w:rPr>
          <w:rFonts w:hint="cs"/>
          <w:rtl/>
          <w:lang w:bidi="ar-KW"/>
        </w:rPr>
        <w:t>المتخصصون في علم العقيدة متفقون على تنزيه الله تعالى عن المكان والزمان</w:t>
      </w:r>
      <w:r>
        <w:rPr>
          <w:rFonts w:hint="cs"/>
          <w:rtl/>
          <w:lang w:bidi="ar-KW"/>
        </w:rPr>
        <w:t>،</w:t>
      </w:r>
      <w:r w:rsidR="009C32A0">
        <w:rPr>
          <w:rFonts w:hint="cs"/>
          <w:rtl/>
          <w:lang w:bidi="ar-KW"/>
        </w:rPr>
        <w:t xml:space="preserve"> فلا يحيط به مكان ولا يجري عليه زمان</w:t>
      </w:r>
      <w:r>
        <w:rPr>
          <w:rFonts w:hint="cs"/>
          <w:rtl/>
          <w:lang w:bidi="ar-KW"/>
        </w:rPr>
        <w:t>،</w:t>
      </w:r>
      <w:r w:rsidR="009C32A0">
        <w:rPr>
          <w:rFonts w:hint="cs"/>
          <w:rtl/>
          <w:lang w:bidi="ar-KW"/>
        </w:rPr>
        <w:t xml:space="preserve"> ومن أقوالهم في ذلك</w:t>
      </w:r>
      <w:r>
        <w:rPr>
          <w:rFonts w:hint="cs"/>
          <w:rtl/>
          <w:lang w:bidi="ar-KW"/>
        </w:rPr>
        <w:t xml:space="preserve">، </w:t>
      </w:r>
      <w:r w:rsidR="009C32A0">
        <w:rPr>
          <w:rFonts w:hint="cs"/>
          <w:rtl/>
          <w:lang w:bidi="ar-KW"/>
        </w:rPr>
        <w:t>قول الإمام الطحاوي - وهو من</w:t>
      </w:r>
      <w:r w:rsidR="009C32A0">
        <w:rPr>
          <w:rFonts w:hint="cs"/>
          <w:lang w:bidi="ar-KW"/>
        </w:rPr>
        <w:t xml:space="preserve"> </w:t>
      </w:r>
      <w:r w:rsidR="009C32A0">
        <w:rPr>
          <w:rFonts w:hint="cs"/>
          <w:rtl/>
          <w:lang w:bidi="ar-KW"/>
        </w:rPr>
        <w:t>كبار أئمة السلف وهو أعلم بأقوالهم ومذاهبهم - قال</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هذا ذكر بيان عقيدة أهل السنة</w:t>
      </w:r>
      <w:r w:rsidR="009C32A0">
        <w:rPr>
          <w:rFonts w:hint="cs"/>
          <w:lang w:bidi="ar-KW"/>
        </w:rPr>
        <w:t xml:space="preserve"> </w:t>
      </w:r>
      <w:r w:rsidR="009C32A0">
        <w:rPr>
          <w:rFonts w:hint="cs"/>
          <w:rtl/>
          <w:lang w:bidi="ar-KW"/>
        </w:rPr>
        <w:t>والجماعة على مذهب فقهاء الملة والدين أبي حنيفة النعمان وصاحبيه أبي يوسف</w:t>
      </w:r>
      <w:r w:rsidR="009C32A0">
        <w:rPr>
          <w:rFonts w:hint="cs"/>
          <w:lang w:bidi="ar-KW"/>
        </w:rPr>
        <w:t xml:space="preserve"> </w:t>
      </w:r>
      <w:r w:rsidR="009C32A0">
        <w:rPr>
          <w:rFonts w:hint="cs"/>
          <w:rtl/>
          <w:lang w:bidi="ar-KW"/>
        </w:rPr>
        <w:t>القاضي ومحمد بن الحسن الشيباني ..</w:t>
      </w:r>
      <w:r>
        <w:rPr>
          <w:rFonts w:hint="cs"/>
          <w:rtl/>
          <w:lang w:bidi="ar-KW"/>
        </w:rPr>
        <w:t xml:space="preserve">، </w:t>
      </w:r>
      <w:r w:rsidR="009C32A0">
        <w:rPr>
          <w:rFonts w:hint="cs"/>
          <w:rtl/>
          <w:lang w:bidi="ar-KW"/>
        </w:rPr>
        <w:t>وتعالى عن الحدود والغايات والأركان والأعضاء</w:t>
      </w:r>
      <w:r w:rsidR="009C32A0">
        <w:rPr>
          <w:rFonts w:hint="cs"/>
          <w:lang w:bidi="ar-KW"/>
        </w:rPr>
        <w:t xml:space="preserve"> </w:t>
      </w:r>
      <w:r w:rsidR="009C32A0">
        <w:rPr>
          <w:rFonts w:hint="cs"/>
          <w:rtl/>
          <w:lang w:bidi="ar-KW"/>
        </w:rPr>
        <w:t>والأدوات</w:t>
      </w:r>
      <w:r>
        <w:rPr>
          <w:rFonts w:hint="cs"/>
          <w:rtl/>
          <w:lang w:bidi="ar-KW"/>
        </w:rPr>
        <w:t>،</w:t>
      </w:r>
      <w:r w:rsidR="009C32A0">
        <w:rPr>
          <w:rFonts w:hint="cs"/>
          <w:rtl/>
          <w:lang w:bidi="ar-KW"/>
        </w:rPr>
        <w:t xml:space="preserve"> لا تحويه الجهات الست كسائر المبتدعات)</w:t>
      </w:r>
      <w:r>
        <w:rPr>
          <w:rFonts w:hint="cs"/>
          <w:rtl/>
          <w:lang w:bidi="ar-KW"/>
        </w:rPr>
        <w:t xml:space="preserve"> </w:t>
      </w:r>
      <w:r w:rsidR="009C32A0">
        <w:rPr>
          <w:rFonts w:hint="cs"/>
          <w:rtl/>
          <w:lang w:bidi="ar-KW"/>
        </w:rPr>
        <w:t>أهــ</w:t>
      </w:r>
      <w:r>
        <w:rPr>
          <w:rtl/>
          <w:lang w:bidi="ar-KW"/>
        </w:rPr>
        <w:t xml:space="preserve"> </w:t>
      </w:r>
      <w:r>
        <w:rPr>
          <w:rFonts w:hint="cs"/>
          <w:rtl/>
          <w:lang w:bidi="ar-KW"/>
        </w:rPr>
        <w:t>[</w:t>
      </w:r>
      <w:r w:rsidR="009C32A0">
        <w:rPr>
          <w:rFonts w:hint="cs"/>
          <w:rtl/>
          <w:lang w:bidi="ar-KW"/>
        </w:rPr>
        <w:t>متن العقيدة الطحاوية</w:t>
      </w:r>
      <w:r>
        <w:rPr>
          <w:rFonts w:hint="cs"/>
          <w:rtl/>
          <w:lang w:bidi="ar-KW"/>
        </w:rPr>
        <w:t>]،</w:t>
      </w:r>
      <w:r w:rsidR="009C32A0">
        <w:rPr>
          <w:rFonts w:hint="cs"/>
          <w:rtl/>
          <w:lang w:bidi="ar-KW"/>
        </w:rPr>
        <w:t xml:space="preserve"> وقال الإمام</w:t>
      </w:r>
      <w:r w:rsidR="009C32A0">
        <w:rPr>
          <w:rFonts w:hint="cs"/>
          <w:lang w:bidi="ar-KW"/>
        </w:rPr>
        <w:t xml:space="preserve"> </w:t>
      </w:r>
      <w:r w:rsidR="009C32A0">
        <w:rPr>
          <w:rFonts w:hint="cs"/>
          <w:rtl/>
          <w:lang w:bidi="ar-KW"/>
        </w:rPr>
        <w:t>أبو منصور عبد القاهر بن طاهر التميمي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وأجمعوا- أي أهل السنة- على أنه -</w:t>
      </w:r>
      <w:r>
        <w:rPr>
          <w:rFonts w:hint="cs"/>
          <w:rtl/>
          <w:lang w:bidi="ar-KW"/>
        </w:rPr>
        <w:t xml:space="preserve"> </w:t>
      </w:r>
      <w:r w:rsidR="009C32A0">
        <w:rPr>
          <w:rFonts w:hint="cs"/>
          <w:rtl/>
          <w:lang w:bidi="ar-KW"/>
        </w:rPr>
        <w:t>أي الله تعالى - لا يحويه مكان ولا يجري عليه زمان</w:t>
      </w:r>
      <w:r>
        <w:rPr>
          <w:rtl/>
          <w:lang w:bidi="ar-KW"/>
        </w:rPr>
        <w:t>)</w:t>
      </w:r>
      <w:r w:rsidR="009C32A0">
        <w:rPr>
          <w:rFonts w:hint="cs"/>
          <w:rtl/>
          <w:lang w:bidi="ar-KW"/>
        </w:rPr>
        <w:t xml:space="preserve"> أهـ </w:t>
      </w:r>
      <w:r>
        <w:rPr>
          <w:rFonts w:hint="cs"/>
          <w:rtl/>
          <w:lang w:bidi="ar-KW"/>
        </w:rPr>
        <w:t>[</w:t>
      </w:r>
      <w:r w:rsidR="009C32A0">
        <w:rPr>
          <w:rFonts w:hint="cs"/>
          <w:rtl/>
          <w:lang w:bidi="ar-KW"/>
        </w:rPr>
        <w:t>الفرق بين الفرق صـ 333</w:t>
      </w:r>
      <w:r>
        <w:rPr>
          <w:rFonts w:hint="cs"/>
          <w:rtl/>
          <w:lang w:bidi="ar-KW"/>
        </w:rPr>
        <w:t>]،</w:t>
      </w:r>
      <w:r w:rsidR="009C32A0">
        <w:rPr>
          <w:rFonts w:hint="cs"/>
          <w:rtl/>
          <w:lang w:bidi="ar-KW"/>
        </w:rPr>
        <w:t xml:space="preserve"> وقال الإمام أبو المظفر الإسفراييني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الباب</w:t>
      </w:r>
      <w:r w:rsidR="009C32A0">
        <w:rPr>
          <w:rFonts w:hint="cs"/>
          <w:lang w:bidi="ar-KW"/>
        </w:rPr>
        <w:t xml:space="preserve"> </w:t>
      </w:r>
      <w:r w:rsidR="009C32A0">
        <w:rPr>
          <w:rFonts w:hint="cs"/>
          <w:rtl/>
          <w:lang w:bidi="ar-KW"/>
        </w:rPr>
        <w:t>الخامس عشر في بيان اعتقاد أهل السنة والجماعة</w:t>
      </w:r>
      <w:r>
        <w:rPr>
          <w:rFonts w:hint="cs"/>
          <w:rtl/>
          <w:lang w:bidi="ar-KW"/>
        </w:rPr>
        <w:t>:</w:t>
      </w:r>
      <w:r w:rsidR="009C32A0">
        <w:rPr>
          <w:rFonts w:hint="cs"/>
          <w:rtl/>
          <w:lang w:bidi="ar-KW"/>
        </w:rPr>
        <w:t xml:space="preserve"> وأن تعلم أن كل ما دل على حدوث شيء</w:t>
      </w:r>
      <w:r w:rsidR="009C32A0">
        <w:rPr>
          <w:rFonts w:hint="cs"/>
          <w:lang w:bidi="ar-KW"/>
        </w:rPr>
        <w:t xml:space="preserve"> </w:t>
      </w:r>
      <w:r w:rsidR="009C32A0">
        <w:rPr>
          <w:rFonts w:hint="cs"/>
          <w:rtl/>
          <w:lang w:bidi="ar-KW"/>
        </w:rPr>
        <w:t>من الحد</w:t>
      </w:r>
      <w:r>
        <w:rPr>
          <w:rFonts w:hint="cs"/>
          <w:rtl/>
          <w:lang w:bidi="ar-KW"/>
        </w:rPr>
        <w:t>،</w:t>
      </w:r>
      <w:r w:rsidR="009C32A0">
        <w:rPr>
          <w:rFonts w:hint="cs"/>
          <w:rtl/>
          <w:lang w:bidi="ar-KW"/>
        </w:rPr>
        <w:t xml:space="preserve"> والنهاية</w:t>
      </w:r>
      <w:r>
        <w:rPr>
          <w:rFonts w:hint="cs"/>
          <w:rtl/>
          <w:lang w:bidi="ar-KW"/>
        </w:rPr>
        <w:t>،</w:t>
      </w:r>
      <w:r w:rsidR="009C32A0">
        <w:rPr>
          <w:rFonts w:hint="cs"/>
          <w:rtl/>
          <w:lang w:bidi="ar-KW"/>
        </w:rPr>
        <w:t xml:space="preserve"> والمكان</w:t>
      </w:r>
      <w:r>
        <w:rPr>
          <w:rFonts w:hint="cs"/>
          <w:rtl/>
          <w:lang w:bidi="ar-KW"/>
        </w:rPr>
        <w:t>،</w:t>
      </w:r>
      <w:r w:rsidR="009C32A0">
        <w:rPr>
          <w:rFonts w:hint="cs"/>
          <w:rtl/>
          <w:lang w:bidi="ar-KW"/>
        </w:rPr>
        <w:t xml:space="preserve"> والجهة</w:t>
      </w:r>
      <w:r>
        <w:rPr>
          <w:rFonts w:hint="cs"/>
          <w:rtl/>
          <w:lang w:bidi="ar-KW"/>
        </w:rPr>
        <w:t>،</w:t>
      </w:r>
      <w:r w:rsidR="009C32A0">
        <w:rPr>
          <w:rFonts w:hint="cs"/>
          <w:rtl/>
          <w:lang w:bidi="ar-KW"/>
        </w:rPr>
        <w:t xml:space="preserve"> والسكون</w:t>
      </w:r>
      <w:r>
        <w:rPr>
          <w:rFonts w:hint="cs"/>
          <w:rtl/>
          <w:lang w:bidi="ar-KW"/>
        </w:rPr>
        <w:t>،</w:t>
      </w:r>
      <w:r w:rsidR="009C32A0">
        <w:rPr>
          <w:rFonts w:hint="cs"/>
          <w:rtl/>
          <w:lang w:bidi="ar-KW"/>
        </w:rPr>
        <w:t xml:space="preserve"> والحركة</w:t>
      </w:r>
      <w:r>
        <w:rPr>
          <w:rFonts w:hint="cs"/>
          <w:rtl/>
          <w:lang w:bidi="ar-KW"/>
        </w:rPr>
        <w:t>،</w:t>
      </w:r>
      <w:r w:rsidR="009C32A0">
        <w:rPr>
          <w:rFonts w:hint="cs"/>
          <w:rtl/>
          <w:lang w:bidi="ar-KW"/>
        </w:rPr>
        <w:t xml:space="preserve"> فهو مستحيل عليه سبحانه</w:t>
      </w:r>
      <w:r w:rsidR="009C32A0">
        <w:rPr>
          <w:rFonts w:hint="cs"/>
          <w:lang w:bidi="ar-KW"/>
        </w:rPr>
        <w:t xml:space="preserve"> </w:t>
      </w:r>
      <w:r w:rsidR="009C32A0">
        <w:rPr>
          <w:rFonts w:hint="cs"/>
          <w:rtl/>
          <w:lang w:bidi="ar-KW"/>
        </w:rPr>
        <w:t>وتعالى</w:t>
      </w:r>
      <w:r>
        <w:rPr>
          <w:rFonts w:hint="cs"/>
          <w:rtl/>
          <w:lang w:bidi="ar-KW"/>
        </w:rPr>
        <w:t>،</w:t>
      </w:r>
      <w:r w:rsidR="009C32A0">
        <w:rPr>
          <w:rFonts w:hint="cs"/>
          <w:rtl/>
          <w:lang w:bidi="ar-KW"/>
        </w:rPr>
        <w:t xml:space="preserve"> لأن ما لا يكون محدثا لا يجوز عليه ما هو دليل على الحدوث " أهـ </w:t>
      </w:r>
      <w:r>
        <w:rPr>
          <w:rFonts w:hint="cs"/>
          <w:rtl/>
          <w:lang w:bidi="ar-KW"/>
        </w:rPr>
        <w:t>[</w:t>
      </w:r>
      <w:r w:rsidR="009C32A0">
        <w:rPr>
          <w:rFonts w:hint="cs"/>
          <w:rtl/>
          <w:lang w:bidi="ar-KW"/>
        </w:rPr>
        <w:t>التبصير</w:t>
      </w:r>
      <w:r w:rsidR="009C32A0">
        <w:rPr>
          <w:rFonts w:hint="cs"/>
          <w:lang w:bidi="ar-KW"/>
        </w:rPr>
        <w:t xml:space="preserve"> </w:t>
      </w:r>
      <w:r w:rsidR="009C32A0">
        <w:rPr>
          <w:rFonts w:hint="cs"/>
          <w:rtl/>
          <w:lang w:bidi="ar-KW"/>
        </w:rPr>
        <w:t>في الدين ص161</w:t>
      </w:r>
      <w:r>
        <w:rPr>
          <w:rFonts w:hint="cs"/>
          <w:rtl/>
          <w:lang w:bidi="ar-KW"/>
        </w:rPr>
        <w:t>]،</w:t>
      </w:r>
      <w:r w:rsidR="009C32A0">
        <w:rPr>
          <w:rFonts w:hint="cs"/>
          <w:rtl/>
          <w:lang w:bidi="ar-KW"/>
        </w:rPr>
        <w:t xml:space="preserve"> وقال الإمام</w:t>
      </w:r>
      <w:r w:rsidR="009C32A0">
        <w:rPr>
          <w:rFonts w:hint="cs"/>
          <w:lang w:bidi="ar-KW"/>
        </w:rPr>
        <w:t xml:space="preserve"> </w:t>
      </w:r>
      <w:r w:rsidR="009C32A0">
        <w:rPr>
          <w:rFonts w:hint="cs"/>
          <w:rtl/>
          <w:lang w:bidi="ar-KW"/>
        </w:rPr>
        <w:t>الشهرستاني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فمذهب أهل الحق أن الله سبحانه</w:t>
      </w:r>
      <w:r w:rsidR="009C32A0">
        <w:rPr>
          <w:rFonts w:hint="cs"/>
          <w:lang w:bidi="ar-KW"/>
        </w:rPr>
        <w:t xml:space="preserve"> </w:t>
      </w:r>
      <w:r w:rsidR="009C32A0">
        <w:rPr>
          <w:rFonts w:hint="cs"/>
          <w:rtl/>
          <w:lang w:bidi="ar-KW"/>
        </w:rPr>
        <w:t>لا يشبه شيئا من المخلوقات ولا يشبهه شيء منها بوجه من وجوه المشابهة</w:t>
      </w:r>
      <w:r w:rsidR="009C32A0">
        <w:rPr>
          <w:rFonts w:hint="cs"/>
          <w:lang w:bidi="ar-KW"/>
        </w:rPr>
        <w:t xml:space="preserve"> </w:t>
      </w:r>
      <w:r w:rsidR="009C32A0">
        <w:rPr>
          <w:rFonts w:hint="cs"/>
          <w:rtl/>
          <w:lang w:bidi="ar-KW"/>
        </w:rPr>
        <w:t xml:space="preserve">والمماثلة </w:t>
      </w:r>
      <w:r>
        <w:rPr>
          <w:rFonts w:hint="cs"/>
          <w:rtl/>
          <w:lang w:bidi="ar-KW"/>
        </w:rPr>
        <w:t>{</w:t>
      </w:r>
      <w:r w:rsidR="009C32A0">
        <w:rPr>
          <w:rFonts w:hint="cs"/>
          <w:rtl/>
          <w:lang w:bidi="ar-KW"/>
        </w:rPr>
        <w:t>لَيْسَ كَمِثْلِهِ شَيْءٌ وَهُوَ السَّمِيعُ البَصِيرُ</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سورة</w:t>
      </w:r>
      <w:r w:rsidR="009C32A0">
        <w:rPr>
          <w:rFonts w:hint="cs"/>
          <w:lang w:bidi="ar-KW"/>
        </w:rPr>
        <w:t xml:space="preserve"> </w:t>
      </w:r>
      <w:r w:rsidR="009C32A0">
        <w:rPr>
          <w:rFonts w:hint="cs"/>
          <w:rtl/>
          <w:lang w:bidi="ar-KW"/>
        </w:rPr>
        <w:t>الشورى</w:t>
      </w:r>
      <w:r>
        <w:rPr>
          <w:rFonts w:hint="cs"/>
          <w:rtl/>
          <w:lang w:bidi="ar-KW"/>
        </w:rPr>
        <w:t>:</w:t>
      </w:r>
      <w:r w:rsidR="009C32A0">
        <w:rPr>
          <w:rFonts w:hint="cs"/>
          <w:rtl/>
          <w:lang w:bidi="ar-KW"/>
        </w:rPr>
        <w:t xml:space="preserve"> 11</w:t>
      </w:r>
      <w:r>
        <w:rPr>
          <w:rFonts w:hint="cs"/>
          <w:rtl/>
          <w:lang w:bidi="ar-KW"/>
        </w:rPr>
        <w:t>]،</w:t>
      </w:r>
      <w:r w:rsidR="009C32A0">
        <w:rPr>
          <w:rFonts w:hint="cs"/>
          <w:rtl/>
          <w:lang w:bidi="ar-KW"/>
        </w:rPr>
        <w:t xml:space="preserve"> فليس البارئ سبحانه بجوهر ولا جسم ولا عرض ولا في مكان ولا في زمان</w:t>
      </w:r>
      <w:r>
        <w:rPr>
          <w:rFonts w:hint="cs"/>
          <w:rtl/>
          <w:lang w:bidi="ar-KW"/>
        </w:rPr>
        <w:t>)</w:t>
      </w:r>
      <w:r w:rsidR="009C32A0">
        <w:rPr>
          <w:rFonts w:hint="cs"/>
          <w:lang w:bidi="ar-KW"/>
        </w:rPr>
        <w:t xml:space="preserve"> </w:t>
      </w:r>
      <w:r w:rsidR="009C32A0">
        <w:rPr>
          <w:rFonts w:hint="cs"/>
          <w:rtl/>
          <w:lang w:bidi="ar-KW"/>
        </w:rPr>
        <w:t xml:space="preserve">أهــ </w:t>
      </w:r>
      <w:r>
        <w:rPr>
          <w:rFonts w:hint="cs"/>
          <w:rtl/>
          <w:lang w:bidi="ar-KW"/>
        </w:rPr>
        <w:t>[</w:t>
      </w:r>
      <w:r w:rsidR="009C32A0">
        <w:rPr>
          <w:rFonts w:hint="cs"/>
          <w:rtl/>
          <w:lang w:bidi="ar-KW"/>
        </w:rPr>
        <w:t>الملل والنحل للشهرستاني</w:t>
      </w:r>
      <w:r>
        <w:rPr>
          <w:rFonts w:hint="cs"/>
          <w:rtl/>
          <w:lang w:bidi="ar-KW"/>
        </w:rPr>
        <w:t xml:space="preserve">]، </w:t>
      </w:r>
      <w:r w:rsidR="009C32A0">
        <w:rPr>
          <w:rFonts w:hint="cs"/>
          <w:rtl/>
          <w:lang w:bidi="ar-KW"/>
        </w:rPr>
        <w:t>وقال الإمام فخر الدين الرازي في تفسيره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انعقد</w:t>
      </w:r>
      <w:r w:rsidR="009C32A0">
        <w:rPr>
          <w:rFonts w:hint="cs"/>
          <w:lang w:bidi="ar-KW"/>
        </w:rPr>
        <w:t xml:space="preserve"> </w:t>
      </w:r>
      <w:r w:rsidR="009C32A0">
        <w:rPr>
          <w:rFonts w:hint="cs"/>
          <w:rtl/>
          <w:lang w:bidi="ar-KW"/>
        </w:rPr>
        <w:t>الإجماع على أنه سبحانه ليس معنا بالمكان والجهة والحيز</w:t>
      </w:r>
      <w:r>
        <w:rPr>
          <w:rFonts w:hint="cs"/>
          <w:rtl/>
          <w:lang w:bidi="ar-KW"/>
        </w:rPr>
        <w:t>)</w:t>
      </w:r>
      <w:r w:rsidR="009C32A0">
        <w:rPr>
          <w:rFonts w:hint="cs"/>
          <w:rtl/>
          <w:lang w:bidi="ar-KW"/>
        </w:rPr>
        <w:t xml:space="preserve"> أهــ </w:t>
      </w:r>
      <w:r>
        <w:rPr>
          <w:rFonts w:hint="cs"/>
          <w:rtl/>
          <w:lang w:bidi="ar-KW"/>
        </w:rPr>
        <w:t>[</w:t>
      </w:r>
      <w:r w:rsidR="009C32A0">
        <w:rPr>
          <w:rFonts w:hint="cs"/>
          <w:rtl/>
          <w:lang w:bidi="ar-KW"/>
        </w:rPr>
        <w:t>تفسير الرازي 29</w:t>
      </w:r>
      <w:r>
        <w:rPr>
          <w:rFonts w:hint="cs"/>
          <w:rtl/>
          <w:lang w:bidi="ar-KW"/>
        </w:rPr>
        <w:t>:</w:t>
      </w:r>
      <w:r w:rsidR="009C32A0">
        <w:rPr>
          <w:rFonts w:hint="cs"/>
          <w:rtl/>
          <w:lang w:bidi="ar-KW"/>
        </w:rPr>
        <w:t>216</w:t>
      </w:r>
      <w:r>
        <w:rPr>
          <w:rFonts w:hint="cs"/>
          <w:rtl/>
          <w:lang w:bidi="ar-KW"/>
        </w:rPr>
        <w:t xml:space="preserve">]، </w:t>
      </w:r>
      <w:r w:rsidR="009C32A0">
        <w:rPr>
          <w:rFonts w:hint="cs"/>
          <w:rtl/>
          <w:lang w:bidi="ar-KW"/>
        </w:rPr>
        <w:t>وقال إمام أهل السنة أبو منصور الماتريدي (333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إن الله سبحانه كان ولا مكان</w:t>
      </w:r>
      <w:r>
        <w:rPr>
          <w:rFonts w:hint="cs"/>
          <w:rtl/>
          <w:lang w:bidi="ar-KW"/>
        </w:rPr>
        <w:t>،</w:t>
      </w:r>
      <w:r w:rsidR="009C32A0">
        <w:rPr>
          <w:rFonts w:hint="cs"/>
          <w:rtl/>
          <w:lang w:bidi="ar-KW"/>
        </w:rPr>
        <w:t xml:space="preserve"> وجائز ارتفاع الأمكنة وبقاؤه على ما كان</w:t>
      </w:r>
      <w:r>
        <w:rPr>
          <w:rFonts w:hint="cs"/>
          <w:rtl/>
          <w:lang w:bidi="ar-KW"/>
        </w:rPr>
        <w:t>،</w:t>
      </w:r>
      <w:r w:rsidR="009C32A0">
        <w:rPr>
          <w:rFonts w:hint="cs"/>
          <w:rtl/>
          <w:lang w:bidi="ar-KW"/>
        </w:rPr>
        <w:t xml:space="preserve"> فهو على ما كان</w:t>
      </w:r>
      <w:r>
        <w:rPr>
          <w:rFonts w:hint="cs"/>
          <w:rtl/>
          <w:lang w:bidi="ar-KW"/>
        </w:rPr>
        <w:t>،</w:t>
      </w:r>
      <w:r w:rsidR="009C32A0">
        <w:rPr>
          <w:rFonts w:hint="cs"/>
          <w:rtl/>
          <w:lang w:bidi="ar-KW"/>
        </w:rPr>
        <w:t xml:space="preserve"> وكان على ما عليه الان</w:t>
      </w:r>
      <w:r>
        <w:rPr>
          <w:rFonts w:hint="cs"/>
          <w:rtl/>
          <w:lang w:bidi="ar-KW"/>
        </w:rPr>
        <w:t>،</w:t>
      </w:r>
      <w:r w:rsidR="009C32A0">
        <w:rPr>
          <w:rFonts w:hint="cs"/>
          <w:rtl/>
          <w:lang w:bidi="ar-KW"/>
        </w:rPr>
        <w:t xml:space="preserve"> جل عن التغير والزوال والاستحالة</w:t>
      </w:r>
      <w:r>
        <w:rPr>
          <w:rFonts w:hint="cs"/>
          <w:rtl/>
          <w:lang w:bidi="ar-KW"/>
        </w:rPr>
        <w:t xml:space="preserve">) </w:t>
      </w:r>
      <w:r w:rsidR="009C32A0">
        <w:rPr>
          <w:rFonts w:hint="cs"/>
          <w:rtl/>
          <w:lang w:bidi="ar-KW"/>
        </w:rPr>
        <w:t>اهـ</w:t>
      </w:r>
      <w:r>
        <w:rPr>
          <w:rFonts w:hint="cs"/>
          <w:rtl/>
          <w:lang w:bidi="ar-KW"/>
        </w:rPr>
        <w:t xml:space="preserve">، </w:t>
      </w:r>
      <w:r w:rsidR="009C32A0">
        <w:rPr>
          <w:rFonts w:hint="cs"/>
          <w:rtl/>
          <w:lang w:bidi="ar-KW"/>
        </w:rPr>
        <w:t>[كتاب التوحيد (ص/ 69)</w:t>
      </w:r>
      <w:r>
        <w:rPr>
          <w:rFonts w:hint="cs"/>
          <w:rtl/>
          <w:lang w:bidi="ar-KW"/>
        </w:rPr>
        <w:t>]،</w:t>
      </w:r>
      <w:r w:rsidR="009C32A0">
        <w:rPr>
          <w:rFonts w:hint="cs"/>
          <w:rtl/>
          <w:lang w:bidi="ar-KW"/>
        </w:rPr>
        <w:t xml:space="preserve"> وقال القاضي أبو بكر محمد الباقلاني المالكي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ولا نقول إن العرش له- أي الله- قرار ولا مكان</w:t>
      </w:r>
      <w:r>
        <w:rPr>
          <w:rFonts w:hint="cs"/>
          <w:rtl/>
          <w:lang w:bidi="ar-KW"/>
        </w:rPr>
        <w:t>،</w:t>
      </w:r>
      <w:r w:rsidR="009C32A0">
        <w:rPr>
          <w:rFonts w:hint="cs"/>
          <w:rtl/>
          <w:lang w:bidi="ar-KW"/>
        </w:rPr>
        <w:t xml:space="preserve"> لأن الله تعالى كان ولا مكان</w:t>
      </w:r>
      <w:r>
        <w:rPr>
          <w:rFonts w:hint="cs"/>
          <w:rtl/>
          <w:lang w:bidi="ar-KW"/>
        </w:rPr>
        <w:t>،</w:t>
      </w:r>
      <w:r w:rsidR="009C32A0">
        <w:rPr>
          <w:rFonts w:hint="cs"/>
          <w:rtl/>
          <w:lang w:bidi="ar-KW"/>
        </w:rPr>
        <w:t xml:space="preserve"> فلما خلق المكان لم يتغير عما كان</w:t>
      </w:r>
      <w:r>
        <w:rPr>
          <w:rFonts w:hint="cs"/>
          <w:rtl/>
          <w:lang w:bidi="ar-KW"/>
        </w:rPr>
        <w:t xml:space="preserve">) </w:t>
      </w:r>
      <w:r w:rsidR="009C32A0">
        <w:rPr>
          <w:rFonts w:hint="cs"/>
          <w:rtl/>
          <w:lang w:bidi="ar-KW"/>
        </w:rPr>
        <w:t>اهـ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الانصاف فيما يجب اعتقاده ولا يجوز الجهل به (ص/65)</w:t>
      </w:r>
      <w:r>
        <w:rPr>
          <w:rFonts w:hint="cs"/>
          <w:rtl/>
          <w:lang w:bidi="ar-KW"/>
        </w:rPr>
        <w:t xml:space="preserve">]، </w:t>
      </w:r>
      <w:r w:rsidR="009C32A0">
        <w:rPr>
          <w:rFonts w:hint="cs"/>
          <w:rtl/>
          <w:lang w:bidi="ar-KW"/>
        </w:rPr>
        <w:t xml:space="preserve">وقال الإمام أبو </w:t>
      </w:r>
      <w:r w:rsidR="009C32A0">
        <w:rPr>
          <w:rFonts w:hint="cs"/>
          <w:rtl/>
          <w:lang w:bidi="ar-KW"/>
        </w:rPr>
        <w:lastRenderedPageBreak/>
        <w:t>بكر ابن فورك</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لا يجوز على الله تعالى الحلول في الأماكن لاستحالة كونه محدودا ومتناهيا وذلك لاستحالة كونه محدثا</w:t>
      </w:r>
      <w:r>
        <w:rPr>
          <w:rFonts w:hint="cs"/>
          <w:rtl/>
          <w:lang w:bidi="ar-KW"/>
        </w:rPr>
        <w:t>)</w:t>
      </w:r>
      <w:r w:rsidR="009C32A0">
        <w:rPr>
          <w:rFonts w:hint="cs"/>
          <w:rtl/>
          <w:lang w:bidi="ar-KW"/>
        </w:rPr>
        <w:t xml:space="preserve"> أهـ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مشكل الحديث (ص/ 57)</w:t>
      </w:r>
      <w:r>
        <w:rPr>
          <w:rFonts w:hint="cs"/>
          <w:rtl/>
          <w:lang w:bidi="ar-KW"/>
        </w:rPr>
        <w:t>]،</w:t>
      </w:r>
      <w:r w:rsidR="009C32A0">
        <w:rPr>
          <w:rFonts w:hint="cs"/>
          <w:rtl/>
          <w:lang w:bidi="ar-KW"/>
        </w:rPr>
        <w:t xml:space="preserve"> وقال الإمام ابن بطال المالكي (449 هـ) أحد شراح صحيح البخاري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غرض البخاري في هذا الباب الرد على الجهمية المجسمة في تعلقها بهذه الظواهر</w:t>
      </w:r>
      <w:r>
        <w:rPr>
          <w:rFonts w:hint="cs"/>
          <w:rtl/>
          <w:lang w:bidi="ar-KW"/>
        </w:rPr>
        <w:t>،</w:t>
      </w:r>
      <w:r w:rsidR="009C32A0">
        <w:rPr>
          <w:rFonts w:hint="cs"/>
          <w:rtl/>
          <w:lang w:bidi="ar-KW"/>
        </w:rPr>
        <w:t xml:space="preserve"> وقد تقرر أن الله ليس بجسم فلا يحتاج إلى مكان يستقر فيه</w:t>
      </w:r>
      <w:r>
        <w:rPr>
          <w:rFonts w:hint="cs"/>
          <w:rtl/>
          <w:lang w:bidi="ar-KW"/>
        </w:rPr>
        <w:t>،</w:t>
      </w:r>
      <w:r w:rsidR="009C32A0">
        <w:rPr>
          <w:rFonts w:hint="cs"/>
          <w:rtl/>
          <w:lang w:bidi="ar-KW"/>
        </w:rPr>
        <w:t xml:space="preserve"> فقد كان ولا مكان</w:t>
      </w:r>
      <w:r>
        <w:rPr>
          <w:rFonts w:hint="cs"/>
          <w:rtl/>
          <w:lang w:bidi="ar-KW"/>
        </w:rPr>
        <w:t>،</w:t>
      </w:r>
      <w:r w:rsidR="009C32A0">
        <w:rPr>
          <w:rFonts w:hint="cs"/>
          <w:rtl/>
          <w:lang w:bidi="ar-KW"/>
        </w:rPr>
        <w:t xml:space="preserve"> وإنما أضاف المعارج إليه إضافة تشريف</w:t>
      </w:r>
      <w:r>
        <w:rPr>
          <w:rFonts w:hint="cs"/>
          <w:rtl/>
          <w:lang w:bidi="ar-KW"/>
        </w:rPr>
        <w:t>،</w:t>
      </w:r>
      <w:r w:rsidR="009C32A0">
        <w:rPr>
          <w:rFonts w:hint="cs"/>
          <w:rtl/>
          <w:lang w:bidi="ar-KW"/>
        </w:rPr>
        <w:t xml:space="preserve"> ومعنى الارتفاع إليه اعتلاؤه- أي تعاليه- مع تنزيهه عن المكان</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فتح الباري (13/ 416)</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لا تعلق للمجسمة في إثبات المكان</w:t>
      </w:r>
      <w:r>
        <w:rPr>
          <w:rFonts w:hint="cs"/>
          <w:rtl/>
          <w:lang w:bidi="ar-KW"/>
        </w:rPr>
        <w:t>،</w:t>
      </w:r>
      <w:r w:rsidR="009C32A0">
        <w:rPr>
          <w:rFonts w:hint="cs"/>
          <w:rtl/>
          <w:lang w:bidi="ar-KW"/>
        </w:rPr>
        <w:t xml:space="preserve"> لما ثبت من استحالة أن يكون سبحانه جسما أو حالا في مكان " اهـ </w:t>
      </w:r>
      <w:r>
        <w:rPr>
          <w:rFonts w:hint="cs"/>
          <w:rtl/>
          <w:lang w:bidi="ar-KW"/>
        </w:rPr>
        <w:t>[</w:t>
      </w:r>
      <w:r w:rsidR="009C32A0">
        <w:rPr>
          <w:rFonts w:hint="cs"/>
          <w:rtl/>
          <w:lang w:bidi="ar-KW"/>
        </w:rPr>
        <w:t>فتح الباري (13/ 433)</w:t>
      </w:r>
      <w:r>
        <w:rPr>
          <w:rFonts w:hint="cs"/>
          <w:rtl/>
          <w:lang w:bidi="ar-KW"/>
        </w:rPr>
        <w:t>]،</w:t>
      </w:r>
      <w:r w:rsidR="009C32A0">
        <w:rPr>
          <w:rFonts w:hint="cs"/>
          <w:rtl/>
          <w:lang w:bidi="ar-KW"/>
        </w:rPr>
        <w:t xml:space="preserve"> وقال الحافظ محمد بن حبان (453هـ) صاحب الصحيح المشهور بصحيح ابن حبان</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الحمد لله الذي ليس له حد محدود فيحتوى</w:t>
      </w:r>
      <w:r>
        <w:rPr>
          <w:rFonts w:hint="cs"/>
          <w:rtl/>
          <w:lang w:bidi="ar-KW"/>
        </w:rPr>
        <w:t>،</w:t>
      </w:r>
      <w:r w:rsidR="009C32A0">
        <w:rPr>
          <w:rFonts w:hint="cs"/>
          <w:rtl/>
          <w:lang w:bidi="ar-KW"/>
        </w:rPr>
        <w:t xml:space="preserve"> ولا له أجل معدود فيفنى</w:t>
      </w:r>
      <w:r>
        <w:rPr>
          <w:rFonts w:hint="cs"/>
          <w:rtl/>
          <w:lang w:bidi="ar-KW"/>
        </w:rPr>
        <w:t>،</w:t>
      </w:r>
      <w:r w:rsidR="009C32A0">
        <w:rPr>
          <w:rFonts w:hint="cs"/>
          <w:rtl/>
          <w:lang w:bidi="ar-KW"/>
        </w:rPr>
        <w:t xml:space="preserve"> ولا يحيط به جوامع المكان</w:t>
      </w:r>
      <w:r>
        <w:rPr>
          <w:rFonts w:hint="cs"/>
          <w:rtl/>
          <w:lang w:bidi="ar-KW"/>
        </w:rPr>
        <w:t>،</w:t>
      </w:r>
      <w:r w:rsidR="009C32A0">
        <w:rPr>
          <w:rFonts w:hint="cs"/>
          <w:rtl/>
          <w:lang w:bidi="ar-KW"/>
        </w:rPr>
        <w:t xml:space="preserve"> ولا يشتمل عليه تواتر الزمان)</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الثقات (1/ 1)</w:t>
      </w:r>
      <w:r>
        <w:rPr>
          <w:rFonts w:hint="cs"/>
          <w:rtl/>
          <w:lang w:bidi="ar-KW"/>
        </w:rPr>
        <w:t>]،</w:t>
      </w:r>
      <w:r w:rsidR="009C32A0">
        <w:rPr>
          <w:rFonts w:hint="cs"/>
          <w:rtl/>
          <w:lang w:bidi="ar-KW"/>
        </w:rPr>
        <w:t xml:space="preserve"> وقال الإمام ابن حزم الأندلسي (456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وأنه تعالى لا في مكان ولا في زمان</w:t>
      </w:r>
      <w:r>
        <w:rPr>
          <w:rFonts w:hint="cs"/>
          <w:rtl/>
          <w:lang w:bidi="ar-KW"/>
        </w:rPr>
        <w:t>،</w:t>
      </w:r>
      <w:r w:rsidR="009C32A0">
        <w:rPr>
          <w:rFonts w:hint="cs"/>
          <w:rtl/>
          <w:lang w:bidi="ar-KW"/>
        </w:rPr>
        <w:t xml:space="preserve"> بل هو تعالى خالق الأزمنة والأمكنة</w:t>
      </w:r>
      <w:r>
        <w:rPr>
          <w:rFonts w:hint="cs"/>
          <w:rtl/>
          <w:lang w:bidi="ar-KW"/>
        </w:rPr>
        <w:t>،</w:t>
      </w:r>
      <w:r w:rsidR="009C32A0">
        <w:rPr>
          <w:rFonts w:hint="cs"/>
          <w:rtl/>
          <w:lang w:bidi="ar-KW"/>
        </w:rPr>
        <w:t xml:space="preserve"> قال تعالى</w:t>
      </w:r>
      <w:r>
        <w:rPr>
          <w:rFonts w:hint="cs"/>
          <w:rtl/>
          <w:lang w:bidi="ar-KW"/>
        </w:rPr>
        <w:t>:</w:t>
      </w:r>
      <w:r w:rsidR="009C32A0">
        <w:rPr>
          <w:rFonts w:hint="cs"/>
          <w:rtl/>
          <w:lang w:bidi="ar-KW"/>
        </w:rPr>
        <w:t xml:space="preserve"> {وَخَلَقَ كُلَّ شَيْءٍ فَقَدَّرَهُ تَقْدِيراً</w:t>
      </w:r>
      <w:r>
        <w:rPr>
          <w:rFonts w:hint="cs"/>
          <w:rtl/>
          <w:lang w:bidi="ar-KW"/>
        </w:rPr>
        <w:t>}،</w:t>
      </w:r>
      <w:r w:rsidR="009C32A0">
        <w:rPr>
          <w:rFonts w:hint="cs"/>
          <w:rtl/>
          <w:lang w:bidi="ar-KW"/>
        </w:rPr>
        <w:t xml:space="preserve"> وقال </w:t>
      </w:r>
      <w:r>
        <w:rPr>
          <w:rFonts w:hint="cs"/>
          <w:rtl/>
          <w:lang w:bidi="ar-KW"/>
        </w:rPr>
        <w:t>{</w:t>
      </w:r>
      <w:r w:rsidR="009C32A0">
        <w:rPr>
          <w:rFonts w:hint="cs"/>
          <w:rtl/>
          <w:lang w:bidi="ar-KW"/>
        </w:rPr>
        <w:t>الَّذِي خَلَقَ السَّمَوَاتِ وَالْأَرْضَ وَمَا بَيْنَهُمَا</w:t>
      </w:r>
      <w:r>
        <w:rPr>
          <w:rFonts w:hint="cs"/>
          <w:rtl/>
          <w:lang w:bidi="ar-KW"/>
        </w:rPr>
        <w:t>}،</w:t>
      </w:r>
      <w:r w:rsidR="009C32A0">
        <w:rPr>
          <w:rFonts w:hint="cs"/>
          <w:rtl/>
          <w:lang w:bidi="ar-KW"/>
        </w:rPr>
        <w:t xml:space="preserve"> والزمان والمكان هما مخلوقان</w:t>
      </w:r>
      <w:r>
        <w:rPr>
          <w:rFonts w:hint="cs"/>
          <w:rtl/>
          <w:lang w:bidi="ar-KW"/>
        </w:rPr>
        <w:t>،</w:t>
      </w:r>
      <w:r w:rsidR="009C32A0">
        <w:rPr>
          <w:rFonts w:hint="cs"/>
          <w:rtl/>
          <w:lang w:bidi="ar-KW"/>
        </w:rPr>
        <w:t xml:space="preserve"> قد كان تعالى دونهما</w:t>
      </w:r>
      <w:r>
        <w:rPr>
          <w:rFonts w:hint="cs"/>
          <w:rtl/>
          <w:lang w:bidi="ar-KW"/>
        </w:rPr>
        <w:t>،</w:t>
      </w:r>
      <w:r w:rsidR="009C32A0">
        <w:rPr>
          <w:rFonts w:hint="cs"/>
          <w:rtl/>
          <w:lang w:bidi="ar-KW"/>
        </w:rPr>
        <w:t xml:space="preserve"> والمكان إنما هو للأجسام اهـ</w:t>
      </w:r>
      <w:r>
        <w:rPr>
          <w:rFonts w:hint="cs"/>
          <w:rtl/>
          <w:lang w:bidi="ar-KW"/>
        </w:rPr>
        <w:t>، [</w:t>
      </w:r>
      <w:r w:rsidR="009C32A0">
        <w:rPr>
          <w:rFonts w:hint="cs"/>
          <w:rtl/>
          <w:lang w:bidi="ar-KW"/>
        </w:rPr>
        <w:t>أنظر كتابه علم الكلام</w:t>
      </w:r>
      <w:r>
        <w:rPr>
          <w:rFonts w:hint="cs"/>
          <w:rtl/>
          <w:lang w:bidi="ar-KW"/>
        </w:rPr>
        <w:t>:</w:t>
      </w:r>
      <w:r w:rsidR="009C32A0">
        <w:rPr>
          <w:rFonts w:hint="cs"/>
          <w:rtl/>
          <w:lang w:bidi="ar-KW"/>
        </w:rPr>
        <w:t xml:space="preserve"> مسألة في نفي المكان عن الله تعالى (ص/ 65)</w:t>
      </w:r>
      <w:r>
        <w:rPr>
          <w:rFonts w:hint="cs"/>
          <w:rtl/>
          <w:lang w:bidi="ar-KW"/>
        </w:rPr>
        <w:t>]،</w:t>
      </w:r>
      <w:r w:rsidR="009C32A0">
        <w:rPr>
          <w:rFonts w:hint="cs"/>
          <w:rtl/>
          <w:lang w:bidi="ar-KW"/>
        </w:rPr>
        <w:t xml:space="preserve"> وقال الحافظ البيهقي (458هـ)</w:t>
      </w:r>
      <w:r>
        <w:rPr>
          <w:rFonts w:hint="cs"/>
          <w:rtl/>
          <w:lang w:bidi="ar-KW"/>
        </w:rPr>
        <w:t>: (</w:t>
      </w:r>
      <w:r w:rsidR="009C32A0">
        <w:rPr>
          <w:rFonts w:hint="cs"/>
          <w:rtl/>
          <w:lang w:bidi="ar-KW"/>
        </w:rPr>
        <w:t>والذي روي في ءاخر هذا الحديث إشارة إلى نفي المكان عن الله تعالى</w:t>
      </w:r>
      <w:r>
        <w:rPr>
          <w:rFonts w:hint="cs"/>
          <w:rtl/>
          <w:lang w:bidi="ar-KW"/>
        </w:rPr>
        <w:t>،</w:t>
      </w:r>
      <w:r w:rsidR="009C32A0">
        <w:rPr>
          <w:rFonts w:hint="cs"/>
          <w:rtl/>
          <w:lang w:bidi="ar-KW"/>
        </w:rPr>
        <w:t xml:space="preserve"> وأن العبد أينما كان فهو في القرب والبعد من الله تعالى سواء</w:t>
      </w:r>
      <w:r>
        <w:rPr>
          <w:rFonts w:hint="cs"/>
          <w:rtl/>
          <w:lang w:bidi="ar-KW"/>
        </w:rPr>
        <w:t>،</w:t>
      </w:r>
      <w:r w:rsidR="009C32A0">
        <w:rPr>
          <w:rFonts w:hint="cs"/>
          <w:rtl/>
          <w:lang w:bidi="ar-KW"/>
        </w:rPr>
        <w:t xml:space="preserve"> وأنه الظاهر فيصح إدراكه بالأدلة</w:t>
      </w:r>
      <w:r>
        <w:rPr>
          <w:rFonts w:hint="cs"/>
          <w:rtl/>
          <w:lang w:bidi="ar-KW"/>
        </w:rPr>
        <w:t>،</w:t>
      </w:r>
      <w:r w:rsidR="009C32A0">
        <w:rPr>
          <w:rFonts w:hint="cs"/>
          <w:rtl/>
          <w:lang w:bidi="ar-KW"/>
        </w:rPr>
        <w:t xml:space="preserve"> الباطن فلا يصح إدراكه بالكون في مكان</w:t>
      </w:r>
      <w:r>
        <w:rPr>
          <w:rFonts w:hint="cs"/>
          <w:rtl/>
          <w:lang w:bidi="ar-KW"/>
        </w:rPr>
        <w:t xml:space="preserve">، </w:t>
      </w:r>
      <w:r w:rsidR="009C32A0">
        <w:rPr>
          <w:rFonts w:hint="cs"/>
          <w:rtl/>
          <w:lang w:bidi="ar-KW"/>
        </w:rPr>
        <w:t>واستدل بعض أصحابنا في نفي المكان عنه بقول النبي صلى الله عليه وسلم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أنت الظاهر فليس فوقك شيء</w:t>
      </w:r>
      <w:r>
        <w:rPr>
          <w:rFonts w:hint="cs"/>
          <w:rtl/>
          <w:lang w:bidi="ar-KW"/>
        </w:rPr>
        <w:t>،</w:t>
      </w:r>
      <w:r w:rsidR="009C32A0">
        <w:rPr>
          <w:rFonts w:hint="cs"/>
          <w:rtl/>
          <w:lang w:bidi="ar-KW"/>
        </w:rPr>
        <w:t xml:space="preserve"> وأنت الباطن فليس دونك شيء))</w:t>
      </w:r>
      <w:r>
        <w:rPr>
          <w:rFonts w:hint="cs"/>
          <w:rtl/>
          <w:lang w:bidi="ar-KW"/>
        </w:rPr>
        <w:t>،</w:t>
      </w:r>
      <w:r w:rsidR="009C32A0">
        <w:rPr>
          <w:rFonts w:hint="cs"/>
          <w:rtl/>
          <w:lang w:bidi="ar-KW"/>
        </w:rPr>
        <w:t xml:space="preserve"> وإذا لم يكن فوقه شيء ولا دونه شيء لم يكن في مكان)</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الأسماء والصفات (ص/ 400)</w:t>
      </w:r>
      <w:r>
        <w:rPr>
          <w:rFonts w:hint="cs"/>
          <w:rtl/>
          <w:lang w:bidi="ar-KW"/>
        </w:rPr>
        <w:t>]،</w:t>
      </w:r>
      <w:r w:rsidR="009C32A0">
        <w:rPr>
          <w:rFonts w:hint="cs"/>
          <w:rtl/>
          <w:lang w:bidi="ar-KW"/>
        </w:rPr>
        <w:t xml:space="preserve"> وقال الإمام أبو إسحاق الشيرازي (476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وأن استواءه ليس باستقرار ولا ملاصقة لأن الاستقرار والملاصقة صفة الأجسام المخلوقة</w:t>
      </w:r>
      <w:r>
        <w:rPr>
          <w:rFonts w:hint="cs"/>
          <w:rtl/>
          <w:lang w:bidi="ar-KW"/>
        </w:rPr>
        <w:t>،</w:t>
      </w:r>
      <w:r w:rsidR="009C32A0">
        <w:rPr>
          <w:rFonts w:hint="cs"/>
          <w:rtl/>
          <w:lang w:bidi="ar-KW"/>
        </w:rPr>
        <w:t xml:space="preserve"> والرب عز وجل قديم أزلي</w:t>
      </w:r>
      <w:r>
        <w:rPr>
          <w:rFonts w:hint="cs"/>
          <w:rtl/>
          <w:lang w:bidi="ar-KW"/>
        </w:rPr>
        <w:t>،</w:t>
      </w:r>
      <w:r w:rsidR="009C32A0">
        <w:rPr>
          <w:rFonts w:hint="cs"/>
          <w:rtl/>
          <w:lang w:bidi="ar-KW"/>
        </w:rPr>
        <w:t xml:space="preserve"> فدل على أنه كان ولا مكان ثم خلق المكان وهو على ما عليه كان " اهـ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شرح اللمع</w:t>
      </w:r>
      <w:r>
        <w:rPr>
          <w:rFonts w:hint="cs"/>
          <w:rtl/>
          <w:lang w:bidi="ar-KW"/>
        </w:rPr>
        <w:t>:</w:t>
      </w:r>
      <w:r w:rsidR="009C32A0">
        <w:rPr>
          <w:rFonts w:hint="cs"/>
          <w:rtl/>
          <w:lang w:bidi="ar-KW"/>
        </w:rPr>
        <w:t xml:space="preserve"> ج 1</w:t>
      </w:r>
      <w:r>
        <w:rPr>
          <w:rFonts w:hint="cs"/>
          <w:rtl/>
          <w:lang w:bidi="ar-KW"/>
        </w:rPr>
        <w:t>:</w:t>
      </w:r>
      <w:r w:rsidR="009C32A0">
        <w:rPr>
          <w:rFonts w:hint="cs"/>
          <w:rtl/>
          <w:lang w:bidi="ar-KW"/>
        </w:rPr>
        <w:t xml:space="preserve"> 101</w:t>
      </w:r>
      <w:r>
        <w:rPr>
          <w:rFonts w:hint="cs"/>
          <w:rtl/>
          <w:lang w:bidi="ar-KW"/>
        </w:rPr>
        <w:t>]،</w:t>
      </w:r>
      <w:r w:rsidR="009C32A0">
        <w:rPr>
          <w:rFonts w:hint="cs"/>
          <w:rtl/>
          <w:lang w:bidi="ar-KW"/>
        </w:rPr>
        <w:t xml:space="preserve"> وقال إمام الحرمين أبو المعالي الجويني (478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البارئ سبحانه وتعالى قائم بنفسه</w:t>
      </w:r>
      <w:r>
        <w:rPr>
          <w:rFonts w:hint="cs"/>
          <w:rtl/>
          <w:lang w:bidi="ar-KW"/>
        </w:rPr>
        <w:t>،</w:t>
      </w:r>
      <w:r w:rsidR="009C32A0">
        <w:rPr>
          <w:rFonts w:hint="cs"/>
          <w:rtl/>
          <w:lang w:bidi="ar-KW"/>
        </w:rPr>
        <w:t xml:space="preserve"> متعال عن الافتقار إلى محل يحله أو مكان يقله</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الإرشاد إلى قواطع الأدلة (ص/ 53)</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مذهب أهل الحق قاطبة أن الله سبحانه وتعالى يتعالى عن التحيز والتخصص بالجهات</w:t>
      </w:r>
      <w:r>
        <w:rPr>
          <w:rFonts w:hint="cs"/>
          <w:rtl/>
          <w:lang w:bidi="ar-KW"/>
        </w:rPr>
        <w:t>)</w:t>
      </w:r>
      <w:r w:rsidR="009C32A0">
        <w:rPr>
          <w:rFonts w:hint="cs"/>
          <w:rtl/>
          <w:lang w:bidi="ar-KW"/>
        </w:rPr>
        <w:t xml:space="preserve"> أهـ [الإرشاد (ص/ 58)</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واعلموا أن مذهب أهل الحق</w:t>
      </w:r>
      <w:r>
        <w:rPr>
          <w:rFonts w:hint="cs"/>
          <w:rtl/>
          <w:lang w:bidi="ar-KW"/>
        </w:rPr>
        <w:t>:</w:t>
      </w:r>
      <w:r w:rsidR="009C32A0">
        <w:rPr>
          <w:rFonts w:hint="cs"/>
          <w:rtl/>
          <w:lang w:bidi="ar-KW"/>
        </w:rPr>
        <w:t xml:space="preserve"> أن الرب سبحانه وتعالى يتقدس عن شغل حيز</w:t>
      </w:r>
      <w:r>
        <w:rPr>
          <w:rFonts w:hint="cs"/>
          <w:rtl/>
          <w:lang w:bidi="ar-KW"/>
        </w:rPr>
        <w:t>،</w:t>
      </w:r>
      <w:r w:rsidR="009C32A0">
        <w:rPr>
          <w:rFonts w:hint="cs"/>
          <w:rtl/>
          <w:lang w:bidi="ar-KW"/>
        </w:rPr>
        <w:t xml:space="preserve"> وبتنزه عن الاختصاص بجهة</w:t>
      </w:r>
      <w:r>
        <w:rPr>
          <w:rFonts w:hint="cs"/>
          <w:rtl/>
          <w:lang w:bidi="ar-KW"/>
        </w:rPr>
        <w:t>،</w:t>
      </w:r>
      <w:r w:rsidR="009C32A0">
        <w:rPr>
          <w:rFonts w:hint="cs"/>
          <w:rtl/>
          <w:lang w:bidi="ar-KW"/>
        </w:rPr>
        <w:t xml:space="preserve"> وذهبت المشبهة إلى أنه مختص بجهة فوق</w:t>
      </w:r>
      <w:r>
        <w:rPr>
          <w:rFonts w:hint="cs"/>
          <w:rtl/>
          <w:lang w:bidi="ar-KW"/>
        </w:rPr>
        <w:t>،</w:t>
      </w:r>
      <w:r w:rsidR="009C32A0">
        <w:rPr>
          <w:rFonts w:hint="cs"/>
          <w:rtl/>
          <w:lang w:bidi="ar-KW"/>
        </w:rPr>
        <w:t xml:space="preserve"> ثم افترقت </w:t>
      </w:r>
      <w:r w:rsidR="009C32A0">
        <w:rPr>
          <w:rFonts w:hint="cs"/>
          <w:rtl/>
          <w:lang w:bidi="ar-KW"/>
        </w:rPr>
        <w:lastRenderedPageBreak/>
        <w:t>ءاراؤهم بعد الاتفاق منهم على إثبات الجهة</w:t>
      </w:r>
      <w:r>
        <w:rPr>
          <w:rFonts w:hint="cs"/>
          <w:rtl/>
          <w:lang w:bidi="ar-KW"/>
        </w:rPr>
        <w:t>،</w:t>
      </w:r>
      <w:r w:rsidR="009C32A0">
        <w:rPr>
          <w:rFonts w:hint="cs"/>
          <w:rtl/>
          <w:lang w:bidi="ar-KW"/>
        </w:rPr>
        <w:t xml:space="preserve"> فصار غلاة المشبهة إلى أن الرب تعالى مماس للصفحة العليا من العرش وهو مماسه</w:t>
      </w:r>
      <w:r>
        <w:rPr>
          <w:rFonts w:hint="cs"/>
          <w:rtl/>
          <w:lang w:bidi="ar-KW"/>
        </w:rPr>
        <w:t>،</w:t>
      </w:r>
      <w:r w:rsidR="009C32A0">
        <w:rPr>
          <w:rFonts w:hint="cs"/>
          <w:rtl/>
          <w:lang w:bidi="ar-KW"/>
        </w:rPr>
        <w:t xml:space="preserve"> وجوزوا عليه التحول والانتقال وتبدل الجهات والحركات والسكنات</w:t>
      </w:r>
      <w:r>
        <w:rPr>
          <w:rFonts w:hint="cs"/>
          <w:rtl/>
          <w:lang w:bidi="ar-KW"/>
        </w:rPr>
        <w:t>،</w:t>
      </w:r>
      <w:r w:rsidR="009C32A0">
        <w:rPr>
          <w:rFonts w:hint="cs"/>
          <w:rtl/>
          <w:lang w:bidi="ar-KW"/>
        </w:rPr>
        <w:t xml:space="preserve"> وقد حكينا جملا من فضائح مذهبهم فيما تقدم" اهـ [الشامل في أصول الدين</w:t>
      </w:r>
      <w:r>
        <w:rPr>
          <w:rFonts w:hint="cs"/>
          <w:rtl/>
          <w:lang w:bidi="ar-KW"/>
        </w:rPr>
        <w:t>:</w:t>
      </w:r>
      <w:r w:rsidR="009C32A0">
        <w:rPr>
          <w:rFonts w:hint="cs"/>
          <w:rtl/>
          <w:lang w:bidi="ar-KW"/>
        </w:rPr>
        <w:t xml:space="preserve"> ص</w:t>
      </w:r>
      <w:r>
        <w:rPr>
          <w:rFonts w:hint="cs"/>
          <w:rtl/>
          <w:lang w:bidi="ar-KW"/>
        </w:rPr>
        <w:t xml:space="preserve">: </w:t>
      </w:r>
      <w:r w:rsidR="009C32A0">
        <w:rPr>
          <w:rFonts w:hint="cs"/>
          <w:rtl/>
          <w:lang w:bidi="ar-KW"/>
        </w:rPr>
        <w:t>511</w:t>
      </w:r>
      <w:r>
        <w:rPr>
          <w:rFonts w:hint="cs"/>
          <w:rtl/>
          <w:lang w:bidi="ar-KW"/>
        </w:rPr>
        <w:t>]،</w:t>
      </w:r>
      <w:r w:rsidR="009C32A0">
        <w:rPr>
          <w:rFonts w:hint="cs"/>
          <w:rtl/>
          <w:lang w:bidi="ar-KW"/>
        </w:rPr>
        <w:t xml:space="preserve"> وقال الإمام أبو حامد الغزالي (505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تعالى </w:t>
      </w:r>
      <w:r>
        <w:rPr>
          <w:rFonts w:hint="cs"/>
          <w:rtl/>
          <w:lang w:bidi="ar-KW"/>
        </w:rPr>
        <w:t>[</w:t>
      </w:r>
      <w:r w:rsidR="009C32A0">
        <w:rPr>
          <w:rFonts w:hint="cs"/>
          <w:rtl/>
          <w:lang w:bidi="ar-KW"/>
        </w:rPr>
        <w:t>الله</w:t>
      </w:r>
      <w:r>
        <w:rPr>
          <w:rFonts w:hint="cs"/>
          <w:rtl/>
          <w:lang w:bidi="ar-KW"/>
        </w:rPr>
        <w:t>]</w:t>
      </w:r>
      <w:r w:rsidR="009C32A0">
        <w:rPr>
          <w:rFonts w:hint="cs"/>
          <w:rtl/>
          <w:lang w:bidi="ar-KW"/>
        </w:rPr>
        <w:t xml:space="preserve"> عن أن يحويه مكان</w:t>
      </w:r>
      <w:r>
        <w:rPr>
          <w:rFonts w:hint="cs"/>
          <w:rtl/>
          <w:lang w:bidi="ar-KW"/>
        </w:rPr>
        <w:t>،</w:t>
      </w:r>
      <w:r w:rsidR="009C32A0">
        <w:rPr>
          <w:rFonts w:hint="cs"/>
          <w:rtl/>
          <w:lang w:bidi="ar-KW"/>
        </w:rPr>
        <w:t xml:space="preserve"> كما تقدس عن أن يحده زمان</w:t>
      </w:r>
      <w:r>
        <w:rPr>
          <w:rFonts w:hint="cs"/>
          <w:rtl/>
          <w:lang w:bidi="ar-KW"/>
        </w:rPr>
        <w:t>،</w:t>
      </w:r>
      <w:r w:rsidR="009C32A0">
        <w:rPr>
          <w:rFonts w:hint="cs"/>
          <w:rtl/>
          <w:lang w:bidi="ar-KW"/>
        </w:rPr>
        <w:t xml:space="preserve"> بل كان قبل أن خلق الزمان والمكان وهو الان على ما عليه كان</w:t>
      </w:r>
      <w:r>
        <w:rPr>
          <w:rFonts w:hint="cs"/>
          <w:rtl/>
          <w:lang w:bidi="ar-KW"/>
        </w:rPr>
        <w:t xml:space="preserve">) </w:t>
      </w:r>
      <w:r w:rsidR="009C32A0">
        <w:rPr>
          <w:rFonts w:hint="cs"/>
          <w:rtl/>
          <w:lang w:bidi="ar-KW"/>
        </w:rPr>
        <w:t>اهـ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إحياء علوم الدين</w:t>
      </w:r>
      <w:r>
        <w:rPr>
          <w:rFonts w:hint="cs"/>
          <w:rtl/>
          <w:lang w:bidi="ar-KW"/>
        </w:rPr>
        <w:t>:</w:t>
      </w:r>
      <w:r w:rsidR="009C32A0">
        <w:rPr>
          <w:rFonts w:hint="cs"/>
          <w:rtl/>
          <w:lang w:bidi="ar-KW"/>
        </w:rPr>
        <w:t xml:space="preserve"> كتاب قواعد العقائد</w:t>
      </w:r>
      <w:r>
        <w:rPr>
          <w:rFonts w:hint="cs"/>
          <w:rtl/>
          <w:lang w:bidi="ar-KW"/>
        </w:rPr>
        <w:t>،</w:t>
      </w:r>
      <w:r w:rsidR="009C32A0">
        <w:rPr>
          <w:rFonts w:hint="cs"/>
          <w:rtl/>
          <w:lang w:bidi="ar-KW"/>
        </w:rPr>
        <w:t xml:space="preserve"> (1/ 108)</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الأصل السابع</w:t>
      </w:r>
      <w:r>
        <w:rPr>
          <w:rFonts w:hint="cs"/>
          <w:rtl/>
          <w:lang w:bidi="ar-KW"/>
        </w:rPr>
        <w:t>:</w:t>
      </w:r>
      <w:r w:rsidR="009C32A0">
        <w:rPr>
          <w:rFonts w:hint="cs"/>
          <w:rtl/>
          <w:lang w:bidi="ar-KW"/>
        </w:rPr>
        <w:t xml:space="preserve"> العلم بأن الله تعالى منزه الذات عن الاختصاص بالجهات</w:t>
      </w:r>
      <w:r>
        <w:rPr>
          <w:rFonts w:hint="cs"/>
          <w:rtl/>
          <w:lang w:bidi="ar-KW"/>
        </w:rPr>
        <w:t>،</w:t>
      </w:r>
      <w:r w:rsidR="009C32A0">
        <w:rPr>
          <w:rFonts w:hint="cs"/>
          <w:rtl/>
          <w:lang w:bidi="ar-KW"/>
        </w:rPr>
        <w:t xml:space="preserve"> فإن الجهة إما فوق وإما أسفل وإما يمين وإما شمال أو قدّام أو خلف</w:t>
      </w:r>
      <w:r>
        <w:rPr>
          <w:rFonts w:hint="cs"/>
          <w:rtl/>
          <w:lang w:bidi="ar-KW"/>
        </w:rPr>
        <w:t>،</w:t>
      </w:r>
      <w:r w:rsidR="009C32A0">
        <w:rPr>
          <w:rFonts w:hint="cs"/>
          <w:rtl/>
          <w:lang w:bidi="ar-KW"/>
        </w:rPr>
        <w:t xml:space="preserve"> وهذه الجهات هو الذي خلقها وأحدثها بواسطة خلق الإنسان إذ خلق له طرفين أحدهما يعتمد على الأرض ويسمى رجلا</w:t>
      </w:r>
      <w:r>
        <w:rPr>
          <w:rFonts w:hint="cs"/>
          <w:rtl/>
          <w:lang w:bidi="ar-KW"/>
        </w:rPr>
        <w:t>،</w:t>
      </w:r>
      <w:r w:rsidR="009C32A0">
        <w:rPr>
          <w:rFonts w:hint="cs"/>
          <w:rtl/>
          <w:lang w:bidi="ar-KW"/>
        </w:rPr>
        <w:t xml:space="preserve"> والاخر يقابله ويسمى رأسا</w:t>
      </w:r>
      <w:r>
        <w:rPr>
          <w:rFonts w:hint="cs"/>
          <w:rtl/>
          <w:lang w:bidi="ar-KW"/>
        </w:rPr>
        <w:t>،</w:t>
      </w:r>
      <w:r w:rsidR="009C32A0">
        <w:rPr>
          <w:rFonts w:hint="cs"/>
          <w:rtl/>
          <w:lang w:bidi="ar-KW"/>
        </w:rPr>
        <w:t xml:space="preserve"> فحدث اسم الفوق لما يلي جهة الرأس واسم السفل لما يلي جهة الرِّجل</w:t>
      </w:r>
      <w:r>
        <w:rPr>
          <w:rFonts w:hint="cs"/>
          <w:rtl/>
          <w:lang w:bidi="ar-KW"/>
        </w:rPr>
        <w:t>،</w:t>
      </w:r>
      <w:r w:rsidR="009C32A0">
        <w:rPr>
          <w:rFonts w:hint="cs"/>
          <w:rtl/>
          <w:lang w:bidi="ar-KW"/>
        </w:rPr>
        <w:t xml:space="preserve"> حتى إن النملة التي تدب منكسة تحت السقف تنقلب جهة الفوق في حقها تحت وإن كان في حقنا فوقًا</w:t>
      </w:r>
      <w:r>
        <w:rPr>
          <w:rFonts w:hint="cs"/>
          <w:rtl/>
          <w:lang w:bidi="ar-KW"/>
        </w:rPr>
        <w:t xml:space="preserve">، </w:t>
      </w:r>
      <w:r w:rsidR="009C32A0">
        <w:rPr>
          <w:rFonts w:hint="cs"/>
          <w:rtl/>
          <w:lang w:bidi="ar-KW"/>
        </w:rPr>
        <w:t>وخلق للإنسان اليدين وإحداهما أقوى من الأخرى في الغالب</w:t>
      </w:r>
      <w:r>
        <w:rPr>
          <w:rFonts w:hint="cs"/>
          <w:rtl/>
          <w:lang w:bidi="ar-KW"/>
        </w:rPr>
        <w:t>،</w:t>
      </w:r>
      <w:r w:rsidR="009C32A0">
        <w:rPr>
          <w:rFonts w:hint="cs"/>
          <w:rtl/>
          <w:lang w:bidi="ar-KW"/>
        </w:rPr>
        <w:t xml:space="preserve"> فحدث اسم اليمين للأقوى واسم الشمال لما يقابله وتسمى الجهة التي تلي اليمين يمينا والأخرى شمالا</w:t>
      </w:r>
      <w:r>
        <w:rPr>
          <w:rFonts w:hint="cs"/>
          <w:rtl/>
          <w:lang w:bidi="ar-KW"/>
        </w:rPr>
        <w:t>،</w:t>
      </w:r>
      <w:r w:rsidR="009C32A0">
        <w:rPr>
          <w:rFonts w:hint="cs"/>
          <w:rtl/>
          <w:lang w:bidi="ar-KW"/>
        </w:rPr>
        <w:t xml:space="preserve"> وخلق له جانبين يبصر من أحدهما ويتحرّك إليه فحدث اسم القدّام للجهة التي يتقدم إليها بالحركة واسم الخلف لما يقابلها</w:t>
      </w:r>
      <w:r>
        <w:rPr>
          <w:rFonts w:hint="cs"/>
          <w:rtl/>
          <w:lang w:bidi="ar-KW"/>
        </w:rPr>
        <w:t>،</w:t>
      </w:r>
      <w:r w:rsidR="009C32A0">
        <w:rPr>
          <w:rFonts w:hint="cs"/>
          <w:rtl/>
          <w:lang w:bidi="ar-KW"/>
        </w:rPr>
        <w:t xml:space="preserve"> فالجهات حادثة بحدوث الإنسان</w:t>
      </w:r>
      <w:r>
        <w:rPr>
          <w:rFonts w:hint="cs"/>
          <w:rtl/>
          <w:lang w:bidi="ar-KW"/>
        </w:rPr>
        <w:t xml:space="preserve">، </w:t>
      </w:r>
      <w:r w:rsidR="009C32A0">
        <w:rPr>
          <w:rFonts w:hint="cs"/>
          <w:rtl/>
          <w:lang w:bidi="ar-KW"/>
        </w:rPr>
        <w:t>ثم قال</w:t>
      </w:r>
      <w:r>
        <w:rPr>
          <w:rFonts w:hint="cs"/>
          <w:rtl/>
          <w:lang w:bidi="ar-KW"/>
        </w:rPr>
        <w:t>:</w:t>
      </w:r>
      <w:r w:rsidR="009C32A0">
        <w:rPr>
          <w:rFonts w:hint="cs"/>
          <w:rtl/>
          <w:lang w:bidi="ar-KW"/>
        </w:rPr>
        <w:t xml:space="preserve"> "فكيف كان في الأزل مختصًا بجهة والجهة حادثة</w:t>
      </w:r>
      <w:r>
        <w:rPr>
          <w:rFonts w:hint="cs"/>
          <w:rtl/>
          <w:lang w:bidi="ar-KW"/>
        </w:rPr>
        <w:t>؟</w:t>
      </w:r>
      <w:r w:rsidR="009C32A0">
        <w:rPr>
          <w:rFonts w:hint="cs"/>
          <w:rtl/>
          <w:lang w:bidi="ar-KW"/>
        </w:rPr>
        <w:t xml:space="preserve"> أو كيف صار مختصا بجهة بعد أن لم يكن له</w:t>
      </w:r>
      <w:r>
        <w:rPr>
          <w:rFonts w:hint="cs"/>
          <w:rtl/>
          <w:lang w:bidi="ar-KW"/>
        </w:rPr>
        <w:t>؟</w:t>
      </w:r>
      <w:r w:rsidR="009C32A0">
        <w:rPr>
          <w:rFonts w:hint="cs"/>
          <w:rtl/>
          <w:lang w:bidi="ar-KW"/>
        </w:rPr>
        <w:t xml:space="preserve"> أبأن خلق العالم فوقه</w:t>
      </w:r>
      <w:r>
        <w:rPr>
          <w:rFonts w:hint="cs"/>
          <w:rtl/>
          <w:lang w:bidi="ar-KW"/>
        </w:rPr>
        <w:t>،</w:t>
      </w:r>
      <w:r w:rsidR="009C32A0">
        <w:rPr>
          <w:rFonts w:hint="cs"/>
          <w:rtl/>
          <w:lang w:bidi="ar-KW"/>
        </w:rPr>
        <w:t xml:space="preserve"> ويتعالى عن أن يكون له فوق إذ تعالى أن يكون له رأس</w:t>
      </w:r>
      <w:r>
        <w:rPr>
          <w:rFonts w:hint="cs"/>
          <w:rtl/>
          <w:lang w:bidi="ar-KW"/>
        </w:rPr>
        <w:t>،</w:t>
      </w:r>
      <w:r w:rsidR="009C32A0">
        <w:rPr>
          <w:rFonts w:hint="cs"/>
          <w:rtl/>
          <w:lang w:bidi="ar-KW"/>
        </w:rPr>
        <w:t xml:space="preserve"> والفوق عبارة عما يكون جهة الرأس</w:t>
      </w:r>
      <w:r>
        <w:rPr>
          <w:rFonts w:hint="cs"/>
          <w:rtl/>
          <w:lang w:bidi="ar-KW"/>
        </w:rPr>
        <w:t>،</w:t>
      </w:r>
      <w:r w:rsidR="009C32A0">
        <w:rPr>
          <w:rFonts w:hint="cs"/>
          <w:rtl/>
          <w:lang w:bidi="ar-KW"/>
        </w:rPr>
        <w:t xml:space="preserve"> أو خلق العالم تحته</w:t>
      </w:r>
      <w:r>
        <w:rPr>
          <w:rFonts w:hint="cs"/>
          <w:rtl/>
          <w:lang w:bidi="ar-KW"/>
        </w:rPr>
        <w:t>،</w:t>
      </w:r>
      <w:r w:rsidR="009C32A0">
        <w:rPr>
          <w:rFonts w:hint="cs"/>
          <w:rtl/>
          <w:lang w:bidi="ar-KW"/>
        </w:rPr>
        <w:t xml:space="preserve"> فتعالى عن أن يكون له تحت إذ تعالى عن أن يكون له رجل والتحت عبارة عما يلي جهة الرّجل</w:t>
      </w:r>
      <w:r>
        <w:rPr>
          <w:rFonts w:hint="cs"/>
          <w:rtl/>
          <w:lang w:bidi="ar-KW"/>
        </w:rPr>
        <w:t>:</w:t>
      </w:r>
      <w:r w:rsidR="009C32A0">
        <w:rPr>
          <w:rFonts w:hint="cs"/>
          <w:rtl/>
          <w:lang w:bidi="ar-KW"/>
        </w:rPr>
        <w:t xml:space="preserve"> وكل ذلك مما يستحيل في العقل ولأن المعقول من كونه مختصّا بجهة أنه مختص بحيز اختصاص الجواهر أو مختص بالجواهر اختصاص العرض</w:t>
      </w:r>
      <w:r>
        <w:rPr>
          <w:rFonts w:hint="cs"/>
          <w:rtl/>
          <w:lang w:bidi="ar-KW"/>
        </w:rPr>
        <w:t>،</w:t>
      </w:r>
      <w:r w:rsidR="009C32A0">
        <w:rPr>
          <w:rFonts w:hint="cs"/>
          <w:rtl/>
          <w:lang w:bidi="ar-KW"/>
        </w:rPr>
        <w:t xml:space="preserve"> وقد ظهر استحالة كونه جوهرا أو عرضا فاستحال كونه مختصًا بالجهة</w:t>
      </w:r>
      <w:r>
        <w:rPr>
          <w:rFonts w:hint="cs"/>
          <w:rtl/>
          <w:lang w:bidi="ar-KW"/>
        </w:rPr>
        <w:t>:</w:t>
      </w:r>
      <w:r w:rsidR="009C32A0">
        <w:rPr>
          <w:rFonts w:hint="cs"/>
          <w:rtl/>
          <w:lang w:bidi="ar-KW"/>
        </w:rPr>
        <w:t xml:space="preserve"> وإن اريد بالجهة غير هذين المعنيين كان غلطا في الاسم مع المساعدة على المعنى ولأنه لو كان فوق العالم لكان محاذيا له</w:t>
      </w:r>
      <w:r>
        <w:rPr>
          <w:rFonts w:hint="cs"/>
          <w:rtl/>
          <w:lang w:bidi="ar-KW"/>
        </w:rPr>
        <w:t>،</w:t>
      </w:r>
      <w:r w:rsidR="009C32A0">
        <w:rPr>
          <w:rFonts w:hint="cs"/>
          <w:rtl/>
          <w:lang w:bidi="ar-KW"/>
        </w:rPr>
        <w:t xml:space="preserve"> وكل محاذ لجسم فإما أن يكون مثله أو أصغر منه أو أكبر وكل ذلك تقدير محوج بالضرورة إلى مقدّر ويتعالى عنه الخالق الواحد المدبّر</w:t>
      </w:r>
      <w:r>
        <w:rPr>
          <w:rFonts w:hint="cs"/>
          <w:rtl/>
          <w:lang w:bidi="ar-KW"/>
        </w:rPr>
        <w:t>،</w:t>
      </w:r>
      <w:r w:rsidR="009C32A0">
        <w:rPr>
          <w:rFonts w:hint="cs"/>
          <w:rtl/>
          <w:lang w:bidi="ar-KW"/>
        </w:rPr>
        <w:t xml:space="preserve"> فأما رفع الأيدي عند السؤال إلى جهة السماء فهو لأنها قبلة الدعاء</w:t>
      </w:r>
      <w:r>
        <w:rPr>
          <w:rFonts w:hint="cs"/>
          <w:rtl/>
          <w:lang w:bidi="ar-KW"/>
        </w:rPr>
        <w:t>،</w:t>
      </w:r>
      <w:r w:rsidR="009C32A0">
        <w:rPr>
          <w:rFonts w:hint="cs"/>
          <w:rtl/>
          <w:lang w:bidi="ar-KW"/>
        </w:rPr>
        <w:t xml:space="preserve"> وفيه أيضا اشاره إلى ما هو وصف للمدعو من الجلال و الكبرياء تنبيها بقصد جهة العلو على صفة المجد والعلاء</w:t>
      </w:r>
      <w:r>
        <w:rPr>
          <w:rFonts w:hint="cs"/>
          <w:rtl/>
          <w:lang w:bidi="ar-KW"/>
        </w:rPr>
        <w:t>،</w:t>
      </w:r>
      <w:r w:rsidR="009C32A0">
        <w:rPr>
          <w:rFonts w:hint="cs"/>
          <w:rtl/>
          <w:lang w:bidi="ar-KW"/>
        </w:rPr>
        <w:t xml:space="preserve"> فإنه تعالى فوق كل موجود بالقهر والاستيلاء" اهـ [إحياء علوم الدين</w:t>
      </w:r>
      <w:r>
        <w:rPr>
          <w:rFonts w:hint="cs"/>
          <w:rtl/>
          <w:lang w:bidi="ar-KW"/>
        </w:rPr>
        <w:t>:</w:t>
      </w:r>
      <w:r w:rsidR="009C32A0">
        <w:rPr>
          <w:rFonts w:hint="cs"/>
          <w:rtl/>
          <w:lang w:bidi="ar-KW"/>
        </w:rPr>
        <w:t xml:space="preserve"> (1/ 128)</w:t>
      </w:r>
      <w:r>
        <w:rPr>
          <w:rFonts w:hint="cs"/>
          <w:rtl/>
          <w:lang w:bidi="ar-KW"/>
        </w:rPr>
        <w:t>]،</w:t>
      </w:r>
      <w:r w:rsidR="009C32A0">
        <w:rPr>
          <w:rFonts w:hint="cs"/>
          <w:rtl/>
          <w:lang w:bidi="ar-KW"/>
        </w:rPr>
        <w:t xml:space="preserve"> وقال القاضي أبو بكر بن العربي المالكي الأندلسي (543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البارئ تعالى يتقدس عن أن يُحَدّ بالجهات </w:t>
      </w:r>
      <w:r w:rsidR="009C32A0">
        <w:rPr>
          <w:rFonts w:hint="cs"/>
          <w:rtl/>
          <w:lang w:bidi="ar-KW"/>
        </w:rPr>
        <w:lastRenderedPageBreak/>
        <w:t>أو تكتنفه الأقطار</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القبس في شرح الموطأ</w:t>
      </w:r>
      <w:r>
        <w:rPr>
          <w:rFonts w:hint="cs"/>
          <w:rtl/>
          <w:lang w:bidi="ar-KW"/>
        </w:rPr>
        <w:t>:</w:t>
      </w:r>
      <w:r w:rsidR="009C32A0">
        <w:rPr>
          <w:rFonts w:hint="cs"/>
          <w:rtl/>
          <w:lang w:bidi="ar-KW"/>
        </w:rPr>
        <w:t xml:space="preserve"> ج 1</w:t>
      </w:r>
      <w:r>
        <w:rPr>
          <w:rFonts w:hint="cs"/>
          <w:rtl/>
          <w:lang w:bidi="ar-KW"/>
        </w:rPr>
        <w:t>:</w:t>
      </w:r>
      <w:r w:rsidR="009C32A0">
        <w:rPr>
          <w:rFonts w:hint="cs"/>
          <w:rtl/>
          <w:lang w:bidi="ar-KW"/>
        </w:rPr>
        <w:t xml:space="preserve"> 395</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إن الله سبحانه منزه عن الحركـة والانتقال لأنه لا يحويه مكان كما لا يشتمل عليه زمان</w:t>
      </w:r>
      <w:r>
        <w:rPr>
          <w:rFonts w:hint="cs"/>
          <w:rtl/>
          <w:lang w:bidi="ar-KW"/>
        </w:rPr>
        <w:t>،</w:t>
      </w:r>
      <w:r w:rsidR="009C32A0">
        <w:rPr>
          <w:rFonts w:hint="cs"/>
          <w:rtl/>
          <w:lang w:bidi="ar-KW"/>
        </w:rPr>
        <w:t xml:space="preserve"> ولا يشغل حيزا كما لا يدنو إلى مسافة بشيء</w:t>
      </w:r>
      <w:r>
        <w:rPr>
          <w:rFonts w:hint="cs"/>
          <w:rtl/>
          <w:lang w:bidi="ar-KW"/>
        </w:rPr>
        <w:t>،</w:t>
      </w:r>
      <w:r w:rsidR="009C32A0">
        <w:rPr>
          <w:rFonts w:hint="cs"/>
          <w:rtl/>
          <w:lang w:bidi="ar-KW"/>
        </w:rPr>
        <w:t xml:space="preserve"> متقدس الذات عن الآفات منزه عن التغيير</w:t>
      </w:r>
      <w:r>
        <w:rPr>
          <w:rFonts w:hint="cs"/>
          <w:rtl/>
          <w:lang w:bidi="ar-KW"/>
        </w:rPr>
        <w:t>،</w:t>
      </w:r>
      <w:r w:rsidR="009C32A0">
        <w:rPr>
          <w:rFonts w:hint="cs"/>
          <w:rtl/>
          <w:lang w:bidi="ar-KW"/>
        </w:rPr>
        <w:t xml:space="preserve"> وهذه عقيدة مستقرة في القلوب ثابتة بواضح الدليل</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القبس في شرح الموطأ</w:t>
      </w:r>
      <w:r>
        <w:rPr>
          <w:rFonts w:hint="cs"/>
          <w:rtl/>
          <w:lang w:bidi="ar-KW"/>
        </w:rPr>
        <w:t>:</w:t>
      </w:r>
      <w:r w:rsidR="009C32A0">
        <w:rPr>
          <w:rFonts w:hint="cs"/>
          <w:rtl/>
          <w:lang w:bidi="ar-KW"/>
        </w:rPr>
        <w:t xml:space="preserve"> ج 1</w:t>
      </w:r>
      <w:r>
        <w:rPr>
          <w:rFonts w:hint="cs"/>
          <w:rtl/>
          <w:lang w:bidi="ar-KW"/>
        </w:rPr>
        <w:t>:</w:t>
      </w:r>
      <w:r w:rsidR="009C32A0">
        <w:rPr>
          <w:rFonts w:hint="cs"/>
          <w:rtl/>
          <w:lang w:bidi="ar-KW"/>
        </w:rPr>
        <w:t xml:space="preserve"> 289</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الله تعالى يتقدس عن أن يحد بالجهات</w:t>
      </w:r>
      <w:r>
        <w:rPr>
          <w:rFonts w:hint="cs"/>
          <w:rtl/>
          <w:lang w:bidi="ar-KW"/>
        </w:rPr>
        <w:t>)</w:t>
      </w:r>
      <w:r w:rsidR="009C32A0">
        <w:rPr>
          <w:rFonts w:hint="cs"/>
          <w:rtl/>
          <w:lang w:bidi="ar-KW"/>
        </w:rPr>
        <w:t xml:space="preserve"> أهـ </w:t>
      </w:r>
      <w:r>
        <w:rPr>
          <w:rFonts w:hint="cs"/>
          <w:rtl/>
          <w:lang w:bidi="ar-KW"/>
        </w:rPr>
        <w:t>[</w:t>
      </w:r>
      <w:r w:rsidR="009C32A0">
        <w:rPr>
          <w:rFonts w:hint="cs"/>
          <w:rtl/>
          <w:lang w:bidi="ar-KW"/>
        </w:rPr>
        <w:t>القبس في شرح الموطأ</w:t>
      </w:r>
      <w:r>
        <w:rPr>
          <w:rFonts w:hint="cs"/>
          <w:rtl/>
          <w:lang w:bidi="ar-KW"/>
        </w:rPr>
        <w:t>:</w:t>
      </w:r>
      <w:r w:rsidR="009C32A0">
        <w:rPr>
          <w:rFonts w:hint="cs"/>
          <w:rtl/>
          <w:lang w:bidi="ar-KW"/>
        </w:rPr>
        <w:t xml:space="preserve"> ج 1</w:t>
      </w:r>
      <w:r>
        <w:rPr>
          <w:rFonts w:hint="cs"/>
          <w:rtl/>
          <w:lang w:bidi="ar-KW"/>
        </w:rPr>
        <w:t>:</w:t>
      </w:r>
      <w:r w:rsidR="009C32A0">
        <w:rPr>
          <w:rFonts w:hint="cs"/>
          <w:rtl/>
          <w:lang w:bidi="ar-KW"/>
        </w:rPr>
        <w:t xml:space="preserve"> 395</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وان علم الله لا يحل في مكان ولا ينتسب إلى جهة</w:t>
      </w:r>
      <w:r>
        <w:rPr>
          <w:rFonts w:hint="cs"/>
          <w:rtl/>
          <w:lang w:bidi="ar-KW"/>
        </w:rPr>
        <w:t>،</w:t>
      </w:r>
      <w:r w:rsidR="009C32A0">
        <w:rPr>
          <w:rFonts w:hint="cs"/>
          <w:rtl/>
          <w:lang w:bidi="ar-KW"/>
        </w:rPr>
        <w:t xml:space="preserve"> كما أنه سبحانه كذلك</w:t>
      </w:r>
      <w:r>
        <w:rPr>
          <w:rFonts w:hint="cs"/>
          <w:rtl/>
          <w:lang w:bidi="ar-KW"/>
        </w:rPr>
        <w:t>،</w:t>
      </w:r>
      <w:r w:rsidR="009C32A0">
        <w:rPr>
          <w:rFonts w:hint="cs"/>
          <w:rtl/>
          <w:lang w:bidi="ar-KW"/>
        </w:rPr>
        <w:t xml:space="preserve"> لكنه يعلم كل شيء في كل موضع وعلى</w:t>
      </w:r>
      <w:r>
        <w:rPr>
          <w:rFonts w:hint="cs"/>
          <w:rtl/>
          <w:lang w:bidi="ar-KW"/>
        </w:rPr>
        <w:t xml:space="preserve"> </w:t>
      </w:r>
      <w:r w:rsidR="009C32A0">
        <w:rPr>
          <w:rFonts w:hint="cs"/>
          <w:rtl/>
          <w:lang w:bidi="ar-KW"/>
        </w:rPr>
        <w:t>كل حال</w:t>
      </w:r>
      <w:r>
        <w:rPr>
          <w:rFonts w:hint="cs"/>
          <w:rtl/>
          <w:lang w:bidi="ar-KW"/>
        </w:rPr>
        <w:t>،</w:t>
      </w:r>
      <w:r w:rsidR="009C32A0">
        <w:rPr>
          <w:rFonts w:hint="cs"/>
          <w:rtl/>
          <w:lang w:bidi="ar-KW"/>
        </w:rPr>
        <w:t xml:space="preserve"> فما كان فهو بعلم الله لا يشذ عنه شيء ولا يعزب عن علمه موجود ولا معدوم</w:t>
      </w:r>
      <w:r>
        <w:rPr>
          <w:rFonts w:hint="cs"/>
          <w:rtl/>
          <w:lang w:bidi="ar-KW"/>
        </w:rPr>
        <w:t>،</w:t>
      </w:r>
      <w:r w:rsidR="009C32A0">
        <w:rPr>
          <w:rFonts w:hint="cs"/>
          <w:rtl/>
          <w:lang w:bidi="ar-KW"/>
        </w:rPr>
        <w:t xml:space="preserve"> والمقصود من الخبر أن نسبة البارئ من الجهات إلى فوق كنسبته إلى تحت</w:t>
      </w:r>
      <w:r>
        <w:rPr>
          <w:rFonts w:hint="cs"/>
          <w:rtl/>
          <w:lang w:bidi="ar-KW"/>
        </w:rPr>
        <w:t>،</w:t>
      </w:r>
      <w:r w:rsidR="009C32A0">
        <w:rPr>
          <w:rFonts w:hint="cs"/>
          <w:rtl/>
          <w:lang w:bidi="ar-KW"/>
        </w:rPr>
        <w:t xml:space="preserve"> إذ لا ينسب إلى الكون في واحدة منهما بذاته " اهـ</w:t>
      </w:r>
      <w:r>
        <w:rPr>
          <w:rFonts w:hint="cs"/>
          <w:rtl/>
          <w:lang w:bidi="ar-KW"/>
        </w:rPr>
        <w:t>، [</w:t>
      </w:r>
      <w:r w:rsidR="009C32A0">
        <w:rPr>
          <w:rFonts w:hint="cs"/>
          <w:rtl/>
          <w:lang w:bidi="ar-KW"/>
        </w:rPr>
        <w:t>عارضة الأحوذي بشرح سنن الترمذي</w:t>
      </w:r>
      <w:r>
        <w:rPr>
          <w:rFonts w:hint="cs"/>
          <w:rtl/>
          <w:lang w:bidi="ar-KW"/>
        </w:rPr>
        <w:t>:</w:t>
      </w:r>
      <w:r w:rsidR="009C32A0">
        <w:rPr>
          <w:rFonts w:hint="cs"/>
          <w:rtl/>
          <w:lang w:bidi="ar-KW"/>
        </w:rPr>
        <w:t xml:space="preserve"> ج 12</w:t>
      </w:r>
      <w:r>
        <w:rPr>
          <w:rFonts w:hint="cs"/>
          <w:rtl/>
          <w:lang w:bidi="ar-KW"/>
        </w:rPr>
        <w:t>:</w:t>
      </w:r>
      <w:r w:rsidR="009C32A0">
        <w:rPr>
          <w:rFonts w:hint="cs"/>
          <w:rtl/>
          <w:lang w:bidi="ar-KW"/>
        </w:rPr>
        <w:t xml:space="preserve"> 184</w:t>
      </w:r>
      <w:r>
        <w:rPr>
          <w:rFonts w:hint="cs"/>
          <w:rtl/>
          <w:lang w:bidi="ar-KW"/>
        </w:rPr>
        <w:t>]،</w:t>
      </w:r>
      <w:r w:rsidR="009C32A0">
        <w:rPr>
          <w:rFonts w:hint="cs"/>
          <w:rtl/>
          <w:lang w:bidi="ar-KW"/>
        </w:rPr>
        <w:t xml:space="preserve"> وقال القاضي عياض المالكي (544</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اعلم أن ما وقع من إضافة الدنو والقرب هنا من الله او إلى الله فليس بدنو مكان ولا قُرب مدى</w:t>
      </w:r>
      <w:r>
        <w:rPr>
          <w:rFonts w:hint="cs"/>
          <w:rtl/>
          <w:lang w:bidi="ar-KW"/>
        </w:rPr>
        <w:t>،</w:t>
      </w:r>
      <w:r w:rsidR="009C32A0">
        <w:rPr>
          <w:rFonts w:hint="cs"/>
          <w:rtl/>
          <w:lang w:bidi="ar-KW"/>
        </w:rPr>
        <w:t xml:space="preserve"> بل كما ذكرنا عن جعفر بن محمد الصادق</w:t>
      </w:r>
      <w:r>
        <w:rPr>
          <w:rFonts w:hint="cs"/>
          <w:rtl/>
          <w:lang w:bidi="ar-KW"/>
        </w:rPr>
        <w:t>:</w:t>
      </w:r>
      <w:r w:rsidR="009C32A0">
        <w:rPr>
          <w:rFonts w:hint="cs"/>
          <w:rtl/>
          <w:lang w:bidi="ar-KW"/>
        </w:rPr>
        <w:t xml:space="preserve"> ليس بدُنو حد</w:t>
      </w:r>
      <w:r>
        <w:rPr>
          <w:rFonts w:hint="cs"/>
          <w:rtl/>
          <w:lang w:bidi="ar-KW"/>
        </w:rPr>
        <w:t>،</w:t>
      </w:r>
      <w:r w:rsidR="009C32A0">
        <w:rPr>
          <w:rFonts w:hint="cs"/>
          <w:rtl/>
          <w:lang w:bidi="ar-KW"/>
        </w:rPr>
        <w:t xml:space="preserve"> صفة المجد والعلاء</w:t>
      </w:r>
      <w:r>
        <w:rPr>
          <w:rFonts w:hint="cs"/>
          <w:rtl/>
          <w:lang w:bidi="ar-KW"/>
        </w:rPr>
        <w:t>،</w:t>
      </w:r>
      <w:r w:rsidR="009C32A0">
        <w:rPr>
          <w:rFonts w:hint="cs"/>
          <w:rtl/>
          <w:lang w:bidi="ar-KW"/>
        </w:rPr>
        <w:t xml:space="preserve"> فإنه تعالى فوق كل موجود بالقهر والاستيلاء</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الشفا</w:t>
      </w:r>
      <w:r>
        <w:rPr>
          <w:rFonts w:hint="cs"/>
          <w:rtl/>
          <w:lang w:bidi="ar-KW"/>
        </w:rPr>
        <w:t>:</w:t>
      </w:r>
      <w:r w:rsidR="009C32A0">
        <w:rPr>
          <w:rFonts w:hint="cs"/>
          <w:rtl/>
          <w:lang w:bidi="ar-KW"/>
        </w:rPr>
        <w:t xml:space="preserve"> ج1</w:t>
      </w:r>
      <w:r>
        <w:rPr>
          <w:rFonts w:hint="cs"/>
          <w:rtl/>
          <w:lang w:bidi="ar-KW"/>
        </w:rPr>
        <w:t>:</w:t>
      </w:r>
      <w:r w:rsidR="009C32A0">
        <w:rPr>
          <w:rFonts w:hint="cs"/>
          <w:rtl/>
          <w:lang w:bidi="ar-KW"/>
        </w:rPr>
        <w:t xml:space="preserve"> 205</w:t>
      </w:r>
      <w:r>
        <w:rPr>
          <w:rFonts w:hint="cs"/>
          <w:rtl/>
          <w:lang w:bidi="ar-KW"/>
        </w:rPr>
        <w:t>]،</w:t>
      </w:r>
      <w:r w:rsidR="009C32A0">
        <w:rPr>
          <w:rFonts w:hint="cs"/>
          <w:rtl/>
          <w:lang w:bidi="ar-KW"/>
        </w:rPr>
        <w:t xml:space="preserve"> وقال الإمام الشهرستاني (548هـ)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فمذهب أهل الحق أن الله سبحانه لا يشبه شيئا من المخلوقات ولا يشبهه شيء منها بوجه من وجوه المشابهة والمماثلة </w:t>
      </w:r>
      <w:r>
        <w:rPr>
          <w:rFonts w:hint="cs"/>
          <w:rtl/>
          <w:lang w:bidi="ar-KW"/>
        </w:rPr>
        <w:t>{</w:t>
      </w:r>
      <w:r w:rsidR="009C32A0">
        <w:rPr>
          <w:rFonts w:hint="cs"/>
          <w:rtl/>
          <w:lang w:bidi="ar-KW"/>
        </w:rPr>
        <w:t>لَيْسَ كَمِثْلِهِ شَيْءٌ وَهُوَ السَّمِيعُ البَصِيرُ</w:t>
      </w:r>
      <w:r>
        <w:rPr>
          <w:rFonts w:hint="cs"/>
          <w:rtl/>
          <w:lang w:bidi="ar-KW"/>
        </w:rPr>
        <w:t>}،</w:t>
      </w:r>
      <w:r w:rsidR="009C32A0">
        <w:rPr>
          <w:rFonts w:hint="cs"/>
          <w:rtl/>
          <w:lang w:bidi="ar-KW"/>
        </w:rPr>
        <w:t xml:space="preserve"> فليس البارئ سبحانه بجوهر ولا جسم ولا عرض ولا في مكان ولا في زمان</w:t>
      </w:r>
      <w:r>
        <w:rPr>
          <w:rFonts w:hint="cs"/>
          <w:rtl/>
          <w:lang w:bidi="ar-KW"/>
        </w:rPr>
        <w:t xml:space="preserve">) </w:t>
      </w:r>
      <w:r w:rsidR="009C32A0">
        <w:rPr>
          <w:rFonts w:hint="cs"/>
          <w:rtl/>
          <w:lang w:bidi="ar-KW"/>
        </w:rPr>
        <w:t>اهـ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نهاية الأقدام ص/ 103]</w:t>
      </w:r>
      <w:r>
        <w:rPr>
          <w:rFonts w:hint="cs"/>
          <w:rtl/>
          <w:lang w:bidi="ar-KW"/>
        </w:rPr>
        <w:t>،</w:t>
      </w:r>
      <w:r w:rsidR="009C32A0">
        <w:rPr>
          <w:rFonts w:hint="cs"/>
          <w:rtl/>
          <w:lang w:bidi="ar-KW"/>
        </w:rPr>
        <w:t xml:space="preserve"> وقال الإمام الحافظ ابن الجوزي الحنبلي (597هـ)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الواجب علينا أن نعتقد أن ذات الله تعالى لا يحويه مكان ولا يوصف بالتغيّر والانتقال)</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دفع شبه التشبيه (ص/58)</w:t>
      </w:r>
      <w:r>
        <w:rPr>
          <w:rFonts w:hint="cs"/>
          <w:rtl/>
          <w:lang w:bidi="ar-KW"/>
        </w:rPr>
        <w:t>]،</w:t>
      </w:r>
      <w:r w:rsidR="009C32A0">
        <w:rPr>
          <w:rFonts w:hint="cs"/>
          <w:rtl/>
          <w:lang w:bidi="ar-KW"/>
        </w:rPr>
        <w:t xml:space="preserve"> وقال في صيد الخاطر</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فترى أقوامًا يسمعون أخبار الصفات فيحملونها على ما يقتضيه الحس</w:t>
      </w:r>
      <w:r>
        <w:rPr>
          <w:rFonts w:hint="cs"/>
          <w:rtl/>
          <w:lang w:bidi="ar-KW"/>
        </w:rPr>
        <w:t>،</w:t>
      </w:r>
      <w:r w:rsidR="009C32A0">
        <w:rPr>
          <w:rFonts w:hint="cs"/>
          <w:rtl/>
          <w:lang w:bidi="ar-KW"/>
        </w:rPr>
        <w:t xml:space="preserve"> كقول قائلهم</w:t>
      </w:r>
      <w:r>
        <w:rPr>
          <w:rFonts w:hint="cs"/>
          <w:rtl/>
          <w:lang w:bidi="ar-KW"/>
        </w:rPr>
        <w:t>:</w:t>
      </w:r>
      <w:r w:rsidR="009C32A0">
        <w:rPr>
          <w:rFonts w:hint="cs"/>
          <w:rtl/>
          <w:lang w:bidi="ar-KW"/>
        </w:rPr>
        <w:t xml:space="preserve"> ينزل بذاته إلى السماء وينتقل</w:t>
      </w:r>
      <w:r>
        <w:rPr>
          <w:rFonts w:hint="cs"/>
          <w:rtl/>
          <w:lang w:bidi="ar-KW"/>
        </w:rPr>
        <w:t>،</w:t>
      </w:r>
      <w:r w:rsidR="009C32A0">
        <w:rPr>
          <w:rFonts w:hint="cs"/>
          <w:rtl/>
          <w:lang w:bidi="ar-KW"/>
        </w:rPr>
        <w:t xml:space="preserve"> وهذا فهم رديء</w:t>
      </w:r>
      <w:r>
        <w:rPr>
          <w:rFonts w:hint="cs"/>
          <w:rtl/>
          <w:lang w:bidi="ar-KW"/>
        </w:rPr>
        <w:t>،</w:t>
      </w:r>
      <w:r w:rsidR="009C32A0">
        <w:rPr>
          <w:rFonts w:hint="cs"/>
          <w:rtl/>
          <w:lang w:bidi="ar-KW"/>
        </w:rPr>
        <w:t xml:space="preserve"> لأن المنتقل يكون من مكان إلى مكان</w:t>
      </w:r>
      <w:r>
        <w:rPr>
          <w:rFonts w:hint="cs"/>
          <w:rtl/>
          <w:lang w:bidi="ar-KW"/>
        </w:rPr>
        <w:t>،</w:t>
      </w:r>
      <w:r w:rsidR="009C32A0">
        <w:rPr>
          <w:rFonts w:hint="cs"/>
          <w:rtl/>
          <w:lang w:bidi="ar-KW"/>
        </w:rPr>
        <w:t xml:space="preserve"> ويوجب ذلك كون المكان أكبر منه</w:t>
      </w:r>
      <w:r>
        <w:rPr>
          <w:rFonts w:hint="cs"/>
          <w:rtl/>
          <w:lang w:bidi="ar-KW"/>
        </w:rPr>
        <w:t>،</w:t>
      </w:r>
      <w:r w:rsidR="009C32A0">
        <w:rPr>
          <w:rFonts w:hint="cs"/>
          <w:rtl/>
          <w:lang w:bidi="ar-KW"/>
        </w:rPr>
        <w:t xml:space="preserve"> ويلزم منه الحركة</w:t>
      </w:r>
      <w:r>
        <w:rPr>
          <w:rFonts w:hint="cs"/>
          <w:rtl/>
          <w:lang w:bidi="ar-KW"/>
        </w:rPr>
        <w:t>،</w:t>
      </w:r>
      <w:r w:rsidR="009C32A0">
        <w:rPr>
          <w:rFonts w:hint="cs"/>
          <w:rtl/>
          <w:lang w:bidi="ar-KW"/>
        </w:rPr>
        <w:t xml:space="preserve"> وكل ذلك محال على الحق عز وجل) اهـ </w:t>
      </w:r>
      <w:r>
        <w:rPr>
          <w:rFonts w:hint="cs"/>
          <w:rtl/>
          <w:lang w:bidi="ar-KW"/>
        </w:rPr>
        <w:t>[</w:t>
      </w:r>
      <w:r w:rsidR="009C32A0">
        <w:rPr>
          <w:rFonts w:hint="cs"/>
          <w:rtl/>
          <w:lang w:bidi="ar-KW"/>
        </w:rPr>
        <w:t>صيد الخاطر</w:t>
      </w:r>
      <w:r>
        <w:rPr>
          <w:rFonts w:hint="cs"/>
          <w:rtl/>
          <w:lang w:bidi="ar-KW"/>
        </w:rPr>
        <w:t>:</w:t>
      </w:r>
      <w:r w:rsidR="009C32A0">
        <w:rPr>
          <w:rFonts w:hint="cs"/>
          <w:rtl/>
          <w:lang w:bidi="ar-KW"/>
        </w:rPr>
        <w:t xml:space="preserve"> ص/ 476</w:t>
      </w:r>
      <w:r>
        <w:rPr>
          <w:rFonts w:hint="cs"/>
          <w:rtl/>
          <w:lang w:bidi="ar-KW"/>
        </w:rPr>
        <w:t>]،</w:t>
      </w:r>
      <w:r w:rsidR="009C32A0">
        <w:rPr>
          <w:rFonts w:hint="cs"/>
          <w:rtl/>
          <w:lang w:bidi="ar-KW"/>
        </w:rPr>
        <w:t xml:space="preserve"> وقال في الباز الأشهب</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كل من هو في جهة يكون مقدَّرًا محدودًا وهو يتعالى عن ذلك</w:t>
      </w:r>
      <w:r>
        <w:rPr>
          <w:rFonts w:hint="cs"/>
          <w:rtl/>
          <w:lang w:bidi="ar-KW"/>
        </w:rPr>
        <w:t>،</w:t>
      </w:r>
      <w:r w:rsidR="009C32A0">
        <w:rPr>
          <w:rFonts w:hint="cs"/>
          <w:rtl/>
          <w:lang w:bidi="ar-KW"/>
        </w:rPr>
        <w:t xml:space="preserve"> وإنما الجهات للجواهر والأجسام لأنها أجرام تحتاج إلى جهة</w:t>
      </w:r>
      <w:r>
        <w:rPr>
          <w:rFonts w:hint="cs"/>
          <w:rtl/>
          <w:lang w:bidi="ar-KW"/>
        </w:rPr>
        <w:t>،</w:t>
      </w:r>
      <w:r w:rsidR="009C32A0">
        <w:rPr>
          <w:rFonts w:hint="cs"/>
          <w:rtl/>
          <w:lang w:bidi="ar-KW"/>
        </w:rPr>
        <w:t xml:space="preserve"> وإذا ثبت بطلان الجهة ثبت بطلان المكان" اهـ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الباز الأشهب ص 57]</w:t>
      </w:r>
      <w:r>
        <w:rPr>
          <w:rFonts w:hint="cs"/>
          <w:rtl/>
          <w:lang w:bidi="ar-KW"/>
        </w:rPr>
        <w:t xml:space="preserve">، </w:t>
      </w:r>
      <w:r w:rsidR="009C32A0">
        <w:rPr>
          <w:rFonts w:hint="cs"/>
          <w:rtl/>
          <w:lang w:bidi="ar-KW"/>
        </w:rPr>
        <w:t xml:space="preserve">وقال الحافظ ابن عساكر (620 هـ) – في درة من تنزيهات العلماء – </w:t>
      </w:r>
      <w:r>
        <w:rPr>
          <w:rFonts w:hint="cs"/>
          <w:rtl/>
          <w:lang w:bidi="ar-KW"/>
        </w:rPr>
        <w:t>(</w:t>
      </w:r>
      <w:r w:rsidR="009C32A0">
        <w:rPr>
          <w:rFonts w:hint="cs"/>
          <w:rtl/>
          <w:lang w:bidi="ar-KW"/>
        </w:rPr>
        <w:t>موجود قبل الخلق ليس له قبل ولا بعد</w:t>
      </w:r>
      <w:r>
        <w:rPr>
          <w:rFonts w:hint="cs"/>
          <w:rtl/>
          <w:lang w:bidi="ar-KW"/>
        </w:rPr>
        <w:t>،</w:t>
      </w:r>
      <w:r w:rsidR="009C32A0">
        <w:rPr>
          <w:rFonts w:hint="cs"/>
          <w:rtl/>
          <w:lang w:bidi="ar-KW"/>
        </w:rPr>
        <w:t xml:space="preserve"> ولا فوق ولا تحت</w:t>
      </w:r>
      <w:r>
        <w:rPr>
          <w:rFonts w:hint="cs"/>
          <w:rtl/>
          <w:lang w:bidi="ar-KW"/>
        </w:rPr>
        <w:t>،</w:t>
      </w:r>
      <w:r w:rsidR="009C32A0">
        <w:rPr>
          <w:rFonts w:hint="cs"/>
          <w:rtl/>
          <w:lang w:bidi="ar-KW"/>
        </w:rPr>
        <w:t xml:space="preserve"> ولا يمين ولا شمال</w:t>
      </w:r>
      <w:r>
        <w:rPr>
          <w:rFonts w:hint="cs"/>
          <w:rtl/>
          <w:lang w:bidi="ar-KW"/>
        </w:rPr>
        <w:t>،</w:t>
      </w:r>
      <w:r w:rsidR="009C32A0">
        <w:rPr>
          <w:rFonts w:hint="cs"/>
          <w:rtl/>
          <w:lang w:bidi="ar-KW"/>
        </w:rPr>
        <w:t xml:space="preserve"> ولا أمام ولا خلف</w:t>
      </w:r>
      <w:r>
        <w:rPr>
          <w:rFonts w:hint="cs"/>
          <w:rtl/>
          <w:lang w:bidi="ar-KW"/>
        </w:rPr>
        <w:t>،</w:t>
      </w:r>
      <w:r w:rsidR="009C32A0">
        <w:rPr>
          <w:rFonts w:hint="cs"/>
          <w:rtl/>
          <w:lang w:bidi="ar-KW"/>
        </w:rPr>
        <w:t xml:space="preserve"> ولا كل ولا بعض</w:t>
      </w:r>
      <w:r>
        <w:rPr>
          <w:rFonts w:hint="cs"/>
          <w:rtl/>
          <w:lang w:bidi="ar-KW"/>
        </w:rPr>
        <w:t>،</w:t>
      </w:r>
      <w:r w:rsidR="009C32A0">
        <w:rPr>
          <w:rFonts w:hint="cs"/>
          <w:rtl/>
          <w:lang w:bidi="ar-KW"/>
        </w:rPr>
        <w:t xml:space="preserve"> ولا يقال متى كان</w:t>
      </w:r>
      <w:r>
        <w:rPr>
          <w:rFonts w:hint="cs"/>
          <w:rtl/>
          <w:lang w:bidi="ar-KW"/>
        </w:rPr>
        <w:t>،</w:t>
      </w:r>
      <w:r w:rsidR="009C32A0">
        <w:rPr>
          <w:rFonts w:hint="cs"/>
          <w:rtl/>
          <w:lang w:bidi="ar-KW"/>
        </w:rPr>
        <w:t xml:space="preserve"> ولا أين كـان ولا كيف</w:t>
      </w:r>
      <w:r>
        <w:rPr>
          <w:rFonts w:hint="cs"/>
          <w:rtl/>
          <w:lang w:bidi="ar-KW"/>
        </w:rPr>
        <w:t>،</w:t>
      </w:r>
      <w:r w:rsidR="009C32A0">
        <w:rPr>
          <w:rFonts w:hint="cs"/>
          <w:rtl/>
          <w:lang w:bidi="ar-KW"/>
        </w:rPr>
        <w:t xml:space="preserve"> كان ولا مكان</w:t>
      </w:r>
      <w:r>
        <w:rPr>
          <w:rFonts w:hint="cs"/>
          <w:rtl/>
          <w:lang w:bidi="ar-KW"/>
        </w:rPr>
        <w:t>،</w:t>
      </w:r>
      <w:r w:rsidR="009C32A0">
        <w:rPr>
          <w:rFonts w:hint="cs"/>
          <w:rtl/>
          <w:lang w:bidi="ar-KW"/>
        </w:rPr>
        <w:t xml:space="preserve"> كون الأكوان</w:t>
      </w:r>
      <w:r>
        <w:rPr>
          <w:rFonts w:hint="cs"/>
          <w:rtl/>
          <w:lang w:bidi="ar-KW"/>
        </w:rPr>
        <w:t>،</w:t>
      </w:r>
      <w:r w:rsidR="009C32A0">
        <w:rPr>
          <w:rFonts w:hint="cs"/>
          <w:rtl/>
          <w:lang w:bidi="ar-KW"/>
        </w:rPr>
        <w:t xml:space="preserve"> ودبر الزمان</w:t>
      </w:r>
      <w:r>
        <w:rPr>
          <w:rFonts w:hint="cs"/>
          <w:rtl/>
          <w:lang w:bidi="ar-KW"/>
        </w:rPr>
        <w:t>،</w:t>
      </w:r>
      <w:r w:rsidR="009C32A0">
        <w:rPr>
          <w:rFonts w:hint="cs"/>
          <w:rtl/>
          <w:lang w:bidi="ar-KW"/>
        </w:rPr>
        <w:t xml:space="preserve"> لا يتقيد بالزمان</w:t>
      </w:r>
      <w:r>
        <w:rPr>
          <w:rFonts w:hint="cs"/>
          <w:rtl/>
          <w:lang w:bidi="ar-KW"/>
        </w:rPr>
        <w:t>،</w:t>
      </w:r>
      <w:r w:rsidR="009C32A0">
        <w:rPr>
          <w:rFonts w:hint="cs"/>
          <w:rtl/>
          <w:lang w:bidi="ar-KW"/>
        </w:rPr>
        <w:t xml:space="preserve"> ولا يتخصص بالمكان</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طبقات الشافعية (8/ 186)</w:t>
      </w:r>
      <w:r>
        <w:rPr>
          <w:rFonts w:hint="cs"/>
          <w:rtl/>
          <w:lang w:bidi="ar-KW"/>
        </w:rPr>
        <w:t>]،</w:t>
      </w:r>
      <w:r w:rsidR="009C32A0">
        <w:rPr>
          <w:rFonts w:hint="cs"/>
          <w:rtl/>
          <w:lang w:bidi="ar-KW"/>
        </w:rPr>
        <w:t xml:space="preserve"> </w:t>
      </w:r>
      <w:r w:rsidR="009C32A0">
        <w:rPr>
          <w:rFonts w:hint="cs"/>
          <w:rtl/>
          <w:lang w:bidi="ar-KW"/>
        </w:rPr>
        <w:lastRenderedPageBreak/>
        <w:t>وقال سلطان العلماء</w:t>
      </w:r>
      <w:r>
        <w:rPr>
          <w:rFonts w:hint="cs"/>
          <w:rtl/>
          <w:lang w:bidi="ar-KW"/>
        </w:rPr>
        <w:t xml:space="preserve"> </w:t>
      </w:r>
      <w:r w:rsidR="009C32A0">
        <w:rPr>
          <w:rFonts w:hint="cs"/>
          <w:rtl/>
          <w:lang w:bidi="ar-KW"/>
        </w:rPr>
        <w:t>عبد العزيز بن عبد السلام (660 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ليس </w:t>
      </w:r>
      <w:r>
        <w:rPr>
          <w:rFonts w:hint="cs"/>
          <w:rtl/>
          <w:lang w:bidi="ar-KW"/>
        </w:rPr>
        <w:t>[</w:t>
      </w:r>
      <w:r w:rsidR="009C32A0">
        <w:rPr>
          <w:rFonts w:hint="cs"/>
          <w:rtl/>
          <w:lang w:bidi="ar-KW"/>
        </w:rPr>
        <w:t>الله تعالى</w:t>
      </w:r>
      <w:r>
        <w:rPr>
          <w:rFonts w:hint="cs"/>
          <w:rtl/>
          <w:lang w:bidi="ar-KW"/>
        </w:rPr>
        <w:t>]</w:t>
      </w:r>
      <w:r w:rsidR="009C32A0">
        <w:rPr>
          <w:rFonts w:hint="cs"/>
          <w:rtl/>
          <w:lang w:bidi="ar-KW"/>
        </w:rPr>
        <w:t xml:space="preserve"> بجسم مصوَّر</w:t>
      </w:r>
      <w:r>
        <w:rPr>
          <w:rFonts w:hint="cs"/>
          <w:rtl/>
          <w:lang w:bidi="ar-KW"/>
        </w:rPr>
        <w:t>،</w:t>
      </w:r>
      <w:r w:rsidR="009C32A0">
        <w:rPr>
          <w:rFonts w:hint="cs"/>
          <w:rtl/>
          <w:lang w:bidi="ar-KW"/>
        </w:rPr>
        <w:t xml:space="preserve"> ولا جوهر محدود مُقدَّر</w:t>
      </w:r>
      <w:r>
        <w:rPr>
          <w:rFonts w:hint="cs"/>
          <w:rtl/>
          <w:lang w:bidi="ar-KW"/>
        </w:rPr>
        <w:t>،</w:t>
      </w:r>
      <w:r w:rsidR="009C32A0">
        <w:rPr>
          <w:rFonts w:hint="cs"/>
          <w:rtl/>
          <w:lang w:bidi="ar-KW"/>
        </w:rPr>
        <w:t xml:space="preserve"> ولا يشبه شيئا</w:t>
      </w:r>
      <w:r>
        <w:rPr>
          <w:rFonts w:hint="cs"/>
          <w:rtl/>
          <w:lang w:bidi="ar-KW"/>
        </w:rPr>
        <w:t>،</w:t>
      </w:r>
      <w:r w:rsidR="009C32A0">
        <w:rPr>
          <w:rFonts w:hint="cs"/>
          <w:rtl/>
          <w:lang w:bidi="ar-KW"/>
        </w:rPr>
        <w:t xml:space="preserve"> ولا يُشبهه شيء</w:t>
      </w:r>
      <w:r>
        <w:rPr>
          <w:rFonts w:hint="cs"/>
          <w:rtl/>
          <w:lang w:bidi="ar-KW"/>
        </w:rPr>
        <w:t>،</w:t>
      </w:r>
      <w:r w:rsidR="009C32A0">
        <w:rPr>
          <w:rFonts w:hint="cs"/>
          <w:rtl/>
          <w:lang w:bidi="ar-KW"/>
        </w:rPr>
        <w:t xml:space="preserve"> ولا تحيط به الجهات</w:t>
      </w:r>
      <w:r>
        <w:rPr>
          <w:rFonts w:hint="cs"/>
          <w:rtl/>
          <w:lang w:bidi="ar-KW"/>
        </w:rPr>
        <w:t>،</w:t>
      </w:r>
      <w:r w:rsidR="009C32A0">
        <w:rPr>
          <w:rFonts w:hint="cs"/>
          <w:rtl/>
          <w:lang w:bidi="ar-KW"/>
        </w:rPr>
        <w:t xml:space="preserve"> ولا تكتنفه الأرضون ولا السموات</w:t>
      </w:r>
      <w:r>
        <w:rPr>
          <w:rFonts w:hint="cs"/>
          <w:rtl/>
          <w:lang w:bidi="ar-KW"/>
        </w:rPr>
        <w:t>،</w:t>
      </w:r>
      <w:r w:rsidR="009C32A0">
        <w:rPr>
          <w:rFonts w:hint="cs"/>
          <w:rtl/>
          <w:lang w:bidi="ar-KW"/>
        </w:rPr>
        <w:t xml:space="preserve"> كان قبل أن كوَّن المكان ودبَّر الزمان</w:t>
      </w:r>
      <w:r>
        <w:rPr>
          <w:rFonts w:hint="cs"/>
          <w:rtl/>
          <w:lang w:bidi="ar-KW"/>
        </w:rPr>
        <w:t>،</w:t>
      </w:r>
      <w:r w:rsidR="009C32A0">
        <w:rPr>
          <w:rFonts w:hint="cs"/>
          <w:rtl/>
          <w:lang w:bidi="ar-KW"/>
        </w:rPr>
        <w:t xml:space="preserve"> وهو الآن على ما عليه كان) أهـ [طبقات الشافعية</w:t>
      </w:r>
      <w:r>
        <w:rPr>
          <w:rFonts w:hint="cs"/>
          <w:rtl/>
          <w:lang w:bidi="ar-KW"/>
        </w:rPr>
        <w:t>:</w:t>
      </w:r>
      <w:r w:rsidR="009C32A0">
        <w:rPr>
          <w:rFonts w:hint="cs"/>
          <w:rtl/>
          <w:lang w:bidi="ar-KW"/>
        </w:rPr>
        <w:t xml:space="preserve"> (8/ 219)</w:t>
      </w:r>
      <w:r>
        <w:rPr>
          <w:rFonts w:hint="cs"/>
          <w:rtl/>
          <w:lang w:bidi="ar-KW"/>
        </w:rPr>
        <w:t>]،</w:t>
      </w:r>
      <w:r w:rsidR="009C32A0">
        <w:rPr>
          <w:rFonts w:hint="cs"/>
          <w:rtl/>
          <w:lang w:bidi="ar-KW"/>
        </w:rPr>
        <w:t xml:space="preserve"> وقال الإمام المفسّر محمد بن أحمد الأنصاري القرطبي المالكي (671هـ)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 العليّ " يراد به علو القدر والمنزلة لا علو المكان</w:t>
      </w:r>
      <w:r>
        <w:rPr>
          <w:rFonts w:hint="cs"/>
          <w:rtl/>
          <w:lang w:bidi="ar-KW"/>
        </w:rPr>
        <w:t>،</w:t>
      </w:r>
      <w:r w:rsidR="009C32A0">
        <w:rPr>
          <w:rFonts w:hint="cs"/>
          <w:rtl/>
          <w:lang w:bidi="ar-KW"/>
        </w:rPr>
        <w:t xml:space="preserve"> لأنَّ الله منزه عن التحيز)</w:t>
      </w:r>
      <w:r>
        <w:rPr>
          <w:rFonts w:hint="cs"/>
          <w:rtl/>
          <w:lang w:bidi="ar-KW"/>
        </w:rPr>
        <w:t xml:space="preserve"> </w:t>
      </w:r>
      <w:r w:rsidR="009C32A0">
        <w:rPr>
          <w:rFonts w:hint="cs"/>
          <w:rtl/>
          <w:lang w:bidi="ar-KW"/>
        </w:rPr>
        <w:t xml:space="preserve">أهـ </w:t>
      </w:r>
      <w:r>
        <w:rPr>
          <w:rFonts w:hint="cs"/>
          <w:rtl/>
          <w:lang w:bidi="ar-KW"/>
        </w:rPr>
        <w:t>[</w:t>
      </w:r>
      <w:r w:rsidR="009C32A0">
        <w:rPr>
          <w:rFonts w:hint="cs"/>
          <w:rtl/>
          <w:lang w:bidi="ar-KW"/>
        </w:rPr>
        <w:t>الجامع لأحكام القرءان</w:t>
      </w:r>
      <w:r>
        <w:rPr>
          <w:rFonts w:hint="cs"/>
          <w:rtl/>
          <w:lang w:bidi="ar-KW"/>
        </w:rPr>
        <w:t>:</w:t>
      </w:r>
      <w:r w:rsidR="009C32A0">
        <w:rPr>
          <w:rFonts w:hint="cs"/>
          <w:rtl/>
          <w:lang w:bidi="ar-KW"/>
        </w:rPr>
        <w:t xml:space="preserve"> (3/ 278)]</w:t>
      </w:r>
      <w:r>
        <w:rPr>
          <w:rFonts w:hint="cs"/>
          <w:rtl/>
          <w:lang w:bidi="ar-KW"/>
        </w:rPr>
        <w:t>،</w:t>
      </w:r>
      <w:r w:rsidR="009C32A0">
        <w:rPr>
          <w:rFonts w:hint="cs"/>
          <w:rtl/>
          <w:lang w:bidi="ar-KW"/>
        </w:rPr>
        <w:t xml:space="preserve"> وقال أيضًا </w:t>
      </w:r>
      <w:r>
        <w:rPr>
          <w:rFonts w:hint="cs"/>
          <w:rtl/>
          <w:lang w:bidi="ar-KW"/>
        </w:rPr>
        <w:t>(</w:t>
      </w:r>
      <w:r w:rsidR="009C32A0">
        <w:rPr>
          <w:rFonts w:hint="cs"/>
          <w:rtl/>
          <w:lang w:bidi="ar-KW"/>
        </w:rPr>
        <w:t>والقاعدة تنزيهه سبحانه وتعالى عن الحركة والانتقال وشغل الأمكنة</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المصدر السابق</w:t>
      </w:r>
      <w:r>
        <w:rPr>
          <w:rFonts w:hint="cs"/>
          <w:rtl/>
          <w:lang w:bidi="ar-KW"/>
        </w:rPr>
        <w:t>:</w:t>
      </w:r>
      <w:r w:rsidR="009C32A0">
        <w:rPr>
          <w:rFonts w:hint="cs"/>
          <w:rtl/>
          <w:lang w:bidi="ar-KW"/>
        </w:rPr>
        <w:t xml:space="preserve"> (6/ 390)</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ومعنى</w:t>
      </w:r>
      <w:r>
        <w:rPr>
          <w:rFonts w:hint="cs"/>
          <w:rtl/>
          <w:lang w:bidi="ar-KW"/>
        </w:rPr>
        <w:t>:</w:t>
      </w:r>
      <w:r w:rsidR="009C32A0">
        <w:rPr>
          <w:rFonts w:hint="cs"/>
          <w:rtl/>
          <w:lang w:bidi="ar-KW"/>
        </w:rPr>
        <w:t>{فوق عباده} [سورة الأنعام/18] فوقية الاستعلاء بالقهر والغلبة عليهم</w:t>
      </w:r>
      <w:r>
        <w:rPr>
          <w:rFonts w:hint="cs"/>
          <w:rtl/>
          <w:lang w:bidi="ar-KW"/>
        </w:rPr>
        <w:t>،</w:t>
      </w:r>
      <w:r w:rsidR="009C32A0">
        <w:rPr>
          <w:rFonts w:hint="cs"/>
          <w:rtl/>
          <w:lang w:bidi="ar-KW"/>
        </w:rPr>
        <w:t xml:space="preserve"> أي هم تحت تسخيره لا فوقية مكان" اهـ</w:t>
      </w:r>
      <w:r>
        <w:rPr>
          <w:rFonts w:hint="cs"/>
          <w:rtl/>
          <w:lang w:bidi="ar-KW"/>
        </w:rPr>
        <w:t>، [</w:t>
      </w:r>
      <w:r w:rsidR="009C32A0">
        <w:rPr>
          <w:rFonts w:hint="cs"/>
          <w:rtl/>
          <w:lang w:bidi="ar-KW"/>
        </w:rPr>
        <w:t>المصدر السابق</w:t>
      </w:r>
      <w:r>
        <w:rPr>
          <w:rFonts w:hint="cs"/>
          <w:rtl/>
          <w:lang w:bidi="ar-KW"/>
        </w:rPr>
        <w:t>:</w:t>
      </w:r>
      <w:r w:rsidR="009C32A0">
        <w:rPr>
          <w:rFonts w:hint="cs"/>
          <w:rtl/>
          <w:lang w:bidi="ar-KW"/>
        </w:rPr>
        <w:t xml:space="preserve"> (6/ 399)</w:t>
      </w:r>
      <w:r>
        <w:rPr>
          <w:rFonts w:hint="cs"/>
          <w:rtl/>
          <w:lang w:bidi="ar-KW"/>
        </w:rPr>
        <w:t>]،</w:t>
      </w:r>
      <w:r w:rsidR="009C32A0">
        <w:rPr>
          <w:rFonts w:hint="cs"/>
          <w:rtl/>
          <w:lang w:bidi="ar-KW"/>
        </w:rPr>
        <w:t xml:space="preserve"> وقال أيضًا عند تفسير ءاية</w:t>
      </w:r>
      <w:r>
        <w:rPr>
          <w:rFonts w:hint="cs"/>
          <w:rtl/>
          <w:lang w:bidi="ar-KW"/>
        </w:rPr>
        <w:t>:</w:t>
      </w:r>
      <w:r w:rsidR="009C32A0">
        <w:rPr>
          <w:rFonts w:hint="cs"/>
          <w:rtl/>
          <w:lang w:bidi="ar-KW"/>
        </w:rPr>
        <w:t>{أَوْ يَأْتِيَ رَبُّكَ أَوْ يَأْتِيَ بَعْضُ ءايَاتِ رَبِّكَ} [سورة الأنعام/158]</w:t>
      </w:r>
      <w:r>
        <w:rPr>
          <w:rFonts w:hint="cs"/>
          <w:rtl/>
          <w:lang w:bidi="ar-KW"/>
        </w:rPr>
        <w:t>: (</w:t>
      </w:r>
      <w:r w:rsidR="009C32A0">
        <w:rPr>
          <w:rFonts w:hint="cs"/>
          <w:rtl/>
          <w:lang w:bidi="ar-KW"/>
        </w:rPr>
        <w:t>وليس مجيئه تعالى حركةً ولا انتقالاً ولا زوالاً لأن ذلك إنما يكون إذا كان الجائي جسمًا أو جوهرًا</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المصدر السابق</w:t>
      </w:r>
      <w:r>
        <w:rPr>
          <w:rFonts w:hint="cs"/>
          <w:rtl/>
          <w:lang w:bidi="ar-KW"/>
        </w:rPr>
        <w:t>:</w:t>
      </w:r>
      <w:r w:rsidR="009C32A0">
        <w:rPr>
          <w:rFonts w:hint="cs"/>
          <w:rtl/>
          <w:lang w:bidi="ar-KW"/>
        </w:rPr>
        <w:t xml:space="preserve"> (7/ 145)</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في تفسير آية {وجاء ربّك والملك صفًّا صفًّا}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والله جل ثناؤه لا يوصف بالتحول من مكان إلى مكان</w:t>
      </w:r>
      <w:r>
        <w:rPr>
          <w:rFonts w:hint="cs"/>
          <w:rtl/>
          <w:lang w:bidi="ar-KW"/>
        </w:rPr>
        <w:t>،</w:t>
      </w:r>
      <w:r w:rsidR="009C32A0">
        <w:rPr>
          <w:rFonts w:hint="cs"/>
          <w:rtl/>
          <w:lang w:bidi="ar-KW"/>
        </w:rPr>
        <w:t xml:space="preserve"> وأنَّى له التحول والانتقال ولا مكان له ولا أوان</w:t>
      </w:r>
      <w:r>
        <w:rPr>
          <w:rFonts w:hint="cs"/>
          <w:rtl/>
          <w:lang w:bidi="ar-KW"/>
        </w:rPr>
        <w:t>،</w:t>
      </w:r>
      <w:r w:rsidR="009C32A0">
        <w:rPr>
          <w:rFonts w:hint="cs"/>
          <w:rtl/>
          <w:lang w:bidi="ar-KW"/>
        </w:rPr>
        <w:t xml:space="preserve"> ولا يجري عليه وقت ولا زمان</w:t>
      </w:r>
      <w:r>
        <w:rPr>
          <w:rFonts w:hint="cs"/>
          <w:rtl/>
          <w:lang w:bidi="ar-KW"/>
        </w:rPr>
        <w:t>،</w:t>
      </w:r>
      <w:r w:rsidR="009C32A0">
        <w:rPr>
          <w:rFonts w:hint="cs"/>
          <w:rtl/>
          <w:lang w:bidi="ar-KW"/>
        </w:rPr>
        <w:t xml:space="preserve"> لأن في جريان الوقت على الشيء فوت الأوقات</w:t>
      </w:r>
      <w:r>
        <w:rPr>
          <w:rFonts w:hint="cs"/>
          <w:rtl/>
          <w:lang w:bidi="ar-KW"/>
        </w:rPr>
        <w:t>،</w:t>
      </w:r>
      <w:r w:rsidR="009C32A0">
        <w:rPr>
          <w:rFonts w:hint="cs"/>
          <w:rtl/>
          <w:lang w:bidi="ar-KW"/>
        </w:rPr>
        <w:t xml:space="preserve"> ومن فاته شيء فهو عاجز" اهـ</w:t>
      </w:r>
      <w:r>
        <w:rPr>
          <w:rFonts w:hint="cs"/>
          <w:rtl/>
          <w:lang w:bidi="ar-KW"/>
        </w:rPr>
        <w:t>، [</w:t>
      </w:r>
      <w:r w:rsidR="009C32A0">
        <w:rPr>
          <w:rFonts w:hint="cs"/>
          <w:rtl/>
          <w:lang w:bidi="ar-KW"/>
        </w:rPr>
        <w:t>المصدر السابق</w:t>
      </w:r>
      <w:r>
        <w:rPr>
          <w:rFonts w:hint="cs"/>
          <w:rtl/>
          <w:lang w:bidi="ar-KW"/>
        </w:rPr>
        <w:t>:</w:t>
      </w:r>
      <w:r w:rsidR="009C32A0">
        <w:rPr>
          <w:rFonts w:hint="cs"/>
          <w:rtl/>
          <w:lang w:bidi="ar-KW"/>
        </w:rPr>
        <w:t xml:space="preserve"> (20/55)]</w:t>
      </w:r>
      <w:r>
        <w:rPr>
          <w:rFonts w:hint="cs"/>
          <w:rtl/>
          <w:lang w:bidi="ar-KW"/>
        </w:rPr>
        <w:t>،</w:t>
      </w:r>
      <w:r w:rsidR="009C32A0">
        <w:rPr>
          <w:rFonts w:hint="cs"/>
          <w:rtl/>
          <w:lang w:bidi="ar-KW"/>
        </w:rPr>
        <w:t xml:space="preserve"> وقال أيضًا عند تفسير قوله تعالى</w:t>
      </w:r>
      <w:r>
        <w:rPr>
          <w:rFonts w:hint="cs"/>
          <w:rtl/>
          <w:lang w:bidi="ar-KW"/>
        </w:rPr>
        <w:t>:</w:t>
      </w:r>
      <w:r w:rsidR="009C32A0">
        <w:rPr>
          <w:rFonts w:hint="cs"/>
          <w:rtl/>
          <w:lang w:bidi="ar-KW"/>
        </w:rPr>
        <w:t>{ءأمنتم من في السماء أن يخسف بكم الأرض} [سورة المُلك/16]</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والمراد بها توقيره وتنزيهه عن السفل والتحت</w:t>
      </w:r>
      <w:r>
        <w:rPr>
          <w:rFonts w:hint="cs"/>
          <w:rtl/>
          <w:lang w:bidi="ar-KW"/>
        </w:rPr>
        <w:t>،</w:t>
      </w:r>
      <w:r w:rsidR="009C32A0">
        <w:rPr>
          <w:rFonts w:hint="cs"/>
          <w:rtl/>
          <w:lang w:bidi="ar-KW"/>
        </w:rPr>
        <w:t xml:space="preserve"> ووصفه بالعلوِّ والعظمة لا بالأماكن والجهات والحدود لأنها صفات الأجسام</w:t>
      </w:r>
      <w:r>
        <w:rPr>
          <w:rFonts w:hint="cs"/>
          <w:rtl/>
          <w:lang w:bidi="ar-KW"/>
        </w:rPr>
        <w:t xml:space="preserve">، </w:t>
      </w:r>
      <w:r w:rsidR="009C32A0">
        <w:rPr>
          <w:rFonts w:hint="cs"/>
          <w:rtl/>
          <w:lang w:bidi="ar-KW"/>
        </w:rPr>
        <w:t>وإنما ترفع الأيدي بالدعاء إلى السماء لأن السماء مهبط الوحي ومنزل القطر ومحل القُدس ومعدن المطهرين من الملائكة</w:t>
      </w:r>
      <w:r>
        <w:rPr>
          <w:rFonts w:hint="cs"/>
          <w:rtl/>
          <w:lang w:bidi="ar-KW"/>
        </w:rPr>
        <w:t>،</w:t>
      </w:r>
      <w:r w:rsidR="009C32A0">
        <w:rPr>
          <w:rFonts w:hint="cs"/>
          <w:rtl/>
          <w:lang w:bidi="ar-KW"/>
        </w:rPr>
        <w:t xml:space="preserve"> وإليها ترفع أعمال العباد</w:t>
      </w:r>
      <w:r>
        <w:rPr>
          <w:rFonts w:hint="cs"/>
          <w:rtl/>
          <w:lang w:bidi="ar-KW"/>
        </w:rPr>
        <w:t>،</w:t>
      </w:r>
      <w:r w:rsidR="009C32A0">
        <w:rPr>
          <w:rFonts w:hint="cs"/>
          <w:rtl/>
          <w:lang w:bidi="ar-KW"/>
        </w:rPr>
        <w:t xml:space="preserve"> وفوقها عرشه وجنته</w:t>
      </w:r>
      <w:r>
        <w:rPr>
          <w:rFonts w:hint="cs"/>
          <w:rtl/>
          <w:lang w:bidi="ar-KW"/>
        </w:rPr>
        <w:t>،</w:t>
      </w:r>
      <w:r w:rsidR="009C32A0">
        <w:rPr>
          <w:rFonts w:hint="cs"/>
          <w:rtl/>
          <w:lang w:bidi="ar-KW"/>
        </w:rPr>
        <w:t xml:space="preserve"> كما جعل الله الكعبة قِبلةً للدعاء والصلاة</w:t>
      </w:r>
      <w:r>
        <w:rPr>
          <w:rFonts w:hint="cs"/>
          <w:rtl/>
          <w:lang w:bidi="ar-KW"/>
        </w:rPr>
        <w:t>،</w:t>
      </w:r>
      <w:r w:rsidR="009C32A0">
        <w:rPr>
          <w:rFonts w:hint="cs"/>
          <w:rtl/>
          <w:lang w:bidi="ar-KW"/>
        </w:rPr>
        <w:t xml:space="preserve"> ولأنه خلق الأمكنة وهو غير محتاج إليها</w:t>
      </w:r>
      <w:r>
        <w:rPr>
          <w:rFonts w:hint="cs"/>
          <w:rtl/>
          <w:lang w:bidi="ar-KW"/>
        </w:rPr>
        <w:t>،</w:t>
      </w:r>
      <w:r w:rsidR="009C32A0">
        <w:rPr>
          <w:rFonts w:hint="cs"/>
          <w:rtl/>
          <w:lang w:bidi="ar-KW"/>
        </w:rPr>
        <w:t xml:space="preserve"> وكان في أزله قبل خلق المكان والزمان ولا مكان له ولا زمان</w:t>
      </w:r>
      <w:r>
        <w:rPr>
          <w:rFonts w:hint="cs"/>
          <w:rtl/>
          <w:lang w:bidi="ar-KW"/>
        </w:rPr>
        <w:t>،</w:t>
      </w:r>
      <w:r w:rsidR="009C32A0">
        <w:rPr>
          <w:rFonts w:hint="cs"/>
          <w:rtl/>
          <w:lang w:bidi="ar-KW"/>
        </w:rPr>
        <w:t xml:space="preserve"> وهو الآن على ما عليه كان</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المصدر السابق</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18/216)</w:t>
      </w:r>
      <w:r>
        <w:rPr>
          <w:rFonts w:hint="cs"/>
          <w:rtl/>
          <w:lang w:bidi="ar-KW"/>
        </w:rPr>
        <w:t>]،</w:t>
      </w:r>
      <w:r w:rsidR="009C32A0">
        <w:rPr>
          <w:rFonts w:hint="cs"/>
          <w:rtl/>
          <w:lang w:bidi="ar-KW"/>
        </w:rPr>
        <w:t xml:space="preserve"> وقال الإمام الحافظ أبو زكريا محيي الدين النووي (676هـ)</w:t>
      </w:r>
      <w:r>
        <w:rPr>
          <w:rFonts w:hint="cs"/>
          <w:rtl/>
          <w:lang w:bidi="ar-KW"/>
        </w:rPr>
        <w:t>: (</w:t>
      </w:r>
      <w:r w:rsidR="009C32A0">
        <w:rPr>
          <w:rFonts w:hint="cs"/>
          <w:rtl/>
          <w:lang w:bidi="ar-KW"/>
        </w:rPr>
        <w:t>إن الله تعالى ليس كمثله شيء</w:t>
      </w:r>
      <w:r>
        <w:rPr>
          <w:rFonts w:hint="cs"/>
          <w:rtl/>
          <w:lang w:bidi="ar-KW"/>
        </w:rPr>
        <w:t>،</w:t>
      </w:r>
      <w:r w:rsidR="009C32A0">
        <w:rPr>
          <w:rFonts w:hint="cs"/>
          <w:rtl/>
          <w:lang w:bidi="ar-KW"/>
        </w:rPr>
        <w:t xml:space="preserve"> وإنه منزه عن التجسيم والانتقال والتحيز في جهة وعن سائر صفات المخلوق</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شرح صحيح مسلم 3/19]</w:t>
      </w:r>
      <w:r>
        <w:rPr>
          <w:rFonts w:hint="cs"/>
          <w:rtl/>
          <w:lang w:bidi="ar-KW"/>
        </w:rPr>
        <w:t xml:space="preserve">، </w:t>
      </w:r>
      <w:r w:rsidR="009C32A0">
        <w:rPr>
          <w:rFonts w:hint="cs"/>
          <w:rtl/>
          <w:lang w:bidi="ar-KW"/>
        </w:rPr>
        <w:t>وقال الإمام البيضاوي (685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ولما ثبت بالقواطع أنه سبحانه منزه عن الجسمية والتحيز امتنع عليه النزول على معنى الانتقال من موضع إلى موضع أخفض منه</w:t>
      </w:r>
      <w:r>
        <w:rPr>
          <w:rFonts w:hint="cs"/>
          <w:rtl/>
          <w:lang w:bidi="ar-KW"/>
        </w:rPr>
        <w:t>)</w:t>
      </w:r>
      <w:r w:rsidR="009C32A0">
        <w:rPr>
          <w:rFonts w:hint="cs"/>
          <w:rtl/>
          <w:lang w:bidi="ar-KW"/>
        </w:rPr>
        <w:t xml:space="preserve"> أهـ </w:t>
      </w:r>
      <w:r>
        <w:rPr>
          <w:rFonts w:hint="cs"/>
          <w:rtl/>
          <w:lang w:bidi="ar-KW"/>
        </w:rPr>
        <w:t>[</w:t>
      </w:r>
      <w:r w:rsidR="009C32A0">
        <w:rPr>
          <w:rFonts w:hint="cs"/>
          <w:rtl/>
          <w:lang w:bidi="ar-KW"/>
        </w:rPr>
        <w:t>فتح الباري (3/ 31)]</w:t>
      </w:r>
      <w:r>
        <w:rPr>
          <w:rFonts w:hint="cs"/>
          <w:rtl/>
          <w:lang w:bidi="ar-KW"/>
        </w:rPr>
        <w:t>،</w:t>
      </w:r>
      <w:r w:rsidR="009C32A0">
        <w:rPr>
          <w:rFonts w:hint="cs"/>
          <w:rtl/>
          <w:lang w:bidi="ar-KW"/>
        </w:rPr>
        <w:t xml:space="preserve"> وقال الإمام المفسر النسفي (710 هـ</w:t>
      </w:r>
      <w:r>
        <w:rPr>
          <w:rFonts w:hint="cs"/>
          <w:rtl/>
          <w:lang w:bidi="ar-KW"/>
        </w:rPr>
        <w:t xml:space="preserve">): </w:t>
      </w:r>
      <w:r w:rsidR="009C32A0">
        <w:rPr>
          <w:rFonts w:hint="cs"/>
          <w:rtl/>
          <w:lang w:bidi="ar-KW"/>
        </w:rPr>
        <w:t>(إنه تعالى كان ولا مكان فهو على ما كان قبل خلق المكان</w:t>
      </w:r>
      <w:r>
        <w:rPr>
          <w:rFonts w:hint="cs"/>
          <w:rtl/>
          <w:lang w:bidi="ar-KW"/>
        </w:rPr>
        <w:t>،</w:t>
      </w:r>
      <w:r w:rsidR="009C32A0">
        <w:rPr>
          <w:rFonts w:hint="cs"/>
          <w:rtl/>
          <w:lang w:bidi="ar-KW"/>
        </w:rPr>
        <w:t xml:space="preserve"> لم يتغير عما كان</w:t>
      </w:r>
      <w:r>
        <w:rPr>
          <w:rFonts w:hint="cs"/>
          <w:rtl/>
          <w:lang w:bidi="ar-KW"/>
        </w:rPr>
        <w:t>)</w:t>
      </w:r>
      <w:r w:rsidR="009C32A0">
        <w:rPr>
          <w:rFonts w:hint="cs"/>
          <w:rtl/>
          <w:lang w:bidi="ar-KW"/>
        </w:rPr>
        <w:t xml:space="preserve"> اهـ</w:t>
      </w:r>
      <w:r>
        <w:rPr>
          <w:rFonts w:hint="cs"/>
          <w:rtl/>
          <w:lang w:bidi="ar-KW"/>
        </w:rPr>
        <w:t>، [</w:t>
      </w:r>
      <w:r w:rsidR="009C32A0">
        <w:rPr>
          <w:rFonts w:hint="cs"/>
          <w:rtl/>
          <w:lang w:bidi="ar-KW"/>
        </w:rPr>
        <w:t>تفسير النسفي</w:t>
      </w:r>
      <w:r>
        <w:rPr>
          <w:rFonts w:hint="cs"/>
          <w:rtl/>
          <w:lang w:bidi="ar-KW"/>
        </w:rPr>
        <w:t>:</w:t>
      </w:r>
      <w:r w:rsidR="009C32A0">
        <w:rPr>
          <w:rFonts w:hint="cs"/>
          <w:rtl/>
          <w:lang w:bidi="ar-KW"/>
        </w:rPr>
        <w:t xml:space="preserve"> (ج2/2</w:t>
      </w:r>
      <w:r>
        <w:rPr>
          <w:rFonts w:hint="cs"/>
          <w:rtl/>
          <w:lang w:bidi="ar-KW"/>
        </w:rPr>
        <w:t>،</w:t>
      </w:r>
      <w:r w:rsidR="009C32A0">
        <w:rPr>
          <w:rFonts w:hint="cs"/>
          <w:rtl/>
          <w:lang w:bidi="ar-KW"/>
        </w:rPr>
        <w:t>48)</w:t>
      </w:r>
      <w:r>
        <w:rPr>
          <w:rFonts w:hint="cs"/>
          <w:rtl/>
          <w:lang w:bidi="ar-KW"/>
        </w:rPr>
        <w:t>]،</w:t>
      </w:r>
      <w:r w:rsidR="009C32A0">
        <w:rPr>
          <w:rFonts w:hint="cs"/>
          <w:rtl/>
          <w:lang w:bidi="ar-KW"/>
        </w:rPr>
        <w:t xml:space="preserve"> وقال العلامة ابن منظور (711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وفي </w:t>
      </w:r>
      <w:r w:rsidR="009C32A0">
        <w:rPr>
          <w:rFonts w:hint="cs"/>
          <w:rtl/>
          <w:lang w:bidi="ar-KW"/>
        </w:rPr>
        <w:lastRenderedPageBreak/>
        <w:t>الحديث</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من تقرب إليّ شبرا تقربت إليه ذراعًا</w:t>
      </w:r>
      <w:r>
        <w:rPr>
          <w:rFonts w:hint="cs"/>
          <w:rtl/>
          <w:lang w:bidi="ar-KW"/>
        </w:rPr>
        <w:t>)</w:t>
      </w:r>
      <w:r w:rsidR="009C32A0">
        <w:rPr>
          <w:rFonts w:hint="cs"/>
          <w:rtl/>
          <w:lang w:bidi="ar-KW"/>
        </w:rPr>
        <w:t>)</w:t>
      </w:r>
      <w:r>
        <w:rPr>
          <w:rFonts w:hint="cs"/>
          <w:rtl/>
          <w:lang w:bidi="ar-KW"/>
        </w:rPr>
        <w:t xml:space="preserve"> </w:t>
      </w:r>
      <w:r w:rsidR="009C32A0">
        <w:rPr>
          <w:rFonts w:hint="cs"/>
          <w:rtl/>
          <w:lang w:bidi="ar-KW"/>
        </w:rPr>
        <w:t>المراد بقرب العبد من الله عز وجل</w:t>
      </w:r>
      <w:r>
        <w:rPr>
          <w:rFonts w:hint="cs"/>
          <w:rtl/>
          <w:lang w:bidi="ar-KW"/>
        </w:rPr>
        <w:t>:</w:t>
      </w:r>
      <w:r w:rsidR="009C32A0">
        <w:rPr>
          <w:rFonts w:hint="cs"/>
          <w:rtl/>
          <w:lang w:bidi="ar-KW"/>
        </w:rPr>
        <w:t xml:space="preserve"> القرب بالذكر والعمل الصالح لا قرب الذات والمكان لأن ذلك من صفات الأجسام</w:t>
      </w:r>
      <w:r>
        <w:rPr>
          <w:rFonts w:hint="cs"/>
          <w:rtl/>
          <w:lang w:bidi="ar-KW"/>
        </w:rPr>
        <w:t>،</w:t>
      </w:r>
      <w:r w:rsidR="009C32A0">
        <w:rPr>
          <w:rFonts w:hint="cs"/>
          <w:rtl/>
          <w:lang w:bidi="ar-KW"/>
        </w:rPr>
        <w:t xml:space="preserve"> والله يتعالى عن ذلك ويتقدس) </w:t>
      </w:r>
      <w:r>
        <w:rPr>
          <w:rFonts w:hint="cs"/>
          <w:rtl/>
          <w:lang w:bidi="ar-KW"/>
        </w:rPr>
        <w:t>[</w:t>
      </w:r>
      <w:r w:rsidR="009C32A0">
        <w:rPr>
          <w:rFonts w:hint="cs"/>
          <w:rtl/>
          <w:lang w:bidi="ar-KW"/>
        </w:rPr>
        <w:t>لسان العرب</w:t>
      </w:r>
      <w:r>
        <w:rPr>
          <w:rFonts w:hint="cs"/>
          <w:rtl/>
          <w:lang w:bidi="ar-KW"/>
        </w:rPr>
        <w:t>،</w:t>
      </w:r>
      <w:r w:rsidR="009C32A0">
        <w:rPr>
          <w:rFonts w:hint="cs"/>
          <w:rtl/>
          <w:lang w:bidi="ar-KW"/>
        </w:rPr>
        <w:t xml:space="preserve"> مادة</w:t>
      </w:r>
      <w:r>
        <w:rPr>
          <w:rFonts w:hint="cs"/>
          <w:rtl/>
          <w:lang w:bidi="ar-KW"/>
        </w:rPr>
        <w:t>:</w:t>
      </w:r>
      <w:r w:rsidR="009C32A0">
        <w:rPr>
          <w:rFonts w:hint="cs"/>
          <w:rtl/>
          <w:lang w:bidi="ar-KW"/>
        </w:rPr>
        <w:t xml:space="preserve"> ق رب (1/ 663- 664)</w:t>
      </w:r>
      <w:r>
        <w:rPr>
          <w:rFonts w:hint="cs"/>
          <w:rtl/>
          <w:lang w:bidi="ar-KW"/>
        </w:rPr>
        <w:t>]،</w:t>
      </w:r>
      <w:r w:rsidR="009C32A0">
        <w:rPr>
          <w:rFonts w:hint="cs"/>
          <w:rtl/>
          <w:lang w:bidi="ar-KW"/>
        </w:rPr>
        <w:t xml:space="preserve"> وقال الإمام القاضي بدر الدين ابن جماعة (733 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كان الله ولا زمان ولا مكان</w:t>
      </w:r>
      <w:r>
        <w:rPr>
          <w:rFonts w:hint="cs"/>
          <w:rtl/>
          <w:lang w:bidi="ar-KW"/>
        </w:rPr>
        <w:t>،</w:t>
      </w:r>
      <w:r w:rsidR="009C32A0">
        <w:rPr>
          <w:rFonts w:hint="cs"/>
          <w:rtl/>
          <w:lang w:bidi="ar-KW"/>
        </w:rPr>
        <w:t xml:space="preserve"> وهو الان على ما عليه كان)</w:t>
      </w:r>
      <w:r>
        <w:rPr>
          <w:rFonts w:hint="cs"/>
          <w:rtl/>
          <w:lang w:bidi="ar-KW"/>
        </w:rPr>
        <w:t xml:space="preserve"> </w:t>
      </w:r>
      <w:r w:rsidR="009C32A0">
        <w:rPr>
          <w:rFonts w:hint="cs"/>
          <w:rtl/>
          <w:lang w:bidi="ar-KW"/>
        </w:rPr>
        <w:t>اهـ</w:t>
      </w:r>
      <w:r>
        <w:rPr>
          <w:rFonts w:hint="cs"/>
          <w:rtl/>
          <w:lang w:bidi="ar-KW"/>
        </w:rPr>
        <w:t>، [</w:t>
      </w:r>
      <w:r w:rsidR="009C32A0">
        <w:rPr>
          <w:rFonts w:hint="cs"/>
          <w:rtl/>
          <w:lang w:bidi="ar-KW"/>
        </w:rPr>
        <w:t>إيضاح الدليل (ص/ 103- 4</w:t>
      </w:r>
      <w:r>
        <w:rPr>
          <w:rFonts w:hint="cs"/>
          <w:rtl/>
          <w:lang w:bidi="ar-KW"/>
        </w:rPr>
        <w:t xml:space="preserve">، </w:t>
      </w:r>
      <w:r w:rsidR="009C32A0">
        <w:rPr>
          <w:rFonts w:hint="cs"/>
          <w:rtl/>
          <w:lang w:bidi="ar-KW"/>
        </w:rPr>
        <w:t>1)]</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فإن قيل</w:t>
      </w:r>
      <w:r>
        <w:rPr>
          <w:rFonts w:hint="cs"/>
          <w:rtl/>
          <w:lang w:bidi="ar-KW"/>
        </w:rPr>
        <w:t>:</w:t>
      </w:r>
      <w:r w:rsidR="009C32A0">
        <w:rPr>
          <w:rFonts w:hint="cs"/>
          <w:rtl/>
          <w:lang w:bidi="ar-KW"/>
        </w:rPr>
        <w:t xml:space="preserve"> نفي الجهة عن الموجود يوجب نفيه لاستحالة موجود في غير جهة</w:t>
      </w:r>
      <w:r>
        <w:rPr>
          <w:rFonts w:hint="cs"/>
          <w:rtl/>
          <w:lang w:bidi="ar-KW"/>
        </w:rPr>
        <w:t xml:space="preserve">، </w:t>
      </w:r>
      <w:r w:rsidR="009C32A0">
        <w:rPr>
          <w:rFonts w:hint="cs"/>
          <w:rtl/>
          <w:lang w:bidi="ar-KW"/>
        </w:rPr>
        <w:t>" قلنا</w:t>
      </w:r>
      <w:r>
        <w:rPr>
          <w:rFonts w:hint="cs"/>
          <w:rtl/>
          <w:lang w:bidi="ar-KW"/>
        </w:rPr>
        <w:t>:</w:t>
      </w:r>
      <w:r w:rsidR="009C32A0">
        <w:rPr>
          <w:rFonts w:hint="cs"/>
          <w:rtl/>
          <w:lang w:bidi="ar-KW"/>
        </w:rPr>
        <w:t xml:space="preserve"> الموجود قسمان</w:t>
      </w:r>
      <w:r>
        <w:rPr>
          <w:rFonts w:hint="cs"/>
          <w:rtl/>
          <w:lang w:bidi="ar-KW"/>
        </w:rPr>
        <w:t>:</w:t>
      </w:r>
      <w:r w:rsidR="009C32A0">
        <w:rPr>
          <w:rFonts w:hint="cs"/>
          <w:rtl/>
          <w:lang w:bidi="ar-KW"/>
        </w:rPr>
        <w:t xml:space="preserve"> موجود لا يتصرف فيه الوهم والحس والخيال والانفصال</w:t>
      </w:r>
      <w:r>
        <w:rPr>
          <w:rFonts w:hint="cs"/>
          <w:rtl/>
          <w:lang w:bidi="ar-KW"/>
        </w:rPr>
        <w:t>،</w:t>
      </w:r>
      <w:r w:rsidR="009C32A0">
        <w:rPr>
          <w:rFonts w:hint="cs"/>
          <w:rtl/>
          <w:lang w:bidi="ar-KW"/>
        </w:rPr>
        <w:t xml:space="preserve"> وموجود يتصرف ذلك فيه ويقبله</w:t>
      </w:r>
      <w:r>
        <w:rPr>
          <w:rFonts w:hint="cs"/>
          <w:rtl/>
          <w:lang w:bidi="ar-KW"/>
        </w:rPr>
        <w:t xml:space="preserve">، </w:t>
      </w:r>
      <w:r w:rsidR="009C32A0">
        <w:rPr>
          <w:rFonts w:hint="cs"/>
          <w:rtl/>
          <w:lang w:bidi="ar-KW"/>
        </w:rPr>
        <w:t>فالأول ممنوع لاستحالته</w:t>
      </w:r>
      <w:r>
        <w:rPr>
          <w:rFonts w:hint="cs"/>
          <w:rtl/>
          <w:lang w:bidi="ar-KW"/>
        </w:rPr>
        <w:t>،</w:t>
      </w:r>
      <w:r w:rsidR="009C32A0">
        <w:rPr>
          <w:rFonts w:hint="cs"/>
          <w:rtl/>
          <w:lang w:bidi="ar-KW"/>
        </w:rPr>
        <w:t xml:space="preserve"> والرب لا يتصرف فيه ذلك</w:t>
      </w:r>
      <w:r>
        <w:rPr>
          <w:rFonts w:hint="cs"/>
          <w:rtl/>
          <w:lang w:bidi="ar-KW"/>
        </w:rPr>
        <w:t>،</w:t>
      </w:r>
      <w:r w:rsidR="009C32A0">
        <w:rPr>
          <w:rFonts w:hint="cs"/>
          <w:rtl/>
          <w:lang w:bidi="ar-KW"/>
        </w:rPr>
        <w:t xml:space="preserve"> إذ ليس بجسم ولا عرض ولا جوهر</w:t>
      </w:r>
      <w:r>
        <w:rPr>
          <w:rFonts w:hint="cs"/>
          <w:rtl/>
          <w:lang w:bidi="ar-KW"/>
        </w:rPr>
        <w:t>،</w:t>
      </w:r>
      <w:r w:rsidR="009C32A0">
        <w:rPr>
          <w:rFonts w:hint="cs"/>
          <w:rtl/>
          <w:lang w:bidi="ar-KW"/>
        </w:rPr>
        <w:t xml:space="preserve"> فصح وجوده عقلا من غير جهة</w:t>
      </w:r>
      <w:r w:rsidR="009C32A0">
        <w:rPr>
          <w:rFonts w:hint="cs"/>
          <w:lang w:bidi="ar-KW"/>
        </w:rPr>
        <w:t xml:space="preserve"> </w:t>
      </w:r>
      <w:r w:rsidR="009C32A0">
        <w:rPr>
          <w:rFonts w:hint="cs"/>
          <w:rtl/>
          <w:lang w:bidi="ar-KW"/>
        </w:rPr>
        <w:t>ولا حيز كما دل الدليل العقلي فيه</w:t>
      </w:r>
      <w:r>
        <w:rPr>
          <w:rFonts w:hint="cs"/>
          <w:rtl/>
          <w:lang w:bidi="ar-KW"/>
        </w:rPr>
        <w:t>،</w:t>
      </w:r>
      <w:r w:rsidR="009C32A0">
        <w:rPr>
          <w:rFonts w:hint="cs"/>
          <w:rtl/>
          <w:lang w:bidi="ar-KW"/>
        </w:rPr>
        <w:t xml:space="preserve"> فوجب تصديقه عقلا</w:t>
      </w:r>
      <w:r>
        <w:rPr>
          <w:rFonts w:hint="cs"/>
          <w:rtl/>
          <w:lang w:bidi="ar-KW"/>
        </w:rPr>
        <w:t>،</w:t>
      </w:r>
      <w:r w:rsidR="009C32A0">
        <w:rPr>
          <w:rFonts w:hint="cs"/>
          <w:rtl/>
          <w:lang w:bidi="ar-KW"/>
        </w:rPr>
        <w:t xml:space="preserve"> وكما دل الدليل العقلي على وجوده مع نفي الجسمية والعرضية مع بُعد الفهم الحسي له</w:t>
      </w:r>
      <w:r>
        <w:rPr>
          <w:rFonts w:hint="cs"/>
          <w:rtl/>
          <w:lang w:bidi="ar-KW"/>
        </w:rPr>
        <w:t>،</w:t>
      </w:r>
      <w:r w:rsidR="009C32A0">
        <w:rPr>
          <w:rFonts w:hint="cs"/>
          <w:rtl/>
          <w:lang w:bidi="ar-KW"/>
        </w:rPr>
        <w:t xml:space="preserve"> فكذلك دلّ على نفي الجهة والحيز مع بُعد فهم الحسّ له</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إيضاح الدليل (ص/ 104- 105)</w:t>
      </w:r>
      <w:r>
        <w:rPr>
          <w:rFonts w:hint="cs"/>
          <w:rtl/>
          <w:lang w:bidi="ar-KW"/>
        </w:rPr>
        <w:t>]،</w:t>
      </w:r>
      <w:r w:rsidR="009C32A0">
        <w:rPr>
          <w:rFonts w:hint="cs"/>
          <w:rtl/>
          <w:lang w:bidi="ar-KW"/>
        </w:rPr>
        <w:t xml:space="preserve"> وقال المفسِّر النحوي أبو حيان الأندلسي (745 هـ) عند تفسير قوله تعالى</w:t>
      </w:r>
      <w:r>
        <w:rPr>
          <w:rFonts w:hint="cs"/>
          <w:rtl/>
          <w:lang w:bidi="ar-KW"/>
        </w:rPr>
        <w:t>:{</w:t>
      </w:r>
      <w:r w:rsidR="009C32A0">
        <w:rPr>
          <w:rFonts w:hint="cs"/>
          <w:rtl/>
          <w:lang w:bidi="ar-KW"/>
        </w:rPr>
        <w:t>وَلَهُ مَن فِي السَّمَاوَاتِ وَالْأَرْضِ وَمَنْ عِندَهُ لَا يَسْتَكْبِرُونَ عَنْ عِبَادَتِه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وعند هنا لا يراد بها ظرف المكان لأنه تعالى منزه عن المكان</w:t>
      </w:r>
      <w:r>
        <w:rPr>
          <w:rFonts w:hint="cs"/>
          <w:rtl/>
          <w:lang w:bidi="ar-KW"/>
        </w:rPr>
        <w:t>،</w:t>
      </w:r>
      <w:r w:rsidR="009C32A0">
        <w:rPr>
          <w:rFonts w:hint="cs"/>
          <w:rtl/>
          <w:lang w:bidi="ar-KW"/>
        </w:rPr>
        <w:t xml:space="preserve"> بل المعنى شرف المكانة وعلو المنزلة</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البحر المحيط (6/ 302)]</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قام البرهان العقلي على أنه تعالى ليس بمتحيز في جهة</w:t>
      </w:r>
      <w:r>
        <w:rPr>
          <w:rFonts w:hint="cs"/>
          <w:rtl/>
          <w:lang w:bidi="ar-KW"/>
        </w:rPr>
        <w:t>)</w:t>
      </w:r>
      <w:r w:rsidR="009C32A0">
        <w:rPr>
          <w:rFonts w:hint="cs"/>
          <w:rtl/>
          <w:lang w:bidi="ar-KW"/>
        </w:rPr>
        <w:t xml:space="preserve"> اهـ</w:t>
      </w:r>
      <w:r>
        <w:rPr>
          <w:rFonts w:hint="cs"/>
          <w:rtl/>
          <w:lang w:bidi="ar-KW"/>
        </w:rPr>
        <w:t xml:space="preserve">، </w:t>
      </w:r>
      <w:r w:rsidR="009C32A0">
        <w:rPr>
          <w:rFonts w:hint="cs"/>
          <w:rtl/>
          <w:lang w:bidi="ar-KW"/>
        </w:rPr>
        <w:t>[البحر المحيط</w:t>
      </w:r>
      <w:r>
        <w:rPr>
          <w:rFonts w:hint="cs"/>
          <w:rtl/>
          <w:lang w:bidi="ar-KW"/>
        </w:rPr>
        <w:t>:</w:t>
      </w:r>
      <w:r w:rsidR="009C32A0">
        <w:rPr>
          <w:rFonts w:hint="cs"/>
          <w:rtl/>
          <w:lang w:bidi="ar-KW"/>
        </w:rPr>
        <w:t xml:space="preserve"> 16- 8/ 302)</w:t>
      </w:r>
      <w:r>
        <w:rPr>
          <w:rFonts w:hint="cs"/>
          <w:rtl/>
          <w:lang w:bidi="ar-KW"/>
        </w:rPr>
        <w:t>]،</w:t>
      </w:r>
      <w:r w:rsidR="009C32A0">
        <w:rPr>
          <w:rFonts w:hint="cs"/>
          <w:rtl/>
          <w:lang w:bidi="ar-KW"/>
        </w:rPr>
        <w:t xml:space="preserve"> وقال الإمام الحافظ المحدث ولي الدين أبو زرعة أحمد بن عبد الرحيم العراقي (826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"وقوله أي النبي- "فهو عنده فوق العرش "لا بد من تأويل ظاهر لفظة "عنده " لأن معناها حضرة الشيء والله تعالى منزه عن الاستقرار والتحيز والجهة</w:t>
      </w:r>
      <w:r>
        <w:rPr>
          <w:rFonts w:hint="cs"/>
          <w:rtl/>
          <w:lang w:bidi="ar-KW"/>
        </w:rPr>
        <w:t>،</w:t>
      </w:r>
      <w:r w:rsidR="009C32A0">
        <w:rPr>
          <w:rFonts w:hint="cs"/>
          <w:rtl/>
          <w:lang w:bidi="ar-KW"/>
        </w:rPr>
        <w:t xml:space="preserve"> فالعندية ليست من حضرة المكان بل من حضرة الشرف</w:t>
      </w:r>
      <w:r>
        <w:rPr>
          <w:rFonts w:hint="cs"/>
          <w:rtl/>
          <w:lang w:bidi="ar-KW"/>
        </w:rPr>
        <w:t>،</w:t>
      </w:r>
      <w:r w:rsidR="009C32A0">
        <w:rPr>
          <w:rFonts w:hint="cs"/>
          <w:rtl/>
          <w:lang w:bidi="ar-KW"/>
        </w:rPr>
        <w:t xml:space="preserve"> أي وضع ذلك الكتاب في محل مُعظّم عنده</w:t>
      </w:r>
      <w:r>
        <w:rPr>
          <w:rFonts w:hint="cs"/>
          <w:rtl/>
          <w:lang w:bidi="ar-KW"/>
        </w:rPr>
        <w:t>)</w:t>
      </w:r>
      <w:r w:rsidR="009C32A0">
        <w:rPr>
          <w:rFonts w:hint="cs"/>
          <w:rtl/>
          <w:lang w:bidi="ar-KW"/>
        </w:rPr>
        <w:t xml:space="preserve"> اهـ </w:t>
      </w:r>
      <w:r>
        <w:rPr>
          <w:rFonts w:hint="cs"/>
          <w:rtl/>
          <w:lang w:bidi="ar-KW"/>
        </w:rPr>
        <w:t>[</w:t>
      </w:r>
      <w:r w:rsidR="009C32A0">
        <w:rPr>
          <w:rFonts w:hint="cs"/>
          <w:rtl/>
          <w:lang w:bidi="ar-KW"/>
        </w:rPr>
        <w:t>طرح التثريب (8/</w:t>
      </w:r>
      <w:r>
        <w:rPr>
          <w:rFonts w:hint="cs"/>
          <w:rtl/>
          <w:lang w:bidi="ar-KW"/>
        </w:rPr>
        <w:t>،</w:t>
      </w:r>
      <w:r w:rsidR="009C32A0">
        <w:rPr>
          <w:rFonts w:hint="cs"/>
          <w:rtl/>
          <w:lang w:bidi="ar-KW"/>
        </w:rPr>
        <w:t>84)</w:t>
      </w:r>
      <w:r>
        <w:rPr>
          <w:rFonts w:hint="cs"/>
          <w:rtl/>
          <w:lang w:bidi="ar-KW"/>
        </w:rPr>
        <w:t>]،</w:t>
      </w:r>
      <w:r w:rsidR="009C32A0">
        <w:rPr>
          <w:rFonts w:hint="cs"/>
          <w:rtl/>
          <w:lang w:bidi="ar-KW"/>
        </w:rPr>
        <w:t xml:space="preserve"> وقال إمام الدنيا في الحديث الحافظ ابن حجر العسقلاني (852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ولا يلزم من كون جهتي العلو والسفل محالا على الله أن لا يوصف بالعلو</w:t>
      </w:r>
      <w:r>
        <w:rPr>
          <w:rFonts w:hint="cs"/>
          <w:rtl/>
          <w:lang w:bidi="ar-KW"/>
        </w:rPr>
        <w:t>،</w:t>
      </w:r>
      <w:r w:rsidR="009C32A0">
        <w:rPr>
          <w:rFonts w:hint="cs"/>
          <w:rtl/>
          <w:lang w:bidi="ar-KW"/>
        </w:rPr>
        <w:t xml:space="preserve"> لأن وصفه بالعلو من جهة المعنى</w:t>
      </w:r>
      <w:r>
        <w:rPr>
          <w:rFonts w:hint="cs"/>
          <w:rtl/>
          <w:lang w:bidi="ar-KW"/>
        </w:rPr>
        <w:t>،</w:t>
      </w:r>
      <w:r w:rsidR="009C32A0">
        <w:rPr>
          <w:rFonts w:hint="cs"/>
          <w:rtl/>
          <w:lang w:bidi="ar-KW"/>
        </w:rPr>
        <w:t xml:space="preserve"> والمستحيل كون ذلك من جهة الحس</w:t>
      </w:r>
      <w:r>
        <w:rPr>
          <w:rFonts w:hint="cs"/>
          <w:rtl/>
          <w:lang w:bidi="ar-KW"/>
        </w:rPr>
        <w:t>،</w:t>
      </w:r>
      <w:r w:rsidR="009C32A0">
        <w:rPr>
          <w:rFonts w:hint="cs"/>
          <w:rtl/>
          <w:lang w:bidi="ar-KW"/>
        </w:rPr>
        <w:t xml:space="preserve"> ولذلك ورد في صفته العالي والعلي والمتعالي</w:t>
      </w:r>
      <w:r>
        <w:rPr>
          <w:rFonts w:hint="cs"/>
          <w:rtl/>
          <w:lang w:bidi="ar-KW"/>
        </w:rPr>
        <w:t>،</w:t>
      </w:r>
      <w:r w:rsidR="009C32A0">
        <w:rPr>
          <w:rFonts w:hint="cs"/>
          <w:rtl/>
          <w:lang w:bidi="ar-KW"/>
        </w:rPr>
        <w:t xml:space="preserve"> ولم يرد ضد ذلك وإن كان قد أحاط بكل شىء علما جلّ وعز</w:t>
      </w:r>
      <w:r>
        <w:rPr>
          <w:rFonts w:hint="cs"/>
          <w:rtl/>
          <w:lang w:bidi="ar-KW"/>
        </w:rPr>
        <w:t>)</w:t>
      </w:r>
      <w:r w:rsidR="009C32A0">
        <w:rPr>
          <w:rFonts w:hint="cs"/>
          <w:rtl/>
          <w:lang w:bidi="ar-KW"/>
        </w:rPr>
        <w:t xml:space="preserve"> أهـ</w:t>
      </w:r>
      <w:r>
        <w:rPr>
          <w:rFonts w:hint="cs"/>
          <w:rtl/>
          <w:lang w:bidi="ar-KW"/>
        </w:rPr>
        <w:t xml:space="preserve"> [</w:t>
      </w:r>
      <w:r w:rsidR="009C32A0">
        <w:rPr>
          <w:rFonts w:hint="cs"/>
          <w:rtl/>
          <w:lang w:bidi="ar-KW"/>
        </w:rPr>
        <w:t>فتح الباري(6/ 136)</w:t>
      </w:r>
      <w:r>
        <w:rPr>
          <w:rFonts w:hint="cs"/>
          <w:rtl/>
          <w:lang w:bidi="ar-KW"/>
        </w:rPr>
        <w:t>]،</w:t>
      </w:r>
      <w:r w:rsidR="009C32A0">
        <w:rPr>
          <w:rFonts w:hint="cs"/>
          <w:rtl/>
          <w:lang w:bidi="ar-KW"/>
        </w:rPr>
        <w:t xml:space="preserve"> وقال الإمام العَيْني أحد شراح صحيح البخاري (855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ولا يدل قوله تعالى</w:t>
      </w:r>
      <w:r>
        <w:rPr>
          <w:rFonts w:hint="cs"/>
          <w:rtl/>
          <w:lang w:bidi="ar-KW"/>
        </w:rPr>
        <w:t>:{</w:t>
      </w:r>
      <w:r w:rsidR="009C32A0">
        <w:rPr>
          <w:rFonts w:hint="cs"/>
          <w:rtl/>
          <w:lang w:bidi="ar-KW"/>
        </w:rPr>
        <w:t>وكان عرشه على الماء</w:t>
      </w:r>
      <w:r>
        <w:rPr>
          <w:rFonts w:hint="cs"/>
          <w:rtl/>
          <w:lang w:bidi="ar-KW"/>
        </w:rPr>
        <w:t xml:space="preserve">} </w:t>
      </w:r>
      <w:r w:rsidR="009C32A0">
        <w:rPr>
          <w:rFonts w:hint="cs"/>
          <w:rtl/>
          <w:lang w:bidi="ar-KW"/>
        </w:rPr>
        <w:t>على أنه - تعالى- حالّ عليه</w:t>
      </w:r>
      <w:r>
        <w:rPr>
          <w:rFonts w:hint="cs"/>
          <w:rtl/>
          <w:lang w:bidi="ar-KW"/>
        </w:rPr>
        <w:t>،</w:t>
      </w:r>
      <w:r w:rsidR="009C32A0">
        <w:rPr>
          <w:rFonts w:hint="cs"/>
          <w:rtl/>
          <w:lang w:bidi="ar-KW"/>
        </w:rPr>
        <w:t xml:space="preserve"> وإنما أخبر عن العرش خاصة بأنه على الماء</w:t>
      </w:r>
      <w:r>
        <w:rPr>
          <w:rFonts w:hint="cs"/>
          <w:rtl/>
          <w:lang w:bidi="ar-KW"/>
        </w:rPr>
        <w:t>،</w:t>
      </w:r>
      <w:r w:rsidR="009C32A0">
        <w:rPr>
          <w:rFonts w:hint="cs"/>
          <w:rtl/>
          <w:lang w:bidi="ar-KW"/>
        </w:rPr>
        <w:t xml:space="preserve"> ولم يخبر عن نفسه بأنه حال عليه</w:t>
      </w:r>
      <w:r>
        <w:rPr>
          <w:rFonts w:hint="cs"/>
          <w:rtl/>
          <w:lang w:bidi="ar-KW"/>
        </w:rPr>
        <w:t>،</w:t>
      </w:r>
      <w:r w:rsidR="009C32A0">
        <w:rPr>
          <w:rFonts w:hint="cs"/>
          <w:rtl/>
          <w:lang w:bidi="ar-KW"/>
        </w:rPr>
        <w:t xml:space="preserve"> تعالى الله عن ذلك</w:t>
      </w:r>
      <w:r>
        <w:rPr>
          <w:rFonts w:hint="cs"/>
          <w:rtl/>
          <w:lang w:bidi="ar-KW"/>
        </w:rPr>
        <w:t>،</w:t>
      </w:r>
      <w:r w:rsidR="009C32A0">
        <w:rPr>
          <w:rFonts w:hint="cs"/>
          <w:rtl/>
          <w:lang w:bidi="ar-KW"/>
        </w:rPr>
        <w:t xml:space="preserve"> لأنه لم يكن له حاجة إليه " اهـ</w:t>
      </w:r>
      <w:r>
        <w:rPr>
          <w:rFonts w:hint="cs"/>
          <w:rtl/>
          <w:lang w:bidi="ar-KW"/>
        </w:rPr>
        <w:t>، [</w:t>
      </w:r>
      <w:r w:rsidR="009C32A0">
        <w:rPr>
          <w:rFonts w:hint="cs"/>
          <w:rtl/>
          <w:lang w:bidi="ar-KW"/>
        </w:rPr>
        <w:t>عمدة القاري (مجلد 12/ 25/ 111)</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تقرر أن الله ليس بجسم</w:t>
      </w:r>
      <w:r>
        <w:rPr>
          <w:rFonts w:hint="cs"/>
          <w:rtl/>
          <w:lang w:bidi="ar-KW"/>
        </w:rPr>
        <w:t>،</w:t>
      </w:r>
      <w:r w:rsidR="009C32A0">
        <w:rPr>
          <w:rFonts w:hint="cs"/>
          <w:rtl/>
          <w:lang w:bidi="ar-KW"/>
        </w:rPr>
        <w:t xml:space="preserve"> فلا يحتاج إلى مكان يستقر فيه</w:t>
      </w:r>
      <w:r>
        <w:rPr>
          <w:rFonts w:hint="cs"/>
          <w:rtl/>
          <w:lang w:bidi="ar-KW"/>
        </w:rPr>
        <w:t>،</w:t>
      </w:r>
      <w:r w:rsidR="009C32A0">
        <w:rPr>
          <w:rFonts w:hint="cs"/>
          <w:rtl/>
          <w:lang w:bidi="ar-KW"/>
        </w:rPr>
        <w:t xml:space="preserve"> فقد كان ولا مكان</w:t>
      </w:r>
      <w:r>
        <w:rPr>
          <w:rFonts w:hint="cs"/>
          <w:rtl/>
          <w:lang w:bidi="ar-KW"/>
        </w:rPr>
        <w:t>)</w:t>
      </w:r>
      <w:r w:rsidR="009C32A0">
        <w:rPr>
          <w:rFonts w:hint="cs"/>
          <w:rtl/>
          <w:lang w:bidi="ar-KW"/>
        </w:rPr>
        <w:t xml:space="preserve"> أ ه </w:t>
      </w:r>
      <w:r>
        <w:rPr>
          <w:rFonts w:hint="cs"/>
          <w:rtl/>
          <w:lang w:bidi="ar-KW"/>
        </w:rPr>
        <w:t>[</w:t>
      </w:r>
      <w:r w:rsidR="009C32A0">
        <w:rPr>
          <w:rFonts w:hint="cs"/>
          <w:rtl/>
          <w:lang w:bidi="ar-KW"/>
        </w:rPr>
        <w:t xml:space="preserve">عمدة </w:t>
      </w:r>
      <w:r w:rsidR="009C32A0">
        <w:rPr>
          <w:rFonts w:hint="cs"/>
          <w:rtl/>
          <w:lang w:bidi="ar-KW"/>
        </w:rPr>
        <w:lastRenderedPageBreak/>
        <w:t>القاري (مجلد 12/ 25/ 117)</w:t>
      </w:r>
      <w:r>
        <w:rPr>
          <w:rFonts w:hint="cs"/>
          <w:rtl/>
          <w:lang w:bidi="ar-KW"/>
        </w:rPr>
        <w:t>]،</w:t>
      </w:r>
      <w:r w:rsidR="009C32A0">
        <w:rPr>
          <w:rFonts w:hint="cs"/>
          <w:rtl/>
          <w:lang w:bidi="ar-KW"/>
        </w:rPr>
        <w:t xml:space="preserve"> وقال الحافظ السخاوي (902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قال شيخنا- يعني الحافظ ابن حجر-</w:t>
      </w:r>
      <w:r>
        <w:rPr>
          <w:rFonts w:hint="cs"/>
          <w:rtl/>
          <w:lang w:bidi="ar-KW"/>
        </w:rPr>
        <w:t>:</w:t>
      </w:r>
      <w:r w:rsidR="009C32A0">
        <w:rPr>
          <w:rFonts w:hint="cs"/>
          <w:rtl/>
          <w:lang w:bidi="ar-KW"/>
        </w:rPr>
        <w:t xml:space="preserve"> إن علم الله يشمل جميع الأقطار</w:t>
      </w:r>
      <w:r>
        <w:rPr>
          <w:rFonts w:hint="cs"/>
          <w:rtl/>
          <w:lang w:bidi="ar-KW"/>
        </w:rPr>
        <w:t>،</w:t>
      </w:r>
      <w:r w:rsidR="009C32A0">
        <w:rPr>
          <w:rFonts w:hint="cs"/>
          <w:rtl/>
          <w:lang w:bidi="ar-KW"/>
        </w:rPr>
        <w:t xml:space="preserve"> والله سبحانه وتعالى منزه عن الحلول في الأماكن</w:t>
      </w:r>
      <w:r>
        <w:rPr>
          <w:rFonts w:hint="cs"/>
          <w:rtl/>
          <w:lang w:bidi="ar-KW"/>
        </w:rPr>
        <w:t>،</w:t>
      </w:r>
      <w:r w:rsidR="009C32A0">
        <w:rPr>
          <w:rFonts w:hint="cs"/>
          <w:rtl/>
          <w:lang w:bidi="ar-KW"/>
        </w:rPr>
        <w:t xml:space="preserve"> فإنه سبحانه وتعالى كان قبل أن تحدث الأماكن</w:t>
      </w:r>
      <w:r>
        <w:rPr>
          <w:rFonts w:hint="cs"/>
          <w:rtl/>
          <w:lang w:bidi="ar-KW"/>
        </w:rPr>
        <w:t>)</w:t>
      </w:r>
      <w:r w:rsidR="009C32A0">
        <w:rPr>
          <w:rFonts w:hint="cs"/>
          <w:rtl/>
          <w:lang w:bidi="ar-KW"/>
        </w:rPr>
        <w:t xml:space="preserve"> أهـ</w:t>
      </w:r>
      <w:r>
        <w:rPr>
          <w:rFonts w:hint="cs"/>
          <w:rtl/>
          <w:lang w:bidi="ar-KW"/>
        </w:rPr>
        <w:t>، [</w:t>
      </w:r>
      <w:r w:rsidR="009C32A0">
        <w:rPr>
          <w:rFonts w:hint="cs"/>
          <w:rtl/>
          <w:lang w:bidi="ar-KW"/>
        </w:rPr>
        <w:t>المقاصد الحسنة (رقم 886</w:t>
      </w:r>
      <w:r>
        <w:rPr>
          <w:rFonts w:hint="cs"/>
          <w:rtl/>
          <w:lang w:bidi="ar-KW"/>
        </w:rPr>
        <w:t>،</w:t>
      </w:r>
      <w:r w:rsidR="009C32A0">
        <w:rPr>
          <w:rFonts w:hint="cs"/>
          <w:rtl/>
          <w:lang w:bidi="ar-KW"/>
        </w:rPr>
        <w:t xml:space="preserve"> ص/ 342)</w:t>
      </w:r>
      <w:r>
        <w:rPr>
          <w:rFonts w:hint="cs"/>
          <w:rtl/>
          <w:lang w:bidi="ar-KW"/>
        </w:rPr>
        <w:t>]،</w:t>
      </w:r>
      <w:r w:rsidR="009C32A0">
        <w:rPr>
          <w:rFonts w:hint="cs"/>
          <w:rtl/>
          <w:lang w:bidi="ar-KW"/>
        </w:rPr>
        <w:t xml:space="preserve"> وقال الحافظ جلال الدين السيوطي (911 هـ) عند شرح حديث</w:t>
      </w:r>
      <w:r>
        <w:rPr>
          <w:rFonts w:hint="cs"/>
          <w:rtl/>
          <w:lang w:bidi="ar-KW"/>
        </w:rPr>
        <w:t>:</w:t>
      </w:r>
      <w:r w:rsidR="009C32A0">
        <w:rPr>
          <w:rFonts w:hint="cs"/>
          <w:rtl/>
          <w:lang w:bidi="ar-KW"/>
        </w:rPr>
        <w:t xml:space="preserve"> (أقرب ما يكون العبد من ربه وهو ساجد)</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قال القرطبي</w:t>
      </w:r>
      <w:r>
        <w:rPr>
          <w:rFonts w:hint="cs"/>
          <w:rtl/>
          <w:lang w:bidi="ar-KW"/>
        </w:rPr>
        <w:t>:</w:t>
      </w:r>
      <w:r w:rsidR="009C32A0">
        <w:rPr>
          <w:rFonts w:hint="cs"/>
          <w:rtl/>
          <w:lang w:bidi="ar-KW"/>
        </w:rPr>
        <w:t xml:space="preserve"> هذا أقرب بالرتبة والكرامة لا بالمسافة</w:t>
      </w:r>
      <w:r>
        <w:rPr>
          <w:rFonts w:hint="cs"/>
          <w:rtl/>
          <w:lang w:bidi="ar-KW"/>
        </w:rPr>
        <w:t>،</w:t>
      </w:r>
      <w:r w:rsidR="009C32A0">
        <w:rPr>
          <w:rFonts w:hint="cs"/>
          <w:rtl/>
          <w:lang w:bidi="ar-KW"/>
        </w:rPr>
        <w:t xml:space="preserve"> لأنه منزه عن المكان والمساحة والزمان</w:t>
      </w:r>
      <w:r>
        <w:rPr>
          <w:rFonts w:hint="cs"/>
          <w:rtl/>
          <w:lang w:bidi="ar-KW"/>
        </w:rPr>
        <w:t xml:space="preserve">، </w:t>
      </w:r>
      <w:r w:rsidR="009C32A0">
        <w:rPr>
          <w:rFonts w:hint="cs"/>
          <w:rtl/>
          <w:lang w:bidi="ar-KW"/>
        </w:rPr>
        <w:t>وقال البدر بن الصاحب في تذكرته</w:t>
      </w:r>
      <w:r>
        <w:rPr>
          <w:rFonts w:hint="cs"/>
          <w:rtl/>
          <w:lang w:bidi="ar-KW"/>
        </w:rPr>
        <w:t>:</w:t>
      </w:r>
      <w:r w:rsidR="009C32A0">
        <w:rPr>
          <w:rFonts w:hint="cs"/>
          <w:rtl/>
          <w:lang w:bidi="ar-KW"/>
        </w:rPr>
        <w:t xml:space="preserve"> في الحديث إشارة إلى نفي الجهة عن الله تعالى</w:t>
      </w:r>
      <w:r>
        <w:rPr>
          <w:rFonts w:hint="cs"/>
          <w:rtl/>
          <w:lang w:bidi="ar-KW"/>
        </w:rPr>
        <w:t>)</w:t>
      </w:r>
      <w:r w:rsidR="009C32A0">
        <w:rPr>
          <w:rFonts w:hint="cs"/>
          <w:rtl/>
          <w:lang w:bidi="ar-KW"/>
        </w:rPr>
        <w:t xml:space="preserve"> أهـ</w:t>
      </w:r>
      <w:r>
        <w:rPr>
          <w:rFonts w:hint="cs"/>
          <w:rtl/>
          <w:lang w:bidi="ar-KW"/>
        </w:rPr>
        <w:t xml:space="preserve">، </w:t>
      </w:r>
      <w:r w:rsidR="009C32A0">
        <w:rPr>
          <w:rFonts w:hint="cs"/>
          <w:rtl/>
          <w:lang w:bidi="ar-KW"/>
        </w:rPr>
        <w:t>[شرح السيوطي لسنن النساني (1/ 576)</w:t>
      </w:r>
      <w:r>
        <w:rPr>
          <w:rFonts w:hint="cs"/>
          <w:rtl/>
          <w:lang w:bidi="ar-KW"/>
        </w:rPr>
        <w:t>]،</w:t>
      </w:r>
      <w:r w:rsidR="009C32A0">
        <w:rPr>
          <w:rFonts w:hint="cs"/>
          <w:rtl/>
          <w:lang w:bidi="ar-KW"/>
        </w:rPr>
        <w:t xml:space="preserve"> وقال الإمام القسطلاني</w:t>
      </w:r>
      <w:r>
        <w:rPr>
          <w:rFonts w:hint="cs"/>
          <w:rtl/>
          <w:lang w:bidi="ar-KW"/>
        </w:rPr>
        <w:t xml:space="preserve"> </w:t>
      </w:r>
      <w:r w:rsidR="009C32A0">
        <w:rPr>
          <w:rFonts w:hint="cs"/>
          <w:rtl/>
          <w:lang w:bidi="ar-KW"/>
        </w:rPr>
        <w:t>(933هـ) في شرحه على صحيح البخاري</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ذات الله منزه عن المكان والجهة</w:t>
      </w:r>
      <w:r>
        <w:rPr>
          <w:rFonts w:hint="cs"/>
          <w:rtl/>
          <w:lang w:bidi="ar-KW"/>
        </w:rPr>
        <w:t>)</w:t>
      </w:r>
      <w:r w:rsidR="009C32A0">
        <w:rPr>
          <w:rFonts w:hint="cs"/>
          <w:rtl/>
          <w:lang w:bidi="ar-KW"/>
        </w:rPr>
        <w:t xml:space="preserve"> أهـ</w:t>
      </w:r>
      <w:r>
        <w:rPr>
          <w:rFonts w:hint="cs"/>
          <w:rtl/>
          <w:lang w:bidi="ar-KW"/>
        </w:rPr>
        <w:t>، [</w:t>
      </w:r>
      <w:r w:rsidR="009C32A0">
        <w:rPr>
          <w:rFonts w:hint="cs"/>
          <w:rtl/>
          <w:lang w:bidi="ar-KW"/>
        </w:rPr>
        <w:t>إرشاد الساري (15/ 451)</w:t>
      </w:r>
      <w:r>
        <w:rPr>
          <w:rFonts w:hint="cs"/>
          <w:rtl/>
          <w:lang w:bidi="ar-KW"/>
        </w:rPr>
        <w:t>]،</w:t>
      </w:r>
      <w:r w:rsidR="009C32A0">
        <w:rPr>
          <w:rFonts w:hint="cs"/>
          <w:rtl/>
          <w:lang w:bidi="ar-KW"/>
        </w:rPr>
        <w:t xml:space="preserve"> وقال الإمام القاضي أبو زكريا الأنصاري (926 هـ)</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إن الله ليس بجسم ولا عَرَض ولا في مكان ولا زمان) أهـ </w:t>
      </w:r>
      <w:r>
        <w:rPr>
          <w:rFonts w:hint="cs"/>
          <w:rtl/>
          <w:lang w:bidi="ar-KW"/>
        </w:rPr>
        <w:t>[</w:t>
      </w:r>
      <w:r w:rsidR="009C32A0">
        <w:rPr>
          <w:rFonts w:hint="cs"/>
          <w:rtl/>
          <w:lang w:bidi="ar-KW"/>
        </w:rPr>
        <w:t>حاشية الرسالة القشيرية (ص/ 2)</w:t>
      </w:r>
      <w:r>
        <w:rPr>
          <w:rFonts w:hint="cs"/>
          <w:rtl/>
          <w:lang w:bidi="ar-KW"/>
        </w:rPr>
        <w:t>]،</w:t>
      </w:r>
      <w:r w:rsidR="009C32A0">
        <w:rPr>
          <w:rFonts w:hint="cs"/>
          <w:rtl/>
          <w:lang w:bidi="ar-KW"/>
        </w:rPr>
        <w:t xml:space="preserve"> وقال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لا مكان له</w:t>
      </w:r>
      <w:r>
        <w:rPr>
          <w:rFonts w:hint="cs"/>
          <w:rtl/>
          <w:lang w:bidi="ar-KW"/>
        </w:rPr>
        <w:t xml:space="preserve"> </w:t>
      </w:r>
      <w:r w:rsidR="009C32A0">
        <w:rPr>
          <w:rFonts w:hint="cs"/>
          <w:rtl/>
          <w:lang w:bidi="ar-KW"/>
        </w:rPr>
        <w:t xml:space="preserve">- سبحانه - كما لا زمان له لأنه الخالق لكل مكان وزمان) أهـ </w:t>
      </w:r>
      <w:r>
        <w:rPr>
          <w:rFonts w:hint="cs"/>
          <w:rtl/>
          <w:lang w:bidi="ar-KW"/>
        </w:rPr>
        <w:t>[</w:t>
      </w:r>
      <w:r w:rsidR="009C32A0">
        <w:rPr>
          <w:rFonts w:hint="cs"/>
          <w:rtl/>
          <w:lang w:bidi="ar-KW"/>
        </w:rPr>
        <w:t>المصدر السابق</w:t>
      </w:r>
      <w:r>
        <w:rPr>
          <w:rFonts w:hint="cs"/>
          <w:rtl/>
          <w:lang w:bidi="ar-KW"/>
        </w:rPr>
        <w:t>:</w:t>
      </w:r>
      <w:r w:rsidR="009C32A0">
        <w:rPr>
          <w:rFonts w:hint="cs"/>
          <w:rtl/>
          <w:lang w:bidi="ar-KW"/>
        </w:rPr>
        <w:t xml:space="preserve"> (ص/ 5)</w:t>
      </w:r>
      <w:r>
        <w:rPr>
          <w:rFonts w:hint="cs"/>
          <w:rtl/>
          <w:lang w:bidi="ar-KW"/>
        </w:rPr>
        <w:t>]</w:t>
      </w:r>
      <w:r>
        <w:rPr>
          <w:rFonts w:hint="cs"/>
          <w:rtl/>
        </w:rPr>
        <w:t>،</w:t>
      </w:r>
      <w:r w:rsidR="009C32A0">
        <w:rPr>
          <w:rFonts w:hint="cs"/>
          <w:rtl/>
        </w:rPr>
        <w:t xml:space="preserve"> </w:t>
      </w:r>
      <w:r>
        <w:rPr>
          <w:rFonts w:hint="cs"/>
          <w:bCs/>
          <w:rtl/>
        </w:rPr>
        <w:t>[</w:t>
      </w:r>
      <w:r w:rsidR="009C32A0">
        <w:rPr>
          <w:rFonts w:hint="cs"/>
          <w:bCs/>
          <w:rtl/>
        </w:rPr>
        <w:t>ومن أقوال العلماء في تنزيه الله تعالى عن الزمان</w:t>
      </w:r>
      <w:r>
        <w:rPr>
          <w:rFonts w:hint="cs"/>
          <w:bCs/>
          <w:rtl/>
        </w:rPr>
        <w:t>]</w:t>
      </w:r>
      <w:r>
        <w:rPr>
          <w:rFonts w:hint="cs"/>
          <w:rtl/>
        </w:rPr>
        <w:t>:</w:t>
      </w:r>
      <w:r>
        <w:rPr>
          <w:rFonts w:hint="cs"/>
          <w:rtl/>
          <w:lang w:bidi="ar-KW"/>
        </w:rPr>
        <w:t xml:space="preserve"> </w:t>
      </w:r>
      <w:r w:rsidR="009C32A0">
        <w:rPr>
          <w:rFonts w:hint="cs"/>
          <w:rtl/>
          <w:lang w:bidi="ar-KW"/>
        </w:rPr>
        <w:t>ذكر عبد القاهر بن طاهر التميمى البغدادى رحمه الله في كتابه الفرق بين الفرق صـ333 إجماع علماء أهل السنة على تنزيه الله تعالى عن الزمان فقال رحمه الله</w:t>
      </w:r>
      <w:r>
        <w:rPr>
          <w:rFonts w:hint="cs"/>
          <w:rtl/>
          <w:lang w:bidi="ar-KW"/>
        </w:rPr>
        <w:t xml:space="preserve">: </w:t>
      </w:r>
      <w:r w:rsidR="009C32A0">
        <w:rPr>
          <w:rFonts w:hint="cs"/>
          <w:rtl/>
          <w:lang w:bidi="ar-KW"/>
        </w:rPr>
        <w:t>" وأجمعوا على</w:t>
      </w:r>
      <w:r w:rsidR="009C32A0">
        <w:rPr>
          <w:rFonts w:hint="cs"/>
          <w:lang w:bidi="ar-KW"/>
        </w:rPr>
        <w:t xml:space="preserve"> </w:t>
      </w:r>
      <w:r w:rsidR="009C32A0">
        <w:rPr>
          <w:rFonts w:hint="cs"/>
          <w:rtl/>
          <w:lang w:bidi="ar-KW"/>
        </w:rPr>
        <w:t>أنه لا يحويه مكان ولا يجرى عليه زمان " أهـــ</w:t>
      </w:r>
      <w:r>
        <w:rPr>
          <w:rFonts w:hint="cs"/>
          <w:rtl/>
          <w:lang w:bidi="ar-KW"/>
        </w:rPr>
        <w:t>،</w:t>
      </w:r>
      <w:r w:rsidR="009C32A0">
        <w:rPr>
          <w:rFonts w:hint="cs"/>
          <w:rtl/>
          <w:lang w:bidi="ar-KW"/>
        </w:rPr>
        <w:t xml:space="preserve"> وقال الإمام الشافعي رضي الله عنه</w:t>
      </w:r>
      <w:r>
        <w:rPr>
          <w:rFonts w:hint="cs"/>
          <w:rtl/>
          <w:lang w:bidi="ar-KW"/>
        </w:rPr>
        <w:t>:</w:t>
      </w:r>
      <w:r w:rsidR="009C32A0">
        <w:rPr>
          <w:rFonts w:hint="cs"/>
          <w:rtl/>
          <w:lang w:bidi="ar-KW"/>
        </w:rPr>
        <w:t xml:space="preserve"> في كتابه (الفقه الأكبر صـ</w:t>
      </w:r>
      <w:r>
        <w:rPr>
          <w:rFonts w:hint="cs"/>
          <w:rtl/>
          <w:lang w:bidi="ar-KW"/>
        </w:rPr>
        <w:t xml:space="preserve"> </w:t>
      </w:r>
      <w:r w:rsidR="009C32A0">
        <w:rPr>
          <w:rFonts w:hint="cs"/>
          <w:rtl/>
          <w:lang w:bidi="ar-KW"/>
        </w:rPr>
        <w:t>17) (فصل</w:t>
      </w:r>
      <w:r>
        <w:rPr>
          <w:rFonts w:hint="cs"/>
          <w:rtl/>
          <w:lang w:bidi="ar-KW"/>
        </w:rPr>
        <w:t>):</w:t>
      </w:r>
      <w:r w:rsidR="009C32A0">
        <w:rPr>
          <w:rFonts w:hint="cs"/>
          <w:rtl/>
          <w:lang w:bidi="ar-KW"/>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rtl/>
          <w:lang w:bidi="ar-KW"/>
        </w:rPr>
        <w:t>:</w:t>
      </w:r>
      <w:r w:rsidR="009C32A0">
        <w:rPr>
          <w:rFonts w:hint="cs"/>
          <w:rtl/>
          <w:lang w:bidi="ar-KW"/>
        </w:rPr>
        <w:t xml:space="preserve"> " فإن قيل " قال الله تعالى</w:t>
      </w:r>
      <w:r>
        <w:rPr>
          <w:rFonts w:hint="cs"/>
          <w:rtl/>
          <w:lang w:bidi="ar-KW"/>
        </w:rPr>
        <w:t>:{</w:t>
      </w:r>
      <w:r w:rsidR="009C32A0">
        <w:rPr>
          <w:rFonts w:hint="cs"/>
          <w:rtl/>
          <w:lang w:bidi="ar-KW"/>
        </w:rPr>
        <w:t>الرحمن على العرش استوى</w:t>
      </w:r>
      <w:r>
        <w:rPr>
          <w:rFonts w:hint="cs"/>
          <w:rtl/>
          <w:lang w:bidi="ar-KW"/>
        </w:rPr>
        <w:t>}،</w:t>
      </w:r>
      <w:r w:rsidR="009C32A0">
        <w:rPr>
          <w:rFonts w:hint="cs"/>
          <w:rtl/>
          <w:lang w:bidi="ar-KW"/>
        </w:rPr>
        <w:t xml:space="preserve"> يقال له</w:t>
      </w:r>
      <w:r>
        <w:rPr>
          <w:rFonts w:hint="cs"/>
          <w:rtl/>
          <w:lang w:bidi="ar-KW"/>
        </w:rPr>
        <w:t>:</w:t>
      </w:r>
      <w:r w:rsidR="009C32A0">
        <w:rPr>
          <w:rFonts w:hint="cs"/>
          <w:rtl/>
          <w:lang w:bidi="ar-KW"/>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وأنه لا يحويه مكان , ولا يجري عليه زمان منزه عن الحدود والنهايات , مستغن عن المكان والجهات</w:t>
      </w:r>
      <w:r>
        <w:rPr>
          <w:rFonts w:hint="cs"/>
          <w:rtl/>
          <w:lang w:bidi="ar-KW"/>
        </w:rPr>
        <w:t xml:space="preserve">، </w:t>
      </w:r>
      <w:r w:rsidR="009C32A0">
        <w:rPr>
          <w:rFonts w:hint="cs"/>
          <w:rtl/>
          <w:lang w:bidi="ar-KW"/>
        </w:rPr>
        <w:t>(ليس كمثله شيء) " أهــ</w:t>
      </w:r>
      <w:r>
        <w:rPr>
          <w:rFonts w:hint="cs"/>
          <w:rtl/>
          <w:lang w:bidi="ar-KW"/>
        </w:rPr>
        <w:t xml:space="preserve">، </w:t>
      </w:r>
      <w:r w:rsidR="009C32A0">
        <w:rPr>
          <w:rFonts w:hint="cs"/>
          <w:rtl/>
          <w:lang w:bidi="ar-KW"/>
        </w:rPr>
        <w:t>وقال إمام أهل السنة الماتريدي</w:t>
      </w:r>
      <w:r>
        <w:rPr>
          <w:rFonts w:hint="cs"/>
          <w:rtl/>
          <w:lang w:bidi="ar-KW"/>
        </w:rPr>
        <w:t>:</w:t>
      </w:r>
      <w:r w:rsidR="009C32A0">
        <w:rPr>
          <w:rFonts w:hint="cs"/>
          <w:rtl/>
          <w:lang w:bidi="ar-KW"/>
        </w:rPr>
        <w:t xml:space="preserve"> (ولا يوصف شيء بالقرب إلى الله من طريق المسافة والمساحة ولا هو بالقرب إلى شيء من ذلك الوجه إذ ذلك جهة الحدود والتقدير بالأمكنة وقد كان ولا مكان فهو على ما كان يتعالى عن الزمان والمكان إذ إليهما ترجع حدود الأشياء ونهايتها ولا قوة إلا بالله</w:t>
      </w:r>
      <w:r>
        <w:rPr>
          <w:rFonts w:hint="cs"/>
          <w:rtl/>
          <w:lang w:bidi="ar-KW"/>
        </w:rPr>
        <w:t>)</w:t>
      </w:r>
      <w:r w:rsidR="009C32A0">
        <w:rPr>
          <w:rFonts w:hint="cs"/>
          <w:rtl/>
          <w:lang w:bidi="ar-KW"/>
        </w:rPr>
        <w:t xml:space="preserve"> أهـ </w:t>
      </w:r>
      <w:r>
        <w:rPr>
          <w:rFonts w:hint="cs"/>
          <w:rtl/>
          <w:lang w:bidi="ar-KW"/>
        </w:rPr>
        <w:t>[</w:t>
      </w:r>
      <w:r w:rsidR="009C32A0">
        <w:rPr>
          <w:rFonts w:hint="cs"/>
          <w:rtl/>
          <w:lang w:bidi="ar-KW"/>
        </w:rPr>
        <w:t>التوحيد للماتريدي ج</w:t>
      </w:r>
      <w:r>
        <w:rPr>
          <w:rFonts w:hint="cs"/>
          <w:rtl/>
          <w:lang w:bidi="ar-KW"/>
        </w:rPr>
        <w:t>:</w:t>
      </w:r>
      <w:r w:rsidR="009C32A0">
        <w:rPr>
          <w:rFonts w:hint="cs"/>
          <w:rtl/>
          <w:lang w:bidi="ar-KW"/>
        </w:rPr>
        <w:t xml:space="preserve"> 1 ص</w:t>
      </w:r>
      <w:r>
        <w:rPr>
          <w:rFonts w:hint="cs"/>
          <w:rtl/>
          <w:lang w:bidi="ar-KW"/>
        </w:rPr>
        <w:t>:</w:t>
      </w:r>
      <w:r w:rsidR="009C32A0">
        <w:rPr>
          <w:rFonts w:hint="cs"/>
          <w:rtl/>
          <w:lang w:bidi="ar-KW"/>
        </w:rPr>
        <w:t xml:space="preserve"> </w:t>
      </w:r>
      <w:r w:rsidR="009C32A0">
        <w:rPr>
          <w:rFonts w:hint="cs"/>
          <w:rtl/>
          <w:lang w:bidi="ar-KW"/>
        </w:rPr>
        <w:lastRenderedPageBreak/>
        <w:t>106</w:t>
      </w:r>
      <w:r>
        <w:rPr>
          <w:rFonts w:hint="cs"/>
          <w:rtl/>
          <w:lang w:bidi="ar-KW"/>
        </w:rPr>
        <w:t>]،</w:t>
      </w:r>
      <w:r w:rsidR="009C32A0">
        <w:rPr>
          <w:rFonts w:hint="cs"/>
          <w:rtl/>
          <w:lang w:bidi="ar-KW"/>
        </w:rPr>
        <w:t xml:space="preserve"> وقال ابن حزم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الله تعالى لا في مكان ولا في زمان أصلا وهو قول</w:t>
      </w:r>
      <w:r w:rsidR="009C32A0">
        <w:rPr>
          <w:rFonts w:hint="cs"/>
          <w:lang w:bidi="ar-KW"/>
        </w:rPr>
        <w:t xml:space="preserve"> </w:t>
      </w:r>
      <w:r w:rsidR="009C32A0">
        <w:rPr>
          <w:rFonts w:hint="cs"/>
          <w:rtl/>
          <w:lang w:bidi="ar-KW"/>
        </w:rPr>
        <w:t>الجمهور من أهل السنة وبه نقول وهو الذي لا يجوز غيره لبطلان كل ما عداه ولقوله</w:t>
      </w:r>
      <w:r w:rsidR="009C32A0">
        <w:rPr>
          <w:rFonts w:hint="cs"/>
          <w:lang w:bidi="ar-KW"/>
        </w:rPr>
        <w:t xml:space="preserve"> </w:t>
      </w:r>
      <w:r w:rsidR="009C32A0">
        <w:rPr>
          <w:rFonts w:hint="cs"/>
          <w:rtl/>
          <w:lang w:bidi="ar-KW"/>
        </w:rPr>
        <w:t>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ألا</w:t>
      </w:r>
      <w:r w:rsidR="009C32A0">
        <w:rPr>
          <w:rFonts w:hint="cs"/>
          <w:lang w:bidi="ar-KW"/>
        </w:rPr>
        <w:t xml:space="preserve"> </w:t>
      </w:r>
      <w:r w:rsidR="009C32A0">
        <w:rPr>
          <w:rFonts w:hint="cs"/>
          <w:rtl/>
          <w:lang w:bidi="ar-KW"/>
        </w:rPr>
        <w:t>أنه بكل شيء محيط</w:t>
      </w:r>
      <w:r>
        <w:rPr>
          <w:rFonts w:hint="cs"/>
          <w:rtl/>
          <w:lang w:bidi="ar-KW"/>
        </w:rPr>
        <w:t>}،</w:t>
      </w:r>
      <w:r w:rsidR="009C32A0">
        <w:rPr>
          <w:rFonts w:hint="cs"/>
          <w:rtl/>
          <w:lang w:bidi="ar-KW"/>
        </w:rPr>
        <w:t xml:space="preserve"> فهذا</w:t>
      </w:r>
      <w:r w:rsidR="009C32A0">
        <w:rPr>
          <w:rFonts w:hint="cs"/>
          <w:lang w:bidi="ar-KW"/>
        </w:rPr>
        <w:t xml:space="preserve"> </w:t>
      </w:r>
      <w:r w:rsidR="009C32A0">
        <w:rPr>
          <w:rFonts w:hint="cs"/>
          <w:rtl/>
          <w:lang w:bidi="ar-KW"/>
        </w:rPr>
        <w:t>يوجب ضرورة أنه تعالى لا في مكان</w:t>
      </w:r>
      <w:r w:rsidR="009C32A0">
        <w:rPr>
          <w:rFonts w:hint="cs"/>
          <w:lang w:bidi="ar-KW"/>
        </w:rPr>
        <w:t xml:space="preserve"> </w:t>
      </w:r>
      <w:r w:rsidR="009C32A0">
        <w:rPr>
          <w:rFonts w:hint="cs"/>
          <w:rtl/>
          <w:lang w:bidi="ar-KW"/>
        </w:rPr>
        <w:t>إذ لو كان في المكان لكان المكان محيطا به من جهة ما أو من جهات وهذا منتف عن الباري</w:t>
      </w:r>
      <w:r w:rsidR="009C32A0">
        <w:rPr>
          <w:rFonts w:hint="cs"/>
          <w:lang w:bidi="ar-KW"/>
        </w:rPr>
        <w:t xml:space="preserve"> </w:t>
      </w:r>
      <w:r w:rsidR="009C32A0">
        <w:rPr>
          <w:rFonts w:hint="cs"/>
          <w:rtl/>
          <w:lang w:bidi="ar-KW"/>
        </w:rPr>
        <w:t>تعالى بنص الآية المذكورة والمكان شيء بلا شك فلا يجوز أن يكون شيء في مكان ويكون</w:t>
      </w:r>
      <w:r w:rsidR="009C32A0">
        <w:rPr>
          <w:rFonts w:hint="cs"/>
          <w:lang w:bidi="ar-KW"/>
        </w:rPr>
        <w:t xml:space="preserve"> </w:t>
      </w:r>
      <w:r w:rsidR="009C32A0">
        <w:rPr>
          <w:rFonts w:hint="cs"/>
          <w:rtl/>
          <w:lang w:bidi="ar-KW"/>
        </w:rPr>
        <w:t>هو محيطا بمكانه هذا محال في العقل يعلم امتناعه ضرورة وبالله تعالى التوفيق وأيضا</w:t>
      </w:r>
      <w:r w:rsidR="009C32A0">
        <w:rPr>
          <w:rFonts w:hint="cs"/>
          <w:lang w:bidi="ar-KW"/>
        </w:rPr>
        <w:t xml:space="preserve"> </w:t>
      </w:r>
      <w:r w:rsidR="009C32A0">
        <w:rPr>
          <w:rFonts w:hint="cs"/>
          <w:rtl/>
          <w:lang w:bidi="ar-KW"/>
        </w:rPr>
        <w:t>فإنه لا يكون في مكان إلا ما كان جسما أو عرضا في جسم هذا الذي لا يجوز سواه ولا</w:t>
      </w:r>
      <w:r w:rsidR="009C32A0">
        <w:rPr>
          <w:rFonts w:hint="cs"/>
          <w:lang w:bidi="ar-KW"/>
        </w:rPr>
        <w:t xml:space="preserve"> </w:t>
      </w:r>
      <w:r w:rsidR="009C32A0">
        <w:rPr>
          <w:rFonts w:hint="cs"/>
          <w:rtl/>
          <w:lang w:bidi="ar-KW"/>
        </w:rPr>
        <w:t>يتنكل في العقل والوهم غيره البتة وإذا انتفى أن يكون الله عز وجل جسما أو عرضا</w:t>
      </w:r>
      <w:r w:rsidR="009C32A0">
        <w:rPr>
          <w:rFonts w:hint="cs"/>
          <w:lang w:bidi="ar-KW"/>
        </w:rPr>
        <w:t xml:space="preserve"> </w:t>
      </w:r>
      <w:r w:rsidR="009C32A0">
        <w:rPr>
          <w:rFonts w:hint="cs"/>
          <w:rtl/>
          <w:lang w:bidi="ar-KW"/>
        </w:rPr>
        <w:t>فقد انتفى أن يكون في مكان أصلا وبالله تعالى نتأيد</w:t>
      </w:r>
      <w:r>
        <w:rPr>
          <w:rFonts w:hint="cs"/>
          <w:rtl/>
          <w:lang w:bidi="ar-KW"/>
        </w:rPr>
        <w:t>)</w:t>
      </w:r>
      <w:r w:rsidR="009C32A0">
        <w:rPr>
          <w:rFonts w:hint="cs"/>
          <w:rtl/>
          <w:lang w:bidi="ar-KW"/>
        </w:rPr>
        <w:t xml:space="preserve"> أهـ </w:t>
      </w:r>
      <w:r>
        <w:rPr>
          <w:rFonts w:hint="cs"/>
          <w:rtl/>
          <w:lang w:bidi="ar-KW"/>
        </w:rPr>
        <w:t>[</w:t>
      </w:r>
      <w:r w:rsidR="009C32A0">
        <w:rPr>
          <w:rFonts w:hint="cs"/>
          <w:rtl/>
          <w:lang w:bidi="ar-KW"/>
        </w:rPr>
        <w:t>الفصل في</w:t>
      </w:r>
      <w:r w:rsidR="009C32A0">
        <w:rPr>
          <w:rFonts w:hint="cs"/>
          <w:lang w:bidi="ar-KW"/>
        </w:rPr>
        <w:t xml:space="preserve"> </w:t>
      </w:r>
      <w:r w:rsidR="009C32A0">
        <w:rPr>
          <w:rFonts w:hint="cs"/>
          <w:rtl/>
          <w:lang w:bidi="ar-KW"/>
        </w:rPr>
        <w:t>الملل ج</w:t>
      </w:r>
      <w:r>
        <w:rPr>
          <w:rFonts w:hint="cs"/>
          <w:rtl/>
          <w:lang w:bidi="ar-KW"/>
        </w:rPr>
        <w:t>:</w:t>
      </w:r>
      <w:r w:rsidR="009C32A0">
        <w:rPr>
          <w:rFonts w:hint="cs"/>
          <w:rtl/>
          <w:lang w:bidi="ar-KW"/>
        </w:rPr>
        <w:t xml:space="preserve"> 2 ص</w:t>
      </w:r>
      <w:r>
        <w:rPr>
          <w:rFonts w:hint="cs"/>
          <w:rtl/>
          <w:lang w:bidi="ar-KW"/>
        </w:rPr>
        <w:t>:</w:t>
      </w:r>
      <w:r w:rsidR="009C32A0">
        <w:rPr>
          <w:rFonts w:hint="cs"/>
          <w:rtl/>
          <w:lang w:bidi="ar-KW"/>
        </w:rPr>
        <w:t xml:space="preserve"> 98</w:t>
      </w:r>
      <w:r>
        <w:rPr>
          <w:rFonts w:hint="cs"/>
          <w:rtl/>
          <w:lang w:bidi="ar-KW"/>
        </w:rPr>
        <w:t>]،</w:t>
      </w:r>
      <w:r w:rsidR="009C32A0">
        <w:rPr>
          <w:rFonts w:hint="cs"/>
          <w:rtl/>
          <w:lang w:bidi="ar-KW"/>
        </w:rPr>
        <w:t xml:space="preserve"> وقال حجة الإسلام الغزالي ر حمه الله - في درة من علم التنزيه -</w:t>
      </w:r>
      <w:r>
        <w:rPr>
          <w:rFonts w:hint="cs"/>
          <w:rtl/>
          <w:lang w:bidi="ar-KW"/>
        </w:rPr>
        <w:t>: (</w:t>
      </w:r>
      <w:r w:rsidR="009C32A0">
        <w:rPr>
          <w:rFonts w:hint="cs"/>
          <w:rtl/>
          <w:lang w:bidi="ar-KW"/>
        </w:rPr>
        <w:t xml:space="preserve">أنه </w:t>
      </w:r>
      <w:r>
        <w:rPr>
          <w:rFonts w:hint="cs"/>
          <w:rtl/>
          <w:lang w:bidi="ar-KW"/>
        </w:rPr>
        <w:t>(</w:t>
      </w:r>
      <w:r w:rsidR="009C32A0">
        <w:rPr>
          <w:rFonts w:hint="cs"/>
          <w:rtl/>
          <w:lang w:bidi="ar-KW"/>
        </w:rPr>
        <w:t>سبحانه</w:t>
      </w:r>
      <w:r>
        <w:rPr>
          <w:rFonts w:hint="cs"/>
          <w:rtl/>
          <w:lang w:bidi="ar-KW"/>
        </w:rPr>
        <w:t>)</w:t>
      </w:r>
      <w:r w:rsidR="009C32A0">
        <w:rPr>
          <w:rFonts w:hint="cs"/>
          <w:rtl/>
          <w:lang w:bidi="ar-KW"/>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Pr>
          <w:rFonts w:hint="cs"/>
          <w:rtl/>
          <w:lang w:bidi="ar-KW"/>
        </w:rPr>
        <w:t>،</w:t>
      </w:r>
      <w:r w:rsidR="009C32A0">
        <w:rPr>
          <w:rFonts w:hint="cs"/>
          <w:rtl/>
          <w:lang w:bidi="ar-KW"/>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 أهــ </w:t>
      </w:r>
      <w:r>
        <w:rPr>
          <w:rFonts w:hint="cs"/>
          <w:rtl/>
          <w:lang w:bidi="ar-KW"/>
        </w:rPr>
        <w:t>[</w:t>
      </w:r>
      <w:r w:rsidR="009C32A0">
        <w:rPr>
          <w:rFonts w:hint="cs"/>
          <w:rtl/>
          <w:lang w:bidi="ar-KW"/>
        </w:rPr>
        <w:t>الغزالي قواعد العقائد</w:t>
      </w:r>
      <w:r>
        <w:rPr>
          <w:rFonts w:hint="cs"/>
          <w:rtl/>
          <w:lang w:bidi="ar-KW"/>
        </w:rPr>
        <w:t>]،</w:t>
      </w:r>
      <w:r w:rsidR="009C32A0">
        <w:rPr>
          <w:rFonts w:hint="cs"/>
          <w:rtl/>
          <w:lang w:bidi="ar-KW"/>
        </w:rPr>
        <w:t xml:space="preserve"> وجاء في مناهل العرفان</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 xml:space="preserve">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w:t>
      </w:r>
      <w:r w:rsidR="009C32A0">
        <w:rPr>
          <w:rFonts w:hint="cs"/>
          <w:rtl/>
          <w:lang w:bidi="ar-KW"/>
        </w:rPr>
        <w:lastRenderedPageBreak/>
        <w:t>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lang w:bidi="ar-KW"/>
        </w:rPr>
        <w:t xml:space="preserve"> [</w:t>
      </w:r>
      <w:r w:rsidR="009C32A0">
        <w:rPr>
          <w:rFonts w:hint="cs"/>
          <w:rtl/>
          <w:lang w:bidi="ar-KW"/>
        </w:rPr>
        <w:t>مناهل العرفان</w:t>
      </w:r>
      <w:r>
        <w:rPr>
          <w:rFonts w:hint="cs"/>
          <w:rtl/>
          <w:lang w:bidi="ar-KW"/>
        </w:rPr>
        <w:t xml:space="preserve">: </w:t>
      </w:r>
      <w:r w:rsidR="009C32A0">
        <w:rPr>
          <w:rFonts w:hint="cs"/>
          <w:rtl/>
          <w:lang w:bidi="ar-KW"/>
        </w:rPr>
        <w:t>ج2 ص 210</w:t>
      </w:r>
      <w:r>
        <w:rPr>
          <w:rFonts w:hint="cs"/>
          <w:rtl/>
          <w:lang w:bidi="ar-KW"/>
        </w:rPr>
        <w:t>]،</w:t>
      </w:r>
      <w:r w:rsidR="009C32A0">
        <w:rPr>
          <w:rFonts w:hint="cs"/>
          <w:rtl/>
          <w:lang w:bidi="ar-KW"/>
        </w:rPr>
        <w:t xml:space="preserve"> وقال ابن الجوزي الحنبلي في الباز الأشهب</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rtl/>
          <w:lang w:bidi="ar-KW"/>
        </w:rPr>
        <w:t>)</w:t>
      </w:r>
      <w:r w:rsidR="009C32A0">
        <w:rPr>
          <w:rFonts w:hint="cs"/>
          <w:rtl/>
          <w:lang w:bidi="ar-KW"/>
        </w:rPr>
        <w:t xml:space="preserve"> أهـ [الباز الأشهب ص 57</w:t>
      </w:r>
      <w:r>
        <w:rPr>
          <w:rFonts w:hint="cs"/>
          <w:rtl/>
          <w:lang w:bidi="ar-KW"/>
        </w:rPr>
        <w:t>]،</w:t>
      </w:r>
      <w:r w:rsidR="009C32A0">
        <w:rPr>
          <w:rFonts w:hint="cs"/>
          <w:rtl/>
          <w:lang w:bidi="ar-KW"/>
        </w:rPr>
        <w:t xml:space="preserve"> وقال القرطبي في التفسير</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المكان لا يصح إطلاقه على الله تعالى بالحقيقة إذ الله تعالى منزه عن المكان كما هو منزه عن الزمان ..</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تفسير القرطبي ج18 ص 315 تفسير سورة تبارك</w:t>
      </w:r>
      <w:r>
        <w:rPr>
          <w:rFonts w:hint="cs"/>
          <w:rtl/>
          <w:lang w:bidi="ar-KW"/>
        </w:rPr>
        <w:t>]،</w:t>
      </w:r>
      <w:r w:rsidR="009C32A0">
        <w:rPr>
          <w:rFonts w:hint="cs"/>
          <w:rtl/>
          <w:lang w:bidi="ar-KW"/>
        </w:rPr>
        <w:t xml:space="preserve"> وجاء في الفواكه الدواني</w:t>
      </w:r>
      <w:r>
        <w:rPr>
          <w:rFonts w:hint="cs"/>
          <w:rtl/>
          <w:lang w:bidi="ar-KW"/>
        </w:rPr>
        <w:t>: (</w:t>
      </w:r>
      <w:r w:rsidR="009C32A0">
        <w:rPr>
          <w:rFonts w:hint="cs"/>
          <w:rtl/>
          <w:lang w:bidi="ar-KW"/>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lang w:bidi="ar-KW"/>
        </w:rPr>
        <w:t>)</w:t>
      </w:r>
      <w:r w:rsidR="009C32A0">
        <w:rPr>
          <w:rFonts w:hint="cs"/>
          <w:rtl/>
          <w:lang w:bidi="ar-KW"/>
        </w:rPr>
        <w:t xml:space="preserve"> أهـ</w:t>
      </w:r>
      <w:r>
        <w:rPr>
          <w:rFonts w:hint="cs"/>
          <w:rtl/>
          <w:lang w:bidi="ar-KW"/>
        </w:rPr>
        <w:t xml:space="preserve"> [</w:t>
      </w:r>
      <w:r w:rsidR="009C32A0">
        <w:rPr>
          <w:rFonts w:hint="cs"/>
          <w:rtl/>
          <w:lang w:bidi="ar-KW"/>
        </w:rPr>
        <w:t>الفواكه الدواني ج</w:t>
      </w:r>
      <w:r>
        <w:rPr>
          <w:rFonts w:hint="cs"/>
          <w:rtl/>
          <w:lang w:bidi="ar-KW"/>
        </w:rPr>
        <w:t>:</w:t>
      </w:r>
      <w:r w:rsidR="009C32A0">
        <w:rPr>
          <w:rFonts w:hint="cs"/>
          <w:rtl/>
          <w:lang w:bidi="ar-KW"/>
        </w:rPr>
        <w:t xml:space="preserve"> 1 ص</w:t>
      </w:r>
      <w:r>
        <w:rPr>
          <w:rFonts w:hint="cs"/>
          <w:rtl/>
          <w:lang w:bidi="ar-KW"/>
        </w:rPr>
        <w:t>:</w:t>
      </w:r>
      <w:r w:rsidR="009C32A0">
        <w:rPr>
          <w:rFonts w:hint="cs"/>
          <w:rtl/>
          <w:lang w:bidi="ar-KW"/>
        </w:rPr>
        <w:t xml:space="preserve"> 49</w:t>
      </w:r>
      <w:r>
        <w:rPr>
          <w:rFonts w:hint="cs"/>
          <w:rtl/>
          <w:lang w:bidi="ar-KW"/>
        </w:rPr>
        <w:t>]،</w:t>
      </w:r>
      <w:r w:rsidR="009C32A0">
        <w:rPr>
          <w:rFonts w:hint="cs"/>
          <w:rtl/>
          <w:lang w:bidi="ar-KW"/>
        </w:rPr>
        <w:t xml:space="preserve"> وجاء فيه أيضاً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rtl/>
          <w:lang w:bidi="ar-KW"/>
        </w:rPr>
        <w:t>)</w:t>
      </w:r>
      <w:r w:rsidR="009C32A0">
        <w:rPr>
          <w:rFonts w:hint="cs"/>
          <w:rtl/>
          <w:lang w:bidi="ar-KW"/>
        </w:rPr>
        <w:t xml:space="preserve"> أهـ [الفواكه الدواني ج</w:t>
      </w:r>
      <w:r>
        <w:rPr>
          <w:rFonts w:hint="cs"/>
          <w:rtl/>
          <w:lang w:bidi="ar-KW"/>
        </w:rPr>
        <w:t>:</w:t>
      </w:r>
      <w:r w:rsidR="009C32A0">
        <w:rPr>
          <w:rFonts w:hint="cs"/>
          <w:rtl/>
          <w:lang w:bidi="ar-KW"/>
        </w:rPr>
        <w:t xml:space="preserve"> 1 ص</w:t>
      </w:r>
      <w:r>
        <w:rPr>
          <w:rFonts w:hint="cs"/>
          <w:rtl/>
          <w:lang w:bidi="ar-KW"/>
        </w:rPr>
        <w:t>:</w:t>
      </w:r>
      <w:r w:rsidR="009C32A0">
        <w:rPr>
          <w:rFonts w:hint="cs"/>
          <w:rtl/>
          <w:lang w:bidi="ar-KW"/>
        </w:rPr>
        <w:t xml:space="preserve"> 50</w:t>
      </w:r>
      <w:r>
        <w:rPr>
          <w:rFonts w:hint="cs"/>
          <w:rtl/>
          <w:lang w:bidi="ar-KW"/>
        </w:rPr>
        <w:t>]،</w:t>
      </w:r>
      <w:r w:rsidR="009C32A0">
        <w:rPr>
          <w:rFonts w:hint="cs"/>
          <w:rtl/>
          <w:lang w:bidi="ar-KW"/>
        </w:rPr>
        <w:t xml:space="preserve"> وجاء في أقاويل الثقات</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lang w:bidi="ar-KW"/>
        </w:rPr>
        <w:t xml:space="preserve"> </w:t>
      </w:r>
      <w:r w:rsidR="009C32A0">
        <w:rPr>
          <w:rFonts w:hint="cs"/>
          <w:rtl/>
          <w:lang w:bidi="ar-KW"/>
        </w:rPr>
        <w:t>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أقاويل الثقات ج</w:t>
      </w:r>
      <w:r>
        <w:rPr>
          <w:rFonts w:hint="cs"/>
          <w:rtl/>
          <w:lang w:bidi="ar-KW"/>
        </w:rPr>
        <w:t>:</w:t>
      </w:r>
      <w:r w:rsidR="009C32A0">
        <w:rPr>
          <w:rFonts w:hint="cs"/>
          <w:rtl/>
          <w:lang w:bidi="ar-KW"/>
        </w:rPr>
        <w:t xml:space="preserve"> 1 ص</w:t>
      </w:r>
      <w:r>
        <w:rPr>
          <w:rFonts w:hint="cs"/>
          <w:rtl/>
          <w:lang w:bidi="ar-KW"/>
        </w:rPr>
        <w:t>:</w:t>
      </w:r>
      <w:r w:rsidR="009C32A0">
        <w:rPr>
          <w:rFonts w:hint="cs"/>
          <w:rtl/>
          <w:lang w:bidi="ar-KW"/>
        </w:rPr>
        <w:t xml:space="preserve"> 134</w:t>
      </w:r>
      <w:r>
        <w:rPr>
          <w:rFonts w:hint="cs"/>
          <w:rtl/>
          <w:lang w:bidi="ar-KW"/>
        </w:rPr>
        <w:t>]،</w:t>
      </w:r>
      <w:r w:rsidR="009C32A0">
        <w:rPr>
          <w:rFonts w:hint="cs"/>
          <w:rtl/>
          <w:lang w:bidi="ar-KW"/>
        </w:rPr>
        <w:t xml:space="preserve"> </w:t>
      </w:r>
    </w:p>
    <w:p w14:paraId="3333A357" w14:textId="21636CB4" w:rsidR="009C32A0" w:rsidRDefault="000636C2" w:rsidP="000636C2">
      <w:pPr>
        <w:ind w:left="-58"/>
        <w:rPr>
          <w:b/>
          <w:lang w:bidi="ar-KW"/>
        </w:rPr>
      </w:pPr>
      <w:r>
        <w:rPr>
          <w:rFonts w:hint="cs"/>
          <w:bCs/>
          <w:rtl/>
          <w:lang w:bidi="ar-KW"/>
        </w:rPr>
        <w:lastRenderedPageBreak/>
        <w:t>[</w:t>
      </w:r>
      <w:r w:rsidR="009C32A0">
        <w:rPr>
          <w:rFonts w:hint="cs"/>
          <w:bCs/>
          <w:rtl/>
          <w:lang w:bidi="ar-KW"/>
        </w:rPr>
        <w:t>3</w:t>
      </w:r>
      <w:r>
        <w:rPr>
          <w:rFonts w:hint="cs"/>
          <w:bCs/>
          <w:rtl/>
          <w:lang w:bidi="ar-KW"/>
        </w:rPr>
        <w:t>]:</w:t>
      </w:r>
      <w:r w:rsidR="009C32A0">
        <w:rPr>
          <w:rFonts w:hint="cs"/>
          <w:bCs/>
          <w:rtl/>
          <w:lang w:bidi="ar-KW"/>
        </w:rPr>
        <w:t xml:space="preserve"> القاعدة الثالثة</w:t>
      </w:r>
      <w:r>
        <w:rPr>
          <w:rFonts w:hint="cs"/>
          <w:bCs/>
          <w:rtl/>
          <w:lang w:bidi="ar-KW"/>
        </w:rPr>
        <w:t>:</w:t>
      </w:r>
      <w:r w:rsidR="009C32A0">
        <w:rPr>
          <w:rFonts w:hint="cs"/>
          <w:bCs/>
          <w:rtl/>
          <w:lang w:bidi="ar-KW"/>
        </w:rPr>
        <w:t xml:space="preserve"> تنزيه ذات الله تعالى عن الحدوث أو الفناء</w:t>
      </w:r>
      <w:r>
        <w:rPr>
          <w:rFonts w:hint="cs"/>
          <w:bCs/>
          <w:rtl/>
          <w:lang w:bidi="ar-KW"/>
        </w:rPr>
        <w:t>:</w:t>
      </w:r>
      <w:r>
        <w:rPr>
          <w:rFonts w:hint="cs"/>
          <w:rtl/>
          <w:lang w:bidi="ar-KW"/>
        </w:rPr>
        <w:t xml:space="preserve"> </w:t>
      </w:r>
      <w:r>
        <w:rPr>
          <w:rFonts w:hint="cs"/>
          <w:rtl/>
        </w:rPr>
        <w:t>(</w:t>
      </w:r>
      <w:r w:rsidR="009C32A0">
        <w:rPr>
          <w:rFonts w:hint="cs"/>
          <w:rtl/>
        </w:rPr>
        <w:t>أ</w:t>
      </w:r>
      <w:r>
        <w:rPr>
          <w:rFonts w:hint="cs"/>
          <w:rtl/>
        </w:rPr>
        <w:t>)</w:t>
      </w:r>
      <w:r w:rsidR="009C32A0">
        <w:rPr>
          <w:rFonts w:hint="cs"/>
          <w:rtl/>
        </w:rPr>
        <w:t xml:space="preserve"> الله تعالى له كمال الوجود الأول بلا ابتداء والآخر بلا انتهاء</w:t>
      </w:r>
      <w:r>
        <w:rPr>
          <w:rFonts w:hint="cs"/>
          <w:rtl/>
        </w:rPr>
        <w:t xml:space="preserve">، </w:t>
      </w:r>
      <w:r w:rsidR="009C32A0">
        <w:rPr>
          <w:rFonts w:hint="cs"/>
          <w:rtl/>
        </w:rPr>
        <w:t>كما في قوله تعالى</w:t>
      </w:r>
      <w:r>
        <w:rPr>
          <w:rFonts w:hint="cs"/>
          <w:rtl/>
        </w:rPr>
        <w:t>:</w:t>
      </w:r>
      <w:r w:rsidR="009C32A0">
        <w:rPr>
          <w:rFonts w:hint="cs"/>
          <w:rtl/>
        </w:rPr>
        <w:t xml:space="preserve"> </w:t>
      </w:r>
      <w:r>
        <w:rPr>
          <w:rFonts w:hint="cs"/>
          <w:rtl/>
        </w:rPr>
        <w:t>{</w:t>
      </w:r>
      <w:r w:rsidR="009C32A0">
        <w:rPr>
          <w:rFonts w:hint="cs"/>
          <w:rtl/>
        </w:rPr>
        <w:t>هُوَ الْأَوَّلُ وَالْآخِرُ وَالظَّاهِرُ وَالْبَاطِنُ وَهُوَ بِكُلِّ شَيْءٍ عَلِيمٌ</w:t>
      </w:r>
      <w:r>
        <w:rPr>
          <w:rFonts w:hint="cs"/>
          <w:rtl/>
        </w:rPr>
        <w:t>}،</w:t>
      </w:r>
      <w:r w:rsidR="009C32A0">
        <w:rPr>
          <w:rFonts w:hint="cs"/>
          <w:rtl/>
        </w:rPr>
        <w:t xml:space="preserve"> وقوله صلى الله عليه وسلم</w:t>
      </w:r>
      <w:r>
        <w:rPr>
          <w:rFonts w:hint="cs"/>
          <w:rtl/>
        </w:rPr>
        <w:t>:</w:t>
      </w:r>
      <w:r w:rsidR="009C32A0">
        <w:rPr>
          <w:rFonts w:hint="cs"/>
          <w:rtl/>
        </w:rPr>
        <w:t xml:space="preserve"> </w:t>
      </w:r>
      <w:r>
        <w:rPr>
          <w:rFonts w:hint="cs"/>
          <w:rtl/>
        </w:rPr>
        <w:t>(</w:t>
      </w:r>
      <w:r w:rsidR="009C32A0">
        <w:rPr>
          <w:rFonts w:hint="cs"/>
          <w:rtl/>
        </w:rPr>
        <w:t>اللهم أنت الأوَّلُ فليس قبلَك شيء</w:t>
      </w:r>
      <w:r>
        <w:rPr>
          <w:rFonts w:hint="cs"/>
          <w:rtl/>
        </w:rPr>
        <w:t>،</w:t>
      </w:r>
      <w:r w:rsidR="009C32A0">
        <w:rPr>
          <w:rFonts w:hint="cs"/>
          <w:rtl/>
        </w:rPr>
        <w:t xml:space="preserve"> وأنت الآخِر فليس بعدَك شيء</w:t>
      </w:r>
      <w:r>
        <w:rPr>
          <w:rFonts w:hint="cs"/>
          <w:rtl/>
        </w:rPr>
        <w:t>،</w:t>
      </w:r>
      <w:r w:rsidR="009C32A0">
        <w:rPr>
          <w:rFonts w:hint="cs"/>
          <w:rtl/>
        </w:rPr>
        <w:t xml:space="preserve"> وأنت الظاهرُ فليس فوقَكَ شيء</w:t>
      </w:r>
      <w:r>
        <w:rPr>
          <w:rFonts w:hint="cs"/>
          <w:rtl/>
        </w:rPr>
        <w:t>،</w:t>
      </w:r>
      <w:r w:rsidR="009C32A0">
        <w:rPr>
          <w:rFonts w:hint="cs"/>
          <w:rtl/>
        </w:rPr>
        <w:t xml:space="preserve"> وأنت الباطن فليس دونَك شيء)</w:t>
      </w:r>
      <w:r>
        <w:rPr>
          <w:rFonts w:hint="cs"/>
          <w:rtl/>
        </w:rPr>
        <w:t xml:space="preserve"> [</w:t>
      </w:r>
      <w:r w:rsidR="009C32A0">
        <w:rPr>
          <w:rFonts w:hint="cs"/>
          <w:rtl/>
        </w:rPr>
        <w:t>أخرجه مسلم</w:t>
      </w:r>
      <w:r>
        <w:rPr>
          <w:rFonts w:hint="cs"/>
          <w:rtl/>
        </w:rPr>
        <w:t>]،</w:t>
      </w:r>
      <w:r w:rsidR="009C32A0">
        <w:rPr>
          <w:rFonts w:hint="cs"/>
          <w:rtl/>
        </w:rPr>
        <w:t xml:space="preserve"> فهو سبحانه الأزلي القديم بذاته</w:t>
      </w:r>
      <w:r>
        <w:rPr>
          <w:rFonts w:hint="cs"/>
          <w:rtl/>
        </w:rPr>
        <w:t>،</w:t>
      </w:r>
      <w:r w:rsidR="009C32A0">
        <w:rPr>
          <w:rFonts w:hint="cs"/>
          <w:rtl/>
        </w:rPr>
        <w:t xml:space="preserve"> منزه عن الحدوث إذ ليس لذاته ابتداء</w:t>
      </w:r>
      <w:r>
        <w:rPr>
          <w:rFonts w:hint="cs"/>
          <w:rtl/>
        </w:rPr>
        <w:t>،</w:t>
      </w:r>
      <w:r w:rsidR="009C32A0">
        <w:rPr>
          <w:rFonts w:hint="cs"/>
          <w:rtl/>
        </w:rPr>
        <w:t xml:space="preserve"> وهو سبحانه الأبدي الباقي بذاته إذ ليس لذاته انتهاء</w:t>
      </w:r>
      <w:r>
        <w:rPr>
          <w:rFonts w:hint="cs"/>
          <w:rtl/>
        </w:rPr>
        <w:t>،</w:t>
      </w:r>
      <w:r w:rsidR="009C32A0">
        <w:rPr>
          <w:rFonts w:hint="cs"/>
          <w:rtl/>
        </w:rPr>
        <w:t xml:space="preserve"> له سبحانه كمال الحياة</w:t>
      </w:r>
      <w:r>
        <w:rPr>
          <w:rFonts w:hint="cs"/>
          <w:rtl/>
        </w:rPr>
        <w:t>،</w:t>
      </w:r>
      <w:r w:rsidR="009C32A0">
        <w:rPr>
          <w:rFonts w:hint="cs"/>
          <w:rtl/>
        </w:rPr>
        <w:t xml:space="preserve"> فهي حياة أزلية ذاتية ليس لها ابتداء (</w:t>
      </w:r>
      <w:r>
        <w:rPr>
          <w:rFonts w:hint="cs"/>
          <w:rtl/>
        </w:rPr>
        <w:t>(</w:t>
      </w:r>
      <w:r w:rsidR="009C32A0">
        <w:rPr>
          <w:rFonts w:hint="cs"/>
          <w:rtl/>
        </w:rPr>
        <w:t>الاول فليس قبلك شيء</w:t>
      </w:r>
      <w:r>
        <w:rPr>
          <w:rFonts w:hint="cs"/>
          <w:rtl/>
        </w:rPr>
        <w:t>)</w:t>
      </w:r>
      <w:r w:rsidR="009C32A0">
        <w:rPr>
          <w:rFonts w:hint="cs"/>
          <w:rtl/>
        </w:rPr>
        <w:t>)</w:t>
      </w:r>
      <w:r>
        <w:rPr>
          <w:rFonts w:hint="cs"/>
          <w:rtl/>
        </w:rPr>
        <w:t>،</w:t>
      </w:r>
      <w:r w:rsidR="009C32A0">
        <w:rPr>
          <w:rFonts w:hint="cs"/>
          <w:rtl/>
        </w:rPr>
        <w:t xml:space="preserve"> وهي حياة أبدية ذاتية باقية ليس لها انتهاء (</w:t>
      </w:r>
      <w:r>
        <w:rPr>
          <w:rFonts w:hint="cs"/>
          <w:rtl/>
        </w:rPr>
        <w:t>(</w:t>
      </w:r>
      <w:r w:rsidR="009C32A0">
        <w:rPr>
          <w:rFonts w:hint="cs"/>
          <w:rtl/>
        </w:rPr>
        <w:t>الآخر فليس بعدك شيء</w:t>
      </w:r>
      <w:r>
        <w:rPr>
          <w:rFonts w:hint="cs"/>
          <w:rtl/>
        </w:rPr>
        <w:t>)</w:t>
      </w:r>
      <w:r w:rsidR="009C32A0">
        <w:rPr>
          <w:rFonts w:hint="cs"/>
          <w:rtl/>
        </w:rPr>
        <w:t>)</w:t>
      </w:r>
      <w:r>
        <w:rPr>
          <w:rFonts w:hint="cs"/>
          <w:rtl/>
        </w:rPr>
        <w:t>،</w:t>
      </w:r>
      <w:r w:rsidR="009C32A0">
        <w:rPr>
          <w:rFonts w:hint="cs"/>
          <w:rtl/>
        </w:rPr>
        <w:t xml:space="preserve"> فهو ال</w:t>
      </w:r>
      <w:r w:rsidR="009C32A0">
        <w:rPr>
          <w:rFonts w:hint="cs"/>
          <w:rtl/>
          <w:lang w:bidi="ar-QA"/>
        </w:rPr>
        <w:t>حي</w:t>
      </w:r>
      <w:r w:rsidR="009C32A0">
        <w:rPr>
          <w:rFonts w:hint="cs"/>
          <w:rtl/>
        </w:rPr>
        <w:t xml:space="preserve"> قبل كل </w:t>
      </w:r>
      <w:r w:rsidR="009C32A0">
        <w:rPr>
          <w:rFonts w:hint="cs"/>
          <w:rtl/>
          <w:lang w:bidi="ar-QA"/>
        </w:rPr>
        <w:t xml:space="preserve">حي وهو الحي </w:t>
      </w:r>
      <w:r w:rsidR="009C32A0">
        <w:rPr>
          <w:rFonts w:hint="cs"/>
          <w:rtl/>
        </w:rPr>
        <w:t>الذي لا يموت</w:t>
      </w:r>
      <w:r>
        <w:rPr>
          <w:rFonts w:hint="cs"/>
          <w:rtl/>
        </w:rPr>
        <w:t>،</w:t>
      </w:r>
      <w:r w:rsidR="009C32A0">
        <w:rPr>
          <w:rFonts w:hint="cs"/>
          <w:rtl/>
        </w:rPr>
        <w:t xml:space="preserve"> وهو الحي بعد كل ميت</w:t>
      </w:r>
      <w:r>
        <w:rPr>
          <w:rFonts w:hint="cs"/>
          <w:rtl/>
        </w:rPr>
        <w:t>،</w:t>
      </w:r>
      <w:r w:rsidR="009C32A0">
        <w:rPr>
          <w:rFonts w:hint="cs"/>
          <w:rtl/>
        </w:rPr>
        <w:t>حياته سبحانه تامة كاملة منزهة عن السنة والنوم والموت والفناء</w:t>
      </w:r>
      <w:r>
        <w:rPr>
          <w:rFonts w:hint="cs"/>
          <w:rtl/>
        </w:rPr>
        <w:t>،</w:t>
      </w:r>
      <w:r w:rsidR="009C32A0">
        <w:rPr>
          <w:rFonts w:hint="cs"/>
          <w:rtl/>
        </w:rPr>
        <w:t xml:space="preserve"> كما في قوله تعالى</w:t>
      </w:r>
      <w:r>
        <w:rPr>
          <w:rFonts w:hint="cs"/>
          <w:rtl/>
        </w:rPr>
        <w:t>:</w:t>
      </w:r>
      <w:r w:rsidR="009C32A0">
        <w:rPr>
          <w:rFonts w:hint="cs"/>
          <w:rtl/>
        </w:rPr>
        <w:t xml:space="preserve"> </w:t>
      </w:r>
      <w:r>
        <w:rPr>
          <w:rFonts w:hint="cs"/>
          <w:rtl/>
        </w:rPr>
        <w:t>{</w:t>
      </w:r>
      <w:r w:rsidR="009C32A0">
        <w:rPr>
          <w:rFonts w:hint="cs"/>
          <w:rtl/>
        </w:rPr>
        <w:t>اللَّهُ لَا إِلَهَ إِلَّا هُوَ الْحَيُّ الْقَيُّومُ لَا تَأْخُذُهُ سِنَةٌ وَلَا نَوْمٌ لَهُ مَا فِي السَّمَوَاتِ وَمَا فِي الْأَرْضِ</w:t>
      </w:r>
      <w:r>
        <w:rPr>
          <w:rFonts w:hint="cs"/>
          <w:rtl/>
        </w:rPr>
        <w:t>}</w:t>
      </w:r>
      <w:r w:rsidR="009C32A0">
        <w:rPr>
          <w:rFonts w:hint="cs"/>
          <w:rtl/>
        </w:rPr>
        <w:t xml:space="preserve"> </w:t>
      </w:r>
      <w:r>
        <w:rPr>
          <w:rFonts w:hint="cs"/>
          <w:rtl/>
        </w:rPr>
        <w:t>[</w:t>
      </w:r>
      <w:r w:rsidR="009C32A0">
        <w:rPr>
          <w:rFonts w:hint="cs"/>
          <w:rtl/>
        </w:rPr>
        <w:t>البقرة</w:t>
      </w:r>
      <w:r>
        <w:rPr>
          <w:rFonts w:hint="cs"/>
          <w:rtl/>
        </w:rPr>
        <w:t xml:space="preserve">: </w:t>
      </w:r>
      <w:r w:rsidR="009C32A0">
        <w:rPr>
          <w:rFonts w:hint="cs"/>
          <w:rtl/>
        </w:rPr>
        <w:t>255</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snapToGrid w:val="0"/>
          <w:rtl/>
        </w:rPr>
        <w:t>{</w:t>
      </w:r>
      <w:r w:rsidR="009C32A0">
        <w:rPr>
          <w:rFonts w:hint="cs"/>
          <w:rtl/>
        </w:rPr>
        <w:t>وَتَوَكَّلْ عَلَى الْحَيِّ الَّذِي لَا يَمُوتُ وَسَبِّحْ بِحَمْدِهِ وَكَفَى بِهِ بِذُنُوبِ عِبَادِهِ خَبِيرًا</w:t>
      </w:r>
      <w:r>
        <w:rPr>
          <w:rFonts w:hint="cs"/>
          <w:rtl/>
        </w:rPr>
        <w:t>}</w:t>
      </w:r>
      <w:r w:rsidR="009C32A0">
        <w:rPr>
          <w:rFonts w:hint="cs"/>
          <w:rtl/>
        </w:rPr>
        <w:t xml:space="preserve"> </w:t>
      </w:r>
      <w:r>
        <w:rPr>
          <w:rFonts w:hint="cs"/>
          <w:rtl/>
        </w:rPr>
        <w:t>[</w:t>
      </w:r>
      <w:r w:rsidR="009C32A0">
        <w:rPr>
          <w:rFonts w:hint="cs"/>
          <w:rtl/>
        </w:rPr>
        <w:t>الفرقان</w:t>
      </w:r>
      <w:r>
        <w:rPr>
          <w:rFonts w:hint="cs"/>
          <w:rtl/>
        </w:rPr>
        <w:t>:</w:t>
      </w:r>
      <w:r w:rsidR="009C32A0">
        <w:rPr>
          <w:rFonts w:hint="cs"/>
          <w:rtl/>
        </w:rPr>
        <w:t xml:space="preserve"> 58</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كُلُّ شَيْءٍ هَالِكٌ إِلَّا وَجْهَهُ لَهُ الْحُكْمُ وَإِلَيْهِ تُرْجَعُونَ</w:t>
      </w:r>
      <w:r>
        <w:rPr>
          <w:rFonts w:hint="cs"/>
          <w:rtl/>
        </w:rPr>
        <w:t>}</w:t>
      </w:r>
      <w:r w:rsidR="009C32A0">
        <w:rPr>
          <w:rFonts w:hint="cs"/>
          <w:rtl/>
        </w:rPr>
        <w:t xml:space="preserve"> </w:t>
      </w:r>
      <w:r>
        <w:rPr>
          <w:rFonts w:hint="cs"/>
          <w:rtl/>
        </w:rPr>
        <w:t>[</w:t>
      </w:r>
      <w:r w:rsidR="009C32A0">
        <w:rPr>
          <w:rFonts w:hint="cs"/>
          <w:rtl/>
        </w:rPr>
        <w:t>القصص</w:t>
      </w:r>
      <w:r>
        <w:rPr>
          <w:rFonts w:hint="cs"/>
          <w:rtl/>
        </w:rPr>
        <w:t>:</w:t>
      </w:r>
      <w:r w:rsidR="009C32A0">
        <w:rPr>
          <w:rFonts w:hint="cs"/>
          <w:rtl/>
        </w:rPr>
        <w:t xml:space="preserve"> 88</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كُلُّ مَنْ عَلَيْهَا فَانٍ * وَيَبْقَى وَجْهُ رَبِّكَ ذُو الْجَلَالِ وَالْإِكْرَامِ</w:t>
      </w:r>
      <w:r>
        <w:rPr>
          <w:rFonts w:hint="cs"/>
          <w:rtl/>
        </w:rPr>
        <w:t>}</w:t>
      </w:r>
      <w:r w:rsidR="009C32A0">
        <w:rPr>
          <w:rFonts w:hint="cs"/>
          <w:rtl/>
        </w:rPr>
        <w:t xml:space="preserve"> </w:t>
      </w:r>
      <w:r>
        <w:rPr>
          <w:rFonts w:hint="cs"/>
          <w:rtl/>
        </w:rPr>
        <w:t>[</w:t>
      </w:r>
      <w:r w:rsidR="009C32A0">
        <w:rPr>
          <w:rFonts w:hint="cs"/>
          <w:rtl/>
        </w:rPr>
        <w:t>الرحمن</w:t>
      </w:r>
      <w:r>
        <w:rPr>
          <w:rFonts w:hint="cs"/>
          <w:rtl/>
        </w:rPr>
        <w:t>:</w:t>
      </w:r>
      <w:r w:rsidR="009C32A0">
        <w:rPr>
          <w:rFonts w:hint="cs"/>
          <w:rtl/>
        </w:rPr>
        <w:t xml:space="preserve"> 26</w:t>
      </w:r>
      <w:r>
        <w:rPr>
          <w:rFonts w:hint="cs"/>
          <w:rtl/>
        </w:rPr>
        <w:t>،</w:t>
      </w:r>
      <w:r w:rsidR="009C32A0">
        <w:rPr>
          <w:rFonts w:hint="cs"/>
          <w:rtl/>
        </w:rPr>
        <w:t xml:space="preserve"> 27</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من تنزيه الله تعالى عن الحدوث والفناء</w:t>
      </w:r>
      <w:r>
        <w:rPr>
          <w:rFonts w:hint="cs"/>
          <w:rtl/>
        </w:rPr>
        <w:t>،</w:t>
      </w:r>
      <w:r w:rsidR="009C32A0">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9C32A0">
        <w:rPr>
          <w:rFonts w:hint="cs"/>
          <w:rtl/>
        </w:rPr>
        <w:t xml:space="preserve"> وذلك لأنه في علم الأصول فإن القديم الذاتي لا يقبل الحدوث</w:t>
      </w:r>
      <w:r>
        <w:rPr>
          <w:rFonts w:hint="cs"/>
          <w:rtl/>
        </w:rPr>
        <w:t>،</w:t>
      </w:r>
      <w:r w:rsidR="009C32A0">
        <w:rPr>
          <w:rFonts w:hint="cs"/>
          <w:rtl/>
        </w:rPr>
        <w:t xml:space="preserve"> ولو قبل الحدوث لم يُؤمن عليه من الفناء</w:t>
      </w:r>
      <w:r>
        <w:rPr>
          <w:rFonts w:hint="cs"/>
          <w:rtl/>
        </w:rPr>
        <w:t>،</w:t>
      </w:r>
      <w:r w:rsidR="009C32A0">
        <w:rPr>
          <w:rFonts w:hint="cs"/>
          <w:rtl/>
        </w:rPr>
        <w:t xml:space="preserve"> والحوادث نقص يضاد الكمال المتمثل في القدم الذاتي للذات</w:t>
      </w:r>
      <w:r>
        <w:rPr>
          <w:rFonts w:hint="cs"/>
          <w:rtl/>
        </w:rPr>
        <w:t>،</w:t>
      </w:r>
      <w:r w:rsidR="009C32A0">
        <w:rPr>
          <w:rFonts w:hint="cs"/>
          <w:rtl/>
        </w:rPr>
        <w:t xml:space="preserve"> وسوف يأتي زيادة بيان للمسألة عند الحديث على القاعدة الثامنة </w:t>
      </w:r>
      <w:r>
        <w:rPr>
          <w:rFonts w:hint="cs"/>
          <w:rtl/>
        </w:rPr>
        <w:t>(</w:t>
      </w:r>
      <w:r w:rsidR="009C32A0">
        <w:rPr>
          <w:rFonts w:hint="cs"/>
          <w:rtl/>
        </w:rPr>
        <w:t xml:space="preserve">تنزيه الله تعالى </w:t>
      </w:r>
      <w:r w:rsidR="009C32A0">
        <w:rPr>
          <w:rFonts w:hint="cs"/>
          <w:rtl/>
          <w:lang w:bidi="ar-KW"/>
        </w:rPr>
        <w:t>عن التغير والحدوث و عن حلول الحوادث بذاته تقدس وتعالى لأنها صفات المخلوق</w:t>
      </w:r>
      <w:r>
        <w:rPr>
          <w:rFonts w:hint="cs"/>
          <w:rtl/>
          <w:lang w:bidi="ar-KW"/>
        </w:rPr>
        <w:t>)،</w:t>
      </w:r>
    </w:p>
    <w:p w14:paraId="5F0E1D71" w14:textId="5E662CB1" w:rsidR="009C32A0" w:rsidRDefault="000636C2" w:rsidP="000636C2">
      <w:pPr>
        <w:ind w:left="-58"/>
        <w:rPr>
          <w:b/>
          <w:rtl/>
        </w:rPr>
      </w:pPr>
      <w:r>
        <w:rPr>
          <w:rFonts w:hint="cs"/>
          <w:bCs/>
          <w:rtl/>
          <w:lang w:bidi="ar-KW"/>
        </w:rPr>
        <w:t>[</w:t>
      </w:r>
      <w:r w:rsidR="009C32A0">
        <w:rPr>
          <w:rFonts w:hint="cs"/>
          <w:bCs/>
          <w:rtl/>
          <w:lang w:bidi="ar-KW"/>
        </w:rPr>
        <w:t>4</w:t>
      </w:r>
      <w:r>
        <w:rPr>
          <w:rFonts w:hint="cs"/>
          <w:bCs/>
          <w:rtl/>
          <w:lang w:bidi="ar-KW"/>
        </w:rPr>
        <w:t>]:</w:t>
      </w:r>
      <w:r w:rsidR="009C32A0">
        <w:rPr>
          <w:rFonts w:hint="cs"/>
          <w:bCs/>
          <w:rtl/>
          <w:lang w:bidi="ar-KW"/>
        </w:rPr>
        <w:t xml:space="preserve"> القاعدة الرابعة</w:t>
      </w:r>
      <w:r>
        <w:rPr>
          <w:rFonts w:hint="cs"/>
          <w:bCs/>
          <w:rtl/>
          <w:lang w:bidi="ar-KW"/>
        </w:rPr>
        <w:t xml:space="preserve">: </w:t>
      </w:r>
      <w:r w:rsidR="009C32A0">
        <w:rPr>
          <w:rFonts w:hint="cs"/>
          <w:bCs/>
          <w:rtl/>
          <w:lang w:bidi="ar-KW"/>
        </w:rPr>
        <w:t>تنزيه ذات الله تعالى عن</w:t>
      </w:r>
      <w:r>
        <w:rPr>
          <w:rFonts w:hint="cs"/>
          <w:bCs/>
          <w:rtl/>
          <w:lang w:bidi="ar-KW"/>
        </w:rPr>
        <w:t xml:space="preserve"> </w:t>
      </w:r>
      <w:r w:rsidR="009C32A0">
        <w:rPr>
          <w:rFonts w:hint="cs"/>
          <w:bCs/>
          <w:rtl/>
          <w:lang w:bidi="ar-KW"/>
        </w:rPr>
        <w:t>أي مثيل أو كفء أو شبيه</w:t>
      </w:r>
      <w:r>
        <w:rPr>
          <w:rFonts w:hint="cs"/>
          <w:rtl/>
          <w:lang w:bidi="ar-KW"/>
        </w:rPr>
        <w:t>: (</w:t>
      </w:r>
      <w:r w:rsidR="009C32A0">
        <w:rPr>
          <w:rFonts w:hint="cs"/>
          <w:rtl/>
          <w:lang w:bidi="ar-KW"/>
        </w:rPr>
        <w:t>أ</w:t>
      </w:r>
      <w:r>
        <w:rPr>
          <w:rFonts w:hint="cs"/>
          <w:rtl/>
          <w:lang w:bidi="ar-KW"/>
        </w:rPr>
        <w:t>)</w:t>
      </w:r>
      <w:r w:rsidR="009C32A0">
        <w:rPr>
          <w:rFonts w:hint="cs"/>
          <w:rtl/>
          <w:lang w:bidi="ar-KW"/>
        </w:rPr>
        <w:t xml:space="preserve"> </w:t>
      </w:r>
      <w:r w:rsidR="009C32A0">
        <w:rPr>
          <w:rFonts w:hint="cs"/>
          <w:rtl/>
        </w:rPr>
        <w:t>الله عز وجل لا يشبهه شيء من المخلوقات</w:t>
      </w:r>
      <w:r>
        <w:rPr>
          <w:rFonts w:hint="cs"/>
          <w:rtl/>
        </w:rPr>
        <w:t>،</w:t>
      </w:r>
      <w:r w:rsidR="009C32A0">
        <w:rPr>
          <w:rFonts w:hint="cs"/>
          <w:rtl/>
        </w:rPr>
        <w:t xml:space="preserve"> ولا هو يشبه شيئاً منها</w:t>
      </w:r>
      <w:r>
        <w:rPr>
          <w:rFonts w:hint="cs"/>
          <w:rtl/>
        </w:rPr>
        <w:t>،</w:t>
      </w:r>
      <w:r w:rsidR="009C32A0">
        <w:rPr>
          <w:rFonts w:hint="cs"/>
          <w:rtl/>
        </w:rPr>
        <w:t xml:space="preserve"> لأنه لو أشبهه شيء لكان مثله قديماً</w:t>
      </w:r>
      <w:r>
        <w:rPr>
          <w:rFonts w:hint="cs"/>
          <w:rtl/>
        </w:rPr>
        <w:t>،</w:t>
      </w:r>
      <w:r w:rsidR="009C32A0">
        <w:rPr>
          <w:rFonts w:hint="cs"/>
          <w:rtl/>
        </w:rPr>
        <w:t xml:space="preserve"> ولو أشبه شيئاً لكان مثله مخلوقاً</w:t>
      </w:r>
      <w:r>
        <w:rPr>
          <w:rFonts w:hint="cs"/>
          <w:rtl/>
        </w:rPr>
        <w:t>،</w:t>
      </w:r>
      <w:r w:rsidR="009C32A0">
        <w:rPr>
          <w:rFonts w:hint="cs"/>
          <w:rtl/>
        </w:rPr>
        <w:t xml:space="preserve"> وكلا الحالين على الله محال</w:t>
      </w:r>
      <w:r>
        <w:rPr>
          <w:rFonts w:hint="cs"/>
          <w:rtl/>
        </w:rPr>
        <w:t>،</w:t>
      </w:r>
      <w:r w:rsidR="009C32A0">
        <w:rPr>
          <w:rFonts w:hint="cs"/>
          <w:rtl/>
        </w:rPr>
        <w:t xml:space="preserve"> كما أن ذات المخلق تتصف بالنقص والعجز لأنها مخلوقة من عدم محدثة لم تكن ثم كانت</w:t>
      </w:r>
      <w:r>
        <w:rPr>
          <w:rFonts w:hint="cs"/>
          <w:rtl/>
        </w:rPr>
        <w:t>،</w:t>
      </w:r>
      <w:r w:rsidR="009C32A0">
        <w:rPr>
          <w:rFonts w:hint="cs"/>
          <w:rtl/>
        </w:rPr>
        <w:t xml:space="preserve"> وهي إلى الفناء سائرة كما قال تعالى</w:t>
      </w:r>
      <w:r>
        <w:rPr>
          <w:rFonts w:hint="cs"/>
          <w:rtl/>
        </w:rPr>
        <w:t>:</w:t>
      </w:r>
      <w:r w:rsidR="009C32A0">
        <w:rPr>
          <w:rFonts w:hint="cs"/>
          <w:rtl/>
        </w:rPr>
        <w:t xml:space="preserve"> </w:t>
      </w:r>
      <w:r>
        <w:rPr>
          <w:rFonts w:hint="cs"/>
          <w:rtl/>
        </w:rPr>
        <w:t>{</w:t>
      </w:r>
      <w:r w:rsidR="009C32A0">
        <w:rPr>
          <w:rFonts w:hint="cs"/>
          <w:rtl/>
        </w:rPr>
        <w:t>كُلُّ مَنْ عَلَيْهَا فَانٍ * وَيَبْقَى وَجْهُ رَبِّكَ ذُو الْجَلَالِ وَالْإِكْرَامِ</w:t>
      </w:r>
      <w:r>
        <w:rPr>
          <w:rFonts w:hint="cs"/>
          <w:rtl/>
        </w:rPr>
        <w:t>}</w:t>
      </w:r>
      <w:r w:rsidR="009C32A0">
        <w:rPr>
          <w:rFonts w:hint="cs"/>
          <w:rtl/>
        </w:rPr>
        <w:t xml:space="preserve"> </w:t>
      </w:r>
      <w:r>
        <w:rPr>
          <w:rFonts w:hint="cs"/>
          <w:rtl/>
        </w:rPr>
        <w:t>[</w:t>
      </w:r>
      <w:r w:rsidR="009C32A0">
        <w:rPr>
          <w:rFonts w:hint="cs"/>
          <w:rtl/>
        </w:rPr>
        <w:t>الرحمن</w:t>
      </w:r>
      <w:r>
        <w:rPr>
          <w:rFonts w:hint="cs"/>
          <w:rtl/>
        </w:rPr>
        <w:t>:</w:t>
      </w:r>
      <w:r w:rsidR="009C32A0">
        <w:rPr>
          <w:rFonts w:hint="cs"/>
          <w:rtl/>
        </w:rPr>
        <w:t xml:space="preserve"> 26</w:t>
      </w:r>
      <w:r>
        <w:rPr>
          <w:rFonts w:hint="cs"/>
          <w:rtl/>
        </w:rPr>
        <w:t>،</w:t>
      </w:r>
      <w:r w:rsidR="009C32A0">
        <w:rPr>
          <w:rFonts w:hint="cs"/>
          <w:rtl/>
        </w:rPr>
        <w:t xml:space="preserve"> 27</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كُلُّ شَيْءٍ هَالِكٌ إِلَّا وَجْهَهُ لَهُ الْحُكْمُ وَإِلَيْهِ تُرْجَعُونَ</w:t>
      </w:r>
      <w:r>
        <w:rPr>
          <w:rFonts w:hint="cs"/>
          <w:rtl/>
        </w:rPr>
        <w:t>}</w:t>
      </w:r>
      <w:r w:rsidR="009C32A0">
        <w:rPr>
          <w:rFonts w:hint="cs"/>
          <w:rtl/>
        </w:rPr>
        <w:t xml:space="preserve"> </w:t>
      </w:r>
      <w:r>
        <w:rPr>
          <w:rFonts w:hint="cs"/>
          <w:rtl/>
        </w:rPr>
        <w:t>[</w:t>
      </w:r>
      <w:r w:rsidR="009C32A0">
        <w:rPr>
          <w:rFonts w:hint="cs"/>
          <w:rtl/>
        </w:rPr>
        <w:t>القصص</w:t>
      </w:r>
      <w:r>
        <w:rPr>
          <w:rFonts w:hint="cs"/>
          <w:rtl/>
        </w:rPr>
        <w:t>:</w:t>
      </w:r>
      <w:r w:rsidR="009C32A0">
        <w:rPr>
          <w:rFonts w:hint="cs"/>
          <w:rtl/>
        </w:rPr>
        <w:t xml:space="preserve"> 88</w:t>
      </w:r>
      <w:r>
        <w:rPr>
          <w:rFonts w:hint="cs"/>
          <w:rtl/>
        </w:rPr>
        <w:t>}،</w:t>
      </w:r>
      <w:r w:rsidR="009C32A0">
        <w:rPr>
          <w:rFonts w:hint="cs"/>
          <w:rtl/>
        </w:rPr>
        <w:t xml:space="preserve"> فلا يصح مشابهة الفاني للباقي</w:t>
      </w:r>
      <w:r>
        <w:rPr>
          <w:rFonts w:hint="cs"/>
          <w:rtl/>
        </w:rPr>
        <w:t>،</w:t>
      </w:r>
      <w:r w:rsidR="009C32A0">
        <w:rPr>
          <w:rFonts w:hint="cs"/>
          <w:rtl/>
        </w:rPr>
        <w:t xml:space="preserve"> ولا المخلوق للخالق الباري</w:t>
      </w:r>
      <w:r>
        <w:rPr>
          <w:rFonts w:hint="cs"/>
          <w:rtl/>
        </w:rPr>
        <w:t>،</w:t>
      </w:r>
      <w:r w:rsidR="009C32A0">
        <w:rPr>
          <w:rFonts w:hint="cs"/>
          <w:rtl/>
        </w:rPr>
        <w:t xml:space="preserve"> </w:t>
      </w:r>
      <w:r w:rsidR="009C32A0">
        <w:rPr>
          <w:rFonts w:hint="cs"/>
          <w:rtl/>
          <w:lang w:bidi="ar-KW"/>
        </w:rPr>
        <w:t>من الأدلة القرآنية على تنزيه الله تعالى عن المثيل والكفء والشبيه والسمي</w:t>
      </w:r>
      <w:r>
        <w:rPr>
          <w:rFonts w:hint="cs"/>
          <w:rtl/>
          <w:lang w:bidi="ar-KW"/>
        </w:rPr>
        <w:t>:</w:t>
      </w:r>
      <w:r w:rsidR="009C32A0">
        <w:rPr>
          <w:rFonts w:hint="cs"/>
          <w:rtl/>
          <w:lang w:bidi="ar-KW"/>
        </w:rPr>
        <w:t xml:space="preserve"> قوله تعالى</w:t>
      </w:r>
      <w:r>
        <w:rPr>
          <w:rFonts w:hint="cs"/>
          <w:rtl/>
          <w:lang w:bidi="ar-KW"/>
        </w:rPr>
        <w:t>:</w:t>
      </w:r>
      <w:r w:rsidR="009C32A0">
        <w:rPr>
          <w:rFonts w:hint="cs"/>
          <w:rtl/>
          <w:lang w:bidi="ar-KW"/>
        </w:rPr>
        <w:t xml:space="preserve"> </w:t>
      </w:r>
      <w:r>
        <w:rPr>
          <w:rFonts w:hint="cs"/>
          <w:rtl/>
        </w:rPr>
        <w:t>{</w:t>
      </w:r>
      <w:r w:rsidR="009C32A0">
        <w:rPr>
          <w:rFonts w:hint="cs"/>
          <w:rtl/>
        </w:rPr>
        <w:t xml:space="preserve">ليس كمثلِه </w:t>
      </w:r>
      <w:r w:rsidR="009C32A0">
        <w:rPr>
          <w:rFonts w:hint="cs"/>
          <w:rtl/>
        </w:rPr>
        <w:lastRenderedPageBreak/>
        <w:t>شيء</w:t>
      </w:r>
      <w:r>
        <w:rPr>
          <w:rFonts w:hint="cs"/>
          <w:rtl/>
        </w:rPr>
        <w:t xml:space="preserve">} </w:t>
      </w:r>
      <w:r w:rsidR="009C32A0">
        <w:rPr>
          <w:rFonts w:hint="cs"/>
          <w:rtl/>
        </w:rPr>
        <w:t>[سورة الشورى/11]</w:t>
      </w:r>
      <w:r>
        <w:rPr>
          <w:rFonts w:hint="cs"/>
          <w:rtl/>
        </w:rPr>
        <w:t>،</w:t>
      </w:r>
      <w:r w:rsidR="009C32A0">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وللهِ المثَلُ الأعلى</w:t>
      </w:r>
      <w:r>
        <w:rPr>
          <w:rFonts w:hint="cs"/>
          <w:rtl/>
        </w:rPr>
        <w:t>}</w:t>
      </w:r>
      <w:r w:rsidR="009C32A0">
        <w:rPr>
          <w:rFonts w:hint="cs"/>
          <w:rtl/>
        </w:rPr>
        <w:t xml:space="preserve"> [سورة النحل/60] أي الوصف الذي لا يشبه وصف غيره</w:t>
      </w:r>
      <w:r>
        <w:rPr>
          <w:rFonts w:hint="cs"/>
          <w:rtl/>
        </w:rPr>
        <w:t>،</w:t>
      </w:r>
      <w:r w:rsidR="009C32A0">
        <w:rPr>
          <w:rFonts w:hint="cs"/>
          <w:rtl/>
        </w:rPr>
        <w:t xml:space="preserve"> فلا يوصف ربنا عزَّ وجلَّ بصفات المخلوقين .. وقوله تعالى</w:t>
      </w:r>
      <w:r>
        <w:rPr>
          <w:rFonts w:hint="cs"/>
          <w:rtl/>
        </w:rPr>
        <w:t>:</w:t>
      </w:r>
      <w:r w:rsidR="009C32A0">
        <w:rPr>
          <w:rFonts w:hint="cs"/>
          <w:rtl/>
        </w:rPr>
        <w:t xml:space="preserve"> </w:t>
      </w:r>
      <w:r>
        <w:rPr>
          <w:rFonts w:hint="cs"/>
          <w:rtl/>
        </w:rPr>
        <w:t>{</w:t>
      </w:r>
      <w:r w:rsidR="009C32A0">
        <w:rPr>
          <w:rFonts w:hint="cs"/>
          <w:rtl/>
        </w:rPr>
        <w:t>فلا تضربوا للهِ الأمثال</w:t>
      </w:r>
      <w:r>
        <w:rPr>
          <w:rFonts w:hint="cs"/>
          <w:rtl/>
        </w:rPr>
        <w:t>}</w:t>
      </w:r>
      <w:r w:rsidR="009C32A0">
        <w:rPr>
          <w:rFonts w:hint="cs"/>
          <w:rtl/>
        </w:rPr>
        <w:t xml:space="preserve"> [سورة النحل/74]</w:t>
      </w:r>
      <w:r>
        <w:rPr>
          <w:rFonts w:hint="cs"/>
          <w:rtl/>
        </w:rPr>
        <w:t>،</w:t>
      </w:r>
      <w:r w:rsidR="009C32A0">
        <w:rPr>
          <w:rFonts w:hint="cs"/>
          <w:rtl/>
        </w:rPr>
        <w:t xml:space="preserve"> أي لا تجعلوا لله الشبيهَ والمِثْل فإن اللهَ تعالى لا شبيه له ولا مثيل له</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وقوله تعالى</w:t>
      </w:r>
      <w:r>
        <w:rPr>
          <w:rFonts w:hint="cs"/>
          <w:rtl/>
        </w:rPr>
        <w:t>:</w:t>
      </w:r>
      <w:r w:rsidR="009C32A0">
        <w:rPr>
          <w:rFonts w:hint="cs"/>
          <w:rtl/>
        </w:rPr>
        <w:t xml:space="preserve"> {هل تعلمُ لهُ سميًّا) [سورة مريم/65] أي مِثلاً</w:t>
      </w:r>
      <w:r>
        <w:rPr>
          <w:rFonts w:hint="cs"/>
          <w:rtl/>
        </w:rPr>
        <w:t>،</w:t>
      </w:r>
      <w:r w:rsidR="009C32A0">
        <w:rPr>
          <w:rFonts w:hint="cs"/>
          <w:rtl/>
        </w:rPr>
        <w:t xml:space="preserve"> فالله تعالى لا مِثْلَ له ولا شبيه ولا نظير</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وَلَمْ يَكُن لَّهُ كُفُوًا أَحَدٌ</w:t>
      </w:r>
      <w:r>
        <w:rPr>
          <w:rFonts w:hint="cs"/>
          <w:rtl/>
        </w:rPr>
        <w:t>}</w:t>
      </w:r>
      <w:r w:rsidR="009C32A0">
        <w:rPr>
          <w:rFonts w:hint="cs"/>
          <w:rtl/>
        </w:rPr>
        <w:t xml:space="preserve"> [سورة الإخلاص/4] أي لا نظير له بوجه من الوجوه</w:t>
      </w:r>
      <w:r>
        <w:rPr>
          <w:rFonts w:hint="cs"/>
          <w:rtl/>
        </w:rPr>
        <w:t>،</w:t>
      </w:r>
      <w:r w:rsidR="009C32A0">
        <w:rPr>
          <w:rFonts w:hint="cs"/>
          <w:rtl/>
        </w:rPr>
        <w:t xml:space="preserve"> ولا كفء له ولا شبيه .. وقوله تعالى</w:t>
      </w:r>
      <w:r>
        <w:rPr>
          <w:rFonts w:hint="cs"/>
          <w:rtl/>
        </w:rPr>
        <w:t>:</w:t>
      </w:r>
      <w:r w:rsidR="009C32A0">
        <w:rPr>
          <w:rFonts w:hint="cs"/>
          <w:rtl/>
        </w:rPr>
        <w:t xml:space="preserve"> </w:t>
      </w:r>
      <w:r>
        <w:rPr>
          <w:rFonts w:hint="cs"/>
          <w:rtl/>
        </w:rPr>
        <w:t>{</w:t>
      </w:r>
      <w:r w:rsidR="009C32A0">
        <w:rPr>
          <w:rFonts w:hint="cs"/>
          <w:rtl/>
        </w:rPr>
        <w:t>سُبْحَانَهُ وَتَعَالَى عَمَّا يَصِفُونَ</w:t>
      </w:r>
      <w:r>
        <w:rPr>
          <w:rFonts w:hint="cs"/>
          <w:rtl/>
        </w:rPr>
        <w:t>}</w:t>
      </w:r>
      <w:r w:rsidR="009C32A0">
        <w:rPr>
          <w:rFonts w:hint="cs"/>
          <w:rtl/>
        </w:rPr>
        <w:t xml:space="preserve"> [سورة الأنعام/100] تنزيه وتقديس لله تعالى عن كل وصف يخطر ببال بشر لأنه ليس كمثله شيء ولا نعلم له سميا .. وقوله تعالى</w:t>
      </w:r>
      <w:r>
        <w:rPr>
          <w:rFonts w:hint="cs"/>
          <w:rtl/>
        </w:rPr>
        <w:t>:</w:t>
      </w:r>
      <w:r w:rsidR="009C32A0">
        <w:rPr>
          <w:rFonts w:hint="cs"/>
          <w:rtl/>
        </w:rPr>
        <w:t xml:space="preserve"> </w:t>
      </w:r>
      <w:r>
        <w:rPr>
          <w:rFonts w:hint="cs"/>
          <w:rtl/>
        </w:rPr>
        <w:t>{</w:t>
      </w:r>
      <w:r w:rsidR="009C32A0">
        <w:rPr>
          <w:rFonts w:hint="cs"/>
          <w:rtl/>
        </w:rPr>
        <w:t>وَلَا يُحِيطُونَ بِهِ عِلْمًا</w:t>
      </w:r>
      <w:r>
        <w:rPr>
          <w:rFonts w:hint="cs"/>
          <w:rtl/>
        </w:rPr>
        <w:t>}</w:t>
      </w:r>
      <w:r w:rsidR="009C32A0">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hint="cs"/>
          <w:rtl/>
        </w:rPr>
        <w:t>،</w:t>
      </w:r>
      <w:r w:rsidR="009C32A0">
        <w:rPr>
          <w:rFonts w:hint="cs"/>
          <w:rtl/>
        </w:rPr>
        <w:t xml:space="preserve"> ومن الأدلة من السنة النبوية قوله صلى الله عليه وسلم</w:t>
      </w:r>
      <w:r>
        <w:rPr>
          <w:rFonts w:hint="cs"/>
          <w:rtl/>
        </w:rPr>
        <w:t>:</w:t>
      </w:r>
      <w:r w:rsidR="009C32A0">
        <w:rPr>
          <w:rFonts w:hint="cs"/>
          <w:rtl/>
        </w:rPr>
        <w:t xml:space="preserve"> </w:t>
      </w:r>
      <w:r>
        <w:rPr>
          <w:rFonts w:hint="cs"/>
          <w:rtl/>
        </w:rPr>
        <w:t>(</w:t>
      </w:r>
      <w:r w:rsidR="009C32A0">
        <w:rPr>
          <w:rFonts w:hint="cs"/>
          <w:rtl/>
        </w:rPr>
        <w:t>اللهم أنت الأوَّلُ فليس قبلَك شىءٌ</w:t>
      </w:r>
      <w:r>
        <w:rPr>
          <w:rFonts w:hint="cs"/>
          <w:rtl/>
        </w:rPr>
        <w:t>،</w:t>
      </w:r>
      <w:r w:rsidR="009C32A0">
        <w:rPr>
          <w:rFonts w:hint="cs"/>
          <w:rtl/>
        </w:rPr>
        <w:t xml:space="preserve"> وأنت الآخِر فليس بعدَك شىءٌ</w:t>
      </w:r>
      <w:r>
        <w:rPr>
          <w:rFonts w:hint="cs"/>
          <w:rtl/>
        </w:rPr>
        <w:t>،</w:t>
      </w:r>
      <w:r w:rsidR="009C32A0">
        <w:rPr>
          <w:rFonts w:hint="cs"/>
          <w:rtl/>
        </w:rPr>
        <w:t xml:space="preserve"> وأنت الظاهرُ فليس فوقَكَ شيء</w:t>
      </w:r>
      <w:r>
        <w:rPr>
          <w:rFonts w:hint="cs"/>
          <w:rtl/>
        </w:rPr>
        <w:t>،</w:t>
      </w:r>
      <w:r w:rsidR="009C32A0">
        <w:rPr>
          <w:rFonts w:hint="cs"/>
          <w:rtl/>
        </w:rPr>
        <w:t xml:space="preserve"> وأنت الباطن فليس دونَك شيء)</w:t>
      </w:r>
      <w:r>
        <w:rPr>
          <w:rFonts w:hint="cs"/>
          <w:rtl/>
        </w:rPr>
        <w:t xml:space="preserve"> [</w:t>
      </w:r>
      <w:r w:rsidR="009C32A0">
        <w:rPr>
          <w:rFonts w:hint="cs"/>
          <w:rtl/>
        </w:rPr>
        <w:t>أخرجه مسلم] وإذا لم يكن قبله شيء ولا بعده شيء ولا فوقه شيء ولا دونه شيء لم يكن له شبيه ولا مثيل</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وعلى ذلك</w:t>
      </w:r>
      <w:r>
        <w:rPr>
          <w:rFonts w:hint="cs"/>
          <w:rtl/>
        </w:rPr>
        <w:t>:</w:t>
      </w:r>
      <w:r w:rsidR="009C32A0">
        <w:rPr>
          <w:rFonts w:hint="cs"/>
          <w:rtl/>
        </w:rPr>
        <w:t xml:space="preserve"> فذات الله تعالى ليس كمثله شيء ولا له كفء ولا شبيه وليس له مثال يقاس عليه ولا نقدر على تصوره فضلا عن وصفه ولا نحيط به علما</w:t>
      </w:r>
      <w:r>
        <w:rPr>
          <w:rFonts w:hint="cs"/>
          <w:rtl/>
        </w:rPr>
        <w:t>،</w:t>
      </w:r>
      <w:r w:rsidR="009C32A0">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9C32A0">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9C32A0">
        <w:rPr>
          <w:rFonts w:hint="cs"/>
          <w:rtl/>
        </w:rPr>
        <w:t xml:space="preserve"> إذ </w:t>
      </w:r>
      <w:r>
        <w:rPr>
          <w:rFonts w:hint="cs"/>
          <w:rtl/>
        </w:rPr>
        <w:t>{</w:t>
      </w:r>
      <w:r w:rsidR="009C32A0">
        <w:rPr>
          <w:rFonts w:hint="cs"/>
          <w:rtl/>
        </w:rPr>
        <w:t>ليس كمثله شيء</w:t>
      </w:r>
      <w:r>
        <w:rPr>
          <w:rFonts w:hint="cs"/>
          <w:rtl/>
        </w:rPr>
        <w:t>}،</w:t>
      </w:r>
    </w:p>
    <w:p w14:paraId="3B8C53EA" w14:textId="449A3BBA" w:rsidR="009C32A0" w:rsidRDefault="000636C2" w:rsidP="000636C2">
      <w:pPr>
        <w:ind w:left="-58"/>
        <w:rPr>
          <w:b/>
          <w:rtl/>
          <w:lang w:bidi="ar-KW"/>
        </w:rPr>
      </w:pPr>
      <w:r>
        <w:rPr>
          <w:rFonts w:hint="cs"/>
          <w:bCs/>
          <w:rtl/>
          <w:lang w:bidi="ar-KW"/>
        </w:rPr>
        <w:t>[</w:t>
      </w:r>
      <w:r w:rsidR="009C32A0">
        <w:rPr>
          <w:rFonts w:hint="cs"/>
          <w:bCs/>
          <w:rtl/>
          <w:lang w:bidi="ar-KW"/>
        </w:rPr>
        <w:t>5</w:t>
      </w:r>
      <w:r>
        <w:rPr>
          <w:rFonts w:hint="cs"/>
          <w:bCs/>
          <w:rtl/>
          <w:lang w:bidi="ar-KW"/>
        </w:rPr>
        <w:t>]:</w:t>
      </w:r>
      <w:r w:rsidR="009C32A0">
        <w:rPr>
          <w:rFonts w:hint="cs"/>
          <w:bCs/>
          <w:rtl/>
          <w:lang w:bidi="ar-KW"/>
        </w:rPr>
        <w:t xml:space="preserve"> القاعدة الخامسة</w:t>
      </w:r>
      <w:r>
        <w:rPr>
          <w:rFonts w:hint="cs"/>
          <w:bCs/>
          <w:rtl/>
          <w:lang w:bidi="ar-KW"/>
        </w:rPr>
        <w:t>:</w:t>
      </w:r>
      <w:r w:rsidR="009C32A0">
        <w:rPr>
          <w:rFonts w:hint="cs"/>
          <w:bCs/>
          <w:rtl/>
          <w:lang w:bidi="ar-KW"/>
        </w:rPr>
        <w:t xml:space="preserve"> تنزيه ذات الله تعالى عن الجسمية التي تتصف بها ذات المخلوق</w:t>
      </w:r>
      <w:r>
        <w:rPr>
          <w:rFonts w:hint="cs"/>
          <w:b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الجسم</w:t>
      </w:r>
      <w:r>
        <w:rPr>
          <w:rFonts w:hint="cs"/>
          <w:rtl/>
          <w:lang w:bidi="ar-KW"/>
        </w:rPr>
        <w:t>)</w:t>
      </w:r>
      <w:r w:rsidR="009C32A0">
        <w:rPr>
          <w:rFonts w:hint="cs"/>
          <w:rtl/>
          <w:lang w:bidi="ar-KW"/>
        </w:rPr>
        <w:t xml:space="preserve"> هو الشيء المؤلف المركب من أجزاء</w:t>
      </w:r>
      <w:r>
        <w:rPr>
          <w:rFonts w:hint="cs"/>
          <w:rtl/>
          <w:lang w:bidi="ar-KW"/>
        </w:rPr>
        <w:t>،</w:t>
      </w:r>
      <w:r w:rsidR="009C32A0">
        <w:rPr>
          <w:rFonts w:hint="cs"/>
          <w:rtl/>
          <w:lang w:bidi="ar-KW"/>
        </w:rPr>
        <w:t xml:space="preserve"> وكلما كثرت تآليف ذلك الشيء وزاد حجمه كان أجسم من غيره</w:t>
      </w:r>
      <w:r>
        <w:rPr>
          <w:rFonts w:hint="cs"/>
          <w:rtl/>
          <w:lang w:bidi="ar-KW"/>
        </w:rPr>
        <w:t>،</w:t>
      </w:r>
      <w:r w:rsidR="009C32A0">
        <w:rPr>
          <w:rFonts w:hint="cs"/>
          <w:rtl/>
          <w:lang w:bidi="ar-KW"/>
        </w:rPr>
        <w:t xml:space="preserve"> قال تعالى </w:t>
      </w:r>
      <w:r>
        <w:rPr>
          <w:rFonts w:hint="cs"/>
          <w:rtl/>
          <w:lang w:bidi="ar-KW"/>
        </w:rPr>
        <w:t>{</w:t>
      </w:r>
      <w:r w:rsidR="009C32A0">
        <w:rPr>
          <w:rFonts w:hint="cs"/>
          <w:rtl/>
          <w:lang w:bidi="ar-KW"/>
        </w:rPr>
        <w:t>وزاده بسطة في العلم والجسم</w:t>
      </w:r>
      <w:r>
        <w:rPr>
          <w:rFonts w:hint="cs"/>
          <w:rtl/>
          <w:lang w:bidi="ar-KW"/>
        </w:rPr>
        <w:t>}،</w:t>
      </w:r>
      <w:r w:rsidR="009C32A0">
        <w:rPr>
          <w:rFonts w:hint="cs"/>
          <w:rtl/>
          <w:lang w:bidi="ar-KW"/>
        </w:rPr>
        <w:t xml:space="preserve"> ومن خصائص الجسم أنه مكون من أجزاء وأن له طول وعرض وعمق وحجم ومقدار يكسبه وصف الجسم</w:t>
      </w:r>
      <w:r>
        <w:rPr>
          <w:rFonts w:hint="cs"/>
          <w:rtl/>
          <w:lang w:bidi="ar-KW"/>
        </w:rPr>
        <w:t>،</w:t>
      </w:r>
      <w:r w:rsidR="009C32A0">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Pr>
          <w:rFonts w:hint="cs"/>
          <w:rtl/>
          <w:lang w:bidi="ar-KW"/>
        </w:rPr>
        <w:t>،</w:t>
      </w:r>
      <w:r w:rsidR="009C32A0">
        <w:rPr>
          <w:rFonts w:hint="cs"/>
          <w:rtl/>
          <w:lang w:bidi="ar-KW"/>
        </w:rPr>
        <w:t xml:space="preserve"> وبالجملة فإن الجسمية دليل على كون صاحبها مخلوق محدود مقدر</w:t>
      </w:r>
      <w:r>
        <w:rPr>
          <w:rFonts w:hint="cs"/>
          <w:rtl/>
          <w:lang w:bidi="ar-KW"/>
        </w:rPr>
        <w:t>،</w:t>
      </w:r>
      <w:r w:rsidR="009C32A0">
        <w:rPr>
          <w:rFonts w:hint="cs"/>
          <w:rtl/>
          <w:lang w:bidi="ar-KW"/>
        </w:rPr>
        <w:t xml:space="preserve"> ويستحيل وصف ذات الله تعالى بها ولهذا </w:t>
      </w:r>
      <w:r w:rsidR="009C32A0">
        <w:rPr>
          <w:rFonts w:hint="cs"/>
          <w:rtl/>
          <w:lang w:bidi="ar-KW"/>
        </w:rPr>
        <w:lastRenderedPageBreak/>
        <w:t>تواترت أقوال علماء الأمة على نفي الجسمية عن الله سبحانه ماعدا شرذمة حقيرة من أهل التجسيم</w:t>
      </w:r>
      <w:r>
        <w:rPr>
          <w:rFonts w:hint="cs"/>
          <w:rtl/>
          <w:lang w:bidi="ar-KW"/>
        </w:rPr>
        <w:t>،</w:t>
      </w:r>
      <w:r w:rsidR="009C32A0">
        <w:rPr>
          <w:rFonts w:hint="cs"/>
          <w:rtl/>
          <w:lang w:bidi="ar-KW"/>
        </w:rPr>
        <w:t xml:space="preserve"> الجاهلين بما يستحيل وصف الله تعالى به من النقائص والعيوب التي تنزه الله عنها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ب</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الجسمية</w:t>
      </w:r>
      <w:r>
        <w:rPr>
          <w:rFonts w:hint="cs"/>
          <w:rtl/>
          <w:lang w:bidi="ar-KW"/>
        </w:rPr>
        <w:t>)</w:t>
      </w:r>
      <w:r w:rsidR="009C32A0">
        <w:rPr>
          <w:rFonts w:hint="cs"/>
          <w:rtl/>
          <w:lang w:bidi="ar-KW"/>
        </w:rPr>
        <w:t xml:space="preserve"> تعني صفات وخصائص يستحيل نسبتها إلى الله منها</w:t>
      </w:r>
      <w:r>
        <w:rPr>
          <w:rFonts w:hint="cs"/>
          <w:rtl/>
          <w:lang w:bidi="ar-KW"/>
        </w:rPr>
        <w:t>:</w:t>
      </w:r>
      <w:r w:rsidR="009C32A0">
        <w:rPr>
          <w:rFonts w:hint="cs"/>
          <w:rtl/>
          <w:lang w:bidi="ar-KW"/>
        </w:rPr>
        <w:t xml:space="preserve"> الحد والمقدار</w:t>
      </w:r>
      <w:r>
        <w:rPr>
          <w:rFonts w:hint="cs"/>
          <w:rtl/>
          <w:lang w:bidi="ar-KW"/>
        </w:rPr>
        <w:t>،</w:t>
      </w:r>
      <w:r w:rsidR="009C32A0">
        <w:rPr>
          <w:rFonts w:hint="cs"/>
          <w:rtl/>
          <w:lang w:bidi="ar-KW"/>
        </w:rPr>
        <w:t xml:space="preserve"> وهذا _ كما سبق بيانه _ مما تنزه الله تعالى عنه لان الحد نقص عن الكمال والله سبحانه منزه عن النقص</w:t>
      </w:r>
      <w:r>
        <w:rPr>
          <w:rFonts w:hint="cs"/>
          <w:rtl/>
          <w:lang w:bidi="ar-KW"/>
        </w:rPr>
        <w:t>،</w:t>
      </w:r>
      <w:r w:rsidR="009C32A0">
        <w:rPr>
          <w:rFonts w:hint="cs"/>
          <w:rtl/>
          <w:lang w:bidi="ar-KW"/>
        </w:rPr>
        <w:t xml:space="preserve"> ومنها التحيز والكون في المكان</w:t>
      </w:r>
      <w:r>
        <w:rPr>
          <w:rFonts w:hint="cs"/>
          <w:rtl/>
          <w:lang w:bidi="ar-KW"/>
        </w:rPr>
        <w:t>،</w:t>
      </w:r>
      <w:r w:rsidR="009C32A0">
        <w:rPr>
          <w:rFonts w:hint="cs"/>
          <w:rtl/>
          <w:lang w:bidi="ar-KW"/>
        </w:rPr>
        <w:t xml:space="preserve"> وهذا _ كما سبق بيانه _ مما تنزه الله تعالى عنه لأن خالق المكان منزه عنه مستغن عنه</w:t>
      </w:r>
      <w:r>
        <w:rPr>
          <w:rFonts w:hint="cs"/>
          <w:rtl/>
          <w:lang w:bidi="ar-KW"/>
        </w:rPr>
        <w:t>،</w:t>
      </w:r>
      <w:r w:rsidR="009C32A0">
        <w:rPr>
          <w:rFonts w:hint="cs"/>
          <w:rtl/>
          <w:lang w:bidi="ar-KW"/>
        </w:rPr>
        <w:t xml:space="preserve"> كما أنّ المكان يحيط بمن داخله</w:t>
      </w:r>
      <w:r>
        <w:rPr>
          <w:rFonts w:hint="cs"/>
          <w:rtl/>
          <w:lang w:bidi="ar-KW"/>
        </w:rPr>
        <w:t>،</w:t>
      </w:r>
      <w:r w:rsidR="009C32A0">
        <w:rPr>
          <w:rFonts w:hint="cs"/>
          <w:rtl/>
          <w:lang w:bidi="ar-KW"/>
        </w:rPr>
        <w:t xml:space="preserve"> والله تعالى لا يحيط به شيء</w:t>
      </w:r>
      <w:r>
        <w:rPr>
          <w:rFonts w:hint="cs"/>
          <w:rtl/>
          <w:lang w:bidi="ar-KW"/>
        </w:rPr>
        <w:t xml:space="preserve">، </w:t>
      </w:r>
      <w:r w:rsidR="009C32A0">
        <w:rPr>
          <w:rFonts w:hint="cs"/>
          <w:rtl/>
          <w:lang w:bidi="ar-KW"/>
        </w:rPr>
        <w:t>ألا إنه بكل شيء محيط</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ت</w:t>
      </w:r>
      <w:r>
        <w:rPr>
          <w:rFonts w:hint="cs"/>
          <w:rtl/>
          <w:lang w:bidi="ar-KW"/>
        </w:rPr>
        <w:t>)</w:t>
      </w:r>
      <w:r w:rsidR="009C32A0">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Pr>
          <w:rFonts w:hint="cs"/>
          <w:rtl/>
          <w:lang w:bidi="ar-KW"/>
        </w:rPr>
        <w:t>،</w:t>
      </w:r>
      <w:r w:rsidR="009C32A0">
        <w:rPr>
          <w:rFonts w:hint="cs"/>
          <w:rtl/>
          <w:lang w:bidi="ar-KW"/>
        </w:rPr>
        <w:t xml:space="preserve"> والجسمية تعني قابلية الانقسام</w:t>
      </w:r>
      <w:r>
        <w:rPr>
          <w:rFonts w:hint="cs"/>
          <w:rtl/>
          <w:lang w:bidi="ar-KW"/>
        </w:rPr>
        <w:t xml:space="preserve"> </w:t>
      </w:r>
      <w:r w:rsidR="009C32A0">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ث</w:t>
      </w:r>
      <w:r>
        <w:rPr>
          <w:rFonts w:hint="cs"/>
          <w:rtl/>
          <w:lang w:bidi="ar-KW"/>
        </w:rPr>
        <w:t>)</w:t>
      </w:r>
      <w:r w:rsidR="009C32A0">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ج</w:t>
      </w:r>
      <w:r>
        <w:rPr>
          <w:rFonts w:hint="cs"/>
          <w:rtl/>
          <w:lang w:bidi="ar-KW"/>
        </w:rPr>
        <w:t>)</w:t>
      </w:r>
      <w:r w:rsidR="009C32A0">
        <w:rPr>
          <w:rFonts w:hint="cs"/>
          <w:rtl/>
          <w:lang w:bidi="ar-KW"/>
        </w:rPr>
        <w:t xml:space="preserve"> الجسم مادة</w:t>
      </w:r>
      <w:r>
        <w:rPr>
          <w:rFonts w:hint="cs"/>
          <w:rtl/>
          <w:lang w:bidi="ar-KW"/>
        </w:rPr>
        <w:t>،</w:t>
      </w:r>
      <w:r w:rsidR="009C32A0">
        <w:rPr>
          <w:rFonts w:hint="cs"/>
          <w:rtl/>
          <w:lang w:bidi="ar-KW"/>
        </w:rPr>
        <w:t xml:space="preserve"> وذات الله تعالى لا تسري عليه قوانين المادة</w:t>
      </w:r>
      <w:r>
        <w:rPr>
          <w:rFonts w:hint="cs"/>
          <w:rtl/>
          <w:lang w:bidi="ar-KW"/>
        </w:rPr>
        <w:t>،</w:t>
      </w:r>
      <w:r w:rsidR="009C32A0">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9C32A0">
        <w:rPr>
          <w:rFonts w:hint="cs"/>
          <w:rtl/>
          <w:lang w:bidi="ar-KW"/>
        </w:rPr>
        <w:t xml:space="preserve"> وأنّ الذي خلق المادة والجسم هو الله تعالى وهو الذي قهرها بتلك القوانين</w:t>
      </w:r>
      <w:r>
        <w:rPr>
          <w:rFonts w:hint="cs"/>
          <w:rtl/>
          <w:lang w:bidi="ar-KW"/>
        </w:rPr>
        <w:t>،</w:t>
      </w:r>
      <w:r w:rsidR="009C32A0">
        <w:rPr>
          <w:rFonts w:hint="cs"/>
          <w:rtl/>
          <w:lang w:bidi="ar-KW"/>
        </w:rPr>
        <w:t xml:space="preserve"> ولكنّه هو القاهر فوق خلقه وفوق عباده وفوق كل شيء</w:t>
      </w:r>
      <w:r>
        <w:rPr>
          <w:rFonts w:hint="cs"/>
          <w:rtl/>
          <w:lang w:bidi="ar-KW"/>
        </w:rPr>
        <w:t xml:space="preserve">، </w:t>
      </w:r>
      <w:r w:rsidR="009C32A0">
        <w:rPr>
          <w:rFonts w:hint="cs"/>
          <w:rtl/>
          <w:lang w:bidi="ar-KW"/>
        </w:rPr>
        <w:t>فلا تسري عليه مفاهيم الأجسام</w:t>
      </w:r>
      <w:r>
        <w:rPr>
          <w:rFonts w:hint="cs"/>
          <w:rtl/>
          <w:lang w:bidi="ar-KW"/>
        </w:rPr>
        <w:t>،</w:t>
      </w:r>
      <w:r w:rsidR="009C32A0">
        <w:rPr>
          <w:rFonts w:hint="cs"/>
          <w:rtl/>
          <w:lang w:bidi="ar-KW"/>
        </w:rPr>
        <w:t xml:space="preserve"> ولا الصور والأشكال</w:t>
      </w:r>
      <w:r>
        <w:rPr>
          <w:rFonts w:hint="cs"/>
          <w:rtl/>
          <w:lang w:bidi="ar-KW"/>
        </w:rPr>
        <w:t>،</w:t>
      </w:r>
      <w:r w:rsidR="009C32A0">
        <w:rPr>
          <w:rFonts w:hint="cs"/>
          <w:rtl/>
          <w:lang w:bidi="ar-KW"/>
        </w:rPr>
        <w:t xml:space="preserve"> لأنّه ليس كمثله شيء</w:t>
      </w:r>
      <w:r>
        <w:rPr>
          <w:rFonts w:hint="cs"/>
          <w:rtl/>
          <w:lang w:bidi="ar-KW"/>
        </w:rPr>
        <w:t>،</w:t>
      </w:r>
      <w:r w:rsidR="009C32A0">
        <w:rPr>
          <w:rFonts w:hint="cs"/>
          <w:rtl/>
          <w:lang w:bidi="ar-KW"/>
        </w:rPr>
        <w:t xml:space="preserve"> وكل ما خطر بالبال فالله خلافه</w:t>
      </w:r>
      <w:r>
        <w:rPr>
          <w:rFonts w:hint="cs"/>
          <w:rtl/>
        </w:rPr>
        <w:t>،</w:t>
      </w:r>
      <w:r w:rsidR="009C32A0">
        <w:rPr>
          <w:rFonts w:hint="cs"/>
          <w:rtl/>
        </w:rPr>
        <w:t xml:space="preserve"> </w:t>
      </w:r>
      <w:r w:rsidR="009C32A0">
        <w:rPr>
          <w:rFonts w:hint="cs"/>
          <w:rtl/>
          <w:lang w:bidi="ar-KW"/>
        </w:rPr>
        <w:t>و الجسمية تعني مماثلة الأجسام والله تعالى ليس كمثله شيء ولم يكن له كفوا احد</w:t>
      </w:r>
      <w:r>
        <w:rPr>
          <w:rFonts w:hint="cs"/>
          <w:rtl/>
          <w:lang w:bidi="ar-KW"/>
        </w:rPr>
        <w:t>،</w:t>
      </w:r>
      <w:r w:rsidR="009C32A0">
        <w:rPr>
          <w:rFonts w:hint="cs"/>
          <w:rtl/>
          <w:lang w:bidi="ar-KW"/>
        </w:rPr>
        <w:t xml:space="preserve"> فهو سبحانه منزه عن الجسمية لقوله تعالى </w:t>
      </w:r>
      <w:r>
        <w:rPr>
          <w:rFonts w:hint="cs"/>
          <w:rtl/>
          <w:lang w:bidi="ar-KW"/>
        </w:rPr>
        <w:t>{</w:t>
      </w:r>
      <w:r w:rsidR="009C32A0">
        <w:rPr>
          <w:rFonts w:hint="cs"/>
          <w:rtl/>
          <w:lang w:bidi="ar-KW"/>
        </w:rPr>
        <w:t>ليس كمثلِه شيء</w:t>
      </w:r>
      <w:r>
        <w:rPr>
          <w:rFonts w:hint="cs"/>
          <w:rtl/>
          <w:lang w:bidi="ar-KW"/>
        </w:rPr>
        <w:t>}</w:t>
      </w:r>
      <w:r w:rsidR="009C32A0">
        <w:rPr>
          <w:rFonts w:hint="cs"/>
          <w:rtl/>
          <w:lang w:bidi="ar-KW"/>
        </w:rPr>
        <w:t xml:space="preserve"> [سورة الشورى</w:t>
      </w:r>
      <w:r>
        <w:rPr>
          <w:rFonts w:hint="cs"/>
          <w:rtl/>
          <w:lang w:bidi="ar-KW"/>
        </w:rPr>
        <w:t>:</w:t>
      </w:r>
      <w:r w:rsidR="009C32A0">
        <w:rPr>
          <w:rFonts w:hint="cs"/>
          <w:rtl/>
          <w:lang w:bidi="ar-KW"/>
        </w:rPr>
        <w:t>11] ولو كان جسما لكان مثلا لسائر الأجسام</w:t>
      </w:r>
      <w:r>
        <w:rPr>
          <w:rFonts w:hint="cs"/>
          <w:rtl/>
          <w:lang w:bidi="ar-KW"/>
        </w:rPr>
        <w:t>،</w:t>
      </w:r>
      <w:r w:rsidR="009C32A0">
        <w:rPr>
          <w:rFonts w:hint="cs"/>
          <w:rtl/>
          <w:lang w:bidi="ar-KW"/>
        </w:rPr>
        <w:t xml:space="preserve"> وقوله تعالى {هل تعلمُ لهُ سميًّا} [سورة مريم</w:t>
      </w:r>
      <w:r>
        <w:rPr>
          <w:rFonts w:hint="cs"/>
          <w:rtl/>
          <w:lang w:bidi="ar-KW"/>
        </w:rPr>
        <w:t>:</w:t>
      </w:r>
      <w:r w:rsidR="009C32A0">
        <w:rPr>
          <w:rFonts w:hint="cs"/>
          <w:rtl/>
          <w:lang w:bidi="ar-KW"/>
        </w:rPr>
        <w:t xml:space="preserve"> 65] قال المفسرون هل تعلم له سميا أي مِثلاً</w:t>
      </w:r>
      <w:r>
        <w:rPr>
          <w:rFonts w:hint="cs"/>
          <w:rtl/>
          <w:lang w:bidi="ar-KW"/>
        </w:rPr>
        <w:t>،</w:t>
      </w:r>
      <w:r w:rsidR="009C32A0">
        <w:rPr>
          <w:rFonts w:hint="cs"/>
          <w:rtl/>
          <w:lang w:bidi="ar-KW"/>
        </w:rPr>
        <w:t xml:space="preserve"> فالله تعالى لا مِثْلَ له ولا شبيه ولا نظير</w:t>
      </w:r>
      <w:r>
        <w:rPr>
          <w:rFonts w:hint="cs"/>
          <w:rtl/>
          <w:lang w:bidi="ar-KW"/>
        </w:rPr>
        <w:t>،</w:t>
      </w:r>
      <w:r w:rsidR="009C32A0">
        <w:rPr>
          <w:rFonts w:hint="cs"/>
          <w:rtl/>
          <w:lang w:bidi="ar-KW"/>
        </w:rPr>
        <w:t xml:space="preserve"> فمن وصفه بالجسمية فقد جعل له مثلا سبحانه وتعالى عما يصفون</w:t>
      </w:r>
      <w:r>
        <w:rPr>
          <w:rFonts w:hint="cs"/>
          <w:rtl/>
          <w:lang w:bidi="ar-KW"/>
        </w:rPr>
        <w:t>،</w:t>
      </w:r>
      <w:r w:rsidR="009C32A0">
        <w:rPr>
          <w:rFonts w:hint="cs"/>
          <w:rtl/>
          <w:lang w:bidi="ar-KW"/>
        </w:rPr>
        <w:t xml:space="preserve"> وقوله تعالى {وللهِ المثَلُ الأعلى}</w:t>
      </w:r>
      <w:r>
        <w:rPr>
          <w:rFonts w:hint="cs"/>
          <w:rtl/>
          <w:lang w:bidi="ar-KW"/>
        </w:rPr>
        <w:t xml:space="preserve"> </w:t>
      </w:r>
      <w:r w:rsidR="009C32A0">
        <w:rPr>
          <w:rFonts w:hint="cs"/>
          <w:rtl/>
          <w:lang w:bidi="ar-KW"/>
        </w:rPr>
        <w:t>[سورة النحل</w:t>
      </w:r>
      <w:r>
        <w:rPr>
          <w:rFonts w:hint="cs"/>
          <w:rtl/>
          <w:lang w:bidi="ar-KW"/>
        </w:rPr>
        <w:t>:</w:t>
      </w:r>
      <w:r w:rsidR="009C32A0">
        <w:rPr>
          <w:rFonts w:hint="cs"/>
          <w:rtl/>
          <w:lang w:bidi="ar-KW"/>
        </w:rPr>
        <w:t>60]</w:t>
      </w:r>
      <w:r>
        <w:rPr>
          <w:rFonts w:hint="cs"/>
          <w:rtl/>
          <w:lang w:bidi="ar-KW"/>
        </w:rPr>
        <w:t xml:space="preserve"> </w:t>
      </w:r>
      <w:r w:rsidR="009C32A0">
        <w:rPr>
          <w:rFonts w:hint="cs"/>
          <w:rtl/>
          <w:lang w:bidi="ar-KW"/>
        </w:rPr>
        <w:t>قال المفسرون</w:t>
      </w:r>
      <w:r>
        <w:rPr>
          <w:rFonts w:hint="cs"/>
          <w:rtl/>
          <w:lang w:bidi="ar-KW"/>
        </w:rPr>
        <w:t xml:space="preserve"> </w:t>
      </w:r>
      <w:r w:rsidR="009C32A0">
        <w:rPr>
          <w:rFonts w:hint="cs"/>
          <w:rtl/>
          <w:lang w:bidi="ar-KW"/>
        </w:rPr>
        <w:t>أي له سبحانه الوصف الذي لا يشبه وصف غيره</w:t>
      </w:r>
      <w:r>
        <w:rPr>
          <w:rFonts w:hint="cs"/>
          <w:rtl/>
          <w:lang w:bidi="ar-KW"/>
        </w:rPr>
        <w:t>،</w:t>
      </w:r>
      <w:r w:rsidR="009C32A0">
        <w:rPr>
          <w:rFonts w:hint="cs"/>
          <w:rtl/>
          <w:lang w:bidi="ar-KW"/>
        </w:rPr>
        <w:t xml:space="preserve"> ومعنى ذلك أنه لا يوصف ربنا عزَّ وجلَّ بصفات المخلوقين من الجسمية ولوازم الجسمية</w:t>
      </w:r>
      <w:r>
        <w:rPr>
          <w:rFonts w:hint="cs"/>
          <w:rtl/>
          <w:lang w:bidi="ar-KW"/>
        </w:rPr>
        <w:t>،</w:t>
      </w:r>
      <w:r w:rsidR="009C32A0">
        <w:rPr>
          <w:rFonts w:hint="cs"/>
          <w:rtl/>
          <w:lang w:bidi="ar-KW"/>
        </w:rPr>
        <w:t xml:space="preserve"> وقوله تعالى </w:t>
      </w:r>
      <w:r>
        <w:rPr>
          <w:rFonts w:hint="cs"/>
          <w:rtl/>
          <w:lang w:bidi="ar-KW"/>
        </w:rPr>
        <w:t>{</w:t>
      </w:r>
      <w:r w:rsidR="009C32A0">
        <w:rPr>
          <w:rFonts w:hint="cs"/>
          <w:rtl/>
          <w:lang w:bidi="ar-KW"/>
        </w:rPr>
        <w:t>فلا تضربوا للهِ الأمثال} [سورة النحل</w:t>
      </w:r>
      <w:r>
        <w:rPr>
          <w:rFonts w:hint="cs"/>
          <w:rtl/>
          <w:lang w:bidi="ar-KW"/>
        </w:rPr>
        <w:t>:</w:t>
      </w:r>
      <w:r w:rsidR="009C32A0">
        <w:rPr>
          <w:rFonts w:hint="cs"/>
          <w:rtl/>
          <w:lang w:bidi="ar-KW"/>
        </w:rPr>
        <w:t>74]</w:t>
      </w:r>
      <w:r>
        <w:rPr>
          <w:rFonts w:hint="cs"/>
          <w:rtl/>
          <w:lang w:bidi="ar-KW"/>
        </w:rPr>
        <w:t>،</w:t>
      </w:r>
      <w:r w:rsidR="009C32A0">
        <w:rPr>
          <w:rFonts w:hint="cs"/>
          <w:rtl/>
          <w:lang w:bidi="ar-KW"/>
        </w:rPr>
        <w:t xml:space="preserve"> قال المفسرون أي لا تجعلوا لله الشبيهَ والمِثْل فإن اللهَ تعالى منزه عن الشبيه و المثيل</w:t>
      </w:r>
      <w:r>
        <w:rPr>
          <w:rFonts w:hint="cs"/>
          <w:rtl/>
          <w:lang w:bidi="ar-KW"/>
        </w:rPr>
        <w:t>،</w:t>
      </w:r>
      <w:r w:rsidR="009C32A0">
        <w:rPr>
          <w:rFonts w:hint="cs"/>
          <w:rtl/>
          <w:lang w:bidi="ar-KW"/>
        </w:rPr>
        <w:t xml:space="preserve"> فلا ذاتُه يشبه الذوات ولا صفاتُه تشبه الصفات</w:t>
      </w:r>
      <w:r>
        <w:rPr>
          <w:rFonts w:hint="cs"/>
          <w:rtl/>
          <w:lang w:bidi="ar-KW"/>
        </w:rPr>
        <w:t>،</w:t>
      </w:r>
      <w:r w:rsidR="009C32A0">
        <w:rPr>
          <w:rFonts w:hint="cs"/>
          <w:rtl/>
          <w:lang w:bidi="ar-KW"/>
        </w:rPr>
        <w:t xml:space="preserve"> فمن وصفه بالجسمية فقد جعل ذاته تشبه الذوات سبحانه وتعالى عما يصفون</w:t>
      </w:r>
      <w:r>
        <w:rPr>
          <w:rFonts w:hint="cs"/>
          <w:rtl/>
          <w:lang w:bidi="ar-KW"/>
        </w:rPr>
        <w:t>،</w:t>
      </w:r>
      <w:r w:rsidR="009C32A0">
        <w:rPr>
          <w:rFonts w:hint="cs"/>
          <w:rtl/>
          <w:lang w:bidi="ar-KW"/>
        </w:rPr>
        <w:t xml:space="preserve"> </w:t>
      </w:r>
      <w:r w:rsidR="009C32A0">
        <w:rPr>
          <w:rFonts w:hint="cs"/>
          <w:rtl/>
        </w:rPr>
        <w:t xml:space="preserve">وقوله تعالى </w:t>
      </w:r>
      <w:r>
        <w:rPr>
          <w:rFonts w:hint="cs"/>
          <w:rtl/>
        </w:rPr>
        <w:t>{</w:t>
      </w:r>
      <w:r w:rsidR="009C32A0">
        <w:rPr>
          <w:rFonts w:hint="cs"/>
          <w:rtl/>
          <w:lang w:bidi="ar-KW"/>
        </w:rPr>
        <w:t xml:space="preserve">فلا تجعلوا لله أندادا </w:t>
      </w:r>
      <w:r w:rsidR="009C32A0">
        <w:rPr>
          <w:rFonts w:hint="cs"/>
          <w:rtl/>
          <w:lang w:bidi="ar-KW"/>
        </w:rPr>
        <w:lastRenderedPageBreak/>
        <w:t>وأنتم تعلمون</w:t>
      </w:r>
      <w:r>
        <w:rPr>
          <w:rFonts w:hint="cs"/>
          <w:rtl/>
          <w:lang w:bidi="ar-KW"/>
        </w:rPr>
        <w:t>}</w:t>
      </w:r>
      <w:r w:rsidR="009C32A0">
        <w:rPr>
          <w:rFonts w:hint="cs"/>
          <w:rtl/>
          <w:lang w:bidi="ar-KW"/>
        </w:rPr>
        <w:t xml:space="preserve"> [سورة البقرة/22]</w:t>
      </w:r>
      <w:r>
        <w:rPr>
          <w:rFonts w:hint="cs"/>
          <w:rtl/>
          <w:lang w:bidi="ar-KW"/>
        </w:rPr>
        <w:t>،</w:t>
      </w:r>
      <w:r w:rsidR="009C32A0">
        <w:rPr>
          <w:rFonts w:hint="cs"/>
          <w:rtl/>
          <w:lang w:bidi="ar-KW"/>
        </w:rPr>
        <w:t xml:space="preserve"> والند هو المثيل والشبيه ولو كان جسما لكان له أنداد والعياذ بالله من التشبيه والتمثيل</w:t>
      </w:r>
      <w:r>
        <w:rPr>
          <w:rFonts w:hint="cs"/>
          <w:rtl/>
          <w:lang w:bidi="ar-KW"/>
        </w:rPr>
        <w:t>،</w:t>
      </w:r>
      <w:r>
        <w:rPr>
          <w:rFonts w:hint="cs"/>
          <w:rtl/>
        </w:rPr>
        <w:t xml:space="preserve"> (</w:t>
      </w:r>
      <w:r w:rsidR="009C32A0">
        <w:rPr>
          <w:rFonts w:hint="cs"/>
          <w:rtl/>
        </w:rPr>
        <w:t>ج</w:t>
      </w:r>
      <w:r>
        <w:rPr>
          <w:rFonts w:hint="cs"/>
          <w:rtl/>
        </w:rPr>
        <w:t>)</w:t>
      </w:r>
      <w:r w:rsidR="009C32A0">
        <w:rPr>
          <w:rFonts w:hint="cs"/>
          <w:rtl/>
        </w:rPr>
        <w:t xml:space="preserve"> قوله تعالى {قل هو الله أحد الله الصمد لم يلد ولم يولد ولم يكن له كفواً أحد</w:t>
      </w:r>
      <w:r>
        <w:rPr>
          <w:rFonts w:hint="cs"/>
          <w:rtl/>
        </w:rPr>
        <w:t>}</w:t>
      </w:r>
      <w:r w:rsidR="009C32A0">
        <w:rPr>
          <w:rFonts w:hint="cs"/>
          <w:rtl/>
        </w:rPr>
        <w:t xml:space="preserve"> من أعظم الدلائل على تنزيه الله تعالى عن الجسمية فقوله تعالى </w:t>
      </w:r>
      <w:r>
        <w:rPr>
          <w:rFonts w:hint="cs"/>
          <w:rtl/>
        </w:rPr>
        <w:t>(</w:t>
      </w:r>
      <w:r w:rsidR="009C32A0">
        <w:rPr>
          <w:rFonts w:hint="cs"/>
          <w:rtl/>
        </w:rPr>
        <w:t xml:space="preserve">أحد) يدل على نفى الجسمية لأن الجسم أقله أنه يكون مركباً من جوهرين وذلك ينافى الوحدة ولما كان قوله </w:t>
      </w:r>
      <w:r>
        <w:rPr>
          <w:rFonts w:hint="cs"/>
          <w:rtl/>
        </w:rPr>
        <w:t>{</w:t>
      </w:r>
      <w:r w:rsidR="009C32A0">
        <w:rPr>
          <w:rFonts w:hint="cs"/>
          <w:rtl/>
        </w:rPr>
        <w:t xml:space="preserve">أحد} مبالغة في الواحدية كان قوله </w:t>
      </w:r>
      <w:r>
        <w:rPr>
          <w:rFonts w:hint="cs"/>
          <w:rtl/>
        </w:rPr>
        <w:t>{</w:t>
      </w:r>
      <w:r w:rsidR="009C32A0">
        <w:rPr>
          <w:rFonts w:hint="cs"/>
          <w:rtl/>
        </w:rPr>
        <w:t>أحد</w:t>
      </w:r>
      <w:r>
        <w:rPr>
          <w:rFonts w:hint="cs"/>
          <w:rtl/>
        </w:rPr>
        <w:t>}</w:t>
      </w:r>
      <w:r w:rsidR="009C32A0">
        <w:rPr>
          <w:rFonts w:hint="cs"/>
          <w:rtl/>
        </w:rPr>
        <w:t xml:space="preserve"> منافي للجسمية وقوله تعالى </w:t>
      </w:r>
      <w:r>
        <w:rPr>
          <w:rFonts w:hint="cs"/>
          <w:rtl/>
        </w:rPr>
        <w:t>{</w:t>
      </w:r>
      <w:r w:rsidR="009C32A0">
        <w:rPr>
          <w:rFonts w:hint="cs"/>
          <w:rtl/>
        </w:rPr>
        <w:t>الله الصمد</w:t>
      </w:r>
      <w:r>
        <w:rPr>
          <w:rFonts w:hint="cs"/>
          <w:rtl/>
        </w:rPr>
        <w:t>}</w:t>
      </w:r>
      <w:r w:rsidR="009C32A0">
        <w:rPr>
          <w:rFonts w:hint="cs"/>
          <w:rtl/>
        </w:rPr>
        <w:t xml:space="preserve"> فالصمد هو السيد المصمود إليه في الحوائج وذلك يدل على أنه ليس بجسم لأن كل جسم مركب</w:t>
      </w:r>
      <w:r>
        <w:rPr>
          <w:rFonts w:hint="cs"/>
          <w:rtl/>
        </w:rPr>
        <w:t>،</w:t>
      </w:r>
      <w:r w:rsidR="009C32A0">
        <w:rPr>
          <w:rFonts w:hint="cs"/>
          <w:rtl/>
        </w:rPr>
        <w:t xml:space="preserve"> وكل مركب فهو محتاج إلى كل واحد من أجزائه وكل واحد من أجزائه غيره</w:t>
      </w:r>
      <w:r>
        <w:rPr>
          <w:rFonts w:hint="cs"/>
          <w:rtl/>
        </w:rPr>
        <w:t>،</w:t>
      </w:r>
      <w:r w:rsidR="009C32A0">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Fonts w:hint="cs"/>
          <w:rtl/>
        </w:rPr>
        <w:t>،</w:t>
      </w:r>
      <w:r w:rsidR="009C32A0">
        <w:rPr>
          <w:rFonts w:hint="cs"/>
          <w:rtl/>
        </w:rPr>
        <w:t xml:space="preserve"> وأما قوله تعالى </w:t>
      </w:r>
      <w:r>
        <w:rPr>
          <w:rFonts w:hint="cs"/>
          <w:rtl/>
        </w:rPr>
        <w:t>{</w:t>
      </w:r>
      <w:r w:rsidR="009C32A0">
        <w:rPr>
          <w:rFonts w:hint="cs"/>
          <w:rtl/>
        </w:rPr>
        <w:t>ولم يكن له كفواً أحد</w:t>
      </w:r>
      <w:r>
        <w:rPr>
          <w:rFonts w:hint="cs"/>
          <w:rtl/>
        </w:rPr>
        <w:t>}</w:t>
      </w:r>
      <w:r w:rsidR="009C32A0">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Fonts w:hint="cs"/>
          <w:rtl/>
        </w:rPr>
        <w:t>،</w:t>
      </w:r>
      <w:r w:rsidR="009C32A0">
        <w:rPr>
          <w:rFonts w:hint="cs"/>
          <w:rtl/>
        </w:rPr>
        <w:t xml:space="preserve"> </w:t>
      </w:r>
      <w:r>
        <w:rPr>
          <w:rFonts w:hint="cs"/>
          <w:rtl/>
        </w:rPr>
        <w:t>(</w:t>
      </w:r>
      <w:r w:rsidR="009C32A0">
        <w:rPr>
          <w:rFonts w:hint="cs"/>
          <w:rtl/>
        </w:rPr>
        <w:t>ح</w:t>
      </w:r>
      <w:r>
        <w:rPr>
          <w:rFonts w:hint="cs"/>
          <w:rtl/>
        </w:rPr>
        <w:t>)</w:t>
      </w:r>
      <w:r w:rsidR="009C32A0">
        <w:rPr>
          <w:rFonts w:hint="cs"/>
          <w:rtl/>
        </w:rPr>
        <w:t xml:space="preserve"> ومن الأدلة على تنزيه الله تعالى عن الجسمية قوله تعالى </w:t>
      </w:r>
      <w:r>
        <w:rPr>
          <w:rFonts w:hint="cs"/>
          <w:rtl/>
        </w:rPr>
        <w:t>{</w:t>
      </w:r>
      <w:r w:rsidR="009C32A0">
        <w:rPr>
          <w:rFonts w:hint="cs"/>
          <w:rtl/>
        </w:rPr>
        <w:t>والله الغنى وأنتم الفقراء</w:t>
      </w:r>
      <w:r>
        <w:rPr>
          <w:rFonts w:hint="cs"/>
          <w:rtl/>
        </w:rPr>
        <w:t>}</w:t>
      </w:r>
      <w:r w:rsidR="009C32A0">
        <w:rPr>
          <w:rFonts w:hint="cs"/>
          <w:rtl/>
        </w:rPr>
        <w:t>دلت هذه الآية على كونه تعالى غنى ولو كان جسماً لما كان غنياً لأن كل جسم مركب وكل مركب محتاج إلى كل واحد من أجزائه</w:t>
      </w:r>
      <w:r>
        <w:rPr>
          <w:rFonts w:hint="cs"/>
          <w:rtl/>
        </w:rPr>
        <w:t>،</w:t>
      </w:r>
      <w:r w:rsidR="009C32A0">
        <w:rPr>
          <w:rFonts w:hint="cs"/>
          <w:rtl/>
        </w:rPr>
        <w:t xml:space="preserve"> وقوله تعالى </w:t>
      </w:r>
      <w:r>
        <w:rPr>
          <w:rFonts w:hint="cs"/>
          <w:rtl/>
        </w:rPr>
        <w:t>{</w:t>
      </w:r>
      <w:r w:rsidR="009C32A0">
        <w:rPr>
          <w:rFonts w:hint="cs"/>
          <w:rtl/>
        </w:rPr>
        <w:t>لا إله إلا هو الحى القيوم ؤ والقيوم مبالغة في كونه غنياً عن كل ما سواه</w:t>
      </w:r>
      <w:r>
        <w:rPr>
          <w:rFonts w:hint="cs"/>
          <w:rtl/>
        </w:rPr>
        <w:t>،</w:t>
      </w:r>
      <w:r w:rsidR="009C32A0">
        <w:rPr>
          <w:rFonts w:hint="cs"/>
          <w:rtl/>
        </w:rPr>
        <w:t xml:space="preserve"> وكونه مقوماً لغيره</w:t>
      </w:r>
      <w:r>
        <w:rPr>
          <w:rFonts w:hint="cs"/>
          <w:rtl/>
        </w:rPr>
        <w:t>،</w:t>
      </w:r>
      <w:r w:rsidR="009C32A0">
        <w:rPr>
          <w:rFonts w:hint="cs"/>
          <w:rtl/>
        </w:rPr>
        <w:t xml:space="preserve"> فلو كان جسماً لكان هو مفتقراً الى أجزائه</w:t>
      </w:r>
      <w:r>
        <w:rPr>
          <w:rFonts w:hint="cs"/>
          <w:rtl/>
        </w:rPr>
        <w:t xml:space="preserve">، </w:t>
      </w:r>
      <w:r w:rsidR="009C32A0">
        <w:rPr>
          <w:rFonts w:hint="cs"/>
          <w:rtl/>
        </w:rPr>
        <w:t>وحينئذ لا يكون قيوماً بإطلاق</w:t>
      </w:r>
      <w:r>
        <w:rPr>
          <w:rFonts w:hint="cs"/>
          <w:rtl/>
        </w:rPr>
        <w:t>،</w:t>
      </w:r>
      <w:r w:rsidR="009C32A0">
        <w:rPr>
          <w:rFonts w:hint="cs"/>
          <w:rtl/>
        </w:rPr>
        <w:t xml:space="preserve"> وقوله تعالى </w:t>
      </w:r>
      <w:r>
        <w:rPr>
          <w:rFonts w:hint="cs"/>
          <w:rtl/>
        </w:rPr>
        <w:t>{</w:t>
      </w:r>
      <w:r w:rsidR="009C32A0">
        <w:rPr>
          <w:rFonts w:hint="cs"/>
          <w:rtl/>
        </w:rPr>
        <w:t>القدوس السلام</w:t>
      </w:r>
      <w:r>
        <w:rPr>
          <w:rFonts w:hint="cs"/>
          <w:rtl/>
        </w:rPr>
        <w:t>}</w:t>
      </w:r>
      <w:r w:rsidR="009C32A0">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Pr>
          <w:rFonts w:hint="cs"/>
          <w:rtl/>
        </w:rPr>
        <w:t>،</w:t>
      </w:r>
      <w:r w:rsidR="009C32A0">
        <w:rPr>
          <w:rFonts w:hint="cs"/>
          <w:rtl/>
        </w:rPr>
        <w:t xml:space="preserve"> والجسمية على المعنى المراد منها من كونها تتآلف من أجزاء وصف بالنقص والعيب المنزه عنه القدوس سبحانه</w:t>
      </w:r>
      <w:r>
        <w:rPr>
          <w:rFonts w:hint="cs"/>
          <w:rtl/>
        </w:rPr>
        <w:t>،</w:t>
      </w:r>
      <w:r w:rsidR="009C32A0">
        <w:rPr>
          <w:rFonts w:hint="cs"/>
          <w:rtl/>
        </w:rPr>
        <w:t xml:space="preserve"> وهي </w:t>
      </w:r>
      <w:r>
        <w:rPr>
          <w:rFonts w:hint="cs"/>
          <w:rtl/>
        </w:rPr>
        <w:t>(</w:t>
      </w:r>
      <w:r w:rsidR="009C32A0">
        <w:rPr>
          <w:rFonts w:hint="cs"/>
          <w:rtl/>
        </w:rPr>
        <w:t>الجسمية</w:t>
      </w:r>
      <w:r>
        <w:rPr>
          <w:rFonts w:hint="cs"/>
          <w:rtl/>
        </w:rPr>
        <w:t>)</w:t>
      </w:r>
      <w:r w:rsidR="009C32A0">
        <w:rPr>
          <w:rFonts w:hint="cs"/>
          <w:rtl/>
        </w:rPr>
        <w:t xml:space="preserve"> ضد الكمال الذي يتصف به ذات القدوس</w:t>
      </w:r>
      <w:r>
        <w:rPr>
          <w:rFonts w:hint="cs"/>
          <w:rtl/>
        </w:rPr>
        <w:t>،</w:t>
      </w:r>
      <w:r w:rsidR="009C32A0">
        <w:rPr>
          <w:rFonts w:hint="cs"/>
          <w:rtl/>
        </w:rPr>
        <w:t xml:space="preserve"> ولو كان جسما لكان له مثل من الأجسام والقدوس هو المنزه عن أن يكون له مثيل أو شبيه</w:t>
      </w:r>
      <w:r>
        <w:rPr>
          <w:rFonts w:hint="cs"/>
          <w:rtl/>
        </w:rPr>
        <w:t>،</w:t>
      </w:r>
      <w:r w:rsidR="009C32A0">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Pr>
          <w:rFonts w:hint="cs"/>
          <w:rtl/>
        </w:rPr>
        <w:t>،</w:t>
      </w:r>
      <w:r w:rsidR="009C32A0">
        <w:rPr>
          <w:rFonts w:hint="cs"/>
          <w:rtl/>
        </w:rPr>
        <w:t>والسلام عز وجل هو الذي سلم ذاته عن المثل والسمي والشبيه</w:t>
      </w:r>
      <w:r>
        <w:rPr>
          <w:rFonts w:hint="cs"/>
          <w:rtl/>
        </w:rPr>
        <w:t>،</w:t>
      </w:r>
      <w:r w:rsidR="009C32A0">
        <w:rPr>
          <w:rFonts w:hint="cs"/>
          <w:rtl/>
        </w:rPr>
        <w:t xml:space="preserve"> ولو كان جسما لكان له مثل من الأجسام والسلام</w:t>
      </w:r>
      <w:r>
        <w:rPr>
          <w:rFonts w:hint="cs"/>
          <w:rtl/>
        </w:rPr>
        <w:t xml:space="preserve"> </w:t>
      </w:r>
      <w:r w:rsidR="009C32A0">
        <w:rPr>
          <w:rFonts w:hint="cs"/>
          <w:rtl/>
        </w:rPr>
        <w:t>هو الذي سلم ذاته عن أن يكون له مثيل أو شبيه</w:t>
      </w:r>
      <w:r>
        <w:rPr>
          <w:rFonts w:hint="cs"/>
          <w:rtl/>
        </w:rPr>
        <w:t>،</w:t>
      </w:r>
      <w:r w:rsidR="009C32A0">
        <w:rPr>
          <w:rFonts w:hint="cs"/>
          <w:rtl/>
        </w:rPr>
        <w:t xml:space="preserve"> </w:t>
      </w:r>
      <w:r>
        <w:rPr>
          <w:rFonts w:hint="cs"/>
          <w:rtl/>
        </w:rPr>
        <w:t>(</w:t>
      </w:r>
      <w:r w:rsidR="009C32A0">
        <w:rPr>
          <w:rFonts w:hint="cs"/>
          <w:rtl/>
        </w:rPr>
        <w:t>خ</w:t>
      </w:r>
      <w:r>
        <w:rPr>
          <w:rFonts w:hint="cs"/>
          <w:rtl/>
        </w:rPr>
        <w:t>)</w:t>
      </w:r>
      <w:r w:rsidR="009C32A0">
        <w:rPr>
          <w:rFonts w:hint="cs"/>
          <w:rtl/>
        </w:rPr>
        <w:t xml:space="preserve"> ومن الأدلة على تنزيه الله تعالى عن الجسمية قوله تعالى </w:t>
      </w:r>
      <w:r>
        <w:rPr>
          <w:rFonts w:hint="cs"/>
          <w:rtl/>
        </w:rPr>
        <w:t>{</w:t>
      </w:r>
      <w:r w:rsidR="009C32A0">
        <w:rPr>
          <w:rFonts w:hint="cs"/>
          <w:rtl/>
        </w:rPr>
        <w:t>هو الله الخالق البارئ المصور} والخالق هو المقدِرُ المنزه في ذاته عن الحد والنهاية والمقدار</w:t>
      </w:r>
      <w:r>
        <w:rPr>
          <w:rFonts w:hint="cs"/>
          <w:rtl/>
        </w:rPr>
        <w:t>،</w:t>
      </w:r>
      <w:r w:rsidR="009C32A0">
        <w:rPr>
          <w:rFonts w:hint="cs"/>
          <w:rtl/>
        </w:rPr>
        <w:t xml:space="preserve"> ولو كان تعالى جسماً </w:t>
      </w:r>
      <w:r w:rsidR="009C32A0">
        <w:rPr>
          <w:rFonts w:hint="cs"/>
          <w:rtl/>
        </w:rPr>
        <w:lastRenderedPageBreak/>
        <w:t>سبحانه لكان مقدَراً متناهياً محدوداً ولو كان متناهياً محدوداً لكان مخلوقا وليس خالقا</w:t>
      </w:r>
      <w:r>
        <w:rPr>
          <w:rFonts w:hint="cs"/>
          <w:rtl/>
        </w:rPr>
        <w:t>،</w:t>
      </w:r>
      <w:r w:rsidR="009C32A0">
        <w:rPr>
          <w:rFonts w:hint="cs"/>
          <w:rtl/>
        </w:rPr>
        <w:t xml:space="preserve"> سبحانه هو وحده الخالق البارئ المصور سبحانه وتعالى عما يشركون</w:t>
      </w:r>
      <w:r>
        <w:rPr>
          <w:rFonts w:hint="cs"/>
          <w:rtl/>
        </w:rPr>
        <w:t>،</w:t>
      </w:r>
      <w:r w:rsidR="009C32A0">
        <w:rPr>
          <w:rFonts w:hint="cs"/>
          <w:rtl/>
        </w:rPr>
        <w:t xml:space="preserve"> وقوله تعالى </w:t>
      </w:r>
      <w:r>
        <w:rPr>
          <w:rFonts w:hint="cs"/>
          <w:rtl/>
        </w:rPr>
        <w:t>{</w:t>
      </w:r>
      <w:r w:rsidR="009C32A0">
        <w:rPr>
          <w:rFonts w:hint="cs"/>
          <w:rtl/>
        </w:rPr>
        <w:t>هو الأول والأخر والظاهر والباطن</w:t>
      </w:r>
      <w:r>
        <w:rPr>
          <w:rFonts w:hint="cs"/>
          <w:rtl/>
        </w:rPr>
        <w:t>}،</w:t>
      </w:r>
      <w:r w:rsidR="009C32A0">
        <w:rPr>
          <w:rFonts w:hint="cs"/>
          <w:rtl/>
        </w:rPr>
        <w:t xml:space="preserve"> </w:t>
      </w:r>
      <w:r>
        <w:rPr>
          <w:rFonts w:hint="cs"/>
          <w:rtl/>
        </w:rPr>
        <w:t>(</w:t>
      </w:r>
      <w:r w:rsidR="009C32A0">
        <w:rPr>
          <w:rFonts w:hint="cs"/>
          <w:rtl/>
        </w:rPr>
        <w:t>هو الأول والأخر</w:t>
      </w:r>
      <w:r>
        <w:rPr>
          <w:rFonts w:hint="cs"/>
          <w:rtl/>
        </w:rPr>
        <w:t>)</w:t>
      </w:r>
      <w:r w:rsidR="009C32A0">
        <w:rPr>
          <w:rFonts w:hint="cs"/>
          <w:rtl/>
        </w:rPr>
        <w:t xml:space="preserve"> فهو يقتضى أن يكون منزها عن الجسمية لأن الجسم حادث مؤلف من أجزاء تسبق وجوده فلا يكون الجسم أولا أبدا</w:t>
      </w:r>
      <w:r>
        <w:rPr>
          <w:rFonts w:hint="cs"/>
          <w:rtl/>
        </w:rPr>
        <w:t>،</w:t>
      </w:r>
      <w:r w:rsidR="009C32A0">
        <w:rPr>
          <w:rFonts w:hint="cs"/>
          <w:rtl/>
        </w:rPr>
        <w:t xml:space="preserve"> (والظاهر والباطن</w:t>
      </w:r>
      <w:r>
        <w:rPr>
          <w:rFonts w:hint="cs"/>
          <w:rtl/>
        </w:rPr>
        <w:t>)</w:t>
      </w:r>
      <w:r w:rsidR="009C32A0">
        <w:rPr>
          <w:rFonts w:hint="cs"/>
          <w:rtl/>
        </w:rPr>
        <w:t xml:space="preserve"> معنى الباطن الذي لا يدركه الحس ولا يصل إليه الخيال</w:t>
      </w:r>
      <w:r>
        <w:rPr>
          <w:rFonts w:hint="cs"/>
          <w:rtl/>
        </w:rPr>
        <w:t>،</w:t>
      </w:r>
      <w:r w:rsidR="009C32A0">
        <w:rPr>
          <w:rFonts w:hint="cs"/>
          <w:rtl/>
        </w:rPr>
        <w:t xml:space="preserve"> ولو كان جسماً لما أمكن وصفه بأنه لا يدركه الحس ولا يصل إليه الخيال</w:t>
      </w:r>
      <w:r>
        <w:rPr>
          <w:rFonts w:hint="cs"/>
          <w:rtl/>
        </w:rPr>
        <w:t>،</w:t>
      </w:r>
      <w:r w:rsidR="009C32A0">
        <w:rPr>
          <w:rFonts w:hint="cs"/>
          <w:rtl/>
        </w:rPr>
        <w:t xml:space="preserve"> وقوله تعالى </w:t>
      </w:r>
      <w:r>
        <w:rPr>
          <w:rFonts w:hint="cs"/>
          <w:rtl/>
        </w:rPr>
        <w:t>(</w:t>
      </w:r>
      <w:r w:rsidR="009C32A0">
        <w:rPr>
          <w:rFonts w:hint="cs"/>
          <w:rtl/>
        </w:rPr>
        <w:t>ولا يحيطون به علماً</w:t>
      </w:r>
      <w:r>
        <w:rPr>
          <w:rFonts w:hint="cs"/>
          <w:rtl/>
        </w:rPr>
        <w:t>)</w:t>
      </w:r>
      <w:r w:rsidR="009C32A0">
        <w:rPr>
          <w:rFonts w:hint="cs"/>
          <w:rtl/>
        </w:rPr>
        <w:t xml:space="preserve"> وذلك يدل على كونه تعالى منزهاً عن الجسمية وإلا لكان العلم محيطاً به فإن قيل</w:t>
      </w:r>
      <w:r>
        <w:rPr>
          <w:rFonts w:hint="cs"/>
          <w:rtl/>
        </w:rPr>
        <w:t>:</w:t>
      </w:r>
      <w:r w:rsidR="009C32A0">
        <w:rPr>
          <w:rFonts w:hint="cs"/>
          <w:rtl/>
        </w:rPr>
        <w:t xml:space="preserve"> لما لا يجوز أن يقال أنه وإن كان جسماً لكنه جسماً كبيراً فلهذا المعنى لا يحيط به العلم</w:t>
      </w:r>
      <w:r>
        <w:rPr>
          <w:rFonts w:hint="cs"/>
          <w:rtl/>
        </w:rPr>
        <w:t>؟</w:t>
      </w:r>
      <w:r w:rsidR="009C32A0">
        <w:rPr>
          <w:rFonts w:hint="cs"/>
          <w:rtl/>
        </w:rPr>
        <w:t xml:space="preserve"> قلنا</w:t>
      </w:r>
      <w:r>
        <w:rPr>
          <w:rFonts w:hint="cs"/>
          <w:rtl/>
        </w:rPr>
        <w:t>:</w:t>
      </w:r>
      <w:r w:rsidR="009C32A0">
        <w:rPr>
          <w:rFonts w:hint="cs"/>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Fonts w:hint="cs"/>
          <w:rtl/>
        </w:rPr>
        <w:t>،</w:t>
      </w:r>
      <w:r w:rsidR="009C32A0">
        <w:rPr>
          <w:rFonts w:hint="cs"/>
          <w:rtl/>
        </w:rPr>
        <w:t xml:space="preserve"> وقوله تعالى </w:t>
      </w:r>
      <w:r>
        <w:rPr>
          <w:rFonts w:hint="cs"/>
          <w:rtl/>
        </w:rPr>
        <w:t>(</w:t>
      </w:r>
      <w:r w:rsidR="009C32A0">
        <w:rPr>
          <w:rFonts w:hint="cs"/>
          <w:rtl/>
        </w:rPr>
        <w:t>لا تدركه الأبصار</w:t>
      </w:r>
      <w:r>
        <w:rPr>
          <w:rFonts w:hint="cs"/>
          <w:rtl/>
        </w:rPr>
        <w:t>)</w:t>
      </w:r>
      <w:r w:rsidR="009C32A0">
        <w:rPr>
          <w:rFonts w:hint="cs"/>
          <w:rtl/>
        </w:rPr>
        <w:t xml:space="preserve"> وذلك يدل على كونه تعالى منزهاً عن الجسمية وإلا لكان الإدراك بالأبصار محيطاً به حتى لو كان جسما كبيرا</w:t>
      </w:r>
      <w:r>
        <w:rPr>
          <w:rFonts w:hint="cs"/>
          <w:rtl/>
        </w:rPr>
        <w:t>، (</w:t>
      </w:r>
      <w:r w:rsidR="009C32A0">
        <w:rPr>
          <w:rFonts w:hint="cs"/>
          <w:rtl/>
        </w:rPr>
        <w:t>د</w:t>
      </w:r>
      <w:r>
        <w:rPr>
          <w:rFonts w:hint="cs"/>
          <w:rtl/>
        </w:rPr>
        <w:t>)</w:t>
      </w:r>
      <w:r w:rsidR="009C32A0">
        <w:rPr>
          <w:rFonts w:hint="cs"/>
          <w:rtl/>
        </w:rPr>
        <w:t xml:space="preserve"> ومن الأدلة على تنزيه الله تعالى عن الجسمية قوله تعالى </w:t>
      </w:r>
      <w:r>
        <w:rPr>
          <w:rFonts w:hint="cs"/>
          <w:rtl/>
        </w:rPr>
        <w:t>{</w:t>
      </w:r>
      <w:r w:rsidR="009C32A0">
        <w:rPr>
          <w:rFonts w:hint="cs"/>
          <w:rtl/>
        </w:rPr>
        <w:t>وإذا سألك عبادى عنى فإنى قريب</w:t>
      </w:r>
      <w:r>
        <w:rPr>
          <w:rFonts w:hint="cs"/>
          <w:rtl/>
        </w:rPr>
        <w:t>}</w:t>
      </w:r>
      <w:r w:rsidR="009C32A0">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Fonts w:hint="cs"/>
          <w:rtl/>
        </w:rPr>
        <w:t>،</w:t>
      </w:r>
      <w:r w:rsidR="009C32A0">
        <w:rPr>
          <w:rFonts w:hint="cs"/>
          <w:rtl/>
        </w:rPr>
        <w:t xml:space="preserve"> وقوله تعالى</w:t>
      </w:r>
      <w:r>
        <w:rPr>
          <w:rFonts w:hint="cs"/>
          <w:rtl/>
        </w:rPr>
        <w:t xml:space="preserve"> {</w:t>
      </w:r>
      <w:r w:rsidR="009C32A0">
        <w:rPr>
          <w:rFonts w:hint="cs"/>
          <w:rtl/>
        </w:rPr>
        <w:t>وَنَحْنُ أَقْرَبُ إِلَيْهِ مِنْ حَبْلِ الْوَرِيدِ</w:t>
      </w:r>
      <w:r>
        <w:rPr>
          <w:rFonts w:hint="cs"/>
          <w:rtl/>
        </w:rPr>
        <w:t>}</w:t>
      </w:r>
      <w:r w:rsidR="009C32A0">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Pr>
          <w:rFonts w:hint="cs"/>
          <w:rtl/>
        </w:rPr>
        <w:t xml:space="preserve">، </w:t>
      </w:r>
      <w:r>
        <w:rPr>
          <w:rFonts w:hint="cs"/>
          <w:rtl/>
          <w:lang w:bidi="ar-KW"/>
        </w:rPr>
        <w:t>(</w:t>
      </w:r>
      <w:r w:rsidR="009C32A0">
        <w:rPr>
          <w:rFonts w:hint="cs"/>
          <w:rtl/>
          <w:lang w:bidi="ar-KW"/>
        </w:rPr>
        <w:t>ذ</w:t>
      </w:r>
      <w:r>
        <w:rPr>
          <w:rFonts w:hint="cs"/>
          <w:rtl/>
          <w:lang w:bidi="ar-KW"/>
        </w:rPr>
        <w:t>)</w:t>
      </w:r>
      <w:r w:rsidR="009C32A0">
        <w:rPr>
          <w:rFonts w:hint="cs"/>
          <w:rtl/>
          <w:lang w:bidi="ar-KW"/>
        </w:rPr>
        <w:t xml:space="preserve"> أقوال العلماء على تنزيه الله تعالى عن الجسمية أكثر من أن تحصر</w:t>
      </w:r>
      <w:r>
        <w:rPr>
          <w:rFonts w:hint="cs"/>
          <w:rtl/>
          <w:lang w:bidi="ar-KW"/>
        </w:rPr>
        <w:t>،</w:t>
      </w:r>
      <w:r w:rsidR="009C32A0">
        <w:rPr>
          <w:rFonts w:hint="cs"/>
          <w:rtl/>
          <w:lang w:bidi="ar-KW"/>
        </w:rPr>
        <w:t xml:space="preserve"> منها على سبيل المثال</w:t>
      </w:r>
      <w:r>
        <w:rPr>
          <w:rFonts w:hint="cs"/>
          <w:rtl/>
          <w:lang w:bidi="ar-KW"/>
        </w:rPr>
        <w:t>:</w:t>
      </w:r>
      <w:r w:rsidR="009C32A0">
        <w:rPr>
          <w:rFonts w:hint="cs"/>
          <w:rtl/>
          <w:lang w:bidi="ar-KW"/>
        </w:rPr>
        <w:t xml:space="preserve"> </w:t>
      </w:r>
      <w:r w:rsidR="009C32A0">
        <w:rPr>
          <w:rFonts w:hint="cs"/>
          <w:rtl/>
        </w:rPr>
        <w:t>جاء في عقيدة الإمام أحمد</w:t>
      </w:r>
      <w:r w:rsidR="009C32A0">
        <w:rPr>
          <w:rFonts w:hint="cs"/>
        </w:rPr>
        <w:t xml:space="preserve"> </w:t>
      </w:r>
      <w:r w:rsidR="009C32A0">
        <w:rPr>
          <w:rFonts w:hint="cs"/>
          <w:rtl/>
        </w:rPr>
        <w:t>بن حنبل</w:t>
      </w:r>
      <w:r>
        <w:rPr>
          <w:rFonts w:hint="cs"/>
          <w:rtl/>
        </w:rPr>
        <w:t>:</w:t>
      </w:r>
      <w:r w:rsidR="009C32A0">
        <w:rPr>
          <w:rFonts w:hint="cs"/>
          <w:rtl/>
        </w:rPr>
        <w:t xml:space="preserve"> " بسم الله</w:t>
      </w:r>
      <w:r w:rsidR="009C32A0">
        <w:rPr>
          <w:rFonts w:hint="cs"/>
        </w:rPr>
        <w:t xml:space="preserve"> </w:t>
      </w:r>
      <w:r w:rsidR="009C32A0">
        <w:rPr>
          <w:rFonts w:hint="cs"/>
          <w:rtl/>
        </w:rPr>
        <w:t>الرحمن الرحيم</w:t>
      </w:r>
      <w:r>
        <w:rPr>
          <w:rFonts w:hint="cs"/>
          <w:rtl/>
        </w:rPr>
        <w:t>،</w:t>
      </w:r>
      <w:r>
        <w:rPr>
          <w:rFonts w:hint="cs"/>
          <w:rtl/>
          <w:lang w:bidi="ar-KW"/>
        </w:rPr>
        <w:t xml:space="preserve"> </w:t>
      </w:r>
      <w:r w:rsidR="009C32A0">
        <w:rPr>
          <w:rFonts w:hint="cs"/>
          <w:rtl/>
        </w:rPr>
        <w:t>نص</w:t>
      </w:r>
      <w:r w:rsidR="009C32A0">
        <w:rPr>
          <w:rFonts w:hint="cs"/>
        </w:rPr>
        <w:t xml:space="preserve"> </w:t>
      </w:r>
      <w:r w:rsidR="009C32A0">
        <w:rPr>
          <w:rFonts w:hint="cs"/>
          <w:rtl/>
        </w:rPr>
        <w:t>اعتقاد الإمام أحمد</w:t>
      </w:r>
      <w:r w:rsidR="009C32A0">
        <w:rPr>
          <w:rFonts w:hint="cs"/>
        </w:rPr>
        <w:t xml:space="preserve"> </w:t>
      </w:r>
      <w:r w:rsidR="009C32A0">
        <w:rPr>
          <w:rFonts w:hint="cs"/>
          <w:rtl/>
        </w:rPr>
        <w:t>بن حنبل</w:t>
      </w:r>
      <w:r>
        <w:rPr>
          <w:rFonts w:hint="cs"/>
          <w:rtl/>
        </w:rPr>
        <w:t>:</w:t>
      </w:r>
      <w:r>
        <w:rPr>
          <w:rFonts w:hint="cs"/>
          <w:rtl/>
          <w:lang w:bidi="ar-KW"/>
        </w:rPr>
        <w:t xml:space="preserve"> </w:t>
      </w:r>
      <w:r w:rsidR="009C32A0">
        <w:rPr>
          <w:rFonts w:hint="cs"/>
          <w:rtl/>
        </w:rPr>
        <w:t>أخبرنا</w:t>
      </w:r>
      <w:r w:rsidR="009C32A0">
        <w:rPr>
          <w:rFonts w:hint="cs"/>
        </w:rPr>
        <w:t xml:space="preserve"> </w:t>
      </w:r>
      <w:r w:rsidR="009C32A0">
        <w:rPr>
          <w:rFonts w:hint="cs"/>
          <w:rtl/>
        </w:rPr>
        <w:t>الشيخ الإمام الحافظ</w:t>
      </w:r>
      <w:r w:rsidR="009C32A0">
        <w:rPr>
          <w:rFonts w:hint="cs"/>
        </w:rPr>
        <w:t xml:space="preserve"> </w:t>
      </w:r>
      <w:r w:rsidR="009C32A0">
        <w:rPr>
          <w:rFonts w:hint="cs"/>
          <w:rtl/>
        </w:rPr>
        <w:t>أبو محمد المبارك بن علي بن الحسين بن عبد الله بن محمد المعروف بابن الطباخ</w:t>
      </w:r>
      <w:r w:rsidR="009C32A0">
        <w:rPr>
          <w:rFonts w:hint="cs"/>
        </w:rPr>
        <w:t xml:space="preserve"> </w:t>
      </w:r>
      <w:r w:rsidR="009C32A0">
        <w:rPr>
          <w:rFonts w:hint="cs"/>
          <w:rtl/>
        </w:rPr>
        <w:t>البغدادي رحمه الله في الدنيا والآخرة إجازة قال حدثنا شيخنا الإمام الحافظ أبو</w:t>
      </w:r>
      <w:r w:rsidR="009C32A0">
        <w:rPr>
          <w:rFonts w:hint="cs"/>
        </w:rPr>
        <w:t xml:space="preserve"> </w:t>
      </w:r>
      <w:r w:rsidR="009C32A0">
        <w:rPr>
          <w:rFonts w:hint="cs"/>
          <w:rtl/>
        </w:rPr>
        <w:t>الفضل محمد بن الناصر بن محمد بن محمد بن علي البغدادي بها قال أخبرنا الإمام جمال</w:t>
      </w:r>
      <w:r w:rsidR="009C32A0">
        <w:rPr>
          <w:rFonts w:hint="cs"/>
        </w:rPr>
        <w:t xml:space="preserve"> </w:t>
      </w:r>
      <w:r w:rsidR="009C32A0">
        <w:rPr>
          <w:rFonts w:hint="cs"/>
          <w:rtl/>
        </w:rPr>
        <w:t>الإسلام أبو محمد رزق الله بن عبد الوهاب التميمي قال أخبرنا عمي أبو الفضل عبد</w:t>
      </w:r>
      <w:r w:rsidR="009C32A0">
        <w:rPr>
          <w:rFonts w:hint="cs"/>
        </w:rPr>
        <w:t xml:space="preserve"> </w:t>
      </w:r>
      <w:r w:rsidR="009C32A0">
        <w:rPr>
          <w:rFonts w:hint="cs"/>
          <w:rtl/>
        </w:rPr>
        <w:t>الواحد بن عبد العزيز التميمي بجميع هذا الاعتقاد وقال جملة اعتقاد أحمد بن حنبل</w:t>
      </w:r>
      <w:r w:rsidR="009C32A0">
        <w:rPr>
          <w:rFonts w:hint="cs"/>
        </w:rPr>
        <w:t xml:space="preserve"> </w:t>
      </w:r>
      <w:r w:rsidR="009C32A0">
        <w:rPr>
          <w:rFonts w:hint="cs"/>
          <w:rtl/>
        </w:rPr>
        <w:t>رضي الله عنه والذي كان يذهب إليه</w:t>
      </w:r>
      <w:r>
        <w:rPr>
          <w:rFonts w:hint="cs"/>
          <w:rtl/>
        </w:rPr>
        <w:t xml:space="preserve"> </w:t>
      </w:r>
      <w:r w:rsidR="009C32A0">
        <w:rPr>
          <w:rFonts w:hint="cs"/>
          <w:rtl/>
        </w:rPr>
        <w:t>مجمل الاعتقاد ..</w:t>
      </w:r>
      <w:r>
        <w:rPr>
          <w:rFonts w:hint="cs"/>
          <w:rtl/>
        </w:rPr>
        <w:t>،</w:t>
      </w:r>
      <w:r w:rsidR="009C32A0">
        <w:rPr>
          <w:rFonts w:hint="cs"/>
          <w:rtl/>
        </w:rPr>
        <w:t xml:space="preserve"> لا</w:t>
      </w:r>
      <w:r w:rsidR="009C32A0">
        <w:rPr>
          <w:rFonts w:hint="cs"/>
        </w:rPr>
        <w:t xml:space="preserve"> </w:t>
      </w:r>
      <w:r w:rsidR="009C32A0">
        <w:rPr>
          <w:rFonts w:hint="cs"/>
          <w:rtl/>
        </w:rPr>
        <w:t>يجوز أن يسمى جسما</w:t>
      </w:r>
      <w:r>
        <w:rPr>
          <w:rFonts w:hint="cs"/>
          <w:rtl/>
        </w:rPr>
        <w:t xml:space="preserve">، </w:t>
      </w:r>
      <w:r w:rsidR="009C32A0">
        <w:rPr>
          <w:rFonts w:hint="cs"/>
          <w:rtl/>
        </w:rPr>
        <w:t>وأنكر</w:t>
      </w:r>
      <w:r w:rsidR="009C32A0">
        <w:rPr>
          <w:rFonts w:hint="cs"/>
        </w:rPr>
        <w:t xml:space="preserve"> </w:t>
      </w:r>
      <w:r w:rsidR="009C32A0">
        <w:rPr>
          <w:rFonts w:hint="cs"/>
          <w:rtl/>
        </w:rPr>
        <w:t>على من يقول بالجسم وقال إن</w:t>
      </w:r>
      <w:r w:rsidR="009C32A0">
        <w:rPr>
          <w:rFonts w:hint="cs"/>
        </w:rPr>
        <w:t xml:space="preserve"> </w:t>
      </w:r>
      <w:r w:rsidR="009C32A0">
        <w:rPr>
          <w:rFonts w:hint="cs"/>
          <w:rtl/>
        </w:rPr>
        <w:t>الأسماء مأخوذة بالشريعة واللغة وأهل اللغة وضعوا هذا الأسم على كل ذي طول وعرض وسمك</w:t>
      </w:r>
      <w:r w:rsidR="009C32A0">
        <w:rPr>
          <w:rFonts w:hint="cs"/>
        </w:rPr>
        <w:t xml:space="preserve"> </w:t>
      </w:r>
      <w:r w:rsidR="009C32A0">
        <w:rPr>
          <w:rFonts w:hint="cs"/>
          <w:rtl/>
        </w:rPr>
        <w:lastRenderedPageBreak/>
        <w:t>وتركيب وصورة وتأليف والله تعالى خارج عن ذلك كله فلم يجز أن يسمى جسما لخروجه عن</w:t>
      </w:r>
      <w:r w:rsidR="009C32A0">
        <w:rPr>
          <w:rFonts w:hint="cs"/>
        </w:rPr>
        <w:t xml:space="preserve"> </w:t>
      </w:r>
      <w:r w:rsidR="009C32A0">
        <w:rPr>
          <w:rFonts w:hint="cs"/>
          <w:rtl/>
        </w:rPr>
        <w:t>معنى الجسمية ولم يجىء في الشريعة ذلك فبطل " [العقيدة ج</w:t>
      </w:r>
      <w:r>
        <w:rPr>
          <w:rFonts w:hint="cs"/>
          <w:rtl/>
        </w:rPr>
        <w:t>:</w:t>
      </w:r>
      <w:r w:rsidR="009C32A0">
        <w:rPr>
          <w:rFonts w:hint="cs"/>
          <w:rtl/>
        </w:rPr>
        <w:t xml:space="preserve"> 1 ص</w:t>
      </w:r>
      <w:r>
        <w:rPr>
          <w:rFonts w:hint="cs"/>
          <w:rtl/>
        </w:rPr>
        <w:t>:</w:t>
      </w:r>
      <w:r w:rsidR="009C32A0">
        <w:rPr>
          <w:rFonts w:hint="cs"/>
          <w:rtl/>
        </w:rPr>
        <w:t xml:space="preserve"> 111]</w:t>
      </w:r>
      <w:r>
        <w:rPr>
          <w:rFonts w:hint="cs"/>
          <w:rtl/>
        </w:rPr>
        <w:t>،</w:t>
      </w:r>
      <w:r w:rsidR="009C32A0">
        <w:rPr>
          <w:rFonts w:hint="cs"/>
          <w:rtl/>
        </w:rPr>
        <w:t xml:space="preserve"> وقال الإمام البيهقي في كتابه مناقب الإمام أحمد</w:t>
      </w:r>
      <w:r>
        <w:rPr>
          <w:rFonts w:hint="cs"/>
          <w:rtl/>
        </w:rPr>
        <w:t>:</w:t>
      </w:r>
      <w:r w:rsidR="009C32A0">
        <w:rPr>
          <w:rFonts w:hint="cs"/>
          <w:rtl/>
        </w:rPr>
        <w:t xml:space="preserve"> " عن رئيس الحنابلة وابن رئيسها أبي الفضل أبي الفضل</w:t>
      </w:r>
      <w:r w:rsidR="009C32A0">
        <w:rPr>
          <w:rFonts w:hint="cs"/>
        </w:rPr>
        <w:t xml:space="preserve"> </w:t>
      </w:r>
      <w:r w:rsidR="009C32A0">
        <w:rPr>
          <w:rFonts w:hint="cs"/>
          <w:rtl/>
        </w:rPr>
        <w:t>التميمي أنه قال</w:t>
      </w:r>
      <w:r>
        <w:rPr>
          <w:rFonts w:hint="cs"/>
          <w:rtl/>
        </w:rPr>
        <w:t>:</w:t>
      </w:r>
      <w:r w:rsidR="009C32A0">
        <w:rPr>
          <w:rFonts w:hint="cs"/>
          <w:rtl/>
        </w:rPr>
        <w:t>أنكر أحمد على من قال بالجسم وقال إن الأسماء مأخوذة من الشريعة</w:t>
      </w:r>
      <w:r w:rsidR="009C32A0">
        <w:rPr>
          <w:rFonts w:hint="cs"/>
        </w:rPr>
        <w:t xml:space="preserve"> </w:t>
      </w:r>
      <w:r w:rsidR="009C32A0">
        <w:rPr>
          <w:rFonts w:hint="cs"/>
          <w:rtl/>
        </w:rPr>
        <w:t>واللغة ,وأهل اللغة وضعوا هذا الاسم على ذي طول وعرض وسمك وتركيب وصورة وتأليف</w:t>
      </w:r>
      <w:r w:rsidR="009C32A0">
        <w:rPr>
          <w:rFonts w:hint="cs"/>
        </w:rPr>
        <w:t xml:space="preserve"> </w:t>
      </w:r>
      <w:r w:rsidR="009C32A0">
        <w:rPr>
          <w:rFonts w:hint="cs"/>
          <w:rtl/>
        </w:rPr>
        <w:t>,والله تعالى خارج عن ذلك كله ,فلم يجز أن يسمى جسما لخروجه عن معنى الجسمية</w:t>
      </w:r>
      <w:r w:rsidR="009C32A0">
        <w:rPr>
          <w:rFonts w:hint="cs"/>
        </w:rPr>
        <w:t xml:space="preserve"> </w:t>
      </w:r>
      <w:r w:rsidR="009C32A0">
        <w:rPr>
          <w:rFonts w:hint="cs"/>
          <w:rtl/>
        </w:rPr>
        <w:t>,</w:t>
      </w:r>
      <w:r w:rsidR="009C32A0">
        <w:rPr>
          <w:rFonts w:hint="cs"/>
        </w:rPr>
        <w:t xml:space="preserve"> </w:t>
      </w:r>
      <w:r w:rsidR="009C32A0">
        <w:rPr>
          <w:rFonts w:hint="cs"/>
          <w:rtl/>
        </w:rPr>
        <w:t>ولم يجئ في الشريعة ذاك فبطل</w:t>
      </w:r>
      <w:r>
        <w:rPr>
          <w:rFonts w:hint="cs"/>
          <w:rtl/>
        </w:rPr>
        <w:t>،</w:t>
      </w:r>
      <w:r w:rsidR="009C32A0">
        <w:rPr>
          <w:rFonts w:hint="cs"/>
          <w:rtl/>
        </w:rPr>
        <w:t xml:space="preserve"> " أهـ [مناقب الإمام أحمد للبيهقي ص42]</w:t>
      </w:r>
      <w:r>
        <w:rPr>
          <w:rFonts w:hint="cs"/>
          <w:rtl/>
        </w:rPr>
        <w:t>،</w:t>
      </w:r>
      <w:r w:rsidR="009C32A0">
        <w:rPr>
          <w:rFonts w:hint="cs"/>
          <w:rtl/>
        </w:rPr>
        <w:t xml:space="preserve"> وقال عبد الباقي</w:t>
      </w:r>
      <w:r w:rsidR="009C32A0">
        <w:rPr>
          <w:rFonts w:hint="cs"/>
        </w:rPr>
        <w:t xml:space="preserve"> </w:t>
      </w:r>
      <w:r w:rsidR="009C32A0">
        <w:rPr>
          <w:rFonts w:hint="cs"/>
          <w:rtl/>
        </w:rPr>
        <w:t>بن عبد القادر الحنبلي في كتابه العين</w:t>
      </w:r>
      <w:r w:rsidR="009C32A0">
        <w:rPr>
          <w:rFonts w:hint="cs"/>
        </w:rPr>
        <w:t xml:space="preserve"> </w:t>
      </w:r>
      <w:r w:rsidR="009C32A0">
        <w:rPr>
          <w:rFonts w:hint="cs"/>
          <w:rtl/>
        </w:rPr>
        <w:t>والأثر في عقائد أهل الأثر</w:t>
      </w:r>
      <w:r>
        <w:rPr>
          <w:rFonts w:hint="cs"/>
          <w:rtl/>
        </w:rPr>
        <w:t>:</w:t>
      </w:r>
      <w:r w:rsidR="009C32A0">
        <w:rPr>
          <w:rFonts w:hint="cs"/>
          <w:rtl/>
        </w:rPr>
        <w:t xml:space="preserve"> " </w:t>
      </w:r>
      <w:r>
        <w:rPr>
          <w:rFonts w:hint="cs"/>
          <w:rtl/>
        </w:rPr>
        <w:t>(</w:t>
      </w:r>
      <w:r w:rsidR="009C32A0">
        <w:rPr>
          <w:rFonts w:hint="cs"/>
          <w:rtl/>
        </w:rPr>
        <w:t>فصل</w:t>
      </w:r>
      <w:r>
        <w:rPr>
          <w:rFonts w:hint="cs"/>
          <w:rtl/>
        </w:rPr>
        <w:t xml:space="preserve">): </w:t>
      </w:r>
      <w:r w:rsidR="009C32A0">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9C32A0">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9C32A0">
        <w:rPr>
          <w:rFonts w:hint="cs"/>
          <w:rtl/>
        </w:rPr>
        <w:t xml:space="preserve"> وعلى كل حال مهما خطر بالبال أو توهمه الخيال فهو بخلاف ذي الإكرام والجلال " أهـ[العين والأثر في عقائد أهل الأثر ج</w:t>
      </w:r>
      <w:r>
        <w:rPr>
          <w:rFonts w:hint="cs"/>
          <w:rtl/>
        </w:rPr>
        <w:t>:</w:t>
      </w:r>
      <w:r w:rsidR="009C32A0">
        <w:rPr>
          <w:rFonts w:hint="cs"/>
          <w:rtl/>
        </w:rPr>
        <w:t xml:space="preserve"> 1 ص</w:t>
      </w:r>
      <w:r>
        <w:rPr>
          <w:rFonts w:hint="cs"/>
          <w:rtl/>
        </w:rPr>
        <w:t>:</w:t>
      </w:r>
      <w:r w:rsidR="009C32A0">
        <w:rPr>
          <w:rFonts w:hint="cs"/>
          <w:rtl/>
        </w:rPr>
        <w:t>34- 36</w:t>
      </w:r>
      <w:r>
        <w:rPr>
          <w:rFonts w:hint="cs"/>
          <w:rtl/>
        </w:rPr>
        <w:t>]،</w:t>
      </w:r>
      <w:r w:rsidR="009C32A0">
        <w:rPr>
          <w:rFonts w:hint="cs"/>
          <w:rtl/>
        </w:rPr>
        <w:t xml:space="preserve"> وقال الإمام النووي رحمه الله تعالى في شرحه لحديث الرؤية</w:t>
      </w:r>
      <w:r>
        <w:rPr>
          <w:rFonts w:hint="cs"/>
          <w:rtl/>
        </w:rPr>
        <w:t>:</w:t>
      </w:r>
      <w:r w:rsidR="009C32A0">
        <w:rPr>
          <w:rFonts w:hint="cs"/>
          <w:rtl/>
        </w:rPr>
        <w:t xml:space="preserve"> " اعلم أن لأهل العلم في أحاديث الصفات وآيات الصفات قولين</w:t>
      </w:r>
      <w:r>
        <w:rPr>
          <w:rFonts w:hint="cs"/>
          <w:rtl/>
        </w:rPr>
        <w:t xml:space="preserve">: </w:t>
      </w:r>
      <w:r w:rsidR="009C32A0">
        <w:rPr>
          <w:rFonts w:hint="cs"/>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Pr>
          <w:rFonts w:hint="cs"/>
          <w:rtl/>
        </w:rPr>
        <w:t xml:space="preserve"> </w:t>
      </w:r>
      <w:r w:rsidR="009C32A0">
        <w:rPr>
          <w:rFonts w:hint="cs"/>
          <w:rtl/>
        </w:rPr>
        <w:t>ليس كمثله شيء</w:t>
      </w:r>
      <w:r>
        <w:rPr>
          <w:rFonts w:hint="cs"/>
          <w:rtl/>
        </w:rPr>
        <w:t xml:space="preserve"> </w:t>
      </w:r>
      <w:r w:rsidR="009C32A0">
        <w:rPr>
          <w:rFonts w:hint="cs"/>
          <w:rtl/>
        </w:rPr>
        <w:t>وأنه منزه عن التجسيم والانتقال والتحيز في جهة وعن سائرصفات المخلوق " أهـ [شرح صحيح</w:t>
      </w:r>
      <w:r w:rsidR="009C32A0">
        <w:rPr>
          <w:rFonts w:hint="cs"/>
        </w:rPr>
        <w:t xml:space="preserve"> </w:t>
      </w:r>
      <w:r w:rsidR="009C32A0">
        <w:rPr>
          <w:rFonts w:hint="cs"/>
          <w:rtl/>
        </w:rPr>
        <w:t>مسلم للنووى ج 3ص 19-20</w:t>
      </w:r>
      <w:r>
        <w:rPr>
          <w:rFonts w:hint="cs"/>
          <w:rtl/>
        </w:rPr>
        <w:t>]،</w:t>
      </w:r>
      <w:r w:rsidR="009C32A0">
        <w:rPr>
          <w:rFonts w:hint="cs"/>
          <w:rtl/>
        </w:rPr>
        <w:t xml:space="preserve"> قال الحافظ بن عبد البر رحمه الله</w:t>
      </w:r>
      <w:r>
        <w:rPr>
          <w:rFonts w:hint="cs"/>
          <w:rtl/>
        </w:rPr>
        <w:t>:</w:t>
      </w:r>
      <w:r w:rsidR="009C32A0">
        <w:rPr>
          <w:rFonts w:hint="cs"/>
          <w:rtl/>
        </w:rPr>
        <w:t xml:space="preserve"> " </w:t>
      </w:r>
      <w:r w:rsidR="009C32A0">
        <w:rPr>
          <w:rFonts w:hint="cs"/>
          <w:rtl/>
          <w:lang w:bidi="ar-KW"/>
        </w:rPr>
        <w:t xml:space="preserve">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 </w:t>
      </w:r>
      <w:r w:rsidR="009C32A0">
        <w:rPr>
          <w:rFonts w:hint="cs"/>
          <w:rtl/>
        </w:rPr>
        <w:t>" أهـ[</w:t>
      </w:r>
      <w:r w:rsidR="009C32A0">
        <w:rPr>
          <w:rFonts w:hint="cs"/>
          <w:rtl/>
          <w:lang w:bidi="ar-KW"/>
        </w:rPr>
        <w:t>التمهيد لابن عبد البر ج</w:t>
      </w:r>
      <w:r>
        <w:rPr>
          <w:rFonts w:hint="cs"/>
          <w:rtl/>
          <w:lang w:bidi="ar-KW"/>
        </w:rPr>
        <w:t>:</w:t>
      </w:r>
      <w:r w:rsidR="009C32A0">
        <w:rPr>
          <w:rFonts w:hint="cs"/>
          <w:rtl/>
          <w:lang w:bidi="ar-KW"/>
        </w:rPr>
        <w:t xml:space="preserve"> 7 ص</w:t>
      </w:r>
      <w:r>
        <w:rPr>
          <w:rFonts w:hint="cs"/>
          <w:rtl/>
          <w:lang w:bidi="ar-KW"/>
        </w:rPr>
        <w:t>:</w:t>
      </w:r>
      <w:r w:rsidR="009C32A0">
        <w:rPr>
          <w:rFonts w:hint="cs"/>
          <w:rtl/>
          <w:lang w:bidi="ar-KW"/>
        </w:rPr>
        <w:t xml:space="preserve"> 137]</w:t>
      </w:r>
      <w:r>
        <w:rPr>
          <w:rFonts w:hint="cs"/>
          <w:rtl/>
        </w:rPr>
        <w:t>،</w:t>
      </w:r>
      <w:r w:rsidR="009C32A0">
        <w:rPr>
          <w:rFonts w:hint="cs"/>
          <w:rtl/>
        </w:rPr>
        <w:t xml:space="preserve"> وقال بن الجوزي الحنبلي في زاد المسير</w:t>
      </w:r>
      <w:r>
        <w:rPr>
          <w:rFonts w:hint="cs"/>
          <w:rtl/>
        </w:rPr>
        <w:t>:</w:t>
      </w:r>
      <w:r w:rsidR="009C32A0">
        <w:rPr>
          <w:rFonts w:hint="cs"/>
          <w:rtl/>
        </w:rPr>
        <w:t xml:space="preserve"> " ليس كما يخطر بالبال من قرب الأجسام وقطع المسافة لأن ذلك يختص بالأجسام والله منزه عن ذلك</w:t>
      </w:r>
      <w:r>
        <w:rPr>
          <w:rFonts w:hint="cs"/>
          <w:rtl/>
        </w:rPr>
        <w:t xml:space="preserve"> </w:t>
      </w:r>
      <w:r w:rsidR="009C32A0">
        <w:rPr>
          <w:rFonts w:hint="cs"/>
          <w:rtl/>
        </w:rPr>
        <w:t>"أهـ [زاد المسير ج</w:t>
      </w:r>
      <w:r>
        <w:rPr>
          <w:rFonts w:hint="cs"/>
          <w:rtl/>
        </w:rPr>
        <w:t>:</w:t>
      </w:r>
      <w:r w:rsidR="009C32A0">
        <w:rPr>
          <w:rFonts w:hint="cs"/>
          <w:rtl/>
        </w:rPr>
        <w:t xml:space="preserve"> 8 ص</w:t>
      </w:r>
      <w:r>
        <w:rPr>
          <w:rFonts w:hint="cs"/>
          <w:rtl/>
        </w:rPr>
        <w:t>:</w:t>
      </w:r>
      <w:r w:rsidR="009C32A0">
        <w:rPr>
          <w:rFonts w:hint="cs"/>
          <w:rtl/>
        </w:rPr>
        <w:t xml:space="preserve"> 65</w:t>
      </w:r>
      <w:r>
        <w:rPr>
          <w:rFonts w:hint="cs"/>
          <w:rtl/>
        </w:rPr>
        <w:t xml:space="preserve">]، </w:t>
      </w:r>
      <w:r w:rsidR="009C32A0">
        <w:rPr>
          <w:rFonts w:hint="cs"/>
          <w:rtl/>
        </w:rPr>
        <w:t>وقال القرطبي رحمه الله</w:t>
      </w:r>
      <w:r>
        <w:rPr>
          <w:rFonts w:hint="cs"/>
          <w:rtl/>
        </w:rPr>
        <w:t>:</w:t>
      </w:r>
      <w:r w:rsidR="009C32A0">
        <w:rPr>
          <w:rFonts w:hint="cs"/>
          <w:rtl/>
        </w:rPr>
        <w:t xml:space="preserve"> " اعتقاد ظواهر المتشابه كما فعلته</w:t>
      </w:r>
      <w:r>
        <w:rPr>
          <w:rFonts w:hint="cs"/>
          <w:rtl/>
        </w:rPr>
        <w:t xml:space="preserve"> </w:t>
      </w:r>
      <w:r w:rsidR="009C32A0">
        <w:rPr>
          <w:rFonts w:hint="cs"/>
          <w:rtl/>
        </w:rPr>
        <w:t>المجسمة</w:t>
      </w:r>
      <w:r>
        <w:rPr>
          <w:rFonts w:hint="cs"/>
          <w:rtl/>
        </w:rPr>
        <w:t xml:space="preserve"> </w:t>
      </w:r>
      <w:r w:rsidR="009C32A0">
        <w:rPr>
          <w:rFonts w:hint="cs"/>
          <w:rtl/>
        </w:rPr>
        <w:t xml:space="preserve">الذين جمعوا ما في الكتاب والسنة مما ظاهره الجسمية حتى أعتقدوا أن الباريء تعالى جسم مجسم وصورة مصورة ذات وجه وعين ويد </w:t>
      </w:r>
      <w:r w:rsidR="009C32A0">
        <w:rPr>
          <w:rFonts w:hint="cs"/>
          <w:rtl/>
        </w:rPr>
        <w:lastRenderedPageBreak/>
        <w:t>وجنب ورجل وأصبع تعالى الله عن ذلك " أهـ[تفسير القرطبي ج</w:t>
      </w:r>
      <w:r>
        <w:rPr>
          <w:rFonts w:hint="cs"/>
          <w:rtl/>
        </w:rPr>
        <w:t>:</w:t>
      </w:r>
      <w:r w:rsidR="009C32A0">
        <w:rPr>
          <w:rFonts w:hint="cs"/>
          <w:rtl/>
        </w:rPr>
        <w:t>4 ص</w:t>
      </w:r>
      <w:r>
        <w:rPr>
          <w:rFonts w:hint="cs"/>
          <w:rtl/>
        </w:rPr>
        <w:t>:</w:t>
      </w:r>
      <w:r w:rsidR="009C32A0">
        <w:rPr>
          <w:rFonts w:hint="cs"/>
          <w:rtl/>
        </w:rPr>
        <w:t>14</w:t>
      </w:r>
      <w:r>
        <w:rPr>
          <w:rFonts w:hint="cs"/>
          <w:rtl/>
        </w:rPr>
        <w:t>]،</w:t>
      </w:r>
      <w:r w:rsidR="009C32A0">
        <w:rPr>
          <w:rFonts w:hint="cs"/>
          <w:rtl/>
        </w:rPr>
        <w:t xml:space="preserve"> وقال القاضي بن جماعة في إيضاح الدليل "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w:t>
      </w:r>
      <w:r>
        <w:rPr>
          <w:rFonts w:hint="cs"/>
          <w:rtl/>
        </w:rPr>
        <w:t>:</w:t>
      </w:r>
      <w:r w:rsidR="009C32A0">
        <w:rPr>
          <w:rFonts w:hint="cs"/>
          <w:rtl/>
        </w:rPr>
        <w:t xml:space="preserve"> 1 ص</w:t>
      </w:r>
      <w:r>
        <w:rPr>
          <w:rFonts w:hint="cs"/>
          <w:rtl/>
        </w:rPr>
        <w:t>:</w:t>
      </w:r>
      <w:r w:rsidR="009C32A0">
        <w:rPr>
          <w:rFonts w:hint="cs"/>
          <w:rtl/>
        </w:rPr>
        <w:t xml:space="preserve"> 103]</w:t>
      </w:r>
      <w:r>
        <w:rPr>
          <w:rFonts w:hint="cs"/>
          <w:rtl/>
        </w:rPr>
        <w:t>،</w:t>
      </w:r>
      <w:r w:rsidR="009C32A0">
        <w:rPr>
          <w:rFonts w:hint="cs"/>
          <w:rtl/>
        </w:rPr>
        <w:t xml:space="preserve"> وقال حافظ الدنيا ابن حجر رحمه الله</w:t>
      </w:r>
      <w:r>
        <w:rPr>
          <w:rFonts w:hint="cs"/>
          <w:rtl/>
        </w:rPr>
        <w:t xml:space="preserve">: </w:t>
      </w:r>
      <w:r w:rsidR="009C32A0">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عن السلف في التفويض وعن الأئمة بعدهم في التأويل 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انتهى </w:t>
      </w:r>
      <w:r w:rsidR="009C32A0">
        <w:t>"</w:t>
      </w:r>
      <w:r>
        <w:rPr>
          <w:rtl/>
        </w:rPr>
        <w:t xml:space="preserve"> </w:t>
      </w:r>
      <w:r w:rsidR="009C32A0">
        <w:rPr>
          <w:rFonts w:hint="cs"/>
          <w:rtl/>
        </w:rPr>
        <w:t>أهـ [فتح الباري ج</w:t>
      </w:r>
      <w:r>
        <w:rPr>
          <w:rFonts w:hint="cs"/>
          <w:rtl/>
        </w:rPr>
        <w:t>:</w:t>
      </w:r>
      <w:r w:rsidR="009C32A0">
        <w:rPr>
          <w:rFonts w:hint="cs"/>
          <w:rtl/>
        </w:rPr>
        <w:t xml:space="preserve"> 13 ص</w:t>
      </w:r>
      <w:r>
        <w:rPr>
          <w:rFonts w:hint="cs"/>
          <w:rtl/>
        </w:rPr>
        <w:t>:</w:t>
      </w:r>
      <w:r w:rsidR="009C32A0">
        <w:rPr>
          <w:rFonts w:hint="cs"/>
          <w:rtl/>
        </w:rPr>
        <w:t xml:space="preserve"> 416]</w:t>
      </w:r>
      <w:r>
        <w:rPr>
          <w:rFonts w:hint="cs"/>
          <w:rtl/>
        </w:rPr>
        <w:t>،</w:t>
      </w:r>
      <w:r w:rsidR="009C32A0">
        <w:rPr>
          <w:rFonts w:hint="cs"/>
          <w:rtl/>
        </w:rPr>
        <w:t xml:space="preserve"> وقال الزرقاني في مناهل العرفان</w:t>
      </w:r>
      <w:r>
        <w:rPr>
          <w:rFonts w:hint="cs"/>
          <w:rtl/>
        </w:rPr>
        <w:t>:</w:t>
      </w:r>
      <w:r w:rsidR="009C32A0">
        <w:rPr>
          <w:rFonts w:hint="cs"/>
          <w:rtl/>
        </w:rPr>
        <w:t xml:space="preserve"> "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أهــ </w:t>
      </w:r>
      <w:r>
        <w:rPr>
          <w:rFonts w:hint="cs"/>
          <w:rtl/>
        </w:rPr>
        <w:t>[</w:t>
      </w:r>
      <w:r w:rsidR="009C32A0">
        <w:rPr>
          <w:rFonts w:hint="cs"/>
          <w:rtl/>
        </w:rPr>
        <w:t>مناهل العرفان ج</w:t>
      </w:r>
      <w:r>
        <w:rPr>
          <w:rFonts w:hint="cs"/>
          <w:rtl/>
        </w:rPr>
        <w:t>:</w:t>
      </w:r>
      <w:r w:rsidR="009C32A0">
        <w:rPr>
          <w:rFonts w:hint="cs"/>
          <w:rtl/>
        </w:rPr>
        <w:t xml:space="preserve"> 2 ص</w:t>
      </w:r>
      <w:r>
        <w:rPr>
          <w:rFonts w:hint="cs"/>
          <w:rtl/>
        </w:rPr>
        <w:t>:</w:t>
      </w:r>
      <w:r w:rsidR="009C32A0">
        <w:rPr>
          <w:rFonts w:hint="cs"/>
          <w:rtl/>
        </w:rPr>
        <w:t xml:space="preserve"> 210]</w:t>
      </w:r>
    </w:p>
    <w:p w14:paraId="117C0603" w14:textId="43CD43CA" w:rsidR="009C32A0" w:rsidRDefault="000636C2" w:rsidP="000636C2">
      <w:pPr>
        <w:ind w:left="-58"/>
        <w:rPr>
          <w:b/>
          <w:rtl/>
          <w:lang w:bidi="ar-KW"/>
        </w:rPr>
      </w:pPr>
      <w:r>
        <w:rPr>
          <w:rFonts w:hint="cs"/>
          <w:bCs/>
          <w:rtl/>
          <w:lang w:bidi="ar-KW"/>
        </w:rPr>
        <w:t>[</w:t>
      </w:r>
      <w:r w:rsidR="009C32A0">
        <w:rPr>
          <w:rFonts w:hint="cs"/>
          <w:bCs/>
          <w:rtl/>
          <w:lang w:bidi="ar-KW"/>
        </w:rPr>
        <w:t>6</w:t>
      </w:r>
      <w:r>
        <w:rPr>
          <w:rFonts w:hint="cs"/>
          <w:bCs/>
          <w:rtl/>
          <w:lang w:bidi="ar-KW"/>
        </w:rPr>
        <w:t>]:</w:t>
      </w:r>
      <w:r w:rsidR="009C32A0">
        <w:rPr>
          <w:rFonts w:hint="cs"/>
          <w:bCs/>
          <w:rtl/>
          <w:lang w:bidi="ar-KW"/>
        </w:rPr>
        <w:t xml:space="preserve"> القاعدة السادسة</w:t>
      </w:r>
      <w:r>
        <w:rPr>
          <w:rFonts w:hint="cs"/>
          <w:bCs/>
          <w:rtl/>
          <w:lang w:bidi="ar-KW"/>
        </w:rPr>
        <w:t>:</w:t>
      </w:r>
      <w:r w:rsidR="009C32A0">
        <w:rPr>
          <w:rFonts w:hint="cs"/>
          <w:bCs/>
          <w:rtl/>
          <w:lang w:bidi="ar-KW"/>
        </w:rPr>
        <w:t xml:space="preserve"> تنزيه ذات الله تعالى عن الصورة والشكل الذي تتصف به ذات المخلوق</w:t>
      </w:r>
      <w:r>
        <w:rPr>
          <w:rFonts w:hint="cs"/>
          <w:rtl/>
          <w:lang w:bidi="ar-KW"/>
        </w:rPr>
        <w:t>: (</w:t>
      </w:r>
      <w:r w:rsidR="009C32A0">
        <w:rPr>
          <w:rFonts w:hint="cs"/>
          <w:rtl/>
          <w:lang w:bidi="ar-KW"/>
        </w:rPr>
        <w:t>أ</w:t>
      </w:r>
      <w:r>
        <w:rPr>
          <w:rFonts w:hint="cs"/>
          <w:rtl/>
          <w:lang w:bidi="ar-KW"/>
        </w:rPr>
        <w:t>)</w:t>
      </w:r>
      <w:r w:rsidR="009C32A0">
        <w:rPr>
          <w:rFonts w:hint="cs"/>
          <w:rtl/>
          <w:lang w:bidi="ar-KW"/>
        </w:rPr>
        <w:t xml:space="preserve"> </w:t>
      </w:r>
      <w:r w:rsidR="009C32A0">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9C32A0">
        <w:rPr>
          <w:rFonts w:hint="cs"/>
          <w:rtl/>
        </w:rPr>
        <w:t>وتعالى عن ذلك علوا كبيرا</w:t>
      </w:r>
      <w:r>
        <w:rPr>
          <w:rFonts w:hint="cs"/>
          <w:rtl/>
        </w:rPr>
        <w:t>،</w:t>
      </w:r>
      <w:r w:rsidR="009C32A0">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الصور لا تنتج إلا عن تأليف وتركيب والتركيب يستحيل على الله تعالى , وصاحب الصورة لا يختص بصورة إلا بمخصص</w:t>
      </w:r>
      <w:r>
        <w:rPr>
          <w:rFonts w:hint="cs"/>
          <w:rtl/>
        </w:rPr>
        <w:t>،</w:t>
      </w:r>
      <w:r w:rsidR="009C32A0">
        <w:rPr>
          <w:rFonts w:hint="cs"/>
          <w:rtl/>
        </w:rPr>
        <w:t xml:space="preserve"> والمخصص هو الله تعالى المصور</w:t>
      </w:r>
      <w:r>
        <w:rPr>
          <w:rFonts w:hint="cs"/>
          <w:rtl/>
        </w:rPr>
        <w:t>،</w:t>
      </w:r>
      <w:r w:rsidR="009C32A0">
        <w:rPr>
          <w:rFonts w:hint="cs"/>
          <w:rtl/>
        </w:rPr>
        <w:t xml:space="preserve"> وهو تعالى يصور مخلوقاته كيف شاء</w:t>
      </w:r>
      <w:r>
        <w:rPr>
          <w:rFonts w:hint="cs"/>
          <w:rtl/>
        </w:rPr>
        <w:t>،</w:t>
      </w:r>
      <w:r w:rsidR="009C32A0">
        <w:rPr>
          <w:rFonts w:hint="cs"/>
          <w:rtl/>
        </w:rPr>
        <w:t xml:space="preserve"> وكل ما له صورة فهي علامة على كونه مخلوق مصور صوره خالقه , والله تعالى هو </w:t>
      </w:r>
      <w:r>
        <w:rPr>
          <w:rFonts w:hint="cs"/>
          <w:rtl/>
        </w:rPr>
        <w:t>(</w:t>
      </w:r>
      <w:r w:rsidR="009C32A0">
        <w:rPr>
          <w:rFonts w:hint="cs"/>
          <w:rtl/>
        </w:rPr>
        <w:t>المصور</w:t>
      </w:r>
      <w:r>
        <w:rPr>
          <w:rFonts w:hint="cs"/>
          <w:rtl/>
        </w:rPr>
        <w:t>)</w:t>
      </w:r>
      <w:r w:rsidR="009C32A0">
        <w:rPr>
          <w:rFonts w:hint="cs"/>
          <w:rtl/>
        </w:rPr>
        <w:t xml:space="preserve"> خالق الصور </w:t>
      </w:r>
      <w:r>
        <w:rPr>
          <w:rFonts w:hint="cs"/>
          <w:rtl/>
        </w:rPr>
        <w:t>(</w:t>
      </w:r>
      <w:r w:rsidR="009C32A0">
        <w:rPr>
          <w:rFonts w:hint="cs"/>
          <w:rtl/>
        </w:rPr>
        <w:t>ليس كمثله شيء</w:t>
      </w:r>
      <w:r>
        <w:rPr>
          <w:rFonts w:hint="cs"/>
          <w:rtl/>
        </w:rPr>
        <w:t>)،</w:t>
      </w:r>
      <w:r w:rsidR="009C32A0">
        <w:rPr>
          <w:rFonts w:hint="cs"/>
          <w:rtl/>
        </w:rPr>
        <w:t xml:space="preserve"> </w:t>
      </w:r>
      <w:r>
        <w:rPr>
          <w:rFonts w:hint="cs"/>
          <w:rtl/>
          <w:lang w:bidi="ar-KW"/>
        </w:rPr>
        <w:t>(</w:t>
      </w:r>
      <w:r w:rsidR="009C32A0">
        <w:rPr>
          <w:rFonts w:hint="cs"/>
          <w:rtl/>
          <w:lang w:bidi="ar-KW"/>
        </w:rPr>
        <w:t>ت</w:t>
      </w:r>
      <w:r>
        <w:rPr>
          <w:rFonts w:hint="cs"/>
          <w:rtl/>
          <w:lang w:bidi="ar-KW"/>
        </w:rPr>
        <w:t>)</w:t>
      </w:r>
      <w:r w:rsidR="009C32A0">
        <w:rPr>
          <w:rFonts w:hint="cs"/>
          <w:rtl/>
          <w:lang w:bidi="ar-KW"/>
        </w:rPr>
        <w:t xml:space="preserve"> ذات الله تعالى لا تسري عليها قوانين والمادة والأجسام</w:t>
      </w:r>
      <w:r>
        <w:rPr>
          <w:rFonts w:hint="cs"/>
          <w:rtl/>
          <w:lang w:bidi="ar-KW"/>
        </w:rPr>
        <w:t>،</w:t>
      </w:r>
      <w:r w:rsidR="009C32A0">
        <w:rPr>
          <w:rFonts w:hint="cs"/>
          <w:rtl/>
          <w:lang w:bidi="ar-KW"/>
        </w:rPr>
        <w:t xml:space="preserve"> لأنّ الذي خلق المادة والجسم هو الله تعالى وهو الذي قهرها بالصور والأشكال</w:t>
      </w:r>
      <w:r>
        <w:rPr>
          <w:rFonts w:hint="cs"/>
          <w:rtl/>
          <w:lang w:bidi="ar-KW"/>
        </w:rPr>
        <w:t>،</w:t>
      </w:r>
      <w:r w:rsidR="009C32A0">
        <w:rPr>
          <w:rFonts w:hint="cs"/>
          <w:rtl/>
          <w:lang w:bidi="ar-KW"/>
        </w:rPr>
        <w:t xml:space="preserve"> والله تعالى ليس كمثل خلقه وليس كمثله شيء</w:t>
      </w:r>
      <w:r>
        <w:rPr>
          <w:rFonts w:hint="cs"/>
          <w:rtl/>
          <w:lang w:bidi="ar-KW"/>
        </w:rPr>
        <w:t>،</w:t>
      </w:r>
      <w:r w:rsidR="009C32A0">
        <w:rPr>
          <w:rFonts w:hint="cs"/>
          <w:rtl/>
          <w:lang w:bidi="ar-KW"/>
        </w:rPr>
        <w:t xml:space="preserve"> ولا تسري عليه مفاهيم المواد والأجسام</w:t>
      </w:r>
      <w:r>
        <w:rPr>
          <w:rFonts w:hint="cs"/>
          <w:rtl/>
          <w:lang w:bidi="ar-KW"/>
        </w:rPr>
        <w:t>،</w:t>
      </w:r>
      <w:r w:rsidR="009C32A0">
        <w:rPr>
          <w:rFonts w:hint="cs"/>
          <w:rtl/>
          <w:lang w:bidi="ar-KW"/>
        </w:rPr>
        <w:t xml:space="preserve"> ولا الصور والأشكال</w:t>
      </w:r>
      <w:r>
        <w:rPr>
          <w:rFonts w:hint="cs"/>
          <w:rtl/>
          <w:lang w:bidi="ar-KW"/>
        </w:rPr>
        <w:t>،</w:t>
      </w:r>
      <w:r w:rsidR="009C32A0">
        <w:rPr>
          <w:rFonts w:hint="cs"/>
          <w:rtl/>
          <w:lang w:bidi="ar-KW"/>
        </w:rPr>
        <w:t xml:space="preserve"> لأنّه ليس كمثله شيء</w:t>
      </w:r>
      <w:r>
        <w:rPr>
          <w:rFonts w:hint="cs"/>
          <w:rtl/>
          <w:lang w:bidi="ar-KW"/>
        </w:rPr>
        <w:t>،</w:t>
      </w:r>
      <w:r w:rsidR="009C32A0">
        <w:rPr>
          <w:rFonts w:hint="cs"/>
          <w:rtl/>
          <w:lang w:bidi="ar-KW"/>
        </w:rPr>
        <w:t xml:space="preserve"> وكل ما خطر بالبال فالله خلافه</w:t>
      </w:r>
      <w:r>
        <w:rPr>
          <w:rFonts w:hint="cs"/>
          <w:rtl/>
          <w:lang w:bidi="ar-KW"/>
        </w:rPr>
        <w:t>،</w:t>
      </w:r>
      <w:r w:rsidR="009C32A0">
        <w:rPr>
          <w:rFonts w:hint="cs"/>
          <w:rtl/>
        </w:rPr>
        <w:t xml:space="preserve"> </w:t>
      </w:r>
      <w:r>
        <w:rPr>
          <w:rFonts w:hint="cs"/>
          <w:rtl/>
        </w:rPr>
        <w:t>(</w:t>
      </w:r>
      <w:r w:rsidR="009C32A0">
        <w:rPr>
          <w:rFonts w:hint="cs"/>
          <w:rtl/>
        </w:rPr>
        <w:t>ث</w:t>
      </w:r>
      <w:r>
        <w:rPr>
          <w:rFonts w:hint="cs"/>
          <w:rtl/>
        </w:rPr>
        <w:t>)</w:t>
      </w:r>
      <w:r w:rsidR="009C32A0">
        <w:rPr>
          <w:rFonts w:hint="cs"/>
          <w:rtl/>
        </w:rPr>
        <w:t xml:space="preserve"> الصورة </w:t>
      </w:r>
      <w:r w:rsidR="009C32A0">
        <w:rPr>
          <w:rFonts w:hint="cs"/>
          <w:rtl/>
        </w:rPr>
        <w:lastRenderedPageBreak/>
        <w:t>تقتضي الكيفية</w:t>
      </w:r>
      <w:r>
        <w:rPr>
          <w:rFonts w:hint="cs"/>
          <w:rtl/>
        </w:rPr>
        <w:t>،</w:t>
      </w:r>
      <w:r w:rsidR="009C32A0">
        <w:rPr>
          <w:rFonts w:hint="cs"/>
          <w:rtl/>
        </w:rPr>
        <w:t xml:space="preserve"> وهي عن الله تعالى وعن صفاته منفية</w:t>
      </w:r>
      <w:r>
        <w:rPr>
          <w:rFonts w:hint="cs"/>
          <w:rtl/>
        </w:rPr>
        <w:t>،</w:t>
      </w:r>
      <w:r w:rsidR="009C32A0">
        <w:rPr>
          <w:rFonts w:hint="cs"/>
          <w:rtl/>
        </w:rPr>
        <w:t xml:space="preserve"> لذلك فإن الذي يجب علينا وعلى كل مسلم أن يعلمه أن ربنا ليس بذي صورة ولا هيئة</w:t>
      </w:r>
      <w:r>
        <w:rPr>
          <w:rFonts w:hint="cs"/>
          <w:rtl/>
        </w:rPr>
        <w:t>،</w:t>
      </w:r>
      <w:r w:rsidR="009C32A0">
        <w:rPr>
          <w:rFonts w:hint="cs"/>
          <w:rtl/>
        </w:rPr>
        <w:t xml:space="preserve"> </w:t>
      </w:r>
      <w:r>
        <w:rPr>
          <w:rFonts w:hint="cs"/>
          <w:rtl/>
        </w:rPr>
        <w:t>(</w:t>
      </w:r>
      <w:r w:rsidR="009C32A0">
        <w:rPr>
          <w:rFonts w:hint="cs"/>
          <w:rtl/>
        </w:rPr>
        <w:t>ج</w:t>
      </w:r>
      <w:r>
        <w:rPr>
          <w:rFonts w:hint="cs"/>
          <w:rtl/>
        </w:rPr>
        <w:t>)</w:t>
      </w:r>
      <w:r w:rsidR="009C32A0">
        <w:rPr>
          <w:rFonts w:hint="cs"/>
          <w:rtl/>
        </w:rPr>
        <w:t xml:space="preserve"> </w:t>
      </w:r>
      <w:r w:rsidR="009C32A0">
        <w:rPr>
          <w:rFonts w:hint="cs"/>
          <w:rtl/>
          <w:lang w:bidi="ar-KW"/>
        </w:rPr>
        <w:t>من أقوال العلماء على تنزيه الله تعالى عن الصورة أكثر من أن تحصر منها على سبيل المثال</w:t>
      </w:r>
      <w:r>
        <w:rPr>
          <w:rFonts w:hint="cs"/>
          <w:rtl/>
          <w:lang w:bidi="ar-KW"/>
        </w:rPr>
        <w:t>:</w:t>
      </w:r>
      <w:r w:rsidR="009C32A0">
        <w:rPr>
          <w:rFonts w:hint="cs"/>
          <w:rtl/>
          <w:lang w:bidi="ar-KW"/>
        </w:rPr>
        <w:t xml:space="preserve"> </w:t>
      </w:r>
      <w:r w:rsidR="009C32A0">
        <w:rPr>
          <w:rFonts w:hint="cs"/>
          <w:rtl/>
        </w:rPr>
        <w:t>جاء في كتاب عقيدة الإمام أحمد رحمه الله</w:t>
      </w:r>
      <w:r>
        <w:rPr>
          <w:rFonts w:hint="cs"/>
          <w:rtl/>
        </w:rPr>
        <w:t>:</w:t>
      </w:r>
      <w:r w:rsidR="009C32A0">
        <w:rPr>
          <w:rFonts w:hint="cs"/>
          <w:rtl/>
        </w:rPr>
        <w:t>" نص</w:t>
      </w:r>
      <w:r w:rsidR="009C32A0">
        <w:rPr>
          <w:rFonts w:hint="cs"/>
        </w:rPr>
        <w:t xml:space="preserve"> </w:t>
      </w:r>
      <w:r w:rsidR="009C32A0">
        <w:rPr>
          <w:rFonts w:hint="cs"/>
          <w:rtl/>
        </w:rPr>
        <w:t>اعتقاد الإمام أحمد</w:t>
      </w:r>
      <w:r w:rsidR="009C32A0">
        <w:rPr>
          <w:rFonts w:hint="cs"/>
        </w:rPr>
        <w:t xml:space="preserve"> </w:t>
      </w:r>
      <w:r w:rsidR="009C32A0">
        <w:rPr>
          <w:rFonts w:hint="cs"/>
          <w:rtl/>
        </w:rPr>
        <w:t>بن حنبل ..</w:t>
      </w:r>
      <w:r>
        <w:rPr>
          <w:rFonts w:hint="cs"/>
          <w:rtl/>
        </w:rPr>
        <w:t xml:space="preserve"> </w:t>
      </w:r>
      <w:r w:rsidR="009C32A0">
        <w:rPr>
          <w:rFonts w:hint="cs"/>
          <w:rtl/>
        </w:rPr>
        <w:t>ومذهب</w:t>
      </w:r>
      <w:r w:rsidR="009C32A0">
        <w:rPr>
          <w:rFonts w:hint="cs"/>
        </w:rPr>
        <w:t xml:space="preserve"> </w:t>
      </w:r>
      <w:r w:rsidR="009C32A0">
        <w:rPr>
          <w:rFonts w:hint="cs"/>
          <w:rtl/>
        </w:rPr>
        <w:t>أبي عبد الله أحمد بن حنبل رضي الله عنه أن لله عز وجل</w:t>
      </w:r>
      <w:r w:rsidR="009C32A0">
        <w:rPr>
          <w:rFonts w:hint="cs"/>
        </w:rPr>
        <w:t xml:space="preserve"> </w:t>
      </w:r>
      <w:r w:rsidR="009C32A0">
        <w:rPr>
          <w:rFonts w:hint="cs"/>
          <w:rtl/>
        </w:rPr>
        <w:t>وجها لا كالصور المصورة والأعيان المخططة بل وجهة وصفه .. ومن غير</w:t>
      </w:r>
      <w:r w:rsidR="009C32A0">
        <w:rPr>
          <w:rFonts w:hint="cs"/>
        </w:rPr>
        <w:t xml:space="preserve"> </w:t>
      </w:r>
      <w:r w:rsidR="009C32A0">
        <w:rPr>
          <w:rFonts w:hint="cs"/>
          <w:rtl/>
        </w:rPr>
        <w:t>معناه فقد ألحد عنه وليس</w:t>
      </w:r>
      <w:r w:rsidR="009C32A0">
        <w:rPr>
          <w:rFonts w:hint="cs"/>
        </w:rPr>
        <w:t xml:space="preserve"> </w:t>
      </w:r>
      <w:r w:rsidR="009C32A0">
        <w:rPr>
          <w:rFonts w:hint="cs"/>
          <w:rtl/>
        </w:rPr>
        <w:t>معنى وجه معنى جسد عنده ولا صورة ولا تخطيط ومن قال ذلك</w:t>
      </w:r>
      <w:r w:rsidR="009C32A0">
        <w:rPr>
          <w:rFonts w:hint="cs"/>
        </w:rPr>
        <w:t xml:space="preserve"> </w:t>
      </w:r>
      <w:r w:rsidR="009C32A0">
        <w:rPr>
          <w:rFonts w:hint="cs"/>
          <w:rtl/>
        </w:rPr>
        <w:t xml:space="preserve">فقد ابتدع </w:t>
      </w:r>
      <w:r w:rsidR="009C32A0">
        <w:t>(</w:t>
      </w:r>
      <w:r>
        <w:rPr>
          <w:rtl/>
        </w:rPr>
        <w:t>(</w:t>
      </w:r>
      <w:r w:rsidR="009C32A0">
        <w:rPr>
          <w:rFonts w:hint="cs"/>
          <w:rtl/>
        </w:rPr>
        <w:t>أهـ [العقيدة ج 1 /ص 110</w:t>
      </w:r>
      <w:r>
        <w:rPr>
          <w:rFonts w:hint="cs"/>
          <w:rtl/>
        </w:rPr>
        <w:t>]</w:t>
      </w:r>
      <w:r w:rsidR="009C32A0">
        <w:rPr>
          <w:rFonts w:hint="cs"/>
          <w:rtl/>
        </w:rPr>
        <w:t xml:space="preserve"> وجاء فيه أيضا</w:t>
      </w:r>
      <w:r>
        <w:rPr>
          <w:rFonts w:hint="cs"/>
          <w:rtl/>
        </w:rPr>
        <w:t xml:space="preserve">: </w:t>
      </w:r>
      <w:r w:rsidR="009C32A0">
        <w:rPr>
          <w:rFonts w:hint="cs"/>
          <w:rtl/>
        </w:rPr>
        <w:t>" لا</w:t>
      </w:r>
      <w:r w:rsidR="009C32A0">
        <w:rPr>
          <w:rFonts w:hint="cs"/>
        </w:rPr>
        <w:t xml:space="preserve"> </w:t>
      </w:r>
      <w:r w:rsidR="009C32A0">
        <w:rPr>
          <w:rFonts w:hint="cs"/>
          <w:rtl/>
        </w:rPr>
        <w:t>يجوز أن يسمى جسما</w:t>
      </w:r>
      <w:r>
        <w:rPr>
          <w:rFonts w:hint="cs"/>
          <w:rtl/>
        </w:rPr>
        <w:t xml:space="preserve"> </w:t>
      </w:r>
      <w:r w:rsidR="009C32A0">
        <w:rPr>
          <w:rFonts w:hint="cs"/>
          <w:rtl/>
        </w:rPr>
        <w:t>وأنكر</w:t>
      </w:r>
      <w:r w:rsidR="009C32A0">
        <w:rPr>
          <w:rFonts w:hint="cs"/>
        </w:rPr>
        <w:t xml:space="preserve"> </w:t>
      </w:r>
      <w:r>
        <w:rPr>
          <w:rFonts w:hint="cs"/>
          <w:rtl/>
        </w:rPr>
        <w:t>(</w:t>
      </w:r>
      <w:r w:rsidR="009C32A0">
        <w:rPr>
          <w:rFonts w:hint="cs"/>
          <w:rtl/>
        </w:rPr>
        <w:t>أي الإمام أحمد</w:t>
      </w:r>
      <w:r>
        <w:rPr>
          <w:rFonts w:hint="cs"/>
          <w:rtl/>
        </w:rPr>
        <w:t>)</w:t>
      </w:r>
      <w:r w:rsidR="009C32A0">
        <w:rPr>
          <w:rFonts w:hint="cs"/>
          <w:rtl/>
        </w:rPr>
        <w:t xml:space="preserve"> على من يقول بالجسم وقال إن</w:t>
      </w:r>
      <w:r w:rsidR="009C32A0">
        <w:rPr>
          <w:rFonts w:hint="cs"/>
        </w:rPr>
        <w:t xml:space="preserve"> </w:t>
      </w:r>
      <w:r w:rsidR="009C32A0">
        <w:rPr>
          <w:rFonts w:hint="cs"/>
          <w:rtl/>
        </w:rPr>
        <w:t>الأسماء مأخوذة بالشريعة واللغة وأهل اللغة وضعوا هذا الاسم على كل ذي طول وعرض وسمك</w:t>
      </w:r>
      <w:r w:rsidR="009C32A0">
        <w:rPr>
          <w:rFonts w:hint="cs"/>
        </w:rPr>
        <w:t xml:space="preserve"> </w:t>
      </w:r>
      <w:r w:rsidR="009C32A0">
        <w:rPr>
          <w:rFonts w:hint="cs"/>
          <w:rtl/>
        </w:rPr>
        <w:t xml:space="preserve">وتركيب </w:t>
      </w:r>
      <w:r w:rsidR="009C32A0">
        <w:rPr>
          <w:rFonts w:hint="cs"/>
          <w:u w:val="single"/>
          <w:rtl/>
        </w:rPr>
        <w:t>وصورة</w:t>
      </w:r>
      <w:r w:rsidR="009C32A0">
        <w:rPr>
          <w:rFonts w:hint="cs"/>
          <w:rtl/>
        </w:rPr>
        <w:t xml:space="preserve"> وتأليف والله تعالى خارج عن ذلك كله فلم يجز أن يسمى جسما لخروجه عن</w:t>
      </w:r>
      <w:r w:rsidR="009C32A0">
        <w:rPr>
          <w:rFonts w:hint="cs"/>
        </w:rPr>
        <w:t xml:space="preserve"> </w:t>
      </w:r>
      <w:r w:rsidR="009C32A0">
        <w:rPr>
          <w:rFonts w:hint="cs"/>
          <w:rtl/>
        </w:rPr>
        <w:t>معنى الجسمية ولم يجيء في الشريعة ذلك فبطل</w:t>
      </w:r>
      <w:r>
        <w:rPr>
          <w:rFonts w:hint="cs"/>
          <w:rtl/>
        </w:rPr>
        <w:t xml:space="preserve"> </w:t>
      </w:r>
      <w:r w:rsidR="009C32A0">
        <w:rPr>
          <w:rFonts w:hint="cs"/>
          <w:rtl/>
        </w:rPr>
        <w:t>" أهـ [العقيدة ج 1 /ص 111</w:t>
      </w:r>
      <w:r>
        <w:rPr>
          <w:rFonts w:hint="cs"/>
          <w:rtl/>
        </w:rPr>
        <w:t>]،</w:t>
      </w:r>
      <w:r w:rsidR="009C32A0">
        <w:rPr>
          <w:rFonts w:hint="cs"/>
          <w:rtl/>
        </w:rPr>
        <w:t xml:space="preserve"> وقال شيخ المحدثين الحافظ البيهقي</w:t>
      </w:r>
      <w:r>
        <w:rPr>
          <w:rFonts w:hint="cs"/>
          <w:rtl/>
        </w:rPr>
        <w:t xml:space="preserve">: </w:t>
      </w:r>
      <w:r w:rsidR="009C32A0">
        <w:rPr>
          <w:rFonts w:hint="cs"/>
          <w:rtl/>
        </w:rPr>
        <w:t>"قال أبو سليمان الخطابي</w:t>
      </w:r>
      <w:r>
        <w:rPr>
          <w:rFonts w:hint="cs"/>
          <w:rtl/>
        </w:rPr>
        <w:t>:</w:t>
      </w:r>
      <w:r w:rsidR="009C32A0">
        <w:rPr>
          <w:rFonts w:hint="cs"/>
          <w:rtl/>
        </w:rPr>
        <w:t>وأما ذكر الصورة في هذه القصة ؛فإن الذي يجب علينا وعلى كل مسلم أن يعلمه أن ربنا ليس بذي صورة ولا هيئة</w:t>
      </w:r>
      <w:r>
        <w:rPr>
          <w:rFonts w:hint="cs"/>
          <w:rtl/>
        </w:rPr>
        <w:t>،</w:t>
      </w:r>
      <w:r w:rsidR="009C32A0">
        <w:rPr>
          <w:rFonts w:hint="cs"/>
          <w:rtl/>
        </w:rPr>
        <w:t xml:space="preserve"> فإن الصورة تقتضي الكيفية</w:t>
      </w:r>
      <w:r>
        <w:rPr>
          <w:rFonts w:hint="cs"/>
          <w:rtl/>
        </w:rPr>
        <w:t>،</w:t>
      </w:r>
      <w:r w:rsidR="009C32A0">
        <w:rPr>
          <w:rFonts w:hint="cs"/>
          <w:rtl/>
        </w:rPr>
        <w:t xml:space="preserve"> وهي عن الله تعالى وعن صفاته منفية " أهـ [الأسماء والصفات</w:t>
      </w:r>
      <w:r>
        <w:rPr>
          <w:rFonts w:hint="cs"/>
          <w:rtl/>
        </w:rPr>
        <w:t>:</w:t>
      </w:r>
      <w:r w:rsidR="009C32A0">
        <w:rPr>
          <w:rFonts w:hint="cs"/>
          <w:rtl/>
        </w:rPr>
        <w:t>297]</w:t>
      </w:r>
      <w:r>
        <w:rPr>
          <w:rFonts w:hint="cs"/>
          <w:rtl/>
        </w:rPr>
        <w:t>،</w:t>
      </w:r>
      <w:r w:rsidR="009C32A0">
        <w:rPr>
          <w:rFonts w:hint="cs"/>
          <w:rtl/>
        </w:rPr>
        <w:t xml:space="preserve"> وقال رحمه الله</w:t>
      </w:r>
      <w:r>
        <w:rPr>
          <w:rFonts w:hint="cs"/>
          <w:rtl/>
        </w:rPr>
        <w:t xml:space="preserve">: </w:t>
      </w:r>
      <w:r w:rsidR="009C32A0">
        <w:rPr>
          <w:rFonts w:hint="cs"/>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 أهـ [الاعتقاد ج1 ص 71ـ72] وجاء في كتاب الفقه الأكبر المنسوب للإمام الشافعي</w:t>
      </w:r>
      <w:r>
        <w:rPr>
          <w:rFonts w:hint="cs"/>
          <w:rtl/>
        </w:rPr>
        <w:t>[</w:t>
      </w:r>
      <w:r w:rsidR="009C32A0">
        <w:rPr>
          <w:rFonts w:hint="cs"/>
          <w:rtl/>
        </w:rPr>
        <w:t>صـ10] "</w:t>
      </w:r>
      <w:r>
        <w:rPr>
          <w:rFonts w:hint="cs"/>
          <w:rtl/>
        </w:rPr>
        <w:t>(</w:t>
      </w:r>
      <w:r w:rsidR="009C32A0">
        <w:rPr>
          <w:rFonts w:hint="cs"/>
          <w:rtl/>
        </w:rPr>
        <w:t>فصل</w:t>
      </w:r>
      <w:r>
        <w:rPr>
          <w:rFonts w:hint="cs"/>
          <w:rtl/>
        </w:rPr>
        <w:t>):</w:t>
      </w:r>
      <w:r w:rsidR="009C32A0">
        <w:rPr>
          <w:rFonts w:hint="cs"/>
          <w:rtl/>
        </w:rPr>
        <w:t xml:space="preserve"> 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9C32A0">
        <w:rPr>
          <w:rFonts w:hint="cs"/>
          <w:rtl/>
        </w:rPr>
        <w:t xml:space="preserve"> وقال الله تعالى </w:t>
      </w:r>
      <w:r>
        <w:rPr>
          <w:rFonts w:hint="cs"/>
          <w:rtl/>
        </w:rPr>
        <w:t>{</w:t>
      </w:r>
      <w:r w:rsidR="009C32A0">
        <w:rPr>
          <w:rFonts w:hint="cs"/>
          <w:rtl/>
        </w:rPr>
        <w:t>هو الله الخالق البارئ المصور</w:t>
      </w:r>
      <w:r>
        <w:rPr>
          <w:rFonts w:hint="cs"/>
          <w:rtl/>
        </w:rPr>
        <w:t>}</w:t>
      </w:r>
      <w:r w:rsidR="009C32A0">
        <w:rPr>
          <w:rFonts w:hint="cs"/>
          <w:rtl/>
        </w:rPr>
        <w:t xml:space="preserve"> " أهـ [الفقه الأكبر المنسوب للإمام الشافعي صـ10] وقال الإمام الحافظ أبى بكر بن فورك</w:t>
      </w:r>
      <w:r>
        <w:rPr>
          <w:rFonts w:hint="cs"/>
          <w:rtl/>
        </w:rPr>
        <w:t xml:space="preserve"> </w:t>
      </w:r>
      <w:r w:rsidR="009C32A0">
        <w:rPr>
          <w:rFonts w:hint="cs"/>
          <w:rtl/>
        </w:rPr>
        <w:t xml:space="preserve">" </w:t>
      </w:r>
      <w:r>
        <w:rPr>
          <w:rFonts w:hint="cs"/>
          <w:rtl/>
        </w:rPr>
        <w:t>(</w:t>
      </w:r>
      <w:r w:rsidR="009C32A0">
        <w:rPr>
          <w:rFonts w:hint="cs"/>
          <w:rtl/>
        </w:rPr>
        <w:t>فصل</w:t>
      </w:r>
      <w:r>
        <w:rPr>
          <w:rFonts w:hint="cs"/>
          <w:rtl/>
        </w:rPr>
        <w:t xml:space="preserve">): </w:t>
      </w:r>
      <w:r w:rsidR="009C32A0">
        <w:rPr>
          <w:rFonts w:hint="cs"/>
          <w:rtl/>
        </w:rPr>
        <w:t>واعلم أن بعض أصحابنا المتكلمين في تأويل هذا الخبر حاد على وجه الصواب</w:t>
      </w:r>
      <w:r>
        <w:rPr>
          <w:rFonts w:hint="cs"/>
          <w:rtl/>
        </w:rPr>
        <w:t>،</w:t>
      </w:r>
      <w:r w:rsidR="009C32A0">
        <w:rPr>
          <w:rFonts w:hint="cs"/>
          <w:rtl/>
        </w:rPr>
        <w:t xml:space="preserve"> وسلك طريق الخطأ والمحال فيه</w:t>
      </w:r>
      <w:r>
        <w:rPr>
          <w:rFonts w:hint="cs"/>
          <w:rtl/>
        </w:rPr>
        <w:t>،</w:t>
      </w:r>
      <w:r w:rsidR="009C32A0">
        <w:rPr>
          <w:rFonts w:hint="cs"/>
          <w:rtl/>
        </w:rPr>
        <w:t xml:space="preserve"> وهو ابن قتيبه توهما أنه مستمسك بظاهره غير تارك له</w:t>
      </w:r>
      <w:r>
        <w:rPr>
          <w:rFonts w:hint="cs"/>
          <w:rtl/>
        </w:rPr>
        <w:t>،</w:t>
      </w:r>
      <w:r w:rsidR="009C32A0">
        <w:rPr>
          <w:rFonts w:hint="cs"/>
          <w:rtl/>
        </w:rPr>
        <w:t xml:space="preserve"> فقال</w:t>
      </w:r>
      <w:r>
        <w:rPr>
          <w:rFonts w:hint="cs"/>
          <w:rtl/>
        </w:rPr>
        <w:t>:</w:t>
      </w:r>
      <w:r w:rsidR="009C32A0">
        <w:rPr>
          <w:rFonts w:hint="cs"/>
          <w:rtl/>
        </w:rPr>
        <w:t xml:space="preserve"> </w:t>
      </w:r>
      <w:r>
        <w:rPr>
          <w:rFonts w:hint="cs"/>
          <w:rtl/>
        </w:rPr>
        <w:t>(</w:t>
      </w:r>
      <w:r w:rsidR="009C32A0">
        <w:rPr>
          <w:rFonts w:hint="cs"/>
          <w:rtl/>
        </w:rPr>
        <w:t>إن لله عز وجل صوره لا كالصور كما أنه شئ لا كالأشياء</w:t>
      </w:r>
      <w:r>
        <w:rPr>
          <w:rFonts w:hint="cs"/>
          <w:rtl/>
        </w:rPr>
        <w:t>)</w:t>
      </w:r>
      <w:r w:rsidR="009C32A0">
        <w:rPr>
          <w:rFonts w:hint="cs"/>
          <w:rtl/>
        </w:rPr>
        <w:t xml:space="preserve"> فأثبت لله تعالى صوره قديمه قديمه</w:t>
      </w:r>
      <w:r>
        <w:rPr>
          <w:rFonts w:hint="cs"/>
          <w:rtl/>
        </w:rPr>
        <w:t>،</w:t>
      </w:r>
      <w:r w:rsidR="009C32A0">
        <w:rPr>
          <w:rFonts w:hint="cs"/>
          <w:rtl/>
        </w:rPr>
        <w:t xml:space="preserve"> زعم أنها لا كالصور</w:t>
      </w:r>
      <w:r>
        <w:rPr>
          <w:rFonts w:hint="cs"/>
          <w:rtl/>
        </w:rPr>
        <w:t>،</w:t>
      </w:r>
      <w:r w:rsidR="009C32A0">
        <w:rPr>
          <w:rFonts w:hint="cs"/>
          <w:rtl/>
        </w:rPr>
        <w:t xml:space="preserve"> وأن الله خلق آدم على تلك الصوره</w:t>
      </w:r>
      <w:r>
        <w:rPr>
          <w:rFonts w:hint="cs"/>
          <w:rtl/>
        </w:rPr>
        <w:t>،</w:t>
      </w:r>
      <w:r w:rsidR="009C32A0">
        <w:rPr>
          <w:rFonts w:hint="cs"/>
          <w:rtl/>
        </w:rPr>
        <w:t xml:space="preserve"> وهذا جهل من قائله 0 وتوغل في تشبيه الله تعالى بخلقه "</w:t>
      </w:r>
      <w:r>
        <w:rPr>
          <w:rFonts w:hint="cs"/>
          <w:rtl/>
        </w:rPr>
        <w:t xml:space="preserve"> </w:t>
      </w:r>
      <w:r w:rsidR="009C32A0">
        <w:rPr>
          <w:rFonts w:hint="cs"/>
          <w:rtl/>
        </w:rPr>
        <w:t xml:space="preserve">أهـ [مشكل </w:t>
      </w:r>
      <w:r w:rsidR="009C32A0">
        <w:rPr>
          <w:rFonts w:hint="cs"/>
          <w:rtl/>
        </w:rPr>
        <w:lastRenderedPageBreak/>
        <w:t>الحديث وبيانه ص 67 إلى 69]</w:t>
      </w:r>
      <w:r>
        <w:rPr>
          <w:rFonts w:hint="cs"/>
          <w:rtl/>
        </w:rPr>
        <w:t>،</w:t>
      </w:r>
      <w:r w:rsidR="009C32A0">
        <w:rPr>
          <w:rFonts w:hint="cs"/>
          <w:rtl/>
        </w:rPr>
        <w:t xml:space="preserve"> وقال النووي في شرحه على صحيح مسلم</w:t>
      </w:r>
      <w:r>
        <w:rPr>
          <w:rFonts w:hint="cs"/>
          <w:rtl/>
        </w:rPr>
        <w:t>:</w:t>
      </w:r>
      <w:r w:rsidR="009C32A0">
        <w:rPr>
          <w:rFonts w:hint="cs"/>
          <w:rtl/>
        </w:rPr>
        <w:t xml:space="preserve"> " قال</w:t>
      </w:r>
      <w:r w:rsidR="009C32A0">
        <w:rPr>
          <w:rFonts w:hint="cs"/>
        </w:rPr>
        <w:t xml:space="preserve"> </w:t>
      </w:r>
      <w:r w:rsidR="009C32A0">
        <w:rPr>
          <w:rFonts w:hint="cs"/>
          <w:rtl/>
        </w:rPr>
        <w:t>المازري هذا الحديث بهذا اللفظ ثابت ورواه بعضهم ان الله خلق آدم</w:t>
      </w:r>
      <w:r w:rsidR="009C32A0">
        <w:rPr>
          <w:rFonts w:hint="cs"/>
        </w:rPr>
        <w:t xml:space="preserve"> </w:t>
      </w:r>
      <w:r w:rsidR="009C32A0">
        <w:rPr>
          <w:rFonts w:hint="cs"/>
          <w:rtl/>
        </w:rPr>
        <w:t>على صورة الرحمن وليس بثابت عند اهل الحديث وكأن من نقله رواه بالمعنى الذي وقع</w:t>
      </w:r>
      <w:r w:rsidR="009C32A0">
        <w:rPr>
          <w:rFonts w:hint="cs"/>
        </w:rPr>
        <w:t xml:space="preserve"> </w:t>
      </w:r>
      <w:r w:rsidR="009C32A0">
        <w:rPr>
          <w:rFonts w:hint="cs"/>
          <w:rtl/>
        </w:rPr>
        <w:t>له وغلط في ذلك قال المازري وقد</w:t>
      </w:r>
      <w:r w:rsidR="009C32A0">
        <w:rPr>
          <w:rFonts w:hint="cs"/>
        </w:rPr>
        <w:t xml:space="preserve"> </w:t>
      </w:r>
      <w:r w:rsidR="009C32A0">
        <w:rPr>
          <w:rFonts w:hint="cs"/>
          <w:rtl/>
        </w:rPr>
        <w:t>غلط ابن قتيبة في هذا الحديث فأجراه على ظاهره</w:t>
      </w:r>
      <w:r w:rsidR="009C32A0">
        <w:rPr>
          <w:rFonts w:hint="cs"/>
        </w:rPr>
        <w:t xml:space="preserve"> </w:t>
      </w:r>
      <w:r w:rsidR="009C32A0">
        <w:rPr>
          <w:rFonts w:hint="cs"/>
          <w:rtl/>
        </w:rPr>
        <w:t>وقال لله تعالى صورة لا كالصور وهذا الذي قاله ظاهر الفساد لأن الصورة تفيد التركيب</w:t>
      </w:r>
      <w:r w:rsidR="009C32A0">
        <w:rPr>
          <w:rFonts w:hint="cs"/>
        </w:rPr>
        <w:t xml:space="preserve"> </w:t>
      </w:r>
      <w:r w:rsidR="009C32A0">
        <w:rPr>
          <w:rFonts w:hint="cs"/>
          <w:rtl/>
        </w:rPr>
        <w:t>وكل مركب محدث والله تعالى ليس بمحدث فليس هو مركبا فليس مصورا ..</w:t>
      </w:r>
      <w:r>
        <w:rPr>
          <w:rFonts w:hint="cs"/>
          <w:rtl/>
        </w:rPr>
        <w:t xml:space="preserve"> </w:t>
      </w:r>
      <w:r w:rsidR="009C32A0">
        <w:rPr>
          <w:rFonts w:hint="cs"/>
          <w:rtl/>
        </w:rPr>
        <w:t>قال له ايضا إن أردت بقولك صورة لا كالصور أنه ليس بمؤلف ولا مركب</w:t>
      </w:r>
      <w:r w:rsidR="009C32A0">
        <w:rPr>
          <w:rFonts w:hint="cs"/>
        </w:rPr>
        <w:t xml:space="preserve"> </w:t>
      </w:r>
      <w:r w:rsidR="009C32A0">
        <w:rPr>
          <w:rFonts w:hint="cs"/>
          <w:rtl/>
        </w:rPr>
        <w:t>فليس بصورة حقيقة وليست اللفظة على ظاهرها " أهـ</w:t>
      </w:r>
      <w:r w:rsidR="009C32A0">
        <w:rPr>
          <w:rFonts w:hint="cs"/>
        </w:rPr>
        <w:t xml:space="preserve"> </w:t>
      </w:r>
      <w:r w:rsidR="009C32A0">
        <w:rPr>
          <w:rFonts w:hint="cs"/>
          <w:rtl/>
        </w:rPr>
        <w:t>[شرح النووي على صحيح مسلم ج</w:t>
      </w:r>
      <w:r>
        <w:rPr>
          <w:rFonts w:hint="cs"/>
          <w:rtl/>
        </w:rPr>
        <w:t>:</w:t>
      </w:r>
      <w:r w:rsidR="009C32A0">
        <w:rPr>
          <w:rFonts w:hint="cs"/>
          <w:rtl/>
        </w:rPr>
        <w:t xml:space="preserve"> 16 ص</w:t>
      </w:r>
      <w:r>
        <w:rPr>
          <w:rFonts w:hint="cs"/>
          <w:rtl/>
        </w:rPr>
        <w:t>:</w:t>
      </w:r>
      <w:r w:rsidR="009C32A0">
        <w:rPr>
          <w:rFonts w:hint="cs"/>
          <w:rtl/>
        </w:rPr>
        <w:t xml:space="preserve"> 166]</w:t>
      </w:r>
      <w:r>
        <w:rPr>
          <w:rFonts w:hint="cs"/>
          <w:rtl/>
        </w:rPr>
        <w:t>،</w:t>
      </w:r>
      <w:r w:rsidR="009C32A0">
        <w:rPr>
          <w:rFonts w:hint="cs"/>
          <w:rtl/>
        </w:rPr>
        <w:t xml:space="preserve"> وجاء في إكمال المعلم</w:t>
      </w:r>
      <w:r>
        <w:rPr>
          <w:rFonts w:hint="cs"/>
          <w:rtl/>
        </w:rPr>
        <w:t>:</w:t>
      </w:r>
      <w:r w:rsidR="009C32A0">
        <w:rPr>
          <w:rFonts w:hint="cs"/>
          <w:rtl/>
        </w:rPr>
        <w:t xml:space="preserve"> " قال القاضي عياض</w:t>
      </w:r>
      <w:r>
        <w:rPr>
          <w:rFonts w:hint="cs"/>
          <w:rtl/>
        </w:rPr>
        <w:t>:</w:t>
      </w:r>
      <w:r w:rsidR="009C32A0">
        <w:rPr>
          <w:rFonts w:hint="cs"/>
          <w:rtl/>
        </w:rPr>
        <w:t xml:space="preserve"> هذا حديث ثابت عند أهل النقل</w:t>
      </w:r>
      <w:r>
        <w:rPr>
          <w:rFonts w:hint="cs"/>
          <w:rtl/>
        </w:rPr>
        <w:t>،</w:t>
      </w:r>
      <w:r w:rsidR="009C32A0">
        <w:rPr>
          <w:rFonts w:hint="cs"/>
          <w:rtl/>
        </w:rPr>
        <w:t xml:space="preserve"> وقد رواه بعضهم أن الله خلق آدم على صورة الرحمن ولا يليق هذا عند أهل النقل واعلم أن هذا الحديث غلط فيه ابن قتيبة وأجراه على ظاهره</w:t>
      </w:r>
      <w:r>
        <w:rPr>
          <w:rFonts w:hint="cs"/>
          <w:rtl/>
        </w:rPr>
        <w:t>،</w:t>
      </w:r>
      <w:r w:rsidR="009C32A0">
        <w:rPr>
          <w:rFonts w:hint="cs"/>
          <w:rtl/>
        </w:rPr>
        <w:t xml:space="preserve"> وقال</w:t>
      </w:r>
      <w:r>
        <w:rPr>
          <w:rFonts w:hint="cs"/>
          <w:rtl/>
        </w:rPr>
        <w:t>:</w:t>
      </w:r>
      <w:r w:rsidR="009C32A0">
        <w:rPr>
          <w:rFonts w:hint="cs"/>
          <w:rtl/>
        </w:rPr>
        <w:t xml:space="preserve"> فإن الله سبحانه له صور لا كالصور وأجرى الحديث على ظاهره</w:t>
      </w:r>
      <w:r>
        <w:rPr>
          <w:rFonts w:hint="cs"/>
          <w:rtl/>
        </w:rPr>
        <w:t>،</w:t>
      </w:r>
      <w:r w:rsidR="009C32A0">
        <w:rPr>
          <w:rFonts w:hint="cs"/>
          <w:rtl/>
        </w:rPr>
        <w:t xml:space="preserve"> والذي قاله لا يخفي فساده لأن الصورة تفيد التركيب وكل مركب محدث</w:t>
      </w:r>
      <w:r>
        <w:rPr>
          <w:rFonts w:hint="cs"/>
          <w:rtl/>
        </w:rPr>
        <w:t>،</w:t>
      </w:r>
      <w:r w:rsidR="009C32A0">
        <w:rPr>
          <w:rFonts w:hint="cs"/>
          <w:rtl/>
        </w:rPr>
        <w:t xml:space="preserve"> والباري سبحانه وتعالى ليس بمحدث</w:t>
      </w:r>
      <w:r>
        <w:rPr>
          <w:rFonts w:hint="cs"/>
          <w:rtl/>
        </w:rPr>
        <w:t>،</w:t>
      </w:r>
      <w:r w:rsidR="009C32A0">
        <w:rPr>
          <w:rFonts w:hint="cs"/>
          <w:rtl/>
        </w:rPr>
        <w:t xml:space="preserve"> فليس بمركب وما ليس بمركب فليس بمصور وهذا من جنس قول المبتدعة أن الله الباري جل وعز جسم لا كالأجسام "</w:t>
      </w:r>
      <w:r>
        <w:rPr>
          <w:rFonts w:hint="cs"/>
          <w:rtl/>
        </w:rPr>
        <w:t xml:space="preserve"> </w:t>
      </w:r>
      <w:r w:rsidR="009C32A0">
        <w:rPr>
          <w:rFonts w:hint="cs"/>
          <w:rtl/>
        </w:rPr>
        <w:t>أهـ [إكمال المعلم ج8 من ص90</w:t>
      </w:r>
      <w:r>
        <w:rPr>
          <w:rFonts w:hint="cs"/>
          <w:rtl/>
        </w:rPr>
        <w:t>:</w:t>
      </w:r>
      <w:r w:rsidR="009C32A0">
        <w:rPr>
          <w:rFonts w:hint="cs"/>
          <w:rtl/>
        </w:rPr>
        <w:t>87]</w:t>
      </w:r>
      <w:r>
        <w:rPr>
          <w:rFonts w:hint="cs"/>
          <w:rtl/>
        </w:rPr>
        <w:t>،</w:t>
      </w:r>
      <w:r w:rsidR="009C32A0">
        <w:rPr>
          <w:rFonts w:hint="cs"/>
          <w:rtl/>
        </w:rPr>
        <w:t xml:space="preserve"> وقال مرعي بن يوسف المقدسي الحنبلي في كتابه أقاويل الثقات</w:t>
      </w:r>
      <w:r>
        <w:rPr>
          <w:rFonts w:hint="cs"/>
          <w:rtl/>
        </w:rPr>
        <w:t>:</w:t>
      </w:r>
      <w:r w:rsidR="009C32A0">
        <w:rPr>
          <w:rFonts w:hint="cs"/>
          <w:rtl/>
        </w:rPr>
        <w:t xml:space="preserve"> "</w:t>
      </w:r>
      <w:r>
        <w:rPr>
          <w:rFonts w:hint="cs"/>
          <w:rtl/>
        </w:rPr>
        <w:t xml:space="preserve"> </w:t>
      </w:r>
      <w:r w:rsidR="009C32A0">
        <w:rPr>
          <w:rFonts w:hint="cs"/>
          <w:rtl/>
        </w:rPr>
        <w:t>وغلت طائفة أخرى في الإثبات فشبهته فأثبتت له الصورة والجوارح ..</w:t>
      </w:r>
      <w:r>
        <w:rPr>
          <w:rFonts w:hint="cs"/>
          <w:rtl/>
        </w:rPr>
        <w:t xml:space="preserve"> </w:t>
      </w:r>
      <w:r w:rsidR="009C32A0">
        <w:rPr>
          <w:rFonts w:hint="cs"/>
          <w:rtl/>
        </w:rPr>
        <w:t>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ومنهم من قال إنه على قدر مسافة العرش لا يفضل من أحدهما عن الأخر شيء</w:t>
      </w:r>
      <w:r>
        <w:rPr>
          <w:rFonts w:hint="cs"/>
          <w:rtl/>
        </w:rPr>
        <w:t xml:space="preserve"> </w:t>
      </w:r>
      <w:r w:rsidR="009C32A0">
        <w:rPr>
          <w:rFonts w:hint="cs"/>
          <w:rtl/>
        </w:rPr>
        <w:t>تعالى الله عن أقوالهم علو كبيرا وعن مثله نهى الله تعالى بقوله تعالى</w:t>
      </w:r>
      <w:r>
        <w:rPr>
          <w:rFonts w:hint="cs"/>
          <w:rtl/>
        </w:rPr>
        <w:t>:</w:t>
      </w:r>
      <w:r w:rsidR="009C32A0">
        <w:rPr>
          <w:rFonts w:hint="cs"/>
          <w:rtl/>
        </w:rPr>
        <w:t xml:space="preserve"> (يا أهل الكتاب لا تغلو في دينكم ولا تقولوا على الله إلا الحق</w:t>
      </w:r>
      <w:r>
        <w:rPr>
          <w:rFonts w:hint="cs"/>
          <w:rtl/>
        </w:rPr>
        <w:t>)</w:t>
      </w:r>
      <w:r w:rsidR="009C32A0">
        <w:rPr>
          <w:rFonts w:hint="cs"/>
          <w:rtl/>
        </w:rPr>
        <w:t xml:space="preserve"> [النساء /171</w:t>
      </w:r>
      <w:r>
        <w:rPr>
          <w:rFonts w:hint="cs"/>
          <w:rtl/>
        </w:rPr>
        <w:t>]</w:t>
      </w:r>
      <w:r w:rsidR="009C32A0">
        <w:rPr>
          <w:rFonts w:hint="cs"/>
          <w:rtl/>
        </w:rPr>
        <w:t xml:space="preserve"> "</w:t>
      </w:r>
      <w:r>
        <w:rPr>
          <w:rFonts w:hint="cs"/>
          <w:rtl/>
        </w:rPr>
        <w:t xml:space="preserve"> </w:t>
      </w:r>
      <w:r w:rsidR="009C32A0">
        <w:rPr>
          <w:rFonts w:hint="cs"/>
          <w:rtl/>
        </w:rPr>
        <w:t>أهـ [أقاويل الثقات ج</w:t>
      </w:r>
      <w:r>
        <w:rPr>
          <w:rFonts w:hint="cs"/>
          <w:rtl/>
        </w:rPr>
        <w:t>:</w:t>
      </w:r>
      <w:r w:rsidR="009C32A0">
        <w:rPr>
          <w:rFonts w:hint="cs"/>
          <w:rtl/>
        </w:rPr>
        <w:t xml:space="preserve"> 1 ص</w:t>
      </w:r>
      <w:r>
        <w:rPr>
          <w:rFonts w:hint="cs"/>
          <w:rtl/>
        </w:rPr>
        <w:t>:</w:t>
      </w:r>
      <w:r w:rsidR="009C32A0">
        <w:rPr>
          <w:rFonts w:hint="cs"/>
          <w:rtl/>
        </w:rPr>
        <w:t xml:space="preserve"> 135]</w:t>
      </w:r>
      <w:r>
        <w:rPr>
          <w:rFonts w:hint="cs"/>
          <w:rtl/>
        </w:rPr>
        <w:t>،</w:t>
      </w:r>
      <w:r w:rsidR="009C32A0">
        <w:rPr>
          <w:rFonts w:hint="cs"/>
          <w:rtl/>
        </w:rPr>
        <w:t xml:space="preserve"> وجاء في مرقاة المفاتيح(باب الحوض والشفاعة)</w:t>
      </w:r>
      <w:r>
        <w:rPr>
          <w:rFonts w:hint="cs"/>
          <w:rtl/>
        </w:rPr>
        <w:t>:</w:t>
      </w:r>
      <w:r w:rsidR="009C32A0">
        <w:rPr>
          <w:rFonts w:hint="cs"/>
          <w:rtl/>
        </w:rPr>
        <w:t xml:space="preserve"> " وفي رواية أبي هريرة فيقولون</w:t>
      </w:r>
      <w:r>
        <w:rPr>
          <w:rFonts w:hint="cs"/>
          <w:rtl/>
        </w:rPr>
        <w:t>:</w:t>
      </w:r>
      <w:r w:rsidR="009C32A0">
        <w:rPr>
          <w:rFonts w:hint="cs"/>
          <w:rtl/>
        </w:rPr>
        <w:t xml:space="preserve"> هذا مكاننا حتى يأتينا ربنا</w:t>
      </w:r>
      <w:r>
        <w:rPr>
          <w:rFonts w:hint="cs"/>
          <w:rtl/>
        </w:rPr>
        <w:t>)</w:t>
      </w:r>
      <w:r w:rsidR="009C32A0">
        <w:rPr>
          <w:rFonts w:hint="cs"/>
          <w:rtl/>
        </w:rPr>
        <w:t xml:space="preserve"> أي يتجلى علينا بوجه نعرفه </w:t>
      </w:r>
      <w:r>
        <w:rPr>
          <w:rFonts w:hint="cs"/>
          <w:rtl/>
        </w:rPr>
        <w:t>(</w:t>
      </w:r>
      <w:r w:rsidR="009C32A0">
        <w:rPr>
          <w:rFonts w:hint="cs"/>
          <w:rtl/>
        </w:rPr>
        <w:t>فإذا جاء ربنا</w:t>
      </w:r>
      <w:r>
        <w:rPr>
          <w:rFonts w:hint="cs"/>
          <w:rtl/>
        </w:rPr>
        <w:t>)</w:t>
      </w:r>
      <w:r w:rsidR="009C32A0">
        <w:rPr>
          <w:rFonts w:hint="cs"/>
          <w:rtl/>
        </w:rPr>
        <w:t xml:space="preserve"> أي على ما عرفناه من أنه منزه عن الصورة والكمية والكيفية والجهة وأمثالها</w:t>
      </w:r>
      <w:r>
        <w:rPr>
          <w:rFonts w:hint="cs"/>
          <w:rtl/>
        </w:rPr>
        <w:t>)</w:t>
      </w:r>
      <w:r w:rsidR="009C32A0">
        <w:rPr>
          <w:rFonts w:hint="cs"/>
          <w:rtl/>
        </w:rPr>
        <w:t xml:space="preserve"> أهـ [مرقاة المفاتيح(باب الحوض والشفاعة)]</w:t>
      </w:r>
      <w:r>
        <w:rPr>
          <w:rFonts w:hint="cs"/>
          <w:rtl/>
        </w:rPr>
        <w:t>،</w:t>
      </w:r>
      <w:r w:rsidR="009C32A0">
        <w:rPr>
          <w:rFonts w:hint="cs"/>
          <w:rtl/>
        </w:rPr>
        <w:t xml:space="preserve"> وقال القاضي بدر الدين بن جماعة في كتابه إيضاح الدليل</w:t>
      </w:r>
      <w:r>
        <w:rPr>
          <w:rFonts w:hint="cs"/>
          <w:rtl/>
        </w:rPr>
        <w:t xml:space="preserve">: </w:t>
      </w:r>
      <w:r w:rsidR="009C32A0">
        <w:rPr>
          <w:rFonts w:hint="cs"/>
          <w:rtl/>
        </w:rPr>
        <w:t>ومن قال بأن لله تعالى صورة وخلق آدم عليها فمردود عليه لما فيه من التجسيم</w:t>
      </w:r>
      <w:r>
        <w:rPr>
          <w:rFonts w:hint="cs"/>
          <w:rtl/>
        </w:rPr>
        <w:t xml:space="preserve"> </w:t>
      </w:r>
      <w:r w:rsidR="009C32A0">
        <w:rPr>
          <w:rFonts w:hint="cs"/>
          <w:rtl/>
        </w:rPr>
        <w:t>وكذلك من قال صورة لا كالصور "</w:t>
      </w:r>
      <w:r>
        <w:rPr>
          <w:rFonts w:hint="cs"/>
          <w:rtl/>
        </w:rPr>
        <w:t xml:space="preserve"> </w:t>
      </w:r>
      <w:r w:rsidR="009C32A0">
        <w:rPr>
          <w:rFonts w:hint="cs"/>
          <w:rtl/>
        </w:rPr>
        <w:t>أهـ [إيضاح الدليل في قطع حجج أهل التعطيل ج</w:t>
      </w:r>
      <w:r>
        <w:rPr>
          <w:rFonts w:hint="cs"/>
          <w:rtl/>
        </w:rPr>
        <w:t>:</w:t>
      </w:r>
      <w:r w:rsidR="009C32A0">
        <w:rPr>
          <w:rFonts w:hint="cs"/>
          <w:rtl/>
        </w:rPr>
        <w:t xml:space="preserve"> 1 ص</w:t>
      </w:r>
      <w:r>
        <w:rPr>
          <w:rFonts w:hint="cs"/>
          <w:rtl/>
        </w:rPr>
        <w:t>:</w:t>
      </w:r>
      <w:r w:rsidR="009C32A0">
        <w:rPr>
          <w:rFonts w:hint="cs"/>
          <w:rtl/>
        </w:rPr>
        <w:t xml:space="preserve"> 155]</w:t>
      </w:r>
      <w:r>
        <w:rPr>
          <w:rFonts w:hint="cs"/>
          <w:rtl/>
        </w:rPr>
        <w:t>،</w:t>
      </w:r>
      <w:r w:rsidR="009C32A0">
        <w:rPr>
          <w:rFonts w:hint="cs"/>
          <w:rtl/>
        </w:rPr>
        <w:t xml:space="preserve"> وقال رحمه الله</w:t>
      </w:r>
      <w:r>
        <w:rPr>
          <w:rFonts w:hint="cs"/>
          <w:rtl/>
        </w:rPr>
        <w:t>:</w:t>
      </w:r>
      <w:r w:rsidR="009C32A0">
        <w:rPr>
          <w:rFonts w:hint="cs"/>
          <w:rtl/>
        </w:rPr>
        <w:t xml:space="preserve"> " الحديث الثاني حديث القيامة الطويل في جمع الله الناس إلى قوله فيأتيهم الله في غير الصورة التي يعبدون فيقول أنا ربكم </w:t>
      </w:r>
      <w:r w:rsidR="009C32A0">
        <w:rPr>
          <w:rFonts w:hint="cs"/>
          <w:rtl/>
        </w:rPr>
        <w:lastRenderedPageBreak/>
        <w:t>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9C32A0">
        <w:rPr>
          <w:rFonts w:hint="cs"/>
          <w:rtl/>
        </w:rPr>
        <w:t xml:space="preserve"> الحديث</w:t>
      </w:r>
      <w:r>
        <w:rPr>
          <w:rFonts w:hint="cs"/>
          <w:rtl/>
        </w:rPr>
        <w:t xml:space="preserve">: </w:t>
      </w:r>
      <w:r w:rsidR="009C32A0">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9C32A0">
        <w:rPr>
          <w:rFonts w:hint="cs"/>
          <w:rtl/>
        </w:rPr>
        <w:t>أهـ</w:t>
      </w:r>
      <w:r>
        <w:rPr>
          <w:rFonts w:hint="cs"/>
          <w:rtl/>
        </w:rPr>
        <w:t xml:space="preserve"> </w:t>
      </w:r>
      <w:r w:rsidR="009C32A0">
        <w:rPr>
          <w:rFonts w:hint="cs"/>
          <w:rtl/>
        </w:rPr>
        <w:t>[إيضاح الدليل في قطع حجج أهل التعطيل ج</w:t>
      </w:r>
      <w:r>
        <w:rPr>
          <w:rFonts w:hint="cs"/>
          <w:rtl/>
        </w:rPr>
        <w:t>:</w:t>
      </w:r>
      <w:r w:rsidR="009C32A0">
        <w:rPr>
          <w:rFonts w:hint="cs"/>
          <w:rtl/>
        </w:rPr>
        <w:t xml:space="preserve"> 1 ص</w:t>
      </w:r>
      <w:r>
        <w:rPr>
          <w:rFonts w:hint="cs"/>
          <w:rtl/>
        </w:rPr>
        <w:t>:</w:t>
      </w:r>
      <w:r w:rsidR="009C32A0">
        <w:rPr>
          <w:rFonts w:hint="cs"/>
          <w:rtl/>
        </w:rPr>
        <w:t xml:space="preserve"> 159]</w:t>
      </w:r>
    </w:p>
    <w:p w14:paraId="5DFF57F0" w14:textId="21FD7146" w:rsidR="009C32A0" w:rsidRDefault="000636C2" w:rsidP="000636C2">
      <w:pPr>
        <w:ind w:left="-58"/>
        <w:rPr>
          <w:b/>
          <w:rtl/>
          <w:lang w:bidi="ar-KW"/>
        </w:rPr>
      </w:pPr>
      <w:r>
        <w:rPr>
          <w:rFonts w:hint="cs"/>
          <w:bCs/>
          <w:rtl/>
          <w:lang w:bidi="ar-KW"/>
        </w:rPr>
        <w:t>[</w:t>
      </w:r>
      <w:r w:rsidR="009C32A0">
        <w:rPr>
          <w:rFonts w:hint="cs"/>
          <w:bCs/>
          <w:rtl/>
          <w:lang w:bidi="ar-KW"/>
        </w:rPr>
        <w:t>7</w:t>
      </w:r>
      <w:r>
        <w:rPr>
          <w:rFonts w:hint="cs"/>
          <w:bCs/>
          <w:rtl/>
          <w:lang w:bidi="ar-KW"/>
        </w:rPr>
        <w:t>]:</w:t>
      </w:r>
      <w:r w:rsidR="009C32A0">
        <w:rPr>
          <w:rFonts w:hint="cs"/>
          <w:bCs/>
          <w:rtl/>
          <w:lang w:bidi="ar-KW"/>
        </w:rPr>
        <w:t xml:space="preserve"> القاعدة السابعة</w:t>
      </w:r>
      <w:r>
        <w:rPr>
          <w:rFonts w:hint="cs"/>
          <w:bCs/>
          <w:rtl/>
          <w:lang w:bidi="ar-KW"/>
        </w:rPr>
        <w:t>:</w:t>
      </w:r>
      <w:r w:rsidR="009C32A0">
        <w:rPr>
          <w:rFonts w:hint="cs"/>
          <w:bCs/>
          <w:rtl/>
          <w:lang w:bidi="ar-KW"/>
        </w:rPr>
        <w:t xml:space="preserve"> تنزيه ذات الله تعالى عن الجوارح والأجزاء والأعضاء التي تتصف به ذات المخلوق</w:t>
      </w:r>
      <w:r>
        <w:rPr>
          <w:rFonts w:hint="cs"/>
          <w:bCs/>
          <w:rtl/>
          <w:lang w:bidi="ar-KW"/>
        </w:rPr>
        <w:t>:</w:t>
      </w:r>
      <w:r w:rsidR="009C32A0">
        <w:rPr>
          <w:rFonts w:cs="Monotype Koufi" w:hint="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w:t>
      </w:r>
      <w:r w:rsidR="009C32A0">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w:t>
      </w:r>
      <w:r>
        <w:rPr>
          <w:rFonts w:hint="cs"/>
          <w:rtl/>
        </w:rPr>
        <w:t>،</w:t>
      </w:r>
      <w:r w:rsidR="009C32A0">
        <w:rPr>
          <w:rFonts w:hint="cs"/>
          <w:rtl/>
        </w:rPr>
        <w:t xml:space="preserve"> فجلّ المقدِرُ أن يكونَ مقدَرَا</w:t>
      </w:r>
      <w:r>
        <w:rPr>
          <w:rFonts w:hint="cs"/>
          <w:rtl/>
        </w:rPr>
        <w:t>،</w:t>
      </w:r>
      <w:r w:rsidR="009C32A0">
        <w:rPr>
          <w:rFonts w:hint="cs"/>
          <w:rtl/>
        </w:rPr>
        <w:t xml:space="preserve"> وذاته سبحانه منزهة عن الصور والتخطيط والتركيب لأن الله تعالى هو المصور وجلّ المصوِرُ أن يكون مصَورا</w:t>
      </w:r>
      <w:r>
        <w:rPr>
          <w:rFonts w:hint="cs"/>
          <w:rtl/>
        </w:rPr>
        <w:t xml:space="preserve"> </w:t>
      </w:r>
      <w:r w:rsidR="009C32A0">
        <w:rPr>
          <w:rFonts w:hint="cs"/>
          <w:rtl/>
        </w:rPr>
        <w:t>وتعالى عن ذلك علوا كبيرا لأن الهيئة والصورة والتركيب والتأليف كل ذلك إنما يصح على الأجسام المحدودة والجواهر المخلوقة</w:t>
      </w:r>
      <w:r>
        <w:rPr>
          <w:rFonts w:hint="cs"/>
          <w:rtl/>
        </w:rPr>
        <w:t>،</w:t>
      </w:r>
      <w:r w:rsidR="009C32A0">
        <w:rPr>
          <w:rFonts w:hint="cs"/>
          <w:rtl/>
        </w:rPr>
        <w:t xml:space="preserve"> والتنزيه عن الصورة يعني بالضرورة التنزيه عن الأجزاء والأعضاء إذ الصورة تفيد</w:t>
      </w:r>
      <w:r w:rsidR="009C32A0">
        <w:rPr>
          <w:rFonts w:hint="cs"/>
        </w:rPr>
        <w:t xml:space="preserve"> </w:t>
      </w:r>
      <w:r w:rsidR="009C32A0">
        <w:rPr>
          <w:rFonts w:hint="cs"/>
          <w:rtl/>
        </w:rPr>
        <w:t>التركيب وكل مركب محدث</w:t>
      </w:r>
      <w:r>
        <w:rPr>
          <w:rFonts w:hint="cs"/>
          <w:rtl/>
        </w:rPr>
        <w:t>،</w:t>
      </w:r>
      <w:r w:rsidR="009C32A0">
        <w:rPr>
          <w:rFonts w:hint="cs"/>
          <w:rtl/>
        </w:rPr>
        <w:t xml:space="preserve"> والباري سبحانه وتعالى ليس بمحدث</w:t>
      </w:r>
      <w:r>
        <w:rPr>
          <w:rFonts w:hint="cs"/>
          <w:rtl/>
        </w:rPr>
        <w:t>،</w:t>
      </w:r>
      <w:r w:rsidR="009C32A0">
        <w:rPr>
          <w:rFonts w:hint="cs"/>
          <w:rtl/>
        </w:rPr>
        <w:t xml:space="preserve"> فليس بمركب</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أجمع أهل القبلة عدا المجسمة والمشبهة على تنزيه الله تعالى عن الأجزاء والأعضاء والجوارح تعالى الله عن ذلك علوا كبيرا</w:t>
      </w:r>
      <w:r>
        <w:rPr>
          <w:rFonts w:hint="cs"/>
          <w:rtl/>
        </w:rPr>
        <w:t>،</w:t>
      </w:r>
      <w:r w:rsidR="009C32A0">
        <w:rPr>
          <w:rFonts w:hint="cs"/>
          <w:rtl/>
        </w:rPr>
        <w:t xml:space="preserve"> قال تعالى</w:t>
      </w:r>
      <w:r>
        <w:rPr>
          <w:rFonts w:hint="cs"/>
          <w:rtl/>
        </w:rPr>
        <w:t>:</w:t>
      </w:r>
      <w:r w:rsidR="009C32A0">
        <w:rPr>
          <w:rFonts w:hint="cs"/>
          <w:rtl/>
        </w:rPr>
        <w:t xml:space="preserve"> {قل هو الله أحد} (الإخلاص</w:t>
      </w:r>
      <w:r>
        <w:rPr>
          <w:rFonts w:hint="cs"/>
          <w:rtl/>
        </w:rPr>
        <w:t>:</w:t>
      </w:r>
      <w:r w:rsidR="009C32A0">
        <w:rPr>
          <w:rFonts w:hint="cs"/>
          <w:rtl/>
        </w:rPr>
        <w:t xml:space="preserve"> 1)</w:t>
      </w:r>
      <w:r>
        <w:rPr>
          <w:rFonts w:hint="cs"/>
          <w:rtl/>
        </w:rPr>
        <w:t>،</w:t>
      </w:r>
      <w:r w:rsidR="009C32A0">
        <w:rPr>
          <w:rFonts w:hint="cs"/>
          <w:rtl/>
        </w:rPr>
        <w:t xml:space="preserve"> وقال تعالى</w:t>
      </w:r>
      <w:r>
        <w:rPr>
          <w:rFonts w:hint="cs"/>
          <w:rtl/>
        </w:rPr>
        <w:t>:</w:t>
      </w:r>
      <w:r w:rsidR="009C32A0">
        <w:rPr>
          <w:rFonts w:hint="cs"/>
          <w:rtl/>
        </w:rPr>
        <w:t xml:space="preserve"> {والله الغني وأنتم الفقراء} (محمد</w:t>
      </w:r>
      <w:r>
        <w:rPr>
          <w:rFonts w:hint="cs"/>
          <w:rtl/>
        </w:rPr>
        <w:t>:</w:t>
      </w:r>
      <w:r w:rsidR="009C32A0">
        <w:rPr>
          <w:rFonts w:hint="cs"/>
          <w:rtl/>
        </w:rPr>
        <w:t xml:space="preserve"> 38) ولو كان مركباً من</w:t>
      </w:r>
      <w:r w:rsidR="009C32A0">
        <w:rPr>
          <w:rFonts w:hint="cs"/>
        </w:rPr>
        <w:t xml:space="preserve"> </w:t>
      </w:r>
      <w:r w:rsidR="009C32A0">
        <w:rPr>
          <w:rFonts w:hint="cs"/>
          <w:rtl/>
        </w:rPr>
        <w:t>الأجزاء والأبعاض لكان محتاجاً إليها وذلك يمنع من كونه غنياً على الإطلاق</w:t>
      </w:r>
      <w:r>
        <w:rPr>
          <w:rFonts w:hint="cs"/>
          <w:rtl/>
        </w:rPr>
        <w:t>،</w:t>
      </w:r>
      <w:r w:rsidR="009C32A0">
        <w:rPr>
          <w:rFonts w:hint="cs"/>
          <w:rtl/>
        </w:rPr>
        <w:t xml:space="preserve"> فثبت</w:t>
      </w:r>
      <w:r w:rsidR="009C32A0">
        <w:rPr>
          <w:rFonts w:hint="cs"/>
        </w:rPr>
        <w:t xml:space="preserve"> </w:t>
      </w:r>
      <w:r w:rsidR="009C32A0">
        <w:rPr>
          <w:rFonts w:hint="cs"/>
          <w:rtl/>
        </w:rPr>
        <w:t>بهذه الوجوه أن القول بإثبات الأعضاء والأجزاء لله محال</w:t>
      </w:r>
      <w:r>
        <w:rPr>
          <w:rFonts w:hint="cs"/>
          <w:rtl/>
        </w:rPr>
        <w:t>،</w:t>
      </w:r>
      <w:r w:rsidR="009C32A0">
        <w:rPr>
          <w:rFonts w:hint="cs"/>
          <w:rtl/>
        </w:rPr>
        <w:t xml:space="preserve"> </w:t>
      </w:r>
      <w:r>
        <w:rPr>
          <w:rFonts w:hint="cs"/>
          <w:rtl/>
        </w:rPr>
        <w:t>(</w:t>
      </w:r>
      <w:r w:rsidR="009C32A0">
        <w:rPr>
          <w:rFonts w:hint="cs"/>
          <w:rtl/>
        </w:rPr>
        <w:t>ت</w:t>
      </w:r>
      <w:r>
        <w:rPr>
          <w:rFonts w:hint="cs"/>
          <w:rtl/>
        </w:rPr>
        <w:t>)</w:t>
      </w:r>
      <w:r w:rsidR="009C32A0">
        <w:rPr>
          <w:rFonts w:hint="cs"/>
          <w:rtl/>
        </w:rPr>
        <w:t xml:space="preserve"> الأدلة النقلية المجملة على تنزيه الله تعالى عن الجوارح والأعضاء</w:t>
      </w:r>
      <w:r>
        <w:rPr>
          <w:rFonts w:hint="cs"/>
          <w:rtl/>
        </w:rPr>
        <w:t xml:space="preserve"> </w:t>
      </w:r>
      <w:r w:rsidR="009C32A0">
        <w:rPr>
          <w:rFonts w:hint="cs"/>
          <w:rtl/>
        </w:rPr>
        <w:t>والأجزاء كثيرة منها</w:t>
      </w:r>
      <w:r>
        <w:rPr>
          <w:rFonts w:hint="cs"/>
          <w:rtl/>
        </w:rPr>
        <w:t>:</w:t>
      </w:r>
      <w:r w:rsidR="009C32A0">
        <w:rPr>
          <w:rFonts w:hint="cs"/>
          <w:rtl/>
        </w:rPr>
        <w:t xml:space="preserve"> قوله تعالى </w:t>
      </w:r>
      <w:r>
        <w:rPr>
          <w:rFonts w:hint="cs"/>
          <w:rtl/>
        </w:rPr>
        <w:t>(</w:t>
      </w:r>
      <w:r w:rsidR="009C32A0">
        <w:rPr>
          <w:rFonts w:hint="cs"/>
          <w:rtl/>
        </w:rPr>
        <w:t>قل هو الله أحد الله الصمد لم يلد ولم يولد ولم يكن له كفواً أحد</w:t>
      </w:r>
      <w:r>
        <w:rPr>
          <w:rFonts w:hint="cs"/>
          <w:rtl/>
        </w:rPr>
        <w:t>)</w:t>
      </w:r>
      <w:r w:rsidR="009C32A0">
        <w:rPr>
          <w:rFonts w:hint="cs"/>
          <w:rtl/>
        </w:rPr>
        <w:t xml:space="preserve"> قوله تعالى </w:t>
      </w:r>
      <w:r>
        <w:rPr>
          <w:rFonts w:hint="cs"/>
          <w:rtl/>
        </w:rPr>
        <w:t>(</w:t>
      </w:r>
      <w:r w:rsidR="009C32A0">
        <w:rPr>
          <w:rFonts w:hint="cs"/>
          <w:rtl/>
        </w:rPr>
        <w:t>أحد) ولفظ الأحد مبالغة في الوحدة</w:t>
      </w:r>
      <w:r>
        <w:rPr>
          <w:rFonts w:hint="cs"/>
          <w:rtl/>
        </w:rPr>
        <w:t>،</w:t>
      </w:r>
      <w:r w:rsidR="009C32A0">
        <w:rPr>
          <w:rFonts w:hint="cs"/>
          <w:rtl/>
        </w:rPr>
        <w:t xml:space="preserve"> وذلك ينافي كونه مركباً من الأجزاء والأبعاض</w:t>
      </w:r>
      <w:r>
        <w:rPr>
          <w:rFonts w:hint="cs"/>
          <w:rtl/>
        </w:rPr>
        <w:t>،</w:t>
      </w:r>
      <w:r w:rsidR="009C32A0">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9C32A0">
        <w:rPr>
          <w:rFonts w:hint="cs"/>
          <w:rtl/>
        </w:rPr>
        <w:t>لم يكن أحدا</w:t>
      </w:r>
      <w:r>
        <w:rPr>
          <w:rFonts w:hint="cs"/>
          <w:rtl/>
        </w:rPr>
        <w:t>،</w:t>
      </w:r>
      <w:r w:rsidR="009C32A0">
        <w:rPr>
          <w:rFonts w:hint="cs"/>
          <w:rtl/>
        </w:rPr>
        <w:t xml:space="preserve"> لأن أجزاؤه توجب وقوع الكثرة في ذات الله تعالى والكثرة تنافي الأحدية في ذات الله</w:t>
      </w:r>
      <w:r>
        <w:rPr>
          <w:rFonts w:hint="cs"/>
          <w:rtl/>
        </w:rPr>
        <w:t>،</w:t>
      </w:r>
      <w:r w:rsidR="009C32A0">
        <w:rPr>
          <w:rFonts w:hint="cs"/>
          <w:rtl/>
        </w:rPr>
        <w:t xml:space="preserve"> وقوله تعالى </w:t>
      </w:r>
      <w:r>
        <w:rPr>
          <w:rFonts w:hint="cs"/>
          <w:rtl/>
        </w:rPr>
        <w:t>(</w:t>
      </w:r>
      <w:r w:rsidR="009C32A0">
        <w:rPr>
          <w:rFonts w:hint="cs"/>
          <w:rtl/>
        </w:rPr>
        <w:t>الله الصمد</w:t>
      </w:r>
      <w:r>
        <w:rPr>
          <w:rFonts w:hint="cs"/>
          <w:rtl/>
        </w:rPr>
        <w:t>)</w:t>
      </w:r>
      <w:r w:rsidR="009C32A0">
        <w:rPr>
          <w:rFonts w:hint="cs"/>
          <w:rtl/>
        </w:rPr>
        <w:t xml:space="preserve"> الصمدية كذلك تدل نفي الجارحة والأجزاء على الله بدليل</w:t>
      </w:r>
      <w:r>
        <w:rPr>
          <w:rFonts w:hint="cs"/>
          <w:rtl/>
        </w:rPr>
        <w:t>:</w:t>
      </w:r>
      <w:r w:rsidR="009C32A0">
        <w:rPr>
          <w:rFonts w:hint="cs"/>
          <w:rtl/>
        </w:rPr>
        <w:t xml:space="preserve"> أن كل جسم فهو مركب</w:t>
      </w:r>
      <w:r>
        <w:rPr>
          <w:rFonts w:hint="cs"/>
          <w:rtl/>
        </w:rPr>
        <w:t>،</w:t>
      </w:r>
      <w:r w:rsidR="009C32A0">
        <w:rPr>
          <w:rFonts w:hint="cs"/>
          <w:rtl/>
        </w:rPr>
        <w:t xml:space="preserve"> وكل مركب فهو محتاج إلى كل واحد من أجزائه وكل واحد من أجزائه غيره</w:t>
      </w:r>
      <w:r>
        <w:rPr>
          <w:rFonts w:hint="cs"/>
          <w:rtl/>
        </w:rPr>
        <w:t>،</w:t>
      </w:r>
      <w:r w:rsidR="009C32A0">
        <w:rPr>
          <w:rFonts w:hint="cs"/>
          <w:rtl/>
        </w:rPr>
        <w:t xml:space="preserve"> فكل مركب فهو محتاج إلى غيره والمحتاج إلى الغير لا يكون غنياً محتاجا </w:t>
      </w:r>
      <w:r>
        <w:rPr>
          <w:rFonts w:hint="cs"/>
          <w:rtl/>
        </w:rPr>
        <w:t>(</w:t>
      </w:r>
      <w:r w:rsidR="009C32A0">
        <w:rPr>
          <w:rFonts w:hint="cs"/>
          <w:rtl/>
        </w:rPr>
        <w:t>إليه</w:t>
      </w:r>
      <w:r>
        <w:rPr>
          <w:rFonts w:hint="cs"/>
          <w:rtl/>
        </w:rPr>
        <w:t>)</w:t>
      </w:r>
      <w:r w:rsidR="009C32A0">
        <w:rPr>
          <w:rFonts w:hint="cs"/>
          <w:rtl/>
        </w:rPr>
        <w:t xml:space="preserve"> فلم يكن صمداً مطلقاً </w:t>
      </w:r>
      <w:r w:rsidR="009C32A0">
        <w:rPr>
          <w:rFonts w:hint="cs"/>
          <w:rtl/>
          <w:lang w:bidi="ar-KW"/>
        </w:rPr>
        <w:t>وكذلك</w:t>
      </w:r>
      <w:r>
        <w:rPr>
          <w:rFonts w:hint="cs"/>
          <w:rtl/>
          <w:lang w:bidi="ar-KW"/>
        </w:rPr>
        <w:t xml:space="preserve"> </w:t>
      </w:r>
      <w:r w:rsidR="009C32A0">
        <w:rPr>
          <w:rFonts w:hint="cs"/>
          <w:rtl/>
        </w:rPr>
        <w:t xml:space="preserve">لو كان سبحانه مركباً من الجوارح والأعضاء لأحتاج في الإبصار إلى العين وفى الفعل إلي </w:t>
      </w:r>
      <w:r w:rsidR="009C32A0">
        <w:rPr>
          <w:rFonts w:hint="cs"/>
          <w:rtl/>
        </w:rPr>
        <w:lastRenderedPageBreak/>
        <w:t>اليد</w:t>
      </w:r>
      <w:r w:rsidR="009C32A0">
        <w:rPr>
          <w:rFonts w:hint="cs"/>
        </w:rPr>
        <w:t xml:space="preserve"> </w:t>
      </w:r>
      <w:r w:rsidR="009C32A0">
        <w:rPr>
          <w:rFonts w:hint="cs"/>
          <w:rtl/>
        </w:rPr>
        <w:t>وفى المشي إلي الرجل وذلك</w:t>
      </w:r>
      <w:r w:rsidR="009C32A0">
        <w:rPr>
          <w:rFonts w:hint="cs"/>
        </w:rPr>
        <w:t xml:space="preserve"> </w:t>
      </w:r>
      <w:r w:rsidR="009C32A0">
        <w:rPr>
          <w:rFonts w:hint="cs"/>
          <w:rtl/>
        </w:rPr>
        <w:t>ينافى كونه صمداً مطلقاً له كمال الغني ونفي الاحتياج</w:t>
      </w:r>
      <w:r>
        <w:rPr>
          <w:rFonts w:hint="cs"/>
          <w:rtl/>
        </w:rPr>
        <w:t>،</w:t>
      </w:r>
      <w:r w:rsidR="009C32A0">
        <w:rPr>
          <w:rFonts w:hint="cs"/>
          <w:rtl/>
        </w:rPr>
        <w:t xml:space="preserve"> وقوله تعالى </w:t>
      </w:r>
      <w:r>
        <w:rPr>
          <w:rFonts w:hint="cs"/>
          <w:rtl/>
        </w:rPr>
        <w:t>(</w:t>
      </w:r>
      <w:r w:rsidR="009C32A0">
        <w:rPr>
          <w:rFonts w:hint="cs"/>
          <w:rtl/>
        </w:rPr>
        <w:t>ولم يكن له كفوا أحد</w:t>
      </w:r>
      <w:r>
        <w:rPr>
          <w:rFonts w:hint="cs"/>
          <w:rtl/>
        </w:rPr>
        <w:t>)</w:t>
      </w:r>
      <w:r w:rsidR="009C32A0">
        <w:rPr>
          <w:rFonts w:hint="cs"/>
          <w:rtl/>
        </w:rPr>
        <w:t xml:space="preserve"> نفي للمثلية كقوله تعالى </w:t>
      </w:r>
      <w:r>
        <w:rPr>
          <w:rFonts w:hint="cs"/>
          <w:rtl/>
        </w:rPr>
        <w:t>(</w:t>
      </w:r>
      <w:r w:rsidR="009C32A0">
        <w:rPr>
          <w:rFonts w:hint="cs"/>
          <w:rtl/>
        </w:rPr>
        <w:t>ليس كمثله شيء</w:t>
      </w:r>
      <w:r>
        <w:rPr>
          <w:rFonts w:hint="cs"/>
          <w:rtl/>
        </w:rPr>
        <w:t>)</w:t>
      </w:r>
      <w:r w:rsidR="009C32A0">
        <w:rPr>
          <w:rFonts w:hint="cs"/>
          <w:rtl/>
        </w:rPr>
        <w:t xml:space="preserve"> ولو كان مركبا من أجزاء وجوارح</w:t>
      </w:r>
      <w:r>
        <w:rPr>
          <w:rFonts w:hint="cs"/>
          <w:rtl/>
        </w:rPr>
        <w:t xml:space="preserve"> </w:t>
      </w:r>
      <w:r w:rsidR="009C32A0">
        <w:rPr>
          <w:rFonts w:hint="cs"/>
          <w:rtl/>
        </w:rPr>
        <w:t>لكان مثلاً لسائر المخلوقات المركبة من أجزاء وجوارح</w:t>
      </w:r>
      <w:r>
        <w:rPr>
          <w:rFonts w:hint="cs"/>
          <w:rtl/>
        </w:rPr>
        <w:t>،</w:t>
      </w:r>
      <w:r w:rsidR="009C32A0">
        <w:rPr>
          <w:rFonts w:hint="cs"/>
          <w:rtl/>
        </w:rPr>
        <w:t xml:space="preserve"> وقوله تعالى </w:t>
      </w:r>
      <w:r>
        <w:rPr>
          <w:rFonts w:hint="cs"/>
          <w:rtl/>
        </w:rPr>
        <w:t>(</w:t>
      </w:r>
      <w:r w:rsidR="009C32A0">
        <w:rPr>
          <w:rFonts w:hint="cs"/>
          <w:rtl/>
        </w:rPr>
        <w:t>والله الغنى وأنتم الفقراء</w:t>
      </w:r>
      <w:r>
        <w:rPr>
          <w:rFonts w:hint="cs"/>
          <w:rtl/>
        </w:rPr>
        <w:t>)</w:t>
      </w:r>
      <w:r w:rsidR="009C32A0">
        <w:rPr>
          <w:rFonts w:hint="cs"/>
          <w:rtl/>
        </w:rPr>
        <w:t xml:space="preserve"> دلت هذه الآية على كونه تعالى غنى ولو كان مركبا من أجزاء وجوارح</w:t>
      </w:r>
      <w:r>
        <w:rPr>
          <w:rFonts w:hint="cs"/>
          <w:rtl/>
        </w:rPr>
        <w:t xml:space="preserve"> </w:t>
      </w:r>
      <w:r w:rsidR="009C32A0">
        <w:rPr>
          <w:rFonts w:hint="cs"/>
          <w:rtl/>
        </w:rPr>
        <w:t>لما كان غنياً لأن كل جسم مركب وكل مركب محتاج إلى كل واحد من أجزائه</w:t>
      </w:r>
      <w:r>
        <w:rPr>
          <w:rFonts w:hint="cs"/>
          <w:rtl/>
        </w:rPr>
        <w:t>،</w:t>
      </w:r>
      <w:r w:rsidR="009C32A0">
        <w:rPr>
          <w:rFonts w:hint="cs"/>
          <w:rtl/>
        </w:rPr>
        <w:t xml:space="preserve"> وقوله تعالى </w:t>
      </w:r>
      <w:r>
        <w:rPr>
          <w:rFonts w:hint="cs"/>
          <w:rtl/>
        </w:rPr>
        <w:t>(</w:t>
      </w:r>
      <w:r w:rsidR="009C32A0">
        <w:rPr>
          <w:rFonts w:hint="cs"/>
          <w:rtl/>
        </w:rPr>
        <w:t>لا إله إلا هو الحي القيوم</w:t>
      </w:r>
      <w:r>
        <w:rPr>
          <w:rFonts w:hint="cs"/>
          <w:rtl/>
        </w:rPr>
        <w:t>)</w:t>
      </w:r>
      <w:r w:rsidR="009C32A0">
        <w:rPr>
          <w:rFonts w:hint="cs"/>
          <w:rtl/>
        </w:rPr>
        <w:t xml:space="preserve"> والقيوم مبالغة في كونه غنياً عن كل ما سواه</w:t>
      </w:r>
      <w:r>
        <w:rPr>
          <w:rFonts w:hint="cs"/>
          <w:rtl/>
        </w:rPr>
        <w:t>،</w:t>
      </w:r>
      <w:r w:rsidR="009C32A0">
        <w:rPr>
          <w:rFonts w:hint="cs"/>
          <w:rtl/>
        </w:rPr>
        <w:t xml:space="preserve"> وكونه مقوماً لغيره</w:t>
      </w:r>
      <w:r>
        <w:rPr>
          <w:rFonts w:hint="cs"/>
          <w:rtl/>
        </w:rPr>
        <w:t>:</w:t>
      </w:r>
      <w:r w:rsidR="009C32A0">
        <w:rPr>
          <w:rFonts w:hint="cs"/>
          <w:rtl/>
        </w:rPr>
        <w:t xml:space="preserve"> عبارة عن احتياج كل ما سواه إليه</w:t>
      </w:r>
      <w:r>
        <w:rPr>
          <w:rFonts w:hint="cs"/>
          <w:rtl/>
        </w:rPr>
        <w:t>،</w:t>
      </w:r>
      <w:r w:rsidR="009C32A0">
        <w:rPr>
          <w:rFonts w:hint="cs"/>
          <w:rtl/>
        </w:rPr>
        <w:t xml:space="preserve"> فلو كان مركبا من جوارح وأجزاء</w:t>
      </w:r>
      <w:r>
        <w:rPr>
          <w:rFonts w:hint="cs"/>
          <w:rtl/>
        </w:rPr>
        <w:t xml:space="preserve"> </w:t>
      </w:r>
      <w:r w:rsidR="009C32A0">
        <w:rPr>
          <w:rFonts w:hint="cs"/>
          <w:rtl/>
        </w:rPr>
        <w:t>لكان هو مفتقراً إلى غيره وهو جزؤه الذي منه يتألف</w:t>
      </w:r>
      <w:r>
        <w:rPr>
          <w:rFonts w:hint="cs"/>
          <w:rtl/>
        </w:rPr>
        <w:t xml:space="preserve">، </w:t>
      </w:r>
      <w:r w:rsidR="009C32A0">
        <w:rPr>
          <w:rFonts w:hint="cs"/>
          <w:rtl/>
        </w:rPr>
        <w:t>ولكان غيره غنياً عنه وهو جزئه وحينئذ لا يكون قيوماً</w:t>
      </w:r>
      <w:r>
        <w:rPr>
          <w:rFonts w:hint="cs"/>
          <w:rtl/>
        </w:rPr>
        <w:t>،</w:t>
      </w:r>
      <w:r w:rsidR="009C32A0">
        <w:rPr>
          <w:rFonts w:hint="cs"/>
          <w:rtl/>
        </w:rPr>
        <w:t xml:space="preserve"> وقوله تعالى </w:t>
      </w:r>
      <w:r>
        <w:rPr>
          <w:rFonts w:hint="cs"/>
          <w:rtl/>
        </w:rPr>
        <w:t>(</w:t>
      </w:r>
      <w:r w:rsidR="009C32A0">
        <w:rPr>
          <w:rFonts w:hint="cs"/>
          <w:rtl/>
        </w:rPr>
        <w:t>ليس كمثله شيء</w:t>
      </w:r>
      <w:r>
        <w:rPr>
          <w:rFonts w:hint="cs"/>
          <w:rtl/>
        </w:rPr>
        <w:t>)</w:t>
      </w:r>
      <w:r w:rsidR="009C32A0">
        <w:rPr>
          <w:rFonts w:hint="cs"/>
          <w:rtl/>
        </w:rPr>
        <w:t xml:space="preserve"> ولو كان مركبا من أجزاء وجوارح</w:t>
      </w:r>
      <w:r>
        <w:rPr>
          <w:rFonts w:hint="cs"/>
          <w:rtl/>
        </w:rPr>
        <w:t xml:space="preserve"> </w:t>
      </w:r>
      <w:r w:rsidR="009C32A0">
        <w:rPr>
          <w:rFonts w:hint="cs"/>
          <w:rtl/>
        </w:rPr>
        <w:t>لكان مثلاً لسائر المخلوقات المركبة من أجزاء وجوارح</w:t>
      </w:r>
      <w:r>
        <w:rPr>
          <w:rFonts w:hint="cs"/>
          <w:rtl/>
        </w:rPr>
        <w:t>،</w:t>
      </w:r>
      <w:r w:rsidR="009C32A0">
        <w:rPr>
          <w:rFonts w:hint="cs"/>
          <w:rtl/>
        </w:rPr>
        <w:t xml:space="preserve"> </w:t>
      </w:r>
      <w:r>
        <w:rPr>
          <w:rFonts w:hint="cs"/>
          <w:rtl/>
        </w:rPr>
        <w:t>(</w:t>
      </w:r>
      <w:r w:rsidR="009C32A0">
        <w:rPr>
          <w:rFonts w:hint="cs"/>
          <w:rtl/>
        </w:rPr>
        <w:t>ث</w:t>
      </w:r>
      <w:r>
        <w:rPr>
          <w:rFonts w:hint="cs"/>
          <w:rtl/>
        </w:rPr>
        <w:t>)</w:t>
      </w:r>
      <w:r w:rsidR="009C32A0">
        <w:rPr>
          <w:rFonts w:hint="cs"/>
          <w:rtl/>
        </w:rPr>
        <w:t xml:space="preserve"> ومن أقوال العلماء في تنزيه الله تعالى عن الجوارح والأعضاء</w:t>
      </w:r>
      <w:r>
        <w:rPr>
          <w:rFonts w:hint="cs"/>
          <w:rtl/>
        </w:rPr>
        <w:t>:</w:t>
      </w:r>
      <w:r w:rsidR="009C32A0">
        <w:rPr>
          <w:rFonts w:hint="cs"/>
          <w:rtl/>
        </w:rPr>
        <w:t xml:space="preserve"> قال النووي " قال المازري وقد</w:t>
      </w:r>
      <w:r w:rsidR="009C32A0">
        <w:rPr>
          <w:rFonts w:hint="cs"/>
        </w:rPr>
        <w:t xml:space="preserve"> </w:t>
      </w:r>
      <w:r w:rsidR="009C32A0">
        <w:rPr>
          <w:rFonts w:hint="cs"/>
          <w:rtl/>
        </w:rPr>
        <w:t>غلط ابن قتيبة في هذا الحديث فأجراه على ظاهره</w:t>
      </w:r>
      <w:r w:rsidR="009C32A0">
        <w:rPr>
          <w:rFonts w:hint="cs"/>
        </w:rPr>
        <w:t xml:space="preserve"> </w:t>
      </w:r>
      <w:r w:rsidR="009C32A0">
        <w:rPr>
          <w:rFonts w:hint="cs"/>
          <w:rtl/>
        </w:rPr>
        <w:t>وقال لله تعالى صورة لا كالصور وهذا الذي قاله ظاهر الفساد لأن الصورة تفيد التركيب</w:t>
      </w:r>
      <w:r w:rsidR="009C32A0">
        <w:rPr>
          <w:rFonts w:hint="cs"/>
        </w:rPr>
        <w:t xml:space="preserve"> </w:t>
      </w:r>
      <w:r w:rsidR="009C32A0">
        <w:rPr>
          <w:rFonts w:hint="cs"/>
          <w:rtl/>
        </w:rPr>
        <w:t>وكل مركب محدث والله تعالى ليس بمحدث فليس هو مركبا فليس مصورا .. قال له ايضا إن أردت بقولك صورة لا كالصور أنه ليس بمؤلف ولا مركب</w:t>
      </w:r>
      <w:r w:rsidR="009C32A0">
        <w:rPr>
          <w:rFonts w:hint="cs"/>
        </w:rPr>
        <w:t xml:space="preserve"> </w:t>
      </w:r>
      <w:r w:rsidR="009C32A0">
        <w:rPr>
          <w:rFonts w:hint="cs"/>
          <w:rtl/>
        </w:rPr>
        <w:t>فليس بصورة حقيقة وليست اللفظة على ظاهرها" أهـ</w:t>
      </w:r>
      <w:r>
        <w:rPr>
          <w:rFonts w:hint="cs"/>
          <w:rtl/>
        </w:rPr>
        <w:t xml:space="preserve"> [</w:t>
      </w:r>
      <w:r w:rsidR="009C32A0">
        <w:rPr>
          <w:rFonts w:hint="cs"/>
          <w:rtl/>
        </w:rPr>
        <w:t>شرح النووي على صحيح مسلم ج</w:t>
      </w:r>
      <w:r>
        <w:rPr>
          <w:rFonts w:hint="cs"/>
          <w:rtl/>
        </w:rPr>
        <w:t>:</w:t>
      </w:r>
      <w:r w:rsidR="009C32A0">
        <w:rPr>
          <w:rFonts w:hint="cs"/>
          <w:rtl/>
        </w:rPr>
        <w:t xml:space="preserve"> 16 ص</w:t>
      </w:r>
      <w:r>
        <w:rPr>
          <w:rFonts w:hint="cs"/>
          <w:rtl/>
        </w:rPr>
        <w:t>:</w:t>
      </w:r>
      <w:r w:rsidR="009C32A0">
        <w:rPr>
          <w:rFonts w:hint="cs"/>
          <w:rtl/>
        </w:rPr>
        <w:t xml:space="preserve"> 166</w:t>
      </w:r>
      <w:r>
        <w:rPr>
          <w:rFonts w:hint="cs"/>
          <w:rtl/>
        </w:rPr>
        <w:t>]،</w:t>
      </w:r>
      <w:r w:rsidR="009C32A0">
        <w:rPr>
          <w:rFonts w:hint="cs"/>
          <w:rtl/>
        </w:rPr>
        <w:t xml:space="preserve"> وقال ابن فورك</w:t>
      </w:r>
      <w:r>
        <w:rPr>
          <w:rFonts w:hint="cs"/>
          <w:rtl/>
        </w:rPr>
        <w:t>:</w:t>
      </w:r>
      <w:r w:rsidR="009C32A0">
        <w:rPr>
          <w:rFonts w:hint="cs"/>
          <w:rtl/>
        </w:rPr>
        <w:t xml:space="preserve"> " </w:t>
      </w:r>
      <w:r>
        <w:rPr>
          <w:rFonts w:hint="cs"/>
          <w:rtl/>
        </w:rPr>
        <w:t>(</w:t>
      </w:r>
      <w:r w:rsidR="009C32A0">
        <w:rPr>
          <w:rFonts w:hint="cs"/>
          <w:rtl/>
        </w:rPr>
        <w:t>إن الله كان سميعا بصيرا</w:t>
      </w:r>
      <w:r>
        <w:rPr>
          <w:rFonts w:hint="cs"/>
          <w:rtl/>
        </w:rPr>
        <w:t>)</w:t>
      </w:r>
      <w:r w:rsidR="009C32A0">
        <w:rPr>
          <w:rFonts w:hint="cs"/>
          <w:rtl/>
        </w:rPr>
        <w:t xml:space="preserve"> إن الفائدة فيه إنكاره قول من ذهب إليه من البدع إلى إثبات جارحة</w:t>
      </w:r>
      <w:r>
        <w:rPr>
          <w:rFonts w:hint="cs"/>
          <w:rtl/>
        </w:rPr>
        <w:t>،</w:t>
      </w:r>
      <w:r w:rsidR="009C32A0">
        <w:rPr>
          <w:rFonts w:hint="cs"/>
          <w:rtl/>
        </w:rPr>
        <w:t xml:space="preserve"> ولكن على أن معنى العين ما وصف به جل وعز أنه سميع بصير ..</w:t>
      </w:r>
      <w:r>
        <w:rPr>
          <w:rFonts w:hint="cs"/>
          <w:rtl/>
        </w:rPr>
        <w:t xml:space="preserve">، </w:t>
      </w:r>
      <w:r w:rsidR="009C32A0">
        <w:rPr>
          <w:rFonts w:hint="cs"/>
          <w:rtl/>
        </w:rPr>
        <w:t>ولم يرد صلى الله عليه وسلم إثبات جارحة لاستحالة وصفه بالجوارح</w:t>
      </w:r>
      <w:r>
        <w:rPr>
          <w:rFonts w:hint="cs"/>
          <w:rtl/>
        </w:rPr>
        <w:t>)</w:t>
      </w:r>
      <w:r w:rsidR="009C32A0">
        <w:rPr>
          <w:rFonts w:hint="cs"/>
          <w:rtl/>
        </w:rPr>
        <w:t xml:space="preserve"> ابن فورك ص431</w:t>
      </w:r>
      <w:r>
        <w:rPr>
          <w:rFonts w:hint="cs"/>
          <w:rtl/>
        </w:rPr>
        <w:t>،</w:t>
      </w:r>
      <w:r w:rsidR="009C32A0">
        <w:rPr>
          <w:rFonts w:hint="cs"/>
          <w:rtl/>
        </w:rPr>
        <w:t xml:space="preserve"> وقال القسطلاني</w:t>
      </w:r>
      <w:r>
        <w:rPr>
          <w:rFonts w:hint="cs"/>
          <w:rtl/>
        </w:rPr>
        <w:t>:</w:t>
      </w:r>
      <w:r w:rsidR="009C32A0">
        <w:rPr>
          <w:rFonts w:hint="cs"/>
          <w:rtl/>
        </w:rPr>
        <w:t xml:space="preserve"> "</w:t>
      </w:r>
      <w:r>
        <w:rPr>
          <w:rFonts w:hint="cs"/>
          <w:rtl/>
        </w:rPr>
        <w:t xml:space="preserve"> </w:t>
      </w:r>
      <w:r w:rsidR="009C32A0">
        <w:rPr>
          <w:rFonts w:hint="cs"/>
          <w:rtl/>
        </w:rPr>
        <w:t xml:space="preserve">وتؤول الاصبع هنا بالقدرة إذ إرادة الجارحة مستحيلة " </w:t>
      </w:r>
      <w:r>
        <w:rPr>
          <w:rFonts w:hint="cs"/>
          <w:rtl/>
        </w:rPr>
        <w:t>[</w:t>
      </w:r>
      <w:r w:rsidR="009C32A0">
        <w:rPr>
          <w:rFonts w:hint="cs"/>
          <w:rtl/>
        </w:rPr>
        <w:t>إرشاد الساري</w:t>
      </w:r>
      <w:r>
        <w:rPr>
          <w:rFonts w:hint="cs"/>
          <w:rtl/>
        </w:rPr>
        <w:t>:</w:t>
      </w:r>
      <w:r w:rsidR="009C32A0">
        <w:rPr>
          <w:rFonts w:hint="cs"/>
          <w:rtl/>
        </w:rPr>
        <w:t>ج15ص381] أهــ</w:t>
      </w:r>
      <w:r>
        <w:rPr>
          <w:rFonts w:hint="cs"/>
          <w:rtl/>
        </w:rPr>
        <w:t>،</w:t>
      </w:r>
      <w:r w:rsidR="009C32A0">
        <w:rPr>
          <w:rFonts w:hint="cs"/>
          <w:rtl/>
        </w:rPr>
        <w:t xml:space="preserve"> وجاء في البحر المحيط</w:t>
      </w:r>
      <w:r>
        <w:rPr>
          <w:rFonts w:hint="cs"/>
          <w:rtl/>
        </w:rPr>
        <w:t>:</w:t>
      </w:r>
      <w:r w:rsidR="009C32A0">
        <w:rPr>
          <w:rFonts w:hint="cs"/>
          <w:rtl/>
        </w:rPr>
        <w:t xml:space="preserve"> " {بل يداه مبسوطتان ينفق كيف يشاء} معتقد أهل الحق أن الله تعالى ليس بجسم ولا جارحة له</w:t>
      </w:r>
      <w:r>
        <w:rPr>
          <w:rFonts w:hint="cs"/>
          <w:rtl/>
        </w:rPr>
        <w:t>،</w:t>
      </w:r>
      <w:r w:rsidR="009C32A0">
        <w:rPr>
          <w:rFonts w:hint="cs"/>
          <w:rtl/>
        </w:rPr>
        <w:t xml:space="preserve"> ولا يشبه بشيء من خلقه</w:t>
      </w:r>
      <w:r>
        <w:rPr>
          <w:rFonts w:hint="cs"/>
          <w:rtl/>
        </w:rPr>
        <w:t>،</w:t>
      </w:r>
      <w:r w:rsidR="009C32A0">
        <w:rPr>
          <w:rFonts w:hint="cs"/>
          <w:rtl/>
        </w:rPr>
        <w:t xml:space="preserve"> ولا يكيف</w:t>
      </w:r>
      <w:r>
        <w:rPr>
          <w:rFonts w:hint="cs"/>
          <w:rtl/>
        </w:rPr>
        <w:t>،</w:t>
      </w:r>
      <w:r w:rsidR="009C32A0">
        <w:rPr>
          <w:rFonts w:hint="cs"/>
          <w:rtl/>
        </w:rPr>
        <w:t xml:space="preserve"> ولا يتحيز</w:t>
      </w:r>
      <w:r>
        <w:rPr>
          <w:rFonts w:hint="cs"/>
          <w:rtl/>
        </w:rPr>
        <w:t>،</w:t>
      </w:r>
      <w:r w:rsidR="009C32A0">
        <w:rPr>
          <w:rFonts w:hint="cs"/>
          <w:rtl/>
        </w:rPr>
        <w:t xml:space="preserve"> ولا تحله الحوادث</w:t>
      </w:r>
      <w:r>
        <w:rPr>
          <w:rFonts w:hint="cs"/>
          <w:rtl/>
        </w:rPr>
        <w:t>،</w:t>
      </w:r>
      <w:r w:rsidR="009C32A0">
        <w:rPr>
          <w:rFonts w:hint="cs"/>
          <w:rtl/>
        </w:rPr>
        <w:t xml:space="preserve"> وكل هذا مقرر في علم أصول الدين</w:t>
      </w:r>
      <w:r>
        <w:rPr>
          <w:rFonts w:hint="cs"/>
          <w:rtl/>
        </w:rPr>
        <w:t xml:space="preserve">، </w:t>
      </w:r>
      <w:r w:rsidR="009C32A0">
        <w:rPr>
          <w:rFonts w:hint="cs"/>
          <w:rtl/>
        </w:rPr>
        <w:t>والجمهور على أن هذا استعارة عن جوده وإنعامه السابغ</w:t>
      </w:r>
      <w:r>
        <w:rPr>
          <w:rFonts w:hint="cs"/>
          <w:rtl/>
        </w:rPr>
        <w:t>،</w:t>
      </w:r>
      <w:r w:rsidR="009C32A0">
        <w:rPr>
          <w:rFonts w:hint="cs"/>
          <w:rtl/>
        </w:rPr>
        <w:t xml:space="preserve"> وأضاف ذلك إلى اليدين جارياً على طريقة العرب في قولهم</w:t>
      </w:r>
      <w:r>
        <w:rPr>
          <w:rFonts w:hint="cs"/>
          <w:rtl/>
        </w:rPr>
        <w:t>:</w:t>
      </w:r>
      <w:r w:rsidR="009C32A0">
        <w:rPr>
          <w:rFonts w:hint="cs"/>
          <w:rtl/>
        </w:rPr>
        <w:t xml:space="preserve"> فلان ينفق بكلتا يديه</w:t>
      </w:r>
      <w:r>
        <w:rPr>
          <w:rFonts w:hint="cs"/>
          <w:rtl/>
        </w:rPr>
        <w:t xml:space="preserve">، </w:t>
      </w:r>
      <w:r w:rsidR="009C32A0">
        <w:rPr>
          <w:rFonts w:hint="cs"/>
          <w:rtl/>
        </w:rPr>
        <w:t>ومنه قوله</w:t>
      </w:r>
      <w:r>
        <w:rPr>
          <w:rFonts w:hint="cs"/>
          <w:rtl/>
        </w:rPr>
        <w:t>:</w:t>
      </w:r>
      <w:r w:rsidR="009C32A0">
        <w:rPr>
          <w:rFonts w:hint="cs"/>
          <w:rtl/>
        </w:rPr>
        <w:t xml:space="preserve"> </w:t>
      </w:r>
      <w:r>
        <w:rPr>
          <w:rFonts w:hint="cs"/>
          <w:rtl/>
        </w:rPr>
        <w:t>(</w:t>
      </w:r>
      <w:r w:rsidR="009C32A0">
        <w:rPr>
          <w:rFonts w:hint="cs"/>
          <w:rtl/>
        </w:rPr>
        <w:t>يداك يدا مجد فكف مفيدة</w:t>
      </w:r>
      <w:r w:rsidR="009C32A0">
        <w:rPr>
          <w:rFonts w:hint="cs"/>
          <w:rtl/>
        </w:rPr>
        <w:tab/>
      </w:r>
      <w:r>
        <w:rPr>
          <w:rFonts w:hint="cs"/>
          <w:rtl/>
        </w:rPr>
        <w:t xml:space="preserve"> </w:t>
      </w:r>
      <w:r w:rsidR="009C32A0">
        <w:rPr>
          <w:rFonts w:hint="cs"/>
          <w:rtl/>
        </w:rPr>
        <w:t>وكفّ إذا ما ضنّ بالمال تنفق</w:t>
      </w:r>
      <w:r>
        <w:rPr>
          <w:rFonts w:hint="cs"/>
          <w:rtl/>
        </w:rPr>
        <w:t>)،</w:t>
      </w:r>
      <w:r w:rsidR="009C32A0">
        <w:rPr>
          <w:rFonts w:hint="cs"/>
          <w:rtl/>
        </w:rPr>
        <w:t xml:space="preserve"> ويؤيد أنّ اليدين هنا بمعنى الإنعام قرينة الإنفاق</w:t>
      </w:r>
      <w:r>
        <w:rPr>
          <w:rFonts w:hint="cs"/>
          <w:rtl/>
        </w:rPr>
        <w:t>،</w:t>
      </w:r>
      <w:r w:rsidR="009C32A0">
        <w:rPr>
          <w:rFonts w:hint="cs"/>
          <w:rtl/>
        </w:rPr>
        <w:t xml:space="preserve"> " [</w:t>
      </w:r>
      <w:r w:rsidR="009C32A0">
        <w:rPr>
          <w:rFonts w:hint="cs"/>
          <w:rtl/>
          <w:lang w:bidi="ar-KW"/>
        </w:rPr>
        <w:t xml:space="preserve">تفسير البحر المحيط قوله تعالى </w:t>
      </w:r>
      <w:r>
        <w:rPr>
          <w:rFonts w:hint="cs"/>
          <w:rtl/>
          <w:lang w:bidi="ar-KW"/>
        </w:rPr>
        <w:t>(</w:t>
      </w:r>
      <w:r w:rsidR="009C32A0">
        <w:rPr>
          <w:rFonts w:hint="cs"/>
          <w:rtl/>
          <w:lang w:bidi="ar-KW"/>
        </w:rPr>
        <w:t>بل يداه مبسوطتان ينفق كيف يشاء</w:t>
      </w:r>
      <w:r>
        <w:rPr>
          <w:rFonts w:hint="cs"/>
          <w:rtl/>
          <w:lang w:bidi="ar-KW"/>
        </w:rPr>
        <w:t>)</w:t>
      </w:r>
      <w:r w:rsidR="009C32A0">
        <w:rPr>
          <w:rFonts w:hint="cs"/>
          <w:rtl/>
        </w:rPr>
        <w:t>] أهـــ</w:t>
      </w:r>
      <w:r>
        <w:rPr>
          <w:rFonts w:hint="cs"/>
          <w:rtl/>
        </w:rPr>
        <w:t>،</w:t>
      </w:r>
      <w:r w:rsidR="009C32A0">
        <w:rPr>
          <w:rFonts w:hint="cs"/>
          <w:rtl/>
        </w:rPr>
        <w:t xml:space="preserve"> وقال الرازي في التفسير</w:t>
      </w:r>
      <w:r>
        <w:rPr>
          <w:rFonts w:hint="cs"/>
          <w:rtl/>
        </w:rPr>
        <w:t>:</w:t>
      </w:r>
      <w:r w:rsidR="009C32A0">
        <w:rPr>
          <w:rFonts w:hint="cs"/>
          <w:rtl/>
        </w:rPr>
        <w:t xml:space="preserve"> </w:t>
      </w:r>
      <w:r>
        <w:rPr>
          <w:rFonts w:hint="cs"/>
          <w:rtl/>
        </w:rPr>
        <w:t>(</w:t>
      </w:r>
      <w:r w:rsidR="009C32A0">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w:t>
      </w:r>
      <w:r w:rsidR="009C32A0">
        <w:rPr>
          <w:rFonts w:hint="cs"/>
          <w:rtl/>
        </w:rPr>
        <w:lastRenderedPageBreak/>
        <w:t>المجاز ..</w:t>
      </w:r>
      <w:r>
        <w:rPr>
          <w:rFonts w:hint="cs"/>
          <w:rtl/>
        </w:rPr>
        <w:t xml:space="preserve">، </w:t>
      </w:r>
      <w:r w:rsidR="009C32A0">
        <w:rPr>
          <w:rFonts w:hint="cs"/>
          <w:rtl/>
        </w:rPr>
        <w:t xml:space="preserve">وإذا ثبت تعذر حمل هذه الألفاظ على حقائقها وجب حملها على مجازاتها صونا لهذه النصوص عن التعطيل </w:t>
      </w:r>
      <w:r>
        <w:rPr>
          <w:rFonts w:hint="cs"/>
          <w:rtl/>
        </w:rPr>
        <w:t>(</w:t>
      </w:r>
      <w:r w:rsidR="009C32A0">
        <w:rPr>
          <w:rFonts w:hint="cs"/>
          <w:rtl/>
        </w:rPr>
        <w:t>أي تحت تسخيره وتدبيره</w:t>
      </w:r>
      <w:r>
        <w:rPr>
          <w:rFonts w:hint="cs"/>
          <w:rtl/>
        </w:rPr>
        <w:t>)</w:t>
      </w:r>
      <w:r w:rsidR="009C32A0">
        <w:rPr>
          <w:rFonts w:hint="cs"/>
          <w:rtl/>
        </w:rPr>
        <w:t xml:space="preserve"> وحاصل القول في القبضة واليمين هو القدرة الكاملة الوافية بحفظ هذه الأجسام العظيمة " [التفسير الكبير ج27ص16] أهـــ</w:t>
      </w:r>
      <w:r>
        <w:rPr>
          <w:rFonts w:hint="cs"/>
          <w:rtl/>
        </w:rPr>
        <w:t>،</w:t>
      </w:r>
      <w:r w:rsidR="009C32A0">
        <w:rPr>
          <w:rFonts w:hint="cs"/>
          <w:rtl/>
        </w:rPr>
        <w:t xml:space="preserve"> وقال مرعي بن يوسف المقدسي الحنبلي في كتابه أقاويل الثقات</w:t>
      </w:r>
      <w:r>
        <w:rPr>
          <w:rFonts w:hint="cs"/>
          <w:rtl/>
        </w:rPr>
        <w:t xml:space="preserve">: </w:t>
      </w:r>
      <w:r w:rsidR="009C32A0">
        <w:rPr>
          <w:rFonts w:hint="cs"/>
          <w:rtl/>
        </w:rPr>
        <w:t>"</w:t>
      </w:r>
      <w:r>
        <w:rPr>
          <w:rFonts w:hint="cs"/>
          <w:rtl/>
        </w:rPr>
        <w:t xml:space="preserve"> </w:t>
      </w:r>
      <w:r w:rsidR="009C32A0">
        <w:rPr>
          <w:rFonts w:hint="cs"/>
          <w:rtl/>
        </w:rPr>
        <w:t>باب</w:t>
      </w:r>
      <w:r>
        <w:rPr>
          <w:rFonts w:hint="cs"/>
          <w:rtl/>
        </w:rPr>
        <w:t xml:space="preserve"> </w:t>
      </w:r>
      <w:r w:rsidR="009C32A0">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9C32A0">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9C32A0">
        <w:rPr>
          <w:rFonts w:hint="cs"/>
          <w:rtl/>
        </w:rPr>
        <w:t>ليس كمثله شيء</w:t>
      </w:r>
      <w:r>
        <w:rPr>
          <w:rFonts w:hint="cs"/>
          <w:rtl/>
        </w:rPr>
        <w:t>)</w:t>
      </w:r>
      <w:r w:rsidR="009C32A0">
        <w:rPr>
          <w:rFonts w:hint="cs"/>
          <w:rtl/>
        </w:rPr>
        <w:t xml:space="preserve"> إلى أن قال</w:t>
      </w:r>
      <w:r>
        <w:rPr>
          <w:rFonts w:hint="cs"/>
          <w:rtl/>
        </w:rPr>
        <w:t>:</w:t>
      </w:r>
      <w:r w:rsidR="009C32A0">
        <w:rPr>
          <w:rFonts w:hint="cs"/>
          <w:rtl/>
        </w:rPr>
        <w:t xml:space="preserve"> وغلت طائفة أخرى في الإثبات فشبهته فأثبتت له الصورة والجوارح حتى إن الهشامية من غلاة الرافضة زعموا كما قال القرطبي أن معبودهم سبعة أشبار بشبر نفسه وقالت الكرامية إنه</w:t>
      </w:r>
      <w:r>
        <w:rPr>
          <w:rFonts w:hint="cs"/>
          <w:rtl/>
        </w:rPr>
        <w:t xml:space="preserve"> </w:t>
      </w:r>
      <w:r w:rsidR="009C32A0">
        <w:rPr>
          <w:rFonts w:hint="cs"/>
          <w:rtl/>
        </w:rPr>
        <w:t>جسم</w:t>
      </w:r>
      <w:r>
        <w:rPr>
          <w:rFonts w:hint="cs"/>
          <w:rtl/>
        </w:rPr>
        <w:t xml:space="preserve"> </w:t>
      </w:r>
      <w:r w:rsidR="009C32A0">
        <w:rPr>
          <w:rFonts w:hint="cs"/>
          <w:rtl/>
        </w:rPr>
        <w:t>قال</w:t>
      </w:r>
      <w:r>
        <w:rPr>
          <w:rFonts w:hint="cs"/>
          <w:rtl/>
        </w:rPr>
        <w:t>:</w:t>
      </w:r>
      <w:r w:rsidR="009C32A0">
        <w:rPr>
          <w:rFonts w:hint="cs"/>
          <w:rtl/>
        </w:rPr>
        <w:t xml:space="preserve"> وقد بالغ بعض أهل الإغواء فقال إنه على صورة الإنسان ثم اختلفوا فمنهم من قال إنه على صورة شيخ أشمط الرأس واللحية ومنهم من قال إنه على صورة شاب أمرد جعد قطط ومنهم من قال إنه مركب من لحم ودم تعالى الله عن أقوالهم علو كبيرا وعن مثله نهى الله تعالى بقوله تعالى</w:t>
      </w:r>
      <w:r>
        <w:rPr>
          <w:rFonts w:hint="cs"/>
          <w:rtl/>
        </w:rPr>
        <w:t>:</w:t>
      </w:r>
      <w:r w:rsidR="009C32A0">
        <w:rPr>
          <w:rFonts w:hint="cs"/>
          <w:rtl/>
        </w:rPr>
        <w:t xml:space="preserve"> (يا أهل الكتاب لا تغلو في دينكم ولا تقولوا على الله إلا الحق</w:t>
      </w:r>
      <w:r>
        <w:rPr>
          <w:rFonts w:hint="cs"/>
          <w:rtl/>
        </w:rPr>
        <w:t>)</w:t>
      </w:r>
      <w:r w:rsidR="009C32A0">
        <w:rPr>
          <w:rFonts w:hint="cs"/>
          <w:rtl/>
        </w:rPr>
        <w:t xml:space="preserve"> [النساء /171</w:t>
      </w:r>
      <w:r>
        <w:rPr>
          <w:rFonts w:hint="cs"/>
          <w:rtl/>
        </w:rPr>
        <w:t>]</w:t>
      </w:r>
      <w:r w:rsidR="009C32A0">
        <w:rPr>
          <w:rFonts w:hint="cs"/>
          <w:rtl/>
        </w:rPr>
        <w:t xml:space="preserve"> " [أقاويل الثقات ج</w:t>
      </w:r>
      <w:r>
        <w:rPr>
          <w:rFonts w:hint="cs"/>
          <w:rtl/>
        </w:rPr>
        <w:t>:</w:t>
      </w:r>
      <w:r w:rsidR="009C32A0">
        <w:rPr>
          <w:rFonts w:hint="cs"/>
          <w:rtl/>
        </w:rPr>
        <w:t xml:space="preserve"> 1</w:t>
      </w:r>
      <w:r>
        <w:rPr>
          <w:rFonts w:hint="cs"/>
          <w:rtl/>
        </w:rPr>
        <w:t xml:space="preserve"> </w:t>
      </w:r>
      <w:r w:rsidR="009C32A0">
        <w:rPr>
          <w:rFonts w:hint="cs"/>
          <w:rtl/>
        </w:rPr>
        <w:t>ص</w:t>
      </w:r>
      <w:r>
        <w:rPr>
          <w:rFonts w:hint="cs"/>
          <w:rtl/>
        </w:rPr>
        <w:t>:</w:t>
      </w:r>
      <w:r w:rsidR="009C32A0">
        <w:rPr>
          <w:rFonts w:hint="cs"/>
          <w:rtl/>
        </w:rPr>
        <w:t xml:space="preserve"> 134\135]</w:t>
      </w:r>
      <w:r>
        <w:rPr>
          <w:rFonts w:hint="cs"/>
          <w:rtl/>
        </w:rPr>
        <w:t xml:space="preserve">، </w:t>
      </w:r>
      <w:r w:rsidR="009C32A0">
        <w:rPr>
          <w:rFonts w:hint="cs"/>
          <w:rtl/>
        </w:rPr>
        <w:t xml:space="preserve">وأختم هذه القاعدة بدرة </w:t>
      </w:r>
      <w:r w:rsidR="009C32A0">
        <w:rPr>
          <w:rFonts w:hint="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المسألة الرابعة</w:t>
      </w:r>
      <w:r>
        <w:rPr>
          <w:rFonts w:hint="cs"/>
          <w:rtl/>
          <w:lang w:bidi="ar-KW"/>
        </w:rPr>
        <w:t>:</w:t>
      </w:r>
      <w:r w:rsidR="009C32A0">
        <w:rPr>
          <w:rFonts w:hint="cs"/>
          <w:rtl/>
          <w:lang w:bidi="ar-KW"/>
        </w:rPr>
        <w:t xml:space="preserve"> احتج من أثبت الأعضاء والجوارح لله تعالى بقوله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ما منعك أن تسجد لما خلقت بيدى</w:t>
      </w:r>
      <w:r>
        <w:rPr>
          <w:rFonts w:hint="cs"/>
          <w:rtl/>
          <w:lang w:bidi="ar-KW"/>
        </w:rPr>
        <w:t>}</w:t>
      </w:r>
      <w:r w:rsidR="009C32A0">
        <w:rPr>
          <w:rFonts w:hint="cs"/>
          <w:rtl/>
          <w:lang w:bidi="ar-KW"/>
        </w:rPr>
        <w:t xml:space="preserve"> في إثبات يدين لله تعالى</w:t>
      </w:r>
      <w:r>
        <w:rPr>
          <w:rFonts w:hint="cs"/>
          <w:rtl/>
          <w:lang w:bidi="ar-KW"/>
        </w:rPr>
        <w:t>،</w:t>
      </w:r>
      <w:r w:rsidR="009C32A0">
        <w:rPr>
          <w:rFonts w:hint="cs"/>
          <w:rtl/>
          <w:lang w:bidi="ar-KW"/>
        </w:rPr>
        <w:t xml:space="preserve"> بأن قالوا ظاهر الآية يدل عليه</w:t>
      </w:r>
      <w:r>
        <w:rPr>
          <w:rFonts w:hint="cs"/>
          <w:rtl/>
          <w:lang w:bidi="ar-KW"/>
        </w:rPr>
        <w:t>،</w:t>
      </w:r>
      <w:r w:rsidR="009C32A0">
        <w:rPr>
          <w:rFonts w:hint="cs"/>
          <w:rtl/>
          <w:lang w:bidi="ar-KW"/>
        </w:rPr>
        <w:t xml:space="preserve"> فوجب المصير إليه</w:t>
      </w:r>
      <w:r>
        <w:rPr>
          <w:rFonts w:hint="cs"/>
          <w:rtl/>
          <w:lang w:bidi="ar-KW"/>
        </w:rPr>
        <w:t>،</w:t>
      </w:r>
      <w:r w:rsidR="009C32A0">
        <w:rPr>
          <w:rFonts w:hint="cs"/>
          <w:rtl/>
          <w:lang w:bidi="ar-KW"/>
        </w:rPr>
        <w:t xml:space="preserve"> والآيات الكثيرة واردة على وفق هذه الآية</w:t>
      </w:r>
      <w:r>
        <w:rPr>
          <w:rFonts w:hint="cs"/>
          <w:rtl/>
          <w:lang w:bidi="ar-KW"/>
        </w:rPr>
        <w:t>،</w:t>
      </w:r>
      <w:r w:rsidR="009C32A0">
        <w:rPr>
          <w:rFonts w:hint="cs"/>
          <w:rtl/>
          <w:lang w:bidi="ar-KW"/>
        </w:rPr>
        <w:t xml:space="preserve"> فوجب القطع به</w:t>
      </w:r>
      <w:r>
        <w:rPr>
          <w:rFonts w:hint="cs"/>
          <w:rtl/>
          <w:lang w:bidi="ar-KW"/>
        </w:rPr>
        <w:t>،</w:t>
      </w:r>
      <w:r w:rsidR="009C32A0">
        <w:rPr>
          <w:rFonts w:hint="cs"/>
          <w:rtl/>
          <w:lang w:bidi="ar-KW"/>
        </w:rPr>
        <w:t xml:space="preserve"> واعلم أن الدلائل الدالة على نفي كونه تعالى جسما مركبا من الأجزاء والأعضاء</w:t>
      </w:r>
      <w:r>
        <w:rPr>
          <w:rFonts w:hint="cs"/>
          <w:rtl/>
          <w:lang w:bidi="ar-KW"/>
        </w:rPr>
        <w:t>،</w:t>
      </w:r>
      <w:r w:rsidR="009C32A0">
        <w:rPr>
          <w:rFonts w:hint="cs"/>
          <w:rtl/>
          <w:lang w:bidi="ar-KW"/>
        </w:rPr>
        <w:t xml:space="preserve"> قد سبقت إلا أنا نذكر ههنا نكتا جارية مجرى الإلزامات الظاهرة</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فالأول</w:t>
      </w:r>
      <w:r>
        <w:rPr>
          <w:rFonts w:hint="cs"/>
          <w:rtl/>
          <w:lang w:bidi="ar-KW"/>
        </w:rPr>
        <w:t>):</w:t>
      </w:r>
      <w:r w:rsidR="009C32A0">
        <w:rPr>
          <w:rFonts w:hint="cs"/>
          <w:rtl/>
          <w:lang w:bidi="ar-KW"/>
        </w:rPr>
        <w:t xml:space="preserve"> أن من قال إنه مركب من الأعضاء والأجزاء</w:t>
      </w:r>
      <w:r>
        <w:rPr>
          <w:rFonts w:hint="cs"/>
          <w:rtl/>
          <w:lang w:bidi="ar-KW"/>
        </w:rPr>
        <w:t>،</w:t>
      </w:r>
      <w:r w:rsidR="009C32A0">
        <w:rPr>
          <w:rFonts w:hint="cs"/>
          <w:rtl/>
          <w:lang w:bidi="ar-KW"/>
        </w:rPr>
        <w:t xml:space="preserve"> فإما أن يثبت الأعضاء التي ورد ذكرها في القرآن ولا يزيد عليها</w:t>
      </w:r>
      <w:r>
        <w:rPr>
          <w:rFonts w:hint="cs"/>
          <w:rtl/>
          <w:lang w:bidi="ar-KW"/>
        </w:rPr>
        <w:t>،</w:t>
      </w:r>
      <w:r w:rsidR="009C32A0">
        <w:rPr>
          <w:rFonts w:hint="cs"/>
          <w:rtl/>
          <w:lang w:bidi="ar-KW"/>
        </w:rPr>
        <w:t xml:space="preserve"> وإما أن يزيد عليها</w:t>
      </w:r>
      <w:r>
        <w:rPr>
          <w:rFonts w:hint="cs"/>
          <w:rtl/>
          <w:lang w:bidi="ar-KW"/>
        </w:rPr>
        <w:t>،</w:t>
      </w:r>
      <w:r w:rsidR="009C32A0">
        <w:rPr>
          <w:rFonts w:hint="cs"/>
          <w:rtl/>
          <w:lang w:bidi="ar-KW"/>
        </w:rPr>
        <w:t xml:space="preserve"> فإن </w:t>
      </w:r>
      <w:r w:rsidR="009C32A0">
        <w:rPr>
          <w:rFonts w:hint="cs"/>
          <w:rtl/>
          <w:lang w:bidi="ar-KW"/>
        </w:rPr>
        <w:lastRenderedPageBreak/>
        <w:t>كان الأول لزمه إثبات صورة لا يمكن أن يزاد عليها في القبح</w:t>
      </w:r>
      <w:r>
        <w:rPr>
          <w:rFonts w:hint="cs"/>
          <w:rtl/>
          <w:lang w:bidi="ar-KW"/>
        </w:rPr>
        <w:t>،</w:t>
      </w:r>
      <w:r w:rsidR="009C32A0">
        <w:rPr>
          <w:rFonts w:hint="cs"/>
          <w:rtl/>
          <w:lang w:bidi="ar-KW"/>
        </w:rPr>
        <w:t xml:space="preserve"> لأنه يلزمه إثبات وجه بحيث لا يوجد منه إلا مجرد رقعة الوجه لقوله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كل شيء هالك إلا وجهه</w:t>
      </w:r>
      <w:r>
        <w:rPr>
          <w:rFonts w:hint="cs"/>
          <w:rtl/>
          <w:lang w:bidi="ar-KW"/>
        </w:rPr>
        <w:t>}، [</w:t>
      </w:r>
      <w:r w:rsidR="009C32A0">
        <w:rPr>
          <w:rFonts w:hint="cs"/>
          <w:rtl/>
          <w:lang w:bidi="ar-KW"/>
        </w:rPr>
        <w:t>القصص</w:t>
      </w:r>
      <w:r>
        <w:rPr>
          <w:rFonts w:hint="cs"/>
          <w:rtl/>
          <w:lang w:bidi="ar-KW"/>
        </w:rPr>
        <w:t>:</w:t>
      </w:r>
      <w:r w:rsidR="009C32A0">
        <w:rPr>
          <w:rFonts w:hint="cs"/>
          <w:rtl/>
          <w:lang w:bidi="ar-KW"/>
        </w:rPr>
        <w:t xml:space="preserve"> 88</w:t>
      </w:r>
      <w:r>
        <w:rPr>
          <w:rFonts w:hint="cs"/>
          <w:rtl/>
          <w:lang w:bidi="ar-KW"/>
        </w:rPr>
        <w:t>]</w:t>
      </w:r>
      <w:r w:rsidR="009C32A0">
        <w:rPr>
          <w:rFonts w:hint="cs"/>
          <w:rtl/>
          <w:lang w:bidi="ar-KW"/>
        </w:rPr>
        <w:t xml:space="preserve"> ويلزمه أن يثبت في تلك الرقعة عيونا كثيرة لقوله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تجرى بأعيننا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القمر</w:t>
      </w:r>
      <w:r>
        <w:rPr>
          <w:rFonts w:hint="cs"/>
          <w:rtl/>
          <w:lang w:bidi="ar-KW"/>
        </w:rPr>
        <w:t>:</w:t>
      </w:r>
      <w:r w:rsidR="009C32A0">
        <w:rPr>
          <w:rFonts w:hint="cs"/>
          <w:rtl/>
          <w:lang w:bidi="ar-KW"/>
        </w:rPr>
        <w:t xml:space="preserve"> 14</w:t>
      </w:r>
      <w:r>
        <w:rPr>
          <w:rFonts w:hint="cs"/>
          <w:rtl/>
          <w:lang w:bidi="ar-KW"/>
        </w:rPr>
        <w:t>]</w:t>
      </w:r>
      <w:r w:rsidR="009C32A0">
        <w:rPr>
          <w:rFonts w:hint="cs"/>
          <w:rtl/>
          <w:lang w:bidi="ar-KW"/>
        </w:rPr>
        <w:t xml:space="preserve"> وأن يثبت جنبا واحدا لقوله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ياحسرتى على ما فرطت في جنب الله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الزمر</w:t>
      </w:r>
      <w:r>
        <w:rPr>
          <w:rFonts w:hint="cs"/>
          <w:rtl/>
          <w:lang w:bidi="ar-KW"/>
        </w:rPr>
        <w:t>:</w:t>
      </w:r>
      <w:r w:rsidR="009C32A0">
        <w:rPr>
          <w:rFonts w:hint="cs"/>
          <w:rtl/>
          <w:lang w:bidi="ar-KW"/>
        </w:rPr>
        <w:t xml:space="preserve"> 56</w:t>
      </w:r>
      <w:r>
        <w:rPr>
          <w:rFonts w:hint="cs"/>
          <w:rtl/>
          <w:lang w:bidi="ar-KW"/>
        </w:rPr>
        <w:t>]</w:t>
      </w:r>
      <w:r w:rsidR="009C32A0">
        <w:rPr>
          <w:rFonts w:hint="cs"/>
          <w:rtl/>
          <w:lang w:bidi="ar-KW"/>
        </w:rPr>
        <w:t xml:space="preserve"> وأن يثبت على ذلك الجنب أيدي كثيرة لقوله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مما عملت أيدينا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يس</w:t>
      </w:r>
      <w:r>
        <w:rPr>
          <w:rFonts w:hint="cs"/>
          <w:rtl/>
          <w:lang w:bidi="ar-KW"/>
        </w:rPr>
        <w:t>:</w:t>
      </w:r>
      <w:r w:rsidR="009C32A0">
        <w:rPr>
          <w:rFonts w:hint="cs"/>
          <w:rtl/>
          <w:lang w:bidi="ar-KW"/>
        </w:rPr>
        <w:t xml:space="preserve"> 71</w:t>
      </w:r>
      <w:r>
        <w:rPr>
          <w:rFonts w:hint="cs"/>
          <w:rtl/>
          <w:lang w:bidi="ar-KW"/>
        </w:rPr>
        <w:t>]</w:t>
      </w:r>
      <w:r w:rsidR="009C32A0">
        <w:rPr>
          <w:rFonts w:hint="cs"/>
          <w:rtl/>
          <w:lang w:bidi="ar-KW"/>
        </w:rPr>
        <w:t xml:space="preserve"> وبتقدير أن يكون له يدان فإنه يجب أن يكون كلاهما على جانب واحد لقوله صلى الله عليه وسلم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وكلتا يديه يمين</w:t>
      </w:r>
      <w:r>
        <w:rPr>
          <w:rFonts w:hint="cs"/>
          <w:rtl/>
          <w:lang w:bidi="ar-KW"/>
        </w:rPr>
        <w:t>)</w:t>
      </w:r>
      <w:r w:rsidR="009C32A0">
        <w:rPr>
          <w:rFonts w:hint="cs"/>
          <w:rtl/>
          <w:lang w:bidi="ar-KW"/>
        </w:rPr>
        <w:t>)</w:t>
      </w:r>
      <w:r>
        <w:rPr>
          <w:rFonts w:hint="cs"/>
          <w:rtl/>
          <w:lang w:bidi="ar-KW"/>
        </w:rPr>
        <w:t>،</w:t>
      </w:r>
      <w:r w:rsidR="009C32A0">
        <w:rPr>
          <w:rFonts w:hint="cs"/>
          <w:rtl/>
          <w:lang w:bidi="ar-KW"/>
        </w:rPr>
        <w:t xml:space="preserve"> وقوله صلى الله عليه وسلم</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الحجر الأسود يمين الله في الأرض</w:t>
      </w:r>
      <w:r>
        <w:rPr>
          <w:rFonts w:hint="cs"/>
          <w:rtl/>
          <w:lang w:bidi="ar-KW"/>
        </w:rPr>
        <w:t>)</w:t>
      </w:r>
      <w:r w:rsidR="009C32A0">
        <w:rPr>
          <w:rFonts w:hint="cs"/>
          <w:rtl/>
          <w:lang w:bidi="ar-KW"/>
        </w:rPr>
        <w:t>) وأن يثبت له ساقا واحدا لقوله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يوم يكشف عن ساق</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القلم</w:t>
      </w:r>
      <w:r>
        <w:rPr>
          <w:rFonts w:hint="cs"/>
          <w:rtl/>
          <w:lang w:bidi="ar-KW"/>
        </w:rPr>
        <w:t>:</w:t>
      </w:r>
      <w:r w:rsidR="009C32A0">
        <w:rPr>
          <w:rFonts w:hint="cs"/>
          <w:rtl/>
          <w:lang w:bidi="ar-KW"/>
        </w:rPr>
        <w:t xml:space="preserve"> 42</w:t>
      </w:r>
      <w:r>
        <w:rPr>
          <w:rFonts w:hint="cs"/>
          <w:rtl/>
          <w:lang w:bidi="ar-KW"/>
        </w:rPr>
        <w:t>]</w:t>
      </w:r>
      <w:r w:rsidR="009C32A0">
        <w:rPr>
          <w:rFonts w:hint="cs"/>
          <w:rtl/>
          <w:lang w:bidi="ar-KW"/>
        </w:rPr>
        <w:t xml:space="preserve"> فيكون الحاصل من هذه الصورة</w:t>
      </w:r>
      <w:r>
        <w:rPr>
          <w:rFonts w:hint="cs"/>
          <w:rtl/>
          <w:lang w:bidi="ar-KW"/>
        </w:rPr>
        <w:t>،</w:t>
      </w:r>
      <w:r w:rsidR="009C32A0">
        <w:rPr>
          <w:rFonts w:hint="cs"/>
          <w:rtl/>
          <w:lang w:bidi="ar-KW"/>
        </w:rPr>
        <w:t xml:space="preserve"> مجرد رقعة الوجه ويكون عليها عيون كثيرة</w:t>
      </w:r>
      <w:r>
        <w:rPr>
          <w:rFonts w:hint="cs"/>
          <w:rtl/>
          <w:lang w:bidi="ar-KW"/>
        </w:rPr>
        <w:t>،</w:t>
      </w:r>
      <w:r w:rsidR="009C32A0">
        <w:rPr>
          <w:rFonts w:hint="cs"/>
          <w:rtl/>
          <w:lang w:bidi="ar-KW"/>
        </w:rPr>
        <w:t xml:space="preserve"> وجنب واحد ويكون عليه أيد كثيرة وساق واحد</w:t>
      </w:r>
      <w:r>
        <w:rPr>
          <w:rFonts w:hint="cs"/>
          <w:rtl/>
          <w:lang w:bidi="ar-KW"/>
        </w:rPr>
        <w:t>،</w:t>
      </w:r>
      <w:r w:rsidR="009C32A0">
        <w:rPr>
          <w:rFonts w:hint="cs"/>
          <w:rtl/>
          <w:lang w:bidi="ar-KW"/>
        </w:rPr>
        <w:t xml:space="preserve"> ومعلوم أن هذه الصورة أقبح الصور</w:t>
      </w:r>
      <w:r>
        <w:rPr>
          <w:rFonts w:hint="cs"/>
          <w:rtl/>
          <w:lang w:bidi="ar-KW"/>
        </w:rPr>
        <w:t>،</w:t>
      </w:r>
      <w:r w:rsidR="009C32A0">
        <w:rPr>
          <w:rFonts w:hint="cs"/>
          <w:rtl/>
          <w:lang w:bidi="ar-KW"/>
        </w:rPr>
        <w:t xml:space="preserve"> ولو كان هذا عبدا لم يرغب أحد في شرائه</w:t>
      </w:r>
      <w:r>
        <w:rPr>
          <w:rFonts w:hint="cs"/>
          <w:rtl/>
          <w:lang w:bidi="ar-KW"/>
        </w:rPr>
        <w:t>،</w:t>
      </w:r>
      <w:r w:rsidR="009C32A0">
        <w:rPr>
          <w:rFonts w:hint="cs"/>
          <w:rtl/>
          <w:lang w:bidi="ar-KW"/>
        </w:rPr>
        <w:t xml:space="preserve"> فكيف يقول العاقل إن رب العالمين موصوف بهذه الصورة</w:t>
      </w:r>
      <w:r>
        <w:rPr>
          <w:rFonts w:hint="cs"/>
          <w:rtl/>
          <w:lang w:bidi="ar-KW"/>
        </w:rPr>
        <w:t>،</w:t>
      </w:r>
      <w:r w:rsidR="009C32A0">
        <w:rPr>
          <w:rFonts w:hint="cs"/>
          <w:rtl/>
          <w:lang w:bidi="ar-KW"/>
        </w:rPr>
        <w:t xml:space="preserve"> وأما القسم الثاني</w:t>
      </w:r>
      <w:r>
        <w:rPr>
          <w:rFonts w:hint="cs"/>
          <w:rtl/>
          <w:lang w:bidi="ar-KW"/>
        </w:rPr>
        <w:t>:</w:t>
      </w:r>
      <w:r w:rsidR="009C32A0">
        <w:rPr>
          <w:rFonts w:hint="cs"/>
          <w:rtl/>
          <w:lang w:bidi="ar-KW"/>
        </w:rPr>
        <w:t xml:space="preserve"> وهو أن لا يقتصر على الأعضاء المذكورة في القرآن</w:t>
      </w:r>
      <w:r>
        <w:rPr>
          <w:rFonts w:hint="cs"/>
          <w:rtl/>
          <w:lang w:bidi="ar-KW"/>
        </w:rPr>
        <w:t>،</w:t>
      </w:r>
      <w:r w:rsidR="009C32A0">
        <w:rPr>
          <w:rFonts w:hint="cs"/>
          <w:rtl/>
          <w:lang w:bidi="ar-KW"/>
        </w:rPr>
        <w:t xml:space="preserve"> بل يزيد وينقص على وفق التأويلات</w:t>
      </w:r>
      <w:r>
        <w:rPr>
          <w:rFonts w:hint="cs"/>
          <w:rtl/>
          <w:lang w:bidi="ar-KW"/>
        </w:rPr>
        <w:t>،</w:t>
      </w:r>
      <w:r w:rsidR="009C32A0">
        <w:rPr>
          <w:rFonts w:hint="cs"/>
          <w:rtl/>
          <w:lang w:bidi="ar-KW"/>
        </w:rPr>
        <w:t xml:space="preserve"> فحينئذ يبطل مذهبه في الحمل على مجرد الظواهر</w:t>
      </w:r>
      <w:r>
        <w:rPr>
          <w:rFonts w:hint="cs"/>
          <w:rtl/>
          <w:lang w:bidi="ar-KW"/>
        </w:rPr>
        <w:t>،</w:t>
      </w:r>
      <w:r w:rsidR="009C32A0">
        <w:rPr>
          <w:rFonts w:hint="cs"/>
          <w:rtl/>
          <w:lang w:bidi="ar-KW"/>
        </w:rPr>
        <w:t xml:space="preserve"> ولا بد له من قبول دلائل العقل</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الثانية</w:t>
      </w:r>
      <w:r>
        <w:rPr>
          <w:rFonts w:hint="cs"/>
          <w:rtl/>
          <w:lang w:bidi="ar-KW"/>
        </w:rPr>
        <w:t>):</w:t>
      </w:r>
      <w:r w:rsidR="009C32A0">
        <w:rPr>
          <w:rFonts w:hint="cs"/>
          <w:rtl/>
          <w:lang w:bidi="ar-KW"/>
        </w:rPr>
        <w:t xml:space="preserve"> في إبطال قولهم إنهم إذا أثبتوا الأعضاء لله تعالى</w:t>
      </w:r>
      <w:r>
        <w:rPr>
          <w:rFonts w:hint="cs"/>
          <w:rtl/>
          <w:lang w:bidi="ar-KW"/>
        </w:rPr>
        <w:t>،</w:t>
      </w:r>
      <w:r w:rsidR="009C32A0">
        <w:rPr>
          <w:rFonts w:hint="cs"/>
          <w:rtl/>
          <w:lang w:bidi="ar-KW"/>
        </w:rPr>
        <w:t xml:space="preserve"> فإن أثبتوا له عضو الرجل فهو رجل وأن أثبتوا له عضو النساء فهو أنثى</w:t>
      </w:r>
      <w:r>
        <w:rPr>
          <w:rFonts w:hint="cs"/>
          <w:rtl/>
          <w:lang w:bidi="ar-KW"/>
        </w:rPr>
        <w:t>،</w:t>
      </w:r>
      <w:r w:rsidR="009C32A0">
        <w:rPr>
          <w:rFonts w:hint="cs"/>
          <w:rtl/>
          <w:lang w:bidi="ar-KW"/>
        </w:rPr>
        <w:t xml:space="preserve"> وإن نفوهما فهو خصي أو عنين</w:t>
      </w:r>
      <w:r>
        <w:rPr>
          <w:rFonts w:hint="cs"/>
          <w:rtl/>
          <w:lang w:bidi="ar-KW"/>
        </w:rPr>
        <w:t>،</w:t>
      </w:r>
      <w:r w:rsidR="009C32A0">
        <w:rPr>
          <w:rFonts w:hint="cs"/>
          <w:rtl/>
          <w:lang w:bidi="ar-KW"/>
        </w:rPr>
        <w:t xml:space="preserve"> وتعالى الله عما يقول الظالمون علوا كبيرا</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الثالثة</w:t>
      </w:r>
      <w:r>
        <w:rPr>
          <w:rFonts w:hint="cs"/>
          <w:rtl/>
          <w:lang w:bidi="ar-KW"/>
        </w:rPr>
        <w:t>):</w:t>
      </w:r>
      <w:r w:rsidR="009C32A0">
        <w:rPr>
          <w:rFonts w:hint="cs"/>
          <w:rtl/>
          <w:lang w:bidi="ar-KW"/>
        </w:rPr>
        <w:t xml:space="preserve"> أنه في ذاته سبحانه وتعالى</w:t>
      </w:r>
      <w:r>
        <w:rPr>
          <w:rFonts w:hint="cs"/>
          <w:rtl/>
          <w:lang w:bidi="ar-KW"/>
        </w:rPr>
        <w:t>،</w:t>
      </w:r>
      <w:r w:rsidR="009C32A0">
        <w:rPr>
          <w:rFonts w:hint="cs"/>
          <w:rtl/>
          <w:lang w:bidi="ar-KW"/>
        </w:rPr>
        <w:t xml:space="preserve"> إما أن يكون جسما صلبا لا ينغمز البتة</w:t>
      </w:r>
      <w:r>
        <w:rPr>
          <w:rFonts w:hint="cs"/>
          <w:rtl/>
          <w:lang w:bidi="ar-KW"/>
        </w:rPr>
        <w:t>،</w:t>
      </w:r>
      <w:r w:rsidR="009C32A0">
        <w:rPr>
          <w:rFonts w:hint="cs"/>
          <w:rtl/>
          <w:lang w:bidi="ar-KW"/>
        </w:rPr>
        <w:t xml:space="preserve"> فيكون حجرا صلبا</w:t>
      </w:r>
      <w:r>
        <w:rPr>
          <w:rFonts w:hint="cs"/>
          <w:rtl/>
          <w:lang w:bidi="ar-KW"/>
        </w:rPr>
        <w:t>،</w:t>
      </w:r>
      <w:r w:rsidR="009C32A0">
        <w:rPr>
          <w:rFonts w:hint="cs"/>
          <w:rtl/>
          <w:lang w:bidi="ar-KW"/>
        </w:rPr>
        <w:t xml:space="preserve"> وإما أن يكون قابلا للانغماز</w:t>
      </w:r>
      <w:r>
        <w:rPr>
          <w:rFonts w:hint="cs"/>
          <w:rtl/>
          <w:lang w:bidi="ar-KW"/>
        </w:rPr>
        <w:t>،</w:t>
      </w:r>
      <w:r w:rsidR="009C32A0">
        <w:rPr>
          <w:rFonts w:hint="cs"/>
          <w:rtl/>
          <w:lang w:bidi="ar-KW"/>
        </w:rPr>
        <w:t xml:space="preserve"> فيكون لينا قابلا للتفرق والتمزق</w:t>
      </w:r>
      <w:r>
        <w:rPr>
          <w:rFonts w:hint="cs"/>
          <w:rtl/>
          <w:lang w:bidi="ar-KW"/>
        </w:rPr>
        <w:t xml:space="preserve">، </w:t>
      </w:r>
      <w:r w:rsidR="009C32A0">
        <w:rPr>
          <w:rFonts w:hint="cs"/>
          <w:rtl/>
          <w:lang w:bidi="ar-KW"/>
        </w:rPr>
        <w:t>وتعالى الله عن ذلك</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الرابعة</w:t>
      </w:r>
      <w:r>
        <w:rPr>
          <w:rFonts w:hint="cs"/>
          <w:rtl/>
          <w:lang w:bidi="ar-KW"/>
        </w:rPr>
        <w:t>):</w:t>
      </w:r>
      <w:r w:rsidR="009C32A0">
        <w:rPr>
          <w:rFonts w:hint="cs"/>
          <w:rtl/>
          <w:lang w:bidi="ar-KW"/>
        </w:rPr>
        <w:t xml:space="preserve"> أنه إن كان بحيث لا يمكنه أن يتحرك عن مكانه</w:t>
      </w:r>
      <w:r>
        <w:rPr>
          <w:rFonts w:hint="cs"/>
          <w:rtl/>
          <w:lang w:bidi="ar-KW"/>
        </w:rPr>
        <w:t>،</w:t>
      </w:r>
      <w:r w:rsidR="009C32A0">
        <w:rPr>
          <w:rFonts w:hint="cs"/>
          <w:rtl/>
          <w:lang w:bidi="ar-KW"/>
        </w:rPr>
        <w:t xml:space="preserve"> كان كالزمن المعقد العاجز</w:t>
      </w:r>
      <w:r>
        <w:rPr>
          <w:rFonts w:hint="cs"/>
          <w:rtl/>
          <w:lang w:bidi="ar-KW"/>
        </w:rPr>
        <w:t>،</w:t>
      </w:r>
      <w:r w:rsidR="009C32A0">
        <w:rPr>
          <w:rFonts w:hint="cs"/>
          <w:rtl/>
          <w:lang w:bidi="ar-KW"/>
        </w:rPr>
        <w:t xml:space="preserve"> وإن كان بحيث يمكنه أن يتحرك عن مكانه</w:t>
      </w:r>
      <w:r>
        <w:rPr>
          <w:rFonts w:hint="cs"/>
          <w:rtl/>
          <w:lang w:bidi="ar-KW"/>
        </w:rPr>
        <w:t>،</w:t>
      </w:r>
      <w:r w:rsidR="009C32A0">
        <w:rPr>
          <w:rFonts w:hint="cs"/>
          <w:rtl/>
          <w:lang w:bidi="ar-KW"/>
        </w:rPr>
        <w:t xml:space="preserve"> كان محلا للتغيرات</w:t>
      </w:r>
      <w:r>
        <w:rPr>
          <w:rFonts w:hint="cs"/>
          <w:rtl/>
          <w:lang w:bidi="ar-KW"/>
        </w:rPr>
        <w:t>،</w:t>
      </w:r>
      <w:r w:rsidR="009C32A0">
        <w:rPr>
          <w:rFonts w:hint="cs"/>
          <w:rtl/>
          <w:lang w:bidi="ar-KW"/>
        </w:rPr>
        <w:t xml:space="preserve"> فدخل تحت قوله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لا أحب الآفلين</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الأنعام</w:t>
      </w:r>
      <w:r>
        <w:rPr>
          <w:rFonts w:hint="cs"/>
          <w:rtl/>
          <w:lang w:bidi="ar-KW"/>
        </w:rPr>
        <w:t>:</w:t>
      </w:r>
      <w:r w:rsidR="009C32A0">
        <w:rPr>
          <w:rFonts w:hint="cs"/>
          <w:rtl/>
          <w:lang w:bidi="ar-KW"/>
        </w:rPr>
        <w:t xml:space="preserve"> 76</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الخامسة</w:t>
      </w:r>
      <w:r>
        <w:rPr>
          <w:rFonts w:hint="cs"/>
          <w:rtl/>
          <w:lang w:bidi="ar-KW"/>
        </w:rPr>
        <w:t>):</w:t>
      </w:r>
      <w:r w:rsidR="009C32A0">
        <w:rPr>
          <w:rFonts w:hint="cs"/>
          <w:rtl/>
          <w:lang w:bidi="ar-KW"/>
        </w:rPr>
        <w:t xml:space="preserve"> إن كان لا يأكل ولا يشرب ولا ينام ولا يتحرك كان كالميت</w:t>
      </w:r>
      <w:r>
        <w:rPr>
          <w:rFonts w:hint="cs"/>
          <w:rtl/>
          <w:lang w:bidi="ar-KW"/>
        </w:rPr>
        <w:t>،</w:t>
      </w:r>
      <w:r w:rsidR="009C32A0">
        <w:rPr>
          <w:rFonts w:hint="cs"/>
          <w:rtl/>
          <w:lang w:bidi="ar-KW"/>
        </w:rPr>
        <w:t xml:space="preserve"> وإن كان يفعل هذه الأشياء</w:t>
      </w:r>
      <w:r>
        <w:rPr>
          <w:rFonts w:hint="cs"/>
          <w:rtl/>
          <w:lang w:bidi="ar-KW"/>
        </w:rPr>
        <w:t>،</w:t>
      </w:r>
      <w:r w:rsidR="009C32A0">
        <w:rPr>
          <w:rFonts w:hint="cs"/>
          <w:rtl/>
          <w:lang w:bidi="ar-KW"/>
        </w:rPr>
        <w:t xml:space="preserve"> كان إنسانا كثير التهمة محتاجا إلى الأكل والشرب والوقاع وذلك باطل</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السادسة</w:t>
      </w:r>
      <w:r>
        <w:rPr>
          <w:rFonts w:hint="cs"/>
          <w:rtl/>
          <w:lang w:bidi="ar-KW"/>
        </w:rPr>
        <w:t>):</w:t>
      </w:r>
      <w:r w:rsidR="009C32A0">
        <w:rPr>
          <w:rFonts w:hint="cs"/>
          <w:rtl/>
          <w:lang w:bidi="ar-KW"/>
        </w:rPr>
        <w:t xml:space="preserve"> أنهم يقولون إنه ينزل كل ليلة من العرش إلى السماء الدنيا</w:t>
      </w:r>
      <w:r>
        <w:rPr>
          <w:rFonts w:hint="cs"/>
          <w:rtl/>
          <w:lang w:bidi="ar-KW"/>
        </w:rPr>
        <w:t>،</w:t>
      </w:r>
      <w:r w:rsidR="009C32A0">
        <w:rPr>
          <w:rFonts w:hint="cs"/>
          <w:rtl/>
          <w:lang w:bidi="ar-KW"/>
        </w:rPr>
        <w:t xml:space="preserve"> فنقول لهم حين نزوله</w:t>
      </w:r>
      <w:r>
        <w:rPr>
          <w:rFonts w:hint="cs"/>
          <w:rtl/>
          <w:lang w:bidi="ar-KW"/>
        </w:rPr>
        <w:t>:</w:t>
      </w:r>
      <w:r w:rsidR="009C32A0">
        <w:rPr>
          <w:rFonts w:hint="cs"/>
          <w:rtl/>
          <w:lang w:bidi="ar-KW"/>
        </w:rPr>
        <w:t xml:space="preserve"> هل يبقى مدبرا للعرش ويبقى مدبرا للسماء الدنيا حين كان على العرش</w:t>
      </w:r>
      <w:r>
        <w:rPr>
          <w:rFonts w:hint="cs"/>
          <w:rtl/>
          <w:lang w:bidi="ar-KW"/>
        </w:rPr>
        <w:t>،</w:t>
      </w:r>
      <w:r w:rsidR="009C32A0">
        <w:rPr>
          <w:rFonts w:hint="cs"/>
          <w:rtl/>
          <w:lang w:bidi="ar-KW"/>
        </w:rPr>
        <w:t xml:space="preserve"> وحينئذ لا يبقى في النزول فائدة</w:t>
      </w:r>
      <w:r>
        <w:rPr>
          <w:rFonts w:hint="cs"/>
          <w:rtl/>
          <w:lang w:bidi="ar-KW"/>
        </w:rPr>
        <w:t>،</w:t>
      </w:r>
      <w:r w:rsidR="009C32A0">
        <w:rPr>
          <w:rFonts w:hint="cs"/>
          <w:rtl/>
          <w:lang w:bidi="ar-KW"/>
        </w:rPr>
        <w:t xml:space="preserve"> وإن لم يبق مدبرا للعرش فعند نزوله يصير معزولا عن إلهية العرش والسموات</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السابعة</w:t>
      </w:r>
      <w:r>
        <w:rPr>
          <w:rFonts w:hint="cs"/>
          <w:rtl/>
          <w:lang w:bidi="ar-KW"/>
        </w:rPr>
        <w:t>):</w:t>
      </w:r>
      <w:r w:rsidR="009C32A0">
        <w:rPr>
          <w:rFonts w:hint="cs"/>
          <w:rtl/>
          <w:lang w:bidi="ar-KW"/>
        </w:rPr>
        <w:t xml:space="preserve"> أنهم يقولون إنه تعالى أعظم من العرش</w:t>
      </w:r>
      <w:r>
        <w:rPr>
          <w:rFonts w:hint="cs"/>
          <w:rtl/>
          <w:lang w:bidi="ar-KW"/>
        </w:rPr>
        <w:t>،</w:t>
      </w:r>
      <w:r w:rsidR="009C32A0">
        <w:rPr>
          <w:rFonts w:hint="cs"/>
          <w:rtl/>
          <w:lang w:bidi="ar-KW"/>
        </w:rPr>
        <w:t xml:space="preserve"> وإن العرش لا نسبة لعظمته إلى عظمة الكرسي</w:t>
      </w:r>
      <w:r>
        <w:rPr>
          <w:rFonts w:hint="cs"/>
          <w:rtl/>
          <w:lang w:bidi="ar-KW"/>
        </w:rPr>
        <w:t>،</w:t>
      </w:r>
      <w:r w:rsidR="009C32A0">
        <w:rPr>
          <w:rFonts w:hint="cs"/>
          <w:rtl/>
          <w:lang w:bidi="ar-KW"/>
        </w:rPr>
        <w:t xml:space="preserve"> وعلى هذا الترتيب حتى ينتهي إلى السماء الدنيا</w:t>
      </w:r>
      <w:r>
        <w:rPr>
          <w:rFonts w:hint="cs"/>
          <w:rtl/>
          <w:lang w:bidi="ar-KW"/>
        </w:rPr>
        <w:t>،</w:t>
      </w:r>
      <w:r w:rsidR="009C32A0">
        <w:rPr>
          <w:rFonts w:hint="cs"/>
          <w:rtl/>
          <w:lang w:bidi="ar-KW"/>
        </w:rPr>
        <w:t xml:space="preserve"> فإذا كان كذلك كانت السماء الدنيا بالنسبة إلى عظمة الله كالذرة بالنسبة إلى البحر</w:t>
      </w:r>
      <w:r>
        <w:rPr>
          <w:rFonts w:hint="cs"/>
          <w:rtl/>
          <w:lang w:bidi="ar-KW"/>
        </w:rPr>
        <w:t>،</w:t>
      </w:r>
      <w:r w:rsidR="009C32A0">
        <w:rPr>
          <w:rFonts w:hint="cs"/>
          <w:rtl/>
          <w:lang w:bidi="ar-KW"/>
        </w:rPr>
        <w:t xml:space="preserve"> فإذا نزل فإما أن يقال إن الإله يصير </w:t>
      </w:r>
      <w:r w:rsidR="009C32A0">
        <w:rPr>
          <w:rFonts w:hint="cs"/>
          <w:rtl/>
          <w:lang w:bidi="ar-KW"/>
        </w:rPr>
        <w:lastRenderedPageBreak/>
        <w:t>صغيرا بحيث تسعه السماء الدنيا</w:t>
      </w:r>
      <w:r>
        <w:rPr>
          <w:rFonts w:hint="cs"/>
          <w:rtl/>
          <w:lang w:bidi="ar-KW"/>
        </w:rPr>
        <w:t>،</w:t>
      </w:r>
      <w:r w:rsidR="009C32A0">
        <w:rPr>
          <w:rFonts w:hint="cs"/>
          <w:rtl/>
          <w:lang w:bidi="ar-KW"/>
        </w:rPr>
        <w:t xml:space="preserve"> وإما أن يقال إن السماء الدنيا تصير أعظم من العرش</w:t>
      </w:r>
      <w:r>
        <w:rPr>
          <w:rFonts w:hint="cs"/>
          <w:rtl/>
          <w:lang w:bidi="ar-KW"/>
        </w:rPr>
        <w:t>،</w:t>
      </w:r>
      <w:r w:rsidR="009C32A0">
        <w:rPr>
          <w:rFonts w:hint="cs"/>
          <w:rtl/>
          <w:lang w:bidi="ar-KW"/>
        </w:rPr>
        <w:t xml:space="preserve"> وكل ذلك باطل</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الثامنة</w:t>
      </w:r>
      <w:r>
        <w:rPr>
          <w:rFonts w:hint="cs"/>
          <w:rtl/>
          <w:lang w:bidi="ar-KW"/>
        </w:rPr>
        <w:t>):</w:t>
      </w:r>
      <w:r w:rsidR="009C32A0">
        <w:rPr>
          <w:rFonts w:hint="cs"/>
          <w:rtl/>
          <w:lang w:bidi="ar-KW"/>
        </w:rPr>
        <w:t xml:space="preserve"> ثبت أن العالم كرة</w:t>
      </w:r>
      <w:r>
        <w:rPr>
          <w:rFonts w:hint="cs"/>
          <w:rtl/>
          <w:lang w:bidi="ar-KW"/>
        </w:rPr>
        <w:t>،</w:t>
      </w:r>
      <w:r w:rsidR="009C32A0">
        <w:rPr>
          <w:rFonts w:hint="cs"/>
          <w:rtl/>
          <w:lang w:bidi="ar-KW"/>
        </w:rPr>
        <w:t xml:space="preserve"> فإن كان فوق بالنسبة إلى قوم كانت تحت بالنسبة إلى قوم آخرين وذلك باطل</w:t>
      </w:r>
      <w:r>
        <w:rPr>
          <w:rFonts w:hint="cs"/>
          <w:rtl/>
          <w:lang w:bidi="ar-KW"/>
        </w:rPr>
        <w:t>،</w:t>
      </w:r>
      <w:r w:rsidR="009C32A0">
        <w:rPr>
          <w:rFonts w:hint="cs"/>
          <w:rtl/>
          <w:lang w:bidi="ar-KW"/>
        </w:rPr>
        <w:t xml:space="preserve"> وإن كان فوق بالنسبة إلى الكل</w:t>
      </w:r>
      <w:r>
        <w:rPr>
          <w:rFonts w:hint="cs"/>
          <w:rtl/>
          <w:lang w:bidi="ar-KW"/>
        </w:rPr>
        <w:t>،</w:t>
      </w:r>
      <w:r w:rsidR="009C32A0">
        <w:rPr>
          <w:rFonts w:hint="cs"/>
          <w:rtl/>
          <w:lang w:bidi="ar-KW"/>
        </w:rPr>
        <w:t xml:space="preserve"> فحينئذ يكون جسما محيطا بهذا العالم من كل الجوانب</w:t>
      </w:r>
      <w:r>
        <w:rPr>
          <w:rFonts w:hint="cs"/>
          <w:rtl/>
          <w:lang w:bidi="ar-KW"/>
        </w:rPr>
        <w:t>،</w:t>
      </w:r>
      <w:r w:rsidR="009C32A0">
        <w:rPr>
          <w:rFonts w:hint="cs"/>
          <w:rtl/>
          <w:lang w:bidi="ar-KW"/>
        </w:rPr>
        <w:t xml:space="preserve"> فيكون إله العالم على هذا القول فلكا من الأفلاك</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التاسعة</w:t>
      </w:r>
      <w:r>
        <w:rPr>
          <w:rFonts w:hint="cs"/>
          <w:rtl/>
          <w:lang w:bidi="ar-KW"/>
        </w:rPr>
        <w:t>):</w:t>
      </w:r>
      <w:r w:rsidR="009C32A0">
        <w:rPr>
          <w:rFonts w:hint="cs"/>
          <w:rtl/>
          <w:lang w:bidi="ar-KW"/>
        </w:rPr>
        <w:t xml:space="preserve"> لما كانت الأرض كرة</w:t>
      </w:r>
      <w:r>
        <w:rPr>
          <w:rFonts w:hint="cs"/>
          <w:rtl/>
          <w:lang w:bidi="ar-KW"/>
        </w:rPr>
        <w:t>،</w:t>
      </w:r>
      <w:r w:rsidR="009C32A0">
        <w:rPr>
          <w:rFonts w:hint="cs"/>
          <w:rtl/>
          <w:lang w:bidi="ar-KW"/>
        </w:rPr>
        <w:t xml:space="preserve"> وكانت السموات كرات</w:t>
      </w:r>
      <w:r>
        <w:rPr>
          <w:rFonts w:hint="cs"/>
          <w:rtl/>
          <w:lang w:bidi="ar-KW"/>
        </w:rPr>
        <w:t>،</w:t>
      </w:r>
      <w:r w:rsidR="009C32A0">
        <w:rPr>
          <w:rFonts w:hint="cs"/>
          <w:rtl/>
          <w:lang w:bidi="ar-KW"/>
        </w:rPr>
        <w:t xml:space="preserve"> فكل ساعة تفرض الساعات فإنها تكون ثلث الليل في حق أقوام معينين من سكان كرة العوارض</w:t>
      </w:r>
      <w:r>
        <w:rPr>
          <w:rFonts w:hint="cs"/>
          <w:rtl/>
          <w:lang w:bidi="ar-KW"/>
        </w:rPr>
        <w:t>،</w:t>
      </w:r>
      <w:r w:rsidR="009C32A0">
        <w:rPr>
          <w:rFonts w:hint="cs"/>
          <w:rtl/>
          <w:lang w:bidi="ar-KW"/>
        </w:rPr>
        <w:t xml:space="preserve"> فلو نزل من العرش في ثلث الليل وجب أن يبقى أبدا نازلا عن العرش</w:t>
      </w:r>
      <w:r>
        <w:rPr>
          <w:rFonts w:hint="cs"/>
          <w:rtl/>
          <w:lang w:bidi="ar-KW"/>
        </w:rPr>
        <w:t>،</w:t>
      </w:r>
      <w:r w:rsidR="009C32A0">
        <w:rPr>
          <w:rFonts w:hint="cs"/>
          <w:rtl/>
          <w:lang w:bidi="ar-KW"/>
        </w:rPr>
        <w:t xml:space="preserve"> وأن لا يرجع إلى العرش البتة</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العاشرة</w:t>
      </w:r>
      <w:r>
        <w:rPr>
          <w:rFonts w:hint="cs"/>
          <w:rtl/>
          <w:lang w:bidi="ar-KW"/>
        </w:rPr>
        <w:t>):</w:t>
      </w:r>
      <w:r w:rsidR="009C32A0">
        <w:rPr>
          <w:rFonts w:hint="cs"/>
          <w:rtl/>
          <w:lang w:bidi="ar-KW"/>
        </w:rPr>
        <w:t xml:space="preserve"> أنا إنما زيفنا إلهية الشمس والقمر لثلاثة أنواع من العيوب أولها</w:t>
      </w:r>
      <w:r>
        <w:rPr>
          <w:rFonts w:hint="cs"/>
          <w:rtl/>
          <w:lang w:bidi="ar-KW"/>
        </w:rPr>
        <w:t>:</w:t>
      </w:r>
      <w:r w:rsidR="009C32A0">
        <w:rPr>
          <w:rFonts w:hint="cs"/>
          <w:rtl/>
          <w:lang w:bidi="ar-KW"/>
        </w:rPr>
        <w:t xml:space="preserve"> كونه مؤلفا من الأجزاء والأبعاض وثانيها</w:t>
      </w:r>
      <w:r>
        <w:rPr>
          <w:rFonts w:hint="cs"/>
          <w:rtl/>
          <w:lang w:bidi="ar-KW"/>
        </w:rPr>
        <w:t>:</w:t>
      </w:r>
      <w:r w:rsidR="009C32A0">
        <w:rPr>
          <w:rFonts w:hint="cs"/>
          <w:rtl/>
          <w:lang w:bidi="ar-KW"/>
        </w:rPr>
        <w:t xml:space="preserve"> كونه محدودا متناهيا وثالثها</w:t>
      </w:r>
      <w:r>
        <w:rPr>
          <w:rFonts w:hint="cs"/>
          <w:rtl/>
          <w:lang w:bidi="ar-KW"/>
        </w:rPr>
        <w:t>:</w:t>
      </w:r>
      <w:r w:rsidR="009C32A0">
        <w:rPr>
          <w:rFonts w:hint="cs"/>
          <w:rtl/>
          <w:lang w:bidi="ar-KW"/>
        </w:rPr>
        <w:t xml:space="preserve"> كونه موصوفا بالحركة والسكون والطلوع والغروب</w:t>
      </w:r>
      <w:r>
        <w:rPr>
          <w:rFonts w:hint="cs"/>
          <w:rtl/>
          <w:lang w:bidi="ar-KW"/>
        </w:rPr>
        <w:t>،</w:t>
      </w:r>
      <w:r w:rsidR="009C32A0">
        <w:rPr>
          <w:rFonts w:hint="cs"/>
          <w:rtl/>
          <w:lang w:bidi="ar-KW"/>
        </w:rPr>
        <w:t xml:space="preserve"> فإذا كان إله المشبهة مؤلفا من الأعضاء والأجزاء كان مركبا</w:t>
      </w:r>
      <w:r>
        <w:rPr>
          <w:rFonts w:hint="cs"/>
          <w:rtl/>
          <w:lang w:bidi="ar-KW"/>
        </w:rPr>
        <w:t>،</w:t>
      </w:r>
      <w:r w:rsidR="009C32A0">
        <w:rPr>
          <w:rFonts w:hint="cs"/>
          <w:rtl/>
          <w:lang w:bidi="ar-KW"/>
        </w:rPr>
        <w:t xml:space="preserve"> فإذا كان العرش كان محدودا متناهيا</w:t>
      </w:r>
      <w:r>
        <w:rPr>
          <w:rFonts w:hint="cs"/>
          <w:rtl/>
          <w:lang w:bidi="ar-KW"/>
        </w:rPr>
        <w:t>،</w:t>
      </w:r>
      <w:r w:rsidR="009C32A0">
        <w:rPr>
          <w:rFonts w:hint="cs"/>
          <w:rtl/>
          <w:lang w:bidi="ar-KW"/>
        </w:rPr>
        <w:t xml:space="preserve"> وإن كان ينزل من العرش ويرجع إليه كان موصوفا بالحركة والسكون</w:t>
      </w:r>
      <w:r>
        <w:rPr>
          <w:rFonts w:hint="cs"/>
          <w:rtl/>
          <w:lang w:bidi="ar-KW"/>
        </w:rPr>
        <w:t>،</w:t>
      </w:r>
      <w:r w:rsidR="009C32A0">
        <w:rPr>
          <w:rFonts w:hint="cs"/>
          <w:rtl/>
          <w:lang w:bidi="ar-KW"/>
        </w:rPr>
        <w:t xml:space="preserve"> فهذه الصفات الثلاثة إن كانت منافية للإلهية وجب تنزيه الإله عنها بأسرها</w:t>
      </w:r>
      <w:r>
        <w:rPr>
          <w:rFonts w:hint="cs"/>
          <w:rtl/>
          <w:lang w:bidi="ar-KW"/>
        </w:rPr>
        <w:t>،</w:t>
      </w:r>
      <w:r w:rsidR="009C32A0">
        <w:rPr>
          <w:rFonts w:hint="cs"/>
          <w:rtl/>
          <w:lang w:bidi="ar-KW"/>
        </w:rPr>
        <w:t xml:space="preserve"> وذلك يبطل قول المشبهة</w:t>
      </w:r>
      <w:r>
        <w:rPr>
          <w:rFonts w:hint="cs"/>
          <w:rtl/>
          <w:lang w:bidi="ar-KW"/>
        </w:rPr>
        <w:t>،</w:t>
      </w:r>
      <w:r w:rsidR="009C32A0">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الحادية عشرة</w:t>
      </w:r>
      <w:r>
        <w:rPr>
          <w:rFonts w:hint="cs"/>
          <w:rtl/>
          <w:lang w:bidi="ar-KW"/>
        </w:rPr>
        <w:t>):</w:t>
      </w:r>
      <w:r w:rsidR="009C32A0">
        <w:rPr>
          <w:rFonts w:hint="cs"/>
          <w:rtl/>
          <w:lang w:bidi="ar-KW"/>
        </w:rPr>
        <w:t xml:space="preserve"> 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قل هو الله أحد</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الإخلاص</w:t>
      </w:r>
      <w:r>
        <w:rPr>
          <w:rFonts w:hint="cs"/>
          <w:rtl/>
          <w:lang w:bidi="ar-KW"/>
        </w:rPr>
        <w:t>:</w:t>
      </w:r>
      <w:r w:rsidR="009C32A0">
        <w:rPr>
          <w:rFonts w:hint="cs"/>
          <w:rtl/>
          <w:lang w:bidi="ar-KW"/>
        </w:rPr>
        <w:t xml:space="preserve"> 1</w:t>
      </w:r>
      <w:r>
        <w:rPr>
          <w:rFonts w:hint="cs"/>
          <w:rtl/>
          <w:lang w:bidi="ar-KW"/>
        </w:rPr>
        <w:t>]</w:t>
      </w:r>
      <w:r w:rsidR="009C32A0">
        <w:rPr>
          <w:rFonts w:hint="cs"/>
          <w:rtl/>
          <w:lang w:bidi="ar-KW"/>
        </w:rPr>
        <w:t xml:space="preserve"> ولفظ الأحد مبالغة في الوحدة</w:t>
      </w:r>
      <w:r>
        <w:rPr>
          <w:rFonts w:hint="cs"/>
          <w:rtl/>
          <w:lang w:bidi="ar-KW"/>
        </w:rPr>
        <w:t>،</w:t>
      </w:r>
      <w:r w:rsidR="009C32A0">
        <w:rPr>
          <w:rFonts w:hint="cs"/>
          <w:rtl/>
          <w:lang w:bidi="ar-KW"/>
        </w:rPr>
        <w:t xml:space="preserve"> وذلك ينافي كونه مركبا من الأجزاء والأبعاض</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الحجة الثانية عشرة</w:t>
      </w:r>
      <w:r>
        <w:rPr>
          <w:rFonts w:hint="cs"/>
          <w:rtl/>
          <w:lang w:bidi="ar-KW"/>
        </w:rPr>
        <w:t>):</w:t>
      </w:r>
      <w:r w:rsidR="009C32A0">
        <w:rPr>
          <w:rFonts w:hint="cs"/>
          <w:rtl/>
          <w:lang w:bidi="ar-KW"/>
        </w:rPr>
        <w:t xml:space="preserve"> قوله تعالى</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والله الغني وأنتم الفقراء</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محمد</w:t>
      </w:r>
      <w:r>
        <w:rPr>
          <w:rFonts w:hint="cs"/>
          <w:rtl/>
          <w:lang w:bidi="ar-KW"/>
        </w:rPr>
        <w:t>:</w:t>
      </w:r>
      <w:r w:rsidR="009C32A0">
        <w:rPr>
          <w:rFonts w:hint="cs"/>
          <w:rtl/>
          <w:lang w:bidi="ar-KW"/>
        </w:rPr>
        <w:t xml:space="preserve"> 38</w:t>
      </w:r>
      <w:r>
        <w:rPr>
          <w:rFonts w:hint="cs"/>
          <w:rtl/>
          <w:lang w:bidi="ar-KW"/>
        </w:rPr>
        <w:t>]</w:t>
      </w:r>
      <w:r w:rsidR="009C32A0">
        <w:rPr>
          <w:rFonts w:hint="cs"/>
          <w:rtl/>
          <w:lang w:bidi="ar-KW"/>
        </w:rPr>
        <w:t xml:space="preserve"> ولو كان مركبا من الأجزاء والأبعاض لكان محتاجا إليها وذلك يمنع من كونه غنيا على الإطلاق</w:t>
      </w:r>
      <w:r>
        <w:rPr>
          <w:rFonts w:hint="cs"/>
          <w:rtl/>
          <w:lang w:bidi="ar-KW"/>
        </w:rPr>
        <w:t>،</w:t>
      </w:r>
      <w:r w:rsidR="009C32A0">
        <w:rPr>
          <w:rFonts w:hint="cs"/>
          <w:rtl/>
          <w:lang w:bidi="ar-KW"/>
        </w:rPr>
        <w:t xml:space="preserve"> فثبت بهذه الوجوه أن القول بإثبات الأعضاء والأجزاء لله محال</w:t>
      </w:r>
      <w:r>
        <w:rPr>
          <w:rFonts w:hint="cs"/>
          <w:rtl/>
          <w:lang w:bidi="ar-KW"/>
        </w:rPr>
        <w:t>)</w:t>
      </w:r>
      <w:r w:rsidR="009C32A0">
        <w:rPr>
          <w:rFonts w:hint="cs"/>
          <w:rtl/>
          <w:lang w:bidi="ar-KW"/>
        </w:rPr>
        <w:t xml:space="preserve"> أهـ </w:t>
      </w:r>
      <w:r>
        <w:rPr>
          <w:rFonts w:hint="cs"/>
          <w:rtl/>
          <w:lang w:bidi="ar-KW"/>
        </w:rPr>
        <w:t>[</w:t>
      </w:r>
      <w:r w:rsidR="009C32A0">
        <w:rPr>
          <w:rFonts w:hint="cs"/>
          <w:rtl/>
          <w:lang w:bidi="ar-KW"/>
        </w:rPr>
        <w:t>تفسير مفاتح الغيب</w:t>
      </w:r>
      <w:r>
        <w:rPr>
          <w:rFonts w:hint="cs"/>
          <w:rtl/>
          <w:lang w:bidi="ar-KW"/>
        </w:rPr>
        <w:t>:</w:t>
      </w:r>
      <w:r w:rsidR="009C32A0">
        <w:rPr>
          <w:rFonts w:hint="cs"/>
          <w:rtl/>
          <w:lang w:bidi="ar-KW"/>
        </w:rPr>
        <w:t xml:space="preserve"> ج 13</w:t>
      </w:r>
      <w:r>
        <w:rPr>
          <w:rFonts w:hint="cs"/>
          <w:rtl/>
          <w:lang w:bidi="ar-KW"/>
        </w:rPr>
        <w:t>:</w:t>
      </w:r>
      <w:r w:rsidR="009C32A0">
        <w:rPr>
          <w:rFonts w:hint="cs"/>
          <w:rtl/>
          <w:lang w:bidi="ar-KW"/>
        </w:rPr>
        <w:t xml:space="preserve"> ص 212 إلى 214</w:t>
      </w:r>
      <w:r>
        <w:rPr>
          <w:rFonts w:hint="cs"/>
          <w:rtl/>
          <w:lang w:bidi="ar-KW"/>
        </w:rPr>
        <w:t>]،</w:t>
      </w:r>
    </w:p>
    <w:p w14:paraId="27DD6A88" w14:textId="79D7CC97" w:rsidR="009C32A0" w:rsidRDefault="000636C2" w:rsidP="000636C2">
      <w:pPr>
        <w:ind w:left="-58"/>
        <w:rPr>
          <w:b/>
          <w:rtl/>
        </w:rPr>
      </w:pPr>
      <w:r>
        <w:rPr>
          <w:rFonts w:hint="cs"/>
          <w:bCs/>
          <w:rtl/>
          <w:lang w:bidi="ar-KW"/>
        </w:rPr>
        <w:t>[</w:t>
      </w:r>
      <w:r w:rsidR="009C32A0">
        <w:rPr>
          <w:rFonts w:hint="cs"/>
          <w:bCs/>
          <w:rtl/>
          <w:lang w:bidi="ar-KW"/>
        </w:rPr>
        <w:t>8</w:t>
      </w:r>
      <w:r>
        <w:rPr>
          <w:rFonts w:hint="cs"/>
          <w:bCs/>
          <w:rtl/>
          <w:lang w:bidi="ar-KW"/>
        </w:rPr>
        <w:t>]:</w:t>
      </w:r>
      <w:r w:rsidR="009C32A0">
        <w:rPr>
          <w:rFonts w:hint="cs"/>
          <w:bCs/>
          <w:rtl/>
          <w:lang w:bidi="ar-KW"/>
        </w:rPr>
        <w:t xml:space="preserve"> القاعدة الثامنة</w:t>
      </w:r>
      <w:r>
        <w:rPr>
          <w:rFonts w:hint="cs"/>
          <w:bCs/>
          <w:rtl/>
          <w:lang w:bidi="ar-KW"/>
        </w:rPr>
        <w:t>:</w:t>
      </w:r>
      <w:r w:rsidR="009C32A0">
        <w:rPr>
          <w:rFonts w:hint="cs"/>
          <w:bCs/>
          <w:rtl/>
          <w:lang w:bidi="ar-KW"/>
        </w:rPr>
        <w:t xml:space="preserve"> تنزيه ذات الله تعالى عن التغير والحدوث</w:t>
      </w:r>
      <w:r>
        <w:rPr>
          <w:rFonts w:hint="cs"/>
          <w:bCs/>
          <w:rtl/>
          <w:lang w:bidi="ar-KW"/>
        </w:rPr>
        <w:t>،</w:t>
      </w:r>
      <w:r w:rsidR="009C32A0">
        <w:rPr>
          <w:rFonts w:hint="cs"/>
          <w:bCs/>
          <w:rtl/>
          <w:lang w:bidi="ar-KW"/>
        </w:rPr>
        <w:t xml:space="preserve"> وعن حلول الحوادث بذاته تقدس وتعالى لأنها صفات المخلوق</w:t>
      </w:r>
      <w:r>
        <w:rPr>
          <w:rFonts w:hint="cs"/>
          <w:bCs/>
          <w:rtl/>
          <w:lang w:bidi="ar-KW"/>
        </w:rPr>
        <w:t>:</w:t>
      </w:r>
      <w:r>
        <w:rPr>
          <w:rFonts w:cs="Monotype Koufi" w:hint="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الله عز وجل هو الأول فليس قبله شيء</w:t>
      </w:r>
      <w:r>
        <w:rPr>
          <w:rFonts w:hint="cs"/>
          <w:rtl/>
          <w:lang w:bidi="ar-KW"/>
        </w:rPr>
        <w:t>،</w:t>
      </w:r>
      <w:r w:rsidR="009C32A0">
        <w:rPr>
          <w:rFonts w:hint="cs"/>
          <w:rtl/>
          <w:lang w:bidi="ar-KW"/>
        </w:rPr>
        <w:t xml:space="preserve"> متصف سبحانه بالأولية في ذاته وصفاته</w:t>
      </w:r>
      <w:r>
        <w:rPr>
          <w:rFonts w:hint="cs"/>
          <w:rtl/>
          <w:lang w:bidi="ar-KW"/>
        </w:rPr>
        <w:t>،</w:t>
      </w:r>
      <w:r w:rsidR="009C32A0">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9C32A0">
        <w:rPr>
          <w:rFonts w:hint="cs"/>
          <w:rtl/>
        </w:rPr>
        <w:t xml:space="preserve"> نقص يتنزه عنه كمال الذات وبيان ذلك أن نقول</w:t>
      </w:r>
      <w:r>
        <w:rPr>
          <w:rFonts w:hint="cs"/>
          <w:rtl/>
        </w:rPr>
        <w:t xml:space="preserve">: </w:t>
      </w:r>
      <w:r>
        <w:rPr>
          <w:rFonts w:hint="cs"/>
          <w:rtl/>
          <w:lang w:bidi="ar-KW"/>
        </w:rPr>
        <w:t>(</w:t>
      </w:r>
      <w:r w:rsidR="009C32A0">
        <w:rPr>
          <w:rFonts w:hint="cs"/>
          <w:rtl/>
          <w:lang w:bidi="ar-KW"/>
        </w:rPr>
        <w:t>ب</w:t>
      </w:r>
      <w:r>
        <w:rPr>
          <w:rFonts w:hint="cs"/>
          <w:rtl/>
          <w:lang w:bidi="ar-KW"/>
        </w:rPr>
        <w:t>)</w:t>
      </w:r>
      <w:r w:rsidR="009C32A0">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9C32A0">
        <w:rPr>
          <w:rFonts w:hint="cs"/>
          <w:rtl/>
          <w:lang w:bidi="ar-KW"/>
        </w:rPr>
        <w:t xml:space="preserve"> </w:t>
      </w:r>
      <w:r w:rsidR="009C32A0">
        <w:rPr>
          <w:rFonts w:hint="cs"/>
          <w:rtl/>
        </w:rPr>
        <w:t xml:space="preserve">قوله تعالى </w:t>
      </w:r>
      <w:r>
        <w:rPr>
          <w:rFonts w:hint="cs"/>
          <w:rtl/>
        </w:rPr>
        <w:t>{</w:t>
      </w:r>
      <w:r w:rsidR="009C32A0">
        <w:rPr>
          <w:rFonts w:hint="cs"/>
          <w:rtl/>
        </w:rPr>
        <w:t>ليس كمثلِه شيء</w:t>
      </w:r>
      <w:r>
        <w:rPr>
          <w:rFonts w:hint="cs"/>
          <w:rtl/>
        </w:rPr>
        <w:t>}</w:t>
      </w:r>
      <w:r w:rsidR="009C32A0">
        <w:rPr>
          <w:rFonts w:hint="cs"/>
          <w:rtl/>
        </w:rPr>
        <w:t xml:space="preserve"> [سورة الشورى</w:t>
      </w:r>
      <w:r>
        <w:rPr>
          <w:rFonts w:hint="cs"/>
          <w:rtl/>
        </w:rPr>
        <w:t>:</w:t>
      </w:r>
      <w:r w:rsidR="009C32A0">
        <w:rPr>
          <w:rFonts w:hint="cs"/>
          <w:rtl/>
        </w:rPr>
        <w:t xml:space="preserve"> 11]</w:t>
      </w:r>
      <w:r>
        <w:rPr>
          <w:rFonts w:hint="cs"/>
          <w:rtl/>
        </w:rPr>
        <w:t>،</w:t>
      </w:r>
      <w:r w:rsidR="009C32A0">
        <w:rPr>
          <w:rFonts w:hint="cs"/>
          <w:rtl/>
        </w:rPr>
        <w:t xml:space="preserve"> في هذه الآية نفي المشابهة والمماثلة بين الله تعالى وخلقه ومعناه أن الله تعالى لا يشبه شيئًا من خلقه بوجه من الوجوه</w:t>
      </w:r>
      <w:r>
        <w:rPr>
          <w:rFonts w:hint="cs"/>
          <w:rtl/>
        </w:rPr>
        <w:t>،</w:t>
      </w:r>
      <w:r w:rsidR="009C32A0">
        <w:rPr>
          <w:rFonts w:hint="cs"/>
          <w:rtl/>
        </w:rPr>
        <w:t xml:space="preserve"> </w:t>
      </w:r>
      <w:r w:rsidR="009C32A0">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9C32A0">
        <w:rPr>
          <w:rFonts w:hint="cs"/>
          <w:rtl/>
          <w:lang w:bidi="ar-KW"/>
        </w:rPr>
        <w:t xml:space="preserve"> </w:t>
      </w:r>
      <w:r w:rsidR="009C32A0">
        <w:rPr>
          <w:rFonts w:hint="cs"/>
          <w:rtl/>
        </w:rPr>
        <w:t>وقوله تعالى</w:t>
      </w:r>
      <w:r>
        <w:rPr>
          <w:rFonts w:hint="cs"/>
          <w:rtl/>
        </w:rPr>
        <w:t>:</w:t>
      </w:r>
      <w:r w:rsidR="009C32A0">
        <w:rPr>
          <w:rFonts w:hint="cs"/>
          <w:rtl/>
        </w:rPr>
        <w:t xml:space="preserve"> </w:t>
      </w:r>
      <w:r>
        <w:rPr>
          <w:rFonts w:hint="cs"/>
          <w:rtl/>
        </w:rPr>
        <w:lastRenderedPageBreak/>
        <w:t>{</w:t>
      </w:r>
      <w:r w:rsidR="009C32A0">
        <w:rPr>
          <w:rFonts w:hint="cs"/>
          <w:rtl/>
        </w:rPr>
        <w:t>وللهِ المثَلُ الأعلى</w:t>
      </w:r>
      <w:r>
        <w:rPr>
          <w:rFonts w:hint="cs"/>
          <w:rtl/>
        </w:rPr>
        <w:t>}</w:t>
      </w:r>
      <w:r w:rsidR="009C32A0">
        <w:rPr>
          <w:rFonts w:hint="cs"/>
          <w:rtl/>
        </w:rPr>
        <w:t xml:space="preserve"> [سورة النحل</w:t>
      </w:r>
      <w:r>
        <w:rPr>
          <w:rFonts w:hint="cs"/>
          <w:rtl/>
        </w:rPr>
        <w:t>:</w:t>
      </w:r>
      <w:r w:rsidR="009C32A0">
        <w:rPr>
          <w:rFonts w:hint="cs"/>
          <w:rtl/>
        </w:rPr>
        <w:t>60] أي الوصف الذي لا يشبه وصف غيره</w:t>
      </w:r>
      <w:r>
        <w:rPr>
          <w:rFonts w:hint="cs"/>
          <w:rtl/>
        </w:rPr>
        <w:t>،</w:t>
      </w:r>
      <w:r w:rsidR="009C32A0">
        <w:rPr>
          <w:rFonts w:hint="cs"/>
          <w:rtl/>
        </w:rPr>
        <w:t xml:space="preserve"> فلا يوصف ربنا عزَّ وجلَّ بصفات المخلوقين من </w:t>
      </w:r>
      <w:r w:rsidR="009C32A0">
        <w:rPr>
          <w:rFonts w:hint="cs"/>
          <w:rtl/>
          <w:lang w:bidi="ar-KW"/>
        </w:rPr>
        <w:t>التغير والحدوث وقبول الحوادث</w:t>
      </w:r>
      <w:r>
        <w:rPr>
          <w:rFonts w:hint="cs"/>
          <w:rtl/>
          <w:lang w:bidi="ar-KW"/>
        </w:rPr>
        <w:t>،</w:t>
      </w:r>
      <w:r w:rsidR="009C32A0">
        <w:rPr>
          <w:rFonts w:hint="cs"/>
          <w:rtl/>
          <w:lang w:bidi="ar-KW"/>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فلا تضربوا للهِ الأمثال</w:t>
      </w:r>
      <w:r>
        <w:rPr>
          <w:rFonts w:hint="cs"/>
          <w:rtl/>
        </w:rPr>
        <w:t xml:space="preserve">} </w:t>
      </w:r>
      <w:r w:rsidR="009C32A0">
        <w:rPr>
          <w:rFonts w:hint="cs"/>
          <w:rtl/>
        </w:rPr>
        <w:t>[سورة النحل</w:t>
      </w:r>
      <w:r>
        <w:rPr>
          <w:rFonts w:hint="cs"/>
          <w:rtl/>
        </w:rPr>
        <w:t>:</w:t>
      </w:r>
      <w:r w:rsidR="009C32A0">
        <w:rPr>
          <w:rFonts w:hint="cs"/>
          <w:rtl/>
        </w:rPr>
        <w:t xml:space="preserve"> 74]</w:t>
      </w:r>
      <w:r>
        <w:rPr>
          <w:rFonts w:hint="cs"/>
          <w:rtl/>
        </w:rPr>
        <w:t>،</w:t>
      </w:r>
      <w:r w:rsidR="009C32A0">
        <w:rPr>
          <w:rFonts w:hint="cs"/>
          <w:rtl/>
        </w:rPr>
        <w:t xml:space="preserve"> أي لا تجعلوا لله الشبيهَ والمِثْل فإن اللهَ تعالى لا شبيه له ولا مثيل له</w:t>
      </w:r>
      <w:r>
        <w:rPr>
          <w:rFonts w:hint="cs"/>
          <w:rtl/>
        </w:rPr>
        <w:t>،</w:t>
      </w:r>
      <w:r w:rsidR="009C32A0">
        <w:rPr>
          <w:rFonts w:hint="cs"/>
          <w:rtl/>
        </w:rPr>
        <w:t xml:space="preserve"> فذاتُه سبحانه لا يشبه الذواتِ</w:t>
      </w:r>
      <w:r>
        <w:rPr>
          <w:rFonts w:hint="cs"/>
          <w:rtl/>
        </w:rPr>
        <w:t>،</w:t>
      </w:r>
      <w:r w:rsidR="009C32A0">
        <w:rPr>
          <w:rFonts w:hint="cs"/>
          <w:rtl/>
        </w:rPr>
        <w:t xml:space="preserve"> و</w:t>
      </w:r>
      <w:r w:rsidR="009C32A0">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9C32A0">
        <w:rPr>
          <w:rFonts w:hint="cs"/>
          <w:rtl/>
          <w:lang w:bidi="ar-KW"/>
        </w:rPr>
        <w:t xml:space="preserve"> </w:t>
      </w:r>
      <w:r w:rsidR="009C32A0">
        <w:rPr>
          <w:rFonts w:hint="cs"/>
          <w:rtl/>
        </w:rPr>
        <w:t>وقوله تعالى</w:t>
      </w:r>
      <w:r>
        <w:rPr>
          <w:rFonts w:hint="cs"/>
          <w:rtl/>
        </w:rPr>
        <w:t>: {</w:t>
      </w:r>
      <w:r w:rsidR="009C32A0">
        <w:rPr>
          <w:rFonts w:hint="cs"/>
          <w:rtl/>
        </w:rPr>
        <w:t>هل تعلمُ لهُ سميًّا</w:t>
      </w:r>
      <w:r>
        <w:rPr>
          <w:rFonts w:hint="cs"/>
          <w:rtl/>
        </w:rPr>
        <w:t xml:space="preserve">} </w:t>
      </w:r>
      <w:r w:rsidR="009C32A0">
        <w:rPr>
          <w:rFonts w:hint="cs"/>
          <w:rtl/>
        </w:rPr>
        <w:t>[سورة مريم</w:t>
      </w:r>
      <w:r>
        <w:rPr>
          <w:rFonts w:hint="cs"/>
          <w:rtl/>
        </w:rPr>
        <w:t>:</w:t>
      </w:r>
      <w:r w:rsidR="009C32A0">
        <w:rPr>
          <w:rFonts w:hint="cs"/>
          <w:rtl/>
        </w:rPr>
        <w:t xml:space="preserve"> 65</w:t>
      </w:r>
      <w:r>
        <w:rPr>
          <w:rFonts w:hint="cs"/>
          <w:rtl/>
        </w:rPr>
        <w:t>]</w:t>
      </w:r>
      <w:r w:rsidR="009C32A0">
        <w:rPr>
          <w:rFonts w:hint="cs"/>
          <w:rtl/>
        </w:rPr>
        <w:t xml:space="preserve"> أي مِثلاً</w:t>
      </w:r>
      <w:r>
        <w:rPr>
          <w:rFonts w:hint="cs"/>
          <w:rtl/>
        </w:rPr>
        <w:t>،</w:t>
      </w:r>
      <w:r w:rsidR="009C32A0">
        <w:rPr>
          <w:rFonts w:hint="cs"/>
          <w:rtl/>
        </w:rPr>
        <w:t xml:space="preserve"> فالله تعالى لا مِثْلَ له ولا شبيه ولا نظير</w:t>
      </w:r>
      <w:r>
        <w:rPr>
          <w:rFonts w:hint="cs"/>
          <w:rtl/>
        </w:rPr>
        <w:t>،</w:t>
      </w:r>
      <w:r w:rsidR="009C32A0">
        <w:rPr>
          <w:rFonts w:hint="cs"/>
          <w:rtl/>
        </w:rPr>
        <w:t xml:space="preserve"> فذاتُه سبحانه لا يشبه الذواتِ و</w:t>
      </w:r>
      <w:r w:rsidR="009C32A0">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9C32A0">
        <w:rPr>
          <w:rFonts w:hint="cs"/>
          <w:rtl/>
          <w:lang w:bidi="ar-KW"/>
        </w:rPr>
        <w:t xml:space="preserve"> </w:t>
      </w:r>
      <w:r w:rsidR="009C32A0">
        <w:rPr>
          <w:rFonts w:hint="cs"/>
          <w:rtl/>
        </w:rPr>
        <w:t>وقوله تعالى</w:t>
      </w:r>
      <w:r>
        <w:rPr>
          <w:rFonts w:hint="cs"/>
          <w:rtl/>
        </w:rPr>
        <w:t>:</w:t>
      </w:r>
      <w:r w:rsidR="009C32A0">
        <w:rPr>
          <w:rFonts w:hint="cs"/>
          <w:rtl/>
        </w:rPr>
        <w:t xml:space="preserve"> </w:t>
      </w:r>
      <w:r>
        <w:rPr>
          <w:rFonts w:hint="cs"/>
          <w:rtl/>
        </w:rPr>
        <w:t>{</w:t>
      </w:r>
      <w:r w:rsidR="009C32A0">
        <w:rPr>
          <w:rFonts w:hint="cs"/>
          <w:rtl/>
        </w:rPr>
        <w:t>وَلَمْ يَكُن لَّهُ كُفُوًا أَحَدٌ</w:t>
      </w:r>
      <w:r>
        <w:rPr>
          <w:rFonts w:hint="cs"/>
          <w:rtl/>
        </w:rPr>
        <w:t>}</w:t>
      </w:r>
      <w:r w:rsidR="009C32A0">
        <w:rPr>
          <w:rFonts w:hint="cs"/>
          <w:rtl/>
        </w:rPr>
        <w:t xml:space="preserve"> [سورة الإخلاص</w:t>
      </w:r>
      <w:r>
        <w:rPr>
          <w:rFonts w:hint="cs"/>
          <w:rtl/>
        </w:rPr>
        <w:t>:</w:t>
      </w:r>
      <w:r w:rsidR="009C32A0">
        <w:rPr>
          <w:rFonts w:hint="cs"/>
          <w:rtl/>
        </w:rPr>
        <w:t xml:space="preserve"> 4] أي لا نظير له بوجه من الوجوه</w:t>
      </w:r>
      <w:r>
        <w:rPr>
          <w:rFonts w:hint="cs"/>
          <w:rtl/>
        </w:rPr>
        <w:t>،</w:t>
      </w:r>
      <w:r w:rsidR="009C32A0">
        <w:rPr>
          <w:rFonts w:hint="cs"/>
          <w:rtl/>
        </w:rPr>
        <w:t xml:space="preserve"> ولا كفء له ولا شبيه</w:t>
      </w:r>
      <w:r>
        <w:rPr>
          <w:rFonts w:hint="cs"/>
          <w:rtl/>
        </w:rPr>
        <w:t>،</w:t>
      </w:r>
      <w:r w:rsidR="009C32A0">
        <w:rPr>
          <w:rFonts w:hint="cs"/>
          <w:rtl/>
        </w:rPr>
        <w:t xml:space="preserve"> فلا يوصف ربنا عزَّ وجلَّ بصفات المخلوقين من </w:t>
      </w:r>
      <w:r w:rsidR="009C32A0">
        <w:rPr>
          <w:rFonts w:hint="cs"/>
          <w:rtl/>
          <w:lang w:bidi="ar-KW"/>
        </w:rPr>
        <w:t>التغير والحدوث وقبول الحوادث</w:t>
      </w:r>
      <w:r>
        <w:rPr>
          <w:rFonts w:hint="cs"/>
          <w:rtl/>
          <w:lang w:bidi="ar-KW"/>
        </w:rPr>
        <w:t>،</w:t>
      </w:r>
      <w:r w:rsidR="009C32A0">
        <w:rPr>
          <w:rFonts w:hint="cs"/>
          <w:rtl/>
          <w:lang w:bidi="ar-KW"/>
        </w:rPr>
        <w:t xml:space="preserve"> </w:t>
      </w:r>
      <w:r>
        <w:rPr>
          <w:rFonts w:hint="cs"/>
          <w:rtl/>
        </w:rPr>
        <w:t>(</w:t>
      </w:r>
      <w:r w:rsidR="009C32A0">
        <w:rPr>
          <w:rFonts w:hint="cs"/>
          <w:rtl/>
        </w:rPr>
        <w:t>ت</w:t>
      </w:r>
      <w:r>
        <w:rPr>
          <w:rFonts w:hint="cs"/>
          <w:rtl/>
        </w:rPr>
        <w:t>)</w:t>
      </w:r>
      <w:r w:rsidR="009C32A0">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9C32A0">
        <w:rPr>
          <w:rFonts w:hint="cs"/>
          <w:rtl/>
        </w:rPr>
        <w:t xml:space="preserve"> </w:t>
      </w:r>
      <w:r>
        <w:rPr>
          <w:rFonts w:hint="cs"/>
          <w:rtl/>
        </w:rPr>
        <w:t>{</w:t>
      </w:r>
      <w:r w:rsidR="009C32A0">
        <w:rPr>
          <w:rFonts w:hint="cs"/>
          <w:rtl/>
        </w:rPr>
        <w:t>قَالَ هَذَا رَبِّي فَلَمَّا أَفَلَ قَالَ لَا أُحِبُّ الْآفِلِينَ</w:t>
      </w:r>
      <w:r>
        <w:rPr>
          <w:rFonts w:hint="cs"/>
          <w:rtl/>
        </w:rPr>
        <w:t>} [</w:t>
      </w:r>
      <w:r w:rsidR="009C32A0">
        <w:rPr>
          <w:rFonts w:hint="cs"/>
          <w:rtl/>
        </w:rPr>
        <w:t>الأنعام</w:t>
      </w:r>
      <w:r>
        <w:rPr>
          <w:rFonts w:hint="cs"/>
          <w:rtl/>
        </w:rPr>
        <w:t>:</w:t>
      </w:r>
      <w:r w:rsidR="009C32A0">
        <w:rPr>
          <w:rFonts w:hint="cs"/>
          <w:rtl/>
        </w:rPr>
        <w:t xml:space="preserve"> 76]</w:t>
      </w:r>
      <w:r>
        <w:rPr>
          <w:rFonts w:hint="cs"/>
          <w:rtl/>
        </w:rPr>
        <w:t>،</w:t>
      </w:r>
      <w:r w:rsidR="009C32A0">
        <w:rPr>
          <w:rFonts w:hint="cs"/>
          <w:rtl/>
        </w:rPr>
        <w:t xml:space="preserve"> قال المفسرون</w:t>
      </w:r>
      <w:r>
        <w:rPr>
          <w:rFonts w:hint="cs"/>
          <w:rtl/>
        </w:rPr>
        <w:t>:</w:t>
      </w:r>
      <w:r w:rsidR="009C32A0">
        <w:rPr>
          <w:rFonts w:hint="cs"/>
          <w:rtl/>
        </w:rPr>
        <w:t>قال ذلك لقومه تنبيها لهم على أن القمر لتغير حاله لا يصلح للإلهية وأن من اتخذه إلها فهو ضال</w:t>
      </w:r>
      <w:r>
        <w:rPr>
          <w:rFonts w:hint="cs"/>
          <w:rtl/>
        </w:rPr>
        <w:t>،</w:t>
      </w:r>
      <w:r w:rsidR="009C32A0">
        <w:rPr>
          <w:rFonts w:hint="cs"/>
          <w:rtl/>
        </w:rPr>
        <w:t xml:space="preserve"> وتنبيها لهم أن الله دائم لا يزول</w:t>
      </w:r>
      <w:r>
        <w:rPr>
          <w:rFonts w:hint="cs"/>
          <w:rtl/>
        </w:rPr>
        <w:t>،</w:t>
      </w:r>
      <w:r w:rsidR="009C32A0">
        <w:rPr>
          <w:rFonts w:hint="cs"/>
          <w:rtl/>
        </w:rPr>
        <w:t xml:space="preserve"> وأن الزوال نقص لا يصلح للإله المتصف بالكمال وأن </w:t>
      </w:r>
      <w:r>
        <w:rPr>
          <w:rFonts w:hint="cs"/>
          <w:rtl/>
        </w:rPr>
        <w:t>(</w:t>
      </w:r>
      <w:r w:rsidR="009C32A0">
        <w:rPr>
          <w:rFonts w:hint="cs"/>
          <w:rtl/>
        </w:rPr>
        <w:t>الآفلين</w:t>
      </w:r>
      <w:r>
        <w:rPr>
          <w:rFonts w:hint="cs"/>
          <w:rtl/>
        </w:rPr>
        <w:t>)</w:t>
      </w:r>
      <w:r w:rsidR="009C32A0">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9C32A0">
        <w:rPr>
          <w:rFonts w:hint="cs"/>
          <w:rtl/>
        </w:rPr>
        <w:t xml:space="preserve"> وتنبيها على أن من غاب بعد الظهور كان حادثا مسخرا وليس برب أزلي أول ليس بمحدث</w:t>
      </w:r>
      <w:r>
        <w:rPr>
          <w:rFonts w:hint="cs"/>
          <w:rtl/>
        </w:rPr>
        <w:t>،</w:t>
      </w:r>
      <w:r w:rsidR="009C32A0">
        <w:rPr>
          <w:rFonts w:hint="cs"/>
          <w:rtl/>
        </w:rPr>
        <w:t xml:space="preserve"> منزه عما لا يليق بذاته الأقدس من لوازم الإمكان ولواحق التغير والحدوث</w:t>
      </w:r>
      <w:r>
        <w:rPr>
          <w:rFonts w:hint="cs"/>
          <w:rtl/>
        </w:rPr>
        <w:t>،</w:t>
      </w:r>
      <w:r w:rsidR="009C32A0">
        <w:rPr>
          <w:rFonts w:hint="cs"/>
          <w:rtl/>
        </w:rPr>
        <w:t xml:space="preserve"> ولهذا تبرأ من آلهتهم بقوله عليه السلام في سورة الأنعام</w:t>
      </w:r>
      <w:r>
        <w:rPr>
          <w:rFonts w:hint="cs"/>
          <w:rtl/>
        </w:rPr>
        <w:t>،</w:t>
      </w:r>
      <w:r w:rsidR="009C32A0">
        <w:rPr>
          <w:rFonts w:hint="cs"/>
          <w:rtl/>
        </w:rPr>
        <w:t xml:space="preserve"> قال تعالى</w:t>
      </w:r>
      <w:r>
        <w:rPr>
          <w:rFonts w:hint="cs"/>
          <w:rtl/>
        </w:rPr>
        <w:t>:</w:t>
      </w:r>
      <w:r w:rsidR="009C32A0">
        <w:rPr>
          <w:rFonts w:hint="cs"/>
          <w:rtl/>
        </w:rPr>
        <w:t xml:space="preserve"> </w:t>
      </w:r>
      <w:r>
        <w:rPr>
          <w:rFonts w:hint="cs"/>
          <w:rtl/>
        </w:rPr>
        <w:t>{</w:t>
      </w:r>
      <w:r w:rsidR="009C32A0">
        <w:rPr>
          <w:rFonts w:hint="cs"/>
          <w:rtl/>
        </w:rPr>
        <w:t>قَالَ يَا قَوْمِ إِنِّي بَرِيءٌ مِمَّا تُشْرِكُونَ * إِنِّي وَجَّهْتُ وَجْهِيَ لِلَّذِي فَطَرَ السَّمَوَاتِ وَالْأَرْضَ حَنِيفًا وَمَا أَنَا مِنَ الْمُشْرِكِينَ</w:t>
      </w:r>
      <w:r>
        <w:rPr>
          <w:rFonts w:hint="cs"/>
          <w:rtl/>
        </w:rPr>
        <w:t>}</w:t>
      </w:r>
      <w:r w:rsidR="009C32A0">
        <w:rPr>
          <w:rFonts w:hint="cs"/>
          <w:rtl/>
        </w:rPr>
        <w:t xml:space="preserve"> </w:t>
      </w:r>
      <w:r>
        <w:rPr>
          <w:rFonts w:hint="cs"/>
          <w:rtl/>
        </w:rPr>
        <w:t>[</w:t>
      </w:r>
      <w:r w:rsidR="009C32A0">
        <w:rPr>
          <w:rFonts w:hint="cs"/>
          <w:rtl/>
        </w:rPr>
        <w:t>الأنعام</w:t>
      </w:r>
      <w:r>
        <w:rPr>
          <w:rFonts w:hint="cs"/>
          <w:rtl/>
        </w:rPr>
        <w:t>:</w:t>
      </w:r>
      <w:r w:rsidR="009C32A0">
        <w:rPr>
          <w:rFonts w:hint="cs"/>
          <w:rtl/>
        </w:rPr>
        <w:t xml:space="preserve"> 78</w:t>
      </w:r>
      <w:r>
        <w:rPr>
          <w:rFonts w:hint="cs"/>
          <w:rtl/>
        </w:rPr>
        <w:t>،</w:t>
      </w:r>
      <w:r w:rsidR="009C32A0">
        <w:rPr>
          <w:rFonts w:hint="cs"/>
          <w:rtl/>
        </w:rPr>
        <w:t xml:space="preserve"> 79</w:t>
      </w:r>
      <w:r>
        <w:rPr>
          <w:rFonts w:hint="cs"/>
          <w:rtl/>
        </w:rPr>
        <w:t xml:space="preserve">]، </w:t>
      </w:r>
      <w:r w:rsidR="009C32A0">
        <w:rPr>
          <w:rFonts w:hint="cs"/>
          <w:rtl/>
        </w:rPr>
        <w:t>ومعناه</w:t>
      </w:r>
      <w:r>
        <w:rPr>
          <w:rFonts w:hint="cs"/>
          <w:rtl/>
        </w:rPr>
        <w:t xml:space="preserve"> </w:t>
      </w:r>
      <w:r w:rsidR="009C32A0">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 (</w:t>
      </w:r>
      <w:r w:rsidR="009C32A0">
        <w:rPr>
          <w:rFonts w:hint="cs"/>
          <w:rtl/>
        </w:rPr>
        <w:t>ث</w:t>
      </w:r>
      <w:r>
        <w:rPr>
          <w:rFonts w:hint="cs"/>
          <w:rtl/>
        </w:rPr>
        <w:t>)</w:t>
      </w:r>
      <w:r w:rsidR="009C32A0">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9C32A0">
        <w:rPr>
          <w:rFonts w:hint="cs"/>
          <w:rtl/>
        </w:rPr>
        <w:t xml:space="preserve"> فكل متغير يقبل الظهور تارة و الاختفاء تارة</w:t>
      </w:r>
      <w:r>
        <w:rPr>
          <w:rFonts w:hint="cs"/>
          <w:rtl/>
        </w:rPr>
        <w:t xml:space="preserve"> </w:t>
      </w:r>
      <w:r w:rsidR="009C32A0">
        <w:rPr>
          <w:rFonts w:hint="cs"/>
          <w:rtl/>
        </w:rPr>
        <w:t>والتأثير تارة والزوال تارة أخري لا يصلح أن يكون إلها البتة</w:t>
      </w:r>
      <w:r>
        <w:rPr>
          <w:rFonts w:eastAsia="Times New Roman" w:hint="cs"/>
          <w:rtl/>
        </w:rPr>
        <w:t xml:space="preserve">، </w:t>
      </w:r>
      <w:r>
        <w:rPr>
          <w:rFonts w:hint="cs"/>
          <w:rtl/>
        </w:rPr>
        <w:t>(</w:t>
      </w:r>
      <w:r w:rsidR="009C32A0">
        <w:rPr>
          <w:rFonts w:hint="cs"/>
          <w:rtl/>
        </w:rPr>
        <w:t>ج</w:t>
      </w:r>
      <w:r>
        <w:rPr>
          <w:rFonts w:hint="cs"/>
          <w:rtl/>
        </w:rPr>
        <w:t>)</w:t>
      </w:r>
      <w:r w:rsidR="009C32A0">
        <w:rPr>
          <w:rFonts w:hint="cs"/>
          <w:rtl/>
        </w:rPr>
        <w:t xml:space="preserve"> كما أن ذات الله تعالى منزه عن التغير والحدوث</w:t>
      </w:r>
      <w:r>
        <w:rPr>
          <w:rFonts w:hint="cs"/>
          <w:rtl/>
        </w:rPr>
        <w:t>،</w:t>
      </w:r>
      <w:r w:rsidR="009C32A0">
        <w:rPr>
          <w:rFonts w:hint="cs"/>
          <w:rtl/>
        </w:rPr>
        <w:t xml:space="preserve"> فإنه سبحانه منزه عن قبول الحوادث</w:t>
      </w:r>
      <w:r>
        <w:rPr>
          <w:rFonts w:hint="cs"/>
          <w:rtl/>
        </w:rPr>
        <w:t>،</w:t>
      </w:r>
      <w:r w:rsidR="009C32A0">
        <w:rPr>
          <w:rFonts w:hint="cs"/>
          <w:rtl/>
        </w:rPr>
        <w:t xml:space="preserve"> لأنه لو قبل شيء من الحوادث لكان جزء من الذات حادثا وهذا محال لأن الله تعالى أحدي الذات صمدي الصفات لا </w:t>
      </w:r>
      <w:r w:rsidR="009C32A0">
        <w:rPr>
          <w:rFonts w:hint="cs"/>
          <w:rtl/>
        </w:rPr>
        <w:lastRenderedPageBreak/>
        <w:t>تقبل ذاته التجزؤ ويستحيل عليها قبول الحادث والأول الأزلي منزه عن أي حادث وإلا كان حادثا</w:t>
      </w:r>
      <w:r>
        <w:rPr>
          <w:rFonts w:hint="cs"/>
          <w:rtl/>
        </w:rPr>
        <w:t>،</w:t>
      </w:r>
      <w:r w:rsidR="009C32A0">
        <w:rPr>
          <w:rFonts w:hint="cs"/>
          <w:rtl/>
        </w:rPr>
        <w:t xml:space="preserve"> ولهذا اتفق العارفون بأصول الدين وقواعد التنزيه بأن ما قبل الحوادث فهو حادث</w:t>
      </w:r>
      <w:r>
        <w:rPr>
          <w:rFonts w:hint="cs"/>
          <w:rtl/>
        </w:rPr>
        <w:t>،</w:t>
      </w:r>
      <w:r w:rsidR="009C32A0">
        <w:rPr>
          <w:rFonts w:hint="cs"/>
          <w:rtl/>
        </w:rPr>
        <w:t xml:space="preserve"> وانه ليس في ذات الله تعالى محدث ولا مخلوق لأنه الأول الخالق سبحانه</w:t>
      </w:r>
      <w:r>
        <w:rPr>
          <w:rFonts w:eastAsiaTheme="minorEastAsia" w:hint="cs"/>
          <w:rtl/>
        </w:rPr>
        <w:t xml:space="preserve">، </w:t>
      </w:r>
      <w:r>
        <w:rPr>
          <w:rFonts w:hint="cs"/>
          <w:rtl/>
        </w:rPr>
        <w:t>(</w:t>
      </w:r>
      <w:r w:rsidR="009C32A0">
        <w:rPr>
          <w:rFonts w:hint="cs"/>
          <w:rtl/>
        </w:rPr>
        <w:t>ح</w:t>
      </w:r>
      <w:r>
        <w:rPr>
          <w:rFonts w:hint="cs"/>
          <w:rtl/>
        </w:rPr>
        <w:t>)</w:t>
      </w:r>
      <w:r w:rsidR="009C32A0">
        <w:rPr>
          <w:rFonts w:hint="cs"/>
          <w:rtl/>
        </w:rPr>
        <w:t xml:space="preserve"> قبول الحوادث</w:t>
      </w:r>
      <w:r>
        <w:rPr>
          <w:rFonts w:hint="cs"/>
          <w:rtl/>
        </w:rPr>
        <w:t xml:space="preserve"> </w:t>
      </w:r>
      <w:r w:rsidR="009C32A0">
        <w:rPr>
          <w:rFonts w:hint="cs"/>
          <w:rtl/>
        </w:rPr>
        <w:t>ينافي الأولية والأزلية التي يتصف بها ذات الله تقدس وتعالى</w:t>
      </w:r>
      <w:r>
        <w:rPr>
          <w:rFonts w:hint="cs"/>
          <w:rtl/>
        </w:rPr>
        <w:t>،</w:t>
      </w:r>
      <w:r w:rsidR="009C32A0">
        <w:rPr>
          <w:rFonts w:hint="cs"/>
          <w:rtl/>
        </w:rPr>
        <w:t xml:space="preserve"> وينافي كمال الذات والصفات</w:t>
      </w:r>
      <w:r>
        <w:rPr>
          <w:rFonts w:hint="cs"/>
          <w:rtl/>
        </w:rPr>
        <w:t>،</w:t>
      </w:r>
      <w:r w:rsidR="009C32A0">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 (</w:t>
      </w:r>
      <w:r w:rsidR="009C32A0">
        <w:rPr>
          <w:rFonts w:hint="cs"/>
          <w:rtl/>
        </w:rPr>
        <w:t>خ</w:t>
      </w:r>
      <w:r>
        <w:rPr>
          <w:rFonts w:hint="cs"/>
          <w:rtl/>
        </w:rPr>
        <w:t>)</w:t>
      </w:r>
      <w:r w:rsidR="009C32A0">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9C32A0">
        <w:rPr>
          <w:rFonts w:hint="cs"/>
          <w:rtl/>
        </w:rPr>
        <w:t xml:space="preserve"> لأنّ الحوادث تستلزم التغيّر</w:t>
      </w:r>
      <w:r>
        <w:rPr>
          <w:rFonts w:hint="cs"/>
          <w:rtl/>
        </w:rPr>
        <w:t xml:space="preserve">، </w:t>
      </w:r>
      <w:r w:rsidR="009C32A0">
        <w:rPr>
          <w:rFonts w:hint="cs"/>
          <w:rtl/>
        </w:rPr>
        <w:t>والذات التي يطرأ عليها الحوادث تتغيّر وتنتقل من حالة إلى أخرى بسبب ما اكتسبته من الحوادث</w:t>
      </w:r>
      <w:r>
        <w:rPr>
          <w:rFonts w:hint="cs"/>
          <w:rtl/>
        </w:rPr>
        <w:t>،</w:t>
      </w:r>
      <w:r w:rsidR="009C32A0">
        <w:rPr>
          <w:rFonts w:hint="cs"/>
          <w:rtl/>
        </w:rPr>
        <w:t xml:space="preserve"> والله تعالى منزه عن التغير والأفول</w:t>
      </w:r>
      <w:r>
        <w:rPr>
          <w:rFonts w:hint="cs"/>
          <w:rtl/>
        </w:rPr>
        <w:t>،</w:t>
      </w:r>
      <w:r w:rsidR="009C32A0">
        <w:rPr>
          <w:rFonts w:hint="cs"/>
          <w:rtl/>
        </w:rPr>
        <w:t xml:space="preserve"> كما أنّ قبول الحوادث من صفات الأجسام الحادثة</w:t>
      </w:r>
      <w:r>
        <w:rPr>
          <w:rFonts w:hint="cs"/>
          <w:rtl/>
        </w:rPr>
        <w:t>،</w:t>
      </w:r>
      <w:r w:rsidR="009C32A0">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9C32A0">
        <w:rPr>
          <w:rFonts w:hint="cs"/>
          <w:rtl/>
        </w:rPr>
        <w:t xml:space="preserve"> وبما أنّه تعالى منزّه عن الأمور المادية والجسمانية</w:t>
      </w:r>
      <w:r>
        <w:rPr>
          <w:rFonts w:hint="cs"/>
          <w:rtl/>
        </w:rPr>
        <w:t>،</w:t>
      </w:r>
      <w:r w:rsidR="009C32A0">
        <w:rPr>
          <w:rFonts w:hint="cs"/>
          <w:rtl/>
        </w:rPr>
        <w:t xml:space="preserve"> فلهذا يستحيل عليه أن يكون محلاًّ للحوادث</w:t>
      </w:r>
      <w:r>
        <w:rPr>
          <w:rFonts w:hint="cs"/>
          <w:rtl/>
        </w:rPr>
        <w:t>،</w:t>
      </w:r>
      <w:r w:rsidR="009C32A0">
        <w:rPr>
          <w:rFonts w:hint="cs"/>
          <w:rtl/>
        </w:rPr>
        <w:t xml:space="preserve"> </w:t>
      </w:r>
      <w:r>
        <w:rPr>
          <w:rFonts w:hint="cs"/>
          <w:rtl/>
        </w:rPr>
        <w:t>(</w:t>
      </w:r>
      <w:r w:rsidR="009C32A0">
        <w:rPr>
          <w:rFonts w:hint="cs"/>
          <w:rtl/>
        </w:rPr>
        <w:t>د</w:t>
      </w:r>
      <w:r>
        <w:rPr>
          <w:rFonts w:hint="cs"/>
          <w:rtl/>
        </w:rPr>
        <w:t>)</w:t>
      </w:r>
      <w:r w:rsidR="009C32A0">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9C32A0">
        <w:rPr>
          <w:rFonts w:hint="cs"/>
          <w:rtl/>
        </w:rPr>
        <w:t xml:space="preserve"> ومحاذير قولهم عظيمة</w:t>
      </w:r>
      <w:r>
        <w:rPr>
          <w:rFonts w:hint="cs"/>
          <w:rtl/>
        </w:rPr>
        <w:t>،</w:t>
      </w:r>
      <w:r w:rsidR="009C32A0">
        <w:rPr>
          <w:rFonts w:hint="cs"/>
          <w:rtl/>
        </w:rPr>
        <w:t xml:space="preserve"> منها</w:t>
      </w:r>
      <w:r>
        <w:rPr>
          <w:rFonts w:hint="cs"/>
          <w:rtl/>
        </w:rPr>
        <w:t>:</w:t>
      </w:r>
      <w:r w:rsidR="009C32A0">
        <w:rPr>
          <w:rFonts w:hint="cs"/>
          <w:rtl/>
        </w:rPr>
        <w:t xml:space="preserve"> أنهم يزعمون أن ذات الله تعالى تقبل الحوادث وهذا معارض بأحدية الذات فإن الله </w:t>
      </w:r>
      <w:r>
        <w:rPr>
          <w:rFonts w:hint="cs"/>
          <w:rtl/>
        </w:rPr>
        <w:t>(</w:t>
      </w:r>
      <w:r w:rsidR="009C32A0">
        <w:rPr>
          <w:rFonts w:hint="cs"/>
          <w:rtl/>
        </w:rPr>
        <w:t>أحد صمد</w:t>
      </w:r>
      <w:r>
        <w:rPr>
          <w:rFonts w:hint="cs"/>
          <w:rtl/>
        </w:rPr>
        <w:t xml:space="preserve">) </w:t>
      </w:r>
      <w:r w:rsidR="009C32A0">
        <w:rPr>
          <w:rFonts w:hint="cs"/>
          <w:rtl/>
        </w:rPr>
        <w:t>لا تتجزأ ذاته ولا تقبل شيئا محدثا فيها</w:t>
      </w:r>
      <w:r>
        <w:rPr>
          <w:rFonts w:hint="cs"/>
          <w:rtl/>
        </w:rPr>
        <w:t>،</w:t>
      </w:r>
      <w:r w:rsidR="009C32A0">
        <w:rPr>
          <w:rFonts w:hint="cs"/>
          <w:rtl/>
        </w:rPr>
        <w:t xml:space="preserve"> ومنها أنّ</w:t>
      </w:r>
      <w:r w:rsidR="009C32A0">
        <w:rPr>
          <w:rFonts w:hint="cs"/>
          <w:rtl/>
        </w:rPr>
        <w:tab/>
        <w:t xml:space="preserve">القول بقبول ذات الله </w:t>
      </w:r>
      <w:r>
        <w:rPr>
          <w:rFonts w:hint="cs"/>
          <w:rtl/>
        </w:rPr>
        <w:t>(</w:t>
      </w:r>
      <w:r w:rsidR="009C32A0">
        <w:rPr>
          <w:rFonts w:hint="cs"/>
          <w:rtl/>
        </w:rPr>
        <w:t>سبحانه</w:t>
      </w:r>
      <w:r>
        <w:rPr>
          <w:rFonts w:hint="cs"/>
          <w:rtl/>
        </w:rPr>
        <w:t>)</w:t>
      </w:r>
      <w:r w:rsidR="009C32A0">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9C32A0">
        <w:rPr>
          <w:rFonts w:hint="cs"/>
          <w:rtl/>
        </w:rPr>
        <w:t xml:space="preserve"> فهل يقبلون</w:t>
      </w:r>
      <w:r>
        <w:rPr>
          <w:rFonts w:hint="cs"/>
          <w:rtl/>
        </w:rPr>
        <w:t xml:space="preserve"> </w:t>
      </w:r>
      <w:r w:rsidR="009C32A0">
        <w:rPr>
          <w:rFonts w:hint="cs"/>
          <w:rtl/>
        </w:rPr>
        <w:t>بهذا القول الفاحش الذي يؤول إلى القول بالإتحاد والحلول للمخلوق والخالق سبحان الله عما يصفون</w:t>
      </w:r>
      <w:r>
        <w:rPr>
          <w:rFonts w:hint="cs"/>
          <w:rtl/>
        </w:rPr>
        <w:t>،</w:t>
      </w:r>
      <w:r w:rsidR="009C32A0">
        <w:rPr>
          <w:rFonts w:hint="cs"/>
          <w:rtl/>
        </w:rPr>
        <w:t xml:space="preserve"> ومنها أنّ القول بقبول ذات الله </w:t>
      </w:r>
      <w:r>
        <w:rPr>
          <w:rFonts w:hint="cs"/>
          <w:rtl/>
        </w:rPr>
        <w:t>(</w:t>
      </w:r>
      <w:r w:rsidR="009C32A0">
        <w:rPr>
          <w:rFonts w:hint="cs"/>
          <w:rtl/>
        </w:rPr>
        <w:t>سبحانه</w:t>
      </w:r>
      <w:r>
        <w:rPr>
          <w:rFonts w:hint="cs"/>
          <w:rtl/>
        </w:rPr>
        <w:t>)</w:t>
      </w:r>
      <w:r w:rsidR="009C32A0">
        <w:rPr>
          <w:rFonts w:hint="cs"/>
          <w:rtl/>
        </w:rPr>
        <w:t xml:space="preserve"> للحادث ما هو إلا تكييف لذات الله تقدس وتعالى بقياسها على ذات المخلوق</w:t>
      </w:r>
      <w:r>
        <w:rPr>
          <w:rFonts w:hint="cs"/>
          <w:rtl/>
        </w:rPr>
        <w:t>،</w:t>
      </w:r>
      <w:r w:rsidR="009C32A0">
        <w:rPr>
          <w:rFonts w:hint="cs"/>
          <w:rtl/>
        </w:rPr>
        <w:t xml:space="preserve"> حيث أن المخلوق لا يقوم بعمل في الخارج إلا إذا حدثت الإرادة في الداخل</w:t>
      </w:r>
      <w:r>
        <w:rPr>
          <w:rFonts w:hint="cs"/>
          <w:rtl/>
        </w:rPr>
        <w:t>،</w:t>
      </w:r>
      <w:r w:rsidR="009C32A0">
        <w:rPr>
          <w:rFonts w:hint="cs"/>
          <w:rtl/>
        </w:rPr>
        <w:t xml:space="preserve"> وهذا حال المخلوق لأنه كله محدث يقبل الحوادث</w:t>
      </w:r>
      <w:r>
        <w:rPr>
          <w:rFonts w:hint="cs"/>
          <w:rtl/>
        </w:rPr>
        <w:t>،</w:t>
      </w:r>
      <w:r w:rsidR="009C32A0">
        <w:rPr>
          <w:rFonts w:hint="cs"/>
          <w:rtl/>
        </w:rPr>
        <w:t xml:space="preserve"> فهل يجوز قياس حالة الخالق الأزلي الذي ليس كمثله شيء على حالة المخلوق الحادث</w:t>
      </w:r>
      <w:r>
        <w:rPr>
          <w:rFonts w:hint="cs"/>
          <w:rtl/>
        </w:rPr>
        <w:t>،</w:t>
      </w:r>
      <w:r w:rsidR="009C32A0">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9C32A0">
        <w:rPr>
          <w:rFonts w:hint="cs"/>
          <w:rtl/>
        </w:rPr>
        <w:t xml:space="preserve"> سبحانك هذا بهتان عظيم</w:t>
      </w:r>
      <w:r>
        <w:rPr>
          <w:rFonts w:hint="cs"/>
          <w:rtl/>
        </w:rPr>
        <w:t>،</w:t>
      </w:r>
      <w:r w:rsidR="009C32A0">
        <w:rPr>
          <w:rFonts w:hint="cs"/>
          <w:rtl/>
        </w:rPr>
        <w:t xml:space="preserve"> كما أنّهم يقيسون صفة الكلام لله تعالى وهي صفة أزلية قديمة لله لها الكمال المطلق</w:t>
      </w:r>
      <w:r>
        <w:rPr>
          <w:rFonts w:hint="cs"/>
          <w:rtl/>
        </w:rPr>
        <w:t>،</w:t>
      </w:r>
      <w:r w:rsidR="009C32A0">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9C32A0">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9C32A0">
        <w:rPr>
          <w:rFonts w:hint="cs"/>
          <w:rtl/>
        </w:rPr>
        <w:t xml:space="preserve"> إن القرآن محدث وليس قديما</w:t>
      </w:r>
      <w:r>
        <w:rPr>
          <w:rFonts w:hint="cs"/>
          <w:rtl/>
        </w:rPr>
        <w:t>،</w:t>
      </w:r>
      <w:r w:rsidR="009C32A0">
        <w:rPr>
          <w:rFonts w:hint="cs"/>
          <w:rtl/>
        </w:rPr>
        <w:t xml:space="preserve"> ومذهب أهل </w:t>
      </w:r>
      <w:r w:rsidR="009C32A0">
        <w:rPr>
          <w:rFonts w:hint="cs"/>
          <w:rtl/>
        </w:rPr>
        <w:lastRenderedPageBreak/>
        <w:t>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9C32A0">
        <w:rPr>
          <w:rFonts w:hint="cs"/>
          <w:rtl/>
        </w:rPr>
        <w:t>لا تتعلق</w:t>
      </w:r>
      <w:r>
        <w:rPr>
          <w:rFonts w:hint="cs"/>
          <w:rtl/>
        </w:rPr>
        <w:t xml:space="preserve"> </w:t>
      </w:r>
      <w:r w:rsidR="009C32A0">
        <w:rPr>
          <w:rFonts w:hint="cs"/>
          <w:rtl/>
        </w:rPr>
        <w:t>بإرادة الله</w:t>
      </w:r>
      <w:r>
        <w:rPr>
          <w:rFonts w:hint="cs"/>
          <w:rtl/>
        </w:rPr>
        <w:t>،</w:t>
      </w:r>
      <w:r w:rsidR="009C32A0">
        <w:rPr>
          <w:rFonts w:hint="cs"/>
          <w:rtl/>
        </w:rPr>
        <w:t xml:space="preserve"> بمعنى أنه لا يجوز القول</w:t>
      </w:r>
      <w:r>
        <w:rPr>
          <w:rFonts w:hint="cs"/>
          <w:rtl/>
        </w:rPr>
        <w:t>:</w:t>
      </w:r>
      <w:r w:rsidR="009C32A0">
        <w:rPr>
          <w:rFonts w:hint="cs"/>
          <w:rtl/>
        </w:rPr>
        <w:t xml:space="preserve"> أنه سبحانه يعلم متى شاء ولا يعلم متى شاء</w:t>
      </w:r>
      <w:r>
        <w:rPr>
          <w:rFonts w:hint="cs"/>
          <w:rtl/>
        </w:rPr>
        <w:t>،</w:t>
      </w:r>
      <w:r w:rsidR="009C32A0">
        <w:rPr>
          <w:rFonts w:hint="cs"/>
          <w:rtl/>
        </w:rPr>
        <w:t xml:space="preserve"> لأنه يحد علم الله الذي له الكمال</w:t>
      </w:r>
      <w:r>
        <w:rPr>
          <w:rFonts w:hint="cs"/>
          <w:rtl/>
        </w:rPr>
        <w:t>،</w:t>
      </w:r>
      <w:r w:rsidR="009C32A0">
        <w:rPr>
          <w:rFonts w:hint="cs"/>
          <w:rtl/>
        </w:rPr>
        <w:t xml:space="preserve"> فكذلك الكلام صفة قديمة لله معنوية لا تتعلق</w:t>
      </w:r>
      <w:r>
        <w:rPr>
          <w:rFonts w:hint="cs"/>
          <w:rtl/>
        </w:rPr>
        <w:t xml:space="preserve"> </w:t>
      </w:r>
      <w:r w:rsidR="009C32A0">
        <w:rPr>
          <w:rFonts w:hint="cs"/>
          <w:rtl/>
        </w:rPr>
        <w:t>بأفعال الله ولا بإرادة الله ..</w:t>
      </w:r>
      <w:r>
        <w:rPr>
          <w:rFonts w:hint="cs"/>
          <w:rtl/>
        </w:rPr>
        <w:t xml:space="preserve"> </w:t>
      </w:r>
      <w:r w:rsidR="009C32A0">
        <w:rPr>
          <w:rFonts w:hint="cs"/>
          <w:rtl/>
        </w:rPr>
        <w:t>وهم جعلوه محدثا يفعله الله متى شاء مثله مثل الخلق والرزق يخلق من شاء متى شاء</w:t>
      </w:r>
      <w:r>
        <w:rPr>
          <w:rFonts w:hint="cs"/>
          <w:rtl/>
        </w:rPr>
        <w:t>،</w:t>
      </w:r>
      <w:r w:rsidR="009C32A0">
        <w:rPr>
          <w:rFonts w:hint="cs"/>
          <w:rtl/>
        </w:rPr>
        <w:t xml:space="preserve"> ويرزق من يشاء متى شاء</w:t>
      </w:r>
      <w:r>
        <w:rPr>
          <w:rFonts w:hint="cs"/>
          <w:rtl/>
        </w:rPr>
        <w:t>،</w:t>
      </w:r>
      <w:r w:rsidR="009C32A0">
        <w:rPr>
          <w:rFonts w:hint="cs"/>
          <w:rtl/>
        </w:rPr>
        <w:t xml:space="preserve"> وصار القرآن الكريم كلام الله تعالى بلازم قولهم</w:t>
      </w:r>
      <w:r>
        <w:rPr>
          <w:rFonts w:hint="cs"/>
          <w:rtl/>
        </w:rPr>
        <w:t xml:space="preserve"> </w:t>
      </w:r>
      <w:r w:rsidR="009C32A0">
        <w:rPr>
          <w:rFonts w:hint="cs"/>
          <w:rtl/>
        </w:rPr>
        <w:t>محدثا مخلوقا</w:t>
      </w:r>
      <w:r>
        <w:rPr>
          <w:rFonts w:hint="cs"/>
          <w:rtl/>
        </w:rPr>
        <w:t>،</w:t>
      </w:r>
      <w:r w:rsidR="009C32A0">
        <w:rPr>
          <w:rFonts w:hint="cs"/>
          <w:rtl/>
        </w:rPr>
        <w:t xml:space="preserve"> فانظر هداك الله الفرق بين المذهبين</w:t>
      </w:r>
      <w:r>
        <w:rPr>
          <w:rFonts w:hint="cs"/>
          <w:rtl/>
        </w:rPr>
        <w:t>،</w:t>
      </w:r>
      <w:r w:rsidR="009C32A0">
        <w:rPr>
          <w:rFonts w:hint="cs"/>
          <w:rtl/>
        </w:rPr>
        <w:t xml:space="preserve"> مذهب التنزيه والفقه في دين الله</w:t>
      </w:r>
      <w:r>
        <w:rPr>
          <w:rFonts w:hint="cs"/>
          <w:rtl/>
        </w:rPr>
        <w:t>،</w:t>
      </w:r>
      <w:r w:rsidR="009C32A0">
        <w:rPr>
          <w:rFonts w:hint="cs"/>
          <w:rtl/>
        </w:rPr>
        <w:t xml:space="preserve"> ومذهب التكييف والجهل في ذات الله تعالى وصفاته وأفعاله</w:t>
      </w:r>
      <w:r>
        <w:rPr>
          <w:rFonts w:hint="cs"/>
          <w:rtl/>
        </w:rPr>
        <w:t>،</w:t>
      </w:r>
      <w:r w:rsidR="009C32A0">
        <w:rPr>
          <w:rFonts w:hint="cs"/>
          <w:rtl/>
        </w:rPr>
        <w:t xml:space="preserve"> </w:t>
      </w:r>
      <w:r w:rsidR="009C32A0">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9C32A0">
        <w:rPr>
          <w:rFonts w:hint="cs"/>
          <w:rtl/>
        </w:rPr>
        <w:t>وَلَمَّا يَعْلَمِ اللَّهُ الَّذِينَ جَاهَدُوا مِنْكُمْ وَيَعْلَمَ الصَّابِرِينَ</w:t>
      </w:r>
      <w:r>
        <w:rPr>
          <w:rFonts w:hint="cs"/>
          <w:rtl/>
        </w:rPr>
        <w:t>)</w:t>
      </w:r>
      <w:r w:rsidR="009C32A0">
        <w:rPr>
          <w:rFonts w:hint="cs"/>
          <w:rtl/>
        </w:rPr>
        <w:t xml:space="preserve"> </w:t>
      </w:r>
      <w:r>
        <w:rPr>
          <w:rFonts w:hint="cs"/>
          <w:rtl/>
        </w:rPr>
        <w:t>[</w:t>
      </w:r>
      <w:r w:rsidR="009C32A0">
        <w:rPr>
          <w:rFonts w:hint="cs"/>
          <w:rtl/>
        </w:rPr>
        <w:t xml:space="preserve">آل عمران\142] وجاز لغيرهم أيضا أن يقول بإرادة حادثة ويستدل بظاهر القرآن كقوله تعالى </w:t>
      </w:r>
      <w:r>
        <w:rPr>
          <w:rFonts w:hint="cs"/>
          <w:rtl/>
        </w:rPr>
        <w:t>(</w:t>
      </w:r>
      <w:r w:rsidR="009C32A0">
        <w:rPr>
          <w:rFonts w:hint="cs"/>
          <w:rtl/>
        </w:rPr>
        <w:t>يُرِيدُ اللَّهُ بِكُمُ الْيُسْرَ وَلَا يُرِيدُ بِكُمُ الْعُسْرَ</w:t>
      </w:r>
      <w:r>
        <w:rPr>
          <w:rFonts w:hint="cs"/>
          <w:rtl/>
        </w:rPr>
        <w:t>)</w:t>
      </w:r>
      <w:r w:rsidR="009C32A0">
        <w:rPr>
          <w:rFonts w:hint="cs"/>
          <w:rtl/>
        </w:rPr>
        <w:t xml:space="preserve"> ويتبجح بما أجازه أولئك من قيام الحوادث بذات الله تعالى</w:t>
      </w:r>
      <w:r>
        <w:rPr>
          <w:rFonts w:hint="cs"/>
          <w:rtl/>
        </w:rPr>
        <w:t>،</w:t>
      </w:r>
      <w:r w:rsidR="009C32A0">
        <w:rPr>
          <w:rFonts w:hint="cs"/>
          <w:rtl/>
        </w:rPr>
        <w:t xml:space="preserve"> وهل هذا كله إلا جهل عظيم بالله تعالى وصفاته (سُبْحَانَهُ وَتَعَالَى عَمَّا يَصِفُونَ</w:t>
      </w:r>
      <w:r>
        <w:rPr>
          <w:rFonts w:hint="cs"/>
          <w:rtl/>
        </w:rPr>
        <w:t>)،</w:t>
      </w:r>
      <w:r w:rsidR="009C32A0">
        <w:rPr>
          <w:rFonts w:hint="cs"/>
          <w:rtl/>
        </w:rPr>
        <w:t xml:space="preserve"> </w:t>
      </w:r>
    </w:p>
    <w:p w14:paraId="744C9CCC" w14:textId="174D5339" w:rsidR="009C32A0" w:rsidRDefault="000636C2" w:rsidP="000636C2">
      <w:pPr>
        <w:ind w:left="-58"/>
        <w:rPr>
          <w:b/>
          <w:rtl/>
        </w:rPr>
      </w:pPr>
      <w:r>
        <w:rPr>
          <w:rFonts w:hint="cs"/>
          <w:bCs/>
          <w:rtl/>
          <w:lang w:bidi="ar-KW"/>
        </w:rPr>
        <w:t>[</w:t>
      </w:r>
      <w:r w:rsidR="009C32A0">
        <w:rPr>
          <w:rFonts w:hint="cs"/>
          <w:bCs/>
          <w:rtl/>
          <w:lang w:bidi="ar-KW"/>
        </w:rPr>
        <w:t>9</w:t>
      </w:r>
      <w:r>
        <w:rPr>
          <w:rFonts w:hint="cs"/>
          <w:bCs/>
          <w:rtl/>
          <w:lang w:bidi="ar-KW"/>
        </w:rPr>
        <w:t>]:</w:t>
      </w:r>
      <w:r w:rsidR="009C32A0">
        <w:rPr>
          <w:rFonts w:hint="cs"/>
          <w:bCs/>
          <w:rtl/>
          <w:lang w:bidi="ar-KW"/>
        </w:rPr>
        <w:t xml:space="preserve"> القاعدة التاسعة</w:t>
      </w:r>
      <w:r>
        <w:rPr>
          <w:rFonts w:hint="cs"/>
          <w:bCs/>
          <w:rtl/>
          <w:lang w:bidi="ar-KW"/>
        </w:rPr>
        <w:t>:</w:t>
      </w:r>
      <w:r w:rsidR="009C32A0">
        <w:rPr>
          <w:rFonts w:hint="cs"/>
          <w:bCs/>
          <w:rtl/>
          <w:lang w:bidi="ar-KW"/>
        </w:rPr>
        <w:t xml:space="preserve"> تنزيه ذات الله تعالى عن الاتحاد والحلول</w:t>
      </w:r>
      <w:r>
        <w:rPr>
          <w:rFonts w:hint="cs"/>
          <w:bCs/>
          <w:rtl/>
          <w:lang w:bidi="ar-KW"/>
        </w:rPr>
        <w:t xml:space="preserve">، </w:t>
      </w:r>
      <w:r w:rsidR="009C32A0">
        <w:rPr>
          <w:rFonts w:hint="cs"/>
          <w:bCs/>
          <w:rtl/>
          <w:lang w:bidi="ar-KW"/>
        </w:rPr>
        <w:t>وعن الاتصال والانفصال لأنها صفات المخلوق</w:t>
      </w:r>
      <w:r>
        <w:rPr>
          <w:rFonts w:eastAsia="Times New Roman" w:hint="cs"/>
          <w:b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الله تبارك وتعالى منزه عن الاتحاد والحلول وعن الاتصال والانفصال لأنها صفات المخلوق وبيان ذلك</w:t>
      </w:r>
      <w:r>
        <w:rPr>
          <w:rFonts w:hint="cs"/>
          <w:rtl/>
          <w:lang w:bidi="ar-KW"/>
        </w:rPr>
        <w:t>:</w:t>
      </w:r>
      <w:r w:rsidR="009C32A0">
        <w:rPr>
          <w:rFonts w:hint="cs"/>
          <w:rtl/>
          <w:lang w:bidi="ar-KW"/>
        </w:rPr>
        <w:t xml:space="preserve"> </w:t>
      </w:r>
      <w:r w:rsidR="009C32A0">
        <w:rPr>
          <w:rFonts w:hint="cs"/>
          <w:rtl/>
        </w:rPr>
        <w:t>ما ثم إلا خالق أو مخلوق فهل يتحد الخالق القديم الأزلي الباقي الذي ليس كمثله شيء بالمخلوق المحدث الفاني</w:t>
      </w:r>
      <w:r>
        <w:rPr>
          <w:rFonts w:hint="cs"/>
          <w:rtl/>
        </w:rPr>
        <w:t>،</w:t>
      </w:r>
      <w:r w:rsidR="009C32A0">
        <w:rPr>
          <w:rFonts w:hint="cs"/>
          <w:rtl/>
        </w:rPr>
        <w:t xml:space="preserve"> أم هل يحل الذي تنزه عن الحد والمقدار في المخلوق المحدود المقدر</w:t>
      </w:r>
      <w:r>
        <w:rPr>
          <w:rFonts w:hint="cs"/>
          <w:rtl/>
        </w:rPr>
        <w:t xml:space="preserve">، </w:t>
      </w:r>
      <w:r w:rsidR="009C32A0">
        <w:rPr>
          <w:rFonts w:hint="cs"/>
          <w:rtl/>
        </w:rPr>
        <w:t>والله منزه</w:t>
      </w:r>
      <w:r w:rsidR="009C32A0">
        <w:rPr>
          <w:rFonts w:hint="cs"/>
        </w:rPr>
        <w:t xml:space="preserve"> </w:t>
      </w:r>
      <w:r w:rsidR="009C32A0">
        <w:rPr>
          <w:rFonts w:hint="cs"/>
          <w:rtl/>
        </w:rPr>
        <w:t>عن الحلول في المواضع والأماكن لأن الحلول عرض يفنى وهو حادث والحادث لا يليق بالله</w:t>
      </w:r>
      <w:r>
        <w:rPr>
          <w:rFonts w:hint="cs"/>
          <w:rtl/>
        </w:rPr>
        <w:t>،</w:t>
      </w:r>
      <w:r w:rsidR="009C32A0">
        <w:rPr>
          <w:rFonts w:hint="cs"/>
          <w:rtl/>
        </w:rPr>
        <w:t xml:space="preserve"> والاتصال والانفصال لا يكون إلا بين الأجسام والله منزه عن الجسمية ولوازم الجسمية كما مر بنا</w:t>
      </w:r>
      <w:r>
        <w:rPr>
          <w:rFonts w:eastAsiaTheme="minorEastAsia" w:hint="cs"/>
          <w:rtl/>
        </w:rPr>
        <w:t>،</w:t>
      </w:r>
      <w:r w:rsidR="009C32A0">
        <w:rPr>
          <w:rFonts w:eastAsiaTheme="minorEastAsia" w:hint="cs"/>
          <w:rtl/>
        </w:rPr>
        <w:t xml:space="preserve"> </w:t>
      </w:r>
      <w:r>
        <w:rPr>
          <w:rFonts w:hint="cs"/>
          <w:rtl/>
        </w:rPr>
        <w:t>(</w:t>
      </w:r>
      <w:r w:rsidR="009C32A0">
        <w:rPr>
          <w:rFonts w:hint="cs"/>
          <w:rtl/>
        </w:rPr>
        <w:t>ب</w:t>
      </w:r>
      <w:r>
        <w:rPr>
          <w:rFonts w:hint="cs"/>
          <w:rtl/>
        </w:rPr>
        <w:t>)</w:t>
      </w:r>
      <w:r w:rsidR="009C32A0">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Pr>
          <w:rFonts w:hint="cs"/>
          <w:rtl/>
        </w:rPr>
        <w:t>،</w:t>
      </w:r>
      <w:r w:rsidR="009C32A0">
        <w:rPr>
          <w:rFonts w:hint="cs"/>
          <w:rtl/>
        </w:rPr>
        <w:t xml:space="preserve"> قال ابن كثير _ عند قوله تعالى </w:t>
      </w:r>
      <w:r>
        <w:rPr>
          <w:rFonts w:hint="cs"/>
          <w:rtl/>
        </w:rPr>
        <w:t>(</w:t>
      </w:r>
      <w:r w:rsidR="009C32A0">
        <w:rPr>
          <w:rFonts w:hint="cs"/>
          <w:rtl/>
        </w:rPr>
        <w:t>ونحن أقرب إليه من حبل الوريد) _</w:t>
      </w:r>
      <w:r>
        <w:rPr>
          <w:rFonts w:hint="cs"/>
          <w:rtl/>
        </w:rPr>
        <w:t xml:space="preserve"> </w:t>
      </w:r>
      <w:r w:rsidR="009C32A0">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Pr>
          <w:rFonts w:hint="cs"/>
          <w:rtl/>
        </w:rPr>
        <w:t>[</w:t>
      </w:r>
      <w:r w:rsidR="009C32A0">
        <w:rPr>
          <w:rFonts w:hint="cs"/>
          <w:rtl/>
        </w:rPr>
        <w:t>تفسير ابن كثير ج</w:t>
      </w:r>
      <w:r>
        <w:rPr>
          <w:rFonts w:hint="cs"/>
          <w:rtl/>
        </w:rPr>
        <w:t>:</w:t>
      </w:r>
      <w:r w:rsidR="009C32A0">
        <w:rPr>
          <w:rFonts w:hint="cs"/>
          <w:rtl/>
        </w:rPr>
        <w:t xml:space="preserve"> 4 ص</w:t>
      </w:r>
      <w:r>
        <w:rPr>
          <w:rFonts w:hint="cs"/>
          <w:rtl/>
        </w:rPr>
        <w:t>:</w:t>
      </w:r>
      <w:r w:rsidR="009C32A0">
        <w:rPr>
          <w:rFonts w:hint="cs"/>
          <w:rtl/>
        </w:rPr>
        <w:t xml:space="preserve"> 224]</w:t>
      </w:r>
      <w:r>
        <w:rPr>
          <w:rFonts w:hint="cs"/>
          <w:rtl/>
        </w:rPr>
        <w:t>،</w:t>
      </w:r>
    </w:p>
    <w:p w14:paraId="3A28438F" w14:textId="154C2BE2" w:rsidR="009C32A0" w:rsidRDefault="000636C2" w:rsidP="000636C2">
      <w:pPr>
        <w:ind w:left="-58"/>
        <w:rPr>
          <w:b/>
          <w:rtl/>
          <w:lang w:bidi="ar-KW"/>
        </w:rPr>
      </w:pPr>
      <w:r>
        <w:rPr>
          <w:rFonts w:hint="cs"/>
          <w:bCs/>
          <w:rtl/>
          <w:lang w:bidi="ar-KW"/>
        </w:rPr>
        <w:t>[</w:t>
      </w:r>
      <w:r w:rsidR="009C32A0">
        <w:rPr>
          <w:rFonts w:hint="cs"/>
          <w:bCs/>
          <w:rtl/>
          <w:lang w:bidi="ar-KW"/>
        </w:rPr>
        <w:t>10</w:t>
      </w:r>
      <w:r>
        <w:rPr>
          <w:rFonts w:hint="cs"/>
          <w:bCs/>
          <w:rtl/>
          <w:lang w:bidi="ar-KW"/>
        </w:rPr>
        <w:t>]:</w:t>
      </w:r>
      <w:r w:rsidR="009C32A0">
        <w:rPr>
          <w:rFonts w:hint="cs"/>
          <w:bCs/>
          <w:rtl/>
          <w:lang w:bidi="ar-KW"/>
        </w:rPr>
        <w:t xml:space="preserve"> القاعدة العاشرة</w:t>
      </w:r>
      <w:r>
        <w:rPr>
          <w:rFonts w:hint="cs"/>
          <w:bCs/>
          <w:rtl/>
          <w:lang w:bidi="ar-KW"/>
        </w:rPr>
        <w:t>:</w:t>
      </w:r>
      <w:r w:rsidR="009C32A0">
        <w:rPr>
          <w:rFonts w:hint="cs"/>
          <w:bCs/>
          <w:rtl/>
          <w:lang w:bidi="ar-KW"/>
        </w:rPr>
        <w:t xml:space="preserve"> تنزيه ذات الله تعالى عن الأعراض والكيفيات الحسية التي تتصف به ذات المخلوق</w:t>
      </w:r>
      <w:r>
        <w:rPr>
          <w:rFonts w:hint="cs"/>
          <w:bCs/>
          <w:rtl/>
          <w:lang w:bidi="ar-KW"/>
        </w:rPr>
        <w:t>:</w:t>
      </w:r>
      <w:r>
        <w:rPr>
          <w:rFonts w:hint="cs"/>
          <w:rtl/>
          <w:lang w:bidi="ar-KW"/>
        </w:rPr>
        <w:t xml:space="preserve"> (</w:t>
      </w:r>
      <w:r w:rsidR="009C32A0">
        <w:rPr>
          <w:rFonts w:hint="cs"/>
          <w:rtl/>
          <w:lang w:bidi="ar-KW"/>
        </w:rPr>
        <w:t>أ</w:t>
      </w:r>
      <w:r>
        <w:rPr>
          <w:rFonts w:hint="cs"/>
          <w:rtl/>
          <w:lang w:bidi="ar-KW"/>
        </w:rPr>
        <w:t>)</w:t>
      </w:r>
      <w:r w:rsidR="009C32A0">
        <w:rPr>
          <w:rFonts w:hint="cs"/>
          <w:rtl/>
          <w:lang w:bidi="ar-KW"/>
        </w:rPr>
        <w:t xml:space="preserve"> المقصود ب</w:t>
      </w:r>
      <w:r w:rsidR="009C32A0">
        <w:rPr>
          <w:rFonts w:hint="cs"/>
          <w:rtl/>
        </w:rPr>
        <w:t>الأعراض مثل الألوان والأحجام والأشكال والطعوم والروائح</w:t>
      </w:r>
      <w:r w:rsidR="009C32A0">
        <w:rPr>
          <w:rFonts w:hint="cs"/>
          <w:rtl/>
          <w:lang w:bidi="ar-KW"/>
        </w:rPr>
        <w:t xml:space="preserve"> التي تتصف به ذات المخلوق</w:t>
      </w:r>
      <w:r>
        <w:rPr>
          <w:rFonts w:hint="cs"/>
          <w:rtl/>
        </w:rPr>
        <w:t>،</w:t>
      </w:r>
      <w:r w:rsidR="009C32A0">
        <w:rPr>
          <w:rFonts w:hint="cs"/>
          <w:rtl/>
        </w:rPr>
        <w:t xml:space="preserve"> والمقصود بالكيفيات الحسية </w:t>
      </w:r>
      <w:r w:rsidR="009C32A0">
        <w:rPr>
          <w:rFonts w:hint="cs"/>
          <w:rtl/>
          <w:lang w:bidi="ar-KW"/>
        </w:rPr>
        <w:t xml:space="preserve">التي تتصف به ذات المخلوق كالجلوس والاستقرار والنزول </w:t>
      </w:r>
      <w:r w:rsidR="009C32A0">
        <w:rPr>
          <w:rFonts w:hint="cs"/>
          <w:rtl/>
          <w:lang w:bidi="ar-KW"/>
        </w:rPr>
        <w:lastRenderedPageBreak/>
        <w:t>والصعود على معنى التغير في ذاته</w:t>
      </w:r>
      <w:r>
        <w:rPr>
          <w:rFonts w:hint="cs"/>
          <w:rtl/>
          <w:lang w:bidi="ar-KW"/>
        </w:rPr>
        <w:t>،</w:t>
      </w:r>
      <w:r w:rsidR="009C32A0">
        <w:rPr>
          <w:rFonts w:hint="cs"/>
          <w:rtl/>
          <w:lang w:bidi="ar-KW"/>
        </w:rPr>
        <w:t xml:space="preserve"> والذهاب والمجيء على معنى التغير في ذاته</w:t>
      </w:r>
      <w:r>
        <w:rPr>
          <w:rFonts w:hint="cs"/>
          <w:rtl/>
          <w:lang w:bidi="ar-KW"/>
        </w:rPr>
        <w:t>،</w:t>
      </w:r>
      <w:r w:rsidR="009C32A0">
        <w:rPr>
          <w:rFonts w:hint="cs"/>
          <w:rtl/>
          <w:lang w:bidi="ar-KW"/>
        </w:rPr>
        <w:t xml:space="preserve"> والقبض والبسط على معنى التغير في ذاته</w:t>
      </w:r>
      <w:r>
        <w:rPr>
          <w:rFonts w:hint="cs"/>
          <w:rtl/>
          <w:lang w:bidi="ar-KW"/>
        </w:rPr>
        <w:t>،</w:t>
      </w:r>
      <w:r w:rsidR="009C32A0">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9C32A0">
        <w:rPr>
          <w:rFonts w:hint="cs"/>
          <w:rtl/>
          <w:lang w:bidi="ar-KW"/>
        </w:rPr>
        <w:t xml:space="preserve"> والسكون والتحرك والتماس والتباين والخروج والدخول على معنى التغير في ذاته</w:t>
      </w:r>
      <w:r>
        <w:rPr>
          <w:rFonts w:hint="cs"/>
          <w:rtl/>
          <w:lang w:bidi="ar-KW"/>
        </w:rPr>
        <w:t>،</w:t>
      </w:r>
      <w:r w:rsidR="009C32A0">
        <w:rPr>
          <w:rFonts w:hint="cs"/>
          <w:rtl/>
          <w:lang w:bidi="ar-KW"/>
        </w:rPr>
        <w:t xml:space="preserve"> والقرب بالمسافة والبعد بالمسافة</w:t>
      </w:r>
      <w:r>
        <w:rPr>
          <w:rFonts w:hint="cs"/>
          <w:rtl/>
          <w:lang w:bidi="ar-KW"/>
        </w:rPr>
        <w:t>،</w:t>
      </w:r>
      <w:r w:rsidR="009C32A0">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9C32A0">
        <w:rPr>
          <w:rFonts w:hint="cs"/>
          <w:rtl/>
          <w:lang w:bidi="ar-KW"/>
        </w:rPr>
        <w:t xml:space="preserve"> والندم والتردد على معنى</w:t>
      </w:r>
      <w:r>
        <w:rPr>
          <w:rFonts w:hint="cs"/>
          <w:rtl/>
          <w:lang w:bidi="ar-KW"/>
        </w:rPr>
        <w:t xml:space="preserve"> </w:t>
      </w:r>
      <w:r w:rsidR="009C32A0">
        <w:rPr>
          <w:rFonts w:hint="cs"/>
          <w:rtl/>
          <w:lang w:bidi="ar-KW"/>
        </w:rPr>
        <w:t>التغير في ذاته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ب</w:t>
      </w:r>
      <w:r>
        <w:rPr>
          <w:rFonts w:hint="cs"/>
          <w:rtl/>
          <w:lang w:bidi="ar-KW"/>
        </w:rPr>
        <w:t>)</w:t>
      </w:r>
      <w:r w:rsidR="009C32A0">
        <w:rPr>
          <w:rFonts w:hint="cs"/>
          <w:rtl/>
          <w:lang w:bidi="ar-KW"/>
        </w:rPr>
        <w:t xml:space="preserve"> الله تعالى منزه عن تلك الأعراض والكيفيات الحسية</w:t>
      </w:r>
      <w:r>
        <w:rPr>
          <w:rFonts w:hint="cs"/>
          <w:rtl/>
          <w:lang w:bidi="ar-KW"/>
        </w:rPr>
        <w:t>،</w:t>
      </w:r>
      <w:r w:rsidR="009C32A0">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9C32A0">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9C32A0">
        <w:rPr>
          <w:rFonts w:hint="cs"/>
          <w:rtl/>
        </w:rPr>
        <w:t xml:space="preserve"> </w:t>
      </w:r>
      <w:r>
        <w:rPr>
          <w:rFonts w:hint="cs"/>
          <w:rtl/>
        </w:rPr>
        <w:t>(</w:t>
      </w:r>
      <w:r w:rsidR="009C32A0">
        <w:rPr>
          <w:rFonts w:hint="cs"/>
          <w:rtl/>
        </w:rPr>
        <w:t>ت</w:t>
      </w:r>
      <w:r>
        <w:rPr>
          <w:rFonts w:hint="cs"/>
          <w:rtl/>
        </w:rPr>
        <w:t>)</w:t>
      </w:r>
      <w:r w:rsidR="009C32A0">
        <w:rPr>
          <w:rFonts w:hint="cs"/>
          <w:rtl/>
        </w:rPr>
        <w:t xml:space="preserve"> من أدلة تنزيه الله عن الكيفيات المحسوسة</w:t>
      </w:r>
      <w:r>
        <w:rPr>
          <w:rFonts w:hint="cs"/>
          <w:rtl/>
        </w:rPr>
        <w:t>:</w:t>
      </w:r>
      <w:r w:rsidR="009C32A0">
        <w:rPr>
          <w:rFonts w:hint="cs"/>
          <w:rtl/>
        </w:rPr>
        <w:t xml:space="preserve"> أنها من خواص الجسم والله تعالى منزّه عن الجسمانية</w:t>
      </w:r>
      <w:r>
        <w:rPr>
          <w:rFonts w:hint="cs"/>
          <w:rtl/>
        </w:rPr>
        <w:t>،</w:t>
      </w:r>
      <w:r w:rsidR="009C32A0">
        <w:rPr>
          <w:rFonts w:hint="cs"/>
          <w:rtl/>
        </w:rPr>
        <w:t xml:space="preserve"> وأنها حادثة</w:t>
      </w:r>
      <w:r>
        <w:rPr>
          <w:rFonts w:hint="cs"/>
          <w:rtl/>
        </w:rPr>
        <w:t>،</w:t>
      </w:r>
      <w:r w:rsidR="009C32A0">
        <w:rPr>
          <w:rFonts w:hint="cs"/>
          <w:rtl/>
        </w:rPr>
        <w:t xml:space="preserve"> لكن الباري غير حادث</w:t>
      </w:r>
      <w:r>
        <w:rPr>
          <w:rFonts w:hint="cs"/>
          <w:rtl/>
        </w:rPr>
        <w:t>،</w:t>
      </w:r>
      <w:r w:rsidR="009C32A0">
        <w:rPr>
          <w:rFonts w:hint="cs"/>
          <w:rtl/>
        </w:rPr>
        <w:t xml:space="preserve"> فيمتنع أن يكون قابلاً للحوادث</w:t>
      </w:r>
      <w:r>
        <w:rPr>
          <w:rFonts w:hint="cs"/>
          <w:rtl/>
        </w:rPr>
        <w:t>،</w:t>
      </w:r>
      <w:r w:rsidR="009C32A0">
        <w:rPr>
          <w:rFonts w:hint="cs"/>
          <w:rtl/>
        </w:rPr>
        <w:t xml:space="preserve"> وهي تستلزم التغير والانفعال</w:t>
      </w:r>
      <w:r>
        <w:rPr>
          <w:rFonts w:hint="cs"/>
          <w:rtl/>
        </w:rPr>
        <w:t xml:space="preserve">، </w:t>
      </w:r>
      <w:r w:rsidR="009C32A0">
        <w:rPr>
          <w:rFonts w:hint="cs"/>
          <w:rtl/>
        </w:rPr>
        <w:t>والله منزّه من التغير في ذاته</w:t>
      </w:r>
      <w:r>
        <w:rPr>
          <w:rFonts w:hint="cs"/>
          <w:rtl/>
        </w:rPr>
        <w:t>، (</w:t>
      </w:r>
      <w:r w:rsidR="009C32A0">
        <w:rPr>
          <w:rFonts w:hint="cs"/>
          <w:rtl/>
        </w:rPr>
        <w:t>ث</w:t>
      </w:r>
      <w:r>
        <w:rPr>
          <w:rFonts w:hint="cs"/>
          <w:rtl/>
        </w:rPr>
        <w:t>)</w:t>
      </w:r>
      <w:r w:rsidR="009C32A0">
        <w:rPr>
          <w:rFonts w:hint="cs"/>
          <w:rtl/>
        </w:rPr>
        <w:t xml:space="preserve"> ما جاء في الكتاب والسنة من إضافة الاستواء </w:t>
      </w:r>
      <w:r w:rsidR="009C32A0">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9C32A0">
        <w:rPr>
          <w:rFonts w:hint="cs"/>
          <w:rtl/>
          <w:lang w:bidi="ar-KW"/>
        </w:rPr>
        <w:t xml:space="preserve"> فإنه حق وصدق على مراد الله ومراد رسول الله</w:t>
      </w:r>
      <w:r>
        <w:rPr>
          <w:rFonts w:hint="cs"/>
          <w:rtl/>
          <w:lang w:bidi="ar-KW"/>
        </w:rPr>
        <w:t>،</w:t>
      </w:r>
      <w:r w:rsidR="009C32A0">
        <w:rPr>
          <w:rFonts w:hint="cs"/>
          <w:rtl/>
          <w:lang w:bidi="ar-KW"/>
        </w:rPr>
        <w:t xml:space="preserve"> صفات تليق بالذات</w:t>
      </w:r>
      <w:r>
        <w:rPr>
          <w:rFonts w:hint="cs"/>
          <w:rtl/>
          <w:lang w:bidi="ar-KW"/>
        </w:rPr>
        <w:t>،</w:t>
      </w:r>
      <w:r w:rsidR="009C32A0">
        <w:rPr>
          <w:rFonts w:hint="cs"/>
          <w:rtl/>
          <w:lang w:bidi="ar-KW"/>
        </w:rPr>
        <w:t xml:space="preserve"> وكما أنّ ذات الله تعالى ليس كمثله شيء</w:t>
      </w:r>
      <w:r>
        <w:rPr>
          <w:rFonts w:hint="cs"/>
          <w:rtl/>
          <w:lang w:bidi="ar-KW"/>
        </w:rPr>
        <w:t>،</w:t>
      </w:r>
      <w:r w:rsidR="009C32A0">
        <w:rPr>
          <w:rFonts w:hint="cs"/>
          <w:rtl/>
          <w:lang w:bidi="ar-KW"/>
        </w:rPr>
        <w:t xml:space="preserve"> فإن ما أضيف إلى الذات يتبع الذات</w:t>
      </w:r>
      <w:r>
        <w:rPr>
          <w:rFonts w:hint="cs"/>
          <w:rtl/>
          <w:lang w:bidi="ar-KW"/>
        </w:rPr>
        <w:t>،</w:t>
      </w:r>
      <w:r w:rsidR="009C32A0">
        <w:rPr>
          <w:rFonts w:hint="cs"/>
          <w:rtl/>
          <w:lang w:bidi="ar-KW"/>
        </w:rPr>
        <w:t xml:space="preserve"> منزه عن التغير والحدوث والانفعال الذي يعتري ذات الإنسان</w:t>
      </w:r>
      <w:r>
        <w:rPr>
          <w:rFonts w:hint="cs"/>
          <w:rtl/>
          <w:lang w:bidi="ar-KW"/>
        </w:rPr>
        <w:t>،</w:t>
      </w:r>
      <w:r w:rsidR="009C32A0">
        <w:rPr>
          <w:rFonts w:hint="cs"/>
          <w:rtl/>
          <w:lang w:bidi="ar-KW"/>
        </w:rPr>
        <w:t xml:space="preserve"> لا نتقول على الله بغير علم</w:t>
      </w:r>
      <w:r>
        <w:rPr>
          <w:rFonts w:hint="cs"/>
          <w:rtl/>
          <w:lang w:bidi="ar-KW"/>
        </w:rPr>
        <w:t>،</w:t>
      </w:r>
      <w:r w:rsidR="009C32A0">
        <w:rPr>
          <w:rFonts w:hint="cs"/>
          <w:rtl/>
          <w:lang w:bidi="ar-KW"/>
        </w:rPr>
        <w:t xml:space="preserve"> ولا ننفي ما جاء عن الله في كتاب الله وسنة نبيه صلى الله عليه وسلم</w:t>
      </w:r>
      <w:r>
        <w:rPr>
          <w:rFonts w:hint="cs"/>
          <w:rtl/>
          <w:lang w:bidi="ar-KW"/>
        </w:rPr>
        <w:t>،</w:t>
      </w:r>
      <w:r w:rsidR="009C32A0">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p>
    <w:p w14:paraId="35B48BC2" w14:textId="701778CE" w:rsidR="009C32A0" w:rsidRDefault="000636C2" w:rsidP="000636C2">
      <w:pPr>
        <w:ind w:left="-58"/>
        <w:rPr>
          <w:b/>
          <w:rtl/>
        </w:rPr>
      </w:pPr>
      <w:r>
        <w:rPr>
          <w:rFonts w:hint="cs"/>
          <w:bCs/>
          <w:rtl/>
          <w:lang w:bidi="ar-KW"/>
        </w:rPr>
        <w:t>[</w:t>
      </w:r>
      <w:r w:rsidR="009C32A0">
        <w:rPr>
          <w:rFonts w:hint="cs"/>
          <w:bCs/>
          <w:rtl/>
          <w:lang w:bidi="ar-KW"/>
        </w:rPr>
        <w:t>11</w:t>
      </w:r>
      <w:r>
        <w:rPr>
          <w:rFonts w:hint="cs"/>
          <w:bCs/>
          <w:rtl/>
          <w:lang w:bidi="ar-KW"/>
        </w:rPr>
        <w:t>]:</w:t>
      </w:r>
      <w:r w:rsidR="009C32A0">
        <w:rPr>
          <w:rFonts w:hint="cs"/>
          <w:bCs/>
          <w:rtl/>
          <w:lang w:bidi="ar-KW"/>
        </w:rPr>
        <w:t xml:space="preserve"> القاعدة الحادية عشرة</w:t>
      </w:r>
      <w:r>
        <w:rPr>
          <w:rFonts w:hint="cs"/>
          <w:bCs/>
          <w:rtl/>
          <w:lang w:bidi="ar-KW"/>
        </w:rPr>
        <w:t>:</w:t>
      </w:r>
      <w:r w:rsidR="009C32A0">
        <w:rPr>
          <w:rFonts w:hint="cs"/>
          <w:bCs/>
          <w:rtl/>
          <w:lang w:bidi="ar-KW"/>
        </w:rPr>
        <w:t xml:space="preserve"> تنزيه ذات الله تعالى عن النقائص والعيوب التي تتصف به ذات المخلوق</w:t>
      </w:r>
      <w:r>
        <w:rPr>
          <w:rFonts w:hint="cs"/>
          <w:bCs/>
          <w:rtl/>
          <w:lang w:bidi="ar-KW"/>
        </w:rPr>
        <w:t>:</w:t>
      </w:r>
      <w:r w:rsidR="009C32A0">
        <w:rPr>
          <w:rFonts w:hint="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الله تعالى منزه عن كل ما ينافي كمال الحياة كالسنة والنوم والموت والفناء والهلاك</w:t>
      </w:r>
      <w:r>
        <w:rPr>
          <w:rFonts w:hint="cs"/>
          <w:rtl/>
          <w:lang w:bidi="ar-KW"/>
        </w:rPr>
        <w:t>،</w:t>
      </w:r>
      <w:r w:rsidR="009C32A0">
        <w:rPr>
          <w:rFonts w:hint="cs"/>
          <w:rtl/>
          <w:lang w:bidi="ar-KW"/>
        </w:rPr>
        <w:t xml:space="preserve"> وكل ما ينافي كمال العلم كالجهل والغفلة والنسيان</w:t>
      </w:r>
      <w:r>
        <w:rPr>
          <w:rFonts w:hint="cs"/>
          <w:rtl/>
          <w:lang w:bidi="ar-KW"/>
        </w:rPr>
        <w:t>،</w:t>
      </w:r>
      <w:r w:rsidR="009C32A0">
        <w:rPr>
          <w:rFonts w:hint="cs"/>
          <w:rtl/>
          <w:lang w:bidi="ar-KW"/>
        </w:rPr>
        <w:t xml:space="preserve"> ومنزه عن كل ما ينافي كمال القدرة كالعجز والضعف والتعب واللغوب</w:t>
      </w:r>
      <w:r>
        <w:rPr>
          <w:rFonts w:hint="cs"/>
          <w:rtl/>
          <w:lang w:bidi="ar-KW"/>
        </w:rPr>
        <w:t>،</w:t>
      </w:r>
      <w:r w:rsidR="009C32A0">
        <w:rPr>
          <w:rFonts w:hint="cs"/>
          <w:rtl/>
        </w:rPr>
        <w:t xml:space="preserve"> ليس خلق شيء بأهون عليه من خلق شيء أخر ولا بأصعب عليه </w:t>
      </w:r>
      <w:r w:rsidR="009C32A0">
        <w:rPr>
          <w:rFonts w:hint="cs"/>
          <w:rtl/>
          <w:lang w:bidi="ar-KW"/>
        </w:rPr>
        <w:t>منه لأن له كمال القدرة</w:t>
      </w:r>
      <w:r>
        <w:rPr>
          <w:rFonts w:hint="cs"/>
          <w:rtl/>
          <w:lang w:bidi="ar-KW"/>
        </w:rPr>
        <w:t>،</w:t>
      </w:r>
      <w:r w:rsidR="009C32A0">
        <w:rPr>
          <w:rFonts w:hint="cs"/>
          <w:rtl/>
          <w:lang w:bidi="ar-KW"/>
        </w:rPr>
        <w:t xml:space="preserve"> ومنزه عن كل ما ينافي كمال الإرادة كالجبر والاضطرار وأن يكون في ملكه ما لا يريد</w:t>
      </w:r>
      <w:r>
        <w:rPr>
          <w:rFonts w:hint="cs"/>
          <w:rtl/>
          <w:lang w:bidi="ar-KW"/>
        </w:rPr>
        <w:t>،</w:t>
      </w:r>
      <w:r w:rsidR="009C32A0">
        <w:rPr>
          <w:rFonts w:hint="cs"/>
          <w:rtl/>
          <w:lang w:bidi="ar-KW"/>
        </w:rPr>
        <w:t xml:space="preserve"> ومنزه </w:t>
      </w:r>
      <w:r w:rsidR="009C32A0">
        <w:rPr>
          <w:rFonts w:hint="cs"/>
          <w:rtl/>
          <w:lang w:bidi="ar-KW"/>
        </w:rPr>
        <w:lastRenderedPageBreak/>
        <w:t>عن كل ما ينافي كمال السمع كالصمم واختلاط الأصوات</w:t>
      </w:r>
      <w:r>
        <w:rPr>
          <w:rFonts w:hint="cs"/>
          <w:rtl/>
          <w:lang w:bidi="ar-KW"/>
        </w:rPr>
        <w:t>،</w:t>
      </w:r>
      <w:r w:rsidR="009C32A0">
        <w:rPr>
          <w:rFonts w:hint="cs"/>
          <w:rtl/>
          <w:lang w:bidi="ar-KW"/>
        </w:rPr>
        <w:t xml:space="preserve"> ومنزه عن كل ما ينافي كمال البصر كالعمى واختلاط المبصرات</w:t>
      </w:r>
      <w:r>
        <w:rPr>
          <w:rFonts w:hint="cs"/>
          <w:rtl/>
          <w:lang w:bidi="ar-KW"/>
        </w:rPr>
        <w:t>،</w:t>
      </w:r>
      <w:r w:rsidR="009C32A0">
        <w:rPr>
          <w:rFonts w:hint="cs"/>
          <w:rtl/>
          <w:lang w:bidi="ar-KW"/>
        </w:rPr>
        <w:t xml:space="preserve"> ومنزه عن كل ما ينافي كمال الكلام كالبكم والعي وتناهي الكلمات</w:t>
      </w:r>
      <w:r>
        <w:rPr>
          <w:rFonts w:hint="cs"/>
          <w:rtl/>
          <w:lang w:bidi="ar-KW"/>
        </w:rPr>
        <w:t>،</w:t>
      </w:r>
      <w:r w:rsidR="009C32A0">
        <w:rPr>
          <w:rFonts w:hint="cs"/>
          <w:rtl/>
          <w:lang w:bidi="ar-KW"/>
        </w:rPr>
        <w:t xml:space="preserve"> ومنزه عن كل ما ينافي كمال الغنى كالحاجة والشهوة والآفة والعلة والأكل والشرب واجترار المنافع واحتراز المضار</w:t>
      </w:r>
      <w:r>
        <w:rPr>
          <w:rFonts w:hint="cs"/>
          <w:rtl/>
          <w:lang w:bidi="ar-KW"/>
        </w:rPr>
        <w:t>،</w:t>
      </w:r>
      <w:r w:rsidR="009C32A0">
        <w:rPr>
          <w:rFonts w:hint="cs"/>
          <w:rtl/>
          <w:lang w:bidi="ar-KW"/>
        </w:rPr>
        <w:t xml:space="preserve"> ومنزه عن كل ما ينافي كمال الحكمة والعدل كالظلم وخلف الوعد</w:t>
      </w:r>
      <w:r>
        <w:rPr>
          <w:rFonts w:hint="cs"/>
          <w:rtl/>
          <w:lang w:bidi="ar-KW"/>
        </w:rPr>
        <w:t>،</w:t>
      </w:r>
      <w:r w:rsidR="009C32A0">
        <w:rPr>
          <w:rFonts w:hint="cs"/>
          <w:rtl/>
          <w:lang w:bidi="ar-KW"/>
        </w:rPr>
        <w:t xml:space="preserve"> ومنزه عن كل ما يضاد الكمال ويدل على النقص كالحد والمقدار والكون في مكان وان يجري عليه زمان</w:t>
      </w:r>
      <w:r>
        <w:rPr>
          <w:rFonts w:hint="cs"/>
          <w:rtl/>
          <w:lang w:bidi="ar-KW"/>
        </w:rPr>
        <w:t>،</w:t>
      </w:r>
      <w:r w:rsidR="009C32A0">
        <w:rPr>
          <w:rFonts w:hint="cs"/>
          <w:rtl/>
          <w:lang w:bidi="ar-KW"/>
        </w:rPr>
        <w:t xml:space="preserve"> وعن التغير والحدوث وقبول الحدث</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ب</w:t>
      </w:r>
      <w:r>
        <w:rPr>
          <w:rFonts w:hint="cs"/>
          <w:rtl/>
          <w:lang w:bidi="ar-KW"/>
        </w:rPr>
        <w:t>)</w:t>
      </w:r>
      <w:r w:rsidR="009C32A0">
        <w:rPr>
          <w:rFonts w:hint="cs"/>
          <w:rtl/>
          <w:lang w:bidi="ar-KW"/>
        </w:rPr>
        <w:t xml:space="preserve"> تنزيه الله تعالى عن النقائص والعيوب التي تتصف به ذات المخلوق</w:t>
      </w:r>
      <w:r>
        <w:rPr>
          <w:rFonts w:hint="cs"/>
          <w:rtl/>
          <w:lang w:bidi="ar-KW"/>
        </w:rPr>
        <w:t>:</w:t>
      </w:r>
      <w:r w:rsidR="009C32A0">
        <w:rPr>
          <w:rFonts w:hint="cs"/>
          <w:rtl/>
          <w:lang w:bidi="ar-KW"/>
        </w:rPr>
        <w:t xml:space="preserve"> هو ما نطق به القرآن الكريم</w:t>
      </w:r>
      <w:r>
        <w:rPr>
          <w:rFonts w:hint="cs"/>
          <w:rtl/>
          <w:lang w:bidi="ar-KW"/>
        </w:rPr>
        <w:t>،</w:t>
      </w:r>
      <w:r w:rsidR="009C32A0">
        <w:rPr>
          <w:rFonts w:hint="cs"/>
          <w:rtl/>
          <w:lang w:bidi="ar-KW"/>
        </w:rPr>
        <w:t xml:space="preserve"> ولا يخالف في ذلك مسلم أصلا</w:t>
      </w:r>
      <w:r>
        <w:rPr>
          <w:rFonts w:hint="cs"/>
          <w:rtl/>
          <w:lang w:bidi="ar-KW"/>
        </w:rPr>
        <w:t>،</w:t>
      </w:r>
      <w:r w:rsidR="009C32A0">
        <w:rPr>
          <w:rFonts w:hint="cs"/>
          <w:rtl/>
          <w:lang w:bidi="ar-KW"/>
        </w:rPr>
        <w:t xml:space="preserve"> ومما يدل على </w:t>
      </w:r>
      <w:r w:rsidR="009C32A0">
        <w:rPr>
          <w:rFonts w:hint="cs"/>
          <w:rtl/>
        </w:rPr>
        <w:t>نفي السنة والنوم قوله تعالى</w:t>
      </w:r>
      <w:r>
        <w:rPr>
          <w:rFonts w:hint="cs"/>
          <w:rtl/>
        </w:rPr>
        <w:t>:</w:t>
      </w:r>
      <w:r w:rsidR="009C32A0">
        <w:rPr>
          <w:rFonts w:hint="cs"/>
          <w:rtl/>
        </w:rPr>
        <w:t xml:space="preserve"> </w:t>
      </w:r>
      <w:r>
        <w:rPr>
          <w:rFonts w:hint="cs"/>
          <w:rtl/>
        </w:rPr>
        <w:t>{</w:t>
      </w:r>
      <w:r w:rsidR="009C32A0">
        <w:rPr>
          <w:rFonts w:hint="cs"/>
          <w:rtl/>
        </w:rPr>
        <w:t>اللَّهُ لَا إِلَهَ إِلَّا هُوَ الْحَيُّ الْقَيُّومُ لَا تَأْخُذُهُ سِنَةٌ وَلَا نَوْمٌ</w:t>
      </w:r>
      <w:r>
        <w:rPr>
          <w:rFonts w:hint="cs"/>
          <w:rtl/>
        </w:rPr>
        <w:t>}</w:t>
      </w:r>
      <w:r w:rsidR="009C32A0">
        <w:rPr>
          <w:rFonts w:hint="cs"/>
          <w:rtl/>
        </w:rPr>
        <w:t xml:space="preserve"> </w:t>
      </w:r>
      <w:r>
        <w:rPr>
          <w:rFonts w:hint="cs"/>
          <w:rtl/>
        </w:rPr>
        <w:t>[</w:t>
      </w:r>
      <w:r w:rsidR="009C32A0">
        <w:rPr>
          <w:rFonts w:hint="cs"/>
          <w:rtl/>
        </w:rPr>
        <w:t>البقرة</w:t>
      </w:r>
      <w:r>
        <w:rPr>
          <w:rFonts w:hint="cs"/>
          <w:rtl/>
        </w:rPr>
        <w:t>:</w:t>
      </w:r>
      <w:r w:rsidR="009C32A0">
        <w:rPr>
          <w:rFonts w:hint="cs"/>
          <w:rtl/>
        </w:rPr>
        <w:t xml:space="preserve"> 255</w:t>
      </w:r>
      <w:r>
        <w:rPr>
          <w:rFonts w:hint="cs"/>
          <w:rtl/>
        </w:rPr>
        <w:t>]،</w:t>
      </w:r>
      <w:r w:rsidR="009C32A0">
        <w:rPr>
          <w:rFonts w:hint="cs"/>
          <w:rtl/>
        </w:rPr>
        <w:t xml:space="preserve"> </w:t>
      </w:r>
      <w:r w:rsidR="009C32A0">
        <w:rPr>
          <w:rFonts w:hint="cs"/>
          <w:rtl/>
          <w:lang w:bidi="ar-KW"/>
        </w:rPr>
        <w:t xml:space="preserve">ومما يدل على </w:t>
      </w:r>
      <w:r w:rsidR="009C32A0">
        <w:rPr>
          <w:rFonts w:hint="cs"/>
          <w:rtl/>
        </w:rPr>
        <w:t>نفي العجز والتعب</w:t>
      </w:r>
      <w:r>
        <w:rPr>
          <w:rFonts w:hint="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وَلَقَدْ خَلَقْنَا السَّمَوَاتِ وَالْأَرْضَ وَمَا بَيْنَهُمَا فِي سِتَّةِ أَيَّامٍ وَمَا مَسَّنَا مِنْ لُغُوبٍ</w:t>
      </w:r>
      <w:r>
        <w:rPr>
          <w:rFonts w:hint="cs"/>
          <w:rtl/>
        </w:rPr>
        <w:t>}</w:t>
      </w:r>
      <w:r w:rsidR="009C32A0">
        <w:rPr>
          <w:rFonts w:hint="cs"/>
          <w:rtl/>
        </w:rPr>
        <w:t xml:space="preserve"> </w:t>
      </w:r>
      <w:r>
        <w:rPr>
          <w:rFonts w:hint="cs"/>
          <w:rtl/>
        </w:rPr>
        <w:t>[</w:t>
      </w:r>
      <w:r w:rsidR="009C32A0">
        <w:rPr>
          <w:rFonts w:hint="cs"/>
          <w:rtl/>
        </w:rPr>
        <w:t>ق</w:t>
      </w:r>
      <w:r>
        <w:rPr>
          <w:rFonts w:hint="cs"/>
          <w:rtl/>
        </w:rPr>
        <w:t>:</w:t>
      </w:r>
      <w:r w:rsidR="009C32A0">
        <w:rPr>
          <w:rFonts w:hint="cs"/>
          <w:rtl/>
        </w:rPr>
        <w:t xml:space="preserve"> 38</w:t>
      </w:r>
      <w:r>
        <w:rPr>
          <w:rFonts w:hint="cs"/>
          <w:rtl/>
        </w:rPr>
        <w:t xml:space="preserve">]، </w:t>
      </w:r>
      <w:r w:rsidR="009C32A0">
        <w:rPr>
          <w:rFonts w:hint="cs"/>
          <w:rtl/>
          <w:lang w:bidi="ar-KW"/>
        </w:rPr>
        <w:t xml:space="preserve">ومما يدل على </w:t>
      </w:r>
      <w:r w:rsidR="009C32A0">
        <w:rPr>
          <w:rFonts w:hint="cs"/>
          <w:rtl/>
        </w:rPr>
        <w:t>نفي النسيان قوله تعالى</w:t>
      </w:r>
      <w:r>
        <w:rPr>
          <w:rFonts w:hint="cs"/>
          <w:rtl/>
        </w:rPr>
        <w:t>:</w:t>
      </w:r>
      <w:r w:rsidR="009C32A0">
        <w:rPr>
          <w:rFonts w:hint="cs"/>
          <w:rtl/>
        </w:rPr>
        <w:t xml:space="preserve"> </w:t>
      </w:r>
      <w:r>
        <w:rPr>
          <w:rFonts w:hint="cs"/>
          <w:rtl/>
        </w:rPr>
        <w:t>{</w:t>
      </w:r>
      <w:r w:rsidR="009C32A0">
        <w:rPr>
          <w:rFonts w:hint="cs"/>
          <w:rtl/>
        </w:rPr>
        <w:t>وَمَا كَانَ رَبُّكَ نَسِيًّا</w:t>
      </w:r>
      <w:r>
        <w:rPr>
          <w:rFonts w:hint="cs"/>
          <w:rtl/>
        </w:rPr>
        <w:t>}</w:t>
      </w:r>
      <w:r w:rsidR="009C32A0">
        <w:rPr>
          <w:rFonts w:hint="cs"/>
          <w:rtl/>
        </w:rPr>
        <w:t xml:space="preserve"> </w:t>
      </w:r>
      <w:r>
        <w:rPr>
          <w:rFonts w:hint="cs"/>
          <w:rtl/>
        </w:rPr>
        <w:t>[</w:t>
      </w:r>
      <w:r w:rsidR="009C32A0">
        <w:rPr>
          <w:rFonts w:hint="cs"/>
          <w:rtl/>
        </w:rPr>
        <w:t>مريم</w:t>
      </w:r>
      <w:r>
        <w:rPr>
          <w:rFonts w:hint="cs"/>
          <w:rtl/>
        </w:rPr>
        <w:t>:</w:t>
      </w:r>
      <w:r w:rsidR="009C32A0">
        <w:rPr>
          <w:rFonts w:hint="cs"/>
          <w:rtl/>
        </w:rPr>
        <w:t xml:space="preserve"> 64</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قَالَ عِلْمُهَا عِنْدَ رَبِّي فِي كِتَابٍ لَا يَضِلُّ رَبِّي وَلَا يَنْسَى</w:t>
      </w:r>
      <w:r>
        <w:rPr>
          <w:rFonts w:hint="cs"/>
          <w:rtl/>
        </w:rPr>
        <w:t>}</w:t>
      </w:r>
      <w:r w:rsidR="009C32A0">
        <w:rPr>
          <w:rFonts w:hint="cs"/>
          <w:rtl/>
        </w:rPr>
        <w:t xml:space="preserve"> </w:t>
      </w:r>
      <w:r>
        <w:rPr>
          <w:rFonts w:hint="cs"/>
          <w:rtl/>
        </w:rPr>
        <w:t>[</w:t>
      </w:r>
      <w:r w:rsidR="009C32A0">
        <w:rPr>
          <w:rFonts w:hint="cs"/>
          <w:rtl/>
        </w:rPr>
        <w:t>طه</w:t>
      </w:r>
      <w:r>
        <w:rPr>
          <w:rFonts w:hint="cs"/>
          <w:rtl/>
        </w:rPr>
        <w:t>:</w:t>
      </w:r>
      <w:r w:rsidR="009C32A0">
        <w:rPr>
          <w:rFonts w:hint="cs"/>
          <w:rtl/>
        </w:rPr>
        <w:t xml:space="preserve"> 52</w:t>
      </w:r>
      <w:r>
        <w:rPr>
          <w:rFonts w:hint="cs"/>
          <w:rtl/>
        </w:rPr>
        <w:t>]،</w:t>
      </w:r>
      <w:r w:rsidR="009C32A0">
        <w:rPr>
          <w:rFonts w:hint="cs"/>
          <w:rtl/>
        </w:rPr>
        <w:t xml:space="preserve"> ومما يدل على نفي الظلم</w:t>
      </w:r>
      <w:r>
        <w:rPr>
          <w:rFonts w:hint="cs"/>
          <w:rtl/>
        </w:rPr>
        <w:t>،</w:t>
      </w:r>
      <w:r w:rsidR="009C32A0">
        <w:rPr>
          <w:rFonts w:hint="cs"/>
          <w:rtl/>
        </w:rPr>
        <w:t xml:space="preserve"> قوله تعالى</w:t>
      </w:r>
      <w:r>
        <w:rPr>
          <w:rFonts w:hint="cs"/>
          <w:rtl/>
        </w:rPr>
        <w:t>:</w:t>
      </w:r>
      <w:r w:rsidR="009C32A0">
        <w:rPr>
          <w:rFonts w:hint="cs"/>
          <w:rtl/>
        </w:rPr>
        <w:t xml:space="preserve"> </w:t>
      </w:r>
      <w:r>
        <w:rPr>
          <w:rFonts w:hint="cs"/>
          <w:rtl/>
        </w:rPr>
        <w:t>{</w:t>
      </w:r>
      <w:r w:rsidR="009C32A0">
        <w:rPr>
          <w:rFonts w:hint="cs"/>
          <w:rtl/>
        </w:rPr>
        <w:t>وَلَا يَظْلِمُ رَبُّكَ أَحَدًا</w:t>
      </w:r>
      <w:r>
        <w:rPr>
          <w:rFonts w:hint="cs"/>
          <w:rtl/>
        </w:rPr>
        <w:t>}</w:t>
      </w:r>
      <w:r w:rsidR="009C32A0">
        <w:rPr>
          <w:rFonts w:hint="cs"/>
          <w:rtl/>
        </w:rPr>
        <w:t xml:space="preserve"> </w:t>
      </w:r>
      <w:r>
        <w:rPr>
          <w:rFonts w:hint="cs"/>
          <w:rtl/>
        </w:rPr>
        <w:t>[</w:t>
      </w:r>
      <w:r w:rsidR="009C32A0">
        <w:rPr>
          <w:rFonts w:hint="cs"/>
          <w:rtl/>
        </w:rPr>
        <w:t>الكهف</w:t>
      </w:r>
      <w:r>
        <w:rPr>
          <w:rFonts w:hint="cs"/>
          <w:rtl/>
        </w:rPr>
        <w:t>:</w:t>
      </w:r>
      <w:r w:rsidR="009C32A0">
        <w:rPr>
          <w:rFonts w:hint="cs"/>
          <w:rtl/>
        </w:rPr>
        <w:t xml:space="preserve"> 49</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وَمَا رَبُّكُ بِظَلَّامٍ لِلْعَبِيدِ</w:t>
      </w:r>
      <w:r>
        <w:rPr>
          <w:rFonts w:hint="cs"/>
          <w:rtl/>
        </w:rPr>
        <w:t>}</w:t>
      </w:r>
      <w:r w:rsidR="009C32A0">
        <w:rPr>
          <w:rFonts w:hint="cs"/>
          <w:rtl/>
        </w:rPr>
        <w:t xml:space="preserve"> </w:t>
      </w:r>
      <w:r>
        <w:rPr>
          <w:rFonts w:hint="cs"/>
          <w:rtl/>
        </w:rPr>
        <w:t>[</w:t>
      </w:r>
      <w:r w:rsidR="009C32A0">
        <w:rPr>
          <w:rFonts w:hint="cs"/>
          <w:rtl/>
        </w:rPr>
        <w:t>فصلت</w:t>
      </w:r>
      <w:r>
        <w:rPr>
          <w:rFonts w:hint="cs"/>
          <w:rtl/>
        </w:rPr>
        <w:t>:</w:t>
      </w:r>
      <w:r w:rsidR="009C32A0">
        <w:rPr>
          <w:rFonts w:hint="cs"/>
          <w:rtl/>
        </w:rPr>
        <w:t xml:space="preserve"> 46</w:t>
      </w:r>
      <w:r>
        <w:rPr>
          <w:rFonts w:hint="cs"/>
          <w:rtl/>
        </w:rPr>
        <w:t>]،</w:t>
      </w:r>
      <w:r w:rsidR="009C32A0">
        <w:rPr>
          <w:rFonts w:hint="cs"/>
          <w:rtl/>
        </w:rPr>
        <w:t xml:space="preserve"> والقاعدة أنّ كل كمال نطق به الكتاب والسنّة فالله متصف به وكل نقص يضاد هذا الكمال فالله تعالى منزه عنه</w:t>
      </w:r>
      <w:r>
        <w:rPr>
          <w:rFonts w:hint="cs"/>
          <w:rtl/>
        </w:rPr>
        <w:t>،</w:t>
      </w:r>
      <w:r w:rsidR="009C32A0">
        <w:rPr>
          <w:rFonts w:hint="cs"/>
          <w:rtl/>
        </w:rPr>
        <w:t xml:space="preserve"> وكل جلال وإكرام نطق به الكتاب والسنّة فالله تعالى متصف به</w:t>
      </w:r>
      <w:r>
        <w:rPr>
          <w:rFonts w:hint="cs"/>
          <w:rtl/>
        </w:rPr>
        <w:t>،</w:t>
      </w:r>
      <w:r w:rsidR="009C32A0">
        <w:rPr>
          <w:rFonts w:hint="cs"/>
          <w:rtl/>
        </w:rPr>
        <w:t xml:space="preserve"> ومنزه عن كل عيب يضاده</w:t>
      </w:r>
      <w:r>
        <w:rPr>
          <w:rFonts w:hint="cs"/>
          <w:rtl/>
        </w:rPr>
        <w:t>،</w:t>
      </w:r>
    </w:p>
    <w:p w14:paraId="6A625DE7" w14:textId="5D950B17" w:rsidR="009C32A0" w:rsidRDefault="000636C2" w:rsidP="000636C2">
      <w:pPr>
        <w:ind w:left="-58"/>
        <w:rPr>
          <w:b/>
        </w:rPr>
      </w:pPr>
      <w:r>
        <w:rPr>
          <w:rFonts w:hint="cs"/>
          <w:bCs/>
          <w:rtl/>
          <w:lang w:bidi="ar-KW"/>
        </w:rPr>
        <w:t>[</w:t>
      </w:r>
      <w:r w:rsidR="009C32A0">
        <w:rPr>
          <w:rFonts w:hint="cs"/>
          <w:bCs/>
          <w:rtl/>
          <w:lang w:bidi="ar-KW"/>
        </w:rPr>
        <w:t>12</w:t>
      </w:r>
      <w:r>
        <w:rPr>
          <w:rFonts w:hint="cs"/>
          <w:bCs/>
          <w:rtl/>
          <w:lang w:bidi="ar-KW"/>
        </w:rPr>
        <w:t>]:</w:t>
      </w:r>
      <w:r w:rsidR="009C32A0">
        <w:rPr>
          <w:rFonts w:hint="cs"/>
          <w:bCs/>
          <w:rtl/>
          <w:lang w:bidi="ar-KW"/>
        </w:rPr>
        <w:t xml:space="preserve"> القاعدة الثانية عشرة</w:t>
      </w:r>
      <w:r>
        <w:rPr>
          <w:rFonts w:hint="cs"/>
          <w:bCs/>
          <w:rtl/>
          <w:lang w:bidi="ar-KW"/>
        </w:rPr>
        <w:t>:</w:t>
      </w:r>
      <w:r w:rsidR="009C32A0">
        <w:rPr>
          <w:rFonts w:hint="cs"/>
          <w:bCs/>
          <w:rtl/>
          <w:lang w:bidi="ar-KW"/>
        </w:rPr>
        <w:t xml:space="preserve"> تنزيه ذات الله تعالى عن الوالد والولد والصاحبة</w:t>
      </w:r>
      <w:r>
        <w:rPr>
          <w:rFonts w:hint="cs"/>
          <w:bCs/>
          <w:rtl/>
          <w:lang w:bidi="ar-KW"/>
        </w:rPr>
        <w:t>:</w:t>
      </w:r>
      <w:r>
        <w:rPr>
          <w:rFonts w:hint="cs"/>
          <w:rtl/>
          <w:lang w:bidi="ar-KW"/>
        </w:rPr>
        <w:t xml:space="preserve"> </w:t>
      </w:r>
      <w:r>
        <w:rPr>
          <w:rFonts w:hint="cs"/>
          <w:rtl/>
        </w:rPr>
        <w:t>(</w:t>
      </w:r>
      <w:r w:rsidR="009C32A0">
        <w:rPr>
          <w:rFonts w:hint="cs"/>
          <w:rtl/>
        </w:rPr>
        <w:t>أ</w:t>
      </w:r>
      <w:r>
        <w:rPr>
          <w:rFonts w:hint="cs"/>
          <w:rtl/>
        </w:rPr>
        <w:t>)</w:t>
      </w:r>
      <w:r w:rsidR="009C32A0">
        <w:rPr>
          <w:rFonts w:hint="cs"/>
          <w:rtl/>
        </w:rPr>
        <w:t xml:space="preserve"> تقدس سبحانه عن ملامسة النساء وعن اتخاذ الصاحبة والابناء لم يلد ولم يولد ولم يكن له كفوا أحد</w:t>
      </w:r>
      <w:r>
        <w:rPr>
          <w:rFonts w:hint="cs"/>
          <w:rtl/>
        </w:rPr>
        <w:t>،</w:t>
      </w:r>
      <w:r w:rsidR="009C32A0">
        <w:rPr>
          <w:rFonts w:hint="cs"/>
          <w:rtl/>
        </w:rPr>
        <w:t xml:space="preserve"> قال تعالى</w:t>
      </w:r>
      <w:r>
        <w:rPr>
          <w:rFonts w:hint="cs"/>
          <w:rtl/>
        </w:rPr>
        <w:t>:</w:t>
      </w:r>
      <w:r w:rsidR="009C32A0">
        <w:rPr>
          <w:rFonts w:hint="cs"/>
          <w:rtl/>
        </w:rPr>
        <w:t xml:space="preserve"> </w:t>
      </w:r>
      <w:r>
        <w:rPr>
          <w:rFonts w:hint="cs"/>
          <w:rtl/>
        </w:rPr>
        <w:t>{</w:t>
      </w:r>
      <w:r w:rsidR="009C32A0">
        <w:rPr>
          <w:rFonts w:hint="cs"/>
          <w:rtl/>
        </w:rPr>
        <w:t>قُلْ هُوَ اللَّهُ أَحَدٌ * اللَّهُ الصَّمَدُ * لَمْ يَلِدْ وَلَمْ يُولَدْ * وَلَمْ يَكُنْ لَهُ كُفُوًا أَحَدٌ</w:t>
      </w:r>
      <w:r>
        <w:rPr>
          <w:rFonts w:hint="cs"/>
          <w:rtl/>
        </w:rPr>
        <w:t>}</w:t>
      </w:r>
      <w:r w:rsidR="009C32A0">
        <w:rPr>
          <w:rFonts w:hint="cs"/>
          <w:rtl/>
        </w:rPr>
        <w:t xml:space="preserve"> </w:t>
      </w:r>
      <w:r>
        <w:rPr>
          <w:rFonts w:hint="cs"/>
          <w:rtl/>
        </w:rPr>
        <w:t>[</w:t>
      </w:r>
      <w:r w:rsidR="009C32A0">
        <w:rPr>
          <w:rFonts w:hint="cs"/>
          <w:rtl/>
        </w:rPr>
        <w:t>سورة الإخلاص</w:t>
      </w:r>
      <w:r>
        <w:rPr>
          <w:rFonts w:hint="cs"/>
          <w:rtl/>
        </w:rPr>
        <w:t>]،</w:t>
      </w:r>
      <w:r w:rsidR="009C32A0">
        <w:rPr>
          <w:rFonts w:hint="cs"/>
          <w:rtl/>
        </w:rPr>
        <w:t xml:space="preserve"> وقال تعالى</w:t>
      </w:r>
      <w:r>
        <w:rPr>
          <w:rFonts w:hint="cs"/>
          <w:rtl/>
        </w:rPr>
        <w:t>:</w:t>
      </w:r>
      <w:r w:rsidR="009C32A0">
        <w:rPr>
          <w:rFonts w:hint="cs"/>
          <w:rtl/>
        </w:rPr>
        <w:t xml:space="preserve"> </w:t>
      </w:r>
      <w:r>
        <w:rPr>
          <w:rFonts w:hint="cs"/>
          <w:rtl/>
        </w:rPr>
        <w:t>{</w:t>
      </w:r>
      <w:r w:rsidR="009C32A0">
        <w:rPr>
          <w:rFonts w:hint="cs"/>
          <w:rtl/>
        </w:rPr>
        <w:t>بَدِيعُ السَّمَوَاتِ وَالْأَرْضِ أَنَّى يَكُونُ لَهُ وَلَدٌ وَلَمْ تَكُنْ لَهُ صَاحِبَةٌ وَخَلَقَ كُلَّ شَيْءٍ وَهُوَ بِكُلِّ شَيْءٍ عَلِيمٌ</w:t>
      </w:r>
      <w:r>
        <w:rPr>
          <w:rFonts w:hint="cs"/>
          <w:rtl/>
        </w:rPr>
        <w:t>}</w:t>
      </w:r>
      <w:r w:rsidR="009C32A0">
        <w:rPr>
          <w:rFonts w:hint="cs"/>
          <w:rtl/>
        </w:rPr>
        <w:t xml:space="preserve"> </w:t>
      </w:r>
      <w:r>
        <w:rPr>
          <w:rFonts w:hint="cs"/>
          <w:rtl/>
        </w:rPr>
        <w:t>[</w:t>
      </w:r>
      <w:r w:rsidR="009C32A0">
        <w:rPr>
          <w:rFonts w:hint="cs"/>
          <w:rtl/>
        </w:rPr>
        <w:t>الأنعام</w:t>
      </w:r>
      <w:r>
        <w:rPr>
          <w:rFonts w:hint="cs"/>
          <w:rtl/>
        </w:rPr>
        <w:t>:</w:t>
      </w:r>
      <w:r w:rsidR="009C32A0">
        <w:rPr>
          <w:rFonts w:hint="cs"/>
          <w:rtl/>
        </w:rPr>
        <w:t xml:space="preserve"> 101</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من الأشياء التي يستحيل نسبتها إلى الله تعالى </w:t>
      </w:r>
      <w:r>
        <w:rPr>
          <w:rFonts w:hint="cs"/>
          <w:rtl/>
        </w:rPr>
        <w:t>(</w:t>
      </w:r>
      <w:r w:rsidR="009C32A0">
        <w:rPr>
          <w:rFonts w:hint="cs"/>
          <w:rtl/>
        </w:rPr>
        <w:t>الوالد والصاحبة والولد</w:t>
      </w:r>
      <w:r>
        <w:rPr>
          <w:rFonts w:hint="cs"/>
          <w:rtl/>
        </w:rPr>
        <w:t>)</w:t>
      </w:r>
      <w:r w:rsidR="009C32A0">
        <w:rPr>
          <w:rFonts w:hint="cs"/>
          <w:rtl/>
        </w:rPr>
        <w:t xml:space="preserve"> لأنّه تعالى خالق لكل موجود</w:t>
      </w:r>
      <w:r>
        <w:rPr>
          <w:rFonts w:hint="cs"/>
          <w:rtl/>
        </w:rPr>
        <w:t>،</w:t>
      </w:r>
      <w:r w:rsidR="009C32A0">
        <w:rPr>
          <w:rFonts w:hint="cs"/>
          <w:rtl/>
        </w:rPr>
        <w:t xml:space="preserve"> هو القديم الأزلي ومن عداه محدث مخلوق</w:t>
      </w:r>
      <w:r>
        <w:rPr>
          <w:rFonts w:hint="cs"/>
          <w:rtl/>
        </w:rPr>
        <w:t>،</w:t>
      </w:r>
      <w:r w:rsidR="009C32A0">
        <w:rPr>
          <w:rFonts w:hint="cs"/>
          <w:rtl/>
        </w:rPr>
        <w:t xml:space="preserve"> أحد صمد</w:t>
      </w:r>
      <w:r>
        <w:rPr>
          <w:rFonts w:hint="cs"/>
          <w:rtl/>
        </w:rPr>
        <w:t>،</w:t>
      </w:r>
      <w:r w:rsidR="009C32A0">
        <w:rPr>
          <w:rFonts w:hint="cs"/>
          <w:rtl/>
        </w:rPr>
        <w:t xml:space="preserve"> لا ينفصل من شيء ولم ينفصل منه شيء</w:t>
      </w:r>
      <w:r>
        <w:rPr>
          <w:rFonts w:hint="cs"/>
          <w:rtl/>
        </w:rPr>
        <w:t>،</w:t>
      </w:r>
      <w:r w:rsidR="009C32A0">
        <w:rPr>
          <w:rFonts w:hint="cs"/>
          <w:rtl/>
        </w:rPr>
        <w:t xml:space="preserve"> تنزه عن أن يكون منه جزء مخلوق {لَمْ يَلِدْ</w:t>
      </w:r>
      <w:r>
        <w:rPr>
          <w:rFonts w:hint="cs"/>
          <w:rtl/>
        </w:rPr>
        <w:t>}،</w:t>
      </w:r>
      <w:r w:rsidR="009C32A0">
        <w:rPr>
          <w:rFonts w:hint="cs"/>
          <w:rtl/>
        </w:rPr>
        <w:t xml:space="preserve"> وتنزه عن أن يكون هو محدث مخلوق </w:t>
      </w:r>
      <w:r>
        <w:rPr>
          <w:rFonts w:hint="cs"/>
          <w:rtl/>
        </w:rPr>
        <w:t>{</w:t>
      </w:r>
      <w:r w:rsidR="009C32A0">
        <w:rPr>
          <w:rFonts w:hint="cs"/>
          <w:rtl/>
        </w:rPr>
        <w:t>وَلَمْ يُولَدْ</w:t>
      </w:r>
      <w:r>
        <w:rPr>
          <w:rFonts w:hint="cs"/>
          <w:rtl/>
        </w:rPr>
        <w:t>}،</w:t>
      </w:r>
      <w:r w:rsidR="009C32A0">
        <w:rPr>
          <w:rFonts w:hint="cs"/>
          <w:rtl/>
        </w:rPr>
        <w:t xml:space="preserve"> بل هو الأول فليس قبله شيء وهو الآخر فليس بعده شيء</w:t>
      </w:r>
      <w:r>
        <w:rPr>
          <w:rFonts w:hint="cs"/>
          <w:rtl/>
        </w:rPr>
        <w:t>،</w:t>
      </w:r>
      <w:r w:rsidR="009C32A0">
        <w:rPr>
          <w:rFonts w:hint="cs"/>
          <w:rtl/>
        </w:rPr>
        <w:t xml:space="preserve"> الخالق لكل شيء ومن عداه مخلوق</w:t>
      </w:r>
      <w:r>
        <w:rPr>
          <w:rFonts w:hint="cs"/>
          <w:rtl/>
        </w:rPr>
        <w:t xml:space="preserve">، </w:t>
      </w:r>
      <w:r w:rsidR="009C32A0">
        <w:rPr>
          <w:rFonts w:hint="cs"/>
          <w:rtl/>
        </w:rPr>
        <w:t>أحد لا نظير له</w:t>
      </w:r>
      <w:r>
        <w:rPr>
          <w:rFonts w:hint="cs"/>
          <w:rtl/>
        </w:rPr>
        <w:t>،</w:t>
      </w:r>
      <w:r w:rsidR="009C32A0">
        <w:rPr>
          <w:rFonts w:hint="cs"/>
          <w:rtl/>
        </w:rPr>
        <w:t xml:space="preserve"> صمد لا ينفصل من شيء ولم ينفصل منه شيء</w:t>
      </w:r>
      <w:r>
        <w:rPr>
          <w:rFonts w:hint="cs"/>
          <w:rtl/>
        </w:rPr>
        <w:t>،</w:t>
      </w:r>
      <w:r w:rsidR="009C32A0">
        <w:rPr>
          <w:rFonts w:hint="cs"/>
          <w:rtl/>
        </w:rPr>
        <w:t xml:space="preserve"> </w:t>
      </w:r>
      <w:r>
        <w:rPr>
          <w:rFonts w:hint="cs"/>
          <w:rtl/>
        </w:rPr>
        <w:t>(</w:t>
      </w:r>
      <w:r w:rsidR="009C32A0">
        <w:rPr>
          <w:rFonts w:hint="cs"/>
          <w:rtl/>
        </w:rPr>
        <w:t>ت</w:t>
      </w:r>
      <w:r>
        <w:rPr>
          <w:rFonts w:hint="cs"/>
          <w:rtl/>
        </w:rPr>
        <w:t>)</w:t>
      </w:r>
      <w:r w:rsidR="009C32A0">
        <w:rPr>
          <w:rFonts w:hint="cs"/>
          <w:rtl/>
        </w:rPr>
        <w:t xml:space="preserve"> النصارى من أجهل الناس بما يجب وما يجوز وما يستحيل نسبته إلى الله تعالى</w:t>
      </w:r>
      <w:r>
        <w:rPr>
          <w:rFonts w:hint="cs"/>
          <w:rtl/>
        </w:rPr>
        <w:t>،</w:t>
      </w:r>
      <w:r w:rsidR="009C32A0">
        <w:rPr>
          <w:rFonts w:hint="cs"/>
          <w:rtl/>
        </w:rPr>
        <w:t xml:space="preserve"> فزعموا له الولد سبحانه</w:t>
      </w:r>
      <w:r>
        <w:rPr>
          <w:rFonts w:hint="cs"/>
          <w:rtl/>
        </w:rPr>
        <w:t>،</w:t>
      </w:r>
      <w:r w:rsidR="009C32A0">
        <w:rPr>
          <w:rFonts w:hint="cs"/>
          <w:rtl/>
        </w:rPr>
        <w:t xml:space="preserve"> وهذا يستحيل نسبته إلى الله الاحد الصمد</w:t>
      </w:r>
      <w:r>
        <w:rPr>
          <w:rFonts w:hint="cs"/>
          <w:rtl/>
        </w:rPr>
        <w:t>،</w:t>
      </w:r>
      <w:r w:rsidR="009C32A0">
        <w:rPr>
          <w:rFonts w:hint="cs"/>
          <w:rtl/>
        </w:rPr>
        <w:t xml:space="preserve"> لأن الولد جزء من أبيه</w:t>
      </w:r>
      <w:r>
        <w:rPr>
          <w:rFonts w:hint="cs"/>
          <w:rtl/>
        </w:rPr>
        <w:t>،</w:t>
      </w:r>
      <w:r w:rsidR="009C32A0">
        <w:rPr>
          <w:rFonts w:hint="cs"/>
          <w:rtl/>
        </w:rPr>
        <w:t xml:space="preserve"> فالوالد لا يخلق ولده</w:t>
      </w:r>
      <w:r>
        <w:rPr>
          <w:rFonts w:hint="cs"/>
          <w:rtl/>
        </w:rPr>
        <w:t>،</w:t>
      </w:r>
      <w:r w:rsidR="009C32A0">
        <w:rPr>
          <w:rFonts w:hint="cs"/>
          <w:rtl/>
        </w:rPr>
        <w:t xml:space="preserve"> وإنما هو جزء منه</w:t>
      </w:r>
      <w:r>
        <w:rPr>
          <w:rFonts w:hint="cs"/>
          <w:rtl/>
        </w:rPr>
        <w:t>،</w:t>
      </w:r>
      <w:r w:rsidR="009C32A0">
        <w:rPr>
          <w:rFonts w:hint="cs"/>
          <w:rtl/>
        </w:rPr>
        <w:t xml:space="preserve"> </w:t>
      </w:r>
      <w:r w:rsidR="009C32A0">
        <w:rPr>
          <w:rFonts w:hint="cs"/>
          <w:rtl/>
        </w:rPr>
        <w:lastRenderedPageBreak/>
        <w:t>وند له</w:t>
      </w:r>
      <w:r>
        <w:rPr>
          <w:rFonts w:hint="cs"/>
          <w:rtl/>
        </w:rPr>
        <w:t>،</w:t>
      </w:r>
      <w:r w:rsidR="009C32A0">
        <w:rPr>
          <w:rFonts w:hint="cs"/>
          <w:rtl/>
        </w:rPr>
        <w:t xml:space="preserve"> ومثيل لذاته</w:t>
      </w:r>
      <w:r>
        <w:rPr>
          <w:rFonts w:hint="cs"/>
          <w:rtl/>
        </w:rPr>
        <w:t>،</w:t>
      </w:r>
      <w:r w:rsidR="009C32A0">
        <w:rPr>
          <w:rFonts w:hint="cs"/>
          <w:rtl/>
        </w:rPr>
        <w:t xml:space="preserve"> وشبيه بذاته</w:t>
      </w:r>
      <w:r>
        <w:rPr>
          <w:rFonts w:hint="cs"/>
          <w:rtl/>
        </w:rPr>
        <w:t>،</w:t>
      </w:r>
      <w:r w:rsidR="009C32A0">
        <w:rPr>
          <w:rFonts w:hint="cs"/>
          <w:rtl/>
        </w:rPr>
        <w:t xml:space="preserve"> والله تعالى ليس كمثله شيء</w:t>
      </w:r>
      <w:r>
        <w:rPr>
          <w:rFonts w:hint="cs"/>
          <w:rtl/>
        </w:rPr>
        <w:t>،</w:t>
      </w:r>
      <w:r w:rsidR="009C32A0">
        <w:rPr>
          <w:rFonts w:hint="cs"/>
          <w:rtl/>
        </w:rPr>
        <w:t xml:space="preserve"> أحد صمد منزه عن الجزء والكل</w:t>
      </w:r>
      <w:r>
        <w:rPr>
          <w:rFonts w:hint="cs"/>
          <w:rtl/>
        </w:rPr>
        <w:t>،</w:t>
      </w:r>
      <w:r w:rsidR="009C32A0">
        <w:rPr>
          <w:rFonts w:hint="cs"/>
          <w:rtl/>
        </w:rPr>
        <w:t xml:space="preserve"> لأنه لا يُعرف بالحس</w:t>
      </w:r>
      <w:r>
        <w:rPr>
          <w:rFonts w:hint="cs"/>
          <w:rtl/>
        </w:rPr>
        <w:t>،</w:t>
      </w:r>
      <w:r w:rsidR="009C32A0">
        <w:rPr>
          <w:rFonts w:hint="cs"/>
          <w:rtl/>
        </w:rPr>
        <w:t xml:space="preserve"> فلا يكون منه الولد</w:t>
      </w:r>
      <w:r>
        <w:rPr>
          <w:rFonts w:hint="cs"/>
          <w:rtl/>
        </w:rPr>
        <w:t>،</w:t>
      </w:r>
      <w:r w:rsidR="009C32A0">
        <w:rPr>
          <w:rFonts w:hint="cs"/>
          <w:rtl/>
        </w:rPr>
        <w:t xml:space="preserve"> ولو كان منه الولد - سبحانه - لكان الولد قديماً</w:t>
      </w:r>
      <w:r>
        <w:rPr>
          <w:rFonts w:hint="cs"/>
          <w:rtl/>
        </w:rPr>
        <w:t>،</w:t>
      </w:r>
      <w:r w:rsidR="009C32A0">
        <w:rPr>
          <w:rFonts w:hint="cs"/>
          <w:rtl/>
        </w:rPr>
        <w:t xml:space="preserve"> مثل أبيه</w:t>
      </w:r>
      <w:r>
        <w:rPr>
          <w:rFonts w:hint="cs"/>
          <w:rtl/>
        </w:rPr>
        <w:t>،</w:t>
      </w:r>
      <w:r w:rsidR="009C32A0">
        <w:rPr>
          <w:rFonts w:hint="cs"/>
          <w:rtl/>
        </w:rPr>
        <w:t xml:space="preserve"> وكيف يكون قديماً وهو حادث</w:t>
      </w:r>
      <w:r>
        <w:rPr>
          <w:rFonts w:hint="cs"/>
          <w:rtl/>
        </w:rPr>
        <w:t>،</w:t>
      </w:r>
      <w:r w:rsidR="009C32A0">
        <w:rPr>
          <w:rFonts w:hint="cs"/>
          <w:rtl/>
        </w:rPr>
        <w:t xml:space="preserve"> وُجد بعد أن لم يكن موجوداً</w:t>
      </w:r>
      <w:r>
        <w:rPr>
          <w:rFonts w:hint="cs"/>
          <w:rtl/>
        </w:rPr>
        <w:t>،</w:t>
      </w:r>
      <w:r w:rsidR="009C32A0">
        <w:rPr>
          <w:rFonts w:hint="cs"/>
          <w:rtl/>
        </w:rPr>
        <w:t xml:space="preserve"> ولذلك لا يجوز على الله تعالى الولد</w:t>
      </w:r>
      <w:r>
        <w:rPr>
          <w:rFonts w:hint="cs"/>
          <w:rtl/>
        </w:rPr>
        <w:t>،</w:t>
      </w:r>
      <w:r w:rsidR="009C32A0">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9C32A0">
        <w:rPr>
          <w:rFonts w:hint="cs"/>
          <w:rtl/>
        </w:rPr>
        <w:t xml:space="preserve"> </w:t>
      </w:r>
      <w:r>
        <w:rPr>
          <w:rFonts w:hint="cs"/>
          <w:rtl/>
        </w:rPr>
        <w:t>{</w:t>
      </w:r>
      <w:r w:rsidR="009C32A0">
        <w:rPr>
          <w:rFonts w:hint="cs"/>
          <w:rtl/>
        </w:rPr>
        <w:t>قُلْ إِنْ كَانَ لِلرَّحْمَنِ وَلَدٌ فَأَنَا أَوَّلُ الْعَابِدِينَ * سُبْحَانَ رَبِّ السَّمَوَاتِ وَالْأَرْضِ رَبِّ الْعَرْشِ عَمَّا يَصِفُونَ</w:t>
      </w:r>
      <w:r>
        <w:rPr>
          <w:rFonts w:hint="cs"/>
          <w:rtl/>
        </w:rPr>
        <w:t>}</w:t>
      </w:r>
      <w:r w:rsidR="009C32A0">
        <w:rPr>
          <w:rFonts w:hint="cs"/>
          <w:rtl/>
        </w:rPr>
        <w:t xml:space="preserve"> </w:t>
      </w:r>
      <w:r>
        <w:rPr>
          <w:rFonts w:hint="cs"/>
          <w:rtl/>
        </w:rPr>
        <w:t>[</w:t>
      </w:r>
      <w:r w:rsidR="009C32A0">
        <w:rPr>
          <w:rFonts w:hint="cs"/>
          <w:rtl/>
        </w:rPr>
        <w:t>الزخرف</w:t>
      </w:r>
      <w:r>
        <w:rPr>
          <w:rFonts w:hint="cs"/>
          <w:rtl/>
        </w:rPr>
        <w:t>:</w:t>
      </w:r>
      <w:r w:rsidR="009C32A0">
        <w:rPr>
          <w:rFonts w:hint="cs"/>
          <w:rtl/>
        </w:rPr>
        <w:t xml:space="preserve"> 81</w:t>
      </w:r>
      <w:r>
        <w:rPr>
          <w:rFonts w:hint="cs"/>
          <w:rtl/>
        </w:rPr>
        <w:t>،</w:t>
      </w:r>
      <w:r w:rsidR="009C32A0">
        <w:rPr>
          <w:rFonts w:hint="cs"/>
          <w:rtl/>
        </w:rPr>
        <w:t xml:space="preserve"> 82</w:t>
      </w:r>
      <w:r>
        <w:rPr>
          <w:rFonts w:hint="cs"/>
          <w:rtl/>
        </w:rPr>
        <w:t>]،</w:t>
      </w:r>
      <w:r w:rsidR="009C32A0">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9C32A0">
        <w:rPr>
          <w:rFonts w:hint="cs"/>
          <w:rtl/>
        </w:rPr>
        <w:t xml:space="preserve"> ولكنه لا ينبغي للرحمن أن يتخذ ولداً لان ذلك مستحيل في حق الأحد الصمد</w:t>
      </w:r>
      <w:r>
        <w:rPr>
          <w:rFonts w:hint="cs"/>
          <w:rtl/>
        </w:rPr>
        <w:t>،</w:t>
      </w:r>
      <w:r w:rsidR="009C32A0">
        <w:rPr>
          <w:rFonts w:hint="cs"/>
          <w:rtl/>
        </w:rPr>
        <w:t xml:space="preserve"> ولهذا جاء التسبيح والتنزيه بقوله تعالى</w:t>
      </w:r>
      <w:r>
        <w:rPr>
          <w:rFonts w:hint="cs"/>
          <w:rtl/>
        </w:rPr>
        <w:t>:</w:t>
      </w:r>
      <w:r w:rsidR="009C32A0">
        <w:rPr>
          <w:rFonts w:hint="cs"/>
          <w:rtl/>
        </w:rPr>
        <w:t xml:space="preserve"> </w:t>
      </w:r>
      <w:r>
        <w:rPr>
          <w:rFonts w:hint="cs"/>
          <w:rtl/>
        </w:rPr>
        <w:t>{</w:t>
      </w:r>
      <w:r w:rsidR="009C32A0">
        <w:rPr>
          <w:rFonts w:hint="cs"/>
          <w:rtl/>
        </w:rPr>
        <w:t>سُبْحَانَ رَبِّ السَّمَوَاتِ وَالْأَرْضِ رَبِّ الْعَرْشِ عَمَّا يَصِفُونَ</w:t>
      </w:r>
      <w:r>
        <w:rPr>
          <w:rFonts w:hint="cs"/>
          <w:rtl/>
        </w:rPr>
        <w:t>}،</w:t>
      </w:r>
      <w:r w:rsidR="009C32A0">
        <w:rPr>
          <w:rFonts w:hint="cs"/>
          <w:rtl/>
        </w:rPr>
        <w:t xml:space="preserve"> فالولد من الاشياء المستحيلة في حق الله تعالى</w:t>
      </w:r>
      <w:r>
        <w:rPr>
          <w:rFonts w:hint="cs"/>
          <w:rtl/>
        </w:rPr>
        <w:t>،</w:t>
      </w:r>
      <w:r w:rsidR="009C32A0">
        <w:rPr>
          <w:rFonts w:hint="cs"/>
          <w:rtl/>
        </w:rPr>
        <w:t xml:space="preserve"> قال تعالى</w:t>
      </w:r>
      <w:r>
        <w:rPr>
          <w:rFonts w:hint="cs"/>
          <w:rtl/>
        </w:rPr>
        <w:t>:</w:t>
      </w:r>
      <w:r w:rsidR="009C32A0">
        <w:rPr>
          <w:rFonts w:hint="cs"/>
          <w:rtl/>
        </w:rPr>
        <w:t xml:space="preserve"> </w:t>
      </w:r>
      <w:r>
        <w:rPr>
          <w:rFonts w:hint="cs"/>
          <w:rtl/>
        </w:rPr>
        <w:t>{</w:t>
      </w:r>
      <w:r w:rsidR="009C32A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9C32A0">
        <w:rPr>
          <w:rFonts w:hint="cs"/>
          <w:rtl/>
        </w:rPr>
        <w:t xml:space="preserve"> </w:t>
      </w:r>
      <w:r>
        <w:rPr>
          <w:rFonts w:hint="cs"/>
          <w:rtl/>
        </w:rPr>
        <w:t>[</w:t>
      </w:r>
      <w:r w:rsidR="009C32A0">
        <w:rPr>
          <w:rFonts w:hint="cs"/>
          <w:rtl/>
        </w:rPr>
        <w:t>مريم</w:t>
      </w:r>
      <w:r>
        <w:rPr>
          <w:rFonts w:hint="cs"/>
          <w:rtl/>
        </w:rPr>
        <w:t>:</w:t>
      </w:r>
      <w:r w:rsidR="009C32A0">
        <w:rPr>
          <w:rFonts w:hint="cs"/>
          <w:rtl/>
        </w:rPr>
        <w:t xml:space="preserve"> 88 إلى 95</w:t>
      </w:r>
      <w:r>
        <w:rPr>
          <w:rFonts w:hint="cs"/>
          <w:rtl/>
        </w:rPr>
        <w:t>]،</w:t>
      </w:r>
      <w:r w:rsidR="009C32A0">
        <w:rPr>
          <w:rFonts w:hint="cs"/>
          <w:rtl/>
        </w:rPr>
        <w:t xml:space="preserve"> </w:t>
      </w:r>
      <w:r>
        <w:rPr>
          <w:rFonts w:hint="cs"/>
          <w:rtl/>
        </w:rPr>
        <w:t>(</w:t>
      </w:r>
      <w:r w:rsidR="009C32A0">
        <w:rPr>
          <w:rFonts w:hint="cs"/>
          <w:rtl/>
        </w:rPr>
        <w:t>ث</w:t>
      </w:r>
      <w:r>
        <w:rPr>
          <w:rFonts w:hint="cs"/>
          <w:rtl/>
        </w:rPr>
        <w:t>)</w:t>
      </w:r>
      <w:r w:rsidR="009C32A0">
        <w:rPr>
          <w:rFonts w:hint="cs"/>
          <w:rtl/>
        </w:rPr>
        <w:t xml:space="preserve"> من فقه الآية </w:t>
      </w:r>
      <w:r>
        <w:rPr>
          <w:rFonts w:hint="cs"/>
          <w:rtl/>
        </w:rPr>
        <w:t>{</w:t>
      </w:r>
      <w:r w:rsidR="009C32A0">
        <w:rPr>
          <w:rFonts w:hint="cs"/>
          <w:rtl/>
        </w:rPr>
        <w:t>لَمْ يَلِدْ وَلَمْ يُولَدْ</w:t>
      </w:r>
      <w:r>
        <w:rPr>
          <w:rFonts w:hint="cs"/>
          <w:rtl/>
        </w:rPr>
        <w:t>}</w:t>
      </w:r>
      <w:r w:rsidR="009C32A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9C32A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 xml:space="preserve">}:، </w:t>
      </w:r>
      <w:r w:rsidR="009C32A0">
        <w:rPr>
          <w:rFonts w:hint="cs"/>
          <w:rtl/>
        </w:rPr>
        <w:t>كما أنه منزه عن التغير والحدوث كما في قوله تعالى</w:t>
      </w:r>
      <w:r>
        <w:rPr>
          <w:rFonts w:hint="cs"/>
          <w:rtl/>
        </w:rPr>
        <w:t>:</w:t>
      </w:r>
      <w:r w:rsidR="009C32A0">
        <w:rPr>
          <w:rFonts w:hint="cs"/>
          <w:rtl/>
        </w:rPr>
        <w:t xml:space="preserve"> </w:t>
      </w:r>
      <w:r>
        <w:rPr>
          <w:rFonts w:hint="cs"/>
          <w:rtl/>
        </w:rPr>
        <w:t>{</w:t>
      </w:r>
      <w:r w:rsidR="009C32A0">
        <w:rPr>
          <w:rFonts w:hint="cs"/>
          <w:rtl/>
        </w:rPr>
        <w:t>وَلَمْ يُولَدْ</w:t>
      </w:r>
      <w:r>
        <w:rPr>
          <w:rFonts w:hint="cs"/>
          <w:rtl/>
        </w:rPr>
        <w:t>}،</w:t>
      </w:r>
      <w:r w:rsidR="009C32A0">
        <w:rPr>
          <w:rFonts w:hint="cs"/>
          <w:rtl/>
        </w:rPr>
        <w:t xml:space="preserve"> وسياتي تفصيل ذلك عند شرح قوله تعالى</w:t>
      </w:r>
      <w:r>
        <w:rPr>
          <w:rFonts w:hint="cs"/>
          <w:rtl/>
        </w:rPr>
        <w:t>:</w:t>
      </w:r>
      <w:r w:rsidR="009C32A0">
        <w:rPr>
          <w:rFonts w:hint="cs"/>
          <w:rtl/>
        </w:rPr>
        <w:t xml:space="preserve"> </w:t>
      </w:r>
      <w:r>
        <w:rPr>
          <w:rFonts w:hint="cs"/>
          <w:rtl/>
        </w:rPr>
        <w:t>{</w:t>
      </w:r>
      <w:r w:rsidR="009C32A0">
        <w:rPr>
          <w:rFonts w:hint="cs"/>
          <w:rtl/>
        </w:rPr>
        <w:t>قَالَ هَذَا رَبِّي فَلَمَّا أَفَلَ قَالَ لَا أُحِبُّ الْآفِلِينَ (76)</w:t>
      </w:r>
      <w:r>
        <w:rPr>
          <w:rFonts w:hint="cs"/>
          <w:rtl/>
        </w:rPr>
        <w:t>}</w:t>
      </w:r>
      <w:r w:rsidR="009C32A0">
        <w:rPr>
          <w:rFonts w:hint="cs"/>
          <w:rtl/>
        </w:rPr>
        <w:t xml:space="preserve"> </w:t>
      </w:r>
      <w:r>
        <w:rPr>
          <w:rFonts w:hint="cs"/>
          <w:rtl/>
        </w:rPr>
        <w:t>[</w:t>
      </w:r>
      <w:r w:rsidR="009C32A0">
        <w:rPr>
          <w:rFonts w:hint="cs"/>
          <w:rtl/>
        </w:rPr>
        <w:t>الانعام</w:t>
      </w:r>
      <w:r>
        <w:rPr>
          <w:rFonts w:hint="cs"/>
          <w:rtl/>
        </w:rPr>
        <w:t>:</w:t>
      </w:r>
      <w:r w:rsidR="009C32A0">
        <w:rPr>
          <w:rFonts w:hint="cs"/>
          <w:rtl/>
        </w:rPr>
        <w:t xml:space="preserve"> 76</w:t>
      </w:r>
      <w:r>
        <w:rPr>
          <w:rFonts w:hint="cs"/>
          <w:rtl/>
        </w:rPr>
        <w:t>]،</w:t>
      </w:r>
      <w:r w:rsidR="009C32A0">
        <w:rPr>
          <w:rFonts w:hint="cs"/>
          <w:rtl/>
        </w:rPr>
        <w:t xml:space="preserve"> أي أن المتغير عن حاله الآفل الذي يقبل الحدوث والتغير من حال إلى حال</w:t>
      </w:r>
      <w:r>
        <w:rPr>
          <w:rFonts w:hint="cs"/>
          <w:rtl/>
        </w:rPr>
        <w:t>،</w:t>
      </w:r>
      <w:r w:rsidR="009C32A0">
        <w:rPr>
          <w:rFonts w:hint="cs"/>
          <w:rtl/>
        </w:rPr>
        <w:t xml:space="preserve"> لا يصلح أن يكون رباً خالقاً</w:t>
      </w:r>
      <w:r>
        <w:rPr>
          <w:rFonts w:hint="cs"/>
          <w:rtl/>
        </w:rPr>
        <w:t>،</w:t>
      </w:r>
      <w:r w:rsidR="009C32A0">
        <w:rPr>
          <w:rFonts w:hint="cs"/>
          <w:rtl/>
        </w:rPr>
        <w:t xml:space="preserve"> وإلهاً معبوداً</w:t>
      </w:r>
      <w:r>
        <w:rPr>
          <w:rFonts w:hint="cs"/>
          <w:rtl/>
        </w:rPr>
        <w:t>،</w:t>
      </w:r>
      <w:r w:rsidR="009C32A0">
        <w:rPr>
          <w:rFonts w:hint="cs"/>
          <w:rtl/>
        </w:rPr>
        <w:t xml:space="preserve"> </w:t>
      </w:r>
      <w:r>
        <w:rPr>
          <w:rFonts w:hint="cs"/>
          <w:rtl/>
        </w:rPr>
        <w:t>(</w:t>
      </w:r>
      <w:r w:rsidR="009C32A0">
        <w:rPr>
          <w:rFonts w:hint="cs"/>
          <w:rtl/>
        </w:rPr>
        <w:t>ج</w:t>
      </w:r>
      <w:r>
        <w:rPr>
          <w:rFonts w:hint="cs"/>
          <w:rtl/>
        </w:rPr>
        <w:t>)</w:t>
      </w:r>
      <w:r w:rsidR="009C32A0">
        <w:rPr>
          <w:rFonts w:hint="cs"/>
          <w:rtl/>
        </w:rPr>
        <w:t xml:space="preserve"> خلاصة ما سبق أنّ الله تعالى يستحيل أن يكون شيء قديم مثله ولا معه</w:t>
      </w:r>
      <w:r>
        <w:rPr>
          <w:rFonts w:hint="cs"/>
          <w:rtl/>
        </w:rPr>
        <w:t>،</w:t>
      </w:r>
      <w:r w:rsidR="009C32A0">
        <w:rPr>
          <w:rFonts w:hint="cs"/>
          <w:rtl/>
        </w:rPr>
        <w:t xml:space="preserve"> لأنّه الواحد الأحد الخالق ومن عداه مخلوق</w:t>
      </w:r>
      <w:r>
        <w:rPr>
          <w:rFonts w:hint="cs"/>
          <w:rtl/>
        </w:rPr>
        <w:t>،</w:t>
      </w:r>
      <w:r w:rsidR="009C32A0">
        <w:rPr>
          <w:rFonts w:hint="cs"/>
          <w:rtl/>
        </w:rPr>
        <w:t xml:space="preserve"> فيستحيل في حقه الزوجة والوالد والولد</w:t>
      </w:r>
      <w:r>
        <w:rPr>
          <w:rFonts w:hint="cs"/>
          <w:rtl/>
        </w:rPr>
        <w:t>،</w:t>
      </w:r>
      <w:r w:rsidR="009C32A0">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Pr>
          <w:rFonts w:hint="cs"/>
          <w:rtl/>
        </w:rPr>
        <w:t>،</w:t>
      </w:r>
      <w:r w:rsidR="009C32A0">
        <w:rPr>
          <w:rFonts w:hint="cs"/>
          <w:rtl/>
        </w:rPr>
        <w:t xml:space="preserve"> ولهذا كان اعتقاد الولد لله من أفسد العقائد على وجه الأرض</w:t>
      </w:r>
      <w:r>
        <w:rPr>
          <w:rFonts w:hint="cs"/>
          <w:rtl/>
        </w:rPr>
        <w:t>،</w:t>
      </w:r>
      <w:r w:rsidR="009C32A0">
        <w:rPr>
          <w:rFonts w:hint="cs"/>
          <w:rtl/>
        </w:rPr>
        <w:t xml:space="preserve"> حتى أن الجماد ليتأذى منها</w:t>
      </w:r>
      <w:r>
        <w:rPr>
          <w:rFonts w:hint="cs"/>
          <w:rtl/>
        </w:rPr>
        <w:t>،</w:t>
      </w:r>
      <w:r w:rsidR="009C32A0">
        <w:rPr>
          <w:rFonts w:hint="cs"/>
          <w:rtl/>
        </w:rPr>
        <w:t xml:space="preserve"> قال تعالى</w:t>
      </w:r>
      <w:r>
        <w:rPr>
          <w:rFonts w:hint="cs"/>
          <w:rtl/>
        </w:rPr>
        <w:t>:</w:t>
      </w:r>
      <w:r w:rsidR="009C32A0">
        <w:rPr>
          <w:rFonts w:hint="cs"/>
          <w:rtl/>
        </w:rPr>
        <w:t xml:space="preserve"> </w:t>
      </w:r>
      <w:r>
        <w:rPr>
          <w:rFonts w:hint="cs"/>
          <w:rtl/>
        </w:rPr>
        <w:t>{</w:t>
      </w:r>
      <w:r w:rsidR="009C32A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9C32A0">
        <w:rPr>
          <w:rFonts w:hint="cs"/>
          <w:rtl/>
        </w:rPr>
        <w:t xml:space="preserve"> </w:t>
      </w:r>
      <w:r>
        <w:rPr>
          <w:rFonts w:hint="cs"/>
          <w:rtl/>
        </w:rPr>
        <w:t>[</w:t>
      </w:r>
      <w:r w:rsidR="009C32A0">
        <w:rPr>
          <w:rFonts w:hint="cs"/>
          <w:rtl/>
        </w:rPr>
        <w:t>مريم</w:t>
      </w:r>
      <w:r>
        <w:rPr>
          <w:rFonts w:hint="cs"/>
          <w:rtl/>
        </w:rPr>
        <w:t>:</w:t>
      </w:r>
      <w:r w:rsidR="009C32A0">
        <w:rPr>
          <w:rFonts w:hint="cs"/>
          <w:rtl/>
        </w:rPr>
        <w:t xml:space="preserve"> 89 إلى 93</w:t>
      </w:r>
      <w:r>
        <w:rPr>
          <w:rFonts w:hint="cs"/>
          <w:rtl/>
        </w:rPr>
        <w:t>]،</w:t>
      </w:r>
    </w:p>
    <w:p w14:paraId="5AB94B3F" w14:textId="12F6B424" w:rsidR="009C32A0" w:rsidRDefault="000636C2" w:rsidP="000636C2">
      <w:pPr>
        <w:ind w:left="-58"/>
        <w:rPr>
          <w:b/>
          <w:rtl/>
        </w:rPr>
      </w:pPr>
      <w:r>
        <w:rPr>
          <w:rFonts w:hint="cs"/>
          <w:bCs/>
          <w:rtl/>
          <w:lang w:bidi="ar-KW"/>
        </w:rPr>
        <w:lastRenderedPageBreak/>
        <w:t>[</w:t>
      </w:r>
      <w:r w:rsidR="009C32A0">
        <w:rPr>
          <w:rFonts w:hint="cs"/>
          <w:bCs/>
          <w:rtl/>
          <w:lang w:bidi="ar-KW"/>
        </w:rPr>
        <w:t>13</w:t>
      </w:r>
      <w:r>
        <w:rPr>
          <w:rFonts w:hint="cs"/>
          <w:bCs/>
          <w:rtl/>
          <w:lang w:bidi="ar-KW"/>
        </w:rPr>
        <w:t>]:</w:t>
      </w:r>
      <w:r w:rsidR="009C32A0">
        <w:rPr>
          <w:rFonts w:hint="cs"/>
          <w:bCs/>
          <w:rtl/>
          <w:lang w:bidi="ar-KW"/>
        </w:rPr>
        <w:t xml:space="preserve"> القاعدة الثالثة عشرة</w:t>
      </w:r>
      <w:r>
        <w:rPr>
          <w:rFonts w:hint="cs"/>
          <w:bCs/>
          <w:rtl/>
          <w:lang w:bidi="ar-KW"/>
        </w:rPr>
        <w:t>:</w:t>
      </w:r>
      <w:r w:rsidR="009C32A0">
        <w:rPr>
          <w:rFonts w:hint="cs"/>
          <w:bCs/>
          <w:rtl/>
          <w:lang w:bidi="ar-KW"/>
        </w:rPr>
        <w:t xml:space="preserve"> تنزيه ذات الله تعالى عن الند والشبيه والكف والمثيل</w:t>
      </w:r>
      <w:r>
        <w:rPr>
          <w:rFonts w:hint="cs"/>
          <w:bCs/>
          <w:rtl/>
          <w:lang w:bidi="ar-KW"/>
        </w:rPr>
        <w:t>:</w:t>
      </w:r>
      <w:r w:rsidR="009C32A0">
        <w:rPr>
          <w:rFonts w:cs="Monotype Koufi" w:hint="cs"/>
          <w:rtl/>
          <w:lang w:bidi="ar-KW"/>
        </w:rPr>
        <w:t xml:space="preserve"> </w:t>
      </w:r>
      <w:r w:rsidR="009C32A0">
        <w:rPr>
          <w:rFonts w:hint="cs"/>
          <w:rtl/>
        </w:rPr>
        <w:t>قد سبق تقرير هذه القاعدة ولأهميتها في التنزيه أورد ها هنا الأدلة الموجزة عليها</w:t>
      </w:r>
      <w:r>
        <w:rPr>
          <w:rFonts w:hint="cs"/>
          <w:rtl/>
        </w:rPr>
        <w:t>،</w:t>
      </w:r>
      <w:r w:rsidR="009C32A0">
        <w:rPr>
          <w:rFonts w:hint="cs"/>
          <w:rtl/>
        </w:rPr>
        <w:t xml:space="preserve"> ومنها قوله تعالى</w:t>
      </w:r>
      <w:r>
        <w:rPr>
          <w:rFonts w:hint="cs"/>
          <w:rtl/>
        </w:rPr>
        <w:t>:</w:t>
      </w:r>
      <w:r w:rsidR="009C32A0">
        <w:rPr>
          <w:rFonts w:hint="cs"/>
          <w:rtl/>
        </w:rPr>
        <w:t xml:space="preserve"> </w:t>
      </w:r>
      <w:r>
        <w:rPr>
          <w:rFonts w:hint="cs"/>
          <w:rtl/>
        </w:rPr>
        <w:t>{</w:t>
      </w:r>
      <w:r w:rsidR="009C32A0">
        <w:rPr>
          <w:rFonts w:hint="cs"/>
          <w:rtl/>
        </w:rPr>
        <w:t>وَلَمْ يَكُنْ لَهُ كُفُوًا أَحَدٌ</w:t>
      </w:r>
      <w:r>
        <w:rPr>
          <w:rFonts w:hint="cs"/>
          <w:rtl/>
        </w:rPr>
        <w:t>}</w:t>
      </w:r>
      <w:r w:rsidR="009C32A0">
        <w:rPr>
          <w:rFonts w:hint="cs"/>
          <w:rtl/>
        </w:rPr>
        <w:t xml:space="preserve"> أي لا نظير له بوجه من الوجوه</w:t>
      </w:r>
      <w:r>
        <w:rPr>
          <w:rFonts w:hint="cs"/>
          <w:rtl/>
        </w:rPr>
        <w:t>،</w:t>
      </w:r>
      <w:r w:rsidR="009C32A0">
        <w:rPr>
          <w:rFonts w:hint="cs"/>
          <w:rtl/>
        </w:rPr>
        <w:t xml:space="preserve"> ولا كفء له ولا شبيه</w:t>
      </w:r>
      <w:r>
        <w:rPr>
          <w:rFonts w:hint="cs"/>
          <w:rtl/>
          <w:lang w:bidi="ar-KW"/>
        </w:rPr>
        <w:t>،</w:t>
      </w:r>
      <w:r w:rsidR="009C32A0">
        <w:rPr>
          <w:rFonts w:hint="cs"/>
          <w:rtl/>
          <w:lang w:bidi="ar-KW"/>
        </w:rPr>
        <w:t xml:space="preserve"> وهذه الآية من الأدلة القرآنية على تنزيه الله تعالى عن المثيل والكفء والشبيه والسمي</w:t>
      </w:r>
      <w:r>
        <w:rPr>
          <w:rFonts w:hint="cs"/>
          <w:rtl/>
          <w:lang w:bidi="ar-KW"/>
        </w:rPr>
        <w:t>:</w:t>
      </w:r>
      <w:r w:rsidR="009C32A0">
        <w:rPr>
          <w:rFonts w:hint="cs"/>
          <w:rtl/>
          <w:lang w:bidi="ar-KW"/>
        </w:rPr>
        <w:t xml:space="preserve"> كقوله تعالى</w:t>
      </w:r>
      <w:r>
        <w:rPr>
          <w:rFonts w:hint="cs"/>
          <w:rtl/>
          <w:lang w:bidi="ar-KW"/>
        </w:rPr>
        <w:t>:</w:t>
      </w:r>
      <w:r w:rsidR="009C32A0">
        <w:rPr>
          <w:rFonts w:hint="cs"/>
          <w:rtl/>
          <w:lang w:bidi="ar-KW"/>
        </w:rPr>
        <w:t xml:space="preserve"> </w:t>
      </w:r>
      <w:r>
        <w:rPr>
          <w:rFonts w:hint="cs"/>
          <w:rtl/>
        </w:rPr>
        <w:t>{</w:t>
      </w:r>
      <w:r w:rsidR="009C32A0">
        <w:rPr>
          <w:rFonts w:hint="cs"/>
          <w:rtl/>
        </w:rPr>
        <w:t>ليس كمثلِه شيء</w:t>
      </w:r>
      <w:r>
        <w:rPr>
          <w:rFonts w:hint="cs"/>
          <w:rtl/>
        </w:rPr>
        <w:t xml:space="preserve">} </w:t>
      </w:r>
      <w:r w:rsidR="009C32A0">
        <w:rPr>
          <w:rFonts w:hint="cs"/>
          <w:rtl/>
        </w:rPr>
        <w:t>[سورة الشورى</w:t>
      </w:r>
      <w:r>
        <w:rPr>
          <w:rFonts w:hint="cs"/>
          <w:rtl/>
        </w:rPr>
        <w:t>:</w:t>
      </w:r>
      <w:r w:rsidR="009C32A0">
        <w:rPr>
          <w:rFonts w:hint="cs"/>
          <w:rtl/>
        </w:rPr>
        <w:t xml:space="preserve"> 11]</w:t>
      </w:r>
      <w:r>
        <w:rPr>
          <w:rFonts w:hint="cs"/>
          <w:rtl/>
        </w:rPr>
        <w:t>،</w:t>
      </w:r>
      <w:r w:rsidR="009C32A0">
        <w:rPr>
          <w:rFonts w:hint="cs"/>
          <w:rtl/>
        </w:rPr>
        <w:t xml:space="preserve"> نفي المشابهة والمماثلة بين الله تعالى وخلقه ومعناه أن الله تعالى لا يشبه شيئًا من خلقه بوجه من الوجوه</w:t>
      </w:r>
      <w:r>
        <w:rPr>
          <w:rFonts w:hint="cs"/>
          <w:rtl/>
        </w:rPr>
        <w:t>،</w:t>
      </w:r>
      <w:r w:rsidR="009C32A0">
        <w:rPr>
          <w:rFonts w:hint="cs"/>
          <w:rtl/>
        </w:rPr>
        <w:t xml:space="preserve"> وكقوله تعالى</w:t>
      </w:r>
      <w:r>
        <w:rPr>
          <w:rFonts w:hint="cs"/>
          <w:rtl/>
        </w:rPr>
        <w:t>:</w:t>
      </w:r>
      <w:r w:rsidR="009C32A0">
        <w:rPr>
          <w:rFonts w:hint="cs"/>
          <w:rtl/>
        </w:rPr>
        <w:t xml:space="preserve"> </w:t>
      </w:r>
      <w:r>
        <w:rPr>
          <w:rFonts w:hint="cs"/>
          <w:rtl/>
        </w:rPr>
        <w:t>{</w:t>
      </w:r>
      <w:r w:rsidR="009C32A0">
        <w:rPr>
          <w:rFonts w:hint="cs"/>
          <w:rtl/>
        </w:rPr>
        <w:t>وللهِ المثَلُ الأعلى</w:t>
      </w:r>
      <w:r>
        <w:rPr>
          <w:rFonts w:hint="cs"/>
          <w:rtl/>
        </w:rPr>
        <w:t>}</w:t>
      </w:r>
      <w:r w:rsidR="009C32A0">
        <w:rPr>
          <w:rFonts w:hint="cs"/>
          <w:rtl/>
        </w:rPr>
        <w:t xml:space="preserve"> [سورة النحل</w:t>
      </w:r>
      <w:r>
        <w:rPr>
          <w:rFonts w:hint="cs"/>
          <w:rtl/>
        </w:rPr>
        <w:t>:</w:t>
      </w:r>
      <w:r w:rsidR="009C32A0">
        <w:rPr>
          <w:rFonts w:hint="cs"/>
          <w:rtl/>
        </w:rPr>
        <w:t xml:space="preserve"> 60] أي الوصف الذي لا يشبه وصف غيره</w:t>
      </w:r>
      <w:r>
        <w:rPr>
          <w:rFonts w:hint="cs"/>
          <w:rtl/>
        </w:rPr>
        <w:t>،</w:t>
      </w:r>
      <w:r w:rsidR="009C32A0">
        <w:rPr>
          <w:rFonts w:hint="cs"/>
          <w:rtl/>
        </w:rPr>
        <w:t xml:space="preserve"> فلا يوصف ربنا عزَّ وجلَّ بصفات المخلوقين .. وكقوله تعالى</w:t>
      </w:r>
      <w:r>
        <w:rPr>
          <w:rFonts w:hint="cs"/>
          <w:rtl/>
        </w:rPr>
        <w:t>:</w:t>
      </w:r>
      <w:r w:rsidR="009C32A0">
        <w:rPr>
          <w:rFonts w:hint="cs"/>
          <w:rtl/>
        </w:rPr>
        <w:t xml:space="preserve"> </w:t>
      </w:r>
      <w:r>
        <w:rPr>
          <w:rFonts w:hint="cs"/>
          <w:rtl/>
        </w:rPr>
        <w:t>{</w:t>
      </w:r>
      <w:r w:rsidR="009C32A0">
        <w:rPr>
          <w:rFonts w:hint="cs"/>
          <w:rtl/>
        </w:rPr>
        <w:t>فلا تضربوا للهِ الأمثال</w:t>
      </w:r>
      <w:r>
        <w:rPr>
          <w:rFonts w:hint="cs"/>
          <w:rtl/>
        </w:rPr>
        <w:t>}</w:t>
      </w:r>
      <w:r w:rsidR="009C32A0">
        <w:rPr>
          <w:rFonts w:hint="cs"/>
          <w:rtl/>
        </w:rPr>
        <w:t xml:space="preserve"> [سورة النحل</w:t>
      </w:r>
      <w:r>
        <w:rPr>
          <w:rFonts w:hint="cs"/>
          <w:rtl/>
        </w:rPr>
        <w:t>:</w:t>
      </w:r>
      <w:r w:rsidR="009C32A0">
        <w:rPr>
          <w:rFonts w:hint="cs"/>
          <w:rtl/>
        </w:rPr>
        <w:t xml:space="preserve"> 74]</w:t>
      </w:r>
      <w:r>
        <w:rPr>
          <w:rFonts w:hint="cs"/>
          <w:rtl/>
        </w:rPr>
        <w:t>،</w:t>
      </w:r>
      <w:r w:rsidR="009C32A0">
        <w:rPr>
          <w:rFonts w:hint="cs"/>
          <w:rtl/>
        </w:rPr>
        <w:t xml:space="preserve"> أي لا تجعلوا لله الشبيهَ والمِثْل فإن اللهَ تعالى لا شبيه له ولا مثيل له</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وكقوله تعالى</w:t>
      </w:r>
      <w:r>
        <w:rPr>
          <w:rFonts w:hint="cs"/>
          <w:rtl/>
        </w:rPr>
        <w:t>:</w:t>
      </w:r>
      <w:r w:rsidR="009C32A0">
        <w:rPr>
          <w:rFonts w:hint="cs"/>
          <w:rtl/>
        </w:rPr>
        <w:t xml:space="preserve"> {هل تعلمُ لهُ سميًّا) [سورة مريم</w:t>
      </w:r>
      <w:r>
        <w:rPr>
          <w:rFonts w:hint="cs"/>
          <w:rtl/>
        </w:rPr>
        <w:t>:</w:t>
      </w:r>
      <w:r w:rsidR="009C32A0">
        <w:rPr>
          <w:rFonts w:hint="cs"/>
          <w:rtl/>
        </w:rPr>
        <w:t xml:space="preserve"> 65] أي مِثلاً</w:t>
      </w:r>
      <w:r>
        <w:rPr>
          <w:rFonts w:hint="cs"/>
          <w:rtl/>
        </w:rPr>
        <w:t>،</w:t>
      </w:r>
      <w:r w:rsidR="009C32A0">
        <w:rPr>
          <w:rFonts w:hint="cs"/>
          <w:rtl/>
        </w:rPr>
        <w:t xml:space="preserve"> فالله تعالى لا مِثْلَ له ولا شبيه ولا نظير</w:t>
      </w:r>
      <w:r>
        <w:rPr>
          <w:rFonts w:hint="cs"/>
          <w:rtl/>
        </w:rPr>
        <w:t>،</w:t>
      </w:r>
      <w:r w:rsidR="009C32A0">
        <w:rPr>
          <w:rFonts w:hint="cs"/>
          <w:rtl/>
        </w:rPr>
        <w:t xml:space="preserve"> فذاتُه سبحانه لا يشبه الذواتِ ولا صفاتُه تشبه الصفاتِ</w:t>
      </w:r>
      <w:r>
        <w:rPr>
          <w:rFonts w:hint="cs"/>
          <w:rtl/>
        </w:rPr>
        <w:t>،</w:t>
      </w:r>
      <w:r w:rsidR="009C32A0">
        <w:rPr>
          <w:rFonts w:hint="cs"/>
          <w:rtl/>
        </w:rPr>
        <w:t xml:space="preserve"> وكقوله تعالى</w:t>
      </w:r>
      <w:r>
        <w:rPr>
          <w:rFonts w:hint="cs"/>
          <w:rtl/>
        </w:rPr>
        <w:t>:</w:t>
      </w:r>
      <w:r w:rsidR="009C32A0">
        <w:rPr>
          <w:rFonts w:hint="cs"/>
          <w:rtl/>
        </w:rPr>
        <w:t xml:space="preserve"> </w:t>
      </w:r>
      <w:r>
        <w:rPr>
          <w:rFonts w:hint="cs"/>
          <w:rtl/>
        </w:rPr>
        <w:t>{</w:t>
      </w:r>
      <w:r w:rsidR="009C32A0">
        <w:rPr>
          <w:rFonts w:hint="cs"/>
          <w:rtl/>
        </w:rPr>
        <w:t>سُبْحَانَهُ وَتَعَالَى عَمَّا يَصِفُونَ</w:t>
      </w:r>
      <w:r>
        <w:rPr>
          <w:rFonts w:hint="cs"/>
          <w:rtl/>
        </w:rPr>
        <w:t>}</w:t>
      </w:r>
      <w:r w:rsidR="009C32A0">
        <w:rPr>
          <w:rFonts w:hint="cs"/>
          <w:rtl/>
        </w:rPr>
        <w:t xml:space="preserve"> [سورة الأنعام</w:t>
      </w:r>
      <w:r>
        <w:rPr>
          <w:rFonts w:hint="cs"/>
          <w:rtl/>
        </w:rPr>
        <w:t>:</w:t>
      </w:r>
      <w:r w:rsidR="009C32A0">
        <w:rPr>
          <w:rFonts w:hint="cs"/>
          <w:rtl/>
        </w:rPr>
        <w:t>100] تنزيه وتقديس لله تعالى عن كل وصف يخطر ببال بشر لأنه ليس كمثله شيء ولا نعلم له سميا .. وكقوله تعالى</w:t>
      </w:r>
      <w:r>
        <w:rPr>
          <w:rFonts w:hint="cs"/>
          <w:rtl/>
        </w:rPr>
        <w:t>:</w:t>
      </w:r>
      <w:r w:rsidR="009C32A0">
        <w:rPr>
          <w:rFonts w:hint="cs"/>
          <w:rtl/>
        </w:rPr>
        <w:t xml:space="preserve"> </w:t>
      </w:r>
      <w:r>
        <w:rPr>
          <w:rFonts w:hint="cs"/>
          <w:rtl/>
        </w:rPr>
        <w:t>{</w:t>
      </w:r>
      <w:r w:rsidR="009C32A0">
        <w:rPr>
          <w:rFonts w:hint="cs"/>
          <w:rtl/>
        </w:rPr>
        <w:t>وَلَا يُحِيطُونَ بِهِ عِلْمًا</w:t>
      </w:r>
      <w:r>
        <w:rPr>
          <w:rFonts w:hint="cs"/>
          <w:rtl/>
        </w:rPr>
        <w:t>}</w:t>
      </w:r>
      <w:r w:rsidR="009C32A0">
        <w:rPr>
          <w:rFonts w:hint="cs"/>
          <w:rtl/>
        </w:rPr>
        <w:t xml:space="preserve"> [سورة طه</w:t>
      </w:r>
      <w:r>
        <w:rPr>
          <w:rFonts w:hint="cs"/>
          <w:rtl/>
        </w:rPr>
        <w:t>:</w:t>
      </w:r>
      <w:r w:rsidR="009C32A0">
        <w:rPr>
          <w:rFonts w:hint="cs"/>
          <w:rtl/>
        </w:rPr>
        <w:t xml:space="preserve"> 110] ولو كان له كفء أو شبيه أو مثيل لأحاطت به علوم البشر</w:t>
      </w:r>
      <w:r>
        <w:rPr>
          <w:rFonts w:hint="cs"/>
          <w:rtl/>
        </w:rPr>
        <w:t>،</w:t>
      </w:r>
      <w:r w:rsidR="009C32A0">
        <w:rPr>
          <w:rFonts w:hint="cs"/>
          <w:rtl/>
        </w:rPr>
        <w:t xml:space="preserve"> ومنه نعلم مخالفة ذات الله تعالى لجميع المخلوقات والموجودات والمحدثات</w:t>
      </w:r>
      <w:r>
        <w:rPr>
          <w:rFonts w:hint="cs"/>
          <w:rtl/>
        </w:rPr>
        <w:t>،</w:t>
      </w:r>
      <w:r w:rsidR="009C32A0">
        <w:rPr>
          <w:rFonts w:hint="cs"/>
          <w:rtl/>
        </w:rPr>
        <w:t xml:space="preserve"> وكافة الماديات والحسيات والمرئيات والعقليات والنفسيات والروحانيات</w:t>
      </w:r>
      <w:r>
        <w:rPr>
          <w:rFonts w:hint="cs"/>
          <w:rtl/>
        </w:rPr>
        <w:t>،</w:t>
      </w:r>
      <w:r w:rsidR="009C32A0">
        <w:rPr>
          <w:rFonts w:hint="cs"/>
          <w:rtl/>
        </w:rPr>
        <w:t xml:space="preserve"> وكافة التصوزرات والمعلومات والتهيئات والتوهمات</w:t>
      </w:r>
      <w:r>
        <w:rPr>
          <w:rFonts w:hint="cs"/>
          <w:rtl/>
        </w:rPr>
        <w:t>،</w:t>
      </w:r>
      <w:r w:rsidR="009C32A0">
        <w:rPr>
          <w:rFonts w:hint="cs"/>
          <w:rtl/>
        </w:rPr>
        <w:t xml:space="preserve"> لأنّ الذات لا تُدرك</w:t>
      </w:r>
      <w:r>
        <w:rPr>
          <w:rFonts w:hint="cs"/>
          <w:rtl/>
        </w:rPr>
        <w:t>،</w:t>
      </w:r>
      <w:r w:rsidR="009C32A0">
        <w:rPr>
          <w:rFonts w:hint="cs"/>
          <w:rtl/>
        </w:rPr>
        <w:t xml:space="preserve"> وإذا كان المخلوق لا يحيط علماً بالروح التي تسكنه</w:t>
      </w:r>
      <w:r>
        <w:rPr>
          <w:rFonts w:hint="cs"/>
          <w:rtl/>
        </w:rPr>
        <w:t>،</w:t>
      </w:r>
      <w:r w:rsidR="009C32A0">
        <w:rPr>
          <w:rFonts w:hint="cs"/>
          <w:rtl/>
        </w:rPr>
        <w:t xml:space="preserve"> </w:t>
      </w:r>
      <w:r>
        <w:rPr>
          <w:rFonts w:hint="cs"/>
          <w:rtl/>
        </w:rPr>
        <w:t>{</w:t>
      </w:r>
      <w:r w:rsidR="009C32A0">
        <w:rPr>
          <w:rFonts w:hint="cs"/>
          <w:rtl/>
        </w:rPr>
        <w:t>وَيَسْأَلُونَكَ عَنِ الرُّوحِ قُلِ الرُّوحُ مِنْ أَمْرِ رَبِّي وَمَا أُوتِيتُمْ مِنَ الْعِلْمِ إِلَّا قَلِيلًا</w:t>
      </w:r>
      <w:r>
        <w:rPr>
          <w:rFonts w:hint="cs"/>
          <w:rtl/>
        </w:rPr>
        <w:t>}</w:t>
      </w:r>
      <w:r w:rsidR="009C32A0">
        <w:rPr>
          <w:rFonts w:hint="cs"/>
          <w:rtl/>
        </w:rPr>
        <w:t xml:space="preserve"> </w:t>
      </w:r>
      <w:r>
        <w:rPr>
          <w:rFonts w:hint="cs"/>
          <w:rtl/>
        </w:rPr>
        <w:t>[</w:t>
      </w:r>
      <w:r w:rsidR="009C32A0">
        <w:rPr>
          <w:rFonts w:hint="cs"/>
          <w:rtl/>
        </w:rPr>
        <w:t>الاسراء</w:t>
      </w:r>
      <w:r>
        <w:rPr>
          <w:rFonts w:hint="cs"/>
          <w:rtl/>
        </w:rPr>
        <w:t>:</w:t>
      </w:r>
      <w:r w:rsidR="009C32A0">
        <w:rPr>
          <w:rFonts w:hint="cs"/>
          <w:rtl/>
        </w:rPr>
        <w:t xml:space="preserve"> 85</w:t>
      </w:r>
      <w:r>
        <w:rPr>
          <w:rFonts w:hint="cs"/>
          <w:rtl/>
        </w:rPr>
        <w:t>]</w:t>
      </w:r>
      <w:r w:rsidR="009C32A0">
        <w:rPr>
          <w:rFonts w:hint="cs"/>
          <w:rtl/>
        </w:rPr>
        <w:t xml:space="preserve"> فأنى له أن يُدرك شيئا عن ذات الإله</w:t>
      </w:r>
      <w:r>
        <w:rPr>
          <w:rFonts w:hint="cs"/>
          <w:rtl/>
        </w:rPr>
        <w:t>،</w:t>
      </w:r>
    </w:p>
    <w:p w14:paraId="1188920C" w14:textId="050A3965" w:rsidR="009C32A0" w:rsidRDefault="000636C2" w:rsidP="000636C2">
      <w:pPr>
        <w:ind w:left="-58"/>
        <w:rPr>
          <w:b/>
          <w:rtl/>
        </w:rPr>
      </w:pPr>
      <w:r>
        <w:rPr>
          <w:rFonts w:hint="cs"/>
          <w:bCs/>
          <w:rtl/>
          <w:lang w:bidi="ar-KW"/>
        </w:rPr>
        <w:t>[</w:t>
      </w:r>
      <w:r w:rsidR="009C32A0">
        <w:rPr>
          <w:rFonts w:hint="cs"/>
          <w:bCs/>
          <w:rtl/>
          <w:lang w:bidi="ar-KW"/>
        </w:rPr>
        <w:t>14</w:t>
      </w:r>
      <w:r>
        <w:rPr>
          <w:rFonts w:hint="cs"/>
          <w:bCs/>
          <w:rtl/>
          <w:lang w:bidi="ar-KW"/>
        </w:rPr>
        <w:t>]:</w:t>
      </w:r>
      <w:r w:rsidR="009C32A0">
        <w:rPr>
          <w:rFonts w:hint="cs"/>
          <w:bCs/>
          <w:rtl/>
          <w:lang w:bidi="ar-KW"/>
        </w:rPr>
        <w:t xml:space="preserve"> القاعدة الرابعة عشرة</w:t>
      </w:r>
      <w:r>
        <w:rPr>
          <w:rFonts w:hint="cs"/>
          <w:bCs/>
          <w:rtl/>
          <w:lang w:bidi="ar-KW"/>
        </w:rPr>
        <w:t>:</w:t>
      </w:r>
      <w:r w:rsidR="009C32A0">
        <w:rPr>
          <w:rFonts w:hint="cs"/>
          <w:bCs/>
          <w:rtl/>
          <w:lang w:bidi="ar-KW"/>
        </w:rPr>
        <w:t xml:space="preserve"> تنزيه ذات الله تعالى عن الشريك والوزير والناصر والمعين لكمال غناه وقهره</w:t>
      </w:r>
      <w:r>
        <w:rPr>
          <w:rFonts w:hint="cs"/>
          <w:rtl/>
          <w:lang w:bidi="ar-KW"/>
        </w:rPr>
        <w:t>:</w:t>
      </w:r>
      <w:r w:rsidR="009C32A0">
        <w:rPr>
          <w:rFonts w:hint="cs"/>
          <w:rtl/>
          <w:lang w:bidi="ar-KW"/>
        </w:rPr>
        <w:t xml:space="preserve"> </w:t>
      </w:r>
      <w:r>
        <w:rPr>
          <w:rFonts w:hint="cs"/>
          <w:rtl/>
          <w:lang w:bidi="ar-KW"/>
        </w:rPr>
        <w:t>(</w:t>
      </w:r>
      <w:r w:rsidR="009C32A0">
        <w:rPr>
          <w:rFonts w:hint="cs"/>
          <w:rtl/>
          <w:lang w:bidi="ar-KW"/>
        </w:rPr>
        <w:t>أ</w:t>
      </w:r>
      <w:r>
        <w:rPr>
          <w:rFonts w:hint="cs"/>
          <w:rtl/>
          <w:lang w:bidi="ar-KW"/>
        </w:rPr>
        <w:t>)</w:t>
      </w:r>
      <w:r w:rsidR="009C32A0">
        <w:rPr>
          <w:rFonts w:hint="cs"/>
          <w:rtl/>
          <w:lang w:bidi="ar-KW"/>
        </w:rPr>
        <w:t xml:space="preserve"> الإسلام دين التوحيد</w:t>
      </w:r>
      <w:r>
        <w:rPr>
          <w:rFonts w:hint="cs"/>
          <w:rtl/>
          <w:lang w:bidi="ar-KW"/>
        </w:rPr>
        <w:t>،</w:t>
      </w:r>
      <w:r w:rsidR="009C32A0">
        <w:rPr>
          <w:rFonts w:hint="cs"/>
          <w:rtl/>
          <w:lang w:bidi="ar-KW"/>
        </w:rPr>
        <w:t xml:space="preserve"> والتوحيد ضد الشرك</w:t>
      </w:r>
      <w:r>
        <w:rPr>
          <w:rFonts w:hint="cs"/>
          <w:rtl/>
          <w:lang w:bidi="ar-KW"/>
        </w:rPr>
        <w:t>،</w:t>
      </w:r>
      <w:r w:rsidR="009C32A0">
        <w:rPr>
          <w:rFonts w:hint="cs"/>
          <w:rtl/>
          <w:lang w:bidi="ar-KW"/>
        </w:rPr>
        <w:t xml:space="preserve"> والشرك اتخاذ الشركاء مع الله</w:t>
      </w:r>
      <w:r>
        <w:rPr>
          <w:rFonts w:hint="cs"/>
          <w:rtl/>
          <w:lang w:bidi="ar-KW"/>
        </w:rPr>
        <w:t>،</w:t>
      </w:r>
      <w:r w:rsidR="009C32A0">
        <w:rPr>
          <w:rFonts w:hint="cs"/>
          <w:rtl/>
          <w:lang w:bidi="ar-KW"/>
        </w:rPr>
        <w:t xml:space="preserve"> أو اعتقاد وجود الشريك مع الله تعالى</w:t>
      </w:r>
      <w:r>
        <w:rPr>
          <w:rFonts w:hint="cs"/>
          <w:rtl/>
          <w:lang w:bidi="ar-KW"/>
        </w:rPr>
        <w:t>،</w:t>
      </w:r>
      <w:r w:rsidR="009C32A0">
        <w:rPr>
          <w:rFonts w:hint="cs"/>
          <w:rtl/>
          <w:lang w:bidi="ar-KW"/>
        </w:rPr>
        <w:t xml:space="preserve"> وقد عالج القرآن الكريم قضية الشريك بأوضح بيان</w:t>
      </w:r>
      <w:r>
        <w:rPr>
          <w:rFonts w:hint="cs"/>
          <w:rtl/>
          <w:lang w:bidi="ar-KW"/>
        </w:rPr>
        <w:t>،</w:t>
      </w:r>
      <w:r w:rsidR="009C32A0">
        <w:rPr>
          <w:rFonts w:hint="cs"/>
          <w:rtl/>
          <w:lang w:bidi="ar-KW"/>
        </w:rPr>
        <w:t xml:space="preserve"> ومن ذلك </w:t>
      </w:r>
      <w:r w:rsidR="009C32A0">
        <w:rPr>
          <w:rFonts w:hint="cs"/>
          <w:rtl/>
        </w:rPr>
        <w:t xml:space="preserve">قوله تعالى </w:t>
      </w:r>
      <w:r>
        <w:rPr>
          <w:rFonts w:hint="cs"/>
          <w:rtl/>
        </w:rPr>
        <w:t>{</w:t>
      </w:r>
      <w:r w:rsidR="009C32A0">
        <w:rPr>
          <w:rFonts w:hint="cs"/>
          <w:rtl/>
        </w:rPr>
        <w:t>لَوْ كَانَ فِيهِمَا آلِهَةٌ إِلَّا اللَّهُ لَفَسَدَتَا فَسُبْحَانَ اللَّهِ رَبِّ الْعَرْشِ عَمَّا يَصِفُونَ</w:t>
      </w:r>
      <w:r>
        <w:rPr>
          <w:rFonts w:hint="cs"/>
          <w:rtl/>
        </w:rPr>
        <w:t>}[</w:t>
      </w:r>
      <w:r w:rsidR="009C32A0">
        <w:rPr>
          <w:rFonts w:hint="cs"/>
          <w:rtl/>
        </w:rPr>
        <w:t>الأنبياء</w:t>
      </w:r>
      <w:r>
        <w:rPr>
          <w:rFonts w:hint="cs"/>
          <w:rtl/>
        </w:rPr>
        <w:t>:</w:t>
      </w:r>
      <w:r w:rsidR="009C32A0">
        <w:rPr>
          <w:rFonts w:hint="cs"/>
          <w:rtl/>
        </w:rPr>
        <w:t xml:space="preserve"> 22] فإنه لو كان لله شريك في الملك والخلق والأمر وتدبير الكون لفسد النظام الكوني برمته</w:t>
      </w:r>
      <w:r>
        <w:rPr>
          <w:rFonts w:hint="cs"/>
          <w:rtl/>
        </w:rPr>
        <w:t xml:space="preserve">، </w:t>
      </w:r>
      <w:r w:rsidR="009C32A0">
        <w:rPr>
          <w:rFonts w:hint="cs"/>
          <w:rtl/>
        </w:rPr>
        <w:t xml:space="preserve">كما في قوله تعالى </w:t>
      </w:r>
      <w:r>
        <w:rPr>
          <w:rFonts w:hint="cs"/>
          <w:rtl/>
        </w:rPr>
        <w:t>{</w:t>
      </w:r>
      <w:r w:rsidR="009C32A0">
        <w:rPr>
          <w:rFonts w:hint="cs"/>
          <w:rtl/>
        </w:rPr>
        <w:t>مَا اتَّخَذَ اللَّهُ مِنْ وَلَدٍ وَمَا كَانَ مَعَهُ مِنْ إِلَهٍ إِذًا لَذَهَبَ كُلُّ إِلَهٍ بِمَا خَلَقَ وَلَعَلَا بَعْضُهُمْ عَلَى بَعْضٍ سُبْحَانَ اللَّهِ عَمَّا يَصِفُونَ</w:t>
      </w:r>
      <w:r>
        <w:rPr>
          <w:rFonts w:hint="cs"/>
          <w:rtl/>
        </w:rPr>
        <w:t>}</w:t>
      </w:r>
      <w:r w:rsidR="009C32A0">
        <w:rPr>
          <w:rFonts w:hint="cs"/>
          <w:rtl/>
        </w:rPr>
        <w:t xml:space="preserve"> </w:t>
      </w:r>
      <w:r>
        <w:rPr>
          <w:rFonts w:hint="cs"/>
          <w:rtl/>
        </w:rPr>
        <w:t>[</w:t>
      </w:r>
      <w:r w:rsidR="009C32A0">
        <w:rPr>
          <w:rFonts w:hint="cs"/>
          <w:rtl/>
        </w:rPr>
        <w:t>المؤمنون</w:t>
      </w:r>
      <w:r>
        <w:rPr>
          <w:rFonts w:hint="cs"/>
          <w:rtl/>
        </w:rPr>
        <w:t>:</w:t>
      </w:r>
      <w:r w:rsidR="009C32A0">
        <w:rPr>
          <w:rFonts w:hint="cs"/>
          <w:rtl/>
        </w:rPr>
        <w:t>91]</w:t>
      </w:r>
      <w:r>
        <w:rPr>
          <w:rFonts w:hint="cs"/>
          <w:rtl/>
        </w:rPr>
        <w:t>،</w:t>
      </w:r>
      <w:r w:rsidR="009C32A0">
        <w:rPr>
          <w:rFonts w:hint="cs"/>
          <w:rtl/>
        </w:rPr>
        <w:t xml:space="preserve"> وقوله تعالى </w:t>
      </w:r>
      <w:r>
        <w:rPr>
          <w:rFonts w:hint="cs"/>
          <w:rtl/>
        </w:rPr>
        <w:t>{</w:t>
      </w:r>
      <w:r w:rsidR="009C32A0">
        <w:rPr>
          <w:rFonts w:hint="cs"/>
          <w:rtl/>
        </w:rPr>
        <w:t>قُلْ لَوْ كَانَ مَعَهُ آلِهَةٌ كَمَا يَقُولُونَ إِذًا لَابْتَغَوْا إِلَى ذِي الْعَرْشِ سَبِيلًا * سُبْحَانَهُ وَتَعَالَى عَمَّا يَقُولُونَ عُلُوًّا كَبِيرًا</w:t>
      </w:r>
      <w:r>
        <w:rPr>
          <w:rFonts w:hint="cs"/>
          <w:rtl/>
        </w:rPr>
        <w:t>}</w:t>
      </w:r>
      <w:r w:rsidR="009C32A0">
        <w:rPr>
          <w:rFonts w:hint="cs"/>
          <w:rtl/>
        </w:rPr>
        <w:t xml:space="preserve"> </w:t>
      </w:r>
      <w:r>
        <w:rPr>
          <w:rFonts w:hint="cs"/>
          <w:rtl/>
        </w:rPr>
        <w:t>[</w:t>
      </w:r>
      <w:r w:rsidR="009C32A0">
        <w:rPr>
          <w:rFonts w:hint="cs"/>
          <w:rtl/>
        </w:rPr>
        <w:t>الإسراء</w:t>
      </w:r>
      <w:r>
        <w:rPr>
          <w:rFonts w:hint="cs"/>
          <w:rtl/>
        </w:rPr>
        <w:t>:</w:t>
      </w:r>
      <w:r w:rsidR="009C32A0">
        <w:rPr>
          <w:rFonts w:hint="cs"/>
          <w:rtl/>
        </w:rPr>
        <w:t>42</w:t>
      </w:r>
      <w:r>
        <w:rPr>
          <w:rFonts w:hint="cs"/>
          <w:rtl/>
        </w:rPr>
        <w:t>،</w:t>
      </w:r>
      <w:r w:rsidR="009C32A0">
        <w:rPr>
          <w:rFonts w:hint="cs"/>
          <w:rtl/>
        </w:rPr>
        <w:t xml:space="preserve"> 43]</w:t>
      </w:r>
      <w:r>
        <w:rPr>
          <w:rFonts w:hint="cs"/>
          <w:rtl/>
        </w:rPr>
        <w:t>،</w:t>
      </w:r>
      <w:r w:rsidR="009C32A0">
        <w:rPr>
          <w:rFonts w:hint="cs"/>
          <w:rtl/>
        </w:rPr>
        <w:t xml:space="preserve"> ولهذا خاطب الله تعالى البشرية جمعاء </w:t>
      </w:r>
      <w:r w:rsidR="009C32A0">
        <w:rPr>
          <w:rFonts w:hint="cs"/>
          <w:rtl/>
        </w:rPr>
        <w:lastRenderedPageBreak/>
        <w:t>بقوله تعالى</w:t>
      </w:r>
      <w:r>
        <w:rPr>
          <w:rFonts w:hint="cs"/>
          <w:rtl/>
        </w:rPr>
        <w:t>: {</w:t>
      </w:r>
      <w:r w:rsidR="009C32A0">
        <w:rPr>
          <w:rFonts w:hint="cs"/>
          <w:rtl/>
        </w:rPr>
        <w:t>فَإِلَهُكُمْ إِلَهٌ وَاحِدٌ فَلَهُ أَسْلِمُوا وَبَشِّرِ الْمُخْبِتِينَ</w:t>
      </w:r>
      <w:r>
        <w:rPr>
          <w:rFonts w:hint="cs"/>
          <w:rtl/>
        </w:rPr>
        <w:t>}</w:t>
      </w:r>
      <w:r w:rsidR="009C32A0">
        <w:rPr>
          <w:rFonts w:hint="cs"/>
          <w:rtl/>
        </w:rPr>
        <w:t xml:space="preserve"> [الحج</w:t>
      </w:r>
      <w:r>
        <w:rPr>
          <w:rFonts w:hint="cs"/>
          <w:rtl/>
        </w:rPr>
        <w:t>:</w:t>
      </w:r>
      <w:r w:rsidR="009C32A0">
        <w:rPr>
          <w:rFonts w:hint="cs"/>
          <w:rtl/>
        </w:rPr>
        <w:t xml:space="preserve"> 34]</w:t>
      </w:r>
      <w:r>
        <w:rPr>
          <w:rFonts w:hint="cs"/>
          <w:rtl/>
        </w:rPr>
        <w:t>،</w:t>
      </w:r>
      <w:r w:rsidR="009C32A0">
        <w:rPr>
          <w:rFonts w:hint="cs"/>
          <w:rtl/>
        </w:rPr>
        <w:t xml:space="preserve"> وقوله تعالى </w:t>
      </w:r>
      <w:r>
        <w:rPr>
          <w:rFonts w:hint="cs"/>
          <w:rtl/>
        </w:rPr>
        <w:t>{</w:t>
      </w:r>
      <w:r w:rsidR="009C32A0">
        <w:rPr>
          <w:rFonts w:hint="cs"/>
          <w:rtl/>
        </w:rPr>
        <w:t>ذَلِكُمُ اللَّهُ رَبُّكُمْ لَا إِلَهَ إِلَّا هُوَ خَالِقُ كُلِّ شَيْءٍ فَاعْبُدُوهُ وَهُوَ عَلَى كُلِّ شَيْءٍ وَكِيلٌ</w:t>
      </w:r>
      <w:r>
        <w:rPr>
          <w:rFonts w:hint="cs"/>
          <w:rtl/>
        </w:rPr>
        <w:t>}</w:t>
      </w:r>
      <w:r w:rsidR="009C32A0">
        <w:rPr>
          <w:rFonts w:hint="cs"/>
          <w:rtl/>
        </w:rPr>
        <w:t xml:space="preserve"> </w:t>
      </w:r>
      <w:r>
        <w:rPr>
          <w:rFonts w:hint="cs"/>
          <w:rtl/>
        </w:rPr>
        <w:t>[</w:t>
      </w:r>
      <w:r w:rsidR="009C32A0">
        <w:rPr>
          <w:rFonts w:hint="cs"/>
          <w:rtl/>
        </w:rPr>
        <w:t>الْأَنعام</w:t>
      </w:r>
      <w:r>
        <w:rPr>
          <w:rFonts w:hint="cs"/>
          <w:rtl/>
        </w:rPr>
        <w:t>:</w:t>
      </w:r>
      <w:r w:rsidR="009C32A0">
        <w:rPr>
          <w:rFonts w:hint="cs"/>
          <w:rtl/>
        </w:rPr>
        <w:t xml:space="preserve"> 102</w:t>
      </w:r>
      <w:r>
        <w:rPr>
          <w:rFonts w:hint="cs"/>
          <w:rtl/>
        </w:rPr>
        <w:t xml:space="preserve">]، </w:t>
      </w:r>
      <w:r w:rsidR="009C32A0">
        <w:rPr>
          <w:rFonts w:hint="cs"/>
          <w:rtl/>
          <w:lang w:bidi="ar-KW"/>
        </w:rPr>
        <w:t>والشرك الأكبر أقسام عديدة</w:t>
      </w:r>
      <w:r>
        <w:rPr>
          <w:rFonts w:hint="cs"/>
          <w:rtl/>
          <w:lang w:bidi="ar-KW"/>
        </w:rPr>
        <w:t>:</w:t>
      </w:r>
      <w:r w:rsidR="009C32A0">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Pr>
          <w:rFonts w:hint="cs"/>
          <w:rtl/>
          <w:lang w:bidi="ar-KW"/>
        </w:rPr>
        <w:t>،</w:t>
      </w:r>
      <w:r w:rsidR="009C32A0">
        <w:rPr>
          <w:rFonts w:hint="cs"/>
          <w:rtl/>
          <w:lang w:bidi="ar-KW"/>
        </w:rPr>
        <w:t xml:space="preserve"> ومن الشرك الأكبر</w:t>
      </w:r>
      <w:r>
        <w:rPr>
          <w:rFonts w:hint="cs"/>
          <w:rtl/>
          <w:lang w:bidi="ar-KW"/>
        </w:rPr>
        <w:t>:</w:t>
      </w:r>
      <w:r w:rsidR="009C32A0">
        <w:rPr>
          <w:rFonts w:hint="cs"/>
          <w:rtl/>
          <w:lang w:bidi="ar-KW"/>
        </w:rPr>
        <w:t xml:space="preserve"> </w:t>
      </w:r>
      <w:r w:rsidR="009C32A0">
        <w:rPr>
          <w:rFonts w:hint="cs"/>
          <w:rtl/>
        </w:rPr>
        <w:t>اعتقاد الشريك</w:t>
      </w:r>
      <w:r>
        <w:rPr>
          <w:rFonts w:hint="cs"/>
          <w:rtl/>
        </w:rPr>
        <w:t xml:space="preserve">، </w:t>
      </w:r>
      <w:r w:rsidR="009C32A0">
        <w:rPr>
          <w:rFonts w:hint="cs"/>
          <w:rtl/>
        </w:rPr>
        <w:t>كالقول بإلهين اثنين</w:t>
      </w:r>
      <w:r>
        <w:rPr>
          <w:rFonts w:hint="cs"/>
          <w:rtl/>
        </w:rPr>
        <w:t>،</w:t>
      </w:r>
      <w:r w:rsidR="009C32A0">
        <w:rPr>
          <w:rFonts w:hint="cs"/>
          <w:rtl/>
        </w:rPr>
        <w:t xml:space="preserve"> قال تعالى </w:t>
      </w:r>
      <w:r>
        <w:rPr>
          <w:rFonts w:hint="cs"/>
          <w:rtl/>
        </w:rPr>
        <w:t>{</w:t>
      </w:r>
      <w:r w:rsidR="009C32A0">
        <w:rPr>
          <w:rFonts w:hint="cs"/>
          <w:rtl/>
        </w:rPr>
        <w:t>وَقَالَ اللَّهُ لَا تَتَّخِذُوا إِلَهَيْنِ اثْنَيْنِ إِنَّمَا هُوَ إِلَهٌ وَاحِدٌ فَإِيَّايَ فَارْهَبُونِ</w:t>
      </w:r>
      <w:r>
        <w:rPr>
          <w:rFonts w:hint="cs"/>
          <w:rtl/>
        </w:rPr>
        <w:t>}</w:t>
      </w:r>
      <w:r w:rsidR="009C32A0">
        <w:rPr>
          <w:rFonts w:hint="cs"/>
          <w:rtl/>
        </w:rPr>
        <w:t xml:space="preserve"> </w:t>
      </w:r>
      <w:r>
        <w:rPr>
          <w:rFonts w:hint="cs"/>
          <w:rtl/>
        </w:rPr>
        <w:t>[</w:t>
      </w:r>
      <w:r w:rsidR="009C32A0">
        <w:rPr>
          <w:rFonts w:hint="cs"/>
          <w:rtl/>
        </w:rPr>
        <w:t>النحل</w:t>
      </w:r>
      <w:r>
        <w:rPr>
          <w:rFonts w:hint="cs"/>
          <w:rtl/>
        </w:rPr>
        <w:t>:</w:t>
      </w:r>
      <w:r w:rsidR="009C32A0">
        <w:rPr>
          <w:rFonts w:hint="cs"/>
          <w:rtl/>
        </w:rPr>
        <w:t xml:space="preserve"> 51</w:t>
      </w:r>
      <w:r>
        <w:rPr>
          <w:rFonts w:hint="cs"/>
          <w:rtl/>
        </w:rPr>
        <w:t>]،</w:t>
      </w:r>
      <w:r w:rsidR="009C32A0">
        <w:rPr>
          <w:rFonts w:hint="cs"/>
          <w:rtl/>
        </w:rPr>
        <w:t xml:space="preserve"> واعتقاد أن غير الله تعالى هو الإله مثل قول النصارى في نبي الله عيسى ابن مريم عليه السلام</w:t>
      </w:r>
      <w:r>
        <w:rPr>
          <w:rFonts w:hint="cs"/>
          <w:rtl/>
        </w:rPr>
        <w:t>،</w:t>
      </w:r>
      <w:r w:rsidR="009C32A0">
        <w:rPr>
          <w:rFonts w:hint="cs"/>
          <w:rtl/>
        </w:rPr>
        <w:t xml:space="preserve"> قال تعالى </w:t>
      </w:r>
      <w:r>
        <w:rPr>
          <w:rFonts w:hint="cs"/>
          <w:rtl/>
        </w:rPr>
        <w:t>{</w:t>
      </w:r>
      <w:r w:rsidR="009C32A0">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Pr>
          <w:rFonts w:hint="cs"/>
          <w:rtl/>
        </w:rPr>
        <w:t>}</w:t>
      </w:r>
      <w:r w:rsidR="009C32A0">
        <w:rPr>
          <w:rFonts w:hint="cs"/>
          <w:rtl/>
        </w:rPr>
        <w:t xml:space="preserve"> </w:t>
      </w:r>
      <w:r>
        <w:rPr>
          <w:rFonts w:hint="cs"/>
          <w:rtl/>
        </w:rPr>
        <w:t>[</w:t>
      </w:r>
      <w:r w:rsidR="009C32A0">
        <w:rPr>
          <w:rFonts w:hint="cs"/>
          <w:rtl/>
        </w:rPr>
        <w:t>المائدة</w:t>
      </w:r>
      <w:r>
        <w:rPr>
          <w:rFonts w:hint="cs"/>
          <w:rtl/>
        </w:rPr>
        <w:t>:</w:t>
      </w:r>
      <w:r w:rsidR="009C32A0">
        <w:rPr>
          <w:rFonts w:hint="cs"/>
          <w:rtl/>
        </w:rPr>
        <w:t xml:space="preserve"> 72</w:t>
      </w:r>
      <w:r>
        <w:rPr>
          <w:rFonts w:hint="cs"/>
          <w:rtl/>
        </w:rPr>
        <w:t>]</w:t>
      </w:r>
      <w:r w:rsidR="009C32A0">
        <w:rPr>
          <w:rFonts w:hint="cs"/>
          <w:rtl/>
        </w:rPr>
        <w:t xml:space="preserve"> واعتقاد أن ذات الله تعالى منقسمة إلى أقانيم مثل قول النصارى أن الله تعالى ثالث ثلاثة</w:t>
      </w:r>
      <w:r>
        <w:rPr>
          <w:rFonts w:hint="cs"/>
          <w:rtl/>
        </w:rPr>
        <w:t>،</w:t>
      </w:r>
      <w:r w:rsidR="009C32A0">
        <w:rPr>
          <w:rFonts w:hint="cs"/>
          <w:rtl/>
        </w:rPr>
        <w:t xml:space="preserve"> قال تعالى </w:t>
      </w:r>
      <w:r>
        <w:rPr>
          <w:rFonts w:hint="cs"/>
          <w:rtl/>
        </w:rPr>
        <w:t>{</w:t>
      </w:r>
      <w:r w:rsidR="009C32A0">
        <w:rPr>
          <w:rFonts w:hint="cs"/>
          <w:rtl/>
        </w:rPr>
        <w:t>لَقَدْ كَفَرَ الَّذِينَ قَالُوا إِنَّ اللَّهَ ثَالِثُ ثَلَاثَةٍ وَمَا مِنْ إِلَهٍ إِلَّا إِلَهٌ وَاحِدٌ وَإِنْ لَمْ يَنْتَهُوا عَمَّا يَقُولُونَ لَيَمَسَّنَّ الَذِينَ كَفَرُوا مِنْهُمْ عَذَابٌ أَلِيمٌ</w:t>
      </w:r>
      <w:r>
        <w:rPr>
          <w:rFonts w:hint="cs"/>
          <w:rtl/>
        </w:rPr>
        <w:t>}</w:t>
      </w:r>
      <w:r w:rsidR="009C32A0">
        <w:rPr>
          <w:rFonts w:hint="cs"/>
          <w:rtl/>
        </w:rPr>
        <w:t xml:space="preserve"> </w:t>
      </w:r>
      <w:r>
        <w:rPr>
          <w:rFonts w:hint="cs"/>
          <w:rtl/>
        </w:rPr>
        <w:t>[</w:t>
      </w:r>
      <w:r w:rsidR="009C32A0">
        <w:rPr>
          <w:rFonts w:hint="cs"/>
          <w:rtl/>
        </w:rPr>
        <w:t>المائدة</w:t>
      </w:r>
      <w:r>
        <w:rPr>
          <w:rFonts w:hint="cs"/>
          <w:rtl/>
        </w:rPr>
        <w:t>:</w:t>
      </w:r>
      <w:r w:rsidR="009C32A0">
        <w:rPr>
          <w:rFonts w:hint="cs"/>
          <w:rtl/>
        </w:rPr>
        <w:t xml:space="preserve"> 73</w:t>
      </w:r>
      <w:r>
        <w:rPr>
          <w:rFonts w:hint="cs"/>
          <w:rtl/>
        </w:rPr>
        <w:t>]،</w:t>
      </w:r>
      <w:r w:rsidR="009C32A0">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Fonts w:hint="cs"/>
          <w:rtl/>
        </w:rPr>
        <w:t>،</w:t>
      </w:r>
      <w:r w:rsidR="009C32A0">
        <w:rPr>
          <w:rFonts w:hint="cs"/>
          <w:rtl/>
        </w:rPr>
        <w:t xml:space="preserve"> قال تعالى </w:t>
      </w:r>
      <w:r>
        <w:rPr>
          <w:rFonts w:hint="cs"/>
          <w:rtl/>
        </w:rPr>
        <w:t>{</w:t>
      </w:r>
      <w:r w:rsidR="009C32A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9C32A0">
        <w:rPr>
          <w:rFonts w:hint="cs"/>
          <w:rtl/>
        </w:rPr>
        <w:t>لَقَدْ أَحْصَاهُمْ وَعَدَّهُمْ عَدًّا * وَكُلُّهُمْ آتِيهِ يَوْمَ الْقِيَامَةِ فَرْدًا</w:t>
      </w:r>
      <w:r>
        <w:rPr>
          <w:rFonts w:hint="cs"/>
          <w:rtl/>
        </w:rPr>
        <w:t>}</w:t>
      </w:r>
      <w:r w:rsidR="009C32A0">
        <w:rPr>
          <w:rFonts w:hint="cs"/>
          <w:rtl/>
        </w:rPr>
        <w:t xml:space="preserve"> </w:t>
      </w:r>
      <w:r>
        <w:rPr>
          <w:rFonts w:hint="cs"/>
          <w:rtl/>
        </w:rPr>
        <w:t>[</w:t>
      </w:r>
      <w:r w:rsidR="009C32A0">
        <w:rPr>
          <w:rFonts w:hint="cs"/>
          <w:rtl/>
        </w:rPr>
        <w:t>سورة مريم</w:t>
      </w:r>
      <w:r>
        <w:rPr>
          <w:rFonts w:hint="cs"/>
          <w:rtl/>
        </w:rPr>
        <w:t>:</w:t>
      </w:r>
      <w:r w:rsidR="009C32A0">
        <w:rPr>
          <w:rFonts w:hint="cs"/>
          <w:rtl/>
        </w:rPr>
        <w:t xml:space="preserve"> 88</w:t>
      </w:r>
      <w:r>
        <w:rPr>
          <w:rFonts w:hint="cs"/>
          <w:rtl/>
        </w:rPr>
        <w:t>،</w:t>
      </w:r>
      <w:r w:rsidR="009C32A0">
        <w:rPr>
          <w:rFonts w:hint="cs"/>
          <w:rtl/>
        </w:rPr>
        <w:t xml:space="preserve"> 95</w:t>
      </w:r>
      <w:r>
        <w:rPr>
          <w:rFonts w:hint="cs"/>
          <w:rtl/>
        </w:rPr>
        <w:t>]،</w:t>
      </w:r>
      <w:r w:rsidR="009C32A0">
        <w:rPr>
          <w:rFonts w:hint="cs"/>
          <w:rtl/>
        </w:rPr>
        <w:t xml:space="preserve"> </w:t>
      </w:r>
      <w:r w:rsidR="009C32A0">
        <w:rPr>
          <w:rFonts w:hint="cs"/>
          <w:rtl/>
          <w:lang w:bidi="ar-OM"/>
        </w:rPr>
        <w:t>وكاعتقاد مشركي العرب في الجن</w:t>
      </w:r>
      <w:r>
        <w:rPr>
          <w:rFonts w:hint="cs"/>
          <w:rtl/>
          <w:lang w:bidi="ar-OM"/>
        </w:rPr>
        <w:t>،</w:t>
      </w:r>
      <w:r w:rsidR="009C32A0">
        <w:rPr>
          <w:rFonts w:hint="cs"/>
          <w:rtl/>
          <w:lang w:bidi="ar-OM"/>
        </w:rPr>
        <w:t xml:space="preserve"> كما في قوله تعالى</w:t>
      </w:r>
      <w:r>
        <w:rPr>
          <w:rFonts w:hint="cs"/>
          <w:rtl/>
          <w:lang w:bidi="ar-OM"/>
        </w:rPr>
        <w:t>:</w:t>
      </w:r>
      <w:r w:rsidR="009C32A0">
        <w:rPr>
          <w:rFonts w:hint="cs"/>
          <w:rtl/>
          <w:lang w:bidi="ar-OM"/>
        </w:rPr>
        <w:t xml:space="preserve"> </w:t>
      </w:r>
      <w:r>
        <w:rPr>
          <w:rFonts w:hint="cs"/>
          <w:rtl/>
          <w:lang w:bidi="ar-OM"/>
        </w:rPr>
        <w:t>{</w:t>
      </w:r>
      <w:r w:rsidR="009C32A0">
        <w:rPr>
          <w:rFonts w:hint="cs"/>
          <w:rtl/>
          <w:lang w:bidi="ar-OM"/>
        </w:rPr>
        <w:t>وَجَعَلُوا لِلَّهِ شُرَكَاءَ الْجِنَّ وَخَلَقَهُمْ وَخَرَقُوا لَهُ بَنِينَ وَبَنَاتٍ بِغَيْرِ عِلْمٍ سُبْحَانَهُ وَتَعَالَى عَمَّا يَصِفُونَ</w:t>
      </w:r>
      <w:r>
        <w:rPr>
          <w:rFonts w:hint="cs"/>
          <w:rtl/>
          <w:lang w:bidi="ar-OM"/>
        </w:rPr>
        <w:t>}</w:t>
      </w:r>
      <w:r w:rsidR="009C32A0">
        <w:rPr>
          <w:rFonts w:hint="cs"/>
          <w:rtl/>
          <w:lang w:bidi="ar-OM"/>
        </w:rPr>
        <w:t xml:space="preserve"> </w:t>
      </w:r>
      <w:r>
        <w:rPr>
          <w:rFonts w:hint="cs"/>
          <w:rtl/>
          <w:lang w:bidi="ar-OM"/>
        </w:rPr>
        <w:t>[</w:t>
      </w:r>
      <w:r w:rsidR="009C32A0">
        <w:rPr>
          <w:rFonts w:hint="cs"/>
          <w:rtl/>
          <w:lang w:bidi="ar-OM"/>
        </w:rPr>
        <w:t>الأنعام</w:t>
      </w:r>
      <w:r>
        <w:rPr>
          <w:rFonts w:hint="cs"/>
          <w:rtl/>
          <w:lang w:bidi="ar-OM"/>
        </w:rPr>
        <w:t>:</w:t>
      </w:r>
      <w:r w:rsidR="009C32A0">
        <w:rPr>
          <w:rFonts w:hint="cs"/>
          <w:rtl/>
          <w:lang w:bidi="ar-OM"/>
        </w:rPr>
        <w:t xml:space="preserve"> 100</w:t>
      </w:r>
      <w:r>
        <w:rPr>
          <w:rFonts w:hint="cs"/>
          <w:rtl/>
          <w:lang w:bidi="ar-OM"/>
        </w:rPr>
        <w:t>]،</w:t>
      </w:r>
      <w:r w:rsidR="009C32A0">
        <w:rPr>
          <w:rFonts w:hint="cs"/>
          <w:rtl/>
          <w:lang w:bidi="ar-OM"/>
        </w:rPr>
        <w:t xml:space="preserve"> </w:t>
      </w:r>
      <w:r w:rsidR="009C32A0">
        <w:rPr>
          <w:rFonts w:hint="cs"/>
          <w:rtl/>
        </w:rPr>
        <w:t>وكاعتقادهم وجود مؤثر آخر من دون الله تعالى في الكون ومتصرف آخر غير الله تعالى مستقل عنه</w:t>
      </w:r>
      <w:r>
        <w:rPr>
          <w:rFonts w:hint="cs"/>
          <w:rtl/>
        </w:rPr>
        <w:t>،</w:t>
      </w:r>
      <w:r w:rsidR="009C32A0">
        <w:rPr>
          <w:rFonts w:hint="cs"/>
          <w:rtl/>
        </w:rPr>
        <w:t xml:space="preserve"> يستطيع نصر أتباعه وإعزازهم</w:t>
      </w:r>
      <w:r>
        <w:rPr>
          <w:rFonts w:hint="cs"/>
          <w:rtl/>
        </w:rPr>
        <w:t>،</w:t>
      </w:r>
      <w:r w:rsidR="009C32A0">
        <w:rPr>
          <w:rFonts w:hint="cs"/>
          <w:rtl/>
        </w:rPr>
        <w:t xml:space="preserve"> كما </w:t>
      </w:r>
      <w:r w:rsidR="009C32A0">
        <w:rPr>
          <w:rFonts w:hint="cs"/>
          <w:rtl/>
          <w:lang w:bidi="ar-EG"/>
        </w:rPr>
        <w:t>في قوله تعالى</w:t>
      </w:r>
      <w:r>
        <w:rPr>
          <w:rFonts w:hint="cs"/>
          <w:rtl/>
          <w:lang w:bidi="ar-EG"/>
        </w:rPr>
        <w:t>:</w:t>
      </w:r>
      <w:r w:rsidR="009C32A0">
        <w:rPr>
          <w:rFonts w:hint="cs"/>
          <w:rtl/>
          <w:lang w:bidi="ar-EG"/>
        </w:rPr>
        <w:t xml:space="preserve"> </w:t>
      </w:r>
      <w:r>
        <w:rPr>
          <w:rFonts w:hint="cs"/>
          <w:rtl/>
          <w:lang w:bidi="ar-EG"/>
        </w:rPr>
        <w:t>{</w:t>
      </w:r>
      <w:r w:rsidR="009C32A0">
        <w:rPr>
          <w:rFonts w:hint="cs"/>
          <w:rtl/>
          <w:lang w:bidi="ar-EG"/>
        </w:rPr>
        <w:t>وَاتَّخَذُوا مِنْ دُونِ اللَّهِ آلِهَةً لَعَلَّهُمْ يُنْصَرُونَ</w:t>
      </w:r>
      <w:r>
        <w:rPr>
          <w:rFonts w:hint="cs"/>
          <w:rtl/>
          <w:lang w:bidi="ar-EG"/>
        </w:rPr>
        <w:t>}</w:t>
      </w:r>
      <w:r w:rsidR="009C32A0">
        <w:rPr>
          <w:rFonts w:hint="cs"/>
          <w:rtl/>
          <w:lang w:bidi="ar-EG"/>
        </w:rPr>
        <w:t xml:space="preserve"> </w:t>
      </w:r>
      <w:r>
        <w:rPr>
          <w:rFonts w:hint="cs"/>
          <w:rtl/>
          <w:lang w:bidi="ar-EG"/>
        </w:rPr>
        <w:t>[</w:t>
      </w:r>
      <w:r w:rsidR="009C32A0">
        <w:rPr>
          <w:rFonts w:hint="cs"/>
          <w:rtl/>
          <w:lang w:bidi="ar-EG"/>
        </w:rPr>
        <w:t>يس</w:t>
      </w:r>
      <w:r>
        <w:rPr>
          <w:rFonts w:hint="cs"/>
          <w:rtl/>
          <w:lang w:bidi="ar-EG"/>
        </w:rPr>
        <w:t>:</w:t>
      </w:r>
      <w:r w:rsidR="009C32A0">
        <w:rPr>
          <w:rFonts w:hint="cs"/>
          <w:rtl/>
          <w:lang w:bidi="ar-EG"/>
        </w:rPr>
        <w:t xml:space="preserve"> 74</w:t>
      </w:r>
      <w:r>
        <w:rPr>
          <w:rFonts w:hint="cs"/>
          <w:rtl/>
          <w:lang w:bidi="ar-EG"/>
        </w:rPr>
        <w:t>]،</w:t>
      </w:r>
      <w:r w:rsidR="009C32A0">
        <w:rPr>
          <w:rFonts w:hint="cs"/>
          <w:rtl/>
          <w:lang w:bidi="ar-EG"/>
        </w:rPr>
        <w:t xml:space="preserve"> وقال تعالى</w:t>
      </w:r>
      <w:r>
        <w:rPr>
          <w:rFonts w:hint="cs"/>
          <w:rtl/>
          <w:lang w:bidi="ar-EG"/>
        </w:rPr>
        <w:t>:</w:t>
      </w:r>
      <w:r w:rsidR="009C32A0">
        <w:rPr>
          <w:rFonts w:hint="cs"/>
          <w:rtl/>
          <w:lang w:bidi="ar-EG"/>
        </w:rPr>
        <w:t xml:space="preserve"> </w:t>
      </w:r>
      <w:r>
        <w:rPr>
          <w:rFonts w:hint="cs"/>
          <w:rtl/>
          <w:lang w:bidi="ar-EG"/>
        </w:rPr>
        <w:t>{</w:t>
      </w:r>
      <w:r w:rsidR="009C32A0">
        <w:rPr>
          <w:rFonts w:hint="cs"/>
          <w:rtl/>
          <w:lang w:bidi="ar-EG"/>
        </w:rPr>
        <w:t>وَاتَّخَذُوا مِنْ دُونِ اللَّهِ آلِهَةً لِيَكُونُوا لَهُمْ عِزًّا</w:t>
      </w:r>
      <w:r>
        <w:rPr>
          <w:rFonts w:hint="cs"/>
          <w:rtl/>
          <w:lang w:bidi="ar-EG"/>
        </w:rPr>
        <w:t>}</w:t>
      </w:r>
      <w:r w:rsidR="009C32A0">
        <w:rPr>
          <w:rFonts w:hint="cs"/>
          <w:rtl/>
          <w:lang w:bidi="ar-EG"/>
        </w:rPr>
        <w:t xml:space="preserve"> </w:t>
      </w:r>
      <w:r>
        <w:rPr>
          <w:rFonts w:hint="cs"/>
          <w:rtl/>
          <w:lang w:bidi="ar-EG"/>
        </w:rPr>
        <w:t>[</w:t>
      </w:r>
      <w:r w:rsidR="009C32A0">
        <w:rPr>
          <w:rFonts w:hint="cs"/>
          <w:rtl/>
          <w:lang w:bidi="ar-EG"/>
        </w:rPr>
        <w:t>مريم</w:t>
      </w:r>
      <w:r>
        <w:rPr>
          <w:rFonts w:hint="cs"/>
          <w:rtl/>
          <w:lang w:bidi="ar-EG"/>
        </w:rPr>
        <w:t>:</w:t>
      </w:r>
      <w:r w:rsidR="009C32A0">
        <w:rPr>
          <w:rFonts w:hint="cs"/>
          <w:rtl/>
          <w:lang w:bidi="ar-EG"/>
        </w:rPr>
        <w:t xml:space="preserve"> 81</w:t>
      </w:r>
      <w:r>
        <w:rPr>
          <w:rFonts w:hint="cs"/>
          <w:rtl/>
          <w:lang w:bidi="ar-EG"/>
        </w:rPr>
        <w:t>]،</w:t>
      </w:r>
      <w:r w:rsidR="009C32A0">
        <w:rPr>
          <w:rFonts w:hint="cs"/>
          <w:rtl/>
        </w:rPr>
        <w:t>فمن اعتقد بأن لله شريكاً في التأثير أو التدبير على سبيل الاستقلال</w:t>
      </w:r>
      <w:r>
        <w:rPr>
          <w:rFonts w:hint="cs"/>
          <w:rtl/>
        </w:rPr>
        <w:t>،</w:t>
      </w:r>
      <w:r w:rsidR="009C32A0">
        <w:rPr>
          <w:rFonts w:hint="cs"/>
          <w:rtl/>
        </w:rPr>
        <w:t xml:space="preserve"> فهذا شرك يضاد توحيد الأفعال</w:t>
      </w:r>
      <w:r>
        <w:rPr>
          <w:rFonts w:hint="cs"/>
          <w:rtl/>
        </w:rPr>
        <w:t>،</w:t>
      </w:r>
      <w:r w:rsidR="009C32A0">
        <w:rPr>
          <w:rFonts w:hint="cs"/>
          <w:rtl/>
        </w:rPr>
        <w:t xml:space="preserve"> وأنّه لا يكون في ملك الله تعالى إلا ما خلقه الله</w:t>
      </w:r>
      <w:r>
        <w:rPr>
          <w:rFonts w:hint="cs"/>
          <w:rtl/>
        </w:rPr>
        <w:t>،</w:t>
      </w:r>
      <w:r w:rsidR="009C32A0">
        <w:rPr>
          <w:rFonts w:hint="cs"/>
          <w:rtl/>
        </w:rPr>
        <w:t xml:space="preserve"> ومن الشرك الأكبر الشرك في ربوبية الله تعالى لخلقه أجمعين</w:t>
      </w:r>
      <w:r>
        <w:rPr>
          <w:rFonts w:hint="cs"/>
          <w:rtl/>
        </w:rPr>
        <w:t>،</w:t>
      </w:r>
      <w:r w:rsidR="009C32A0">
        <w:rPr>
          <w:rFonts w:hint="cs"/>
          <w:rtl/>
        </w:rPr>
        <w:t xml:space="preserve"> وهذا الشرك يتناول كل ما يناقض توحيد الربوبية</w:t>
      </w:r>
      <w:r>
        <w:rPr>
          <w:rFonts w:hint="cs"/>
          <w:rtl/>
        </w:rPr>
        <w:t>،</w:t>
      </w:r>
      <w:r w:rsidR="009C32A0">
        <w:rPr>
          <w:rFonts w:hint="cs"/>
          <w:rtl/>
        </w:rPr>
        <w:t xml:space="preserve"> </w:t>
      </w:r>
      <w:r w:rsidR="009C32A0">
        <w:rPr>
          <w:rFonts w:hint="cs"/>
          <w:rtl/>
          <w:lang w:bidi="ar-KW"/>
        </w:rPr>
        <w:t xml:space="preserve">وتوحيد الربوبية </w:t>
      </w:r>
      <w:r w:rsidR="009C32A0">
        <w:rPr>
          <w:rFonts w:hint="cs"/>
          <w:rtl/>
        </w:rPr>
        <w:t>مصطلح شامل يحمل اعتقاد معاني أساسية لا يقوم بتلك المعاني مجتمعة إلا مسمى توحيد الربوبية</w:t>
      </w:r>
      <w:r>
        <w:rPr>
          <w:rFonts w:hint="cs"/>
          <w:rtl/>
        </w:rPr>
        <w:t>،</w:t>
      </w:r>
      <w:r w:rsidR="009C32A0">
        <w:rPr>
          <w:rFonts w:hint="cs"/>
          <w:rtl/>
        </w:rPr>
        <w:t xml:space="preserve"> لا يصح مصطلح توحيد الربوبية إلا باعتقادها جميعا</w:t>
      </w:r>
      <w:r>
        <w:rPr>
          <w:rFonts w:hint="cs"/>
          <w:rtl/>
        </w:rPr>
        <w:t>،</w:t>
      </w:r>
      <w:r w:rsidR="009C32A0">
        <w:rPr>
          <w:rFonts w:hint="cs"/>
          <w:rtl/>
        </w:rPr>
        <w:t xml:space="preserve"> وتتمثل تلك الاعتقادات في اعتقاد أنه لا موجد ولا خالق ولا مكون لهذا الكون كله بما فيه إلا الله رب العالمين</w:t>
      </w:r>
      <w:r>
        <w:rPr>
          <w:rFonts w:hint="cs"/>
          <w:rtl/>
        </w:rPr>
        <w:t>،</w:t>
      </w:r>
      <w:r w:rsidR="009C32A0">
        <w:rPr>
          <w:rFonts w:hint="cs"/>
          <w:rtl/>
        </w:rPr>
        <w:t xml:space="preserve">واعتقاد </w:t>
      </w:r>
      <w:r w:rsidR="009C32A0">
        <w:rPr>
          <w:rFonts w:hint="cs"/>
          <w:rtl/>
        </w:rPr>
        <w:lastRenderedPageBreak/>
        <w:t>أنه لا رازق على الحقيقة في الكون كله إلا الله رب العالمين</w:t>
      </w:r>
      <w:r>
        <w:rPr>
          <w:rFonts w:hint="cs"/>
          <w:rtl/>
        </w:rPr>
        <w:t>،</w:t>
      </w:r>
      <w:r w:rsidR="009C32A0">
        <w:rPr>
          <w:rFonts w:hint="cs"/>
          <w:rtl/>
        </w:rPr>
        <w:t xml:space="preserve"> واعتقاد أنه لا مالك لا متصرف بيده ملكوت كل شيء ولا مدبر للكون كله على الحقيقة إلا الله رب العالمين</w:t>
      </w:r>
      <w:r>
        <w:rPr>
          <w:rFonts w:hint="cs"/>
          <w:rtl/>
        </w:rPr>
        <w:t>،</w:t>
      </w:r>
      <w:r w:rsidR="009C32A0">
        <w:rPr>
          <w:rFonts w:hint="cs"/>
          <w:rtl/>
        </w:rPr>
        <w:t xml:space="preserve"> واعتقاد أنه لا سيد ولا مهيمن ولا حاكم ولا آمر في الكون كله على الحقيقة إلا الله رب العالمين</w:t>
      </w:r>
      <w:r>
        <w:rPr>
          <w:rFonts w:hint="cs"/>
          <w:rtl/>
        </w:rPr>
        <w:t>،</w:t>
      </w:r>
      <w:r w:rsidR="009C32A0">
        <w:rPr>
          <w:rFonts w:hint="cs"/>
          <w:rtl/>
        </w:rPr>
        <w:t xml:space="preserve"> واعتقاد أنه لا ناصر ولا معين ولا معز ولا مذل ولا خافض ولا رافع ولا قابض ولا باسط إلا الله رب العالمين</w:t>
      </w:r>
      <w:r>
        <w:rPr>
          <w:rFonts w:hint="cs"/>
          <w:rtl/>
        </w:rPr>
        <w:t>،</w:t>
      </w:r>
      <w:r w:rsidR="009C32A0">
        <w:rPr>
          <w:rFonts w:hint="cs"/>
          <w:rtl/>
        </w:rPr>
        <w:t xml:space="preserve"> واعتقاد أنه لا شفيع في شيء من أمور الكون كله إلا من بعد إذن الواحد الأحد الله رب العالمين</w:t>
      </w:r>
      <w:r>
        <w:rPr>
          <w:rFonts w:hint="cs"/>
          <w:rtl/>
        </w:rPr>
        <w:t>،</w:t>
      </w:r>
      <w:r w:rsidR="009C32A0">
        <w:rPr>
          <w:rFonts w:hint="cs"/>
          <w:rtl/>
        </w:rPr>
        <w:t xml:space="preserve"> واعتقاد أنه لا شريك للرب الواحد الأحد الله رب العالمين في شيء من تلك المعاني التي يشملها توحيد الربوبية</w:t>
      </w:r>
      <w:r>
        <w:rPr>
          <w:rFonts w:hint="cs"/>
          <w:rtl/>
        </w:rPr>
        <w:t>،</w:t>
      </w:r>
      <w:r w:rsidR="009C32A0">
        <w:rPr>
          <w:rFonts w:hint="cs"/>
          <w:rtl/>
        </w:rPr>
        <w:t xml:space="preserve"> لا يصح مصطلح توحيد الربوبية إلا بحصر معاني الربوبية في اللّهِ وحده</w:t>
      </w:r>
      <w:r>
        <w:rPr>
          <w:rFonts w:hint="cs"/>
          <w:rtl/>
        </w:rPr>
        <w:t>،</w:t>
      </w:r>
      <w:r w:rsidR="009C32A0">
        <w:rPr>
          <w:rFonts w:hint="cs"/>
          <w:rtl/>
        </w:rPr>
        <w:t xml:space="preserve"> ولا يصح مصطلح توحيد الربوبية إلا باعتقادها جميعا لله رب العالمين وحده لا شريك له</w:t>
      </w:r>
      <w:r>
        <w:rPr>
          <w:rFonts w:hint="cs"/>
          <w:rtl/>
        </w:rPr>
        <w:t>،</w:t>
      </w:r>
      <w:r w:rsidR="009C32A0">
        <w:rPr>
          <w:rFonts w:hint="cs"/>
          <w:rtl/>
          <w:lang w:bidi="ar-KW"/>
        </w:rPr>
        <w:t xml:space="preserve"> ومن الآيات </w:t>
      </w:r>
      <w:r w:rsidR="009C32A0">
        <w:rPr>
          <w:rFonts w:hint="cs"/>
          <w:rtl/>
        </w:rPr>
        <w:t>التي تنهى عن الشرك في الربوبية</w:t>
      </w:r>
      <w:r>
        <w:rPr>
          <w:rFonts w:hint="cs"/>
          <w:rtl/>
        </w:rPr>
        <w:t>:</w:t>
      </w:r>
      <w:r w:rsidR="009C32A0">
        <w:rPr>
          <w:rFonts w:hint="cs"/>
          <w:rtl/>
        </w:rPr>
        <w:t xml:space="preserve"> قوله تعالى </w:t>
      </w:r>
      <w:r>
        <w:rPr>
          <w:rFonts w:hint="cs"/>
          <w:rtl/>
        </w:rPr>
        <w:t>{</w:t>
      </w:r>
      <w:r w:rsidR="009C32A0">
        <w:rPr>
          <w:rFonts w:hint="cs"/>
          <w:rtl/>
        </w:rPr>
        <w:t>لَكِنَّ هُوَ اللَّهُ رَبِّي وَلَا أُشْرِكُ بِرَبِّي أَحَدًا</w:t>
      </w:r>
      <w:r>
        <w:rPr>
          <w:rFonts w:hint="cs"/>
          <w:rtl/>
        </w:rPr>
        <w:t>}</w:t>
      </w:r>
      <w:r w:rsidR="009C32A0">
        <w:rPr>
          <w:rFonts w:hint="cs"/>
          <w:rtl/>
        </w:rPr>
        <w:t xml:space="preserve"> </w:t>
      </w:r>
      <w:r>
        <w:rPr>
          <w:rFonts w:hint="cs"/>
          <w:rtl/>
        </w:rPr>
        <w:t>[</w:t>
      </w:r>
      <w:r w:rsidR="009C32A0">
        <w:rPr>
          <w:rFonts w:hint="cs"/>
          <w:rtl/>
        </w:rPr>
        <w:t>الكهف</w:t>
      </w:r>
      <w:r>
        <w:rPr>
          <w:rFonts w:hint="cs"/>
          <w:rtl/>
        </w:rPr>
        <w:t>:</w:t>
      </w:r>
      <w:r w:rsidR="009C32A0">
        <w:rPr>
          <w:rFonts w:hint="cs"/>
          <w:rtl/>
        </w:rPr>
        <w:t xml:space="preserve"> 38</w:t>
      </w:r>
      <w:r>
        <w:rPr>
          <w:rFonts w:hint="cs"/>
          <w:rtl/>
        </w:rPr>
        <w:t>]،</w:t>
      </w:r>
      <w:r w:rsidR="009C32A0">
        <w:rPr>
          <w:rFonts w:hint="cs"/>
          <w:rtl/>
        </w:rPr>
        <w:t xml:space="preserve"> وقوله تعالى </w:t>
      </w:r>
      <w:r>
        <w:rPr>
          <w:rFonts w:hint="cs"/>
          <w:rtl/>
        </w:rPr>
        <w:t>{</w:t>
      </w:r>
      <w:r w:rsidR="009C32A0">
        <w:rPr>
          <w:rFonts w:hint="cs"/>
          <w:rtl/>
        </w:rPr>
        <w:t>وَيَقُولُ يَا لَيْتَنِي لَمْ أُشْرِكْ بِرَبِّي أَحَدًا</w:t>
      </w:r>
      <w:r>
        <w:rPr>
          <w:rFonts w:hint="cs"/>
          <w:rtl/>
        </w:rPr>
        <w:t>}</w:t>
      </w:r>
      <w:r w:rsidR="009C32A0">
        <w:rPr>
          <w:rFonts w:hint="cs"/>
          <w:rtl/>
        </w:rPr>
        <w:t xml:space="preserve"> </w:t>
      </w:r>
      <w:r>
        <w:rPr>
          <w:rFonts w:hint="cs"/>
          <w:rtl/>
        </w:rPr>
        <w:t>[</w:t>
      </w:r>
      <w:r w:rsidR="009C32A0">
        <w:rPr>
          <w:rFonts w:hint="cs"/>
          <w:rtl/>
        </w:rPr>
        <w:t>الكهف</w:t>
      </w:r>
      <w:r>
        <w:rPr>
          <w:rFonts w:hint="cs"/>
          <w:rtl/>
        </w:rPr>
        <w:t>:</w:t>
      </w:r>
      <w:r w:rsidR="009C32A0">
        <w:rPr>
          <w:rFonts w:hint="cs"/>
          <w:rtl/>
        </w:rPr>
        <w:t xml:space="preserve"> 42</w:t>
      </w:r>
      <w:r>
        <w:rPr>
          <w:rFonts w:hint="cs"/>
          <w:rtl/>
        </w:rPr>
        <w:t>]،</w:t>
      </w:r>
      <w:r w:rsidR="009C32A0">
        <w:rPr>
          <w:rFonts w:hint="cs"/>
          <w:rtl/>
        </w:rPr>
        <w:t xml:space="preserve"> وقوله تعالى </w:t>
      </w:r>
      <w:r>
        <w:rPr>
          <w:rFonts w:hint="cs"/>
          <w:rtl/>
        </w:rPr>
        <w:t>{</w:t>
      </w:r>
      <w:r w:rsidR="009C32A0">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hint="cs"/>
          <w:rtl/>
        </w:rPr>
        <w:t>}[</w:t>
      </w:r>
      <w:r w:rsidR="009C32A0">
        <w:rPr>
          <w:rFonts w:hint="cs"/>
          <w:rtl/>
        </w:rPr>
        <w:t>يوسف</w:t>
      </w:r>
      <w:r>
        <w:rPr>
          <w:rFonts w:hint="cs"/>
          <w:rtl/>
        </w:rPr>
        <w:t>:</w:t>
      </w:r>
      <w:r w:rsidR="009C32A0">
        <w:rPr>
          <w:rFonts w:hint="cs"/>
          <w:rtl/>
        </w:rPr>
        <w:t xml:space="preserve"> 39</w:t>
      </w:r>
      <w:r>
        <w:rPr>
          <w:rFonts w:hint="cs"/>
          <w:rtl/>
        </w:rPr>
        <w:t>،</w:t>
      </w:r>
      <w:r w:rsidR="009C32A0">
        <w:rPr>
          <w:rFonts w:hint="cs"/>
          <w:rtl/>
        </w:rPr>
        <w:t xml:space="preserve"> 40</w:t>
      </w:r>
      <w:r>
        <w:rPr>
          <w:rFonts w:hint="cs"/>
          <w:rtl/>
        </w:rPr>
        <w:t>]،</w:t>
      </w:r>
      <w:r w:rsidR="009C32A0">
        <w:rPr>
          <w:rFonts w:hint="cs"/>
          <w:rtl/>
        </w:rPr>
        <w:t xml:space="preserve"> وقوله تعالى </w:t>
      </w:r>
      <w:r>
        <w:rPr>
          <w:rFonts w:hint="cs"/>
          <w:rtl/>
        </w:rPr>
        <w:t>{</w:t>
      </w:r>
      <w:r w:rsidR="009C32A0">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hint="cs"/>
          <w:rtl/>
        </w:rPr>
        <w:t>}</w:t>
      </w:r>
      <w:r w:rsidR="009C32A0">
        <w:rPr>
          <w:rFonts w:hint="cs"/>
          <w:rtl/>
        </w:rPr>
        <w:t xml:space="preserve"> [آل عمران</w:t>
      </w:r>
      <w:r>
        <w:rPr>
          <w:rFonts w:hint="cs"/>
          <w:rtl/>
        </w:rPr>
        <w:t>:</w:t>
      </w:r>
      <w:r w:rsidR="009C32A0">
        <w:rPr>
          <w:rFonts w:hint="cs"/>
          <w:rtl/>
        </w:rPr>
        <w:t xml:space="preserve"> 64</w:t>
      </w:r>
      <w:r>
        <w:rPr>
          <w:rFonts w:hint="cs"/>
          <w:rtl/>
        </w:rPr>
        <w:t>]،</w:t>
      </w:r>
      <w:r w:rsidR="009C32A0">
        <w:rPr>
          <w:rFonts w:hint="cs"/>
          <w:rtl/>
        </w:rPr>
        <w:t xml:space="preserve"> وقوله تعالى </w:t>
      </w:r>
      <w:r>
        <w:rPr>
          <w:rFonts w:hint="cs"/>
          <w:rtl/>
        </w:rPr>
        <w:t>{</w:t>
      </w:r>
      <w:r w:rsidR="009C32A0">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hint="cs"/>
          <w:rtl/>
        </w:rPr>
        <w:t>}</w:t>
      </w:r>
      <w:r w:rsidR="009C32A0">
        <w:rPr>
          <w:rFonts w:hint="cs"/>
          <w:rtl/>
        </w:rPr>
        <w:t xml:space="preserve"> </w:t>
      </w:r>
      <w:r>
        <w:rPr>
          <w:rFonts w:hint="cs"/>
          <w:rtl/>
        </w:rPr>
        <w:t>[</w:t>
      </w:r>
      <w:r w:rsidR="009C32A0">
        <w:rPr>
          <w:rFonts w:hint="cs"/>
          <w:rtl/>
        </w:rPr>
        <w:t>آل عمران</w:t>
      </w:r>
      <w:r>
        <w:rPr>
          <w:rFonts w:hint="cs"/>
          <w:rtl/>
        </w:rPr>
        <w:t>:</w:t>
      </w:r>
      <w:r w:rsidR="009C32A0">
        <w:rPr>
          <w:rFonts w:hint="cs"/>
          <w:rtl/>
        </w:rPr>
        <w:t xml:space="preserve"> 79</w:t>
      </w:r>
      <w:r>
        <w:rPr>
          <w:rFonts w:hint="cs"/>
          <w:rtl/>
        </w:rPr>
        <w:t>،</w:t>
      </w:r>
      <w:r w:rsidR="009C32A0">
        <w:rPr>
          <w:rFonts w:hint="cs"/>
          <w:rtl/>
        </w:rPr>
        <w:t xml:space="preserve"> 80</w:t>
      </w:r>
      <w:r>
        <w:rPr>
          <w:rFonts w:hint="cs"/>
          <w:rtl/>
        </w:rPr>
        <w:t>]،</w:t>
      </w:r>
      <w:r w:rsidR="009C32A0">
        <w:rPr>
          <w:rFonts w:hint="cs"/>
          <w:rtl/>
        </w:rPr>
        <w:t xml:space="preserve"> وقوله تعالى </w:t>
      </w:r>
      <w:r>
        <w:rPr>
          <w:rFonts w:hint="cs"/>
          <w:rtl/>
        </w:rPr>
        <w:t>{</w:t>
      </w:r>
      <w:r w:rsidR="009C32A0">
        <w:rPr>
          <w:rFonts w:hint="cs"/>
          <w:rtl/>
        </w:rPr>
        <w:t>اتَّخَذُوا أَحْبَارَهُمْ وَرُهْبَانَهُمْ أَرْبَابًا مِنْ دُونِ اللَّهِ وَالْمَسِيحَ بْنَ مَرْيَمَ وَمَا أُمِرُوا إِلَّا لِيَعْبُدُوا إِلَهًا وَاحِدًا لَا إِلَهَ إِلَّا هُوَ سُبْحَانَهُ عَمَّا يُشْرِكُونَ</w:t>
      </w:r>
      <w:r>
        <w:rPr>
          <w:rFonts w:hint="cs"/>
          <w:rtl/>
        </w:rPr>
        <w:t>}[</w:t>
      </w:r>
      <w:r w:rsidR="009C32A0">
        <w:rPr>
          <w:rFonts w:hint="cs"/>
          <w:rtl/>
        </w:rPr>
        <w:t>التوبة</w:t>
      </w:r>
      <w:r>
        <w:rPr>
          <w:rFonts w:hint="cs"/>
          <w:rtl/>
        </w:rPr>
        <w:t>:</w:t>
      </w:r>
      <w:r w:rsidR="009C32A0">
        <w:rPr>
          <w:rFonts w:hint="cs"/>
          <w:rtl/>
        </w:rPr>
        <w:t xml:space="preserve"> 31</w:t>
      </w:r>
      <w:r>
        <w:rPr>
          <w:rFonts w:hint="cs"/>
          <w:rtl/>
        </w:rPr>
        <w:t>]،</w:t>
      </w:r>
      <w:r w:rsidR="009C32A0">
        <w:rPr>
          <w:rFonts w:hint="cs"/>
          <w:rtl/>
        </w:rPr>
        <w:t xml:space="preserve"> وقوله تعالى </w:t>
      </w:r>
      <w:r>
        <w:rPr>
          <w:rFonts w:hint="cs"/>
          <w:rtl/>
        </w:rPr>
        <w:t>{</w:t>
      </w:r>
      <w:r w:rsidR="009C32A0">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9C32A0">
        <w:rPr>
          <w:rFonts w:hint="cs"/>
          <w:rtl/>
        </w:rPr>
        <w:t>الأنعام</w:t>
      </w:r>
      <w:r>
        <w:rPr>
          <w:rFonts w:hint="cs"/>
          <w:rtl/>
        </w:rPr>
        <w:t>:</w:t>
      </w:r>
      <w:r w:rsidR="009C32A0">
        <w:rPr>
          <w:rFonts w:hint="cs"/>
          <w:rtl/>
        </w:rPr>
        <w:t xml:space="preserve"> 164</w:t>
      </w:r>
      <w:r>
        <w:rPr>
          <w:rFonts w:hint="cs"/>
          <w:rtl/>
        </w:rPr>
        <w:t>]،</w:t>
      </w:r>
      <w:r w:rsidR="009C32A0">
        <w:rPr>
          <w:rFonts w:hint="cs"/>
          <w:rtl/>
        </w:rPr>
        <w:t xml:space="preserve"> وعلى ذلك فإنّ أنواع الشرك في الربوبية كثيرة منها</w:t>
      </w:r>
      <w:r>
        <w:rPr>
          <w:rFonts w:hint="cs"/>
          <w:rtl/>
        </w:rPr>
        <w:t>:</w:t>
      </w:r>
      <w:r w:rsidR="009C32A0">
        <w:rPr>
          <w:rFonts w:hint="cs"/>
          <w:rtl/>
        </w:rPr>
        <w:t xml:space="preserve"> من اعتقد أن غير الله شريك مع الله في شيء من الخلق والرزق</w:t>
      </w:r>
      <w:r>
        <w:rPr>
          <w:rFonts w:hint="cs"/>
          <w:rtl/>
        </w:rPr>
        <w:t>،</w:t>
      </w:r>
      <w:r w:rsidR="009C32A0">
        <w:rPr>
          <w:rFonts w:hint="cs"/>
          <w:rtl/>
        </w:rPr>
        <w:t xml:space="preserve"> ومن اعتقد أن غير الله شريك مع الله في شيء من تدبير الكون والتصريف</w:t>
      </w:r>
      <w:r>
        <w:rPr>
          <w:rFonts w:hint="cs"/>
          <w:rtl/>
        </w:rPr>
        <w:t>،</w:t>
      </w:r>
      <w:r w:rsidR="009C32A0">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9C32A0">
        <w:rPr>
          <w:rFonts w:hint="cs"/>
          <w:rtl/>
        </w:rPr>
        <w:t>والإضلال</w:t>
      </w:r>
      <w:r>
        <w:rPr>
          <w:rFonts w:hint="cs"/>
          <w:rtl/>
        </w:rPr>
        <w:t>،</w:t>
      </w:r>
      <w:r w:rsidR="009C32A0">
        <w:rPr>
          <w:rFonts w:hint="cs"/>
          <w:rtl/>
        </w:rPr>
        <w:t xml:space="preserve"> ومن اعتقد أن غير الله شريك مع الله في شيء من الحكم والأمر والتشريع والتحليل والتحريم</w:t>
      </w:r>
      <w:r>
        <w:rPr>
          <w:rFonts w:hint="cs"/>
          <w:rtl/>
        </w:rPr>
        <w:t>،</w:t>
      </w:r>
      <w:r w:rsidR="009C32A0">
        <w:rPr>
          <w:rFonts w:hint="cs"/>
          <w:rtl/>
        </w:rPr>
        <w:t xml:space="preserve"> ومن اعتقد أن أحدا يستطيع الشفاعة عند الله على سبيل الاستقلال أو الحق الجبري على الله</w:t>
      </w:r>
      <w:r>
        <w:rPr>
          <w:rFonts w:hint="cs"/>
          <w:rtl/>
        </w:rPr>
        <w:t>،</w:t>
      </w:r>
      <w:r w:rsidR="009C32A0">
        <w:rPr>
          <w:rFonts w:hint="cs"/>
          <w:rtl/>
        </w:rPr>
        <w:t xml:space="preserve"> وتوحيد العبادة</w:t>
      </w:r>
      <w:r>
        <w:rPr>
          <w:rFonts w:hint="cs"/>
          <w:rtl/>
        </w:rPr>
        <w:t>:</w:t>
      </w:r>
      <w:r w:rsidR="009C32A0">
        <w:rPr>
          <w:rFonts w:hint="cs"/>
          <w:rtl/>
        </w:rPr>
        <w:t xml:space="preserve"> معناه اعتقاد استحقاق الله تعالى للعبادة وحده لأنّه </w:t>
      </w:r>
      <w:r w:rsidR="009C32A0">
        <w:rPr>
          <w:rFonts w:hint="cs"/>
          <w:rtl/>
        </w:rPr>
        <w:lastRenderedPageBreak/>
        <w:t>هو الرب الإله الحق</w:t>
      </w:r>
      <w:r>
        <w:rPr>
          <w:rFonts w:hint="cs"/>
          <w:rtl/>
        </w:rPr>
        <w:t>،</w:t>
      </w:r>
      <w:r w:rsidR="009C32A0">
        <w:rPr>
          <w:rFonts w:hint="cs"/>
          <w:rtl/>
        </w:rPr>
        <w:t xml:space="preserve"> فلا تصرف العبادات إلا إليه</w:t>
      </w:r>
      <w:r>
        <w:rPr>
          <w:rFonts w:hint="cs"/>
          <w:rtl/>
        </w:rPr>
        <w:t>،</w:t>
      </w:r>
      <w:r w:rsidR="009C32A0">
        <w:rPr>
          <w:rFonts w:hint="cs"/>
          <w:rtl/>
        </w:rPr>
        <w:t xml:space="preserve"> </w:t>
      </w:r>
      <w:r w:rsidR="009C32A0">
        <w:rPr>
          <w:rFonts w:hint="cs"/>
          <w:rtl/>
          <w:lang w:bidi="ar-KW"/>
        </w:rPr>
        <w:t>وعمدة هذا التوحيد قوله تعالى</w:t>
      </w:r>
      <w:r>
        <w:rPr>
          <w:rFonts w:hint="cs"/>
          <w:rtl/>
          <w:lang w:bidi="ar-KW"/>
        </w:rPr>
        <w:t>:</w:t>
      </w:r>
      <w:r w:rsidR="009C32A0">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hint="cs"/>
          <w:rtl/>
          <w:lang w:bidi="ar-KW"/>
        </w:rPr>
        <w:t>[</w:t>
      </w:r>
      <w:r w:rsidR="009C32A0">
        <w:rPr>
          <w:rFonts w:hint="cs"/>
          <w:rtl/>
          <w:lang w:bidi="ar-KW"/>
        </w:rPr>
        <w:t>آل عمران</w:t>
      </w:r>
      <w:r>
        <w:rPr>
          <w:rFonts w:hint="cs"/>
          <w:rtl/>
          <w:lang w:bidi="ar-KW"/>
        </w:rPr>
        <w:t>:</w:t>
      </w:r>
      <w:r w:rsidR="009C32A0">
        <w:rPr>
          <w:rFonts w:hint="cs"/>
          <w:rtl/>
          <w:lang w:bidi="ar-KW"/>
        </w:rPr>
        <w:t xml:space="preserve"> 64</w:t>
      </w:r>
      <w:r>
        <w:rPr>
          <w:rFonts w:hint="cs"/>
          <w:rtl/>
          <w:lang w:bidi="ar-KW"/>
        </w:rPr>
        <w:t>]،</w:t>
      </w:r>
      <w:r w:rsidR="009C32A0">
        <w:rPr>
          <w:rFonts w:hint="cs"/>
          <w:rtl/>
          <w:lang w:bidi="ar-KW"/>
        </w:rPr>
        <w:t xml:space="preserve"> </w:t>
      </w:r>
      <w:r w:rsidR="009C32A0">
        <w:rPr>
          <w:rFonts w:hint="cs"/>
          <w:rtl/>
        </w:rPr>
        <w:t xml:space="preserve">وقوله تعالى </w:t>
      </w:r>
      <w:r>
        <w:rPr>
          <w:rFonts w:hint="cs"/>
          <w:rtl/>
        </w:rPr>
        <w:t>{</w:t>
      </w:r>
      <w:r w:rsidR="009C32A0">
        <w:rPr>
          <w:rFonts w:hint="cs"/>
          <w:rtl/>
        </w:rPr>
        <w:t>وَلَقَدْ بَعَثْنَا فِي كُلِّ أُمَّةٍ رَسُولًا أَنِ اعْبُدُوا اللَّهَ وَاجْتَنِبُوا الطَّاغُوتَ</w:t>
      </w:r>
      <w:r>
        <w:rPr>
          <w:rFonts w:hint="cs"/>
          <w:rtl/>
        </w:rPr>
        <w:t>}</w:t>
      </w:r>
      <w:r w:rsidR="009C32A0">
        <w:rPr>
          <w:rFonts w:hint="cs"/>
          <w:rtl/>
        </w:rPr>
        <w:t xml:space="preserve"> </w:t>
      </w:r>
      <w:r>
        <w:rPr>
          <w:rFonts w:hint="cs"/>
          <w:rtl/>
        </w:rPr>
        <w:t>[</w:t>
      </w:r>
      <w:r w:rsidR="009C32A0">
        <w:rPr>
          <w:rFonts w:hint="cs"/>
          <w:rtl/>
        </w:rPr>
        <w:t>النحل</w:t>
      </w:r>
      <w:r>
        <w:rPr>
          <w:rFonts w:hint="cs"/>
          <w:rtl/>
        </w:rPr>
        <w:t>:</w:t>
      </w:r>
      <w:r w:rsidR="009C32A0">
        <w:rPr>
          <w:rFonts w:hint="cs"/>
          <w:rtl/>
        </w:rPr>
        <w:t xml:space="preserve"> 36</w:t>
      </w:r>
      <w:r>
        <w:rPr>
          <w:rFonts w:hint="cs"/>
          <w:rtl/>
        </w:rPr>
        <w:t>]،</w:t>
      </w:r>
      <w:r w:rsidR="009C32A0">
        <w:rPr>
          <w:rFonts w:hint="cs"/>
          <w:rtl/>
        </w:rPr>
        <w:t xml:space="preserve"> وقوله تعالى </w:t>
      </w:r>
      <w:r>
        <w:rPr>
          <w:rFonts w:hint="cs"/>
          <w:rtl/>
        </w:rPr>
        <w:t>{</w:t>
      </w:r>
      <w:r w:rsidR="009C32A0">
        <w:rPr>
          <w:rFonts w:hint="cs"/>
          <w:rtl/>
        </w:rPr>
        <w:t>وَمَا خَلَقْتُ الْجِنَّ وَالْإِنْسَ إِلَّا لِيَعْبُدُونِ</w:t>
      </w:r>
      <w:r>
        <w:rPr>
          <w:rFonts w:hint="cs"/>
          <w:rtl/>
        </w:rPr>
        <w:t>}</w:t>
      </w:r>
      <w:r w:rsidR="009C32A0">
        <w:rPr>
          <w:rFonts w:hint="cs"/>
          <w:rtl/>
        </w:rPr>
        <w:t xml:space="preserve"> </w:t>
      </w:r>
      <w:r>
        <w:rPr>
          <w:rFonts w:hint="cs"/>
          <w:rtl/>
        </w:rPr>
        <w:t>[</w:t>
      </w:r>
      <w:r w:rsidR="009C32A0">
        <w:rPr>
          <w:rFonts w:hint="cs"/>
          <w:rtl/>
        </w:rPr>
        <w:t>الذاريات</w:t>
      </w:r>
      <w:r>
        <w:rPr>
          <w:rFonts w:hint="cs"/>
          <w:rtl/>
        </w:rPr>
        <w:t>:</w:t>
      </w:r>
      <w:r w:rsidR="009C32A0">
        <w:rPr>
          <w:rFonts w:hint="cs"/>
          <w:rtl/>
        </w:rPr>
        <w:t xml:space="preserve"> 56</w:t>
      </w:r>
      <w:r>
        <w:rPr>
          <w:rFonts w:hint="cs"/>
          <w:rtl/>
        </w:rPr>
        <w:t>]،</w:t>
      </w:r>
      <w:r w:rsidR="009C32A0">
        <w:rPr>
          <w:rFonts w:hint="cs"/>
          <w:rtl/>
        </w:rPr>
        <w:t xml:space="preserve"> وقوله تعالى </w:t>
      </w:r>
      <w:r>
        <w:rPr>
          <w:rFonts w:hint="cs"/>
          <w:rtl/>
        </w:rPr>
        <w:t>{</w:t>
      </w:r>
      <w:r w:rsidR="009C32A0">
        <w:rPr>
          <w:rFonts w:hint="cs"/>
          <w:rtl/>
        </w:rPr>
        <w:t>وَمَا أُمِرُوا إِلَّا لِيَعْبُدُوا إِلَهًا وَاحِدًا لَا إِلَهَ إِلَّا هُوَ سُبْحَانَهُ عَمَّا يُشْرِكُونَ</w:t>
      </w:r>
      <w:r>
        <w:rPr>
          <w:rFonts w:hint="cs"/>
          <w:rtl/>
        </w:rPr>
        <w:t>}</w:t>
      </w:r>
      <w:r w:rsidR="009C32A0">
        <w:rPr>
          <w:rFonts w:hint="cs"/>
          <w:rtl/>
        </w:rPr>
        <w:t xml:space="preserve"> </w:t>
      </w:r>
      <w:r>
        <w:rPr>
          <w:rFonts w:hint="cs"/>
          <w:rtl/>
        </w:rPr>
        <w:t>[</w:t>
      </w:r>
      <w:r w:rsidR="009C32A0">
        <w:rPr>
          <w:rFonts w:hint="cs"/>
          <w:rtl/>
        </w:rPr>
        <w:t>التوبة</w:t>
      </w:r>
      <w:r>
        <w:rPr>
          <w:rFonts w:hint="cs"/>
          <w:rtl/>
        </w:rPr>
        <w:t>:</w:t>
      </w:r>
      <w:r w:rsidR="009C32A0">
        <w:rPr>
          <w:rFonts w:hint="cs"/>
          <w:rtl/>
        </w:rPr>
        <w:t xml:space="preserve"> 31</w:t>
      </w:r>
      <w:r>
        <w:rPr>
          <w:rFonts w:hint="cs"/>
          <w:rtl/>
        </w:rPr>
        <w:t>]،</w:t>
      </w:r>
      <w:r w:rsidR="009C32A0">
        <w:rPr>
          <w:rFonts w:hint="cs"/>
          <w:rtl/>
        </w:rPr>
        <w:t xml:space="preserve"> والشرك الأكبر المناقض لتوحيد العبادة</w:t>
      </w:r>
      <w:r>
        <w:rPr>
          <w:rFonts w:hint="cs"/>
          <w:rtl/>
        </w:rPr>
        <w:t>:</w:t>
      </w:r>
      <w:r w:rsidR="009C32A0">
        <w:rPr>
          <w:rFonts w:hint="cs"/>
          <w:rtl/>
        </w:rPr>
        <w:t xml:space="preserve"> يتمثل في صرف العبادة إلى غير الله مع اعتقاد وجود نوع من شراكته مع الله في شيء الربوبية أو الألوهية</w:t>
      </w:r>
      <w:r>
        <w:rPr>
          <w:rFonts w:hint="cs"/>
          <w:rtl/>
        </w:rPr>
        <w:t>،</w:t>
      </w:r>
      <w:r w:rsidR="009C32A0">
        <w:rPr>
          <w:rFonts w:hint="cs"/>
          <w:rtl/>
        </w:rPr>
        <w:t xml:space="preserve"> كأن يعتقد فيه نوع من التدبير والتصريف باستقلال عن الله</w:t>
      </w:r>
      <w:r>
        <w:rPr>
          <w:rFonts w:hint="cs"/>
          <w:rtl/>
        </w:rPr>
        <w:t>،</w:t>
      </w:r>
      <w:r w:rsidR="009C32A0">
        <w:rPr>
          <w:rFonts w:hint="cs"/>
          <w:rtl/>
        </w:rPr>
        <w:t xml:space="preserve"> أو شفاعة ملزمة على الله</w:t>
      </w:r>
      <w:r>
        <w:rPr>
          <w:rFonts w:hint="cs"/>
          <w:rtl/>
        </w:rPr>
        <w:t>،</w:t>
      </w:r>
      <w:r w:rsidR="009C32A0">
        <w:rPr>
          <w:rFonts w:hint="cs"/>
          <w:rtl/>
        </w:rPr>
        <w:t xml:space="preserve"> أو استحقاق أن يعبد من دون الله</w:t>
      </w:r>
      <w:r>
        <w:rPr>
          <w:rFonts w:hint="cs"/>
          <w:rtl/>
        </w:rPr>
        <w:t>،</w:t>
      </w:r>
      <w:r w:rsidR="009C32A0">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Pr>
          <w:rFonts w:hint="cs"/>
          <w:rtl/>
        </w:rPr>
        <w:t>،</w:t>
      </w:r>
      <w:r w:rsidR="009C32A0">
        <w:rPr>
          <w:rFonts w:hint="cs"/>
          <w:rtl/>
        </w:rPr>
        <w:t xml:space="preserve"> وأتى بالشرك الأكبر الناقض لأصل التوحيد</w:t>
      </w:r>
      <w:r>
        <w:rPr>
          <w:rFonts w:hint="cs"/>
          <w:rtl/>
        </w:rPr>
        <w:t>،</w:t>
      </w:r>
      <w:r w:rsidR="009C32A0">
        <w:rPr>
          <w:rFonts w:hint="cs"/>
          <w:rtl/>
        </w:rPr>
        <w:t xml:space="preserve"> وهو الشرك الأكبر الذي لا يغفره الله لمن مات مصراً عليه</w:t>
      </w:r>
      <w:r>
        <w:rPr>
          <w:rFonts w:hint="cs"/>
          <w:rtl/>
        </w:rPr>
        <w:t>،</w:t>
      </w:r>
      <w:r w:rsidR="009C32A0">
        <w:rPr>
          <w:rFonts w:hint="cs"/>
          <w:rtl/>
        </w:rPr>
        <w:t xml:space="preserve"> ومن صرفها بغير اعتقاد الشراكة مع الله تعالى في أي من صفات الربوبية أو الألوهية</w:t>
      </w:r>
      <w:r>
        <w:rPr>
          <w:rFonts w:hint="cs"/>
          <w:rtl/>
        </w:rPr>
        <w:t>،</w:t>
      </w:r>
      <w:r w:rsidR="009C32A0">
        <w:rPr>
          <w:rFonts w:hint="cs"/>
          <w:rtl/>
        </w:rPr>
        <w:t xml:space="preserve"> فقد أتي بالشرك العملي الناقض للتوحيد الواجب</w:t>
      </w:r>
      <w:r>
        <w:rPr>
          <w:rFonts w:hint="cs"/>
          <w:rtl/>
        </w:rPr>
        <w:t>،</w:t>
      </w:r>
      <w:r w:rsidR="009C32A0">
        <w:rPr>
          <w:rFonts w:hint="cs"/>
          <w:rtl/>
        </w:rPr>
        <w:t xml:space="preserve"> ووجب عليه التوبة إلى الله وتصحيح التوحيد بإفراد الله تعالى بمفردات العبادة وصورها التي لا ينبغي أن تصرف إلا لله</w:t>
      </w:r>
      <w:r>
        <w:rPr>
          <w:rFonts w:hint="cs"/>
          <w:rtl/>
        </w:rPr>
        <w:t>،</w:t>
      </w:r>
      <w:r w:rsidR="009C32A0">
        <w:rPr>
          <w:rFonts w:hint="cs"/>
          <w:rtl/>
        </w:rPr>
        <w:t xml:space="preserve"> </w:t>
      </w:r>
      <w:r>
        <w:rPr>
          <w:rFonts w:hint="cs"/>
          <w:rtl/>
        </w:rPr>
        <w:t>(</w:t>
      </w:r>
      <w:r w:rsidR="009C32A0">
        <w:rPr>
          <w:rFonts w:hint="cs"/>
          <w:rtl/>
        </w:rPr>
        <w:t>ب</w:t>
      </w:r>
      <w:r>
        <w:rPr>
          <w:rFonts w:hint="cs"/>
          <w:rtl/>
        </w:rPr>
        <w:t>)</w:t>
      </w:r>
      <w:r w:rsidR="009C32A0">
        <w:rPr>
          <w:rFonts w:hint="cs"/>
          <w:rtl/>
        </w:rPr>
        <w:t xml:space="preserve"> أما تنزيه الله تعالى عن الوزير والناصر والمعين لكمال غناه وقهره</w:t>
      </w:r>
      <w:r>
        <w:rPr>
          <w:rFonts w:hint="cs"/>
          <w:rtl/>
        </w:rPr>
        <w:t>،</w:t>
      </w:r>
      <w:r w:rsidR="009C32A0">
        <w:rPr>
          <w:rFonts w:hint="cs"/>
          <w:rtl/>
        </w:rPr>
        <w:t xml:space="preserve"> فالأدلة عليه كثيرة منها قوله تعالى</w:t>
      </w:r>
      <w:r>
        <w:rPr>
          <w:rFonts w:hint="cs"/>
          <w:rtl/>
        </w:rPr>
        <w:t>:</w:t>
      </w:r>
      <w:r w:rsidR="009C32A0">
        <w:rPr>
          <w:rFonts w:hint="cs"/>
          <w:rtl/>
        </w:rPr>
        <w:t xml:space="preserve"> </w:t>
      </w:r>
      <w:r>
        <w:rPr>
          <w:rFonts w:hint="cs"/>
          <w:rtl/>
        </w:rPr>
        <w:t>{</w:t>
      </w:r>
      <w:r w:rsidR="009C32A0">
        <w:rPr>
          <w:rFonts w:hint="cs"/>
          <w:rtl/>
        </w:rPr>
        <w:t>وَقُلِ الْحَمْدُ لِلّهِ الَّذِي لَمْ يَتَّخِذْ وَلَداً وَلَم يَكُن لَّهُ شَرِيكٌ فِي الْمُلْكِ وَلَمْ يَكُن لَّهُ وَلِيٌّ مِّنَ الذُّلَّ وَكَبِّرْهُ تَكْبِيراً</w:t>
      </w:r>
      <w:r>
        <w:rPr>
          <w:rFonts w:hint="cs"/>
          <w:rtl/>
        </w:rPr>
        <w:t>}</w:t>
      </w:r>
      <w:r w:rsidR="009C32A0">
        <w:rPr>
          <w:rFonts w:hint="cs"/>
          <w:rtl/>
        </w:rPr>
        <w:t xml:space="preserve"> [الإسراء 111]</w:t>
      </w:r>
      <w:r>
        <w:rPr>
          <w:rFonts w:hint="cs"/>
          <w:rtl/>
        </w:rPr>
        <w:t>،</w:t>
      </w:r>
      <w:r w:rsidR="009C32A0">
        <w:rPr>
          <w:rFonts w:hint="cs"/>
          <w:rtl/>
        </w:rPr>
        <w:t xml:space="preserve"> فالله تعالى لم يتخذ ولدا ولم يكن له شريك في الملك</w:t>
      </w:r>
      <w:r>
        <w:rPr>
          <w:rFonts w:hint="cs"/>
          <w:rtl/>
        </w:rPr>
        <w:t>،</w:t>
      </w:r>
      <w:r w:rsidR="009C32A0">
        <w:rPr>
          <w:rFonts w:hint="cs"/>
          <w:rtl/>
        </w:rPr>
        <w:t xml:space="preserve"> ثم قال تعالى</w:t>
      </w:r>
      <w:r>
        <w:rPr>
          <w:rFonts w:hint="cs"/>
          <w:rtl/>
        </w:rPr>
        <w:t>:</w:t>
      </w:r>
      <w:r w:rsidR="009C32A0">
        <w:rPr>
          <w:rFonts w:hint="cs"/>
          <w:rtl/>
        </w:rPr>
        <w:t xml:space="preserve"> </w:t>
      </w:r>
      <w:r>
        <w:rPr>
          <w:rFonts w:hint="cs"/>
          <w:rtl/>
        </w:rPr>
        <w:t>{</w:t>
      </w:r>
      <w:r w:rsidR="009C32A0">
        <w:rPr>
          <w:rFonts w:hint="cs"/>
          <w:rtl/>
        </w:rPr>
        <w:t>وَلَمْ يَكُن لَّهُ وَلِيٌّ مِّنَ الذُّلَّ</w:t>
      </w:r>
      <w:r>
        <w:rPr>
          <w:rFonts w:hint="cs"/>
          <w:rtl/>
        </w:rPr>
        <w:t>}،</w:t>
      </w:r>
      <w:r w:rsidR="009C32A0">
        <w:rPr>
          <w:rFonts w:hint="cs"/>
          <w:rtl/>
        </w:rPr>
        <w:t xml:space="preserve"> أي ولم يكن له ناصر ولا وزير ولا معين يعينه</w:t>
      </w:r>
      <w:r>
        <w:rPr>
          <w:rFonts w:hint="cs"/>
          <w:rtl/>
        </w:rPr>
        <w:t xml:space="preserve"> </w:t>
      </w:r>
      <w:r w:rsidR="009C32A0">
        <w:rPr>
          <w:rFonts w:hint="cs"/>
          <w:rtl/>
        </w:rPr>
        <w:t>من ضعف وعجز</w:t>
      </w:r>
      <w:r>
        <w:rPr>
          <w:rFonts w:hint="cs"/>
          <w:rtl/>
        </w:rPr>
        <w:t xml:space="preserve"> </w:t>
      </w:r>
      <w:r w:rsidR="009C32A0">
        <w:rPr>
          <w:rFonts w:hint="cs"/>
          <w:rtl/>
        </w:rPr>
        <w:t>وذل</w:t>
      </w:r>
      <w:r>
        <w:rPr>
          <w:rFonts w:hint="cs"/>
          <w:rtl/>
        </w:rPr>
        <w:t>،</w:t>
      </w:r>
      <w:r w:rsidR="009C32A0">
        <w:rPr>
          <w:rFonts w:hint="cs"/>
          <w:rtl/>
        </w:rPr>
        <w:t xml:space="preserve"> فيحتاج إلى ناصر</w:t>
      </w:r>
      <w:r>
        <w:rPr>
          <w:rFonts w:hint="cs"/>
          <w:rtl/>
        </w:rPr>
        <w:t>،</w:t>
      </w:r>
      <w:r w:rsidR="009C32A0">
        <w:rPr>
          <w:rFonts w:hint="cs"/>
          <w:rtl/>
        </w:rPr>
        <w:t xml:space="preserve"> ثم قال تعالى</w:t>
      </w:r>
      <w:r>
        <w:rPr>
          <w:rFonts w:hint="cs"/>
          <w:rtl/>
        </w:rPr>
        <w:t>:</w:t>
      </w:r>
      <w:r w:rsidR="009C32A0">
        <w:rPr>
          <w:rFonts w:hint="cs"/>
          <w:rtl/>
        </w:rPr>
        <w:t xml:space="preserve"> </w:t>
      </w:r>
      <w:r>
        <w:rPr>
          <w:rFonts w:hint="cs"/>
          <w:rtl/>
        </w:rPr>
        <w:t>{</w:t>
      </w:r>
      <w:r w:rsidR="009C32A0">
        <w:rPr>
          <w:rFonts w:hint="cs"/>
          <w:rtl/>
        </w:rPr>
        <w:t>وَكَبِّرْهُ تَكْبِيراً</w:t>
      </w:r>
      <w:r>
        <w:rPr>
          <w:rFonts w:hint="cs"/>
          <w:rtl/>
        </w:rPr>
        <w:t>}،</w:t>
      </w:r>
      <w:r w:rsidR="009C32A0">
        <w:rPr>
          <w:rFonts w:hint="cs"/>
          <w:rtl/>
        </w:rPr>
        <w:t xml:space="preserve"> أي عظمه عظمة تامة عن اتخاذ الولد والشريك والوزير والمعين</w:t>
      </w:r>
      <w:r>
        <w:rPr>
          <w:rFonts w:hint="cs"/>
          <w:rtl/>
        </w:rPr>
        <w:t>،</w:t>
      </w:r>
      <w:r w:rsidR="009C32A0">
        <w:rPr>
          <w:rFonts w:hint="cs"/>
          <w:rtl/>
        </w:rPr>
        <w:t xml:space="preserve"> وقوله تعالى</w:t>
      </w:r>
      <w:r>
        <w:rPr>
          <w:rFonts w:hint="cs"/>
          <w:rtl/>
        </w:rPr>
        <w:t>:</w:t>
      </w:r>
      <w:r w:rsidR="009C32A0">
        <w:rPr>
          <w:rFonts w:hint="cs"/>
          <w:rtl/>
        </w:rPr>
        <w:t xml:space="preserve"> </w:t>
      </w:r>
      <w:r>
        <w:rPr>
          <w:rFonts w:hint="cs"/>
          <w:rtl/>
        </w:rPr>
        <w:t>{</w:t>
      </w:r>
      <w:r w:rsidR="009C32A0">
        <w:rPr>
          <w:rFonts w:hint="cs"/>
          <w:rtl/>
        </w:rPr>
        <w:t>قُلِ اللَّهُ أَعْلَمُ بِمَا لَبِثُوا لَهُ غَيْبُ السَّمَاوَاتِ وَالْأَرْضِ أَبْصِرْ بِهِ وَأَسْمِعْ مَا لَهُم مِّن دُونِهِ مِن وَلِيٍّ وَلَا يُشْرِكُ فِي حُكْمِهِ أَحَداً</w:t>
      </w:r>
      <w:r>
        <w:rPr>
          <w:rFonts w:hint="cs"/>
          <w:rtl/>
        </w:rPr>
        <w:t>}</w:t>
      </w:r>
      <w:r w:rsidR="009C32A0">
        <w:rPr>
          <w:rFonts w:hint="cs"/>
          <w:rtl/>
        </w:rPr>
        <w:t xml:space="preserve"> [الكهف 26]</w:t>
      </w:r>
      <w:r>
        <w:rPr>
          <w:rFonts w:hint="cs"/>
          <w:rtl/>
        </w:rPr>
        <w:t>،</w:t>
      </w:r>
      <w:r w:rsidR="009C32A0">
        <w:rPr>
          <w:rFonts w:hint="cs"/>
          <w:rtl/>
        </w:rPr>
        <w:t xml:space="preserve"> {ما لهم</w:t>
      </w:r>
      <w:r>
        <w:rPr>
          <w:rFonts w:hint="cs"/>
          <w:rtl/>
        </w:rPr>
        <w:t xml:space="preserve">} </w:t>
      </w:r>
      <w:r w:rsidR="009C32A0">
        <w:rPr>
          <w:rFonts w:hint="cs"/>
          <w:rtl/>
        </w:rPr>
        <w:t xml:space="preserve">أي لأهل السموات والأرض </w:t>
      </w:r>
      <w:r>
        <w:rPr>
          <w:rFonts w:hint="cs"/>
          <w:rtl/>
        </w:rPr>
        <w:t>{</w:t>
      </w:r>
      <w:r w:rsidR="009C32A0">
        <w:rPr>
          <w:rFonts w:hint="cs"/>
          <w:rtl/>
        </w:rPr>
        <w:t>من دونه من ولي</w:t>
      </w:r>
      <w:r>
        <w:rPr>
          <w:rFonts w:hint="cs"/>
          <w:rtl/>
        </w:rPr>
        <w:t>}</w:t>
      </w:r>
      <w:r w:rsidR="009C32A0">
        <w:rPr>
          <w:rFonts w:hint="cs"/>
          <w:rtl/>
        </w:rPr>
        <w:t xml:space="preserve"> ناصر ومعين لأنه لكمال قدرته غني عن المعين</w:t>
      </w:r>
      <w:r>
        <w:rPr>
          <w:rFonts w:hint="cs"/>
          <w:rtl/>
        </w:rPr>
        <w:t>،</w:t>
      </w:r>
      <w:r w:rsidR="009C32A0">
        <w:rPr>
          <w:rFonts w:hint="cs"/>
          <w:rtl/>
        </w:rPr>
        <w:t xml:space="preserve"> </w:t>
      </w:r>
      <w:r>
        <w:rPr>
          <w:rFonts w:hint="cs"/>
          <w:rtl/>
        </w:rPr>
        <w:t>{</w:t>
      </w:r>
      <w:r w:rsidR="009C32A0">
        <w:rPr>
          <w:rFonts w:hint="cs"/>
          <w:rtl/>
        </w:rPr>
        <w:t>ولا يشرك في حكمه أحدا</w:t>
      </w:r>
      <w:r>
        <w:rPr>
          <w:rFonts w:hint="cs"/>
          <w:rtl/>
        </w:rPr>
        <w:t>}</w:t>
      </w:r>
      <w:r w:rsidR="009C32A0">
        <w:rPr>
          <w:rFonts w:hint="cs"/>
          <w:rtl/>
        </w:rPr>
        <w:t xml:space="preserve"> لأنه غني عن الشريك</w:t>
      </w:r>
      <w:r>
        <w:rPr>
          <w:rFonts w:hint="cs"/>
          <w:rtl/>
        </w:rPr>
        <w:t>،</w:t>
      </w:r>
    </w:p>
    <w:p w14:paraId="3F5787E3" w14:textId="55717C54" w:rsidR="009C32A0" w:rsidRPr="005675B2" w:rsidRDefault="000636C2" w:rsidP="000636C2">
      <w:pPr>
        <w:rPr>
          <w:b/>
          <w:bCs/>
          <w:rtl/>
        </w:rPr>
      </w:pPr>
      <w:r>
        <w:rPr>
          <w:bCs/>
          <w:rtl/>
          <w:lang w:bidi="ar-KW"/>
        </w:rPr>
        <w:t>[</w:t>
      </w:r>
      <w:r w:rsidR="009C32A0">
        <w:rPr>
          <w:bCs/>
          <w:rtl/>
          <w:lang w:bidi="ar-KW"/>
        </w:rPr>
        <w:t>15</w:t>
      </w:r>
      <w:r>
        <w:rPr>
          <w:bCs/>
          <w:rtl/>
          <w:lang w:bidi="ar-KW"/>
        </w:rPr>
        <w:t>]:</w:t>
      </w:r>
      <w:r w:rsidR="009C32A0">
        <w:rPr>
          <w:bCs/>
          <w:rtl/>
          <w:lang w:bidi="ar-KW"/>
        </w:rPr>
        <w:t xml:space="preserve"> القاعدة الخامسة عشرة</w:t>
      </w:r>
      <w:r>
        <w:rPr>
          <w:bCs/>
          <w:rtl/>
          <w:lang w:bidi="ar-KW"/>
        </w:rPr>
        <w:t>:</w:t>
      </w:r>
      <w:r w:rsidR="009C32A0">
        <w:rPr>
          <w:bCs/>
          <w:rtl/>
          <w:lang w:bidi="ar-KW"/>
        </w:rPr>
        <w:t xml:space="preserve"> رؤية الله تعالى في الآخرة</w:t>
      </w:r>
      <w:r>
        <w:rPr>
          <w:bCs/>
          <w:rtl/>
          <w:lang w:bidi="ar-KW"/>
        </w:rPr>
        <w:t>:</w:t>
      </w:r>
      <w:r>
        <w:rPr>
          <w:rFonts w:cs="Monotype Koufi" w:hint="cs"/>
          <w:rtl/>
          <w:lang w:bidi="ar-KW"/>
        </w:rPr>
        <w:t xml:space="preserve"> </w:t>
      </w:r>
      <w:r w:rsidR="009C32A0">
        <w:rPr>
          <w:rtl/>
          <w:lang w:bidi="ar-KW"/>
        </w:rPr>
        <w:t>اتفق أهل السنّة والجماعة على رؤية ذات الله تعالى في الآخرة</w:t>
      </w:r>
      <w:r>
        <w:rPr>
          <w:rtl/>
          <w:lang w:bidi="ar-KW"/>
        </w:rPr>
        <w:t>،</w:t>
      </w:r>
      <w:r w:rsidR="009C32A0">
        <w:rPr>
          <w:rtl/>
          <w:lang w:bidi="ar-KW"/>
        </w:rPr>
        <w:t xml:space="preserve"> وأنها رؤية بغير احاطة</w:t>
      </w:r>
      <w:r>
        <w:rPr>
          <w:rtl/>
          <w:lang w:bidi="ar-KW"/>
        </w:rPr>
        <w:t>،</w:t>
      </w:r>
      <w:r w:rsidR="009C32A0">
        <w:rPr>
          <w:rtl/>
          <w:lang w:bidi="ar-KW"/>
        </w:rPr>
        <w:t xml:space="preserve"> وأنها أعظم نعيم أهل الجنّة</w:t>
      </w:r>
      <w:r>
        <w:rPr>
          <w:rtl/>
          <w:lang w:bidi="ar-KW"/>
        </w:rPr>
        <w:t>،</w:t>
      </w:r>
      <w:r w:rsidR="009C32A0">
        <w:rPr>
          <w:rtl/>
          <w:lang w:bidi="ar-KW"/>
        </w:rPr>
        <w:t xml:space="preserve"> وقولهم هو القول الصحيح الذي دلّ عليه الكتاب والسنّة الصحيحة والعقل الصريح</w:t>
      </w:r>
      <w:r>
        <w:rPr>
          <w:rtl/>
          <w:lang w:bidi="ar-KW"/>
        </w:rPr>
        <w:t>،</w:t>
      </w:r>
      <w:r w:rsidR="009C32A0">
        <w:rPr>
          <w:rtl/>
          <w:lang w:bidi="ar-KW"/>
        </w:rPr>
        <w:t xml:space="preserve"> </w:t>
      </w:r>
      <w:r>
        <w:rPr>
          <w:rtl/>
        </w:rPr>
        <w:t>(</w:t>
      </w:r>
      <w:r w:rsidR="009C32A0">
        <w:rPr>
          <w:rtl/>
        </w:rPr>
        <w:t>1</w:t>
      </w:r>
      <w:r>
        <w:rPr>
          <w:rtl/>
        </w:rPr>
        <w:t>)</w:t>
      </w:r>
      <w:r w:rsidR="009C32A0">
        <w:rPr>
          <w:rtl/>
        </w:rPr>
        <w:t xml:space="preserve"> الأدلة على رؤية الله سبحانه من الكتاب</w:t>
      </w:r>
      <w:r>
        <w:rPr>
          <w:rtl/>
        </w:rPr>
        <w:t>:</w:t>
      </w:r>
      <w:r w:rsidR="009C32A0">
        <w:rPr>
          <w:rtl/>
        </w:rPr>
        <w:t xml:space="preserve"> نذكر منها</w:t>
      </w:r>
      <w:r>
        <w:rPr>
          <w:rtl/>
        </w:rPr>
        <w:t>: (</w:t>
      </w:r>
      <w:r w:rsidR="009C32A0">
        <w:rPr>
          <w:rtl/>
        </w:rPr>
        <w:t>أ</w:t>
      </w:r>
      <w:r>
        <w:rPr>
          <w:rtl/>
        </w:rPr>
        <w:t>)</w:t>
      </w:r>
      <w:r w:rsidR="009C32A0">
        <w:rPr>
          <w:rtl/>
        </w:rPr>
        <w:t xml:space="preserve"> قوله تعالى</w:t>
      </w:r>
      <w:r>
        <w:rPr>
          <w:rtl/>
        </w:rPr>
        <w:t>:</w:t>
      </w:r>
      <w:r w:rsidR="009C32A0">
        <w:rPr>
          <w:rtl/>
        </w:rPr>
        <w:t xml:space="preserve"> </w:t>
      </w:r>
      <w:r>
        <w:rPr>
          <w:rtl/>
        </w:rPr>
        <w:t>{</w:t>
      </w:r>
      <w:r w:rsidR="009C32A0">
        <w:rPr>
          <w:rtl/>
        </w:rPr>
        <w:t>وجوه يومئذ ناضرة * إلى ربها ناظرة</w:t>
      </w:r>
      <w:r>
        <w:rPr>
          <w:rtl/>
        </w:rPr>
        <w:t>}</w:t>
      </w:r>
      <w:r w:rsidR="009C32A0">
        <w:rPr>
          <w:rtl/>
        </w:rPr>
        <w:t xml:space="preserve"> </w:t>
      </w:r>
      <w:r>
        <w:rPr>
          <w:rtl/>
        </w:rPr>
        <w:t>[</w:t>
      </w:r>
      <w:r w:rsidR="009C32A0">
        <w:rPr>
          <w:rtl/>
        </w:rPr>
        <w:t>القيامة</w:t>
      </w:r>
      <w:r>
        <w:rPr>
          <w:rtl/>
        </w:rPr>
        <w:t>:</w:t>
      </w:r>
      <w:r w:rsidR="009C32A0">
        <w:rPr>
          <w:rtl/>
        </w:rPr>
        <w:t>22</w:t>
      </w:r>
      <w:r>
        <w:rPr>
          <w:rtl/>
        </w:rPr>
        <w:t>،</w:t>
      </w:r>
      <w:r w:rsidR="009C32A0">
        <w:rPr>
          <w:rtl/>
        </w:rPr>
        <w:t xml:space="preserve"> 23</w:t>
      </w:r>
      <w:r>
        <w:rPr>
          <w:rtl/>
        </w:rPr>
        <w:t>]،</w:t>
      </w:r>
      <w:r w:rsidR="009C32A0">
        <w:rPr>
          <w:rtl/>
        </w:rPr>
        <w:t xml:space="preserve"> قال ابن عباس </w:t>
      </w:r>
      <w:r w:rsidR="009C32A0">
        <w:rPr>
          <w:rtl/>
        </w:rPr>
        <w:lastRenderedPageBreak/>
        <w:t>في تفسير الآية</w:t>
      </w:r>
      <w:r>
        <w:rPr>
          <w:rtl/>
        </w:rPr>
        <w:t>:</w:t>
      </w:r>
      <w:r w:rsidR="009C32A0">
        <w:rPr>
          <w:rtl/>
        </w:rPr>
        <w:t xml:space="preserve"> </w:t>
      </w:r>
      <w:r>
        <w:rPr>
          <w:rtl/>
        </w:rPr>
        <w:t>(</w:t>
      </w:r>
      <w:r w:rsidR="009C32A0">
        <w:rPr>
          <w:rtl/>
        </w:rPr>
        <w:t>تنظر إلى وجه ربها</w:t>
      </w:r>
      <w:r>
        <w:rPr>
          <w:rtl/>
        </w:rPr>
        <w:t>)،</w:t>
      </w:r>
      <w:r w:rsidR="009C32A0">
        <w:rPr>
          <w:rtl/>
        </w:rPr>
        <w:t xml:space="preserve"> </w:t>
      </w:r>
      <w:r>
        <w:rPr>
          <w:rtl/>
        </w:rPr>
        <w:t>(</w:t>
      </w:r>
      <w:r w:rsidR="009C32A0">
        <w:rPr>
          <w:rtl/>
        </w:rPr>
        <w:t>ب</w:t>
      </w:r>
      <w:r>
        <w:rPr>
          <w:rtl/>
        </w:rPr>
        <w:t>)</w:t>
      </w:r>
      <w:r w:rsidR="009C32A0">
        <w:rPr>
          <w:rtl/>
        </w:rPr>
        <w:t>وقوله تعالى</w:t>
      </w:r>
      <w:r>
        <w:rPr>
          <w:rtl/>
        </w:rPr>
        <w:t>:</w:t>
      </w:r>
      <w:r w:rsidR="009C32A0">
        <w:rPr>
          <w:rtl/>
        </w:rPr>
        <w:t xml:space="preserve"> </w:t>
      </w:r>
      <w:r>
        <w:rPr>
          <w:rtl/>
        </w:rPr>
        <w:t>{</w:t>
      </w:r>
      <w:r w:rsidR="009C32A0">
        <w:rPr>
          <w:rtl/>
        </w:rPr>
        <w:t>كلا إنهم عن ربهم يومئذ لمحجوبون</w:t>
      </w:r>
      <w:r>
        <w:rPr>
          <w:rtl/>
        </w:rPr>
        <w:t>}</w:t>
      </w:r>
      <w:r w:rsidR="009C32A0">
        <w:rPr>
          <w:rtl/>
        </w:rPr>
        <w:t xml:space="preserve"> </w:t>
      </w:r>
      <w:r>
        <w:rPr>
          <w:rtl/>
        </w:rPr>
        <w:t>[</w:t>
      </w:r>
      <w:r w:rsidR="009C32A0">
        <w:rPr>
          <w:rtl/>
        </w:rPr>
        <w:t>المطففين</w:t>
      </w:r>
      <w:r>
        <w:rPr>
          <w:rtl/>
        </w:rPr>
        <w:t>:</w:t>
      </w:r>
      <w:r w:rsidR="009C32A0">
        <w:rPr>
          <w:rtl/>
        </w:rPr>
        <w:t xml:space="preserve"> 15</w:t>
      </w:r>
      <w:r>
        <w:rPr>
          <w:rtl/>
        </w:rPr>
        <w:t>]،</w:t>
      </w:r>
      <w:r w:rsidR="009C32A0">
        <w:rPr>
          <w:rtl/>
        </w:rPr>
        <w:t xml:space="preserve"> قال الإمام الشافعي</w:t>
      </w:r>
      <w:r>
        <w:rPr>
          <w:rtl/>
        </w:rPr>
        <w:t>:</w:t>
      </w:r>
      <w:r w:rsidR="009C32A0">
        <w:rPr>
          <w:rtl/>
        </w:rPr>
        <w:t xml:space="preserve"> </w:t>
      </w:r>
      <w:r>
        <w:rPr>
          <w:rtl/>
        </w:rPr>
        <w:t>(</w:t>
      </w:r>
      <w:r w:rsidR="009C32A0">
        <w:rPr>
          <w:rtl/>
        </w:rPr>
        <w:t>وفي هذه الآية دليل على أن المؤمنين يرونه عز وجل يومئذ</w:t>
      </w:r>
      <w:r>
        <w:rPr>
          <w:rtl/>
        </w:rPr>
        <w:t>)،</w:t>
      </w:r>
      <w:r w:rsidR="009C32A0">
        <w:rPr>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tl/>
        </w:rPr>
        <w:t>)</w:t>
      </w:r>
      <w:r w:rsidR="009C32A0">
        <w:rPr>
          <w:rtl/>
        </w:rPr>
        <w:t xml:space="preserve"> أهـ</w:t>
      </w:r>
      <w:r>
        <w:rPr>
          <w:rtl/>
        </w:rPr>
        <w:t>،</w:t>
      </w:r>
      <w:r w:rsidR="009C32A0">
        <w:rPr>
          <w:rtl/>
        </w:rPr>
        <w:t xml:space="preserve"> </w:t>
      </w:r>
      <w:r>
        <w:rPr>
          <w:rtl/>
        </w:rPr>
        <w:t>(</w:t>
      </w:r>
      <w:r w:rsidR="009C32A0">
        <w:rPr>
          <w:rtl/>
        </w:rPr>
        <w:t>ت</w:t>
      </w:r>
      <w:r>
        <w:rPr>
          <w:rtl/>
        </w:rPr>
        <w:t>)</w:t>
      </w:r>
      <w:r w:rsidR="009C32A0">
        <w:rPr>
          <w:rtl/>
        </w:rPr>
        <w:t xml:space="preserve"> وقوله تعالى</w:t>
      </w:r>
      <w:r>
        <w:rPr>
          <w:rtl/>
        </w:rPr>
        <w:t>: {</w:t>
      </w:r>
      <w:r w:rsidR="009C32A0">
        <w:rPr>
          <w:rtl/>
        </w:rPr>
        <w:t>للذين أحسنوا الحسنى وزيادة</w:t>
      </w:r>
      <w:r>
        <w:rPr>
          <w:rtl/>
        </w:rPr>
        <w:t>}</w:t>
      </w:r>
      <w:r w:rsidR="009C32A0">
        <w:rPr>
          <w:rtl/>
        </w:rPr>
        <w:t xml:space="preserve"> </w:t>
      </w:r>
      <w:r>
        <w:rPr>
          <w:rtl/>
        </w:rPr>
        <w:t>[</w:t>
      </w:r>
      <w:r w:rsidR="009C32A0">
        <w:rPr>
          <w:rtl/>
        </w:rPr>
        <w:t>يونس</w:t>
      </w:r>
      <w:r>
        <w:rPr>
          <w:rtl/>
        </w:rPr>
        <w:t>:</w:t>
      </w:r>
      <w:r w:rsidR="009C32A0">
        <w:rPr>
          <w:rtl/>
        </w:rPr>
        <w:t xml:space="preserve"> 26</w:t>
      </w:r>
      <w:r>
        <w:rPr>
          <w:rtl/>
        </w:rPr>
        <w:t>]،</w:t>
      </w:r>
      <w:r w:rsidR="009C32A0">
        <w:rPr>
          <w:rtl/>
        </w:rPr>
        <w:t xml:space="preserve"> و تفسير الزيادة ورد في حديث النبي صلى الله عليه وسلم لها بالرؤية</w:t>
      </w:r>
      <w:r>
        <w:rPr>
          <w:rtl/>
        </w:rPr>
        <w:t>،</w:t>
      </w:r>
      <w:r w:rsidR="009C32A0">
        <w:rPr>
          <w:rtl/>
        </w:rPr>
        <w:t xml:space="preserve"> كما أخرج مسلم في صحيحه عن صهيب رضي الله عنه عن النبي صلى الله عليه وسلم قال</w:t>
      </w:r>
      <w:r>
        <w:rPr>
          <w:rtl/>
        </w:rPr>
        <w:t>:</w:t>
      </w:r>
      <w:r w:rsidR="009C32A0">
        <w:rPr>
          <w:rtl/>
        </w:rPr>
        <w:t xml:space="preserve"> (</w:t>
      </w:r>
      <w:r>
        <w:rPr>
          <w:rtl/>
        </w:rPr>
        <w:t>(</w:t>
      </w:r>
      <w:r w:rsidR="009C32A0">
        <w:rPr>
          <w:rtl/>
        </w:rPr>
        <w:t>إذا دخل أهل الجنة الجنة</w:t>
      </w:r>
      <w:r>
        <w:rPr>
          <w:rtl/>
        </w:rPr>
        <w:t>،</w:t>
      </w:r>
      <w:r w:rsidR="009C32A0">
        <w:rPr>
          <w:rtl/>
        </w:rPr>
        <w:t xml:space="preserve"> قال</w:t>
      </w:r>
      <w:r>
        <w:rPr>
          <w:rtl/>
        </w:rPr>
        <w:t>:</w:t>
      </w:r>
      <w:r w:rsidR="009C32A0">
        <w:rPr>
          <w:rtl/>
        </w:rPr>
        <w:t xml:space="preserve"> يقول الله تبارك وتعالى</w:t>
      </w:r>
      <w:r>
        <w:rPr>
          <w:rtl/>
        </w:rPr>
        <w:t>:</w:t>
      </w:r>
      <w:r w:rsidR="009C32A0">
        <w:rPr>
          <w:rtl/>
        </w:rPr>
        <w:t xml:space="preserve"> تريدون شيئا أزيدكم</w:t>
      </w:r>
      <w:r>
        <w:rPr>
          <w:rtl/>
        </w:rPr>
        <w:t>،</w:t>
      </w:r>
      <w:r w:rsidR="009C32A0">
        <w:rPr>
          <w:rtl/>
        </w:rPr>
        <w:t xml:space="preserve"> فيقولون</w:t>
      </w:r>
      <w:r>
        <w:rPr>
          <w:rtl/>
        </w:rPr>
        <w:t>:</w:t>
      </w:r>
      <w:r w:rsidR="009C32A0">
        <w:rPr>
          <w:rtl/>
        </w:rPr>
        <w:t xml:space="preserve"> ألم تبيض وجوهنا</w:t>
      </w:r>
      <w:r>
        <w:rPr>
          <w:rtl/>
        </w:rPr>
        <w:t>،</w:t>
      </w:r>
      <w:r w:rsidR="009C32A0">
        <w:rPr>
          <w:rtl/>
        </w:rPr>
        <w:t xml:space="preserve"> ألم تدخلنا الجنة</w:t>
      </w:r>
      <w:r>
        <w:rPr>
          <w:rtl/>
        </w:rPr>
        <w:t>،</w:t>
      </w:r>
      <w:r w:rsidR="009C32A0">
        <w:rPr>
          <w:rtl/>
        </w:rPr>
        <w:t xml:space="preserve"> وتنجينا من النار</w:t>
      </w:r>
      <w:r>
        <w:rPr>
          <w:rtl/>
        </w:rPr>
        <w:t>،</w:t>
      </w:r>
      <w:r w:rsidR="009C32A0">
        <w:rPr>
          <w:rtl/>
        </w:rPr>
        <w:t xml:space="preserve"> قال</w:t>
      </w:r>
      <w:r>
        <w:rPr>
          <w:rtl/>
        </w:rPr>
        <w:t>:</w:t>
      </w:r>
      <w:r w:rsidR="009C32A0">
        <w:rPr>
          <w:rtl/>
        </w:rPr>
        <w:t xml:space="preserve"> فيكشف الحجاب</w:t>
      </w:r>
      <w:r>
        <w:rPr>
          <w:rtl/>
        </w:rPr>
        <w:t>،</w:t>
      </w:r>
      <w:r w:rsidR="009C32A0">
        <w:rPr>
          <w:rtl/>
        </w:rPr>
        <w:t xml:space="preserve"> فما أعطوا شيئا أحب إليهم من النظر إلى ربهم عز وجل</w:t>
      </w:r>
      <w:r>
        <w:rPr>
          <w:rtl/>
        </w:rPr>
        <w:t>،</w:t>
      </w:r>
      <w:r w:rsidR="009C32A0">
        <w:rPr>
          <w:rtl/>
        </w:rPr>
        <w:t xml:space="preserve"> ثم تلا هذه الآية</w:t>
      </w:r>
      <w:r>
        <w:rPr>
          <w:rtl/>
        </w:rPr>
        <w:t>:</w:t>
      </w:r>
      <w:r w:rsidR="009C32A0">
        <w:rPr>
          <w:rtl/>
        </w:rPr>
        <w:t xml:space="preserve"> </w:t>
      </w:r>
      <w:r>
        <w:rPr>
          <w:rtl/>
        </w:rPr>
        <w:t>{</w:t>
      </w:r>
      <w:r w:rsidR="009C32A0">
        <w:rPr>
          <w:rtl/>
        </w:rPr>
        <w:t>للذين أحسنوا الحسنى وزيادة</w:t>
      </w:r>
      <w:r>
        <w:rPr>
          <w:rtl/>
        </w:rPr>
        <w:t>}، (</w:t>
      </w:r>
      <w:r w:rsidR="009C32A0">
        <w:rPr>
          <w:rtl/>
        </w:rPr>
        <w:t>ث</w:t>
      </w:r>
      <w:r>
        <w:rPr>
          <w:rtl/>
        </w:rPr>
        <w:t>)</w:t>
      </w:r>
      <w:r w:rsidR="009C32A0">
        <w:rPr>
          <w:rtl/>
        </w:rPr>
        <w:t xml:space="preserve"> وقوله تعالى</w:t>
      </w:r>
      <w:r>
        <w:rPr>
          <w:rtl/>
        </w:rPr>
        <w:t>:</w:t>
      </w:r>
      <w:r w:rsidR="009C32A0">
        <w:rPr>
          <w:rtl/>
        </w:rPr>
        <w:t xml:space="preserve"> </w:t>
      </w:r>
      <w:r>
        <w:rPr>
          <w:rtl/>
        </w:rPr>
        <w:t>{</w:t>
      </w:r>
      <w:r w:rsidR="009C32A0">
        <w:rPr>
          <w:rStyle w:val="aaya"/>
          <w:rtl/>
        </w:rPr>
        <w:t>لَهُم مَّا يَشَاؤُونَ فِيهَا وَلَدَيْنَا مَزِيدٌ</w:t>
      </w:r>
      <w:r>
        <w:rPr>
          <w:rtl/>
        </w:rPr>
        <w:t>}</w:t>
      </w:r>
      <w:r w:rsidR="009C32A0">
        <w:rPr>
          <w:rStyle w:val="sora"/>
          <w:b/>
          <w:rtl/>
        </w:rPr>
        <w:t xml:space="preserve"> </w:t>
      </w:r>
      <w:r>
        <w:rPr>
          <w:rStyle w:val="sora"/>
          <w:b/>
          <w:rtl/>
        </w:rPr>
        <w:t>[</w:t>
      </w:r>
      <w:r w:rsidR="009C32A0">
        <w:rPr>
          <w:rStyle w:val="sora"/>
          <w:b/>
          <w:rtl/>
        </w:rPr>
        <w:t>ق</w:t>
      </w:r>
      <w:r>
        <w:rPr>
          <w:rStyle w:val="sora"/>
          <w:b/>
          <w:rtl/>
        </w:rPr>
        <w:t>:</w:t>
      </w:r>
      <w:r w:rsidR="009C32A0">
        <w:rPr>
          <w:rStyle w:val="sora"/>
          <w:b/>
          <w:rtl/>
        </w:rPr>
        <w:t xml:space="preserve"> 35]</w:t>
      </w:r>
      <w:r w:rsidR="009C32A0">
        <w:rPr>
          <w:rtl/>
        </w:rPr>
        <w:t xml:space="preserve"> فقد فسر المفسرون ومنهم الطبري والقرطبي وابن كثير وغيرهم</w:t>
      </w:r>
      <w:r>
        <w:rPr>
          <w:rtl/>
        </w:rPr>
        <w:t>:</w:t>
      </w:r>
      <w:r w:rsidR="009C32A0">
        <w:rPr>
          <w:rtl/>
        </w:rPr>
        <w:t xml:space="preserve"> المزيد في هذه الآية بأنه النظر إلى الله تعالى</w:t>
      </w:r>
      <w:r>
        <w:rPr>
          <w:rtl/>
        </w:rPr>
        <w:t>، (</w:t>
      </w:r>
      <w:r w:rsidR="009C32A0">
        <w:rPr>
          <w:rtl/>
        </w:rPr>
        <w:t>ج</w:t>
      </w:r>
      <w:r>
        <w:rPr>
          <w:rtl/>
        </w:rPr>
        <w:t>)</w:t>
      </w:r>
      <w:r w:rsidR="009C32A0">
        <w:rPr>
          <w:rtl/>
        </w:rPr>
        <w:t xml:space="preserve"> وقوله تعالى</w:t>
      </w:r>
      <w:r>
        <w:rPr>
          <w:rtl/>
        </w:rPr>
        <w:t>:</w:t>
      </w:r>
      <w:r w:rsidR="009C32A0">
        <w:rPr>
          <w:rtl/>
        </w:rPr>
        <w:t xml:space="preserve"> </w:t>
      </w:r>
      <w:r>
        <w:rPr>
          <w:rtl/>
        </w:rPr>
        <w:t>{</w:t>
      </w:r>
      <w:r w:rsidR="009C32A0">
        <w:rPr>
          <w:rStyle w:val="aaya"/>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tl/>
        </w:rPr>
        <w:t>}</w:t>
      </w:r>
      <w:r w:rsidR="009C32A0">
        <w:rPr>
          <w:rtl/>
        </w:rPr>
        <w:t xml:space="preserve"> </w:t>
      </w:r>
      <w:r>
        <w:rPr>
          <w:rStyle w:val="sora"/>
          <w:b/>
          <w:rtl/>
        </w:rPr>
        <w:t>[</w:t>
      </w:r>
      <w:r w:rsidR="009C32A0">
        <w:rPr>
          <w:rStyle w:val="sora"/>
          <w:b/>
          <w:rtl/>
        </w:rPr>
        <w:t>الأعراف</w:t>
      </w:r>
      <w:r>
        <w:rPr>
          <w:rStyle w:val="sora"/>
          <w:b/>
          <w:rtl/>
        </w:rPr>
        <w:t>:</w:t>
      </w:r>
      <w:r w:rsidR="009C32A0">
        <w:rPr>
          <w:rStyle w:val="sora"/>
          <w:b/>
          <w:rtl/>
        </w:rPr>
        <w:t xml:space="preserve"> 143]</w:t>
      </w:r>
      <w:r>
        <w:rPr>
          <w:rtl/>
        </w:rPr>
        <w:t xml:space="preserve">، </w:t>
      </w:r>
      <w:r w:rsidR="009C32A0">
        <w:rPr>
          <w:rtl/>
        </w:rPr>
        <w:t>والدليل على جواز الرؤية أنّ نبي الله</w:t>
      </w:r>
      <w:r>
        <w:rPr>
          <w:rtl/>
        </w:rPr>
        <w:t xml:space="preserve"> </w:t>
      </w:r>
      <w:r w:rsidR="009C32A0">
        <w:rPr>
          <w:rtl/>
        </w:rPr>
        <w:t>موسى عليه السلام سأل الرؤية ولو امتنع كونه تعالى مرئيا لما سأل</w:t>
      </w:r>
      <w:r>
        <w:rPr>
          <w:rtl/>
        </w:rPr>
        <w:t>،</w:t>
      </w:r>
      <w:r w:rsidR="009C32A0">
        <w:rPr>
          <w:rtl/>
        </w:rPr>
        <w:t xml:space="preserve"> لأنّ الأنبياء أعلم الناس بما يجوز وما يمتنع على الله</w:t>
      </w:r>
      <w:r>
        <w:rPr>
          <w:rtl/>
        </w:rPr>
        <w:t>،</w:t>
      </w:r>
      <w:r w:rsidR="009C32A0">
        <w:rPr>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Pr>
          <w:rtl/>
        </w:rPr>
        <w:t>،</w:t>
      </w:r>
      <w:r w:rsidR="009C32A0">
        <w:rPr>
          <w:rtl/>
        </w:rPr>
        <w:t xml:space="preserve"> كما أن الله تعالى أجابه بقوله </w:t>
      </w:r>
      <w:r>
        <w:rPr>
          <w:rtl/>
        </w:rPr>
        <w:t>{</w:t>
      </w:r>
      <w:r w:rsidR="009C32A0">
        <w:rPr>
          <w:rStyle w:val="aaya"/>
          <w:rtl/>
        </w:rPr>
        <w:t>لَن تَرَانِي</w:t>
      </w:r>
      <w:r>
        <w:rPr>
          <w:rtl/>
        </w:rPr>
        <w:t>}</w:t>
      </w:r>
      <w:r w:rsidR="009C32A0">
        <w:rPr>
          <w:rtl/>
        </w:rPr>
        <w:t xml:space="preserve"> وهذا دليل على الجواز</w:t>
      </w:r>
      <w:r>
        <w:rPr>
          <w:rtl/>
        </w:rPr>
        <w:t>،</w:t>
      </w:r>
      <w:r w:rsidR="009C32A0">
        <w:rPr>
          <w:rtl/>
        </w:rPr>
        <w:t xml:space="preserve"> فلو كانت الرؤية مستحيلة عليه لقال</w:t>
      </w:r>
      <w:r>
        <w:rPr>
          <w:rtl/>
        </w:rPr>
        <w:t>:</w:t>
      </w:r>
      <w:r w:rsidR="009C32A0">
        <w:rPr>
          <w:rtl/>
        </w:rPr>
        <w:t xml:space="preserve"> </w:t>
      </w:r>
      <w:r>
        <w:rPr>
          <w:rtl/>
        </w:rPr>
        <w:t>(</w:t>
      </w:r>
      <w:r w:rsidR="009C32A0">
        <w:rPr>
          <w:rtl/>
        </w:rPr>
        <w:t>لست بمرئي</w:t>
      </w:r>
      <w:r>
        <w:rPr>
          <w:rtl/>
        </w:rPr>
        <w:t>)،</w:t>
      </w:r>
      <w:r w:rsidR="009C32A0">
        <w:rPr>
          <w:rtl/>
        </w:rPr>
        <w:t xml:space="preserve"> أو </w:t>
      </w:r>
      <w:r>
        <w:rPr>
          <w:rtl/>
        </w:rPr>
        <w:t>(</w:t>
      </w:r>
      <w:r w:rsidR="009C32A0">
        <w:rPr>
          <w:rtl/>
        </w:rPr>
        <w:t>لا تجوز رؤيتي</w:t>
      </w:r>
      <w:r>
        <w:rPr>
          <w:rtl/>
        </w:rPr>
        <w:t>)</w:t>
      </w:r>
      <w:r w:rsidR="009C32A0">
        <w:rPr>
          <w:rtl/>
        </w:rPr>
        <w:t xml:space="preserve"> أو </w:t>
      </w:r>
      <w:r>
        <w:rPr>
          <w:rtl/>
        </w:rPr>
        <w:t>(</w:t>
      </w:r>
      <w:r w:rsidR="009C32A0">
        <w:rPr>
          <w:rtl/>
        </w:rPr>
        <w:t>إن الرؤية تستحيل في حقي</w:t>
      </w:r>
      <w:r>
        <w:rPr>
          <w:rtl/>
        </w:rPr>
        <w:t>)</w:t>
      </w:r>
      <w:r w:rsidR="009C32A0">
        <w:rPr>
          <w:rtl/>
        </w:rPr>
        <w:t xml:space="preserve"> ولكان آنذاك تصحيحاً واجبا للعقيدة وللخطأ في طلب الرؤية التي لا تجوز في حق الإله</w:t>
      </w:r>
      <w:r>
        <w:rPr>
          <w:rtl/>
        </w:rPr>
        <w:t>،</w:t>
      </w:r>
      <w:r w:rsidR="009C32A0">
        <w:rPr>
          <w:rtl/>
        </w:rPr>
        <w:t xml:space="preserve"> وكل هذا لم يحدث</w:t>
      </w:r>
      <w:r>
        <w:rPr>
          <w:rtl/>
        </w:rPr>
        <w:t>،</w:t>
      </w:r>
      <w:r w:rsidR="009C32A0">
        <w:rPr>
          <w:rtl/>
        </w:rPr>
        <w:t xml:space="preserve"> فدل على جواز المبدأ </w:t>
      </w:r>
      <w:r>
        <w:rPr>
          <w:rtl/>
        </w:rPr>
        <w:t>(</w:t>
      </w:r>
      <w:r w:rsidR="009C32A0">
        <w:rPr>
          <w:rtl/>
        </w:rPr>
        <w:t>إمكانية رؤية الله</w:t>
      </w:r>
      <w:r>
        <w:rPr>
          <w:rtl/>
        </w:rPr>
        <w:t>)،</w:t>
      </w:r>
      <w:r w:rsidR="009C32A0">
        <w:rPr>
          <w:rtl/>
        </w:rPr>
        <w:t xml:space="preserve"> كما أنّ الله تعالى علق الرؤية على أمر جائز</w:t>
      </w:r>
      <w:r>
        <w:rPr>
          <w:rtl/>
        </w:rPr>
        <w:t>،</w:t>
      </w:r>
      <w:r w:rsidR="009C32A0">
        <w:rPr>
          <w:rtl/>
        </w:rPr>
        <w:t xml:space="preserve"> وهو استقرار الجبل والمعلق على الجائز جائز</w:t>
      </w:r>
      <w:r>
        <w:rPr>
          <w:rtl/>
        </w:rPr>
        <w:t>،</w:t>
      </w:r>
      <w:r w:rsidR="009C32A0">
        <w:rPr>
          <w:rtl/>
        </w:rPr>
        <w:t xml:space="preserve"> فيلزم كون الرؤية في نفسها جائزة</w:t>
      </w:r>
      <w:r>
        <w:rPr>
          <w:rtl/>
        </w:rPr>
        <w:t>، (</w:t>
      </w:r>
      <w:r w:rsidR="009C32A0">
        <w:rPr>
          <w:rtl/>
        </w:rPr>
        <w:t>2</w:t>
      </w:r>
      <w:r>
        <w:rPr>
          <w:rtl/>
        </w:rPr>
        <w:t>)</w:t>
      </w:r>
      <w:r w:rsidR="009C32A0">
        <w:rPr>
          <w:rtl/>
        </w:rPr>
        <w:t xml:space="preserve"> الأدلة من السنّة على رؤية الله سبحانه في الآخرة</w:t>
      </w:r>
      <w:r>
        <w:rPr>
          <w:rtl/>
        </w:rPr>
        <w:t>:</w:t>
      </w:r>
      <w:r w:rsidR="009C32A0">
        <w:rPr>
          <w:rtl/>
        </w:rPr>
        <w:t xml:space="preserve"> منها</w:t>
      </w:r>
      <w:r>
        <w:rPr>
          <w:rtl/>
        </w:rPr>
        <w:t>: (</w:t>
      </w:r>
      <w:r w:rsidR="009C32A0">
        <w:rPr>
          <w:rtl/>
        </w:rPr>
        <w:t>أ</w:t>
      </w:r>
      <w:r>
        <w:rPr>
          <w:rtl/>
        </w:rPr>
        <w:t>)</w:t>
      </w:r>
      <w:r w:rsidR="009C32A0">
        <w:rPr>
          <w:rtl/>
        </w:rPr>
        <w:t xml:space="preserve"> ما أخرجه مسلم عن أبي هريرة رضي الله عنه</w:t>
      </w:r>
      <w:r>
        <w:rPr>
          <w:rtl/>
        </w:rPr>
        <w:t>،</w:t>
      </w:r>
      <w:r w:rsidR="009C32A0">
        <w:rPr>
          <w:rtl/>
        </w:rPr>
        <w:t xml:space="preserve"> أن ناساً قالوا لرسول الله صلى الله عليه وسلم</w:t>
      </w:r>
      <w:r>
        <w:rPr>
          <w:rtl/>
        </w:rPr>
        <w:t>:</w:t>
      </w:r>
      <w:r w:rsidR="009C32A0">
        <w:rPr>
          <w:rtl/>
        </w:rPr>
        <w:t xml:space="preserve"> يا رسول الله هل نرى ربنا يوم القيامة</w:t>
      </w:r>
      <w:r>
        <w:rPr>
          <w:rtl/>
        </w:rPr>
        <w:t>؟</w:t>
      </w:r>
      <w:r w:rsidR="009C32A0">
        <w:rPr>
          <w:rtl/>
        </w:rPr>
        <w:t xml:space="preserve"> فقال رسول الله صلى الله عليه وسلم</w:t>
      </w:r>
      <w:r>
        <w:rPr>
          <w:rtl/>
        </w:rPr>
        <w:t>:</w:t>
      </w:r>
      <w:r w:rsidR="009C32A0">
        <w:rPr>
          <w:rtl/>
        </w:rPr>
        <w:t xml:space="preserve"> (</w:t>
      </w:r>
      <w:r>
        <w:rPr>
          <w:rtl/>
        </w:rPr>
        <w:t>(</w:t>
      </w:r>
      <w:r w:rsidR="009C32A0">
        <w:rPr>
          <w:rtl/>
        </w:rPr>
        <w:t>هل تضارون في رؤية القمر ليلة البدر</w:t>
      </w:r>
      <w:r>
        <w:rPr>
          <w:rtl/>
        </w:rPr>
        <w:t xml:space="preserve">، </w:t>
      </w:r>
      <w:r w:rsidR="009C32A0">
        <w:rPr>
          <w:rtl/>
        </w:rPr>
        <w:t>قالوا</w:t>
      </w:r>
      <w:r>
        <w:rPr>
          <w:rtl/>
        </w:rPr>
        <w:t>:</w:t>
      </w:r>
      <w:r w:rsidR="009C32A0">
        <w:rPr>
          <w:rtl/>
        </w:rPr>
        <w:t xml:space="preserve"> لا</w:t>
      </w:r>
      <w:r>
        <w:rPr>
          <w:rtl/>
        </w:rPr>
        <w:t>،</w:t>
      </w:r>
      <w:r w:rsidR="009C32A0">
        <w:rPr>
          <w:rtl/>
        </w:rPr>
        <w:t xml:space="preserve"> يا رسول الله</w:t>
      </w:r>
      <w:r>
        <w:rPr>
          <w:rtl/>
        </w:rPr>
        <w:t>،</w:t>
      </w:r>
      <w:r w:rsidR="009C32A0">
        <w:rPr>
          <w:rtl/>
        </w:rPr>
        <w:t xml:space="preserve"> قال</w:t>
      </w:r>
      <w:r>
        <w:rPr>
          <w:rtl/>
        </w:rPr>
        <w:t>:</w:t>
      </w:r>
      <w:r w:rsidR="009C32A0">
        <w:rPr>
          <w:rtl/>
        </w:rPr>
        <w:t xml:space="preserve"> هل تضارون في الشمس ليس دونها سحاب</w:t>
      </w:r>
      <w:r>
        <w:rPr>
          <w:rtl/>
        </w:rPr>
        <w:t xml:space="preserve">، </w:t>
      </w:r>
      <w:r w:rsidR="009C32A0">
        <w:rPr>
          <w:rtl/>
        </w:rPr>
        <w:t>قالوا</w:t>
      </w:r>
      <w:r>
        <w:rPr>
          <w:rtl/>
        </w:rPr>
        <w:t>:</w:t>
      </w:r>
      <w:r w:rsidR="009C32A0">
        <w:rPr>
          <w:rtl/>
        </w:rPr>
        <w:t xml:space="preserve"> لا</w:t>
      </w:r>
      <w:r>
        <w:rPr>
          <w:rtl/>
        </w:rPr>
        <w:t>،</w:t>
      </w:r>
      <w:r w:rsidR="009C32A0">
        <w:rPr>
          <w:rtl/>
        </w:rPr>
        <w:t xml:space="preserve"> يا رسول الله</w:t>
      </w:r>
      <w:r>
        <w:rPr>
          <w:rtl/>
        </w:rPr>
        <w:t>،</w:t>
      </w:r>
      <w:r w:rsidR="009C32A0">
        <w:rPr>
          <w:rtl/>
        </w:rPr>
        <w:t xml:space="preserve"> قال</w:t>
      </w:r>
      <w:r>
        <w:rPr>
          <w:rtl/>
        </w:rPr>
        <w:t>:</w:t>
      </w:r>
      <w:r w:rsidR="009C32A0">
        <w:rPr>
          <w:rtl/>
        </w:rPr>
        <w:t xml:space="preserve"> فإنكم ترونه كذلك</w:t>
      </w:r>
      <w:r>
        <w:rPr>
          <w:rtl/>
        </w:rPr>
        <w:t>)</w:t>
      </w:r>
      <w:r w:rsidR="009C32A0">
        <w:rPr>
          <w:rtl/>
        </w:rPr>
        <w:t xml:space="preserve">) </w:t>
      </w:r>
      <w:r>
        <w:rPr>
          <w:rtl/>
        </w:rPr>
        <w:lastRenderedPageBreak/>
        <w:t>[</w:t>
      </w:r>
      <w:r w:rsidR="009C32A0">
        <w:rPr>
          <w:rtl/>
        </w:rPr>
        <w:t>أخرجه مسلم</w:t>
      </w:r>
      <w:r>
        <w:rPr>
          <w:rtl/>
        </w:rPr>
        <w:t>]، (</w:t>
      </w:r>
      <w:r w:rsidR="009C32A0">
        <w:rPr>
          <w:rtl/>
        </w:rPr>
        <w:t>ب</w:t>
      </w:r>
      <w:r>
        <w:rPr>
          <w:rtl/>
        </w:rPr>
        <w:t>)</w:t>
      </w:r>
      <w:r w:rsidR="009C32A0">
        <w:rPr>
          <w:rtl/>
        </w:rPr>
        <w:t xml:space="preserve"> وأخرج البخاري عن جرير بن عبد الله رضي الله عنه قال</w:t>
      </w:r>
      <w:r>
        <w:rPr>
          <w:rtl/>
        </w:rPr>
        <w:t>:</w:t>
      </w:r>
      <w:r w:rsidR="009C32A0">
        <w:rPr>
          <w:rtl/>
        </w:rPr>
        <w:t xml:space="preserve"> قال النبي صلى الله عليه وسلم</w:t>
      </w:r>
      <w:r>
        <w:rPr>
          <w:rtl/>
        </w:rPr>
        <w:t>:</w:t>
      </w:r>
      <w:r w:rsidR="009C32A0">
        <w:rPr>
          <w:rtl/>
        </w:rPr>
        <w:t xml:space="preserve"> (</w:t>
      </w:r>
      <w:r>
        <w:rPr>
          <w:rtl/>
        </w:rPr>
        <w:t>(</w:t>
      </w:r>
      <w:r w:rsidR="009C32A0">
        <w:rPr>
          <w:rtl/>
        </w:rPr>
        <w:t>إنكم سترون ربكم عيانا</w:t>
      </w:r>
      <w:r>
        <w:rPr>
          <w:rtl/>
        </w:rPr>
        <w:t>)</w:t>
      </w:r>
      <w:r w:rsidR="009C32A0">
        <w:rPr>
          <w:rtl/>
        </w:rPr>
        <w:t xml:space="preserve">) </w:t>
      </w:r>
      <w:r>
        <w:rPr>
          <w:rtl/>
        </w:rPr>
        <w:t>[</w:t>
      </w:r>
      <w:r w:rsidR="009C32A0">
        <w:rPr>
          <w:rtl/>
        </w:rPr>
        <w:t>أخرجه البخاري</w:t>
      </w:r>
      <w:r>
        <w:rPr>
          <w:rtl/>
        </w:rPr>
        <w:t>]، (</w:t>
      </w:r>
      <w:r w:rsidR="009C32A0">
        <w:rPr>
          <w:rtl/>
        </w:rPr>
        <w:t>ت</w:t>
      </w:r>
      <w:r>
        <w:rPr>
          <w:rtl/>
        </w:rPr>
        <w:t>)</w:t>
      </w:r>
      <w:r w:rsidR="009C32A0">
        <w:rPr>
          <w:rtl/>
        </w:rPr>
        <w:t xml:space="preserve"> وحديث مسلم السابق عن صهيب عن النبي صلى الله عليه وسلم قال</w:t>
      </w:r>
      <w:r>
        <w:rPr>
          <w:rtl/>
        </w:rPr>
        <w:t>:</w:t>
      </w:r>
      <w:r w:rsidR="009C32A0">
        <w:rPr>
          <w:rtl/>
        </w:rPr>
        <w:t xml:space="preserve"> (</w:t>
      </w:r>
      <w:r>
        <w:rPr>
          <w:rtl/>
        </w:rPr>
        <w:t>(</w:t>
      </w:r>
      <w:r w:rsidR="009C32A0">
        <w:rPr>
          <w:rtl/>
        </w:rPr>
        <w:t>إذا دخل أهل الجنة الجنة</w:t>
      </w:r>
      <w:r>
        <w:rPr>
          <w:rtl/>
        </w:rPr>
        <w:t>،</w:t>
      </w:r>
      <w:r w:rsidR="009C32A0">
        <w:rPr>
          <w:rtl/>
        </w:rPr>
        <w:t xml:space="preserve"> قال</w:t>
      </w:r>
      <w:r>
        <w:rPr>
          <w:rtl/>
        </w:rPr>
        <w:t>:</w:t>
      </w:r>
      <w:r w:rsidR="009C32A0">
        <w:rPr>
          <w:rtl/>
        </w:rPr>
        <w:t xml:space="preserve"> يقول الله تبارك وتعالى</w:t>
      </w:r>
      <w:r>
        <w:rPr>
          <w:rtl/>
        </w:rPr>
        <w:t>:</w:t>
      </w:r>
      <w:r w:rsidR="009C32A0">
        <w:rPr>
          <w:rtl/>
        </w:rPr>
        <w:t xml:space="preserve"> تريدون شيئا أزيدكم</w:t>
      </w:r>
      <w:r>
        <w:rPr>
          <w:rtl/>
        </w:rPr>
        <w:t>،</w:t>
      </w:r>
      <w:r w:rsidR="009C32A0">
        <w:rPr>
          <w:rtl/>
        </w:rPr>
        <w:t xml:space="preserve"> فيقولون</w:t>
      </w:r>
      <w:r>
        <w:rPr>
          <w:rtl/>
        </w:rPr>
        <w:t>:</w:t>
      </w:r>
      <w:r w:rsidR="009C32A0">
        <w:rPr>
          <w:rtl/>
        </w:rPr>
        <w:t xml:space="preserve"> ألم تبيض وجوهنا</w:t>
      </w:r>
      <w:r>
        <w:rPr>
          <w:rtl/>
        </w:rPr>
        <w:t>،</w:t>
      </w:r>
      <w:r w:rsidR="009C32A0">
        <w:rPr>
          <w:rtl/>
        </w:rPr>
        <w:t xml:space="preserve"> ألم تدخلنا الجنة</w:t>
      </w:r>
      <w:r>
        <w:rPr>
          <w:rtl/>
        </w:rPr>
        <w:t>،</w:t>
      </w:r>
      <w:r w:rsidR="009C32A0">
        <w:rPr>
          <w:rtl/>
        </w:rPr>
        <w:t xml:space="preserve"> وتنجينا من النار</w:t>
      </w:r>
      <w:r>
        <w:rPr>
          <w:rtl/>
        </w:rPr>
        <w:t>،</w:t>
      </w:r>
      <w:r w:rsidR="009C32A0">
        <w:rPr>
          <w:rtl/>
        </w:rPr>
        <w:t xml:space="preserve"> قال</w:t>
      </w:r>
      <w:r>
        <w:rPr>
          <w:rtl/>
        </w:rPr>
        <w:t>:</w:t>
      </w:r>
      <w:r w:rsidR="009C32A0">
        <w:rPr>
          <w:rtl/>
        </w:rPr>
        <w:t xml:space="preserve"> فيكشف الحجاب</w:t>
      </w:r>
      <w:r>
        <w:rPr>
          <w:rtl/>
        </w:rPr>
        <w:t>،</w:t>
      </w:r>
      <w:r w:rsidR="009C32A0">
        <w:rPr>
          <w:rtl/>
        </w:rPr>
        <w:t xml:space="preserve"> فما أعطوا شيئا أحب إليهم من النظر إلى ربهم عز وجل</w:t>
      </w:r>
      <w:r>
        <w:rPr>
          <w:rtl/>
        </w:rPr>
        <w:t>،</w:t>
      </w:r>
      <w:r w:rsidR="009C32A0">
        <w:rPr>
          <w:rtl/>
        </w:rPr>
        <w:t xml:space="preserve"> ثم تلا هذه الآية </w:t>
      </w:r>
      <w:r>
        <w:rPr>
          <w:rtl/>
        </w:rPr>
        <w:t>{</w:t>
      </w:r>
      <w:r w:rsidR="009C32A0">
        <w:rPr>
          <w:rtl/>
        </w:rPr>
        <w:t>للذين أحسنوا الحسنى وزيادة</w:t>
      </w:r>
      <w:r>
        <w:rPr>
          <w:rtl/>
        </w:rPr>
        <w:t>})</w:t>
      </w:r>
      <w:r w:rsidR="009C32A0">
        <w:rPr>
          <w:rtl/>
        </w:rPr>
        <w:t xml:space="preserve">) </w:t>
      </w:r>
      <w:r>
        <w:rPr>
          <w:rtl/>
        </w:rPr>
        <w:t>[</w:t>
      </w:r>
      <w:r w:rsidR="009C32A0">
        <w:rPr>
          <w:rtl/>
        </w:rPr>
        <w:t>أخرجه مسلم</w:t>
      </w:r>
      <w:r>
        <w:rPr>
          <w:rtl/>
        </w:rPr>
        <w:t>]،</w:t>
      </w:r>
      <w:r w:rsidR="009C32A0">
        <w:rPr>
          <w:rtl/>
        </w:rPr>
        <w:t xml:space="preserve"> </w:t>
      </w:r>
      <w:r>
        <w:rPr>
          <w:rtl/>
        </w:rPr>
        <w:t>(</w:t>
      </w:r>
      <w:r w:rsidR="009C32A0">
        <w:rPr>
          <w:rtl/>
        </w:rPr>
        <w:t>ث</w:t>
      </w:r>
      <w:r>
        <w:rPr>
          <w:rtl/>
        </w:rPr>
        <w:t>)</w:t>
      </w:r>
      <w:r w:rsidR="009C32A0">
        <w:rPr>
          <w:rtl/>
        </w:rPr>
        <w:t xml:space="preserve"> وما أخرجه البخاري ومسلم عن أبي موسى الأشعري رضي الله عنه عن النبي</w:t>
      </w:r>
      <w:r>
        <w:rPr>
          <w:rtl/>
        </w:rPr>
        <w:t xml:space="preserve"> </w:t>
      </w:r>
      <w:r w:rsidR="009C32A0">
        <w:rPr>
          <w:rtl/>
        </w:rPr>
        <w:t>صلى الله عليه وسلم أنه قال</w:t>
      </w:r>
      <w:r>
        <w:rPr>
          <w:rtl/>
        </w:rPr>
        <w:t>:</w:t>
      </w:r>
      <w:r w:rsidR="009C32A0">
        <w:rPr>
          <w:rtl/>
        </w:rPr>
        <w:t xml:space="preserve"> (</w:t>
      </w:r>
      <w:r>
        <w:rPr>
          <w:rtl/>
        </w:rPr>
        <w:t>(</w:t>
      </w:r>
      <w:r w:rsidR="009C32A0">
        <w:rPr>
          <w:rtl/>
        </w:rPr>
        <w:t>جنتان من فضة آنيتهما وما فيهما</w:t>
      </w:r>
      <w:r>
        <w:rPr>
          <w:rtl/>
        </w:rPr>
        <w:t>،</w:t>
      </w:r>
      <w:r w:rsidR="009C32A0">
        <w:rPr>
          <w:rtl/>
        </w:rPr>
        <w:t xml:space="preserve"> وجنتان من ذهب آنيتهما وما فيهما</w:t>
      </w:r>
      <w:r>
        <w:rPr>
          <w:rtl/>
        </w:rPr>
        <w:t>،</w:t>
      </w:r>
      <w:r w:rsidR="009C32A0">
        <w:rPr>
          <w:rtl/>
        </w:rPr>
        <w:t xml:space="preserve"> وما بين القوم وبين أن ينظروا إلى ربهم إلا رداء الكبرياء على وجهه في جنة عدن</w:t>
      </w:r>
      <w:r>
        <w:rPr>
          <w:rtl/>
        </w:rPr>
        <w:t>)</w:t>
      </w:r>
      <w:r w:rsidR="009C32A0">
        <w:rPr>
          <w:rtl/>
        </w:rPr>
        <w:t xml:space="preserve">) </w:t>
      </w:r>
      <w:r>
        <w:rPr>
          <w:rtl/>
        </w:rPr>
        <w:t>[</w:t>
      </w:r>
      <w:r w:rsidR="009C32A0">
        <w:rPr>
          <w:rtl/>
        </w:rPr>
        <w:t>متفق عليه</w:t>
      </w:r>
      <w:r>
        <w:rPr>
          <w:rtl/>
        </w:rPr>
        <w:t>]،</w:t>
      </w:r>
      <w:r w:rsidR="009C32A0">
        <w:rPr>
          <w:rtl/>
        </w:rPr>
        <w:t xml:space="preserve"> وما أخرجه البخاري عن عدي بن حاتم رضي الله عنه قال</w:t>
      </w:r>
      <w:r>
        <w:rPr>
          <w:rtl/>
        </w:rPr>
        <w:t>:</w:t>
      </w:r>
      <w:r w:rsidR="009C32A0">
        <w:rPr>
          <w:rtl/>
        </w:rPr>
        <w:t xml:space="preserve"> قال رسول الله صلى الله عليه وسلم</w:t>
      </w:r>
      <w:r>
        <w:rPr>
          <w:rtl/>
        </w:rPr>
        <w:t>:</w:t>
      </w:r>
      <w:r w:rsidR="009C32A0">
        <w:rPr>
          <w:rtl/>
        </w:rPr>
        <w:t xml:space="preserve"> (</w:t>
      </w:r>
      <w:r>
        <w:rPr>
          <w:rtl/>
        </w:rPr>
        <w:t>(</w:t>
      </w:r>
      <w:r w:rsidR="009C32A0">
        <w:rPr>
          <w:rtl/>
        </w:rPr>
        <w:t>ما منكم من أحد إلا سيكلمه ربه</w:t>
      </w:r>
      <w:r>
        <w:rPr>
          <w:rtl/>
        </w:rPr>
        <w:t>،</w:t>
      </w:r>
      <w:r w:rsidR="009C32A0">
        <w:rPr>
          <w:rtl/>
        </w:rPr>
        <w:t xml:space="preserve"> ليس بينه وبينه ترجمان</w:t>
      </w:r>
      <w:r>
        <w:rPr>
          <w:rtl/>
        </w:rPr>
        <w:t>،</w:t>
      </w:r>
      <w:r w:rsidR="009C32A0">
        <w:rPr>
          <w:rtl/>
        </w:rPr>
        <w:t xml:space="preserve"> ولا حجاب يحجبه</w:t>
      </w:r>
      <w:r>
        <w:rPr>
          <w:rtl/>
        </w:rPr>
        <w:t>)</w:t>
      </w:r>
      <w:r w:rsidR="009C32A0">
        <w:rPr>
          <w:rtl/>
        </w:rPr>
        <w:t xml:space="preserve">) </w:t>
      </w:r>
      <w:r>
        <w:rPr>
          <w:rtl/>
        </w:rPr>
        <w:t>[</w:t>
      </w:r>
      <w:r w:rsidR="009C32A0">
        <w:rPr>
          <w:rtl/>
        </w:rPr>
        <w:t>أخرجه البخاري</w:t>
      </w:r>
      <w:r>
        <w:rPr>
          <w:rtl/>
        </w:rPr>
        <w:t>]،</w:t>
      </w:r>
      <w:r w:rsidR="009C32A0">
        <w:rPr>
          <w:rtl/>
        </w:rPr>
        <w:t xml:space="preserve"> </w:t>
      </w:r>
      <w:r>
        <w:rPr>
          <w:rtl/>
        </w:rPr>
        <w:t>(</w:t>
      </w:r>
      <w:r w:rsidR="009C32A0">
        <w:rPr>
          <w:rtl/>
        </w:rPr>
        <w:t>3</w:t>
      </w:r>
      <w:r>
        <w:rPr>
          <w:rtl/>
        </w:rPr>
        <w:t>)</w:t>
      </w:r>
      <w:r w:rsidR="009C32A0">
        <w:rPr>
          <w:rtl/>
        </w:rPr>
        <w:t xml:space="preserve"> والأحاديث الواردة في رؤية المؤمنين ربهم في الآخرة متواترة</w:t>
      </w:r>
      <w:r>
        <w:rPr>
          <w:rtl/>
        </w:rPr>
        <w:t>،</w:t>
      </w:r>
      <w:r w:rsidR="009C32A0">
        <w:rPr>
          <w:rtl/>
        </w:rPr>
        <w:t xml:space="preserve"> ذكر هذا التواتر الكتاني في نظم المتناثر</w:t>
      </w:r>
      <w:r>
        <w:rPr>
          <w:rtl/>
        </w:rPr>
        <w:t>،</w:t>
      </w:r>
      <w:r w:rsidR="009C32A0">
        <w:rPr>
          <w:rtl/>
        </w:rPr>
        <w:t xml:space="preserve"> و ابن حجر في فتح الباري</w:t>
      </w:r>
      <w:r>
        <w:rPr>
          <w:rtl/>
        </w:rPr>
        <w:t>،</w:t>
      </w:r>
      <w:r w:rsidR="009C32A0">
        <w:rPr>
          <w:rtl/>
        </w:rPr>
        <w:t xml:space="preserve"> و العيني في عمدة القاري</w:t>
      </w:r>
      <w:r>
        <w:rPr>
          <w:rtl/>
        </w:rPr>
        <w:t>،</w:t>
      </w:r>
      <w:r w:rsidR="009C32A0">
        <w:rPr>
          <w:rtl/>
        </w:rPr>
        <w:t xml:space="preserve"> و ابن حزم في الفصل</w:t>
      </w:r>
      <w:r>
        <w:rPr>
          <w:rtl/>
        </w:rPr>
        <w:t>،</w:t>
      </w:r>
      <w:r w:rsidR="009C32A0">
        <w:rPr>
          <w:rtl/>
        </w:rPr>
        <w:t xml:space="preserve"> و ابن تيمية في درء تعارض العقل والنقل وغيرهم</w:t>
      </w:r>
      <w:r>
        <w:rPr>
          <w:rtl/>
        </w:rPr>
        <w:t>،</w:t>
      </w:r>
      <w:r w:rsidR="009C32A0">
        <w:rPr>
          <w:rtl/>
        </w:rPr>
        <w:t xml:space="preserve"> والحمد لله أنّ على رؤية المؤمنين ربهم في الآخرة إجماع أهل السنة والجماعة المقتدى بهم في الدين</w:t>
      </w:r>
      <w:r>
        <w:rPr>
          <w:rtl/>
        </w:rPr>
        <w:t>،</w:t>
      </w:r>
      <w:r w:rsidR="009C32A0">
        <w:rPr>
          <w:rtl/>
        </w:rPr>
        <w:t xml:space="preserve"> نقله عنهم ابن تيمية فقال</w:t>
      </w:r>
      <w:r>
        <w:rPr>
          <w:rtl/>
        </w:rPr>
        <w:t>:</w:t>
      </w:r>
      <w:r w:rsidR="009C32A0">
        <w:rPr>
          <w:rtl/>
        </w:rPr>
        <w:t xml:space="preserve"> </w:t>
      </w:r>
      <w:r>
        <w:rPr>
          <w:rtl/>
        </w:rPr>
        <w:t>(</w:t>
      </w:r>
      <w:r w:rsidR="009C32A0">
        <w:rPr>
          <w:rtl/>
        </w:rPr>
        <w:t>أجمع سلف الأمة وأئمتها على أن المؤمنين يرون الله بأبصارهم في الآخرة</w:t>
      </w:r>
      <w:r>
        <w:rPr>
          <w:rtl/>
        </w:rPr>
        <w:t>)</w:t>
      </w:r>
      <w:r w:rsidR="009C32A0">
        <w:rPr>
          <w:rtl/>
        </w:rPr>
        <w:t xml:space="preserve"> </w:t>
      </w:r>
      <w:r>
        <w:rPr>
          <w:rtl/>
        </w:rPr>
        <w:t>[</w:t>
      </w:r>
      <w:r w:rsidR="009C32A0">
        <w:rPr>
          <w:rtl/>
        </w:rPr>
        <w:t>مجموع الفتاوى 6/512</w:t>
      </w:r>
      <w:r>
        <w:rPr>
          <w:rtl/>
        </w:rPr>
        <w:t>]، (</w:t>
      </w:r>
      <w:r w:rsidR="009C32A0">
        <w:rPr>
          <w:rtl/>
        </w:rPr>
        <w:t>4</w:t>
      </w:r>
      <w:r>
        <w:rPr>
          <w:rtl/>
        </w:rPr>
        <w:t>)</w:t>
      </w:r>
      <w:r w:rsidR="009C32A0">
        <w:rPr>
          <w:rtl/>
        </w:rPr>
        <w:t xml:space="preserve"> وقد اتفقت كلمة مدارس أهل السنة والجماعة المتخصصة في العقيدة </w:t>
      </w:r>
      <w:r>
        <w:rPr>
          <w:rtl/>
        </w:rPr>
        <w:t>(</w:t>
      </w:r>
      <w:r w:rsidR="009C32A0">
        <w:rPr>
          <w:rtl/>
        </w:rPr>
        <w:t>المدرسة الأثرية والمدرسة الأشعرية والمدرسة الماتريدية</w:t>
      </w:r>
      <w:r>
        <w:rPr>
          <w:rtl/>
        </w:rPr>
        <w:t>)</w:t>
      </w:r>
      <w:r w:rsidR="009C32A0">
        <w:rPr>
          <w:rtl/>
        </w:rPr>
        <w:t xml:space="preserve"> على رؤية الله تعالى في الآخرة</w:t>
      </w:r>
      <w:r>
        <w:rPr>
          <w:rtl/>
        </w:rPr>
        <w:t>،</w:t>
      </w:r>
      <w:r w:rsidR="009C32A0">
        <w:rPr>
          <w:rtl/>
        </w:rPr>
        <w:t xml:space="preserve"> ومنع منها المعتزلة والإمامية والإباضية</w:t>
      </w:r>
      <w:r>
        <w:rPr>
          <w:rtl/>
        </w:rPr>
        <w:t>،</w:t>
      </w:r>
      <w:r w:rsidR="009C32A0">
        <w:rPr>
          <w:rtl/>
        </w:rPr>
        <w:t xml:space="preserve"> وحججهم في الباب واهية لا تقوى على معارضة الأدلة من الكتاب والسنة والعقل</w:t>
      </w:r>
      <w:r>
        <w:rPr>
          <w:rtl/>
        </w:rPr>
        <w:t>،</w:t>
      </w:r>
      <w:r w:rsidR="009C32A0">
        <w:rPr>
          <w:rtl/>
        </w:rPr>
        <w:t xml:space="preserve"> </w:t>
      </w:r>
      <w:r>
        <w:rPr>
          <w:rtl/>
        </w:rPr>
        <w:t>(</w:t>
      </w:r>
      <w:r w:rsidR="009C32A0">
        <w:rPr>
          <w:rtl/>
        </w:rPr>
        <w:t>5</w:t>
      </w:r>
      <w:r>
        <w:rPr>
          <w:rtl/>
        </w:rPr>
        <w:t>)</w:t>
      </w:r>
      <w:r w:rsidR="009C32A0">
        <w:rPr>
          <w:rtl/>
        </w:rPr>
        <w:t xml:space="preserve"> إمكانية رؤية الله تعالى عقلاً</w:t>
      </w:r>
      <w:r>
        <w:rPr>
          <w:rtl/>
        </w:rPr>
        <w:t>:</w:t>
      </w:r>
      <w:r w:rsidR="009C32A0">
        <w:rPr>
          <w:rtl/>
        </w:rPr>
        <w:t xml:space="preserve"> رؤية الله تعالى غير ممتنعة عقلاً للأسباب التالية</w:t>
      </w:r>
      <w:r>
        <w:rPr>
          <w:rtl/>
        </w:rPr>
        <w:t>: (</w:t>
      </w:r>
      <w:r w:rsidR="009C32A0">
        <w:rPr>
          <w:rtl/>
        </w:rPr>
        <w:t>أ</w:t>
      </w:r>
      <w:r>
        <w:rPr>
          <w:rtl/>
        </w:rPr>
        <w:t>)</w:t>
      </w:r>
      <w:r w:rsidR="009C32A0">
        <w:rPr>
          <w:rtl/>
        </w:rPr>
        <w:t xml:space="preserve"> الله تعالى موجود</w:t>
      </w:r>
      <w:r>
        <w:rPr>
          <w:rtl/>
        </w:rPr>
        <w:t>،</w:t>
      </w:r>
      <w:r w:rsidR="009C32A0">
        <w:rPr>
          <w:rtl/>
        </w:rPr>
        <w:t xml:space="preserve"> وكل موجود تصح رؤيته</w:t>
      </w:r>
      <w:r>
        <w:rPr>
          <w:rtl/>
        </w:rPr>
        <w:t>،</w:t>
      </w:r>
      <w:r w:rsidR="009C32A0">
        <w:rPr>
          <w:rtl/>
        </w:rPr>
        <w:t xml:space="preserve"> لأنّ المصحح للرؤية الوجود</w:t>
      </w:r>
      <w:r>
        <w:rPr>
          <w:rtl/>
        </w:rPr>
        <w:t>،</w:t>
      </w:r>
      <w:r w:rsidR="009C32A0">
        <w:rPr>
          <w:rtl/>
        </w:rPr>
        <w:t xml:space="preserve"> وليس الجسم والشكل والصورة</w:t>
      </w:r>
      <w:r>
        <w:rPr>
          <w:rtl/>
        </w:rPr>
        <w:t>،</w:t>
      </w:r>
      <w:r w:rsidR="009C32A0">
        <w:rPr>
          <w:rtl/>
        </w:rPr>
        <w:t xml:space="preserve"> وإذا كان الله تعالى منزها عن ذلك كله</w:t>
      </w:r>
      <w:r>
        <w:rPr>
          <w:rtl/>
        </w:rPr>
        <w:t>،</w:t>
      </w:r>
      <w:r w:rsidR="009C32A0">
        <w:rPr>
          <w:rtl/>
        </w:rPr>
        <w:t xml:space="preserve"> لأنّه الخالق لها</w:t>
      </w:r>
      <w:r>
        <w:rPr>
          <w:rtl/>
        </w:rPr>
        <w:t>،</w:t>
      </w:r>
      <w:r w:rsidR="009C32A0">
        <w:rPr>
          <w:rtl/>
        </w:rPr>
        <w:t xml:space="preserve"> فليس يعني ذلك انتفاء الرؤية لأنّ المصحح للرؤية هو الوجود والله تعالى موجود</w:t>
      </w:r>
      <w:r>
        <w:rPr>
          <w:rtl/>
        </w:rPr>
        <w:t>،</w:t>
      </w:r>
      <w:r w:rsidR="009C32A0">
        <w:rPr>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Pr>
          <w:rtl/>
        </w:rPr>
        <w:t>،</w:t>
      </w:r>
      <w:r w:rsidR="009C32A0">
        <w:rPr>
          <w:rtl/>
        </w:rPr>
        <w:t xml:space="preserve"> فهذه لا يحيلها العقل وقد جاء الشرع بإثباتها</w:t>
      </w:r>
      <w:r>
        <w:rPr>
          <w:rtl/>
        </w:rPr>
        <w:t>،</w:t>
      </w:r>
      <w:r w:rsidR="009C32A0">
        <w:rPr>
          <w:rtl/>
        </w:rPr>
        <w:t xml:space="preserve"> فوجب اثباتها والايمان بها</w:t>
      </w:r>
      <w:r>
        <w:rPr>
          <w:rtl/>
        </w:rPr>
        <w:t>،</w:t>
      </w:r>
      <w:r w:rsidR="009C32A0">
        <w:rPr>
          <w:rtl/>
        </w:rPr>
        <w:t xml:space="preserve"> مع ما يتعلق بها من تقديس وتنزيه</w:t>
      </w:r>
      <w:r>
        <w:rPr>
          <w:rtl/>
        </w:rPr>
        <w:t>، (</w:t>
      </w:r>
      <w:r w:rsidR="009C32A0">
        <w:rPr>
          <w:rtl/>
        </w:rPr>
        <w:t>ب</w:t>
      </w:r>
      <w:r>
        <w:rPr>
          <w:rtl/>
        </w:rPr>
        <w:t>)</w:t>
      </w:r>
      <w:r w:rsidR="009C32A0">
        <w:rPr>
          <w:rtl/>
        </w:rPr>
        <w:t xml:space="preserve"> المانعون من الرؤية عقلا كان دليلهم هو أنّ الله تعالى ليس </w:t>
      </w:r>
      <w:r w:rsidR="009C32A0">
        <w:rPr>
          <w:rtl/>
        </w:rPr>
        <w:lastRenderedPageBreak/>
        <w:t>كمثله شيء منزه عن المكان وسائر الأمكنة والجهات إليه سواء</w:t>
      </w:r>
      <w:r>
        <w:rPr>
          <w:rtl/>
        </w:rPr>
        <w:t>،</w:t>
      </w:r>
      <w:r w:rsidR="009C32A0">
        <w:rPr>
          <w:rtl/>
        </w:rPr>
        <w:t xml:space="preserve"> والرؤية لا تكون إلا في جهة ومكان</w:t>
      </w:r>
      <w:r>
        <w:rPr>
          <w:rtl/>
        </w:rPr>
        <w:t>،</w:t>
      </w:r>
      <w:r w:rsidR="009C32A0">
        <w:rPr>
          <w:rtl/>
        </w:rPr>
        <w:t xml:space="preserve"> والمكان مستحيل على الله لأنّ الله تعالى خالق المكان</w:t>
      </w:r>
      <w:r>
        <w:rPr>
          <w:rtl/>
        </w:rPr>
        <w:t>،</w:t>
      </w:r>
      <w:r w:rsidR="009C32A0">
        <w:rPr>
          <w:rtl/>
        </w:rPr>
        <w:t xml:space="preserve"> نقول نعم للتنزيه</w:t>
      </w:r>
      <w:r>
        <w:rPr>
          <w:rtl/>
        </w:rPr>
        <w:t>،</w:t>
      </w:r>
      <w:r w:rsidR="009C32A0">
        <w:rPr>
          <w:rtl/>
        </w:rPr>
        <w:t xml:space="preserve"> ولكن ما علاقة الرؤية بالمكان والجهة</w:t>
      </w:r>
      <w:r>
        <w:rPr>
          <w:rtl/>
        </w:rPr>
        <w:t>،</w:t>
      </w:r>
      <w:r w:rsidR="009C32A0">
        <w:rPr>
          <w:rtl/>
        </w:rPr>
        <w:t xml:space="preserve"> إنّ موجب الرؤية هو الوجود</w:t>
      </w:r>
      <w:r>
        <w:rPr>
          <w:rtl/>
        </w:rPr>
        <w:t>،</w:t>
      </w:r>
      <w:r w:rsidR="009C32A0">
        <w:rPr>
          <w:rtl/>
        </w:rPr>
        <w:t xml:space="preserve"> والله هو الواجد لكل موجود</w:t>
      </w:r>
      <w:r>
        <w:rPr>
          <w:rtl/>
        </w:rPr>
        <w:t>،</w:t>
      </w:r>
      <w:r w:rsidR="009C32A0">
        <w:rPr>
          <w:rtl/>
        </w:rPr>
        <w:t xml:space="preserve"> نقول برؤيته - سبحانه - لا في جهة ولا في مكان</w:t>
      </w:r>
      <w:r>
        <w:rPr>
          <w:rtl/>
        </w:rPr>
        <w:t>،</w:t>
      </w:r>
      <w:r w:rsidR="009C32A0">
        <w:rPr>
          <w:rtl/>
        </w:rPr>
        <w:t xml:space="preserve"> وجميع المؤمنين لا يضامون في رؤيته والمعنى لا يتزاحمون لرؤيته</w:t>
      </w:r>
      <w:r>
        <w:rPr>
          <w:rtl/>
        </w:rPr>
        <w:t>،</w:t>
      </w:r>
      <w:r w:rsidR="009C32A0">
        <w:rPr>
          <w:rtl/>
        </w:rPr>
        <w:t xml:space="preserve"> فالكل يراه لا في جهة ولا في مكان</w:t>
      </w:r>
      <w:r>
        <w:rPr>
          <w:rtl/>
        </w:rPr>
        <w:t>،</w:t>
      </w:r>
      <w:r w:rsidR="009C32A0">
        <w:rPr>
          <w:rtl/>
        </w:rPr>
        <w:t xml:space="preserve"> قال تعالى </w:t>
      </w:r>
      <w:r>
        <w:rPr>
          <w:rtl/>
        </w:rPr>
        <w:t>{</w:t>
      </w:r>
      <w:r w:rsidR="009C32A0">
        <w:rPr>
          <w:rtl/>
        </w:rPr>
        <w:t>وَلِلَّهِ الْمَشْرِقُ وَالْمَغْرِبُ فَأَيْنَمَا تُوَلُّوا فَثَمَّ وَجْهُ اللَّهِ إِنَّ اللَّهَ وَاسِعٌ عَلِيمٌ</w:t>
      </w:r>
      <w:r>
        <w:rPr>
          <w:rtl/>
        </w:rPr>
        <w:t>}</w:t>
      </w:r>
      <w:r w:rsidR="009C32A0">
        <w:rPr>
          <w:rtl/>
        </w:rPr>
        <w:t xml:space="preserve"> </w:t>
      </w:r>
      <w:r>
        <w:rPr>
          <w:rtl/>
        </w:rPr>
        <w:t>[</w:t>
      </w:r>
      <w:r w:rsidR="009C32A0">
        <w:rPr>
          <w:rtl/>
        </w:rPr>
        <w:t>البقرة</w:t>
      </w:r>
      <w:r>
        <w:rPr>
          <w:rtl/>
        </w:rPr>
        <w:t>:</w:t>
      </w:r>
      <w:r w:rsidR="009C32A0">
        <w:rPr>
          <w:rtl/>
        </w:rPr>
        <w:t xml:space="preserve"> 115</w:t>
      </w:r>
      <w:r>
        <w:rPr>
          <w:rtl/>
        </w:rPr>
        <w:t>]،</w:t>
      </w:r>
      <w:r w:rsidR="009C32A0">
        <w:rPr>
          <w:rtl/>
        </w:rPr>
        <w:t xml:space="preserve"> فالأماكن كلها عند الله تعالى سواء</w:t>
      </w:r>
      <w:r>
        <w:rPr>
          <w:rtl/>
        </w:rPr>
        <w:t>، (</w:t>
      </w:r>
      <w:r w:rsidR="009C32A0">
        <w:rPr>
          <w:rtl/>
        </w:rPr>
        <w:t>ت</w:t>
      </w:r>
      <w:r>
        <w:rPr>
          <w:rtl/>
        </w:rPr>
        <w:t>)</w:t>
      </w:r>
      <w:r w:rsidR="009C32A0">
        <w:rPr>
          <w:rtl/>
        </w:rPr>
        <w:t xml:space="preserve"> المانعون من الرؤية عقلا كان دليلهم هو أنّ الرؤية لا تكون إلا بشعاع متصل بين العين والشيء المرئي</w:t>
      </w:r>
      <w:r>
        <w:rPr>
          <w:rtl/>
        </w:rPr>
        <w:t>،</w:t>
      </w:r>
      <w:r w:rsidR="009C32A0">
        <w:rPr>
          <w:rtl/>
        </w:rPr>
        <w:t xml:space="preserve"> وهذا محال على الله لأنّه منزه عن قوانين المادة والجسم</w:t>
      </w:r>
      <w:r>
        <w:rPr>
          <w:rtl/>
        </w:rPr>
        <w:t>،</w:t>
      </w:r>
      <w:r w:rsidR="009C32A0">
        <w:rPr>
          <w:rtl/>
        </w:rPr>
        <w:t xml:space="preserve"> والشعاع المتصل يكون بين الأجسام المادية</w:t>
      </w:r>
      <w:r>
        <w:rPr>
          <w:rtl/>
        </w:rPr>
        <w:t>،</w:t>
      </w:r>
      <w:r w:rsidR="009C32A0">
        <w:rPr>
          <w:rtl/>
        </w:rPr>
        <w:t xml:space="preserve"> ونقول نعم للتنزيه والتقديس</w:t>
      </w:r>
      <w:r>
        <w:rPr>
          <w:rtl/>
        </w:rPr>
        <w:t>،</w:t>
      </w:r>
      <w:r w:rsidR="009C32A0">
        <w:rPr>
          <w:rtl/>
        </w:rPr>
        <w:t xml:space="preserve"> ولكن لا علاقة أيضاً لإمكانية الرؤية بالأجسام والمواد واتصال الأشعة البصرية</w:t>
      </w:r>
      <w:r>
        <w:rPr>
          <w:rtl/>
        </w:rPr>
        <w:t>،</w:t>
      </w:r>
      <w:r w:rsidR="009C32A0">
        <w:rPr>
          <w:rtl/>
        </w:rPr>
        <w:t xml:space="preserve"> فالرؤية ممكنة بغير تلك الأسباب</w:t>
      </w:r>
      <w:r>
        <w:rPr>
          <w:rtl/>
        </w:rPr>
        <w:t>،</w:t>
      </w:r>
      <w:r w:rsidR="009C32A0">
        <w:rPr>
          <w:rtl/>
        </w:rPr>
        <w:t xml:space="preserve"> والله تعالى خالق الأسباب والمسببات</w:t>
      </w:r>
      <w:r>
        <w:rPr>
          <w:rtl/>
        </w:rPr>
        <w:t>،</w:t>
      </w:r>
      <w:r w:rsidR="009C32A0">
        <w:rPr>
          <w:rtl/>
        </w:rPr>
        <w:t xml:space="preserve"> وعلى ذلك نؤمن بالرؤية بلا مقابلة</w:t>
      </w:r>
      <w:r>
        <w:rPr>
          <w:rtl/>
        </w:rPr>
        <w:t>،</w:t>
      </w:r>
      <w:r w:rsidR="009C32A0">
        <w:rPr>
          <w:rtl/>
        </w:rPr>
        <w:t xml:space="preserve"> ولا اتصال أشعة البصر</w:t>
      </w:r>
      <w:r>
        <w:rPr>
          <w:rtl/>
        </w:rPr>
        <w:t>،</w:t>
      </w:r>
      <w:r w:rsidR="009C32A0">
        <w:rPr>
          <w:rtl/>
        </w:rPr>
        <w:t xml:space="preserve"> ولا إحاطة بصر</w:t>
      </w:r>
      <w:r>
        <w:rPr>
          <w:rtl/>
        </w:rPr>
        <w:t>، (</w:t>
      </w:r>
      <w:r w:rsidR="009C32A0">
        <w:rPr>
          <w:rtl/>
        </w:rPr>
        <w:t>ث</w:t>
      </w:r>
      <w:r>
        <w:rPr>
          <w:rtl/>
        </w:rPr>
        <w:t>)</w:t>
      </w:r>
      <w:r w:rsidR="009C32A0">
        <w:rPr>
          <w:rtl/>
        </w:rPr>
        <w:t xml:space="preserve"> المانعون من الرؤية كان دليلهم من الشرع هو قوله تعالى</w:t>
      </w:r>
      <w:r>
        <w:rPr>
          <w:rtl/>
        </w:rPr>
        <w:t>:</w:t>
      </w:r>
      <w:r w:rsidR="009C32A0">
        <w:rPr>
          <w:rtl/>
        </w:rPr>
        <w:t xml:space="preserve"> </w:t>
      </w:r>
      <w:r>
        <w:rPr>
          <w:rtl/>
        </w:rPr>
        <w:t>{</w:t>
      </w:r>
      <w:r w:rsidR="009C32A0">
        <w:rPr>
          <w:rtl/>
        </w:rPr>
        <w:t>لَا تُدْرِكُهُ الْأَبْصَارُ وَهُوَ يُدْرِكُ الْأَبْصَارَ وَهُوَ اللَّطِيفُ الْخَبِيرُ</w:t>
      </w:r>
      <w:r>
        <w:rPr>
          <w:rtl/>
        </w:rPr>
        <w:t>}</w:t>
      </w:r>
      <w:r w:rsidR="009C32A0">
        <w:rPr>
          <w:rtl/>
        </w:rPr>
        <w:t xml:space="preserve"> </w:t>
      </w:r>
      <w:r>
        <w:rPr>
          <w:rtl/>
        </w:rPr>
        <w:t>[</w:t>
      </w:r>
      <w:r w:rsidR="009C32A0">
        <w:rPr>
          <w:rtl/>
        </w:rPr>
        <w:t>الأنعام</w:t>
      </w:r>
      <w:r>
        <w:rPr>
          <w:rtl/>
        </w:rPr>
        <w:t>:</w:t>
      </w:r>
      <w:r w:rsidR="009C32A0">
        <w:rPr>
          <w:rtl/>
        </w:rPr>
        <w:t xml:space="preserve"> 103</w:t>
      </w:r>
      <w:r>
        <w:rPr>
          <w:rtl/>
        </w:rPr>
        <w:t>]،</w:t>
      </w:r>
      <w:r w:rsidR="009C32A0">
        <w:rPr>
          <w:rtl/>
        </w:rPr>
        <w:t xml:space="preserve"> فقالوا ما لا تدركه الأبصار فليس بمرئي</w:t>
      </w:r>
      <w:r>
        <w:rPr>
          <w:rtl/>
        </w:rPr>
        <w:t>،</w:t>
      </w:r>
      <w:r w:rsidR="009C32A0">
        <w:rPr>
          <w:rtl/>
        </w:rPr>
        <w:t xml:space="preserve"> وهذا فهم خاطئ للآية لأنّه لو كان المقصود نفي الرؤية لجاءت الآية </w:t>
      </w:r>
      <w:r>
        <w:rPr>
          <w:rtl/>
        </w:rPr>
        <w:t>(</w:t>
      </w:r>
      <w:r w:rsidR="009C32A0">
        <w:rPr>
          <w:rtl/>
        </w:rPr>
        <w:t>لا تراه الأبصار</w:t>
      </w:r>
      <w:r>
        <w:rPr>
          <w:rtl/>
        </w:rPr>
        <w:t>)،</w:t>
      </w:r>
      <w:r w:rsidR="009C32A0">
        <w:rPr>
          <w:rtl/>
        </w:rPr>
        <w:t xml:space="preserve"> ولكن الآية نفت الإدراك ولم تنف الرؤية</w:t>
      </w:r>
      <w:r>
        <w:rPr>
          <w:rtl/>
        </w:rPr>
        <w:t>، {</w:t>
      </w:r>
      <w:r w:rsidR="009C32A0">
        <w:rPr>
          <w:rtl/>
        </w:rPr>
        <w:t>لَا تُدْرِكُهُ الْأَبْصَارُ</w:t>
      </w:r>
      <w:r>
        <w:rPr>
          <w:rtl/>
        </w:rPr>
        <w:t>}</w:t>
      </w:r>
      <w:r w:rsidR="009C32A0">
        <w:rPr>
          <w:rtl/>
        </w:rPr>
        <w:t xml:space="preserve"> ونحن نقول بجواز الرؤية</w:t>
      </w:r>
      <w:r>
        <w:rPr>
          <w:rtl/>
        </w:rPr>
        <w:t xml:space="preserve"> </w:t>
      </w:r>
      <w:r w:rsidR="009C32A0">
        <w:rPr>
          <w:rtl/>
        </w:rPr>
        <w:t>ولكن بغير احاطة</w:t>
      </w:r>
      <w:r>
        <w:rPr>
          <w:rtl/>
        </w:rPr>
        <w:t>،</w:t>
      </w:r>
      <w:r w:rsidR="009C32A0">
        <w:rPr>
          <w:rtl/>
        </w:rPr>
        <w:t xml:space="preserve"> إذ هناك مخلوقات محدودة من خلق الله تعالى كالبحر نراها ولا نحيط بها</w:t>
      </w:r>
      <w:r>
        <w:rPr>
          <w:rtl/>
        </w:rPr>
        <w:t>،</w:t>
      </w:r>
      <w:r w:rsidR="009C32A0">
        <w:rPr>
          <w:rtl/>
        </w:rPr>
        <w:t xml:space="preserve"> فكيف نحيط برؤية الله وهو المنزه عن الحدود</w:t>
      </w:r>
      <w:r>
        <w:rPr>
          <w:rtl/>
        </w:rPr>
        <w:t>،</w:t>
      </w:r>
      <w:r w:rsidR="009C32A0">
        <w:rPr>
          <w:rtl/>
        </w:rPr>
        <w:t xml:space="preserve"> لا تدركه الأبصار لأنّه منزه عن الحد والمقدار</w:t>
      </w:r>
      <w:r>
        <w:rPr>
          <w:rtl/>
        </w:rPr>
        <w:t>،</w:t>
      </w:r>
      <w:r w:rsidR="009C32A0">
        <w:rPr>
          <w:rtl/>
        </w:rPr>
        <w:t xml:space="preserve"> واسع لا حد ولا نهاية لذاته</w:t>
      </w:r>
      <w:r>
        <w:rPr>
          <w:rtl/>
        </w:rPr>
        <w:t>،</w:t>
      </w:r>
      <w:r w:rsidR="009C32A0">
        <w:rPr>
          <w:rtl/>
        </w:rPr>
        <w:t xml:space="preserve"> أكبر من كل تصور</w:t>
      </w:r>
      <w:r>
        <w:rPr>
          <w:rtl/>
        </w:rPr>
        <w:t>،</w:t>
      </w:r>
      <w:r w:rsidR="009C32A0">
        <w:rPr>
          <w:rtl/>
        </w:rPr>
        <w:t xml:space="preserve"> وأعظم من أن تحيط به رؤية المحدود المخلوق</w:t>
      </w:r>
      <w:r>
        <w:rPr>
          <w:rtl/>
        </w:rPr>
        <w:t>،</w:t>
      </w:r>
      <w:r w:rsidR="009C32A0">
        <w:rPr>
          <w:rtl/>
        </w:rPr>
        <w:t xml:space="preserve"> </w:t>
      </w:r>
      <w:r>
        <w:rPr>
          <w:rtl/>
        </w:rPr>
        <w:t>(</w:t>
      </w:r>
      <w:r w:rsidR="009C32A0">
        <w:rPr>
          <w:rtl/>
        </w:rPr>
        <w:t>6</w:t>
      </w:r>
      <w:r>
        <w:rPr>
          <w:rtl/>
        </w:rPr>
        <w:t>)</w:t>
      </w:r>
      <w:r w:rsidR="009C32A0">
        <w:rPr>
          <w:rtl/>
        </w:rPr>
        <w:t xml:space="preserve"> تنزيهات متعلقة بالرؤية</w:t>
      </w:r>
      <w:r>
        <w:rPr>
          <w:rtl/>
        </w:rPr>
        <w:t>:</w:t>
      </w:r>
      <w:r w:rsidR="009C32A0">
        <w:rPr>
          <w:rtl/>
        </w:rPr>
        <w:t xml:space="preserve"> </w:t>
      </w:r>
      <w:r>
        <w:rPr>
          <w:rtl/>
        </w:rPr>
        <w:t>(</w:t>
      </w:r>
      <w:r w:rsidR="009C32A0">
        <w:rPr>
          <w:rtl/>
        </w:rPr>
        <w:t>أ</w:t>
      </w:r>
      <w:r>
        <w:rPr>
          <w:rtl/>
        </w:rPr>
        <w:t>)</w:t>
      </w:r>
      <w:r w:rsidR="009C32A0">
        <w:rPr>
          <w:rtl/>
        </w:rPr>
        <w:t xml:space="preserve"> رؤيه الله لا تحيط بذات الله</w:t>
      </w:r>
      <w:r>
        <w:rPr>
          <w:rtl/>
        </w:rPr>
        <w:t>،</w:t>
      </w:r>
      <w:r w:rsidR="009C32A0">
        <w:rPr>
          <w:rtl/>
        </w:rPr>
        <w:t xml:space="preserve"> وكيف يحيط المخلوق المحدود برؤية خالقه المنزه عن الحدود</w:t>
      </w:r>
      <w:r>
        <w:rPr>
          <w:rtl/>
        </w:rPr>
        <w:t>،</w:t>
      </w:r>
      <w:r w:rsidR="009C32A0">
        <w:rPr>
          <w:rtl/>
        </w:rPr>
        <w:t xml:space="preserve"> وكيف يحيط المخلوق المحدث برؤية الخالق القديم</w:t>
      </w:r>
      <w:r>
        <w:rPr>
          <w:rtl/>
        </w:rPr>
        <w:t>،</w:t>
      </w:r>
      <w:r w:rsidR="009C32A0">
        <w:rPr>
          <w:rtl/>
        </w:rPr>
        <w:t xml:space="preserve"> لا تدركه الأبصار لأنّه منزه عن الحد والمقدار</w:t>
      </w:r>
      <w:r>
        <w:rPr>
          <w:rtl/>
        </w:rPr>
        <w:t>،</w:t>
      </w:r>
      <w:r w:rsidR="009C32A0">
        <w:rPr>
          <w:rtl/>
        </w:rPr>
        <w:t xml:space="preserve"> قال تعالى</w:t>
      </w:r>
      <w:r>
        <w:rPr>
          <w:rtl/>
        </w:rPr>
        <w:t>:</w:t>
      </w:r>
      <w:r w:rsidR="009C32A0">
        <w:rPr>
          <w:rtl/>
        </w:rPr>
        <w:t xml:space="preserve"> </w:t>
      </w:r>
      <w:r>
        <w:rPr>
          <w:rtl/>
        </w:rPr>
        <w:t>{</w:t>
      </w:r>
      <w:r w:rsidR="009C32A0">
        <w:rPr>
          <w:rtl/>
        </w:rPr>
        <w:t>لَا تُدْرِكُهُ الْأَبْصَارُ وَهُوَ يُدْرِكُ الْأَبْصَارَ وَهُوَ اللَّطِيفُ الْخَبِيرُ</w:t>
      </w:r>
      <w:r>
        <w:rPr>
          <w:rtl/>
        </w:rPr>
        <w:t>}</w:t>
      </w:r>
      <w:r w:rsidR="009C32A0">
        <w:rPr>
          <w:rtl/>
        </w:rPr>
        <w:t xml:space="preserve"> </w:t>
      </w:r>
      <w:r>
        <w:rPr>
          <w:rtl/>
        </w:rPr>
        <w:t>[</w:t>
      </w:r>
      <w:r w:rsidR="009C32A0">
        <w:rPr>
          <w:rtl/>
        </w:rPr>
        <w:t>الأنعام</w:t>
      </w:r>
      <w:r>
        <w:rPr>
          <w:rtl/>
        </w:rPr>
        <w:t>:</w:t>
      </w:r>
      <w:r w:rsidR="009C32A0">
        <w:rPr>
          <w:rtl/>
        </w:rPr>
        <w:t xml:space="preserve"> 103</w:t>
      </w:r>
      <w:r>
        <w:rPr>
          <w:rtl/>
        </w:rPr>
        <w:t>]،</w:t>
      </w:r>
      <w:r w:rsidR="009C32A0">
        <w:rPr>
          <w:rtl/>
        </w:rPr>
        <w:t xml:space="preserve"> </w:t>
      </w:r>
      <w:r>
        <w:rPr>
          <w:rtl/>
        </w:rPr>
        <w:t>(</w:t>
      </w:r>
      <w:r w:rsidR="009C32A0">
        <w:rPr>
          <w:rtl/>
        </w:rPr>
        <w:t>ب</w:t>
      </w:r>
      <w:r>
        <w:rPr>
          <w:rtl/>
        </w:rPr>
        <w:t>)</w:t>
      </w:r>
      <w:r w:rsidR="009C32A0">
        <w:rPr>
          <w:rtl/>
        </w:rPr>
        <w:t xml:space="preserve"> ورؤية الله تعالى ليست في جهة ولا في مكان لأنّ ذات القدوس تقدس عن المكان</w:t>
      </w:r>
      <w:r>
        <w:rPr>
          <w:rtl/>
        </w:rPr>
        <w:t>،</w:t>
      </w:r>
      <w:r w:rsidR="009C32A0">
        <w:rPr>
          <w:rtl/>
        </w:rPr>
        <w:t xml:space="preserve"> لا تحيط به الجهات والأركان</w:t>
      </w:r>
      <w:r>
        <w:rPr>
          <w:rtl/>
        </w:rPr>
        <w:t>،</w:t>
      </w:r>
      <w:r w:rsidR="009C32A0">
        <w:rPr>
          <w:rtl/>
        </w:rPr>
        <w:t xml:space="preserve"> فهي رؤية منزهة عن الجهة والمكان والحد والمقدار</w:t>
      </w:r>
      <w:r>
        <w:rPr>
          <w:rtl/>
        </w:rPr>
        <w:t>،</w:t>
      </w:r>
      <w:r w:rsidR="009C32A0">
        <w:rPr>
          <w:rtl/>
        </w:rPr>
        <w:t xml:space="preserve"> منزهة عن الوصف</w:t>
      </w:r>
      <w:r>
        <w:rPr>
          <w:rtl/>
        </w:rPr>
        <w:t>،</w:t>
      </w:r>
      <w:r w:rsidR="009C32A0">
        <w:rPr>
          <w:rtl/>
        </w:rPr>
        <w:t xml:space="preserve"> </w:t>
      </w:r>
      <w:r>
        <w:rPr>
          <w:rtl/>
        </w:rPr>
        <w:t>(</w:t>
      </w:r>
      <w:r w:rsidR="009C32A0">
        <w:rPr>
          <w:rtl/>
        </w:rPr>
        <w:t>ت</w:t>
      </w:r>
      <w:r>
        <w:rPr>
          <w:rtl/>
        </w:rPr>
        <w:t>)</w:t>
      </w:r>
      <w:r w:rsidR="009C32A0">
        <w:rPr>
          <w:rtl/>
        </w:rPr>
        <w:t xml:space="preserve"> ورؤية الله ناشئة عن تجلى الرحمن الذي ليس كمثله شيء</w:t>
      </w:r>
      <w:r>
        <w:rPr>
          <w:rtl/>
        </w:rPr>
        <w:t>،</w:t>
      </w:r>
      <w:r w:rsidR="009C32A0">
        <w:rPr>
          <w:rtl/>
        </w:rPr>
        <w:t xml:space="preserve"> بطريق كشف الحجب عن الأبصار</w:t>
      </w:r>
      <w:r>
        <w:rPr>
          <w:rtl/>
        </w:rPr>
        <w:t>،</w:t>
      </w:r>
      <w:r w:rsidR="009C32A0">
        <w:rPr>
          <w:rtl/>
        </w:rPr>
        <w:t xml:space="preserve"> لأنّ الحجب تحجب رؤيتنا للعلي الجبار</w:t>
      </w:r>
      <w:r>
        <w:rPr>
          <w:rtl/>
        </w:rPr>
        <w:t>،</w:t>
      </w:r>
      <w:r w:rsidR="009C32A0">
        <w:rPr>
          <w:rtl/>
        </w:rPr>
        <w:t xml:space="preserve"> وهي تحجب المخلوق عن رؤية خالقه</w:t>
      </w:r>
      <w:r>
        <w:rPr>
          <w:rtl/>
        </w:rPr>
        <w:t>،</w:t>
      </w:r>
      <w:r w:rsidR="009C32A0">
        <w:rPr>
          <w:rtl/>
        </w:rPr>
        <w:t xml:space="preserve"> و إلا فذات الله تعالى ظاهرة لا يحجبها شيء أبدا</w:t>
      </w:r>
      <w:r>
        <w:rPr>
          <w:rtl/>
        </w:rPr>
        <w:t>،</w:t>
      </w:r>
      <w:r w:rsidR="009C32A0">
        <w:rPr>
          <w:rtl/>
        </w:rPr>
        <w:t xml:space="preserve"> وإنما هي حُجُب تحجب أبصار المخلوقين المحدودة عن رؤية الخالق الجليل الكبير المتعال</w:t>
      </w:r>
      <w:r>
        <w:rPr>
          <w:rtl/>
        </w:rPr>
        <w:t>،</w:t>
      </w:r>
      <w:r w:rsidR="009C32A0">
        <w:rPr>
          <w:rtl/>
        </w:rPr>
        <w:t xml:space="preserve"> فإذا كانت الآخرة </w:t>
      </w:r>
      <w:r w:rsidR="009C32A0">
        <w:rPr>
          <w:rtl/>
        </w:rPr>
        <w:lastRenderedPageBreak/>
        <w:t>تجلى الرحمن للمؤمنين وقد أعطاهم قوة التحمل لرؤيته سبحانه من غير احاطة</w:t>
      </w:r>
      <w:r>
        <w:rPr>
          <w:rtl/>
        </w:rPr>
        <w:t>،</w:t>
      </w:r>
      <w:r w:rsidR="009C32A0">
        <w:rPr>
          <w:rFonts w:ascii="Times New Roman" w:hAnsi="Times New Roman"/>
          <w:rtl/>
        </w:rPr>
        <w:t xml:space="preserve"> </w:t>
      </w:r>
      <w:r w:rsidR="009C32A0">
        <w:rPr>
          <w:rtl/>
        </w:rPr>
        <w:t>لا تدركه الأبصار وهو يدرك الأبصار وهو اللطيف الخبير</w:t>
      </w:r>
      <w:r>
        <w:rPr>
          <w:rtl/>
        </w:rPr>
        <w:t>،</w:t>
      </w:r>
    </w:p>
    <w:p w14:paraId="1C04EBC7" w14:textId="77777777" w:rsidR="009C32A0" w:rsidRPr="005675B2" w:rsidRDefault="009C32A0" w:rsidP="000636C2">
      <w:pPr>
        <w:jc w:val="center"/>
        <w:rPr>
          <w:bCs/>
          <w:rtl/>
          <w:lang w:bidi="ar-KW"/>
        </w:rPr>
      </w:pPr>
      <w:r w:rsidRPr="005675B2">
        <w:rPr>
          <w:rFonts w:hint="cs"/>
          <w:bCs/>
          <w:rtl/>
          <w:lang w:bidi="ar-KW"/>
        </w:rPr>
        <w:t>***</w:t>
      </w:r>
    </w:p>
    <w:p w14:paraId="03D602BE" w14:textId="77777777" w:rsidR="009C32A0" w:rsidRDefault="009C32A0" w:rsidP="000636C2">
      <w:pPr>
        <w:rPr>
          <w:bCs/>
          <w:rtl/>
          <w:lang w:bidi="ar-KW"/>
        </w:rPr>
      </w:pPr>
    </w:p>
    <w:p w14:paraId="4433F782" w14:textId="77777777" w:rsidR="009C32A0" w:rsidRPr="005675B2" w:rsidRDefault="009C32A0" w:rsidP="000636C2">
      <w:pPr>
        <w:rPr>
          <w:bCs/>
          <w:rtl/>
          <w:lang w:bidi="ar-KW"/>
        </w:rPr>
      </w:pPr>
    </w:p>
    <w:p w14:paraId="1F6FDA21" w14:textId="361A1A18" w:rsidR="009C32A0" w:rsidRPr="00306AAB" w:rsidRDefault="009C32A0" w:rsidP="00306AAB">
      <w:pPr>
        <w:pStyle w:val="2"/>
        <w:bidi/>
        <w:jc w:val="center"/>
        <w:rPr>
          <w:u w:val="none"/>
          <w:rtl/>
        </w:rPr>
      </w:pPr>
      <w:r w:rsidRPr="00306AAB">
        <w:rPr>
          <w:rFonts w:hint="cs"/>
          <w:u w:val="none"/>
          <w:rtl/>
        </w:rPr>
        <w:t>القاعدة الأولى من قواعد التوحيد والتقديس والتنزيه</w:t>
      </w:r>
      <w:r w:rsidR="00306AAB" w:rsidRPr="00306AAB">
        <w:rPr>
          <w:u w:val="none"/>
        </w:rPr>
        <w:t xml:space="preserve"> </w:t>
      </w:r>
      <w:r w:rsidRPr="00306AAB">
        <w:rPr>
          <w:rFonts w:hint="cs"/>
          <w:u w:val="none"/>
          <w:rtl/>
        </w:rPr>
        <w:t>تنزيه ذات الله تعالى عن الحد والمقدار الذي تتصف به ذات المخلوق</w:t>
      </w:r>
    </w:p>
    <w:p w14:paraId="7C5E8D22" w14:textId="77777777" w:rsidR="009C32A0" w:rsidRPr="005675B2" w:rsidRDefault="009C32A0" w:rsidP="000636C2">
      <w:pPr>
        <w:rPr>
          <w:b/>
          <w:bCs/>
          <w:rtl/>
        </w:rPr>
      </w:pPr>
    </w:p>
    <w:p w14:paraId="525957B2" w14:textId="3696CCB2" w:rsidR="009C32A0" w:rsidRPr="005675B2" w:rsidRDefault="009C32A0" w:rsidP="000636C2">
      <w:pPr>
        <w:rPr>
          <w:b/>
          <w:rtl/>
          <w:lang w:bidi="ar-KW"/>
        </w:rPr>
      </w:pPr>
      <w:r w:rsidRPr="005675B2">
        <w:rPr>
          <w:rFonts w:hint="cs"/>
          <w:rtl/>
        </w:rPr>
        <w:t>لا شك في أنّ أي شيء محدود له نهاية تحده</w:t>
      </w:r>
      <w:r w:rsidR="000636C2">
        <w:rPr>
          <w:rFonts w:hint="cs"/>
          <w:rtl/>
        </w:rPr>
        <w:t>،</w:t>
      </w:r>
      <w:r w:rsidRPr="005675B2">
        <w:rPr>
          <w:rFonts w:hint="cs"/>
          <w:rtl/>
        </w:rPr>
        <w:t xml:space="preserve"> والحد معناه التناهي</w:t>
      </w:r>
      <w:r w:rsidR="000636C2">
        <w:rPr>
          <w:rFonts w:hint="cs"/>
          <w:rtl/>
        </w:rPr>
        <w:t>،</w:t>
      </w:r>
      <w:r w:rsidRPr="005675B2">
        <w:rPr>
          <w:rFonts w:hint="cs"/>
          <w:rtl/>
        </w:rPr>
        <w:t xml:space="preserve"> والتناهي في ذات الله تعالى نقص لا يجوز وصف ذات الله تعالى به</w:t>
      </w:r>
      <w:r w:rsidR="000636C2">
        <w:rPr>
          <w:rFonts w:hint="cs"/>
          <w:rtl/>
        </w:rPr>
        <w:t>،</w:t>
      </w:r>
      <w:r w:rsidRPr="005675B2">
        <w:rPr>
          <w:rFonts w:hint="cs"/>
          <w:rtl/>
        </w:rPr>
        <w:t xml:space="preserve"> لأنّ الكمال أن لا يكون للشيء حد ونهاية ينتهي إليه</w:t>
      </w:r>
      <w:r w:rsidR="000636C2">
        <w:rPr>
          <w:rFonts w:hint="cs"/>
          <w:rtl/>
        </w:rPr>
        <w:t>،</w:t>
      </w:r>
      <w:r w:rsidRPr="005675B2">
        <w:rPr>
          <w:rFonts w:hint="cs"/>
          <w:rtl/>
        </w:rPr>
        <w:t xml:space="preserve"> وإلا جاز أن يكون فوقه ما هو أكبر منه</w:t>
      </w:r>
      <w:r w:rsidR="000636C2">
        <w:rPr>
          <w:rFonts w:hint="cs"/>
          <w:rtl/>
        </w:rPr>
        <w:t>،</w:t>
      </w:r>
      <w:r w:rsidRPr="005675B2">
        <w:rPr>
          <w:rFonts w:hint="cs"/>
          <w:rtl/>
        </w:rPr>
        <w:t xml:space="preserve"> والله تعالى أكبر من كل تصور</w:t>
      </w:r>
      <w:r w:rsidR="000636C2">
        <w:rPr>
          <w:rFonts w:hint="cs"/>
          <w:rtl/>
        </w:rPr>
        <w:t>،</w:t>
      </w:r>
      <w:r w:rsidRPr="005675B2">
        <w:rPr>
          <w:rFonts w:hint="cs"/>
          <w:rtl/>
        </w:rPr>
        <w:t xml:space="preserve"> وأكبر من كل حد</w:t>
      </w:r>
      <w:r w:rsidR="000636C2">
        <w:rPr>
          <w:rFonts w:hint="cs"/>
          <w:rtl/>
        </w:rPr>
        <w:t>،</w:t>
      </w:r>
      <w:r w:rsidRPr="005675B2">
        <w:rPr>
          <w:rFonts w:hint="cs"/>
          <w:rtl/>
        </w:rPr>
        <w:t xml:space="preserve"> وأكبر من كل مقدار</w:t>
      </w:r>
      <w:r w:rsidR="000636C2">
        <w:rPr>
          <w:rFonts w:hint="cs"/>
          <w:rtl/>
        </w:rPr>
        <w:t>،</w:t>
      </w:r>
      <w:r w:rsidRPr="005675B2">
        <w:rPr>
          <w:rFonts w:hint="cs"/>
          <w:rtl/>
        </w:rPr>
        <w:t xml:space="preserve"> وأكبر من كل نهاية</w:t>
      </w:r>
      <w:r w:rsidR="000636C2">
        <w:rPr>
          <w:rFonts w:hint="cs"/>
          <w:rtl/>
        </w:rPr>
        <w:t>،</w:t>
      </w:r>
      <w:r w:rsidRPr="005675B2">
        <w:rPr>
          <w:rFonts w:hint="cs"/>
          <w:rtl/>
        </w:rPr>
        <w:t xml:space="preserve"> وهو الكبير المتعال على الحدود</w:t>
      </w:r>
      <w:r w:rsidR="000636C2">
        <w:rPr>
          <w:rFonts w:hint="cs"/>
          <w:rtl/>
        </w:rPr>
        <w:t>،</w:t>
      </w:r>
      <w:r w:rsidRPr="005675B2">
        <w:rPr>
          <w:rFonts w:hint="cs"/>
          <w:rtl/>
        </w:rPr>
        <w:t xml:space="preserve"> القاهر لكل خلقه بما حدهم عليه من حدود</w:t>
      </w:r>
      <w:r w:rsidR="000636C2">
        <w:rPr>
          <w:rFonts w:hint="cs"/>
          <w:rtl/>
        </w:rPr>
        <w:t>،</w:t>
      </w:r>
      <w:r w:rsidRPr="005675B2">
        <w:rPr>
          <w:rFonts w:hint="cs"/>
          <w:rtl/>
        </w:rPr>
        <w:t xml:space="preserve"> فهو الذي حد الحدود على خلقه بقدرته</w:t>
      </w:r>
      <w:r w:rsidR="000636C2">
        <w:rPr>
          <w:rFonts w:hint="cs"/>
          <w:rtl/>
        </w:rPr>
        <w:t>،</w:t>
      </w:r>
      <w:r w:rsidRPr="005675B2">
        <w:rPr>
          <w:rFonts w:hint="cs"/>
          <w:rtl/>
        </w:rPr>
        <w:t xml:space="preserve"> وكتب النهايات على كل محدود</w:t>
      </w:r>
      <w:r w:rsidR="000636C2">
        <w:rPr>
          <w:rFonts w:hint="cs"/>
          <w:rtl/>
        </w:rPr>
        <w:t>،</w:t>
      </w:r>
      <w:r w:rsidRPr="005675B2">
        <w:rPr>
          <w:rFonts w:hint="cs"/>
          <w:rtl/>
        </w:rPr>
        <w:t xml:space="preserve"> ليدل بحده على أنّه مخلوق له خالق قهره بحد ونهاية لا يتجاوزها إلى غيرها</w:t>
      </w:r>
      <w:r w:rsidR="000636C2">
        <w:rPr>
          <w:rFonts w:hint="cs"/>
          <w:rtl/>
        </w:rPr>
        <w:t>،</w:t>
      </w:r>
      <w:r w:rsidRPr="005675B2">
        <w:rPr>
          <w:rFonts w:hint="cs"/>
          <w:rtl/>
        </w:rPr>
        <w:t xml:space="preserve"> وكل محدود مخلوق</w:t>
      </w:r>
      <w:r w:rsidR="000636C2">
        <w:rPr>
          <w:rFonts w:hint="cs"/>
          <w:rtl/>
        </w:rPr>
        <w:t>،</w:t>
      </w:r>
      <w:r w:rsidRPr="005675B2">
        <w:rPr>
          <w:rFonts w:hint="cs"/>
          <w:rtl/>
        </w:rPr>
        <w:t xml:space="preserve"> والخالق متعالي عن الحد والنهاية</w:t>
      </w:r>
      <w:r w:rsidR="000636C2">
        <w:rPr>
          <w:rFonts w:hint="cs"/>
          <w:rtl/>
        </w:rPr>
        <w:t xml:space="preserve">، </w:t>
      </w:r>
      <w:r w:rsidRPr="005675B2">
        <w:rPr>
          <w:rFonts w:hint="cs"/>
          <w:rtl/>
        </w:rPr>
        <w:t>لأنّ صفات الله تعالى لا تتناهى ولا حد لها</w:t>
      </w:r>
      <w:r w:rsidR="000636C2">
        <w:rPr>
          <w:rFonts w:hint="cs"/>
          <w:rtl/>
        </w:rPr>
        <w:t>،</w:t>
      </w:r>
      <w:r w:rsidRPr="005675B2">
        <w:rPr>
          <w:rFonts w:hint="cs"/>
          <w:rtl/>
        </w:rPr>
        <w:t xml:space="preserve"> فلا حد لعلمه</w:t>
      </w:r>
      <w:r w:rsidR="000636C2">
        <w:rPr>
          <w:rFonts w:hint="cs"/>
          <w:rtl/>
        </w:rPr>
        <w:t>،</w:t>
      </w:r>
      <w:r w:rsidRPr="005675B2">
        <w:rPr>
          <w:rFonts w:hint="cs"/>
          <w:rtl/>
        </w:rPr>
        <w:t xml:space="preserve"> ولا حد لقدرته</w:t>
      </w:r>
      <w:r w:rsidR="000636C2">
        <w:rPr>
          <w:rFonts w:hint="cs"/>
          <w:rtl/>
        </w:rPr>
        <w:t>،</w:t>
      </w:r>
      <w:r w:rsidRPr="005675B2">
        <w:rPr>
          <w:rFonts w:hint="cs"/>
          <w:rtl/>
        </w:rPr>
        <w:t xml:space="preserve"> ولا حد لرحمته</w:t>
      </w:r>
      <w:r w:rsidR="000636C2">
        <w:rPr>
          <w:rFonts w:hint="cs"/>
          <w:rtl/>
        </w:rPr>
        <w:t>،</w:t>
      </w:r>
      <w:r w:rsidRPr="005675B2">
        <w:rPr>
          <w:rFonts w:hint="cs"/>
          <w:rtl/>
        </w:rPr>
        <w:t xml:space="preserve"> ولا حد لعزته</w:t>
      </w:r>
      <w:r w:rsidR="000636C2">
        <w:rPr>
          <w:rFonts w:hint="cs"/>
          <w:rtl/>
        </w:rPr>
        <w:t>،</w:t>
      </w:r>
      <w:r w:rsidRPr="005675B2">
        <w:rPr>
          <w:rFonts w:hint="cs"/>
          <w:rtl/>
        </w:rPr>
        <w:t xml:space="preserve"> ومن كانت تلك صفاته</w:t>
      </w:r>
      <w:r w:rsidR="000636C2">
        <w:rPr>
          <w:rFonts w:hint="cs"/>
          <w:rtl/>
        </w:rPr>
        <w:t>،</w:t>
      </w:r>
      <w:r w:rsidRPr="005675B2">
        <w:rPr>
          <w:rFonts w:hint="cs"/>
          <w:rtl/>
        </w:rPr>
        <w:t xml:space="preserve"> فلا حد لذاته</w:t>
      </w:r>
      <w:r w:rsidR="000636C2">
        <w:rPr>
          <w:rFonts w:hint="cs"/>
          <w:rtl/>
        </w:rPr>
        <w:t>،</w:t>
      </w:r>
      <w:r w:rsidRPr="005675B2">
        <w:rPr>
          <w:rFonts w:hint="cs"/>
          <w:rtl/>
        </w:rPr>
        <w:t xml:space="preserve"> ومن الأدلة على تنزيه الله تعالى عن الحد والنهاية والمقدار ما يلي</w:t>
      </w:r>
      <w:r w:rsidR="000636C2">
        <w:rPr>
          <w:rFonts w:hint="cs"/>
          <w:rtl/>
        </w:rPr>
        <w:t>:</w:t>
      </w:r>
      <w:r w:rsidRPr="005675B2">
        <w:rPr>
          <w:rFonts w:hint="cs"/>
          <w:rtl/>
        </w:rPr>
        <w:t xml:space="preserve"> </w:t>
      </w:r>
      <w:r w:rsidR="000636C2">
        <w:rPr>
          <w:rFonts w:hint="cs"/>
          <w:rtl/>
        </w:rPr>
        <w:t>(</w:t>
      </w:r>
      <w:r w:rsidRPr="005675B2">
        <w:rPr>
          <w:rFonts w:hint="cs"/>
          <w:rtl/>
        </w:rPr>
        <w:t>أ</w:t>
      </w:r>
      <w:r w:rsidR="000636C2">
        <w:rPr>
          <w:rFonts w:hint="cs"/>
          <w:rtl/>
        </w:rPr>
        <w:t>)</w:t>
      </w:r>
      <w:r w:rsidRPr="005675B2">
        <w:rPr>
          <w:rFonts w:hint="cs"/>
          <w:rtl/>
        </w:rPr>
        <w:t xml:space="preserve"> الله تعالى هو </w:t>
      </w:r>
      <w:r w:rsidR="000636C2">
        <w:rPr>
          <w:rFonts w:hint="cs"/>
          <w:rtl/>
        </w:rPr>
        <w:t>{</w:t>
      </w:r>
      <w:r w:rsidRPr="005675B2">
        <w:rPr>
          <w:rFonts w:hint="cs"/>
          <w:rtl/>
        </w:rPr>
        <w:t>الواحد القهار</w:t>
      </w:r>
      <w:r w:rsidR="000636C2">
        <w:rPr>
          <w:rFonts w:hint="cs"/>
          <w:rtl/>
        </w:rPr>
        <w:t>}،</w:t>
      </w:r>
      <w:r w:rsidRPr="005675B2">
        <w:rPr>
          <w:rFonts w:hint="cs"/>
          <w:rtl/>
        </w:rPr>
        <w:t xml:space="preserve"> وقد تكرر ذكر </w:t>
      </w:r>
      <w:r w:rsidR="000636C2">
        <w:rPr>
          <w:rFonts w:hint="cs"/>
          <w:rtl/>
        </w:rPr>
        <w:t>{</w:t>
      </w:r>
      <w:r w:rsidRPr="005675B2">
        <w:rPr>
          <w:rFonts w:hint="cs"/>
          <w:rtl/>
        </w:rPr>
        <w:t>الواحد القهار</w:t>
      </w:r>
      <w:r w:rsidR="000636C2">
        <w:rPr>
          <w:rFonts w:hint="cs"/>
          <w:rtl/>
        </w:rPr>
        <w:t>}</w:t>
      </w:r>
      <w:r w:rsidRPr="005675B2">
        <w:rPr>
          <w:rFonts w:hint="cs"/>
          <w:rtl/>
        </w:rPr>
        <w:t xml:space="preserve"> في القرآن الكريم في ستة مواضع</w:t>
      </w:r>
      <w:r w:rsidR="000636C2">
        <w:rPr>
          <w:rFonts w:hint="cs"/>
          <w:rtl/>
        </w:rPr>
        <w:t>،</w:t>
      </w:r>
      <w:r w:rsidRPr="005675B2">
        <w:rPr>
          <w:rFonts w:hint="cs"/>
          <w:rtl/>
        </w:rPr>
        <w:t xml:space="preserve"> هي</w:t>
      </w:r>
      <w:r w:rsidR="000636C2">
        <w:rPr>
          <w:rFonts w:hint="cs"/>
          <w:rtl/>
        </w:rPr>
        <w:t xml:space="preserve"> </w:t>
      </w:r>
      <w:r w:rsidRPr="005675B2">
        <w:rPr>
          <w:rFonts w:hint="cs"/>
          <w:rtl/>
        </w:rPr>
        <w:t>قوله تعالى</w:t>
      </w:r>
      <w:r w:rsidR="000636C2">
        <w:rPr>
          <w:rFonts w:hint="cs"/>
          <w:rtl/>
        </w:rPr>
        <w:t>:</w:t>
      </w:r>
      <w:r w:rsidRPr="005675B2">
        <w:rPr>
          <w:rFonts w:hint="cs"/>
          <w:rtl/>
        </w:rPr>
        <w:t xml:space="preserve"> </w:t>
      </w:r>
      <w:r w:rsidR="000636C2">
        <w:rPr>
          <w:rFonts w:hint="cs"/>
          <w:rtl/>
        </w:rPr>
        <w:t>{</w:t>
      </w:r>
      <w:r w:rsidRPr="005675B2">
        <w:rPr>
          <w:rFonts w:hint="cs"/>
          <w:rtl/>
        </w:rPr>
        <w:t>قُلِ اللَّهُ خَالِقُ كُلِّ شَيْءٍ وَهُوَ الْوَاحِدُ الْقَهَّارُ</w:t>
      </w:r>
      <w:r w:rsidR="000636C2">
        <w:rPr>
          <w:rFonts w:hint="cs"/>
          <w:rtl/>
        </w:rPr>
        <w:t>}</w:t>
      </w:r>
      <w:r w:rsidRPr="005675B2">
        <w:rPr>
          <w:rFonts w:hint="cs"/>
          <w:rtl/>
        </w:rPr>
        <w:t xml:space="preserve"> </w:t>
      </w:r>
      <w:r w:rsidR="000636C2">
        <w:rPr>
          <w:rFonts w:hint="cs"/>
          <w:rtl/>
        </w:rPr>
        <w:t>[</w:t>
      </w:r>
      <w:r w:rsidRPr="005675B2">
        <w:rPr>
          <w:rFonts w:hint="cs"/>
          <w:rtl/>
        </w:rPr>
        <w:t>الرعد</w:t>
      </w:r>
      <w:r w:rsidR="000636C2">
        <w:rPr>
          <w:rFonts w:hint="cs"/>
          <w:rtl/>
        </w:rPr>
        <w:t>:</w:t>
      </w:r>
      <w:r w:rsidRPr="005675B2">
        <w:rPr>
          <w:rFonts w:hint="cs"/>
          <w:rtl/>
        </w:rPr>
        <w:t xml:space="preserve"> 16</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وَبَرَزُوا لِلَّهِ الْوَاحِدِ الْقَهَّارِ</w:t>
      </w:r>
      <w:r w:rsidR="000636C2">
        <w:rPr>
          <w:rFonts w:hint="cs"/>
          <w:rtl/>
        </w:rPr>
        <w:t>}</w:t>
      </w:r>
      <w:r w:rsidRPr="005675B2">
        <w:rPr>
          <w:rFonts w:hint="cs"/>
          <w:rtl/>
        </w:rPr>
        <w:t xml:space="preserve"> </w:t>
      </w:r>
      <w:r w:rsidR="000636C2">
        <w:rPr>
          <w:rFonts w:hint="cs"/>
          <w:rtl/>
        </w:rPr>
        <w:t>[</w:t>
      </w:r>
      <w:r w:rsidRPr="005675B2">
        <w:rPr>
          <w:rFonts w:hint="cs"/>
          <w:rtl/>
        </w:rPr>
        <w:t>إِبراهيم</w:t>
      </w:r>
      <w:r w:rsidR="000636C2">
        <w:rPr>
          <w:rFonts w:hint="cs"/>
          <w:rtl/>
        </w:rPr>
        <w:t>:</w:t>
      </w:r>
      <w:r w:rsidRPr="005675B2">
        <w:rPr>
          <w:rFonts w:hint="cs"/>
          <w:rtl/>
        </w:rPr>
        <w:t xml:space="preserve"> 48</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وَمَا مِنْ إِلَهٍ إِلَّا اللَّهُ الْوَاحِدُ الْقَهَّارُ</w:t>
      </w:r>
      <w:r w:rsidR="000636C2">
        <w:rPr>
          <w:rFonts w:hint="cs"/>
          <w:rtl/>
        </w:rPr>
        <w:t>}</w:t>
      </w:r>
      <w:r w:rsidRPr="005675B2">
        <w:rPr>
          <w:rFonts w:hint="cs"/>
          <w:rtl/>
        </w:rPr>
        <w:t xml:space="preserve"> </w:t>
      </w:r>
      <w:r w:rsidR="000636C2">
        <w:rPr>
          <w:rFonts w:hint="cs"/>
          <w:rtl/>
        </w:rPr>
        <w:t>[</w:t>
      </w:r>
      <w:r w:rsidRPr="005675B2">
        <w:rPr>
          <w:rFonts w:hint="cs"/>
          <w:rtl/>
        </w:rPr>
        <w:t>ص</w:t>
      </w:r>
      <w:r w:rsidR="000636C2">
        <w:rPr>
          <w:rFonts w:hint="cs"/>
          <w:rtl/>
        </w:rPr>
        <w:t>:</w:t>
      </w:r>
      <w:r w:rsidRPr="005675B2">
        <w:rPr>
          <w:rFonts w:hint="cs"/>
          <w:rtl/>
        </w:rPr>
        <w:t xml:space="preserve"> 65</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{سُبْحَانَهُ هُوَ اللَّهُ الْوَاحِدُ الْقَهَّارُ</w:t>
      </w:r>
      <w:r w:rsidR="000636C2">
        <w:rPr>
          <w:rFonts w:hint="cs"/>
          <w:rtl/>
        </w:rPr>
        <w:t>}</w:t>
      </w:r>
      <w:r w:rsidRPr="005675B2">
        <w:rPr>
          <w:rFonts w:hint="cs"/>
          <w:rtl/>
        </w:rPr>
        <w:t xml:space="preserve"> </w:t>
      </w:r>
      <w:r w:rsidR="000636C2">
        <w:rPr>
          <w:rFonts w:hint="cs"/>
          <w:rtl/>
        </w:rPr>
        <w:t>[</w:t>
      </w:r>
      <w:r w:rsidRPr="005675B2">
        <w:rPr>
          <w:rFonts w:hint="cs"/>
          <w:rtl/>
        </w:rPr>
        <w:t>الزمر</w:t>
      </w:r>
      <w:r w:rsidR="000636C2">
        <w:rPr>
          <w:rFonts w:hint="cs"/>
          <w:rtl/>
        </w:rPr>
        <w:t>:</w:t>
      </w:r>
      <w:r w:rsidRPr="005675B2">
        <w:rPr>
          <w:rFonts w:hint="cs"/>
          <w:rtl/>
        </w:rPr>
        <w:t xml:space="preserve"> 4</w:t>
      </w:r>
      <w:r w:rsidR="000636C2">
        <w:rPr>
          <w:rFonts w:hint="cs"/>
          <w:rtl/>
        </w:rPr>
        <w:t xml:space="preserve">]، </w:t>
      </w:r>
      <w:r w:rsidRPr="005675B2">
        <w:rPr>
          <w:rFonts w:hint="cs"/>
          <w:rtl/>
        </w:rPr>
        <w:t>وقوله تعالى</w:t>
      </w:r>
      <w:r w:rsidR="000636C2">
        <w:rPr>
          <w:rFonts w:hint="cs"/>
          <w:rtl/>
        </w:rPr>
        <w:t>:</w:t>
      </w:r>
      <w:r w:rsidRPr="005675B2">
        <w:rPr>
          <w:rFonts w:hint="cs"/>
          <w:rtl/>
        </w:rPr>
        <w:t xml:space="preserve"> </w:t>
      </w:r>
      <w:r w:rsidR="000636C2">
        <w:rPr>
          <w:rFonts w:hint="cs"/>
          <w:rtl/>
        </w:rPr>
        <w:t>{</w:t>
      </w:r>
      <w:r w:rsidRPr="005675B2">
        <w:rPr>
          <w:rFonts w:hint="cs"/>
          <w:rtl/>
        </w:rPr>
        <w:t xml:space="preserve">لِمَنِ </w:t>
      </w:r>
      <w:r w:rsidRPr="005675B2">
        <w:rPr>
          <w:rFonts w:hint="cs"/>
          <w:rtl/>
        </w:rPr>
        <w:lastRenderedPageBreak/>
        <w:t>الْمُلْكُ الْيَوْمَ لِلَّهِ الْوَاحِدِ الْقَهَّارِ</w:t>
      </w:r>
      <w:r w:rsidR="000636C2">
        <w:rPr>
          <w:rFonts w:hint="cs"/>
          <w:rtl/>
        </w:rPr>
        <w:t>}</w:t>
      </w:r>
      <w:r w:rsidRPr="005675B2">
        <w:rPr>
          <w:rFonts w:hint="cs"/>
          <w:rtl/>
        </w:rPr>
        <w:t xml:space="preserve"> </w:t>
      </w:r>
      <w:r w:rsidR="000636C2">
        <w:rPr>
          <w:rFonts w:hint="cs"/>
          <w:rtl/>
        </w:rPr>
        <w:t>[</w:t>
      </w:r>
      <w:r w:rsidRPr="005675B2">
        <w:rPr>
          <w:rFonts w:hint="cs"/>
          <w:rtl/>
        </w:rPr>
        <w:t>غافر</w:t>
      </w:r>
      <w:r w:rsidR="000636C2">
        <w:rPr>
          <w:rFonts w:hint="cs"/>
          <w:rtl/>
        </w:rPr>
        <w:t>:</w:t>
      </w:r>
      <w:r w:rsidRPr="005675B2">
        <w:rPr>
          <w:rFonts w:hint="cs"/>
          <w:rtl/>
        </w:rPr>
        <w:t xml:space="preserve"> 16</w:t>
      </w:r>
      <w:r w:rsidR="000636C2">
        <w:rPr>
          <w:rFonts w:hint="cs"/>
          <w:rtl/>
        </w:rPr>
        <w:t xml:space="preserve">]، </w:t>
      </w:r>
      <w:r w:rsidRPr="005675B2">
        <w:rPr>
          <w:rFonts w:hint="cs"/>
          <w:rtl/>
        </w:rPr>
        <w:t>وقوله تعالى</w:t>
      </w:r>
      <w:r w:rsidR="000636C2">
        <w:rPr>
          <w:rFonts w:hint="cs"/>
          <w:rtl/>
        </w:rPr>
        <w:t>:</w:t>
      </w:r>
      <w:r w:rsidRPr="005675B2">
        <w:rPr>
          <w:rFonts w:hint="cs"/>
          <w:rtl/>
        </w:rPr>
        <w:t xml:space="preserve"> </w:t>
      </w:r>
      <w:r w:rsidR="000636C2">
        <w:rPr>
          <w:rFonts w:hint="cs"/>
          <w:rtl/>
        </w:rPr>
        <w:t>{</w:t>
      </w:r>
      <w:r w:rsidRPr="005675B2">
        <w:rPr>
          <w:rFonts w:hint="cs"/>
          <w:rtl/>
        </w:rPr>
        <w:t>أَأَرْبَابٌ مُتَفَرِّقُونَ خَيْرٌ أَمِ اللَّهُ الْوَاحِدُ الْقَهَّارُ</w:t>
      </w:r>
      <w:r w:rsidR="000636C2">
        <w:rPr>
          <w:rFonts w:hint="cs"/>
          <w:rtl/>
        </w:rPr>
        <w:t>}</w:t>
      </w:r>
      <w:r w:rsidRPr="005675B2">
        <w:rPr>
          <w:rFonts w:hint="cs"/>
          <w:rtl/>
        </w:rPr>
        <w:t xml:space="preserve"> </w:t>
      </w:r>
      <w:r w:rsidR="000636C2">
        <w:rPr>
          <w:rFonts w:hint="cs"/>
          <w:rtl/>
        </w:rPr>
        <w:t>[</w:t>
      </w:r>
      <w:r w:rsidRPr="005675B2">
        <w:rPr>
          <w:rFonts w:hint="cs"/>
          <w:rtl/>
        </w:rPr>
        <w:t>يوسف</w:t>
      </w:r>
      <w:r w:rsidR="000636C2">
        <w:rPr>
          <w:rFonts w:hint="cs"/>
          <w:rtl/>
        </w:rPr>
        <w:t>:</w:t>
      </w:r>
      <w:r w:rsidRPr="005675B2">
        <w:rPr>
          <w:rFonts w:hint="cs"/>
          <w:rtl/>
        </w:rPr>
        <w:t xml:space="preserve"> 39</w:t>
      </w:r>
      <w:r w:rsidR="000636C2">
        <w:rPr>
          <w:rFonts w:hint="cs"/>
          <w:rtl/>
        </w:rPr>
        <w:t>]،</w:t>
      </w:r>
      <w:r w:rsidRPr="005675B2">
        <w:rPr>
          <w:rFonts w:hint="cs"/>
          <w:rtl/>
        </w:rPr>
        <w:t xml:space="preserve"> والله تعالى هو القاهر فوق عباده</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w:t>
      </w:r>
      <w:r w:rsidR="000636C2">
        <w:rPr>
          <w:rFonts w:hint="cs"/>
          <w:rtl/>
        </w:rPr>
        <w:t>{</w:t>
      </w:r>
      <w:r w:rsidRPr="005675B2">
        <w:rPr>
          <w:rFonts w:hint="cs"/>
          <w:rtl/>
        </w:rPr>
        <w:t>وَهُوَ الْقَاهِرُ فَوْقَ عِبَادِهِ</w:t>
      </w:r>
      <w:r w:rsidR="000636C2">
        <w:rPr>
          <w:rFonts w:hint="cs"/>
          <w:rtl/>
        </w:rPr>
        <w:t>}</w:t>
      </w:r>
      <w:r w:rsidRPr="005675B2">
        <w:rPr>
          <w:rFonts w:hint="cs"/>
          <w:rtl/>
        </w:rPr>
        <w:t xml:space="preserve"> </w:t>
      </w:r>
      <w:r w:rsidR="000636C2">
        <w:rPr>
          <w:rFonts w:hint="cs"/>
          <w:rtl/>
        </w:rPr>
        <w:t>[</w:t>
      </w:r>
      <w:r w:rsidRPr="005675B2">
        <w:rPr>
          <w:rFonts w:hint="cs"/>
          <w:rtl/>
        </w:rPr>
        <w:t>الأنعام 18</w:t>
      </w:r>
      <w:r w:rsidR="000636C2">
        <w:rPr>
          <w:rFonts w:hint="cs"/>
          <w:rtl/>
        </w:rPr>
        <w:t>]،</w:t>
      </w:r>
      <w:r w:rsidRPr="005675B2">
        <w:rPr>
          <w:rFonts w:hint="cs"/>
          <w:rtl/>
        </w:rPr>
        <w:t xml:space="preserve"> فالله تعالى هو الواحد القهار</w:t>
      </w:r>
      <w:r w:rsidR="000636C2">
        <w:rPr>
          <w:rFonts w:hint="cs"/>
          <w:rtl/>
        </w:rPr>
        <w:t>،</w:t>
      </w:r>
      <w:r w:rsidRPr="005675B2">
        <w:rPr>
          <w:rFonts w:hint="cs"/>
          <w:rtl/>
        </w:rPr>
        <w:t xml:space="preserve"> وهو سبحانه القاهر فوق عباده</w:t>
      </w:r>
      <w:r w:rsidR="000636C2">
        <w:rPr>
          <w:rFonts w:hint="cs"/>
          <w:rtl/>
        </w:rPr>
        <w:t>،</w:t>
      </w:r>
      <w:r w:rsidRPr="005675B2">
        <w:rPr>
          <w:rFonts w:hint="cs"/>
          <w:rtl/>
        </w:rPr>
        <w:t xml:space="preserve"> قهر الخلق أجمعين بالحدود والمقادير</w:t>
      </w:r>
      <w:r w:rsidR="000636C2">
        <w:rPr>
          <w:rFonts w:hint="cs"/>
          <w:rtl/>
        </w:rPr>
        <w:t>،</w:t>
      </w:r>
      <w:r w:rsidRPr="005675B2">
        <w:rPr>
          <w:rFonts w:hint="cs"/>
          <w:rtl/>
        </w:rPr>
        <w:t xml:space="preserve"> فليس مخلوق إلا مقهور بقدر معلوم وحد مخصوص</w:t>
      </w:r>
      <w:r w:rsidR="000636C2">
        <w:rPr>
          <w:rFonts w:hint="cs"/>
          <w:rtl/>
        </w:rPr>
        <w:t>،</w:t>
      </w:r>
      <w:r w:rsidRPr="005675B2">
        <w:rPr>
          <w:rFonts w:hint="cs"/>
          <w:rtl/>
        </w:rPr>
        <w:t xml:space="preserve"> لا يستطيع أن يتجاوز تلك الحدود</w:t>
      </w:r>
      <w:r w:rsidR="000636C2">
        <w:rPr>
          <w:rFonts w:hint="cs"/>
          <w:rtl/>
        </w:rPr>
        <w:t>،</w:t>
      </w:r>
      <w:r w:rsidRPr="005675B2">
        <w:rPr>
          <w:rFonts w:hint="cs"/>
          <w:rtl/>
        </w:rPr>
        <w:t xml:space="preserve"> لأنّه مقهور عليها</w:t>
      </w:r>
      <w:r w:rsidR="000636C2">
        <w:rPr>
          <w:rFonts w:hint="cs"/>
          <w:rtl/>
        </w:rPr>
        <w:t>،</w:t>
      </w:r>
      <w:r w:rsidRPr="005675B2">
        <w:rPr>
          <w:rFonts w:hint="cs"/>
          <w:rtl/>
        </w:rPr>
        <w:t xml:space="preserve"> والقاهر له هو خالقه الواحد القهار</w:t>
      </w:r>
      <w:r w:rsidR="000636C2">
        <w:rPr>
          <w:rFonts w:hint="cs"/>
          <w:rtl/>
        </w:rPr>
        <w:t>،</w:t>
      </w:r>
      <w:r w:rsidRPr="005675B2">
        <w:rPr>
          <w:rFonts w:hint="cs"/>
          <w:rtl/>
        </w:rPr>
        <w:t xml:space="preserve"> أما الخالق الواحد القهار فقد جل عن أن يقهره حدٌ أو يحده مقدار</w:t>
      </w:r>
      <w:r w:rsidR="000636C2">
        <w:rPr>
          <w:rFonts w:hint="cs"/>
          <w:rtl/>
        </w:rPr>
        <w:t>،</w:t>
      </w:r>
      <w:r w:rsidRPr="005675B2">
        <w:rPr>
          <w:rFonts w:hint="cs"/>
          <w:rtl/>
        </w:rPr>
        <w:t xml:space="preserve"> لأنّه قاهر الخلق بتلك الحدود والمقادير</w:t>
      </w:r>
      <w:r w:rsidR="000636C2">
        <w:rPr>
          <w:rFonts w:hint="cs"/>
          <w:rtl/>
        </w:rPr>
        <w:t>،</w:t>
      </w:r>
      <w:r w:rsidRPr="005675B2">
        <w:rPr>
          <w:rFonts w:hint="cs"/>
          <w:rtl/>
        </w:rPr>
        <w:t xml:space="preserve"> تنزه عن الحد والمقدار</w:t>
      </w:r>
      <w:r w:rsidR="000636C2">
        <w:rPr>
          <w:rFonts w:hint="cs"/>
          <w:rtl/>
        </w:rPr>
        <w:t>،</w:t>
      </w:r>
      <w:r w:rsidRPr="005675B2">
        <w:rPr>
          <w:rFonts w:hint="cs"/>
          <w:rtl/>
        </w:rPr>
        <w:t xml:space="preserve"> </w:t>
      </w:r>
      <w:r w:rsidR="000636C2">
        <w:rPr>
          <w:rFonts w:hint="cs"/>
          <w:rtl/>
        </w:rPr>
        <w:t>((</w:t>
      </w:r>
      <w:r>
        <w:rPr>
          <w:rFonts w:hint="cs"/>
          <w:rtl/>
        </w:rPr>
        <w:t>تنبيه</w:t>
      </w:r>
      <w:r w:rsidR="000636C2">
        <w:rPr>
          <w:rFonts w:hint="cs"/>
          <w:rtl/>
        </w:rPr>
        <w:t xml:space="preserve">)): </w:t>
      </w:r>
      <w:r w:rsidRPr="005675B2">
        <w:rPr>
          <w:rFonts w:hint="cs"/>
          <w:rtl/>
        </w:rPr>
        <w:t>كل مخلوق مهما كبر حجمه أو جل مقداره</w:t>
      </w:r>
      <w:r w:rsidR="000636C2">
        <w:rPr>
          <w:rFonts w:hint="cs"/>
          <w:rtl/>
        </w:rPr>
        <w:t>،</w:t>
      </w:r>
      <w:r w:rsidRPr="005675B2">
        <w:rPr>
          <w:rFonts w:hint="cs"/>
          <w:rtl/>
        </w:rPr>
        <w:t xml:space="preserve"> إلا أنّه محدود متناهي مقدر بمقدار</w:t>
      </w:r>
      <w:r w:rsidR="000636C2">
        <w:rPr>
          <w:rFonts w:hint="cs"/>
          <w:rtl/>
        </w:rPr>
        <w:t>،</w:t>
      </w:r>
      <w:r w:rsidRPr="005675B2">
        <w:rPr>
          <w:rFonts w:hint="cs"/>
          <w:rtl/>
        </w:rPr>
        <w:t xml:space="preserve"> مقهور للحدود والقيود الحاكمة عليه</w:t>
      </w:r>
      <w:r w:rsidR="000636C2">
        <w:rPr>
          <w:rFonts w:hint="cs"/>
          <w:rtl/>
        </w:rPr>
        <w:t>،</w:t>
      </w:r>
      <w:r w:rsidRPr="005675B2">
        <w:rPr>
          <w:rFonts w:hint="cs"/>
          <w:rtl/>
        </w:rPr>
        <w:t xml:space="preserve"> أما الله تعالى الواحد القهار فإنه لما</w:t>
      </w:r>
      <w:r w:rsidR="000636C2">
        <w:rPr>
          <w:rFonts w:hint="cs"/>
          <w:rtl/>
        </w:rPr>
        <w:t xml:space="preserve"> </w:t>
      </w:r>
      <w:r w:rsidRPr="005675B2">
        <w:rPr>
          <w:rFonts w:hint="cs"/>
          <w:rtl/>
        </w:rPr>
        <w:t>كان قاهراً من كلّ الجهات لم تتحكّم فيه الحدود</w:t>
      </w:r>
      <w:r w:rsidR="000636C2">
        <w:rPr>
          <w:rFonts w:hint="cs"/>
          <w:rtl/>
        </w:rPr>
        <w:t>،</w:t>
      </w:r>
      <w:r w:rsidRPr="005675B2">
        <w:rPr>
          <w:rFonts w:hint="cs"/>
          <w:rtl/>
        </w:rPr>
        <w:t xml:space="preserve"> وإذا كان تعالى لا يقهره شيء وهو القاهر فوق كلّ شيء، فليس بمحدود في شيء، فهو الواحد القهار لا يشوبه نقص</w:t>
      </w:r>
      <w:r w:rsidR="000636C2">
        <w:rPr>
          <w:rFonts w:hint="cs"/>
          <w:rtl/>
        </w:rPr>
        <w:t>،</w:t>
      </w:r>
      <w:r w:rsidRPr="005675B2">
        <w:rPr>
          <w:rFonts w:hint="cs"/>
          <w:rtl/>
        </w:rPr>
        <w:t xml:space="preserve"> ولا يحده حد</w:t>
      </w:r>
      <w:r w:rsidR="000636C2">
        <w:rPr>
          <w:rFonts w:hint="cs"/>
          <w:rtl/>
        </w:rPr>
        <w:t>،</w:t>
      </w:r>
      <w:r w:rsidRPr="005675B2">
        <w:rPr>
          <w:rFonts w:hint="cs"/>
          <w:rtl/>
        </w:rPr>
        <w:t xml:space="preserve"> ولا يقدره مقدار</w:t>
      </w:r>
      <w:r w:rsidR="000636C2">
        <w:rPr>
          <w:rFonts w:hint="cs"/>
          <w:rtl/>
        </w:rPr>
        <w:t>،</w:t>
      </w:r>
      <w:r w:rsidRPr="005675B2">
        <w:rPr>
          <w:rFonts w:hint="cs"/>
          <w:rtl/>
        </w:rPr>
        <w:t xml:space="preserve"> كيف وهو الذي خلق الحدود والمقادير وهو الواحد القهار</w:t>
      </w:r>
      <w:r w:rsidR="000636C2">
        <w:rPr>
          <w:rFonts w:hint="cs"/>
          <w:rtl/>
        </w:rPr>
        <w:t>،</w:t>
      </w:r>
      <w:r w:rsidRPr="005675B2">
        <w:rPr>
          <w:rFonts w:hint="cs"/>
          <w:rtl/>
        </w:rPr>
        <w:t xml:space="preserve"> </w:t>
      </w:r>
      <w:r w:rsidR="000636C2">
        <w:rPr>
          <w:rFonts w:hint="cs"/>
          <w:rtl/>
        </w:rPr>
        <w:t>(</w:t>
      </w:r>
      <w:r w:rsidRPr="005675B2">
        <w:rPr>
          <w:rFonts w:hint="cs"/>
          <w:rtl/>
        </w:rPr>
        <w:t>ب</w:t>
      </w:r>
      <w:r w:rsidR="000636C2">
        <w:rPr>
          <w:rFonts w:hint="cs"/>
          <w:rtl/>
        </w:rPr>
        <w:t>)</w:t>
      </w:r>
      <w:r w:rsidRPr="005675B2">
        <w:rPr>
          <w:rFonts w:hint="cs"/>
          <w:rtl/>
        </w:rPr>
        <w:t xml:space="preserve">بين الله تعالى في كتابه الكريم أنه تعالى خلق الأشياء وخصصها بما هي عليه من قدر معين قال تعالى: </w:t>
      </w:r>
      <w:r w:rsidR="000636C2">
        <w:rPr>
          <w:rFonts w:hint="cs"/>
          <w:rtl/>
        </w:rPr>
        <w:t>{</w:t>
      </w:r>
      <w:r w:rsidRPr="005675B2">
        <w:rPr>
          <w:rFonts w:hint="cs"/>
          <w:rtl/>
        </w:rPr>
        <w:t>وخلق كل شيء فقدره تقديراً</w:t>
      </w:r>
      <w:r w:rsidR="000636C2">
        <w:rPr>
          <w:rFonts w:hint="cs"/>
          <w:rtl/>
        </w:rPr>
        <w:t>}،</w:t>
      </w:r>
      <w:r w:rsidRPr="005675B2">
        <w:rPr>
          <w:rFonts w:hint="cs"/>
          <w:rtl/>
        </w:rPr>
        <w:t xml:space="preserve"> وقال تعالى</w:t>
      </w:r>
      <w:r w:rsidR="000636C2">
        <w:rPr>
          <w:rFonts w:hint="cs"/>
          <w:rtl/>
        </w:rPr>
        <w:t>:{</w:t>
      </w:r>
      <w:r w:rsidRPr="005675B2">
        <w:rPr>
          <w:rFonts w:hint="cs"/>
          <w:rtl/>
        </w:rPr>
        <w:t>جعل الله لكل شيء قدرا</w:t>
      </w:r>
      <w:r w:rsidR="000636C2">
        <w:rPr>
          <w:rFonts w:hint="cs"/>
          <w:rtl/>
        </w:rPr>
        <w:t>}،</w:t>
      </w:r>
      <w:r w:rsidRPr="005675B2">
        <w:rPr>
          <w:rFonts w:hint="cs"/>
          <w:rtl/>
        </w:rPr>
        <w:t xml:space="preserve"> وقال تعالى</w:t>
      </w:r>
      <w:r w:rsidR="000636C2">
        <w:rPr>
          <w:rFonts w:hint="cs"/>
          <w:rtl/>
        </w:rPr>
        <w:t>:</w:t>
      </w:r>
      <w:r w:rsidRPr="005675B2">
        <w:rPr>
          <w:rFonts w:hint="cs"/>
          <w:rtl/>
        </w:rPr>
        <w:t>{وإن من شيء إلاّ عندنا خزآئنه وما ننزله إلا بقدر معلوم</w:t>
      </w:r>
      <w:r w:rsidR="000636C2">
        <w:rPr>
          <w:rFonts w:hint="cs"/>
          <w:rtl/>
        </w:rPr>
        <w:t xml:space="preserve">}، </w:t>
      </w:r>
      <w:r w:rsidRPr="005675B2">
        <w:rPr>
          <w:rFonts w:hint="cs"/>
          <w:rtl/>
        </w:rPr>
        <w:t>وقال تعالى</w:t>
      </w:r>
      <w:r w:rsidR="000636C2">
        <w:rPr>
          <w:rFonts w:hint="cs"/>
          <w:rtl/>
        </w:rPr>
        <w:t>:</w:t>
      </w:r>
      <w:r w:rsidRPr="005675B2">
        <w:rPr>
          <w:rFonts w:hint="cs"/>
          <w:rtl/>
        </w:rPr>
        <w:t xml:space="preserve"> </w:t>
      </w:r>
      <w:r w:rsidR="000636C2">
        <w:rPr>
          <w:rFonts w:hint="cs"/>
          <w:rtl/>
        </w:rPr>
        <w:t>{</w:t>
      </w:r>
      <w:r w:rsidRPr="005675B2">
        <w:rPr>
          <w:rFonts w:hint="cs"/>
          <w:rtl/>
        </w:rPr>
        <w:t>إنا كل شيء خلقناه بقدر</w:t>
      </w:r>
      <w:r w:rsidR="000636C2">
        <w:rPr>
          <w:rFonts w:hint="cs"/>
          <w:rtl/>
        </w:rPr>
        <w:t xml:space="preserve">}، </w:t>
      </w:r>
      <w:r w:rsidRPr="005675B2">
        <w:rPr>
          <w:rFonts w:hint="cs"/>
          <w:rtl/>
        </w:rPr>
        <w:t>وقال تعالى</w:t>
      </w:r>
      <w:r w:rsidR="000636C2">
        <w:rPr>
          <w:rFonts w:hint="cs"/>
          <w:rtl/>
        </w:rPr>
        <w:t>:</w:t>
      </w:r>
      <w:r w:rsidRPr="005675B2">
        <w:rPr>
          <w:rFonts w:hint="cs"/>
          <w:rtl/>
        </w:rPr>
        <w:t xml:space="preserve"> </w:t>
      </w:r>
      <w:r w:rsidR="000636C2">
        <w:rPr>
          <w:rFonts w:hint="cs"/>
          <w:rtl/>
        </w:rPr>
        <w:t>{</w:t>
      </w:r>
      <w:r w:rsidRPr="005675B2">
        <w:rPr>
          <w:rFonts w:hint="cs"/>
          <w:rtl/>
        </w:rPr>
        <w:t>قد جعل الله لكل شيء قدرا</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w:t>
      </w:r>
      <w:r w:rsidR="000636C2">
        <w:rPr>
          <w:rFonts w:hint="cs"/>
          <w:rtl/>
        </w:rPr>
        <w:t>{</w:t>
      </w:r>
      <w:r w:rsidRPr="005675B2">
        <w:rPr>
          <w:rFonts w:hint="cs"/>
          <w:rtl/>
        </w:rPr>
        <w:t>وكل شيء عنده بمقدار</w:t>
      </w:r>
      <w:r w:rsidR="000636C2">
        <w:rPr>
          <w:rFonts w:hint="cs"/>
          <w:rtl/>
        </w:rPr>
        <w:t>}،</w:t>
      </w:r>
      <w:r w:rsidRPr="005675B2">
        <w:rPr>
          <w:rFonts w:hint="cs"/>
          <w:rtl/>
        </w:rPr>
        <w:t xml:space="preserve"> ومعنى هذه الآيات</w:t>
      </w:r>
      <w:r w:rsidR="000636C2">
        <w:rPr>
          <w:rFonts w:hint="cs"/>
          <w:rtl/>
        </w:rPr>
        <w:t xml:space="preserve"> </w:t>
      </w:r>
      <w:r w:rsidRPr="005675B2">
        <w:rPr>
          <w:rFonts w:hint="cs"/>
          <w:rtl/>
        </w:rPr>
        <w:t xml:space="preserve">أن الله عز وجل خص كل مخلوق </w:t>
      </w:r>
      <w:r w:rsidR="000636C2">
        <w:rPr>
          <w:rFonts w:hint="cs"/>
          <w:rtl/>
        </w:rPr>
        <w:t>(</w:t>
      </w:r>
      <w:r w:rsidRPr="005675B2">
        <w:rPr>
          <w:rFonts w:hint="cs"/>
          <w:rtl/>
        </w:rPr>
        <w:t>بحد ومقدار</w:t>
      </w:r>
      <w:r w:rsidR="000636C2">
        <w:rPr>
          <w:rFonts w:hint="cs"/>
          <w:rtl/>
        </w:rPr>
        <w:t>)</w:t>
      </w:r>
      <w:r w:rsidRPr="005675B2">
        <w:rPr>
          <w:rFonts w:hint="cs"/>
          <w:rtl/>
        </w:rPr>
        <w:t xml:space="preserve"> لا يجاوزهما ولا يقصر عنهما</w:t>
      </w:r>
      <w:r w:rsidR="000636C2">
        <w:rPr>
          <w:rFonts w:hint="cs"/>
          <w:rtl/>
        </w:rPr>
        <w:t>،</w:t>
      </w:r>
      <w:r w:rsidRPr="005675B2">
        <w:rPr>
          <w:rFonts w:hint="cs"/>
          <w:rtl/>
        </w:rPr>
        <w:t xml:space="preserve"> والحد والمقدار سمتان من سمات المخلوق وبيان أن هناك خالق مقدِر خصصه على هذا الحد وهذا المقدار</w:t>
      </w:r>
      <w:r w:rsidR="000636C2">
        <w:rPr>
          <w:rFonts w:hint="cs"/>
          <w:rtl/>
        </w:rPr>
        <w:t>،</w:t>
      </w:r>
      <w:r w:rsidRPr="005675B2">
        <w:rPr>
          <w:rFonts w:hint="cs"/>
          <w:rtl/>
        </w:rPr>
        <w:t xml:space="preserve"> فكل موجود له حد ونهاية يكون الحد والنهاية دليل على انه مخلوق حادث</w:t>
      </w:r>
      <w:r w:rsidR="000636C2">
        <w:rPr>
          <w:rFonts w:hint="cs"/>
          <w:rtl/>
        </w:rPr>
        <w:t xml:space="preserve">، </w:t>
      </w:r>
      <w:r w:rsidRPr="005675B2">
        <w:rPr>
          <w:rFonts w:hint="cs"/>
          <w:rtl/>
        </w:rPr>
        <w:t>وأن موجده ومخصصه على هذه الحال هو الله تعالى فمحال أن يكون الوصف</w:t>
      </w:r>
      <w:r w:rsidRPr="005675B2">
        <w:rPr>
          <w:rFonts w:hint="cs"/>
        </w:rPr>
        <w:t xml:space="preserve"> </w:t>
      </w:r>
      <w:r w:rsidRPr="005675B2">
        <w:rPr>
          <w:rFonts w:hint="cs"/>
          <w:rtl/>
        </w:rPr>
        <w:t>الذي يحتج به على الحدوث والمخلوقية وصفا لله تعالى في ذاته أو صفاته فلا حد لذات الله تعالى وتقدس ولا حد لصفات الله عز وجل</w:t>
      </w:r>
      <w:r w:rsidR="000636C2">
        <w:rPr>
          <w:rFonts w:hint="cs"/>
          <w:rtl/>
        </w:rPr>
        <w:t>،</w:t>
      </w:r>
      <w:r w:rsidRPr="005675B2">
        <w:rPr>
          <w:rFonts w:hint="cs"/>
          <w:rtl/>
        </w:rPr>
        <w:t xml:space="preserve"> </w:t>
      </w:r>
      <w:r w:rsidR="000636C2">
        <w:rPr>
          <w:rFonts w:hint="cs"/>
          <w:rtl/>
        </w:rPr>
        <w:t>(</w:t>
      </w:r>
      <w:r w:rsidRPr="005675B2">
        <w:rPr>
          <w:rFonts w:hint="cs"/>
          <w:rtl/>
        </w:rPr>
        <w:t>ت</w:t>
      </w:r>
      <w:r w:rsidR="000636C2">
        <w:rPr>
          <w:rFonts w:hint="cs"/>
          <w:rtl/>
        </w:rPr>
        <w:t>)</w:t>
      </w:r>
      <w:r w:rsidRPr="005675B2">
        <w:rPr>
          <w:rFonts w:hint="cs"/>
          <w:rtl/>
        </w:rPr>
        <w:t xml:space="preserve"> القاعدة تقول</w:t>
      </w:r>
      <w:r w:rsidR="000636C2">
        <w:rPr>
          <w:rFonts w:hint="cs"/>
          <w:rtl/>
        </w:rPr>
        <w:t>:</w:t>
      </w:r>
      <w:r w:rsidRPr="005675B2">
        <w:rPr>
          <w:rFonts w:hint="cs"/>
          <w:rtl/>
        </w:rPr>
        <w:t>كل ما يقبل الحد</w:t>
      </w:r>
      <w:r w:rsidR="000636C2">
        <w:rPr>
          <w:rFonts w:hint="cs"/>
          <w:rtl/>
        </w:rPr>
        <w:t xml:space="preserve"> </w:t>
      </w:r>
      <w:r w:rsidRPr="005675B2">
        <w:rPr>
          <w:rFonts w:hint="cs"/>
          <w:rtl/>
        </w:rPr>
        <w:t>فهو محدود</w:t>
      </w:r>
      <w:r w:rsidR="000636C2">
        <w:rPr>
          <w:rFonts w:hint="cs"/>
          <w:rtl/>
        </w:rPr>
        <w:t>،</w:t>
      </w:r>
      <w:r w:rsidRPr="005675B2">
        <w:rPr>
          <w:rFonts w:hint="cs"/>
          <w:rtl/>
        </w:rPr>
        <w:t xml:space="preserve"> وما يحد شيء بحد إلا وهو متناهي الذات</w:t>
      </w:r>
      <w:r w:rsidR="000636C2">
        <w:rPr>
          <w:rFonts w:hint="cs"/>
          <w:rtl/>
        </w:rPr>
        <w:t>،</w:t>
      </w:r>
      <w:r w:rsidRPr="005675B2">
        <w:rPr>
          <w:rFonts w:hint="cs"/>
          <w:rtl/>
        </w:rPr>
        <w:t xml:space="preserve"> وكل</w:t>
      </w:r>
      <w:r w:rsidRPr="005675B2">
        <w:rPr>
          <w:rFonts w:hint="cs"/>
        </w:rPr>
        <w:t xml:space="preserve"> </w:t>
      </w:r>
      <w:r w:rsidRPr="005675B2">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0636C2">
        <w:rPr>
          <w:rFonts w:hint="cs"/>
          <w:rtl/>
        </w:rPr>
        <w:t xml:space="preserve"> </w:t>
      </w:r>
      <w:r w:rsidRPr="005675B2">
        <w:rPr>
          <w:rFonts w:hint="cs"/>
          <w:rtl/>
        </w:rPr>
        <w:t>لا حد له فيها فبالتالي فلا حد لذاته تنزه عن الحد والمقدار والحصر والنهاية وكل ما يفيد الحدوث والخلق</w:t>
      </w:r>
      <w:r w:rsidR="000636C2">
        <w:rPr>
          <w:rFonts w:hint="cs"/>
          <w:rtl/>
        </w:rPr>
        <w:t>،</w:t>
      </w:r>
      <w:r w:rsidRPr="005675B2">
        <w:rPr>
          <w:rFonts w:hint="cs"/>
          <w:bCs/>
          <w:rtl/>
        </w:rPr>
        <w:t xml:space="preserve"> </w:t>
      </w:r>
      <w:r w:rsidR="000636C2">
        <w:rPr>
          <w:rFonts w:hint="cs"/>
          <w:rtl/>
        </w:rPr>
        <w:t>(</w:t>
      </w:r>
      <w:r w:rsidRPr="005675B2">
        <w:rPr>
          <w:rFonts w:hint="cs"/>
          <w:rtl/>
        </w:rPr>
        <w:t>ث</w:t>
      </w:r>
      <w:r w:rsidR="000636C2">
        <w:rPr>
          <w:rFonts w:hint="cs"/>
          <w:rtl/>
        </w:rPr>
        <w:t>)</w:t>
      </w:r>
      <w:r w:rsidRPr="005675B2">
        <w:rPr>
          <w:rFonts w:hint="cs"/>
          <w:rtl/>
        </w:rPr>
        <w:t xml:space="preserve"> كيف نصف الله تعالى بالحد والمقدار</w:t>
      </w:r>
      <w:r w:rsidR="000636C2">
        <w:rPr>
          <w:rFonts w:hint="cs"/>
          <w:rtl/>
        </w:rPr>
        <w:t>،</w:t>
      </w:r>
      <w:r w:rsidRPr="005675B2">
        <w:rPr>
          <w:rFonts w:hint="cs"/>
          <w:rtl/>
        </w:rPr>
        <w:t xml:space="preserve"> ونحن نقول في كل صلاة وعند كل حركة وانتقال</w:t>
      </w:r>
      <w:r w:rsidR="000636C2">
        <w:rPr>
          <w:rFonts w:hint="cs"/>
          <w:rtl/>
        </w:rPr>
        <w:t>،</w:t>
      </w:r>
      <w:r w:rsidRPr="005675B2">
        <w:rPr>
          <w:rFonts w:hint="cs"/>
          <w:rtl/>
        </w:rPr>
        <w:t xml:space="preserve"> وفي الاذكار عقب الصلوات وفي الصباح والمساء (</w:t>
      </w:r>
      <w:r w:rsidR="000636C2">
        <w:rPr>
          <w:rFonts w:hint="cs"/>
          <w:rtl/>
        </w:rPr>
        <w:t>(</w:t>
      </w:r>
      <w:r w:rsidRPr="005675B2">
        <w:rPr>
          <w:rFonts w:hint="cs"/>
          <w:rtl/>
        </w:rPr>
        <w:t>الله أكبر</w:t>
      </w:r>
      <w:r w:rsidR="000636C2">
        <w:rPr>
          <w:rFonts w:hint="cs"/>
          <w:rtl/>
        </w:rPr>
        <w:t>)</w:t>
      </w:r>
      <w:r w:rsidRPr="005675B2">
        <w:rPr>
          <w:rFonts w:hint="cs"/>
          <w:rtl/>
        </w:rPr>
        <w:t>) ومعناها</w:t>
      </w:r>
      <w:r w:rsidR="000636C2">
        <w:rPr>
          <w:rFonts w:hint="cs"/>
          <w:rtl/>
        </w:rPr>
        <w:t>:</w:t>
      </w:r>
      <w:r w:rsidRPr="005675B2">
        <w:rPr>
          <w:rFonts w:hint="cs"/>
          <w:rtl/>
        </w:rPr>
        <w:t xml:space="preserve"> الله أكبر من كل تصور</w:t>
      </w:r>
      <w:r w:rsidR="000636C2">
        <w:rPr>
          <w:rFonts w:hint="cs"/>
          <w:rtl/>
        </w:rPr>
        <w:t>،</w:t>
      </w:r>
      <w:r w:rsidRPr="005675B2">
        <w:rPr>
          <w:rFonts w:hint="cs"/>
          <w:rtl/>
        </w:rPr>
        <w:t xml:space="preserve"> والله أكبر من كل خيال</w:t>
      </w:r>
      <w:r w:rsidR="000636C2">
        <w:rPr>
          <w:rFonts w:hint="cs"/>
          <w:rtl/>
        </w:rPr>
        <w:t>،</w:t>
      </w:r>
      <w:r w:rsidRPr="005675B2">
        <w:rPr>
          <w:rFonts w:hint="cs"/>
          <w:rtl/>
        </w:rPr>
        <w:t xml:space="preserve"> والله أكبر من كل حد</w:t>
      </w:r>
      <w:r w:rsidR="000636C2">
        <w:rPr>
          <w:rFonts w:hint="cs"/>
          <w:rtl/>
        </w:rPr>
        <w:t>،</w:t>
      </w:r>
      <w:r w:rsidRPr="005675B2">
        <w:rPr>
          <w:rFonts w:hint="cs"/>
          <w:rtl/>
        </w:rPr>
        <w:t xml:space="preserve"> والله أكبر </w:t>
      </w:r>
      <w:r w:rsidRPr="005675B2">
        <w:rPr>
          <w:rFonts w:hint="cs"/>
          <w:rtl/>
        </w:rPr>
        <w:lastRenderedPageBreak/>
        <w:t>من كل مقدار</w:t>
      </w:r>
      <w:r w:rsidR="000636C2">
        <w:rPr>
          <w:rFonts w:hint="cs"/>
          <w:rtl/>
        </w:rPr>
        <w:t>،</w:t>
      </w:r>
      <w:r w:rsidRPr="005675B2">
        <w:rPr>
          <w:rFonts w:hint="cs"/>
          <w:rtl/>
        </w:rPr>
        <w:t xml:space="preserve"> </w:t>
      </w:r>
      <w:r w:rsidR="000636C2">
        <w:rPr>
          <w:rFonts w:hint="cs"/>
          <w:rtl/>
        </w:rPr>
        <w:t>(</w:t>
      </w:r>
      <w:r w:rsidRPr="005675B2">
        <w:rPr>
          <w:rFonts w:hint="cs"/>
          <w:rtl/>
        </w:rPr>
        <w:t>ج</w:t>
      </w:r>
      <w:r w:rsidR="000636C2">
        <w:rPr>
          <w:rFonts w:hint="cs"/>
          <w:rtl/>
        </w:rPr>
        <w:t>)</w:t>
      </w:r>
      <w:r w:rsidRPr="005675B2">
        <w:rPr>
          <w:rFonts w:hint="cs"/>
          <w:rtl/>
        </w:rPr>
        <w:t xml:space="preserve"> المخلوقات جميعها محدودة وإن اختلفت حدودها</w:t>
      </w:r>
      <w:r w:rsidR="000636C2">
        <w:rPr>
          <w:rFonts w:hint="cs"/>
          <w:rtl/>
        </w:rPr>
        <w:t xml:space="preserve"> </w:t>
      </w:r>
      <w:r w:rsidRPr="005675B2">
        <w:rPr>
          <w:rFonts w:hint="cs"/>
          <w:rtl/>
        </w:rPr>
        <w:t>فمنها ما هو ضخم بالغ الضخامة كالعرش ومنها ما هو ضئيل بالغ الضآلة كالبعوضة إلا أنها جميعا تشترك في صفة الحد</w:t>
      </w:r>
      <w:r w:rsidR="000636C2">
        <w:rPr>
          <w:rFonts w:hint="cs"/>
          <w:rtl/>
        </w:rPr>
        <w:t xml:space="preserve"> </w:t>
      </w:r>
      <w:r w:rsidRPr="005675B2">
        <w:rPr>
          <w:rFonts w:hint="cs"/>
          <w:rtl/>
        </w:rPr>
        <w:t>والمحدودية لأنها جميعا مخلوقة والمخلوق محدود الذات والصفات</w:t>
      </w:r>
      <w:r w:rsidR="000636C2">
        <w:rPr>
          <w:rFonts w:hint="cs"/>
          <w:rtl/>
        </w:rPr>
        <w:t xml:space="preserve"> </w:t>
      </w:r>
      <w:r w:rsidRPr="005675B2">
        <w:rPr>
          <w:rFonts w:hint="cs"/>
          <w:rtl/>
        </w:rPr>
        <w:t>والله تعالى ليس كمثله شيء في ذاته فليس له فيها حد وإلا شابه المخلوق وليس كمثله شيء في صفاته فليس له فيها حد</w:t>
      </w:r>
      <w:r w:rsidR="000636C2">
        <w:rPr>
          <w:rFonts w:hint="cs"/>
          <w:rtl/>
        </w:rPr>
        <w:t>، (</w:t>
      </w:r>
      <w:r w:rsidRPr="005675B2">
        <w:rPr>
          <w:rFonts w:hint="cs"/>
          <w:rtl/>
        </w:rPr>
        <w:t>ح</w:t>
      </w:r>
      <w:r w:rsidR="000636C2">
        <w:rPr>
          <w:rFonts w:hint="cs"/>
          <w:rtl/>
        </w:rPr>
        <w:t xml:space="preserve">) </w:t>
      </w:r>
      <w:r w:rsidRPr="005675B2">
        <w:rPr>
          <w:rFonts w:hint="cs"/>
          <w:rtl/>
        </w:rPr>
        <w:t>كل</w:t>
      </w:r>
      <w:r w:rsidRPr="005675B2">
        <w:rPr>
          <w:rFonts w:hint="cs"/>
        </w:rPr>
        <w:t xml:space="preserve"> </w:t>
      </w:r>
      <w:r w:rsidRPr="005675B2">
        <w:rPr>
          <w:rFonts w:hint="cs"/>
          <w:rtl/>
        </w:rPr>
        <w:t>متناه مٌحدَث لأن تخصيصه بهذا المقدار دون سائر المقادير</w:t>
      </w:r>
      <w:r w:rsidRPr="005675B2">
        <w:rPr>
          <w:rFonts w:hint="cs"/>
        </w:rPr>
        <w:t xml:space="preserve"> </w:t>
      </w:r>
      <w:r w:rsidRPr="005675B2">
        <w:rPr>
          <w:rFonts w:hint="cs"/>
          <w:rtl/>
        </w:rPr>
        <w:t>لا بد له من مخصص</w:t>
      </w:r>
      <w:r w:rsidR="000636C2">
        <w:rPr>
          <w:rFonts w:hint="cs"/>
          <w:rtl/>
          <w:lang w:bidi="ar-KW"/>
        </w:rPr>
        <w:t xml:space="preserve">، </w:t>
      </w:r>
      <w:r w:rsidRPr="005675B2">
        <w:rPr>
          <w:rFonts w:hint="cs"/>
          <w:rtl/>
        </w:rPr>
        <w:t>وجل الخالق تعالى عن ذلك أن يكون لذاته مخصص</w:t>
      </w:r>
      <w:r w:rsidR="000636C2">
        <w:rPr>
          <w:rFonts w:hint="cs"/>
          <w:rtl/>
        </w:rPr>
        <w:t>،</w:t>
      </w:r>
      <w:r w:rsidRPr="005675B2">
        <w:rPr>
          <w:rFonts w:hint="cs"/>
          <w:rtl/>
        </w:rPr>
        <w:t xml:space="preserve"> لأنه الخالق</w:t>
      </w:r>
      <w:r w:rsidR="000636C2">
        <w:rPr>
          <w:rFonts w:hint="cs"/>
          <w:rtl/>
        </w:rPr>
        <w:t>،</w:t>
      </w:r>
      <w:r w:rsidRPr="005675B2">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0636C2">
        <w:rPr>
          <w:rFonts w:hint="cs"/>
          <w:rtl/>
        </w:rPr>
        <w:t>،</w:t>
      </w:r>
      <w:r w:rsidRPr="005675B2">
        <w:rPr>
          <w:rFonts w:hint="cs"/>
          <w:rtl/>
        </w:rPr>
        <w:t xml:space="preserve"> لان التقدير يوجب الخلق والحد يوجب الحدوث لحاجة الحد إلى حادّ يحده والله تعالى قديم بلا ابتداء ودائم بلا انتهاء</w:t>
      </w:r>
      <w:r w:rsidR="000636C2">
        <w:rPr>
          <w:rFonts w:hint="cs"/>
          <w:rtl/>
        </w:rPr>
        <w:t>،</w:t>
      </w:r>
      <w:r w:rsidRPr="005675B2">
        <w:rPr>
          <w:rFonts w:hint="cs"/>
          <w:rtl/>
        </w:rPr>
        <w:t>لم يزل منزه عن الحدوث هو الأول فليس قبله شيء</w:t>
      </w:r>
      <w:r w:rsidR="000636C2">
        <w:rPr>
          <w:rFonts w:hint="cs"/>
          <w:rtl/>
        </w:rPr>
        <w:t>،</w:t>
      </w:r>
      <w:r w:rsidRPr="005675B2">
        <w:rPr>
          <w:rFonts w:hint="cs"/>
          <w:rtl/>
        </w:rPr>
        <w:t xml:space="preserve"> </w:t>
      </w:r>
      <w:r w:rsidR="000636C2">
        <w:rPr>
          <w:rFonts w:hint="cs"/>
          <w:rtl/>
        </w:rPr>
        <w:t>(</w:t>
      </w:r>
      <w:r w:rsidRPr="005675B2">
        <w:rPr>
          <w:rFonts w:hint="cs"/>
          <w:rtl/>
        </w:rPr>
        <w:t>خ</w:t>
      </w:r>
      <w:r w:rsidR="000636C2">
        <w:rPr>
          <w:rFonts w:hint="cs"/>
          <w:rtl/>
        </w:rPr>
        <w:t xml:space="preserve">) </w:t>
      </w:r>
      <w:r w:rsidRPr="005675B2">
        <w:rPr>
          <w:rFonts w:hint="cs"/>
          <w:rtl/>
        </w:rPr>
        <w:t>الحد نقص والنهاية عجز والله تعالى منزه عن النقص والعجز</w:t>
      </w:r>
      <w:r w:rsidR="000636C2">
        <w:rPr>
          <w:rFonts w:hint="cs"/>
          <w:rtl/>
        </w:rPr>
        <w:t>،</w:t>
      </w:r>
      <w:r w:rsidRPr="005675B2">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0636C2">
        <w:rPr>
          <w:rFonts w:hint="cs"/>
          <w:rtl/>
        </w:rPr>
        <w:t>،</w:t>
      </w:r>
      <w:r w:rsidRPr="005675B2">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000636C2">
        <w:rPr>
          <w:rFonts w:hint="cs"/>
          <w:rtl/>
        </w:rPr>
        <w:t>(</w:t>
      </w:r>
      <w:r w:rsidRPr="005675B2">
        <w:rPr>
          <w:rFonts w:hint="cs"/>
          <w:rtl/>
        </w:rPr>
        <w:t>سبحانه وحاشاه</w:t>
      </w:r>
      <w:r w:rsidR="000636C2">
        <w:rPr>
          <w:rFonts w:hint="cs"/>
          <w:rtl/>
        </w:rPr>
        <w:t>)</w:t>
      </w:r>
      <w:r w:rsidRPr="005675B2">
        <w:rPr>
          <w:rFonts w:hint="cs"/>
          <w:rtl/>
        </w:rPr>
        <w:t xml:space="preserve"> فإنه يُتصور في الأذهان ما هو أكبر من ذاته</w:t>
      </w:r>
      <w:r w:rsidR="000636C2">
        <w:rPr>
          <w:rFonts w:hint="cs"/>
          <w:rtl/>
        </w:rPr>
        <w:t>،</w:t>
      </w:r>
      <w:r w:rsidRPr="005675B2">
        <w:rPr>
          <w:rFonts w:hint="cs"/>
          <w:rtl/>
        </w:rPr>
        <w:t xml:space="preserve"> كما تصور البعض بأذهانهم السقيمة أن العرش أكبر من ذات الله ويفضله بأربعة أصابع وهم يقولون عند كل صلاة </w:t>
      </w:r>
      <w:r w:rsidR="000636C2">
        <w:rPr>
          <w:rFonts w:hint="cs"/>
          <w:rtl/>
        </w:rPr>
        <w:t>(</w:t>
      </w:r>
      <w:r w:rsidRPr="005675B2">
        <w:rPr>
          <w:rFonts w:hint="cs"/>
          <w:rtl/>
        </w:rPr>
        <w:t>الله أكبر</w:t>
      </w:r>
      <w:r w:rsidR="000636C2">
        <w:rPr>
          <w:rFonts w:hint="cs"/>
          <w:rtl/>
        </w:rPr>
        <w:t>)</w:t>
      </w:r>
      <w:r w:rsidRPr="005675B2">
        <w:rPr>
          <w:rFonts w:hint="cs"/>
          <w:rtl/>
        </w:rPr>
        <w:t xml:space="preserve"> فكيف جاز لهم أن يجعلوا ذات العرش اكبر من ذات الله سبحانه تعالى الله عما يصفون</w:t>
      </w:r>
      <w:r w:rsidR="000636C2">
        <w:rPr>
          <w:rFonts w:hint="cs"/>
          <w:rtl/>
        </w:rPr>
        <w:t>،</w:t>
      </w:r>
      <w:r w:rsidRPr="005675B2">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0636C2">
        <w:rPr>
          <w:rFonts w:hint="cs"/>
          <w:rtl/>
        </w:rPr>
        <w:t>،</w:t>
      </w:r>
      <w:r w:rsidRPr="005675B2">
        <w:rPr>
          <w:rFonts w:hint="cs"/>
          <w:rtl/>
        </w:rPr>
        <w:t xml:space="preserve"> </w:t>
      </w:r>
      <w:r w:rsidR="000636C2">
        <w:rPr>
          <w:rFonts w:hint="cs"/>
          <w:rtl/>
        </w:rPr>
        <w:t>(</w:t>
      </w:r>
      <w:r w:rsidRPr="005675B2">
        <w:rPr>
          <w:rFonts w:hint="cs"/>
          <w:rtl/>
        </w:rPr>
        <w:t>د</w:t>
      </w:r>
      <w:r w:rsidR="000636C2">
        <w:rPr>
          <w:rFonts w:hint="cs"/>
          <w:rtl/>
        </w:rPr>
        <w:t>)</w:t>
      </w:r>
      <w:r w:rsidRPr="005675B2">
        <w:rPr>
          <w:rFonts w:hint="cs"/>
          <w:rtl/>
        </w:rPr>
        <w:t xml:space="preserve"> الحدود مخلوقة والله عز وجل هو خالق الحدود فلا تجري الحدود على ذاته</w:t>
      </w:r>
      <w:r w:rsidR="000636C2">
        <w:rPr>
          <w:rFonts w:hint="cs"/>
          <w:rtl/>
        </w:rPr>
        <w:t>،</w:t>
      </w:r>
      <w:r w:rsidRPr="005675B2">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0636C2">
        <w:rPr>
          <w:rFonts w:hint="cs"/>
          <w:rtl/>
        </w:rPr>
        <w:t>}</w:t>
      </w:r>
      <w:r w:rsidRPr="005675B2">
        <w:rPr>
          <w:rFonts w:hint="cs"/>
          <w:rtl/>
        </w:rPr>
        <w:t>، لا انتهاء لقدرته ولا حد لعلمه فكذلك ذاته المقدسة تنزهت عن الحد والحصر والمقدار</w:t>
      </w:r>
      <w:r w:rsidR="000636C2">
        <w:rPr>
          <w:rFonts w:hint="cs"/>
          <w:rtl/>
        </w:rPr>
        <w:t>،</w:t>
      </w:r>
      <w:r w:rsidRPr="005675B2">
        <w:rPr>
          <w:rFonts w:hint="cs"/>
          <w:rtl/>
        </w:rPr>
        <w:t xml:space="preserve"> لأن الحد نقص والحصر عجز والمقدار خلق و </w:t>
      </w:r>
      <w:r w:rsidR="000636C2">
        <w:rPr>
          <w:rFonts w:hint="cs"/>
          <w:rtl/>
        </w:rPr>
        <w:t>(</w:t>
      </w:r>
      <w:r w:rsidRPr="005675B2">
        <w:rPr>
          <w:rFonts w:hint="cs"/>
          <w:rtl/>
        </w:rPr>
        <w:t>الله اكبر</w:t>
      </w:r>
      <w:r w:rsidR="000636C2">
        <w:rPr>
          <w:rFonts w:hint="cs"/>
          <w:rtl/>
        </w:rPr>
        <w:t>)</w:t>
      </w:r>
      <w:r w:rsidRPr="005675B2">
        <w:rPr>
          <w:rFonts w:hint="cs"/>
          <w:rtl/>
        </w:rPr>
        <w:t xml:space="preserve"> من كل حد </w:t>
      </w:r>
      <w:r w:rsidR="000636C2">
        <w:rPr>
          <w:rFonts w:hint="cs"/>
          <w:rtl/>
        </w:rPr>
        <w:t>(</w:t>
      </w:r>
      <w:r w:rsidRPr="005675B2">
        <w:rPr>
          <w:rFonts w:hint="cs"/>
          <w:rtl/>
        </w:rPr>
        <w:t>وأعظم</w:t>
      </w:r>
      <w:r w:rsidR="000636C2">
        <w:rPr>
          <w:rFonts w:hint="cs"/>
          <w:rtl/>
        </w:rPr>
        <w:t>)</w:t>
      </w:r>
      <w:r w:rsidRPr="005675B2">
        <w:rPr>
          <w:rFonts w:hint="cs"/>
          <w:rtl/>
        </w:rPr>
        <w:t xml:space="preserve"> من كل حصر </w:t>
      </w:r>
      <w:r w:rsidR="000636C2">
        <w:rPr>
          <w:rFonts w:hint="cs"/>
          <w:rtl/>
        </w:rPr>
        <w:t>(</w:t>
      </w:r>
      <w:r w:rsidRPr="005675B2">
        <w:rPr>
          <w:rFonts w:hint="cs"/>
          <w:rtl/>
        </w:rPr>
        <w:t>ومتعال) على كل نهاية ومقدار</w:t>
      </w:r>
      <w:r w:rsidR="000636C2">
        <w:rPr>
          <w:rFonts w:hint="cs"/>
          <w:rtl/>
        </w:rPr>
        <w:t>،</w:t>
      </w:r>
      <w:r w:rsidRPr="005675B2">
        <w:rPr>
          <w:rFonts w:hint="cs"/>
          <w:rtl/>
        </w:rPr>
        <w:t xml:space="preserve"> حد الحدود وقدر المقادير على خلقه لا على ذاته سبحانه هو الواحد القهار</w:t>
      </w:r>
      <w:r w:rsidR="000636C2">
        <w:rPr>
          <w:rFonts w:hint="cs"/>
          <w:rtl/>
        </w:rPr>
        <w:t xml:space="preserve">، </w:t>
      </w:r>
      <w:r w:rsidR="000636C2">
        <w:rPr>
          <w:rFonts w:hint="cs"/>
          <w:rtl/>
        </w:rPr>
        <w:lastRenderedPageBreak/>
        <w:t>(</w:t>
      </w:r>
      <w:r w:rsidRPr="005675B2">
        <w:rPr>
          <w:rFonts w:hint="cs"/>
          <w:rtl/>
        </w:rPr>
        <w:t>ذ</w:t>
      </w:r>
      <w:r w:rsidR="000636C2">
        <w:rPr>
          <w:rFonts w:hint="cs"/>
          <w:rtl/>
        </w:rPr>
        <w:t>)</w:t>
      </w:r>
      <w:r w:rsidRPr="005675B2">
        <w:rPr>
          <w:rFonts w:hint="cs"/>
          <w:rtl/>
        </w:rPr>
        <w:t xml:space="preserve"> وليس معنى تنزيه الذات عن الحد والمقدار</w:t>
      </w:r>
      <w:r w:rsidR="000636C2">
        <w:rPr>
          <w:rFonts w:hint="cs"/>
          <w:rtl/>
        </w:rPr>
        <w:t>،</w:t>
      </w:r>
      <w:r w:rsidRPr="005675B2">
        <w:rPr>
          <w:rFonts w:hint="cs"/>
          <w:rtl/>
        </w:rPr>
        <w:t xml:space="preserve"> أن نصف الذات بالاتساع الحسي الذي لا نهاية له</w:t>
      </w:r>
      <w:r w:rsidR="000636C2">
        <w:rPr>
          <w:rFonts w:hint="cs"/>
          <w:rtl/>
        </w:rPr>
        <w:t>،</w:t>
      </w:r>
      <w:r w:rsidRPr="005675B2">
        <w:rPr>
          <w:rFonts w:hint="cs"/>
          <w:rtl/>
        </w:rPr>
        <w:t xml:space="preserve"> أو الكبر الحسي الذي يُقاس بالمسافات</w:t>
      </w:r>
      <w:r w:rsidR="000636C2">
        <w:rPr>
          <w:rFonts w:hint="cs"/>
          <w:rtl/>
        </w:rPr>
        <w:t>،</w:t>
      </w:r>
      <w:r w:rsidRPr="005675B2">
        <w:rPr>
          <w:rFonts w:hint="cs"/>
          <w:rtl/>
        </w:rPr>
        <w:t xml:space="preserve"> أو الحجم الذي تجاوز مقداره كل مقدار</w:t>
      </w:r>
      <w:r w:rsidR="000636C2">
        <w:rPr>
          <w:rFonts w:hint="cs"/>
          <w:rtl/>
        </w:rPr>
        <w:t>،</w:t>
      </w:r>
      <w:r w:rsidRPr="005675B2">
        <w:rPr>
          <w:rFonts w:hint="cs"/>
          <w:rtl/>
        </w:rPr>
        <w:t xml:space="preserve"> تعالى الله عن ذلك علواً كبيرا</w:t>
      </w:r>
      <w:r w:rsidR="000636C2">
        <w:rPr>
          <w:rFonts w:hint="cs"/>
          <w:rtl/>
        </w:rPr>
        <w:t>،</w:t>
      </w:r>
      <w:r w:rsidRPr="005675B2">
        <w:rPr>
          <w:rFonts w:hint="cs"/>
          <w:rtl/>
        </w:rPr>
        <w:t xml:space="preserve"> وإنما المقصود أن الذات منزه عن الحد والمقدار الحسيين</w:t>
      </w:r>
      <w:r w:rsidR="000636C2">
        <w:rPr>
          <w:rFonts w:hint="cs"/>
          <w:rtl/>
        </w:rPr>
        <w:t>،</w:t>
      </w:r>
      <w:r w:rsidRPr="005675B2">
        <w:rPr>
          <w:rFonts w:hint="cs"/>
          <w:rtl/>
        </w:rPr>
        <w:t xml:space="preserve"> كمالات الذات لا تتناهى</w:t>
      </w:r>
      <w:r w:rsidR="000636C2">
        <w:rPr>
          <w:rFonts w:hint="cs"/>
          <w:rtl/>
        </w:rPr>
        <w:t>،</w:t>
      </w:r>
      <w:r w:rsidRPr="005675B2">
        <w:rPr>
          <w:rFonts w:hint="cs"/>
          <w:rtl/>
        </w:rPr>
        <w:t xml:space="preserve"> فلا حد حسي ولا معنوي لذاته تنتهي إليه</w:t>
      </w:r>
      <w:r w:rsidR="000636C2">
        <w:rPr>
          <w:rFonts w:hint="cs"/>
          <w:rtl/>
        </w:rPr>
        <w:t>،</w:t>
      </w:r>
      <w:r w:rsidRPr="005675B2">
        <w:rPr>
          <w:rFonts w:hint="cs"/>
          <w:rtl/>
        </w:rPr>
        <w:t xml:space="preserve"> ولا مقدار لها يحدد قدرها</w:t>
      </w:r>
      <w:r w:rsidR="000636C2">
        <w:rPr>
          <w:rFonts w:hint="cs"/>
          <w:rtl/>
        </w:rPr>
        <w:t>،</w:t>
      </w:r>
      <w:r w:rsidRPr="005675B2">
        <w:rPr>
          <w:rFonts w:hint="cs"/>
          <w:rtl/>
        </w:rPr>
        <w:t xml:space="preserve"> لأنّ الحد مهما اتسع</w:t>
      </w:r>
      <w:r w:rsidR="000636C2">
        <w:rPr>
          <w:rFonts w:hint="cs"/>
          <w:rtl/>
        </w:rPr>
        <w:t>،</w:t>
      </w:r>
      <w:r w:rsidRPr="005675B2">
        <w:rPr>
          <w:rFonts w:hint="cs"/>
          <w:rtl/>
        </w:rPr>
        <w:t xml:space="preserve"> ولأنّ المقدار مهما عظم وكبر فإنّه صفة المخلوق</w:t>
      </w:r>
      <w:r w:rsidR="000636C2">
        <w:rPr>
          <w:rFonts w:hint="cs"/>
          <w:rtl/>
        </w:rPr>
        <w:t>،</w:t>
      </w:r>
      <w:r w:rsidRPr="005675B2">
        <w:rPr>
          <w:rFonts w:hint="cs"/>
          <w:rtl/>
        </w:rPr>
        <w:t xml:space="preserve"> ويُحتمل وجود ما هو أكبر واعظم منه</w:t>
      </w:r>
      <w:r w:rsidR="000636C2">
        <w:rPr>
          <w:rFonts w:hint="cs"/>
          <w:rtl/>
        </w:rPr>
        <w:t>،</w:t>
      </w:r>
      <w:r w:rsidRPr="005675B2">
        <w:rPr>
          <w:rFonts w:hint="cs"/>
          <w:rtl/>
        </w:rPr>
        <w:t xml:space="preserve"> والخالق - سبحانه - لا تسري عليه قوانين المواد والأجسام لأنّه خالق كل ذلك</w:t>
      </w:r>
      <w:r w:rsidR="000636C2">
        <w:rPr>
          <w:rFonts w:hint="cs"/>
          <w:rtl/>
        </w:rPr>
        <w:t>،</w:t>
      </w:r>
      <w:r w:rsidRPr="005675B2">
        <w:rPr>
          <w:rFonts w:hint="cs"/>
          <w:rtl/>
        </w:rPr>
        <w:t xml:space="preserve"> ولا يُحتمل وجود ما هو أكبر</w:t>
      </w:r>
      <w:r w:rsidR="000636C2">
        <w:rPr>
          <w:rFonts w:hint="cs"/>
          <w:rtl/>
        </w:rPr>
        <w:t>،</w:t>
      </w:r>
      <w:r w:rsidRPr="005675B2">
        <w:rPr>
          <w:rFonts w:hint="cs"/>
          <w:rtl/>
        </w:rPr>
        <w:t xml:space="preserve"> أو اعظم منه</w:t>
      </w:r>
      <w:r w:rsidR="000636C2">
        <w:rPr>
          <w:rFonts w:hint="cs"/>
          <w:rtl/>
        </w:rPr>
        <w:t>،</w:t>
      </w:r>
      <w:r w:rsidRPr="005675B2">
        <w:rPr>
          <w:rFonts w:hint="cs"/>
          <w:rtl/>
        </w:rPr>
        <w:t xml:space="preserve"> لأنّ من أسمائه الحسنى</w:t>
      </w:r>
      <w:r w:rsidR="000636C2">
        <w:rPr>
          <w:rFonts w:hint="cs"/>
          <w:rtl/>
        </w:rPr>
        <w:t>:</w:t>
      </w:r>
      <w:r w:rsidRPr="005675B2">
        <w:rPr>
          <w:rFonts w:hint="cs"/>
          <w:rtl/>
        </w:rPr>
        <w:t xml:space="preserve"> الكبير</w:t>
      </w:r>
      <w:r w:rsidR="000636C2">
        <w:rPr>
          <w:rFonts w:hint="cs"/>
          <w:rtl/>
        </w:rPr>
        <w:t xml:space="preserve"> </w:t>
      </w:r>
      <w:r w:rsidRPr="005675B2">
        <w:rPr>
          <w:rFonts w:hint="cs"/>
          <w:rtl/>
        </w:rPr>
        <w:t>المتعال</w:t>
      </w:r>
      <w:r w:rsidR="000636C2">
        <w:rPr>
          <w:rFonts w:hint="cs"/>
          <w:rtl/>
        </w:rPr>
        <w:t>،</w:t>
      </w:r>
      <w:r w:rsidRPr="005675B2">
        <w:rPr>
          <w:rFonts w:hint="cs"/>
          <w:rtl/>
        </w:rPr>
        <w:t xml:space="preserve"> والعلي العظيم</w:t>
      </w:r>
      <w:r w:rsidR="000636C2">
        <w:rPr>
          <w:rFonts w:hint="cs"/>
          <w:rtl/>
        </w:rPr>
        <w:t>،</w:t>
      </w:r>
      <w:r w:rsidRPr="005675B2">
        <w:rPr>
          <w:rFonts w:hint="cs"/>
          <w:rtl/>
        </w:rPr>
        <w:t xml:space="preserve"> ليس كمثل ذاته ذات ولا مثل صفاته صفات</w:t>
      </w:r>
      <w:r w:rsidR="000636C2">
        <w:rPr>
          <w:rFonts w:hint="cs"/>
          <w:rtl/>
        </w:rPr>
        <w:t>،</w:t>
      </w:r>
      <w:r w:rsidRPr="005675B2">
        <w:rPr>
          <w:rFonts w:hint="cs"/>
          <w:rtl/>
        </w:rPr>
        <w:t xml:space="preserve"> منزه عن كل ما يخطر بالبال لأنّ كل ما خطر بالبال هو مخلوق</w:t>
      </w:r>
      <w:r w:rsidR="000636C2">
        <w:rPr>
          <w:rFonts w:hint="cs"/>
          <w:rtl/>
        </w:rPr>
        <w:t>،</w:t>
      </w:r>
      <w:r w:rsidRPr="005675B2">
        <w:rPr>
          <w:rFonts w:hint="cs"/>
          <w:rtl/>
        </w:rPr>
        <w:t xml:space="preserve"> والمخلوق المحدث المحدود لا يُدرك الخالق القديم المنزه عن الحدود</w:t>
      </w:r>
      <w:r w:rsidR="000636C2">
        <w:rPr>
          <w:rFonts w:hint="cs"/>
          <w:rtl/>
        </w:rPr>
        <w:t>،</w:t>
      </w:r>
      <w:r w:rsidRPr="005675B2">
        <w:rPr>
          <w:rFonts w:hint="cs"/>
          <w:rtl/>
        </w:rPr>
        <w:t xml:space="preserve"> فالله تعالى أكبر من كل تصور</w:t>
      </w:r>
      <w:r w:rsidR="000636C2">
        <w:rPr>
          <w:rFonts w:hint="cs"/>
          <w:rtl/>
        </w:rPr>
        <w:t>،</w:t>
      </w:r>
      <w:r w:rsidRPr="005675B2">
        <w:rPr>
          <w:rFonts w:hint="cs"/>
          <w:rtl/>
        </w:rPr>
        <w:t xml:space="preserve"> وأعظم من أن نحيط به علما</w:t>
      </w:r>
      <w:r w:rsidR="000636C2">
        <w:rPr>
          <w:rFonts w:hint="cs"/>
          <w:rtl/>
        </w:rPr>
        <w:t>،</w:t>
      </w:r>
      <w:r w:rsidRPr="005675B2">
        <w:rPr>
          <w:rFonts w:hint="cs"/>
          <w:rtl/>
        </w:rPr>
        <w:t xml:space="preserve"> </w:t>
      </w:r>
      <w:r w:rsidR="000636C2">
        <w:rPr>
          <w:rFonts w:hint="cs"/>
          <w:rtl/>
        </w:rPr>
        <w:t>{</w:t>
      </w:r>
      <w:r w:rsidRPr="005675B2">
        <w:rPr>
          <w:rFonts w:hint="cs"/>
          <w:rtl/>
        </w:rPr>
        <w:t>يَعْلَمُ مَا بَيْنَ أَيْدِيهِمْ وَمَا خَلْفَهُمْ وَلَا يُحِيطُونَ بِهِ عِلْمًا</w:t>
      </w:r>
      <w:r w:rsidR="000636C2">
        <w:rPr>
          <w:rFonts w:hint="cs"/>
          <w:rtl/>
        </w:rPr>
        <w:t>}</w:t>
      </w:r>
      <w:r w:rsidRPr="005675B2">
        <w:rPr>
          <w:rFonts w:hint="cs"/>
          <w:rtl/>
        </w:rPr>
        <w:t xml:space="preserve"> </w:t>
      </w:r>
      <w:r w:rsidR="000636C2">
        <w:rPr>
          <w:rFonts w:hint="cs"/>
          <w:rtl/>
        </w:rPr>
        <w:t>[</w:t>
      </w:r>
      <w:r w:rsidRPr="005675B2">
        <w:rPr>
          <w:rFonts w:hint="cs"/>
          <w:rtl/>
        </w:rPr>
        <w:t>طه</w:t>
      </w:r>
      <w:r w:rsidR="000636C2">
        <w:rPr>
          <w:rFonts w:hint="cs"/>
          <w:rtl/>
        </w:rPr>
        <w:t>:</w:t>
      </w:r>
      <w:r w:rsidRPr="005675B2">
        <w:rPr>
          <w:rFonts w:hint="cs"/>
          <w:rtl/>
        </w:rPr>
        <w:t xml:space="preserve"> 110</w:t>
      </w:r>
      <w:r w:rsidR="000636C2">
        <w:rPr>
          <w:rFonts w:hint="cs"/>
          <w:rtl/>
        </w:rPr>
        <w:t>]،</w:t>
      </w:r>
      <w:r w:rsidRPr="005675B2">
        <w:rPr>
          <w:rFonts w:hint="cs"/>
          <w:rtl/>
        </w:rPr>
        <w:t xml:space="preserve"> فالذات لا يُدرك</w:t>
      </w:r>
      <w:r w:rsidR="000636C2">
        <w:rPr>
          <w:rFonts w:hint="cs"/>
          <w:rtl/>
        </w:rPr>
        <w:t>،</w:t>
      </w:r>
      <w:r w:rsidRPr="005675B2">
        <w:rPr>
          <w:rFonts w:hint="cs"/>
          <w:rtl/>
        </w:rPr>
        <w:t xml:space="preserve"> ويجب على كل مسلم الاقرار بالعجز ومنع التتشبيه والتمثيل</w:t>
      </w:r>
      <w:r w:rsidR="000636C2">
        <w:rPr>
          <w:rFonts w:hint="cs"/>
          <w:rtl/>
        </w:rPr>
        <w:t>،</w:t>
      </w:r>
      <w:r w:rsidRPr="005675B2">
        <w:rPr>
          <w:rFonts w:hint="cs"/>
          <w:rtl/>
        </w:rPr>
        <w:t xml:space="preserve"> وأن يعيش على التقديس والتنزيه والتسبيح</w:t>
      </w:r>
      <w:r w:rsidR="000636C2">
        <w:rPr>
          <w:rFonts w:hint="cs"/>
          <w:rtl/>
        </w:rPr>
        <w:t xml:space="preserve">، </w:t>
      </w:r>
      <w:r w:rsidRPr="005675B2">
        <w:rPr>
          <w:rFonts w:hint="cs"/>
          <w:rtl/>
        </w:rPr>
        <w:t xml:space="preserve">فالله تعالى </w:t>
      </w:r>
      <w:r w:rsidR="000636C2">
        <w:rPr>
          <w:rFonts w:hint="cs"/>
          <w:rtl/>
        </w:rPr>
        <w:t>{</w:t>
      </w:r>
      <w:r w:rsidRPr="005675B2">
        <w:rPr>
          <w:rFonts w:hint="cs"/>
          <w:rtl/>
        </w:rPr>
        <w:t>ليس كمثله شيء</w:t>
      </w:r>
      <w:r w:rsidR="000636C2">
        <w:rPr>
          <w:rFonts w:hint="cs"/>
          <w:rtl/>
        </w:rPr>
        <w:t>}</w:t>
      </w:r>
      <w:r w:rsidRPr="005675B2">
        <w:rPr>
          <w:rFonts w:hint="cs"/>
          <w:rtl/>
        </w:rPr>
        <w:t xml:space="preserve"> وكل شيء سواه مخلوق مقدر محدود</w:t>
      </w:r>
      <w:r w:rsidR="000636C2">
        <w:rPr>
          <w:rFonts w:hint="cs"/>
          <w:rtl/>
        </w:rPr>
        <w:t>،</w:t>
      </w:r>
      <w:r w:rsidRPr="005675B2">
        <w:rPr>
          <w:rFonts w:hint="cs"/>
          <w:rtl/>
        </w:rPr>
        <w:t xml:space="preserve"> وكما ذكرت فإنّ من أراد التنزيه والتقديس فليذهب بعقله إلى ما فوق المادة والاجسام</w:t>
      </w:r>
      <w:r w:rsidR="000636C2">
        <w:rPr>
          <w:rFonts w:hint="cs"/>
          <w:rtl/>
        </w:rPr>
        <w:t>،</w:t>
      </w:r>
      <w:r w:rsidRPr="005675B2">
        <w:rPr>
          <w:rFonts w:hint="cs"/>
          <w:rtl/>
        </w:rPr>
        <w:t xml:space="preserve"> وليصف ذهنه عن مماثلة ذات الله تعالى بذوات خلقه</w:t>
      </w:r>
      <w:r w:rsidR="000636C2">
        <w:rPr>
          <w:rFonts w:hint="cs"/>
          <w:rtl/>
        </w:rPr>
        <w:t>،</w:t>
      </w:r>
      <w:r w:rsidRPr="005675B2">
        <w:rPr>
          <w:rFonts w:hint="cs"/>
          <w:rtl/>
        </w:rPr>
        <w:t xml:space="preserve"> وليذهب إلى التسبيح القلبي والتنزيه العقلي والتقديس العقائدي حيث الاقرار بالعجز عن الإدراك</w:t>
      </w:r>
      <w:r w:rsidR="000636C2">
        <w:rPr>
          <w:rFonts w:hint="cs"/>
          <w:rtl/>
        </w:rPr>
        <w:t>،</w:t>
      </w:r>
      <w:r w:rsidRPr="005675B2">
        <w:rPr>
          <w:rFonts w:hint="cs"/>
          <w:rtl/>
        </w:rPr>
        <w:t xml:space="preserve"> واليقين في وجود الواحد الأحد الذي ليس كمثل وجوده وجود</w:t>
      </w:r>
      <w:r w:rsidR="000636C2">
        <w:rPr>
          <w:rFonts w:hint="cs"/>
          <w:rtl/>
        </w:rPr>
        <w:t>،</w:t>
      </w:r>
      <w:r w:rsidRPr="005675B2">
        <w:rPr>
          <w:rFonts w:hint="cs"/>
          <w:rtl/>
        </w:rPr>
        <w:t xml:space="preserve"> ولا كمثل ذاته ذات</w:t>
      </w:r>
      <w:r w:rsidR="000636C2">
        <w:rPr>
          <w:rFonts w:hint="cs"/>
          <w:rtl/>
        </w:rPr>
        <w:t>،</w:t>
      </w:r>
      <w:r w:rsidRPr="005675B2">
        <w:rPr>
          <w:rFonts w:hint="cs"/>
          <w:rtl/>
        </w:rPr>
        <w:t xml:space="preserve"> ولا كمثل صفاته صفات</w:t>
      </w:r>
      <w:r w:rsidR="000636C2">
        <w:rPr>
          <w:rFonts w:hint="cs"/>
          <w:rtl/>
        </w:rPr>
        <w:t>،</w:t>
      </w:r>
      <w:r w:rsidRPr="005675B2">
        <w:rPr>
          <w:rFonts w:hint="cs"/>
          <w:rtl/>
        </w:rPr>
        <w:t xml:space="preserve"> تنزهت ذاته وصفاته عن كل حد ومقدار</w:t>
      </w:r>
      <w:r w:rsidR="000636C2">
        <w:rPr>
          <w:rFonts w:hint="cs"/>
          <w:rtl/>
        </w:rPr>
        <w:t>،</w:t>
      </w:r>
      <w:r w:rsidRPr="005675B2">
        <w:rPr>
          <w:rFonts w:hint="cs"/>
          <w:rtl/>
        </w:rPr>
        <w:t xml:space="preserve"> فإن لم يستطع ان يخرج من اطار المادة والاجسام وجميع المخلوقات المحدودة المقدرة</w:t>
      </w:r>
      <w:r w:rsidR="000636C2">
        <w:rPr>
          <w:rFonts w:hint="cs"/>
          <w:rtl/>
        </w:rPr>
        <w:t>،</w:t>
      </w:r>
      <w:r w:rsidRPr="005675B2">
        <w:rPr>
          <w:rFonts w:hint="cs"/>
          <w:rtl/>
        </w:rPr>
        <w:t xml:space="preserve"> فليوقن أنّه عامي ناقص العلم في باب توحيد الذات والصفات والافعال</w:t>
      </w:r>
      <w:r w:rsidR="000636C2">
        <w:rPr>
          <w:rFonts w:hint="cs"/>
          <w:rtl/>
        </w:rPr>
        <w:t>،</w:t>
      </w:r>
      <w:r w:rsidRPr="005675B2">
        <w:rPr>
          <w:rFonts w:hint="cs"/>
          <w:rtl/>
        </w:rPr>
        <w:t xml:space="preserve"> فلا يحل له القول على الله تعالى بغير علم ولا هدى ولا كتاب منير</w:t>
      </w:r>
      <w:r w:rsidR="000636C2">
        <w:rPr>
          <w:rFonts w:hint="cs"/>
          <w:rtl/>
        </w:rPr>
        <w:t>،</w:t>
      </w:r>
      <w:r w:rsidRPr="005675B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0636C2">
        <w:rPr>
          <w:rFonts w:hint="cs"/>
          <w:rtl/>
        </w:rPr>
        <w:t>،</w:t>
      </w:r>
      <w:r w:rsidRPr="005675B2">
        <w:rPr>
          <w:rFonts w:hint="cs"/>
          <w:rtl/>
        </w:rPr>
        <w:t xml:space="preserve"> وكل ما خطر بالبال فالله تعالى بخلافه</w:t>
      </w:r>
      <w:r w:rsidR="000636C2">
        <w:rPr>
          <w:rFonts w:hint="cs"/>
          <w:rtl/>
        </w:rPr>
        <w:t>،</w:t>
      </w:r>
      <w:r w:rsidRPr="005675B2">
        <w:rPr>
          <w:rFonts w:hint="cs"/>
          <w:rtl/>
        </w:rPr>
        <w:t xml:space="preserve"> ونحن لا نُطالب كل مسلم بالولوج في علم التقديس</w:t>
      </w:r>
      <w:r w:rsidR="000636C2">
        <w:rPr>
          <w:rFonts w:hint="cs"/>
          <w:rtl/>
        </w:rPr>
        <w:t>،</w:t>
      </w:r>
      <w:r w:rsidRPr="005675B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0636C2">
        <w:rPr>
          <w:rFonts w:hint="cs"/>
          <w:rtl/>
        </w:rPr>
        <w:t>،</w:t>
      </w:r>
      <w:r w:rsidRPr="005675B2">
        <w:rPr>
          <w:rFonts w:hint="cs"/>
          <w:rtl/>
        </w:rPr>
        <w:t xml:space="preserve"> </w:t>
      </w:r>
      <w:r w:rsidR="000636C2">
        <w:rPr>
          <w:rFonts w:hint="cs"/>
          <w:rtl/>
        </w:rPr>
        <w:t>(</w:t>
      </w:r>
      <w:r w:rsidRPr="005675B2">
        <w:rPr>
          <w:rFonts w:hint="cs"/>
          <w:rtl/>
        </w:rPr>
        <w:t>ر</w:t>
      </w:r>
      <w:r w:rsidR="000636C2">
        <w:rPr>
          <w:rFonts w:hint="cs"/>
          <w:rtl/>
        </w:rPr>
        <w:t>)</w:t>
      </w:r>
      <w:r w:rsidRPr="005675B2">
        <w:rPr>
          <w:rFonts w:hint="cs"/>
          <w:rtl/>
        </w:rPr>
        <w:t xml:space="preserve"> قد يأتي بعض من حرم نور التنزيه - أسأل الله تعالى لهم بقلب صادق هذه البصيرة وهذا النور - فيقول</w:t>
      </w:r>
      <w:r w:rsidR="000636C2">
        <w:rPr>
          <w:rFonts w:hint="cs"/>
          <w:rtl/>
        </w:rPr>
        <w:t>:</w:t>
      </w:r>
      <w:r w:rsidRPr="005675B2">
        <w:rPr>
          <w:rFonts w:hint="cs"/>
          <w:rtl/>
        </w:rPr>
        <w:t xml:space="preserve"> إن الله عز وجل وصف نفسه بأنه سميع بصير </w:t>
      </w:r>
      <w:r w:rsidR="000636C2">
        <w:rPr>
          <w:rFonts w:hint="cs"/>
          <w:rtl/>
        </w:rPr>
        <w:t>{</w:t>
      </w:r>
      <w:r w:rsidRPr="005675B2">
        <w:rPr>
          <w:rFonts w:hint="cs"/>
          <w:rtl/>
        </w:rPr>
        <w:t>وكان الله سميعا بصيرا</w:t>
      </w:r>
      <w:r w:rsidR="000636C2">
        <w:rPr>
          <w:rFonts w:hint="cs"/>
          <w:rtl/>
        </w:rPr>
        <w:t xml:space="preserve">} </w:t>
      </w:r>
      <w:r w:rsidRPr="005675B2">
        <w:rPr>
          <w:rFonts w:hint="cs"/>
          <w:rtl/>
        </w:rPr>
        <w:t xml:space="preserve">ووصف بعض خلقه بأنه سميع بصير </w:t>
      </w:r>
      <w:r w:rsidR="000636C2">
        <w:rPr>
          <w:rFonts w:hint="cs"/>
          <w:rtl/>
        </w:rPr>
        <w:t>{</w:t>
      </w:r>
      <w:r w:rsidRPr="005675B2">
        <w:rPr>
          <w:rFonts w:hint="cs"/>
          <w:rtl/>
        </w:rPr>
        <w:t xml:space="preserve">فجعلناه سميعا </w:t>
      </w:r>
      <w:r w:rsidRPr="005675B2">
        <w:rPr>
          <w:rFonts w:hint="cs"/>
          <w:rtl/>
        </w:rPr>
        <w:lastRenderedPageBreak/>
        <w:t>بصيرا</w:t>
      </w:r>
      <w:r w:rsidR="000636C2">
        <w:rPr>
          <w:rFonts w:hint="cs"/>
          <w:rtl/>
        </w:rPr>
        <w:t>}،</w:t>
      </w:r>
      <w:r w:rsidRPr="005675B2">
        <w:rPr>
          <w:rFonts w:hint="cs"/>
          <w:rtl/>
        </w:rPr>
        <w:t xml:space="preserve"> فما المانع أن يكون للمخلوق حد وينتهي إليه وكذلك يكون للخالق حد ينتهي إليه ولا يعلمه إلا هو</w:t>
      </w:r>
      <w:r w:rsidR="000636C2">
        <w:rPr>
          <w:rFonts w:hint="cs"/>
          <w:rtl/>
        </w:rPr>
        <w:t>،</w:t>
      </w:r>
      <w:r w:rsidRPr="005675B2">
        <w:rPr>
          <w:rFonts w:hint="cs"/>
          <w:rtl/>
        </w:rPr>
        <w:t xml:space="preserve"> و</w:t>
      </w:r>
      <w:r w:rsidR="000636C2">
        <w:rPr>
          <w:rFonts w:hint="cs"/>
          <w:rtl/>
        </w:rPr>
        <w:t>[</w:t>
      </w:r>
      <w:r>
        <w:rPr>
          <w:rFonts w:hint="cs"/>
          <w:rtl/>
        </w:rPr>
        <w:t>الجواب</w:t>
      </w:r>
      <w:r w:rsidR="000636C2">
        <w:rPr>
          <w:rFonts w:hint="cs"/>
          <w:rtl/>
        </w:rPr>
        <w:t xml:space="preserve">] </w:t>
      </w:r>
      <w:r w:rsidRPr="005675B2">
        <w:rPr>
          <w:rFonts w:hint="cs"/>
          <w:rtl/>
        </w:rPr>
        <w:t>عن تلك الشبهة من وجهين</w:t>
      </w:r>
      <w:r w:rsidR="000636C2">
        <w:rPr>
          <w:rFonts w:hint="cs"/>
          <w:rtl/>
        </w:rPr>
        <w:t>:</w:t>
      </w:r>
      <w:r w:rsidRPr="005675B2">
        <w:rPr>
          <w:rFonts w:hint="cs"/>
          <w:rtl/>
        </w:rPr>
        <w:t xml:space="preserve"> </w:t>
      </w:r>
      <w:r w:rsidRPr="005675B2">
        <w:rPr>
          <w:rFonts w:hint="cs"/>
          <w:bCs/>
          <w:rtl/>
        </w:rPr>
        <w:t>الوجه الأول</w:t>
      </w:r>
      <w:r w:rsidR="000636C2">
        <w:rPr>
          <w:rFonts w:hint="cs"/>
          <w:bCs/>
          <w:rtl/>
        </w:rPr>
        <w:t>:</w:t>
      </w:r>
      <w:r w:rsidRPr="005675B2">
        <w:rPr>
          <w:rFonts w:hint="cs"/>
          <w:rtl/>
        </w:rPr>
        <w:t xml:space="preserve"> أن السمع والبصر والعلم صفات مدح من كل وجه ولله تعالى كمال الصفات من العلم والسمع والبصر</w:t>
      </w:r>
      <w:r w:rsidR="000636C2">
        <w:rPr>
          <w:rFonts w:hint="cs"/>
          <w:rtl/>
        </w:rPr>
        <w:t>،</w:t>
      </w:r>
      <w:r w:rsidRPr="005675B2">
        <w:rPr>
          <w:rFonts w:hint="cs"/>
          <w:rtl/>
        </w:rPr>
        <w:t xml:space="preserve"> وقد أكرم بعض خلقه بالسمع والبصر والعلم تفضلا منه سبحانه</w:t>
      </w:r>
      <w:r w:rsidR="000636C2">
        <w:rPr>
          <w:rFonts w:hint="cs"/>
          <w:rtl/>
        </w:rPr>
        <w:t>،</w:t>
      </w:r>
      <w:r w:rsidRPr="005675B2">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0636C2">
        <w:rPr>
          <w:rFonts w:hint="cs"/>
          <w:rtl/>
        </w:rPr>
        <w:t>،</w:t>
      </w:r>
      <w:r w:rsidRPr="005675B2">
        <w:rPr>
          <w:rFonts w:hint="cs"/>
          <w:rtl/>
        </w:rPr>
        <w:t xml:space="preserve"> وشتان بين الخالق والمخلوق وبين الغني عن الخلق والفقير إلى الله </w:t>
      </w:r>
      <w:r w:rsidR="000636C2">
        <w:rPr>
          <w:rFonts w:hint="cs"/>
          <w:rtl/>
        </w:rPr>
        <w:t>(</w:t>
      </w:r>
      <w:r w:rsidRPr="005675B2">
        <w:rPr>
          <w:rFonts w:hint="cs"/>
          <w:rtl/>
        </w:rPr>
        <w:t>أنتم الفقراء إلى الله والله هو الغني الحميد</w:t>
      </w:r>
      <w:r w:rsidR="000636C2">
        <w:rPr>
          <w:rFonts w:hint="cs"/>
          <w:rtl/>
        </w:rPr>
        <w:t>)</w:t>
      </w:r>
      <w:r w:rsidRPr="005675B2">
        <w:rPr>
          <w:rFonts w:hint="cs"/>
          <w:rtl/>
        </w:rPr>
        <w:t xml:space="preserve"> </w:t>
      </w:r>
      <w:r w:rsidRPr="005675B2">
        <w:rPr>
          <w:rFonts w:hint="cs"/>
          <w:bCs/>
          <w:rtl/>
        </w:rPr>
        <w:t>والوجه الثاني</w:t>
      </w:r>
      <w:r w:rsidRPr="005675B2">
        <w:rPr>
          <w:rFonts w:hint="cs"/>
          <w:rtl/>
        </w:rPr>
        <w:t xml:space="preserve"> للجواب</w:t>
      </w:r>
      <w:r w:rsidR="000636C2">
        <w:rPr>
          <w:rFonts w:hint="cs"/>
          <w:rtl/>
        </w:rPr>
        <w:t>:</w:t>
      </w:r>
      <w:r w:rsidRPr="005675B2">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000636C2">
        <w:rPr>
          <w:rFonts w:hint="cs"/>
          <w:rtl/>
        </w:rPr>
        <w:t>(</w:t>
      </w:r>
      <w:r w:rsidRPr="005675B2">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000636C2">
        <w:rPr>
          <w:rFonts w:hint="cs"/>
          <w:rtl/>
        </w:rPr>
        <w:t>)</w:t>
      </w:r>
      <w:r w:rsidRPr="005675B2">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0636C2">
        <w:rPr>
          <w:rFonts w:hint="cs"/>
          <w:rtl/>
        </w:rPr>
        <w:t>،</w:t>
      </w:r>
      <w:r w:rsidRPr="005675B2">
        <w:rPr>
          <w:rFonts w:hint="cs"/>
          <w:rtl/>
        </w:rPr>
        <w:t xml:space="preserve"> والحاصل أن الحد والحصر حاصل للمخلوق في ذاته وصفاته والتنزيه عن الحد والحصر والمقدار حاصل لله تعالى في ذاته وصفاته</w:t>
      </w:r>
      <w:r w:rsidR="000636C2">
        <w:rPr>
          <w:rFonts w:hint="cs"/>
          <w:rtl/>
        </w:rPr>
        <w:t>،</w:t>
      </w:r>
      <w:r w:rsidRPr="005675B2">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ضروري</w:t>
      </w:r>
      <w:r w:rsidR="000636C2">
        <w:rPr>
          <w:rFonts w:hint="cs"/>
          <w:rtl/>
        </w:rPr>
        <w:t>):</w:t>
      </w:r>
      <w:r w:rsidRPr="005675B2">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0636C2">
        <w:rPr>
          <w:rFonts w:hint="cs"/>
          <w:rtl/>
        </w:rPr>
        <w:t>،</w:t>
      </w:r>
      <w:r w:rsidRPr="005675B2">
        <w:rPr>
          <w:rFonts w:hint="cs"/>
          <w:rtl/>
        </w:rPr>
        <w:t xml:space="preserve"> والعجز عن درك الإدراك إدراك</w:t>
      </w:r>
      <w:r w:rsidR="000636C2">
        <w:rPr>
          <w:rFonts w:hint="cs"/>
          <w:rtl/>
        </w:rPr>
        <w:t>،</w:t>
      </w:r>
      <w:r w:rsidRPr="005675B2">
        <w:rPr>
          <w:rFonts w:hint="cs"/>
          <w:rtl/>
        </w:rPr>
        <w:t xml:space="preserve"> </w:t>
      </w:r>
      <w:r w:rsidR="000636C2">
        <w:rPr>
          <w:rFonts w:hint="cs"/>
          <w:rtl/>
        </w:rPr>
        <w:t>(</w:t>
      </w:r>
      <w:r w:rsidRPr="005675B2">
        <w:rPr>
          <w:rFonts w:hint="cs"/>
          <w:rtl/>
        </w:rPr>
        <w:t>ز</w:t>
      </w:r>
      <w:r w:rsidR="000636C2">
        <w:rPr>
          <w:rFonts w:hint="cs"/>
          <w:rtl/>
        </w:rPr>
        <w:t>)</w:t>
      </w:r>
      <w:r w:rsidRPr="005675B2">
        <w:rPr>
          <w:rFonts w:hint="cs"/>
          <w:rtl/>
        </w:rPr>
        <w:t xml:space="preserve"> الكون جميعه من العرش إلى الفرش مهما اتسع محدود</w:t>
      </w:r>
      <w:r w:rsidR="000636C2">
        <w:rPr>
          <w:rFonts w:hint="cs"/>
          <w:rtl/>
        </w:rPr>
        <w:t>،</w:t>
      </w:r>
      <w:r w:rsidRPr="005675B2">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0636C2">
        <w:rPr>
          <w:rFonts w:hint="cs"/>
          <w:rtl/>
        </w:rPr>
        <w:t>،</w:t>
      </w:r>
      <w:r w:rsidRPr="005675B2">
        <w:rPr>
          <w:rFonts w:hint="cs"/>
          <w:rtl/>
        </w:rPr>
        <w:t xml:space="preserve"> أما الخالق الذي له الكمال المطلق في ذاته المقدسة وأسمائه الحسنى وصفاته العلى فهو المنزه عن كل نهاية وحدود </w:t>
      </w:r>
      <w:r w:rsidR="000636C2">
        <w:rPr>
          <w:rFonts w:hint="cs"/>
          <w:rtl/>
        </w:rPr>
        <w:t>(</w:t>
      </w:r>
      <w:r w:rsidRPr="005675B2">
        <w:rPr>
          <w:rFonts w:hint="cs"/>
          <w:rtl/>
        </w:rPr>
        <w:t>والله اكبر</w:t>
      </w:r>
      <w:r w:rsidR="000636C2">
        <w:rPr>
          <w:rFonts w:hint="cs"/>
          <w:rtl/>
        </w:rPr>
        <w:t>)</w:t>
      </w:r>
      <w:r w:rsidRPr="005675B2">
        <w:rPr>
          <w:rFonts w:hint="cs"/>
          <w:rtl/>
        </w:rPr>
        <w:t xml:space="preserve"> عن كل تصور محدود جل عن الإحاطة</w:t>
      </w:r>
      <w:r w:rsidR="000636C2">
        <w:rPr>
          <w:rFonts w:hint="cs"/>
          <w:rtl/>
        </w:rPr>
        <w:t>،</w:t>
      </w:r>
      <w:r w:rsidRPr="005675B2">
        <w:rPr>
          <w:rFonts w:hint="cs"/>
          <w:rtl/>
        </w:rPr>
        <w:t xml:space="preserve"> إذ كيف يحيط المخلوق المحدود علما بالخالق المنزه عن الحدود </w:t>
      </w:r>
      <w:r w:rsidR="000636C2">
        <w:rPr>
          <w:rFonts w:hint="cs"/>
          <w:rtl/>
        </w:rPr>
        <w:t>(</w:t>
      </w:r>
      <w:r w:rsidRPr="005675B2">
        <w:rPr>
          <w:rFonts w:hint="cs"/>
          <w:rtl/>
        </w:rPr>
        <w:t>ولا يحيطون به علما</w:t>
      </w:r>
      <w:r w:rsidR="000636C2">
        <w:rPr>
          <w:rFonts w:hint="cs"/>
          <w:rtl/>
        </w:rPr>
        <w:t>)</w:t>
      </w:r>
      <w:r w:rsidRPr="005675B2">
        <w:rPr>
          <w:rFonts w:hint="cs"/>
          <w:rtl/>
        </w:rPr>
        <w:t xml:space="preserve"> و </w:t>
      </w:r>
      <w:r w:rsidR="000636C2">
        <w:rPr>
          <w:rFonts w:hint="cs"/>
          <w:rtl/>
        </w:rPr>
        <w:t>(</w:t>
      </w:r>
      <w:r w:rsidRPr="005675B2">
        <w:rPr>
          <w:rFonts w:hint="cs"/>
          <w:rtl/>
        </w:rPr>
        <w:t>ليس كمثله شيء</w:t>
      </w:r>
      <w:r w:rsidR="000636C2">
        <w:rPr>
          <w:rFonts w:hint="cs"/>
          <w:rtl/>
        </w:rPr>
        <w:t>)</w:t>
      </w:r>
      <w:r w:rsidRPr="005675B2">
        <w:rPr>
          <w:rFonts w:hint="cs"/>
          <w:rtl/>
        </w:rPr>
        <w:t xml:space="preserve"> و </w:t>
      </w:r>
      <w:r w:rsidR="000636C2">
        <w:rPr>
          <w:rFonts w:hint="cs"/>
          <w:rtl/>
        </w:rPr>
        <w:t>(</w:t>
      </w:r>
      <w:r w:rsidRPr="005675B2">
        <w:rPr>
          <w:rFonts w:hint="cs"/>
          <w:rtl/>
        </w:rPr>
        <w:t>لم يكن له كفوا احد</w:t>
      </w:r>
      <w:r w:rsidR="000636C2">
        <w:rPr>
          <w:rFonts w:hint="cs"/>
          <w:rtl/>
        </w:rPr>
        <w:t>)</w:t>
      </w:r>
      <w:r w:rsidRPr="005675B2">
        <w:rPr>
          <w:rFonts w:hint="cs"/>
          <w:rtl/>
        </w:rPr>
        <w:t xml:space="preserve"> ف </w:t>
      </w:r>
      <w:r w:rsidR="000636C2">
        <w:rPr>
          <w:rFonts w:hint="cs"/>
          <w:rtl/>
        </w:rPr>
        <w:t>(</w:t>
      </w:r>
      <w:r w:rsidRPr="005675B2">
        <w:rPr>
          <w:rFonts w:hint="cs"/>
          <w:rtl/>
        </w:rPr>
        <w:t>لا تضربوا لله الأمثال إن الله يعلم وأنتم لا تعلمون</w:t>
      </w:r>
      <w:r w:rsidR="000636C2">
        <w:rPr>
          <w:rFonts w:hint="cs"/>
          <w:rtl/>
        </w:rPr>
        <w:t>)، (</w:t>
      </w:r>
      <w:r w:rsidRPr="005675B2">
        <w:rPr>
          <w:rFonts w:hint="cs"/>
          <w:rtl/>
        </w:rPr>
        <w:t>س</w:t>
      </w:r>
      <w:r w:rsidR="000636C2">
        <w:rPr>
          <w:rFonts w:hint="cs"/>
          <w:rtl/>
        </w:rPr>
        <w:t>)</w:t>
      </w:r>
      <w:r w:rsidRPr="005675B2">
        <w:rPr>
          <w:rFonts w:hint="cs"/>
          <w:rtl/>
        </w:rPr>
        <w:t xml:space="preserve"> نسبة الغير محدود إلى المحدود هي نفسها نسبة الخالق إلى المخلوق ونسبة الإله الرب إلى العبد المربوب</w:t>
      </w:r>
      <w:r w:rsidR="000636C2">
        <w:rPr>
          <w:rFonts w:hint="cs"/>
          <w:rtl/>
        </w:rPr>
        <w:t>،</w:t>
      </w:r>
      <w:r w:rsidRPr="005675B2">
        <w:rPr>
          <w:rFonts w:hint="cs"/>
          <w:rtl/>
        </w:rPr>
        <w:t xml:space="preserve"> ومنه نعلم بعض الحكمة من قولنا عند كل صلاة وقيام وركوع وسجود </w:t>
      </w:r>
      <w:r w:rsidR="000636C2">
        <w:rPr>
          <w:rFonts w:hint="cs"/>
          <w:rtl/>
        </w:rPr>
        <w:t>(</w:t>
      </w:r>
      <w:r w:rsidRPr="005675B2">
        <w:rPr>
          <w:rFonts w:hint="cs"/>
          <w:rtl/>
        </w:rPr>
        <w:t>الله أكبر</w:t>
      </w:r>
      <w:r w:rsidR="000636C2">
        <w:rPr>
          <w:rFonts w:hint="cs"/>
          <w:rtl/>
        </w:rPr>
        <w:t>)</w:t>
      </w:r>
      <w:r w:rsidRPr="005675B2">
        <w:rPr>
          <w:rFonts w:hint="cs"/>
          <w:rtl/>
        </w:rPr>
        <w:t xml:space="preserve"> أي عن كل تصور وحدود وعن كل عجز وعيب ونقص وقصور</w:t>
      </w:r>
      <w:r w:rsidR="000636C2">
        <w:rPr>
          <w:rFonts w:hint="cs"/>
          <w:rtl/>
        </w:rPr>
        <w:t>، (</w:t>
      </w:r>
      <w:r w:rsidRPr="005675B2">
        <w:rPr>
          <w:rFonts w:hint="cs"/>
          <w:rtl/>
        </w:rPr>
        <w:t>ش</w:t>
      </w:r>
      <w:r w:rsidR="000636C2">
        <w:rPr>
          <w:rFonts w:hint="cs"/>
          <w:rtl/>
        </w:rPr>
        <w:t>)</w:t>
      </w:r>
      <w:r w:rsidRPr="005675B2">
        <w:rPr>
          <w:rFonts w:hint="cs"/>
          <w:rtl/>
        </w:rPr>
        <w:t xml:space="preserve"> الله تعالى منزه عن الحد والمقدار وكل </w:t>
      </w:r>
      <w:r w:rsidRPr="005675B2">
        <w:rPr>
          <w:rFonts w:hint="cs"/>
          <w:rtl/>
        </w:rPr>
        <w:lastRenderedPageBreak/>
        <w:t>ما يفيد الحصر والنهاية لأن ذلك سمة المخلوق الذي حده خالقه على كمية ومقدار معين</w:t>
      </w:r>
      <w:r w:rsidR="000636C2">
        <w:rPr>
          <w:rFonts w:hint="cs"/>
          <w:rtl/>
        </w:rPr>
        <w:t>،</w:t>
      </w:r>
      <w:r w:rsidRPr="005675B2">
        <w:rPr>
          <w:rFonts w:hint="cs"/>
          <w:rtl/>
        </w:rPr>
        <w:t xml:space="preserve"> وعلى تنزيه الله تعالى عن الحد والمقدار إجماع أهل التنزيه من هذه الأمة</w:t>
      </w:r>
      <w:r w:rsidR="000636C2">
        <w:rPr>
          <w:rFonts w:hint="cs"/>
          <w:rtl/>
        </w:rPr>
        <w:t>،</w:t>
      </w:r>
      <w:r w:rsidRPr="005675B2">
        <w:rPr>
          <w:rFonts w:hint="cs"/>
          <w:rtl/>
        </w:rPr>
        <w:t xml:space="preserve"> حتى ما نقل عن البعض بإثبات الحد فإنما يقصد بالحد الحاجز بين الخالق والمخلوق لا أكثر </w:t>
      </w:r>
      <w:r w:rsidR="000636C2">
        <w:rPr>
          <w:rFonts w:hint="cs"/>
          <w:rtl/>
        </w:rPr>
        <w:t>(</w:t>
      </w:r>
      <w:r w:rsidRPr="005675B2">
        <w:rPr>
          <w:rFonts w:hint="cs"/>
          <w:rtl/>
        </w:rPr>
        <w:t>أي الحد الذي يمنع الاتحاد والحلول</w:t>
      </w:r>
      <w:r w:rsidR="000636C2">
        <w:rPr>
          <w:rFonts w:hint="cs"/>
          <w:rtl/>
        </w:rPr>
        <w:t>)</w:t>
      </w:r>
      <w:r w:rsidRPr="005675B2">
        <w:rPr>
          <w:rFonts w:hint="cs"/>
          <w:rtl/>
        </w:rPr>
        <w:t xml:space="preserve"> وإلا فلا يصح أبداً إثبات الحد لله بمعنى المقدار الذي تنتهي إليه ذاته سبحانه فإن ذات الله ليس لها نهاية</w:t>
      </w:r>
      <w:r w:rsidR="000636C2">
        <w:rPr>
          <w:rFonts w:hint="cs"/>
          <w:rtl/>
        </w:rPr>
        <w:t>،</w:t>
      </w:r>
      <w:r w:rsidRPr="005675B2">
        <w:rPr>
          <w:rFonts w:hint="cs"/>
          <w:rtl/>
        </w:rPr>
        <w:t xml:space="preserve"> منزه سبحانه عن الحصر لأن الحصر والنهاية نقص يضاد الكمال الذي اتصف به ذات الله</w:t>
      </w:r>
      <w:r w:rsidR="000636C2">
        <w:rPr>
          <w:rFonts w:hint="cs"/>
          <w:rtl/>
        </w:rPr>
        <w:t>،</w:t>
      </w:r>
      <w:r w:rsidRPr="005675B2">
        <w:rPr>
          <w:rFonts w:hint="cs"/>
          <w:rtl/>
        </w:rPr>
        <w:t xml:space="preserve"> فإن الحد في اللغة على معنيين</w:t>
      </w:r>
      <w:r w:rsidR="000636C2">
        <w:rPr>
          <w:rFonts w:hint="cs"/>
          <w:rtl/>
        </w:rPr>
        <w:t>:</w:t>
      </w:r>
      <w:r w:rsidRPr="005675B2">
        <w:rPr>
          <w:rFonts w:hint="cs"/>
          <w:rtl/>
        </w:rPr>
        <w:t xml:space="preserve"> الأول</w:t>
      </w:r>
      <w:r w:rsidR="000636C2">
        <w:rPr>
          <w:rFonts w:hint="cs"/>
          <w:rtl/>
        </w:rPr>
        <w:t>:</w:t>
      </w:r>
      <w:r w:rsidRPr="005675B2">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0636C2">
        <w:rPr>
          <w:rFonts w:hint="cs"/>
          <w:rtl/>
        </w:rPr>
        <w:t>،</w:t>
      </w:r>
      <w:r w:rsidRPr="005675B2">
        <w:rPr>
          <w:rFonts w:hint="cs"/>
          <w:rtl/>
        </w:rPr>
        <w:t xml:space="preserve"> والثاني</w:t>
      </w:r>
      <w:r w:rsidR="000636C2">
        <w:rPr>
          <w:rFonts w:hint="cs"/>
          <w:rtl/>
        </w:rPr>
        <w:t>:</w:t>
      </w:r>
      <w:r w:rsidRPr="005675B2">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sidR="000636C2">
        <w:rPr>
          <w:rFonts w:hint="cs"/>
          <w:rtl/>
        </w:rPr>
        <w:t>[</w:t>
      </w:r>
      <w:r w:rsidRPr="005675B2">
        <w:rPr>
          <w:rFonts w:hint="cs"/>
          <w:rtl/>
        </w:rPr>
        <w:t>انظر مختار الصحاح ج: 1 ص: 53</w:t>
      </w:r>
      <w:r w:rsidR="000636C2">
        <w:rPr>
          <w:rFonts w:hint="cs"/>
          <w:rtl/>
        </w:rPr>
        <w:t>]،</w:t>
      </w:r>
      <w:r w:rsidRPr="005675B2">
        <w:rPr>
          <w:rFonts w:hint="cs"/>
          <w:rtl/>
        </w:rPr>
        <w:t xml:space="preserve"> </w:t>
      </w:r>
      <w:r w:rsidR="000636C2">
        <w:rPr>
          <w:rFonts w:hint="cs"/>
          <w:rtl/>
        </w:rPr>
        <w:t>(</w:t>
      </w:r>
      <w:r w:rsidRPr="005675B2">
        <w:rPr>
          <w:rFonts w:hint="cs"/>
          <w:rtl/>
        </w:rPr>
        <w:t>ص</w:t>
      </w:r>
      <w:r w:rsidR="000636C2">
        <w:rPr>
          <w:rFonts w:hint="cs"/>
          <w:rtl/>
        </w:rPr>
        <w:t>)</w:t>
      </w:r>
      <w:r w:rsidRPr="005675B2">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0636C2">
        <w:rPr>
          <w:rFonts w:hint="cs"/>
          <w:rtl/>
        </w:rPr>
        <w:t>،</w:t>
      </w:r>
      <w:r w:rsidRPr="005675B2">
        <w:rPr>
          <w:rFonts w:hint="cs"/>
          <w:rtl/>
        </w:rPr>
        <w:t xml:space="preserve"> يعتقدون ان إلههم محدود بحد لا يعلمه إلا هو وأكثرهم على أن حده العرش</w:t>
      </w:r>
      <w:r w:rsidR="000636C2">
        <w:rPr>
          <w:rFonts w:hint="cs"/>
          <w:rtl/>
        </w:rPr>
        <w:t>،</w:t>
      </w:r>
      <w:r w:rsidRPr="005675B2">
        <w:rPr>
          <w:rFonts w:hint="cs"/>
          <w:rtl/>
        </w:rPr>
        <w:t xml:space="preserve"> فحدوه بمخلوق مربوب مثلهم وقد اشار القرآن الكريم إلى ذلك بقوله تعالى </w:t>
      </w:r>
      <w:r w:rsidR="000636C2">
        <w:rPr>
          <w:rFonts w:hint="cs"/>
          <w:rtl/>
        </w:rPr>
        <w:t>{</w:t>
      </w:r>
      <w:r w:rsidRPr="005675B2">
        <w:rPr>
          <w:rFonts w:hint="cs"/>
          <w:rtl/>
        </w:rPr>
        <w:t>وهو رب العرش العظيم</w:t>
      </w:r>
      <w:r w:rsidR="000636C2">
        <w:rPr>
          <w:rFonts w:hint="cs"/>
          <w:rtl/>
        </w:rPr>
        <w:t xml:space="preserve">} </w:t>
      </w:r>
      <w:r w:rsidRPr="005675B2">
        <w:rPr>
          <w:rFonts w:hint="cs"/>
          <w:rtl/>
        </w:rPr>
        <w:t>كما أنه رب العالمين جميعا</w:t>
      </w:r>
      <w:r w:rsidR="000636C2">
        <w:rPr>
          <w:rFonts w:hint="cs"/>
          <w:rtl/>
        </w:rPr>
        <w:t>،</w:t>
      </w:r>
      <w:r w:rsidRPr="005675B2">
        <w:rPr>
          <w:rFonts w:hint="cs"/>
          <w:rtl/>
        </w:rPr>
        <w:t xml:space="preserve"> فالله تعالى رب العرش ورب العالمين والجميع محفوف بعناية الله ومحفوظ بحفظه</w:t>
      </w:r>
      <w:r w:rsidR="000636C2">
        <w:rPr>
          <w:rFonts w:hint="cs"/>
          <w:rtl/>
        </w:rPr>
        <w:t>،</w:t>
      </w:r>
      <w:r w:rsidRPr="005675B2">
        <w:rPr>
          <w:rFonts w:hint="cs"/>
          <w:rtl/>
        </w:rPr>
        <w:t xml:space="preserve"> وهل – أستغفر الله تعالى – الرب عز وجل محمول على عرش او كرسي</w:t>
      </w:r>
      <w:r w:rsidR="000636C2">
        <w:rPr>
          <w:rFonts w:hint="cs"/>
          <w:rtl/>
        </w:rPr>
        <w:t>،</w:t>
      </w:r>
      <w:r w:rsidRPr="005675B2">
        <w:rPr>
          <w:rFonts w:hint="cs"/>
          <w:rtl/>
        </w:rPr>
        <w:t xml:space="preserve"> الرب الذي قال عن نفسه سبحانه</w:t>
      </w:r>
      <w:r w:rsidR="000636C2">
        <w:rPr>
          <w:rFonts w:hint="cs"/>
          <w:rtl/>
        </w:rPr>
        <w:t>:</w:t>
      </w:r>
      <w:r w:rsidRPr="005675B2">
        <w:rPr>
          <w:rFonts w:hint="cs"/>
          <w:rtl/>
        </w:rPr>
        <w:t xml:space="preserve"> </w:t>
      </w:r>
      <w:r w:rsidR="000636C2">
        <w:rPr>
          <w:rFonts w:hint="cs"/>
          <w:rtl/>
        </w:rPr>
        <w:t>{</w:t>
      </w:r>
      <w:r w:rsidRPr="005675B2">
        <w:rPr>
          <w:rFonts w:hint="cs"/>
          <w:rtl/>
        </w:rPr>
        <w:t>إِنَّ اللَّهَ يُمْسِكُ السَّمَوَاتِ وَالْأَرْضَ أَنْ تَزُولَا وَلَئِنْ زَالَتَا إِنْ أَمْسَكَهُمَا مِنْ أَحَدٍ مِنْ بَعْدِهِ إِنَّهُ كَانَ حَلِيمًا غَفُورًا</w:t>
      </w:r>
      <w:r w:rsidR="000636C2">
        <w:rPr>
          <w:rFonts w:hint="cs"/>
          <w:rtl/>
        </w:rPr>
        <w:t>}</w:t>
      </w:r>
      <w:r w:rsidRPr="005675B2">
        <w:rPr>
          <w:rFonts w:hint="cs"/>
          <w:rtl/>
        </w:rPr>
        <w:t xml:space="preserve"> </w:t>
      </w:r>
      <w:r w:rsidR="000636C2">
        <w:rPr>
          <w:rFonts w:hint="cs"/>
          <w:rtl/>
        </w:rPr>
        <w:t>[</w:t>
      </w:r>
      <w:r w:rsidRPr="005675B2">
        <w:rPr>
          <w:rFonts w:hint="cs"/>
          <w:rtl/>
        </w:rPr>
        <w:t>فاطر</w:t>
      </w:r>
      <w:r w:rsidR="000636C2">
        <w:rPr>
          <w:rFonts w:hint="cs"/>
          <w:rtl/>
        </w:rPr>
        <w:t>:</w:t>
      </w:r>
      <w:r w:rsidRPr="005675B2">
        <w:rPr>
          <w:rFonts w:hint="cs"/>
          <w:rtl/>
        </w:rPr>
        <w:t xml:space="preserve"> 41</w:t>
      </w:r>
      <w:r w:rsidR="000636C2">
        <w:rPr>
          <w:rFonts w:hint="cs"/>
          <w:rtl/>
        </w:rPr>
        <w:t>]،</w:t>
      </w:r>
      <w:r w:rsidRPr="005675B2">
        <w:rPr>
          <w:rFonts w:hint="cs"/>
          <w:rtl/>
        </w:rPr>
        <w:t xml:space="preserve"> هل يحتاج إلى شيء يحمله</w:t>
      </w:r>
      <w:r w:rsidR="000636C2">
        <w:rPr>
          <w:rFonts w:hint="cs"/>
          <w:rtl/>
        </w:rPr>
        <w:t>،</w:t>
      </w:r>
      <w:r w:rsidRPr="005675B2">
        <w:rPr>
          <w:rFonts w:hint="cs"/>
          <w:rtl/>
        </w:rPr>
        <w:t xml:space="preserve"> أو شيء يحيط به ويحويه</w:t>
      </w:r>
      <w:r w:rsidR="000636C2">
        <w:rPr>
          <w:rFonts w:hint="cs"/>
          <w:rtl/>
        </w:rPr>
        <w:t>،</w:t>
      </w:r>
      <w:r w:rsidRPr="005675B2">
        <w:rPr>
          <w:rFonts w:hint="cs"/>
          <w:rtl/>
        </w:rPr>
        <w:t xml:space="preserve"> مهما بلغ اتساعه وحجمه</w:t>
      </w:r>
      <w:r w:rsidR="000636C2">
        <w:rPr>
          <w:rFonts w:hint="cs"/>
          <w:rtl/>
        </w:rPr>
        <w:t>،</w:t>
      </w:r>
      <w:r w:rsidRPr="005675B2">
        <w:rPr>
          <w:rFonts w:hint="cs"/>
          <w:rtl/>
        </w:rPr>
        <w:t xml:space="preserve"> فأنى للمخلوق المربوب أن يحمل الخالق</w:t>
      </w:r>
      <w:r w:rsidR="000636C2">
        <w:rPr>
          <w:rFonts w:hint="cs"/>
          <w:rtl/>
        </w:rPr>
        <w:t>،</w:t>
      </w:r>
      <w:r w:rsidRPr="005675B2">
        <w:rPr>
          <w:rFonts w:hint="cs"/>
          <w:rtl/>
        </w:rPr>
        <w:t xml:space="preserve"> وأنى للمحدود ان يحوي الذي تعالى عن الحد والمقدار</w:t>
      </w:r>
      <w:r w:rsidR="000636C2">
        <w:rPr>
          <w:rFonts w:hint="cs"/>
          <w:rtl/>
        </w:rPr>
        <w:t>،</w:t>
      </w:r>
      <w:r w:rsidRPr="005675B2">
        <w:rPr>
          <w:rFonts w:hint="cs"/>
          <w:rtl/>
        </w:rPr>
        <w:t xml:space="preserve"> وأين ذلك من اعتقاد كل مسلم بأن الله هو الغني الذي تحتاج إليه الخلائق بما فيها العرش</w:t>
      </w:r>
      <w:r w:rsidR="000636C2">
        <w:rPr>
          <w:rFonts w:hint="cs"/>
          <w:rtl/>
        </w:rPr>
        <w:t>،</w:t>
      </w:r>
      <w:r w:rsidRPr="005675B2">
        <w:rPr>
          <w:rFonts w:hint="cs"/>
          <w:rtl/>
        </w:rPr>
        <w:t xml:space="preserve"> وهو الغني عنها</w:t>
      </w:r>
      <w:r w:rsidR="000636C2">
        <w:rPr>
          <w:rFonts w:hint="cs"/>
          <w:rtl/>
        </w:rPr>
        <w:t>،</w:t>
      </w:r>
      <w:r w:rsidRPr="005675B2">
        <w:rPr>
          <w:rFonts w:hint="cs"/>
          <w:rtl/>
        </w:rPr>
        <w:t xml:space="preserve"> وأين ذلك من اعتقاد كل مسلم بان الله هو الحي القيوم الذي يقوم على حاجة كل مخلوق وهو مستغنٍ عنها</w:t>
      </w:r>
      <w:r w:rsidR="000636C2">
        <w:rPr>
          <w:rFonts w:hint="cs"/>
          <w:rtl/>
        </w:rPr>
        <w:t>،</w:t>
      </w:r>
      <w:r w:rsidRPr="005675B2">
        <w:rPr>
          <w:rFonts w:hint="cs"/>
          <w:rtl/>
        </w:rPr>
        <w:t xml:space="preserve"> سبحانك هذا بهتان عظيم</w:t>
      </w:r>
      <w:r w:rsidR="000636C2">
        <w:rPr>
          <w:rFonts w:hint="cs"/>
          <w:rtl/>
        </w:rPr>
        <w:t>، (</w:t>
      </w:r>
      <w:r w:rsidRPr="005675B2">
        <w:rPr>
          <w:rFonts w:hint="cs"/>
          <w:rtl/>
        </w:rPr>
        <w:t>ض</w:t>
      </w:r>
      <w:r w:rsidR="000636C2">
        <w:rPr>
          <w:rFonts w:hint="cs"/>
          <w:rtl/>
        </w:rPr>
        <w:t>)</w:t>
      </w:r>
      <w:r w:rsidRPr="005675B2">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0636C2">
        <w:rPr>
          <w:rFonts w:hint="cs"/>
          <w:rtl/>
        </w:rPr>
        <w:t>،</w:t>
      </w:r>
      <w:r w:rsidRPr="005675B2">
        <w:rPr>
          <w:rFonts w:hint="cs"/>
          <w:rtl/>
        </w:rPr>
        <w:t xml:space="preserve"> وليس معناه أن الكون كله داخل في ذات الله </w:t>
      </w:r>
      <w:r w:rsidR="000636C2">
        <w:rPr>
          <w:rFonts w:hint="cs"/>
          <w:rtl/>
        </w:rPr>
        <w:t>(</w:t>
      </w:r>
      <w:r w:rsidRPr="005675B2">
        <w:rPr>
          <w:rFonts w:hint="cs"/>
          <w:rtl/>
        </w:rPr>
        <w:t>سبحانه</w:t>
      </w:r>
      <w:r w:rsidR="000636C2">
        <w:rPr>
          <w:rFonts w:hint="cs"/>
          <w:rtl/>
        </w:rPr>
        <w:t>)</w:t>
      </w:r>
      <w:r w:rsidRPr="005675B2">
        <w:rPr>
          <w:rFonts w:hint="cs"/>
          <w:rtl/>
        </w:rPr>
        <w:t xml:space="preserve"> إذ تنزه الخالق عن معاني الحلول والاتحاد ومعاني المماسة والاتصال ليس كذاته ذات</w:t>
      </w:r>
      <w:r w:rsidR="000636C2">
        <w:rPr>
          <w:rFonts w:hint="cs"/>
          <w:rtl/>
        </w:rPr>
        <w:t xml:space="preserve"> </w:t>
      </w:r>
      <w:r w:rsidRPr="005675B2">
        <w:rPr>
          <w:rFonts w:hint="cs"/>
          <w:rtl/>
        </w:rPr>
        <w:t>تنزه عن كل ما خطر بقلوب البشر له الكمال والتنزيه المطلقين في ذاته وصفاته وافعاله ليس كمثله شيء ولا نحيط به علما</w:t>
      </w:r>
      <w:r w:rsidR="000636C2">
        <w:rPr>
          <w:rFonts w:hint="cs"/>
          <w:rtl/>
        </w:rPr>
        <w:t>،</w:t>
      </w:r>
      <w:r w:rsidRPr="005675B2">
        <w:rPr>
          <w:rFonts w:hint="cs"/>
          <w:rtl/>
        </w:rPr>
        <w:t xml:space="preserve"> نعجز عن ادراك ذاته</w:t>
      </w:r>
      <w:r w:rsidR="000636C2">
        <w:rPr>
          <w:rFonts w:hint="cs"/>
          <w:rtl/>
        </w:rPr>
        <w:t>،</w:t>
      </w:r>
      <w:r w:rsidRPr="005675B2">
        <w:rPr>
          <w:rFonts w:hint="cs"/>
          <w:rtl/>
        </w:rPr>
        <w:t xml:space="preserve"> </w:t>
      </w:r>
      <w:r w:rsidRPr="005675B2">
        <w:rPr>
          <w:rFonts w:hint="cs"/>
          <w:rtl/>
        </w:rPr>
        <w:lastRenderedPageBreak/>
        <w:t>وما نستطيع ان نقدره قدره</w:t>
      </w:r>
      <w:r w:rsidR="000636C2">
        <w:rPr>
          <w:rFonts w:hint="cs"/>
          <w:rtl/>
        </w:rPr>
        <w:t>،</w:t>
      </w:r>
      <w:r w:rsidRPr="005675B2">
        <w:rPr>
          <w:rFonts w:hint="cs"/>
          <w:rtl/>
        </w:rPr>
        <w:t xml:space="preserve"> لا نحصي ثناءً عليه</w:t>
      </w:r>
      <w:r w:rsidR="000636C2">
        <w:rPr>
          <w:rFonts w:hint="cs"/>
          <w:rtl/>
        </w:rPr>
        <w:t>،</w:t>
      </w:r>
      <w:r w:rsidRPr="005675B2">
        <w:rPr>
          <w:rFonts w:hint="cs"/>
          <w:rtl/>
        </w:rPr>
        <w:t xml:space="preserve"> هو كما أثنى على نفسه</w:t>
      </w:r>
      <w:r w:rsidR="000636C2">
        <w:rPr>
          <w:rFonts w:hint="cs"/>
          <w:rtl/>
        </w:rPr>
        <w:t>،</w:t>
      </w:r>
      <w:r w:rsidRPr="005675B2">
        <w:rPr>
          <w:rFonts w:hint="cs"/>
          <w:rtl/>
        </w:rPr>
        <w:t xml:space="preserve"> </w:t>
      </w:r>
      <w:r w:rsidR="000636C2">
        <w:rPr>
          <w:rFonts w:hint="cs"/>
          <w:rtl/>
        </w:rPr>
        <w:t>(</w:t>
      </w:r>
      <w:r w:rsidRPr="005675B2">
        <w:rPr>
          <w:rFonts w:hint="cs"/>
          <w:rtl/>
        </w:rPr>
        <w:t>ط</w:t>
      </w:r>
      <w:r w:rsidR="000636C2">
        <w:rPr>
          <w:rFonts w:hint="cs"/>
          <w:rtl/>
        </w:rPr>
        <w:t>)</w:t>
      </w:r>
      <w:r w:rsidRPr="005675B2">
        <w:rPr>
          <w:rFonts w:hint="cs"/>
          <w:rtl/>
        </w:rPr>
        <w:t xml:space="preserve"> يقول علماء الحساب والرياضيات أنه لا نسبة بين المحدود واللامحدود</w:t>
      </w:r>
      <w:r w:rsidR="000636C2">
        <w:rPr>
          <w:rFonts w:hint="cs"/>
          <w:rtl/>
        </w:rPr>
        <w:t>،</w:t>
      </w:r>
      <w:r w:rsidRPr="005675B2">
        <w:rPr>
          <w:rFonts w:hint="cs"/>
          <w:rtl/>
        </w:rPr>
        <w:t xml:space="preserve"> ولا تصح المقارنة بين المحدود مهما كان كبيرا أو عظيما وبين اللامحدود</w:t>
      </w:r>
      <w:r w:rsidR="000636C2">
        <w:rPr>
          <w:rFonts w:hint="cs"/>
          <w:rtl/>
        </w:rPr>
        <w:t>،</w:t>
      </w:r>
      <w:r w:rsidRPr="005675B2">
        <w:rPr>
          <w:rFonts w:hint="cs"/>
          <w:rtl/>
        </w:rPr>
        <w:t xml:space="preserve"> إذ نسبة المحدود مهما كان كبيرا إلى اللامحدود هي نفسها نسبة الصفر الذي لا يساوي شيئا إلى الذي لا يتناهى من الأشياء</w:t>
      </w:r>
      <w:r w:rsidR="000636C2">
        <w:rPr>
          <w:rFonts w:hint="cs"/>
          <w:rtl/>
        </w:rPr>
        <w:t>،</w:t>
      </w:r>
      <w:r w:rsidRPr="005675B2">
        <w:rPr>
          <w:rFonts w:hint="cs"/>
          <w:rtl/>
        </w:rPr>
        <w:t xml:space="preserve"> ولله المثل الاعلى</w:t>
      </w:r>
      <w:r w:rsidR="000636C2">
        <w:rPr>
          <w:rFonts w:hint="cs"/>
          <w:rtl/>
        </w:rPr>
        <w:t>،</w:t>
      </w:r>
      <w:r w:rsidRPr="005675B2">
        <w:rPr>
          <w:rFonts w:hint="cs"/>
          <w:rtl/>
        </w:rPr>
        <w:t xml:space="preserve"> إذ كيف تصح المقارنة بين الكون المخلوق المقدر المحدود – مهما بلغ اتساعه وهو عظيم كما قال تعالى</w:t>
      </w:r>
      <w:r w:rsidR="000636C2">
        <w:rPr>
          <w:rFonts w:hint="cs"/>
          <w:rtl/>
        </w:rPr>
        <w:t>:</w:t>
      </w:r>
      <w:r w:rsidRPr="005675B2">
        <w:rPr>
          <w:rFonts w:hint="cs"/>
          <w:rtl/>
        </w:rPr>
        <w:t xml:space="preserve"> </w:t>
      </w:r>
      <w:r w:rsidR="000636C2">
        <w:rPr>
          <w:rFonts w:hint="cs"/>
          <w:rtl/>
        </w:rPr>
        <w:t>{</w:t>
      </w:r>
      <w:r w:rsidRPr="005675B2">
        <w:rPr>
          <w:rFonts w:hint="cs"/>
          <w:rtl/>
        </w:rPr>
        <w:t>وَالسَّمَاءَ بَنَيْنَاهَا بِأَيْدٍ وَإِنَّا لَمُوسِعُونَ</w:t>
      </w:r>
      <w:r w:rsidR="000636C2">
        <w:rPr>
          <w:rFonts w:hint="cs"/>
          <w:rtl/>
        </w:rPr>
        <w:t>}</w:t>
      </w:r>
      <w:r w:rsidRPr="005675B2">
        <w:rPr>
          <w:rFonts w:hint="cs"/>
          <w:rtl/>
        </w:rPr>
        <w:t xml:space="preserve"> –</w:t>
      </w:r>
      <w:r w:rsidR="000636C2">
        <w:rPr>
          <w:rFonts w:hint="cs"/>
          <w:rtl/>
        </w:rPr>
        <w:t xml:space="preserve"> </w:t>
      </w:r>
      <w:r w:rsidRPr="005675B2">
        <w:rPr>
          <w:rFonts w:hint="cs"/>
          <w:rtl/>
        </w:rPr>
        <w:t>وبين الخالق الواحد القهار المنزه عن الحد والمقدار</w:t>
      </w:r>
      <w:r w:rsidR="000636C2">
        <w:rPr>
          <w:rFonts w:hint="cs"/>
          <w:rtl/>
        </w:rPr>
        <w:t xml:space="preserve">، </w:t>
      </w:r>
      <w:r w:rsidRPr="005675B2">
        <w:rPr>
          <w:rFonts w:hint="cs"/>
          <w:rtl/>
        </w:rPr>
        <w:t>ومن ذلك نفهم وجه المقارنة من حديث النبي صلى الله عليه وسلم</w:t>
      </w:r>
      <w:r w:rsidR="000636C2">
        <w:rPr>
          <w:rFonts w:hint="cs"/>
          <w:rtl/>
        </w:rPr>
        <w:t>،</w:t>
      </w:r>
      <w:r w:rsidRPr="005675B2">
        <w:rPr>
          <w:rFonts w:hint="cs"/>
          <w:rtl/>
        </w:rPr>
        <w:t xml:space="preserve"> فيما يرويه عن الله تبارك وتعالى أنه قال </w:t>
      </w:r>
      <w:r w:rsidR="000636C2">
        <w:rPr>
          <w:rFonts w:hint="cs"/>
          <w:rtl/>
        </w:rPr>
        <w:t>(</w:t>
      </w:r>
      <w:r w:rsidRPr="005675B2">
        <w:rPr>
          <w:rFonts w:hint="cs"/>
          <w:rtl/>
        </w:rPr>
        <w:t>يا عبادي</w:t>
      </w:r>
      <w:r w:rsidR="000636C2">
        <w:rPr>
          <w:rtl/>
        </w:rPr>
        <w:t>!</w:t>
      </w:r>
      <w:r w:rsidRPr="005675B2">
        <w:t xml:space="preserve"> </w:t>
      </w:r>
      <w:r w:rsidRPr="005675B2">
        <w:rPr>
          <w:rFonts w:hint="cs"/>
          <w:rtl/>
        </w:rPr>
        <w:t>لو أن أولكم</w:t>
      </w:r>
      <w:r w:rsidRPr="005675B2">
        <w:rPr>
          <w:rFonts w:hint="cs"/>
        </w:rPr>
        <w:t xml:space="preserve"> </w:t>
      </w:r>
      <w:r w:rsidRPr="005675B2">
        <w:rPr>
          <w:rFonts w:hint="cs"/>
          <w:rtl/>
        </w:rPr>
        <w:t>وآخركم وإنسكم وجنكم</w:t>
      </w:r>
      <w:r w:rsidR="000636C2">
        <w:rPr>
          <w:rFonts w:hint="cs"/>
          <w:rtl/>
        </w:rPr>
        <w:t xml:space="preserve"> </w:t>
      </w:r>
      <w:r w:rsidRPr="005675B2">
        <w:rPr>
          <w:rFonts w:hint="cs"/>
          <w:rtl/>
        </w:rPr>
        <w:t>كانوا على أتقى قلب رجل واحد منكم ما زاد ذلك في ملكي شيئا</w:t>
      </w:r>
      <w:r w:rsidR="000636C2">
        <w:rPr>
          <w:rFonts w:hint="cs"/>
          <w:rtl/>
        </w:rPr>
        <w:t>،</w:t>
      </w:r>
      <w:r w:rsidRPr="005675B2">
        <w:rPr>
          <w:rFonts w:hint="cs"/>
          <w:rtl/>
        </w:rPr>
        <w:t xml:space="preserve"> يا عبادي</w:t>
      </w:r>
      <w:r w:rsidR="000636C2">
        <w:rPr>
          <w:rFonts w:hint="cs"/>
          <w:rtl/>
        </w:rPr>
        <w:t>!</w:t>
      </w:r>
      <w:r w:rsidRPr="005675B2">
        <w:rPr>
          <w:rFonts w:hint="cs"/>
          <w:rtl/>
        </w:rPr>
        <w:t xml:space="preserve"> لو أن أولكم وآخركم وإنسكم وجنكم كانوا على أفجر قلب رجل واحد</w:t>
      </w:r>
      <w:r w:rsidRPr="005675B2">
        <w:rPr>
          <w:rFonts w:hint="cs"/>
        </w:rPr>
        <w:t xml:space="preserve"> </w:t>
      </w:r>
      <w:r w:rsidRPr="005675B2">
        <w:rPr>
          <w:rFonts w:hint="cs"/>
          <w:rtl/>
        </w:rPr>
        <w:t>ما نقص ذلك من ملكي شيئا</w:t>
      </w:r>
      <w:r w:rsidR="000636C2">
        <w:rPr>
          <w:rFonts w:hint="cs"/>
          <w:rtl/>
        </w:rPr>
        <w:t xml:space="preserve">، </w:t>
      </w:r>
      <w:r w:rsidRPr="005675B2">
        <w:rPr>
          <w:rFonts w:hint="cs"/>
          <w:rtl/>
        </w:rPr>
        <w:t>يا عبادي</w:t>
      </w:r>
      <w:r w:rsidR="000636C2">
        <w:rPr>
          <w:rFonts w:hint="cs"/>
          <w:rtl/>
        </w:rPr>
        <w:t>!</w:t>
      </w:r>
      <w:r w:rsidRPr="005675B2">
        <w:rPr>
          <w:rFonts w:hint="cs"/>
          <w:rtl/>
        </w:rPr>
        <w:t xml:space="preserve"> لو أن أولكم وآخركم وإنسكم وجنكم قاموا</w:t>
      </w:r>
      <w:r w:rsidRPr="005675B2">
        <w:rPr>
          <w:rFonts w:hint="cs"/>
        </w:rPr>
        <w:t xml:space="preserve"> </w:t>
      </w:r>
      <w:r w:rsidRPr="005675B2">
        <w:rPr>
          <w:rFonts w:hint="cs"/>
          <w:rtl/>
        </w:rPr>
        <w:t>في صعيد واحد فسألوني فأعطيت كل إنسان مسألته ما نقص ذلك مما عندي إلا كما ينقص</w:t>
      </w:r>
      <w:r w:rsidRPr="005675B2">
        <w:rPr>
          <w:rFonts w:hint="cs"/>
        </w:rPr>
        <w:t xml:space="preserve"> </w:t>
      </w:r>
      <w:r w:rsidRPr="005675B2">
        <w:rPr>
          <w:rFonts w:hint="cs"/>
          <w:rtl/>
        </w:rPr>
        <w:t>المخيط إذا أدخل البحر</w:t>
      </w:r>
      <w:r w:rsidR="000636C2">
        <w:rPr>
          <w:rFonts w:hint="cs"/>
          <w:rtl/>
        </w:rPr>
        <w:t>)</w:t>
      </w:r>
      <w:r w:rsidRPr="005675B2">
        <w:rPr>
          <w:rFonts w:hint="cs"/>
          <w:rtl/>
        </w:rPr>
        <w:t xml:space="preserve"> </w:t>
      </w:r>
      <w:r w:rsidR="000636C2">
        <w:rPr>
          <w:rFonts w:hint="cs"/>
          <w:rtl/>
        </w:rPr>
        <w:t>[</w:t>
      </w:r>
      <w:r w:rsidRPr="005675B2">
        <w:rPr>
          <w:rFonts w:hint="cs"/>
          <w:rtl/>
        </w:rPr>
        <w:t>صحيح مسلم</w:t>
      </w:r>
      <w:r w:rsidR="000636C2">
        <w:rPr>
          <w:rFonts w:hint="cs"/>
          <w:rtl/>
        </w:rPr>
        <w:t>:</w:t>
      </w:r>
      <w:r w:rsidRPr="005675B2">
        <w:rPr>
          <w:rFonts w:hint="cs"/>
          <w:rtl/>
        </w:rPr>
        <w:t xml:space="preserve"> 2577] ومعلوم أن المخيط لا ينقص من البحر شيئا ولله المثل الأعلى قال تعالى </w:t>
      </w:r>
      <w:r w:rsidR="000636C2">
        <w:rPr>
          <w:rFonts w:hint="cs"/>
          <w:rtl/>
        </w:rPr>
        <w:t>{</w:t>
      </w:r>
      <w:r w:rsidRPr="005675B2">
        <w:rPr>
          <w:rFonts w:hint="cs"/>
          <w:rtl/>
        </w:rPr>
        <w:t>وما قدروا الله حق قدره</w:t>
      </w:r>
      <w:r w:rsidR="000636C2">
        <w:rPr>
          <w:rFonts w:hint="cs"/>
          <w:rtl/>
        </w:rPr>
        <w:t>}،</w:t>
      </w:r>
      <w:r w:rsidRPr="005675B2">
        <w:rPr>
          <w:rFonts w:hint="cs"/>
          <w:rtl/>
        </w:rPr>
        <w:t xml:space="preserve"> وقال تعالى</w:t>
      </w:r>
      <w:r w:rsidR="000636C2">
        <w:rPr>
          <w:rFonts w:hint="cs"/>
          <w:rtl/>
        </w:rPr>
        <w:t>{</w:t>
      </w:r>
      <w:r w:rsidRPr="005675B2">
        <w:rPr>
          <w:rFonts w:hint="cs"/>
          <w:rtl/>
        </w:rPr>
        <w:t>سبحان ربك رب العزة عما يصفون</w:t>
      </w:r>
      <w:r w:rsidR="000636C2">
        <w:rPr>
          <w:rFonts w:hint="cs"/>
          <w:rtl/>
        </w:rPr>
        <w:t>}،</w:t>
      </w:r>
      <w:r w:rsidRPr="005675B2">
        <w:rPr>
          <w:rFonts w:hint="cs"/>
          <w:rtl/>
        </w:rPr>
        <w:t xml:space="preserve"> سبحانك تقدست أسماؤك وتعالت عظمتك</w:t>
      </w:r>
      <w:r w:rsidR="000636C2">
        <w:rPr>
          <w:rFonts w:hint="cs"/>
          <w:rtl/>
        </w:rPr>
        <w:t>، (</w:t>
      </w:r>
      <w:r w:rsidRPr="005675B2">
        <w:rPr>
          <w:rFonts w:hint="cs"/>
          <w:rtl/>
        </w:rPr>
        <w:t>ظ</w:t>
      </w:r>
      <w:r w:rsidR="000636C2">
        <w:rPr>
          <w:rFonts w:hint="cs"/>
          <w:rtl/>
        </w:rPr>
        <w:t>)</w:t>
      </w:r>
      <w:r w:rsidRPr="005675B2">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مع قوله تعالى </w:t>
      </w:r>
      <w:r w:rsidR="000636C2">
        <w:rPr>
          <w:rFonts w:hint="cs"/>
          <w:rtl/>
        </w:rPr>
        <w:t>{</w:t>
      </w:r>
      <w:r w:rsidRPr="005675B2">
        <w:rPr>
          <w:rFonts w:hint="cs"/>
          <w:rtl/>
        </w:rPr>
        <w:t>فإني قريب</w:t>
      </w:r>
      <w:r w:rsidR="000636C2">
        <w:rPr>
          <w:rFonts w:hint="cs"/>
          <w:rtl/>
        </w:rPr>
        <w:t>}،</w:t>
      </w:r>
      <w:r w:rsidRPr="005675B2">
        <w:rPr>
          <w:rFonts w:hint="cs"/>
          <w:rtl/>
        </w:rPr>
        <w:t xml:space="preserve"> مع قوله تعالى </w:t>
      </w:r>
      <w:r w:rsidR="000636C2">
        <w:rPr>
          <w:rFonts w:hint="cs"/>
          <w:rtl/>
        </w:rPr>
        <w:t>{</w:t>
      </w:r>
      <w:r w:rsidRPr="005675B2">
        <w:rPr>
          <w:rFonts w:hint="cs"/>
          <w:rtl/>
        </w:rPr>
        <w:t>فأينما تولوا فثم وجه الله إن الله واسع عليم</w:t>
      </w:r>
      <w:r w:rsidR="000636C2">
        <w:rPr>
          <w:rFonts w:hint="cs"/>
          <w:rtl/>
        </w:rPr>
        <w:t>}،</w:t>
      </w:r>
      <w:r w:rsidRPr="005675B2">
        <w:rPr>
          <w:rFonts w:hint="cs"/>
          <w:rtl/>
        </w:rPr>
        <w:t xml:space="preserve"> مع قوله تعالى </w:t>
      </w:r>
      <w:r w:rsidR="000636C2">
        <w:rPr>
          <w:rFonts w:hint="cs"/>
          <w:rtl/>
        </w:rPr>
        <w:t>{</w:t>
      </w:r>
      <w:r w:rsidRPr="005675B2">
        <w:rPr>
          <w:rFonts w:hint="cs"/>
          <w:rtl/>
        </w:rPr>
        <w:t>والله بكل شيء محيط</w:t>
      </w:r>
      <w:r w:rsidR="000636C2">
        <w:rPr>
          <w:rFonts w:hint="cs"/>
          <w:rtl/>
        </w:rPr>
        <w:t>}،</w:t>
      </w:r>
      <w:r w:rsidRPr="005675B2">
        <w:rPr>
          <w:rFonts w:hint="cs"/>
          <w:rtl/>
        </w:rPr>
        <w:t xml:space="preserve"> وقوله تعالى </w:t>
      </w:r>
      <w:r w:rsidR="000636C2">
        <w:rPr>
          <w:rFonts w:hint="cs"/>
          <w:rtl/>
        </w:rPr>
        <w:t>{</w:t>
      </w:r>
      <w:r w:rsidRPr="005675B2">
        <w:rPr>
          <w:rFonts w:hint="cs"/>
          <w:rtl/>
        </w:rPr>
        <w:t>وكان الله بكل شيء محيطا</w:t>
      </w:r>
      <w:r w:rsidR="000636C2">
        <w:rPr>
          <w:rFonts w:hint="cs"/>
          <w:rtl/>
        </w:rPr>
        <w:t>}،</w:t>
      </w:r>
      <w:r w:rsidRPr="005675B2">
        <w:rPr>
          <w:rFonts w:hint="cs"/>
          <w:rtl/>
        </w:rPr>
        <w:t xml:space="preserve"> لأننا نعبد المنزه عن الحد والحصر والمقدار</w:t>
      </w:r>
      <w:r w:rsidR="000636C2">
        <w:rPr>
          <w:rFonts w:hint="cs"/>
          <w:rtl/>
        </w:rPr>
        <w:t>،</w:t>
      </w:r>
      <w:r w:rsidRPr="005675B2">
        <w:rPr>
          <w:rFonts w:hint="cs"/>
          <w:rtl/>
        </w:rPr>
        <w:t xml:space="preserve"> ولا نقول كما قالت الحلولية والجهمية</w:t>
      </w:r>
      <w:r w:rsidR="000636C2">
        <w:rPr>
          <w:rFonts w:hint="cs"/>
          <w:rtl/>
        </w:rPr>
        <w:t>:</w:t>
      </w:r>
      <w:r w:rsidRPr="005675B2">
        <w:rPr>
          <w:rFonts w:hint="cs"/>
          <w:rtl/>
        </w:rPr>
        <w:t xml:space="preserve"> إن الله في كل مكان لا يخلو منه مكان</w:t>
      </w:r>
      <w:r w:rsidR="000636C2">
        <w:rPr>
          <w:rFonts w:hint="cs"/>
          <w:rtl/>
        </w:rPr>
        <w:t>،</w:t>
      </w:r>
      <w:r w:rsidRPr="005675B2">
        <w:rPr>
          <w:rFonts w:hint="cs"/>
          <w:rtl/>
        </w:rPr>
        <w:t xml:space="preserve"> ولا نقول كما قالت الحشوية الجهوية</w:t>
      </w:r>
      <w:r w:rsidR="000636C2">
        <w:rPr>
          <w:rFonts w:hint="cs"/>
          <w:rtl/>
        </w:rPr>
        <w:t>:</w:t>
      </w:r>
      <w:r w:rsidRPr="005675B2">
        <w:rPr>
          <w:rFonts w:hint="cs"/>
          <w:rtl/>
        </w:rPr>
        <w:t xml:space="preserve"> إن الله في مكان دون مكان ألا وهو العرش العظيم</w:t>
      </w:r>
      <w:r w:rsidR="000636C2">
        <w:rPr>
          <w:rFonts w:hint="cs"/>
          <w:rtl/>
        </w:rPr>
        <w:t>،</w:t>
      </w:r>
      <w:r w:rsidRPr="005675B2">
        <w:rPr>
          <w:rFonts w:hint="cs"/>
          <w:rtl/>
        </w:rPr>
        <w:t xml:space="preserve"> بل نقول إن الله خالق المكان منزه عن المكان لا يحل في كل مكان ولا في مكان دون مكان وأنه هو رب العرش العظيم</w:t>
      </w:r>
      <w:r w:rsidR="000636C2">
        <w:rPr>
          <w:rFonts w:hint="cs"/>
          <w:rtl/>
        </w:rPr>
        <w:t>،</w:t>
      </w:r>
      <w:r w:rsidRPr="005675B2">
        <w:rPr>
          <w:rFonts w:hint="cs"/>
          <w:rtl/>
        </w:rPr>
        <w:t xml:space="preserve"> خلق العرش إظهارا لقدرته ولم يتخذه مكانا لذاته </w:t>
      </w:r>
      <w:r w:rsidR="000636C2">
        <w:rPr>
          <w:rFonts w:hint="cs"/>
          <w:rtl/>
        </w:rPr>
        <w:t>[</w:t>
      </w:r>
      <w:r w:rsidRPr="005675B2">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000636C2">
        <w:rPr>
          <w:rFonts w:hint="cs"/>
          <w:rtl/>
        </w:rPr>
        <w:t xml:space="preserve"> </w:t>
      </w:r>
      <w:r w:rsidRPr="005675B2">
        <w:rPr>
          <w:rFonts w:hint="cs"/>
          <w:rtl/>
        </w:rPr>
        <w:t>كان</w:t>
      </w:r>
      <w:r w:rsidR="000636C2">
        <w:rPr>
          <w:rFonts w:hint="cs"/>
          <w:rtl/>
        </w:rPr>
        <w:t>)</w:t>
      </w:r>
      <w:r w:rsidRPr="005675B2">
        <w:rPr>
          <w:rFonts w:hint="cs"/>
          <w:rtl/>
        </w:rPr>
        <w:t xml:space="preserve"> وقال (إن الله تعالى خلق العرش إظهارًا لقدرته لا مكانًا لذاته</w:t>
      </w:r>
      <w:r w:rsidR="000636C2">
        <w:rPr>
          <w:rFonts w:hint="cs"/>
          <w:rtl/>
        </w:rPr>
        <w:t>)</w:t>
      </w:r>
      <w:r w:rsidRPr="005675B2">
        <w:rPr>
          <w:rFonts w:hint="cs"/>
          <w:rtl/>
        </w:rPr>
        <w:t xml:space="preserve"> اهـ [الفرق بين الفرق لأبي منصور البغدادي ص 333</w:t>
      </w:r>
      <w:r w:rsidR="000636C2">
        <w:rPr>
          <w:rFonts w:hint="cs"/>
          <w:rtl/>
        </w:rPr>
        <w:t>]،</w:t>
      </w:r>
      <w:r w:rsidRPr="005675B2">
        <w:rPr>
          <w:rFonts w:hint="cs"/>
          <w:rtl/>
        </w:rPr>
        <w:t xml:space="preserve"> </w:t>
      </w:r>
      <w:r w:rsidRPr="005675B2">
        <w:rPr>
          <w:rFonts w:hint="cs"/>
          <w:bCs/>
          <w:rtl/>
        </w:rPr>
        <w:t>وأنه لا يُقال إن الله داخل الكون</w:t>
      </w:r>
      <w:r w:rsidRPr="005675B2">
        <w:rPr>
          <w:rFonts w:hint="cs"/>
          <w:rtl/>
        </w:rPr>
        <w:t xml:space="preserve"> _ لأن ذلك يوحي بالحلول والاتحاد</w:t>
      </w:r>
      <w:r w:rsidR="000636C2">
        <w:rPr>
          <w:rFonts w:hint="cs"/>
          <w:rtl/>
        </w:rPr>
        <w:t xml:space="preserve"> </w:t>
      </w:r>
      <w:r w:rsidRPr="005675B2">
        <w:rPr>
          <w:rFonts w:hint="cs"/>
          <w:rtl/>
        </w:rPr>
        <w:t xml:space="preserve">وأنى يحل الخالق المنزه عن الحدود في الكون المحدود _ </w:t>
      </w:r>
      <w:r w:rsidRPr="005675B2">
        <w:rPr>
          <w:rFonts w:hint="cs"/>
          <w:bCs/>
          <w:rtl/>
        </w:rPr>
        <w:t>ولا يُقال إنه خارجه</w:t>
      </w:r>
      <w:r w:rsidRPr="005675B2">
        <w:rPr>
          <w:rFonts w:hint="cs"/>
          <w:rtl/>
        </w:rPr>
        <w:t xml:space="preserve"> لأنه قريب كما قال تعالى </w:t>
      </w:r>
      <w:r w:rsidR="000636C2">
        <w:rPr>
          <w:rFonts w:hint="cs"/>
          <w:rtl/>
        </w:rPr>
        <w:t>{</w:t>
      </w:r>
      <w:r w:rsidRPr="005675B2">
        <w:rPr>
          <w:rFonts w:hint="cs"/>
          <w:rtl/>
        </w:rPr>
        <w:t xml:space="preserve">ونحن </w:t>
      </w:r>
      <w:r w:rsidRPr="005675B2">
        <w:rPr>
          <w:rFonts w:hint="cs"/>
          <w:rtl/>
        </w:rPr>
        <w:lastRenderedPageBreak/>
        <w:t>أقرب إليه منكم ولكن لا تبصرون</w:t>
      </w:r>
      <w:r w:rsidR="000636C2">
        <w:rPr>
          <w:rFonts w:hint="cs"/>
          <w:rtl/>
        </w:rPr>
        <w:t>}</w:t>
      </w:r>
      <w:r w:rsidRPr="005675B2">
        <w:rPr>
          <w:rFonts w:hint="cs"/>
          <w:rtl/>
        </w:rPr>
        <w:t xml:space="preserve"> وكما قال تعالى</w:t>
      </w:r>
      <w:r w:rsidR="000636C2">
        <w:rPr>
          <w:rFonts w:hint="cs"/>
          <w:rtl/>
        </w:rPr>
        <w:t>:{</w:t>
      </w:r>
      <w:r w:rsidRPr="005675B2">
        <w:rPr>
          <w:rFonts w:hint="cs"/>
          <w:rtl/>
        </w:rPr>
        <w:t>ونحن أقرب إليه من حبل الوريد</w:t>
      </w:r>
      <w:r w:rsidR="000636C2">
        <w:rPr>
          <w:rFonts w:hint="cs"/>
          <w:rtl/>
        </w:rPr>
        <w:t>}،</w:t>
      </w:r>
      <w:r w:rsidRPr="005675B2">
        <w:rPr>
          <w:rFonts w:hint="cs"/>
          <w:rtl/>
        </w:rPr>
        <w:t xml:space="preserve"> وكما قال تعالى </w:t>
      </w:r>
      <w:r w:rsidR="000636C2">
        <w:rPr>
          <w:rFonts w:hint="cs"/>
          <w:rtl/>
        </w:rPr>
        <w:t>{</w:t>
      </w:r>
      <w:r w:rsidRPr="005675B2">
        <w:rPr>
          <w:rFonts w:hint="cs"/>
          <w:rtl/>
        </w:rPr>
        <w:t>واسجد واقترب</w:t>
      </w:r>
      <w:r w:rsidR="000636C2">
        <w:rPr>
          <w:rFonts w:hint="cs"/>
          <w:rtl/>
        </w:rPr>
        <w:t>}،</w:t>
      </w:r>
      <w:r w:rsidRPr="005675B2">
        <w:rPr>
          <w:rFonts w:hint="cs"/>
          <w:rtl/>
        </w:rPr>
        <w:t xml:space="preserve"> وكما قال الرسول الكريم _ وهو يبين قرب الرحمن _ (</w:t>
      </w:r>
      <w:r w:rsidR="000636C2">
        <w:rPr>
          <w:rFonts w:hint="cs"/>
          <w:rtl/>
        </w:rPr>
        <w:t>(</w:t>
      </w:r>
      <w:r w:rsidRPr="005675B2">
        <w:rPr>
          <w:rFonts w:hint="cs"/>
          <w:rtl/>
        </w:rPr>
        <w:t>إذا كَانَ أَحَدُكُم في صَلاَتِهِ فَإِنَّهُ يُنَاجِي ربَّه فلا يَبْصُقَنَّ في قِبْلَتِهِ وَلاَ عَنْ يَمِينِهِ فَإِنَّ رَبَّهُ بَيْنَهُ وَبَيْنَ قِبْلَتِهِ</w:t>
      </w:r>
      <w:r w:rsidR="000636C2">
        <w:rPr>
          <w:rFonts w:hint="cs"/>
          <w:rtl/>
        </w:rPr>
        <w:t>)</w:t>
      </w:r>
      <w:r w:rsidRPr="005675B2">
        <w:rPr>
          <w:rFonts w:hint="cs"/>
          <w:rtl/>
        </w:rPr>
        <w:t xml:space="preserve">) </w:t>
      </w:r>
      <w:r w:rsidR="000636C2">
        <w:rPr>
          <w:rFonts w:hint="cs"/>
          <w:rtl/>
        </w:rPr>
        <w:t>[</w:t>
      </w:r>
      <w:r w:rsidRPr="005675B2">
        <w:rPr>
          <w:rFonts w:hint="cs"/>
          <w:rtl/>
        </w:rPr>
        <w:t>أخرجه البخاري</w:t>
      </w:r>
      <w:r w:rsidR="000636C2">
        <w:rPr>
          <w:rFonts w:hint="cs"/>
          <w:rtl/>
        </w:rPr>
        <w:t>]</w:t>
      </w:r>
      <w:r w:rsidRPr="005675B2">
        <w:rPr>
          <w:rFonts w:hint="cs"/>
          <w:rtl/>
        </w:rPr>
        <w:t xml:space="preserve"> وقوله صلى الله عليه وسلم (</w:t>
      </w:r>
      <w:r w:rsidR="000636C2">
        <w:rPr>
          <w:rFonts w:hint="cs"/>
          <w:rtl/>
        </w:rPr>
        <w:t>(</w:t>
      </w:r>
      <w:r w:rsidRPr="005675B2">
        <w:rPr>
          <w:rFonts w:hint="cs"/>
          <w:rtl/>
        </w:rPr>
        <w:t>أربعوا على أَنفُسِكُمْ فإنَّكُمْ لا تَدْعُونَ أَصَمَّ ولا غَائِباً</w:t>
      </w:r>
      <w:r w:rsidR="000636C2">
        <w:rPr>
          <w:rFonts w:hint="cs"/>
          <w:rtl/>
        </w:rPr>
        <w:t>،</w:t>
      </w:r>
      <w:r w:rsidRPr="005675B2">
        <w:rPr>
          <w:rFonts w:hint="cs"/>
          <w:rtl/>
        </w:rPr>
        <w:t xml:space="preserve"> إنَّكم تَدْعُونَ سميعاً قَرِيباً</w:t>
      </w:r>
      <w:r w:rsidR="000636C2">
        <w:rPr>
          <w:rFonts w:hint="cs"/>
          <w:rtl/>
        </w:rPr>
        <w:t>،</w:t>
      </w:r>
      <w:r w:rsidRPr="005675B2">
        <w:rPr>
          <w:rFonts w:hint="cs"/>
          <w:rtl/>
        </w:rPr>
        <w:t xml:space="preserve"> والذي تَدْعُونَهُ أَقْرَبُ إلى أَحَدِكُمْ مِنْ عُنُقِ رَاحِلَةِ أَحَدِكُمْ</w:t>
      </w:r>
      <w:r w:rsidR="000636C2">
        <w:rPr>
          <w:rFonts w:hint="cs"/>
          <w:rtl/>
        </w:rPr>
        <w:t>)</w:t>
      </w:r>
      <w:r w:rsidRPr="005675B2">
        <w:rPr>
          <w:rFonts w:hint="cs"/>
          <w:rtl/>
        </w:rPr>
        <w:t xml:space="preserve">) </w:t>
      </w:r>
      <w:r w:rsidR="000636C2">
        <w:rPr>
          <w:rFonts w:hint="cs"/>
          <w:rtl/>
        </w:rPr>
        <w:t>[</w:t>
      </w:r>
      <w:r w:rsidRPr="005675B2">
        <w:rPr>
          <w:rFonts w:hint="cs"/>
          <w:rtl/>
        </w:rPr>
        <w:t>أخرجه البخاري</w:t>
      </w:r>
      <w:r w:rsidR="000636C2">
        <w:rPr>
          <w:rFonts w:hint="cs"/>
          <w:rtl/>
        </w:rPr>
        <w:t>]</w:t>
      </w:r>
      <w:r w:rsidRPr="005675B2">
        <w:rPr>
          <w:rFonts w:hint="cs"/>
          <w:rtl/>
        </w:rPr>
        <w:t xml:space="preserve"> </w:t>
      </w:r>
      <w:r w:rsidRPr="005675B2">
        <w:rPr>
          <w:rFonts w:hint="cs"/>
          <w:bCs/>
          <w:rtl/>
        </w:rPr>
        <w:t>ولا يُقال أنه متصل بالكون ولا يُقال أنه منفصل عنه</w:t>
      </w:r>
      <w:r w:rsidRPr="005675B2">
        <w:rPr>
          <w:rFonts w:hint="cs"/>
          <w:rtl/>
        </w:rPr>
        <w:t xml:space="preserve"> لأنه سبحانه ليس كمثله شيء لا يُقاس قربه بالمسافة</w:t>
      </w:r>
      <w:r w:rsidR="000636C2">
        <w:rPr>
          <w:rFonts w:hint="cs"/>
          <w:rtl/>
        </w:rPr>
        <w:t>،</w:t>
      </w:r>
      <w:r w:rsidRPr="005675B2">
        <w:rPr>
          <w:rFonts w:hint="cs"/>
          <w:rtl/>
        </w:rPr>
        <w:t xml:space="preserve"> بل كل خلقه منه قريب تحيرت العقول في ذاته وصفاته والعجز عن درك الإدراك صفة المخلوق القاصر</w:t>
      </w:r>
      <w:r w:rsidR="000636C2">
        <w:rPr>
          <w:rFonts w:hint="cs"/>
          <w:rtl/>
        </w:rPr>
        <w:t>،</w:t>
      </w:r>
      <w:r w:rsidRPr="005675B2">
        <w:rPr>
          <w:rFonts w:hint="cs"/>
          <w:rtl/>
        </w:rPr>
        <w:t xml:space="preserve"> وهذا حد البشر نبذ التمثيل والتكييف والتشبيه وتنزيه الله عن الزمان والمكان والحد والمقدار</w:t>
      </w:r>
      <w:r w:rsidR="000636C2">
        <w:rPr>
          <w:rFonts w:hint="cs"/>
          <w:rtl/>
        </w:rPr>
        <w:t>،</w:t>
      </w:r>
      <w:r w:rsidRPr="005675B2">
        <w:rPr>
          <w:rFonts w:hint="cs"/>
          <w:rtl/>
        </w:rPr>
        <w:t xml:space="preserve"> و</w:t>
      </w:r>
      <w:r w:rsidRPr="005675B2">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0636C2">
        <w:rPr>
          <w:rFonts w:hint="cs"/>
          <w:rtl/>
          <w:lang w:bidi="ar-KW"/>
        </w:rPr>
        <w:t>،</w:t>
      </w:r>
      <w:r w:rsidRPr="005675B2">
        <w:rPr>
          <w:rFonts w:hint="cs"/>
          <w:rtl/>
          <w:lang w:bidi="ar-KW"/>
        </w:rPr>
        <w:t xml:space="preserve"> نقول</w:t>
      </w:r>
      <w:r w:rsidR="000636C2">
        <w:rPr>
          <w:rFonts w:hint="cs"/>
          <w:rtl/>
          <w:lang w:bidi="ar-KW"/>
        </w:rPr>
        <w:t>:</w:t>
      </w:r>
      <w:r w:rsidRPr="005675B2">
        <w:rPr>
          <w:rFonts w:hint="cs"/>
          <w:rtl/>
          <w:lang w:bidi="ar-KW"/>
        </w:rPr>
        <w:t xml:space="preserve"> هو التناقض إذا كان بين شيئين متماثلين في وجه من الوجوه</w:t>
      </w:r>
      <w:r w:rsidR="000636C2">
        <w:rPr>
          <w:rFonts w:hint="cs"/>
          <w:rtl/>
          <w:lang w:bidi="ar-KW"/>
        </w:rPr>
        <w:t>،</w:t>
      </w:r>
      <w:r w:rsidRPr="005675B2">
        <w:rPr>
          <w:rFonts w:hint="cs"/>
          <w:rtl/>
          <w:lang w:bidi="ar-KW"/>
        </w:rPr>
        <w:t xml:space="preserve"> فمثلا نقول أن هناك علاقة بين الإنسان وبين العلم فيصح أن يٌقال هذا إنسان عالم أو جاهل</w:t>
      </w:r>
      <w:r w:rsidR="000636C2">
        <w:rPr>
          <w:rFonts w:hint="cs"/>
          <w:rtl/>
          <w:lang w:bidi="ar-KW"/>
        </w:rPr>
        <w:t>،</w:t>
      </w:r>
      <w:r w:rsidRPr="005675B2">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0636C2">
        <w:rPr>
          <w:rFonts w:hint="cs"/>
          <w:rtl/>
          <w:lang w:bidi="ar-KW"/>
        </w:rPr>
        <w:t>،</w:t>
      </w:r>
      <w:r w:rsidRPr="005675B2">
        <w:rPr>
          <w:rFonts w:hint="cs"/>
          <w:rtl/>
          <w:lang w:bidi="ar-KW"/>
        </w:rPr>
        <w:t xml:space="preserve"> ولله المثل الأعلى</w:t>
      </w:r>
      <w:r w:rsidR="000636C2">
        <w:rPr>
          <w:rFonts w:hint="cs"/>
          <w:rtl/>
          <w:lang w:bidi="ar-KW"/>
        </w:rPr>
        <w:t>،</w:t>
      </w:r>
      <w:r w:rsidRPr="005675B2">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0636C2">
        <w:rPr>
          <w:rFonts w:hint="cs"/>
          <w:rtl/>
          <w:lang w:bidi="ar-KW"/>
        </w:rPr>
        <w:t>،</w:t>
      </w:r>
      <w:r w:rsidRPr="005675B2">
        <w:rPr>
          <w:rFonts w:hint="cs"/>
          <w:rtl/>
          <w:lang w:bidi="ar-KW"/>
        </w:rPr>
        <w:t xml:space="preserve"> وليس كمثل صفاته صفات</w:t>
      </w:r>
      <w:r w:rsidR="000636C2">
        <w:rPr>
          <w:rFonts w:hint="cs"/>
          <w:rtl/>
          <w:lang w:bidi="ar-KW"/>
        </w:rPr>
        <w:t>،</w:t>
      </w:r>
      <w:r w:rsidRPr="005675B2">
        <w:rPr>
          <w:rFonts w:hint="cs"/>
          <w:rtl/>
          <w:lang w:bidi="ar-KW"/>
        </w:rPr>
        <w:t xml:space="preserve"> وليس كمثل أفعاله أفعال</w:t>
      </w:r>
      <w:r w:rsidR="000636C2">
        <w:rPr>
          <w:rFonts w:hint="cs"/>
          <w:rtl/>
          <w:lang w:bidi="ar-KW"/>
        </w:rPr>
        <w:t>،</w:t>
      </w:r>
      <w:r w:rsidRPr="005675B2">
        <w:rPr>
          <w:rFonts w:hint="cs"/>
          <w:rtl/>
          <w:lang w:bidi="ar-KW"/>
        </w:rPr>
        <w:t xml:space="preserve"> وليس له مثيل ولم يكن له كفوا أحد</w:t>
      </w:r>
      <w:r w:rsidR="000636C2">
        <w:rPr>
          <w:rFonts w:hint="cs"/>
          <w:rtl/>
          <w:lang w:bidi="ar-KW"/>
        </w:rPr>
        <w:t>،</w:t>
      </w:r>
      <w:r w:rsidRPr="005675B2">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0636C2">
        <w:rPr>
          <w:rFonts w:hint="cs"/>
          <w:rtl/>
          <w:lang w:bidi="ar-KW"/>
        </w:rPr>
        <w:t>،</w:t>
      </w:r>
      <w:r w:rsidRPr="005675B2">
        <w:rPr>
          <w:rFonts w:hint="cs"/>
          <w:rtl/>
          <w:lang w:bidi="ar-KW"/>
        </w:rPr>
        <w:t xml:space="preserve"> </w:t>
      </w:r>
      <w:r w:rsidR="000636C2">
        <w:rPr>
          <w:rFonts w:hint="cs"/>
          <w:rtl/>
          <w:lang w:bidi="ar-KW"/>
        </w:rPr>
        <w:t>(</w:t>
      </w:r>
      <w:r w:rsidRPr="005675B2">
        <w:rPr>
          <w:rFonts w:hint="cs"/>
          <w:rtl/>
          <w:lang w:bidi="ar-KW"/>
        </w:rPr>
        <w:t>ع</w:t>
      </w:r>
      <w:r w:rsidR="000636C2">
        <w:rPr>
          <w:rFonts w:hint="cs"/>
          <w:rtl/>
          <w:lang w:bidi="ar-KW"/>
        </w:rPr>
        <w:t>)</w:t>
      </w:r>
      <w:r w:rsidRPr="005675B2">
        <w:rPr>
          <w:rFonts w:hint="cs"/>
          <w:rtl/>
          <w:lang w:bidi="ar-KW"/>
        </w:rPr>
        <w:t xml:space="preserve"> من الأدلة الشرعية على تنزيه الله تعالى عن الحد</w:t>
      </w:r>
      <w:r w:rsidR="000636C2">
        <w:rPr>
          <w:rFonts w:hint="cs"/>
          <w:rtl/>
          <w:lang w:bidi="ar-KW"/>
        </w:rPr>
        <w:t xml:space="preserve">: </w:t>
      </w:r>
      <w:r w:rsidRPr="005675B2">
        <w:rPr>
          <w:rFonts w:hint="cs"/>
          <w:rtl/>
        </w:rPr>
        <w:t>قوله تعالى</w:t>
      </w:r>
      <w:r w:rsidR="000636C2">
        <w:rPr>
          <w:rFonts w:hint="cs"/>
          <w:rtl/>
        </w:rPr>
        <w:t>:</w:t>
      </w:r>
      <w:r w:rsidRPr="005675B2">
        <w:rPr>
          <w:rFonts w:hint="cs"/>
          <w:rtl/>
        </w:rPr>
        <w:t xml:space="preserve"> (</w:t>
      </w:r>
      <w:r w:rsidRPr="005675B2">
        <w:rPr>
          <w:rFonts w:hint="cs"/>
          <w:bCs/>
          <w:rtl/>
        </w:rPr>
        <w:t>ليس كمثلِه شيء)</w:t>
      </w:r>
      <w:r w:rsidRPr="005675B2">
        <w:rPr>
          <w:rFonts w:hint="cs"/>
          <w:rtl/>
        </w:rPr>
        <w:t xml:space="preserve"> [سورة الشورى</w:t>
      </w:r>
      <w:r w:rsidR="000636C2">
        <w:rPr>
          <w:rFonts w:hint="cs"/>
          <w:rtl/>
        </w:rPr>
        <w:t>:</w:t>
      </w:r>
      <w:r w:rsidRPr="005675B2">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0636C2">
        <w:rPr>
          <w:rFonts w:hint="cs"/>
          <w:rtl/>
        </w:rPr>
        <w:t>،</w:t>
      </w:r>
      <w:r w:rsidRPr="005675B2">
        <w:rPr>
          <w:rFonts w:hint="cs"/>
          <w:rtl/>
        </w:rPr>
        <w:t xml:space="preserve"> قوله تعالى:</w:t>
      </w:r>
      <w:r w:rsidRPr="005675B2">
        <w:rPr>
          <w:rFonts w:hint="cs"/>
          <w:bCs/>
          <w:rtl/>
        </w:rPr>
        <w:t>(وللهِ المثَلُ الأعلى)</w:t>
      </w:r>
      <w:r w:rsidRPr="005675B2">
        <w:rPr>
          <w:rFonts w:hint="cs"/>
          <w:rtl/>
        </w:rPr>
        <w:t xml:space="preserve"> [سورة النحل/60] أي الوصف الذي لا يشبه وصف غيره، فلا يوصف ربنا عزَّ وجلَّ بصفات المخلوقين من الحد والحصر والمقدار</w:t>
      </w:r>
      <w:r w:rsidR="000636C2">
        <w:rPr>
          <w:rFonts w:hint="cs"/>
          <w:rtl/>
        </w:rPr>
        <w:t>،</w:t>
      </w:r>
      <w:r w:rsidRPr="005675B2">
        <w:rPr>
          <w:rFonts w:hint="cs"/>
          <w:rtl/>
        </w:rPr>
        <w:t xml:space="preserve"> وقوله تعالى:</w:t>
      </w:r>
      <w:r w:rsidRPr="005675B2">
        <w:rPr>
          <w:rFonts w:hint="cs"/>
          <w:bCs/>
          <w:rtl/>
        </w:rPr>
        <w:t>(فلا تضربوا للهِ الأمثال)</w:t>
      </w:r>
      <w:r w:rsidRPr="005675B2">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0636C2">
        <w:rPr>
          <w:rFonts w:hint="cs"/>
          <w:rtl/>
        </w:rPr>
        <w:t>،</w:t>
      </w:r>
      <w:r w:rsidRPr="005675B2">
        <w:rPr>
          <w:rFonts w:hint="cs"/>
          <w:rtl/>
        </w:rPr>
        <w:t xml:space="preserve"> تنزه عن الحد والحصر والمقدار</w:t>
      </w:r>
      <w:r w:rsidR="000636C2">
        <w:rPr>
          <w:rFonts w:hint="cs"/>
          <w:rtl/>
        </w:rPr>
        <w:t>،</w:t>
      </w:r>
      <w:r w:rsidRPr="005675B2">
        <w:rPr>
          <w:rFonts w:hint="cs"/>
          <w:rtl/>
        </w:rPr>
        <w:t xml:space="preserve"> وقوله تعالى:</w:t>
      </w:r>
      <w:r w:rsidRPr="005675B2">
        <w:rPr>
          <w:rFonts w:hint="cs"/>
          <w:bCs/>
          <w:rtl/>
        </w:rPr>
        <w:t xml:space="preserve">(هل تعلمُ لهُ </w:t>
      </w:r>
      <w:r w:rsidRPr="005675B2">
        <w:rPr>
          <w:rFonts w:hint="cs"/>
          <w:bCs/>
          <w:rtl/>
        </w:rPr>
        <w:lastRenderedPageBreak/>
        <w:t>سميًّا)</w:t>
      </w:r>
      <w:r w:rsidRPr="005675B2">
        <w:rPr>
          <w:rFonts w:hint="cs"/>
          <w:rtl/>
        </w:rPr>
        <w:t xml:space="preserve"> [سورة مريم/65] أي مِثلاً، فالله تعالى لا مِثْلَ له ولا شبيه ولا نظير، فذاتُه سبحانه لا يشبه الذواتِ ولا صفاتُه تشبه الصفاتِ</w:t>
      </w:r>
      <w:r w:rsidR="000636C2">
        <w:rPr>
          <w:rFonts w:hint="cs"/>
          <w:rtl/>
        </w:rPr>
        <w:t>،</w:t>
      </w:r>
      <w:r w:rsidRPr="005675B2">
        <w:rPr>
          <w:rFonts w:hint="cs"/>
          <w:rtl/>
        </w:rPr>
        <w:t xml:space="preserve"> تنزه عن الحد والحصر والمقدار</w:t>
      </w:r>
      <w:r w:rsidR="000636C2">
        <w:rPr>
          <w:rFonts w:hint="cs"/>
          <w:rtl/>
        </w:rPr>
        <w:t>،</w:t>
      </w:r>
      <w:r w:rsidRPr="005675B2">
        <w:rPr>
          <w:rFonts w:hint="cs"/>
          <w:rtl/>
        </w:rPr>
        <w:t xml:space="preserve"> وقوله تعالى:</w:t>
      </w:r>
      <w:r w:rsidRPr="005675B2">
        <w:rPr>
          <w:rFonts w:hint="cs"/>
          <w:bCs/>
          <w:rtl/>
        </w:rPr>
        <w:t>(هُوَ الأَوَّلُ وَالآخِرُ وَالظَّاهِرُ وَالْبَاطِنُ)</w:t>
      </w:r>
      <w:r w:rsidRPr="005675B2">
        <w:rPr>
          <w:rFonts w:hint="cs"/>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0636C2">
        <w:rPr>
          <w:rFonts w:hint="cs"/>
          <w:rtl/>
        </w:rPr>
        <w:t>،</w:t>
      </w:r>
      <w:r w:rsidRPr="005675B2">
        <w:rPr>
          <w:rFonts w:hint="cs"/>
          <w:rtl/>
        </w:rPr>
        <w:t xml:space="preserve"> تعالى عن الحد والمقدار</w:t>
      </w:r>
      <w:r w:rsidR="000636C2">
        <w:rPr>
          <w:rFonts w:hint="cs"/>
          <w:rtl/>
        </w:rPr>
        <w:t>،</w:t>
      </w:r>
      <w:r w:rsidRPr="005675B2">
        <w:rPr>
          <w:rFonts w:hint="cs"/>
          <w:rtl/>
        </w:rPr>
        <w:t xml:space="preserve"> وقوله تعالى:</w:t>
      </w:r>
      <w:r w:rsidRPr="005675B2">
        <w:rPr>
          <w:rFonts w:hint="cs"/>
          <w:bCs/>
          <w:rtl/>
        </w:rPr>
        <w:t>(وَلَمْ يَكُن لَّهُ كُفُوًا أَحَدٌ)</w:t>
      </w:r>
      <w:r w:rsidRPr="005675B2">
        <w:rPr>
          <w:rFonts w:hint="cs"/>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0636C2">
        <w:rPr>
          <w:rFonts w:hint="cs"/>
          <w:rtl/>
        </w:rPr>
        <w:t>،</w:t>
      </w:r>
      <w:r w:rsidRPr="005675B2">
        <w:rPr>
          <w:rFonts w:hint="cs"/>
          <w:rtl/>
        </w:rPr>
        <w:t xml:space="preserve"> وقوله تعالى:</w:t>
      </w:r>
      <w:r w:rsidRPr="005675B2">
        <w:rPr>
          <w:rFonts w:hint="cs"/>
          <w:bCs/>
          <w:rtl/>
        </w:rPr>
        <w:t>(فَأَيْنَمَا تُوَلُّواْ فَثَمَّ وَجْهُ اللهِ)</w:t>
      </w:r>
      <w:r w:rsidRPr="005675B2">
        <w:rPr>
          <w:rFonts w:hint="cs"/>
          <w:rtl/>
        </w:rPr>
        <w:t xml:space="preserve"> [سورة البقرة/115] ولا يكون ذلك إلا لمن هو منزه عن الحد والمقدار</w:t>
      </w:r>
      <w:r w:rsidR="000636C2">
        <w:rPr>
          <w:rFonts w:hint="cs"/>
          <w:rtl/>
        </w:rPr>
        <w:t>،</w:t>
      </w:r>
      <w:r w:rsidRPr="005675B2">
        <w:rPr>
          <w:rFonts w:hint="cs"/>
          <w:bCs/>
          <w:rtl/>
        </w:rPr>
        <w:t xml:space="preserve"> </w:t>
      </w:r>
      <w:r w:rsidRPr="005675B2">
        <w:rPr>
          <w:rFonts w:hint="cs"/>
          <w:rtl/>
        </w:rPr>
        <w:t xml:space="preserve">وقول رسول الله صلى الله عليه وسلم: </w:t>
      </w:r>
      <w:r w:rsidR="000636C2">
        <w:rPr>
          <w:rFonts w:hint="cs"/>
          <w:bCs/>
          <w:rtl/>
        </w:rPr>
        <w:t>(</w:t>
      </w:r>
      <w:r w:rsidRPr="005675B2">
        <w:rPr>
          <w:rFonts w:hint="cs"/>
          <w:bCs/>
          <w:rtl/>
        </w:rPr>
        <w:t>اللهم أنت الأوَّلُ فليس قبلَك شىءٌ، وأنت الآخِر فليس بعدَك شىءٌ، وأنت الظاهرُ فليس فوقَكَ شىءٌ، وأنت الباطن فليس دونَك شيء)</w:t>
      </w:r>
      <w:r w:rsidR="000636C2">
        <w:rPr>
          <w:rFonts w:hint="cs"/>
          <w:bCs/>
          <w:rtl/>
        </w:rPr>
        <w:t xml:space="preserve"> </w:t>
      </w:r>
      <w:r w:rsidR="000636C2">
        <w:rPr>
          <w:rFonts w:hint="cs"/>
          <w:rtl/>
        </w:rPr>
        <w:t>[</w:t>
      </w:r>
      <w:r w:rsidRPr="005675B2">
        <w:rPr>
          <w:rFonts w:hint="cs"/>
          <w:rtl/>
        </w:rPr>
        <w:t>أخرجه مسلم] وإذا لم يكن فوقه شىء ولا دونه شىء لم يكن له حد</w:t>
      </w:r>
      <w:r w:rsidR="000636C2">
        <w:rPr>
          <w:rFonts w:hint="cs"/>
          <w:rtl/>
        </w:rPr>
        <w:t xml:space="preserve">، </w:t>
      </w:r>
      <w:r w:rsidR="000636C2">
        <w:rPr>
          <w:rFonts w:hint="cs"/>
          <w:bCs/>
          <w:rtl/>
          <w:lang w:bidi="ar-KW"/>
        </w:rPr>
        <w:t>(</w:t>
      </w:r>
      <w:r w:rsidRPr="005675B2">
        <w:rPr>
          <w:rFonts w:hint="cs"/>
          <w:bCs/>
          <w:rtl/>
          <w:lang w:bidi="ar-KW"/>
        </w:rPr>
        <w:t>غ</w:t>
      </w:r>
      <w:r w:rsidR="000636C2">
        <w:rPr>
          <w:rFonts w:hint="cs"/>
          <w:bCs/>
          <w:rtl/>
          <w:lang w:bidi="ar-KW"/>
        </w:rPr>
        <w:t>)</w:t>
      </w:r>
      <w:r w:rsidRPr="005675B2">
        <w:rPr>
          <w:rFonts w:hint="cs"/>
          <w:bCs/>
          <w:rtl/>
          <w:lang w:bidi="ar-KW"/>
        </w:rPr>
        <w:t xml:space="preserve"> من درر العلماء في تنزيه الله تعالى عن الحد</w:t>
      </w:r>
      <w:r w:rsidR="000636C2">
        <w:rPr>
          <w:rFonts w:hint="cs"/>
          <w:bCs/>
          <w:rtl/>
          <w:lang w:bidi="ar-KW"/>
        </w:rPr>
        <w:t>:</w:t>
      </w:r>
      <w:r w:rsidRPr="005675B2">
        <w:rPr>
          <w:rFonts w:hint="cs"/>
          <w:bCs/>
          <w:rtl/>
          <w:lang w:bidi="ar-KW"/>
        </w:rPr>
        <w:t xml:space="preserve"> </w:t>
      </w:r>
      <w:r w:rsidRPr="005675B2">
        <w:rPr>
          <w:rFonts w:hint="cs"/>
          <w:rtl/>
        </w:rPr>
        <w:t>قال الإمام</w:t>
      </w:r>
      <w:r w:rsidRPr="005675B2">
        <w:rPr>
          <w:rFonts w:hint="cs"/>
        </w:rPr>
        <w:t xml:space="preserve"> </w:t>
      </w:r>
      <w:r w:rsidRPr="005675B2">
        <w:rPr>
          <w:rFonts w:hint="cs"/>
          <w:rtl/>
        </w:rPr>
        <w:t xml:space="preserve">أبو جعفر الطحاوي في كتابه </w:t>
      </w:r>
      <w:r w:rsidR="000636C2">
        <w:rPr>
          <w:rFonts w:hint="cs"/>
          <w:rtl/>
        </w:rPr>
        <w:t>[</w:t>
      </w:r>
      <w:r w:rsidRPr="005675B2">
        <w:rPr>
          <w:rFonts w:hint="cs"/>
          <w:rtl/>
        </w:rPr>
        <w:t>اعتقاد أهل السنة والجماعة على مذهب فقهاء الملة</w:t>
      </w:r>
      <w:r w:rsidRPr="005675B2">
        <w:rPr>
          <w:rFonts w:hint="cs"/>
        </w:rPr>
        <w:t xml:space="preserve"> </w:t>
      </w:r>
      <w:r w:rsidRPr="005675B2">
        <w:rPr>
          <w:rFonts w:hint="cs"/>
          <w:rtl/>
        </w:rPr>
        <w:t>أبى حنفية وأبي يوسف ومحمد بن حسن</w:t>
      </w:r>
      <w:r w:rsidR="000636C2">
        <w:rPr>
          <w:rFonts w:hint="cs"/>
          <w:rtl/>
        </w:rPr>
        <w:t>]</w:t>
      </w:r>
      <w:r w:rsidRPr="005675B2">
        <w:rPr>
          <w:rFonts w:hint="cs"/>
          <w:rtl/>
        </w:rPr>
        <w:t xml:space="preserve"> " </w:t>
      </w:r>
      <w:r w:rsidRPr="005675B2">
        <w:rPr>
          <w:rFonts w:hint="cs"/>
          <w:bCs/>
          <w:rtl/>
        </w:rPr>
        <w:t>تعالى الله عن الحدود والغايات</w:t>
      </w:r>
      <w:r w:rsidRPr="005675B2">
        <w:rPr>
          <w:rFonts w:hint="cs"/>
          <w:u w:val="single"/>
          <w:rtl/>
        </w:rPr>
        <w:t xml:space="preserve"> </w:t>
      </w:r>
      <w:r w:rsidRPr="005675B2">
        <w:rPr>
          <w:rFonts w:hint="cs"/>
          <w:rtl/>
        </w:rPr>
        <w:t>والأركان</w:t>
      </w:r>
      <w:r w:rsidRPr="005675B2">
        <w:rPr>
          <w:rFonts w:hint="cs"/>
        </w:rPr>
        <w:t xml:space="preserve"> </w:t>
      </w:r>
      <w:r w:rsidRPr="005675B2">
        <w:rPr>
          <w:rFonts w:hint="cs"/>
          <w:rtl/>
        </w:rPr>
        <w:t>والأعضاء والأدوات ولا تحوية الجهات الست كسائر المبدعات " أهــ</w:t>
      </w:r>
      <w:r w:rsidR="000636C2">
        <w:rPr>
          <w:rFonts w:hint="cs"/>
          <w:rtl/>
        </w:rPr>
        <w:t xml:space="preserve">، </w:t>
      </w:r>
      <w:r w:rsidRPr="005675B2">
        <w:rPr>
          <w:rFonts w:hint="cs"/>
          <w:rtl/>
        </w:rPr>
        <w:t>وجاء في اعتقاد الإمام المبجل ابن حنبل [ج: 1 ص: 307</w:t>
      </w:r>
      <w:r w:rsidR="000636C2">
        <w:rPr>
          <w:rFonts w:hint="cs"/>
          <w:rtl/>
        </w:rPr>
        <w:t>]</w:t>
      </w:r>
      <w:r w:rsidRPr="005675B2">
        <w:rPr>
          <w:rFonts w:hint="cs"/>
          <w:rtl/>
        </w:rPr>
        <w:t xml:space="preserve"> وجاء في كتاب العقيدة </w:t>
      </w:r>
      <w:r w:rsidR="000636C2">
        <w:rPr>
          <w:rFonts w:hint="cs"/>
          <w:rtl/>
        </w:rPr>
        <w:t>[</w:t>
      </w:r>
      <w:r w:rsidRPr="005675B2">
        <w:rPr>
          <w:rFonts w:hint="cs"/>
          <w:rtl/>
        </w:rPr>
        <w:t>ج: 1 ص: 127] نص</w:t>
      </w:r>
      <w:r w:rsidRPr="005675B2">
        <w:rPr>
          <w:rFonts w:hint="cs"/>
        </w:rPr>
        <w:t xml:space="preserve"> </w:t>
      </w:r>
      <w:r w:rsidRPr="005675B2">
        <w:rPr>
          <w:rFonts w:hint="cs"/>
          <w:rtl/>
        </w:rPr>
        <w:t>اعتقاد الإمام أحمد</w:t>
      </w:r>
      <w:r w:rsidRPr="005675B2">
        <w:rPr>
          <w:rFonts w:hint="cs"/>
        </w:rPr>
        <w:t xml:space="preserve"> </w:t>
      </w:r>
      <w:r w:rsidRPr="005675B2">
        <w:rPr>
          <w:rFonts w:hint="cs"/>
          <w:rtl/>
        </w:rPr>
        <w:t>بن حنبل "</w:t>
      </w:r>
      <w:r w:rsidR="000636C2">
        <w:rPr>
          <w:rFonts w:hint="cs"/>
          <w:rtl/>
        </w:rPr>
        <w:t xml:space="preserve"> </w:t>
      </w:r>
      <w:r w:rsidRPr="005675B2">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Pr="005675B2">
        <w:rPr>
          <w:rFonts w:hint="cs"/>
          <w:bCs/>
          <w:rtl/>
        </w:rPr>
        <w:t>بلا حد ولا غاية</w:t>
      </w:r>
      <w:r w:rsidR="000636C2">
        <w:rPr>
          <w:rFonts w:hint="cs"/>
          <w:rtl/>
        </w:rPr>
        <w:t xml:space="preserve"> </w:t>
      </w:r>
      <w:r w:rsidRPr="005675B2">
        <w:rPr>
          <w:rFonts w:hint="cs"/>
          <w:rtl/>
        </w:rPr>
        <w:t>ليس كمثله شيء وهو السميع البصير " أهـ</w:t>
      </w:r>
      <w:r w:rsidR="000636C2">
        <w:rPr>
          <w:rFonts w:hint="cs"/>
          <w:rtl/>
        </w:rPr>
        <w:t>،</w:t>
      </w:r>
      <w:r w:rsidRPr="005675B2">
        <w:rPr>
          <w:rFonts w:hint="cs"/>
          <w:rtl/>
        </w:rPr>
        <w:t xml:space="preserve"> وقال العلامة ابن الجوزي الحنبلي رحمه الله في </w:t>
      </w:r>
      <w:r w:rsidR="000636C2">
        <w:rPr>
          <w:rFonts w:hint="cs"/>
          <w:rtl/>
        </w:rPr>
        <w:t>[</w:t>
      </w:r>
      <w:r w:rsidRPr="005675B2">
        <w:rPr>
          <w:rFonts w:hint="cs"/>
          <w:rtl/>
        </w:rPr>
        <w:t>الباز الأشهب ص 57</w:t>
      </w:r>
      <w:r w:rsidR="000636C2">
        <w:rPr>
          <w:rFonts w:hint="cs"/>
          <w:rtl/>
        </w:rPr>
        <w:t>]</w:t>
      </w:r>
      <w:r w:rsidRPr="005675B2">
        <w:rPr>
          <w:rFonts w:hint="cs"/>
          <w:rtl/>
        </w:rPr>
        <w:t xml:space="preserve"> " واعلم أن من يتصور وجود الحق سبحانه وجودا مكانيا</w:t>
      </w:r>
      <w:r w:rsidRPr="005675B2">
        <w:rPr>
          <w:rFonts w:hint="cs"/>
        </w:rPr>
        <w:t xml:space="preserve"> </w:t>
      </w:r>
      <w:r w:rsidRPr="005675B2">
        <w:rPr>
          <w:rFonts w:hint="cs"/>
          <w:rtl/>
        </w:rPr>
        <w:t>طلب له جهة كما أن من تخيل أن وجوده وجودا زمانيا طلب له مده في تقدمه علي العالم</w:t>
      </w:r>
      <w:r w:rsidRPr="005675B2">
        <w:rPr>
          <w:rFonts w:hint="cs"/>
        </w:rPr>
        <w:t xml:space="preserve"> </w:t>
      </w:r>
      <w:r w:rsidRPr="005675B2">
        <w:rPr>
          <w:rFonts w:hint="cs"/>
          <w:rtl/>
        </w:rPr>
        <w:t>بأزمنة وكلا التخيلين باطل. وقد ثبت أن جميع الجهات تتساوي بالإضافة إلي القائل</w:t>
      </w:r>
      <w:r w:rsidRPr="005675B2">
        <w:rPr>
          <w:rFonts w:hint="cs"/>
        </w:rPr>
        <w:t xml:space="preserve"> </w:t>
      </w:r>
      <w:r w:rsidRPr="005675B2">
        <w:rPr>
          <w:rFonts w:hint="cs"/>
          <w:rtl/>
        </w:rPr>
        <w:t>بالجهة فاختصاصه ببعضها ليس بواجب لذاته بل هو جائز فيحتاج إلي مخصص يخصصه ويكون</w:t>
      </w:r>
      <w:r w:rsidRPr="005675B2">
        <w:rPr>
          <w:rFonts w:hint="cs"/>
        </w:rPr>
        <w:t xml:space="preserve"> </w:t>
      </w:r>
      <w:r w:rsidRPr="005675B2">
        <w:rPr>
          <w:rFonts w:hint="cs"/>
          <w:rtl/>
        </w:rPr>
        <w:t>الاختصاص بذلك المعني زائدا علي ذاته وما تطرق الجواز إليه استحال قدمه لأن القديم</w:t>
      </w:r>
      <w:r w:rsidRPr="005675B2">
        <w:rPr>
          <w:rFonts w:hint="cs"/>
        </w:rPr>
        <w:t xml:space="preserve"> </w:t>
      </w:r>
      <w:r w:rsidRPr="005675B2">
        <w:rPr>
          <w:rFonts w:hint="cs"/>
          <w:rtl/>
        </w:rPr>
        <w:t xml:space="preserve">هو الواجب الوجود من جميع الجهات . </w:t>
      </w:r>
      <w:r w:rsidRPr="005675B2">
        <w:rPr>
          <w:rFonts w:hint="cs"/>
          <w:bCs/>
          <w:rtl/>
        </w:rPr>
        <w:t>ثم</w:t>
      </w:r>
      <w:r w:rsidRPr="005675B2">
        <w:rPr>
          <w:rFonts w:hint="cs"/>
          <w:bCs/>
        </w:rPr>
        <w:t xml:space="preserve"> </w:t>
      </w:r>
      <w:r w:rsidRPr="005675B2">
        <w:rPr>
          <w:rFonts w:hint="cs"/>
          <w:bCs/>
          <w:rtl/>
        </w:rPr>
        <w:t>إن كل من هو في جهة يكون مقدرا محدودا</w:t>
      </w:r>
      <w:r w:rsidRPr="005675B2">
        <w:rPr>
          <w:rFonts w:hint="cs"/>
          <w:bCs/>
        </w:rPr>
        <w:t xml:space="preserve"> </w:t>
      </w:r>
      <w:r w:rsidRPr="005675B2">
        <w:rPr>
          <w:rFonts w:hint="cs"/>
          <w:bCs/>
          <w:rtl/>
        </w:rPr>
        <w:t>وهو يتعالي عن ذلك</w:t>
      </w:r>
      <w:r w:rsidRPr="005675B2">
        <w:rPr>
          <w:rFonts w:hint="cs"/>
          <w:rtl/>
        </w:rPr>
        <w:t xml:space="preserve"> وإنما</w:t>
      </w:r>
      <w:r w:rsidRPr="005675B2">
        <w:rPr>
          <w:rFonts w:hint="cs"/>
        </w:rPr>
        <w:t xml:space="preserve"> </w:t>
      </w:r>
      <w:r w:rsidRPr="005675B2">
        <w:rPr>
          <w:rFonts w:hint="cs"/>
          <w:rtl/>
        </w:rPr>
        <w:t>الجهات للجواهر والأجسام لأنها أجرام تحتاج</w:t>
      </w:r>
      <w:r w:rsidRPr="005675B2">
        <w:rPr>
          <w:rFonts w:hint="cs"/>
        </w:rPr>
        <w:t xml:space="preserve"> </w:t>
      </w:r>
      <w:r w:rsidRPr="005675B2">
        <w:rPr>
          <w:rFonts w:hint="cs"/>
          <w:rtl/>
        </w:rPr>
        <w:t>إلي جهة والجهة ليست في جهة وإذا ثبت بطلان الجهة ثبت بطلان المكان ويوضحه أن</w:t>
      </w:r>
      <w:r w:rsidRPr="005675B2">
        <w:rPr>
          <w:rFonts w:hint="cs"/>
        </w:rPr>
        <w:t xml:space="preserve"> </w:t>
      </w:r>
      <w:r w:rsidRPr="005675B2">
        <w:rPr>
          <w:rFonts w:hint="cs"/>
          <w:rtl/>
        </w:rPr>
        <w:t xml:space="preserve">المكان إذا كان يحيط بمن فيه والخالق لا يحويه شيء ولا </w:t>
      </w:r>
      <w:r w:rsidRPr="005675B2">
        <w:rPr>
          <w:rFonts w:hint="cs"/>
          <w:rtl/>
        </w:rPr>
        <w:lastRenderedPageBreak/>
        <w:t xml:space="preserve">تحدث له صفة " أهــ وقال في </w:t>
      </w:r>
      <w:r w:rsidR="000636C2">
        <w:rPr>
          <w:rFonts w:hint="cs"/>
          <w:rtl/>
        </w:rPr>
        <w:t>[</w:t>
      </w:r>
      <w:r w:rsidRPr="005675B2">
        <w:rPr>
          <w:rFonts w:hint="cs"/>
          <w:rtl/>
        </w:rPr>
        <w:t>الباز الأشهب ص100-102] " وقوله</w:t>
      </w:r>
      <w:r w:rsidR="000636C2">
        <w:rPr>
          <w:rFonts w:hint="cs"/>
          <w:rtl/>
        </w:rPr>
        <w:t>:</w:t>
      </w:r>
      <w:r w:rsidRPr="005675B2">
        <w:rPr>
          <w:rFonts w:hint="cs"/>
          <w:rtl/>
        </w:rPr>
        <w:t xml:space="preserve"> حجابه النور</w:t>
      </w:r>
      <w:r w:rsidR="000636C2">
        <w:rPr>
          <w:rFonts w:hint="cs"/>
          <w:rtl/>
        </w:rPr>
        <w:t>،</w:t>
      </w:r>
      <w:r w:rsidRPr="005675B2">
        <w:rPr>
          <w:rFonts w:hint="cs"/>
          <w:rtl/>
        </w:rPr>
        <w:t xml:space="preserve"> ينبغي أن يعلم أن هذا الحجاب للخلق عنه</w:t>
      </w:r>
      <w:r w:rsidR="000636C2">
        <w:rPr>
          <w:rFonts w:hint="cs"/>
          <w:rtl/>
        </w:rPr>
        <w:t>،</w:t>
      </w:r>
      <w:r w:rsidRPr="005675B2">
        <w:rPr>
          <w:rFonts w:hint="cs"/>
          <w:rtl/>
        </w:rPr>
        <w:t xml:space="preserve"> لأنه لا يجوز أن يكون محجوبا لأن الحجاب يكون أكبر مما يستره</w:t>
      </w:r>
      <w:r w:rsidR="000636C2">
        <w:rPr>
          <w:rFonts w:hint="cs"/>
          <w:rtl/>
        </w:rPr>
        <w:t>،</w:t>
      </w:r>
      <w:r w:rsidRPr="005675B2">
        <w:rPr>
          <w:rFonts w:hint="cs"/>
          <w:rtl/>
        </w:rPr>
        <w:t xml:space="preserve"> ويستحيل أن يكون جسما أو جوهرا أو </w:t>
      </w:r>
      <w:r w:rsidRPr="005675B2">
        <w:rPr>
          <w:rFonts w:hint="cs"/>
          <w:bCs/>
          <w:rtl/>
        </w:rPr>
        <w:t>متناهيا محاذيا</w:t>
      </w:r>
      <w:r w:rsidRPr="005675B2">
        <w:rPr>
          <w:rFonts w:hint="cs"/>
          <w:rtl/>
        </w:rPr>
        <w:t xml:space="preserve"> إذ جميع ذلك من إمارات الحدث</w:t>
      </w:r>
      <w:r w:rsidR="000636C2">
        <w:rPr>
          <w:rFonts w:hint="cs"/>
          <w:rtl/>
        </w:rPr>
        <w:t>،</w:t>
      </w:r>
      <w:r w:rsidRPr="005675B2">
        <w:rPr>
          <w:rFonts w:hint="cs"/>
          <w:rtl/>
        </w:rPr>
        <w:t xml:space="preserve"> وإنما عرف الناس حدوث الأجسام من حيث وجودها متناهية محدودة محـلا للحوادث</w:t>
      </w:r>
      <w:r w:rsidR="000636C2">
        <w:rPr>
          <w:rFonts w:hint="cs"/>
          <w:rtl/>
        </w:rPr>
        <w:t>،</w:t>
      </w:r>
      <w:r w:rsidRPr="005675B2">
        <w:rPr>
          <w:rFonts w:hint="cs"/>
          <w:rtl/>
        </w:rPr>
        <w:t xml:space="preserve"> وكما</w:t>
      </w:r>
      <w:r w:rsidRPr="005675B2">
        <w:rPr>
          <w:rFonts w:hint="cs"/>
        </w:rPr>
        <w:t xml:space="preserve"> </w:t>
      </w:r>
      <w:r w:rsidRPr="005675B2">
        <w:rPr>
          <w:rFonts w:hint="cs"/>
          <w:rtl/>
        </w:rPr>
        <w:t>أنه لا يجوز أن يكون لوجوده ابتداء ولا انتهاء</w:t>
      </w:r>
      <w:r w:rsidRPr="005675B2">
        <w:rPr>
          <w:rFonts w:hint="cs"/>
        </w:rPr>
        <w:t xml:space="preserve"> </w:t>
      </w:r>
      <w:r w:rsidRPr="005675B2">
        <w:rPr>
          <w:rFonts w:hint="cs"/>
          <w:bCs/>
          <w:u w:val="single"/>
          <w:rtl/>
        </w:rPr>
        <w:t>لا يصح أن يكون لذاته انتهاء</w:t>
      </w:r>
      <w:r w:rsidR="000636C2">
        <w:rPr>
          <w:rFonts w:hint="cs"/>
          <w:rtl/>
        </w:rPr>
        <w:t>،</w:t>
      </w:r>
      <w:r w:rsidRPr="005675B2">
        <w:rPr>
          <w:rFonts w:hint="cs"/>
          <w:rtl/>
        </w:rPr>
        <w:t xml:space="preserve"> وإنمـا المراد</w:t>
      </w:r>
      <w:r w:rsidR="000636C2">
        <w:rPr>
          <w:rFonts w:hint="cs"/>
          <w:rtl/>
        </w:rPr>
        <w:t>:</w:t>
      </w:r>
      <w:r w:rsidRPr="005675B2">
        <w:rPr>
          <w:rFonts w:hint="cs"/>
          <w:rtl/>
        </w:rPr>
        <w:t xml:space="preserve"> أن الخلق محجوبون عنه كما قال</w:t>
      </w:r>
      <w:r w:rsidRPr="005675B2">
        <w:rPr>
          <w:rFonts w:hint="cs"/>
        </w:rPr>
        <w:t xml:space="preserve"> </w:t>
      </w:r>
      <w:r w:rsidRPr="005675B2">
        <w:rPr>
          <w:rFonts w:hint="cs"/>
          <w:rtl/>
        </w:rPr>
        <w:t>سبحانه وتعالي</w:t>
      </w:r>
      <w:r w:rsidR="000636C2">
        <w:rPr>
          <w:rFonts w:hint="cs"/>
          <w:rtl/>
        </w:rPr>
        <w:t>:</w:t>
      </w:r>
      <w:r w:rsidRPr="005675B2">
        <w:rPr>
          <w:rFonts w:hint="cs"/>
          <w:rtl/>
        </w:rPr>
        <w:t xml:space="preserve"> </w:t>
      </w:r>
      <w:r w:rsidRPr="005675B2">
        <w:t>"</w:t>
      </w:r>
      <w:r w:rsidRPr="005675B2">
        <w:rPr>
          <w:rFonts w:hint="cs"/>
          <w:rtl/>
        </w:rPr>
        <w:t xml:space="preserve"> كلا</w:t>
      </w:r>
      <w:r w:rsidRPr="005675B2">
        <w:rPr>
          <w:rFonts w:hint="cs"/>
        </w:rPr>
        <w:t xml:space="preserve"> </w:t>
      </w:r>
      <w:r w:rsidRPr="005675B2">
        <w:rPr>
          <w:rFonts w:hint="cs"/>
          <w:rtl/>
        </w:rPr>
        <w:t xml:space="preserve">إنهم عن ربهم يومئذ لمحجوبون </w:t>
      </w:r>
      <w:r w:rsidRPr="005675B2">
        <w:t>"</w:t>
      </w:r>
      <w:r w:rsidRPr="005675B2">
        <w:rPr>
          <w:rFonts w:hint="cs"/>
          <w:rtl/>
        </w:rPr>
        <w:t xml:space="preserve"> أ هــ</w:t>
      </w:r>
      <w:r w:rsidR="000636C2">
        <w:rPr>
          <w:rFonts w:hint="cs"/>
          <w:rtl/>
        </w:rPr>
        <w:t>،</w:t>
      </w:r>
      <w:r w:rsidRPr="005675B2">
        <w:rPr>
          <w:rFonts w:hint="cs"/>
          <w:rtl/>
        </w:rPr>
        <w:t xml:space="preserve"> وقال النووي في </w:t>
      </w:r>
      <w:r w:rsidR="000636C2">
        <w:rPr>
          <w:rFonts w:hint="cs"/>
          <w:rtl/>
        </w:rPr>
        <w:t>[</w:t>
      </w:r>
      <w:r w:rsidRPr="005675B2">
        <w:rPr>
          <w:rFonts w:hint="cs"/>
          <w:rtl/>
        </w:rPr>
        <w:t>شرح النووي على صحيح مسلم ج: 7 ص: 80] "</w:t>
      </w:r>
      <w:r w:rsidR="000636C2">
        <w:rPr>
          <w:rFonts w:hint="cs"/>
          <w:rtl/>
        </w:rPr>
        <w:t xml:space="preserve"> </w:t>
      </w:r>
      <w:r w:rsidRPr="005675B2">
        <w:rPr>
          <w:rFonts w:hint="cs"/>
          <w:rtl/>
        </w:rPr>
        <w:t>يمين الله</w:t>
      </w:r>
      <w:r w:rsidRPr="005675B2">
        <w:rPr>
          <w:rFonts w:hint="cs"/>
        </w:rPr>
        <w:t xml:space="preserve"> </w:t>
      </w:r>
      <w:r w:rsidRPr="005675B2">
        <w:rPr>
          <w:rFonts w:hint="cs"/>
          <w:rtl/>
        </w:rPr>
        <w:t>ملأى سحاء لا يغيضها شيء قال الامام المازرى هذا مما يتأول لان اليمين اذا كانت بمعنى</w:t>
      </w:r>
      <w:r w:rsidRPr="005675B2">
        <w:rPr>
          <w:rFonts w:hint="cs"/>
        </w:rPr>
        <w:t xml:space="preserve"> </w:t>
      </w:r>
      <w:r w:rsidRPr="005675B2">
        <w:rPr>
          <w:rFonts w:hint="cs"/>
          <w:rtl/>
        </w:rPr>
        <w:t xml:space="preserve">المناسبة للشمال لا يوصف بها الباري سبحانه وتعالى </w:t>
      </w:r>
      <w:r w:rsidRPr="005675B2">
        <w:rPr>
          <w:rFonts w:hint="cs"/>
          <w:bCs/>
          <w:rtl/>
        </w:rPr>
        <w:t>لأنها</w:t>
      </w:r>
      <w:r w:rsidRPr="005675B2">
        <w:rPr>
          <w:rFonts w:hint="cs"/>
          <w:bCs/>
        </w:rPr>
        <w:t xml:space="preserve"> </w:t>
      </w:r>
      <w:r w:rsidRPr="005675B2">
        <w:rPr>
          <w:rFonts w:hint="cs"/>
          <w:bCs/>
          <w:rtl/>
        </w:rPr>
        <w:t>تتضمن اثبات الشمال</w:t>
      </w:r>
      <w:r w:rsidRPr="005675B2">
        <w:rPr>
          <w:rFonts w:hint="cs"/>
          <w:bCs/>
        </w:rPr>
        <w:t xml:space="preserve"> </w:t>
      </w:r>
      <w:r w:rsidRPr="005675B2">
        <w:rPr>
          <w:rFonts w:hint="cs"/>
          <w:bCs/>
          <w:rtl/>
        </w:rPr>
        <w:t>وهذا يتضمن التحديد ويتقدس الله سبحانه عن</w:t>
      </w:r>
      <w:r w:rsidR="000636C2">
        <w:rPr>
          <w:bCs/>
          <w:rtl/>
        </w:rPr>
        <w:t xml:space="preserve"> </w:t>
      </w:r>
      <w:r w:rsidRPr="005675B2">
        <w:rPr>
          <w:rFonts w:hint="cs"/>
          <w:bCs/>
          <w:rtl/>
        </w:rPr>
        <w:t>التجسيم</w:t>
      </w:r>
      <w:r w:rsidR="000636C2">
        <w:rPr>
          <w:rFonts w:hint="cs"/>
          <w:bCs/>
          <w:rtl/>
        </w:rPr>
        <w:t xml:space="preserve"> </w:t>
      </w:r>
      <w:r w:rsidRPr="005675B2">
        <w:rPr>
          <w:rFonts w:hint="cs"/>
          <w:bCs/>
          <w:rtl/>
        </w:rPr>
        <w:t>والحد</w:t>
      </w:r>
      <w:r w:rsidRPr="005675B2">
        <w:rPr>
          <w:rFonts w:hint="cs"/>
          <w:rtl/>
        </w:rPr>
        <w:t xml:space="preserve"> </w:t>
      </w:r>
      <w:r w:rsidRPr="005675B2">
        <w:rPr>
          <w:rFonts w:hint="cs"/>
          <w:bCs/>
          <w:rtl/>
        </w:rPr>
        <w:t xml:space="preserve">" </w:t>
      </w:r>
      <w:r w:rsidRPr="005675B2">
        <w:rPr>
          <w:rFonts w:hint="cs"/>
          <w:rtl/>
        </w:rPr>
        <w:t>أهـ</w:t>
      </w:r>
      <w:r w:rsidRPr="005675B2">
        <w:rPr>
          <w:rFonts w:hint="cs"/>
          <w:rtl/>
          <w:lang w:bidi="ar-KW"/>
        </w:rPr>
        <w:t xml:space="preserve"> </w:t>
      </w:r>
    </w:p>
    <w:p w14:paraId="48863BBA" w14:textId="77777777" w:rsidR="009C32A0" w:rsidRPr="005675B2" w:rsidRDefault="009C32A0" w:rsidP="000636C2">
      <w:pPr>
        <w:jc w:val="center"/>
        <w:rPr>
          <w:b/>
          <w:rtl/>
          <w:lang w:bidi="ar-KW"/>
        </w:rPr>
      </w:pPr>
      <w:r>
        <w:rPr>
          <w:rFonts w:hint="cs"/>
          <w:rtl/>
          <w:lang w:bidi="ar-KW"/>
        </w:rPr>
        <w:t>***</w:t>
      </w:r>
      <w:r w:rsidRPr="005675B2">
        <w:rPr>
          <w:rFonts w:hint="cs"/>
          <w:rtl/>
          <w:lang w:bidi="ar-KW"/>
        </w:rPr>
        <w:t xml:space="preserve"> </w:t>
      </w:r>
    </w:p>
    <w:p w14:paraId="36A15217" w14:textId="02E3F6BA" w:rsidR="009C32A0" w:rsidRPr="00306AAB" w:rsidRDefault="009C32A0" w:rsidP="00306AAB">
      <w:pPr>
        <w:pStyle w:val="2"/>
        <w:bidi/>
        <w:jc w:val="center"/>
        <w:rPr>
          <w:u w:val="none"/>
          <w:rtl/>
          <w:lang w:bidi="ar-KW"/>
        </w:rPr>
      </w:pPr>
      <w:r w:rsidRPr="00306AAB">
        <w:rPr>
          <w:rFonts w:hint="cs"/>
          <w:u w:val="none"/>
          <w:rtl/>
          <w:lang w:bidi="ar-KW"/>
        </w:rPr>
        <w:t>القاعدة الثانية من قواعد التوحيد والتقديس والتنزيه</w:t>
      </w:r>
      <w:r w:rsidR="00306AAB" w:rsidRPr="00306AAB">
        <w:rPr>
          <w:rFonts w:hint="cs"/>
          <w:u w:val="none"/>
          <w:rtl/>
          <w:lang w:bidi="ar-KW"/>
        </w:rPr>
        <w:t xml:space="preserve"> </w:t>
      </w:r>
      <w:r w:rsidRPr="00306AAB">
        <w:rPr>
          <w:rFonts w:hint="cs"/>
          <w:u w:val="none"/>
          <w:rtl/>
          <w:lang w:bidi="ar-KW"/>
        </w:rPr>
        <w:t>تنزيه ذات الله تعالى عن أن يحيط به مكان أو أن يجري عليه زمان</w:t>
      </w:r>
    </w:p>
    <w:p w14:paraId="04A12EB0" w14:textId="77777777" w:rsidR="009C32A0" w:rsidRPr="005675B2" w:rsidRDefault="009C32A0" w:rsidP="000636C2">
      <w:pPr>
        <w:rPr>
          <w:b/>
          <w:bCs/>
          <w:rtl/>
          <w:lang w:bidi="ar-KW"/>
        </w:rPr>
      </w:pPr>
    </w:p>
    <w:p w14:paraId="3688D3E7" w14:textId="2E8E8003" w:rsidR="009C32A0" w:rsidRPr="005675B2" w:rsidRDefault="000636C2" w:rsidP="000636C2">
      <w:pPr>
        <w:rPr>
          <w:b/>
          <w:rtl/>
          <w:lang w:bidi="ar-KW"/>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عند تدبر قول الله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هُوَ الْأَوَّلُ وَالْآخِرُ وَالظَّاهِرُ وَالْبَاطِنُ وَهُوَ بِكُلِّ شَيْءٍ عَلِيمٌ</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الحديد</w:t>
      </w:r>
      <w:r>
        <w:rPr>
          <w:rFonts w:hint="cs"/>
          <w:rtl/>
          <w:lang w:bidi="ar-KW"/>
        </w:rPr>
        <w:t>:</w:t>
      </w:r>
      <w:r w:rsidR="009C32A0" w:rsidRPr="005675B2">
        <w:rPr>
          <w:rFonts w:hint="cs"/>
          <w:rtl/>
          <w:lang w:bidi="ar-KW"/>
        </w:rPr>
        <w:t xml:space="preserve"> 3</w:t>
      </w:r>
      <w:r>
        <w:rPr>
          <w:rFonts w:hint="cs"/>
          <w:rtl/>
          <w:lang w:bidi="ar-KW"/>
        </w:rPr>
        <w:t>}،</w:t>
      </w:r>
      <w:r w:rsidR="009C32A0" w:rsidRPr="005675B2">
        <w:rPr>
          <w:rFonts w:hint="cs"/>
          <w:rtl/>
          <w:lang w:bidi="ar-KW"/>
        </w:rPr>
        <w:t xml:space="preserve"> مع قوله صلى الله عليه وسلم: (</w:t>
      </w:r>
      <w:r>
        <w:rPr>
          <w:rFonts w:hint="cs"/>
          <w:rtl/>
          <w:lang w:bidi="ar-KW"/>
        </w:rPr>
        <w:t>(</w:t>
      </w:r>
      <w:r w:rsidR="009C32A0" w:rsidRPr="005675B2">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9C32A0" w:rsidRPr="005675B2">
        <w:rPr>
          <w:rFonts w:hint="cs"/>
          <w:rtl/>
          <w:lang w:bidi="ar-KW"/>
        </w:rPr>
        <w:t>أخرجه مسلم]</w:t>
      </w:r>
      <w:r>
        <w:rPr>
          <w:rFonts w:hint="cs"/>
          <w:rtl/>
          <w:lang w:bidi="ar-KW"/>
        </w:rPr>
        <w:t>،</w:t>
      </w:r>
      <w:r w:rsidR="009C32A0" w:rsidRPr="005675B2">
        <w:rPr>
          <w:rFonts w:hint="cs"/>
          <w:rtl/>
          <w:lang w:bidi="ar-KW"/>
        </w:rPr>
        <w:t xml:space="preserve"> وقوله صلى الله عليه وسلم</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كان الله ولم يكن شيء غيره</w:t>
      </w:r>
      <w:r>
        <w:rPr>
          <w:rFonts w:hint="cs"/>
          <w:rtl/>
          <w:lang w:bidi="ar-KW"/>
        </w:rPr>
        <w:t>)</w:t>
      </w:r>
      <w:r w:rsidR="009C32A0" w:rsidRPr="005675B2">
        <w:rPr>
          <w:rFonts w:hint="cs"/>
          <w:rtl/>
          <w:lang w:bidi="ar-KW"/>
        </w:rPr>
        <w:t>)</w:t>
      </w:r>
      <w:r>
        <w:rPr>
          <w:rFonts w:hint="cs"/>
          <w:rtl/>
          <w:lang w:bidi="ar-KW"/>
        </w:rPr>
        <w:t xml:space="preserve"> [</w:t>
      </w:r>
      <w:r w:rsidR="009C32A0" w:rsidRPr="005675B2">
        <w:rPr>
          <w:rFonts w:hint="cs"/>
          <w:rtl/>
          <w:lang w:bidi="ar-KW"/>
        </w:rPr>
        <w:t xml:space="preserve">البخاري </w:t>
      </w:r>
      <w:r>
        <w:rPr>
          <w:rFonts w:hint="cs"/>
          <w:rtl/>
          <w:lang w:bidi="ar-KW"/>
        </w:rPr>
        <w:t>(</w:t>
      </w:r>
      <w:r w:rsidR="009C32A0" w:rsidRPr="005675B2">
        <w:rPr>
          <w:rFonts w:hint="cs"/>
          <w:rtl/>
          <w:lang w:bidi="ar-KW"/>
        </w:rPr>
        <w:t>3020</w:t>
      </w:r>
      <w:r>
        <w:rPr>
          <w:rFonts w:hint="cs"/>
          <w:rtl/>
          <w:lang w:bidi="ar-KW"/>
        </w:rPr>
        <w:t>)]،</w:t>
      </w:r>
      <w:r w:rsidR="009C32A0" w:rsidRPr="005675B2">
        <w:rPr>
          <w:rFonts w:hint="cs"/>
          <w:rtl/>
          <w:lang w:bidi="ar-KW"/>
        </w:rPr>
        <w:t xml:space="preserve"> نعلم يقيناً أن الله تعالى له الكمال المطلق في وجود ذاته سبحانه</w:t>
      </w:r>
      <w:r>
        <w:rPr>
          <w:rFonts w:hint="cs"/>
          <w:rtl/>
          <w:lang w:bidi="ar-KW"/>
        </w:rPr>
        <w:t>،</w:t>
      </w:r>
      <w:r w:rsidR="009C32A0" w:rsidRPr="005675B2">
        <w:rPr>
          <w:rFonts w:hint="cs"/>
          <w:rtl/>
          <w:lang w:bidi="ar-KW"/>
        </w:rPr>
        <w:t xml:space="preserve"> كمال أكبر وأعلى من الوجود الزماني</w:t>
      </w:r>
      <w:r>
        <w:rPr>
          <w:rFonts w:hint="cs"/>
          <w:rtl/>
          <w:lang w:bidi="ar-KW"/>
        </w:rPr>
        <w:t>،</w:t>
      </w:r>
      <w:r w:rsidR="009C32A0" w:rsidRPr="005675B2">
        <w:rPr>
          <w:rFonts w:hint="cs"/>
          <w:rtl/>
          <w:lang w:bidi="ar-KW"/>
        </w:rPr>
        <w:t xml:space="preserve"> وكمال أكبر وأعلى من الوجود المكاني</w:t>
      </w:r>
      <w:r>
        <w:rPr>
          <w:rFonts w:hint="cs"/>
          <w:rtl/>
          <w:lang w:bidi="ar-KW"/>
        </w:rPr>
        <w:t>،</w:t>
      </w:r>
      <w:r w:rsidR="009C32A0" w:rsidRPr="005675B2">
        <w:rPr>
          <w:rFonts w:hint="cs"/>
          <w:rtl/>
          <w:lang w:bidi="ar-KW"/>
        </w:rPr>
        <w:t xml:space="preserve"> ليس كمثله شيء وليس كمثل وجوده وجود</w:t>
      </w:r>
      <w:r>
        <w:rPr>
          <w:rFonts w:hint="cs"/>
          <w:rtl/>
          <w:lang w:bidi="ar-KW"/>
        </w:rPr>
        <w:t>،</w:t>
      </w:r>
      <w:r w:rsidR="009C32A0" w:rsidRPr="005675B2">
        <w:rPr>
          <w:rFonts w:hint="cs"/>
          <w:rtl/>
          <w:lang w:bidi="ar-KW"/>
        </w:rPr>
        <w:t xml:space="preserve"> له كمال الوجود الأعلى من الزمان</w:t>
      </w:r>
      <w:r>
        <w:rPr>
          <w:rFonts w:hint="cs"/>
          <w:rtl/>
          <w:lang w:bidi="ar-KW"/>
        </w:rPr>
        <w:t>،</w:t>
      </w:r>
      <w:r w:rsidR="009C32A0" w:rsidRPr="005675B2">
        <w:rPr>
          <w:rFonts w:hint="cs"/>
          <w:rtl/>
          <w:lang w:bidi="ar-KW"/>
        </w:rPr>
        <w:t xml:space="preserve"> إذ هو الأول بلا ابتداء</w:t>
      </w:r>
      <w:r>
        <w:rPr>
          <w:rFonts w:hint="cs"/>
          <w:rtl/>
          <w:lang w:bidi="ar-KW"/>
        </w:rPr>
        <w:t>،</w:t>
      </w:r>
      <w:r w:rsidR="009C32A0" w:rsidRPr="005675B2">
        <w:rPr>
          <w:rFonts w:hint="cs"/>
          <w:rtl/>
          <w:lang w:bidi="ar-KW"/>
        </w:rPr>
        <w:t xml:space="preserve"> وهو الآخر بلا انتهاء</w:t>
      </w:r>
      <w:r>
        <w:rPr>
          <w:rFonts w:hint="cs"/>
          <w:rtl/>
          <w:lang w:bidi="ar-KW"/>
        </w:rPr>
        <w:t>،</w:t>
      </w:r>
      <w:r w:rsidR="009C32A0" w:rsidRPr="005675B2">
        <w:rPr>
          <w:rFonts w:hint="cs"/>
          <w:rtl/>
          <w:lang w:bidi="ar-KW"/>
        </w:rPr>
        <w:t xml:space="preserve"> فوجوده قبل الزمان</w:t>
      </w:r>
      <w:r>
        <w:rPr>
          <w:rFonts w:hint="cs"/>
          <w:rtl/>
          <w:lang w:bidi="ar-KW"/>
        </w:rPr>
        <w:t>،</w:t>
      </w:r>
      <w:r w:rsidR="009C32A0" w:rsidRPr="005675B2">
        <w:rPr>
          <w:rFonts w:hint="cs"/>
          <w:rtl/>
          <w:lang w:bidi="ar-KW"/>
        </w:rPr>
        <w:t xml:space="preserve"> ووجوده بعد انقضاء الزمان</w:t>
      </w:r>
      <w:r>
        <w:rPr>
          <w:rFonts w:hint="cs"/>
          <w:rtl/>
          <w:lang w:bidi="ar-KW"/>
        </w:rPr>
        <w:t>،</w:t>
      </w:r>
      <w:r w:rsidR="009C32A0" w:rsidRPr="005675B2">
        <w:rPr>
          <w:rFonts w:hint="cs"/>
          <w:rtl/>
          <w:lang w:bidi="ar-KW"/>
        </w:rPr>
        <w:t xml:space="preserve"> إذ هو خالق الزمان</w:t>
      </w:r>
      <w:r>
        <w:rPr>
          <w:rFonts w:hint="cs"/>
          <w:rtl/>
          <w:lang w:bidi="ar-KW"/>
        </w:rPr>
        <w:t>،</w:t>
      </w:r>
      <w:r w:rsidR="009C32A0" w:rsidRPr="005675B2">
        <w:rPr>
          <w:rFonts w:hint="cs"/>
          <w:rtl/>
          <w:lang w:bidi="ar-KW"/>
        </w:rPr>
        <w:t xml:space="preserve"> أزلي أبدي فلا يجري عليه زمان</w:t>
      </w:r>
      <w:r>
        <w:rPr>
          <w:rFonts w:hint="cs"/>
          <w:rtl/>
          <w:lang w:bidi="ar-KW"/>
        </w:rPr>
        <w:t>،</w:t>
      </w:r>
      <w:r w:rsidR="009C32A0" w:rsidRPr="005675B2">
        <w:rPr>
          <w:rFonts w:hint="cs"/>
          <w:rtl/>
          <w:lang w:bidi="ar-KW"/>
        </w:rPr>
        <w:t xml:space="preserve"> وله كمال الوجود الاعلى من المكان</w:t>
      </w:r>
      <w:r>
        <w:rPr>
          <w:rFonts w:hint="cs"/>
          <w:rtl/>
          <w:lang w:bidi="ar-KW"/>
        </w:rPr>
        <w:t>،</w:t>
      </w:r>
      <w:r w:rsidR="009C32A0" w:rsidRPr="005675B2">
        <w:rPr>
          <w:rFonts w:hint="cs"/>
          <w:rtl/>
          <w:lang w:bidi="ar-KW"/>
        </w:rPr>
        <w:t xml:space="preserve"> إذ هو الظاهر فليس </w:t>
      </w:r>
      <w:r w:rsidR="009C32A0" w:rsidRPr="005675B2">
        <w:rPr>
          <w:rFonts w:hint="cs"/>
          <w:rtl/>
          <w:lang w:bidi="ar-KW"/>
        </w:rPr>
        <w:lastRenderedPageBreak/>
        <w:t>فوقه شيء</w:t>
      </w:r>
      <w:r>
        <w:rPr>
          <w:rFonts w:hint="cs"/>
          <w:rtl/>
          <w:lang w:bidi="ar-KW"/>
        </w:rPr>
        <w:t>،</w:t>
      </w:r>
      <w:r w:rsidR="009C32A0" w:rsidRPr="005675B2">
        <w:rPr>
          <w:rFonts w:hint="cs"/>
          <w:rtl/>
          <w:lang w:bidi="ar-KW"/>
        </w:rPr>
        <w:t xml:space="preserve"> وهو الباطن فليس دونه شيء</w:t>
      </w:r>
      <w:r>
        <w:rPr>
          <w:rFonts w:hint="cs"/>
          <w:rtl/>
          <w:lang w:bidi="ar-KW"/>
        </w:rPr>
        <w:t>،</w:t>
      </w:r>
      <w:r w:rsidR="009C32A0" w:rsidRPr="005675B2">
        <w:rPr>
          <w:rFonts w:hint="cs"/>
          <w:rtl/>
          <w:lang w:bidi="ar-KW"/>
        </w:rPr>
        <w:t xml:space="preserve"> فوجوده قبل المكان</w:t>
      </w:r>
      <w:r>
        <w:rPr>
          <w:rFonts w:hint="cs"/>
          <w:rtl/>
          <w:lang w:bidi="ar-KW"/>
        </w:rPr>
        <w:t>،</w:t>
      </w:r>
      <w:r w:rsidR="009C32A0" w:rsidRPr="005675B2">
        <w:rPr>
          <w:rFonts w:hint="cs"/>
          <w:rtl/>
          <w:lang w:bidi="ar-KW"/>
        </w:rPr>
        <w:t xml:space="preserve"> إذ هو خالق المكان</w:t>
      </w:r>
      <w:r>
        <w:rPr>
          <w:rFonts w:hint="cs"/>
          <w:rtl/>
          <w:lang w:bidi="ar-KW"/>
        </w:rPr>
        <w:t>،</w:t>
      </w:r>
      <w:r w:rsidR="009C32A0" w:rsidRPr="005675B2">
        <w:rPr>
          <w:rFonts w:hint="cs"/>
          <w:rtl/>
          <w:lang w:bidi="ar-KW"/>
        </w:rPr>
        <w:t xml:space="preserve"> فكيف يحويه المكان وهو بكل شيء محيط</w:t>
      </w:r>
      <w:r>
        <w:rPr>
          <w:rFonts w:hint="cs"/>
          <w:rtl/>
          <w:lang w:bidi="ar-KW"/>
        </w:rPr>
        <w:t>،</w:t>
      </w:r>
      <w:r w:rsidR="009C32A0" w:rsidRPr="005675B2">
        <w:rPr>
          <w:rFonts w:hint="cs"/>
          <w:rtl/>
          <w:lang w:bidi="ar-KW"/>
        </w:rPr>
        <w:t xml:space="preserve"> </w:t>
      </w:r>
      <w:r w:rsidR="009C32A0" w:rsidRPr="005675B2">
        <w:rPr>
          <w:rFonts w:hint="cs"/>
          <w:rtl/>
        </w:rPr>
        <w:t xml:space="preserve">وإذا لم يكن قبل </w:t>
      </w:r>
      <w:r>
        <w:rPr>
          <w:rFonts w:hint="cs"/>
          <w:rtl/>
        </w:rPr>
        <w:t>(</w:t>
      </w:r>
      <w:r w:rsidR="009C32A0" w:rsidRPr="005675B2">
        <w:rPr>
          <w:rFonts w:hint="cs"/>
          <w:rtl/>
        </w:rPr>
        <w:t>الله</w:t>
      </w:r>
      <w:r>
        <w:rPr>
          <w:rFonts w:hint="cs"/>
          <w:rtl/>
        </w:rPr>
        <w:t>)</w:t>
      </w:r>
      <w:r w:rsidR="009C32A0" w:rsidRPr="005675B2">
        <w:rPr>
          <w:rFonts w:hint="cs"/>
          <w:rtl/>
        </w:rPr>
        <w:t xml:space="preserve"> تعالى شيء ولا بعده شيء ولا فوقه شيء ولا دونه شيء</w:t>
      </w:r>
      <w:r>
        <w:rPr>
          <w:rFonts w:hint="cs"/>
          <w:rtl/>
        </w:rPr>
        <w:t>،</w:t>
      </w:r>
      <w:r w:rsidR="009C32A0" w:rsidRPr="005675B2">
        <w:rPr>
          <w:rFonts w:hint="cs"/>
          <w:rtl/>
        </w:rPr>
        <w:t xml:space="preserve"> وهو بكل شيء محيط</w:t>
      </w:r>
      <w:r>
        <w:rPr>
          <w:rFonts w:hint="cs"/>
          <w:rtl/>
        </w:rPr>
        <w:t>،</w:t>
      </w:r>
      <w:r w:rsidR="009C32A0" w:rsidRPr="005675B2">
        <w:rPr>
          <w:rFonts w:hint="cs"/>
          <w:rtl/>
        </w:rPr>
        <w:t xml:space="preserve"> لم يكن له شبيه ولا مثيل في وجود ذاته</w:t>
      </w:r>
      <w:r>
        <w:rPr>
          <w:rFonts w:hint="cs"/>
          <w:rtl/>
        </w:rPr>
        <w:t xml:space="preserve">، </w:t>
      </w:r>
      <w:r w:rsidR="009C32A0" w:rsidRPr="005675B2">
        <w:rPr>
          <w:rFonts w:hint="cs"/>
          <w:rtl/>
        </w:rPr>
        <w:t>وعلى ذلك</w:t>
      </w:r>
      <w:r>
        <w:rPr>
          <w:rFonts w:hint="cs"/>
          <w:rtl/>
        </w:rPr>
        <w:t>:</w:t>
      </w:r>
      <w:r w:rsidR="009C32A0" w:rsidRPr="005675B2">
        <w:rPr>
          <w:rFonts w:hint="cs"/>
          <w:rtl/>
        </w:rPr>
        <w:t xml:space="preserve"> فالله موجود ولكن وجوده تعالى ليس كمثله شيء ولا له كفء ولا شبيه وليس له مثال يقاس عليه</w:t>
      </w:r>
      <w:r>
        <w:rPr>
          <w:rFonts w:hint="cs"/>
          <w:rtl/>
        </w:rPr>
        <w:t>،</w:t>
      </w:r>
      <w:r w:rsidR="009C32A0" w:rsidRPr="005675B2">
        <w:rPr>
          <w:rFonts w:hint="cs"/>
          <w:rtl/>
        </w:rPr>
        <w:t xml:space="preserve"> </w:t>
      </w:r>
      <w:r w:rsidR="009C32A0" w:rsidRPr="005675B2">
        <w:rPr>
          <w:rFonts w:hint="cs"/>
          <w:rtl/>
          <w:lang w:bidi="ar-KW"/>
        </w:rPr>
        <w:t>وعلى ذلك فإن لله تعالى كمال الوجود المطلق المنزه عن المكان فلا يحويه مكان</w:t>
      </w:r>
      <w:r>
        <w:rPr>
          <w:rFonts w:hint="cs"/>
          <w:rtl/>
          <w:lang w:bidi="ar-KW"/>
        </w:rPr>
        <w:t>،</w:t>
      </w:r>
      <w:r w:rsidR="009C32A0" w:rsidRPr="005675B2">
        <w:rPr>
          <w:rFonts w:hint="cs"/>
          <w:rtl/>
          <w:lang w:bidi="ar-KW"/>
        </w:rPr>
        <w:t xml:space="preserve"> والمنزه عن الزمان فلا يجري عليه زمان</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ب</w:t>
      </w:r>
      <w:r>
        <w:rPr>
          <w:rFonts w:hint="cs"/>
          <w:rtl/>
          <w:lang w:bidi="ar-KW"/>
        </w:rPr>
        <w:t>)</w:t>
      </w:r>
      <w:r w:rsidR="009C32A0" w:rsidRPr="005675B2">
        <w:rPr>
          <w:rFonts w:hint="cs"/>
          <w:rtl/>
          <w:lang w:bidi="ar-KW"/>
        </w:rPr>
        <w:t xml:space="preserve"> كل موجود سوى الله تعالى مخلوق حادث</w:t>
      </w:r>
      <w:r>
        <w:rPr>
          <w:rFonts w:hint="cs"/>
          <w:rtl/>
          <w:lang w:bidi="ar-KW"/>
        </w:rPr>
        <w:t>،</w:t>
      </w:r>
      <w:r w:rsidR="009C32A0" w:rsidRPr="005675B2">
        <w:rPr>
          <w:rFonts w:hint="cs"/>
          <w:rtl/>
          <w:lang w:bidi="ar-KW"/>
        </w:rPr>
        <w:t xml:space="preserve"> كان قبل خلقه عدما</w:t>
      </w:r>
      <w:r>
        <w:rPr>
          <w:rFonts w:hint="cs"/>
          <w:rtl/>
          <w:lang w:bidi="ar-KW"/>
        </w:rPr>
        <w:t xml:space="preserve"> </w:t>
      </w:r>
      <w:r w:rsidR="009C32A0" w:rsidRPr="005675B2">
        <w:rPr>
          <w:rFonts w:hint="cs"/>
          <w:rtl/>
          <w:lang w:bidi="ar-KW"/>
        </w:rPr>
        <w:t>ثم خلقه الله بقدرته ومشيئته</w:t>
      </w:r>
      <w:r>
        <w:rPr>
          <w:rFonts w:hint="cs"/>
          <w:rtl/>
          <w:lang w:bidi="ar-KW"/>
        </w:rPr>
        <w:t>،</w:t>
      </w:r>
      <w:r w:rsidR="009C32A0" w:rsidRPr="005675B2">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9C32A0" w:rsidRPr="005675B2">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w:t>
      </w:r>
      <w:r w:rsidR="009C32A0" w:rsidRPr="005675B2">
        <w:rPr>
          <w:rFonts w:hint="cs"/>
          <w:rtl/>
          <w:lang w:bidi="ar-KW"/>
        </w:rPr>
        <w:t>ت</w:t>
      </w:r>
      <w:r>
        <w:rPr>
          <w:rFonts w:hint="cs"/>
          <w:rtl/>
          <w:lang w:bidi="ar-KW"/>
        </w:rPr>
        <w:t>)</w:t>
      </w:r>
      <w:r w:rsidR="009C32A0" w:rsidRPr="005675B2">
        <w:rPr>
          <w:rFonts w:hint="cs"/>
          <w:rtl/>
          <w:lang w:bidi="ar-KW"/>
        </w:rPr>
        <w:t xml:space="preserve"> أما الله عز وجل فهو الخالق لكل شيء في الوجود قال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الله خالق كل شيء}</w:t>
      </w:r>
      <w:r>
        <w:rPr>
          <w:rFonts w:hint="cs"/>
          <w:rtl/>
          <w:lang w:bidi="ar-KW"/>
        </w:rPr>
        <w:t>،</w:t>
      </w:r>
      <w:r w:rsidR="009C32A0" w:rsidRPr="005675B2">
        <w:rPr>
          <w:rFonts w:hint="cs"/>
          <w:rtl/>
          <w:lang w:bidi="ar-KW"/>
        </w:rPr>
        <w:t xml:space="preserve"> وقال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هذا خلق الله فأروني ماذا خلق الذين من دونه</w:t>
      </w:r>
      <w:r>
        <w:rPr>
          <w:rFonts w:hint="cs"/>
          <w:rtl/>
          <w:lang w:bidi="ar-KW"/>
        </w:rPr>
        <w:t xml:space="preserve">}، </w:t>
      </w:r>
      <w:r w:rsidR="009C32A0" w:rsidRPr="005675B2">
        <w:rPr>
          <w:rFonts w:hint="cs"/>
          <w:rtl/>
          <w:lang w:bidi="ar-KW"/>
        </w:rPr>
        <w:t>ومن جملة خلقه المكان والزمان</w:t>
      </w:r>
      <w:r>
        <w:rPr>
          <w:rFonts w:hint="cs"/>
          <w:rtl/>
          <w:lang w:bidi="ar-KW"/>
        </w:rPr>
        <w:t>،</w:t>
      </w:r>
      <w:r w:rsidR="009C32A0" w:rsidRPr="005675B2">
        <w:rPr>
          <w:rFonts w:hint="cs"/>
          <w:rtl/>
          <w:lang w:bidi="ar-KW"/>
        </w:rPr>
        <w:t xml:space="preserve"> فهل يحل الخالق في المخلوق</w:t>
      </w:r>
      <w:r>
        <w:rPr>
          <w:rFonts w:hint="cs"/>
          <w:rtl/>
          <w:lang w:bidi="ar-KW"/>
        </w:rPr>
        <w:t xml:space="preserve"> </w:t>
      </w:r>
      <w:r w:rsidR="009C32A0" w:rsidRPr="005675B2">
        <w:rPr>
          <w:rFonts w:hint="cs"/>
          <w:rtl/>
          <w:lang w:bidi="ar-KW"/>
        </w:rPr>
        <w:t>أم هل تجري على الخالق قوانين المخلوق</w:t>
      </w:r>
      <w:r>
        <w:rPr>
          <w:rFonts w:hint="cs"/>
          <w:rtl/>
          <w:lang w:bidi="ar-KW"/>
        </w:rPr>
        <w:t>،</w:t>
      </w:r>
      <w:r w:rsidR="009C32A0" w:rsidRPr="005675B2">
        <w:rPr>
          <w:rFonts w:hint="cs"/>
          <w:rtl/>
          <w:lang w:bidi="ar-KW"/>
        </w:rPr>
        <w:t xml:space="preserve"> سبحانه كان قبل خلق المكان والزمان وهو على ما عليه كان</w:t>
      </w:r>
      <w:r>
        <w:rPr>
          <w:rFonts w:hint="cs"/>
          <w:rtl/>
          <w:lang w:bidi="ar-KW"/>
        </w:rPr>
        <w:t>،</w:t>
      </w:r>
      <w:r w:rsidR="009C32A0" w:rsidRPr="005675B2">
        <w:rPr>
          <w:rFonts w:hint="cs"/>
          <w:rtl/>
          <w:lang w:bidi="ar-KW"/>
        </w:rPr>
        <w:t xml:space="preserve"> منزه عن المكان تنزيه الخالق عن المخلوق</w:t>
      </w:r>
      <w:r>
        <w:rPr>
          <w:rFonts w:hint="cs"/>
          <w:rtl/>
          <w:lang w:bidi="ar-KW"/>
        </w:rPr>
        <w:t>،</w:t>
      </w:r>
      <w:r w:rsidR="009C32A0" w:rsidRPr="005675B2">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9C32A0" w:rsidRPr="005675B2">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3A362713" w14:textId="5DF28FB6" w:rsidR="009C32A0" w:rsidRPr="005675B2" w:rsidRDefault="000636C2" w:rsidP="000636C2">
      <w:pPr>
        <w:rPr>
          <w:b/>
          <w:bCs/>
          <w:rtl/>
        </w:rPr>
      </w:pPr>
      <w:r>
        <w:rPr>
          <w:rFonts w:hint="cs"/>
          <w:rtl/>
          <w:lang w:bidi="ar-KW"/>
        </w:rPr>
        <w:t>(</w:t>
      </w:r>
      <w:r w:rsidR="009C32A0" w:rsidRPr="005675B2">
        <w:rPr>
          <w:rFonts w:hint="cs"/>
          <w:rtl/>
          <w:lang w:bidi="ar-KW"/>
        </w:rPr>
        <w:t>ث</w:t>
      </w:r>
      <w:r>
        <w:rPr>
          <w:rFonts w:hint="cs"/>
          <w:rtl/>
          <w:lang w:bidi="ar-KW"/>
        </w:rPr>
        <w:t>)</w:t>
      </w:r>
      <w:r w:rsidR="009C32A0" w:rsidRPr="005675B2">
        <w:rPr>
          <w:rFonts w:hint="cs"/>
          <w:rtl/>
          <w:lang w:bidi="ar-KW"/>
        </w:rPr>
        <w:t xml:space="preserve"> قوله تعالى </w:t>
      </w:r>
      <w:r>
        <w:rPr>
          <w:rFonts w:hint="cs"/>
          <w:rtl/>
          <w:lang w:bidi="ar-KW"/>
        </w:rPr>
        <w:t>{</w:t>
      </w:r>
      <w:r w:rsidR="009C32A0" w:rsidRPr="005675B2">
        <w:rPr>
          <w:rFonts w:hint="cs"/>
          <w:rtl/>
          <w:lang w:bidi="ar-KW"/>
        </w:rPr>
        <w:t>قل لمن ما في السماوات والأرض * قل لله</w:t>
      </w:r>
      <w:r>
        <w:rPr>
          <w:rFonts w:hint="cs"/>
          <w:rtl/>
          <w:lang w:bidi="ar-KW"/>
        </w:rPr>
        <w:t>}</w:t>
      </w:r>
      <w:r w:rsidR="009C32A0" w:rsidRPr="005675B2">
        <w:rPr>
          <w:rFonts w:hint="cs"/>
          <w:rtl/>
          <w:lang w:bidi="ar-KW"/>
        </w:rPr>
        <w:t xml:space="preserve"> مشعر بأن المكان وكل ما فيه ملكاً لله تعالى وقوله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وله ما سكن في الليل والنهار</w:t>
      </w:r>
      <w:r>
        <w:rPr>
          <w:rFonts w:hint="cs"/>
          <w:rtl/>
          <w:lang w:bidi="ar-KW"/>
        </w:rPr>
        <w:t>}</w:t>
      </w:r>
      <w:r w:rsidR="009C32A0" w:rsidRPr="005675B2">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9C32A0" w:rsidRPr="005675B2">
        <w:rPr>
          <w:rFonts w:hint="cs"/>
          <w:rtl/>
          <w:lang w:bidi="ar-KW"/>
        </w:rPr>
        <w:t>كلها ملك لله تعالى وذلك يدل على تنزيهه عن المكان والمكان</w:t>
      </w:r>
      <w:r>
        <w:rPr>
          <w:rFonts w:hint="cs"/>
          <w:rtl/>
          <w:lang w:bidi="ar-KW"/>
        </w:rPr>
        <w:t>، (</w:t>
      </w:r>
      <w:r w:rsidR="009C32A0" w:rsidRPr="005675B2">
        <w:rPr>
          <w:rFonts w:hint="cs"/>
          <w:rtl/>
          <w:lang w:bidi="ar-KW"/>
        </w:rPr>
        <w:t>ج</w:t>
      </w:r>
      <w:r>
        <w:rPr>
          <w:rFonts w:hint="cs"/>
          <w:rtl/>
          <w:lang w:bidi="ar-KW"/>
        </w:rPr>
        <w:t>)</w:t>
      </w:r>
      <w:r w:rsidR="009C32A0" w:rsidRPr="005675B2">
        <w:rPr>
          <w:rFonts w:hint="cs"/>
          <w:rtl/>
          <w:lang w:bidi="ar-KW"/>
        </w:rPr>
        <w:t xml:space="preserve"> وجود الله تعالى قبل خلق المكان ووجوده سبحانه بعد فناء المكان فلا يحويه مكان</w:t>
      </w:r>
      <w:r>
        <w:rPr>
          <w:rFonts w:hint="cs"/>
          <w:rtl/>
          <w:lang w:bidi="ar-KW"/>
        </w:rPr>
        <w:t>،</w:t>
      </w:r>
      <w:r w:rsidR="009C32A0" w:rsidRPr="005675B2">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 (</w:t>
      </w:r>
      <w:r w:rsidR="009C32A0" w:rsidRPr="005675B2">
        <w:rPr>
          <w:rFonts w:hint="cs"/>
          <w:rtl/>
          <w:lang w:bidi="ar-KW"/>
        </w:rPr>
        <w:t>ح</w:t>
      </w:r>
      <w:r>
        <w:rPr>
          <w:rFonts w:hint="cs"/>
          <w:rtl/>
          <w:lang w:bidi="ar-KW"/>
        </w:rPr>
        <w:t>)</w:t>
      </w:r>
      <w:r w:rsidR="009C32A0" w:rsidRPr="005675B2">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w:t>
      </w:r>
      <w:r w:rsidR="009C32A0" w:rsidRPr="005675B2">
        <w:rPr>
          <w:rFonts w:hint="cs"/>
          <w:rtl/>
          <w:lang w:bidi="ar-KW"/>
        </w:rPr>
        <w:lastRenderedPageBreak/>
        <w:t>على المخلوق وتنزه القاهر على المقهور</w:t>
      </w:r>
      <w:r>
        <w:rPr>
          <w:rFonts w:hint="cs"/>
          <w:rtl/>
          <w:lang w:bidi="ar-KW"/>
        </w:rPr>
        <w:t>(</w:t>
      </w:r>
      <w:r w:rsidR="009C32A0" w:rsidRPr="005675B2">
        <w:rPr>
          <w:rFonts w:hint="cs"/>
          <w:rtl/>
          <w:lang w:bidi="ar-KW"/>
        </w:rPr>
        <w:t>وهو القاهر فوق عباده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خ</w:t>
      </w:r>
      <w:r>
        <w:rPr>
          <w:rFonts w:hint="cs"/>
          <w:rtl/>
          <w:lang w:bidi="ar-KW"/>
        </w:rPr>
        <w:t>)</w:t>
      </w:r>
      <w:r w:rsidR="009C32A0" w:rsidRPr="005675B2">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9C32A0" w:rsidRPr="005675B2">
        <w:rPr>
          <w:rFonts w:hint="cs"/>
          <w:rtl/>
          <w:lang w:bidi="ar-KW"/>
        </w:rPr>
        <w:t>د</w:t>
      </w:r>
      <w:r>
        <w:rPr>
          <w:rFonts w:hint="cs"/>
          <w:rtl/>
          <w:lang w:bidi="ar-KW"/>
        </w:rPr>
        <w:t>)</w:t>
      </w:r>
      <w:r w:rsidR="009C32A0" w:rsidRPr="005675B2">
        <w:rPr>
          <w:rFonts w:hint="cs"/>
          <w:rtl/>
          <w:lang w:bidi="ar-KW"/>
        </w:rPr>
        <w:t xml:space="preserve"> من الدلائل الواضحة على تنزه الله تعالى عن الوجود في جهة معينة من جهات الكون</w:t>
      </w:r>
      <w:r>
        <w:rPr>
          <w:rFonts w:hint="cs"/>
          <w:rtl/>
          <w:lang w:bidi="ar-KW"/>
        </w:rPr>
        <w:t>:</w:t>
      </w:r>
      <w:r w:rsidR="009C32A0" w:rsidRPr="005675B2">
        <w:rPr>
          <w:rFonts w:hint="cs"/>
          <w:rtl/>
          <w:lang w:bidi="ar-KW"/>
        </w:rPr>
        <w:t xml:space="preserve"> أن جهات الكون محدودة لأنها مخلوقة مقدَرة </w:t>
      </w:r>
      <w:r>
        <w:rPr>
          <w:rFonts w:hint="cs"/>
          <w:rtl/>
          <w:lang w:bidi="ar-KW"/>
        </w:rPr>
        <w:t>(</w:t>
      </w:r>
      <w:r w:rsidR="009C32A0" w:rsidRPr="005675B2">
        <w:rPr>
          <w:rFonts w:hint="cs"/>
          <w:rtl/>
          <w:lang w:bidi="ar-KW"/>
        </w:rPr>
        <w:t>بضم الميم وفتح الراء مع تشديدها</w:t>
      </w:r>
      <w:r>
        <w:rPr>
          <w:rFonts w:hint="cs"/>
          <w:rtl/>
          <w:lang w:bidi="ar-KW"/>
        </w:rPr>
        <w:t>)</w:t>
      </w:r>
      <w:r w:rsidR="009C32A0" w:rsidRPr="005675B2">
        <w:rPr>
          <w:rFonts w:hint="cs"/>
          <w:rtl/>
          <w:lang w:bidi="ar-KW"/>
        </w:rPr>
        <w:t xml:space="preserve"> والله تعالى خالق مقدِر </w:t>
      </w:r>
      <w:r>
        <w:rPr>
          <w:rFonts w:hint="cs"/>
          <w:rtl/>
          <w:lang w:bidi="ar-KW"/>
        </w:rPr>
        <w:t>(</w:t>
      </w:r>
      <w:r w:rsidR="009C32A0" w:rsidRPr="005675B2">
        <w:rPr>
          <w:rFonts w:hint="cs"/>
          <w:rtl/>
          <w:lang w:bidi="ar-KW"/>
        </w:rPr>
        <w:t>بضم الميم وكسر الراء مع تشديدها</w:t>
      </w:r>
      <w:r>
        <w:rPr>
          <w:rFonts w:hint="cs"/>
          <w:rtl/>
          <w:lang w:bidi="ar-KW"/>
        </w:rPr>
        <w:t>)</w:t>
      </w:r>
      <w:r w:rsidR="009C32A0" w:rsidRPr="005675B2">
        <w:rPr>
          <w:rFonts w:hint="cs"/>
          <w:rtl/>
          <w:lang w:bidi="ar-KW"/>
        </w:rPr>
        <w:t xml:space="preserve"> تنزه سبحانه عن الحيز والحد والمقدار لأنها علامات المخلوق الناقص</w:t>
      </w:r>
      <w:r>
        <w:rPr>
          <w:rFonts w:hint="cs"/>
          <w:rtl/>
          <w:lang w:bidi="ar-KW"/>
        </w:rPr>
        <w:t>،</w:t>
      </w:r>
      <w:r w:rsidR="009C32A0" w:rsidRPr="005675B2">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9C32A0" w:rsidRPr="005675B2">
        <w:rPr>
          <w:rFonts w:hint="cs"/>
          <w:rtl/>
          <w:lang w:bidi="ar-KW"/>
        </w:rPr>
        <w:t xml:space="preserve"> فيستحيل وجود المنزه عن الحد والمقدار في الحيز المحدود </w:t>
      </w:r>
      <w:r>
        <w:rPr>
          <w:rFonts w:hint="cs"/>
          <w:rtl/>
          <w:lang w:bidi="ar-KW"/>
        </w:rPr>
        <w:t>[</w:t>
      </w:r>
      <w:r w:rsidR="009C32A0" w:rsidRPr="005675B2">
        <w:rPr>
          <w:rFonts w:hint="cs"/>
          <w:rtl/>
          <w:lang w:bidi="ar-KW"/>
        </w:rPr>
        <w:t xml:space="preserve">سياتي الحديث عن تنزيه الله تعالى عن الحيز والحد والمقدار في الباب التالي </w:t>
      </w:r>
      <w:r>
        <w:rPr>
          <w:rFonts w:hint="cs"/>
          <w:rtl/>
          <w:lang w:bidi="ar-KW"/>
        </w:rPr>
        <w:t>(</w:t>
      </w:r>
      <w:r w:rsidR="009C32A0" w:rsidRPr="005675B2">
        <w:rPr>
          <w:rFonts w:hint="cs"/>
          <w:rtl/>
          <w:lang w:bidi="ar-KW"/>
        </w:rPr>
        <w:t>تنزيه الله تعالى في ذاته ليس كمثله شيء</w:t>
      </w:r>
      <w:r>
        <w:rPr>
          <w:rFonts w:hint="cs"/>
          <w:rtl/>
          <w:lang w:bidi="ar-KW"/>
        </w:rPr>
        <w:t>)]</w:t>
      </w:r>
      <w:r w:rsidR="009C32A0" w:rsidRPr="005675B2">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Pr>
          <w:rFonts w:hint="cs"/>
          <w:rtl/>
          <w:lang w:bidi="ar-KW"/>
        </w:rPr>
        <w:t>، (</w:t>
      </w:r>
      <w:r w:rsidR="009C32A0" w:rsidRPr="005675B2">
        <w:rPr>
          <w:rFonts w:hint="cs"/>
          <w:rtl/>
          <w:lang w:bidi="ar-KW"/>
        </w:rPr>
        <w:t>ذ</w:t>
      </w:r>
      <w:r>
        <w:rPr>
          <w:rFonts w:hint="cs"/>
          <w:rtl/>
          <w:lang w:bidi="ar-KW"/>
        </w:rPr>
        <w:t>)</w:t>
      </w:r>
      <w:r w:rsidR="009C32A0" w:rsidRPr="005675B2">
        <w:rPr>
          <w:rFonts w:hint="cs"/>
          <w:rtl/>
          <w:lang w:bidi="ar-KW"/>
        </w:rPr>
        <w:t xml:space="preserve"> ومن الادلة على تنزيه الله تعالى عن المكان</w:t>
      </w:r>
      <w:r>
        <w:rPr>
          <w:rFonts w:hint="cs"/>
          <w:rtl/>
          <w:lang w:bidi="ar-KW"/>
        </w:rPr>
        <w:t>:</w:t>
      </w:r>
      <w:r w:rsidR="009C32A0" w:rsidRPr="005675B2">
        <w:rPr>
          <w:rFonts w:hint="cs"/>
          <w:rtl/>
          <w:lang w:bidi="ar-KW"/>
        </w:rPr>
        <w:t xml:space="preserve"> أنّ ا</w:t>
      </w:r>
      <w:r w:rsidR="009C32A0" w:rsidRPr="005675B2">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rtl/>
        </w:rPr>
        <w:t>،</w:t>
      </w:r>
      <w:r w:rsidR="009C32A0" w:rsidRPr="005675B2">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Pr>
          <w:rFonts w:hint="cs"/>
          <w:rtl/>
        </w:rPr>
        <w:t>،</w:t>
      </w:r>
      <w:r w:rsidR="009C32A0" w:rsidRPr="005675B2">
        <w:rPr>
          <w:rFonts w:hint="cs"/>
          <w:rtl/>
        </w:rPr>
        <w:t xml:space="preserve"> فتحتم من ذلك تنزيهه عن أن يحيزه شيء من خلقه وكل ما في الوجود سواه فهو خلقه الفقير إليه وهو الغني عنهم</w:t>
      </w:r>
      <w:r>
        <w:rPr>
          <w:rFonts w:hint="cs"/>
          <w:rtl/>
        </w:rPr>
        <w:t>، (</w:t>
      </w:r>
      <w:r w:rsidR="009C32A0" w:rsidRPr="005675B2">
        <w:rPr>
          <w:rFonts w:hint="cs"/>
          <w:rtl/>
        </w:rPr>
        <w:t>ر</w:t>
      </w:r>
      <w:r>
        <w:rPr>
          <w:rFonts w:hint="cs"/>
          <w:rtl/>
        </w:rPr>
        <w:t>)</w:t>
      </w:r>
      <w:r w:rsidR="009C32A0" w:rsidRPr="005675B2">
        <w:rPr>
          <w:rFonts w:hint="cs"/>
          <w:rtl/>
        </w:rPr>
        <w:t xml:space="preserve"> عدم تنزيه الله تعالى عن المكان يعني أن هناك مكان ما يحيز الله</w:t>
      </w:r>
      <w:r>
        <w:rPr>
          <w:rFonts w:hint="cs"/>
          <w:rtl/>
        </w:rPr>
        <w:t>،</w:t>
      </w:r>
      <w:r w:rsidR="009C32A0" w:rsidRPr="005675B2">
        <w:rPr>
          <w:rFonts w:hint="cs"/>
          <w:rtl/>
        </w:rPr>
        <w:t xml:space="preserve"> والمكان الذي يحيز أي شيء</w:t>
      </w:r>
      <w:r>
        <w:rPr>
          <w:rFonts w:hint="cs"/>
          <w:rtl/>
        </w:rPr>
        <w:t xml:space="preserve"> </w:t>
      </w:r>
      <w:r w:rsidR="009C32A0" w:rsidRPr="005675B2">
        <w:rPr>
          <w:rFonts w:hint="cs"/>
          <w:rtl/>
        </w:rPr>
        <w:t>لاشك أنه أكبر منه</w:t>
      </w:r>
      <w:r>
        <w:rPr>
          <w:rFonts w:hint="cs"/>
          <w:rtl/>
        </w:rPr>
        <w:t>،</w:t>
      </w:r>
      <w:r w:rsidR="009C32A0" w:rsidRPr="005675B2">
        <w:rPr>
          <w:rFonts w:hint="cs"/>
          <w:rtl/>
        </w:rPr>
        <w:t xml:space="preserve"> وهذا يخالف القطعي والضروري من الدين من كون الله تعالى أكبر من كل شيء</w:t>
      </w:r>
      <w:r>
        <w:rPr>
          <w:rFonts w:hint="cs"/>
          <w:rtl/>
        </w:rPr>
        <w:t>، (</w:t>
      </w:r>
      <w:r w:rsidR="009C32A0" w:rsidRPr="005675B2">
        <w:rPr>
          <w:rFonts w:hint="cs"/>
          <w:rtl/>
        </w:rPr>
        <w:t>ز</w:t>
      </w:r>
      <w:r>
        <w:rPr>
          <w:rFonts w:hint="cs"/>
          <w:rtl/>
        </w:rPr>
        <w:t>)</w:t>
      </w:r>
      <w:r w:rsidR="009C32A0" w:rsidRPr="005675B2">
        <w:rPr>
          <w:rFonts w:hint="cs"/>
          <w:rtl/>
        </w:rPr>
        <w:t xml:space="preserve"> عدم تنزيه الله تعالى عن المكان يستلزم ذلك احتياج الله إلى المكان، لأنّ الكائن في مكان محتاج إلى المكان</w:t>
      </w:r>
      <w:r>
        <w:rPr>
          <w:rFonts w:hint="cs"/>
          <w:rtl/>
        </w:rPr>
        <w:t>،</w:t>
      </w:r>
      <w:r w:rsidR="009C32A0" w:rsidRPr="005675B2">
        <w:rPr>
          <w:rFonts w:hint="cs"/>
          <w:rtl/>
        </w:rPr>
        <w:t xml:space="preserve"> ولكنّه تعالى هو الغني الذي لا يحتاج إلى شيء</w:t>
      </w:r>
      <w:r>
        <w:rPr>
          <w:rFonts w:hint="cs"/>
          <w:rtl/>
        </w:rPr>
        <w:t>،</w:t>
      </w:r>
      <w:r w:rsidR="009C32A0" w:rsidRPr="005675B2">
        <w:rPr>
          <w:rFonts w:hint="cs"/>
          <w:rtl/>
        </w:rPr>
        <w:t xml:space="preserve"> والاحتياج من صفات المُحدَث المخلوق الفقير لا من صفات الخالق الغني الحميد</w:t>
      </w:r>
      <w:r>
        <w:rPr>
          <w:rFonts w:hint="cs"/>
          <w:rtl/>
        </w:rPr>
        <w:t>، (</w:t>
      </w:r>
      <w:r w:rsidR="009C32A0" w:rsidRPr="005675B2">
        <w:rPr>
          <w:rFonts w:hint="cs"/>
          <w:rtl/>
        </w:rPr>
        <w:t>س</w:t>
      </w:r>
      <w:r>
        <w:rPr>
          <w:rFonts w:hint="cs"/>
          <w:rtl/>
        </w:rPr>
        <w:t>)</w:t>
      </w:r>
      <w:r w:rsidR="009C32A0" w:rsidRPr="005675B2">
        <w:rPr>
          <w:rFonts w:hint="cs"/>
          <w:rtl/>
        </w:rPr>
        <w:t xml:space="preserve"> عدم تنزيه الله تعالى عن المكان يعني إنّ المكان الذي يكون الله فيه لا يخلو من أمرين: </w:t>
      </w:r>
      <w:r w:rsidR="009C32A0" w:rsidRPr="005675B2">
        <w:rPr>
          <w:rFonts w:hint="cs"/>
          <w:rtl/>
        </w:rPr>
        <w:lastRenderedPageBreak/>
        <w:t>الأوّل: قديم، فيستلزم ذلك تعدّد القدماء، وهذا باطل</w:t>
      </w:r>
      <w:r>
        <w:rPr>
          <w:rFonts w:hint="cs"/>
          <w:rtl/>
        </w:rPr>
        <w:t>،</w:t>
      </w:r>
      <w:r w:rsidR="009C32A0" w:rsidRPr="005675B2">
        <w:rPr>
          <w:rFonts w:hint="cs"/>
          <w:rtl/>
        </w:rPr>
        <w:t xml:space="preserve"> الثاني: حادث، والحادث محدود، ولكنّه تعالى غير محدود، والشيء المحدود لا يسعه إحاطة الشيء غير المحدود</w:t>
      </w:r>
      <w:r>
        <w:rPr>
          <w:rFonts w:hint="cs"/>
          <w:rtl/>
        </w:rPr>
        <w:t>،</w:t>
      </w:r>
      <w:r w:rsidR="009C32A0" w:rsidRPr="005675B2">
        <w:rPr>
          <w:rFonts w:hint="cs"/>
          <w:rtl/>
        </w:rPr>
        <w:t xml:space="preserve"> فيثبت بطلان وجوده تعالى في مكان</w:t>
      </w:r>
      <w:r>
        <w:rPr>
          <w:rFonts w:hint="cs"/>
          <w:rtl/>
        </w:rPr>
        <w:t>،</w:t>
      </w:r>
      <w:r w:rsidR="009C32A0" w:rsidRPr="005675B2">
        <w:rPr>
          <w:rFonts w:hint="cs"/>
          <w:rtl/>
        </w:rPr>
        <w:t xml:space="preserve"> </w:t>
      </w:r>
      <w:r>
        <w:rPr>
          <w:rFonts w:hint="cs"/>
          <w:rtl/>
        </w:rPr>
        <w:t>(</w:t>
      </w:r>
      <w:r w:rsidR="009C32A0" w:rsidRPr="005675B2">
        <w:rPr>
          <w:rFonts w:hint="cs"/>
          <w:rtl/>
        </w:rPr>
        <w:t>ش</w:t>
      </w:r>
      <w:r>
        <w:rPr>
          <w:rFonts w:hint="cs"/>
          <w:rtl/>
        </w:rPr>
        <w:t>)</w:t>
      </w:r>
      <w:r w:rsidR="009C32A0" w:rsidRPr="005675B2">
        <w:rPr>
          <w:rFonts w:hint="cs"/>
          <w:rtl/>
        </w:rPr>
        <w:t xml:space="preserve"> قوله تعالى </w:t>
      </w:r>
      <w:r>
        <w:rPr>
          <w:rFonts w:hint="cs"/>
          <w:rtl/>
        </w:rPr>
        <w:t>(</w:t>
      </w:r>
      <w:r w:rsidR="009C32A0" w:rsidRPr="005675B2">
        <w:rPr>
          <w:rFonts w:hint="cs"/>
          <w:bCs/>
          <w:rtl/>
        </w:rPr>
        <w:t>الله الصمد</w:t>
      </w:r>
      <w:r>
        <w:rPr>
          <w:rFonts w:hint="cs"/>
          <w:rtl/>
        </w:rPr>
        <w:t>)</w:t>
      </w:r>
      <w:r w:rsidR="009C32A0" w:rsidRPr="005675B2">
        <w:rPr>
          <w:rFonts w:hint="cs"/>
          <w:rtl/>
        </w:rPr>
        <w:t xml:space="preserve"> فالصمد هو السيد المصمود إليه في الحوائج وذلك يدل على أنه ليس في مكان</w:t>
      </w:r>
      <w:r>
        <w:rPr>
          <w:rFonts w:hint="cs"/>
          <w:rtl/>
        </w:rPr>
        <w:t>،</w:t>
      </w:r>
      <w:r w:rsidR="009C32A0" w:rsidRPr="005675B2">
        <w:rPr>
          <w:rFonts w:hint="cs"/>
          <w:rtl/>
        </w:rPr>
        <w:t xml:space="preserve"> </w:t>
      </w:r>
      <w:r w:rsidR="009C32A0" w:rsidRPr="005675B2">
        <w:rPr>
          <w:rFonts w:hint="cs"/>
          <w:bCs/>
          <w:rtl/>
        </w:rPr>
        <w:t>وأما بيان دلالته على أنه تعالى منزه عن المكان</w:t>
      </w:r>
      <w:r>
        <w:rPr>
          <w:rFonts w:hint="cs"/>
          <w:bCs/>
          <w:rtl/>
        </w:rPr>
        <w:t>،</w:t>
      </w:r>
      <w:r w:rsidR="009C32A0" w:rsidRPr="005675B2">
        <w:rPr>
          <w:rFonts w:hint="cs"/>
          <w:bCs/>
          <w:rtl/>
        </w:rPr>
        <w:t xml:space="preserve"> </w:t>
      </w:r>
      <w:r w:rsidR="009C32A0" w:rsidRPr="005675B2">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 xml:space="preserve">، </w:t>
      </w:r>
      <w:r>
        <w:rPr>
          <w:rFonts w:hint="cs"/>
          <w:bCs/>
          <w:rtl/>
        </w:rPr>
        <w:t>(</w:t>
      </w:r>
      <w:r w:rsidR="009C32A0" w:rsidRPr="005675B2">
        <w:rPr>
          <w:rFonts w:hint="cs"/>
          <w:bCs/>
          <w:rtl/>
        </w:rPr>
        <w:t>ص</w:t>
      </w:r>
      <w:r>
        <w:rPr>
          <w:rFonts w:hint="cs"/>
          <w:bCs/>
          <w:rtl/>
        </w:rPr>
        <w:t>)</w:t>
      </w:r>
      <w:r w:rsidR="009C32A0" w:rsidRPr="005675B2">
        <w:rPr>
          <w:rFonts w:hint="cs"/>
          <w:bCs/>
          <w:rtl/>
        </w:rPr>
        <w:t xml:space="preserve"> قوله تعالى</w:t>
      </w:r>
      <w:r w:rsidR="009C32A0" w:rsidRPr="005675B2">
        <w:rPr>
          <w:rFonts w:hint="cs"/>
          <w:rtl/>
        </w:rPr>
        <w:t xml:space="preserve"> </w:t>
      </w:r>
      <w:r>
        <w:rPr>
          <w:rFonts w:hint="cs"/>
          <w:rtl/>
        </w:rPr>
        <w:t>(</w:t>
      </w:r>
      <w:r w:rsidR="009C32A0" w:rsidRPr="005675B2">
        <w:rPr>
          <w:rFonts w:hint="cs"/>
          <w:bCs/>
          <w:rtl/>
        </w:rPr>
        <w:t>والله الغنى وأنتم الفقراء</w:t>
      </w:r>
      <w:r>
        <w:rPr>
          <w:rFonts w:hint="cs"/>
          <w:rtl/>
        </w:rPr>
        <w:t>)</w:t>
      </w:r>
      <w:r w:rsidR="009C32A0" w:rsidRPr="005675B2">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9C32A0" w:rsidRPr="005675B2">
        <w:rPr>
          <w:rFonts w:hint="cs"/>
          <w:rtl/>
        </w:rPr>
        <w:t xml:space="preserve"> </w:t>
      </w:r>
      <w:r>
        <w:rPr>
          <w:rFonts w:hint="cs"/>
          <w:bCs/>
          <w:rtl/>
        </w:rPr>
        <w:t>(</w:t>
      </w:r>
      <w:r w:rsidR="009C32A0" w:rsidRPr="005675B2">
        <w:rPr>
          <w:rFonts w:hint="cs"/>
          <w:bCs/>
          <w:rtl/>
        </w:rPr>
        <w:t>ض</w:t>
      </w:r>
      <w:r>
        <w:rPr>
          <w:rFonts w:hint="cs"/>
          <w:bCs/>
          <w:rtl/>
        </w:rPr>
        <w:t>)</w:t>
      </w:r>
      <w:r w:rsidR="009C32A0" w:rsidRPr="005675B2">
        <w:rPr>
          <w:rFonts w:hint="cs"/>
          <w:bCs/>
          <w:rtl/>
        </w:rPr>
        <w:t xml:space="preserve"> قوله تعالى</w:t>
      </w:r>
      <w:r w:rsidR="009C32A0" w:rsidRPr="005675B2">
        <w:rPr>
          <w:rFonts w:hint="cs"/>
          <w:rtl/>
        </w:rPr>
        <w:t xml:space="preserve"> </w:t>
      </w:r>
      <w:r>
        <w:rPr>
          <w:rFonts w:hint="cs"/>
          <w:rtl/>
        </w:rPr>
        <w:t>(</w:t>
      </w:r>
      <w:r w:rsidR="009C32A0" w:rsidRPr="005675B2">
        <w:rPr>
          <w:rFonts w:hint="cs"/>
          <w:bCs/>
          <w:rtl/>
        </w:rPr>
        <w:t>لا إله إلا هو الحى القيوم</w:t>
      </w:r>
      <w:r>
        <w:rPr>
          <w:rFonts w:hint="cs"/>
          <w:rtl/>
        </w:rPr>
        <w:t>)</w:t>
      </w:r>
      <w:r w:rsidR="009C32A0" w:rsidRPr="005675B2">
        <w:rPr>
          <w:rFonts w:hint="cs"/>
          <w:rtl/>
        </w:rPr>
        <w:t xml:space="preserve"> والقيوم مبالغة فى كونه غنياً عن كل ما سواه</w:t>
      </w:r>
      <w:r>
        <w:rPr>
          <w:rFonts w:hint="cs"/>
          <w:rtl/>
        </w:rPr>
        <w:t>،</w:t>
      </w:r>
      <w:r w:rsidR="009C32A0" w:rsidRPr="005675B2">
        <w:rPr>
          <w:rFonts w:hint="cs"/>
          <w:rtl/>
        </w:rPr>
        <w:t xml:space="preserve"> وكونه مقوماً لغيره</w:t>
      </w:r>
      <w:r>
        <w:rPr>
          <w:rFonts w:hint="cs"/>
          <w:rtl/>
        </w:rPr>
        <w:t>:</w:t>
      </w:r>
      <w:r w:rsidR="009C32A0" w:rsidRPr="005675B2">
        <w:rPr>
          <w:rFonts w:hint="cs"/>
          <w:rtl/>
        </w:rPr>
        <w:t xml:space="preserve"> عبارة عن احتياج كل ما سواه إليه</w:t>
      </w:r>
      <w:r>
        <w:rPr>
          <w:rFonts w:hint="cs"/>
          <w:rtl/>
        </w:rPr>
        <w:t>،</w:t>
      </w:r>
      <w:r w:rsidR="009C32A0" w:rsidRPr="005675B2">
        <w:rPr>
          <w:rFonts w:hint="cs"/>
          <w:rtl/>
        </w:rPr>
        <w:t xml:space="preserve"> فلو كان في مكان لكان هو مفتقراً الى ذلك المكان فلن يكن قيوماً على الإطلاق</w:t>
      </w:r>
      <w:r>
        <w:rPr>
          <w:rFonts w:hint="cs"/>
          <w:rtl/>
        </w:rPr>
        <w:t xml:space="preserve">، </w:t>
      </w:r>
      <w:r>
        <w:rPr>
          <w:rFonts w:hint="cs"/>
          <w:bCs/>
          <w:rtl/>
        </w:rPr>
        <w:t>(</w:t>
      </w:r>
      <w:r w:rsidR="009C32A0" w:rsidRPr="005675B2">
        <w:rPr>
          <w:rFonts w:hint="cs"/>
          <w:bCs/>
          <w:rtl/>
        </w:rPr>
        <w:t>ط</w:t>
      </w:r>
      <w:r>
        <w:rPr>
          <w:rFonts w:hint="cs"/>
          <w:bCs/>
          <w:rtl/>
        </w:rPr>
        <w:t>)</w:t>
      </w:r>
      <w:r w:rsidR="009C32A0" w:rsidRPr="005675B2">
        <w:rPr>
          <w:rFonts w:hint="cs"/>
          <w:bCs/>
          <w:rtl/>
        </w:rPr>
        <w:t xml:space="preserve"> قوله تعالى</w:t>
      </w:r>
      <w:r w:rsidR="009C32A0" w:rsidRPr="005675B2">
        <w:rPr>
          <w:rFonts w:hint="cs"/>
          <w:rtl/>
        </w:rPr>
        <w:t xml:space="preserve"> </w:t>
      </w:r>
      <w:r>
        <w:rPr>
          <w:rFonts w:hint="cs"/>
          <w:rtl/>
        </w:rPr>
        <w:t>(</w:t>
      </w:r>
      <w:r w:rsidR="009C32A0" w:rsidRPr="005675B2">
        <w:rPr>
          <w:rFonts w:hint="cs"/>
          <w:bCs/>
          <w:rtl/>
        </w:rPr>
        <w:t>هل تعلم له سمياً</w:t>
      </w:r>
      <w:r>
        <w:rPr>
          <w:rFonts w:hint="cs"/>
          <w:rtl/>
        </w:rPr>
        <w:t>)</w:t>
      </w:r>
      <w:r w:rsidR="009C32A0" w:rsidRPr="005675B2">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 (</w:t>
      </w:r>
      <w:r w:rsidR="009C32A0" w:rsidRPr="005675B2">
        <w:rPr>
          <w:rFonts w:hint="cs"/>
          <w:rtl/>
        </w:rPr>
        <w:t>ظ</w:t>
      </w:r>
      <w:r>
        <w:rPr>
          <w:rFonts w:hint="cs"/>
          <w:rtl/>
        </w:rPr>
        <w:t>)</w:t>
      </w:r>
      <w:r w:rsidR="009C32A0" w:rsidRPr="005675B2">
        <w:rPr>
          <w:rFonts w:hint="cs"/>
          <w:rtl/>
        </w:rPr>
        <w:t xml:space="preserve"> </w:t>
      </w:r>
      <w:r w:rsidR="009C32A0" w:rsidRPr="005675B2">
        <w:rPr>
          <w:rFonts w:hint="cs"/>
          <w:rtl/>
          <w:lang w:bidi="ar-KW"/>
        </w:rPr>
        <w:t xml:space="preserve">ومن الادلة على تنزيه الله تعالى عن الزمان أنّ الزمان هو عبارة عن أثر </w:t>
      </w:r>
      <w:r w:rsidR="009C32A0" w:rsidRPr="005675B2">
        <w:rPr>
          <w:rFonts w:hint="cs"/>
          <w:rtl/>
        </w:rPr>
        <w:t>الحركة الحادثة في المكان</w:t>
      </w:r>
      <w:r>
        <w:rPr>
          <w:rFonts w:hint="cs"/>
          <w:rtl/>
        </w:rPr>
        <w:t>،</w:t>
      </w:r>
      <w:r w:rsidR="009C32A0" w:rsidRPr="005675B2">
        <w:rPr>
          <w:rFonts w:hint="cs"/>
          <w:rtl/>
        </w:rPr>
        <w:t xml:space="preserve"> ولولا الحركة في المكان لما كان هناك زمان</w:t>
      </w:r>
      <w:r>
        <w:rPr>
          <w:rFonts w:hint="cs"/>
          <w:rtl/>
        </w:rPr>
        <w:t>،</w:t>
      </w:r>
      <w:r w:rsidR="009C32A0" w:rsidRPr="005675B2">
        <w:rPr>
          <w:rFonts w:hint="cs"/>
          <w:rtl/>
        </w:rPr>
        <w:t xml:space="preserve"> وإجماع أهل الأصول على أن المكان متقدم على الزمان</w:t>
      </w:r>
      <w:r>
        <w:rPr>
          <w:rFonts w:hint="cs"/>
          <w:rtl/>
        </w:rPr>
        <w:t>،</w:t>
      </w:r>
      <w:r w:rsidR="009C32A0" w:rsidRPr="005675B2">
        <w:rPr>
          <w:rFonts w:hint="cs"/>
          <w:rtl/>
        </w:rPr>
        <w:t xml:space="preserve"> وإذا كان الله تعالى كان قبل المكان ثم خلق المكان فمن الضرورة أنه كان قبل الزمان ثم خلق الزمان</w:t>
      </w:r>
      <w:r>
        <w:rPr>
          <w:rFonts w:hint="cs"/>
          <w:rtl/>
        </w:rPr>
        <w:t>،</w:t>
      </w:r>
      <w:r w:rsidR="009C32A0" w:rsidRPr="005675B2">
        <w:rPr>
          <w:rFonts w:hint="cs"/>
          <w:rtl/>
        </w:rPr>
        <w:t xml:space="preserve"> وإذا كان الله تعالى غني عن المكان غنى الخالق عن مخلوقه فإن الله تعالى غني عن الزمان فلا يحويه مكان ولا يجري عليه زمان</w:t>
      </w:r>
      <w:r>
        <w:rPr>
          <w:rFonts w:hint="cs"/>
          <w:rtl/>
        </w:rPr>
        <w:t>،</w:t>
      </w:r>
      <w:r w:rsidR="009C32A0" w:rsidRPr="005675B2">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 (</w:t>
      </w:r>
      <w:r w:rsidR="009C32A0" w:rsidRPr="005675B2">
        <w:rPr>
          <w:rFonts w:hint="cs"/>
          <w:rtl/>
        </w:rPr>
        <w:t>ع</w:t>
      </w:r>
      <w:r>
        <w:rPr>
          <w:rFonts w:hint="cs"/>
          <w:rtl/>
        </w:rPr>
        <w:t>)</w:t>
      </w:r>
      <w:r w:rsidR="009C32A0" w:rsidRPr="005675B2">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9C32A0" w:rsidRPr="005675B2">
        <w:rPr>
          <w:rFonts w:hint="cs"/>
          <w:rtl/>
        </w:rPr>
        <w:t xml:space="preserve"> فهذا نقول له رويدك فهذا الذي تقوله على وفق المحسوس الذي تشاهده والمخلوق الذي لا ترى غيره</w:t>
      </w:r>
      <w:r>
        <w:rPr>
          <w:rFonts w:hint="cs"/>
          <w:rtl/>
        </w:rPr>
        <w:t>،</w:t>
      </w:r>
      <w:r w:rsidR="009C32A0" w:rsidRPr="005675B2">
        <w:rPr>
          <w:rFonts w:hint="cs"/>
          <w:rtl/>
        </w:rPr>
        <w:t>ثم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9C32A0" w:rsidRPr="005675B2">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w:t>
      </w:r>
      <w:r w:rsidR="009C32A0" w:rsidRPr="005675B2">
        <w:rPr>
          <w:rFonts w:hint="cs"/>
          <w:rtl/>
        </w:rPr>
        <w:lastRenderedPageBreak/>
        <w:t>أقرب إلينا من حبل الوريد ليس كمثله في قربه شيء منزه عن الحلول والتحيز وعن الأفول والتغير</w:t>
      </w:r>
      <w:r>
        <w:rPr>
          <w:rFonts w:hint="cs"/>
          <w:rtl/>
        </w:rPr>
        <w:t>،</w:t>
      </w:r>
      <w:r w:rsidR="009C32A0" w:rsidRPr="005675B2">
        <w:rPr>
          <w:rFonts w:hint="cs"/>
          <w:rtl/>
        </w:rPr>
        <w:t>والحاصل أن القسمة ثلاثية ساكن ومتحرك لهما أمثال كثيرة ومنزه عن السكون والحركة ليس كمثله شيء</w:t>
      </w:r>
      <w:r>
        <w:rPr>
          <w:rFonts w:hint="cs"/>
          <w:rtl/>
        </w:rPr>
        <w:t>، (</w:t>
      </w:r>
      <w:r w:rsidR="009C32A0" w:rsidRPr="005675B2">
        <w:rPr>
          <w:rFonts w:hint="cs"/>
          <w:rtl/>
        </w:rPr>
        <w:t>غ</w:t>
      </w:r>
      <w:r>
        <w:rPr>
          <w:rFonts w:hint="cs"/>
          <w:rtl/>
        </w:rPr>
        <w:t>)</w:t>
      </w:r>
      <w:r w:rsidR="009C32A0" w:rsidRPr="005675B2">
        <w:rPr>
          <w:rFonts w:hint="cs"/>
          <w:rtl/>
        </w:rPr>
        <w:t xml:space="preserve"> </w:t>
      </w:r>
      <w:r w:rsidR="009C32A0" w:rsidRPr="005675B2">
        <w:rPr>
          <w:rFonts w:hint="cs"/>
          <w:snapToGrid w:val="0"/>
          <w:rtl/>
        </w:rPr>
        <w:t>الله تعالى كان ولا مكان ولا زمان ثم خلق المكان والزمان</w:t>
      </w:r>
      <w:r>
        <w:rPr>
          <w:rFonts w:hint="cs"/>
          <w:snapToGrid w:val="0"/>
          <w:rtl/>
        </w:rPr>
        <w:t>،</w:t>
      </w:r>
      <w:r w:rsidR="009C32A0" w:rsidRPr="005675B2">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Pr>
          <w:rFonts w:hint="cs"/>
          <w:snapToGrid w:val="0"/>
          <w:rtl/>
        </w:rPr>
        <w:t>،</w:t>
      </w:r>
      <w:r w:rsidR="009C32A0" w:rsidRPr="005675B2">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9C32A0" w:rsidRPr="005675B2">
        <w:rPr>
          <w:rFonts w:hint="cs"/>
          <w:snapToGrid w:val="0"/>
          <w:rtl/>
        </w:rPr>
        <w:t>كان الله ولم يكن معه غيره</w:t>
      </w:r>
      <w:r>
        <w:rPr>
          <w:rFonts w:hint="cs"/>
          <w:snapToGrid w:val="0"/>
          <w:rtl/>
        </w:rPr>
        <w:t>)</w:t>
      </w:r>
      <w:r w:rsidR="009C32A0" w:rsidRPr="005675B2">
        <w:rPr>
          <w:rFonts w:hint="cs"/>
          <w:snapToGrid w:val="0"/>
          <w:rtl/>
        </w:rPr>
        <w:t xml:space="preserve"> أخرجه البخاري</w:t>
      </w:r>
      <w:r>
        <w:rPr>
          <w:rFonts w:hint="cs"/>
          <w:rtl/>
        </w:rPr>
        <w:t>، (</w:t>
      </w:r>
      <w:r w:rsidR="009C32A0" w:rsidRPr="005675B2">
        <w:rPr>
          <w:rFonts w:hint="cs"/>
          <w:rtl/>
        </w:rPr>
        <w:t>ف</w:t>
      </w:r>
      <w:r>
        <w:rPr>
          <w:rFonts w:hint="cs"/>
          <w:rtl/>
        </w:rPr>
        <w:t>)</w:t>
      </w:r>
      <w:r w:rsidR="009C32A0" w:rsidRPr="005675B2">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Pr>
          <w:rFonts w:hint="cs"/>
          <w:rtl/>
          <w:lang w:bidi="ar-KW"/>
        </w:rPr>
        <w:t>(</w:t>
      </w:r>
      <w:r w:rsidR="009C32A0" w:rsidRPr="005675B2">
        <w:rPr>
          <w:rFonts w:hint="cs"/>
          <w:rtl/>
          <w:lang w:bidi="ar-KW"/>
        </w:rPr>
        <w:t>ق</w:t>
      </w:r>
      <w:r>
        <w:rPr>
          <w:rFonts w:hint="cs"/>
          <w:rtl/>
          <w:lang w:bidi="ar-KW"/>
        </w:rPr>
        <w:t>)</w:t>
      </w:r>
      <w:r w:rsidR="009C32A0" w:rsidRPr="005675B2">
        <w:rPr>
          <w:rFonts w:hint="cs"/>
          <w:rtl/>
          <w:lang w:bidi="ar-KW"/>
        </w:rPr>
        <w:t xml:space="preserve"> أخطأت الطائفة السلفية المعاصرة خطأ جسيما عندما كيفوا وجود الله وقاسوا وجود الله تعالى على وجود المخلوق</w:t>
      </w:r>
      <w:r>
        <w:rPr>
          <w:rFonts w:hint="cs"/>
          <w:rtl/>
          <w:lang w:bidi="ar-KW"/>
        </w:rPr>
        <w:t>،</w:t>
      </w:r>
      <w:r w:rsidR="009C32A0" w:rsidRPr="005675B2">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9C32A0" w:rsidRPr="005675B2">
        <w:rPr>
          <w:rFonts w:hint="cs"/>
          <w:rtl/>
          <w:lang w:bidi="ar-KW"/>
        </w:rPr>
        <w:t xml:space="preserve"> ونسوا إن الله ليس كمثله شيء وليس له مثيل وليس كوجوده وجود</w:t>
      </w:r>
      <w:r>
        <w:rPr>
          <w:rFonts w:hint="cs"/>
          <w:rtl/>
          <w:lang w:bidi="ar-KW"/>
        </w:rPr>
        <w:t>،</w:t>
      </w:r>
      <w:r w:rsidR="009C32A0" w:rsidRPr="005675B2">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ك</w:t>
      </w:r>
      <w:r>
        <w:rPr>
          <w:rFonts w:hint="cs"/>
          <w:rtl/>
          <w:lang w:bidi="ar-KW"/>
        </w:rPr>
        <w:t>)</w:t>
      </w:r>
      <w:r w:rsidR="009C32A0" w:rsidRPr="005675B2">
        <w:rPr>
          <w:rFonts w:hint="cs"/>
          <w:rtl/>
          <w:lang w:bidi="ar-KW"/>
        </w:rPr>
        <w:t xml:space="preserve"> وأخطأت الطائفة السلفية المعاصرة خطأ جسيما أيضاً</w:t>
      </w:r>
      <w:r>
        <w:rPr>
          <w:rFonts w:hint="cs"/>
          <w:rtl/>
          <w:lang w:bidi="ar-KW"/>
        </w:rPr>
        <w:t>:</w:t>
      </w:r>
      <w:r w:rsidR="009C32A0" w:rsidRPr="005675B2">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9C32A0" w:rsidRPr="005675B2">
        <w:rPr>
          <w:rFonts w:hint="cs"/>
          <w:rtl/>
          <w:lang w:bidi="ar-KW"/>
        </w:rPr>
        <w:t>- هل هو</w:t>
      </w:r>
      <w:r>
        <w:rPr>
          <w:rFonts w:hint="cs"/>
          <w:rtl/>
          <w:lang w:bidi="ar-KW"/>
        </w:rPr>
        <w:t xml:space="preserve"> (</w:t>
      </w:r>
      <w:r w:rsidR="009C32A0" w:rsidRPr="005675B2">
        <w:rPr>
          <w:rFonts w:hint="cs"/>
          <w:rtl/>
          <w:lang w:bidi="ar-KW"/>
        </w:rPr>
        <w:t>سبحانه</w:t>
      </w:r>
      <w:r>
        <w:rPr>
          <w:rFonts w:hint="cs"/>
          <w:rtl/>
          <w:lang w:bidi="ar-KW"/>
        </w:rPr>
        <w:t>)</w:t>
      </w:r>
      <w:r w:rsidR="009C32A0" w:rsidRPr="005675B2">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9C32A0" w:rsidRPr="005675B2">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w:t>
      </w:r>
      <w:r w:rsidR="009C32A0" w:rsidRPr="005675B2">
        <w:rPr>
          <w:rFonts w:hint="cs"/>
          <w:rtl/>
          <w:lang w:bidi="ar-KW"/>
        </w:rPr>
        <w:t>ل</w:t>
      </w:r>
      <w:r>
        <w:rPr>
          <w:rFonts w:hint="cs"/>
          <w:rtl/>
          <w:lang w:bidi="ar-KW"/>
        </w:rPr>
        <w:t>)</w:t>
      </w:r>
      <w:r w:rsidR="009C32A0" w:rsidRPr="005675B2">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9C32A0" w:rsidRPr="005675B2">
        <w:rPr>
          <w:rFonts w:hint="cs"/>
          <w:rtl/>
          <w:lang w:bidi="ar-KW"/>
        </w:rPr>
        <w:t xml:space="preserve"> وأعظم به من منهاج</w:t>
      </w:r>
      <w:r>
        <w:rPr>
          <w:rFonts w:hint="cs"/>
          <w:rtl/>
          <w:lang w:bidi="ar-KW"/>
        </w:rPr>
        <w:t>،</w:t>
      </w:r>
      <w:r w:rsidR="009C32A0" w:rsidRPr="005675B2">
        <w:rPr>
          <w:rFonts w:hint="cs"/>
          <w:rtl/>
          <w:lang w:bidi="ar-KW"/>
        </w:rPr>
        <w:t xml:space="preserve"> ولكن لم يكن لهم توسع في دراسة أدلة تنزيه الذات من الكتاب والسنة</w:t>
      </w:r>
      <w:r>
        <w:rPr>
          <w:rFonts w:hint="cs"/>
          <w:rtl/>
          <w:lang w:bidi="ar-KW"/>
        </w:rPr>
        <w:t>،</w:t>
      </w:r>
      <w:r w:rsidR="009C32A0" w:rsidRPr="005675B2">
        <w:rPr>
          <w:rFonts w:hint="cs"/>
          <w:rtl/>
          <w:lang w:bidi="ar-KW"/>
        </w:rPr>
        <w:t xml:space="preserve"> ولهذا نرى بعضهم يجيز على الله تعالى </w:t>
      </w:r>
      <w:r w:rsidR="009C32A0" w:rsidRPr="005675B2">
        <w:rPr>
          <w:rFonts w:hint="cs"/>
          <w:rtl/>
          <w:lang w:bidi="ar-KW"/>
        </w:rPr>
        <w:lastRenderedPageBreak/>
        <w:t>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9C32A0" w:rsidRPr="005675B2">
        <w:rPr>
          <w:rFonts w:hint="cs"/>
          <w:rtl/>
          <w:lang w:bidi="ar-KW"/>
        </w:rPr>
        <w:t xml:space="preserve"> ولو تواضعوا للعلم ودرسوا</w:t>
      </w:r>
      <w:r>
        <w:rPr>
          <w:rFonts w:hint="cs"/>
          <w:rtl/>
          <w:lang w:bidi="ar-KW"/>
        </w:rPr>
        <w:t xml:space="preserve"> (</w:t>
      </w:r>
      <w:r w:rsidR="009C32A0" w:rsidRPr="005675B2">
        <w:rPr>
          <w:rFonts w:hint="cs"/>
          <w:rtl/>
          <w:lang w:bidi="ar-KW"/>
        </w:rPr>
        <w:t>علم توحيد الذات</w:t>
      </w:r>
      <w:r>
        <w:rPr>
          <w:rFonts w:hint="cs"/>
          <w:rtl/>
          <w:lang w:bidi="ar-KW"/>
        </w:rPr>
        <w:t>)</w:t>
      </w:r>
      <w:r w:rsidR="009C32A0" w:rsidRPr="005675B2">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9C32A0" w:rsidRPr="005675B2">
        <w:rPr>
          <w:rFonts w:hint="cs"/>
          <w:rtl/>
          <w:lang w:bidi="ar-KW"/>
        </w:rPr>
        <w:t>أدنى مرتبة من العوام</w:t>
      </w:r>
      <w:r>
        <w:rPr>
          <w:rFonts w:hint="cs"/>
          <w:rtl/>
          <w:lang w:bidi="ar-KW"/>
        </w:rPr>
        <w:t>،</w:t>
      </w:r>
      <w:r w:rsidR="009C32A0" w:rsidRPr="005675B2">
        <w:rPr>
          <w:rFonts w:hint="cs"/>
          <w:rtl/>
          <w:lang w:bidi="ar-KW"/>
        </w:rPr>
        <w:t xml:space="preserve"> لا يحترمون تخصصات أهل العلم بخاصة أهل الأصول</w:t>
      </w:r>
      <w:r>
        <w:rPr>
          <w:rFonts w:hint="cs"/>
          <w:rtl/>
          <w:lang w:bidi="ar-KW"/>
        </w:rPr>
        <w:t>،</w:t>
      </w:r>
      <w:r w:rsidR="009C32A0" w:rsidRPr="005675B2">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9C32A0" w:rsidRPr="005675B2">
        <w:rPr>
          <w:rFonts w:hint="cs"/>
          <w:rtl/>
          <w:lang w:bidi="ar-KW"/>
        </w:rPr>
        <w:t xml:space="preserve"> نسأل الله تعالى لنا ولهم الهداية</w:t>
      </w:r>
      <w:r>
        <w:rPr>
          <w:rFonts w:hint="cs"/>
          <w:rtl/>
          <w:lang w:bidi="ar-KW"/>
        </w:rPr>
        <w:t>،</w:t>
      </w:r>
      <w:r w:rsidR="009C32A0" w:rsidRPr="005675B2">
        <w:rPr>
          <w:rFonts w:hint="cs"/>
          <w:rtl/>
          <w:lang w:bidi="ar-KW"/>
        </w:rPr>
        <w:t xml:space="preserve"> ومن يرد الله به خيرا يفقه في الدين</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م</w:t>
      </w:r>
      <w:r>
        <w:rPr>
          <w:rFonts w:hint="cs"/>
          <w:rtl/>
          <w:lang w:bidi="ar-KW"/>
        </w:rPr>
        <w:t>)</w:t>
      </w:r>
      <w:r w:rsidR="009C32A0" w:rsidRPr="005675B2">
        <w:rPr>
          <w:rFonts w:hint="cs"/>
          <w:rtl/>
          <w:lang w:bidi="ar-KW"/>
        </w:rPr>
        <w:t xml:space="preserve"> وهم مع ذلك متناقضون يفسرون الآيات وفق ما رسخ في أذهانهم من الحشو والتمثيل</w:t>
      </w:r>
      <w:r>
        <w:rPr>
          <w:rFonts w:hint="cs"/>
          <w:rtl/>
          <w:lang w:bidi="ar-KW"/>
        </w:rPr>
        <w:t>،</w:t>
      </w:r>
      <w:r w:rsidR="009C32A0" w:rsidRPr="005675B2">
        <w:rPr>
          <w:rFonts w:hint="cs"/>
          <w:rtl/>
          <w:lang w:bidi="ar-KW"/>
        </w:rPr>
        <w:t xml:space="preserve"> يؤولون آيات الإحاطة في مثل قوله تعالى </w:t>
      </w:r>
      <w:r>
        <w:rPr>
          <w:rFonts w:hint="cs"/>
          <w:rtl/>
          <w:lang w:bidi="ar-KW"/>
        </w:rPr>
        <w:t>(</w:t>
      </w:r>
      <w:r w:rsidR="009C32A0" w:rsidRPr="005675B2">
        <w:rPr>
          <w:rFonts w:hint="cs"/>
          <w:rtl/>
          <w:lang w:bidi="ar-KW"/>
        </w:rPr>
        <w:t>والله بكل شيء محيط</w:t>
      </w:r>
      <w:r>
        <w:rPr>
          <w:rFonts w:hint="cs"/>
          <w:rtl/>
          <w:lang w:bidi="ar-KW"/>
        </w:rPr>
        <w:t>)</w:t>
      </w:r>
      <w:r w:rsidR="009C32A0" w:rsidRPr="005675B2">
        <w:rPr>
          <w:rFonts w:hint="cs"/>
          <w:rtl/>
          <w:lang w:bidi="ar-KW"/>
        </w:rPr>
        <w:t xml:space="preserve"> وقوله تعالى </w:t>
      </w:r>
      <w:r>
        <w:rPr>
          <w:rFonts w:hint="cs"/>
          <w:rtl/>
          <w:lang w:bidi="ar-KW"/>
        </w:rPr>
        <w:t>(</w:t>
      </w:r>
      <w:r w:rsidR="009C32A0" w:rsidRPr="005675B2">
        <w:rPr>
          <w:rFonts w:hint="cs"/>
          <w:rtl/>
          <w:lang w:bidi="ar-KW"/>
        </w:rPr>
        <w:t>وكان الله بكل شيء محيطا</w:t>
      </w:r>
      <w:r>
        <w:rPr>
          <w:rFonts w:hint="cs"/>
          <w:rtl/>
          <w:lang w:bidi="ar-KW"/>
        </w:rPr>
        <w:t>)</w:t>
      </w:r>
      <w:r w:rsidR="009C32A0" w:rsidRPr="005675B2">
        <w:rPr>
          <w:rFonts w:hint="cs"/>
          <w:rtl/>
          <w:lang w:bidi="ar-KW"/>
        </w:rPr>
        <w:t xml:space="preserve"> بالعلم والقدرة يؤولون آيات القرب في مثل قوله تعالى </w:t>
      </w:r>
      <w:r>
        <w:rPr>
          <w:rFonts w:hint="cs"/>
          <w:rtl/>
          <w:lang w:bidi="ar-KW"/>
        </w:rPr>
        <w:t>(</w:t>
      </w:r>
      <w:r w:rsidR="009C32A0" w:rsidRPr="005675B2">
        <w:rPr>
          <w:rFonts w:hint="cs"/>
          <w:rtl/>
          <w:lang w:bidi="ar-KW"/>
        </w:rPr>
        <w:t>فإني قريب</w:t>
      </w:r>
      <w:r>
        <w:rPr>
          <w:rFonts w:hint="cs"/>
          <w:rtl/>
          <w:lang w:bidi="ar-KW"/>
        </w:rPr>
        <w:t>)</w:t>
      </w:r>
      <w:r w:rsidR="009C32A0" w:rsidRPr="005675B2">
        <w:rPr>
          <w:rFonts w:hint="cs"/>
          <w:rtl/>
          <w:lang w:bidi="ar-KW"/>
        </w:rPr>
        <w:t xml:space="preserve"> وقوله تعالى </w:t>
      </w:r>
      <w:r>
        <w:rPr>
          <w:rFonts w:hint="cs"/>
          <w:rtl/>
          <w:lang w:bidi="ar-KW"/>
        </w:rPr>
        <w:t>(</w:t>
      </w:r>
      <w:r w:rsidR="009C32A0" w:rsidRPr="005675B2">
        <w:rPr>
          <w:rFonts w:hint="cs"/>
          <w:rtl/>
          <w:lang w:bidi="ar-KW"/>
        </w:rPr>
        <w:t>ونحن أقرب إليه منكم ولكن لا تبصرون</w:t>
      </w:r>
      <w:r>
        <w:rPr>
          <w:rFonts w:hint="cs"/>
          <w:rtl/>
          <w:lang w:bidi="ar-KW"/>
        </w:rPr>
        <w:t>)</w:t>
      </w:r>
      <w:r w:rsidR="009C32A0" w:rsidRPr="005675B2">
        <w:rPr>
          <w:rFonts w:hint="cs"/>
          <w:rtl/>
          <w:lang w:bidi="ar-KW"/>
        </w:rPr>
        <w:t xml:space="preserve"> وقوله تعالى </w:t>
      </w:r>
      <w:r>
        <w:rPr>
          <w:rFonts w:hint="cs"/>
          <w:rtl/>
          <w:lang w:bidi="ar-KW"/>
        </w:rPr>
        <w:t>(</w:t>
      </w:r>
      <w:r w:rsidR="009C32A0" w:rsidRPr="005675B2">
        <w:rPr>
          <w:rFonts w:hint="cs"/>
          <w:rtl/>
          <w:lang w:bidi="ar-KW"/>
        </w:rPr>
        <w:t>ونحن أقرب إليه من حبل الوريد</w:t>
      </w:r>
      <w:r>
        <w:rPr>
          <w:rFonts w:hint="cs"/>
          <w:rtl/>
          <w:lang w:bidi="ar-KW"/>
        </w:rPr>
        <w:t>)</w:t>
      </w:r>
      <w:r w:rsidR="009C32A0" w:rsidRPr="005675B2">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9C32A0" w:rsidRPr="005675B2">
        <w:rPr>
          <w:rFonts w:hint="cs"/>
          <w:rtl/>
          <w:lang w:bidi="ar-KW"/>
        </w:rPr>
        <w:t>سبحانه</w:t>
      </w:r>
      <w:r>
        <w:rPr>
          <w:rFonts w:hint="cs"/>
          <w:rtl/>
          <w:lang w:bidi="ar-KW"/>
        </w:rPr>
        <w:t>)</w:t>
      </w:r>
      <w:r w:rsidR="009C32A0" w:rsidRPr="005675B2">
        <w:rPr>
          <w:rFonts w:hint="cs"/>
          <w:rtl/>
          <w:lang w:bidi="ar-KW"/>
        </w:rPr>
        <w:t xml:space="preserve"> فمن أين جاءوا من كتاب أو سنة أنه </w:t>
      </w:r>
      <w:r>
        <w:rPr>
          <w:rFonts w:hint="cs"/>
          <w:rtl/>
          <w:lang w:bidi="ar-KW"/>
        </w:rPr>
        <w:t>(</w:t>
      </w:r>
      <w:r w:rsidR="009C32A0" w:rsidRPr="005675B2">
        <w:rPr>
          <w:rFonts w:hint="cs"/>
          <w:rtl/>
          <w:lang w:bidi="ar-KW"/>
        </w:rPr>
        <w:t>بذاته</w:t>
      </w:r>
      <w:r>
        <w:rPr>
          <w:rFonts w:hint="cs"/>
          <w:rtl/>
          <w:lang w:bidi="ar-KW"/>
        </w:rPr>
        <w:t>)،</w:t>
      </w:r>
      <w:r w:rsidR="009C32A0" w:rsidRPr="005675B2">
        <w:rPr>
          <w:rFonts w:hint="cs"/>
          <w:rtl/>
          <w:lang w:bidi="ar-KW"/>
        </w:rPr>
        <w:t xml:space="preserve"> ولم لا يكون استواء ربوبية وقهر كما أن القرب قرب علم وقدرة</w:t>
      </w:r>
      <w:r>
        <w:rPr>
          <w:rFonts w:hint="cs"/>
          <w:rtl/>
          <w:lang w:bidi="ar-KW"/>
        </w:rPr>
        <w:t xml:space="preserve">، </w:t>
      </w:r>
      <w:r w:rsidR="009C32A0" w:rsidRPr="005675B2">
        <w:rPr>
          <w:rFonts w:hint="cs"/>
          <w:rtl/>
          <w:lang w:bidi="ar-KW"/>
        </w:rPr>
        <w:t xml:space="preserve">وقد قال الله تعالى _ مرشدا إياهم أن الأماكن كلها ملك لله _ </w:t>
      </w:r>
      <w:r>
        <w:rPr>
          <w:rFonts w:hint="cs"/>
          <w:rtl/>
          <w:lang w:bidi="ar-KW"/>
        </w:rPr>
        <w:t>(</w:t>
      </w:r>
      <w:r w:rsidR="009C32A0" w:rsidRPr="005675B2">
        <w:rPr>
          <w:rFonts w:hint="cs"/>
          <w:rtl/>
          <w:lang w:bidi="ar-KW"/>
        </w:rPr>
        <w:t>ولله المشرق والمغرب فأينما تولوا فثم وجه الله إن الله واسع عليم</w:t>
      </w:r>
      <w:r>
        <w:rPr>
          <w:rFonts w:hint="cs"/>
          <w:rtl/>
          <w:lang w:bidi="ar-KW"/>
        </w:rPr>
        <w:t>)،</w:t>
      </w:r>
      <w:r w:rsidR="009C32A0" w:rsidRPr="005675B2">
        <w:rPr>
          <w:rFonts w:hint="cs"/>
          <w:rtl/>
          <w:lang w:bidi="ar-KW"/>
        </w:rPr>
        <w:t xml:space="preserve"> </w:t>
      </w:r>
      <w:r>
        <w:rPr>
          <w:rFonts w:hint="cs"/>
          <w:rtl/>
          <w:lang w:bidi="ar-KW"/>
        </w:rPr>
        <w:t>((</w:t>
      </w:r>
      <w:r w:rsidR="009C32A0">
        <w:rPr>
          <w:rFonts w:hint="cs"/>
          <w:rtl/>
          <w:lang w:bidi="ar-KW"/>
        </w:rPr>
        <w:t>تنبيه</w:t>
      </w:r>
      <w:r>
        <w:rPr>
          <w:rFonts w:hint="cs"/>
          <w:rtl/>
          <w:lang w:bidi="ar-KW"/>
        </w:rPr>
        <w:t>)):</w:t>
      </w:r>
      <w:r w:rsidR="009C32A0" w:rsidRPr="005675B2">
        <w:rPr>
          <w:rFonts w:hint="cs"/>
          <w:rtl/>
          <w:lang w:bidi="ar-KW"/>
        </w:rPr>
        <w:t xml:space="preserve"> تنزيه الخالق سبحانه عن المكان ليس معناه أن الله في كل مكان إذ المكان مهما كبر فهو محدود والله تنزه عن الحدود</w:t>
      </w:r>
      <w:r>
        <w:rPr>
          <w:rFonts w:hint="cs"/>
          <w:rtl/>
          <w:lang w:bidi="ar-KW"/>
        </w:rPr>
        <w:t>،</w:t>
      </w:r>
      <w:r w:rsidR="009C32A0" w:rsidRPr="005675B2">
        <w:rPr>
          <w:rFonts w:hint="cs"/>
          <w:rtl/>
          <w:lang w:bidi="ar-KW"/>
        </w:rPr>
        <w:t xml:space="preserve"> والإحاطة في قوله تعالى </w:t>
      </w:r>
      <w:r>
        <w:rPr>
          <w:rFonts w:hint="cs"/>
          <w:rtl/>
          <w:lang w:bidi="ar-KW"/>
        </w:rPr>
        <w:t>{</w:t>
      </w:r>
      <w:r w:rsidR="009C32A0" w:rsidRPr="005675B2">
        <w:rPr>
          <w:rFonts w:hint="cs"/>
          <w:rtl/>
          <w:lang w:bidi="ar-KW"/>
        </w:rPr>
        <w:t>والله بكل شيء محيط</w:t>
      </w:r>
      <w:r>
        <w:rPr>
          <w:rFonts w:hint="cs"/>
          <w:rtl/>
          <w:lang w:bidi="ar-KW"/>
        </w:rPr>
        <w:t>}</w:t>
      </w:r>
      <w:r w:rsidR="009C32A0" w:rsidRPr="005675B2">
        <w:rPr>
          <w:rFonts w:hint="cs"/>
          <w:rtl/>
          <w:lang w:bidi="ar-KW"/>
        </w:rPr>
        <w:t xml:space="preserve"> ليس معناها أن الكون كله داخل في ذات الله </w:t>
      </w:r>
      <w:r>
        <w:rPr>
          <w:rFonts w:hint="cs"/>
          <w:rtl/>
          <w:lang w:bidi="ar-KW"/>
        </w:rPr>
        <w:t>(</w:t>
      </w:r>
      <w:r w:rsidR="009C32A0" w:rsidRPr="005675B2">
        <w:rPr>
          <w:rFonts w:hint="cs"/>
          <w:rtl/>
          <w:lang w:bidi="ar-KW"/>
        </w:rPr>
        <w:t>سبحانه</w:t>
      </w:r>
      <w:r>
        <w:rPr>
          <w:rFonts w:hint="cs"/>
          <w:rtl/>
          <w:lang w:bidi="ar-KW"/>
        </w:rPr>
        <w:t>)</w:t>
      </w:r>
      <w:r w:rsidR="009C32A0" w:rsidRPr="005675B2">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9C32A0" w:rsidRPr="005675B2">
        <w:rPr>
          <w:rFonts w:hint="cs"/>
          <w:rtl/>
          <w:lang w:bidi="ar-KW"/>
        </w:rPr>
        <w:t>تنزه عن كل ما خطر بقلوب البشر له الكمال والتنزيه المطلقين في ذاته وصفاته وافعاله ليس كمثله شيء ولا نحيط به علما</w:t>
      </w:r>
      <w:r>
        <w:rPr>
          <w:rFonts w:hint="cs"/>
          <w:rtl/>
          <w:lang w:bidi="ar-KW"/>
        </w:rPr>
        <w:t>،</w:t>
      </w:r>
      <w:r w:rsidR="009C32A0" w:rsidRPr="005675B2">
        <w:rPr>
          <w:rFonts w:hint="cs"/>
          <w:rtl/>
          <w:lang w:bidi="ar-KW"/>
        </w:rPr>
        <w:t xml:space="preserve"> نعجز عن ادراك ذاته</w:t>
      </w:r>
      <w:r>
        <w:rPr>
          <w:rFonts w:hint="cs"/>
          <w:rtl/>
          <w:lang w:bidi="ar-KW"/>
        </w:rPr>
        <w:t>،</w:t>
      </w:r>
      <w:r w:rsidR="009C32A0" w:rsidRPr="005675B2">
        <w:rPr>
          <w:rFonts w:hint="cs"/>
          <w:rtl/>
          <w:lang w:bidi="ar-KW"/>
        </w:rPr>
        <w:t xml:space="preserve"> ولا نستطيع ان نقدره قدره</w:t>
      </w:r>
      <w:r>
        <w:rPr>
          <w:rFonts w:hint="cs"/>
          <w:rtl/>
          <w:lang w:bidi="ar-KW"/>
        </w:rPr>
        <w:t>،</w:t>
      </w:r>
      <w:r w:rsidR="009C32A0" w:rsidRPr="005675B2">
        <w:rPr>
          <w:rFonts w:hint="cs"/>
          <w:rtl/>
          <w:lang w:bidi="ar-KW"/>
        </w:rPr>
        <w:t xml:space="preserve"> لا نحصي ثناءً عليه</w:t>
      </w:r>
      <w:r>
        <w:rPr>
          <w:rFonts w:hint="cs"/>
          <w:rtl/>
          <w:lang w:bidi="ar-KW"/>
        </w:rPr>
        <w:t>،</w:t>
      </w:r>
      <w:r w:rsidR="009C32A0" w:rsidRPr="005675B2">
        <w:rPr>
          <w:rFonts w:hint="cs"/>
          <w:rtl/>
          <w:lang w:bidi="ar-KW"/>
        </w:rPr>
        <w:t xml:space="preserve"> هو كما أثنى على نفسه</w:t>
      </w:r>
      <w:r>
        <w:rPr>
          <w:rFonts w:hint="cs"/>
          <w:rtl/>
          <w:lang w:bidi="ar-KW"/>
        </w:rPr>
        <w:t>،</w:t>
      </w:r>
      <w:r w:rsidR="009C32A0" w:rsidRPr="005675B2">
        <w:rPr>
          <w:rFonts w:hint="cs"/>
          <w:rtl/>
          <w:lang w:bidi="ar-KW"/>
        </w:rPr>
        <w:t xml:space="preserve"> </w:t>
      </w:r>
      <w:r>
        <w:rPr>
          <w:rFonts w:hint="cs"/>
          <w:bCs/>
          <w:rtl/>
        </w:rPr>
        <w:t>(</w:t>
      </w:r>
      <w:r w:rsidR="009C32A0" w:rsidRPr="005675B2">
        <w:rPr>
          <w:rFonts w:hint="cs"/>
          <w:bCs/>
          <w:rtl/>
        </w:rPr>
        <w:t>ن</w:t>
      </w:r>
      <w:r>
        <w:rPr>
          <w:rFonts w:hint="cs"/>
          <w:bCs/>
          <w:rtl/>
        </w:rPr>
        <w:t>)</w:t>
      </w:r>
      <w:r w:rsidR="009C32A0" w:rsidRPr="005675B2">
        <w:rPr>
          <w:rFonts w:hint="cs"/>
          <w:bCs/>
          <w:rtl/>
        </w:rPr>
        <w:t xml:space="preserve"> من أقوال علماء أهل السنّة والجماعة في تنزيه الله تعالى عن المكان والزمان</w:t>
      </w:r>
      <w:r>
        <w:rPr>
          <w:rFonts w:hint="cs"/>
          <w:bCs/>
          <w:rtl/>
        </w:rPr>
        <w:t>:</w:t>
      </w:r>
      <w:r w:rsidR="009C32A0" w:rsidRPr="005675B2">
        <w:rPr>
          <w:rFonts w:hint="cs"/>
          <w:bCs/>
          <w:rtl/>
        </w:rPr>
        <w:t xml:space="preserve"> </w:t>
      </w:r>
      <w:r w:rsidR="009C32A0" w:rsidRPr="005675B2">
        <w:rPr>
          <w:rFonts w:hint="cs"/>
          <w:rtl/>
        </w:rPr>
        <w:t xml:space="preserve">علماء أهل السنة والجماعة </w:t>
      </w:r>
      <w:r w:rsidR="009C32A0" w:rsidRPr="005675B2">
        <w:rPr>
          <w:rFonts w:hint="cs"/>
          <w:rtl/>
          <w:lang w:bidi="ar-KW"/>
        </w:rPr>
        <w:t>المتخصصون في علم العقيدة متفقون على تنزيه الله تعالى عن المكان والزمان</w:t>
      </w:r>
      <w:r>
        <w:rPr>
          <w:rFonts w:hint="cs"/>
          <w:rtl/>
          <w:lang w:bidi="ar-KW"/>
        </w:rPr>
        <w:t>،</w:t>
      </w:r>
      <w:r w:rsidR="009C32A0" w:rsidRPr="005675B2">
        <w:rPr>
          <w:rFonts w:hint="cs"/>
          <w:rtl/>
          <w:lang w:bidi="ar-KW"/>
        </w:rPr>
        <w:t xml:space="preserve"> فلا يحيط به مكان ولا يجري عليه زمان</w:t>
      </w:r>
      <w:r>
        <w:rPr>
          <w:rFonts w:hint="cs"/>
          <w:rtl/>
          <w:lang w:bidi="ar-KW"/>
        </w:rPr>
        <w:t>،</w:t>
      </w:r>
      <w:r w:rsidR="009C32A0" w:rsidRPr="005675B2">
        <w:rPr>
          <w:rFonts w:hint="cs"/>
          <w:rtl/>
          <w:lang w:bidi="ar-KW"/>
        </w:rPr>
        <w:t xml:space="preserve"> ومن أقوالهم في ذلك</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1</w:t>
      </w:r>
      <w:r>
        <w:rPr>
          <w:rFonts w:hint="cs"/>
          <w:rtl/>
          <w:lang w:bidi="ar-KW"/>
        </w:rPr>
        <w:t>)</w:t>
      </w:r>
      <w:r w:rsidR="009C32A0" w:rsidRPr="005675B2">
        <w:rPr>
          <w:rFonts w:hint="cs"/>
          <w:rtl/>
          <w:lang w:bidi="ar-KW"/>
        </w:rPr>
        <w:t xml:space="preserve"> </w:t>
      </w:r>
      <w:r w:rsidR="009C32A0" w:rsidRPr="005675B2">
        <w:rPr>
          <w:rFonts w:hint="cs"/>
          <w:rtl/>
        </w:rPr>
        <w:t>قول الإمام الطحاوي - وهو من</w:t>
      </w:r>
      <w:r w:rsidR="009C32A0" w:rsidRPr="005675B2">
        <w:rPr>
          <w:rFonts w:hint="cs"/>
        </w:rPr>
        <w:t xml:space="preserve"> </w:t>
      </w:r>
      <w:r w:rsidR="009C32A0" w:rsidRPr="005675B2">
        <w:rPr>
          <w:rFonts w:hint="cs"/>
          <w:rtl/>
        </w:rPr>
        <w:t>كبار أئمة السلف وهو أعلم بأقوالهم ومذاهبهم - قال</w:t>
      </w:r>
      <w:r>
        <w:rPr>
          <w:rFonts w:hint="cs"/>
          <w:rtl/>
        </w:rPr>
        <w:t>:</w:t>
      </w:r>
      <w:r w:rsidR="009C32A0" w:rsidRPr="005675B2">
        <w:rPr>
          <w:rFonts w:hint="cs"/>
          <w:rtl/>
          <w:lang w:bidi="ar-KW"/>
        </w:rPr>
        <w:t xml:space="preserve"> </w:t>
      </w:r>
      <w:r>
        <w:rPr>
          <w:rFonts w:hint="cs"/>
          <w:rtl/>
        </w:rPr>
        <w:t>(</w:t>
      </w:r>
      <w:r w:rsidR="009C32A0" w:rsidRPr="005675B2">
        <w:rPr>
          <w:rFonts w:hint="cs"/>
          <w:rtl/>
        </w:rPr>
        <w:t>هذا ذكر بيان عقيدة أهل السنة</w:t>
      </w:r>
      <w:r w:rsidR="009C32A0" w:rsidRPr="005675B2">
        <w:rPr>
          <w:rFonts w:hint="cs"/>
        </w:rPr>
        <w:t xml:space="preserve"> </w:t>
      </w:r>
      <w:r w:rsidR="009C32A0" w:rsidRPr="005675B2">
        <w:rPr>
          <w:rFonts w:hint="cs"/>
          <w:rtl/>
        </w:rPr>
        <w:t>والجماعة على مذهب فقهاء الملة والدين أبي حنيفة النعمان وصاحبيه أبي يوسف</w:t>
      </w:r>
      <w:r w:rsidR="009C32A0" w:rsidRPr="005675B2">
        <w:rPr>
          <w:rFonts w:hint="cs"/>
        </w:rPr>
        <w:t xml:space="preserve"> </w:t>
      </w:r>
      <w:r w:rsidR="009C32A0" w:rsidRPr="005675B2">
        <w:rPr>
          <w:rFonts w:hint="cs"/>
          <w:rtl/>
        </w:rPr>
        <w:t>القاضي ومحمد بن الحسن الشيباني ... وتعالى عن الحدود والغايات والأركان والأعضاء</w:t>
      </w:r>
      <w:r w:rsidR="009C32A0" w:rsidRPr="005675B2">
        <w:rPr>
          <w:rFonts w:hint="cs"/>
        </w:rPr>
        <w:t xml:space="preserve"> </w:t>
      </w:r>
      <w:r w:rsidR="009C32A0" w:rsidRPr="005675B2">
        <w:rPr>
          <w:rFonts w:hint="cs"/>
          <w:rtl/>
        </w:rPr>
        <w:t>والأدوات، لا تحويه الجهات الست كسائر المبتدعات)</w:t>
      </w:r>
      <w:r>
        <w:rPr>
          <w:rFonts w:hint="cs"/>
          <w:rtl/>
        </w:rPr>
        <w:t xml:space="preserve"> </w:t>
      </w:r>
      <w:r w:rsidR="009C32A0" w:rsidRPr="005675B2">
        <w:rPr>
          <w:rFonts w:hint="cs"/>
          <w:rtl/>
        </w:rPr>
        <w:t>أهــ</w:t>
      </w:r>
      <w:r>
        <w:rPr>
          <w:rtl/>
        </w:rPr>
        <w:t xml:space="preserve"> </w:t>
      </w:r>
      <w:r>
        <w:rPr>
          <w:rFonts w:hint="cs"/>
          <w:rtl/>
          <w:lang w:bidi="ar-KW"/>
        </w:rPr>
        <w:t>[</w:t>
      </w:r>
      <w:r w:rsidR="009C32A0" w:rsidRPr="005675B2">
        <w:rPr>
          <w:rFonts w:hint="cs"/>
          <w:rtl/>
          <w:lang w:bidi="ar-KW"/>
        </w:rPr>
        <w:t>متن العقيدة الطحاوية</w:t>
      </w:r>
      <w:r>
        <w:rPr>
          <w:rFonts w:hint="cs"/>
          <w:rtl/>
          <w:lang w:bidi="ar-KW"/>
        </w:rPr>
        <w:t>]،</w:t>
      </w:r>
      <w:r w:rsidR="009C32A0" w:rsidRPr="005675B2">
        <w:rPr>
          <w:rFonts w:hint="cs"/>
          <w:rtl/>
          <w:lang w:bidi="ar-KW"/>
        </w:rPr>
        <w:t xml:space="preserve"> </w:t>
      </w:r>
      <w:r>
        <w:rPr>
          <w:rFonts w:hint="cs"/>
          <w:rtl/>
        </w:rPr>
        <w:t>(</w:t>
      </w:r>
      <w:r w:rsidR="009C32A0" w:rsidRPr="005675B2">
        <w:rPr>
          <w:rFonts w:hint="cs"/>
          <w:rtl/>
        </w:rPr>
        <w:t>2</w:t>
      </w:r>
      <w:r>
        <w:rPr>
          <w:rFonts w:hint="cs"/>
          <w:rtl/>
        </w:rPr>
        <w:t>)</w:t>
      </w:r>
      <w:r w:rsidR="009C32A0" w:rsidRPr="005675B2">
        <w:rPr>
          <w:rFonts w:hint="cs"/>
          <w:rtl/>
        </w:rPr>
        <w:t xml:space="preserve"> وقال الإمام</w:t>
      </w:r>
      <w:r w:rsidR="009C32A0" w:rsidRPr="005675B2">
        <w:rPr>
          <w:rFonts w:hint="cs"/>
        </w:rPr>
        <w:t xml:space="preserve"> </w:t>
      </w:r>
      <w:r w:rsidR="009C32A0" w:rsidRPr="005675B2">
        <w:rPr>
          <w:rFonts w:hint="cs"/>
          <w:rtl/>
        </w:rPr>
        <w:t>أبو منصور عبد القاهر بن طاهر التميمي البغدادي الإسفراييني</w:t>
      </w:r>
      <w:r>
        <w:rPr>
          <w:rFonts w:hint="cs"/>
          <w:rtl/>
        </w:rPr>
        <w:t>:</w:t>
      </w:r>
      <w:r w:rsidR="009C32A0" w:rsidRPr="005675B2">
        <w:rPr>
          <w:rFonts w:hint="cs"/>
          <w:rtl/>
        </w:rPr>
        <w:t xml:space="preserve"> </w:t>
      </w:r>
      <w:r>
        <w:rPr>
          <w:rFonts w:hint="cs"/>
          <w:rtl/>
        </w:rPr>
        <w:lastRenderedPageBreak/>
        <w:t>(</w:t>
      </w:r>
      <w:r w:rsidR="009C32A0" w:rsidRPr="005675B2">
        <w:rPr>
          <w:rFonts w:hint="cs"/>
          <w:rtl/>
        </w:rPr>
        <w:t>وأجمعوا- أي أهل السنة- على أنه -</w:t>
      </w:r>
      <w:r>
        <w:rPr>
          <w:rFonts w:hint="cs"/>
          <w:rtl/>
        </w:rPr>
        <w:t xml:space="preserve"> </w:t>
      </w:r>
      <w:r w:rsidR="009C32A0" w:rsidRPr="005675B2">
        <w:rPr>
          <w:rFonts w:hint="cs"/>
          <w:rtl/>
        </w:rPr>
        <w:t>أي الله تعالى - لا يحويه مكان ولا يجري عليه زمان</w:t>
      </w:r>
      <w:r>
        <w:rPr>
          <w:rtl/>
        </w:rPr>
        <w:t>)</w:t>
      </w:r>
      <w:r w:rsidR="009C32A0" w:rsidRPr="005675B2">
        <w:rPr>
          <w:rFonts w:hint="cs"/>
          <w:rtl/>
          <w:lang w:bidi="ar-KW"/>
        </w:rPr>
        <w:t xml:space="preserve"> </w:t>
      </w:r>
      <w:r w:rsidR="009C32A0" w:rsidRPr="005675B2">
        <w:rPr>
          <w:rFonts w:hint="cs"/>
          <w:rtl/>
        </w:rPr>
        <w:t>أهـ</w:t>
      </w:r>
      <w:r w:rsidR="009C32A0" w:rsidRPr="005675B2">
        <w:rPr>
          <w:rFonts w:hint="cs"/>
          <w:rtl/>
          <w:lang w:bidi="ar-KW"/>
        </w:rPr>
        <w:t xml:space="preserve"> </w:t>
      </w:r>
      <w:r>
        <w:rPr>
          <w:rFonts w:hint="cs"/>
          <w:rtl/>
          <w:lang w:bidi="ar-KW"/>
        </w:rPr>
        <w:t>[</w:t>
      </w:r>
      <w:r w:rsidR="009C32A0" w:rsidRPr="005675B2">
        <w:rPr>
          <w:rFonts w:hint="cs"/>
          <w:rtl/>
          <w:lang w:bidi="ar-KW"/>
        </w:rPr>
        <w:t>الفرق بين الفرق صـ 333</w:t>
      </w:r>
      <w:r>
        <w:rPr>
          <w:rFonts w:hint="cs"/>
          <w:rtl/>
          <w:lang w:bidi="ar-KW"/>
        </w:rPr>
        <w:t>]،</w:t>
      </w:r>
      <w:r w:rsidR="009C32A0" w:rsidRPr="005675B2">
        <w:rPr>
          <w:rFonts w:hint="cs"/>
          <w:rtl/>
          <w:lang w:bidi="ar-KW"/>
        </w:rPr>
        <w:t xml:space="preserve"> </w:t>
      </w:r>
      <w:r>
        <w:rPr>
          <w:rFonts w:hint="cs"/>
          <w:rtl/>
        </w:rPr>
        <w:t>(</w:t>
      </w:r>
      <w:r w:rsidR="009C32A0" w:rsidRPr="005675B2">
        <w:rPr>
          <w:rFonts w:hint="cs"/>
          <w:rtl/>
        </w:rPr>
        <w:t>3</w:t>
      </w:r>
      <w:r>
        <w:rPr>
          <w:rFonts w:hint="cs"/>
          <w:rtl/>
        </w:rPr>
        <w:t>)</w:t>
      </w:r>
      <w:r w:rsidR="009C32A0" w:rsidRPr="005675B2">
        <w:rPr>
          <w:rFonts w:hint="cs"/>
          <w:rtl/>
        </w:rPr>
        <w:t xml:space="preserve"> وقال الإمام أبو المظفر الإسفراييني</w:t>
      </w:r>
      <w:r>
        <w:rPr>
          <w:rFonts w:hint="cs"/>
          <w:rtl/>
        </w:rPr>
        <w:t>:</w:t>
      </w:r>
      <w:r w:rsidR="009C32A0" w:rsidRPr="005675B2">
        <w:rPr>
          <w:rFonts w:hint="cs"/>
          <w:rtl/>
        </w:rPr>
        <w:t xml:space="preserve"> </w:t>
      </w:r>
      <w:r>
        <w:rPr>
          <w:rFonts w:hint="cs"/>
          <w:rtl/>
        </w:rPr>
        <w:t>(</w:t>
      </w:r>
      <w:r w:rsidR="009C32A0" w:rsidRPr="005675B2">
        <w:rPr>
          <w:rFonts w:hint="cs"/>
          <w:rtl/>
        </w:rPr>
        <w:t>الباب</w:t>
      </w:r>
      <w:r w:rsidR="009C32A0" w:rsidRPr="005675B2">
        <w:rPr>
          <w:rFonts w:hint="cs"/>
        </w:rPr>
        <w:t xml:space="preserve"> </w:t>
      </w:r>
      <w:r w:rsidR="009C32A0" w:rsidRPr="005675B2">
        <w:rPr>
          <w:rFonts w:hint="cs"/>
          <w:rtl/>
        </w:rPr>
        <w:t>الخامس عشر في بيان اعتقاد أهل السنة والجماعة: وأن تعلم أن كل ما دل على حدوث شىء</w:t>
      </w:r>
      <w:r w:rsidR="009C32A0" w:rsidRPr="005675B2">
        <w:rPr>
          <w:rFonts w:hint="cs"/>
        </w:rPr>
        <w:t xml:space="preserve"> </w:t>
      </w:r>
      <w:r w:rsidR="009C32A0" w:rsidRPr="005675B2">
        <w:rPr>
          <w:rFonts w:hint="cs"/>
          <w:rtl/>
        </w:rPr>
        <w:t>من الحد، والنهاية، والمكان، والجهة، والسكون، والحركة، فهو مستحيل عليه سبحانه</w:t>
      </w:r>
      <w:r w:rsidR="009C32A0" w:rsidRPr="005675B2">
        <w:rPr>
          <w:rFonts w:hint="cs"/>
        </w:rPr>
        <w:t xml:space="preserve"> </w:t>
      </w:r>
      <w:r w:rsidR="009C32A0" w:rsidRPr="005675B2">
        <w:rPr>
          <w:rFonts w:hint="cs"/>
          <w:rtl/>
        </w:rPr>
        <w:t xml:space="preserve">وتعالى، لأن ما لا يكون محدثا لا يجوز عليه ما هو دليل على الحدوث " أهـ </w:t>
      </w:r>
      <w:r>
        <w:rPr>
          <w:rFonts w:hint="cs"/>
          <w:rtl/>
        </w:rPr>
        <w:t>[</w:t>
      </w:r>
      <w:r w:rsidR="009C32A0" w:rsidRPr="005675B2">
        <w:rPr>
          <w:rFonts w:hint="cs"/>
          <w:rtl/>
        </w:rPr>
        <w:t>التبصير</w:t>
      </w:r>
      <w:r w:rsidR="009C32A0" w:rsidRPr="005675B2">
        <w:rPr>
          <w:rFonts w:hint="cs"/>
        </w:rPr>
        <w:t xml:space="preserve"> </w:t>
      </w:r>
      <w:r w:rsidR="009C32A0" w:rsidRPr="005675B2">
        <w:rPr>
          <w:rFonts w:hint="cs"/>
          <w:rtl/>
        </w:rPr>
        <w:t>في الدين ص161</w:t>
      </w:r>
      <w:r>
        <w:rPr>
          <w:rFonts w:hint="cs"/>
          <w:rtl/>
        </w:rPr>
        <w:t>]</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4</w:t>
      </w:r>
      <w:r>
        <w:rPr>
          <w:rFonts w:hint="cs"/>
          <w:rtl/>
          <w:lang w:bidi="ar-KW"/>
        </w:rPr>
        <w:t>)</w:t>
      </w:r>
      <w:r w:rsidR="009C32A0" w:rsidRPr="005675B2">
        <w:rPr>
          <w:rFonts w:hint="cs"/>
          <w:rtl/>
          <w:lang w:bidi="ar-KW"/>
        </w:rPr>
        <w:t xml:space="preserve"> </w:t>
      </w:r>
      <w:r w:rsidR="009C32A0" w:rsidRPr="005675B2">
        <w:rPr>
          <w:rFonts w:hint="cs"/>
          <w:rtl/>
        </w:rPr>
        <w:t>وقال الإمام</w:t>
      </w:r>
      <w:r w:rsidR="009C32A0" w:rsidRPr="005675B2">
        <w:rPr>
          <w:rFonts w:hint="cs"/>
        </w:rPr>
        <w:t xml:space="preserve"> </w:t>
      </w:r>
      <w:r w:rsidR="009C32A0" w:rsidRPr="005675B2">
        <w:rPr>
          <w:rFonts w:hint="cs"/>
          <w:rtl/>
        </w:rPr>
        <w:t>الشهرستاني الشافعي</w:t>
      </w:r>
      <w:r>
        <w:rPr>
          <w:rFonts w:hint="cs"/>
          <w:rtl/>
        </w:rPr>
        <w:t>:</w:t>
      </w:r>
      <w:r w:rsidR="009C32A0" w:rsidRPr="005675B2">
        <w:rPr>
          <w:rFonts w:hint="cs"/>
          <w:rtl/>
        </w:rPr>
        <w:t xml:space="preserve"> </w:t>
      </w:r>
      <w:r>
        <w:rPr>
          <w:rFonts w:hint="cs"/>
          <w:rtl/>
        </w:rPr>
        <w:t>(</w:t>
      </w:r>
      <w:r w:rsidR="009C32A0" w:rsidRPr="005675B2">
        <w:rPr>
          <w:rFonts w:hint="cs"/>
          <w:rtl/>
        </w:rPr>
        <w:t>فمذهب أهل الحق أن الله سبحانه</w:t>
      </w:r>
      <w:r w:rsidR="009C32A0" w:rsidRPr="005675B2">
        <w:rPr>
          <w:rFonts w:hint="cs"/>
        </w:rPr>
        <w:t xml:space="preserve"> </w:t>
      </w:r>
      <w:r w:rsidR="009C32A0" w:rsidRPr="005675B2">
        <w:rPr>
          <w:rFonts w:hint="cs"/>
          <w:rtl/>
        </w:rPr>
        <w:t>لا يشبه شيئا من المخلوقات ولا يشبهه شىء منها بوجه من وجوه المشابهة</w:t>
      </w:r>
      <w:r w:rsidR="009C32A0" w:rsidRPr="005675B2">
        <w:rPr>
          <w:rFonts w:hint="cs"/>
        </w:rPr>
        <w:t xml:space="preserve"> </w:t>
      </w:r>
      <w:r w:rsidR="009C32A0" w:rsidRPr="005675B2">
        <w:rPr>
          <w:rFonts w:hint="cs"/>
          <w:rtl/>
        </w:rPr>
        <w:t xml:space="preserve">والمماثلة </w:t>
      </w:r>
      <w:r>
        <w:rPr>
          <w:rFonts w:hint="cs"/>
          <w:rtl/>
        </w:rPr>
        <w:t>{</w:t>
      </w:r>
      <w:r w:rsidR="009C32A0" w:rsidRPr="005675B2">
        <w:rPr>
          <w:rFonts w:hint="cs"/>
          <w:rtl/>
        </w:rPr>
        <w:t>لَيْسَ كَمِثْلِهِ شَيْءٌ وَهُوَ السَّمِيعُ البَصِيرُ</w:t>
      </w:r>
      <w:r>
        <w:rPr>
          <w:rFonts w:hint="cs"/>
          <w:rtl/>
        </w:rPr>
        <w:t>}</w:t>
      </w:r>
      <w:r w:rsidR="009C32A0" w:rsidRPr="005675B2">
        <w:rPr>
          <w:rFonts w:hint="cs"/>
          <w:rtl/>
        </w:rPr>
        <w:t xml:space="preserve"> </w:t>
      </w:r>
      <w:r>
        <w:rPr>
          <w:rFonts w:hint="cs"/>
          <w:rtl/>
        </w:rPr>
        <w:t>[</w:t>
      </w:r>
      <w:r w:rsidR="009C32A0" w:rsidRPr="005675B2">
        <w:rPr>
          <w:rFonts w:hint="cs"/>
          <w:rtl/>
        </w:rPr>
        <w:t>سورة</w:t>
      </w:r>
      <w:r w:rsidR="009C32A0" w:rsidRPr="005675B2">
        <w:rPr>
          <w:rFonts w:hint="cs"/>
        </w:rPr>
        <w:t xml:space="preserve"> </w:t>
      </w:r>
      <w:r w:rsidR="009C32A0" w:rsidRPr="005675B2">
        <w:rPr>
          <w:rFonts w:hint="cs"/>
          <w:rtl/>
        </w:rPr>
        <w:t>الشورى</w:t>
      </w:r>
      <w:r>
        <w:rPr>
          <w:rFonts w:hint="cs"/>
          <w:rtl/>
        </w:rPr>
        <w:t>:</w:t>
      </w:r>
      <w:r w:rsidR="009C32A0" w:rsidRPr="005675B2">
        <w:rPr>
          <w:rFonts w:hint="cs"/>
          <w:rtl/>
        </w:rPr>
        <w:t xml:space="preserve"> 11</w:t>
      </w:r>
      <w:r>
        <w:rPr>
          <w:rFonts w:hint="cs"/>
          <w:rtl/>
        </w:rPr>
        <w:t>]،</w:t>
      </w:r>
      <w:r w:rsidR="009C32A0" w:rsidRPr="005675B2">
        <w:rPr>
          <w:rFonts w:hint="cs"/>
          <w:rtl/>
        </w:rPr>
        <w:t xml:space="preserve"> فليس البارئ سبحانه بجوهر ولا جسم ولا عرض ولا في مكان ولا في زمان</w:t>
      </w:r>
      <w:r>
        <w:rPr>
          <w:rFonts w:hint="cs"/>
          <w:rtl/>
        </w:rPr>
        <w:t>)</w:t>
      </w:r>
      <w:r w:rsidR="009C32A0" w:rsidRPr="005675B2">
        <w:rPr>
          <w:rFonts w:hint="cs"/>
        </w:rPr>
        <w:t xml:space="preserve"> </w:t>
      </w:r>
      <w:r w:rsidR="009C32A0" w:rsidRPr="005675B2">
        <w:rPr>
          <w:rFonts w:hint="cs"/>
          <w:rtl/>
        </w:rPr>
        <w:t xml:space="preserve">أهــ </w:t>
      </w:r>
      <w:r>
        <w:rPr>
          <w:rFonts w:hint="cs"/>
          <w:rtl/>
        </w:rPr>
        <w:t>[</w:t>
      </w:r>
      <w:r w:rsidR="009C32A0" w:rsidRPr="005675B2">
        <w:rPr>
          <w:rFonts w:hint="cs"/>
          <w:rtl/>
        </w:rPr>
        <w:t>الملل والنحل للشهرستاني</w:t>
      </w:r>
      <w:r>
        <w:rPr>
          <w:rFonts w:hint="cs"/>
          <w:rtl/>
        </w:rPr>
        <w:t>]،</w:t>
      </w:r>
      <w:r w:rsidR="009C32A0" w:rsidRPr="005675B2">
        <w:rPr>
          <w:rFonts w:hint="cs"/>
          <w:rtl/>
          <w:lang w:bidi="ar-KW"/>
        </w:rPr>
        <w:t xml:space="preserve"> </w:t>
      </w:r>
      <w:r>
        <w:rPr>
          <w:rFonts w:hint="cs"/>
          <w:rtl/>
          <w:lang w:bidi="ar-KW"/>
        </w:rPr>
        <w:t>(</w:t>
      </w:r>
      <w:r w:rsidR="009C32A0" w:rsidRPr="005675B2">
        <w:rPr>
          <w:rFonts w:hint="cs"/>
          <w:rtl/>
          <w:lang w:bidi="ar-KW"/>
        </w:rPr>
        <w:t>5</w:t>
      </w:r>
      <w:r>
        <w:rPr>
          <w:rFonts w:hint="cs"/>
          <w:rtl/>
          <w:lang w:bidi="ar-KW"/>
        </w:rPr>
        <w:t>)</w:t>
      </w:r>
      <w:r w:rsidR="009C32A0" w:rsidRPr="005675B2">
        <w:rPr>
          <w:rFonts w:hint="cs"/>
          <w:rtl/>
          <w:lang w:bidi="ar-KW"/>
        </w:rPr>
        <w:t xml:space="preserve"> وقال </w:t>
      </w:r>
      <w:r w:rsidR="009C32A0" w:rsidRPr="005675B2">
        <w:rPr>
          <w:rFonts w:hint="cs"/>
          <w:rtl/>
        </w:rPr>
        <w:t>الإمام فخر الدين الرازي في تفسيره</w:t>
      </w:r>
      <w:r>
        <w:rPr>
          <w:rFonts w:hint="cs"/>
          <w:rtl/>
        </w:rPr>
        <w:t>:</w:t>
      </w:r>
      <w:r w:rsidR="009C32A0" w:rsidRPr="005675B2">
        <w:rPr>
          <w:rFonts w:hint="cs"/>
          <w:rtl/>
        </w:rPr>
        <w:t xml:space="preserve"> </w:t>
      </w:r>
      <w:r>
        <w:rPr>
          <w:rFonts w:hint="cs"/>
          <w:rtl/>
        </w:rPr>
        <w:t>(</w:t>
      </w:r>
      <w:r w:rsidR="009C32A0" w:rsidRPr="005675B2">
        <w:rPr>
          <w:rFonts w:hint="cs"/>
          <w:rtl/>
        </w:rPr>
        <w:t>انعقد</w:t>
      </w:r>
      <w:r w:rsidR="009C32A0" w:rsidRPr="005675B2">
        <w:rPr>
          <w:rFonts w:hint="cs"/>
        </w:rPr>
        <w:t xml:space="preserve"> </w:t>
      </w:r>
      <w:r w:rsidR="009C32A0" w:rsidRPr="005675B2">
        <w:rPr>
          <w:rFonts w:hint="cs"/>
          <w:rtl/>
        </w:rPr>
        <w:t>الإجماع على أنه سبحانه ليس معنا بالمكان والجهة والحيز</w:t>
      </w:r>
      <w:r>
        <w:rPr>
          <w:rFonts w:hint="cs"/>
          <w:rtl/>
        </w:rPr>
        <w:t>)</w:t>
      </w:r>
      <w:r w:rsidR="009C32A0" w:rsidRPr="005675B2">
        <w:rPr>
          <w:rFonts w:hint="cs"/>
          <w:rtl/>
        </w:rPr>
        <w:t xml:space="preserve"> أهــ </w:t>
      </w:r>
      <w:r>
        <w:rPr>
          <w:rFonts w:hint="cs"/>
          <w:rtl/>
        </w:rPr>
        <w:t>[</w:t>
      </w:r>
      <w:r w:rsidR="009C32A0" w:rsidRPr="005675B2">
        <w:rPr>
          <w:rFonts w:hint="cs"/>
          <w:rtl/>
        </w:rPr>
        <w:t>تفسير الرازي 29:216</w:t>
      </w:r>
      <w:r>
        <w:rPr>
          <w:rFonts w:hint="cs"/>
          <w:rtl/>
        </w:rPr>
        <w:t>]،</w:t>
      </w:r>
      <w:r w:rsidR="009C32A0" w:rsidRPr="005675B2">
        <w:rPr>
          <w:rFonts w:hint="cs"/>
          <w:rtl/>
        </w:rPr>
        <w:t xml:space="preserve"> </w:t>
      </w:r>
      <w:r>
        <w:rPr>
          <w:rFonts w:hint="cs"/>
          <w:rtl/>
        </w:rPr>
        <w:t>(</w:t>
      </w:r>
      <w:r w:rsidR="009C32A0" w:rsidRPr="005675B2">
        <w:rPr>
          <w:rFonts w:hint="cs"/>
          <w:rtl/>
        </w:rPr>
        <w:t>6</w:t>
      </w:r>
      <w:r>
        <w:rPr>
          <w:rFonts w:hint="cs"/>
          <w:rtl/>
        </w:rPr>
        <w:t>)</w:t>
      </w:r>
      <w:r w:rsidR="009C32A0" w:rsidRPr="005675B2">
        <w:rPr>
          <w:rFonts w:hint="cs"/>
          <w:rtl/>
        </w:rPr>
        <w:t xml:space="preserve"> وقال إمام أهل السنة أبو منصور الماتريدي (333 هـ)</w:t>
      </w:r>
      <w:r>
        <w:rPr>
          <w:rFonts w:hint="cs"/>
          <w:rtl/>
        </w:rPr>
        <w:t>:</w:t>
      </w:r>
      <w:r w:rsidR="009C32A0" w:rsidRPr="005675B2">
        <w:rPr>
          <w:rFonts w:hint="cs"/>
          <w:rtl/>
        </w:rPr>
        <w:t xml:space="preserve"> </w:t>
      </w:r>
      <w:r>
        <w:rPr>
          <w:rFonts w:hint="cs"/>
          <w:rtl/>
        </w:rPr>
        <w:t>(</w:t>
      </w:r>
      <w:r w:rsidR="009C32A0" w:rsidRPr="005675B2">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9C32A0" w:rsidRPr="005675B2">
        <w:rPr>
          <w:rFonts w:hint="cs"/>
          <w:rtl/>
        </w:rPr>
        <w:t>اهـ.</w:t>
      </w:r>
      <w:r w:rsidR="009C32A0" w:rsidRPr="005675B2">
        <w:rPr>
          <w:rFonts w:eastAsia="Times New Roman" w:hint="cs"/>
          <w:rtl/>
        </w:rPr>
        <w:t xml:space="preserve"> [</w:t>
      </w:r>
      <w:r w:rsidR="009C32A0" w:rsidRPr="005675B2">
        <w:rPr>
          <w:rFonts w:hint="cs"/>
          <w:rtl/>
        </w:rPr>
        <w:t>كتاب التوحيد (ص/ 69).]</w:t>
      </w:r>
      <w:r>
        <w:rPr>
          <w:rFonts w:hint="cs"/>
          <w:rtl/>
        </w:rPr>
        <w:t>،</w:t>
      </w:r>
      <w:r w:rsidR="009C32A0" w:rsidRPr="005675B2">
        <w:rPr>
          <w:rFonts w:hint="cs"/>
          <w:rtl/>
        </w:rPr>
        <w:t xml:space="preserve"> </w:t>
      </w:r>
      <w:r>
        <w:rPr>
          <w:rFonts w:hint="cs"/>
          <w:rtl/>
        </w:rPr>
        <w:t>(</w:t>
      </w:r>
      <w:r w:rsidR="009C32A0" w:rsidRPr="005675B2">
        <w:rPr>
          <w:rFonts w:hint="cs"/>
          <w:rtl/>
        </w:rPr>
        <w:t>7</w:t>
      </w:r>
      <w:r>
        <w:rPr>
          <w:rFonts w:hint="cs"/>
          <w:rtl/>
        </w:rPr>
        <w:t>)</w:t>
      </w:r>
      <w:r w:rsidR="009C32A0" w:rsidRPr="005675B2">
        <w:rPr>
          <w:rFonts w:hint="cs"/>
          <w:rtl/>
        </w:rPr>
        <w:t xml:space="preserve"> وقال القاضي أبو بكر محمد الباقلاني المالكي</w:t>
      </w:r>
      <w:r>
        <w:rPr>
          <w:rFonts w:hint="cs"/>
          <w:rtl/>
        </w:rPr>
        <w:t>:</w:t>
      </w:r>
      <w:r w:rsidR="009C32A0" w:rsidRPr="005675B2">
        <w:rPr>
          <w:rFonts w:hint="cs"/>
          <w:rtl/>
        </w:rPr>
        <w:t xml:space="preserve"> </w:t>
      </w:r>
      <w:r>
        <w:rPr>
          <w:rFonts w:hint="cs"/>
          <w:rtl/>
        </w:rPr>
        <w:t>(</w:t>
      </w:r>
      <w:r w:rsidR="009C32A0" w:rsidRPr="005675B2">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9C32A0" w:rsidRPr="005675B2">
        <w:rPr>
          <w:rFonts w:hint="cs"/>
          <w:rtl/>
        </w:rPr>
        <w:t>اهـ.</w:t>
      </w:r>
      <w:r>
        <w:rPr>
          <w:rFonts w:hint="cs"/>
          <w:rtl/>
        </w:rPr>
        <w:t>[</w:t>
      </w:r>
      <w:r w:rsidR="009C32A0" w:rsidRPr="005675B2">
        <w:rPr>
          <w:rFonts w:hint="cs"/>
          <w:rtl/>
        </w:rPr>
        <w:t>الانصاف فيما يجب اعتقاده ولا يجوز الجهل به (ص/65).]</w:t>
      </w:r>
      <w:r>
        <w:rPr>
          <w:rFonts w:hint="cs"/>
          <w:rtl/>
        </w:rPr>
        <w:t>،</w:t>
      </w:r>
      <w:r w:rsidR="009C32A0" w:rsidRPr="005675B2">
        <w:rPr>
          <w:rFonts w:hint="cs"/>
          <w:rtl/>
        </w:rPr>
        <w:t xml:space="preserve"> </w:t>
      </w:r>
      <w:r>
        <w:rPr>
          <w:rFonts w:hint="cs"/>
          <w:rtl/>
        </w:rPr>
        <w:t>(</w:t>
      </w:r>
      <w:r w:rsidR="009C32A0" w:rsidRPr="005675B2">
        <w:rPr>
          <w:rFonts w:hint="cs"/>
          <w:rtl/>
        </w:rPr>
        <w:t>8</w:t>
      </w:r>
      <w:r>
        <w:rPr>
          <w:rFonts w:hint="cs"/>
          <w:rtl/>
        </w:rPr>
        <w:t>)</w:t>
      </w:r>
      <w:r w:rsidR="009C32A0" w:rsidRPr="005675B2">
        <w:rPr>
          <w:rFonts w:hint="cs"/>
          <w:rtl/>
        </w:rPr>
        <w:t xml:space="preserve"> وقال الإمام أبو بكر ابن فورك</w:t>
      </w:r>
      <w:r>
        <w:rPr>
          <w:rFonts w:hint="cs"/>
          <w:rtl/>
        </w:rPr>
        <w:t>:</w:t>
      </w:r>
      <w:r w:rsidR="009C32A0" w:rsidRPr="005675B2">
        <w:rPr>
          <w:rFonts w:hint="cs"/>
          <w:rtl/>
        </w:rPr>
        <w:t xml:space="preserve"> </w:t>
      </w:r>
      <w:r>
        <w:rPr>
          <w:rFonts w:hint="cs"/>
          <w:rtl/>
        </w:rPr>
        <w:t>(</w:t>
      </w:r>
      <w:r w:rsidR="009C32A0" w:rsidRPr="005675B2">
        <w:rPr>
          <w:rFonts w:hint="cs"/>
          <w:rtl/>
        </w:rPr>
        <w:t>لا يجوز على الله تعالى الحلول في الأماكن لاستحالة كونه محدودا ومتناهيا وذلك لاستحالة كونه محدثا</w:t>
      </w:r>
      <w:r>
        <w:rPr>
          <w:rFonts w:hint="cs"/>
          <w:rtl/>
        </w:rPr>
        <w:t>)</w:t>
      </w:r>
      <w:r w:rsidR="009C32A0" w:rsidRPr="005675B2">
        <w:rPr>
          <w:rFonts w:hint="cs"/>
          <w:rtl/>
        </w:rPr>
        <w:t xml:space="preserve"> أهـ.</w:t>
      </w:r>
      <w:r>
        <w:rPr>
          <w:rFonts w:hint="cs"/>
          <w:rtl/>
        </w:rPr>
        <w:t>[</w:t>
      </w:r>
      <w:r w:rsidR="009C32A0" w:rsidRPr="005675B2">
        <w:rPr>
          <w:rFonts w:hint="cs"/>
          <w:rtl/>
        </w:rPr>
        <w:t>مشكل الحديث (ص/ 57)</w:t>
      </w:r>
      <w:r>
        <w:rPr>
          <w:rFonts w:hint="cs"/>
          <w:rtl/>
        </w:rPr>
        <w:t>]،</w:t>
      </w:r>
      <w:r w:rsidR="009C32A0" w:rsidRPr="005675B2">
        <w:rPr>
          <w:rFonts w:hint="cs"/>
          <w:rtl/>
        </w:rPr>
        <w:t xml:space="preserve"> </w:t>
      </w:r>
      <w:r>
        <w:rPr>
          <w:rFonts w:hint="cs"/>
          <w:rtl/>
        </w:rPr>
        <w:t>(</w:t>
      </w:r>
      <w:r w:rsidR="009C32A0" w:rsidRPr="005675B2">
        <w:rPr>
          <w:rFonts w:hint="cs"/>
          <w:rtl/>
        </w:rPr>
        <w:t>9</w:t>
      </w:r>
      <w:r>
        <w:rPr>
          <w:rFonts w:hint="cs"/>
          <w:rtl/>
        </w:rPr>
        <w:t>)</w:t>
      </w:r>
      <w:r w:rsidR="009C32A0" w:rsidRPr="005675B2">
        <w:rPr>
          <w:rFonts w:hint="cs"/>
          <w:rtl/>
        </w:rPr>
        <w:t xml:space="preserve"> وقال الإمام ابن بطال المالكي (449 هـ) أحد شراح صحيح البخاري</w:t>
      </w:r>
      <w:r>
        <w:rPr>
          <w:rFonts w:hint="cs"/>
          <w:rtl/>
        </w:rPr>
        <w:t>:</w:t>
      </w:r>
      <w:r w:rsidR="009C32A0" w:rsidRPr="005675B2">
        <w:rPr>
          <w:rFonts w:hint="cs"/>
          <w:rtl/>
        </w:rPr>
        <w:t xml:space="preserve"> </w:t>
      </w:r>
      <w:r>
        <w:rPr>
          <w:rFonts w:hint="cs"/>
          <w:rtl/>
        </w:rPr>
        <w:t>(</w:t>
      </w:r>
      <w:r w:rsidR="009C32A0" w:rsidRPr="005675B2">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9C32A0" w:rsidRPr="005675B2">
        <w:rPr>
          <w:rFonts w:hint="cs"/>
          <w:rtl/>
        </w:rPr>
        <w:t xml:space="preserve"> اهـ. </w:t>
      </w:r>
      <w:r>
        <w:rPr>
          <w:rFonts w:hint="cs"/>
          <w:rtl/>
        </w:rPr>
        <w:t>[</w:t>
      </w:r>
      <w:r w:rsidR="009C32A0" w:rsidRPr="005675B2">
        <w:rPr>
          <w:rFonts w:hint="cs"/>
          <w:rtl/>
        </w:rPr>
        <w:t>فتح الباري (13/ 416)</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 xml:space="preserve">لا تعلق للمجسمة في إثبات المكان، لما ثبت من استحالة أن يكون سبحانه جسما أو حالا في مكان " اهـ </w:t>
      </w:r>
      <w:r>
        <w:rPr>
          <w:rFonts w:hint="cs"/>
          <w:rtl/>
        </w:rPr>
        <w:t>[</w:t>
      </w:r>
      <w:r w:rsidR="009C32A0" w:rsidRPr="005675B2">
        <w:rPr>
          <w:rFonts w:hint="cs"/>
          <w:rtl/>
        </w:rPr>
        <w:t>فتح الباري (13/ 433)</w:t>
      </w:r>
      <w:r>
        <w:rPr>
          <w:rFonts w:hint="cs"/>
          <w:rtl/>
        </w:rPr>
        <w:t xml:space="preserve">]، </w:t>
      </w:r>
      <w:r>
        <w:rPr>
          <w:rFonts w:eastAsia="Times New Roman" w:hint="cs"/>
          <w:rtl/>
        </w:rPr>
        <w:t>(</w:t>
      </w:r>
      <w:r w:rsidR="009C32A0" w:rsidRPr="005675B2">
        <w:rPr>
          <w:rFonts w:eastAsia="Times New Roman" w:hint="cs"/>
          <w:rtl/>
        </w:rPr>
        <w:t>10</w:t>
      </w:r>
      <w:r>
        <w:rPr>
          <w:rFonts w:eastAsia="Times New Roman" w:hint="cs"/>
          <w:rtl/>
        </w:rPr>
        <w:t>)</w:t>
      </w:r>
      <w:r w:rsidR="009C32A0" w:rsidRPr="005675B2">
        <w:rPr>
          <w:rFonts w:eastAsia="Times New Roman" w:hint="cs"/>
          <w:rtl/>
        </w:rPr>
        <w:t xml:space="preserve"> وقال الحافظ محمد بن حبان (453هـ) صاحب الصحيح المشهور بصحيح ابن حبان</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9C32A0" w:rsidRPr="005675B2">
        <w:rPr>
          <w:rFonts w:eastAsia="Times New Roman" w:hint="cs"/>
          <w:rtl/>
        </w:rPr>
        <w:t xml:space="preserve">اهـ. </w:t>
      </w:r>
      <w:r>
        <w:rPr>
          <w:rFonts w:eastAsia="Times New Roman" w:hint="cs"/>
          <w:rtl/>
        </w:rPr>
        <w:t>[</w:t>
      </w:r>
      <w:r w:rsidR="009C32A0" w:rsidRPr="005675B2">
        <w:rPr>
          <w:rFonts w:hint="cs"/>
          <w:rtl/>
        </w:rPr>
        <w:t>الثقات (1/ 1)</w:t>
      </w:r>
      <w:r>
        <w:rPr>
          <w:rFonts w:eastAsia="Times New Roman" w:hint="cs"/>
          <w:rtl/>
        </w:rPr>
        <w:t>]،</w:t>
      </w:r>
      <w:r w:rsidR="009C32A0" w:rsidRPr="005675B2">
        <w:rPr>
          <w:rFonts w:hint="cs"/>
          <w:rtl/>
        </w:rPr>
        <w:t xml:space="preserve"> </w:t>
      </w:r>
      <w:r>
        <w:rPr>
          <w:rFonts w:hint="cs"/>
          <w:rtl/>
        </w:rPr>
        <w:t>(</w:t>
      </w:r>
      <w:r w:rsidR="009C32A0" w:rsidRPr="005675B2">
        <w:rPr>
          <w:rFonts w:hint="cs"/>
          <w:rtl/>
        </w:rPr>
        <w:t>11</w:t>
      </w:r>
      <w:r>
        <w:rPr>
          <w:rFonts w:hint="cs"/>
          <w:rtl/>
        </w:rPr>
        <w:t>)</w:t>
      </w:r>
      <w:r w:rsidR="009C32A0" w:rsidRPr="005675B2">
        <w:rPr>
          <w:rFonts w:hint="cs"/>
          <w:rtl/>
        </w:rPr>
        <w:t xml:space="preserve"> وقال الإمام ابن حزم الأندلسي (456 هـ)</w:t>
      </w:r>
      <w:r>
        <w:rPr>
          <w:rFonts w:hint="cs"/>
          <w:rtl/>
        </w:rPr>
        <w:t>:</w:t>
      </w:r>
      <w:r w:rsidR="009C32A0" w:rsidRPr="005675B2">
        <w:rPr>
          <w:rFonts w:hint="cs"/>
          <w:rtl/>
        </w:rPr>
        <w:t xml:space="preserve"> </w:t>
      </w:r>
      <w:r>
        <w:rPr>
          <w:rFonts w:hint="cs"/>
          <w:rtl/>
        </w:rPr>
        <w:t>(</w:t>
      </w:r>
      <w:r w:rsidR="009C32A0" w:rsidRPr="005675B2">
        <w:rPr>
          <w:rFonts w:hint="cs"/>
          <w:rtl/>
        </w:rPr>
        <w:t xml:space="preserve">وأنه تعالى لا في مكان ولا في زمان، بل هو تعالى خالق الأزمنة والأمكنة، قال تعالى: {وَخَلَقَ كُلَّ شَيْءٍ فَقَدَّرَهُ </w:t>
      </w:r>
      <w:r w:rsidR="009C32A0" w:rsidRPr="005675B2">
        <w:rPr>
          <w:rFonts w:hint="cs"/>
          <w:rtl/>
        </w:rPr>
        <w:lastRenderedPageBreak/>
        <w:t>تَقْدِيراً</w:t>
      </w:r>
      <w:r>
        <w:rPr>
          <w:rFonts w:hint="cs"/>
          <w:rtl/>
        </w:rPr>
        <w:t>}،</w:t>
      </w:r>
      <w:r w:rsidR="009C32A0" w:rsidRPr="005675B2">
        <w:rPr>
          <w:rFonts w:hint="cs"/>
          <w:rtl/>
        </w:rPr>
        <w:t xml:space="preserve"> وقال </w:t>
      </w:r>
      <w:r>
        <w:rPr>
          <w:rFonts w:hint="cs"/>
          <w:rtl/>
        </w:rPr>
        <w:t>{</w:t>
      </w:r>
      <w:r w:rsidR="009C32A0" w:rsidRPr="005675B2">
        <w:rPr>
          <w:rFonts w:hint="cs"/>
          <w:rtl/>
        </w:rPr>
        <w:t>الَّذِي خَلَقَ السَّمَوَاتِ وَالْأَرْضَ وَمَا بَيْنَهُمَا</w:t>
      </w:r>
      <w:r>
        <w:rPr>
          <w:rFonts w:hint="cs"/>
          <w:rtl/>
        </w:rPr>
        <w:t>}،</w:t>
      </w:r>
      <w:r w:rsidR="009C32A0" w:rsidRPr="005675B2">
        <w:rPr>
          <w:rFonts w:hint="cs"/>
          <w:rtl/>
        </w:rPr>
        <w:t xml:space="preserve"> والزمان والمكان هما مخلوقان، قد كان تعالى دونهما، والمكان إنما هو للأجسام اهـ. </w:t>
      </w:r>
      <w:r>
        <w:rPr>
          <w:rFonts w:hint="cs"/>
          <w:rtl/>
        </w:rPr>
        <w:t>[</w:t>
      </w:r>
      <w:r w:rsidR="009C32A0" w:rsidRPr="005675B2">
        <w:rPr>
          <w:rFonts w:hint="cs"/>
          <w:rtl/>
        </w:rPr>
        <w:t>أنظر كتابه علم الكلام: مسألة في نفي المكان عن الله تعالى (ص/ 65)</w:t>
      </w:r>
      <w:r>
        <w:rPr>
          <w:rFonts w:hint="cs"/>
          <w:rtl/>
        </w:rPr>
        <w:t>]،</w:t>
      </w:r>
      <w:r w:rsidR="009C32A0" w:rsidRPr="005675B2">
        <w:rPr>
          <w:rFonts w:hint="cs"/>
          <w:rtl/>
        </w:rPr>
        <w:t xml:space="preserve"> </w:t>
      </w:r>
      <w:r>
        <w:rPr>
          <w:rFonts w:eastAsia="Times New Roman" w:hint="cs"/>
          <w:rtl/>
        </w:rPr>
        <w:t>(</w:t>
      </w:r>
      <w:r w:rsidR="009C32A0" w:rsidRPr="005675B2">
        <w:rPr>
          <w:rFonts w:eastAsia="Times New Roman" w:hint="cs"/>
          <w:rtl/>
        </w:rPr>
        <w:t>12</w:t>
      </w:r>
      <w:r>
        <w:rPr>
          <w:rFonts w:eastAsia="Times New Roman" w:hint="cs"/>
          <w:rtl/>
        </w:rPr>
        <w:t>)</w:t>
      </w:r>
      <w:r w:rsidR="009C32A0" w:rsidRPr="005675B2">
        <w:rPr>
          <w:rFonts w:eastAsia="Times New Roman" w:hint="cs"/>
          <w:rtl/>
        </w:rPr>
        <w:t xml:space="preserve"> وقال الحافظ البيهقي (458هـ)</w:t>
      </w:r>
      <w:r>
        <w:rPr>
          <w:rFonts w:eastAsia="Times New Roman" w:hint="cs"/>
          <w:rtl/>
        </w:rPr>
        <w:t>: (</w:t>
      </w:r>
      <w:r w:rsidR="009C32A0" w:rsidRPr="005675B2">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hint="cs"/>
          <w:rtl/>
        </w:rPr>
        <w:t>(</w:t>
      </w:r>
      <w:r w:rsidR="009C32A0" w:rsidRPr="005675B2">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9C32A0" w:rsidRPr="005675B2">
        <w:rPr>
          <w:rFonts w:eastAsia="Times New Roman" w:hint="cs"/>
          <w:rtl/>
        </w:rPr>
        <w:t>اهـ.</w:t>
      </w:r>
      <w:r w:rsidR="009C32A0" w:rsidRPr="005675B2">
        <w:rPr>
          <w:rFonts w:hint="cs"/>
          <w:rtl/>
        </w:rPr>
        <w:t xml:space="preserve"> </w:t>
      </w:r>
      <w:r>
        <w:rPr>
          <w:rFonts w:hint="cs"/>
          <w:rtl/>
        </w:rPr>
        <w:t>[</w:t>
      </w:r>
      <w:r w:rsidR="009C32A0" w:rsidRPr="005675B2">
        <w:rPr>
          <w:rFonts w:hint="cs"/>
          <w:rtl/>
        </w:rPr>
        <w:t>الأسماء والصفات (ص/ 400)</w:t>
      </w:r>
      <w:r>
        <w:rPr>
          <w:rFonts w:hint="cs"/>
          <w:rtl/>
        </w:rPr>
        <w:t>]،</w:t>
      </w:r>
      <w:r w:rsidR="009C32A0" w:rsidRPr="005675B2">
        <w:rPr>
          <w:rFonts w:hint="cs"/>
          <w:rtl/>
        </w:rPr>
        <w:t xml:space="preserve"> </w:t>
      </w:r>
      <w:r>
        <w:rPr>
          <w:rFonts w:hint="cs"/>
          <w:rtl/>
        </w:rPr>
        <w:t>(</w:t>
      </w:r>
      <w:r w:rsidR="009C32A0" w:rsidRPr="005675B2">
        <w:rPr>
          <w:rFonts w:hint="cs"/>
          <w:rtl/>
        </w:rPr>
        <w:t>13</w:t>
      </w:r>
      <w:r>
        <w:rPr>
          <w:rFonts w:hint="cs"/>
          <w:rtl/>
        </w:rPr>
        <w:t>)</w:t>
      </w:r>
      <w:r w:rsidR="009C32A0" w:rsidRPr="005675B2">
        <w:rPr>
          <w:rFonts w:hint="cs"/>
          <w:rtl/>
        </w:rPr>
        <w:t xml:space="preserve"> وقال الإمام أبو إسحاق الشيرازي (476 هـ)</w:t>
      </w:r>
      <w:r>
        <w:rPr>
          <w:rFonts w:hint="cs"/>
          <w:rtl/>
        </w:rPr>
        <w:t>:</w:t>
      </w:r>
      <w:r w:rsidR="009C32A0" w:rsidRPr="005675B2">
        <w:rPr>
          <w:rFonts w:hint="cs"/>
          <w:rtl/>
        </w:rPr>
        <w:t xml:space="preserve"> </w:t>
      </w:r>
      <w:r>
        <w:rPr>
          <w:rFonts w:hint="cs"/>
          <w:rtl/>
        </w:rPr>
        <w:t>(</w:t>
      </w:r>
      <w:r w:rsidR="009C32A0" w:rsidRPr="005675B2">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Fonts w:hint="cs"/>
          <w:rtl/>
        </w:rPr>
        <w:t>[</w:t>
      </w:r>
      <w:r w:rsidR="009C32A0" w:rsidRPr="005675B2">
        <w:rPr>
          <w:rFonts w:hint="cs"/>
          <w:rtl/>
        </w:rPr>
        <w:t>شرح اللمع</w:t>
      </w:r>
      <w:r>
        <w:rPr>
          <w:rFonts w:hint="cs"/>
          <w:rtl/>
        </w:rPr>
        <w:t>:</w:t>
      </w:r>
      <w:r w:rsidR="009C32A0" w:rsidRPr="005675B2">
        <w:rPr>
          <w:rFonts w:hint="cs"/>
          <w:rtl/>
        </w:rPr>
        <w:t xml:space="preserve"> ج 1</w:t>
      </w:r>
      <w:r>
        <w:rPr>
          <w:rFonts w:hint="cs"/>
          <w:rtl/>
        </w:rPr>
        <w:t>:</w:t>
      </w:r>
      <w:r w:rsidR="009C32A0" w:rsidRPr="005675B2">
        <w:rPr>
          <w:rFonts w:hint="cs"/>
          <w:rtl/>
        </w:rPr>
        <w:t xml:space="preserve"> 101</w:t>
      </w:r>
      <w:r>
        <w:rPr>
          <w:rFonts w:hint="cs"/>
          <w:rtl/>
        </w:rPr>
        <w:t>]،</w:t>
      </w:r>
      <w:r w:rsidR="009C32A0" w:rsidRPr="005675B2">
        <w:rPr>
          <w:rFonts w:hint="cs"/>
          <w:rtl/>
        </w:rPr>
        <w:t xml:space="preserve"> </w:t>
      </w:r>
      <w:r>
        <w:rPr>
          <w:rFonts w:hint="cs"/>
          <w:rtl/>
        </w:rPr>
        <w:t>(</w:t>
      </w:r>
      <w:r w:rsidR="009C32A0" w:rsidRPr="005675B2">
        <w:rPr>
          <w:rFonts w:hint="cs"/>
          <w:rtl/>
        </w:rPr>
        <w:t>14</w:t>
      </w:r>
      <w:r>
        <w:rPr>
          <w:rFonts w:hint="cs"/>
          <w:rtl/>
        </w:rPr>
        <w:t>)</w:t>
      </w:r>
      <w:r w:rsidR="009C32A0" w:rsidRPr="005675B2">
        <w:rPr>
          <w:rFonts w:hint="cs"/>
          <w:rtl/>
        </w:rPr>
        <w:t xml:space="preserve"> وقال إمام الحرمين أبو المعالي الجويني (478 هـ)</w:t>
      </w:r>
      <w:r>
        <w:rPr>
          <w:rFonts w:hint="cs"/>
          <w:rtl/>
        </w:rPr>
        <w:t>:</w:t>
      </w:r>
      <w:r w:rsidR="009C32A0" w:rsidRPr="005675B2">
        <w:rPr>
          <w:rFonts w:hint="cs"/>
          <w:rtl/>
        </w:rPr>
        <w:t xml:space="preserve"> </w:t>
      </w:r>
      <w:r>
        <w:rPr>
          <w:rFonts w:hint="cs"/>
          <w:rtl/>
        </w:rPr>
        <w:t>(</w:t>
      </w:r>
      <w:r w:rsidR="009C32A0" w:rsidRPr="005675B2">
        <w:rPr>
          <w:rFonts w:hint="cs"/>
          <w:rtl/>
        </w:rPr>
        <w:t>البارئ سبحانه وتعالى قائم بنفسه</w:t>
      </w:r>
      <w:r>
        <w:rPr>
          <w:rFonts w:hint="cs"/>
          <w:rtl/>
        </w:rPr>
        <w:t>،</w:t>
      </w:r>
      <w:r w:rsidR="009C32A0" w:rsidRPr="005675B2">
        <w:rPr>
          <w:rFonts w:hint="cs"/>
          <w:rtl/>
        </w:rPr>
        <w:t xml:space="preserve"> متعال عن الافتقار إلى محل يحله أو مكان يقله</w:t>
      </w:r>
      <w:r>
        <w:rPr>
          <w:rFonts w:hint="cs"/>
          <w:rtl/>
        </w:rPr>
        <w:t>)</w:t>
      </w:r>
      <w:r w:rsidR="009C32A0" w:rsidRPr="005675B2">
        <w:rPr>
          <w:rFonts w:hint="cs"/>
          <w:rtl/>
        </w:rPr>
        <w:t xml:space="preserve"> اهـ. </w:t>
      </w:r>
      <w:r>
        <w:rPr>
          <w:rFonts w:hint="cs"/>
          <w:rtl/>
        </w:rPr>
        <w:t>[</w:t>
      </w:r>
      <w:r w:rsidR="009C32A0" w:rsidRPr="005675B2">
        <w:rPr>
          <w:rFonts w:hint="cs"/>
          <w:rtl/>
        </w:rPr>
        <w:t>الإرشاد إلى قواطع الأدلة (ص/ 53)</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مذهب أهل الحق قاطبة أن الله سبحانه وتعالى يتعالى عن التحيز والتخصص بالجهات</w:t>
      </w:r>
      <w:r>
        <w:rPr>
          <w:rFonts w:hint="cs"/>
          <w:rtl/>
        </w:rPr>
        <w:t>)</w:t>
      </w:r>
      <w:r w:rsidR="009C32A0" w:rsidRPr="005675B2">
        <w:rPr>
          <w:rFonts w:hint="cs"/>
          <w:rtl/>
        </w:rPr>
        <w:t xml:space="preserve"> أهـ [الإرشاد (ص/ 58)</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واعلموا أن مذهب أهل الحق: أن الرب سبحانه وتعالى يتقدس عن شغل حيز، وبتنزه عن الاختصاص بجهة</w:t>
      </w:r>
      <w:r>
        <w:rPr>
          <w:rFonts w:hint="cs"/>
          <w:rtl/>
        </w:rPr>
        <w:t>،</w:t>
      </w:r>
      <w:r w:rsidR="009C32A0" w:rsidRPr="005675B2">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Pr>
          <w:rFonts w:hint="cs"/>
          <w:rtl/>
        </w:rPr>
        <w:t>،</w:t>
      </w:r>
      <w:r w:rsidR="009C32A0" w:rsidRPr="005675B2">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Pr>
          <w:rFonts w:hint="cs"/>
          <w:rtl/>
        </w:rPr>
        <w:t>:</w:t>
      </w:r>
      <w:r w:rsidR="009C32A0" w:rsidRPr="005675B2">
        <w:rPr>
          <w:rFonts w:hint="cs"/>
          <w:rtl/>
        </w:rPr>
        <w:t xml:space="preserve"> ص</w:t>
      </w:r>
      <w:r>
        <w:rPr>
          <w:rFonts w:hint="cs"/>
          <w:rtl/>
        </w:rPr>
        <w:t xml:space="preserve">: </w:t>
      </w:r>
      <w:r w:rsidR="009C32A0" w:rsidRPr="005675B2">
        <w:rPr>
          <w:rFonts w:hint="cs"/>
          <w:rtl/>
        </w:rPr>
        <w:t>511</w:t>
      </w:r>
      <w:r>
        <w:rPr>
          <w:rFonts w:hint="cs"/>
          <w:rtl/>
        </w:rPr>
        <w:t>]،</w:t>
      </w:r>
      <w:r w:rsidR="009C32A0" w:rsidRPr="005675B2">
        <w:rPr>
          <w:rFonts w:hint="cs"/>
          <w:rtl/>
        </w:rPr>
        <w:t xml:space="preserve"> </w:t>
      </w:r>
      <w:r>
        <w:rPr>
          <w:rFonts w:hint="cs"/>
          <w:rtl/>
        </w:rPr>
        <w:t>(</w:t>
      </w:r>
      <w:r w:rsidR="009C32A0" w:rsidRPr="005675B2">
        <w:rPr>
          <w:rFonts w:hint="cs"/>
          <w:rtl/>
        </w:rPr>
        <w:t>15</w:t>
      </w:r>
      <w:r>
        <w:rPr>
          <w:rFonts w:hint="cs"/>
          <w:rtl/>
        </w:rPr>
        <w:t>)</w:t>
      </w:r>
      <w:r w:rsidR="009C32A0" w:rsidRPr="005675B2">
        <w:rPr>
          <w:rFonts w:hint="cs"/>
          <w:rtl/>
        </w:rPr>
        <w:t xml:space="preserve"> وقال الإمام أبو حامد الغزالي (505 هـ)</w:t>
      </w:r>
      <w:r>
        <w:rPr>
          <w:rFonts w:hint="cs"/>
          <w:rtl/>
        </w:rPr>
        <w:t>:</w:t>
      </w:r>
      <w:r w:rsidR="009C32A0" w:rsidRPr="005675B2">
        <w:rPr>
          <w:rFonts w:hint="cs"/>
          <w:rtl/>
        </w:rPr>
        <w:t xml:space="preserve"> </w:t>
      </w:r>
      <w:r>
        <w:rPr>
          <w:rFonts w:hint="cs"/>
          <w:rtl/>
        </w:rPr>
        <w:t>(</w:t>
      </w:r>
      <w:r w:rsidR="009C32A0" w:rsidRPr="005675B2">
        <w:rPr>
          <w:rFonts w:hint="cs"/>
          <w:rtl/>
        </w:rPr>
        <w:t xml:space="preserve">تعالى </w:t>
      </w:r>
      <w:r>
        <w:rPr>
          <w:rFonts w:hint="cs"/>
          <w:rtl/>
        </w:rPr>
        <w:t>[</w:t>
      </w:r>
      <w:r w:rsidR="009C32A0" w:rsidRPr="005675B2">
        <w:rPr>
          <w:rFonts w:hint="cs"/>
          <w:rtl/>
        </w:rPr>
        <w:t>الله</w:t>
      </w:r>
      <w:r>
        <w:rPr>
          <w:rFonts w:hint="cs"/>
          <w:rtl/>
        </w:rPr>
        <w:t>]</w:t>
      </w:r>
      <w:r w:rsidR="009C32A0" w:rsidRPr="005675B2">
        <w:rPr>
          <w:rFonts w:hint="cs"/>
          <w:rtl/>
        </w:rPr>
        <w:t xml:space="preserve"> عن أن يحويه مكان، كما تقدس عن أن يحده زمان، بل كان قبل أن خلق الزمان والمكان وهو الان على ما عليه كان</w:t>
      </w:r>
      <w:r>
        <w:rPr>
          <w:rFonts w:hint="cs"/>
          <w:rtl/>
        </w:rPr>
        <w:t xml:space="preserve">) </w:t>
      </w:r>
      <w:r w:rsidR="009C32A0" w:rsidRPr="005675B2">
        <w:rPr>
          <w:rFonts w:hint="cs"/>
          <w:rtl/>
        </w:rPr>
        <w:t>اهـ.</w:t>
      </w:r>
      <w:r>
        <w:rPr>
          <w:rFonts w:hint="cs"/>
          <w:rtl/>
        </w:rPr>
        <w:t>[</w:t>
      </w:r>
      <w:r w:rsidR="009C32A0" w:rsidRPr="005675B2">
        <w:rPr>
          <w:rFonts w:hint="cs"/>
          <w:rtl/>
        </w:rPr>
        <w:t>إحياء علوم الدين: كتاب قواعد العقائد، (1/ 108)</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 xml:space="preserve">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w:t>
      </w:r>
      <w:r w:rsidR="009C32A0" w:rsidRPr="005675B2">
        <w:rPr>
          <w:rFonts w:hint="cs"/>
          <w:rtl/>
        </w:rPr>
        <w:lastRenderedPageBreak/>
        <w:t xml:space="preserve">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w:t>
      </w:r>
      <w:r>
        <w:rPr>
          <w:rFonts w:hint="cs"/>
          <w:rtl/>
        </w:rPr>
        <w:t>(</w:t>
      </w:r>
      <w:r w:rsidR="009C32A0">
        <w:rPr>
          <w:rFonts w:hint="cs"/>
          <w:rtl/>
        </w:rPr>
        <w:t>تنبيه</w:t>
      </w:r>
      <w:r>
        <w:rPr>
          <w:rFonts w:hint="cs"/>
          <w:rtl/>
        </w:rPr>
        <w:t>)</w:t>
      </w:r>
      <w:r w:rsidR="009C32A0" w:rsidRPr="005675B2">
        <w:rPr>
          <w:rFonts w:hint="cs"/>
          <w:rtl/>
        </w:rPr>
        <w:t>ا بقصد جهة العلو على صفة المجد والعلاء، فإنه تعالى فوق كل موجود بالقهر والاستيلاء" اهـ [إحياء علوم الدين: (1/ 128)</w:t>
      </w:r>
      <w:r>
        <w:rPr>
          <w:rFonts w:hint="cs"/>
          <w:rtl/>
        </w:rPr>
        <w:t>]،</w:t>
      </w:r>
      <w:r w:rsidR="009C32A0" w:rsidRPr="005675B2">
        <w:rPr>
          <w:rFonts w:hint="cs"/>
          <w:rtl/>
        </w:rPr>
        <w:t xml:space="preserve"> </w:t>
      </w:r>
      <w:r>
        <w:rPr>
          <w:rFonts w:hint="cs"/>
          <w:rtl/>
        </w:rPr>
        <w:t>(</w:t>
      </w:r>
      <w:r w:rsidR="009C32A0" w:rsidRPr="005675B2">
        <w:rPr>
          <w:rFonts w:hint="cs"/>
          <w:rtl/>
        </w:rPr>
        <w:t>16</w:t>
      </w:r>
      <w:r>
        <w:rPr>
          <w:rFonts w:hint="cs"/>
          <w:rtl/>
        </w:rPr>
        <w:t>)</w:t>
      </w:r>
      <w:r w:rsidR="009C32A0" w:rsidRPr="005675B2">
        <w:rPr>
          <w:rFonts w:hint="cs"/>
          <w:rtl/>
        </w:rPr>
        <w:t xml:space="preserve"> وقال القاضي أبو بكر بن العربي المالكي الأندلسي (543 هـ)</w:t>
      </w:r>
      <w:r>
        <w:rPr>
          <w:rFonts w:hint="cs"/>
          <w:rtl/>
        </w:rPr>
        <w:t>:</w:t>
      </w:r>
      <w:r w:rsidR="009C32A0" w:rsidRPr="005675B2">
        <w:rPr>
          <w:rFonts w:hint="cs"/>
          <w:rtl/>
        </w:rPr>
        <w:t xml:space="preserve"> </w:t>
      </w:r>
      <w:r>
        <w:rPr>
          <w:rFonts w:hint="cs"/>
          <w:rtl/>
        </w:rPr>
        <w:t>(</w:t>
      </w:r>
      <w:r w:rsidR="009C32A0" w:rsidRPr="005675B2">
        <w:rPr>
          <w:rFonts w:hint="cs"/>
          <w:rtl/>
        </w:rPr>
        <w:t>البارئ تعالى يتقدس عن أن يُحَدّ بالجهات أو تكتنفه الأقطار</w:t>
      </w:r>
      <w:r>
        <w:rPr>
          <w:rFonts w:hint="cs"/>
          <w:rtl/>
        </w:rPr>
        <w:t xml:space="preserve">) </w:t>
      </w:r>
      <w:r w:rsidR="009C32A0" w:rsidRPr="005675B2">
        <w:rPr>
          <w:rFonts w:hint="cs"/>
          <w:rtl/>
        </w:rPr>
        <w:t xml:space="preserve">اهـ. </w:t>
      </w:r>
      <w:r>
        <w:rPr>
          <w:rFonts w:hint="cs"/>
          <w:rtl/>
        </w:rPr>
        <w:t>[</w:t>
      </w:r>
      <w:r w:rsidR="009C32A0" w:rsidRPr="005675B2">
        <w:rPr>
          <w:rFonts w:hint="cs"/>
          <w:rtl/>
        </w:rPr>
        <w:t>القبس في شرح الموطأ</w:t>
      </w:r>
      <w:r>
        <w:rPr>
          <w:rFonts w:hint="cs"/>
          <w:rtl/>
        </w:rPr>
        <w:t>:</w:t>
      </w:r>
      <w:r w:rsidR="009C32A0" w:rsidRPr="005675B2">
        <w:rPr>
          <w:rFonts w:hint="cs"/>
          <w:rtl/>
        </w:rPr>
        <w:t xml:space="preserve"> ج 1</w:t>
      </w:r>
      <w:r>
        <w:rPr>
          <w:rFonts w:hint="cs"/>
          <w:rtl/>
        </w:rPr>
        <w:t>:</w:t>
      </w:r>
      <w:r w:rsidR="009C32A0" w:rsidRPr="005675B2">
        <w:rPr>
          <w:rFonts w:hint="cs"/>
          <w:rtl/>
        </w:rPr>
        <w:t xml:space="preserve"> 395</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9C32A0" w:rsidRPr="005675B2">
        <w:rPr>
          <w:rFonts w:hint="cs"/>
          <w:rtl/>
        </w:rPr>
        <w:t xml:space="preserve"> اهـ. </w:t>
      </w:r>
      <w:r>
        <w:rPr>
          <w:rFonts w:hint="cs"/>
          <w:rtl/>
        </w:rPr>
        <w:t>[</w:t>
      </w:r>
      <w:r w:rsidR="009C32A0" w:rsidRPr="005675B2">
        <w:rPr>
          <w:rFonts w:hint="cs"/>
          <w:rtl/>
        </w:rPr>
        <w:t>القبس في شرح الموطأ</w:t>
      </w:r>
      <w:r>
        <w:rPr>
          <w:rFonts w:hint="cs"/>
          <w:rtl/>
        </w:rPr>
        <w:t>:</w:t>
      </w:r>
      <w:r w:rsidR="009C32A0" w:rsidRPr="005675B2">
        <w:rPr>
          <w:rFonts w:hint="cs"/>
          <w:rtl/>
        </w:rPr>
        <w:t xml:space="preserve"> ج 1</w:t>
      </w:r>
      <w:r>
        <w:rPr>
          <w:rFonts w:hint="cs"/>
          <w:rtl/>
        </w:rPr>
        <w:t>:</w:t>
      </w:r>
      <w:r w:rsidR="009C32A0" w:rsidRPr="005675B2">
        <w:rPr>
          <w:rFonts w:hint="cs"/>
          <w:rtl/>
        </w:rPr>
        <w:t xml:space="preserve"> 289</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الله تعالى يتقدس عن أن يحد بالجهات</w:t>
      </w:r>
      <w:r>
        <w:rPr>
          <w:rFonts w:hint="cs"/>
          <w:rtl/>
        </w:rPr>
        <w:t>)</w:t>
      </w:r>
      <w:r w:rsidR="009C32A0" w:rsidRPr="005675B2">
        <w:rPr>
          <w:rFonts w:hint="cs"/>
          <w:rtl/>
        </w:rPr>
        <w:t xml:space="preserve"> أهـ </w:t>
      </w:r>
      <w:r>
        <w:rPr>
          <w:rFonts w:hint="cs"/>
          <w:rtl/>
        </w:rPr>
        <w:t>[</w:t>
      </w:r>
      <w:r w:rsidR="009C32A0" w:rsidRPr="005675B2">
        <w:rPr>
          <w:rFonts w:hint="cs"/>
          <w:rtl/>
        </w:rPr>
        <w:t>القبس في شرح الموطأ</w:t>
      </w:r>
      <w:r>
        <w:rPr>
          <w:rFonts w:hint="cs"/>
          <w:rtl/>
        </w:rPr>
        <w:t>:</w:t>
      </w:r>
      <w:r w:rsidR="009C32A0" w:rsidRPr="005675B2">
        <w:rPr>
          <w:rFonts w:hint="cs"/>
          <w:rtl/>
        </w:rPr>
        <w:t xml:space="preserve"> ج 1</w:t>
      </w:r>
      <w:r>
        <w:rPr>
          <w:rFonts w:hint="cs"/>
          <w:rtl/>
        </w:rPr>
        <w:t>:</w:t>
      </w:r>
      <w:r w:rsidR="009C32A0" w:rsidRPr="005675B2">
        <w:rPr>
          <w:rFonts w:hint="cs"/>
          <w:rtl/>
        </w:rPr>
        <w:t xml:space="preserve"> 395</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9C32A0" w:rsidRPr="005675B2">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Fonts w:hint="cs"/>
          <w:rtl/>
        </w:rPr>
        <w:t>[</w:t>
      </w:r>
      <w:r w:rsidR="009C32A0" w:rsidRPr="005675B2">
        <w:rPr>
          <w:rFonts w:hint="cs"/>
          <w:rtl/>
        </w:rPr>
        <w:t>عارضة الأحوذي بشرح سنن الترمذي</w:t>
      </w:r>
      <w:r>
        <w:rPr>
          <w:rFonts w:hint="cs"/>
          <w:rtl/>
        </w:rPr>
        <w:t>:</w:t>
      </w:r>
      <w:r w:rsidR="009C32A0" w:rsidRPr="005675B2">
        <w:rPr>
          <w:rFonts w:hint="cs"/>
          <w:rtl/>
        </w:rPr>
        <w:t xml:space="preserve"> ج 12</w:t>
      </w:r>
      <w:r>
        <w:rPr>
          <w:rFonts w:hint="cs"/>
          <w:rtl/>
        </w:rPr>
        <w:t>:</w:t>
      </w:r>
      <w:r w:rsidR="009C32A0" w:rsidRPr="005675B2">
        <w:rPr>
          <w:rFonts w:hint="cs"/>
          <w:rtl/>
        </w:rPr>
        <w:t xml:space="preserve"> 184</w:t>
      </w:r>
      <w:r>
        <w:rPr>
          <w:rFonts w:hint="cs"/>
          <w:rtl/>
        </w:rPr>
        <w:t>]، (</w:t>
      </w:r>
      <w:r w:rsidR="009C32A0" w:rsidRPr="005675B2">
        <w:rPr>
          <w:rFonts w:hint="cs"/>
          <w:rtl/>
        </w:rPr>
        <w:t>17</w:t>
      </w:r>
      <w:r>
        <w:rPr>
          <w:rFonts w:hint="cs"/>
          <w:rtl/>
        </w:rPr>
        <w:t>)</w:t>
      </w:r>
      <w:r w:rsidR="009C32A0" w:rsidRPr="005675B2">
        <w:rPr>
          <w:rFonts w:hint="cs"/>
          <w:rtl/>
        </w:rPr>
        <w:t xml:space="preserve"> وقال القاضي عياض المالكي (544</w:t>
      </w:r>
      <w:r>
        <w:rPr>
          <w:rFonts w:hint="cs"/>
          <w:rtl/>
        </w:rPr>
        <w:t>):</w:t>
      </w:r>
      <w:r w:rsidR="009C32A0" w:rsidRPr="005675B2">
        <w:rPr>
          <w:rFonts w:hint="cs"/>
          <w:rtl/>
        </w:rPr>
        <w:t xml:space="preserve"> </w:t>
      </w:r>
      <w:r>
        <w:rPr>
          <w:rFonts w:hint="cs"/>
          <w:rtl/>
        </w:rPr>
        <w:t>(</w:t>
      </w:r>
      <w:r w:rsidR="009C32A0" w:rsidRPr="005675B2">
        <w:rPr>
          <w:rFonts w:hint="cs"/>
          <w:rtl/>
        </w:rPr>
        <w:t xml:space="preserve">اعلم أن ما وقع من إضافة الدنو والقرب هنا من الله او إلى الله فليس بدنو مكان ولا قُرب مدى، بل كما ذكرنا </w:t>
      </w:r>
      <w:r w:rsidR="009C32A0" w:rsidRPr="005675B2">
        <w:rPr>
          <w:rFonts w:hint="cs"/>
          <w:rtl/>
        </w:rPr>
        <w:lastRenderedPageBreak/>
        <w:t>عن جعفر بن محمد الصادق: ليس بدُنو حد، صفة المجد والعلاء، فإنه تعالى فوق كل موجود بالقهر والاستيلاء</w:t>
      </w:r>
      <w:r>
        <w:rPr>
          <w:rFonts w:hint="cs"/>
          <w:rtl/>
        </w:rPr>
        <w:t>)</w:t>
      </w:r>
      <w:r w:rsidR="009C32A0" w:rsidRPr="005675B2">
        <w:rPr>
          <w:rFonts w:hint="cs"/>
          <w:rtl/>
        </w:rPr>
        <w:t xml:space="preserve"> اهـ </w:t>
      </w:r>
      <w:r>
        <w:rPr>
          <w:rFonts w:hint="cs"/>
          <w:rtl/>
        </w:rPr>
        <w:t>[</w:t>
      </w:r>
      <w:r w:rsidR="009C32A0" w:rsidRPr="005675B2">
        <w:rPr>
          <w:rFonts w:hint="cs"/>
          <w:rtl/>
        </w:rPr>
        <w:t>الشفا</w:t>
      </w:r>
      <w:r>
        <w:rPr>
          <w:rFonts w:hint="cs"/>
          <w:rtl/>
        </w:rPr>
        <w:t>:</w:t>
      </w:r>
      <w:r w:rsidR="009C32A0" w:rsidRPr="005675B2">
        <w:rPr>
          <w:rFonts w:hint="cs"/>
          <w:rtl/>
        </w:rPr>
        <w:t xml:space="preserve"> ج1</w:t>
      </w:r>
      <w:r>
        <w:rPr>
          <w:rFonts w:hint="cs"/>
          <w:rtl/>
        </w:rPr>
        <w:t>:</w:t>
      </w:r>
      <w:r w:rsidR="009C32A0" w:rsidRPr="005675B2">
        <w:rPr>
          <w:rFonts w:hint="cs"/>
          <w:rtl/>
        </w:rPr>
        <w:t xml:space="preserve"> 205</w:t>
      </w:r>
      <w:r>
        <w:rPr>
          <w:rFonts w:hint="cs"/>
          <w:rtl/>
        </w:rPr>
        <w:t>]،</w:t>
      </w:r>
      <w:r w:rsidR="009C32A0" w:rsidRPr="005675B2">
        <w:rPr>
          <w:rFonts w:hint="cs"/>
          <w:rtl/>
        </w:rPr>
        <w:t xml:space="preserve"> </w:t>
      </w:r>
      <w:r>
        <w:rPr>
          <w:rFonts w:hint="cs"/>
          <w:rtl/>
        </w:rPr>
        <w:t>(</w:t>
      </w:r>
      <w:r w:rsidR="009C32A0" w:rsidRPr="005675B2">
        <w:rPr>
          <w:rFonts w:hint="cs"/>
          <w:rtl/>
        </w:rPr>
        <w:t>18</w:t>
      </w:r>
      <w:r>
        <w:rPr>
          <w:rFonts w:hint="cs"/>
          <w:rtl/>
        </w:rPr>
        <w:t>)</w:t>
      </w:r>
      <w:r w:rsidR="009C32A0" w:rsidRPr="005675B2">
        <w:rPr>
          <w:rFonts w:hint="cs"/>
          <w:rtl/>
        </w:rPr>
        <w:t xml:space="preserve"> وقال الإمام الشهرستاني (548هـ)</w:t>
      </w:r>
      <w:r>
        <w:rPr>
          <w:rFonts w:hint="cs"/>
          <w:rtl/>
        </w:rPr>
        <w:t>:</w:t>
      </w:r>
      <w:r w:rsidR="009C32A0" w:rsidRPr="005675B2">
        <w:rPr>
          <w:rFonts w:hint="cs"/>
          <w:rtl/>
        </w:rPr>
        <w:t xml:space="preserve"> </w:t>
      </w:r>
      <w:r>
        <w:rPr>
          <w:rFonts w:hint="cs"/>
          <w:rtl/>
        </w:rPr>
        <w:t>(</w:t>
      </w:r>
      <w:r w:rsidR="009C32A0" w:rsidRPr="005675B2">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9C32A0" w:rsidRPr="005675B2">
        <w:rPr>
          <w:rFonts w:hint="cs"/>
          <w:rtl/>
        </w:rPr>
        <w:t>لَيْسَ كَمِثْلِهِ شَيْءٌ وَهُوَ السَّمِيعُ البَصِيرُ</w:t>
      </w:r>
      <w:r>
        <w:rPr>
          <w:rFonts w:hint="cs"/>
          <w:rtl/>
        </w:rPr>
        <w:t>}،</w:t>
      </w:r>
      <w:r w:rsidR="009C32A0" w:rsidRPr="005675B2">
        <w:rPr>
          <w:rFonts w:hint="cs"/>
          <w:rtl/>
        </w:rPr>
        <w:t xml:space="preserve"> فليس البارئ سبحانه بجوهر ولا جسم ولا عرض ولا في مكان ولا في زمان</w:t>
      </w:r>
      <w:r>
        <w:rPr>
          <w:rFonts w:hint="cs"/>
          <w:rtl/>
        </w:rPr>
        <w:t xml:space="preserve">) </w:t>
      </w:r>
      <w:r w:rsidR="009C32A0" w:rsidRPr="005675B2">
        <w:rPr>
          <w:rFonts w:hint="cs"/>
          <w:rtl/>
        </w:rPr>
        <w:t>اهـ.</w:t>
      </w:r>
      <w:r>
        <w:rPr>
          <w:rFonts w:hint="cs"/>
          <w:rtl/>
        </w:rPr>
        <w:t>[</w:t>
      </w:r>
      <w:r w:rsidR="009C32A0" w:rsidRPr="005675B2">
        <w:rPr>
          <w:rFonts w:hint="cs"/>
          <w:rtl/>
        </w:rPr>
        <w:t>نهاية الأقدام ص/ 103]</w:t>
      </w:r>
      <w:r>
        <w:rPr>
          <w:rFonts w:hint="cs"/>
          <w:rtl/>
        </w:rPr>
        <w:t>،</w:t>
      </w:r>
      <w:r w:rsidR="009C32A0" w:rsidRPr="005675B2">
        <w:rPr>
          <w:rFonts w:hint="cs"/>
          <w:rtl/>
        </w:rPr>
        <w:t xml:space="preserve"> </w:t>
      </w:r>
      <w:r w:rsidR="009C32A0" w:rsidRPr="005675B2">
        <w:rPr>
          <w:rFonts w:eastAsia="Times New Roman" w:hint="cs"/>
          <w:rtl/>
        </w:rPr>
        <w:t>وقال الإمام الحافظ ابن الجوزي الحنبلي (597هـ)</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9C32A0" w:rsidRPr="005675B2">
        <w:rPr>
          <w:rFonts w:eastAsia="Times New Roman" w:hint="cs"/>
          <w:rtl/>
        </w:rPr>
        <w:t xml:space="preserve">اهـ. </w:t>
      </w:r>
      <w:r>
        <w:rPr>
          <w:rFonts w:hint="cs"/>
          <w:rtl/>
        </w:rPr>
        <w:t>[</w:t>
      </w:r>
      <w:r w:rsidR="009C32A0" w:rsidRPr="005675B2">
        <w:rPr>
          <w:rFonts w:hint="cs"/>
          <w:rtl/>
        </w:rPr>
        <w:t>دفع شبه التشبيه (ص/58)</w:t>
      </w:r>
      <w:r>
        <w:rPr>
          <w:rFonts w:hint="cs"/>
          <w:rtl/>
        </w:rPr>
        <w:t>]،</w:t>
      </w:r>
      <w:r w:rsidR="009C32A0" w:rsidRPr="005675B2">
        <w:rPr>
          <w:rFonts w:hint="cs"/>
          <w:rtl/>
        </w:rPr>
        <w:t xml:space="preserve"> </w:t>
      </w:r>
      <w:r w:rsidR="009C32A0" w:rsidRPr="005675B2">
        <w:rPr>
          <w:rFonts w:eastAsia="Times New Roman" w:hint="cs"/>
          <w:rtl/>
        </w:rPr>
        <w:t>وقال في صيد الخاطر</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hint="cs"/>
          <w:rtl/>
        </w:rPr>
        <w:t>[</w:t>
      </w:r>
      <w:r w:rsidR="009C32A0" w:rsidRPr="005675B2">
        <w:rPr>
          <w:rFonts w:hint="cs"/>
          <w:rtl/>
        </w:rPr>
        <w:t>صيد الخاطر</w:t>
      </w:r>
      <w:r>
        <w:rPr>
          <w:rFonts w:hint="cs"/>
          <w:rtl/>
        </w:rPr>
        <w:t>:</w:t>
      </w:r>
      <w:r w:rsidR="009C32A0" w:rsidRPr="005675B2">
        <w:rPr>
          <w:rFonts w:hint="cs"/>
          <w:rtl/>
        </w:rPr>
        <w:t xml:space="preserve"> ص/ 476</w:t>
      </w:r>
      <w:r>
        <w:rPr>
          <w:rFonts w:hint="cs"/>
          <w:rtl/>
        </w:rPr>
        <w:t>]،</w:t>
      </w:r>
      <w:r w:rsidR="009C32A0" w:rsidRPr="005675B2">
        <w:rPr>
          <w:rFonts w:hint="cs"/>
          <w:rtl/>
        </w:rPr>
        <w:t xml:space="preserve"> </w:t>
      </w:r>
      <w:r w:rsidR="009C32A0" w:rsidRPr="005675B2">
        <w:rPr>
          <w:rFonts w:eastAsia="Times New Roman" w:hint="cs"/>
          <w:rtl/>
        </w:rPr>
        <w:t>وقال في الباز الأشهب</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hint="cs"/>
          <w:rtl/>
        </w:rPr>
        <w:t>[</w:t>
      </w:r>
      <w:r w:rsidR="009C32A0" w:rsidRPr="005675B2">
        <w:rPr>
          <w:rFonts w:eastAsia="Times New Roman" w:hint="cs"/>
          <w:rtl/>
        </w:rPr>
        <w:t>الباز الأشهب ص 57]</w:t>
      </w:r>
      <w:r>
        <w:rPr>
          <w:rFonts w:eastAsia="Times New Roman" w:hint="cs"/>
          <w:rtl/>
        </w:rPr>
        <w:t xml:space="preserve">، </w:t>
      </w:r>
      <w:r>
        <w:rPr>
          <w:rFonts w:hint="cs"/>
          <w:rtl/>
        </w:rPr>
        <w:t>(</w:t>
      </w:r>
      <w:r w:rsidR="009C32A0" w:rsidRPr="005675B2">
        <w:rPr>
          <w:rFonts w:hint="cs"/>
          <w:rtl/>
        </w:rPr>
        <w:t>19</w:t>
      </w:r>
      <w:r>
        <w:rPr>
          <w:rFonts w:hint="cs"/>
          <w:rtl/>
        </w:rPr>
        <w:t>)</w:t>
      </w:r>
      <w:r w:rsidR="009C32A0" w:rsidRPr="005675B2">
        <w:rPr>
          <w:rFonts w:hint="cs"/>
          <w:rtl/>
        </w:rPr>
        <w:t xml:space="preserve"> وقال الحافظ ابن عساكر (620 هـ) – في درة من تنزيهات العلماء – </w:t>
      </w:r>
      <w:r>
        <w:rPr>
          <w:rFonts w:hint="cs"/>
          <w:rtl/>
        </w:rPr>
        <w:t>(</w:t>
      </w:r>
      <w:r w:rsidR="009C32A0" w:rsidRPr="005675B2">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rtl/>
        </w:rPr>
        <w:t>)</w:t>
      </w:r>
      <w:r w:rsidR="009C32A0" w:rsidRPr="005675B2">
        <w:rPr>
          <w:rFonts w:hint="cs"/>
          <w:rtl/>
        </w:rPr>
        <w:t xml:space="preserve"> اهـ </w:t>
      </w:r>
      <w:r>
        <w:rPr>
          <w:rFonts w:hint="cs"/>
          <w:rtl/>
        </w:rPr>
        <w:t>[</w:t>
      </w:r>
      <w:r w:rsidR="009C32A0" w:rsidRPr="005675B2">
        <w:rPr>
          <w:rFonts w:hint="cs"/>
          <w:rtl/>
        </w:rPr>
        <w:t>طبقات الشافعية (8/ 186)</w:t>
      </w:r>
      <w:r>
        <w:rPr>
          <w:rFonts w:hint="cs"/>
          <w:rtl/>
        </w:rPr>
        <w:t>]،</w:t>
      </w:r>
      <w:r w:rsidR="009C32A0" w:rsidRPr="005675B2">
        <w:rPr>
          <w:rFonts w:hint="cs"/>
          <w:rtl/>
        </w:rPr>
        <w:t xml:space="preserve"> وقال سلطان العلماء</w:t>
      </w:r>
      <w:r>
        <w:rPr>
          <w:rFonts w:hint="cs"/>
          <w:rtl/>
        </w:rPr>
        <w:t xml:space="preserve"> </w:t>
      </w:r>
      <w:r w:rsidR="009C32A0" w:rsidRPr="005675B2">
        <w:rPr>
          <w:rFonts w:hint="cs"/>
          <w:rtl/>
        </w:rPr>
        <w:t>عبد العزيز بن عبد السلام (660 ه)</w:t>
      </w:r>
      <w:r>
        <w:rPr>
          <w:rFonts w:hint="cs"/>
          <w:rtl/>
        </w:rPr>
        <w:t>:</w:t>
      </w:r>
      <w:r w:rsidR="009C32A0" w:rsidRPr="005675B2">
        <w:rPr>
          <w:rFonts w:hint="cs"/>
          <w:rtl/>
        </w:rPr>
        <w:t xml:space="preserve"> </w:t>
      </w:r>
      <w:r>
        <w:rPr>
          <w:rFonts w:hint="cs"/>
          <w:rtl/>
        </w:rPr>
        <w:t>(</w:t>
      </w:r>
      <w:r w:rsidR="009C32A0" w:rsidRPr="005675B2">
        <w:rPr>
          <w:rFonts w:hint="cs"/>
          <w:rtl/>
        </w:rPr>
        <w:t xml:space="preserve">ليس </w:t>
      </w:r>
      <w:r>
        <w:rPr>
          <w:rFonts w:hint="cs"/>
          <w:rtl/>
        </w:rPr>
        <w:t>[</w:t>
      </w:r>
      <w:r w:rsidR="009C32A0" w:rsidRPr="005675B2">
        <w:rPr>
          <w:rFonts w:hint="cs"/>
          <w:rtl/>
        </w:rPr>
        <w:t>الله تعالى</w:t>
      </w:r>
      <w:r>
        <w:rPr>
          <w:rFonts w:hint="cs"/>
          <w:rtl/>
        </w:rPr>
        <w:t>]</w:t>
      </w:r>
      <w:r w:rsidR="009C32A0" w:rsidRPr="005675B2">
        <w:rPr>
          <w:rFonts w:hint="cs"/>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Pr>
          <w:rFonts w:hint="cs"/>
          <w:rtl/>
        </w:rPr>
        <w:t>:</w:t>
      </w:r>
      <w:r w:rsidR="009C32A0" w:rsidRPr="005675B2">
        <w:rPr>
          <w:rFonts w:hint="cs"/>
          <w:rtl/>
        </w:rPr>
        <w:t xml:space="preserve"> (8/ 219)</w:t>
      </w:r>
      <w:r>
        <w:rPr>
          <w:rFonts w:hint="cs"/>
          <w:rtl/>
        </w:rPr>
        <w:t>]</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20</w:t>
      </w:r>
      <w:r>
        <w:rPr>
          <w:rFonts w:eastAsia="Times New Roman" w:hint="cs"/>
          <w:rtl/>
        </w:rPr>
        <w:t>)</w:t>
      </w:r>
      <w:r w:rsidR="009C32A0" w:rsidRPr="005675B2">
        <w:rPr>
          <w:rFonts w:eastAsia="Times New Roman" w:hint="cs"/>
          <w:rtl/>
        </w:rPr>
        <w:t xml:space="preserve"> وقال الإمام المفسّر محمد بن أحمد الأنصاري القرطبي المالكي (671هـ)</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9C32A0" w:rsidRPr="005675B2">
        <w:rPr>
          <w:rFonts w:eastAsia="Times New Roman" w:hint="cs"/>
          <w:rtl/>
        </w:rPr>
        <w:t xml:space="preserve">أهـ </w:t>
      </w:r>
      <w:r>
        <w:rPr>
          <w:rFonts w:eastAsia="Times New Roman" w:hint="cs"/>
          <w:rtl/>
        </w:rPr>
        <w:t>[</w:t>
      </w:r>
      <w:r w:rsidR="009C32A0" w:rsidRPr="005675B2">
        <w:rPr>
          <w:rFonts w:hint="cs"/>
          <w:rtl/>
        </w:rPr>
        <w:t>الجامع لأحكام القرءان</w:t>
      </w:r>
      <w:r>
        <w:rPr>
          <w:rFonts w:hint="cs"/>
          <w:rtl/>
        </w:rPr>
        <w:t>:</w:t>
      </w:r>
      <w:r w:rsidR="009C32A0" w:rsidRPr="005675B2">
        <w:rPr>
          <w:rFonts w:hint="cs"/>
          <w:rtl/>
        </w:rPr>
        <w:t xml:space="preserve"> (3/ 278)]</w:t>
      </w:r>
      <w:r>
        <w:rPr>
          <w:rFonts w:hint="cs"/>
          <w:rtl/>
        </w:rPr>
        <w:t>،</w:t>
      </w:r>
      <w:r w:rsidR="009C32A0" w:rsidRPr="005675B2">
        <w:rPr>
          <w:rFonts w:hint="cs"/>
          <w:rtl/>
        </w:rPr>
        <w:t xml:space="preserve"> </w:t>
      </w:r>
      <w:r w:rsidR="009C32A0" w:rsidRPr="005675B2">
        <w:rPr>
          <w:rFonts w:eastAsia="Times New Roman" w:hint="cs"/>
          <w:rtl/>
        </w:rPr>
        <w:t xml:space="preserve">وقال أيضًا </w:t>
      </w:r>
      <w:r>
        <w:rPr>
          <w:rFonts w:eastAsia="Times New Roman" w:hint="cs"/>
          <w:rtl/>
        </w:rPr>
        <w:t>(</w:t>
      </w:r>
      <w:r w:rsidR="009C32A0" w:rsidRPr="005675B2">
        <w:rPr>
          <w:rFonts w:eastAsia="Times New Roman" w:hint="cs"/>
          <w:rtl/>
        </w:rPr>
        <w:t>والقاعدة تنزيهه سبحانه وتعالى عن الحركة والانتقال وشغل الأمكنة</w:t>
      </w:r>
      <w:r>
        <w:rPr>
          <w:rFonts w:eastAsia="Times New Roman" w:hint="cs"/>
          <w:rtl/>
        </w:rPr>
        <w:t xml:space="preserve">) </w:t>
      </w:r>
      <w:r w:rsidR="009C32A0" w:rsidRPr="005675B2">
        <w:rPr>
          <w:rFonts w:eastAsia="Times New Roman" w:hint="cs"/>
          <w:rtl/>
        </w:rPr>
        <w:t>اهـ.</w:t>
      </w:r>
      <w:r w:rsidR="009C32A0" w:rsidRPr="005675B2">
        <w:rPr>
          <w:rFonts w:hint="cs"/>
          <w:rtl/>
        </w:rPr>
        <w:t xml:space="preserve"> </w:t>
      </w:r>
      <w:r>
        <w:rPr>
          <w:rFonts w:hint="cs"/>
          <w:rtl/>
        </w:rPr>
        <w:t>[</w:t>
      </w:r>
      <w:r w:rsidR="009C32A0" w:rsidRPr="005675B2">
        <w:rPr>
          <w:rFonts w:hint="cs"/>
          <w:rtl/>
        </w:rPr>
        <w:t>المصدر السابق</w:t>
      </w:r>
      <w:r>
        <w:rPr>
          <w:rFonts w:hint="cs"/>
          <w:rtl/>
        </w:rPr>
        <w:t>:</w:t>
      </w:r>
      <w:r w:rsidR="009C32A0" w:rsidRPr="005675B2">
        <w:rPr>
          <w:rFonts w:hint="cs"/>
          <w:rtl/>
        </w:rPr>
        <w:t xml:space="preserve"> (6/ 390)</w:t>
      </w:r>
      <w:r>
        <w:rPr>
          <w:rFonts w:hint="cs"/>
          <w:rtl/>
        </w:rPr>
        <w:t>]،</w:t>
      </w:r>
      <w:r w:rsidR="009C32A0" w:rsidRPr="005675B2">
        <w:rPr>
          <w:rFonts w:hint="cs"/>
          <w:rtl/>
        </w:rPr>
        <w:t xml:space="preserve"> </w:t>
      </w:r>
      <w:r w:rsidR="009C32A0" w:rsidRPr="005675B2">
        <w:rPr>
          <w:rFonts w:eastAsia="Times New Roman" w:hint="cs"/>
          <w:rtl/>
        </w:rPr>
        <w:t>وقال أيضًا</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 xml:space="preserve">ومعنى:{فوق عباده} [سورة الأنعام/18] فوقية الاستعلاء بالقهر والغلبة عليهم، أي هم تحت تسخيره لا فوقية مكان" اهـ. </w:t>
      </w:r>
      <w:r>
        <w:rPr>
          <w:rFonts w:hint="cs"/>
          <w:rtl/>
        </w:rPr>
        <w:t>[</w:t>
      </w:r>
      <w:r w:rsidR="009C32A0" w:rsidRPr="005675B2">
        <w:rPr>
          <w:rFonts w:hint="cs"/>
          <w:rtl/>
        </w:rPr>
        <w:t>المصدر السابق</w:t>
      </w:r>
      <w:r>
        <w:rPr>
          <w:rFonts w:hint="cs"/>
          <w:rtl/>
        </w:rPr>
        <w:t>:</w:t>
      </w:r>
      <w:r w:rsidR="009C32A0" w:rsidRPr="005675B2">
        <w:rPr>
          <w:rFonts w:hint="cs"/>
          <w:rtl/>
        </w:rPr>
        <w:t xml:space="preserve"> (6/ 399)</w:t>
      </w:r>
      <w:r>
        <w:rPr>
          <w:rFonts w:hint="cs"/>
          <w:rtl/>
        </w:rPr>
        <w:t>]،</w:t>
      </w:r>
      <w:r w:rsidR="009C32A0" w:rsidRPr="005675B2">
        <w:rPr>
          <w:rFonts w:eastAsia="Times New Roman" w:hint="cs"/>
          <w:rtl/>
        </w:rPr>
        <w:t xml:space="preserve"> وقال أيضًا عند تفسير ءاية</w:t>
      </w:r>
      <w:r>
        <w:rPr>
          <w:rFonts w:eastAsia="Times New Roman" w:hint="cs"/>
          <w:rtl/>
        </w:rPr>
        <w:t>:</w:t>
      </w:r>
      <w:r w:rsidR="009C32A0" w:rsidRPr="005675B2">
        <w:rPr>
          <w:rFonts w:eastAsia="Times New Roman" w:hint="cs"/>
          <w:rtl/>
        </w:rPr>
        <w:t>{أَوْ يَأْتِيَ رَبُّكَ أَوْ يَأْتِيَ بَعْضُ ءايَاتِ رَبِّكَ} [سورة الأنعام/158]</w:t>
      </w:r>
      <w:r>
        <w:rPr>
          <w:rFonts w:eastAsia="Times New Roman" w:hint="cs"/>
          <w:rtl/>
        </w:rPr>
        <w:t>: (</w:t>
      </w:r>
      <w:r w:rsidR="009C32A0" w:rsidRPr="005675B2">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9C32A0" w:rsidRPr="005675B2">
        <w:rPr>
          <w:rFonts w:eastAsia="Times New Roman" w:hint="cs"/>
          <w:rtl/>
        </w:rPr>
        <w:t xml:space="preserve"> اهـ.</w:t>
      </w:r>
      <w:r w:rsidR="009C32A0" w:rsidRPr="005675B2">
        <w:rPr>
          <w:rFonts w:hint="cs"/>
          <w:rtl/>
        </w:rPr>
        <w:t xml:space="preserve"> </w:t>
      </w:r>
      <w:r>
        <w:rPr>
          <w:rFonts w:hint="cs"/>
          <w:rtl/>
        </w:rPr>
        <w:t>[</w:t>
      </w:r>
      <w:r w:rsidR="009C32A0" w:rsidRPr="005675B2">
        <w:rPr>
          <w:rFonts w:hint="cs"/>
          <w:rtl/>
        </w:rPr>
        <w:t>المصدر السابق</w:t>
      </w:r>
      <w:r>
        <w:rPr>
          <w:rFonts w:hint="cs"/>
          <w:rtl/>
        </w:rPr>
        <w:t>:</w:t>
      </w:r>
      <w:r w:rsidR="009C32A0" w:rsidRPr="005675B2">
        <w:rPr>
          <w:rFonts w:hint="cs"/>
          <w:rtl/>
        </w:rPr>
        <w:t xml:space="preserve"> (7/ </w:t>
      </w:r>
      <w:r w:rsidR="009C32A0" w:rsidRPr="005675B2">
        <w:rPr>
          <w:rFonts w:hint="cs"/>
          <w:rtl/>
        </w:rPr>
        <w:lastRenderedPageBreak/>
        <w:t>145)</w:t>
      </w:r>
      <w:r>
        <w:rPr>
          <w:rFonts w:hint="cs"/>
          <w:rtl/>
        </w:rPr>
        <w:t>]،</w:t>
      </w:r>
      <w:r w:rsidR="009C32A0" w:rsidRPr="005675B2">
        <w:rPr>
          <w:rFonts w:eastAsia="Times New Roman" w:hint="cs"/>
          <w:rtl/>
        </w:rPr>
        <w:t xml:space="preserve"> وقال أيضًا</w:t>
      </w:r>
      <w:r>
        <w:rPr>
          <w:rFonts w:eastAsia="Times New Roman" w:hint="cs"/>
          <w:rtl/>
        </w:rPr>
        <w:t>:</w:t>
      </w:r>
      <w:r w:rsidR="009C32A0" w:rsidRPr="005675B2">
        <w:rPr>
          <w:rFonts w:eastAsia="Times New Roman" w:hint="cs"/>
          <w:rtl/>
        </w:rPr>
        <w:t xml:space="preserve"> في تفسير آية {وجاء ربّك والملك صفًّا صفًّا}</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9C32A0" w:rsidRPr="005675B2">
        <w:rPr>
          <w:rFonts w:hint="cs"/>
          <w:rtl/>
        </w:rPr>
        <w:t xml:space="preserve"> </w:t>
      </w:r>
      <w:r>
        <w:rPr>
          <w:rFonts w:hint="cs"/>
          <w:rtl/>
        </w:rPr>
        <w:t>[</w:t>
      </w:r>
      <w:r w:rsidR="009C32A0" w:rsidRPr="005675B2">
        <w:rPr>
          <w:rFonts w:hint="cs"/>
          <w:rtl/>
        </w:rPr>
        <w:t>المصدر السابق</w:t>
      </w:r>
      <w:r>
        <w:rPr>
          <w:rFonts w:hint="cs"/>
          <w:rtl/>
        </w:rPr>
        <w:t>:</w:t>
      </w:r>
      <w:r w:rsidR="009C32A0" w:rsidRPr="005675B2">
        <w:rPr>
          <w:rFonts w:hint="cs"/>
          <w:rtl/>
        </w:rPr>
        <w:t xml:space="preserve"> </w:t>
      </w:r>
      <w:r w:rsidR="009C32A0" w:rsidRPr="005675B2">
        <w:rPr>
          <w:rFonts w:eastAsia="Times New Roman" w:hint="cs"/>
          <w:rtl/>
        </w:rPr>
        <w:t>(20/55)</w:t>
      </w:r>
      <w:r w:rsidR="009C32A0" w:rsidRPr="005675B2">
        <w:rPr>
          <w:rFonts w:hint="cs"/>
          <w:rtl/>
        </w:rPr>
        <w:t>]</w:t>
      </w:r>
      <w:r>
        <w:rPr>
          <w:rFonts w:eastAsia="Times New Roman" w:hint="cs"/>
          <w:rtl/>
          <w:lang w:bidi="ar-KW"/>
        </w:rPr>
        <w:t>،</w:t>
      </w:r>
      <w:r w:rsidR="009C32A0" w:rsidRPr="005675B2">
        <w:rPr>
          <w:rFonts w:eastAsia="Times New Roman" w:hint="cs"/>
          <w:rtl/>
        </w:rPr>
        <w:t xml:space="preserve"> وقال أيضًا عند تفسير قوله تعالى:{ءأمنتم من في السماء أن يخسف بكم الأرض} [سورة المُلك/16]</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9C32A0" w:rsidRPr="005675B2">
        <w:rPr>
          <w:rFonts w:eastAsia="Times New Roman" w:hint="cs"/>
          <w:rtl/>
        </w:rPr>
        <w:t xml:space="preserve"> اهـ </w:t>
      </w:r>
      <w:r>
        <w:rPr>
          <w:rFonts w:eastAsia="Times New Roman" w:hint="cs"/>
          <w:rtl/>
        </w:rPr>
        <w:t>[</w:t>
      </w:r>
      <w:r w:rsidR="009C32A0" w:rsidRPr="005675B2">
        <w:rPr>
          <w:rFonts w:eastAsia="Times New Roman" w:hint="cs"/>
          <w:rtl/>
        </w:rPr>
        <w:t xml:space="preserve">المصدر السابق: </w:t>
      </w:r>
      <w:r>
        <w:rPr>
          <w:rFonts w:eastAsia="Times New Roman" w:hint="cs"/>
          <w:rtl/>
        </w:rPr>
        <w:t>(</w:t>
      </w:r>
      <w:r w:rsidR="009C32A0" w:rsidRPr="005675B2">
        <w:rPr>
          <w:rFonts w:eastAsia="Times New Roman" w:hint="cs"/>
          <w:rtl/>
        </w:rPr>
        <w:t>18/216)</w:t>
      </w:r>
      <w:r>
        <w:rPr>
          <w:rFonts w:eastAsia="Times New Roman" w:hint="cs"/>
          <w:rtl/>
        </w:rPr>
        <w:t>]،</w:t>
      </w:r>
      <w:r w:rsidR="009C32A0" w:rsidRPr="005675B2">
        <w:rPr>
          <w:rFonts w:eastAsia="Times New Roman" w:hint="cs"/>
          <w:rtl/>
        </w:rPr>
        <w:t xml:space="preserve"> </w:t>
      </w:r>
      <w:r>
        <w:rPr>
          <w:rFonts w:eastAsia="Times New Roman" w:hint="cs"/>
          <w:rtl/>
        </w:rPr>
        <w:t>(</w:t>
      </w:r>
      <w:r w:rsidR="009C32A0" w:rsidRPr="005675B2">
        <w:rPr>
          <w:rFonts w:eastAsia="Times New Roman" w:hint="cs"/>
          <w:rtl/>
        </w:rPr>
        <w:t>21</w:t>
      </w:r>
      <w:r>
        <w:rPr>
          <w:rFonts w:eastAsia="Times New Roman" w:hint="cs"/>
          <w:rtl/>
        </w:rPr>
        <w:t>)</w:t>
      </w:r>
      <w:r w:rsidR="009C32A0" w:rsidRPr="005675B2">
        <w:rPr>
          <w:rFonts w:eastAsia="Times New Roman" w:hint="cs"/>
          <w:rtl/>
        </w:rPr>
        <w:t xml:space="preserve"> وقال الإمام الحافظ أبو زكريا محيي الدين النووي (676هـ)</w:t>
      </w:r>
      <w:r>
        <w:rPr>
          <w:rFonts w:eastAsia="Times New Roman" w:hint="cs"/>
          <w:rtl/>
        </w:rPr>
        <w:t>: (</w:t>
      </w:r>
      <w:r w:rsidR="009C32A0" w:rsidRPr="005675B2">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9C32A0" w:rsidRPr="005675B2">
        <w:rPr>
          <w:rFonts w:eastAsia="Times New Roman" w:hint="cs"/>
          <w:rtl/>
        </w:rPr>
        <w:t xml:space="preserve"> اهـ. </w:t>
      </w:r>
      <w:r>
        <w:rPr>
          <w:rFonts w:eastAsia="Times New Roman" w:hint="cs"/>
          <w:rtl/>
        </w:rPr>
        <w:t>[</w:t>
      </w:r>
      <w:r w:rsidR="009C32A0" w:rsidRPr="005675B2">
        <w:rPr>
          <w:rFonts w:eastAsia="Times New Roman" w:hint="cs"/>
          <w:rtl/>
        </w:rPr>
        <w:t>شرح صحيح مسلم 3/19]</w:t>
      </w:r>
      <w:r>
        <w:rPr>
          <w:rFonts w:eastAsia="Times New Roman" w:hint="cs"/>
          <w:rtl/>
        </w:rPr>
        <w:t>،</w:t>
      </w:r>
      <w:r w:rsidR="009C32A0" w:rsidRPr="005675B2">
        <w:rPr>
          <w:rFonts w:eastAsia="Times New Roman" w:hint="cs"/>
          <w:rtl/>
        </w:rPr>
        <w:t xml:space="preserve"> </w:t>
      </w:r>
      <w:r>
        <w:rPr>
          <w:rFonts w:hint="cs"/>
          <w:rtl/>
        </w:rPr>
        <w:t>(</w:t>
      </w:r>
      <w:r w:rsidR="009C32A0" w:rsidRPr="005675B2">
        <w:rPr>
          <w:rFonts w:hint="cs"/>
          <w:rtl/>
        </w:rPr>
        <w:t>22</w:t>
      </w:r>
      <w:r>
        <w:rPr>
          <w:rFonts w:hint="cs"/>
          <w:rtl/>
        </w:rPr>
        <w:t>)</w:t>
      </w:r>
      <w:r w:rsidR="009C32A0" w:rsidRPr="005675B2">
        <w:rPr>
          <w:rFonts w:hint="cs"/>
          <w:rtl/>
        </w:rPr>
        <w:t xml:space="preserve"> وقال الإمام البيضاوي (685 هـ)</w:t>
      </w:r>
      <w:r>
        <w:rPr>
          <w:rFonts w:hint="cs"/>
          <w:rtl/>
        </w:rPr>
        <w:t>:</w:t>
      </w:r>
      <w:r w:rsidR="009C32A0" w:rsidRPr="005675B2">
        <w:rPr>
          <w:rFonts w:hint="cs"/>
          <w:rtl/>
        </w:rPr>
        <w:t xml:space="preserve"> </w:t>
      </w:r>
      <w:r>
        <w:rPr>
          <w:rFonts w:hint="cs"/>
          <w:rtl/>
        </w:rPr>
        <w:t>(</w:t>
      </w:r>
      <w:r w:rsidR="009C32A0" w:rsidRPr="005675B2">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9C32A0" w:rsidRPr="005675B2">
        <w:rPr>
          <w:rFonts w:hint="cs"/>
          <w:rtl/>
        </w:rPr>
        <w:t xml:space="preserve"> أهـ </w:t>
      </w:r>
      <w:r>
        <w:rPr>
          <w:rFonts w:hint="cs"/>
          <w:rtl/>
        </w:rPr>
        <w:t>[</w:t>
      </w:r>
      <w:r w:rsidR="009C32A0" w:rsidRPr="005675B2">
        <w:rPr>
          <w:rFonts w:hint="cs"/>
          <w:rtl/>
        </w:rPr>
        <w:t>فتح الباري (3/ 31)]</w:t>
      </w:r>
      <w:r>
        <w:rPr>
          <w:rFonts w:hint="cs"/>
          <w:rtl/>
        </w:rPr>
        <w:t>،</w:t>
      </w:r>
      <w:r w:rsidR="009C32A0" w:rsidRPr="005675B2">
        <w:rPr>
          <w:rFonts w:hint="cs"/>
          <w:rtl/>
        </w:rPr>
        <w:t xml:space="preserve"> وقال الإمام المفسر النسفي (710 هـ</w:t>
      </w:r>
      <w:r>
        <w:rPr>
          <w:rFonts w:hint="cs"/>
          <w:rtl/>
        </w:rPr>
        <w:t xml:space="preserve">): </w:t>
      </w:r>
      <w:r w:rsidR="009C32A0" w:rsidRPr="005675B2">
        <w:rPr>
          <w:rFonts w:hint="cs"/>
          <w:rtl/>
        </w:rPr>
        <w:t>(إنه تعالى كان ولا مكان فهو على ما كان قبل خلق المكان، لم يتغير عما كان</w:t>
      </w:r>
      <w:r>
        <w:rPr>
          <w:rFonts w:hint="cs"/>
          <w:rtl/>
        </w:rPr>
        <w:t>)</w:t>
      </w:r>
      <w:r w:rsidR="009C32A0" w:rsidRPr="005675B2">
        <w:rPr>
          <w:rFonts w:hint="cs"/>
          <w:rtl/>
        </w:rPr>
        <w:t xml:space="preserve"> اهـ. </w:t>
      </w:r>
      <w:r>
        <w:rPr>
          <w:rFonts w:hint="cs"/>
          <w:rtl/>
        </w:rPr>
        <w:t>[</w:t>
      </w:r>
      <w:r w:rsidR="009C32A0" w:rsidRPr="005675B2">
        <w:rPr>
          <w:rFonts w:hint="cs"/>
          <w:rtl/>
        </w:rPr>
        <w:t>تفسير النسفي</w:t>
      </w:r>
      <w:r>
        <w:rPr>
          <w:rFonts w:hint="cs"/>
          <w:rtl/>
        </w:rPr>
        <w:t>:</w:t>
      </w:r>
      <w:r w:rsidR="009C32A0" w:rsidRPr="005675B2">
        <w:rPr>
          <w:rFonts w:hint="cs"/>
          <w:rtl/>
        </w:rPr>
        <w:t xml:space="preserve"> (ج2/2،48)</w:t>
      </w:r>
      <w:r>
        <w:rPr>
          <w:rFonts w:hint="cs"/>
          <w:rtl/>
        </w:rPr>
        <w:t>]،</w:t>
      </w:r>
      <w:r w:rsidR="009C32A0" w:rsidRPr="005675B2">
        <w:rPr>
          <w:rFonts w:hint="cs"/>
          <w:rtl/>
        </w:rPr>
        <w:t xml:space="preserve"> وقال العلامة ابن منظور (711 هـ)</w:t>
      </w:r>
      <w:r>
        <w:rPr>
          <w:rFonts w:hint="cs"/>
          <w:rtl/>
        </w:rPr>
        <w:t>:</w:t>
      </w:r>
      <w:r w:rsidR="009C32A0" w:rsidRPr="005675B2">
        <w:rPr>
          <w:rFonts w:hint="cs"/>
          <w:rtl/>
        </w:rPr>
        <w:t xml:space="preserve"> </w:t>
      </w:r>
      <w:r>
        <w:rPr>
          <w:rFonts w:hint="cs"/>
          <w:rtl/>
        </w:rPr>
        <w:t>(</w:t>
      </w:r>
      <w:r w:rsidR="009C32A0" w:rsidRPr="005675B2">
        <w:rPr>
          <w:rFonts w:hint="cs"/>
          <w:rtl/>
        </w:rPr>
        <w:t>وفي الحديث: (</w:t>
      </w:r>
      <w:r>
        <w:rPr>
          <w:rFonts w:hint="cs"/>
          <w:rtl/>
        </w:rPr>
        <w:t>(</w:t>
      </w:r>
      <w:r w:rsidR="009C32A0" w:rsidRPr="005675B2">
        <w:rPr>
          <w:rFonts w:hint="cs"/>
          <w:rtl/>
        </w:rPr>
        <w:t>من تقرب إليّ شبرا تقربت إليه ذراعًا</w:t>
      </w:r>
      <w:r>
        <w:rPr>
          <w:rFonts w:hint="cs"/>
          <w:rtl/>
        </w:rPr>
        <w:t>)</w:t>
      </w:r>
      <w:r w:rsidR="009C32A0" w:rsidRPr="005675B2">
        <w:rPr>
          <w:rFonts w:hint="cs"/>
          <w:rtl/>
        </w:rPr>
        <w:t>)</w:t>
      </w:r>
      <w:r>
        <w:rPr>
          <w:rFonts w:hint="cs"/>
          <w:rtl/>
        </w:rPr>
        <w:t xml:space="preserve"> </w:t>
      </w:r>
      <w:r w:rsidR="009C32A0" w:rsidRPr="005675B2">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Pr>
          <w:rFonts w:hint="cs"/>
          <w:rtl/>
        </w:rPr>
        <w:t>[</w:t>
      </w:r>
      <w:r w:rsidR="009C32A0" w:rsidRPr="005675B2">
        <w:rPr>
          <w:rFonts w:hint="cs"/>
          <w:rtl/>
        </w:rPr>
        <w:t>لسان العرب</w:t>
      </w:r>
      <w:r>
        <w:rPr>
          <w:rFonts w:hint="cs"/>
          <w:rtl/>
        </w:rPr>
        <w:t>،</w:t>
      </w:r>
      <w:r w:rsidR="009C32A0" w:rsidRPr="005675B2">
        <w:rPr>
          <w:rFonts w:hint="cs"/>
          <w:rtl/>
        </w:rPr>
        <w:t xml:space="preserve"> مادة: ق رب (1/ 663- 664)</w:t>
      </w:r>
      <w:r>
        <w:rPr>
          <w:rFonts w:hint="cs"/>
          <w:rtl/>
        </w:rPr>
        <w:t>]،</w:t>
      </w:r>
      <w:r w:rsidR="009C32A0" w:rsidRPr="005675B2">
        <w:rPr>
          <w:rFonts w:hint="cs"/>
          <w:rtl/>
        </w:rPr>
        <w:t xml:space="preserve"> </w:t>
      </w:r>
      <w:r>
        <w:rPr>
          <w:rFonts w:hint="cs"/>
          <w:rtl/>
        </w:rPr>
        <w:t>(</w:t>
      </w:r>
      <w:r w:rsidR="009C32A0" w:rsidRPr="005675B2">
        <w:rPr>
          <w:rFonts w:hint="cs"/>
          <w:rtl/>
        </w:rPr>
        <w:t>23</w:t>
      </w:r>
      <w:r>
        <w:rPr>
          <w:rFonts w:hint="cs"/>
          <w:rtl/>
        </w:rPr>
        <w:t>)</w:t>
      </w:r>
      <w:r w:rsidR="009C32A0" w:rsidRPr="005675B2">
        <w:rPr>
          <w:rFonts w:hint="cs"/>
          <w:rtl/>
        </w:rPr>
        <w:t xml:space="preserve"> وقال الإمام القاضي بدر الدين ابن جماعة (733 ه</w:t>
      </w:r>
      <w:r>
        <w:rPr>
          <w:rFonts w:hint="cs"/>
          <w:rtl/>
        </w:rPr>
        <w:t>):</w:t>
      </w:r>
      <w:r w:rsidR="009C32A0" w:rsidRPr="005675B2">
        <w:rPr>
          <w:rFonts w:hint="cs"/>
          <w:rtl/>
        </w:rPr>
        <w:t xml:space="preserve"> </w:t>
      </w:r>
      <w:r>
        <w:rPr>
          <w:rFonts w:hint="cs"/>
          <w:rtl/>
        </w:rPr>
        <w:t>(</w:t>
      </w:r>
      <w:r w:rsidR="009C32A0" w:rsidRPr="005675B2">
        <w:rPr>
          <w:rFonts w:hint="cs"/>
          <w:rtl/>
        </w:rPr>
        <w:t>كان الله ولا زمان ولا مكان، وهو الان على ما عليه كان)</w:t>
      </w:r>
      <w:r>
        <w:rPr>
          <w:rFonts w:hint="cs"/>
          <w:rtl/>
        </w:rPr>
        <w:t xml:space="preserve"> </w:t>
      </w:r>
      <w:r w:rsidR="009C32A0" w:rsidRPr="005675B2">
        <w:rPr>
          <w:rFonts w:hint="cs"/>
          <w:rtl/>
        </w:rPr>
        <w:t xml:space="preserve">اهـ. </w:t>
      </w:r>
      <w:r>
        <w:rPr>
          <w:rFonts w:hint="cs"/>
          <w:rtl/>
        </w:rPr>
        <w:t>[</w:t>
      </w:r>
      <w:r w:rsidR="009C32A0" w:rsidRPr="005675B2">
        <w:rPr>
          <w:rFonts w:hint="cs"/>
          <w:rtl/>
        </w:rPr>
        <w:t>إيضاح الدليل (ص/ 103- 4. 1)]</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9C32A0" w:rsidRPr="005675B2">
        <w:rPr>
          <w:rFonts w:hint="cs"/>
        </w:rPr>
        <w:t xml:space="preserve"> </w:t>
      </w:r>
      <w:r w:rsidR="009C32A0" w:rsidRPr="005675B2">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9C32A0" w:rsidRPr="005675B2">
        <w:rPr>
          <w:rFonts w:hint="cs"/>
          <w:rtl/>
        </w:rPr>
        <w:t xml:space="preserve"> اهـ </w:t>
      </w:r>
      <w:r>
        <w:rPr>
          <w:rFonts w:hint="cs"/>
          <w:rtl/>
        </w:rPr>
        <w:t>[</w:t>
      </w:r>
      <w:r w:rsidR="009C32A0" w:rsidRPr="005675B2">
        <w:rPr>
          <w:rFonts w:hint="cs"/>
          <w:rtl/>
        </w:rPr>
        <w:t xml:space="preserve">إيضاح الدليل (ص/ </w:t>
      </w:r>
      <w:r w:rsidR="009C32A0" w:rsidRPr="005675B2">
        <w:rPr>
          <w:rFonts w:hint="cs"/>
          <w:rtl/>
        </w:rPr>
        <w:lastRenderedPageBreak/>
        <w:t>104- 105)</w:t>
      </w:r>
      <w:r>
        <w:rPr>
          <w:rFonts w:hint="cs"/>
          <w:rtl/>
        </w:rPr>
        <w:t>]، (</w:t>
      </w:r>
      <w:r w:rsidR="009C32A0" w:rsidRPr="005675B2">
        <w:rPr>
          <w:rFonts w:hint="cs"/>
          <w:rtl/>
        </w:rPr>
        <w:t>24</w:t>
      </w:r>
      <w:r>
        <w:rPr>
          <w:rFonts w:hint="cs"/>
          <w:rtl/>
        </w:rPr>
        <w:t>)</w:t>
      </w:r>
      <w:r w:rsidR="009C32A0" w:rsidRPr="005675B2">
        <w:rPr>
          <w:rFonts w:hint="cs"/>
          <w:rtl/>
        </w:rPr>
        <w:t xml:space="preserve"> وقال المفسِّر النحوي محمد بن يوسف المعروف بأبي حيان الأندلسي (745 هـ) عند تفسير قوله تعالى</w:t>
      </w:r>
      <w:r>
        <w:rPr>
          <w:rFonts w:hint="cs"/>
          <w:rtl/>
        </w:rPr>
        <w:t>:{</w:t>
      </w:r>
      <w:r w:rsidR="009C32A0" w:rsidRPr="005675B2">
        <w:rPr>
          <w:rFonts w:hint="cs"/>
          <w:rtl/>
        </w:rPr>
        <w:t>وَلَهُ مَن فِي السَّمَاوَاتِ وَالْأَرْضِ وَمَنْ عِندَهُ لَا يَسْتَكْبِرُونَ عَنْ عِبَادَتِه</w:t>
      </w:r>
      <w:r>
        <w:rPr>
          <w:rFonts w:hint="cs"/>
          <w:rtl/>
        </w:rPr>
        <w:t>}:</w:t>
      </w:r>
      <w:r w:rsidR="009C32A0" w:rsidRPr="005675B2">
        <w:rPr>
          <w:rFonts w:hint="cs"/>
          <w:rtl/>
        </w:rPr>
        <w:t xml:space="preserve"> </w:t>
      </w:r>
      <w:r>
        <w:rPr>
          <w:rFonts w:hint="cs"/>
          <w:rtl/>
        </w:rPr>
        <w:t>(</w:t>
      </w:r>
      <w:r w:rsidR="009C32A0" w:rsidRPr="005675B2">
        <w:rPr>
          <w:rFonts w:hint="cs"/>
          <w:rtl/>
        </w:rPr>
        <w:t>وعند هنا لا يراد بها ظرف المكان لأنه تعالى منزه عن المكان، بل المعنى شرف المكانة وعلو المنزلة</w:t>
      </w:r>
      <w:r>
        <w:rPr>
          <w:rFonts w:hint="cs"/>
          <w:rtl/>
        </w:rPr>
        <w:t>)</w:t>
      </w:r>
      <w:r w:rsidR="009C32A0" w:rsidRPr="005675B2">
        <w:rPr>
          <w:rFonts w:hint="cs"/>
          <w:rtl/>
        </w:rPr>
        <w:t xml:space="preserve"> اهـ </w:t>
      </w:r>
      <w:r>
        <w:rPr>
          <w:rFonts w:hint="cs"/>
          <w:rtl/>
        </w:rPr>
        <w:t>[</w:t>
      </w:r>
      <w:r w:rsidR="009C32A0" w:rsidRPr="005675B2">
        <w:rPr>
          <w:rFonts w:hint="cs"/>
          <w:rtl/>
        </w:rPr>
        <w:t>البحر المحيط (6/ 302)]</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قام البرهان العقلي على أنه تعالى ليس بمتحيز في جهة</w:t>
      </w:r>
      <w:r>
        <w:rPr>
          <w:rFonts w:hint="cs"/>
          <w:rtl/>
        </w:rPr>
        <w:t>)</w:t>
      </w:r>
      <w:r w:rsidR="009C32A0" w:rsidRPr="005675B2">
        <w:rPr>
          <w:rFonts w:hint="cs"/>
          <w:rtl/>
        </w:rPr>
        <w:t xml:space="preserve"> اهـ. [البحر المحيط: 16- 8/ 302)</w:t>
      </w:r>
      <w:r>
        <w:rPr>
          <w:rFonts w:hint="cs"/>
          <w:rtl/>
        </w:rPr>
        <w:t>]،</w:t>
      </w:r>
      <w:r w:rsidR="009C32A0" w:rsidRPr="005675B2">
        <w:rPr>
          <w:rFonts w:hint="cs"/>
          <w:rtl/>
        </w:rPr>
        <w:t xml:space="preserve"> </w:t>
      </w:r>
      <w:r>
        <w:rPr>
          <w:rFonts w:hint="cs"/>
          <w:rtl/>
        </w:rPr>
        <w:t>(</w:t>
      </w:r>
      <w:r w:rsidR="009C32A0" w:rsidRPr="005675B2">
        <w:rPr>
          <w:rFonts w:hint="cs"/>
          <w:rtl/>
        </w:rPr>
        <w:t>25</w:t>
      </w:r>
      <w:r>
        <w:rPr>
          <w:rFonts w:hint="cs"/>
          <w:rtl/>
        </w:rPr>
        <w:t>)</w:t>
      </w:r>
      <w:r w:rsidR="009C32A0" w:rsidRPr="005675B2">
        <w:rPr>
          <w:rFonts w:hint="cs"/>
          <w:rtl/>
        </w:rPr>
        <w:t xml:space="preserve"> وقال الإمام الحافظ المحدث ولي الدين أبو زرعة أحمد بن عبد الرحيم العراقي (826 هـ)</w:t>
      </w:r>
      <w:r>
        <w:rPr>
          <w:rFonts w:hint="cs"/>
          <w:rtl/>
        </w:rPr>
        <w:t>:</w:t>
      </w:r>
      <w:r w:rsidR="009C32A0" w:rsidRPr="005675B2">
        <w:rPr>
          <w:rFonts w:hint="cs"/>
          <w:rtl/>
        </w:rPr>
        <w:t xml:space="preserve"> </w:t>
      </w:r>
      <w:r>
        <w:rPr>
          <w:rFonts w:hint="cs"/>
          <w:rtl/>
        </w:rPr>
        <w:t>(</w:t>
      </w:r>
      <w:r w:rsidR="009C32A0" w:rsidRPr="005675B2">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9C32A0" w:rsidRPr="005675B2">
        <w:rPr>
          <w:rFonts w:hint="cs"/>
          <w:rtl/>
        </w:rPr>
        <w:t xml:space="preserve"> اهـ </w:t>
      </w:r>
      <w:r>
        <w:rPr>
          <w:rFonts w:hint="cs"/>
          <w:rtl/>
        </w:rPr>
        <w:t>[</w:t>
      </w:r>
      <w:r w:rsidR="009C32A0" w:rsidRPr="005675B2">
        <w:rPr>
          <w:rFonts w:hint="cs"/>
          <w:rtl/>
        </w:rPr>
        <w:t>طرح التثريب (8/،84)</w:t>
      </w:r>
      <w:r>
        <w:rPr>
          <w:rFonts w:hint="cs"/>
          <w:rtl/>
        </w:rPr>
        <w:t>]،</w:t>
      </w:r>
      <w:r w:rsidR="009C32A0" w:rsidRPr="005675B2">
        <w:rPr>
          <w:rFonts w:hint="cs"/>
          <w:rtl/>
        </w:rPr>
        <w:t xml:space="preserve"> </w:t>
      </w:r>
      <w:r>
        <w:rPr>
          <w:rFonts w:hint="cs"/>
          <w:rtl/>
        </w:rPr>
        <w:t>(</w:t>
      </w:r>
      <w:r w:rsidR="009C32A0" w:rsidRPr="005675B2">
        <w:rPr>
          <w:rFonts w:hint="cs"/>
          <w:rtl/>
        </w:rPr>
        <w:t>26</w:t>
      </w:r>
      <w:r>
        <w:rPr>
          <w:rFonts w:hint="cs"/>
          <w:rtl/>
        </w:rPr>
        <w:t>)</w:t>
      </w:r>
      <w:r w:rsidR="009C32A0" w:rsidRPr="005675B2">
        <w:rPr>
          <w:rFonts w:hint="cs"/>
          <w:rtl/>
        </w:rPr>
        <w:t xml:space="preserve"> وقال إمام الدنيا في الحديث الحافظ ابن حجر العسقلاني (852 هـ)</w:t>
      </w:r>
      <w:r>
        <w:rPr>
          <w:rFonts w:hint="cs"/>
          <w:rtl/>
        </w:rPr>
        <w:t>:</w:t>
      </w:r>
      <w:r w:rsidR="009C32A0" w:rsidRPr="005675B2">
        <w:rPr>
          <w:rFonts w:hint="cs"/>
          <w:rtl/>
        </w:rPr>
        <w:t xml:space="preserve"> </w:t>
      </w:r>
      <w:r>
        <w:rPr>
          <w:rFonts w:hint="cs"/>
          <w:rtl/>
        </w:rPr>
        <w:t>(</w:t>
      </w:r>
      <w:r w:rsidR="009C32A0" w:rsidRPr="005675B2">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9C32A0" w:rsidRPr="005675B2">
        <w:rPr>
          <w:rFonts w:hint="cs"/>
          <w:rtl/>
        </w:rPr>
        <w:t xml:space="preserve"> أهـ</w:t>
      </w:r>
      <w:r>
        <w:rPr>
          <w:rFonts w:hint="cs"/>
          <w:rtl/>
        </w:rPr>
        <w:t xml:space="preserve"> [</w:t>
      </w:r>
      <w:r w:rsidR="009C32A0" w:rsidRPr="005675B2">
        <w:rPr>
          <w:rFonts w:hint="cs"/>
          <w:rtl/>
        </w:rPr>
        <w:t>فتح الباري(6/ 136)</w:t>
      </w:r>
      <w:r>
        <w:rPr>
          <w:rFonts w:hint="cs"/>
          <w:rtl/>
        </w:rPr>
        <w:t>]، (</w:t>
      </w:r>
      <w:r w:rsidR="009C32A0" w:rsidRPr="005675B2">
        <w:rPr>
          <w:rFonts w:hint="cs"/>
          <w:rtl/>
        </w:rPr>
        <w:t>27</w:t>
      </w:r>
      <w:r>
        <w:rPr>
          <w:rFonts w:hint="cs"/>
          <w:rtl/>
        </w:rPr>
        <w:t>)</w:t>
      </w:r>
      <w:r w:rsidR="009C32A0" w:rsidRPr="005675B2">
        <w:rPr>
          <w:rFonts w:hint="cs"/>
          <w:rtl/>
        </w:rPr>
        <w:t xml:space="preserve"> وقال الإمام العَيْني أحد شراح صحيح البخاري (855 هـ)</w:t>
      </w:r>
      <w:r>
        <w:rPr>
          <w:rFonts w:hint="cs"/>
          <w:rtl/>
        </w:rPr>
        <w:t>:</w:t>
      </w:r>
      <w:r w:rsidR="009C32A0" w:rsidRPr="005675B2">
        <w:rPr>
          <w:rFonts w:hint="cs"/>
          <w:rtl/>
        </w:rPr>
        <w:t xml:space="preserve"> </w:t>
      </w:r>
      <w:r>
        <w:rPr>
          <w:rFonts w:hint="cs"/>
          <w:rtl/>
        </w:rPr>
        <w:t>(</w:t>
      </w:r>
      <w:r w:rsidR="009C32A0" w:rsidRPr="005675B2">
        <w:rPr>
          <w:rFonts w:hint="cs"/>
          <w:rtl/>
        </w:rPr>
        <w:t>ولا يدل قوله تعالى</w:t>
      </w:r>
      <w:r>
        <w:rPr>
          <w:rFonts w:hint="cs"/>
          <w:rtl/>
        </w:rPr>
        <w:t>:{</w:t>
      </w:r>
      <w:r w:rsidR="009C32A0" w:rsidRPr="005675B2">
        <w:rPr>
          <w:rFonts w:hint="cs"/>
          <w:rtl/>
        </w:rPr>
        <w:t>وكان عرشه على الماء</w:t>
      </w:r>
      <w:r>
        <w:rPr>
          <w:rFonts w:hint="cs"/>
          <w:rtl/>
        </w:rPr>
        <w:t xml:space="preserve">} </w:t>
      </w:r>
      <w:r w:rsidR="009C32A0" w:rsidRPr="005675B2">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Pr>
          <w:rFonts w:hint="cs"/>
          <w:rtl/>
        </w:rPr>
        <w:t>[</w:t>
      </w:r>
      <w:r w:rsidR="009C32A0" w:rsidRPr="005675B2">
        <w:rPr>
          <w:rFonts w:hint="cs"/>
          <w:rtl/>
        </w:rPr>
        <w:t>عمدة القاري (مجلد 12/ 25/ 111)</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تقرر أن الله ليس بجسم، فلا يحتاج إلى مكان يستقر فيه، فقد كان ولا مكان</w:t>
      </w:r>
      <w:r>
        <w:rPr>
          <w:rFonts w:hint="cs"/>
          <w:rtl/>
        </w:rPr>
        <w:t>)</w:t>
      </w:r>
      <w:r w:rsidR="009C32A0" w:rsidRPr="005675B2">
        <w:rPr>
          <w:rFonts w:hint="cs"/>
          <w:rtl/>
        </w:rPr>
        <w:t xml:space="preserve"> أ ه </w:t>
      </w:r>
      <w:r>
        <w:rPr>
          <w:rFonts w:hint="cs"/>
          <w:rtl/>
        </w:rPr>
        <w:t>[</w:t>
      </w:r>
      <w:r w:rsidR="009C32A0" w:rsidRPr="005675B2">
        <w:rPr>
          <w:rFonts w:hint="cs"/>
          <w:rtl/>
        </w:rPr>
        <w:t>عمدة القاري (مجلد 12/ 25/ 117)</w:t>
      </w:r>
      <w:r>
        <w:rPr>
          <w:rFonts w:hint="cs"/>
          <w:rtl/>
        </w:rPr>
        <w:t>]،</w:t>
      </w:r>
      <w:r w:rsidR="009C32A0" w:rsidRPr="005675B2">
        <w:rPr>
          <w:rFonts w:hint="cs"/>
          <w:rtl/>
        </w:rPr>
        <w:t xml:space="preserve"> </w:t>
      </w:r>
      <w:r>
        <w:rPr>
          <w:rFonts w:hint="cs"/>
          <w:rtl/>
        </w:rPr>
        <w:t>(</w:t>
      </w:r>
      <w:r w:rsidR="009C32A0" w:rsidRPr="005675B2">
        <w:rPr>
          <w:rFonts w:hint="cs"/>
          <w:rtl/>
        </w:rPr>
        <w:t>28</w:t>
      </w:r>
      <w:r>
        <w:rPr>
          <w:rFonts w:hint="cs"/>
          <w:rtl/>
        </w:rPr>
        <w:t>)</w:t>
      </w:r>
      <w:r w:rsidR="009C32A0" w:rsidRPr="005675B2">
        <w:rPr>
          <w:rFonts w:hint="cs"/>
          <w:rtl/>
        </w:rPr>
        <w:t xml:space="preserve"> وقال الحافظ السخاوي (902 هـ</w:t>
      </w:r>
      <w:r>
        <w:rPr>
          <w:rFonts w:hint="cs"/>
          <w:rtl/>
        </w:rPr>
        <w:t>):</w:t>
      </w:r>
      <w:r w:rsidR="009C32A0" w:rsidRPr="005675B2">
        <w:rPr>
          <w:rFonts w:hint="cs"/>
          <w:rtl/>
        </w:rPr>
        <w:t xml:space="preserve"> </w:t>
      </w:r>
      <w:r>
        <w:rPr>
          <w:rFonts w:hint="cs"/>
          <w:rtl/>
        </w:rPr>
        <w:t>(</w:t>
      </w:r>
      <w:r w:rsidR="009C32A0" w:rsidRPr="005675B2">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Fonts w:hint="cs"/>
          <w:rtl/>
        </w:rPr>
        <w:t>)</w:t>
      </w:r>
      <w:r w:rsidR="009C32A0" w:rsidRPr="005675B2">
        <w:rPr>
          <w:rFonts w:hint="cs"/>
          <w:rtl/>
        </w:rPr>
        <w:t xml:space="preserve"> أهـ. </w:t>
      </w:r>
      <w:r>
        <w:rPr>
          <w:rFonts w:hint="cs"/>
          <w:rtl/>
        </w:rPr>
        <w:t>[</w:t>
      </w:r>
      <w:r w:rsidR="009C32A0" w:rsidRPr="005675B2">
        <w:rPr>
          <w:rFonts w:hint="cs"/>
          <w:rtl/>
        </w:rPr>
        <w:t>المقاصد الحسنة (رقم 886، ص/ 342)</w:t>
      </w:r>
      <w:r>
        <w:rPr>
          <w:rFonts w:hint="cs"/>
          <w:rtl/>
        </w:rPr>
        <w:t>]، (</w:t>
      </w:r>
      <w:r w:rsidR="009C32A0" w:rsidRPr="005675B2">
        <w:rPr>
          <w:rFonts w:hint="cs"/>
          <w:rtl/>
        </w:rPr>
        <w:t>29</w:t>
      </w:r>
      <w:r>
        <w:rPr>
          <w:rFonts w:hint="cs"/>
          <w:rtl/>
        </w:rPr>
        <w:t>)</w:t>
      </w:r>
      <w:r w:rsidR="009C32A0" w:rsidRPr="005675B2">
        <w:rPr>
          <w:rFonts w:hint="cs"/>
          <w:rtl/>
        </w:rPr>
        <w:t xml:space="preserve"> وقال الحافظ جلال الدين السيوطي (911 هـ) عند شرح حديث: (أقرب ما يكون العبد من ربه وهو ساجد)</w:t>
      </w:r>
      <w:r>
        <w:rPr>
          <w:rFonts w:hint="cs"/>
          <w:rtl/>
        </w:rPr>
        <w:t>:</w:t>
      </w:r>
      <w:r w:rsidR="009C32A0" w:rsidRPr="005675B2">
        <w:rPr>
          <w:rFonts w:hint="cs"/>
          <w:rtl/>
        </w:rPr>
        <w:t xml:space="preserve"> </w:t>
      </w:r>
      <w:r>
        <w:rPr>
          <w:rFonts w:hint="cs"/>
          <w:rtl/>
        </w:rPr>
        <w:t>(</w:t>
      </w:r>
      <w:r w:rsidR="009C32A0" w:rsidRPr="005675B2">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Fonts w:hint="cs"/>
          <w:rtl/>
        </w:rPr>
        <w:t>)</w:t>
      </w:r>
      <w:r w:rsidR="009C32A0" w:rsidRPr="005675B2">
        <w:rPr>
          <w:rFonts w:hint="cs"/>
          <w:rtl/>
        </w:rPr>
        <w:t xml:space="preserve"> أهـ. [شرح السيوطي لسنن النساني (1/ 576)</w:t>
      </w:r>
      <w:r>
        <w:rPr>
          <w:rFonts w:hint="cs"/>
          <w:rtl/>
        </w:rPr>
        <w:t>]،</w:t>
      </w:r>
      <w:r w:rsidR="009C32A0" w:rsidRPr="005675B2">
        <w:rPr>
          <w:rFonts w:hint="cs"/>
          <w:rtl/>
        </w:rPr>
        <w:t xml:space="preserve"> </w:t>
      </w:r>
      <w:r>
        <w:rPr>
          <w:rFonts w:hint="cs"/>
          <w:rtl/>
        </w:rPr>
        <w:t>(</w:t>
      </w:r>
      <w:r w:rsidR="009C32A0" w:rsidRPr="005675B2">
        <w:rPr>
          <w:rFonts w:hint="cs"/>
          <w:rtl/>
        </w:rPr>
        <w:t>30</w:t>
      </w:r>
      <w:r>
        <w:rPr>
          <w:rFonts w:hint="cs"/>
          <w:rtl/>
        </w:rPr>
        <w:t>)</w:t>
      </w:r>
      <w:r w:rsidR="009C32A0" w:rsidRPr="005675B2">
        <w:rPr>
          <w:rFonts w:hint="cs"/>
          <w:rtl/>
        </w:rPr>
        <w:t xml:space="preserve"> وقال الإمام القسطلاني</w:t>
      </w:r>
      <w:r>
        <w:rPr>
          <w:rFonts w:hint="cs"/>
          <w:rtl/>
        </w:rPr>
        <w:t xml:space="preserve"> </w:t>
      </w:r>
      <w:r w:rsidR="009C32A0" w:rsidRPr="005675B2">
        <w:rPr>
          <w:rFonts w:hint="cs"/>
          <w:rtl/>
        </w:rPr>
        <w:t>(933هـ) في شرحه على صحيح البخاري</w:t>
      </w:r>
      <w:r>
        <w:rPr>
          <w:rFonts w:hint="cs"/>
          <w:rtl/>
        </w:rPr>
        <w:t>:</w:t>
      </w:r>
      <w:r w:rsidR="009C32A0" w:rsidRPr="005675B2">
        <w:rPr>
          <w:rFonts w:hint="cs"/>
          <w:rtl/>
        </w:rPr>
        <w:t xml:space="preserve"> </w:t>
      </w:r>
      <w:r>
        <w:rPr>
          <w:rFonts w:hint="cs"/>
          <w:rtl/>
        </w:rPr>
        <w:t>(</w:t>
      </w:r>
      <w:r w:rsidR="009C32A0" w:rsidRPr="005675B2">
        <w:rPr>
          <w:rFonts w:hint="cs"/>
          <w:rtl/>
        </w:rPr>
        <w:t>ذات الله منزه عن المكان والجهة</w:t>
      </w:r>
      <w:r>
        <w:rPr>
          <w:rFonts w:hint="cs"/>
          <w:rtl/>
        </w:rPr>
        <w:t>)</w:t>
      </w:r>
      <w:r w:rsidR="009C32A0" w:rsidRPr="005675B2">
        <w:rPr>
          <w:rFonts w:hint="cs"/>
          <w:rtl/>
        </w:rPr>
        <w:t xml:space="preserve"> أهـ. </w:t>
      </w:r>
      <w:r>
        <w:rPr>
          <w:rFonts w:hint="cs"/>
          <w:rtl/>
        </w:rPr>
        <w:t>[</w:t>
      </w:r>
      <w:r w:rsidR="009C32A0" w:rsidRPr="005675B2">
        <w:rPr>
          <w:rFonts w:hint="cs"/>
          <w:rtl/>
        </w:rPr>
        <w:t>إرشاد الساري (15/ 451)</w:t>
      </w:r>
      <w:r>
        <w:rPr>
          <w:rFonts w:hint="cs"/>
          <w:rtl/>
        </w:rPr>
        <w:t>]، (</w:t>
      </w:r>
      <w:r w:rsidR="009C32A0" w:rsidRPr="005675B2">
        <w:rPr>
          <w:rFonts w:hint="cs"/>
          <w:rtl/>
        </w:rPr>
        <w:t>31</w:t>
      </w:r>
      <w:r>
        <w:rPr>
          <w:rFonts w:hint="cs"/>
          <w:rtl/>
        </w:rPr>
        <w:t>)</w:t>
      </w:r>
      <w:r w:rsidR="009C32A0" w:rsidRPr="005675B2">
        <w:rPr>
          <w:rFonts w:hint="cs"/>
          <w:rtl/>
        </w:rPr>
        <w:t xml:space="preserve"> وقال الإمام القاضي أبو زكريا الأنصاري (926 هـ)</w:t>
      </w:r>
      <w:r>
        <w:rPr>
          <w:rFonts w:hint="cs"/>
          <w:rtl/>
        </w:rPr>
        <w:t>:</w:t>
      </w:r>
      <w:r w:rsidR="009C32A0" w:rsidRPr="005675B2">
        <w:rPr>
          <w:rFonts w:hint="cs"/>
          <w:rtl/>
        </w:rPr>
        <w:t xml:space="preserve"> </w:t>
      </w:r>
      <w:r>
        <w:rPr>
          <w:rFonts w:hint="cs"/>
          <w:rtl/>
        </w:rPr>
        <w:t>(</w:t>
      </w:r>
      <w:r w:rsidR="009C32A0" w:rsidRPr="005675B2">
        <w:rPr>
          <w:rFonts w:hint="cs"/>
          <w:rtl/>
        </w:rPr>
        <w:t xml:space="preserve">إن الله ليس بجسم ولا عَرَض ولا في مكان ولا زمان) أهـ </w:t>
      </w:r>
      <w:r>
        <w:rPr>
          <w:rFonts w:hint="cs"/>
          <w:rtl/>
        </w:rPr>
        <w:lastRenderedPageBreak/>
        <w:t>[</w:t>
      </w:r>
      <w:r w:rsidR="009C32A0" w:rsidRPr="005675B2">
        <w:rPr>
          <w:rFonts w:hint="cs"/>
          <w:rtl/>
        </w:rPr>
        <w:t>حاشية الرسالة القشيرية (ص/ 2)</w:t>
      </w:r>
      <w:r>
        <w:rPr>
          <w:rFonts w:hint="cs"/>
          <w:rtl/>
        </w:rPr>
        <w:t>]،</w:t>
      </w:r>
      <w:r w:rsidR="009C32A0" w:rsidRPr="005675B2">
        <w:rPr>
          <w:rFonts w:hint="cs"/>
          <w:rtl/>
        </w:rPr>
        <w:t xml:space="preserve"> وقال أيضا</w:t>
      </w:r>
      <w:r>
        <w:rPr>
          <w:rFonts w:hint="cs"/>
          <w:rtl/>
        </w:rPr>
        <w:t>:</w:t>
      </w:r>
      <w:r w:rsidR="009C32A0" w:rsidRPr="005675B2">
        <w:rPr>
          <w:rFonts w:hint="cs"/>
          <w:rtl/>
        </w:rPr>
        <w:t xml:space="preserve"> </w:t>
      </w:r>
      <w:r>
        <w:rPr>
          <w:rFonts w:hint="cs"/>
          <w:rtl/>
        </w:rPr>
        <w:t>(</w:t>
      </w:r>
      <w:r w:rsidR="009C32A0" w:rsidRPr="005675B2">
        <w:rPr>
          <w:rFonts w:hint="cs"/>
          <w:rtl/>
        </w:rPr>
        <w:t>لا مكان له</w:t>
      </w:r>
      <w:r>
        <w:rPr>
          <w:rFonts w:hint="cs"/>
          <w:rtl/>
        </w:rPr>
        <w:t xml:space="preserve"> </w:t>
      </w:r>
      <w:r w:rsidR="009C32A0" w:rsidRPr="005675B2">
        <w:rPr>
          <w:rFonts w:hint="cs"/>
          <w:rtl/>
        </w:rPr>
        <w:t xml:space="preserve">- سبحانه - كما لا زمان له لأنه الخالق لكل مكان وزمان) أهـ </w:t>
      </w:r>
      <w:r>
        <w:rPr>
          <w:rFonts w:hint="cs"/>
          <w:rtl/>
        </w:rPr>
        <w:t>[</w:t>
      </w:r>
      <w:r w:rsidR="009C32A0" w:rsidRPr="005675B2">
        <w:rPr>
          <w:rFonts w:hint="cs"/>
          <w:rtl/>
        </w:rPr>
        <w:t>المصدر السابق</w:t>
      </w:r>
      <w:r>
        <w:rPr>
          <w:rFonts w:hint="cs"/>
          <w:rtl/>
        </w:rPr>
        <w:t>:</w:t>
      </w:r>
      <w:r w:rsidR="009C32A0" w:rsidRPr="005675B2">
        <w:rPr>
          <w:rFonts w:hint="cs"/>
          <w:rtl/>
        </w:rPr>
        <w:t xml:space="preserve"> (ص/ 5)</w:t>
      </w:r>
      <w:r>
        <w:rPr>
          <w:rFonts w:hint="cs"/>
          <w:rtl/>
        </w:rPr>
        <w:t>]،</w:t>
      </w:r>
    </w:p>
    <w:p w14:paraId="4A85DBCB" w14:textId="6A295B8E" w:rsidR="009C32A0" w:rsidRPr="005675B2" w:rsidRDefault="000636C2" w:rsidP="000636C2">
      <w:pPr>
        <w:rPr>
          <w:b/>
          <w:rtl/>
          <w:lang w:bidi="ar-KW"/>
        </w:rPr>
      </w:pPr>
      <w:r>
        <w:rPr>
          <w:rFonts w:hint="cs"/>
          <w:bCs/>
          <w:rtl/>
        </w:rPr>
        <w:t>(</w:t>
      </w:r>
      <w:r w:rsidR="009C32A0" w:rsidRPr="005675B2">
        <w:rPr>
          <w:rFonts w:hint="cs"/>
          <w:bCs/>
          <w:rtl/>
        </w:rPr>
        <w:t>ه</w:t>
      </w:r>
      <w:r>
        <w:rPr>
          <w:rFonts w:hint="cs"/>
          <w:bCs/>
          <w:rtl/>
        </w:rPr>
        <w:t>)</w:t>
      </w:r>
      <w:r w:rsidR="009C32A0" w:rsidRPr="005675B2">
        <w:rPr>
          <w:rFonts w:hint="cs"/>
          <w:bCs/>
          <w:rtl/>
        </w:rPr>
        <w:t xml:space="preserve"> ومن أقوال العلماء في تنزيه الله تعالى عن الزمان</w:t>
      </w:r>
      <w:r>
        <w:rPr>
          <w:rFonts w:hint="cs"/>
          <w:bCs/>
          <w:rtl/>
        </w:rPr>
        <w:t xml:space="preserve">: </w:t>
      </w:r>
      <w:r>
        <w:rPr>
          <w:rFonts w:hint="cs"/>
          <w:rtl/>
        </w:rPr>
        <w:t>(</w:t>
      </w:r>
      <w:r w:rsidR="009C32A0" w:rsidRPr="005675B2">
        <w:rPr>
          <w:rFonts w:hint="cs"/>
          <w:rtl/>
        </w:rPr>
        <w:t>1</w:t>
      </w:r>
      <w:r>
        <w:rPr>
          <w:rFonts w:hint="cs"/>
          <w:rtl/>
        </w:rPr>
        <w:t>)</w:t>
      </w:r>
      <w:r w:rsidR="009C32A0" w:rsidRPr="005675B2">
        <w:rPr>
          <w:rFonts w:hint="cs"/>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Pr>
          <w:rFonts w:hint="cs"/>
          <w:rtl/>
        </w:rPr>
        <w:t xml:space="preserve">: </w:t>
      </w:r>
      <w:r w:rsidR="009C32A0" w:rsidRPr="005675B2">
        <w:rPr>
          <w:rFonts w:hint="cs"/>
          <w:bCs/>
          <w:rtl/>
        </w:rPr>
        <w:t>" وأجمعوا على</w:t>
      </w:r>
      <w:r w:rsidR="009C32A0" w:rsidRPr="005675B2">
        <w:rPr>
          <w:rFonts w:hint="cs"/>
          <w:bCs/>
        </w:rPr>
        <w:t xml:space="preserve"> </w:t>
      </w:r>
      <w:r w:rsidR="009C32A0" w:rsidRPr="005675B2">
        <w:rPr>
          <w:rFonts w:hint="cs"/>
          <w:bCs/>
          <w:rtl/>
        </w:rPr>
        <w:t>أنه لا يحويه مكان ولا يجرى عليه زمان " أهـــ</w:t>
      </w:r>
      <w:r>
        <w:rPr>
          <w:rFonts w:hint="cs"/>
          <w:bCs/>
          <w:rtl/>
        </w:rPr>
        <w:t>،</w:t>
      </w:r>
      <w:r>
        <w:rPr>
          <w:rFonts w:hint="cs"/>
          <w:rtl/>
          <w:lang w:bidi="ar-KW"/>
        </w:rPr>
        <w:t xml:space="preserve"> </w:t>
      </w:r>
      <w:r>
        <w:rPr>
          <w:rFonts w:hint="cs"/>
          <w:rtl/>
        </w:rPr>
        <w:t>(</w:t>
      </w:r>
      <w:r w:rsidR="009C32A0" w:rsidRPr="005675B2">
        <w:rPr>
          <w:rFonts w:hint="cs"/>
          <w:rtl/>
        </w:rPr>
        <w:t>2</w:t>
      </w:r>
      <w:r>
        <w:rPr>
          <w:rFonts w:hint="cs"/>
          <w:rtl/>
        </w:rPr>
        <w:t>)</w:t>
      </w:r>
      <w:r w:rsidR="009C32A0" w:rsidRPr="005675B2">
        <w:rPr>
          <w:rFonts w:hint="cs"/>
          <w:rtl/>
        </w:rPr>
        <w:t xml:space="preserve"> وقال الإمام الشافعي رضي الله عنه</w:t>
      </w:r>
      <w:r>
        <w:rPr>
          <w:rFonts w:hint="cs"/>
          <w:rtl/>
        </w:rPr>
        <w:t>:</w:t>
      </w:r>
      <w:r w:rsidR="009C32A0" w:rsidRPr="005675B2">
        <w:rPr>
          <w:rFonts w:hint="cs"/>
          <w:rtl/>
        </w:rPr>
        <w:t xml:space="preserve"> في كتابه (الفقه الأكبر صـ</w:t>
      </w:r>
      <w:r>
        <w:rPr>
          <w:rFonts w:hint="cs"/>
          <w:rtl/>
        </w:rPr>
        <w:t xml:space="preserve"> </w:t>
      </w:r>
      <w:r w:rsidR="009C32A0" w:rsidRPr="005675B2">
        <w:rPr>
          <w:rFonts w:hint="cs"/>
          <w:rtl/>
        </w:rPr>
        <w:t>17) (فصل</w:t>
      </w:r>
      <w:r>
        <w:rPr>
          <w:rFonts w:hint="cs"/>
          <w:rtl/>
        </w:rPr>
        <w:t>):</w:t>
      </w:r>
      <w:r w:rsidR="009C32A0" w:rsidRPr="005675B2">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rtl/>
        </w:rPr>
        <w:t>:</w:t>
      </w:r>
      <w:r w:rsidR="009C32A0" w:rsidRPr="005675B2">
        <w:rPr>
          <w:rFonts w:hint="cs"/>
          <w:rtl/>
        </w:rPr>
        <w:t xml:space="preserve"> " فإن قيل " قال الله تعالى</w:t>
      </w:r>
      <w:r>
        <w:rPr>
          <w:rFonts w:hint="cs"/>
          <w:rtl/>
        </w:rPr>
        <w:t>:{</w:t>
      </w:r>
      <w:r w:rsidR="009C32A0" w:rsidRPr="005675B2">
        <w:rPr>
          <w:rFonts w:hint="cs"/>
          <w:rtl/>
        </w:rPr>
        <w:t>الرحمن على العرش استوى</w:t>
      </w:r>
      <w:r>
        <w:rPr>
          <w:rFonts w:hint="cs"/>
          <w:rtl/>
        </w:rPr>
        <w:t>}،</w:t>
      </w:r>
      <w:r w:rsidR="009C32A0" w:rsidRPr="005675B2">
        <w:rPr>
          <w:rFonts w:hint="cs"/>
          <w:rtl/>
        </w:rPr>
        <w:t xml:space="preserve"> يقال له</w:t>
      </w:r>
      <w:r>
        <w:rPr>
          <w:rFonts w:hint="cs"/>
          <w:rtl/>
        </w:rPr>
        <w:t>:</w:t>
      </w:r>
      <w:r w:rsidR="009C32A0" w:rsidRPr="005675B2">
        <w:rPr>
          <w:rFonts w:hint="cs"/>
          <w:rtl/>
        </w:rPr>
        <w:t xml:space="preserve"> إن هذه الآية من المتشابه التي يحار في </w:t>
      </w:r>
      <w:r>
        <w:rPr>
          <w:rFonts w:hint="cs"/>
          <w:rtl/>
        </w:rPr>
        <w:t>[</w:t>
      </w:r>
      <w:r w:rsidR="009C32A0">
        <w:rPr>
          <w:rFonts w:hint="cs"/>
          <w:rtl/>
        </w:rPr>
        <w:t>الجواب</w:t>
      </w:r>
      <w:r>
        <w:rPr>
          <w:rFonts w:hint="cs"/>
          <w:rtl/>
        </w:rPr>
        <w:t xml:space="preserve">] </w:t>
      </w:r>
      <w:r w:rsidR="009C32A0" w:rsidRPr="005675B2">
        <w:rPr>
          <w:rFonts w:hint="cs"/>
          <w:rtl/>
        </w:rPr>
        <w:t xml:space="preserve">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w:t>
      </w:r>
      <w:r w:rsidR="009C32A0" w:rsidRPr="005675B2">
        <w:rPr>
          <w:rFonts w:hint="cs"/>
          <w:bCs/>
          <w:rtl/>
        </w:rPr>
        <w:t>وأنه لا يحويه مكان , ولا يجري عليه زمان</w:t>
      </w:r>
      <w:r w:rsidR="009C32A0" w:rsidRPr="005675B2">
        <w:rPr>
          <w:rFonts w:hint="cs"/>
          <w:rtl/>
        </w:rPr>
        <w:t xml:space="preserve"> منزه عن الحدود والنهايات , مستغن عن المكان والجهات . (ليس كمثله شيء) " أهــ</w:t>
      </w:r>
      <w:r>
        <w:rPr>
          <w:rFonts w:hint="cs"/>
          <w:rtl/>
        </w:rPr>
        <w:t>،</w:t>
      </w:r>
      <w:r w:rsidR="009C32A0" w:rsidRPr="005675B2">
        <w:rPr>
          <w:rFonts w:hint="cs"/>
          <w:rtl/>
        </w:rPr>
        <w:t xml:space="preserve"> </w:t>
      </w:r>
      <w:r>
        <w:rPr>
          <w:rFonts w:hint="cs"/>
          <w:rtl/>
          <w:lang w:bidi="ar-KW"/>
        </w:rPr>
        <w:t>(</w:t>
      </w:r>
      <w:r w:rsidR="009C32A0" w:rsidRPr="005675B2">
        <w:rPr>
          <w:rFonts w:hint="cs"/>
          <w:rtl/>
          <w:lang w:bidi="ar-KW"/>
        </w:rPr>
        <w:t>3</w:t>
      </w:r>
      <w:r>
        <w:rPr>
          <w:rFonts w:hint="cs"/>
          <w:rtl/>
          <w:lang w:bidi="ar-KW"/>
        </w:rPr>
        <w:t>)</w:t>
      </w:r>
      <w:r w:rsidR="009C32A0" w:rsidRPr="005675B2">
        <w:rPr>
          <w:rFonts w:hint="cs"/>
          <w:rtl/>
          <w:lang w:bidi="ar-KW"/>
        </w:rPr>
        <w:t xml:space="preserve"> وقال إمام أهل السنة الماتريدي</w:t>
      </w:r>
      <w:r>
        <w:rPr>
          <w:rFonts w:hint="cs"/>
          <w:rtl/>
          <w:lang w:bidi="ar-KW"/>
        </w:rPr>
        <w:t>:</w:t>
      </w:r>
      <w:r w:rsidR="009C32A0" w:rsidRPr="005675B2">
        <w:rPr>
          <w:rFonts w:hint="cs"/>
          <w:rtl/>
          <w:lang w:bidi="ar-KW"/>
        </w:rPr>
        <w:t xml:space="preserve"> (</w:t>
      </w:r>
      <w:r w:rsidR="009C32A0" w:rsidRPr="005675B2">
        <w:rPr>
          <w:rFonts w:hint="cs"/>
          <w:rtl/>
        </w:rPr>
        <w:t xml:space="preserve">ولا يوصف شيء بالقرب إلى الله من طريق المسافة والمساحة ولا هو بالقرب إلى شيء من ذلك الوجه إذ ذلك جهة الحدود والتقدير بالأمكنة </w:t>
      </w:r>
      <w:r w:rsidR="009C32A0" w:rsidRPr="005675B2">
        <w:rPr>
          <w:rFonts w:hint="cs"/>
          <w:bCs/>
          <w:rtl/>
        </w:rPr>
        <w:t>وقد كان ولا مكان فهو على ما كان يتعالى عن الزمان والمكان إذ إليهما ترجع حدود الأشياء ونهايتها ولا قوة إلا بالله</w:t>
      </w:r>
      <w:r>
        <w:rPr>
          <w:rFonts w:hint="cs"/>
          <w:bCs/>
          <w:rtl/>
        </w:rPr>
        <w:t>)</w:t>
      </w:r>
      <w:r w:rsidR="009C32A0" w:rsidRPr="005675B2">
        <w:rPr>
          <w:rFonts w:hint="cs"/>
          <w:rtl/>
          <w:lang w:bidi="ar-KW"/>
        </w:rPr>
        <w:t xml:space="preserve"> أهـ </w:t>
      </w:r>
      <w:r>
        <w:rPr>
          <w:rFonts w:hint="cs"/>
          <w:rtl/>
          <w:lang w:bidi="ar-KW"/>
        </w:rPr>
        <w:t>[</w:t>
      </w:r>
      <w:r w:rsidR="009C32A0" w:rsidRPr="005675B2">
        <w:rPr>
          <w:rFonts w:hint="cs"/>
          <w:rtl/>
        </w:rPr>
        <w:t>التوحيد للماتريدي ج: 1 ص: 106</w:t>
      </w:r>
      <w:r>
        <w:rPr>
          <w:rFonts w:hint="cs"/>
          <w:rtl/>
        </w:rPr>
        <w:t>]، (</w:t>
      </w:r>
      <w:r w:rsidR="009C32A0" w:rsidRPr="005675B2">
        <w:rPr>
          <w:rFonts w:hint="cs"/>
          <w:rtl/>
        </w:rPr>
        <w:t>4</w:t>
      </w:r>
      <w:r>
        <w:rPr>
          <w:rFonts w:hint="cs"/>
          <w:rtl/>
        </w:rPr>
        <w:t>)</w:t>
      </w:r>
      <w:r w:rsidR="009C32A0" w:rsidRPr="005675B2">
        <w:rPr>
          <w:rFonts w:hint="cs"/>
          <w:rtl/>
        </w:rPr>
        <w:t xml:space="preserve"> وقال حجة الإسلام الغزالي ر حمه الله - في درة من علم التنزيه -</w:t>
      </w:r>
      <w:r>
        <w:rPr>
          <w:rFonts w:hint="cs"/>
          <w:rtl/>
        </w:rPr>
        <w:t>: (</w:t>
      </w:r>
      <w:r w:rsidR="009C32A0" w:rsidRPr="005675B2">
        <w:rPr>
          <w:rFonts w:hint="cs"/>
          <w:rtl/>
        </w:rPr>
        <w:t xml:space="preserve">أنه </w:t>
      </w:r>
      <w:r>
        <w:rPr>
          <w:rFonts w:hint="cs"/>
          <w:rtl/>
        </w:rPr>
        <w:t>(</w:t>
      </w:r>
      <w:r w:rsidR="009C32A0" w:rsidRPr="005675B2">
        <w:rPr>
          <w:rFonts w:hint="cs"/>
          <w:rtl/>
        </w:rPr>
        <w:t>سبحانه</w:t>
      </w:r>
      <w:r>
        <w:rPr>
          <w:rFonts w:hint="cs"/>
          <w:rtl/>
        </w:rPr>
        <w:t>)</w:t>
      </w:r>
      <w:r w:rsidR="009C32A0" w:rsidRPr="005675B2">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Pr>
          <w:rFonts w:hint="cs"/>
          <w:rtl/>
        </w:rPr>
        <w:t>،</w:t>
      </w:r>
      <w:r w:rsidR="009C32A0" w:rsidRPr="005675B2">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w:t>
      </w:r>
      <w:r w:rsidR="009C32A0" w:rsidRPr="005675B2">
        <w:rPr>
          <w:rFonts w:hint="cs"/>
          <w:rtl/>
        </w:rPr>
        <w:lastRenderedPageBreak/>
        <w:t xml:space="preserve">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9C32A0" w:rsidRPr="005675B2">
        <w:rPr>
          <w:rFonts w:hint="cs"/>
          <w:bCs/>
          <w:rtl/>
        </w:rPr>
        <w:t>تعالى عن أن يحويه مكان كما تقدس عن أن يحده زمان بل كان قبل أن خلق الزمان والمكان وهو الآن على ما عليه كان</w:t>
      </w:r>
      <w:r w:rsidR="009C32A0" w:rsidRPr="005675B2">
        <w:rPr>
          <w:rFonts w:hint="cs"/>
          <w:rtl/>
        </w:rPr>
        <w:t xml:space="preserve"> " أهــ </w:t>
      </w:r>
      <w:r>
        <w:rPr>
          <w:rFonts w:hint="cs"/>
          <w:rtl/>
        </w:rPr>
        <w:t>[</w:t>
      </w:r>
      <w:r w:rsidR="009C32A0" w:rsidRPr="005675B2">
        <w:rPr>
          <w:rFonts w:hint="cs"/>
          <w:rtl/>
          <w:lang w:bidi="ar-KW"/>
        </w:rPr>
        <w:t>الغزالي قواعد العقائد</w:t>
      </w:r>
      <w:r>
        <w:rPr>
          <w:rFonts w:hint="cs"/>
          <w:rtl/>
          <w:lang w:bidi="ar-KW"/>
        </w:rPr>
        <w:t>]</w:t>
      </w:r>
      <w:r>
        <w:rPr>
          <w:rFonts w:hint="cs"/>
          <w:rtl/>
        </w:rPr>
        <w:t>، (</w:t>
      </w:r>
      <w:r w:rsidR="009C32A0" w:rsidRPr="005675B2">
        <w:rPr>
          <w:rFonts w:hint="cs"/>
          <w:rtl/>
        </w:rPr>
        <w:t>5</w:t>
      </w:r>
      <w:r>
        <w:rPr>
          <w:rFonts w:hint="cs"/>
          <w:rtl/>
        </w:rPr>
        <w:t>)</w:t>
      </w:r>
      <w:r w:rsidR="009C32A0" w:rsidRPr="005675B2">
        <w:rPr>
          <w:rFonts w:hint="cs"/>
          <w:rtl/>
        </w:rPr>
        <w:t xml:space="preserve"> وجاء في مناهل العرفان</w:t>
      </w:r>
      <w:r>
        <w:rPr>
          <w:rFonts w:hint="cs"/>
          <w:rtl/>
        </w:rPr>
        <w:t>:</w:t>
      </w:r>
      <w:r w:rsidR="009C32A0" w:rsidRPr="005675B2">
        <w:rPr>
          <w:rFonts w:hint="cs"/>
          <w:rtl/>
        </w:rPr>
        <w:t xml:space="preserve"> </w:t>
      </w:r>
      <w:r>
        <w:rPr>
          <w:rFonts w:hint="cs"/>
          <w:rtl/>
        </w:rPr>
        <w:t>(</w:t>
      </w:r>
      <w:r w:rsidR="009C32A0" w:rsidRPr="005675B2">
        <w:rPr>
          <w:rFonts w:hint="cs"/>
          <w:rtl/>
        </w:rPr>
        <w:t xml:space="preserve">فالعمدة عندنا في أمور العقائد هي الأدلة القطعية التي توافرت على أنه </w:t>
      </w:r>
      <w:r w:rsidR="009C32A0" w:rsidRPr="005675B2">
        <w:rPr>
          <w:rFonts w:hint="cs"/>
          <w:bCs/>
          <w:rtl/>
        </w:rPr>
        <w:t xml:space="preserve">تعالى ليس جسما ولا متحيزا ولا متجزئا ولا متركبا ولا محتاجا لأحد ولا إلى مكان ولا إلى زمان ولا نحو ذلك </w:t>
      </w:r>
      <w:r w:rsidR="009C32A0" w:rsidRPr="005675B2">
        <w:rPr>
          <w:rFonts w:hint="cs"/>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rPr>
        <w:t xml:space="preserve"> [</w:t>
      </w:r>
      <w:r w:rsidR="009C32A0" w:rsidRPr="005675B2">
        <w:rPr>
          <w:rFonts w:hint="cs"/>
          <w:rtl/>
        </w:rPr>
        <w:t>مناهل العرفان</w:t>
      </w:r>
      <w:r>
        <w:rPr>
          <w:rFonts w:hint="cs"/>
          <w:rtl/>
        </w:rPr>
        <w:t xml:space="preserve">: </w:t>
      </w:r>
      <w:r w:rsidR="009C32A0" w:rsidRPr="005675B2">
        <w:rPr>
          <w:rFonts w:hint="cs"/>
          <w:rtl/>
        </w:rPr>
        <w:t>ج2 ص 210</w:t>
      </w:r>
      <w:r>
        <w:rPr>
          <w:rFonts w:hint="cs"/>
          <w:rtl/>
        </w:rPr>
        <w:t>]،</w:t>
      </w:r>
      <w:r w:rsidR="009C32A0" w:rsidRPr="005675B2">
        <w:rPr>
          <w:rFonts w:hint="cs"/>
          <w:rtl/>
        </w:rPr>
        <w:t xml:space="preserve"> </w:t>
      </w:r>
      <w:r>
        <w:rPr>
          <w:rFonts w:hint="cs"/>
          <w:rtl/>
        </w:rPr>
        <w:t>(</w:t>
      </w:r>
      <w:r w:rsidR="009C32A0" w:rsidRPr="005675B2">
        <w:rPr>
          <w:rFonts w:hint="cs"/>
          <w:rtl/>
        </w:rPr>
        <w:t>6</w:t>
      </w:r>
      <w:r>
        <w:rPr>
          <w:rFonts w:hint="cs"/>
          <w:rtl/>
        </w:rPr>
        <w:t>)</w:t>
      </w:r>
      <w:r w:rsidR="009C32A0" w:rsidRPr="005675B2">
        <w:rPr>
          <w:rFonts w:hint="cs"/>
          <w:rtl/>
        </w:rPr>
        <w:t xml:space="preserve"> وقال القرطبي في التفسير</w:t>
      </w:r>
      <w:r>
        <w:rPr>
          <w:rFonts w:hint="cs"/>
          <w:rtl/>
        </w:rPr>
        <w:t>:</w:t>
      </w:r>
      <w:r w:rsidR="009C32A0" w:rsidRPr="005675B2">
        <w:rPr>
          <w:rFonts w:hint="cs"/>
          <w:rtl/>
        </w:rPr>
        <w:t xml:space="preserve"> </w:t>
      </w:r>
      <w:r>
        <w:rPr>
          <w:rFonts w:hint="cs"/>
          <w:rtl/>
        </w:rPr>
        <w:t>(</w:t>
      </w:r>
      <w:r w:rsidR="009C32A0" w:rsidRPr="005675B2">
        <w:rPr>
          <w:rFonts w:hint="cs"/>
          <w:rtl/>
        </w:rPr>
        <w:t xml:space="preserve">المكان لا يصح إطلاقه على الله تعالى بالحقيقة إذ الله تعالى منزه عن المكان كما هو منزه عن الزمان ...) </w:t>
      </w:r>
      <w:r>
        <w:rPr>
          <w:rFonts w:hint="cs"/>
          <w:rtl/>
        </w:rPr>
        <w:t>[</w:t>
      </w:r>
      <w:r w:rsidR="009C32A0" w:rsidRPr="005675B2">
        <w:rPr>
          <w:rFonts w:hint="cs"/>
          <w:rtl/>
        </w:rPr>
        <w:t>تفسير القرطبي ج18 ص 315 تفسير سورة تبارك</w:t>
      </w:r>
      <w:r>
        <w:rPr>
          <w:rFonts w:hint="cs"/>
          <w:rtl/>
        </w:rPr>
        <w:t>]، (</w:t>
      </w:r>
      <w:r w:rsidR="009C32A0" w:rsidRPr="005675B2">
        <w:rPr>
          <w:rFonts w:hint="cs"/>
          <w:rtl/>
        </w:rPr>
        <w:t>7</w:t>
      </w:r>
      <w:r>
        <w:rPr>
          <w:rFonts w:hint="cs"/>
          <w:rtl/>
        </w:rPr>
        <w:t>)</w:t>
      </w:r>
      <w:r w:rsidR="009C32A0" w:rsidRPr="005675B2">
        <w:rPr>
          <w:rFonts w:hint="cs"/>
          <w:rtl/>
        </w:rPr>
        <w:t xml:space="preserve"> وجاء في الفواكه الدواني</w:t>
      </w:r>
      <w:r>
        <w:rPr>
          <w:rFonts w:hint="cs"/>
          <w:rtl/>
        </w:rPr>
        <w:t>: (</w:t>
      </w:r>
      <w:r w:rsidR="009C32A0" w:rsidRPr="005675B2">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rPr>
        <w:t>)</w:t>
      </w:r>
      <w:r w:rsidR="009C32A0" w:rsidRPr="005675B2">
        <w:rPr>
          <w:rFonts w:hint="cs"/>
          <w:rtl/>
        </w:rPr>
        <w:t xml:space="preserve"> أهـ</w:t>
      </w:r>
      <w:r>
        <w:rPr>
          <w:rFonts w:hint="cs"/>
          <w:rtl/>
        </w:rPr>
        <w:t xml:space="preserve"> [</w:t>
      </w:r>
      <w:r w:rsidR="009C32A0" w:rsidRPr="005675B2">
        <w:rPr>
          <w:rFonts w:hint="cs"/>
          <w:rtl/>
        </w:rPr>
        <w:t>الفواكه الدواني ج: 1 ص: 49</w:t>
      </w:r>
      <w:r>
        <w:rPr>
          <w:rFonts w:hint="cs"/>
          <w:rtl/>
        </w:rPr>
        <w:t>]،</w:t>
      </w:r>
      <w:r w:rsidR="009C32A0" w:rsidRPr="005675B2">
        <w:rPr>
          <w:rFonts w:hint="cs"/>
          <w:rtl/>
          <w:lang w:bidi="ar-KW"/>
        </w:rPr>
        <w:t xml:space="preserve"> وجاء فيه أيضاً</w:t>
      </w:r>
      <w:r>
        <w:rPr>
          <w:rFonts w:hint="cs"/>
          <w:rtl/>
          <w:lang w:bidi="ar-KW"/>
        </w:rPr>
        <w:t>:</w:t>
      </w:r>
      <w:r w:rsidR="009C32A0" w:rsidRPr="005675B2">
        <w:rPr>
          <w:rFonts w:hint="cs"/>
          <w:rtl/>
          <w:lang w:bidi="ar-KW"/>
        </w:rPr>
        <w:t xml:space="preserve"> </w:t>
      </w:r>
      <w:r>
        <w:rPr>
          <w:rFonts w:hint="cs"/>
          <w:rtl/>
        </w:rPr>
        <w:t>(</w:t>
      </w:r>
      <w:r w:rsidR="009C32A0" w:rsidRPr="005675B2">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rtl/>
        </w:rPr>
        <w:t>)</w:t>
      </w:r>
      <w:r w:rsidR="009C32A0" w:rsidRPr="005675B2">
        <w:rPr>
          <w:rFonts w:hint="cs"/>
          <w:rtl/>
        </w:rPr>
        <w:t xml:space="preserve"> أهـ [الفواكه الدواني ج: 1 ص: 50</w:t>
      </w:r>
      <w:r>
        <w:rPr>
          <w:rFonts w:hint="cs"/>
          <w:rtl/>
        </w:rPr>
        <w:t>]</w:t>
      </w:r>
      <w:r w:rsidR="009C32A0" w:rsidRPr="005675B2">
        <w:rPr>
          <w:rFonts w:hint="cs"/>
          <w:rtl/>
        </w:rPr>
        <w:t xml:space="preserve"> </w:t>
      </w:r>
    </w:p>
    <w:p w14:paraId="0C4DD710" w14:textId="77777777" w:rsidR="009C32A0" w:rsidRPr="005675B2" w:rsidRDefault="009C32A0" w:rsidP="000636C2">
      <w:pPr>
        <w:jc w:val="center"/>
        <w:rPr>
          <w:b/>
          <w:rtl/>
          <w:lang w:bidi="ar-KW"/>
        </w:rPr>
      </w:pPr>
      <w:r>
        <w:rPr>
          <w:rFonts w:hint="cs"/>
          <w:rtl/>
          <w:lang w:bidi="ar-KW"/>
        </w:rPr>
        <w:t>***</w:t>
      </w:r>
      <w:r w:rsidRPr="005675B2">
        <w:rPr>
          <w:rFonts w:hint="cs"/>
          <w:rtl/>
          <w:lang w:bidi="ar-KW"/>
        </w:rPr>
        <w:t xml:space="preserve"> </w:t>
      </w:r>
    </w:p>
    <w:p w14:paraId="21402BE6" w14:textId="77777777" w:rsidR="009C32A0" w:rsidRPr="005675B2" w:rsidRDefault="009C32A0" w:rsidP="000636C2">
      <w:pPr>
        <w:jc w:val="center"/>
        <w:rPr>
          <w:b/>
          <w:rtl/>
          <w:lang w:bidi="ar-KW"/>
        </w:rPr>
      </w:pPr>
    </w:p>
    <w:p w14:paraId="44E2FA56" w14:textId="4D9B8B81" w:rsidR="009C32A0" w:rsidRPr="00306AAB" w:rsidRDefault="00306AAB" w:rsidP="00306AAB">
      <w:pPr>
        <w:pStyle w:val="2"/>
        <w:bidi/>
        <w:jc w:val="center"/>
        <w:rPr>
          <w:u w:val="none"/>
          <w:rtl/>
          <w:lang w:bidi="ar-KW"/>
        </w:rPr>
      </w:pPr>
      <w:r>
        <w:rPr>
          <w:rFonts w:hint="cs"/>
          <w:u w:val="none"/>
          <w:rtl/>
          <w:lang w:bidi="ar-KW"/>
        </w:rPr>
        <w:lastRenderedPageBreak/>
        <w:t>ا</w:t>
      </w:r>
      <w:r w:rsidR="009C32A0" w:rsidRPr="00306AAB">
        <w:rPr>
          <w:rFonts w:hint="cs"/>
          <w:u w:val="none"/>
          <w:rtl/>
          <w:lang w:bidi="ar-KW"/>
        </w:rPr>
        <w:t>لقاعدة الثالثة من قواعد التوحيد والتقديس والتنزيه</w:t>
      </w:r>
      <w:r w:rsidRPr="00306AAB">
        <w:rPr>
          <w:rFonts w:hint="cs"/>
          <w:u w:val="none"/>
          <w:rtl/>
          <w:lang w:bidi="ar-KW"/>
        </w:rPr>
        <w:t xml:space="preserve"> </w:t>
      </w:r>
      <w:r w:rsidR="009C32A0" w:rsidRPr="00306AAB">
        <w:rPr>
          <w:rFonts w:hint="cs"/>
          <w:u w:val="none"/>
          <w:rtl/>
          <w:lang w:bidi="ar-KW"/>
        </w:rPr>
        <w:t>تنزيه ذات الله تعالى عن الحدوث أو الفناء</w:t>
      </w:r>
    </w:p>
    <w:p w14:paraId="73C16FFD" w14:textId="77777777" w:rsidR="009C32A0" w:rsidRPr="005675B2" w:rsidRDefault="009C32A0" w:rsidP="000636C2">
      <w:pPr>
        <w:rPr>
          <w:b/>
          <w:rtl/>
        </w:rPr>
      </w:pPr>
    </w:p>
    <w:p w14:paraId="5EF2322C" w14:textId="0814AE5C" w:rsidR="009C32A0" w:rsidRPr="005675B2" w:rsidRDefault="000636C2" w:rsidP="000636C2">
      <w:pPr>
        <w:rPr>
          <w:b/>
          <w:rtl/>
          <w:lang w:bidi="ar-KW"/>
        </w:rPr>
      </w:pPr>
      <w:r>
        <w:rPr>
          <w:rFonts w:hint="cs"/>
          <w:rtl/>
        </w:rPr>
        <w:t>(</w:t>
      </w:r>
      <w:r w:rsidR="009C32A0" w:rsidRPr="005675B2">
        <w:rPr>
          <w:rFonts w:hint="cs"/>
          <w:rtl/>
        </w:rPr>
        <w:t>أ</w:t>
      </w:r>
      <w:r>
        <w:rPr>
          <w:rFonts w:hint="cs"/>
          <w:rtl/>
        </w:rPr>
        <w:t>)</w:t>
      </w:r>
      <w:r w:rsidR="009C32A0" w:rsidRPr="005675B2">
        <w:rPr>
          <w:rFonts w:hint="cs"/>
          <w:rtl/>
        </w:rPr>
        <w:t xml:space="preserve"> الله تعالى له كمال الوجود الأول بلا ابتداء والآخر بلا انتهاء</w:t>
      </w:r>
      <w:r>
        <w:rPr>
          <w:rFonts w:hint="cs"/>
          <w:rtl/>
        </w:rPr>
        <w:t xml:space="preserve">، </w:t>
      </w:r>
      <w:r w:rsidR="009C32A0" w:rsidRPr="005675B2">
        <w:rPr>
          <w:rFonts w:hint="cs"/>
          <w:rtl/>
        </w:rPr>
        <w:t>كما في قوله تعالى</w:t>
      </w:r>
      <w:r>
        <w:rPr>
          <w:rFonts w:hint="cs"/>
          <w:rtl/>
        </w:rPr>
        <w:t>:</w:t>
      </w:r>
      <w:r w:rsidR="009C32A0" w:rsidRPr="005675B2">
        <w:rPr>
          <w:rFonts w:hint="cs"/>
          <w:rtl/>
        </w:rPr>
        <w:t xml:space="preserve"> </w:t>
      </w:r>
      <w:r>
        <w:rPr>
          <w:rFonts w:hint="cs"/>
          <w:rtl/>
        </w:rPr>
        <w:t>{</w:t>
      </w:r>
      <w:r w:rsidR="009C32A0" w:rsidRPr="005675B2">
        <w:rPr>
          <w:rFonts w:hint="cs"/>
          <w:rtl/>
        </w:rPr>
        <w:t>هُوَ الْأَوَّلُ وَالْآخِرُ وَالظَّاهِرُ وَالْبَاطِنُ وَهُوَ بِكُلِّ شَيْءٍ عَلِيمٌ</w:t>
      </w:r>
      <w:r>
        <w:rPr>
          <w:rFonts w:hint="cs"/>
          <w:rtl/>
        </w:rPr>
        <w:t>}،</w:t>
      </w:r>
      <w:r w:rsidR="009C32A0" w:rsidRPr="005675B2">
        <w:rPr>
          <w:rFonts w:hint="cs"/>
          <w:rtl/>
        </w:rPr>
        <w:t xml:space="preserve"> وقوله صلى الله عليه وسلم: </w:t>
      </w:r>
      <w:r>
        <w:rPr>
          <w:rFonts w:hint="cs"/>
          <w:rtl/>
        </w:rPr>
        <w:t>(</w:t>
      </w:r>
      <w:r w:rsidR="009C32A0" w:rsidRPr="005675B2">
        <w:rPr>
          <w:rFonts w:hint="cs"/>
          <w:rtl/>
        </w:rPr>
        <w:t>اللهم أنت الأوَّلُ فليس قبلَك شيء</w:t>
      </w:r>
      <w:r>
        <w:rPr>
          <w:rFonts w:hint="cs"/>
          <w:rtl/>
        </w:rPr>
        <w:t>،</w:t>
      </w:r>
      <w:r w:rsidR="009C32A0" w:rsidRPr="005675B2">
        <w:rPr>
          <w:rFonts w:hint="cs"/>
          <w:rtl/>
        </w:rPr>
        <w:t xml:space="preserve"> وأنت الآخِر فليس بعدَك شيء</w:t>
      </w:r>
      <w:r>
        <w:rPr>
          <w:rFonts w:hint="cs"/>
          <w:rtl/>
        </w:rPr>
        <w:t>،</w:t>
      </w:r>
      <w:r w:rsidR="009C32A0" w:rsidRPr="005675B2">
        <w:rPr>
          <w:rFonts w:hint="cs"/>
          <w:rtl/>
        </w:rPr>
        <w:t xml:space="preserve"> وأنت الظاهرُ فليس فوقَكَ شيء</w:t>
      </w:r>
      <w:r>
        <w:rPr>
          <w:rFonts w:hint="cs"/>
          <w:rtl/>
        </w:rPr>
        <w:t>،</w:t>
      </w:r>
      <w:r w:rsidR="009C32A0" w:rsidRPr="005675B2">
        <w:rPr>
          <w:rFonts w:hint="cs"/>
          <w:rtl/>
        </w:rPr>
        <w:t xml:space="preserve"> وأنت الباطن فليس دونَك شيء)</w:t>
      </w:r>
      <w:r>
        <w:rPr>
          <w:rFonts w:hint="cs"/>
          <w:rtl/>
        </w:rPr>
        <w:t xml:space="preserve"> [</w:t>
      </w:r>
      <w:r w:rsidR="009C32A0" w:rsidRPr="005675B2">
        <w:rPr>
          <w:rFonts w:hint="cs"/>
          <w:rtl/>
        </w:rPr>
        <w:t>أخرجه مسلم</w:t>
      </w:r>
      <w:r>
        <w:rPr>
          <w:rFonts w:hint="cs"/>
          <w:rtl/>
        </w:rPr>
        <w:t>]،</w:t>
      </w:r>
      <w:r w:rsidR="009C32A0" w:rsidRPr="005675B2">
        <w:rPr>
          <w:rFonts w:hint="cs"/>
          <w:rtl/>
        </w:rPr>
        <w:t xml:space="preserve"> فهو سبحانه الأزلي القديم بذاته</w:t>
      </w:r>
      <w:r>
        <w:rPr>
          <w:rFonts w:hint="cs"/>
          <w:rtl/>
        </w:rPr>
        <w:t>،</w:t>
      </w:r>
      <w:r w:rsidR="009C32A0" w:rsidRPr="005675B2">
        <w:rPr>
          <w:rFonts w:hint="cs"/>
          <w:rtl/>
        </w:rPr>
        <w:t xml:space="preserve"> منزه عن الحدوث إذ ليس لذاته ابتداء</w:t>
      </w:r>
      <w:r>
        <w:rPr>
          <w:rFonts w:hint="cs"/>
          <w:rtl/>
        </w:rPr>
        <w:t>،</w:t>
      </w:r>
      <w:r w:rsidR="009C32A0" w:rsidRPr="005675B2">
        <w:rPr>
          <w:rFonts w:hint="cs"/>
          <w:rtl/>
        </w:rPr>
        <w:t xml:space="preserve"> وهو سبحانه الأبدي الباقي بذاته إذ ليس لذاته انتهاء</w:t>
      </w:r>
      <w:r>
        <w:rPr>
          <w:rFonts w:hint="cs"/>
          <w:rtl/>
        </w:rPr>
        <w:t>،</w:t>
      </w:r>
      <w:r w:rsidR="009C32A0" w:rsidRPr="005675B2">
        <w:rPr>
          <w:rFonts w:hint="cs"/>
          <w:rtl/>
        </w:rPr>
        <w:t xml:space="preserve"> له سبحانه كمال الحياة</w:t>
      </w:r>
      <w:r>
        <w:rPr>
          <w:rFonts w:hint="cs"/>
          <w:rtl/>
        </w:rPr>
        <w:t>،</w:t>
      </w:r>
      <w:r w:rsidR="009C32A0" w:rsidRPr="005675B2">
        <w:rPr>
          <w:rFonts w:hint="cs"/>
          <w:rtl/>
        </w:rPr>
        <w:t xml:space="preserve"> فهي حياة أزلية ذاتية ليس لها ابتداء (</w:t>
      </w:r>
      <w:r>
        <w:rPr>
          <w:rFonts w:hint="cs"/>
          <w:rtl/>
        </w:rPr>
        <w:t>(</w:t>
      </w:r>
      <w:r w:rsidR="009C32A0" w:rsidRPr="005675B2">
        <w:rPr>
          <w:rFonts w:hint="cs"/>
          <w:rtl/>
        </w:rPr>
        <w:t>الاول فليس قبلك شيء</w:t>
      </w:r>
      <w:r>
        <w:rPr>
          <w:rFonts w:hint="cs"/>
          <w:rtl/>
        </w:rPr>
        <w:t>)</w:t>
      </w:r>
      <w:r w:rsidR="009C32A0" w:rsidRPr="005675B2">
        <w:rPr>
          <w:rFonts w:hint="cs"/>
          <w:rtl/>
        </w:rPr>
        <w:t>)</w:t>
      </w:r>
      <w:r>
        <w:rPr>
          <w:rFonts w:hint="cs"/>
          <w:rtl/>
        </w:rPr>
        <w:t>،</w:t>
      </w:r>
      <w:r w:rsidR="009C32A0" w:rsidRPr="005675B2">
        <w:rPr>
          <w:rFonts w:hint="cs"/>
          <w:rtl/>
        </w:rPr>
        <w:t xml:space="preserve"> وهي حياة أبدية ذاتية باقية ليس لها انتهاء (</w:t>
      </w:r>
      <w:r>
        <w:rPr>
          <w:rFonts w:hint="cs"/>
          <w:rtl/>
        </w:rPr>
        <w:t>(</w:t>
      </w:r>
      <w:r w:rsidR="009C32A0" w:rsidRPr="005675B2">
        <w:rPr>
          <w:rFonts w:hint="cs"/>
          <w:rtl/>
        </w:rPr>
        <w:t>الآخر فليس بعدك شيء</w:t>
      </w:r>
      <w:r>
        <w:rPr>
          <w:rFonts w:hint="cs"/>
          <w:rtl/>
        </w:rPr>
        <w:t>)</w:t>
      </w:r>
      <w:r w:rsidR="009C32A0" w:rsidRPr="005675B2">
        <w:rPr>
          <w:rFonts w:hint="cs"/>
          <w:rtl/>
        </w:rPr>
        <w:t>)</w:t>
      </w:r>
      <w:r>
        <w:rPr>
          <w:rFonts w:hint="cs"/>
          <w:rtl/>
        </w:rPr>
        <w:t>،</w:t>
      </w:r>
      <w:r w:rsidR="009C32A0" w:rsidRPr="005675B2">
        <w:rPr>
          <w:rFonts w:hint="cs"/>
          <w:rtl/>
        </w:rPr>
        <w:t xml:space="preserve"> فهو ال</w:t>
      </w:r>
      <w:r w:rsidR="009C32A0" w:rsidRPr="005675B2">
        <w:rPr>
          <w:rFonts w:hint="cs"/>
          <w:rtl/>
          <w:lang w:bidi="ar-QA"/>
        </w:rPr>
        <w:t>حي</w:t>
      </w:r>
      <w:r w:rsidR="009C32A0" w:rsidRPr="005675B2">
        <w:rPr>
          <w:rFonts w:hint="cs"/>
          <w:rtl/>
        </w:rPr>
        <w:t xml:space="preserve"> قبل كل </w:t>
      </w:r>
      <w:r w:rsidR="009C32A0" w:rsidRPr="005675B2">
        <w:rPr>
          <w:rFonts w:hint="cs"/>
          <w:rtl/>
          <w:lang w:bidi="ar-QA"/>
        </w:rPr>
        <w:t xml:space="preserve">حي وهو الحي </w:t>
      </w:r>
      <w:r w:rsidR="009C32A0" w:rsidRPr="005675B2">
        <w:rPr>
          <w:rFonts w:hint="cs"/>
          <w:rtl/>
        </w:rPr>
        <w:t>الذي لا يموت</w:t>
      </w:r>
      <w:r>
        <w:rPr>
          <w:rFonts w:hint="cs"/>
          <w:rtl/>
        </w:rPr>
        <w:t>،</w:t>
      </w:r>
      <w:r w:rsidR="009C32A0" w:rsidRPr="005675B2">
        <w:rPr>
          <w:rFonts w:hint="cs"/>
          <w:rtl/>
        </w:rPr>
        <w:t xml:space="preserve"> وهو الحي بعد كل ميت</w:t>
      </w:r>
      <w:r>
        <w:rPr>
          <w:rFonts w:hint="cs"/>
          <w:rtl/>
        </w:rPr>
        <w:t>،</w:t>
      </w:r>
      <w:r w:rsidR="009C32A0" w:rsidRPr="005675B2">
        <w:rPr>
          <w:rFonts w:hint="cs"/>
          <w:rtl/>
        </w:rPr>
        <w:t>حياته سبحانه تامة كاملة منزهة عن السنة والنوم والموت والفناء، كما في قوله تعالى</w:t>
      </w:r>
      <w:r>
        <w:rPr>
          <w:rFonts w:hint="cs"/>
          <w:rtl/>
        </w:rPr>
        <w:t>:</w:t>
      </w:r>
      <w:r w:rsidR="009C32A0" w:rsidRPr="005675B2">
        <w:rPr>
          <w:rFonts w:hint="cs"/>
          <w:rtl/>
        </w:rPr>
        <w:t xml:space="preserve"> </w:t>
      </w:r>
      <w:r>
        <w:rPr>
          <w:rFonts w:hint="cs"/>
          <w:rtl/>
        </w:rPr>
        <w:t>{</w:t>
      </w:r>
      <w:r w:rsidR="009C32A0" w:rsidRPr="005675B2">
        <w:rPr>
          <w:rFonts w:hint="cs"/>
          <w:rtl/>
        </w:rPr>
        <w:t>اللَّهُ لَا إِلَهَ إِلَّا هُوَ الْحَيُّ الْقَيُّومُ لَا تَأْخُذُهُ سِنَةٌ وَلَا نَوْمٌ لَهُ مَا فِي السَّمَوَاتِ وَمَا فِي الْأَرْضِ</w:t>
      </w:r>
      <w:r>
        <w:rPr>
          <w:rFonts w:hint="cs"/>
          <w:rtl/>
        </w:rPr>
        <w:t>}</w:t>
      </w:r>
      <w:r w:rsidR="009C32A0" w:rsidRPr="005675B2">
        <w:rPr>
          <w:rFonts w:hint="cs"/>
          <w:rtl/>
        </w:rPr>
        <w:t xml:space="preserve"> </w:t>
      </w:r>
      <w:r>
        <w:rPr>
          <w:rFonts w:hint="cs"/>
          <w:rtl/>
        </w:rPr>
        <w:t>[</w:t>
      </w:r>
      <w:r w:rsidR="009C32A0" w:rsidRPr="005675B2">
        <w:rPr>
          <w:rFonts w:hint="cs"/>
          <w:rtl/>
        </w:rPr>
        <w:t>البقرة</w:t>
      </w:r>
      <w:r>
        <w:rPr>
          <w:rFonts w:hint="cs"/>
          <w:rtl/>
        </w:rPr>
        <w:t xml:space="preserve">: </w:t>
      </w:r>
      <w:r w:rsidR="009C32A0" w:rsidRPr="005675B2">
        <w:rPr>
          <w:rFonts w:hint="cs"/>
          <w:rtl/>
        </w:rPr>
        <w:t>255</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snapToGrid w:val="0"/>
          <w:rtl/>
        </w:rPr>
        <w:t>{</w:t>
      </w:r>
      <w:r w:rsidR="009C32A0" w:rsidRPr="005675B2">
        <w:rPr>
          <w:rFonts w:hint="cs"/>
          <w:rtl/>
        </w:rPr>
        <w:t>وَتَوَكَّلْ عَلَى الْحَيِّ الَّذِي لَا يَمُوتُ وَسَبِّحْ بِحَمْدِهِ وَكَفَى بِهِ بِذُنُوبِ عِبَادِهِ خَبِيرًا</w:t>
      </w:r>
      <w:r>
        <w:rPr>
          <w:rFonts w:hint="cs"/>
          <w:rtl/>
        </w:rPr>
        <w:t>}</w:t>
      </w:r>
      <w:r w:rsidR="009C32A0" w:rsidRPr="005675B2">
        <w:rPr>
          <w:rFonts w:hint="cs"/>
          <w:rtl/>
        </w:rPr>
        <w:t xml:space="preserve"> </w:t>
      </w:r>
      <w:r>
        <w:rPr>
          <w:rFonts w:hint="cs"/>
          <w:rtl/>
        </w:rPr>
        <w:t>[</w:t>
      </w:r>
      <w:r w:rsidR="009C32A0" w:rsidRPr="005675B2">
        <w:rPr>
          <w:rFonts w:hint="cs"/>
          <w:rtl/>
        </w:rPr>
        <w:t>الفرقان</w:t>
      </w:r>
      <w:r>
        <w:rPr>
          <w:rFonts w:hint="cs"/>
          <w:rtl/>
        </w:rPr>
        <w:t>:</w:t>
      </w:r>
      <w:r w:rsidR="009C32A0" w:rsidRPr="005675B2">
        <w:rPr>
          <w:rFonts w:hint="cs"/>
          <w:rtl/>
        </w:rPr>
        <w:t xml:space="preserve"> 58</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rtl/>
        </w:rPr>
        <w:t>كُلُّ شَيْءٍ هَالِكٌ إِلَّا وَجْهَهُ لَهُ الْحُكْمُ وَإِلَيْهِ تُرْجَعُونَ</w:t>
      </w:r>
      <w:r>
        <w:rPr>
          <w:rFonts w:hint="cs"/>
          <w:rtl/>
        </w:rPr>
        <w:t>}</w:t>
      </w:r>
      <w:r w:rsidR="009C32A0" w:rsidRPr="005675B2">
        <w:rPr>
          <w:rFonts w:hint="cs"/>
          <w:rtl/>
        </w:rPr>
        <w:t xml:space="preserve"> </w:t>
      </w:r>
      <w:r>
        <w:rPr>
          <w:rFonts w:hint="cs"/>
          <w:rtl/>
        </w:rPr>
        <w:t>[</w:t>
      </w:r>
      <w:r w:rsidR="009C32A0" w:rsidRPr="005675B2">
        <w:rPr>
          <w:rFonts w:hint="cs"/>
          <w:rtl/>
        </w:rPr>
        <w:t>القصص</w:t>
      </w:r>
      <w:r>
        <w:rPr>
          <w:rFonts w:hint="cs"/>
          <w:rtl/>
        </w:rPr>
        <w:t>:</w:t>
      </w:r>
      <w:r w:rsidR="009C32A0" w:rsidRPr="005675B2">
        <w:rPr>
          <w:rFonts w:hint="cs"/>
          <w:rtl/>
        </w:rPr>
        <w:t xml:space="preserve"> 88</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rtl/>
        </w:rPr>
        <w:t>كُلُّ مَنْ عَلَيْهَا فَانٍ * وَيَبْقَى وَجْهُ رَبِّكَ ذُو الْجَلَالِ وَالْإِكْرَامِ</w:t>
      </w:r>
      <w:r>
        <w:rPr>
          <w:rFonts w:hint="cs"/>
          <w:rtl/>
        </w:rPr>
        <w:t>}</w:t>
      </w:r>
      <w:r w:rsidR="009C32A0" w:rsidRPr="005675B2">
        <w:rPr>
          <w:rFonts w:hint="cs"/>
          <w:rtl/>
        </w:rPr>
        <w:t xml:space="preserve"> </w:t>
      </w:r>
      <w:r>
        <w:rPr>
          <w:rFonts w:hint="cs"/>
          <w:rtl/>
        </w:rPr>
        <w:t>[</w:t>
      </w:r>
      <w:r w:rsidR="009C32A0" w:rsidRPr="005675B2">
        <w:rPr>
          <w:rFonts w:hint="cs"/>
          <w:rtl/>
        </w:rPr>
        <w:t>الرحمن</w:t>
      </w:r>
      <w:r>
        <w:rPr>
          <w:rFonts w:hint="cs"/>
          <w:rtl/>
        </w:rPr>
        <w:t>:</w:t>
      </w:r>
      <w:r w:rsidR="009C32A0" w:rsidRPr="005675B2">
        <w:rPr>
          <w:rFonts w:hint="cs"/>
          <w:rtl/>
        </w:rPr>
        <w:t xml:space="preserve"> 26</w:t>
      </w:r>
      <w:r>
        <w:rPr>
          <w:rFonts w:hint="cs"/>
          <w:rtl/>
        </w:rPr>
        <w:t>،</w:t>
      </w:r>
      <w:r w:rsidR="009C32A0" w:rsidRPr="005675B2">
        <w:rPr>
          <w:rFonts w:hint="cs"/>
          <w:rtl/>
        </w:rPr>
        <w:t xml:space="preserve"> 27</w:t>
      </w:r>
      <w:r>
        <w:rPr>
          <w:rFonts w:hint="cs"/>
          <w:rtl/>
        </w:rPr>
        <w:t>]، (</w:t>
      </w:r>
      <w:r w:rsidR="009C32A0" w:rsidRPr="005675B2">
        <w:rPr>
          <w:rFonts w:hint="cs"/>
          <w:rtl/>
        </w:rPr>
        <w:t>ب</w:t>
      </w:r>
      <w:r>
        <w:rPr>
          <w:rFonts w:hint="cs"/>
          <w:rtl/>
        </w:rPr>
        <w:t>)</w:t>
      </w:r>
      <w:r w:rsidR="009C32A0" w:rsidRPr="005675B2">
        <w:rPr>
          <w:rFonts w:hint="cs"/>
          <w:rtl/>
        </w:rPr>
        <w:t xml:space="preserve"> من تنزيه الله تعالى عن الحدوث والفناء</w:t>
      </w:r>
      <w:r>
        <w:rPr>
          <w:rFonts w:hint="cs"/>
          <w:rtl/>
        </w:rPr>
        <w:t>،</w:t>
      </w:r>
      <w:r w:rsidR="009C32A0" w:rsidRPr="005675B2">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9C32A0" w:rsidRPr="005675B2">
        <w:rPr>
          <w:rFonts w:hint="cs"/>
          <w:rtl/>
        </w:rPr>
        <w:t xml:space="preserve"> وذلك لأنه في علم الأصول فإن القديم الذاتي لا يقبل الحدوث</w:t>
      </w:r>
      <w:r>
        <w:rPr>
          <w:rFonts w:hint="cs"/>
          <w:rtl/>
        </w:rPr>
        <w:t>،</w:t>
      </w:r>
      <w:r w:rsidR="009C32A0" w:rsidRPr="005675B2">
        <w:rPr>
          <w:rFonts w:hint="cs"/>
          <w:rtl/>
        </w:rPr>
        <w:t xml:space="preserve"> ولو قبل الحدوث لم يُؤمن عليه من الفناء</w:t>
      </w:r>
      <w:r>
        <w:rPr>
          <w:rFonts w:hint="cs"/>
          <w:rtl/>
        </w:rPr>
        <w:t>،</w:t>
      </w:r>
      <w:r w:rsidR="009C32A0" w:rsidRPr="005675B2">
        <w:rPr>
          <w:rFonts w:hint="cs"/>
          <w:rtl/>
        </w:rPr>
        <w:t xml:space="preserve"> والحوادث نقص يضاد الكمال المتمثل في القدم الذاتي للذات</w:t>
      </w:r>
      <w:r>
        <w:rPr>
          <w:rFonts w:hint="cs"/>
          <w:rtl/>
        </w:rPr>
        <w:t>،</w:t>
      </w:r>
      <w:r w:rsidR="009C32A0" w:rsidRPr="005675B2">
        <w:rPr>
          <w:rFonts w:hint="cs"/>
          <w:rtl/>
        </w:rPr>
        <w:t xml:space="preserve"> وسوف يأتي زيادة بيان للمسألة عند الحديث على القاعدة الثامنة </w:t>
      </w:r>
      <w:r>
        <w:rPr>
          <w:rFonts w:hint="cs"/>
          <w:rtl/>
        </w:rPr>
        <w:t>(</w:t>
      </w:r>
      <w:r w:rsidR="009C32A0" w:rsidRPr="005675B2">
        <w:rPr>
          <w:rFonts w:hint="cs"/>
          <w:rtl/>
        </w:rPr>
        <w:t xml:space="preserve">تنزيه الله تعالى </w:t>
      </w:r>
      <w:r w:rsidR="009C32A0" w:rsidRPr="005675B2">
        <w:rPr>
          <w:rFonts w:hint="cs"/>
          <w:rtl/>
          <w:lang w:bidi="ar-KW"/>
        </w:rPr>
        <w:t>عن التغير والحدوث و عن حلول الحوادث بذاته تقدس وتعالى لأنها صفات المخلوق</w:t>
      </w:r>
      <w:r>
        <w:rPr>
          <w:rFonts w:hint="cs"/>
          <w:rtl/>
          <w:lang w:bidi="ar-KW"/>
        </w:rPr>
        <w:t>)،</w:t>
      </w:r>
      <w:r w:rsidR="009C32A0" w:rsidRPr="005675B2">
        <w:rPr>
          <w:rFonts w:hint="cs"/>
          <w:rtl/>
          <w:lang w:bidi="ar-KW"/>
        </w:rPr>
        <w:t xml:space="preserve"> </w:t>
      </w:r>
    </w:p>
    <w:p w14:paraId="0C7BA62B" w14:textId="77777777" w:rsidR="009C32A0" w:rsidRPr="005675B2" w:rsidRDefault="009C32A0" w:rsidP="000636C2">
      <w:pPr>
        <w:jc w:val="center"/>
        <w:rPr>
          <w:b/>
          <w:rtl/>
          <w:lang w:bidi="ar-KW"/>
        </w:rPr>
      </w:pPr>
      <w:r>
        <w:rPr>
          <w:rFonts w:hint="cs"/>
          <w:rtl/>
          <w:lang w:bidi="ar-KW"/>
        </w:rPr>
        <w:t>***</w:t>
      </w:r>
    </w:p>
    <w:p w14:paraId="40605AC7" w14:textId="360F4C31" w:rsidR="009C32A0" w:rsidRPr="00306AAB" w:rsidRDefault="009C32A0" w:rsidP="00306AAB">
      <w:pPr>
        <w:pStyle w:val="2"/>
        <w:bidi/>
        <w:jc w:val="center"/>
        <w:rPr>
          <w:u w:val="none"/>
          <w:rtl/>
          <w:lang w:bidi="ar-KW"/>
        </w:rPr>
      </w:pPr>
      <w:r w:rsidRPr="00306AAB">
        <w:rPr>
          <w:rFonts w:hint="cs"/>
          <w:u w:val="none"/>
          <w:rtl/>
          <w:lang w:bidi="ar-KW"/>
        </w:rPr>
        <w:lastRenderedPageBreak/>
        <w:t>القاعدة الرابعة من قواعد التوحيد والتقديس والتنزيه</w:t>
      </w:r>
      <w:r w:rsidR="00306AAB" w:rsidRPr="00306AAB">
        <w:rPr>
          <w:rFonts w:hint="cs"/>
          <w:u w:val="none"/>
          <w:rtl/>
          <w:lang w:bidi="ar-KW"/>
        </w:rPr>
        <w:t xml:space="preserve"> </w:t>
      </w:r>
      <w:r w:rsidRPr="00306AAB">
        <w:rPr>
          <w:rFonts w:hint="cs"/>
          <w:u w:val="none"/>
          <w:rtl/>
          <w:lang w:bidi="ar-KW"/>
        </w:rPr>
        <w:t>تنزيه ذات الله تعالى عن</w:t>
      </w:r>
      <w:r w:rsidR="000636C2" w:rsidRPr="00306AAB">
        <w:rPr>
          <w:rFonts w:hint="cs"/>
          <w:u w:val="none"/>
          <w:rtl/>
          <w:lang w:bidi="ar-KW"/>
        </w:rPr>
        <w:t xml:space="preserve"> </w:t>
      </w:r>
      <w:r w:rsidRPr="00306AAB">
        <w:rPr>
          <w:rFonts w:hint="cs"/>
          <w:u w:val="none"/>
          <w:rtl/>
          <w:lang w:bidi="ar-KW"/>
        </w:rPr>
        <w:t>أي مثيل أو كفء أو شبيه</w:t>
      </w:r>
    </w:p>
    <w:p w14:paraId="240AA653" w14:textId="77777777" w:rsidR="009C32A0" w:rsidRPr="005675B2" w:rsidRDefault="009C32A0" w:rsidP="000636C2">
      <w:pPr>
        <w:rPr>
          <w:b/>
          <w:rtl/>
          <w:lang w:bidi="ar-KW"/>
        </w:rPr>
      </w:pPr>
    </w:p>
    <w:p w14:paraId="479B955E" w14:textId="100601D1" w:rsidR="009C32A0" w:rsidRPr="005675B2" w:rsidRDefault="000636C2" w:rsidP="000636C2">
      <w:pPr>
        <w:rPr>
          <w:b/>
          <w:rtl/>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w:t>
      </w:r>
      <w:r w:rsidR="009C32A0" w:rsidRPr="005675B2">
        <w:rPr>
          <w:rFonts w:hint="cs"/>
          <w:rtl/>
        </w:rPr>
        <w:t>الله عز وجل لا يشبهه شيء من المخلوقات</w:t>
      </w:r>
      <w:r>
        <w:rPr>
          <w:rFonts w:hint="cs"/>
          <w:rtl/>
        </w:rPr>
        <w:t>،</w:t>
      </w:r>
      <w:r w:rsidR="009C32A0" w:rsidRPr="005675B2">
        <w:rPr>
          <w:rFonts w:hint="cs"/>
          <w:rtl/>
        </w:rPr>
        <w:t xml:space="preserve"> ولا هو يشبه شيئاً منها</w:t>
      </w:r>
      <w:r>
        <w:rPr>
          <w:rFonts w:hint="cs"/>
          <w:rtl/>
        </w:rPr>
        <w:t>،</w:t>
      </w:r>
      <w:r w:rsidR="009C32A0" w:rsidRPr="005675B2">
        <w:rPr>
          <w:rFonts w:hint="cs"/>
          <w:rtl/>
        </w:rPr>
        <w:t xml:space="preserve"> لأنه لو أشبهه شيء لكان مثله قديماً</w:t>
      </w:r>
      <w:r>
        <w:rPr>
          <w:rFonts w:hint="cs"/>
          <w:rtl/>
        </w:rPr>
        <w:t>،</w:t>
      </w:r>
      <w:r w:rsidR="009C32A0" w:rsidRPr="005675B2">
        <w:rPr>
          <w:rFonts w:hint="cs"/>
          <w:rtl/>
        </w:rPr>
        <w:t xml:space="preserve"> ولو أشبه شيئاً لكان مثله مخلوقاً</w:t>
      </w:r>
      <w:r>
        <w:rPr>
          <w:rFonts w:hint="cs"/>
          <w:rtl/>
        </w:rPr>
        <w:t>،</w:t>
      </w:r>
      <w:r w:rsidR="009C32A0" w:rsidRPr="005675B2">
        <w:rPr>
          <w:rFonts w:hint="cs"/>
          <w:rtl/>
        </w:rPr>
        <w:t xml:space="preserve"> وكلا الحالين على الله محال</w:t>
      </w:r>
      <w:r>
        <w:rPr>
          <w:rFonts w:hint="cs"/>
          <w:rtl/>
        </w:rPr>
        <w:t>،</w:t>
      </w:r>
      <w:r w:rsidR="009C32A0" w:rsidRPr="005675B2">
        <w:rPr>
          <w:rFonts w:hint="cs"/>
          <w:rtl/>
        </w:rPr>
        <w:t xml:space="preserve"> كما أن ذات المخلق تتصف بالنقص والعجز لأنها مخلوقة من عدم محدثة لم تكن ثم كانت</w:t>
      </w:r>
      <w:r>
        <w:rPr>
          <w:rFonts w:hint="cs"/>
          <w:rtl/>
        </w:rPr>
        <w:t>،</w:t>
      </w:r>
      <w:r w:rsidR="009C32A0" w:rsidRPr="005675B2">
        <w:rPr>
          <w:rFonts w:hint="cs"/>
          <w:rtl/>
        </w:rPr>
        <w:t xml:space="preserve"> وهي إلى الفناء سائرة كما قال تعالى</w:t>
      </w:r>
      <w:r>
        <w:rPr>
          <w:rFonts w:hint="cs"/>
          <w:rtl/>
        </w:rPr>
        <w:t>:</w:t>
      </w:r>
      <w:r w:rsidR="009C32A0" w:rsidRPr="005675B2">
        <w:rPr>
          <w:rFonts w:hint="cs"/>
          <w:rtl/>
        </w:rPr>
        <w:t xml:space="preserve"> </w:t>
      </w:r>
      <w:r>
        <w:rPr>
          <w:rFonts w:hint="cs"/>
          <w:rtl/>
        </w:rPr>
        <w:t>{</w:t>
      </w:r>
      <w:r w:rsidR="009C32A0" w:rsidRPr="005675B2">
        <w:rPr>
          <w:rFonts w:hint="cs"/>
          <w:rtl/>
        </w:rPr>
        <w:t>كُلُّ مَنْ عَلَيْهَا فَانٍ * وَيَبْقَى وَجْهُ رَبِّكَ ذُو الْجَلَالِ وَالْإِكْرَامِ</w:t>
      </w:r>
      <w:r>
        <w:rPr>
          <w:rFonts w:hint="cs"/>
          <w:rtl/>
        </w:rPr>
        <w:t>}</w:t>
      </w:r>
      <w:r w:rsidR="009C32A0" w:rsidRPr="005675B2">
        <w:rPr>
          <w:rFonts w:hint="cs"/>
          <w:rtl/>
        </w:rPr>
        <w:t xml:space="preserve"> </w:t>
      </w:r>
      <w:r>
        <w:rPr>
          <w:rFonts w:hint="cs"/>
          <w:rtl/>
        </w:rPr>
        <w:t>[</w:t>
      </w:r>
      <w:r w:rsidR="009C32A0" w:rsidRPr="005675B2">
        <w:rPr>
          <w:rFonts w:hint="cs"/>
          <w:rtl/>
        </w:rPr>
        <w:t>الرحمن</w:t>
      </w:r>
      <w:r>
        <w:rPr>
          <w:rFonts w:hint="cs"/>
          <w:rtl/>
        </w:rPr>
        <w:t>:</w:t>
      </w:r>
      <w:r w:rsidR="009C32A0" w:rsidRPr="005675B2">
        <w:rPr>
          <w:rFonts w:hint="cs"/>
          <w:rtl/>
        </w:rPr>
        <w:t xml:space="preserve"> 26</w:t>
      </w:r>
      <w:r>
        <w:rPr>
          <w:rFonts w:hint="cs"/>
          <w:rtl/>
        </w:rPr>
        <w:t>،</w:t>
      </w:r>
      <w:r w:rsidR="009C32A0" w:rsidRPr="005675B2">
        <w:rPr>
          <w:rFonts w:hint="cs"/>
          <w:rtl/>
        </w:rPr>
        <w:t xml:space="preserve"> 27</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rtl/>
        </w:rPr>
        <w:t>كُلُّ شَيْءٍ هَالِكٌ إِلَّا وَجْهَهُ لَهُ الْحُكْمُ وَإِلَيْهِ تُرْجَعُونَ</w:t>
      </w:r>
      <w:r>
        <w:rPr>
          <w:rFonts w:hint="cs"/>
          <w:rtl/>
        </w:rPr>
        <w:t>}</w:t>
      </w:r>
      <w:r w:rsidR="009C32A0" w:rsidRPr="005675B2">
        <w:rPr>
          <w:rFonts w:hint="cs"/>
          <w:rtl/>
        </w:rPr>
        <w:t xml:space="preserve"> </w:t>
      </w:r>
      <w:r>
        <w:rPr>
          <w:rFonts w:hint="cs"/>
          <w:rtl/>
        </w:rPr>
        <w:t>[</w:t>
      </w:r>
      <w:r w:rsidR="009C32A0" w:rsidRPr="005675B2">
        <w:rPr>
          <w:rFonts w:hint="cs"/>
          <w:rtl/>
        </w:rPr>
        <w:t>القصص</w:t>
      </w:r>
      <w:r>
        <w:rPr>
          <w:rFonts w:hint="cs"/>
          <w:rtl/>
        </w:rPr>
        <w:t>:</w:t>
      </w:r>
      <w:r w:rsidR="009C32A0" w:rsidRPr="005675B2">
        <w:rPr>
          <w:rFonts w:hint="cs"/>
          <w:rtl/>
        </w:rPr>
        <w:t xml:space="preserve"> 88</w:t>
      </w:r>
      <w:r>
        <w:rPr>
          <w:rFonts w:hint="cs"/>
          <w:rtl/>
        </w:rPr>
        <w:t>}،</w:t>
      </w:r>
      <w:r w:rsidR="009C32A0" w:rsidRPr="005675B2">
        <w:rPr>
          <w:rFonts w:hint="cs"/>
          <w:rtl/>
        </w:rPr>
        <w:t xml:space="preserve"> فلا يصح مشابهة الفاني للباقي</w:t>
      </w:r>
      <w:r>
        <w:rPr>
          <w:rFonts w:hint="cs"/>
          <w:rtl/>
        </w:rPr>
        <w:t>،</w:t>
      </w:r>
      <w:r w:rsidR="009C32A0" w:rsidRPr="005675B2">
        <w:rPr>
          <w:rFonts w:hint="cs"/>
          <w:rtl/>
        </w:rPr>
        <w:t xml:space="preserve"> ولا المخلوق للخالق الباري</w:t>
      </w:r>
      <w:r>
        <w:rPr>
          <w:rFonts w:hint="cs"/>
          <w:rtl/>
        </w:rPr>
        <w:t>،</w:t>
      </w:r>
      <w:r w:rsidR="009C32A0" w:rsidRPr="005675B2">
        <w:rPr>
          <w:rFonts w:hint="cs"/>
          <w:rtl/>
        </w:rPr>
        <w:t xml:space="preserve"> </w:t>
      </w:r>
      <w:r w:rsidR="009C32A0" w:rsidRPr="005675B2">
        <w:rPr>
          <w:rFonts w:hint="cs"/>
          <w:rtl/>
          <w:lang w:bidi="ar-KW"/>
        </w:rPr>
        <w:t>من الأدلة القرآنية على تنزيه الله تعالى عن المثيل والكفء والشبيه والسمي</w:t>
      </w:r>
      <w:r>
        <w:rPr>
          <w:rFonts w:hint="cs"/>
          <w:rtl/>
          <w:lang w:bidi="ar-KW"/>
        </w:rPr>
        <w:t>:</w:t>
      </w:r>
      <w:r w:rsidR="009C32A0" w:rsidRPr="005675B2">
        <w:rPr>
          <w:rFonts w:hint="cs"/>
          <w:rtl/>
          <w:lang w:bidi="ar-KW"/>
        </w:rPr>
        <w:t xml:space="preserve"> قوله تعالى</w:t>
      </w:r>
      <w:r>
        <w:rPr>
          <w:rFonts w:hint="cs"/>
          <w:rtl/>
          <w:lang w:bidi="ar-KW"/>
        </w:rPr>
        <w:t>:</w:t>
      </w:r>
      <w:r w:rsidR="009C32A0" w:rsidRPr="005675B2">
        <w:rPr>
          <w:rFonts w:hint="cs"/>
          <w:rtl/>
          <w:lang w:bidi="ar-KW"/>
        </w:rPr>
        <w:t xml:space="preserve"> </w:t>
      </w:r>
      <w:r>
        <w:rPr>
          <w:rFonts w:hint="cs"/>
          <w:rtl/>
        </w:rPr>
        <w:t>{</w:t>
      </w:r>
      <w:r w:rsidR="009C32A0" w:rsidRPr="005675B2">
        <w:rPr>
          <w:rFonts w:hint="cs"/>
          <w:bCs/>
          <w:rtl/>
        </w:rPr>
        <w:t>ليس كمثلِه شيء</w:t>
      </w:r>
      <w:r>
        <w:rPr>
          <w:rFonts w:hint="cs"/>
          <w:bCs/>
          <w:rtl/>
        </w:rPr>
        <w:t xml:space="preserve">} </w:t>
      </w:r>
      <w:r w:rsidR="009C32A0" w:rsidRPr="005675B2">
        <w:rPr>
          <w:rFonts w:hint="cs"/>
          <w:rtl/>
        </w:rPr>
        <w:t>[سورة الشورى/11]، في هذه الآية نفي المشابهة والمماثلة بين الله تعالى وخلقه ومعناه أن الله تعالى لا يشبه شيئًا من خلقه بوجه من الوجوه</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bCs/>
          <w:rtl/>
        </w:rPr>
        <w:t>وللهِ المثَلُ الأعلى</w:t>
      </w:r>
      <w:r>
        <w:rPr>
          <w:rFonts w:hint="cs"/>
          <w:bCs/>
          <w:rtl/>
        </w:rPr>
        <w:t>}</w:t>
      </w:r>
      <w:r w:rsidR="009C32A0" w:rsidRPr="005675B2">
        <w:rPr>
          <w:rFonts w:hint="cs"/>
          <w:rtl/>
        </w:rPr>
        <w:t xml:space="preserve"> [سورة النحل/60] أي الوصف الذي لا يشبه وصف غيره، فلا يوصف ربنا عزَّ وجلَّ بصفات المخلوقين</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bCs/>
          <w:rtl/>
        </w:rPr>
        <w:t>{</w:t>
      </w:r>
      <w:r w:rsidR="009C32A0" w:rsidRPr="005675B2">
        <w:rPr>
          <w:rFonts w:hint="cs"/>
          <w:bCs/>
          <w:rtl/>
        </w:rPr>
        <w:t>فلا تضربوا للهِ الأمثال</w:t>
      </w:r>
      <w:r>
        <w:rPr>
          <w:rFonts w:hint="cs"/>
          <w:bCs/>
          <w:rtl/>
        </w:rPr>
        <w:t>}</w:t>
      </w:r>
      <w:r w:rsidR="009C32A0" w:rsidRPr="005675B2">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sidR="009C32A0" w:rsidRPr="005675B2">
        <w:rPr>
          <w:rFonts w:hint="cs"/>
          <w:bCs/>
          <w:rtl/>
        </w:rPr>
        <w:t>هل تعلمُ لهُ سميًّا)</w:t>
      </w:r>
      <w:r w:rsidR="009C32A0" w:rsidRPr="005675B2">
        <w:rPr>
          <w:rFonts w:hint="cs"/>
          <w:rtl/>
        </w:rPr>
        <w:t xml:space="preserve"> [سورة مريم/65] أي مِثلاً، فالله تعالى لا مِثْلَ له ولا شبيه ولا نظير، فذاتُه سبحانه لا يشبه الذواتِ ولا صفاتُه تشبه الصفاتِ</w:t>
      </w:r>
      <w:r>
        <w:rPr>
          <w:rFonts w:hint="cs"/>
          <w:rtl/>
        </w:rPr>
        <w:t>،</w:t>
      </w:r>
      <w:r w:rsidR="009C32A0" w:rsidRPr="005675B2">
        <w:rPr>
          <w:rFonts w:hint="cs"/>
          <w:rtl/>
        </w:rPr>
        <w:t xml:space="preserve"> وقوله تعالى</w:t>
      </w:r>
      <w:r>
        <w:rPr>
          <w:rFonts w:hint="cs"/>
          <w:rtl/>
        </w:rPr>
        <w:t>:</w:t>
      </w:r>
      <w:r w:rsidR="009C32A0" w:rsidRPr="005675B2">
        <w:rPr>
          <w:rFonts w:hint="cs"/>
          <w:bCs/>
          <w:rtl/>
        </w:rPr>
        <w:t xml:space="preserve"> </w:t>
      </w:r>
      <w:r>
        <w:rPr>
          <w:rFonts w:hint="cs"/>
          <w:bCs/>
          <w:rtl/>
        </w:rPr>
        <w:t>{</w:t>
      </w:r>
      <w:r w:rsidR="009C32A0" w:rsidRPr="005675B2">
        <w:rPr>
          <w:rFonts w:hint="cs"/>
          <w:bCs/>
          <w:rtl/>
        </w:rPr>
        <w:t>وَلَمْ يَكُن لَّهُ كُفُوًا أَحَدٌ</w:t>
      </w:r>
      <w:r>
        <w:rPr>
          <w:rFonts w:hint="cs"/>
          <w:bCs/>
          <w:rtl/>
        </w:rPr>
        <w:t>}</w:t>
      </w:r>
      <w:r w:rsidR="009C32A0" w:rsidRPr="005675B2">
        <w:rPr>
          <w:rFonts w:hint="cs"/>
          <w:bCs/>
          <w:rtl/>
        </w:rPr>
        <w:t xml:space="preserve"> </w:t>
      </w:r>
      <w:r w:rsidR="009C32A0" w:rsidRPr="005675B2">
        <w:rPr>
          <w:rFonts w:hint="cs"/>
          <w:rtl/>
        </w:rPr>
        <w:t>[سورة الإخلاص/4] أي لا نظير له بوجه من الوجوه، ولا كفء له ولا شبيه</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bCs/>
          <w:rtl/>
        </w:rPr>
        <w:t>سُبْحَانَهُ وَتَعَالَى عَمَّا يَصِفُونَ</w:t>
      </w:r>
      <w:r>
        <w:rPr>
          <w:rFonts w:hint="cs"/>
          <w:rtl/>
        </w:rPr>
        <w:t>}</w:t>
      </w:r>
      <w:r w:rsidR="009C32A0" w:rsidRPr="005675B2">
        <w:rPr>
          <w:rFonts w:hint="cs"/>
          <w:rtl/>
        </w:rPr>
        <w:t xml:space="preserve"> [سورة الأنعام/100] تنزيه وتقديس لله تعالى عن كل وصف يخطر ببال بشر لأنه ليس كمثله شيء ولا نعلم له سميا</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bCs/>
          <w:rtl/>
        </w:rPr>
        <w:t>{</w:t>
      </w:r>
      <w:r w:rsidR="009C32A0" w:rsidRPr="005675B2">
        <w:rPr>
          <w:rFonts w:hint="cs"/>
          <w:bCs/>
          <w:rtl/>
        </w:rPr>
        <w:t>وَلَا يُحِيطُونَ بِهِ عِلْمًا</w:t>
      </w:r>
      <w:r>
        <w:rPr>
          <w:rFonts w:hint="cs"/>
          <w:bCs/>
          <w:rtl/>
        </w:rPr>
        <w:t>}</w:t>
      </w:r>
      <w:r w:rsidR="009C32A0" w:rsidRPr="005675B2">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hint="cs"/>
          <w:rtl/>
        </w:rPr>
        <w:t>،</w:t>
      </w:r>
      <w:r w:rsidR="009C32A0" w:rsidRPr="005675B2">
        <w:rPr>
          <w:rFonts w:hint="cs"/>
          <w:rtl/>
        </w:rPr>
        <w:t xml:space="preserve"> ومن الأدلة من السنة النبوية قوله صلى الله عليه وسلم: </w:t>
      </w:r>
      <w:r>
        <w:rPr>
          <w:rFonts w:hint="cs"/>
          <w:bCs/>
          <w:rtl/>
        </w:rPr>
        <w:t>(</w:t>
      </w:r>
      <w:r w:rsidR="009C32A0" w:rsidRPr="005675B2">
        <w:rPr>
          <w:rFonts w:hint="cs"/>
          <w:bCs/>
          <w:rtl/>
        </w:rPr>
        <w:t xml:space="preserve">اللهم أنت </w:t>
      </w:r>
      <w:r w:rsidR="009C32A0" w:rsidRPr="005675B2">
        <w:rPr>
          <w:rFonts w:hint="cs"/>
          <w:bCs/>
          <w:rtl/>
        </w:rPr>
        <w:lastRenderedPageBreak/>
        <w:t>الأوَّلُ فليس قبلَك شىءٌ، وأنت الآخِر فليس بعدَك شىءٌ، وأنت الظاهرُ فليس فوقَكَ شيء، وأنت الباطن فليس دونَك شيء)</w:t>
      </w:r>
      <w:r>
        <w:rPr>
          <w:rFonts w:hint="cs"/>
          <w:bCs/>
          <w:rtl/>
        </w:rPr>
        <w:t xml:space="preserve"> </w:t>
      </w:r>
      <w:r>
        <w:rPr>
          <w:rFonts w:hint="cs"/>
          <w:rtl/>
        </w:rPr>
        <w:t>[</w:t>
      </w:r>
      <w:r w:rsidR="009C32A0" w:rsidRPr="005675B2">
        <w:rPr>
          <w:rFonts w:hint="cs"/>
          <w:rtl/>
        </w:rPr>
        <w:t>أخرجه مسلم] وإذا لم يكن قبله شيء ولا بعده شيء ولا فوقه شيء ولا دونه شيء لم يكن له شبيه ولا مثيل</w:t>
      </w:r>
      <w:r>
        <w:rPr>
          <w:rFonts w:hint="cs"/>
          <w:rtl/>
        </w:rPr>
        <w:t>، (</w:t>
      </w:r>
      <w:r w:rsidR="009C32A0" w:rsidRPr="005675B2">
        <w:rPr>
          <w:rFonts w:hint="cs"/>
          <w:rtl/>
        </w:rPr>
        <w:t>ب</w:t>
      </w:r>
      <w:r>
        <w:rPr>
          <w:rFonts w:hint="cs"/>
          <w:rtl/>
        </w:rPr>
        <w:t>)</w:t>
      </w:r>
      <w:r w:rsidR="009C32A0" w:rsidRPr="005675B2">
        <w:rPr>
          <w:rFonts w:hint="cs"/>
          <w:rtl/>
        </w:rPr>
        <w:t xml:space="preserve"> وعلى ذلك</w:t>
      </w:r>
      <w:r>
        <w:rPr>
          <w:rFonts w:hint="cs"/>
          <w:rtl/>
        </w:rPr>
        <w:t>:</w:t>
      </w:r>
      <w:r w:rsidR="009C32A0" w:rsidRPr="005675B2">
        <w:rPr>
          <w:rFonts w:hint="cs"/>
          <w:rtl/>
        </w:rPr>
        <w:t xml:space="preserve"> فذات الله تعالى ليس كمثله شيء ولا له كفء ولا شبيه وليس له مثال يقاس عليه ولا نقدر على تصوره فضلا عن وصفه ولا نحيط به علما</w:t>
      </w:r>
      <w:r>
        <w:rPr>
          <w:rFonts w:hint="cs"/>
          <w:rtl/>
        </w:rPr>
        <w:t>،</w:t>
      </w:r>
      <w:r w:rsidR="009C32A0" w:rsidRPr="005675B2">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9C32A0" w:rsidRPr="005675B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9C32A0" w:rsidRPr="005675B2">
        <w:rPr>
          <w:rFonts w:hint="cs"/>
          <w:rtl/>
        </w:rPr>
        <w:t xml:space="preserve"> إذ </w:t>
      </w:r>
      <w:r>
        <w:rPr>
          <w:rFonts w:hint="cs"/>
          <w:rtl/>
        </w:rPr>
        <w:t>{</w:t>
      </w:r>
      <w:r w:rsidR="009C32A0" w:rsidRPr="005675B2">
        <w:rPr>
          <w:rFonts w:hint="cs"/>
          <w:rtl/>
        </w:rPr>
        <w:t>ليس كمثله شيء</w:t>
      </w:r>
      <w:r>
        <w:rPr>
          <w:rFonts w:hint="cs"/>
          <w:rtl/>
        </w:rPr>
        <w:t>}،</w:t>
      </w:r>
      <w:bookmarkStart w:id="1" w:name="tohef128"/>
      <w:bookmarkStart w:id="2" w:name="tohej033"/>
      <w:bookmarkEnd w:id="1"/>
      <w:bookmarkEnd w:id="2"/>
    </w:p>
    <w:p w14:paraId="36BE2179" w14:textId="77777777" w:rsidR="009C32A0" w:rsidRPr="005675B2" w:rsidRDefault="009C32A0" w:rsidP="000636C2">
      <w:pPr>
        <w:jc w:val="center"/>
        <w:rPr>
          <w:b/>
          <w:rtl/>
          <w:lang w:bidi="ar-KW"/>
        </w:rPr>
      </w:pPr>
      <w:r>
        <w:rPr>
          <w:rFonts w:hint="cs"/>
          <w:rtl/>
          <w:lang w:bidi="ar-KW"/>
        </w:rPr>
        <w:t>***</w:t>
      </w:r>
    </w:p>
    <w:p w14:paraId="17452527" w14:textId="5E4247E4" w:rsidR="009C32A0" w:rsidRPr="00306AAB" w:rsidRDefault="009C32A0" w:rsidP="00306AAB">
      <w:pPr>
        <w:pStyle w:val="2"/>
        <w:bidi/>
        <w:jc w:val="center"/>
        <w:rPr>
          <w:u w:val="none"/>
          <w:rtl/>
          <w:lang w:bidi="ar-KW"/>
        </w:rPr>
      </w:pPr>
      <w:r w:rsidRPr="00306AAB">
        <w:rPr>
          <w:rFonts w:hint="cs"/>
          <w:u w:val="none"/>
          <w:rtl/>
          <w:lang w:bidi="ar-KW"/>
        </w:rPr>
        <w:t>القاعدة الخامسة من قواعد التوحيد والتقديس والتنزيه</w:t>
      </w:r>
      <w:r w:rsidR="00306AAB" w:rsidRPr="00306AAB">
        <w:rPr>
          <w:rFonts w:hint="cs"/>
          <w:u w:val="none"/>
          <w:rtl/>
          <w:lang w:bidi="ar-KW"/>
        </w:rPr>
        <w:t xml:space="preserve"> </w:t>
      </w:r>
      <w:r w:rsidRPr="00306AAB">
        <w:rPr>
          <w:rFonts w:hint="cs"/>
          <w:u w:val="none"/>
          <w:rtl/>
          <w:lang w:bidi="ar-KW"/>
        </w:rPr>
        <w:t>تنزيه ذات الله تعالى عن الجسمية التي تتصف بها ذات المخلوق</w:t>
      </w:r>
    </w:p>
    <w:p w14:paraId="20A2FAA6" w14:textId="77777777" w:rsidR="009C32A0" w:rsidRPr="005675B2" w:rsidRDefault="009C32A0" w:rsidP="000636C2">
      <w:pPr>
        <w:rPr>
          <w:b/>
          <w:bCs/>
          <w:rtl/>
          <w:lang w:bidi="ar-KW"/>
        </w:rPr>
      </w:pPr>
    </w:p>
    <w:p w14:paraId="277662EF" w14:textId="6DEE5793" w:rsidR="009C32A0" w:rsidRPr="005675B2" w:rsidRDefault="000636C2" w:rsidP="000636C2">
      <w:pPr>
        <w:rPr>
          <w:b/>
          <w:rtl/>
          <w:lang w:bidi="ar-KW"/>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الجسم</w:t>
      </w:r>
      <w:r>
        <w:rPr>
          <w:rFonts w:hint="cs"/>
          <w:rtl/>
          <w:lang w:bidi="ar-KW"/>
        </w:rPr>
        <w:t>)</w:t>
      </w:r>
      <w:r w:rsidR="009C32A0" w:rsidRPr="005675B2">
        <w:rPr>
          <w:rFonts w:hint="cs"/>
          <w:rtl/>
          <w:lang w:bidi="ar-KW"/>
        </w:rPr>
        <w:t xml:space="preserve"> هو الشيء المؤلف المركب من أجزاء</w:t>
      </w:r>
      <w:r>
        <w:rPr>
          <w:rFonts w:hint="cs"/>
          <w:rtl/>
          <w:lang w:bidi="ar-KW"/>
        </w:rPr>
        <w:t>،</w:t>
      </w:r>
      <w:r w:rsidR="009C32A0" w:rsidRPr="005675B2">
        <w:rPr>
          <w:rFonts w:hint="cs"/>
          <w:rtl/>
          <w:lang w:bidi="ar-KW"/>
        </w:rPr>
        <w:t xml:space="preserve"> وكلما كثرت تآليف ذلك الشيء وزاد حجمه كان أجسم من غيره</w:t>
      </w:r>
      <w:r>
        <w:rPr>
          <w:rFonts w:hint="cs"/>
          <w:rtl/>
          <w:lang w:bidi="ar-KW"/>
        </w:rPr>
        <w:t>،</w:t>
      </w:r>
      <w:r w:rsidR="009C32A0" w:rsidRPr="005675B2">
        <w:rPr>
          <w:rFonts w:hint="cs"/>
          <w:rtl/>
          <w:lang w:bidi="ar-KW"/>
        </w:rPr>
        <w:t xml:space="preserve"> قال تعالى </w:t>
      </w:r>
      <w:r>
        <w:rPr>
          <w:rFonts w:hint="cs"/>
          <w:rtl/>
          <w:lang w:bidi="ar-KW"/>
        </w:rPr>
        <w:t>{</w:t>
      </w:r>
      <w:r w:rsidR="009C32A0" w:rsidRPr="005675B2">
        <w:rPr>
          <w:rFonts w:hint="cs"/>
          <w:rtl/>
          <w:lang w:bidi="ar-KW"/>
        </w:rPr>
        <w:t>وزاده بسطة في العلم والجسم</w:t>
      </w:r>
      <w:r>
        <w:rPr>
          <w:rFonts w:hint="cs"/>
          <w:rtl/>
          <w:lang w:bidi="ar-KW"/>
        </w:rPr>
        <w:t>}،</w:t>
      </w:r>
      <w:r w:rsidR="009C32A0" w:rsidRPr="005675B2">
        <w:rPr>
          <w:rFonts w:hint="cs"/>
          <w:rtl/>
          <w:lang w:bidi="ar-KW"/>
        </w:rPr>
        <w:t xml:space="preserve"> ومن خصائص الجسم أنه مكون من أجزاء وأن له طول وعرض وعمق وحجم ومقدار يكسبه وصف الجسم</w:t>
      </w:r>
      <w:r>
        <w:rPr>
          <w:rFonts w:hint="cs"/>
          <w:rtl/>
          <w:lang w:bidi="ar-KW"/>
        </w:rPr>
        <w:t>،</w:t>
      </w:r>
      <w:r w:rsidR="009C32A0" w:rsidRPr="005675B2">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Pr>
          <w:rFonts w:hint="cs"/>
          <w:rtl/>
          <w:lang w:bidi="ar-KW"/>
        </w:rPr>
        <w:t>،</w:t>
      </w:r>
      <w:r w:rsidR="009C32A0" w:rsidRPr="005675B2">
        <w:rPr>
          <w:rFonts w:hint="cs"/>
          <w:rtl/>
          <w:lang w:bidi="ar-KW"/>
        </w:rPr>
        <w:t xml:space="preserve"> وبالجملة فإن الجسمية دليل على كون صاحبها مخلوق محدود مقدر</w:t>
      </w:r>
      <w:r>
        <w:rPr>
          <w:rFonts w:hint="cs"/>
          <w:rtl/>
          <w:lang w:bidi="ar-KW"/>
        </w:rPr>
        <w:t>،</w:t>
      </w:r>
      <w:r w:rsidR="009C32A0" w:rsidRPr="005675B2">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Pr>
          <w:rFonts w:hint="cs"/>
          <w:rtl/>
          <w:lang w:bidi="ar-KW"/>
        </w:rPr>
        <w:t>،</w:t>
      </w:r>
      <w:r w:rsidR="009C32A0" w:rsidRPr="005675B2">
        <w:rPr>
          <w:rFonts w:hint="cs"/>
          <w:rtl/>
          <w:lang w:bidi="ar-KW"/>
        </w:rPr>
        <w:t xml:space="preserve"> الجاهلين بما يستحيل وصف الله تعالى به من النقائص والعيوب التي تنزه الله عنها</w:t>
      </w:r>
      <w:r>
        <w:rPr>
          <w:rFonts w:hint="cs"/>
          <w:rtl/>
          <w:lang w:bidi="ar-KW"/>
        </w:rPr>
        <w:t>، (</w:t>
      </w:r>
      <w:r w:rsidR="009C32A0" w:rsidRPr="005675B2">
        <w:rPr>
          <w:rFonts w:hint="cs"/>
          <w:rtl/>
          <w:lang w:bidi="ar-KW"/>
        </w:rPr>
        <w:t>ب</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الجسمية</w:t>
      </w:r>
      <w:r>
        <w:rPr>
          <w:rFonts w:hint="cs"/>
          <w:rtl/>
          <w:lang w:bidi="ar-KW"/>
        </w:rPr>
        <w:t>)</w:t>
      </w:r>
      <w:r w:rsidR="009C32A0" w:rsidRPr="005675B2">
        <w:rPr>
          <w:rFonts w:hint="cs"/>
          <w:rtl/>
          <w:lang w:bidi="ar-KW"/>
        </w:rPr>
        <w:t xml:space="preserve"> تعني صفات وخصائص يستحيل نسبتها إلى الله منها</w:t>
      </w:r>
      <w:r>
        <w:rPr>
          <w:rFonts w:hint="cs"/>
          <w:rtl/>
          <w:lang w:bidi="ar-KW"/>
        </w:rPr>
        <w:t>:</w:t>
      </w:r>
      <w:r w:rsidR="009C32A0" w:rsidRPr="005675B2">
        <w:rPr>
          <w:rFonts w:hint="cs"/>
          <w:rtl/>
          <w:lang w:bidi="ar-KW"/>
        </w:rPr>
        <w:t xml:space="preserve"> الحد والمقدار</w:t>
      </w:r>
      <w:r>
        <w:rPr>
          <w:rFonts w:hint="cs"/>
          <w:rtl/>
          <w:lang w:bidi="ar-KW"/>
        </w:rPr>
        <w:t>،</w:t>
      </w:r>
      <w:r w:rsidR="009C32A0" w:rsidRPr="005675B2">
        <w:rPr>
          <w:rFonts w:hint="cs"/>
          <w:rtl/>
          <w:lang w:bidi="ar-KW"/>
        </w:rPr>
        <w:t xml:space="preserve"> وهذا _ كما سبق بيانه _ مما تنزه الله تعالى عنه لان الحد نقص عن الكمال والله سبحانه منزه عن النقص</w:t>
      </w:r>
      <w:r>
        <w:rPr>
          <w:rFonts w:hint="cs"/>
          <w:rtl/>
          <w:lang w:bidi="ar-KW"/>
        </w:rPr>
        <w:t>،</w:t>
      </w:r>
      <w:r w:rsidR="009C32A0" w:rsidRPr="005675B2">
        <w:rPr>
          <w:rFonts w:hint="cs"/>
          <w:rtl/>
          <w:lang w:bidi="ar-KW"/>
        </w:rPr>
        <w:t xml:space="preserve"> ومنها التحيز </w:t>
      </w:r>
      <w:r w:rsidR="009C32A0" w:rsidRPr="005675B2">
        <w:rPr>
          <w:rFonts w:hint="cs"/>
          <w:rtl/>
          <w:lang w:bidi="ar-KW"/>
        </w:rPr>
        <w:lastRenderedPageBreak/>
        <w:t>والكون في المكان</w:t>
      </w:r>
      <w:r>
        <w:rPr>
          <w:rFonts w:hint="cs"/>
          <w:rtl/>
          <w:lang w:bidi="ar-KW"/>
        </w:rPr>
        <w:t>،</w:t>
      </w:r>
      <w:r w:rsidR="009C32A0" w:rsidRPr="005675B2">
        <w:rPr>
          <w:rFonts w:hint="cs"/>
          <w:rtl/>
          <w:lang w:bidi="ar-KW"/>
        </w:rPr>
        <w:t xml:space="preserve"> وهذا _ كما سبق بيانه _ مما تنزه الله تعالى عنه لأن خالق المكان منزه عنه مستغن عنه</w:t>
      </w:r>
      <w:r>
        <w:rPr>
          <w:rFonts w:hint="cs"/>
          <w:rtl/>
          <w:lang w:bidi="ar-KW"/>
        </w:rPr>
        <w:t>،</w:t>
      </w:r>
      <w:r w:rsidR="009C32A0" w:rsidRPr="005675B2">
        <w:rPr>
          <w:rFonts w:hint="cs"/>
          <w:rtl/>
          <w:lang w:bidi="ar-KW"/>
        </w:rPr>
        <w:t xml:space="preserve"> كما أنّ المكان يحيط بمن داخله</w:t>
      </w:r>
      <w:r>
        <w:rPr>
          <w:rFonts w:hint="cs"/>
          <w:rtl/>
          <w:lang w:bidi="ar-KW"/>
        </w:rPr>
        <w:t>،</w:t>
      </w:r>
      <w:r w:rsidR="009C32A0" w:rsidRPr="005675B2">
        <w:rPr>
          <w:rFonts w:hint="cs"/>
          <w:rtl/>
          <w:lang w:bidi="ar-KW"/>
        </w:rPr>
        <w:t xml:space="preserve"> والله تعالى لا يحيط به شيء</w:t>
      </w:r>
      <w:r>
        <w:rPr>
          <w:rFonts w:hint="cs"/>
          <w:rtl/>
          <w:lang w:bidi="ar-KW"/>
        </w:rPr>
        <w:t xml:space="preserve">، </w:t>
      </w:r>
      <w:r w:rsidR="009C32A0" w:rsidRPr="005675B2">
        <w:rPr>
          <w:rFonts w:hint="cs"/>
          <w:rtl/>
          <w:lang w:bidi="ar-KW"/>
        </w:rPr>
        <w:t>ألا إنه بكل شيء محيط</w:t>
      </w:r>
      <w:r>
        <w:rPr>
          <w:rFonts w:hint="cs"/>
          <w:rtl/>
          <w:lang w:bidi="ar-KW"/>
        </w:rPr>
        <w:t>، (</w:t>
      </w:r>
      <w:r w:rsidR="009C32A0" w:rsidRPr="005675B2">
        <w:rPr>
          <w:rFonts w:hint="cs"/>
          <w:rtl/>
          <w:lang w:bidi="ar-KW"/>
        </w:rPr>
        <w:t>ت</w:t>
      </w:r>
      <w:r>
        <w:rPr>
          <w:rFonts w:hint="cs"/>
          <w:rtl/>
          <w:lang w:bidi="ar-KW"/>
        </w:rPr>
        <w:t>)</w:t>
      </w:r>
      <w:r w:rsidR="009C32A0" w:rsidRPr="005675B2">
        <w:rPr>
          <w:rFonts w:hint="cs"/>
          <w:rtl/>
          <w:lang w:bidi="ar-KW"/>
        </w:rPr>
        <w:t xml:space="preserve"> الجسمية تعني التكون من أجزاء والله تعالى </w:t>
      </w:r>
      <w:r w:rsidR="009C32A0" w:rsidRPr="005675B2">
        <w:rPr>
          <w:rFonts w:hint="cs"/>
          <w:bCs/>
          <w:rtl/>
          <w:lang w:bidi="ar-KW"/>
        </w:rPr>
        <w:t>أحد صمد</w:t>
      </w:r>
      <w:r w:rsidR="009C32A0" w:rsidRPr="005675B2">
        <w:rPr>
          <w:rFonts w:hint="cs"/>
          <w:rtl/>
          <w:lang w:bidi="ar-KW"/>
        </w:rPr>
        <w:t xml:space="preserve"> منزه عن الأجزاء والأعضاء لا يخالف في ذلك إلا مجسم غير عارف بالله سبحانه</w:t>
      </w:r>
      <w:r>
        <w:rPr>
          <w:rFonts w:hint="cs"/>
          <w:rtl/>
          <w:lang w:bidi="ar-KW"/>
        </w:rPr>
        <w:t>،</w:t>
      </w:r>
      <w:r w:rsidR="009C32A0" w:rsidRPr="005675B2">
        <w:rPr>
          <w:rFonts w:hint="cs"/>
          <w:rtl/>
          <w:lang w:bidi="ar-KW"/>
        </w:rPr>
        <w:t xml:space="preserve"> والجسمية تعني قابلية الانقسام</w:t>
      </w:r>
      <w:r>
        <w:rPr>
          <w:rFonts w:hint="cs"/>
          <w:rtl/>
          <w:lang w:bidi="ar-KW"/>
        </w:rPr>
        <w:t xml:space="preserve"> </w:t>
      </w:r>
      <w:r w:rsidR="009C32A0" w:rsidRPr="005675B2">
        <w:rPr>
          <w:rFonts w:hint="cs"/>
          <w:rtl/>
          <w:lang w:bidi="ar-KW"/>
        </w:rPr>
        <w:t xml:space="preserve">والله تعالى أحد صمد منزه عن الانقسام لأن الانقسام دليل الخلق والنقص والحدوث والله تعالى هو </w:t>
      </w:r>
      <w:r w:rsidR="009C32A0" w:rsidRPr="005675B2">
        <w:rPr>
          <w:rFonts w:hint="cs"/>
          <w:bCs/>
          <w:rtl/>
          <w:lang w:bidi="ar-KW"/>
        </w:rPr>
        <w:t>الأحد</w:t>
      </w:r>
      <w:r w:rsidR="009C32A0" w:rsidRPr="005675B2">
        <w:rPr>
          <w:rFonts w:hint="cs"/>
          <w:rtl/>
          <w:lang w:bidi="ar-KW"/>
        </w:rPr>
        <w:t xml:space="preserve"> الذي لا يتجزأ وهو </w:t>
      </w:r>
      <w:r w:rsidR="009C32A0" w:rsidRPr="005675B2">
        <w:rPr>
          <w:rFonts w:hint="cs"/>
          <w:bCs/>
          <w:rtl/>
          <w:lang w:bidi="ar-KW"/>
        </w:rPr>
        <w:t>الصمد</w:t>
      </w:r>
      <w:r w:rsidR="009C32A0" w:rsidRPr="005675B2">
        <w:rPr>
          <w:rFonts w:hint="cs"/>
          <w:rtl/>
          <w:lang w:bidi="ar-KW"/>
        </w:rPr>
        <w:t xml:space="preserve"> الذي لا ينقسم وهو الأول المنزه عن الحدوث وهو الخالق لكل محدث</w:t>
      </w:r>
      <w:r>
        <w:rPr>
          <w:rFonts w:hint="cs"/>
          <w:rtl/>
          <w:lang w:bidi="ar-KW"/>
        </w:rPr>
        <w:t>، (</w:t>
      </w:r>
      <w:r w:rsidR="009C32A0" w:rsidRPr="005675B2">
        <w:rPr>
          <w:rFonts w:hint="cs"/>
          <w:rtl/>
          <w:lang w:bidi="ar-KW"/>
        </w:rPr>
        <w:t>ث</w:t>
      </w:r>
      <w:r>
        <w:rPr>
          <w:rFonts w:hint="cs"/>
          <w:rtl/>
          <w:lang w:bidi="ar-KW"/>
        </w:rPr>
        <w:t>)</w:t>
      </w:r>
      <w:r w:rsidR="009C32A0" w:rsidRPr="005675B2">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ج</w:t>
      </w:r>
      <w:r>
        <w:rPr>
          <w:rFonts w:hint="cs"/>
          <w:rtl/>
          <w:lang w:bidi="ar-KW"/>
        </w:rPr>
        <w:t>)</w:t>
      </w:r>
      <w:r w:rsidR="009C32A0" w:rsidRPr="005675B2">
        <w:rPr>
          <w:rFonts w:hint="cs"/>
          <w:rtl/>
          <w:lang w:bidi="ar-KW"/>
        </w:rPr>
        <w:t xml:space="preserve"> الجسم مادة</w:t>
      </w:r>
      <w:r>
        <w:rPr>
          <w:rFonts w:hint="cs"/>
          <w:rtl/>
          <w:lang w:bidi="ar-KW"/>
        </w:rPr>
        <w:t>،</w:t>
      </w:r>
      <w:r w:rsidR="009C32A0" w:rsidRPr="005675B2">
        <w:rPr>
          <w:rFonts w:hint="cs"/>
          <w:rtl/>
          <w:lang w:bidi="ar-KW"/>
        </w:rPr>
        <w:t xml:space="preserve"> وذات </w:t>
      </w:r>
      <w:r w:rsidR="009C32A0" w:rsidRPr="005675B2">
        <w:rPr>
          <w:rFonts w:hint="cs"/>
          <w:bCs/>
          <w:rtl/>
          <w:lang w:bidi="ar-KW"/>
        </w:rPr>
        <w:t>الله تعالى لا تسري عليه قوانين المادة</w:t>
      </w:r>
      <w:r>
        <w:rPr>
          <w:rFonts w:hint="cs"/>
          <w:bCs/>
          <w:rtl/>
          <w:lang w:bidi="ar-KW"/>
        </w:rPr>
        <w:t>،</w:t>
      </w:r>
      <w:r w:rsidR="009C32A0" w:rsidRPr="005675B2">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9C32A0" w:rsidRPr="005675B2">
        <w:rPr>
          <w:rFonts w:hint="cs"/>
          <w:rtl/>
          <w:lang w:bidi="ar-KW"/>
        </w:rPr>
        <w:t xml:space="preserve"> وأنّ الذي خلق المادة والجسم هو الله تعالى وهو الذي قهرها بتلك القوانين</w:t>
      </w:r>
      <w:r>
        <w:rPr>
          <w:rFonts w:hint="cs"/>
          <w:rtl/>
          <w:lang w:bidi="ar-KW"/>
        </w:rPr>
        <w:t>،</w:t>
      </w:r>
      <w:r w:rsidR="009C32A0" w:rsidRPr="005675B2">
        <w:rPr>
          <w:rFonts w:hint="cs"/>
          <w:rtl/>
          <w:lang w:bidi="ar-KW"/>
        </w:rPr>
        <w:t xml:space="preserve"> ولكنّه هو القاهر فوق خلقه وفوق عباده وفوق كل شيء</w:t>
      </w:r>
      <w:r>
        <w:rPr>
          <w:rFonts w:hint="cs"/>
          <w:rtl/>
          <w:lang w:bidi="ar-KW"/>
        </w:rPr>
        <w:t xml:space="preserve">، </w:t>
      </w:r>
      <w:r w:rsidR="009C32A0" w:rsidRPr="005675B2">
        <w:rPr>
          <w:rFonts w:hint="cs"/>
          <w:rtl/>
          <w:lang w:bidi="ar-KW"/>
        </w:rPr>
        <w:t>فلا تسري عليه مفاهيم الأجسام</w:t>
      </w:r>
      <w:r>
        <w:rPr>
          <w:rFonts w:hint="cs"/>
          <w:rtl/>
          <w:lang w:bidi="ar-KW"/>
        </w:rPr>
        <w:t>،</w:t>
      </w:r>
      <w:r w:rsidR="009C32A0" w:rsidRPr="005675B2">
        <w:rPr>
          <w:rFonts w:hint="cs"/>
          <w:rtl/>
          <w:lang w:bidi="ar-KW"/>
        </w:rPr>
        <w:t xml:space="preserve"> ولا الصور والأشكال</w:t>
      </w:r>
      <w:r>
        <w:rPr>
          <w:rFonts w:hint="cs"/>
          <w:rtl/>
          <w:lang w:bidi="ar-KW"/>
        </w:rPr>
        <w:t>،</w:t>
      </w:r>
      <w:r w:rsidR="009C32A0" w:rsidRPr="005675B2">
        <w:rPr>
          <w:rFonts w:hint="cs"/>
          <w:rtl/>
          <w:lang w:bidi="ar-KW"/>
        </w:rPr>
        <w:t xml:space="preserve"> لأنّه ليس كمثله شيء</w:t>
      </w:r>
      <w:r>
        <w:rPr>
          <w:rFonts w:hint="cs"/>
          <w:rtl/>
          <w:lang w:bidi="ar-KW"/>
        </w:rPr>
        <w:t>،</w:t>
      </w:r>
      <w:r w:rsidR="009C32A0" w:rsidRPr="005675B2">
        <w:rPr>
          <w:rFonts w:hint="cs"/>
          <w:rtl/>
          <w:lang w:bidi="ar-KW"/>
        </w:rPr>
        <w:t xml:space="preserve"> وكل ما خطر بالبال فالله خلافه</w:t>
      </w:r>
      <w:r>
        <w:rPr>
          <w:rFonts w:hint="cs"/>
          <w:rtl/>
        </w:rPr>
        <w:t>،</w:t>
      </w:r>
      <w:r w:rsidR="009C32A0" w:rsidRPr="005675B2">
        <w:rPr>
          <w:rFonts w:hint="cs"/>
          <w:rtl/>
        </w:rPr>
        <w:t xml:space="preserve"> </w:t>
      </w:r>
      <w:r>
        <w:rPr>
          <w:rFonts w:hint="cs"/>
          <w:rtl/>
          <w:lang w:bidi="ar-KW"/>
        </w:rPr>
        <w:t>(</w:t>
      </w:r>
      <w:r w:rsidR="009C32A0" w:rsidRPr="005675B2">
        <w:rPr>
          <w:rFonts w:hint="cs"/>
          <w:rtl/>
          <w:lang w:bidi="ar-KW"/>
        </w:rPr>
        <w:t>ح</w:t>
      </w:r>
      <w:r>
        <w:rPr>
          <w:rFonts w:hint="cs"/>
          <w:rtl/>
          <w:lang w:bidi="ar-KW"/>
        </w:rPr>
        <w:t>)</w:t>
      </w:r>
      <w:r w:rsidR="009C32A0" w:rsidRPr="005675B2">
        <w:rPr>
          <w:rFonts w:hint="cs"/>
          <w:rtl/>
          <w:lang w:bidi="ar-KW"/>
        </w:rPr>
        <w:t xml:space="preserve"> الجسمية تعني مماثلة الأجسام والله تعالى ليس كمثله شيء ولم يكن له كفوا احد</w:t>
      </w:r>
      <w:r>
        <w:rPr>
          <w:rFonts w:hint="cs"/>
          <w:rtl/>
          <w:lang w:bidi="ar-KW"/>
        </w:rPr>
        <w:t>،</w:t>
      </w:r>
      <w:r w:rsidR="009C32A0" w:rsidRPr="005675B2">
        <w:rPr>
          <w:rFonts w:hint="cs"/>
          <w:rtl/>
          <w:lang w:bidi="ar-KW"/>
        </w:rPr>
        <w:t xml:space="preserve"> </w:t>
      </w:r>
      <w:r w:rsidR="009C32A0" w:rsidRPr="005675B2">
        <w:rPr>
          <w:rFonts w:hint="cs"/>
          <w:bCs/>
          <w:rtl/>
          <w:lang w:bidi="ar-KW"/>
        </w:rPr>
        <w:t>فهو سبحانه منزه عن الجسمية لقوله تعالى</w:t>
      </w:r>
      <w:r w:rsidR="009C32A0" w:rsidRPr="005675B2">
        <w:rPr>
          <w:rFonts w:hint="cs"/>
          <w:rtl/>
          <w:lang w:bidi="ar-KW"/>
        </w:rPr>
        <w:t xml:space="preserve"> </w:t>
      </w:r>
      <w:r>
        <w:rPr>
          <w:rFonts w:hint="cs"/>
          <w:rtl/>
          <w:lang w:bidi="ar-KW"/>
        </w:rPr>
        <w:t>{</w:t>
      </w:r>
      <w:r w:rsidR="009C32A0" w:rsidRPr="005675B2">
        <w:rPr>
          <w:rFonts w:hint="cs"/>
          <w:rtl/>
          <w:lang w:bidi="ar-KW"/>
        </w:rPr>
        <w:t>ليس كمثلِه شيء</w:t>
      </w:r>
      <w:r>
        <w:rPr>
          <w:rFonts w:hint="cs"/>
          <w:rtl/>
          <w:lang w:bidi="ar-KW"/>
        </w:rPr>
        <w:t>}</w:t>
      </w:r>
      <w:r w:rsidR="009C32A0" w:rsidRPr="005675B2">
        <w:rPr>
          <w:rFonts w:hint="cs"/>
          <w:rtl/>
          <w:lang w:bidi="ar-KW"/>
        </w:rPr>
        <w:t xml:space="preserve"> [سورة الشورى:11] ولو كان جسما لكان مثلا لسائر الأجسام</w:t>
      </w:r>
      <w:r>
        <w:rPr>
          <w:rFonts w:hint="cs"/>
          <w:rtl/>
          <w:lang w:bidi="ar-KW"/>
        </w:rPr>
        <w:t>،</w:t>
      </w:r>
      <w:r w:rsidR="009C32A0" w:rsidRPr="005675B2">
        <w:rPr>
          <w:rFonts w:hint="cs"/>
          <w:rtl/>
          <w:lang w:bidi="ar-KW"/>
        </w:rPr>
        <w:t xml:space="preserve"> </w:t>
      </w:r>
      <w:r w:rsidR="009C32A0" w:rsidRPr="005675B2">
        <w:rPr>
          <w:rFonts w:hint="cs"/>
          <w:bCs/>
          <w:rtl/>
          <w:lang w:bidi="ar-KW"/>
        </w:rPr>
        <w:t>وقوله تعالى</w:t>
      </w:r>
      <w:r w:rsidR="009C32A0" w:rsidRPr="005675B2">
        <w:rPr>
          <w:rFonts w:hint="cs"/>
          <w:rtl/>
          <w:lang w:bidi="ar-KW"/>
        </w:rPr>
        <w:t xml:space="preserve"> {هل تعلمُ لهُ سميًّا} [سورة مريم</w:t>
      </w:r>
      <w:r>
        <w:rPr>
          <w:rFonts w:hint="cs"/>
          <w:rtl/>
          <w:lang w:bidi="ar-KW"/>
        </w:rPr>
        <w:t>:</w:t>
      </w:r>
      <w:r w:rsidR="009C32A0" w:rsidRPr="005675B2">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Pr>
          <w:rFonts w:hint="cs"/>
          <w:rtl/>
          <w:lang w:bidi="ar-KW"/>
        </w:rPr>
        <w:t>،</w:t>
      </w:r>
      <w:r w:rsidR="009C32A0" w:rsidRPr="005675B2">
        <w:rPr>
          <w:rFonts w:hint="cs"/>
          <w:rtl/>
          <w:lang w:bidi="ar-KW"/>
        </w:rPr>
        <w:t xml:space="preserve"> </w:t>
      </w:r>
      <w:r w:rsidR="009C32A0" w:rsidRPr="005675B2">
        <w:rPr>
          <w:rFonts w:hint="cs"/>
          <w:bCs/>
          <w:rtl/>
          <w:lang w:bidi="ar-KW"/>
        </w:rPr>
        <w:t>وقوله تعالى</w:t>
      </w:r>
      <w:r w:rsidR="009C32A0" w:rsidRPr="005675B2">
        <w:rPr>
          <w:rFonts w:hint="cs"/>
          <w:rtl/>
          <w:lang w:bidi="ar-KW"/>
        </w:rPr>
        <w:t xml:space="preserve"> {وللهِ المثَلُ الأعلى}</w:t>
      </w:r>
      <w:r>
        <w:rPr>
          <w:rFonts w:hint="cs"/>
          <w:rtl/>
          <w:lang w:bidi="ar-KW"/>
        </w:rPr>
        <w:t xml:space="preserve"> </w:t>
      </w:r>
      <w:r w:rsidR="009C32A0" w:rsidRPr="005675B2">
        <w:rPr>
          <w:rFonts w:hint="cs"/>
          <w:rtl/>
          <w:lang w:bidi="ar-KW"/>
        </w:rPr>
        <w:t>[سورة النحل:60]</w:t>
      </w:r>
      <w:r>
        <w:rPr>
          <w:rFonts w:hint="cs"/>
          <w:rtl/>
          <w:lang w:bidi="ar-KW"/>
        </w:rPr>
        <w:t xml:space="preserve"> </w:t>
      </w:r>
      <w:r w:rsidR="009C32A0" w:rsidRPr="005675B2">
        <w:rPr>
          <w:rFonts w:hint="cs"/>
          <w:rtl/>
          <w:lang w:bidi="ar-KW"/>
        </w:rPr>
        <w:t>قال المفسرون</w:t>
      </w:r>
      <w:r>
        <w:rPr>
          <w:rFonts w:hint="cs"/>
          <w:rtl/>
          <w:lang w:bidi="ar-KW"/>
        </w:rPr>
        <w:t xml:space="preserve"> </w:t>
      </w:r>
      <w:r w:rsidR="009C32A0" w:rsidRPr="005675B2">
        <w:rPr>
          <w:rFonts w:hint="cs"/>
          <w:rtl/>
          <w:lang w:bidi="ar-KW"/>
        </w:rPr>
        <w:t>أي له سبحانه الوصف الذي لا يشبه وصف غيره، ومعنى ذلك أنه لا يوصف ربنا عزَّ وجلَّ بصفات المخلوقين من الجسمية ولوازم الجسمية</w:t>
      </w:r>
      <w:r>
        <w:rPr>
          <w:rFonts w:hint="cs"/>
          <w:rtl/>
          <w:lang w:bidi="ar-KW"/>
        </w:rPr>
        <w:t>،</w:t>
      </w:r>
      <w:r w:rsidR="009C32A0" w:rsidRPr="005675B2">
        <w:rPr>
          <w:rFonts w:hint="cs"/>
          <w:rtl/>
          <w:lang w:bidi="ar-KW"/>
        </w:rPr>
        <w:t xml:space="preserve"> </w:t>
      </w:r>
      <w:r w:rsidR="009C32A0" w:rsidRPr="005675B2">
        <w:rPr>
          <w:rFonts w:hint="cs"/>
          <w:bCs/>
          <w:rtl/>
          <w:lang w:bidi="ar-KW"/>
        </w:rPr>
        <w:t>وقوله تعالى</w:t>
      </w:r>
      <w:r w:rsidR="009C32A0" w:rsidRPr="005675B2">
        <w:rPr>
          <w:rFonts w:hint="cs"/>
          <w:rtl/>
          <w:lang w:bidi="ar-KW"/>
        </w:rPr>
        <w:t xml:space="preserve"> </w:t>
      </w:r>
      <w:r>
        <w:rPr>
          <w:rFonts w:hint="cs"/>
          <w:rtl/>
          <w:lang w:bidi="ar-KW"/>
        </w:rPr>
        <w:t>{</w:t>
      </w:r>
      <w:r w:rsidR="009C32A0" w:rsidRPr="005675B2">
        <w:rPr>
          <w:rFonts w:hint="cs"/>
          <w:rtl/>
          <w:lang w:bidi="ar-KW"/>
        </w:rPr>
        <w:t>فلا تضربوا للهِ الأمثال} [سورة النحل:74]، قال المفسرون أي لا تجعلوا لله الشبيهَ والمِثْل فإن اللهَ تعالى منزه عن الشبيه و المثيل</w:t>
      </w:r>
      <w:r>
        <w:rPr>
          <w:rFonts w:hint="cs"/>
          <w:rtl/>
          <w:lang w:bidi="ar-KW"/>
        </w:rPr>
        <w:t>،</w:t>
      </w:r>
      <w:r w:rsidR="009C32A0" w:rsidRPr="005675B2">
        <w:rPr>
          <w:rFonts w:hint="cs"/>
          <w:rtl/>
          <w:lang w:bidi="ar-KW"/>
        </w:rPr>
        <w:t xml:space="preserve"> فلا ذاتُه يشبه الذوات ولا صفاتُه تشبه الصفات</w:t>
      </w:r>
      <w:r>
        <w:rPr>
          <w:rFonts w:hint="cs"/>
          <w:rtl/>
          <w:lang w:bidi="ar-KW"/>
        </w:rPr>
        <w:t>،</w:t>
      </w:r>
      <w:r w:rsidR="009C32A0" w:rsidRPr="005675B2">
        <w:rPr>
          <w:rFonts w:hint="cs"/>
          <w:rtl/>
          <w:lang w:bidi="ar-KW"/>
        </w:rPr>
        <w:t xml:space="preserve"> فمن وصفه بالجسمية فقد جعل ذاته تشبه الذوات سبحانه وتعالى عما يصفون</w:t>
      </w:r>
      <w:r>
        <w:rPr>
          <w:rFonts w:hint="cs"/>
          <w:rtl/>
          <w:lang w:bidi="ar-KW"/>
        </w:rPr>
        <w:t>،</w:t>
      </w:r>
      <w:r w:rsidR="009C32A0" w:rsidRPr="005675B2">
        <w:rPr>
          <w:rFonts w:hint="cs"/>
          <w:rtl/>
          <w:lang w:bidi="ar-KW"/>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lang w:bidi="ar-KW"/>
        </w:rPr>
        <w:t>فلا تجعلوا لله أندادا وأنتم تعلمون</w:t>
      </w:r>
      <w:r>
        <w:rPr>
          <w:rFonts w:hint="cs"/>
          <w:rtl/>
          <w:lang w:bidi="ar-KW"/>
        </w:rPr>
        <w:t>}</w:t>
      </w:r>
      <w:r w:rsidR="009C32A0" w:rsidRPr="005675B2">
        <w:rPr>
          <w:rFonts w:hint="cs"/>
          <w:rtl/>
          <w:lang w:bidi="ar-KW"/>
        </w:rPr>
        <w:t xml:space="preserve"> [سورة البقرة/22]</w:t>
      </w:r>
      <w:r>
        <w:rPr>
          <w:rFonts w:hint="cs"/>
          <w:rtl/>
          <w:lang w:bidi="ar-KW"/>
        </w:rPr>
        <w:t>،</w:t>
      </w:r>
      <w:r w:rsidR="009C32A0" w:rsidRPr="005675B2">
        <w:rPr>
          <w:rFonts w:hint="cs"/>
          <w:rtl/>
          <w:lang w:bidi="ar-KW"/>
        </w:rPr>
        <w:t xml:space="preserve"> والند هو المثيل والشبيه ولو كان جسما لكان له أنداد والعياذ بالله من التشبيه والتمثيل</w:t>
      </w:r>
      <w:r>
        <w:rPr>
          <w:rFonts w:hint="cs"/>
          <w:rtl/>
          <w:lang w:bidi="ar-KW"/>
        </w:rPr>
        <w:t>،</w:t>
      </w:r>
      <w:r>
        <w:rPr>
          <w:rFonts w:hint="cs"/>
          <w:bCs/>
          <w:rtl/>
        </w:rPr>
        <w:t xml:space="preserve"> (</w:t>
      </w:r>
      <w:r w:rsidR="009C32A0" w:rsidRPr="005675B2">
        <w:rPr>
          <w:rFonts w:hint="cs"/>
          <w:bCs/>
          <w:rtl/>
        </w:rPr>
        <w:t>خ</w:t>
      </w:r>
      <w:r>
        <w:rPr>
          <w:rFonts w:hint="cs"/>
          <w:bCs/>
          <w:rtl/>
        </w:rPr>
        <w:t>)</w:t>
      </w:r>
      <w:r w:rsidR="009C32A0" w:rsidRPr="005675B2">
        <w:rPr>
          <w:rFonts w:hint="cs"/>
          <w:bCs/>
          <w:rtl/>
        </w:rPr>
        <w:t xml:space="preserve"> قوله تعالى</w:t>
      </w:r>
      <w:r w:rsidR="009C32A0" w:rsidRPr="005675B2">
        <w:rPr>
          <w:rFonts w:hint="cs"/>
          <w:rtl/>
        </w:rPr>
        <w:t xml:space="preserve"> {قل هو الله أحد الله الصمد لم يلد ولم يولد ولم يكن له كفواً أحد</w:t>
      </w:r>
      <w:r>
        <w:rPr>
          <w:rFonts w:hint="cs"/>
          <w:rtl/>
        </w:rPr>
        <w:t>}</w:t>
      </w:r>
      <w:r w:rsidR="009C32A0" w:rsidRPr="005675B2">
        <w:rPr>
          <w:rFonts w:hint="cs"/>
          <w:rtl/>
        </w:rPr>
        <w:t xml:space="preserve"> من أعظم الدلائل على تنزيه الله تعالى عن الجسمية فقوله تعالى </w:t>
      </w:r>
      <w:r>
        <w:rPr>
          <w:rFonts w:hint="cs"/>
          <w:rtl/>
        </w:rPr>
        <w:t>(</w:t>
      </w:r>
      <w:r w:rsidR="009C32A0" w:rsidRPr="005675B2">
        <w:rPr>
          <w:rFonts w:hint="cs"/>
          <w:bCs/>
          <w:rtl/>
        </w:rPr>
        <w:t>أحد</w:t>
      </w:r>
      <w:r w:rsidR="009C32A0" w:rsidRPr="005675B2">
        <w:rPr>
          <w:rFonts w:hint="cs"/>
          <w:rtl/>
        </w:rPr>
        <w:t xml:space="preserve">) يدل على نفى الجسمية لأن الجسم أقله أنه يكون مركباً من جوهرين وذلك ينافى الوحدة </w:t>
      </w:r>
      <w:r w:rsidR="009C32A0" w:rsidRPr="005675B2">
        <w:rPr>
          <w:rFonts w:hint="cs"/>
          <w:rtl/>
        </w:rPr>
        <w:lastRenderedPageBreak/>
        <w:t xml:space="preserve">ولما كان قوله </w:t>
      </w:r>
      <w:r>
        <w:rPr>
          <w:rFonts w:hint="cs"/>
          <w:rtl/>
        </w:rPr>
        <w:t>{</w:t>
      </w:r>
      <w:r w:rsidR="009C32A0" w:rsidRPr="005675B2">
        <w:rPr>
          <w:rFonts w:hint="cs"/>
          <w:rtl/>
        </w:rPr>
        <w:t xml:space="preserve">أحد} مبالغة في الواحدية كان قوله </w:t>
      </w:r>
      <w:r>
        <w:rPr>
          <w:rFonts w:hint="cs"/>
          <w:rtl/>
        </w:rPr>
        <w:t>{</w:t>
      </w:r>
      <w:r w:rsidR="009C32A0" w:rsidRPr="005675B2">
        <w:rPr>
          <w:rFonts w:hint="cs"/>
          <w:rtl/>
        </w:rPr>
        <w:t>أحد</w:t>
      </w:r>
      <w:r>
        <w:rPr>
          <w:rFonts w:hint="cs"/>
          <w:rtl/>
        </w:rPr>
        <w:t>}</w:t>
      </w:r>
      <w:r w:rsidR="009C32A0" w:rsidRPr="005675B2">
        <w:rPr>
          <w:rFonts w:hint="cs"/>
          <w:rtl/>
        </w:rPr>
        <w:t xml:space="preserve"> منافي للجسمية وقوله تعالى </w:t>
      </w:r>
      <w:r>
        <w:rPr>
          <w:rFonts w:hint="cs"/>
          <w:rtl/>
        </w:rPr>
        <w:t>{</w:t>
      </w:r>
      <w:r w:rsidR="009C32A0" w:rsidRPr="005675B2">
        <w:rPr>
          <w:rFonts w:hint="cs"/>
          <w:bCs/>
          <w:rtl/>
        </w:rPr>
        <w:t>الله الصمد</w:t>
      </w:r>
      <w:r>
        <w:rPr>
          <w:rFonts w:hint="cs"/>
          <w:rtl/>
        </w:rPr>
        <w:t>}</w:t>
      </w:r>
      <w:r w:rsidR="009C32A0" w:rsidRPr="005675B2">
        <w:rPr>
          <w:rFonts w:hint="cs"/>
          <w:rtl/>
        </w:rPr>
        <w:t xml:space="preserve"> فالصمد هو السيد المصمود إليه في الحوائج وذلك يدل على أنه ليس بجسم لأن كل جسم مركب</w:t>
      </w:r>
      <w:r>
        <w:rPr>
          <w:rFonts w:hint="cs"/>
          <w:rtl/>
        </w:rPr>
        <w:t>،</w:t>
      </w:r>
      <w:r w:rsidR="009C32A0" w:rsidRPr="005675B2">
        <w:rPr>
          <w:rFonts w:hint="cs"/>
          <w:rtl/>
        </w:rPr>
        <w:t xml:space="preserve"> وكل مركب فهو محتاج إلى كل واحد من أجزائه وكل واحد من أجزائه غيره</w:t>
      </w:r>
      <w:r>
        <w:rPr>
          <w:rFonts w:hint="cs"/>
          <w:rtl/>
        </w:rPr>
        <w:t>،</w:t>
      </w:r>
      <w:r w:rsidR="009C32A0" w:rsidRPr="005675B2">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Fonts w:hint="cs"/>
          <w:rtl/>
        </w:rPr>
        <w:t>،</w:t>
      </w:r>
      <w:r w:rsidR="009C32A0" w:rsidRPr="005675B2">
        <w:rPr>
          <w:rFonts w:hint="cs"/>
          <w:rtl/>
        </w:rPr>
        <w:t xml:space="preserve"> وأما قوله تعالى </w:t>
      </w:r>
      <w:r>
        <w:rPr>
          <w:rFonts w:hint="cs"/>
          <w:bCs/>
          <w:rtl/>
        </w:rPr>
        <w:t>{</w:t>
      </w:r>
      <w:r w:rsidR="009C32A0" w:rsidRPr="005675B2">
        <w:rPr>
          <w:rFonts w:hint="cs"/>
          <w:bCs/>
          <w:rtl/>
        </w:rPr>
        <w:t>ولم يكن له كفواً أحد</w:t>
      </w:r>
      <w:r>
        <w:rPr>
          <w:rFonts w:hint="cs"/>
          <w:bCs/>
          <w:rtl/>
        </w:rPr>
        <w:t>}</w:t>
      </w:r>
      <w:r w:rsidR="009C32A0" w:rsidRPr="005675B2">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Fonts w:hint="cs"/>
          <w:rtl/>
        </w:rPr>
        <w:t>،</w:t>
      </w:r>
      <w:r>
        <w:rPr>
          <w:rFonts w:hint="cs"/>
          <w:bCs/>
          <w:rtl/>
        </w:rPr>
        <w:t xml:space="preserve"> (</w:t>
      </w:r>
      <w:r w:rsidR="009C32A0" w:rsidRPr="005675B2">
        <w:rPr>
          <w:rFonts w:hint="cs"/>
          <w:bCs/>
          <w:rtl/>
        </w:rPr>
        <w:t>د</w:t>
      </w:r>
      <w:r>
        <w:rPr>
          <w:rFonts w:hint="cs"/>
          <w:bCs/>
          <w:rtl/>
        </w:rPr>
        <w:t>)</w:t>
      </w:r>
      <w:r w:rsidR="009C32A0" w:rsidRPr="005675B2">
        <w:rPr>
          <w:rFonts w:hint="cs"/>
          <w:bCs/>
          <w:rtl/>
        </w:rPr>
        <w:t xml:space="preserve"> ومن الأدلة على تنزيه الله تعالى عن الجسمية قوله تعالى</w:t>
      </w:r>
      <w:r w:rsidR="009C32A0" w:rsidRPr="005675B2">
        <w:rPr>
          <w:rFonts w:hint="cs"/>
          <w:rtl/>
        </w:rPr>
        <w:t xml:space="preserve"> </w:t>
      </w:r>
      <w:r>
        <w:rPr>
          <w:rFonts w:hint="cs"/>
          <w:rtl/>
        </w:rPr>
        <w:t>{</w:t>
      </w:r>
      <w:r w:rsidR="009C32A0" w:rsidRPr="005675B2">
        <w:rPr>
          <w:rFonts w:hint="cs"/>
          <w:bCs/>
          <w:rtl/>
        </w:rPr>
        <w:t>والله الغنى وأنتم الفقراء</w:t>
      </w:r>
      <w:r>
        <w:rPr>
          <w:rFonts w:hint="cs"/>
          <w:rtl/>
        </w:rPr>
        <w:t>}</w:t>
      </w:r>
      <w:r w:rsidR="009C32A0" w:rsidRPr="005675B2">
        <w:rPr>
          <w:rFonts w:hint="cs"/>
          <w:rtl/>
        </w:rPr>
        <w:t>دلت هذه الآية على كونه تعالى غنى ولو كان جسماً لما كان غنياً لأن كل جسم مركب وكل مركب محتاج إلى كل واحد من أجزائه</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bCs/>
          <w:rtl/>
        </w:rPr>
        <w:t>لا إله إلا هو الحى القيوم</w:t>
      </w:r>
      <w:r w:rsidR="009C32A0" w:rsidRPr="005675B2">
        <w:rPr>
          <w:rFonts w:hint="cs"/>
          <w:rtl/>
        </w:rPr>
        <w:t xml:space="preserve"> ؤ والقيوم مبالغة فى كونه غنياً عن كل ما سواه</w:t>
      </w:r>
      <w:r>
        <w:rPr>
          <w:rFonts w:hint="cs"/>
          <w:rtl/>
        </w:rPr>
        <w:t>،</w:t>
      </w:r>
      <w:r w:rsidR="009C32A0" w:rsidRPr="005675B2">
        <w:rPr>
          <w:rFonts w:hint="cs"/>
          <w:rtl/>
        </w:rPr>
        <w:t xml:space="preserve"> وكونه مقوماً لغيره</w:t>
      </w:r>
      <w:r>
        <w:rPr>
          <w:rFonts w:hint="cs"/>
          <w:rtl/>
        </w:rPr>
        <w:t>،</w:t>
      </w:r>
      <w:r w:rsidR="009C32A0" w:rsidRPr="005675B2">
        <w:rPr>
          <w:rFonts w:hint="cs"/>
          <w:rtl/>
        </w:rPr>
        <w:t xml:space="preserve"> فلو كان جسماً لكان هو مفتقراً الى أجزائه</w:t>
      </w:r>
      <w:r>
        <w:rPr>
          <w:rFonts w:hint="cs"/>
          <w:rtl/>
        </w:rPr>
        <w:t xml:space="preserve">، </w:t>
      </w:r>
      <w:r w:rsidR="009C32A0" w:rsidRPr="005675B2">
        <w:rPr>
          <w:rFonts w:hint="cs"/>
          <w:rtl/>
        </w:rPr>
        <w:t>وحينئذ لا يكون قيوماً بإطلاق</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bCs/>
          <w:rtl/>
        </w:rPr>
        <w:t>{</w:t>
      </w:r>
      <w:r w:rsidR="009C32A0" w:rsidRPr="005675B2">
        <w:rPr>
          <w:rFonts w:hint="cs"/>
          <w:bCs/>
          <w:rtl/>
        </w:rPr>
        <w:t>القدوس السلام</w:t>
      </w:r>
      <w:r>
        <w:rPr>
          <w:rFonts w:hint="cs"/>
          <w:bCs/>
          <w:rtl/>
        </w:rPr>
        <w:t>}</w:t>
      </w:r>
      <w:r w:rsidR="009C32A0" w:rsidRPr="005675B2">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Pr>
          <w:rFonts w:hint="cs"/>
          <w:rtl/>
        </w:rPr>
        <w:t>،</w:t>
      </w:r>
      <w:r w:rsidR="009C32A0" w:rsidRPr="005675B2">
        <w:rPr>
          <w:rFonts w:hint="cs"/>
          <w:rtl/>
        </w:rPr>
        <w:t xml:space="preserve"> والجسمية على المعنى المراد منها من كونها تتآلف من أجزاء وصف بالنقص والعيب المنزه عنه القدوس سبحانه</w:t>
      </w:r>
      <w:r>
        <w:rPr>
          <w:rFonts w:hint="cs"/>
          <w:rtl/>
        </w:rPr>
        <w:t>،</w:t>
      </w:r>
      <w:r w:rsidR="009C32A0" w:rsidRPr="005675B2">
        <w:rPr>
          <w:rFonts w:hint="cs"/>
          <w:rtl/>
        </w:rPr>
        <w:t xml:space="preserve"> وهي </w:t>
      </w:r>
      <w:r>
        <w:rPr>
          <w:rFonts w:hint="cs"/>
          <w:rtl/>
        </w:rPr>
        <w:t>(</w:t>
      </w:r>
      <w:r w:rsidR="009C32A0" w:rsidRPr="005675B2">
        <w:rPr>
          <w:rFonts w:hint="cs"/>
          <w:rtl/>
        </w:rPr>
        <w:t>الجسمية</w:t>
      </w:r>
      <w:r>
        <w:rPr>
          <w:rFonts w:hint="cs"/>
          <w:rtl/>
        </w:rPr>
        <w:t>)</w:t>
      </w:r>
      <w:r w:rsidR="009C32A0" w:rsidRPr="005675B2">
        <w:rPr>
          <w:rFonts w:hint="cs"/>
          <w:rtl/>
        </w:rPr>
        <w:t xml:space="preserve"> ضد الكمال الذي يتصف به ذات القدوس</w:t>
      </w:r>
      <w:r>
        <w:rPr>
          <w:rFonts w:hint="cs"/>
          <w:rtl/>
        </w:rPr>
        <w:t>،</w:t>
      </w:r>
      <w:r w:rsidR="009C32A0" w:rsidRPr="005675B2">
        <w:rPr>
          <w:rFonts w:hint="cs"/>
          <w:rtl/>
        </w:rPr>
        <w:t xml:space="preserve"> ولو كان جسما لكان له مثل من الأجسام والقدوس هو المنزه عن أن يكون له مثيل أو شبيه</w:t>
      </w:r>
      <w:r>
        <w:rPr>
          <w:rFonts w:hint="cs"/>
          <w:rtl/>
        </w:rPr>
        <w:t>،</w:t>
      </w:r>
      <w:r w:rsidR="009C32A0" w:rsidRPr="005675B2">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Pr>
          <w:rFonts w:hint="cs"/>
          <w:rtl/>
        </w:rPr>
        <w:t>،</w:t>
      </w:r>
      <w:r w:rsidR="009C32A0" w:rsidRPr="005675B2">
        <w:rPr>
          <w:rFonts w:hint="cs"/>
          <w:rtl/>
        </w:rPr>
        <w:t>والسلام عز وجل هو الذي سلم ذاته عن المثل والسمي والشبيه</w:t>
      </w:r>
      <w:r>
        <w:rPr>
          <w:rFonts w:hint="cs"/>
          <w:rtl/>
        </w:rPr>
        <w:t>،</w:t>
      </w:r>
      <w:r w:rsidR="009C32A0" w:rsidRPr="005675B2">
        <w:rPr>
          <w:rFonts w:hint="cs"/>
          <w:rtl/>
        </w:rPr>
        <w:t xml:space="preserve"> ولو كان جسما لكان له مثل من الأجسام والسلام</w:t>
      </w:r>
      <w:r>
        <w:rPr>
          <w:rFonts w:hint="cs"/>
          <w:rtl/>
        </w:rPr>
        <w:t xml:space="preserve"> </w:t>
      </w:r>
      <w:r w:rsidR="009C32A0" w:rsidRPr="005675B2">
        <w:rPr>
          <w:rFonts w:hint="cs"/>
          <w:rtl/>
        </w:rPr>
        <w:t>هو الذي سلم ذاته عن أن يكون له مثيل أو شبيه</w:t>
      </w:r>
      <w:r>
        <w:rPr>
          <w:rFonts w:hint="cs"/>
          <w:rtl/>
        </w:rPr>
        <w:t>،</w:t>
      </w:r>
      <w:r>
        <w:rPr>
          <w:rFonts w:hint="cs"/>
          <w:bCs/>
          <w:rtl/>
        </w:rPr>
        <w:t xml:space="preserve"> </w:t>
      </w:r>
      <w:r w:rsidR="009C32A0" w:rsidRPr="005675B2">
        <w:rPr>
          <w:rFonts w:hint="cs"/>
          <w:bCs/>
          <w:rtl/>
        </w:rPr>
        <w:t>ومن الأدلة على تنزيه الله تعالى عن الجسمية قوله تعالى</w:t>
      </w:r>
      <w:r w:rsidR="009C32A0" w:rsidRPr="005675B2">
        <w:rPr>
          <w:rFonts w:hint="cs"/>
          <w:rtl/>
        </w:rPr>
        <w:t xml:space="preserve"> </w:t>
      </w:r>
      <w:r>
        <w:rPr>
          <w:rFonts w:hint="cs"/>
          <w:rtl/>
        </w:rPr>
        <w:t>{</w:t>
      </w:r>
      <w:r w:rsidR="009C32A0" w:rsidRPr="005675B2">
        <w:rPr>
          <w:rFonts w:hint="cs"/>
          <w:rtl/>
        </w:rPr>
        <w:t>هو الله الخالق البارئ المصور} والخالق هو المقدِرُ المنزه في ذاته عن الحد والنهاية والمقدار</w:t>
      </w:r>
      <w:r>
        <w:rPr>
          <w:rFonts w:hint="cs"/>
          <w:rtl/>
        </w:rPr>
        <w:t>،</w:t>
      </w:r>
      <w:r w:rsidR="009C32A0" w:rsidRPr="005675B2">
        <w:rPr>
          <w:rFonts w:hint="cs"/>
          <w:rtl/>
        </w:rPr>
        <w:t xml:space="preserve"> ولو كان تعالى جسماً سبحانه لكان مقدَراً متناهياً محدوداً ولو كان متناهياً محدوداً لكان مخلوقا وليس خالقا</w:t>
      </w:r>
      <w:r>
        <w:rPr>
          <w:rFonts w:hint="cs"/>
          <w:rtl/>
        </w:rPr>
        <w:t>،</w:t>
      </w:r>
      <w:r w:rsidR="009C32A0" w:rsidRPr="005675B2">
        <w:rPr>
          <w:rFonts w:hint="cs"/>
          <w:rtl/>
        </w:rPr>
        <w:t xml:space="preserve"> سبحانه هو وحده الخالق البارئ المصور سبحانه وتعالى عما يشركون</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rPr>
        <w:t>هو الأول والأخر والظاهر والباطن</w:t>
      </w:r>
      <w:r>
        <w:rPr>
          <w:rFonts w:hint="cs"/>
          <w:rtl/>
        </w:rPr>
        <w:t>}،</w:t>
      </w:r>
      <w:r w:rsidR="009C32A0" w:rsidRPr="005675B2">
        <w:rPr>
          <w:rFonts w:hint="cs"/>
          <w:rtl/>
        </w:rPr>
        <w:t xml:space="preserve"> </w:t>
      </w:r>
      <w:r>
        <w:rPr>
          <w:rFonts w:hint="cs"/>
          <w:rtl/>
        </w:rPr>
        <w:t>(</w:t>
      </w:r>
      <w:r w:rsidR="009C32A0" w:rsidRPr="005675B2">
        <w:rPr>
          <w:rFonts w:hint="cs"/>
          <w:rtl/>
        </w:rPr>
        <w:t>هو الأول والأخر</w:t>
      </w:r>
      <w:r>
        <w:rPr>
          <w:rFonts w:hint="cs"/>
          <w:rtl/>
        </w:rPr>
        <w:t>)</w:t>
      </w:r>
      <w:r w:rsidR="009C32A0" w:rsidRPr="005675B2">
        <w:rPr>
          <w:rFonts w:hint="cs"/>
          <w:rtl/>
        </w:rPr>
        <w:t xml:space="preserve"> فهو يقتضى أن يكون منزها عن الجسمية لأن الجسم حادث مؤلف من أجزاء تسبق وجوده </w:t>
      </w:r>
      <w:r w:rsidR="009C32A0" w:rsidRPr="005675B2">
        <w:rPr>
          <w:rFonts w:hint="cs"/>
          <w:rtl/>
        </w:rPr>
        <w:lastRenderedPageBreak/>
        <w:t>فلا يكون الجسم أولا أبدا</w:t>
      </w:r>
      <w:r>
        <w:rPr>
          <w:rFonts w:hint="cs"/>
          <w:rtl/>
        </w:rPr>
        <w:t>،</w:t>
      </w:r>
      <w:r w:rsidR="009C32A0" w:rsidRPr="005675B2">
        <w:rPr>
          <w:rFonts w:hint="cs"/>
          <w:rtl/>
        </w:rPr>
        <w:t xml:space="preserve"> (والظاهر والباطن</w:t>
      </w:r>
      <w:r>
        <w:rPr>
          <w:rFonts w:hint="cs"/>
          <w:rtl/>
        </w:rPr>
        <w:t>)</w:t>
      </w:r>
      <w:r w:rsidR="009C32A0" w:rsidRPr="005675B2">
        <w:rPr>
          <w:rFonts w:hint="cs"/>
          <w:rtl/>
        </w:rPr>
        <w:t xml:space="preserve"> معنى الباطن الذي لا يدركه الحس ولا يصل إليه الخيال</w:t>
      </w:r>
      <w:r>
        <w:rPr>
          <w:rFonts w:hint="cs"/>
          <w:rtl/>
        </w:rPr>
        <w:t>،</w:t>
      </w:r>
      <w:r w:rsidR="009C32A0" w:rsidRPr="005675B2">
        <w:rPr>
          <w:rFonts w:hint="cs"/>
          <w:rtl/>
        </w:rPr>
        <w:t xml:space="preserve"> ولو كان جسماً لما أمكن وصفه بأنه لا يدركه الحس ولا يصل إليه الخيال</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rPr>
        <w:t>ولا يحيطون به علماً</w:t>
      </w:r>
      <w:r>
        <w:rPr>
          <w:rFonts w:hint="cs"/>
          <w:rtl/>
        </w:rPr>
        <w:t>)</w:t>
      </w:r>
      <w:r w:rsidR="009C32A0" w:rsidRPr="005675B2">
        <w:rPr>
          <w:rFonts w:hint="cs"/>
          <w:rtl/>
        </w:rPr>
        <w:t xml:space="preserve"> وذلك يدل على كونه تعالى منزهاً عن الجسمية وإلا لكان العلم محيطاً به فإن قيل</w:t>
      </w:r>
      <w:r>
        <w:rPr>
          <w:rFonts w:hint="cs"/>
          <w:rtl/>
        </w:rPr>
        <w:t>:</w:t>
      </w:r>
      <w:r w:rsidR="009C32A0" w:rsidRPr="005675B2">
        <w:rPr>
          <w:rFonts w:hint="cs"/>
          <w:rtl/>
        </w:rPr>
        <w:t xml:space="preserve"> لما لا يجوز أن يقال أنه وإن كان جسماً لكنه جسماً كبيراً فلهذا المعنى لا يحيط به العلم</w:t>
      </w:r>
      <w:r>
        <w:rPr>
          <w:rFonts w:hint="cs"/>
          <w:rtl/>
        </w:rPr>
        <w:t>؟</w:t>
      </w:r>
      <w:r w:rsidR="009C32A0" w:rsidRPr="005675B2">
        <w:rPr>
          <w:rFonts w:hint="cs"/>
          <w:rtl/>
        </w:rPr>
        <w:t xml:space="preserve"> قلنا</w:t>
      </w:r>
      <w:r>
        <w:rPr>
          <w:rFonts w:hint="cs"/>
          <w:rtl/>
        </w:rPr>
        <w:t>:</w:t>
      </w:r>
      <w:r w:rsidR="009C32A0" w:rsidRPr="005675B2">
        <w:rPr>
          <w:rFonts w:hint="cs"/>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rPr>
        <w:t>لا تدركه الأبصار</w:t>
      </w:r>
      <w:r>
        <w:rPr>
          <w:rFonts w:hint="cs"/>
          <w:rtl/>
        </w:rPr>
        <w:t>)</w:t>
      </w:r>
      <w:r w:rsidR="009C32A0" w:rsidRPr="005675B2">
        <w:rPr>
          <w:rFonts w:hint="cs"/>
          <w:rtl/>
        </w:rPr>
        <w:t xml:space="preserve"> وذلك يدل على كونه تعالى منزهاً عن الجسمية وإلا لكان الإدراك بالأبصار محيطاً به حتى لو كان جسما كبيرا</w:t>
      </w:r>
      <w:r>
        <w:rPr>
          <w:rFonts w:hint="cs"/>
          <w:rtl/>
        </w:rPr>
        <w:t>،</w:t>
      </w:r>
      <w:r w:rsidR="009C32A0" w:rsidRPr="005675B2">
        <w:rPr>
          <w:rFonts w:hint="cs"/>
          <w:rtl/>
        </w:rPr>
        <w:t xml:space="preserve"> </w:t>
      </w:r>
      <w:r w:rsidR="009C32A0" w:rsidRPr="005675B2">
        <w:rPr>
          <w:rFonts w:hint="cs"/>
          <w:bCs/>
          <w:rtl/>
        </w:rPr>
        <w:t>ومن الأدلة على تنزيه الله تعالى عن الجسمية قوله تعالى</w:t>
      </w:r>
      <w:r w:rsidR="009C32A0" w:rsidRPr="005675B2">
        <w:rPr>
          <w:rFonts w:hint="cs"/>
          <w:rtl/>
        </w:rPr>
        <w:t xml:space="preserve"> </w:t>
      </w:r>
      <w:r>
        <w:rPr>
          <w:rFonts w:hint="cs"/>
          <w:rtl/>
        </w:rPr>
        <w:t>{</w:t>
      </w:r>
      <w:r w:rsidR="009C32A0" w:rsidRPr="005675B2">
        <w:rPr>
          <w:rFonts w:hint="cs"/>
          <w:rtl/>
        </w:rPr>
        <w:t>وإذا سألك عبادى عنى فإنى قريب</w:t>
      </w:r>
      <w:r>
        <w:rPr>
          <w:rFonts w:hint="cs"/>
          <w:rtl/>
        </w:rPr>
        <w:t>}</w:t>
      </w:r>
      <w:r w:rsidR="009C32A0" w:rsidRPr="005675B2">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Fonts w:hint="cs"/>
          <w:rtl/>
        </w:rPr>
        <w:t>،</w:t>
      </w:r>
      <w:r w:rsidR="009C32A0" w:rsidRPr="005675B2">
        <w:rPr>
          <w:rFonts w:hint="cs"/>
          <w:rtl/>
        </w:rPr>
        <w:t xml:space="preserve"> </w:t>
      </w:r>
      <w:r w:rsidR="009C32A0" w:rsidRPr="005675B2">
        <w:rPr>
          <w:rFonts w:hint="cs"/>
          <w:bCs/>
          <w:rtl/>
        </w:rPr>
        <w:t>وقوله تعالى</w:t>
      </w:r>
      <w:r>
        <w:rPr>
          <w:rFonts w:hint="cs"/>
          <w:rtl/>
        </w:rPr>
        <w:t xml:space="preserve"> {</w:t>
      </w:r>
      <w:r w:rsidR="009C32A0" w:rsidRPr="005675B2">
        <w:rPr>
          <w:rFonts w:hint="cs"/>
          <w:rtl/>
        </w:rPr>
        <w:t>وَنَحْنُ أَقْرَبُ إِلَيْهِ مِنْ حَبْلِ الْوَرِيدِ</w:t>
      </w:r>
      <w:r>
        <w:rPr>
          <w:rFonts w:hint="cs"/>
          <w:rtl/>
        </w:rPr>
        <w:t>}</w:t>
      </w:r>
      <w:r w:rsidR="009C32A0" w:rsidRPr="005675B2">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r>
        <w:rPr>
          <w:rFonts w:hint="cs"/>
          <w:rtl/>
        </w:rPr>
        <w:t xml:space="preserve">، </w:t>
      </w:r>
      <w:r>
        <w:rPr>
          <w:rFonts w:hint="cs"/>
          <w:rtl/>
          <w:lang w:bidi="ar-KW"/>
        </w:rPr>
        <w:t>(</w:t>
      </w:r>
      <w:r w:rsidR="009C32A0" w:rsidRPr="005675B2">
        <w:rPr>
          <w:rFonts w:hint="cs"/>
          <w:rtl/>
          <w:lang w:bidi="ar-KW"/>
        </w:rPr>
        <w:t>ذ</w:t>
      </w:r>
      <w:r>
        <w:rPr>
          <w:rFonts w:hint="cs"/>
          <w:rtl/>
          <w:lang w:bidi="ar-KW"/>
        </w:rPr>
        <w:t>)</w:t>
      </w:r>
      <w:r w:rsidR="009C32A0" w:rsidRPr="005675B2">
        <w:rPr>
          <w:rFonts w:hint="cs"/>
          <w:rtl/>
          <w:lang w:bidi="ar-KW"/>
        </w:rPr>
        <w:t xml:space="preserve"> </w:t>
      </w:r>
      <w:r w:rsidR="009C32A0" w:rsidRPr="005675B2">
        <w:rPr>
          <w:rFonts w:hint="cs"/>
          <w:bCs/>
          <w:rtl/>
          <w:lang w:bidi="ar-KW"/>
        </w:rPr>
        <w:t>أقوال العلماء على تنزيه الله تعالى عن الجسمية أكثر من أن تحصر</w:t>
      </w:r>
      <w:r>
        <w:rPr>
          <w:rFonts w:hint="cs"/>
          <w:rtl/>
          <w:lang w:bidi="ar-KW"/>
        </w:rPr>
        <w:t>،</w:t>
      </w:r>
      <w:r w:rsidR="009C32A0" w:rsidRPr="005675B2">
        <w:rPr>
          <w:rFonts w:hint="cs"/>
          <w:rtl/>
          <w:lang w:bidi="ar-KW"/>
        </w:rPr>
        <w:t xml:space="preserve"> منها على سبيل المثال</w:t>
      </w:r>
      <w:r>
        <w:rPr>
          <w:rFonts w:hint="cs"/>
          <w:rtl/>
          <w:lang w:bidi="ar-KW"/>
        </w:rPr>
        <w:t>:</w:t>
      </w:r>
      <w:r w:rsidR="009C32A0" w:rsidRPr="005675B2">
        <w:rPr>
          <w:rFonts w:hint="cs"/>
          <w:rtl/>
          <w:lang w:bidi="ar-KW"/>
        </w:rPr>
        <w:t xml:space="preserve"> </w:t>
      </w:r>
      <w:r w:rsidR="009C32A0" w:rsidRPr="005675B2">
        <w:rPr>
          <w:rFonts w:hint="cs"/>
          <w:bCs/>
          <w:rtl/>
        </w:rPr>
        <w:t>جاء في عقيدة الإمام أحمد</w:t>
      </w:r>
      <w:r w:rsidR="009C32A0" w:rsidRPr="005675B2">
        <w:rPr>
          <w:rFonts w:hint="cs"/>
          <w:bCs/>
        </w:rPr>
        <w:t xml:space="preserve"> </w:t>
      </w:r>
      <w:r w:rsidR="009C32A0" w:rsidRPr="005675B2">
        <w:rPr>
          <w:rFonts w:hint="cs"/>
          <w:bCs/>
          <w:rtl/>
        </w:rPr>
        <w:t>بن حنبل</w:t>
      </w:r>
      <w:r>
        <w:rPr>
          <w:rFonts w:hint="cs"/>
          <w:bCs/>
          <w:rtl/>
        </w:rPr>
        <w:t>:</w:t>
      </w:r>
      <w:r w:rsidR="009C32A0" w:rsidRPr="005675B2">
        <w:rPr>
          <w:rFonts w:hint="cs"/>
          <w:bCs/>
          <w:rtl/>
        </w:rPr>
        <w:t xml:space="preserve"> </w:t>
      </w:r>
      <w:r w:rsidR="009C32A0" w:rsidRPr="005675B2">
        <w:rPr>
          <w:rFonts w:hint="cs"/>
          <w:rtl/>
        </w:rPr>
        <w:t>" بسم الله</w:t>
      </w:r>
      <w:r w:rsidR="009C32A0" w:rsidRPr="005675B2">
        <w:rPr>
          <w:rFonts w:hint="cs"/>
        </w:rPr>
        <w:t xml:space="preserve"> </w:t>
      </w:r>
      <w:r w:rsidR="009C32A0" w:rsidRPr="005675B2">
        <w:rPr>
          <w:rFonts w:hint="cs"/>
          <w:rtl/>
        </w:rPr>
        <w:t>الرحمن الرحيم</w:t>
      </w:r>
      <w:r>
        <w:rPr>
          <w:rFonts w:hint="cs"/>
          <w:rtl/>
        </w:rPr>
        <w:t>،</w:t>
      </w:r>
      <w:r>
        <w:rPr>
          <w:rFonts w:hint="cs"/>
          <w:rtl/>
          <w:lang w:bidi="ar-KW"/>
        </w:rPr>
        <w:t xml:space="preserve"> </w:t>
      </w:r>
      <w:r w:rsidR="009C32A0" w:rsidRPr="005675B2">
        <w:rPr>
          <w:rFonts w:hint="cs"/>
          <w:rtl/>
        </w:rPr>
        <w:t>نص</w:t>
      </w:r>
      <w:r w:rsidR="009C32A0" w:rsidRPr="005675B2">
        <w:rPr>
          <w:rFonts w:hint="cs"/>
        </w:rPr>
        <w:t xml:space="preserve"> </w:t>
      </w:r>
      <w:r w:rsidR="009C32A0" w:rsidRPr="005675B2">
        <w:rPr>
          <w:rFonts w:hint="cs"/>
          <w:rtl/>
        </w:rPr>
        <w:t>اعتقاد الإمام أحمد</w:t>
      </w:r>
      <w:r w:rsidR="009C32A0" w:rsidRPr="005675B2">
        <w:rPr>
          <w:rFonts w:hint="cs"/>
        </w:rPr>
        <w:t xml:space="preserve"> </w:t>
      </w:r>
      <w:r w:rsidR="009C32A0" w:rsidRPr="005675B2">
        <w:rPr>
          <w:rFonts w:hint="cs"/>
          <w:rtl/>
        </w:rPr>
        <w:t>بن حنبل</w:t>
      </w:r>
      <w:r>
        <w:rPr>
          <w:rFonts w:hint="cs"/>
          <w:rtl/>
        </w:rPr>
        <w:t>:</w:t>
      </w:r>
      <w:r>
        <w:rPr>
          <w:rFonts w:hint="cs"/>
          <w:rtl/>
          <w:lang w:bidi="ar-KW"/>
        </w:rPr>
        <w:t xml:space="preserve"> </w:t>
      </w:r>
      <w:r w:rsidR="009C32A0" w:rsidRPr="005675B2">
        <w:rPr>
          <w:rFonts w:hint="cs"/>
          <w:rtl/>
        </w:rPr>
        <w:t>أخبرنا</w:t>
      </w:r>
      <w:r w:rsidR="009C32A0" w:rsidRPr="005675B2">
        <w:rPr>
          <w:rFonts w:hint="cs"/>
        </w:rPr>
        <w:t xml:space="preserve"> </w:t>
      </w:r>
      <w:r w:rsidR="009C32A0" w:rsidRPr="005675B2">
        <w:rPr>
          <w:rFonts w:hint="cs"/>
          <w:rtl/>
        </w:rPr>
        <w:t>الشيخ الإمام الحافظ</w:t>
      </w:r>
      <w:r w:rsidR="009C32A0" w:rsidRPr="005675B2">
        <w:rPr>
          <w:rFonts w:hint="cs"/>
        </w:rPr>
        <w:t xml:space="preserve"> </w:t>
      </w:r>
      <w:r w:rsidR="009C32A0" w:rsidRPr="005675B2">
        <w:rPr>
          <w:rFonts w:hint="cs"/>
          <w:rtl/>
        </w:rPr>
        <w:t>أبو محمد المبارك بن علي بن الحسين بن عبد الله بن محمد المعروف بابن الطباخ</w:t>
      </w:r>
      <w:r w:rsidR="009C32A0" w:rsidRPr="005675B2">
        <w:rPr>
          <w:rFonts w:hint="cs"/>
        </w:rPr>
        <w:t xml:space="preserve"> </w:t>
      </w:r>
      <w:r w:rsidR="009C32A0" w:rsidRPr="005675B2">
        <w:rPr>
          <w:rFonts w:hint="cs"/>
          <w:rtl/>
        </w:rPr>
        <w:t>البغدادي رحمه الله في الدنيا والآخرة إجازة قال حدثنا شيخنا الإمام الحافظ أبو</w:t>
      </w:r>
      <w:r w:rsidR="009C32A0" w:rsidRPr="005675B2">
        <w:rPr>
          <w:rFonts w:hint="cs"/>
        </w:rPr>
        <w:t xml:space="preserve"> </w:t>
      </w:r>
      <w:r w:rsidR="009C32A0" w:rsidRPr="005675B2">
        <w:rPr>
          <w:rFonts w:hint="cs"/>
          <w:rtl/>
        </w:rPr>
        <w:t>الفضل محمد بن الناصر بن محمد بن محمد بن علي البغدادي بها قال أخبرنا الإمام جمال</w:t>
      </w:r>
      <w:r w:rsidR="009C32A0" w:rsidRPr="005675B2">
        <w:rPr>
          <w:rFonts w:hint="cs"/>
        </w:rPr>
        <w:t xml:space="preserve"> </w:t>
      </w:r>
      <w:r w:rsidR="009C32A0" w:rsidRPr="005675B2">
        <w:rPr>
          <w:rFonts w:hint="cs"/>
          <w:rtl/>
        </w:rPr>
        <w:t>الإسلام أبو محمد رزق الله بن عبد الوهاب التميمي قال أخبرنا عمي أبو الفضل عبد</w:t>
      </w:r>
      <w:r w:rsidR="009C32A0" w:rsidRPr="005675B2">
        <w:rPr>
          <w:rFonts w:hint="cs"/>
        </w:rPr>
        <w:t xml:space="preserve"> </w:t>
      </w:r>
      <w:r w:rsidR="009C32A0" w:rsidRPr="005675B2">
        <w:rPr>
          <w:rFonts w:hint="cs"/>
          <w:rtl/>
        </w:rPr>
        <w:t>الواحد بن عبد العزيز التميمي بجميع هذا الاعتقاد وقال جملة اعتقاد أحمد بن حنبل</w:t>
      </w:r>
      <w:r w:rsidR="009C32A0" w:rsidRPr="005675B2">
        <w:rPr>
          <w:rFonts w:hint="cs"/>
        </w:rPr>
        <w:t xml:space="preserve"> </w:t>
      </w:r>
      <w:r w:rsidR="009C32A0" w:rsidRPr="005675B2">
        <w:rPr>
          <w:rFonts w:hint="cs"/>
          <w:rtl/>
        </w:rPr>
        <w:t>رضي الله عنه والذي كان يذهب إليه</w:t>
      </w:r>
      <w:r>
        <w:rPr>
          <w:rFonts w:hint="cs"/>
          <w:rtl/>
        </w:rPr>
        <w:t xml:space="preserve"> </w:t>
      </w:r>
      <w:r w:rsidR="009C32A0" w:rsidRPr="005675B2">
        <w:rPr>
          <w:rFonts w:hint="cs"/>
          <w:rtl/>
        </w:rPr>
        <w:t>مجمل الاعتقاد</w:t>
      </w:r>
      <w:r>
        <w:rPr>
          <w:rFonts w:hint="cs"/>
          <w:rtl/>
        </w:rPr>
        <w:t xml:space="preserve"> </w:t>
      </w:r>
      <w:r w:rsidR="009C32A0" w:rsidRPr="005675B2">
        <w:rPr>
          <w:rFonts w:hint="cs"/>
          <w:rtl/>
        </w:rPr>
        <w:t>...</w:t>
      </w:r>
      <w:r w:rsidR="009C32A0" w:rsidRPr="005675B2">
        <w:rPr>
          <w:rFonts w:hint="cs"/>
          <w:bCs/>
          <w:rtl/>
        </w:rPr>
        <w:t>لا</w:t>
      </w:r>
      <w:r w:rsidR="009C32A0" w:rsidRPr="005675B2">
        <w:rPr>
          <w:rFonts w:hint="cs"/>
          <w:bCs/>
        </w:rPr>
        <w:t xml:space="preserve"> </w:t>
      </w:r>
      <w:r w:rsidR="009C32A0" w:rsidRPr="005675B2">
        <w:rPr>
          <w:rFonts w:hint="cs"/>
          <w:bCs/>
          <w:rtl/>
        </w:rPr>
        <w:t>يجوز أن يسمى جسما</w:t>
      </w:r>
      <w:r>
        <w:rPr>
          <w:rFonts w:hint="cs"/>
          <w:bCs/>
          <w:rtl/>
        </w:rPr>
        <w:t xml:space="preserve">، </w:t>
      </w:r>
      <w:r w:rsidR="009C32A0" w:rsidRPr="005675B2">
        <w:rPr>
          <w:rFonts w:hint="cs"/>
          <w:bCs/>
          <w:rtl/>
        </w:rPr>
        <w:t>وأنكر</w:t>
      </w:r>
      <w:r w:rsidR="009C32A0" w:rsidRPr="005675B2">
        <w:rPr>
          <w:rFonts w:hint="cs"/>
          <w:bCs/>
        </w:rPr>
        <w:t xml:space="preserve"> </w:t>
      </w:r>
      <w:r w:rsidR="009C32A0" w:rsidRPr="005675B2">
        <w:rPr>
          <w:rFonts w:hint="cs"/>
          <w:bCs/>
          <w:rtl/>
        </w:rPr>
        <w:t>على من يقول بالجسم وقال إن</w:t>
      </w:r>
      <w:r w:rsidR="009C32A0" w:rsidRPr="005675B2">
        <w:rPr>
          <w:rFonts w:hint="cs"/>
          <w:bCs/>
        </w:rPr>
        <w:t xml:space="preserve"> </w:t>
      </w:r>
      <w:r w:rsidR="009C32A0" w:rsidRPr="005675B2">
        <w:rPr>
          <w:rFonts w:hint="cs"/>
          <w:bCs/>
          <w:rtl/>
        </w:rPr>
        <w:t>الأسماء مأخوذة بالشريعة واللغة وأهل اللغة وضعوا هذا الأسم على كل ذي طول وعرض وسمك</w:t>
      </w:r>
      <w:r w:rsidR="009C32A0" w:rsidRPr="005675B2">
        <w:rPr>
          <w:rFonts w:hint="cs"/>
          <w:bCs/>
        </w:rPr>
        <w:t xml:space="preserve"> </w:t>
      </w:r>
      <w:r w:rsidR="009C32A0" w:rsidRPr="005675B2">
        <w:rPr>
          <w:rFonts w:hint="cs"/>
          <w:bCs/>
          <w:rtl/>
        </w:rPr>
        <w:t>وتركيب وصورة وتأليف والله تعالى خارج عن ذلك كله فلم يجز أن يسمى جسما لخروجه عن</w:t>
      </w:r>
      <w:r w:rsidR="009C32A0" w:rsidRPr="005675B2">
        <w:rPr>
          <w:rFonts w:hint="cs"/>
          <w:bCs/>
        </w:rPr>
        <w:t xml:space="preserve"> </w:t>
      </w:r>
      <w:r w:rsidR="009C32A0" w:rsidRPr="005675B2">
        <w:rPr>
          <w:rFonts w:hint="cs"/>
          <w:bCs/>
          <w:rtl/>
        </w:rPr>
        <w:t xml:space="preserve">معنى الجسمية ولم يجىء في الشريعة ذلك فبطل </w:t>
      </w:r>
      <w:r w:rsidR="009C32A0" w:rsidRPr="005675B2">
        <w:rPr>
          <w:rFonts w:hint="cs"/>
          <w:rtl/>
        </w:rPr>
        <w:t>" [العقيدة ج: 1 ص: 111]</w:t>
      </w:r>
      <w:r>
        <w:rPr>
          <w:rFonts w:hint="cs"/>
          <w:bCs/>
          <w:rtl/>
        </w:rPr>
        <w:t>،</w:t>
      </w:r>
      <w:r w:rsidR="009C32A0" w:rsidRPr="005675B2">
        <w:rPr>
          <w:rFonts w:hint="cs"/>
          <w:bCs/>
          <w:rtl/>
        </w:rPr>
        <w:t xml:space="preserve"> وقال الإمام البيهقي في كتابه مناقب الإمام أحمد</w:t>
      </w:r>
      <w:r>
        <w:rPr>
          <w:rFonts w:hint="cs"/>
          <w:bCs/>
          <w:rtl/>
        </w:rPr>
        <w:t>:</w:t>
      </w:r>
      <w:r w:rsidR="009C32A0" w:rsidRPr="005675B2">
        <w:rPr>
          <w:rFonts w:hint="cs"/>
          <w:bCs/>
          <w:rtl/>
        </w:rPr>
        <w:t xml:space="preserve"> </w:t>
      </w:r>
      <w:r w:rsidR="009C32A0" w:rsidRPr="005675B2">
        <w:rPr>
          <w:rFonts w:hint="cs"/>
          <w:rtl/>
        </w:rPr>
        <w:t>" عن رئيس الحنابلة وابن رئيسها أبي الفضل أبي الفضل</w:t>
      </w:r>
      <w:r w:rsidR="009C32A0" w:rsidRPr="005675B2">
        <w:rPr>
          <w:rFonts w:hint="cs"/>
        </w:rPr>
        <w:t xml:space="preserve"> </w:t>
      </w:r>
      <w:r w:rsidR="009C32A0" w:rsidRPr="005675B2">
        <w:rPr>
          <w:rFonts w:hint="cs"/>
          <w:rtl/>
        </w:rPr>
        <w:lastRenderedPageBreak/>
        <w:t>التميمي أنه قال</w:t>
      </w:r>
      <w:r>
        <w:rPr>
          <w:rFonts w:hint="cs"/>
          <w:rtl/>
        </w:rPr>
        <w:t>:</w:t>
      </w:r>
      <w:r w:rsidR="009C32A0" w:rsidRPr="005675B2">
        <w:rPr>
          <w:rFonts w:hint="cs"/>
          <w:bCs/>
          <w:rtl/>
        </w:rPr>
        <w:t>أنكر أحمد على من قال بالجسم</w:t>
      </w:r>
      <w:r w:rsidR="009C32A0" w:rsidRPr="005675B2">
        <w:rPr>
          <w:rFonts w:hint="cs"/>
          <w:rtl/>
        </w:rPr>
        <w:t xml:space="preserve"> وقال إن الأسماء مأخوذة من الشريعة</w:t>
      </w:r>
      <w:r w:rsidR="009C32A0" w:rsidRPr="005675B2">
        <w:rPr>
          <w:rFonts w:hint="cs"/>
        </w:rPr>
        <w:t xml:space="preserve"> </w:t>
      </w:r>
      <w:r w:rsidR="009C32A0" w:rsidRPr="005675B2">
        <w:rPr>
          <w:rFonts w:hint="cs"/>
          <w:rtl/>
        </w:rPr>
        <w:t>واللغة ,وأهل اللغة وضعوا هذا الاسم على ذي طول وعرض وسمك وتركيب وصورة وتأليف</w:t>
      </w:r>
      <w:r w:rsidR="009C32A0" w:rsidRPr="005675B2">
        <w:rPr>
          <w:rFonts w:hint="cs"/>
        </w:rPr>
        <w:t xml:space="preserve"> </w:t>
      </w:r>
      <w:r w:rsidR="009C32A0" w:rsidRPr="005675B2">
        <w:rPr>
          <w:rFonts w:hint="cs"/>
          <w:rtl/>
        </w:rPr>
        <w:t>,والله تعالى خارج عن ذلك كله ,فلم يجز أن يسمى جسما لخروجه عن معنى الجسمية</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ولم يجئ في الشريعة ذاك فبطل ." أهـ [مناقب الإمام أحمد للبيهقي ص42]</w:t>
      </w:r>
      <w:r>
        <w:rPr>
          <w:rFonts w:hint="cs"/>
          <w:rtl/>
        </w:rPr>
        <w:t xml:space="preserve">، </w:t>
      </w:r>
      <w:r w:rsidR="009C32A0" w:rsidRPr="005675B2">
        <w:rPr>
          <w:rFonts w:hint="cs"/>
          <w:bCs/>
          <w:rtl/>
        </w:rPr>
        <w:t>وقال عبد الباقي</w:t>
      </w:r>
      <w:r w:rsidR="009C32A0" w:rsidRPr="005675B2">
        <w:rPr>
          <w:rFonts w:hint="cs"/>
          <w:bCs/>
        </w:rPr>
        <w:t xml:space="preserve"> </w:t>
      </w:r>
      <w:r w:rsidR="009C32A0" w:rsidRPr="005675B2">
        <w:rPr>
          <w:rFonts w:hint="cs"/>
          <w:bCs/>
          <w:rtl/>
        </w:rPr>
        <w:t>بن عبد القادر الحنبلي</w:t>
      </w:r>
      <w:r w:rsidR="009C32A0" w:rsidRPr="005675B2">
        <w:rPr>
          <w:rFonts w:hint="cs"/>
          <w:rtl/>
        </w:rPr>
        <w:t xml:space="preserve"> في كتابه العين</w:t>
      </w:r>
      <w:r w:rsidR="009C32A0" w:rsidRPr="005675B2">
        <w:rPr>
          <w:rFonts w:hint="cs"/>
        </w:rPr>
        <w:t xml:space="preserve"> </w:t>
      </w:r>
      <w:r w:rsidR="009C32A0" w:rsidRPr="005675B2">
        <w:rPr>
          <w:rFonts w:hint="cs"/>
          <w:rtl/>
        </w:rPr>
        <w:t>والأثر في عقائد أهل الأثر: " فصل</w:t>
      </w:r>
      <w:r>
        <w:rPr>
          <w:rFonts w:hint="cs"/>
          <w:rtl/>
        </w:rPr>
        <w:t xml:space="preserve">: </w:t>
      </w:r>
      <w:r w:rsidR="009C32A0" w:rsidRPr="005675B2">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Pr>
          <w:rFonts w:hint="cs"/>
          <w:rtl/>
        </w:rPr>
        <w:t>،</w:t>
      </w:r>
      <w:r w:rsidR="009C32A0" w:rsidRPr="005675B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9C32A0" w:rsidRPr="005675B2">
        <w:rPr>
          <w:rFonts w:hint="cs"/>
          <w:rtl/>
        </w:rPr>
        <w:t xml:space="preserve"> وعلى كل حال مهما خطر بالبال أو توهمه الخيال فهو بخلاف ذي الإكرام والجلال " أهـ[العين والأثر في عقائد أهل الأثر ج: 1 ص:34- 36</w:t>
      </w:r>
      <w:r>
        <w:rPr>
          <w:rFonts w:hint="cs"/>
          <w:rtl/>
        </w:rPr>
        <w:t>]،</w:t>
      </w:r>
      <w:r w:rsidR="009C32A0" w:rsidRPr="005675B2">
        <w:rPr>
          <w:rFonts w:hint="cs"/>
          <w:rtl/>
        </w:rPr>
        <w:t xml:space="preserve"> </w:t>
      </w:r>
      <w:r w:rsidR="009C32A0" w:rsidRPr="005675B2">
        <w:rPr>
          <w:rFonts w:hint="cs"/>
          <w:bCs/>
          <w:rtl/>
        </w:rPr>
        <w:t>وقال الإمام النووي رحمه الله تعالى</w:t>
      </w:r>
      <w:r w:rsidR="009C32A0" w:rsidRPr="005675B2">
        <w:rPr>
          <w:rFonts w:hint="cs"/>
          <w:rtl/>
        </w:rPr>
        <w:t xml:space="preserve"> في شرحه لحديث الرؤية</w:t>
      </w:r>
      <w:r>
        <w:rPr>
          <w:rFonts w:hint="cs"/>
          <w:rtl/>
        </w:rPr>
        <w:t>:</w:t>
      </w:r>
      <w:r w:rsidR="009C32A0" w:rsidRPr="005675B2">
        <w:rPr>
          <w:rFonts w:hint="cs"/>
          <w:rtl/>
        </w:rPr>
        <w:t xml:space="preserve"> " اعلم أن لأهل العلم في أحاديث الصفات وآيات الصفات قولين:</w:t>
      </w:r>
      <w:r>
        <w:rPr>
          <w:rFonts w:hint="cs"/>
          <w:rtl/>
        </w:rPr>
        <w:t xml:space="preserve"> </w:t>
      </w:r>
      <w:r w:rsidR="009C32A0" w:rsidRPr="005675B2">
        <w:rPr>
          <w:rFonts w:hint="cs"/>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Pr>
          <w:rFonts w:hint="cs"/>
          <w:rtl/>
        </w:rPr>
        <w:t xml:space="preserve"> </w:t>
      </w:r>
      <w:r w:rsidR="009C32A0" w:rsidRPr="005675B2">
        <w:rPr>
          <w:rFonts w:hint="cs"/>
          <w:rtl/>
        </w:rPr>
        <w:t>ليس كمثله شيء</w:t>
      </w:r>
      <w:r>
        <w:rPr>
          <w:rFonts w:hint="cs"/>
          <w:rtl/>
        </w:rPr>
        <w:t xml:space="preserve"> </w:t>
      </w:r>
      <w:r w:rsidR="009C32A0" w:rsidRPr="005675B2">
        <w:rPr>
          <w:rFonts w:hint="cs"/>
          <w:bCs/>
          <w:rtl/>
        </w:rPr>
        <w:t>وأنه منزه عن التجسيم والانتقال والتحيز في جهة وعن سائرصفات المخلوق</w:t>
      </w:r>
      <w:r w:rsidR="009C32A0" w:rsidRPr="005675B2">
        <w:rPr>
          <w:rFonts w:hint="cs"/>
          <w:rtl/>
        </w:rPr>
        <w:t xml:space="preserve"> " أهـ [شرح صحيح</w:t>
      </w:r>
      <w:r w:rsidR="009C32A0" w:rsidRPr="005675B2">
        <w:rPr>
          <w:rFonts w:hint="cs"/>
        </w:rPr>
        <w:t xml:space="preserve"> </w:t>
      </w:r>
      <w:r w:rsidR="009C32A0" w:rsidRPr="005675B2">
        <w:rPr>
          <w:rFonts w:hint="cs"/>
          <w:rtl/>
        </w:rPr>
        <w:t>مسلم للنووى ج 3ص 19-20</w:t>
      </w:r>
      <w:r>
        <w:rPr>
          <w:rFonts w:hint="cs"/>
          <w:rtl/>
        </w:rPr>
        <w:t>]،</w:t>
      </w:r>
      <w:r w:rsidR="009C32A0" w:rsidRPr="005675B2">
        <w:rPr>
          <w:rFonts w:hint="cs"/>
          <w:rtl/>
        </w:rPr>
        <w:t xml:space="preserve"> </w:t>
      </w:r>
      <w:r w:rsidR="009C32A0" w:rsidRPr="005675B2">
        <w:rPr>
          <w:rFonts w:hint="cs"/>
          <w:bCs/>
          <w:rtl/>
        </w:rPr>
        <w:t>قال الحافظ بن عبد البر رحمه الله</w:t>
      </w:r>
      <w:r>
        <w:rPr>
          <w:rFonts w:hint="cs"/>
          <w:bCs/>
          <w:rtl/>
        </w:rPr>
        <w:t>:</w:t>
      </w:r>
      <w:r w:rsidR="009C32A0" w:rsidRPr="005675B2">
        <w:rPr>
          <w:rFonts w:hint="cs"/>
          <w:bCs/>
          <w:rtl/>
        </w:rPr>
        <w:t xml:space="preserve"> " </w:t>
      </w:r>
      <w:r w:rsidR="009C32A0" w:rsidRPr="005675B2">
        <w:rPr>
          <w:rFonts w:hint="cs"/>
          <w:rtl/>
          <w:lang w:bidi="ar-KW"/>
        </w:rPr>
        <w:t xml:space="preserve">قد قال الله عز وجل وجاء ربك والملك صفا صفا </w:t>
      </w:r>
      <w:r w:rsidR="009C32A0" w:rsidRPr="005675B2">
        <w:rPr>
          <w:rFonts w:hint="cs"/>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sidR="009C32A0" w:rsidRPr="005675B2">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009C32A0" w:rsidRPr="005675B2">
        <w:rPr>
          <w:rFonts w:hint="cs"/>
          <w:rtl/>
        </w:rPr>
        <w:t>" أهـ[</w:t>
      </w:r>
      <w:r w:rsidR="009C32A0" w:rsidRPr="005675B2">
        <w:rPr>
          <w:rFonts w:hint="cs"/>
          <w:rtl/>
          <w:lang w:bidi="ar-KW"/>
        </w:rPr>
        <w:t>التمهيد لابن عبد البر ج: 7 ص: 137]</w:t>
      </w:r>
      <w:r>
        <w:rPr>
          <w:rFonts w:hint="cs"/>
          <w:rtl/>
        </w:rPr>
        <w:t>،</w:t>
      </w:r>
      <w:r w:rsidR="009C32A0" w:rsidRPr="005675B2">
        <w:rPr>
          <w:rFonts w:hint="cs"/>
          <w:rtl/>
        </w:rPr>
        <w:t xml:space="preserve"> </w:t>
      </w:r>
      <w:r w:rsidR="009C32A0" w:rsidRPr="005675B2">
        <w:rPr>
          <w:rFonts w:hint="cs"/>
          <w:bCs/>
          <w:rtl/>
        </w:rPr>
        <w:t>وقال بن الجوزي الحنبلي في زاد المسير</w:t>
      </w:r>
      <w:r>
        <w:rPr>
          <w:rFonts w:hint="cs"/>
          <w:bCs/>
          <w:rtl/>
        </w:rPr>
        <w:t>:</w:t>
      </w:r>
      <w:r w:rsidR="009C32A0" w:rsidRPr="005675B2">
        <w:rPr>
          <w:rFonts w:hint="cs"/>
          <w:bCs/>
          <w:rtl/>
        </w:rPr>
        <w:t xml:space="preserve"> </w:t>
      </w:r>
      <w:r w:rsidR="009C32A0" w:rsidRPr="005675B2">
        <w:rPr>
          <w:rFonts w:hint="cs"/>
          <w:rtl/>
        </w:rPr>
        <w:t xml:space="preserve">" </w:t>
      </w:r>
      <w:r w:rsidR="009C32A0" w:rsidRPr="005675B2">
        <w:rPr>
          <w:rFonts w:hint="cs"/>
          <w:bCs/>
          <w:rtl/>
        </w:rPr>
        <w:t>ليس كما يخطر بالبال من قرب الأجسام وقطع المسافة لأن ذلك يختص بالأجسام والله منزه عن ذلك</w:t>
      </w:r>
      <w:r>
        <w:rPr>
          <w:rFonts w:hint="cs"/>
          <w:bCs/>
          <w:rtl/>
        </w:rPr>
        <w:t xml:space="preserve"> </w:t>
      </w:r>
      <w:r w:rsidR="009C32A0" w:rsidRPr="005675B2">
        <w:rPr>
          <w:rFonts w:hint="cs"/>
          <w:rtl/>
        </w:rPr>
        <w:t>"أهـ [زاد المسير ج: 8 ص: 65</w:t>
      </w:r>
      <w:r>
        <w:rPr>
          <w:rFonts w:hint="cs"/>
          <w:rtl/>
        </w:rPr>
        <w:t>]،</w:t>
      </w:r>
      <w:r w:rsidR="009C32A0" w:rsidRPr="005675B2">
        <w:rPr>
          <w:rFonts w:hint="cs"/>
          <w:rtl/>
        </w:rPr>
        <w:t xml:space="preserve"> </w:t>
      </w:r>
      <w:r w:rsidR="009C32A0" w:rsidRPr="005675B2">
        <w:rPr>
          <w:rFonts w:hint="cs"/>
          <w:bCs/>
          <w:rtl/>
        </w:rPr>
        <w:t>وقال القرطبي رحمه الله</w:t>
      </w:r>
      <w:r>
        <w:rPr>
          <w:rFonts w:hint="cs"/>
          <w:bCs/>
          <w:rtl/>
        </w:rPr>
        <w:t>:</w:t>
      </w:r>
      <w:r w:rsidR="009C32A0" w:rsidRPr="005675B2">
        <w:rPr>
          <w:rFonts w:hint="cs"/>
          <w:rtl/>
        </w:rPr>
        <w:t xml:space="preserve"> " اعتقاد ظواهر المتشابه كما فعلته</w:t>
      </w:r>
      <w:r>
        <w:rPr>
          <w:rFonts w:hint="cs"/>
          <w:rtl/>
        </w:rPr>
        <w:t xml:space="preserve"> </w:t>
      </w:r>
      <w:r w:rsidR="009C32A0" w:rsidRPr="005675B2">
        <w:rPr>
          <w:rFonts w:hint="cs"/>
          <w:rtl/>
        </w:rPr>
        <w:t>المجسمة</w:t>
      </w:r>
      <w:r>
        <w:rPr>
          <w:rFonts w:hint="cs"/>
          <w:rtl/>
        </w:rPr>
        <w:t xml:space="preserve"> </w:t>
      </w:r>
      <w:r w:rsidR="009C32A0" w:rsidRPr="005675B2">
        <w:rPr>
          <w:rFonts w:hint="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Pr>
          <w:rFonts w:hint="cs"/>
          <w:rtl/>
        </w:rPr>
        <w:t>]،</w:t>
      </w:r>
      <w:r w:rsidR="009C32A0" w:rsidRPr="005675B2">
        <w:rPr>
          <w:rFonts w:hint="cs"/>
          <w:rtl/>
        </w:rPr>
        <w:t xml:space="preserve"> </w:t>
      </w:r>
      <w:r w:rsidR="009C32A0" w:rsidRPr="005675B2">
        <w:rPr>
          <w:rFonts w:hint="cs"/>
          <w:bCs/>
          <w:rtl/>
        </w:rPr>
        <w:t xml:space="preserve">وقال القاضي بن جماعة في إيضاح الدليل " </w:t>
      </w:r>
      <w:r w:rsidR="009C32A0" w:rsidRPr="005675B2">
        <w:rPr>
          <w:rFonts w:hint="cs"/>
          <w:rtl/>
        </w:rPr>
        <w:t xml:space="preserve">" واتفق السلف وأهل التأويل على أن ما لا يليق من ذلك بجلال الرب تعالى غير مراد كالقعود والاعتدال </w:t>
      </w:r>
      <w:r w:rsidR="009C32A0" w:rsidRPr="005675B2">
        <w:rPr>
          <w:rFonts w:hint="cs"/>
          <w:rtl/>
        </w:rPr>
        <w:lastRenderedPageBreak/>
        <w:t>واختلفوا في تعيين ما يليق بجلاله من المعاني المحتملة كالقصد والاستيلاء فسكت السلف عنه وأوله المؤولون على الاستيلاء والقهر</w:t>
      </w:r>
      <w:r w:rsidR="009C32A0" w:rsidRPr="005675B2">
        <w:rPr>
          <w:rFonts w:hint="cs"/>
          <w:bCs/>
          <w:rtl/>
        </w:rPr>
        <w:t xml:space="preserve"> لتعالي الرب عن سمات الأجسام</w:t>
      </w:r>
      <w:r w:rsidR="009C32A0" w:rsidRPr="005675B2">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r>
        <w:rPr>
          <w:rFonts w:hint="cs"/>
          <w:rtl/>
        </w:rPr>
        <w:t>،</w:t>
      </w:r>
      <w:r w:rsidR="009C32A0" w:rsidRPr="005675B2">
        <w:rPr>
          <w:rFonts w:hint="cs"/>
          <w:rtl/>
        </w:rPr>
        <w:t xml:space="preserve"> </w:t>
      </w:r>
      <w:r w:rsidR="009C32A0" w:rsidRPr="005675B2">
        <w:rPr>
          <w:rFonts w:hint="cs"/>
          <w:bCs/>
          <w:rtl/>
        </w:rPr>
        <w:t>وقال حافظ الدنيا ابن حجر رحمه الله</w:t>
      </w:r>
      <w:r>
        <w:rPr>
          <w:rFonts w:hint="cs"/>
          <w:bCs/>
          <w:rtl/>
        </w:rPr>
        <w:t xml:space="preserve">: </w:t>
      </w:r>
      <w:r w:rsidR="009C32A0" w:rsidRPr="005675B2">
        <w:rPr>
          <w:rFonts w:hint="cs"/>
          <w:bCs/>
          <w:rtl/>
        </w:rPr>
        <w:t xml:space="preserve">" </w:t>
      </w:r>
      <w:r w:rsidR="009C32A0" w:rsidRPr="005675B2">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009C32A0" w:rsidRPr="005675B2">
        <w:rPr>
          <w:rFonts w:hint="cs"/>
          <w:bCs/>
          <w:rtl/>
        </w:rPr>
        <w:t xml:space="preserve">عن السلف في التفويض وعن الأئمة بعدهم في التأويل </w:t>
      </w:r>
      <w:r w:rsidR="009C32A0" w:rsidRPr="005675B2">
        <w:rPr>
          <w:rFonts w:hint="cs"/>
          <w:rtl/>
        </w:rPr>
        <w:t xml:space="preserve">وقال بن بطال غرض البخاري في هذا الباب </w:t>
      </w:r>
      <w:r w:rsidR="009C32A0" w:rsidRPr="005675B2">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009C32A0" w:rsidRPr="005675B2">
        <w:rPr>
          <w:rFonts w:hint="cs"/>
          <w:rtl/>
        </w:rPr>
        <w:t xml:space="preserve"> ومعنى الارتفاع اليه اعتلاؤه مع تنزيهه عن المكان انتهى </w:t>
      </w:r>
      <w:r w:rsidR="009C32A0" w:rsidRPr="005675B2">
        <w:t>"</w:t>
      </w:r>
      <w:r>
        <w:rPr>
          <w:rtl/>
        </w:rPr>
        <w:t xml:space="preserve"> </w:t>
      </w:r>
      <w:r w:rsidR="009C32A0" w:rsidRPr="005675B2">
        <w:rPr>
          <w:rFonts w:hint="cs"/>
          <w:rtl/>
        </w:rPr>
        <w:t>أهـ [فتح الباري ج: 13 ص: 416]</w:t>
      </w:r>
      <w:r>
        <w:rPr>
          <w:rFonts w:hint="cs"/>
          <w:rtl/>
        </w:rPr>
        <w:t>،</w:t>
      </w:r>
      <w:r w:rsidR="009C32A0" w:rsidRPr="005675B2">
        <w:rPr>
          <w:rFonts w:hint="cs"/>
          <w:rtl/>
        </w:rPr>
        <w:t xml:space="preserve"> </w:t>
      </w:r>
      <w:r w:rsidR="009C32A0" w:rsidRPr="005675B2">
        <w:rPr>
          <w:rFonts w:hint="cs"/>
          <w:bCs/>
          <w:rtl/>
        </w:rPr>
        <w:t>وقال الزرقاني في مناهل العرفان</w:t>
      </w:r>
      <w:r>
        <w:rPr>
          <w:rFonts w:hint="cs"/>
          <w:bCs/>
          <w:rtl/>
        </w:rPr>
        <w:t>:</w:t>
      </w:r>
      <w:r w:rsidR="009C32A0" w:rsidRPr="005675B2">
        <w:rPr>
          <w:rFonts w:hint="cs"/>
          <w:rtl/>
        </w:rPr>
        <w:t xml:space="preserve"> " فالعمدة عندنا في أمور العقائد هي الأدلة القطعية التي توافرت على أنه </w:t>
      </w:r>
      <w:r w:rsidR="009C32A0" w:rsidRPr="005675B2">
        <w:rPr>
          <w:rFonts w:hint="cs"/>
          <w:bCs/>
          <w:rtl/>
        </w:rPr>
        <w:t>تعالى ليس جسما ولا متحيزا ولا متجزئا ولا متركبا ولا محتاجا لأحد ولا إلى مكان ولا إلى زمان ولا نحو ذلك</w:t>
      </w:r>
      <w:r w:rsidR="009C32A0" w:rsidRPr="005675B2">
        <w:rPr>
          <w:rFonts w:hint="cs"/>
          <w:rtl/>
        </w:rPr>
        <w:t xml:space="preserve"> أهــ </w:t>
      </w:r>
      <w:r>
        <w:rPr>
          <w:rFonts w:hint="cs"/>
          <w:rtl/>
        </w:rPr>
        <w:t>[</w:t>
      </w:r>
      <w:r w:rsidR="009C32A0" w:rsidRPr="005675B2">
        <w:rPr>
          <w:rFonts w:hint="cs"/>
          <w:rtl/>
        </w:rPr>
        <w:t>مناهل العرفان ج: 2 ص: 210]</w:t>
      </w:r>
    </w:p>
    <w:p w14:paraId="03BE403F" w14:textId="0F12E03E" w:rsidR="009C32A0" w:rsidRPr="005675B2" w:rsidRDefault="009C32A0" w:rsidP="000636C2">
      <w:pPr>
        <w:jc w:val="center"/>
        <w:rPr>
          <w:b/>
          <w:bCs/>
          <w:rtl/>
          <w:lang w:bidi="ar-KW"/>
        </w:rPr>
      </w:pPr>
      <w:r>
        <w:rPr>
          <w:rFonts w:hint="cs"/>
          <w:rtl/>
          <w:lang w:bidi="ar-KW"/>
        </w:rPr>
        <w:t>***</w:t>
      </w:r>
      <w:r w:rsidR="000636C2">
        <w:rPr>
          <w:rFonts w:hint="cs"/>
          <w:bCs/>
          <w:rtl/>
          <w:lang w:bidi="ar-KW"/>
        </w:rPr>
        <w:t xml:space="preserve"> </w:t>
      </w:r>
    </w:p>
    <w:p w14:paraId="34B36710" w14:textId="77777777" w:rsidR="009C32A0" w:rsidRPr="005675B2" w:rsidRDefault="009C32A0" w:rsidP="000636C2">
      <w:pPr>
        <w:jc w:val="center"/>
        <w:rPr>
          <w:bCs/>
          <w:rtl/>
          <w:lang w:bidi="ar-KW"/>
        </w:rPr>
      </w:pPr>
    </w:p>
    <w:p w14:paraId="0F7920B8" w14:textId="45989DF5" w:rsidR="009C32A0" w:rsidRPr="00306AAB" w:rsidRDefault="009C32A0" w:rsidP="00306AAB">
      <w:pPr>
        <w:pStyle w:val="2"/>
        <w:bidi/>
        <w:jc w:val="center"/>
        <w:rPr>
          <w:u w:val="none"/>
          <w:rtl/>
          <w:lang w:bidi="ar-KW"/>
        </w:rPr>
      </w:pPr>
      <w:r w:rsidRPr="00306AAB">
        <w:rPr>
          <w:rFonts w:hint="cs"/>
          <w:u w:val="none"/>
          <w:rtl/>
          <w:lang w:bidi="ar-KW"/>
        </w:rPr>
        <w:t>القاعدة السادسة من قواعد التوحيد والتقديس والتنزيه</w:t>
      </w:r>
      <w:r w:rsidR="00306AAB" w:rsidRPr="00306AAB">
        <w:rPr>
          <w:rFonts w:hint="cs"/>
          <w:u w:val="none"/>
          <w:rtl/>
          <w:lang w:bidi="ar-KW"/>
        </w:rPr>
        <w:t xml:space="preserve"> </w:t>
      </w:r>
      <w:r w:rsidRPr="00306AAB">
        <w:rPr>
          <w:rFonts w:hint="cs"/>
          <w:u w:val="none"/>
          <w:rtl/>
          <w:lang w:bidi="ar-KW"/>
        </w:rPr>
        <w:t>تنزيه ذات الله تعالى عن الصورة والشكل الذي تتصف به ذات المخلوق</w:t>
      </w:r>
    </w:p>
    <w:p w14:paraId="67BB93BB" w14:textId="77777777" w:rsidR="009C32A0" w:rsidRPr="005675B2" w:rsidRDefault="009C32A0" w:rsidP="000636C2">
      <w:pPr>
        <w:rPr>
          <w:b/>
          <w:rtl/>
          <w:lang w:bidi="ar-KW"/>
        </w:rPr>
      </w:pPr>
    </w:p>
    <w:p w14:paraId="221F6AE4" w14:textId="7F299ED2" w:rsidR="009C32A0" w:rsidRPr="005675B2" w:rsidRDefault="000636C2" w:rsidP="000636C2">
      <w:pPr>
        <w:rPr>
          <w:b/>
          <w:lang w:bidi="ar-KW"/>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w:t>
      </w:r>
      <w:r w:rsidR="009C32A0" w:rsidRPr="005675B2">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9C32A0" w:rsidRPr="005675B2">
        <w:rPr>
          <w:rFonts w:hint="cs"/>
          <w:rtl/>
        </w:rPr>
        <w:t>وتعالى عن ذلك علوا كبيرا</w:t>
      </w:r>
      <w:r>
        <w:rPr>
          <w:rFonts w:hint="cs"/>
          <w:rtl/>
        </w:rPr>
        <w:t>،</w:t>
      </w:r>
      <w:r w:rsidR="009C32A0" w:rsidRPr="005675B2">
        <w:rPr>
          <w:rFonts w:hint="cs"/>
          <w:rtl/>
        </w:rPr>
        <w:t xml:space="preserve"> لأن الهيئة والصورة والتركيب والتأليف كل ذلك إنما يصح </w:t>
      </w:r>
      <w:r w:rsidR="009C32A0" w:rsidRPr="005675B2">
        <w:rPr>
          <w:rFonts w:hint="cs"/>
          <w:rtl/>
        </w:rPr>
        <w:lastRenderedPageBreak/>
        <w:t>على الأجسام المحدودة والجواهر المخلوقة</w:t>
      </w:r>
      <w:r>
        <w:rPr>
          <w:rFonts w:hint="cs"/>
          <w:rtl/>
        </w:rPr>
        <w:t>،</w:t>
      </w:r>
      <w:r w:rsidR="009C32A0" w:rsidRPr="005675B2">
        <w:rPr>
          <w:rFonts w:hint="cs"/>
          <w:rtl/>
        </w:rPr>
        <w:t xml:space="preserve"> </w:t>
      </w:r>
      <w:r>
        <w:rPr>
          <w:rFonts w:hint="cs"/>
          <w:rtl/>
        </w:rPr>
        <w:t>(</w:t>
      </w:r>
      <w:r w:rsidR="009C32A0" w:rsidRPr="005675B2">
        <w:rPr>
          <w:rFonts w:hint="cs"/>
          <w:rtl/>
        </w:rPr>
        <w:t>ب</w:t>
      </w:r>
      <w:r>
        <w:rPr>
          <w:rFonts w:hint="cs"/>
          <w:rtl/>
        </w:rPr>
        <w:t>)</w:t>
      </w:r>
      <w:r w:rsidR="009C32A0" w:rsidRPr="005675B2">
        <w:rPr>
          <w:rFonts w:hint="cs"/>
          <w:rtl/>
        </w:rPr>
        <w:t xml:space="preserve"> الصور لا تنتج إلا عن تأليف وتركيب والتركيب يستحيل على الله تعالى , وصاحب الصورة لا يختص بصورة إلا بمخصص</w:t>
      </w:r>
      <w:r>
        <w:rPr>
          <w:rFonts w:hint="cs"/>
          <w:rtl/>
        </w:rPr>
        <w:t>،</w:t>
      </w:r>
      <w:r w:rsidR="009C32A0" w:rsidRPr="005675B2">
        <w:rPr>
          <w:rFonts w:hint="cs"/>
          <w:rtl/>
        </w:rPr>
        <w:t xml:space="preserve"> والمخصص هو الله تعالى المصور</w:t>
      </w:r>
      <w:r>
        <w:rPr>
          <w:rFonts w:hint="cs"/>
          <w:rtl/>
        </w:rPr>
        <w:t>،</w:t>
      </w:r>
      <w:r w:rsidR="009C32A0" w:rsidRPr="005675B2">
        <w:rPr>
          <w:rFonts w:hint="cs"/>
          <w:rtl/>
        </w:rPr>
        <w:t xml:space="preserve"> وهو تعالى يصور مخلوقاته كيف شاء</w:t>
      </w:r>
      <w:r>
        <w:rPr>
          <w:rFonts w:hint="cs"/>
          <w:rtl/>
        </w:rPr>
        <w:t>،</w:t>
      </w:r>
      <w:r w:rsidR="009C32A0" w:rsidRPr="005675B2">
        <w:rPr>
          <w:rFonts w:hint="cs"/>
          <w:rtl/>
        </w:rPr>
        <w:t xml:space="preserve"> وكل ما له صورة فهي علامة على كونه مخلوق مصور صوره خالقه , والله تعالى هو </w:t>
      </w:r>
      <w:r>
        <w:rPr>
          <w:rFonts w:hint="cs"/>
          <w:rtl/>
        </w:rPr>
        <w:t>(</w:t>
      </w:r>
      <w:r w:rsidR="009C32A0" w:rsidRPr="005675B2">
        <w:rPr>
          <w:rFonts w:hint="cs"/>
          <w:rtl/>
        </w:rPr>
        <w:t>المصور</w:t>
      </w:r>
      <w:r>
        <w:rPr>
          <w:rFonts w:hint="cs"/>
          <w:rtl/>
        </w:rPr>
        <w:t>)</w:t>
      </w:r>
      <w:r w:rsidR="009C32A0" w:rsidRPr="005675B2">
        <w:rPr>
          <w:rFonts w:hint="cs"/>
          <w:rtl/>
        </w:rPr>
        <w:t xml:space="preserve"> خالق الصور </w:t>
      </w:r>
      <w:r>
        <w:rPr>
          <w:rFonts w:hint="cs"/>
          <w:rtl/>
        </w:rPr>
        <w:t>(</w:t>
      </w:r>
      <w:r w:rsidR="009C32A0" w:rsidRPr="005675B2">
        <w:rPr>
          <w:rFonts w:hint="cs"/>
          <w:rtl/>
        </w:rPr>
        <w:t>ليس كمثله شيء</w:t>
      </w:r>
      <w:r>
        <w:rPr>
          <w:rFonts w:hint="cs"/>
          <w:rtl/>
        </w:rPr>
        <w:t xml:space="preserve">)، </w:t>
      </w:r>
      <w:r>
        <w:rPr>
          <w:rFonts w:hint="cs"/>
          <w:bCs/>
          <w:rtl/>
          <w:lang w:bidi="ar-KW"/>
        </w:rPr>
        <w:t>(</w:t>
      </w:r>
      <w:r w:rsidR="009C32A0" w:rsidRPr="005675B2">
        <w:rPr>
          <w:rFonts w:hint="cs"/>
          <w:bCs/>
          <w:rtl/>
          <w:lang w:bidi="ar-KW"/>
        </w:rPr>
        <w:t>ت</w:t>
      </w:r>
      <w:r>
        <w:rPr>
          <w:rFonts w:hint="cs"/>
          <w:bCs/>
          <w:rtl/>
          <w:lang w:bidi="ar-KW"/>
        </w:rPr>
        <w:t>)</w:t>
      </w:r>
      <w:r w:rsidR="009C32A0" w:rsidRPr="005675B2">
        <w:rPr>
          <w:rFonts w:hint="cs"/>
          <w:bCs/>
          <w:rtl/>
          <w:lang w:bidi="ar-KW"/>
        </w:rPr>
        <w:t xml:space="preserve"> ذات الله تعالى لا تسري عليها قوانين والمادة والأجسام</w:t>
      </w:r>
      <w:r>
        <w:rPr>
          <w:rFonts w:hint="cs"/>
          <w:rtl/>
          <w:lang w:bidi="ar-KW"/>
        </w:rPr>
        <w:t>،</w:t>
      </w:r>
      <w:r w:rsidR="009C32A0" w:rsidRPr="005675B2">
        <w:rPr>
          <w:rFonts w:hint="cs"/>
          <w:rtl/>
          <w:lang w:bidi="ar-KW"/>
        </w:rPr>
        <w:t xml:space="preserve"> لأنّ الذي خلق المادة والجسم هو الله تعالى وهو الذي قهرها بالصور والأشكال</w:t>
      </w:r>
      <w:r>
        <w:rPr>
          <w:rFonts w:hint="cs"/>
          <w:rtl/>
          <w:lang w:bidi="ar-KW"/>
        </w:rPr>
        <w:t>،</w:t>
      </w:r>
      <w:r w:rsidR="009C32A0" w:rsidRPr="005675B2">
        <w:rPr>
          <w:rFonts w:hint="cs"/>
          <w:rtl/>
          <w:lang w:bidi="ar-KW"/>
        </w:rPr>
        <w:t xml:space="preserve"> والله تعالى ليس كمثل خلقه وليس كمثله شيء</w:t>
      </w:r>
      <w:r>
        <w:rPr>
          <w:rFonts w:hint="cs"/>
          <w:rtl/>
          <w:lang w:bidi="ar-KW"/>
        </w:rPr>
        <w:t>،</w:t>
      </w:r>
      <w:r w:rsidR="009C32A0" w:rsidRPr="005675B2">
        <w:rPr>
          <w:rFonts w:hint="cs"/>
          <w:rtl/>
          <w:lang w:bidi="ar-KW"/>
        </w:rPr>
        <w:t xml:space="preserve"> ولا تسري عليه مفاهيم المواد والأجسام</w:t>
      </w:r>
      <w:r>
        <w:rPr>
          <w:rFonts w:hint="cs"/>
          <w:rtl/>
          <w:lang w:bidi="ar-KW"/>
        </w:rPr>
        <w:t>،</w:t>
      </w:r>
      <w:r w:rsidR="009C32A0" w:rsidRPr="005675B2">
        <w:rPr>
          <w:rFonts w:hint="cs"/>
          <w:rtl/>
          <w:lang w:bidi="ar-KW"/>
        </w:rPr>
        <w:t xml:space="preserve"> ولا الصور والأشكال</w:t>
      </w:r>
      <w:r>
        <w:rPr>
          <w:rFonts w:hint="cs"/>
          <w:rtl/>
          <w:lang w:bidi="ar-KW"/>
        </w:rPr>
        <w:t>،</w:t>
      </w:r>
      <w:r w:rsidR="009C32A0" w:rsidRPr="005675B2">
        <w:rPr>
          <w:rFonts w:hint="cs"/>
          <w:rtl/>
          <w:lang w:bidi="ar-KW"/>
        </w:rPr>
        <w:t xml:space="preserve"> لأنّه ليس كمثله شيء</w:t>
      </w:r>
      <w:r>
        <w:rPr>
          <w:rFonts w:hint="cs"/>
          <w:rtl/>
          <w:lang w:bidi="ar-KW"/>
        </w:rPr>
        <w:t>،</w:t>
      </w:r>
      <w:r w:rsidR="009C32A0" w:rsidRPr="005675B2">
        <w:rPr>
          <w:rFonts w:hint="cs"/>
          <w:rtl/>
          <w:lang w:bidi="ar-KW"/>
        </w:rPr>
        <w:t xml:space="preserve"> وكل ما خطر بالبال فالله خلافه</w:t>
      </w:r>
      <w:r>
        <w:rPr>
          <w:rFonts w:hint="cs"/>
          <w:rtl/>
          <w:lang w:bidi="ar-KW"/>
        </w:rPr>
        <w:t>،</w:t>
      </w:r>
      <w:r>
        <w:rPr>
          <w:rFonts w:hint="cs"/>
          <w:rtl/>
        </w:rPr>
        <w:t xml:space="preserve"> (</w:t>
      </w:r>
      <w:r w:rsidR="009C32A0" w:rsidRPr="005675B2">
        <w:rPr>
          <w:rFonts w:hint="cs"/>
          <w:rtl/>
        </w:rPr>
        <w:t>ث</w:t>
      </w:r>
      <w:r>
        <w:rPr>
          <w:rFonts w:hint="cs"/>
          <w:rtl/>
        </w:rPr>
        <w:t>)</w:t>
      </w:r>
      <w:r w:rsidR="009C32A0" w:rsidRPr="005675B2">
        <w:rPr>
          <w:rFonts w:hint="cs"/>
          <w:rtl/>
        </w:rPr>
        <w:t xml:space="preserve"> الصورة تقتضي الكيفية</w:t>
      </w:r>
      <w:r>
        <w:rPr>
          <w:rFonts w:hint="cs"/>
          <w:rtl/>
        </w:rPr>
        <w:t>،</w:t>
      </w:r>
      <w:r w:rsidR="009C32A0" w:rsidRPr="005675B2">
        <w:rPr>
          <w:rFonts w:hint="cs"/>
          <w:rtl/>
        </w:rPr>
        <w:t xml:space="preserve"> وهي عن الله تعالى وعن صفاته منفية</w:t>
      </w:r>
      <w:r>
        <w:rPr>
          <w:rFonts w:hint="cs"/>
          <w:rtl/>
        </w:rPr>
        <w:t>،</w:t>
      </w:r>
      <w:r w:rsidR="009C32A0" w:rsidRPr="005675B2">
        <w:rPr>
          <w:rFonts w:hint="cs"/>
          <w:rtl/>
        </w:rPr>
        <w:t xml:space="preserve"> لذلك فإن الذي يجب علينا وعلى كل مسلم أن يعلمه أن ربنا ليس بذي صورة ولا هيئة</w:t>
      </w:r>
      <w:r>
        <w:rPr>
          <w:rFonts w:hint="cs"/>
          <w:rtl/>
        </w:rPr>
        <w:t>، (</w:t>
      </w:r>
      <w:r w:rsidR="009C32A0" w:rsidRPr="005675B2">
        <w:rPr>
          <w:rFonts w:hint="cs"/>
          <w:rtl/>
        </w:rPr>
        <w:t>ج</w:t>
      </w:r>
      <w:r>
        <w:rPr>
          <w:rFonts w:hint="cs"/>
          <w:rtl/>
        </w:rPr>
        <w:t>)</w:t>
      </w:r>
      <w:r w:rsidR="009C32A0" w:rsidRPr="005675B2">
        <w:rPr>
          <w:rFonts w:hint="cs"/>
          <w:rtl/>
        </w:rPr>
        <w:t xml:space="preserve"> </w:t>
      </w:r>
      <w:r w:rsidR="009C32A0" w:rsidRPr="005675B2">
        <w:rPr>
          <w:rFonts w:hint="cs"/>
          <w:rtl/>
          <w:lang w:bidi="ar-KW"/>
        </w:rPr>
        <w:t>من أقوال العلماء على تنزيه الله تعالى عن الصورة أكثر من أن تحصر منها على سبيل المثال</w:t>
      </w:r>
      <w:r>
        <w:rPr>
          <w:rFonts w:hint="cs"/>
          <w:rtl/>
          <w:lang w:bidi="ar-KW"/>
        </w:rPr>
        <w:t>:</w:t>
      </w:r>
      <w:r w:rsidR="009C32A0" w:rsidRPr="005675B2">
        <w:rPr>
          <w:rFonts w:hint="cs"/>
          <w:rtl/>
          <w:lang w:bidi="ar-KW"/>
        </w:rPr>
        <w:t xml:space="preserve"> </w:t>
      </w:r>
      <w:r w:rsidR="009C32A0" w:rsidRPr="005675B2">
        <w:rPr>
          <w:rFonts w:hint="cs"/>
          <w:bCs/>
          <w:rtl/>
        </w:rPr>
        <w:t>جاء في كتاب عقيدة الإمام أحمد رحمه الله</w:t>
      </w:r>
      <w:r>
        <w:rPr>
          <w:rFonts w:hint="cs"/>
          <w:bCs/>
          <w:rtl/>
        </w:rPr>
        <w:t>:</w:t>
      </w:r>
      <w:r w:rsidR="009C32A0" w:rsidRPr="005675B2">
        <w:rPr>
          <w:rFonts w:hint="cs"/>
          <w:rtl/>
        </w:rPr>
        <w:t>" نص</w:t>
      </w:r>
      <w:r w:rsidR="009C32A0" w:rsidRPr="005675B2">
        <w:rPr>
          <w:rFonts w:hint="cs"/>
        </w:rPr>
        <w:t xml:space="preserve"> </w:t>
      </w:r>
      <w:r w:rsidR="009C32A0" w:rsidRPr="005675B2">
        <w:rPr>
          <w:rFonts w:hint="cs"/>
          <w:rtl/>
        </w:rPr>
        <w:t>اعتقاد الإمام أحمد</w:t>
      </w:r>
      <w:r w:rsidR="009C32A0" w:rsidRPr="005675B2">
        <w:rPr>
          <w:rFonts w:hint="cs"/>
        </w:rPr>
        <w:t xml:space="preserve"> </w:t>
      </w:r>
      <w:r w:rsidR="009C32A0" w:rsidRPr="005675B2">
        <w:rPr>
          <w:rFonts w:hint="cs"/>
          <w:rtl/>
        </w:rPr>
        <w:t>بن حنبل ..</w:t>
      </w:r>
      <w:r w:rsidR="009C32A0" w:rsidRPr="005675B2">
        <w:rPr>
          <w:rFonts w:hint="cs"/>
        </w:rPr>
        <w:t xml:space="preserve"> </w:t>
      </w:r>
      <w:r w:rsidR="009C32A0" w:rsidRPr="005675B2">
        <w:rPr>
          <w:rFonts w:hint="cs"/>
          <w:bCs/>
          <w:rtl/>
        </w:rPr>
        <w:t>ومذهب</w:t>
      </w:r>
      <w:r w:rsidR="009C32A0" w:rsidRPr="005675B2">
        <w:rPr>
          <w:rFonts w:hint="cs"/>
          <w:bCs/>
        </w:rPr>
        <w:t xml:space="preserve"> </w:t>
      </w:r>
      <w:r w:rsidR="009C32A0" w:rsidRPr="005675B2">
        <w:rPr>
          <w:rFonts w:hint="cs"/>
          <w:bCs/>
          <w:rtl/>
        </w:rPr>
        <w:t>أبي عبد الله أحمد بن حنبل رضي الله عنه أن لله عز وجل</w:t>
      </w:r>
      <w:r w:rsidR="009C32A0" w:rsidRPr="005675B2">
        <w:rPr>
          <w:rFonts w:hint="cs"/>
          <w:bCs/>
        </w:rPr>
        <w:t xml:space="preserve"> </w:t>
      </w:r>
      <w:r w:rsidR="009C32A0" w:rsidRPr="005675B2">
        <w:rPr>
          <w:rFonts w:hint="cs"/>
          <w:bCs/>
          <w:rtl/>
        </w:rPr>
        <w:t>وجها لا كالصور المصورة والأعيان المخططة بل وجهة وصفه ..ومن غير</w:t>
      </w:r>
      <w:r w:rsidR="009C32A0" w:rsidRPr="005675B2">
        <w:rPr>
          <w:rFonts w:hint="cs"/>
          <w:bCs/>
        </w:rPr>
        <w:t xml:space="preserve"> </w:t>
      </w:r>
      <w:r w:rsidR="009C32A0" w:rsidRPr="005675B2">
        <w:rPr>
          <w:rFonts w:hint="cs"/>
          <w:bCs/>
          <w:rtl/>
        </w:rPr>
        <w:t>معناه فقد ألحد عنه وليس</w:t>
      </w:r>
      <w:r w:rsidR="009C32A0" w:rsidRPr="005675B2">
        <w:rPr>
          <w:rFonts w:hint="cs"/>
          <w:bCs/>
        </w:rPr>
        <w:t xml:space="preserve"> </w:t>
      </w:r>
      <w:r w:rsidR="009C32A0" w:rsidRPr="005675B2">
        <w:rPr>
          <w:rFonts w:hint="cs"/>
          <w:bCs/>
          <w:rtl/>
        </w:rPr>
        <w:t>معنى وجه معنى جسد عنده ولا صورة ولا تخطيط ومن قال ذلك</w:t>
      </w:r>
      <w:r w:rsidR="009C32A0" w:rsidRPr="005675B2">
        <w:rPr>
          <w:rFonts w:hint="cs"/>
          <w:bCs/>
        </w:rPr>
        <w:t xml:space="preserve"> </w:t>
      </w:r>
      <w:r w:rsidR="009C32A0" w:rsidRPr="005675B2">
        <w:rPr>
          <w:rFonts w:hint="cs"/>
          <w:bCs/>
          <w:rtl/>
        </w:rPr>
        <w:t xml:space="preserve">فقد ابتدع </w:t>
      </w:r>
      <w:r w:rsidR="009C32A0" w:rsidRPr="005675B2">
        <w:t>(</w:t>
      </w:r>
      <w:r>
        <w:rPr>
          <w:rtl/>
        </w:rPr>
        <w:t>(</w:t>
      </w:r>
      <w:r w:rsidR="009C32A0" w:rsidRPr="005675B2">
        <w:rPr>
          <w:rFonts w:hint="cs"/>
          <w:rtl/>
        </w:rPr>
        <w:t>أهـ</w:t>
      </w:r>
      <w:r w:rsidR="009C32A0" w:rsidRPr="005675B2">
        <w:rPr>
          <w:rFonts w:hint="cs"/>
          <w:bCs/>
          <w:rtl/>
        </w:rPr>
        <w:t xml:space="preserve"> [</w:t>
      </w:r>
      <w:r w:rsidR="009C32A0" w:rsidRPr="005675B2">
        <w:rPr>
          <w:rFonts w:hint="cs"/>
          <w:rtl/>
        </w:rPr>
        <w:t>العقيدة ج 1 /ص 110</w:t>
      </w:r>
      <w:r>
        <w:rPr>
          <w:rFonts w:hint="cs"/>
          <w:rtl/>
        </w:rPr>
        <w:t>]</w:t>
      </w:r>
      <w:r w:rsidR="009C32A0" w:rsidRPr="005675B2">
        <w:rPr>
          <w:rFonts w:hint="cs"/>
          <w:bCs/>
          <w:rtl/>
        </w:rPr>
        <w:t xml:space="preserve"> وجاء فيه أيضا</w:t>
      </w:r>
      <w:r>
        <w:rPr>
          <w:rFonts w:hint="cs"/>
          <w:bCs/>
          <w:rtl/>
        </w:rPr>
        <w:t xml:space="preserve">: </w:t>
      </w:r>
      <w:r w:rsidR="009C32A0" w:rsidRPr="005675B2">
        <w:rPr>
          <w:rFonts w:hint="cs"/>
          <w:rtl/>
        </w:rPr>
        <w:t xml:space="preserve">" </w:t>
      </w:r>
      <w:r w:rsidR="009C32A0" w:rsidRPr="005675B2">
        <w:rPr>
          <w:rFonts w:hint="cs"/>
          <w:bCs/>
          <w:rtl/>
        </w:rPr>
        <w:t>لا</w:t>
      </w:r>
      <w:r w:rsidR="009C32A0" w:rsidRPr="005675B2">
        <w:rPr>
          <w:rFonts w:hint="cs"/>
          <w:bCs/>
        </w:rPr>
        <w:t xml:space="preserve"> </w:t>
      </w:r>
      <w:r w:rsidR="009C32A0" w:rsidRPr="005675B2">
        <w:rPr>
          <w:rFonts w:hint="cs"/>
          <w:bCs/>
          <w:rtl/>
        </w:rPr>
        <w:t>يجوز أن يسمى جسما</w:t>
      </w:r>
      <w:r>
        <w:rPr>
          <w:rFonts w:hint="cs"/>
          <w:bCs/>
          <w:rtl/>
        </w:rPr>
        <w:t xml:space="preserve"> </w:t>
      </w:r>
      <w:r w:rsidR="009C32A0" w:rsidRPr="005675B2">
        <w:rPr>
          <w:rFonts w:hint="cs"/>
          <w:bCs/>
          <w:rtl/>
        </w:rPr>
        <w:t>وأنكر</w:t>
      </w:r>
      <w:r w:rsidR="009C32A0" w:rsidRPr="005675B2">
        <w:rPr>
          <w:rFonts w:hint="cs"/>
          <w:bCs/>
        </w:rPr>
        <w:t xml:space="preserve"> </w:t>
      </w:r>
      <w:r>
        <w:rPr>
          <w:rFonts w:hint="cs"/>
          <w:bCs/>
          <w:rtl/>
        </w:rPr>
        <w:t>(</w:t>
      </w:r>
      <w:r w:rsidR="009C32A0" w:rsidRPr="005675B2">
        <w:rPr>
          <w:rFonts w:hint="cs"/>
          <w:bCs/>
          <w:rtl/>
        </w:rPr>
        <w:t>أي الإمام أحمد</w:t>
      </w:r>
      <w:r>
        <w:rPr>
          <w:rFonts w:hint="cs"/>
          <w:bCs/>
          <w:rtl/>
        </w:rPr>
        <w:t>)</w:t>
      </w:r>
      <w:r w:rsidR="009C32A0" w:rsidRPr="005675B2">
        <w:rPr>
          <w:rFonts w:hint="cs"/>
          <w:bCs/>
          <w:rtl/>
        </w:rPr>
        <w:t xml:space="preserve"> على من يقول بالجسم وقال إن</w:t>
      </w:r>
      <w:r w:rsidR="009C32A0" w:rsidRPr="005675B2">
        <w:rPr>
          <w:rFonts w:hint="cs"/>
          <w:bCs/>
        </w:rPr>
        <w:t xml:space="preserve"> </w:t>
      </w:r>
      <w:r w:rsidR="009C32A0" w:rsidRPr="005675B2">
        <w:rPr>
          <w:rFonts w:hint="cs"/>
          <w:bCs/>
          <w:rtl/>
        </w:rPr>
        <w:t>الأسماء مأخوذة بالشريعة واللغة وأهل اللغة وضعوا هذا الاسم على كل ذي طول وعرض وسمك</w:t>
      </w:r>
      <w:r w:rsidR="009C32A0" w:rsidRPr="005675B2">
        <w:rPr>
          <w:rFonts w:hint="cs"/>
          <w:bCs/>
        </w:rPr>
        <w:t xml:space="preserve"> </w:t>
      </w:r>
      <w:r w:rsidR="009C32A0" w:rsidRPr="005675B2">
        <w:rPr>
          <w:rFonts w:hint="cs"/>
          <w:bCs/>
          <w:rtl/>
        </w:rPr>
        <w:t xml:space="preserve">وتركيب </w:t>
      </w:r>
      <w:r w:rsidR="009C32A0" w:rsidRPr="005675B2">
        <w:rPr>
          <w:rFonts w:hint="cs"/>
          <w:bCs/>
          <w:u w:val="single"/>
          <w:rtl/>
        </w:rPr>
        <w:t>وصورة</w:t>
      </w:r>
      <w:r w:rsidR="009C32A0" w:rsidRPr="005675B2">
        <w:rPr>
          <w:rFonts w:hint="cs"/>
          <w:bCs/>
          <w:rtl/>
        </w:rPr>
        <w:t xml:space="preserve"> وتأليف والله تعالى خارج عن ذلك كله فلم يجز أن يسمى جسما لخروجه عن</w:t>
      </w:r>
      <w:r w:rsidR="009C32A0" w:rsidRPr="005675B2">
        <w:rPr>
          <w:rFonts w:hint="cs"/>
          <w:bCs/>
        </w:rPr>
        <w:t xml:space="preserve"> </w:t>
      </w:r>
      <w:r w:rsidR="009C32A0" w:rsidRPr="005675B2">
        <w:rPr>
          <w:rFonts w:hint="cs"/>
          <w:bCs/>
          <w:rtl/>
        </w:rPr>
        <w:t>معنى الجسمية ولم يجيء في الشريعة ذلك فبطل</w:t>
      </w:r>
      <w:r>
        <w:rPr>
          <w:rFonts w:hint="cs"/>
          <w:bCs/>
          <w:rtl/>
        </w:rPr>
        <w:t xml:space="preserve"> </w:t>
      </w:r>
      <w:r w:rsidR="009C32A0" w:rsidRPr="005675B2">
        <w:rPr>
          <w:rFonts w:hint="cs"/>
          <w:bCs/>
          <w:rtl/>
        </w:rPr>
        <w:t xml:space="preserve">" </w:t>
      </w:r>
      <w:r w:rsidR="009C32A0" w:rsidRPr="005675B2">
        <w:rPr>
          <w:rFonts w:hint="cs"/>
          <w:rtl/>
        </w:rPr>
        <w:t>أهـ [العقيدة ج 1 /ص 111</w:t>
      </w:r>
      <w:r>
        <w:rPr>
          <w:rFonts w:hint="cs"/>
          <w:rtl/>
        </w:rPr>
        <w:t>]،</w:t>
      </w:r>
      <w:r w:rsidR="009C32A0" w:rsidRPr="005675B2">
        <w:rPr>
          <w:rFonts w:hint="cs"/>
          <w:rtl/>
        </w:rPr>
        <w:t xml:space="preserve"> وقال شيخ المحدثين الحافظ البيهقي</w:t>
      </w:r>
      <w:r>
        <w:rPr>
          <w:rFonts w:hint="cs"/>
          <w:rtl/>
        </w:rPr>
        <w:t xml:space="preserve">: </w:t>
      </w:r>
      <w:r w:rsidR="009C32A0" w:rsidRPr="005675B2">
        <w:rPr>
          <w:rFonts w:hint="cs"/>
          <w:rtl/>
        </w:rPr>
        <w:t>"</w:t>
      </w:r>
      <w:r w:rsidR="009C32A0" w:rsidRPr="005675B2">
        <w:rPr>
          <w:rFonts w:hint="cs"/>
          <w:bCs/>
          <w:rtl/>
        </w:rPr>
        <w:t>قال أبو سليمان الخطابي</w:t>
      </w:r>
      <w:r>
        <w:rPr>
          <w:rFonts w:hint="cs"/>
          <w:bCs/>
          <w:rtl/>
        </w:rPr>
        <w:t>:</w:t>
      </w:r>
      <w:r w:rsidR="009C32A0" w:rsidRPr="005675B2">
        <w:rPr>
          <w:rFonts w:hint="cs"/>
          <w:bCs/>
          <w:rtl/>
        </w:rPr>
        <w:t>وأما ذكر الصورة في هذه القصة ؛فإن الذي يجب علينا وعلى كل مسلم أن يعلمه أن ربنا ليس بذي صورة ولا هيئة</w:t>
      </w:r>
      <w:r>
        <w:rPr>
          <w:rFonts w:hint="cs"/>
          <w:bCs/>
          <w:rtl/>
        </w:rPr>
        <w:t>،</w:t>
      </w:r>
      <w:r w:rsidR="009C32A0" w:rsidRPr="005675B2">
        <w:rPr>
          <w:rFonts w:hint="cs"/>
          <w:bCs/>
          <w:rtl/>
        </w:rPr>
        <w:t xml:space="preserve"> فإن الصورة تقتضي الكيفية</w:t>
      </w:r>
      <w:r>
        <w:rPr>
          <w:rFonts w:hint="cs"/>
          <w:bCs/>
          <w:rtl/>
        </w:rPr>
        <w:t>،</w:t>
      </w:r>
      <w:r w:rsidR="009C32A0" w:rsidRPr="005675B2">
        <w:rPr>
          <w:rFonts w:hint="cs"/>
          <w:bCs/>
          <w:rtl/>
        </w:rPr>
        <w:t xml:space="preserve"> وهي عن الله تعالى وعن صفاته منفية</w:t>
      </w:r>
      <w:r w:rsidR="009C32A0" w:rsidRPr="005675B2">
        <w:rPr>
          <w:rFonts w:hint="cs"/>
          <w:rtl/>
        </w:rPr>
        <w:t xml:space="preserve"> " أهـ [الأسماء والصفات</w:t>
      </w:r>
      <w:r>
        <w:rPr>
          <w:rFonts w:hint="cs"/>
          <w:rtl/>
        </w:rPr>
        <w:t>:</w:t>
      </w:r>
      <w:r w:rsidR="009C32A0" w:rsidRPr="005675B2">
        <w:rPr>
          <w:rFonts w:hint="cs"/>
          <w:rtl/>
        </w:rPr>
        <w:t>297]</w:t>
      </w:r>
      <w:r>
        <w:rPr>
          <w:rFonts w:hint="cs"/>
          <w:bCs/>
          <w:rtl/>
        </w:rPr>
        <w:t>،</w:t>
      </w:r>
      <w:r w:rsidR="009C32A0" w:rsidRPr="005675B2">
        <w:rPr>
          <w:rFonts w:hint="cs"/>
          <w:bCs/>
          <w:rtl/>
        </w:rPr>
        <w:t xml:space="preserve"> وقال رحمه الله</w:t>
      </w:r>
      <w:r>
        <w:rPr>
          <w:rFonts w:hint="cs"/>
          <w:bCs/>
          <w:rtl/>
        </w:rPr>
        <w:t xml:space="preserve">: </w:t>
      </w:r>
      <w:r w:rsidR="009C32A0" w:rsidRPr="005675B2">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9C32A0" w:rsidRPr="005675B2">
        <w:rPr>
          <w:rFonts w:hint="cs"/>
          <w:bCs/>
          <w:rtl/>
        </w:rPr>
        <w:t>فالوجه له صفة</w:t>
      </w:r>
      <w:r w:rsidR="009C32A0" w:rsidRPr="005675B2">
        <w:rPr>
          <w:rFonts w:hint="cs"/>
          <w:rtl/>
        </w:rPr>
        <w:t xml:space="preserve"> </w:t>
      </w:r>
      <w:r w:rsidR="009C32A0" w:rsidRPr="005675B2">
        <w:rPr>
          <w:rFonts w:hint="cs"/>
          <w:bCs/>
          <w:rtl/>
        </w:rPr>
        <w:t>وليست بصورة</w:t>
      </w:r>
      <w:r w:rsidR="009C32A0" w:rsidRPr="005675B2">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9C32A0" w:rsidRPr="005675B2">
        <w:rPr>
          <w:rFonts w:hint="cs"/>
          <w:bCs/>
          <w:rtl/>
        </w:rPr>
        <w:t xml:space="preserve"> وجاء في كتاب الفقه الأكبر المنسوب للإمام الشافعي</w:t>
      </w:r>
      <w:r>
        <w:rPr>
          <w:rFonts w:hint="cs"/>
          <w:rtl/>
        </w:rPr>
        <w:t>[</w:t>
      </w:r>
      <w:r w:rsidR="009C32A0" w:rsidRPr="005675B2">
        <w:rPr>
          <w:rFonts w:hint="cs"/>
          <w:rtl/>
        </w:rPr>
        <w:t>صـ10] "فصل</w:t>
      </w:r>
      <w:r>
        <w:rPr>
          <w:rFonts w:hint="cs"/>
          <w:rtl/>
        </w:rPr>
        <w:t>:</w:t>
      </w:r>
      <w:r w:rsidR="009C32A0" w:rsidRPr="005675B2">
        <w:rPr>
          <w:rFonts w:hint="cs"/>
          <w:rtl/>
        </w:rPr>
        <w:t xml:space="preserve"> </w:t>
      </w:r>
      <w:r w:rsidR="009C32A0" w:rsidRPr="005675B2">
        <w:rPr>
          <w:rFonts w:hint="cs"/>
          <w:bCs/>
          <w:rtl/>
        </w:rPr>
        <w:t>واعلموا أن الصور والتركيب تستحيل على الله تعالى</w:t>
      </w:r>
      <w:r w:rsidR="009C32A0" w:rsidRPr="005675B2">
        <w:rPr>
          <w:rFonts w:hint="cs"/>
          <w:rtl/>
        </w:rPr>
        <w:t xml:space="preserve"> للمعنى الذي </w:t>
      </w:r>
      <w:r w:rsidR="009C32A0" w:rsidRPr="005675B2">
        <w:rPr>
          <w:rFonts w:hint="cs"/>
          <w:rtl/>
        </w:rPr>
        <w:lastRenderedPageBreak/>
        <w:t>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9C32A0" w:rsidRPr="005675B2">
        <w:rPr>
          <w:rFonts w:hint="cs"/>
          <w:rtl/>
        </w:rPr>
        <w:t xml:space="preserve"> وقال الله تعالى </w:t>
      </w:r>
      <w:r>
        <w:rPr>
          <w:rFonts w:hint="cs"/>
          <w:rtl/>
        </w:rPr>
        <w:t>{</w:t>
      </w:r>
      <w:r w:rsidR="009C32A0" w:rsidRPr="005675B2">
        <w:rPr>
          <w:rFonts w:hint="cs"/>
          <w:rtl/>
        </w:rPr>
        <w:t>هو الله الخالق البارئ المصور</w:t>
      </w:r>
      <w:r>
        <w:rPr>
          <w:rFonts w:hint="cs"/>
          <w:rtl/>
        </w:rPr>
        <w:t>}</w:t>
      </w:r>
      <w:r w:rsidR="009C32A0" w:rsidRPr="005675B2">
        <w:rPr>
          <w:rFonts w:hint="cs"/>
          <w:rtl/>
        </w:rPr>
        <w:t xml:space="preserve"> " أهـ [الفقه الأكبر المنسوب للإمام الشافعي صـ10] </w:t>
      </w:r>
      <w:r w:rsidR="009C32A0" w:rsidRPr="005675B2">
        <w:rPr>
          <w:rFonts w:hint="cs"/>
          <w:bCs/>
          <w:rtl/>
        </w:rPr>
        <w:t>وقال الإمام الحافظ أبى بكر بن فورك</w:t>
      </w:r>
      <w:r>
        <w:rPr>
          <w:rFonts w:hint="cs"/>
          <w:rtl/>
        </w:rPr>
        <w:t xml:space="preserve"> </w:t>
      </w:r>
      <w:r w:rsidR="009C32A0" w:rsidRPr="005675B2">
        <w:rPr>
          <w:rFonts w:hint="cs"/>
          <w:rtl/>
        </w:rPr>
        <w:t>" فصل</w:t>
      </w:r>
      <w:r>
        <w:rPr>
          <w:rFonts w:hint="cs"/>
          <w:rtl/>
        </w:rPr>
        <w:t xml:space="preserve">: </w:t>
      </w:r>
      <w:r w:rsidR="009C32A0" w:rsidRPr="005675B2">
        <w:rPr>
          <w:rFonts w:hint="cs"/>
          <w:rtl/>
        </w:rPr>
        <w:t>واعلم أن بعض أصحابنا المتكلمين في تأويل هذا الخبر حاد على وجه الصواب</w:t>
      </w:r>
      <w:r>
        <w:rPr>
          <w:rFonts w:hint="cs"/>
          <w:rtl/>
        </w:rPr>
        <w:t>،</w:t>
      </w:r>
      <w:r w:rsidR="009C32A0" w:rsidRPr="005675B2">
        <w:rPr>
          <w:rFonts w:hint="cs"/>
          <w:rtl/>
        </w:rPr>
        <w:t xml:space="preserve"> وسلك طريق الخطأ والمحال فيه</w:t>
      </w:r>
      <w:r>
        <w:rPr>
          <w:rFonts w:hint="cs"/>
          <w:rtl/>
        </w:rPr>
        <w:t>،</w:t>
      </w:r>
      <w:r w:rsidR="009C32A0" w:rsidRPr="005675B2">
        <w:rPr>
          <w:rFonts w:hint="cs"/>
          <w:rtl/>
        </w:rPr>
        <w:t xml:space="preserve"> وهو ابن قتيبه توهما أنه مستمسك بظاهره غير تارك له</w:t>
      </w:r>
      <w:r>
        <w:rPr>
          <w:rFonts w:hint="cs"/>
          <w:rtl/>
        </w:rPr>
        <w:t>،</w:t>
      </w:r>
      <w:r w:rsidR="009C32A0" w:rsidRPr="005675B2">
        <w:rPr>
          <w:rFonts w:hint="cs"/>
          <w:rtl/>
        </w:rPr>
        <w:t xml:space="preserve"> فقال</w:t>
      </w:r>
      <w:r>
        <w:rPr>
          <w:rFonts w:hint="cs"/>
          <w:rtl/>
        </w:rPr>
        <w:t>:</w:t>
      </w:r>
      <w:r w:rsidR="009C32A0" w:rsidRPr="005675B2">
        <w:rPr>
          <w:rFonts w:hint="cs"/>
          <w:rtl/>
        </w:rPr>
        <w:t xml:space="preserve"> </w:t>
      </w:r>
      <w:r>
        <w:rPr>
          <w:rFonts w:hint="cs"/>
          <w:rtl/>
        </w:rPr>
        <w:t>(</w:t>
      </w:r>
      <w:r w:rsidR="009C32A0" w:rsidRPr="005675B2">
        <w:rPr>
          <w:rFonts w:hint="cs"/>
          <w:rtl/>
        </w:rPr>
        <w:t>إن لله عز وجل صوره لا كالصور كما أنه شئ لا كالأشياء</w:t>
      </w:r>
      <w:r>
        <w:rPr>
          <w:rFonts w:hint="cs"/>
          <w:rtl/>
        </w:rPr>
        <w:t>)</w:t>
      </w:r>
      <w:r w:rsidR="009C32A0" w:rsidRPr="005675B2">
        <w:rPr>
          <w:rFonts w:hint="cs"/>
          <w:rtl/>
        </w:rPr>
        <w:t xml:space="preserve"> فأثبت لله تعالى صوره قديمه قديمه</w:t>
      </w:r>
      <w:r>
        <w:rPr>
          <w:rFonts w:hint="cs"/>
          <w:rtl/>
        </w:rPr>
        <w:t>،</w:t>
      </w:r>
      <w:r w:rsidR="009C32A0" w:rsidRPr="005675B2">
        <w:rPr>
          <w:rFonts w:hint="cs"/>
          <w:rtl/>
        </w:rPr>
        <w:t xml:space="preserve"> زعم أنها لا كالصور</w:t>
      </w:r>
      <w:r>
        <w:rPr>
          <w:rFonts w:hint="cs"/>
          <w:rtl/>
        </w:rPr>
        <w:t>،</w:t>
      </w:r>
      <w:r w:rsidR="009C32A0" w:rsidRPr="005675B2">
        <w:rPr>
          <w:rFonts w:hint="cs"/>
          <w:rtl/>
        </w:rPr>
        <w:t xml:space="preserve"> وأن الله خلق آدم على تلك الصوره</w:t>
      </w:r>
      <w:r>
        <w:rPr>
          <w:rFonts w:hint="cs"/>
          <w:rtl/>
        </w:rPr>
        <w:t>،</w:t>
      </w:r>
      <w:r w:rsidR="009C32A0" w:rsidRPr="005675B2">
        <w:rPr>
          <w:rFonts w:hint="cs"/>
          <w:rtl/>
        </w:rPr>
        <w:t xml:space="preserve"> وهذا جهل من قائله 0 وتوغل في تشبيه الله تعالى بخلقه "</w:t>
      </w:r>
      <w:r>
        <w:rPr>
          <w:rFonts w:hint="cs"/>
          <w:rtl/>
        </w:rPr>
        <w:t xml:space="preserve"> </w:t>
      </w:r>
      <w:r w:rsidR="009C32A0" w:rsidRPr="005675B2">
        <w:rPr>
          <w:rFonts w:hint="cs"/>
          <w:rtl/>
        </w:rPr>
        <w:t>أهـ [مشكل الحديث وبيانه ص 67 إلى 69]</w:t>
      </w:r>
      <w:r>
        <w:rPr>
          <w:rFonts w:hint="cs"/>
          <w:rtl/>
        </w:rPr>
        <w:t>،</w:t>
      </w:r>
      <w:r w:rsidR="009C32A0" w:rsidRPr="005675B2">
        <w:rPr>
          <w:rFonts w:hint="cs"/>
          <w:bCs/>
          <w:rtl/>
        </w:rPr>
        <w:t xml:space="preserve"> وقال النووي في شرحه على صحيح مسلم</w:t>
      </w:r>
      <w:r>
        <w:rPr>
          <w:rFonts w:hint="cs"/>
          <w:bCs/>
          <w:rtl/>
        </w:rPr>
        <w:t>:</w:t>
      </w:r>
      <w:r w:rsidR="009C32A0" w:rsidRPr="005675B2">
        <w:rPr>
          <w:rFonts w:hint="cs"/>
          <w:bCs/>
          <w:rtl/>
        </w:rPr>
        <w:t xml:space="preserve"> </w:t>
      </w:r>
      <w:r w:rsidR="009C32A0" w:rsidRPr="005675B2">
        <w:rPr>
          <w:rFonts w:hint="cs"/>
          <w:rtl/>
        </w:rPr>
        <w:t>" قال</w:t>
      </w:r>
      <w:r w:rsidR="009C32A0" w:rsidRPr="005675B2">
        <w:rPr>
          <w:rFonts w:hint="cs"/>
        </w:rPr>
        <w:t xml:space="preserve"> </w:t>
      </w:r>
      <w:r w:rsidR="009C32A0" w:rsidRPr="005675B2">
        <w:rPr>
          <w:rFonts w:hint="cs"/>
          <w:rtl/>
        </w:rPr>
        <w:t>المازري هذا الحديث بهذا اللفظ ثابت ورواه بعضهم ان الله خلق آدم</w:t>
      </w:r>
      <w:r w:rsidR="009C32A0" w:rsidRPr="005675B2">
        <w:rPr>
          <w:rFonts w:hint="cs"/>
        </w:rPr>
        <w:t xml:space="preserve"> </w:t>
      </w:r>
      <w:r w:rsidR="009C32A0" w:rsidRPr="005675B2">
        <w:rPr>
          <w:rFonts w:hint="cs"/>
          <w:rtl/>
        </w:rPr>
        <w:t>على صورة الرحمن وليس بثابت عند اهل الحديث وكأن من نقله رواه بالمعنى الذي وقع</w:t>
      </w:r>
      <w:r w:rsidR="009C32A0" w:rsidRPr="005675B2">
        <w:rPr>
          <w:rFonts w:hint="cs"/>
        </w:rPr>
        <w:t xml:space="preserve"> </w:t>
      </w:r>
      <w:r w:rsidR="009C32A0" w:rsidRPr="005675B2">
        <w:rPr>
          <w:rFonts w:hint="cs"/>
          <w:rtl/>
        </w:rPr>
        <w:t xml:space="preserve">له وغلط في ذلك قال المازري </w:t>
      </w:r>
      <w:r w:rsidR="009C32A0" w:rsidRPr="005675B2">
        <w:rPr>
          <w:rFonts w:hint="cs"/>
          <w:bCs/>
          <w:rtl/>
        </w:rPr>
        <w:t>وقد</w:t>
      </w:r>
      <w:r w:rsidR="009C32A0" w:rsidRPr="005675B2">
        <w:rPr>
          <w:rFonts w:hint="cs"/>
          <w:bCs/>
        </w:rPr>
        <w:t xml:space="preserve"> </w:t>
      </w:r>
      <w:r w:rsidR="009C32A0" w:rsidRPr="005675B2">
        <w:rPr>
          <w:rFonts w:hint="cs"/>
          <w:bCs/>
          <w:rtl/>
        </w:rPr>
        <w:t>غلط ابن قتيبة في هذا الحديث فأجراه على ظاهره</w:t>
      </w:r>
      <w:r w:rsidR="009C32A0" w:rsidRPr="005675B2">
        <w:rPr>
          <w:rFonts w:hint="cs"/>
          <w:bCs/>
        </w:rPr>
        <w:t xml:space="preserve"> </w:t>
      </w:r>
      <w:r w:rsidR="009C32A0" w:rsidRPr="005675B2">
        <w:rPr>
          <w:rFonts w:hint="cs"/>
          <w:bCs/>
          <w:rtl/>
        </w:rPr>
        <w:t>وقال لله تعالى صورة لا كالصور وهذا الذي قاله ظاهر الفساد لأن الصورة تفيد التركيب</w:t>
      </w:r>
      <w:r w:rsidR="009C32A0" w:rsidRPr="005675B2">
        <w:rPr>
          <w:rFonts w:hint="cs"/>
          <w:bCs/>
        </w:rPr>
        <w:t xml:space="preserve"> </w:t>
      </w:r>
      <w:r w:rsidR="009C32A0" w:rsidRPr="005675B2">
        <w:rPr>
          <w:rFonts w:hint="cs"/>
          <w:bCs/>
          <w:rtl/>
        </w:rPr>
        <w:t>وكل مركب محدث والله تعالى ليس بمحدث فليس هو مركبا فليس مصورا ..</w:t>
      </w:r>
      <w:r w:rsidR="009C32A0" w:rsidRPr="005675B2">
        <w:rPr>
          <w:rFonts w:hint="cs"/>
          <w:rtl/>
        </w:rPr>
        <w:t xml:space="preserve"> قال له ايضا إن أردت بقولك صورة لا كالصور أنه ليس بمؤلف ولا مركب</w:t>
      </w:r>
      <w:r w:rsidR="009C32A0" w:rsidRPr="005675B2">
        <w:rPr>
          <w:rFonts w:hint="cs"/>
        </w:rPr>
        <w:t xml:space="preserve"> </w:t>
      </w:r>
      <w:r w:rsidR="009C32A0" w:rsidRPr="005675B2">
        <w:rPr>
          <w:rFonts w:hint="cs"/>
          <w:rtl/>
        </w:rPr>
        <w:t>فليس بصورة حقيقة وليست اللفظة على ظاهرها " أهـ</w:t>
      </w:r>
      <w:r w:rsidR="009C32A0" w:rsidRPr="005675B2">
        <w:rPr>
          <w:rFonts w:hint="cs"/>
        </w:rPr>
        <w:t xml:space="preserve"> </w:t>
      </w:r>
      <w:r w:rsidR="009C32A0" w:rsidRPr="005675B2">
        <w:rPr>
          <w:rFonts w:hint="cs"/>
          <w:rtl/>
        </w:rPr>
        <w:t>[شرح النووي على صحيح مسلم ج: 16 ص: 166]</w:t>
      </w:r>
      <w:r>
        <w:rPr>
          <w:rFonts w:hint="cs"/>
          <w:rtl/>
        </w:rPr>
        <w:t>،</w:t>
      </w:r>
      <w:r w:rsidR="009C32A0" w:rsidRPr="005675B2">
        <w:rPr>
          <w:rFonts w:hint="cs"/>
          <w:rtl/>
        </w:rPr>
        <w:t xml:space="preserve"> </w:t>
      </w:r>
      <w:r w:rsidR="009C32A0" w:rsidRPr="005675B2">
        <w:rPr>
          <w:rFonts w:hint="cs"/>
          <w:bCs/>
          <w:rtl/>
        </w:rPr>
        <w:t>وجاء في إكمال المعلم</w:t>
      </w:r>
      <w:r>
        <w:rPr>
          <w:rFonts w:hint="cs"/>
          <w:rtl/>
        </w:rPr>
        <w:t>:</w:t>
      </w:r>
      <w:r w:rsidR="009C32A0" w:rsidRPr="005675B2">
        <w:rPr>
          <w:rFonts w:hint="cs"/>
          <w:rtl/>
        </w:rPr>
        <w:t xml:space="preserve"> " قال القاضي عياض</w:t>
      </w:r>
      <w:r>
        <w:rPr>
          <w:rFonts w:hint="cs"/>
          <w:rtl/>
        </w:rPr>
        <w:t>:</w:t>
      </w:r>
      <w:r w:rsidR="009C32A0" w:rsidRPr="005675B2">
        <w:rPr>
          <w:rFonts w:hint="cs"/>
          <w:rtl/>
        </w:rPr>
        <w:t xml:space="preserve"> هذا حديث ثابت عند أهل النقل</w:t>
      </w:r>
      <w:r>
        <w:rPr>
          <w:rFonts w:hint="cs"/>
          <w:rtl/>
        </w:rPr>
        <w:t>،</w:t>
      </w:r>
      <w:r w:rsidR="009C32A0" w:rsidRPr="005675B2">
        <w:rPr>
          <w:rFonts w:hint="cs"/>
          <w:rtl/>
        </w:rPr>
        <w:t xml:space="preserve"> وقد رواه بعضهم أن الله خلق آدم على صورة الرحمن ولا يليق هذا عند أهل النقل </w:t>
      </w:r>
      <w:r w:rsidR="009C32A0" w:rsidRPr="005675B2">
        <w:rPr>
          <w:rFonts w:hint="cs"/>
          <w:bCs/>
          <w:rtl/>
        </w:rPr>
        <w:t>واعلم أن هذا الحديث غلط فيه ابن قتيبة وأجراه على ظاهره</w:t>
      </w:r>
      <w:r>
        <w:rPr>
          <w:rFonts w:hint="cs"/>
          <w:rtl/>
        </w:rPr>
        <w:t>،</w:t>
      </w:r>
      <w:r w:rsidR="009C32A0" w:rsidRPr="005675B2">
        <w:rPr>
          <w:rFonts w:hint="cs"/>
          <w:rtl/>
        </w:rPr>
        <w:t xml:space="preserve"> وقال</w:t>
      </w:r>
      <w:r>
        <w:rPr>
          <w:rFonts w:hint="cs"/>
          <w:rtl/>
        </w:rPr>
        <w:t>:</w:t>
      </w:r>
      <w:r w:rsidR="009C32A0" w:rsidRPr="005675B2">
        <w:rPr>
          <w:rFonts w:hint="cs"/>
          <w:rtl/>
        </w:rPr>
        <w:t xml:space="preserve"> فإن الله سبحانه له صور لا كالصور وأجرى الحديث على ظاهره</w:t>
      </w:r>
      <w:r>
        <w:rPr>
          <w:rFonts w:hint="cs"/>
          <w:rtl/>
        </w:rPr>
        <w:t>،</w:t>
      </w:r>
      <w:r w:rsidR="009C32A0" w:rsidRPr="005675B2">
        <w:rPr>
          <w:rFonts w:hint="cs"/>
          <w:rtl/>
        </w:rPr>
        <w:t xml:space="preserve"> </w:t>
      </w:r>
      <w:r w:rsidR="009C32A0" w:rsidRPr="005675B2">
        <w:rPr>
          <w:rFonts w:hint="cs"/>
          <w:bCs/>
          <w:rtl/>
        </w:rPr>
        <w:t>والذي قاله لا يخفي فساده لأن الصورة تفيد التركيب وكل مركب محدث</w:t>
      </w:r>
      <w:r>
        <w:rPr>
          <w:rFonts w:hint="cs"/>
          <w:bCs/>
          <w:rtl/>
        </w:rPr>
        <w:t>،</w:t>
      </w:r>
      <w:r w:rsidR="009C32A0" w:rsidRPr="005675B2">
        <w:rPr>
          <w:rFonts w:hint="cs"/>
          <w:bCs/>
          <w:rtl/>
        </w:rPr>
        <w:t xml:space="preserve"> والباري سبحانه وتعالى ليس بمحدث</w:t>
      </w:r>
      <w:r>
        <w:rPr>
          <w:rFonts w:hint="cs"/>
          <w:bCs/>
          <w:rtl/>
        </w:rPr>
        <w:t>،</w:t>
      </w:r>
      <w:r w:rsidR="009C32A0" w:rsidRPr="005675B2">
        <w:rPr>
          <w:rFonts w:hint="cs"/>
          <w:bCs/>
          <w:rtl/>
        </w:rPr>
        <w:t xml:space="preserve"> فليس بمركب وما ليس بمركب فليس بمصور</w:t>
      </w:r>
      <w:r w:rsidR="009C32A0" w:rsidRPr="005675B2">
        <w:rPr>
          <w:rFonts w:hint="cs"/>
          <w:rtl/>
        </w:rPr>
        <w:t xml:space="preserve"> وهذا من جنس قول المبتدعة أن الله الباري جل وعز جسم لا كالأجسام "</w:t>
      </w:r>
      <w:r>
        <w:rPr>
          <w:rFonts w:hint="cs"/>
          <w:rtl/>
        </w:rPr>
        <w:t xml:space="preserve"> </w:t>
      </w:r>
      <w:r w:rsidR="009C32A0" w:rsidRPr="005675B2">
        <w:rPr>
          <w:rFonts w:hint="cs"/>
          <w:rtl/>
        </w:rPr>
        <w:t>أهـ [إكمال المعلم ج8 من ص90:87]</w:t>
      </w:r>
      <w:r>
        <w:rPr>
          <w:rFonts w:hint="cs"/>
          <w:rtl/>
        </w:rPr>
        <w:t>،</w:t>
      </w:r>
      <w:r w:rsidR="009C32A0" w:rsidRPr="005675B2">
        <w:rPr>
          <w:rFonts w:hint="cs"/>
          <w:rtl/>
        </w:rPr>
        <w:t xml:space="preserve"> </w:t>
      </w:r>
      <w:r w:rsidR="009C32A0" w:rsidRPr="005675B2">
        <w:rPr>
          <w:rFonts w:hint="cs"/>
          <w:bCs/>
          <w:rtl/>
        </w:rPr>
        <w:t>وقال مرعي بن يوسف المقدسي الحنبلي</w:t>
      </w:r>
      <w:r w:rsidR="009C32A0" w:rsidRPr="005675B2">
        <w:rPr>
          <w:rFonts w:hint="cs"/>
          <w:rtl/>
        </w:rPr>
        <w:t xml:space="preserve"> في كتابه أقاويل الثقات</w:t>
      </w:r>
      <w:r>
        <w:rPr>
          <w:rFonts w:hint="cs"/>
          <w:rtl/>
        </w:rPr>
        <w:t>:</w:t>
      </w:r>
      <w:r w:rsidR="009C32A0" w:rsidRPr="005675B2">
        <w:rPr>
          <w:rFonts w:hint="cs"/>
          <w:rtl/>
        </w:rPr>
        <w:t xml:space="preserve"> "</w:t>
      </w:r>
      <w:r>
        <w:rPr>
          <w:rFonts w:hint="cs"/>
          <w:rtl/>
        </w:rPr>
        <w:t xml:space="preserve"> </w:t>
      </w:r>
      <w:r w:rsidR="009C32A0" w:rsidRPr="005675B2">
        <w:rPr>
          <w:rFonts w:hint="cs"/>
          <w:bCs/>
          <w:rtl/>
        </w:rPr>
        <w:t>وغلت طائفة أخرى في الإثبات فشبهته فأثبتت له الصورة والجوارح</w:t>
      </w:r>
      <w:r w:rsidR="009C32A0" w:rsidRPr="005675B2">
        <w:rPr>
          <w:rFonts w:hint="cs"/>
          <w:rtl/>
        </w:rPr>
        <w:t xml:space="preserve"> .. </w:t>
      </w:r>
      <w:r w:rsidR="009C32A0" w:rsidRPr="005675B2">
        <w:rPr>
          <w:rFonts w:hint="cs"/>
          <w:bCs/>
          <w:rtl/>
        </w:rPr>
        <w:t xml:space="preserve">وقد بالغ بعض أهل الإغواء فقال إنه على صورة الإنسان </w:t>
      </w:r>
      <w:r w:rsidR="009C32A0" w:rsidRPr="005675B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9C32A0" w:rsidRPr="005675B2">
        <w:rPr>
          <w:rFonts w:hint="cs"/>
          <w:bCs/>
          <w:rtl/>
        </w:rPr>
        <w:t>ومنهم من قال إنه على قدر مسافة العرش لا يفضل من أحدهما عن الأخر شيء</w:t>
      </w:r>
      <w:r>
        <w:rPr>
          <w:rFonts w:hint="cs"/>
          <w:bCs/>
          <w:rtl/>
        </w:rPr>
        <w:t xml:space="preserve"> </w:t>
      </w:r>
      <w:r w:rsidR="009C32A0" w:rsidRPr="005675B2">
        <w:rPr>
          <w:rFonts w:hint="cs"/>
          <w:bCs/>
          <w:rtl/>
        </w:rPr>
        <w:t>تعالى الله عن أقوالهم علو كبيرا</w:t>
      </w:r>
      <w:r w:rsidR="009C32A0" w:rsidRPr="005675B2">
        <w:rPr>
          <w:rFonts w:hint="cs"/>
          <w:rtl/>
        </w:rPr>
        <w:t xml:space="preserve"> وعن مثله نهى الله </w:t>
      </w:r>
      <w:r w:rsidR="009C32A0" w:rsidRPr="005675B2">
        <w:rPr>
          <w:rFonts w:hint="cs"/>
          <w:rtl/>
        </w:rPr>
        <w:lastRenderedPageBreak/>
        <w:t>تعالى بقوله تعالى</w:t>
      </w:r>
      <w:r>
        <w:rPr>
          <w:rFonts w:hint="cs"/>
          <w:rtl/>
        </w:rPr>
        <w:t>:</w:t>
      </w:r>
      <w:r w:rsidR="009C32A0" w:rsidRPr="005675B2">
        <w:rPr>
          <w:rFonts w:hint="cs"/>
          <w:rtl/>
        </w:rPr>
        <w:t xml:space="preserve"> (</w:t>
      </w:r>
      <w:r w:rsidR="009C32A0" w:rsidRPr="005675B2">
        <w:rPr>
          <w:rFonts w:hint="cs"/>
          <w:bCs/>
          <w:rtl/>
        </w:rPr>
        <w:t>يا أهل الكتاب لا تغلو في دينكم ولا تقولوا على الله إلا الحق</w:t>
      </w:r>
      <w:r>
        <w:rPr>
          <w:rFonts w:hint="cs"/>
          <w:rtl/>
        </w:rPr>
        <w:t>)</w:t>
      </w:r>
      <w:r w:rsidR="009C32A0" w:rsidRPr="005675B2">
        <w:rPr>
          <w:rFonts w:hint="cs"/>
          <w:rtl/>
        </w:rPr>
        <w:t xml:space="preserve"> [النساء /171</w:t>
      </w:r>
      <w:r>
        <w:rPr>
          <w:rFonts w:hint="cs"/>
          <w:rtl/>
        </w:rPr>
        <w:t>]</w:t>
      </w:r>
      <w:r w:rsidR="009C32A0" w:rsidRPr="005675B2">
        <w:rPr>
          <w:rFonts w:hint="cs"/>
          <w:rtl/>
        </w:rPr>
        <w:t xml:space="preserve"> "</w:t>
      </w:r>
      <w:r>
        <w:rPr>
          <w:rFonts w:hint="cs"/>
          <w:rtl/>
        </w:rPr>
        <w:t xml:space="preserve"> </w:t>
      </w:r>
      <w:r w:rsidR="009C32A0" w:rsidRPr="005675B2">
        <w:rPr>
          <w:rFonts w:hint="cs"/>
          <w:rtl/>
        </w:rPr>
        <w:t>أهـ [أقاويل الثقات ج: 1 ص: 135]</w:t>
      </w:r>
      <w:r>
        <w:rPr>
          <w:rFonts w:hint="cs"/>
          <w:rtl/>
        </w:rPr>
        <w:t>،</w:t>
      </w:r>
      <w:r w:rsidR="009C32A0" w:rsidRPr="005675B2">
        <w:rPr>
          <w:rFonts w:hint="cs"/>
          <w:rtl/>
        </w:rPr>
        <w:t xml:space="preserve"> </w:t>
      </w:r>
      <w:r w:rsidR="009C32A0" w:rsidRPr="005675B2">
        <w:rPr>
          <w:rFonts w:hint="cs"/>
          <w:bCs/>
          <w:rtl/>
        </w:rPr>
        <w:t>وجاء في مرقاة المفاتيح(باب الحوض والشفاعة)</w:t>
      </w:r>
      <w:r>
        <w:rPr>
          <w:rFonts w:hint="cs"/>
          <w:bCs/>
          <w:rtl/>
        </w:rPr>
        <w:t>:</w:t>
      </w:r>
      <w:r w:rsidR="009C32A0" w:rsidRPr="005675B2">
        <w:rPr>
          <w:rFonts w:hint="cs"/>
          <w:bCs/>
          <w:rtl/>
        </w:rPr>
        <w:t xml:space="preserve"> " وفي رواية أبي هريرة فيقولون</w:t>
      </w:r>
      <w:r>
        <w:rPr>
          <w:rFonts w:hint="cs"/>
          <w:bCs/>
          <w:rtl/>
        </w:rPr>
        <w:t>:</w:t>
      </w:r>
      <w:r w:rsidR="009C32A0" w:rsidRPr="005675B2">
        <w:rPr>
          <w:rFonts w:hint="cs"/>
          <w:bCs/>
          <w:rtl/>
        </w:rPr>
        <w:t xml:space="preserve"> هذا مكاننا حتى يأتينا ربنا</w:t>
      </w:r>
      <w:r>
        <w:rPr>
          <w:rFonts w:hint="cs"/>
          <w:bCs/>
          <w:rtl/>
        </w:rPr>
        <w:t>)</w:t>
      </w:r>
      <w:r w:rsidR="009C32A0" w:rsidRPr="005675B2">
        <w:rPr>
          <w:rFonts w:hint="cs"/>
          <w:bCs/>
          <w:rtl/>
        </w:rPr>
        <w:t xml:space="preserve"> أي يتجلى علينا بوجه نعرفه </w:t>
      </w:r>
      <w:r>
        <w:rPr>
          <w:rFonts w:hint="cs"/>
          <w:bCs/>
          <w:rtl/>
        </w:rPr>
        <w:t>(</w:t>
      </w:r>
      <w:r w:rsidR="009C32A0" w:rsidRPr="005675B2">
        <w:rPr>
          <w:rFonts w:hint="cs"/>
          <w:bCs/>
          <w:rtl/>
        </w:rPr>
        <w:t>فإذا جاء ربنا</w:t>
      </w:r>
      <w:r>
        <w:rPr>
          <w:rFonts w:hint="cs"/>
          <w:bCs/>
          <w:rtl/>
        </w:rPr>
        <w:t>)</w:t>
      </w:r>
      <w:r w:rsidR="009C32A0" w:rsidRPr="005675B2">
        <w:rPr>
          <w:rFonts w:hint="cs"/>
          <w:bCs/>
          <w:rtl/>
        </w:rPr>
        <w:t xml:space="preserve"> أي على ما عرفناه من أنه منزه عن الصورة والكمية والكيفية والجهة وأمثالها</w:t>
      </w:r>
      <w:r>
        <w:rPr>
          <w:rFonts w:hint="cs"/>
          <w:rtl/>
        </w:rPr>
        <w:t>)</w:t>
      </w:r>
      <w:r w:rsidR="009C32A0" w:rsidRPr="005675B2">
        <w:rPr>
          <w:rFonts w:hint="cs"/>
          <w:rtl/>
        </w:rPr>
        <w:t xml:space="preserve"> أهـ [مرقاة المفاتيح(باب الحوض والشفاعة)]</w:t>
      </w:r>
      <w:r>
        <w:rPr>
          <w:rFonts w:hint="cs"/>
          <w:rtl/>
        </w:rPr>
        <w:t>،</w:t>
      </w:r>
      <w:r w:rsidR="009C32A0" w:rsidRPr="005675B2">
        <w:rPr>
          <w:rFonts w:hint="cs"/>
          <w:rtl/>
        </w:rPr>
        <w:t xml:space="preserve"> </w:t>
      </w:r>
      <w:r w:rsidR="009C32A0" w:rsidRPr="005675B2">
        <w:rPr>
          <w:rFonts w:hint="cs"/>
          <w:bCs/>
          <w:rtl/>
        </w:rPr>
        <w:t>وقال القاضي بدر الدين بن جماعة في كتابه إيضاح الدليل</w:t>
      </w:r>
      <w:r>
        <w:rPr>
          <w:rFonts w:hint="cs"/>
          <w:rtl/>
        </w:rPr>
        <w:t xml:space="preserve">: </w:t>
      </w:r>
      <w:r w:rsidR="009C32A0" w:rsidRPr="005675B2">
        <w:rPr>
          <w:rFonts w:hint="cs"/>
          <w:bCs/>
          <w:rtl/>
        </w:rPr>
        <w:t>ومن قال بأن لله تعالى صورة وخلق آدم عليها فمردود عليه لما فيه من التجسيم</w:t>
      </w:r>
      <w:r>
        <w:rPr>
          <w:rFonts w:hint="cs"/>
          <w:bCs/>
          <w:rtl/>
        </w:rPr>
        <w:t xml:space="preserve"> </w:t>
      </w:r>
      <w:r w:rsidR="009C32A0" w:rsidRPr="005675B2">
        <w:rPr>
          <w:rFonts w:hint="cs"/>
          <w:bCs/>
          <w:rtl/>
        </w:rPr>
        <w:t>وكذلك من قال صورة لا كالصور</w:t>
      </w:r>
      <w:r w:rsidR="009C32A0" w:rsidRPr="005675B2">
        <w:rPr>
          <w:rFonts w:hint="cs"/>
          <w:rtl/>
        </w:rPr>
        <w:t xml:space="preserve"> "</w:t>
      </w:r>
      <w:r>
        <w:rPr>
          <w:rFonts w:hint="cs"/>
          <w:rtl/>
        </w:rPr>
        <w:t xml:space="preserve"> </w:t>
      </w:r>
      <w:r w:rsidR="009C32A0" w:rsidRPr="005675B2">
        <w:rPr>
          <w:rFonts w:hint="cs"/>
          <w:rtl/>
        </w:rPr>
        <w:t>أهـ [إيضاح الدليل في قطع حجج أهل التعطيل ج: 1 ص: 155]</w:t>
      </w:r>
      <w:r>
        <w:rPr>
          <w:rFonts w:hint="cs"/>
          <w:rtl/>
        </w:rPr>
        <w:t>،</w:t>
      </w:r>
      <w:r w:rsidR="009C32A0" w:rsidRPr="005675B2">
        <w:rPr>
          <w:rFonts w:hint="cs"/>
          <w:rtl/>
        </w:rPr>
        <w:t xml:space="preserve"> </w:t>
      </w:r>
      <w:r w:rsidR="009C32A0" w:rsidRPr="005675B2">
        <w:rPr>
          <w:rFonts w:hint="cs"/>
          <w:bCs/>
          <w:rtl/>
        </w:rPr>
        <w:t>وقال رحمه الله</w:t>
      </w:r>
      <w:r>
        <w:rPr>
          <w:rFonts w:hint="cs"/>
          <w:bCs/>
          <w:rtl/>
        </w:rPr>
        <w:t>:</w:t>
      </w:r>
      <w:r w:rsidR="009C32A0" w:rsidRPr="005675B2">
        <w:rPr>
          <w:rFonts w:hint="cs"/>
          <w:bCs/>
          <w:rtl/>
        </w:rPr>
        <w:t xml:space="preserve"> </w:t>
      </w:r>
      <w:r w:rsidR="009C32A0" w:rsidRPr="005675B2">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9C32A0" w:rsidRPr="005675B2">
        <w:rPr>
          <w:rFonts w:hint="cs"/>
          <w:rtl/>
        </w:rPr>
        <w:t xml:space="preserve"> الحديث</w:t>
      </w:r>
      <w:r>
        <w:rPr>
          <w:rFonts w:hint="cs"/>
          <w:rtl/>
        </w:rPr>
        <w:t xml:space="preserve">: </w:t>
      </w:r>
      <w:r w:rsidR="009C32A0" w:rsidRPr="005675B2">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9C32A0" w:rsidRPr="005675B2">
        <w:rPr>
          <w:rFonts w:hint="cs"/>
          <w:rtl/>
        </w:rPr>
        <w:t>أهـ</w:t>
      </w:r>
      <w:r>
        <w:rPr>
          <w:rFonts w:hint="cs"/>
          <w:rtl/>
        </w:rPr>
        <w:t xml:space="preserve"> </w:t>
      </w:r>
      <w:r w:rsidR="009C32A0" w:rsidRPr="005675B2">
        <w:rPr>
          <w:rFonts w:hint="cs"/>
          <w:rtl/>
        </w:rPr>
        <w:t>[إيضاح الدليل في قطع حجج أهل التعطيل ج: 1 ص: 159]</w:t>
      </w:r>
    </w:p>
    <w:p w14:paraId="2A546D45" w14:textId="77777777" w:rsidR="009C32A0" w:rsidRPr="005675B2" w:rsidRDefault="009C32A0" w:rsidP="000636C2">
      <w:pPr>
        <w:jc w:val="center"/>
        <w:rPr>
          <w:b/>
          <w:rtl/>
          <w:lang w:bidi="ar-KW"/>
        </w:rPr>
      </w:pPr>
      <w:r>
        <w:rPr>
          <w:rFonts w:hint="cs"/>
          <w:rtl/>
          <w:lang w:bidi="ar-KW"/>
        </w:rPr>
        <w:t>***</w:t>
      </w:r>
      <w:r w:rsidRPr="005675B2">
        <w:rPr>
          <w:rFonts w:hint="cs"/>
          <w:rtl/>
          <w:lang w:bidi="ar-KW"/>
        </w:rPr>
        <w:t xml:space="preserve"> </w:t>
      </w:r>
    </w:p>
    <w:p w14:paraId="57EC4033" w14:textId="0AF0AB88" w:rsidR="009C32A0" w:rsidRPr="00306AAB" w:rsidRDefault="009C32A0" w:rsidP="00306AAB">
      <w:pPr>
        <w:pStyle w:val="2"/>
        <w:bidi/>
        <w:jc w:val="center"/>
        <w:rPr>
          <w:u w:val="none"/>
          <w:rtl/>
          <w:lang w:bidi="ar-KW"/>
        </w:rPr>
      </w:pPr>
      <w:r w:rsidRPr="00306AAB">
        <w:rPr>
          <w:rFonts w:hint="cs"/>
          <w:u w:val="none"/>
          <w:rtl/>
          <w:lang w:bidi="ar-KW"/>
        </w:rPr>
        <w:t>القاعدة السابعة تنزيه ذات الله تعالى عن الجوارح والأجزاء والأعضاء التي تتصف به ذات المخلوق</w:t>
      </w:r>
    </w:p>
    <w:p w14:paraId="34519C08" w14:textId="77777777" w:rsidR="009C32A0" w:rsidRPr="005675B2" w:rsidRDefault="009C32A0" w:rsidP="000636C2">
      <w:pPr>
        <w:rPr>
          <w:b/>
          <w:bCs/>
          <w:rtl/>
          <w:lang w:bidi="ar-KW"/>
        </w:rPr>
      </w:pPr>
    </w:p>
    <w:p w14:paraId="39DBAA96" w14:textId="06BB017D" w:rsidR="009C32A0" w:rsidRPr="005675B2" w:rsidRDefault="000636C2" w:rsidP="000636C2">
      <w:pPr>
        <w:spacing w:before="240" w:after="240"/>
        <w:rPr>
          <w:b/>
          <w:rtl/>
          <w:lang w:bidi="ar-KW"/>
        </w:rPr>
      </w:pPr>
      <w:r>
        <w:rPr>
          <w:rFonts w:hint="cs"/>
          <w:bCs/>
          <w:rtl/>
          <w:lang w:bidi="ar-KW"/>
        </w:rPr>
        <w:t>(</w:t>
      </w:r>
      <w:r w:rsidR="009C32A0" w:rsidRPr="005675B2">
        <w:rPr>
          <w:rFonts w:hint="cs"/>
          <w:bCs/>
          <w:rtl/>
          <w:lang w:bidi="ar-KW"/>
        </w:rPr>
        <w:t>أ</w:t>
      </w:r>
      <w:r>
        <w:rPr>
          <w:rFonts w:hint="cs"/>
          <w:bCs/>
          <w:rtl/>
          <w:lang w:bidi="ar-KW"/>
        </w:rPr>
        <w:t>)</w:t>
      </w:r>
      <w:r w:rsidR="009C32A0" w:rsidRPr="005675B2">
        <w:rPr>
          <w:rFonts w:hint="cs"/>
          <w:bCs/>
          <w:rtl/>
          <w:lang w:bidi="ar-KW"/>
        </w:rPr>
        <w:t xml:space="preserve"> </w:t>
      </w:r>
      <w:r w:rsidR="009C32A0" w:rsidRPr="005675B2">
        <w:rPr>
          <w:rFonts w:hint="cs"/>
          <w:bCs/>
          <w:rtl/>
        </w:rPr>
        <w:t>الله تبارك وتعالى ليس كمثله شيء ليس كذاته ذات</w:t>
      </w:r>
      <w:r w:rsidR="009C32A0" w:rsidRPr="005675B2">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Pr>
          <w:rFonts w:hint="cs"/>
          <w:rtl/>
        </w:rPr>
        <w:t>،</w:t>
      </w:r>
      <w:r w:rsidR="009C32A0" w:rsidRPr="005675B2">
        <w:rPr>
          <w:rFonts w:hint="cs"/>
          <w:rtl/>
        </w:rPr>
        <w:t xml:space="preserve"> وذاته سبحانه منزهة عن الصور والتخطيط والتركيب لأن الله تعالى هو المصور وجلّ المصوِرُ أن يكون مصَورا</w:t>
      </w:r>
      <w:r>
        <w:rPr>
          <w:rFonts w:hint="cs"/>
          <w:rtl/>
        </w:rPr>
        <w:t xml:space="preserve"> </w:t>
      </w:r>
      <w:r w:rsidR="009C32A0" w:rsidRPr="005675B2">
        <w:rPr>
          <w:rFonts w:hint="cs"/>
          <w:rtl/>
        </w:rPr>
        <w:t xml:space="preserve">وتعالى عن ذلك علوا كبيرا لأن الهيئة والصورة </w:t>
      </w:r>
      <w:r w:rsidR="009C32A0" w:rsidRPr="005675B2">
        <w:rPr>
          <w:rFonts w:hint="cs"/>
          <w:rtl/>
        </w:rPr>
        <w:lastRenderedPageBreak/>
        <w:t>والتركيب والتأليف كل ذلك إنما يصح على الأجسام المحدودة والجواهر المخلوقة</w:t>
      </w:r>
      <w:r>
        <w:rPr>
          <w:rFonts w:hint="cs"/>
          <w:rtl/>
        </w:rPr>
        <w:t>،</w:t>
      </w:r>
      <w:r w:rsidR="009C32A0" w:rsidRPr="005675B2">
        <w:rPr>
          <w:rFonts w:hint="cs"/>
          <w:rtl/>
        </w:rPr>
        <w:t xml:space="preserve"> والتنزيه عن الصورة يعني بالضرورة التنزيه عن الأجزاء والأعضاء إذ الصورة تفيد</w:t>
      </w:r>
      <w:r w:rsidR="009C32A0" w:rsidRPr="005675B2">
        <w:rPr>
          <w:rFonts w:hint="cs"/>
        </w:rPr>
        <w:t xml:space="preserve"> </w:t>
      </w:r>
      <w:r w:rsidR="009C32A0" w:rsidRPr="005675B2">
        <w:rPr>
          <w:rFonts w:hint="cs"/>
          <w:rtl/>
        </w:rPr>
        <w:t>التركيب وكل مركب محدث</w:t>
      </w:r>
      <w:r>
        <w:rPr>
          <w:rFonts w:hint="cs"/>
          <w:rtl/>
        </w:rPr>
        <w:t>،</w:t>
      </w:r>
      <w:r w:rsidR="009C32A0" w:rsidRPr="005675B2">
        <w:rPr>
          <w:rFonts w:hint="cs"/>
          <w:rtl/>
        </w:rPr>
        <w:t xml:space="preserve"> والباري سبحانه وتعالى ليس بمحدث</w:t>
      </w:r>
      <w:r>
        <w:rPr>
          <w:rFonts w:hint="cs"/>
          <w:rtl/>
        </w:rPr>
        <w:t>،</w:t>
      </w:r>
      <w:r w:rsidR="009C32A0" w:rsidRPr="005675B2">
        <w:rPr>
          <w:rFonts w:hint="cs"/>
          <w:rtl/>
        </w:rPr>
        <w:t xml:space="preserve"> فليس بمركب</w:t>
      </w:r>
      <w:r>
        <w:rPr>
          <w:rFonts w:hint="cs"/>
          <w:rtl/>
        </w:rPr>
        <w:t xml:space="preserve">، </w:t>
      </w:r>
      <w:r>
        <w:rPr>
          <w:rFonts w:hint="cs"/>
          <w:bCs/>
          <w:rtl/>
        </w:rPr>
        <w:t>(</w:t>
      </w:r>
      <w:r w:rsidR="009C32A0" w:rsidRPr="005675B2">
        <w:rPr>
          <w:rFonts w:hint="cs"/>
          <w:bCs/>
          <w:rtl/>
        </w:rPr>
        <w:t>ب</w:t>
      </w:r>
      <w:r>
        <w:rPr>
          <w:rFonts w:hint="cs"/>
          <w:bCs/>
          <w:rtl/>
        </w:rPr>
        <w:t>)</w:t>
      </w:r>
      <w:r w:rsidR="009C32A0" w:rsidRPr="005675B2">
        <w:rPr>
          <w:rFonts w:hint="cs"/>
          <w:bCs/>
          <w:rtl/>
        </w:rPr>
        <w:t xml:space="preserve"> أجمع أهل القبلة عدا المجسمة والمشبهة على تنزيه الله تعالى عن الأجزاء والأعضاء والجوارح</w:t>
      </w:r>
      <w:r w:rsidR="009C32A0" w:rsidRPr="005675B2">
        <w:rPr>
          <w:rFonts w:hint="cs"/>
          <w:rtl/>
        </w:rPr>
        <w:t xml:space="preserve"> تعالى الله عن ذلك علوا كبيرا</w:t>
      </w:r>
      <w:r>
        <w:rPr>
          <w:rFonts w:hint="cs"/>
          <w:rtl/>
        </w:rPr>
        <w:t>،</w:t>
      </w:r>
      <w:r w:rsidR="009C32A0" w:rsidRPr="005675B2">
        <w:rPr>
          <w:rFonts w:hint="cs"/>
          <w:bCs/>
          <w:rtl/>
        </w:rPr>
        <w:t xml:space="preserve"> </w:t>
      </w:r>
      <w:r w:rsidR="009C32A0" w:rsidRPr="005675B2">
        <w:rPr>
          <w:rFonts w:hint="cs"/>
          <w:rtl/>
        </w:rPr>
        <w:t>قال تعالى: {قل هو الله أحد} (الإخلاص: 1)</w:t>
      </w:r>
      <w:r>
        <w:rPr>
          <w:rFonts w:hint="cs"/>
          <w:rtl/>
        </w:rPr>
        <w:t>،</w:t>
      </w:r>
      <w:r w:rsidR="009C32A0" w:rsidRPr="005675B2">
        <w:rPr>
          <w:rFonts w:hint="cs"/>
          <w:rtl/>
        </w:rPr>
        <w:t xml:space="preserve"> وقال تعالى: {والله الغني وأنتم الفقراء} (محمد: 38) ولو كان مركباً من</w:t>
      </w:r>
      <w:r w:rsidR="009C32A0" w:rsidRPr="005675B2">
        <w:rPr>
          <w:rFonts w:hint="cs"/>
        </w:rPr>
        <w:t xml:space="preserve"> </w:t>
      </w:r>
      <w:r w:rsidR="009C32A0" w:rsidRPr="005675B2">
        <w:rPr>
          <w:rFonts w:hint="cs"/>
          <w:rtl/>
        </w:rPr>
        <w:t>الأجزاء والأبعاض لكان محتاجاً إليها وذلك يمنع من كونه غنياً على الإطلاق، فثبت</w:t>
      </w:r>
      <w:r w:rsidR="009C32A0" w:rsidRPr="005675B2">
        <w:rPr>
          <w:rFonts w:hint="cs"/>
        </w:rPr>
        <w:t xml:space="preserve"> </w:t>
      </w:r>
      <w:r w:rsidR="009C32A0" w:rsidRPr="005675B2">
        <w:rPr>
          <w:rFonts w:hint="cs"/>
          <w:rtl/>
        </w:rPr>
        <w:t>بهذه الوجوه أن القول بإثبات الأعضاء والأجزاء لله محال</w:t>
      </w:r>
      <w:r>
        <w:rPr>
          <w:rFonts w:hint="cs"/>
          <w:rtl/>
        </w:rPr>
        <w:t xml:space="preserve">، </w:t>
      </w:r>
      <w:r>
        <w:rPr>
          <w:rFonts w:hint="cs"/>
          <w:bCs/>
          <w:rtl/>
        </w:rPr>
        <w:t>(</w:t>
      </w:r>
      <w:r w:rsidR="009C32A0" w:rsidRPr="005675B2">
        <w:rPr>
          <w:rFonts w:hint="cs"/>
          <w:bCs/>
          <w:rtl/>
        </w:rPr>
        <w:t>ت</w:t>
      </w:r>
      <w:r>
        <w:rPr>
          <w:rFonts w:hint="cs"/>
          <w:bCs/>
          <w:rtl/>
        </w:rPr>
        <w:t>)</w:t>
      </w:r>
      <w:r w:rsidR="009C32A0" w:rsidRPr="005675B2">
        <w:rPr>
          <w:rFonts w:hint="cs"/>
          <w:bCs/>
          <w:rtl/>
        </w:rPr>
        <w:t xml:space="preserve"> الأدلة النقلية المجملة على تنزيه الله تعالى عن الجوارح والأعضاء</w:t>
      </w:r>
      <w:r>
        <w:rPr>
          <w:rFonts w:hint="cs"/>
          <w:bCs/>
          <w:rtl/>
        </w:rPr>
        <w:t xml:space="preserve"> </w:t>
      </w:r>
      <w:r w:rsidR="009C32A0" w:rsidRPr="005675B2">
        <w:rPr>
          <w:rFonts w:hint="cs"/>
          <w:bCs/>
          <w:rtl/>
        </w:rPr>
        <w:t>والأجزاء كثيرة منها</w:t>
      </w:r>
      <w:r>
        <w:rPr>
          <w:rFonts w:hint="cs"/>
          <w:bCs/>
          <w:rtl/>
        </w:rPr>
        <w:t>:</w:t>
      </w:r>
      <w:r w:rsidR="009C32A0" w:rsidRPr="005675B2">
        <w:rPr>
          <w:rFonts w:hint="cs"/>
          <w:bCs/>
          <w:rtl/>
        </w:rPr>
        <w:t xml:space="preserve"> </w:t>
      </w:r>
      <w:r w:rsidR="009C32A0" w:rsidRPr="005675B2">
        <w:rPr>
          <w:rFonts w:hint="cs"/>
          <w:rtl/>
        </w:rPr>
        <w:t xml:space="preserve">قوله تعالى </w:t>
      </w:r>
      <w:r>
        <w:rPr>
          <w:rFonts w:hint="cs"/>
          <w:rtl/>
        </w:rPr>
        <w:t>(</w:t>
      </w:r>
      <w:r w:rsidR="009C32A0" w:rsidRPr="005675B2">
        <w:rPr>
          <w:rFonts w:hint="cs"/>
          <w:bCs/>
          <w:rtl/>
        </w:rPr>
        <w:t>قل هو الله أحد الله الصمد لم يلد ولم يولد ولم يكن له كفواً أحد</w:t>
      </w:r>
      <w:r>
        <w:rPr>
          <w:rFonts w:hint="cs"/>
          <w:rtl/>
        </w:rPr>
        <w:t>)</w:t>
      </w:r>
      <w:r w:rsidR="009C32A0" w:rsidRPr="005675B2">
        <w:rPr>
          <w:rFonts w:hint="cs"/>
          <w:rtl/>
        </w:rPr>
        <w:t xml:space="preserve"> قوله تعالى </w:t>
      </w:r>
      <w:r>
        <w:rPr>
          <w:rFonts w:hint="cs"/>
          <w:rtl/>
        </w:rPr>
        <w:t>(</w:t>
      </w:r>
      <w:r w:rsidR="009C32A0" w:rsidRPr="005675B2">
        <w:rPr>
          <w:rFonts w:hint="cs"/>
          <w:bCs/>
          <w:rtl/>
        </w:rPr>
        <w:t>أحد</w:t>
      </w:r>
      <w:r w:rsidR="009C32A0" w:rsidRPr="005675B2">
        <w:rPr>
          <w:rFonts w:hint="cs"/>
          <w:rtl/>
        </w:rPr>
        <w:t>) ولفظ الأحد مبالغة في الوحدة، وذلك ينافي كونه مركباً من الأجزاء والأبعاض</w:t>
      </w:r>
      <w:r>
        <w:rPr>
          <w:rFonts w:hint="cs"/>
          <w:rtl/>
        </w:rPr>
        <w:t>،</w:t>
      </w:r>
      <w:r w:rsidR="009C32A0" w:rsidRPr="005675B2">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9C32A0" w:rsidRPr="005675B2">
        <w:rPr>
          <w:rFonts w:hint="cs"/>
          <w:rtl/>
        </w:rPr>
        <w:t>لم يكن أحدا</w:t>
      </w:r>
      <w:r>
        <w:rPr>
          <w:rFonts w:hint="cs"/>
          <w:rtl/>
        </w:rPr>
        <w:t>،</w:t>
      </w:r>
      <w:r w:rsidR="009C32A0" w:rsidRPr="005675B2">
        <w:rPr>
          <w:rFonts w:hint="cs"/>
          <w:rtl/>
        </w:rPr>
        <w:t xml:space="preserve"> لأن أجزاؤه توجب وقوع الكثرة فى ذات الله تعالى والكثرة تنافي الأحدية في ذات الله</w:t>
      </w:r>
      <w:r>
        <w:rPr>
          <w:rFonts w:hint="cs"/>
          <w:rtl/>
        </w:rPr>
        <w:t>،</w:t>
      </w:r>
      <w:r w:rsidR="009C32A0" w:rsidRPr="005675B2">
        <w:rPr>
          <w:rFonts w:hint="cs"/>
          <w:rtl/>
        </w:rPr>
        <w:t xml:space="preserve"> وقوله تعالى </w:t>
      </w:r>
      <w:r>
        <w:rPr>
          <w:rFonts w:hint="cs"/>
          <w:rtl/>
        </w:rPr>
        <w:t>(</w:t>
      </w:r>
      <w:r w:rsidR="009C32A0" w:rsidRPr="005675B2">
        <w:rPr>
          <w:rFonts w:hint="cs"/>
          <w:bCs/>
          <w:rtl/>
        </w:rPr>
        <w:t>الله الصمد</w:t>
      </w:r>
      <w:r>
        <w:rPr>
          <w:rFonts w:hint="cs"/>
          <w:rtl/>
        </w:rPr>
        <w:t>)</w:t>
      </w:r>
      <w:r w:rsidR="009C32A0" w:rsidRPr="005675B2">
        <w:rPr>
          <w:rFonts w:hint="cs"/>
          <w:rtl/>
        </w:rPr>
        <w:t xml:space="preserve"> الصمدية كذلك تدل نفي الجارحة والأجزاء على الله بدليل</w:t>
      </w:r>
      <w:r>
        <w:rPr>
          <w:rFonts w:hint="cs"/>
          <w:rtl/>
        </w:rPr>
        <w:t>:</w:t>
      </w:r>
      <w:r w:rsidR="009C32A0" w:rsidRPr="005675B2">
        <w:rPr>
          <w:rFonts w:hint="cs"/>
          <w:rtl/>
        </w:rPr>
        <w:t xml:space="preserve"> أن كل جسم فهو مركب</w:t>
      </w:r>
      <w:r>
        <w:rPr>
          <w:rFonts w:hint="cs"/>
          <w:rtl/>
        </w:rPr>
        <w:t>،</w:t>
      </w:r>
      <w:r w:rsidR="009C32A0" w:rsidRPr="005675B2">
        <w:rPr>
          <w:rFonts w:hint="cs"/>
          <w:rtl/>
        </w:rPr>
        <w:t xml:space="preserve"> وكل مركب فهو محتاج إلى كل واحد من أجزائه وكل واحد من أجزائه غيره</w:t>
      </w:r>
      <w:r>
        <w:rPr>
          <w:rFonts w:hint="cs"/>
          <w:rtl/>
        </w:rPr>
        <w:t>،</w:t>
      </w:r>
      <w:r w:rsidR="009C32A0" w:rsidRPr="005675B2">
        <w:rPr>
          <w:rFonts w:hint="cs"/>
          <w:rtl/>
        </w:rPr>
        <w:t xml:space="preserve"> فكل مركب فهو محتاج إلى غيره والمحتاج إلى الغير لا يكون غنياً محتاجا </w:t>
      </w:r>
      <w:r>
        <w:rPr>
          <w:rFonts w:hint="cs"/>
          <w:rtl/>
        </w:rPr>
        <w:t>(</w:t>
      </w:r>
      <w:r w:rsidR="009C32A0" w:rsidRPr="005675B2">
        <w:rPr>
          <w:rFonts w:hint="cs"/>
          <w:rtl/>
        </w:rPr>
        <w:t>إليه</w:t>
      </w:r>
      <w:r>
        <w:rPr>
          <w:rFonts w:hint="cs"/>
          <w:rtl/>
        </w:rPr>
        <w:t>)</w:t>
      </w:r>
      <w:r w:rsidR="009C32A0" w:rsidRPr="005675B2">
        <w:rPr>
          <w:rFonts w:hint="cs"/>
          <w:rtl/>
        </w:rPr>
        <w:t xml:space="preserve"> فلم يكن صمداً مطلقاً </w:t>
      </w:r>
      <w:r w:rsidR="009C32A0" w:rsidRPr="005675B2">
        <w:rPr>
          <w:rFonts w:hint="cs"/>
          <w:rtl/>
          <w:lang w:bidi="ar-KW"/>
        </w:rPr>
        <w:t>وكذلك</w:t>
      </w:r>
      <w:r>
        <w:rPr>
          <w:rFonts w:hint="cs"/>
          <w:rtl/>
          <w:lang w:bidi="ar-KW"/>
        </w:rPr>
        <w:t xml:space="preserve"> </w:t>
      </w:r>
      <w:r w:rsidR="009C32A0" w:rsidRPr="005675B2">
        <w:rPr>
          <w:rFonts w:hint="cs"/>
          <w:rtl/>
        </w:rPr>
        <w:t>لو كان سبحانه مركباً من الجوارح والأعضاء لأحتاج في الإبصار إلى العين وفى الفعل إلي اليد</w:t>
      </w:r>
      <w:r w:rsidR="009C32A0" w:rsidRPr="005675B2">
        <w:rPr>
          <w:rFonts w:hint="cs"/>
        </w:rPr>
        <w:t xml:space="preserve"> </w:t>
      </w:r>
      <w:r w:rsidR="009C32A0" w:rsidRPr="005675B2">
        <w:rPr>
          <w:rFonts w:hint="cs"/>
          <w:rtl/>
        </w:rPr>
        <w:t>وفى المشي إلي الرجل وذلك</w:t>
      </w:r>
      <w:r w:rsidR="009C32A0" w:rsidRPr="005675B2">
        <w:rPr>
          <w:rFonts w:hint="cs"/>
        </w:rPr>
        <w:t xml:space="preserve"> </w:t>
      </w:r>
      <w:r w:rsidR="009C32A0" w:rsidRPr="005675B2">
        <w:rPr>
          <w:rFonts w:hint="cs"/>
          <w:rtl/>
        </w:rPr>
        <w:t>ينافى كونه صمداً مطلقاً له كمال الغني ونفي الاحتياج</w:t>
      </w:r>
      <w:r>
        <w:rPr>
          <w:rFonts w:hint="cs"/>
          <w:rtl/>
        </w:rPr>
        <w:t>،</w:t>
      </w:r>
      <w:r w:rsidR="009C32A0" w:rsidRPr="005675B2">
        <w:rPr>
          <w:rFonts w:hint="cs"/>
          <w:rtl/>
        </w:rPr>
        <w:t xml:space="preserve"> وقوله تعالى </w:t>
      </w:r>
      <w:r>
        <w:rPr>
          <w:rFonts w:hint="cs"/>
          <w:rtl/>
        </w:rPr>
        <w:t>(</w:t>
      </w:r>
      <w:r w:rsidR="009C32A0" w:rsidRPr="005675B2">
        <w:rPr>
          <w:rFonts w:hint="cs"/>
          <w:bCs/>
          <w:rtl/>
        </w:rPr>
        <w:t>ولم يكن له كفوا أحد</w:t>
      </w:r>
      <w:r>
        <w:rPr>
          <w:rFonts w:hint="cs"/>
          <w:rtl/>
        </w:rPr>
        <w:t>)</w:t>
      </w:r>
      <w:r w:rsidR="009C32A0" w:rsidRPr="005675B2">
        <w:rPr>
          <w:rFonts w:hint="cs"/>
          <w:rtl/>
        </w:rPr>
        <w:t xml:space="preserve"> نفي للمثلية كقوله تعالى </w:t>
      </w:r>
      <w:r>
        <w:rPr>
          <w:rFonts w:hint="cs"/>
          <w:rtl/>
        </w:rPr>
        <w:t>(</w:t>
      </w:r>
      <w:r w:rsidR="009C32A0" w:rsidRPr="005675B2">
        <w:rPr>
          <w:rFonts w:hint="cs"/>
          <w:bCs/>
          <w:rtl/>
        </w:rPr>
        <w:t>ليس كمثله شيء</w:t>
      </w:r>
      <w:r>
        <w:rPr>
          <w:rFonts w:hint="cs"/>
          <w:rtl/>
        </w:rPr>
        <w:t>)</w:t>
      </w:r>
      <w:r w:rsidR="009C32A0" w:rsidRPr="005675B2">
        <w:rPr>
          <w:rFonts w:hint="cs"/>
          <w:rtl/>
        </w:rPr>
        <w:t xml:space="preserve"> ولو كان مركبا من أجزاء وجوارح</w:t>
      </w:r>
      <w:r>
        <w:rPr>
          <w:rFonts w:hint="cs"/>
          <w:rtl/>
        </w:rPr>
        <w:t xml:space="preserve"> </w:t>
      </w:r>
      <w:r w:rsidR="009C32A0" w:rsidRPr="005675B2">
        <w:rPr>
          <w:rFonts w:hint="cs"/>
          <w:rtl/>
        </w:rPr>
        <w:t>لكان مثلاً لسائر المخلوقات المركبة من أجزاء وجوارح</w:t>
      </w:r>
      <w:r>
        <w:rPr>
          <w:rFonts w:hint="cs"/>
          <w:rtl/>
        </w:rPr>
        <w:t>،</w:t>
      </w:r>
      <w:r w:rsidR="009C32A0" w:rsidRPr="005675B2">
        <w:rPr>
          <w:rFonts w:hint="cs"/>
          <w:rtl/>
        </w:rPr>
        <w:t xml:space="preserve"> وقوله تعالى </w:t>
      </w:r>
      <w:r>
        <w:rPr>
          <w:rFonts w:hint="cs"/>
          <w:rtl/>
        </w:rPr>
        <w:t>(</w:t>
      </w:r>
      <w:r w:rsidR="009C32A0" w:rsidRPr="005675B2">
        <w:rPr>
          <w:rFonts w:hint="cs"/>
          <w:bCs/>
          <w:rtl/>
        </w:rPr>
        <w:t>والله الغنى وأنتم الفقراء</w:t>
      </w:r>
      <w:r>
        <w:rPr>
          <w:rFonts w:hint="cs"/>
          <w:rtl/>
        </w:rPr>
        <w:t>)</w:t>
      </w:r>
      <w:r w:rsidR="009C32A0" w:rsidRPr="005675B2">
        <w:rPr>
          <w:rFonts w:hint="cs"/>
          <w:rtl/>
        </w:rPr>
        <w:t xml:space="preserve"> دلت هذه الآية على كونه تعالى غنى ولو كان مركبا من أجزاء وجوارح</w:t>
      </w:r>
      <w:r>
        <w:rPr>
          <w:rFonts w:hint="cs"/>
          <w:rtl/>
        </w:rPr>
        <w:t xml:space="preserve"> </w:t>
      </w:r>
      <w:r w:rsidR="009C32A0" w:rsidRPr="005675B2">
        <w:rPr>
          <w:rFonts w:hint="cs"/>
          <w:rtl/>
        </w:rPr>
        <w:t>لما كان غنياً لأن كل جسم مركب وكل مركب محتاج إلى كل واحد من أجزائه</w:t>
      </w:r>
      <w:r>
        <w:rPr>
          <w:rFonts w:hint="cs"/>
          <w:rtl/>
        </w:rPr>
        <w:t>،</w:t>
      </w:r>
      <w:r w:rsidR="009C32A0" w:rsidRPr="005675B2">
        <w:rPr>
          <w:rFonts w:hint="cs"/>
          <w:rtl/>
        </w:rPr>
        <w:t xml:space="preserve"> وقوله تعالى </w:t>
      </w:r>
      <w:r>
        <w:rPr>
          <w:rFonts w:hint="cs"/>
          <w:rtl/>
        </w:rPr>
        <w:t>(</w:t>
      </w:r>
      <w:r w:rsidR="009C32A0" w:rsidRPr="005675B2">
        <w:rPr>
          <w:rFonts w:hint="cs"/>
          <w:bCs/>
          <w:rtl/>
        </w:rPr>
        <w:t>لا إله إلا هو الحي القيوم</w:t>
      </w:r>
      <w:r>
        <w:rPr>
          <w:rFonts w:hint="cs"/>
          <w:rtl/>
        </w:rPr>
        <w:t>)</w:t>
      </w:r>
      <w:r w:rsidR="009C32A0" w:rsidRPr="005675B2">
        <w:rPr>
          <w:rFonts w:hint="cs"/>
          <w:rtl/>
        </w:rPr>
        <w:t xml:space="preserve"> والقيوم مبالغة في كونه غنياً عن كل ما سواه</w:t>
      </w:r>
      <w:r>
        <w:rPr>
          <w:rFonts w:hint="cs"/>
          <w:rtl/>
        </w:rPr>
        <w:t>،</w:t>
      </w:r>
      <w:r w:rsidR="009C32A0" w:rsidRPr="005675B2">
        <w:rPr>
          <w:rFonts w:hint="cs"/>
          <w:rtl/>
        </w:rPr>
        <w:t xml:space="preserve"> وكونه مقوماً لغيره</w:t>
      </w:r>
      <w:r>
        <w:rPr>
          <w:rFonts w:hint="cs"/>
          <w:rtl/>
        </w:rPr>
        <w:t>:</w:t>
      </w:r>
      <w:r w:rsidR="009C32A0" w:rsidRPr="005675B2">
        <w:rPr>
          <w:rFonts w:hint="cs"/>
          <w:rtl/>
        </w:rPr>
        <w:t xml:space="preserve"> عبارة عن احتياج كل ما سواه إليه</w:t>
      </w:r>
      <w:r>
        <w:rPr>
          <w:rFonts w:hint="cs"/>
          <w:rtl/>
        </w:rPr>
        <w:t>،</w:t>
      </w:r>
      <w:r w:rsidR="009C32A0" w:rsidRPr="005675B2">
        <w:rPr>
          <w:rFonts w:hint="cs"/>
          <w:rtl/>
        </w:rPr>
        <w:t xml:space="preserve"> فلو كان مركبا من جوارح وأجزاء</w:t>
      </w:r>
      <w:r>
        <w:rPr>
          <w:rFonts w:hint="cs"/>
          <w:rtl/>
        </w:rPr>
        <w:t xml:space="preserve"> </w:t>
      </w:r>
      <w:r w:rsidR="009C32A0" w:rsidRPr="005675B2">
        <w:rPr>
          <w:rFonts w:hint="cs"/>
          <w:rtl/>
        </w:rPr>
        <w:t>لكان هو مفتقراً إلى غيره وهو جزؤه الذي منه يتألف</w:t>
      </w:r>
      <w:r>
        <w:rPr>
          <w:rFonts w:hint="cs"/>
          <w:rtl/>
        </w:rPr>
        <w:t xml:space="preserve">، </w:t>
      </w:r>
      <w:r w:rsidR="009C32A0" w:rsidRPr="005675B2">
        <w:rPr>
          <w:rFonts w:hint="cs"/>
          <w:rtl/>
        </w:rPr>
        <w:t>ولكان غيره غنياً عنه وهو جزئه وحينئذ لا يكون قيوماً</w:t>
      </w:r>
      <w:r>
        <w:rPr>
          <w:rFonts w:hint="cs"/>
          <w:rtl/>
        </w:rPr>
        <w:t>،</w:t>
      </w:r>
      <w:r w:rsidR="009C32A0" w:rsidRPr="005675B2">
        <w:rPr>
          <w:rFonts w:hint="cs"/>
          <w:rtl/>
        </w:rPr>
        <w:t xml:space="preserve"> وقوله تعالى </w:t>
      </w:r>
      <w:r>
        <w:rPr>
          <w:rFonts w:hint="cs"/>
          <w:rtl/>
        </w:rPr>
        <w:t>(</w:t>
      </w:r>
      <w:r w:rsidR="009C32A0" w:rsidRPr="005675B2">
        <w:rPr>
          <w:rFonts w:hint="cs"/>
          <w:bCs/>
          <w:rtl/>
        </w:rPr>
        <w:t>ليس كمثله شيء</w:t>
      </w:r>
      <w:r>
        <w:rPr>
          <w:rFonts w:hint="cs"/>
          <w:rtl/>
        </w:rPr>
        <w:t>)</w:t>
      </w:r>
      <w:r w:rsidR="009C32A0" w:rsidRPr="005675B2">
        <w:rPr>
          <w:rFonts w:hint="cs"/>
          <w:rtl/>
        </w:rPr>
        <w:t xml:space="preserve"> ولو كان مركبا من أجزاء وجوارح</w:t>
      </w:r>
      <w:r>
        <w:rPr>
          <w:rFonts w:hint="cs"/>
          <w:rtl/>
        </w:rPr>
        <w:t xml:space="preserve"> </w:t>
      </w:r>
      <w:r w:rsidR="009C32A0" w:rsidRPr="005675B2">
        <w:rPr>
          <w:rFonts w:hint="cs"/>
          <w:rtl/>
        </w:rPr>
        <w:t>لكان مثلاً لسائر المخلوقات المركبة من أجزاء وجوارح</w:t>
      </w:r>
      <w:r>
        <w:rPr>
          <w:rFonts w:hint="cs"/>
          <w:rtl/>
        </w:rPr>
        <w:t xml:space="preserve">، </w:t>
      </w:r>
      <w:r>
        <w:rPr>
          <w:rFonts w:hint="cs"/>
          <w:bCs/>
          <w:rtl/>
        </w:rPr>
        <w:t>(</w:t>
      </w:r>
      <w:r w:rsidR="009C32A0" w:rsidRPr="005675B2">
        <w:rPr>
          <w:rFonts w:hint="cs"/>
          <w:bCs/>
          <w:rtl/>
        </w:rPr>
        <w:t>ث</w:t>
      </w:r>
      <w:r>
        <w:rPr>
          <w:rFonts w:hint="cs"/>
          <w:bCs/>
          <w:rtl/>
        </w:rPr>
        <w:t>)</w:t>
      </w:r>
      <w:r w:rsidR="009C32A0" w:rsidRPr="005675B2">
        <w:rPr>
          <w:rFonts w:hint="cs"/>
          <w:bCs/>
          <w:rtl/>
        </w:rPr>
        <w:t xml:space="preserve"> ومن أقوال العلماء في تنزيه الله تعالى عن الجوارح والأعضاء</w:t>
      </w:r>
      <w:r>
        <w:rPr>
          <w:rFonts w:hint="cs"/>
          <w:rtl/>
        </w:rPr>
        <w:t>:</w:t>
      </w:r>
      <w:r w:rsidR="009C32A0" w:rsidRPr="005675B2">
        <w:rPr>
          <w:rFonts w:hint="cs"/>
          <w:rtl/>
        </w:rPr>
        <w:t xml:space="preserve"> </w:t>
      </w:r>
      <w:r w:rsidR="009C32A0" w:rsidRPr="005675B2">
        <w:rPr>
          <w:rFonts w:hint="cs"/>
          <w:bCs/>
          <w:rtl/>
        </w:rPr>
        <w:t>قال النووي</w:t>
      </w:r>
      <w:r w:rsidR="009C32A0" w:rsidRPr="005675B2">
        <w:rPr>
          <w:rFonts w:hint="cs"/>
          <w:rtl/>
        </w:rPr>
        <w:t xml:space="preserve"> " قال المازري وقد</w:t>
      </w:r>
      <w:r w:rsidR="009C32A0" w:rsidRPr="005675B2">
        <w:rPr>
          <w:rFonts w:hint="cs"/>
        </w:rPr>
        <w:t xml:space="preserve"> </w:t>
      </w:r>
      <w:r w:rsidR="009C32A0" w:rsidRPr="005675B2">
        <w:rPr>
          <w:rFonts w:hint="cs"/>
          <w:rtl/>
        </w:rPr>
        <w:t xml:space="preserve">غلط ابن قتيبة في هذا الحديث فأجراه على </w:t>
      </w:r>
      <w:r w:rsidR="009C32A0" w:rsidRPr="005675B2">
        <w:rPr>
          <w:rFonts w:hint="cs"/>
          <w:rtl/>
        </w:rPr>
        <w:lastRenderedPageBreak/>
        <w:t>ظاهره</w:t>
      </w:r>
      <w:r w:rsidR="009C32A0" w:rsidRPr="005675B2">
        <w:rPr>
          <w:rFonts w:hint="cs"/>
        </w:rPr>
        <w:t xml:space="preserve"> </w:t>
      </w:r>
      <w:r w:rsidR="009C32A0" w:rsidRPr="005675B2">
        <w:rPr>
          <w:rFonts w:hint="cs"/>
          <w:rtl/>
        </w:rPr>
        <w:t>وقال لله تعالى صورة لا كالصور وهذا الذي قاله ظاهر الفساد لأن الصورة تفيد التركيب</w:t>
      </w:r>
      <w:r w:rsidR="009C32A0" w:rsidRPr="005675B2">
        <w:rPr>
          <w:rFonts w:hint="cs"/>
        </w:rPr>
        <w:t xml:space="preserve"> </w:t>
      </w:r>
      <w:r w:rsidR="009C32A0" w:rsidRPr="005675B2">
        <w:rPr>
          <w:rFonts w:hint="cs"/>
          <w:rtl/>
        </w:rPr>
        <w:t>وكل مركب محدث والله تعالى ليس بمحدث فليس هو مركبا فليس مصورا ..قال له ايضا إن أردت بقولك صورة لا كالصور أنه ليس بمؤلف ولا مركب</w:t>
      </w:r>
      <w:r w:rsidR="009C32A0" w:rsidRPr="005675B2">
        <w:rPr>
          <w:rFonts w:hint="cs"/>
        </w:rPr>
        <w:t xml:space="preserve"> </w:t>
      </w:r>
      <w:r w:rsidR="009C32A0" w:rsidRPr="005675B2">
        <w:rPr>
          <w:rFonts w:hint="cs"/>
          <w:rtl/>
        </w:rPr>
        <w:t>فليس بصورة حقيقة وليست اللفظة على ظاهرها" أهـ</w:t>
      </w:r>
      <w:r>
        <w:rPr>
          <w:rFonts w:hint="cs"/>
          <w:rtl/>
        </w:rPr>
        <w:t xml:space="preserve"> [</w:t>
      </w:r>
      <w:r w:rsidR="009C32A0" w:rsidRPr="005675B2">
        <w:rPr>
          <w:rFonts w:hint="cs"/>
          <w:rtl/>
        </w:rPr>
        <w:t>شرح النووي على صحيح مسلم ج: 16 ص: 166</w:t>
      </w:r>
      <w:r>
        <w:rPr>
          <w:rFonts w:hint="cs"/>
          <w:rtl/>
        </w:rPr>
        <w:t>]،</w:t>
      </w:r>
      <w:r w:rsidR="009C32A0" w:rsidRPr="005675B2">
        <w:rPr>
          <w:rFonts w:hint="cs"/>
          <w:rtl/>
        </w:rPr>
        <w:t xml:space="preserve"> </w:t>
      </w:r>
      <w:r w:rsidR="009C32A0" w:rsidRPr="005675B2">
        <w:rPr>
          <w:rFonts w:hint="cs"/>
          <w:bCs/>
          <w:rtl/>
        </w:rPr>
        <w:t>وقال ابن فورك</w:t>
      </w:r>
      <w:r>
        <w:rPr>
          <w:rFonts w:hint="cs"/>
          <w:bCs/>
          <w:rtl/>
        </w:rPr>
        <w:t>:</w:t>
      </w:r>
      <w:r w:rsidR="009C32A0" w:rsidRPr="005675B2">
        <w:rPr>
          <w:rFonts w:hint="cs"/>
          <w:rtl/>
        </w:rPr>
        <w:t xml:space="preserve"> " </w:t>
      </w:r>
      <w:r>
        <w:rPr>
          <w:rFonts w:hint="cs"/>
          <w:rtl/>
        </w:rPr>
        <w:t>(</w:t>
      </w:r>
      <w:r w:rsidR="009C32A0" w:rsidRPr="005675B2">
        <w:rPr>
          <w:rFonts w:hint="cs"/>
          <w:rtl/>
        </w:rPr>
        <w:t>إن الله كان سميعا بصيرا</w:t>
      </w:r>
      <w:r>
        <w:rPr>
          <w:rFonts w:hint="cs"/>
          <w:rtl/>
        </w:rPr>
        <w:t>)</w:t>
      </w:r>
      <w:r w:rsidR="009C32A0" w:rsidRPr="005675B2">
        <w:rPr>
          <w:rFonts w:hint="cs"/>
          <w:rtl/>
        </w:rPr>
        <w:t xml:space="preserve"> إن الفائدة فيه إنكاره قول من ذهب إليه من البدع إلى إثبات جارحة</w:t>
      </w:r>
      <w:r>
        <w:rPr>
          <w:rFonts w:hint="cs"/>
          <w:rtl/>
        </w:rPr>
        <w:t>،</w:t>
      </w:r>
      <w:r w:rsidR="009C32A0" w:rsidRPr="005675B2">
        <w:rPr>
          <w:rFonts w:hint="cs"/>
          <w:rtl/>
        </w:rPr>
        <w:t xml:space="preserve"> ولكن على أن معنى العين ما وصف به جل وعز أنه سميع بصير ... ولم يرد صلى الله عليه وسلم إثبات جارحة لاستحالة وصفه بالجوارح</w:t>
      </w:r>
      <w:r>
        <w:rPr>
          <w:rFonts w:hint="cs"/>
          <w:rtl/>
        </w:rPr>
        <w:t>)</w:t>
      </w:r>
      <w:r w:rsidR="009C32A0" w:rsidRPr="005675B2">
        <w:rPr>
          <w:rFonts w:hint="cs"/>
          <w:rtl/>
        </w:rPr>
        <w:t xml:space="preserve"> ابن فورك ص431</w:t>
      </w:r>
      <w:r>
        <w:rPr>
          <w:rFonts w:hint="cs"/>
          <w:rtl/>
        </w:rPr>
        <w:t>،</w:t>
      </w:r>
      <w:r w:rsidR="009C32A0" w:rsidRPr="005675B2">
        <w:rPr>
          <w:rFonts w:hint="cs"/>
          <w:rtl/>
        </w:rPr>
        <w:t xml:space="preserve"> </w:t>
      </w:r>
      <w:r w:rsidR="009C32A0" w:rsidRPr="005675B2">
        <w:rPr>
          <w:rFonts w:hint="cs"/>
          <w:bCs/>
          <w:rtl/>
        </w:rPr>
        <w:t>وقال القسطلاني</w:t>
      </w:r>
      <w:r>
        <w:rPr>
          <w:rFonts w:hint="cs"/>
          <w:rtl/>
        </w:rPr>
        <w:t>:</w:t>
      </w:r>
      <w:r w:rsidR="009C32A0" w:rsidRPr="005675B2">
        <w:rPr>
          <w:rFonts w:hint="cs"/>
          <w:rtl/>
        </w:rPr>
        <w:t xml:space="preserve"> "</w:t>
      </w:r>
      <w:r>
        <w:rPr>
          <w:rFonts w:hint="cs"/>
          <w:rtl/>
        </w:rPr>
        <w:t xml:space="preserve"> </w:t>
      </w:r>
      <w:r w:rsidR="009C32A0" w:rsidRPr="005675B2">
        <w:rPr>
          <w:rFonts w:hint="cs"/>
          <w:rtl/>
        </w:rPr>
        <w:t xml:space="preserve">وتؤول الاصبع هنا بالقدرة إذ إرادة الجارحة مستحيلة " </w:t>
      </w:r>
      <w:r>
        <w:rPr>
          <w:rFonts w:hint="cs"/>
          <w:rtl/>
        </w:rPr>
        <w:t>[</w:t>
      </w:r>
      <w:r w:rsidR="009C32A0" w:rsidRPr="005675B2">
        <w:rPr>
          <w:rFonts w:hint="cs"/>
          <w:rtl/>
        </w:rPr>
        <w:t>إرشاد الساري</w:t>
      </w:r>
      <w:r>
        <w:rPr>
          <w:rFonts w:hint="cs"/>
          <w:rtl/>
        </w:rPr>
        <w:t>:</w:t>
      </w:r>
      <w:r w:rsidR="009C32A0" w:rsidRPr="005675B2">
        <w:rPr>
          <w:rFonts w:hint="cs"/>
          <w:rtl/>
        </w:rPr>
        <w:t>ج15ص381] أهــ</w:t>
      </w:r>
      <w:r>
        <w:rPr>
          <w:rFonts w:hint="cs"/>
          <w:rtl/>
        </w:rPr>
        <w:t>،</w:t>
      </w:r>
      <w:r w:rsidR="009C32A0" w:rsidRPr="005675B2">
        <w:rPr>
          <w:rFonts w:hint="cs"/>
          <w:rtl/>
        </w:rPr>
        <w:t xml:space="preserve"> </w:t>
      </w:r>
      <w:r w:rsidR="009C32A0" w:rsidRPr="005675B2">
        <w:rPr>
          <w:rFonts w:hint="cs"/>
          <w:bCs/>
          <w:rtl/>
        </w:rPr>
        <w:t>وجاء في البحر المحيط</w:t>
      </w:r>
      <w:r>
        <w:rPr>
          <w:rFonts w:hint="cs"/>
          <w:bCs/>
          <w:rtl/>
        </w:rPr>
        <w:t>:</w:t>
      </w:r>
      <w:r w:rsidR="009C32A0" w:rsidRPr="005675B2">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Pr>
          <w:rFonts w:hint="cs"/>
          <w:rtl/>
        </w:rPr>
        <w:t>(</w:t>
      </w:r>
      <w:r w:rsidR="009C32A0" w:rsidRPr="005675B2">
        <w:rPr>
          <w:rFonts w:hint="cs"/>
          <w:rtl/>
        </w:rPr>
        <w:t>يداك يدا مجد فكف مفيدة</w:t>
      </w:r>
      <w:r w:rsidR="009C32A0" w:rsidRPr="005675B2">
        <w:rPr>
          <w:rFonts w:hint="cs"/>
          <w:rtl/>
        </w:rPr>
        <w:tab/>
      </w:r>
      <w:r>
        <w:rPr>
          <w:rFonts w:hint="cs"/>
          <w:rtl/>
        </w:rPr>
        <w:t xml:space="preserve"> </w:t>
      </w:r>
      <w:r w:rsidR="009C32A0" w:rsidRPr="005675B2">
        <w:rPr>
          <w:rFonts w:hint="cs"/>
          <w:rtl/>
        </w:rPr>
        <w:t>وكفّ إذا ما ضنّ بالمال تنفق</w:t>
      </w:r>
      <w:r>
        <w:rPr>
          <w:rFonts w:hint="cs"/>
          <w:rtl/>
        </w:rPr>
        <w:t>)،</w:t>
      </w:r>
      <w:r w:rsidR="009C32A0" w:rsidRPr="005675B2">
        <w:rPr>
          <w:rFonts w:hint="cs"/>
          <w:rtl/>
        </w:rPr>
        <w:t xml:space="preserve"> ويؤيد أنّ اليدين هنا بمعنى الإنعام قرينة الإنفاق." [</w:t>
      </w:r>
      <w:r w:rsidR="009C32A0" w:rsidRPr="005675B2">
        <w:rPr>
          <w:rFonts w:hint="cs"/>
          <w:rtl/>
          <w:lang w:bidi="ar-KW"/>
        </w:rPr>
        <w:t xml:space="preserve">تفسير البحر المحيط قوله تعالى </w:t>
      </w:r>
      <w:r>
        <w:rPr>
          <w:rFonts w:hint="cs"/>
          <w:rtl/>
          <w:lang w:bidi="ar-KW"/>
        </w:rPr>
        <w:t>(</w:t>
      </w:r>
      <w:r w:rsidR="009C32A0" w:rsidRPr="005675B2">
        <w:rPr>
          <w:rFonts w:hint="cs"/>
          <w:rtl/>
          <w:lang w:bidi="ar-KW"/>
        </w:rPr>
        <w:t>بل يداه مبسوطتان ينفق كيف يشاء</w:t>
      </w:r>
      <w:r>
        <w:rPr>
          <w:rFonts w:hint="cs"/>
          <w:rtl/>
          <w:lang w:bidi="ar-KW"/>
        </w:rPr>
        <w:t>)</w:t>
      </w:r>
      <w:r w:rsidR="009C32A0" w:rsidRPr="005675B2">
        <w:rPr>
          <w:rFonts w:hint="cs"/>
          <w:rtl/>
        </w:rPr>
        <w:t>] أهـــ</w:t>
      </w:r>
      <w:r>
        <w:rPr>
          <w:rFonts w:hint="cs"/>
          <w:rtl/>
        </w:rPr>
        <w:t>،</w:t>
      </w:r>
      <w:r w:rsidR="009C32A0" w:rsidRPr="005675B2">
        <w:rPr>
          <w:rFonts w:hint="cs"/>
          <w:rtl/>
        </w:rPr>
        <w:t xml:space="preserve"> </w:t>
      </w:r>
      <w:r w:rsidR="009C32A0" w:rsidRPr="005675B2">
        <w:rPr>
          <w:rFonts w:hint="cs"/>
          <w:bCs/>
          <w:rtl/>
        </w:rPr>
        <w:t>وقال الرازي في التفسير</w:t>
      </w:r>
      <w:r>
        <w:rPr>
          <w:rFonts w:hint="cs"/>
          <w:bCs/>
          <w:rtl/>
        </w:rPr>
        <w:t>:</w:t>
      </w:r>
      <w:r w:rsidR="009C32A0" w:rsidRPr="005675B2">
        <w:rPr>
          <w:rFonts w:hint="cs"/>
          <w:rtl/>
        </w:rPr>
        <w:t xml:space="preserve"> </w:t>
      </w:r>
      <w:r>
        <w:rPr>
          <w:rFonts w:hint="cs"/>
          <w:rtl/>
        </w:rPr>
        <w:t>(</w:t>
      </w:r>
      <w:r w:rsidR="009C32A0" w:rsidRPr="005675B2">
        <w:rPr>
          <w:rFonts w:hint="cs"/>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Pr>
          <w:rFonts w:hint="cs"/>
          <w:rtl/>
        </w:rPr>
        <w:t>(</w:t>
      </w:r>
      <w:r w:rsidR="009C32A0" w:rsidRPr="005675B2">
        <w:rPr>
          <w:rFonts w:hint="cs"/>
          <w:rtl/>
        </w:rPr>
        <w:t>أي تحت تسخيره وتدبيره</w:t>
      </w:r>
      <w:r>
        <w:rPr>
          <w:rFonts w:hint="cs"/>
          <w:rtl/>
        </w:rPr>
        <w:t>)</w:t>
      </w:r>
      <w:r w:rsidR="009C32A0" w:rsidRPr="005675B2">
        <w:rPr>
          <w:rFonts w:hint="cs"/>
          <w:rtl/>
        </w:rPr>
        <w:t xml:space="preserve"> وحاصل القول في القبضة واليمين هو القدرة الكاملة الوافية بحفظ هذه الأجسام العظيمة " [التفسير الكبير ج27ص16] أهـــ</w:t>
      </w:r>
      <w:r>
        <w:rPr>
          <w:rFonts w:hint="cs"/>
          <w:rtl/>
        </w:rPr>
        <w:t>،</w:t>
      </w:r>
      <w:r w:rsidR="009C32A0" w:rsidRPr="005675B2">
        <w:rPr>
          <w:rFonts w:hint="cs"/>
          <w:rtl/>
        </w:rPr>
        <w:t xml:space="preserve"> </w:t>
      </w:r>
      <w:r w:rsidR="009C32A0" w:rsidRPr="005675B2">
        <w:rPr>
          <w:rFonts w:hint="cs"/>
          <w:bCs/>
          <w:rtl/>
        </w:rPr>
        <w:t>وقال مرعي بن يوسف المقدسي الحنبلي</w:t>
      </w:r>
      <w:r w:rsidR="009C32A0" w:rsidRPr="005675B2">
        <w:rPr>
          <w:rFonts w:hint="cs"/>
          <w:rtl/>
        </w:rPr>
        <w:t xml:space="preserve"> في كتابه أقاويل الثقات</w:t>
      </w:r>
      <w:r>
        <w:rPr>
          <w:rFonts w:hint="cs"/>
          <w:rtl/>
        </w:rPr>
        <w:t xml:space="preserve">: </w:t>
      </w:r>
      <w:r w:rsidR="009C32A0" w:rsidRPr="005675B2">
        <w:rPr>
          <w:rFonts w:hint="cs"/>
          <w:rtl/>
        </w:rPr>
        <w:t>"</w:t>
      </w:r>
      <w:r>
        <w:rPr>
          <w:rFonts w:hint="cs"/>
          <w:rtl/>
        </w:rPr>
        <w:t xml:space="preserve"> </w:t>
      </w:r>
      <w:r w:rsidR="009C32A0" w:rsidRPr="005675B2">
        <w:rPr>
          <w:rFonts w:hint="cs"/>
          <w:rtl/>
        </w:rPr>
        <w:t>باب</w:t>
      </w:r>
      <w:r>
        <w:rPr>
          <w:rFonts w:hint="cs"/>
          <w:rtl/>
        </w:rPr>
        <w:t xml:space="preserve"> </w:t>
      </w:r>
      <w:r w:rsidR="009C32A0" w:rsidRPr="005675B2">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9C32A0" w:rsidRPr="005675B2">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w:t>
      </w:r>
      <w:r w:rsidR="009C32A0" w:rsidRPr="005675B2">
        <w:rPr>
          <w:rFonts w:hint="cs"/>
          <w:rtl/>
        </w:rPr>
        <w:lastRenderedPageBreak/>
        <w:t xml:space="preserve">بالك من حسن أو بهاء أو شرف أو ضياء أو جمال أو شبح مماثل أو شخص متمثل فالله تعالى بخلاف ذلك واقرأ </w:t>
      </w:r>
      <w:r>
        <w:rPr>
          <w:rFonts w:hint="cs"/>
          <w:rtl/>
        </w:rPr>
        <w:t>(</w:t>
      </w:r>
      <w:r w:rsidR="009C32A0" w:rsidRPr="005675B2">
        <w:rPr>
          <w:rFonts w:hint="cs"/>
          <w:rtl/>
        </w:rPr>
        <w:t>ليس كمثله شيء</w:t>
      </w:r>
      <w:r>
        <w:rPr>
          <w:rFonts w:hint="cs"/>
          <w:rtl/>
        </w:rPr>
        <w:t>)</w:t>
      </w:r>
      <w:r w:rsidR="009C32A0" w:rsidRPr="005675B2">
        <w:rPr>
          <w:rFonts w:hint="cs"/>
          <w:rtl/>
        </w:rPr>
        <w:t xml:space="preserve"> إلى أن قال</w:t>
      </w:r>
      <w:r>
        <w:rPr>
          <w:rFonts w:hint="cs"/>
          <w:rtl/>
        </w:rPr>
        <w:t>:</w:t>
      </w:r>
      <w:r w:rsidR="009C32A0" w:rsidRPr="005675B2">
        <w:rPr>
          <w:rFonts w:hint="cs"/>
          <w:rtl/>
        </w:rPr>
        <w:t xml:space="preserve"> </w:t>
      </w:r>
      <w:r w:rsidR="009C32A0" w:rsidRPr="005675B2">
        <w:rPr>
          <w:rFonts w:hint="cs"/>
          <w:bCs/>
          <w:rtl/>
        </w:rPr>
        <w:t>وغلت طائفة أخرى في الإثبات فشبهته فأثبتت له الصورة والجوارح</w:t>
      </w:r>
      <w:r w:rsidR="009C32A0" w:rsidRPr="005675B2">
        <w:rPr>
          <w:rFonts w:hint="cs"/>
          <w:rtl/>
        </w:rPr>
        <w:t xml:space="preserve"> حتى إن الهشامية من غلاة الرافضة زعموا كما قال القرطبي أن معبودهم سبعة أشبار بشبر نفسه </w:t>
      </w:r>
      <w:r w:rsidR="009C32A0" w:rsidRPr="005675B2">
        <w:rPr>
          <w:rFonts w:hint="cs"/>
          <w:bCs/>
          <w:rtl/>
        </w:rPr>
        <w:t>وقالت الكرامية إنه</w:t>
      </w:r>
      <w:r>
        <w:rPr>
          <w:rFonts w:hint="cs"/>
          <w:bCs/>
          <w:rtl/>
        </w:rPr>
        <w:t xml:space="preserve"> </w:t>
      </w:r>
      <w:r w:rsidR="009C32A0" w:rsidRPr="005675B2">
        <w:rPr>
          <w:rFonts w:hint="cs"/>
          <w:bCs/>
          <w:rtl/>
        </w:rPr>
        <w:t>جسم</w:t>
      </w:r>
      <w:r>
        <w:rPr>
          <w:rFonts w:hint="cs"/>
          <w:rtl/>
        </w:rPr>
        <w:t xml:space="preserve"> </w:t>
      </w:r>
      <w:r w:rsidR="009C32A0" w:rsidRPr="005675B2">
        <w:rPr>
          <w:rFonts w:hint="cs"/>
          <w:rtl/>
        </w:rPr>
        <w:t>قال</w:t>
      </w:r>
      <w:r>
        <w:rPr>
          <w:rFonts w:hint="cs"/>
          <w:rtl/>
        </w:rPr>
        <w:t>:</w:t>
      </w:r>
      <w:r w:rsidR="009C32A0" w:rsidRPr="005675B2">
        <w:rPr>
          <w:rFonts w:hint="cs"/>
          <w:rtl/>
        </w:rPr>
        <w:t xml:space="preserve"> </w:t>
      </w:r>
      <w:r w:rsidR="009C32A0" w:rsidRPr="005675B2">
        <w:rPr>
          <w:rFonts w:hint="cs"/>
          <w:bCs/>
          <w:rtl/>
        </w:rPr>
        <w:t xml:space="preserve">وقد بالغ بعض أهل الإغواء فقال إنه على صورة الإنسان </w:t>
      </w:r>
      <w:r w:rsidR="009C32A0" w:rsidRPr="005675B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9C32A0" w:rsidRPr="005675B2">
        <w:rPr>
          <w:rFonts w:hint="cs"/>
          <w:bCs/>
          <w:rtl/>
        </w:rPr>
        <w:t>تعالى الله عن أقوالهم علو كبيرا</w:t>
      </w:r>
      <w:r w:rsidR="009C32A0" w:rsidRPr="005675B2">
        <w:rPr>
          <w:rFonts w:hint="cs"/>
          <w:rtl/>
        </w:rPr>
        <w:t xml:space="preserve"> وعن مثله نهى الله تعالى بقوله تعالى</w:t>
      </w:r>
      <w:r>
        <w:rPr>
          <w:rFonts w:hint="cs"/>
          <w:rtl/>
        </w:rPr>
        <w:t>:</w:t>
      </w:r>
      <w:r w:rsidR="009C32A0" w:rsidRPr="005675B2">
        <w:rPr>
          <w:rFonts w:hint="cs"/>
          <w:rtl/>
        </w:rPr>
        <w:t xml:space="preserve"> (</w:t>
      </w:r>
      <w:r w:rsidR="009C32A0" w:rsidRPr="005675B2">
        <w:rPr>
          <w:rFonts w:hint="cs"/>
          <w:bCs/>
          <w:rtl/>
        </w:rPr>
        <w:t>يا أهل الكتاب لا تغلو في دينكم ولا تقولوا على الله إلا الحق</w:t>
      </w:r>
      <w:r>
        <w:rPr>
          <w:rFonts w:hint="cs"/>
          <w:rtl/>
        </w:rPr>
        <w:t>)</w:t>
      </w:r>
      <w:r w:rsidR="009C32A0" w:rsidRPr="005675B2">
        <w:rPr>
          <w:rFonts w:hint="cs"/>
          <w:rtl/>
        </w:rPr>
        <w:t xml:space="preserve"> [النساء /171</w:t>
      </w:r>
      <w:r>
        <w:rPr>
          <w:rFonts w:hint="cs"/>
          <w:rtl/>
        </w:rPr>
        <w:t>]</w:t>
      </w:r>
      <w:r w:rsidR="009C32A0" w:rsidRPr="005675B2">
        <w:rPr>
          <w:rFonts w:hint="cs"/>
          <w:rtl/>
        </w:rPr>
        <w:t xml:space="preserve"> " [أقاويل الثقات ج: 1</w:t>
      </w:r>
      <w:r>
        <w:rPr>
          <w:rFonts w:hint="cs"/>
          <w:rtl/>
        </w:rPr>
        <w:t xml:space="preserve"> </w:t>
      </w:r>
      <w:r w:rsidR="009C32A0" w:rsidRPr="005675B2">
        <w:rPr>
          <w:rFonts w:hint="cs"/>
          <w:rtl/>
        </w:rPr>
        <w:t>ص: 134\135]</w:t>
      </w:r>
      <w:r>
        <w:rPr>
          <w:rFonts w:hint="cs"/>
          <w:rtl/>
        </w:rPr>
        <w:t xml:space="preserve">، </w:t>
      </w:r>
      <w:r w:rsidR="009C32A0" w:rsidRPr="005675B2">
        <w:rPr>
          <w:rFonts w:hint="cs"/>
          <w:bCs/>
          <w:rtl/>
        </w:rPr>
        <w:t xml:space="preserve">وأختم هذه القاعدة بدرة </w:t>
      </w:r>
      <w:r w:rsidR="009C32A0" w:rsidRPr="005675B2">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Pr>
          <w:rFonts w:hint="cs"/>
          <w:b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المسألة الرابعة</w:t>
      </w:r>
      <w:r>
        <w:rPr>
          <w:rFonts w:hint="cs"/>
          <w:rtl/>
          <w:lang w:bidi="ar-KW"/>
        </w:rPr>
        <w:t>:</w:t>
      </w:r>
      <w:r w:rsidR="009C32A0" w:rsidRPr="005675B2">
        <w:rPr>
          <w:rFonts w:hint="cs"/>
          <w:rtl/>
          <w:lang w:bidi="ar-KW"/>
        </w:rPr>
        <w:t xml:space="preserve"> احتج من أثبت الأعضاء والجوارح لله تعالى بقوله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ما منعك أن تسجد لما خلقت بيدى</w:t>
      </w:r>
      <w:r>
        <w:rPr>
          <w:rFonts w:hint="cs"/>
          <w:rtl/>
          <w:lang w:bidi="ar-KW"/>
        </w:rPr>
        <w:t>}</w:t>
      </w:r>
      <w:r w:rsidR="009C32A0" w:rsidRPr="005675B2">
        <w:rPr>
          <w:rFonts w:hint="cs"/>
          <w:rtl/>
          <w:lang w:bidi="ar-KW"/>
        </w:rPr>
        <w:t xml:space="preserve"> في إثبات يدين لله تعالى</w:t>
      </w:r>
      <w:r>
        <w:rPr>
          <w:rFonts w:hint="cs"/>
          <w:rtl/>
          <w:lang w:bidi="ar-KW"/>
        </w:rPr>
        <w:t>،</w:t>
      </w:r>
      <w:r w:rsidR="009C32A0" w:rsidRPr="005675B2">
        <w:rPr>
          <w:rFonts w:hint="cs"/>
          <w:rtl/>
          <w:lang w:bidi="ar-KW"/>
        </w:rPr>
        <w:t xml:space="preserve"> بأن قالوا ظاهر الآية يدل عليه</w:t>
      </w:r>
      <w:r>
        <w:rPr>
          <w:rFonts w:hint="cs"/>
          <w:rtl/>
          <w:lang w:bidi="ar-KW"/>
        </w:rPr>
        <w:t>،</w:t>
      </w:r>
      <w:r w:rsidR="009C32A0" w:rsidRPr="005675B2">
        <w:rPr>
          <w:rFonts w:hint="cs"/>
          <w:rtl/>
          <w:lang w:bidi="ar-KW"/>
        </w:rPr>
        <w:t xml:space="preserve"> فوجب المصير إليه</w:t>
      </w:r>
      <w:r>
        <w:rPr>
          <w:rFonts w:hint="cs"/>
          <w:rtl/>
          <w:lang w:bidi="ar-KW"/>
        </w:rPr>
        <w:t>،</w:t>
      </w:r>
      <w:r w:rsidR="009C32A0" w:rsidRPr="005675B2">
        <w:rPr>
          <w:rFonts w:hint="cs"/>
          <w:rtl/>
          <w:lang w:bidi="ar-KW"/>
        </w:rPr>
        <w:t xml:space="preserve"> والآيات الكثيرة واردة على وفق هذه الآية</w:t>
      </w:r>
      <w:r>
        <w:rPr>
          <w:rFonts w:hint="cs"/>
          <w:rtl/>
          <w:lang w:bidi="ar-KW"/>
        </w:rPr>
        <w:t>،</w:t>
      </w:r>
      <w:r w:rsidR="009C32A0" w:rsidRPr="005675B2">
        <w:rPr>
          <w:rFonts w:hint="cs"/>
          <w:rtl/>
          <w:lang w:bidi="ar-KW"/>
        </w:rPr>
        <w:t xml:space="preserve"> فوجب القطع به</w:t>
      </w:r>
      <w:r>
        <w:rPr>
          <w:rFonts w:hint="cs"/>
          <w:rtl/>
          <w:lang w:bidi="ar-KW"/>
        </w:rPr>
        <w:t>،</w:t>
      </w:r>
      <w:r w:rsidR="009C32A0" w:rsidRPr="005675B2">
        <w:rPr>
          <w:rFonts w:hint="cs"/>
          <w:bCs/>
          <w:rtl/>
          <w:lang w:bidi="ar-KW"/>
        </w:rPr>
        <w:t xml:space="preserve"> واعلم أن الدلائل الدالة على نفي كونه تعالى جسما مركبا من الأجزاء والأعضاء</w:t>
      </w:r>
      <w:r>
        <w:rPr>
          <w:rFonts w:hint="cs"/>
          <w:bCs/>
          <w:rtl/>
          <w:lang w:bidi="ar-KW"/>
        </w:rPr>
        <w:t>،</w:t>
      </w:r>
      <w:r w:rsidR="009C32A0" w:rsidRPr="005675B2">
        <w:rPr>
          <w:rFonts w:hint="cs"/>
          <w:bCs/>
          <w:rtl/>
          <w:lang w:bidi="ar-KW"/>
        </w:rPr>
        <w:t xml:space="preserve"> قد سبقت إلا أنا نذكر ههنا نكتا جارية مجرى الإلزامات الظاهرة</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فالأول</w:t>
      </w:r>
      <w:r>
        <w:rPr>
          <w:rFonts w:hint="cs"/>
          <w:rtl/>
          <w:lang w:bidi="ar-KW"/>
        </w:rPr>
        <w:t>):</w:t>
      </w:r>
      <w:r w:rsidR="009C32A0" w:rsidRPr="005675B2">
        <w:rPr>
          <w:rFonts w:hint="cs"/>
          <w:rtl/>
          <w:lang w:bidi="ar-KW"/>
        </w:rPr>
        <w:t xml:space="preserve"> أن من قال إنه مركب من الأعضاء والأجزاء</w:t>
      </w:r>
      <w:r>
        <w:rPr>
          <w:rFonts w:hint="cs"/>
          <w:rtl/>
          <w:lang w:bidi="ar-KW"/>
        </w:rPr>
        <w:t>،</w:t>
      </w:r>
      <w:r w:rsidR="009C32A0" w:rsidRPr="005675B2">
        <w:rPr>
          <w:rFonts w:hint="cs"/>
          <w:rtl/>
          <w:lang w:bidi="ar-KW"/>
        </w:rPr>
        <w:t xml:space="preserve"> فإما أن يثبت الأعضاء التي ورد ذكرها في القرآن ولا يزيد عليها</w:t>
      </w:r>
      <w:r>
        <w:rPr>
          <w:rFonts w:hint="cs"/>
          <w:rtl/>
          <w:lang w:bidi="ar-KW"/>
        </w:rPr>
        <w:t>،</w:t>
      </w:r>
      <w:r w:rsidR="009C32A0" w:rsidRPr="005675B2">
        <w:rPr>
          <w:rFonts w:hint="cs"/>
          <w:rtl/>
          <w:lang w:bidi="ar-KW"/>
        </w:rPr>
        <w:t xml:space="preserve"> وإما أن يزيد عليها</w:t>
      </w:r>
      <w:r>
        <w:rPr>
          <w:rFonts w:hint="cs"/>
          <w:rtl/>
          <w:lang w:bidi="ar-KW"/>
        </w:rPr>
        <w:t>،</w:t>
      </w:r>
      <w:r w:rsidR="009C32A0" w:rsidRPr="005675B2">
        <w:rPr>
          <w:rFonts w:hint="cs"/>
          <w:rtl/>
          <w:lang w:bidi="ar-KW"/>
        </w:rPr>
        <w:t xml:space="preserve"> فإن كان الأول لزمه إثبات صورة لا يمكن أن يزاد عليها في القبح</w:t>
      </w:r>
      <w:r>
        <w:rPr>
          <w:rFonts w:hint="cs"/>
          <w:rtl/>
          <w:lang w:bidi="ar-KW"/>
        </w:rPr>
        <w:t>،</w:t>
      </w:r>
      <w:r w:rsidR="009C32A0" w:rsidRPr="005675B2">
        <w:rPr>
          <w:rFonts w:hint="cs"/>
          <w:rtl/>
          <w:lang w:bidi="ar-KW"/>
        </w:rPr>
        <w:t xml:space="preserve"> لأنه يلزمه إثبات وجه بحيث لا يوجد منه إلا مجرد رقعة الوجه لقوله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كل شيء هالك إلا وجهه</w:t>
      </w:r>
      <w:r>
        <w:rPr>
          <w:rFonts w:hint="cs"/>
          <w:rtl/>
          <w:lang w:bidi="ar-KW"/>
        </w:rPr>
        <w:t>}، [</w:t>
      </w:r>
      <w:r w:rsidR="009C32A0" w:rsidRPr="005675B2">
        <w:rPr>
          <w:rFonts w:hint="cs"/>
          <w:rtl/>
          <w:lang w:bidi="ar-KW"/>
        </w:rPr>
        <w:t>القصص</w:t>
      </w:r>
      <w:r>
        <w:rPr>
          <w:rFonts w:hint="cs"/>
          <w:rtl/>
          <w:lang w:bidi="ar-KW"/>
        </w:rPr>
        <w:t>:</w:t>
      </w:r>
      <w:r w:rsidR="009C32A0" w:rsidRPr="005675B2">
        <w:rPr>
          <w:rFonts w:hint="cs"/>
          <w:rtl/>
          <w:lang w:bidi="ar-KW"/>
        </w:rPr>
        <w:t xml:space="preserve"> 88</w:t>
      </w:r>
      <w:r>
        <w:rPr>
          <w:rFonts w:hint="cs"/>
          <w:rtl/>
          <w:lang w:bidi="ar-KW"/>
        </w:rPr>
        <w:t>]</w:t>
      </w:r>
      <w:r w:rsidR="009C32A0" w:rsidRPr="005675B2">
        <w:rPr>
          <w:rFonts w:hint="cs"/>
          <w:rtl/>
          <w:lang w:bidi="ar-KW"/>
        </w:rPr>
        <w:t xml:space="preserve"> ويلزمه أن يثبت في تلك الرقعة عيونا كثيرة لقوله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تجرى بأعيننا</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القمر</w:t>
      </w:r>
      <w:r>
        <w:rPr>
          <w:rFonts w:hint="cs"/>
          <w:rtl/>
          <w:lang w:bidi="ar-KW"/>
        </w:rPr>
        <w:t>:</w:t>
      </w:r>
      <w:r w:rsidR="009C32A0" w:rsidRPr="005675B2">
        <w:rPr>
          <w:rFonts w:hint="cs"/>
          <w:rtl/>
          <w:lang w:bidi="ar-KW"/>
        </w:rPr>
        <w:t xml:space="preserve"> 14</w:t>
      </w:r>
      <w:r>
        <w:rPr>
          <w:rFonts w:hint="cs"/>
          <w:rtl/>
          <w:lang w:bidi="ar-KW"/>
        </w:rPr>
        <w:t>]</w:t>
      </w:r>
      <w:r w:rsidR="009C32A0" w:rsidRPr="005675B2">
        <w:rPr>
          <w:rFonts w:hint="cs"/>
          <w:rtl/>
          <w:lang w:bidi="ar-KW"/>
        </w:rPr>
        <w:t xml:space="preserve"> وأن يثبت جنبا واحدا لقوله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ياحسرتى على ما فرطت في جنب الله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الزمر</w:t>
      </w:r>
      <w:r>
        <w:rPr>
          <w:rFonts w:hint="cs"/>
          <w:rtl/>
          <w:lang w:bidi="ar-KW"/>
        </w:rPr>
        <w:t>:</w:t>
      </w:r>
      <w:r w:rsidR="009C32A0" w:rsidRPr="005675B2">
        <w:rPr>
          <w:rFonts w:hint="cs"/>
          <w:rtl/>
          <w:lang w:bidi="ar-KW"/>
        </w:rPr>
        <w:t xml:space="preserve"> 56</w:t>
      </w:r>
      <w:r>
        <w:rPr>
          <w:rFonts w:hint="cs"/>
          <w:rtl/>
          <w:lang w:bidi="ar-KW"/>
        </w:rPr>
        <w:t>]</w:t>
      </w:r>
      <w:r w:rsidR="009C32A0" w:rsidRPr="005675B2">
        <w:rPr>
          <w:rFonts w:hint="cs"/>
          <w:rtl/>
          <w:lang w:bidi="ar-KW"/>
        </w:rPr>
        <w:t xml:space="preserve"> وأن يثبت على ذلك الجنب أيدي كثيرة لقوله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مما عملت أيدينا</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يس</w:t>
      </w:r>
      <w:r>
        <w:rPr>
          <w:rFonts w:hint="cs"/>
          <w:rtl/>
          <w:lang w:bidi="ar-KW"/>
        </w:rPr>
        <w:t>:</w:t>
      </w:r>
      <w:r w:rsidR="009C32A0" w:rsidRPr="005675B2">
        <w:rPr>
          <w:rFonts w:hint="cs"/>
          <w:rtl/>
          <w:lang w:bidi="ar-KW"/>
        </w:rPr>
        <w:t xml:space="preserve"> 71</w:t>
      </w:r>
      <w:r>
        <w:rPr>
          <w:rFonts w:hint="cs"/>
          <w:rtl/>
          <w:lang w:bidi="ar-KW"/>
        </w:rPr>
        <w:t>]</w:t>
      </w:r>
      <w:r w:rsidR="009C32A0" w:rsidRPr="005675B2">
        <w:rPr>
          <w:rFonts w:hint="cs"/>
          <w:rtl/>
          <w:lang w:bidi="ar-KW"/>
        </w:rPr>
        <w:t xml:space="preserve"> وبتقدير أن يكون له يدان فإنه يجب أن يكون كلاهما على جانب واحد لقوله صلى الله عليه وسلم</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وكلتا يديه يمين</w:t>
      </w:r>
      <w:r>
        <w:rPr>
          <w:rFonts w:hint="cs"/>
          <w:rtl/>
          <w:lang w:bidi="ar-KW"/>
        </w:rPr>
        <w:t>)</w:t>
      </w:r>
      <w:r w:rsidR="009C32A0" w:rsidRPr="005675B2">
        <w:rPr>
          <w:rFonts w:hint="cs"/>
          <w:rtl/>
          <w:lang w:bidi="ar-KW"/>
        </w:rPr>
        <w:t>)</w:t>
      </w:r>
      <w:r>
        <w:rPr>
          <w:rFonts w:hint="cs"/>
          <w:rtl/>
          <w:lang w:bidi="ar-KW"/>
        </w:rPr>
        <w:t>،</w:t>
      </w:r>
      <w:r w:rsidR="009C32A0" w:rsidRPr="005675B2">
        <w:rPr>
          <w:rFonts w:hint="cs"/>
          <w:rtl/>
          <w:lang w:bidi="ar-KW"/>
        </w:rPr>
        <w:t xml:space="preserve"> وقوله صلى الله عليه وسلم</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الحجر الأسود يمين الله في الأرض</w:t>
      </w:r>
      <w:r>
        <w:rPr>
          <w:rFonts w:hint="cs"/>
          <w:rtl/>
          <w:lang w:bidi="ar-KW"/>
        </w:rPr>
        <w:t>)</w:t>
      </w:r>
      <w:r w:rsidR="009C32A0" w:rsidRPr="005675B2">
        <w:rPr>
          <w:rFonts w:hint="cs"/>
          <w:rtl/>
          <w:lang w:bidi="ar-KW"/>
        </w:rPr>
        <w:t>) وأن يثبت له ساقا واحدا لقوله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يوم يكشف عن ساق</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القلم</w:t>
      </w:r>
      <w:r>
        <w:rPr>
          <w:rFonts w:hint="cs"/>
          <w:rtl/>
          <w:lang w:bidi="ar-KW"/>
        </w:rPr>
        <w:t>:</w:t>
      </w:r>
      <w:r w:rsidR="009C32A0" w:rsidRPr="005675B2">
        <w:rPr>
          <w:rFonts w:hint="cs"/>
          <w:rtl/>
          <w:lang w:bidi="ar-KW"/>
        </w:rPr>
        <w:t xml:space="preserve"> 42</w:t>
      </w:r>
      <w:r>
        <w:rPr>
          <w:rFonts w:hint="cs"/>
          <w:rtl/>
          <w:lang w:bidi="ar-KW"/>
        </w:rPr>
        <w:t>]</w:t>
      </w:r>
      <w:r w:rsidR="009C32A0" w:rsidRPr="005675B2">
        <w:rPr>
          <w:rFonts w:hint="cs"/>
          <w:rtl/>
          <w:lang w:bidi="ar-KW"/>
        </w:rPr>
        <w:t xml:space="preserve"> فيكون الحاصل من هذه الصورة</w:t>
      </w:r>
      <w:r>
        <w:rPr>
          <w:rFonts w:hint="cs"/>
          <w:rtl/>
          <w:lang w:bidi="ar-KW"/>
        </w:rPr>
        <w:t>،</w:t>
      </w:r>
      <w:r w:rsidR="009C32A0" w:rsidRPr="005675B2">
        <w:rPr>
          <w:rFonts w:hint="cs"/>
          <w:rtl/>
          <w:lang w:bidi="ar-KW"/>
        </w:rPr>
        <w:t xml:space="preserve"> مجرد رقعة الوجه ويكون عليها عيون كثيرة</w:t>
      </w:r>
      <w:r>
        <w:rPr>
          <w:rFonts w:hint="cs"/>
          <w:rtl/>
          <w:lang w:bidi="ar-KW"/>
        </w:rPr>
        <w:t>،</w:t>
      </w:r>
      <w:r w:rsidR="009C32A0" w:rsidRPr="005675B2">
        <w:rPr>
          <w:rFonts w:hint="cs"/>
          <w:rtl/>
          <w:lang w:bidi="ar-KW"/>
        </w:rPr>
        <w:t xml:space="preserve"> وجنب واحد ويكون عليه أيد كثيرة وساق واحد</w:t>
      </w:r>
      <w:r>
        <w:rPr>
          <w:rFonts w:hint="cs"/>
          <w:rtl/>
          <w:lang w:bidi="ar-KW"/>
        </w:rPr>
        <w:t>،</w:t>
      </w:r>
      <w:r w:rsidR="009C32A0" w:rsidRPr="005675B2">
        <w:rPr>
          <w:rFonts w:hint="cs"/>
          <w:rtl/>
          <w:lang w:bidi="ar-KW"/>
        </w:rPr>
        <w:t xml:space="preserve"> ومعلوم أن هذه الصورة أقبح الصور</w:t>
      </w:r>
      <w:r>
        <w:rPr>
          <w:rFonts w:hint="cs"/>
          <w:rtl/>
          <w:lang w:bidi="ar-KW"/>
        </w:rPr>
        <w:t>،</w:t>
      </w:r>
      <w:r w:rsidR="009C32A0" w:rsidRPr="005675B2">
        <w:rPr>
          <w:rFonts w:hint="cs"/>
          <w:rtl/>
          <w:lang w:bidi="ar-KW"/>
        </w:rPr>
        <w:t xml:space="preserve"> ولو كان هذا عبدا لم يرغب أحد في شرائه</w:t>
      </w:r>
      <w:r>
        <w:rPr>
          <w:rFonts w:hint="cs"/>
          <w:rtl/>
          <w:lang w:bidi="ar-KW"/>
        </w:rPr>
        <w:t>،</w:t>
      </w:r>
      <w:r w:rsidR="009C32A0" w:rsidRPr="005675B2">
        <w:rPr>
          <w:rFonts w:hint="cs"/>
          <w:rtl/>
          <w:lang w:bidi="ar-KW"/>
        </w:rPr>
        <w:t xml:space="preserve"> فكيف يقول العاقل إن رب العالمين موصوف بهذه الصورة</w:t>
      </w:r>
      <w:r>
        <w:rPr>
          <w:rFonts w:hint="cs"/>
          <w:rtl/>
          <w:lang w:bidi="ar-KW"/>
        </w:rPr>
        <w:t>،</w:t>
      </w:r>
      <w:r w:rsidR="009C32A0" w:rsidRPr="005675B2">
        <w:rPr>
          <w:rFonts w:hint="cs"/>
          <w:rtl/>
          <w:lang w:bidi="ar-KW"/>
        </w:rPr>
        <w:t xml:space="preserve"> وأما القسم الثاني</w:t>
      </w:r>
      <w:r>
        <w:rPr>
          <w:rFonts w:hint="cs"/>
          <w:rtl/>
          <w:lang w:bidi="ar-KW"/>
        </w:rPr>
        <w:t>:</w:t>
      </w:r>
      <w:r w:rsidR="009C32A0" w:rsidRPr="005675B2">
        <w:rPr>
          <w:rFonts w:hint="cs"/>
          <w:rtl/>
          <w:lang w:bidi="ar-KW"/>
        </w:rPr>
        <w:t xml:space="preserve"> وهو أن </w:t>
      </w:r>
      <w:r w:rsidR="009C32A0" w:rsidRPr="005675B2">
        <w:rPr>
          <w:rFonts w:hint="cs"/>
          <w:rtl/>
          <w:lang w:bidi="ar-KW"/>
        </w:rPr>
        <w:lastRenderedPageBreak/>
        <w:t>لا يقتصر على الأعضاء المذكورة في القرآن</w:t>
      </w:r>
      <w:r>
        <w:rPr>
          <w:rFonts w:hint="cs"/>
          <w:rtl/>
          <w:lang w:bidi="ar-KW"/>
        </w:rPr>
        <w:t>،</w:t>
      </w:r>
      <w:r w:rsidR="009C32A0" w:rsidRPr="005675B2">
        <w:rPr>
          <w:rFonts w:hint="cs"/>
          <w:rtl/>
          <w:lang w:bidi="ar-KW"/>
        </w:rPr>
        <w:t xml:space="preserve"> بل يزيد وينقص على وفق التأويلات</w:t>
      </w:r>
      <w:r>
        <w:rPr>
          <w:rFonts w:hint="cs"/>
          <w:rtl/>
          <w:lang w:bidi="ar-KW"/>
        </w:rPr>
        <w:t>،</w:t>
      </w:r>
      <w:r w:rsidR="009C32A0" w:rsidRPr="005675B2">
        <w:rPr>
          <w:rFonts w:hint="cs"/>
          <w:rtl/>
          <w:lang w:bidi="ar-KW"/>
        </w:rPr>
        <w:t xml:space="preserve"> فحينئذ يبطل مذهبه في الحمل على مجرد الظواهر</w:t>
      </w:r>
      <w:r>
        <w:rPr>
          <w:rFonts w:hint="cs"/>
          <w:rtl/>
          <w:lang w:bidi="ar-KW"/>
        </w:rPr>
        <w:t>،</w:t>
      </w:r>
      <w:r w:rsidR="009C32A0" w:rsidRPr="005675B2">
        <w:rPr>
          <w:rFonts w:hint="cs"/>
          <w:rtl/>
          <w:lang w:bidi="ar-KW"/>
        </w:rPr>
        <w:t xml:space="preserve"> ولا بد له من قبول دلائل العقل</w:t>
      </w:r>
      <w:r>
        <w:rPr>
          <w:rFonts w:hint="cs"/>
          <w:rtl/>
          <w:lang w:bidi="ar-KW"/>
        </w:rPr>
        <w:t>،</w:t>
      </w:r>
      <w:r w:rsidR="009C32A0" w:rsidRPr="005675B2">
        <w:rPr>
          <w:rFonts w:hint="cs"/>
          <w:bCs/>
          <w:rtl/>
          <w:lang w:bidi="ar-KW"/>
        </w:rPr>
        <w:t xml:space="preserve"> </w:t>
      </w:r>
      <w:r>
        <w:rPr>
          <w:rFonts w:hint="cs"/>
          <w:bCs/>
          <w:rtl/>
          <w:lang w:bidi="ar-KW"/>
        </w:rPr>
        <w:t>(</w:t>
      </w:r>
      <w:r w:rsidR="009C32A0" w:rsidRPr="005675B2">
        <w:rPr>
          <w:rFonts w:hint="cs"/>
          <w:bCs/>
          <w:rtl/>
          <w:lang w:bidi="ar-KW"/>
        </w:rPr>
        <w:t>الحجة الثانية</w:t>
      </w:r>
      <w:r>
        <w:rPr>
          <w:rFonts w:hint="cs"/>
          <w:rtl/>
          <w:lang w:bidi="ar-KW"/>
        </w:rPr>
        <w:t>):</w:t>
      </w:r>
      <w:r w:rsidR="009C32A0" w:rsidRPr="005675B2">
        <w:rPr>
          <w:rFonts w:hint="cs"/>
          <w:rtl/>
          <w:lang w:bidi="ar-KW"/>
        </w:rPr>
        <w:t xml:space="preserve"> في إبطال قولهم إنهم إذا أثبتوا الأعضاء لله تعالى</w:t>
      </w:r>
      <w:r>
        <w:rPr>
          <w:rFonts w:hint="cs"/>
          <w:rtl/>
          <w:lang w:bidi="ar-KW"/>
        </w:rPr>
        <w:t>،</w:t>
      </w:r>
      <w:r w:rsidR="009C32A0" w:rsidRPr="005675B2">
        <w:rPr>
          <w:rFonts w:hint="cs"/>
          <w:rtl/>
          <w:lang w:bidi="ar-KW"/>
        </w:rPr>
        <w:t xml:space="preserve"> فإن أثبتوا له عضو الرجل فهو رجل وأن أثبتوا له عضو النساء فهو أنثى</w:t>
      </w:r>
      <w:r>
        <w:rPr>
          <w:rFonts w:hint="cs"/>
          <w:rtl/>
          <w:lang w:bidi="ar-KW"/>
        </w:rPr>
        <w:t>،</w:t>
      </w:r>
      <w:r w:rsidR="009C32A0" w:rsidRPr="005675B2">
        <w:rPr>
          <w:rFonts w:hint="cs"/>
          <w:rtl/>
          <w:lang w:bidi="ar-KW"/>
        </w:rPr>
        <w:t xml:space="preserve"> وإن نفوهما فهو خصي أو عنين</w:t>
      </w:r>
      <w:r>
        <w:rPr>
          <w:rFonts w:hint="cs"/>
          <w:rtl/>
          <w:lang w:bidi="ar-KW"/>
        </w:rPr>
        <w:t>،</w:t>
      </w:r>
      <w:r w:rsidR="009C32A0" w:rsidRPr="005675B2">
        <w:rPr>
          <w:rFonts w:hint="cs"/>
          <w:rtl/>
          <w:lang w:bidi="ar-KW"/>
        </w:rPr>
        <w:t xml:space="preserve"> وتعالى الله عما يقول الظالمون علوا كبيرا</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الثالثة</w:t>
      </w:r>
      <w:r>
        <w:rPr>
          <w:rFonts w:hint="cs"/>
          <w:rtl/>
          <w:lang w:bidi="ar-KW"/>
        </w:rPr>
        <w:t>):</w:t>
      </w:r>
      <w:r w:rsidR="009C32A0" w:rsidRPr="005675B2">
        <w:rPr>
          <w:rFonts w:hint="cs"/>
          <w:rtl/>
          <w:lang w:bidi="ar-KW"/>
        </w:rPr>
        <w:t xml:space="preserve"> أنه في ذاته سبحانه وتعالى</w:t>
      </w:r>
      <w:r>
        <w:rPr>
          <w:rFonts w:hint="cs"/>
          <w:rtl/>
          <w:lang w:bidi="ar-KW"/>
        </w:rPr>
        <w:t>،</w:t>
      </w:r>
      <w:r w:rsidR="009C32A0" w:rsidRPr="005675B2">
        <w:rPr>
          <w:rFonts w:hint="cs"/>
          <w:rtl/>
          <w:lang w:bidi="ar-KW"/>
        </w:rPr>
        <w:t xml:space="preserve"> إما أن يكون جسما صلبا لا ينغمز البتة</w:t>
      </w:r>
      <w:r>
        <w:rPr>
          <w:rFonts w:hint="cs"/>
          <w:rtl/>
          <w:lang w:bidi="ar-KW"/>
        </w:rPr>
        <w:t>،</w:t>
      </w:r>
      <w:r w:rsidR="009C32A0" w:rsidRPr="005675B2">
        <w:rPr>
          <w:rFonts w:hint="cs"/>
          <w:rtl/>
          <w:lang w:bidi="ar-KW"/>
        </w:rPr>
        <w:t xml:space="preserve"> فيكون حجرا صلبا</w:t>
      </w:r>
      <w:r>
        <w:rPr>
          <w:rFonts w:hint="cs"/>
          <w:rtl/>
          <w:lang w:bidi="ar-KW"/>
        </w:rPr>
        <w:t>،</w:t>
      </w:r>
      <w:r w:rsidR="009C32A0" w:rsidRPr="005675B2">
        <w:rPr>
          <w:rFonts w:hint="cs"/>
          <w:rtl/>
          <w:lang w:bidi="ar-KW"/>
        </w:rPr>
        <w:t xml:space="preserve"> وإما أن يكون قابلا للانغماز</w:t>
      </w:r>
      <w:r>
        <w:rPr>
          <w:rFonts w:hint="cs"/>
          <w:rtl/>
          <w:lang w:bidi="ar-KW"/>
        </w:rPr>
        <w:t>،</w:t>
      </w:r>
      <w:r w:rsidR="009C32A0" w:rsidRPr="005675B2">
        <w:rPr>
          <w:rFonts w:hint="cs"/>
          <w:rtl/>
          <w:lang w:bidi="ar-KW"/>
        </w:rPr>
        <w:t xml:space="preserve"> فيكون لينا قابلا للتفرق والتمزق . وتعالى الله عن ذلك</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الرابعة</w:t>
      </w:r>
      <w:r>
        <w:rPr>
          <w:rFonts w:hint="cs"/>
          <w:rtl/>
          <w:lang w:bidi="ar-KW"/>
        </w:rPr>
        <w:t>):</w:t>
      </w:r>
      <w:r w:rsidR="009C32A0" w:rsidRPr="005675B2">
        <w:rPr>
          <w:rFonts w:hint="cs"/>
          <w:rtl/>
          <w:lang w:bidi="ar-KW"/>
        </w:rPr>
        <w:t xml:space="preserve"> أنه إن كان بحيث لا يمكنه أن يتحرك عن مكانه</w:t>
      </w:r>
      <w:r>
        <w:rPr>
          <w:rFonts w:hint="cs"/>
          <w:rtl/>
          <w:lang w:bidi="ar-KW"/>
        </w:rPr>
        <w:t>،</w:t>
      </w:r>
      <w:r w:rsidR="009C32A0" w:rsidRPr="005675B2">
        <w:rPr>
          <w:rFonts w:hint="cs"/>
          <w:rtl/>
          <w:lang w:bidi="ar-KW"/>
        </w:rPr>
        <w:t xml:space="preserve"> كان كالزمن المعقد العاجز</w:t>
      </w:r>
      <w:r>
        <w:rPr>
          <w:rFonts w:hint="cs"/>
          <w:rtl/>
          <w:lang w:bidi="ar-KW"/>
        </w:rPr>
        <w:t>،</w:t>
      </w:r>
      <w:r w:rsidR="009C32A0" w:rsidRPr="005675B2">
        <w:rPr>
          <w:rFonts w:hint="cs"/>
          <w:rtl/>
          <w:lang w:bidi="ar-KW"/>
        </w:rPr>
        <w:t xml:space="preserve"> وإن كان بحيث يمكنه أن يتحرك عن مكانه</w:t>
      </w:r>
      <w:r>
        <w:rPr>
          <w:rFonts w:hint="cs"/>
          <w:rtl/>
          <w:lang w:bidi="ar-KW"/>
        </w:rPr>
        <w:t>،</w:t>
      </w:r>
      <w:r w:rsidR="009C32A0" w:rsidRPr="005675B2">
        <w:rPr>
          <w:rFonts w:hint="cs"/>
          <w:rtl/>
          <w:lang w:bidi="ar-KW"/>
        </w:rPr>
        <w:t xml:space="preserve"> كان محلا للتغيرات</w:t>
      </w:r>
      <w:r>
        <w:rPr>
          <w:rFonts w:hint="cs"/>
          <w:rtl/>
          <w:lang w:bidi="ar-KW"/>
        </w:rPr>
        <w:t>،</w:t>
      </w:r>
      <w:r w:rsidR="009C32A0" w:rsidRPr="005675B2">
        <w:rPr>
          <w:rFonts w:hint="cs"/>
          <w:rtl/>
          <w:lang w:bidi="ar-KW"/>
        </w:rPr>
        <w:t xml:space="preserve"> فدخل تحت قوله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لا أحب الآفلين</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الأنعام</w:t>
      </w:r>
      <w:r>
        <w:rPr>
          <w:rFonts w:hint="cs"/>
          <w:rtl/>
          <w:lang w:bidi="ar-KW"/>
        </w:rPr>
        <w:t>:</w:t>
      </w:r>
      <w:r w:rsidR="009C32A0" w:rsidRPr="005675B2">
        <w:rPr>
          <w:rFonts w:hint="cs"/>
          <w:rtl/>
          <w:lang w:bidi="ar-KW"/>
        </w:rPr>
        <w:t xml:space="preserve"> 76</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الخامسة</w:t>
      </w:r>
      <w:r>
        <w:rPr>
          <w:rFonts w:hint="cs"/>
          <w:rtl/>
          <w:lang w:bidi="ar-KW"/>
        </w:rPr>
        <w:t>):</w:t>
      </w:r>
      <w:r w:rsidR="009C32A0" w:rsidRPr="005675B2">
        <w:rPr>
          <w:rFonts w:hint="cs"/>
          <w:rtl/>
          <w:lang w:bidi="ar-KW"/>
        </w:rPr>
        <w:t xml:space="preserve"> إن كان لا يأكل ولا يشرب ولا ينام ولا يتحرك كان كالميت</w:t>
      </w:r>
      <w:r>
        <w:rPr>
          <w:rFonts w:hint="cs"/>
          <w:rtl/>
          <w:lang w:bidi="ar-KW"/>
        </w:rPr>
        <w:t>،</w:t>
      </w:r>
      <w:r w:rsidR="009C32A0" w:rsidRPr="005675B2">
        <w:rPr>
          <w:rFonts w:hint="cs"/>
          <w:rtl/>
          <w:lang w:bidi="ar-KW"/>
        </w:rPr>
        <w:t xml:space="preserve"> وإن كان يفعل هذه الأشياء</w:t>
      </w:r>
      <w:r>
        <w:rPr>
          <w:rFonts w:hint="cs"/>
          <w:rtl/>
          <w:lang w:bidi="ar-KW"/>
        </w:rPr>
        <w:t>،</w:t>
      </w:r>
      <w:r w:rsidR="009C32A0" w:rsidRPr="005675B2">
        <w:rPr>
          <w:rFonts w:hint="cs"/>
          <w:rtl/>
          <w:lang w:bidi="ar-KW"/>
        </w:rPr>
        <w:t xml:space="preserve"> كان إنسانا كثير التهمة محتاجا إلى الأكل والشرب والوقاع وذلك باطل</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السادسة</w:t>
      </w:r>
      <w:r>
        <w:rPr>
          <w:rFonts w:hint="cs"/>
          <w:rtl/>
          <w:lang w:bidi="ar-KW"/>
        </w:rPr>
        <w:t>):</w:t>
      </w:r>
      <w:r w:rsidR="009C32A0" w:rsidRPr="005675B2">
        <w:rPr>
          <w:rFonts w:hint="cs"/>
          <w:rtl/>
          <w:lang w:bidi="ar-KW"/>
        </w:rPr>
        <w:t xml:space="preserve"> أنهم يقولون إنه ينزل كل ليلة من العرش إلى السماء الدنيا</w:t>
      </w:r>
      <w:r>
        <w:rPr>
          <w:rFonts w:hint="cs"/>
          <w:rtl/>
          <w:lang w:bidi="ar-KW"/>
        </w:rPr>
        <w:t>،</w:t>
      </w:r>
      <w:r w:rsidR="009C32A0" w:rsidRPr="005675B2">
        <w:rPr>
          <w:rFonts w:hint="cs"/>
          <w:rtl/>
          <w:lang w:bidi="ar-KW"/>
        </w:rPr>
        <w:t xml:space="preserve"> فنقول لهم حين نزوله</w:t>
      </w:r>
      <w:r>
        <w:rPr>
          <w:rFonts w:hint="cs"/>
          <w:rtl/>
          <w:lang w:bidi="ar-KW"/>
        </w:rPr>
        <w:t>:</w:t>
      </w:r>
      <w:r w:rsidR="009C32A0" w:rsidRPr="005675B2">
        <w:rPr>
          <w:rFonts w:hint="cs"/>
          <w:rtl/>
          <w:lang w:bidi="ar-KW"/>
        </w:rPr>
        <w:t xml:space="preserve"> هل يبقى مدبرا للعرش ويبقى مدبرا للسماء الدنيا حين كان على العرش</w:t>
      </w:r>
      <w:r>
        <w:rPr>
          <w:rFonts w:hint="cs"/>
          <w:rtl/>
          <w:lang w:bidi="ar-KW"/>
        </w:rPr>
        <w:t>،</w:t>
      </w:r>
      <w:r w:rsidR="009C32A0" w:rsidRPr="005675B2">
        <w:rPr>
          <w:rFonts w:hint="cs"/>
          <w:rtl/>
          <w:lang w:bidi="ar-KW"/>
        </w:rPr>
        <w:t xml:space="preserve"> وحينئذ لا يبقى في النزول فائدة</w:t>
      </w:r>
      <w:r>
        <w:rPr>
          <w:rFonts w:hint="cs"/>
          <w:rtl/>
          <w:lang w:bidi="ar-KW"/>
        </w:rPr>
        <w:t>،</w:t>
      </w:r>
      <w:r w:rsidR="009C32A0" w:rsidRPr="005675B2">
        <w:rPr>
          <w:rFonts w:hint="cs"/>
          <w:rtl/>
          <w:lang w:bidi="ar-KW"/>
        </w:rPr>
        <w:t xml:space="preserve"> وإن لم يبق مدبرا للعرش فعند نزوله يصير معزولا عن إلهية العرش والسموات</w:t>
      </w:r>
      <w:r>
        <w:rPr>
          <w:rFonts w:hint="cs"/>
          <w:rtl/>
          <w:lang w:bidi="ar-KW"/>
        </w:rPr>
        <w:t>،</w:t>
      </w:r>
      <w:r w:rsidR="009C32A0" w:rsidRPr="005675B2">
        <w:rPr>
          <w:rFonts w:hint="cs"/>
          <w:rtl/>
          <w:lang w:bidi="ar-KW"/>
        </w:rPr>
        <w:t xml:space="preserve"> </w:t>
      </w:r>
      <w:r>
        <w:rPr>
          <w:rFonts w:hint="cs"/>
          <w:bCs/>
          <w:rtl/>
          <w:lang w:bidi="ar-KW"/>
        </w:rPr>
        <w:t>(</w:t>
      </w:r>
      <w:r w:rsidR="009C32A0" w:rsidRPr="005675B2">
        <w:rPr>
          <w:rFonts w:hint="cs"/>
          <w:bCs/>
          <w:rtl/>
          <w:lang w:bidi="ar-KW"/>
        </w:rPr>
        <w:t>الحجة السابعة</w:t>
      </w:r>
      <w:r>
        <w:rPr>
          <w:rFonts w:hint="cs"/>
          <w:rtl/>
          <w:lang w:bidi="ar-KW"/>
        </w:rPr>
        <w:t>):</w:t>
      </w:r>
      <w:r w:rsidR="009C32A0" w:rsidRPr="005675B2">
        <w:rPr>
          <w:rFonts w:hint="cs"/>
          <w:rtl/>
          <w:lang w:bidi="ar-KW"/>
        </w:rPr>
        <w:t xml:space="preserve"> أنهم يقولون إنه تعالى أعظم من العرش</w:t>
      </w:r>
      <w:r>
        <w:rPr>
          <w:rFonts w:hint="cs"/>
          <w:rtl/>
          <w:lang w:bidi="ar-KW"/>
        </w:rPr>
        <w:t>،</w:t>
      </w:r>
      <w:r w:rsidR="009C32A0" w:rsidRPr="005675B2">
        <w:rPr>
          <w:rFonts w:hint="cs"/>
          <w:rtl/>
          <w:lang w:bidi="ar-KW"/>
        </w:rPr>
        <w:t xml:space="preserve"> وإن العرش لا نسبة لعظمته إلى عظمة الكرسي</w:t>
      </w:r>
      <w:r>
        <w:rPr>
          <w:rFonts w:hint="cs"/>
          <w:rtl/>
          <w:lang w:bidi="ar-KW"/>
        </w:rPr>
        <w:t>،</w:t>
      </w:r>
      <w:r w:rsidR="009C32A0" w:rsidRPr="005675B2">
        <w:rPr>
          <w:rFonts w:hint="cs"/>
          <w:rtl/>
          <w:lang w:bidi="ar-KW"/>
        </w:rPr>
        <w:t xml:space="preserve"> وعلى هذا الترتيب حتى ينتهي إلى السماء الدنيا</w:t>
      </w:r>
      <w:r>
        <w:rPr>
          <w:rFonts w:hint="cs"/>
          <w:rtl/>
          <w:lang w:bidi="ar-KW"/>
        </w:rPr>
        <w:t>،</w:t>
      </w:r>
      <w:r w:rsidR="009C32A0" w:rsidRPr="005675B2">
        <w:rPr>
          <w:rFonts w:hint="cs"/>
          <w:rtl/>
          <w:lang w:bidi="ar-KW"/>
        </w:rPr>
        <w:t xml:space="preserve"> فإذا كان كذلك كانت السماء الدنيا بالنسبة إلى عظمة الله كالذرة بالنسبة إلى البحر</w:t>
      </w:r>
      <w:r>
        <w:rPr>
          <w:rFonts w:hint="cs"/>
          <w:rtl/>
          <w:lang w:bidi="ar-KW"/>
        </w:rPr>
        <w:t>،</w:t>
      </w:r>
      <w:r w:rsidR="009C32A0" w:rsidRPr="005675B2">
        <w:rPr>
          <w:rFonts w:hint="cs"/>
          <w:rtl/>
          <w:lang w:bidi="ar-KW"/>
        </w:rPr>
        <w:t xml:space="preserve"> فإذا نزل فإما أن يقال إن الإله يصير صغيرا بحيث تسعه السماء الدنيا</w:t>
      </w:r>
      <w:r>
        <w:rPr>
          <w:rFonts w:hint="cs"/>
          <w:rtl/>
          <w:lang w:bidi="ar-KW"/>
        </w:rPr>
        <w:t>،</w:t>
      </w:r>
      <w:r w:rsidR="009C32A0" w:rsidRPr="005675B2">
        <w:rPr>
          <w:rFonts w:hint="cs"/>
          <w:rtl/>
          <w:lang w:bidi="ar-KW"/>
        </w:rPr>
        <w:t xml:space="preserve"> وإما أن يقال إن السماء الدنيا تصير أعظم من العرش</w:t>
      </w:r>
      <w:r>
        <w:rPr>
          <w:rFonts w:hint="cs"/>
          <w:rtl/>
          <w:lang w:bidi="ar-KW"/>
        </w:rPr>
        <w:t>،</w:t>
      </w:r>
      <w:r w:rsidR="009C32A0" w:rsidRPr="005675B2">
        <w:rPr>
          <w:rFonts w:hint="cs"/>
          <w:rtl/>
          <w:lang w:bidi="ar-KW"/>
        </w:rPr>
        <w:t xml:space="preserve"> وكل ذلك باطل</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الثامنة</w:t>
      </w:r>
      <w:r>
        <w:rPr>
          <w:rFonts w:hint="cs"/>
          <w:rtl/>
          <w:lang w:bidi="ar-KW"/>
        </w:rPr>
        <w:t>):</w:t>
      </w:r>
      <w:r w:rsidR="009C32A0" w:rsidRPr="005675B2">
        <w:rPr>
          <w:rFonts w:hint="cs"/>
          <w:rtl/>
          <w:lang w:bidi="ar-KW"/>
        </w:rPr>
        <w:t xml:space="preserve"> ثبت أن العالم كرة</w:t>
      </w:r>
      <w:r>
        <w:rPr>
          <w:rFonts w:hint="cs"/>
          <w:rtl/>
          <w:lang w:bidi="ar-KW"/>
        </w:rPr>
        <w:t>،</w:t>
      </w:r>
      <w:r w:rsidR="009C32A0" w:rsidRPr="005675B2">
        <w:rPr>
          <w:rFonts w:hint="cs"/>
          <w:rtl/>
          <w:lang w:bidi="ar-KW"/>
        </w:rPr>
        <w:t xml:space="preserve"> فإن كان فوق بالنسبة إلى قوم كانت تحت بالنسبة إلى قوم آخرين وذلك باطل</w:t>
      </w:r>
      <w:r>
        <w:rPr>
          <w:rFonts w:hint="cs"/>
          <w:rtl/>
          <w:lang w:bidi="ar-KW"/>
        </w:rPr>
        <w:t>،</w:t>
      </w:r>
      <w:r w:rsidR="009C32A0" w:rsidRPr="005675B2">
        <w:rPr>
          <w:rFonts w:hint="cs"/>
          <w:rtl/>
          <w:lang w:bidi="ar-KW"/>
        </w:rPr>
        <w:t xml:space="preserve"> وإن كان فوق بالنسبة إلى الكل</w:t>
      </w:r>
      <w:r>
        <w:rPr>
          <w:rFonts w:hint="cs"/>
          <w:rtl/>
          <w:lang w:bidi="ar-KW"/>
        </w:rPr>
        <w:t>،</w:t>
      </w:r>
      <w:r w:rsidR="009C32A0" w:rsidRPr="005675B2">
        <w:rPr>
          <w:rFonts w:hint="cs"/>
          <w:rtl/>
          <w:lang w:bidi="ar-KW"/>
        </w:rPr>
        <w:t xml:space="preserve"> فحينئذ يكون جسما محيطا بهذا العالم من كل الجوانب</w:t>
      </w:r>
      <w:r>
        <w:rPr>
          <w:rFonts w:hint="cs"/>
          <w:rtl/>
          <w:lang w:bidi="ar-KW"/>
        </w:rPr>
        <w:t>،</w:t>
      </w:r>
      <w:r w:rsidR="009C32A0" w:rsidRPr="005675B2">
        <w:rPr>
          <w:rFonts w:hint="cs"/>
          <w:rtl/>
          <w:lang w:bidi="ar-KW"/>
        </w:rPr>
        <w:t xml:space="preserve"> فيكون إله العالم على هذا القول فلكا من الأفلاك، </w:t>
      </w:r>
      <w:r>
        <w:rPr>
          <w:rFonts w:hint="cs"/>
          <w:rtl/>
          <w:lang w:bidi="ar-KW"/>
        </w:rPr>
        <w:t>(</w:t>
      </w:r>
      <w:r w:rsidR="009C32A0" w:rsidRPr="005675B2">
        <w:rPr>
          <w:rFonts w:hint="cs"/>
          <w:bCs/>
          <w:rtl/>
          <w:lang w:bidi="ar-KW"/>
        </w:rPr>
        <w:t>الحجة التاسعة</w:t>
      </w:r>
      <w:r>
        <w:rPr>
          <w:rFonts w:hint="cs"/>
          <w:rtl/>
          <w:lang w:bidi="ar-KW"/>
        </w:rPr>
        <w:t>):</w:t>
      </w:r>
      <w:r w:rsidR="009C32A0" w:rsidRPr="005675B2">
        <w:rPr>
          <w:rFonts w:hint="cs"/>
          <w:rtl/>
          <w:lang w:bidi="ar-KW"/>
        </w:rPr>
        <w:t xml:space="preserve"> لما كانت الأرض كرة</w:t>
      </w:r>
      <w:r>
        <w:rPr>
          <w:rFonts w:hint="cs"/>
          <w:rtl/>
          <w:lang w:bidi="ar-KW"/>
        </w:rPr>
        <w:t>،</w:t>
      </w:r>
      <w:r w:rsidR="009C32A0" w:rsidRPr="005675B2">
        <w:rPr>
          <w:rFonts w:hint="cs"/>
          <w:rtl/>
          <w:lang w:bidi="ar-KW"/>
        </w:rPr>
        <w:t xml:space="preserve"> وكانت السموات كرات</w:t>
      </w:r>
      <w:r>
        <w:rPr>
          <w:rFonts w:hint="cs"/>
          <w:rtl/>
          <w:lang w:bidi="ar-KW"/>
        </w:rPr>
        <w:t>،</w:t>
      </w:r>
      <w:r w:rsidR="009C32A0" w:rsidRPr="005675B2">
        <w:rPr>
          <w:rFonts w:hint="cs"/>
          <w:rtl/>
          <w:lang w:bidi="ar-KW"/>
        </w:rPr>
        <w:t xml:space="preserve"> فكل ساعة تفرض الساعات فإنها تكون ثلث الليل في حق أقوام معينين من سكان كرة العوارض</w:t>
      </w:r>
      <w:r>
        <w:rPr>
          <w:rFonts w:hint="cs"/>
          <w:rtl/>
          <w:lang w:bidi="ar-KW"/>
        </w:rPr>
        <w:t>،</w:t>
      </w:r>
      <w:r w:rsidR="009C32A0" w:rsidRPr="005675B2">
        <w:rPr>
          <w:rFonts w:hint="cs"/>
          <w:rtl/>
          <w:lang w:bidi="ar-KW"/>
        </w:rPr>
        <w:t xml:space="preserve"> فلو نزل من العرش في ثلث الليل وجب أن يبقى أبدا نازلا عن العرش</w:t>
      </w:r>
      <w:r>
        <w:rPr>
          <w:rFonts w:hint="cs"/>
          <w:rtl/>
          <w:lang w:bidi="ar-KW"/>
        </w:rPr>
        <w:t>،</w:t>
      </w:r>
      <w:r w:rsidR="009C32A0" w:rsidRPr="005675B2">
        <w:rPr>
          <w:rFonts w:hint="cs"/>
          <w:rtl/>
          <w:lang w:bidi="ar-KW"/>
        </w:rPr>
        <w:t xml:space="preserve"> وأن لا يرجع إلى العرش البتة</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العاشرة</w:t>
      </w:r>
      <w:r>
        <w:rPr>
          <w:rFonts w:hint="cs"/>
          <w:rtl/>
          <w:lang w:bidi="ar-KW"/>
        </w:rPr>
        <w:t>):</w:t>
      </w:r>
      <w:r w:rsidR="009C32A0" w:rsidRPr="005675B2">
        <w:rPr>
          <w:rFonts w:hint="cs"/>
          <w:rtl/>
          <w:lang w:bidi="ar-KW"/>
        </w:rPr>
        <w:t xml:space="preserve"> أنا إنما زيفنا إلهية الشمس والقمر لثلاثة أنواع من العيوب أولها</w:t>
      </w:r>
      <w:r>
        <w:rPr>
          <w:rFonts w:hint="cs"/>
          <w:rtl/>
          <w:lang w:bidi="ar-KW"/>
        </w:rPr>
        <w:t>:</w:t>
      </w:r>
      <w:r w:rsidR="009C32A0" w:rsidRPr="005675B2">
        <w:rPr>
          <w:rFonts w:hint="cs"/>
          <w:rtl/>
          <w:lang w:bidi="ar-KW"/>
        </w:rPr>
        <w:t xml:space="preserve"> كونه مؤلفا من الأجزاء والأبعاض وثانيها</w:t>
      </w:r>
      <w:r>
        <w:rPr>
          <w:rFonts w:hint="cs"/>
          <w:rtl/>
          <w:lang w:bidi="ar-KW"/>
        </w:rPr>
        <w:t>:</w:t>
      </w:r>
      <w:r w:rsidR="009C32A0" w:rsidRPr="005675B2">
        <w:rPr>
          <w:rFonts w:hint="cs"/>
          <w:rtl/>
          <w:lang w:bidi="ar-KW"/>
        </w:rPr>
        <w:t xml:space="preserve"> كونه محدودا متناهيا وثالثها</w:t>
      </w:r>
      <w:r>
        <w:rPr>
          <w:rFonts w:hint="cs"/>
          <w:rtl/>
          <w:lang w:bidi="ar-KW"/>
        </w:rPr>
        <w:t>:</w:t>
      </w:r>
      <w:r w:rsidR="009C32A0" w:rsidRPr="005675B2">
        <w:rPr>
          <w:rFonts w:hint="cs"/>
          <w:rtl/>
          <w:lang w:bidi="ar-KW"/>
        </w:rPr>
        <w:t xml:space="preserve"> كونه موصوفا بالحركة والسكون والطلوع والغروب</w:t>
      </w:r>
      <w:r>
        <w:rPr>
          <w:rFonts w:hint="cs"/>
          <w:rtl/>
          <w:lang w:bidi="ar-KW"/>
        </w:rPr>
        <w:t>،</w:t>
      </w:r>
      <w:r w:rsidR="009C32A0" w:rsidRPr="005675B2">
        <w:rPr>
          <w:rFonts w:hint="cs"/>
          <w:rtl/>
          <w:lang w:bidi="ar-KW"/>
        </w:rPr>
        <w:t xml:space="preserve"> فإذا كان إله المشبهة مؤلفا من الأعضاء والأجزاء كان مركبا</w:t>
      </w:r>
      <w:r>
        <w:rPr>
          <w:rFonts w:hint="cs"/>
          <w:rtl/>
          <w:lang w:bidi="ar-KW"/>
        </w:rPr>
        <w:t>،</w:t>
      </w:r>
      <w:r w:rsidR="009C32A0" w:rsidRPr="005675B2">
        <w:rPr>
          <w:rFonts w:hint="cs"/>
          <w:rtl/>
          <w:lang w:bidi="ar-KW"/>
        </w:rPr>
        <w:t xml:space="preserve"> فإذا كان العرش كان محدودا متناهيا</w:t>
      </w:r>
      <w:r>
        <w:rPr>
          <w:rFonts w:hint="cs"/>
          <w:rtl/>
          <w:lang w:bidi="ar-KW"/>
        </w:rPr>
        <w:t>،</w:t>
      </w:r>
      <w:r w:rsidR="009C32A0" w:rsidRPr="005675B2">
        <w:rPr>
          <w:rFonts w:hint="cs"/>
          <w:rtl/>
          <w:lang w:bidi="ar-KW"/>
        </w:rPr>
        <w:t xml:space="preserve"> وإن كان ينزل من العرش ويرجع إليه كان </w:t>
      </w:r>
      <w:r w:rsidR="009C32A0" w:rsidRPr="005675B2">
        <w:rPr>
          <w:rFonts w:hint="cs"/>
          <w:rtl/>
          <w:lang w:bidi="ar-KW"/>
        </w:rPr>
        <w:lastRenderedPageBreak/>
        <w:t>موصوفا بالحركة والسكون</w:t>
      </w:r>
      <w:r>
        <w:rPr>
          <w:rFonts w:hint="cs"/>
          <w:rtl/>
          <w:lang w:bidi="ar-KW"/>
        </w:rPr>
        <w:t>،</w:t>
      </w:r>
      <w:r w:rsidR="009C32A0" w:rsidRPr="005675B2">
        <w:rPr>
          <w:rFonts w:hint="cs"/>
          <w:rtl/>
          <w:lang w:bidi="ar-KW"/>
        </w:rPr>
        <w:t xml:space="preserve"> فهذه الصفات الثلاثة إن كانت منافية للإلهية وجب تنزيه الإله عنها بأسرها</w:t>
      </w:r>
      <w:r>
        <w:rPr>
          <w:rFonts w:hint="cs"/>
          <w:rtl/>
          <w:lang w:bidi="ar-KW"/>
        </w:rPr>
        <w:t>،</w:t>
      </w:r>
      <w:r w:rsidR="009C32A0" w:rsidRPr="005675B2">
        <w:rPr>
          <w:rFonts w:hint="cs"/>
          <w:rtl/>
          <w:lang w:bidi="ar-KW"/>
        </w:rPr>
        <w:t xml:space="preserve"> وذلك يبطل قول المشبهة</w:t>
      </w:r>
      <w:r>
        <w:rPr>
          <w:rFonts w:hint="cs"/>
          <w:rtl/>
          <w:lang w:bidi="ar-KW"/>
        </w:rPr>
        <w:t>،</w:t>
      </w:r>
      <w:r w:rsidR="009C32A0" w:rsidRPr="005675B2">
        <w:rPr>
          <w:rFonts w:hint="cs"/>
          <w:rtl/>
          <w:lang w:bidi="ar-KW"/>
        </w:rPr>
        <w:t xml:space="preserve"> وإن لم تكن منافية للإلهية فحينئذ لا يقدر أحد على الطعن في إلهية الشمس والقمر</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bCs/>
          <w:rtl/>
          <w:lang w:bidi="ar-KW"/>
        </w:rPr>
        <w:t>الحجة الحادية عشرة</w:t>
      </w:r>
      <w:r>
        <w:rPr>
          <w:rFonts w:hint="cs"/>
          <w:rtl/>
          <w:lang w:bidi="ar-KW"/>
        </w:rPr>
        <w:t>):</w:t>
      </w:r>
      <w:r w:rsidR="009C32A0" w:rsidRPr="005675B2">
        <w:rPr>
          <w:rFonts w:hint="cs"/>
          <w:rtl/>
          <w:lang w:bidi="ar-KW"/>
        </w:rPr>
        <w:t xml:space="preserve"> 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قل هو الله أحد</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الإخلاص</w:t>
      </w:r>
      <w:r>
        <w:rPr>
          <w:rFonts w:hint="cs"/>
          <w:rtl/>
          <w:lang w:bidi="ar-KW"/>
        </w:rPr>
        <w:t>:</w:t>
      </w:r>
      <w:r w:rsidR="009C32A0" w:rsidRPr="005675B2">
        <w:rPr>
          <w:rFonts w:hint="cs"/>
          <w:rtl/>
          <w:lang w:bidi="ar-KW"/>
        </w:rPr>
        <w:t xml:space="preserve"> 1</w:t>
      </w:r>
      <w:r>
        <w:rPr>
          <w:rFonts w:hint="cs"/>
          <w:rtl/>
          <w:lang w:bidi="ar-KW"/>
        </w:rPr>
        <w:t>]</w:t>
      </w:r>
      <w:r w:rsidR="009C32A0" w:rsidRPr="005675B2">
        <w:rPr>
          <w:rFonts w:hint="cs"/>
          <w:rtl/>
          <w:lang w:bidi="ar-KW"/>
        </w:rPr>
        <w:t xml:space="preserve"> ولفظ الأحد مبالغة في الوحدة</w:t>
      </w:r>
      <w:r>
        <w:rPr>
          <w:rFonts w:hint="cs"/>
          <w:rtl/>
          <w:lang w:bidi="ar-KW"/>
        </w:rPr>
        <w:t>،</w:t>
      </w:r>
      <w:r w:rsidR="009C32A0" w:rsidRPr="005675B2">
        <w:rPr>
          <w:rFonts w:hint="cs"/>
          <w:rtl/>
          <w:lang w:bidi="ar-KW"/>
        </w:rPr>
        <w:t xml:space="preserve"> وذلك ينافي كونه مركبا من الأجزاء والأبعاض</w:t>
      </w:r>
      <w:r>
        <w:rPr>
          <w:rFonts w:hint="cs"/>
          <w:rtl/>
          <w:lang w:bidi="ar-KW"/>
        </w:rPr>
        <w:t>،</w:t>
      </w:r>
      <w:r w:rsidR="009C32A0" w:rsidRPr="005675B2">
        <w:rPr>
          <w:rFonts w:hint="cs"/>
          <w:rtl/>
          <w:lang w:bidi="ar-KW"/>
        </w:rPr>
        <w:t xml:space="preserve"> </w:t>
      </w:r>
      <w:r>
        <w:rPr>
          <w:rFonts w:hint="cs"/>
          <w:bCs/>
          <w:rtl/>
          <w:lang w:bidi="ar-KW"/>
        </w:rPr>
        <w:t>(</w:t>
      </w:r>
      <w:r w:rsidR="009C32A0" w:rsidRPr="005675B2">
        <w:rPr>
          <w:rFonts w:hint="cs"/>
          <w:bCs/>
          <w:rtl/>
          <w:lang w:bidi="ar-KW"/>
        </w:rPr>
        <w:t>الحجة الثانية عشرة</w:t>
      </w:r>
      <w:r>
        <w:rPr>
          <w:rFonts w:hint="cs"/>
          <w:bCs/>
          <w:rtl/>
          <w:lang w:bidi="ar-KW"/>
        </w:rPr>
        <w:t>)</w:t>
      </w:r>
      <w:r>
        <w:rPr>
          <w:rFonts w:hint="cs"/>
          <w:rtl/>
          <w:lang w:bidi="ar-KW"/>
        </w:rPr>
        <w:t>:</w:t>
      </w:r>
      <w:r w:rsidR="009C32A0" w:rsidRPr="005675B2">
        <w:rPr>
          <w:rFonts w:hint="cs"/>
          <w:rtl/>
          <w:lang w:bidi="ar-KW"/>
        </w:rPr>
        <w:t xml:space="preserve"> قوله تعالى</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والله الغني وأنتم الفقراء</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محمد</w:t>
      </w:r>
      <w:r>
        <w:rPr>
          <w:rFonts w:hint="cs"/>
          <w:rtl/>
          <w:lang w:bidi="ar-KW"/>
        </w:rPr>
        <w:t>:</w:t>
      </w:r>
      <w:r w:rsidR="009C32A0" w:rsidRPr="005675B2">
        <w:rPr>
          <w:rFonts w:hint="cs"/>
          <w:rtl/>
          <w:lang w:bidi="ar-KW"/>
        </w:rPr>
        <w:t xml:space="preserve"> 38</w:t>
      </w:r>
      <w:r>
        <w:rPr>
          <w:rFonts w:hint="cs"/>
          <w:rtl/>
          <w:lang w:bidi="ar-KW"/>
        </w:rPr>
        <w:t>]</w:t>
      </w:r>
      <w:r w:rsidR="009C32A0" w:rsidRPr="005675B2">
        <w:rPr>
          <w:rFonts w:hint="cs"/>
          <w:rtl/>
          <w:lang w:bidi="ar-KW"/>
        </w:rPr>
        <w:t xml:space="preserve"> ولو كان مركبا من الأجزاء والأبعاض لكان محتاجا إليها وذلك يمنع من كونه غنيا على الإطلاق</w:t>
      </w:r>
      <w:r>
        <w:rPr>
          <w:rFonts w:hint="cs"/>
          <w:rtl/>
          <w:lang w:bidi="ar-KW"/>
        </w:rPr>
        <w:t>،</w:t>
      </w:r>
      <w:r w:rsidR="009C32A0" w:rsidRPr="005675B2">
        <w:rPr>
          <w:rFonts w:hint="cs"/>
          <w:rtl/>
          <w:lang w:bidi="ar-KW"/>
        </w:rPr>
        <w:t xml:space="preserve"> فثبت بهذه الوجوه أن القول بإثبات الأعضاء والأجزاء لله محال</w:t>
      </w:r>
      <w:r>
        <w:rPr>
          <w:rFonts w:hint="cs"/>
          <w:rtl/>
          <w:lang w:bidi="ar-KW"/>
        </w:rPr>
        <w:t>)</w:t>
      </w:r>
      <w:r w:rsidR="009C32A0" w:rsidRPr="005675B2">
        <w:rPr>
          <w:rFonts w:hint="cs"/>
          <w:rtl/>
          <w:lang w:bidi="ar-KW"/>
        </w:rPr>
        <w:t xml:space="preserve"> أهـ </w:t>
      </w:r>
      <w:r>
        <w:rPr>
          <w:rFonts w:hint="cs"/>
          <w:rtl/>
          <w:lang w:bidi="ar-KW"/>
        </w:rPr>
        <w:t>[</w:t>
      </w:r>
      <w:r w:rsidR="009C32A0" w:rsidRPr="005675B2">
        <w:rPr>
          <w:rFonts w:hint="cs"/>
          <w:rtl/>
          <w:lang w:bidi="ar-KW"/>
        </w:rPr>
        <w:t>تفسير مفاتح الغيب</w:t>
      </w:r>
      <w:r>
        <w:rPr>
          <w:rFonts w:hint="cs"/>
          <w:rtl/>
          <w:lang w:bidi="ar-KW"/>
        </w:rPr>
        <w:t>:</w:t>
      </w:r>
      <w:r w:rsidR="009C32A0" w:rsidRPr="005675B2">
        <w:rPr>
          <w:rFonts w:hint="cs"/>
          <w:rtl/>
          <w:lang w:bidi="ar-KW"/>
        </w:rPr>
        <w:t xml:space="preserve"> ج 13</w:t>
      </w:r>
      <w:r>
        <w:rPr>
          <w:rFonts w:hint="cs"/>
          <w:rtl/>
          <w:lang w:bidi="ar-KW"/>
        </w:rPr>
        <w:t>:</w:t>
      </w:r>
      <w:r w:rsidR="009C32A0" w:rsidRPr="005675B2">
        <w:rPr>
          <w:rFonts w:hint="cs"/>
          <w:rtl/>
          <w:lang w:bidi="ar-KW"/>
        </w:rPr>
        <w:t xml:space="preserve"> ص 212 إلى 214</w:t>
      </w:r>
      <w:r>
        <w:rPr>
          <w:rFonts w:hint="cs"/>
          <w:rtl/>
          <w:lang w:bidi="ar-KW"/>
        </w:rPr>
        <w:t>]،</w:t>
      </w:r>
    </w:p>
    <w:p w14:paraId="3B2C0180" w14:textId="70050D09" w:rsidR="009C32A0" w:rsidRPr="005675B2" w:rsidRDefault="009C32A0" w:rsidP="000636C2">
      <w:pPr>
        <w:spacing w:before="240" w:after="240"/>
        <w:jc w:val="center"/>
        <w:rPr>
          <w:b/>
          <w:bCs/>
          <w:rtl/>
          <w:lang w:bidi="ar-KW"/>
        </w:rPr>
      </w:pPr>
      <w:r>
        <w:rPr>
          <w:rFonts w:hint="cs"/>
          <w:bCs/>
          <w:rtl/>
          <w:lang w:bidi="ar-KW"/>
        </w:rPr>
        <w:t>***</w:t>
      </w:r>
      <w:r w:rsidR="000636C2">
        <w:rPr>
          <w:rFonts w:hint="cs"/>
          <w:bCs/>
          <w:rtl/>
          <w:lang w:bidi="ar-KW"/>
        </w:rPr>
        <w:t xml:space="preserve"> </w:t>
      </w:r>
    </w:p>
    <w:p w14:paraId="3EABFAE4" w14:textId="7C28C2E7" w:rsidR="009C32A0" w:rsidRPr="00C07A88" w:rsidRDefault="009C32A0" w:rsidP="00C07A88">
      <w:pPr>
        <w:pStyle w:val="2"/>
        <w:bidi/>
        <w:jc w:val="center"/>
        <w:rPr>
          <w:u w:val="none"/>
          <w:rtl/>
          <w:lang w:bidi="ar-KW"/>
        </w:rPr>
      </w:pPr>
      <w:r w:rsidRPr="00C07A88">
        <w:rPr>
          <w:rFonts w:hint="cs"/>
          <w:u w:val="none"/>
          <w:rtl/>
          <w:lang w:bidi="ar-KW"/>
        </w:rPr>
        <w:t>القاعدة الثامنة</w:t>
      </w:r>
      <w:r w:rsidR="000636C2" w:rsidRPr="00C07A88">
        <w:rPr>
          <w:rFonts w:hint="cs"/>
          <w:u w:val="none"/>
          <w:rtl/>
          <w:lang w:bidi="ar-KW"/>
        </w:rPr>
        <w:t>:</w:t>
      </w:r>
      <w:r w:rsidRPr="00C07A88">
        <w:rPr>
          <w:rFonts w:hint="cs"/>
          <w:u w:val="none"/>
          <w:rtl/>
          <w:lang w:bidi="ar-KW"/>
        </w:rPr>
        <w:t xml:space="preserve"> تنزيه ذات الله تعالى عن التغير والحدوث وعن حلول الحوادث بذاته تقدس وتعالى لأنها صفات المخلوق</w:t>
      </w:r>
    </w:p>
    <w:p w14:paraId="294C65B5" w14:textId="77777777" w:rsidR="009C32A0" w:rsidRPr="005675B2" w:rsidRDefault="009C32A0" w:rsidP="000636C2">
      <w:pPr>
        <w:rPr>
          <w:b/>
          <w:lang w:bidi="ar-KW"/>
        </w:rPr>
      </w:pPr>
    </w:p>
    <w:p w14:paraId="72E69B9B" w14:textId="7237C707" w:rsidR="009C32A0" w:rsidRPr="005675B2" w:rsidRDefault="000636C2" w:rsidP="000636C2">
      <w:pPr>
        <w:rPr>
          <w:b/>
          <w:rtl/>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الله عز وجل هو الأول فليس قبله شيء</w:t>
      </w:r>
      <w:r>
        <w:rPr>
          <w:rFonts w:hint="cs"/>
          <w:rtl/>
          <w:lang w:bidi="ar-KW"/>
        </w:rPr>
        <w:t>،</w:t>
      </w:r>
      <w:r w:rsidR="009C32A0" w:rsidRPr="005675B2">
        <w:rPr>
          <w:rFonts w:hint="cs"/>
          <w:rtl/>
          <w:lang w:bidi="ar-KW"/>
        </w:rPr>
        <w:t xml:space="preserve"> متصف سبحانه بالأولية في ذاته وصفاته</w:t>
      </w:r>
      <w:r>
        <w:rPr>
          <w:rFonts w:hint="cs"/>
          <w:rtl/>
          <w:lang w:bidi="ar-KW"/>
        </w:rPr>
        <w:t>،</w:t>
      </w:r>
      <w:r w:rsidR="009C32A0" w:rsidRPr="005675B2">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9C32A0" w:rsidRPr="005675B2">
        <w:rPr>
          <w:rFonts w:hint="cs"/>
          <w:rtl/>
        </w:rPr>
        <w:t xml:space="preserve"> نقص يتنزه عنه كمال الذات وبيان ذلك أن نقول</w:t>
      </w:r>
      <w:r>
        <w:rPr>
          <w:rFonts w:hint="cs"/>
          <w:rtl/>
        </w:rPr>
        <w:t xml:space="preserve">: </w:t>
      </w:r>
      <w:r>
        <w:rPr>
          <w:rFonts w:hint="cs"/>
          <w:rtl/>
          <w:lang w:bidi="ar-KW"/>
        </w:rPr>
        <w:t>(</w:t>
      </w:r>
      <w:r w:rsidR="009C32A0" w:rsidRPr="005675B2">
        <w:rPr>
          <w:rFonts w:hint="cs"/>
          <w:rtl/>
          <w:lang w:bidi="ar-KW"/>
        </w:rPr>
        <w:t>ب</w:t>
      </w:r>
      <w:r>
        <w:rPr>
          <w:rFonts w:hint="cs"/>
          <w:rtl/>
          <w:lang w:bidi="ar-KW"/>
        </w:rPr>
        <w:t>)</w:t>
      </w:r>
      <w:r w:rsidR="009C32A0" w:rsidRPr="005675B2">
        <w:rPr>
          <w:rFonts w:hint="cs"/>
          <w:rtl/>
          <w:lang w:bidi="ar-KW"/>
        </w:rPr>
        <w:t xml:space="preserve"> من الأدلة القرآنية على تنزيه الله تعالى عن التغير والحدوث و عن حلول الحوادث بذاته تقدس وتعالى</w:t>
      </w:r>
      <w:r>
        <w:rPr>
          <w:rFonts w:hint="cs"/>
          <w:rtl/>
          <w:lang w:bidi="ar-KW"/>
        </w:rPr>
        <w:t>،</w:t>
      </w:r>
      <w:r w:rsidR="009C32A0" w:rsidRPr="005675B2">
        <w:rPr>
          <w:rFonts w:hint="cs"/>
          <w:rtl/>
          <w:lang w:bidi="ar-KW"/>
        </w:rPr>
        <w:t xml:space="preserve"> </w:t>
      </w:r>
      <w:r w:rsidR="009C32A0" w:rsidRPr="005675B2">
        <w:rPr>
          <w:rFonts w:hint="cs"/>
          <w:rtl/>
        </w:rPr>
        <w:t xml:space="preserve">قوله تعالى </w:t>
      </w:r>
      <w:r>
        <w:rPr>
          <w:rFonts w:hint="cs"/>
          <w:rtl/>
        </w:rPr>
        <w:t>{</w:t>
      </w:r>
      <w:r w:rsidR="009C32A0" w:rsidRPr="005675B2">
        <w:rPr>
          <w:rFonts w:hint="cs"/>
          <w:bCs/>
          <w:rtl/>
        </w:rPr>
        <w:t>ليس كمثلِه شيء</w:t>
      </w:r>
      <w:r>
        <w:rPr>
          <w:rFonts w:hint="cs"/>
          <w:bCs/>
          <w:rtl/>
        </w:rPr>
        <w:t>}</w:t>
      </w:r>
      <w:r w:rsidR="009C32A0" w:rsidRPr="005675B2">
        <w:rPr>
          <w:rFonts w:hint="cs"/>
          <w:rtl/>
        </w:rPr>
        <w:t xml:space="preserve"> [سورة الشورى</w:t>
      </w:r>
      <w:r>
        <w:rPr>
          <w:rFonts w:hint="cs"/>
          <w:rtl/>
        </w:rPr>
        <w:t>:</w:t>
      </w:r>
      <w:r w:rsidR="009C32A0" w:rsidRPr="005675B2">
        <w:rPr>
          <w:rFonts w:hint="cs"/>
          <w:rtl/>
        </w:rPr>
        <w:t xml:space="preserve"> 11]، في هذه الآية نفي المشابهة والمماثلة بين الله تعالى وخلقه ومعناه أن الله تعالى لا يشبه شيئًا من خلقه بوجه من الوجوه، </w:t>
      </w:r>
      <w:r w:rsidR="009C32A0" w:rsidRPr="005675B2">
        <w:rPr>
          <w:rFonts w:hint="cs"/>
          <w:rtl/>
          <w:lang w:bidi="ar-KW"/>
        </w:rPr>
        <w:t>ومنها أنه يستحيل عليه التغير والحدوث وقبول الحوادث لأن التغير والحدوث و حلول الحوادث من صفات المخلوق</w:t>
      </w:r>
      <w:r>
        <w:rPr>
          <w:rFonts w:hint="cs"/>
          <w:rtl/>
          <w:lang w:bidi="ar-KW"/>
        </w:rPr>
        <w:t>،</w:t>
      </w:r>
      <w:r w:rsidR="009C32A0" w:rsidRPr="005675B2">
        <w:rPr>
          <w:rFonts w:hint="cs"/>
          <w:rtl/>
          <w:lang w:bidi="ar-KW"/>
        </w:rPr>
        <w:t xml:space="preserve"> </w:t>
      </w:r>
      <w:r w:rsidR="009C32A0" w:rsidRPr="005675B2">
        <w:rPr>
          <w:rFonts w:hint="cs"/>
          <w:rtl/>
        </w:rPr>
        <w:t>وقوله تعالى:</w:t>
      </w:r>
      <w:r w:rsidR="009C32A0" w:rsidRPr="005675B2">
        <w:rPr>
          <w:rFonts w:hint="cs"/>
          <w:bCs/>
          <w:rtl/>
        </w:rPr>
        <w:t xml:space="preserve"> </w:t>
      </w:r>
      <w:r>
        <w:rPr>
          <w:rFonts w:hint="cs"/>
          <w:bCs/>
          <w:rtl/>
        </w:rPr>
        <w:t>{</w:t>
      </w:r>
      <w:r w:rsidR="009C32A0" w:rsidRPr="005675B2">
        <w:rPr>
          <w:rFonts w:hint="cs"/>
          <w:bCs/>
          <w:rtl/>
        </w:rPr>
        <w:t>وللهِ المثَلُ الأعلى</w:t>
      </w:r>
      <w:r>
        <w:rPr>
          <w:rFonts w:hint="cs"/>
          <w:bCs/>
          <w:rtl/>
        </w:rPr>
        <w:t>}</w:t>
      </w:r>
      <w:r w:rsidR="009C32A0" w:rsidRPr="005675B2">
        <w:rPr>
          <w:rFonts w:hint="cs"/>
          <w:rtl/>
        </w:rPr>
        <w:t xml:space="preserve"> [سورة النحل</w:t>
      </w:r>
      <w:r>
        <w:rPr>
          <w:rFonts w:hint="cs"/>
          <w:rtl/>
        </w:rPr>
        <w:t>:</w:t>
      </w:r>
      <w:r w:rsidR="009C32A0" w:rsidRPr="005675B2">
        <w:rPr>
          <w:rFonts w:hint="cs"/>
          <w:rtl/>
        </w:rPr>
        <w:t xml:space="preserve">60] أي الوصف الذي لا يشبه وصف غيره، فلا يوصف ربنا عزَّ وجلَّ بصفات المخلوقين من </w:t>
      </w:r>
      <w:r w:rsidR="009C32A0" w:rsidRPr="005675B2">
        <w:rPr>
          <w:rFonts w:hint="cs"/>
          <w:rtl/>
          <w:lang w:bidi="ar-KW"/>
        </w:rPr>
        <w:t>التغير والحدوث وقبول الحوادث</w:t>
      </w:r>
      <w:r>
        <w:rPr>
          <w:rFonts w:hint="cs"/>
          <w:rtl/>
          <w:lang w:bidi="ar-KW"/>
        </w:rPr>
        <w:t>،</w:t>
      </w:r>
      <w:r w:rsidR="009C32A0" w:rsidRPr="005675B2">
        <w:rPr>
          <w:rFonts w:hint="cs"/>
          <w:rtl/>
          <w:lang w:bidi="ar-KW"/>
        </w:rPr>
        <w:t xml:space="preserve"> </w:t>
      </w:r>
      <w:r w:rsidR="009C32A0" w:rsidRPr="005675B2">
        <w:rPr>
          <w:rFonts w:hint="cs"/>
          <w:rtl/>
        </w:rPr>
        <w:t>وقوله تعالى:</w:t>
      </w:r>
      <w:r w:rsidR="009C32A0" w:rsidRPr="005675B2">
        <w:rPr>
          <w:rFonts w:hint="cs"/>
          <w:bCs/>
          <w:rtl/>
        </w:rPr>
        <w:t xml:space="preserve"> </w:t>
      </w:r>
      <w:r>
        <w:rPr>
          <w:rFonts w:hint="cs"/>
          <w:bCs/>
          <w:rtl/>
        </w:rPr>
        <w:t>{</w:t>
      </w:r>
      <w:r w:rsidR="009C32A0" w:rsidRPr="005675B2">
        <w:rPr>
          <w:rFonts w:hint="cs"/>
          <w:bCs/>
          <w:rtl/>
        </w:rPr>
        <w:t>فلا تضربوا للهِ الأمثال</w:t>
      </w:r>
      <w:r>
        <w:rPr>
          <w:rFonts w:hint="cs"/>
          <w:bCs/>
          <w:rtl/>
        </w:rPr>
        <w:t xml:space="preserve">} </w:t>
      </w:r>
      <w:r w:rsidR="009C32A0" w:rsidRPr="005675B2">
        <w:rPr>
          <w:rFonts w:hint="cs"/>
          <w:rtl/>
        </w:rPr>
        <w:t>[سورة النحل</w:t>
      </w:r>
      <w:r>
        <w:rPr>
          <w:rFonts w:hint="cs"/>
          <w:rtl/>
        </w:rPr>
        <w:t>:</w:t>
      </w:r>
      <w:r w:rsidR="009C32A0" w:rsidRPr="005675B2">
        <w:rPr>
          <w:rFonts w:hint="cs"/>
          <w:rtl/>
        </w:rPr>
        <w:t xml:space="preserve"> 74]، أي لا </w:t>
      </w:r>
      <w:r w:rsidR="009C32A0" w:rsidRPr="005675B2">
        <w:rPr>
          <w:rFonts w:hint="cs"/>
          <w:rtl/>
        </w:rPr>
        <w:lastRenderedPageBreak/>
        <w:t>تجعلوا لله الشبيهَ والمِثْل فإن اللهَ تعالى لا شبيه له ولا مثيل له، فذاتُه سبحانه لا يشبه الذواتِ</w:t>
      </w:r>
      <w:r>
        <w:rPr>
          <w:rFonts w:hint="cs"/>
          <w:rtl/>
        </w:rPr>
        <w:t>،</w:t>
      </w:r>
      <w:r w:rsidR="009C32A0" w:rsidRPr="005675B2">
        <w:rPr>
          <w:rFonts w:hint="cs"/>
          <w:rtl/>
        </w:rPr>
        <w:t xml:space="preserve"> و</w:t>
      </w:r>
      <w:r w:rsidR="009C32A0" w:rsidRPr="005675B2">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9C32A0" w:rsidRPr="005675B2">
        <w:rPr>
          <w:rFonts w:hint="cs"/>
          <w:rtl/>
          <w:lang w:bidi="ar-KW"/>
        </w:rPr>
        <w:t xml:space="preserve"> </w:t>
      </w:r>
      <w:r w:rsidR="009C32A0" w:rsidRPr="005675B2">
        <w:rPr>
          <w:rFonts w:hint="cs"/>
          <w:rtl/>
        </w:rPr>
        <w:t>وقوله تعالى:</w:t>
      </w:r>
      <w:r>
        <w:rPr>
          <w:rFonts w:hint="cs"/>
          <w:bCs/>
          <w:rtl/>
        </w:rPr>
        <w:t xml:space="preserve"> {</w:t>
      </w:r>
      <w:r w:rsidR="009C32A0" w:rsidRPr="005675B2">
        <w:rPr>
          <w:rFonts w:hint="cs"/>
          <w:bCs/>
          <w:rtl/>
        </w:rPr>
        <w:t>هل تعلمُ لهُ سميًّا</w:t>
      </w:r>
      <w:r>
        <w:rPr>
          <w:rFonts w:hint="cs"/>
          <w:bCs/>
          <w:rtl/>
        </w:rPr>
        <w:t xml:space="preserve">} </w:t>
      </w:r>
      <w:r w:rsidR="009C32A0" w:rsidRPr="005675B2">
        <w:rPr>
          <w:rFonts w:hint="cs"/>
          <w:rtl/>
        </w:rPr>
        <w:t>[سورة مريم</w:t>
      </w:r>
      <w:r>
        <w:rPr>
          <w:rFonts w:hint="cs"/>
          <w:rtl/>
        </w:rPr>
        <w:t>:</w:t>
      </w:r>
      <w:r w:rsidR="009C32A0" w:rsidRPr="005675B2">
        <w:rPr>
          <w:rFonts w:hint="cs"/>
          <w:rtl/>
        </w:rPr>
        <w:t xml:space="preserve"> 65</w:t>
      </w:r>
      <w:r>
        <w:rPr>
          <w:rFonts w:hint="cs"/>
          <w:rtl/>
        </w:rPr>
        <w:t>]</w:t>
      </w:r>
      <w:r w:rsidR="009C32A0" w:rsidRPr="005675B2">
        <w:rPr>
          <w:rFonts w:hint="cs"/>
          <w:rtl/>
        </w:rPr>
        <w:t xml:space="preserve"> أي مِثلاً، فالله تعالى لا مِثْلَ له ولا شبيه ولا نظير، فذاتُه سبحانه لا يشبه الذواتِ و</w:t>
      </w:r>
      <w:r w:rsidR="009C32A0" w:rsidRPr="005675B2">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9C32A0" w:rsidRPr="005675B2">
        <w:rPr>
          <w:rFonts w:hint="cs"/>
          <w:rtl/>
          <w:lang w:bidi="ar-KW"/>
        </w:rPr>
        <w:t xml:space="preserve"> </w:t>
      </w:r>
      <w:r w:rsidR="009C32A0" w:rsidRPr="005675B2">
        <w:rPr>
          <w:rFonts w:hint="cs"/>
          <w:rtl/>
        </w:rPr>
        <w:t>وقوله تعالى:</w:t>
      </w:r>
      <w:r w:rsidR="009C32A0" w:rsidRPr="005675B2">
        <w:rPr>
          <w:rFonts w:hint="cs"/>
          <w:bCs/>
          <w:rtl/>
        </w:rPr>
        <w:t xml:space="preserve"> </w:t>
      </w:r>
      <w:r>
        <w:rPr>
          <w:rFonts w:hint="cs"/>
          <w:bCs/>
          <w:rtl/>
        </w:rPr>
        <w:t>{</w:t>
      </w:r>
      <w:r w:rsidR="009C32A0" w:rsidRPr="005675B2">
        <w:rPr>
          <w:rFonts w:hint="cs"/>
          <w:bCs/>
          <w:rtl/>
        </w:rPr>
        <w:t>وَلَمْ يَكُن لَّهُ كُفُوًا أَحَدٌ</w:t>
      </w:r>
      <w:r>
        <w:rPr>
          <w:rFonts w:hint="cs"/>
          <w:bCs/>
          <w:rtl/>
        </w:rPr>
        <w:t>}</w:t>
      </w:r>
      <w:r w:rsidR="009C32A0" w:rsidRPr="005675B2">
        <w:rPr>
          <w:rFonts w:hint="cs"/>
          <w:rtl/>
        </w:rPr>
        <w:t xml:space="preserve"> [سورة الإخلاص</w:t>
      </w:r>
      <w:r>
        <w:rPr>
          <w:rFonts w:hint="cs"/>
          <w:rtl/>
        </w:rPr>
        <w:t>:</w:t>
      </w:r>
      <w:r w:rsidR="009C32A0" w:rsidRPr="005675B2">
        <w:rPr>
          <w:rFonts w:hint="cs"/>
          <w:rtl/>
        </w:rPr>
        <w:t xml:space="preserve"> 4] أي لا نظير له بوجه من الوجوه، ولا كفء له ولا شبيه</w:t>
      </w:r>
      <w:r>
        <w:rPr>
          <w:rFonts w:hint="cs"/>
          <w:rtl/>
        </w:rPr>
        <w:t>،</w:t>
      </w:r>
      <w:r w:rsidR="009C32A0" w:rsidRPr="005675B2">
        <w:rPr>
          <w:rFonts w:hint="cs"/>
          <w:rtl/>
        </w:rPr>
        <w:t xml:space="preserve"> فلا يوصف ربنا عزَّ وجلَّ بصفات المخلوقين من </w:t>
      </w:r>
      <w:r w:rsidR="009C32A0" w:rsidRPr="005675B2">
        <w:rPr>
          <w:rFonts w:hint="cs"/>
          <w:rtl/>
          <w:lang w:bidi="ar-KW"/>
        </w:rPr>
        <w:t>التغير والحدوث وقبول الحوادث</w:t>
      </w:r>
      <w:r>
        <w:rPr>
          <w:rFonts w:hint="cs"/>
          <w:rtl/>
          <w:lang w:bidi="ar-KW"/>
        </w:rPr>
        <w:t xml:space="preserve">، </w:t>
      </w:r>
      <w:r>
        <w:rPr>
          <w:rFonts w:hint="cs"/>
          <w:rtl/>
        </w:rPr>
        <w:t>(</w:t>
      </w:r>
      <w:r w:rsidR="009C32A0" w:rsidRPr="005675B2">
        <w:rPr>
          <w:rFonts w:hint="cs"/>
          <w:rtl/>
        </w:rPr>
        <w:t>ت</w:t>
      </w:r>
      <w:r>
        <w:rPr>
          <w:rFonts w:hint="cs"/>
          <w:rtl/>
        </w:rPr>
        <w:t>)</w:t>
      </w:r>
      <w:r w:rsidR="009C32A0" w:rsidRPr="005675B2">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9C32A0" w:rsidRPr="005675B2">
        <w:rPr>
          <w:rFonts w:hint="cs"/>
          <w:bCs/>
          <w:rtl/>
        </w:rPr>
        <w:t xml:space="preserve"> </w:t>
      </w:r>
      <w:r>
        <w:rPr>
          <w:rFonts w:hint="cs"/>
          <w:bCs/>
          <w:rtl/>
        </w:rPr>
        <w:t>{</w:t>
      </w:r>
      <w:r w:rsidR="009C32A0" w:rsidRPr="005675B2">
        <w:rPr>
          <w:rFonts w:hint="cs"/>
          <w:bCs/>
          <w:rtl/>
        </w:rPr>
        <w:t>قَالَ هَذَا رَبِّي فَلَمَّا أَفَلَ قَالَ لَا أُحِبُّ الْآفِلِينَ</w:t>
      </w:r>
      <w:r>
        <w:rPr>
          <w:rFonts w:hint="cs"/>
          <w:bCs/>
          <w:rtl/>
        </w:rPr>
        <w:t xml:space="preserve">} </w:t>
      </w:r>
      <w:r>
        <w:rPr>
          <w:rFonts w:hint="cs"/>
          <w:rtl/>
        </w:rPr>
        <w:t>[</w:t>
      </w:r>
      <w:r w:rsidR="009C32A0" w:rsidRPr="005675B2">
        <w:rPr>
          <w:rFonts w:hint="cs"/>
          <w:rtl/>
        </w:rPr>
        <w:t>الأنعام</w:t>
      </w:r>
      <w:r>
        <w:rPr>
          <w:rFonts w:hint="cs"/>
          <w:rtl/>
        </w:rPr>
        <w:t>:</w:t>
      </w:r>
      <w:r w:rsidR="009C32A0" w:rsidRPr="005675B2">
        <w:rPr>
          <w:rFonts w:hint="cs"/>
          <w:rtl/>
        </w:rPr>
        <w:t xml:space="preserve"> 76]</w:t>
      </w:r>
      <w:r>
        <w:rPr>
          <w:rFonts w:hint="cs"/>
          <w:rtl/>
        </w:rPr>
        <w:t>،</w:t>
      </w:r>
      <w:r w:rsidR="009C32A0" w:rsidRPr="005675B2">
        <w:rPr>
          <w:rFonts w:hint="cs"/>
          <w:rtl/>
        </w:rPr>
        <w:t xml:space="preserve"> قال المفسرون</w:t>
      </w:r>
      <w:r>
        <w:rPr>
          <w:rFonts w:hint="cs"/>
          <w:rtl/>
        </w:rPr>
        <w:t>:</w:t>
      </w:r>
      <w:r w:rsidR="009C32A0" w:rsidRPr="005675B2">
        <w:rPr>
          <w:rFonts w:hint="cs"/>
          <w:rtl/>
        </w:rPr>
        <w:t xml:space="preserve">قال ذلك لقومه </w:t>
      </w:r>
      <w:r>
        <w:rPr>
          <w:rFonts w:hint="cs"/>
          <w:rtl/>
        </w:rPr>
        <w:t>(</w:t>
      </w:r>
      <w:r w:rsidR="009C32A0">
        <w:rPr>
          <w:rFonts w:hint="cs"/>
          <w:rtl/>
        </w:rPr>
        <w:t>تنبيه</w:t>
      </w:r>
      <w:r>
        <w:rPr>
          <w:rFonts w:hint="cs"/>
          <w:rtl/>
        </w:rPr>
        <w:t>)</w:t>
      </w:r>
      <w:r w:rsidR="009C32A0" w:rsidRPr="005675B2">
        <w:rPr>
          <w:rFonts w:hint="cs"/>
          <w:rtl/>
        </w:rPr>
        <w:t>ا لهم على أن القمر لتغير حاله لا يصلح للإلهية وأن من اتخذه إلها فهو ضال</w:t>
      </w:r>
      <w:r>
        <w:rPr>
          <w:rFonts w:hint="cs"/>
          <w:rtl/>
        </w:rPr>
        <w:t>،</w:t>
      </w:r>
      <w:r w:rsidR="009C32A0" w:rsidRPr="005675B2">
        <w:rPr>
          <w:rFonts w:hint="cs"/>
          <w:rtl/>
        </w:rPr>
        <w:t xml:space="preserve"> و</w:t>
      </w:r>
      <w:r>
        <w:rPr>
          <w:rFonts w:hint="cs"/>
          <w:rtl/>
        </w:rPr>
        <w:t>(</w:t>
      </w:r>
      <w:r w:rsidR="009C32A0">
        <w:rPr>
          <w:rFonts w:hint="cs"/>
          <w:rtl/>
        </w:rPr>
        <w:t>تنبيه</w:t>
      </w:r>
      <w:r>
        <w:rPr>
          <w:rFonts w:hint="cs"/>
          <w:rtl/>
        </w:rPr>
        <w:t>)</w:t>
      </w:r>
      <w:r w:rsidR="009C32A0" w:rsidRPr="005675B2">
        <w:rPr>
          <w:rFonts w:hint="cs"/>
          <w:rtl/>
        </w:rPr>
        <w:t>ا لهم أن الله دائم لا يزول</w:t>
      </w:r>
      <w:r>
        <w:rPr>
          <w:rFonts w:hint="cs"/>
          <w:rtl/>
        </w:rPr>
        <w:t>،</w:t>
      </w:r>
      <w:r w:rsidR="009C32A0" w:rsidRPr="005675B2">
        <w:rPr>
          <w:rFonts w:hint="cs"/>
          <w:rtl/>
        </w:rPr>
        <w:t xml:space="preserve"> وأن الزوال نقص لا يصلح للإله المتصف بالكمال وأن </w:t>
      </w:r>
      <w:r>
        <w:rPr>
          <w:rFonts w:hint="cs"/>
          <w:rtl/>
        </w:rPr>
        <w:t>(</w:t>
      </w:r>
      <w:r w:rsidR="009C32A0" w:rsidRPr="005675B2">
        <w:rPr>
          <w:rFonts w:hint="cs"/>
          <w:rtl/>
        </w:rPr>
        <w:t>الآفلين</w:t>
      </w:r>
      <w:r>
        <w:rPr>
          <w:rFonts w:hint="cs"/>
          <w:rtl/>
        </w:rPr>
        <w:t>)</w:t>
      </w:r>
      <w:r w:rsidR="009C32A0" w:rsidRPr="005675B2">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9C32A0" w:rsidRPr="005675B2">
        <w:rPr>
          <w:rFonts w:hint="cs"/>
          <w:rtl/>
        </w:rPr>
        <w:t xml:space="preserve"> و</w:t>
      </w:r>
      <w:r>
        <w:rPr>
          <w:rFonts w:hint="cs"/>
          <w:rtl/>
        </w:rPr>
        <w:t>(</w:t>
      </w:r>
      <w:r w:rsidR="009C32A0">
        <w:rPr>
          <w:rFonts w:hint="cs"/>
          <w:rtl/>
        </w:rPr>
        <w:t>تنبيه</w:t>
      </w:r>
      <w:r>
        <w:rPr>
          <w:rFonts w:hint="cs"/>
          <w:rtl/>
        </w:rPr>
        <w:t>)</w:t>
      </w:r>
      <w:r w:rsidR="009C32A0" w:rsidRPr="005675B2">
        <w:rPr>
          <w:rFonts w:hint="cs"/>
          <w:rtl/>
        </w:rPr>
        <w:t>ا على أن من غاب بعد الظهور كان حادثا مسخرا وليس برب أزلي أول ليس بمحدث</w:t>
      </w:r>
      <w:r>
        <w:rPr>
          <w:rFonts w:hint="cs"/>
          <w:rtl/>
        </w:rPr>
        <w:t>،</w:t>
      </w:r>
      <w:r w:rsidR="009C32A0" w:rsidRPr="005675B2">
        <w:rPr>
          <w:rFonts w:hint="cs"/>
          <w:rtl/>
        </w:rPr>
        <w:t xml:space="preserve"> منزه عما لا يليق بذاته الأقدس من لوازم الإمكان ولواحق التغير والحدوث</w:t>
      </w:r>
      <w:r>
        <w:rPr>
          <w:rFonts w:hint="cs"/>
          <w:rtl/>
        </w:rPr>
        <w:t>،</w:t>
      </w:r>
      <w:r w:rsidR="009C32A0" w:rsidRPr="005675B2">
        <w:rPr>
          <w:rFonts w:hint="cs"/>
          <w:rtl/>
        </w:rPr>
        <w:t xml:space="preserve"> ولهذا تبرأ من آلهتهم بقوله عليه السلام في سورة الأنعام</w:t>
      </w:r>
      <w:r>
        <w:rPr>
          <w:rFonts w:hint="cs"/>
          <w:rtl/>
        </w:rPr>
        <w:t>،</w:t>
      </w:r>
      <w:r w:rsidR="009C32A0" w:rsidRPr="005675B2">
        <w:rPr>
          <w:rFonts w:hint="cs"/>
          <w:rtl/>
        </w:rPr>
        <w:t xml:space="preserve"> قال تعالى</w:t>
      </w:r>
      <w:r>
        <w:rPr>
          <w:rFonts w:hint="cs"/>
          <w:rtl/>
        </w:rPr>
        <w:t>:</w:t>
      </w:r>
      <w:r w:rsidR="009C32A0" w:rsidRPr="005675B2">
        <w:rPr>
          <w:rFonts w:hint="cs"/>
          <w:bCs/>
          <w:rtl/>
        </w:rPr>
        <w:t xml:space="preserve"> </w:t>
      </w:r>
      <w:r>
        <w:rPr>
          <w:rFonts w:hint="cs"/>
          <w:bCs/>
          <w:rtl/>
        </w:rPr>
        <w:t>{</w:t>
      </w:r>
      <w:r w:rsidR="009C32A0" w:rsidRPr="005675B2">
        <w:rPr>
          <w:rFonts w:hint="cs"/>
          <w:bCs/>
          <w:rtl/>
        </w:rPr>
        <w:t>قَالَ يَا قَوْمِ إِنِّي بَرِيءٌ مِمَّا تُشْرِكُونَ * إِنِّي وَجَّهْتُ وَجْهِيَ لِلَّذِي فَطَرَ السَّمَوَاتِ وَالْأَرْضَ حَنِيفًا وَمَا أَنَا مِنَ الْمُشْرِكِينَ</w:t>
      </w:r>
      <w:r>
        <w:rPr>
          <w:rFonts w:hint="cs"/>
          <w:bCs/>
          <w:rtl/>
        </w:rPr>
        <w:t>}</w:t>
      </w:r>
      <w:r w:rsidR="009C32A0" w:rsidRPr="005675B2">
        <w:rPr>
          <w:rFonts w:hint="cs"/>
          <w:bCs/>
          <w:rtl/>
        </w:rPr>
        <w:t xml:space="preserve"> </w:t>
      </w:r>
      <w:r>
        <w:rPr>
          <w:rFonts w:hint="cs"/>
          <w:rtl/>
        </w:rPr>
        <w:t>[</w:t>
      </w:r>
      <w:r w:rsidR="009C32A0" w:rsidRPr="005675B2">
        <w:rPr>
          <w:rFonts w:hint="cs"/>
          <w:rtl/>
        </w:rPr>
        <w:t>الأنعام</w:t>
      </w:r>
      <w:r>
        <w:rPr>
          <w:rFonts w:hint="cs"/>
          <w:rtl/>
        </w:rPr>
        <w:t>:</w:t>
      </w:r>
      <w:r w:rsidR="009C32A0" w:rsidRPr="005675B2">
        <w:rPr>
          <w:rFonts w:hint="cs"/>
          <w:rtl/>
        </w:rPr>
        <w:t xml:space="preserve"> 78</w:t>
      </w:r>
      <w:r>
        <w:rPr>
          <w:rFonts w:hint="cs"/>
          <w:rtl/>
        </w:rPr>
        <w:t>،</w:t>
      </w:r>
      <w:r w:rsidR="009C32A0" w:rsidRPr="005675B2">
        <w:rPr>
          <w:rFonts w:hint="cs"/>
          <w:rtl/>
        </w:rPr>
        <w:t xml:space="preserve"> 79</w:t>
      </w:r>
      <w:r>
        <w:rPr>
          <w:rFonts w:hint="cs"/>
          <w:rtl/>
        </w:rPr>
        <w:t>]،</w:t>
      </w:r>
      <w:r>
        <w:rPr>
          <w:rFonts w:hint="cs"/>
          <w:bCs/>
          <w:rtl/>
        </w:rPr>
        <w:t xml:space="preserve"> </w:t>
      </w:r>
      <w:r w:rsidR="009C32A0" w:rsidRPr="005675B2">
        <w:rPr>
          <w:rFonts w:hint="cs"/>
          <w:rtl/>
        </w:rPr>
        <w:t>ومعناه</w:t>
      </w:r>
      <w:r>
        <w:rPr>
          <w:rFonts w:hint="cs"/>
          <w:rtl/>
        </w:rPr>
        <w:t xml:space="preserve"> </w:t>
      </w:r>
      <w:r w:rsidR="009C32A0" w:rsidRPr="005675B2">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 (</w:t>
      </w:r>
      <w:r w:rsidR="009C32A0" w:rsidRPr="005675B2">
        <w:rPr>
          <w:rFonts w:hint="cs"/>
          <w:rtl/>
        </w:rPr>
        <w:t>ث</w:t>
      </w:r>
      <w:r>
        <w:rPr>
          <w:rFonts w:hint="cs"/>
          <w:rtl/>
        </w:rPr>
        <w:t>)</w:t>
      </w:r>
      <w:r w:rsidR="009C32A0" w:rsidRPr="005675B2">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rtl/>
        </w:rPr>
        <w:t>،</w:t>
      </w:r>
      <w:r w:rsidR="009C32A0" w:rsidRPr="005675B2">
        <w:rPr>
          <w:rFonts w:hint="cs"/>
          <w:rtl/>
        </w:rPr>
        <w:t xml:space="preserve"> فكل متغير يقبل الظهور تارة و الاختفاء تارة</w:t>
      </w:r>
      <w:r>
        <w:rPr>
          <w:rFonts w:hint="cs"/>
          <w:rtl/>
        </w:rPr>
        <w:t xml:space="preserve"> </w:t>
      </w:r>
      <w:r w:rsidR="009C32A0" w:rsidRPr="005675B2">
        <w:rPr>
          <w:rFonts w:hint="cs"/>
          <w:rtl/>
        </w:rPr>
        <w:t>والتأثير تارة والزوال تارة أخري لا يصلح أن يكون إلها البتة</w:t>
      </w:r>
      <w:r>
        <w:rPr>
          <w:rFonts w:eastAsia="Times New Roman" w:hint="cs"/>
          <w:rtl/>
        </w:rPr>
        <w:t xml:space="preserve">، </w:t>
      </w:r>
      <w:r>
        <w:rPr>
          <w:rFonts w:hint="cs"/>
          <w:rtl/>
        </w:rPr>
        <w:t>(</w:t>
      </w:r>
      <w:r w:rsidR="009C32A0" w:rsidRPr="005675B2">
        <w:rPr>
          <w:rFonts w:hint="cs"/>
          <w:rtl/>
        </w:rPr>
        <w:t>ج</w:t>
      </w:r>
      <w:r>
        <w:rPr>
          <w:rFonts w:hint="cs"/>
          <w:rtl/>
        </w:rPr>
        <w:t>)</w:t>
      </w:r>
      <w:r w:rsidR="009C32A0" w:rsidRPr="005675B2">
        <w:rPr>
          <w:rFonts w:hint="cs"/>
          <w:rtl/>
        </w:rPr>
        <w:t xml:space="preserve"> كما أن ذات الله تعالى منزه عن التغير والحدوث</w:t>
      </w:r>
      <w:r>
        <w:rPr>
          <w:rFonts w:hint="cs"/>
          <w:rtl/>
        </w:rPr>
        <w:t>،</w:t>
      </w:r>
      <w:r w:rsidR="009C32A0" w:rsidRPr="005675B2">
        <w:rPr>
          <w:rFonts w:hint="cs"/>
          <w:rtl/>
        </w:rPr>
        <w:t xml:space="preserve"> فإنه سبحانه منزه عن قبول الحوادث</w:t>
      </w:r>
      <w:r>
        <w:rPr>
          <w:rFonts w:hint="cs"/>
          <w:rtl/>
        </w:rPr>
        <w:t>،</w:t>
      </w:r>
      <w:r w:rsidR="009C32A0" w:rsidRPr="005675B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9C32A0" w:rsidRPr="005675B2">
        <w:rPr>
          <w:rFonts w:hint="cs"/>
          <w:rtl/>
        </w:rPr>
        <w:t xml:space="preserve"> ولهذا اتفق العارفون بأصول الدين وقواعد التنزيه بأن ما قبل الحوادث فهو حادث</w:t>
      </w:r>
      <w:r>
        <w:rPr>
          <w:rFonts w:hint="cs"/>
          <w:rtl/>
        </w:rPr>
        <w:t>،</w:t>
      </w:r>
      <w:r w:rsidR="009C32A0" w:rsidRPr="005675B2">
        <w:rPr>
          <w:rFonts w:hint="cs"/>
          <w:rtl/>
        </w:rPr>
        <w:t xml:space="preserve"> وانه ليس في ذات الله تعالى محدث ولا </w:t>
      </w:r>
      <w:r w:rsidR="009C32A0" w:rsidRPr="005675B2">
        <w:rPr>
          <w:rFonts w:hint="cs"/>
          <w:rtl/>
        </w:rPr>
        <w:lastRenderedPageBreak/>
        <w:t>مخلوق لأنه الأول الخالق سبحانه</w:t>
      </w:r>
      <w:r>
        <w:rPr>
          <w:rFonts w:eastAsiaTheme="minorEastAsia" w:hint="cs"/>
          <w:rtl/>
        </w:rPr>
        <w:t xml:space="preserve">، </w:t>
      </w:r>
      <w:r>
        <w:rPr>
          <w:rFonts w:hint="cs"/>
          <w:rtl/>
        </w:rPr>
        <w:t>(</w:t>
      </w:r>
      <w:r w:rsidR="009C32A0" w:rsidRPr="005675B2">
        <w:rPr>
          <w:rFonts w:hint="cs"/>
          <w:rtl/>
        </w:rPr>
        <w:t>ح</w:t>
      </w:r>
      <w:r>
        <w:rPr>
          <w:rFonts w:hint="cs"/>
          <w:rtl/>
        </w:rPr>
        <w:t>)</w:t>
      </w:r>
      <w:r w:rsidR="009C32A0" w:rsidRPr="005675B2">
        <w:rPr>
          <w:rFonts w:hint="cs"/>
          <w:rtl/>
        </w:rPr>
        <w:t xml:space="preserve"> قبول الحوادث</w:t>
      </w:r>
      <w:r>
        <w:rPr>
          <w:rFonts w:hint="cs"/>
          <w:rtl/>
        </w:rPr>
        <w:t xml:space="preserve"> </w:t>
      </w:r>
      <w:r w:rsidR="009C32A0" w:rsidRPr="005675B2">
        <w:rPr>
          <w:rFonts w:hint="cs"/>
          <w:rtl/>
        </w:rPr>
        <w:t>ينافي الأولية والأزلية التي يتصف بها ذات الله تقدس وتعالى</w:t>
      </w:r>
      <w:r>
        <w:rPr>
          <w:rFonts w:hint="cs"/>
          <w:rtl/>
        </w:rPr>
        <w:t>،</w:t>
      </w:r>
      <w:r w:rsidR="009C32A0" w:rsidRPr="005675B2">
        <w:rPr>
          <w:rFonts w:hint="cs"/>
          <w:rtl/>
        </w:rPr>
        <w:t xml:space="preserve"> وينافي كمال الذات والصفات</w:t>
      </w:r>
      <w:r>
        <w:rPr>
          <w:rFonts w:hint="cs"/>
          <w:rtl/>
        </w:rPr>
        <w:t>،</w:t>
      </w:r>
      <w:r w:rsidR="009C32A0" w:rsidRPr="005675B2">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 (</w:t>
      </w:r>
      <w:r w:rsidR="009C32A0" w:rsidRPr="005675B2">
        <w:rPr>
          <w:rFonts w:hint="cs"/>
          <w:rtl/>
        </w:rPr>
        <w:t>خ</w:t>
      </w:r>
      <w:r>
        <w:rPr>
          <w:rFonts w:hint="cs"/>
          <w:rtl/>
        </w:rPr>
        <w:t>)</w:t>
      </w:r>
      <w:r w:rsidR="009C32A0" w:rsidRPr="005675B2">
        <w:rPr>
          <w:rFonts w:hint="cs"/>
          <w:rtl/>
        </w:rPr>
        <w:t xml:space="preserve"> دليل بطلان كونه تعالى محلاًّ للحوادث الحوادث هو ما يطرأ على الذات الحادثة من التغيّرات المختلفة</w:t>
      </w:r>
      <w:r>
        <w:rPr>
          <w:rFonts w:hint="cs"/>
          <w:rtl/>
        </w:rPr>
        <w:t>،</w:t>
      </w:r>
      <w:r w:rsidR="009C32A0" w:rsidRPr="005675B2">
        <w:rPr>
          <w:rFonts w:hint="cs"/>
          <w:rtl/>
        </w:rPr>
        <w:t xml:space="preserve"> لأنّ </w:t>
      </w:r>
      <w:bookmarkStart w:id="3" w:name="tohef122"/>
      <w:bookmarkEnd w:id="3"/>
      <w:r w:rsidR="009C32A0" w:rsidRPr="005675B2">
        <w:rPr>
          <w:rFonts w:hint="cs"/>
          <w:rtl/>
        </w:rPr>
        <w:t>الحوادث تستلزم التغيّر</w:t>
      </w:r>
      <w:r>
        <w:rPr>
          <w:rFonts w:hint="cs"/>
          <w:rtl/>
        </w:rPr>
        <w:t xml:space="preserve">، </w:t>
      </w:r>
      <w:r w:rsidR="009C32A0" w:rsidRPr="005675B2">
        <w:rPr>
          <w:rFonts w:hint="cs"/>
          <w:rtl/>
        </w:rPr>
        <w:t>والذات التي يطرأ عليها الحوادث تتغيّر وتنتقل من حالة إلى أخرى بسبب ما اكتسبته من الحوادث</w:t>
      </w:r>
      <w:r>
        <w:rPr>
          <w:rFonts w:hint="cs"/>
          <w:rtl/>
        </w:rPr>
        <w:t>،</w:t>
      </w:r>
      <w:r w:rsidR="009C32A0" w:rsidRPr="005675B2">
        <w:rPr>
          <w:rFonts w:hint="cs"/>
          <w:rtl/>
        </w:rPr>
        <w:t xml:space="preserve"> والله تعالى منزه عن التغير والأفول</w:t>
      </w:r>
      <w:r>
        <w:rPr>
          <w:rFonts w:hint="cs"/>
          <w:rtl/>
        </w:rPr>
        <w:t>،</w:t>
      </w:r>
      <w:r w:rsidR="009C32A0" w:rsidRPr="005675B2">
        <w:rPr>
          <w:rFonts w:hint="cs"/>
          <w:rtl/>
        </w:rPr>
        <w:t xml:space="preserve"> كما أنّ قبول الحوادث من صفات الأجسام الحادثة</w:t>
      </w:r>
      <w:r>
        <w:rPr>
          <w:rFonts w:hint="cs"/>
          <w:rtl/>
        </w:rPr>
        <w:t>،</w:t>
      </w:r>
      <w:r w:rsidR="009C32A0" w:rsidRPr="005675B2">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9C32A0" w:rsidRPr="005675B2">
        <w:rPr>
          <w:rFonts w:hint="cs"/>
          <w:rtl/>
        </w:rPr>
        <w:t xml:space="preserve"> وبما أنّه تعالى منزّه عن الأمور المادية والجسمانية</w:t>
      </w:r>
      <w:r>
        <w:rPr>
          <w:rFonts w:hint="cs"/>
          <w:rtl/>
        </w:rPr>
        <w:t>،</w:t>
      </w:r>
      <w:r w:rsidR="009C32A0" w:rsidRPr="005675B2">
        <w:rPr>
          <w:rFonts w:hint="cs"/>
          <w:rtl/>
        </w:rPr>
        <w:t xml:space="preserve"> فلهذا يستحيل عليه أن يكون محلاًّ للحوادث</w:t>
      </w:r>
      <w:r>
        <w:rPr>
          <w:rFonts w:hint="cs"/>
          <w:rtl/>
        </w:rPr>
        <w:t>، (</w:t>
      </w:r>
      <w:r w:rsidR="009C32A0" w:rsidRPr="005675B2">
        <w:rPr>
          <w:rFonts w:hint="cs"/>
          <w:rtl/>
        </w:rPr>
        <w:t>د</w:t>
      </w:r>
      <w:r>
        <w:rPr>
          <w:rFonts w:hint="cs"/>
          <w:rtl/>
        </w:rPr>
        <w:t>)</w:t>
      </w:r>
      <w:r w:rsidR="009C32A0" w:rsidRPr="005675B2">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9C32A0" w:rsidRPr="005675B2">
        <w:rPr>
          <w:rFonts w:hint="cs"/>
          <w:rtl/>
        </w:rPr>
        <w:t xml:space="preserve"> ومحاذير قولهم عظيمة</w:t>
      </w:r>
      <w:r>
        <w:rPr>
          <w:rFonts w:hint="cs"/>
          <w:rtl/>
        </w:rPr>
        <w:t>،</w:t>
      </w:r>
      <w:r w:rsidR="009C32A0" w:rsidRPr="005675B2">
        <w:rPr>
          <w:rFonts w:hint="cs"/>
          <w:rtl/>
        </w:rPr>
        <w:t xml:space="preserve"> منها</w:t>
      </w:r>
      <w:r>
        <w:rPr>
          <w:rFonts w:hint="cs"/>
          <w:rtl/>
        </w:rPr>
        <w:t>:</w:t>
      </w:r>
      <w:r w:rsidR="009C32A0" w:rsidRPr="005675B2">
        <w:rPr>
          <w:rFonts w:hint="cs"/>
          <w:rtl/>
        </w:rPr>
        <w:t xml:space="preserve"> أنهم يزعمون أن ذات الله تعالى تقبل الحوادث وهذا معارض بأحدية الذات فإن الله </w:t>
      </w:r>
      <w:r>
        <w:rPr>
          <w:rFonts w:hint="cs"/>
          <w:rtl/>
        </w:rPr>
        <w:t>(</w:t>
      </w:r>
      <w:r w:rsidR="009C32A0" w:rsidRPr="005675B2">
        <w:rPr>
          <w:rFonts w:hint="cs"/>
          <w:rtl/>
        </w:rPr>
        <w:t>أحد صمد</w:t>
      </w:r>
      <w:r>
        <w:rPr>
          <w:rFonts w:hint="cs"/>
          <w:rtl/>
        </w:rPr>
        <w:t xml:space="preserve">) </w:t>
      </w:r>
      <w:r w:rsidR="009C32A0" w:rsidRPr="005675B2">
        <w:rPr>
          <w:rFonts w:hint="cs"/>
          <w:rtl/>
        </w:rPr>
        <w:t>لا تتجزأ ذاته ولا تقبل شيئا محدثا فيها</w:t>
      </w:r>
      <w:r>
        <w:rPr>
          <w:rFonts w:hint="cs"/>
          <w:rtl/>
        </w:rPr>
        <w:t>،</w:t>
      </w:r>
      <w:r w:rsidR="009C32A0" w:rsidRPr="005675B2">
        <w:rPr>
          <w:rFonts w:hint="cs"/>
          <w:rtl/>
        </w:rPr>
        <w:t xml:space="preserve"> ومنها أنّ</w:t>
      </w:r>
      <w:r w:rsidR="009C32A0" w:rsidRPr="005675B2">
        <w:rPr>
          <w:rFonts w:hint="cs"/>
          <w:rtl/>
        </w:rPr>
        <w:tab/>
        <w:t xml:space="preserve">القول بقبول ذات الله </w:t>
      </w:r>
      <w:r>
        <w:rPr>
          <w:rFonts w:hint="cs"/>
          <w:rtl/>
        </w:rPr>
        <w:t>(</w:t>
      </w:r>
      <w:r w:rsidR="009C32A0" w:rsidRPr="005675B2">
        <w:rPr>
          <w:rFonts w:hint="cs"/>
          <w:rtl/>
        </w:rPr>
        <w:t>سبحانه</w:t>
      </w:r>
      <w:r>
        <w:rPr>
          <w:rFonts w:hint="cs"/>
          <w:rtl/>
        </w:rPr>
        <w:t>)</w:t>
      </w:r>
      <w:r w:rsidR="009C32A0" w:rsidRPr="005675B2">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9C32A0" w:rsidRPr="005675B2">
        <w:rPr>
          <w:rFonts w:hint="cs"/>
          <w:rtl/>
        </w:rPr>
        <w:t xml:space="preserve"> فهل يقبلون</w:t>
      </w:r>
      <w:r>
        <w:rPr>
          <w:rFonts w:hint="cs"/>
          <w:rtl/>
        </w:rPr>
        <w:t xml:space="preserve"> </w:t>
      </w:r>
      <w:r w:rsidR="009C32A0" w:rsidRPr="005675B2">
        <w:rPr>
          <w:rFonts w:hint="cs"/>
          <w:rtl/>
        </w:rPr>
        <w:t>بهذا القول الفاحش الذي يؤول إلى القول بالإتحاد والحلول للمخلوق والخالق سبحان الله عما يصفون</w:t>
      </w:r>
      <w:r>
        <w:rPr>
          <w:rFonts w:hint="cs"/>
          <w:rtl/>
        </w:rPr>
        <w:t>،</w:t>
      </w:r>
      <w:r w:rsidR="009C32A0" w:rsidRPr="005675B2">
        <w:rPr>
          <w:rFonts w:hint="cs"/>
          <w:rtl/>
        </w:rPr>
        <w:t xml:space="preserve"> ومنها أنّ القول بقبول ذات الله </w:t>
      </w:r>
      <w:r>
        <w:rPr>
          <w:rFonts w:hint="cs"/>
          <w:rtl/>
        </w:rPr>
        <w:t>(</w:t>
      </w:r>
      <w:r w:rsidR="009C32A0" w:rsidRPr="005675B2">
        <w:rPr>
          <w:rFonts w:hint="cs"/>
          <w:rtl/>
        </w:rPr>
        <w:t>سبحانه</w:t>
      </w:r>
      <w:r>
        <w:rPr>
          <w:rFonts w:hint="cs"/>
          <w:rtl/>
        </w:rPr>
        <w:t>)</w:t>
      </w:r>
      <w:r w:rsidR="009C32A0" w:rsidRPr="005675B2">
        <w:rPr>
          <w:rFonts w:hint="cs"/>
          <w:rtl/>
        </w:rPr>
        <w:t xml:space="preserve"> للحادث ما هو إلا تكييف لذات الله تقدس وتعالى بقياسها على ذات المخلوق</w:t>
      </w:r>
      <w:r>
        <w:rPr>
          <w:rFonts w:hint="cs"/>
          <w:rtl/>
        </w:rPr>
        <w:t>،</w:t>
      </w:r>
      <w:r w:rsidR="009C32A0" w:rsidRPr="005675B2">
        <w:rPr>
          <w:rFonts w:hint="cs"/>
          <w:rtl/>
        </w:rPr>
        <w:t xml:space="preserve"> حيث أن المخلوق لا يقوم بعمل في الخارج إلا إذا حدثت الإرادة في الداخل</w:t>
      </w:r>
      <w:r>
        <w:rPr>
          <w:rFonts w:hint="cs"/>
          <w:rtl/>
        </w:rPr>
        <w:t>،</w:t>
      </w:r>
      <w:r w:rsidR="009C32A0" w:rsidRPr="005675B2">
        <w:rPr>
          <w:rFonts w:hint="cs"/>
          <w:rtl/>
        </w:rPr>
        <w:t xml:space="preserve"> وهذا حال المخلوق لأنه كله محدث يقبل الحوادث</w:t>
      </w:r>
      <w:r>
        <w:rPr>
          <w:rFonts w:hint="cs"/>
          <w:rtl/>
        </w:rPr>
        <w:t>،</w:t>
      </w:r>
      <w:r w:rsidR="009C32A0" w:rsidRPr="005675B2">
        <w:rPr>
          <w:rFonts w:hint="cs"/>
          <w:rtl/>
        </w:rPr>
        <w:t xml:space="preserve"> فهل يجوز قياس حالة الخالق الأزلي الذي ليس كمثله شيء على حالة المخلوق الحادث</w:t>
      </w:r>
      <w:r>
        <w:rPr>
          <w:rFonts w:hint="cs"/>
          <w:rtl/>
        </w:rPr>
        <w:t>،</w:t>
      </w:r>
      <w:r w:rsidR="009C32A0" w:rsidRPr="005675B2">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9C32A0" w:rsidRPr="005675B2">
        <w:rPr>
          <w:rFonts w:hint="cs"/>
          <w:rtl/>
        </w:rPr>
        <w:t xml:space="preserve"> سبحانك هذا بهتان عظيم</w:t>
      </w:r>
      <w:r>
        <w:rPr>
          <w:rFonts w:hint="cs"/>
          <w:rtl/>
        </w:rPr>
        <w:t>،</w:t>
      </w:r>
      <w:r w:rsidR="009C32A0" w:rsidRPr="005675B2">
        <w:rPr>
          <w:rFonts w:hint="cs"/>
          <w:rtl/>
        </w:rPr>
        <w:t xml:space="preserve"> كما أنّهم يقيسون صفة الكلام لله تعالى وهي صفة أزلية قديمة لله لها الكمال المطلق</w:t>
      </w:r>
      <w:r>
        <w:rPr>
          <w:rFonts w:hint="cs"/>
          <w:rtl/>
        </w:rPr>
        <w:t>،</w:t>
      </w:r>
      <w:r w:rsidR="009C32A0" w:rsidRPr="005675B2">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9C32A0" w:rsidRPr="005675B2">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9C32A0" w:rsidRPr="005675B2">
        <w:rPr>
          <w:rFonts w:hint="cs"/>
          <w:rtl/>
        </w:rPr>
        <w:t xml:space="preserve"> إن القرآن محدث وليس قديما</w:t>
      </w:r>
      <w:r>
        <w:rPr>
          <w:rFonts w:hint="cs"/>
          <w:rtl/>
        </w:rPr>
        <w:t>،</w:t>
      </w:r>
      <w:r w:rsidR="009C32A0" w:rsidRPr="005675B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9C32A0" w:rsidRPr="005675B2">
        <w:rPr>
          <w:rFonts w:hint="cs"/>
          <w:rtl/>
        </w:rPr>
        <w:t>لا تتعلق</w:t>
      </w:r>
      <w:r>
        <w:rPr>
          <w:rFonts w:hint="cs"/>
          <w:rtl/>
        </w:rPr>
        <w:t xml:space="preserve"> </w:t>
      </w:r>
      <w:r w:rsidR="009C32A0" w:rsidRPr="005675B2">
        <w:rPr>
          <w:rFonts w:hint="cs"/>
          <w:rtl/>
        </w:rPr>
        <w:t>بإرادة الله</w:t>
      </w:r>
      <w:r>
        <w:rPr>
          <w:rFonts w:hint="cs"/>
          <w:rtl/>
        </w:rPr>
        <w:t>،</w:t>
      </w:r>
      <w:r w:rsidR="009C32A0" w:rsidRPr="005675B2">
        <w:rPr>
          <w:rFonts w:hint="cs"/>
          <w:rtl/>
        </w:rPr>
        <w:t xml:space="preserve"> بمعنى أنه لا يجوز القول</w:t>
      </w:r>
      <w:r>
        <w:rPr>
          <w:rFonts w:hint="cs"/>
          <w:rtl/>
        </w:rPr>
        <w:t>:</w:t>
      </w:r>
      <w:r w:rsidR="009C32A0" w:rsidRPr="005675B2">
        <w:rPr>
          <w:rFonts w:hint="cs"/>
          <w:rtl/>
        </w:rPr>
        <w:t xml:space="preserve"> أنه سبحانه يعلم متى شاء ولا يعلم متى </w:t>
      </w:r>
      <w:r w:rsidR="009C32A0" w:rsidRPr="005675B2">
        <w:rPr>
          <w:rFonts w:hint="cs"/>
          <w:rtl/>
        </w:rPr>
        <w:lastRenderedPageBreak/>
        <w:t>شاء</w:t>
      </w:r>
      <w:r>
        <w:rPr>
          <w:rFonts w:hint="cs"/>
          <w:rtl/>
        </w:rPr>
        <w:t>،</w:t>
      </w:r>
      <w:r w:rsidR="009C32A0" w:rsidRPr="005675B2">
        <w:rPr>
          <w:rFonts w:hint="cs"/>
          <w:rtl/>
        </w:rPr>
        <w:t xml:space="preserve"> لأنه يحد علم الله الذي له الكمال</w:t>
      </w:r>
      <w:r>
        <w:rPr>
          <w:rFonts w:hint="cs"/>
          <w:rtl/>
        </w:rPr>
        <w:t>،</w:t>
      </w:r>
      <w:r w:rsidR="009C32A0" w:rsidRPr="005675B2">
        <w:rPr>
          <w:rFonts w:hint="cs"/>
          <w:rtl/>
        </w:rPr>
        <w:t xml:space="preserve"> فكذلك الكلام صفة قديمة لله معنوية لا تتعلق</w:t>
      </w:r>
      <w:r>
        <w:rPr>
          <w:rFonts w:hint="cs"/>
          <w:rtl/>
        </w:rPr>
        <w:t xml:space="preserve"> </w:t>
      </w:r>
      <w:r w:rsidR="009C32A0" w:rsidRPr="005675B2">
        <w:rPr>
          <w:rFonts w:hint="cs"/>
          <w:rtl/>
        </w:rPr>
        <w:t>بأفعال الله ولا بإرادة الله</w:t>
      </w:r>
      <w:r>
        <w:rPr>
          <w:rFonts w:hint="cs"/>
          <w:rtl/>
        </w:rPr>
        <w:t xml:space="preserve">،، </w:t>
      </w:r>
      <w:r w:rsidR="009C32A0" w:rsidRPr="005675B2">
        <w:rPr>
          <w:rFonts w:hint="cs"/>
          <w:rtl/>
        </w:rPr>
        <w:t>وهم جعلوه محدثا يفعله الله متى شاء مثله مثل الخلق والرزق يخلق من شاء متى شاء</w:t>
      </w:r>
      <w:r>
        <w:rPr>
          <w:rFonts w:hint="cs"/>
          <w:rtl/>
        </w:rPr>
        <w:t>،</w:t>
      </w:r>
      <w:r w:rsidR="009C32A0" w:rsidRPr="005675B2">
        <w:rPr>
          <w:rFonts w:hint="cs"/>
          <w:rtl/>
        </w:rPr>
        <w:t xml:space="preserve"> ويرزق من يشاء متى شاء</w:t>
      </w:r>
      <w:r>
        <w:rPr>
          <w:rFonts w:hint="cs"/>
          <w:rtl/>
        </w:rPr>
        <w:t>،</w:t>
      </w:r>
      <w:r w:rsidR="009C32A0" w:rsidRPr="005675B2">
        <w:rPr>
          <w:rFonts w:hint="cs"/>
          <w:rtl/>
        </w:rPr>
        <w:t xml:space="preserve"> وصار القرآن الكريم كلام الله تعالى بلازم قولهم</w:t>
      </w:r>
      <w:r>
        <w:rPr>
          <w:rFonts w:hint="cs"/>
          <w:rtl/>
        </w:rPr>
        <w:t xml:space="preserve"> </w:t>
      </w:r>
      <w:r w:rsidR="009C32A0" w:rsidRPr="005675B2">
        <w:rPr>
          <w:rFonts w:hint="cs"/>
          <w:rtl/>
        </w:rPr>
        <w:t>محدثا مخلوقا</w:t>
      </w:r>
      <w:r>
        <w:rPr>
          <w:rFonts w:hint="cs"/>
          <w:rtl/>
        </w:rPr>
        <w:t>،</w:t>
      </w:r>
      <w:r w:rsidR="009C32A0" w:rsidRPr="005675B2">
        <w:rPr>
          <w:rFonts w:hint="cs"/>
          <w:rtl/>
        </w:rPr>
        <w:t xml:space="preserve"> فانظر هداك الله الفرق بين المذهبين</w:t>
      </w:r>
      <w:r>
        <w:rPr>
          <w:rFonts w:hint="cs"/>
          <w:rtl/>
        </w:rPr>
        <w:t>،</w:t>
      </w:r>
      <w:r w:rsidR="009C32A0" w:rsidRPr="005675B2">
        <w:rPr>
          <w:rFonts w:hint="cs"/>
          <w:rtl/>
        </w:rPr>
        <w:t xml:space="preserve"> مذهب التنزيه والفقه في دين الله</w:t>
      </w:r>
      <w:r>
        <w:rPr>
          <w:rFonts w:hint="cs"/>
          <w:rtl/>
        </w:rPr>
        <w:t>،</w:t>
      </w:r>
      <w:r w:rsidR="009C32A0" w:rsidRPr="005675B2">
        <w:rPr>
          <w:rFonts w:hint="cs"/>
          <w:rtl/>
        </w:rPr>
        <w:t xml:space="preserve"> ومذهب التكييف والجهل في ذات الله تعالى وصفاته وأفعاله</w:t>
      </w:r>
      <w:r>
        <w:rPr>
          <w:rFonts w:hint="cs"/>
          <w:rtl/>
        </w:rPr>
        <w:t>،</w:t>
      </w:r>
      <w:r w:rsidR="009C32A0" w:rsidRPr="005675B2">
        <w:rPr>
          <w:rFonts w:hint="cs"/>
          <w:rtl/>
        </w:rPr>
        <w:t xml:space="preserve"> وعلى مذهبهم لو جاز أن يقوم بذاته قول حادث جاز لغيرهم أن يقول بعلم حادث ويستدل بظاهر القرآن كقوله تعالى </w:t>
      </w:r>
      <w:r>
        <w:rPr>
          <w:rFonts w:hint="cs"/>
          <w:rtl/>
        </w:rPr>
        <w:t>(</w:t>
      </w:r>
      <w:r w:rsidR="009C32A0" w:rsidRPr="005675B2">
        <w:rPr>
          <w:rFonts w:hint="cs"/>
          <w:rtl/>
        </w:rPr>
        <w:t>وَلَمَّا يَعْلَمِ اللَّهُ الَّذِينَ جَاهَدُوا مِنْكُمْ وَيَعْلَمَ الصَّابِرِينَ</w:t>
      </w:r>
      <w:r>
        <w:rPr>
          <w:rFonts w:hint="cs"/>
          <w:rtl/>
        </w:rPr>
        <w:t>)</w:t>
      </w:r>
      <w:r w:rsidR="009C32A0" w:rsidRPr="005675B2">
        <w:rPr>
          <w:rFonts w:hint="cs"/>
          <w:rtl/>
        </w:rPr>
        <w:t xml:space="preserve"> </w:t>
      </w:r>
      <w:r>
        <w:rPr>
          <w:rFonts w:hint="cs"/>
          <w:rtl/>
        </w:rPr>
        <w:t>[</w:t>
      </w:r>
      <w:r w:rsidR="009C32A0" w:rsidRPr="005675B2">
        <w:rPr>
          <w:rFonts w:hint="cs"/>
          <w:rtl/>
        </w:rPr>
        <w:t xml:space="preserve">آل عمران\142] وجاز لغيرهم أيضا أن يقول بإرادة حادثة ويستدل بظاهر القرآن كقوله تعالى </w:t>
      </w:r>
      <w:r>
        <w:rPr>
          <w:rFonts w:hint="cs"/>
          <w:rtl/>
        </w:rPr>
        <w:t>(</w:t>
      </w:r>
      <w:r w:rsidR="009C32A0" w:rsidRPr="005675B2">
        <w:rPr>
          <w:rFonts w:hint="cs"/>
          <w:rtl/>
        </w:rPr>
        <w:t>يُرِيدُ اللَّهُ بِكُمُ الْيُسْرَ وَلَا يُرِيدُ بِكُمُ الْعُسْرَ</w:t>
      </w:r>
      <w:r>
        <w:rPr>
          <w:rFonts w:hint="cs"/>
          <w:rtl/>
        </w:rPr>
        <w:t>)</w:t>
      </w:r>
      <w:r w:rsidR="009C32A0" w:rsidRPr="005675B2">
        <w:rPr>
          <w:rFonts w:hint="cs"/>
          <w:rtl/>
        </w:rPr>
        <w:t xml:space="preserve"> ويتبجح بما أجازه أولئك من قيام الحوادث بذات الله تعالى</w:t>
      </w:r>
      <w:r>
        <w:rPr>
          <w:rFonts w:hint="cs"/>
          <w:rtl/>
        </w:rPr>
        <w:t>،</w:t>
      </w:r>
      <w:r w:rsidR="009C32A0" w:rsidRPr="005675B2">
        <w:rPr>
          <w:rFonts w:hint="cs"/>
          <w:rtl/>
        </w:rPr>
        <w:t xml:space="preserve"> وهل هذا كله إلا جهل عظيم بالله تعالى وصفاته (سُبْحَانَهُ وَتَعَالَى عَمَّا يَصِفُونَ</w:t>
      </w:r>
      <w:r>
        <w:rPr>
          <w:rFonts w:hint="cs"/>
          <w:rtl/>
        </w:rPr>
        <w:t>)</w:t>
      </w:r>
      <w:r w:rsidR="009C32A0" w:rsidRPr="005675B2">
        <w:rPr>
          <w:rFonts w:hint="cs"/>
          <w:rtl/>
        </w:rPr>
        <w:t xml:space="preserve"> .</w:t>
      </w:r>
    </w:p>
    <w:p w14:paraId="13EC74C2" w14:textId="77777777" w:rsidR="009C32A0" w:rsidRPr="005675B2" w:rsidRDefault="009C32A0" w:rsidP="000636C2">
      <w:pPr>
        <w:jc w:val="center"/>
        <w:rPr>
          <w:b/>
          <w:rtl/>
          <w:lang w:bidi="ar-KW"/>
        </w:rPr>
      </w:pPr>
      <w:r>
        <w:rPr>
          <w:rFonts w:hint="cs"/>
          <w:rtl/>
          <w:lang w:bidi="ar-KW"/>
        </w:rPr>
        <w:t>***</w:t>
      </w:r>
      <w:r w:rsidRPr="005675B2">
        <w:rPr>
          <w:rFonts w:hint="cs"/>
          <w:rtl/>
          <w:lang w:bidi="ar-KW"/>
        </w:rPr>
        <w:t xml:space="preserve"> </w:t>
      </w:r>
    </w:p>
    <w:p w14:paraId="24399EA9" w14:textId="2202B6BF" w:rsidR="009C32A0" w:rsidRPr="00C07A88" w:rsidRDefault="009C32A0" w:rsidP="00C07A88">
      <w:pPr>
        <w:pStyle w:val="2"/>
        <w:bidi/>
        <w:jc w:val="center"/>
        <w:rPr>
          <w:rFonts w:eastAsia="Times New Roman"/>
          <w:u w:val="none"/>
          <w:rtl/>
          <w:lang w:bidi="ar-KW"/>
        </w:rPr>
      </w:pPr>
      <w:r w:rsidRPr="00C07A88">
        <w:rPr>
          <w:rFonts w:hint="cs"/>
          <w:u w:val="none"/>
          <w:rtl/>
          <w:lang w:bidi="ar-KW"/>
        </w:rPr>
        <w:t>القاعدة التاسعة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الاتحاد والحلول وعن الاتصال والانفصال لأنها صفات المخلوق</w:t>
      </w:r>
    </w:p>
    <w:p w14:paraId="7AED8B5C" w14:textId="77777777" w:rsidR="009C32A0" w:rsidRPr="005675B2" w:rsidRDefault="009C32A0" w:rsidP="000636C2">
      <w:pPr>
        <w:rPr>
          <w:rFonts w:eastAsia="Times New Roman"/>
          <w:b/>
          <w:bCs/>
          <w:rtl/>
          <w:lang w:bidi="ar-KW"/>
        </w:rPr>
      </w:pPr>
    </w:p>
    <w:p w14:paraId="060845B5" w14:textId="09C0502B" w:rsidR="009C32A0" w:rsidRPr="005675B2" w:rsidRDefault="000636C2" w:rsidP="000636C2">
      <w:pPr>
        <w:rPr>
          <w:b/>
          <w:rtl/>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الله تبارك وتعالى منزه عن الاتحاد والحلول وعن الاتصال والانفصال لأنها صفات المخلوق وبيان ذلك</w:t>
      </w:r>
      <w:r>
        <w:rPr>
          <w:rFonts w:hint="cs"/>
          <w:rtl/>
          <w:lang w:bidi="ar-KW"/>
        </w:rPr>
        <w:t>:</w:t>
      </w:r>
      <w:r w:rsidR="009C32A0" w:rsidRPr="005675B2">
        <w:rPr>
          <w:rFonts w:hint="cs"/>
          <w:rtl/>
          <w:lang w:bidi="ar-KW"/>
        </w:rPr>
        <w:t xml:space="preserve"> </w:t>
      </w:r>
      <w:r w:rsidR="009C32A0" w:rsidRPr="005675B2">
        <w:rPr>
          <w:rFonts w:hint="cs"/>
          <w:rtl/>
        </w:rPr>
        <w:t>ما ثم إلا خالق أو مخلوق فهل يتحد الخالق القديم الأزلي الباقي الذي ليس كمثله شيء بالمخلوق المحدث الفاني</w:t>
      </w:r>
      <w:r>
        <w:rPr>
          <w:rFonts w:hint="cs"/>
          <w:rtl/>
        </w:rPr>
        <w:t>،</w:t>
      </w:r>
      <w:r w:rsidR="009C32A0" w:rsidRPr="005675B2">
        <w:rPr>
          <w:rFonts w:hint="cs"/>
          <w:rtl/>
        </w:rPr>
        <w:t xml:space="preserve"> أم هل يحل الذي تنزه عن الحد والمقدار في المخلوق المحدود المقدر</w:t>
      </w:r>
      <w:r>
        <w:rPr>
          <w:rFonts w:hint="cs"/>
          <w:rtl/>
        </w:rPr>
        <w:t xml:space="preserve">، </w:t>
      </w:r>
      <w:r w:rsidR="009C32A0" w:rsidRPr="005675B2">
        <w:rPr>
          <w:rFonts w:hint="cs"/>
          <w:rtl/>
        </w:rPr>
        <w:t>والله منزه</w:t>
      </w:r>
      <w:r w:rsidR="009C32A0" w:rsidRPr="005675B2">
        <w:rPr>
          <w:rFonts w:hint="cs"/>
        </w:rPr>
        <w:t xml:space="preserve"> </w:t>
      </w:r>
      <w:r w:rsidR="009C32A0" w:rsidRPr="005675B2">
        <w:rPr>
          <w:rFonts w:hint="cs"/>
          <w:rtl/>
        </w:rPr>
        <w:t>عن الحلول في المواضع والأماكن لأن الحلول عرض يفنى وهو حادث والحادث لا يليق بالله</w:t>
      </w:r>
      <w:r>
        <w:rPr>
          <w:rFonts w:hint="cs"/>
          <w:rtl/>
        </w:rPr>
        <w:t>،</w:t>
      </w:r>
      <w:r w:rsidR="009C32A0" w:rsidRPr="005675B2">
        <w:rPr>
          <w:rFonts w:hint="cs"/>
          <w:rtl/>
        </w:rPr>
        <w:t xml:space="preserve"> والاتصال والانفصال لا يكون إلا بين الأجسام والله منزه عن الجسمية ولوازم الجسمية كما مر بنا</w:t>
      </w:r>
      <w:r>
        <w:rPr>
          <w:rFonts w:eastAsiaTheme="minorEastAsia" w:hint="cs"/>
          <w:rtl/>
        </w:rPr>
        <w:t>،</w:t>
      </w:r>
      <w:r w:rsidR="009C32A0" w:rsidRPr="005675B2">
        <w:rPr>
          <w:rFonts w:eastAsiaTheme="minorEastAsia" w:hint="cs"/>
          <w:rtl/>
        </w:rPr>
        <w:t xml:space="preserve"> </w:t>
      </w:r>
      <w:r>
        <w:rPr>
          <w:rFonts w:hint="cs"/>
          <w:rtl/>
        </w:rPr>
        <w:t>(</w:t>
      </w:r>
      <w:r w:rsidR="009C32A0" w:rsidRPr="005675B2">
        <w:rPr>
          <w:rFonts w:hint="cs"/>
          <w:rtl/>
        </w:rPr>
        <w:t>ب</w:t>
      </w:r>
      <w:r>
        <w:rPr>
          <w:rFonts w:hint="cs"/>
          <w:rtl/>
        </w:rPr>
        <w:t>)</w:t>
      </w:r>
      <w:r w:rsidR="009C32A0" w:rsidRPr="005675B2">
        <w:rPr>
          <w:rFonts w:hint="cs"/>
          <w:rtl/>
        </w:rPr>
        <w:t xml:space="preserve"> أجمع علماء أهل السنة على تنزيه الله تعالى عن الاتحاد بخلقه أو الحلول في شيء منها</w:t>
      </w:r>
      <w:r w:rsidR="009C32A0" w:rsidRPr="005675B2">
        <w:rPr>
          <w:rFonts w:hint="cs"/>
          <w:bCs/>
          <w:rtl/>
        </w:rPr>
        <w:t xml:space="preserve"> </w:t>
      </w:r>
      <w:r w:rsidR="009C32A0" w:rsidRPr="005675B2">
        <w:rPr>
          <w:rFonts w:hint="cs"/>
          <w:rtl/>
        </w:rPr>
        <w:t xml:space="preserve">وعن الاتصال بها </w:t>
      </w:r>
      <w:r w:rsidR="009C32A0" w:rsidRPr="005675B2">
        <w:rPr>
          <w:rFonts w:hint="cs"/>
          <w:rtl/>
        </w:rPr>
        <w:lastRenderedPageBreak/>
        <w:t>أو الانفصال عنها ونقل الإجماع كل من تكلم عن فرق المسلمين</w:t>
      </w:r>
      <w:r>
        <w:rPr>
          <w:rFonts w:hint="cs"/>
          <w:bCs/>
          <w:rtl/>
        </w:rPr>
        <w:t>،</w:t>
      </w:r>
      <w:r w:rsidR="009C32A0" w:rsidRPr="005675B2">
        <w:rPr>
          <w:rFonts w:hint="cs"/>
          <w:bCs/>
          <w:rtl/>
        </w:rPr>
        <w:t xml:space="preserve"> قال ابن كثير _ عند قوله تعالى </w:t>
      </w:r>
      <w:r>
        <w:rPr>
          <w:rFonts w:hint="cs"/>
          <w:rtl/>
        </w:rPr>
        <w:t>(</w:t>
      </w:r>
      <w:r w:rsidR="009C32A0" w:rsidRPr="005675B2">
        <w:rPr>
          <w:rFonts w:hint="cs"/>
          <w:bCs/>
          <w:rtl/>
        </w:rPr>
        <w:t>ونحن أقرب إليه من حبل الوريد</w:t>
      </w:r>
      <w:r w:rsidR="009C32A0" w:rsidRPr="005675B2">
        <w:rPr>
          <w:rFonts w:hint="cs"/>
          <w:rtl/>
        </w:rPr>
        <w:t>) _</w:t>
      </w:r>
      <w:r>
        <w:rPr>
          <w:rFonts w:hint="cs"/>
          <w:rtl/>
        </w:rPr>
        <w:t xml:space="preserve"> </w:t>
      </w:r>
      <w:r w:rsidR="009C32A0" w:rsidRPr="005675B2">
        <w:rPr>
          <w:rFonts w:hint="cs"/>
          <w:bCs/>
          <w:rtl/>
        </w:rPr>
        <w:t xml:space="preserve">" </w:t>
      </w:r>
      <w:r w:rsidR="009C32A0" w:rsidRPr="005675B2">
        <w:rPr>
          <w:rFonts w:hint="cs"/>
          <w:rtl/>
        </w:rPr>
        <w:t xml:space="preserve">يعني ملائكته تعالى أقرب إلى الإنسان من حبل وريده إليه ومن تأوله على العلم فإنما فر </w:t>
      </w:r>
      <w:r w:rsidR="009C32A0" w:rsidRPr="005675B2">
        <w:rPr>
          <w:rFonts w:hint="cs"/>
          <w:bCs/>
          <w:rtl/>
        </w:rPr>
        <w:t>لئلا يلزم حلول أو اتحاد وهما منفيان</w:t>
      </w:r>
      <w:r w:rsidR="009C32A0" w:rsidRPr="005675B2">
        <w:rPr>
          <w:rFonts w:hint="cs"/>
          <w:rtl/>
        </w:rPr>
        <w:t xml:space="preserve"> </w:t>
      </w:r>
      <w:r w:rsidR="009C32A0" w:rsidRPr="005675B2">
        <w:rPr>
          <w:rFonts w:hint="cs"/>
          <w:bCs/>
          <w:rtl/>
        </w:rPr>
        <w:t>بالإجماع</w:t>
      </w:r>
      <w:r w:rsidR="009C32A0" w:rsidRPr="005675B2">
        <w:rPr>
          <w:rFonts w:hint="cs"/>
          <w:rtl/>
        </w:rPr>
        <w:t xml:space="preserve"> تعالى الله وتقدس " أهـ </w:t>
      </w:r>
      <w:r>
        <w:rPr>
          <w:rFonts w:hint="cs"/>
          <w:rtl/>
        </w:rPr>
        <w:t>[</w:t>
      </w:r>
      <w:r w:rsidR="009C32A0" w:rsidRPr="005675B2">
        <w:rPr>
          <w:rFonts w:hint="cs"/>
          <w:rtl/>
        </w:rPr>
        <w:t>تفسير ابن كثير ج: 4 ص: 224]،</w:t>
      </w:r>
    </w:p>
    <w:p w14:paraId="0666D8D8" w14:textId="77777777" w:rsidR="009C32A0" w:rsidRPr="005675B2" w:rsidRDefault="009C32A0" w:rsidP="000636C2">
      <w:pPr>
        <w:jc w:val="center"/>
        <w:rPr>
          <w:b/>
          <w:bCs/>
          <w:rtl/>
          <w:lang w:bidi="ar-KW"/>
        </w:rPr>
      </w:pPr>
      <w:r>
        <w:rPr>
          <w:rFonts w:hint="cs"/>
          <w:bCs/>
          <w:rtl/>
          <w:lang w:bidi="ar-KW"/>
        </w:rPr>
        <w:t>***</w:t>
      </w:r>
      <w:r w:rsidRPr="005675B2">
        <w:rPr>
          <w:rFonts w:hint="cs"/>
          <w:bCs/>
          <w:rtl/>
          <w:lang w:bidi="ar-KW"/>
        </w:rPr>
        <w:t xml:space="preserve"> </w:t>
      </w:r>
    </w:p>
    <w:p w14:paraId="43CF29EF" w14:textId="1E596C3B" w:rsidR="009C32A0" w:rsidRPr="00C07A88" w:rsidRDefault="009C32A0" w:rsidP="00C07A88">
      <w:pPr>
        <w:pStyle w:val="2"/>
        <w:bidi/>
        <w:rPr>
          <w:u w:val="none"/>
          <w:rtl/>
          <w:lang w:bidi="ar-KW"/>
        </w:rPr>
      </w:pPr>
      <w:r w:rsidRPr="00C07A88">
        <w:rPr>
          <w:rFonts w:hint="cs"/>
          <w:u w:val="none"/>
          <w:rtl/>
          <w:lang w:bidi="ar-KW"/>
        </w:rPr>
        <w:t>القاعدة العاشرة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الأعراض والكيفيات الحسية التي تتصف به ذات المخلوق</w:t>
      </w:r>
    </w:p>
    <w:p w14:paraId="789AD9D8" w14:textId="77777777" w:rsidR="009C32A0" w:rsidRPr="005675B2" w:rsidRDefault="009C32A0" w:rsidP="000636C2">
      <w:pPr>
        <w:rPr>
          <w:b/>
          <w:rtl/>
          <w:lang w:bidi="ar-KW"/>
        </w:rPr>
      </w:pPr>
    </w:p>
    <w:p w14:paraId="67A42AAD" w14:textId="105D8EC5" w:rsidR="009C32A0" w:rsidRPr="005675B2" w:rsidRDefault="000636C2" w:rsidP="000636C2">
      <w:pPr>
        <w:rPr>
          <w:b/>
          <w:rtl/>
          <w:lang w:bidi="ar-KW"/>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المقصود ب</w:t>
      </w:r>
      <w:r w:rsidR="009C32A0" w:rsidRPr="005675B2">
        <w:rPr>
          <w:rFonts w:hint="cs"/>
          <w:rtl/>
        </w:rPr>
        <w:t>الأعراض مثل الألوان والأحجام والأشكال والطعوم والروائح</w:t>
      </w:r>
      <w:r w:rsidR="009C32A0" w:rsidRPr="005675B2">
        <w:rPr>
          <w:rFonts w:hint="cs"/>
          <w:rtl/>
          <w:lang w:bidi="ar-KW"/>
        </w:rPr>
        <w:t xml:space="preserve"> التي تتصف به ذات المخلوق</w:t>
      </w:r>
      <w:r>
        <w:rPr>
          <w:rFonts w:hint="cs"/>
          <w:rtl/>
        </w:rPr>
        <w:t>،</w:t>
      </w:r>
      <w:r w:rsidR="009C32A0" w:rsidRPr="005675B2">
        <w:rPr>
          <w:rFonts w:hint="cs"/>
          <w:rtl/>
        </w:rPr>
        <w:t xml:space="preserve"> والمقصود بالكيفيات الحسية </w:t>
      </w:r>
      <w:r w:rsidR="009C32A0" w:rsidRPr="005675B2">
        <w:rPr>
          <w:rFonts w:hint="cs"/>
          <w:rtl/>
          <w:lang w:bidi="ar-KW"/>
        </w:rPr>
        <w:t>التي تتصف به ذات المخلوق كالجلوس والاستقرار والنزول والصعود على معنى التغير في ذاته</w:t>
      </w:r>
      <w:r>
        <w:rPr>
          <w:rFonts w:hint="cs"/>
          <w:rtl/>
          <w:lang w:bidi="ar-KW"/>
        </w:rPr>
        <w:t>،</w:t>
      </w:r>
      <w:r w:rsidR="009C32A0" w:rsidRPr="005675B2">
        <w:rPr>
          <w:rFonts w:hint="cs"/>
          <w:rtl/>
          <w:lang w:bidi="ar-KW"/>
        </w:rPr>
        <w:t xml:space="preserve"> والذهاب والمجيء على معنى التغير في ذاته</w:t>
      </w:r>
      <w:r>
        <w:rPr>
          <w:rFonts w:hint="cs"/>
          <w:rtl/>
          <w:lang w:bidi="ar-KW"/>
        </w:rPr>
        <w:t>،</w:t>
      </w:r>
      <w:r w:rsidR="009C32A0" w:rsidRPr="005675B2">
        <w:rPr>
          <w:rFonts w:hint="cs"/>
          <w:rtl/>
          <w:lang w:bidi="ar-KW"/>
        </w:rPr>
        <w:t xml:space="preserve"> والقبض والبسط على معنى التغير في ذاته</w:t>
      </w:r>
      <w:r>
        <w:rPr>
          <w:rFonts w:hint="cs"/>
          <w:rtl/>
          <w:lang w:bidi="ar-KW"/>
        </w:rPr>
        <w:t>،</w:t>
      </w:r>
      <w:r w:rsidR="009C32A0" w:rsidRPr="005675B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9C32A0" w:rsidRPr="005675B2">
        <w:rPr>
          <w:rFonts w:hint="cs"/>
          <w:rtl/>
          <w:lang w:bidi="ar-KW"/>
        </w:rPr>
        <w:t xml:space="preserve"> والسكون والتحرك والتماس والتباين والخروج والدخول على معنى التغير في ذاته</w:t>
      </w:r>
      <w:r>
        <w:rPr>
          <w:rFonts w:hint="cs"/>
          <w:rtl/>
          <w:lang w:bidi="ar-KW"/>
        </w:rPr>
        <w:t>،</w:t>
      </w:r>
      <w:r w:rsidR="009C32A0" w:rsidRPr="005675B2">
        <w:rPr>
          <w:rFonts w:hint="cs"/>
          <w:rtl/>
          <w:lang w:bidi="ar-KW"/>
        </w:rPr>
        <w:t xml:space="preserve"> والقرب بالمسافة والبعد بالمسافة</w:t>
      </w:r>
      <w:r>
        <w:rPr>
          <w:rFonts w:hint="cs"/>
          <w:rtl/>
          <w:lang w:bidi="ar-KW"/>
        </w:rPr>
        <w:t>،</w:t>
      </w:r>
      <w:r w:rsidR="009C32A0" w:rsidRPr="005675B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9C32A0" w:rsidRPr="005675B2">
        <w:rPr>
          <w:rFonts w:hint="cs"/>
          <w:rtl/>
          <w:lang w:bidi="ar-KW"/>
        </w:rPr>
        <w:t xml:space="preserve"> والندم والتردد على معنى</w:t>
      </w:r>
      <w:r>
        <w:rPr>
          <w:rFonts w:hint="cs"/>
          <w:rtl/>
          <w:lang w:bidi="ar-KW"/>
        </w:rPr>
        <w:t xml:space="preserve"> </w:t>
      </w:r>
      <w:r w:rsidR="009C32A0" w:rsidRPr="005675B2">
        <w:rPr>
          <w:rFonts w:hint="cs"/>
          <w:rtl/>
          <w:lang w:bidi="ar-KW"/>
        </w:rPr>
        <w:t>التغير في ذاته</w:t>
      </w:r>
      <w:r>
        <w:rPr>
          <w:rFonts w:hint="cs"/>
          <w:rtl/>
          <w:lang w:bidi="ar-KW"/>
        </w:rPr>
        <w:t>،</w:t>
      </w:r>
      <w:r w:rsidR="009C32A0" w:rsidRPr="005675B2">
        <w:rPr>
          <w:rFonts w:hint="cs"/>
          <w:rtl/>
          <w:lang w:bidi="ar-KW"/>
        </w:rPr>
        <w:t xml:space="preserve"> </w:t>
      </w:r>
      <w:r>
        <w:rPr>
          <w:rFonts w:hint="cs"/>
          <w:rtl/>
          <w:lang w:bidi="ar-KW"/>
        </w:rPr>
        <w:t>(</w:t>
      </w:r>
      <w:r w:rsidR="009C32A0" w:rsidRPr="005675B2">
        <w:rPr>
          <w:rFonts w:hint="cs"/>
          <w:rtl/>
          <w:lang w:bidi="ar-KW"/>
        </w:rPr>
        <w:t>ب</w:t>
      </w:r>
      <w:r>
        <w:rPr>
          <w:rFonts w:hint="cs"/>
          <w:rtl/>
          <w:lang w:bidi="ar-KW"/>
        </w:rPr>
        <w:t>)</w:t>
      </w:r>
      <w:r w:rsidR="009C32A0" w:rsidRPr="005675B2">
        <w:rPr>
          <w:rFonts w:hint="cs"/>
          <w:rtl/>
          <w:lang w:bidi="ar-KW"/>
        </w:rPr>
        <w:t xml:space="preserve"> الله تعالى منزه عن تلك الأعراض والكيفيات الحسية</w:t>
      </w:r>
      <w:r>
        <w:rPr>
          <w:rFonts w:hint="cs"/>
          <w:rtl/>
          <w:lang w:bidi="ar-KW"/>
        </w:rPr>
        <w:t>،</w:t>
      </w:r>
      <w:r w:rsidR="009C32A0" w:rsidRPr="005675B2">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9C32A0" w:rsidRPr="005675B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9C32A0" w:rsidRPr="005675B2">
        <w:rPr>
          <w:rFonts w:hint="cs"/>
          <w:rtl/>
        </w:rPr>
        <w:t xml:space="preserve"> </w:t>
      </w:r>
      <w:bookmarkStart w:id="4" w:name="tohef136"/>
      <w:bookmarkEnd w:id="4"/>
      <w:r>
        <w:rPr>
          <w:rFonts w:hint="cs"/>
          <w:rtl/>
        </w:rPr>
        <w:lastRenderedPageBreak/>
        <w:t>(</w:t>
      </w:r>
      <w:r w:rsidR="009C32A0" w:rsidRPr="005675B2">
        <w:rPr>
          <w:rFonts w:hint="cs"/>
          <w:rtl/>
        </w:rPr>
        <w:t>ت</w:t>
      </w:r>
      <w:r>
        <w:rPr>
          <w:rFonts w:hint="cs"/>
          <w:rtl/>
        </w:rPr>
        <w:t>)</w:t>
      </w:r>
      <w:r w:rsidR="009C32A0" w:rsidRPr="005675B2">
        <w:rPr>
          <w:rFonts w:hint="cs"/>
          <w:rtl/>
        </w:rPr>
        <w:t xml:space="preserve"> من أدلة تنزيه الله عن الكيفيات المحسوسة</w:t>
      </w:r>
      <w:r>
        <w:rPr>
          <w:rFonts w:hint="cs"/>
          <w:rtl/>
        </w:rPr>
        <w:t>:</w:t>
      </w:r>
      <w:r w:rsidR="009C32A0" w:rsidRPr="005675B2">
        <w:rPr>
          <w:rFonts w:hint="cs"/>
          <w:rtl/>
        </w:rPr>
        <w:t xml:space="preserve"> أنها من خواص الجسم والله تعالى منزّه عن الجسمانية</w:t>
      </w:r>
      <w:r>
        <w:rPr>
          <w:rFonts w:hint="cs"/>
          <w:rtl/>
        </w:rPr>
        <w:t>،</w:t>
      </w:r>
      <w:r w:rsidR="009C32A0" w:rsidRPr="005675B2">
        <w:rPr>
          <w:rFonts w:hint="cs"/>
          <w:rtl/>
        </w:rPr>
        <w:t xml:space="preserve"> وأنها حادثة</w:t>
      </w:r>
      <w:r>
        <w:rPr>
          <w:rFonts w:hint="cs"/>
          <w:rtl/>
        </w:rPr>
        <w:t>،</w:t>
      </w:r>
      <w:r w:rsidR="009C32A0" w:rsidRPr="005675B2">
        <w:rPr>
          <w:rFonts w:hint="cs"/>
          <w:rtl/>
        </w:rPr>
        <w:t xml:space="preserve"> لكن الباري غير حادث، فيمتنع أن يكون قابلاً للحوادث</w:t>
      </w:r>
      <w:r>
        <w:rPr>
          <w:rFonts w:hint="cs"/>
          <w:rtl/>
        </w:rPr>
        <w:t>،</w:t>
      </w:r>
      <w:r w:rsidR="009C32A0" w:rsidRPr="005675B2">
        <w:rPr>
          <w:rFonts w:hint="cs"/>
          <w:rtl/>
        </w:rPr>
        <w:t xml:space="preserve"> وهي تستلزم التغير والانفعال</w:t>
      </w:r>
      <w:r>
        <w:rPr>
          <w:rFonts w:hint="cs"/>
          <w:rtl/>
        </w:rPr>
        <w:t xml:space="preserve">، </w:t>
      </w:r>
      <w:r w:rsidR="009C32A0" w:rsidRPr="005675B2">
        <w:rPr>
          <w:rFonts w:hint="cs"/>
          <w:rtl/>
        </w:rPr>
        <w:t>والله منزّه من التغير في ذاته</w:t>
      </w:r>
      <w:r>
        <w:rPr>
          <w:rFonts w:hint="cs"/>
          <w:rtl/>
        </w:rPr>
        <w:t>،</w:t>
      </w:r>
      <w:r w:rsidR="009C32A0" w:rsidRPr="005675B2">
        <w:rPr>
          <w:rFonts w:hint="cs"/>
          <w:rtl/>
        </w:rPr>
        <w:t xml:space="preserve"> </w:t>
      </w:r>
      <w:r>
        <w:rPr>
          <w:rFonts w:hint="cs"/>
          <w:rtl/>
        </w:rPr>
        <w:t>(</w:t>
      </w:r>
      <w:r w:rsidR="009C32A0" w:rsidRPr="005675B2">
        <w:rPr>
          <w:rFonts w:hint="cs"/>
          <w:rtl/>
        </w:rPr>
        <w:t>ث</w:t>
      </w:r>
      <w:r>
        <w:rPr>
          <w:rFonts w:hint="cs"/>
          <w:rtl/>
        </w:rPr>
        <w:t>)</w:t>
      </w:r>
      <w:r w:rsidR="009C32A0" w:rsidRPr="005675B2">
        <w:rPr>
          <w:rFonts w:hint="cs"/>
          <w:rtl/>
        </w:rPr>
        <w:t xml:space="preserve"> ما جاء في الكتاب والسنة من إضافة الاستواء </w:t>
      </w:r>
      <w:r w:rsidR="009C32A0" w:rsidRPr="005675B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9C32A0" w:rsidRPr="005675B2">
        <w:rPr>
          <w:rFonts w:hint="cs"/>
          <w:rtl/>
          <w:lang w:bidi="ar-KW"/>
        </w:rPr>
        <w:t xml:space="preserve"> فإنه حق وصدق على مراد الله ومراد رسول الله</w:t>
      </w:r>
      <w:r>
        <w:rPr>
          <w:rFonts w:hint="cs"/>
          <w:rtl/>
          <w:lang w:bidi="ar-KW"/>
        </w:rPr>
        <w:t>،</w:t>
      </w:r>
      <w:r w:rsidR="009C32A0" w:rsidRPr="005675B2">
        <w:rPr>
          <w:rFonts w:hint="cs"/>
          <w:rtl/>
          <w:lang w:bidi="ar-KW"/>
        </w:rPr>
        <w:t xml:space="preserve"> صفات تليق بالذات</w:t>
      </w:r>
      <w:r>
        <w:rPr>
          <w:rFonts w:hint="cs"/>
          <w:rtl/>
          <w:lang w:bidi="ar-KW"/>
        </w:rPr>
        <w:t>،</w:t>
      </w:r>
      <w:r w:rsidR="009C32A0" w:rsidRPr="005675B2">
        <w:rPr>
          <w:rFonts w:hint="cs"/>
          <w:rtl/>
          <w:lang w:bidi="ar-KW"/>
        </w:rPr>
        <w:t xml:space="preserve"> وكما أنّ ذات الله تعالى ليس كمثله شيء</w:t>
      </w:r>
      <w:r>
        <w:rPr>
          <w:rFonts w:hint="cs"/>
          <w:rtl/>
          <w:lang w:bidi="ar-KW"/>
        </w:rPr>
        <w:t>،</w:t>
      </w:r>
      <w:r w:rsidR="009C32A0" w:rsidRPr="005675B2">
        <w:rPr>
          <w:rFonts w:hint="cs"/>
          <w:rtl/>
          <w:lang w:bidi="ar-KW"/>
        </w:rPr>
        <w:t xml:space="preserve"> فإن ما أضيف إلى الذات يتبع الذات</w:t>
      </w:r>
      <w:r>
        <w:rPr>
          <w:rFonts w:hint="cs"/>
          <w:rtl/>
          <w:lang w:bidi="ar-KW"/>
        </w:rPr>
        <w:t>،</w:t>
      </w:r>
      <w:r w:rsidR="009C32A0" w:rsidRPr="005675B2">
        <w:rPr>
          <w:rFonts w:hint="cs"/>
          <w:rtl/>
          <w:lang w:bidi="ar-KW"/>
        </w:rPr>
        <w:t xml:space="preserve"> منزه عن التغير والحدوث والانفعال الذي يعتري ذات الإنسان</w:t>
      </w:r>
      <w:r>
        <w:rPr>
          <w:rFonts w:hint="cs"/>
          <w:rtl/>
          <w:lang w:bidi="ar-KW"/>
        </w:rPr>
        <w:t>،</w:t>
      </w:r>
      <w:r w:rsidR="009C32A0" w:rsidRPr="005675B2">
        <w:rPr>
          <w:rFonts w:hint="cs"/>
          <w:rtl/>
          <w:lang w:bidi="ar-KW"/>
        </w:rPr>
        <w:t xml:space="preserve"> لا نتقول على الله بغير علم</w:t>
      </w:r>
      <w:r>
        <w:rPr>
          <w:rFonts w:hint="cs"/>
          <w:rtl/>
          <w:lang w:bidi="ar-KW"/>
        </w:rPr>
        <w:t>،</w:t>
      </w:r>
      <w:r w:rsidR="009C32A0" w:rsidRPr="005675B2">
        <w:rPr>
          <w:rFonts w:hint="cs"/>
          <w:rtl/>
          <w:lang w:bidi="ar-KW"/>
        </w:rPr>
        <w:t xml:space="preserve"> ولا ننفي ما جاء عن الله في كتاب الله وسنة نبيه صلى الله عليه وسلم</w:t>
      </w:r>
      <w:r>
        <w:rPr>
          <w:rFonts w:hint="cs"/>
          <w:rtl/>
          <w:lang w:bidi="ar-KW"/>
        </w:rPr>
        <w:t>،</w:t>
      </w:r>
      <w:r w:rsidR="009C32A0" w:rsidRPr="005675B2">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p>
    <w:p w14:paraId="20062EC1" w14:textId="1BF7813B" w:rsidR="009C32A0" w:rsidRDefault="009C32A0" w:rsidP="000636C2">
      <w:pPr>
        <w:jc w:val="center"/>
        <w:rPr>
          <w:b/>
          <w:rtl/>
          <w:lang w:bidi="ar-KW"/>
        </w:rPr>
      </w:pPr>
      <w:r>
        <w:rPr>
          <w:rFonts w:hint="cs"/>
          <w:rtl/>
          <w:lang w:bidi="ar-KW"/>
        </w:rPr>
        <w:t>***</w:t>
      </w:r>
      <w:r w:rsidR="000636C2">
        <w:rPr>
          <w:rFonts w:hint="cs"/>
          <w:rtl/>
          <w:lang w:bidi="ar-KW"/>
        </w:rPr>
        <w:t xml:space="preserve"> </w:t>
      </w:r>
    </w:p>
    <w:p w14:paraId="283C57EA" w14:textId="77777777" w:rsidR="009C32A0" w:rsidRPr="005675B2" w:rsidRDefault="009C32A0" w:rsidP="000636C2">
      <w:pPr>
        <w:jc w:val="center"/>
        <w:rPr>
          <w:b/>
          <w:rtl/>
          <w:lang w:bidi="ar-KW"/>
        </w:rPr>
      </w:pPr>
    </w:p>
    <w:p w14:paraId="47EB95D6" w14:textId="118D6907" w:rsidR="009C32A0" w:rsidRPr="00C07A88" w:rsidRDefault="009C32A0" w:rsidP="00C07A88">
      <w:pPr>
        <w:pStyle w:val="2"/>
        <w:bidi/>
        <w:jc w:val="center"/>
        <w:rPr>
          <w:u w:val="none"/>
          <w:rtl/>
          <w:lang w:bidi="ar-KW"/>
        </w:rPr>
      </w:pPr>
      <w:r w:rsidRPr="00C07A88">
        <w:rPr>
          <w:rFonts w:hint="cs"/>
          <w:u w:val="none"/>
          <w:rtl/>
          <w:lang w:bidi="ar-KW"/>
        </w:rPr>
        <w:t>القاعدة الحادية عشرة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النقائص والعيوب التي تتصف به ذات المخلوق</w:t>
      </w:r>
    </w:p>
    <w:p w14:paraId="34162FE6" w14:textId="77777777" w:rsidR="009C32A0" w:rsidRPr="005675B2" w:rsidRDefault="009C32A0" w:rsidP="000636C2">
      <w:pPr>
        <w:rPr>
          <w:b/>
          <w:rtl/>
          <w:lang w:bidi="ar-KW"/>
        </w:rPr>
      </w:pPr>
    </w:p>
    <w:p w14:paraId="523858C7" w14:textId="20C92611" w:rsidR="009C32A0" w:rsidRPr="005675B2" w:rsidRDefault="000636C2" w:rsidP="000636C2">
      <w:pPr>
        <w:rPr>
          <w:b/>
          <w:rtl/>
        </w:rPr>
      </w:pPr>
      <w:r>
        <w:rPr>
          <w:rFonts w:hint="cs"/>
          <w:rtl/>
          <w:lang w:bidi="ar-KW"/>
        </w:rPr>
        <w:t>(</w:t>
      </w:r>
      <w:r w:rsidR="009C32A0" w:rsidRPr="005675B2">
        <w:rPr>
          <w:rFonts w:hint="cs"/>
          <w:rtl/>
          <w:lang w:bidi="ar-KW"/>
        </w:rPr>
        <w:t>أ</w:t>
      </w:r>
      <w:r>
        <w:rPr>
          <w:rFonts w:hint="cs"/>
          <w:rtl/>
          <w:lang w:bidi="ar-KW"/>
        </w:rPr>
        <w:t>)</w:t>
      </w:r>
      <w:r w:rsidR="009C32A0" w:rsidRPr="005675B2">
        <w:rPr>
          <w:rFonts w:hint="cs"/>
          <w:rtl/>
          <w:lang w:bidi="ar-KW"/>
        </w:rPr>
        <w:t xml:space="preserve"> الله تعالى منزه عن كل ما ينافي كمال الحياة كالسنة والنوم والموت والفناء والهلاك</w:t>
      </w:r>
      <w:r>
        <w:rPr>
          <w:rFonts w:hint="cs"/>
          <w:rtl/>
          <w:lang w:bidi="ar-KW"/>
        </w:rPr>
        <w:t>،</w:t>
      </w:r>
      <w:r w:rsidR="009C32A0" w:rsidRPr="005675B2">
        <w:rPr>
          <w:rFonts w:hint="cs"/>
          <w:rtl/>
          <w:lang w:bidi="ar-KW"/>
        </w:rPr>
        <w:t xml:space="preserve"> وكل ما ينافي كمال العلم كالجهل والغفلة والنسيان</w:t>
      </w:r>
      <w:r>
        <w:rPr>
          <w:rFonts w:hint="cs"/>
          <w:rtl/>
          <w:lang w:bidi="ar-KW"/>
        </w:rPr>
        <w:t>،</w:t>
      </w:r>
      <w:r w:rsidR="009C32A0" w:rsidRPr="005675B2">
        <w:rPr>
          <w:rFonts w:hint="cs"/>
          <w:rtl/>
          <w:lang w:bidi="ar-KW"/>
        </w:rPr>
        <w:t xml:space="preserve"> ومنزه عن كل ما ينافي كمال القدرة كالعجز والضعف والتعب واللغوب</w:t>
      </w:r>
      <w:r>
        <w:rPr>
          <w:rFonts w:hint="cs"/>
          <w:rtl/>
          <w:lang w:bidi="ar-KW"/>
        </w:rPr>
        <w:t>،</w:t>
      </w:r>
      <w:r w:rsidR="009C32A0" w:rsidRPr="005675B2">
        <w:rPr>
          <w:rFonts w:hint="cs"/>
          <w:rtl/>
        </w:rPr>
        <w:t xml:space="preserve"> ليس خلق شيء بأهون عليه من خلق شيء أخر ولا بأصعب عليه </w:t>
      </w:r>
      <w:r w:rsidR="009C32A0" w:rsidRPr="005675B2">
        <w:rPr>
          <w:rFonts w:hint="cs"/>
          <w:rtl/>
          <w:lang w:bidi="ar-KW"/>
        </w:rPr>
        <w:t>منه لأن له كمال القدرة</w:t>
      </w:r>
      <w:r>
        <w:rPr>
          <w:rFonts w:hint="cs"/>
          <w:rtl/>
          <w:lang w:bidi="ar-KW"/>
        </w:rPr>
        <w:t>،</w:t>
      </w:r>
      <w:r w:rsidR="009C32A0" w:rsidRPr="005675B2">
        <w:rPr>
          <w:rFonts w:hint="cs"/>
          <w:rtl/>
          <w:lang w:bidi="ar-KW"/>
        </w:rPr>
        <w:t xml:space="preserve"> ومنزه عن كل ما ينافي كمال الإرادة كالجبر والاضطرار وأن يكون في ملكه ما لا يريد</w:t>
      </w:r>
      <w:r>
        <w:rPr>
          <w:rFonts w:hint="cs"/>
          <w:rtl/>
          <w:lang w:bidi="ar-KW"/>
        </w:rPr>
        <w:t>،</w:t>
      </w:r>
      <w:r w:rsidR="009C32A0" w:rsidRPr="005675B2">
        <w:rPr>
          <w:rFonts w:hint="cs"/>
          <w:rtl/>
          <w:lang w:bidi="ar-KW"/>
        </w:rPr>
        <w:t xml:space="preserve"> ومنزه عن كل ما ينافي كمال السمع كالصمم واختلاط الأصوات</w:t>
      </w:r>
      <w:r>
        <w:rPr>
          <w:rFonts w:hint="cs"/>
          <w:rtl/>
          <w:lang w:bidi="ar-KW"/>
        </w:rPr>
        <w:t>،</w:t>
      </w:r>
      <w:r w:rsidR="009C32A0" w:rsidRPr="005675B2">
        <w:rPr>
          <w:rFonts w:hint="cs"/>
          <w:rtl/>
          <w:lang w:bidi="ar-KW"/>
        </w:rPr>
        <w:t xml:space="preserve"> ومنزه عن كل ما ينافي كمال البصر كالعمى واختلاط المبصرات</w:t>
      </w:r>
      <w:r>
        <w:rPr>
          <w:rFonts w:hint="cs"/>
          <w:rtl/>
          <w:lang w:bidi="ar-KW"/>
        </w:rPr>
        <w:t>،</w:t>
      </w:r>
      <w:r w:rsidR="009C32A0" w:rsidRPr="005675B2">
        <w:rPr>
          <w:rFonts w:hint="cs"/>
          <w:rtl/>
          <w:lang w:bidi="ar-KW"/>
        </w:rPr>
        <w:t xml:space="preserve"> ومنزه عن كل ما ينافي كمال الكلام كالبكم والعي وتناهي الكلمات</w:t>
      </w:r>
      <w:r>
        <w:rPr>
          <w:rFonts w:hint="cs"/>
          <w:rtl/>
          <w:lang w:bidi="ar-KW"/>
        </w:rPr>
        <w:t>،</w:t>
      </w:r>
      <w:r w:rsidR="009C32A0" w:rsidRPr="005675B2">
        <w:rPr>
          <w:rFonts w:hint="cs"/>
          <w:rtl/>
          <w:lang w:bidi="ar-KW"/>
        </w:rPr>
        <w:t xml:space="preserve"> ومنزه عن </w:t>
      </w:r>
      <w:r w:rsidR="009C32A0" w:rsidRPr="005675B2">
        <w:rPr>
          <w:rFonts w:hint="cs"/>
          <w:rtl/>
          <w:lang w:bidi="ar-KW"/>
        </w:rPr>
        <w:lastRenderedPageBreak/>
        <w:t>كل ما ينافي كمال الغنى كالحاجة والشهوة والآفة والعلة والأكل والشرب واجترار المنافع واحتراز المضار</w:t>
      </w:r>
      <w:r>
        <w:rPr>
          <w:rFonts w:hint="cs"/>
          <w:rtl/>
          <w:lang w:bidi="ar-KW"/>
        </w:rPr>
        <w:t>،</w:t>
      </w:r>
      <w:r w:rsidR="009C32A0" w:rsidRPr="005675B2">
        <w:rPr>
          <w:rFonts w:hint="cs"/>
          <w:rtl/>
          <w:lang w:bidi="ar-KW"/>
        </w:rPr>
        <w:t xml:space="preserve"> ومنزه عن كل ما ينافي كمال الحكمة والعدل كالظلم وخلف الوعد</w:t>
      </w:r>
      <w:r>
        <w:rPr>
          <w:rFonts w:hint="cs"/>
          <w:rtl/>
          <w:lang w:bidi="ar-KW"/>
        </w:rPr>
        <w:t>،</w:t>
      </w:r>
      <w:r w:rsidR="009C32A0" w:rsidRPr="005675B2">
        <w:rPr>
          <w:rFonts w:hint="cs"/>
          <w:rtl/>
          <w:lang w:bidi="ar-KW"/>
        </w:rPr>
        <w:t xml:space="preserve"> ومنزه عن كل ما يضاد الكمال ويدل على النقص كالحد والمقدار والكون في مكان وان يجري عليه زمان</w:t>
      </w:r>
      <w:r>
        <w:rPr>
          <w:rFonts w:hint="cs"/>
          <w:rtl/>
          <w:lang w:bidi="ar-KW"/>
        </w:rPr>
        <w:t>،</w:t>
      </w:r>
      <w:r w:rsidR="009C32A0" w:rsidRPr="005675B2">
        <w:rPr>
          <w:rFonts w:hint="cs"/>
          <w:rtl/>
          <w:lang w:bidi="ar-KW"/>
        </w:rPr>
        <w:t xml:space="preserve"> وعن التغير والحدوث وقبول الحدث</w:t>
      </w:r>
      <w:r>
        <w:rPr>
          <w:rFonts w:hint="cs"/>
          <w:rtl/>
          <w:lang w:bidi="ar-KW"/>
        </w:rPr>
        <w:t>، (</w:t>
      </w:r>
      <w:r w:rsidR="009C32A0" w:rsidRPr="005675B2">
        <w:rPr>
          <w:rFonts w:hint="cs"/>
          <w:rtl/>
          <w:lang w:bidi="ar-KW"/>
        </w:rPr>
        <w:t>ب</w:t>
      </w:r>
      <w:r>
        <w:rPr>
          <w:rFonts w:hint="cs"/>
          <w:rtl/>
          <w:lang w:bidi="ar-KW"/>
        </w:rPr>
        <w:t>)</w:t>
      </w:r>
      <w:r w:rsidR="009C32A0" w:rsidRPr="005675B2">
        <w:rPr>
          <w:rFonts w:hint="cs"/>
          <w:rtl/>
          <w:lang w:bidi="ar-KW"/>
        </w:rPr>
        <w:t xml:space="preserve"> تنزيه الله تعالى عن النقائص والعيوب التي تتصف به ذات المخلوق</w:t>
      </w:r>
      <w:r>
        <w:rPr>
          <w:rFonts w:hint="cs"/>
          <w:rtl/>
          <w:lang w:bidi="ar-KW"/>
        </w:rPr>
        <w:t>:</w:t>
      </w:r>
      <w:r w:rsidR="009C32A0" w:rsidRPr="005675B2">
        <w:rPr>
          <w:rFonts w:hint="cs"/>
          <w:rtl/>
          <w:lang w:bidi="ar-KW"/>
        </w:rPr>
        <w:t xml:space="preserve"> هو ما نطق به القرآن الكريم</w:t>
      </w:r>
      <w:r>
        <w:rPr>
          <w:rFonts w:hint="cs"/>
          <w:rtl/>
          <w:lang w:bidi="ar-KW"/>
        </w:rPr>
        <w:t>،</w:t>
      </w:r>
      <w:r w:rsidR="009C32A0" w:rsidRPr="005675B2">
        <w:rPr>
          <w:rFonts w:hint="cs"/>
          <w:rtl/>
          <w:lang w:bidi="ar-KW"/>
        </w:rPr>
        <w:t xml:space="preserve"> ولا يخالف في ذلك مسلم أصلا</w:t>
      </w:r>
      <w:r>
        <w:rPr>
          <w:rFonts w:hint="cs"/>
          <w:rtl/>
          <w:lang w:bidi="ar-KW"/>
        </w:rPr>
        <w:t>،</w:t>
      </w:r>
      <w:r w:rsidR="009C32A0" w:rsidRPr="005675B2">
        <w:rPr>
          <w:rFonts w:hint="cs"/>
          <w:rtl/>
          <w:lang w:bidi="ar-KW"/>
        </w:rPr>
        <w:t xml:space="preserve"> ومما يدل على </w:t>
      </w:r>
      <w:r w:rsidR="009C32A0" w:rsidRPr="005675B2">
        <w:rPr>
          <w:rFonts w:hint="cs"/>
          <w:rtl/>
        </w:rPr>
        <w:t>نفي السنة والنوم قوله تعالى</w:t>
      </w:r>
      <w:r>
        <w:rPr>
          <w:rFonts w:hint="cs"/>
          <w:rtl/>
        </w:rPr>
        <w:t>:</w:t>
      </w:r>
      <w:r w:rsidR="009C32A0" w:rsidRPr="005675B2">
        <w:rPr>
          <w:rFonts w:hint="cs"/>
          <w:rtl/>
        </w:rPr>
        <w:t xml:space="preserve"> </w:t>
      </w:r>
      <w:r>
        <w:rPr>
          <w:rFonts w:hint="cs"/>
          <w:rtl/>
        </w:rPr>
        <w:t>{</w:t>
      </w:r>
      <w:r w:rsidR="009C32A0" w:rsidRPr="005675B2">
        <w:rPr>
          <w:rFonts w:hint="cs"/>
          <w:rtl/>
        </w:rPr>
        <w:t>اللَّهُ لَا إِلَهَ إِلَّا هُوَ الْحَيُّ الْقَيُّومُ لَا تَأْخُذُهُ سِنَةٌ وَلَا نَوْمٌ</w:t>
      </w:r>
      <w:r>
        <w:rPr>
          <w:rFonts w:hint="cs"/>
          <w:rtl/>
        </w:rPr>
        <w:t>}</w:t>
      </w:r>
      <w:r w:rsidR="009C32A0" w:rsidRPr="005675B2">
        <w:rPr>
          <w:rFonts w:hint="cs"/>
          <w:rtl/>
        </w:rPr>
        <w:t xml:space="preserve"> </w:t>
      </w:r>
      <w:r>
        <w:rPr>
          <w:rFonts w:hint="cs"/>
          <w:rtl/>
        </w:rPr>
        <w:t>[</w:t>
      </w:r>
      <w:r w:rsidR="009C32A0" w:rsidRPr="005675B2">
        <w:rPr>
          <w:rFonts w:hint="cs"/>
          <w:rtl/>
        </w:rPr>
        <w:t>البقرة</w:t>
      </w:r>
      <w:r>
        <w:rPr>
          <w:rFonts w:hint="cs"/>
          <w:rtl/>
        </w:rPr>
        <w:t>:</w:t>
      </w:r>
      <w:r w:rsidR="009C32A0" w:rsidRPr="005675B2">
        <w:rPr>
          <w:rFonts w:hint="cs"/>
          <w:rtl/>
        </w:rPr>
        <w:t xml:space="preserve"> 255</w:t>
      </w:r>
      <w:r>
        <w:rPr>
          <w:rFonts w:hint="cs"/>
          <w:rtl/>
        </w:rPr>
        <w:t>]،</w:t>
      </w:r>
      <w:r w:rsidR="009C32A0" w:rsidRPr="005675B2">
        <w:rPr>
          <w:rFonts w:hint="cs"/>
          <w:rtl/>
        </w:rPr>
        <w:t xml:space="preserve"> </w:t>
      </w:r>
      <w:r w:rsidR="009C32A0" w:rsidRPr="005675B2">
        <w:rPr>
          <w:rFonts w:hint="cs"/>
          <w:rtl/>
          <w:lang w:bidi="ar-KW"/>
        </w:rPr>
        <w:t xml:space="preserve">ومما يدل على </w:t>
      </w:r>
      <w:r w:rsidR="009C32A0" w:rsidRPr="005675B2">
        <w:rPr>
          <w:rFonts w:hint="cs"/>
          <w:rtl/>
        </w:rPr>
        <w:t>نفي العجز والتعب</w:t>
      </w:r>
      <w:r>
        <w:rPr>
          <w:rFonts w:hint="cs"/>
          <w:rtl/>
        </w:rPr>
        <w:t>،</w:t>
      </w:r>
      <w:r w:rsidR="009C32A0" w:rsidRPr="005675B2">
        <w:rPr>
          <w:rFonts w:hint="cs"/>
          <w:rtl/>
        </w:rPr>
        <w:t xml:space="preserve"> قوله تعالى</w:t>
      </w:r>
      <w:r>
        <w:rPr>
          <w:rFonts w:hint="cs"/>
          <w:rtl/>
        </w:rPr>
        <w:t>:</w:t>
      </w:r>
      <w:r w:rsidR="009C32A0" w:rsidRPr="005675B2">
        <w:rPr>
          <w:rFonts w:hint="cs"/>
          <w:rtl/>
        </w:rPr>
        <w:t xml:space="preserve"> </w:t>
      </w:r>
      <w:r>
        <w:rPr>
          <w:rFonts w:hint="cs"/>
          <w:rtl/>
        </w:rPr>
        <w:t>{</w:t>
      </w:r>
      <w:r w:rsidR="009C32A0" w:rsidRPr="005675B2">
        <w:rPr>
          <w:rFonts w:hint="cs"/>
          <w:rtl/>
        </w:rPr>
        <w:t>وَلَقَدْ خَلَقْنَا السَّمَوَاتِ وَالْأَرْضَ وَمَا بَيْنَهُمَا فِي سِتَّةِ أَيَّامٍ وَمَا مَسَّنَا مِنْ لُغُوبٍ</w:t>
      </w:r>
      <w:r>
        <w:rPr>
          <w:rFonts w:hint="cs"/>
          <w:rtl/>
        </w:rPr>
        <w:t>}</w:t>
      </w:r>
      <w:r w:rsidR="009C32A0" w:rsidRPr="005675B2">
        <w:rPr>
          <w:rFonts w:hint="cs"/>
          <w:rtl/>
        </w:rPr>
        <w:t xml:space="preserve"> </w:t>
      </w:r>
      <w:r>
        <w:rPr>
          <w:rFonts w:hint="cs"/>
          <w:rtl/>
        </w:rPr>
        <w:t>[</w:t>
      </w:r>
      <w:r w:rsidR="009C32A0" w:rsidRPr="005675B2">
        <w:rPr>
          <w:rFonts w:hint="cs"/>
          <w:rtl/>
        </w:rPr>
        <w:t>ق</w:t>
      </w:r>
      <w:r>
        <w:rPr>
          <w:rFonts w:hint="cs"/>
          <w:rtl/>
        </w:rPr>
        <w:t>:</w:t>
      </w:r>
      <w:r w:rsidR="009C32A0" w:rsidRPr="005675B2">
        <w:rPr>
          <w:rFonts w:hint="cs"/>
          <w:rtl/>
        </w:rPr>
        <w:t xml:space="preserve"> 38</w:t>
      </w:r>
      <w:r>
        <w:rPr>
          <w:rFonts w:hint="cs"/>
          <w:rtl/>
        </w:rPr>
        <w:t xml:space="preserve">]، </w:t>
      </w:r>
      <w:r w:rsidR="009C32A0" w:rsidRPr="005675B2">
        <w:rPr>
          <w:rFonts w:hint="cs"/>
          <w:rtl/>
          <w:lang w:bidi="ar-KW"/>
        </w:rPr>
        <w:t xml:space="preserve">ومما يدل على </w:t>
      </w:r>
      <w:r w:rsidR="009C32A0" w:rsidRPr="005675B2">
        <w:rPr>
          <w:rFonts w:hint="cs"/>
          <w:rtl/>
        </w:rPr>
        <w:t>نفي النسيان قوله تعالى</w:t>
      </w:r>
      <w:r>
        <w:rPr>
          <w:rFonts w:hint="cs"/>
          <w:rtl/>
        </w:rPr>
        <w:t>:</w:t>
      </w:r>
      <w:r w:rsidR="009C32A0" w:rsidRPr="005675B2">
        <w:rPr>
          <w:rFonts w:hint="cs"/>
          <w:rtl/>
        </w:rPr>
        <w:t xml:space="preserve"> </w:t>
      </w:r>
      <w:r>
        <w:rPr>
          <w:rFonts w:hint="cs"/>
          <w:rtl/>
        </w:rPr>
        <w:t>{</w:t>
      </w:r>
      <w:r w:rsidR="009C32A0" w:rsidRPr="005675B2">
        <w:rPr>
          <w:rFonts w:hint="cs"/>
          <w:rtl/>
        </w:rPr>
        <w:t>وَمَا كَانَ رَبُّكَ نَسِيًّا</w:t>
      </w:r>
      <w:r>
        <w:rPr>
          <w:rFonts w:hint="cs"/>
          <w:rtl/>
        </w:rPr>
        <w:t>}</w:t>
      </w:r>
      <w:r w:rsidR="009C32A0" w:rsidRPr="005675B2">
        <w:rPr>
          <w:rFonts w:hint="cs"/>
          <w:rtl/>
        </w:rPr>
        <w:t xml:space="preserve"> </w:t>
      </w:r>
      <w:r>
        <w:rPr>
          <w:rFonts w:hint="cs"/>
          <w:rtl/>
        </w:rPr>
        <w:t>[</w:t>
      </w:r>
      <w:r w:rsidR="009C32A0" w:rsidRPr="005675B2">
        <w:rPr>
          <w:rFonts w:hint="cs"/>
          <w:rtl/>
        </w:rPr>
        <w:t>مريم</w:t>
      </w:r>
      <w:r>
        <w:rPr>
          <w:rFonts w:hint="cs"/>
          <w:rtl/>
        </w:rPr>
        <w:t>:</w:t>
      </w:r>
      <w:r w:rsidR="009C32A0" w:rsidRPr="005675B2">
        <w:rPr>
          <w:rFonts w:hint="cs"/>
          <w:rtl/>
        </w:rPr>
        <w:t xml:space="preserve"> 64</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rtl/>
        </w:rPr>
        <w:t>قَالَ عِلْمُهَا عِنْدَ رَبِّي فِي كِتَابٍ لَا يَضِلُّ رَبِّي وَلَا يَنْسَى</w:t>
      </w:r>
      <w:r>
        <w:rPr>
          <w:rFonts w:hint="cs"/>
          <w:rtl/>
        </w:rPr>
        <w:t>}</w:t>
      </w:r>
      <w:r w:rsidR="009C32A0" w:rsidRPr="005675B2">
        <w:rPr>
          <w:rFonts w:hint="cs"/>
          <w:rtl/>
        </w:rPr>
        <w:t xml:space="preserve"> </w:t>
      </w:r>
      <w:r>
        <w:rPr>
          <w:rFonts w:hint="cs"/>
          <w:rtl/>
        </w:rPr>
        <w:t>[</w:t>
      </w:r>
      <w:r w:rsidR="009C32A0" w:rsidRPr="005675B2">
        <w:rPr>
          <w:rFonts w:hint="cs"/>
          <w:rtl/>
        </w:rPr>
        <w:t>طه</w:t>
      </w:r>
      <w:r>
        <w:rPr>
          <w:rFonts w:hint="cs"/>
          <w:rtl/>
        </w:rPr>
        <w:t>:</w:t>
      </w:r>
      <w:r w:rsidR="009C32A0" w:rsidRPr="005675B2">
        <w:rPr>
          <w:rFonts w:hint="cs"/>
          <w:rtl/>
        </w:rPr>
        <w:t xml:space="preserve"> 52</w:t>
      </w:r>
      <w:r>
        <w:rPr>
          <w:rFonts w:hint="cs"/>
          <w:rtl/>
        </w:rPr>
        <w:t>]،</w:t>
      </w:r>
      <w:r w:rsidR="009C32A0" w:rsidRPr="005675B2">
        <w:rPr>
          <w:rFonts w:hint="cs"/>
          <w:rtl/>
        </w:rPr>
        <w:t xml:space="preserve"> ومما يدل على نفي الظلم</w:t>
      </w:r>
      <w:r>
        <w:rPr>
          <w:rFonts w:hint="cs"/>
          <w:rtl/>
        </w:rPr>
        <w:t>،</w:t>
      </w:r>
      <w:r w:rsidR="009C32A0" w:rsidRPr="005675B2">
        <w:rPr>
          <w:rFonts w:hint="cs"/>
          <w:rtl/>
        </w:rPr>
        <w:t xml:space="preserve"> قوله تعالى</w:t>
      </w:r>
      <w:r>
        <w:rPr>
          <w:rFonts w:hint="cs"/>
          <w:rtl/>
        </w:rPr>
        <w:t>:</w:t>
      </w:r>
      <w:r w:rsidR="009C32A0" w:rsidRPr="005675B2">
        <w:rPr>
          <w:rFonts w:hint="cs"/>
          <w:rtl/>
        </w:rPr>
        <w:t xml:space="preserve"> </w:t>
      </w:r>
      <w:r>
        <w:rPr>
          <w:rFonts w:hint="cs"/>
          <w:rtl/>
        </w:rPr>
        <w:t>{</w:t>
      </w:r>
      <w:r w:rsidR="009C32A0" w:rsidRPr="005675B2">
        <w:rPr>
          <w:rFonts w:hint="cs"/>
          <w:rtl/>
        </w:rPr>
        <w:t>وَلَا يَظْلِمُ رَبُّكَ أَحَدًا</w:t>
      </w:r>
      <w:r>
        <w:rPr>
          <w:rFonts w:hint="cs"/>
          <w:rtl/>
        </w:rPr>
        <w:t>}</w:t>
      </w:r>
      <w:r w:rsidR="009C32A0" w:rsidRPr="005675B2">
        <w:rPr>
          <w:rFonts w:hint="cs"/>
          <w:rtl/>
        </w:rPr>
        <w:t xml:space="preserve"> </w:t>
      </w:r>
      <w:r>
        <w:rPr>
          <w:rFonts w:hint="cs"/>
          <w:rtl/>
        </w:rPr>
        <w:t>[</w:t>
      </w:r>
      <w:r w:rsidR="009C32A0" w:rsidRPr="005675B2">
        <w:rPr>
          <w:rFonts w:hint="cs"/>
          <w:rtl/>
        </w:rPr>
        <w:t>الكهف</w:t>
      </w:r>
      <w:r>
        <w:rPr>
          <w:rFonts w:hint="cs"/>
          <w:rtl/>
        </w:rPr>
        <w:t>:</w:t>
      </w:r>
      <w:r w:rsidR="009C32A0" w:rsidRPr="005675B2">
        <w:rPr>
          <w:rFonts w:hint="cs"/>
          <w:rtl/>
        </w:rPr>
        <w:t xml:space="preserve"> 49</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Fonts w:hint="cs"/>
          <w:rtl/>
        </w:rPr>
        <w:t>وَمَا رَبُّكُ بِظَلَّامٍ لِلْعَبِيدِ</w:t>
      </w:r>
      <w:r>
        <w:rPr>
          <w:rFonts w:hint="cs"/>
          <w:rtl/>
        </w:rPr>
        <w:t>}</w:t>
      </w:r>
      <w:r w:rsidR="009C32A0" w:rsidRPr="005675B2">
        <w:rPr>
          <w:rFonts w:hint="cs"/>
          <w:rtl/>
        </w:rPr>
        <w:t xml:space="preserve"> </w:t>
      </w:r>
      <w:r>
        <w:rPr>
          <w:rFonts w:hint="cs"/>
          <w:rtl/>
        </w:rPr>
        <w:t>[</w:t>
      </w:r>
      <w:r w:rsidR="009C32A0" w:rsidRPr="005675B2">
        <w:rPr>
          <w:rFonts w:hint="cs"/>
          <w:rtl/>
        </w:rPr>
        <w:t>فصلت</w:t>
      </w:r>
      <w:r>
        <w:rPr>
          <w:rFonts w:hint="cs"/>
          <w:rtl/>
        </w:rPr>
        <w:t>:</w:t>
      </w:r>
      <w:r w:rsidR="009C32A0" w:rsidRPr="005675B2">
        <w:rPr>
          <w:rFonts w:hint="cs"/>
          <w:rtl/>
        </w:rPr>
        <w:t xml:space="preserve"> 46</w:t>
      </w:r>
      <w:r>
        <w:rPr>
          <w:rFonts w:hint="cs"/>
          <w:rtl/>
        </w:rPr>
        <w:t>]،</w:t>
      </w:r>
      <w:r w:rsidR="009C32A0" w:rsidRPr="005675B2">
        <w:rPr>
          <w:rFonts w:hint="cs"/>
          <w:rtl/>
        </w:rPr>
        <w:t xml:space="preserve"> والقاعدة أنّ كل كمال نطق به الكتاب والسنّة فالله متصف به وكل نقص يضاد هذا الكمال فالله تعالى منزه عنه</w:t>
      </w:r>
      <w:r>
        <w:rPr>
          <w:rFonts w:hint="cs"/>
          <w:rtl/>
        </w:rPr>
        <w:t>،</w:t>
      </w:r>
      <w:r w:rsidR="009C32A0" w:rsidRPr="005675B2">
        <w:rPr>
          <w:rFonts w:hint="cs"/>
          <w:rtl/>
        </w:rPr>
        <w:t xml:space="preserve"> وكل جلال وإكرام نطق به الكتاب والسنّة فالله تعالى متصف به</w:t>
      </w:r>
      <w:r>
        <w:rPr>
          <w:rFonts w:hint="cs"/>
          <w:rtl/>
        </w:rPr>
        <w:t>،</w:t>
      </w:r>
      <w:r w:rsidR="009C32A0" w:rsidRPr="005675B2">
        <w:rPr>
          <w:rFonts w:hint="cs"/>
          <w:rtl/>
        </w:rPr>
        <w:t xml:space="preserve"> ومنزه عن كل عيب يضاده</w:t>
      </w:r>
      <w:r>
        <w:rPr>
          <w:rFonts w:hint="cs"/>
          <w:rtl/>
        </w:rPr>
        <w:t>،</w:t>
      </w:r>
    </w:p>
    <w:p w14:paraId="56B2BC68" w14:textId="77777777" w:rsidR="009C32A0" w:rsidRPr="005675B2" w:rsidRDefault="009C32A0" w:rsidP="000636C2">
      <w:pPr>
        <w:jc w:val="center"/>
        <w:rPr>
          <w:b/>
          <w:rtl/>
        </w:rPr>
      </w:pPr>
      <w:r>
        <w:rPr>
          <w:rFonts w:hint="cs"/>
          <w:rtl/>
        </w:rPr>
        <w:t>***</w:t>
      </w:r>
      <w:r w:rsidRPr="005675B2">
        <w:rPr>
          <w:rFonts w:hint="cs"/>
          <w:rtl/>
        </w:rPr>
        <w:t xml:space="preserve"> </w:t>
      </w:r>
    </w:p>
    <w:p w14:paraId="248081F6" w14:textId="642E9397" w:rsidR="009C32A0" w:rsidRPr="00C07A88" w:rsidRDefault="009C32A0" w:rsidP="00C07A88">
      <w:pPr>
        <w:pStyle w:val="2"/>
        <w:bidi/>
        <w:jc w:val="center"/>
        <w:rPr>
          <w:u w:val="none"/>
          <w:rtl/>
          <w:lang w:bidi="ar-KW"/>
        </w:rPr>
      </w:pPr>
      <w:r w:rsidRPr="00C07A88">
        <w:rPr>
          <w:rFonts w:hint="cs"/>
          <w:u w:val="none"/>
          <w:rtl/>
          <w:lang w:bidi="ar-KW"/>
        </w:rPr>
        <w:t>القاعدة الثانية عشرة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الوالد والولد والصاحبة</w:t>
      </w:r>
    </w:p>
    <w:p w14:paraId="23CF8E2C" w14:textId="77777777" w:rsidR="009C32A0" w:rsidRPr="005675B2" w:rsidRDefault="009C32A0" w:rsidP="000636C2">
      <w:pPr>
        <w:rPr>
          <w:b/>
          <w:rtl/>
        </w:rPr>
      </w:pPr>
    </w:p>
    <w:p w14:paraId="6C8DE1C2" w14:textId="6A632D2F" w:rsidR="009C32A0" w:rsidRPr="005675B2" w:rsidRDefault="000636C2" w:rsidP="000636C2">
      <w:pPr>
        <w:rPr>
          <w:b/>
          <w:rtl/>
        </w:rPr>
      </w:pPr>
      <w:r>
        <w:rPr>
          <w:rFonts w:hint="cs"/>
          <w:rtl/>
        </w:rPr>
        <w:t>(</w:t>
      </w:r>
      <w:r w:rsidR="009C32A0" w:rsidRPr="005675B2">
        <w:rPr>
          <w:rFonts w:hint="cs"/>
          <w:rtl/>
        </w:rPr>
        <w:t>أ</w:t>
      </w:r>
      <w:r>
        <w:rPr>
          <w:rFonts w:hint="cs"/>
          <w:rtl/>
        </w:rPr>
        <w:t>)</w:t>
      </w:r>
      <w:r w:rsidR="009C32A0" w:rsidRPr="005675B2">
        <w:rPr>
          <w:rFonts w:hint="cs"/>
          <w:rtl/>
        </w:rPr>
        <w:t xml:space="preserve"> تقدس سبحانه عن ملامسة النساء وعن اتخاذ الصاحبة والابناء لم يلد ولم يولد ولم يكن له كفوا أحد</w:t>
      </w:r>
      <w:r>
        <w:rPr>
          <w:rFonts w:hint="cs"/>
          <w:rtl/>
        </w:rPr>
        <w:t>،</w:t>
      </w:r>
      <w:r w:rsidR="009C32A0" w:rsidRPr="005675B2">
        <w:rPr>
          <w:rFonts w:hint="cs"/>
          <w:rtl/>
        </w:rPr>
        <w:t xml:space="preserve"> قال تعالى</w:t>
      </w:r>
      <w:r>
        <w:rPr>
          <w:rFonts w:hint="cs"/>
          <w:rtl/>
        </w:rPr>
        <w:t>:</w:t>
      </w:r>
      <w:r w:rsidR="009C32A0" w:rsidRPr="005675B2">
        <w:rPr>
          <w:rFonts w:hint="cs"/>
          <w:rtl/>
        </w:rPr>
        <w:t xml:space="preserve"> </w:t>
      </w:r>
      <w:r>
        <w:rPr>
          <w:rFonts w:hint="cs"/>
          <w:rtl/>
        </w:rPr>
        <w:t>{</w:t>
      </w:r>
      <w:r w:rsidR="009C32A0" w:rsidRPr="005675B2">
        <w:rPr>
          <w:rFonts w:hint="cs"/>
          <w:rtl/>
        </w:rPr>
        <w:t>قُلْ هُوَ اللَّهُ أَحَدٌ * اللَّهُ الصَّمَدُ * لَمْ يَلِدْ وَلَمْ يُولَدْ * وَلَمْ يَكُنْ لَهُ كُفُوًا أَحَدٌ</w:t>
      </w:r>
      <w:r>
        <w:rPr>
          <w:rFonts w:hint="cs"/>
          <w:rtl/>
        </w:rPr>
        <w:t>}</w:t>
      </w:r>
      <w:r w:rsidR="009C32A0" w:rsidRPr="005675B2">
        <w:rPr>
          <w:rFonts w:hint="cs"/>
          <w:rtl/>
        </w:rPr>
        <w:t xml:space="preserve"> </w:t>
      </w:r>
      <w:r>
        <w:rPr>
          <w:rFonts w:hint="cs"/>
          <w:rtl/>
        </w:rPr>
        <w:t>[</w:t>
      </w:r>
      <w:r w:rsidR="009C32A0" w:rsidRPr="005675B2">
        <w:rPr>
          <w:rFonts w:hint="cs"/>
          <w:rtl/>
        </w:rPr>
        <w:t>سورة الإخلاص</w:t>
      </w:r>
      <w:r>
        <w:rPr>
          <w:rFonts w:hint="cs"/>
          <w:rtl/>
        </w:rPr>
        <w:t>]،</w:t>
      </w:r>
      <w:r w:rsidR="009C32A0" w:rsidRPr="005675B2">
        <w:rPr>
          <w:rFonts w:hint="cs"/>
          <w:rtl/>
        </w:rPr>
        <w:t xml:space="preserve"> وقال تعالى</w:t>
      </w:r>
      <w:r>
        <w:rPr>
          <w:rFonts w:hint="cs"/>
          <w:rtl/>
        </w:rPr>
        <w:t>:</w:t>
      </w:r>
      <w:r w:rsidR="009C32A0" w:rsidRPr="005675B2">
        <w:rPr>
          <w:rFonts w:hint="cs"/>
          <w:rtl/>
        </w:rPr>
        <w:t xml:space="preserve"> </w:t>
      </w:r>
      <w:r>
        <w:rPr>
          <w:rFonts w:hint="cs"/>
          <w:rtl/>
        </w:rPr>
        <w:t>{</w:t>
      </w:r>
      <w:r w:rsidR="009C32A0" w:rsidRPr="005675B2">
        <w:rPr>
          <w:rFonts w:hint="cs"/>
          <w:rtl/>
        </w:rPr>
        <w:t>بَدِيعُ السَّمَوَاتِ وَالْأَرْضِ أَنَّى يَكُونُ لَهُ وَلَدٌ وَلَمْ تَكُنْ لَهُ صَاحِبَةٌ وَخَلَقَ كُلَّ شَيْءٍ وَهُوَ بِكُلِّ شَيْءٍ عَلِيمٌ</w:t>
      </w:r>
      <w:r>
        <w:rPr>
          <w:rFonts w:hint="cs"/>
          <w:rtl/>
        </w:rPr>
        <w:t>}</w:t>
      </w:r>
      <w:r w:rsidR="009C32A0" w:rsidRPr="005675B2">
        <w:rPr>
          <w:rFonts w:hint="cs"/>
          <w:rtl/>
        </w:rPr>
        <w:t xml:space="preserve"> </w:t>
      </w:r>
      <w:r>
        <w:rPr>
          <w:rFonts w:hint="cs"/>
          <w:rtl/>
        </w:rPr>
        <w:t>[</w:t>
      </w:r>
      <w:r w:rsidR="009C32A0" w:rsidRPr="005675B2">
        <w:rPr>
          <w:rFonts w:hint="cs"/>
          <w:rtl/>
        </w:rPr>
        <w:t>الأنعام</w:t>
      </w:r>
      <w:r>
        <w:rPr>
          <w:rFonts w:hint="cs"/>
          <w:rtl/>
        </w:rPr>
        <w:t>:</w:t>
      </w:r>
      <w:r w:rsidR="009C32A0" w:rsidRPr="005675B2">
        <w:rPr>
          <w:rFonts w:hint="cs"/>
          <w:rtl/>
        </w:rPr>
        <w:t xml:space="preserve"> 101</w:t>
      </w:r>
      <w:r>
        <w:rPr>
          <w:rFonts w:hint="cs"/>
          <w:rtl/>
        </w:rPr>
        <w:t>]،</w:t>
      </w:r>
      <w:r w:rsidR="009C32A0" w:rsidRPr="005675B2">
        <w:rPr>
          <w:rFonts w:hint="cs"/>
          <w:rtl/>
        </w:rPr>
        <w:t xml:space="preserve"> </w:t>
      </w:r>
      <w:r>
        <w:rPr>
          <w:rFonts w:hint="cs"/>
          <w:rtl/>
        </w:rPr>
        <w:t>(</w:t>
      </w:r>
      <w:r w:rsidR="009C32A0" w:rsidRPr="005675B2">
        <w:rPr>
          <w:rFonts w:hint="cs"/>
          <w:rtl/>
        </w:rPr>
        <w:t>ب</w:t>
      </w:r>
      <w:r>
        <w:rPr>
          <w:rFonts w:hint="cs"/>
          <w:rtl/>
        </w:rPr>
        <w:t>)</w:t>
      </w:r>
      <w:r w:rsidR="009C32A0" w:rsidRPr="005675B2">
        <w:rPr>
          <w:rFonts w:hint="cs"/>
          <w:rtl/>
        </w:rPr>
        <w:t xml:space="preserve"> من الأشياء التي يستحيل نسبتها إلى الله تعالى </w:t>
      </w:r>
      <w:r>
        <w:rPr>
          <w:rFonts w:hint="cs"/>
          <w:rtl/>
        </w:rPr>
        <w:t>(</w:t>
      </w:r>
      <w:r w:rsidR="009C32A0" w:rsidRPr="005675B2">
        <w:rPr>
          <w:rFonts w:hint="cs"/>
          <w:rtl/>
        </w:rPr>
        <w:t>الوالد والصاحبة والولد</w:t>
      </w:r>
      <w:r>
        <w:rPr>
          <w:rFonts w:hint="cs"/>
          <w:rtl/>
        </w:rPr>
        <w:t>)</w:t>
      </w:r>
      <w:r w:rsidR="009C32A0" w:rsidRPr="005675B2">
        <w:rPr>
          <w:rFonts w:hint="cs"/>
          <w:rtl/>
        </w:rPr>
        <w:t xml:space="preserve"> لأنّه تعالى خالق لكل موجود</w:t>
      </w:r>
      <w:r>
        <w:rPr>
          <w:rFonts w:hint="cs"/>
          <w:rtl/>
        </w:rPr>
        <w:t>،</w:t>
      </w:r>
      <w:r w:rsidR="009C32A0" w:rsidRPr="005675B2">
        <w:rPr>
          <w:rFonts w:hint="cs"/>
          <w:rtl/>
        </w:rPr>
        <w:t xml:space="preserve"> هو القديم الأزلي ومن عداه محدث مخلوق</w:t>
      </w:r>
      <w:r>
        <w:rPr>
          <w:rFonts w:hint="cs"/>
          <w:rtl/>
        </w:rPr>
        <w:t>،</w:t>
      </w:r>
      <w:r w:rsidR="009C32A0" w:rsidRPr="005675B2">
        <w:rPr>
          <w:rFonts w:hint="cs"/>
          <w:rtl/>
        </w:rPr>
        <w:t xml:space="preserve"> </w:t>
      </w:r>
      <w:r w:rsidR="009C32A0" w:rsidRPr="005675B2">
        <w:rPr>
          <w:rFonts w:hint="cs"/>
          <w:rtl/>
        </w:rPr>
        <w:lastRenderedPageBreak/>
        <w:t>أحد صمد</w:t>
      </w:r>
      <w:r>
        <w:rPr>
          <w:rFonts w:hint="cs"/>
          <w:rtl/>
        </w:rPr>
        <w:t>،</w:t>
      </w:r>
      <w:r w:rsidR="009C32A0" w:rsidRPr="005675B2">
        <w:rPr>
          <w:rFonts w:hint="cs"/>
          <w:rtl/>
        </w:rPr>
        <w:t xml:space="preserve"> لا ينفصل من شيء ولم ينفصل منه شيء</w:t>
      </w:r>
      <w:r>
        <w:rPr>
          <w:rFonts w:hint="cs"/>
          <w:rtl/>
        </w:rPr>
        <w:t>،</w:t>
      </w:r>
      <w:r w:rsidR="009C32A0" w:rsidRPr="005675B2">
        <w:rPr>
          <w:rFonts w:hint="cs"/>
          <w:rtl/>
        </w:rPr>
        <w:t xml:space="preserve"> تنزه عن أن يكون منه جزء مخلوق {لَمْ يَلِدْ</w:t>
      </w:r>
      <w:r>
        <w:rPr>
          <w:rFonts w:hint="cs"/>
          <w:rtl/>
        </w:rPr>
        <w:t>}،</w:t>
      </w:r>
      <w:r w:rsidR="009C32A0" w:rsidRPr="005675B2">
        <w:rPr>
          <w:rFonts w:hint="cs"/>
          <w:rtl/>
        </w:rPr>
        <w:t xml:space="preserve"> وتنزه عن أن يكون هو محدث مخلوق </w:t>
      </w:r>
      <w:r>
        <w:rPr>
          <w:rFonts w:hint="cs"/>
          <w:rtl/>
        </w:rPr>
        <w:t>{</w:t>
      </w:r>
      <w:r w:rsidR="009C32A0" w:rsidRPr="005675B2">
        <w:rPr>
          <w:rFonts w:hint="cs"/>
          <w:rtl/>
        </w:rPr>
        <w:t>وَلَمْ يُولَدْ</w:t>
      </w:r>
      <w:r>
        <w:rPr>
          <w:rFonts w:hint="cs"/>
          <w:rtl/>
        </w:rPr>
        <w:t>}،</w:t>
      </w:r>
      <w:r w:rsidR="009C32A0" w:rsidRPr="005675B2">
        <w:rPr>
          <w:rFonts w:hint="cs"/>
          <w:rtl/>
        </w:rPr>
        <w:t xml:space="preserve"> بل هو الأول فليس قبله شيء وهو الآخر فليس بعده شيء</w:t>
      </w:r>
      <w:r>
        <w:rPr>
          <w:rFonts w:hint="cs"/>
          <w:rtl/>
        </w:rPr>
        <w:t>،</w:t>
      </w:r>
      <w:r w:rsidR="009C32A0" w:rsidRPr="005675B2">
        <w:rPr>
          <w:rFonts w:hint="cs"/>
          <w:rtl/>
        </w:rPr>
        <w:t xml:space="preserve"> الخالق لكل شيء ومن عداه مخلوق</w:t>
      </w:r>
      <w:r>
        <w:rPr>
          <w:rFonts w:hint="cs"/>
          <w:rtl/>
        </w:rPr>
        <w:t xml:space="preserve">، </w:t>
      </w:r>
      <w:r w:rsidR="009C32A0" w:rsidRPr="005675B2">
        <w:rPr>
          <w:rFonts w:hint="cs"/>
          <w:rtl/>
        </w:rPr>
        <w:t>أحد لا نظير له</w:t>
      </w:r>
      <w:r>
        <w:rPr>
          <w:rFonts w:hint="cs"/>
          <w:rtl/>
        </w:rPr>
        <w:t>،</w:t>
      </w:r>
      <w:r w:rsidR="009C32A0" w:rsidRPr="005675B2">
        <w:rPr>
          <w:rFonts w:hint="cs"/>
          <w:rtl/>
        </w:rPr>
        <w:t xml:space="preserve"> صمد لا ينفصل من شيء ولم ينفصل منه شيء</w:t>
      </w:r>
      <w:r>
        <w:rPr>
          <w:rFonts w:hint="cs"/>
          <w:rtl/>
        </w:rPr>
        <w:t>،</w:t>
      </w:r>
      <w:r w:rsidR="009C32A0" w:rsidRPr="005675B2">
        <w:rPr>
          <w:rFonts w:hint="cs"/>
          <w:rtl/>
        </w:rPr>
        <w:t xml:space="preserve"> </w:t>
      </w:r>
      <w:r>
        <w:rPr>
          <w:rFonts w:hint="cs"/>
          <w:rtl/>
        </w:rPr>
        <w:t>(</w:t>
      </w:r>
      <w:r w:rsidR="009C32A0" w:rsidRPr="005675B2">
        <w:rPr>
          <w:rFonts w:hint="cs"/>
          <w:rtl/>
        </w:rPr>
        <w:t>ت</w:t>
      </w:r>
      <w:r>
        <w:rPr>
          <w:rFonts w:hint="cs"/>
          <w:rtl/>
        </w:rPr>
        <w:t>)</w:t>
      </w:r>
      <w:r w:rsidR="009C32A0" w:rsidRPr="005675B2">
        <w:rPr>
          <w:rFonts w:hint="cs"/>
          <w:rtl/>
        </w:rPr>
        <w:t xml:space="preserve"> النصارى من أجهل الناس بما يجب وما يجوز وما يستحيل نسبته إلى الله تعالى</w:t>
      </w:r>
      <w:r>
        <w:rPr>
          <w:rFonts w:hint="cs"/>
          <w:rtl/>
        </w:rPr>
        <w:t>،</w:t>
      </w:r>
      <w:r w:rsidR="009C32A0" w:rsidRPr="005675B2">
        <w:rPr>
          <w:rFonts w:hint="cs"/>
          <w:rtl/>
        </w:rPr>
        <w:t xml:space="preserve"> فزعموا له الولد سبحانه</w:t>
      </w:r>
      <w:r>
        <w:rPr>
          <w:rFonts w:hint="cs"/>
          <w:rtl/>
        </w:rPr>
        <w:t>،</w:t>
      </w:r>
      <w:r w:rsidR="009C32A0" w:rsidRPr="005675B2">
        <w:rPr>
          <w:rFonts w:hint="cs"/>
          <w:rtl/>
        </w:rPr>
        <w:t xml:space="preserve"> وهذا يستحيل نسبته إلى الله الاحد الصمد</w:t>
      </w:r>
      <w:r>
        <w:rPr>
          <w:rFonts w:hint="cs"/>
          <w:rtl/>
        </w:rPr>
        <w:t>،</w:t>
      </w:r>
      <w:r w:rsidR="009C32A0" w:rsidRPr="005675B2">
        <w:rPr>
          <w:rFonts w:hint="cs"/>
          <w:rtl/>
        </w:rPr>
        <w:t xml:space="preserve"> لأن الولد جزء من أبيه</w:t>
      </w:r>
      <w:r>
        <w:rPr>
          <w:rFonts w:hint="cs"/>
          <w:rtl/>
        </w:rPr>
        <w:t>،</w:t>
      </w:r>
      <w:r w:rsidR="009C32A0" w:rsidRPr="005675B2">
        <w:rPr>
          <w:rFonts w:hint="cs"/>
          <w:rtl/>
        </w:rPr>
        <w:t xml:space="preserve"> فالوالد لا يخلق ولده</w:t>
      </w:r>
      <w:r>
        <w:rPr>
          <w:rFonts w:hint="cs"/>
          <w:rtl/>
        </w:rPr>
        <w:t>،</w:t>
      </w:r>
      <w:r w:rsidR="009C32A0" w:rsidRPr="005675B2">
        <w:rPr>
          <w:rFonts w:hint="cs"/>
          <w:rtl/>
        </w:rPr>
        <w:t xml:space="preserve"> وإنما هو جزء منه</w:t>
      </w:r>
      <w:r>
        <w:rPr>
          <w:rFonts w:hint="cs"/>
          <w:rtl/>
        </w:rPr>
        <w:t>،</w:t>
      </w:r>
      <w:r w:rsidR="009C32A0" w:rsidRPr="005675B2">
        <w:rPr>
          <w:rFonts w:hint="cs"/>
          <w:rtl/>
        </w:rPr>
        <w:t xml:space="preserve"> وند له</w:t>
      </w:r>
      <w:r>
        <w:rPr>
          <w:rFonts w:hint="cs"/>
          <w:rtl/>
        </w:rPr>
        <w:t>،</w:t>
      </w:r>
      <w:r w:rsidR="009C32A0" w:rsidRPr="005675B2">
        <w:rPr>
          <w:rFonts w:hint="cs"/>
          <w:rtl/>
        </w:rPr>
        <w:t xml:space="preserve"> ومثيل لذاته</w:t>
      </w:r>
      <w:r>
        <w:rPr>
          <w:rFonts w:hint="cs"/>
          <w:rtl/>
        </w:rPr>
        <w:t>،</w:t>
      </w:r>
      <w:r w:rsidR="009C32A0" w:rsidRPr="005675B2">
        <w:rPr>
          <w:rFonts w:hint="cs"/>
          <w:rtl/>
        </w:rPr>
        <w:t xml:space="preserve"> وشبيه بذاته</w:t>
      </w:r>
      <w:r>
        <w:rPr>
          <w:rFonts w:hint="cs"/>
          <w:rtl/>
        </w:rPr>
        <w:t>،</w:t>
      </w:r>
      <w:r w:rsidR="009C32A0" w:rsidRPr="005675B2">
        <w:rPr>
          <w:rFonts w:hint="cs"/>
          <w:rtl/>
        </w:rPr>
        <w:t xml:space="preserve"> والله تعالى ليس كمثله شيء</w:t>
      </w:r>
      <w:r>
        <w:rPr>
          <w:rFonts w:hint="cs"/>
          <w:rtl/>
        </w:rPr>
        <w:t>،</w:t>
      </w:r>
      <w:r w:rsidR="009C32A0" w:rsidRPr="005675B2">
        <w:rPr>
          <w:rFonts w:hint="cs"/>
          <w:rtl/>
        </w:rPr>
        <w:t xml:space="preserve"> أحد صمد منزه عن الجزء والكل</w:t>
      </w:r>
      <w:r>
        <w:rPr>
          <w:rFonts w:hint="cs"/>
          <w:rtl/>
        </w:rPr>
        <w:t>،</w:t>
      </w:r>
      <w:r w:rsidR="009C32A0" w:rsidRPr="005675B2">
        <w:rPr>
          <w:rFonts w:hint="cs"/>
          <w:rtl/>
        </w:rPr>
        <w:t xml:space="preserve"> لأنه لا يُعرف بالحس</w:t>
      </w:r>
      <w:r>
        <w:rPr>
          <w:rFonts w:hint="cs"/>
          <w:rtl/>
        </w:rPr>
        <w:t>،</w:t>
      </w:r>
      <w:r w:rsidR="009C32A0" w:rsidRPr="005675B2">
        <w:rPr>
          <w:rFonts w:hint="cs"/>
          <w:rtl/>
        </w:rPr>
        <w:t xml:space="preserve"> فلا يكون منه الولد</w:t>
      </w:r>
      <w:r>
        <w:rPr>
          <w:rFonts w:hint="cs"/>
          <w:rtl/>
        </w:rPr>
        <w:t>،</w:t>
      </w:r>
      <w:r w:rsidR="009C32A0" w:rsidRPr="005675B2">
        <w:rPr>
          <w:rFonts w:hint="cs"/>
          <w:rtl/>
        </w:rPr>
        <w:t xml:space="preserve"> ولو كان منه الولد - سبحانه - لكان الولد قديماً</w:t>
      </w:r>
      <w:r>
        <w:rPr>
          <w:rFonts w:hint="cs"/>
          <w:rtl/>
        </w:rPr>
        <w:t>،</w:t>
      </w:r>
      <w:r w:rsidR="009C32A0" w:rsidRPr="005675B2">
        <w:rPr>
          <w:rFonts w:hint="cs"/>
          <w:rtl/>
        </w:rPr>
        <w:t xml:space="preserve"> مثل أبيه</w:t>
      </w:r>
      <w:r>
        <w:rPr>
          <w:rFonts w:hint="cs"/>
          <w:rtl/>
        </w:rPr>
        <w:t>،</w:t>
      </w:r>
      <w:r w:rsidR="009C32A0" w:rsidRPr="005675B2">
        <w:rPr>
          <w:rFonts w:hint="cs"/>
          <w:rtl/>
        </w:rPr>
        <w:t xml:space="preserve"> وكيف يكون قديماً وهو حادث</w:t>
      </w:r>
      <w:r>
        <w:rPr>
          <w:rFonts w:hint="cs"/>
          <w:rtl/>
        </w:rPr>
        <w:t>،</w:t>
      </w:r>
      <w:r w:rsidR="009C32A0" w:rsidRPr="005675B2">
        <w:rPr>
          <w:rFonts w:hint="cs"/>
          <w:rtl/>
        </w:rPr>
        <w:t xml:space="preserve"> وُجد بعد أن لم يكن موجوداً</w:t>
      </w:r>
      <w:r>
        <w:rPr>
          <w:rFonts w:hint="cs"/>
          <w:rtl/>
        </w:rPr>
        <w:t>،</w:t>
      </w:r>
      <w:r w:rsidR="009C32A0" w:rsidRPr="005675B2">
        <w:rPr>
          <w:rFonts w:hint="cs"/>
          <w:rtl/>
        </w:rPr>
        <w:t xml:space="preserve"> ولذلك لا يجوز على الله تعالى الولد</w:t>
      </w:r>
      <w:r>
        <w:rPr>
          <w:rFonts w:hint="cs"/>
          <w:rtl/>
        </w:rPr>
        <w:t>،</w:t>
      </w:r>
      <w:r w:rsidR="009C32A0" w:rsidRPr="005675B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9C32A0" w:rsidRPr="005675B2">
        <w:rPr>
          <w:rFonts w:hint="cs"/>
          <w:rtl/>
        </w:rPr>
        <w:t xml:space="preserve"> </w:t>
      </w:r>
      <w:r>
        <w:rPr>
          <w:rFonts w:hint="cs"/>
          <w:rtl/>
        </w:rPr>
        <w:t>{</w:t>
      </w:r>
      <w:r w:rsidR="009C32A0" w:rsidRPr="005675B2">
        <w:rPr>
          <w:rFonts w:hint="cs"/>
          <w:rtl/>
        </w:rPr>
        <w:t>قُلْ إِنْ كَانَ لِلرَّحْمَنِ وَلَدٌ فَأَنَا أَوَّلُ الْعَابِدِينَ * سُبْحَانَ رَبِّ السَّمَوَاتِ وَالْأَرْضِ رَبِّ الْعَرْشِ عَمَّا يَصِفُونَ</w:t>
      </w:r>
      <w:r>
        <w:rPr>
          <w:rFonts w:hint="cs"/>
          <w:rtl/>
        </w:rPr>
        <w:t>}</w:t>
      </w:r>
      <w:r w:rsidR="009C32A0" w:rsidRPr="005675B2">
        <w:rPr>
          <w:rFonts w:hint="cs"/>
          <w:rtl/>
        </w:rPr>
        <w:t xml:space="preserve"> </w:t>
      </w:r>
      <w:r>
        <w:rPr>
          <w:rFonts w:hint="cs"/>
          <w:rtl/>
        </w:rPr>
        <w:t>[</w:t>
      </w:r>
      <w:r w:rsidR="009C32A0" w:rsidRPr="005675B2">
        <w:rPr>
          <w:rFonts w:hint="cs"/>
          <w:rtl/>
        </w:rPr>
        <w:t>الزخرف</w:t>
      </w:r>
      <w:r>
        <w:rPr>
          <w:rFonts w:hint="cs"/>
          <w:rtl/>
        </w:rPr>
        <w:t>:</w:t>
      </w:r>
      <w:r w:rsidR="009C32A0" w:rsidRPr="005675B2">
        <w:rPr>
          <w:rFonts w:hint="cs"/>
          <w:rtl/>
        </w:rPr>
        <w:t xml:space="preserve"> 81</w:t>
      </w:r>
      <w:r>
        <w:rPr>
          <w:rFonts w:hint="cs"/>
          <w:rtl/>
        </w:rPr>
        <w:t>،</w:t>
      </w:r>
      <w:r w:rsidR="009C32A0" w:rsidRPr="005675B2">
        <w:rPr>
          <w:rFonts w:hint="cs"/>
          <w:rtl/>
        </w:rPr>
        <w:t xml:space="preserve"> 82</w:t>
      </w:r>
      <w:r>
        <w:rPr>
          <w:rFonts w:hint="cs"/>
          <w:rtl/>
        </w:rPr>
        <w:t>]،</w:t>
      </w:r>
      <w:r w:rsidR="009C32A0" w:rsidRPr="005675B2">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9C32A0" w:rsidRPr="005675B2">
        <w:rPr>
          <w:rFonts w:hint="cs"/>
          <w:rtl/>
        </w:rPr>
        <w:t xml:space="preserve"> ولكنه لا ينبغي للرحمن أن يتخذ ولداً لان ذلك مستحيل في حق الأحد الصمد</w:t>
      </w:r>
      <w:r>
        <w:rPr>
          <w:rFonts w:hint="cs"/>
          <w:rtl/>
        </w:rPr>
        <w:t>،</w:t>
      </w:r>
      <w:r w:rsidR="009C32A0" w:rsidRPr="005675B2">
        <w:rPr>
          <w:rFonts w:hint="cs"/>
          <w:rtl/>
        </w:rPr>
        <w:t xml:space="preserve"> ولهذا جاء التسبيح والتنزيه بقوله تعالى</w:t>
      </w:r>
      <w:r>
        <w:rPr>
          <w:rFonts w:hint="cs"/>
          <w:rtl/>
        </w:rPr>
        <w:t>:</w:t>
      </w:r>
      <w:r w:rsidR="009C32A0" w:rsidRPr="005675B2">
        <w:rPr>
          <w:rFonts w:hint="cs"/>
          <w:rtl/>
        </w:rPr>
        <w:t xml:space="preserve"> </w:t>
      </w:r>
      <w:r>
        <w:rPr>
          <w:rFonts w:hint="cs"/>
          <w:rtl/>
        </w:rPr>
        <w:t>{</w:t>
      </w:r>
      <w:r w:rsidR="009C32A0" w:rsidRPr="005675B2">
        <w:rPr>
          <w:rFonts w:hint="cs"/>
          <w:rtl/>
        </w:rPr>
        <w:t>سُبْحَانَ رَبِّ السَّمَوَاتِ وَالْأَرْضِ رَبِّ الْعَرْشِ عَمَّا يَصِفُونَ</w:t>
      </w:r>
      <w:r>
        <w:rPr>
          <w:rFonts w:hint="cs"/>
          <w:rtl/>
        </w:rPr>
        <w:t>}،</w:t>
      </w:r>
      <w:r w:rsidR="009C32A0" w:rsidRPr="005675B2">
        <w:rPr>
          <w:rFonts w:hint="cs"/>
          <w:rtl/>
        </w:rPr>
        <w:t xml:space="preserve"> فالولد من الاشياء المستحيلة في حق الله تعالى وتقدس</w:t>
      </w:r>
      <w:r>
        <w:rPr>
          <w:rFonts w:hint="cs"/>
          <w:rtl/>
        </w:rPr>
        <w:t>،</w:t>
      </w:r>
      <w:r w:rsidR="009C32A0" w:rsidRPr="005675B2">
        <w:rPr>
          <w:rFonts w:hint="cs"/>
          <w:rtl/>
        </w:rPr>
        <w:t xml:space="preserve"> قال تعالى</w:t>
      </w:r>
      <w:r>
        <w:rPr>
          <w:rFonts w:hint="cs"/>
          <w:rtl/>
        </w:rPr>
        <w:t>:</w:t>
      </w:r>
      <w:r w:rsidR="009C32A0" w:rsidRPr="005675B2">
        <w:rPr>
          <w:rFonts w:hint="cs"/>
          <w:rtl/>
        </w:rPr>
        <w:t xml:space="preserve"> </w:t>
      </w:r>
      <w:r>
        <w:rPr>
          <w:rFonts w:hint="cs"/>
          <w:rtl/>
        </w:rPr>
        <w:t>{</w:t>
      </w:r>
      <w:r w:rsidR="009C32A0" w:rsidRPr="005675B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9C32A0" w:rsidRPr="005675B2">
        <w:rPr>
          <w:rFonts w:hint="cs"/>
          <w:rtl/>
        </w:rPr>
        <w:t xml:space="preserve"> </w:t>
      </w:r>
      <w:r>
        <w:rPr>
          <w:rFonts w:hint="cs"/>
          <w:rtl/>
        </w:rPr>
        <w:t>[</w:t>
      </w:r>
      <w:r w:rsidR="009C32A0" w:rsidRPr="005675B2">
        <w:rPr>
          <w:rFonts w:hint="cs"/>
          <w:rtl/>
        </w:rPr>
        <w:t>مريم</w:t>
      </w:r>
      <w:r>
        <w:rPr>
          <w:rFonts w:hint="cs"/>
          <w:rtl/>
        </w:rPr>
        <w:t>:</w:t>
      </w:r>
      <w:r w:rsidR="009C32A0" w:rsidRPr="005675B2">
        <w:rPr>
          <w:rFonts w:hint="cs"/>
          <w:rtl/>
        </w:rPr>
        <w:t xml:space="preserve"> 88 إلى 95</w:t>
      </w:r>
      <w:r>
        <w:rPr>
          <w:rFonts w:hint="cs"/>
          <w:rtl/>
        </w:rPr>
        <w:t>]، (</w:t>
      </w:r>
      <w:r w:rsidR="009C32A0" w:rsidRPr="005675B2">
        <w:rPr>
          <w:rFonts w:hint="cs"/>
          <w:rtl/>
        </w:rPr>
        <w:t>ث</w:t>
      </w:r>
      <w:r>
        <w:rPr>
          <w:rFonts w:hint="cs"/>
          <w:rtl/>
        </w:rPr>
        <w:t>)</w:t>
      </w:r>
      <w:r w:rsidR="009C32A0" w:rsidRPr="005675B2">
        <w:rPr>
          <w:rFonts w:hint="cs"/>
          <w:rtl/>
        </w:rPr>
        <w:t xml:space="preserve"> من فقه الآية </w:t>
      </w:r>
      <w:r>
        <w:rPr>
          <w:rFonts w:hint="cs"/>
          <w:rtl/>
        </w:rPr>
        <w:t>{</w:t>
      </w:r>
      <w:r w:rsidR="009C32A0" w:rsidRPr="005675B2">
        <w:rPr>
          <w:rFonts w:hint="cs"/>
          <w:rtl/>
        </w:rPr>
        <w:t>لَمْ يَلِدْ وَلَمْ يُولَدْ</w:t>
      </w:r>
      <w:r>
        <w:rPr>
          <w:rFonts w:hint="cs"/>
          <w:rtl/>
        </w:rPr>
        <w:t>}</w:t>
      </w:r>
      <w:r w:rsidR="009C32A0" w:rsidRPr="005675B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9C32A0" w:rsidRPr="005675B2">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9C32A0" w:rsidRPr="005675B2">
        <w:rPr>
          <w:rFonts w:hint="cs"/>
          <w:rtl/>
        </w:rPr>
        <w:t>:</w:t>
      </w:r>
      <w:r>
        <w:rPr>
          <w:rFonts w:hint="cs"/>
          <w:rtl/>
        </w:rPr>
        <w:t xml:space="preserve">، </w:t>
      </w:r>
      <w:r w:rsidR="009C32A0" w:rsidRPr="005675B2">
        <w:rPr>
          <w:rFonts w:hint="cs"/>
          <w:rtl/>
        </w:rPr>
        <w:t>كما أنه منزه عن التغير والحدوث كما في قوله تعالى</w:t>
      </w:r>
      <w:r>
        <w:rPr>
          <w:rFonts w:hint="cs"/>
          <w:rtl/>
        </w:rPr>
        <w:t>:</w:t>
      </w:r>
      <w:r w:rsidR="009C32A0" w:rsidRPr="005675B2">
        <w:rPr>
          <w:rFonts w:hint="cs"/>
          <w:rtl/>
        </w:rPr>
        <w:t xml:space="preserve"> </w:t>
      </w:r>
      <w:r>
        <w:rPr>
          <w:rFonts w:hint="cs"/>
          <w:rtl/>
        </w:rPr>
        <w:t>{</w:t>
      </w:r>
      <w:r w:rsidR="009C32A0" w:rsidRPr="005675B2">
        <w:rPr>
          <w:rFonts w:hint="cs"/>
          <w:rtl/>
        </w:rPr>
        <w:t>وَلَمْ يُولَدْ</w:t>
      </w:r>
      <w:r>
        <w:rPr>
          <w:rFonts w:hint="cs"/>
          <w:rtl/>
        </w:rPr>
        <w:t>}،</w:t>
      </w:r>
      <w:r w:rsidR="009C32A0" w:rsidRPr="005675B2">
        <w:rPr>
          <w:rFonts w:hint="cs"/>
          <w:rtl/>
        </w:rPr>
        <w:t xml:space="preserve"> وسياتي تفصيل ذلك عند شرح قوله تعالى</w:t>
      </w:r>
      <w:r>
        <w:rPr>
          <w:rFonts w:hint="cs"/>
          <w:rtl/>
        </w:rPr>
        <w:t>:</w:t>
      </w:r>
      <w:r w:rsidR="009C32A0" w:rsidRPr="005675B2">
        <w:rPr>
          <w:rFonts w:hint="cs"/>
          <w:rtl/>
        </w:rPr>
        <w:t xml:space="preserve"> </w:t>
      </w:r>
      <w:r>
        <w:rPr>
          <w:rFonts w:hint="cs"/>
          <w:rtl/>
        </w:rPr>
        <w:t>{</w:t>
      </w:r>
      <w:r w:rsidR="009C32A0" w:rsidRPr="005675B2">
        <w:rPr>
          <w:rFonts w:hint="cs"/>
          <w:rtl/>
        </w:rPr>
        <w:t>قَالَ هَذَا رَبِّي فَلَمَّا أَفَلَ قَالَ لَا أُحِبُّ الْآفِلِينَ (76)</w:t>
      </w:r>
      <w:r>
        <w:rPr>
          <w:rFonts w:hint="cs"/>
          <w:rtl/>
        </w:rPr>
        <w:t>}</w:t>
      </w:r>
      <w:r w:rsidR="009C32A0" w:rsidRPr="005675B2">
        <w:rPr>
          <w:rFonts w:hint="cs"/>
          <w:rtl/>
        </w:rPr>
        <w:t xml:space="preserve"> </w:t>
      </w:r>
      <w:r>
        <w:rPr>
          <w:rFonts w:hint="cs"/>
          <w:rtl/>
        </w:rPr>
        <w:t>[</w:t>
      </w:r>
      <w:r w:rsidR="009C32A0" w:rsidRPr="005675B2">
        <w:rPr>
          <w:rFonts w:hint="cs"/>
          <w:rtl/>
        </w:rPr>
        <w:t>الانعام</w:t>
      </w:r>
      <w:r>
        <w:rPr>
          <w:rFonts w:hint="cs"/>
          <w:rtl/>
        </w:rPr>
        <w:t>:</w:t>
      </w:r>
      <w:r w:rsidR="009C32A0" w:rsidRPr="005675B2">
        <w:rPr>
          <w:rFonts w:hint="cs"/>
          <w:rtl/>
        </w:rPr>
        <w:t xml:space="preserve"> 76</w:t>
      </w:r>
      <w:r>
        <w:rPr>
          <w:rFonts w:hint="cs"/>
          <w:rtl/>
        </w:rPr>
        <w:t>]،</w:t>
      </w:r>
      <w:r w:rsidR="009C32A0" w:rsidRPr="005675B2">
        <w:rPr>
          <w:rFonts w:hint="cs"/>
          <w:rtl/>
        </w:rPr>
        <w:t xml:space="preserve"> أي أن المتغير عن حاله الآفل الذي يقبل الحدوث والتغير من حال إلى حال</w:t>
      </w:r>
      <w:r>
        <w:rPr>
          <w:rFonts w:hint="cs"/>
          <w:rtl/>
        </w:rPr>
        <w:t>،</w:t>
      </w:r>
      <w:r w:rsidR="009C32A0" w:rsidRPr="005675B2">
        <w:rPr>
          <w:rFonts w:hint="cs"/>
          <w:rtl/>
        </w:rPr>
        <w:t xml:space="preserve"> لا يصلح أن يكون رباً خالقاً</w:t>
      </w:r>
      <w:r>
        <w:rPr>
          <w:rFonts w:hint="cs"/>
          <w:rtl/>
        </w:rPr>
        <w:t>،</w:t>
      </w:r>
      <w:r w:rsidR="009C32A0" w:rsidRPr="005675B2">
        <w:rPr>
          <w:rFonts w:hint="cs"/>
          <w:rtl/>
        </w:rPr>
        <w:t xml:space="preserve"> وإلهاً معبوداً</w:t>
      </w:r>
      <w:r>
        <w:rPr>
          <w:rFonts w:hint="cs"/>
          <w:rtl/>
        </w:rPr>
        <w:t>،</w:t>
      </w:r>
      <w:r w:rsidR="009C32A0" w:rsidRPr="005675B2">
        <w:rPr>
          <w:rFonts w:hint="cs"/>
          <w:bCs/>
          <w:rtl/>
        </w:rPr>
        <w:t xml:space="preserve"> </w:t>
      </w:r>
      <w:r>
        <w:rPr>
          <w:rFonts w:hint="cs"/>
          <w:rtl/>
        </w:rPr>
        <w:t>(</w:t>
      </w:r>
      <w:r w:rsidR="009C32A0" w:rsidRPr="005675B2">
        <w:rPr>
          <w:rFonts w:hint="cs"/>
          <w:rtl/>
        </w:rPr>
        <w:t>ج</w:t>
      </w:r>
      <w:r>
        <w:rPr>
          <w:rFonts w:hint="cs"/>
          <w:rtl/>
        </w:rPr>
        <w:t>)</w:t>
      </w:r>
      <w:r w:rsidR="009C32A0" w:rsidRPr="005675B2">
        <w:rPr>
          <w:rFonts w:hint="cs"/>
          <w:rtl/>
        </w:rPr>
        <w:t xml:space="preserve"> خلاصة ما سبق أنّ الله تعالى يستحيل أن يكون شيء قديم مثله ولا معه</w:t>
      </w:r>
      <w:r>
        <w:rPr>
          <w:rFonts w:hint="cs"/>
          <w:rtl/>
        </w:rPr>
        <w:t>،</w:t>
      </w:r>
      <w:r w:rsidR="009C32A0" w:rsidRPr="005675B2">
        <w:rPr>
          <w:rFonts w:hint="cs"/>
          <w:rtl/>
        </w:rPr>
        <w:t xml:space="preserve"> لأنّه الواحد الأحد الخالق ومن عداه مخلوق</w:t>
      </w:r>
      <w:r>
        <w:rPr>
          <w:rFonts w:hint="cs"/>
          <w:rtl/>
        </w:rPr>
        <w:t>،</w:t>
      </w:r>
      <w:r w:rsidR="009C32A0" w:rsidRPr="005675B2">
        <w:rPr>
          <w:rFonts w:hint="cs"/>
          <w:rtl/>
        </w:rPr>
        <w:t xml:space="preserve"> فيستحيل في حقه </w:t>
      </w:r>
      <w:r w:rsidR="009C32A0" w:rsidRPr="005675B2">
        <w:rPr>
          <w:rFonts w:hint="cs"/>
          <w:rtl/>
        </w:rPr>
        <w:lastRenderedPageBreak/>
        <w:t>الزوجة والوالد والولد</w:t>
      </w:r>
      <w:r>
        <w:rPr>
          <w:rFonts w:hint="cs"/>
          <w:rtl/>
        </w:rPr>
        <w:t>،</w:t>
      </w:r>
      <w:r w:rsidR="009C32A0" w:rsidRPr="005675B2">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Pr>
          <w:rFonts w:hint="cs"/>
          <w:rtl/>
        </w:rPr>
        <w:t>،</w:t>
      </w:r>
      <w:r w:rsidR="009C32A0" w:rsidRPr="005675B2">
        <w:rPr>
          <w:rFonts w:hint="cs"/>
          <w:rtl/>
        </w:rPr>
        <w:t xml:space="preserve"> ولهذا كان اعتقاد الولد لله من أفسد العقائد على وجه الأرض</w:t>
      </w:r>
      <w:r>
        <w:rPr>
          <w:rFonts w:hint="cs"/>
          <w:rtl/>
        </w:rPr>
        <w:t>،</w:t>
      </w:r>
      <w:r w:rsidR="009C32A0" w:rsidRPr="005675B2">
        <w:rPr>
          <w:rFonts w:hint="cs"/>
          <w:rtl/>
        </w:rPr>
        <w:t xml:space="preserve"> حتى أن الجماد ليتأذى منها</w:t>
      </w:r>
      <w:r>
        <w:rPr>
          <w:rFonts w:hint="cs"/>
          <w:rtl/>
        </w:rPr>
        <w:t>،</w:t>
      </w:r>
      <w:r w:rsidR="009C32A0" w:rsidRPr="005675B2">
        <w:rPr>
          <w:rFonts w:hint="cs"/>
          <w:rtl/>
        </w:rPr>
        <w:t xml:space="preserve"> قال تعالى</w:t>
      </w:r>
      <w:r>
        <w:rPr>
          <w:rFonts w:hint="cs"/>
          <w:rtl/>
        </w:rPr>
        <w:t>:</w:t>
      </w:r>
      <w:r w:rsidR="009C32A0" w:rsidRPr="005675B2">
        <w:rPr>
          <w:rFonts w:hint="cs"/>
          <w:rtl/>
        </w:rPr>
        <w:t xml:space="preserve"> </w:t>
      </w:r>
      <w:r>
        <w:rPr>
          <w:rFonts w:hint="cs"/>
          <w:rtl/>
        </w:rPr>
        <w:t>{</w:t>
      </w:r>
      <w:r w:rsidR="009C32A0" w:rsidRPr="005675B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9C32A0" w:rsidRPr="005675B2">
        <w:rPr>
          <w:rFonts w:hint="cs"/>
          <w:rtl/>
        </w:rPr>
        <w:t xml:space="preserve"> </w:t>
      </w:r>
      <w:r>
        <w:rPr>
          <w:rFonts w:hint="cs"/>
          <w:rtl/>
        </w:rPr>
        <w:t>[</w:t>
      </w:r>
      <w:r w:rsidR="009C32A0" w:rsidRPr="005675B2">
        <w:rPr>
          <w:rFonts w:hint="cs"/>
          <w:rtl/>
        </w:rPr>
        <w:t>مريم</w:t>
      </w:r>
      <w:r>
        <w:rPr>
          <w:rFonts w:hint="cs"/>
          <w:rtl/>
        </w:rPr>
        <w:t>:</w:t>
      </w:r>
      <w:r w:rsidR="009C32A0" w:rsidRPr="005675B2">
        <w:rPr>
          <w:rFonts w:hint="cs"/>
          <w:rtl/>
        </w:rPr>
        <w:t xml:space="preserve"> 89 إلى 93</w:t>
      </w:r>
      <w:r>
        <w:rPr>
          <w:rFonts w:hint="cs"/>
          <w:rtl/>
        </w:rPr>
        <w:t>]،</w:t>
      </w:r>
    </w:p>
    <w:p w14:paraId="1A1ABD06" w14:textId="39673F86" w:rsidR="009C32A0" w:rsidRPr="005675B2" w:rsidRDefault="009C32A0" w:rsidP="000636C2">
      <w:pPr>
        <w:jc w:val="center"/>
        <w:rPr>
          <w:b/>
          <w:bCs/>
          <w:rtl/>
          <w:lang w:bidi="ar-KW"/>
        </w:rPr>
      </w:pPr>
      <w:r>
        <w:rPr>
          <w:rFonts w:hint="cs"/>
          <w:bCs/>
          <w:rtl/>
          <w:lang w:bidi="ar-KW"/>
        </w:rPr>
        <w:t>***</w:t>
      </w:r>
      <w:r w:rsidR="000636C2">
        <w:rPr>
          <w:rFonts w:hint="cs"/>
          <w:bCs/>
          <w:rtl/>
          <w:lang w:bidi="ar-KW"/>
        </w:rPr>
        <w:t xml:space="preserve"> </w:t>
      </w:r>
    </w:p>
    <w:p w14:paraId="46B00B4A" w14:textId="76EE10EA" w:rsidR="009C32A0" w:rsidRPr="00C07A88" w:rsidRDefault="009C32A0" w:rsidP="00C07A88">
      <w:pPr>
        <w:pStyle w:val="2"/>
        <w:bidi/>
        <w:jc w:val="center"/>
        <w:rPr>
          <w:u w:val="none"/>
          <w:rtl/>
          <w:lang w:bidi="ar-KW"/>
        </w:rPr>
      </w:pPr>
      <w:r w:rsidRPr="00C07A88">
        <w:rPr>
          <w:rFonts w:hint="cs"/>
          <w:u w:val="none"/>
          <w:rtl/>
          <w:lang w:bidi="ar-KW"/>
        </w:rPr>
        <w:t>القاعدة الثالثة عشرة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الند والشبيه والكف والمثيل</w:t>
      </w:r>
    </w:p>
    <w:p w14:paraId="30C09C20" w14:textId="77777777" w:rsidR="009C32A0" w:rsidRPr="005675B2" w:rsidRDefault="009C32A0" w:rsidP="000636C2">
      <w:pPr>
        <w:rPr>
          <w:b/>
          <w:rtl/>
          <w:lang w:bidi="ar-KW"/>
        </w:rPr>
      </w:pPr>
    </w:p>
    <w:p w14:paraId="68324F97" w14:textId="255DB43C" w:rsidR="009C32A0" w:rsidRPr="005675B2" w:rsidRDefault="009C32A0" w:rsidP="000636C2">
      <w:pPr>
        <w:rPr>
          <w:b/>
          <w:rtl/>
        </w:rPr>
      </w:pPr>
      <w:r w:rsidRPr="005675B2">
        <w:rPr>
          <w:rFonts w:hint="cs"/>
          <w:rtl/>
        </w:rPr>
        <w:t>قد سبق تقرير هذه القاعدة ولأهميتها في التنزيه أورد ها هنا الأدلة الموجزة عليها</w:t>
      </w:r>
      <w:r w:rsidR="000636C2">
        <w:rPr>
          <w:rFonts w:hint="cs"/>
          <w:rtl/>
        </w:rPr>
        <w:t>،</w:t>
      </w:r>
      <w:r w:rsidRPr="005675B2">
        <w:rPr>
          <w:rFonts w:hint="cs"/>
          <w:rtl/>
        </w:rPr>
        <w:t xml:space="preserve"> ومنها قوله تعالى</w:t>
      </w:r>
      <w:r w:rsidR="000636C2">
        <w:rPr>
          <w:rFonts w:hint="cs"/>
          <w:rtl/>
        </w:rPr>
        <w:t>:</w:t>
      </w:r>
      <w:r w:rsidRPr="005675B2">
        <w:rPr>
          <w:rFonts w:hint="cs"/>
          <w:rtl/>
        </w:rPr>
        <w:t xml:space="preserve"> </w:t>
      </w:r>
      <w:r w:rsidR="000636C2">
        <w:rPr>
          <w:rFonts w:hint="cs"/>
          <w:rtl/>
        </w:rPr>
        <w:t>{</w:t>
      </w:r>
      <w:r w:rsidRPr="005675B2">
        <w:rPr>
          <w:rFonts w:hint="cs"/>
          <w:rtl/>
        </w:rPr>
        <w:t>وَلَمْ يَكُنْ لَهُ كُفُوًا أَحَدٌ</w:t>
      </w:r>
      <w:r w:rsidR="000636C2">
        <w:rPr>
          <w:rFonts w:hint="cs"/>
          <w:rtl/>
        </w:rPr>
        <w:t>}</w:t>
      </w:r>
      <w:r w:rsidRPr="005675B2">
        <w:rPr>
          <w:rFonts w:hint="cs"/>
          <w:rtl/>
        </w:rPr>
        <w:t xml:space="preserve"> أي لا نظير له بوجه من الوجوه، ولا كفء له ولا شبيه</w:t>
      </w:r>
      <w:r w:rsidR="000636C2">
        <w:rPr>
          <w:rFonts w:hint="cs"/>
          <w:rtl/>
          <w:lang w:bidi="ar-KW"/>
        </w:rPr>
        <w:t>،</w:t>
      </w:r>
      <w:r w:rsidRPr="005675B2">
        <w:rPr>
          <w:rFonts w:hint="cs"/>
          <w:rtl/>
          <w:lang w:bidi="ar-KW"/>
        </w:rPr>
        <w:t xml:space="preserve"> وهذه الآية من الأدلة القرآنية على تنزيه الله تعالى عن المثيل والكفء والشبيه والسمي</w:t>
      </w:r>
      <w:r w:rsidR="000636C2">
        <w:rPr>
          <w:rFonts w:hint="cs"/>
          <w:rtl/>
          <w:lang w:bidi="ar-KW"/>
        </w:rPr>
        <w:t>:</w:t>
      </w:r>
      <w:r w:rsidRPr="005675B2">
        <w:rPr>
          <w:rFonts w:hint="cs"/>
          <w:rtl/>
          <w:lang w:bidi="ar-KW"/>
        </w:rPr>
        <w:t xml:space="preserve"> كقوله تعالى</w:t>
      </w:r>
      <w:r w:rsidR="000636C2">
        <w:rPr>
          <w:rFonts w:hint="cs"/>
          <w:rtl/>
          <w:lang w:bidi="ar-KW"/>
        </w:rPr>
        <w:t>:</w:t>
      </w:r>
      <w:r w:rsidRPr="005675B2">
        <w:rPr>
          <w:rFonts w:hint="cs"/>
          <w:rtl/>
          <w:lang w:bidi="ar-KW"/>
        </w:rPr>
        <w:t xml:space="preserve"> </w:t>
      </w:r>
      <w:r w:rsidR="000636C2">
        <w:rPr>
          <w:rFonts w:hint="cs"/>
          <w:rtl/>
        </w:rPr>
        <w:t>{</w:t>
      </w:r>
      <w:r w:rsidRPr="005675B2">
        <w:rPr>
          <w:rFonts w:hint="cs"/>
          <w:bCs/>
          <w:rtl/>
        </w:rPr>
        <w:t>ليس كمثلِه شيء</w:t>
      </w:r>
      <w:r w:rsidR="000636C2">
        <w:rPr>
          <w:rFonts w:hint="cs"/>
          <w:bCs/>
          <w:rtl/>
        </w:rPr>
        <w:t xml:space="preserve">} </w:t>
      </w:r>
      <w:r w:rsidRPr="005675B2">
        <w:rPr>
          <w:rFonts w:hint="cs"/>
          <w:rtl/>
        </w:rPr>
        <w:t>[سورة الشورى</w:t>
      </w:r>
      <w:r w:rsidR="000636C2">
        <w:rPr>
          <w:rFonts w:hint="cs"/>
          <w:rtl/>
        </w:rPr>
        <w:t>:</w:t>
      </w:r>
      <w:r w:rsidRPr="005675B2">
        <w:rPr>
          <w:rFonts w:hint="cs"/>
          <w:rtl/>
        </w:rPr>
        <w:t xml:space="preserve"> 11]، نفي المشابهة والمماثلة بين الله تعالى وخلقه ومعناه أن الله تعالى لا يشبه شيئًا من خلقه بوجه من الوجوه</w:t>
      </w:r>
      <w:r w:rsidR="000636C2">
        <w:rPr>
          <w:rFonts w:hint="cs"/>
          <w:rtl/>
        </w:rPr>
        <w:t>،</w:t>
      </w:r>
      <w:r w:rsidRPr="005675B2">
        <w:rPr>
          <w:rFonts w:hint="cs"/>
          <w:rtl/>
        </w:rPr>
        <w:t xml:space="preserve"> وكقوله تعالى</w:t>
      </w:r>
      <w:r w:rsidR="000636C2">
        <w:rPr>
          <w:rFonts w:hint="cs"/>
          <w:rtl/>
        </w:rPr>
        <w:t>:</w:t>
      </w:r>
      <w:r w:rsidRPr="005675B2">
        <w:rPr>
          <w:rFonts w:hint="cs"/>
          <w:rtl/>
        </w:rPr>
        <w:t xml:space="preserve"> </w:t>
      </w:r>
      <w:r w:rsidR="000636C2">
        <w:rPr>
          <w:rFonts w:hint="cs"/>
          <w:rtl/>
        </w:rPr>
        <w:t>{</w:t>
      </w:r>
      <w:r w:rsidRPr="005675B2">
        <w:rPr>
          <w:rFonts w:hint="cs"/>
          <w:bCs/>
          <w:rtl/>
        </w:rPr>
        <w:t>وللهِ المثَلُ الأعلى</w:t>
      </w:r>
      <w:r w:rsidR="000636C2">
        <w:rPr>
          <w:rFonts w:hint="cs"/>
          <w:bCs/>
          <w:rtl/>
        </w:rPr>
        <w:t>}</w:t>
      </w:r>
      <w:r w:rsidRPr="005675B2">
        <w:rPr>
          <w:rFonts w:hint="cs"/>
          <w:rtl/>
        </w:rPr>
        <w:t xml:space="preserve"> [سورة النحل</w:t>
      </w:r>
      <w:r w:rsidR="000636C2">
        <w:rPr>
          <w:rFonts w:hint="cs"/>
          <w:rtl/>
        </w:rPr>
        <w:t>:</w:t>
      </w:r>
      <w:r w:rsidRPr="005675B2">
        <w:rPr>
          <w:rFonts w:hint="cs"/>
          <w:rtl/>
        </w:rPr>
        <w:t xml:space="preserve"> 60] أي الوصف الذي لا يشبه وصف غيره، فلا يوصف ربنا عزَّ وجلَّ بصفات المخلوقين</w:t>
      </w:r>
      <w:r w:rsidR="000636C2">
        <w:rPr>
          <w:rFonts w:hint="cs"/>
          <w:rtl/>
        </w:rPr>
        <w:t>،،</w:t>
      </w:r>
      <w:r w:rsidRPr="005675B2">
        <w:rPr>
          <w:rFonts w:hint="cs"/>
          <w:rtl/>
        </w:rPr>
        <w:t xml:space="preserve"> وكقوله تعالى</w:t>
      </w:r>
      <w:r w:rsidR="000636C2">
        <w:rPr>
          <w:rFonts w:hint="cs"/>
          <w:rtl/>
        </w:rPr>
        <w:t>:</w:t>
      </w:r>
      <w:r w:rsidRPr="005675B2">
        <w:rPr>
          <w:rFonts w:hint="cs"/>
          <w:rtl/>
        </w:rPr>
        <w:t xml:space="preserve"> </w:t>
      </w:r>
      <w:r w:rsidR="000636C2">
        <w:rPr>
          <w:rFonts w:hint="cs"/>
          <w:bCs/>
          <w:rtl/>
        </w:rPr>
        <w:t>{</w:t>
      </w:r>
      <w:r w:rsidRPr="005675B2">
        <w:rPr>
          <w:rFonts w:hint="cs"/>
          <w:bCs/>
          <w:rtl/>
        </w:rPr>
        <w:t>فلا تضربوا للهِ الأمثال</w:t>
      </w:r>
      <w:r w:rsidR="000636C2">
        <w:rPr>
          <w:rFonts w:hint="cs"/>
          <w:bCs/>
          <w:rtl/>
        </w:rPr>
        <w:t>}</w:t>
      </w:r>
      <w:r w:rsidRPr="005675B2">
        <w:rPr>
          <w:rFonts w:hint="cs"/>
          <w:rtl/>
        </w:rPr>
        <w:t xml:space="preserve"> [سورة النحل</w:t>
      </w:r>
      <w:r w:rsidR="000636C2">
        <w:rPr>
          <w:rFonts w:hint="cs"/>
          <w:rtl/>
        </w:rPr>
        <w:t>:</w:t>
      </w:r>
      <w:r w:rsidRPr="005675B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0636C2">
        <w:rPr>
          <w:rFonts w:hint="cs"/>
          <w:rtl/>
        </w:rPr>
        <w:t>،</w:t>
      </w:r>
      <w:r w:rsidRPr="005675B2">
        <w:rPr>
          <w:rFonts w:hint="cs"/>
          <w:rtl/>
        </w:rPr>
        <w:t xml:space="preserve"> وكقوله تعالى</w:t>
      </w:r>
      <w:r w:rsidR="000636C2">
        <w:rPr>
          <w:rFonts w:hint="cs"/>
          <w:rtl/>
        </w:rPr>
        <w:t>:</w:t>
      </w:r>
      <w:r w:rsidRPr="005675B2">
        <w:rPr>
          <w:rFonts w:hint="cs"/>
          <w:rtl/>
        </w:rPr>
        <w:t xml:space="preserve"> {</w:t>
      </w:r>
      <w:r w:rsidRPr="005675B2">
        <w:rPr>
          <w:rFonts w:hint="cs"/>
          <w:bCs/>
          <w:rtl/>
        </w:rPr>
        <w:t>هل تعلمُ لهُ سميًّا)</w:t>
      </w:r>
      <w:r w:rsidRPr="005675B2">
        <w:rPr>
          <w:rFonts w:hint="cs"/>
          <w:rtl/>
        </w:rPr>
        <w:t xml:space="preserve"> [سورة مريم</w:t>
      </w:r>
      <w:r w:rsidR="000636C2">
        <w:rPr>
          <w:rFonts w:hint="cs"/>
          <w:rtl/>
        </w:rPr>
        <w:t>:</w:t>
      </w:r>
      <w:r w:rsidRPr="005675B2">
        <w:rPr>
          <w:rFonts w:hint="cs"/>
          <w:rtl/>
        </w:rPr>
        <w:t xml:space="preserve"> 65] أي مِثلاً، فالله تعالى لا مِثْلَ له ولا شبيه ولا نظير، فذاتُه سبحانه لا يشبه الذواتِ ولا صفاتُه تشبه الصفاتِ</w:t>
      </w:r>
      <w:r w:rsidR="000636C2">
        <w:rPr>
          <w:rFonts w:hint="cs"/>
          <w:rtl/>
        </w:rPr>
        <w:t>،</w:t>
      </w:r>
      <w:r w:rsidRPr="005675B2">
        <w:rPr>
          <w:rFonts w:hint="cs"/>
          <w:rtl/>
        </w:rPr>
        <w:t xml:space="preserve"> وكقوله تعالى</w:t>
      </w:r>
      <w:r w:rsidR="000636C2">
        <w:rPr>
          <w:rFonts w:hint="cs"/>
          <w:rtl/>
        </w:rPr>
        <w:t>:</w:t>
      </w:r>
      <w:r w:rsidRPr="005675B2">
        <w:rPr>
          <w:rFonts w:hint="cs"/>
          <w:rtl/>
        </w:rPr>
        <w:t xml:space="preserve"> </w:t>
      </w:r>
      <w:r w:rsidR="000636C2">
        <w:rPr>
          <w:rFonts w:hint="cs"/>
          <w:rtl/>
        </w:rPr>
        <w:t>{</w:t>
      </w:r>
      <w:r w:rsidRPr="005675B2">
        <w:rPr>
          <w:rFonts w:hint="cs"/>
          <w:bCs/>
          <w:rtl/>
        </w:rPr>
        <w:t>سُبْحَانَهُ وَتَعَالَى عَمَّا يَصِفُونَ</w:t>
      </w:r>
      <w:r w:rsidR="000636C2">
        <w:rPr>
          <w:rFonts w:hint="cs"/>
          <w:rtl/>
        </w:rPr>
        <w:t>}</w:t>
      </w:r>
      <w:r w:rsidRPr="005675B2">
        <w:rPr>
          <w:rFonts w:hint="cs"/>
          <w:rtl/>
        </w:rPr>
        <w:t xml:space="preserve"> [سورة الأنعام</w:t>
      </w:r>
      <w:r w:rsidR="000636C2">
        <w:rPr>
          <w:rFonts w:hint="cs"/>
          <w:rtl/>
        </w:rPr>
        <w:t>:</w:t>
      </w:r>
      <w:r w:rsidRPr="005675B2">
        <w:rPr>
          <w:rFonts w:hint="cs"/>
          <w:rtl/>
        </w:rPr>
        <w:t>100] تنزيه وتقديس لله تعالى عن كل وصف يخطر ببال بشر لأنه ليس كمثله شيء ولا نعلم له سميا</w:t>
      </w:r>
      <w:r w:rsidR="000636C2">
        <w:rPr>
          <w:rFonts w:hint="cs"/>
          <w:rtl/>
        </w:rPr>
        <w:t>،،</w:t>
      </w:r>
      <w:r w:rsidRPr="005675B2">
        <w:rPr>
          <w:rFonts w:hint="cs"/>
          <w:rtl/>
        </w:rPr>
        <w:t xml:space="preserve"> وكقوله تعالى</w:t>
      </w:r>
      <w:r w:rsidR="000636C2">
        <w:rPr>
          <w:rFonts w:hint="cs"/>
          <w:rtl/>
        </w:rPr>
        <w:t>:</w:t>
      </w:r>
      <w:r w:rsidRPr="005675B2">
        <w:rPr>
          <w:rFonts w:hint="cs"/>
          <w:rtl/>
        </w:rPr>
        <w:t xml:space="preserve"> </w:t>
      </w:r>
      <w:r w:rsidR="000636C2">
        <w:rPr>
          <w:rFonts w:hint="cs"/>
          <w:bCs/>
          <w:rtl/>
        </w:rPr>
        <w:t>{</w:t>
      </w:r>
      <w:r w:rsidRPr="005675B2">
        <w:rPr>
          <w:rFonts w:hint="cs"/>
          <w:bCs/>
          <w:rtl/>
        </w:rPr>
        <w:t xml:space="preserve">وَلَا </w:t>
      </w:r>
      <w:r w:rsidRPr="005675B2">
        <w:rPr>
          <w:rFonts w:hint="cs"/>
          <w:bCs/>
          <w:rtl/>
        </w:rPr>
        <w:lastRenderedPageBreak/>
        <w:t>يُحِيطُونَ بِهِ عِلْمًا</w:t>
      </w:r>
      <w:r w:rsidR="000636C2">
        <w:rPr>
          <w:rFonts w:hint="cs"/>
          <w:bCs/>
          <w:rtl/>
        </w:rPr>
        <w:t>}</w:t>
      </w:r>
      <w:r w:rsidRPr="005675B2">
        <w:rPr>
          <w:rFonts w:hint="cs"/>
          <w:rtl/>
        </w:rPr>
        <w:t xml:space="preserve"> [سورة طه</w:t>
      </w:r>
      <w:r w:rsidR="000636C2">
        <w:rPr>
          <w:rFonts w:hint="cs"/>
          <w:rtl/>
        </w:rPr>
        <w:t>:</w:t>
      </w:r>
      <w:r w:rsidRPr="005675B2">
        <w:rPr>
          <w:rFonts w:hint="cs"/>
          <w:rtl/>
        </w:rPr>
        <w:t xml:space="preserve"> 110] ولو كان له كفء أو شبيه أو مثيل لأحاطت به علوم البشر</w:t>
      </w:r>
      <w:r w:rsidR="000636C2">
        <w:rPr>
          <w:rFonts w:hint="cs"/>
          <w:rtl/>
        </w:rPr>
        <w:t>،</w:t>
      </w:r>
      <w:r w:rsidRPr="005675B2">
        <w:rPr>
          <w:rFonts w:hint="cs"/>
          <w:rtl/>
        </w:rPr>
        <w:t xml:space="preserve"> ومنه نعلم مخالفة ذات الله تعالى لجميع المخلوقات والموجودات والمحدثات</w:t>
      </w:r>
      <w:r w:rsidR="000636C2">
        <w:rPr>
          <w:rFonts w:hint="cs"/>
          <w:rtl/>
        </w:rPr>
        <w:t>،</w:t>
      </w:r>
      <w:r w:rsidRPr="005675B2">
        <w:rPr>
          <w:rFonts w:hint="cs"/>
          <w:rtl/>
        </w:rPr>
        <w:t xml:space="preserve"> وكافة الماديات والحسيات والمرئيات والعقليات والنفسيات والروحانيات</w:t>
      </w:r>
      <w:r w:rsidR="000636C2">
        <w:rPr>
          <w:rFonts w:hint="cs"/>
          <w:rtl/>
        </w:rPr>
        <w:t>،</w:t>
      </w:r>
      <w:r w:rsidRPr="005675B2">
        <w:rPr>
          <w:rFonts w:hint="cs"/>
          <w:rtl/>
        </w:rPr>
        <w:t xml:space="preserve"> وكافة التصوزرات والمعلومات والتهيئات والتوهمات</w:t>
      </w:r>
      <w:r w:rsidR="000636C2">
        <w:rPr>
          <w:rFonts w:hint="cs"/>
          <w:rtl/>
        </w:rPr>
        <w:t>،</w:t>
      </w:r>
      <w:r w:rsidRPr="005675B2">
        <w:rPr>
          <w:rFonts w:hint="cs"/>
          <w:rtl/>
        </w:rPr>
        <w:t xml:space="preserve"> لأنّ الذات لا تُدرك</w:t>
      </w:r>
      <w:r w:rsidR="000636C2">
        <w:rPr>
          <w:rFonts w:hint="cs"/>
          <w:rtl/>
        </w:rPr>
        <w:t>،</w:t>
      </w:r>
      <w:r w:rsidRPr="005675B2">
        <w:rPr>
          <w:rFonts w:hint="cs"/>
          <w:rtl/>
        </w:rPr>
        <w:t xml:space="preserve"> وإذا كان المخلوق لا يحيط علماً بالروح التي تسكنه</w:t>
      </w:r>
      <w:r w:rsidR="000636C2">
        <w:rPr>
          <w:rFonts w:hint="cs"/>
          <w:rtl/>
        </w:rPr>
        <w:t>،</w:t>
      </w:r>
      <w:r w:rsidRPr="005675B2">
        <w:rPr>
          <w:rFonts w:hint="cs"/>
          <w:rtl/>
        </w:rPr>
        <w:t xml:space="preserve"> </w:t>
      </w:r>
      <w:r w:rsidR="000636C2">
        <w:rPr>
          <w:rFonts w:hint="cs"/>
          <w:rtl/>
        </w:rPr>
        <w:t>{</w:t>
      </w:r>
      <w:r w:rsidRPr="005675B2">
        <w:rPr>
          <w:rFonts w:hint="cs"/>
          <w:rtl/>
        </w:rPr>
        <w:t>وَيَسْأَلُونَكَ عَنِ الرُّوحِ قُلِ الرُّوحُ مِنْ أَمْرِ رَبِّي وَمَا أُوتِيتُمْ مِنَ الْعِلْمِ إِلَّا قَلِيلًا</w:t>
      </w:r>
      <w:r w:rsidR="000636C2">
        <w:rPr>
          <w:rFonts w:hint="cs"/>
          <w:rtl/>
        </w:rPr>
        <w:t>}</w:t>
      </w:r>
      <w:r w:rsidRPr="005675B2">
        <w:rPr>
          <w:rFonts w:hint="cs"/>
          <w:rtl/>
        </w:rPr>
        <w:t xml:space="preserve"> </w:t>
      </w:r>
      <w:r w:rsidR="000636C2">
        <w:rPr>
          <w:rFonts w:hint="cs"/>
          <w:rtl/>
        </w:rPr>
        <w:t>[</w:t>
      </w:r>
      <w:r w:rsidRPr="005675B2">
        <w:rPr>
          <w:rFonts w:hint="cs"/>
          <w:rtl/>
        </w:rPr>
        <w:t>الاسراء</w:t>
      </w:r>
      <w:r w:rsidR="000636C2">
        <w:rPr>
          <w:rFonts w:hint="cs"/>
          <w:rtl/>
        </w:rPr>
        <w:t>:</w:t>
      </w:r>
      <w:r w:rsidRPr="005675B2">
        <w:rPr>
          <w:rFonts w:hint="cs"/>
          <w:rtl/>
        </w:rPr>
        <w:t xml:space="preserve"> 85</w:t>
      </w:r>
      <w:r w:rsidR="000636C2">
        <w:rPr>
          <w:rFonts w:hint="cs"/>
          <w:rtl/>
        </w:rPr>
        <w:t>]</w:t>
      </w:r>
      <w:r w:rsidRPr="005675B2">
        <w:rPr>
          <w:rFonts w:hint="cs"/>
          <w:rtl/>
        </w:rPr>
        <w:t xml:space="preserve"> فأنى له أن يُدرك شيئا عن ذات الإله</w:t>
      </w:r>
      <w:r w:rsidR="000636C2">
        <w:rPr>
          <w:rFonts w:hint="cs"/>
          <w:rtl/>
        </w:rPr>
        <w:t>،</w:t>
      </w:r>
    </w:p>
    <w:p w14:paraId="6D243722" w14:textId="77777777" w:rsidR="009C32A0" w:rsidRPr="005675B2" w:rsidRDefault="009C32A0" w:rsidP="000636C2">
      <w:pPr>
        <w:jc w:val="center"/>
        <w:rPr>
          <w:b/>
          <w:rtl/>
        </w:rPr>
      </w:pPr>
      <w:r>
        <w:rPr>
          <w:rFonts w:hint="cs"/>
          <w:rtl/>
        </w:rPr>
        <w:t>***</w:t>
      </w:r>
      <w:r w:rsidRPr="005675B2">
        <w:rPr>
          <w:rFonts w:hint="cs"/>
          <w:rtl/>
        </w:rPr>
        <w:t xml:space="preserve"> </w:t>
      </w:r>
    </w:p>
    <w:p w14:paraId="5CDAA9A0" w14:textId="2F6176A9" w:rsidR="009C32A0" w:rsidRPr="00C07A88" w:rsidRDefault="009C32A0" w:rsidP="00C07A88">
      <w:pPr>
        <w:pStyle w:val="2"/>
        <w:bidi/>
        <w:jc w:val="center"/>
        <w:rPr>
          <w:u w:val="none"/>
          <w:rtl/>
          <w:lang w:bidi="ar-KW"/>
        </w:rPr>
      </w:pPr>
      <w:r w:rsidRPr="00C07A88">
        <w:rPr>
          <w:rFonts w:hint="cs"/>
          <w:u w:val="none"/>
          <w:rtl/>
          <w:lang w:bidi="ar-KW"/>
        </w:rPr>
        <w:t>القاعدة الرابعة عشرة من قواعد التوحيد والتقديس والتنزيه</w:t>
      </w:r>
      <w:r w:rsidR="00C07A88" w:rsidRPr="00C07A88">
        <w:rPr>
          <w:rFonts w:hint="cs"/>
          <w:u w:val="none"/>
          <w:rtl/>
          <w:lang w:bidi="ar-KW"/>
        </w:rPr>
        <w:t xml:space="preserve"> </w:t>
      </w:r>
      <w:r w:rsidRPr="00C07A88">
        <w:rPr>
          <w:rFonts w:hint="cs"/>
          <w:u w:val="none"/>
          <w:rtl/>
          <w:lang w:bidi="ar-KW"/>
        </w:rPr>
        <w:t>تنزيه ذات الله تعالى عن الشريك والوزير والناصر والمعين لكمال غناه وقهره</w:t>
      </w:r>
    </w:p>
    <w:p w14:paraId="5CB9E901" w14:textId="77777777" w:rsidR="009C32A0" w:rsidRPr="005675B2" w:rsidRDefault="009C32A0" w:rsidP="000636C2">
      <w:pPr>
        <w:rPr>
          <w:bCs/>
          <w:rtl/>
          <w:lang w:bidi="ar-KW"/>
        </w:rPr>
      </w:pPr>
    </w:p>
    <w:p w14:paraId="632CB217" w14:textId="0F06B957" w:rsidR="009C32A0" w:rsidRPr="005675B2" w:rsidRDefault="000636C2" w:rsidP="000636C2">
      <w:pPr>
        <w:rPr>
          <w:b/>
          <w:rtl/>
          <w:lang w:bidi="ar-KW"/>
        </w:rPr>
      </w:pPr>
      <w:r>
        <w:rPr>
          <w:rFonts w:hint="cs"/>
          <w:bCs/>
          <w:rtl/>
          <w:lang w:bidi="ar-KW"/>
        </w:rPr>
        <w:t>(</w:t>
      </w:r>
      <w:r w:rsidR="009C32A0" w:rsidRPr="005675B2">
        <w:rPr>
          <w:rFonts w:hint="cs"/>
          <w:bCs/>
          <w:rtl/>
          <w:lang w:bidi="ar-KW"/>
        </w:rPr>
        <w:t>أ</w:t>
      </w:r>
      <w:r>
        <w:rPr>
          <w:rFonts w:hint="cs"/>
          <w:bCs/>
          <w:rtl/>
          <w:lang w:bidi="ar-KW"/>
        </w:rPr>
        <w:t>)</w:t>
      </w:r>
      <w:r w:rsidR="009C32A0" w:rsidRPr="005675B2">
        <w:rPr>
          <w:rFonts w:hint="cs"/>
          <w:bCs/>
          <w:rtl/>
          <w:lang w:bidi="ar-KW"/>
        </w:rPr>
        <w:t xml:space="preserve"> الإسلام دين التوحيد</w:t>
      </w:r>
      <w:r>
        <w:rPr>
          <w:rFonts w:hint="cs"/>
          <w:bCs/>
          <w:rtl/>
          <w:lang w:bidi="ar-KW"/>
        </w:rPr>
        <w:t>،</w:t>
      </w:r>
      <w:r w:rsidR="009C32A0" w:rsidRPr="005675B2">
        <w:rPr>
          <w:rFonts w:hint="cs"/>
          <w:bCs/>
          <w:rtl/>
          <w:lang w:bidi="ar-KW"/>
        </w:rPr>
        <w:t xml:space="preserve"> والتوحيد ضد الشرك</w:t>
      </w:r>
      <w:r>
        <w:rPr>
          <w:rFonts w:hint="cs"/>
          <w:bCs/>
          <w:rtl/>
          <w:lang w:bidi="ar-KW"/>
        </w:rPr>
        <w:t>،</w:t>
      </w:r>
      <w:r w:rsidR="009C32A0" w:rsidRPr="005675B2">
        <w:rPr>
          <w:rFonts w:hint="cs"/>
          <w:bCs/>
          <w:rtl/>
          <w:lang w:bidi="ar-KW"/>
        </w:rPr>
        <w:t xml:space="preserve"> </w:t>
      </w:r>
      <w:r w:rsidR="009C32A0" w:rsidRPr="005675B2">
        <w:rPr>
          <w:rFonts w:hint="cs"/>
          <w:rtl/>
          <w:lang w:bidi="ar-KW"/>
        </w:rPr>
        <w:t>والشرك اتخاذ الشركاء مع الله</w:t>
      </w:r>
      <w:r>
        <w:rPr>
          <w:rFonts w:hint="cs"/>
          <w:rtl/>
          <w:lang w:bidi="ar-KW"/>
        </w:rPr>
        <w:t>،</w:t>
      </w:r>
      <w:r w:rsidR="009C32A0" w:rsidRPr="005675B2">
        <w:rPr>
          <w:rFonts w:hint="cs"/>
          <w:rtl/>
          <w:lang w:bidi="ar-KW"/>
        </w:rPr>
        <w:t xml:space="preserve"> أو اعتقاد وجود الشريك مع الله تعالى</w:t>
      </w:r>
      <w:r>
        <w:rPr>
          <w:rFonts w:hint="cs"/>
          <w:rtl/>
          <w:lang w:bidi="ar-KW"/>
        </w:rPr>
        <w:t>،</w:t>
      </w:r>
      <w:r w:rsidR="009C32A0" w:rsidRPr="005675B2">
        <w:rPr>
          <w:rFonts w:hint="cs"/>
          <w:rtl/>
          <w:lang w:bidi="ar-KW"/>
        </w:rPr>
        <w:t xml:space="preserve"> وقد عالج القرآن الكريم قضية الشريك بأوضح بيان</w:t>
      </w:r>
      <w:r>
        <w:rPr>
          <w:rFonts w:hint="cs"/>
          <w:rtl/>
          <w:lang w:bidi="ar-KW"/>
        </w:rPr>
        <w:t>،</w:t>
      </w:r>
      <w:r w:rsidR="009C32A0" w:rsidRPr="005675B2">
        <w:rPr>
          <w:rFonts w:hint="cs"/>
          <w:rtl/>
          <w:lang w:bidi="ar-KW"/>
        </w:rPr>
        <w:t xml:space="preserve"> ومن ذلك </w:t>
      </w:r>
      <w:r w:rsidR="009C32A0" w:rsidRPr="005675B2">
        <w:rPr>
          <w:rFonts w:hint="cs"/>
          <w:rtl/>
        </w:rPr>
        <w:t xml:space="preserve">قوله تعالى </w:t>
      </w:r>
      <w:r>
        <w:rPr>
          <w:rFonts w:hint="cs"/>
          <w:rtl/>
        </w:rPr>
        <w:t>{</w:t>
      </w:r>
      <w:r w:rsidR="009C32A0" w:rsidRPr="005675B2">
        <w:rPr>
          <w:rFonts w:hint="cs"/>
          <w:rtl/>
        </w:rPr>
        <w:t>لَوْ كَانَ فِيهِمَا آلِهَةٌ إِلَّا اللَّهُ لَفَسَدَتَا فَسُبْحَانَ اللَّهِ رَبِّ الْعَرْشِ عَمَّا يَصِفُونَ</w:t>
      </w:r>
      <w:r>
        <w:rPr>
          <w:rFonts w:hint="cs"/>
          <w:rtl/>
        </w:rPr>
        <w:t>}[</w:t>
      </w:r>
      <w:r w:rsidR="009C32A0" w:rsidRPr="005675B2">
        <w:rPr>
          <w:rFonts w:hint="cs"/>
          <w:rtl/>
        </w:rPr>
        <w:t>الأنبياء</w:t>
      </w:r>
      <w:r>
        <w:rPr>
          <w:rFonts w:hint="cs"/>
          <w:rtl/>
        </w:rPr>
        <w:t>:</w:t>
      </w:r>
      <w:r w:rsidR="009C32A0" w:rsidRPr="005675B2">
        <w:rPr>
          <w:rFonts w:hint="cs"/>
          <w:rtl/>
        </w:rPr>
        <w:t xml:space="preserve"> 22] فإنه لو كان لله شريك في الملك والخلق والأمر وتدبير الكون لفسد النظام الكوني برمته</w:t>
      </w:r>
      <w:r>
        <w:rPr>
          <w:rFonts w:hint="cs"/>
          <w:rtl/>
        </w:rPr>
        <w:t xml:space="preserve">، </w:t>
      </w:r>
      <w:r w:rsidR="009C32A0" w:rsidRPr="005675B2">
        <w:rPr>
          <w:rFonts w:hint="cs"/>
          <w:rtl/>
        </w:rPr>
        <w:t xml:space="preserve">كما في قوله تعالى </w:t>
      </w:r>
      <w:r>
        <w:rPr>
          <w:rFonts w:hint="cs"/>
          <w:rtl/>
        </w:rPr>
        <w:t>{</w:t>
      </w:r>
      <w:r w:rsidR="009C32A0" w:rsidRPr="005675B2">
        <w:rPr>
          <w:rFonts w:hint="cs"/>
          <w:rtl/>
        </w:rPr>
        <w:t>مَا اتَّخَذَ اللَّهُ مِنْ وَلَدٍ وَمَا كَانَ مَعَهُ مِنْ إِلَهٍ إِذًا لَذَهَبَ كُلُّ إِلَهٍ بِمَا خَلَقَ وَلَعَلَا بَعْضُهُمْ عَلَى بَعْضٍ سُبْحَانَ اللَّهِ عَمَّا يَصِفُونَ</w:t>
      </w:r>
      <w:r>
        <w:rPr>
          <w:rFonts w:hint="cs"/>
          <w:rtl/>
        </w:rPr>
        <w:t>}</w:t>
      </w:r>
      <w:r w:rsidR="009C32A0" w:rsidRPr="005675B2">
        <w:rPr>
          <w:rFonts w:hint="cs"/>
          <w:rtl/>
        </w:rPr>
        <w:t xml:space="preserve"> </w:t>
      </w:r>
      <w:r>
        <w:rPr>
          <w:rFonts w:hint="cs"/>
          <w:rtl/>
        </w:rPr>
        <w:t>[</w:t>
      </w:r>
      <w:r w:rsidR="009C32A0" w:rsidRPr="005675B2">
        <w:rPr>
          <w:rFonts w:hint="cs"/>
          <w:rtl/>
        </w:rPr>
        <w:t>المؤمنون:91]</w:t>
      </w:r>
      <w:r>
        <w:rPr>
          <w:rFonts w:hint="cs"/>
          <w:rtl/>
        </w:rPr>
        <w:t>،</w:t>
      </w:r>
      <w:r w:rsidR="009C32A0" w:rsidRPr="005675B2">
        <w:rPr>
          <w:rFonts w:hint="cs"/>
          <w:rtl/>
        </w:rPr>
        <w:t xml:space="preserve"> وقوله تعالى </w:t>
      </w:r>
      <w:r>
        <w:rPr>
          <w:rFonts w:hint="cs"/>
          <w:rtl/>
        </w:rPr>
        <w:t>{</w:t>
      </w:r>
      <w:r w:rsidR="009C32A0" w:rsidRPr="005675B2">
        <w:rPr>
          <w:rFonts w:hint="cs"/>
          <w:rtl/>
        </w:rPr>
        <w:t>قُلْ لَوْ كَانَ مَعَهُ آلِهَةٌ كَمَا يَقُولُونَ إِذًا لَابْتَغَوْا إِلَى ذِي الْعَرْشِ سَبِيلًا * سُبْحَانَهُ وَتَعَالَى عَمَّا يَقُولُونَ عُلُوًّا كَبِيرًا</w:t>
      </w:r>
      <w:r>
        <w:rPr>
          <w:rFonts w:hint="cs"/>
          <w:rtl/>
        </w:rPr>
        <w:t>}</w:t>
      </w:r>
      <w:r w:rsidR="009C32A0" w:rsidRPr="005675B2">
        <w:rPr>
          <w:rFonts w:hint="cs"/>
          <w:rtl/>
        </w:rPr>
        <w:t xml:space="preserve"> </w:t>
      </w:r>
      <w:r>
        <w:rPr>
          <w:rFonts w:hint="cs"/>
          <w:rtl/>
        </w:rPr>
        <w:t>[</w:t>
      </w:r>
      <w:r w:rsidR="009C32A0" w:rsidRPr="005675B2">
        <w:rPr>
          <w:rFonts w:hint="cs"/>
          <w:rtl/>
        </w:rPr>
        <w:t>الإسراء:42، 43]</w:t>
      </w:r>
      <w:r>
        <w:rPr>
          <w:rFonts w:hint="cs"/>
          <w:rtl/>
        </w:rPr>
        <w:t>،</w:t>
      </w:r>
      <w:r w:rsidR="009C32A0" w:rsidRPr="005675B2">
        <w:rPr>
          <w:rFonts w:hint="cs"/>
          <w:rtl/>
        </w:rPr>
        <w:t xml:space="preserve"> ولهذا خاطب الله تعالى البشرية جمعاء بقوله تعالى</w:t>
      </w:r>
      <w:r>
        <w:rPr>
          <w:rFonts w:hint="cs"/>
          <w:rtl/>
        </w:rPr>
        <w:t>: {</w:t>
      </w:r>
      <w:r w:rsidR="009C32A0" w:rsidRPr="005675B2">
        <w:rPr>
          <w:rFonts w:hint="cs"/>
          <w:rtl/>
        </w:rPr>
        <w:t>فَإِلَهُكُمْ إِلَهٌ وَاحِدٌ فَلَهُ أَسْلِمُوا وَبَشِّرِ الْمُخْبِتِينَ</w:t>
      </w:r>
      <w:r>
        <w:rPr>
          <w:rFonts w:hint="cs"/>
          <w:rtl/>
        </w:rPr>
        <w:t>}</w:t>
      </w:r>
      <w:r w:rsidR="009C32A0" w:rsidRPr="005675B2">
        <w:rPr>
          <w:rFonts w:hint="cs"/>
          <w:rtl/>
        </w:rPr>
        <w:t xml:space="preserve"> [الحج</w:t>
      </w:r>
      <w:r>
        <w:rPr>
          <w:rFonts w:hint="cs"/>
          <w:rtl/>
        </w:rPr>
        <w:t>:</w:t>
      </w:r>
      <w:r w:rsidR="009C32A0" w:rsidRPr="005675B2">
        <w:rPr>
          <w:rFonts w:hint="cs"/>
          <w:rtl/>
        </w:rPr>
        <w:t xml:space="preserve"> 34]</w:t>
      </w:r>
      <w:r>
        <w:rPr>
          <w:rFonts w:hint="cs"/>
          <w:rtl/>
        </w:rPr>
        <w:t>،</w:t>
      </w:r>
      <w:r w:rsidR="009C32A0" w:rsidRPr="005675B2">
        <w:rPr>
          <w:rFonts w:hint="cs"/>
          <w:rtl/>
        </w:rPr>
        <w:t xml:space="preserve"> وقوله تعالى </w:t>
      </w:r>
      <w:r>
        <w:rPr>
          <w:rFonts w:hint="cs"/>
          <w:rtl/>
        </w:rPr>
        <w:t>{</w:t>
      </w:r>
      <w:r w:rsidR="009C32A0" w:rsidRPr="005675B2">
        <w:rPr>
          <w:rFonts w:hint="cs"/>
          <w:rtl/>
        </w:rPr>
        <w:t>ذَلِكُمُ اللَّهُ رَبُّكُمْ لَا إِلَهَ إِلَّا هُوَ خَالِقُ كُلِّ شَيْءٍ فَاعْبُدُوهُ وَهُوَ عَلَى كُلِّ شَيْءٍ وَكِيلٌ</w:t>
      </w:r>
      <w:r>
        <w:rPr>
          <w:rFonts w:hint="cs"/>
          <w:rtl/>
        </w:rPr>
        <w:t>}</w:t>
      </w:r>
      <w:r w:rsidR="009C32A0" w:rsidRPr="005675B2">
        <w:rPr>
          <w:rFonts w:hint="cs"/>
          <w:rtl/>
        </w:rPr>
        <w:t xml:space="preserve"> </w:t>
      </w:r>
      <w:r>
        <w:rPr>
          <w:rFonts w:hint="cs"/>
          <w:rtl/>
        </w:rPr>
        <w:t>[</w:t>
      </w:r>
      <w:r w:rsidR="009C32A0" w:rsidRPr="005675B2">
        <w:rPr>
          <w:rFonts w:hint="cs"/>
          <w:rtl/>
        </w:rPr>
        <w:t>الْأَنعام</w:t>
      </w:r>
      <w:r>
        <w:rPr>
          <w:rFonts w:hint="cs"/>
          <w:rtl/>
        </w:rPr>
        <w:t>:</w:t>
      </w:r>
      <w:r w:rsidR="009C32A0" w:rsidRPr="005675B2">
        <w:rPr>
          <w:rFonts w:hint="cs"/>
          <w:rtl/>
        </w:rPr>
        <w:t xml:space="preserve"> 102</w:t>
      </w:r>
      <w:r>
        <w:rPr>
          <w:rFonts w:hint="cs"/>
          <w:rtl/>
        </w:rPr>
        <w:t xml:space="preserve">]، </w:t>
      </w:r>
      <w:r w:rsidR="009C32A0" w:rsidRPr="005675B2">
        <w:rPr>
          <w:rFonts w:hint="cs"/>
          <w:bCs/>
          <w:rtl/>
          <w:lang w:bidi="ar-KW"/>
        </w:rPr>
        <w:t>والشرك الأكبر أقسام عديدة</w:t>
      </w:r>
      <w:r>
        <w:rPr>
          <w:rFonts w:hint="cs"/>
          <w:bCs/>
          <w:rtl/>
          <w:lang w:bidi="ar-KW"/>
        </w:rPr>
        <w:t>:</w:t>
      </w:r>
      <w:r w:rsidR="009C32A0" w:rsidRPr="005675B2">
        <w:rPr>
          <w:rFonts w:hint="cs"/>
          <w:bCs/>
          <w:rtl/>
          <w:lang w:bidi="ar-KW"/>
        </w:rPr>
        <w:t xml:space="preserve"> </w:t>
      </w:r>
      <w:r w:rsidR="009C32A0" w:rsidRPr="005675B2">
        <w:rPr>
          <w:rFonts w:hint="cs"/>
          <w:rtl/>
          <w:lang w:bidi="ar-KW"/>
        </w:rPr>
        <w:t>منها اتخاذ شركاء لله تعالي في ذاته أو في أسمائه وصفاته وأفعاله أو في ربوبيته لخلقه أجمعين أو في ألوهيته واستحقاقه للعبودية وحده</w:t>
      </w:r>
      <w:r>
        <w:rPr>
          <w:rFonts w:hint="cs"/>
          <w:rtl/>
          <w:lang w:bidi="ar-KW"/>
        </w:rPr>
        <w:t>،</w:t>
      </w:r>
      <w:r w:rsidR="009C32A0" w:rsidRPr="005675B2">
        <w:rPr>
          <w:rFonts w:hint="cs"/>
          <w:rtl/>
          <w:lang w:bidi="ar-KW"/>
        </w:rPr>
        <w:t xml:space="preserve"> ومن الشرك الأكبر</w:t>
      </w:r>
      <w:r>
        <w:rPr>
          <w:rFonts w:hint="cs"/>
          <w:rtl/>
          <w:lang w:bidi="ar-KW"/>
        </w:rPr>
        <w:t>:</w:t>
      </w:r>
      <w:r w:rsidR="009C32A0" w:rsidRPr="005675B2">
        <w:rPr>
          <w:rFonts w:hint="cs"/>
          <w:rtl/>
          <w:lang w:bidi="ar-KW"/>
        </w:rPr>
        <w:t xml:space="preserve"> </w:t>
      </w:r>
      <w:r w:rsidR="009C32A0" w:rsidRPr="005675B2">
        <w:rPr>
          <w:rFonts w:hint="cs"/>
          <w:rtl/>
        </w:rPr>
        <w:t>اعتقاد الشريك</w:t>
      </w:r>
      <w:r>
        <w:rPr>
          <w:rFonts w:hint="cs"/>
          <w:rtl/>
        </w:rPr>
        <w:t xml:space="preserve">، </w:t>
      </w:r>
      <w:r w:rsidR="009C32A0" w:rsidRPr="005675B2">
        <w:rPr>
          <w:rFonts w:hint="cs"/>
          <w:rtl/>
        </w:rPr>
        <w:t>كالقول بإلهين اثنين</w:t>
      </w:r>
      <w:r>
        <w:rPr>
          <w:rFonts w:hint="cs"/>
          <w:rtl/>
        </w:rPr>
        <w:t>،</w:t>
      </w:r>
      <w:r w:rsidR="009C32A0" w:rsidRPr="005675B2">
        <w:rPr>
          <w:rFonts w:hint="cs"/>
          <w:rtl/>
        </w:rPr>
        <w:t xml:space="preserve"> قال تعالى </w:t>
      </w:r>
      <w:r>
        <w:rPr>
          <w:rFonts w:hint="cs"/>
          <w:rtl/>
        </w:rPr>
        <w:t>{</w:t>
      </w:r>
      <w:r w:rsidR="009C32A0" w:rsidRPr="005675B2">
        <w:rPr>
          <w:rFonts w:hint="cs"/>
          <w:rtl/>
        </w:rPr>
        <w:t>وَقَالَ اللَّهُ لَا تَتَّخِذُوا إِلَهَيْنِ اثْنَيْنِ إِنَّمَا هُوَ إِلَهٌ وَاحِدٌ فَإِيَّايَ فَارْهَبُونِ</w:t>
      </w:r>
      <w:r>
        <w:rPr>
          <w:rFonts w:hint="cs"/>
          <w:rtl/>
        </w:rPr>
        <w:t>}</w:t>
      </w:r>
      <w:r w:rsidR="009C32A0" w:rsidRPr="005675B2">
        <w:rPr>
          <w:rFonts w:hint="cs"/>
          <w:rtl/>
        </w:rPr>
        <w:t xml:space="preserve"> </w:t>
      </w:r>
      <w:r>
        <w:rPr>
          <w:rFonts w:hint="cs"/>
          <w:rtl/>
        </w:rPr>
        <w:t>[</w:t>
      </w:r>
      <w:r w:rsidR="009C32A0" w:rsidRPr="005675B2">
        <w:rPr>
          <w:rFonts w:hint="cs"/>
          <w:rtl/>
        </w:rPr>
        <w:t>النحل</w:t>
      </w:r>
      <w:r>
        <w:rPr>
          <w:rFonts w:hint="cs"/>
          <w:rtl/>
        </w:rPr>
        <w:t>:</w:t>
      </w:r>
      <w:r w:rsidR="009C32A0" w:rsidRPr="005675B2">
        <w:rPr>
          <w:rFonts w:hint="cs"/>
          <w:rtl/>
        </w:rPr>
        <w:t xml:space="preserve"> 51</w:t>
      </w:r>
      <w:r>
        <w:rPr>
          <w:rFonts w:hint="cs"/>
          <w:rtl/>
        </w:rPr>
        <w:t>]،</w:t>
      </w:r>
      <w:r w:rsidR="009C32A0" w:rsidRPr="005675B2">
        <w:rPr>
          <w:rFonts w:hint="cs"/>
          <w:rtl/>
        </w:rPr>
        <w:t xml:space="preserve"> واعتقاد أن غير </w:t>
      </w:r>
      <w:r w:rsidR="009C32A0" w:rsidRPr="005675B2">
        <w:rPr>
          <w:rFonts w:hint="cs"/>
          <w:rtl/>
        </w:rPr>
        <w:lastRenderedPageBreak/>
        <w:t>الله تعالى هو الإله مثل قول النصارى في نبي الله عيسى ابن مريم عليه السلام</w:t>
      </w:r>
      <w:r>
        <w:rPr>
          <w:rFonts w:hint="cs"/>
          <w:rtl/>
        </w:rPr>
        <w:t>،</w:t>
      </w:r>
      <w:r w:rsidR="009C32A0" w:rsidRPr="005675B2">
        <w:rPr>
          <w:rFonts w:hint="cs"/>
          <w:rtl/>
        </w:rPr>
        <w:t xml:space="preserve"> قال تعالى </w:t>
      </w:r>
      <w:r>
        <w:rPr>
          <w:rFonts w:hint="cs"/>
          <w:rtl/>
        </w:rPr>
        <w:t>{</w:t>
      </w:r>
      <w:r w:rsidR="009C32A0" w:rsidRPr="005675B2">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Pr>
          <w:rFonts w:hint="cs"/>
          <w:rtl/>
        </w:rPr>
        <w:t>}</w:t>
      </w:r>
      <w:r w:rsidR="009C32A0" w:rsidRPr="005675B2">
        <w:rPr>
          <w:rFonts w:hint="cs"/>
          <w:rtl/>
        </w:rPr>
        <w:t xml:space="preserve"> </w:t>
      </w:r>
      <w:r>
        <w:rPr>
          <w:rFonts w:hint="cs"/>
          <w:rtl/>
        </w:rPr>
        <w:t>[</w:t>
      </w:r>
      <w:r w:rsidR="009C32A0" w:rsidRPr="005675B2">
        <w:rPr>
          <w:rFonts w:hint="cs"/>
          <w:rtl/>
        </w:rPr>
        <w:t>المائدة</w:t>
      </w:r>
      <w:r>
        <w:rPr>
          <w:rFonts w:hint="cs"/>
          <w:rtl/>
        </w:rPr>
        <w:t>:</w:t>
      </w:r>
      <w:r w:rsidR="009C32A0" w:rsidRPr="005675B2">
        <w:rPr>
          <w:rFonts w:hint="cs"/>
          <w:rtl/>
        </w:rPr>
        <w:t xml:space="preserve"> 72</w:t>
      </w:r>
      <w:r>
        <w:rPr>
          <w:rFonts w:hint="cs"/>
          <w:rtl/>
        </w:rPr>
        <w:t>]</w:t>
      </w:r>
      <w:r w:rsidR="009C32A0" w:rsidRPr="005675B2">
        <w:rPr>
          <w:rFonts w:hint="cs"/>
          <w:rtl/>
        </w:rPr>
        <w:t xml:space="preserve"> واعتقاد أن ذات الله تعالى منقسمة إلى أقانيم مثل قول النصارى أن الله تعالى ثالث ثلاثة</w:t>
      </w:r>
      <w:r>
        <w:rPr>
          <w:rFonts w:hint="cs"/>
          <w:rtl/>
        </w:rPr>
        <w:t>،</w:t>
      </w:r>
      <w:r w:rsidR="009C32A0" w:rsidRPr="005675B2">
        <w:rPr>
          <w:rFonts w:hint="cs"/>
          <w:rtl/>
        </w:rPr>
        <w:t xml:space="preserve"> قال تعالى </w:t>
      </w:r>
      <w:r>
        <w:rPr>
          <w:rFonts w:hint="cs"/>
          <w:rtl/>
        </w:rPr>
        <w:t>{</w:t>
      </w:r>
      <w:r w:rsidR="009C32A0" w:rsidRPr="005675B2">
        <w:rPr>
          <w:rFonts w:hint="cs"/>
          <w:rtl/>
        </w:rPr>
        <w:t>لَقَدْ كَفَرَ الَّذِينَ قَالُوا إِنَّ اللَّهَ ثَالِثُ ثَلَاثَةٍ وَمَا مِنْ إِلَهٍ إِلَّا إِلَهٌ وَاحِدٌ وَإِنْ لَمْ يَنْتَهُوا عَمَّا يَقُولُونَ لَيَمَسَّنَّ الَذِينَ كَفَرُوا مِنْهُمْ عَذَابٌ أَلِيمٌ</w:t>
      </w:r>
      <w:r>
        <w:rPr>
          <w:rFonts w:hint="cs"/>
          <w:rtl/>
        </w:rPr>
        <w:t>}</w:t>
      </w:r>
      <w:r w:rsidR="009C32A0" w:rsidRPr="005675B2">
        <w:rPr>
          <w:rFonts w:hint="cs"/>
          <w:rtl/>
        </w:rPr>
        <w:t xml:space="preserve"> </w:t>
      </w:r>
      <w:r>
        <w:rPr>
          <w:rFonts w:hint="cs"/>
          <w:rtl/>
        </w:rPr>
        <w:t>[</w:t>
      </w:r>
      <w:r w:rsidR="009C32A0" w:rsidRPr="005675B2">
        <w:rPr>
          <w:rFonts w:hint="cs"/>
          <w:rtl/>
        </w:rPr>
        <w:t>المائدة</w:t>
      </w:r>
      <w:r>
        <w:rPr>
          <w:rFonts w:hint="cs"/>
          <w:rtl/>
        </w:rPr>
        <w:t>:</w:t>
      </w:r>
      <w:r w:rsidR="009C32A0" w:rsidRPr="005675B2">
        <w:rPr>
          <w:rFonts w:hint="cs"/>
          <w:rtl/>
        </w:rPr>
        <w:t xml:space="preserve"> 73</w:t>
      </w:r>
      <w:r>
        <w:rPr>
          <w:rFonts w:hint="cs"/>
          <w:rtl/>
        </w:rPr>
        <w:t>]،</w:t>
      </w:r>
      <w:r w:rsidR="009C32A0" w:rsidRPr="005675B2">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Fonts w:hint="cs"/>
          <w:rtl/>
        </w:rPr>
        <w:t>،</w:t>
      </w:r>
      <w:r w:rsidR="009C32A0" w:rsidRPr="005675B2">
        <w:rPr>
          <w:rFonts w:hint="cs"/>
          <w:rtl/>
        </w:rPr>
        <w:t xml:space="preserve"> قال تعالى </w:t>
      </w:r>
      <w:r>
        <w:rPr>
          <w:rFonts w:hint="cs"/>
          <w:rtl/>
        </w:rPr>
        <w:t>{</w:t>
      </w:r>
      <w:r w:rsidR="009C32A0" w:rsidRPr="005675B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9C32A0" w:rsidRPr="005675B2">
        <w:rPr>
          <w:rFonts w:hint="cs"/>
          <w:rtl/>
        </w:rPr>
        <w:t>لَقَدْ أَحْصَاهُمْ وَعَدَّهُمْ عَدًّا * وَكُلُّهُمْ آتِيهِ يَوْمَ الْقِيَامَةِ فَرْدًا</w:t>
      </w:r>
      <w:r>
        <w:rPr>
          <w:rFonts w:hint="cs"/>
          <w:rtl/>
        </w:rPr>
        <w:t>}</w:t>
      </w:r>
      <w:r w:rsidR="009C32A0" w:rsidRPr="005675B2">
        <w:rPr>
          <w:rFonts w:hint="cs"/>
          <w:rtl/>
        </w:rPr>
        <w:t xml:space="preserve"> </w:t>
      </w:r>
      <w:r>
        <w:rPr>
          <w:rFonts w:hint="cs"/>
          <w:rtl/>
        </w:rPr>
        <w:t>[</w:t>
      </w:r>
      <w:r w:rsidR="009C32A0" w:rsidRPr="005675B2">
        <w:rPr>
          <w:rFonts w:hint="cs"/>
          <w:rtl/>
        </w:rPr>
        <w:t>سورة مريم</w:t>
      </w:r>
      <w:r>
        <w:rPr>
          <w:rFonts w:hint="cs"/>
          <w:rtl/>
        </w:rPr>
        <w:t>:</w:t>
      </w:r>
      <w:r w:rsidR="009C32A0" w:rsidRPr="005675B2">
        <w:rPr>
          <w:rFonts w:hint="cs"/>
          <w:rtl/>
        </w:rPr>
        <w:t xml:space="preserve"> 88</w:t>
      </w:r>
      <w:r>
        <w:rPr>
          <w:rFonts w:hint="cs"/>
          <w:rtl/>
        </w:rPr>
        <w:t>،</w:t>
      </w:r>
      <w:r w:rsidR="009C32A0" w:rsidRPr="005675B2">
        <w:rPr>
          <w:rFonts w:hint="cs"/>
          <w:rtl/>
        </w:rPr>
        <w:t xml:space="preserve"> 95</w:t>
      </w:r>
      <w:r>
        <w:rPr>
          <w:rFonts w:hint="cs"/>
          <w:rtl/>
        </w:rPr>
        <w:t>]،</w:t>
      </w:r>
      <w:r w:rsidR="009C32A0" w:rsidRPr="005675B2">
        <w:rPr>
          <w:rFonts w:hint="cs"/>
          <w:rtl/>
        </w:rPr>
        <w:t xml:space="preserve"> </w:t>
      </w:r>
      <w:r w:rsidR="009C32A0" w:rsidRPr="005675B2">
        <w:rPr>
          <w:rFonts w:hint="cs"/>
          <w:rtl/>
          <w:lang w:bidi="ar-OM"/>
        </w:rPr>
        <w:t>وكاعتقاد مشركي العرب في الجن</w:t>
      </w:r>
      <w:r>
        <w:rPr>
          <w:rFonts w:hint="cs"/>
          <w:rtl/>
          <w:lang w:bidi="ar-OM"/>
        </w:rPr>
        <w:t>،</w:t>
      </w:r>
      <w:r w:rsidR="009C32A0" w:rsidRPr="005675B2">
        <w:rPr>
          <w:rFonts w:hint="cs"/>
          <w:rtl/>
          <w:lang w:bidi="ar-OM"/>
        </w:rPr>
        <w:t xml:space="preserve"> كما في قوله تعالى</w:t>
      </w:r>
      <w:r>
        <w:rPr>
          <w:rFonts w:hint="cs"/>
          <w:rtl/>
          <w:lang w:bidi="ar-OM"/>
        </w:rPr>
        <w:t>:</w:t>
      </w:r>
      <w:r w:rsidR="009C32A0" w:rsidRPr="005675B2">
        <w:rPr>
          <w:rFonts w:hint="cs"/>
          <w:rtl/>
          <w:lang w:bidi="ar-OM"/>
        </w:rPr>
        <w:t xml:space="preserve"> </w:t>
      </w:r>
      <w:r>
        <w:rPr>
          <w:rFonts w:hint="cs"/>
          <w:rtl/>
          <w:lang w:bidi="ar-OM"/>
        </w:rPr>
        <w:t>{</w:t>
      </w:r>
      <w:r w:rsidR="009C32A0" w:rsidRPr="005675B2">
        <w:rPr>
          <w:rFonts w:hint="cs"/>
          <w:rtl/>
          <w:lang w:bidi="ar-OM"/>
        </w:rPr>
        <w:t>وَجَعَلُوا لِلَّهِ شُرَكَاءَ الْجِنَّ وَخَلَقَهُمْ وَخَرَقُوا لَهُ بَنِينَ وَبَنَاتٍ بِغَيْرِ عِلْمٍ سُبْحَانَهُ وَتَعَالَى عَمَّا يَصِفُونَ</w:t>
      </w:r>
      <w:r>
        <w:rPr>
          <w:rFonts w:hint="cs"/>
          <w:rtl/>
          <w:lang w:bidi="ar-OM"/>
        </w:rPr>
        <w:t>}</w:t>
      </w:r>
      <w:r w:rsidR="009C32A0" w:rsidRPr="005675B2">
        <w:rPr>
          <w:rFonts w:hint="cs"/>
          <w:rtl/>
          <w:lang w:bidi="ar-OM"/>
        </w:rPr>
        <w:t xml:space="preserve"> </w:t>
      </w:r>
      <w:r>
        <w:rPr>
          <w:rFonts w:hint="cs"/>
          <w:rtl/>
          <w:lang w:bidi="ar-OM"/>
        </w:rPr>
        <w:t>[</w:t>
      </w:r>
      <w:r w:rsidR="009C32A0" w:rsidRPr="005675B2">
        <w:rPr>
          <w:rFonts w:hint="cs"/>
          <w:rtl/>
          <w:lang w:bidi="ar-OM"/>
        </w:rPr>
        <w:t>الأنعام</w:t>
      </w:r>
      <w:r>
        <w:rPr>
          <w:rFonts w:hint="cs"/>
          <w:rtl/>
          <w:lang w:bidi="ar-OM"/>
        </w:rPr>
        <w:t>:</w:t>
      </w:r>
      <w:r w:rsidR="009C32A0" w:rsidRPr="005675B2">
        <w:rPr>
          <w:rFonts w:hint="cs"/>
          <w:rtl/>
          <w:lang w:bidi="ar-OM"/>
        </w:rPr>
        <w:t xml:space="preserve"> 100</w:t>
      </w:r>
      <w:r>
        <w:rPr>
          <w:rFonts w:hint="cs"/>
          <w:rtl/>
          <w:lang w:bidi="ar-OM"/>
        </w:rPr>
        <w:t>]،</w:t>
      </w:r>
      <w:r w:rsidR="009C32A0" w:rsidRPr="005675B2">
        <w:rPr>
          <w:rFonts w:hint="cs"/>
          <w:rtl/>
          <w:lang w:bidi="ar-OM"/>
        </w:rPr>
        <w:t xml:space="preserve"> </w:t>
      </w:r>
      <w:r w:rsidR="009C32A0" w:rsidRPr="005675B2">
        <w:rPr>
          <w:rFonts w:hint="cs"/>
          <w:rtl/>
        </w:rPr>
        <w:t>وكاعتقاد هم وجود مؤثر آخر من دون الله تعالى في الكون ومتصرف آخر غير الله تعالى مستقل عنه</w:t>
      </w:r>
      <w:r>
        <w:rPr>
          <w:rFonts w:hint="cs"/>
          <w:rtl/>
        </w:rPr>
        <w:t>،</w:t>
      </w:r>
      <w:r w:rsidR="009C32A0" w:rsidRPr="005675B2">
        <w:rPr>
          <w:rFonts w:hint="cs"/>
          <w:rtl/>
        </w:rPr>
        <w:t xml:space="preserve"> يستطيع نصر أتباعه وإعزازهم</w:t>
      </w:r>
      <w:r>
        <w:rPr>
          <w:rFonts w:hint="cs"/>
          <w:rtl/>
        </w:rPr>
        <w:t>،</w:t>
      </w:r>
      <w:r w:rsidR="009C32A0" w:rsidRPr="005675B2">
        <w:rPr>
          <w:rFonts w:hint="cs"/>
          <w:rtl/>
        </w:rPr>
        <w:t xml:space="preserve"> كما </w:t>
      </w:r>
      <w:r w:rsidR="009C32A0" w:rsidRPr="005675B2">
        <w:rPr>
          <w:rFonts w:hint="cs"/>
          <w:rtl/>
          <w:lang w:bidi="ar-EG"/>
        </w:rPr>
        <w:t>في قوله تعالى</w:t>
      </w:r>
      <w:r>
        <w:rPr>
          <w:rFonts w:hint="cs"/>
          <w:rtl/>
          <w:lang w:bidi="ar-EG"/>
        </w:rPr>
        <w:t>:</w:t>
      </w:r>
      <w:r w:rsidR="009C32A0" w:rsidRPr="005675B2">
        <w:rPr>
          <w:rFonts w:hint="cs"/>
          <w:rtl/>
          <w:lang w:bidi="ar-EG"/>
        </w:rPr>
        <w:t xml:space="preserve"> </w:t>
      </w:r>
      <w:r>
        <w:rPr>
          <w:rFonts w:hint="cs"/>
          <w:rtl/>
          <w:lang w:bidi="ar-EG"/>
        </w:rPr>
        <w:t>{</w:t>
      </w:r>
      <w:r w:rsidR="009C32A0" w:rsidRPr="005675B2">
        <w:rPr>
          <w:rFonts w:hint="cs"/>
          <w:rtl/>
          <w:lang w:bidi="ar-EG"/>
        </w:rPr>
        <w:t>وَاتَّخَذُوا مِنْ دُونِ اللَّهِ آلِهَةً لَعَلَّهُمْ يُنْصَرُونَ</w:t>
      </w:r>
      <w:r>
        <w:rPr>
          <w:rFonts w:hint="cs"/>
          <w:rtl/>
          <w:lang w:bidi="ar-EG"/>
        </w:rPr>
        <w:t>}</w:t>
      </w:r>
      <w:r w:rsidR="009C32A0" w:rsidRPr="005675B2">
        <w:rPr>
          <w:rFonts w:hint="cs"/>
          <w:rtl/>
          <w:lang w:bidi="ar-EG"/>
        </w:rPr>
        <w:t xml:space="preserve"> </w:t>
      </w:r>
      <w:r>
        <w:rPr>
          <w:rFonts w:hint="cs"/>
          <w:rtl/>
          <w:lang w:bidi="ar-EG"/>
        </w:rPr>
        <w:t>[</w:t>
      </w:r>
      <w:r w:rsidR="009C32A0" w:rsidRPr="005675B2">
        <w:rPr>
          <w:rFonts w:hint="cs"/>
          <w:rtl/>
          <w:lang w:bidi="ar-EG"/>
        </w:rPr>
        <w:t>يس</w:t>
      </w:r>
      <w:r>
        <w:rPr>
          <w:rFonts w:hint="cs"/>
          <w:rtl/>
          <w:lang w:bidi="ar-EG"/>
        </w:rPr>
        <w:t>:</w:t>
      </w:r>
      <w:r w:rsidR="009C32A0" w:rsidRPr="005675B2">
        <w:rPr>
          <w:rFonts w:hint="cs"/>
          <w:rtl/>
          <w:lang w:bidi="ar-EG"/>
        </w:rPr>
        <w:t xml:space="preserve"> 74</w:t>
      </w:r>
      <w:r>
        <w:rPr>
          <w:rFonts w:hint="cs"/>
          <w:rtl/>
          <w:lang w:bidi="ar-EG"/>
        </w:rPr>
        <w:t>]،</w:t>
      </w:r>
      <w:r w:rsidR="009C32A0" w:rsidRPr="005675B2">
        <w:rPr>
          <w:rFonts w:hint="cs"/>
          <w:rtl/>
          <w:lang w:bidi="ar-EG"/>
        </w:rPr>
        <w:t xml:space="preserve"> وقال تعالى</w:t>
      </w:r>
      <w:r>
        <w:rPr>
          <w:rFonts w:hint="cs"/>
          <w:rtl/>
          <w:lang w:bidi="ar-EG"/>
        </w:rPr>
        <w:t>:</w:t>
      </w:r>
      <w:r w:rsidR="009C32A0" w:rsidRPr="005675B2">
        <w:rPr>
          <w:rFonts w:hint="cs"/>
          <w:rtl/>
          <w:lang w:bidi="ar-EG"/>
        </w:rPr>
        <w:t xml:space="preserve"> </w:t>
      </w:r>
      <w:r>
        <w:rPr>
          <w:rFonts w:hint="cs"/>
          <w:rtl/>
          <w:lang w:bidi="ar-EG"/>
        </w:rPr>
        <w:t>{</w:t>
      </w:r>
      <w:r w:rsidR="009C32A0" w:rsidRPr="005675B2">
        <w:rPr>
          <w:rFonts w:hint="cs"/>
          <w:rtl/>
          <w:lang w:bidi="ar-EG"/>
        </w:rPr>
        <w:t>وَاتَّخَذُوا مِنْ دُونِ اللَّهِ آلِهَةً لِيَكُونُوا لَهُمْ عِزًّا</w:t>
      </w:r>
      <w:r>
        <w:rPr>
          <w:rFonts w:hint="cs"/>
          <w:rtl/>
          <w:lang w:bidi="ar-EG"/>
        </w:rPr>
        <w:t>}</w:t>
      </w:r>
      <w:r w:rsidR="009C32A0" w:rsidRPr="005675B2">
        <w:rPr>
          <w:rFonts w:hint="cs"/>
          <w:rtl/>
          <w:lang w:bidi="ar-EG"/>
        </w:rPr>
        <w:t xml:space="preserve"> </w:t>
      </w:r>
      <w:r>
        <w:rPr>
          <w:rFonts w:hint="cs"/>
          <w:rtl/>
          <w:lang w:bidi="ar-EG"/>
        </w:rPr>
        <w:t>[</w:t>
      </w:r>
      <w:r w:rsidR="009C32A0" w:rsidRPr="005675B2">
        <w:rPr>
          <w:rFonts w:hint="cs"/>
          <w:rtl/>
          <w:lang w:bidi="ar-EG"/>
        </w:rPr>
        <w:t>مريم</w:t>
      </w:r>
      <w:r>
        <w:rPr>
          <w:rFonts w:hint="cs"/>
          <w:rtl/>
          <w:lang w:bidi="ar-EG"/>
        </w:rPr>
        <w:t>:</w:t>
      </w:r>
      <w:r w:rsidR="009C32A0" w:rsidRPr="005675B2">
        <w:rPr>
          <w:rFonts w:hint="cs"/>
          <w:rtl/>
          <w:lang w:bidi="ar-EG"/>
        </w:rPr>
        <w:t xml:space="preserve"> 81</w:t>
      </w:r>
      <w:r>
        <w:rPr>
          <w:rFonts w:hint="cs"/>
          <w:rtl/>
          <w:lang w:bidi="ar-EG"/>
        </w:rPr>
        <w:t>]،</w:t>
      </w:r>
      <w:r w:rsidR="009C32A0" w:rsidRPr="005675B2">
        <w:rPr>
          <w:rFonts w:hint="cs"/>
          <w:rtl/>
        </w:rPr>
        <w:t>فمن اعتقد بأن لله شريكاً في التأثير أو التدبير على سبيل الاستقلال</w:t>
      </w:r>
      <w:r>
        <w:rPr>
          <w:rFonts w:hint="cs"/>
          <w:rtl/>
        </w:rPr>
        <w:t>،</w:t>
      </w:r>
      <w:r w:rsidR="009C32A0" w:rsidRPr="005675B2">
        <w:rPr>
          <w:rFonts w:hint="cs"/>
          <w:rtl/>
        </w:rPr>
        <w:t xml:space="preserve"> فهذا شرك يضاد توحيد الأفعال</w:t>
      </w:r>
      <w:r>
        <w:rPr>
          <w:rFonts w:hint="cs"/>
          <w:rtl/>
        </w:rPr>
        <w:t>،</w:t>
      </w:r>
      <w:r w:rsidR="009C32A0" w:rsidRPr="005675B2">
        <w:rPr>
          <w:rFonts w:hint="cs"/>
          <w:rtl/>
        </w:rPr>
        <w:t xml:space="preserve"> وأنّه لا يكون في ملك الله تعالى إلا ما خلقه الله</w:t>
      </w:r>
      <w:r>
        <w:rPr>
          <w:rFonts w:hint="cs"/>
          <w:rtl/>
        </w:rPr>
        <w:t>،</w:t>
      </w:r>
      <w:r w:rsidR="009C32A0" w:rsidRPr="005675B2">
        <w:rPr>
          <w:rFonts w:hint="cs"/>
          <w:rtl/>
        </w:rPr>
        <w:t xml:space="preserve"> </w:t>
      </w:r>
      <w:r w:rsidR="009C32A0" w:rsidRPr="005675B2">
        <w:rPr>
          <w:rFonts w:hint="cs"/>
          <w:bCs/>
          <w:rtl/>
        </w:rPr>
        <w:t>ومن الشرك الأكبر</w:t>
      </w:r>
      <w:r w:rsidR="009C32A0" w:rsidRPr="005675B2">
        <w:rPr>
          <w:rFonts w:hint="cs"/>
          <w:rtl/>
        </w:rPr>
        <w:t xml:space="preserve"> </w:t>
      </w:r>
      <w:r w:rsidR="009C32A0" w:rsidRPr="005675B2">
        <w:rPr>
          <w:rFonts w:hint="cs"/>
          <w:bCs/>
          <w:rtl/>
        </w:rPr>
        <w:t>الشرك في ربوبية الله تعالى لخلقه أجمعين</w:t>
      </w:r>
      <w:r>
        <w:rPr>
          <w:rFonts w:hint="cs"/>
          <w:bCs/>
          <w:rtl/>
        </w:rPr>
        <w:t>،</w:t>
      </w:r>
      <w:r w:rsidR="009C32A0" w:rsidRPr="005675B2">
        <w:rPr>
          <w:rFonts w:hint="cs"/>
          <w:bCs/>
          <w:rtl/>
        </w:rPr>
        <w:t xml:space="preserve"> وهذا الشرك يتناول كل ما يناقض توحيد الربوبية</w:t>
      </w:r>
      <w:r>
        <w:rPr>
          <w:rFonts w:hint="cs"/>
          <w:rtl/>
        </w:rPr>
        <w:t>،</w:t>
      </w:r>
      <w:r w:rsidR="009C32A0" w:rsidRPr="005675B2">
        <w:rPr>
          <w:rFonts w:hint="cs"/>
          <w:rtl/>
        </w:rPr>
        <w:t xml:space="preserve"> </w:t>
      </w:r>
      <w:r w:rsidR="009C32A0" w:rsidRPr="005675B2">
        <w:rPr>
          <w:rFonts w:hint="cs"/>
          <w:bCs/>
          <w:rtl/>
          <w:lang w:bidi="ar-KW"/>
        </w:rPr>
        <w:t xml:space="preserve">وتوحيد الربوبية </w:t>
      </w:r>
      <w:r w:rsidR="009C32A0" w:rsidRPr="005675B2">
        <w:rPr>
          <w:rFonts w:hint="cs"/>
          <w:rtl/>
        </w:rPr>
        <w:t>مصطلح شامل يحمل اعتقاد معاني أساسية لا يقوم بتلك المعاني مجتمعة إلا مسمى توحيد الربوبية</w:t>
      </w:r>
      <w:r>
        <w:rPr>
          <w:rFonts w:hint="cs"/>
          <w:rtl/>
        </w:rPr>
        <w:t>،</w:t>
      </w:r>
      <w:r w:rsidR="009C32A0" w:rsidRPr="005675B2">
        <w:rPr>
          <w:rFonts w:hint="cs"/>
          <w:rtl/>
        </w:rPr>
        <w:t xml:space="preserve"> لا يصح مصطلح توحيد الربوبية إلا باعتقادها جميعا</w:t>
      </w:r>
      <w:r>
        <w:rPr>
          <w:rFonts w:hint="cs"/>
          <w:rtl/>
        </w:rPr>
        <w:t>،</w:t>
      </w:r>
      <w:r w:rsidR="009C32A0" w:rsidRPr="005675B2">
        <w:rPr>
          <w:rFonts w:hint="cs"/>
          <w:rtl/>
        </w:rPr>
        <w:t xml:space="preserve"> وتتمثل تلك الاعتقادات فيما يلي</w:t>
      </w:r>
      <w:r>
        <w:rPr>
          <w:rFonts w:hint="cs"/>
          <w:rtl/>
        </w:rPr>
        <w:t>:</w:t>
      </w:r>
      <w:r w:rsidR="009C32A0" w:rsidRPr="005675B2">
        <w:rPr>
          <w:rFonts w:hint="cs"/>
          <w:rtl/>
        </w:rPr>
        <w:t>اعتقاد أنه لا موجد ولا خالق ولا مكون لهذا الكون كله بما فيه إلا الله رب العالمين</w:t>
      </w:r>
      <w:r>
        <w:rPr>
          <w:rFonts w:hint="cs"/>
          <w:rtl/>
        </w:rPr>
        <w:t>،</w:t>
      </w:r>
      <w:r w:rsidR="009C32A0" w:rsidRPr="005675B2">
        <w:rPr>
          <w:rFonts w:hint="cs"/>
          <w:rtl/>
        </w:rPr>
        <w:t>واعتقاد أنه لا رازق على الحقيقة في الكون كله إلا الله رب العالمين</w:t>
      </w:r>
      <w:r>
        <w:rPr>
          <w:rFonts w:hint="cs"/>
          <w:rtl/>
        </w:rPr>
        <w:t>،</w:t>
      </w:r>
      <w:r w:rsidR="009C32A0" w:rsidRPr="005675B2">
        <w:rPr>
          <w:rFonts w:hint="cs"/>
          <w:rtl/>
        </w:rPr>
        <w:t xml:space="preserve"> واعتقاد أنه لا مالك لا متصرف بيده ملكوت كل شيء ولا مدبر للكون كله على الحقيقة إلا الله رب العالمين</w:t>
      </w:r>
      <w:r>
        <w:rPr>
          <w:rFonts w:hint="cs"/>
          <w:rtl/>
        </w:rPr>
        <w:t>،</w:t>
      </w:r>
      <w:r w:rsidR="009C32A0" w:rsidRPr="005675B2">
        <w:rPr>
          <w:rFonts w:hint="cs"/>
          <w:rtl/>
        </w:rPr>
        <w:t xml:space="preserve"> واعتقاد أنه لا سيد ولا مهيمن ولا حاكم ولا آمر في الكون كله على الحقيقة إلا الله رب العالمين</w:t>
      </w:r>
      <w:r>
        <w:rPr>
          <w:rFonts w:hint="cs"/>
          <w:rtl/>
        </w:rPr>
        <w:t>،</w:t>
      </w:r>
      <w:r w:rsidR="009C32A0" w:rsidRPr="005675B2">
        <w:rPr>
          <w:rFonts w:hint="cs"/>
          <w:rtl/>
        </w:rPr>
        <w:t xml:space="preserve"> واعتقاد أنه لا ناصر ولا معين ولا معز ولا مذل ولا خافض ولا رافع ولا قابض ولا باسط إلا الله رب العالمين</w:t>
      </w:r>
      <w:r>
        <w:rPr>
          <w:rFonts w:hint="cs"/>
          <w:rtl/>
        </w:rPr>
        <w:t>،</w:t>
      </w:r>
      <w:r w:rsidR="009C32A0" w:rsidRPr="005675B2">
        <w:rPr>
          <w:rFonts w:hint="cs"/>
          <w:rtl/>
        </w:rPr>
        <w:t xml:space="preserve"> واعتقاد أنه لا شفيع في شيء من أمور الكون كله إلا من بعد إذن الواحد الأحد الله رب العالمين</w:t>
      </w:r>
      <w:r>
        <w:rPr>
          <w:rFonts w:hint="cs"/>
          <w:rtl/>
        </w:rPr>
        <w:t>،</w:t>
      </w:r>
      <w:r w:rsidR="009C32A0" w:rsidRPr="005675B2">
        <w:rPr>
          <w:rFonts w:hint="cs"/>
          <w:rtl/>
        </w:rPr>
        <w:t xml:space="preserve"> واعتقاد أنه </w:t>
      </w:r>
      <w:r w:rsidR="009C32A0" w:rsidRPr="005675B2">
        <w:rPr>
          <w:rFonts w:hint="cs"/>
          <w:rtl/>
        </w:rPr>
        <w:lastRenderedPageBreak/>
        <w:t>لا شريك للرب الواحد الأحد الله رب العالمين في شيء من تلك المعاني التي يشملها توحيد الربوبية</w:t>
      </w:r>
      <w:r>
        <w:rPr>
          <w:rFonts w:hint="cs"/>
          <w:rtl/>
        </w:rPr>
        <w:t>،</w:t>
      </w:r>
      <w:r w:rsidR="009C32A0" w:rsidRPr="005675B2">
        <w:rPr>
          <w:rFonts w:hint="cs"/>
          <w:rtl/>
        </w:rPr>
        <w:t xml:space="preserve"> لا يصح مصطلح توحيد الربوبية إلا بحصر معاني الربوبية في اللّهِ وحده</w:t>
      </w:r>
      <w:r>
        <w:rPr>
          <w:rFonts w:hint="cs"/>
          <w:rtl/>
        </w:rPr>
        <w:t>،</w:t>
      </w:r>
      <w:r w:rsidR="009C32A0" w:rsidRPr="005675B2">
        <w:rPr>
          <w:rFonts w:hint="cs"/>
          <w:rtl/>
        </w:rPr>
        <w:t xml:space="preserve"> ولا يصح مصطلح توحيد الربوبية إلا باعتقادها جميعا لله رب العالمين وحده لا شريك له</w:t>
      </w:r>
      <w:r>
        <w:rPr>
          <w:rFonts w:hint="cs"/>
          <w:rtl/>
        </w:rPr>
        <w:t>،</w:t>
      </w:r>
      <w:r w:rsidR="009C32A0" w:rsidRPr="005675B2">
        <w:rPr>
          <w:rFonts w:hint="cs"/>
          <w:bCs/>
          <w:rtl/>
          <w:lang w:bidi="ar-KW"/>
        </w:rPr>
        <w:t xml:space="preserve"> فمن صرف شيئا من تلك الاعتقادات التي تمثل توحيد الربوبية إلى غير الله تعالى</w:t>
      </w:r>
      <w:r>
        <w:rPr>
          <w:rFonts w:hint="cs"/>
          <w:bCs/>
          <w:rtl/>
          <w:lang w:bidi="ar-KW"/>
        </w:rPr>
        <w:t>،</w:t>
      </w:r>
      <w:r w:rsidR="009C32A0" w:rsidRPr="005675B2">
        <w:rPr>
          <w:rFonts w:hint="cs"/>
          <w:bCs/>
          <w:rtl/>
          <w:lang w:bidi="ar-KW"/>
        </w:rPr>
        <w:t xml:space="preserve"> فقد وقع في شرك الربوبية</w:t>
      </w:r>
      <w:r>
        <w:rPr>
          <w:rFonts w:hint="cs"/>
          <w:bCs/>
          <w:rtl/>
          <w:lang w:bidi="ar-KW"/>
        </w:rPr>
        <w:t>،</w:t>
      </w:r>
      <w:r w:rsidR="009C32A0" w:rsidRPr="005675B2">
        <w:rPr>
          <w:rFonts w:hint="cs"/>
          <w:bCs/>
          <w:rtl/>
          <w:lang w:bidi="ar-KW"/>
        </w:rPr>
        <w:t xml:space="preserve"> ومن الآيات </w:t>
      </w:r>
      <w:r w:rsidR="009C32A0" w:rsidRPr="005675B2">
        <w:rPr>
          <w:rFonts w:hint="cs"/>
          <w:bCs/>
          <w:rtl/>
        </w:rPr>
        <w:t>التي تنهى عن الشرك في الربوبية</w:t>
      </w:r>
      <w:r>
        <w:rPr>
          <w:rFonts w:hint="cs"/>
          <w:bCs/>
          <w:rtl/>
        </w:rPr>
        <w:t>:</w:t>
      </w:r>
      <w:r w:rsidR="009C32A0" w:rsidRPr="005675B2">
        <w:rPr>
          <w:rFonts w:hint="cs"/>
          <w:bCs/>
          <w:rtl/>
        </w:rPr>
        <w:t xml:space="preserve"> قوله تعالى</w:t>
      </w:r>
      <w:r w:rsidR="009C32A0" w:rsidRPr="005675B2">
        <w:rPr>
          <w:rFonts w:hint="cs"/>
          <w:rtl/>
        </w:rPr>
        <w:t xml:space="preserve"> </w:t>
      </w:r>
      <w:r>
        <w:rPr>
          <w:rFonts w:hint="cs"/>
          <w:rtl/>
        </w:rPr>
        <w:t>{</w:t>
      </w:r>
      <w:r w:rsidR="009C32A0" w:rsidRPr="005675B2">
        <w:rPr>
          <w:rFonts w:hint="cs"/>
          <w:rtl/>
        </w:rPr>
        <w:t>لَكِنَّ هُوَ اللَّهُ رَبِّي وَلَا أُشْرِكُ بِرَبِّي أَحَدًا</w:t>
      </w:r>
      <w:r>
        <w:rPr>
          <w:rFonts w:hint="cs"/>
          <w:rtl/>
        </w:rPr>
        <w:t>}</w:t>
      </w:r>
      <w:r w:rsidR="009C32A0" w:rsidRPr="005675B2">
        <w:rPr>
          <w:rFonts w:hint="cs"/>
          <w:rtl/>
        </w:rPr>
        <w:t xml:space="preserve"> </w:t>
      </w:r>
      <w:r>
        <w:rPr>
          <w:rFonts w:hint="cs"/>
          <w:rtl/>
        </w:rPr>
        <w:t>[</w:t>
      </w:r>
      <w:r w:rsidR="009C32A0" w:rsidRPr="005675B2">
        <w:rPr>
          <w:rFonts w:hint="cs"/>
          <w:rtl/>
        </w:rPr>
        <w:t>الكهف</w:t>
      </w:r>
      <w:r>
        <w:rPr>
          <w:rFonts w:hint="cs"/>
          <w:rtl/>
        </w:rPr>
        <w:t>:</w:t>
      </w:r>
      <w:r w:rsidR="009C32A0" w:rsidRPr="005675B2">
        <w:rPr>
          <w:rFonts w:hint="cs"/>
          <w:rtl/>
        </w:rPr>
        <w:t xml:space="preserve"> 38</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rPr>
        <w:t>وَيَقُولُ يَا لَيْتَنِي لَمْ أُشْرِكْ بِرَبِّي أَحَدًا</w:t>
      </w:r>
      <w:r>
        <w:rPr>
          <w:rFonts w:hint="cs"/>
          <w:rtl/>
        </w:rPr>
        <w:t>}</w:t>
      </w:r>
      <w:r w:rsidR="009C32A0" w:rsidRPr="005675B2">
        <w:rPr>
          <w:rFonts w:hint="cs"/>
          <w:rtl/>
        </w:rPr>
        <w:t xml:space="preserve"> </w:t>
      </w:r>
      <w:r>
        <w:rPr>
          <w:rFonts w:hint="cs"/>
          <w:rtl/>
        </w:rPr>
        <w:t>[</w:t>
      </w:r>
      <w:r w:rsidR="009C32A0" w:rsidRPr="005675B2">
        <w:rPr>
          <w:rFonts w:hint="cs"/>
          <w:rtl/>
        </w:rPr>
        <w:t>الكهف</w:t>
      </w:r>
      <w:r>
        <w:rPr>
          <w:rFonts w:hint="cs"/>
          <w:rtl/>
        </w:rPr>
        <w:t>:</w:t>
      </w:r>
      <w:r w:rsidR="009C32A0" w:rsidRPr="005675B2">
        <w:rPr>
          <w:rFonts w:hint="cs"/>
          <w:rtl/>
        </w:rPr>
        <w:t xml:space="preserve"> 42</w:t>
      </w:r>
      <w:r>
        <w:rPr>
          <w:rFonts w:hint="cs"/>
          <w:rtl/>
        </w:rPr>
        <w:t>]،</w:t>
      </w:r>
      <w:r w:rsidR="009C32A0" w:rsidRPr="005675B2">
        <w:rPr>
          <w:rFonts w:hint="cs"/>
          <w:rtl/>
        </w:rPr>
        <w:t xml:space="preserve"> </w:t>
      </w:r>
      <w:r w:rsidR="009C32A0" w:rsidRPr="005675B2">
        <w:rPr>
          <w:rFonts w:hint="cs"/>
          <w:bCs/>
          <w:rtl/>
        </w:rPr>
        <w:t>وقوله تعالى</w:t>
      </w:r>
      <w:r w:rsidR="009C32A0" w:rsidRPr="005675B2">
        <w:rPr>
          <w:rFonts w:hint="cs"/>
          <w:rtl/>
        </w:rPr>
        <w:t xml:space="preserve"> </w:t>
      </w:r>
      <w:r>
        <w:rPr>
          <w:rFonts w:hint="cs"/>
          <w:rtl/>
        </w:rPr>
        <w:t>{</w:t>
      </w:r>
      <w:r w:rsidR="009C32A0" w:rsidRPr="005675B2">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hint="cs"/>
          <w:rtl/>
        </w:rPr>
        <w:t>}[</w:t>
      </w:r>
      <w:r w:rsidR="009C32A0" w:rsidRPr="005675B2">
        <w:rPr>
          <w:rFonts w:hint="cs"/>
          <w:rtl/>
        </w:rPr>
        <w:t>يوسف</w:t>
      </w:r>
      <w:r>
        <w:rPr>
          <w:rFonts w:hint="cs"/>
          <w:rtl/>
        </w:rPr>
        <w:t>:</w:t>
      </w:r>
      <w:r w:rsidR="009C32A0" w:rsidRPr="005675B2">
        <w:rPr>
          <w:rFonts w:hint="cs"/>
          <w:rtl/>
        </w:rPr>
        <w:t xml:space="preserve"> 39</w:t>
      </w:r>
      <w:r>
        <w:rPr>
          <w:rFonts w:hint="cs"/>
          <w:rtl/>
        </w:rPr>
        <w:t>،</w:t>
      </w:r>
      <w:r w:rsidR="009C32A0" w:rsidRPr="005675B2">
        <w:rPr>
          <w:rFonts w:hint="cs"/>
          <w:rtl/>
        </w:rPr>
        <w:t xml:space="preserve"> 40</w:t>
      </w:r>
      <w:r>
        <w:rPr>
          <w:rFonts w:hint="cs"/>
          <w:rtl/>
        </w:rPr>
        <w:t>]،</w:t>
      </w:r>
      <w:r w:rsidR="009C32A0" w:rsidRPr="005675B2">
        <w:rPr>
          <w:rFonts w:hint="cs"/>
          <w:rtl/>
        </w:rPr>
        <w:t xml:space="preserve"> وقوله تعالى</w:t>
      </w:r>
      <w:r w:rsidR="009C32A0" w:rsidRPr="005675B2">
        <w:rPr>
          <w:rFonts w:hint="cs"/>
          <w:bCs/>
          <w:rtl/>
        </w:rPr>
        <w:t xml:space="preserve"> </w:t>
      </w:r>
      <w:r>
        <w:rPr>
          <w:rFonts w:hint="cs"/>
          <w:rtl/>
        </w:rPr>
        <w:t>{</w:t>
      </w:r>
      <w:r w:rsidR="009C32A0" w:rsidRPr="005675B2">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hint="cs"/>
          <w:rtl/>
        </w:rPr>
        <w:t>}</w:t>
      </w:r>
      <w:r w:rsidR="009C32A0" w:rsidRPr="005675B2">
        <w:rPr>
          <w:rFonts w:hint="cs"/>
          <w:rtl/>
        </w:rPr>
        <w:t xml:space="preserve"> [آل عمران</w:t>
      </w:r>
      <w:r>
        <w:rPr>
          <w:rFonts w:hint="cs"/>
          <w:rtl/>
        </w:rPr>
        <w:t>:</w:t>
      </w:r>
      <w:r w:rsidR="009C32A0" w:rsidRPr="005675B2">
        <w:rPr>
          <w:rFonts w:hint="cs"/>
          <w:rtl/>
        </w:rPr>
        <w:t xml:space="preserve"> 64</w:t>
      </w:r>
      <w:r>
        <w:rPr>
          <w:rFonts w:hint="cs"/>
          <w:rtl/>
        </w:rPr>
        <w:t>]،</w:t>
      </w:r>
      <w:r w:rsidR="009C32A0" w:rsidRPr="005675B2">
        <w:rPr>
          <w:rFonts w:hint="cs"/>
          <w:rtl/>
        </w:rPr>
        <w:t xml:space="preserve"> وقوله تعالى</w:t>
      </w:r>
      <w:r w:rsidR="009C32A0" w:rsidRPr="005675B2">
        <w:rPr>
          <w:rFonts w:hint="cs"/>
          <w:bCs/>
          <w:rtl/>
        </w:rPr>
        <w:t xml:space="preserve"> </w:t>
      </w:r>
      <w:r>
        <w:rPr>
          <w:rFonts w:hint="cs"/>
          <w:rtl/>
        </w:rPr>
        <w:t>{</w:t>
      </w:r>
      <w:r w:rsidR="009C32A0" w:rsidRPr="005675B2">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hint="cs"/>
          <w:rtl/>
        </w:rPr>
        <w:t>}</w:t>
      </w:r>
      <w:r w:rsidR="009C32A0" w:rsidRPr="005675B2">
        <w:rPr>
          <w:rFonts w:hint="cs"/>
          <w:rtl/>
        </w:rPr>
        <w:t xml:space="preserve"> </w:t>
      </w:r>
      <w:r>
        <w:rPr>
          <w:rFonts w:hint="cs"/>
          <w:rtl/>
        </w:rPr>
        <w:t>[</w:t>
      </w:r>
      <w:r w:rsidR="009C32A0" w:rsidRPr="005675B2">
        <w:rPr>
          <w:rFonts w:hint="cs"/>
          <w:rtl/>
        </w:rPr>
        <w:t>آل عمران</w:t>
      </w:r>
      <w:r>
        <w:rPr>
          <w:rFonts w:hint="cs"/>
          <w:rtl/>
        </w:rPr>
        <w:t>:</w:t>
      </w:r>
      <w:r w:rsidR="009C32A0" w:rsidRPr="005675B2">
        <w:rPr>
          <w:rFonts w:hint="cs"/>
          <w:rtl/>
        </w:rPr>
        <w:t xml:space="preserve"> 79</w:t>
      </w:r>
      <w:r>
        <w:rPr>
          <w:rFonts w:hint="cs"/>
          <w:rtl/>
        </w:rPr>
        <w:t>،</w:t>
      </w:r>
      <w:r w:rsidR="009C32A0" w:rsidRPr="005675B2">
        <w:rPr>
          <w:rFonts w:hint="cs"/>
          <w:rtl/>
        </w:rPr>
        <w:t xml:space="preserve"> 80</w:t>
      </w:r>
      <w:r>
        <w:rPr>
          <w:rFonts w:hint="cs"/>
          <w:rtl/>
        </w:rPr>
        <w:t>]،</w:t>
      </w:r>
      <w:r w:rsidR="009C32A0" w:rsidRPr="005675B2">
        <w:rPr>
          <w:rFonts w:hint="cs"/>
          <w:rtl/>
        </w:rPr>
        <w:t xml:space="preserve"> </w:t>
      </w:r>
      <w:r w:rsidR="009C32A0" w:rsidRPr="005675B2">
        <w:rPr>
          <w:rFonts w:hint="cs"/>
          <w:bCs/>
          <w:rtl/>
        </w:rPr>
        <w:t xml:space="preserve">وقوله تعالى </w:t>
      </w:r>
      <w:r>
        <w:rPr>
          <w:rFonts w:hint="cs"/>
          <w:bCs/>
          <w:rtl/>
        </w:rPr>
        <w:t>{</w:t>
      </w:r>
      <w:r w:rsidR="009C32A0" w:rsidRPr="005675B2">
        <w:rPr>
          <w:rFonts w:hint="cs"/>
          <w:rtl/>
        </w:rPr>
        <w:t>اتَّخَذُوا أَحْبَارَهُمْ وَرُهْبَانَهُمْ أَرْبَابًا مِنْ دُونِ اللَّهِ وَالْمَسِيحَ بْنَ مَرْيَمَ وَمَا أُمِرُوا إِلَّا لِيَعْبُدُوا إِلَهًا وَاحِدًا لَا إِلَهَ إِلَّا هُوَ سُبْحَانَهُ عَمَّا يُشْرِكُونَ</w:t>
      </w:r>
      <w:r>
        <w:rPr>
          <w:rFonts w:hint="cs"/>
          <w:rtl/>
        </w:rPr>
        <w:t>}[</w:t>
      </w:r>
      <w:r w:rsidR="009C32A0" w:rsidRPr="005675B2">
        <w:rPr>
          <w:rFonts w:hint="cs"/>
          <w:rtl/>
        </w:rPr>
        <w:t>التوبة</w:t>
      </w:r>
      <w:r>
        <w:rPr>
          <w:rFonts w:hint="cs"/>
          <w:rtl/>
        </w:rPr>
        <w:t>:</w:t>
      </w:r>
      <w:r w:rsidR="009C32A0" w:rsidRPr="005675B2">
        <w:rPr>
          <w:rFonts w:hint="cs"/>
          <w:rtl/>
        </w:rPr>
        <w:t xml:space="preserve"> 31</w:t>
      </w:r>
      <w:r>
        <w:rPr>
          <w:rFonts w:hint="cs"/>
          <w:rtl/>
        </w:rPr>
        <w:t>]،</w:t>
      </w:r>
      <w:r w:rsidR="009C32A0" w:rsidRPr="005675B2">
        <w:rPr>
          <w:rFonts w:hint="cs"/>
          <w:rtl/>
        </w:rPr>
        <w:t xml:space="preserve"> </w:t>
      </w:r>
      <w:r w:rsidR="009C32A0" w:rsidRPr="005675B2">
        <w:rPr>
          <w:rFonts w:hint="cs"/>
          <w:bCs/>
          <w:rtl/>
        </w:rPr>
        <w:t xml:space="preserve">وقوله تعالى </w:t>
      </w:r>
      <w:r>
        <w:rPr>
          <w:rFonts w:hint="cs"/>
          <w:rtl/>
        </w:rPr>
        <w:t>{</w:t>
      </w:r>
      <w:r w:rsidR="009C32A0" w:rsidRPr="005675B2">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9C32A0" w:rsidRPr="005675B2">
        <w:rPr>
          <w:rFonts w:hint="cs"/>
          <w:rtl/>
        </w:rPr>
        <w:t>الأنعام</w:t>
      </w:r>
      <w:r>
        <w:rPr>
          <w:rFonts w:hint="cs"/>
          <w:rtl/>
        </w:rPr>
        <w:t>:</w:t>
      </w:r>
      <w:r w:rsidR="009C32A0" w:rsidRPr="005675B2">
        <w:rPr>
          <w:rFonts w:hint="cs"/>
          <w:rtl/>
        </w:rPr>
        <w:t xml:space="preserve"> 164</w:t>
      </w:r>
      <w:r>
        <w:rPr>
          <w:rFonts w:hint="cs"/>
          <w:rtl/>
        </w:rPr>
        <w:t>]،</w:t>
      </w:r>
      <w:r w:rsidR="009C32A0" w:rsidRPr="005675B2">
        <w:rPr>
          <w:rFonts w:hint="cs"/>
          <w:rtl/>
        </w:rPr>
        <w:t xml:space="preserve"> </w:t>
      </w:r>
      <w:r w:rsidR="009C32A0" w:rsidRPr="005675B2">
        <w:rPr>
          <w:rFonts w:hint="cs"/>
          <w:bCs/>
          <w:rtl/>
        </w:rPr>
        <w:t>وعلى ذلك فإنّ أنواع الشرك في الربوبية كثيرة منها</w:t>
      </w:r>
      <w:r>
        <w:rPr>
          <w:rFonts w:hint="cs"/>
          <w:bCs/>
          <w:rtl/>
        </w:rPr>
        <w:t>:</w:t>
      </w:r>
      <w:r w:rsidR="009C32A0" w:rsidRPr="005675B2">
        <w:rPr>
          <w:rFonts w:hint="cs"/>
          <w:rtl/>
        </w:rPr>
        <w:t xml:space="preserve"> من اعتقد أن غير الله شريك مع الله في شيء من الخلق والرزق</w:t>
      </w:r>
      <w:r>
        <w:rPr>
          <w:rFonts w:hint="cs"/>
          <w:rtl/>
        </w:rPr>
        <w:t>،</w:t>
      </w:r>
      <w:r w:rsidR="009C32A0" w:rsidRPr="005675B2">
        <w:rPr>
          <w:rFonts w:hint="cs"/>
          <w:rtl/>
        </w:rPr>
        <w:t xml:space="preserve"> ومن اعتقد أن غير الله شريك مع الله في شيء من تدبير الكون والتصريف</w:t>
      </w:r>
      <w:r>
        <w:rPr>
          <w:rFonts w:hint="cs"/>
          <w:rtl/>
        </w:rPr>
        <w:t>،</w:t>
      </w:r>
      <w:r w:rsidR="009C32A0" w:rsidRPr="005675B2">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9C32A0" w:rsidRPr="005675B2">
        <w:rPr>
          <w:rFonts w:hint="cs"/>
          <w:rtl/>
        </w:rPr>
        <w:t>والإضلال</w:t>
      </w:r>
      <w:r>
        <w:rPr>
          <w:rFonts w:hint="cs"/>
          <w:rtl/>
        </w:rPr>
        <w:t>،</w:t>
      </w:r>
      <w:r w:rsidR="009C32A0" w:rsidRPr="005675B2">
        <w:rPr>
          <w:rFonts w:hint="cs"/>
          <w:rtl/>
        </w:rPr>
        <w:t xml:space="preserve"> ومن اعتقد أن غير الله شريك مع الله في شيء من الحكم والأمر والتشريع والتحليل والتحريم</w:t>
      </w:r>
      <w:r>
        <w:rPr>
          <w:rFonts w:hint="cs"/>
          <w:rtl/>
        </w:rPr>
        <w:t>،</w:t>
      </w:r>
      <w:r w:rsidR="009C32A0" w:rsidRPr="005675B2">
        <w:rPr>
          <w:rFonts w:hint="cs"/>
          <w:rtl/>
        </w:rPr>
        <w:t xml:space="preserve"> ومن اعتقد أن أحدا يستطيع الشفاعة عند الله على سبيل الاستقلال أو الحق الجبري على الله</w:t>
      </w:r>
      <w:r>
        <w:rPr>
          <w:rFonts w:hint="cs"/>
          <w:rtl/>
        </w:rPr>
        <w:t>،</w:t>
      </w:r>
      <w:r w:rsidR="009C32A0" w:rsidRPr="005675B2">
        <w:rPr>
          <w:rFonts w:hint="cs"/>
          <w:rtl/>
        </w:rPr>
        <w:t xml:space="preserve"> وأنّ المشركين كانوا على الشرك في أكثر مفردات الربوبية</w:t>
      </w:r>
      <w:r>
        <w:rPr>
          <w:rFonts w:hint="cs"/>
          <w:rtl/>
        </w:rPr>
        <w:t>،</w:t>
      </w:r>
      <w:r w:rsidR="009C32A0" w:rsidRPr="005675B2">
        <w:rPr>
          <w:rFonts w:hint="cs"/>
          <w:rtl/>
        </w:rPr>
        <w:t xml:space="preserve"> وأنّ توحيد الربوبية مصطلح عظيم لا يكون عليه إلا الموحدون الذين تبرؤا من كل شرك في الربوبية وتمثلوا قول الله تعالى </w:t>
      </w:r>
      <w:r>
        <w:rPr>
          <w:rFonts w:hint="cs"/>
          <w:rtl/>
        </w:rPr>
        <w:t>{</w:t>
      </w:r>
      <w:r w:rsidR="009C32A0" w:rsidRPr="005675B2">
        <w:rPr>
          <w:rFonts w:hint="cs"/>
          <w:rtl/>
        </w:rPr>
        <w:t>أفغير الله ابتغي ربا وهو رب كل شيء</w:t>
      </w:r>
      <w:r>
        <w:rPr>
          <w:rFonts w:hint="cs"/>
          <w:rtl/>
        </w:rPr>
        <w:t>}</w:t>
      </w:r>
      <w:r>
        <w:rPr>
          <w:rFonts w:eastAsiaTheme="minorEastAsia" w:hint="cs"/>
          <w:rtl/>
        </w:rPr>
        <w:t>،</w:t>
      </w:r>
      <w:r w:rsidR="009C32A0" w:rsidRPr="005675B2">
        <w:rPr>
          <w:rFonts w:eastAsiaTheme="minorEastAsia" w:hint="cs"/>
          <w:rtl/>
        </w:rPr>
        <w:t xml:space="preserve"> </w:t>
      </w:r>
      <w:r w:rsidR="009C32A0" w:rsidRPr="005675B2">
        <w:rPr>
          <w:rFonts w:eastAsiaTheme="minorEastAsia" w:hint="cs"/>
          <w:bCs/>
          <w:rtl/>
        </w:rPr>
        <w:t>ومن أمثلة الشرك الاكبر</w:t>
      </w:r>
      <w:r>
        <w:rPr>
          <w:rFonts w:eastAsiaTheme="minorEastAsia" w:hint="cs"/>
          <w:rtl/>
        </w:rPr>
        <w:t>:</w:t>
      </w:r>
      <w:r w:rsidR="009C32A0" w:rsidRPr="005675B2">
        <w:rPr>
          <w:rFonts w:eastAsiaTheme="minorEastAsia" w:hint="cs"/>
          <w:rtl/>
        </w:rPr>
        <w:t xml:space="preserve"> </w:t>
      </w:r>
      <w:r w:rsidR="009C32A0" w:rsidRPr="005675B2">
        <w:rPr>
          <w:rFonts w:hint="cs"/>
          <w:bCs/>
          <w:rtl/>
        </w:rPr>
        <w:t>الشرك في ألوهية الله تعالى</w:t>
      </w:r>
      <w:r>
        <w:rPr>
          <w:rFonts w:hint="cs"/>
          <w:bCs/>
          <w:rtl/>
        </w:rPr>
        <w:t>،</w:t>
      </w:r>
      <w:r w:rsidR="009C32A0" w:rsidRPr="005675B2">
        <w:rPr>
          <w:rFonts w:hint="cs"/>
          <w:bCs/>
          <w:rtl/>
        </w:rPr>
        <w:t xml:space="preserve"> واستحقاقه وحده للعبودية يتناول كل ما يناقض توحيد الألوهية</w:t>
      </w:r>
      <w:r>
        <w:rPr>
          <w:rFonts w:hint="cs"/>
          <w:rtl/>
        </w:rPr>
        <w:t>،</w:t>
      </w:r>
      <w:r w:rsidR="009C32A0" w:rsidRPr="005675B2">
        <w:rPr>
          <w:rFonts w:hint="cs"/>
          <w:rtl/>
        </w:rPr>
        <w:t xml:space="preserve"> </w:t>
      </w:r>
      <w:r w:rsidR="009C32A0" w:rsidRPr="005675B2">
        <w:rPr>
          <w:rFonts w:hint="cs"/>
          <w:bCs/>
          <w:rtl/>
        </w:rPr>
        <w:t>و توحيد الألوهية</w:t>
      </w:r>
      <w:r>
        <w:rPr>
          <w:rFonts w:hint="cs"/>
          <w:bCs/>
          <w:rtl/>
        </w:rPr>
        <w:t>:</w:t>
      </w:r>
      <w:r w:rsidR="009C32A0" w:rsidRPr="005675B2">
        <w:rPr>
          <w:rFonts w:hint="cs"/>
          <w:bCs/>
          <w:rtl/>
        </w:rPr>
        <w:t xml:space="preserve"> معناه اعتقاد استحقاق الله تعالى للعبادة </w:t>
      </w:r>
      <w:r w:rsidR="009C32A0" w:rsidRPr="005675B2">
        <w:rPr>
          <w:rFonts w:hint="cs"/>
          <w:bCs/>
          <w:rtl/>
        </w:rPr>
        <w:lastRenderedPageBreak/>
        <w:t>وحده لأنّه هو الرب الإله الحق</w:t>
      </w:r>
      <w:r>
        <w:rPr>
          <w:rFonts w:hint="cs"/>
          <w:bCs/>
          <w:rtl/>
        </w:rPr>
        <w:t>،</w:t>
      </w:r>
      <w:r w:rsidR="009C32A0" w:rsidRPr="005675B2">
        <w:rPr>
          <w:rFonts w:hint="cs"/>
          <w:bCs/>
          <w:rtl/>
        </w:rPr>
        <w:t xml:space="preserve"> فلا تصرف العبادات إلا إليه</w:t>
      </w:r>
      <w:r>
        <w:rPr>
          <w:rFonts w:hint="cs"/>
          <w:bCs/>
          <w:rtl/>
        </w:rPr>
        <w:t>،</w:t>
      </w:r>
      <w:r w:rsidR="009C32A0" w:rsidRPr="005675B2">
        <w:rPr>
          <w:rFonts w:hint="cs"/>
          <w:bCs/>
          <w:rtl/>
        </w:rPr>
        <w:t xml:space="preserve"> </w:t>
      </w:r>
      <w:r w:rsidR="009C32A0" w:rsidRPr="005675B2">
        <w:rPr>
          <w:rFonts w:hint="cs"/>
          <w:rtl/>
          <w:lang w:bidi="ar-KW"/>
        </w:rPr>
        <w:t>وعمدة هذا التوحيد قوله تعالى</w:t>
      </w:r>
      <w:r>
        <w:rPr>
          <w:rFonts w:hint="cs"/>
          <w:rtl/>
          <w:lang w:bidi="ar-KW"/>
        </w:rPr>
        <w:t>:</w:t>
      </w:r>
      <w:r w:rsidR="009C32A0" w:rsidRPr="005675B2">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hint="cs"/>
          <w:rtl/>
          <w:lang w:bidi="ar-KW"/>
        </w:rPr>
        <w:t>[</w:t>
      </w:r>
      <w:r w:rsidR="009C32A0" w:rsidRPr="005675B2">
        <w:rPr>
          <w:rFonts w:hint="cs"/>
          <w:rtl/>
          <w:lang w:bidi="ar-KW"/>
        </w:rPr>
        <w:t>آل عمران</w:t>
      </w:r>
      <w:r>
        <w:rPr>
          <w:rFonts w:hint="cs"/>
          <w:rtl/>
          <w:lang w:bidi="ar-KW"/>
        </w:rPr>
        <w:t>:</w:t>
      </w:r>
      <w:r w:rsidR="009C32A0" w:rsidRPr="005675B2">
        <w:rPr>
          <w:rFonts w:hint="cs"/>
          <w:rtl/>
          <w:lang w:bidi="ar-KW"/>
        </w:rPr>
        <w:t xml:space="preserve"> 64</w:t>
      </w:r>
      <w:r>
        <w:rPr>
          <w:rFonts w:hint="cs"/>
          <w:rtl/>
          <w:lang w:bidi="ar-KW"/>
        </w:rPr>
        <w:t>]،</w:t>
      </w:r>
      <w:r w:rsidR="009C32A0" w:rsidRPr="005675B2">
        <w:rPr>
          <w:rFonts w:hint="cs"/>
          <w:rtl/>
          <w:lang w:bidi="ar-KW"/>
        </w:rPr>
        <w:t xml:space="preserve"> و</w:t>
      </w:r>
      <w:r w:rsidR="009C32A0" w:rsidRPr="005675B2">
        <w:rPr>
          <w:rFonts w:hint="cs"/>
          <w:rtl/>
        </w:rPr>
        <w:t xml:space="preserve"> قوله تعالى </w:t>
      </w:r>
      <w:r>
        <w:rPr>
          <w:rFonts w:hint="cs"/>
          <w:rtl/>
        </w:rPr>
        <w:t>{</w:t>
      </w:r>
      <w:r w:rsidR="009C32A0" w:rsidRPr="005675B2">
        <w:rPr>
          <w:rFonts w:hint="cs"/>
          <w:rtl/>
        </w:rPr>
        <w:t>وَمَا أَرْسَلْنَا مِنْ قَبْلِكَ مِنْ رَسُولٍ إِلَّا نُوحِي إِلَيْهِ أَنَّهُ لَا إِلَهَ إِلَّا أَنَا فَاعْبُدُونِ</w:t>
      </w:r>
      <w:r>
        <w:rPr>
          <w:rFonts w:hint="cs"/>
          <w:rtl/>
        </w:rPr>
        <w:t>}</w:t>
      </w:r>
      <w:r w:rsidR="009C32A0" w:rsidRPr="005675B2">
        <w:rPr>
          <w:rFonts w:hint="cs"/>
          <w:rtl/>
        </w:rPr>
        <w:t xml:space="preserve"> </w:t>
      </w:r>
      <w:r>
        <w:rPr>
          <w:rFonts w:hint="cs"/>
          <w:rtl/>
        </w:rPr>
        <w:t>[</w:t>
      </w:r>
      <w:r w:rsidR="009C32A0" w:rsidRPr="005675B2">
        <w:rPr>
          <w:rFonts w:hint="cs"/>
          <w:rtl/>
        </w:rPr>
        <w:t>الْأَنْبياء</w:t>
      </w:r>
      <w:r>
        <w:rPr>
          <w:rFonts w:hint="cs"/>
          <w:rtl/>
        </w:rPr>
        <w:t>:</w:t>
      </w:r>
      <w:r w:rsidR="009C32A0" w:rsidRPr="005675B2">
        <w:rPr>
          <w:rFonts w:hint="cs"/>
          <w:rtl/>
        </w:rPr>
        <w:t xml:space="preserve"> 25</w:t>
      </w:r>
      <w:r>
        <w:rPr>
          <w:rFonts w:hint="cs"/>
          <w:rtl/>
        </w:rPr>
        <w:t>]،</w:t>
      </w:r>
      <w:r w:rsidR="009C32A0" w:rsidRPr="005675B2">
        <w:rPr>
          <w:rFonts w:hint="cs"/>
          <w:rtl/>
        </w:rPr>
        <w:t xml:space="preserve"> وقوله تعالى </w:t>
      </w:r>
      <w:r>
        <w:rPr>
          <w:rFonts w:hint="cs"/>
          <w:rtl/>
        </w:rPr>
        <w:t>{</w:t>
      </w:r>
      <w:r w:rsidR="009C32A0" w:rsidRPr="005675B2">
        <w:rPr>
          <w:rFonts w:hint="cs"/>
          <w:rtl/>
        </w:rPr>
        <w:t>وَلَقَدْ بَعَثْنَا فِي كُلِّ أُمَّةٍ رَسُولًا أَنِ اعْبُدُوا اللَّهَ وَاجْتَنِبُوا الطَّاغُوتَ</w:t>
      </w:r>
      <w:r>
        <w:rPr>
          <w:rFonts w:hint="cs"/>
          <w:rtl/>
        </w:rPr>
        <w:t>}</w:t>
      </w:r>
      <w:r w:rsidR="009C32A0" w:rsidRPr="005675B2">
        <w:rPr>
          <w:rFonts w:hint="cs"/>
          <w:rtl/>
        </w:rPr>
        <w:t xml:space="preserve"> </w:t>
      </w:r>
      <w:r>
        <w:rPr>
          <w:rFonts w:hint="cs"/>
          <w:rtl/>
        </w:rPr>
        <w:t>[</w:t>
      </w:r>
      <w:r w:rsidR="009C32A0" w:rsidRPr="005675B2">
        <w:rPr>
          <w:rFonts w:hint="cs"/>
          <w:rtl/>
        </w:rPr>
        <w:t>النحل</w:t>
      </w:r>
      <w:r>
        <w:rPr>
          <w:rFonts w:hint="cs"/>
          <w:rtl/>
        </w:rPr>
        <w:t>:</w:t>
      </w:r>
      <w:r w:rsidR="009C32A0" w:rsidRPr="005675B2">
        <w:rPr>
          <w:rFonts w:hint="cs"/>
          <w:rtl/>
        </w:rPr>
        <w:t xml:space="preserve"> 36</w:t>
      </w:r>
      <w:r>
        <w:rPr>
          <w:rFonts w:hint="cs"/>
          <w:rtl/>
        </w:rPr>
        <w:t>]،</w:t>
      </w:r>
      <w:r w:rsidR="009C32A0" w:rsidRPr="005675B2">
        <w:rPr>
          <w:rFonts w:hint="cs"/>
          <w:rtl/>
        </w:rPr>
        <w:t xml:space="preserve"> وقوله تعالى </w:t>
      </w:r>
      <w:r>
        <w:rPr>
          <w:rFonts w:hint="cs"/>
          <w:rtl/>
        </w:rPr>
        <w:t>{</w:t>
      </w:r>
      <w:r w:rsidR="009C32A0" w:rsidRPr="005675B2">
        <w:rPr>
          <w:rFonts w:hint="cs"/>
          <w:rtl/>
        </w:rPr>
        <w:t>لَقَدْ أَرْسَلْنَا نُوحًا إِلَى قَوْمِهِ فَقَالَ يَا قَوْمِ اعْبُدُوا اللَّهَ مَا لَكُمْ مِنْ إِلَهٍ غَيْرُهُ</w:t>
      </w:r>
      <w:r>
        <w:rPr>
          <w:rFonts w:hint="cs"/>
          <w:rtl/>
        </w:rPr>
        <w:t>}</w:t>
      </w:r>
      <w:r w:rsidR="009C32A0" w:rsidRPr="005675B2">
        <w:rPr>
          <w:rFonts w:hint="cs"/>
          <w:rtl/>
        </w:rPr>
        <w:t xml:space="preserve"> </w:t>
      </w:r>
      <w:r>
        <w:rPr>
          <w:rFonts w:hint="cs"/>
          <w:rtl/>
        </w:rPr>
        <w:t>[</w:t>
      </w:r>
      <w:r w:rsidR="009C32A0" w:rsidRPr="005675B2">
        <w:rPr>
          <w:rFonts w:hint="cs"/>
          <w:rtl/>
        </w:rPr>
        <w:t>الْأَعراف</w:t>
      </w:r>
      <w:r>
        <w:rPr>
          <w:rFonts w:hint="cs"/>
          <w:rtl/>
        </w:rPr>
        <w:t>:</w:t>
      </w:r>
      <w:r w:rsidR="009C32A0" w:rsidRPr="005675B2">
        <w:rPr>
          <w:rFonts w:hint="cs"/>
          <w:rtl/>
        </w:rPr>
        <w:t xml:space="preserve"> 59</w:t>
      </w:r>
      <w:r>
        <w:rPr>
          <w:rFonts w:hint="cs"/>
          <w:rtl/>
        </w:rPr>
        <w:t>]،</w:t>
      </w:r>
      <w:r w:rsidR="009C32A0" w:rsidRPr="005675B2">
        <w:rPr>
          <w:rFonts w:hint="cs"/>
          <w:rtl/>
        </w:rPr>
        <w:t xml:space="preserve"> وقوله تعالى </w:t>
      </w:r>
      <w:r>
        <w:rPr>
          <w:rFonts w:hint="cs"/>
          <w:rtl/>
        </w:rPr>
        <w:t>{</w:t>
      </w:r>
      <w:r w:rsidR="009C32A0" w:rsidRPr="005675B2">
        <w:rPr>
          <w:rFonts w:hint="cs"/>
          <w:rtl/>
        </w:rPr>
        <w:t xml:space="preserve">وَمَا خَلَقْتُ الْجِنَّ وَالْإِنْسَ إِلَّا لِيَعْبُدُونِ (56) </w:t>
      </w:r>
      <w:r>
        <w:rPr>
          <w:rFonts w:hint="cs"/>
          <w:rtl/>
        </w:rPr>
        <w:t>[</w:t>
      </w:r>
      <w:r w:rsidR="009C32A0" w:rsidRPr="005675B2">
        <w:rPr>
          <w:rFonts w:hint="cs"/>
          <w:rtl/>
        </w:rPr>
        <w:t>الذاريات</w:t>
      </w:r>
      <w:r>
        <w:rPr>
          <w:rFonts w:hint="cs"/>
          <w:rtl/>
        </w:rPr>
        <w:t>:</w:t>
      </w:r>
      <w:r w:rsidR="009C32A0" w:rsidRPr="005675B2">
        <w:rPr>
          <w:rFonts w:hint="cs"/>
          <w:rtl/>
        </w:rPr>
        <w:t xml:space="preserve"> 56</w:t>
      </w:r>
      <w:r>
        <w:rPr>
          <w:rFonts w:hint="cs"/>
          <w:rtl/>
        </w:rPr>
        <w:t>]،</w:t>
      </w:r>
      <w:r w:rsidR="009C32A0" w:rsidRPr="005675B2">
        <w:rPr>
          <w:rFonts w:hint="cs"/>
          <w:rtl/>
        </w:rPr>
        <w:t xml:space="preserve"> وقوله تعالى </w:t>
      </w:r>
      <w:r>
        <w:rPr>
          <w:rFonts w:hint="cs"/>
          <w:rtl/>
        </w:rPr>
        <w:t>{</w:t>
      </w:r>
      <w:r w:rsidR="009C32A0" w:rsidRPr="005675B2">
        <w:rPr>
          <w:rFonts w:hint="cs"/>
          <w:rtl/>
        </w:rPr>
        <w:t>وَمَا أُمِرُوا إِلَّا لِيَعْبُدُوا إِلَهًا وَاحِدًا لَا إِلَهَ إِلَّا هُوَ سُبْحَانَهُ عَمَّا يُشْرِكُونَ</w:t>
      </w:r>
      <w:r>
        <w:rPr>
          <w:rFonts w:hint="cs"/>
          <w:rtl/>
        </w:rPr>
        <w:t>}</w:t>
      </w:r>
      <w:r w:rsidR="009C32A0" w:rsidRPr="005675B2">
        <w:rPr>
          <w:rFonts w:hint="cs"/>
          <w:rtl/>
        </w:rPr>
        <w:t xml:space="preserve"> </w:t>
      </w:r>
      <w:r>
        <w:rPr>
          <w:rFonts w:hint="cs"/>
          <w:rtl/>
        </w:rPr>
        <w:t>[</w:t>
      </w:r>
      <w:r w:rsidR="009C32A0" w:rsidRPr="005675B2">
        <w:rPr>
          <w:rFonts w:hint="cs"/>
          <w:rtl/>
        </w:rPr>
        <w:t>التوبة</w:t>
      </w:r>
      <w:r>
        <w:rPr>
          <w:rFonts w:hint="cs"/>
          <w:rtl/>
        </w:rPr>
        <w:t>:</w:t>
      </w:r>
      <w:r w:rsidR="009C32A0" w:rsidRPr="005675B2">
        <w:rPr>
          <w:rFonts w:hint="cs"/>
          <w:rtl/>
        </w:rPr>
        <w:t xml:space="preserve"> 31</w:t>
      </w:r>
      <w:r>
        <w:rPr>
          <w:rFonts w:hint="cs"/>
          <w:rtl/>
        </w:rPr>
        <w:t>]،</w:t>
      </w:r>
      <w:r w:rsidR="009C32A0" w:rsidRPr="005675B2">
        <w:rPr>
          <w:rFonts w:hint="cs"/>
          <w:rtl/>
        </w:rPr>
        <w:t xml:space="preserve"> </w:t>
      </w:r>
      <w:r w:rsidR="009C32A0" w:rsidRPr="005675B2">
        <w:rPr>
          <w:rFonts w:hint="cs"/>
          <w:bCs/>
          <w:rtl/>
        </w:rPr>
        <w:t>والشرك الأكبر المناقض لتوحيد الالوهية</w:t>
      </w:r>
      <w:r>
        <w:rPr>
          <w:rFonts w:hint="cs"/>
          <w:bCs/>
          <w:rtl/>
        </w:rPr>
        <w:t>:</w:t>
      </w:r>
      <w:r w:rsidR="009C32A0" w:rsidRPr="005675B2">
        <w:rPr>
          <w:rFonts w:hint="cs"/>
          <w:rtl/>
        </w:rPr>
        <w:t xml:space="preserve"> يتمثل في صرف العبادة إلى غير الله مع اعتقاد وجود نوع من شراكته مع الله في شيء الربوبية أو الألوهية</w:t>
      </w:r>
      <w:r>
        <w:rPr>
          <w:rFonts w:hint="cs"/>
          <w:rtl/>
        </w:rPr>
        <w:t>،</w:t>
      </w:r>
      <w:r w:rsidR="009C32A0" w:rsidRPr="005675B2">
        <w:rPr>
          <w:rFonts w:hint="cs"/>
          <w:rtl/>
        </w:rPr>
        <w:t xml:space="preserve"> كأن يعتقد فيه نوع من التدبير والتصريف باستقلال عن الله</w:t>
      </w:r>
      <w:r>
        <w:rPr>
          <w:rFonts w:hint="cs"/>
          <w:rtl/>
        </w:rPr>
        <w:t>،</w:t>
      </w:r>
      <w:r w:rsidR="009C32A0" w:rsidRPr="005675B2">
        <w:rPr>
          <w:rFonts w:hint="cs"/>
          <w:rtl/>
        </w:rPr>
        <w:t xml:space="preserve"> أو شفاعة ملزمة على الله</w:t>
      </w:r>
      <w:r>
        <w:rPr>
          <w:rFonts w:hint="cs"/>
          <w:rtl/>
        </w:rPr>
        <w:t>،</w:t>
      </w:r>
      <w:r w:rsidR="009C32A0" w:rsidRPr="005675B2">
        <w:rPr>
          <w:rFonts w:hint="cs"/>
          <w:rtl/>
        </w:rPr>
        <w:t xml:space="preserve"> أو استحقاق أن يعبد من دون الله</w:t>
      </w:r>
      <w:r>
        <w:rPr>
          <w:rFonts w:hint="cs"/>
          <w:rtl/>
        </w:rPr>
        <w:t>،</w:t>
      </w:r>
      <w:r w:rsidR="009C32A0" w:rsidRPr="005675B2">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Pr>
          <w:rFonts w:hint="cs"/>
          <w:rtl/>
        </w:rPr>
        <w:t>،</w:t>
      </w:r>
      <w:r w:rsidR="009C32A0" w:rsidRPr="005675B2">
        <w:rPr>
          <w:rFonts w:hint="cs"/>
          <w:rtl/>
        </w:rPr>
        <w:t xml:space="preserve"> وأتى بالشرك الأكبر الناقض لأصل التوحيد</w:t>
      </w:r>
      <w:r>
        <w:rPr>
          <w:rFonts w:hint="cs"/>
          <w:rtl/>
        </w:rPr>
        <w:t>،</w:t>
      </w:r>
      <w:r w:rsidR="009C32A0" w:rsidRPr="005675B2">
        <w:rPr>
          <w:rFonts w:hint="cs"/>
          <w:rtl/>
        </w:rPr>
        <w:t xml:space="preserve"> وهو الشرك الأكبر الذي لا يغفره الله لمن مات مصراً عليه</w:t>
      </w:r>
      <w:r>
        <w:rPr>
          <w:rFonts w:hint="cs"/>
          <w:rtl/>
        </w:rPr>
        <w:t>،</w:t>
      </w:r>
      <w:r w:rsidR="009C32A0" w:rsidRPr="005675B2">
        <w:rPr>
          <w:rFonts w:hint="cs"/>
          <w:rtl/>
        </w:rPr>
        <w:t xml:space="preserve"> ومن صرفها بغير اعتقاد الشراكة مع الله تعالى في أي من صفات الربوبية أو الألوهية</w:t>
      </w:r>
      <w:r>
        <w:rPr>
          <w:rFonts w:hint="cs"/>
          <w:rtl/>
        </w:rPr>
        <w:t>،</w:t>
      </w:r>
      <w:r w:rsidR="009C32A0" w:rsidRPr="005675B2">
        <w:rPr>
          <w:rFonts w:hint="cs"/>
          <w:rtl/>
        </w:rPr>
        <w:t xml:space="preserve"> فقد أتي بالشرك العملي الناقض للتوحيد الواجب</w:t>
      </w:r>
      <w:r>
        <w:rPr>
          <w:rFonts w:hint="cs"/>
          <w:rtl/>
        </w:rPr>
        <w:t>،</w:t>
      </w:r>
      <w:r w:rsidR="009C32A0" w:rsidRPr="005675B2">
        <w:rPr>
          <w:rFonts w:hint="cs"/>
          <w:rtl/>
        </w:rPr>
        <w:t xml:space="preserve"> ووجب عليه التوبة إلى الله وتصحيح التوحيد بإفراد الله تعالى بمفردات العبادة وصورها التي لا ينبغي أن تصرف إلا لله</w:t>
      </w:r>
      <w:r>
        <w:rPr>
          <w:rFonts w:hint="cs"/>
          <w:rtl/>
        </w:rPr>
        <w:t xml:space="preserve">، </w:t>
      </w:r>
      <w:r>
        <w:rPr>
          <w:rFonts w:hint="cs"/>
          <w:bCs/>
          <w:rtl/>
          <w:lang w:bidi="ar-KW"/>
        </w:rPr>
        <w:t>(</w:t>
      </w:r>
      <w:r w:rsidR="009C32A0" w:rsidRPr="005675B2">
        <w:rPr>
          <w:rFonts w:hint="cs"/>
          <w:bCs/>
          <w:rtl/>
          <w:lang w:bidi="ar-KW"/>
        </w:rPr>
        <w:t>ب</w:t>
      </w:r>
      <w:r>
        <w:rPr>
          <w:rFonts w:hint="cs"/>
          <w:bCs/>
          <w:rtl/>
          <w:lang w:bidi="ar-KW"/>
        </w:rPr>
        <w:t>)</w:t>
      </w:r>
      <w:r w:rsidR="009C32A0" w:rsidRPr="005675B2">
        <w:rPr>
          <w:rFonts w:hint="cs"/>
          <w:bCs/>
          <w:rtl/>
          <w:lang w:bidi="ar-KW"/>
        </w:rPr>
        <w:t xml:space="preserve"> أما تنزيه الله تعالى عن</w:t>
      </w:r>
      <w:r w:rsidR="009C32A0" w:rsidRPr="005675B2">
        <w:rPr>
          <w:rFonts w:hint="cs"/>
          <w:rtl/>
          <w:lang w:bidi="ar-KW"/>
        </w:rPr>
        <w:t xml:space="preserve"> </w:t>
      </w:r>
      <w:r w:rsidR="009C32A0" w:rsidRPr="005675B2">
        <w:rPr>
          <w:rFonts w:hint="cs"/>
          <w:bCs/>
          <w:rtl/>
          <w:lang w:bidi="ar-KW"/>
        </w:rPr>
        <w:t>الوزير والناصر والمعين لكمال غناه وقهره</w:t>
      </w:r>
      <w:r>
        <w:rPr>
          <w:rFonts w:hint="cs"/>
          <w:rtl/>
          <w:lang w:bidi="ar-KW"/>
        </w:rPr>
        <w:t>،</w:t>
      </w:r>
      <w:r w:rsidR="009C32A0" w:rsidRPr="005675B2">
        <w:rPr>
          <w:rFonts w:hint="cs"/>
          <w:rtl/>
          <w:lang w:bidi="ar-KW"/>
        </w:rPr>
        <w:t xml:space="preserve"> فالأدلة عليه كثيرة منها قوله تعالى</w:t>
      </w:r>
      <w:r>
        <w:rPr>
          <w:rFonts w:hint="cs"/>
          <w:rtl/>
          <w:lang w:bidi="ar-KW"/>
        </w:rPr>
        <w:t>:</w:t>
      </w:r>
      <w:r w:rsidR="009C32A0" w:rsidRPr="005675B2">
        <w:rPr>
          <w:rFonts w:hint="cs"/>
          <w:rtl/>
          <w:lang w:bidi="ar-KW"/>
        </w:rPr>
        <w:t xml:space="preserve"> </w:t>
      </w:r>
      <w:r>
        <w:rPr>
          <w:rStyle w:val="hd2"/>
          <w:rFonts w:hint="cs"/>
          <w:rtl/>
        </w:rPr>
        <w:t>{</w:t>
      </w:r>
      <w:r w:rsidR="009C32A0" w:rsidRPr="005675B2">
        <w:rPr>
          <w:rStyle w:val="hd2"/>
          <w:rFonts w:hint="cs"/>
          <w:rtl/>
        </w:rPr>
        <w:t>وَقُلِ الْحَمْدُ لِلّهِ الَّذِي لَمْ يَتَّخِذْ وَلَداً وَلَم يَكُن لَّهُ شَرِيكٌ فِي الْمُلْكِ وَلَمْ يَكُن لَّهُ وَلِيٌّ مِّنَ الذُّلَّ وَكَبِّرْهُ تَكْبِيراً</w:t>
      </w:r>
      <w:r>
        <w:rPr>
          <w:rStyle w:val="hd2"/>
          <w:rFonts w:hint="cs"/>
          <w:rtl/>
        </w:rPr>
        <w:t>}</w:t>
      </w:r>
      <w:r w:rsidR="009C32A0" w:rsidRPr="005675B2">
        <w:rPr>
          <w:rStyle w:val="hd2"/>
          <w:rFonts w:hint="cs"/>
          <w:rtl/>
        </w:rPr>
        <w:t xml:space="preserve"> </w:t>
      </w:r>
      <w:r w:rsidR="009C32A0" w:rsidRPr="005675B2">
        <w:rPr>
          <w:rStyle w:val="hd11"/>
          <w:rFonts w:hint="cs"/>
          <w:rtl/>
        </w:rPr>
        <w:t>[الإسراء 111]</w:t>
      </w:r>
      <w:r>
        <w:rPr>
          <w:rStyle w:val="hd11"/>
          <w:rFonts w:hint="cs"/>
          <w:rtl/>
        </w:rPr>
        <w:t>،</w:t>
      </w:r>
      <w:r w:rsidR="009C32A0" w:rsidRPr="005675B2">
        <w:rPr>
          <w:rFonts w:hint="cs"/>
          <w:rtl/>
        </w:rPr>
        <w:t xml:space="preserve"> فالله تعالى </w:t>
      </w:r>
      <w:r w:rsidR="009C32A0" w:rsidRPr="005675B2">
        <w:rPr>
          <w:rStyle w:val="hd4"/>
          <w:rtl/>
        </w:rPr>
        <w:t>لم يتخذ ولدا ولم يكن له شريك في الملك</w:t>
      </w:r>
      <w:r>
        <w:rPr>
          <w:rStyle w:val="hd4"/>
          <w:rtl/>
        </w:rPr>
        <w:t>،</w:t>
      </w:r>
      <w:r w:rsidR="009C32A0" w:rsidRPr="005675B2">
        <w:rPr>
          <w:rStyle w:val="hd4"/>
          <w:rtl/>
        </w:rPr>
        <w:t xml:space="preserve"> ثم قال تعالى</w:t>
      </w:r>
      <w:r>
        <w:rPr>
          <w:rStyle w:val="hd4"/>
          <w:rtl/>
        </w:rPr>
        <w:t>:</w:t>
      </w:r>
      <w:r w:rsidR="009C32A0" w:rsidRPr="005675B2">
        <w:rPr>
          <w:rStyle w:val="hd4"/>
          <w:rtl/>
        </w:rPr>
        <w:t xml:space="preserve"> </w:t>
      </w:r>
      <w:r>
        <w:rPr>
          <w:rStyle w:val="hd4"/>
          <w:rtl/>
        </w:rPr>
        <w:t>{</w:t>
      </w:r>
      <w:r w:rsidR="009C32A0" w:rsidRPr="005675B2">
        <w:rPr>
          <w:rStyle w:val="hd2"/>
          <w:rtl/>
        </w:rPr>
        <w:t>وَلَمْ يَكُن لَّهُ وَلِيٌّ مِّنَ الذُّلَّ</w:t>
      </w:r>
      <w:r>
        <w:rPr>
          <w:rStyle w:val="hd2"/>
          <w:rtl/>
        </w:rPr>
        <w:t>}</w:t>
      </w:r>
      <w:r>
        <w:rPr>
          <w:rStyle w:val="hd4"/>
          <w:rtl/>
        </w:rPr>
        <w:t>،</w:t>
      </w:r>
      <w:r w:rsidR="009C32A0" w:rsidRPr="005675B2">
        <w:rPr>
          <w:rStyle w:val="hd4"/>
          <w:rtl/>
        </w:rPr>
        <w:t xml:space="preserve"> أي ولم يكن له ناصر ولا وزير ولا معين يعينه</w:t>
      </w:r>
      <w:r>
        <w:rPr>
          <w:rStyle w:val="hd4"/>
          <w:rtl/>
        </w:rPr>
        <w:t xml:space="preserve"> </w:t>
      </w:r>
      <w:r w:rsidR="009C32A0" w:rsidRPr="005675B2">
        <w:rPr>
          <w:rFonts w:hint="cs"/>
          <w:rtl/>
        </w:rPr>
        <w:t>من ضعف وعجز</w:t>
      </w:r>
      <w:r>
        <w:rPr>
          <w:rFonts w:hint="cs"/>
          <w:rtl/>
        </w:rPr>
        <w:t xml:space="preserve"> </w:t>
      </w:r>
      <w:r w:rsidR="009C32A0" w:rsidRPr="005675B2">
        <w:rPr>
          <w:rFonts w:hint="cs"/>
          <w:rtl/>
        </w:rPr>
        <w:t>وذل</w:t>
      </w:r>
      <w:r>
        <w:rPr>
          <w:rFonts w:hint="cs"/>
          <w:rtl/>
        </w:rPr>
        <w:t>،</w:t>
      </w:r>
      <w:r w:rsidR="009C32A0" w:rsidRPr="005675B2">
        <w:rPr>
          <w:rFonts w:hint="cs"/>
          <w:rtl/>
        </w:rPr>
        <w:t xml:space="preserve"> فيحتاج إلى ناصر</w:t>
      </w:r>
      <w:r>
        <w:rPr>
          <w:rFonts w:hint="cs"/>
          <w:rtl/>
        </w:rPr>
        <w:t>،</w:t>
      </w:r>
      <w:r w:rsidR="009C32A0" w:rsidRPr="005675B2">
        <w:rPr>
          <w:rStyle w:val="hd4"/>
          <w:rtl/>
        </w:rPr>
        <w:t xml:space="preserve"> ثم قال تعالى</w:t>
      </w:r>
      <w:r>
        <w:rPr>
          <w:rStyle w:val="hd4"/>
          <w:rtl/>
        </w:rPr>
        <w:t>:</w:t>
      </w:r>
      <w:r w:rsidR="009C32A0" w:rsidRPr="005675B2">
        <w:rPr>
          <w:rStyle w:val="hd4"/>
          <w:rtl/>
        </w:rPr>
        <w:t xml:space="preserve"> </w:t>
      </w:r>
      <w:r>
        <w:rPr>
          <w:rStyle w:val="hd4"/>
          <w:rtl/>
        </w:rPr>
        <w:t>{</w:t>
      </w:r>
      <w:r w:rsidR="009C32A0" w:rsidRPr="005675B2">
        <w:rPr>
          <w:rStyle w:val="hd2"/>
          <w:rtl/>
        </w:rPr>
        <w:t>وَكَبِّرْهُ تَكْبِيراً</w:t>
      </w:r>
      <w:r>
        <w:rPr>
          <w:rStyle w:val="hd2"/>
          <w:rtl/>
        </w:rPr>
        <w:t>}،</w:t>
      </w:r>
      <w:r w:rsidR="009C32A0" w:rsidRPr="005675B2">
        <w:rPr>
          <w:rStyle w:val="hd2"/>
          <w:rtl/>
        </w:rPr>
        <w:t xml:space="preserve"> أي </w:t>
      </w:r>
      <w:r w:rsidR="009C32A0" w:rsidRPr="005675B2">
        <w:rPr>
          <w:rFonts w:hint="cs"/>
          <w:rtl/>
        </w:rPr>
        <w:t>عظمه عظمة تامة عن اتخاذ الولد والشريك والوزير والمعين</w:t>
      </w:r>
      <w:r>
        <w:rPr>
          <w:rFonts w:hint="cs"/>
          <w:rtl/>
        </w:rPr>
        <w:t>،</w:t>
      </w:r>
      <w:r w:rsidR="009C32A0" w:rsidRPr="005675B2">
        <w:rPr>
          <w:rFonts w:hint="cs"/>
          <w:rtl/>
        </w:rPr>
        <w:t xml:space="preserve"> وقوله تعالى</w:t>
      </w:r>
      <w:r>
        <w:rPr>
          <w:rFonts w:hint="cs"/>
          <w:rtl/>
        </w:rPr>
        <w:t>:</w:t>
      </w:r>
      <w:r w:rsidR="009C32A0" w:rsidRPr="005675B2">
        <w:rPr>
          <w:rFonts w:hint="cs"/>
          <w:rtl/>
        </w:rPr>
        <w:t xml:space="preserve"> </w:t>
      </w:r>
      <w:r>
        <w:rPr>
          <w:rFonts w:hint="cs"/>
          <w:rtl/>
        </w:rPr>
        <w:t>{</w:t>
      </w:r>
      <w:r w:rsidR="009C32A0" w:rsidRPr="005675B2">
        <w:rPr>
          <w:rStyle w:val="hd2"/>
          <w:rtl/>
        </w:rPr>
        <w:t>قُلِ اللَّهُ أَعْلَمُ بِمَا لَبِثُوا لَهُ غَيْبُ السَّمَاوَاتِ وَالْأَرْضِ أَبْصِرْ بِهِ وَأَسْمِعْ مَا لَهُم مِّن دُونِهِ مِن وَلِيٍّ وَلَا يُشْرِكُ فِي حُكْمِهِ أَحَداً</w:t>
      </w:r>
      <w:r>
        <w:rPr>
          <w:rStyle w:val="hd2"/>
          <w:rtl/>
        </w:rPr>
        <w:t>}</w:t>
      </w:r>
      <w:r w:rsidR="009C32A0" w:rsidRPr="005675B2">
        <w:rPr>
          <w:rStyle w:val="hd11"/>
          <w:rtl/>
        </w:rPr>
        <w:t xml:space="preserve"> [الكهف 26]</w:t>
      </w:r>
      <w:r>
        <w:rPr>
          <w:rStyle w:val="hd11"/>
          <w:rtl/>
        </w:rPr>
        <w:t>،</w:t>
      </w:r>
      <w:r w:rsidR="009C32A0" w:rsidRPr="005675B2">
        <w:rPr>
          <w:rFonts w:hint="cs"/>
          <w:rtl/>
        </w:rPr>
        <w:t xml:space="preserve"> </w:t>
      </w:r>
      <w:r w:rsidR="009C32A0" w:rsidRPr="005675B2">
        <w:rPr>
          <w:rStyle w:val="hd4"/>
          <w:rtl/>
        </w:rPr>
        <w:t>{ما لهم</w:t>
      </w:r>
      <w:r>
        <w:rPr>
          <w:rStyle w:val="hd4"/>
          <w:rtl/>
        </w:rPr>
        <w:t xml:space="preserve">} </w:t>
      </w:r>
      <w:r w:rsidR="009C32A0" w:rsidRPr="005675B2">
        <w:rPr>
          <w:rFonts w:hint="cs"/>
          <w:rtl/>
        </w:rPr>
        <w:t xml:space="preserve">أي لأهل السموات والأرض </w:t>
      </w:r>
      <w:r>
        <w:rPr>
          <w:rStyle w:val="hd4"/>
          <w:rtl/>
        </w:rPr>
        <w:t>{</w:t>
      </w:r>
      <w:r w:rsidR="009C32A0" w:rsidRPr="005675B2">
        <w:rPr>
          <w:rStyle w:val="hd4"/>
          <w:rtl/>
        </w:rPr>
        <w:t>من دونه من ولي</w:t>
      </w:r>
      <w:r>
        <w:rPr>
          <w:rStyle w:val="hd4"/>
          <w:rtl/>
        </w:rPr>
        <w:t>}</w:t>
      </w:r>
      <w:r w:rsidR="009C32A0" w:rsidRPr="005675B2">
        <w:rPr>
          <w:rStyle w:val="hd4"/>
          <w:rtl/>
        </w:rPr>
        <w:t xml:space="preserve"> </w:t>
      </w:r>
      <w:r w:rsidR="009C32A0" w:rsidRPr="005675B2">
        <w:rPr>
          <w:rFonts w:hint="cs"/>
          <w:rtl/>
        </w:rPr>
        <w:t>ناصر ومعين لأنه لكمال قدرته غني عن المعين</w:t>
      </w:r>
      <w:r>
        <w:rPr>
          <w:rFonts w:hint="cs"/>
          <w:rtl/>
        </w:rPr>
        <w:t>،</w:t>
      </w:r>
      <w:r w:rsidR="009C32A0" w:rsidRPr="005675B2">
        <w:rPr>
          <w:rFonts w:hint="cs"/>
          <w:rtl/>
        </w:rPr>
        <w:t xml:space="preserve"> </w:t>
      </w:r>
      <w:r>
        <w:rPr>
          <w:rStyle w:val="hd4"/>
          <w:rtl/>
        </w:rPr>
        <w:t>{</w:t>
      </w:r>
      <w:r w:rsidR="009C32A0" w:rsidRPr="005675B2">
        <w:rPr>
          <w:rStyle w:val="hd4"/>
          <w:rtl/>
        </w:rPr>
        <w:t>ولا يشرك في حكمه أحدا</w:t>
      </w:r>
      <w:r>
        <w:rPr>
          <w:rStyle w:val="hd4"/>
          <w:rtl/>
        </w:rPr>
        <w:t>}</w:t>
      </w:r>
      <w:r w:rsidR="009C32A0" w:rsidRPr="005675B2">
        <w:rPr>
          <w:rStyle w:val="hd4"/>
          <w:rtl/>
        </w:rPr>
        <w:t xml:space="preserve"> </w:t>
      </w:r>
      <w:r w:rsidR="009C32A0" w:rsidRPr="005675B2">
        <w:rPr>
          <w:rFonts w:hint="cs"/>
          <w:rtl/>
        </w:rPr>
        <w:t>لأنه غني عن الشريك</w:t>
      </w:r>
      <w:r>
        <w:rPr>
          <w:rFonts w:hint="cs"/>
          <w:rtl/>
        </w:rPr>
        <w:t>،</w:t>
      </w:r>
    </w:p>
    <w:p w14:paraId="44B8F752" w14:textId="77777777" w:rsidR="009C32A0" w:rsidRPr="005675B2" w:rsidRDefault="009C32A0" w:rsidP="000636C2">
      <w:pPr>
        <w:jc w:val="center"/>
        <w:rPr>
          <w:bCs/>
          <w:rtl/>
          <w:lang w:bidi="ar-KW"/>
        </w:rPr>
      </w:pPr>
      <w:r>
        <w:rPr>
          <w:rFonts w:hint="cs"/>
          <w:bCs/>
          <w:rtl/>
          <w:lang w:bidi="ar-KW"/>
        </w:rPr>
        <w:t>***</w:t>
      </w:r>
      <w:r w:rsidRPr="005675B2">
        <w:rPr>
          <w:rFonts w:hint="cs"/>
          <w:bCs/>
          <w:rtl/>
          <w:lang w:bidi="ar-KW"/>
        </w:rPr>
        <w:t xml:space="preserve"> </w:t>
      </w:r>
    </w:p>
    <w:p w14:paraId="22CFCD9F" w14:textId="0986357F" w:rsidR="009C32A0" w:rsidRPr="00C07A88" w:rsidRDefault="009C32A0" w:rsidP="00C07A88">
      <w:pPr>
        <w:pStyle w:val="2"/>
        <w:bidi/>
        <w:jc w:val="center"/>
        <w:rPr>
          <w:u w:val="none"/>
          <w:rtl/>
          <w:lang w:bidi="ar-KW"/>
        </w:rPr>
      </w:pPr>
      <w:r w:rsidRPr="00C07A88">
        <w:rPr>
          <w:rFonts w:hint="cs"/>
          <w:u w:val="none"/>
          <w:rtl/>
          <w:lang w:bidi="ar-KW"/>
        </w:rPr>
        <w:lastRenderedPageBreak/>
        <w:t>القاعدة الخامسة عشرة</w:t>
      </w:r>
      <w:r w:rsidR="000636C2" w:rsidRPr="00C07A88">
        <w:rPr>
          <w:rFonts w:hint="cs"/>
          <w:u w:val="none"/>
          <w:rtl/>
          <w:lang w:bidi="ar-KW"/>
        </w:rPr>
        <w:t>:</w:t>
      </w:r>
      <w:r w:rsidRPr="00C07A88">
        <w:rPr>
          <w:rFonts w:hint="cs"/>
          <w:u w:val="none"/>
          <w:rtl/>
          <w:lang w:bidi="ar-KW"/>
        </w:rPr>
        <w:t xml:space="preserve"> رؤية الله تعالى في الآخرة</w:t>
      </w:r>
    </w:p>
    <w:p w14:paraId="19100A21" w14:textId="559A15CF" w:rsidR="009C32A0" w:rsidRPr="005675B2" w:rsidRDefault="009C32A0" w:rsidP="000636C2">
      <w:pPr>
        <w:rPr>
          <w:rtl/>
        </w:rPr>
      </w:pPr>
      <w:r w:rsidRPr="005675B2">
        <w:rPr>
          <w:rFonts w:hint="cs"/>
          <w:rtl/>
          <w:lang w:bidi="ar-KW"/>
        </w:rPr>
        <w:t>اتفق أهل السنّة والجماعة على رؤية ذات الله تعالى في الآخرة</w:t>
      </w:r>
      <w:r w:rsidR="000636C2">
        <w:rPr>
          <w:rFonts w:hint="cs"/>
          <w:rtl/>
          <w:lang w:bidi="ar-KW"/>
        </w:rPr>
        <w:t>،</w:t>
      </w:r>
      <w:r w:rsidRPr="005675B2">
        <w:rPr>
          <w:rFonts w:hint="cs"/>
          <w:rtl/>
          <w:lang w:bidi="ar-KW"/>
        </w:rPr>
        <w:t xml:space="preserve"> وأنها رؤية بغير احاطة</w:t>
      </w:r>
      <w:r w:rsidR="000636C2">
        <w:rPr>
          <w:rFonts w:hint="cs"/>
          <w:rtl/>
          <w:lang w:bidi="ar-KW"/>
        </w:rPr>
        <w:t>،</w:t>
      </w:r>
      <w:r w:rsidRPr="005675B2">
        <w:rPr>
          <w:rFonts w:hint="cs"/>
          <w:rtl/>
          <w:lang w:bidi="ar-KW"/>
        </w:rPr>
        <w:t xml:space="preserve"> وأنها أعظم نعيم أهل الجنّة</w:t>
      </w:r>
      <w:r w:rsidR="000636C2">
        <w:rPr>
          <w:rFonts w:hint="cs"/>
          <w:rtl/>
          <w:lang w:bidi="ar-KW"/>
        </w:rPr>
        <w:t>،</w:t>
      </w:r>
      <w:r w:rsidRPr="005675B2">
        <w:rPr>
          <w:rFonts w:hint="cs"/>
          <w:rtl/>
          <w:lang w:bidi="ar-KW"/>
        </w:rPr>
        <w:t xml:space="preserve"> وقولهم هو القول الصحيح الذي دلّ عليه الكتاب والسنّة الصحيحة والعقل الصريح</w:t>
      </w:r>
      <w:r w:rsidR="000636C2">
        <w:rPr>
          <w:rFonts w:hint="cs"/>
          <w:rtl/>
          <w:lang w:bidi="ar-KW"/>
        </w:rPr>
        <w:t>،</w:t>
      </w:r>
      <w:r w:rsidRPr="005675B2">
        <w:rPr>
          <w:rFonts w:hint="cs"/>
          <w:rtl/>
          <w:lang w:bidi="ar-KW"/>
        </w:rPr>
        <w:t xml:space="preserve"> </w:t>
      </w:r>
      <w:r w:rsidR="000636C2">
        <w:rPr>
          <w:rFonts w:hint="cs"/>
          <w:bCs/>
          <w:rtl/>
        </w:rPr>
        <w:t>(</w:t>
      </w:r>
      <w:r w:rsidRPr="005675B2">
        <w:rPr>
          <w:rFonts w:hint="cs"/>
          <w:bCs/>
          <w:rtl/>
        </w:rPr>
        <w:t>1</w:t>
      </w:r>
      <w:r w:rsidR="000636C2">
        <w:rPr>
          <w:rFonts w:hint="cs"/>
          <w:bCs/>
          <w:rtl/>
        </w:rPr>
        <w:t>)</w:t>
      </w:r>
      <w:r w:rsidRPr="005675B2">
        <w:rPr>
          <w:rFonts w:hint="cs"/>
          <w:bCs/>
          <w:rtl/>
        </w:rPr>
        <w:t xml:space="preserve"> الأدلة على رؤية الله سبحانه من الكتاب</w:t>
      </w:r>
      <w:r w:rsidR="000636C2">
        <w:rPr>
          <w:rFonts w:hint="cs"/>
          <w:bCs/>
          <w:rtl/>
        </w:rPr>
        <w:t>:</w:t>
      </w:r>
      <w:r w:rsidRPr="005675B2">
        <w:rPr>
          <w:rFonts w:hint="cs"/>
          <w:rtl/>
        </w:rPr>
        <w:t xml:space="preserve"> أدلة متعددة نذكر منها</w:t>
      </w:r>
      <w:r w:rsidR="000636C2">
        <w:rPr>
          <w:rFonts w:hint="cs"/>
          <w:rtl/>
        </w:rPr>
        <w:t>: (</w:t>
      </w:r>
      <w:r w:rsidRPr="005675B2">
        <w:rPr>
          <w:rFonts w:hint="cs"/>
          <w:rtl/>
        </w:rPr>
        <w:t>أ</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وجوه يومئذ ناضرة * إلى ربها ناظرة</w:t>
      </w:r>
      <w:r w:rsidR="000636C2">
        <w:rPr>
          <w:rFonts w:hint="cs"/>
          <w:rtl/>
        </w:rPr>
        <w:t>}</w:t>
      </w:r>
      <w:r w:rsidRPr="005675B2">
        <w:rPr>
          <w:rFonts w:hint="cs"/>
          <w:rtl/>
        </w:rPr>
        <w:t xml:space="preserve"> </w:t>
      </w:r>
      <w:r w:rsidR="000636C2">
        <w:rPr>
          <w:rFonts w:hint="cs"/>
          <w:rtl/>
        </w:rPr>
        <w:t>[</w:t>
      </w:r>
      <w:r w:rsidRPr="005675B2">
        <w:rPr>
          <w:rFonts w:hint="cs"/>
          <w:rtl/>
        </w:rPr>
        <w:t>القيامة:22، 23</w:t>
      </w:r>
      <w:r w:rsidR="000636C2">
        <w:rPr>
          <w:rFonts w:hint="cs"/>
          <w:rtl/>
        </w:rPr>
        <w:t>]،</w:t>
      </w:r>
      <w:r w:rsidRPr="005675B2">
        <w:rPr>
          <w:rFonts w:hint="cs"/>
          <w:rtl/>
        </w:rPr>
        <w:t xml:space="preserve"> قال ابن عباس في تفسير الآية</w:t>
      </w:r>
      <w:r w:rsidR="000636C2">
        <w:rPr>
          <w:rFonts w:hint="cs"/>
          <w:rtl/>
        </w:rPr>
        <w:t>:</w:t>
      </w:r>
      <w:r w:rsidRPr="005675B2">
        <w:rPr>
          <w:rFonts w:hint="cs"/>
          <w:rtl/>
        </w:rPr>
        <w:t xml:space="preserve"> </w:t>
      </w:r>
      <w:r w:rsidR="000636C2">
        <w:rPr>
          <w:rFonts w:hint="cs"/>
          <w:rtl/>
        </w:rPr>
        <w:t>(</w:t>
      </w:r>
      <w:r w:rsidRPr="005675B2">
        <w:rPr>
          <w:rFonts w:hint="cs"/>
          <w:rtl/>
        </w:rPr>
        <w:t>تنظر إلى وجه ربها</w:t>
      </w:r>
      <w:r w:rsidR="000636C2">
        <w:rPr>
          <w:rFonts w:hint="cs"/>
          <w:rtl/>
        </w:rPr>
        <w:t>)،</w:t>
      </w:r>
      <w:r w:rsidRPr="005675B2">
        <w:rPr>
          <w:rFonts w:hint="cs"/>
          <w:rtl/>
        </w:rPr>
        <w:t xml:space="preserve"> </w:t>
      </w:r>
      <w:r w:rsidR="000636C2">
        <w:rPr>
          <w:rFonts w:hint="cs"/>
          <w:rtl/>
        </w:rPr>
        <w:t>(</w:t>
      </w:r>
      <w:r w:rsidRPr="005675B2">
        <w:rPr>
          <w:rFonts w:hint="cs"/>
          <w:rtl/>
        </w:rPr>
        <w:t>ب</w:t>
      </w:r>
      <w:r w:rsidR="000636C2">
        <w:rPr>
          <w:rFonts w:hint="cs"/>
          <w:rtl/>
        </w:rPr>
        <w:t>)</w:t>
      </w:r>
      <w:r w:rsidRPr="005675B2">
        <w:rPr>
          <w:rFonts w:hint="cs"/>
          <w:rtl/>
        </w:rPr>
        <w:t xml:space="preserve">وقوله تعالى: </w:t>
      </w:r>
      <w:r w:rsidR="000636C2">
        <w:rPr>
          <w:rFonts w:hint="cs"/>
          <w:rtl/>
        </w:rPr>
        <w:t>{</w:t>
      </w:r>
      <w:r w:rsidRPr="005675B2">
        <w:rPr>
          <w:rFonts w:hint="cs"/>
          <w:rtl/>
        </w:rPr>
        <w:t>كلا إنهم عن ربهم يومئذ لمحجوبون</w:t>
      </w:r>
      <w:r w:rsidR="000636C2">
        <w:rPr>
          <w:rFonts w:hint="cs"/>
          <w:rtl/>
        </w:rPr>
        <w:t>}</w:t>
      </w:r>
      <w:r w:rsidRPr="005675B2">
        <w:rPr>
          <w:rFonts w:hint="cs"/>
          <w:rtl/>
        </w:rPr>
        <w:t xml:space="preserve"> </w:t>
      </w:r>
      <w:r w:rsidR="000636C2">
        <w:rPr>
          <w:rFonts w:hint="cs"/>
          <w:rtl/>
        </w:rPr>
        <w:t>[</w:t>
      </w:r>
      <w:r w:rsidRPr="005675B2">
        <w:rPr>
          <w:rFonts w:hint="cs"/>
          <w:rtl/>
        </w:rPr>
        <w:t>المطففين</w:t>
      </w:r>
      <w:r w:rsidR="000636C2">
        <w:rPr>
          <w:rFonts w:hint="cs"/>
          <w:rtl/>
        </w:rPr>
        <w:t>:</w:t>
      </w:r>
      <w:r w:rsidRPr="005675B2">
        <w:rPr>
          <w:rFonts w:hint="cs"/>
          <w:rtl/>
        </w:rPr>
        <w:t xml:space="preserve"> 15</w:t>
      </w:r>
      <w:r w:rsidR="000636C2">
        <w:rPr>
          <w:rFonts w:hint="cs"/>
          <w:rtl/>
        </w:rPr>
        <w:t>]،</w:t>
      </w:r>
      <w:r w:rsidRPr="005675B2">
        <w:rPr>
          <w:rFonts w:hint="cs"/>
          <w:rtl/>
        </w:rPr>
        <w:t xml:space="preserve"> قال الإمام الشافعي</w:t>
      </w:r>
      <w:r w:rsidR="000636C2">
        <w:rPr>
          <w:rFonts w:hint="cs"/>
          <w:rtl/>
        </w:rPr>
        <w:t>:</w:t>
      </w:r>
      <w:r w:rsidRPr="005675B2">
        <w:rPr>
          <w:rFonts w:hint="cs"/>
          <w:rtl/>
        </w:rPr>
        <w:t xml:space="preserve"> </w:t>
      </w:r>
      <w:r w:rsidR="000636C2">
        <w:rPr>
          <w:rFonts w:hint="cs"/>
          <w:rtl/>
        </w:rPr>
        <w:t>(</w:t>
      </w:r>
      <w:r w:rsidRPr="005675B2">
        <w:rPr>
          <w:rFonts w:hint="cs"/>
          <w:rtl/>
        </w:rPr>
        <w:t>وفي هذه الآية دليل على أن المؤمنين يرونه عز وجل يومئذ</w:t>
      </w:r>
      <w:r w:rsidR="000636C2">
        <w:rPr>
          <w:rFonts w:hint="cs"/>
          <w:rtl/>
        </w:rPr>
        <w:t>)،</w:t>
      </w:r>
      <w:r w:rsidRPr="005675B2">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000636C2">
        <w:rPr>
          <w:rFonts w:hint="cs"/>
          <w:rtl/>
        </w:rPr>
        <w:t>(</w:t>
      </w:r>
      <w:r w:rsidRPr="005675B2">
        <w:rPr>
          <w:rFonts w:hint="cs"/>
          <w:rtl/>
        </w:rPr>
        <w:t>ت</w:t>
      </w:r>
      <w:r w:rsidR="000636C2">
        <w:rPr>
          <w:rFonts w:hint="cs"/>
          <w:rtl/>
        </w:rPr>
        <w:t>)</w:t>
      </w:r>
      <w:r w:rsidRPr="005675B2">
        <w:rPr>
          <w:rFonts w:hint="cs"/>
          <w:rtl/>
        </w:rPr>
        <w:t xml:space="preserve"> وقوله تعالى</w:t>
      </w:r>
      <w:r w:rsidR="000636C2">
        <w:rPr>
          <w:rFonts w:hint="cs"/>
          <w:rtl/>
        </w:rPr>
        <w:t>: {</w:t>
      </w:r>
      <w:r w:rsidRPr="005675B2">
        <w:rPr>
          <w:rFonts w:hint="cs"/>
          <w:rtl/>
        </w:rPr>
        <w:t>للذين أحسنوا الحسنى وزيادة</w:t>
      </w:r>
      <w:r w:rsidR="000636C2">
        <w:rPr>
          <w:rFonts w:hint="cs"/>
          <w:rtl/>
        </w:rPr>
        <w:t>}</w:t>
      </w:r>
      <w:r w:rsidRPr="005675B2">
        <w:rPr>
          <w:rFonts w:hint="cs"/>
          <w:rtl/>
        </w:rPr>
        <w:t xml:space="preserve"> </w:t>
      </w:r>
      <w:r w:rsidR="000636C2">
        <w:rPr>
          <w:rFonts w:hint="cs"/>
          <w:rtl/>
        </w:rPr>
        <w:t>[</w:t>
      </w:r>
      <w:r w:rsidRPr="005675B2">
        <w:rPr>
          <w:rFonts w:hint="cs"/>
          <w:rtl/>
        </w:rPr>
        <w:t>يونس</w:t>
      </w:r>
      <w:r w:rsidR="000636C2">
        <w:rPr>
          <w:rFonts w:hint="cs"/>
          <w:rtl/>
        </w:rPr>
        <w:t>:</w:t>
      </w:r>
      <w:r w:rsidRPr="005675B2">
        <w:rPr>
          <w:rFonts w:hint="cs"/>
          <w:rtl/>
        </w:rPr>
        <w:t xml:space="preserve"> 26</w:t>
      </w:r>
      <w:r w:rsidR="000636C2">
        <w:rPr>
          <w:rFonts w:hint="cs"/>
          <w:rtl/>
        </w:rPr>
        <w:t>]،</w:t>
      </w:r>
      <w:r w:rsidRPr="005675B2">
        <w:rPr>
          <w:rFonts w:hint="cs"/>
          <w:rtl/>
        </w:rPr>
        <w:t xml:space="preserve"> و تفسير الزيادة ورد في حديث النبي صلى الله عليه وسلم لها بالرؤية</w:t>
      </w:r>
      <w:r w:rsidR="000636C2">
        <w:rPr>
          <w:rFonts w:hint="cs"/>
          <w:rtl/>
        </w:rPr>
        <w:t>،</w:t>
      </w:r>
      <w:r w:rsidRPr="005675B2">
        <w:rPr>
          <w:rFonts w:hint="cs"/>
          <w:rtl/>
        </w:rPr>
        <w:t xml:space="preserve"> كما أخرج مسلم في صحيحه عن صهيب رضي الله عنه عن النبي صلى الله عليه وسلم قال</w:t>
      </w:r>
      <w:r w:rsidR="000636C2">
        <w:rPr>
          <w:rFonts w:hint="cs"/>
          <w:rtl/>
        </w:rPr>
        <w:t>:</w:t>
      </w:r>
      <w:r w:rsidRPr="005675B2">
        <w:rPr>
          <w:rFonts w:hint="cs"/>
          <w:rtl/>
        </w:rPr>
        <w:t xml:space="preserve"> (</w:t>
      </w:r>
      <w:r w:rsidR="000636C2">
        <w:rPr>
          <w:rFonts w:hint="cs"/>
          <w:rtl/>
        </w:rPr>
        <w:t>(</w:t>
      </w:r>
      <w:r w:rsidRPr="005675B2">
        <w:rPr>
          <w:rFonts w:hint="cs"/>
          <w:rtl/>
        </w:rPr>
        <w:t>إذا دخل أهل الجنة الجنة، قال: يقول الله تبارك وتعالى: تريدون شيئا أزيدكم</w:t>
      </w:r>
      <w:r w:rsidR="000636C2">
        <w:rPr>
          <w:rFonts w:hint="cs"/>
          <w:rtl/>
        </w:rPr>
        <w:t>،</w:t>
      </w:r>
      <w:r w:rsidRPr="005675B2">
        <w:rPr>
          <w:rFonts w:hint="cs"/>
          <w:rtl/>
        </w:rPr>
        <w:t xml:space="preserve"> فيقولون: ألم تبيض وجوهنا</w:t>
      </w:r>
      <w:r w:rsidR="000636C2">
        <w:rPr>
          <w:rFonts w:hint="cs"/>
          <w:rtl/>
        </w:rPr>
        <w:t>،</w:t>
      </w:r>
      <w:r w:rsidRPr="005675B2">
        <w:rPr>
          <w:rFonts w:hint="cs"/>
          <w:rtl/>
        </w:rPr>
        <w:t xml:space="preserve"> ألم تدخلنا الجنة</w:t>
      </w:r>
      <w:r w:rsidR="000636C2">
        <w:rPr>
          <w:rFonts w:hint="cs"/>
          <w:rtl/>
        </w:rPr>
        <w:t>،</w:t>
      </w:r>
      <w:r w:rsidRPr="005675B2">
        <w:rPr>
          <w:rFonts w:hint="cs"/>
          <w:rtl/>
        </w:rPr>
        <w:t xml:space="preserve"> وتنجينا من النار، قال: فيكشف الحجاب، فما أعطوا شيئا أحب إليهم من النظر إلى ربهم عز وجل</w:t>
      </w:r>
      <w:r w:rsidR="000636C2">
        <w:rPr>
          <w:rFonts w:hint="cs"/>
          <w:rtl/>
        </w:rPr>
        <w:t>،</w:t>
      </w:r>
      <w:r w:rsidRPr="005675B2">
        <w:rPr>
          <w:rFonts w:hint="cs"/>
          <w:rtl/>
        </w:rPr>
        <w:t xml:space="preserve"> ثم تلا هذه الآية</w:t>
      </w:r>
      <w:r w:rsidR="000636C2">
        <w:rPr>
          <w:rFonts w:hint="cs"/>
          <w:rtl/>
        </w:rPr>
        <w:t>:</w:t>
      </w:r>
      <w:r w:rsidRPr="005675B2">
        <w:rPr>
          <w:rFonts w:hint="cs"/>
          <w:rtl/>
        </w:rPr>
        <w:t xml:space="preserve"> </w:t>
      </w:r>
      <w:r w:rsidR="000636C2">
        <w:rPr>
          <w:rFonts w:hint="cs"/>
          <w:rtl/>
        </w:rPr>
        <w:t>{</w:t>
      </w:r>
      <w:r w:rsidRPr="005675B2">
        <w:rPr>
          <w:rFonts w:hint="cs"/>
          <w:rtl/>
        </w:rPr>
        <w:t>للذين أحسنوا الحسنى وزيادة</w:t>
      </w:r>
      <w:r w:rsidR="000636C2">
        <w:rPr>
          <w:rFonts w:hint="cs"/>
          <w:rtl/>
        </w:rPr>
        <w:t>}، (</w:t>
      </w:r>
      <w:r w:rsidRPr="005675B2">
        <w:rPr>
          <w:rFonts w:hint="cs"/>
          <w:rtl/>
        </w:rPr>
        <w:t>ث</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Style w:val="aaya"/>
          <w:rFonts w:hint="cs"/>
          <w:rtl/>
        </w:rPr>
        <w:t>لَهُم مَّا يَشَاؤُونَ فِيهَا وَلَدَيْنَا مَزِيدٌ</w:t>
      </w:r>
      <w:r w:rsidR="000636C2">
        <w:rPr>
          <w:rFonts w:hint="cs"/>
          <w:rtl/>
        </w:rPr>
        <w:t>}</w:t>
      </w:r>
      <w:r w:rsidRPr="005675B2">
        <w:rPr>
          <w:rStyle w:val="sora"/>
          <w:rFonts w:hint="cs"/>
          <w:b/>
          <w:rtl/>
        </w:rPr>
        <w:t xml:space="preserve"> </w:t>
      </w:r>
      <w:r w:rsidR="000636C2">
        <w:rPr>
          <w:rStyle w:val="sora"/>
          <w:rFonts w:hint="cs"/>
          <w:b/>
          <w:rtl/>
        </w:rPr>
        <w:t>[</w:t>
      </w:r>
      <w:r w:rsidRPr="005675B2">
        <w:rPr>
          <w:rStyle w:val="sora"/>
          <w:rFonts w:hint="cs"/>
          <w:b/>
          <w:rtl/>
        </w:rPr>
        <w:t>ق: 35]</w:t>
      </w:r>
      <w:r w:rsidRPr="005675B2">
        <w:rPr>
          <w:rFonts w:hint="cs"/>
          <w:rtl/>
        </w:rPr>
        <w:t xml:space="preserve"> فقد فسر المفسرون ومنهم الطبري والقرطبي وابن كثير وغيرهم</w:t>
      </w:r>
      <w:r w:rsidR="000636C2">
        <w:rPr>
          <w:rFonts w:hint="cs"/>
          <w:rtl/>
        </w:rPr>
        <w:t>:</w:t>
      </w:r>
      <w:r w:rsidRPr="005675B2">
        <w:rPr>
          <w:rFonts w:hint="cs"/>
          <w:rtl/>
        </w:rPr>
        <w:t xml:space="preserve"> المزيد في هذه الآية بأنه النظر إلى الله تعالى</w:t>
      </w:r>
      <w:r w:rsidR="000636C2">
        <w:rPr>
          <w:rFonts w:hint="cs"/>
          <w:rtl/>
        </w:rPr>
        <w:t>، (</w:t>
      </w:r>
      <w:r w:rsidRPr="005675B2">
        <w:rPr>
          <w:rFonts w:hint="cs"/>
          <w:rtl/>
        </w:rPr>
        <w:t>ج</w:t>
      </w:r>
      <w:r w:rsidR="000636C2">
        <w:rPr>
          <w:rFonts w:hint="cs"/>
          <w:rtl/>
        </w:rPr>
        <w:t>)</w:t>
      </w:r>
      <w:r w:rsidRPr="005675B2">
        <w:rPr>
          <w:rFonts w:hint="cs"/>
          <w:rtl/>
        </w:rPr>
        <w:t xml:space="preserve"> وقوله تعالى: </w:t>
      </w:r>
      <w:r w:rsidR="000636C2">
        <w:rPr>
          <w:rFonts w:hint="cs"/>
          <w:rtl/>
        </w:rPr>
        <w:t>{</w:t>
      </w:r>
      <w:r w:rsidRPr="005675B2">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0636C2">
        <w:rPr>
          <w:rFonts w:hint="cs"/>
          <w:rtl/>
        </w:rPr>
        <w:t>}</w:t>
      </w:r>
      <w:r w:rsidRPr="005675B2">
        <w:rPr>
          <w:rFonts w:hint="cs"/>
          <w:rtl/>
        </w:rPr>
        <w:t xml:space="preserve"> </w:t>
      </w:r>
      <w:r w:rsidR="000636C2">
        <w:rPr>
          <w:rStyle w:val="sora"/>
          <w:rFonts w:hint="cs"/>
          <w:b/>
          <w:rtl/>
        </w:rPr>
        <w:t>[</w:t>
      </w:r>
      <w:r w:rsidRPr="005675B2">
        <w:rPr>
          <w:rStyle w:val="sora"/>
          <w:rFonts w:hint="cs"/>
          <w:b/>
          <w:rtl/>
        </w:rPr>
        <w:t>الأعراف</w:t>
      </w:r>
      <w:r w:rsidR="000636C2">
        <w:rPr>
          <w:rStyle w:val="sora"/>
          <w:rFonts w:hint="cs"/>
          <w:b/>
          <w:rtl/>
        </w:rPr>
        <w:t>:</w:t>
      </w:r>
      <w:r w:rsidRPr="005675B2">
        <w:rPr>
          <w:rStyle w:val="sora"/>
          <w:rFonts w:hint="cs"/>
          <w:b/>
          <w:rtl/>
        </w:rPr>
        <w:t xml:space="preserve"> 143]</w:t>
      </w:r>
      <w:r w:rsidR="000636C2">
        <w:rPr>
          <w:rFonts w:hint="cs"/>
          <w:rtl/>
        </w:rPr>
        <w:t xml:space="preserve">، </w:t>
      </w:r>
      <w:r w:rsidRPr="005675B2">
        <w:rPr>
          <w:rFonts w:hint="cs"/>
          <w:rtl/>
        </w:rPr>
        <w:t>والدليل على جواز الرؤية أنّ نبي الله</w:t>
      </w:r>
      <w:r w:rsidR="000636C2">
        <w:rPr>
          <w:rFonts w:hint="cs"/>
          <w:rtl/>
        </w:rPr>
        <w:t xml:space="preserve"> </w:t>
      </w:r>
      <w:r w:rsidRPr="005675B2">
        <w:rPr>
          <w:rFonts w:hint="cs"/>
          <w:rtl/>
        </w:rPr>
        <w:t>موسى عليه السلام سأل الرؤية ولو امتنع كونه تعالى مرئيا لما سأل</w:t>
      </w:r>
      <w:r w:rsidR="000636C2">
        <w:rPr>
          <w:rFonts w:hint="cs"/>
          <w:rtl/>
        </w:rPr>
        <w:t>،</w:t>
      </w:r>
      <w:r w:rsidRPr="005675B2">
        <w:rPr>
          <w:rFonts w:hint="cs"/>
          <w:rtl/>
        </w:rPr>
        <w:t xml:space="preserve"> لأنّ الأنبياء أعلم الناس بما يجوز وما يمتنع على الله</w:t>
      </w:r>
      <w:r w:rsidR="000636C2">
        <w:rPr>
          <w:rFonts w:hint="cs"/>
          <w:rtl/>
        </w:rPr>
        <w:t>،</w:t>
      </w:r>
      <w:r w:rsidRPr="005675B2">
        <w:rPr>
          <w:rFonts w:hint="cs"/>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0636C2">
        <w:rPr>
          <w:rFonts w:hint="cs"/>
          <w:rtl/>
        </w:rPr>
        <w:t>،</w:t>
      </w:r>
      <w:r w:rsidRPr="005675B2">
        <w:rPr>
          <w:rFonts w:hint="cs"/>
          <w:rtl/>
        </w:rPr>
        <w:t xml:space="preserve"> كما أن الله تعالى أجابه بقوله </w:t>
      </w:r>
      <w:r w:rsidR="000636C2">
        <w:rPr>
          <w:rFonts w:hint="cs"/>
          <w:rtl/>
        </w:rPr>
        <w:t>{</w:t>
      </w:r>
      <w:r w:rsidRPr="005675B2">
        <w:rPr>
          <w:rStyle w:val="aaya"/>
          <w:rFonts w:hint="cs"/>
          <w:rtl/>
        </w:rPr>
        <w:t>لَن تَرَانِي</w:t>
      </w:r>
      <w:r w:rsidR="000636C2">
        <w:rPr>
          <w:rFonts w:hint="cs"/>
          <w:rtl/>
        </w:rPr>
        <w:t>}</w:t>
      </w:r>
      <w:r w:rsidRPr="005675B2">
        <w:rPr>
          <w:rFonts w:hint="cs"/>
          <w:rtl/>
        </w:rPr>
        <w:t xml:space="preserve"> وهذا دليل على الجواز، فلو كانت الرؤية مستحيلة عليه لقال: </w:t>
      </w:r>
      <w:r w:rsidR="000636C2">
        <w:rPr>
          <w:rFonts w:hint="cs"/>
          <w:rtl/>
        </w:rPr>
        <w:lastRenderedPageBreak/>
        <w:t>(</w:t>
      </w:r>
      <w:r w:rsidRPr="005675B2">
        <w:rPr>
          <w:rFonts w:hint="cs"/>
          <w:rtl/>
        </w:rPr>
        <w:t>لست بمرئي</w:t>
      </w:r>
      <w:r w:rsidR="000636C2">
        <w:rPr>
          <w:rFonts w:hint="cs"/>
          <w:rtl/>
        </w:rPr>
        <w:t>)،</w:t>
      </w:r>
      <w:r w:rsidRPr="005675B2">
        <w:rPr>
          <w:rFonts w:hint="cs"/>
          <w:rtl/>
        </w:rPr>
        <w:t xml:space="preserve"> أو </w:t>
      </w:r>
      <w:r w:rsidR="000636C2">
        <w:rPr>
          <w:rFonts w:hint="cs"/>
          <w:rtl/>
        </w:rPr>
        <w:t>(</w:t>
      </w:r>
      <w:r w:rsidRPr="005675B2">
        <w:rPr>
          <w:rFonts w:hint="cs"/>
          <w:rtl/>
        </w:rPr>
        <w:t>لا تجوز رؤيتي</w:t>
      </w:r>
      <w:r w:rsidR="000636C2">
        <w:rPr>
          <w:rFonts w:hint="cs"/>
          <w:rtl/>
        </w:rPr>
        <w:t>)</w:t>
      </w:r>
      <w:r w:rsidRPr="005675B2">
        <w:rPr>
          <w:rFonts w:hint="cs"/>
          <w:rtl/>
        </w:rPr>
        <w:t xml:space="preserve"> أو </w:t>
      </w:r>
      <w:r w:rsidR="000636C2">
        <w:rPr>
          <w:rFonts w:hint="cs"/>
          <w:rtl/>
        </w:rPr>
        <w:t>(</w:t>
      </w:r>
      <w:r w:rsidRPr="005675B2">
        <w:rPr>
          <w:rFonts w:hint="cs"/>
          <w:rtl/>
        </w:rPr>
        <w:t>إن الرؤية تستحيل في حقي</w:t>
      </w:r>
      <w:r w:rsidR="000636C2">
        <w:rPr>
          <w:rFonts w:hint="cs"/>
          <w:rtl/>
        </w:rPr>
        <w:t>)</w:t>
      </w:r>
      <w:r w:rsidRPr="005675B2">
        <w:rPr>
          <w:rFonts w:hint="cs"/>
          <w:rtl/>
        </w:rPr>
        <w:t xml:space="preserve"> ولكان آنذاك تصحيحاً واجبا للعقيدة وللخطأ في طلب الرؤية التي لا تجوز في حق الإله</w:t>
      </w:r>
      <w:r w:rsidR="000636C2">
        <w:rPr>
          <w:rFonts w:hint="cs"/>
          <w:rtl/>
        </w:rPr>
        <w:t>،</w:t>
      </w:r>
      <w:r w:rsidRPr="005675B2">
        <w:rPr>
          <w:rFonts w:hint="cs"/>
          <w:rtl/>
        </w:rPr>
        <w:t xml:space="preserve"> وكل هذا لم يحدث</w:t>
      </w:r>
      <w:r w:rsidR="000636C2">
        <w:rPr>
          <w:rFonts w:hint="cs"/>
          <w:rtl/>
        </w:rPr>
        <w:t>،</w:t>
      </w:r>
      <w:r w:rsidRPr="005675B2">
        <w:rPr>
          <w:rFonts w:hint="cs"/>
          <w:rtl/>
        </w:rPr>
        <w:t xml:space="preserve"> فدل على جواز المبدأ </w:t>
      </w:r>
      <w:r w:rsidR="000636C2">
        <w:rPr>
          <w:rFonts w:hint="cs"/>
          <w:rtl/>
        </w:rPr>
        <w:t>(</w:t>
      </w:r>
      <w:r w:rsidRPr="005675B2">
        <w:rPr>
          <w:rFonts w:hint="cs"/>
          <w:rtl/>
        </w:rPr>
        <w:t>إمكانية رؤية الله</w:t>
      </w:r>
      <w:r w:rsidR="000636C2">
        <w:rPr>
          <w:rFonts w:hint="cs"/>
          <w:rtl/>
        </w:rPr>
        <w:t>)،</w:t>
      </w:r>
      <w:r w:rsidRPr="005675B2">
        <w:rPr>
          <w:rFonts w:hint="cs"/>
          <w:rtl/>
        </w:rPr>
        <w:t xml:space="preserve"> كما أنّ الله تعالى علق الرؤية على أمر جائز، وهو استقرار الجبل والمعلق على الجائز جائز، فيلزم كون الرؤية في نفسها جائزة،</w:t>
      </w:r>
      <w:r w:rsidR="000636C2">
        <w:rPr>
          <w:rFonts w:hint="cs"/>
          <w:rtl/>
        </w:rPr>
        <w:t xml:space="preserve"> </w:t>
      </w:r>
      <w:r w:rsidR="000636C2">
        <w:rPr>
          <w:rFonts w:hint="cs"/>
          <w:bCs/>
          <w:rtl/>
        </w:rPr>
        <w:t>(</w:t>
      </w:r>
      <w:r w:rsidRPr="005675B2">
        <w:rPr>
          <w:rFonts w:hint="cs"/>
          <w:bCs/>
          <w:rtl/>
        </w:rPr>
        <w:t>2</w:t>
      </w:r>
      <w:r w:rsidR="000636C2">
        <w:rPr>
          <w:rFonts w:hint="cs"/>
          <w:bCs/>
          <w:rtl/>
        </w:rPr>
        <w:t>)</w:t>
      </w:r>
      <w:r w:rsidRPr="005675B2">
        <w:rPr>
          <w:rFonts w:hint="cs"/>
          <w:bCs/>
          <w:rtl/>
        </w:rPr>
        <w:t xml:space="preserve"> الأدلة على رؤية الله سبحانه من السنّة</w:t>
      </w:r>
      <w:r w:rsidR="000636C2">
        <w:rPr>
          <w:rFonts w:hint="cs"/>
          <w:bCs/>
          <w:rtl/>
        </w:rPr>
        <w:t>:</w:t>
      </w:r>
      <w:r w:rsidRPr="005675B2">
        <w:rPr>
          <w:rFonts w:hint="cs"/>
          <w:bCs/>
          <w:rtl/>
        </w:rPr>
        <w:t xml:space="preserve"> </w:t>
      </w:r>
      <w:r w:rsidRPr="005675B2">
        <w:rPr>
          <w:rFonts w:hint="cs"/>
          <w:rtl/>
        </w:rPr>
        <w:t>تواترت الأدلة من السنّة على رؤية الله تعالى في الآخرة منها</w:t>
      </w:r>
      <w:r w:rsidR="000636C2">
        <w:rPr>
          <w:rFonts w:hint="cs"/>
          <w:rtl/>
        </w:rPr>
        <w:t>: (</w:t>
      </w:r>
      <w:r w:rsidRPr="005675B2">
        <w:rPr>
          <w:rFonts w:hint="cs"/>
          <w:rtl/>
        </w:rPr>
        <w:t>أ</w:t>
      </w:r>
      <w:r w:rsidR="000636C2">
        <w:rPr>
          <w:rFonts w:hint="cs"/>
          <w:rtl/>
        </w:rPr>
        <w:t>)</w:t>
      </w:r>
      <w:r w:rsidRPr="005675B2">
        <w:rPr>
          <w:rFonts w:hint="cs"/>
          <w:rtl/>
        </w:rPr>
        <w:t xml:space="preserve"> ما أخرجه مسلم عن أبي هريرة رضي الله عنه</w:t>
      </w:r>
      <w:r w:rsidR="000636C2">
        <w:rPr>
          <w:rFonts w:hint="cs"/>
          <w:rtl/>
        </w:rPr>
        <w:t>،</w:t>
      </w:r>
      <w:r w:rsidRPr="005675B2">
        <w:rPr>
          <w:rFonts w:hint="cs"/>
          <w:rtl/>
        </w:rPr>
        <w:t xml:space="preserve"> أن ناساً قالوا لرسول الله صلى الله عليه وسلم: يا رسول الله هل نرى ربنا يوم القيامة</w:t>
      </w:r>
      <w:r w:rsidR="000636C2">
        <w:rPr>
          <w:rFonts w:hint="cs"/>
          <w:rtl/>
        </w:rPr>
        <w:t>؟</w:t>
      </w:r>
      <w:r w:rsidRPr="005675B2">
        <w:rPr>
          <w:rFonts w:hint="cs"/>
          <w:rtl/>
        </w:rPr>
        <w:t xml:space="preserve"> فقال رسول الله صلى الله عليه وسلم: (</w:t>
      </w:r>
      <w:r w:rsidR="000636C2">
        <w:rPr>
          <w:rFonts w:hint="cs"/>
          <w:rtl/>
        </w:rPr>
        <w:t>(</w:t>
      </w:r>
      <w:r w:rsidRPr="005675B2">
        <w:rPr>
          <w:rFonts w:hint="cs"/>
          <w:rtl/>
        </w:rPr>
        <w:t>هل تضارون في رؤية القمر ليلة البدر</w:t>
      </w:r>
      <w:r w:rsidR="000636C2">
        <w:rPr>
          <w:rFonts w:hint="cs"/>
          <w:rtl/>
        </w:rPr>
        <w:t xml:space="preserve">، </w:t>
      </w:r>
      <w:r w:rsidRPr="005675B2">
        <w:rPr>
          <w:rFonts w:hint="cs"/>
          <w:rtl/>
        </w:rPr>
        <w:t>قالوا</w:t>
      </w:r>
      <w:r w:rsidR="000636C2">
        <w:rPr>
          <w:rFonts w:hint="cs"/>
          <w:rtl/>
        </w:rPr>
        <w:t>:</w:t>
      </w:r>
      <w:r w:rsidRPr="005675B2">
        <w:rPr>
          <w:rFonts w:hint="cs"/>
          <w:rtl/>
        </w:rPr>
        <w:t xml:space="preserve"> لا، يا رسول الله</w:t>
      </w:r>
      <w:r w:rsidR="000636C2">
        <w:rPr>
          <w:rFonts w:hint="cs"/>
          <w:rtl/>
        </w:rPr>
        <w:t>،</w:t>
      </w:r>
      <w:r w:rsidRPr="005675B2">
        <w:rPr>
          <w:rFonts w:hint="cs"/>
          <w:rtl/>
        </w:rPr>
        <w:t xml:space="preserve"> قال: هل تضارون في الشمس ليس دونها سحاب</w:t>
      </w:r>
      <w:r w:rsidR="000636C2">
        <w:rPr>
          <w:rFonts w:hint="cs"/>
          <w:rtl/>
        </w:rPr>
        <w:t xml:space="preserve">، </w:t>
      </w:r>
      <w:r w:rsidRPr="005675B2">
        <w:rPr>
          <w:rFonts w:hint="cs"/>
          <w:rtl/>
        </w:rPr>
        <w:t>قالوا</w:t>
      </w:r>
      <w:r w:rsidR="000636C2">
        <w:rPr>
          <w:rFonts w:hint="cs"/>
          <w:rtl/>
        </w:rPr>
        <w:t>:</w:t>
      </w:r>
      <w:r w:rsidRPr="005675B2">
        <w:rPr>
          <w:rFonts w:hint="cs"/>
          <w:rtl/>
        </w:rPr>
        <w:t xml:space="preserve"> لا، يا رسول الله</w:t>
      </w:r>
      <w:r w:rsidR="000636C2">
        <w:rPr>
          <w:rFonts w:hint="cs"/>
          <w:rtl/>
        </w:rPr>
        <w:t>،</w:t>
      </w:r>
      <w:r w:rsidRPr="005675B2">
        <w:rPr>
          <w:rFonts w:hint="cs"/>
          <w:rtl/>
        </w:rPr>
        <w:t xml:space="preserve"> قال: فإنكم ترونه كذلك</w:t>
      </w:r>
      <w:r w:rsidR="000636C2">
        <w:rPr>
          <w:rFonts w:hint="cs"/>
          <w:rtl/>
        </w:rPr>
        <w:t>)</w:t>
      </w:r>
      <w:r w:rsidRPr="005675B2">
        <w:rPr>
          <w:rFonts w:hint="cs"/>
          <w:rtl/>
        </w:rPr>
        <w:t xml:space="preserve">) </w:t>
      </w:r>
      <w:r w:rsidR="000636C2">
        <w:rPr>
          <w:rFonts w:hint="cs"/>
          <w:rtl/>
        </w:rPr>
        <w:t>[</w:t>
      </w:r>
      <w:r w:rsidRPr="005675B2">
        <w:rPr>
          <w:rFonts w:hint="cs"/>
          <w:rtl/>
        </w:rPr>
        <w:t>أخرجه مسلم</w:t>
      </w:r>
      <w:r w:rsidR="000636C2">
        <w:rPr>
          <w:rFonts w:hint="cs"/>
          <w:rtl/>
        </w:rPr>
        <w:t>]، (</w:t>
      </w:r>
      <w:r w:rsidRPr="005675B2">
        <w:rPr>
          <w:rFonts w:hint="cs"/>
          <w:rtl/>
        </w:rPr>
        <w:t>ب</w:t>
      </w:r>
      <w:r w:rsidR="000636C2">
        <w:rPr>
          <w:rFonts w:hint="cs"/>
          <w:rtl/>
        </w:rPr>
        <w:t>)</w:t>
      </w:r>
      <w:r w:rsidRPr="005675B2">
        <w:rPr>
          <w:rFonts w:hint="cs"/>
          <w:rtl/>
        </w:rPr>
        <w:t xml:space="preserve"> وأخرج البخاري عن جرير بن عبد الله رضي الله عنه قال: قال النبي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إنكم سترون ربكم عيانا</w:t>
      </w:r>
      <w:r w:rsidR="000636C2">
        <w:rPr>
          <w:rFonts w:hint="cs"/>
          <w:rtl/>
        </w:rPr>
        <w:t>)</w:t>
      </w:r>
      <w:r w:rsidRPr="005675B2">
        <w:rPr>
          <w:rFonts w:hint="cs"/>
          <w:rtl/>
        </w:rPr>
        <w:t xml:space="preserve">) </w:t>
      </w:r>
      <w:r w:rsidR="000636C2">
        <w:rPr>
          <w:rFonts w:hint="cs"/>
          <w:rtl/>
        </w:rPr>
        <w:t>[</w:t>
      </w:r>
      <w:r w:rsidRPr="005675B2">
        <w:rPr>
          <w:rFonts w:hint="cs"/>
          <w:rtl/>
        </w:rPr>
        <w:t>أخرجه البخاري</w:t>
      </w:r>
      <w:r w:rsidR="000636C2">
        <w:rPr>
          <w:rFonts w:hint="cs"/>
          <w:rtl/>
        </w:rPr>
        <w:t>]، (</w:t>
      </w:r>
      <w:r w:rsidRPr="005675B2">
        <w:rPr>
          <w:rFonts w:hint="cs"/>
          <w:rtl/>
        </w:rPr>
        <w:t>ت</w:t>
      </w:r>
      <w:r w:rsidR="000636C2">
        <w:rPr>
          <w:rFonts w:hint="cs"/>
          <w:rtl/>
        </w:rPr>
        <w:t>)</w:t>
      </w:r>
      <w:r w:rsidRPr="005675B2">
        <w:rPr>
          <w:rFonts w:hint="cs"/>
          <w:rtl/>
        </w:rPr>
        <w:t xml:space="preserve"> وحديث مسلم السابق عن صهيب عن النبي صلى الله عليه وسلم قال: (</w:t>
      </w:r>
      <w:r w:rsidR="000636C2">
        <w:rPr>
          <w:rFonts w:hint="cs"/>
          <w:rtl/>
        </w:rPr>
        <w:t>(</w:t>
      </w:r>
      <w:r w:rsidRPr="005675B2">
        <w:rPr>
          <w:rFonts w:hint="cs"/>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0636C2">
        <w:rPr>
          <w:rFonts w:hint="cs"/>
          <w:rtl/>
        </w:rPr>
        <w:t>{</w:t>
      </w:r>
      <w:r w:rsidRPr="005675B2">
        <w:rPr>
          <w:rFonts w:hint="cs"/>
          <w:rtl/>
        </w:rPr>
        <w:t>للذين أحسنوا الحسنى وزيادة</w:t>
      </w:r>
      <w:r w:rsidR="000636C2">
        <w:rPr>
          <w:rFonts w:hint="cs"/>
          <w:rtl/>
        </w:rPr>
        <w:t>})</w:t>
      </w:r>
      <w:r w:rsidRPr="005675B2">
        <w:rPr>
          <w:rFonts w:hint="cs"/>
          <w:rtl/>
        </w:rPr>
        <w:t xml:space="preserve">) </w:t>
      </w:r>
      <w:r w:rsidR="000636C2">
        <w:rPr>
          <w:rFonts w:hint="cs"/>
          <w:rtl/>
        </w:rPr>
        <w:t>[</w:t>
      </w:r>
      <w:r w:rsidRPr="005675B2">
        <w:rPr>
          <w:rFonts w:hint="cs"/>
          <w:rtl/>
        </w:rPr>
        <w:t>أخرجه مسلم</w:t>
      </w:r>
      <w:r w:rsidR="000636C2">
        <w:rPr>
          <w:rFonts w:hint="cs"/>
          <w:rtl/>
        </w:rPr>
        <w:t>]،</w:t>
      </w:r>
      <w:r w:rsidRPr="005675B2">
        <w:rPr>
          <w:rFonts w:hint="cs"/>
          <w:rtl/>
        </w:rPr>
        <w:t xml:space="preserve"> </w:t>
      </w:r>
      <w:r w:rsidR="000636C2">
        <w:rPr>
          <w:rFonts w:hint="cs"/>
          <w:rtl/>
        </w:rPr>
        <w:t>(</w:t>
      </w:r>
      <w:r w:rsidRPr="005675B2">
        <w:rPr>
          <w:rFonts w:hint="cs"/>
          <w:rtl/>
        </w:rPr>
        <w:t>ث</w:t>
      </w:r>
      <w:r w:rsidR="000636C2">
        <w:rPr>
          <w:rFonts w:hint="cs"/>
          <w:rtl/>
        </w:rPr>
        <w:t>)</w:t>
      </w:r>
      <w:r w:rsidRPr="005675B2">
        <w:rPr>
          <w:rFonts w:hint="cs"/>
          <w:rtl/>
        </w:rPr>
        <w:t xml:space="preserve"> وما أخرجه البخاري ومسلم عن أبي موسى الأشعري رضي الله عنه عن النبي</w:t>
      </w:r>
      <w:r w:rsidR="000636C2">
        <w:rPr>
          <w:rFonts w:hint="cs"/>
          <w:rtl/>
        </w:rPr>
        <w:t xml:space="preserve"> </w:t>
      </w:r>
      <w:r w:rsidRPr="005675B2">
        <w:rPr>
          <w:rFonts w:hint="cs"/>
          <w:rtl/>
        </w:rPr>
        <w:t>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sidR="000636C2">
        <w:rPr>
          <w:rFonts w:hint="cs"/>
          <w:rtl/>
        </w:rPr>
        <w:t>)</w:t>
      </w:r>
      <w:r w:rsidRPr="005675B2">
        <w:rPr>
          <w:rFonts w:hint="cs"/>
          <w:rtl/>
        </w:rPr>
        <w:t xml:space="preserve">) </w:t>
      </w:r>
      <w:r w:rsidR="000636C2">
        <w:rPr>
          <w:rFonts w:hint="cs"/>
          <w:rtl/>
        </w:rPr>
        <w:t>[</w:t>
      </w:r>
      <w:r w:rsidRPr="005675B2">
        <w:rPr>
          <w:rFonts w:hint="cs"/>
          <w:rtl/>
        </w:rPr>
        <w:t>متفق عليه</w:t>
      </w:r>
      <w:r w:rsidR="000636C2">
        <w:rPr>
          <w:rFonts w:hint="cs"/>
          <w:rtl/>
        </w:rPr>
        <w:t>]،</w:t>
      </w:r>
      <w:r w:rsidRPr="005675B2">
        <w:rPr>
          <w:rFonts w:hint="cs"/>
          <w:rtl/>
        </w:rPr>
        <w:t xml:space="preserve"> وما أخرجه البخاري عن عدي بن حاتم رضي الله عنه قال: 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ما منكم من أحد إلا سيكلمه ربه، ليس بينه وبينه ترجمان، ولا حجاب يحجبه</w:t>
      </w:r>
      <w:r w:rsidR="000636C2">
        <w:rPr>
          <w:rFonts w:hint="cs"/>
          <w:rtl/>
        </w:rPr>
        <w:t>)</w:t>
      </w:r>
      <w:r w:rsidRPr="005675B2">
        <w:rPr>
          <w:rFonts w:hint="cs"/>
          <w:rtl/>
        </w:rPr>
        <w:t xml:space="preserve">) </w:t>
      </w:r>
      <w:r w:rsidR="000636C2">
        <w:rPr>
          <w:rFonts w:hint="cs"/>
          <w:rtl/>
        </w:rPr>
        <w:t>[</w:t>
      </w:r>
      <w:r w:rsidRPr="005675B2">
        <w:rPr>
          <w:rFonts w:hint="cs"/>
          <w:rtl/>
        </w:rPr>
        <w:t>أخرجه البخاري</w:t>
      </w:r>
      <w:r w:rsidR="000636C2">
        <w:rPr>
          <w:rFonts w:hint="cs"/>
          <w:rtl/>
        </w:rPr>
        <w:t xml:space="preserve">]، </w:t>
      </w:r>
      <w:r w:rsidR="000636C2">
        <w:rPr>
          <w:rFonts w:hint="cs"/>
          <w:bCs/>
          <w:rtl/>
        </w:rPr>
        <w:t>(</w:t>
      </w:r>
      <w:r w:rsidRPr="005675B2">
        <w:rPr>
          <w:rFonts w:hint="cs"/>
          <w:bCs/>
          <w:rtl/>
        </w:rPr>
        <w:t>3</w:t>
      </w:r>
      <w:r w:rsidR="000636C2">
        <w:rPr>
          <w:rFonts w:hint="cs"/>
          <w:bCs/>
          <w:rtl/>
        </w:rPr>
        <w:t>)</w:t>
      </w:r>
      <w:r w:rsidRPr="005675B2">
        <w:rPr>
          <w:rFonts w:hint="cs"/>
          <w:bCs/>
          <w:rtl/>
        </w:rPr>
        <w:t xml:space="preserve"> والأحاديث الواردة في رؤية المؤمنين ربهم في الآخرة متواترة</w:t>
      </w:r>
      <w:r w:rsidR="000636C2">
        <w:rPr>
          <w:rFonts w:hint="cs"/>
          <w:bCs/>
          <w:rtl/>
        </w:rPr>
        <w:t>،</w:t>
      </w:r>
      <w:r w:rsidRPr="005675B2">
        <w:rPr>
          <w:rFonts w:hint="cs"/>
          <w:rtl/>
        </w:rPr>
        <w:t xml:space="preserve"> ذكر هذا التواتر الكتاني في نظم المتناثر</w:t>
      </w:r>
      <w:r w:rsidR="000636C2">
        <w:rPr>
          <w:rFonts w:hint="cs"/>
          <w:rtl/>
        </w:rPr>
        <w:t>،</w:t>
      </w:r>
      <w:r w:rsidRPr="005675B2">
        <w:rPr>
          <w:rFonts w:hint="cs"/>
          <w:rtl/>
        </w:rPr>
        <w:t xml:space="preserve"> و ابن حجر في فتح الباري</w:t>
      </w:r>
      <w:r w:rsidR="000636C2">
        <w:rPr>
          <w:rFonts w:hint="cs"/>
          <w:rtl/>
        </w:rPr>
        <w:t>،</w:t>
      </w:r>
      <w:r w:rsidRPr="005675B2">
        <w:rPr>
          <w:rFonts w:hint="cs"/>
          <w:rtl/>
        </w:rPr>
        <w:t xml:space="preserve"> و العيني في عمدة القاري، و ابن حزم في الفصل</w:t>
      </w:r>
      <w:r w:rsidR="000636C2">
        <w:rPr>
          <w:rFonts w:hint="cs"/>
          <w:rtl/>
        </w:rPr>
        <w:t>،</w:t>
      </w:r>
      <w:r w:rsidRPr="005675B2">
        <w:rPr>
          <w:rFonts w:hint="cs"/>
          <w:rtl/>
        </w:rPr>
        <w:t xml:space="preserve"> و ابن تيمية في درء تعارض العقل والنقل وغيرهم</w:t>
      </w:r>
      <w:r w:rsidR="000636C2">
        <w:rPr>
          <w:rFonts w:hint="cs"/>
          <w:rtl/>
        </w:rPr>
        <w:t>،</w:t>
      </w:r>
      <w:r w:rsidRPr="005675B2">
        <w:rPr>
          <w:rFonts w:hint="cs"/>
          <w:rtl/>
        </w:rPr>
        <w:t xml:space="preserve"> والحمد لله أنّ على رؤية المؤمنين ربهم في الآخرة إجماع أهل السنة والجماعة المقتدى بهم في الدين</w:t>
      </w:r>
      <w:r w:rsidR="000636C2">
        <w:rPr>
          <w:rFonts w:hint="cs"/>
          <w:rtl/>
        </w:rPr>
        <w:t>،</w:t>
      </w:r>
      <w:r w:rsidRPr="005675B2">
        <w:rPr>
          <w:rFonts w:hint="cs"/>
          <w:rtl/>
        </w:rPr>
        <w:t xml:space="preserve"> نقله عنهم ابن تيمية فقال</w:t>
      </w:r>
      <w:r w:rsidR="000636C2">
        <w:rPr>
          <w:rFonts w:hint="cs"/>
          <w:rtl/>
        </w:rPr>
        <w:t>:</w:t>
      </w:r>
      <w:r w:rsidRPr="005675B2">
        <w:rPr>
          <w:rFonts w:hint="cs"/>
          <w:rtl/>
        </w:rPr>
        <w:t xml:space="preserve"> </w:t>
      </w:r>
      <w:r w:rsidR="000636C2">
        <w:rPr>
          <w:rFonts w:hint="cs"/>
          <w:rtl/>
        </w:rPr>
        <w:t>(</w:t>
      </w:r>
      <w:r w:rsidRPr="005675B2">
        <w:rPr>
          <w:rFonts w:hint="cs"/>
          <w:rtl/>
        </w:rPr>
        <w:t>أجمع سلف الأمة وأئمتها على أن المؤمنين يرون الله بأبصارهم في الآخرة</w:t>
      </w:r>
      <w:r w:rsidR="000636C2">
        <w:rPr>
          <w:rFonts w:hint="cs"/>
          <w:rtl/>
        </w:rPr>
        <w:t>)</w:t>
      </w:r>
      <w:r w:rsidRPr="005675B2">
        <w:rPr>
          <w:rFonts w:hint="cs"/>
          <w:rtl/>
        </w:rPr>
        <w:t xml:space="preserve"> </w:t>
      </w:r>
      <w:r w:rsidR="000636C2">
        <w:rPr>
          <w:rFonts w:hint="cs"/>
          <w:rtl/>
        </w:rPr>
        <w:t>[</w:t>
      </w:r>
      <w:r w:rsidRPr="005675B2">
        <w:rPr>
          <w:rFonts w:hint="cs"/>
          <w:rtl/>
        </w:rPr>
        <w:t>مجموع الفتاوى 6/512</w:t>
      </w:r>
      <w:r w:rsidR="000636C2">
        <w:rPr>
          <w:rFonts w:hint="cs"/>
          <w:rtl/>
        </w:rPr>
        <w:t xml:space="preserve">]، </w:t>
      </w:r>
      <w:r w:rsidR="000636C2">
        <w:rPr>
          <w:rFonts w:hint="cs"/>
          <w:bCs/>
          <w:rtl/>
        </w:rPr>
        <w:t>(</w:t>
      </w:r>
      <w:r w:rsidRPr="005675B2">
        <w:rPr>
          <w:rFonts w:hint="cs"/>
          <w:bCs/>
          <w:rtl/>
        </w:rPr>
        <w:t>4</w:t>
      </w:r>
      <w:r w:rsidR="000636C2">
        <w:rPr>
          <w:rFonts w:hint="cs"/>
          <w:bCs/>
          <w:rtl/>
        </w:rPr>
        <w:t>)</w:t>
      </w:r>
      <w:r w:rsidRPr="005675B2">
        <w:rPr>
          <w:rFonts w:hint="cs"/>
          <w:bCs/>
          <w:rtl/>
        </w:rPr>
        <w:t xml:space="preserve"> وقد اتفقت كلمة مدارس أهل السنة والجماعة المتخصصة في العقيدة </w:t>
      </w:r>
      <w:r w:rsidR="000636C2">
        <w:rPr>
          <w:rFonts w:hint="cs"/>
          <w:bCs/>
          <w:rtl/>
        </w:rPr>
        <w:t>(</w:t>
      </w:r>
      <w:r w:rsidRPr="005675B2">
        <w:rPr>
          <w:rFonts w:hint="cs"/>
          <w:bCs/>
          <w:rtl/>
        </w:rPr>
        <w:t>المدرسة الأثرية والمدرسة الأشعرية والمدرسة الماتريدية</w:t>
      </w:r>
      <w:r w:rsidR="000636C2">
        <w:rPr>
          <w:rFonts w:hint="cs"/>
          <w:bCs/>
          <w:rtl/>
        </w:rPr>
        <w:t>)</w:t>
      </w:r>
      <w:r w:rsidRPr="005675B2">
        <w:rPr>
          <w:rFonts w:hint="cs"/>
          <w:bCs/>
          <w:rtl/>
        </w:rPr>
        <w:t xml:space="preserve"> على رؤية الله تعالى في الآخرة</w:t>
      </w:r>
      <w:r w:rsidR="000636C2">
        <w:rPr>
          <w:rFonts w:hint="cs"/>
          <w:rtl/>
        </w:rPr>
        <w:t>،</w:t>
      </w:r>
      <w:r w:rsidRPr="005675B2">
        <w:rPr>
          <w:rFonts w:hint="cs"/>
          <w:rtl/>
        </w:rPr>
        <w:t xml:space="preserve"> ومنع منها المعتزلة والإمامية والإباضية</w:t>
      </w:r>
      <w:r w:rsidR="000636C2">
        <w:rPr>
          <w:rFonts w:hint="cs"/>
          <w:rtl/>
        </w:rPr>
        <w:t>،</w:t>
      </w:r>
      <w:r w:rsidRPr="005675B2">
        <w:rPr>
          <w:rFonts w:hint="cs"/>
          <w:rtl/>
        </w:rPr>
        <w:t xml:space="preserve"> وحججهم في الباب واهية </w:t>
      </w:r>
      <w:r w:rsidRPr="005675B2">
        <w:rPr>
          <w:rFonts w:hint="cs"/>
          <w:rtl/>
        </w:rPr>
        <w:lastRenderedPageBreak/>
        <w:t>لا تقوى على معارضة الأدلة من الكتاب والسنة والعقل</w:t>
      </w:r>
      <w:r w:rsidR="000636C2">
        <w:rPr>
          <w:rFonts w:hint="cs"/>
          <w:rtl/>
        </w:rPr>
        <w:t>،</w:t>
      </w:r>
      <w:r w:rsidRPr="005675B2">
        <w:rPr>
          <w:rFonts w:hint="cs"/>
          <w:rtl/>
        </w:rPr>
        <w:t xml:space="preserve"> </w:t>
      </w:r>
      <w:r w:rsidR="000636C2">
        <w:rPr>
          <w:rFonts w:hint="cs"/>
          <w:bCs/>
          <w:rtl/>
        </w:rPr>
        <w:t>(</w:t>
      </w:r>
      <w:r w:rsidRPr="005675B2">
        <w:rPr>
          <w:rFonts w:hint="cs"/>
          <w:bCs/>
          <w:rtl/>
        </w:rPr>
        <w:t>5</w:t>
      </w:r>
      <w:r w:rsidR="000636C2">
        <w:rPr>
          <w:rFonts w:hint="cs"/>
          <w:bCs/>
          <w:rtl/>
        </w:rPr>
        <w:t>)</w:t>
      </w:r>
      <w:r w:rsidRPr="005675B2">
        <w:rPr>
          <w:rFonts w:hint="cs"/>
          <w:bCs/>
          <w:rtl/>
        </w:rPr>
        <w:t xml:space="preserve"> إمكانية رؤية الله تعالى عقلاً</w:t>
      </w:r>
      <w:r w:rsidR="000636C2">
        <w:rPr>
          <w:rFonts w:hint="cs"/>
          <w:bCs/>
          <w:rtl/>
        </w:rPr>
        <w:t>:</w:t>
      </w:r>
      <w:r w:rsidRPr="005675B2">
        <w:rPr>
          <w:rFonts w:hint="cs"/>
          <w:bCs/>
          <w:rtl/>
        </w:rPr>
        <w:t xml:space="preserve"> رؤية الله تعالى غير ممتنعة عقلاً للأسباب التالية</w:t>
      </w:r>
      <w:r w:rsidR="000636C2">
        <w:rPr>
          <w:rFonts w:hint="cs"/>
          <w:bCs/>
          <w:rtl/>
        </w:rPr>
        <w:t xml:space="preserve">: </w:t>
      </w:r>
      <w:r w:rsidR="000636C2">
        <w:rPr>
          <w:rFonts w:hint="cs"/>
          <w:rtl/>
        </w:rPr>
        <w:t>(</w:t>
      </w:r>
      <w:r w:rsidRPr="005675B2">
        <w:rPr>
          <w:rFonts w:hint="cs"/>
          <w:rtl/>
        </w:rPr>
        <w:t>أ</w:t>
      </w:r>
      <w:r w:rsidR="000636C2">
        <w:rPr>
          <w:rFonts w:hint="cs"/>
          <w:rtl/>
        </w:rPr>
        <w:t>)</w:t>
      </w:r>
      <w:r w:rsidRPr="005675B2">
        <w:rPr>
          <w:rFonts w:hint="cs"/>
          <w:rtl/>
        </w:rPr>
        <w:t xml:space="preserve"> الله تعالى موجود</w:t>
      </w:r>
      <w:r w:rsidR="000636C2">
        <w:rPr>
          <w:rFonts w:hint="cs"/>
          <w:rtl/>
        </w:rPr>
        <w:t>،</w:t>
      </w:r>
      <w:r w:rsidRPr="005675B2">
        <w:rPr>
          <w:rFonts w:hint="cs"/>
          <w:rtl/>
        </w:rPr>
        <w:t xml:space="preserve"> وكل موجود تصح رؤيته</w:t>
      </w:r>
      <w:r w:rsidR="000636C2">
        <w:rPr>
          <w:rFonts w:hint="cs"/>
          <w:rtl/>
        </w:rPr>
        <w:t>،</w:t>
      </w:r>
      <w:r w:rsidRPr="005675B2">
        <w:rPr>
          <w:rFonts w:hint="cs"/>
          <w:rtl/>
        </w:rPr>
        <w:t xml:space="preserve"> لأنّ المصحح للرؤية الوجود</w:t>
      </w:r>
      <w:r w:rsidR="000636C2">
        <w:rPr>
          <w:rFonts w:hint="cs"/>
          <w:rtl/>
        </w:rPr>
        <w:t>،</w:t>
      </w:r>
      <w:r w:rsidRPr="005675B2">
        <w:rPr>
          <w:rFonts w:hint="cs"/>
          <w:rtl/>
        </w:rPr>
        <w:t xml:space="preserve"> وليس الجسم والشكل والصورة</w:t>
      </w:r>
      <w:r w:rsidR="000636C2">
        <w:rPr>
          <w:rFonts w:hint="cs"/>
          <w:rtl/>
        </w:rPr>
        <w:t>،</w:t>
      </w:r>
      <w:r w:rsidRPr="005675B2">
        <w:rPr>
          <w:rFonts w:hint="cs"/>
          <w:rtl/>
        </w:rPr>
        <w:t xml:space="preserve"> وإذا كان الله تعالى منزها عن ذلك كله</w:t>
      </w:r>
      <w:r w:rsidR="000636C2">
        <w:rPr>
          <w:rFonts w:hint="cs"/>
          <w:rtl/>
        </w:rPr>
        <w:t>،</w:t>
      </w:r>
      <w:r w:rsidRPr="005675B2">
        <w:rPr>
          <w:rFonts w:hint="cs"/>
          <w:rtl/>
        </w:rPr>
        <w:t xml:space="preserve"> لأنّه الخالق لها</w:t>
      </w:r>
      <w:r w:rsidR="000636C2">
        <w:rPr>
          <w:rFonts w:hint="cs"/>
          <w:rtl/>
        </w:rPr>
        <w:t>،</w:t>
      </w:r>
      <w:r w:rsidRPr="005675B2">
        <w:rPr>
          <w:rFonts w:hint="cs"/>
          <w:rtl/>
        </w:rPr>
        <w:t xml:space="preserve"> فليس يعني ذلك انتفاء الرؤية لأنّ المصحح للرؤية هو الوجود والله تعالى موجود</w:t>
      </w:r>
      <w:r w:rsidR="000636C2">
        <w:rPr>
          <w:rFonts w:hint="cs"/>
          <w:rtl/>
        </w:rPr>
        <w:t>،</w:t>
      </w:r>
      <w:r w:rsidRPr="005675B2">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0636C2">
        <w:rPr>
          <w:rFonts w:hint="cs"/>
          <w:rtl/>
        </w:rPr>
        <w:t>،</w:t>
      </w:r>
      <w:r w:rsidRPr="005675B2">
        <w:rPr>
          <w:rFonts w:hint="cs"/>
          <w:rtl/>
        </w:rPr>
        <w:t xml:space="preserve"> فهذه لا يحيلها العقل وقد جاء الشرع بإثباتها</w:t>
      </w:r>
      <w:r w:rsidR="000636C2">
        <w:rPr>
          <w:rFonts w:hint="cs"/>
          <w:rtl/>
        </w:rPr>
        <w:t>،</w:t>
      </w:r>
      <w:r w:rsidRPr="005675B2">
        <w:rPr>
          <w:rFonts w:hint="cs"/>
          <w:rtl/>
        </w:rPr>
        <w:t xml:space="preserve"> فوجب اثباتها والايمان بها</w:t>
      </w:r>
      <w:r w:rsidR="000636C2">
        <w:rPr>
          <w:rFonts w:hint="cs"/>
          <w:rtl/>
        </w:rPr>
        <w:t>،</w:t>
      </w:r>
      <w:r w:rsidRPr="005675B2">
        <w:rPr>
          <w:rFonts w:hint="cs"/>
          <w:rtl/>
        </w:rPr>
        <w:t xml:space="preserve"> مع ما يتعلق بها من تقديس وتنزيه</w:t>
      </w:r>
      <w:r w:rsidR="000636C2">
        <w:rPr>
          <w:rFonts w:hint="cs"/>
          <w:rtl/>
        </w:rPr>
        <w:t>، (</w:t>
      </w:r>
      <w:r w:rsidRPr="005675B2">
        <w:rPr>
          <w:rFonts w:hint="cs"/>
          <w:rtl/>
        </w:rPr>
        <w:t>ب</w:t>
      </w:r>
      <w:r w:rsidR="000636C2">
        <w:rPr>
          <w:rFonts w:hint="cs"/>
          <w:rtl/>
        </w:rPr>
        <w:t>)</w:t>
      </w:r>
      <w:r w:rsidRPr="005675B2">
        <w:rPr>
          <w:rFonts w:hint="cs"/>
          <w:rtl/>
        </w:rPr>
        <w:t xml:space="preserve"> المانعون من الرؤية عقلا كان دليلهم هو أنّ الله تعالى ليس كمثله شيء منزه عن المكان وسائر الأمكنة والجهات إليه سواء</w:t>
      </w:r>
      <w:r w:rsidR="000636C2">
        <w:rPr>
          <w:rFonts w:hint="cs"/>
          <w:rtl/>
        </w:rPr>
        <w:t>،</w:t>
      </w:r>
      <w:r w:rsidRPr="005675B2">
        <w:rPr>
          <w:rFonts w:hint="cs"/>
          <w:rtl/>
        </w:rPr>
        <w:t xml:space="preserve"> والرؤية لا تكون إلا في جهة ومكان</w:t>
      </w:r>
      <w:r w:rsidR="000636C2">
        <w:rPr>
          <w:rFonts w:hint="cs"/>
          <w:rtl/>
        </w:rPr>
        <w:t>،</w:t>
      </w:r>
      <w:r w:rsidRPr="005675B2">
        <w:rPr>
          <w:rFonts w:hint="cs"/>
          <w:rtl/>
        </w:rPr>
        <w:t xml:space="preserve"> والمكان مستحيل على الله لأنّ الله تعالى خالق المكان</w:t>
      </w:r>
      <w:r w:rsidR="000636C2">
        <w:rPr>
          <w:rFonts w:hint="cs"/>
          <w:rtl/>
        </w:rPr>
        <w:t>،</w:t>
      </w:r>
      <w:r w:rsidRPr="005675B2">
        <w:rPr>
          <w:rFonts w:hint="cs"/>
          <w:rtl/>
        </w:rPr>
        <w:t xml:space="preserve"> ولا يحل الخالق في المخلوق</w:t>
      </w:r>
      <w:r w:rsidR="000636C2">
        <w:rPr>
          <w:rFonts w:hint="cs"/>
          <w:rtl/>
        </w:rPr>
        <w:t>،</w:t>
      </w:r>
      <w:r w:rsidRPr="005675B2">
        <w:rPr>
          <w:rFonts w:hint="cs"/>
          <w:rtl/>
        </w:rPr>
        <w:t xml:space="preserve"> نقول نعم للتنزيه</w:t>
      </w:r>
      <w:r w:rsidR="000636C2">
        <w:rPr>
          <w:rFonts w:hint="cs"/>
          <w:rtl/>
        </w:rPr>
        <w:t>،</w:t>
      </w:r>
      <w:r w:rsidRPr="005675B2">
        <w:rPr>
          <w:rFonts w:hint="cs"/>
          <w:rtl/>
        </w:rPr>
        <w:t xml:space="preserve"> ولكن ما علاقة الرؤية بالمكان والجهة</w:t>
      </w:r>
      <w:r w:rsidR="000636C2">
        <w:rPr>
          <w:rFonts w:hint="cs"/>
          <w:rtl/>
        </w:rPr>
        <w:t>،</w:t>
      </w:r>
      <w:r w:rsidRPr="005675B2">
        <w:rPr>
          <w:rFonts w:hint="cs"/>
          <w:rtl/>
        </w:rPr>
        <w:t xml:space="preserve"> لأننا نقول رؤيته - سبحانه - لا في جهة ولا في مكان</w:t>
      </w:r>
      <w:r w:rsidR="000636C2">
        <w:rPr>
          <w:rFonts w:hint="cs"/>
          <w:rtl/>
        </w:rPr>
        <w:t>،</w:t>
      </w:r>
      <w:r w:rsidRPr="005675B2">
        <w:rPr>
          <w:rFonts w:hint="cs"/>
          <w:rtl/>
        </w:rPr>
        <w:t xml:space="preserve"> لأنّ جميع المؤمنين لا يضامون في رؤيته والمعنى لا يتزاحمون لرؤيته</w:t>
      </w:r>
      <w:r w:rsidR="000636C2">
        <w:rPr>
          <w:rFonts w:hint="cs"/>
          <w:rtl/>
        </w:rPr>
        <w:t>،</w:t>
      </w:r>
      <w:r w:rsidRPr="005675B2">
        <w:rPr>
          <w:rFonts w:hint="cs"/>
          <w:rtl/>
        </w:rPr>
        <w:t xml:space="preserve"> فالكل يراه لا في جهة ولا في مكان</w:t>
      </w:r>
      <w:r w:rsidR="000636C2">
        <w:rPr>
          <w:rFonts w:hint="cs"/>
          <w:rtl/>
        </w:rPr>
        <w:t>،</w:t>
      </w:r>
      <w:r w:rsidRPr="005675B2">
        <w:rPr>
          <w:rFonts w:hint="cs"/>
          <w:rtl/>
        </w:rPr>
        <w:t xml:space="preserve"> قال تعالى </w:t>
      </w:r>
      <w:r w:rsidR="000636C2">
        <w:rPr>
          <w:rFonts w:hint="cs"/>
          <w:rtl/>
        </w:rPr>
        <w:t>{</w:t>
      </w:r>
      <w:r w:rsidRPr="005675B2">
        <w:rPr>
          <w:rFonts w:hint="cs"/>
          <w:rtl/>
        </w:rPr>
        <w:t>وَلِلَّهِ الْمَشْرِقُ وَالْمَغْرِبُ فَأَيْنَمَا تُوَلُّوا فَثَمَّ وَجْهُ اللَّهِ إِنَّ اللَّهَ وَاسِعٌ عَلِيمٌ</w:t>
      </w:r>
      <w:r w:rsidR="000636C2">
        <w:rPr>
          <w:rFonts w:hint="cs"/>
          <w:rtl/>
        </w:rPr>
        <w:t>}</w:t>
      </w:r>
      <w:r w:rsidRPr="005675B2">
        <w:rPr>
          <w:rFonts w:hint="cs"/>
          <w:rtl/>
        </w:rPr>
        <w:t xml:space="preserve"> </w:t>
      </w:r>
      <w:r w:rsidR="000636C2">
        <w:rPr>
          <w:rFonts w:hint="cs"/>
          <w:rtl/>
        </w:rPr>
        <w:t>[</w:t>
      </w:r>
      <w:r w:rsidRPr="005675B2">
        <w:rPr>
          <w:rFonts w:hint="cs"/>
          <w:rtl/>
        </w:rPr>
        <w:t>البقرة</w:t>
      </w:r>
      <w:r w:rsidR="000636C2">
        <w:rPr>
          <w:rFonts w:hint="cs"/>
          <w:rtl/>
        </w:rPr>
        <w:t>:</w:t>
      </w:r>
      <w:r w:rsidRPr="005675B2">
        <w:rPr>
          <w:rFonts w:hint="cs"/>
          <w:rtl/>
        </w:rPr>
        <w:t xml:space="preserve"> 115</w:t>
      </w:r>
      <w:r w:rsidR="000636C2">
        <w:rPr>
          <w:rFonts w:hint="cs"/>
          <w:rtl/>
        </w:rPr>
        <w:t>]،</w:t>
      </w:r>
      <w:r w:rsidRPr="005675B2">
        <w:rPr>
          <w:rFonts w:hint="cs"/>
          <w:rtl/>
        </w:rPr>
        <w:t xml:space="preserve"> فالأماكن كلها عند الله تعالى سواء</w:t>
      </w:r>
      <w:r w:rsidR="000636C2">
        <w:rPr>
          <w:rFonts w:hint="cs"/>
          <w:rtl/>
        </w:rPr>
        <w:t>، (</w:t>
      </w:r>
      <w:r w:rsidRPr="005675B2">
        <w:rPr>
          <w:rFonts w:hint="cs"/>
          <w:rtl/>
        </w:rPr>
        <w:t>ت</w:t>
      </w:r>
      <w:r w:rsidR="000636C2">
        <w:rPr>
          <w:rFonts w:hint="cs"/>
          <w:rtl/>
        </w:rPr>
        <w:t>)</w:t>
      </w:r>
      <w:r w:rsidRPr="005675B2">
        <w:rPr>
          <w:rFonts w:hint="cs"/>
          <w:rtl/>
        </w:rPr>
        <w:t xml:space="preserve"> المانعون من الرؤية عقلا كان دليلهم هو أنّ الرؤية لا تكون إلا بشعاع متصل بين العين والشيء المرئي</w:t>
      </w:r>
      <w:r w:rsidR="000636C2">
        <w:rPr>
          <w:rFonts w:hint="cs"/>
          <w:rtl/>
        </w:rPr>
        <w:t>،</w:t>
      </w:r>
      <w:r w:rsidRPr="005675B2">
        <w:rPr>
          <w:rFonts w:hint="cs"/>
          <w:rtl/>
        </w:rPr>
        <w:t xml:space="preserve"> وهذا محال على الله لأنّه منزه عن قوانين المادة والجسم</w:t>
      </w:r>
      <w:r w:rsidR="000636C2">
        <w:rPr>
          <w:rFonts w:hint="cs"/>
          <w:rtl/>
        </w:rPr>
        <w:t>،</w:t>
      </w:r>
      <w:r w:rsidRPr="005675B2">
        <w:rPr>
          <w:rFonts w:hint="cs"/>
          <w:rtl/>
        </w:rPr>
        <w:t xml:space="preserve"> والشعاع المتصل يكون بين الأجسام المادية</w:t>
      </w:r>
      <w:r w:rsidR="000636C2">
        <w:rPr>
          <w:rFonts w:hint="cs"/>
          <w:rtl/>
        </w:rPr>
        <w:t>،</w:t>
      </w:r>
      <w:r w:rsidRPr="005675B2">
        <w:rPr>
          <w:rFonts w:hint="cs"/>
          <w:rtl/>
        </w:rPr>
        <w:t xml:space="preserve"> ونقول نعم للتنزيه والتقديس</w:t>
      </w:r>
      <w:r w:rsidR="000636C2">
        <w:rPr>
          <w:rFonts w:hint="cs"/>
          <w:rtl/>
        </w:rPr>
        <w:t>،</w:t>
      </w:r>
      <w:r w:rsidRPr="005675B2">
        <w:rPr>
          <w:rFonts w:hint="cs"/>
          <w:rtl/>
        </w:rPr>
        <w:t xml:space="preserve"> ولكن لا علاقة أيضاً لإمكانية الرؤية بالأجسام والمواد واتصال الأشعة البصرية</w:t>
      </w:r>
      <w:r w:rsidR="000636C2">
        <w:rPr>
          <w:rFonts w:hint="cs"/>
          <w:rtl/>
        </w:rPr>
        <w:t>،</w:t>
      </w:r>
      <w:r w:rsidRPr="005675B2">
        <w:rPr>
          <w:rFonts w:hint="cs"/>
          <w:rtl/>
        </w:rPr>
        <w:t xml:space="preserve"> فالرؤية ممكنة بغير تلك الأسباب</w:t>
      </w:r>
      <w:r w:rsidR="000636C2">
        <w:rPr>
          <w:rFonts w:hint="cs"/>
          <w:rtl/>
        </w:rPr>
        <w:t>،</w:t>
      </w:r>
      <w:r w:rsidRPr="005675B2">
        <w:rPr>
          <w:rFonts w:hint="cs"/>
          <w:rtl/>
        </w:rPr>
        <w:t xml:space="preserve"> والله تعالى خالق الأسباب والمسببات</w:t>
      </w:r>
      <w:r w:rsidR="000636C2">
        <w:rPr>
          <w:rFonts w:hint="cs"/>
          <w:rtl/>
        </w:rPr>
        <w:t>،</w:t>
      </w:r>
      <w:r w:rsidRPr="005675B2">
        <w:rPr>
          <w:rFonts w:hint="cs"/>
          <w:rtl/>
        </w:rPr>
        <w:t xml:space="preserve"> وعلى ذلك نؤمن بالرؤية بلا مقابلة</w:t>
      </w:r>
      <w:r w:rsidR="000636C2">
        <w:rPr>
          <w:rFonts w:hint="cs"/>
          <w:rtl/>
        </w:rPr>
        <w:t>،</w:t>
      </w:r>
      <w:r w:rsidRPr="005675B2">
        <w:rPr>
          <w:rFonts w:hint="cs"/>
          <w:rtl/>
        </w:rPr>
        <w:t xml:space="preserve"> ولا اتصال أشعة البصر</w:t>
      </w:r>
      <w:r w:rsidR="000636C2">
        <w:rPr>
          <w:rFonts w:hint="cs"/>
          <w:rtl/>
        </w:rPr>
        <w:t>،</w:t>
      </w:r>
      <w:r w:rsidRPr="005675B2">
        <w:rPr>
          <w:rFonts w:hint="cs"/>
          <w:rtl/>
        </w:rPr>
        <w:t xml:space="preserve"> ولا إحاطة بصر</w:t>
      </w:r>
      <w:r w:rsidR="000636C2">
        <w:rPr>
          <w:rFonts w:hint="cs"/>
          <w:rtl/>
        </w:rPr>
        <w:t>، (</w:t>
      </w:r>
      <w:r w:rsidRPr="005675B2">
        <w:rPr>
          <w:rFonts w:hint="cs"/>
          <w:rtl/>
        </w:rPr>
        <w:t>ث</w:t>
      </w:r>
      <w:r w:rsidR="000636C2">
        <w:rPr>
          <w:rFonts w:hint="cs"/>
          <w:rtl/>
        </w:rPr>
        <w:t>)</w:t>
      </w:r>
      <w:r w:rsidRPr="005675B2">
        <w:rPr>
          <w:rFonts w:hint="cs"/>
          <w:rtl/>
        </w:rPr>
        <w:t xml:space="preserve"> المانعون من الرؤية كان دليلهم من الشرع هو قوله تعالى</w:t>
      </w:r>
      <w:r w:rsidR="000636C2">
        <w:rPr>
          <w:rFonts w:hint="cs"/>
          <w:rtl/>
        </w:rPr>
        <w:t>:</w:t>
      </w:r>
      <w:r w:rsidRPr="005675B2">
        <w:rPr>
          <w:rFonts w:hint="cs"/>
          <w:rtl/>
        </w:rPr>
        <w:t xml:space="preserve"> </w:t>
      </w:r>
      <w:r w:rsidR="000636C2">
        <w:rPr>
          <w:rFonts w:hint="cs"/>
          <w:rtl/>
        </w:rPr>
        <w:t>{</w:t>
      </w:r>
      <w:r w:rsidRPr="005675B2">
        <w:rPr>
          <w:rFonts w:hint="cs"/>
          <w:rtl/>
        </w:rPr>
        <w:t>لَا تُدْرِكُهُ الْأَبْصَارُ وَهُوَ يُدْرِكُ الْأَبْصَارَ وَهُوَ اللَّطِيفُ الْخَبِيرُ</w:t>
      </w:r>
      <w:r w:rsidR="000636C2">
        <w:rPr>
          <w:rFonts w:hint="cs"/>
          <w:rtl/>
        </w:rPr>
        <w:t>}</w:t>
      </w:r>
      <w:r w:rsidRPr="005675B2">
        <w:rPr>
          <w:rFonts w:hint="cs"/>
          <w:rtl/>
        </w:rPr>
        <w:t xml:space="preserve"> </w:t>
      </w:r>
      <w:r w:rsidR="000636C2">
        <w:rPr>
          <w:rFonts w:hint="cs"/>
          <w:rtl/>
        </w:rPr>
        <w:t>[</w:t>
      </w:r>
      <w:r w:rsidRPr="005675B2">
        <w:rPr>
          <w:rFonts w:hint="cs"/>
          <w:rtl/>
        </w:rPr>
        <w:t>الأنعام</w:t>
      </w:r>
      <w:r w:rsidR="000636C2">
        <w:rPr>
          <w:rFonts w:hint="cs"/>
          <w:rtl/>
        </w:rPr>
        <w:t>:</w:t>
      </w:r>
      <w:r w:rsidRPr="005675B2">
        <w:rPr>
          <w:rFonts w:hint="cs"/>
          <w:rtl/>
        </w:rPr>
        <w:t xml:space="preserve"> 103</w:t>
      </w:r>
      <w:r w:rsidR="000636C2">
        <w:rPr>
          <w:rFonts w:hint="cs"/>
          <w:rtl/>
        </w:rPr>
        <w:t>]،</w:t>
      </w:r>
      <w:r w:rsidRPr="005675B2">
        <w:rPr>
          <w:rFonts w:hint="cs"/>
          <w:rtl/>
        </w:rPr>
        <w:t xml:space="preserve"> فقالوا ما لا تدركه الأبصار فليس بمرئي</w:t>
      </w:r>
      <w:r w:rsidR="000636C2">
        <w:rPr>
          <w:rFonts w:hint="cs"/>
          <w:rtl/>
        </w:rPr>
        <w:t>،</w:t>
      </w:r>
      <w:r w:rsidRPr="005675B2">
        <w:rPr>
          <w:rFonts w:hint="cs"/>
          <w:rtl/>
        </w:rPr>
        <w:t xml:space="preserve"> وهذا فهم خاطئ للآية لأنّه لو كان المقصود نفي الرؤية لجاءت الآية </w:t>
      </w:r>
      <w:r w:rsidR="000636C2">
        <w:rPr>
          <w:rFonts w:hint="cs"/>
          <w:rtl/>
        </w:rPr>
        <w:t>(</w:t>
      </w:r>
      <w:r w:rsidRPr="005675B2">
        <w:rPr>
          <w:rFonts w:hint="cs"/>
          <w:rtl/>
        </w:rPr>
        <w:t>لا تراه الأبصار</w:t>
      </w:r>
      <w:r w:rsidR="000636C2">
        <w:rPr>
          <w:rFonts w:hint="cs"/>
          <w:rtl/>
        </w:rPr>
        <w:t>)،</w:t>
      </w:r>
      <w:r w:rsidRPr="005675B2">
        <w:rPr>
          <w:rFonts w:hint="cs"/>
          <w:rtl/>
        </w:rPr>
        <w:t xml:space="preserve"> ولكن الآية نفت الإدراك ولم تنف الرؤية</w:t>
      </w:r>
      <w:r w:rsidR="000636C2">
        <w:rPr>
          <w:rFonts w:hint="cs"/>
          <w:rtl/>
        </w:rPr>
        <w:t>، {</w:t>
      </w:r>
      <w:r w:rsidRPr="005675B2">
        <w:rPr>
          <w:rFonts w:hint="cs"/>
          <w:rtl/>
        </w:rPr>
        <w:t>لَا تُدْرِكُهُ الْأَبْصَارُ</w:t>
      </w:r>
      <w:r w:rsidR="000636C2">
        <w:rPr>
          <w:rFonts w:hint="cs"/>
          <w:rtl/>
        </w:rPr>
        <w:t>}</w:t>
      </w:r>
      <w:r w:rsidRPr="005675B2">
        <w:rPr>
          <w:rFonts w:hint="cs"/>
          <w:rtl/>
        </w:rPr>
        <w:t xml:space="preserve"> ونحن نقول بجواز الرؤية</w:t>
      </w:r>
      <w:r w:rsidR="000636C2">
        <w:rPr>
          <w:rFonts w:hint="cs"/>
          <w:rtl/>
        </w:rPr>
        <w:t xml:space="preserve"> </w:t>
      </w:r>
      <w:r w:rsidRPr="005675B2">
        <w:rPr>
          <w:rFonts w:hint="cs"/>
          <w:rtl/>
        </w:rPr>
        <w:t>ولكن بغير احاطة</w:t>
      </w:r>
      <w:r w:rsidR="000636C2">
        <w:rPr>
          <w:rFonts w:hint="cs"/>
          <w:rtl/>
        </w:rPr>
        <w:t>،</w:t>
      </w:r>
      <w:r w:rsidRPr="005675B2">
        <w:rPr>
          <w:rFonts w:hint="cs"/>
          <w:rtl/>
        </w:rPr>
        <w:t xml:space="preserve"> إذ هناك مخلوقات محدودة من خلق الله تعالى كالبحر نراها ولا نحيط بها</w:t>
      </w:r>
      <w:r w:rsidR="000636C2">
        <w:rPr>
          <w:rFonts w:hint="cs"/>
          <w:rtl/>
        </w:rPr>
        <w:t>،</w:t>
      </w:r>
      <w:r w:rsidRPr="005675B2">
        <w:rPr>
          <w:rFonts w:hint="cs"/>
          <w:rtl/>
        </w:rPr>
        <w:t xml:space="preserve"> فكيف نحيط برؤية الله وهو المنزه عن الحدود</w:t>
      </w:r>
      <w:r w:rsidR="000636C2">
        <w:rPr>
          <w:rFonts w:hint="cs"/>
          <w:rtl/>
        </w:rPr>
        <w:t>،</w:t>
      </w:r>
      <w:r w:rsidRPr="005675B2">
        <w:rPr>
          <w:rFonts w:hint="cs"/>
          <w:rtl/>
        </w:rPr>
        <w:t xml:space="preserve"> لا تدركه الأبصار لأنّه منزه عن الحد والمقدار</w:t>
      </w:r>
      <w:r w:rsidR="000636C2">
        <w:rPr>
          <w:rFonts w:hint="cs"/>
          <w:rtl/>
        </w:rPr>
        <w:t>،</w:t>
      </w:r>
      <w:r w:rsidRPr="005675B2">
        <w:rPr>
          <w:rFonts w:hint="cs"/>
          <w:rtl/>
        </w:rPr>
        <w:t xml:space="preserve"> واسع لا حد ولا نهاية لذاته</w:t>
      </w:r>
      <w:r w:rsidR="000636C2">
        <w:rPr>
          <w:rFonts w:hint="cs"/>
          <w:rtl/>
        </w:rPr>
        <w:t>،</w:t>
      </w:r>
      <w:r w:rsidRPr="005675B2">
        <w:rPr>
          <w:rFonts w:hint="cs"/>
          <w:rtl/>
        </w:rPr>
        <w:t xml:space="preserve"> أكبر من كل تصور</w:t>
      </w:r>
      <w:r w:rsidR="000636C2">
        <w:rPr>
          <w:rFonts w:hint="cs"/>
          <w:rtl/>
        </w:rPr>
        <w:t>،</w:t>
      </w:r>
      <w:r w:rsidRPr="005675B2">
        <w:rPr>
          <w:rFonts w:hint="cs"/>
          <w:rtl/>
        </w:rPr>
        <w:t xml:space="preserve"> وأعظم من أن تحيط به رؤية المحدود المخلوق</w:t>
      </w:r>
      <w:r w:rsidR="000636C2">
        <w:rPr>
          <w:rFonts w:hint="cs"/>
          <w:rtl/>
        </w:rPr>
        <w:t>،</w:t>
      </w:r>
      <w:r w:rsidRPr="005675B2">
        <w:rPr>
          <w:rFonts w:hint="cs"/>
          <w:rtl/>
        </w:rPr>
        <w:t xml:space="preserve"> </w:t>
      </w:r>
      <w:r w:rsidR="000636C2">
        <w:rPr>
          <w:rFonts w:hint="cs"/>
          <w:bCs/>
          <w:rtl/>
        </w:rPr>
        <w:t>(</w:t>
      </w:r>
      <w:r w:rsidRPr="005675B2">
        <w:rPr>
          <w:rFonts w:hint="cs"/>
          <w:bCs/>
          <w:rtl/>
        </w:rPr>
        <w:t>6</w:t>
      </w:r>
      <w:r w:rsidR="000636C2">
        <w:rPr>
          <w:rFonts w:hint="cs"/>
          <w:bCs/>
          <w:rtl/>
        </w:rPr>
        <w:t>)</w:t>
      </w:r>
      <w:r w:rsidRPr="005675B2">
        <w:rPr>
          <w:rFonts w:hint="cs"/>
          <w:bCs/>
          <w:rtl/>
        </w:rPr>
        <w:t xml:space="preserve"> تنزيهات متعلقة بالرؤية</w:t>
      </w:r>
      <w:r w:rsidR="000636C2">
        <w:rPr>
          <w:rFonts w:hint="cs"/>
          <w:rtl/>
        </w:rPr>
        <w:t>:</w:t>
      </w:r>
      <w:r w:rsidRPr="005675B2">
        <w:rPr>
          <w:rFonts w:hint="cs"/>
          <w:rtl/>
        </w:rPr>
        <w:t xml:space="preserve"> </w:t>
      </w:r>
      <w:r w:rsidR="000636C2">
        <w:rPr>
          <w:rFonts w:hint="cs"/>
          <w:rtl/>
        </w:rPr>
        <w:t>(</w:t>
      </w:r>
      <w:r w:rsidRPr="005675B2">
        <w:rPr>
          <w:rFonts w:hint="cs"/>
          <w:rtl/>
        </w:rPr>
        <w:t>أ</w:t>
      </w:r>
      <w:r w:rsidR="000636C2">
        <w:rPr>
          <w:rFonts w:hint="cs"/>
          <w:rtl/>
        </w:rPr>
        <w:t>)</w:t>
      </w:r>
      <w:r w:rsidRPr="005675B2">
        <w:rPr>
          <w:rFonts w:hint="cs"/>
          <w:rtl/>
        </w:rPr>
        <w:t xml:space="preserve"> </w:t>
      </w:r>
      <w:r w:rsidRPr="005675B2">
        <w:rPr>
          <w:rFonts w:hint="cs"/>
          <w:rtl/>
        </w:rPr>
        <w:lastRenderedPageBreak/>
        <w:t>رؤيه الله لا تحيط بذات الله</w:t>
      </w:r>
      <w:r w:rsidR="000636C2">
        <w:rPr>
          <w:rFonts w:hint="cs"/>
          <w:rtl/>
        </w:rPr>
        <w:t>،</w:t>
      </w:r>
      <w:r w:rsidRPr="005675B2">
        <w:rPr>
          <w:rFonts w:hint="cs"/>
          <w:rtl/>
        </w:rPr>
        <w:t xml:space="preserve"> وكيف يحيط المخلوق المحدود برؤية المنزه عن الحدود</w:t>
      </w:r>
      <w:r w:rsidR="000636C2">
        <w:rPr>
          <w:rFonts w:hint="cs"/>
          <w:rtl/>
        </w:rPr>
        <w:t>،</w:t>
      </w:r>
      <w:r w:rsidRPr="005675B2">
        <w:rPr>
          <w:rFonts w:hint="cs"/>
          <w:rtl/>
        </w:rPr>
        <w:t xml:space="preserve"> وكيف يحيط المخلوق المحدث برؤية الخالق القديم</w:t>
      </w:r>
      <w:r w:rsidR="000636C2">
        <w:rPr>
          <w:rFonts w:hint="cs"/>
          <w:rtl/>
        </w:rPr>
        <w:t>،</w:t>
      </w:r>
      <w:r w:rsidRPr="005675B2">
        <w:rPr>
          <w:rFonts w:hint="cs"/>
          <w:rtl/>
        </w:rPr>
        <w:t xml:space="preserve"> لا تدركه الأبصار لأنّه منزه عن الحد والمقدار</w:t>
      </w:r>
      <w:r w:rsidR="000636C2">
        <w:rPr>
          <w:rFonts w:hint="cs"/>
          <w:rtl/>
        </w:rPr>
        <w:t>،</w:t>
      </w:r>
      <w:r w:rsidRPr="005675B2">
        <w:rPr>
          <w:rFonts w:hint="cs"/>
          <w:rtl/>
        </w:rPr>
        <w:t xml:space="preserve"> واسع لا حد ولا نهاية لذاته</w:t>
      </w:r>
      <w:r w:rsidR="000636C2">
        <w:rPr>
          <w:rFonts w:hint="cs"/>
          <w:rtl/>
        </w:rPr>
        <w:t>،</w:t>
      </w:r>
      <w:r w:rsidRPr="005675B2">
        <w:rPr>
          <w:rFonts w:hint="cs"/>
          <w:rtl/>
        </w:rPr>
        <w:t xml:space="preserve"> أكبر من كل تصور</w:t>
      </w:r>
      <w:r w:rsidR="000636C2">
        <w:rPr>
          <w:rFonts w:hint="cs"/>
          <w:rtl/>
        </w:rPr>
        <w:t>،</w:t>
      </w:r>
      <w:r w:rsidRPr="005675B2">
        <w:rPr>
          <w:rFonts w:hint="cs"/>
          <w:rtl/>
        </w:rPr>
        <w:t xml:space="preserve"> وأعظم من أن تحيط به رؤية المحدود المخلوق</w:t>
      </w:r>
      <w:r w:rsidR="000636C2">
        <w:rPr>
          <w:rFonts w:hint="cs"/>
          <w:rtl/>
        </w:rPr>
        <w:t>،،</w:t>
      </w:r>
      <w:r w:rsidRPr="005675B2">
        <w:rPr>
          <w:rFonts w:hint="cs"/>
          <w:rtl/>
        </w:rPr>
        <w:t xml:space="preserve"> كما في قوله تعالى</w:t>
      </w:r>
      <w:r w:rsidR="000636C2">
        <w:rPr>
          <w:rFonts w:hint="cs"/>
          <w:rtl/>
        </w:rPr>
        <w:t>:</w:t>
      </w:r>
      <w:r w:rsidRPr="005675B2">
        <w:rPr>
          <w:rFonts w:hint="cs"/>
          <w:rtl/>
        </w:rPr>
        <w:t xml:space="preserve"> </w:t>
      </w:r>
      <w:r w:rsidR="000636C2">
        <w:rPr>
          <w:rFonts w:hint="cs"/>
          <w:rtl/>
        </w:rPr>
        <w:t>{</w:t>
      </w:r>
      <w:r w:rsidRPr="005675B2">
        <w:rPr>
          <w:rFonts w:hint="cs"/>
          <w:rtl/>
        </w:rPr>
        <w:t>لَا تُدْرِكُهُ الْأَبْصَارُ وَهُوَ يُدْرِكُ الْأَبْصَارَ وَهُوَ اللَّطِيفُ الْخَبِيرُ</w:t>
      </w:r>
      <w:r w:rsidR="000636C2">
        <w:rPr>
          <w:rFonts w:hint="cs"/>
          <w:rtl/>
        </w:rPr>
        <w:t>}</w:t>
      </w:r>
      <w:r w:rsidRPr="005675B2">
        <w:rPr>
          <w:rFonts w:hint="cs"/>
          <w:rtl/>
        </w:rPr>
        <w:t xml:space="preserve"> </w:t>
      </w:r>
      <w:r w:rsidR="000636C2">
        <w:rPr>
          <w:rFonts w:hint="cs"/>
          <w:rtl/>
        </w:rPr>
        <w:t>[</w:t>
      </w:r>
      <w:r w:rsidRPr="005675B2">
        <w:rPr>
          <w:rFonts w:hint="cs"/>
          <w:rtl/>
        </w:rPr>
        <w:t>الأنعام</w:t>
      </w:r>
      <w:r w:rsidR="000636C2">
        <w:rPr>
          <w:rFonts w:hint="cs"/>
          <w:rtl/>
        </w:rPr>
        <w:t>:</w:t>
      </w:r>
      <w:r w:rsidRPr="005675B2">
        <w:rPr>
          <w:rFonts w:hint="cs"/>
          <w:rtl/>
        </w:rPr>
        <w:t xml:space="preserve"> 103</w:t>
      </w:r>
      <w:r w:rsidR="000636C2">
        <w:rPr>
          <w:rFonts w:hint="cs"/>
          <w:rtl/>
        </w:rPr>
        <w:t>]،</w:t>
      </w:r>
      <w:r w:rsidRPr="005675B2">
        <w:rPr>
          <w:rFonts w:hint="cs"/>
          <w:rtl/>
        </w:rPr>
        <w:t xml:space="preserve"> </w:t>
      </w:r>
      <w:r w:rsidR="000636C2">
        <w:rPr>
          <w:rFonts w:hint="cs"/>
          <w:rtl/>
        </w:rPr>
        <w:t>(</w:t>
      </w:r>
      <w:r w:rsidRPr="005675B2">
        <w:rPr>
          <w:rFonts w:hint="cs"/>
          <w:rtl/>
        </w:rPr>
        <w:t>ب</w:t>
      </w:r>
      <w:r w:rsidR="000636C2">
        <w:rPr>
          <w:rFonts w:hint="cs"/>
          <w:rtl/>
        </w:rPr>
        <w:t>)</w:t>
      </w:r>
      <w:r w:rsidRPr="005675B2">
        <w:rPr>
          <w:rFonts w:hint="cs"/>
          <w:rtl/>
        </w:rPr>
        <w:t xml:space="preserve"> ورؤية الله تعالى ليست في جهة ولا في مكان لأنّ ذات القدوس تنزه عن المكان</w:t>
      </w:r>
      <w:r w:rsidR="000636C2">
        <w:rPr>
          <w:rFonts w:hint="cs"/>
          <w:rtl/>
        </w:rPr>
        <w:t>،</w:t>
      </w:r>
      <w:r w:rsidRPr="005675B2">
        <w:rPr>
          <w:rFonts w:hint="cs"/>
          <w:rtl/>
        </w:rPr>
        <w:t xml:space="preserve"> لا تحيط به الجهات والأركان</w:t>
      </w:r>
      <w:r w:rsidR="000636C2">
        <w:rPr>
          <w:rFonts w:hint="cs"/>
          <w:rtl/>
        </w:rPr>
        <w:t>،</w:t>
      </w:r>
      <w:r w:rsidRPr="005675B2">
        <w:rPr>
          <w:rFonts w:hint="cs"/>
          <w:rtl/>
        </w:rPr>
        <w:t xml:space="preserve"> فهي رؤية منزهة عن الجهة والمكان والحد والمقدار</w:t>
      </w:r>
      <w:r w:rsidR="000636C2">
        <w:rPr>
          <w:rFonts w:hint="cs"/>
          <w:rtl/>
        </w:rPr>
        <w:t>،</w:t>
      </w:r>
      <w:r w:rsidRPr="005675B2">
        <w:rPr>
          <w:rFonts w:hint="cs"/>
          <w:rtl/>
        </w:rPr>
        <w:t xml:space="preserve"> منزهة عن الوصف</w:t>
      </w:r>
      <w:r w:rsidR="000636C2">
        <w:rPr>
          <w:rFonts w:hint="cs"/>
          <w:rtl/>
        </w:rPr>
        <w:t>،</w:t>
      </w:r>
      <w:r w:rsidRPr="005675B2">
        <w:rPr>
          <w:rFonts w:hint="cs"/>
          <w:rtl/>
        </w:rPr>
        <w:t xml:space="preserve"> </w:t>
      </w:r>
      <w:r w:rsidR="000636C2">
        <w:rPr>
          <w:rFonts w:hint="cs"/>
          <w:rtl/>
        </w:rPr>
        <w:t>(</w:t>
      </w:r>
      <w:r w:rsidRPr="005675B2">
        <w:rPr>
          <w:rFonts w:hint="cs"/>
          <w:rtl/>
        </w:rPr>
        <w:t>ت</w:t>
      </w:r>
      <w:r w:rsidR="000636C2">
        <w:rPr>
          <w:rFonts w:hint="cs"/>
          <w:rtl/>
        </w:rPr>
        <w:t>)</w:t>
      </w:r>
      <w:r w:rsidRPr="005675B2">
        <w:rPr>
          <w:rFonts w:hint="cs"/>
          <w:rtl/>
        </w:rPr>
        <w:t xml:space="preserve"> ورؤية الله ناشئة عن تجلى الرحمن الذي ليس كمثله شيء</w:t>
      </w:r>
      <w:r w:rsidR="000636C2">
        <w:rPr>
          <w:rFonts w:hint="cs"/>
          <w:rtl/>
        </w:rPr>
        <w:t>،</w:t>
      </w:r>
      <w:r w:rsidRPr="005675B2">
        <w:rPr>
          <w:rFonts w:hint="cs"/>
          <w:rtl/>
        </w:rPr>
        <w:t xml:space="preserve"> وناشئة عن كشف الحجب عن الأبصار</w:t>
      </w:r>
      <w:r w:rsidR="000636C2">
        <w:rPr>
          <w:rFonts w:hint="cs"/>
          <w:rtl/>
        </w:rPr>
        <w:t>،</w:t>
      </w:r>
      <w:r w:rsidRPr="005675B2">
        <w:rPr>
          <w:rFonts w:hint="cs"/>
          <w:rtl/>
        </w:rPr>
        <w:t xml:space="preserve"> لأنّ الحجب تحجب رؤيتنا للعلي الجبار</w:t>
      </w:r>
      <w:r w:rsidR="000636C2">
        <w:rPr>
          <w:rFonts w:hint="cs"/>
          <w:rtl/>
        </w:rPr>
        <w:t>،</w:t>
      </w:r>
      <w:r w:rsidRPr="005675B2">
        <w:rPr>
          <w:rFonts w:hint="cs"/>
          <w:rtl/>
        </w:rPr>
        <w:t xml:space="preserve"> وهي تحجب المخلوق عن رؤية خالقه</w:t>
      </w:r>
      <w:r w:rsidR="000636C2">
        <w:rPr>
          <w:rFonts w:hint="cs"/>
          <w:rtl/>
        </w:rPr>
        <w:t>،</w:t>
      </w:r>
      <w:r w:rsidRPr="005675B2">
        <w:rPr>
          <w:rFonts w:hint="cs"/>
          <w:rtl/>
        </w:rPr>
        <w:t xml:space="preserve"> و إلا فذات الله تعالى ظاهرة لا يحجبها شيء أبدا</w:t>
      </w:r>
      <w:r w:rsidR="000636C2">
        <w:rPr>
          <w:rFonts w:hint="cs"/>
          <w:rtl/>
        </w:rPr>
        <w:t>،</w:t>
      </w:r>
      <w:r w:rsidRPr="005675B2">
        <w:rPr>
          <w:rFonts w:hint="cs"/>
          <w:rtl/>
        </w:rPr>
        <w:t xml:space="preserve"> إذ لا يحجب الحجاب المخلوق خالقة القاهر للحدود والواسع على كل محدود</w:t>
      </w:r>
      <w:r w:rsidR="000636C2">
        <w:rPr>
          <w:rFonts w:hint="cs"/>
          <w:rtl/>
        </w:rPr>
        <w:t>،</w:t>
      </w:r>
      <w:r w:rsidRPr="005675B2">
        <w:rPr>
          <w:rFonts w:hint="cs"/>
          <w:rtl/>
        </w:rPr>
        <w:t xml:space="preserve"> وإنما هي حُجُب تحجب أبصار المخلوقين المحدودة عن رؤية الخالق الجليل الكبير المتعال</w:t>
      </w:r>
      <w:r w:rsidR="000636C2">
        <w:rPr>
          <w:rFonts w:hint="cs"/>
          <w:rtl/>
        </w:rPr>
        <w:t>،</w:t>
      </w:r>
      <w:r w:rsidRPr="005675B2">
        <w:rPr>
          <w:rFonts w:hint="cs"/>
          <w:rtl/>
        </w:rPr>
        <w:t xml:space="preserve"> فإذا كانت الآخرة تجلى الرحمن للمؤمنين وقد أعطاهم قوة التحمل لرؤية الكريم</w:t>
      </w:r>
      <w:r w:rsidR="000636C2">
        <w:rPr>
          <w:rFonts w:hint="cs"/>
          <w:rtl/>
        </w:rPr>
        <w:t>،</w:t>
      </w:r>
      <w:r w:rsidRPr="005675B2">
        <w:rPr>
          <w:rFonts w:hint="cs"/>
          <w:rtl/>
        </w:rPr>
        <w:t xml:space="preserve"> كما تجلى للجبل في الدنيا فجعله دكا</w:t>
      </w:r>
      <w:r w:rsidR="000636C2">
        <w:rPr>
          <w:rFonts w:hint="cs"/>
          <w:rtl/>
        </w:rPr>
        <w:t>،</w:t>
      </w:r>
      <w:r w:rsidRPr="005675B2">
        <w:rPr>
          <w:rFonts w:hint="cs"/>
          <w:rtl/>
        </w:rPr>
        <w:t xml:space="preserve"> نسأل الله الكريم بوجهه الكريم أن يتفضل علينا برؤية وجهه الكريم في دار النعيم</w:t>
      </w:r>
      <w:r w:rsidR="000636C2">
        <w:rPr>
          <w:rFonts w:hint="cs"/>
          <w:rtl/>
        </w:rPr>
        <w:t>،</w:t>
      </w:r>
      <w:r w:rsidRPr="005675B2">
        <w:rPr>
          <w:rFonts w:hint="cs"/>
          <w:rtl/>
        </w:rPr>
        <w:t xml:space="preserve"> فإنها أعلى نعيم أهل الجنّة</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w:t>
      </w:r>
      <w:r w:rsidR="000636C2">
        <w:rPr>
          <w:rFonts w:hint="cs"/>
          <w:rtl/>
        </w:rPr>
        <w:t>{</w:t>
      </w:r>
      <w:r w:rsidRPr="005675B2">
        <w:rPr>
          <w:rFonts w:hint="cs"/>
          <w:rtl/>
        </w:rPr>
        <w:t>للذين أحسنوا الحسنى وزيادة</w:t>
      </w:r>
      <w:r w:rsidR="000636C2">
        <w:rPr>
          <w:rFonts w:hint="cs"/>
          <w:rtl/>
        </w:rPr>
        <w:t>}</w:t>
      </w:r>
      <w:r w:rsidRPr="005675B2">
        <w:rPr>
          <w:rFonts w:hint="cs"/>
          <w:rtl/>
        </w:rPr>
        <w:t xml:space="preserve"> </w:t>
      </w:r>
      <w:r w:rsidR="000636C2">
        <w:rPr>
          <w:rFonts w:hint="cs"/>
          <w:rtl/>
        </w:rPr>
        <w:t>[</w:t>
      </w:r>
      <w:r w:rsidRPr="005675B2">
        <w:rPr>
          <w:rFonts w:hint="cs"/>
          <w:rtl/>
        </w:rPr>
        <w:t>يونس</w:t>
      </w:r>
      <w:r w:rsidR="000636C2">
        <w:rPr>
          <w:rFonts w:hint="cs"/>
          <w:rtl/>
        </w:rPr>
        <w:t>:</w:t>
      </w:r>
      <w:r w:rsidRPr="005675B2">
        <w:rPr>
          <w:rFonts w:hint="cs"/>
          <w:rtl/>
        </w:rPr>
        <w:t xml:space="preserve"> 26</w:t>
      </w:r>
      <w:r w:rsidR="000636C2">
        <w:rPr>
          <w:rFonts w:hint="cs"/>
          <w:rtl/>
        </w:rPr>
        <w:t>]،</w:t>
      </w:r>
      <w:r w:rsidRPr="005675B2">
        <w:rPr>
          <w:rFonts w:hint="cs"/>
          <w:rtl/>
        </w:rPr>
        <w:t xml:space="preserve"> والزيادة هي النظر إلى وجه الكريم</w:t>
      </w:r>
      <w:r w:rsidR="000636C2">
        <w:rPr>
          <w:rFonts w:hint="cs"/>
          <w:rtl/>
        </w:rPr>
        <w:t>،</w:t>
      </w:r>
      <w:r w:rsidRPr="005675B2">
        <w:rPr>
          <w:rFonts w:hint="cs"/>
          <w:rtl/>
        </w:rPr>
        <w:t xml:space="preserve"> </w:t>
      </w:r>
      <w:r w:rsidR="000636C2">
        <w:rPr>
          <w:rFonts w:hint="cs"/>
          <w:bCs/>
          <w:rtl/>
        </w:rPr>
        <w:t>(</w:t>
      </w:r>
      <w:r w:rsidRPr="005675B2">
        <w:rPr>
          <w:rFonts w:hint="cs"/>
          <w:bCs/>
          <w:rtl/>
        </w:rPr>
        <w:t>7</w:t>
      </w:r>
      <w:r w:rsidR="000636C2">
        <w:rPr>
          <w:rFonts w:hint="cs"/>
          <w:bCs/>
          <w:rtl/>
        </w:rPr>
        <w:t>)</w:t>
      </w:r>
      <w:r w:rsidRPr="005675B2">
        <w:rPr>
          <w:rFonts w:hint="cs"/>
          <w:bCs/>
          <w:rtl/>
        </w:rPr>
        <w:t xml:space="preserve"> قال السنوسي في عقيدته الوسطى</w:t>
      </w:r>
      <w:r w:rsidR="000636C2">
        <w:rPr>
          <w:rFonts w:hint="cs"/>
          <w:rtl/>
        </w:rPr>
        <w:t>:</w:t>
      </w:r>
      <w:r w:rsidRPr="005675B2">
        <w:rPr>
          <w:rFonts w:hint="cs"/>
          <w:rtl/>
        </w:rPr>
        <w:t xml:space="preserve"> </w:t>
      </w:r>
      <w:r w:rsidR="000636C2">
        <w:rPr>
          <w:rFonts w:hint="cs"/>
          <w:rtl/>
        </w:rPr>
        <w:t>(</w:t>
      </w:r>
      <w:r w:rsidRPr="005675B2">
        <w:rPr>
          <w:rFonts w:hint="cs"/>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0636C2">
        <w:rPr>
          <w:rFonts w:hint="cs"/>
          <w:rtl/>
        </w:rPr>
        <w:t>،</w:t>
      </w:r>
      <w:r w:rsidRPr="005675B2">
        <w:rPr>
          <w:rFonts w:hint="cs"/>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sidR="000636C2">
        <w:rPr>
          <w:rFonts w:hint="cs"/>
          <w:rtl/>
        </w:rPr>
        <w:t>)</w:t>
      </w:r>
      <w:r w:rsidRPr="005675B2">
        <w:rPr>
          <w:rFonts w:hint="cs"/>
          <w:rtl/>
        </w:rPr>
        <w:t xml:space="preserve"> أهـ</w:t>
      </w:r>
    </w:p>
    <w:p w14:paraId="176164C4" w14:textId="77777777" w:rsidR="009C32A0" w:rsidRDefault="009C32A0" w:rsidP="000636C2">
      <w:pPr>
        <w:jc w:val="center"/>
        <w:rPr>
          <w:bCs/>
          <w:rtl/>
        </w:rPr>
      </w:pPr>
      <w:r>
        <w:rPr>
          <w:rFonts w:hint="cs"/>
          <w:bCs/>
          <w:rtl/>
        </w:rPr>
        <w:t xml:space="preserve">*** </w:t>
      </w:r>
    </w:p>
    <w:p w14:paraId="0E635F57" w14:textId="77777777" w:rsidR="009C32A0" w:rsidRPr="005675B2" w:rsidRDefault="009C32A0" w:rsidP="000636C2">
      <w:pPr>
        <w:jc w:val="center"/>
        <w:rPr>
          <w:bCs/>
          <w:rtl/>
        </w:rPr>
      </w:pPr>
    </w:p>
    <w:p w14:paraId="4C897921" w14:textId="473595F7" w:rsidR="009C32A0" w:rsidRPr="00C07A88" w:rsidRDefault="009C32A0" w:rsidP="00C07A88">
      <w:pPr>
        <w:pStyle w:val="1"/>
        <w:rPr>
          <w:u w:val="none"/>
          <w:rtl/>
          <w:lang w:bidi="ar-KW"/>
        </w:rPr>
      </w:pPr>
      <w:r w:rsidRPr="00C07A88">
        <w:rPr>
          <w:u w:val="none"/>
          <w:rtl/>
          <w:lang w:bidi="ar-KW"/>
        </w:rPr>
        <w:lastRenderedPageBreak/>
        <w:t>مدخل ثالث</w:t>
      </w:r>
      <w:r w:rsidR="00C07A88" w:rsidRPr="00C07A88">
        <w:rPr>
          <w:rFonts w:hint="cs"/>
          <w:u w:val="none"/>
          <w:rtl/>
          <w:lang w:bidi="ar-KW"/>
        </w:rPr>
        <w:t xml:space="preserve"> </w:t>
      </w:r>
      <w:r w:rsidRPr="00C07A88">
        <w:rPr>
          <w:u w:val="none"/>
          <w:rtl/>
          <w:lang w:bidi="ar-KW"/>
        </w:rPr>
        <w:t>لبيان خطر الحشوية وأنّهم ليسوا من السلفية في شيء</w:t>
      </w:r>
    </w:p>
    <w:p w14:paraId="6FE82F42" w14:textId="77777777" w:rsidR="009C32A0" w:rsidRDefault="009C32A0" w:rsidP="000636C2">
      <w:pPr>
        <w:rPr>
          <w:bCs/>
          <w:rtl/>
          <w:lang w:bidi="ar-KW"/>
        </w:rPr>
      </w:pPr>
    </w:p>
    <w:p w14:paraId="3969E01A" w14:textId="77777777" w:rsidR="009C32A0" w:rsidRDefault="009C32A0" w:rsidP="000636C2">
      <w:pPr>
        <w:ind w:left="-58"/>
        <w:rPr>
          <w:b/>
          <w:lang w:bidi="ar-KW"/>
        </w:rPr>
      </w:pPr>
      <w:r>
        <w:rPr>
          <w:rFonts w:hint="cs"/>
          <w:rtl/>
          <w:lang w:bidi="ar-KW"/>
        </w:rPr>
        <w:t xml:space="preserve">ويشتمل على تلك المباحث </w:t>
      </w:r>
    </w:p>
    <w:p w14:paraId="2DC7194B" w14:textId="2FA4A63B" w:rsidR="009C32A0" w:rsidRDefault="000636C2" w:rsidP="000636C2">
      <w:pPr>
        <w:ind w:left="-58"/>
        <w:rPr>
          <w:b/>
          <w:rtl/>
        </w:rPr>
      </w:pPr>
      <w:r>
        <w:rPr>
          <w:rFonts w:hint="cs"/>
          <w:rtl/>
        </w:rPr>
        <w:t>[</w:t>
      </w:r>
      <w:r w:rsidR="009C32A0">
        <w:rPr>
          <w:rFonts w:hint="cs"/>
          <w:rtl/>
        </w:rPr>
        <w:t>أولاً</w:t>
      </w:r>
      <w:r>
        <w:rPr>
          <w:rFonts w:hint="cs"/>
          <w:rtl/>
        </w:rPr>
        <w:t>]:</w:t>
      </w:r>
      <w:r w:rsidR="009C32A0">
        <w:rPr>
          <w:rFonts w:hint="cs"/>
          <w:rtl/>
        </w:rPr>
        <w:t xml:space="preserve"> الحشوية طائفة موجودة معروفة ولا سبيل إلى إنكار وجودها </w:t>
      </w:r>
    </w:p>
    <w:p w14:paraId="4A220F8A" w14:textId="796C651C" w:rsidR="009C32A0" w:rsidRDefault="000636C2" w:rsidP="000636C2">
      <w:pPr>
        <w:ind w:left="-58"/>
        <w:rPr>
          <w:b/>
          <w:rtl/>
          <w:lang w:bidi="ar-KW"/>
        </w:rPr>
      </w:pPr>
      <w:r>
        <w:rPr>
          <w:rFonts w:hint="cs"/>
          <w:rtl/>
        </w:rPr>
        <w:t>[</w:t>
      </w:r>
      <w:r w:rsidR="009C32A0">
        <w:rPr>
          <w:rFonts w:hint="cs"/>
          <w:rtl/>
        </w:rPr>
        <w:t>ثانياً</w:t>
      </w:r>
      <w:r>
        <w:rPr>
          <w:rFonts w:hint="cs"/>
          <w:rtl/>
        </w:rPr>
        <w:t>]:</w:t>
      </w:r>
      <w:r w:rsidR="009C32A0">
        <w:rPr>
          <w:rFonts w:hint="cs"/>
          <w:rtl/>
        </w:rPr>
        <w:t xml:space="preserve"> أخطر مشاكل الحشوية عدم احترام التخصص العلمي لعلوم الإسلام</w:t>
      </w:r>
    </w:p>
    <w:p w14:paraId="17BAEAF1" w14:textId="342DDA50" w:rsidR="009C32A0" w:rsidRDefault="000636C2" w:rsidP="000636C2">
      <w:pPr>
        <w:ind w:left="-58"/>
        <w:rPr>
          <w:b/>
        </w:rPr>
      </w:pPr>
      <w:r>
        <w:rPr>
          <w:rFonts w:hint="cs"/>
          <w:rtl/>
        </w:rPr>
        <w:t>[</w:t>
      </w:r>
      <w:r w:rsidR="009C32A0">
        <w:rPr>
          <w:rFonts w:hint="cs"/>
          <w:rtl/>
        </w:rPr>
        <w:t>ثالثاً</w:t>
      </w:r>
      <w:r>
        <w:rPr>
          <w:rFonts w:hint="cs"/>
          <w:rtl/>
        </w:rPr>
        <w:t>]:</w:t>
      </w:r>
      <w:r w:rsidR="009C32A0">
        <w:rPr>
          <w:rFonts w:hint="cs"/>
          <w:rtl/>
        </w:rPr>
        <w:t xml:space="preserve"> تاريخ تسلسل ظهور الحشوية والإشارة إلى بعض أعلام ومصنفات الحشوية</w:t>
      </w:r>
    </w:p>
    <w:p w14:paraId="78D3CFCD" w14:textId="17FD1959" w:rsidR="009C32A0" w:rsidRDefault="000636C2" w:rsidP="000636C2">
      <w:pPr>
        <w:ind w:left="-58"/>
        <w:rPr>
          <w:b/>
          <w:rtl/>
        </w:rPr>
      </w:pPr>
      <w:r>
        <w:rPr>
          <w:rFonts w:hint="cs"/>
          <w:rtl/>
        </w:rPr>
        <w:t>[</w:t>
      </w:r>
      <w:r w:rsidR="009C32A0">
        <w:rPr>
          <w:rFonts w:hint="cs"/>
          <w:rtl/>
        </w:rPr>
        <w:t>رابعاً</w:t>
      </w:r>
      <w:r>
        <w:rPr>
          <w:rFonts w:hint="cs"/>
          <w:rtl/>
        </w:rPr>
        <w:t>]:</w:t>
      </w:r>
      <w:r w:rsidR="009C32A0">
        <w:rPr>
          <w:rFonts w:hint="cs"/>
          <w:rtl/>
        </w:rPr>
        <w:t xml:space="preserve"> تسرب مقالات التجسيم والحشو إلى كتب السنّة</w:t>
      </w:r>
    </w:p>
    <w:p w14:paraId="70D7EAC6" w14:textId="294A1B31" w:rsidR="009C32A0" w:rsidRDefault="000636C2" w:rsidP="000636C2">
      <w:pPr>
        <w:ind w:left="-58"/>
        <w:rPr>
          <w:b/>
        </w:rPr>
      </w:pPr>
      <w:r>
        <w:rPr>
          <w:rFonts w:hint="cs"/>
          <w:rtl/>
        </w:rPr>
        <w:t>[</w:t>
      </w:r>
      <w:r w:rsidR="009C32A0">
        <w:rPr>
          <w:rFonts w:hint="cs"/>
          <w:rtl/>
        </w:rPr>
        <w:t>خامساً</w:t>
      </w:r>
      <w:r>
        <w:rPr>
          <w:rFonts w:hint="cs"/>
          <w:rtl/>
        </w:rPr>
        <w:t>]:</w:t>
      </w:r>
      <w:r w:rsidR="009C32A0">
        <w:rPr>
          <w:rFonts w:hint="cs"/>
          <w:rtl/>
        </w:rPr>
        <w:t xml:space="preserve"> براءة الإمام أحمد ابن حنبل رحمه الله من انتساب الحشوية إليه</w:t>
      </w:r>
    </w:p>
    <w:p w14:paraId="26569F26" w14:textId="3486A048" w:rsidR="009C32A0" w:rsidRDefault="000636C2" w:rsidP="000636C2">
      <w:pPr>
        <w:ind w:left="-58"/>
        <w:rPr>
          <w:rFonts w:eastAsia="Times New Roman"/>
          <w:rtl/>
        </w:rPr>
      </w:pPr>
      <w:r>
        <w:rPr>
          <w:rFonts w:hint="cs"/>
          <w:rtl/>
        </w:rPr>
        <w:t>[</w:t>
      </w:r>
      <w:r w:rsidR="009C32A0">
        <w:rPr>
          <w:rFonts w:hint="cs"/>
          <w:rtl/>
        </w:rPr>
        <w:t>سادساً</w:t>
      </w:r>
      <w:r>
        <w:rPr>
          <w:rFonts w:hint="cs"/>
          <w:rtl/>
        </w:rPr>
        <w:t>]:</w:t>
      </w:r>
      <w:r w:rsidR="009C32A0">
        <w:rPr>
          <w:rFonts w:hint="cs"/>
          <w:rtl/>
        </w:rPr>
        <w:t xml:space="preserve"> </w:t>
      </w:r>
      <w:r w:rsidR="009C32A0">
        <w:rPr>
          <w:rFonts w:hint="cs"/>
          <w:rtl/>
          <w:lang w:bidi="ar-KW"/>
        </w:rPr>
        <w:t>تسرب بعض الأفكار الحشوية إلى الإمام ابن تيمية وتلامذته كابن القيم والذهبي</w:t>
      </w:r>
    </w:p>
    <w:p w14:paraId="642439F6" w14:textId="7395E46C" w:rsidR="009C32A0" w:rsidRDefault="000636C2" w:rsidP="000636C2">
      <w:pPr>
        <w:ind w:left="-58"/>
      </w:pPr>
      <w:r>
        <w:rPr>
          <w:rFonts w:hint="cs"/>
          <w:rtl/>
        </w:rPr>
        <w:t>[</w:t>
      </w:r>
      <w:r w:rsidR="009C32A0">
        <w:rPr>
          <w:rFonts w:hint="cs"/>
          <w:rtl/>
        </w:rPr>
        <w:t>سابعاً</w:t>
      </w:r>
      <w:r>
        <w:rPr>
          <w:rFonts w:hint="cs"/>
          <w:rtl/>
        </w:rPr>
        <w:t>]:</w:t>
      </w:r>
      <w:r w:rsidR="009C32A0">
        <w:rPr>
          <w:rFonts w:hint="cs"/>
          <w:rtl/>
        </w:rPr>
        <w:t xml:space="preserve"> </w:t>
      </w:r>
      <w:r w:rsidR="009C32A0">
        <w:rPr>
          <w:rFonts w:eastAsia="Times New Roman" w:hint="cs"/>
          <w:rtl/>
        </w:rPr>
        <w:t>تقييم دعوة الشيخ محمد ابن عبد الوهاب وما تسرب إليها من أفكار الحشوية</w:t>
      </w:r>
    </w:p>
    <w:p w14:paraId="5CD0854E" w14:textId="4EAA5D89" w:rsidR="009C32A0" w:rsidRDefault="000636C2" w:rsidP="000636C2">
      <w:pPr>
        <w:ind w:left="-58"/>
      </w:pPr>
      <w:r>
        <w:rPr>
          <w:rFonts w:hint="cs"/>
          <w:rtl/>
        </w:rPr>
        <w:t>[</w:t>
      </w:r>
      <w:r w:rsidR="009C32A0">
        <w:rPr>
          <w:rFonts w:hint="cs"/>
          <w:rtl/>
        </w:rPr>
        <w:t>ثامناً</w:t>
      </w:r>
      <w:r>
        <w:rPr>
          <w:rFonts w:hint="cs"/>
          <w:rtl/>
        </w:rPr>
        <w:t>]:</w:t>
      </w:r>
      <w:r w:rsidR="009C32A0">
        <w:rPr>
          <w:rFonts w:hint="cs"/>
          <w:rtl/>
        </w:rPr>
        <w:t xml:space="preserve"> خطورة تجديد أفكار الحشوية في الفكر الإسلامي المعاصر تحت مسمى السلفية</w:t>
      </w:r>
    </w:p>
    <w:p w14:paraId="4696F39A" w14:textId="5A0D7DB6" w:rsidR="009C32A0" w:rsidRDefault="000636C2" w:rsidP="000636C2">
      <w:pPr>
        <w:ind w:left="-58"/>
      </w:pPr>
      <w:r>
        <w:rPr>
          <w:rFonts w:hint="cs"/>
          <w:rtl/>
        </w:rPr>
        <w:t>[</w:t>
      </w:r>
      <w:r w:rsidR="009C32A0">
        <w:rPr>
          <w:rFonts w:hint="cs"/>
          <w:rtl/>
        </w:rPr>
        <w:t>تاسعاً</w:t>
      </w:r>
      <w:r>
        <w:rPr>
          <w:rFonts w:hint="cs"/>
          <w:rtl/>
        </w:rPr>
        <w:t>]:</w:t>
      </w:r>
      <w:r w:rsidR="009C32A0">
        <w:rPr>
          <w:rFonts w:hint="cs"/>
          <w:rtl/>
        </w:rPr>
        <w:t xml:space="preserve"> متسلفة اليوم ليسوا على منهج السلف الصافي وانتساب الحشوية إلى السلف نسبة خاطئة</w:t>
      </w:r>
    </w:p>
    <w:p w14:paraId="280C34DC" w14:textId="5B58A400" w:rsidR="009C32A0" w:rsidRDefault="000636C2" w:rsidP="000636C2">
      <w:pPr>
        <w:ind w:left="-58"/>
        <w:rPr>
          <w:b/>
        </w:rPr>
      </w:pPr>
      <w:r>
        <w:rPr>
          <w:rFonts w:hint="cs"/>
          <w:rtl/>
        </w:rPr>
        <w:t>[</w:t>
      </w:r>
      <w:r w:rsidR="009C32A0">
        <w:rPr>
          <w:rFonts w:hint="cs"/>
          <w:rtl/>
        </w:rPr>
        <w:t>عاشراً</w:t>
      </w:r>
      <w:r>
        <w:rPr>
          <w:rFonts w:hint="cs"/>
          <w:rtl/>
        </w:rPr>
        <w:t>]:</w:t>
      </w:r>
      <w:r w:rsidR="009C32A0">
        <w:rPr>
          <w:rFonts w:hint="cs"/>
          <w:rtl/>
        </w:rPr>
        <w:t xml:space="preserve"> ما سماه السلفيون المعاصرون توحيد الأسماء والصفات هو عين الحشو والتجسيم </w:t>
      </w:r>
    </w:p>
    <w:p w14:paraId="7754B48F" w14:textId="77777777" w:rsidR="009C32A0" w:rsidRDefault="009C32A0" w:rsidP="000636C2">
      <w:pPr>
        <w:ind w:left="-58"/>
        <w:rPr>
          <w:lang w:bidi="ar-KW"/>
        </w:rPr>
      </w:pPr>
    </w:p>
    <w:p w14:paraId="17CEDCE9" w14:textId="04A589C9" w:rsidR="009C32A0" w:rsidRPr="00C07A88" w:rsidRDefault="000636C2" w:rsidP="00C07A88">
      <w:pPr>
        <w:pStyle w:val="2"/>
        <w:bidi/>
        <w:jc w:val="center"/>
        <w:rPr>
          <w:u w:val="none"/>
          <w:rtl/>
        </w:rPr>
      </w:pPr>
      <w:r w:rsidRPr="00C07A88">
        <w:rPr>
          <w:rFonts w:hint="cs"/>
          <w:u w:val="none"/>
          <w:rtl/>
        </w:rPr>
        <w:lastRenderedPageBreak/>
        <w:t>[</w:t>
      </w:r>
      <w:r w:rsidR="009C32A0" w:rsidRPr="00C07A88">
        <w:rPr>
          <w:rFonts w:hint="cs"/>
          <w:u w:val="none"/>
          <w:rtl/>
        </w:rPr>
        <w:t>أولاً</w:t>
      </w:r>
      <w:r w:rsidRPr="00C07A88">
        <w:rPr>
          <w:rFonts w:hint="cs"/>
          <w:u w:val="none"/>
          <w:rtl/>
        </w:rPr>
        <w:t>]</w:t>
      </w:r>
      <w:r w:rsidR="00C07A88" w:rsidRPr="00C07A88">
        <w:rPr>
          <w:rFonts w:hint="cs"/>
          <w:u w:val="none"/>
          <w:rtl/>
        </w:rPr>
        <w:t xml:space="preserve"> </w:t>
      </w:r>
      <w:r w:rsidR="009C32A0" w:rsidRPr="00C07A88">
        <w:rPr>
          <w:rFonts w:hint="cs"/>
          <w:u w:val="none"/>
          <w:rtl/>
        </w:rPr>
        <w:t>الحشوية طائفة موجودة معروفة ولا سبيل إلى إنكار وجودها</w:t>
      </w:r>
    </w:p>
    <w:p w14:paraId="1A01E070" w14:textId="77777777" w:rsidR="009C32A0" w:rsidRDefault="009C32A0" w:rsidP="000636C2">
      <w:pPr>
        <w:ind w:left="-58"/>
        <w:rPr>
          <w:bCs/>
          <w:rtl/>
        </w:rPr>
      </w:pPr>
    </w:p>
    <w:p w14:paraId="550BE48E" w14:textId="6164886E" w:rsidR="009C32A0" w:rsidRDefault="000636C2" w:rsidP="000636C2">
      <w:pPr>
        <w:ind w:left="-58"/>
        <w:rPr>
          <w:b/>
          <w:rtl/>
        </w:rPr>
      </w:pPr>
      <w:r>
        <w:rPr>
          <w:rFonts w:hint="cs"/>
          <w:bCs/>
          <w:rtl/>
        </w:rPr>
        <w:t>(</w:t>
      </w:r>
      <w:r w:rsidR="009C32A0">
        <w:rPr>
          <w:rFonts w:hint="cs"/>
          <w:bCs/>
          <w:rtl/>
        </w:rPr>
        <w:t>1</w:t>
      </w:r>
      <w:r>
        <w:rPr>
          <w:rFonts w:hint="cs"/>
          <w:bCs/>
          <w:rtl/>
        </w:rPr>
        <w:t xml:space="preserve">) </w:t>
      </w:r>
      <w:r w:rsidR="009C32A0">
        <w:rPr>
          <w:rFonts w:hint="cs"/>
          <w:bCs/>
          <w:rtl/>
        </w:rPr>
        <w:t>تعريف الحشوية</w:t>
      </w:r>
      <w:r>
        <w:rPr>
          <w:rFonts w:hint="cs"/>
          <w:rtl/>
        </w:rPr>
        <w:t xml:space="preserve">: </w:t>
      </w:r>
      <w:r w:rsidR="009C32A0">
        <w:rPr>
          <w:rFonts w:hint="cs"/>
          <w:rtl/>
        </w:rPr>
        <w:t>الحشوية بتسكين الشين وفتحها</w:t>
      </w:r>
      <w:r>
        <w:rPr>
          <w:rFonts w:hint="cs"/>
          <w:rtl/>
        </w:rPr>
        <w:t xml:space="preserve">: </w:t>
      </w:r>
      <w:r w:rsidR="009C32A0">
        <w:rPr>
          <w:rFonts w:hint="cs"/>
          <w:rtl/>
        </w:rPr>
        <w:t>لقب أطلق على طائفة من المبتدعة من أصحاب الحديث الذين اعتقدوا بصحة الأحاديث الموضوعة والضعيفة المسرفة في التجسيم من غير نقد</w:t>
      </w:r>
      <w:r>
        <w:rPr>
          <w:rFonts w:hint="cs"/>
          <w:rtl/>
        </w:rPr>
        <w:t>،</w:t>
      </w:r>
      <w:r w:rsidR="009C32A0">
        <w:rPr>
          <w:rFonts w:hint="cs"/>
          <w:rtl/>
        </w:rPr>
        <w:t xml:space="preserve"> ثم أخذوا بظاهر لفظها</w:t>
      </w:r>
      <w:r>
        <w:rPr>
          <w:rFonts w:hint="cs"/>
          <w:rtl/>
        </w:rPr>
        <w:t>،</w:t>
      </w:r>
      <w:r w:rsidR="009C32A0">
        <w:rPr>
          <w:rFonts w:hint="cs"/>
          <w:rtl/>
        </w:rPr>
        <w:t xml:space="preserve"> ثم تحزبوا عليها</w:t>
      </w:r>
      <w:r>
        <w:rPr>
          <w:rFonts w:hint="cs"/>
          <w:rtl/>
        </w:rPr>
        <w:t>،</w:t>
      </w:r>
      <w:r w:rsidR="009C32A0">
        <w:rPr>
          <w:rFonts w:hint="cs"/>
          <w:rtl/>
        </w:rPr>
        <w:t xml:space="preserve"> وامتحنوا الناس على أساسها</w:t>
      </w:r>
      <w:r>
        <w:rPr>
          <w:rFonts w:hint="cs"/>
          <w:rtl/>
        </w:rPr>
        <w:t>،</w:t>
      </w:r>
      <w:r w:rsidR="009C32A0">
        <w:rPr>
          <w:rFonts w:hint="cs"/>
          <w:rtl/>
        </w:rPr>
        <w:t xml:space="preserve"> والفرق بينهم وبين المجسمة</w:t>
      </w:r>
      <w:r>
        <w:rPr>
          <w:rFonts w:hint="cs"/>
          <w:rtl/>
        </w:rPr>
        <w:t>،</w:t>
      </w:r>
      <w:r w:rsidR="009C32A0">
        <w:rPr>
          <w:rFonts w:hint="cs"/>
          <w:rtl/>
        </w:rPr>
        <w:t xml:space="preserve"> أنّ المجسمة ينصون على التجسيم</w:t>
      </w:r>
      <w:r>
        <w:rPr>
          <w:rFonts w:hint="cs"/>
          <w:rtl/>
        </w:rPr>
        <w:t>،</w:t>
      </w:r>
      <w:r w:rsidR="009C32A0">
        <w:rPr>
          <w:rFonts w:hint="cs"/>
          <w:rtl/>
        </w:rPr>
        <w:t xml:space="preserve"> ولا يرون به بأساً في ذات الله تعالى</w:t>
      </w:r>
      <w:r>
        <w:rPr>
          <w:rFonts w:hint="cs"/>
          <w:rtl/>
        </w:rPr>
        <w:t>،</w:t>
      </w:r>
      <w:r w:rsidR="009C32A0">
        <w:rPr>
          <w:rFonts w:hint="cs"/>
          <w:rtl/>
        </w:rPr>
        <w:t xml:space="preserve"> أمّا الحشوية</w:t>
      </w:r>
      <w:r>
        <w:rPr>
          <w:rFonts w:hint="cs"/>
          <w:rtl/>
        </w:rPr>
        <w:t xml:space="preserve">، </w:t>
      </w:r>
      <w:r w:rsidR="009C32A0">
        <w:rPr>
          <w:rFonts w:hint="cs"/>
          <w:rtl/>
        </w:rPr>
        <w:t>فهم يقبلون المعاني المنطوية على التجسيم</w:t>
      </w:r>
      <w:r>
        <w:rPr>
          <w:rFonts w:hint="cs"/>
          <w:rtl/>
        </w:rPr>
        <w:t>،</w:t>
      </w:r>
      <w:r w:rsidR="009C32A0">
        <w:rPr>
          <w:rFonts w:hint="cs"/>
          <w:rtl/>
        </w:rPr>
        <w:t xml:space="preserve"> وإن كانوا يتحفظون في التجسيم بقولهم " بلا كيف "</w:t>
      </w:r>
      <w:r>
        <w:rPr>
          <w:rFonts w:hint="cs"/>
          <w:rtl/>
        </w:rPr>
        <w:t>،</w:t>
      </w:r>
      <w:r w:rsidR="009C32A0">
        <w:rPr>
          <w:rFonts w:hint="cs"/>
          <w:rtl/>
        </w:rPr>
        <w:t xml:space="preserve"> ولذا يراهم البعض أهون بدعة من المجسمة</w:t>
      </w:r>
      <w:r>
        <w:rPr>
          <w:rFonts w:hint="cs"/>
          <w:rtl/>
        </w:rPr>
        <w:t>،</w:t>
      </w:r>
      <w:r w:rsidR="009C32A0">
        <w:rPr>
          <w:rFonts w:hint="cs"/>
          <w:rtl/>
        </w:rPr>
        <w:t xml:space="preserve"> ولكني أراهم أكبر خطراً من المجسمة وذلك لأنّهم ينتسبون إلى السلف </w:t>
      </w:r>
      <w:r>
        <w:rPr>
          <w:rFonts w:hint="cs"/>
          <w:rtl/>
        </w:rPr>
        <w:t>(</w:t>
      </w:r>
      <w:r w:rsidR="009C32A0">
        <w:rPr>
          <w:rFonts w:hint="cs"/>
          <w:rtl/>
        </w:rPr>
        <w:t>زورا وبهتانا والسلف من زيغ عقائدهم براء</w:t>
      </w:r>
      <w:r>
        <w:rPr>
          <w:rFonts w:hint="cs"/>
          <w:rtl/>
        </w:rPr>
        <w:t>)،</w:t>
      </w:r>
      <w:r w:rsidR="009C32A0">
        <w:rPr>
          <w:rFonts w:hint="cs"/>
          <w:rtl/>
        </w:rPr>
        <w:t xml:space="preserve"> ويرفعون راية التمسك بالكتاب والسنّة</w:t>
      </w:r>
      <w:r>
        <w:rPr>
          <w:rFonts w:hint="cs"/>
          <w:rtl/>
        </w:rPr>
        <w:t>،</w:t>
      </w:r>
      <w:r w:rsidR="009C32A0">
        <w:rPr>
          <w:rFonts w:hint="cs"/>
          <w:rtl/>
        </w:rPr>
        <w:t xml:space="preserve"> ويصولون بهما على أهل العلم والفقه المتخصصين في علوم الدين</w:t>
      </w:r>
      <w:r>
        <w:rPr>
          <w:rFonts w:hint="cs"/>
          <w:rtl/>
        </w:rPr>
        <w:t>،</w:t>
      </w:r>
      <w:r w:rsidR="009C32A0">
        <w:rPr>
          <w:rFonts w:hint="cs"/>
          <w:rtl/>
        </w:rPr>
        <w:t xml:space="preserve"> فيهدمون صروح التخصص العلمي الإسلامي</w:t>
      </w:r>
      <w:r>
        <w:rPr>
          <w:rFonts w:hint="cs"/>
          <w:rtl/>
        </w:rPr>
        <w:t>،</w:t>
      </w:r>
      <w:r w:rsidR="009C32A0">
        <w:rPr>
          <w:rFonts w:hint="cs"/>
          <w:rtl/>
        </w:rPr>
        <w:t xml:space="preserve"> فهم قطاع طرق على علوم الدين في صورة المدافعين عنه</w:t>
      </w:r>
      <w:r>
        <w:rPr>
          <w:rFonts w:hint="cs"/>
          <w:rtl/>
        </w:rPr>
        <w:t>،</w:t>
      </w:r>
      <w:r w:rsidR="009C32A0">
        <w:rPr>
          <w:rFonts w:hint="cs"/>
          <w:rtl/>
        </w:rPr>
        <w:t xml:space="preserve"> وهم أبعد الناس عن السلفية والسلف</w:t>
      </w:r>
      <w:r>
        <w:rPr>
          <w:rFonts w:hint="cs"/>
          <w:rtl/>
        </w:rPr>
        <w:t>،</w:t>
      </w:r>
      <w:r w:rsidR="009C32A0">
        <w:rPr>
          <w:rFonts w:hint="cs"/>
          <w:rtl/>
        </w:rPr>
        <w:t xml:space="preserve"> وهل كان السلف إلا منزهة ومقدسة لذات الباري سبحانه</w:t>
      </w:r>
      <w:r>
        <w:rPr>
          <w:rFonts w:hint="cs"/>
          <w:rtl/>
        </w:rPr>
        <w:t>،</w:t>
      </w:r>
      <w:r w:rsidR="009C32A0">
        <w:rPr>
          <w:rFonts w:hint="cs"/>
          <w:rtl/>
        </w:rPr>
        <w:t xml:space="preserve"> وهل خاضت السلفية فيما يخوض فيه أولئك الحشوية</w:t>
      </w:r>
      <w:r>
        <w:rPr>
          <w:rFonts w:hint="cs"/>
          <w:rtl/>
        </w:rPr>
        <w:t xml:space="preserve"> </w:t>
      </w:r>
      <w:r w:rsidR="009C32A0">
        <w:rPr>
          <w:rFonts w:hint="cs"/>
          <w:rtl/>
        </w:rPr>
        <w:t>من الحشو والجهل فيما يتعلق بذات الله تعالى وصفاته وأفعاله</w:t>
      </w:r>
      <w:r>
        <w:rPr>
          <w:rFonts w:hint="cs"/>
          <w:rtl/>
        </w:rPr>
        <w:t>،</w:t>
      </w:r>
      <w:r w:rsidR="009C32A0">
        <w:rPr>
          <w:rFonts w:hint="cs"/>
          <w:rtl/>
        </w:rPr>
        <w:t xml:space="preserve"> </w:t>
      </w:r>
      <w:r w:rsidR="009C32A0">
        <w:rPr>
          <w:rFonts w:eastAsia="Times New Roman" w:hint="cs"/>
          <w:rtl/>
        </w:rPr>
        <w:t>ثم هل من السلفية في شيء أن يأتي أحدهم بجمع الاحاديث التي تتعلق بالصفات الخبرية</w:t>
      </w:r>
      <w:r>
        <w:rPr>
          <w:rFonts w:eastAsia="Times New Roman" w:hint="cs"/>
          <w:rtl/>
        </w:rPr>
        <w:t>،</w:t>
      </w:r>
      <w:r w:rsidR="009C32A0">
        <w:rPr>
          <w:rFonts w:eastAsia="Times New Roman" w:hint="cs"/>
          <w:rtl/>
        </w:rPr>
        <w:t xml:space="preserve"> ويسردها في مؤلف واحد يُوهم التشبيه والتجسيم</w:t>
      </w:r>
      <w:r>
        <w:rPr>
          <w:rFonts w:eastAsia="Times New Roman" w:hint="cs"/>
          <w:rtl/>
        </w:rPr>
        <w:t>،</w:t>
      </w:r>
      <w:r w:rsidR="009C32A0">
        <w:rPr>
          <w:rFonts w:eastAsia="Times New Roman" w:hint="cs"/>
          <w:rtl/>
        </w:rPr>
        <w:t xml:space="preserve"> ويمتحن الناس باعتقادها</w:t>
      </w:r>
      <w:r>
        <w:rPr>
          <w:rFonts w:eastAsia="Times New Roman" w:hint="cs"/>
          <w:rtl/>
        </w:rPr>
        <w:t>،</w:t>
      </w:r>
      <w:r w:rsidR="009C32A0">
        <w:rPr>
          <w:rFonts w:eastAsia="Times New Roman" w:hint="cs"/>
          <w:rtl/>
        </w:rPr>
        <w:t xml:space="preserve"> هل هذه سلفية</w:t>
      </w:r>
      <w:r>
        <w:rPr>
          <w:rFonts w:eastAsia="Times New Roman" w:hint="cs"/>
          <w:rtl/>
        </w:rPr>
        <w:t>،</w:t>
      </w:r>
      <w:r w:rsidR="009C32A0">
        <w:rPr>
          <w:rFonts w:eastAsia="Times New Roman" w:hint="cs"/>
          <w:rtl/>
        </w:rPr>
        <w:t xml:space="preserve"> أم حشوية</w:t>
      </w:r>
      <w:r>
        <w:rPr>
          <w:rFonts w:eastAsia="Times New Roman" w:hint="cs"/>
          <w:rtl/>
        </w:rPr>
        <w:t>،</w:t>
      </w:r>
      <w:r w:rsidR="009C32A0">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9C32A0">
        <w:rPr>
          <w:rFonts w:eastAsia="Times New Roman" w:hint="cs"/>
          <w:rtl/>
        </w:rPr>
        <w:t xml:space="preserve"> خوفا من تتبع المتشابهات</w:t>
      </w:r>
      <w:r>
        <w:rPr>
          <w:rFonts w:eastAsia="Times New Roman" w:hint="cs"/>
          <w:rtl/>
        </w:rPr>
        <w:t>،</w:t>
      </w:r>
      <w:r w:rsidR="009C32A0">
        <w:rPr>
          <w:rFonts w:eastAsia="Times New Roman" w:hint="cs"/>
          <w:rtl/>
        </w:rPr>
        <w:t xml:space="preserve"> وكان يمنع في مجلسه من مجرد السؤال عنها</w:t>
      </w:r>
      <w:r>
        <w:rPr>
          <w:rFonts w:eastAsia="Times New Roman" w:hint="cs"/>
          <w:rtl/>
        </w:rPr>
        <w:t>،</w:t>
      </w:r>
      <w:r w:rsidR="009C32A0">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9C32A0">
        <w:rPr>
          <w:rFonts w:eastAsia="Times New Roman" w:hint="cs"/>
          <w:rtl/>
        </w:rPr>
        <w:t xml:space="preserve"> ثم ينسب ذلك إلى السلف</w:t>
      </w:r>
      <w:r>
        <w:rPr>
          <w:rFonts w:eastAsia="Times New Roman" w:hint="cs"/>
          <w:rtl/>
        </w:rPr>
        <w:t>،</w:t>
      </w:r>
      <w:r w:rsidR="009C32A0">
        <w:rPr>
          <w:rFonts w:eastAsia="Times New Roman" w:hint="cs"/>
          <w:rtl/>
        </w:rPr>
        <w:t xml:space="preserve"> </w:t>
      </w:r>
      <w:r w:rsidR="009C32A0">
        <w:rPr>
          <w:rFonts w:hint="cs"/>
          <w:rtl/>
        </w:rPr>
        <w:t>وقد كان السلف الأوائل يحجمون عن الخوض في ذلك مع اليقين باستحالة ظاهره على الله تعالى</w:t>
      </w:r>
      <w:r>
        <w:rPr>
          <w:rFonts w:hint="cs"/>
          <w:rtl/>
        </w:rPr>
        <w:t>،</w:t>
      </w:r>
      <w:r w:rsidR="009C32A0">
        <w:rPr>
          <w:rFonts w:hint="cs"/>
          <w:rtl/>
        </w:rPr>
        <w:t xml:space="preserve"> </w:t>
      </w:r>
      <w:r w:rsidR="009C32A0">
        <w:rPr>
          <w:rFonts w:eastAsia="Times New Roman" w:hint="cs"/>
          <w:rtl/>
        </w:rPr>
        <w:t>ما أشد حاجة السلفية المعاصرة من تنقيتها من أدران الحشو والتجسيم والغلو في التكفير والتشريك والتبديع</w:t>
      </w:r>
      <w:r>
        <w:rPr>
          <w:rFonts w:eastAsia="Times New Roman" w:hint="cs"/>
          <w:rtl/>
        </w:rPr>
        <w:t>،</w:t>
      </w:r>
      <w:r w:rsidR="009C32A0">
        <w:rPr>
          <w:rFonts w:eastAsia="Times New Roman" w:hint="cs"/>
          <w:rtl/>
        </w:rPr>
        <w:t xml:space="preserve"> والله الهادي إلى سواء السبيل</w:t>
      </w:r>
      <w:r>
        <w:rPr>
          <w:rFonts w:eastAsia="Times New Roman" w:hint="cs"/>
          <w:rtl/>
        </w:rPr>
        <w:t>،</w:t>
      </w:r>
    </w:p>
    <w:p w14:paraId="444BFA72" w14:textId="219EF9C5" w:rsidR="009C32A0" w:rsidRDefault="000636C2" w:rsidP="000636C2">
      <w:pPr>
        <w:ind w:left="-58"/>
        <w:rPr>
          <w:rFonts w:eastAsia="Times New Roman"/>
          <w:b/>
          <w:rtl/>
        </w:rPr>
      </w:pPr>
      <w:r>
        <w:rPr>
          <w:rFonts w:hint="cs"/>
          <w:bCs/>
          <w:rtl/>
        </w:rPr>
        <w:lastRenderedPageBreak/>
        <w:t>(</w:t>
      </w:r>
      <w:r w:rsidR="009C32A0">
        <w:rPr>
          <w:rFonts w:hint="cs"/>
          <w:bCs/>
          <w:rtl/>
        </w:rPr>
        <w:t>2</w:t>
      </w:r>
      <w:r>
        <w:rPr>
          <w:rFonts w:hint="cs"/>
          <w:bCs/>
          <w:rtl/>
        </w:rPr>
        <w:t xml:space="preserve">) </w:t>
      </w:r>
      <w:r w:rsidR="009C32A0">
        <w:rPr>
          <w:rFonts w:hint="cs"/>
          <w:bCs/>
          <w:rtl/>
        </w:rPr>
        <w:t>أبرز صفات الحشوية</w:t>
      </w:r>
      <w:r>
        <w:rPr>
          <w:rFonts w:eastAsia="Times New Roman" w:hint="cs"/>
          <w:rtl/>
        </w:rPr>
        <w:t xml:space="preserve">: </w:t>
      </w:r>
      <w:r w:rsidR="009C32A0">
        <w:rPr>
          <w:rFonts w:eastAsia="Times New Roman" w:hint="cs"/>
          <w:rtl/>
        </w:rPr>
        <w:t>الحشوية لهم مواصفات معينة</w:t>
      </w:r>
      <w:r>
        <w:rPr>
          <w:rFonts w:eastAsia="Times New Roman" w:hint="cs"/>
          <w:rtl/>
        </w:rPr>
        <w:t>،</w:t>
      </w:r>
      <w:r w:rsidR="009C32A0">
        <w:rPr>
          <w:rFonts w:eastAsia="Times New Roman" w:hint="cs"/>
          <w:rtl/>
        </w:rPr>
        <w:t xml:space="preserve"> أبرزها أنّهم بعيدون عن التقديس والتنزيه</w:t>
      </w:r>
      <w:r>
        <w:rPr>
          <w:rFonts w:eastAsia="Times New Roman" w:hint="cs"/>
          <w:rtl/>
        </w:rPr>
        <w:t>،</w:t>
      </w:r>
      <w:r w:rsidR="009C32A0">
        <w:rPr>
          <w:rFonts w:eastAsia="Times New Roman" w:hint="cs"/>
          <w:rtl/>
        </w:rPr>
        <w:t xml:space="preserve"> لا يعلمون شيئا عن التنزيه والتقديس المتعلق بذات الله تعالى</w:t>
      </w:r>
      <w:r>
        <w:rPr>
          <w:rFonts w:eastAsia="Times New Roman" w:hint="cs"/>
          <w:rtl/>
        </w:rPr>
        <w:t>،</w:t>
      </w:r>
      <w:r w:rsidR="009C32A0">
        <w:rPr>
          <w:rFonts w:eastAsia="Times New Roman" w:hint="cs"/>
          <w:rtl/>
        </w:rPr>
        <w:t xml:space="preserve"> ينسبون إلى الله تعالى الجوارح والأجزاء والأبعاض</w:t>
      </w:r>
      <w:r>
        <w:rPr>
          <w:rFonts w:eastAsia="Times New Roman" w:hint="cs"/>
          <w:rtl/>
        </w:rPr>
        <w:t>،</w:t>
      </w:r>
      <w:r w:rsidR="009C32A0">
        <w:rPr>
          <w:rFonts w:eastAsia="Times New Roman" w:hint="cs"/>
          <w:rtl/>
        </w:rPr>
        <w:t xml:space="preserve"> ويعتقدون في ذات الله تعالى الحد والمقدار والكون في المكان</w:t>
      </w:r>
      <w:r>
        <w:rPr>
          <w:rFonts w:eastAsia="Times New Roman" w:hint="cs"/>
          <w:rtl/>
        </w:rPr>
        <w:t>،</w:t>
      </w:r>
      <w:r w:rsidR="009C32A0">
        <w:rPr>
          <w:rFonts w:eastAsia="Times New Roman" w:hint="cs"/>
          <w:rtl/>
        </w:rPr>
        <w:t xml:space="preserve"> ويجيزون عليه سبحانه الحركة والسكون والجلوس والقيام والقعود</w:t>
      </w:r>
      <w:r>
        <w:rPr>
          <w:rFonts w:eastAsia="Times New Roman" w:hint="cs"/>
          <w:rtl/>
        </w:rPr>
        <w:t>،</w:t>
      </w:r>
      <w:r w:rsidR="009C32A0">
        <w:rPr>
          <w:rFonts w:eastAsia="Times New Roman" w:hint="cs"/>
          <w:rtl/>
        </w:rPr>
        <w:t xml:space="preserve"> ويجيزون أنّ تكون ذاته سبحانه محلاً للحوادث</w:t>
      </w:r>
      <w:r>
        <w:rPr>
          <w:rFonts w:eastAsia="Times New Roman" w:hint="cs"/>
          <w:rtl/>
        </w:rPr>
        <w:t xml:space="preserve">، </w:t>
      </w:r>
      <w:r w:rsidR="009C32A0">
        <w:rPr>
          <w:rFonts w:eastAsia="Times New Roman" w:hint="cs"/>
          <w:rtl/>
        </w:rPr>
        <w:t>يتكلمون في ذات الله تعالى بالمحسوس الذي يحسونه</w:t>
      </w:r>
      <w:r>
        <w:rPr>
          <w:rFonts w:eastAsia="Times New Roman" w:hint="cs"/>
          <w:rtl/>
        </w:rPr>
        <w:t>،</w:t>
      </w:r>
      <w:r w:rsidR="009C32A0">
        <w:rPr>
          <w:rFonts w:eastAsia="Times New Roman" w:hint="cs"/>
          <w:rtl/>
        </w:rPr>
        <w:t xml:space="preserve"> ويخلطون ما بين المحسوس والمعقول ولا يفرقون بينهما</w:t>
      </w:r>
      <w:r>
        <w:rPr>
          <w:rFonts w:eastAsia="Times New Roman" w:hint="cs"/>
          <w:rtl/>
        </w:rPr>
        <w:t>،</w:t>
      </w:r>
      <w:r w:rsidR="009C32A0">
        <w:rPr>
          <w:rFonts w:eastAsia="Times New Roman" w:hint="cs"/>
          <w:rtl/>
        </w:rPr>
        <w:t xml:space="preserve"> وهم قوم رعاع أوباش لا يحترمون تخصص العلماء</w:t>
      </w:r>
      <w:r>
        <w:rPr>
          <w:rFonts w:eastAsia="Times New Roman" w:hint="cs"/>
          <w:rtl/>
        </w:rPr>
        <w:t>،</w:t>
      </w:r>
      <w:r w:rsidR="009C32A0">
        <w:rPr>
          <w:rFonts w:eastAsia="Times New Roman" w:hint="cs"/>
          <w:rtl/>
        </w:rPr>
        <w:t xml:space="preserve"> ويهجمون على كل أبواب العلم</w:t>
      </w:r>
      <w:r>
        <w:rPr>
          <w:rFonts w:eastAsia="Times New Roman" w:hint="cs"/>
          <w:rtl/>
        </w:rPr>
        <w:t>،</w:t>
      </w:r>
      <w:r w:rsidR="009C32A0">
        <w:rPr>
          <w:rFonts w:eastAsia="Times New Roman" w:hint="cs"/>
          <w:rtl/>
        </w:rPr>
        <w:t xml:space="preserve"> لا سيما الأصول</w:t>
      </w:r>
      <w:r>
        <w:rPr>
          <w:rFonts w:eastAsia="Times New Roman" w:hint="cs"/>
          <w:rtl/>
        </w:rPr>
        <w:t>،</w:t>
      </w:r>
      <w:r w:rsidR="009C32A0">
        <w:rPr>
          <w:rFonts w:eastAsia="Times New Roman" w:hint="cs"/>
          <w:rtl/>
        </w:rPr>
        <w:t xml:space="preserve"> يكفرون ويبدعون ويقعون في أعراض أكابر العلماء</w:t>
      </w:r>
      <w:r>
        <w:rPr>
          <w:rFonts w:eastAsia="Times New Roman" w:hint="cs"/>
          <w:rtl/>
        </w:rPr>
        <w:t>،</w:t>
      </w:r>
      <w:r w:rsidR="009C32A0">
        <w:rPr>
          <w:rFonts w:eastAsia="Times New Roman" w:hint="cs"/>
          <w:rtl/>
        </w:rPr>
        <w:t xml:space="preserve"> يشوشون على أبواب العلم كلما بنى العلماء صرحاً علميا هدموه</w:t>
      </w:r>
      <w:r>
        <w:rPr>
          <w:rFonts w:eastAsia="Times New Roman" w:hint="cs"/>
          <w:rtl/>
        </w:rPr>
        <w:t>،</w:t>
      </w:r>
      <w:r w:rsidR="009C32A0">
        <w:rPr>
          <w:rFonts w:eastAsia="Times New Roman" w:hint="cs"/>
          <w:rtl/>
        </w:rPr>
        <w:t xml:space="preserve"> فيهم زيادة تكفير وزيادة تبديع وسوء ظن بكل مخالف لهم يتهمونه على دينه</w:t>
      </w:r>
      <w:r>
        <w:rPr>
          <w:rFonts w:eastAsia="Times New Roman" w:hint="cs"/>
          <w:rtl/>
        </w:rPr>
        <w:t>،</w:t>
      </w:r>
      <w:r w:rsidR="009C32A0">
        <w:rPr>
          <w:rFonts w:eastAsia="Times New Roman" w:hint="cs"/>
          <w:rtl/>
        </w:rPr>
        <w:t xml:space="preserve"> ظاهريون سطحيون لا يتعمقون</w:t>
      </w:r>
      <w:r>
        <w:rPr>
          <w:rFonts w:eastAsia="Times New Roman" w:hint="cs"/>
          <w:rtl/>
        </w:rPr>
        <w:t xml:space="preserve"> </w:t>
      </w:r>
      <w:r w:rsidR="009C32A0">
        <w:rPr>
          <w:rFonts w:eastAsia="Times New Roman" w:hint="cs"/>
          <w:rtl/>
        </w:rPr>
        <w:t>في فهم المراد من النصوص</w:t>
      </w:r>
      <w:r>
        <w:rPr>
          <w:rFonts w:eastAsia="Times New Roman" w:hint="cs"/>
          <w:rtl/>
        </w:rPr>
        <w:t>،</w:t>
      </w:r>
      <w:r w:rsidR="009C32A0">
        <w:rPr>
          <w:rFonts w:eastAsia="Times New Roman" w:hint="cs"/>
          <w:rtl/>
        </w:rPr>
        <w:t xml:space="preserve"> ويحشون رؤوسهم بما لا يُعقل</w:t>
      </w:r>
      <w:r>
        <w:rPr>
          <w:rFonts w:eastAsia="Times New Roman" w:hint="cs"/>
          <w:rtl/>
        </w:rPr>
        <w:t>،</w:t>
      </w:r>
      <w:r w:rsidR="009C32A0">
        <w:rPr>
          <w:rFonts w:eastAsia="Times New Roman" w:hint="cs"/>
          <w:rtl/>
        </w:rPr>
        <w:t xml:space="preserve"> ويبتعدون عن المنهج العلمي في الاستدلال على العقائد، ويكتفون فقط بظاهر النصوص</w:t>
      </w:r>
      <w:r>
        <w:rPr>
          <w:rFonts w:eastAsia="Times New Roman" w:hint="cs"/>
          <w:rtl/>
        </w:rPr>
        <w:t xml:space="preserve">، </w:t>
      </w:r>
      <w:r w:rsidR="009C32A0">
        <w:rPr>
          <w:rFonts w:eastAsia="Times New Roman" w:hint="cs"/>
          <w:rtl/>
        </w:rPr>
        <w:t>ومن أهم مشاكل هؤلاء</w:t>
      </w:r>
      <w:r>
        <w:rPr>
          <w:rFonts w:eastAsia="Times New Roman" w:hint="cs"/>
          <w:rtl/>
        </w:rPr>
        <w:t>،</w:t>
      </w:r>
      <w:r w:rsidR="009C32A0">
        <w:rPr>
          <w:rFonts w:eastAsia="Times New Roman" w:hint="cs"/>
          <w:rtl/>
        </w:rPr>
        <w:t xml:space="preserve"> أنّ ما فهموه بعقولهم السقيمة</w:t>
      </w:r>
      <w:r>
        <w:rPr>
          <w:rFonts w:eastAsia="Times New Roman" w:hint="cs"/>
          <w:rtl/>
        </w:rPr>
        <w:t>،</w:t>
      </w:r>
      <w:r w:rsidR="009C32A0">
        <w:rPr>
          <w:rFonts w:eastAsia="Times New Roman" w:hint="cs"/>
          <w:rtl/>
        </w:rPr>
        <w:t xml:space="preserve"> وعلومهم القاصرة</w:t>
      </w:r>
      <w:r>
        <w:rPr>
          <w:rFonts w:eastAsia="Times New Roman" w:hint="cs"/>
          <w:rtl/>
        </w:rPr>
        <w:t>،</w:t>
      </w:r>
      <w:r w:rsidR="009C32A0">
        <w:rPr>
          <w:rFonts w:eastAsia="Times New Roman" w:hint="cs"/>
          <w:rtl/>
        </w:rPr>
        <w:t xml:space="preserve"> نسبوه إلى السلف</w:t>
      </w:r>
      <w:r>
        <w:rPr>
          <w:rFonts w:eastAsia="Times New Roman" w:hint="cs"/>
          <w:rtl/>
        </w:rPr>
        <w:t>،</w:t>
      </w:r>
      <w:r w:rsidR="009C32A0">
        <w:rPr>
          <w:rFonts w:eastAsia="Times New Roman" w:hint="cs"/>
          <w:rtl/>
        </w:rPr>
        <w:t xml:space="preserve"> وتحصنوا بهذه النسبة</w:t>
      </w:r>
      <w:r>
        <w:rPr>
          <w:rFonts w:eastAsia="Times New Roman" w:hint="cs"/>
          <w:rtl/>
        </w:rPr>
        <w:t>،</w:t>
      </w:r>
      <w:r w:rsidR="009C32A0">
        <w:rPr>
          <w:rFonts w:eastAsia="Times New Roman" w:hint="cs"/>
          <w:rtl/>
        </w:rPr>
        <w:t xml:space="preserve"> فمن خالفهم اتهموه بمخالفة السلف</w:t>
      </w:r>
      <w:r>
        <w:rPr>
          <w:rFonts w:eastAsia="Times New Roman" w:hint="cs"/>
          <w:rtl/>
        </w:rPr>
        <w:t>،</w:t>
      </w:r>
      <w:r w:rsidR="009C32A0">
        <w:rPr>
          <w:rFonts w:eastAsia="Times New Roman" w:hint="cs"/>
          <w:rtl/>
        </w:rPr>
        <w:t xml:space="preserve"> والمروق من الدين</w:t>
      </w:r>
      <w:r>
        <w:rPr>
          <w:rFonts w:eastAsia="Times New Roman" w:hint="cs"/>
          <w:rtl/>
        </w:rPr>
        <w:t>،</w:t>
      </w:r>
      <w:r w:rsidR="009C32A0">
        <w:rPr>
          <w:rFonts w:eastAsia="Times New Roman" w:hint="cs"/>
          <w:rtl/>
        </w:rPr>
        <w:t xml:space="preserve"> لا يستوعبون قواعد التقديس والتنزيه المستمدة من فقه الكتاب والسنّة</w:t>
      </w:r>
      <w:r>
        <w:rPr>
          <w:rFonts w:eastAsia="Times New Roman" w:hint="cs"/>
          <w:rtl/>
        </w:rPr>
        <w:t>،</w:t>
      </w:r>
      <w:r w:rsidR="009C32A0">
        <w:rPr>
          <w:rFonts w:eastAsia="Times New Roman" w:hint="cs"/>
          <w:rtl/>
        </w:rPr>
        <w:t xml:space="preserve"> وأدى ذلك إلى الذهول عن اضافة قسم تنزيه الذات إلى أقسام التوحيد</w:t>
      </w:r>
      <w:r>
        <w:rPr>
          <w:rFonts w:eastAsia="Times New Roman" w:hint="cs"/>
          <w:rtl/>
        </w:rPr>
        <w:t>،</w:t>
      </w:r>
      <w:r w:rsidR="009C32A0">
        <w:rPr>
          <w:rFonts w:eastAsia="Times New Roman" w:hint="cs"/>
          <w:rtl/>
        </w:rPr>
        <w:t xml:space="preserve"> وإلى خلل في فهم التوحيد من كافة جوانبه</w:t>
      </w:r>
      <w:r>
        <w:rPr>
          <w:rFonts w:eastAsia="Times New Roman" w:hint="cs"/>
          <w:rtl/>
        </w:rPr>
        <w:t>،</w:t>
      </w:r>
      <w:r w:rsidR="009C32A0">
        <w:rPr>
          <w:rFonts w:eastAsia="Times New Roman" w:hint="cs"/>
          <w:rtl/>
        </w:rPr>
        <w:t xml:space="preserve"> إذ توحيد الذات هو قسم التقديس الذي يعد مفخرة عقائد المسلمين</w:t>
      </w:r>
      <w:r>
        <w:rPr>
          <w:rFonts w:eastAsia="Times New Roman" w:hint="cs"/>
          <w:rtl/>
        </w:rPr>
        <w:t>،</w:t>
      </w:r>
      <w:r w:rsidR="009C32A0">
        <w:rPr>
          <w:rFonts w:eastAsia="Times New Roman" w:hint="cs"/>
          <w:rtl/>
        </w:rPr>
        <w:t xml:space="preserve"> والذهول عن هذا القسم أدى إلى قصور واضح جلي في الإلمام بما يجب وما يجوز وما يستحيل في ذات الله تعالى</w:t>
      </w:r>
      <w:r>
        <w:rPr>
          <w:rFonts w:eastAsia="Times New Roman" w:hint="cs"/>
          <w:rtl/>
        </w:rPr>
        <w:t xml:space="preserve">، </w:t>
      </w:r>
      <w:r w:rsidR="009C32A0">
        <w:rPr>
          <w:rFonts w:eastAsia="Times New Roman" w:hint="cs"/>
          <w:rtl/>
        </w:rPr>
        <w:t>وإلى الوقوع في زيادة الإثبات على حساب التقديس</w:t>
      </w:r>
      <w:r>
        <w:rPr>
          <w:rFonts w:eastAsia="Times New Roman" w:hint="cs"/>
          <w:rtl/>
        </w:rPr>
        <w:t>،</w:t>
      </w:r>
      <w:r w:rsidR="009C32A0">
        <w:rPr>
          <w:rFonts w:eastAsia="Times New Roman" w:hint="cs"/>
          <w:rtl/>
        </w:rPr>
        <w:t xml:space="preserve"> بل واعتقاد التجسيم في بعض الأحيان وإن لم يشعروا بذلك</w:t>
      </w:r>
      <w:r>
        <w:rPr>
          <w:rFonts w:eastAsia="Times New Roman" w:hint="cs"/>
          <w:rtl/>
        </w:rPr>
        <w:t>،</w:t>
      </w:r>
      <w:r w:rsidR="009C32A0">
        <w:rPr>
          <w:rFonts w:eastAsia="Times New Roman" w:hint="cs"/>
          <w:rtl/>
        </w:rPr>
        <w:t xml:space="preserve"> والغلو في فهم مفردات التوحيد وفهم مفردات العبادة بسبب عدم التفريق بين أصل العبادة وصور العبادة</w:t>
      </w:r>
      <w:r>
        <w:rPr>
          <w:rFonts w:eastAsia="Times New Roman" w:hint="cs"/>
          <w:rtl/>
        </w:rPr>
        <w:t>،</w:t>
      </w:r>
      <w:r w:rsidR="009C32A0">
        <w:rPr>
          <w:rFonts w:eastAsia="Times New Roman" w:hint="cs"/>
          <w:rtl/>
        </w:rPr>
        <w:t xml:space="preserve"> والخطأ في فهم بعض معاني الشرك والعبادة وفيما يدخل في مسمى عبادة غير الله وما لا يدخل فيها</w:t>
      </w:r>
      <w:r>
        <w:rPr>
          <w:rFonts w:eastAsia="Times New Roman" w:hint="cs"/>
          <w:rtl/>
        </w:rPr>
        <w:t>،</w:t>
      </w:r>
      <w:r w:rsidR="009C32A0">
        <w:rPr>
          <w:rFonts w:eastAsia="Times New Roman" w:hint="cs"/>
          <w:rtl/>
        </w:rPr>
        <w:t xml:space="preserve"> فأدى ذلك إلى اتهام الكثير من المسلمين بالشرك الأكبر</w:t>
      </w:r>
      <w:r>
        <w:rPr>
          <w:rFonts w:eastAsia="Times New Roman" w:hint="cs"/>
          <w:rtl/>
        </w:rPr>
        <w:t>،</w:t>
      </w:r>
      <w:r w:rsidR="009C32A0">
        <w:rPr>
          <w:rFonts w:eastAsia="Times New Roman" w:hint="cs"/>
          <w:rtl/>
        </w:rPr>
        <w:t xml:space="preserve"> بسبب بعض أعمال الجهل والبدعة</w:t>
      </w:r>
      <w:r>
        <w:rPr>
          <w:rFonts w:eastAsia="Times New Roman" w:hint="cs"/>
          <w:rtl/>
        </w:rPr>
        <w:t>،</w:t>
      </w:r>
      <w:r w:rsidR="009C32A0">
        <w:rPr>
          <w:rFonts w:eastAsia="Times New Roman" w:hint="cs"/>
          <w:rtl/>
        </w:rPr>
        <w:t xml:space="preserve"> وأدى ذلكم إلى استحلال دماء المسلمين وأموالهم</w:t>
      </w:r>
      <w:r>
        <w:rPr>
          <w:rFonts w:eastAsia="Times New Roman" w:hint="cs"/>
          <w:rtl/>
        </w:rPr>
        <w:t>،</w:t>
      </w:r>
      <w:r w:rsidR="009C32A0">
        <w:rPr>
          <w:rFonts w:eastAsia="Times New Roman" w:hint="cs"/>
          <w:rtl/>
        </w:rPr>
        <w:t xml:space="preserve"> على أنهم مشركون شركهم أكبر من شرك المشركين زمان رسول الله صلى الله عليه وسلم</w:t>
      </w:r>
      <w:r>
        <w:rPr>
          <w:rFonts w:eastAsia="Times New Roman" w:hint="cs"/>
          <w:rtl/>
        </w:rPr>
        <w:t>،</w:t>
      </w:r>
      <w:r w:rsidR="009C32A0">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Pr>
          <w:rFonts w:eastAsia="Times New Roman" w:hint="cs"/>
          <w:rtl/>
        </w:rPr>
        <w:t>،</w:t>
      </w:r>
      <w:r w:rsidR="009C32A0">
        <w:rPr>
          <w:rFonts w:eastAsia="Times New Roman" w:hint="cs"/>
          <w:rtl/>
        </w:rPr>
        <w:t xml:space="preserve"> فأدى ذلك إلى تكفير الكثير من المسلمين</w:t>
      </w:r>
      <w:r>
        <w:rPr>
          <w:rFonts w:eastAsia="Times New Roman" w:hint="cs"/>
          <w:rtl/>
        </w:rPr>
        <w:t>،</w:t>
      </w:r>
      <w:r w:rsidR="009C32A0">
        <w:rPr>
          <w:rFonts w:eastAsia="Times New Roman" w:hint="cs"/>
          <w:rtl/>
        </w:rPr>
        <w:t xml:space="preserve"> في أمور لا تصل إلى حد الكفر الأكبر</w:t>
      </w:r>
      <w:r>
        <w:rPr>
          <w:rFonts w:eastAsia="Times New Roman" w:hint="cs"/>
          <w:rtl/>
        </w:rPr>
        <w:t>،</w:t>
      </w:r>
      <w:r w:rsidR="009C32A0">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Pr>
          <w:rFonts w:eastAsia="Times New Roman" w:hint="cs"/>
          <w:rtl/>
        </w:rPr>
        <w:t>،</w:t>
      </w:r>
      <w:r w:rsidR="009C32A0">
        <w:rPr>
          <w:rFonts w:eastAsia="Times New Roman" w:hint="cs"/>
          <w:rtl/>
        </w:rPr>
        <w:t xml:space="preserve"> وتبديع طوائف برمتها</w:t>
      </w:r>
      <w:r>
        <w:rPr>
          <w:rFonts w:eastAsia="Times New Roman" w:hint="cs"/>
          <w:rtl/>
        </w:rPr>
        <w:t>،</w:t>
      </w:r>
      <w:r w:rsidR="009C32A0">
        <w:rPr>
          <w:rFonts w:eastAsia="Times New Roman" w:hint="cs"/>
          <w:rtl/>
        </w:rPr>
        <w:t xml:space="preserve"> ظلت على مر عصور الإسلام في إطار أهل السنة </w:t>
      </w:r>
      <w:r w:rsidR="009C32A0">
        <w:rPr>
          <w:rFonts w:eastAsia="Times New Roman" w:hint="cs"/>
          <w:rtl/>
        </w:rPr>
        <w:lastRenderedPageBreak/>
        <w:t>والجماعة</w:t>
      </w:r>
      <w:r>
        <w:rPr>
          <w:rFonts w:eastAsia="Times New Roman" w:hint="cs"/>
          <w:rtl/>
        </w:rPr>
        <w:t>،</w:t>
      </w:r>
      <w:r w:rsidR="009C32A0">
        <w:rPr>
          <w:rFonts w:eastAsia="Times New Roman" w:hint="cs"/>
          <w:rtl/>
        </w:rPr>
        <w:t xml:space="preserve"> ويرغب أنصاف المتعلمين منهم في طردهم منها</w:t>
      </w:r>
      <w:r>
        <w:rPr>
          <w:rFonts w:eastAsia="Times New Roman" w:hint="cs"/>
          <w:rtl/>
        </w:rPr>
        <w:t>،</w:t>
      </w:r>
      <w:r w:rsidR="009C32A0">
        <w:rPr>
          <w:rFonts w:eastAsia="Times New Roman" w:hint="cs"/>
          <w:rtl/>
        </w:rPr>
        <w:t xml:space="preserve"> وكأنما امتلكوا صكوك الانتساب إليها</w:t>
      </w:r>
      <w:r>
        <w:rPr>
          <w:rFonts w:eastAsia="Times New Roman" w:hint="cs"/>
          <w:rtl/>
        </w:rPr>
        <w:t>،</w:t>
      </w:r>
      <w:r w:rsidR="009C32A0">
        <w:rPr>
          <w:rFonts w:eastAsia="Times New Roman" w:hint="cs"/>
          <w:rtl/>
        </w:rPr>
        <w:t xml:space="preserve"> والغلو في مسائل عدم الإعذار بالجهل والتأويل ونصرة المعتزلة في بعض هذه المسائل</w:t>
      </w:r>
      <w:r>
        <w:rPr>
          <w:rFonts w:eastAsia="Times New Roman" w:hint="cs"/>
          <w:rtl/>
        </w:rPr>
        <w:t>،</w:t>
      </w:r>
      <w:r w:rsidR="009C32A0">
        <w:rPr>
          <w:rFonts w:eastAsia="Times New Roman" w:hint="cs"/>
          <w:rtl/>
        </w:rPr>
        <w:t xml:space="preserve"> وغلو في مسائل الحكم بغير ما أنزل الله</w:t>
      </w:r>
      <w:r>
        <w:rPr>
          <w:rFonts w:eastAsia="Times New Roman" w:hint="cs"/>
          <w:rtl/>
        </w:rPr>
        <w:t>،</w:t>
      </w:r>
      <w:r w:rsidR="009C32A0">
        <w:rPr>
          <w:rFonts w:eastAsia="Times New Roman" w:hint="cs"/>
          <w:rtl/>
        </w:rPr>
        <w:t xml:space="preserve"> وفي مسائل الولاء والبراء بما يولج معتقدها في مذاهب الحرورية والخوارج</w:t>
      </w:r>
      <w:r>
        <w:rPr>
          <w:rFonts w:eastAsia="Times New Roman" w:hint="cs"/>
          <w:rtl/>
        </w:rPr>
        <w:t>،</w:t>
      </w:r>
      <w:r w:rsidR="009C32A0">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Pr>
          <w:rFonts w:eastAsia="Times New Roman" w:hint="cs"/>
          <w:rtl/>
        </w:rPr>
        <w:t>،</w:t>
      </w:r>
      <w:r w:rsidR="009C32A0">
        <w:rPr>
          <w:rFonts w:eastAsia="Times New Roman" w:hint="cs"/>
          <w:rtl/>
        </w:rPr>
        <w:t xml:space="preserve"> واعتبارها من علوم اليونان</w:t>
      </w:r>
      <w:r>
        <w:rPr>
          <w:rFonts w:eastAsia="Times New Roman" w:hint="cs"/>
          <w:rtl/>
        </w:rPr>
        <w:t>،</w:t>
      </w:r>
      <w:r w:rsidR="009C32A0">
        <w:rPr>
          <w:rFonts w:eastAsia="Times New Roman" w:hint="cs"/>
          <w:rtl/>
        </w:rPr>
        <w:t xml:space="preserve"> وهم لا يعلمون</w:t>
      </w:r>
      <w:r>
        <w:rPr>
          <w:rFonts w:eastAsia="Times New Roman" w:hint="cs"/>
          <w:rtl/>
        </w:rPr>
        <w:t xml:space="preserve">: </w:t>
      </w:r>
      <w:r w:rsidR="009C32A0">
        <w:rPr>
          <w:rFonts w:eastAsia="Times New Roman" w:hint="cs"/>
          <w:rtl/>
        </w:rPr>
        <w:t>لا قواعد التنزيه المستمدة من الكتاب والسنة ولا ما هو الفرق بينها وبين علوم اليونان</w:t>
      </w:r>
      <w:r>
        <w:rPr>
          <w:rFonts w:eastAsia="Times New Roman" w:hint="cs"/>
          <w:rtl/>
        </w:rPr>
        <w:t>،</w:t>
      </w:r>
      <w:r w:rsidR="009C32A0">
        <w:rPr>
          <w:rFonts w:eastAsia="Times New Roman" w:hint="cs"/>
          <w:rtl/>
        </w:rPr>
        <w:t xml:space="preserve"> وعدم الدقة في تحديد دائرة المتشابه الصحيحة</w:t>
      </w:r>
      <w:r>
        <w:rPr>
          <w:rFonts w:eastAsia="Times New Roman" w:hint="cs"/>
          <w:rtl/>
        </w:rPr>
        <w:t>،</w:t>
      </w:r>
      <w:r w:rsidR="009C32A0">
        <w:rPr>
          <w:rFonts w:eastAsia="Times New Roman" w:hint="cs"/>
          <w:rtl/>
        </w:rPr>
        <w:t xml:space="preserve"> وما آل إليه ذلك من تتبع المتشابه والخوض فيه</w:t>
      </w:r>
      <w:r>
        <w:rPr>
          <w:rFonts w:eastAsia="Times New Roman" w:hint="cs"/>
          <w:rtl/>
        </w:rPr>
        <w:t>،</w:t>
      </w:r>
      <w:r w:rsidR="009C32A0">
        <w:rPr>
          <w:rFonts w:eastAsia="Times New Roman" w:hint="cs"/>
          <w:rtl/>
        </w:rPr>
        <w:t xml:space="preserve"> ووقوعهم بذلك تحت خطر الوعيد القرآني المتمثل في تهديد الذين يتتبعون المتشابه بزيغ قلوبهم</w:t>
      </w:r>
      <w:r>
        <w:rPr>
          <w:rFonts w:eastAsia="Times New Roman" w:hint="cs"/>
          <w:rtl/>
        </w:rPr>
        <w:t>،</w:t>
      </w:r>
      <w:r w:rsidR="009C32A0">
        <w:rPr>
          <w:rFonts w:eastAsia="Times New Roman" w:hint="cs"/>
          <w:rtl/>
        </w:rPr>
        <w:t xml:space="preserve"> وذلك في قوله تعالى</w:t>
      </w:r>
      <w:r>
        <w:rPr>
          <w:rFonts w:eastAsia="Times New Roman" w:hint="cs"/>
          <w:rtl/>
        </w:rPr>
        <w:t>: {</w:t>
      </w:r>
      <w:r w:rsidR="009C32A0">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 [</w:t>
      </w:r>
      <w:r w:rsidR="009C32A0">
        <w:rPr>
          <w:rFonts w:eastAsia="Times New Roman" w:hint="cs"/>
          <w:rtl/>
        </w:rPr>
        <w:t>آل عمران</w:t>
      </w:r>
      <w:r>
        <w:rPr>
          <w:rFonts w:eastAsia="Times New Roman" w:hint="cs"/>
          <w:rtl/>
        </w:rPr>
        <w:t xml:space="preserve">: </w:t>
      </w:r>
      <w:r w:rsidR="009C32A0">
        <w:rPr>
          <w:rFonts w:eastAsia="Times New Roman" w:hint="cs"/>
          <w:rtl/>
        </w:rPr>
        <w:t>7</w:t>
      </w:r>
      <w:r>
        <w:rPr>
          <w:rFonts w:eastAsia="Times New Roman" w:hint="cs"/>
          <w:rtl/>
        </w:rPr>
        <w:t>]،</w:t>
      </w:r>
      <w:r w:rsidR="009C32A0">
        <w:rPr>
          <w:rFonts w:eastAsia="Times New Roman" w:hint="cs"/>
          <w:rtl/>
        </w:rPr>
        <w:t xml:space="preserve"> وهم ينتسبون إلى السلف</w:t>
      </w:r>
      <w:r>
        <w:rPr>
          <w:rFonts w:eastAsia="Times New Roman" w:hint="cs"/>
          <w:rtl/>
        </w:rPr>
        <w:t>،</w:t>
      </w:r>
      <w:r w:rsidR="009C32A0">
        <w:rPr>
          <w:rFonts w:eastAsia="Times New Roman" w:hint="cs"/>
          <w:rtl/>
        </w:rPr>
        <w:t xml:space="preserve"> والسلف برآء منهم</w:t>
      </w:r>
      <w:r>
        <w:rPr>
          <w:rFonts w:eastAsia="Times New Roman" w:hint="cs"/>
          <w:rtl/>
        </w:rPr>
        <w:t>،</w:t>
      </w:r>
      <w:r w:rsidR="009C32A0">
        <w:rPr>
          <w:rFonts w:eastAsia="Times New Roman" w:hint="cs"/>
          <w:rtl/>
        </w:rPr>
        <w:t xml:space="preserve"> وهم يذهلون عن حقيقة مذهب السلف في تفويض علم المتشابه إلى الله تعالى</w:t>
      </w:r>
      <w:r>
        <w:rPr>
          <w:rFonts w:eastAsia="Times New Roman" w:hint="cs"/>
          <w:rtl/>
        </w:rPr>
        <w:t>،</w:t>
      </w:r>
      <w:r w:rsidR="009C32A0">
        <w:rPr>
          <w:rFonts w:eastAsia="Times New Roman" w:hint="cs"/>
          <w:rtl/>
        </w:rPr>
        <w:t xml:space="preserve"> واعتقاد أن مذهبهم إثبات العلم ونفي الكيفية</w:t>
      </w:r>
      <w:r>
        <w:rPr>
          <w:rFonts w:eastAsia="Times New Roman" w:hint="cs"/>
          <w:rtl/>
        </w:rPr>
        <w:t>،</w:t>
      </w:r>
      <w:r w:rsidR="009C32A0">
        <w:rPr>
          <w:rFonts w:eastAsia="Times New Roman" w:hint="cs"/>
          <w:rtl/>
        </w:rPr>
        <w:t xml:space="preserve"> ولنا أن نتساءل كيف يكون متشابها ثم يتصف بالعلم</w:t>
      </w:r>
      <w:r>
        <w:rPr>
          <w:rFonts w:eastAsia="Times New Roman" w:hint="cs"/>
          <w:rtl/>
        </w:rPr>
        <w:t>،</w:t>
      </w:r>
      <w:r w:rsidR="009C32A0">
        <w:rPr>
          <w:rFonts w:eastAsia="Times New Roman" w:hint="cs"/>
          <w:rtl/>
        </w:rPr>
        <w:t xml:space="preserve"> وهل كان متشابها إلا لمحاذير إثبات العلم به ولكنهم لا يعلمون تلك المحاذير</w:t>
      </w:r>
      <w:r>
        <w:rPr>
          <w:rFonts w:eastAsia="Times New Roman" w:hint="cs"/>
          <w:rtl/>
        </w:rPr>
        <w:t>،</w:t>
      </w:r>
      <w:r w:rsidR="009C32A0">
        <w:rPr>
          <w:rFonts w:eastAsia="Times New Roman" w:hint="cs"/>
          <w:rtl/>
        </w:rPr>
        <w:t xml:space="preserve"> ثم لم يكتفوا بذلك حتى اتهموا المفوضة - وهم أهل السلف الحقيقيون - بالتجهيل والتبديع وأنهم أشر أهل البدع</w:t>
      </w:r>
      <w:r>
        <w:rPr>
          <w:rFonts w:eastAsia="Times New Roman" w:hint="cs"/>
          <w:rtl/>
        </w:rPr>
        <w:t>،</w:t>
      </w:r>
      <w:r w:rsidR="009C32A0">
        <w:rPr>
          <w:rFonts w:eastAsia="Times New Roman" w:hint="cs"/>
          <w:rtl/>
        </w:rPr>
        <w:t xml:space="preserve"> مع أنهم هم السلف الراسخون في العلم</w:t>
      </w:r>
      <w:r>
        <w:rPr>
          <w:rFonts w:eastAsia="Times New Roman" w:hint="cs"/>
          <w:rtl/>
        </w:rPr>
        <w:t>،</w:t>
      </w:r>
      <w:r w:rsidR="009C32A0">
        <w:rPr>
          <w:rFonts w:eastAsia="Times New Roman" w:hint="cs"/>
          <w:rtl/>
        </w:rPr>
        <w:t xml:space="preserve"> وبعد فتلك بعض مفردات مذهب الحشوية</w:t>
      </w:r>
      <w:r>
        <w:rPr>
          <w:rFonts w:eastAsia="Times New Roman" w:hint="cs"/>
          <w:rtl/>
        </w:rPr>
        <w:t>،</w:t>
      </w:r>
      <w:r w:rsidR="009C32A0">
        <w:rPr>
          <w:rFonts w:eastAsia="Times New Roman" w:hint="cs"/>
          <w:rtl/>
        </w:rPr>
        <w:t xml:space="preserve"> والتي يسعى الحشوية في كل زمان إلى نسبتها إلى مذهب السلف وإلى أهل الحديث</w:t>
      </w:r>
      <w:r>
        <w:rPr>
          <w:rFonts w:eastAsia="Times New Roman" w:hint="cs"/>
          <w:rtl/>
        </w:rPr>
        <w:t>،</w:t>
      </w:r>
      <w:r w:rsidR="009C32A0">
        <w:rPr>
          <w:rFonts w:eastAsia="Times New Roman" w:hint="cs"/>
          <w:rtl/>
        </w:rPr>
        <w:t xml:space="preserve"> وجعلها بديل لكافة التخصصات العلمية</w:t>
      </w:r>
      <w:r>
        <w:rPr>
          <w:rFonts w:eastAsia="Times New Roman" w:hint="cs"/>
          <w:rtl/>
        </w:rPr>
        <w:t>،</w:t>
      </w:r>
      <w:r w:rsidR="009C32A0">
        <w:rPr>
          <w:rFonts w:eastAsia="Times New Roman" w:hint="cs"/>
          <w:rtl/>
        </w:rPr>
        <w:t xml:space="preserve"> وهم أهل الجفاء والغلظة والخيلاء</w:t>
      </w:r>
      <w:r>
        <w:rPr>
          <w:rFonts w:eastAsia="Times New Roman" w:hint="cs"/>
          <w:rtl/>
        </w:rPr>
        <w:t>،</w:t>
      </w:r>
      <w:r w:rsidR="009C32A0">
        <w:rPr>
          <w:rFonts w:eastAsia="Times New Roman" w:hint="cs"/>
          <w:rtl/>
        </w:rPr>
        <w:t xml:space="preserve"> والقسوة وغمط المسلمين والجفاء عند معاملتهم</w:t>
      </w:r>
      <w:r>
        <w:rPr>
          <w:rFonts w:eastAsia="Times New Roman" w:hint="cs"/>
          <w:rtl/>
        </w:rPr>
        <w:t>،</w:t>
      </w:r>
      <w:r w:rsidR="009C32A0">
        <w:rPr>
          <w:rFonts w:eastAsia="Times New Roman" w:hint="cs"/>
          <w:rtl/>
        </w:rPr>
        <w:t xml:space="preserve"> وافتراض سوء القصد في أقوالهم وأفعالهم التي قد تنشأ عن غير قصد غالبا</w:t>
      </w:r>
      <w:r>
        <w:rPr>
          <w:rFonts w:eastAsia="Times New Roman" w:hint="cs"/>
          <w:rtl/>
        </w:rPr>
        <w:t>،</w:t>
      </w:r>
      <w:r w:rsidR="009C32A0">
        <w:rPr>
          <w:rFonts w:eastAsia="Times New Roman" w:hint="cs"/>
          <w:rtl/>
        </w:rPr>
        <w:t xml:space="preserve"> تراهم دوماً في حروب وهمية مع من يظنونهم مبتدعون مارقون عن مذهب السلف الذي صنعوه بأيديهم ونسبوه إلى السلف</w:t>
      </w:r>
      <w:r>
        <w:rPr>
          <w:rFonts w:eastAsia="Times New Roman" w:hint="cs"/>
          <w:rtl/>
        </w:rPr>
        <w:t>،</w:t>
      </w:r>
      <w:r w:rsidR="009C32A0">
        <w:rPr>
          <w:rFonts w:eastAsia="Times New Roman" w:hint="cs"/>
          <w:rtl/>
        </w:rPr>
        <w:t xml:space="preserve"> ويدافعون عنه ضد كل من تسول له نفسه مخالفة</w:t>
      </w:r>
      <w:r>
        <w:rPr>
          <w:rFonts w:eastAsia="Times New Roman" w:hint="cs"/>
          <w:rtl/>
        </w:rPr>
        <w:t>،</w:t>
      </w:r>
      <w:r w:rsidR="009C32A0">
        <w:rPr>
          <w:rFonts w:eastAsia="Times New Roman" w:hint="cs"/>
          <w:rtl/>
        </w:rPr>
        <w:t xml:space="preserve"> ديدنهم الوقيعة في أهل التنزيه والأصول من أكابر أهل السنة الأشاعرة والماتريدية ومحاولة التشكيك في انتسابهم إلى أهل السنة والجماعة</w:t>
      </w:r>
      <w:r>
        <w:rPr>
          <w:rFonts w:eastAsia="Times New Roman" w:hint="cs"/>
          <w:rtl/>
        </w:rPr>
        <w:t>،</w:t>
      </w:r>
      <w:r w:rsidR="009C32A0">
        <w:rPr>
          <w:rFonts w:eastAsia="Times New Roman" w:hint="cs"/>
          <w:rtl/>
        </w:rPr>
        <w:t xml:space="preserve"> مع إهمال قيمة التخصص العلمي لديهم وتلميع أهل التعدي على أكابرهم بغيا وظلما بغير وجه حق</w:t>
      </w:r>
      <w:r>
        <w:rPr>
          <w:rFonts w:eastAsia="Times New Roman" w:hint="cs"/>
          <w:rtl/>
        </w:rPr>
        <w:t>،</w:t>
      </w:r>
      <w:r w:rsidR="009C32A0">
        <w:rPr>
          <w:rFonts w:eastAsia="Times New Roman" w:hint="cs"/>
          <w:rtl/>
        </w:rPr>
        <w:t xml:space="preserve"> يشنون حروبا لا داعي لها - بين الحين والآخر - على المذاهب الفقهية الأربعة المعتمدة</w:t>
      </w:r>
      <w:r>
        <w:rPr>
          <w:rFonts w:eastAsia="Times New Roman" w:hint="cs"/>
          <w:rtl/>
        </w:rPr>
        <w:t>،</w:t>
      </w:r>
      <w:r w:rsidR="009C32A0">
        <w:rPr>
          <w:rFonts w:eastAsia="Times New Roman" w:hint="cs"/>
          <w:rtl/>
        </w:rPr>
        <w:t xml:space="preserve"> بدعوى إتباع الدليل من الكتاب والسنة وتجريد الإتباع لرسول الله صلى الله عليه وسلم</w:t>
      </w:r>
      <w:r>
        <w:rPr>
          <w:rFonts w:eastAsia="Times New Roman" w:hint="cs"/>
          <w:rtl/>
        </w:rPr>
        <w:t>،</w:t>
      </w:r>
      <w:r w:rsidR="009C32A0">
        <w:rPr>
          <w:rFonts w:eastAsia="Times New Roman" w:hint="cs"/>
          <w:rtl/>
        </w:rPr>
        <w:t xml:space="preserve"> مع أن أصحابها بلغوا القمة العالية في الفقه والعلم والورع</w:t>
      </w:r>
      <w:r>
        <w:rPr>
          <w:rFonts w:eastAsia="Times New Roman" w:hint="cs"/>
          <w:rtl/>
        </w:rPr>
        <w:t>،</w:t>
      </w:r>
      <w:r w:rsidR="009C32A0">
        <w:rPr>
          <w:rFonts w:eastAsia="Times New Roman" w:hint="cs"/>
          <w:rtl/>
        </w:rPr>
        <w:t xml:space="preserve"> </w:t>
      </w:r>
      <w:r w:rsidR="009C32A0">
        <w:rPr>
          <w:rFonts w:eastAsia="Times New Roman" w:hint="cs"/>
          <w:rtl/>
        </w:rPr>
        <w:lastRenderedPageBreak/>
        <w:t>وقام أصحابهم على ضبط أقوالهم</w:t>
      </w:r>
      <w:r>
        <w:rPr>
          <w:rFonts w:eastAsia="Times New Roman" w:hint="cs"/>
          <w:rtl/>
        </w:rPr>
        <w:t>،</w:t>
      </w:r>
      <w:r w:rsidR="009C32A0">
        <w:rPr>
          <w:rFonts w:eastAsia="Times New Roman" w:hint="cs"/>
          <w:rtl/>
        </w:rPr>
        <w:t xml:space="preserve"> وصقلت مدارسهم الفقهية</w:t>
      </w:r>
      <w:r>
        <w:rPr>
          <w:rFonts w:eastAsia="Times New Roman" w:hint="cs"/>
          <w:rtl/>
        </w:rPr>
        <w:t xml:space="preserve"> </w:t>
      </w:r>
      <w:r w:rsidR="009C32A0">
        <w:rPr>
          <w:rFonts w:eastAsia="Times New Roman" w:hint="cs"/>
          <w:rtl/>
        </w:rPr>
        <w:t>على مر عصور الإسلام</w:t>
      </w:r>
      <w:r>
        <w:rPr>
          <w:rFonts w:eastAsia="Times New Roman" w:hint="cs"/>
          <w:rtl/>
        </w:rPr>
        <w:t xml:space="preserve"> </w:t>
      </w:r>
      <w:r w:rsidR="009C32A0">
        <w:rPr>
          <w:rFonts w:eastAsia="Times New Roman" w:hint="cs"/>
          <w:rtl/>
        </w:rPr>
        <w:t>كل ما يتعلق بالفقه ومسائله</w:t>
      </w:r>
      <w:r>
        <w:rPr>
          <w:rFonts w:eastAsia="Times New Roman" w:hint="cs"/>
          <w:rtl/>
        </w:rPr>
        <w:t>،</w:t>
      </w:r>
      <w:r w:rsidR="009C32A0">
        <w:rPr>
          <w:rFonts w:eastAsia="Times New Roman" w:hint="cs"/>
          <w:rtl/>
        </w:rPr>
        <w:t xml:space="preserve"> فأيهما أجدى البناء على ما بنوه فيرتفع البناء عاليا</w:t>
      </w:r>
      <w:r>
        <w:rPr>
          <w:rFonts w:eastAsia="Times New Roman" w:hint="cs"/>
          <w:rtl/>
        </w:rPr>
        <w:t>،</w:t>
      </w:r>
      <w:r w:rsidR="009C32A0">
        <w:rPr>
          <w:rFonts w:eastAsia="Times New Roman" w:hint="cs"/>
          <w:rtl/>
        </w:rPr>
        <w:t xml:space="preserve"> أم هدمه والتشكيك فيه</w:t>
      </w:r>
      <w:r>
        <w:rPr>
          <w:rFonts w:eastAsia="Times New Roman" w:hint="cs"/>
          <w:rtl/>
        </w:rPr>
        <w:t>،</w:t>
      </w:r>
      <w:r w:rsidR="009C32A0">
        <w:rPr>
          <w:rFonts w:eastAsia="Times New Roman" w:hint="cs"/>
          <w:rtl/>
        </w:rPr>
        <w:t xml:space="preserve"> مع استحالة إتقان ما أتقنوه</w:t>
      </w:r>
      <w:r>
        <w:rPr>
          <w:rFonts w:eastAsia="Times New Roman" w:hint="cs"/>
          <w:rtl/>
        </w:rPr>
        <w:t>،</w:t>
      </w:r>
      <w:r w:rsidR="009C32A0">
        <w:rPr>
          <w:rFonts w:eastAsia="Times New Roman" w:hint="cs"/>
          <w:rtl/>
        </w:rPr>
        <w:t xml:space="preserve"> واستيعاب ما استوعبوه</w:t>
      </w:r>
      <w:r>
        <w:rPr>
          <w:rFonts w:eastAsia="Times New Roman" w:hint="cs"/>
          <w:rtl/>
        </w:rPr>
        <w:t>،</w:t>
      </w:r>
      <w:r w:rsidR="009C32A0">
        <w:rPr>
          <w:rFonts w:eastAsia="Times New Roman" w:hint="cs"/>
          <w:rtl/>
        </w:rPr>
        <w:t xml:space="preserve"> وبناء ما بنوه</w:t>
      </w:r>
      <w:r>
        <w:rPr>
          <w:rFonts w:eastAsia="Times New Roman" w:hint="cs"/>
          <w:rtl/>
        </w:rPr>
        <w:t>،</w:t>
      </w:r>
      <w:r w:rsidR="009C32A0">
        <w:rPr>
          <w:rFonts w:eastAsia="Times New Roman" w:hint="cs"/>
          <w:rtl/>
        </w:rPr>
        <w:t xml:space="preserve"> ويشنون حروبا لا داعي لها على التصوف برمته</w:t>
      </w:r>
      <w:r>
        <w:rPr>
          <w:rFonts w:eastAsia="Times New Roman" w:hint="cs"/>
          <w:rtl/>
        </w:rPr>
        <w:t>،</w:t>
      </w:r>
      <w:r w:rsidR="009C32A0">
        <w:rPr>
          <w:rFonts w:eastAsia="Times New Roman" w:hint="cs"/>
          <w:rtl/>
        </w:rPr>
        <w:t xml:space="preserve"> صالحه وطالحه</w:t>
      </w:r>
      <w:r>
        <w:rPr>
          <w:rFonts w:eastAsia="Times New Roman" w:hint="cs"/>
          <w:rtl/>
        </w:rPr>
        <w:t>،</w:t>
      </w:r>
      <w:r w:rsidR="009C32A0">
        <w:rPr>
          <w:rFonts w:eastAsia="Times New Roman" w:hint="cs"/>
          <w:rtl/>
        </w:rPr>
        <w:t xml:space="preserve"> ويدّعون أن له أصل من اليهودية أو النصرانية أو البوذية</w:t>
      </w:r>
      <w:r>
        <w:rPr>
          <w:rFonts w:eastAsia="Times New Roman" w:hint="cs"/>
          <w:rtl/>
        </w:rPr>
        <w:t>،</w:t>
      </w:r>
      <w:r w:rsidR="009C32A0">
        <w:rPr>
          <w:rFonts w:eastAsia="Times New Roman" w:hint="cs"/>
          <w:rtl/>
        </w:rPr>
        <w:t xml:space="preserve"> ويتّهمون رجاله بعقائد مكفرة وأفكار منحرفة ضالة ويتهمون أكابره بالزندقة والانحلال</w:t>
      </w:r>
      <w:r>
        <w:rPr>
          <w:rFonts w:eastAsia="Times New Roman" w:hint="cs"/>
          <w:rtl/>
        </w:rPr>
        <w:t>،</w:t>
      </w:r>
      <w:r w:rsidR="009C32A0">
        <w:rPr>
          <w:rFonts w:eastAsia="Times New Roman" w:hint="cs"/>
          <w:rtl/>
        </w:rPr>
        <w:t xml:space="preserve"> وهم لا يفرقون في ذلك بين الصوفية الصادقين والأدعياء</w:t>
      </w:r>
      <w:r>
        <w:rPr>
          <w:rFonts w:eastAsia="Times New Roman" w:hint="cs"/>
          <w:rtl/>
        </w:rPr>
        <w:t>،</w:t>
      </w:r>
      <w:r w:rsidR="009C32A0">
        <w:rPr>
          <w:rFonts w:eastAsia="Times New Roman" w:hint="cs"/>
          <w:rtl/>
        </w:rPr>
        <w:t xml:space="preserve"> مع أنه قد مرت عصور كاملة</w:t>
      </w:r>
      <w:r>
        <w:rPr>
          <w:rFonts w:eastAsia="Times New Roman" w:hint="cs"/>
          <w:rtl/>
        </w:rPr>
        <w:t>،</w:t>
      </w:r>
      <w:r w:rsidR="009C32A0">
        <w:rPr>
          <w:rFonts w:eastAsia="Times New Roman" w:hint="cs"/>
          <w:rtl/>
        </w:rPr>
        <w:t xml:space="preserve"> وقرون تامة</w:t>
      </w:r>
      <w:r>
        <w:rPr>
          <w:rFonts w:eastAsia="Times New Roman" w:hint="cs"/>
          <w:rtl/>
        </w:rPr>
        <w:t>،</w:t>
      </w:r>
      <w:r w:rsidR="009C32A0">
        <w:rPr>
          <w:rFonts w:eastAsia="Times New Roman" w:hint="cs"/>
          <w:rtl/>
        </w:rPr>
        <w:t xml:space="preserve"> يندر أن يكون فيها المسلم لا يلتزم بمنهج صوفي للتزكية</w:t>
      </w:r>
      <w:r>
        <w:rPr>
          <w:rFonts w:eastAsia="Times New Roman" w:hint="cs"/>
          <w:rtl/>
        </w:rPr>
        <w:t>،</w:t>
      </w:r>
      <w:r w:rsidR="009C32A0">
        <w:rPr>
          <w:rFonts w:eastAsia="Times New Roman" w:hint="cs"/>
          <w:rtl/>
        </w:rPr>
        <w:t xml:space="preserve"> وطريقة صوفية تأخذ بيده نحو رضا الله</w:t>
      </w:r>
      <w:r>
        <w:rPr>
          <w:rFonts w:eastAsia="Times New Roman" w:hint="cs"/>
          <w:rtl/>
        </w:rPr>
        <w:t>،</w:t>
      </w:r>
      <w:r w:rsidR="009C32A0">
        <w:rPr>
          <w:rFonts w:eastAsia="Times New Roman" w:hint="cs"/>
          <w:rtl/>
        </w:rPr>
        <w:t xml:space="preserve"> فهل جميع أولئك على ضلالة</w:t>
      </w:r>
      <w:r>
        <w:rPr>
          <w:rFonts w:eastAsia="Times New Roman" w:hint="cs"/>
          <w:rtl/>
        </w:rPr>
        <w:t>،</w:t>
      </w:r>
      <w:r w:rsidR="009C32A0">
        <w:rPr>
          <w:rFonts w:eastAsia="Times New Roman" w:hint="cs"/>
          <w:rtl/>
        </w:rPr>
        <w:t xml:space="preserve"> وأين خيرية هذه الأمة إن كانوا جميعا كذلك</w:t>
      </w:r>
      <w:r>
        <w:rPr>
          <w:rFonts w:eastAsia="Times New Roman" w:hint="cs"/>
          <w:rtl/>
        </w:rPr>
        <w:t>،</w:t>
      </w:r>
      <w:r w:rsidR="009C32A0">
        <w:rPr>
          <w:rFonts w:eastAsia="Times New Roman" w:hint="cs"/>
          <w:rtl/>
        </w:rPr>
        <w:t xml:space="preserve"> والإنصاف هو اعتماد الصحيح من مناهج أكابرهم في التزكية</w:t>
      </w:r>
      <w:r>
        <w:rPr>
          <w:rFonts w:eastAsia="Times New Roman" w:hint="cs"/>
          <w:rtl/>
        </w:rPr>
        <w:t>،</w:t>
      </w:r>
      <w:r w:rsidR="009C32A0">
        <w:rPr>
          <w:rFonts w:eastAsia="Times New Roman" w:hint="cs"/>
          <w:rtl/>
        </w:rPr>
        <w:t xml:space="preserve"> مع إصلاح الأخطاء التي يكون منشؤها من الجهل والخرافة</w:t>
      </w:r>
      <w:r>
        <w:rPr>
          <w:rFonts w:eastAsia="Times New Roman" w:hint="cs"/>
          <w:rtl/>
        </w:rPr>
        <w:t>،</w:t>
      </w:r>
      <w:r w:rsidR="009C32A0">
        <w:rPr>
          <w:rFonts w:eastAsia="Times New Roman" w:hint="cs"/>
          <w:rtl/>
        </w:rPr>
        <w:t xml:space="preserve"> وأخطر ما في هذه الفرقة أنّ آثارها السيّئة</w:t>
      </w:r>
      <w:r>
        <w:rPr>
          <w:rFonts w:eastAsia="Times New Roman" w:hint="cs"/>
          <w:rtl/>
        </w:rPr>
        <w:t>،</w:t>
      </w:r>
      <w:r w:rsidR="009C32A0">
        <w:rPr>
          <w:rFonts w:eastAsia="Times New Roman" w:hint="cs"/>
          <w:rtl/>
        </w:rPr>
        <w:t xml:space="preserve"> كانت ولا زالت تهدم تخصصات الإسلام</w:t>
      </w:r>
      <w:r>
        <w:rPr>
          <w:rFonts w:eastAsia="Times New Roman" w:hint="cs"/>
          <w:rtl/>
        </w:rPr>
        <w:t>،</w:t>
      </w:r>
      <w:r w:rsidR="009C32A0">
        <w:rPr>
          <w:rFonts w:eastAsia="Times New Roman" w:hint="cs"/>
          <w:rtl/>
        </w:rPr>
        <w:t xml:space="preserve"> وتنخرُ القلاع العلمية الحصينة</w:t>
      </w:r>
      <w:r>
        <w:rPr>
          <w:rFonts w:eastAsia="Times New Roman" w:hint="cs"/>
          <w:rtl/>
        </w:rPr>
        <w:t>،</w:t>
      </w:r>
      <w:r w:rsidR="009C32A0">
        <w:rPr>
          <w:rFonts w:eastAsia="Times New Roman" w:hint="cs"/>
          <w:rtl/>
        </w:rPr>
        <w:t xml:space="preserve"> التي أسّسها الاسلام</w:t>
      </w:r>
      <w:r>
        <w:rPr>
          <w:rFonts w:eastAsia="Times New Roman" w:hint="cs"/>
          <w:rtl/>
        </w:rPr>
        <w:t>،</w:t>
      </w:r>
      <w:r w:rsidR="009C32A0">
        <w:rPr>
          <w:rFonts w:eastAsia="Times New Roman" w:hint="cs"/>
          <w:rtl/>
        </w:rPr>
        <w:t xml:space="preserve"> وبناها علماء المسلمين طوال القرون</w:t>
      </w:r>
      <w:r>
        <w:rPr>
          <w:rFonts w:eastAsia="Times New Roman" w:hint="cs"/>
          <w:rtl/>
        </w:rPr>
        <w:t>،</w:t>
      </w:r>
      <w:r w:rsidR="009C32A0">
        <w:rPr>
          <w:rFonts w:eastAsia="Times New Roman" w:hint="cs"/>
          <w:rtl/>
        </w:rPr>
        <w:t xml:space="preserve"> ولذلك فهم من شر الفرق</w:t>
      </w:r>
      <w:r>
        <w:rPr>
          <w:rFonts w:eastAsia="Times New Roman" w:hint="cs"/>
          <w:rtl/>
        </w:rPr>
        <w:t>،</w:t>
      </w:r>
      <w:r w:rsidR="009C32A0">
        <w:rPr>
          <w:rFonts w:eastAsia="Times New Roman" w:hint="cs"/>
          <w:rtl/>
        </w:rPr>
        <w:t xml:space="preserve"> وذلك لأنّهم يتدثرون بلباس السلف</w:t>
      </w:r>
      <w:r>
        <w:rPr>
          <w:rFonts w:eastAsia="Times New Roman" w:hint="cs"/>
          <w:rtl/>
        </w:rPr>
        <w:t>،</w:t>
      </w:r>
      <w:r w:rsidR="009C32A0">
        <w:rPr>
          <w:rFonts w:eastAsia="Times New Roman" w:hint="cs"/>
          <w:rtl/>
        </w:rPr>
        <w:t xml:space="preserve"> ويهدمون بمعاولهم دين الإسلام بزعم اتباع الكتاب والسنّة وباسم السلف</w:t>
      </w:r>
      <w:r>
        <w:rPr>
          <w:rFonts w:eastAsia="Times New Roman" w:hint="cs"/>
          <w:rtl/>
        </w:rPr>
        <w:t>،</w:t>
      </w:r>
    </w:p>
    <w:p w14:paraId="31D3BF9B" w14:textId="7CCC0E32" w:rsidR="009C32A0" w:rsidRDefault="000636C2" w:rsidP="000636C2">
      <w:pPr>
        <w:ind w:left="-58"/>
        <w:rPr>
          <w:b/>
          <w:rtl/>
        </w:rPr>
      </w:pPr>
      <w:r>
        <w:rPr>
          <w:rFonts w:eastAsia="Times New Roman" w:hint="cs"/>
          <w:bCs/>
          <w:rtl/>
        </w:rPr>
        <w:t>(</w:t>
      </w:r>
      <w:r w:rsidR="009C32A0">
        <w:rPr>
          <w:rFonts w:eastAsia="Times New Roman" w:hint="cs"/>
          <w:bCs/>
          <w:rtl/>
        </w:rPr>
        <w:t>3</w:t>
      </w:r>
      <w:r>
        <w:rPr>
          <w:rFonts w:eastAsia="Times New Roman" w:hint="cs"/>
          <w:bCs/>
          <w:rtl/>
        </w:rPr>
        <w:t xml:space="preserve">) </w:t>
      </w:r>
      <w:r w:rsidR="009C32A0">
        <w:rPr>
          <w:rFonts w:eastAsia="Times New Roman" w:hint="cs"/>
          <w:bCs/>
          <w:rtl/>
        </w:rPr>
        <w:t>لماذا سماهم أهل العلم بالحشوية</w:t>
      </w:r>
      <w:r>
        <w:rPr>
          <w:rFonts w:eastAsia="Times New Roman" w:hint="cs"/>
          <w:rtl/>
        </w:rPr>
        <w:t xml:space="preserve">: </w:t>
      </w:r>
      <w:r>
        <w:rPr>
          <w:rFonts w:hint="cs"/>
          <w:rtl/>
        </w:rPr>
        <w:t>(</w:t>
      </w:r>
      <w:r w:rsidR="009C32A0">
        <w:rPr>
          <w:rFonts w:hint="cs"/>
          <w:rtl/>
        </w:rPr>
        <w:t>أ</w:t>
      </w:r>
      <w:r>
        <w:rPr>
          <w:rFonts w:hint="cs"/>
          <w:rtl/>
        </w:rPr>
        <w:t xml:space="preserve">) </w:t>
      </w:r>
      <w:r w:rsidR="009C32A0">
        <w:rPr>
          <w:rFonts w:hint="cs"/>
          <w:rtl/>
        </w:rPr>
        <w:t>لأنّهم يحشون الأحاديث الموضوعة والواهية والضعيفة</w:t>
      </w:r>
      <w:r>
        <w:rPr>
          <w:rFonts w:hint="cs"/>
          <w:rtl/>
        </w:rPr>
        <w:t>،</w:t>
      </w:r>
      <w:r w:rsidR="009C32A0">
        <w:rPr>
          <w:rFonts w:hint="cs"/>
          <w:rtl/>
        </w:rPr>
        <w:t xml:space="preserve"> في أبواب العقيدة وما يتعلق بذات الله تعالى وصفاته</w:t>
      </w:r>
      <w:r>
        <w:rPr>
          <w:rFonts w:hint="cs"/>
          <w:rtl/>
        </w:rPr>
        <w:t>،</w:t>
      </w:r>
      <w:r w:rsidR="009C32A0">
        <w:rPr>
          <w:rFonts w:hint="cs"/>
          <w:rtl/>
        </w:rPr>
        <w:t xml:space="preserve"> ويقبلونها ويستنبطون منها الوحل والتجسيم والتشبيه والتمثيل ثم يلوكون السنتهم بعد الخوض فيها بقولهم بلا كيف</w:t>
      </w:r>
      <w:r>
        <w:rPr>
          <w:rFonts w:hint="cs"/>
          <w:rtl/>
        </w:rPr>
        <w:t>،</w:t>
      </w:r>
      <w:r w:rsidR="009C32A0">
        <w:rPr>
          <w:rFonts w:hint="cs"/>
          <w:rtl/>
        </w:rPr>
        <w:t xml:space="preserve"> </w:t>
      </w:r>
      <w:r>
        <w:rPr>
          <w:rFonts w:hint="cs"/>
          <w:rtl/>
        </w:rPr>
        <w:t>(</w:t>
      </w:r>
      <w:r w:rsidR="009C32A0">
        <w:rPr>
          <w:rFonts w:hint="cs"/>
          <w:rtl/>
        </w:rPr>
        <w:t>ب</w:t>
      </w:r>
      <w:r>
        <w:rPr>
          <w:rFonts w:hint="cs"/>
          <w:rtl/>
        </w:rPr>
        <w:t xml:space="preserve">) </w:t>
      </w:r>
      <w:r w:rsidR="009C32A0">
        <w:rPr>
          <w:rFonts w:hint="cs"/>
          <w:rtl/>
        </w:rPr>
        <w:t>لأنّهم يحشون عقائدهم بالمستحيلات العقلية</w:t>
      </w:r>
      <w:r>
        <w:rPr>
          <w:rFonts w:hint="cs"/>
          <w:rtl/>
        </w:rPr>
        <w:t>،</w:t>
      </w:r>
      <w:r w:rsidR="009C32A0">
        <w:rPr>
          <w:rFonts w:hint="cs"/>
          <w:rtl/>
        </w:rPr>
        <w:t xml:space="preserve"> وبكل ما يخالف صريح العقل</w:t>
      </w:r>
      <w:r>
        <w:rPr>
          <w:rFonts w:hint="cs"/>
          <w:rtl/>
        </w:rPr>
        <w:t>،</w:t>
      </w:r>
      <w:r w:rsidR="009C32A0">
        <w:rPr>
          <w:rFonts w:hint="cs"/>
          <w:rtl/>
        </w:rPr>
        <w:t xml:space="preserve"> وهم أبعد الناس عن العقل</w:t>
      </w:r>
      <w:r>
        <w:rPr>
          <w:rFonts w:hint="cs"/>
          <w:rtl/>
        </w:rPr>
        <w:t>،</w:t>
      </w:r>
      <w:r w:rsidR="009C32A0">
        <w:rPr>
          <w:rFonts w:hint="cs"/>
          <w:rtl/>
        </w:rPr>
        <w:t xml:space="preserve"> فالشيعة على بدعهم</w:t>
      </w:r>
      <w:r>
        <w:rPr>
          <w:rFonts w:hint="cs"/>
          <w:rtl/>
        </w:rPr>
        <w:t>،</w:t>
      </w:r>
      <w:r w:rsidR="009C32A0">
        <w:rPr>
          <w:rFonts w:hint="cs"/>
          <w:rtl/>
        </w:rPr>
        <w:t xml:space="preserve"> والخوارج على طوامهم يستحون من وصف الله تعالى بما يصفه به هؤلاء الأجلاف السفهاء</w:t>
      </w:r>
      <w:r>
        <w:rPr>
          <w:rFonts w:hint="cs"/>
          <w:rtl/>
        </w:rPr>
        <w:t>،</w:t>
      </w:r>
      <w:r w:rsidR="009C32A0">
        <w:rPr>
          <w:rFonts w:hint="cs"/>
          <w:rtl/>
        </w:rPr>
        <w:t xml:space="preserve"> من</w:t>
      </w:r>
      <w:r>
        <w:rPr>
          <w:rFonts w:hint="cs"/>
          <w:rtl/>
        </w:rPr>
        <w:t xml:space="preserve"> </w:t>
      </w:r>
      <w:r w:rsidR="009C32A0">
        <w:rPr>
          <w:rFonts w:hint="cs"/>
          <w:rtl/>
        </w:rPr>
        <w:t>نسبة الجوارح والأجزاء والأبعاض إلى الله تعالى</w:t>
      </w:r>
      <w:r>
        <w:rPr>
          <w:rFonts w:hint="cs"/>
          <w:rtl/>
        </w:rPr>
        <w:t>،</w:t>
      </w:r>
      <w:r w:rsidR="009C32A0">
        <w:rPr>
          <w:rFonts w:hint="cs"/>
          <w:rtl/>
        </w:rPr>
        <w:t xml:space="preserve"> ونسبة الحد والمقدار إلى ذات الله تعالى</w:t>
      </w:r>
      <w:r>
        <w:rPr>
          <w:rFonts w:hint="cs"/>
          <w:rtl/>
        </w:rPr>
        <w:t>،</w:t>
      </w:r>
      <w:r w:rsidR="009C32A0">
        <w:rPr>
          <w:rFonts w:hint="cs"/>
          <w:rtl/>
        </w:rPr>
        <w:t xml:space="preserve"> ولو عقلوا أنّ المحدود لا يكون إلهاً لما تفوهوا بهذا الجرم</w:t>
      </w:r>
      <w:r>
        <w:rPr>
          <w:rFonts w:hint="cs"/>
          <w:rtl/>
        </w:rPr>
        <w:t>،</w:t>
      </w:r>
      <w:r w:rsidR="009C32A0">
        <w:rPr>
          <w:rFonts w:hint="cs"/>
          <w:rtl/>
        </w:rPr>
        <w:t xml:space="preserve"> ويجيزون عليه سبحانه الكون في المكان والحركة والسكون والجلوس والقيام والقعود</w:t>
      </w:r>
      <w:r>
        <w:rPr>
          <w:rFonts w:hint="cs"/>
          <w:rtl/>
        </w:rPr>
        <w:t>،</w:t>
      </w:r>
      <w:r w:rsidR="009C32A0">
        <w:rPr>
          <w:rFonts w:hint="cs"/>
          <w:rtl/>
        </w:rPr>
        <w:t xml:space="preserve"> ويجيزون أنّ تكون ذاته سبحانه محلاً للحوادث</w:t>
      </w:r>
      <w:r>
        <w:rPr>
          <w:rFonts w:hint="cs"/>
          <w:rtl/>
        </w:rPr>
        <w:t>،</w:t>
      </w:r>
      <w:r w:rsidR="009C32A0">
        <w:rPr>
          <w:rFonts w:hint="cs"/>
          <w:rtl/>
        </w:rPr>
        <w:t xml:space="preserve"> يتكلمون في ذات الله تعالى بالمحسوس الذي يحسونه</w:t>
      </w:r>
      <w:r>
        <w:rPr>
          <w:rFonts w:hint="cs"/>
          <w:rtl/>
        </w:rPr>
        <w:t>،</w:t>
      </w:r>
      <w:r w:rsidR="009C32A0">
        <w:rPr>
          <w:rFonts w:hint="cs"/>
          <w:rtl/>
        </w:rPr>
        <w:t xml:space="preserve"> ويخلطون ما بين المحسوس والمعقول ولا يفرقون بينهما</w:t>
      </w:r>
      <w:r>
        <w:rPr>
          <w:rFonts w:hint="cs"/>
          <w:rtl/>
        </w:rPr>
        <w:t>، (</w:t>
      </w:r>
      <w:r w:rsidR="009C32A0">
        <w:rPr>
          <w:rFonts w:hint="cs"/>
          <w:rtl/>
        </w:rPr>
        <w:t>ت</w:t>
      </w:r>
      <w:r>
        <w:rPr>
          <w:rFonts w:hint="cs"/>
          <w:rtl/>
        </w:rPr>
        <w:t xml:space="preserve">) </w:t>
      </w:r>
      <w:r w:rsidR="009C32A0">
        <w:rPr>
          <w:rFonts w:hint="cs"/>
          <w:rtl/>
        </w:rPr>
        <w:t>لأنّهم يحشون عقولهم بالمتناقضات</w:t>
      </w:r>
      <w:r>
        <w:rPr>
          <w:rFonts w:hint="cs"/>
          <w:rtl/>
        </w:rPr>
        <w:t xml:space="preserve">: </w:t>
      </w:r>
      <w:r w:rsidR="009C32A0">
        <w:rPr>
          <w:rFonts w:hint="cs"/>
          <w:rtl/>
        </w:rPr>
        <w:t>لأنّهم أهل التناقض</w:t>
      </w:r>
      <w:r>
        <w:rPr>
          <w:rFonts w:hint="cs"/>
          <w:rtl/>
        </w:rPr>
        <w:t>،</w:t>
      </w:r>
      <w:r w:rsidR="009C32A0">
        <w:rPr>
          <w:rFonts w:hint="cs"/>
          <w:rtl/>
        </w:rPr>
        <w:t xml:space="preserve"> فهم يبدعون المؤولة</w:t>
      </w:r>
      <w:r>
        <w:rPr>
          <w:rFonts w:hint="cs"/>
          <w:rtl/>
        </w:rPr>
        <w:t>،</w:t>
      </w:r>
      <w:r w:rsidR="009C32A0">
        <w:rPr>
          <w:rFonts w:hint="cs"/>
          <w:rtl/>
        </w:rPr>
        <w:t xml:space="preserve"> ثم يتأولون</w:t>
      </w:r>
      <w:r>
        <w:rPr>
          <w:rFonts w:hint="cs"/>
          <w:rtl/>
        </w:rPr>
        <w:t xml:space="preserve"> </w:t>
      </w:r>
      <w:r w:rsidR="009C32A0">
        <w:rPr>
          <w:rFonts w:hint="cs"/>
          <w:rtl/>
        </w:rPr>
        <w:t>القرب والمعية والإحاطة بالعلم والسمع والبصر</w:t>
      </w:r>
      <w:r>
        <w:rPr>
          <w:rFonts w:hint="cs"/>
          <w:rtl/>
        </w:rPr>
        <w:t>،</w:t>
      </w:r>
      <w:r w:rsidR="009C32A0">
        <w:rPr>
          <w:rFonts w:hint="cs"/>
          <w:rtl/>
        </w:rPr>
        <w:t xml:space="preserve"> ولا يتأولون العلو بعلو المكانة</w:t>
      </w:r>
      <w:r>
        <w:rPr>
          <w:rFonts w:hint="cs"/>
          <w:rtl/>
        </w:rPr>
        <w:t>،</w:t>
      </w:r>
      <w:r w:rsidR="009C32A0">
        <w:rPr>
          <w:rFonts w:hint="cs"/>
          <w:rtl/>
        </w:rPr>
        <w:t xml:space="preserve"> ولا الاستواء بالهيمنة والتدبير والربوبية</w:t>
      </w:r>
      <w:r>
        <w:rPr>
          <w:rFonts w:hint="cs"/>
          <w:rtl/>
        </w:rPr>
        <w:t>،</w:t>
      </w:r>
      <w:r w:rsidR="009C32A0">
        <w:rPr>
          <w:rFonts w:hint="cs"/>
          <w:rtl/>
        </w:rPr>
        <w:t xml:space="preserve"> مع أنّ المنهج العلمي القويم يحتم إما تأويل الجميع أو اعتقاد الجميع</w:t>
      </w:r>
      <w:r>
        <w:rPr>
          <w:rFonts w:hint="cs"/>
          <w:rtl/>
        </w:rPr>
        <w:t>،</w:t>
      </w:r>
      <w:r w:rsidR="009C32A0">
        <w:rPr>
          <w:rFonts w:hint="cs"/>
          <w:rtl/>
        </w:rPr>
        <w:t xml:space="preserve"> لا فرق بين هذا وهذا إلا في أسقامهم التي كيفت وجود الله من حيث لا تشعر بوجود الملك في مملكته</w:t>
      </w:r>
      <w:r>
        <w:rPr>
          <w:rFonts w:hint="cs"/>
          <w:rtl/>
        </w:rPr>
        <w:t>،</w:t>
      </w:r>
      <w:r w:rsidR="009C32A0">
        <w:rPr>
          <w:rFonts w:hint="cs"/>
          <w:rtl/>
        </w:rPr>
        <w:t xml:space="preserve"> ولا بد له من مكان يدير منه أمر المملكة</w:t>
      </w:r>
      <w:r>
        <w:rPr>
          <w:rFonts w:hint="cs"/>
          <w:rtl/>
        </w:rPr>
        <w:t>،</w:t>
      </w:r>
      <w:r w:rsidR="009C32A0">
        <w:rPr>
          <w:rFonts w:hint="cs"/>
          <w:rtl/>
        </w:rPr>
        <w:t xml:space="preserve"> وهذا </w:t>
      </w:r>
      <w:r w:rsidR="009C32A0">
        <w:rPr>
          <w:rFonts w:hint="cs"/>
          <w:rtl/>
        </w:rPr>
        <w:lastRenderedPageBreak/>
        <w:t>المكان هو العرش على ظنهم</w:t>
      </w:r>
      <w:r>
        <w:rPr>
          <w:rFonts w:hint="cs"/>
          <w:rtl/>
        </w:rPr>
        <w:t>،</w:t>
      </w:r>
      <w:r w:rsidR="009C32A0">
        <w:rPr>
          <w:rFonts w:hint="cs"/>
          <w:rtl/>
        </w:rPr>
        <w:t xml:space="preserve"> وأنّه بذاته فوق عرشه</w:t>
      </w:r>
      <w:r>
        <w:rPr>
          <w:rFonts w:hint="cs"/>
          <w:rtl/>
        </w:rPr>
        <w:t>،</w:t>
      </w:r>
      <w:r w:rsidR="009C32A0">
        <w:rPr>
          <w:rFonts w:hint="cs"/>
          <w:rtl/>
        </w:rPr>
        <w:t xml:space="preserve"> فأتو بلفظ </w:t>
      </w:r>
      <w:r>
        <w:rPr>
          <w:rFonts w:hint="cs"/>
          <w:rtl/>
        </w:rPr>
        <w:t>(</w:t>
      </w:r>
      <w:r w:rsidR="009C32A0">
        <w:rPr>
          <w:rFonts w:hint="cs"/>
          <w:rtl/>
        </w:rPr>
        <w:t>ذاته</w:t>
      </w:r>
      <w:r>
        <w:rPr>
          <w:rFonts w:hint="cs"/>
          <w:rtl/>
        </w:rPr>
        <w:t xml:space="preserve">) </w:t>
      </w:r>
      <w:r w:rsidR="009C32A0">
        <w:rPr>
          <w:rFonts w:hint="cs"/>
          <w:rtl/>
        </w:rPr>
        <w:t>من عند أنفسهم</w:t>
      </w:r>
      <w:r>
        <w:rPr>
          <w:rFonts w:hint="cs"/>
          <w:rtl/>
        </w:rPr>
        <w:t>،</w:t>
      </w:r>
      <w:r w:rsidR="009C32A0">
        <w:rPr>
          <w:rFonts w:hint="cs"/>
          <w:rtl/>
        </w:rPr>
        <w:t xml:space="preserve"> وجعلوا الاستواء حسيا</w:t>
      </w:r>
      <w:r>
        <w:rPr>
          <w:rFonts w:hint="cs"/>
          <w:rtl/>
        </w:rPr>
        <w:t>،</w:t>
      </w:r>
      <w:r w:rsidR="009C32A0">
        <w:rPr>
          <w:rFonts w:hint="cs"/>
          <w:rtl/>
        </w:rPr>
        <w:t xml:space="preserve"> مع أنّ الله تعالى ليس كمثله شيء</w:t>
      </w:r>
      <w:r>
        <w:rPr>
          <w:rFonts w:hint="cs"/>
          <w:rtl/>
        </w:rPr>
        <w:t>،</w:t>
      </w:r>
      <w:r w:rsidR="009C32A0">
        <w:rPr>
          <w:rFonts w:hint="cs"/>
          <w:rtl/>
        </w:rPr>
        <w:t xml:space="preserve"> وليس كمثل وجوده وجود</w:t>
      </w:r>
      <w:r>
        <w:rPr>
          <w:rFonts w:hint="cs"/>
          <w:rtl/>
        </w:rPr>
        <w:t>،</w:t>
      </w:r>
      <w:r w:rsidR="009C32A0">
        <w:rPr>
          <w:rFonts w:hint="cs"/>
          <w:rtl/>
        </w:rPr>
        <w:t xml:space="preserve"> فلا يحتاج في وجوده ولا في تدبير مملكته إلى مكان ولا عرش</w:t>
      </w:r>
      <w:r>
        <w:rPr>
          <w:rFonts w:hint="cs"/>
          <w:rtl/>
        </w:rPr>
        <w:t>،</w:t>
      </w:r>
      <w:r w:rsidR="009C32A0">
        <w:rPr>
          <w:rFonts w:hint="cs"/>
          <w:rtl/>
        </w:rPr>
        <w:t xml:space="preserve"> وهو رب العرش ورب الكون ورب المكان والزمان</w:t>
      </w:r>
      <w:r>
        <w:rPr>
          <w:rFonts w:hint="cs"/>
          <w:rtl/>
        </w:rPr>
        <w:t>،</w:t>
      </w:r>
      <w:r w:rsidR="009C32A0">
        <w:rPr>
          <w:rFonts w:hint="cs"/>
          <w:rtl/>
        </w:rPr>
        <w:t xml:space="preserve"> والملك والملكوت</w:t>
      </w:r>
      <w:r>
        <w:rPr>
          <w:rFonts w:hint="cs"/>
          <w:rtl/>
        </w:rPr>
        <w:t>،</w:t>
      </w:r>
      <w:r w:rsidR="009C32A0">
        <w:rPr>
          <w:rFonts w:hint="cs"/>
          <w:rtl/>
        </w:rPr>
        <w:t xml:space="preserve"> ومهما كلمتهم في ذلك لا يفهمون</w:t>
      </w:r>
      <w:r>
        <w:rPr>
          <w:rFonts w:hint="cs"/>
          <w:rtl/>
        </w:rPr>
        <w:t>،</w:t>
      </w:r>
      <w:r w:rsidR="009C32A0">
        <w:rPr>
          <w:rFonts w:hint="cs"/>
          <w:rtl/>
        </w:rPr>
        <w:t xml:space="preserve"> ويظنون أنّك تحدثهم عن العدم</w:t>
      </w:r>
      <w:r>
        <w:rPr>
          <w:rFonts w:hint="cs"/>
          <w:rtl/>
        </w:rPr>
        <w:t>،</w:t>
      </w:r>
      <w:r w:rsidR="009C32A0">
        <w:rPr>
          <w:rFonts w:hint="cs"/>
          <w:rtl/>
        </w:rPr>
        <w:t xml:space="preserve"> ويقولون " لا يعقل " وهم لا عقول لهم يظنون المحسوس هو المعقول</w:t>
      </w:r>
      <w:r>
        <w:rPr>
          <w:rFonts w:hint="cs"/>
          <w:rtl/>
        </w:rPr>
        <w:t>،</w:t>
      </w:r>
      <w:r w:rsidR="009C32A0">
        <w:rPr>
          <w:rFonts w:hint="cs"/>
          <w:rtl/>
        </w:rPr>
        <w:t xml:space="preserve"> ولو تواضعوا للعلم لحظات على يد عالم بالأصول لفرقوا بين المحسوس والمعقول</w:t>
      </w:r>
      <w:r>
        <w:rPr>
          <w:rFonts w:hint="cs"/>
          <w:rtl/>
        </w:rPr>
        <w:t>،</w:t>
      </w:r>
      <w:r w:rsidR="009C32A0">
        <w:rPr>
          <w:rFonts w:hint="cs"/>
          <w:rtl/>
        </w:rPr>
        <w:t xml:space="preserve"> ولعلموا أنّ وجود الله معقول وليس محسوس لأنّه سبحانه منزه عن المحسوس لأن جميع ما هو محسوس أمامنا مخلوق والله هو خالق المخلوق تنزه عن مشابهة المحسوسات</w:t>
      </w:r>
      <w:r>
        <w:rPr>
          <w:rFonts w:hint="cs"/>
          <w:rtl/>
        </w:rPr>
        <w:t>،</w:t>
      </w:r>
      <w:r w:rsidR="009C32A0">
        <w:rPr>
          <w:rFonts w:hint="cs"/>
          <w:rtl/>
        </w:rPr>
        <w:t xml:space="preserve"> </w:t>
      </w:r>
      <w:r>
        <w:rPr>
          <w:rFonts w:hint="cs"/>
          <w:rtl/>
        </w:rPr>
        <w:t>(</w:t>
      </w:r>
      <w:r w:rsidR="009C32A0">
        <w:rPr>
          <w:rFonts w:hint="cs"/>
          <w:rtl/>
        </w:rPr>
        <w:t>ث</w:t>
      </w:r>
      <w:r>
        <w:rPr>
          <w:rFonts w:hint="cs"/>
          <w:rtl/>
        </w:rPr>
        <w:t xml:space="preserve">) </w:t>
      </w:r>
      <w:r w:rsidR="009C32A0">
        <w:rPr>
          <w:rFonts w:hint="cs"/>
          <w:rtl/>
        </w:rPr>
        <w:t>لأنّهم يحشون أنفسهم في زمرة أتباع السلف والسلف من زيغ عقائدهم براء</w:t>
      </w:r>
      <w:r>
        <w:rPr>
          <w:rFonts w:hint="cs"/>
          <w:rtl/>
        </w:rPr>
        <w:t>،</w:t>
      </w:r>
      <w:r w:rsidR="009C32A0">
        <w:rPr>
          <w:rFonts w:hint="cs"/>
          <w:rtl/>
        </w:rPr>
        <w:t xml:space="preserve"> وينتسبون إلى الإمام أحمد وهو منهم بريء</w:t>
      </w:r>
      <w:r>
        <w:rPr>
          <w:rFonts w:hint="cs"/>
          <w:rtl/>
        </w:rPr>
        <w:t>،</w:t>
      </w:r>
      <w:r w:rsidR="009C32A0">
        <w:rPr>
          <w:rFonts w:hint="cs"/>
          <w:rtl/>
        </w:rPr>
        <w:t xml:space="preserve"> وهم يحاولون بذلك تبرئة أنفسهم من مغبّة الآراء الباطلة</w:t>
      </w:r>
      <w:r>
        <w:rPr>
          <w:rFonts w:hint="cs"/>
          <w:rtl/>
        </w:rPr>
        <w:t>،</w:t>
      </w:r>
      <w:r w:rsidR="009C32A0">
        <w:rPr>
          <w:rFonts w:hint="cs"/>
          <w:rtl/>
        </w:rPr>
        <w:t xml:space="preserve"> والمخالفة لأدلّة العقل السليم والنقل الصحيح</w:t>
      </w:r>
      <w:r>
        <w:rPr>
          <w:rFonts w:hint="cs"/>
          <w:rtl/>
        </w:rPr>
        <w:t>،</w:t>
      </w:r>
      <w:r w:rsidR="009C32A0">
        <w:rPr>
          <w:rFonts w:hint="cs"/>
          <w:rtl/>
        </w:rPr>
        <w:t xml:space="preserve"> فهم يُسندون جميع أقوالهم إلى غيرهم من الأموات السالفين</w:t>
      </w:r>
      <w:r>
        <w:rPr>
          <w:rFonts w:hint="cs"/>
          <w:rtl/>
        </w:rPr>
        <w:t>،</w:t>
      </w:r>
      <w:r w:rsidR="009C32A0">
        <w:rPr>
          <w:rFonts w:hint="cs"/>
          <w:rtl/>
        </w:rPr>
        <w:t xml:space="preserve"> ويزعمون أنهم أهل الكتاب والسنّة</w:t>
      </w:r>
      <w:r>
        <w:rPr>
          <w:rFonts w:hint="cs"/>
          <w:rtl/>
        </w:rPr>
        <w:t>،</w:t>
      </w:r>
      <w:r w:rsidR="009C32A0">
        <w:rPr>
          <w:rFonts w:hint="cs"/>
          <w:rtl/>
        </w:rPr>
        <w:t xml:space="preserve"> وهم أهل الظاهر والحشو والجفاء</w:t>
      </w:r>
      <w:r>
        <w:rPr>
          <w:rFonts w:hint="cs"/>
          <w:rtl/>
        </w:rPr>
        <w:t>،</w:t>
      </w:r>
      <w:r w:rsidR="009C32A0">
        <w:rPr>
          <w:rFonts w:hint="cs"/>
          <w:rtl/>
        </w:rPr>
        <w:t xml:space="preserve"> أبعد الناس عن فقه الكتاب والسنّة</w:t>
      </w:r>
      <w:r>
        <w:rPr>
          <w:rFonts w:hint="cs"/>
          <w:rtl/>
        </w:rPr>
        <w:t>،</w:t>
      </w:r>
      <w:r w:rsidR="009C32A0">
        <w:rPr>
          <w:rFonts w:hint="cs"/>
          <w:rtl/>
        </w:rPr>
        <w:t xml:space="preserve"> وأبعد الناس عن روح عقائد التقديس والتنزيه التي امتلأت بها أدلة الكتاب والسنّة </w:t>
      </w:r>
    </w:p>
    <w:p w14:paraId="236A6F22" w14:textId="5CBD264F" w:rsidR="009C32A0" w:rsidRDefault="000636C2" w:rsidP="000636C2">
      <w:pPr>
        <w:ind w:left="-58"/>
        <w:rPr>
          <w:b/>
        </w:rPr>
      </w:pPr>
      <w:r>
        <w:rPr>
          <w:rFonts w:hint="cs"/>
          <w:bCs/>
          <w:rtl/>
        </w:rPr>
        <w:t>(</w:t>
      </w:r>
      <w:r w:rsidR="009C32A0">
        <w:rPr>
          <w:rFonts w:hint="cs"/>
          <w:bCs/>
          <w:rtl/>
        </w:rPr>
        <w:t>4</w:t>
      </w:r>
      <w:r>
        <w:rPr>
          <w:rFonts w:hint="cs"/>
          <w:bCs/>
          <w:rtl/>
        </w:rPr>
        <w:t xml:space="preserve">) </w:t>
      </w:r>
      <w:r w:rsidR="009C32A0">
        <w:rPr>
          <w:rFonts w:hint="cs"/>
          <w:bCs/>
          <w:rtl/>
        </w:rPr>
        <w:t>فتن الحشوية التي يثيرونها دائما ضد علماء أهل السنّة والجماعة المتخصصين في العلم</w:t>
      </w:r>
      <w:r>
        <w:rPr>
          <w:rFonts w:hint="cs"/>
          <w:bCs/>
          <w:rtl/>
        </w:rPr>
        <w:t xml:space="preserve">: </w:t>
      </w:r>
      <w:r w:rsidR="009C32A0">
        <w:rPr>
          <w:rFonts w:hint="cs"/>
          <w:rtl/>
        </w:rPr>
        <w:t>حدثت فتن عديدة بسبب تعصب الحشوية على أهل الاختصاص</w:t>
      </w:r>
      <w:r>
        <w:rPr>
          <w:rFonts w:hint="cs"/>
          <w:rtl/>
        </w:rPr>
        <w:t xml:space="preserve">، </w:t>
      </w:r>
      <w:r w:rsidR="009C32A0">
        <w:rPr>
          <w:rFonts w:hint="cs"/>
          <w:rtl/>
        </w:rPr>
        <w:t>وذلك لأنّ الحشوية</w:t>
      </w:r>
      <w:r>
        <w:rPr>
          <w:rFonts w:hint="cs"/>
          <w:rtl/>
        </w:rPr>
        <w:t xml:space="preserve"> </w:t>
      </w:r>
      <w:r w:rsidR="009C32A0">
        <w:rPr>
          <w:rFonts w:hint="cs"/>
          <w:rtl/>
        </w:rPr>
        <w:t>كانت متمسكة بروايات التشبيه والتجسيم</w:t>
      </w:r>
      <w:r>
        <w:rPr>
          <w:rFonts w:hint="cs"/>
          <w:rtl/>
        </w:rPr>
        <w:t>،</w:t>
      </w:r>
      <w:r w:rsidR="009C32A0">
        <w:rPr>
          <w:rFonts w:hint="cs"/>
          <w:rtl/>
        </w:rPr>
        <w:t xml:space="preserve"> ومثبتة للّه سبحانه ما لا تصحّ نسبته إليه</w:t>
      </w:r>
      <w:r>
        <w:rPr>
          <w:rFonts w:hint="cs"/>
          <w:rtl/>
        </w:rPr>
        <w:t>،</w:t>
      </w:r>
      <w:r w:rsidR="009C32A0">
        <w:rPr>
          <w:rFonts w:hint="cs"/>
          <w:rtl/>
        </w:rPr>
        <w:t xml:space="preserve"> علماء الأصول المتخصصون في العقيدة يتبرؤون من تلك البدع</w:t>
      </w:r>
      <w:r>
        <w:rPr>
          <w:rFonts w:hint="cs"/>
          <w:rtl/>
        </w:rPr>
        <w:t>،</w:t>
      </w:r>
      <w:r w:rsidR="009C32A0">
        <w:rPr>
          <w:rFonts w:hint="cs"/>
          <w:rtl/>
        </w:rPr>
        <w:t xml:space="preserve"> ومن هذه الفتن ما حدث في عصر أبي نصر عبد الرحيم بن أبي القاسم عبد الكريم القشيري رئيس الأشاعرة في وقته</w:t>
      </w:r>
      <w:r>
        <w:rPr>
          <w:rFonts w:hint="cs"/>
          <w:rtl/>
        </w:rPr>
        <w:t>،</w:t>
      </w:r>
      <w:r w:rsidR="009C32A0">
        <w:rPr>
          <w:rFonts w:hint="cs"/>
          <w:rtl/>
        </w:rPr>
        <w:t xml:space="preserve"> فقام فطاحل الأشاعرة في عصره</w:t>
      </w:r>
      <w:r>
        <w:rPr>
          <w:rFonts w:hint="cs"/>
          <w:rtl/>
        </w:rPr>
        <w:t>،</w:t>
      </w:r>
      <w:r w:rsidR="009C32A0">
        <w:rPr>
          <w:rFonts w:hint="cs"/>
          <w:rtl/>
        </w:rPr>
        <w:t xml:space="preserve"> تعضيداً ومساندة لشيخهم برفع الشكوى إلى الوزير نظام الملك ممّا تبثه الحشوية المنتسبين إلى الإمام أحمد بن حنبل</w:t>
      </w:r>
      <w:r>
        <w:rPr>
          <w:rFonts w:hint="cs"/>
          <w:rtl/>
        </w:rPr>
        <w:t xml:space="preserve"> </w:t>
      </w:r>
      <w:r w:rsidR="009C32A0">
        <w:rPr>
          <w:rFonts w:hint="cs"/>
          <w:rtl/>
        </w:rPr>
        <w:t>من سموم التشبيه وإلتجسيم</w:t>
      </w:r>
      <w:r>
        <w:rPr>
          <w:rFonts w:hint="cs"/>
          <w:rtl/>
        </w:rPr>
        <w:t>،</w:t>
      </w:r>
      <w:r w:rsidR="009C32A0">
        <w:rPr>
          <w:rFonts w:hint="cs"/>
          <w:rtl/>
        </w:rPr>
        <w:t xml:space="preserve"> وتمت الرسالة بتوقيع كثير من علمائهم التي تبيّن جوهر العقيدة الحشوية في ذلك العصر</w:t>
      </w:r>
      <w:r>
        <w:rPr>
          <w:rFonts w:hint="cs"/>
          <w:rtl/>
        </w:rPr>
        <w:t>،</w:t>
      </w:r>
      <w:r w:rsidR="009C32A0">
        <w:rPr>
          <w:rFonts w:hint="cs"/>
          <w:rtl/>
        </w:rPr>
        <w:t xml:space="preserve"> يقول ابن عساكر</w:t>
      </w:r>
      <w:r>
        <w:rPr>
          <w:rFonts w:hint="cs"/>
          <w:rtl/>
        </w:rPr>
        <w:t xml:space="preserve">: </w:t>
      </w:r>
      <w:r w:rsidR="009C32A0">
        <w:rPr>
          <w:rFonts w:hint="cs"/>
          <w:rtl/>
        </w:rPr>
        <w:t>" وهذه الرسالة بخط بعض أصحاب الإمام أبي نصر عبد الرحيم ابن الأُستاذ القشيري فيها خطوط الأئمّة بتصحيح مقاله وموافقته في اعتقاده على الوجه الذي هو مذكور في هذا الكتاب</w:t>
      </w:r>
      <w:r>
        <w:rPr>
          <w:rFonts w:hint="cs"/>
          <w:rtl/>
        </w:rPr>
        <w:t>،</w:t>
      </w:r>
      <w:r w:rsidR="009C32A0">
        <w:rPr>
          <w:rFonts w:hint="cs"/>
          <w:rtl/>
        </w:rPr>
        <w:t xml:space="preserve"> فأوقفنا عليه شيخنا أبو محمد القاسم وأسمعناه</w:t>
      </w:r>
      <w:r>
        <w:rPr>
          <w:rFonts w:hint="cs"/>
          <w:rtl/>
        </w:rPr>
        <w:t>،</w:t>
      </w:r>
      <w:r w:rsidR="009C32A0">
        <w:rPr>
          <w:rFonts w:hint="cs"/>
          <w:rtl/>
        </w:rPr>
        <w:t xml:space="preserve"> وأمرنا بكتابته</w:t>
      </w:r>
      <w:r>
        <w:rPr>
          <w:rFonts w:hint="cs"/>
          <w:rtl/>
        </w:rPr>
        <w:t>،</w:t>
      </w:r>
      <w:r w:rsidR="009C32A0">
        <w:rPr>
          <w:rFonts w:hint="cs"/>
          <w:rtl/>
        </w:rPr>
        <w:t xml:space="preserve"> فاكتتبناه على ما هو عليه</w:t>
      </w:r>
      <w:r>
        <w:rPr>
          <w:rFonts w:hint="cs"/>
          <w:rtl/>
        </w:rPr>
        <w:t>،</w:t>
      </w:r>
      <w:r w:rsidR="009C32A0">
        <w:rPr>
          <w:rFonts w:hint="cs"/>
          <w:rtl/>
        </w:rPr>
        <w:t xml:space="preserve"> وأثبتناه في هذه الترجمة اللائقة به</w:t>
      </w:r>
      <w:r>
        <w:rPr>
          <w:rFonts w:hint="cs"/>
          <w:rtl/>
        </w:rPr>
        <w:t>،</w:t>
      </w:r>
      <w:r w:rsidR="009C32A0">
        <w:rPr>
          <w:rFonts w:hint="cs"/>
          <w:rtl/>
        </w:rPr>
        <w:t xml:space="preserve"> وقد رفع الإمام أبو إسحاق الشيرازي وأصحابه هذا المحضر إلى نظام الملك منتصرين للشيخ أبي نصر بن القشيري</w:t>
      </w:r>
      <w:r>
        <w:rPr>
          <w:rFonts w:hint="cs"/>
          <w:rtl/>
        </w:rPr>
        <w:t>،</w:t>
      </w:r>
      <w:r w:rsidR="009C32A0">
        <w:rPr>
          <w:rFonts w:hint="cs"/>
          <w:rtl/>
        </w:rPr>
        <w:t xml:space="preserve"> فعاد جواب نظام الملك إلى فخر الدولة وإلى الإمام أبي إسحاق بإنكار ما وقع</w:t>
      </w:r>
      <w:r>
        <w:rPr>
          <w:rFonts w:hint="cs"/>
          <w:rtl/>
        </w:rPr>
        <w:t>،</w:t>
      </w:r>
      <w:r w:rsidR="009C32A0">
        <w:rPr>
          <w:rFonts w:hint="cs"/>
          <w:rtl/>
        </w:rPr>
        <w:t xml:space="preserve"> والتشديد على خصوم ابن القشيري</w:t>
      </w:r>
      <w:r>
        <w:rPr>
          <w:rFonts w:hint="cs"/>
          <w:rtl/>
        </w:rPr>
        <w:t>،</w:t>
      </w:r>
      <w:r w:rsidR="009C32A0">
        <w:rPr>
          <w:rFonts w:hint="cs"/>
          <w:rtl/>
        </w:rPr>
        <w:t xml:space="preserve"> وذلك سنة ٤٦٩</w:t>
      </w:r>
      <w:r>
        <w:rPr>
          <w:rFonts w:hint="cs"/>
          <w:rtl/>
        </w:rPr>
        <w:t>،</w:t>
      </w:r>
      <w:r w:rsidR="009C32A0">
        <w:rPr>
          <w:rFonts w:hint="cs"/>
          <w:rtl/>
        </w:rPr>
        <w:t xml:space="preserve"> وإليك « </w:t>
      </w:r>
      <w:r w:rsidR="009C32A0">
        <w:rPr>
          <w:rFonts w:hint="cs"/>
          <w:rtl/>
        </w:rPr>
        <w:lastRenderedPageBreak/>
        <w:t>المحضر »</w:t>
      </w:r>
      <w:r>
        <w:rPr>
          <w:rFonts w:hint="cs"/>
          <w:rtl/>
        </w:rPr>
        <w:t xml:space="preserve">: </w:t>
      </w:r>
      <w:r w:rsidR="009C32A0">
        <w:rPr>
          <w:rFonts w:hint="cs"/>
          <w:rtl/>
        </w:rPr>
        <w:t>بسم اللّه الرحمن الرحيم يشهد من ثبت اسمه ونسبه وصحّ نهجه ومذهبه واختبر دينه وأمانته من الأئمّة الفقهاء والأماثل العلماء وأهل القرآن والمعدلين الأعيان وكتبوا خطوطهم المعروفة بعباراتهم المألوفة</w:t>
      </w:r>
      <w:r>
        <w:rPr>
          <w:rFonts w:hint="cs"/>
          <w:rtl/>
        </w:rPr>
        <w:t>،</w:t>
      </w:r>
      <w:r w:rsidR="009C32A0">
        <w:rPr>
          <w:rFonts w:hint="cs"/>
          <w:rtl/>
        </w:rPr>
        <w:t xml:space="preserve"> مسارعين إلى أداء الأمانة</w:t>
      </w:r>
      <w:r>
        <w:rPr>
          <w:rFonts w:hint="cs"/>
          <w:rtl/>
        </w:rPr>
        <w:t>،</w:t>
      </w:r>
      <w:r w:rsidR="009C32A0">
        <w:rPr>
          <w:rFonts w:hint="cs"/>
          <w:rtl/>
        </w:rPr>
        <w:t xml:space="preserve"> وتوخّوا في ذلك ما تحظره الديانة مخافة قوله تعالى</w:t>
      </w:r>
      <w:r>
        <w:rPr>
          <w:rFonts w:hint="cs"/>
          <w:rtl/>
        </w:rPr>
        <w:t>: (</w:t>
      </w:r>
      <w:r w:rsidR="009C32A0">
        <w:rPr>
          <w:rFonts w:hint="cs"/>
          <w:rtl/>
        </w:rPr>
        <w:t>وَمَنْ أَظْلم مِمَّن كَتَم شَهادةً عِنْدَهُ مِنَ اللّه</w:t>
      </w:r>
      <w:r>
        <w:rPr>
          <w:rFonts w:hint="cs"/>
          <w:rtl/>
        </w:rPr>
        <w:t xml:space="preserve">) </w:t>
      </w:r>
      <w:r w:rsidR="009C32A0">
        <w:rPr>
          <w:rFonts w:hint="cs"/>
          <w:rtl/>
        </w:rPr>
        <w:t>إنّ جماعة من الحشوية والأوباش الرعاع المتوسمين بالحنبلية أظهروا ببغداد من البدع الفظيعة والمخازي الشنيعة ما لم يتسمح به ملحد فضلاً عن موحّد</w:t>
      </w:r>
      <w:r>
        <w:rPr>
          <w:rFonts w:hint="cs"/>
          <w:rtl/>
        </w:rPr>
        <w:t>،</w:t>
      </w:r>
      <w:r w:rsidR="009C32A0">
        <w:rPr>
          <w:rFonts w:hint="cs"/>
          <w:rtl/>
        </w:rPr>
        <w:t xml:space="preserve"> ولا تجوّز به قادح في أصل الشريعة</w:t>
      </w:r>
      <w:r>
        <w:rPr>
          <w:rFonts w:hint="cs"/>
          <w:rtl/>
        </w:rPr>
        <w:t>،</w:t>
      </w:r>
      <w:r w:rsidR="009C32A0">
        <w:rPr>
          <w:rFonts w:hint="cs"/>
          <w:rtl/>
        </w:rPr>
        <w:t xml:space="preserve"> ولا معطل; ونسبوا كلّ من ينزّه الباري تعالى وجلّ ويقدّسه عن الحلول والزوال</w:t>
      </w:r>
      <w:r>
        <w:rPr>
          <w:rFonts w:hint="cs"/>
          <w:rtl/>
        </w:rPr>
        <w:t>،</w:t>
      </w:r>
      <w:r w:rsidR="009C32A0">
        <w:rPr>
          <w:rFonts w:hint="cs"/>
          <w:rtl/>
        </w:rPr>
        <w:t xml:space="preserve"> ويعظمه عن التغيّر من حال إلى حال</w:t>
      </w:r>
      <w:r>
        <w:rPr>
          <w:rFonts w:hint="cs"/>
          <w:rtl/>
        </w:rPr>
        <w:t>،</w:t>
      </w:r>
      <w:r w:rsidR="009C32A0">
        <w:rPr>
          <w:rFonts w:hint="cs"/>
          <w:rtl/>
        </w:rPr>
        <w:t xml:space="preserve"> وعن حلوله في الحوادث وحدوث الحوادث فيه</w:t>
      </w:r>
      <w:r>
        <w:rPr>
          <w:rFonts w:hint="cs"/>
          <w:rtl/>
        </w:rPr>
        <w:t>،</w:t>
      </w:r>
      <w:r w:rsidR="009C32A0">
        <w:rPr>
          <w:rFonts w:hint="cs"/>
          <w:rtl/>
        </w:rPr>
        <w:t xml:space="preserve"> إلى الكفر والطغيان ومنافاة أهل الحق والإيمان</w:t>
      </w:r>
      <w:r>
        <w:rPr>
          <w:rFonts w:hint="cs"/>
          <w:rtl/>
        </w:rPr>
        <w:t>،</w:t>
      </w:r>
      <w:r w:rsidR="009C32A0">
        <w:rPr>
          <w:rFonts w:hint="cs"/>
          <w:rtl/>
        </w:rPr>
        <w:t xml:space="preserve"> وتناهوا في قذف الأئمّة الماضين</w:t>
      </w:r>
      <w:r>
        <w:rPr>
          <w:rFonts w:hint="cs"/>
          <w:rtl/>
        </w:rPr>
        <w:t>،</w:t>
      </w:r>
      <w:r w:rsidR="009C32A0">
        <w:rPr>
          <w:rFonts w:hint="cs"/>
          <w:rtl/>
        </w:rPr>
        <w:t xml:space="preserve"> وثلب أهل الحقّ وعصابة الدين</w:t>
      </w:r>
      <w:r>
        <w:rPr>
          <w:rFonts w:hint="cs"/>
          <w:rtl/>
        </w:rPr>
        <w:t>،</w:t>
      </w:r>
      <w:r w:rsidR="009C32A0">
        <w:rPr>
          <w:rFonts w:hint="cs"/>
          <w:rtl/>
        </w:rPr>
        <w:t xml:space="preserve"> ولعنهم في الجوامع والمشاهد والمحافل والمساجد والأسواق والطرقات والخلوة</w:t>
      </w:r>
      <w:r>
        <w:rPr>
          <w:rFonts w:hint="cs"/>
          <w:rtl/>
        </w:rPr>
        <w:t>،</w:t>
      </w:r>
      <w:r w:rsidR="009C32A0">
        <w:rPr>
          <w:rFonts w:hint="cs"/>
          <w:rtl/>
        </w:rPr>
        <w:t xml:space="preserve"> والجماعات</w:t>
      </w:r>
      <w:r>
        <w:rPr>
          <w:rFonts w:hint="cs"/>
          <w:rtl/>
        </w:rPr>
        <w:t>،</w:t>
      </w:r>
      <w:r w:rsidR="009C32A0">
        <w:rPr>
          <w:rFonts w:hint="cs"/>
          <w:rtl/>
        </w:rPr>
        <w:t xml:space="preserve"> ثمّ غرّهم الطمع والإهمال</w:t>
      </w:r>
      <w:r>
        <w:rPr>
          <w:rFonts w:hint="cs"/>
          <w:rtl/>
        </w:rPr>
        <w:t>،</w:t>
      </w:r>
      <w:r w:rsidR="009C32A0">
        <w:rPr>
          <w:rFonts w:hint="cs"/>
          <w:rtl/>
        </w:rPr>
        <w:t xml:space="preserve"> ومدّهم في طغيانهم الغي والضلال إلى الطعن فيمن يعتضد به أئمّة الهدى وهو للشريعة العروة الوثقى</w:t>
      </w:r>
      <w:r>
        <w:rPr>
          <w:rFonts w:hint="cs"/>
          <w:rtl/>
        </w:rPr>
        <w:t>،</w:t>
      </w:r>
      <w:r w:rsidR="009C32A0">
        <w:rPr>
          <w:rFonts w:hint="cs"/>
          <w:rtl/>
        </w:rPr>
        <w:t xml:space="preserve"> وجعلوا أفعاله الدينية معاصي دنية</w:t>
      </w:r>
      <w:r>
        <w:rPr>
          <w:rFonts w:hint="cs"/>
          <w:rtl/>
        </w:rPr>
        <w:t>،</w:t>
      </w:r>
      <w:r w:rsidR="009C32A0">
        <w:rPr>
          <w:rFonts w:hint="cs"/>
          <w:rtl/>
        </w:rPr>
        <w:t xml:space="preserve"> وترقّوا من ذلك إلى القدح في الشافعي رحمة اللّه عليه وأصحابه</w:t>
      </w:r>
      <w:r>
        <w:rPr>
          <w:rFonts w:hint="cs"/>
          <w:rtl/>
        </w:rPr>
        <w:t>،</w:t>
      </w:r>
      <w:r w:rsidR="009C32A0">
        <w:rPr>
          <w:rFonts w:hint="cs"/>
          <w:rtl/>
        </w:rPr>
        <w:t xml:space="preserve"> واتفق عود الشيخ الإمام الأوحد أبي نصر ابن الأُستاذ الإمام زين الإسلام أبي القاسم القشيري رحمة اللّه عليه من مكة حرسها اللّه</w:t>
      </w:r>
      <w:r>
        <w:rPr>
          <w:rFonts w:hint="cs"/>
          <w:rtl/>
        </w:rPr>
        <w:t>،</w:t>
      </w:r>
      <w:r w:rsidR="009C32A0">
        <w:rPr>
          <w:rFonts w:hint="cs"/>
          <w:rtl/>
        </w:rPr>
        <w:t xml:space="preserve"> فدعا الناس إلى التوحيد وقدس الباري عن الحوادث والتحديد</w:t>
      </w:r>
      <w:r>
        <w:rPr>
          <w:rFonts w:hint="cs"/>
          <w:rtl/>
        </w:rPr>
        <w:t>،</w:t>
      </w:r>
      <w:r w:rsidR="009C32A0">
        <w:rPr>
          <w:rFonts w:hint="cs"/>
          <w:rtl/>
        </w:rPr>
        <w:t xml:space="preserve"> فاستجاب له أهل التحقيق من الصدور الأفاضل السادة الأماثل</w:t>
      </w:r>
      <w:r>
        <w:rPr>
          <w:rFonts w:hint="cs"/>
          <w:rtl/>
        </w:rPr>
        <w:t>،</w:t>
      </w:r>
      <w:r w:rsidR="009C32A0">
        <w:rPr>
          <w:rFonts w:hint="cs"/>
          <w:rtl/>
        </w:rPr>
        <w:t xml:space="preserve"> وتمادت الحشوية في ضلالتها والإصرار على جهالتها وأبوا إلاّ التصريح بأنّ المعبود ذو قدم وأضراس ولهوات وأنامل</w:t>
      </w:r>
      <w:r>
        <w:rPr>
          <w:rFonts w:hint="cs"/>
          <w:rtl/>
        </w:rPr>
        <w:t>،</w:t>
      </w:r>
      <w:r w:rsidR="009C32A0">
        <w:rPr>
          <w:rFonts w:hint="cs"/>
          <w:rtl/>
        </w:rPr>
        <w:t xml:space="preserve"> وأنّه ينزل بذاته ويتردّد على حمار في صورة شاب أمرد بشعر قطط وعليه تاج يلمع وفي رجليه نعلان من ذهب</w:t>
      </w:r>
      <w:r>
        <w:rPr>
          <w:rFonts w:hint="cs"/>
          <w:rtl/>
        </w:rPr>
        <w:t>،</w:t>
      </w:r>
      <w:r w:rsidR="009C32A0">
        <w:rPr>
          <w:rFonts w:hint="cs"/>
          <w:rtl/>
        </w:rPr>
        <w:t xml:space="preserve"> وحفظ ذلك عنهم وعلّلوه ودوّنوه في كتبهم</w:t>
      </w:r>
      <w:r>
        <w:rPr>
          <w:rFonts w:hint="cs"/>
          <w:rtl/>
        </w:rPr>
        <w:t>،</w:t>
      </w:r>
      <w:r w:rsidR="009C32A0">
        <w:rPr>
          <w:rFonts w:hint="cs"/>
          <w:rtl/>
        </w:rPr>
        <w:t xml:space="preserve"> وإلى العوام ألقوه</w:t>
      </w:r>
      <w:r>
        <w:rPr>
          <w:rFonts w:hint="cs"/>
          <w:rtl/>
        </w:rPr>
        <w:t>،</w:t>
      </w:r>
      <w:r w:rsidR="009C32A0">
        <w:rPr>
          <w:rFonts w:hint="cs"/>
          <w:rtl/>
        </w:rPr>
        <w:t xml:space="preserve"> وأنّ هذه الأخبار لا تأويل لها</w:t>
      </w:r>
      <w:r>
        <w:rPr>
          <w:rFonts w:hint="cs"/>
          <w:rtl/>
        </w:rPr>
        <w:t>،</w:t>
      </w:r>
      <w:r w:rsidR="009C32A0">
        <w:rPr>
          <w:rFonts w:hint="cs"/>
          <w:rtl/>
        </w:rPr>
        <w:t xml:space="preserve"> وأنّها تجري على ظواهرها</w:t>
      </w:r>
      <w:r>
        <w:rPr>
          <w:rFonts w:hint="cs"/>
          <w:rtl/>
        </w:rPr>
        <w:t>،</w:t>
      </w:r>
      <w:r w:rsidR="009C32A0">
        <w:rPr>
          <w:rFonts w:hint="cs"/>
          <w:rtl/>
        </w:rPr>
        <w:t xml:space="preserve"> وتعتقد كما ورد لفظها</w:t>
      </w:r>
      <w:r>
        <w:rPr>
          <w:rFonts w:hint="cs"/>
          <w:rtl/>
        </w:rPr>
        <w:t>،</w:t>
      </w:r>
      <w:r w:rsidR="009C32A0">
        <w:rPr>
          <w:rFonts w:hint="cs"/>
          <w:rtl/>
        </w:rPr>
        <w:t xml:space="preserve"> وأنّه تعالى يتكلّم بصوت كالرّعد وكصهيل الخيل</w:t>
      </w:r>
      <w:r>
        <w:rPr>
          <w:rFonts w:hint="cs"/>
          <w:rtl/>
        </w:rPr>
        <w:t>،</w:t>
      </w:r>
      <w:r w:rsidR="009C32A0">
        <w:rPr>
          <w:rFonts w:hint="cs"/>
          <w:rtl/>
        </w:rPr>
        <w:t xml:space="preserve"> وينقمون على أهل الحق لقولهم إنّ اللّه تعالى موصوف بصفات الجلال</w:t>
      </w:r>
      <w:r>
        <w:rPr>
          <w:rFonts w:hint="cs"/>
          <w:rtl/>
        </w:rPr>
        <w:t>،</w:t>
      </w:r>
      <w:r w:rsidR="009C32A0">
        <w:rPr>
          <w:rFonts w:hint="cs"/>
          <w:rtl/>
        </w:rPr>
        <w:t xml:space="preserve"> منعوت بالعلم والقدرة والسمع والبصر والحياة والإرادة والكلام</w:t>
      </w:r>
      <w:r>
        <w:rPr>
          <w:rFonts w:hint="cs"/>
          <w:rtl/>
        </w:rPr>
        <w:t>،</w:t>
      </w:r>
      <w:r w:rsidR="009C32A0">
        <w:rPr>
          <w:rFonts w:hint="cs"/>
          <w:rtl/>
        </w:rPr>
        <w:t xml:space="preserve"> وهذه الصفات قديمة</w:t>
      </w:r>
      <w:r>
        <w:rPr>
          <w:rFonts w:hint="cs"/>
          <w:rtl/>
        </w:rPr>
        <w:t>،</w:t>
      </w:r>
      <w:r w:rsidR="009C32A0">
        <w:rPr>
          <w:rFonts w:hint="cs"/>
          <w:rtl/>
        </w:rPr>
        <w:t xml:space="preserve"> وإنّه يتعالى عن قبول الحوادث</w:t>
      </w:r>
      <w:r>
        <w:rPr>
          <w:rFonts w:hint="cs"/>
          <w:rtl/>
        </w:rPr>
        <w:t>،</w:t>
      </w:r>
      <w:r w:rsidR="009C32A0">
        <w:rPr>
          <w:rFonts w:hint="cs"/>
          <w:rtl/>
        </w:rPr>
        <w:t xml:space="preserve"> ولا يجوز تشبيه ذاته بذات المخلوقين ولا تشبيه كلامه بكلام المخلوقين</w:t>
      </w:r>
      <w:r>
        <w:rPr>
          <w:rFonts w:hint="cs"/>
          <w:rtl/>
        </w:rPr>
        <w:t>،</w:t>
      </w:r>
      <w:r w:rsidR="009C32A0">
        <w:rPr>
          <w:rFonts w:hint="cs"/>
          <w:rtl/>
        </w:rPr>
        <w:t xml:space="preserve"> ومن المشهور المعلوم</w:t>
      </w:r>
      <w:r>
        <w:rPr>
          <w:rFonts w:hint="cs"/>
          <w:rtl/>
        </w:rPr>
        <w:t xml:space="preserve">: </w:t>
      </w:r>
      <w:r w:rsidR="009C32A0">
        <w:rPr>
          <w:rFonts w:hint="cs"/>
          <w:rtl/>
        </w:rPr>
        <w:t>أنّ الأئمّة الفقهاء على اختلاف مذاهبهم في الفروع كانوا يصرّحون بهذا الاعتقاد ويدرسونه ظاهراً مكشوفاً لأصحابهم ومن هاجر من البلاد إليهم ولم يتجاسر أحد على إنكاره ولا تجوز متجوّز بالرد عليهم دون القدح والطعن فيهم</w:t>
      </w:r>
      <w:r>
        <w:rPr>
          <w:rFonts w:hint="cs"/>
          <w:rtl/>
        </w:rPr>
        <w:t>،</w:t>
      </w:r>
      <w:r w:rsidR="009C32A0">
        <w:rPr>
          <w:rFonts w:hint="cs"/>
          <w:rtl/>
        </w:rPr>
        <w:t xml:space="preserve"> وانّ هذه عقيدة أصحاب الشافعي ـ رحمة اللّه عليه ـ يدينون اللّه تعالى بها ويلقونه باعتقادها</w:t>
      </w:r>
      <w:r>
        <w:rPr>
          <w:rFonts w:hint="cs"/>
          <w:rtl/>
        </w:rPr>
        <w:t>،</w:t>
      </w:r>
      <w:r w:rsidR="009C32A0">
        <w:rPr>
          <w:rFonts w:hint="cs"/>
          <w:rtl/>
        </w:rPr>
        <w:t xml:space="preserve"> ويبرأون إليه من سواها من غير شكّ ولا انحراف عنها</w:t>
      </w:r>
      <w:r>
        <w:rPr>
          <w:rFonts w:hint="cs"/>
          <w:rtl/>
        </w:rPr>
        <w:t>،</w:t>
      </w:r>
      <w:r w:rsidR="009C32A0">
        <w:rPr>
          <w:rFonts w:hint="cs"/>
          <w:rtl/>
        </w:rPr>
        <w:t xml:space="preserve"> - إلى أن قال</w:t>
      </w:r>
      <w:r>
        <w:rPr>
          <w:rFonts w:hint="cs"/>
          <w:rtl/>
        </w:rPr>
        <w:t xml:space="preserve">: </w:t>
      </w:r>
      <w:r w:rsidR="009C32A0">
        <w:rPr>
          <w:rFonts w:hint="cs"/>
          <w:rtl/>
        </w:rPr>
        <w:t xml:space="preserve">فخامرهم الحسد وعداوة الجهل وحملهم على </w:t>
      </w:r>
      <w:r w:rsidR="009C32A0">
        <w:rPr>
          <w:rFonts w:hint="cs"/>
          <w:rtl/>
        </w:rPr>
        <w:lastRenderedPageBreak/>
        <w:t>الطعن فيه عدواناً وبهتاناً</w:t>
      </w:r>
      <w:r>
        <w:rPr>
          <w:rFonts w:hint="cs"/>
          <w:rtl/>
        </w:rPr>
        <w:t>،</w:t>
      </w:r>
      <w:r w:rsidR="009C32A0">
        <w:rPr>
          <w:rFonts w:hint="cs"/>
          <w:rtl/>
        </w:rPr>
        <w:t xml:space="preserve"> ثمّ تمادى بهم الجهل إلى اللعن الظاهر للإمام الشافعي ـ قدس اللّه روحه ـ وسائر أصحابه عجماً وعرباً</w:t>
      </w:r>
      <w:r>
        <w:rPr>
          <w:rFonts w:hint="cs"/>
          <w:rtl/>
        </w:rPr>
        <w:t>،</w:t>
      </w:r>
      <w:r w:rsidR="009C32A0">
        <w:rPr>
          <w:rFonts w:hint="cs"/>
          <w:rtl/>
        </w:rPr>
        <w:t xml:space="preserve"> وقائلوا ذلك شرذمة من ناشية أغبياء المجسمة</w:t>
      </w:r>
      <w:r>
        <w:rPr>
          <w:rFonts w:hint="cs"/>
          <w:rtl/>
        </w:rPr>
        <w:t>،</w:t>
      </w:r>
      <w:r w:rsidR="009C32A0">
        <w:rPr>
          <w:rFonts w:hint="cs"/>
          <w:rtl/>
        </w:rPr>
        <w:t xml:space="preserve"> وطائفة من أرذال الحشوية</w:t>
      </w:r>
      <w:r>
        <w:rPr>
          <w:rFonts w:hint="cs"/>
          <w:rtl/>
        </w:rPr>
        <w:t>،</w:t>
      </w:r>
      <w:r w:rsidR="009C32A0">
        <w:rPr>
          <w:rFonts w:hint="cs"/>
          <w:rtl/>
        </w:rPr>
        <w:t xml:space="preserve"> استغنوا من الإسلام بالاسم</w:t>
      </w:r>
      <w:r>
        <w:rPr>
          <w:rFonts w:hint="cs"/>
          <w:rtl/>
        </w:rPr>
        <w:t>،</w:t>
      </w:r>
      <w:r w:rsidR="009C32A0">
        <w:rPr>
          <w:rFonts w:hint="cs"/>
          <w:rtl/>
        </w:rPr>
        <w:t xml:space="preserve"> ومن العلم بالرسم</w:t>
      </w:r>
      <w:r>
        <w:rPr>
          <w:rFonts w:hint="cs"/>
          <w:rtl/>
        </w:rPr>
        <w:t>،</w:t>
      </w:r>
      <w:r w:rsidR="009C32A0">
        <w:rPr>
          <w:rFonts w:hint="cs"/>
          <w:rtl/>
        </w:rPr>
        <w:t xml:space="preserve"> وتبعهم سوقة لا نسب لهم ولا حسب</w:t>
      </w:r>
      <w:r>
        <w:rPr>
          <w:rFonts w:hint="cs"/>
          <w:rtl/>
        </w:rPr>
        <w:t>،</w:t>
      </w:r>
      <w:r w:rsidR="009C32A0">
        <w:rPr>
          <w:rFonts w:hint="cs"/>
          <w:rtl/>
        </w:rPr>
        <w:t xml:space="preserve"> وتظاهرت هذه اللعنة منهم في الأسواق</w:t>
      </w:r>
      <w:r>
        <w:rPr>
          <w:rFonts w:hint="cs"/>
          <w:rtl/>
        </w:rPr>
        <w:t xml:space="preserve"> </w:t>
      </w:r>
      <w:r w:rsidR="009C32A0">
        <w:rPr>
          <w:rFonts w:hint="cs"/>
          <w:rtl/>
        </w:rPr>
        <w:t>- إلى آخر المخطوط المذكور</w:t>
      </w:r>
      <w:r>
        <w:rPr>
          <w:rFonts w:hint="cs"/>
          <w:rtl/>
        </w:rPr>
        <w:t>،</w:t>
      </w:r>
      <w:r w:rsidR="009C32A0">
        <w:rPr>
          <w:rFonts w:hint="cs"/>
          <w:rtl/>
        </w:rPr>
        <w:t xml:space="preserve"> وقد وقع عليه أكابر الفقهاء والأصوليين في زمانه</w:t>
      </w:r>
      <w:r>
        <w:rPr>
          <w:rFonts w:hint="cs"/>
          <w:rtl/>
        </w:rPr>
        <w:t>،</w:t>
      </w:r>
      <w:r w:rsidR="009C32A0">
        <w:rPr>
          <w:rFonts w:hint="cs"/>
          <w:rtl/>
        </w:rPr>
        <w:t xml:space="preserve"> الشيخ الإمام الأوحد أبي نصر عبد الرحيم بن عبد الكريم القشيري</w:t>
      </w:r>
      <w:r>
        <w:rPr>
          <w:rFonts w:hint="cs"/>
          <w:rtl/>
        </w:rPr>
        <w:t>،</w:t>
      </w:r>
      <w:r w:rsidR="009C32A0">
        <w:rPr>
          <w:rFonts w:hint="cs"/>
          <w:rtl/>
        </w:rPr>
        <w:t xml:space="preserve"> و الحسين ابن محمد الطبري</w:t>
      </w:r>
      <w:r>
        <w:rPr>
          <w:rFonts w:hint="cs"/>
          <w:rtl/>
        </w:rPr>
        <w:t>،</w:t>
      </w:r>
      <w:r w:rsidR="009C32A0">
        <w:rPr>
          <w:rFonts w:hint="cs"/>
          <w:rtl/>
        </w:rPr>
        <w:t xml:space="preserve"> و عبيد اللّه بن سلامة الكرخي</w:t>
      </w:r>
      <w:r>
        <w:rPr>
          <w:rFonts w:hint="cs"/>
          <w:rtl/>
        </w:rPr>
        <w:t>،</w:t>
      </w:r>
      <w:r w:rsidR="009C32A0">
        <w:rPr>
          <w:rFonts w:hint="cs"/>
          <w:rtl/>
        </w:rPr>
        <w:t xml:space="preserve"> و سعد اللّه بن محمد الخاطب</w:t>
      </w:r>
      <w:r>
        <w:rPr>
          <w:rFonts w:hint="cs"/>
          <w:rtl/>
        </w:rPr>
        <w:t>،</w:t>
      </w:r>
      <w:r w:rsidR="009C32A0">
        <w:rPr>
          <w:rFonts w:hint="cs"/>
          <w:rtl/>
        </w:rPr>
        <w:t xml:space="preserve"> و الحسين بن أحمد البغدادي</w:t>
      </w:r>
      <w:r>
        <w:rPr>
          <w:rFonts w:hint="cs"/>
          <w:rtl/>
        </w:rPr>
        <w:t>،</w:t>
      </w:r>
      <w:r w:rsidR="009C32A0">
        <w:rPr>
          <w:rFonts w:hint="cs"/>
          <w:rtl/>
        </w:rPr>
        <w:t xml:space="preserve"> وأصحاب الخطوط في هذا المحضر هم كبار أئمّة المذهب الشافعي ببغداد في ذلك العهد</w:t>
      </w:r>
      <w:r>
        <w:rPr>
          <w:rFonts w:hint="cs"/>
          <w:rtl/>
        </w:rPr>
        <w:t>،</w:t>
      </w:r>
      <w:r w:rsidR="009C32A0">
        <w:rPr>
          <w:rFonts w:hint="cs"/>
          <w:rtl/>
        </w:rPr>
        <w:t xml:space="preserve"> فقد ترجمهم محقّق كتاب « تبيين كذب المفترى » في تعليقته على الكتاب</w:t>
      </w:r>
      <w:r>
        <w:rPr>
          <w:rFonts w:hint="cs"/>
          <w:rtl/>
        </w:rPr>
        <w:t>،</w:t>
      </w:r>
      <w:r w:rsidR="009C32A0">
        <w:rPr>
          <w:rFonts w:hint="cs"/>
          <w:rtl/>
        </w:rPr>
        <w:t xml:space="preserve"> ثمّ أضاف</w:t>
      </w:r>
      <w:r>
        <w:rPr>
          <w:rFonts w:hint="cs"/>
          <w:rtl/>
        </w:rPr>
        <w:t xml:space="preserve">: </w:t>
      </w:r>
      <w:r w:rsidR="009C32A0">
        <w:rPr>
          <w:rFonts w:hint="cs"/>
          <w:rtl/>
        </w:rPr>
        <w:t>ولما طفح كيل فتن الحشوية الذين لا يكادون يفقهون حديثاً</w:t>
      </w:r>
      <w:r>
        <w:rPr>
          <w:rFonts w:hint="cs"/>
          <w:rtl/>
        </w:rPr>
        <w:t>،</w:t>
      </w:r>
      <w:r w:rsidR="009C32A0">
        <w:rPr>
          <w:rFonts w:hint="cs"/>
          <w:rtl/>
        </w:rPr>
        <w:t xml:space="preserve"> اضطر أكابر العلماء المعروفون بكمال الهدوء والتؤدة والأناة إلى قمع فتنتهم بالسعي لدى ولي الأمر سعياً حثيثاً</w:t>
      </w:r>
      <w:r>
        <w:rPr>
          <w:rFonts w:hint="cs"/>
          <w:rtl/>
        </w:rPr>
        <w:t>،</w:t>
      </w:r>
      <w:r w:rsidR="009C32A0">
        <w:rPr>
          <w:rFonts w:hint="cs"/>
          <w:rtl/>
        </w:rPr>
        <w:t xml:space="preserve"> ورفع الإمام أبو إسحاق الشيرازي وأصحابه هذا المحضر إلى نظام الملك منتصرين للشيخ أبي نصر ابن القشيري</w:t>
      </w:r>
      <w:r>
        <w:rPr>
          <w:rFonts w:hint="cs"/>
          <w:rtl/>
        </w:rPr>
        <w:t>،</w:t>
      </w:r>
      <w:r w:rsidR="009C32A0">
        <w:rPr>
          <w:rFonts w:hint="cs"/>
          <w:rtl/>
        </w:rPr>
        <w:t xml:space="preserve"> فعاد جواب نظام الملك إلى فخر الدولة وإلى الإمام أبي إسحاق بإنكار ما وقع</w:t>
      </w:r>
      <w:r>
        <w:rPr>
          <w:rFonts w:hint="cs"/>
          <w:rtl/>
        </w:rPr>
        <w:t>،</w:t>
      </w:r>
      <w:r w:rsidR="009C32A0">
        <w:rPr>
          <w:rFonts w:hint="cs"/>
          <w:rtl/>
        </w:rPr>
        <w:t xml:space="preserve"> والتشديد على خصوم ابن القشيري وذلك سنة تسع وستين وأربعمائة</w:t>
      </w:r>
      <w:r>
        <w:rPr>
          <w:rFonts w:hint="cs"/>
          <w:rtl/>
        </w:rPr>
        <w:t>،</w:t>
      </w:r>
      <w:r w:rsidR="009C32A0">
        <w:rPr>
          <w:rFonts w:hint="cs"/>
          <w:rtl/>
        </w:rPr>
        <w:t xml:space="preserve"> فسكن الحال ثمّ أخذ الشريف أبو جعفر بن أبي موسى ـ وهو شيخ الحنابلة إذ ذاك ـ وجماعته يتكلّمون في الشيخ أبي إسحاق ويبلغونه الأذى بألسنتهم</w:t>
      </w:r>
      <w:r>
        <w:rPr>
          <w:rFonts w:hint="cs"/>
          <w:rtl/>
        </w:rPr>
        <w:t>،</w:t>
      </w:r>
      <w:r w:rsidR="009C32A0">
        <w:rPr>
          <w:rFonts w:hint="cs"/>
          <w:rtl/>
        </w:rPr>
        <w:t xml:space="preserve"> فأمر الخليفة بجمعهم والصلح بينهم بعد ما ثارت بينهم فتنة هائلة ذهب فيها نحو من عشرين قتيلاً</w:t>
      </w:r>
      <w:r>
        <w:rPr>
          <w:rFonts w:hint="cs"/>
          <w:rtl/>
        </w:rPr>
        <w:t>،</w:t>
      </w:r>
      <w:r w:rsidR="009C32A0">
        <w:rPr>
          <w:rFonts w:hint="cs"/>
          <w:rtl/>
        </w:rPr>
        <w:t xml:space="preserve"> فلمّا وقع الصلح وسكن الأمر أخذ الحنابلة يشيعون أنّ الشيخ أبا إسحاق تبرأ من مذهب الأشعري</w:t>
      </w:r>
      <w:r>
        <w:rPr>
          <w:rFonts w:hint="cs"/>
          <w:rtl/>
        </w:rPr>
        <w:t>،</w:t>
      </w:r>
      <w:r w:rsidR="009C32A0">
        <w:rPr>
          <w:rFonts w:hint="cs"/>
          <w:rtl/>
        </w:rPr>
        <w:t xml:space="preserve"> فغضب الشيخ لذلك غضباً لم يصل أحد إلى تسكينه حتى كتب إلى نظام الملك يشكو أهل الفتن</w:t>
      </w:r>
      <w:r>
        <w:rPr>
          <w:rFonts w:hint="cs"/>
          <w:rtl/>
        </w:rPr>
        <w:t>،</w:t>
      </w:r>
      <w:r w:rsidR="009C32A0">
        <w:rPr>
          <w:rFonts w:hint="cs"/>
          <w:rtl/>
        </w:rPr>
        <w:t xml:space="preserve"> فعاد الجواب في سنة سبعين وأربعمائة إلى الشيخ باستجلاب خاطره وتعظيمه</w:t>
      </w:r>
      <w:r>
        <w:rPr>
          <w:rFonts w:hint="cs"/>
          <w:rtl/>
        </w:rPr>
        <w:t>،</w:t>
      </w:r>
      <w:r w:rsidR="009C32A0">
        <w:rPr>
          <w:rFonts w:hint="cs"/>
          <w:rtl/>
        </w:rPr>
        <w:t xml:space="preserve"> والأمر بتأديب الذين أثاروا الفتنة وبأن يسجن الشريف أبو جعفر</w:t>
      </w:r>
      <w:r>
        <w:rPr>
          <w:rFonts w:hint="cs"/>
          <w:rtl/>
        </w:rPr>
        <w:t>،</w:t>
      </w:r>
      <w:r w:rsidR="009C32A0">
        <w:rPr>
          <w:rFonts w:hint="cs"/>
          <w:rtl/>
        </w:rPr>
        <w:t xml:space="preserve"> فهدأ الحال وسكن جأش الشيخ وانقمعت الحشوية</w:t>
      </w:r>
      <w:r>
        <w:rPr>
          <w:rFonts w:hint="cs"/>
          <w:rtl/>
        </w:rPr>
        <w:t>،</w:t>
      </w:r>
      <w:r w:rsidR="009C32A0">
        <w:rPr>
          <w:rFonts w:hint="cs"/>
          <w:rtl/>
        </w:rPr>
        <w:t xml:space="preserve"> وتنفّس أهل السنّة الصعداء وإلى اللّه عاقبة الأُمور" أهـ</w:t>
      </w:r>
      <w:r>
        <w:rPr>
          <w:rFonts w:hint="cs"/>
          <w:rtl/>
        </w:rPr>
        <w:t xml:space="preserve"> [</w:t>
      </w:r>
      <w:r w:rsidR="009C32A0">
        <w:rPr>
          <w:rFonts w:hint="cs"/>
          <w:rtl/>
        </w:rPr>
        <w:t>انظر تبيين كذب المفتري لابن عساكر</w:t>
      </w:r>
      <w:r>
        <w:rPr>
          <w:rFonts w:hint="cs"/>
          <w:rtl/>
        </w:rPr>
        <w:t xml:space="preserve">: </w:t>
      </w:r>
      <w:r w:rsidR="009C32A0">
        <w:rPr>
          <w:rFonts w:hint="cs"/>
          <w:rtl/>
        </w:rPr>
        <w:t>ص ٣١٠ إلى ص 322</w:t>
      </w:r>
      <w:r>
        <w:rPr>
          <w:rFonts w:hint="cs"/>
          <w:rtl/>
        </w:rPr>
        <w:t>]،</w:t>
      </w:r>
    </w:p>
    <w:p w14:paraId="45362C50" w14:textId="77777777" w:rsidR="009C32A0" w:rsidRDefault="009C32A0" w:rsidP="000636C2">
      <w:pPr>
        <w:ind w:left="-58"/>
        <w:jc w:val="center"/>
        <w:rPr>
          <w:b/>
          <w:rtl/>
        </w:rPr>
      </w:pPr>
      <w:r>
        <w:rPr>
          <w:rFonts w:hint="cs"/>
          <w:rtl/>
        </w:rPr>
        <w:t xml:space="preserve">**** </w:t>
      </w:r>
    </w:p>
    <w:p w14:paraId="4A4EE569" w14:textId="77777777" w:rsidR="009C32A0" w:rsidRDefault="009C32A0" w:rsidP="000636C2">
      <w:pPr>
        <w:ind w:left="-58"/>
        <w:jc w:val="center"/>
        <w:rPr>
          <w:b/>
          <w:rtl/>
        </w:rPr>
      </w:pPr>
    </w:p>
    <w:p w14:paraId="35823432" w14:textId="68F4A96D" w:rsidR="009C32A0" w:rsidRPr="00C07A88" w:rsidRDefault="000636C2" w:rsidP="00C07A88">
      <w:pPr>
        <w:pStyle w:val="2"/>
        <w:bidi/>
        <w:jc w:val="center"/>
        <w:rPr>
          <w:u w:val="none"/>
          <w:rtl/>
        </w:rPr>
      </w:pPr>
      <w:r w:rsidRPr="00C07A88">
        <w:rPr>
          <w:rFonts w:hint="cs"/>
          <w:u w:val="none"/>
          <w:rtl/>
        </w:rPr>
        <w:lastRenderedPageBreak/>
        <w:t>[</w:t>
      </w:r>
      <w:r w:rsidR="009C32A0" w:rsidRPr="00C07A88">
        <w:rPr>
          <w:rFonts w:hint="cs"/>
          <w:u w:val="none"/>
          <w:rtl/>
        </w:rPr>
        <w:t>ثانياً</w:t>
      </w:r>
      <w:r w:rsidRPr="00C07A88">
        <w:rPr>
          <w:rFonts w:hint="cs"/>
          <w:u w:val="none"/>
          <w:rtl/>
        </w:rPr>
        <w:t>]</w:t>
      </w:r>
      <w:r w:rsidR="00C07A88" w:rsidRPr="00C07A88">
        <w:rPr>
          <w:rFonts w:hint="cs"/>
          <w:u w:val="none"/>
          <w:rtl/>
        </w:rPr>
        <w:t xml:space="preserve"> </w:t>
      </w:r>
      <w:r w:rsidR="009C32A0" w:rsidRPr="00C07A88">
        <w:rPr>
          <w:rFonts w:hint="cs"/>
          <w:u w:val="none"/>
          <w:rtl/>
        </w:rPr>
        <w:t>أخطر مشاكل الحشوية عدم احترام التخصص العلمي لعلوم الإسلام</w:t>
      </w:r>
    </w:p>
    <w:p w14:paraId="65E366C0" w14:textId="77777777" w:rsidR="009C32A0" w:rsidRDefault="009C32A0" w:rsidP="000636C2">
      <w:pPr>
        <w:ind w:left="-58"/>
        <w:rPr>
          <w:bCs/>
          <w:rtl/>
        </w:rPr>
      </w:pPr>
    </w:p>
    <w:p w14:paraId="5FE9B6F4" w14:textId="4D10187A" w:rsidR="009C32A0" w:rsidRDefault="009C32A0" w:rsidP="000636C2">
      <w:pPr>
        <w:ind w:left="-58"/>
        <w:rPr>
          <w:rFonts w:eastAsia="Times New Roman"/>
          <w:b/>
          <w:rtl/>
          <w:lang w:eastAsia="ar-SA" w:bidi="ar-KW"/>
        </w:rPr>
      </w:pPr>
      <w:r>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sidR="000636C2">
        <w:rPr>
          <w:rFonts w:eastAsia="Times New Roman" w:hint="cs"/>
          <w:rtl/>
          <w:lang w:eastAsia="ar-SA" w:bidi="ar-KW"/>
        </w:rPr>
        <w:t>،</w:t>
      </w:r>
      <w:r>
        <w:rPr>
          <w:rFonts w:eastAsia="Times New Roman" w:hint="cs"/>
          <w:rtl/>
          <w:lang w:eastAsia="ar-SA" w:bidi="ar-KW"/>
        </w:rPr>
        <w:t xml:space="preserve"> فظهر المتخصصون في علم القرآن والقراءات والتفسير وكافة علوم القرآن التي </w:t>
      </w:r>
      <w:r>
        <w:rPr>
          <w:rFonts w:eastAsia="MS Mincho" w:hint="cs"/>
          <w:rtl/>
        </w:rPr>
        <w:t>بلغ بها السيوطي ثمانين نوعاً من علوم القرآن في كتابه</w:t>
      </w:r>
      <w:r w:rsidR="000636C2">
        <w:rPr>
          <w:rFonts w:eastAsia="MS Mincho" w:hint="cs"/>
          <w:rtl/>
        </w:rPr>
        <w:t xml:space="preserve">: </w:t>
      </w:r>
      <w:r>
        <w:rPr>
          <w:rFonts w:eastAsia="MS Mincho" w:hint="cs"/>
          <w:rtl/>
        </w:rPr>
        <w:t>الاتقان في علوم القرآن</w:t>
      </w:r>
      <w:r w:rsidR="000636C2">
        <w:rPr>
          <w:rFonts w:eastAsia="MS Mincho" w:hint="cs"/>
          <w:rtl/>
        </w:rPr>
        <w:t>،</w:t>
      </w:r>
      <w:r>
        <w:rPr>
          <w:rFonts w:eastAsia="MS Mincho" w:hint="cs"/>
          <w:rtl/>
        </w:rPr>
        <w:t xml:space="preserve"> </w:t>
      </w:r>
      <w:r>
        <w:rPr>
          <w:rFonts w:eastAsia="Times New Roman" w:hint="cs"/>
          <w:rtl/>
          <w:lang w:eastAsia="ar-SA" w:bidi="ar-KW"/>
        </w:rPr>
        <w:t>وظهر المتخصصون في علم الحديث</w:t>
      </w:r>
      <w:r w:rsidR="000636C2">
        <w:rPr>
          <w:rFonts w:eastAsia="Times New Roman" w:hint="cs"/>
          <w:rtl/>
          <w:lang w:eastAsia="ar-SA" w:bidi="ar-KW"/>
        </w:rPr>
        <w:t>،</w:t>
      </w:r>
      <w:r>
        <w:rPr>
          <w:rFonts w:eastAsia="Times New Roman" w:hint="cs"/>
          <w:rtl/>
          <w:lang w:eastAsia="ar-SA" w:bidi="ar-KW"/>
        </w:rPr>
        <w:t xml:space="preserve"> علم المتن وعلم السند وعلم مصطلح الحديث وعلوم الرجال والجرح والتعديل</w:t>
      </w:r>
      <w:r w:rsidR="000636C2">
        <w:rPr>
          <w:rFonts w:eastAsia="Times New Roman" w:hint="cs"/>
          <w:rtl/>
          <w:lang w:eastAsia="ar-SA" w:bidi="ar-KW"/>
        </w:rPr>
        <w:t>،</w:t>
      </w:r>
      <w:r>
        <w:rPr>
          <w:rFonts w:eastAsia="Times New Roman" w:hint="cs"/>
          <w:rtl/>
          <w:lang w:eastAsia="ar-SA" w:bidi="ar-KW"/>
        </w:rPr>
        <w:t xml:space="preserve"> </w:t>
      </w:r>
      <w:r>
        <w:rPr>
          <w:rFonts w:eastAsia="MS Mincho" w:hint="cs"/>
          <w:rtl/>
        </w:rPr>
        <w:t>وعلم شرح الحديث وبيان معناه</w:t>
      </w:r>
      <w:r w:rsidR="000636C2">
        <w:rPr>
          <w:rFonts w:eastAsia="MS Mincho" w:hint="cs"/>
          <w:rtl/>
        </w:rPr>
        <w:t>،</w:t>
      </w:r>
      <w:r>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sidR="000636C2">
        <w:rPr>
          <w:rFonts w:eastAsia="Times New Roman" w:hint="cs"/>
          <w:rtl/>
          <w:lang w:eastAsia="ar-SA"/>
        </w:rPr>
        <w:t>،</w:t>
      </w:r>
      <w:r>
        <w:rPr>
          <w:rFonts w:eastAsia="Times New Roman" w:hint="cs"/>
          <w:rtl/>
          <w:lang w:eastAsia="ar-SA"/>
        </w:rPr>
        <w:t xml:space="preserve"> </w:t>
      </w:r>
      <w:r>
        <w:rPr>
          <w:rFonts w:eastAsia="Times New Roman" w:hint="cs"/>
          <w:rtl/>
          <w:lang w:eastAsia="ar-SA" w:bidi="ar-KW"/>
        </w:rPr>
        <w:t>وظهر المتخصصون في الفقه</w:t>
      </w:r>
      <w:r w:rsidR="000636C2">
        <w:rPr>
          <w:rFonts w:eastAsia="Times New Roman" w:hint="cs"/>
          <w:rtl/>
          <w:lang w:eastAsia="ar-SA" w:bidi="ar-KW"/>
        </w:rPr>
        <w:t>،</w:t>
      </w:r>
      <w:r>
        <w:rPr>
          <w:rFonts w:eastAsia="Times New Roman" w:hint="cs"/>
          <w:rtl/>
          <w:lang w:eastAsia="ar-SA" w:bidi="ar-KW"/>
        </w:rPr>
        <w:t xml:space="preserve"> </w:t>
      </w:r>
      <w:r>
        <w:rPr>
          <w:rFonts w:hint="cs"/>
          <w:rtl/>
          <w:lang w:bidi="ar-EG"/>
        </w:rPr>
        <w:t>وكان من ثمرة التخصص فيه ظهور الأئمة الأربعة الفقهاء المجتهدين أبو حنيفة ومالك والشافعي وأحمد بن حنبل</w:t>
      </w:r>
      <w:r w:rsidR="000636C2">
        <w:rPr>
          <w:rFonts w:hint="cs"/>
          <w:rtl/>
          <w:lang w:bidi="ar-EG"/>
        </w:rPr>
        <w:t>،</w:t>
      </w:r>
      <w:r>
        <w:rPr>
          <w:rFonts w:hint="cs"/>
          <w:rtl/>
          <w:lang w:bidi="ar-EG"/>
        </w:rPr>
        <w:t xml:space="preserve"> </w:t>
      </w:r>
      <w:r>
        <w:rPr>
          <w:rFonts w:hint="cs"/>
          <w:rtl/>
        </w:rPr>
        <w:t>وقد سميت آراء هؤلاء الأئمة الأربعة ومن ذهب مذهبهم من الأئمة المجتهدين (</w:t>
      </w:r>
      <w:r w:rsidR="000636C2">
        <w:rPr>
          <w:rFonts w:hint="cs"/>
          <w:rtl/>
        </w:rPr>
        <w:t>(</w:t>
      </w:r>
      <w:r>
        <w:rPr>
          <w:rFonts w:hint="cs"/>
          <w:rtl/>
        </w:rPr>
        <w:t>مذاهب</w:t>
      </w:r>
      <w:r w:rsidR="000636C2">
        <w:rPr>
          <w:rFonts w:hint="cs"/>
          <w:rtl/>
        </w:rPr>
        <w:t>)</w:t>
      </w:r>
      <w:r>
        <w:rPr>
          <w:rFonts w:hint="cs"/>
          <w:rtl/>
        </w:rPr>
        <w:t>)</w:t>
      </w:r>
      <w:r w:rsidR="000636C2">
        <w:rPr>
          <w:rFonts w:hint="cs"/>
          <w:rtl/>
        </w:rPr>
        <w:t>،</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w:t>
      </w:r>
      <w:r w:rsidR="000636C2">
        <w:rPr>
          <w:rFonts w:hint="cs"/>
          <w:rtl/>
          <w:lang w:bidi="ar-KW"/>
        </w:rPr>
        <w:t>،</w:t>
      </w:r>
      <w:r>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000636C2">
        <w:rPr>
          <w:rFonts w:hint="cs"/>
          <w:rtl/>
          <w:lang w:bidi="ar-KW"/>
        </w:rPr>
        <w:t>،</w:t>
      </w:r>
      <w:r>
        <w:rPr>
          <w:rFonts w:hint="cs"/>
          <w:rtl/>
          <w:lang w:bidi="ar-KW"/>
        </w:rPr>
        <w:t xml:space="preserve"> وقد خرجت لنا أكثر وأفضل علماء المسلمين على مر عصور الإسلام</w:t>
      </w:r>
      <w:r w:rsidR="000636C2">
        <w:rPr>
          <w:rFonts w:hint="cs"/>
          <w:rtl/>
          <w:lang w:bidi="ar-KW"/>
        </w:rPr>
        <w:t>،</w:t>
      </w:r>
      <w:r>
        <w:rPr>
          <w:rFonts w:hint="cs"/>
          <w:rtl/>
          <w:lang w:bidi="ar-EG"/>
        </w:rPr>
        <w:t>ثم ظهرت الفرق الضالة كالخوارج والشيعة والمعتزلة والمجسمة</w:t>
      </w:r>
      <w:r w:rsidR="000636C2">
        <w:rPr>
          <w:rFonts w:hint="cs"/>
          <w:rtl/>
          <w:lang w:bidi="ar-EG"/>
        </w:rPr>
        <w:t>،</w:t>
      </w:r>
      <w:r>
        <w:rPr>
          <w:rFonts w:hint="cs"/>
          <w:rtl/>
          <w:lang w:bidi="ar-EG"/>
        </w:rPr>
        <w:t xml:space="preserve"> وانتصب لها العلماء بالرد وبيان الحق</w:t>
      </w:r>
      <w:r w:rsidR="000636C2">
        <w:rPr>
          <w:rFonts w:hint="cs"/>
          <w:rtl/>
          <w:lang w:bidi="ar-EG"/>
        </w:rPr>
        <w:t>،</w:t>
      </w:r>
      <w:r>
        <w:rPr>
          <w:rFonts w:hint="cs"/>
          <w:rtl/>
          <w:lang w:bidi="ar-EG"/>
        </w:rPr>
        <w:t xml:space="preserve"> وأكرم الله تعالى الأمة بثلاثة من علماء المسلمين الأكابر</w:t>
      </w:r>
      <w:r w:rsidR="000636C2">
        <w:rPr>
          <w:rFonts w:hint="cs"/>
          <w:rtl/>
          <w:lang w:bidi="ar-EG"/>
        </w:rPr>
        <w:t>،</w:t>
      </w:r>
      <w:r>
        <w:rPr>
          <w:rFonts w:hint="cs"/>
          <w:rtl/>
          <w:lang w:bidi="ar-EG"/>
        </w:rPr>
        <w:t xml:space="preserve"> حملوا لواء الدفاع عن عقيدة المسلمين وبيان عقيدة أهل السنّة والجماعة</w:t>
      </w:r>
      <w:r w:rsidR="000636C2">
        <w:rPr>
          <w:rFonts w:hint="cs"/>
          <w:rtl/>
          <w:lang w:bidi="ar-EG"/>
        </w:rPr>
        <w:t>،</w:t>
      </w:r>
      <w:r>
        <w:rPr>
          <w:rFonts w:hint="cs"/>
          <w:rtl/>
          <w:lang w:bidi="ar-EG"/>
        </w:rPr>
        <w:t xml:space="preserve"> وهم الإمام أحمد ابن حنبل والإمام أبو الحسن الأشعري والإمام أبو منصور الماتريدي</w:t>
      </w:r>
      <w:r w:rsidR="000636C2">
        <w:rPr>
          <w:rFonts w:hint="cs"/>
          <w:rtl/>
          <w:lang w:bidi="ar-EG"/>
        </w:rPr>
        <w:t>،</w:t>
      </w:r>
      <w:r>
        <w:rPr>
          <w:rFonts w:hint="cs"/>
          <w:rtl/>
          <w:lang w:bidi="ar-EG"/>
        </w:rPr>
        <w:t xml:space="preserve"> وبهم اكتملت صورة العقيدة الفذة التي ينبغي أن يحملها كل مسلم</w:t>
      </w:r>
      <w:r w:rsidR="000636C2">
        <w:rPr>
          <w:rFonts w:hint="cs"/>
          <w:rtl/>
          <w:lang w:bidi="ar-EG"/>
        </w:rPr>
        <w:t>،</w:t>
      </w:r>
      <w:r>
        <w:rPr>
          <w:rFonts w:hint="cs"/>
          <w:rtl/>
          <w:lang w:bidi="ar-EG"/>
        </w:rPr>
        <w:t xml:space="preserve"> وبعد ظهور الأئمة الثلاث صار للمسلمين ثلاث مدارس في الأصول لا رابع لها إلا الميل إلى الاعتزال أو التشبيه</w:t>
      </w:r>
      <w:r w:rsidR="000636C2">
        <w:rPr>
          <w:rFonts w:hint="cs"/>
          <w:rtl/>
          <w:lang w:bidi="ar-EG"/>
        </w:rPr>
        <w:t>،</w:t>
      </w:r>
      <w:r>
        <w:rPr>
          <w:rFonts w:hint="cs"/>
          <w:rtl/>
          <w:lang w:bidi="ar-EG"/>
        </w:rPr>
        <w:t xml:space="preserve"> وهي </w:t>
      </w:r>
      <w:r w:rsidR="000636C2">
        <w:rPr>
          <w:rFonts w:hint="cs"/>
          <w:rtl/>
          <w:lang w:bidi="ar-EG"/>
        </w:rPr>
        <w:t>(</w:t>
      </w:r>
      <w:r>
        <w:rPr>
          <w:rFonts w:hint="cs"/>
          <w:rtl/>
          <w:lang w:bidi="ar-EG"/>
        </w:rPr>
        <w:t>المدرسة الأثرية</w:t>
      </w:r>
      <w:r w:rsidR="000636C2">
        <w:rPr>
          <w:rFonts w:hint="cs"/>
          <w:rtl/>
          <w:lang w:bidi="ar-EG"/>
        </w:rPr>
        <w:t xml:space="preserve">) </w:t>
      </w:r>
      <w:r>
        <w:rPr>
          <w:rFonts w:hint="cs"/>
          <w:rtl/>
          <w:lang w:bidi="ar-EG"/>
        </w:rPr>
        <w:t>وعليها الحنابلة إلا من مال إلى الحشو والتجسيم وسوء الادب مع الله تعالى بسبب عدم العلم بقواعد التقديس</w:t>
      </w:r>
      <w:r w:rsidR="000636C2">
        <w:rPr>
          <w:rFonts w:hint="cs"/>
          <w:rtl/>
          <w:lang w:bidi="ar-EG"/>
        </w:rPr>
        <w:t>،</w:t>
      </w:r>
      <w:r>
        <w:rPr>
          <w:rFonts w:hint="cs"/>
          <w:rtl/>
          <w:lang w:bidi="ar-EG"/>
        </w:rPr>
        <w:t xml:space="preserve"> </w:t>
      </w:r>
      <w:r w:rsidR="000636C2">
        <w:rPr>
          <w:rFonts w:hint="cs"/>
          <w:rtl/>
          <w:lang w:bidi="ar-EG"/>
        </w:rPr>
        <w:lastRenderedPageBreak/>
        <w:t>(</w:t>
      </w:r>
      <w:r>
        <w:rPr>
          <w:rFonts w:hint="cs"/>
          <w:rtl/>
          <w:lang w:bidi="ar-EG"/>
        </w:rPr>
        <w:t>والمدرسة الأشعرية</w:t>
      </w:r>
      <w:r w:rsidR="000636C2">
        <w:rPr>
          <w:rFonts w:hint="cs"/>
          <w:rtl/>
          <w:lang w:bidi="ar-EG"/>
        </w:rPr>
        <w:t xml:space="preserve">) </w:t>
      </w:r>
      <w:r>
        <w:rPr>
          <w:rFonts w:hint="cs"/>
          <w:rtl/>
          <w:lang w:bidi="ar-EG"/>
        </w:rPr>
        <w:t>وعليها غالب المالكية والشافعية وهم سواد العلماء المتخصصين في العقيدة على مذهب أهل السنة والجماعة - إلا من مال إلى الحشو أو الاعتزال -</w:t>
      </w:r>
      <w:r w:rsidR="000636C2">
        <w:rPr>
          <w:rFonts w:hint="cs"/>
          <w:rtl/>
          <w:lang w:bidi="ar-EG"/>
        </w:rPr>
        <w:t>،</w:t>
      </w:r>
      <w:r>
        <w:rPr>
          <w:rFonts w:hint="cs"/>
          <w:rtl/>
          <w:lang w:bidi="ar-EG"/>
        </w:rPr>
        <w:t xml:space="preserve"> </w:t>
      </w:r>
      <w:r w:rsidR="000636C2">
        <w:rPr>
          <w:rFonts w:hint="cs"/>
          <w:rtl/>
          <w:lang w:bidi="ar-EG"/>
        </w:rPr>
        <w:t>(</w:t>
      </w:r>
      <w:r>
        <w:rPr>
          <w:rFonts w:hint="cs"/>
          <w:rtl/>
          <w:lang w:bidi="ar-EG"/>
        </w:rPr>
        <w:t>والمدرسة الماتريدية</w:t>
      </w:r>
      <w:r w:rsidR="000636C2">
        <w:rPr>
          <w:rFonts w:hint="cs"/>
          <w:rtl/>
          <w:lang w:bidi="ar-EG"/>
        </w:rPr>
        <w:t xml:space="preserve">) </w:t>
      </w:r>
      <w:r>
        <w:rPr>
          <w:rFonts w:hint="cs"/>
          <w:rtl/>
          <w:lang w:bidi="ar-EG"/>
        </w:rPr>
        <w:t>وعليها غالب الأحناف إلا من مال إلى الحشو أو الاعتزال</w:t>
      </w:r>
      <w:r w:rsidR="000636C2">
        <w:rPr>
          <w:rFonts w:hint="cs"/>
          <w:rtl/>
          <w:lang w:bidi="ar-EG"/>
        </w:rPr>
        <w:t>،</w:t>
      </w:r>
      <w:r>
        <w:rPr>
          <w:rFonts w:hint="cs"/>
          <w:rtl/>
          <w:lang w:bidi="ar-EG"/>
        </w:rPr>
        <w:t xml:space="preserve"> وأُحكم أساس تلك المدارس على يد المتخصصين فيها واتقنت علومها</w:t>
      </w:r>
      <w:r w:rsidR="000636C2">
        <w:rPr>
          <w:rFonts w:hint="cs"/>
          <w:rtl/>
          <w:lang w:bidi="ar-EG"/>
        </w:rPr>
        <w:t>،</w:t>
      </w:r>
      <w:r>
        <w:rPr>
          <w:rFonts w:hint="cs"/>
          <w:rtl/>
          <w:lang w:bidi="ar-EG"/>
        </w:rPr>
        <w:t xml:space="preserve"> وصارت المرجع لكل مسلم يبتغي في العقائد وجه الحق والعدل والإنصاف</w:t>
      </w:r>
      <w:r w:rsidR="000636C2">
        <w:rPr>
          <w:rFonts w:hint="cs"/>
          <w:rtl/>
          <w:lang w:bidi="ar-EG"/>
        </w:rPr>
        <w:t>،</w:t>
      </w:r>
      <w:r>
        <w:rPr>
          <w:rFonts w:hint="cs"/>
          <w:rtl/>
          <w:lang w:bidi="ar-EG"/>
        </w:rPr>
        <w:t xml:space="preserve"> من هاجم مدرسة منهم فاتهمه على عقله أو علمه أو دينه</w:t>
      </w:r>
      <w:r w:rsidR="000636C2">
        <w:rPr>
          <w:rFonts w:hint="cs"/>
          <w:rtl/>
          <w:lang w:bidi="ar-EG"/>
        </w:rPr>
        <w:t>،</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w:t>
      </w:r>
      <w:r w:rsidR="000636C2">
        <w:rPr>
          <w:rFonts w:hint="cs"/>
          <w:rtl/>
          <w:lang w:bidi="ar-EG"/>
        </w:rPr>
        <w:t>،</w:t>
      </w:r>
      <w:r>
        <w:rPr>
          <w:rFonts w:hint="cs"/>
          <w:rtl/>
          <w:lang w:bidi="ar-EG"/>
        </w:rPr>
        <w:t xml:space="preserve"> ثم عندما اتسعت الفتوحات وبدأ ميل المسلمين إلى الدنيا والركون إليها</w:t>
      </w:r>
      <w:r w:rsidR="000636C2">
        <w:rPr>
          <w:rFonts w:hint="cs"/>
          <w:rtl/>
          <w:lang w:bidi="ar-EG"/>
        </w:rPr>
        <w:t>،</w:t>
      </w:r>
      <w:r>
        <w:rPr>
          <w:rFonts w:hint="cs"/>
          <w:rtl/>
          <w:lang w:bidi="ar-EG"/>
        </w:rPr>
        <w:t xml:space="preserve"> </w:t>
      </w:r>
      <w:r>
        <w:rPr>
          <w:rFonts w:hint="cs"/>
          <w:rtl/>
        </w:rPr>
        <w:t xml:space="preserve">مما دعا أرباب الزهد والمعرفة إلى أن يعملوا هُم من ناحيتهم أيضاً على تدوين علم التزكية </w:t>
      </w:r>
      <w:r w:rsidR="000636C2">
        <w:rPr>
          <w:rFonts w:hint="cs"/>
          <w:rtl/>
        </w:rPr>
        <w:t>(</w:t>
      </w:r>
      <w:r>
        <w:rPr>
          <w:rFonts w:hint="cs"/>
          <w:rtl/>
        </w:rPr>
        <w:t>التصوف</w:t>
      </w:r>
      <w:r w:rsidR="000636C2">
        <w:rPr>
          <w:rFonts w:hint="cs"/>
          <w:rtl/>
        </w:rPr>
        <w:t>)،</w:t>
      </w:r>
      <w:r>
        <w:rPr>
          <w:rFonts w:hint="cs"/>
          <w:rtl/>
        </w:rPr>
        <w:t xml:space="preserve"> وإثبات شرفه وجلاله وفضله</w:t>
      </w:r>
      <w:r w:rsidR="000636C2">
        <w:rPr>
          <w:rFonts w:hint="cs"/>
          <w:rtl/>
        </w:rPr>
        <w:t>،</w:t>
      </w:r>
      <w:r>
        <w:rPr>
          <w:rFonts w:hint="cs"/>
          <w:rtl/>
        </w:rPr>
        <w:t xml:space="preserve"> ومن باب سد النقص، واستكمال علوم الدين في جميع نواحي الحياة الإنسانية</w:t>
      </w:r>
      <w:r w:rsidR="000636C2">
        <w:rPr>
          <w:rFonts w:hint="cs"/>
          <w:rtl/>
        </w:rPr>
        <w:t>،</w:t>
      </w:r>
      <w:r>
        <w:rPr>
          <w:rFonts w:hint="cs"/>
          <w:rtl/>
        </w:rPr>
        <w:t xml:space="preserve"> ولما كان المتخصصون في هذا الجانب قد عُرفوا </w:t>
      </w:r>
      <w:r w:rsidR="000636C2">
        <w:rPr>
          <w:rFonts w:hint="cs"/>
          <w:rtl/>
        </w:rPr>
        <w:t>(</w:t>
      </w:r>
      <w:r>
        <w:rPr>
          <w:rFonts w:hint="cs"/>
          <w:rtl/>
        </w:rPr>
        <w:t>بالصوفية</w:t>
      </w:r>
      <w:r w:rsidR="000636C2">
        <w:rPr>
          <w:rFonts w:hint="cs"/>
          <w:rtl/>
        </w:rPr>
        <w:t xml:space="preserve">) </w:t>
      </w:r>
      <w:r>
        <w:rPr>
          <w:rFonts w:hint="cs"/>
          <w:rtl/>
        </w:rPr>
        <w:t>فلا مشاحة في الاصطلاح</w:t>
      </w:r>
      <w:r w:rsidR="000636C2">
        <w:rPr>
          <w:rFonts w:hint="cs"/>
          <w:rtl/>
        </w:rPr>
        <w:t>،</w:t>
      </w:r>
      <w:r>
        <w:rPr>
          <w:rFonts w:hint="cs"/>
          <w:rtl/>
        </w:rPr>
        <w:t xml:space="preserve"> والمهم المضمون في هذا الباب</w:t>
      </w:r>
      <w:r w:rsidR="000636C2">
        <w:rPr>
          <w:rFonts w:hint="cs"/>
          <w:rtl/>
        </w:rPr>
        <w:t>،</w:t>
      </w:r>
      <w:r>
        <w:rPr>
          <w:rFonts w:hint="cs"/>
          <w:rtl/>
        </w:rPr>
        <w:t xml:space="preserve"> وهو أنّ التصوف الصحيح قد تكفل بعلم بتزكية الباطن</w:t>
      </w:r>
      <w:r w:rsidR="000636C2">
        <w:rPr>
          <w:rFonts w:hint="cs"/>
          <w:rtl/>
        </w:rPr>
        <w:t>،</w:t>
      </w:r>
      <w:r>
        <w:rPr>
          <w:rFonts w:hint="cs"/>
          <w:rtl/>
        </w:rPr>
        <w:t xml:space="preserve"> وإصلاح القلب وسلامته وتزكيته</w:t>
      </w:r>
      <w:r w:rsidR="000636C2">
        <w:rPr>
          <w:rFonts w:hint="cs"/>
          <w:rtl/>
        </w:rPr>
        <w:t>،</w:t>
      </w:r>
      <w:r>
        <w:rPr>
          <w:rFonts w:hint="cs"/>
          <w:rtl/>
        </w:rPr>
        <w:t xml:space="preserve"> وهو العلم الذي تخصص في بيان درجات الإحسان ومنازل المقربين من رب العالمين</w:t>
      </w:r>
      <w:r w:rsidR="000636C2">
        <w:rPr>
          <w:rFonts w:hint="cs"/>
          <w:rtl/>
        </w:rPr>
        <w:t>،</w:t>
      </w:r>
      <w:r>
        <w:rPr>
          <w:rFonts w:hint="cs"/>
          <w:rtl/>
        </w:rPr>
        <w:t xml:space="preserve"> </w:t>
      </w:r>
      <w:r>
        <w:rPr>
          <w:rFonts w:eastAsia="Times New Roman" w:hint="cs"/>
          <w:rtl/>
          <w:lang w:eastAsia="ar-SA" w:bidi="ar-KW"/>
        </w:rPr>
        <w:t>وبعد فهذا اختصار مبسط لبيان تخصصات أهل الإسلام الذين ملئوا الدنيا علما</w:t>
      </w:r>
      <w:r w:rsidR="000636C2">
        <w:rPr>
          <w:rFonts w:eastAsia="Times New Roman" w:hint="cs"/>
          <w:rtl/>
          <w:lang w:eastAsia="ar-SA" w:bidi="ar-KW"/>
        </w:rPr>
        <w:t>،</w:t>
      </w:r>
      <w:r>
        <w:rPr>
          <w:rFonts w:eastAsia="Times New Roman" w:hint="cs"/>
          <w:rtl/>
          <w:lang w:eastAsia="ar-SA" w:bidi="ar-KW"/>
        </w:rPr>
        <w:t xml:space="preserve"> ويستحيل على </w:t>
      </w:r>
      <w:r>
        <w:rPr>
          <w:rFonts w:hint="cs"/>
          <w:rtl/>
        </w:rPr>
        <w:t>أحد بعد ذلك أن يطرح مؤسسة واحدة على أنّها البديل عن جميع التخصصات العلمية الإسلامية</w:t>
      </w:r>
      <w:r w:rsidR="000636C2">
        <w:rPr>
          <w:rFonts w:hint="cs"/>
          <w:rtl/>
        </w:rPr>
        <w:t>،</w:t>
      </w:r>
      <w:r>
        <w:rPr>
          <w:rFonts w:hint="cs"/>
          <w:rtl/>
        </w:rPr>
        <w:t xml:space="preserve"> </w:t>
      </w:r>
      <w:r w:rsidR="000636C2">
        <w:rPr>
          <w:rFonts w:hint="cs"/>
          <w:rtl/>
        </w:rPr>
        <w:t>(</w:t>
      </w:r>
      <w:r>
        <w:rPr>
          <w:rFonts w:hint="cs"/>
          <w:rtl/>
        </w:rPr>
        <w:t>ب</w:t>
      </w:r>
      <w:r w:rsidR="000636C2">
        <w:rPr>
          <w:rFonts w:hint="cs"/>
          <w:rtl/>
        </w:rPr>
        <w:t xml:space="preserve">) </w:t>
      </w:r>
      <w:r>
        <w:rPr>
          <w:rFonts w:hint="cs"/>
          <w:rtl/>
        </w:rPr>
        <w:t>إنّ أخطر الآثار المترتبة على عدم احترام التخصص تتمثل في</w:t>
      </w:r>
      <w:r w:rsidR="000636C2">
        <w:rPr>
          <w:rFonts w:hint="cs"/>
          <w:rtl/>
        </w:rPr>
        <w:t xml:space="preserve">: </w:t>
      </w:r>
      <w:r>
        <w:rPr>
          <w:rFonts w:hint="cs"/>
          <w:rtl/>
        </w:rPr>
        <w:t>الفوضى العلمية</w:t>
      </w:r>
      <w:r w:rsidR="000636C2">
        <w:rPr>
          <w:rFonts w:hint="cs"/>
          <w:rtl/>
        </w:rPr>
        <w:t>،</w:t>
      </w:r>
      <w:r>
        <w:rPr>
          <w:rFonts w:hint="cs"/>
          <w:rtl/>
        </w:rPr>
        <w:t xml:space="preserve"> والفوضى الفكرية</w:t>
      </w:r>
      <w:r w:rsidR="000636C2">
        <w:rPr>
          <w:rFonts w:hint="cs"/>
          <w:rtl/>
        </w:rPr>
        <w:t>،</w:t>
      </w:r>
      <w:r>
        <w:rPr>
          <w:rFonts w:hint="cs"/>
          <w:rtl/>
        </w:rPr>
        <w:t xml:space="preserve"> والخطأ في تقييم المواقف واصدار الأحكام</w:t>
      </w:r>
      <w:r w:rsidR="000636C2">
        <w:rPr>
          <w:rFonts w:hint="cs"/>
          <w:rtl/>
        </w:rPr>
        <w:t>،</w:t>
      </w:r>
      <w:r>
        <w:rPr>
          <w:rFonts w:hint="cs"/>
          <w:rtl/>
        </w:rPr>
        <w:t xml:space="preserve"> كما يؤدي إلى فوضى التبديع الناشئة عن عدم احترام تخصصات الآخرين</w:t>
      </w:r>
      <w:r w:rsidR="000636C2">
        <w:rPr>
          <w:rFonts w:hint="cs"/>
          <w:rtl/>
        </w:rPr>
        <w:t>،</w:t>
      </w:r>
      <w:r>
        <w:rPr>
          <w:rFonts w:hint="cs"/>
          <w:rtl/>
        </w:rPr>
        <w:t xml:space="preserve"> والهجوم على أصحابها واتهامهم بالبدعة والانحراف عن الدين</w:t>
      </w:r>
      <w:r w:rsidR="000636C2">
        <w:rPr>
          <w:rFonts w:hint="cs"/>
          <w:rtl/>
        </w:rPr>
        <w:t>،</w:t>
      </w:r>
      <w:r>
        <w:rPr>
          <w:rFonts w:hint="cs"/>
          <w:rtl/>
        </w:rPr>
        <w:t xml:space="preserve"> كما يؤدي عدم احترام التخصص إلى فوضى الغلو والانحراف والإفراط والتفريط في دين الله تعالى</w:t>
      </w:r>
      <w:r w:rsidR="000636C2">
        <w:rPr>
          <w:rFonts w:hint="cs"/>
          <w:rtl/>
        </w:rPr>
        <w:t>،</w:t>
      </w:r>
      <w:r>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000636C2">
        <w:rPr>
          <w:rFonts w:hint="cs"/>
          <w:rtl/>
        </w:rPr>
        <w:t>،</w:t>
      </w:r>
      <w:r>
        <w:rPr>
          <w:rFonts w:hint="cs"/>
          <w:rtl/>
        </w:rPr>
        <w:t xml:space="preserve"> مع أنّ الحق حتما يكون مع أهل التخصص</w:t>
      </w:r>
      <w:r w:rsidR="000636C2">
        <w:rPr>
          <w:rFonts w:hint="cs"/>
          <w:rtl/>
        </w:rPr>
        <w:t>،</w:t>
      </w:r>
      <w:r>
        <w:rPr>
          <w:rFonts w:hint="cs"/>
          <w:rtl/>
        </w:rPr>
        <w:t xml:space="preserve"> وقد امتدح الله تعالى أهل التخصص بقوله تعالى</w:t>
      </w:r>
      <w:r w:rsidR="000636C2">
        <w:rPr>
          <w:rFonts w:hint="cs"/>
          <w:rtl/>
        </w:rPr>
        <w:t>: {</w:t>
      </w:r>
      <w:r>
        <w:rPr>
          <w:rFonts w:hint="cs"/>
          <w:rtl/>
        </w:rPr>
        <w:t>وَلَا يُنَبِّئُكَ مِثْلُ خَبِيرٍ</w:t>
      </w:r>
      <w:r w:rsidR="000636C2">
        <w:rPr>
          <w:rFonts w:hint="cs"/>
          <w:rtl/>
        </w:rPr>
        <w:t>} [</w:t>
      </w:r>
      <w:r>
        <w:rPr>
          <w:rFonts w:hint="cs"/>
          <w:rtl/>
        </w:rPr>
        <w:t>فاطر</w:t>
      </w:r>
      <w:r w:rsidR="000636C2">
        <w:rPr>
          <w:rFonts w:hint="cs"/>
          <w:rtl/>
        </w:rPr>
        <w:t xml:space="preserve">: </w:t>
      </w:r>
      <w:r>
        <w:rPr>
          <w:rFonts w:hint="cs"/>
          <w:rtl/>
        </w:rPr>
        <w:t>14</w:t>
      </w:r>
      <w:r w:rsidR="000636C2">
        <w:rPr>
          <w:rFonts w:hint="cs"/>
          <w:rtl/>
        </w:rPr>
        <w:t>]،</w:t>
      </w:r>
      <w:r>
        <w:rPr>
          <w:rFonts w:hint="cs"/>
          <w:rtl/>
        </w:rPr>
        <w:t xml:space="preserve"> </w:t>
      </w:r>
      <w:r>
        <w:rPr>
          <w:rFonts w:hint="cs"/>
          <w:rtl/>
          <w:lang w:bidi="ar-EG"/>
        </w:rPr>
        <w:t>وأمرنا تعالى باحترام التخصص واستفتاء أهل الخبرة والتخصص بقوله تعالى</w:t>
      </w:r>
      <w:r w:rsidR="000636C2">
        <w:rPr>
          <w:rFonts w:hint="cs"/>
          <w:rtl/>
          <w:lang w:bidi="ar-EG"/>
        </w:rPr>
        <w:t>: {</w:t>
      </w:r>
      <w:r>
        <w:rPr>
          <w:rFonts w:hint="cs"/>
          <w:rtl/>
          <w:lang w:bidi="ar-EG"/>
        </w:rPr>
        <w:t>وَلَوْ رَدُّوهُ إِلَى الرَّسُولِ وَإِلَى أُولِي الْأَمْرِ مِنْهُمْ لَعَلِمَهُ الَّذِينَ يَسْتَنْبِطُونَهُ مِنْهُمْ</w:t>
      </w:r>
      <w:r w:rsidR="000636C2">
        <w:rPr>
          <w:rFonts w:hint="cs"/>
          <w:rtl/>
          <w:lang w:bidi="ar-EG"/>
        </w:rPr>
        <w:t xml:space="preserve">} </w:t>
      </w:r>
      <w:r w:rsidR="000636C2">
        <w:rPr>
          <w:rFonts w:hint="cs"/>
          <w:rtl/>
        </w:rPr>
        <w:t>[</w:t>
      </w:r>
      <w:r>
        <w:rPr>
          <w:rFonts w:hint="cs"/>
          <w:rtl/>
          <w:lang w:bidi="ar-EG"/>
        </w:rPr>
        <w:t>النساء</w:t>
      </w:r>
      <w:r w:rsidR="000636C2">
        <w:rPr>
          <w:rFonts w:hint="cs"/>
          <w:rtl/>
          <w:lang w:bidi="ar-EG"/>
        </w:rPr>
        <w:t xml:space="preserve">: </w:t>
      </w:r>
      <w:r>
        <w:rPr>
          <w:rFonts w:hint="cs"/>
          <w:rtl/>
          <w:lang w:bidi="ar-EG"/>
        </w:rPr>
        <w:t>83</w:t>
      </w:r>
      <w:r w:rsidR="000636C2">
        <w:rPr>
          <w:rFonts w:hint="cs"/>
          <w:rtl/>
          <w:lang w:bidi="ar-EG"/>
        </w:rPr>
        <w:t>]،</w:t>
      </w:r>
      <w:r>
        <w:rPr>
          <w:rFonts w:hint="cs"/>
          <w:rtl/>
          <w:lang w:bidi="ar-EG"/>
        </w:rPr>
        <w:t xml:space="preserve"> وهؤلاء المتخصصون ينبغي الرجوع إليهم في مجال علومهم</w:t>
      </w:r>
      <w:r w:rsidR="000636C2">
        <w:rPr>
          <w:rFonts w:hint="cs"/>
          <w:rtl/>
          <w:lang w:bidi="ar-EG"/>
        </w:rPr>
        <w:t>،</w:t>
      </w:r>
      <w:r>
        <w:rPr>
          <w:rFonts w:hint="cs"/>
          <w:rtl/>
          <w:lang w:bidi="ar-EG"/>
        </w:rPr>
        <w:t xml:space="preserve"> قال تعالى</w:t>
      </w:r>
      <w:r w:rsidR="000636C2">
        <w:rPr>
          <w:rFonts w:hint="cs"/>
          <w:rtl/>
          <w:lang w:bidi="ar-EG"/>
        </w:rPr>
        <w:t>: {</w:t>
      </w:r>
      <w:r>
        <w:rPr>
          <w:rFonts w:hint="cs"/>
          <w:rtl/>
          <w:lang w:bidi="ar-EG"/>
        </w:rPr>
        <w:t>وَلَا يُنَبِّئُكَ مِثْلُ</w:t>
      </w:r>
      <w:r>
        <w:rPr>
          <w:rFonts w:hint="cs"/>
          <w:rtl/>
        </w:rPr>
        <w:t xml:space="preserve"> خَبِيرٍ</w:t>
      </w:r>
      <w:r w:rsidR="000636C2">
        <w:rPr>
          <w:rFonts w:hint="cs"/>
          <w:rtl/>
        </w:rPr>
        <w:t>}</w:t>
      </w:r>
      <w:r w:rsidR="000636C2">
        <w:rPr>
          <w:rFonts w:hint="cs"/>
          <w:rtl/>
          <w:lang w:bidi="ar-EG"/>
        </w:rPr>
        <w:t xml:space="preserve"> [</w:t>
      </w:r>
      <w:r>
        <w:rPr>
          <w:rFonts w:hint="cs"/>
          <w:rtl/>
          <w:lang w:bidi="ar-EG"/>
        </w:rPr>
        <w:t>فاطر</w:t>
      </w:r>
      <w:r w:rsidR="000636C2">
        <w:rPr>
          <w:rFonts w:hint="cs"/>
          <w:rtl/>
          <w:lang w:bidi="ar-EG"/>
        </w:rPr>
        <w:t xml:space="preserve">: </w:t>
      </w:r>
      <w:r>
        <w:rPr>
          <w:rFonts w:hint="cs"/>
          <w:rtl/>
          <w:lang w:bidi="ar-EG"/>
        </w:rPr>
        <w:t>14</w:t>
      </w:r>
      <w:r w:rsidR="000636C2">
        <w:rPr>
          <w:rFonts w:hint="cs"/>
          <w:rtl/>
          <w:lang w:bidi="ar-EG"/>
        </w:rPr>
        <w:t>]،</w:t>
      </w:r>
      <w:r>
        <w:rPr>
          <w:rFonts w:hint="cs"/>
          <w:rtl/>
          <w:lang w:bidi="ar-EG"/>
        </w:rPr>
        <w:t xml:space="preserve"> </w:t>
      </w:r>
      <w:r>
        <w:rPr>
          <w:rFonts w:hint="cs"/>
          <w:rtl/>
        </w:rPr>
        <w:t>وقوله تعالى</w:t>
      </w:r>
      <w:r w:rsidR="000636C2">
        <w:rPr>
          <w:rFonts w:hint="cs"/>
          <w:rtl/>
        </w:rPr>
        <w:t>: {</w:t>
      </w:r>
      <w:r>
        <w:rPr>
          <w:rFonts w:hint="cs"/>
          <w:rtl/>
        </w:rPr>
        <w:t>فَاسْأَلُوا أَهْلَ الذِّكْرِ إِنْ كُنْتُمْ لَا تَعْلَمُونَ</w:t>
      </w:r>
      <w:r w:rsidR="000636C2">
        <w:rPr>
          <w:rFonts w:hint="cs"/>
          <w:rtl/>
        </w:rPr>
        <w:t>} [</w:t>
      </w:r>
      <w:r>
        <w:rPr>
          <w:rFonts w:hint="cs"/>
          <w:rtl/>
        </w:rPr>
        <w:t>النحل</w:t>
      </w:r>
      <w:r w:rsidR="000636C2">
        <w:rPr>
          <w:rFonts w:hint="cs"/>
          <w:rtl/>
        </w:rPr>
        <w:t xml:space="preserve">: </w:t>
      </w:r>
      <w:r>
        <w:rPr>
          <w:rFonts w:hint="cs"/>
          <w:rtl/>
        </w:rPr>
        <w:t>43</w:t>
      </w:r>
      <w:r w:rsidR="000636C2">
        <w:rPr>
          <w:rFonts w:hint="cs"/>
          <w:rtl/>
        </w:rPr>
        <w:t>]،</w:t>
      </w:r>
    </w:p>
    <w:p w14:paraId="241C9B5D" w14:textId="77777777" w:rsidR="009C32A0" w:rsidRDefault="009C32A0" w:rsidP="000636C2">
      <w:pPr>
        <w:ind w:left="-58"/>
        <w:jc w:val="center"/>
        <w:rPr>
          <w:rFonts w:eastAsia="Times New Roman"/>
          <w:b/>
          <w:rtl/>
          <w:lang w:eastAsia="ar-SA" w:bidi="ar-KW"/>
        </w:rPr>
      </w:pPr>
      <w:r>
        <w:rPr>
          <w:rFonts w:eastAsia="Times New Roman" w:hint="cs"/>
          <w:rtl/>
          <w:lang w:eastAsia="ar-SA" w:bidi="ar-KW"/>
        </w:rPr>
        <w:t xml:space="preserve">*** </w:t>
      </w:r>
    </w:p>
    <w:p w14:paraId="788107C3" w14:textId="77777777" w:rsidR="009C32A0" w:rsidRDefault="009C32A0" w:rsidP="000636C2">
      <w:pPr>
        <w:ind w:left="-58"/>
        <w:jc w:val="center"/>
        <w:rPr>
          <w:rFonts w:eastAsia="Times New Roman"/>
          <w:b/>
          <w:rtl/>
          <w:lang w:eastAsia="ar-SA" w:bidi="ar-KW"/>
        </w:rPr>
      </w:pPr>
    </w:p>
    <w:p w14:paraId="71C018F8" w14:textId="4B89796C" w:rsidR="009C32A0" w:rsidRPr="00C07A88" w:rsidRDefault="000636C2" w:rsidP="00C07A88">
      <w:pPr>
        <w:pStyle w:val="2"/>
        <w:bidi/>
        <w:jc w:val="center"/>
        <w:rPr>
          <w:u w:val="none"/>
          <w:rtl/>
        </w:rPr>
      </w:pPr>
      <w:r w:rsidRPr="00C07A88">
        <w:rPr>
          <w:rFonts w:hint="cs"/>
          <w:u w:val="none"/>
          <w:rtl/>
        </w:rPr>
        <w:t>[</w:t>
      </w:r>
      <w:r w:rsidR="009C32A0" w:rsidRPr="00C07A88">
        <w:rPr>
          <w:rFonts w:hint="cs"/>
          <w:u w:val="none"/>
          <w:rtl/>
        </w:rPr>
        <w:t>ثالثاً</w:t>
      </w:r>
      <w:r w:rsidRPr="00C07A88">
        <w:rPr>
          <w:rFonts w:hint="cs"/>
          <w:u w:val="none"/>
          <w:rtl/>
        </w:rPr>
        <w:t>]</w:t>
      </w:r>
      <w:r w:rsidR="00C07A88" w:rsidRPr="00C07A88">
        <w:rPr>
          <w:rFonts w:hint="cs"/>
          <w:u w:val="none"/>
          <w:rtl/>
        </w:rPr>
        <w:t xml:space="preserve"> </w:t>
      </w:r>
      <w:r w:rsidR="009C32A0" w:rsidRPr="00C07A88">
        <w:rPr>
          <w:rFonts w:hint="cs"/>
          <w:u w:val="none"/>
          <w:rtl/>
        </w:rPr>
        <w:t>تاريخ تسلسل ظهور الحشوية والإشارة إلى بعض أعلام ومصنفات الحشوية</w:t>
      </w:r>
    </w:p>
    <w:p w14:paraId="7920C374" w14:textId="77777777" w:rsidR="009C32A0" w:rsidRDefault="009C32A0" w:rsidP="000636C2">
      <w:pPr>
        <w:ind w:left="-58"/>
        <w:rPr>
          <w:bCs/>
          <w:rtl/>
        </w:rPr>
      </w:pPr>
    </w:p>
    <w:p w14:paraId="78F7446E" w14:textId="31551C76" w:rsidR="009C32A0" w:rsidRDefault="009C32A0" w:rsidP="000636C2">
      <w:pPr>
        <w:ind w:left="-58"/>
        <w:rPr>
          <w:b/>
          <w:rtl/>
        </w:rPr>
      </w:pPr>
      <w:r>
        <w:rPr>
          <w:rFonts w:hint="cs"/>
          <w:rtl/>
        </w:rPr>
        <w:t>لقد ظلت عقائد التجسيم والتشبيه والحشو متناثرة هنا وهناك، في أقوال المحدثين ورواياتهم</w:t>
      </w:r>
      <w:r w:rsidR="000636C2">
        <w:rPr>
          <w:rFonts w:hint="cs"/>
          <w:rtl/>
        </w:rPr>
        <w:t>،</w:t>
      </w:r>
      <w:r>
        <w:rPr>
          <w:rFonts w:hint="cs"/>
          <w:rtl/>
        </w:rPr>
        <w:t xml:space="preserve"> حتى ظهر مقاتل بن سليمان </w:t>
      </w:r>
      <w:r w:rsidR="000636C2">
        <w:rPr>
          <w:rFonts w:hint="cs"/>
          <w:rtl/>
        </w:rPr>
        <w:t>(</w:t>
      </w:r>
      <w:r>
        <w:rPr>
          <w:rFonts w:hint="cs"/>
          <w:rtl/>
        </w:rPr>
        <w:t>المتوفي سنة 15</w:t>
      </w:r>
      <w:r w:rsidR="000636C2">
        <w:rPr>
          <w:rFonts w:hint="cs"/>
          <w:rtl/>
        </w:rPr>
        <w:t xml:space="preserve">، </w:t>
      </w:r>
      <w:r>
        <w:rPr>
          <w:rFonts w:hint="cs"/>
          <w:rtl/>
        </w:rPr>
        <w:t>ه‍</w:t>
      </w:r>
      <w:r w:rsidR="000636C2">
        <w:rPr>
          <w:rFonts w:hint="cs"/>
          <w:rtl/>
        </w:rPr>
        <w:t xml:space="preserve">) </w:t>
      </w:r>
      <w:r>
        <w:rPr>
          <w:rFonts w:hint="cs"/>
          <w:rtl/>
        </w:rPr>
        <w:t>حيث ملأ تفسيره حشوا من الإسرائيليات</w:t>
      </w:r>
      <w:r w:rsidR="000636C2">
        <w:rPr>
          <w:rFonts w:hint="cs"/>
          <w:rtl/>
        </w:rPr>
        <w:t xml:space="preserve">، </w:t>
      </w:r>
      <w:r>
        <w:rPr>
          <w:rFonts w:hint="cs"/>
          <w:rtl/>
        </w:rPr>
        <w:t>وأخذ من علم اليهود والنصارى ما يوافقه لتدعيم مذهبه في التجسيم والتشبيه</w:t>
      </w:r>
      <w:r w:rsidR="000636C2">
        <w:rPr>
          <w:rFonts w:hint="cs"/>
          <w:rtl/>
        </w:rPr>
        <w:t>،</w:t>
      </w:r>
      <w:r>
        <w:rPr>
          <w:rFonts w:hint="cs"/>
          <w:rtl/>
        </w:rPr>
        <w:t xml:space="preserve"> أخرج الخطيب البغدادي بسنده عن أحمد بن سيار</w:t>
      </w:r>
      <w:r w:rsidR="000636C2">
        <w:rPr>
          <w:rFonts w:hint="cs"/>
          <w:rtl/>
        </w:rPr>
        <w:t xml:space="preserve"> [</w:t>
      </w:r>
      <w:r>
        <w:rPr>
          <w:rFonts w:hint="cs"/>
          <w:rtl/>
        </w:rPr>
        <w:t>هو أحمد بن سيار أبو الحسن المروزي إمام المحدثين في بلده انظر ترجمته في تذكرة الحفاظ للذهبي 1/254 وطبقات الشافعية الكبرى لابن السبكي 2/193</w:t>
      </w:r>
      <w:r w:rsidR="000636C2">
        <w:rPr>
          <w:rFonts w:hint="cs"/>
          <w:rtl/>
        </w:rPr>
        <w:t>]</w:t>
      </w:r>
      <w:r>
        <w:rPr>
          <w:rFonts w:hint="cs"/>
          <w:rtl/>
        </w:rPr>
        <w:t xml:space="preserve"> أنه قال</w:t>
      </w:r>
      <w:r w:rsidR="000636C2">
        <w:rPr>
          <w:rFonts w:hint="cs"/>
          <w:rtl/>
        </w:rPr>
        <w:t>: (</w:t>
      </w:r>
      <w:r>
        <w:rPr>
          <w:rFonts w:hint="cs"/>
          <w:rtl/>
        </w:rPr>
        <w:t>مقاتل متروك الحديث كان يتكلم في الصفات بما لا تحل الرواية عنه</w:t>
      </w:r>
      <w:r w:rsidR="000636C2">
        <w:rPr>
          <w:rFonts w:hint="cs"/>
          <w:rtl/>
        </w:rPr>
        <w:t>) [</w:t>
      </w:r>
      <w:r>
        <w:rPr>
          <w:rFonts w:hint="cs"/>
          <w:rtl/>
        </w:rPr>
        <w:t>تاريخ بغداد 13/162و انظر نحوه في المنتظم لابن الجوزي 8/126</w:t>
      </w:r>
      <w:r w:rsidR="000636C2">
        <w:rPr>
          <w:rFonts w:hint="cs"/>
          <w:rtl/>
        </w:rPr>
        <w:t>]،</w:t>
      </w:r>
      <w:r>
        <w:rPr>
          <w:rFonts w:hint="cs"/>
          <w:rtl/>
        </w:rPr>
        <w:t xml:space="preserve"> وأخرج بسنده عن الإمام أحمد أنه قال</w:t>
      </w:r>
      <w:r w:rsidR="000636C2">
        <w:rPr>
          <w:rFonts w:hint="cs"/>
          <w:rtl/>
        </w:rPr>
        <w:t xml:space="preserve">: </w:t>
      </w:r>
      <w:r>
        <w:rPr>
          <w:rFonts w:hint="cs"/>
          <w:rtl/>
        </w:rPr>
        <w:t xml:space="preserve">مقاتل بن سليمان كانت له كتب ينظر فيها </w:t>
      </w:r>
      <w:r w:rsidR="000636C2">
        <w:rPr>
          <w:rFonts w:hint="cs"/>
          <w:rtl/>
        </w:rPr>
        <w:t>[</w:t>
      </w:r>
      <w:r>
        <w:rPr>
          <w:rFonts w:hint="cs"/>
          <w:rtl/>
        </w:rPr>
        <w:t>تاريخ بغداد 13/ 162</w:t>
      </w:r>
      <w:r w:rsidR="000636C2">
        <w:rPr>
          <w:rFonts w:hint="cs"/>
          <w:rtl/>
        </w:rPr>
        <w:t>]،</w:t>
      </w:r>
      <w:r>
        <w:rPr>
          <w:rFonts w:hint="cs"/>
          <w:rtl/>
        </w:rPr>
        <w:t xml:space="preserve"> وقال ابن حبان</w:t>
      </w:r>
      <w:r w:rsidR="000636C2">
        <w:rPr>
          <w:rFonts w:hint="cs"/>
          <w:rtl/>
        </w:rPr>
        <w:t>: (</w:t>
      </w:r>
      <w:r>
        <w:rPr>
          <w:rFonts w:hint="cs"/>
          <w:rtl/>
        </w:rPr>
        <w:t>كان يأخذ عن اليهود والنصارى علم القرآن الذي يوافق كتبهم وكان مشبهاً يشبه الرب بالمخلوقين وكان يكذب مع ذلك في الحديث</w:t>
      </w:r>
      <w:r w:rsidR="000636C2">
        <w:rPr>
          <w:rFonts w:hint="cs"/>
          <w:rtl/>
        </w:rPr>
        <w:t>) [</w:t>
      </w:r>
      <w:r>
        <w:rPr>
          <w:rFonts w:hint="cs"/>
          <w:rtl/>
        </w:rPr>
        <w:t>المجروحون 2/15 وانظر نحوه في التعديل والتجريح للباجي 1/197 والضعفاء لابن الجوزي 1/136 ووفيات الأعيان لابن خلكان 5/255</w:t>
      </w:r>
      <w:r w:rsidR="000636C2">
        <w:rPr>
          <w:rFonts w:hint="cs"/>
          <w:rtl/>
        </w:rPr>
        <w:t xml:space="preserve">]، </w:t>
      </w:r>
      <w:r>
        <w:rPr>
          <w:rFonts w:hint="cs"/>
          <w:rtl/>
        </w:rPr>
        <w:t>لقد أصبح التجسيم والتشبيه بعد هذا المفسر الضال المبتدع مدرسة متكاملة اعتنق أفكارها بعض ممن جاء بعده</w:t>
      </w:r>
      <w:r w:rsidR="000636C2">
        <w:rPr>
          <w:rFonts w:hint="cs"/>
          <w:rtl/>
        </w:rPr>
        <w:t xml:space="preserve"> </w:t>
      </w:r>
      <w:r>
        <w:rPr>
          <w:rFonts w:hint="cs"/>
          <w:rtl/>
        </w:rPr>
        <w:t>من جهلاء المفسرين والمحدثين</w:t>
      </w:r>
      <w:r w:rsidR="000636C2">
        <w:rPr>
          <w:rFonts w:hint="cs"/>
          <w:rtl/>
        </w:rPr>
        <w:t>،</w:t>
      </w:r>
      <w:r>
        <w:rPr>
          <w:rFonts w:hint="cs"/>
          <w:rtl/>
        </w:rPr>
        <w:t xml:space="preserve"> وساهم بموضوعاته في ظهور الحشوية</w:t>
      </w:r>
      <w:r w:rsidR="000636C2">
        <w:rPr>
          <w:rFonts w:hint="cs"/>
          <w:rtl/>
        </w:rPr>
        <w:t>،</w:t>
      </w:r>
      <w:r>
        <w:rPr>
          <w:rFonts w:hint="cs"/>
          <w:rtl/>
        </w:rPr>
        <w:t xml:space="preserve"> قال الإمام الأشعري</w:t>
      </w:r>
      <w:r w:rsidR="000636C2">
        <w:rPr>
          <w:rFonts w:hint="cs"/>
          <w:rtl/>
        </w:rPr>
        <w:t>: (</w:t>
      </w:r>
      <w:r>
        <w:rPr>
          <w:rFonts w:hint="cs"/>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0636C2">
        <w:rPr>
          <w:rFonts w:hint="cs"/>
          <w:rtl/>
        </w:rPr>
        <w:t>) [</w:t>
      </w:r>
      <w:r>
        <w:rPr>
          <w:rFonts w:hint="cs"/>
          <w:rtl/>
        </w:rPr>
        <w:t>مقالات الإسلاميين 152و2</w:t>
      </w:r>
      <w:r w:rsidR="000636C2">
        <w:rPr>
          <w:rFonts w:hint="cs"/>
          <w:rtl/>
        </w:rPr>
        <w:t>،</w:t>
      </w:r>
      <w:r>
        <w:rPr>
          <w:rFonts w:hint="cs"/>
          <w:rtl/>
        </w:rPr>
        <w:t xml:space="preserve"> 9 وانظر نحوه في الفصل لابن حزم 4/155 والبدء والتاريخ للمقدسي 5/141</w:t>
      </w:r>
      <w:r w:rsidR="000636C2">
        <w:rPr>
          <w:rFonts w:hint="cs"/>
          <w:rtl/>
        </w:rPr>
        <w:t>]،</w:t>
      </w:r>
      <w:r>
        <w:rPr>
          <w:rFonts w:hint="cs"/>
          <w:rtl/>
        </w:rPr>
        <w:t xml:space="preserve"> وحكى عنه الشهرستاني أنه قال قد ورد في الخبر أن الله خلق آدم على صورة الرحمن فلا بد من تصديقه </w:t>
      </w:r>
      <w:r w:rsidR="000636C2">
        <w:rPr>
          <w:rFonts w:hint="cs"/>
          <w:rtl/>
        </w:rPr>
        <w:t>[</w:t>
      </w:r>
      <w:r>
        <w:rPr>
          <w:rFonts w:hint="cs"/>
          <w:rtl/>
        </w:rPr>
        <w:t>الملل والنحل178</w:t>
      </w:r>
      <w:r w:rsidR="000636C2">
        <w:rPr>
          <w:rFonts w:hint="cs"/>
          <w:rtl/>
        </w:rPr>
        <w:t>]</w:t>
      </w:r>
      <w:r>
        <w:rPr>
          <w:rFonts w:hint="cs"/>
          <w:rtl/>
        </w:rPr>
        <w:t xml:space="preserve"> ومن مرويات مقاتل في التجسيم ما أخرجه الذهبي </w:t>
      </w:r>
      <w:r>
        <w:rPr>
          <w:rFonts w:hint="cs"/>
          <w:rtl/>
        </w:rPr>
        <w:lastRenderedPageBreak/>
        <w:t>بسنده عن مقاتل عن الضحاك عن ابن عباس أنه قال</w:t>
      </w:r>
      <w:r w:rsidR="000636C2">
        <w:rPr>
          <w:rFonts w:hint="cs"/>
          <w:rtl/>
        </w:rPr>
        <w:t>: (</w:t>
      </w:r>
      <w:r>
        <w:rPr>
          <w:rFonts w:hint="cs"/>
          <w:rtl/>
        </w:rPr>
        <w:t>إذا كان يوم القيامة ينادي مناد أين حبيب الله</w:t>
      </w:r>
      <w:r w:rsidR="000636C2">
        <w:rPr>
          <w:rFonts w:hint="cs"/>
          <w:rtl/>
        </w:rPr>
        <w:t>؟</w:t>
      </w:r>
      <w:r>
        <w:rPr>
          <w:rFonts w:hint="cs"/>
          <w:rtl/>
        </w:rPr>
        <w:t xml:space="preserve"> فيتخطى صفوف الملائكة حتى يصير إلى العرش حتى يجلسه معه على العرش حتى يمس ركبته</w:t>
      </w:r>
      <w:r w:rsidR="000636C2">
        <w:rPr>
          <w:rFonts w:hint="cs"/>
          <w:rtl/>
        </w:rPr>
        <w:t>) [</w:t>
      </w:r>
      <w:r>
        <w:rPr>
          <w:rFonts w:hint="cs"/>
          <w:rtl/>
        </w:rPr>
        <w:t>ميزان الاعتدال 4/174 وهو خبر موضوع كما نبه عليه الذهبي وانظر تاريخ بغداد للخطيب 13/ 162</w:t>
      </w:r>
      <w:r w:rsidR="000636C2">
        <w:rPr>
          <w:rFonts w:hint="cs"/>
          <w:rtl/>
        </w:rPr>
        <w:t xml:space="preserve">]، </w:t>
      </w:r>
      <w:r>
        <w:rPr>
          <w:rFonts w:hint="cs"/>
          <w:rtl/>
        </w:rPr>
        <w:t xml:space="preserve">ثم ظهر محمد بن كرام السجزي </w:t>
      </w:r>
      <w:r w:rsidR="000636C2">
        <w:rPr>
          <w:rFonts w:hint="cs"/>
          <w:rtl/>
        </w:rPr>
        <w:t>(</w:t>
      </w:r>
      <w:r>
        <w:rPr>
          <w:rFonts w:hint="cs"/>
          <w:rtl/>
        </w:rPr>
        <w:t>ت 255 هـ</w:t>
      </w:r>
      <w:r w:rsidR="000636C2">
        <w:rPr>
          <w:rFonts w:hint="cs"/>
          <w:rtl/>
        </w:rPr>
        <w:t>)،</w:t>
      </w:r>
      <w:r>
        <w:rPr>
          <w:rFonts w:hint="cs"/>
          <w:rtl/>
        </w:rPr>
        <w:t xml:space="preserve"> وأتباعه هم الكرامية</w:t>
      </w:r>
      <w:r w:rsidR="000636C2">
        <w:rPr>
          <w:rFonts w:hint="cs"/>
          <w:rtl/>
        </w:rPr>
        <w:t>،</w:t>
      </w:r>
      <w:r>
        <w:rPr>
          <w:rFonts w:hint="cs"/>
          <w:rtl/>
        </w:rPr>
        <w:t xml:space="preserve"> تمكنوا بتدثرهم بلباس الزهد أن يسربوا بدعهم إلى المصنفات التي تنتسب إلى العقيدة السلفية</w:t>
      </w:r>
      <w:r w:rsidR="000636C2">
        <w:rPr>
          <w:rFonts w:hint="cs"/>
          <w:rtl/>
        </w:rPr>
        <w:t>،</w:t>
      </w:r>
      <w:r>
        <w:rPr>
          <w:rFonts w:hint="cs"/>
          <w:rtl/>
        </w:rPr>
        <w:t xml:space="preserve"> ويقول الشهرستاني</w:t>
      </w:r>
      <w:r w:rsidR="000636C2">
        <w:rPr>
          <w:rFonts w:hint="cs"/>
          <w:rtl/>
        </w:rPr>
        <w:t>: (</w:t>
      </w:r>
      <w:r>
        <w:rPr>
          <w:rFonts w:hint="cs"/>
          <w:rtl/>
        </w:rPr>
        <w:t>نبغ رجل متنمس بالزهد من سجستان …قليل العلم قد قمش من كل مذهب ضعثاً وأثبته في كتابه وروجه على سواد بلاد خراسان</w:t>
      </w:r>
      <w:r w:rsidR="000636C2">
        <w:rPr>
          <w:rFonts w:hint="cs"/>
          <w:rtl/>
        </w:rPr>
        <w:t xml:space="preserve">، </w:t>
      </w:r>
      <w:r>
        <w:rPr>
          <w:rFonts w:hint="cs"/>
          <w:rtl/>
        </w:rPr>
        <w:t>فانتظم ناموسه وصار ذلك مذهباً</w:t>
      </w:r>
      <w:r w:rsidR="000636C2">
        <w:rPr>
          <w:rFonts w:hint="cs"/>
          <w:rtl/>
        </w:rPr>
        <w:t>) [</w:t>
      </w:r>
      <w:r>
        <w:rPr>
          <w:rFonts w:hint="cs"/>
          <w:rtl/>
        </w:rPr>
        <w:t>الملل والنحل10 7</w:t>
      </w:r>
      <w:r w:rsidR="000636C2">
        <w:rPr>
          <w:rFonts w:hint="cs"/>
          <w:rtl/>
        </w:rPr>
        <w:t>]</w:t>
      </w:r>
      <w:r>
        <w:rPr>
          <w:rFonts w:hint="cs"/>
          <w:rtl/>
        </w:rPr>
        <w:t xml:space="preserve"> ويقول ابن السبكي</w:t>
      </w:r>
      <w:r w:rsidR="000636C2">
        <w:rPr>
          <w:rFonts w:hint="cs"/>
          <w:rtl/>
        </w:rPr>
        <w:t>: (</w:t>
      </w:r>
      <w:r>
        <w:rPr>
          <w:rFonts w:hint="cs"/>
          <w:rtl/>
        </w:rPr>
        <w:t>وكان من خبر ابن كرام هذا وهو شيخ سجستاني مجسم أنه سمع يسيراً من الحديث ونشأ بسجستان ثم دخل خراسان</w:t>
      </w:r>
      <w:r w:rsidR="000636C2">
        <w:rPr>
          <w:rFonts w:hint="cs"/>
          <w:rtl/>
        </w:rPr>
        <w:t xml:space="preserve"> </w:t>
      </w:r>
      <w:r>
        <w:rPr>
          <w:rFonts w:hint="cs"/>
          <w:rtl/>
        </w:rPr>
        <w:t>..</w:t>
      </w:r>
      <w:r w:rsidR="000636C2">
        <w:rPr>
          <w:rFonts w:hint="cs"/>
          <w:rtl/>
        </w:rPr>
        <w:t xml:space="preserve"> </w:t>
      </w:r>
      <w:r>
        <w:rPr>
          <w:rFonts w:hint="cs"/>
          <w:rtl/>
        </w:rPr>
        <w:t>وعاد إلى نيسابور وباح بالتجسيم</w:t>
      </w:r>
      <w:r w:rsidR="000636C2">
        <w:rPr>
          <w:rFonts w:hint="cs"/>
          <w:rtl/>
        </w:rPr>
        <w:t>،</w:t>
      </w:r>
      <w:r>
        <w:rPr>
          <w:rFonts w:hint="cs"/>
          <w:rtl/>
        </w:rPr>
        <w:t xml:space="preserve"> وكان من إظهار التنسك والتأله والتعبد والتقشف على جانب عظيم فافترق الناس فيه على قولين، منهم المعتقد ومنهم المنتقد</w:t>
      </w:r>
      <w:r w:rsidR="000636C2">
        <w:rPr>
          <w:rFonts w:hint="cs"/>
          <w:rtl/>
        </w:rPr>
        <w:t xml:space="preserve"> </w:t>
      </w:r>
      <w:r>
        <w:rPr>
          <w:rFonts w:hint="cs"/>
          <w:rtl/>
        </w:rPr>
        <w:t>..</w:t>
      </w:r>
      <w:r w:rsidR="000636C2">
        <w:rPr>
          <w:rFonts w:hint="cs"/>
          <w:rtl/>
        </w:rPr>
        <w:t xml:space="preserve"> </w:t>
      </w:r>
      <w:r>
        <w:rPr>
          <w:rFonts w:hint="cs"/>
          <w:rtl/>
        </w:rPr>
        <w:t>قال الحاكم</w:t>
      </w:r>
      <w:r w:rsidR="000636C2">
        <w:rPr>
          <w:rFonts w:hint="cs"/>
          <w:rtl/>
        </w:rPr>
        <w:t xml:space="preserve">: </w:t>
      </w:r>
      <w:r>
        <w:rPr>
          <w:rFonts w:hint="cs"/>
          <w:rtl/>
        </w:rPr>
        <w:t>لقد بلغني أنه كان معه جماعة من الفقراء وكان لباسه مسك ضأن مدبوغ غير مخيط</w:t>
      </w:r>
      <w:r w:rsidR="000636C2">
        <w:rPr>
          <w:rFonts w:hint="cs"/>
          <w:rtl/>
        </w:rPr>
        <w:t xml:space="preserve">، </w:t>
      </w:r>
      <w:r>
        <w:rPr>
          <w:rFonts w:hint="cs"/>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000636C2">
        <w:rPr>
          <w:rFonts w:hint="cs"/>
          <w:rtl/>
        </w:rPr>
        <w:t>) [</w:t>
      </w:r>
      <w:r>
        <w:rPr>
          <w:rFonts w:hint="cs"/>
          <w:rtl/>
        </w:rPr>
        <w:t>طبقات الشافعية لابن السبكي 2/35</w:t>
      </w:r>
      <w:r w:rsidR="000636C2">
        <w:rPr>
          <w:rFonts w:hint="cs"/>
          <w:rtl/>
        </w:rPr>
        <w:t>]،</w:t>
      </w:r>
      <w:r>
        <w:rPr>
          <w:rFonts w:hint="cs"/>
          <w:rtl/>
        </w:rPr>
        <w:t xml:space="preserve"> وقال تفي الدين الحصني</w:t>
      </w:r>
      <w:r w:rsidR="000636C2">
        <w:rPr>
          <w:rFonts w:hint="cs"/>
          <w:rtl/>
        </w:rPr>
        <w:t>: (</w:t>
      </w:r>
      <w:r>
        <w:rPr>
          <w:rFonts w:hint="cs"/>
          <w:rtl/>
        </w:rPr>
        <w:t>.. وسمع الحديث الكثير وأظهر التقشف ..</w:t>
      </w:r>
      <w:r w:rsidR="000636C2">
        <w:rPr>
          <w:rFonts w:hint="cs"/>
          <w:rtl/>
        </w:rPr>
        <w:t xml:space="preserve"> </w:t>
      </w:r>
      <w:r>
        <w:rPr>
          <w:rFonts w:hint="cs"/>
          <w:rtl/>
        </w:rPr>
        <w:t>واتخذ قطعة فرو يجلس عليها ويحفظ ويحدث ويتخشع حتى أخذ بقلوب العوام والضعفاء من الطلبة لوعظه وزهده، حتى حصر من تبعه من الناس فإذا هم سبعون ألفاً ..</w:t>
      </w:r>
      <w:r w:rsidR="000636C2">
        <w:rPr>
          <w:rFonts w:hint="cs"/>
          <w:rtl/>
        </w:rPr>
        <w:t>) [</w:t>
      </w:r>
      <w:r>
        <w:rPr>
          <w:rFonts w:hint="cs"/>
          <w:rtl/>
        </w:rPr>
        <w:t>دفع شبه من شبه 29</w:t>
      </w:r>
      <w:r w:rsidR="000636C2">
        <w:rPr>
          <w:rFonts w:hint="cs"/>
          <w:rtl/>
        </w:rPr>
        <w:t xml:space="preserve">]، </w:t>
      </w:r>
      <w:r>
        <w:rPr>
          <w:rFonts w:hint="cs"/>
          <w:rtl/>
        </w:rPr>
        <w:t>ولم تمت الكرامية بموت مؤسسها بل تهذبت مقالته في التجسيم وزُيفت حتى كثر أتباعها واستحسنها السلطان واعتنق مذهبها</w:t>
      </w:r>
      <w:r w:rsidR="000636C2">
        <w:rPr>
          <w:rFonts w:hint="cs"/>
          <w:rtl/>
        </w:rPr>
        <w:t>،</w:t>
      </w:r>
      <w:r>
        <w:rPr>
          <w:rFonts w:hint="cs"/>
          <w:rtl/>
        </w:rPr>
        <w:t xml:space="preserve"> وامتُحن بذلك بعضُ الكبار من علماء أهل السنة المنزهين لله عز وجل عن الجسمية ولوازمها</w:t>
      </w:r>
      <w:r w:rsidR="000636C2">
        <w:rPr>
          <w:rFonts w:hint="cs"/>
          <w:rtl/>
        </w:rPr>
        <w:t>،</w:t>
      </w:r>
      <w:r>
        <w:rPr>
          <w:rFonts w:hint="cs"/>
          <w:rtl/>
        </w:rPr>
        <w:t xml:space="preserve"> ومن تلاميذ ابن كرام وأتباعه الذين قاموا بمذهبه إسحاق بن محمشاد الذي صنف في فضائل ابن كرام</w:t>
      </w:r>
      <w:r w:rsidR="000636C2">
        <w:rPr>
          <w:rFonts w:hint="cs"/>
          <w:rtl/>
        </w:rPr>
        <w:t xml:space="preserve">، </w:t>
      </w:r>
      <w:r>
        <w:rPr>
          <w:rFonts w:hint="cs"/>
          <w:rtl/>
        </w:rPr>
        <w:t xml:space="preserve">يقول ابن حجر </w:t>
      </w:r>
      <w:r w:rsidR="000636C2">
        <w:rPr>
          <w:rFonts w:hint="cs"/>
          <w:rtl/>
        </w:rPr>
        <w:t>(</w:t>
      </w:r>
      <w:r>
        <w:rPr>
          <w:rFonts w:hint="cs"/>
          <w:rtl/>
        </w:rPr>
        <w:t>إسحاق بن محمشاد روى عن أبي الفضل التميمي حديثاً هو وضعه بقلة حياء منه</w:t>
      </w:r>
      <w:r w:rsidR="000636C2">
        <w:rPr>
          <w:rFonts w:hint="cs"/>
          <w:rtl/>
        </w:rPr>
        <w:t xml:space="preserve">: </w:t>
      </w:r>
      <w:r>
        <w:rPr>
          <w:rFonts w:hint="cs"/>
          <w:rtl/>
        </w:rPr>
        <w:t>"يجيء في آخر الزمان رجل يقال له ابن كرام تحيا السنة به"</w:t>
      </w:r>
      <w:r w:rsidR="000636C2">
        <w:rPr>
          <w:rFonts w:hint="cs"/>
          <w:rtl/>
        </w:rPr>
        <w:t xml:space="preserve">، </w:t>
      </w:r>
      <w:r>
        <w:rPr>
          <w:rFonts w:hint="cs"/>
          <w:rtl/>
        </w:rPr>
        <w:t>فانظر إلى المادح والممدوح وسند حديثة مجاهيل</w:t>
      </w:r>
      <w:r w:rsidR="000636C2">
        <w:rPr>
          <w:rFonts w:hint="cs"/>
          <w:rtl/>
        </w:rPr>
        <w:t>)،</w:t>
      </w:r>
      <w:r>
        <w:rPr>
          <w:rFonts w:hint="cs"/>
          <w:rtl/>
        </w:rPr>
        <w:t xml:space="preserve"> ومن تلاميذ ابن كرام وأتباعه الشاعر أبو الفتح علي بن محمد البستي </w:t>
      </w:r>
      <w:r w:rsidR="000636C2">
        <w:rPr>
          <w:rFonts w:hint="cs"/>
          <w:rtl/>
        </w:rPr>
        <w:t>(</w:t>
      </w:r>
      <w:r>
        <w:rPr>
          <w:rFonts w:hint="cs"/>
          <w:rtl/>
        </w:rPr>
        <w:t>ت 4</w:t>
      </w:r>
      <w:r w:rsidR="000636C2">
        <w:rPr>
          <w:rFonts w:hint="cs"/>
          <w:rtl/>
        </w:rPr>
        <w:t>،</w:t>
      </w:r>
      <w:r>
        <w:rPr>
          <w:rFonts w:hint="cs"/>
          <w:rtl/>
        </w:rPr>
        <w:t xml:space="preserve"> 2هـ</w:t>
      </w:r>
      <w:r w:rsidR="000636C2">
        <w:rPr>
          <w:rFonts w:hint="cs"/>
          <w:rtl/>
        </w:rPr>
        <w:t>)</w:t>
      </w:r>
      <w:r>
        <w:rPr>
          <w:rFonts w:hint="cs"/>
          <w:rtl/>
        </w:rPr>
        <w:t xml:space="preserve"> الذي اتصل بالملك ناصر الدولة سبكتكين وعمل في خدمته فقربه منه حتى تأثر ملك آل سبكتكين بالكرامية فنصروا المذهب وقسوا على مخالفيه</w:t>
      </w:r>
      <w:r w:rsidR="000636C2">
        <w:rPr>
          <w:rFonts w:hint="cs"/>
          <w:rtl/>
        </w:rPr>
        <w:t>،</w:t>
      </w:r>
      <w:r>
        <w:rPr>
          <w:rFonts w:hint="cs"/>
          <w:rtl/>
        </w:rPr>
        <w:t xml:space="preserve">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w:t>
      </w:r>
      <w:r>
        <w:rPr>
          <w:rFonts w:hint="cs"/>
          <w:rtl/>
        </w:rPr>
        <w:lastRenderedPageBreak/>
        <w:t>بالذات، وهذا هو الرأي الذي مال إليه ابن تيمية رحمه الله</w:t>
      </w:r>
      <w:r w:rsidR="000636C2">
        <w:rPr>
          <w:rFonts w:hint="cs"/>
          <w:rtl/>
        </w:rPr>
        <w:t xml:space="preserve">، </w:t>
      </w:r>
      <w:r>
        <w:rPr>
          <w:rFonts w:hint="cs"/>
          <w:rtl/>
        </w:rPr>
        <w:t xml:space="preserve">ومنه أيضاً أنه زعم أن الفوقية بمعنى العلو مع إثبات البينونة غير المتناهية بينه وبين خلقه </w:t>
      </w:r>
      <w:r w:rsidR="000636C2">
        <w:rPr>
          <w:rFonts w:hint="cs"/>
          <w:rtl/>
        </w:rPr>
        <w:t>[</w:t>
      </w:r>
      <w:r>
        <w:rPr>
          <w:rFonts w:hint="cs"/>
          <w:rtl/>
        </w:rPr>
        <w:t>انظر الملل والنحل للشهرستاني111</w:t>
      </w:r>
      <w:r w:rsidR="000636C2">
        <w:rPr>
          <w:rFonts w:hint="cs"/>
          <w:rtl/>
        </w:rPr>
        <w:t>]</w:t>
      </w:r>
      <w:r>
        <w:rPr>
          <w:rFonts w:hint="cs"/>
          <w:rtl/>
        </w:rPr>
        <w:t xml:space="preserve"> وقال الشهرستاني</w:t>
      </w:r>
      <w:r w:rsidR="000636C2">
        <w:rPr>
          <w:rFonts w:hint="cs"/>
          <w:rtl/>
        </w:rPr>
        <w:t>: (</w:t>
      </w:r>
      <w:r>
        <w:rPr>
          <w:rFonts w:hint="cs"/>
          <w:rtl/>
        </w:rPr>
        <w:t>قد تخطى بعض الكرامية إلى إثبات الجسمية فقال أعني بها القيام بالنفس، وذلك تلبيس على العقلاء … وإلا فمذهب أستاذهم مع كونه محلاً للحوادث</w:t>
      </w:r>
      <w:r w:rsidR="000636C2">
        <w:rPr>
          <w:rFonts w:hint="cs"/>
          <w:rtl/>
        </w:rPr>
        <w:t xml:space="preserve"> </w:t>
      </w:r>
      <w:r>
        <w:rPr>
          <w:rFonts w:hint="cs"/>
          <w:rtl/>
        </w:rPr>
        <w:t>..</w:t>
      </w:r>
      <w:r w:rsidR="000636C2">
        <w:rPr>
          <w:rFonts w:hint="cs"/>
          <w:rtl/>
        </w:rPr>
        <w:t xml:space="preserve"> </w:t>
      </w:r>
      <w:r>
        <w:rPr>
          <w:rFonts w:hint="cs"/>
          <w:rtl/>
        </w:rPr>
        <w:t>مستوياً على العرش استقراراً مختصة بجهة فوق مكاناً واستعلاءً فليس ينجيه من هذه المخازي تزويراتُ ابن هيصم فليس يريد بالجسمية القيام بالنفس ..</w:t>
      </w:r>
      <w:r w:rsidR="000636C2">
        <w:rPr>
          <w:rFonts w:hint="cs"/>
          <w:rtl/>
        </w:rPr>
        <w:t xml:space="preserve"> </w:t>
      </w:r>
      <w:r>
        <w:rPr>
          <w:rFonts w:hint="cs"/>
          <w:rtl/>
        </w:rPr>
        <w:t>وإنما هو إصلاح مذهب لا يقبل الإصلاح</w:t>
      </w:r>
      <w:r w:rsidR="000636C2">
        <w:rPr>
          <w:rFonts w:hint="cs"/>
          <w:rtl/>
        </w:rPr>
        <w:t xml:space="preserve">، </w:t>
      </w:r>
      <w:r>
        <w:rPr>
          <w:rFonts w:hint="cs"/>
          <w:rtl/>
        </w:rPr>
        <w:t>وكيف يستوي الظل والعود أعوج وكيف استوى المذهب وصاحب المقال أهوج</w:t>
      </w:r>
      <w:r w:rsidR="000636C2">
        <w:rPr>
          <w:rFonts w:hint="cs"/>
          <w:rtl/>
        </w:rPr>
        <w:t>) [</w:t>
      </w:r>
      <w:r>
        <w:rPr>
          <w:rFonts w:hint="cs"/>
          <w:rtl/>
        </w:rPr>
        <w:t>نهاية الإقدام 122</w:t>
      </w:r>
      <w:r w:rsidR="000636C2">
        <w:rPr>
          <w:rFonts w:hint="cs"/>
          <w:rtl/>
        </w:rPr>
        <w:t>،</w:t>
      </w:r>
      <w:r>
        <w:rPr>
          <w:rFonts w:hint="cs"/>
          <w:rtl/>
        </w:rPr>
        <w:t xml:space="preserve"> وانظر التجسيم عند المسلمين وهو مذهب الكرامية 89-9</w:t>
      </w:r>
      <w:r w:rsidR="000636C2">
        <w:rPr>
          <w:rFonts w:hint="cs"/>
          <w:rtl/>
        </w:rPr>
        <w:t>،]</w:t>
      </w:r>
      <w:r>
        <w:rPr>
          <w:rFonts w:hint="cs"/>
          <w:rtl/>
        </w:rPr>
        <w:t xml:space="preserve"> وكان ابن الهيصم من مجالسي السلطان محمود بن سبكتكين </w:t>
      </w:r>
      <w:r w:rsidR="000636C2">
        <w:rPr>
          <w:rFonts w:hint="cs"/>
          <w:rtl/>
        </w:rPr>
        <w:t>[</w:t>
      </w:r>
      <w:r>
        <w:rPr>
          <w:rFonts w:hint="cs"/>
          <w:rtl/>
        </w:rPr>
        <w:t>هو السلطان محمود بن سبكتكين أبو القاسم الملقب بيمين الدولة صاحب بلاد غزنة وما والاها كان غاية في الديانة وكراهة المعاصي وأهلها ولا يجرأ أحد أن يظهر معصية ولا خمرا في مملكته واختلف في اتباعه مذهب الكرامية</w:t>
      </w:r>
      <w:r w:rsidR="000636C2">
        <w:rPr>
          <w:rFonts w:hint="cs"/>
          <w:rtl/>
        </w:rPr>
        <w:t xml:space="preserve">، </w:t>
      </w:r>
      <w:r>
        <w:rPr>
          <w:rFonts w:hint="cs"/>
          <w:rtl/>
        </w:rPr>
        <w:t>انظر البداية والنهاية لابن كثير 13/ 29 –30</w:t>
      </w:r>
      <w:r w:rsidR="000636C2">
        <w:rPr>
          <w:rFonts w:hint="cs"/>
          <w:rtl/>
        </w:rPr>
        <w:t xml:space="preserve"> </w:t>
      </w:r>
      <w:r>
        <w:rPr>
          <w:rFonts w:hint="cs"/>
          <w:rtl/>
        </w:rPr>
        <w:t>و طبقات الشافعية لابن السبكي 5/314</w:t>
      </w:r>
      <w:r w:rsidR="000636C2">
        <w:rPr>
          <w:rFonts w:hint="cs"/>
          <w:rtl/>
        </w:rPr>
        <w:t>]</w:t>
      </w:r>
      <w:r>
        <w:rPr>
          <w:rFonts w:hint="cs"/>
          <w:rtl/>
        </w:rPr>
        <w:t xml:space="preserve"> وكان ابن فورك </w:t>
      </w:r>
      <w:r w:rsidR="000636C2">
        <w:rPr>
          <w:rFonts w:hint="cs"/>
          <w:rtl/>
        </w:rPr>
        <w:t>[</w:t>
      </w:r>
      <w:r>
        <w:rPr>
          <w:rFonts w:hint="cs"/>
          <w:rtl/>
        </w:rPr>
        <w:t>هو الإمام الأستاذ أبو بكر محمد بن الحسن بن فورك الذي لا يجارى فقهاً وأصولاً ونحوا مع مهابة وورع بالغ، بلغت تصانيفه قريبا من المائة سمع مسند الطيالسي، وروى عنه الحافظ البيهقي وأبو القاسم القشيري</w:t>
      </w:r>
      <w:r w:rsidR="000636C2">
        <w:rPr>
          <w:rFonts w:hint="cs"/>
          <w:rtl/>
        </w:rPr>
        <w:t xml:space="preserve">، </w:t>
      </w:r>
      <w:r>
        <w:rPr>
          <w:rFonts w:hint="cs"/>
          <w:rtl/>
        </w:rPr>
        <w:t>وغيرهم انظر طبقات الشافعية لابن السبكي 4/127 و شذرات الذهب لابن العماد 2/181 و وفيات الأعيان لابن خلكان 4/272</w:t>
      </w:r>
      <w:r w:rsidR="000636C2">
        <w:rPr>
          <w:rFonts w:hint="cs"/>
          <w:rtl/>
        </w:rPr>
        <w:t>]</w:t>
      </w:r>
      <w:r>
        <w:rPr>
          <w:rFonts w:hint="cs"/>
          <w:rtl/>
        </w:rPr>
        <w:t xml:space="preserve"> هو الذي يناظر ابن الهيصم في هذا المجلس </w:t>
      </w:r>
      <w:r w:rsidR="000636C2">
        <w:rPr>
          <w:rFonts w:hint="cs"/>
          <w:rtl/>
        </w:rPr>
        <w:t>[</w:t>
      </w:r>
      <w:r>
        <w:rPr>
          <w:rFonts w:hint="cs"/>
          <w:rtl/>
        </w:rPr>
        <w:t>انظر البداية والنهاية لابن كثير 12/30</w:t>
      </w:r>
      <w:r w:rsidR="000636C2">
        <w:rPr>
          <w:rFonts w:hint="cs"/>
          <w:rtl/>
        </w:rPr>
        <w:t xml:space="preserve"> </w:t>
      </w:r>
      <w:r>
        <w:rPr>
          <w:rFonts w:hint="cs"/>
          <w:rtl/>
        </w:rPr>
        <w:t>والتجسيم عند المسلمين وهو مذهب الكرامية لسهير مختار 87</w:t>
      </w:r>
      <w:r w:rsidR="000636C2">
        <w:rPr>
          <w:rFonts w:hint="cs"/>
          <w:rtl/>
        </w:rPr>
        <w:t>]</w:t>
      </w:r>
      <w:r>
        <w:rPr>
          <w:rFonts w:hint="cs"/>
          <w:rtl/>
        </w:rPr>
        <w:t xml:space="preserve"> وكانت هذه المناظرات سبباً في قتل ابن فورك</w:t>
      </w:r>
      <w:r w:rsidR="000636C2">
        <w:rPr>
          <w:rFonts w:hint="cs"/>
          <w:rtl/>
        </w:rPr>
        <w:t>،</w:t>
      </w:r>
      <w:r>
        <w:rPr>
          <w:rFonts w:hint="cs"/>
          <w:rtl/>
        </w:rPr>
        <w:t xml:space="preserve"> </w:t>
      </w:r>
      <w:r w:rsidR="000636C2">
        <w:rPr>
          <w:rFonts w:hint="cs"/>
          <w:bCs/>
          <w:rtl/>
        </w:rPr>
        <w:t>[</w:t>
      </w:r>
      <w:bookmarkStart w:id="5" w:name="_Toc112603895"/>
      <w:bookmarkStart w:id="6" w:name="_Toc112603683"/>
      <w:bookmarkStart w:id="7" w:name="_Toc112917448"/>
      <w:bookmarkStart w:id="8" w:name="_Toc112664955"/>
      <w:r>
        <w:rPr>
          <w:rFonts w:hint="cs"/>
          <w:bCs/>
          <w:rtl/>
        </w:rPr>
        <w:t>مقالة الكرامية في التجسيم</w:t>
      </w:r>
      <w:bookmarkEnd w:id="5"/>
      <w:bookmarkEnd w:id="6"/>
      <w:r w:rsidR="000636C2">
        <w:rPr>
          <w:rFonts w:hint="cs"/>
          <w:bCs/>
          <w:rtl/>
        </w:rPr>
        <w:t>]</w:t>
      </w:r>
      <w:r w:rsidR="000636C2">
        <w:rPr>
          <w:rFonts w:hint="cs"/>
          <w:rtl/>
        </w:rPr>
        <w:t>،</w:t>
      </w:r>
      <w:r>
        <w:rPr>
          <w:rFonts w:hint="cs"/>
          <w:rtl/>
        </w:rPr>
        <w:t xml:space="preserve"> جاء في </w:t>
      </w:r>
      <w:r>
        <w:rPr>
          <w:rFonts w:hint="cs"/>
          <w:rtl/>
          <w:lang w:bidi="ar-KW"/>
        </w:rPr>
        <w:t xml:space="preserve">كتاب </w:t>
      </w:r>
      <w:r>
        <w:rPr>
          <w:rFonts w:hint="cs"/>
          <w:rtl/>
        </w:rPr>
        <w:t>التجسيم في الفكر الإسلامى د صهيب السقار</w:t>
      </w:r>
      <w:r w:rsidR="000636C2">
        <w:rPr>
          <w:rFonts w:hint="cs"/>
          <w:rtl/>
        </w:rPr>
        <w:t>:</w:t>
      </w:r>
      <w:bookmarkEnd w:id="7"/>
      <w:bookmarkEnd w:id="8"/>
      <w:r w:rsidR="000636C2">
        <w:rPr>
          <w:rFonts w:hint="cs"/>
          <w:rtl/>
        </w:rPr>
        <w:t xml:space="preserve"> </w:t>
      </w:r>
      <w:r>
        <w:rPr>
          <w:rFonts w:hint="cs"/>
          <w:rtl/>
        </w:rPr>
        <w:t>" اختلف كتاب الملل والنحل في ذكر فرق الكرامية فالبغدادي جعل الكرامية ثلاثة أصناف، وجعلها الرازي ستة فرق، وأوصلها الشهرستاني إلى اثنتي عشرة فرقة</w:t>
      </w:r>
      <w:r w:rsidR="000636C2">
        <w:rPr>
          <w:rFonts w:hint="cs"/>
          <w:rtl/>
        </w:rPr>
        <w:t xml:space="preserve">، </w:t>
      </w:r>
      <w:r>
        <w:rPr>
          <w:rFonts w:hint="cs"/>
          <w:rtl/>
        </w:rPr>
        <w:t xml:space="preserve">ولا نطيل في تفصيل مقالاتهم لسببين أولهما أن جهداً قد بُذل من قبل في مذهب الكرامية </w:t>
      </w:r>
      <w:r w:rsidR="000636C2">
        <w:rPr>
          <w:rFonts w:hint="cs"/>
          <w:rtl/>
        </w:rPr>
        <w:t>[</w:t>
      </w:r>
      <w:r>
        <w:rPr>
          <w:rFonts w:hint="cs"/>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sidR="000636C2">
        <w:rPr>
          <w:rFonts w:hint="cs"/>
          <w:rtl/>
        </w:rPr>
        <w:t>]،</w:t>
      </w:r>
      <w:r>
        <w:rPr>
          <w:rFonts w:hint="cs"/>
          <w:vertAlign w:val="superscript"/>
          <w:rtl/>
        </w:rPr>
        <w:t xml:space="preserve"> </w:t>
      </w:r>
      <w:r>
        <w:rPr>
          <w:rFonts w:hint="cs"/>
          <w:rtl/>
        </w:rPr>
        <w:t>والثاني أن هذه الفرق وإن كان لكل واحدة منها رأي إلا أن الشهرستاني قال</w:t>
      </w:r>
      <w:r w:rsidR="000636C2">
        <w:rPr>
          <w:rFonts w:hint="cs"/>
          <w:rtl/>
        </w:rPr>
        <w:t>: (</w:t>
      </w:r>
      <w:r>
        <w:rPr>
          <w:rFonts w:hint="cs"/>
          <w:rtl/>
        </w:rPr>
        <w:t xml:space="preserve">.. إلا أن ذلك لما لم يصدر عن علماء معتبرين بل عن سفهاء جاهلين </w:t>
      </w:r>
      <w:r w:rsidR="000636C2">
        <w:rPr>
          <w:rFonts w:hint="cs"/>
          <w:rtl/>
        </w:rPr>
        <w:t>[</w:t>
      </w:r>
      <w:r>
        <w:rPr>
          <w:rFonts w:hint="cs"/>
          <w:rtl/>
        </w:rPr>
        <w:t>ولهذا لم يعبأ المؤرخون بالترجمة لهؤلاء، ولم أجد فيما بين يدي من مصادر شيئاً يستحق الذكر في ترجمة رؤساء هذه الفرق غير ما سبق في تاريخ هذه الفرقة</w:t>
      </w:r>
      <w:r w:rsidR="000636C2">
        <w:rPr>
          <w:rFonts w:hint="cs"/>
          <w:rtl/>
        </w:rPr>
        <w:t>]</w:t>
      </w:r>
      <w:r>
        <w:rPr>
          <w:rFonts w:hint="cs"/>
          <w:rtl/>
        </w:rPr>
        <w:t xml:space="preserve"> لم نفردها مذهباً</w:t>
      </w:r>
      <w:r w:rsidR="000636C2">
        <w:rPr>
          <w:rFonts w:hint="cs"/>
          <w:rtl/>
        </w:rPr>
        <w:t xml:space="preserve">، </w:t>
      </w:r>
      <w:r>
        <w:rPr>
          <w:rFonts w:hint="cs"/>
          <w:rtl/>
        </w:rPr>
        <w:t xml:space="preserve">وأوردنا </w:t>
      </w:r>
      <w:r>
        <w:rPr>
          <w:rFonts w:hint="cs"/>
          <w:rtl/>
        </w:rPr>
        <w:lastRenderedPageBreak/>
        <w:t>مذهب صاحب المقالة وأشرنا إلى ما يتفرع منه …</w:t>
      </w:r>
      <w:r w:rsidR="000636C2">
        <w:rPr>
          <w:rFonts w:hint="cs"/>
          <w:rtl/>
        </w:rPr>
        <w:t>) [</w:t>
      </w:r>
      <w:r>
        <w:rPr>
          <w:rFonts w:hint="cs"/>
          <w:rtl/>
        </w:rPr>
        <w:t>الملل والنحل 10 7 وانظر الفرق بين الفرق للبغدادي 2</w:t>
      </w:r>
      <w:r w:rsidR="000636C2">
        <w:rPr>
          <w:rFonts w:hint="cs"/>
          <w:rtl/>
        </w:rPr>
        <w:t>،</w:t>
      </w:r>
      <w:r>
        <w:rPr>
          <w:rFonts w:hint="cs"/>
          <w:rtl/>
        </w:rPr>
        <w:t xml:space="preserve"> 3 و اعتقادات فرق المسلمين للرازي 7</w:t>
      </w:r>
      <w:r w:rsidR="000636C2">
        <w:rPr>
          <w:rFonts w:hint="cs"/>
          <w:rtl/>
        </w:rPr>
        <w:t>]،</w:t>
      </w:r>
      <w:r>
        <w:rPr>
          <w:rFonts w:hint="cs"/>
          <w:rtl/>
        </w:rPr>
        <w:t xml:space="preserve"> فهذا بيان مقالة ابن كرام وما تفرع منها</w:t>
      </w:r>
      <w:r w:rsidR="000636C2">
        <w:rPr>
          <w:rFonts w:hint="cs"/>
          <w:rtl/>
        </w:rPr>
        <w:t>:،</w:t>
      </w:r>
      <w:r>
        <w:rPr>
          <w:rFonts w:hint="cs"/>
          <w:rtl/>
        </w:rPr>
        <w:t xml:space="preserve"> وأهم مقالاته تجسيم معبوده إذ زعم أنه جسم له حد ونهاية من تحته وهي الجهة التي يلاقي منها العرش </w:t>
      </w:r>
      <w:r w:rsidR="000636C2">
        <w:rPr>
          <w:rFonts w:hint="cs"/>
          <w:rtl/>
        </w:rPr>
        <w:t>[</w:t>
      </w:r>
      <w:r>
        <w:rPr>
          <w:rFonts w:hint="cs"/>
          <w:rtl/>
        </w:rPr>
        <w:t>انظر الفرق بين الفرق للبغدادي 2</w:t>
      </w:r>
      <w:r w:rsidR="000636C2">
        <w:rPr>
          <w:rFonts w:hint="cs"/>
          <w:rtl/>
        </w:rPr>
        <w:t>،</w:t>
      </w:r>
      <w:r>
        <w:rPr>
          <w:rFonts w:hint="cs"/>
          <w:rtl/>
        </w:rPr>
        <w:t xml:space="preserve"> 3 و الملل والنحل للشهرستاني 10 8 واعتقادات فرق المسلمين للرازي 17</w:t>
      </w:r>
      <w:r w:rsidR="000636C2">
        <w:rPr>
          <w:rFonts w:hint="cs"/>
          <w:rtl/>
        </w:rPr>
        <w:t>]،</w:t>
      </w:r>
      <w:r>
        <w:rPr>
          <w:rFonts w:hint="cs"/>
          <w:rtl/>
        </w:rPr>
        <w:t xml:space="preserve"> ثم اختلف أصحابه في النهاية فمنهم من وافقه، ومنهم من أثبت النهاية له من ست جهات، ومنهم من أنكر النهاية له وقال هو عظيم</w:t>
      </w:r>
      <w:r w:rsidR="000636C2">
        <w:rPr>
          <w:rFonts w:hint="cs"/>
          <w:rtl/>
        </w:rPr>
        <w:t>،</w:t>
      </w:r>
      <w:r>
        <w:rPr>
          <w:rFonts w:hint="cs"/>
          <w:rtl/>
        </w:rPr>
        <w:t xml:space="preserve"> ولهم في معنى العظمة خلاف فقال بعضهم معنى عظمته أنه مع وحدته على جميع أجزاء العرش والعرش تحته، وهو فوق ذلك على الوجه الذي هو فوق جزء منه</w:t>
      </w:r>
      <w:r w:rsidR="000636C2">
        <w:rPr>
          <w:rFonts w:hint="cs"/>
          <w:rtl/>
        </w:rPr>
        <w:t xml:space="preserve">، </w:t>
      </w:r>
      <w:r>
        <w:rPr>
          <w:rFonts w:hint="cs"/>
          <w:rtl/>
        </w:rPr>
        <w:t>وقال بعضهم معنى عظمنه أنه يلاقي مع وحدته من جهة واحدة أكثر من واحد وهو يلاقي جميع أجزاء العرش وهو العلي العظيم</w:t>
      </w:r>
      <w:r w:rsidR="000636C2">
        <w:rPr>
          <w:rFonts w:hint="cs"/>
          <w:rtl/>
        </w:rPr>
        <w:t>، [</w:t>
      </w:r>
      <w:r>
        <w:rPr>
          <w:rFonts w:hint="cs"/>
          <w:rtl/>
        </w:rPr>
        <w:t>انظر الملل والنحل للشهرستاني 111</w:t>
      </w:r>
      <w:r w:rsidR="000636C2">
        <w:rPr>
          <w:rFonts w:hint="cs"/>
          <w:rtl/>
        </w:rPr>
        <w:t>]،</w:t>
      </w:r>
      <w:r>
        <w:rPr>
          <w:rFonts w:hint="cs"/>
          <w:rtl/>
        </w:rPr>
        <w:t xml:space="preserve"> وقد سبق أن ابن كرام زعم أن معبوده أحدي الذات أحدي الجوهر</w:t>
      </w:r>
      <w:r w:rsidR="000636C2">
        <w:rPr>
          <w:rFonts w:hint="cs"/>
          <w:rtl/>
        </w:rPr>
        <w:t xml:space="preserve">، </w:t>
      </w:r>
      <w:r>
        <w:rPr>
          <w:rFonts w:hint="cs"/>
          <w:rtl/>
        </w:rPr>
        <w:t>وقد حاول بعض أتباعه تهذيب هذا الوصف في ما حكاه البغدادي فقال</w:t>
      </w:r>
      <w:r w:rsidR="000636C2">
        <w:rPr>
          <w:rFonts w:hint="cs"/>
          <w:rtl/>
        </w:rPr>
        <w:t>: (</w:t>
      </w:r>
      <w:r>
        <w:rPr>
          <w:rFonts w:hint="cs"/>
          <w:rtl/>
        </w:rPr>
        <w:t>وأتباعه اليوم لايبوحون بإطلاق لفظ الجوهر على الله تعالى عند العامة خوفاً من الشناعة عند الإشاعة</w:t>
      </w:r>
      <w:r w:rsidR="000636C2">
        <w:rPr>
          <w:rFonts w:hint="cs"/>
          <w:rtl/>
        </w:rPr>
        <w:t xml:space="preserve">، </w:t>
      </w:r>
      <w:r>
        <w:rPr>
          <w:rFonts w:hint="cs"/>
          <w:rtl/>
        </w:rPr>
        <w:t>وإطلاقهم لفظ الجسم عليه أشنع من اسم الجوهر وامتناعهم من تسميته جوهراً مع قولهم بأنه جسم كامتناع شبطان الطاق الرافضي من تسمية الإله جسماً مع قوله بأنه على صورة الإنسان</w:t>
      </w:r>
      <w:r w:rsidR="000636C2">
        <w:rPr>
          <w:rFonts w:hint="cs"/>
          <w:rtl/>
        </w:rPr>
        <w:t>) [</w:t>
      </w:r>
      <w:r>
        <w:rPr>
          <w:rFonts w:hint="cs"/>
          <w:rtl/>
        </w:rPr>
        <w:t>الفرق بين الفرق 2</w:t>
      </w:r>
      <w:r w:rsidR="000636C2">
        <w:rPr>
          <w:rFonts w:hint="cs"/>
          <w:rtl/>
        </w:rPr>
        <w:t>،</w:t>
      </w:r>
      <w:r>
        <w:rPr>
          <w:rFonts w:hint="cs"/>
          <w:rtl/>
        </w:rPr>
        <w:t xml:space="preserve"> 3</w:t>
      </w:r>
      <w:r w:rsidR="000636C2">
        <w:rPr>
          <w:rFonts w:hint="cs"/>
          <w:rtl/>
        </w:rPr>
        <w:t>]،</w:t>
      </w:r>
      <w:r>
        <w:rPr>
          <w:rFonts w:hint="cs"/>
          <w:rtl/>
        </w:rPr>
        <w:t xml:space="preserve"> واتفق أكثر الكرامية على إطلاق لفظ الجسم، واجتهد بعضهم في تزيين هذه المقالة فزعم أنه يريد بلفظ الجسم أنه قائم بنفسه وزعم أن هذا هو حد الجسم</w:t>
      </w:r>
      <w:r w:rsidR="000636C2">
        <w:rPr>
          <w:rFonts w:hint="cs"/>
          <w:rtl/>
        </w:rPr>
        <w:t xml:space="preserve">، </w:t>
      </w:r>
      <w:r>
        <w:rPr>
          <w:rFonts w:hint="cs"/>
          <w:rtl/>
        </w:rPr>
        <w:t>قال الشهرستاني</w:t>
      </w:r>
      <w:r w:rsidR="000636C2">
        <w:rPr>
          <w:rFonts w:hint="cs"/>
          <w:rtl/>
        </w:rPr>
        <w:t>: (</w:t>
      </w:r>
      <w:r>
        <w:rPr>
          <w:rFonts w:hint="cs"/>
          <w:rtl/>
        </w:rPr>
        <w:t>وبنوا على هذا أن من حكم القائمين بأنفسهما أن يكونا متجاوربن أو متباينين فقضى بعضهم بالتجاور مع العرش وحكم بعضهم بالتباين</w:t>
      </w:r>
      <w:r w:rsidR="000636C2">
        <w:rPr>
          <w:rFonts w:hint="cs"/>
          <w:rtl/>
        </w:rPr>
        <w:t xml:space="preserve">، </w:t>
      </w:r>
      <w:r>
        <w:rPr>
          <w:rFonts w:hint="cs"/>
          <w:rtl/>
        </w:rPr>
        <w:t>وبما قالوا كل موجودين فإما أن يكون أحدهما بحيث الآخر كالعرض مع الجوهر وإما أن يكون بجهة منه</w:t>
      </w:r>
      <w:r w:rsidR="000636C2">
        <w:rPr>
          <w:rFonts w:hint="cs"/>
          <w:rtl/>
        </w:rPr>
        <w:t xml:space="preserve">، </w:t>
      </w:r>
      <w:r>
        <w:rPr>
          <w:rFonts w:hint="cs"/>
          <w:rtl/>
        </w:rPr>
        <w:t>والباري ليس بعرض إذ هو قائم بنفسه فيجب أن يكون بجهة من العالم وأشرفها جهة فوق فقلنا هو بجهة فوق بالذات</w:t>
      </w:r>
      <w:r w:rsidR="000636C2">
        <w:rPr>
          <w:rFonts w:hint="cs"/>
          <w:rtl/>
        </w:rPr>
        <w:t>) [</w:t>
      </w:r>
      <w:r>
        <w:rPr>
          <w:rFonts w:hint="cs"/>
          <w:rtl/>
        </w:rPr>
        <w:t>الملل والنحل للشهرستاني 10 8</w:t>
      </w:r>
      <w:r w:rsidR="000636C2">
        <w:rPr>
          <w:rFonts w:hint="cs"/>
          <w:rtl/>
        </w:rPr>
        <w:t xml:space="preserve">] </w:t>
      </w:r>
      <w:r>
        <w:rPr>
          <w:rFonts w:hint="cs"/>
          <w:rtl/>
        </w:rPr>
        <w:t>وعين هذا الاستدلال موجود في المؤلفات التي توصف بجمع العقيدة السلفية، مع أن أحداً من السلف لم يهمس فيه ببنت شفة إلا أن يكون الكرامية ومن اغتر بهم من المحدثين هم السلف دون الصحابة والتابعين</w:t>
      </w:r>
      <w:r w:rsidR="000636C2">
        <w:rPr>
          <w:rFonts w:hint="cs"/>
          <w:rtl/>
        </w:rPr>
        <w:t>،</w:t>
      </w:r>
      <w:r>
        <w:rPr>
          <w:rFonts w:hint="cs"/>
          <w:rtl/>
        </w:rPr>
        <w:t xml:space="preserve"> ونعود إلى مقالة ابن كرام الذي زاد على ما سبق زعمَه أن الله تعالى مماس لعرشه من الصفحة العليا </w:t>
      </w:r>
      <w:r w:rsidR="000636C2">
        <w:rPr>
          <w:rFonts w:hint="cs"/>
          <w:rtl/>
        </w:rPr>
        <w:t>[</w:t>
      </w:r>
      <w:r>
        <w:rPr>
          <w:rFonts w:hint="cs"/>
          <w:rtl/>
        </w:rPr>
        <w:t>انظر الفرق بين الفرق للبغدادي 2</w:t>
      </w:r>
      <w:r w:rsidR="000636C2">
        <w:rPr>
          <w:rFonts w:hint="cs"/>
          <w:rtl/>
        </w:rPr>
        <w:t>،</w:t>
      </w:r>
      <w:r>
        <w:rPr>
          <w:rFonts w:hint="cs"/>
          <w:rtl/>
        </w:rPr>
        <w:t xml:space="preserve"> 4 و الملل والنحل للشهرستاني 10 8</w:t>
      </w:r>
      <w:r w:rsidR="000636C2">
        <w:rPr>
          <w:rFonts w:hint="cs"/>
          <w:rtl/>
        </w:rPr>
        <w:t xml:space="preserve">]، </w:t>
      </w:r>
      <w:r>
        <w:rPr>
          <w:rFonts w:hint="cs"/>
          <w:rtl/>
        </w:rPr>
        <w:t xml:space="preserve">وأبدل أصحابه لفظ المماسة بلفظ الملاقاة منه للعرش، وقالوا لا يصح وجود جسم بينه وبين العرش إلا أن يحيط به العرش إلى أسفل، وهذا هو معنى المماسة التي امتنعوا من لفظها كما نبه عليه البغدادي </w:t>
      </w:r>
      <w:r w:rsidR="000636C2">
        <w:rPr>
          <w:rFonts w:hint="cs"/>
          <w:rtl/>
        </w:rPr>
        <w:t>[</w:t>
      </w:r>
      <w:r>
        <w:rPr>
          <w:rFonts w:hint="cs"/>
          <w:rtl/>
        </w:rPr>
        <w:t xml:space="preserve">انظر الفرق بين الفرق </w:t>
      </w:r>
      <w:r>
        <w:rPr>
          <w:rFonts w:hint="cs"/>
          <w:rtl/>
        </w:rPr>
        <w:lastRenderedPageBreak/>
        <w:t>2</w:t>
      </w:r>
      <w:r w:rsidR="000636C2">
        <w:rPr>
          <w:rFonts w:hint="cs"/>
          <w:rtl/>
        </w:rPr>
        <w:t>،</w:t>
      </w:r>
      <w:r>
        <w:rPr>
          <w:rFonts w:hint="cs"/>
          <w:rtl/>
        </w:rPr>
        <w:t xml:space="preserve"> 4</w:t>
      </w:r>
      <w:r w:rsidR="000636C2">
        <w:rPr>
          <w:rFonts w:hint="cs"/>
          <w:rtl/>
        </w:rPr>
        <w:t>]</w:t>
      </w:r>
      <w:r>
        <w:rPr>
          <w:rFonts w:hint="cs"/>
          <w:rtl/>
        </w:rPr>
        <w:t xml:space="preserve"> ومنهم من قال إنه على بعض أجزاء العرش، وقال بعضهم إن العرش قد امتلأ به، وصار المتأخرون منهم إلى أنه بجهة فوق وأنه محاذ للعرش </w:t>
      </w:r>
      <w:r w:rsidR="000636C2">
        <w:rPr>
          <w:rFonts w:hint="cs"/>
          <w:rtl/>
        </w:rPr>
        <w:t>[</w:t>
      </w:r>
      <w:r>
        <w:rPr>
          <w:rFonts w:hint="cs"/>
          <w:rtl/>
        </w:rPr>
        <w:t>انظر الملل والنحل للشهرستاني 10 8</w:t>
      </w:r>
      <w:r w:rsidR="000636C2">
        <w:rPr>
          <w:rFonts w:hint="cs"/>
          <w:rtl/>
        </w:rPr>
        <w:t>]،</w:t>
      </w:r>
      <w:r>
        <w:rPr>
          <w:rFonts w:hint="cs"/>
          <w:rtl/>
        </w:rPr>
        <w:t xml:space="preserve"> واختلفت الكرامية في المسافة التي أثبتوها بينه وبين العرش فمنهم من قال إن بينه وبين العرش من البعد والمسافة ما لو قُدِّر مشغولاً بالجواهر لاتصلت به</w:t>
      </w:r>
      <w:r w:rsidR="000636C2">
        <w:rPr>
          <w:rFonts w:hint="cs"/>
          <w:rtl/>
        </w:rPr>
        <w:t xml:space="preserve">، </w:t>
      </w:r>
      <w:r>
        <w:rPr>
          <w:rFonts w:hint="cs"/>
          <w:rtl/>
        </w:rPr>
        <w:t>وقال ابن الهيصم</w:t>
      </w:r>
      <w:r w:rsidR="000636C2">
        <w:rPr>
          <w:rFonts w:hint="cs"/>
          <w:rtl/>
        </w:rPr>
        <w:t xml:space="preserve">: </w:t>
      </w:r>
      <w:r>
        <w:rPr>
          <w:rFonts w:hint="cs"/>
          <w:rtl/>
        </w:rPr>
        <w:t xml:space="preserve">إن بينه وبين العرش بعداً لا يتناهى وهو مباين للعالم بينونة أزلية ونفي التحيز والمحاذاة وأثبت الفوقية والمباينة </w:t>
      </w:r>
      <w:r w:rsidR="000636C2">
        <w:rPr>
          <w:rFonts w:hint="cs"/>
          <w:rtl/>
        </w:rPr>
        <w:t>[</w:t>
      </w:r>
      <w:r>
        <w:rPr>
          <w:rFonts w:hint="cs"/>
          <w:rtl/>
        </w:rPr>
        <w:t>انظر المصدر السابق 10 8 و اعتقادات فرق المسلمين للرازي 67</w:t>
      </w:r>
      <w:r w:rsidR="000636C2">
        <w:rPr>
          <w:rFonts w:hint="cs"/>
          <w:rtl/>
        </w:rPr>
        <w:t>]</w:t>
      </w:r>
      <w:r>
        <w:rPr>
          <w:rFonts w:hint="cs"/>
          <w:rtl/>
        </w:rPr>
        <w:t xml:space="preserve"> وسوف نرى تسرب هذه المقالة إلى ما يسمى بعقيدة السلف</w:t>
      </w:r>
      <w:r w:rsidR="000636C2">
        <w:rPr>
          <w:rFonts w:hint="cs"/>
          <w:rtl/>
        </w:rPr>
        <w:t>،</w:t>
      </w:r>
      <w:r>
        <w:rPr>
          <w:rFonts w:hint="cs"/>
          <w:rtl/>
        </w:rPr>
        <w:t xml:space="preserve"> واختلفت الكرامية في الاستواء على العرش فنص ابن كرام على أن معبوده على العرش استقر وأنه بجهة فوق ذاتاً وأن العرش مكان له، وجوز عليه الانتقال والنزول</w:t>
      </w:r>
      <w:r w:rsidR="000636C2">
        <w:rPr>
          <w:rFonts w:hint="cs"/>
          <w:rtl/>
        </w:rPr>
        <w:t xml:space="preserve">، </w:t>
      </w:r>
      <w:r>
        <w:rPr>
          <w:rFonts w:hint="cs"/>
          <w:rtl/>
        </w:rPr>
        <w:t>وسوف نرى مدى تسرب هذه المقالة إلى ما يسمى بعقيدة السلف أيضاً</w:t>
      </w:r>
      <w:r w:rsidR="000636C2">
        <w:rPr>
          <w:rFonts w:hint="cs"/>
          <w:rtl/>
        </w:rPr>
        <w:t>،</w:t>
      </w:r>
      <w:r>
        <w:rPr>
          <w:rFonts w:hint="cs"/>
          <w:rtl/>
        </w:rPr>
        <w:t xml:space="preserve"> وزاد بعض أصحابه فزعم أن العرش مكان له وأنه لو خلق بإزاء العرش عروشاً موازية لعرشه لصارت العروش كلها مكاناً له لأنه أكبر منها كلها</w:t>
      </w:r>
      <w:r w:rsidR="000636C2">
        <w:rPr>
          <w:rFonts w:hint="cs"/>
          <w:rtl/>
        </w:rPr>
        <w:t xml:space="preserve">، </w:t>
      </w:r>
      <w:r>
        <w:rPr>
          <w:rFonts w:hint="cs"/>
          <w:rtl/>
        </w:rPr>
        <w:t>قال البغدادي</w:t>
      </w:r>
      <w:r w:rsidR="000636C2">
        <w:rPr>
          <w:rFonts w:hint="cs"/>
          <w:rtl/>
        </w:rPr>
        <w:t>: (</w:t>
      </w:r>
      <w:r>
        <w:rPr>
          <w:rFonts w:hint="cs"/>
          <w:rtl/>
        </w:rPr>
        <w:t>وهذا القول يوجب أن عرشه اليوم كبعضه في عرضه</w:t>
      </w:r>
      <w:r w:rsidR="000636C2">
        <w:rPr>
          <w:rFonts w:hint="cs"/>
          <w:rtl/>
        </w:rPr>
        <w:t xml:space="preserve">، </w:t>
      </w:r>
      <w:r>
        <w:rPr>
          <w:rFonts w:hint="cs"/>
          <w:rtl/>
        </w:rPr>
        <w:t>ومنهم من قال</w:t>
      </w:r>
      <w:r w:rsidR="000636C2">
        <w:rPr>
          <w:rFonts w:hint="cs"/>
          <w:rtl/>
        </w:rPr>
        <w:t xml:space="preserve">: </w:t>
      </w:r>
      <w:r>
        <w:rPr>
          <w:rFonts w:hint="cs"/>
          <w:rtl/>
        </w:rPr>
        <w:t>إنه لا يزيد على عرشه من جهة المماسة ولا يفضل منه شيء على العرش</w:t>
      </w:r>
      <w:r w:rsidR="000636C2">
        <w:rPr>
          <w:rFonts w:hint="cs"/>
          <w:rtl/>
        </w:rPr>
        <w:t xml:space="preserve">، </w:t>
      </w:r>
      <w:r>
        <w:rPr>
          <w:rFonts w:hint="cs"/>
          <w:rtl/>
        </w:rPr>
        <w:t>وهذا يقتضي أن يكون عرضه بعرض العرش</w:t>
      </w:r>
      <w:r w:rsidR="000636C2">
        <w:rPr>
          <w:rFonts w:hint="cs"/>
          <w:rtl/>
        </w:rPr>
        <w:t>) [</w:t>
      </w:r>
      <w:r>
        <w:rPr>
          <w:rFonts w:hint="cs"/>
          <w:rtl/>
        </w:rPr>
        <w:t>الفرق بين الفرق 2</w:t>
      </w:r>
      <w:r w:rsidR="000636C2">
        <w:rPr>
          <w:rFonts w:hint="cs"/>
          <w:rtl/>
        </w:rPr>
        <w:t>،</w:t>
      </w:r>
      <w:r>
        <w:rPr>
          <w:rFonts w:hint="cs"/>
          <w:rtl/>
        </w:rPr>
        <w:t xml:space="preserve"> 6</w:t>
      </w:r>
      <w:r w:rsidR="000636C2">
        <w:rPr>
          <w:rFonts w:hint="cs"/>
          <w:rtl/>
        </w:rPr>
        <w:t>]</w:t>
      </w:r>
      <w:r>
        <w:rPr>
          <w:rFonts w:hint="cs"/>
          <w:rtl/>
        </w:rPr>
        <w:t xml:space="preserve"> وقال أيضاً</w:t>
      </w:r>
      <w:r w:rsidR="000636C2">
        <w:rPr>
          <w:rFonts w:hint="cs"/>
          <w:rtl/>
        </w:rPr>
        <w:t>: (</w:t>
      </w:r>
      <w:r>
        <w:rPr>
          <w:rFonts w:hint="cs"/>
          <w:rtl/>
        </w:rPr>
        <w:t xml:space="preserve">وأعجب من هذا كله أن ابن كرام وصف معبوده بالثقل وذلك أنه قال في كتاب عذاب القبر في تفسير قوله تعالى "إذا السماء انفطرت" </w:t>
      </w:r>
      <w:r w:rsidR="000636C2">
        <w:rPr>
          <w:rFonts w:hint="cs"/>
          <w:rtl/>
        </w:rPr>
        <w:t>[</w:t>
      </w:r>
      <w:r>
        <w:rPr>
          <w:rFonts w:hint="cs"/>
          <w:rtl/>
        </w:rPr>
        <w:t xml:space="preserve">الآية </w:t>
      </w:r>
      <w:r w:rsidR="000636C2">
        <w:rPr>
          <w:rFonts w:hint="cs"/>
          <w:rtl/>
        </w:rPr>
        <w:t>(</w:t>
      </w:r>
      <w:r>
        <w:rPr>
          <w:rFonts w:hint="cs"/>
          <w:rtl/>
        </w:rPr>
        <w:t>1</w:t>
      </w:r>
      <w:r w:rsidR="000636C2">
        <w:rPr>
          <w:rFonts w:hint="cs"/>
          <w:rtl/>
        </w:rPr>
        <w:t xml:space="preserve">) </w:t>
      </w:r>
      <w:r>
        <w:rPr>
          <w:rFonts w:hint="cs"/>
          <w:rtl/>
        </w:rPr>
        <w:t>من سورة الانفطار</w:t>
      </w:r>
      <w:r w:rsidR="000636C2">
        <w:rPr>
          <w:rFonts w:hint="cs"/>
          <w:rtl/>
        </w:rPr>
        <w:t>]</w:t>
      </w:r>
      <w:r>
        <w:rPr>
          <w:rFonts w:hint="cs"/>
          <w:rtl/>
        </w:rPr>
        <w:t xml:space="preserve"> إنها انفطرت من ثقل الرحمن عليها</w:t>
      </w:r>
      <w:r w:rsidR="000636C2">
        <w:rPr>
          <w:rFonts w:hint="cs"/>
          <w:rtl/>
        </w:rPr>
        <w:t>) [</w:t>
      </w:r>
      <w:r>
        <w:rPr>
          <w:rFonts w:hint="cs"/>
          <w:rtl/>
        </w:rPr>
        <w:t>الفرق بين الفرق 2</w:t>
      </w:r>
      <w:r w:rsidR="000636C2">
        <w:rPr>
          <w:rFonts w:hint="cs"/>
          <w:rtl/>
        </w:rPr>
        <w:t>،</w:t>
      </w:r>
      <w:r>
        <w:rPr>
          <w:rFonts w:hint="cs"/>
          <w:rtl/>
        </w:rPr>
        <w:t xml:space="preserve"> 7</w:t>
      </w:r>
      <w:r w:rsidR="000636C2">
        <w:rPr>
          <w:rFonts w:hint="cs"/>
          <w:rtl/>
        </w:rPr>
        <w:t>]</w:t>
      </w:r>
      <w:r>
        <w:rPr>
          <w:rFonts w:hint="cs"/>
          <w:rtl/>
        </w:rPr>
        <w:t xml:space="preserve"> وسوف نرى من وافق على ذلك من المنتسبين إلى السلف</w:t>
      </w:r>
      <w:r w:rsidR="000636C2">
        <w:rPr>
          <w:rFonts w:hint="cs"/>
          <w:rtl/>
        </w:rPr>
        <w:t>،</w:t>
      </w:r>
      <w:r>
        <w:rPr>
          <w:rFonts w:hint="cs"/>
          <w:rtl/>
        </w:rPr>
        <w:t xml:space="preserve"> ومن مقالة ابن كرام أنه أثبت الكيفية لله عز وجل في ما نقله البغدادي من كتاب عذاب القبر قال البغدادي</w:t>
      </w:r>
      <w:r w:rsidR="000636C2">
        <w:rPr>
          <w:rFonts w:hint="cs"/>
          <w:rtl/>
        </w:rPr>
        <w:t>: (</w:t>
      </w:r>
      <w:r>
        <w:rPr>
          <w:rFonts w:hint="cs"/>
          <w:rtl/>
        </w:rPr>
        <w:t>ثم إن ابن كرام ذكر في كتابه عذاب القبر باباً له ترجمة عجيبة فقال</w:t>
      </w:r>
      <w:r w:rsidR="000636C2">
        <w:rPr>
          <w:rFonts w:hint="cs"/>
          <w:rtl/>
        </w:rPr>
        <w:t xml:space="preserve">: </w:t>
      </w:r>
      <w:r>
        <w:rPr>
          <w:rFonts w:hint="cs"/>
          <w:rtl/>
        </w:rPr>
        <w:t>باب في كيفوفية الله عز وجل، ولايدري العاقل من ماذا يتعجب أمن جسارته على إطلاق لفظ الكيفية في صفات الله عز وجل</w:t>
      </w:r>
      <w:r w:rsidR="000636C2">
        <w:rPr>
          <w:rFonts w:hint="cs"/>
          <w:rtl/>
        </w:rPr>
        <w:t>؟</w:t>
      </w:r>
      <w:r>
        <w:rPr>
          <w:rFonts w:hint="cs"/>
          <w:rtl/>
        </w:rPr>
        <w:t xml:space="preserve"> أم من قبح عبارته عن الكيفية بالكيفوفية، وله من جنس هذه العبارة أشكال … وقد عبر عن مكان معبوده في بعض كتبه بالحيثوثية وهذه العبارات لائقة بمذهبه السخيف</w:t>
      </w:r>
      <w:r w:rsidR="000636C2">
        <w:rPr>
          <w:rFonts w:hint="cs"/>
          <w:rtl/>
        </w:rPr>
        <w:t>) [</w:t>
      </w:r>
      <w:r>
        <w:rPr>
          <w:rFonts w:hint="cs"/>
          <w:rtl/>
        </w:rPr>
        <w:t>الفرق بين الفرق 2</w:t>
      </w:r>
      <w:r w:rsidR="000636C2">
        <w:rPr>
          <w:rFonts w:hint="cs"/>
          <w:rtl/>
        </w:rPr>
        <w:t>،</w:t>
      </w:r>
      <w:r>
        <w:rPr>
          <w:rFonts w:hint="cs"/>
          <w:rtl/>
        </w:rPr>
        <w:t xml:space="preserve"> 7 وانظر نحوه في التبصير في الدين للإسفرائيني 68</w:t>
      </w:r>
      <w:r w:rsidR="000636C2">
        <w:rPr>
          <w:rFonts w:hint="cs"/>
          <w:rtl/>
        </w:rPr>
        <w:t>]</w:t>
      </w:r>
      <w:r>
        <w:rPr>
          <w:rFonts w:hint="cs"/>
          <w:rtl/>
        </w:rPr>
        <w:t xml:space="preserve"> وهذه المقالة مما تسرب إلى ما يسمى بعقيدة السلف أيضاً</w:t>
      </w:r>
      <w:r w:rsidR="000636C2">
        <w:rPr>
          <w:rFonts w:hint="cs"/>
          <w:rtl/>
        </w:rPr>
        <w:t>،</w:t>
      </w:r>
      <w:r>
        <w:rPr>
          <w:rFonts w:hint="cs"/>
          <w:rtl/>
        </w:rPr>
        <w:t xml:space="preserve"> ومن مقالة أصحابه التي زادوا فيها على مقالة كبيرهم أنهم عدوا في صفات الله تعالى اليدين والوجه فأثبتوها صفاتٍ قديمةً قائمة بذاته، وقالوا</w:t>
      </w:r>
      <w:r w:rsidR="000636C2">
        <w:rPr>
          <w:rFonts w:hint="cs"/>
          <w:rtl/>
        </w:rPr>
        <w:t xml:space="preserve">: </w:t>
      </w:r>
      <w:r>
        <w:rPr>
          <w:rFonts w:hint="cs"/>
          <w:rtl/>
        </w:rPr>
        <w:t xml:space="preserve">له يد لا كالأيدي ووجه لا كالوجوه </w:t>
      </w:r>
      <w:r w:rsidR="000636C2">
        <w:rPr>
          <w:rFonts w:hint="cs"/>
          <w:rtl/>
        </w:rPr>
        <w:t>[</w:t>
      </w:r>
      <w:r>
        <w:rPr>
          <w:rFonts w:hint="cs"/>
          <w:rtl/>
        </w:rPr>
        <w:t>انظر الملل والنحل للشهرستاني 111</w:t>
      </w:r>
      <w:r w:rsidR="000636C2">
        <w:rPr>
          <w:rFonts w:hint="cs"/>
          <w:rtl/>
        </w:rPr>
        <w:t>]</w:t>
      </w:r>
      <w:r>
        <w:rPr>
          <w:rFonts w:hint="cs"/>
          <w:rtl/>
        </w:rPr>
        <w:t xml:space="preserve"> وأثبتوا جواز رؤيته من جهة فوق دون سائر الجهات </w:t>
      </w:r>
      <w:r w:rsidR="000636C2">
        <w:rPr>
          <w:rFonts w:hint="cs"/>
          <w:rtl/>
        </w:rPr>
        <w:t>[</w:t>
      </w:r>
      <w:r>
        <w:rPr>
          <w:rFonts w:hint="cs"/>
          <w:rtl/>
        </w:rPr>
        <w:t>انظر الفرق بين الفرق 10 9 والملل والنحل للشهرستاني 111</w:t>
      </w:r>
      <w:r w:rsidR="000636C2">
        <w:rPr>
          <w:rFonts w:hint="cs"/>
          <w:rtl/>
        </w:rPr>
        <w:t>]،</w:t>
      </w:r>
      <w:r>
        <w:rPr>
          <w:rFonts w:hint="cs"/>
          <w:rtl/>
        </w:rPr>
        <w:t xml:space="preserve"> وزعم ابن الهيصم أن الذي أطلقه المجسمة من الهيئة والصورة </w:t>
      </w:r>
      <w:r>
        <w:rPr>
          <w:rFonts w:hint="cs"/>
          <w:rtl/>
        </w:rPr>
        <w:lastRenderedPageBreak/>
        <w:t>والجوف وغيرها لا يشبه ما أطلق الكرامية من أنه خلق آدم بيديه وأنه استوى على العرش وأنه يجيء يوم القيامة لمحاسبة خلقه، قال</w:t>
      </w:r>
      <w:r w:rsidR="000636C2">
        <w:rPr>
          <w:rFonts w:hint="cs"/>
          <w:rtl/>
        </w:rPr>
        <w:t xml:space="preserve">: </w:t>
      </w:r>
      <w:r>
        <w:rPr>
          <w:rFonts w:hint="cs"/>
          <w:rtl/>
        </w:rPr>
        <w:t>وذلك لأنا لا نعتقد ذلك على معنى فاسد من جارحة وعضو أو مطابقة للمكان والاستقرار بالعرش في تفسير الاستواء ولاتردد في الأماكن التي تحيط به في تفسير المجيء، قال</w:t>
      </w:r>
      <w:r w:rsidR="000636C2">
        <w:rPr>
          <w:rFonts w:hint="cs"/>
          <w:rtl/>
        </w:rPr>
        <w:t xml:space="preserve">: </w:t>
      </w:r>
      <w:r>
        <w:rPr>
          <w:rFonts w:hint="cs"/>
          <w:rtl/>
        </w:rPr>
        <w:t xml:space="preserve">وإنما ذهبنا في ذلك إلى إطلاق ما أطلقه القرآن فقط من غير تكييف ولا تشبيه، ومالم يرد به القرآن والخبر فلا نطلقه كما أطلقه سائر المشبهة </w:t>
      </w:r>
      <w:r w:rsidR="000636C2">
        <w:rPr>
          <w:rFonts w:hint="cs"/>
          <w:rtl/>
        </w:rPr>
        <w:t>[</w:t>
      </w:r>
      <w:r>
        <w:rPr>
          <w:rFonts w:hint="cs"/>
          <w:rtl/>
        </w:rPr>
        <w:t>انظر الملل والنحل للشهرستاني 111</w:t>
      </w:r>
      <w:r w:rsidR="000636C2">
        <w:rPr>
          <w:rFonts w:hint="cs"/>
          <w:rtl/>
        </w:rPr>
        <w:t>]،</w:t>
      </w:r>
      <w:r>
        <w:rPr>
          <w:rFonts w:hint="cs"/>
          <w:rtl/>
        </w:rPr>
        <w:t xml:space="preserve"> 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 فخلطوا ألفاظ القرآن مع هذه الفهوم</w:t>
      </w:r>
      <w:r w:rsidR="000636C2">
        <w:rPr>
          <w:rFonts w:hint="cs"/>
          <w:rtl/>
        </w:rPr>
        <w:t>،</w:t>
      </w:r>
      <w:r>
        <w:rPr>
          <w:rFonts w:hint="cs"/>
          <w:rtl/>
        </w:rPr>
        <w:t xml:space="preserve"> وتلك المنكرات، وأثبتوا الجميع مرقوعاً بزعمهم أنه على الوجه الذي يليق بجلاله ومستوراً بنفي التكييف والتشبيه لفظاً</w:t>
      </w:r>
      <w:r w:rsidR="000636C2">
        <w:rPr>
          <w:rFonts w:hint="cs"/>
          <w:rtl/>
        </w:rPr>
        <w:t>،</w:t>
      </w:r>
      <w:r>
        <w:rPr>
          <w:rFonts w:hint="cs"/>
          <w:rtl/>
        </w:rPr>
        <w:t xml:space="preserve"> وسوف نرى مثل هذا الترميم في ما يسمى بعقيدة السلف</w:t>
      </w:r>
      <w:r w:rsidR="000636C2">
        <w:rPr>
          <w:rFonts w:hint="cs"/>
          <w:rtl/>
        </w:rPr>
        <w:t>،</w:t>
      </w:r>
      <w:r>
        <w:rPr>
          <w:rFonts w:hint="cs"/>
          <w:rtl/>
        </w:rPr>
        <w:t xml:space="preserve"> وقبل أن نختم القول في تاريخ المجسمة وفرقهم نشير إلى بعض العبر والفوائد التي يجب أن لا تغيب عن الأذهان في دراسة مثل هذه الآراء</w:t>
      </w:r>
      <w:r w:rsidR="000636C2">
        <w:rPr>
          <w:rFonts w:hint="cs"/>
          <w:rtl/>
        </w:rPr>
        <w:t>،</w:t>
      </w:r>
      <w:r>
        <w:rPr>
          <w:rFonts w:hint="cs"/>
          <w:rtl/>
        </w:rPr>
        <w:t xml:space="preserve"> </w:t>
      </w:r>
      <w:r w:rsidR="000636C2">
        <w:rPr>
          <w:rFonts w:hint="cs"/>
          <w:rtl/>
        </w:rPr>
        <w:t>(</w:t>
      </w:r>
      <w:r>
        <w:rPr>
          <w:rFonts w:hint="cs"/>
          <w:rtl/>
        </w:rPr>
        <w:t>أولاً</w:t>
      </w:r>
      <w:r w:rsidR="000636C2">
        <w:rPr>
          <w:rFonts w:hint="cs"/>
          <w:rtl/>
        </w:rPr>
        <w:t xml:space="preserve">): </w:t>
      </w:r>
      <w:r>
        <w:rPr>
          <w:rFonts w:hint="cs"/>
          <w:rtl/>
        </w:rPr>
        <w:t>إن اتباع الكتاب والسنة والسلف شعار يرفعه حتى من خالف قواطع الكتاب والسنة والسلف، فها هو ابن القدوة الكرامي يزعم أنه آمن بما أنزل وما صح، وهذا مقاتل وشيطان الطاق يزعم كل منهما أنه لم يثبت صورة للرحمن على صورة آدم إلا اتباعاً للأثر</w:t>
      </w:r>
      <w:r w:rsidR="000636C2">
        <w:rPr>
          <w:rFonts w:hint="cs"/>
          <w:rtl/>
        </w:rPr>
        <w:t>،</w:t>
      </w:r>
      <w:r>
        <w:rPr>
          <w:rFonts w:hint="cs"/>
          <w:rtl/>
        </w:rPr>
        <w:t xml:space="preserve"> </w:t>
      </w:r>
      <w:r w:rsidR="000636C2">
        <w:rPr>
          <w:rFonts w:hint="cs"/>
          <w:rtl/>
        </w:rPr>
        <w:t>(</w:t>
      </w:r>
      <w:r>
        <w:rPr>
          <w:rFonts w:hint="cs"/>
          <w:rtl/>
        </w:rPr>
        <w:t>ثانياً</w:t>
      </w:r>
      <w:r w:rsidR="000636C2">
        <w:rPr>
          <w:rFonts w:hint="cs"/>
          <w:rtl/>
        </w:rPr>
        <w:t xml:space="preserve">): </w:t>
      </w:r>
      <w:r>
        <w:rPr>
          <w:rFonts w:hint="cs"/>
          <w:rtl/>
        </w:rPr>
        <w:t>أن هذا الشعار يُلبَّس بتشنيع مذهب المخالف بنسبته إلى الفلسفة كما فعل ابن القدوة</w:t>
      </w:r>
      <w:r w:rsidR="000636C2">
        <w:rPr>
          <w:rFonts w:hint="cs"/>
          <w:rtl/>
        </w:rPr>
        <w:t>،</w:t>
      </w:r>
      <w:r>
        <w:rPr>
          <w:rFonts w:hint="cs"/>
          <w:rtl/>
        </w:rPr>
        <w:t xml:space="preserve"> </w:t>
      </w:r>
      <w:r w:rsidR="000636C2">
        <w:rPr>
          <w:rFonts w:hint="cs"/>
          <w:rtl/>
        </w:rPr>
        <w:t>(</w:t>
      </w:r>
      <w:r>
        <w:rPr>
          <w:rFonts w:hint="cs"/>
          <w:rtl/>
        </w:rPr>
        <w:t>ثالثاً</w:t>
      </w:r>
      <w:r w:rsidR="000636C2">
        <w:rPr>
          <w:rFonts w:hint="cs"/>
          <w:rtl/>
        </w:rPr>
        <w:t xml:space="preserve">): </w:t>
      </w:r>
      <w:r>
        <w:rPr>
          <w:rFonts w:hint="cs"/>
          <w:rtl/>
        </w:rPr>
        <w:t>أن مثل هذه المقالات الشنيعة وَقُودها العوام الذين لا يحسنون الاستنباط ويفتقرون إلى الفهم الدقيق، وربما فتن بهذه المقالة بعض ضعاف الطلبة الذين يتململون من إعمال الفكر فيقتنعون في اعتقادهم بتقليد من أظهر مخايل الزهد وأطال في النسك وأثر في الوعظ، ويستدلون بما يظهر من التدين على ما بطن من الدين، فها هو ابن كرام على شناعة مقالته ينخدع بزهده ووعظه الآلاف</w:t>
      </w:r>
      <w:r w:rsidR="000636C2">
        <w:rPr>
          <w:rFonts w:hint="cs"/>
          <w:rtl/>
        </w:rPr>
        <w:t>،</w:t>
      </w:r>
      <w:r>
        <w:rPr>
          <w:rFonts w:hint="cs"/>
          <w:rtl/>
        </w:rPr>
        <w:t xml:space="preserve"> </w:t>
      </w:r>
      <w:r w:rsidR="000636C2">
        <w:rPr>
          <w:rFonts w:hint="cs"/>
          <w:rtl/>
        </w:rPr>
        <w:t>(</w:t>
      </w:r>
      <w:r>
        <w:rPr>
          <w:rFonts w:hint="cs"/>
          <w:rtl/>
        </w:rPr>
        <w:t>رابعاً</w:t>
      </w:r>
      <w:r w:rsidR="000636C2">
        <w:rPr>
          <w:rFonts w:hint="cs"/>
          <w:rtl/>
        </w:rPr>
        <w:t xml:space="preserve">): </w:t>
      </w:r>
      <w:r>
        <w:rPr>
          <w:rFonts w:hint="cs"/>
          <w:rtl/>
        </w:rPr>
        <w:t>أن هؤلاء العوام يُستغلون في حماية صاحب هذه المقالة من بطش أهل الحق تارة -كما هاب صاحب سجستان قتل ابن كرام واكتفي بنفيه- وتارة يُستظهر بهم في إيذاء المخالفين وإثارة الفتن كما فعل ابن القدوة</w:t>
      </w:r>
      <w:r w:rsidR="000636C2">
        <w:rPr>
          <w:rFonts w:hint="cs"/>
          <w:rtl/>
        </w:rPr>
        <w:t>،</w:t>
      </w:r>
      <w:r>
        <w:rPr>
          <w:rFonts w:hint="cs"/>
          <w:rtl/>
        </w:rPr>
        <w:t xml:space="preserve"> </w:t>
      </w:r>
      <w:r w:rsidR="000636C2">
        <w:rPr>
          <w:rFonts w:hint="cs"/>
          <w:rtl/>
        </w:rPr>
        <w:t>(</w:t>
      </w:r>
      <w:r>
        <w:rPr>
          <w:rFonts w:hint="cs"/>
          <w:rtl/>
        </w:rPr>
        <w:t>خامساً</w:t>
      </w:r>
      <w:r w:rsidR="000636C2">
        <w:rPr>
          <w:rFonts w:hint="cs"/>
          <w:rtl/>
        </w:rPr>
        <w:t xml:space="preserve">): </w:t>
      </w:r>
      <w:r>
        <w:rPr>
          <w:rFonts w:hint="cs"/>
          <w:rtl/>
        </w:rPr>
        <w:t>أن المقالة التي بان فسادها لن تعدم من يحاول ترميمها واستئصال ما انكشف من عوارها فيتبرأ المرمم مما لا يمكن إصلاحه أو يتلاعب بألفاظها ويحملها على معان أخرى غير المعاني التي بان فسادها</w:t>
      </w:r>
      <w:r w:rsidR="000636C2">
        <w:rPr>
          <w:rFonts w:hint="cs"/>
          <w:rtl/>
        </w:rPr>
        <w:t>،</w:t>
      </w:r>
      <w:r>
        <w:rPr>
          <w:rFonts w:hint="cs"/>
          <w:rtl/>
        </w:rPr>
        <w:t xml:space="preserve"> </w:t>
      </w:r>
      <w:r w:rsidR="000636C2">
        <w:rPr>
          <w:rFonts w:hint="cs"/>
          <w:rtl/>
        </w:rPr>
        <w:t>(</w:t>
      </w:r>
      <w:r>
        <w:rPr>
          <w:rFonts w:hint="cs"/>
          <w:rtl/>
        </w:rPr>
        <w:t>سادساً</w:t>
      </w:r>
      <w:r w:rsidR="000636C2">
        <w:rPr>
          <w:rFonts w:hint="cs"/>
          <w:rtl/>
        </w:rPr>
        <w:t xml:space="preserve">): </w:t>
      </w:r>
      <w:r>
        <w:rPr>
          <w:rFonts w:hint="cs"/>
          <w:rtl/>
        </w:rPr>
        <w:t>أن أكثر الناس تصريحاً بالعقائد الباطلة في هذا الباب يتمسكون بنفي التشبيه وإثبات ما أثبتوه على الوجه اللائق، فهذا هشام بن الحكم يزعم أنه إنما أثبت جسماً لا كالأجسام</w:t>
      </w:r>
      <w:r w:rsidR="000636C2">
        <w:rPr>
          <w:rFonts w:hint="cs"/>
          <w:rtl/>
        </w:rPr>
        <w:t>،</w:t>
      </w:r>
      <w:r>
        <w:rPr>
          <w:rFonts w:hint="cs"/>
          <w:rtl/>
        </w:rPr>
        <w:t xml:space="preserve"> وفي هذه المقالة يقول ابن السبكي</w:t>
      </w:r>
      <w:r w:rsidR="000636C2">
        <w:rPr>
          <w:rFonts w:hint="cs"/>
          <w:rtl/>
        </w:rPr>
        <w:t xml:space="preserve">: </w:t>
      </w:r>
      <w:r>
        <w:rPr>
          <w:rFonts w:hint="cs"/>
          <w:rtl/>
        </w:rPr>
        <w:t>" كذب ابن فاعلة يقول لجهله</w:t>
      </w:r>
      <w:r w:rsidR="000636C2">
        <w:rPr>
          <w:rFonts w:hint="cs"/>
          <w:rtl/>
        </w:rPr>
        <w:t xml:space="preserve"> </w:t>
      </w:r>
      <w:r>
        <w:rPr>
          <w:rFonts w:hint="cs"/>
          <w:rtl/>
        </w:rPr>
        <w:t>..</w:t>
      </w:r>
      <w:r w:rsidR="000636C2">
        <w:rPr>
          <w:rFonts w:hint="cs"/>
          <w:rtl/>
        </w:rPr>
        <w:t xml:space="preserve">، </w:t>
      </w:r>
      <w:r>
        <w:rPr>
          <w:rFonts w:hint="cs"/>
          <w:rtl/>
        </w:rPr>
        <w:t>الله جسم ليس كالجسمان</w:t>
      </w:r>
      <w:r w:rsidR="000636C2">
        <w:rPr>
          <w:rFonts w:hint="cs"/>
          <w:rtl/>
        </w:rPr>
        <w:t xml:space="preserve"> </w:t>
      </w:r>
      <w:r>
        <w:rPr>
          <w:rFonts w:hint="cs"/>
          <w:rtl/>
        </w:rPr>
        <w:t>..</w:t>
      </w:r>
      <w:r w:rsidR="000636C2">
        <w:rPr>
          <w:rFonts w:hint="cs"/>
          <w:rtl/>
        </w:rPr>
        <w:t xml:space="preserve">، </w:t>
      </w:r>
      <w:r>
        <w:rPr>
          <w:rFonts w:hint="cs"/>
          <w:rtl/>
        </w:rPr>
        <w:t>لو كان جسما كان كالأجسام يا</w:t>
      </w:r>
      <w:r w:rsidR="000636C2">
        <w:rPr>
          <w:rFonts w:hint="cs"/>
          <w:rtl/>
        </w:rPr>
        <w:t xml:space="preserve"> </w:t>
      </w:r>
      <w:r>
        <w:rPr>
          <w:rFonts w:hint="cs"/>
          <w:rtl/>
        </w:rPr>
        <w:t>..</w:t>
      </w:r>
      <w:r w:rsidR="000636C2">
        <w:rPr>
          <w:rFonts w:hint="cs"/>
          <w:rtl/>
        </w:rPr>
        <w:t xml:space="preserve">، </w:t>
      </w:r>
      <w:r>
        <w:rPr>
          <w:rFonts w:hint="cs"/>
          <w:rtl/>
        </w:rPr>
        <w:t xml:space="preserve">مجنون فاصغ وعد عن </w:t>
      </w:r>
      <w:r>
        <w:rPr>
          <w:rFonts w:hint="cs"/>
          <w:rtl/>
        </w:rPr>
        <w:lastRenderedPageBreak/>
        <w:t xml:space="preserve">بهتان " </w:t>
      </w:r>
      <w:r w:rsidR="000636C2">
        <w:rPr>
          <w:rFonts w:hint="cs"/>
          <w:rtl/>
        </w:rPr>
        <w:t>[</w:t>
      </w:r>
      <w:r>
        <w:rPr>
          <w:rFonts w:hint="cs"/>
          <w:rtl/>
        </w:rPr>
        <w:t>طبقات الشافعية الكبرى 3/379</w:t>
      </w:r>
      <w:r w:rsidR="000636C2">
        <w:rPr>
          <w:rFonts w:hint="cs"/>
          <w:rtl/>
        </w:rPr>
        <w:t>]،</w:t>
      </w:r>
      <w:r>
        <w:rPr>
          <w:rFonts w:hint="cs"/>
          <w:rtl/>
        </w:rPr>
        <w:t xml:space="preserve"> ومن ذلك أيضا أن مقاتل بن سليمان بعد أن تجرأ على الله عز وجل بإثبات الجسم والصورة والأعضاء والجوارح زعم أنه مع ذلك لا يشبهه شيء ولا يشبه غيره</w:t>
      </w:r>
      <w:r w:rsidR="000636C2">
        <w:rPr>
          <w:rFonts w:hint="cs"/>
          <w:rtl/>
        </w:rPr>
        <w:t>،</w:t>
      </w:r>
      <w:r>
        <w:rPr>
          <w:rFonts w:hint="cs"/>
          <w:rtl/>
        </w:rPr>
        <w:t xml:space="preserve"> وهذه النقاط لا تغيب في عصر من العصور عن فكر الخائضين في وصف الله عز وجل والمتبعين لما تشابه من كتابه وسنة رسوله صلى الله عليه وسلم " انتهى من </w:t>
      </w:r>
      <w:r>
        <w:rPr>
          <w:rFonts w:hint="cs"/>
          <w:rtl/>
          <w:lang w:bidi="ar-KW"/>
        </w:rPr>
        <w:t xml:space="preserve">كتاب </w:t>
      </w:r>
      <w:r>
        <w:rPr>
          <w:rFonts w:hint="cs"/>
          <w:rtl/>
        </w:rPr>
        <w:t>التجسيم في الفكر الإسلامى</w:t>
      </w:r>
      <w:r w:rsidR="000636C2">
        <w:rPr>
          <w:rFonts w:hint="cs"/>
          <w:rtl/>
        </w:rPr>
        <w:t xml:space="preserve">، </w:t>
      </w:r>
    </w:p>
    <w:p w14:paraId="41092393" w14:textId="77777777" w:rsidR="009C32A0" w:rsidRDefault="009C32A0" w:rsidP="000636C2">
      <w:pPr>
        <w:ind w:left="-58"/>
        <w:jc w:val="center"/>
        <w:rPr>
          <w:b/>
          <w:rtl/>
        </w:rPr>
      </w:pPr>
      <w:r>
        <w:rPr>
          <w:rFonts w:hint="cs"/>
          <w:rtl/>
        </w:rPr>
        <w:t xml:space="preserve">**** </w:t>
      </w:r>
    </w:p>
    <w:p w14:paraId="16A6A2BC" w14:textId="77777777" w:rsidR="009C32A0" w:rsidRDefault="009C32A0" w:rsidP="000636C2">
      <w:pPr>
        <w:ind w:left="-58"/>
        <w:jc w:val="center"/>
        <w:rPr>
          <w:b/>
          <w:rtl/>
        </w:rPr>
      </w:pPr>
    </w:p>
    <w:p w14:paraId="1F348133" w14:textId="5645A6F2" w:rsidR="009C32A0" w:rsidRPr="00C07A88" w:rsidRDefault="000636C2" w:rsidP="00C07A88">
      <w:pPr>
        <w:pStyle w:val="2"/>
        <w:bidi/>
        <w:jc w:val="center"/>
        <w:rPr>
          <w:u w:val="none"/>
          <w:rtl/>
        </w:rPr>
      </w:pPr>
      <w:r w:rsidRPr="00C07A88">
        <w:rPr>
          <w:rFonts w:hint="cs"/>
          <w:u w:val="none"/>
          <w:rtl/>
        </w:rPr>
        <w:t>[</w:t>
      </w:r>
      <w:r w:rsidR="009C32A0" w:rsidRPr="00C07A88">
        <w:rPr>
          <w:rFonts w:hint="cs"/>
          <w:u w:val="none"/>
          <w:rtl/>
        </w:rPr>
        <w:t>رابعاً</w:t>
      </w:r>
      <w:r w:rsidRPr="00C07A88">
        <w:rPr>
          <w:rFonts w:hint="cs"/>
          <w:u w:val="none"/>
          <w:rtl/>
        </w:rPr>
        <w:t>]</w:t>
      </w:r>
      <w:r w:rsidR="00C07A88" w:rsidRPr="00C07A88">
        <w:rPr>
          <w:rFonts w:hint="cs"/>
          <w:u w:val="none"/>
          <w:rtl/>
        </w:rPr>
        <w:t xml:space="preserve"> </w:t>
      </w:r>
      <w:r w:rsidR="009C32A0" w:rsidRPr="00C07A88">
        <w:rPr>
          <w:rFonts w:hint="cs"/>
          <w:u w:val="none"/>
          <w:rtl/>
        </w:rPr>
        <w:t>تسرب مقالات التجسيم والحشو إلى كتب السنّة</w:t>
      </w:r>
    </w:p>
    <w:p w14:paraId="7D75054D" w14:textId="77777777" w:rsidR="009C32A0" w:rsidRDefault="009C32A0" w:rsidP="000636C2">
      <w:pPr>
        <w:ind w:left="-58"/>
        <w:rPr>
          <w:b/>
          <w:rtl/>
        </w:rPr>
      </w:pPr>
    </w:p>
    <w:p w14:paraId="0D595BED" w14:textId="5FB856FA" w:rsidR="009C32A0" w:rsidRDefault="009C32A0" w:rsidP="000636C2">
      <w:pPr>
        <w:ind w:left="-58"/>
        <w:rPr>
          <w:b/>
          <w:rtl/>
        </w:rPr>
      </w:pPr>
      <w:r>
        <w:rPr>
          <w:rFonts w:hint="cs"/>
          <w:rtl/>
        </w:rPr>
        <w:t>قال الدكتور صهيب السقار في كتابه التجسيم في الفكر الإسلامي - تحت عنوان التجسيم في فكر المحدثين -</w:t>
      </w:r>
      <w:r w:rsidR="000636C2">
        <w:rPr>
          <w:rFonts w:hint="cs"/>
          <w:rtl/>
        </w:rPr>
        <w:t xml:space="preserve">: </w:t>
      </w:r>
      <w:r>
        <w:rPr>
          <w:rFonts w:hint="cs"/>
          <w:rtl/>
        </w:rPr>
        <w:t>" من المعروف أن أهل الحديث ليس لهم مذهب مستقل لا في الفقه ولا في الاعتقاد</w:t>
      </w:r>
      <w:r w:rsidR="000636C2">
        <w:rPr>
          <w:rFonts w:hint="cs"/>
          <w:rtl/>
        </w:rPr>
        <w:t xml:space="preserve">، </w:t>
      </w:r>
      <w:r>
        <w:rPr>
          <w:rFonts w:hint="cs"/>
          <w:rtl/>
        </w:rPr>
        <w:t>وكتب الرجال وبيان حال الرواة ومصنفات المحدثين تشهد بأن في رواة الحديث من الحنابلة والشافعية وسائر المذاهب الفقهية، وفيهم من الحشوية والرافضة والخوارج وغيرها من المذاهب الفكرية من لم يخرجهم مذهبهم الفكري من دائرة المحدثين، وإن حُكم عليهم بالبدعة ومخالفة السنة</w:t>
      </w:r>
      <w:r w:rsidR="000636C2">
        <w:rPr>
          <w:rFonts w:hint="cs"/>
          <w:rtl/>
        </w:rPr>
        <w:t xml:space="preserve">، </w:t>
      </w:r>
      <w:r>
        <w:rPr>
          <w:rFonts w:hint="cs"/>
          <w:rtl/>
        </w:rPr>
        <w:t>وحتى المحدثون من أهل السنة فيهم من اختار مذهب الاشاعرة أو الماتريدية، و فيهم أيضا من اختار المذهب الذي يحكيه الشيخ ابن تيمية وغيره عن أهل الحديث على أنه مذهب السلف وأهل السنة</w:t>
      </w:r>
      <w:r w:rsidR="000636C2">
        <w:rPr>
          <w:rFonts w:hint="cs"/>
          <w:rtl/>
        </w:rPr>
        <w:t xml:space="preserve">، </w:t>
      </w:r>
      <w:r>
        <w:rPr>
          <w:rFonts w:hint="cs"/>
          <w:rtl/>
        </w:rPr>
        <w:t>والدافع إلى هذا الانتساب إلى الحديث والسلف هو ما في الحديث النبوي والسلف الصالح من القدسية والمكانة عند أهل السنة</w:t>
      </w:r>
      <w:r w:rsidR="000636C2">
        <w:rPr>
          <w:rFonts w:hint="cs"/>
          <w:rtl/>
        </w:rPr>
        <w:t xml:space="preserve">، </w:t>
      </w:r>
      <w:r>
        <w:rPr>
          <w:rFonts w:hint="cs"/>
          <w:rtl/>
        </w:rPr>
        <w:t>فكلهم يدعي وصلاً بالحديث والسلف ويطعن في فهم مخالفه لحقيقة مذهبهم</w:t>
      </w:r>
      <w:r w:rsidR="000636C2">
        <w:rPr>
          <w:rFonts w:hint="cs"/>
          <w:rtl/>
        </w:rPr>
        <w:t>،</w:t>
      </w:r>
      <w:r>
        <w:rPr>
          <w:rFonts w:hint="cs"/>
          <w:rtl/>
        </w:rPr>
        <w:t xml:space="preserve"> وقد يستغل بعضُ من أخطأ في فهم مذهبهم مكانةَ الحديث والسلف للتشنيع على مخالفه وتقبيح مذهبه والتنفير عنه برميه بالتنكب عن منهجهم</w:t>
      </w:r>
      <w:r w:rsidR="000636C2">
        <w:rPr>
          <w:rFonts w:hint="cs"/>
          <w:rtl/>
        </w:rPr>
        <w:t xml:space="preserve">، </w:t>
      </w:r>
      <w:r>
        <w:rPr>
          <w:rFonts w:hint="cs"/>
          <w:rtl/>
        </w:rPr>
        <w:t>وهذا يوجب أن نحرر مذهب أهل الحديث في مسألتنا خاصة ونضبط من يشمله عموم هذا الانتساب ومن هو الحقيق بشرف إقرار الحديث الشريف له بما ادعاه من الوصال</w:t>
      </w:r>
      <w:r w:rsidR="000636C2">
        <w:rPr>
          <w:rFonts w:hint="cs"/>
          <w:rtl/>
        </w:rPr>
        <w:t xml:space="preserve">، </w:t>
      </w:r>
      <w:r>
        <w:rPr>
          <w:rFonts w:hint="cs"/>
          <w:rtl/>
        </w:rPr>
        <w:t xml:space="preserve">فأهل الحديث هم المشتغلون برواية الحديث ودرايته, فكل من صنف في متون الحديث النبوي وكل من اندرج </w:t>
      </w:r>
      <w:r>
        <w:rPr>
          <w:rFonts w:hint="cs"/>
          <w:rtl/>
        </w:rPr>
        <w:lastRenderedPageBreak/>
        <w:t>في أسانيده وكل من غلب عليه الاشتغال بعلم مصطلحه استحق أن يعد من أهل الحديث</w:t>
      </w:r>
      <w:r w:rsidR="000636C2">
        <w:rPr>
          <w:rFonts w:hint="cs"/>
          <w:rtl/>
        </w:rPr>
        <w:t xml:space="preserve">، </w:t>
      </w:r>
      <w:r>
        <w:rPr>
          <w:rFonts w:hint="cs"/>
          <w:rtl/>
        </w:rPr>
        <w:t>وفي هذه الدائرة يتفاوت هؤلاء في مواقفهم من التجسيم</w:t>
      </w:r>
      <w:r w:rsidR="000636C2">
        <w:rPr>
          <w:rFonts w:hint="cs"/>
          <w:rtl/>
        </w:rPr>
        <w:t xml:space="preserve">، </w:t>
      </w:r>
      <w:r>
        <w:rPr>
          <w:rFonts w:hint="cs"/>
          <w:rtl/>
        </w:rPr>
        <w:t>ويمكن إجمال تفاوتهم في موقفين</w:t>
      </w:r>
      <w:r w:rsidR="000636C2">
        <w:rPr>
          <w:rFonts w:hint="cs"/>
          <w:rtl/>
        </w:rPr>
        <w:t>: (</w:t>
      </w:r>
      <w:r>
        <w:rPr>
          <w:rFonts w:hint="cs"/>
          <w:rtl/>
        </w:rPr>
        <w:t>الأول</w:t>
      </w:r>
      <w:r w:rsidR="000636C2">
        <w:rPr>
          <w:rFonts w:hint="cs"/>
          <w:rtl/>
        </w:rPr>
        <w:t xml:space="preserve">): </w:t>
      </w:r>
      <w:r>
        <w:rPr>
          <w:rFonts w:hint="cs"/>
          <w:rtl/>
        </w:rPr>
        <w:t>موقف من يجاهر بتنزيه الله عز وجل باختيار مذهب التفويض أو التأويل في المتشابه</w:t>
      </w:r>
      <w:r w:rsidR="000636C2">
        <w:rPr>
          <w:rFonts w:hint="cs"/>
          <w:rtl/>
        </w:rPr>
        <w:t xml:space="preserve">، </w:t>
      </w:r>
      <w:r>
        <w:rPr>
          <w:rFonts w:hint="cs"/>
          <w:rtl/>
        </w:rPr>
        <w:t>وعلى رأس هؤلاء من المحدثين إمام دار الهجرة مالك بن أنس رحمه الله</w:t>
      </w:r>
      <w:r w:rsidR="000636C2">
        <w:rPr>
          <w:rFonts w:hint="cs"/>
          <w:rtl/>
        </w:rPr>
        <w:t xml:space="preserve">، </w:t>
      </w:r>
      <w:r>
        <w:rPr>
          <w:rFonts w:hint="cs"/>
          <w:rtl/>
        </w:rPr>
        <w:t xml:space="preserve">الذي كان ينهى عن التحديث بالأحاديث التي توهم التشبيه وتشكل في المعنى </w:t>
      </w:r>
      <w:r w:rsidR="000636C2">
        <w:rPr>
          <w:rFonts w:hint="cs"/>
          <w:rtl/>
        </w:rPr>
        <w:t>[</w:t>
      </w:r>
      <w:r>
        <w:rPr>
          <w:rFonts w:hint="cs"/>
          <w:color w:val="000000"/>
          <w:rtl/>
        </w:rPr>
        <w:t>انظر الشفا للقاضي عياض 2/ 542</w:t>
      </w:r>
      <w:r w:rsidR="000636C2">
        <w:rPr>
          <w:rFonts w:hint="cs"/>
          <w:rtl/>
        </w:rPr>
        <w:t xml:space="preserve">] </w:t>
      </w:r>
      <w:r>
        <w:rPr>
          <w:rFonts w:hint="cs"/>
          <w:rtl/>
        </w:rPr>
        <w:t xml:space="preserve">مثل الحديث الذي جاء في صورة آدم وكان ينكر ذلك إنكاراً شديدا كما في سير أعلام النبلاء للذهبي </w:t>
      </w:r>
      <w:r w:rsidR="000636C2">
        <w:rPr>
          <w:rFonts w:hint="cs"/>
          <w:rtl/>
        </w:rPr>
        <w:t>[</w:t>
      </w:r>
      <w:r>
        <w:rPr>
          <w:rFonts w:hint="cs"/>
          <w:color w:val="000000"/>
          <w:rtl/>
        </w:rPr>
        <w:t>5/449</w:t>
      </w:r>
      <w:r w:rsidR="000636C2">
        <w:rPr>
          <w:rFonts w:hint="cs"/>
          <w:rtl/>
        </w:rPr>
        <w:t>]،</w:t>
      </w:r>
      <w:r>
        <w:rPr>
          <w:rFonts w:hint="cs"/>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w:t>
      </w:r>
      <w:r w:rsidR="000636C2">
        <w:rPr>
          <w:rFonts w:hint="cs"/>
          <w:rtl/>
        </w:rPr>
        <w:t>؟،</w:t>
      </w:r>
      <w:r>
        <w:rPr>
          <w:rFonts w:hint="cs"/>
          <w:rtl/>
        </w:rPr>
        <w:t xml:space="preserve"> ومن أصحاب هذا الموقف الإمام أحمد بن حنبل الذي ثبت عنه التأويل وتفويض المعنى ولم يثبت عنه غيره</w:t>
      </w:r>
      <w:r w:rsidR="000636C2">
        <w:rPr>
          <w:rFonts w:hint="cs"/>
          <w:rtl/>
        </w:rPr>
        <w:t xml:space="preserve">، </w:t>
      </w:r>
      <w:r>
        <w:rPr>
          <w:rFonts w:hint="cs"/>
          <w:rtl/>
        </w:rPr>
        <w:t>كما سبق</w:t>
      </w:r>
      <w:r w:rsidR="000636C2">
        <w:rPr>
          <w:rFonts w:hint="cs"/>
          <w:rtl/>
        </w:rPr>
        <w:t xml:space="preserve">، </w:t>
      </w:r>
      <w:r>
        <w:rPr>
          <w:rFonts w:hint="cs"/>
          <w:rtl/>
        </w:rPr>
        <w:t>ومن أصحاب هذا الموقف من حكينا عنهم اختيار التفويض الذي يعده ابن تيمية من شر أقوال أهل البدع كما سبق</w:t>
      </w:r>
      <w:r w:rsidR="000636C2">
        <w:rPr>
          <w:rFonts w:hint="cs"/>
          <w:rtl/>
        </w:rPr>
        <w:t>،</w:t>
      </w:r>
      <w:r>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000636C2">
        <w:rPr>
          <w:rFonts w:hint="cs"/>
          <w:rtl/>
        </w:rPr>
        <w:t>،</w:t>
      </w:r>
      <w:r>
        <w:rPr>
          <w:rFonts w:hint="cs"/>
          <w:rtl/>
        </w:rPr>
        <w:t xml:space="preserve"> وهؤلاء الذين ساروا على نهج الإمام مالك وأحمد بن حنبل هم الجديرون بالانتساب إلى الحديث الشريف</w:t>
      </w:r>
      <w:r w:rsidR="000636C2">
        <w:rPr>
          <w:rFonts w:hint="cs"/>
          <w:rtl/>
        </w:rPr>
        <w:t>،</w:t>
      </w:r>
      <w:r>
        <w:rPr>
          <w:rFonts w:hint="cs"/>
          <w:rtl/>
        </w:rPr>
        <w:t xml:space="preserve"> </w:t>
      </w:r>
      <w:r w:rsidR="000636C2">
        <w:rPr>
          <w:rFonts w:hint="cs"/>
          <w:rtl/>
        </w:rPr>
        <w:t>(</w:t>
      </w:r>
      <w:r>
        <w:rPr>
          <w:rFonts w:hint="cs"/>
          <w:rtl/>
        </w:rPr>
        <w:t>الموقف الثاني</w:t>
      </w:r>
      <w:r w:rsidR="000636C2">
        <w:rPr>
          <w:rFonts w:hint="cs"/>
          <w:rtl/>
        </w:rPr>
        <w:t xml:space="preserve">): </w:t>
      </w:r>
      <w:r>
        <w:rPr>
          <w:rFonts w:hint="cs"/>
          <w:rtl/>
        </w:rPr>
        <w:t>موقف من يثبت بعض الأخبار الواهية المنكرة التي لا تكاد تحتمل التأويل</w:t>
      </w:r>
      <w:r w:rsidR="000636C2">
        <w:rPr>
          <w:rFonts w:hint="cs"/>
          <w:rtl/>
        </w:rPr>
        <w:t>،</w:t>
      </w:r>
      <w:r>
        <w:rPr>
          <w:rFonts w:hint="cs"/>
          <w:rtl/>
        </w:rPr>
        <w:t xml:space="preserve"> ومن هذا الفريق من ألف وجمع من هذه الأحاديث والأخبار التي يسمونها أخبار الصفات</w:t>
      </w:r>
      <w:r w:rsidR="000636C2">
        <w:rPr>
          <w:rFonts w:hint="cs"/>
          <w:rtl/>
        </w:rPr>
        <w:t>،</w:t>
      </w:r>
      <w:r>
        <w:rPr>
          <w:rFonts w:hint="cs"/>
          <w:rtl/>
        </w:rPr>
        <w:t xml:space="preserve"> وعلى هؤلاء العمدة في تقرير ما يسمونه اليوم بعقيدة السلف</w:t>
      </w:r>
      <w:r w:rsidR="000636C2">
        <w:rPr>
          <w:rFonts w:hint="cs"/>
          <w:rtl/>
        </w:rPr>
        <w:t xml:space="preserve">، </w:t>
      </w:r>
      <w:r>
        <w:rPr>
          <w:rFonts w:hint="cs"/>
          <w:rtl/>
        </w:rPr>
        <w:t>ولا بد من الإشارة إلى بعض هذه المصنفات مع المرور على بعض ما فيها لندرك البون الشاسع بين أصحاب الموقف الأول وأصحاب هذا الموقف</w:t>
      </w:r>
      <w:r w:rsidR="000636C2">
        <w:rPr>
          <w:rFonts w:hint="cs"/>
          <w:rtl/>
        </w:rPr>
        <w:t xml:space="preserve">: </w:t>
      </w:r>
      <w:bookmarkStart w:id="9" w:name="_Toc112917451"/>
      <w:bookmarkStart w:id="10" w:name="_Toc112664958"/>
      <w:bookmarkStart w:id="11" w:name="_Toc112603898"/>
      <w:bookmarkStart w:id="12" w:name="_Toc112603686"/>
      <w:r w:rsidR="000636C2">
        <w:rPr>
          <w:rFonts w:hint="cs"/>
          <w:bCs/>
          <w:rtl/>
        </w:rPr>
        <w:t>(</w:t>
      </w:r>
      <w:r>
        <w:rPr>
          <w:rFonts w:hint="cs"/>
          <w:bCs/>
          <w:rtl/>
        </w:rPr>
        <w:t>أولاً</w:t>
      </w:r>
      <w:r w:rsidR="000636C2">
        <w:rPr>
          <w:rFonts w:hint="cs"/>
          <w:bCs/>
          <w:rtl/>
        </w:rPr>
        <w:t xml:space="preserve">): </w:t>
      </w:r>
      <w:r>
        <w:rPr>
          <w:rFonts w:hint="cs"/>
          <w:bCs/>
          <w:rtl/>
        </w:rPr>
        <w:t>كتاب الرد على الجهمية وكتاب نقض عثمان بن سعيد على المريسي العنيد</w:t>
      </w:r>
      <w:bookmarkEnd w:id="9"/>
      <w:bookmarkEnd w:id="10"/>
      <w:bookmarkEnd w:id="11"/>
      <w:bookmarkEnd w:id="12"/>
      <w:r w:rsidR="000636C2">
        <w:rPr>
          <w:rFonts w:hint="cs"/>
          <w:bCs/>
          <w:rtl/>
        </w:rPr>
        <w:t xml:space="preserve">: </w:t>
      </w:r>
      <w:r>
        <w:rPr>
          <w:rFonts w:hint="cs"/>
          <w:bCs/>
          <w:rtl/>
        </w:rPr>
        <w:t>لعثمان بن سعيد الدارمي</w:t>
      </w:r>
      <w:r>
        <w:rPr>
          <w:rFonts w:hint="cs"/>
          <w:rtl/>
        </w:rPr>
        <w:t xml:space="preserve"> </w:t>
      </w:r>
      <w:r w:rsidR="000636C2">
        <w:rPr>
          <w:rFonts w:hint="cs"/>
          <w:rtl/>
        </w:rPr>
        <w:t>(</w:t>
      </w:r>
      <w:r>
        <w:rPr>
          <w:rFonts w:hint="cs"/>
          <w:rtl/>
        </w:rPr>
        <w:t>28</w:t>
      </w:r>
      <w:r w:rsidR="000636C2">
        <w:rPr>
          <w:rFonts w:hint="cs"/>
          <w:rtl/>
        </w:rPr>
        <w:t xml:space="preserve">، </w:t>
      </w:r>
      <w:r>
        <w:rPr>
          <w:rFonts w:hint="cs"/>
          <w:rtl/>
        </w:rPr>
        <w:t>هـ</w:t>
      </w:r>
      <w:r w:rsidR="000636C2">
        <w:rPr>
          <w:rFonts w:hint="cs"/>
          <w:rtl/>
        </w:rPr>
        <w:t>) [</w:t>
      </w:r>
      <w:r>
        <w:rPr>
          <w:rFonts w:hint="cs"/>
          <w:color w:val="000000"/>
          <w:rtl/>
        </w:rPr>
        <w:t>انظر ترجمته في سير أعلام النبلاء 13/319</w:t>
      </w:r>
      <w:r w:rsidR="000636C2">
        <w:rPr>
          <w:rFonts w:hint="cs"/>
          <w:rtl/>
        </w:rPr>
        <w:t xml:space="preserve">]: </w:t>
      </w:r>
      <w:r>
        <w:rPr>
          <w:rFonts w:hint="cs"/>
          <w:rtl/>
        </w:rPr>
        <w:t xml:space="preserve">أما كتاب الجهمية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w:t>
      </w:r>
      <w:r>
        <w:rPr>
          <w:rFonts w:hint="cs"/>
          <w:rtl/>
        </w:rPr>
        <w:lastRenderedPageBreak/>
        <w:t>السنة من الأشاعرة والماتريدية</w:t>
      </w:r>
      <w:r w:rsidR="000636C2">
        <w:rPr>
          <w:rFonts w:hint="cs"/>
          <w:rtl/>
        </w:rPr>
        <w:t>،</w:t>
      </w:r>
      <w:r>
        <w:rPr>
          <w:rFonts w:hint="cs"/>
          <w:rtl/>
        </w:rPr>
        <w:t xml:space="preserve"> أما كتابه الآخر</w:t>
      </w:r>
      <w:r w:rsidR="000636C2">
        <w:rPr>
          <w:rFonts w:hint="cs"/>
          <w:rtl/>
        </w:rPr>
        <w:t xml:space="preserve"> [</w:t>
      </w:r>
      <w:r>
        <w:rPr>
          <w:rFonts w:hint="cs"/>
          <w:rtl/>
        </w:rPr>
        <w:t>نقض عثمان بن سعيد على المريسي</w:t>
      </w:r>
      <w:r w:rsidR="000636C2">
        <w:rPr>
          <w:rFonts w:hint="cs"/>
          <w:rtl/>
        </w:rPr>
        <w:t xml:space="preserve">] </w:t>
      </w:r>
      <w:r>
        <w:rPr>
          <w:rFonts w:hint="cs"/>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0636C2">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0636C2">
        <w:rPr>
          <w:rFonts w:hint="cs"/>
          <w:rtl/>
        </w:rPr>
        <w:t>: (</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0636C2">
        <w:rPr>
          <w:rFonts w:hint="cs"/>
          <w:rtl/>
        </w:rPr>
        <w:t xml:space="preserve">، </w:t>
      </w:r>
      <w:r>
        <w:rPr>
          <w:rFonts w:hint="cs"/>
          <w:rtl/>
        </w:rPr>
        <w:t>وكان شيخ الإسلام ابن تيمية رحمه الله يوصي بهذين الكتابين أشد الوصية ويعظمهما جداً</w:t>
      </w:r>
      <w:r w:rsidR="000636C2">
        <w:rPr>
          <w:rFonts w:hint="cs"/>
          <w:rtl/>
        </w:rPr>
        <w:t xml:space="preserve">، </w:t>
      </w:r>
      <w:r>
        <w:rPr>
          <w:rFonts w:hint="cs"/>
          <w:rtl/>
        </w:rPr>
        <w:t>وفيهما من تقرير التوحيد والأسماء والصفات بالعقل والنقل ما ليس في غيرهما</w:t>
      </w:r>
      <w:r w:rsidR="000636C2">
        <w:rPr>
          <w:rFonts w:hint="cs"/>
          <w:rtl/>
        </w:rPr>
        <w:t>) [</w:t>
      </w:r>
      <w:r>
        <w:rPr>
          <w:rFonts w:hint="cs"/>
          <w:color w:val="000000"/>
          <w:rtl/>
        </w:rPr>
        <w:t>اجتماع الجيوش 143</w:t>
      </w:r>
      <w:r w:rsidR="000636C2">
        <w:rPr>
          <w:rFonts w:hint="cs"/>
          <w:rtl/>
        </w:rPr>
        <w:t>]،</w:t>
      </w:r>
      <w:r>
        <w:rPr>
          <w:rFonts w:hint="cs"/>
          <w:rtl/>
        </w:rPr>
        <w:t xml:space="preserve"> ومع أن الحافظ الذهبي ينقل عن الدارمي ويثني عليه إلا أنه نبه إلى غلو الدارمي فقال</w:t>
      </w:r>
      <w:r w:rsidR="000636C2">
        <w:rPr>
          <w:rFonts w:hint="cs"/>
          <w:rtl/>
        </w:rPr>
        <w:t>: (</w:t>
      </w:r>
      <w:r>
        <w:rPr>
          <w:rFonts w:hint="cs"/>
          <w:rtl/>
        </w:rPr>
        <w:t>وفي كتابه بحوث عجيبة مع المريسي يبالغ فيها في الإثبات والسكوت عنها أشبه بمنهج السلف في القديم</w:t>
      </w:r>
      <w:r w:rsidR="000636C2">
        <w:rPr>
          <w:rFonts w:hint="cs"/>
          <w:rtl/>
        </w:rPr>
        <w:t>) [</w:t>
      </w:r>
      <w:r>
        <w:rPr>
          <w:rFonts w:hint="cs"/>
          <w:color w:val="000000"/>
          <w:rtl/>
        </w:rPr>
        <w:t>العلو للعلي الغفار1/ 195</w:t>
      </w:r>
      <w:r w:rsidR="000636C2">
        <w:rPr>
          <w:rFonts w:hint="cs"/>
          <w:rtl/>
        </w:rPr>
        <w:t>]،</w:t>
      </w:r>
      <w:r>
        <w:rPr>
          <w:rFonts w:hint="cs"/>
          <w:rtl/>
        </w:rPr>
        <w:t xml:space="preserve"> وهذا التنبيه لا يكفي لأننا نحتاج أن نعلم إلى أي مدى وصل الدارمي في الإثبات</w:t>
      </w:r>
      <w:r w:rsidR="000636C2">
        <w:rPr>
          <w:rFonts w:hint="cs"/>
          <w:rtl/>
        </w:rPr>
        <w:t xml:space="preserve">، </w:t>
      </w:r>
      <w:r>
        <w:rPr>
          <w:rFonts w:hint="cs"/>
          <w:rtl/>
        </w:rPr>
        <w:t>ويلاحظ تردد الحافظ الذهبي في الحكم على ما أثبته الدارمي فهو يكتفي بأن ينبه إلى أن السكوت عنه أشبه بمنهج السلف</w:t>
      </w:r>
      <w:r w:rsidR="000636C2">
        <w:rPr>
          <w:rFonts w:hint="cs"/>
          <w:rtl/>
        </w:rPr>
        <w:t>،</w:t>
      </w:r>
      <w:r>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w:t>
      </w:r>
      <w:r w:rsidR="000636C2">
        <w:rPr>
          <w:rFonts w:hint="cs"/>
          <w:rtl/>
        </w:rPr>
        <w:t>؟</w:t>
      </w:r>
      <w:r w:rsidR="000636C2">
        <w:rPr>
          <w:rFonts w:hint="cs"/>
          <w:vertAlign w:val="superscript"/>
          <w:rtl/>
        </w:rPr>
        <w:t xml:space="preserve"> </w:t>
      </w:r>
      <w:bookmarkStart w:id="13" w:name="_Toc112917452"/>
      <w:bookmarkStart w:id="14" w:name="_Toc112664959"/>
      <w:bookmarkStart w:id="15" w:name="_Toc112603899"/>
      <w:bookmarkStart w:id="16" w:name="_Toc112603687"/>
      <w:r w:rsidR="000636C2">
        <w:rPr>
          <w:rFonts w:hint="cs"/>
          <w:bCs/>
          <w:rtl/>
        </w:rPr>
        <w:t>(</w:t>
      </w:r>
      <w:r>
        <w:rPr>
          <w:rFonts w:hint="cs"/>
          <w:bCs/>
          <w:rtl/>
        </w:rPr>
        <w:t>ثانياً</w:t>
      </w:r>
      <w:r w:rsidR="000636C2">
        <w:rPr>
          <w:rFonts w:hint="cs"/>
          <w:bCs/>
          <w:rtl/>
        </w:rPr>
        <w:t xml:space="preserve">): </w:t>
      </w:r>
      <w:r>
        <w:rPr>
          <w:rFonts w:hint="cs"/>
          <w:bCs/>
          <w:rtl/>
        </w:rPr>
        <w:t>كتاب السنة لابن أبي عاصم</w:t>
      </w:r>
      <w:bookmarkEnd w:id="13"/>
      <w:bookmarkEnd w:id="14"/>
      <w:bookmarkEnd w:id="15"/>
      <w:bookmarkEnd w:id="16"/>
      <w:r w:rsidR="000636C2">
        <w:rPr>
          <w:rFonts w:hint="cs"/>
          <w:rtl/>
        </w:rPr>
        <w:t xml:space="preserve">: </w:t>
      </w:r>
      <w:r>
        <w:rPr>
          <w:rFonts w:hint="cs"/>
          <w:rtl/>
        </w:rPr>
        <w:t xml:space="preserve">هذا الكتاب لمؤلفه أبي بكر بن أبي عاصم أحمد بن عمرو بن الضحاك بن مخلد الشيباني من أهل البصرة </w:t>
      </w:r>
      <w:r w:rsidR="000636C2">
        <w:rPr>
          <w:rFonts w:hint="cs"/>
          <w:rtl/>
        </w:rPr>
        <w:t>(</w:t>
      </w:r>
      <w:r>
        <w:rPr>
          <w:rFonts w:hint="cs"/>
          <w:rtl/>
        </w:rPr>
        <w:t>287هـ</w:t>
      </w:r>
      <w:r w:rsidR="000636C2">
        <w:rPr>
          <w:rFonts w:hint="cs"/>
          <w:rtl/>
        </w:rPr>
        <w:t xml:space="preserve">) </w:t>
      </w:r>
      <w:r>
        <w:rPr>
          <w:rFonts w:hint="cs"/>
          <w:rtl/>
        </w:rPr>
        <w:t>وكان مذهبه القول بالظاهر</w:t>
      </w:r>
      <w:r w:rsidR="000636C2">
        <w:rPr>
          <w:rFonts w:hint="cs"/>
          <w:rtl/>
        </w:rPr>
        <w:t xml:space="preserve"> [</w:t>
      </w:r>
      <w:r>
        <w:rPr>
          <w:rFonts w:hint="cs"/>
          <w:rtl/>
        </w:rPr>
        <w:t>انظر ترجمته في سير أعلام النبلاء 13/430</w:t>
      </w:r>
      <w:r w:rsidR="000636C2">
        <w:rPr>
          <w:rFonts w:hint="cs"/>
          <w:rtl/>
        </w:rPr>
        <w:t xml:space="preserve">]، </w:t>
      </w:r>
      <w:r>
        <w:rPr>
          <w:rFonts w:hint="cs"/>
          <w:rtl/>
        </w:rPr>
        <w:t>وأثبت في كتابه من الأخبار المنكرة ما هو مذكور في موضعه</w:t>
      </w:r>
      <w:r w:rsidR="000636C2">
        <w:rPr>
          <w:rFonts w:hint="cs"/>
          <w:rtl/>
        </w:rPr>
        <w:t>،</w:t>
      </w:r>
      <w:r>
        <w:rPr>
          <w:rFonts w:hint="cs"/>
          <w:rtl/>
        </w:rPr>
        <w:t xml:space="preserve"> ومنها أن الله خلق آدم على صورة وجهه،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r w:rsidR="000636C2">
        <w:rPr>
          <w:rFonts w:hint="cs"/>
          <w:rtl/>
        </w:rPr>
        <w:t xml:space="preserve">، </w:t>
      </w:r>
      <w:r w:rsidR="000636C2">
        <w:rPr>
          <w:rFonts w:hint="cs"/>
          <w:bCs/>
          <w:rtl/>
        </w:rPr>
        <w:t>(</w:t>
      </w:r>
      <w:bookmarkStart w:id="17" w:name="_Toc112917453"/>
      <w:bookmarkStart w:id="18" w:name="_Toc112664960"/>
      <w:bookmarkStart w:id="19" w:name="_Toc112603900"/>
      <w:bookmarkStart w:id="20" w:name="_Toc112603688"/>
      <w:r>
        <w:rPr>
          <w:rFonts w:hint="cs"/>
          <w:bCs/>
          <w:rtl/>
        </w:rPr>
        <w:t>ثالثاً</w:t>
      </w:r>
      <w:r w:rsidR="000636C2">
        <w:rPr>
          <w:rFonts w:hint="cs"/>
          <w:bCs/>
          <w:rtl/>
        </w:rPr>
        <w:t>)</w:t>
      </w:r>
      <w:r w:rsidR="000636C2">
        <w:rPr>
          <w:rFonts w:hint="cs"/>
          <w:rtl/>
        </w:rPr>
        <w:t>:</w:t>
      </w:r>
      <w:r w:rsidR="000636C2">
        <w:rPr>
          <w:rFonts w:hint="cs"/>
          <w:bCs/>
          <w:rtl/>
        </w:rPr>
        <w:t xml:space="preserve"> </w:t>
      </w:r>
      <w:r>
        <w:rPr>
          <w:rFonts w:hint="cs"/>
          <w:bCs/>
          <w:rtl/>
        </w:rPr>
        <w:t>كتاب السنة المنسوب إلى عبد الله بن الإمام أحمد بن حنبل رحمه الله</w:t>
      </w:r>
      <w:r>
        <w:rPr>
          <w:rFonts w:hint="cs"/>
          <w:rtl/>
        </w:rPr>
        <w:t xml:space="preserve"> </w:t>
      </w:r>
      <w:r w:rsidR="000636C2">
        <w:rPr>
          <w:rFonts w:hint="cs"/>
          <w:rtl/>
        </w:rPr>
        <w:t>(</w:t>
      </w:r>
      <w:r>
        <w:rPr>
          <w:rFonts w:hint="cs"/>
          <w:rtl/>
        </w:rPr>
        <w:t>29</w:t>
      </w:r>
      <w:r w:rsidR="000636C2">
        <w:rPr>
          <w:rFonts w:hint="cs"/>
          <w:rtl/>
        </w:rPr>
        <w:t>،</w:t>
      </w:r>
      <w:r>
        <w:rPr>
          <w:rFonts w:hint="cs"/>
          <w:rtl/>
        </w:rPr>
        <w:t xml:space="preserve"> هـ</w:t>
      </w:r>
      <w:r w:rsidR="000636C2">
        <w:rPr>
          <w:rFonts w:hint="cs"/>
          <w:rtl/>
        </w:rPr>
        <w:t>)</w:t>
      </w:r>
      <w:bookmarkEnd w:id="17"/>
      <w:bookmarkEnd w:id="18"/>
      <w:bookmarkEnd w:id="19"/>
      <w:bookmarkEnd w:id="20"/>
      <w:r w:rsidR="000636C2">
        <w:rPr>
          <w:rFonts w:hint="cs"/>
          <w:rtl/>
        </w:rPr>
        <w:t xml:space="preserve">: </w:t>
      </w:r>
      <w:r>
        <w:rPr>
          <w:rFonts w:hint="cs"/>
          <w:rtl/>
        </w:rPr>
        <w:t>وأخذ هذا الكتاب من نسبته إلى ابن الإمام أحمد مكانة كبيرة عند المنتسبين إلى السلف خاصة في العصر الحديث</w:t>
      </w:r>
      <w:r w:rsidR="000636C2">
        <w:rPr>
          <w:rFonts w:hint="cs"/>
          <w:rtl/>
        </w:rPr>
        <w:t xml:space="preserve">، </w:t>
      </w:r>
      <w:r>
        <w:rPr>
          <w:rFonts w:hint="cs"/>
          <w:rtl/>
        </w:rPr>
        <w:t>وسوف نشير إلى مكانته عند المعاصرين في موضعه</w:t>
      </w:r>
      <w:r w:rsidR="000636C2">
        <w:rPr>
          <w:rFonts w:hint="cs"/>
          <w:rtl/>
        </w:rPr>
        <w:t xml:space="preserve">، </w:t>
      </w:r>
      <w:r>
        <w:rPr>
          <w:rFonts w:hint="cs"/>
          <w:rtl/>
        </w:rPr>
        <w:t>وقد قطع محققه بنسبة الكتاب إلى مؤلفه وبذل وسعه في الرد على من نزه الإمام أحمد عن أن يخوض ولده الذي تربى في كنفه في كل ما خاض فيه المؤلف</w:t>
      </w:r>
      <w:r w:rsidR="000636C2">
        <w:rPr>
          <w:rFonts w:hint="cs"/>
          <w:rtl/>
        </w:rPr>
        <w:t xml:space="preserve">، </w:t>
      </w:r>
      <w:r>
        <w:rPr>
          <w:rFonts w:hint="cs"/>
          <w:rtl/>
        </w:rPr>
        <w:t xml:space="preserve">ولم يأت المحقق بشيء علمي بل اجتهد في كلام خطابي لا يدفع ما ذكره </w:t>
      </w:r>
      <w:r>
        <w:rPr>
          <w:rFonts w:hint="cs"/>
          <w:rtl/>
        </w:rPr>
        <w:lastRenderedPageBreak/>
        <w:t>هو نفسه من الاعتراف بوجود مجهولين في طبقتين من طبقات إسناد هذا الكتاب إلى مؤلفه</w:t>
      </w:r>
      <w:r w:rsidR="000636C2">
        <w:rPr>
          <w:rFonts w:hint="cs"/>
          <w:rtl/>
        </w:rPr>
        <w:t xml:space="preserve">، </w:t>
      </w:r>
      <w:r>
        <w:rPr>
          <w:rFonts w:hint="cs"/>
          <w:rtl/>
        </w:rPr>
        <w:t>والذي يبدو لي أن هذا الكتاب من مؤلفات من يسمونه شيخ الإسلام أبا إسماعيل الهروي صاحب المؤلفات المعروفة في ما يسمونه العقيدة السلفية</w:t>
      </w:r>
      <w:r w:rsidR="000636C2">
        <w:rPr>
          <w:rFonts w:hint="cs"/>
          <w:rtl/>
        </w:rPr>
        <w:t xml:space="preserve">، </w:t>
      </w:r>
      <w:r>
        <w:rPr>
          <w:rFonts w:hint="cs"/>
          <w:rtl/>
        </w:rPr>
        <w:t>وهذا الهروي شديد التعصب ربما ركب له إسناداً فرواه عن أبي يعقوب إسحاق بن إبراهيم القراب الهروي</w:t>
      </w:r>
      <w:r w:rsidR="000636C2">
        <w:rPr>
          <w:rFonts w:hint="cs"/>
          <w:rtl/>
        </w:rPr>
        <w:t xml:space="preserve"> [</w:t>
      </w:r>
      <w:r>
        <w:rPr>
          <w:rFonts w:hint="cs"/>
          <w:color w:val="000000"/>
          <w:rtl/>
        </w:rPr>
        <w:t>هو</w:t>
      </w:r>
      <w:r w:rsidR="000636C2">
        <w:rPr>
          <w:rFonts w:hint="cs"/>
          <w:color w:val="000000"/>
          <w:rtl/>
        </w:rPr>
        <w:t xml:space="preserve"> </w:t>
      </w:r>
      <w:r>
        <w:rPr>
          <w:rFonts w:hint="cs"/>
          <w:color w:val="000000"/>
          <w:rtl/>
        </w:rPr>
        <w:t>إسحاق بن إبراهيم بن محمد أبو يعقوب القراب السرخسي ثم الهروي</w:t>
      </w:r>
      <w:r w:rsidR="000636C2">
        <w:rPr>
          <w:rFonts w:hint="cs"/>
          <w:color w:val="000000"/>
          <w:rtl/>
        </w:rPr>
        <w:t xml:space="preserve">، </w:t>
      </w:r>
      <w:r>
        <w:rPr>
          <w:rFonts w:hint="cs"/>
          <w:color w:val="000000"/>
          <w:rtl/>
        </w:rPr>
        <w:t>محدث هراة ربما زاد عدد شيوخه على ألف ومائتي نفس وكان زاهدا مقلا من الدنيا</w:t>
      </w:r>
      <w:r w:rsidR="000636C2">
        <w:rPr>
          <w:rFonts w:hint="cs"/>
          <w:color w:val="000000"/>
          <w:rtl/>
        </w:rPr>
        <w:t xml:space="preserve">، </w:t>
      </w:r>
      <w:r>
        <w:rPr>
          <w:rFonts w:hint="cs"/>
          <w:color w:val="000000"/>
          <w:rtl/>
        </w:rPr>
        <w:t>توفي سنة تسع وعشرين وأربعمائة</w:t>
      </w:r>
      <w:r w:rsidR="000636C2">
        <w:rPr>
          <w:rFonts w:hint="cs"/>
          <w:color w:val="000000"/>
          <w:rtl/>
        </w:rPr>
        <w:t xml:space="preserve">، </w:t>
      </w:r>
      <w:r>
        <w:rPr>
          <w:rFonts w:hint="cs"/>
          <w:color w:val="000000"/>
          <w:rtl/>
        </w:rPr>
        <w:t>انظر ترجمته في سير أعلام النبلاء 17/57</w:t>
      </w:r>
      <w:r w:rsidR="000636C2">
        <w:rPr>
          <w:rFonts w:hint="cs"/>
          <w:color w:val="000000"/>
          <w:rtl/>
        </w:rPr>
        <w:t xml:space="preserve">، </w:t>
      </w:r>
      <w:r>
        <w:rPr>
          <w:rFonts w:hint="cs"/>
          <w:color w:val="000000"/>
          <w:rtl/>
        </w:rPr>
        <w:t>وطبقات الشافعية الكبرى 4 /264</w:t>
      </w:r>
      <w:r w:rsidR="000636C2">
        <w:rPr>
          <w:rFonts w:hint="cs"/>
          <w:rtl/>
        </w:rPr>
        <w:t>]</w:t>
      </w:r>
      <w:r>
        <w:rPr>
          <w:rFonts w:hint="cs"/>
          <w:rtl/>
        </w:rPr>
        <w:t xml:space="preserve"> عن شيخ مجهول عن شيخ مجهول عن المؤلف</w:t>
      </w:r>
      <w:r w:rsidR="000636C2">
        <w:rPr>
          <w:rFonts w:hint="cs"/>
          <w:rtl/>
        </w:rPr>
        <w:t xml:space="preserve">، </w:t>
      </w:r>
      <w:r>
        <w:rPr>
          <w:rFonts w:hint="cs"/>
          <w:rtl/>
        </w:rPr>
        <w:t>وأبو إسماعيل الهروي لا يستبعد منه صدور ما في هذا الكتاب منه</w:t>
      </w:r>
      <w:r w:rsidR="000636C2">
        <w:rPr>
          <w:rFonts w:hint="cs"/>
          <w:rtl/>
        </w:rPr>
        <w:t xml:space="preserve">، </w:t>
      </w:r>
      <w:r>
        <w:rPr>
          <w:rFonts w:hint="cs"/>
          <w:rtl/>
        </w:rPr>
        <w:t>كما سوف يتبين في الحديث على مؤلفاته السلفية</w:t>
      </w:r>
      <w:r w:rsidR="000636C2">
        <w:rPr>
          <w:rFonts w:hint="cs"/>
          <w:rtl/>
        </w:rPr>
        <w:t xml:space="preserve">، </w:t>
      </w:r>
      <w:r>
        <w:rPr>
          <w:rFonts w:hint="cs"/>
          <w:rtl/>
        </w:rPr>
        <w:t>أما ابن الإمام أحمد فلا نظن به أن يتعدى على الله وعلى رسوله وعلى الإمام أحمد والإمام أبي حنيقة النعمان</w:t>
      </w:r>
      <w:r w:rsidR="000636C2">
        <w:rPr>
          <w:rFonts w:hint="cs"/>
          <w:rtl/>
        </w:rPr>
        <w:t xml:space="preserve">، </w:t>
      </w:r>
      <w:r>
        <w:rPr>
          <w:rFonts w:hint="cs"/>
          <w:rtl/>
        </w:rPr>
        <w:t>وقد ذكر المحقق في توثيق الكتاب وصحة نسبته إلى المؤلف نقلَ الحنابلة عنه وأخذَهم منه</w:t>
      </w:r>
      <w:r w:rsidR="000636C2">
        <w:rPr>
          <w:rFonts w:hint="cs"/>
          <w:rtl/>
        </w:rPr>
        <w:t xml:space="preserve">، </w:t>
      </w:r>
      <w:r>
        <w:rPr>
          <w:rFonts w:hint="cs"/>
          <w:rtl/>
        </w:rPr>
        <w:t>وكل من ذكر نقلَهم عنه مِن بعد عصر الهروي المذكور، فلا تدفع هذه النقول هذا الشك في نسبة الكتاب إليه ولا الشك في صحة نسبة صحته إلى المؤلف</w:t>
      </w:r>
      <w:r w:rsidR="000636C2">
        <w:rPr>
          <w:rFonts w:hint="cs"/>
          <w:rtl/>
        </w:rPr>
        <w:t>،</w:t>
      </w:r>
      <w:r>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000636C2">
        <w:rPr>
          <w:rFonts w:hint="cs"/>
          <w:rtl/>
        </w:rPr>
        <w:t xml:space="preserve">: </w:t>
      </w:r>
      <w:r>
        <w:rPr>
          <w:rFonts w:hint="cs"/>
          <w:rtl/>
        </w:rPr>
        <w:t xml:space="preserve">كاد الدين ومن كاد الدين فليس من الدين ووثق المحقق رجال سند هذه الرواية </w:t>
      </w:r>
      <w:r w:rsidR="000636C2">
        <w:rPr>
          <w:rFonts w:hint="cs"/>
          <w:rtl/>
        </w:rPr>
        <w:t>[</w:t>
      </w:r>
      <w:r>
        <w:rPr>
          <w:rFonts w:hint="cs"/>
          <w:color w:val="000000"/>
          <w:rtl/>
        </w:rPr>
        <w:t>انظر السنة 1/199</w:t>
      </w:r>
      <w:r w:rsidR="000636C2">
        <w:rPr>
          <w:rFonts w:hint="cs"/>
          <w:rtl/>
        </w:rPr>
        <w:t xml:space="preserve">] </w:t>
      </w:r>
      <w:r>
        <w:rPr>
          <w:rFonts w:hint="cs"/>
          <w:rtl/>
        </w:rPr>
        <w:t>وغير ذلك من المثالب التي تقشعر منها الأبدان</w:t>
      </w:r>
      <w:r w:rsidR="000636C2">
        <w:rPr>
          <w:rFonts w:hint="cs"/>
          <w:rtl/>
        </w:rPr>
        <w:t xml:space="preserve">، </w:t>
      </w:r>
      <w:r>
        <w:rPr>
          <w:rFonts w:hint="cs"/>
          <w:rtl/>
        </w:rPr>
        <w:t>عامل الله بعدله واضعها وغفر لمحققها وناشرها</w:t>
      </w:r>
      <w:r w:rsidR="000636C2">
        <w:rPr>
          <w:rFonts w:hint="cs"/>
          <w:rtl/>
        </w:rPr>
        <w:t xml:space="preserve">، </w:t>
      </w:r>
      <w:r>
        <w:rPr>
          <w:rFonts w:hint="cs"/>
          <w:rtl/>
        </w:rPr>
        <w:t>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والتنكب عن منهج السلف ونحو ذلك مما تركوا به الجواب العلمي واستبدلوا به هذا الأسلوب الناجح في فتنة العوام المأخوذين بما يظهره هؤلاء من التزهد الهروي الكرامي، المخدوعين بلافتات الدعوة إلى الكتاب والسنة واتباع السلف</w:t>
      </w:r>
      <w:r w:rsidR="000636C2">
        <w:rPr>
          <w:rFonts w:hint="cs"/>
          <w:rtl/>
        </w:rPr>
        <w:t xml:space="preserve">، </w:t>
      </w:r>
      <w:r>
        <w:rPr>
          <w:rFonts w:hint="cs"/>
          <w:rtl/>
        </w:rPr>
        <w:t>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sidR="000636C2">
        <w:rPr>
          <w:rFonts w:hint="cs"/>
          <w:rtl/>
        </w:rPr>
        <w:t>،</w:t>
      </w:r>
      <w:r>
        <w:rPr>
          <w:rFonts w:hint="cs"/>
          <w:rtl/>
        </w:rPr>
        <w:t xml:space="preserve"> ومما اشتمل عليه في حق </w:t>
      </w:r>
      <w:r>
        <w:rPr>
          <w:rFonts w:hint="cs"/>
          <w:rtl/>
        </w:rPr>
        <w:lastRenderedPageBreak/>
        <w:t>الإمام أحمد أنه نقل عنه تصحيح الأخبار التي تثبت جلوسَه عز وجل على العرش وحصولَ الأطيط من هذا الجلوس، وأنه واضع رجليه على الكرسي وأن الكرسي</w:t>
      </w:r>
      <w:r w:rsidR="000636C2">
        <w:rPr>
          <w:rFonts w:hint="cs"/>
          <w:rtl/>
        </w:rPr>
        <w:t xml:space="preserve"> </w:t>
      </w:r>
      <w:r>
        <w:rPr>
          <w:rFonts w:hint="cs"/>
          <w:rtl/>
        </w:rPr>
        <w:t>موضع قدميه، وأنه يقعد على العرش فما يفضل منه إلا قيد أربعة أصابع</w:t>
      </w:r>
      <w:r w:rsidR="000636C2">
        <w:rPr>
          <w:rFonts w:hint="cs"/>
          <w:rtl/>
        </w:rPr>
        <w:t xml:space="preserve">، </w:t>
      </w:r>
      <w:r>
        <w:rPr>
          <w:rFonts w:hint="cs"/>
          <w:rtl/>
        </w:rPr>
        <w:t>وغير ذلك مما لم يغب نكارته ولا ضعف سنده على بعضهم، وسكتوا عن نسبة تصحيحه إلى إمامهم وابن إمامهم</w:t>
      </w:r>
      <w:r w:rsidR="000636C2">
        <w:rPr>
          <w:rFonts w:hint="cs"/>
          <w:rtl/>
        </w:rPr>
        <w:t xml:space="preserve">، </w:t>
      </w:r>
      <w:r>
        <w:rPr>
          <w:rFonts w:hint="cs"/>
          <w:rtl/>
        </w:rPr>
        <w:t>فحاشا لله أن يصحح الإمام أحمد هذه الأخبار فيخفي عليه ضعف سندها وما في متنها من النكارة ومخالفة عقيدة السلف ثم يأتي المحقق ليكشف عن ذلك</w:t>
      </w:r>
      <w:r w:rsidR="000636C2">
        <w:rPr>
          <w:rFonts w:hint="cs"/>
          <w:rtl/>
        </w:rPr>
        <w:t>؟</w:t>
      </w:r>
      <w:r>
        <w:rPr>
          <w:rFonts w:hint="cs"/>
          <w:rtl/>
        </w:rPr>
        <w:t xml:space="preserve"> </w:t>
      </w:r>
      <w:r w:rsidR="000636C2">
        <w:rPr>
          <w:rFonts w:hint="cs"/>
          <w:bCs/>
          <w:rtl/>
        </w:rPr>
        <w:t>(</w:t>
      </w:r>
      <w:bookmarkStart w:id="21" w:name="_Toc112917454"/>
      <w:bookmarkStart w:id="22" w:name="_Toc112664961"/>
      <w:bookmarkStart w:id="23" w:name="_Toc112603901"/>
      <w:bookmarkStart w:id="24" w:name="_Toc112603689"/>
      <w:r>
        <w:rPr>
          <w:rFonts w:hint="cs"/>
          <w:bCs/>
          <w:rtl/>
        </w:rPr>
        <w:t>رابعاً</w:t>
      </w:r>
      <w:r w:rsidR="000636C2">
        <w:rPr>
          <w:rFonts w:hint="cs"/>
          <w:bCs/>
          <w:rtl/>
        </w:rPr>
        <w:t xml:space="preserve">): </w:t>
      </w:r>
      <w:r>
        <w:rPr>
          <w:rFonts w:hint="cs"/>
          <w:bCs/>
          <w:rtl/>
        </w:rPr>
        <w:t>كتاب السنة للخلال</w:t>
      </w:r>
      <w:bookmarkEnd w:id="21"/>
      <w:bookmarkEnd w:id="22"/>
      <w:bookmarkEnd w:id="23"/>
      <w:bookmarkEnd w:id="24"/>
      <w:r w:rsidR="000636C2">
        <w:rPr>
          <w:rFonts w:hint="cs"/>
          <w:rtl/>
          <w:lang w:eastAsia="ar-SA"/>
        </w:rPr>
        <w:t xml:space="preserve">: </w:t>
      </w:r>
      <w:r>
        <w:rPr>
          <w:rFonts w:hint="cs"/>
          <w:rtl/>
        </w:rPr>
        <w:t xml:space="preserve">وهو أبو بكر أحمد بن محمد بن هارون بن يزيد البغدادي الخلال </w:t>
      </w:r>
      <w:r w:rsidR="000636C2">
        <w:rPr>
          <w:rFonts w:hint="cs"/>
          <w:rtl/>
        </w:rPr>
        <w:t>(</w:t>
      </w:r>
      <w:r>
        <w:rPr>
          <w:rFonts w:hint="cs"/>
          <w:rtl/>
        </w:rPr>
        <w:t>311هـ</w:t>
      </w:r>
      <w:r w:rsidR="000636C2">
        <w:rPr>
          <w:rFonts w:hint="cs"/>
          <w:rtl/>
        </w:rPr>
        <w:t xml:space="preserve">): </w:t>
      </w:r>
      <w:r>
        <w:rPr>
          <w:rFonts w:hint="cs"/>
          <w:rtl/>
        </w:rPr>
        <w:t>قال الذهبي</w:t>
      </w:r>
      <w:r w:rsidR="000636C2">
        <w:rPr>
          <w:rFonts w:hint="cs"/>
          <w:rtl/>
        </w:rPr>
        <w:t>: (</w:t>
      </w:r>
      <w:r>
        <w:rPr>
          <w:rFonts w:hint="cs"/>
          <w:rtl/>
        </w:rPr>
        <w:t>أخذ الفقه عن خلق كثير من أصحاب الإمام أحمد</w:t>
      </w:r>
      <w:r w:rsidR="000636C2">
        <w:rPr>
          <w:rFonts w:hint="cs"/>
          <w:rtl/>
        </w:rPr>
        <w:t xml:space="preserve"> </w:t>
      </w:r>
      <w:r>
        <w:rPr>
          <w:rFonts w:hint="cs"/>
          <w:rtl/>
        </w:rPr>
        <w:t>..</w:t>
      </w:r>
      <w:r w:rsidR="000636C2">
        <w:rPr>
          <w:rFonts w:hint="cs"/>
          <w:rtl/>
        </w:rPr>
        <w:t xml:space="preserve"> </w:t>
      </w:r>
      <w:r>
        <w:rPr>
          <w:rFonts w:hint="cs"/>
          <w:rtl/>
        </w:rPr>
        <w:t>ورحل إلى فارس وإلى الشام والجزيرة يتطلب فقه الإمام أحمد وفتاويه وأجوبته وكتبَ عن الكبار والصغار حتى كتب عن تلامذته وجمع فأوعى</w:t>
      </w:r>
      <w:r w:rsidR="000636C2">
        <w:rPr>
          <w:rFonts w:hint="cs"/>
          <w:rtl/>
        </w:rPr>
        <w:t xml:space="preserve"> </w:t>
      </w:r>
      <w:r>
        <w:rPr>
          <w:rFonts w:hint="cs"/>
          <w:rtl/>
        </w:rPr>
        <w:t>..</w:t>
      </w:r>
      <w:r w:rsidR="000636C2">
        <w:rPr>
          <w:rFonts w:hint="cs"/>
          <w:rtl/>
        </w:rPr>
        <w:t xml:space="preserve"> </w:t>
      </w:r>
      <w:r>
        <w:rPr>
          <w:rFonts w:hint="cs"/>
          <w:rtl/>
        </w:rPr>
        <w:t>ولم يكن قبله للإمام مذهب مستقل حتى تتبع هو نصوص أحمد ودونها وبرهنها بعد الثلاث مئة فرحمه الله تعالى</w:t>
      </w:r>
      <w:r w:rsidR="000636C2">
        <w:rPr>
          <w:rFonts w:hint="cs"/>
          <w:rtl/>
        </w:rPr>
        <w:t>،</w:t>
      </w:r>
      <w:r>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sidR="000636C2">
        <w:rPr>
          <w:rFonts w:hint="cs"/>
          <w:rtl/>
        </w:rPr>
        <w:t>) [</w:t>
      </w:r>
      <w:r>
        <w:rPr>
          <w:rFonts w:hint="cs"/>
          <w:color w:val="000000"/>
          <w:rtl/>
        </w:rPr>
        <w:t>سير أعلام النبلاء 14/297 وانظر تاريخ بغداد للخطيب 5/112 وشذرات الذهب لابن العماد 1 /261</w:t>
      </w:r>
      <w:r w:rsidR="000636C2">
        <w:rPr>
          <w:rFonts w:hint="cs"/>
          <w:rtl/>
        </w:rPr>
        <w:t>]،</w:t>
      </w:r>
      <w:r>
        <w:rPr>
          <w:rFonts w:hint="cs"/>
          <w:rtl/>
        </w:rPr>
        <w:t xml:space="preserve"> وفي كتاب السنةأطال الخلال في تقرير قعود النبي صلى الله عليه وسلم مع الباري سبحانه على الفضلة التي تفضل من العرش</w:t>
      </w:r>
      <w:r w:rsidR="000636C2">
        <w:rPr>
          <w:rFonts w:hint="cs"/>
          <w:rtl/>
        </w:rPr>
        <w:t>،</w:t>
      </w:r>
      <w:r>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0636C2">
        <w:rPr>
          <w:rFonts w:hint="cs"/>
          <w:rtl/>
        </w:rPr>
        <w:t>،</w:t>
      </w:r>
      <w:r>
        <w:rPr>
          <w:rFonts w:hint="cs"/>
          <w:rtl/>
        </w:rPr>
        <w:t xml:space="preserve"> وفيه أيضاً الكذب على الإمام أحمد وأنه تلهف لسماع هذا الخبر إذ لم تحصل روايته له من علو</w:t>
      </w:r>
      <w:r w:rsidR="000636C2">
        <w:rPr>
          <w:rFonts w:hint="cs"/>
          <w:rtl/>
        </w:rPr>
        <w:t>، [</w:t>
      </w:r>
      <w:r>
        <w:rPr>
          <w:rFonts w:hint="cs"/>
          <w:rtl/>
        </w:rPr>
        <w:t>انظر السنة للخلال 244-255</w:t>
      </w:r>
      <w:r w:rsidR="000636C2">
        <w:rPr>
          <w:rFonts w:hint="cs"/>
          <w:rtl/>
        </w:rPr>
        <w:t>]،</w:t>
      </w:r>
      <w:r>
        <w:rPr>
          <w:rFonts w:hint="cs"/>
          <w:rtl/>
        </w:rPr>
        <w:t xml:space="preserve"> وفيه أن الله عز وجل ينادي</w:t>
      </w:r>
      <w:r w:rsidR="000636C2">
        <w:rPr>
          <w:rFonts w:hint="cs"/>
          <w:rtl/>
        </w:rPr>
        <w:t xml:space="preserve">: </w:t>
      </w:r>
      <w:r>
        <w:rPr>
          <w:rFonts w:hint="cs"/>
          <w:rtl/>
        </w:rPr>
        <w:t>يا داود اُدن مني فلا يزال يدنيه حتى يمس بعضه ويقول</w:t>
      </w:r>
      <w:r w:rsidR="000636C2">
        <w:rPr>
          <w:rFonts w:hint="cs"/>
          <w:rtl/>
        </w:rPr>
        <w:t xml:space="preserve">: </w:t>
      </w:r>
      <w:r>
        <w:rPr>
          <w:rFonts w:hint="cs"/>
          <w:rtl/>
        </w:rPr>
        <w:t>كن أمامي فيقول رب ذنبي ذنبي، فيقول الله له كن خلفي خذ بقدمي</w:t>
      </w:r>
      <w:r w:rsidR="000636C2">
        <w:rPr>
          <w:rFonts w:hint="cs"/>
          <w:rtl/>
        </w:rPr>
        <w:t>،</w:t>
      </w:r>
      <w:r>
        <w:rPr>
          <w:rFonts w:hint="cs"/>
          <w:rtl/>
        </w:rPr>
        <w:t xml:space="preserve"> ثم يقول الخلال في آخر كتابه</w:t>
      </w:r>
      <w:r w:rsidR="000636C2">
        <w:rPr>
          <w:rFonts w:hint="cs"/>
          <w:rtl/>
        </w:rPr>
        <w:t>: (</w:t>
      </w:r>
      <w:r>
        <w:rPr>
          <w:rFonts w:hint="cs"/>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000636C2">
        <w:rPr>
          <w:rFonts w:hint="cs"/>
          <w:rtl/>
        </w:rPr>
        <w:t>) [</w:t>
      </w:r>
      <w:r>
        <w:rPr>
          <w:rFonts w:hint="cs"/>
          <w:color w:val="000000"/>
          <w:rtl/>
        </w:rPr>
        <w:t>السنة 1/265</w:t>
      </w:r>
      <w:r w:rsidR="000636C2">
        <w:rPr>
          <w:rFonts w:hint="cs"/>
          <w:rtl/>
        </w:rPr>
        <w:t>]،</w:t>
      </w:r>
      <w:r>
        <w:rPr>
          <w:rFonts w:hint="cs"/>
          <w:rtl/>
        </w:rPr>
        <w:t xml:space="preserve"> </w:t>
      </w:r>
      <w:r w:rsidR="000636C2">
        <w:rPr>
          <w:rFonts w:hint="cs"/>
          <w:bCs/>
          <w:rtl/>
        </w:rPr>
        <w:t>(</w:t>
      </w:r>
      <w:bookmarkStart w:id="25" w:name="_Toc112917455"/>
      <w:bookmarkStart w:id="26" w:name="_Toc112664962"/>
      <w:bookmarkStart w:id="27" w:name="_Toc112603902"/>
      <w:bookmarkStart w:id="28" w:name="_Toc112603690"/>
      <w:r>
        <w:rPr>
          <w:rFonts w:hint="cs"/>
          <w:bCs/>
          <w:rtl/>
        </w:rPr>
        <w:t>خامساً</w:t>
      </w:r>
      <w:r w:rsidR="000636C2">
        <w:rPr>
          <w:rFonts w:hint="cs"/>
          <w:bCs/>
          <w:rtl/>
        </w:rPr>
        <w:t xml:space="preserve">): </w:t>
      </w:r>
      <w:r>
        <w:rPr>
          <w:rFonts w:hint="cs"/>
          <w:bCs/>
          <w:rtl/>
        </w:rPr>
        <w:t>كتاب التوحيد لا بن خزيمة</w:t>
      </w:r>
      <w:bookmarkEnd w:id="25"/>
      <w:bookmarkEnd w:id="26"/>
      <w:bookmarkEnd w:id="27"/>
      <w:bookmarkEnd w:id="28"/>
      <w:r w:rsidR="000636C2">
        <w:rPr>
          <w:rFonts w:hint="cs"/>
          <w:rtl/>
        </w:rPr>
        <w:t xml:space="preserve">: </w:t>
      </w:r>
      <w:r>
        <w:rPr>
          <w:rFonts w:hint="cs"/>
          <w:rtl/>
        </w:rPr>
        <w:t>وهو أبو بكر محمد بن إسحاق بن خزيمة النيسابورى</w:t>
      </w:r>
      <w:r w:rsidR="000636C2">
        <w:rPr>
          <w:rFonts w:hint="cs"/>
          <w:rtl/>
        </w:rPr>
        <w:t>(</w:t>
      </w:r>
      <w:r>
        <w:rPr>
          <w:rFonts w:hint="cs"/>
          <w:rtl/>
        </w:rPr>
        <w:t>311هـ</w:t>
      </w:r>
      <w:r w:rsidR="000636C2">
        <w:rPr>
          <w:rFonts w:hint="cs"/>
          <w:rtl/>
        </w:rPr>
        <w:t xml:space="preserve">) </w:t>
      </w:r>
      <w:r>
        <w:rPr>
          <w:rFonts w:hint="cs"/>
          <w:rtl/>
        </w:rPr>
        <w:t>صاحب الصحيح المشهود له بالفقه والرواية</w:t>
      </w:r>
      <w:r w:rsidR="000636C2">
        <w:rPr>
          <w:rFonts w:hint="cs"/>
          <w:rtl/>
        </w:rPr>
        <w:t xml:space="preserve"> [</w:t>
      </w:r>
      <w:r>
        <w:rPr>
          <w:rFonts w:hint="cs"/>
          <w:color w:val="000000"/>
          <w:rtl/>
        </w:rPr>
        <w:t>انظر ترجمته في سير أعلام النبلاء للذهبي 14/365</w:t>
      </w:r>
      <w:r w:rsidR="000636C2">
        <w:rPr>
          <w:rFonts w:hint="cs"/>
          <w:rtl/>
        </w:rPr>
        <w:t>]</w:t>
      </w:r>
      <w:r>
        <w:rPr>
          <w:rFonts w:hint="cs"/>
          <w:rtl/>
        </w:rPr>
        <w:t xml:space="preserve"> ولكن العلماء أخذوا عليه خوضه في الكلام</w:t>
      </w:r>
      <w:r w:rsidR="000636C2">
        <w:rPr>
          <w:rFonts w:hint="cs"/>
          <w:rtl/>
        </w:rPr>
        <w:t xml:space="preserve">، </w:t>
      </w:r>
      <w:r>
        <w:rPr>
          <w:rFonts w:hint="cs"/>
          <w:rtl/>
        </w:rPr>
        <w:t>ولعله تأثر برأس الكرامية فقد نقل ابن السبكي عن الحاكم أنه ذكر في تاريخه محمد بن كرام فقال</w:t>
      </w:r>
      <w:r w:rsidR="000636C2">
        <w:rPr>
          <w:rFonts w:hint="cs"/>
          <w:rtl/>
        </w:rPr>
        <w:t>:</w:t>
      </w:r>
      <w:r>
        <w:rPr>
          <w:rFonts w:hint="cs"/>
          <w:rtl/>
        </w:rPr>
        <w:t xml:space="preserve"> </w:t>
      </w:r>
      <w:r w:rsidR="000636C2">
        <w:rPr>
          <w:rFonts w:hint="cs"/>
          <w:rtl/>
        </w:rPr>
        <w:t>(</w:t>
      </w:r>
      <w:r>
        <w:rPr>
          <w:rFonts w:hint="cs"/>
          <w:rtl/>
        </w:rPr>
        <w:t>.. وقد أثنى عليه فيما بلغني ابن خزيمة واجتمع به غير مرة</w:t>
      </w:r>
      <w:r w:rsidR="000636C2">
        <w:rPr>
          <w:rFonts w:hint="cs"/>
          <w:rtl/>
        </w:rPr>
        <w:t>) [</w:t>
      </w:r>
      <w:r>
        <w:rPr>
          <w:rFonts w:hint="cs"/>
          <w:color w:val="000000"/>
          <w:rtl/>
        </w:rPr>
        <w:t xml:space="preserve">طبقات الشافعية </w:t>
      </w:r>
      <w:r>
        <w:rPr>
          <w:rFonts w:hint="cs"/>
          <w:color w:val="000000"/>
          <w:rtl/>
        </w:rPr>
        <w:lastRenderedPageBreak/>
        <w:t>الكبرى 3/ 30 4</w:t>
      </w:r>
      <w:r w:rsidR="000636C2">
        <w:rPr>
          <w:rFonts w:hint="cs"/>
          <w:rtl/>
        </w:rPr>
        <w:t>]،</w:t>
      </w:r>
      <w:r>
        <w:rPr>
          <w:rFonts w:hint="cs"/>
          <w:rtl/>
        </w:rPr>
        <w:t xml:space="preserve"> وقد لامه بعض المحدثين على الخوض في ما لا يحسنه</w:t>
      </w:r>
      <w:r w:rsidR="000636C2">
        <w:rPr>
          <w:rFonts w:hint="cs"/>
          <w:rtl/>
        </w:rPr>
        <w:t xml:space="preserve">، </w:t>
      </w:r>
      <w:r>
        <w:rPr>
          <w:rFonts w:hint="cs"/>
          <w:rtl/>
        </w:rPr>
        <w:t>فمن ذلك ما أخرجه البيهقي بسنده عن عبد الرحمن بن أبي حاتم الرازي أنه قال</w:t>
      </w:r>
      <w:r w:rsidR="000636C2">
        <w:rPr>
          <w:rFonts w:hint="cs"/>
          <w:rtl/>
        </w:rPr>
        <w:t>: (</w:t>
      </w:r>
      <w:r>
        <w:rPr>
          <w:rFonts w:hint="cs"/>
          <w:rtl/>
        </w:rPr>
        <w:t>ما لأبي بكر والكلام</w:t>
      </w:r>
      <w:r w:rsidR="000636C2">
        <w:rPr>
          <w:rFonts w:hint="cs"/>
          <w:rtl/>
        </w:rPr>
        <w:t>؟</w:t>
      </w:r>
      <w:r>
        <w:rPr>
          <w:rFonts w:hint="cs"/>
          <w:rtl/>
        </w:rPr>
        <w:t xml:space="preserve"> إنما الأولى بنا وبه ألا نتكلم فيما لم نتعلمه .. -قال البيهقي - والقصة فيه طويلة وقد رجع محمد بن إسحاق إلى طريقة السلف وتلهف على ما قال والله أعلم</w:t>
      </w:r>
      <w:r w:rsidR="000636C2">
        <w:rPr>
          <w:rFonts w:hint="cs"/>
          <w:rtl/>
        </w:rPr>
        <w:t>) [</w:t>
      </w:r>
      <w:r>
        <w:rPr>
          <w:rFonts w:hint="cs"/>
          <w:color w:val="000000"/>
          <w:rtl/>
        </w:rPr>
        <w:t>الأسماء والصفات 342</w:t>
      </w:r>
      <w:r w:rsidR="000636C2">
        <w:rPr>
          <w:rFonts w:hint="cs"/>
          <w:rtl/>
        </w:rPr>
        <w:t>]،</w:t>
      </w:r>
      <w:r>
        <w:rPr>
          <w:rFonts w:hint="cs"/>
          <w:rtl/>
        </w:rPr>
        <w:t xml:space="preserve"> واعترف ابن خزيمة على نفسه بأنه لا يحسن الكلام فقد نقل البيهقي عنه أنه قال</w:t>
      </w:r>
      <w:r w:rsidR="000636C2">
        <w:rPr>
          <w:rFonts w:hint="cs"/>
          <w:rtl/>
        </w:rPr>
        <w:t>: (</w:t>
      </w:r>
      <w:r>
        <w:rPr>
          <w:rFonts w:hint="cs"/>
          <w:rtl/>
        </w:rPr>
        <w:t>ما تنكرون على فقيه راوي حديث لا يحسن الكلام</w:t>
      </w:r>
      <w:r w:rsidR="000636C2">
        <w:rPr>
          <w:rFonts w:hint="cs"/>
          <w:rtl/>
        </w:rPr>
        <w:t>) [</w:t>
      </w:r>
      <w:r>
        <w:rPr>
          <w:rFonts w:hint="cs"/>
          <w:color w:val="000000"/>
          <w:rtl/>
        </w:rPr>
        <w:t>المصدر السابق 34</w:t>
      </w:r>
      <w:r w:rsidR="000636C2">
        <w:rPr>
          <w:rFonts w:hint="cs"/>
          <w:color w:val="000000"/>
          <w:rtl/>
        </w:rPr>
        <w:t>،]</w:t>
      </w:r>
      <w:r w:rsidR="000636C2">
        <w:rPr>
          <w:rFonts w:hint="cs"/>
          <w:rtl/>
        </w:rPr>
        <w:t>،</w:t>
      </w:r>
      <w:r>
        <w:rPr>
          <w:rFonts w:hint="cs"/>
          <w:rtl/>
        </w:rPr>
        <w:t xml:space="preserve"> وكتاب التوحيد هو جزء من صحيحه على التحقيق لأنه يحيل في أكثر من موضع على أبواب الصلاة وغيرها من أبواب الصحيح</w:t>
      </w:r>
      <w:r w:rsidR="000636C2">
        <w:rPr>
          <w:rFonts w:hint="cs"/>
          <w:rtl/>
        </w:rPr>
        <w:t xml:space="preserve">، </w:t>
      </w:r>
      <w:r>
        <w:rPr>
          <w:rFonts w:hint="cs"/>
          <w:rtl/>
        </w:rPr>
        <w:t>وفيه باب بعنوان إثبات الأصابع لله عز وجل، وباب في إثبات القدم، ونحو ذلك</w:t>
      </w:r>
      <w:r w:rsidR="000636C2">
        <w:rPr>
          <w:rFonts w:hint="cs"/>
          <w:rtl/>
        </w:rPr>
        <w:t xml:space="preserve">، </w:t>
      </w:r>
      <w:r>
        <w:rPr>
          <w:rFonts w:hint="cs"/>
          <w:rtl/>
        </w:rPr>
        <w:t>ومع أنه اشترط الصحة في ما يذكره إلا أنه لم يلتزم بذلك فأخرج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000636C2">
        <w:rPr>
          <w:rFonts w:hint="cs"/>
          <w:rtl/>
        </w:rPr>
        <w:t>،</w:t>
      </w:r>
      <w:r>
        <w:rPr>
          <w:rFonts w:hint="cs"/>
          <w:bCs/>
          <w:rtl/>
        </w:rPr>
        <w:t xml:space="preserve"> </w:t>
      </w:r>
      <w:bookmarkStart w:id="29" w:name="_Toc112917456"/>
      <w:bookmarkStart w:id="30" w:name="_Toc112664963"/>
      <w:bookmarkStart w:id="31" w:name="_Toc112603903"/>
      <w:bookmarkStart w:id="32" w:name="_Toc112603691"/>
      <w:r w:rsidR="000636C2">
        <w:rPr>
          <w:rFonts w:hint="cs"/>
          <w:bCs/>
          <w:rtl/>
        </w:rPr>
        <w:t>(</w:t>
      </w:r>
      <w:r>
        <w:rPr>
          <w:rFonts w:hint="cs"/>
          <w:bCs/>
          <w:rtl/>
        </w:rPr>
        <w:t>سادساً</w:t>
      </w:r>
      <w:r w:rsidR="000636C2">
        <w:rPr>
          <w:rFonts w:hint="cs"/>
          <w:bCs/>
          <w:rtl/>
        </w:rPr>
        <w:t>)</w:t>
      </w:r>
      <w:r w:rsidR="000636C2">
        <w:rPr>
          <w:rFonts w:hint="cs"/>
          <w:rtl/>
        </w:rPr>
        <w:t>:</w:t>
      </w:r>
      <w:r w:rsidR="000636C2">
        <w:rPr>
          <w:rFonts w:hint="cs"/>
          <w:bCs/>
          <w:rtl/>
        </w:rPr>
        <w:t xml:space="preserve"> </w:t>
      </w:r>
      <w:r>
        <w:rPr>
          <w:rFonts w:hint="cs"/>
          <w:bCs/>
          <w:rtl/>
        </w:rPr>
        <w:t>كتاب الصفات للدارقطني</w:t>
      </w:r>
      <w:bookmarkEnd w:id="29"/>
      <w:bookmarkEnd w:id="30"/>
      <w:bookmarkEnd w:id="31"/>
      <w:bookmarkEnd w:id="32"/>
      <w:r w:rsidR="000636C2">
        <w:rPr>
          <w:rFonts w:hint="cs"/>
          <w:rtl/>
        </w:rPr>
        <w:t xml:space="preserve">: </w:t>
      </w:r>
      <w:r>
        <w:rPr>
          <w:rFonts w:hint="cs"/>
          <w:rtl/>
        </w:rPr>
        <w:t>وهو الحافظ أبو الحسن علي بن عمر الذي انتهى إليه علم الأثر والمعرفة بالعلل وأسماء الرجال مع الصدق وصحة الاعتقاد</w:t>
      </w:r>
      <w:r w:rsidR="000636C2">
        <w:rPr>
          <w:rFonts w:hint="cs"/>
          <w:rtl/>
        </w:rPr>
        <w:t>، [</w:t>
      </w:r>
      <w:r>
        <w:rPr>
          <w:rFonts w:hint="cs"/>
          <w:color w:val="000000"/>
          <w:rtl/>
        </w:rPr>
        <w:t>انظر ترجمته في</w:t>
      </w:r>
      <w:r w:rsidR="000636C2">
        <w:rPr>
          <w:rFonts w:hint="cs"/>
          <w:color w:val="000000"/>
          <w:rtl/>
        </w:rPr>
        <w:t xml:space="preserve"> </w:t>
      </w:r>
      <w:r>
        <w:rPr>
          <w:rFonts w:hint="cs"/>
          <w:color w:val="000000"/>
          <w:rtl/>
        </w:rPr>
        <w:t>العبر في خبر من غبر للذهبي 3/30</w:t>
      </w:r>
      <w:r w:rsidR="000636C2">
        <w:rPr>
          <w:rFonts w:hint="cs"/>
          <w:color w:val="000000"/>
          <w:rtl/>
        </w:rPr>
        <w:t>]</w:t>
      </w:r>
      <w:r w:rsidR="000636C2">
        <w:rPr>
          <w:rFonts w:hint="cs"/>
          <w:rtl/>
        </w:rPr>
        <w:t xml:space="preserve"> </w:t>
      </w:r>
      <w:r>
        <w:rPr>
          <w:rFonts w:hint="cs"/>
          <w:rtl/>
        </w:rPr>
        <w:t>وهذا الكتاب تشهد حاله الحديثية على براءة الدارقطني البصير بعلل الحديث ورجاله منه</w:t>
      </w:r>
      <w:r w:rsidR="000636C2">
        <w:rPr>
          <w:rFonts w:hint="cs"/>
          <w:rtl/>
        </w:rPr>
        <w:t xml:space="preserve">، </w:t>
      </w:r>
      <w:r>
        <w:rPr>
          <w:rFonts w:hint="cs"/>
          <w:rtl/>
        </w:rPr>
        <w:t>وإنما يصلح أن يكون من صنيع من رواه عنه</w:t>
      </w:r>
      <w:r w:rsidR="000636C2">
        <w:rPr>
          <w:rFonts w:hint="cs"/>
          <w:rtl/>
        </w:rPr>
        <w:t xml:space="preserve">، </w:t>
      </w:r>
      <w:r>
        <w:rPr>
          <w:rFonts w:hint="cs"/>
          <w:rtl/>
        </w:rPr>
        <w:t>فلا تصح نسبته إلى الدارقطني كما نبه عليه الكوثري</w:t>
      </w:r>
      <w:r w:rsidR="000636C2">
        <w:rPr>
          <w:rFonts w:hint="cs"/>
          <w:rtl/>
        </w:rPr>
        <w:t xml:space="preserve"> [</w:t>
      </w:r>
      <w:r>
        <w:rPr>
          <w:rFonts w:hint="cs"/>
          <w:snapToGrid w:val="0"/>
          <w:color w:val="000000"/>
          <w:rtl/>
        </w:rPr>
        <w:t>انظر تبديد الظلام المخيم 2</w:t>
      </w:r>
      <w:r w:rsidR="000636C2">
        <w:rPr>
          <w:rFonts w:hint="cs"/>
          <w:snapToGrid w:val="0"/>
          <w:color w:val="000000"/>
          <w:rtl/>
        </w:rPr>
        <w:t>،</w:t>
      </w:r>
      <w:r>
        <w:rPr>
          <w:rFonts w:hint="cs"/>
          <w:snapToGrid w:val="0"/>
          <w:color w:val="000000"/>
          <w:rtl/>
        </w:rPr>
        <w:t xml:space="preserve"> 6</w:t>
      </w:r>
      <w:r w:rsidR="000636C2">
        <w:rPr>
          <w:rFonts w:hint="cs"/>
          <w:rtl/>
        </w:rPr>
        <w:t xml:space="preserve">] </w:t>
      </w:r>
      <w:r>
        <w:rPr>
          <w:rFonts w:hint="cs"/>
          <w:rtl/>
        </w:rPr>
        <w:t xml:space="preserve">لأن في سنده إليه </w:t>
      </w:r>
      <w:r>
        <w:rPr>
          <w:rFonts w:hint="cs"/>
          <w:snapToGrid w:val="0"/>
          <w:rtl/>
        </w:rPr>
        <w:t xml:space="preserve">أبا العز بن كادش أحمد بن عبيد الله </w:t>
      </w:r>
      <w:r w:rsidR="000636C2">
        <w:rPr>
          <w:rFonts w:hint="cs"/>
          <w:snapToGrid w:val="0"/>
          <w:rtl/>
        </w:rPr>
        <w:t>(</w:t>
      </w:r>
      <w:r>
        <w:rPr>
          <w:rFonts w:hint="cs"/>
          <w:snapToGrid w:val="0"/>
          <w:rtl/>
        </w:rPr>
        <w:t>526هـ</w:t>
      </w:r>
      <w:r w:rsidR="000636C2">
        <w:rPr>
          <w:rFonts w:hint="cs"/>
          <w:snapToGrid w:val="0"/>
          <w:rtl/>
        </w:rPr>
        <w:t xml:space="preserve">) </w:t>
      </w:r>
      <w:r>
        <w:rPr>
          <w:rFonts w:hint="cs"/>
          <w:snapToGrid w:val="0"/>
          <w:rtl/>
        </w:rPr>
        <w:t>قال الذهبي في ترجمته</w:t>
      </w:r>
      <w:r w:rsidR="000636C2">
        <w:rPr>
          <w:rFonts w:hint="cs"/>
          <w:snapToGrid w:val="0"/>
          <w:rtl/>
        </w:rPr>
        <w:t>: (</w:t>
      </w:r>
      <w:r>
        <w:rPr>
          <w:rFonts w:hint="cs"/>
          <w:rtl/>
        </w:rPr>
        <w:t>أقر بوضع حديث وتاب وأناب</w:t>
      </w:r>
      <w:r w:rsidR="000636C2">
        <w:rPr>
          <w:rFonts w:hint="cs"/>
          <w:rtl/>
        </w:rPr>
        <w:t>) [</w:t>
      </w:r>
      <w:r>
        <w:rPr>
          <w:rFonts w:hint="cs"/>
          <w:color w:val="000000"/>
          <w:rtl/>
        </w:rPr>
        <w:t>ميزان الإعتدال 1/259</w:t>
      </w:r>
      <w:r w:rsidR="000636C2">
        <w:rPr>
          <w:rFonts w:hint="cs"/>
          <w:rtl/>
        </w:rPr>
        <w:t>]،</w:t>
      </w:r>
      <w:r>
        <w:rPr>
          <w:rFonts w:hint="cs"/>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000636C2">
        <w:rPr>
          <w:rFonts w:hint="cs"/>
          <w:rtl/>
        </w:rPr>
        <w:t>، [</w:t>
      </w:r>
      <w:r>
        <w:rPr>
          <w:rFonts w:hint="cs"/>
          <w:color w:val="000000"/>
          <w:rtl/>
        </w:rPr>
        <w:t>تدريب الراوي1/329 وانظرالمنهل الروي لبدر الدين بن جماعة</w:t>
      </w:r>
      <w:r w:rsidR="000636C2">
        <w:rPr>
          <w:rFonts w:hint="cs"/>
          <w:color w:val="000000"/>
          <w:rtl/>
        </w:rPr>
        <w:t xml:space="preserve"> </w:t>
      </w:r>
      <w:r>
        <w:rPr>
          <w:rFonts w:hint="cs"/>
          <w:color w:val="000000"/>
          <w:rtl/>
        </w:rPr>
        <w:t>67</w:t>
      </w:r>
      <w:r w:rsidR="000636C2">
        <w:rPr>
          <w:rFonts w:hint="cs"/>
          <w:rtl/>
        </w:rPr>
        <w:t>]،</w:t>
      </w:r>
      <w:r>
        <w:rPr>
          <w:rFonts w:hint="cs"/>
          <w:rtl/>
        </w:rPr>
        <w:t xml:space="preserve"> الثاني</w:t>
      </w:r>
      <w:r w:rsidR="000636C2">
        <w:rPr>
          <w:rFonts w:hint="cs"/>
          <w:rtl/>
        </w:rPr>
        <w:t xml:space="preserve">: </w:t>
      </w:r>
      <w:r>
        <w:rPr>
          <w:rFonts w:hint="cs"/>
          <w:rtl/>
        </w:rPr>
        <w:t>أنه حتى على مذهب من يقبل توبته لا يلزم قبولُ روايته لأنه ضعيف الرواية قبل الكذب وبعده</w:t>
      </w:r>
      <w:r w:rsidR="000636C2">
        <w:rPr>
          <w:rFonts w:hint="cs"/>
          <w:rtl/>
        </w:rPr>
        <w:t xml:space="preserve">، </w:t>
      </w:r>
      <w:r>
        <w:rPr>
          <w:rFonts w:hint="cs"/>
          <w:rtl/>
        </w:rPr>
        <w:t xml:space="preserve">نقل ابن حجر في ترجمته أنه كان كذاباً لا يحتج بمثله وللأئمة فيه مقال </w:t>
      </w:r>
      <w:r w:rsidR="000636C2">
        <w:rPr>
          <w:rFonts w:hint="cs"/>
          <w:rtl/>
        </w:rPr>
        <w:t>[</w:t>
      </w:r>
      <w:r>
        <w:rPr>
          <w:rFonts w:hint="cs"/>
          <w:color w:val="000000"/>
          <w:rtl/>
        </w:rPr>
        <w:t>لسان الميزان 1/218وانظر ترجمته في المغني في الضعفاء للذهبي47</w:t>
      </w:r>
      <w:r w:rsidR="000636C2">
        <w:rPr>
          <w:rFonts w:hint="cs"/>
          <w:rtl/>
        </w:rPr>
        <w:t>]،</w:t>
      </w:r>
      <w:r>
        <w:rPr>
          <w:rFonts w:hint="cs"/>
          <w:rtl/>
        </w:rPr>
        <w:t xml:space="preserve"> ويرويه ابن كادش عن محمد بن علي أبي طالب العشاري قال الذهبي في ترجمته</w:t>
      </w:r>
      <w:r w:rsidR="000636C2">
        <w:rPr>
          <w:rFonts w:hint="cs"/>
          <w:rtl/>
        </w:rPr>
        <w:t>: (</w:t>
      </w:r>
      <w:r>
        <w:rPr>
          <w:rFonts w:hint="cs"/>
          <w:rtl/>
        </w:rPr>
        <w:t xml:space="preserve">شيخ صدوق معروف لكن أدخلوا عليه أشياء فحدث بها بسلامة باطن منها حديث </w:t>
      </w:r>
      <w:r>
        <w:rPr>
          <w:rFonts w:hint="cs"/>
          <w:rtl/>
        </w:rPr>
        <w:lastRenderedPageBreak/>
        <w:t>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0636C2">
        <w:rPr>
          <w:rFonts w:hint="cs"/>
          <w:rtl/>
        </w:rPr>
        <w:t>) [</w:t>
      </w:r>
      <w:r>
        <w:rPr>
          <w:rFonts w:hint="cs"/>
          <w:color w:val="000000"/>
          <w:rtl/>
        </w:rPr>
        <w:t>ميزان الإعتدال6/ 267وانظر ترجمته في لسان الميزان 5/30 2</w:t>
      </w:r>
      <w:r w:rsidR="000636C2">
        <w:rPr>
          <w:rFonts w:hint="cs"/>
          <w:rtl/>
        </w:rPr>
        <w:t>]،</w:t>
      </w:r>
      <w:r>
        <w:rPr>
          <w:rFonts w:hint="cs"/>
          <w:rtl/>
        </w:rPr>
        <w:t xml:space="preserve"> وفي هذا الكتاب باب في إثبات القدمين، وفيه أن الكرسي موضع القدمين، وفيه الأطيط وخلق آدم على صورة الرحمن ونحو ذلك</w:t>
      </w:r>
      <w:r w:rsidR="000636C2">
        <w:rPr>
          <w:rFonts w:hint="cs"/>
          <w:rtl/>
        </w:rPr>
        <w:t>،</w:t>
      </w:r>
      <w:r>
        <w:rPr>
          <w:rFonts w:hint="cs"/>
          <w:rtl/>
        </w:rPr>
        <w:t xml:space="preserve"> </w:t>
      </w:r>
      <w:bookmarkStart w:id="33" w:name="_Toc112917457"/>
      <w:bookmarkStart w:id="34" w:name="_Toc112664964"/>
      <w:bookmarkStart w:id="35" w:name="_Toc112603904"/>
      <w:bookmarkStart w:id="36" w:name="_Toc112603692"/>
      <w:r w:rsidR="000636C2">
        <w:rPr>
          <w:rFonts w:hint="cs"/>
          <w:bCs/>
          <w:rtl/>
        </w:rPr>
        <w:t>(</w:t>
      </w:r>
      <w:r>
        <w:rPr>
          <w:rFonts w:hint="cs"/>
          <w:bCs/>
          <w:rtl/>
        </w:rPr>
        <w:t>سابعاً</w:t>
      </w:r>
      <w:r w:rsidR="000636C2">
        <w:rPr>
          <w:rFonts w:hint="cs"/>
          <w:bCs/>
          <w:rtl/>
        </w:rPr>
        <w:t>):</w:t>
      </w:r>
      <w:r>
        <w:rPr>
          <w:rFonts w:hint="cs"/>
          <w:bCs/>
          <w:rtl/>
        </w:rPr>
        <w:t xml:space="preserve"> كتاب التوحيد لابن مند</w:t>
      </w:r>
      <w:bookmarkEnd w:id="33"/>
      <w:bookmarkEnd w:id="34"/>
      <w:bookmarkEnd w:id="35"/>
      <w:bookmarkEnd w:id="36"/>
      <w:r>
        <w:rPr>
          <w:rFonts w:hint="cs"/>
          <w:bCs/>
          <w:rtl/>
        </w:rPr>
        <w:t>ة</w:t>
      </w:r>
      <w:r w:rsidR="000636C2">
        <w:rPr>
          <w:rFonts w:hint="cs"/>
          <w:bCs/>
          <w:rtl/>
        </w:rPr>
        <w:t xml:space="preserve">: </w:t>
      </w:r>
      <w:r>
        <w:rPr>
          <w:rFonts w:hint="cs"/>
          <w:rtl/>
        </w:rPr>
        <w:t xml:space="preserve">وهو أبو عبد الله محمد بن إسحاق " ابن مندة " </w:t>
      </w:r>
      <w:r w:rsidR="000636C2">
        <w:rPr>
          <w:rFonts w:hint="cs"/>
          <w:rtl/>
        </w:rPr>
        <w:t>(</w:t>
      </w:r>
      <w:r>
        <w:rPr>
          <w:rFonts w:hint="cs"/>
          <w:rtl/>
        </w:rPr>
        <w:t>395هـ</w:t>
      </w:r>
      <w:r w:rsidR="000636C2">
        <w:rPr>
          <w:rFonts w:hint="cs"/>
          <w:rtl/>
        </w:rPr>
        <w:t>) [</w:t>
      </w:r>
      <w:r>
        <w:rPr>
          <w:rFonts w:hint="cs"/>
          <w:color w:val="000000"/>
          <w:rtl/>
        </w:rPr>
        <w:t>انظر ترجمته في سير أعلام النبلاء 17/38</w:t>
      </w:r>
      <w:r w:rsidR="000636C2">
        <w:rPr>
          <w:rFonts w:hint="cs"/>
          <w:rtl/>
        </w:rPr>
        <w:t xml:space="preserve">] </w:t>
      </w:r>
      <w:r>
        <w:rPr>
          <w:rFonts w:hint="cs"/>
          <w:rtl/>
        </w:rPr>
        <w:t>وله أيضا كتاب الرد على الجهمية وفيه أن الله يكشف يوم القيامة عن ساقيه، وعزاه إلى البخاري ومسلم، مع أنه ليس في أحدهما</w:t>
      </w:r>
      <w:r w:rsidR="000636C2">
        <w:rPr>
          <w:rFonts w:hint="cs"/>
          <w:rtl/>
        </w:rPr>
        <w:t xml:space="preserve"> [</w:t>
      </w:r>
      <w:r>
        <w:rPr>
          <w:rFonts w:hint="cs"/>
          <w:color w:val="000000"/>
          <w:rtl/>
        </w:rPr>
        <w:t>الرد على الجهمية 1/16</w:t>
      </w:r>
      <w:r w:rsidR="000636C2">
        <w:rPr>
          <w:rFonts w:hint="cs"/>
          <w:rtl/>
        </w:rPr>
        <w:t>]</w:t>
      </w:r>
      <w:r>
        <w:rPr>
          <w:rFonts w:hint="cs"/>
          <w:rtl/>
        </w:rPr>
        <w:t xml:space="preserve"> وفيه أن الله خلق الملائكة من نور الصدر والذراعين، وأن الكرسي موضع قدمه، ونحو ذلك من الأخبار</w:t>
      </w:r>
      <w:r w:rsidR="000636C2">
        <w:rPr>
          <w:rFonts w:hint="cs"/>
          <w:rtl/>
        </w:rPr>
        <w:t>،</w:t>
      </w:r>
      <w:r>
        <w:rPr>
          <w:rFonts w:hint="cs"/>
          <w:rtl/>
        </w:rPr>
        <w:t xml:space="preserve"> </w:t>
      </w:r>
      <w:r w:rsidR="000636C2">
        <w:rPr>
          <w:rFonts w:hint="cs"/>
          <w:bCs/>
          <w:rtl/>
        </w:rPr>
        <w:t>(</w:t>
      </w:r>
      <w:bookmarkStart w:id="37" w:name="_Toc112917458"/>
      <w:bookmarkStart w:id="38" w:name="_Toc112664965"/>
      <w:bookmarkStart w:id="39" w:name="_Toc112603905"/>
      <w:bookmarkStart w:id="40" w:name="_Toc112603693"/>
      <w:r>
        <w:rPr>
          <w:rFonts w:hint="cs"/>
          <w:bCs/>
          <w:rtl/>
        </w:rPr>
        <w:t>ثامنا</w:t>
      </w:r>
      <w:r w:rsidR="000636C2">
        <w:rPr>
          <w:rFonts w:hint="cs"/>
          <w:bCs/>
          <w:rtl/>
        </w:rPr>
        <w:t xml:space="preserve">): </w:t>
      </w:r>
      <w:r>
        <w:rPr>
          <w:rFonts w:hint="cs"/>
          <w:bCs/>
          <w:rtl/>
        </w:rPr>
        <w:t>كتاب العرش وما روي فيه</w:t>
      </w:r>
      <w:bookmarkEnd w:id="37"/>
      <w:bookmarkEnd w:id="38"/>
      <w:bookmarkEnd w:id="39"/>
      <w:bookmarkEnd w:id="40"/>
      <w:r w:rsidR="000636C2">
        <w:rPr>
          <w:rFonts w:hint="cs"/>
          <w:rtl/>
        </w:rPr>
        <w:t xml:space="preserve">: </w:t>
      </w:r>
      <w:r>
        <w:rPr>
          <w:rFonts w:hint="cs"/>
          <w:rtl/>
        </w:rPr>
        <w:t xml:space="preserve">لمحمد بن عثمان بن أبي شيبة </w:t>
      </w:r>
      <w:r w:rsidR="000636C2">
        <w:rPr>
          <w:rFonts w:hint="cs"/>
          <w:rtl/>
        </w:rPr>
        <w:t>(</w:t>
      </w:r>
      <w:r>
        <w:rPr>
          <w:rFonts w:hint="cs"/>
          <w:rtl/>
        </w:rPr>
        <w:t>297هـ</w:t>
      </w:r>
      <w:r w:rsidR="000636C2">
        <w:rPr>
          <w:rFonts w:hint="cs"/>
          <w:rtl/>
        </w:rPr>
        <w:t xml:space="preserve">) </w:t>
      </w:r>
      <w:r>
        <w:rPr>
          <w:rFonts w:hint="cs"/>
          <w:rtl/>
        </w:rPr>
        <w:t>وحال الكتاب من حال مؤلفه الذي نقل الذهبي تضعيفه عن الجمهور وتكذيبَه عن عبد الله بن أحمد بن حنبل</w:t>
      </w:r>
      <w:r w:rsidR="000636C2">
        <w:rPr>
          <w:rFonts w:hint="cs"/>
          <w:rtl/>
        </w:rPr>
        <w:t>،</w:t>
      </w:r>
      <w:r>
        <w:rPr>
          <w:rFonts w:hint="cs"/>
          <w:rtl/>
        </w:rPr>
        <w:t xml:space="preserve"> وعن غيره الاتهام بالوضع</w:t>
      </w:r>
      <w:r w:rsidR="000636C2">
        <w:rPr>
          <w:rFonts w:hint="cs"/>
          <w:rtl/>
        </w:rPr>
        <w:t xml:space="preserve"> [</w:t>
      </w:r>
      <w:r>
        <w:rPr>
          <w:rFonts w:hint="cs"/>
          <w:color w:val="000000"/>
          <w:rtl/>
        </w:rPr>
        <w:t>انظر العبر في خبر من غبر 2/ 114 و سير أعلام النبلاء 14/21 وشذرات الذهب لابن العماد 1/226</w:t>
      </w:r>
      <w:r w:rsidR="000636C2">
        <w:rPr>
          <w:rFonts w:hint="cs"/>
          <w:rtl/>
        </w:rPr>
        <w:t>]،</w:t>
      </w:r>
      <w:r>
        <w:rPr>
          <w:rFonts w:hint="cs"/>
          <w:rtl/>
        </w:rPr>
        <w:t xml:space="preserve">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 ونحو ذلك مما هو مبسوط في موضعه</w:t>
      </w:r>
      <w:r w:rsidR="000636C2">
        <w:rPr>
          <w:rFonts w:hint="cs"/>
          <w:rtl/>
        </w:rPr>
        <w:t>،</w:t>
      </w:r>
      <w:r>
        <w:rPr>
          <w:rFonts w:hint="cs"/>
          <w:rtl/>
        </w:rPr>
        <w:t xml:space="preserve"> </w:t>
      </w:r>
      <w:r w:rsidR="000636C2">
        <w:rPr>
          <w:rFonts w:hint="cs"/>
          <w:bCs/>
          <w:rtl/>
        </w:rPr>
        <w:t>(</w:t>
      </w:r>
      <w:bookmarkStart w:id="41" w:name="_Toc112917459"/>
      <w:bookmarkStart w:id="42" w:name="_Toc112664966"/>
      <w:bookmarkStart w:id="43" w:name="_Toc112603906"/>
      <w:bookmarkStart w:id="44" w:name="_Toc112603694"/>
      <w:r>
        <w:rPr>
          <w:rFonts w:hint="cs"/>
          <w:bCs/>
          <w:rtl/>
        </w:rPr>
        <w:t>تاسعا</w:t>
      </w:r>
      <w:r w:rsidR="000636C2">
        <w:rPr>
          <w:rFonts w:hint="cs"/>
          <w:bCs/>
          <w:rtl/>
        </w:rPr>
        <w:t xml:space="preserve">): </w:t>
      </w:r>
      <w:r>
        <w:rPr>
          <w:rFonts w:hint="cs"/>
          <w:bCs/>
          <w:rtl/>
        </w:rPr>
        <w:t>كتاب الأربعين في دلائل التوحيد لأبي إسماعيل عبد الله بن محمد الهروي</w:t>
      </w:r>
      <w:bookmarkEnd w:id="41"/>
      <w:bookmarkEnd w:id="42"/>
      <w:bookmarkEnd w:id="43"/>
      <w:bookmarkEnd w:id="44"/>
      <w:r>
        <w:rPr>
          <w:rFonts w:hint="cs"/>
          <w:rtl/>
        </w:rPr>
        <w:t xml:space="preserve"> </w:t>
      </w:r>
      <w:r w:rsidR="000636C2">
        <w:rPr>
          <w:rFonts w:hint="cs"/>
          <w:rtl/>
        </w:rPr>
        <w:t>(</w:t>
      </w:r>
      <w:r>
        <w:rPr>
          <w:rFonts w:hint="cs"/>
          <w:rtl/>
        </w:rPr>
        <w:t>ت 481 هـ</w:t>
      </w:r>
      <w:r w:rsidR="000636C2">
        <w:rPr>
          <w:rFonts w:hint="cs"/>
          <w:rtl/>
        </w:rPr>
        <w:t xml:space="preserve">): </w:t>
      </w:r>
      <w:r>
        <w:rPr>
          <w:rFonts w:hint="cs"/>
          <w:rtl/>
        </w:rPr>
        <w:t>والهروي هو الذي كان المجسمة بهراة يلقبونه شيخ الإسلام نكاية بمن سمى به الحافظ أبا عثمان الصابوني، قال ابن السبكي</w:t>
      </w:r>
      <w:r w:rsidR="000636C2">
        <w:rPr>
          <w:rFonts w:hint="cs"/>
          <w:rtl/>
        </w:rPr>
        <w:t>: (</w:t>
      </w:r>
      <w:r>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sidR="000636C2">
        <w:rPr>
          <w:rFonts w:hint="cs"/>
          <w:rtl/>
        </w:rPr>
        <w:t>،</w:t>
      </w:r>
      <w:r>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000636C2">
        <w:rPr>
          <w:rFonts w:hint="cs"/>
          <w:rtl/>
        </w:rPr>
        <w:t xml:space="preserve"> </w:t>
      </w:r>
      <w:r>
        <w:rPr>
          <w:rFonts w:hint="cs"/>
          <w:rtl/>
        </w:rPr>
        <w:t>..</w:t>
      </w:r>
      <w:r w:rsidR="000636C2">
        <w:rPr>
          <w:rFonts w:hint="cs"/>
          <w:rtl/>
        </w:rPr>
        <w:t xml:space="preserve"> </w:t>
      </w:r>
      <w:r>
        <w:rPr>
          <w:rFonts w:hint="cs"/>
          <w:rtl/>
        </w:rPr>
        <w:t>وكان أهل هراة في عصره فئتين فئة تعتقده وتبالغ فيه لما عنده من التقشف والتعبد وفئة تكفره لما يظهره من التشبيه</w:t>
      </w:r>
      <w:r w:rsidR="000636C2">
        <w:rPr>
          <w:rFonts w:hint="cs"/>
          <w:rtl/>
        </w:rPr>
        <w:t>،</w:t>
      </w:r>
      <w:r>
        <w:rPr>
          <w:rFonts w:hint="cs"/>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التشبيه وأفصح ..</w:t>
      </w:r>
      <w:r w:rsidR="000636C2">
        <w:rPr>
          <w:rFonts w:hint="cs"/>
          <w:rtl/>
        </w:rPr>
        <w:t xml:space="preserve"> </w:t>
      </w:r>
      <w:r>
        <w:rPr>
          <w:rFonts w:hint="cs"/>
          <w:rtl/>
        </w:rPr>
        <w:t>وكان شديد التعصب للفرق الحنبلية بحيث كان ينشد على المنبر على ما حكى عنه تلميذه محمد بن طاهر</w:t>
      </w:r>
      <w:r w:rsidR="000636C2">
        <w:rPr>
          <w:rFonts w:hint="cs"/>
          <w:rtl/>
        </w:rPr>
        <w:t xml:space="preserve">: </w:t>
      </w:r>
      <w:r>
        <w:rPr>
          <w:rFonts w:hint="cs"/>
          <w:rtl/>
        </w:rPr>
        <w:t>" أنا حنبلي ما حييت وإن أمت</w:t>
      </w:r>
      <w:r w:rsidR="000636C2">
        <w:rPr>
          <w:rFonts w:hint="cs"/>
          <w:rtl/>
        </w:rPr>
        <w:t xml:space="preserve"> </w:t>
      </w:r>
      <w:r>
        <w:rPr>
          <w:rFonts w:hint="cs"/>
          <w:rtl/>
        </w:rPr>
        <w:t>..</w:t>
      </w:r>
      <w:r w:rsidR="000636C2">
        <w:rPr>
          <w:rFonts w:hint="cs"/>
          <w:rtl/>
        </w:rPr>
        <w:t xml:space="preserve">، </w:t>
      </w:r>
      <w:r>
        <w:rPr>
          <w:rFonts w:hint="cs"/>
          <w:rtl/>
        </w:rPr>
        <w:t>فوصيتي للناس أن يتحنبلوا</w:t>
      </w:r>
      <w:r>
        <w:rPr>
          <w:rFonts w:hint="cs"/>
          <w:rtl/>
          <w:lang w:eastAsia="ar-SA"/>
        </w:rPr>
        <w:t xml:space="preserve"> "</w:t>
      </w:r>
      <w:r w:rsidR="000636C2">
        <w:rPr>
          <w:rFonts w:hint="cs"/>
          <w:rtl/>
          <w:lang w:eastAsia="ar-SA"/>
        </w:rPr>
        <w:t>،</w:t>
      </w:r>
      <w:r>
        <w:rPr>
          <w:rFonts w:hint="cs"/>
          <w:rtl/>
          <w:lang w:eastAsia="ar-SA"/>
        </w:rPr>
        <w:t xml:space="preserve"> </w:t>
      </w:r>
      <w:r>
        <w:rPr>
          <w:rFonts w:hint="cs"/>
          <w:rtl/>
        </w:rPr>
        <w:t>وترك الرواية عن شيخه القاضي أبي بكر الحيري لكونه أشعرياً وكل هذا تعصب زائد برأنا الله من الأهواء</w:t>
      </w:r>
      <w:r w:rsidR="000636C2">
        <w:rPr>
          <w:rFonts w:hint="cs"/>
          <w:rtl/>
        </w:rPr>
        <w:t>) [</w:t>
      </w:r>
      <w:r>
        <w:rPr>
          <w:rFonts w:hint="cs"/>
          <w:color w:val="000000"/>
          <w:rtl/>
        </w:rPr>
        <w:t>طبقات الشافعية الكبرى 4/ 272-</w:t>
      </w:r>
      <w:r>
        <w:rPr>
          <w:rFonts w:hint="cs"/>
          <w:color w:val="000000"/>
          <w:rtl/>
        </w:rPr>
        <w:lastRenderedPageBreak/>
        <w:t>273</w:t>
      </w:r>
      <w:r w:rsidR="000636C2">
        <w:rPr>
          <w:rFonts w:hint="cs"/>
          <w:rtl/>
        </w:rPr>
        <w:t xml:space="preserve">]، </w:t>
      </w:r>
      <w:r>
        <w:rPr>
          <w:rFonts w:hint="cs"/>
          <w:rtl/>
        </w:rPr>
        <w:t>وفي كتاب الأربعين أن محمداً صلى الله عليه وسلم رأى ربه في صورة شاب أمرد في قدميه خضرة</w:t>
      </w:r>
      <w:r w:rsidR="000636C2">
        <w:rPr>
          <w:rFonts w:hint="cs"/>
          <w:rtl/>
        </w:rPr>
        <w:t xml:space="preserve">، </w:t>
      </w:r>
      <w:r>
        <w:rPr>
          <w:rFonts w:hint="cs"/>
          <w:rtl/>
        </w:rPr>
        <w:t>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sidR="000636C2">
        <w:rPr>
          <w:rFonts w:hint="cs"/>
          <w:rtl/>
        </w:rPr>
        <w:t>،</w:t>
      </w:r>
      <w:r>
        <w:rPr>
          <w:rFonts w:hint="cs"/>
          <w:rtl/>
        </w:rPr>
        <w:t xml:space="preserve"> ومن كتابه ذم الكلام ينقل ابن تيمية تعثر الهروي في الوقيعة بالإمام الأشعري فيقول ابن تيمية</w:t>
      </w:r>
      <w:r w:rsidR="000636C2">
        <w:rPr>
          <w:rFonts w:hint="cs"/>
          <w:rtl/>
        </w:rPr>
        <w:t>: (</w:t>
      </w:r>
      <w:r>
        <w:rPr>
          <w:rFonts w:hint="cs"/>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000636C2">
        <w:rPr>
          <w:rFonts w:hint="cs"/>
          <w:rtl/>
        </w:rPr>
        <w:t xml:space="preserve"> </w:t>
      </w:r>
      <w:r>
        <w:rPr>
          <w:rFonts w:hint="cs"/>
          <w:rtl/>
        </w:rPr>
        <w:t>..</w:t>
      </w:r>
      <w:r w:rsidR="000636C2">
        <w:rPr>
          <w:rFonts w:hint="cs"/>
          <w:rtl/>
        </w:rPr>
        <w:t xml:space="preserve"> </w:t>
      </w:r>
      <w:r>
        <w:rPr>
          <w:rFonts w:hint="cs"/>
          <w:rtl/>
        </w:rPr>
        <w:t>وأن قولهم سميع بلا سمع ..</w:t>
      </w:r>
      <w:r w:rsidR="000636C2">
        <w:rPr>
          <w:rFonts w:hint="cs"/>
          <w:rtl/>
        </w:rPr>
        <w:t xml:space="preserve"> </w:t>
      </w:r>
      <w:r>
        <w:rPr>
          <w:rFonts w:hint="cs"/>
          <w:rtl/>
        </w:rPr>
        <w:t>بلا نفس ولا شخص ولا صورة..</w:t>
      </w:r>
      <w:r w:rsidR="000636C2">
        <w:rPr>
          <w:rFonts w:hint="cs"/>
          <w:rtl/>
        </w:rPr>
        <w:t>،</w:t>
      </w:r>
      <w:r>
        <w:rPr>
          <w:rFonts w:hint="cs"/>
          <w:rtl/>
        </w:rPr>
        <w:t xml:space="preserve"> فقد شحنت كتاب تكفير الجهمية من مقالات علماء الإسلام ورن الخلفاء فيهم ودق عامة أهل السنة عليهم وإجماع المسلمين على إخراجهم من الملة</w:t>
      </w:r>
      <w:r w:rsidR="000636C2">
        <w:rPr>
          <w:rFonts w:hint="cs"/>
          <w:rtl/>
        </w:rPr>
        <w:t xml:space="preserve"> </w:t>
      </w:r>
      <w:r>
        <w:rPr>
          <w:rFonts w:hint="cs"/>
          <w:rtl/>
        </w:rPr>
        <w:t>..</w:t>
      </w:r>
      <w:r w:rsidR="000636C2">
        <w:rPr>
          <w:rFonts w:hint="cs"/>
          <w:rtl/>
        </w:rPr>
        <w:t xml:space="preserve"> </w:t>
      </w:r>
      <w:r>
        <w:rPr>
          <w:rFonts w:hint="cs"/>
          <w:rtl/>
        </w:rPr>
        <w:t>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w:t>
      </w:r>
      <w:r w:rsidR="000636C2">
        <w:rPr>
          <w:rFonts w:hint="cs"/>
          <w:rtl/>
        </w:rPr>
        <w:t xml:space="preserve"> </w:t>
      </w:r>
      <w:r>
        <w:rPr>
          <w:rFonts w:hint="cs"/>
          <w:rtl/>
        </w:rPr>
        <w:t>..</w:t>
      </w:r>
      <w:r w:rsidR="000636C2">
        <w:rPr>
          <w:rFonts w:hint="cs"/>
          <w:rtl/>
        </w:rPr>
        <w:t xml:space="preserve"> </w:t>
      </w:r>
      <w:r>
        <w:rPr>
          <w:rFonts w:hint="cs"/>
          <w:rtl/>
        </w:rPr>
        <w:t>وإنما اعتقادهم أن القرآن غير موجود، لفظية الجهمية الذكور بمرة والجهمية الإناث بعشر مرات</w:t>
      </w:r>
      <w:r w:rsidR="000636C2">
        <w:rPr>
          <w:rFonts w:hint="cs"/>
          <w:rtl/>
        </w:rPr>
        <w:t xml:space="preserve"> </w:t>
      </w:r>
      <w:r>
        <w:rPr>
          <w:rFonts w:hint="cs"/>
          <w:rtl/>
        </w:rPr>
        <w:t>..</w:t>
      </w:r>
      <w:r w:rsidR="000636C2">
        <w:rPr>
          <w:rFonts w:hint="cs"/>
          <w:rtl/>
        </w:rPr>
        <w:t xml:space="preserve"> </w:t>
      </w:r>
      <w:r>
        <w:rPr>
          <w:rFonts w:hint="cs"/>
          <w:rtl/>
        </w:rPr>
        <w:t>قالوا وقد شاع في المسلمين أن رأسهم علي بن إسماعيل الأشعري كان لا يستنجي ولا يتوضأ ولا يصلي</w:t>
      </w:r>
      <w:r w:rsidR="000636C2">
        <w:rPr>
          <w:rFonts w:hint="cs"/>
          <w:rtl/>
        </w:rPr>
        <w:t>) [</w:t>
      </w:r>
      <w:r>
        <w:rPr>
          <w:rFonts w:hint="cs"/>
          <w:color w:val="000000"/>
          <w:rtl/>
        </w:rPr>
        <w:t>بيان تلبيس الجهمية 2 /4</w:t>
      </w:r>
      <w:r w:rsidR="000636C2">
        <w:rPr>
          <w:rFonts w:hint="cs"/>
          <w:color w:val="000000"/>
          <w:rtl/>
        </w:rPr>
        <w:t>،،</w:t>
      </w:r>
      <w:r>
        <w:rPr>
          <w:rFonts w:hint="cs"/>
          <w:color w:val="000000"/>
          <w:rtl/>
        </w:rPr>
        <w:t xml:space="preserve"> - 4</w:t>
      </w:r>
      <w:r w:rsidR="000636C2">
        <w:rPr>
          <w:rFonts w:hint="cs"/>
          <w:color w:val="000000"/>
          <w:rtl/>
        </w:rPr>
        <w:t>،</w:t>
      </w:r>
      <w:r>
        <w:rPr>
          <w:rFonts w:hint="cs"/>
          <w:color w:val="000000"/>
          <w:rtl/>
        </w:rPr>
        <w:t xml:space="preserve"> 4 وانظر هذه الحكاية في سير أعلام النبلاء 16/ 478</w:t>
      </w:r>
      <w:r w:rsidR="000636C2">
        <w:rPr>
          <w:rFonts w:hint="cs"/>
          <w:rtl/>
        </w:rPr>
        <w:t>]،</w:t>
      </w:r>
      <w:r>
        <w:rPr>
          <w:rFonts w:hint="cs"/>
          <w:rtl/>
        </w:rPr>
        <w:t xml:space="preserve">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000636C2">
        <w:rPr>
          <w:rFonts w:hint="cs"/>
          <w:rtl/>
        </w:rPr>
        <w:t>،</w:t>
      </w:r>
      <w:r>
        <w:rPr>
          <w:rFonts w:hint="cs"/>
          <w:rtl/>
        </w:rPr>
        <w:t xml:space="preserve"> </w:t>
      </w:r>
      <w:r>
        <w:rPr>
          <w:rFonts w:hint="cs"/>
          <w:snapToGrid w:val="0"/>
          <w:rtl/>
        </w:rPr>
        <w:t>وبما سبق يتبين شيء من حال هذه المصنفات وسوف يكشف في ثنايا البحث عن تفصيل هذا الإجمال</w:t>
      </w:r>
      <w:r w:rsidR="000636C2">
        <w:rPr>
          <w:rFonts w:hint="cs"/>
          <w:snapToGrid w:val="0"/>
          <w:rtl/>
        </w:rPr>
        <w:t xml:space="preserve">، </w:t>
      </w:r>
      <w:r>
        <w:rPr>
          <w:rFonts w:hint="cs"/>
          <w:snapToGrid w:val="0"/>
          <w:rtl/>
        </w:rPr>
        <w:t>ولكن لا بد أن نبين هنا غلط هؤلاء المصنفين على سبيل الإجمال أيضاً</w:t>
      </w:r>
      <w:r w:rsidR="000636C2">
        <w:rPr>
          <w:rFonts w:hint="cs"/>
          <w:snapToGrid w:val="0"/>
          <w:rtl/>
        </w:rPr>
        <w:t xml:space="preserve">، </w:t>
      </w:r>
      <w:r>
        <w:rPr>
          <w:rFonts w:hint="cs"/>
          <w:bCs/>
          <w:snapToGrid w:val="0"/>
          <w:rtl/>
        </w:rPr>
        <w:t>غلط هؤلاء المصنفين على وجه الإجمال</w:t>
      </w:r>
      <w:r w:rsidR="000636C2">
        <w:rPr>
          <w:rFonts w:hint="cs"/>
          <w:snapToGrid w:val="0"/>
          <w:rtl/>
        </w:rPr>
        <w:t xml:space="preserve">: </w:t>
      </w:r>
      <w:r w:rsidR="000636C2">
        <w:rPr>
          <w:rFonts w:hint="cs"/>
          <w:bCs/>
          <w:snapToGrid w:val="0"/>
          <w:rtl/>
        </w:rPr>
        <w:t>(</w:t>
      </w:r>
      <w:r>
        <w:rPr>
          <w:rFonts w:hint="cs"/>
          <w:bCs/>
          <w:snapToGrid w:val="0"/>
          <w:rtl/>
        </w:rPr>
        <w:t>أولاً</w:t>
      </w:r>
      <w:r w:rsidR="000636C2">
        <w:rPr>
          <w:rFonts w:hint="cs"/>
          <w:bCs/>
          <w:snapToGrid w:val="0"/>
          <w:rtl/>
        </w:rPr>
        <w:t>):</w:t>
      </w:r>
      <w:r w:rsidR="000636C2">
        <w:rPr>
          <w:rFonts w:hint="cs"/>
          <w:snapToGrid w:val="0"/>
          <w:rtl/>
        </w:rPr>
        <w:t xml:space="preserve"> </w:t>
      </w:r>
      <w:r>
        <w:rPr>
          <w:rFonts w:hint="cs"/>
          <w:snapToGrid w:val="0"/>
          <w:rtl/>
        </w:rPr>
        <w:t>أنهم جمعوا فيها أخباراً متفرقة فأحدث هذا الجمع في دلالتها تقوية لظاهرها الموهم كما سبق في الكلام على التفويض</w:t>
      </w:r>
      <w:r w:rsidR="000636C2">
        <w:rPr>
          <w:rFonts w:hint="cs"/>
          <w:snapToGrid w:val="0"/>
          <w:rtl/>
        </w:rPr>
        <w:t>،</w:t>
      </w:r>
      <w:r>
        <w:rPr>
          <w:rFonts w:hint="cs"/>
          <w:snapToGrid w:val="0"/>
          <w:rtl/>
        </w:rPr>
        <w:t xml:space="preserve"> </w:t>
      </w:r>
      <w:r w:rsidR="000636C2">
        <w:rPr>
          <w:rFonts w:hint="cs"/>
          <w:bCs/>
          <w:snapToGrid w:val="0"/>
          <w:rtl/>
        </w:rPr>
        <w:t>(</w:t>
      </w:r>
      <w:r>
        <w:rPr>
          <w:rFonts w:hint="cs"/>
          <w:bCs/>
          <w:snapToGrid w:val="0"/>
          <w:rtl/>
        </w:rPr>
        <w:t>ثانياً</w:t>
      </w:r>
      <w:r w:rsidR="000636C2">
        <w:rPr>
          <w:rFonts w:hint="cs"/>
          <w:bCs/>
          <w:snapToGrid w:val="0"/>
          <w:rtl/>
        </w:rPr>
        <w:t>)</w:t>
      </w:r>
      <w:r w:rsidR="000636C2">
        <w:rPr>
          <w:rFonts w:hint="cs"/>
          <w:snapToGrid w:val="0"/>
          <w:rtl/>
        </w:rPr>
        <w:t xml:space="preserve">: </w:t>
      </w:r>
      <w:r>
        <w:rPr>
          <w:rFonts w:hint="cs"/>
          <w:snapToGrid w:val="0"/>
          <w:rtl/>
        </w:rPr>
        <w:t xml:space="preserve">أنهم لم يفرقوا فيها بين النصوص التي تتفاوت دلالة وثبوتاً فمثلاً جعلوا قوله </w:t>
      </w:r>
      <w:r>
        <w:rPr>
          <w:rFonts w:hint="cs"/>
          <w:snapToGrid w:val="0"/>
          <w:rtl/>
        </w:rPr>
        <w:lastRenderedPageBreak/>
        <w:t>تعالى</w:t>
      </w:r>
      <w:r w:rsidR="000636C2">
        <w:rPr>
          <w:rFonts w:hint="cs"/>
          <w:snapToGrid w:val="0"/>
          <w:rtl/>
        </w:rPr>
        <w:t>: (</w:t>
      </w:r>
      <w:r>
        <w:rPr>
          <w:rFonts w:hint="cs"/>
          <w:snapToGrid w:val="0"/>
          <w:rtl/>
        </w:rPr>
        <w:t>الرحمن على العرش استوى</w:t>
      </w:r>
      <w:r w:rsidR="000636C2">
        <w:rPr>
          <w:rFonts w:hint="cs"/>
          <w:snapToGrid w:val="0"/>
          <w:rtl/>
        </w:rPr>
        <w:t>) [</w:t>
      </w:r>
      <w:r>
        <w:rPr>
          <w:rFonts w:hint="cs"/>
          <w:rtl/>
        </w:rPr>
        <w:t xml:space="preserve">الآية </w:t>
      </w:r>
      <w:r w:rsidR="000636C2">
        <w:rPr>
          <w:rFonts w:hint="cs"/>
          <w:rtl/>
        </w:rPr>
        <w:t>(</w:t>
      </w:r>
      <w:r>
        <w:rPr>
          <w:rFonts w:hint="cs"/>
          <w:rtl/>
        </w:rPr>
        <w:t>5</w:t>
      </w:r>
      <w:r w:rsidR="000636C2">
        <w:rPr>
          <w:rFonts w:hint="cs"/>
          <w:rtl/>
        </w:rPr>
        <w:t xml:space="preserve">) </w:t>
      </w:r>
      <w:r>
        <w:rPr>
          <w:rFonts w:hint="cs"/>
          <w:rtl/>
        </w:rPr>
        <w:t>من سورة طه</w:t>
      </w:r>
      <w:r w:rsidR="000636C2">
        <w:rPr>
          <w:rFonts w:hint="cs"/>
          <w:snapToGrid w:val="0"/>
          <w:rtl/>
        </w:rPr>
        <w:t xml:space="preserve">] </w:t>
      </w:r>
      <w:r>
        <w:rPr>
          <w:rFonts w:hint="cs"/>
          <w:snapToGrid w:val="0"/>
          <w:rtl/>
        </w:rPr>
        <w:t>مع الأخبار المنكرة التي تتحدث عن القعود على العرش وأطيط العرش من ثقل الجبار فوقه، وجعلوا هذين المتفاوتين من أدلة الاستواء على العرش</w:t>
      </w:r>
      <w:r w:rsidR="000636C2">
        <w:rPr>
          <w:rFonts w:hint="cs"/>
          <w:snapToGrid w:val="0"/>
          <w:rtl/>
        </w:rPr>
        <w:t xml:space="preserve">، </w:t>
      </w:r>
      <w:r>
        <w:rPr>
          <w:rFonts w:hint="cs"/>
          <w:snapToGrid w:val="0"/>
          <w:rtl/>
        </w:rPr>
        <w:t>وبقية الأمثلة مبسوطة في الشبه السمعية</w:t>
      </w:r>
      <w:r w:rsidR="000636C2">
        <w:rPr>
          <w:rFonts w:hint="cs"/>
          <w:snapToGrid w:val="0"/>
          <w:rtl/>
        </w:rPr>
        <w:t>،</w:t>
      </w:r>
      <w:r>
        <w:rPr>
          <w:rFonts w:hint="cs"/>
          <w:snapToGrid w:val="0"/>
          <w:rtl/>
        </w:rPr>
        <w:t xml:space="preserve"> </w:t>
      </w:r>
      <w:r w:rsidR="000636C2">
        <w:rPr>
          <w:rFonts w:hint="cs"/>
          <w:bCs/>
          <w:snapToGrid w:val="0"/>
          <w:rtl/>
        </w:rPr>
        <w:t>(</w:t>
      </w:r>
      <w:r>
        <w:rPr>
          <w:rFonts w:hint="cs"/>
          <w:bCs/>
          <w:snapToGrid w:val="0"/>
          <w:rtl/>
        </w:rPr>
        <w:t>ثالثاً</w:t>
      </w:r>
      <w:r w:rsidR="000636C2">
        <w:rPr>
          <w:rFonts w:hint="cs"/>
          <w:bCs/>
          <w:snapToGrid w:val="0"/>
          <w:rtl/>
        </w:rPr>
        <w:t>)</w:t>
      </w:r>
      <w:r w:rsidR="000636C2">
        <w:rPr>
          <w:rFonts w:hint="cs"/>
          <w:snapToGrid w:val="0"/>
          <w:rtl/>
        </w:rPr>
        <w:t xml:space="preserve">: </w:t>
      </w:r>
      <w:r>
        <w:rPr>
          <w:rFonts w:hint="cs"/>
          <w:snapToGrid w:val="0"/>
          <w:rtl/>
        </w:rPr>
        <w:t>أنهم لم يفرقوا بين حديث مرفوع وبين حديث موقوف على صحابي أو تابعي، فأثبتوا بهذا ما أثبتوا بهذا</w:t>
      </w:r>
      <w:r w:rsidR="000636C2">
        <w:rPr>
          <w:rFonts w:hint="cs"/>
          <w:snapToGrid w:val="0"/>
          <w:rtl/>
        </w:rPr>
        <w:t xml:space="preserve">، </w:t>
      </w:r>
      <w:r>
        <w:rPr>
          <w:rFonts w:hint="cs"/>
          <w:snapToGrid w:val="0"/>
          <w:rtl/>
        </w:rPr>
        <w:t>بل ربما عارضوا ما هو مشهور عن رسول الله صلى الله عليه وسلم بمرويات عن أحد التابعين</w:t>
      </w:r>
      <w:r w:rsidR="000636C2">
        <w:rPr>
          <w:rFonts w:hint="cs"/>
          <w:snapToGrid w:val="0"/>
          <w:rtl/>
        </w:rPr>
        <w:t xml:space="preserve">، </w:t>
      </w:r>
      <w:r>
        <w:rPr>
          <w:rFonts w:hint="cs"/>
          <w:snapToGrid w:val="0"/>
          <w:rtl/>
        </w:rPr>
        <w:t>ومثال ذلك تفسير المقام المحمود بالإقعاد على العرش</w:t>
      </w:r>
      <w:r w:rsidR="000636C2">
        <w:rPr>
          <w:rFonts w:hint="cs"/>
          <w:snapToGrid w:val="0"/>
          <w:rtl/>
        </w:rPr>
        <w:t xml:space="preserve">، </w:t>
      </w:r>
      <w:r>
        <w:rPr>
          <w:rFonts w:hint="cs"/>
          <w:snapToGrid w:val="0"/>
          <w:rtl/>
        </w:rPr>
        <w:t>بل لم يفرقوا بين حديث نبوي وخبر إسرائيلي، فربما جعلوا ما لقول الرسول صلى الله عليه وسلم من القدسية والمكانة ثابتاً لقول أهل الكتاب</w:t>
      </w:r>
      <w:r w:rsidR="000636C2">
        <w:rPr>
          <w:rFonts w:hint="cs"/>
          <w:snapToGrid w:val="0"/>
          <w:rtl/>
        </w:rPr>
        <w:t xml:space="preserve">، </w:t>
      </w:r>
      <w:r>
        <w:rPr>
          <w:rFonts w:hint="cs"/>
          <w:snapToGrid w:val="0"/>
          <w:rtl/>
        </w:rPr>
        <w:t>ومثال ذلك ما ذكروه في الاستلقاء على العرش ووضع إحدى رجليه على الأخرى وغير ذلك مما هو مبسوط في الشبه السمعية</w:t>
      </w:r>
      <w:r w:rsidR="000636C2">
        <w:rPr>
          <w:rFonts w:hint="cs"/>
          <w:snapToGrid w:val="0"/>
          <w:rtl/>
        </w:rPr>
        <w:t>،</w:t>
      </w:r>
      <w:r>
        <w:rPr>
          <w:rFonts w:hint="cs"/>
          <w:snapToGrid w:val="0"/>
          <w:rtl/>
        </w:rPr>
        <w:t xml:space="preserve"> </w:t>
      </w:r>
      <w:r w:rsidR="000636C2">
        <w:rPr>
          <w:rFonts w:hint="cs"/>
          <w:bCs/>
          <w:snapToGrid w:val="0"/>
          <w:rtl/>
        </w:rPr>
        <w:t>(</w:t>
      </w:r>
      <w:r>
        <w:rPr>
          <w:rFonts w:hint="cs"/>
          <w:bCs/>
          <w:rtl/>
        </w:rPr>
        <w:t>رابعاً</w:t>
      </w:r>
      <w:r w:rsidR="000636C2">
        <w:rPr>
          <w:rFonts w:hint="cs"/>
          <w:bCs/>
          <w:rtl/>
        </w:rPr>
        <w:t>)</w:t>
      </w:r>
      <w:r w:rsidR="000636C2">
        <w:rPr>
          <w:rFonts w:hint="cs"/>
          <w:rtl/>
        </w:rPr>
        <w:t xml:space="preserve">: </w:t>
      </w:r>
      <w:r>
        <w:rPr>
          <w:rFonts w:hint="cs"/>
          <w:rtl/>
        </w:rPr>
        <w:t>أنهم لم يفرقوا بين منقول بالتواتر من الكتاب والسنة وخبر لم يصح سنده فأثبتوا بالثاني ما أثبتوه بالأول</w:t>
      </w:r>
      <w:r w:rsidR="000636C2">
        <w:rPr>
          <w:rFonts w:hint="cs"/>
          <w:rtl/>
        </w:rPr>
        <w:t xml:space="preserve">، </w:t>
      </w:r>
      <w:r>
        <w:rPr>
          <w:rFonts w:hint="cs"/>
          <w:rtl/>
        </w:rPr>
        <w:t>وقد سبق بعض الأمثلة لذلك وسيأتي في الشبه السمعية بسط ذلك</w:t>
      </w:r>
      <w:r w:rsidR="000636C2">
        <w:rPr>
          <w:rFonts w:hint="cs"/>
          <w:rtl/>
        </w:rPr>
        <w:t xml:space="preserve">، </w:t>
      </w:r>
      <w:bookmarkStart w:id="45" w:name="_Toc112917460"/>
      <w:bookmarkStart w:id="46" w:name="_Toc112664967"/>
      <w:bookmarkStart w:id="47" w:name="_Toc112603907"/>
      <w:bookmarkStart w:id="48" w:name="_Toc112603695"/>
      <w:r w:rsidR="000636C2">
        <w:rPr>
          <w:rFonts w:hint="cs"/>
          <w:bCs/>
          <w:rtl/>
        </w:rPr>
        <w:t>(</w:t>
      </w:r>
      <w:r>
        <w:rPr>
          <w:rFonts w:hint="cs"/>
          <w:bCs/>
          <w:rtl/>
        </w:rPr>
        <w:t>أمثلة تثبت وقوع الاختلاف والنزاع بين اهل الحديث بسبب الاعتقاد</w:t>
      </w:r>
      <w:bookmarkEnd w:id="45"/>
      <w:bookmarkEnd w:id="46"/>
      <w:bookmarkEnd w:id="47"/>
      <w:bookmarkEnd w:id="48"/>
      <w:r w:rsidR="000636C2">
        <w:rPr>
          <w:rFonts w:hint="cs"/>
          <w:bCs/>
          <w:rtl/>
        </w:rPr>
        <w:t>)</w:t>
      </w:r>
      <w:r w:rsidR="000636C2">
        <w:rPr>
          <w:rFonts w:hint="cs"/>
          <w:rtl/>
        </w:rPr>
        <w:t xml:space="preserve">: </w:t>
      </w:r>
      <w:r>
        <w:rPr>
          <w:rFonts w:hint="cs"/>
          <w:rtl/>
        </w:rPr>
        <w:t>بعد أن ذكرنا عن أهل الحديث ما يستحيل معه حكاية اتفاقهم على مذهب واحد نؤكد اختلافهم ببعض ما حصل بين الفريقين من النزاع والتنازع</w:t>
      </w:r>
      <w:r w:rsidR="000636C2">
        <w:rPr>
          <w:rFonts w:hint="cs"/>
          <w:rtl/>
        </w:rPr>
        <w:t xml:space="preserve">، </w:t>
      </w:r>
      <w:r>
        <w:rPr>
          <w:rFonts w:hint="cs"/>
          <w:rtl/>
        </w:rPr>
        <w:t>فمن ذلك ما فعله يحيى بن عمار السجزي شيخ أبي إسماعيل الهروي بالحافظ ابن حبان رحمه الله، كما ذكره الذهبي في ترجمة ابن حبان فقال</w:t>
      </w:r>
      <w:r w:rsidR="000636C2">
        <w:rPr>
          <w:rFonts w:hint="cs"/>
          <w:rtl/>
        </w:rPr>
        <w:t>: (</w:t>
      </w:r>
      <w:r>
        <w:rPr>
          <w:rFonts w:hint="cs"/>
          <w:rtl/>
        </w:rPr>
        <w:t>قال أبو إسماعيل الأنصاري شيخ الإسلام سألت يحيى بن عمار عن أبي حاتم ابن حبان فقال</w:t>
      </w:r>
      <w:r w:rsidR="000636C2">
        <w:rPr>
          <w:rFonts w:hint="cs"/>
          <w:rtl/>
        </w:rPr>
        <w:t xml:space="preserve">: </w:t>
      </w:r>
      <w:r>
        <w:rPr>
          <w:rFonts w:hint="cs"/>
          <w:rtl/>
        </w:rPr>
        <w:t>رأيته، ونحن أخرجناه</w:t>
      </w:r>
      <w:r w:rsidR="000636C2">
        <w:rPr>
          <w:rFonts w:hint="cs"/>
          <w:rtl/>
        </w:rPr>
        <w:t xml:space="preserve"> </w:t>
      </w:r>
      <w:r>
        <w:rPr>
          <w:rFonts w:hint="cs"/>
          <w:rtl/>
        </w:rPr>
        <w:t>من سجستان كان له علم كثير ولم يكن له كبير دين قدم علينا فأنكر الحد لله فأخرجناه</w:t>
      </w:r>
      <w:r w:rsidR="000636C2">
        <w:rPr>
          <w:rFonts w:hint="cs"/>
          <w:rtl/>
        </w:rPr>
        <w:t>) [</w:t>
      </w:r>
      <w:r>
        <w:rPr>
          <w:rFonts w:hint="cs"/>
          <w:color w:val="000000"/>
          <w:rtl/>
        </w:rPr>
        <w:t>ميزان الاعتدال 6/99</w:t>
      </w:r>
      <w:r w:rsidR="000636C2">
        <w:rPr>
          <w:rFonts w:hint="cs"/>
          <w:color w:val="000000"/>
          <w:rtl/>
        </w:rPr>
        <w:t>،</w:t>
      </w:r>
      <w:r>
        <w:rPr>
          <w:rFonts w:hint="cs"/>
          <w:color w:val="000000"/>
          <w:rtl/>
        </w:rPr>
        <w:t xml:space="preserve"> </w:t>
      </w:r>
      <w:r>
        <w:rPr>
          <w:rFonts w:hint="cs"/>
          <w:rtl/>
        </w:rPr>
        <w:t xml:space="preserve">ومن ظلم هؤلاء الحنابلة وفتنهم ما ذكره المؤرخون في منعهم من الدخول على ابن جرير الطبري، انظر </w:t>
      </w:r>
      <w:r>
        <w:rPr>
          <w:rFonts w:hint="cs"/>
          <w:color w:val="000000"/>
          <w:rtl/>
        </w:rPr>
        <w:t>الكامل لابن الأثير 7/9 وسير أعلام النبلاء 14/ 272 وطبقات الشافعية الكبرى 4/34 و3/ 125</w:t>
      </w:r>
      <w:r w:rsidR="000636C2">
        <w:rPr>
          <w:rFonts w:hint="cs"/>
          <w:rtl/>
        </w:rPr>
        <w:t>]،</w:t>
      </w:r>
      <w:r>
        <w:rPr>
          <w:rFonts w:hint="cs"/>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w:t>
      </w:r>
      <w:r w:rsidR="000636C2">
        <w:rPr>
          <w:rFonts w:hint="cs"/>
          <w:rtl/>
        </w:rPr>
        <w:t xml:space="preserve">، </w:t>
      </w:r>
      <w:r>
        <w:rPr>
          <w:rFonts w:hint="cs"/>
          <w:rtl/>
        </w:rPr>
        <w:t>وإن شئت فهناك موقف ثالث متذبذب كالذي ذكره الحافظ الذهبي تعليقاً على قول يحيى بن عمار قال</w:t>
      </w:r>
      <w:r w:rsidR="000636C2">
        <w:rPr>
          <w:rFonts w:hint="cs"/>
          <w:rtl/>
        </w:rPr>
        <w:t>: (</w:t>
      </w:r>
      <w:r>
        <w:rPr>
          <w:rFonts w:hint="cs"/>
          <w:rtl/>
        </w:rPr>
        <w:t>قلت</w:t>
      </w:r>
      <w:r w:rsidR="000636C2">
        <w:rPr>
          <w:rFonts w:hint="cs"/>
          <w:rtl/>
        </w:rPr>
        <w:t xml:space="preserve">: </w:t>
      </w:r>
      <w:r>
        <w:rPr>
          <w:rFonts w:hint="cs"/>
          <w:rtl/>
        </w:rPr>
        <w:t>إنكاره الحد وإثباتكم للحد نوع من فضول 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000636C2">
        <w:rPr>
          <w:rFonts w:hint="cs"/>
          <w:rtl/>
        </w:rPr>
        <w:t xml:space="preserve">، </w:t>
      </w:r>
      <w:r>
        <w:rPr>
          <w:rFonts w:hint="cs"/>
          <w:rtl/>
        </w:rPr>
        <w:t>وقال هو للنافي ساويت ربك بالشيء المعدوم إذ المعدوم لا حد له فمن نزه الله وسكت سلم وتابع السلف</w:t>
      </w:r>
      <w:r w:rsidR="000636C2">
        <w:rPr>
          <w:rFonts w:hint="cs"/>
          <w:rtl/>
        </w:rPr>
        <w:t>) [</w:t>
      </w:r>
      <w:r>
        <w:rPr>
          <w:rFonts w:hint="cs"/>
          <w:color w:val="000000"/>
          <w:rtl/>
        </w:rPr>
        <w:t>ميزان الاعتدال 6/99</w:t>
      </w:r>
      <w:r w:rsidR="000636C2">
        <w:rPr>
          <w:rFonts w:hint="cs"/>
          <w:rtl/>
        </w:rPr>
        <w:t>]،</w:t>
      </w:r>
      <w:r>
        <w:rPr>
          <w:rFonts w:hint="cs"/>
          <w:rtl/>
        </w:rPr>
        <w:t xml:space="preserve"> وهذا الموقف الذي لا يرضى عن الموقفين السابقين موقف متهافت فقد حصل النزاع في الحد نفياً وإثباتاً فإن </w:t>
      </w:r>
      <w:r>
        <w:rPr>
          <w:rFonts w:hint="cs"/>
          <w:rtl/>
        </w:rPr>
        <w:lastRenderedPageBreak/>
        <w:t>كان الحد من لوازم الجسم التي يجب تنزيه الله عز وجل عنها فلا يسع النافي أن يسكت على إثبات التجسيم</w:t>
      </w:r>
      <w:r w:rsidR="000636C2">
        <w:rPr>
          <w:rFonts w:hint="cs"/>
          <w:rtl/>
        </w:rPr>
        <w:t xml:space="preserve">، </w:t>
      </w:r>
      <w:r>
        <w:rPr>
          <w:rFonts w:hint="cs"/>
          <w:rtl/>
        </w:rPr>
        <w:t>وإن كان نفي الحد موجباً لعدم الباري فلا يسع المثبت السكوت على نفيه</w:t>
      </w:r>
      <w:r w:rsidR="000636C2">
        <w:rPr>
          <w:rFonts w:hint="cs"/>
          <w:rtl/>
        </w:rPr>
        <w:t xml:space="preserve">، </w:t>
      </w:r>
      <w:r>
        <w:rPr>
          <w:rFonts w:hint="cs"/>
          <w:rtl/>
        </w:rPr>
        <w:t>أما ما ذكره من لزوم عدمه فهو شبهة من شبه التجسيم سيأتي الجواب عنها</w:t>
      </w:r>
      <w:r w:rsidR="000636C2">
        <w:rPr>
          <w:rFonts w:hint="cs"/>
          <w:rtl/>
        </w:rPr>
        <w:t>،</w:t>
      </w:r>
      <w:r>
        <w:rPr>
          <w:rFonts w:hint="cs"/>
          <w:rtl/>
        </w:rPr>
        <w:t xml:space="preserve"> وبهذا يتبين أن المحدثين </w:t>
      </w:r>
      <w:r>
        <w:rPr>
          <w:rFonts w:hint="cs"/>
          <w:snapToGrid w:val="0"/>
          <w:rtl/>
        </w:rPr>
        <w:t>ليس لهم عقيدة جامعة فيكون عزو عقيدةٍ إلى جماعة الحديت تمويهاً</w:t>
      </w:r>
      <w:r>
        <w:rPr>
          <w:rFonts w:hint="cs"/>
          <w:rtl/>
        </w:rPr>
        <w:t xml:space="preserve"> </w:t>
      </w:r>
      <w:r w:rsidR="000636C2">
        <w:rPr>
          <w:rFonts w:hint="cs"/>
          <w:rtl/>
        </w:rPr>
        <w:t>[</w:t>
      </w:r>
      <w:r>
        <w:rPr>
          <w:rFonts w:hint="cs"/>
          <w:color w:val="000000"/>
          <w:rtl/>
        </w:rPr>
        <w:t>انظر تبديد الظلام المخيم للكوثري 2</w:t>
      </w:r>
      <w:r w:rsidR="000636C2">
        <w:rPr>
          <w:rFonts w:hint="cs"/>
          <w:color w:val="000000"/>
          <w:rtl/>
        </w:rPr>
        <w:t>،]</w:t>
      </w:r>
      <w:r>
        <w:rPr>
          <w:rFonts w:hint="cs"/>
          <w:rtl/>
        </w:rPr>
        <w:t xml:space="preserve"> ويتبن أيضا أنه لا يصح قولُ ابن تيمية رحمه الله في المتكلمين</w:t>
      </w:r>
      <w:r w:rsidR="000636C2">
        <w:rPr>
          <w:rFonts w:hint="cs"/>
          <w:rtl/>
        </w:rPr>
        <w:t>: (</w:t>
      </w:r>
      <w:r>
        <w:rPr>
          <w:rFonts w:hint="cs"/>
          <w:rtl/>
        </w:rPr>
        <w:t>.. ولو اعتصموا بالكتاب والسنة لاتفقوا كما اتفق أهل السنة والحديث فإن أئمة السنة والحديث لم يختلفوا في شيء من أصول دينهم</w:t>
      </w:r>
      <w:r w:rsidR="000636C2">
        <w:rPr>
          <w:rFonts w:hint="cs"/>
          <w:rtl/>
        </w:rPr>
        <w:t>) [</w:t>
      </w:r>
      <w:r>
        <w:rPr>
          <w:rFonts w:hint="cs"/>
          <w:rtl/>
        </w:rPr>
        <w:t>درء التعارض 10 / 30 6</w:t>
      </w:r>
      <w:r w:rsidR="000636C2">
        <w:rPr>
          <w:rFonts w:hint="cs"/>
          <w:rtl/>
        </w:rPr>
        <w:t>]،</w:t>
      </w:r>
      <w:r>
        <w:rPr>
          <w:rFonts w:hint="cs"/>
          <w:rtl/>
        </w:rPr>
        <w:t xml:space="preserve"> انتهى من </w:t>
      </w:r>
      <w:r>
        <w:rPr>
          <w:rFonts w:hint="cs"/>
          <w:rtl/>
          <w:lang w:bidi="ar-KW"/>
        </w:rPr>
        <w:t xml:space="preserve">كتاب </w:t>
      </w:r>
      <w:r>
        <w:rPr>
          <w:rFonts w:hint="cs"/>
          <w:rtl/>
        </w:rPr>
        <w:t>التجسيم في الفكر الإسلامى</w:t>
      </w:r>
      <w:r w:rsidR="000636C2">
        <w:rPr>
          <w:rFonts w:hint="cs"/>
          <w:rtl/>
        </w:rPr>
        <w:t>،</w:t>
      </w:r>
    </w:p>
    <w:p w14:paraId="38285DCD" w14:textId="77777777" w:rsidR="009C32A0" w:rsidRDefault="009C32A0" w:rsidP="000636C2">
      <w:pPr>
        <w:ind w:left="-58"/>
        <w:jc w:val="center"/>
        <w:rPr>
          <w:b/>
          <w:rtl/>
        </w:rPr>
      </w:pPr>
      <w:r>
        <w:rPr>
          <w:rFonts w:hint="cs"/>
          <w:rtl/>
        </w:rPr>
        <w:t xml:space="preserve">*** </w:t>
      </w:r>
    </w:p>
    <w:p w14:paraId="7FA35EFB" w14:textId="77777777" w:rsidR="009C32A0" w:rsidRDefault="009C32A0" w:rsidP="000636C2">
      <w:pPr>
        <w:ind w:left="-58"/>
        <w:jc w:val="center"/>
        <w:rPr>
          <w:b/>
          <w:rtl/>
        </w:rPr>
      </w:pPr>
    </w:p>
    <w:p w14:paraId="1842BDF9" w14:textId="4DBF39FC" w:rsidR="009C32A0" w:rsidRPr="00C07A88" w:rsidRDefault="000636C2" w:rsidP="00C07A88">
      <w:pPr>
        <w:pStyle w:val="2"/>
        <w:bidi/>
        <w:jc w:val="center"/>
        <w:rPr>
          <w:u w:val="none"/>
          <w:rtl/>
        </w:rPr>
      </w:pPr>
      <w:r w:rsidRPr="00C07A88">
        <w:rPr>
          <w:rFonts w:hint="cs"/>
          <w:u w:val="none"/>
          <w:rtl/>
        </w:rPr>
        <w:t>[</w:t>
      </w:r>
      <w:r w:rsidR="009C32A0" w:rsidRPr="00C07A88">
        <w:rPr>
          <w:rFonts w:hint="cs"/>
          <w:u w:val="none"/>
          <w:rtl/>
        </w:rPr>
        <w:t>خامساً</w:t>
      </w:r>
      <w:r w:rsidRPr="00C07A88">
        <w:rPr>
          <w:rFonts w:hint="cs"/>
          <w:u w:val="none"/>
          <w:rtl/>
        </w:rPr>
        <w:t>]</w:t>
      </w:r>
      <w:r w:rsidR="00C07A88" w:rsidRPr="00C07A88">
        <w:rPr>
          <w:rFonts w:hint="cs"/>
          <w:u w:val="none"/>
          <w:rtl/>
        </w:rPr>
        <w:t xml:space="preserve"> </w:t>
      </w:r>
      <w:r w:rsidR="009C32A0" w:rsidRPr="00C07A88">
        <w:rPr>
          <w:rFonts w:hint="cs"/>
          <w:u w:val="none"/>
          <w:rtl/>
        </w:rPr>
        <w:t>براءة الإمام أحمد ابن حنبل رحمه الله من انتساب الحشوية إليه</w:t>
      </w:r>
    </w:p>
    <w:p w14:paraId="3DEB1C6D" w14:textId="77777777" w:rsidR="009C32A0" w:rsidRDefault="009C32A0" w:rsidP="000636C2">
      <w:pPr>
        <w:ind w:left="-58"/>
        <w:rPr>
          <w:b/>
          <w:rtl/>
        </w:rPr>
      </w:pPr>
    </w:p>
    <w:p w14:paraId="7FAE65C6" w14:textId="16935B86" w:rsidR="009C32A0" w:rsidRDefault="009C32A0" w:rsidP="000636C2">
      <w:pPr>
        <w:ind w:left="-58"/>
        <w:rPr>
          <w:b/>
          <w:rtl/>
        </w:rPr>
      </w:pPr>
      <w:r>
        <w:rPr>
          <w:rFonts w:hint="cs"/>
          <w:rtl/>
        </w:rPr>
        <w:t xml:space="preserve">اشتهر انتساب الحَشْويّة إلى مذهب أحمد بن حنبل </w:t>
      </w:r>
      <w:r w:rsidR="000636C2">
        <w:rPr>
          <w:rFonts w:hint="cs"/>
          <w:rtl/>
        </w:rPr>
        <w:t>(</w:t>
      </w:r>
      <w:r>
        <w:rPr>
          <w:rFonts w:hint="cs"/>
          <w:rtl/>
        </w:rPr>
        <w:t>ت241هـ</w:t>
      </w:r>
      <w:r w:rsidR="000636C2">
        <w:rPr>
          <w:rFonts w:hint="cs"/>
          <w:rtl/>
        </w:rPr>
        <w:t>)،</w:t>
      </w:r>
      <w:r>
        <w:rPr>
          <w:rFonts w:hint="cs"/>
          <w:rtl/>
        </w:rPr>
        <w:t xml:space="preserve"> ولا ريبَ أنّ الامامَ أحمد إمامٌ عظيمُ القدر</w:t>
      </w:r>
      <w:r w:rsidR="000636C2">
        <w:rPr>
          <w:rFonts w:hint="cs"/>
          <w:rtl/>
        </w:rPr>
        <w:t>،</w:t>
      </w:r>
      <w:r>
        <w:rPr>
          <w:rFonts w:hint="cs"/>
          <w:rtl/>
        </w:rPr>
        <w:t xml:space="preserve"> ومن أكبر أئمّة الاسلام</w:t>
      </w:r>
      <w:r w:rsidR="000636C2">
        <w:rPr>
          <w:rFonts w:hint="cs"/>
          <w:rtl/>
        </w:rPr>
        <w:t>،</w:t>
      </w:r>
      <w:r>
        <w:rPr>
          <w:rFonts w:hint="cs"/>
          <w:rtl/>
        </w:rPr>
        <w:t xml:space="preserve"> لكن قد انتسب إليه هؤلاء هو منهم بريء</w:t>
      </w:r>
      <w:r w:rsidR="000636C2">
        <w:rPr>
          <w:rFonts w:hint="cs"/>
          <w:rtl/>
        </w:rPr>
        <w:t>،</w:t>
      </w:r>
      <w:r>
        <w:rPr>
          <w:rFonts w:hint="cs"/>
          <w:rtl/>
        </w:rPr>
        <w:t xml:space="preserve"> وهذا الإمام ابن الجوزي</w:t>
      </w:r>
      <w:r w:rsidR="000636C2">
        <w:rPr>
          <w:rFonts w:hint="cs"/>
          <w:rtl/>
        </w:rPr>
        <w:t>،</w:t>
      </w:r>
      <w:r>
        <w:rPr>
          <w:rFonts w:hint="cs"/>
          <w:rtl/>
        </w:rPr>
        <w:t xml:space="preserve"> الذي لم يأت في الحنابلة بعد الإمام أحمد مثله</w:t>
      </w:r>
      <w:r w:rsidR="000636C2">
        <w:rPr>
          <w:rFonts w:hint="cs"/>
          <w:rtl/>
        </w:rPr>
        <w:t>،</w:t>
      </w:r>
      <w:r>
        <w:rPr>
          <w:rFonts w:hint="cs"/>
          <w:rtl/>
        </w:rPr>
        <w:t xml:space="preserve"> يُخاطب ابن حامد وابن الزاغوني والقاضي أبي يعلى القاضي وهم من كُبراء الحنابلة</w:t>
      </w:r>
      <w:r w:rsidR="000636C2">
        <w:rPr>
          <w:rFonts w:hint="cs"/>
          <w:rtl/>
        </w:rPr>
        <w:t>،</w:t>
      </w:r>
      <w:r>
        <w:rPr>
          <w:rFonts w:hint="cs"/>
          <w:rtl/>
        </w:rPr>
        <w:t xml:space="preserve"> بقوله</w:t>
      </w:r>
      <w:r w:rsidR="000636C2">
        <w:rPr>
          <w:rFonts w:hint="cs"/>
          <w:rtl/>
        </w:rPr>
        <w:t xml:space="preserve">: </w:t>
      </w:r>
      <w:r>
        <w:rPr>
          <w:rFonts w:hint="cs"/>
          <w:rtl/>
        </w:rPr>
        <w:t xml:space="preserve">" </w:t>
      </w:r>
      <w:r>
        <w:rPr>
          <w:rFonts w:hint="cs"/>
          <w:snapToGrid w:val="0"/>
          <w:rtl/>
        </w:rPr>
        <w:t>ورأيت من أصحابنا من تكلم في الأصول بما لا يصلح</w:t>
      </w:r>
      <w:r w:rsidR="000636C2">
        <w:rPr>
          <w:rFonts w:hint="cs"/>
          <w:snapToGrid w:val="0"/>
          <w:rtl/>
        </w:rPr>
        <w:t>،</w:t>
      </w:r>
      <w:r>
        <w:rPr>
          <w:rFonts w:hint="cs"/>
          <w:snapToGrid w:val="0"/>
          <w:rtl/>
        </w:rPr>
        <w:t xml:space="preserve"> وانتدب للتصنيف ثلاثة</w:t>
      </w:r>
      <w:r w:rsidR="000636C2">
        <w:rPr>
          <w:rFonts w:hint="cs"/>
          <w:snapToGrid w:val="0"/>
          <w:rtl/>
        </w:rPr>
        <w:t xml:space="preserve">: </w:t>
      </w:r>
      <w:r>
        <w:rPr>
          <w:rFonts w:hint="cs"/>
          <w:snapToGrid w:val="0"/>
          <w:rtl/>
        </w:rPr>
        <w:t>أبو عبد الله بن حامد وصاحبه القاضيوابن الزاغوني فصنفوا كتباً شانوا بها المذهب ورأيتهم قد نزلوا إلى مرتبة العوام، فحملوا الصفات على مقتضى الحس</w:t>
      </w:r>
      <w:r w:rsidR="000636C2">
        <w:rPr>
          <w:rFonts w:hint="cs"/>
          <w:snapToGrid w:val="0"/>
          <w:rtl/>
        </w:rPr>
        <w:t xml:space="preserve">، </w:t>
      </w:r>
      <w:r>
        <w:rPr>
          <w:rFonts w:hint="cs"/>
          <w:snapToGrid w:val="0"/>
          <w:rtl/>
        </w:rPr>
        <w:t>فسمعوا أن الله تعالى خلق آدم على صورته، فأثبتوا له صورة ووجهاً زائداً على الذات، وعينين وفماً ولهواتٍ وأضراساً</w:t>
      </w:r>
      <w:r w:rsidR="000636C2">
        <w:rPr>
          <w:rFonts w:hint="cs"/>
          <w:snapToGrid w:val="0"/>
          <w:rtl/>
        </w:rPr>
        <w:t xml:space="preserve"> </w:t>
      </w:r>
      <w:r>
        <w:rPr>
          <w:rFonts w:hint="cs"/>
          <w:snapToGrid w:val="0"/>
          <w:rtl/>
        </w:rPr>
        <w:t>..</w:t>
      </w:r>
      <w:r w:rsidR="000636C2">
        <w:rPr>
          <w:rFonts w:hint="cs"/>
          <w:snapToGrid w:val="0"/>
          <w:rtl/>
        </w:rPr>
        <w:t xml:space="preserve"> </w:t>
      </w:r>
      <w:r>
        <w:rPr>
          <w:rFonts w:hint="cs"/>
          <w:snapToGrid w:val="0"/>
          <w:rtl/>
        </w:rPr>
        <w:t>ويدين وأصابعَ وكفاً وخنصراً وإبهاماً وصدراً وفخذاً وساقين ورجلين</w:t>
      </w:r>
      <w:r w:rsidR="000636C2">
        <w:rPr>
          <w:rFonts w:hint="cs"/>
          <w:snapToGrid w:val="0"/>
          <w:rtl/>
        </w:rPr>
        <w:t xml:space="preserve">، </w:t>
      </w:r>
      <w:r>
        <w:rPr>
          <w:rFonts w:hint="cs"/>
          <w:snapToGrid w:val="0"/>
          <w:rtl/>
        </w:rPr>
        <w:t>وقالوا</w:t>
      </w:r>
      <w:r w:rsidR="000636C2">
        <w:rPr>
          <w:rFonts w:hint="cs"/>
          <w:snapToGrid w:val="0"/>
          <w:rtl/>
        </w:rPr>
        <w:t xml:space="preserve">: </w:t>
      </w:r>
      <w:r>
        <w:rPr>
          <w:rFonts w:hint="cs"/>
          <w:snapToGrid w:val="0"/>
          <w:rtl/>
        </w:rPr>
        <w:t>ما سمعنا بذكر الرأس</w:t>
      </w:r>
      <w:r w:rsidR="000636C2">
        <w:rPr>
          <w:rFonts w:hint="cs"/>
          <w:snapToGrid w:val="0"/>
          <w:rtl/>
        </w:rPr>
        <w:t xml:space="preserve">، </w:t>
      </w:r>
      <w:r>
        <w:rPr>
          <w:rFonts w:hint="cs"/>
          <w:snapToGrid w:val="0"/>
          <w:rtl/>
        </w:rPr>
        <w:lastRenderedPageBreak/>
        <w:t>وقالوا</w:t>
      </w:r>
      <w:r w:rsidR="000636C2">
        <w:rPr>
          <w:rFonts w:hint="cs"/>
          <w:snapToGrid w:val="0"/>
          <w:rtl/>
        </w:rPr>
        <w:t xml:space="preserve">: </w:t>
      </w:r>
      <w:r>
        <w:rPr>
          <w:rFonts w:hint="cs"/>
          <w:snapToGrid w:val="0"/>
          <w:rtl/>
        </w:rPr>
        <w:t>يجوز أن يُمس وَيمس، ويدني العبد من ذاته</w:t>
      </w:r>
      <w:r w:rsidR="000636C2">
        <w:rPr>
          <w:rFonts w:hint="cs"/>
          <w:snapToGrid w:val="0"/>
          <w:rtl/>
        </w:rPr>
        <w:t xml:space="preserve">، </w:t>
      </w:r>
      <w:r>
        <w:rPr>
          <w:rFonts w:hint="cs"/>
          <w:snapToGrid w:val="0"/>
          <w:rtl/>
        </w:rPr>
        <w:t>وقال بعضهم</w:t>
      </w:r>
      <w:r w:rsidR="000636C2">
        <w:rPr>
          <w:rFonts w:hint="cs"/>
          <w:snapToGrid w:val="0"/>
          <w:rtl/>
        </w:rPr>
        <w:t xml:space="preserve">: </w:t>
      </w:r>
      <w:r>
        <w:rPr>
          <w:rFonts w:hint="cs"/>
          <w:snapToGrid w:val="0"/>
          <w:rtl/>
        </w:rPr>
        <w:t>ويتنفس</w:t>
      </w:r>
      <w:r w:rsidR="000636C2">
        <w:rPr>
          <w:rFonts w:hint="cs"/>
          <w:snapToGrid w:val="0"/>
          <w:rtl/>
        </w:rPr>
        <w:t xml:space="preserve">، </w:t>
      </w:r>
      <w:r>
        <w:rPr>
          <w:rFonts w:hint="cs"/>
          <w:snapToGrid w:val="0"/>
          <w:rtl/>
        </w:rPr>
        <w:t>ثم يرضون العوام بقولهم</w:t>
      </w:r>
      <w:r w:rsidR="000636C2">
        <w:rPr>
          <w:rFonts w:hint="cs"/>
          <w:snapToGrid w:val="0"/>
          <w:rtl/>
        </w:rPr>
        <w:t xml:space="preserve">: </w:t>
      </w:r>
      <w:r>
        <w:rPr>
          <w:rFonts w:hint="cs"/>
          <w:snapToGrid w:val="0"/>
          <w:rtl/>
        </w:rPr>
        <w:t>لا كما يعقل</w:t>
      </w:r>
      <w:r w:rsidR="000636C2">
        <w:rPr>
          <w:rFonts w:hint="cs"/>
          <w:snapToGrid w:val="0"/>
          <w:rtl/>
        </w:rPr>
        <w:t xml:space="preserve"> </w:t>
      </w:r>
      <w:r>
        <w:rPr>
          <w:rFonts w:hint="cs"/>
          <w:snapToGrid w:val="0"/>
          <w:rtl/>
        </w:rPr>
        <w:t>ثم يتحرجون من التشبيه ويأنفون من إضافته إليهم ويقولون</w:t>
      </w:r>
      <w:r w:rsidR="000636C2">
        <w:rPr>
          <w:rFonts w:hint="cs"/>
          <w:snapToGrid w:val="0"/>
          <w:rtl/>
        </w:rPr>
        <w:t xml:space="preserve">: </w:t>
      </w:r>
      <w:r>
        <w:rPr>
          <w:rFonts w:hint="cs"/>
          <w:snapToGrid w:val="0"/>
          <w:rtl/>
        </w:rPr>
        <w:t>نحن أهل السنة، وكلامهم صريح في التشبيه</w:t>
      </w:r>
      <w:r w:rsidR="000636C2">
        <w:rPr>
          <w:rFonts w:hint="cs"/>
          <w:snapToGrid w:val="0"/>
          <w:rtl/>
        </w:rPr>
        <w:t xml:space="preserve">، </w:t>
      </w:r>
      <w:r>
        <w:rPr>
          <w:rFonts w:hint="cs"/>
          <w:snapToGrid w:val="0"/>
          <w:rtl/>
        </w:rPr>
        <w:t>وقد تبعهم خلق من العوام</w:t>
      </w:r>
      <w:r w:rsidR="000636C2">
        <w:rPr>
          <w:rFonts w:hint="cs"/>
          <w:snapToGrid w:val="0"/>
          <w:rtl/>
        </w:rPr>
        <w:t xml:space="preserve">، </w:t>
      </w:r>
      <w:r>
        <w:rPr>
          <w:rFonts w:hint="cs"/>
          <w:snapToGrid w:val="0"/>
          <w:rtl/>
        </w:rPr>
        <w:t>فقد نصحت التابع والمتبوع فقلت لهم</w:t>
      </w:r>
      <w:r w:rsidR="000636C2">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0636C2">
        <w:rPr>
          <w:rFonts w:hint="cs"/>
          <w:snapToGrid w:val="0"/>
          <w:rtl/>
        </w:rPr>
        <w:t>:</w:t>
      </w:r>
      <w:r>
        <w:rPr>
          <w:rFonts w:hint="cs"/>
          <w:snapToGrid w:val="0"/>
          <w:rtl/>
        </w:rPr>
        <w:t xml:space="preserve"> " كيف أقول ما لم يقل"</w:t>
      </w:r>
      <w:r w:rsidR="000636C2">
        <w:rPr>
          <w:rFonts w:hint="cs"/>
          <w:snapToGrid w:val="0"/>
          <w:rtl/>
        </w:rPr>
        <w:t xml:space="preserve">، </w:t>
      </w:r>
      <w:r>
        <w:rPr>
          <w:rFonts w:hint="cs"/>
          <w:snapToGrid w:val="0"/>
          <w:rtl/>
        </w:rPr>
        <w:t>فإياكم أن تبتدعوا في مذهبه ما ليس منه</w:t>
      </w:r>
      <w:r w:rsidR="000636C2">
        <w:rPr>
          <w:rFonts w:hint="cs"/>
          <w:snapToGrid w:val="0"/>
          <w:rtl/>
        </w:rPr>
        <w:t>،</w:t>
      </w:r>
      <w:r>
        <w:rPr>
          <w:rFonts w:hint="cs"/>
          <w:snapToGrid w:val="0"/>
          <w:rtl/>
        </w:rPr>
        <w:t xml:space="preserve"> فلو أنكم قلتم</w:t>
      </w:r>
      <w:r w:rsidR="000636C2">
        <w:rPr>
          <w:rFonts w:hint="cs"/>
          <w:snapToGrid w:val="0"/>
          <w:rtl/>
        </w:rPr>
        <w:t xml:space="preserve">: </w:t>
      </w:r>
      <w:r>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000636C2">
        <w:rPr>
          <w:rFonts w:hint="cs"/>
          <w:snapToGrid w:val="0"/>
          <w:rtl/>
        </w:rPr>
        <w:t xml:space="preserve">، </w:t>
      </w:r>
      <w:r>
        <w:rPr>
          <w:rFonts w:hint="cs"/>
          <w:snapToGrid w:val="0"/>
          <w:rtl/>
        </w:rPr>
        <w:t>ولقد كسيتم هذا المذهب شيناً قبيحاً حتى صار لا يقال حنبلي إلا مجسم ..</w:t>
      </w:r>
      <w:r w:rsidR="000636C2">
        <w:rPr>
          <w:rFonts w:hint="cs"/>
          <w:snapToGrid w:val="0"/>
          <w:rtl/>
        </w:rPr>
        <w:t>) [</w:t>
      </w:r>
      <w:r>
        <w:rPr>
          <w:rFonts w:hint="cs"/>
          <w:snapToGrid w:val="0"/>
          <w:color w:val="000000"/>
          <w:rtl/>
        </w:rPr>
        <w:t>دفع شبه التشبيه لابن الجوزي 30 -33</w:t>
      </w:r>
      <w:r w:rsidR="000636C2">
        <w:rPr>
          <w:rFonts w:hint="cs"/>
          <w:snapToGrid w:val="0"/>
          <w:rtl/>
        </w:rPr>
        <w:t>]،</w:t>
      </w:r>
      <w:r>
        <w:rPr>
          <w:rFonts w:hint="cs"/>
          <w:snapToGrid w:val="0"/>
          <w:rtl/>
        </w:rPr>
        <w:t xml:space="preserve"> </w:t>
      </w:r>
      <w:r>
        <w:rPr>
          <w:rFonts w:hint="cs"/>
          <w:rtl/>
        </w:rPr>
        <w:t xml:space="preserve">وقال العفيف اليافعي في كتاب </w:t>
      </w:r>
      <w:r w:rsidR="000636C2">
        <w:rPr>
          <w:rFonts w:hint="cs"/>
          <w:rtl/>
        </w:rPr>
        <w:t>(</w:t>
      </w:r>
      <w:r>
        <w:rPr>
          <w:rFonts w:hint="cs"/>
          <w:rtl/>
        </w:rPr>
        <w:t>مَرْهَم العلل المُعْضلة في دفع الشبه والردّ على المعتزلة</w:t>
      </w:r>
      <w:r w:rsidR="000636C2">
        <w:rPr>
          <w:rFonts w:hint="cs"/>
          <w:rtl/>
        </w:rPr>
        <w:t xml:space="preserve">) </w:t>
      </w:r>
      <w:r>
        <w:rPr>
          <w:rFonts w:hint="cs"/>
          <w:rtl/>
        </w:rPr>
        <w:t>في الجزء الثالث منه</w:t>
      </w:r>
      <w:r w:rsidR="000636C2">
        <w:rPr>
          <w:rFonts w:hint="cs"/>
          <w:rtl/>
        </w:rPr>
        <w:t xml:space="preserve">: </w:t>
      </w:r>
      <w:r>
        <w:rPr>
          <w:rFonts w:hint="cs"/>
          <w:rtl/>
        </w:rPr>
        <w:t>ومتأخّرو الحنابلة غَلَوا في دينهم غُلُوّاً فاحشاً</w:t>
      </w:r>
      <w:r w:rsidR="000636C2">
        <w:rPr>
          <w:rFonts w:hint="cs"/>
          <w:rtl/>
        </w:rPr>
        <w:t>،</w:t>
      </w:r>
      <w:r>
        <w:rPr>
          <w:rFonts w:hint="cs"/>
          <w:rtl/>
        </w:rPr>
        <w:t xml:space="preserve"> وتَسَفّهُوا سَفَهاً عظيماً</w:t>
      </w:r>
      <w:r w:rsidR="000636C2">
        <w:rPr>
          <w:rFonts w:hint="cs"/>
          <w:rtl/>
        </w:rPr>
        <w:t>،</w:t>
      </w:r>
      <w:r>
        <w:rPr>
          <w:rFonts w:hint="cs"/>
          <w:rtl/>
        </w:rPr>
        <w:t xml:space="preserve"> وجَسَّموا تجسيماً قبيحاً</w:t>
      </w:r>
      <w:r w:rsidR="000636C2">
        <w:rPr>
          <w:rFonts w:hint="cs"/>
          <w:rtl/>
        </w:rPr>
        <w:t>،</w:t>
      </w:r>
      <w:r>
        <w:rPr>
          <w:rFonts w:hint="cs"/>
          <w:rtl/>
        </w:rPr>
        <w:t xml:space="preserve"> وشبّهوا الله بخلقه تشبيهاً شنيعاً</w:t>
      </w:r>
      <w:r w:rsidR="000636C2">
        <w:rPr>
          <w:rFonts w:hint="cs"/>
          <w:rtl/>
        </w:rPr>
        <w:t>،</w:t>
      </w:r>
      <w:r>
        <w:rPr>
          <w:rFonts w:hint="cs"/>
          <w:rtl/>
        </w:rPr>
        <w:t xml:space="preserve"> وجعلوا له من عباده أمثالاً كثيرةً</w:t>
      </w:r>
      <w:r w:rsidR="000636C2">
        <w:rPr>
          <w:rFonts w:hint="cs"/>
          <w:rtl/>
        </w:rPr>
        <w:t>،</w:t>
      </w:r>
      <w:r>
        <w:rPr>
          <w:rFonts w:hint="cs"/>
          <w:rtl/>
        </w:rPr>
        <w:t xml:space="preserve"> حتّى قال أبو بكر بن العربي في </w:t>
      </w:r>
      <w:r w:rsidR="000636C2">
        <w:rPr>
          <w:rFonts w:hint="cs"/>
          <w:rtl/>
        </w:rPr>
        <w:t>(</w:t>
      </w:r>
      <w:r>
        <w:rPr>
          <w:rFonts w:hint="cs"/>
          <w:rtl/>
        </w:rPr>
        <w:t>العواصم</w:t>
      </w:r>
      <w:r w:rsidR="000636C2">
        <w:rPr>
          <w:rFonts w:hint="cs"/>
          <w:rtl/>
        </w:rPr>
        <w:t xml:space="preserve">): </w:t>
      </w:r>
      <w:r>
        <w:rPr>
          <w:rFonts w:hint="cs"/>
          <w:rtl/>
        </w:rPr>
        <w:t>أخبرني من أثقُ به من مشيختي</w:t>
      </w:r>
      <w:r w:rsidR="000636C2">
        <w:rPr>
          <w:rFonts w:hint="cs"/>
          <w:rtl/>
        </w:rPr>
        <w:t xml:space="preserve">: </w:t>
      </w:r>
      <w:r>
        <w:rPr>
          <w:rFonts w:hint="cs"/>
          <w:rtl/>
        </w:rPr>
        <w:t>أنّ القاضي أبا يَعْلى الحنبلي كان إذا ذكر الله سبحانه يقول في ما ورد من هذه الظواهر في صفاته تعالى ـ</w:t>
      </w:r>
      <w:r w:rsidR="000636C2">
        <w:rPr>
          <w:rFonts w:hint="cs"/>
          <w:rtl/>
        </w:rPr>
        <w:t xml:space="preserve">: </w:t>
      </w:r>
      <w:r>
        <w:rPr>
          <w:rFonts w:hint="cs"/>
          <w:rtl/>
        </w:rPr>
        <w:t>ألْزِمُوني ما شئتُمْ</w:t>
      </w:r>
      <w:r w:rsidR="000636C2">
        <w:rPr>
          <w:rFonts w:hint="cs"/>
          <w:rtl/>
        </w:rPr>
        <w:t>،</w:t>
      </w:r>
      <w:r>
        <w:rPr>
          <w:rFonts w:hint="cs"/>
          <w:rtl/>
        </w:rPr>
        <w:t xml:space="preserve"> فإنّي ألتزمُهُ إلّا اللحية والعورة</w:t>
      </w:r>
      <w:r w:rsidR="000636C2">
        <w:rPr>
          <w:rFonts w:hint="cs"/>
          <w:rtl/>
        </w:rPr>
        <w:t>،</w:t>
      </w:r>
      <w:r>
        <w:rPr>
          <w:rFonts w:hint="cs"/>
          <w:rtl/>
        </w:rPr>
        <w:t xml:space="preserve"> قال بعض أئمّة أهل الحقّ</w:t>
      </w:r>
      <w:r w:rsidR="000636C2">
        <w:rPr>
          <w:rFonts w:hint="cs"/>
          <w:rtl/>
        </w:rPr>
        <w:t xml:space="preserve">: </w:t>
      </w:r>
      <w:r>
        <w:rPr>
          <w:rFonts w:hint="cs"/>
          <w:rtl/>
        </w:rPr>
        <w:t>وهذا كفرٌ قبيحٌ</w:t>
      </w:r>
      <w:r w:rsidR="000636C2">
        <w:rPr>
          <w:rFonts w:hint="cs"/>
          <w:rtl/>
        </w:rPr>
        <w:t>،</w:t>
      </w:r>
      <w:r>
        <w:rPr>
          <w:rFonts w:hint="cs"/>
          <w:rtl/>
        </w:rPr>
        <w:t xml:space="preserve"> واستهزاءٌ بالله تعالى شنيعٌ</w:t>
      </w:r>
      <w:r w:rsidR="000636C2">
        <w:rPr>
          <w:rFonts w:hint="cs"/>
          <w:rtl/>
        </w:rPr>
        <w:t>،</w:t>
      </w:r>
      <w:r>
        <w:rPr>
          <w:rFonts w:hint="cs"/>
          <w:rtl/>
        </w:rPr>
        <w:t xml:space="preserve"> وقائله جاهلٌ به تعالى لا يُقْتدى به ولا يُلتفتُ إليه ولا مُتّبِعٌ لامامه الذي ينتسبُ إليه" أهـ</w:t>
      </w:r>
      <w:r w:rsidR="000636C2">
        <w:rPr>
          <w:rFonts w:hint="cs"/>
          <w:rtl/>
        </w:rPr>
        <w:t xml:space="preserve"> [</w:t>
      </w:r>
      <w:r>
        <w:rPr>
          <w:rFonts w:hint="cs"/>
          <w:rtl/>
        </w:rPr>
        <w:t xml:space="preserve">نقله عنه السبكي في السيف الصقيل </w:t>
      </w:r>
      <w:r w:rsidR="000636C2">
        <w:rPr>
          <w:rFonts w:hint="cs"/>
          <w:rtl/>
        </w:rPr>
        <w:t>(</w:t>
      </w:r>
      <w:r>
        <w:rPr>
          <w:rFonts w:hint="cs"/>
          <w:rtl/>
        </w:rPr>
        <w:t>ص130</w:t>
      </w:r>
      <w:r w:rsidR="000636C2">
        <w:rPr>
          <w:rFonts w:hint="cs"/>
          <w:rtl/>
        </w:rPr>
        <w:t>)]،</w:t>
      </w:r>
      <w:r>
        <w:rPr>
          <w:rFonts w:hint="cs"/>
          <w:rtl/>
        </w:rPr>
        <w:t xml:space="preserve"> وقال العلّامة الكوثري</w:t>
      </w:r>
      <w:r w:rsidR="000636C2">
        <w:rPr>
          <w:rFonts w:hint="cs"/>
          <w:rtl/>
        </w:rPr>
        <w:t xml:space="preserve">: </w:t>
      </w:r>
      <w:r>
        <w:rPr>
          <w:rFonts w:hint="cs"/>
          <w:rtl/>
        </w:rPr>
        <w:t>وبعض الحنابلة على مسلك السَلَف في التفويض</w:t>
      </w:r>
      <w:r w:rsidR="000636C2">
        <w:rPr>
          <w:rFonts w:hint="cs"/>
          <w:rtl/>
        </w:rPr>
        <w:t>،</w:t>
      </w:r>
      <w:r>
        <w:rPr>
          <w:rFonts w:hint="cs"/>
          <w:rtl/>
        </w:rPr>
        <w:t xml:space="preserve"> و بعضهم انحاز إلى المعتزلة</w:t>
      </w:r>
      <w:r w:rsidR="000636C2">
        <w:rPr>
          <w:rFonts w:hint="cs"/>
          <w:rtl/>
        </w:rPr>
        <w:t>،</w:t>
      </w:r>
      <w:r>
        <w:rPr>
          <w:rFonts w:hint="cs"/>
          <w:rtl/>
        </w:rPr>
        <w:t xml:space="preserve"> وكان غالبُهم ـ على تعاقُب القُرُون ـ حشويةً على الطريقة السالميّة والكراميّة</w:t>
      </w:r>
      <w:r w:rsidR="000636C2">
        <w:rPr>
          <w:rFonts w:hint="cs"/>
          <w:rtl/>
        </w:rPr>
        <w:t>،</w:t>
      </w:r>
      <w:r>
        <w:rPr>
          <w:rFonts w:hint="cs"/>
          <w:rtl/>
        </w:rPr>
        <w:t xml:space="preserve"> إلى أن جعل الظاهر بيبرس قضاء القُضاة في المذاهب الأربعة لأوّل مرّة</w:t>
      </w:r>
      <w:r w:rsidR="000636C2">
        <w:rPr>
          <w:rFonts w:hint="cs"/>
          <w:rtl/>
        </w:rPr>
        <w:t>،</w:t>
      </w:r>
      <w:r>
        <w:rPr>
          <w:rFonts w:hint="cs"/>
          <w:rtl/>
        </w:rPr>
        <w:t xml:space="preserve"> فأخذت تزول أمراضُهم البِدْعيّة</w:t>
      </w:r>
      <w:r w:rsidR="000636C2">
        <w:rPr>
          <w:rFonts w:hint="cs"/>
          <w:rtl/>
        </w:rPr>
        <w:t>،</w:t>
      </w:r>
      <w:r>
        <w:rPr>
          <w:rFonts w:hint="cs"/>
          <w:rtl/>
        </w:rPr>
        <w:t xml:space="preserve"> وكادَ أن لا يبقى بينهم حشويّ لولا جالية </w:t>
      </w:r>
      <w:r w:rsidR="000636C2">
        <w:rPr>
          <w:rFonts w:hint="cs"/>
          <w:rtl/>
        </w:rPr>
        <w:t>(</w:t>
      </w:r>
      <w:r>
        <w:rPr>
          <w:rFonts w:hint="cs"/>
          <w:rtl/>
        </w:rPr>
        <w:t>حرّان</w:t>
      </w:r>
      <w:r w:rsidR="000636C2">
        <w:rPr>
          <w:rFonts w:hint="cs"/>
          <w:rtl/>
        </w:rPr>
        <w:t xml:space="preserve">) </w:t>
      </w:r>
      <w:r>
        <w:rPr>
          <w:rFonts w:hint="cs"/>
          <w:rtl/>
        </w:rPr>
        <w:t>بعد نكبة بغداد</w:t>
      </w:r>
      <w:r w:rsidR="000636C2">
        <w:rPr>
          <w:rFonts w:hint="cs"/>
          <w:rtl/>
        </w:rPr>
        <w:t>،</w:t>
      </w:r>
      <w:r>
        <w:rPr>
          <w:rFonts w:hint="cs"/>
          <w:rtl/>
        </w:rPr>
        <w:t xml:space="preserve"> حطَّوا رحلَهم بالشام</w:t>
      </w:r>
      <w:r w:rsidR="000636C2">
        <w:rPr>
          <w:rFonts w:hint="cs"/>
          <w:rtl/>
        </w:rPr>
        <w:t>،</w:t>
      </w:r>
      <w:r>
        <w:rPr>
          <w:rFonts w:hint="cs"/>
          <w:rtl/>
        </w:rPr>
        <w:t xml:space="preserve"> ونَبَغَ من بينهم رجلٌ</w:t>
      </w:r>
      <w:r w:rsidR="000636C2">
        <w:rPr>
          <w:rFonts w:hint="cs"/>
          <w:rtl/>
        </w:rPr>
        <w:t xml:space="preserve"> </w:t>
      </w:r>
      <w:r>
        <w:rPr>
          <w:rFonts w:hint="cs"/>
          <w:rtl/>
        </w:rPr>
        <w:t>..</w:t>
      </w:r>
      <w:r w:rsidR="000636C2">
        <w:rPr>
          <w:rFonts w:hint="cs"/>
          <w:rtl/>
        </w:rPr>
        <w:t xml:space="preserve"> </w:t>
      </w:r>
      <w:r>
        <w:rPr>
          <w:rFonts w:hint="cs"/>
          <w:rtl/>
        </w:rPr>
        <w:t>فإذا هو يجري على خُطّةٍ مدبّرةٍ في إحلال المذهب الحشوي تحت ستار مذهب السَلَف</w:t>
      </w:r>
      <w:r w:rsidR="000636C2">
        <w:rPr>
          <w:rFonts w:hint="cs"/>
          <w:rtl/>
        </w:rPr>
        <w:t>،</w:t>
      </w:r>
      <w:r>
        <w:rPr>
          <w:rFonts w:hint="cs"/>
          <w:rtl/>
        </w:rPr>
        <w:t xml:space="preserve"> محلّ مذهب أهل السنّة " أهـ</w:t>
      </w:r>
      <w:r w:rsidR="000636C2">
        <w:rPr>
          <w:rFonts w:hint="cs"/>
          <w:rtl/>
        </w:rPr>
        <w:t xml:space="preserve"> [</w:t>
      </w:r>
      <w:r>
        <w:rPr>
          <w:rFonts w:hint="cs"/>
          <w:rtl/>
        </w:rPr>
        <w:t xml:space="preserve">مقدّمة تبيين كذب المفتري </w:t>
      </w:r>
      <w:r w:rsidR="000636C2">
        <w:rPr>
          <w:rFonts w:hint="cs"/>
          <w:rtl/>
        </w:rPr>
        <w:t>(</w:t>
      </w:r>
      <w:r>
        <w:rPr>
          <w:rFonts w:hint="cs"/>
          <w:rtl/>
        </w:rPr>
        <w:t>ص17</w:t>
      </w:r>
      <w:r w:rsidR="000636C2">
        <w:rPr>
          <w:rFonts w:hint="cs"/>
          <w:rtl/>
        </w:rPr>
        <w:t>)</w:t>
      </w:r>
      <w:r>
        <w:rPr>
          <w:rFonts w:hint="cs"/>
          <w:rtl/>
        </w:rPr>
        <w:t xml:space="preserve"> </w:t>
      </w:r>
      <w:r w:rsidR="000636C2">
        <w:rPr>
          <w:rFonts w:hint="cs"/>
          <w:rtl/>
        </w:rPr>
        <w:t>]،</w:t>
      </w:r>
      <w:r>
        <w:rPr>
          <w:rFonts w:hint="cs"/>
          <w:rtl/>
        </w:rPr>
        <w:t xml:space="preserve"> وقال الشيخ الكوثري</w:t>
      </w:r>
      <w:r w:rsidR="000636C2">
        <w:rPr>
          <w:rFonts w:hint="cs"/>
          <w:rtl/>
        </w:rPr>
        <w:t xml:space="preserve">: </w:t>
      </w:r>
      <w:r>
        <w:rPr>
          <w:rFonts w:hint="cs"/>
          <w:rtl/>
        </w:rPr>
        <w:t>بعنوان</w:t>
      </w:r>
      <w:r w:rsidR="000636C2">
        <w:rPr>
          <w:rFonts w:hint="cs"/>
          <w:rtl/>
        </w:rPr>
        <w:t xml:space="preserve">: </w:t>
      </w:r>
      <w:r>
        <w:rPr>
          <w:rFonts w:hint="cs"/>
          <w:rtl/>
        </w:rPr>
        <w:t>محاولة ابن تَيْمِيَّة بعث الحَشْويّة عن مرقدها</w:t>
      </w:r>
      <w:r w:rsidR="000636C2">
        <w:rPr>
          <w:rFonts w:hint="cs"/>
          <w:rtl/>
        </w:rPr>
        <w:t xml:space="preserve">: </w:t>
      </w:r>
      <w:r>
        <w:rPr>
          <w:rFonts w:hint="cs"/>
          <w:rtl/>
        </w:rPr>
        <w:t>قد استمرّت فتن المخدوعين من الرواة على طول القرون مجلبة لسخط الله تعالى ولاستخفاف العقلاء من غير أن يخطر ببال عاقل أن يناضل عن سخافات هؤلاء</w:t>
      </w:r>
      <w:r w:rsidR="000636C2">
        <w:rPr>
          <w:rFonts w:hint="cs"/>
          <w:rtl/>
        </w:rPr>
        <w:t>،</w:t>
      </w:r>
      <w:r>
        <w:rPr>
          <w:rFonts w:hint="cs"/>
          <w:rtl/>
        </w:rPr>
        <w:t xml:space="preserve"> إلى أن نبغ في أواخر القرن السابع بدمشق حرّانيٌّ تجرّد للدعوة إلى مذهب هؤلاء الحَشْويّة السخفاء</w:t>
      </w:r>
      <w:r w:rsidR="000636C2">
        <w:rPr>
          <w:rFonts w:hint="cs"/>
          <w:rtl/>
        </w:rPr>
        <w:t>،</w:t>
      </w:r>
      <w:r>
        <w:rPr>
          <w:rFonts w:hint="cs"/>
          <w:rtl/>
        </w:rPr>
        <w:t xml:space="preserve"> متظاهراً بالجمع بين العقل والنقل على حسب فهمه من الكتب</w:t>
      </w:r>
      <w:r w:rsidR="000636C2">
        <w:rPr>
          <w:rFonts w:hint="cs"/>
          <w:rtl/>
        </w:rPr>
        <w:t>،</w:t>
      </w:r>
      <w:r>
        <w:rPr>
          <w:rFonts w:hint="cs"/>
          <w:rtl/>
        </w:rPr>
        <w:t xml:space="preserve"> من دون أستاذٍ يُرشده في مواطن الزلل</w:t>
      </w:r>
      <w:r w:rsidR="000636C2">
        <w:rPr>
          <w:rFonts w:hint="cs"/>
          <w:rtl/>
        </w:rPr>
        <w:t>،</w:t>
      </w:r>
      <w:r>
        <w:rPr>
          <w:rFonts w:hint="cs"/>
          <w:rtl/>
        </w:rPr>
        <w:t xml:space="preserve"> وحاشا العقل الناهض</w:t>
      </w:r>
      <w:r w:rsidR="000636C2">
        <w:rPr>
          <w:rFonts w:hint="cs"/>
          <w:rtl/>
        </w:rPr>
        <w:t>،</w:t>
      </w:r>
      <w:r>
        <w:rPr>
          <w:rFonts w:hint="cs"/>
          <w:rtl/>
        </w:rPr>
        <w:t xml:space="preserve"> والنقل الصحيح أن يتضافرا في الدفاع عن تخريف السخفاء</w:t>
      </w:r>
      <w:r w:rsidR="000636C2">
        <w:rPr>
          <w:rFonts w:hint="cs"/>
          <w:rtl/>
        </w:rPr>
        <w:t>،</w:t>
      </w:r>
      <w:r>
        <w:rPr>
          <w:rFonts w:hint="cs"/>
          <w:rtl/>
        </w:rPr>
        <w:t xml:space="preserve"> إلّا إذا كان العقل عقل صابئٍ</w:t>
      </w:r>
      <w:r w:rsidR="000636C2">
        <w:rPr>
          <w:rFonts w:hint="cs"/>
          <w:rtl/>
        </w:rPr>
        <w:t>،</w:t>
      </w:r>
      <w:r>
        <w:rPr>
          <w:rFonts w:hint="cs"/>
          <w:rtl/>
        </w:rPr>
        <w:t xml:space="preserve"> </w:t>
      </w:r>
      <w:r>
        <w:rPr>
          <w:rFonts w:hint="cs"/>
          <w:rtl/>
        </w:rPr>
        <w:lastRenderedPageBreak/>
        <w:t>والنقل نقل صبيٍ</w:t>
      </w:r>
      <w:r w:rsidR="000636C2">
        <w:rPr>
          <w:rFonts w:hint="cs"/>
          <w:rtl/>
        </w:rPr>
        <w:t>،</w:t>
      </w:r>
      <w:r>
        <w:rPr>
          <w:rFonts w:hint="cs"/>
          <w:rtl/>
        </w:rPr>
        <w:t xml:space="preserve"> وكم انخدع بخزعبلاته أُناس ليسوا من التأمّل للجمع بين الرواية والدراية في شي ء</w:t>
      </w:r>
      <w:r w:rsidR="000636C2">
        <w:rPr>
          <w:rFonts w:hint="cs"/>
          <w:rtl/>
        </w:rPr>
        <w:t>،</w:t>
      </w:r>
      <w:r>
        <w:rPr>
          <w:rFonts w:hint="cs"/>
          <w:rtl/>
        </w:rPr>
        <w:t xml:space="preserve"> وله مع خلطائه هؤلاء موقف في يوم القيامة لا يُغبط عليه</w:t>
      </w:r>
      <w:r w:rsidR="000636C2">
        <w:rPr>
          <w:rFonts w:hint="cs"/>
          <w:rtl/>
        </w:rPr>
        <w:t>،</w:t>
      </w:r>
      <w:r>
        <w:rPr>
          <w:rFonts w:hint="cs"/>
          <w:rtl/>
        </w:rPr>
        <w:t xml:space="preserve"> ومَنْ درس حياته يجدها كلّها فتناً لا يُثيرها حاظٍ بعقله غيرُ مصابٍ في دينه " أهـ</w:t>
      </w:r>
      <w:r w:rsidR="000636C2">
        <w:rPr>
          <w:rFonts w:hint="cs"/>
          <w:rtl/>
        </w:rPr>
        <w:t xml:space="preserve"> [</w:t>
      </w:r>
      <w:r>
        <w:rPr>
          <w:rFonts w:hint="cs"/>
          <w:rtl/>
        </w:rPr>
        <w:t xml:space="preserve">السيف الصقيل في الردّ على ابن زفيل </w:t>
      </w:r>
      <w:r w:rsidR="000636C2">
        <w:rPr>
          <w:rFonts w:hint="cs"/>
          <w:rtl/>
        </w:rPr>
        <w:t>(</w:t>
      </w:r>
      <w:r>
        <w:rPr>
          <w:rFonts w:hint="cs"/>
          <w:rtl/>
        </w:rPr>
        <w:t>ص6</w:t>
      </w:r>
      <w:r w:rsidR="000636C2">
        <w:rPr>
          <w:rFonts w:hint="cs"/>
          <w:rtl/>
        </w:rPr>
        <w:t xml:space="preserve">)]، </w:t>
      </w:r>
      <w:r>
        <w:rPr>
          <w:rFonts w:hint="cs"/>
          <w:bCs/>
          <w:rtl/>
        </w:rPr>
        <w:t>قال الدكتور صهيب السقار في كتابه التجسيم في الفكر الإسلامي</w:t>
      </w:r>
      <w:r>
        <w:rPr>
          <w:rFonts w:hint="cs"/>
          <w:rtl/>
        </w:rPr>
        <w:t xml:space="preserve"> - تحت عنوان التجسيم في فكر الحنابلة -</w:t>
      </w:r>
      <w:r w:rsidR="000636C2">
        <w:rPr>
          <w:rFonts w:hint="cs"/>
          <w:rtl/>
        </w:rPr>
        <w:t xml:space="preserve">: </w:t>
      </w:r>
      <w:r>
        <w:rPr>
          <w:rFonts w:hint="cs"/>
          <w:rtl/>
        </w:rPr>
        <w:t>" نعوذ بالله أن يكون غرضنا في عقد هذا المبحث هو الطعن بمذهب من مذاهب أهل السنة، 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sidR="000636C2">
        <w:rPr>
          <w:rFonts w:hint="cs"/>
          <w:rtl/>
        </w:rPr>
        <w:t xml:space="preserve">، </w:t>
      </w:r>
      <w:r>
        <w:rPr>
          <w:rFonts w:hint="cs"/>
          <w:rtl/>
        </w:rPr>
        <w:t>والحق أن علماء الحنابلة منزهون عن هذا الغلو وقد لهجوا بالبراءة منه ومن تبرئة إمامهم منه أيضاً</w:t>
      </w:r>
      <w:r w:rsidR="000636C2">
        <w:rPr>
          <w:rFonts w:hint="cs"/>
          <w:rtl/>
        </w:rPr>
        <w:t>،</w:t>
      </w:r>
      <w:r>
        <w:rPr>
          <w:rFonts w:hint="cs"/>
          <w:rtl/>
        </w:rPr>
        <w:t xml:space="preserve"> وفي ذلك يقول ابن الجوزي رحمه الله كلاماً ينبغي أن يكتب بماء الذهب</w:t>
      </w:r>
      <w:r w:rsidR="000636C2">
        <w:rPr>
          <w:rFonts w:hint="cs"/>
          <w:rtl/>
        </w:rPr>
        <w:t>: (</w:t>
      </w:r>
      <w:r>
        <w:rPr>
          <w:rFonts w:hint="cs"/>
          <w:snapToGrid w:val="0"/>
          <w:rtl/>
        </w:rPr>
        <w:t>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فلم يصنف إلا المنقول، فرأيت مذهبه خالياً من التصانيف التي كثر جنسها عند الخصوم …ورأيت من أصحابنا من تكلم في الأصول بما لا يصلح، وانتدب للتصنيف ثلاثة</w:t>
      </w:r>
      <w:r w:rsidR="000636C2">
        <w:rPr>
          <w:rFonts w:hint="cs"/>
          <w:snapToGrid w:val="0"/>
          <w:rtl/>
        </w:rPr>
        <w:t xml:space="preserve">: </w:t>
      </w:r>
      <w:r>
        <w:rPr>
          <w:rFonts w:hint="cs"/>
          <w:snapToGrid w:val="0"/>
          <w:rtl/>
        </w:rPr>
        <w:t xml:space="preserve">أبو عبد الله بن حامد وصاحبه القاضي </w:t>
      </w:r>
      <w:r w:rsidR="000636C2">
        <w:rPr>
          <w:rFonts w:hint="cs"/>
          <w:snapToGrid w:val="0"/>
          <w:rtl/>
        </w:rPr>
        <w:t>[</w:t>
      </w:r>
      <w:r>
        <w:rPr>
          <w:rFonts w:hint="cs"/>
          <w:color w:val="000000"/>
          <w:rtl/>
        </w:rPr>
        <w:t xml:space="preserve">وهذا الكتاب كثر الكلام فيه وفي مؤلفه القاضي أبو يعلى محمد بن الحسين الفراء </w:t>
      </w:r>
      <w:r w:rsidR="000636C2">
        <w:rPr>
          <w:rFonts w:hint="cs"/>
          <w:color w:val="000000"/>
          <w:rtl/>
        </w:rPr>
        <w:t>(</w:t>
      </w:r>
      <w:r>
        <w:rPr>
          <w:rFonts w:hint="cs"/>
          <w:color w:val="000000"/>
          <w:rtl/>
        </w:rPr>
        <w:t>458هـ</w:t>
      </w:r>
      <w:r w:rsidR="000636C2">
        <w:rPr>
          <w:rFonts w:hint="cs"/>
          <w:color w:val="000000"/>
          <w:rtl/>
        </w:rPr>
        <w:t xml:space="preserve">) </w:t>
      </w:r>
      <w:r>
        <w:rPr>
          <w:rFonts w:hint="cs"/>
          <w:color w:val="000000"/>
          <w:rtl/>
        </w:rPr>
        <w:t>وفي سير أعلام النبلاء 18/ 9</w:t>
      </w:r>
      <w:r w:rsidR="000636C2">
        <w:rPr>
          <w:rFonts w:hint="cs"/>
          <w:color w:val="000000"/>
          <w:rtl/>
        </w:rPr>
        <w:t xml:space="preserve">، </w:t>
      </w:r>
      <w:r>
        <w:rPr>
          <w:rFonts w:hint="cs"/>
          <w:color w:val="000000"/>
          <w:rtl/>
        </w:rPr>
        <w:t>أشار الذهبي إلى ما يقتضي رجوع أبي يعلى عنه بعد ما قام عليه العلماء لتأليفه هذا الكتاب ووصل الأمر إلى الخليفة القادر بالله العباسي وقال أبو يعلى على الملأ</w:t>
      </w:r>
      <w:r w:rsidR="000636C2">
        <w:rPr>
          <w:rFonts w:hint="cs"/>
          <w:color w:val="000000"/>
          <w:rtl/>
        </w:rPr>
        <w:t>: (</w:t>
      </w:r>
      <w:r>
        <w:rPr>
          <w:rFonts w:hint="cs"/>
          <w:color w:val="000000"/>
          <w:rtl/>
        </w:rPr>
        <w:t>القرآن كلام الله وأخبار الصفات تمر كما جاءت</w:t>
      </w:r>
      <w:r w:rsidR="000636C2">
        <w:rPr>
          <w:rFonts w:hint="cs"/>
          <w:color w:val="000000"/>
          <w:rtl/>
        </w:rPr>
        <w:t>)]</w:t>
      </w:r>
      <w:r w:rsidR="000636C2">
        <w:rPr>
          <w:rFonts w:hint="cs"/>
          <w:snapToGrid w:val="0"/>
          <w:rtl/>
        </w:rPr>
        <w:t xml:space="preserve"> </w:t>
      </w:r>
      <w:r>
        <w:rPr>
          <w:rFonts w:hint="cs"/>
          <w:snapToGrid w:val="0"/>
          <w:rtl/>
        </w:rPr>
        <w:t>وابن الزاغوني فصنفوا كتباً شانوا بها المذهب ورأيتهم قد نزلوا إلى مرتبة العوام، فحملوا الصفات على مقتضى الحس</w:t>
      </w:r>
      <w:r w:rsidR="000636C2">
        <w:rPr>
          <w:rFonts w:hint="cs"/>
          <w:snapToGrid w:val="0"/>
          <w:rtl/>
        </w:rPr>
        <w:t xml:space="preserve">، </w:t>
      </w:r>
      <w:r>
        <w:rPr>
          <w:rFonts w:hint="cs"/>
          <w:snapToGrid w:val="0"/>
          <w:rtl/>
        </w:rPr>
        <w:t>فسمعوا أن الله تعالى خلق آدم على صورته، فأثبتوا له صورة ووجهاً زائداً على الذات، وعينين وفماً ولهواتٍ وأضراساً</w:t>
      </w:r>
      <w:r w:rsidR="000636C2">
        <w:rPr>
          <w:rFonts w:hint="cs"/>
          <w:snapToGrid w:val="0"/>
          <w:rtl/>
        </w:rPr>
        <w:t xml:space="preserve"> </w:t>
      </w:r>
      <w:r>
        <w:rPr>
          <w:rFonts w:hint="cs"/>
          <w:snapToGrid w:val="0"/>
          <w:rtl/>
        </w:rPr>
        <w:t>..</w:t>
      </w:r>
      <w:r w:rsidR="000636C2">
        <w:rPr>
          <w:rFonts w:hint="cs"/>
          <w:snapToGrid w:val="0"/>
          <w:rtl/>
        </w:rPr>
        <w:t xml:space="preserve"> </w:t>
      </w:r>
      <w:r>
        <w:rPr>
          <w:rFonts w:hint="cs"/>
          <w:snapToGrid w:val="0"/>
          <w:rtl/>
        </w:rPr>
        <w:t>ويدين وأصابعَ وكفاً وخنصراً وإبهاماً وصدراً وفخذاً وساقين ورجلين</w:t>
      </w:r>
      <w:r w:rsidR="000636C2">
        <w:rPr>
          <w:rFonts w:hint="cs"/>
          <w:snapToGrid w:val="0"/>
          <w:rtl/>
        </w:rPr>
        <w:t xml:space="preserve">، </w:t>
      </w:r>
      <w:r>
        <w:rPr>
          <w:rFonts w:hint="cs"/>
          <w:snapToGrid w:val="0"/>
          <w:rtl/>
        </w:rPr>
        <w:t>وقالوا</w:t>
      </w:r>
      <w:r w:rsidR="000636C2">
        <w:rPr>
          <w:rFonts w:hint="cs"/>
          <w:snapToGrid w:val="0"/>
          <w:rtl/>
        </w:rPr>
        <w:t xml:space="preserve">: </w:t>
      </w:r>
      <w:r>
        <w:rPr>
          <w:rFonts w:hint="cs"/>
          <w:snapToGrid w:val="0"/>
          <w:rtl/>
        </w:rPr>
        <w:t>ما سمعنا بذكر الرأس</w:t>
      </w:r>
      <w:r w:rsidR="000636C2">
        <w:rPr>
          <w:rFonts w:hint="cs"/>
          <w:snapToGrid w:val="0"/>
          <w:rtl/>
        </w:rPr>
        <w:t xml:space="preserve">، </w:t>
      </w:r>
      <w:r>
        <w:rPr>
          <w:rFonts w:hint="cs"/>
          <w:snapToGrid w:val="0"/>
          <w:rtl/>
        </w:rPr>
        <w:t>وقالوا</w:t>
      </w:r>
      <w:r w:rsidR="000636C2">
        <w:rPr>
          <w:rFonts w:hint="cs"/>
          <w:snapToGrid w:val="0"/>
          <w:rtl/>
        </w:rPr>
        <w:t xml:space="preserve">: </w:t>
      </w:r>
      <w:r>
        <w:rPr>
          <w:rFonts w:hint="cs"/>
          <w:snapToGrid w:val="0"/>
          <w:rtl/>
        </w:rPr>
        <w:t>يجوز أن يُمس وَيمس، ويدني العبد من ذاته</w:t>
      </w:r>
      <w:r w:rsidR="000636C2">
        <w:rPr>
          <w:rFonts w:hint="cs"/>
          <w:snapToGrid w:val="0"/>
          <w:rtl/>
        </w:rPr>
        <w:t xml:space="preserve">، </w:t>
      </w:r>
      <w:r>
        <w:rPr>
          <w:rFonts w:hint="cs"/>
          <w:snapToGrid w:val="0"/>
          <w:rtl/>
        </w:rPr>
        <w:t>وقال بعضهم</w:t>
      </w:r>
      <w:r w:rsidR="000636C2">
        <w:rPr>
          <w:rFonts w:hint="cs"/>
          <w:snapToGrid w:val="0"/>
          <w:rtl/>
        </w:rPr>
        <w:t xml:space="preserve">: </w:t>
      </w:r>
      <w:r>
        <w:rPr>
          <w:rFonts w:hint="cs"/>
          <w:snapToGrid w:val="0"/>
          <w:rtl/>
        </w:rPr>
        <w:t>ويتنفس</w:t>
      </w:r>
      <w:r w:rsidR="000636C2">
        <w:rPr>
          <w:rFonts w:hint="cs"/>
          <w:snapToGrid w:val="0"/>
          <w:rtl/>
        </w:rPr>
        <w:t xml:space="preserve">، </w:t>
      </w:r>
      <w:r>
        <w:rPr>
          <w:rFonts w:hint="cs"/>
          <w:snapToGrid w:val="0"/>
          <w:rtl/>
        </w:rPr>
        <w:t>ثم يرضون العوام بقولهم</w:t>
      </w:r>
      <w:r w:rsidR="000636C2">
        <w:rPr>
          <w:rFonts w:hint="cs"/>
          <w:snapToGrid w:val="0"/>
          <w:rtl/>
        </w:rPr>
        <w:t xml:space="preserve">: </w:t>
      </w:r>
      <w:r>
        <w:rPr>
          <w:rFonts w:hint="cs"/>
          <w:snapToGrid w:val="0"/>
          <w:rtl/>
        </w:rPr>
        <w:t>لا كما يعقل…ثم يتحرجون من التشبيه ويأنفون من إضافته إليهم ويقولون</w:t>
      </w:r>
      <w:r w:rsidR="000636C2">
        <w:rPr>
          <w:rFonts w:hint="cs"/>
          <w:snapToGrid w:val="0"/>
          <w:rtl/>
        </w:rPr>
        <w:t xml:space="preserve">: </w:t>
      </w:r>
      <w:r>
        <w:rPr>
          <w:rFonts w:hint="cs"/>
          <w:snapToGrid w:val="0"/>
          <w:rtl/>
        </w:rPr>
        <w:t>نحن أهل السنة، وكلامهم صريح في التشبيه</w:t>
      </w:r>
      <w:r w:rsidR="000636C2">
        <w:rPr>
          <w:rFonts w:hint="cs"/>
          <w:snapToGrid w:val="0"/>
          <w:rtl/>
        </w:rPr>
        <w:t xml:space="preserve">، </w:t>
      </w:r>
      <w:r>
        <w:rPr>
          <w:rFonts w:hint="cs"/>
          <w:snapToGrid w:val="0"/>
          <w:rtl/>
        </w:rPr>
        <w:t>وقد تبعهم خلق من العوام</w:t>
      </w:r>
      <w:r w:rsidR="000636C2">
        <w:rPr>
          <w:rFonts w:hint="cs"/>
          <w:snapToGrid w:val="0"/>
          <w:rtl/>
        </w:rPr>
        <w:t xml:space="preserve">، </w:t>
      </w:r>
      <w:r>
        <w:rPr>
          <w:rFonts w:hint="cs"/>
          <w:snapToGrid w:val="0"/>
          <w:rtl/>
        </w:rPr>
        <w:t>فقد نصحت التابع والمتبوع فقلت لهم</w:t>
      </w:r>
      <w:r w:rsidR="000636C2">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0636C2">
        <w:rPr>
          <w:rFonts w:hint="cs"/>
          <w:snapToGrid w:val="0"/>
          <w:rtl/>
        </w:rPr>
        <w:t>:</w:t>
      </w:r>
      <w:r>
        <w:rPr>
          <w:rFonts w:hint="cs"/>
          <w:snapToGrid w:val="0"/>
          <w:rtl/>
        </w:rPr>
        <w:t xml:space="preserve"> " كيف أقول ما لم يقل"</w:t>
      </w:r>
      <w:r w:rsidR="000636C2">
        <w:rPr>
          <w:rFonts w:hint="cs"/>
          <w:snapToGrid w:val="0"/>
          <w:rtl/>
        </w:rPr>
        <w:t xml:space="preserve">، </w:t>
      </w:r>
      <w:r>
        <w:rPr>
          <w:rFonts w:hint="cs"/>
          <w:snapToGrid w:val="0"/>
          <w:rtl/>
        </w:rPr>
        <w:t>فإياكم أن تبتدعوا في مذهبه ما ليس منه ..</w:t>
      </w:r>
      <w:r w:rsidR="000636C2">
        <w:rPr>
          <w:rFonts w:hint="cs"/>
          <w:snapToGrid w:val="0"/>
          <w:rtl/>
        </w:rPr>
        <w:t xml:space="preserve">، </w:t>
      </w:r>
      <w:r>
        <w:rPr>
          <w:rFonts w:hint="cs"/>
          <w:snapToGrid w:val="0"/>
          <w:rtl/>
        </w:rPr>
        <w:t>فلو أنكم قلتم</w:t>
      </w:r>
      <w:r w:rsidR="000636C2">
        <w:rPr>
          <w:rFonts w:hint="cs"/>
          <w:snapToGrid w:val="0"/>
          <w:rtl/>
        </w:rPr>
        <w:t xml:space="preserve">: </w:t>
      </w:r>
      <w:r>
        <w:rPr>
          <w:rFonts w:hint="cs"/>
          <w:snapToGrid w:val="0"/>
          <w:rtl/>
        </w:rPr>
        <w:t xml:space="preserve">نقرأ الأحاديث ونسكت ما أنكر </w:t>
      </w:r>
      <w:r>
        <w:rPr>
          <w:rFonts w:hint="cs"/>
          <w:snapToGrid w:val="0"/>
          <w:rtl/>
        </w:rPr>
        <w:lastRenderedPageBreak/>
        <w:t>عليكم أحد، إنما حمْلكم إياها على الظاهر قبيح، فلا تدخلوا في مذهب هذا الرجل الصالح السلفي ما ليس منه</w:t>
      </w:r>
      <w:r w:rsidR="000636C2">
        <w:rPr>
          <w:rFonts w:hint="cs"/>
          <w:snapToGrid w:val="0"/>
          <w:rtl/>
        </w:rPr>
        <w:t xml:space="preserve">، </w:t>
      </w:r>
      <w:r>
        <w:rPr>
          <w:rFonts w:hint="cs"/>
          <w:snapToGrid w:val="0"/>
          <w:rtl/>
        </w:rPr>
        <w:t>ولقد كسيتم هذا المذهب شيناً قبيحاً حتى صار لا يقال حنبلي إلا مجسم ..</w:t>
      </w:r>
      <w:r w:rsidR="000636C2">
        <w:rPr>
          <w:rFonts w:hint="cs"/>
          <w:snapToGrid w:val="0"/>
          <w:rtl/>
        </w:rPr>
        <w:t>) [</w:t>
      </w:r>
      <w:r>
        <w:rPr>
          <w:rFonts w:hint="cs"/>
          <w:snapToGrid w:val="0"/>
          <w:color w:val="000000"/>
          <w:rtl/>
        </w:rPr>
        <w:t>دفع شبه التشبيه لابن الجوزي 30 -33</w:t>
      </w:r>
      <w:r w:rsidR="000636C2">
        <w:rPr>
          <w:rFonts w:hint="cs"/>
          <w:snapToGrid w:val="0"/>
          <w:rtl/>
        </w:rPr>
        <w:t>]،</w:t>
      </w:r>
      <w:r>
        <w:rPr>
          <w:rFonts w:hint="cs"/>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 </w:t>
      </w:r>
      <w:r w:rsidR="000636C2">
        <w:rPr>
          <w:rFonts w:hint="cs"/>
          <w:snapToGrid w:val="0"/>
          <w:rtl/>
        </w:rPr>
        <w:t>[</w:t>
      </w:r>
      <w:r>
        <w:rPr>
          <w:rFonts w:hint="cs"/>
          <w:color w:val="000000"/>
          <w:rtl/>
        </w:rPr>
        <w:t>هو رزق الله بن</w:t>
      </w:r>
      <w:r w:rsidR="000636C2">
        <w:rPr>
          <w:rFonts w:hint="cs"/>
          <w:color w:val="000000"/>
          <w:rtl/>
        </w:rPr>
        <w:t xml:space="preserve"> </w:t>
      </w:r>
      <w:r>
        <w:rPr>
          <w:rFonts w:hint="cs"/>
          <w:color w:val="000000"/>
          <w:rtl/>
        </w:rPr>
        <w:t xml:space="preserve">عبد الوهاب بن عبد العزيز الإمام أبو محمد التميمي </w:t>
      </w:r>
      <w:r w:rsidR="000636C2">
        <w:rPr>
          <w:rFonts w:hint="cs"/>
          <w:color w:val="000000"/>
          <w:rtl/>
        </w:rPr>
        <w:t>(</w:t>
      </w:r>
      <w:r>
        <w:rPr>
          <w:rFonts w:hint="cs"/>
          <w:color w:val="000000"/>
          <w:rtl/>
        </w:rPr>
        <w:t>488هـ</w:t>
      </w:r>
      <w:r w:rsidR="000636C2">
        <w:rPr>
          <w:rFonts w:hint="cs"/>
          <w:color w:val="000000"/>
          <w:rtl/>
        </w:rPr>
        <w:t xml:space="preserve">) </w:t>
      </w:r>
      <w:r>
        <w:rPr>
          <w:rFonts w:hint="cs"/>
          <w:color w:val="000000"/>
          <w:rtl/>
        </w:rPr>
        <w:t xml:space="preserve">وانظر شذرات الذهب لابن العماد الحنبلي 2/384 قال ابن الجوزي في المنتظم 9/89 </w:t>
      </w:r>
      <w:r w:rsidR="000636C2">
        <w:rPr>
          <w:rFonts w:hint="cs"/>
          <w:color w:val="000000"/>
          <w:rtl/>
        </w:rPr>
        <w:t>(</w:t>
      </w:r>
      <w:r>
        <w:rPr>
          <w:rFonts w:hint="cs"/>
          <w:color w:val="000000"/>
          <w:rtl/>
        </w:rPr>
        <w:t>قال إبن عقيل كان سيد الجماعة من أصحاب أحمد</w:t>
      </w:r>
      <w:r w:rsidR="000636C2">
        <w:rPr>
          <w:rFonts w:hint="cs"/>
          <w:color w:val="000000"/>
          <w:rtl/>
        </w:rPr>
        <w:t xml:space="preserve"> </w:t>
      </w:r>
      <w:r>
        <w:rPr>
          <w:rFonts w:hint="cs"/>
          <w:color w:val="000000"/>
          <w:rtl/>
        </w:rPr>
        <w:t>بيتا ورياسة وحشمة أبو محمد التميمي وكان أحلى الناس عبارة في النظر وأجراهم قلما في الفتيا وأحسنهم وعظا</w:t>
      </w:r>
      <w:r w:rsidR="000636C2">
        <w:rPr>
          <w:rFonts w:hint="cs"/>
          <w:color w:val="000000"/>
          <w:rtl/>
        </w:rPr>
        <w:t xml:space="preserve">) </w:t>
      </w:r>
      <w:r>
        <w:rPr>
          <w:rFonts w:hint="cs"/>
          <w:color w:val="000000"/>
          <w:rtl/>
        </w:rPr>
        <w:t>وقال الذهبي في العبر في خبر من غبر 3/ 322</w:t>
      </w:r>
      <w:r w:rsidR="000636C2">
        <w:rPr>
          <w:rFonts w:hint="cs"/>
          <w:color w:val="000000"/>
          <w:rtl/>
        </w:rPr>
        <w:t>(</w:t>
      </w:r>
      <w:r>
        <w:rPr>
          <w:rFonts w:hint="cs"/>
          <w:color w:val="000000"/>
          <w:rtl/>
        </w:rPr>
        <w:t>.. الفقيه الواعظ شيخ الحنابلة قرأ القرآن على أبي الحسن الحمامي وتقدم في الفقه والتفسير والأصول والعربية واللغة ..</w:t>
      </w:r>
      <w:r w:rsidR="000636C2">
        <w:rPr>
          <w:rFonts w:hint="cs"/>
          <w:color w:val="000000"/>
          <w:rtl/>
        </w:rPr>
        <w:t xml:space="preserve"> </w:t>
      </w:r>
      <w:r>
        <w:rPr>
          <w:rFonts w:hint="cs"/>
          <w:color w:val="000000"/>
          <w:rtl/>
        </w:rPr>
        <w:t>وكان كبير بغداد وجليلها وكان يقول كل الطوائف تدعيني</w:t>
      </w:r>
      <w:r w:rsidR="000636C2">
        <w:rPr>
          <w:rFonts w:hint="cs"/>
          <w:color w:val="000000"/>
          <w:rtl/>
        </w:rPr>
        <w:t>)،</w:t>
      </w:r>
      <w:r>
        <w:rPr>
          <w:rFonts w:hint="cs"/>
          <w:color w:val="000000"/>
          <w:rtl/>
        </w:rPr>
        <w:t xml:space="preserve"> وانظر شذرات الذهب لابن العماد الحنبلي 2/384</w:t>
      </w:r>
      <w:r w:rsidR="000636C2">
        <w:rPr>
          <w:rFonts w:hint="cs"/>
          <w:snapToGrid w:val="0"/>
          <w:rtl/>
        </w:rPr>
        <w:t xml:space="preserve">] </w:t>
      </w:r>
      <w:r>
        <w:rPr>
          <w:rFonts w:hint="cs"/>
          <w:snapToGrid w:val="0"/>
          <w:rtl/>
        </w:rPr>
        <w:t>فقال في حق القاضي أبي يعلى وكتابه إبطال التأويلات</w:t>
      </w:r>
      <w:r w:rsidR="000636C2">
        <w:rPr>
          <w:rFonts w:hint="cs"/>
          <w:snapToGrid w:val="0"/>
          <w:rtl/>
        </w:rPr>
        <w:t>: (</w:t>
      </w:r>
      <w:r>
        <w:rPr>
          <w:rFonts w:hint="cs"/>
          <w:rtl/>
        </w:rPr>
        <w:t>لقد خري أبو يعلى الفراء على الحنابلة خرية لا يغسلها الماء</w:t>
      </w:r>
      <w:r w:rsidR="000636C2">
        <w:rPr>
          <w:rFonts w:hint="cs"/>
          <w:snapToGrid w:val="0"/>
          <w:rtl/>
        </w:rPr>
        <w:t>) [</w:t>
      </w:r>
      <w:r>
        <w:rPr>
          <w:rFonts w:hint="cs"/>
          <w:color w:val="000000"/>
          <w:rtl/>
        </w:rPr>
        <w:t xml:space="preserve">انظر الكامل لابن الأثير 8/378 </w:t>
      </w:r>
      <w:r>
        <w:rPr>
          <w:rFonts w:hint="cs"/>
          <w:snapToGrid w:val="0"/>
          <w:color w:val="000000"/>
          <w:rtl/>
        </w:rPr>
        <w:t>وتبديد الظلام المخيم للكوثري مع</w:t>
      </w:r>
      <w:r w:rsidR="000636C2">
        <w:rPr>
          <w:rFonts w:hint="cs"/>
          <w:snapToGrid w:val="0"/>
          <w:color w:val="000000"/>
          <w:rtl/>
        </w:rPr>
        <w:t xml:space="preserve"> </w:t>
      </w:r>
      <w:r>
        <w:rPr>
          <w:rFonts w:hint="cs"/>
          <w:snapToGrid w:val="0"/>
          <w:color w:val="000000"/>
          <w:rtl/>
        </w:rPr>
        <w:t>السيف الصقيل للسبكي 148</w:t>
      </w:r>
      <w:r w:rsidR="000636C2">
        <w:rPr>
          <w:rFonts w:hint="cs"/>
          <w:snapToGrid w:val="0"/>
          <w:rtl/>
        </w:rPr>
        <w:t>]،</w:t>
      </w:r>
      <w:r>
        <w:rPr>
          <w:rFonts w:hint="cs"/>
          <w:snapToGrid w:val="0"/>
          <w:rtl/>
        </w:rPr>
        <w:t xml:space="preserve"> </w:t>
      </w:r>
      <w:r>
        <w:rPr>
          <w:rFonts w:hint="cs"/>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بسبب أبي يعلى</w:t>
      </w:r>
      <w:r w:rsidR="000636C2">
        <w:rPr>
          <w:rFonts w:hint="cs"/>
          <w:rtl/>
        </w:rPr>
        <w:t xml:space="preserve">، </w:t>
      </w:r>
      <w:r>
        <w:rPr>
          <w:rFonts w:hint="cs"/>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sidR="000636C2">
        <w:rPr>
          <w:rFonts w:hint="cs"/>
          <w:rtl/>
        </w:rPr>
        <w:t xml:space="preserve">، </w:t>
      </w:r>
      <w:r>
        <w:rPr>
          <w:rFonts w:hint="cs"/>
          <w:rtl/>
        </w:rPr>
        <w:t>وكان الغرض من هذه اللفظة لفت الأنظار إلى براءة المذهب مما نسب إليه بسبب الغالين فيه</w:t>
      </w:r>
      <w:r w:rsidR="000636C2">
        <w:rPr>
          <w:rFonts w:hint="cs"/>
          <w:rtl/>
        </w:rPr>
        <w:t>،</w:t>
      </w:r>
      <w:r>
        <w:rPr>
          <w:rFonts w:hint="cs"/>
          <w:rtl/>
        </w:rPr>
        <w:t xml:space="preserve"> .... ولا يخفي أن المتقدمين والمقدمين من أصحاب أحمد كلهم على مذهبه في التنزيه لا خلاف بينهم وبين الحنابلة في ذلك، </w:t>
      </w:r>
      <w:r>
        <w:rPr>
          <w:rFonts w:hint="cs"/>
          <w:snapToGrid w:val="0"/>
          <w:rtl/>
        </w:rPr>
        <w:t>يقول ابن الجوزي في الكتاب الذي يحققه السقاف</w:t>
      </w:r>
      <w:r w:rsidR="000636C2">
        <w:rPr>
          <w:rFonts w:hint="cs"/>
          <w:snapToGrid w:val="0"/>
          <w:rtl/>
        </w:rPr>
        <w:t>: (</w:t>
      </w:r>
      <w:r>
        <w:rPr>
          <w:rFonts w:hint="cs"/>
          <w:snapToGrid w:val="0"/>
          <w:rtl/>
        </w:rPr>
        <w:t>وكان الإمام أحمد يقول</w:t>
      </w:r>
      <w:r w:rsidR="000636C2">
        <w:rPr>
          <w:rFonts w:hint="cs"/>
          <w:snapToGrid w:val="0"/>
          <w:rtl/>
        </w:rPr>
        <w:t xml:space="preserve">: </w:t>
      </w:r>
      <w:r>
        <w:rPr>
          <w:rFonts w:hint="cs"/>
          <w:snapToGrid w:val="0"/>
          <w:rtl/>
        </w:rPr>
        <w:t>أمِرُّوا الأحاديث كما جاءت، وعلى هذا كبار أصحابه كإبراهيم الحربي، ومن كبار أصحابنا أبو الحسن التميمي، وأبو محمد رزق الله بن عبد الوهاب</w:t>
      </w:r>
      <w:r w:rsidR="000636C2">
        <w:rPr>
          <w:rFonts w:hint="cs"/>
          <w:snapToGrid w:val="0"/>
          <w:rtl/>
        </w:rPr>
        <w:t xml:space="preserve"> </w:t>
      </w:r>
      <w:r>
        <w:rPr>
          <w:rFonts w:hint="cs"/>
          <w:snapToGrid w:val="0"/>
          <w:rtl/>
        </w:rPr>
        <w:t>وأبو الوفاء ابن عقيل</w:t>
      </w:r>
      <w:r w:rsidR="000636C2">
        <w:rPr>
          <w:rFonts w:hint="cs"/>
          <w:snapToGrid w:val="0"/>
          <w:rtl/>
        </w:rPr>
        <w:t>) [</w:t>
      </w:r>
      <w:r>
        <w:rPr>
          <w:rFonts w:hint="cs"/>
          <w:color w:val="000000"/>
          <w:rtl/>
        </w:rPr>
        <w:t>دفع شبه التشبيه 111</w:t>
      </w:r>
      <w:r w:rsidR="000636C2">
        <w:rPr>
          <w:rFonts w:hint="cs"/>
          <w:snapToGrid w:val="0"/>
          <w:rtl/>
        </w:rPr>
        <w:t>]</w:t>
      </w:r>
      <w:r>
        <w:rPr>
          <w:rFonts w:hint="cs"/>
          <w:snapToGrid w:val="0"/>
          <w:rtl/>
        </w:rPr>
        <w:t xml:space="preserve"> وهذا مما لا ينكره أحد من أهل التنزيه</w:t>
      </w:r>
      <w:r w:rsidR="000636C2">
        <w:rPr>
          <w:rFonts w:hint="cs"/>
          <w:snapToGrid w:val="0"/>
          <w:rtl/>
        </w:rPr>
        <w:t xml:space="preserve">، </w:t>
      </w:r>
      <w:r>
        <w:rPr>
          <w:rFonts w:hint="cs"/>
          <w:snapToGrid w:val="0"/>
          <w:rtl/>
        </w:rPr>
        <w:t>وحكى أبو الفضل التميمي اعتقاد الإمام أحمد بن حنبل فقال</w:t>
      </w:r>
      <w:r w:rsidR="000636C2">
        <w:rPr>
          <w:rFonts w:hint="cs"/>
          <w:snapToGrid w:val="0"/>
          <w:rtl/>
        </w:rPr>
        <w:t>: (</w:t>
      </w:r>
      <w:r>
        <w:rPr>
          <w:rFonts w:hint="cs"/>
          <w:rtl/>
        </w:rPr>
        <w:t xml:space="preserve">وأنكر على من يقول بالجسم وقال إن الأسماء مأخوذة بالشريعة </w:t>
      </w:r>
      <w:r>
        <w:rPr>
          <w:rFonts w:hint="cs"/>
          <w:rtl/>
        </w:rPr>
        <w:lastRenderedPageBreak/>
        <w:t>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يجىء في الشريعة ذلك فبطل</w:t>
      </w:r>
      <w:r w:rsidR="000636C2">
        <w:rPr>
          <w:rFonts w:hint="cs"/>
          <w:rtl/>
        </w:rPr>
        <w:t xml:space="preserve">) </w:t>
      </w:r>
      <w:r w:rsidR="000636C2">
        <w:rPr>
          <w:rFonts w:hint="cs"/>
          <w:snapToGrid w:val="0"/>
          <w:rtl/>
        </w:rPr>
        <w:t>[</w:t>
      </w:r>
      <w:r>
        <w:rPr>
          <w:rFonts w:hint="cs"/>
          <w:color w:val="000000"/>
          <w:rtl/>
        </w:rPr>
        <w:t>اعتقاد الإمام المبجل ابن حنبل 294-295</w:t>
      </w:r>
      <w:r w:rsidR="000636C2">
        <w:rPr>
          <w:rFonts w:hint="cs"/>
          <w:snapToGrid w:val="0"/>
          <w:rtl/>
        </w:rPr>
        <w:t>]،</w:t>
      </w:r>
      <w:r>
        <w:rPr>
          <w:rFonts w:hint="cs"/>
          <w:snapToGrid w:val="0"/>
          <w:rtl/>
        </w:rPr>
        <w:t xml:space="preserve"> ومثل هذه النصوص كثيرة مذكورة في مواضعها فنبرأ إلى الله عز وجل من نسبة التجسيم إلى الحنابلة كما برأهم من ذلك الأشعرية فقال الشهرستاني</w:t>
      </w:r>
      <w:r w:rsidR="000636C2">
        <w:rPr>
          <w:rFonts w:hint="cs"/>
          <w:snapToGrid w:val="0"/>
          <w:rtl/>
        </w:rPr>
        <w:t>: (</w:t>
      </w:r>
      <w:r>
        <w:rPr>
          <w:rFonts w:hint="cs"/>
          <w:rtl/>
        </w:rPr>
        <w:t>..</w:t>
      </w:r>
      <w:r w:rsidR="000636C2">
        <w:rPr>
          <w:rFonts w:hint="cs"/>
          <w:rtl/>
        </w:rPr>
        <w:t xml:space="preserve"> </w:t>
      </w:r>
      <w:r>
        <w:rPr>
          <w:rFonts w:hint="cs"/>
          <w:rtl/>
        </w:rPr>
        <w:t>فأما أحمد بن حنبل</w:t>
      </w:r>
      <w:r w:rsidR="000636C2">
        <w:rPr>
          <w:rFonts w:hint="cs"/>
          <w:rtl/>
        </w:rPr>
        <w:t xml:space="preserve"> </w:t>
      </w:r>
      <w:r>
        <w:rPr>
          <w:rFonts w:hint="cs"/>
          <w:rtl/>
        </w:rPr>
        <w:t>..</w:t>
      </w:r>
      <w:r w:rsidR="000636C2">
        <w:rPr>
          <w:rFonts w:hint="cs"/>
          <w:rtl/>
        </w:rPr>
        <w:t xml:space="preserve"> </w:t>
      </w:r>
      <w:r>
        <w:rPr>
          <w:rFonts w:hint="cs"/>
          <w:rtl/>
        </w:rPr>
        <w:t>وجماعة من أئمة السلف فجروا على منهاج السلف المتقدمين عليهم من أصحاب الحديث</w:t>
      </w:r>
      <w:r w:rsidR="000636C2">
        <w:rPr>
          <w:rFonts w:hint="cs"/>
          <w:rtl/>
        </w:rPr>
        <w:t xml:space="preserve"> </w:t>
      </w:r>
      <w:r>
        <w:rPr>
          <w:rFonts w:hint="cs"/>
          <w:rtl/>
        </w:rPr>
        <w:t>..</w:t>
      </w:r>
      <w:r w:rsidR="000636C2">
        <w:rPr>
          <w:rFonts w:hint="cs"/>
          <w:rtl/>
        </w:rPr>
        <w:t xml:space="preserve"> </w:t>
      </w:r>
      <w:r>
        <w:rPr>
          <w:rFonts w:hint="cs"/>
          <w:rtl/>
        </w:rPr>
        <w:t>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w:t>
      </w:r>
      <w:r w:rsidR="000636C2">
        <w:rPr>
          <w:rFonts w:hint="cs"/>
          <w:rtl/>
        </w:rPr>
        <w:t xml:space="preserve">: </w:t>
      </w:r>
      <w:r>
        <w:rPr>
          <w:rFonts w:hint="cs"/>
          <w:rtl/>
        </w:rPr>
        <w:t xml:space="preserve">" لما خلقت بيدي" </w:t>
      </w:r>
      <w:r w:rsidR="000636C2">
        <w:rPr>
          <w:rFonts w:hint="cs"/>
          <w:rtl/>
        </w:rPr>
        <w:t>[</w:t>
      </w:r>
      <w:r>
        <w:rPr>
          <w:rFonts w:hint="cs"/>
          <w:rtl/>
        </w:rPr>
        <w:t xml:space="preserve">الآية </w:t>
      </w:r>
      <w:r w:rsidR="000636C2">
        <w:rPr>
          <w:rFonts w:hint="cs"/>
          <w:rtl/>
        </w:rPr>
        <w:t>(</w:t>
      </w:r>
      <w:r>
        <w:rPr>
          <w:rFonts w:hint="cs"/>
          <w:rtl/>
        </w:rPr>
        <w:t>75</w:t>
      </w:r>
      <w:r w:rsidR="000636C2">
        <w:rPr>
          <w:rFonts w:hint="cs"/>
          <w:rtl/>
        </w:rPr>
        <w:t xml:space="preserve">) </w:t>
      </w:r>
      <w:r>
        <w:rPr>
          <w:rFonts w:hint="cs"/>
          <w:rtl/>
        </w:rPr>
        <w:t>من سورة ص</w:t>
      </w:r>
      <w:r w:rsidR="000636C2">
        <w:rPr>
          <w:rFonts w:hint="cs"/>
          <w:rtl/>
        </w:rPr>
        <w:t>]</w:t>
      </w:r>
      <w:r>
        <w:rPr>
          <w:rFonts w:hint="cs"/>
          <w:rtl/>
        </w:rPr>
        <w:t xml:space="preserve"> وجب قطع يده</w:t>
      </w:r>
      <w:r w:rsidR="000636C2">
        <w:rPr>
          <w:rFonts w:hint="cs"/>
          <w:rtl/>
        </w:rPr>
        <w:t xml:space="preserve">) </w:t>
      </w:r>
      <w:r w:rsidR="000636C2">
        <w:rPr>
          <w:rFonts w:hint="cs"/>
          <w:snapToGrid w:val="0"/>
          <w:rtl/>
        </w:rPr>
        <w:t>[</w:t>
      </w:r>
      <w:r>
        <w:rPr>
          <w:rFonts w:hint="cs"/>
          <w:color w:val="000000"/>
          <w:rtl/>
        </w:rPr>
        <w:t>الملل والنحل 10 4</w:t>
      </w:r>
      <w:r w:rsidR="000636C2">
        <w:rPr>
          <w:rFonts w:hint="cs"/>
          <w:snapToGrid w:val="0"/>
          <w:rtl/>
        </w:rPr>
        <w:t>]</w:t>
      </w:r>
      <w:r>
        <w:rPr>
          <w:rFonts w:hint="cs"/>
          <w:snapToGrid w:val="0"/>
          <w:rtl/>
        </w:rPr>
        <w:t xml:space="preserve"> فهذا التوالف بين الحنابلة والأشعرية يدل على اتفاق المذهبين على تنزيه الله عز وجل فأي سبب يدعو إلى الخلاف والنزاع</w:t>
      </w:r>
      <w:r w:rsidR="000636C2">
        <w:rPr>
          <w:rFonts w:hint="cs"/>
          <w:snapToGrid w:val="0"/>
          <w:rtl/>
        </w:rPr>
        <w:t xml:space="preserve">؟ </w:t>
      </w:r>
      <w:r>
        <w:rPr>
          <w:rFonts w:hint="cs"/>
          <w:snapToGrid w:val="0"/>
          <w:rtl/>
        </w:rPr>
        <w:t>وأي ضير وجده السقاف من الوفاق بين أهل السنة</w:t>
      </w:r>
      <w:r w:rsidR="000636C2">
        <w:rPr>
          <w:rFonts w:hint="cs"/>
          <w:snapToGrid w:val="0"/>
          <w:rtl/>
        </w:rPr>
        <w:t xml:space="preserve">، </w:t>
      </w:r>
      <w:r>
        <w:rPr>
          <w:rFonts w:hint="cs"/>
          <w:snapToGrid w:val="0"/>
          <w:rtl/>
        </w:rPr>
        <w:t>وإنما حصل النزاع والافتراق بين غلاة الحنابلة والأشاعرة، وكان مع الأشاعرة في هذا النزاع المقدمون في مذهب الإمام أحمد</w:t>
      </w:r>
      <w:r w:rsidR="000636C2">
        <w:rPr>
          <w:rFonts w:hint="cs"/>
          <w:snapToGrid w:val="0"/>
          <w:rtl/>
        </w:rPr>
        <w:t xml:space="preserve">، </w:t>
      </w:r>
      <w:r>
        <w:rPr>
          <w:rFonts w:hint="cs"/>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w:t>
      </w:r>
      <w:r w:rsidR="000636C2">
        <w:rPr>
          <w:rFonts w:hint="cs"/>
          <w:snapToGrid w:val="0"/>
          <w:rtl/>
        </w:rPr>
        <w:t>: (</w:t>
      </w:r>
      <w:r>
        <w:rPr>
          <w:rFonts w:hint="cs"/>
          <w:rtl/>
        </w:rPr>
        <w:t>واضطربت آخر الدولة العباسية بالفتن وكثر فيها المفسدون والدعار ..</w:t>
      </w:r>
      <w:r w:rsidR="000636C2">
        <w:rPr>
          <w:rFonts w:hint="cs"/>
          <w:rtl/>
        </w:rPr>
        <w:t xml:space="preserve"> </w:t>
      </w:r>
      <w:r>
        <w:rPr>
          <w:rFonts w:hint="cs"/>
          <w:rtl/>
        </w:rPr>
        <w:t>وأعيا على الحكام أمرهم</w:t>
      </w:r>
      <w:r w:rsidR="000636C2">
        <w:rPr>
          <w:rFonts w:hint="cs"/>
          <w:rtl/>
        </w:rPr>
        <w:t xml:space="preserve"> </w:t>
      </w:r>
      <w:r>
        <w:rPr>
          <w:rFonts w:hint="cs"/>
          <w:rtl/>
        </w:rPr>
        <w:t>وربما حدثت الفتن .. بين الحنابلة والشافعية وغيرهم من تصريح الحنابلة بالتشبية في الذات والصفات ونسبتهم ذلك إلى الإمام أحمد وحاشاه منه فيقع الجدال والنكير ثم يفضى إلى الفتنة بين العوام .. ولم يحصل من ملوكهم اهتمام لحسم ذلك لاشتغالهم بما هو أعظم منه في الدولة والنواحى</w:t>
      </w:r>
      <w:r w:rsidR="000636C2">
        <w:rPr>
          <w:rFonts w:hint="cs"/>
          <w:rtl/>
        </w:rPr>
        <w:t>) [</w:t>
      </w:r>
      <w:r>
        <w:rPr>
          <w:rFonts w:hint="cs"/>
          <w:color w:val="000000"/>
          <w:rtl/>
        </w:rPr>
        <w:t>تاريخ ابن خلدون 3/477</w:t>
      </w:r>
      <w:r w:rsidR="000636C2">
        <w:rPr>
          <w:rFonts w:hint="cs"/>
          <w:color w:val="000000"/>
          <w:rtl/>
        </w:rPr>
        <w:t xml:space="preserve">، </w:t>
      </w:r>
      <w:r>
        <w:rPr>
          <w:rFonts w:hint="cs"/>
          <w:color w:val="000000"/>
          <w:rtl/>
        </w:rPr>
        <w:t>وانظر بعض فتن هؤلاء في الكامل لابن الأثير 7/57 و 7/114</w:t>
      </w:r>
      <w:r w:rsidR="000636C2">
        <w:rPr>
          <w:rFonts w:hint="cs"/>
          <w:color w:val="000000"/>
          <w:rtl/>
        </w:rPr>
        <w:t>]</w:t>
      </w:r>
      <w:r w:rsidR="000636C2">
        <w:rPr>
          <w:rFonts w:hint="cs"/>
          <w:rtl/>
        </w:rPr>
        <w:t>،</w:t>
      </w:r>
      <w:r>
        <w:rPr>
          <w:rFonts w:hint="cs"/>
          <w:rtl/>
        </w:rPr>
        <w:t xml:space="preserve"> فإن قيل ما السبب في اختيار الغلاة مذهب الإمام أحمد بن حنبل</w:t>
      </w:r>
      <w:r w:rsidR="000636C2">
        <w:rPr>
          <w:rFonts w:hint="cs"/>
          <w:rtl/>
        </w:rPr>
        <w:t>؟</w:t>
      </w:r>
      <w:r>
        <w:rPr>
          <w:rFonts w:hint="cs"/>
          <w:rtl/>
        </w:rPr>
        <w:t>، فالجواب لسببين</w:t>
      </w:r>
      <w:r w:rsidR="000636C2">
        <w:rPr>
          <w:rFonts w:hint="cs"/>
          <w:rtl/>
        </w:rPr>
        <w:t>: (</w:t>
      </w:r>
      <w:r>
        <w:rPr>
          <w:rFonts w:hint="cs"/>
          <w:rtl/>
        </w:rPr>
        <w:t>الأول</w:t>
      </w:r>
      <w:r w:rsidR="000636C2">
        <w:rPr>
          <w:rFonts w:hint="cs"/>
          <w:rtl/>
        </w:rPr>
        <w:t xml:space="preserve">): </w:t>
      </w:r>
      <w:r>
        <w:rPr>
          <w:rFonts w:hint="cs"/>
          <w:rtl/>
        </w:rPr>
        <w:t>أن الإمام أحمد اشتهر موقفه في محنة خلق القرآن وطال فيها صبره وثباته حتى صار له من القبول ما دفع إلى ادعاء الغلاة الانتساب إلى مذهبه متظاهرين بالتمسك بالأثر والسنة كما فعل الإمام أحمد</w:t>
      </w:r>
      <w:r w:rsidR="000636C2">
        <w:rPr>
          <w:rFonts w:hint="cs"/>
          <w:rtl/>
        </w:rPr>
        <w:t xml:space="preserve">، </w:t>
      </w:r>
      <w:r>
        <w:rPr>
          <w:rFonts w:hint="cs"/>
          <w:rtl/>
        </w:rPr>
        <w:t>ولا يخفي أن الإمام لم يتمسك بالاسرائيليات والأخبار الضعيفة والمتون المنكرة كما فعل هؤلاء، واستغلوا ما كتبه الله للإمام من القبول عند العوام فزخرفوا مذهبهم بالانتساب إليه واستثاروهم بالغيرة على مذهبه</w:t>
      </w:r>
      <w:r w:rsidR="000636C2">
        <w:rPr>
          <w:rFonts w:hint="cs"/>
          <w:rtl/>
        </w:rPr>
        <w:t>،</w:t>
      </w:r>
      <w:r>
        <w:rPr>
          <w:rFonts w:hint="cs"/>
          <w:rtl/>
        </w:rPr>
        <w:t xml:space="preserve"> </w:t>
      </w:r>
      <w:r w:rsidR="000636C2">
        <w:rPr>
          <w:rFonts w:hint="cs"/>
          <w:rtl/>
        </w:rPr>
        <w:t>(</w:t>
      </w:r>
      <w:r>
        <w:rPr>
          <w:rFonts w:hint="cs"/>
          <w:rtl/>
        </w:rPr>
        <w:t>الثاني</w:t>
      </w:r>
      <w:r w:rsidR="000636C2">
        <w:rPr>
          <w:rFonts w:hint="cs"/>
          <w:rtl/>
        </w:rPr>
        <w:t xml:space="preserve">): </w:t>
      </w:r>
      <w:r>
        <w:rPr>
          <w:rFonts w:hint="cs"/>
          <w:rtl/>
        </w:rPr>
        <w:t>أن الإمام لورعه لم يصنف إلا في المنقول المأثور</w:t>
      </w:r>
      <w:r w:rsidR="000636C2">
        <w:rPr>
          <w:rFonts w:hint="cs"/>
          <w:rtl/>
        </w:rPr>
        <w:t>(</w:t>
      </w:r>
      <w:r>
        <w:rPr>
          <w:rFonts w:hint="cs"/>
          <w:rtl/>
        </w:rPr>
        <w:t>..</w:t>
      </w:r>
      <w:r w:rsidR="000636C2">
        <w:rPr>
          <w:rFonts w:hint="cs"/>
          <w:rtl/>
        </w:rPr>
        <w:t xml:space="preserve"> </w:t>
      </w:r>
      <w:r>
        <w:rPr>
          <w:rFonts w:hint="cs"/>
          <w:rtl/>
        </w:rPr>
        <w:t xml:space="preserve">وكان الإمام لا يرى وضع </w:t>
      </w:r>
      <w:r>
        <w:rPr>
          <w:rFonts w:hint="cs"/>
          <w:rtl/>
        </w:rPr>
        <w:lastRenderedPageBreak/>
        <w:t>الكتب وينهي عن كتابة كلامه ومسائله</w:t>
      </w:r>
      <w:r w:rsidR="000636C2">
        <w:rPr>
          <w:rFonts w:hint="cs"/>
          <w:rtl/>
        </w:rPr>
        <w:t>) [</w:t>
      </w:r>
      <w:r>
        <w:rPr>
          <w:rFonts w:hint="cs"/>
          <w:color w:val="000000"/>
          <w:rtl/>
        </w:rPr>
        <w:t>انظر دفع شبه التشبيه 30</w:t>
      </w:r>
      <w:r w:rsidR="000636C2">
        <w:rPr>
          <w:rFonts w:hint="cs"/>
          <w:color w:val="000000"/>
          <w:rtl/>
        </w:rPr>
        <w:t xml:space="preserve"> </w:t>
      </w:r>
      <w:r>
        <w:rPr>
          <w:rFonts w:hint="cs"/>
          <w:color w:val="000000"/>
          <w:rtl/>
        </w:rPr>
        <w:t>وسيرأعلام النبلاء 11 /327</w:t>
      </w:r>
      <w:r w:rsidR="000636C2">
        <w:rPr>
          <w:rFonts w:hint="cs"/>
          <w:rtl/>
        </w:rPr>
        <w:t xml:space="preserve">] </w:t>
      </w:r>
      <w:r>
        <w:rPr>
          <w:rFonts w:hint="cs"/>
          <w:rtl/>
        </w:rPr>
        <w:t>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"الروايتان والوجهان " وجعل آخره خاصاً في المسائل المتعلقة بالعقيدة</w:t>
      </w:r>
      <w:r w:rsidR="000636C2">
        <w:rPr>
          <w:rFonts w:hint="cs"/>
          <w:rtl/>
        </w:rPr>
        <w:t>، [</w:t>
      </w:r>
      <w:r>
        <w:rPr>
          <w:rFonts w:hint="cs"/>
          <w:color w:val="000000"/>
          <w:rtl/>
        </w:rPr>
        <w:t>حُقق ما يتعلق منه بمسائل الفقه وبقي الجزء المتعلق بالعقيدة مخطوطا في قسم المخطزطات بالمكتبة المركزية في الجامعة الإسلامية بالمدينة، انظر المسائل والرسائل المروية عن الإمام أحمد في العقيدة للدكتور عبد الإله الأحمدي 48</w:t>
      </w:r>
      <w:r w:rsidR="000636C2">
        <w:rPr>
          <w:rFonts w:hint="cs"/>
          <w:rtl/>
        </w:rPr>
        <w:t>]</w:t>
      </w:r>
      <w:r>
        <w:rPr>
          <w:rFonts w:hint="cs"/>
          <w:rtl/>
        </w:rPr>
        <w:t xml:space="preserve"> وتجد بعض الرسائل المنسوبة إلى الإمام اعتمد عليها الكثيرون مع أن فيها رواة مجهولين مثل رسالة مسدد بن مسرهد ورسالة الاصطخري وغيرها</w:t>
      </w:r>
      <w:r w:rsidR="000636C2">
        <w:rPr>
          <w:rFonts w:hint="cs"/>
          <w:rtl/>
        </w:rPr>
        <w:t xml:space="preserve"> [</w:t>
      </w:r>
      <w:r>
        <w:rPr>
          <w:rFonts w:hint="cs"/>
          <w:color w:val="000000"/>
          <w:rtl/>
        </w:rPr>
        <w:t>جمع هذه الرسائل عبد الإله الأحمدي ولم يمنعه الاعتراف بوجود مجاهيل في أسانيد أكثرها من نسبتها إلى الإمام</w:t>
      </w:r>
      <w:r w:rsidR="000636C2">
        <w:rPr>
          <w:rFonts w:hint="cs"/>
          <w:rtl/>
        </w:rPr>
        <w:t>]</w:t>
      </w:r>
      <w:r>
        <w:rPr>
          <w:rFonts w:hint="cs"/>
          <w:rtl/>
        </w:rPr>
        <w:t xml:space="preserve"> 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000636C2">
        <w:rPr>
          <w:rFonts w:hint="cs"/>
          <w:rtl/>
        </w:rPr>
        <w:t>؟</w:t>
      </w:r>
      <w:r>
        <w:rPr>
          <w:rFonts w:hint="cs"/>
          <w:rtl/>
        </w:rPr>
        <w:t xml:space="preserve"> " أهـ من </w:t>
      </w:r>
      <w:r>
        <w:rPr>
          <w:rFonts w:hint="cs"/>
          <w:rtl/>
          <w:lang w:bidi="ar-KW"/>
        </w:rPr>
        <w:t xml:space="preserve">كتاب </w:t>
      </w:r>
      <w:r>
        <w:rPr>
          <w:rFonts w:hint="cs"/>
          <w:rtl/>
        </w:rPr>
        <w:t>التجسيم في الفكر الإسلامى</w:t>
      </w:r>
      <w:r w:rsidR="000636C2">
        <w:rPr>
          <w:rFonts w:hint="cs"/>
          <w:rtl/>
        </w:rPr>
        <w:t>،</w:t>
      </w:r>
      <w:r>
        <w:rPr>
          <w:rFonts w:hint="cs"/>
          <w:rtl/>
        </w:rPr>
        <w:t xml:space="preserve"> </w:t>
      </w:r>
    </w:p>
    <w:p w14:paraId="60835783" w14:textId="77777777" w:rsidR="009C32A0" w:rsidRDefault="009C32A0" w:rsidP="000636C2">
      <w:pPr>
        <w:ind w:left="-58"/>
        <w:jc w:val="center"/>
        <w:rPr>
          <w:b/>
          <w:rtl/>
        </w:rPr>
      </w:pPr>
      <w:r>
        <w:rPr>
          <w:rFonts w:hint="cs"/>
          <w:rtl/>
        </w:rPr>
        <w:t>***</w:t>
      </w:r>
    </w:p>
    <w:p w14:paraId="29C11CB9" w14:textId="77777777" w:rsidR="009C32A0" w:rsidRDefault="009C32A0" w:rsidP="000636C2">
      <w:pPr>
        <w:ind w:left="-58"/>
        <w:jc w:val="center"/>
        <w:rPr>
          <w:b/>
          <w:rtl/>
        </w:rPr>
      </w:pPr>
    </w:p>
    <w:p w14:paraId="7077C0C4" w14:textId="77777777" w:rsidR="009C32A0" w:rsidRDefault="009C32A0" w:rsidP="000636C2">
      <w:pPr>
        <w:ind w:left="-58"/>
        <w:jc w:val="center"/>
        <w:rPr>
          <w:b/>
          <w:rtl/>
        </w:rPr>
      </w:pPr>
    </w:p>
    <w:p w14:paraId="3D2B1E0F" w14:textId="77777777" w:rsidR="009C32A0" w:rsidRDefault="009C32A0" w:rsidP="000636C2">
      <w:pPr>
        <w:ind w:left="-58"/>
        <w:jc w:val="center"/>
        <w:rPr>
          <w:b/>
          <w:rtl/>
        </w:rPr>
      </w:pPr>
    </w:p>
    <w:p w14:paraId="5728F62A" w14:textId="74C647FB" w:rsidR="009C32A0" w:rsidRPr="00627D1B" w:rsidRDefault="000636C2" w:rsidP="00627D1B">
      <w:pPr>
        <w:pStyle w:val="2"/>
        <w:bidi/>
        <w:jc w:val="center"/>
        <w:rPr>
          <w:u w:val="none"/>
          <w:rtl/>
        </w:rPr>
      </w:pPr>
      <w:r w:rsidRPr="00627D1B">
        <w:rPr>
          <w:rFonts w:hint="cs"/>
          <w:u w:val="none"/>
          <w:rtl/>
        </w:rPr>
        <w:t>[</w:t>
      </w:r>
      <w:r w:rsidR="009C32A0" w:rsidRPr="00627D1B">
        <w:rPr>
          <w:rFonts w:hint="cs"/>
          <w:u w:val="none"/>
          <w:rtl/>
        </w:rPr>
        <w:t>سادساً</w:t>
      </w:r>
      <w:r w:rsidRPr="00627D1B">
        <w:rPr>
          <w:rFonts w:hint="cs"/>
          <w:u w:val="none"/>
          <w:rtl/>
        </w:rPr>
        <w:t>]</w:t>
      </w:r>
      <w:r w:rsidR="00627D1B" w:rsidRPr="00627D1B">
        <w:rPr>
          <w:rFonts w:hint="cs"/>
          <w:u w:val="none"/>
          <w:rtl/>
        </w:rPr>
        <w:t xml:space="preserve"> </w:t>
      </w:r>
      <w:r w:rsidR="009C32A0" w:rsidRPr="00627D1B">
        <w:rPr>
          <w:rFonts w:hint="cs"/>
          <w:u w:val="none"/>
          <w:rtl/>
        </w:rPr>
        <w:t>تسرب بعض الأفكار الحشوية إلى الإمام ابن تيمية وتلامذته كابن القيم والذهبي</w:t>
      </w:r>
    </w:p>
    <w:p w14:paraId="00865988" w14:textId="77777777" w:rsidR="009C32A0" w:rsidRDefault="009C32A0" w:rsidP="000636C2">
      <w:pPr>
        <w:ind w:left="-58"/>
        <w:rPr>
          <w:b/>
          <w:rtl/>
        </w:rPr>
      </w:pPr>
    </w:p>
    <w:p w14:paraId="3D25707A" w14:textId="28C0855E" w:rsidR="009C32A0" w:rsidRDefault="000636C2" w:rsidP="000636C2">
      <w:pPr>
        <w:ind w:left="-58"/>
        <w:rPr>
          <w:rFonts w:eastAsia="Times New Roman"/>
          <w:b/>
          <w:rtl/>
        </w:rPr>
      </w:pPr>
      <w:r>
        <w:rPr>
          <w:rFonts w:cs="Monotype Koufi" w:hint="cs"/>
          <w:rtl/>
        </w:rPr>
        <w:t>(</w:t>
      </w:r>
      <w:r w:rsidR="009C32A0">
        <w:rPr>
          <w:rFonts w:cs="Monotype Koufi" w:hint="cs"/>
          <w:rtl/>
        </w:rPr>
        <w:t>أولاً</w:t>
      </w:r>
      <w:r>
        <w:rPr>
          <w:rFonts w:cs="Monotype Koufi" w:hint="cs"/>
          <w:rtl/>
        </w:rPr>
        <w:t>)</w:t>
      </w:r>
      <w:r w:rsidR="009C32A0">
        <w:rPr>
          <w:rFonts w:cs="Monotype Koufi" w:hint="cs"/>
          <w:rtl/>
        </w:rPr>
        <w:t xml:space="preserve"> تسرب الأفكار الحشوية إلى الإمام ابن تيمية</w:t>
      </w:r>
      <w:r>
        <w:rPr>
          <w:rFonts w:hint="cs"/>
          <w:bCs/>
          <w:rtl/>
        </w:rPr>
        <w:t xml:space="preserve">: </w:t>
      </w:r>
      <w:r w:rsidR="009C32A0">
        <w:rPr>
          <w:rFonts w:hint="cs"/>
          <w:rtl/>
        </w:rPr>
        <w:t>ابن تيمية رحمه الله تعالى</w:t>
      </w:r>
      <w:r>
        <w:rPr>
          <w:rFonts w:hint="cs"/>
          <w:rtl/>
        </w:rPr>
        <w:t xml:space="preserve">: </w:t>
      </w:r>
      <w:r w:rsidR="009C32A0">
        <w:rPr>
          <w:rFonts w:hint="cs"/>
          <w:rtl/>
        </w:rPr>
        <w:t>كان موسوعة واسعة في أكثر ابواب العلم الإسلامي</w:t>
      </w:r>
      <w:r>
        <w:rPr>
          <w:rFonts w:hint="cs"/>
          <w:rtl/>
        </w:rPr>
        <w:t>،</w:t>
      </w:r>
      <w:r w:rsidR="009C32A0">
        <w:rPr>
          <w:rFonts w:hint="cs"/>
          <w:rtl/>
        </w:rPr>
        <w:t xml:space="preserve"> إلا أنّه لم متخصصاً في باب معين</w:t>
      </w:r>
      <w:r>
        <w:rPr>
          <w:rFonts w:hint="cs"/>
          <w:rtl/>
        </w:rPr>
        <w:t>،</w:t>
      </w:r>
      <w:r w:rsidR="009C32A0">
        <w:rPr>
          <w:rFonts w:hint="cs"/>
          <w:rtl/>
        </w:rPr>
        <w:t xml:space="preserve"> كما أنّه لم يك يحترم </w:t>
      </w:r>
      <w:r w:rsidR="009C32A0">
        <w:rPr>
          <w:rFonts w:hint="cs"/>
          <w:rtl/>
        </w:rPr>
        <w:lastRenderedPageBreak/>
        <w:t>تخصص العلماء</w:t>
      </w:r>
      <w:r>
        <w:rPr>
          <w:rFonts w:hint="cs"/>
          <w:rtl/>
        </w:rPr>
        <w:t>،</w:t>
      </w:r>
      <w:r w:rsidR="009C32A0">
        <w:rPr>
          <w:rFonts w:hint="cs"/>
          <w:rtl/>
        </w:rPr>
        <w:t xml:space="preserve"> لم يدع علماً من علوم الإسلام إلا تكلم فيه وخالف أهله بما يراه هو حقاً</w:t>
      </w:r>
      <w:r>
        <w:rPr>
          <w:rFonts w:hint="cs"/>
          <w:rtl/>
        </w:rPr>
        <w:t>،</w:t>
      </w:r>
      <w:r w:rsidR="009C32A0">
        <w:rPr>
          <w:rFonts w:hint="cs"/>
          <w:rtl/>
        </w:rPr>
        <w:t xml:space="preserve"> ولكن كانت تنقصه دقة المتخصصين في العلم في كثير من الأحيان</w:t>
      </w:r>
      <w:r>
        <w:rPr>
          <w:rFonts w:hint="cs"/>
          <w:rtl/>
        </w:rPr>
        <w:t>،</w:t>
      </w:r>
      <w:r w:rsidR="009C32A0">
        <w:rPr>
          <w:rFonts w:hint="cs"/>
          <w:rtl/>
        </w:rPr>
        <w:t xml:space="preserve"> ففي مجال علوم العقيدة</w:t>
      </w:r>
      <w:r>
        <w:rPr>
          <w:rFonts w:hint="cs"/>
          <w:rtl/>
        </w:rPr>
        <w:t>،</w:t>
      </w:r>
      <w:r w:rsidR="009C32A0">
        <w:rPr>
          <w:rFonts w:hint="cs"/>
          <w:rtl/>
        </w:rPr>
        <w:t xml:space="preserve"> وقع في أخطاء أبرزها</w:t>
      </w:r>
      <w:r>
        <w:rPr>
          <w:rFonts w:hint="cs"/>
          <w:rtl/>
        </w:rPr>
        <w:t>: (</w:t>
      </w:r>
      <w:r w:rsidR="009C32A0">
        <w:rPr>
          <w:rFonts w:hint="cs"/>
          <w:rtl/>
        </w:rPr>
        <w:t>أ</w:t>
      </w:r>
      <w:r>
        <w:rPr>
          <w:rFonts w:hint="cs"/>
          <w:rtl/>
        </w:rPr>
        <w:t xml:space="preserve">) </w:t>
      </w:r>
      <w:r w:rsidR="009C32A0">
        <w:rPr>
          <w:rFonts w:hint="cs"/>
          <w:rtl/>
        </w:rPr>
        <w:t>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Pr>
          <w:rFonts w:hint="cs"/>
          <w:rtl/>
        </w:rPr>
        <w:t>،</w:t>
      </w:r>
      <w:r w:rsidR="009C32A0">
        <w:rPr>
          <w:rFonts w:hint="cs"/>
          <w:rtl/>
        </w:rPr>
        <w:t xml:space="preserve"> </w:t>
      </w:r>
      <w:r>
        <w:rPr>
          <w:rFonts w:hint="cs"/>
          <w:rtl/>
        </w:rPr>
        <w:t>(</w:t>
      </w:r>
      <w:r w:rsidR="009C32A0">
        <w:rPr>
          <w:rFonts w:hint="cs"/>
          <w:rtl/>
        </w:rPr>
        <w:t>ب</w:t>
      </w:r>
      <w:r>
        <w:rPr>
          <w:rFonts w:hint="cs"/>
          <w:rtl/>
        </w:rPr>
        <w:t xml:space="preserve">) </w:t>
      </w:r>
      <w:r w:rsidR="009C32A0">
        <w:rPr>
          <w:rFonts w:hint="cs"/>
          <w:rtl/>
        </w:rPr>
        <w:t>نسب إلى السلف مذهب إثبات المعنى عموماً</w:t>
      </w:r>
      <w:r>
        <w:rPr>
          <w:rFonts w:hint="cs"/>
          <w:rtl/>
        </w:rPr>
        <w:t>،</w:t>
      </w:r>
      <w:r w:rsidR="009C32A0">
        <w:rPr>
          <w:rFonts w:hint="cs"/>
          <w:rtl/>
        </w:rPr>
        <w:t xml:space="preserve"> وقد كان هذا مذهبهم حقاً إلا في المتشابهات فقد كان مذهبهم تفويض المعنى</w:t>
      </w:r>
      <w:r>
        <w:rPr>
          <w:rFonts w:hint="cs"/>
          <w:rtl/>
        </w:rPr>
        <w:t>،</w:t>
      </w:r>
      <w:r w:rsidR="009C32A0">
        <w:rPr>
          <w:rFonts w:hint="cs"/>
          <w:rtl/>
        </w:rPr>
        <w:t xml:space="preserve"> وليس اثباته لأنّ المتشابه ليس له معنى فيدرك</w:t>
      </w:r>
      <w:r>
        <w:rPr>
          <w:rFonts w:hint="cs"/>
          <w:rtl/>
        </w:rPr>
        <w:t>،</w:t>
      </w:r>
      <w:r w:rsidR="009C32A0">
        <w:rPr>
          <w:rFonts w:hint="cs"/>
          <w:rtl/>
        </w:rPr>
        <w:t xml:space="preserve"> ولو كان له معنى لما كان متشابها</w:t>
      </w:r>
      <w:r>
        <w:rPr>
          <w:rFonts w:hint="cs"/>
          <w:rtl/>
        </w:rPr>
        <w:t>،</w:t>
      </w:r>
      <w:r w:rsidR="009C32A0">
        <w:rPr>
          <w:rFonts w:hint="cs"/>
          <w:rtl/>
        </w:rPr>
        <w:t xml:space="preserve"> ثم لم يكتف بذلك حتى جعل مذهب التفويض - وهو لا يدرك أنه مذهب السلف الحقيقي - من شر مذاهب الفرق الضالة</w:t>
      </w:r>
      <w:r>
        <w:rPr>
          <w:rFonts w:hint="cs"/>
          <w:rtl/>
        </w:rPr>
        <w:t>،</w:t>
      </w:r>
      <w:r w:rsidR="009C32A0">
        <w:rPr>
          <w:rFonts w:hint="cs"/>
          <w:rtl/>
        </w:rPr>
        <w:t xml:space="preserve"> </w:t>
      </w:r>
      <w:r>
        <w:rPr>
          <w:rFonts w:hint="cs"/>
          <w:rtl/>
        </w:rPr>
        <w:t>(</w:t>
      </w:r>
      <w:r w:rsidR="009C32A0">
        <w:rPr>
          <w:rFonts w:hint="cs"/>
          <w:rtl/>
        </w:rPr>
        <w:t>ت</w:t>
      </w:r>
      <w:r>
        <w:rPr>
          <w:rFonts w:hint="cs"/>
          <w:rtl/>
        </w:rPr>
        <w:t xml:space="preserve">) </w:t>
      </w:r>
      <w:r w:rsidR="009C32A0">
        <w:rPr>
          <w:rFonts w:hint="cs"/>
          <w:rtl/>
        </w:rPr>
        <w:t>نسب إلى السلف اثبات المعنى الظاهر مع أنّه متعذر في كل الصفات</w:t>
      </w:r>
      <w:r>
        <w:rPr>
          <w:rFonts w:hint="cs"/>
          <w:rtl/>
        </w:rPr>
        <w:t xml:space="preserve"> (</w:t>
      </w:r>
      <w:r w:rsidR="009C32A0">
        <w:rPr>
          <w:rFonts w:hint="cs"/>
          <w:rtl/>
        </w:rPr>
        <w:t>ث</w:t>
      </w:r>
      <w:r>
        <w:rPr>
          <w:rFonts w:hint="cs"/>
          <w:rtl/>
        </w:rPr>
        <w:t xml:space="preserve">) </w:t>
      </w:r>
      <w:r w:rsidR="009C32A0">
        <w:rPr>
          <w:rFonts w:hint="cs"/>
          <w:rtl/>
        </w:rPr>
        <w:t>شنّ حرباً على التأويل مع أنّه لا مناص منه عند التعارض</w:t>
      </w:r>
      <w:r>
        <w:rPr>
          <w:rFonts w:hint="cs"/>
          <w:rtl/>
        </w:rPr>
        <w:t>،</w:t>
      </w:r>
      <w:r w:rsidR="009C32A0">
        <w:rPr>
          <w:rFonts w:hint="cs"/>
          <w:rtl/>
        </w:rPr>
        <w:t xml:space="preserve"> </w:t>
      </w:r>
      <w:r>
        <w:rPr>
          <w:rFonts w:hint="cs"/>
          <w:rtl/>
        </w:rPr>
        <w:t>(</w:t>
      </w:r>
      <w:r w:rsidR="009C32A0">
        <w:rPr>
          <w:rFonts w:hint="cs"/>
          <w:rtl/>
        </w:rPr>
        <w:t>ج</w:t>
      </w:r>
      <w:r>
        <w:rPr>
          <w:rFonts w:hint="cs"/>
          <w:rtl/>
        </w:rPr>
        <w:t xml:space="preserve">) </w:t>
      </w:r>
      <w:r w:rsidR="009C32A0">
        <w:rPr>
          <w:rFonts w:hint="cs"/>
          <w:rtl/>
        </w:rPr>
        <w:t>جهله العميق بقواعد التقديس والتنزيه المستفادة من الكتاب والسنّة</w:t>
      </w:r>
      <w:r>
        <w:rPr>
          <w:rFonts w:hint="cs"/>
          <w:rtl/>
        </w:rPr>
        <w:t>،</w:t>
      </w:r>
      <w:r w:rsidR="009C32A0">
        <w:rPr>
          <w:rFonts w:hint="cs"/>
          <w:rtl/>
        </w:rPr>
        <w:t xml:space="preserve"> فسبب خللا في استيعابه لمذهب أهل السنّة والجماعة في العقيدة</w:t>
      </w:r>
      <w:r>
        <w:rPr>
          <w:rFonts w:hint="cs"/>
          <w:rtl/>
        </w:rPr>
        <w:t>،</w:t>
      </w:r>
      <w:r w:rsidR="009C32A0">
        <w:rPr>
          <w:rFonts w:hint="cs"/>
          <w:rtl/>
        </w:rPr>
        <w:t xml:space="preserve"> </w:t>
      </w:r>
      <w:r>
        <w:rPr>
          <w:rFonts w:hint="cs"/>
          <w:rtl/>
        </w:rPr>
        <w:t>(</w:t>
      </w:r>
      <w:r w:rsidR="009C32A0">
        <w:rPr>
          <w:rFonts w:hint="cs"/>
          <w:rtl/>
        </w:rPr>
        <w:t>ح</w:t>
      </w:r>
      <w:r>
        <w:rPr>
          <w:rFonts w:hint="cs"/>
          <w:rtl/>
        </w:rPr>
        <w:t xml:space="preserve">) </w:t>
      </w:r>
      <w:r w:rsidR="009C32A0">
        <w:rPr>
          <w:rFonts w:hint="cs"/>
          <w:rtl/>
        </w:rPr>
        <w:t>بسبب عدم تخصصه في العقيدة مال إلى مذاهب المجسمة والحشوية وأثنى على أهلها ومؤلفاتهم ونسبهم إلى السنّة والسنّة منهم براء</w:t>
      </w:r>
      <w:r>
        <w:rPr>
          <w:rFonts w:hint="cs"/>
          <w:rtl/>
        </w:rPr>
        <w:t>،</w:t>
      </w:r>
      <w:r w:rsidR="009C32A0">
        <w:rPr>
          <w:rFonts w:hint="cs"/>
          <w:rtl/>
        </w:rPr>
        <w:t xml:space="preserve"> </w:t>
      </w:r>
      <w:r>
        <w:rPr>
          <w:rFonts w:hint="cs"/>
          <w:rtl/>
        </w:rPr>
        <w:t>(</w:t>
      </w:r>
      <w:r w:rsidR="009C32A0">
        <w:rPr>
          <w:rFonts w:hint="cs"/>
          <w:rtl/>
        </w:rPr>
        <w:t>خ</w:t>
      </w:r>
      <w:r>
        <w:rPr>
          <w:rFonts w:hint="cs"/>
          <w:rtl/>
        </w:rPr>
        <w:t xml:space="preserve">) </w:t>
      </w:r>
      <w:r w:rsidR="009C32A0">
        <w:rPr>
          <w:rFonts w:hint="cs"/>
          <w:rtl/>
        </w:rPr>
        <w:t>تورط في نسبة الحد والجهة والمكان والحركة والانتقال إلى الله</w:t>
      </w:r>
      <w:r>
        <w:rPr>
          <w:rFonts w:hint="cs"/>
          <w:rtl/>
        </w:rPr>
        <w:t>،</w:t>
      </w:r>
      <w:r w:rsidR="009C32A0">
        <w:rPr>
          <w:rFonts w:hint="cs"/>
          <w:rtl/>
        </w:rPr>
        <w:t xml:space="preserve"> مع أنها من المحال عند المتخصصين في علم العقيدة</w:t>
      </w:r>
      <w:r>
        <w:rPr>
          <w:rFonts w:hint="cs"/>
          <w:rtl/>
        </w:rPr>
        <w:t>،</w:t>
      </w:r>
      <w:r w:rsidR="009C32A0">
        <w:rPr>
          <w:rFonts w:hint="cs"/>
          <w:rtl/>
        </w:rPr>
        <w:t xml:space="preserve"> </w:t>
      </w:r>
      <w:r>
        <w:rPr>
          <w:rFonts w:hint="cs"/>
          <w:rtl/>
        </w:rPr>
        <w:t>(</w:t>
      </w:r>
      <w:r w:rsidR="009C32A0">
        <w:rPr>
          <w:rFonts w:hint="cs"/>
          <w:rtl/>
        </w:rPr>
        <w:t>د</w:t>
      </w:r>
      <w:r>
        <w:rPr>
          <w:rFonts w:hint="cs"/>
          <w:rtl/>
        </w:rPr>
        <w:t xml:space="preserve">) </w:t>
      </w:r>
      <w:r w:rsidR="009C32A0">
        <w:rPr>
          <w:rFonts w:hint="cs"/>
          <w:rtl/>
        </w:rPr>
        <w:t xml:space="preserve">نسب علم </w:t>
      </w:r>
      <w:r>
        <w:rPr>
          <w:rFonts w:hint="cs"/>
          <w:rtl/>
        </w:rPr>
        <w:t>(</w:t>
      </w:r>
      <w:r w:rsidR="009C32A0">
        <w:rPr>
          <w:rFonts w:hint="cs"/>
          <w:rtl/>
        </w:rPr>
        <w:t>التقديس وقواعد التنزيه</w:t>
      </w:r>
      <w:r>
        <w:rPr>
          <w:rFonts w:hint="cs"/>
          <w:rtl/>
        </w:rPr>
        <w:t xml:space="preserve"> </w:t>
      </w:r>
      <w:r w:rsidR="009C32A0">
        <w:rPr>
          <w:rFonts w:hint="cs"/>
          <w:rtl/>
        </w:rPr>
        <w:t>المستمدة من الكتاب والسنّة</w:t>
      </w:r>
      <w:r>
        <w:rPr>
          <w:rFonts w:hint="cs"/>
          <w:rtl/>
        </w:rPr>
        <w:t xml:space="preserve">) </w:t>
      </w:r>
      <w:r w:rsidR="009C32A0">
        <w:rPr>
          <w:rFonts w:hint="cs"/>
          <w:rtl/>
        </w:rPr>
        <w:t>إلى علوم اليونان وفلسفتهم</w:t>
      </w:r>
      <w:r>
        <w:rPr>
          <w:rFonts w:hint="cs"/>
          <w:rtl/>
        </w:rPr>
        <w:t>،</w:t>
      </w:r>
      <w:r w:rsidR="009C32A0">
        <w:rPr>
          <w:rFonts w:hint="cs"/>
          <w:rtl/>
        </w:rPr>
        <w:t xml:space="preserve"> مع أنّه مستنبط من أدله الكتاب والسنًة</w:t>
      </w:r>
      <w:r>
        <w:rPr>
          <w:rFonts w:hint="cs"/>
          <w:rtl/>
        </w:rPr>
        <w:t>،</w:t>
      </w:r>
      <w:r w:rsidR="009C32A0">
        <w:rPr>
          <w:rFonts w:hint="cs"/>
          <w:rtl/>
        </w:rPr>
        <w:t xml:space="preserve"> وسار عليه أعلام الأئمة من علماء أهل السنّة والجماعة على مر عصور الإسلام</w:t>
      </w:r>
      <w:r>
        <w:rPr>
          <w:rFonts w:hint="cs"/>
          <w:rtl/>
        </w:rPr>
        <w:t>،</w:t>
      </w:r>
      <w:r w:rsidR="009C32A0">
        <w:rPr>
          <w:rFonts w:hint="cs"/>
          <w:rtl/>
        </w:rPr>
        <w:t xml:space="preserve"> قال تعالى</w:t>
      </w:r>
      <w:r>
        <w:rPr>
          <w:rFonts w:hint="cs"/>
          <w:rtl/>
        </w:rPr>
        <w:t>: {</w:t>
      </w:r>
      <w:r w:rsidR="009C32A0">
        <w:rPr>
          <w:rFonts w:hint="cs"/>
          <w:rtl/>
        </w:rPr>
        <w:t>لَعَلِمَهُ الَّذِينَ يَسْتَنْبِطُونَهُ مِنْهُمْ</w:t>
      </w:r>
      <w:r>
        <w:rPr>
          <w:rFonts w:hint="cs"/>
          <w:rtl/>
        </w:rPr>
        <w:t>} [</w:t>
      </w:r>
      <w:r w:rsidR="009C32A0">
        <w:rPr>
          <w:rFonts w:hint="cs"/>
          <w:rtl/>
        </w:rPr>
        <w:t>النساء</w:t>
      </w:r>
      <w:r>
        <w:rPr>
          <w:rFonts w:hint="cs"/>
          <w:rtl/>
        </w:rPr>
        <w:t xml:space="preserve">: </w:t>
      </w:r>
      <w:r w:rsidR="009C32A0">
        <w:rPr>
          <w:rFonts w:hint="cs"/>
          <w:rtl/>
        </w:rPr>
        <w:t>84</w:t>
      </w:r>
      <w:r>
        <w:rPr>
          <w:rFonts w:hint="cs"/>
          <w:rtl/>
        </w:rPr>
        <w:t>]،</w:t>
      </w:r>
      <w:r w:rsidR="009C32A0">
        <w:rPr>
          <w:rFonts w:hint="cs"/>
          <w:rtl/>
        </w:rPr>
        <w:t xml:space="preserve"> ولأنهم متخصصون علموه</w:t>
      </w:r>
      <w:r>
        <w:rPr>
          <w:rFonts w:hint="cs"/>
          <w:rtl/>
        </w:rPr>
        <w:t>،</w:t>
      </w:r>
      <w:r w:rsidR="009C32A0">
        <w:rPr>
          <w:rFonts w:hint="cs"/>
          <w:rtl/>
        </w:rPr>
        <w:t xml:space="preserve"> وهو لمّا لم يكن متخصصا لم يعلمه</w:t>
      </w:r>
      <w:r>
        <w:rPr>
          <w:rFonts w:hint="cs"/>
          <w:rtl/>
        </w:rPr>
        <w:t>،</w:t>
      </w:r>
      <w:r w:rsidR="009C32A0">
        <w:rPr>
          <w:rFonts w:hint="cs"/>
          <w:rtl/>
        </w:rPr>
        <w:t xml:space="preserve"> فأضر كثيرا بمن تأثر بكلامه فحرمه من أعظم علوم الإسلام الفقه الأكبر في الدين</w:t>
      </w:r>
      <w:r>
        <w:rPr>
          <w:rFonts w:hint="cs"/>
          <w:rtl/>
        </w:rPr>
        <w:t>،</w:t>
      </w:r>
      <w:r w:rsidR="009C32A0">
        <w:rPr>
          <w:rFonts w:hint="cs"/>
          <w:rtl/>
        </w:rPr>
        <w:t xml:space="preserve"> </w:t>
      </w:r>
      <w:r>
        <w:rPr>
          <w:rFonts w:hint="cs"/>
          <w:rtl/>
        </w:rPr>
        <w:t>(</w:t>
      </w:r>
      <w:r w:rsidR="009C32A0">
        <w:rPr>
          <w:rFonts w:hint="cs"/>
          <w:rtl/>
        </w:rPr>
        <w:t>ذ</w:t>
      </w:r>
      <w:r>
        <w:rPr>
          <w:rFonts w:hint="cs"/>
          <w:rtl/>
        </w:rPr>
        <w:t xml:space="preserve">) </w:t>
      </w:r>
      <w:r w:rsidR="009C32A0">
        <w:rPr>
          <w:rFonts w:hint="cs"/>
          <w:rtl/>
        </w:rPr>
        <w:t>شنّ حملته الشعواء على علماء أهل السنّة والجماعة المتخصصين في العقيدة جميعا</w:t>
      </w:r>
      <w:r>
        <w:rPr>
          <w:rFonts w:hint="cs"/>
          <w:rtl/>
        </w:rPr>
        <w:t>،</w:t>
      </w:r>
      <w:r w:rsidR="009C32A0">
        <w:rPr>
          <w:rFonts w:hint="cs"/>
          <w:rtl/>
        </w:rPr>
        <w:t xml:space="preserve"> ودمّر تخصصاتهم</w:t>
      </w:r>
      <w:r>
        <w:rPr>
          <w:rFonts w:hint="cs"/>
          <w:rtl/>
        </w:rPr>
        <w:t>،</w:t>
      </w:r>
      <w:r w:rsidR="009C32A0">
        <w:rPr>
          <w:rFonts w:hint="cs"/>
          <w:rtl/>
        </w:rPr>
        <w:t xml:space="preserve"> فوصف الأثرية أتباع الإمام أحمد رحمه الله الحقيقيون بأنهم شر فرق الإسلام لأنّهم مفوضة</w:t>
      </w:r>
      <w:r>
        <w:rPr>
          <w:rFonts w:hint="cs"/>
          <w:rtl/>
        </w:rPr>
        <w:t>،</w:t>
      </w:r>
      <w:r w:rsidR="009C32A0">
        <w:rPr>
          <w:rFonts w:hint="cs"/>
          <w:rtl/>
        </w:rPr>
        <w:t xml:space="preserve"> ونسب أعلام الأشاعرة والماتريدية إلى البدعة في العقيدة وإلى التوبة المزعومة عند الموت</w:t>
      </w:r>
      <w:r>
        <w:rPr>
          <w:rFonts w:hint="cs"/>
          <w:rtl/>
        </w:rPr>
        <w:t>،</w:t>
      </w:r>
      <w:r w:rsidR="009C32A0">
        <w:rPr>
          <w:rFonts w:hint="cs"/>
          <w:rtl/>
        </w:rPr>
        <w:t xml:space="preserve"> وهي توبة مكذوبة موهومة إذ كيف يتوبوا مما يعد أفضل حسناتهم في الرد على المجسمة والمشبهة والحشوية والمعتزلة وسائر الفرق الضالة</w:t>
      </w:r>
      <w:r>
        <w:rPr>
          <w:rFonts w:hint="cs"/>
          <w:rtl/>
        </w:rPr>
        <w:t xml:space="preserve">، </w:t>
      </w:r>
      <w:r w:rsidR="009C32A0">
        <w:rPr>
          <w:rFonts w:hint="cs"/>
          <w:rtl/>
        </w:rPr>
        <w:t>ونقل أقوال الحشوية فيهم بأنّهم الجهمية الإناث وأنّهم مخانيث المعتزلة</w:t>
      </w:r>
      <w:r>
        <w:rPr>
          <w:rFonts w:hint="cs"/>
          <w:rtl/>
        </w:rPr>
        <w:t>،</w:t>
      </w:r>
      <w:r w:rsidR="009C32A0">
        <w:rPr>
          <w:rFonts w:hint="cs"/>
          <w:rtl/>
        </w:rPr>
        <w:t xml:space="preserve"> مع أنهم حصون الإسلام في علم العقيدة</w:t>
      </w:r>
      <w:r>
        <w:rPr>
          <w:rFonts w:hint="cs"/>
          <w:rtl/>
        </w:rPr>
        <w:t>،</w:t>
      </w:r>
      <w:r w:rsidR="009C32A0">
        <w:rPr>
          <w:rFonts w:hint="cs"/>
          <w:rtl/>
        </w:rPr>
        <w:t xml:space="preserve"> </w:t>
      </w:r>
      <w:r>
        <w:rPr>
          <w:rFonts w:hint="cs"/>
          <w:rtl/>
        </w:rPr>
        <w:t>(</w:t>
      </w:r>
      <w:r w:rsidR="009C32A0">
        <w:rPr>
          <w:rFonts w:hint="cs"/>
          <w:rtl/>
        </w:rPr>
        <w:t>ر</w:t>
      </w:r>
      <w:r>
        <w:rPr>
          <w:rFonts w:hint="cs"/>
          <w:rtl/>
        </w:rPr>
        <w:t xml:space="preserve">) </w:t>
      </w:r>
      <w:r w:rsidR="009C32A0">
        <w:rPr>
          <w:rFonts w:hint="cs"/>
          <w:rtl/>
        </w:rPr>
        <w:t>لم يضبط مسائل الإيمان والكفر على طريقة الفقهاء ولا على طريقة أهل الأصول</w:t>
      </w:r>
      <w:r>
        <w:rPr>
          <w:rFonts w:hint="cs"/>
          <w:rtl/>
        </w:rPr>
        <w:t>،</w:t>
      </w:r>
      <w:r w:rsidR="009C32A0">
        <w:rPr>
          <w:rFonts w:hint="cs"/>
          <w:rtl/>
        </w:rPr>
        <w:t xml:space="preserve"> وكتب فيه على طريقة الحشوية دون ضبط لأصل الإيمان وأهم عناصره</w:t>
      </w:r>
      <w:r>
        <w:rPr>
          <w:rFonts w:hint="cs"/>
          <w:rtl/>
        </w:rPr>
        <w:t>،</w:t>
      </w:r>
      <w:r w:rsidR="009C32A0">
        <w:rPr>
          <w:rFonts w:hint="cs"/>
          <w:rtl/>
        </w:rPr>
        <w:t xml:space="preserve"> ودون تفريق واضح للأصل عن الواجب</w:t>
      </w:r>
      <w:r>
        <w:rPr>
          <w:rFonts w:hint="cs"/>
          <w:rtl/>
        </w:rPr>
        <w:t>،</w:t>
      </w:r>
      <w:r w:rsidR="009C32A0">
        <w:rPr>
          <w:rFonts w:hint="cs"/>
          <w:rtl/>
        </w:rPr>
        <w:t xml:space="preserve"> وأدخل عمل الجارحة في أصل الإيمان </w:t>
      </w:r>
      <w:r w:rsidR="009C32A0">
        <w:rPr>
          <w:rFonts w:hint="cs"/>
          <w:rtl/>
        </w:rPr>
        <w:lastRenderedPageBreak/>
        <w:t>فاقترب من مذهب المعتزلة</w:t>
      </w:r>
      <w:r>
        <w:rPr>
          <w:rFonts w:hint="cs"/>
          <w:rtl/>
        </w:rPr>
        <w:t>،</w:t>
      </w:r>
      <w:r w:rsidR="009C32A0">
        <w:rPr>
          <w:rFonts w:hint="cs"/>
          <w:rtl/>
        </w:rPr>
        <w:t xml:space="preserve"> وسبب لدى تلامذته غلواً في التكفير</w:t>
      </w:r>
      <w:r>
        <w:rPr>
          <w:rFonts w:hint="cs"/>
          <w:rtl/>
        </w:rPr>
        <w:t>،</w:t>
      </w:r>
      <w:r w:rsidR="009C32A0">
        <w:rPr>
          <w:rFonts w:hint="cs"/>
          <w:rtl/>
        </w:rPr>
        <w:t xml:space="preserve"> </w:t>
      </w:r>
      <w:r>
        <w:rPr>
          <w:rFonts w:hint="cs"/>
          <w:rtl/>
        </w:rPr>
        <w:t>(</w:t>
      </w:r>
      <w:r w:rsidR="009C32A0">
        <w:rPr>
          <w:rFonts w:hint="cs"/>
          <w:rtl/>
        </w:rPr>
        <w:t>ز</w:t>
      </w:r>
      <w:r>
        <w:rPr>
          <w:rFonts w:hint="cs"/>
          <w:rtl/>
        </w:rPr>
        <w:t xml:space="preserve">) </w:t>
      </w:r>
      <w:r w:rsidR="009C32A0">
        <w:rPr>
          <w:rFonts w:hint="cs"/>
          <w:rtl/>
        </w:rPr>
        <w:t>لم يضبط مسائل التوحيد والشرك على طريقة الفقهاء ولا على طريقة أهل الأصول وسبب لدى تلامذته غلواً في اتهام المسلمين بالشرك</w:t>
      </w:r>
      <w:r>
        <w:rPr>
          <w:rFonts w:hint="cs"/>
          <w:rtl/>
        </w:rPr>
        <w:t>،</w:t>
      </w:r>
      <w:r w:rsidR="009C32A0">
        <w:rPr>
          <w:rFonts w:hint="cs"/>
          <w:rtl/>
        </w:rPr>
        <w:t xml:space="preserve"> </w:t>
      </w:r>
      <w:r>
        <w:rPr>
          <w:rFonts w:hint="cs"/>
          <w:rtl/>
        </w:rPr>
        <w:t>(</w:t>
      </w:r>
      <w:r w:rsidR="009C32A0">
        <w:rPr>
          <w:rFonts w:hint="cs"/>
          <w:rtl/>
        </w:rPr>
        <w:t>س</w:t>
      </w:r>
      <w:r>
        <w:rPr>
          <w:rFonts w:hint="cs"/>
          <w:rtl/>
        </w:rPr>
        <w:t xml:space="preserve">) </w:t>
      </w:r>
      <w:r w:rsidR="009C32A0">
        <w:rPr>
          <w:rFonts w:hint="cs"/>
          <w:rtl/>
        </w:rPr>
        <w:t>لم يضبط مسائل البدعة والسنّة على طريقة الفقهاء ولا على طريقة أهل الأصول وسبب لدى تلامذته غلواً في التبديع</w:t>
      </w:r>
      <w:r>
        <w:rPr>
          <w:rFonts w:hint="cs"/>
          <w:rtl/>
        </w:rPr>
        <w:t>،</w:t>
      </w:r>
      <w:r w:rsidR="009C32A0">
        <w:rPr>
          <w:rFonts w:hint="cs"/>
          <w:rtl/>
        </w:rPr>
        <w:t xml:space="preserve"> </w:t>
      </w:r>
      <w:r>
        <w:rPr>
          <w:rFonts w:hint="cs"/>
          <w:rtl/>
          <w:lang w:bidi="ar-KW"/>
        </w:rPr>
        <w:t>(</w:t>
      </w:r>
      <w:r w:rsidR="009C32A0">
        <w:rPr>
          <w:rFonts w:hint="cs"/>
          <w:rtl/>
          <w:lang w:bidi="ar-KW"/>
        </w:rPr>
        <w:t>ش</w:t>
      </w:r>
      <w:r>
        <w:rPr>
          <w:rFonts w:hint="cs"/>
          <w:rtl/>
          <w:lang w:bidi="ar-KW"/>
        </w:rPr>
        <w:t xml:space="preserve">) </w:t>
      </w:r>
      <w:r w:rsidR="009C32A0">
        <w:rPr>
          <w:rFonts w:hint="cs"/>
          <w:rtl/>
          <w:lang w:bidi="ar-KW"/>
        </w:rPr>
        <w:t>انفرد عن جمهور علماء أهل السنّة والجماعة بأقوال شاذة وأطال في تقريرها مع أنّها مهما أطال في الكلام عنها لا يمكن أن تكون صحيحة</w:t>
      </w:r>
      <w:r>
        <w:rPr>
          <w:rFonts w:hint="cs"/>
          <w:rtl/>
          <w:lang w:bidi="ar-KW"/>
        </w:rPr>
        <w:t>،</w:t>
      </w:r>
      <w:r w:rsidR="009C32A0">
        <w:rPr>
          <w:rFonts w:hint="cs"/>
          <w:rtl/>
          <w:lang w:bidi="ar-KW"/>
        </w:rPr>
        <w:t xml:space="preserve"> ومن ذلك</w:t>
      </w:r>
      <w:r>
        <w:rPr>
          <w:rFonts w:hint="cs"/>
          <w:rtl/>
          <w:lang w:bidi="ar-KW"/>
        </w:rPr>
        <w:t xml:space="preserve">: </w:t>
      </w:r>
      <w:r w:rsidR="009C32A0">
        <w:rPr>
          <w:rFonts w:hint="cs"/>
          <w:rtl/>
          <w:lang w:bidi="ar-KW"/>
        </w:rPr>
        <w:t xml:space="preserve">إنكاره المجاز في القرآن واللغة مع أنّه معلوم </w:t>
      </w:r>
      <w:r w:rsidR="009C32A0">
        <w:rPr>
          <w:rFonts w:hint="cs"/>
          <w:rtl/>
        </w:rPr>
        <w:t>من اللغة بالضرورة</w:t>
      </w:r>
      <w:r>
        <w:rPr>
          <w:rFonts w:hint="cs"/>
          <w:rtl/>
        </w:rPr>
        <w:t>،</w:t>
      </w:r>
      <w:r w:rsidR="009C32A0">
        <w:rPr>
          <w:rFonts w:hint="cs"/>
          <w:rtl/>
        </w:rPr>
        <w:t xml:space="preserve"> ولا يمن انكاره لا من اللغة ولا من القرآن بحال من الأحوال</w:t>
      </w:r>
      <w:r>
        <w:rPr>
          <w:rFonts w:hint="cs"/>
          <w:rtl/>
        </w:rPr>
        <w:t>،</w:t>
      </w:r>
      <w:r w:rsidR="009C32A0">
        <w:rPr>
          <w:rFonts w:hint="cs"/>
          <w:rtl/>
        </w:rPr>
        <w:t xml:space="preserve"> فالمجاز هو ذروة البلاغة والفصاحة وهو سنام اللغة والبيان بما فيه من الاستعارة والكناية والخيال</w:t>
      </w:r>
      <w:r>
        <w:rPr>
          <w:rFonts w:hint="cs"/>
          <w:rtl/>
        </w:rPr>
        <w:t>،</w:t>
      </w:r>
      <w:r w:rsidR="009C32A0">
        <w:rPr>
          <w:rFonts w:hint="cs"/>
          <w:rtl/>
        </w:rPr>
        <w:t xml:space="preserve"> ولما كانت البلاغة هي ذروة البيان العربي</w:t>
      </w:r>
      <w:r>
        <w:rPr>
          <w:rFonts w:hint="cs"/>
          <w:rtl/>
        </w:rPr>
        <w:t>،</w:t>
      </w:r>
      <w:r w:rsidR="009C32A0">
        <w:rPr>
          <w:rFonts w:hint="cs"/>
          <w:rtl/>
        </w:rPr>
        <w:t xml:space="preserve"> فلا غرابة في أن يكون القرآن الكريم هو مصدر البلاغة التي تحدى الله تعالى بها بلغاء العرب وفصحائهم</w:t>
      </w:r>
      <w:r>
        <w:rPr>
          <w:rFonts w:hint="cs"/>
          <w:rtl/>
        </w:rPr>
        <w:t>،</w:t>
      </w:r>
      <w:r w:rsidR="009C32A0">
        <w:rPr>
          <w:rFonts w:hint="cs"/>
          <w:rtl/>
        </w:rPr>
        <w:t xml:space="preserve"> والقرآن الكريم لا تكاد تخلو منه سورة من المجاز</w:t>
      </w:r>
      <w:r>
        <w:rPr>
          <w:rFonts w:hint="cs"/>
          <w:rtl/>
        </w:rPr>
        <w:t>،</w:t>
      </w:r>
      <w:r w:rsidR="009C32A0">
        <w:rPr>
          <w:rFonts w:hint="cs"/>
          <w:rtl/>
        </w:rPr>
        <w:t xml:space="preserve"> وهذا ما دعا عبد القاهر أن يقول</w:t>
      </w:r>
      <w:r>
        <w:rPr>
          <w:rFonts w:hint="cs"/>
          <w:rtl/>
        </w:rPr>
        <w:t>: (</w:t>
      </w:r>
      <w:r w:rsidR="009C32A0">
        <w:rPr>
          <w:rFonts w:hint="cs"/>
          <w:rtl/>
        </w:rPr>
        <w:t>ومن قدح في المجاز</w:t>
      </w:r>
      <w:r>
        <w:rPr>
          <w:rFonts w:hint="cs"/>
          <w:rtl/>
        </w:rPr>
        <w:t>،</w:t>
      </w:r>
      <w:r w:rsidR="009C32A0">
        <w:rPr>
          <w:rFonts w:hint="cs"/>
          <w:rtl/>
        </w:rPr>
        <w:t xml:space="preserve"> وهم أن يصفه بغير الصدق</w:t>
      </w:r>
      <w:r>
        <w:rPr>
          <w:rFonts w:hint="cs"/>
          <w:rtl/>
        </w:rPr>
        <w:t>،</w:t>
      </w:r>
      <w:r w:rsidR="009C32A0">
        <w:rPr>
          <w:rFonts w:hint="cs"/>
          <w:rtl/>
        </w:rPr>
        <w:t xml:space="preserve"> فقد خبط خبطا عظيما</w:t>
      </w:r>
      <w:r>
        <w:rPr>
          <w:rFonts w:hint="cs"/>
          <w:rtl/>
        </w:rPr>
        <w:t xml:space="preserve">) </w:t>
      </w:r>
      <w:r w:rsidR="009C32A0">
        <w:rPr>
          <w:rFonts w:hint="cs"/>
          <w:rtl/>
        </w:rPr>
        <w:t>أهـ</w:t>
      </w:r>
      <w:r>
        <w:rPr>
          <w:rFonts w:hint="cs"/>
          <w:rtl/>
        </w:rPr>
        <w:t xml:space="preserve"> [</w:t>
      </w:r>
      <w:r w:rsidR="009C32A0">
        <w:rPr>
          <w:rFonts w:hint="cs"/>
          <w:rtl/>
        </w:rPr>
        <w:t>أسرار البلاغة</w:t>
      </w:r>
      <w:r>
        <w:rPr>
          <w:rFonts w:hint="cs"/>
          <w:rtl/>
        </w:rPr>
        <w:t xml:space="preserve">: </w:t>
      </w:r>
      <w:r w:rsidR="009C32A0">
        <w:rPr>
          <w:rFonts w:hint="cs"/>
          <w:rtl/>
        </w:rPr>
        <w:t>صـ ٣٦١</w:t>
      </w:r>
      <w:r>
        <w:rPr>
          <w:rFonts w:hint="cs"/>
          <w:rtl/>
        </w:rPr>
        <w:t>]،</w:t>
      </w:r>
      <w:r w:rsidR="009C32A0">
        <w:rPr>
          <w:rFonts w:hint="cs"/>
          <w:rtl/>
        </w:rPr>
        <w:t xml:space="preserve"> وقال الزركشي</w:t>
      </w:r>
      <w:r>
        <w:rPr>
          <w:rFonts w:hint="cs"/>
          <w:rtl/>
        </w:rPr>
        <w:t>: (</w:t>
      </w:r>
      <w:r w:rsidR="009C32A0">
        <w:rPr>
          <w:rFonts w:hint="cs"/>
          <w:rtl/>
        </w:rPr>
        <w:t>ولو وجب خلو القرآن من المجاز لوجب خلوه من التوكيد والحذف وتثنية القصص وغيره</w:t>
      </w:r>
      <w:r>
        <w:rPr>
          <w:rFonts w:hint="cs"/>
          <w:rtl/>
        </w:rPr>
        <w:t>،</w:t>
      </w:r>
      <w:r w:rsidR="009C32A0">
        <w:rPr>
          <w:rFonts w:hint="cs"/>
          <w:rtl/>
        </w:rPr>
        <w:t xml:space="preserve"> ولو سقط المجاز من القرآن سقط شطر الحسن</w:t>
      </w:r>
      <w:r>
        <w:rPr>
          <w:rFonts w:hint="cs"/>
          <w:rtl/>
        </w:rPr>
        <w:t>) [</w:t>
      </w:r>
      <w:r w:rsidR="009C32A0">
        <w:rPr>
          <w:rFonts w:hint="cs"/>
          <w:rtl/>
        </w:rPr>
        <w:t>البرهان في علوم القرآن</w:t>
      </w:r>
      <w:r>
        <w:rPr>
          <w:rFonts w:hint="cs"/>
          <w:rtl/>
        </w:rPr>
        <w:t xml:space="preserve">: </w:t>
      </w:r>
      <w:r w:rsidR="009C32A0">
        <w:rPr>
          <w:rFonts w:hint="cs"/>
          <w:rtl/>
        </w:rPr>
        <w:t>٢/٢٥٥</w:t>
      </w:r>
      <w:r>
        <w:rPr>
          <w:rFonts w:hint="cs"/>
          <w:rtl/>
        </w:rPr>
        <w:t>]،</w:t>
      </w:r>
      <w:r w:rsidR="009C32A0">
        <w:rPr>
          <w:rFonts w:hint="cs"/>
          <w:rtl/>
        </w:rPr>
        <w:t xml:space="preserve"> وقال السيوطي</w:t>
      </w:r>
      <w:r>
        <w:rPr>
          <w:rFonts w:hint="cs"/>
          <w:rtl/>
        </w:rPr>
        <w:t>: (</w:t>
      </w:r>
      <w:r w:rsidR="009C32A0">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 xml:space="preserve">) </w:t>
      </w:r>
      <w:r w:rsidR="009C32A0">
        <w:rPr>
          <w:rFonts w:hint="cs"/>
          <w:rtl/>
        </w:rPr>
        <w:t>أهـ</w:t>
      </w:r>
      <w:r>
        <w:rPr>
          <w:rFonts w:hint="cs"/>
          <w:rtl/>
        </w:rPr>
        <w:t xml:space="preserve"> [</w:t>
      </w:r>
      <w:r w:rsidR="009C32A0">
        <w:rPr>
          <w:rFonts w:hint="cs"/>
          <w:rtl/>
        </w:rPr>
        <w:t>الإتقان ج</w:t>
      </w:r>
      <w:r>
        <w:rPr>
          <w:rFonts w:hint="cs"/>
          <w:rtl/>
        </w:rPr>
        <w:t xml:space="preserve">: </w:t>
      </w:r>
      <w:r w:rsidR="009C32A0">
        <w:rPr>
          <w:rFonts w:hint="cs"/>
          <w:rtl/>
        </w:rPr>
        <w:t>2 ص</w:t>
      </w:r>
      <w:r>
        <w:rPr>
          <w:rFonts w:hint="cs"/>
          <w:rtl/>
        </w:rPr>
        <w:t xml:space="preserve">: </w:t>
      </w:r>
      <w:r w:rsidR="009C32A0">
        <w:rPr>
          <w:rFonts w:hint="cs"/>
          <w:rtl/>
        </w:rPr>
        <w:t>97</w:t>
      </w:r>
      <w:r>
        <w:rPr>
          <w:rFonts w:hint="cs"/>
          <w:rtl/>
        </w:rPr>
        <w:t>]،</w:t>
      </w:r>
      <w:r w:rsidR="009C32A0">
        <w:rPr>
          <w:rFonts w:hint="cs"/>
          <w:rtl/>
        </w:rPr>
        <w:t xml:space="preserve"> وقال أبو حيان في تفسيره البحر المحيط</w:t>
      </w:r>
      <w:r>
        <w:rPr>
          <w:rFonts w:hint="cs"/>
          <w:rtl/>
        </w:rPr>
        <w:t>: (</w:t>
      </w:r>
      <w:r w:rsidR="009C32A0">
        <w:rPr>
          <w:rFonts w:hint="cs"/>
          <w:rtl/>
        </w:rPr>
        <w:t>والمجاز في كلام العرب أكثر من رمل يبرين ونهر فلسطين</w:t>
      </w:r>
      <w:r>
        <w:rPr>
          <w:rFonts w:hint="cs"/>
          <w:rtl/>
        </w:rPr>
        <w:t xml:space="preserve">) </w:t>
      </w:r>
      <w:r w:rsidR="009C32A0">
        <w:rPr>
          <w:rFonts w:hint="cs"/>
          <w:rtl/>
        </w:rPr>
        <w:t>أهـ</w:t>
      </w:r>
      <w:r>
        <w:rPr>
          <w:rFonts w:hint="cs"/>
          <w:rtl/>
        </w:rPr>
        <w:t xml:space="preserve"> [</w:t>
      </w:r>
      <w:r w:rsidR="009C32A0">
        <w:rPr>
          <w:rFonts w:hint="cs"/>
          <w:rtl/>
        </w:rPr>
        <w:t>تفسير البحر المحيط</w:t>
      </w:r>
      <w:r>
        <w:rPr>
          <w:rFonts w:hint="cs"/>
          <w:rtl/>
        </w:rPr>
        <w:t>،</w:t>
      </w:r>
      <w:r w:rsidR="009C32A0">
        <w:rPr>
          <w:rFonts w:hint="cs"/>
          <w:rtl/>
        </w:rPr>
        <w:t xml:space="preserve"> سورة البقرة</w:t>
      </w:r>
      <w:r>
        <w:rPr>
          <w:rFonts w:hint="cs"/>
          <w:rtl/>
        </w:rPr>
        <w:t>،</w:t>
      </w:r>
      <w:r w:rsidR="009C32A0">
        <w:rPr>
          <w:rFonts w:hint="cs"/>
          <w:rtl/>
        </w:rPr>
        <w:t xml:space="preserve"> آية 115</w:t>
      </w:r>
      <w:r>
        <w:rPr>
          <w:rFonts w:hint="cs"/>
          <w:rtl/>
        </w:rPr>
        <w:t>]،</w:t>
      </w:r>
      <w:r w:rsidR="009C32A0">
        <w:rPr>
          <w:rFonts w:hint="cs"/>
          <w:rtl/>
        </w:rPr>
        <w:t xml:space="preserve"> وقال الشوكاني</w:t>
      </w:r>
      <w:r>
        <w:rPr>
          <w:rFonts w:hint="cs"/>
          <w:rtl/>
        </w:rPr>
        <w:t>: (</w:t>
      </w:r>
      <w:r w:rsidR="009C32A0">
        <w:rPr>
          <w:rFonts w:hint="cs"/>
          <w:rtl/>
        </w:rPr>
        <w:t>المجاز واقع في لغة العرب عند جمهور أهل العلم وخالف في ذلك أبو إسحاق الإسفرائيني</w:t>
      </w:r>
      <w:r>
        <w:rPr>
          <w:rFonts w:hint="cs"/>
          <w:rtl/>
        </w:rPr>
        <w:t>،</w:t>
      </w:r>
      <w:r w:rsidR="009C32A0">
        <w:rPr>
          <w:rFonts w:hint="cs"/>
          <w:rtl/>
          <w:lang w:bidi="ar-KW"/>
        </w:rPr>
        <w:t xml:space="preserve"> </w:t>
      </w:r>
      <w:r w:rsidR="009C32A0">
        <w:rPr>
          <w:rFonts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تخفي على من له أدنى معرفة بها وقد استدل بما هو أوهن من بيت العنكبوت ..</w:t>
      </w:r>
      <w:r>
        <w:rPr>
          <w:rFonts w:hint="cs"/>
          <w:rtl/>
        </w:rPr>
        <w:t xml:space="preserve">، </w:t>
      </w:r>
      <w:r w:rsidR="009C32A0">
        <w:rPr>
          <w:rFonts w:hint="cs"/>
          <w:rtl/>
        </w:rPr>
        <w:t xml:space="preserve">وكما أن المجاز واقع في لغة العرب فهو أيضا واقع في الكتاب العزيز عند الجماهير وقوعا كثيرا بحيث لا يخفي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w:t>
      </w:r>
      <w:r w:rsidR="009C32A0">
        <w:rPr>
          <w:rFonts w:hint="cs"/>
          <w:rtl/>
        </w:rPr>
        <w:lastRenderedPageBreak/>
        <w:t>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hint="cs"/>
          <w:rtl/>
        </w:rPr>
        <w:t>) [</w:t>
      </w:r>
      <w:r w:rsidR="009C32A0">
        <w:rPr>
          <w:rFonts w:hint="cs"/>
          <w:rtl/>
        </w:rPr>
        <w:t>إرشاد الفحول</w:t>
      </w:r>
      <w:r>
        <w:rPr>
          <w:rFonts w:hint="cs"/>
          <w:rtl/>
        </w:rPr>
        <w:t xml:space="preserve">: </w:t>
      </w:r>
      <w:r w:rsidR="009C32A0">
        <w:rPr>
          <w:rFonts w:hint="cs"/>
          <w:rtl/>
        </w:rPr>
        <w:t>5</w:t>
      </w:r>
      <w:r>
        <w:rPr>
          <w:rFonts w:hint="cs"/>
          <w:rtl/>
        </w:rPr>
        <w:t>،،</w:t>
      </w:r>
      <w:r w:rsidR="009C32A0">
        <w:rPr>
          <w:rFonts w:hint="cs"/>
          <w:rtl/>
        </w:rPr>
        <w:t xml:space="preserve"> 51</w:t>
      </w:r>
      <w:r>
        <w:rPr>
          <w:rFonts w:hint="cs"/>
          <w:rtl/>
        </w:rPr>
        <w:t>]،،</w:t>
      </w:r>
      <w:r w:rsidR="009C32A0">
        <w:rPr>
          <w:rFonts w:hint="cs"/>
          <w:rtl/>
          <w:lang w:bidi="ar-KW"/>
        </w:rPr>
        <w:t xml:space="preserve"> و</w:t>
      </w:r>
      <w:r w:rsidR="009C32A0">
        <w:rPr>
          <w:rFonts w:hint="cs"/>
          <w:rtl/>
        </w:rPr>
        <w:t>مخالفته لجمهور الأصوليين والفقهاء في زعمه بأنّ خبر الآحاد يفيد اليقين</w:t>
      </w:r>
      <w:r>
        <w:rPr>
          <w:rFonts w:hint="cs"/>
          <w:rtl/>
        </w:rPr>
        <w:t>،</w:t>
      </w:r>
      <w:r w:rsidR="009C32A0">
        <w:rPr>
          <w:rFonts w:hint="cs"/>
          <w:rtl/>
        </w:rPr>
        <w:t xml:space="preserve"> وليس يفيده بحال</w:t>
      </w:r>
      <w:r>
        <w:rPr>
          <w:rFonts w:hint="cs"/>
          <w:rtl/>
        </w:rPr>
        <w:t>،</w:t>
      </w:r>
      <w:r w:rsidR="009C32A0">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Pr>
          <w:rFonts w:hint="cs"/>
          <w:rtl/>
        </w:rPr>
        <w:t>،</w:t>
      </w:r>
      <w:r w:rsidR="009C32A0">
        <w:rPr>
          <w:rFonts w:hint="cs"/>
          <w:rtl/>
        </w:rPr>
        <w:t xml:space="preserve"> ومع هذا الاحتمال</w:t>
      </w:r>
      <w:r>
        <w:rPr>
          <w:rFonts w:hint="cs"/>
          <w:rtl/>
        </w:rPr>
        <w:t>،</w:t>
      </w:r>
      <w:r w:rsidR="009C32A0">
        <w:rPr>
          <w:rFonts w:hint="cs"/>
          <w:rtl/>
        </w:rPr>
        <w:t xml:space="preserve"> فلا يبلغ بحال ما يفيد المتواتر من مرتبة اليقين</w:t>
      </w:r>
      <w:r>
        <w:rPr>
          <w:rFonts w:hint="cs"/>
          <w:rtl/>
        </w:rPr>
        <w:t>،</w:t>
      </w:r>
      <w:r w:rsidR="009C32A0">
        <w:rPr>
          <w:rFonts w:hint="cs"/>
          <w:rtl/>
        </w:rPr>
        <w:t xml:space="preserve"> لاشك أنّه يوجب العمل</w:t>
      </w:r>
      <w:r>
        <w:rPr>
          <w:rFonts w:hint="cs"/>
          <w:rtl/>
        </w:rPr>
        <w:t>،</w:t>
      </w:r>
      <w:r w:rsidR="009C32A0">
        <w:rPr>
          <w:rFonts w:hint="cs"/>
          <w:rtl/>
        </w:rPr>
        <w:t xml:space="preserve"> ولكنّه لا يفيد اليقين ما كان في مرتبة الآحاد</w:t>
      </w:r>
      <w:r>
        <w:rPr>
          <w:rFonts w:hint="cs"/>
          <w:rtl/>
        </w:rPr>
        <w:t>،</w:t>
      </w:r>
      <w:r w:rsidR="009C32A0">
        <w:rPr>
          <w:rFonts w:hint="cs"/>
          <w:rtl/>
        </w:rPr>
        <w:t xml:space="preserve"> وفي مجال الفقه</w:t>
      </w:r>
      <w:r>
        <w:rPr>
          <w:rFonts w:hint="cs"/>
          <w:rtl/>
        </w:rPr>
        <w:t xml:space="preserve">: </w:t>
      </w:r>
      <w:r w:rsidR="009C32A0">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Pr>
          <w:rFonts w:hint="cs"/>
          <w:rtl/>
        </w:rPr>
        <w:t>،</w:t>
      </w:r>
      <w:r w:rsidR="009C32A0">
        <w:rPr>
          <w:rFonts w:hint="cs"/>
          <w:rtl/>
        </w:rPr>
        <w:t xml:space="preserve"> وخالف الأئمة المجتهدين في مسائل عديدة</w:t>
      </w:r>
      <w:r>
        <w:rPr>
          <w:rFonts w:hint="cs"/>
          <w:rtl/>
        </w:rPr>
        <w:t>،</w:t>
      </w:r>
      <w:r w:rsidR="009C32A0">
        <w:rPr>
          <w:rFonts w:hint="cs"/>
          <w:rtl/>
        </w:rPr>
        <w:t xml:space="preserve"> وأكثر المسائل التي خالفهم فيها كان الصواب معهم باتفاق الفقهاء</w:t>
      </w:r>
      <w:r>
        <w:rPr>
          <w:rFonts w:hint="cs"/>
          <w:rtl/>
        </w:rPr>
        <w:t>،</w:t>
      </w:r>
      <w:r w:rsidR="009C32A0">
        <w:rPr>
          <w:rFonts w:hint="cs"/>
          <w:rtl/>
        </w:rPr>
        <w:t xml:space="preserve"> وكانت مخالفاته عبئا على المسلمين تزيد من فرقتهم بدلا من وفاقهم</w:t>
      </w:r>
      <w:r>
        <w:rPr>
          <w:rFonts w:hint="cs"/>
          <w:rtl/>
        </w:rPr>
        <w:t>،</w:t>
      </w:r>
      <w:r w:rsidR="009C32A0">
        <w:rPr>
          <w:rFonts w:hint="cs"/>
          <w:rtl/>
        </w:rPr>
        <w:t xml:space="preserve"> مع أن أئمة هذه المذاهب الفقهية المعتمدة بلغوا القمة العالية في الفقه والعلم والورع</w:t>
      </w:r>
      <w:r>
        <w:rPr>
          <w:rFonts w:hint="cs"/>
          <w:rtl/>
        </w:rPr>
        <w:t>،</w:t>
      </w:r>
      <w:r w:rsidR="009C32A0">
        <w:rPr>
          <w:rFonts w:hint="cs"/>
          <w:rtl/>
        </w:rPr>
        <w:t xml:space="preserve"> واتباع الكتاب والسنّة</w:t>
      </w:r>
      <w:r>
        <w:rPr>
          <w:rFonts w:hint="cs"/>
          <w:rtl/>
        </w:rPr>
        <w:t>،</w:t>
      </w:r>
      <w:r w:rsidR="009C32A0">
        <w:rPr>
          <w:rFonts w:hint="cs"/>
          <w:rtl/>
        </w:rPr>
        <w:t xml:space="preserve"> أضف إلى ذلك قيام أصحابهم على ضبط أقوالهم</w:t>
      </w:r>
      <w:r>
        <w:rPr>
          <w:rFonts w:hint="cs"/>
          <w:rtl/>
        </w:rPr>
        <w:t>،</w:t>
      </w:r>
      <w:r w:rsidR="009C32A0">
        <w:rPr>
          <w:rFonts w:hint="cs"/>
          <w:rtl/>
        </w:rPr>
        <w:t xml:space="preserve"> وكان من بركاتهم أن صقلت مدارسهم الفقهية - على مر عصور الإسلام -</w:t>
      </w:r>
      <w:r>
        <w:rPr>
          <w:rFonts w:hint="cs"/>
          <w:rtl/>
        </w:rPr>
        <w:t xml:space="preserve"> </w:t>
      </w:r>
      <w:r w:rsidR="009C32A0">
        <w:rPr>
          <w:rFonts w:hint="cs"/>
          <w:rtl/>
        </w:rPr>
        <w:t>كل ما يتعلق بالفقه ومسائله</w:t>
      </w:r>
      <w:r>
        <w:rPr>
          <w:rFonts w:hint="cs"/>
          <w:rtl/>
        </w:rPr>
        <w:t xml:space="preserve">، </w:t>
      </w:r>
      <w:r w:rsidR="009C32A0">
        <w:rPr>
          <w:rFonts w:hint="cs"/>
          <w:rtl/>
        </w:rPr>
        <w:t>وفي مجال التزكية والتصوف</w:t>
      </w:r>
      <w:r>
        <w:rPr>
          <w:rFonts w:hint="cs"/>
          <w:rtl/>
        </w:rPr>
        <w:t xml:space="preserve">: </w:t>
      </w:r>
      <w:r w:rsidR="009C32A0">
        <w:rPr>
          <w:rFonts w:hint="cs"/>
          <w:rtl/>
        </w:rPr>
        <w:t>أفنى قسطا كبيرا من عمره في شن الحروب على مدارس التصوف</w:t>
      </w:r>
      <w:r>
        <w:rPr>
          <w:rFonts w:hint="cs"/>
          <w:rtl/>
        </w:rPr>
        <w:t>،</w:t>
      </w:r>
      <w:r w:rsidR="009C32A0">
        <w:rPr>
          <w:rFonts w:hint="cs"/>
          <w:rtl/>
        </w:rPr>
        <w:t xml:space="preserve"> مع أنّ الاولى كان ترشيدها بالنصح والإرشاد واللين والرفق لا محاربتها</w:t>
      </w:r>
      <w:r>
        <w:rPr>
          <w:rFonts w:hint="cs"/>
          <w:rtl/>
        </w:rPr>
        <w:t>،</w:t>
      </w:r>
      <w:r w:rsidR="009C32A0">
        <w:rPr>
          <w:rFonts w:hint="cs"/>
          <w:rtl/>
        </w:rPr>
        <w:t xml:space="preserve"> وتجريح أكابرها</w:t>
      </w:r>
      <w:r>
        <w:rPr>
          <w:rFonts w:hint="cs"/>
          <w:rtl/>
        </w:rPr>
        <w:t xml:space="preserve">، </w:t>
      </w:r>
      <w:r w:rsidR="009C32A0">
        <w:rPr>
          <w:rFonts w:hint="cs"/>
          <w:rtl/>
        </w:rPr>
        <w:t>وفي مجال تعلق المسلمين بالرسول صلى الله عليه وسلم وآل بيت الرسول</w:t>
      </w:r>
      <w:r>
        <w:rPr>
          <w:rFonts w:hint="cs"/>
          <w:rtl/>
        </w:rPr>
        <w:t xml:space="preserve">: </w:t>
      </w:r>
      <w:r w:rsidR="009C32A0">
        <w:rPr>
          <w:rFonts w:hint="cs"/>
          <w:rtl/>
        </w:rPr>
        <w:t>أفتى بحرمة شد الرحال إلى زيارته صلى الله عليه وسلم</w:t>
      </w:r>
      <w:r>
        <w:rPr>
          <w:rFonts w:hint="cs"/>
          <w:rtl/>
        </w:rPr>
        <w:t>،</w:t>
      </w:r>
      <w:r w:rsidR="009C32A0">
        <w:rPr>
          <w:rFonts w:hint="cs"/>
          <w:rtl/>
        </w:rPr>
        <w:t xml:space="preserve"> مع أنّه لا علاقة لحديث شد الرحال بزيارة قبر الرسول صلى الله عليه وسلم</w:t>
      </w:r>
      <w:r>
        <w:rPr>
          <w:rFonts w:hint="cs"/>
          <w:rtl/>
        </w:rPr>
        <w:t>،</w:t>
      </w:r>
      <w:r w:rsidR="009C32A0">
        <w:rPr>
          <w:rFonts w:hint="cs"/>
          <w:rtl/>
        </w:rPr>
        <w:t xml:space="preserve"> وزيارة المقابر كلها مسنونة</w:t>
      </w:r>
      <w:r>
        <w:rPr>
          <w:rFonts w:hint="cs"/>
          <w:rtl/>
        </w:rPr>
        <w:t>،</w:t>
      </w:r>
      <w:r w:rsidR="009C32A0">
        <w:rPr>
          <w:rFonts w:hint="cs"/>
          <w:rtl/>
        </w:rPr>
        <w:t xml:space="preserve"> فكيف بالنبي صلى الله عليه وسلم</w:t>
      </w:r>
      <w:r>
        <w:rPr>
          <w:rFonts w:hint="cs"/>
          <w:rtl/>
        </w:rPr>
        <w:t>،</w:t>
      </w:r>
      <w:r w:rsidR="009C32A0">
        <w:rPr>
          <w:rFonts w:hint="cs"/>
          <w:rtl/>
        </w:rPr>
        <w:t xml:space="preserve"> أمّا حديث (</w:t>
      </w:r>
      <w:r>
        <w:rPr>
          <w:rFonts w:hint="cs"/>
          <w:rtl/>
        </w:rPr>
        <w:t>(</w:t>
      </w:r>
      <w:r w:rsidR="009C32A0">
        <w:rPr>
          <w:rFonts w:hint="cs"/>
          <w:rtl/>
        </w:rPr>
        <w:t>لا تشد الرحال إلا إلى ثلاث مساجد المسجد الحرام ومسجدي هذا والمسجدالأقصى</w:t>
      </w:r>
      <w:r>
        <w:rPr>
          <w:rFonts w:hint="cs"/>
          <w:rtl/>
          <w:lang w:bidi="ar-KW"/>
        </w:rPr>
        <w:t>)</w:t>
      </w:r>
      <w:r w:rsidR="009C32A0">
        <w:rPr>
          <w:rFonts w:hint="cs"/>
          <w:rtl/>
          <w:lang w:bidi="ar-KW"/>
        </w:rPr>
        <w:t>)</w:t>
      </w:r>
      <w:r>
        <w:rPr>
          <w:rFonts w:hint="cs"/>
          <w:rtl/>
          <w:lang w:bidi="ar-KW"/>
        </w:rPr>
        <w:t xml:space="preserve"> [</w:t>
      </w:r>
      <w:r w:rsidR="009C32A0">
        <w:rPr>
          <w:rFonts w:hint="cs"/>
          <w:rtl/>
          <w:lang w:bidi="ar-KW"/>
        </w:rPr>
        <w:t>متفق عليه</w:t>
      </w:r>
      <w:r>
        <w:rPr>
          <w:rFonts w:hint="cs"/>
          <w:rtl/>
          <w:lang w:bidi="ar-KW"/>
        </w:rPr>
        <w:t xml:space="preserve">] </w:t>
      </w:r>
      <w:r w:rsidR="009C32A0">
        <w:rPr>
          <w:rFonts w:hint="cs"/>
          <w:rtl/>
        </w:rPr>
        <w:t>فالمعنى المقصود منه فهو بتقدير محذوف معناه</w:t>
      </w:r>
      <w:r>
        <w:rPr>
          <w:rFonts w:hint="cs"/>
          <w:rtl/>
        </w:rPr>
        <w:t xml:space="preserve">: </w:t>
      </w:r>
      <w:r w:rsidR="009C32A0">
        <w:rPr>
          <w:rFonts w:hint="cs"/>
          <w:rtl/>
        </w:rPr>
        <w:t>لا تشد الرحال إلى مسجد للصلاة فيه بسبب فضلها فيه على غيره من المساجد إلاإلى ثلاثة مساجد فقد فضل الله تعالى الصلاة فيها على سائر المساجد</w:t>
      </w:r>
      <w:r>
        <w:rPr>
          <w:rFonts w:hint="cs"/>
          <w:rtl/>
        </w:rPr>
        <w:t>،</w:t>
      </w:r>
      <w:r w:rsidR="009C32A0">
        <w:rPr>
          <w:rFonts w:hint="cs"/>
          <w:rtl/>
        </w:rPr>
        <w:t xml:space="preserve"> وهي المذكورة في الحديث المسجد الحرام والمسجد النبوي الشريف والمسجدالأقصى</w:t>
      </w:r>
      <w:r>
        <w:rPr>
          <w:rFonts w:hint="cs"/>
          <w:rtl/>
        </w:rPr>
        <w:t>،</w:t>
      </w:r>
      <w:r w:rsidR="009C32A0">
        <w:rPr>
          <w:rFonts w:hint="cs"/>
          <w:rtl/>
          <w:lang w:bidi="ar-KW"/>
        </w:rPr>
        <w:t xml:space="preserve"> أما سوء الفهم في بيان المراد من الحديث هو ظن أن المراد من الحديث هو النهي عن زيارة قبر الرسول صلى الله عليه وسلم</w:t>
      </w:r>
      <w:r>
        <w:rPr>
          <w:rFonts w:hint="cs"/>
          <w:rtl/>
          <w:lang w:bidi="ar-KW"/>
        </w:rPr>
        <w:t>،</w:t>
      </w:r>
      <w:r w:rsidR="009C32A0">
        <w:rPr>
          <w:rFonts w:hint="cs"/>
          <w:rtl/>
          <w:lang w:bidi="ar-KW"/>
        </w:rPr>
        <w:t xml:space="preserve"> بحجة أنه شد للرحال لذلك</w:t>
      </w:r>
      <w:r>
        <w:rPr>
          <w:rFonts w:hint="cs"/>
          <w:rtl/>
          <w:lang w:bidi="ar-KW"/>
        </w:rPr>
        <w:t>،</w:t>
      </w:r>
      <w:r w:rsidR="009C32A0">
        <w:rPr>
          <w:rFonts w:hint="cs"/>
          <w:rtl/>
          <w:lang w:bidi="ar-KW"/>
        </w:rPr>
        <w:t xml:space="preserve"> ولا علاقة بين الحديث وبين زيارة القبر الشريف</w:t>
      </w:r>
      <w:r>
        <w:rPr>
          <w:rFonts w:hint="cs"/>
          <w:rtl/>
          <w:lang w:bidi="ar-KW"/>
        </w:rPr>
        <w:t>،</w:t>
      </w:r>
      <w:r w:rsidR="009C32A0">
        <w:rPr>
          <w:rFonts w:hint="cs"/>
          <w:rtl/>
          <w:lang w:bidi="ar-KW"/>
        </w:rPr>
        <w:t xml:space="preserve"> إذ النهي متعلق بالمساجد فقط</w:t>
      </w:r>
      <w:r>
        <w:rPr>
          <w:rFonts w:hint="cs"/>
          <w:rtl/>
          <w:lang w:bidi="ar-KW"/>
        </w:rPr>
        <w:t>،</w:t>
      </w:r>
      <w:r w:rsidR="009C32A0">
        <w:rPr>
          <w:rFonts w:hint="cs"/>
          <w:rtl/>
          <w:lang w:bidi="ar-KW"/>
        </w:rPr>
        <w:t xml:space="preserve"> ومتعلق بالصلاة فيها بسبب أفضلية الصلاة فيها</w:t>
      </w:r>
      <w:r>
        <w:rPr>
          <w:rFonts w:hint="cs"/>
          <w:rtl/>
          <w:lang w:bidi="ar-KW"/>
        </w:rPr>
        <w:t>،</w:t>
      </w:r>
      <w:r w:rsidR="009C32A0">
        <w:rPr>
          <w:rFonts w:hint="cs"/>
          <w:rtl/>
          <w:lang w:bidi="ar-KW"/>
        </w:rPr>
        <w:t xml:space="preserve"> وإلا فشد الرحال إلى مساجد يتواجد فيها علماء لأجل طلب العلم</w:t>
      </w:r>
      <w:r>
        <w:rPr>
          <w:rFonts w:hint="cs"/>
          <w:rtl/>
          <w:lang w:bidi="ar-KW"/>
        </w:rPr>
        <w:t>،</w:t>
      </w:r>
      <w:r w:rsidR="009C32A0">
        <w:rPr>
          <w:rFonts w:hint="cs"/>
          <w:rtl/>
          <w:lang w:bidi="ar-KW"/>
        </w:rPr>
        <w:t xml:space="preserve"> لا شيء فيها</w:t>
      </w:r>
      <w:r>
        <w:rPr>
          <w:rFonts w:hint="cs"/>
          <w:rtl/>
          <w:lang w:bidi="ar-KW"/>
        </w:rPr>
        <w:t>،</w:t>
      </w:r>
      <w:r w:rsidR="009C32A0">
        <w:rPr>
          <w:rFonts w:hint="cs"/>
          <w:rtl/>
          <w:lang w:bidi="ar-KW"/>
        </w:rPr>
        <w:t xml:space="preserve"> بل جميع اهل العلم </w:t>
      </w:r>
      <w:r w:rsidR="009C32A0">
        <w:rPr>
          <w:rFonts w:hint="cs"/>
          <w:rtl/>
          <w:lang w:bidi="ar-KW"/>
        </w:rPr>
        <w:lastRenderedPageBreak/>
        <w:t>على مر عصور الإسلام</w:t>
      </w:r>
      <w:r>
        <w:rPr>
          <w:rFonts w:hint="cs"/>
          <w:rtl/>
          <w:lang w:bidi="ar-KW"/>
        </w:rPr>
        <w:t>،</w:t>
      </w:r>
      <w:r w:rsidR="009C32A0">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Pr>
          <w:rFonts w:hint="cs"/>
          <w:rtl/>
          <w:lang w:bidi="ar-KW"/>
        </w:rPr>
        <w:t xml:space="preserve">، </w:t>
      </w:r>
      <w:r w:rsidR="009C32A0">
        <w:rPr>
          <w:rFonts w:hint="cs"/>
          <w:rtl/>
        </w:rPr>
        <w:t>كما أن شد الرحال للتجارة جائز</w:t>
      </w:r>
      <w:r>
        <w:rPr>
          <w:rFonts w:hint="cs"/>
          <w:rtl/>
        </w:rPr>
        <w:t>،</w:t>
      </w:r>
      <w:r w:rsidR="009C32A0">
        <w:rPr>
          <w:rFonts w:hint="cs"/>
          <w:rtl/>
        </w:rPr>
        <w:t xml:space="preserve"> وشد الرحال للسفر والاستمتاع جائز</w:t>
      </w:r>
      <w:r>
        <w:rPr>
          <w:rFonts w:hint="cs"/>
          <w:rtl/>
        </w:rPr>
        <w:t>،</w:t>
      </w:r>
      <w:r w:rsidR="009C32A0">
        <w:rPr>
          <w:rFonts w:hint="cs"/>
          <w:rtl/>
        </w:rPr>
        <w:t xml:space="preserve"> وشد الرحال لزيارة الإخوان في الله تعالى جائز</w:t>
      </w:r>
      <w:r>
        <w:rPr>
          <w:rFonts w:hint="cs"/>
          <w:rtl/>
        </w:rPr>
        <w:t>،</w:t>
      </w:r>
      <w:r w:rsidR="009C32A0">
        <w:rPr>
          <w:rFonts w:hint="cs"/>
          <w:rtl/>
        </w:rPr>
        <w:t xml:space="preserve"> فهل كل ذلك جائز</w:t>
      </w:r>
      <w:r>
        <w:rPr>
          <w:rFonts w:hint="cs"/>
          <w:rtl/>
        </w:rPr>
        <w:t>،</w:t>
      </w:r>
      <w:r w:rsidR="009C32A0">
        <w:rPr>
          <w:rFonts w:hint="cs"/>
          <w:rtl/>
        </w:rPr>
        <w:t xml:space="preserve"> وشد الرحال لزيارة الرسول صلى الله عليه وسلم غير جائز</w:t>
      </w:r>
      <w:r>
        <w:rPr>
          <w:rFonts w:hint="cs"/>
          <w:rtl/>
        </w:rPr>
        <w:t xml:space="preserve">، </w:t>
      </w:r>
      <w:r w:rsidR="009C32A0">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Pr>
          <w:rFonts w:hint="cs"/>
          <w:rtl/>
        </w:rPr>
        <w:t>،</w:t>
      </w:r>
      <w:r w:rsidR="009C32A0">
        <w:rPr>
          <w:rFonts w:hint="cs"/>
          <w:rtl/>
        </w:rPr>
        <w:t xml:space="preserve"> والجمهور على ندبها</w:t>
      </w:r>
      <w:r>
        <w:rPr>
          <w:rFonts w:hint="cs"/>
          <w:rtl/>
        </w:rPr>
        <w:t>،</w:t>
      </w:r>
      <w:r w:rsidR="009C32A0">
        <w:rPr>
          <w:rFonts w:hint="cs"/>
          <w:rtl/>
        </w:rPr>
        <w:t xml:space="preserve"> وقال بعض المالكية</w:t>
      </w:r>
      <w:r>
        <w:rPr>
          <w:rFonts w:hint="cs"/>
          <w:rtl/>
        </w:rPr>
        <w:t xml:space="preserve">: </w:t>
      </w:r>
      <w:r w:rsidR="009C32A0">
        <w:rPr>
          <w:rFonts w:hint="cs"/>
          <w:rtl/>
        </w:rPr>
        <w:t>إنها واجبة وقال أكثر الحنفية أنها قريبة من الواجب</w:t>
      </w:r>
      <w:r>
        <w:rPr>
          <w:rFonts w:hint="cs"/>
          <w:rtl/>
        </w:rPr>
        <w:t>،</w:t>
      </w:r>
      <w:r w:rsidR="009C32A0">
        <w:rPr>
          <w:rFonts w:hint="cs"/>
          <w:rtl/>
        </w:rPr>
        <w:t xml:space="preserve"> وقريب الواجب عندهم في حكم الواجب</w:t>
      </w:r>
      <w:r>
        <w:rPr>
          <w:rFonts w:hint="cs"/>
          <w:rtl/>
        </w:rPr>
        <w:t>،</w:t>
      </w:r>
      <w:r w:rsidR="009C32A0">
        <w:rPr>
          <w:rFonts w:hint="cs"/>
          <w:rtl/>
        </w:rPr>
        <w:t xml:space="preserve"> وأول من خرق الإجماع فيه وأتى بشيء لم يسبق إليه عالم قبله في هذه المسألة هو ابن تيمية</w:t>
      </w:r>
      <w:r>
        <w:rPr>
          <w:rFonts w:hint="cs"/>
          <w:rtl/>
        </w:rPr>
        <w:t>،</w:t>
      </w:r>
      <w:r w:rsidR="009C32A0">
        <w:rPr>
          <w:rFonts w:hint="cs"/>
          <w:rtl/>
        </w:rPr>
        <w:t xml:space="preserve"> وقد تقدم أنّ عمدة ابن تيمية على هذا المنع حديث</w:t>
      </w:r>
      <w:r>
        <w:rPr>
          <w:rFonts w:hint="cs"/>
          <w:rtl/>
        </w:rPr>
        <w:t>: (</w:t>
      </w:r>
      <w:r w:rsidR="009C32A0">
        <w:rPr>
          <w:rFonts w:hint="cs"/>
          <w:rtl/>
        </w:rPr>
        <w:t>لا تشدُّ الرحال إلا إلى ثلاثة مساجد</w:t>
      </w:r>
      <w:r>
        <w:rPr>
          <w:rFonts w:hint="cs"/>
          <w:rtl/>
        </w:rPr>
        <w:t>)،</w:t>
      </w:r>
      <w:r w:rsidR="009C32A0">
        <w:rPr>
          <w:rFonts w:hint="cs"/>
          <w:rtl/>
        </w:rPr>
        <w:t xml:space="preserve"> مع أنّه لا علاقة له أصلاً بزيارة القبر الشريف</w:t>
      </w:r>
      <w:r>
        <w:rPr>
          <w:rFonts w:hint="cs"/>
          <w:rtl/>
        </w:rPr>
        <w:t>،</w:t>
      </w:r>
      <w:r w:rsidR="009C32A0">
        <w:rPr>
          <w:rFonts w:hint="cs"/>
          <w:rtl/>
        </w:rPr>
        <w:t xml:space="preserve"> وفي مجال الموقف من آل البيت</w:t>
      </w:r>
      <w:r>
        <w:rPr>
          <w:rFonts w:hint="cs"/>
          <w:rtl/>
        </w:rPr>
        <w:t xml:space="preserve"> </w:t>
      </w:r>
      <w:r w:rsidR="009C32A0">
        <w:rPr>
          <w:rFonts w:hint="cs"/>
          <w:rtl/>
        </w:rPr>
        <w:t>رضوان الله تعالى عليهم</w:t>
      </w:r>
      <w:r>
        <w:rPr>
          <w:rFonts w:hint="cs"/>
          <w:rtl/>
        </w:rPr>
        <w:t>،</w:t>
      </w:r>
      <w:r w:rsidR="009C32A0">
        <w:rPr>
          <w:rFonts w:hint="cs"/>
          <w:rtl/>
        </w:rPr>
        <w:t xml:space="preserve"> أدى رده على الشيعة الضالة إلى الانحراف عن آل البيت</w:t>
      </w:r>
      <w:r>
        <w:rPr>
          <w:rFonts w:hint="cs"/>
          <w:rtl/>
        </w:rPr>
        <w:t>،</w:t>
      </w:r>
      <w:r w:rsidR="009C32A0">
        <w:rPr>
          <w:rFonts w:hint="cs"/>
          <w:rtl/>
        </w:rPr>
        <w:t xml:space="preserve"> فخانته ألفاظه عند الحديث عن أمير</w:t>
      </w:r>
      <w:r>
        <w:rPr>
          <w:rFonts w:hint="cs"/>
          <w:rtl/>
        </w:rPr>
        <w:t xml:space="preserve"> </w:t>
      </w:r>
      <w:r w:rsidR="009C32A0">
        <w:rPr>
          <w:rFonts w:hint="cs"/>
          <w:rtl/>
        </w:rPr>
        <w:t>المؤمنين خليفة المسلمين الرابع علي رضي الله عنه</w:t>
      </w:r>
      <w:r>
        <w:rPr>
          <w:rFonts w:hint="cs"/>
          <w:rtl/>
        </w:rPr>
        <w:t>،</w:t>
      </w:r>
      <w:r w:rsidR="009C32A0">
        <w:rPr>
          <w:rFonts w:hint="cs"/>
          <w:rtl/>
        </w:rPr>
        <w:t xml:space="preserve"> وضعّف في فضائله أحاديثاً ليست بضعيفة</w:t>
      </w:r>
      <w:r>
        <w:rPr>
          <w:rFonts w:hint="cs"/>
          <w:rtl/>
        </w:rPr>
        <w:t>،</w:t>
      </w:r>
      <w:r w:rsidR="009C32A0">
        <w:rPr>
          <w:rFonts w:hint="cs"/>
          <w:rtl/>
        </w:rPr>
        <w:t xml:space="preserve"> وحكم على أخرى بالوضع</w:t>
      </w:r>
      <w:r>
        <w:rPr>
          <w:rFonts w:hint="cs"/>
          <w:rtl/>
        </w:rPr>
        <w:t>،</w:t>
      </w:r>
      <w:r w:rsidR="009C32A0">
        <w:rPr>
          <w:rFonts w:hint="cs"/>
          <w:rtl/>
        </w:rPr>
        <w:t xml:space="preserve"> ولا تبلغ هذا الحد</w:t>
      </w:r>
      <w:r>
        <w:rPr>
          <w:rFonts w:hint="cs"/>
          <w:rtl/>
        </w:rPr>
        <w:t>،</w:t>
      </w:r>
      <w:r w:rsidR="009C32A0">
        <w:rPr>
          <w:rFonts w:hint="cs"/>
          <w:rtl/>
        </w:rPr>
        <w:t xml:space="preserve"> وخانته ألفاظه عند الحديث عن سيد شباب أهل الجنّة الحسين رضي الله عنه</w:t>
      </w:r>
      <w:r>
        <w:rPr>
          <w:rFonts w:hint="cs"/>
          <w:rtl/>
        </w:rPr>
        <w:t>،</w:t>
      </w:r>
      <w:r w:rsidR="009C32A0">
        <w:rPr>
          <w:rFonts w:hint="cs"/>
          <w:rtl/>
        </w:rPr>
        <w:t xml:space="preserve"> وموقفه من أوضاع الأمة زمان يزيد</w:t>
      </w:r>
      <w:r>
        <w:rPr>
          <w:rFonts w:hint="cs"/>
          <w:rtl/>
        </w:rPr>
        <w:t>،</w:t>
      </w:r>
      <w:r w:rsidR="009C32A0">
        <w:rPr>
          <w:rFonts w:hint="cs"/>
          <w:rtl/>
        </w:rPr>
        <w:t xml:space="preserve"> وفي مجال المعاملة مع أكابر علماء عصره</w:t>
      </w:r>
      <w:r>
        <w:rPr>
          <w:rFonts w:hint="cs"/>
          <w:rtl/>
        </w:rPr>
        <w:t>،</w:t>
      </w:r>
      <w:r w:rsidR="009C32A0">
        <w:rPr>
          <w:rFonts w:hint="cs"/>
          <w:rtl/>
        </w:rPr>
        <w:t xml:space="preserve"> هاجم الأكابر ولم يتحر الأدب الواجب مع أكابرهم</w:t>
      </w:r>
      <w:r>
        <w:rPr>
          <w:rFonts w:hint="cs"/>
          <w:rtl/>
        </w:rPr>
        <w:t>،</w:t>
      </w:r>
      <w:r w:rsidR="009C32A0">
        <w:rPr>
          <w:rFonts w:hint="cs"/>
          <w:rtl/>
        </w:rPr>
        <w:t xml:space="preserve"> وصال عليهم وجال</w:t>
      </w:r>
      <w:r>
        <w:rPr>
          <w:rFonts w:hint="cs"/>
          <w:rtl/>
        </w:rPr>
        <w:t>،</w:t>
      </w:r>
      <w:r w:rsidR="009C32A0">
        <w:rPr>
          <w:rFonts w:hint="cs"/>
          <w:rtl/>
        </w:rPr>
        <w:t xml:space="preserve"> واحتاطوا في تأديبه فلم يأمروا بقتله وإنما امروا بسجنه حتى يحفظونه من شر نفسه</w:t>
      </w:r>
      <w:r>
        <w:rPr>
          <w:rFonts w:hint="cs"/>
          <w:rtl/>
        </w:rPr>
        <w:t>،</w:t>
      </w:r>
      <w:r w:rsidR="009C32A0">
        <w:rPr>
          <w:rFonts w:hint="cs"/>
          <w:rtl/>
        </w:rPr>
        <w:t xml:space="preserve"> ويحفظون الناس من غرائبه وتشدداته</w:t>
      </w:r>
      <w:r>
        <w:rPr>
          <w:rFonts w:hint="cs"/>
          <w:rtl/>
        </w:rPr>
        <w:t>،</w:t>
      </w:r>
      <w:r w:rsidR="009C32A0">
        <w:rPr>
          <w:rFonts w:hint="cs"/>
          <w:rtl/>
        </w:rPr>
        <w:t xml:space="preserve"> فهل يصح بعد تلك المخالفات والمجازفات</w:t>
      </w:r>
      <w:r>
        <w:rPr>
          <w:rFonts w:hint="cs"/>
          <w:rtl/>
        </w:rPr>
        <w:t xml:space="preserve">: </w:t>
      </w:r>
      <w:r w:rsidR="009C32A0">
        <w:rPr>
          <w:rFonts w:hint="cs"/>
          <w:rtl/>
        </w:rPr>
        <w:t>أن يعتبر مذهبه هو الممثل والمتحدث الرسمي الصحيح عن السلفية والسلف</w:t>
      </w:r>
      <w:r>
        <w:rPr>
          <w:rFonts w:hint="cs"/>
          <w:rtl/>
        </w:rPr>
        <w:t>،</w:t>
      </w:r>
      <w:r w:rsidR="009C32A0">
        <w:rPr>
          <w:rFonts w:hint="cs"/>
          <w:rtl/>
        </w:rPr>
        <w:t xml:space="preserve"> نعم نحترم له اجتهاداته في علم توحيد الألوهية والتي بسببها توجه الكثيرون نحو التركيز على هذا العلم ومحاولة حفظ جنابه</w:t>
      </w:r>
      <w:r>
        <w:rPr>
          <w:rFonts w:hint="cs"/>
          <w:rtl/>
        </w:rPr>
        <w:t>،</w:t>
      </w:r>
      <w:r w:rsidR="009C32A0">
        <w:rPr>
          <w:rFonts w:hint="cs"/>
          <w:rtl/>
        </w:rPr>
        <w:t xml:space="preserve"> ولكنّه ليس بالمعصوم ولا بالمتخصص في علم معين يُقتدى به فيه</w:t>
      </w:r>
      <w:r>
        <w:rPr>
          <w:rFonts w:hint="cs"/>
          <w:rtl/>
        </w:rPr>
        <w:t>،</w:t>
      </w:r>
      <w:r w:rsidR="009C32A0">
        <w:rPr>
          <w:rFonts w:hint="cs"/>
          <w:rtl/>
        </w:rPr>
        <w:t xml:space="preserve"> نحترم علمه ونذكر أخطاءه</w:t>
      </w:r>
      <w:r>
        <w:rPr>
          <w:rFonts w:hint="cs"/>
          <w:rtl/>
        </w:rPr>
        <w:t>،</w:t>
      </w:r>
      <w:r w:rsidR="009C32A0">
        <w:rPr>
          <w:rFonts w:hint="cs"/>
          <w:rtl/>
        </w:rPr>
        <w:t xml:space="preserve"> ونضيف علمه إلى تراث علم أهل السنّة والجماعة</w:t>
      </w:r>
      <w:r>
        <w:rPr>
          <w:rFonts w:hint="cs"/>
          <w:rtl/>
        </w:rPr>
        <w:t>،</w:t>
      </w:r>
      <w:r w:rsidR="009C32A0">
        <w:rPr>
          <w:rFonts w:hint="cs"/>
          <w:rtl/>
        </w:rPr>
        <w:t xml:space="preserve"> بعد غربلته على أيدي المتخصصين</w:t>
      </w:r>
      <w:r>
        <w:rPr>
          <w:rFonts w:hint="cs"/>
          <w:rtl/>
        </w:rPr>
        <w:t>،</w:t>
      </w:r>
      <w:r w:rsidR="009C32A0">
        <w:rPr>
          <w:rFonts w:hint="cs"/>
          <w:rtl/>
        </w:rPr>
        <w:t xml:space="preserve"> ونستدل بأقواله</w:t>
      </w:r>
      <w:r>
        <w:rPr>
          <w:rFonts w:hint="cs"/>
          <w:rtl/>
        </w:rPr>
        <w:t>،</w:t>
      </w:r>
      <w:r w:rsidR="009C32A0">
        <w:rPr>
          <w:rFonts w:hint="cs"/>
          <w:rtl/>
        </w:rPr>
        <w:t xml:space="preserve"> ولا مانع عند الخطأ أن نقول</w:t>
      </w:r>
      <w:r>
        <w:rPr>
          <w:rFonts w:hint="cs"/>
          <w:rtl/>
        </w:rPr>
        <w:t xml:space="preserve">: </w:t>
      </w:r>
      <w:r w:rsidR="009C32A0">
        <w:rPr>
          <w:rFonts w:hint="cs"/>
          <w:rtl/>
        </w:rPr>
        <w:t>أخطأ في تقرير تلك المسألة</w:t>
      </w:r>
      <w:r>
        <w:rPr>
          <w:rFonts w:hint="cs"/>
          <w:rtl/>
        </w:rPr>
        <w:t>،</w:t>
      </w:r>
      <w:r w:rsidR="009C32A0">
        <w:rPr>
          <w:rFonts w:hint="cs"/>
          <w:rtl/>
        </w:rPr>
        <w:t xml:space="preserve"> ولا زلت أقول وأوقن أنّ ابن تيمية لو فهم علم التقديس وقواعد التنزيه على يد متخصص</w:t>
      </w:r>
      <w:r>
        <w:rPr>
          <w:rFonts w:hint="cs"/>
          <w:rtl/>
        </w:rPr>
        <w:t>،</w:t>
      </w:r>
      <w:r w:rsidR="009C32A0">
        <w:rPr>
          <w:rFonts w:hint="cs"/>
          <w:rtl/>
        </w:rPr>
        <w:t xml:space="preserve"> لكان آية في العلم</w:t>
      </w:r>
      <w:r>
        <w:rPr>
          <w:rFonts w:hint="cs"/>
          <w:rtl/>
        </w:rPr>
        <w:t>،</w:t>
      </w:r>
      <w:r w:rsidR="009C32A0">
        <w:rPr>
          <w:rFonts w:hint="cs"/>
          <w:rtl/>
        </w:rPr>
        <w:t xml:space="preserve"> ولتغيرت الكثير من موازين التقييم عنده</w:t>
      </w:r>
      <w:r>
        <w:rPr>
          <w:rFonts w:hint="cs"/>
          <w:rtl/>
        </w:rPr>
        <w:t>،</w:t>
      </w:r>
      <w:r w:rsidR="009C32A0">
        <w:rPr>
          <w:rFonts w:hint="cs"/>
          <w:rtl/>
        </w:rPr>
        <w:t xml:space="preserve"> ولا يغرنّك رده على الأكابر في علم التقديس والتنزيه كالرازي وفحول الأشاعرة</w:t>
      </w:r>
      <w:r>
        <w:rPr>
          <w:rFonts w:hint="cs"/>
          <w:rtl/>
        </w:rPr>
        <w:t>،</w:t>
      </w:r>
      <w:r w:rsidR="009C32A0">
        <w:rPr>
          <w:rFonts w:hint="cs"/>
          <w:rtl/>
        </w:rPr>
        <w:t xml:space="preserve"> فردوده خواء عن معرفة مقصود تنزيههم لأنّه ولج علما لا يتقن أصوله</w:t>
      </w:r>
      <w:r>
        <w:rPr>
          <w:rFonts w:hint="cs"/>
          <w:rtl/>
        </w:rPr>
        <w:t>،</w:t>
      </w:r>
      <w:r w:rsidR="009C32A0">
        <w:rPr>
          <w:rFonts w:hint="cs"/>
          <w:rtl/>
        </w:rPr>
        <w:t xml:space="preserve"> فأخذ يحشو في الردود حشواً</w:t>
      </w:r>
      <w:r>
        <w:rPr>
          <w:rFonts w:hint="cs"/>
          <w:rtl/>
        </w:rPr>
        <w:t>،</w:t>
      </w:r>
      <w:r w:rsidR="009C32A0">
        <w:rPr>
          <w:rFonts w:hint="cs"/>
          <w:rtl/>
        </w:rPr>
        <w:t xml:space="preserve"> وما أسوأ ردّه على كتاب تقديس الرازي</w:t>
      </w:r>
      <w:r>
        <w:rPr>
          <w:rFonts w:hint="cs"/>
          <w:rtl/>
        </w:rPr>
        <w:t>،</w:t>
      </w:r>
      <w:r w:rsidR="009C32A0">
        <w:rPr>
          <w:rFonts w:hint="cs"/>
          <w:rtl/>
        </w:rPr>
        <w:t xml:space="preserve"> يرد الصواب بالخطأ ويجول ويصول ويجادل في اثبات خطأ الصواب وصواب الخطأ</w:t>
      </w:r>
      <w:r>
        <w:rPr>
          <w:rFonts w:hint="cs"/>
          <w:rtl/>
        </w:rPr>
        <w:t>،</w:t>
      </w:r>
      <w:r w:rsidR="009C32A0">
        <w:rPr>
          <w:rFonts w:hint="cs"/>
          <w:rtl/>
        </w:rPr>
        <w:t xml:space="preserve"> </w:t>
      </w:r>
      <w:r w:rsidR="009C32A0">
        <w:rPr>
          <w:rFonts w:hint="cs"/>
          <w:rtl/>
        </w:rPr>
        <w:lastRenderedPageBreak/>
        <w:t>ولا يغرنك محاولة اثباته عدم التعارض بين النقل والعقل</w:t>
      </w:r>
      <w:r>
        <w:rPr>
          <w:rFonts w:hint="cs"/>
          <w:rtl/>
        </w:rPr>
        <w:t>،</w:t>
      </w:r>
      <w:r w:rsidR="009C32A0">
        <w:rPr>
          <w:rFonts w:hint="cs"/>
          <w:rtl/>
        </w:rPr>
        <w:t xml:space="preserve"> بجر المعقول الذي عقله إلى فهمه الذي فهمه من المنقول</w:t>
      </w:r>
      <w:r>
        <w:rPr>
          <w:rFonts w:hint="cs"/>
          <w:rtl/>
        </w:rPr>
        <w:t>،</w:t>
      </w:r>
      <w:r w:rsidR="009C32A0">
        <w:rPr>
          <w:rFonts w:hint="cs"/>
          <w:rtl/>
        </w:rPr>
        <w:t xml:space="preserve"> فلا هو - يرحمه الله - يدرك المعقول على وجهه لأنّه غير متخصص فيه وهل أقل المعقول إلا معرفة ما يجوز وما يجب وما يستحيل في حق الخالق سبحانه</w:t>
      </w:r>
      <w:r>
        <w:rPr>
          <w:rFonts w:hint="cs"/>
          <w:rtl/>
        </w:rPr>
        <w:t>،</w:t>
      </w:r>
      <w:r w:rsidR="009C32A0">
        <w:rPr>
          <w:rFonts w:hint="cs"/>
          <w:rtl/>
        </w:rPr>
        <w:t xml:space="preserve"> وهل أقل المعقول إلا التفريق الأصولي بين القديم والمحدث وهو لا يدركه</w:t>
      </w:r>
      <w:r>
        <w:rPr>
          <w:rFonts w:hint="cs"/>
          <w:rtl/>
        </w:rPr>
        <w:t>،</w:t>
      </w:r>
      <w:r w:rsidR="009C32A0">
        <w:rPr>
          <w:rFonts w:hint="cs"/>
          <w:rtl/>
        </w:rPr>
        <w:t xml:space="preserve"> وهل أقل المعقول إلا معرفة قواعد التنزيه التي تمنع التمثيل والتشبيه والتجسيم والحشو عند الحديث عن ما يتعلق بالله تعالى</w:t>
      </w:r>
      <w:r>
        <w:rPr>
          <w:rFonts w:hint="cs"/>
          <w:rtl/>
        </w:rPr>
        <w:t>،</w:t>
      </w:r>
      <w:r w:rsidR="009C32A0">
        <w:rPr>
          <w:rFonts w:hint="cs"/>
          <w:rtl/>
        </w:rPr>
        <w:t xml:space="preserve"> وهو يرحمه الله لا يدرك ذلك البته</w:t>
      </w:r>
      <w:r>
        <w:rPr>
          <w:rFonts w:hint="cs"/>
          <w:rtl/>
        </w:rPr>
        <w:t>،</w:t>
      </w:r>
      <w:r w:rsidR="009C32A0">
        <w:rPr>
          <w:rFonts w:hint="cs"/>
          <w:rtl/>
        </w:rPr>
        <w:t xml:space="preserve"> وأنا لا أتجنى عليه</w:t>
      </w:r>
      <w:r>
        <w:rPr>
          <w:rFonts w:hint="cs"/>
          <w:rtl/>
        </w:rPr>
        <w:t>،</w:t>
      </w:r>
      <w:r w:rsidR="009C32A0">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Pr>
          <w:rFonts w:hint="cs"/>
          <w:rtl/>
        </w:rPr>
        <w:t>،</w:t>
      </w:r>
      <w:r w:rsidR="009C32A0">
        <w:rPr>
          <w:rFonts w:hint="cs"/>
          <w:rtl/>
        </w:rPr>
        <w:t xml:space="preserve"> وأعلم علم اليقين أنّه لو درس المعقول على وجهه لما كان هذا حاله في التنزيه والتقديس</w:t>
      </w:r>
      <w:r>
        <w:rPr>
          <w:rFonts w:hint="cs"/>
          <w:rtl/>
        </w:rPr>
        <w:t>،</w:t>
      </w:r>
      <w:r w:rsidR="009C32A0">
        <w:rPr>
          <w:rFonts w:hint="cs"/>
          <w:rtl/>
        </w:rPr>
        <w:t xml:space="preserve"> وإنما كان يجعل المحسوس مكان المعقول وهو يتحدث عن المعقول</w:t>
      </w:r>
      <w:r>
        <w:rPr>
          <w:rFonts w:hint="cs"/>
          <w:rtl/>
        </w:rPr>
        <w:t>،</w:t>
      </w:r>
      <w:r w:rsidR="009C32A0">
        <w:rPr>
          <w:rFonts w:hint="cs"/>
          <w:rtl/>
        </w:rPr>
        <w:t xml:space="preserve"> ولا يتبين الفارق بينهما مع أنّه فارق عظيم عند أهلا التخصص والعرفان</w:t>
      </w:r>
      <w:r>
        <w:rPr>
          <w:rFonts w:hint="cs"/>
          <w:rtl/>
        </w:rPr>
        <w:t>،</w:t>
      </w:r>
      <w:r w:rsidR="009C32A0">
        <w:rPr>
          <w:rFonts w:hint="cs"/>
          <w:rtl/>
        </w:rPr>
        <w:t xml:space="preserve"> ثم ما يفهمه من المنقول ليس هو بفهم الاكابر الذين ضبطوا الأصول في العقيدة</w:t>
      </w:r>
      <w:r>
        <w:rPr>
          <w:rFonts w:hint="cs"/>
          <w:rtl/>
        </w:rPr>
        <w:t>،</w:t>
      </w:r>
      <w:r w:rsidR="009C32A0">
        <w:rPr>
          <w:rFonts w:hint="cs"/>
          <w:rtl/>
        </w:rPr>
        <w:t xml:space="preserve"> لأنّه لا يمتلك أدواتهم ولا حواجزهم في منع الولوج في الفهم الممنوع</w:t>
      </w:r>
      <w:r>
        <w:rPr>
          <w:rFonts w:hint="cs"/>
          <w:rtl/>
        </w:rPr>
        <w:t>،</w:t>
      </w:r>
      <w:r w:rsidR="009C32A0">
        <w:rPr>
          <w:rFonts w:hint="cs"/>
          <w:rtl/>
        </w:rPr>
        <w:t xml:space="preserve"> ولذلك وقع في بعض المخالفات التي حاول فيها سحب الأمة بعيدا عن وسطيتها بين المعتزلة والمجسمة</w:t>
      </w:r>
      <w:r>
        <w:rPr>
          <w:rFonts w:hint="cs"/>
          <w:rtl/>
        </w:rPr>
        <w:t>،</w:t>
      </w:r>
      <w:r w:rsidR="009C32A0">
        <w:rPr>
          <w:rFonts w:hint="cs"/>
          <w:rtl/>
        </w:rPr>
        <w:t xml:space="preserve"> إلى ناحية المجسمة</w:t>
      </w:r>
      <w:r>
        <w:rPr>
          <w:rFonts w:hint="cs"/>
          <w:rtl/>
        </w:rPr>
        <w:t>،</w:t>
      </w:r>
      <w:r w:rsidR="009C32A0">
        <w:rPr>
          <w:rFonts w:hint="cs"/>
          <w:rtl/>
        </w:rPr>
        <w:t xml:space="preserve"> - وهو لا يدرك ذلك - بحسن ظن أنّه يريد سحبها إلى السلفية التي فهمها وعاش حياته من أجلها</w:t>
      </w:r>
      <w:r>
        <w:rPr>
          <w:rFonts w:hint="cs"/>
          <w:rtl/>
        </w:rPr>
        <w:t>،</w:t>
      </w:r>
      <w:r w:rsidR="009C32A0">
        <w:rPr>
          <w:rFonts w:hint="cs"/>
          <w:rtl/>
        </w:rPr>
        <w:t xml:space="preserve"> وهل كان السلف إلا أكابر المقدسين والمنزهين والمسبحين</w:t>
      </w:r>
      <w:r>
        <w:rPr>
          <w:rFonts w:hint="cs"/>
          <w:rtl/>
        </w:rPr>
        <w:t>،</w:t>
      </w:r>
      <w:r w:rsidR="009C32A0">
        <w:rPr>
          <w:rFonts w:hint="cs"/>
          <w:rtl/>
        </w:rPr>
        <w:t xml:space="preserve"> ولكن أبى الله تعالى العصمة إلا لرسوله</w:t>
      </w:r>
      <w:r>
        <w:rPr>
          <w:rFonts w:hint="cs"/>
          <w:rtl/>
        </w:rPr>
        <w:t>،</w:t>
      </w:r>
      <w:r w:rsidR="009C32A0">
        <w:rPr>
          <w:rFonts w:hint="cs"/>
          <w:rtl/>
        </w:rPr>
        <w:t xml:space="preserve"> وأبى الصحة والكمال إلا للمتخصصين من أهل العلم كلٌ في علمه الذي تخصص فيه</w:t>
      </w:r>
      <w:r>
        <w:rPr>
          <w:rFonts w:hint="cs"/>
          <w:rtl/>
        </w:rPr>
        <w:t>،</w:t>
      </w:r>
      <w:r w:rsidR="009C32A0">
        <w:rPr>
          <w:rFonts w:hint="cs"/>
          <w:rtl/>
        </w:rPr>
        <w:t xml:space="preserve"> وأتمنى أن تتكامل اللحمة بين طوائف أهل السنّة والجماعة</w:t>
      </w:r>
      <w:r>
        <w:rPr>
          <w:rFonts w:hint="cs"/>
          <w:rtl/>
        </w:rPr>
        <w:t>،</w:t>
      </w:r>
      <w:r w:rsidR="009C32A0">
        <w:rPr>
          <w:rFonts w:hint="cs"/>
          <w:rtl/>
        </w:rPr>
        <w:t xml:space="preserve"> فنأخذ بأحسن ما خط قلم الإمام أحمد بن تيمية ونتجنب غرائبه وأخطاءه</w:t>
      </w:r>
      <w:r>
        <w:rPr>
          <w:rFonts w:hint="cs"/>
          <w:rtl/>
        </w:rPr>
        <w:t>،</w:t>
      </w:r>
      <w:r w:rsidR="009C32A0">
        <w:rPr>
          <w:rFonts w:hint="cs"/>
          <w:rtl/>
        </w:rPr>
        <w:t xml:space="preserve"> ونقول أصاب في كذا</w:t>
      </w:r>
      <w:r>
        <w:rPr>
          <w:rFonts w:hint="cs"/>
          <w:rtl/>
        </w:rPr>
        <w:t>،</w:t>
      </w:r>
      <w:r w:rsidR="009C32A0">
        <w:rPr>
          <w:rFonts w:hint="cs"/>
          <w:rtl/>
        </w:rPr>
        <w:t xml:space="preserve"> وأخطأ في كذا</w:t>
      </w:r>
      <w:r>
        <w:rPr>
          <w:rFonts w:hint="cs"/>
          <w:rtl/>
        </w:rPr>
        <w:t>،</w:t>
      </w:r>
      <w:r w:rsidR="009C32A0">
        <w:rPr>
          <w:rFonts w:hint="cs"/>
          <w:rtl/>
        </w:rPr>
        <w:t xml:space="preserve"> وخالف الجمهور في كذا</w:t>
      </w:r>
      <w:r>
        <w:rPr>
          <w:rFonts w:hint="cs"/>
          <w:rtl/>
        </w:rPr>
        <w:t>،</w:t>
      </w:r>
      <w:r w:rsidR="009C32A0">
        <w:rPr>
          <w:rFonts w:hint="cs"/>
          <w:rtl/>
        </w:rPr>
        <w:t xml:space="preserve"> ونأخذ بقوله في كذا</w:t>
      </w:r>
      <w:r>
        <w:rPr>
          <w:rFonts w:hint="cs"/>
          <w:rtl/>
        </w:rPr>
        <w:t>،</w:t>
      </w:r>
      <w:r w:rsidR="009C32A0">
        <w:rPr>
          <w:rFonts w:hint="cs"/>
          <w:rtl/>
        </w:rPr>
        <w:t xml:space="preserve"> ونخالفه في كذا</w:t>
      </w:r>
      <w:r>
        <w:rPr>
          <w:rFonts w:hint="cs"/>
          <w:rtl/>
        </w:rPr>
        <w:t>،</w:t>
      </w:r>
      <w:r w:rsidR="009C32A0">
        <w:rPr>
          <w:rFonts w:hint="cs"/>
          <w:rtl/>
        </w:rPr>
        <w:t xml:space="preserve"> فتتقارب الصفوف بدلاً من شقها وتنازعها ليس على مدى القرب والبعد عن أصول الإسلام</w:t>
      </w:r>
      <w:r>
        <w:rPr>
          <w:rFonts w:hint="cs"/>
          <w:rtl/>
        </w:rPr>
        <w:t>،</w:t>
      </w:r>
      <w:r w:rsidR="009C32A0">
        <w:rPr>
          <w:rFonts w:hint="cs"/>
          <w:rtl/>
        </w:rPr>
        <w:t xml:space="preserve"> وإنما على أساس الولاء والبراء لدعوة ابن تيمية</w:t>
      </w:r>
      <w:r>
        <w:rPr>
          <w:rFonts w:hint="cs"/>
          <w:rtl/>
        </w:rPr>
        <w:t>،</w:t>
      </w:r>
      <w:r w:rsidR="009C32A0">
        <w:rPr>
          <w:rFonts w:hint="cs"/>
          <w:rtl/>
        </w:rPr>
        <w:t xml:space="preserve"> أما انتصارا لها وإما انتصارا لرافضيها ومحاربيها</w:t>
      </w:r>
      <w:r>
        <w:rPr>
          <w:rFonts w:hint="cs"/>
          <w:rtl/>
        </w:rPr>
        <w:t xml:space="preserve">، </w:t>
      </w:r>
      <w:r>
        <w:rPr>
          <w:rFonts w:hint="cs"/>
          <w:bCs/>
          <w:rtl/>
        </w:rPr>
        <w:t>(</w:t>
      </w:r>
      <w:r w:rsidR="009C32A0">
        <w:rPr>
          <w:rFonts w:hint="cs"/>
          <w:bCs/>
          <w:rtl/>
        </w:rPr>
        <w:t>تنبيه</w:t>
      </w:r>
      <w:r>
        <w:rPr>
          <w:rFonts w:hint="cs"/>
          <w:bCs/>
          <w:rtl/>
        </w:rPr>
        <w:t>)</w:t>
      </w:r>
      <w:r>
        <w:rPr>
          <w:rFonts w:hint="cs"/>
          <w:rtl/>
        </w:rPr>
        <w:t xml:space="preserve">: </w:t>
      </w:r>
      <w:r w:rsidR="009C32A0">
        <w:rPr>
          <w:rFonts w:hint="cs"/>
          <w:rtl/>
        </w:rPr>
        <w:t>الفرق الجوهري بين مدارس المتخصصين في علوم الإسلام</w:t>
      </w:r>
      <w:r>
        <w:rPr>
          <w:rFonts w:hint="cs"/>
          <w:rtl/>
        </w:rPr>
        <w:t>،</w:t>
      </w:r>
      <w:r w:rsidR="009C32A0">
        <w:rPr>
          <w:rFonts w:hint="cs"/>
          <w:rtl/>
        </w:rPr>
        <w:t xml:space="preserve"> وبين مدرسة الإمام ابن تيمية العلمية</w:t>
      </w:r>
      <w:r>
        <w:rPr>
          <w:rFonts w:hint="cs"/>
          <w:rtl/>
        </w:rPr>
        <w:t>،</w:t>
      </w:r>
      <w:r w:rsidR="009C32A0">
        <w:rPr>
          <w:rFonts w:hint="cs"/>
          <w:rtl/>
        </w:rPr>
        <w:t xml:space="preserve"> أنّ مدارس المتخصصين في علوم الإسلام</w:t>
      </w:r>
      <w:r>
        <w:rPr>
          <w:rFonts w:hint="cs"/>
          <w:rtl/>
        </w:rPr>
        <w:t>،</w:t>
      </w:r>
      <w:r w:rsidR="009C32A0">
        <w:rPr>
          <w:rFonts w:hint="cs"/>
          <w:rtl/>
        </w:rPr>
        <w:t xml:space="preserve"> سواء في العقيدة أو الفقه أو التزكية</w:t>
      </w:r>
      <w:r>
        <w:rPr>
          <w:rFonts w:hint="cs"/>
          <w:rtl/>
        </w:rPr>
        <w:t>،</w:t>
      </w:r>
      <w:r w:rsidR="009C32A0">
        <w:rPr>
          <w:rFonts w:hint="cs"/>
          <w:rtl/>
        </w:rPr>
        <w:t xml:space="preserve"> أنّ كل واحدة منها تخصص في علم معين</w:t>
      </w:r>
      <w:r>
        <w:rPr>
          <w:rFonts w:hint="cs"/>
          <w:rtl/>
        </w:rPr>
        <w:t>،</w:t>
      </w:r>
      <w:r w:rsidR="009C32A0">
        <w:rPr>
          <w:rFonts w:hint="cs"/>
          <w:rtl/>
        </w:rPr>
        <w:t xml:space="preserve"> ثم كان التمحيص والتأصيل والتهذيب في النور على أيدي مئات إن لم يكن آلاف المتخصصين المنتسبين إلى تلك المدارس</w:t>
      </w:r>
      <w:r>
        <w:rPr>
          <w:rFonts w:hint="cs"/>
          <w:rtl/>
        </w:rPr>
        <w:t>،</w:t>
      </w:r>
      <w:r w:rsidR="009C32A0">
        <w:rPr>
          <w:rFonts w:hint="cs"/>
          <w:rtl/>
        </w:rPr>
        <w:t xml:space="preserve"> فصنعت في النور</w:t>
      </w:r>
      <w:r>
        <w:rPr>
          <w:rFonts w:hint="cs"/>
          <w:rtl/>
        </w:rPr>
        <w:t>،</w:t>
      </w:r>
      <w:r w:rsidR="009C32A0">
        <w:rPr>
          <w:rFonts w:hint="cs"/>
          <w:rtl/>
        </w:rPr>
        <w:t xml:space="preserve"> وهذبت في النور</w:t>
      </w:r>
      <w:r>
        <w:rPr>
          <w:rFonts w:hint="cs"/>
          <w:rtl/>
        </w:rPr>
        <w:t>،</w:t>
      </w:r>
      <w:r w:rsidR="009C32A0">
        <w:rPr>
          <w:rFonts w:hint="cs"/>
          <w:rtl/>
        </w:rPr>
        <w:t xml:space="preserve"> وانتشرت في النور</w:t>
      </w:r>
      <w:r>
        <w:rPr>
          <w:rFonts w:hint="cs"/>
          <w:rtl/>
        </w:rPr>
        <w:t>،</w:t>
      </w:r>
      <w:r w:rsidR="009C32A0">
        <w:rPr>
          <w:rFonts w:hint="cs"/>
          <w:rtl/>
        </w:rPr>
        <w:t xml:space="preserve"> فكانت في مأمن من الخطأ الكبير والخلل الجسيم</w:t>
      </w:r>
      <w:r>
        <w:rPr>
          <w:rFonts w:hint="cs"/>
          <w:rtl/>
        </w:rPr>
        <w:t>،</w:t>
      </w:r>
      <w:r w:rsidR="009C32A0">
        <w:rPr>
          <w:rFonts w:hint="cs"/>
          <w:rtl/>
        </w:rPr>
        <w:t xml:space="preserve"> وها هي مدارس العقيدة</w:t>
      </w:r>
      <w:r>
        <w:rPr>
          <w:rFonts w:hint="cs"/>
          <w:rtl/>
        </w:rPr>
        <w:t xml:space="preserve">: </w:t>
      </w:r>
      <w:r w:rsidR="009C32A0">
        <w:rPr>
          <w:rFonts w:hint="cs"/>
          <w:rtl/>
        </w:rPr>
        <w:t>الأثرية والأشعرية والماتريدية ملئت الأرض نوراً وانتسب إليها على مر العصور أكابر العلماء</w:t>
      </w:r>
      <w:r>
        <w:rPr>
          <w:rFonts w:hint="cs"/>
          <w:rtl/>
        </w:rPr>
        <w:t>،</w:t>
      </w:r>
      <w:r w:rsidR="009C32A0">
        <w:rPr>
          <w:rFonts w:hint="cs"/>
          <w:rtl/>
        </w:rPr>
        <w:t xml:space="preserve"> وأساطين أهل العلم</w:t>
      </w:r>
      <w:r>
        <w:rPr>
          <w:rFonts w:hint="cs"/>
          <w:rtl/>
        </w:rPr>
        <w:t>،</w:t>
      </w:r>
      <w:r w:rsidR="009C32A0">
        <w:rPr>
          <w:rFonts w:hint="cs"/>
          <w:rtl/>
        </w:rPr>
        <w:t xml:space="preserve"> وها هي مدارس الفقه عمت أرجاء </w:t>
      </w:r>
      <w:r w:rsidR="009C32A0">
        <w:rPr>
          <w:rFonts w:hint="cs"/>
          <w:rtl/>
        </w:rPr>
        <w:lastRenderedPageBreak/>
        <w:t>الأرض وانتسب إليها سواد أهل السنّة والجماعة</w:t>
      </w:r>
      <w:r>
        <w:rPr>
          <w:rFonts w:hint="cs"/>
          <w:rtl/>
        </w:rPr>
        <w:t>،</w:t>
      </w:r>
      <w:r w:rsidR="009C32A0">
        <w:rPr>
          <w:rFonts w:hint="cs"/>
          <w:rtl/>
        </w:rPr>
        <w:t xml:space="preserve"> وهكذا مدارس التربية والتزكية التي نشرت الإسلام شمالا وجنوبا وشرقا وغربا</w:t>
      </w:r>
      <w:r>
        <w:rPr>
          <w:rFonts w:hint="cs"/>
          <w:rtl/>
        </w:rPr>
        <w:t>،</w:t>
      </w:r>
      <w:r w:rsidR="009C32A0">
        <w:rPr>
          <w:rFonts w:hint="cs"/>
          <w:rtl/>
        </w:rPr>
        <w:t xml:space="preserve"> أمّا مدرسة ابن تيمية فبسبب مخالفة ابن تيمية لعلماء أهل عصره من شتى الطوائف</w:t>
      </w:r>
      <w:r>
        <w:rPr>
          <w:rFonts w:hint="cs"/>
          <w:rtl/>
        </w:rPr>
        <w:t>،</w:t>
      </w:r>
      <w:r w:rsidR="009C32A0">
        <w:rPr>
          <w:rFonts w:hint="cs"/>
          <w:rtl/>
        </w:rPr>
        <w:t xml:space="preserve"> ولا يعقل فسادهم جميعا وصلاحه قد صُنعت في السجون والخفاء</w:t>
      </w:r>
      <w:r>
        <w:rPr>
          <w:rFonts w:hint="cs"/>
          <w:rtl/>
        </w:rPr>
        <w:t>،</w:t>
      </w:r>
      <w:r w:rsidR="009C32A0">
        <w:rPr>
          <w:rFonts w:hint="cs"/>
          <w:rtl/>
        </w:rPr>
        <w:t xml:space="preserve"> ولم يطلع عليها سوى فئة قليلة من اتباعه</w:t>
      </w:r>
      <w:r>
        <w:rPr>
          <w:rFonts w:hint="cs"/>
          <w:rtl/>
        </w:rPr>
        <w:t>،</w:t>
      </w:r>
      <w:r w:rsidR="009C32A0">
        <w:rPr>
          <w:rFonts w:hint="cs"/>
          <w:rtl/>
        </w:rPr>
        <w:t xml:space="preserve"> ولم تُؤصل في النور</w:t>
      </w:r>
      <w:r>
        <w:rPr>
          <w:rFonts w:hint="cs"/>
          <w:rtl/>
        </w:rPr>
        <w:t>،</w:t>
      </w:r>
      <w:r w:rsidR="009C32A0">
        <w:rPr>
          <w:rFonts w:hint="cs"/>
          <w:rtl/>
        </w:rPr>
        <w:t xml:space="preserve"> ولم تهذب كما كان يفعل علماء المذاهب في تخصصهم</w:t>
      </w:r>
      <w:r>
        <w:rPr>
          <w:rFonts w:hint="cs"/>
          <w:rtl/>
        </w:rPr>
        <w:t>،</w:t>
      </w:r>
      <w:r w:rsidR="009C32A0">
        <w:rPr>
          <w:rFonts w:hint="cs"/>
          <w:rtl/>
        </w:rPr>
        <w:t xml:space="preserve"> ثم اختفت كتبه ومعارفه حتى تبناها ونشرها الشيخ محمد ابن عبد الوهاب بقوة السيف والسنان</w:t>
      </w:r>
      <w:r>
        <w:rPr>
          <w:rFonts w:hint="cs"/>
          <w:rtl/>
        </w:rPr>
        <w:t>،</w:t>
      </w:r>
      <w:r w:rsidR="009C32A0">
        <w:rPr>
          <w:rFonts w:hint="cs"/>
          <w:rtl/>
        </w:rPr>
        <w:t xml:space="preserve"> وفي ظل هذا الجو الملبد بغيوم الارهاب الفكري بالتكفير والتبديع لمن يخالف هذه المنظومة الفكرية والعقدية</w:t>
      </w:r>
      <w:r>
        <w:rPr>
          <w:rFonts w:hint="cs"/>
          <w:rtl/>
        </w:rPr>
        <w:t>،</w:t>
      </w:r>
      <w:r w:rsidR="009C32A0">
        <w:rPr>
          <w:rFonts w:hint="cs"/>
          <w:rtl/>
        </w:rPr>
        <w:t xml:space="preserve"> استكان من استكان ونشأ جيل لا يعرف إلا ما رأى</w:t>
      </w:r>
      <w:r>
        <w:rPr>
          <w:rFonts w:hint="cs"/>
          <w:rtl/>
        </w:rPr>
        <w:t>،</w:t>
      </w:r>
      <w:r w:rsidR="009C32A0">
        <w:rPr>
          <w:rFonts w:hint="cs"/>
          <w:rtl/>
        </w:rPr>
        <w:t xml:space="preserve"> فلم تُؤصل الأفكار في أجواء حرية الفكر ودقة التخصص</w:t>
      </w:r>
      <w:r>
        <w:rPr>
          <w:rFonts w:hint="cs"/>
          <w:rtl/>
        </w:rPr>
        <w:t>،</w:t>
      </w:r>
      <w:r w:rsidR="009C32A0">
        <w:rPr>
          <w:rFonts w:hint="cs"/>
          <w:rtl/>
        </w:rPr>
        <w:t xml:space="preserve"> كما حدث مع سائر مدارس التخصص الفكري الإسلامي</w:t>
      </w:r>
      <w:r>
        <w:rPr>
          <w:rFonts w:hint="cs"/>
          <w:rtl/>
        </w:rPr>
        <w:t xml:space="preserve">، </w:t>
      </w:r>
      <w:r w:rsidR="009C32A0">
        <w:rPr>
          <w:rFonts w:eastAsia="Times New Roman" w:hint="cs"/>
          <w:rtl/>
        </w:rPr>
        <w:t>لقد اهتم ابن تيمية بإحياء مذهب السلفية على المفهوم الذي ظنه صحيحا</w:t>
      </w:r>
      <w:r>
        <w:rPr>
          <w:rFonts w:eastAsia="Times New Roman" w:hint="cs"/>
          <w:rtl/>
        </w:rPr>
        <w:t>،</w:t>
      </w:r>
      <w:r w:rsidR="009C32A0">
        <w:rPr>
          <w:rFonts w:eastAsia="Times New Roman" w:hint="cs"/>
          <w:rtl/>
        </w:rPr>
        <w:t xml:space="preserve"> ولم يتبين الأفكار التي تسربت إليه بفعل احسان ظنه بالحشوية وروادها الأوائل الذين انتسبوا زورا إلى الحنابلة وأهل الحديث</w:t>
      </w:r>
      <w:r>
        <w:rPr>
          <w:rFonts w:eastAsia="Times New Roman" w:hint="cs"/>
          <w:rtl/>
        </w:rPr>
        <w:t>،،</w:t>
      </w:r>
      <w:r w:rsidR="009C32A0">
        <w:rPr>
          <w:rFonts w:eastAsia="Times New Roman" w:hint="cs"/>
          <w:rtl/>
        </w:rPr>
        <w:t xml:space="preserve"> وبسبب عدم قدرته على فهم علم التنزيه وعدم مقدرته على هضم مفرداته</w:t>
      </w:r>
      <w:r>
        <w:rPr>
          <w:rFonts w:eastAsia="Times New Roman" w:hint="cs"/>
          <w:rtl/>
        </w:rPr>
        <w:t>،</w:t>
      </w:r>
      <w:r w:rsidR="009C32A0">
        <w:rPr>
          <w:rFonts w:eastAsia="Times New Roman" w:hint="cs"/>
          <w:rtl/>
        </w:rPr>
        <w:t xml:space="preserve"> فهجم عليها دون فهم حقيقي لمغزاها</w:t>
      </w:r>
      <w:r>
        <w:rPr>
          <w:rFonts w:eastAsia="Times New Roman" w:hint="cs"/>
          <w:rtl/>
        </w:rPr>
        <w:t>،</w:t>
      </w:r>
      <w:r w:rsidR="009C32A0">
        <w:rPr>
          <w:rFonts w:eastAsia="Times New Roman" w:hint="cs"/>
          <w:rtl/>
        </w:rPr>
        <w:t xml:space="preserve"> وبسبب جهله العارم بقواعد التقديس ومباحث علم أصول الدين لاسيما في باب الإلهيات</w:t>
      </w:r>
      <w:r>
        <w:rPr>
          <w:rFonts w:eastAsia="Times New Roman" w:hint="cs"/>
          <w:rtl/>
        </w:rPr>
        <w:t xml:space="preserve"> </w:t>
      </w:r>
      <w:r w:rsidR="009C32A0">
        <w:rPr>
          <w:rFonts w:eastAsia="Times New Roman" w:hint="cs"/>
          <w:rtl/>
        </w:rPr>
        <w:t xml:space="preserve">مثل </w:t>
      </w:r>
      <w:r w:rsidR="009C32A0">
        <w:rPr>
          <w:rFonts w:hint="cs"/>
          <w:rtl/>
          <w:lang w:bidi="ar-KW"/>
        </w:rPr>
        <w:t xml:space="preserve">مباحث </w:t>
      </w:r>
      <w:r w:rsidR="009C32A0">
        <w:rPr>
          <w:rFonts w:hint="cs"/>
          <w:rtl/>
        </w:rPr>
        <w:t>منزلة العقل الصحيح في الإسلام ودوره في فهم أدلة التنزيه</w:t>
      </w:r>
      <w:r>
        <w:rPr>
          <w:rFonts w:hint="cs"/>
          <w:rtl/>
        </w:rPr>
        <w:t>،</w:t>
      </w:r>
      <w:r w:rsidR="009C32A0">
        <w:rPr>
          <w:rFonts w:hint="cs"/>
          <w:rtl/>
        </w:rPr>
        <w:t xml:space="preserve"> والتفريق الأصولي بين </w:t>
      </w:r>
      <w:r w:rsidR="009C32A0">
        <w:rPr>
          <w:rFonts w:hint="cs"/>
          <w:rtl/>
          <w:lang w:bidi="ar-KW"/>
        </w:rPr>
        <w:t xml:space="preserve">القديم والحادث </w:t>
      </w:r>
      <w:r w:rsidR="009C32A0">
        <w:rPr>
          <w:rFonts w:hint="cs"/>
          <w:rtl/>
        </w:rPr>
        <w:t>وهل يمكن للقديم ان يقبل الحوادث</w:t>
      </w:r>
      <w:r>
        <w:rPr>
          <w:rFonts w:hint="cs"/>
          <w:rtl/>
        </w:rPr>
        <w:t>،</w:t>
      </w:r>
      <w:r w:rsidR="009C32A0">
        <w:rPr>
          <w:rFonts w:hint="cs"/>
          <w:rtl/>
        </w:rPr>
        <w:t xml:space="preserve"> والتفريق بين المحكم والمتشابه</w:t>
      </w:r>
      <w:r>
        <w:rPr>
          <w:rFonts w:hint="cs"/>
          <w:rtl/>
        </w:rPr>
        <w:t>،</w:t>
      </w:r>
      <w:r w:rsidR="009C32A0">
        <w:rPr>
          <w:rFonts w:hint="cs"/>
          <w:rtl/>
        </w:rPr>
        <w:t xml:space="preserve"> والتفريق بين الحقيقة والمجاز</w:t>
      </w:r>
      <w:r>
        <w:rPr>
          <w:rFonts w:hint="cs"/>
          <w:rtl/>
        </w:rPr>
        <w:t>،</w:t>
      </w:r>
      <w:r w:rsidR="009C32A0">
        <w:rPr>
          <w:rFonts w:hint="cs"/>
          <w:rtl/>
        </w:rPr>
        <w:t xml:space="preserve"> وحجية المتواتر والآحاد في باب العقيدة</w:t>
      </w:r>
      <w:r>
        <w:rPr>
          <w:rFonts w:hint="cs"/>
          <w:rtl/>
        </w:rPr>
        <w:t>،</w:t>
      </w:r>
      <w:r w:rsidR="009C32A0">
        <w:rPr>
          <w:rFonts w:hint="cs"/>
          <w:rtl/>
        </w:rPr>
        <w:t xml:space="preserve"> والسر في التفريق بينهما</w:t>
      </w:r>
      <w:r>
        <w:rPr>
          <w:rFonts w:hint="cs"/>
          <w:rtl/>
        </w:rPr>
        <w:t>،</w:t>
      </w:r>
      <w:r w:rsidR="009C32A0">
        <w:rPr>
          <w:rFonts w:hint="cs"/>
          <w:rtl/>
        </w:rPr>
        <w:t xml:space="preserve"> وقواعد التقديس والتوحيد والتنزيه المستمدة من الكتاب والسنّة</w:t>
      </w:r>
      <w:r>
        <w:rPr>
          <w:rFonts w:hint="cs"/>
          <w:rtl/>
        </w:rPr>
        <w:t xml:space="preserve">، </w:t>
      </w:r>
      <w:r w:rsidR="009C32A0">
        <w:rPr>
          <w:rFonts w:eastAsia="Times New Roman" w:hint="cs"/>
          <w:rtl/>
        </w:rPr>
        <w:t>لذلك أصرّ على إبقاء أحاديث التشبيه والجهة بحالها من دون توجيه وتصرف</w:t>
      </w:r>
      <w:r>
        <w:rPr>
          <w:rFonts w:eastAsia="Times New Roman" w:hint="cs"/>
          <w:rtl/>
        </w:rPr>
        <w:t>،</w:t>
      </w:r>
      <w:r w:rsidR="009C32A0">
        <w:rPr>
          <w:rFonts w:eastAsia="Times New Roman" w:hint="cs"/>
          <w:rtl/>
        </w:rPr>
        <w:t xml:space="preserve"> بل ودعا إلى حملها على ظاهرها المحال على الله</w:t>
      </w:r>
      <w:r>
        <w:rPr>
          <w:rFonts w:eastAsia="Times New Roman" w:hint="cs"/>
          <w:rtl/>
        </w:rPr>
        <w:t>،</w:t>
      </w:r>
      <w:r w:rsidR="009C32A0">
        <w:rPr>
          <w:rFonts w:eastAsia="Times New Roman" w:hint="cs"/>
          <w:rtl/>
        </w:rPr>
        <w:t xml:space="preserve"> وهو لا يدرك أسباب استحالتها لما تشبع به عقله من الحشو الذي تسرب إليه من مراجع الحشوية</w:t>
      </w:r>
      <w:r>
        <w:rPr>
          <w:rFonts w:eastAsia="Times New Roman" w:hint="cs"/>
          <w:rtl/>
        </w:rPr>
        <w:t>،</w:t>
      </w:r>
      <w:r w:rsidR="009C32A0">
        <w:rPr>
          <w:rFonts w:eastAsia="Times New Roman" w:hint="cs"/>
          <w:rtl/>
        </w:rPr>
        <w:t xml:space="preserve"> ثم لم يكتف بذلك حتى هاجم التأويلات التي ذكرها الأصوليون في كتبهم لمنع التشبيه</w:t>
      </w:r>
      <w:r>
        <w:rPr>
          <w:rFonts w:eastAsia="Times New Roman" w:hint="cs"/>
          <w:rtl/>
        </w:rPr>
        <w:t>،</w:t>
      </w:r>
      <w:r w:rsidR="009C32A0">
        <w:rPr>
          <w:rFonts w:eastAsia="Times New Roman" w:hint="cs"/>
          <w:rtl/>
        </w:rPr>
        <w:t xml:space="preserve"> ولحمل الآيات والأحاديث على المراد الحقيقي منها والذي لأجله سيقت تلك الآيات والاحاديث</w:t>
      </w:r>
      <w:r>
        <w:rPr>
          <w:rFonts w:eastAsia="Times New Roman" w:hint="cs"/>
          <w:rtl/>
        </w:rPr>
        <w:t>،</w:t>
      </w:r>
      <w:r w:rsidR="009C32A0">
        <w:rPr>
          <w:rFonts w:eastAsia="Times New Roman" w:hint="cs"/>
          <w:rtl/>
        </w:rPr>
        <w:t xml:space="preserve"> فإن حديث النزول ليس الهدف منه النزول ولكن الهدف منه بيان أفضلية ثلث الليل الأخير في إجابة الدعاء</w:t>
      </w:r>
      <w:r>
        <w:rPr>
          <w:rFonts w:eastAsia="Times New Roman" w:hint="cs"/>
          <w:rtl/>
        </w:rPr>
        <w:t>،</w:t>
      </w:r>
      <w:r w:rsidR="009C32A0">
        <w:rPr>
          <w:rFonts w:eastAsia="Times New Roman" w:hint="cs"/>
          <w:rtl/>
        </w:rPr>
        <w:t xml:space="preserve"> </w:t>
      </w:r>
      <w:r w:rsidR="009C32A0">
        <w:rPr>
          <w:rFonts w:hint="cs"/>
          <w:rtl/>
        </w:rPr>
        <w:t>ثم لم يهدأ حتى رفض تفويض معاني الآيات المتشابهات في الذات والصفات</w:t>
      </w:r>
      <w:r>
        <w:rPr>
          <w:rFonts w:hint="cs"/>
          <w:rtl/>
        </w:rPr>
        <w:t>،</w:t>
      </w:r>
      <w:r w:rsidR="009C32A0">
        <w:rPr>
          <w:rFonts w:hint="cs"/>
          <w:rtl/>
        </w:rPr>
        <w:t xml:space="preserve"> والذي هو مذهب الاثرية وهو مذهب السلف الصحيح والذي ليس لهم مذهب سواه</w:t>
      </w:r>
      <w:r>
        <w:rPr>
          <w:rFonts w:hint="cs"/>
          <w:rtl/>
        </w:rPr>
        <w:t>،</w:t>
      </w:r>
      <w:r w:rsidR="009C32A0">
        <w:rPr>
          <w:rFonts w:hint="cs"/>
          <w:rtl/>
        </w:rPr>
        <w:t xml:space="preserve"> وذلك بزعم أنّه مذهب التجهيل وأنّه من شر أقوال أهل البدع</w:t>
      </w:r>
      <w:r>
        <w:rPr>
          <w:rFonts w:hint="cs"/>
          <w:rtl/>
        </w:rPr>
        <w:t>،</w:t>
      </w:r>
      <w:r w:rsidR="009C32A0">
        <w:rPr>
          <w:rFonts w:hint="cs"/>
          <w:rtl/>
        </w:rPr>
        <w:t xml:space="preserve">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w:t>
      </w:r>
      <w:r>
        <w:rPr>
          <w:rFonts w:hint="cs"/>
          <w:rtl/>
        </w:rPr>
        <w:t>،</w:t>
      </w:r>
      <w:r w:rsidR="009C32A0">
        <w:rPr>
          <w:rFonts w:hint="cs"/>
          <w:rtl/>
        </w:rPr>
        <w:t xml:space="preserve"> ومذهبه هو أنّ الله تعالى موجود بذاته فوق العالم</w:t>
      </w:r>
      <w:r>
        <w:rPr>
          <w:rFonts w:hint="cs"/>
          <w:rtl/>
        </w:rPr>
        <w:t>،</w:t>
      </w:r>
      <w:r w:rsidR="009C32A0">
        <w:rPr>
          <w:rFonts w:hint="cs"/>
          <w:rtl/>
        </w:rPr>
        <w:t xml:space="preserve"> والعالم المخلوق </w:t>
      </w:r>
      <w:r w:rsidR="009C32A0">
        <w:rPr>
          <w:rFonts w:hint="cs"/>
          <w:rtl/>
        </w:rPr>
        <w:lastRenderedPageBreak/>
        <w:t>تحته</w:t>
      </w:r>
      <w:r>
        <w:rPr>
          <w:rFonts w:hint="cs"/>
          <w:rtl/>
        </w:rPr>
        <w:t xml:space="preserve">، </w:t>
      </w:r>
      <w:r w:rsidR="009C32A0">
        <w:rPr>
          <w:rFonts w:hint="cs"/>
          <w:rtl/>
        </w:rPr>
        <w:t>وهو موجود على عرشه</w:t>
      </w:r>
      <w:r>
        <w:rPr>
          <w:rFonts w:hint="cs"/>
          <w:rtl/>
        </w:rPr>
        <w:t>،</w:t>
      </w:r>
      <w:r w:rsidR="009C32A0">
        <w:rPr>
          <w:rFonts w:hint="cs"/>
          <w:rtl/>
        </w:rPr>
        <w:t xml:space="preserve"> وأنه متناه من جهة تحت</w:t>
      </w:r>
      <w:r>
        <w:rPr>
          <w:rFonts w:hint="cs"/>
          <w:rtl/>
        </w:rPr>
        <w:t>،</w:t>
      </w:r>
      <w:r w:rsidR="009C32A0">
        <w:rPr>
          <w:rFonts w:hint="cs"/>
          <w:rtl/>
        </w:rPr>
        <w:t xml:space="preserve"> أما من جهة فوق فليس فوقه شيء</w:t>
      </w:r>
      <w:r>
        <w:rPr>
          <w:rFonts w:hint="cs"/>
          <w:rtl/>
        </w:rPr>
        <w:t>،</w:t>
      </w:r>
      <w:r w:rsidR="009C32A0">
        <w:rPr>
          <w:rFonts w:hint="cs"/>
          <w:rtl/>
        </w:rPr>
        <w:t xml:space="preserve"> وأنّه يتحرك ويقبل الحوادث وينزل إلى السماء الدنيا في ثلث الليل الذي لا ينقطع عن الارض لحظه كما دلت الدراسات اليقينية المعاصرة</w:t>
      </w:r>
      <w:r>
        <w:rPr>
          <w:rFonts w:hint="cs"/>
          <w:rtl/>
        </w:rPr>
        <w:t>،</w:t>
      </w:r>
      <w:r w:rsidR="009C32A0">
        <w:rPr>
          <w:rFonts w:hint="cs"/>
          <w:rtl/>
        </w:rPr>
        <w:t xml:space="preserve"> والمصيبة أنّ نزول الله تعالى - عنده - نزول حقيقي بذاته</w:t>
      </w:r>
      <w:r>
        <w:rPr>
          <w:rFonts w:hint="cs"/>
          <w:rtl/>
        </w:rPr>
        <w:t>،</w:t>
      </w:r>
      <w:r w:rsidR="009C32A0">
        <w:rPr>
          <w:rFonts w:hint="cs"/>
          <w:rtl/>
        </w:rPr>
        <w:t xml:space="preserve"> فقد قال </w:t>
      </w:r>
      <w:r>
        <w:rPr>
          <w:rFonts w:hint="cs"/>
          <w:rtl/>
        </w:rPr>
        <w:t>(</w:t>
      </w:r>
      <w:r w:rsidR="009C32A0">
        <w:rPr>
          <w:rFonts w:hint="cs"/>
          <w:rtl/>
        </w:rPr>
        <w:t>وتفسير النزول بفعل يقوم بذاته</w:t>
      </w:r>
      <w:r>
        <w:rPr>
          <w:rFonts w:hint="cs"/>
          <w:rtl/>
        </w:rPr>
        <w:t xml:space="preserve">)، </w:t>
      </w:r>
      <w:r w:rsidR="009C32A0">
        <w:rPr>
          <w:rFonts w:hint="cs"/>
          <w:rtl/>
        </w:rPr>
        <w:t>ودندن حول صفات الوجه واليدين والعينين والقدم والساق بما يُخيل إلى العوام أنّها أجزاء من الذات</w:t>
      </w:r>
      <w:r>
        <w:rPr>
          <w:rFonts w:hint="cs"/>
          <w:rtl/>
        </w:rPr>
        <w:t>،</w:t>
      </w:r>
      <w:r w:rsidR="009C32A0">
        <w:rPr>
          <w:rFonts w:hint="cs"/>
          <w:rtl/>
        </w:rPr>
        <w:t xml:space="preserve"> وليست صفات منزهة عن الجارحة والجسمية</w:t>
      </w:r>
      <w:r>
        <w:rPr>
          <w:rFonts w:hint="cs"/>
          <w:rtl/>
        </w:rPr>
        <w:t>،</w:t>
      </w:r>
      <w:r w:rsidR="009C32A0">
        <w:rPr>
          <w:rFonts w:hint="cs"/>
          <w:rtl/>
        </w:rPr>
        <w:t xml:space="preserve"> ودندن حول حديث خلق آدم على صورته</w:t>
      </w:r>
      <w:r>
        <w:rPr>
          <w:rFonts w:hint="cs"/>
          <w:rtl/>
        </w:rPr>
        <w:t>،</w:t>
      </w:r>
      <w:r w:rsidR="009C32A0">
        <w:rPr>
          <w:rFonts w:hint="cs"/>
          <w:rtl/>
        </w:rPr>
        <w:t xml:space="preserve"> بما يُشعر أنّ آدم على صورة الرحمن</w:t>
      </w:r>
      <w:r>
        <w:rPr>
          <w:rFonts w:hint="cs"/>
          <w:rtl/>
        </w:rPr>
        <w:t>،</w:t>
      </w:r>
      <w:r w:rsidR="009C32A0">
        <w:rPr>
          <w:rFonts w:hint="cs"/>
          <w:rtl/>
        </w:rPr>
        <w:t xml:space="preserve"> وأنّ كل ذلك على الظاهر الذي يليق بذات الله تعالى</w:t>
      </w:r>
      <w:r>
        <w:rPr>
          <w:rFonts w:hint="cs"/>
          <w:rtl/>
        </w:rPr>
        <w:t>،</w:t>
      </w:r>
      <w:r w:rsidR="009C32A0">
        <w:rPr>
          <w:rFonts w:hint="cs"/>
          <w:rtl/>
        </w:rPr>
        <w:t xml:space="preserve"> ويظن بعد هذا الحشو والتجسيم أنّه قد اصاب السنّة التي يعلم صغار طلبة العلم من الأصوليين أنّه محال على الله لأنّ فيه تجسيم</w:t>
      </w:r>
      <w:r>
        <w:rPr>
          <w:rFonts w:hint="cs"/>
          <w:rtl/>
        </w:rPr>
        <w:t xml:space="preserve"> </w:t>
      </w:r>
      <w:r w:rsidR="009C32A0">
        <w:rPr>
          <w:rFonts w:hint="cs"/>
          <w:rtl/>
        </w:rPr>
        <w:t>وتمثيل بالحسيات وتكييف للذي تقدس ليس كمثله شيء</w:t>
      </w:r>
      <w:r>
        <w:rPr>
          <w:rFonts w:hint="cs"/>
          <w:rtl/>
        </w:rPr>
        <w:t>،</w:t>
      </w:r>
      <w:r w:rsidR="009C32A0">
        <w:rPr>
          <w:rFonts w:hint="cs"/>
          <w:rtl/>
        </w:rPr>
        <w:t xml:space="preserve"> وهل بعد تلك العقائد يبقى لنا شيء من التقديس الذي حبى الله تعالى به أمة التسبيح والتنزيه والتوحيد</w:t>
      </w:r>
      <w:r>
        <w:rPr>
          <w:rFonts w:hint="cs"/>
          <w:rtl/>
        </w:rPr>
        <w:t>،</w:t>
      </w:r>
      <w:r w:rsidR="009C32A0">
        <w:rPr>
          <w:rFonts w:hint="cs"/>
          <w:rtl/>
        </w:rPr>
        <w:t xml:space="preserve"> </w:t>
      </w:r>
      <w:r w:rsidR="009C32A0">
        <w:rPr>
          <w:rFonts w:eastAsia="Times New Roman" w:hint="cs"/>
          <w:rtl/>
        </w:rPr>
        <w:t>ومن العجيب الذي تدمى له القلوب</w:t>
      </w:r>
      <w:r>
        <w:rPr>
          <w:rFonts w:eastAsia="Times New Roman" w:hint="cs"/>
          <w:rtl/>
        </w:rPr>
        <w:t>،</w:t>
      </w:r>
      <w:r w:rsidR="009C32A0">
        <w:rPr>
          <w:rFonts w:eastAsia="Times New Roman" w:hint="cs"/>
          <w:rtl/>
        </w:rPr>
        <w:t xml:space="preserve"> أنّ ابن تيمية لم يقنع بمفردات العقيدة الحشوية حتى أضاف إليها أُموراً تزيد الطين بلة</w:t>
      </w:r>
      <w:r>
        <w:rPr>
          <w:rFonts w:eastAsia="Times New Roman" w:hint="cs"/>
          <w:rtl/>
        </w:rPr>
        <w:t>،</w:t>
      </w:r>
      <w:r w:rsidR="009C32A0">
        <w:rPr>
          <w:rFonts w:eastAsia="Times New Roman" w:hint="cs"/>
          <w:rtl/>
        </w:rPr>
        <w:t xml:space="preserve"> فعد السفر لزيارة الرسول الأعظم بدعة وشركاً</w:t>
      </w:r>
      <w:r>
        <w:rPr>
          <w:rFonts w:eastAsia="Times New Roman" w:hint="cs"/>
          <w:rtl/>
        </w:rPr>
        <w:t>،</w:t>
      </w:r>
      <w:r w:rsidR="009C32A0">
        <w:rPr>
          <w:rFonts w:eastAsia="Times New Roman" w:hint="cs"/>
          <w:rtl/>
        </w:rPr>
        <w:t xml:space="preserve"> كما عدّ التبرّك بآثارهم والتوسّل بهم شيئاً يضاد التوحيد في العبادة</w:t>
      </w:r>
      <w:r>
        <w:rPr>
          <w:rFonts w:eastAsia="Times New Roman" w:hint="cs"/>
          <w:rtl/>
        </w:rPr>
        <w:t>،</w:t>
      </w:r>
      <w:r w:rsidR="009C32A0">
        <w:rPr>
          <w:rFonts w:eastAsia="Times New Roman" w:hint="cs"/>
          <w:rtl/>
        </w:rPr>
        <w:t xml:space="preserve"> وللأسف</w:t>
      </w:r>
      <w:r>
        <w:rPr>
          <w:rFonts w:eastAsia="Times New Roman" w:hint="cs"/>
          <w:rtl/>
        </w:rPr>
        <w:t>،</w:t>
      </w:r>
      <w:r w:rsidR="009C32A0">
        <w:rPr>
          <w:rFonts w:eastAsia="Times New Roman" w:hint="cs"/>
          <w:rtl/>
        </w:rPr>
        <w:t xml:space="preserve"> عادى وخالف أكابر أهل العلم في زمانه وما سبقه من أزمان</w:t>
      </w:r>
      <w:r>
        <w:rPr>
          <w:rFonts w:eastAsia="Times New Roman" w:hint="cs"/>
          <w:rtl/>
        </w:rPr>
        <w:t>،</w:t>
      </w:r>
      <w:r w:rsidR="009C32A0">
        <w:rPr>
          <w:rFonts w:eastAsia="Times New Roman" w:hint="cs"/>
          <w:rtl/>
        </w:rPr>
        <w:t xml:space="preserve"> ولم يسلم من قلمه ولسانه الكثير من الهداة المهديين من علماء أهل السنّة والجماعة</w:t>
      </w:r>
      <w:r>
        <w:rPr>
          <w:rFonts w:eastAsia="Times New Roman" w:hint="cs"/>
          <w:rtl/>
        </w:rPr>
        <w:t>،</w:t>
      </w:r>
      <w:r w:rsidR="009C32A0">
        <w:rPr>
          <w:rFonts w:eastAsia="Times New Roman" w:hint="cs"/>
          <w:rtl/>
        </w:rPr>
        <w:t xml:space="preserve"> نصحوه فلم يرعوى</w:t>
      </w:r>
      <w:r>
        <w:rPr>
          <w:rFonts w:eastAsia="Times New Roman" w:hint="cs"/>
          <w:rtl/>
        </w:rPr>
        <w:t>،</w:t>
      </w:r>
      <w:r w:rsidR="009C32A0">
        <w:rPr>
          <w:rFonts w:eastAsia="Times New Roman" w:hint="cs"/>
          <w:rtl/>
        </w:rPr>
        <w:t xml:space="preserve"> ولم يتعظ من قوة ناصحه المشفق حتى أدركته المنية في سجن دمشق</w:t>
      </w:r>
      <w:r>
        <w:rPr>
          <w:rFonts w:eastAsia="Times New Roman" w:hint="cs"/>
          <w:rtl/>
        </w:rPr>
        <w:t>،</w:t>
      </w:r>
      <w:r w:rsidR="009C32A0">
        <w:rPr>
          <w:rFonts w:eastAsia="Times New Roman" w:hint="cs"/>
          <w:rtl/>
        </w:rPr>
        <w:t xml:space="preserve"> وقد تأثر به عدد قليل من تلامذته</w:t>
      </w:r>
      <w:r>
        <w:rPr>
          <w:rFonts w:eastAsia="Times New Roman" w:hint="cs"/>
          <w:rtl/>
        </w:rPr>
        <w:t>،</w:t>
      </w:r>
      <w:r w:rsidR="009C32A0">
        <w:rPr>
          <w:rFonts w:eastAsia="Times New Roman" w:hint="cs"/>
          <w:rtl/>
        </w:rPr>
        <w:t xml:space="preserve"> ولكن لكثرة مؤلفاتهم ودندنتهم حول ما تسرب إليهم من مفردات الحشوية</w:t>
      </w:r>
      <w:r>
        <w:rPr>
          <w:rFonts w:eastAsia="Times New Roman" w:hint="cs"/>
          <w:rtl/>
        </w:rPr>
        <w:t>،</w:t>
      </w:r>
      <w:r w:rsidR="009C32A0">
        <w:rPr>
          <w:rFonts w:eastAsia="Times New Roman" w:hint="cs"/>
          <w:rtl/>
        </w:rPr>
        <w:t xml:space="preserve"> سحبوا أهل السنّة والجماعة نحو بعض مفردات الحشو والخلاف</w:t>
      </w:r>
      <w:r>
        <w:rPr>
          <w:rFonts w:eastAsia="Times New Roman" w:hint="cs"/>
          <w:rtl/>
        </w:rPr>
        <w:t>،</w:t>
      </w:r>
      <w:r w:rsidR="009C32A0">
        <w:rPr>
          <w:rFonts w:eastAsia="Times New Roman" w:hint="cs"/>
          <w:rtl/>
        </w:rPr>
        <w:t xml:space="preserve"> وأهم هؤلاء ابن القيم </w:t>
      </w:r>
      <w:r>
        <w:rPr>
          <w:rFonts w:eastAsia="Times New Roman" w:hint="cs"/>
          <w:rtl/>
        </w:rPr>
        <w:t>(</w:t>
      </w:r>
      <w:r w:rsidR="009C32A0">
        <w:rPr>
          <w:rFonts w:eastAsia="Times New Roman" w:hint="cs"/>
          <w:rtl/>
        </w:rPr>
        <w:t>ت</w:t>
      </w:r>
      <w:r>
        <w:rPr>
          <w:rFonts w:eastAsia="Times New Roman" w:hint="cs"/>
          <w:rtl/>
        </w:rPr>
        <w:t xml:space="preserve">: </w:t>
      </w:r>
      <w:r w:rsidR="009C32A0">
        <w:rPr>
          <w:rFonts w:eastAsia="Times New Roman" w:hint="cs"/>
          <w:rtl/>
        </w:rPr>
        <w:t>٧٥١ هـ</w:t>
      </w:r>
      <w:r>
        <w:rPr>
          <w:rFonts w:eastAsia="Times New Roman" w:hint="cs"/>
          <w:rtl/>
        </w:rPr>
        <w:t>)،</w:t>
      </w:r>
      <w:r w:rsidR="009C32A0">
        <w:rPr>
          <w:rFonts w:eastAsia="Times New Roman" w:hint="cs"/>
          <w:rtl/>
        </w:rPr>
        <w:t xml:space="preserve"> والذهبي </w:t>
      </w:r>
      <w:r>
        <w:rPr>
          <w:rFonts w:eastAsia="Times New Roman" w:hint="cs"/>
          <w:rtl/>
        </w:rPr>
        <w:t>(</w:t>
      </w:r>
      <w:r w:rsidR="009C32A0">
        <w:rPr>
          <w:rFonts w:eastAsia="Times New Roman" w:hint="cs"/>
          <w:rtl/>
        </w:rPr>
        <w:t>ت</w:t>
      </w:r>
      <w:r>
        <w:rPr>
          <w:rFonts w:eastAsia="Times New Roman" w:hint="cs"/>
          <w:rtl/>
        </w:rPr>
        <w:t xml:space="preserve">: </w:t>
      </w:r>
      <w:r w:rsidR="009C32A0">
        <w:rPr>
          <w:rFonts w:eastAsia="Times New Roman" w:hint="cs"/>
          <w:rtl/>
        </w:rPr>
        <w:t>748 هـ</w:t>
      </w:r>
      <w:r>
        <w:rPr>
          <w:rFonts w:eastAsia="Times New Roman" w:hint="cs"/>
          <w:rtl/>
        </w:rPr>
        <w:t>)،</w:t>
      </w:r>
      <w:r w:rsidR="009C32A0">
        <w:rPr>
          <w:rFonts w:eastAsia="Times New Roman" w:hint="cs"/>
          <w:rtl/>
        </w:rPr>
        <w:t xml:space="preserve"> وابن كثير </w:t>
      </w:r>
      <w:r>
        <w:rPr>
          <w:rFonts w:eastAsia="Times New Roman" w:hint="cs"/>
          <w:rtl/>
        </w:rPr>
        <w:t>(</w:t>
      </w:r>
      <w:r w:rsidR="009C32A0">
        <w:rPr>
          <w:rFonts w:eastAsia="Times New Roman" w:hint="cs"/>
          <w:rtl/>
        </w:rPr>
        <w:t>ت</w:t>
      </w:r>
      <w:r>
        <w:rPr>
          <w:rFonts w:eastAsia="Times New Roman" w:hint="cs"/>
          <w:rtl/>
        </w:rPr>
        <w:t xml:space="preserve">: </w:t>
      </w:r>
      <w:r w:rsidR="009C32A0">
        <w:rPr>
          <w:rFonts w:eastAsia="Times New Roman" w:hint="cs"/>
          <w:rtl/>
        </w:rPr>
        <w:t>774 هـ</w:t>
      </w:r>
      <w:r>
        <w:rPr>
          <w:rFonts w:eastAsia="Times New Roman" w:hint="cs"/>
          <w:rtl/>
        </w:rPr>
        <w:t>)،</w:t>
      </w:r>
    </w:p>
    <w:p w14:paraId="6058C964" w14:textId="65EA8196" w:rsidR="009C32A0" w:rsidRDefault="009C32A0" w:rsidP="000636C2">
      <w:pPr>
        <w:ind w:left="-58"/>
        <w:rPr>
          <w:rFonts w:eastAsia="Times New Roman"/>
          <w:b/>
          <w:rtl/>
        </w:rPr>
      </w:pPr>
      <w:r>
        <w:rPr>
          <w:rFonts w:eastAsia="Times New Roman" w:hint="cs"/>
          <w:rtl/>
        </w:rPr>
        <w:t xml:space="preserve">طبيعة الزمان الذي عاش فيه الإمام أحمد بن عبد الحليم بن تيمية </w:t>
      </w:r>
      <w:r w:rsidR="000636C2">
        <w:rPr>
          <w:rFonts w:eastAsia="Times New Roman" w:hint="cs"/>
          <w:rtl/>
        </w:rPr>
        <w:t>(</w:t>
      </w:r>
      <w:r>
        <w:rPr>
          <w:rFonts w:eastAsia="Times New Roman" w:hint="cs"/>
          <w:rtl/>
        </w:rPr>
        <w:t>ت ٦٦١ ـ م ٧٢٨ هـ</w:t>
      </w:r>
      <w:r w:rsidR="000636C2">
        <w:rPr>
          <w:rFonts w:eastAsia="Times New Roman" w:hint="cs"/>
          <w:rtl/>
        </w:rPr>
        <w:t>)،</w:t>
      </w:r>
      <w:r>
        <w:rPr>
          <w:rFonts w:eastAsia="Times New Roman" w:hint="cs"/>
          <w:rtl/>
        </w:rPr>
        <w:t xml:space="preserve"> وما هي مقومات إصلاحه</w:t>
      </w:r>
      <w:r w:rsidR="000636C2">
        <w:rPr>
          <w:rFonts w:eastAsia="Times New Roman" w:hint="cs"/>
          <w:rtl/>
        </w:rPr>
        <w:t xml:space="preserve">: </w:t>
      </w:r>
      <w:r>
        <w:rPr>
          <w:rFonts w:eastAsia="Times New Roman" w:hint="cs"/>
          <w:rtl/>
        </w:rPr>
        <w:t xml:space="preserve">لقد ولد في قرن من شر القرون التي مرت على أهل الإسلام </w:t>
      </w:r>
      <w:r w:rsidR="000636C2">
        <w:rPr>
          <w:rFonts w:eastAsia="Times New Roman" w:hint="cs"/>
          <w:rtl/>
        </w:rPr>
        <w:t>(</w:t>
      </w:r>
      <w:r>
        <w:rPr>
          <w:rFonts w:eastAsia="Times New Roman" w:hint="cs"/>
          <w:rtl/>
        </w:rPr>
        <w:t>قرن هجمة التتار على العالم الإسلامي وإبادة الخلافة العباسية وتدمير أكثر بلاد المسلمين</w:t>
      </w:r>
      <w:r w:rsidR="000636C2">
        <w:rPr>
          <w:rFonts w:eastAsia="Times New Roman" w:hint="cs"/>
          <w:rtl/>
        </w:rPr>
        <w:t>)،</w:t>
      </w:r>
      <w:r>
        <w:rPr>
          <w:rFonts w:eastAsia="Times New Roman" w:hint="cs"/>
          <w:rtl/>
        </w:rPr>
        <w:t xml:space="preserve"> والإصلاح الذي تحتاج إليه تلك الظروف</w:t>
      </w:r>
      <w:r w:rsidR="000636C2">
        <w:rPr>
          <w:rFonts w:eastAsia="Times New Roman" w:hint="cs"/>
          <w:rtl/>
        </w:rPr>
        <w:t>،</w:t>
      </w:r>
      <w:r>
        <w:rPr>
          <w:rFonts w:eastAsia="Times New Roman" w:hint="cs"/>
          <w:rtl/>
        </w:rPr>
        <w:t xml:space="preserve"> هو العمل الحثيث على وحدة كلامة المسلمين</w:t>
      </w:r>
      <w:r w:rsidR="000636C2">
        <w:rPr>
          <w:rFonts w:eastAsia="Times New Roman" w:hint="cs"/>
          <w:rtl/>
        </w:rPr>
        <w:t>،</w:t>
      </w:r>
      <w:r>
        <w:rPr>
          <w:rFonts w:eastAsia="Times New Roman" w:hint="cs"/>
          <w:rtl/>
        </w:rPr>
        <w:t xml:space="preserve"> بدلا من المساهمة في تفرقهم</w:t>
      </w:r>
      <w:r w:rsidR="000636C2">
        <w:rPr>
          <w:rFonts w:eastAsia="Times New Roman" w:hint="cs"/>
          <w:rtl/>
        </w:rPr>
        <w:t>،</w:t>
      </w:r>
      <w:r>
        <w:rPr>
          <w:rFonts w:eastAsia="Times New Roman" w:hint="cs"/>
          <w:rtl/>
        </w:rPr>
        <w:t xml:space="preserve"> ولكنّه رحمه الله تعالى اختار الاتجاه الثاني</w:t>
      </w:r>
      <w:r w:rsidR="000636C2">
        <w:rPr>
          <w:rFonts w:eastAsia="Times New Roman" w:hint="cs"/>
          <w:rtl/>
        </w:rPr>
        <w:t>،</w:t>
      </w:r>
      <w:r>
        <w:rPr>
          <w:rFonts w:eastAsia="Times New Roman" w:hint="cs"/>
          <w:rtl/>
        </w:rPr>
        <w:t xml:space="preserve"> فقد أثار في تلك الظروف العصيبة مسائل خلافية</w:t>
      </w:r>
      <w:r w:rsidR="000636C2">
        <w:rPr>
          <w:rFonts w:eastAsia="Times New Roman" w:hint="cs"/>
          <w:rtl/>
        </w:rPr>
        <w:t>،</w:t>
      </w:r>
      <w:r>
        <w:rPr>
          <w:rFonts w:eastAsia="Times New Roman" w:hint="cs"/>
          <w:rtl/>
        </w:rPr>
        <w:t xml:space="preserve"> لا تزيد في الطين إلاّ بلّة ولا في الجرح إلاّ تعميقاً</w:t>
      </w:r>
      <w:r w:rsidR="000636C2">
        <w:rPr>
          <w:rFonts w:eastAsia="Times New Roman" w:hint="cs"/>
          <w:rtl/>
        </w:rPr>
        <w:t>،</w:t>
      </w:r>
      <w:r>
        <w:rPr>
          <w:rFonts w:eastAsia="Times New Roman" w:hint="cs"/>
          <w:rtl/>
        </w:rPr>
        <w:t xml:space="preserve"> وقصاراها مسائل خلافية</w:t>
      </w:r>
      <w:r w:rsidR="000636C2">
        <w:rPr>
          <w:rFonts w:eastAsia="Times New Roman" w:hint="cs"/>
          <w:rtl/>
        </w:rPr>
        <w:t>،</w:t>
      </w:r>
      <w:r>
        <w:rPr>
          <w:rFonts w:eastAsia="Times New Roman" w:hint="cs"/>
          <w:rtl/>
        </w:rPr>
        <w:t xml:space="preserve"> قال بخلاف ما ذهب إليه وأفنى حياته في التشغيب به</w:t>
      </w:r>
      <w:r w:rsidR="000636C2">
        <w:rPr>
          <w:rFonts w:eastAsia="Times New Roman" w:hint="cs"/>
          <w:rtl/>
        </w:rPr>
        <w:t xml:space="preserve"> </w:t>
      </w:r>
      <w:r>
        <w:rPr>
          <w:rFonts w:eastAsia="Times New Roman" w:hint="cs"/>
          <w:rtl/>
        </w:rPr>
        <w:t>كبار الأئمة والفقهاء والأصوليين المتخصصين</w:t>
      </w:r>
      <w:r w:rsidR="000636C2">
        <w:rPr>
          <w:rFonts w:eastAsia="Times New Roman" w:hint="cs"/>
          <w:rtl/>
        </w:rPr>
        <w:t>،</w:t>
      </w:r>
      <w:r>
        <w:rPr>
          <w:rFonts w:eastAsia="Times New Roman" w:hint="cs"/>
          <w:rtl/>
        </w:rPr>
        <w:t xml:space="preserve"> وهي مسائل لا تعود على المسلمين </w:t>
      </w:r>
      <w:r>
        <w:rPr>
          <w:rFonts w:eastAsia="Times New Roman" w:hint="cs"/>
          <w:rtl/>
        </w:rPr>
        <w:lastRenderedPageBreak/>
        <w:t>في تلك الظروف العصيبة بشيء سوى تعميق الخلاف وتعكير الصفو</w:t>
      </w:r>
      <w:r w:rsidR="000636C2">
        <w:rPr>
          <w:rFonts w:eastAsia="Times New Roman" w:hint="cs"/>
          <w:rtl/>
        </w:rPr>
        <w:t>،</w:t>
      </w:r>
      <w:r>
        <w:rPr>
          <w:rFonts w:eastAsia="Times New Roman" w:hint="cs"/>
          <w:rtl/>
        </w:rPr>
        <w:t xml:space="preserve"> وتشديد النزاعات المذهبية والطائفية</w:t>
      </w:r>
      <w:r w:rsidR="000636C2">
        <w:rPr>
          <w:rFonts w:eastAsia="Times New Roman" w:hint="cs"/>
          <w:rtl/>
        </w:rPr>
        <w:t>،</w:t>
      </w:r>
      <w:r>
        <w:rPr>
          <w:rFonts w:eastAsia="Times New Roman" w:hint="cs"/>
          <w:rtl/>
        </w:rPr>
        <w:t xml:space="preserve"> وتشييد الصروح الحشوية على حساب السلفية والعلمية والتخصصية</w:t>
      </w:r>
      <w:r w:rsidR="000636C2">
        <w:rPr>
          <w:rFonts w:eastAsia="Times New Roman" w:hint="cs"/>
          <w:rtl/>
        </w:rPr>
        <w:t>،</w:t>
      </w:r>
    </w:p>
    <w:p w14:paraId="4932FB29" w14:textId="2CC207D4" w:rsidR="009C32A0" w:rsidRDefault="009C32A0" w:rsidP="000636C2">
      <w:pPr>
        <w:ind w:left="-58"/>
        <w:rPr>
          <w:rFonts w:eastAsia="Times New Roman"/>
          <w:b/>
          <w:rtl/>
        </w:rPr>
      </w:pPr>
      <w:r>
        <w:rPr>
          <w:rFonts w:eastAsia="Times New Roman" w:hint="cs"/>
          <w:bCs/>
          <w:rtl/>
        </w:rPr>
        <w:t>رؤوس المسائل الّتي طرحها ابن تيمية وأصرّ عليها وخالف الرأي العام لجمهور علماء المسلمين</w:t>
      </w:r>
      <w:r w:rsidR="000636C2">
        <w:rPr>
          <w:rFonts w:eastAsia="Times New Roman" w:hint="cs"/>
          <w:rtl/>
        </w:rPr>
        <w:t>،</w:t>
      </w:r>
      <w:r>
        <w:rPr>
          <w:rFonts w:eastAsia="Times New Roman" w:hint="cs"/>
          <w:rtl/>
        </w:rPr>
        <w:t xml:space="preserve"> ولأجلها اعتقل مرات عديدة ونفي إلى مصر وسجن ومات بسجنه</w:t>
      </w:r>
      <w:r w:rsidR="000636C2">
        <w:rPr>
          <w:rFonts w:eastAsia="Times New Roman" w:hint="cs"/>
          <w:rtl/>
        </w:rPr>
        <w:t xml:space="preserve">: </w:t>
      </w:r>
      <w:r>
        <w:rPr>
          <w:rFonts w:eastAsia="Times New Roman" w:hint="cs"/>
          <w:rtl/>
        </w:rPr>
        <w:t>أهم تلك المسائل</w:t>
      </w:r>
      <w:r w:rsidR="000636C2">
        <w:rPr>
          <w:rFonts w:eastAsia="Times New Roman" w:hint="cs"/>
          <w:rtl/>
        </w:rPr>
        <w:t>: (</w:t>
      </w:r>
      <w:r>
        <w:rPr>
          <w:rFonts w:eastAsia="Times New Roman" w:hint="cs"/>
          <w:rtl/>
        </w:rPr>
        <w:t>أ</w:t>
      </w:r>
      <w:r w:rsidR="000636C2">
        <w:rPr>
          <w:rFonts w:eastAsia="Times New Roman" w:hint="cs"/>
          <w:rtl/>
        </w:rPr>
        <w:t xml:space="preserve">) </w:t>
      </w:r>
      <w:r>
        <w:rPr>
          <w:rFonts w:eastAsia="Times New Roman" w:hint="cs"/>
          <w:rtl/>
        </w:rPr>
        <w:t>وجوب وصفه سبحانه بالصفات الخبرية المتشابهة كالوجه واليد والعين والمجيء والنزول والاستواء بنفس المعاني اللغوية من دون تصرّف</w:t>
      </w:r>
      <w:r w:rsidR="000636C2">
        <w:rPr>
          <w:rFonts w:eastAsia="Times New Roman" w:hint="cs"/>
          <w:rtl/>
        </w:rPr>
        <w:t>،</w:t>
      </w:r>
      <w:r>
        <w:rPr>
          <w:rFonts w:eastAsia="Times New Roman" w:hint="cs"/>
          <w:rtl/>
        </w:rPr>
        <w:t xml:space="preserve"> وقد علمنا في كتاب التجديد الأول</w:t>
      </w:r>
      <w:r w:rsidR="000636C2">
        <w:rPr>
          <w:rFonts w:eastAsia="Times New Roman" w:hint="cs"/>
          <w:rtl/>
        </w:rPr>
        <w:t xml:space="preserve">: </w:t>
      </w:r>
      <w:r>
        <w:rPr>
          <w:rFonts w:eastAsia="Times New Roman" w:hint="cs"/>
          <w:rtl/>
        </w:rPr>
        <w:t>تجديد علم التقديس أنّها أمور متشابهة لابد من ردها إلى أمهاتها من المحكم</w:t>
      </w:r>
      <w:r w:rsidR="000636C2">
        <w:rPr>
          <w:rFonts w:eastAsia="Times New Roman" w:hint="cs"/>
          <w:rtl/>
        </w:rPr>
        <w:t>،</w:t>
      </w:r>
      <w:r>
        <w:rPr>
          <w:rFonts w:eastAsia="Times New Roman" w:hint="cs"/>
          <w:rtl/>
        </w:rPr>
        <w:t xml:space="preserve"> وقد قام بذلك علماء الأصول مفاخر الإسلام ومعاقد الإيمان</w:t>
      </w:r>
      <w:r w:rsidR="000636C2">
        <w:rPr>
          <w:rFonts w:eastAsia="Times New Roman" w:hint="cs"/>
          <w:rtl/>
        </w:rPr>
        <w:t>،</w:t>
      </w:r>
      <w:r>
        <w:rPr>
          <w:rFonts w:eastAsia="Times New Roman" w:hint="cs"/>
          <w:rtl/>
        </w:rPr>
        <w:t xml:space="preserve"> فضبطوا علمها وابن تيمية لا يعلم عن هذا العلم شيئاً</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ب</w:t>
      </w:r>
      <w:r w:rsidR="000636C2">
        <w:rPr>
          <w:rFonts w:eastAsia="Times New Roman" w:hint="cs"/>
          <w:rtl/>
        </w:rPr>
        <w:t xml:space="preserve">) </w:t>
      </w:r>
      <w:r>
        <w:rPr>
          <w:rFonts w:eastAsia="Times New Roman" w:hint="cs"/>
          <w:rtl/>
        </w:rPr>
        <w:t>تحريم</w:t>
      </w:r>
      <w:r w:rsidR="000636C2">
        <w:rPr>
          <w:rFonts w:eastAsia="Times New Roman" w:hint="cs"/>
          <w:rtl/>
        </w:rPr>
        <w:t xml:space="preserve"> </w:t>
      </w:r>
      <w:r>
        <w:rPr>
          <w:rFonts w:eastAsia="Times New Roman" w:hint="cs"/>
          <w:rtl/>
        </w:rPr>
        <w:t>التوسّل بالأولياء والصالحين</w:t>
      </w:r>
      <w:r w:rsidR="000636C2">
        <w:rPr>
          <w:rFonts w:eastAsia="Times New Roman" w:hint="cs"/>
          <w:rtl/>
        </w:rPr>
        <w:t>،</w:t>
      </w:r>
      <w:r>
        <w:rPr>
          <w:rFonts w:eastAsia="Times New Roman" w:hint="cs"/>
          <w:rtl/>
        </w:rPr>
        <w:t xml:space="preserve"> وتحريم الاستغاثة بالأولياء ودعوتهم لأنّها شرك بالله</w:t>
      </w:r>
      <w:r w:rsidR="000636C2">
        <w:rPr>
          <w:rFonts w:eastAsia="Times New Roman" w:hint="cs"/>
          <w:rtl/>
        </w:rPr>
        <w:t>،</w:t>
      </w:r>
      <w:r>
        <w:rPr>
          <w:rFonts w:eastAsia="Times New Roman" w:hint="cs"/>
          <w:rtl/>
        </w:rPr>
        <w:t xml:space="preserve"> وقد علمنا في كتاب التجديد الثالث</w:t>
      </w:r>
      <w:r w:rsidR="000636C2">
        <w:rPr>
          <w:rFonts w:eastAsia="Times New Roman" w:hint="cs"/>
          <w:rtl/>
        </w:rPr>
        <w:t xml:space="preserve">: </w:t>
      </w:r>
      <w:r>
        <w:rPr>
          <w:rFonts w:eastAsia="Times New Roman" w:hint="cs"/>
          <w:rtl/>
        </w:rPr>
        <w:t>تجديد علم التوحيد أنّ الشرك ضد التوحيد</w:t>
      </w:r>
      <w:r w:rsidR="000636C2">
        <w:rPr>
          <w:rFonts w:eastAsia="Times New Roman" w:hint="cs"/>
          <w:rtl/>
        </w:rPr>
        <w:t>،</w:t>
      </w:r>
      <w:r>
        <w:rPr>
          <w:rFonts w:eastAsia="Times New Roman" w:hint="cs"/>
          <w:rtl/>
        </w:rPr>
        <w:t xml:space="preserve"> والتوحيد هو افراد الله تعالى بالعبادة</w:t>
      </w:r>
      <w:r w:rsidR="000636C2">
        <w:rPr>
          <w:rFonts w:eastAsia="Times New Roman" w:hint="cs"/>
          <w:rtl/>
        </w:rPr>
        <w:t>،</w:t>
      </w:r>
      <w:r>
        <w:rPr>
          <w:rFonts w:eastAsia="Times New Roman" w:hint="cs"/>
          <w:rtl/>
        </w:rPr>
        <w:t xml:space="preserve"> وأنّ للعبادة جانب أهم وهو اعتقاد الإلهية والربوبية في المعبود</w:t>
      </w:r>
      <w:r w:rsidR="000636C2">
        <w:rPr>
          <w:rFonts w:eastAsia="Times New Roman" w:hint="cs"/>
          <w:rtl/>
        </w:rPr>
        <w:t>،</w:t>
      </w:r>
      <w:r>
        <w:rPr>
          <w:rFonts w:eastAsia="Times New Roman" w:hint="cs"/>
          <w:rtl/>
        </w:rPr>
        <w:t xml:space="preserve"> وجانب آخر هو العمل العبادي كالسجود والدعاء وغيرهما من مفردات العبادة</w:t>
      </w:r>
      <w:r w:rsidR="000636C2">
        <w:rPr>
          <w:rFonts w:eastAsia="Times New Roman" w:hint="cs"/>
          <w:rtl/>
        </w:rPr>
        <w:t>،</w:t>
      </w:r>
      <w:r>
        <w:rPr>
          <w:rFonts w:eastAsia="Times New Roman" w:hint="cs"/>
          <w:rtl/>
        </w:rPr>
        <w:t xml:space="preserve"> فمن صرفها باعتقادها كان عابدا</w:t>
      </w:r>
      <w:r w:rsidR="000636C2">
        <w:rPr>
          <w:rFonts w:eastAsia="Times New Roman" w:hint="cs"/>
          <w:rtl/>
        </w:rPr>
        <w:t>،</w:t>
      </w:r>
      <w:r>
        <w:rPr>
          <w:rFonts w:eastAsia="Times New Roman" w:hint="cs"/>
          <w:rtl/>
        </w:rPr>
        <w:t xml:space="preserve"> ومن صرفها بغير اعتقاد</w:t>
      </w:r>
      <w:r w:rsidR="000636C2">
        <w:rPr>
          <w:rFonts w:eastAsia="Times New Roman" w:hint="cs"/>
          <w:rtl/>
        </w:rPr>
        <w:t>،</w:t>
      </w:r>
      <w:r>
        <w:rPr>
          <w:rFonts w:eastAsia="Times New Roman" w:hint="cs"/>
          <w:rtl/>
        </w:rPr>
        <w:t xml:space="preserve"> فهي أبعد ما تكون عن العبادة ومنه سجود الملائكة لآدم</w:t>
      </w:r>
      <w:r w:rsidR="000636C2">
        <w:rPr>
          <w:rFonts w:eastAsia="Times New Roman" w:hint="cs"/>
          <w:rtl/>
        </w:rPr>
        <w:t>،</w:t>
      </w:r>
      <w:r>
        <w:rPr>
          <w:rFonts w:eastAsia="Times New Roman" w:hint="cs"/>
          <w:rtl/>
        </w:rPr>
        <w:t xml:space="preserve"> فأين كل هذا من التوسل بالصالحين إلى الله تعالى لنيل الشفاعة عند الله</w:t>
      </w:r>
      <w:r w:rsidR="000636C2">
        <w:rPr>
          <w:rFonts w:eastAsia="Times New Roman" w:hint="cs"/>
          <w:rtl/>
        </w:rPr>
        <w:t>،</w:t>
      </w:r>
      <w:r>
        <w:rPr>
          <w:rFonts w:eastAsia="Times New Roman" w:hint="cs"/>
          <w:rtl/>
        </w:rPr>
        <w:t xml:space="preserve"> ومع ذلك وعلى سبيل التنزل فقصاراها مسائل خلافية لا يجوز الاحتساب فيها</w:t>
      </w:r>
      <w:r w:rsidR="000636C2">
        <w:rPr>
          <w:rFonts w:eastAsia="Times New Roman" w:hint="cs"/>
          <w:rtl/>
        </w:rPr>
        <w:t>،</w:t>
      </w:r>
      <w:r>
        <w:rPr>
          <w:rFonts w:eastAsia="Times New Roman" w:hint="cs"/>
          <w:rtl/>
        </w:rPr>
        <w:t xml:space="preserve"> ولا الأمر والنهي فيما ومع ذلك أفنى ابن تيمية حياته في نصرتها في أوقات كانت الأمة تنزف دماءها بسبب ضعفها أمام الأعداء</w:t>
      </w:r>
      <w:r w:rsidR="000636C2">
        <w:rPr>
          <w:rFonts w:eastAsia="Times New Roman" w:hint="cs"/>
          <w:rtl/>
        </w:rPr>
        <w:t>،</w:t>
      </w:r>
      <w:r>
        <w:rPr>
          <w:rFonts w:eastAsia="Times New Roman" w:hint="cs"/>
          <w:rtl/>
        </w:rPr>
        <w:t xml:space="preserve"> فهل كان صوابا أن يشغب على الأمة بمفردات حشوية لا تمت إلى الأصول بنسب ولا صلة</w:t>
      </w:r>
      <w:r w:rsidR="000636C2">
        <w:rPr>
          <w:rFonts w:eastAsia="Times New Roman" w:hint="cs"/>
          <w:rtl/>
        </w:rPr>
        <w:t>، (</w:t>
      </w:r>
      <w:r>
        <w:rPr>
          <w:rFonts w:eastAsia="Times New Roman" w:hint="cs"/>
          <w:rtl/>
        </w:rPr>
        <w:t>ت</w:t>
      </w:r>
      <w:r w:rsidR="000636C2">
        <w:rPr>
          <w:rFonts w:eastAsia="Times New Roman" w:hint="cs"/>
          <w:rtl/>
        </w:rPr>
        <w:t xml:space="preserve">) </w:t>
      </w:r>
      <w:r>
        <w:rPr>
          <w:rFonts w:eastAsia="Times New Roman" w:hint="cs"/>
          <w:rtl/>
        </w:rPr>
        <w:t>تحريم شدّ الرحال إلى زيارة النبي وتعظيمه بحجّة أنّها تؤدّي إلى الشرك</w:t>
      </w:r>
      <w:r w:rsidR="000636C2">
        <w:rPr>
          <w:rFonts w:eastAsia="Times New Roman" w:hint="cs"/>
          <w:rtl/>
        </w:rPr>
        <w:t>،</w:t>
      </w:r>
      <w:r>
        <w:rPr>
          <w:rFonts w:eastAsia="Times New Roman" w:hint="cs"/>
          <w:rtl/>
        </w:rPr>
        <w:t xml:space="preserve"> وهذا أطم الطامات</w:t>
      </w:r>
      <w:r w:rsidR="000636C2">
        <w:rPr>
          <w:rFonts w:eastAsia="Times New Roman" w:hint="cs"/>
          <w:rtl/>
        </w:rPr>
        <w:t>،</w:t>
      </w:r>
      <w:r>
        <w:rPr>
          <w:rFonts w:eastAsia="Times New Roman" w:hint="cs"/>
          <w:rtl/>
        </w:rPr>
        <w:t xml:space="preserve"> حيث انفرد به عن علماء الإسلام</w:t>
      </w:r>
      <w:r w:rsidR="000636C2">
        <w:rPr>
          <w:rFonts w:eastAsia="Times New Roman" w:hint="cs"/>
          <w:rtl/>
        </w:rPr>
        <w:t>،</w:t>
      </w:r>
      <w:r>
        <w:rPr>
          <w:rFonts w:eastAsia="Times New Roman" w:hint="cs"/>
          <w:rtl/>
        </w:rPr>
        <w:t xml:space="preserve"> وحمل حديث (</w:t>
      </w:r>
      <w:r w:rsidR="000636C2">
        <w:rPr>
          <w:rFonts w:eastAsia="Times New Roman" w:hint="cs"/>
          <w:rtl/>
        </w:rPr>
        <w:t>(</w:t>
      </w:r>
      <w:r>
        <w:rPr>
          <w:rFonts w:eastAsia="Times New Roman" w:hint="cs"/>
          <w:rtl/>
        </w:rPr>
        <w:t>لا تشد الرحال</w:t>
      </w:r>
      <w:r w:rsidR="000636C2">
        <w:rPr>
          <w:rFonts w:eastAsia="Times New Roman" w:hint="cs"/>
          <w:rtl/>
        </w:rPr>
        <w:t>)</w:t>
      </w:r>
      <w:r>
        <w:rPr>
          <w:rFonts w:eastAsia="Times New Roman" w:hint="cs"/>
          <w:rtl/>
        </w:rPr>
        <w:t>)</w:t>
      </w:r>
      <w:r w:rsidR="000636C2">
        <w:rPr>
          <w:rFonts w:eastAsia="Times New Roman" w:hint="cs"/>
          <w:rtl/>
        </w:rPr>
        <w:t xml:space="preserve"> </w:t>
      </w:r>
      <w:r>
        <w:rPr>
          <w:rFonts w:eastAsia="Times New Roman" w:hint="cs"/>
          <w:rtl/>
        </w:rPr>
        <w:t>على غير محامله</w:t>
      </w:r>
      <w:r w:rsidR="000636C2">
        <w:rPr>
          <w:rFonts w:eastAsia="Times New Roman" w:hint="cs"/>
          <w:rtl/>
        </w:rPr>
        <w:t>،</w:t>
      </w:r>
      <w:r>
        <w:rPr>
          <w:rFonts w:eastAsia="Times New Roman" w:hint="cs"/>
          <w:rtl/>
        </w:rPr>
        <w:t xml:space="preserve"> فقد سيق في بيان فضل المساجد الثلاث على غيرها</w:t>
      </w:r>
      <w:r w:rsidR="000636C2">
        <w:rPr>
          <w:rFonts w:eastAsia="Times New Roman" w:hint="cs"/>
          <w:rtl/>
        </w:rPr>
        <w:t>،</w:t>
      </w:r>
      <w:r>
        <w:rPr>
          <w:rFonts w:eastAsia="Times New Roman" w:hint="cs"/>
          <w:rtl/>
        </w:rPr>
        <w:t xml:space="preserve"> فادخل فيها زيارة النبي صلى الله عليه وسلم</w:t>
      </w:r>
      <w:r w:rsidR="000636C2">
        <w:rPr>
          <w:rFonts w:eastAsia="Times New Roman" w:hint="cs"/>
          <w:rtl/>
        </w:rPr>
        <w:t>،</w:t>
      </w:r>
      <w:r>
        <w:rPr>
          <w:rFonts w:eastAsia="Times New Roman" w:hint="cs"/>
          <w:rtl/>
        </w:rPr>
        <w:t xml:space="preserve"> ولا علاقة للزيارة بالحديث</w:t>
      </w:r>
      <w:r w:rsidR="000636C2">
        <w:rPr>
          <w:rFonts w:eastAsia="Times New Roman" w:hint="cs"/>
          <w:rtl/>
        </w:rPr>
        <w:t>،</w:t>
      </w:r>
      <w:r>
        <w:rPr>
          <w:rFonts w:eastAsia="Times New Roman" w:hint="cs"/>
          <w:rtl/>
        </w:rPr>
        <w:t xml:space="preserve"> بل علاقته أقرب إلى زيارة القبور</w:t>
      </w:r>
      <w:r w:rsidR="000636C2">
        <w:rPr>
          <w:rFonts w:eastAsia="Times New Roman" w:hint="cs"/>
          <w:rtl/>
        </w:rPr>
        <w:t>،</w:t>
      </w:r>
      <w:r>
        <w:rPr>
          <w:rFonts w:eastAsia="Times New Roman" w:hint="cs"/>
          <w:rtl/>
        </w:rPr>
        <w:t xml:space="preserve"> وهي جائزة باتفاق</w:t>
      </w:r>
      <w:r w:rsidR="000636C2">
        <w:rPr>
          <w:rFonts w:eastAsia="Times New Roman" w:hint="cs"/>
          <w:rtl/>
        </w:rPr>
        <w:t>،</w:t>
      </w:r>
      <w:r>
        <w:rPr>
          <w:rFonts w:eastAsia="Times New Roman" w:hint="cs"/>
          <w:rtl/>
        </w:rPr>
        <w:t xml:space="preserve"> وأولاها قبر سيد الأولين والآخرين الذي به صلى الله عليه وسلم أخرجنا الله تعالى من الظلمات إلى النور</w:t>
      </w:r>
      <w:r w:rsidR="000636C2">
        <w:rPr>
          <w:rFonts w:eastAsia="Times New Roman" w:hint="cs"/>
          <w:rtl/>
        </w:rPr>
        <w:t>،</w:t>
      </w:r>
      <w:r>
        <w:rPr>
          <w:rFonts w:eastAsia="Times New Roman" w:hint="cs"/>
          <w:rtl/>
        </w:rPr>
        <w:t xml:space="preserve"> وما المانع أن يأتي بعده من يحرم شد الرحال للعمل أو طلب العلم</w:t>
      </w:r>
      <w:r w:rsidR="000636C2">
        <w:rPr>
          <w:rFonts w:eastAsia="Times New Roman" w:hint="cs"/>
          <w:rtl/>
        </w:rPr>
        <w:t>،</w:t>
      </w:r>
      <w:r>
        <w:rPr>
          <w:rFonts w:eastAsia="Times New Roman" w:hint="cs"/>
          <w:rtl/>
        </w:rPr>
        <w:t xml:space="preserve"> لأنّ مآخذها ومآخذ الزيارة سواء</w:t>
      </w:r>
      <w:r w:rsidR="000636C2">
        <w:rPr>
          <w:rFonts w:eastAsia="Times New Roman" w:hint="cs"/>
          <w:rtl/>
        </w:rPr>
        <w:t>،</w:t>
      </w:r>
      <w:r>
        <w:rPr>
          <w:rFonts w:eastAsia="Times New Roman" w:hint="cs"/>
          <w:rtl/>
        </w:rPr>
        <w:t xml:space="preserve"> وجميعها أجنبي عن فتوى تحريم شد الرحال</w:t>
      </w:r>
      <w:r w:rsidR="000636C2">
        <w:rPr>
          <w:rFonts w:eastAsia="Times New Roman" w:hint="cs"/>
          <w:rtl/>
        </w:rPr>
        <w:t>،</w:t>
      </w:r>
      <w:r>
        <w:rPr>
          <w:rFonts w:eastAsia="Times New Roman" w:hint="cs"/>
          <w:rtl/>
        </w:rPr>
        <w:t xml:space="preserve"> إنّ المسلمين - على مر عصور الإسلام -</w:t>
      </w:r>
      <w:r w:rsidR="000636C2">
        <w:rPr>
          <w:rFonts w:eastAsia="Times New Roman" w:hint="cs"/>
          <w:rtl/>
        </w:rPr>
        <w:t xml:space="preserve"> </w:t>
      </w:r>
      <w:r>
        <w:rPr>
          <w:rFonts w:eastAsia="Times New Roman" w:hint="cs"/>
          <w:rtl/>
        </w:rPr>
        <w:t>كانوا يحترمون قبر النبي ويزورونه</w:t>
      </w:r>
      <w:r w:rsidR="000636C2">
        <w:rPr>
          <w:rFonts w:eastAsia="Times New Roman" w:hint="cs"/>
          <w:rtl/>
        </w:rPr>
        <w:t>،</w:t>
      </w:r>
      <w:r>
        <w:rPr>
          <w:rFonts w:eastAsia="Times New Roman" w:hint="cs"/>
          <w:rtl/>
        </w:rPr>
        <w:t xml:space="preserve"> ولم تك الزيارة في تلك العصور أبداً ذريعة إلى الشرك</w:t>
      </w:r>
      <w:r w:rsidR="000636C2">
        <w:rPr>
          <w:rFonts w:eastAsia="Times New Roman" w:hint="cs"/>
          <w:rtl/>
        </w:rPr>
        <w:t>،</w:t>
      </w:r>
      <w:r>
        <w:rPr>
          <w:rFonts w:eastAsia="Times New Roman" w:hint="cs"/>
          <w:rtl/>
        </w:rPr>
        <w:t xml:space="preserve"> بل كان الهدف منها توقير النبي صلى الله عليه وسلم وتعظيم قدره</w:t>
      </w:r>
      <w:r w:rsidR="000636C2">
        <w:rPr>
          <w:rFonts w:eastAsia="Times New Roman" w:hint="cs"/>
          <w:rtl/>
        </w:rPr>
        <w:t>،</w:t>
      </w:r>
      <w:r>
        <w:rPr>
          <w:rFonts w:eastAsia="Times New Roman" w:hint="cs"/>
          <w:rtl/>
        </w:rPr>
        <w:t xml:space="preserve"> وهو مطلب قرآني</w:t>
      </w:r>
      <w:r w:rsidR="000636C2">
        <w:rPr>
          <w:rFonts w:eastAsia="Times New Roman" w:hint="cs"/>
          <w:rtl/>
        </w:rPr>
        <w:t>،</w:t>
      </w:r>
      <w:r>
        <w:rPr>
          <w:rFonts w:eastAsia="Times New Roman" w:hint="cs"/>
          <w:rtl/>
        </w:rPr>
        <w:t xml:space="preserve"> قال تعالى</w:t>
      </w:r>
      <w:r w:rsidR="000636C2">
        <w:rPr>
          <w:rFonts w:eastAsia="Times New Roman" w:hint="cs"/>
          <w:rtl/>
        </w:rPr>
        <w:t>: {</w:t>
      </w:r>
      <w:r>
        <w:rPr>
          <w:rFonts w:hint="cs"/>
          <w:rtl/>
        </w:rPr>
        <w:t xml:space="preserve">إِنَّا أَرْسَلْنَاكَ شَاهِدًا وَمُبَشِّرًا وَنَذِيرًا * لِتُؤْمِنُوا بِاللَّهِ وَرَسُولِهِ وَتُعَزِّرُوهُ </w:t>
      </w:r>
      <w:r>
        <w:rPr>
          <w:rFonts w:hint="cs"/>
          <w:rtl/>
        </w:rPr>
        <w:lastRenderedPageBreak/>
        <w:t>وَتُوَقِّرُوهُ</w:t>
      </w:r>
      <w:r w:rsidR="000636C2">
        <w:rPr>
          <w:rFonts w:eastAsia="Times New Roman" w:hint="cs"/>
          <w:rtl/>
        </w:rPr>
        <w:t>}</w:t>
      </w:r>
      <w:r>
        <w:rPr>
          <w:rFonts w:eastAsia="Times New Roman" w:hint="cs"/>
          <w:rtl/>
        </w:rPr>
        <w:t xml:space="preserve"> الآية</w:t>
      </w:r>
      <w:r w:rsidR="000636C2">
        <w:rPr>
          <w:rFonts w:eastAsia="Times New Roman" w:hint="cs"/>
          <w:rtl/>
        </w:rPr>
        <w:t xml:space="preserve">، </w:t>
      </w:r>
      <w:r>
        <w:rPr>
          <w:rFonts w:eastAsia="Times New Roman" w:hint="cs"/>
          <w:rtl/>
        </w:rPr>
        <w:t>ولكن ابن تيمية</w:t>
      </w:r>
      <w:r w:rsidR="000636C2">
        <w:rPr>
          <w:rFonts w:eastAsia="Times New Roman" w:hint="cs"/>
          <w:rtl/>
        </w:rPr>
        <w:t>،</w:t>
      </w:r>
      <w:r>
        <w:rPr>
          <w:rFonts w:eastAsia="Times New Roman" w:hint="cs"/>
          <w:rtl/>
        </w:rPr>
        <w:t xml:space="preserve"> يُخالف ذلك كله</w:t>
      </w:r>
      <w:r w:rsidR="000636C2">
        <w:rPr>
          <w:rFonts w:eastAsia="Times New Roman" w:hint="cs"/>
          <w:rtl/>
        </w:rPr>
        <w:t xml:space="preserve">، </w:t>
      </w:r>
      <w:r>
        <w:rPr>
          <w:rFonts w:eastAsia="Times New Roman" w:hint="cs"/>
          <w:rtl/>
        </w:rPr>
        <w:t>ويحرّم شدّ الرحال إلى زيارته صلى الله عليه وسلم</w:t>
      </w:r>
      <w:r w:rsidR="000636C2">
        <w:rPr>
          <w:rFonts w:eastAsia="Times New Roman" w:hint="cs"/>
          <w:rtl/>
        </w:rPr>
        <w:t xml:space="preserve"> </w:t>
      </w:r>
      <w:r>
        <w:rPr>
          <w:rFonts w:eastAsia="Times New Roman" w:hint="cs"/>
          <w:rtl/>
        </w:rPr>
        <w:t>تمسكاً بحديث غير دال على ما ذهب إليه</w:t>
      </w:r>
      <w:r w:rsidR="000636C2">
        <w:rPr>
          <w:rFonts w:eastAsia="Times New Roman" w:hint="cs"/>
          <w:rtl/>
        </w:rPr>
        <w:t>،</w:t>
      </w:r>
      <w:r>
        <w:rPr>
          <w:rFonts w:eastAsia="Times New Roman" w:hint="cs"/>
          <w:rtl/>
        </w:rPr>
        <w:t xml:space="preserve"> فما ذنب الإسلام إن كانت بعض الأفكار الحشوية والخاطئة قد تسربت إلى عقل ابن تيمية ومن ثم إلى أتباعه</w:t>
      </w:r>
      <w:r w:rsidR="000636C2">
        <w:rPr>
          <w:rFonts w:eastAsia="Times New Roman" w:hint="cs"/>
          <w:rtl/>
        </w:rPr>
        <w:t>،</w:t>
      </w:r>
    </w:p>
    <w:p w14:paraId="43DA3B12" w14:textId="4DEEF12E" w:rsidR="009C32A0" w:rsidRDefault="009C32A0" w:rsidP="000636C2">
      <w:pPr>
        <w:ind w:left="-58"/>
        <w:rPr>
          <w:rFonts w:eastAsia="Times New Roman"/>
          <w:b/>
          <w:rtl/>
        </w:rPr>
      </w:pPr>
      <w:r>
        <w:rPr>
          <w:rFonts w:eastAsia="Times New Roman" w:hint="cs"/>
          <w:bCs/>
          <w:rtl/>
        </w:rPr>
        <w:t>تسرب أفكار الحشوية إلى ابن تيمية</w:t>
      </w:r>
      <w:r w:rsidR="000636C2">
        <w:rPr>
          <w:rFonts w:eastAsia="Times New Roman" w:hint="cs"/>
          <w:rtl/>
        </w:rPr>
        <w:t xml:space="preserve">: </w:t>
      </w:r>
      <w:r>
        <w:rPr>
          <w:rFonts w:eastAsia="Times New Roman" w:hint="cs"/>
          <w:rtl/>
        </w:rPr>
        <w:t>الحقيقة المؤسفة لمثلي - ممن درس الأصول وتخصص فيها - أنّي أعلم يقيناً أنّ الكثير من أفكار الحشوية قد تسربت إلى الإمام ابن تيمية</w:t>
      </w:r>
      <w:r w:rsidR="000636C2">
        <w:rPr>
          <w:rFonts w:eastAsia="Times New Roman" w:hint="cs"/>
          <w:rtl/>
        </w:rPr>
        <w:t>،</w:t>
      </w:r>
      <w:r>
        <w:rPr>
          <w:rFonts w:eastAsia="Times New Roman" w:hint="cs"/>
          <w:rtl/>
        </w:rPr>
        <w:t xml:space="preserve"> بل يمكنني أن أُقسم قسماً وأحلف يميناً - أسأل عنه يوم القيامة</w:t>
      </w:r>
      <w:r w:rsidR="000636C2">
        <w:rPr>
          <w:rFonts w:eastAsia="Times New Roman" w:hint="cs"/>
          <w:rtl/>
        </w:rPr>
        <w:t>،</w:t>
      </w:r>
      <w:r>
        <w:rPr>
          <w:rFonts w:eastAsia="Times New Roman" w:hint="cs"/>
          <w:rtl/>
        </w:rPr>
        <w:t xml:space="preserve"> وما أقسمته إلا شفقه بالمسلمين - أنّ ابن تيمية لم يكن سلفياً صافيا</w:t>
      </w:r>
      <w:r w:rsidR="000636C2">
        <w:rPr>
          <w:rFonts w:eastAsia="Times New Roman" w:hint="cs"/>
          <w:rtl/>
        </w:rPr>
        <w:t>،</w:t>
      </w:r>
      <w:r>
        <w:rPr>
          <w:rFonts w:eastAsia="Times New Roman" w:hint="cs"/>
          <w:rtl/>
        </w:rPr>
        <w:t xml:space="preserve"> بل تسربت إليه العديد من مفردات المذهب الحشوي</w:t>
      </w:r>
      <w:r w:rsidR="000636C2">
        <w:rPr>
          <w:rFonts w:eastAsia="Times New Roman" w:hint="cs"/>
          <w:rtl/>
        </w:rPr>
        <w:t>،</w:t>
      </w:r>
      <w:r>
        <w:rPr>
          <w:rFonts w:eastAsia="Times New Roman" w:hint="cs"/>
          <w:rtl/>
        </w:rPr>
        <w:t xml:space="preserve"> تسربت إليه من مؤلفات الحشو التي ظن أنّ لها من اسمها نصيب</w:t>
      </w:r>
      <w:r w:rsidR="000636C2">
        <w:rPr>
          <w:rFonts w:eastAsia="Times New Roman" w:hint="cs"/>
          <w:rtl/>
        </w:rPr>
        <w:t>،</w:t>
      </w:r>
      <w:r>
        <w:rPr>
          <w:rFonts w:eastAsia="Times New Roman" w:hint="cs"/>
          <w:rtl/>
        </w:rPr>
        <w:t xml:space="preserve"> وقد سماها أصحابها بكتب السنّة والشريعة والتوحيد</w:t>
      </w:r>
      <w:r w:rsidR="000636C2">
        <w:rPr>
          <w:rFonts w:eastAsia="Times New Roman" w:hint="cs"/>
          <w:rtl/>
        </w:rPr>
        <w:t>،</w:t>
      </w:r>
      <w:r>
        <w:rPr>
          <w:rFonts w:eastAsia="Times New Roman" w:hint="cs"/>
          <w:rtl/>
        </w:rPr>
        <w:t xml:space="preserve"> وفيها من الحشو ومحاربة الأصول وهدم الصروح العلمية والقواعد التقديسية والأصول التنزيهية الكثير والكثير مما أضر به</w:t>
      </w:r>
      <w:r w:rsidR="000636C2">
        <w:rPr>
          <w:rFonts w:eastAsia="Times New Roman" w:hint="cs"/>
          <w:rtl/>
        </w:rPr>
        <w:t>،</w:t>
      </w:r>
      <w:r>
        <w:rPr>
          <w:rFonts w:eastAsia="Times New Roman" w:hint="cs"/>
          <w:rtl/>
        </w:rPr>
        <w:t xml:space="preserve"> وبأتباعه من بعده</w:t>
      </w:r>
      <w:r w:rsidR="000636C2">
        <w:rPr>
          <w:rFonts w:eastAsia="Times New Roman" w:hint="cs"/>
          <w:rtl/>
        </w:rPr>
        <w:t>،</w:t>
      </w:r>
      <w:r>
        <w:rPr>
          <w:rFonts w:eastAsia="Times New Roman" w:hint="cs"/>
          <w:rtl/>
        </w:rPr>
        <w:t xml:space="preserve"> لكني أظن أنّ أكثر من أضر به في هذا المجال هما </w:t>
      </w:r>
      <w:r>
        <w:rPr>
          <w:rFonts w:hint="cs"/>
          <w:rtl/>
        </w:rPr>
        <w:t>كتابي عثمان بن سعيد</w:t>
      </w:r>
      <w:r w:rsidR="000636C2">
        <w:rPr>
          <w:rFonts w:hint="cs"/>
          <w:rtl/>
        </w:rPr>
        <w:t xml:space="preserve"> </w:t>
      </w:r>
      <w:r>
        <w:rPr>
          <w:rFonts w:hint="cs"/>
          <w:rtl/>
        </w:rPr>
        <w:t>الدارمي</w:t>
      </w:r>
      <w:r w:rsidR="000636C2">
        <w:rPr>
          <w:rFonts w:hint="cs"/>
          <w:rtl/>
        </w:rPr>
        <w:t>،</w:t>
      </w:r>
      <w:r>
        <w:rPr>
          <w:rFonts w:hint="cs"/>
          <w:rtl/>
        </w:rPr>
        <w:t xml:space="preserve"> </w:t>
      </w:r>
      <w:r w:rsidR="000636C2">
        <w:rPr>
          <w:rFonts w:hint="cs"/>
          <w:rtl/>
        </w:rPr>
        <w:t>(</w:t>
      </w:r>
      <w:r>
        <w:rPr>
          <w:rFonts w:hint="cs"/>
          <w:rtl/>
        </w:rPr>
        <w:t>الأول</w:t>
      </w:r>
      <w:r w:rsidR="000636C2">
        <w:rPr>
          <w:rFonts w:hint="cs"/>
          <w:rtl/>
        </w:rPr>
        <w:t xml:space="preserve">) </w:t>
      </w:r>
      <w:r>
        <w:rPr>
          <w:rFonts w:hint="cs"/>
          <w:rtl/>
        </w:rPr>
        <w:t>كتاب الرد على الجهمية</w:t>
      </w:r>
      <w:r w:rsidR="000636C2">
        <w:rPr>
          <w:rFonts w:hint="cs"/>
          <w:rtl/>
        </w:rPr>
        <w:t xml:space="preserve">: </w:t>
      </w:r>
      <w:r>
        <w:rPr>
          <w:rFonts w:hint="cs"/>
          <w:rtl/>
        </w:rPr>
        <w:t>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sidR="000636C2">
        <w:rPr>
          <w:rFonts w:hint="cs"/>
          <w:rtl/>
        </w:rPr>
        <w:t>،</w:t>
      </w:r>
      <w:r>
        <w:rPr>
          <w:rFonts w:hint="cs"/>
          <w:rtl/>
        </w:rPr>
        <w:t xml:space="preserve"> </w:t>
      </w:r>
      <w:r w:rsidR="000636C2">
        <w:rPr>
          <w:rFonts w:hint="cs"/>
          <w:rtl/>
        </w:rPr>
        <w:t>(</w:t>
      </w:r>
      <w:r>
        <w:rPr>
          <w:rFonts w:hint="cs"/>
          <w:rtl/>
        </w:rPr>
        <w:t>والثاني</w:t>
      </w:r>
      <w:r w:rsidR="000636C2">
        <w:rPr>
          <w:rFonts w:hint="cs"/>
          <w:rtl/>
        </w:rPr>
        <w:t xml:space="preserve">) </w:t>
      </w:r>
      <w:r>
        <w:rPr>
          <w:rFonts w:hint="cs"/>
          <w:rtl/>
        </w:rPr>
        <w:t>نقض عثمان بن سعيد على المريسي</w:t>
      </w:r>
      <w:r w:rsidR="000636C2">
        <w:rPr>
          <w:rFonts w:hint="cs"/>
          <w:rtl/>
        </w:rPr>
        <w:t xml:space="preserve">: </w:t>
      </w:r>
      <w:r>
        <w:rPr>
          <w:rFonts w:hint="cs"/>
          <w:rtl/>
        </w:rPr>
        <w:t>وهو مثل سابقه في الحشو</w:t>
      </w:r>
      <w:r w:rsidR="000636C2">
        <w:rPr>
          <w:rFonts w:hint="cs"/>
          <w:rtl/>
        </w:rPr>
        <w:t>،</w:t>
      </w:r>
      <w:r>
        <w:rPr>
          <w:rFonts w:hint="cs"/>
          <w:rtl/>
        </w:rPr>
        <w:t xml:space="preserve">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0636C2">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0636C2">
        <w:rPr>
          <w:rFonts w:hint="cs"/>
          <w:rtl/>
        </w:rPr>
        <w:t>: (</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0636C2">
        <w:rPr>
          <w:rFonts w:hint="cs"/>
          <w:rtl/>
        </w:rPr>
        <w:t xml:space="preserve">، </w:t>
      </w:r>
      <w:r>
        <w:rPr>
          <w:rFonts w:hint="cs"/>
          <w:rtl/>
        </w:rPr>
        <w:t>وكان شيخ الإسلام ابن تيمية رحمه الله يوصي بهذين الكتابين أشد الوصية ويعظمهما جداً</w:t>
      </w:r>
      <w:r w:rsidR="000636C2">
        <w:rPr>
          <w:rFonts w:hint="cs"/>
          <w:rtl/>
        </w:rPr>
        <w:t xml:space="preserve">، </w:t>
      </w:r>
      <w:r>
        <w:rPr>
          <w:rFonts w:hint="cs"/>
          <w:rtl/>
        </w:rPr>
        <w:t>وفيهما من تقرير التوحيد والأسماء والصفات بالعقل والنقل ما ليس في غيرهما</w:t>
      </w:r>
      <w:r w:rsidR="000636C2">
        <w:rPr>
          <w:rFonts w:hint="cs"/>
          <w:rtl/>
        </w:rPr>
        <w:t>) [</w:t>
      </w:r>
      <w:r>
        <w:rPr>
          <w:rFonts w:hint="cs"/>
          <w:color w:val="000000"/>
          <w:rtl/>
        </w:rPr>
        <w:t xml:space="preserve">اجتماع </w:t>
      </w:r>
      <w:r>
        <w:rPr>
          <w:rFonts w:hint="cs"/>
          <w:color w:val="000000"/>
          <w:rtl/>
        </w:rPr>
        <w:lastRenderedPageBreak/>
        <w:t>الجيوش 143</w:t>
      </w:r>
      <w:r w:rsidR="000636C2">
        <w:rPr>
          <w:rFonts w:hint="cs"/>
          <w:rtl/>
        </w:rPr>
        <w:t>]،</w:t>
      </w:r>
      <w:r>
        <w:rPr>
          <w:rFonts w:hint="cs"/>
          <w:rtl/>
        </w:rPr>
        <w:t xml:space="preserve"> ومع أن الحافظ الذهبي ينقل عن الدارمي ويثني عليه إلا أنه نبه إلى غلو الدارمي فقال</w:t>
      </w:r>
      <w:r w:rsidR="000636C2">
        <w:rPr>
          <w:rFonts w:hint="cs"/>
          <w:rtl/>
        </w:rPr>
        <w:t>: (</w:t>
      </w:r>
      <w:r>
        <w:rPr>
          <w:rFonts w:hint="cs"/>
          <w:rtl/>
        </w:rPr>
        <w:t>وفي كتابه بحوث عجيبة مع المريسي يبالغ فيها في الإثبات والسكوت عنها أشبه بمنهج السلف في القديم</w:t>
      </w:r>
      <w:r w:rsidR="000636C2">
        <w:rPr>
          <w:rFonts w:hint="cs"/>
          <w:rtl/>
        </w:rPr>
        <w:t>) [</w:t>
      </w:r>
      <w:r>
        <w:rPr>
          <w:rFonts w:hint="cs"/>
          <w:color w:val="000000"/>
          <w:rtl/>
        </w:rPr>
        <w:t>العلو للعلي الغفار1/ 195</w:t>
      </w:r>
      <w:r w:rsidR="000636C2">
        <w:rPr>
          <w:rFonts w:hint="cs"/>
          <w:rtl/>
        </w:rPr>
        <w:t>]،</w:t>
      </w:r>
      <w:r>
        <w:rPr>
          <w:rFonts w:eastAsia="Times New Roman" w:hint="cs"/>
          <w:rtl/>
        </w:rPr>
        <w:t>إنّ الموالين لابن تيمية والمقتفين أثره يصفونه بالسلفية</w:t>
      </w:r>
      <w:r w:rsidR="000636C2">
        <w:rPr>
          <w:rFonts w:eastAsia="Times New Roman" w:hint="cs"/>
          <w:rtl/>
        </w:rPr>
        <w:t>،</w:t>
      </w:r>
      <w:r>
        <w:rPr>
          <w:rFonts w:eastAsia="Times New Roman" w:hint="cs"/>
          <w:rtl/>
        </w:rPr>
        <w:t xml:space="preserve"> ويعتقدون فيه بأنّه محيي مذهب السلف</w:t>
      </w:r>
      <w:r w:rsidR="000636C2">
        <w:rPr>
          <w:rFonts w:eastAsia="Times New Roman" w:hint="cs"/>
          <w:rtl/>
        </w:rPr>
        <w:t>،</w:t>
      </w:r>
      <w:r>
        <w:rPr>
          <w:rFonts w:eastAsia="Times New Roman" w:hint="cs"/>
          <w:rtl/>
        </w:rPr>
        <w:t xml:space="preserve"> ومجدد السلفية</w:t>
      </w:r>
      <w:r w:rsidR="000636C2">
        <w:rPr>
          <w:rFonts w:eastAsia="Times New Roman" w:hint="cs"/>
          <w:rtl/>
        </w:rPr>
        <w:t>،</w:t>
      </w:r>
      <w:r>
        <w:rPr>
          <w:rFonts w:eastAsia="Times New Roman" w:hint="cs"/>
          <w:rtl/>
        </w:rPr>
        <w:t xml:space="preserve"> ولكنّه للأسف جدد معها بناء المدرسة الحشسوية بكل مفرداتها</w:t>
      </w:r>
      <w:r w:rsidR="000636C2">
        <w:rPr>
          <w:rFonts w:eastAsia="Times New Roman" w:hint="cs"/>
          <w:rtl/>
        </w:rPr>
        <w:t>،</w:t>
      </w:r>
      <w:r>
        <w:rPr>
          <w:rFonts w:eastAsia="Times New Roman" w:hint="cs"/>
          <w:rtl/>
        </w:rPr>
        <w:t xml:space="preserve"> وأخص صفاتها من محاربة التخصص العلمي والاستهانة به والجهل المطبق بقواعد التقديس والتنزيه والتوحيد</w:t>
      </w:r>
      <w:r w:rsidR="000636C2">
        <w:rPr>
          <w:rFonts w:eastAsia="Times New Roman" w:hint="cs"/>
          <w:rtl/>
        </w:rPr>
        <w:t xml:space="preserve">، </w:t>
      </w:r>
      <w:r>
        <w:rPr>
          <w:rFonts w:eastAsia="Times New Roman" w:hint="cs"/>
          <w:rtl/>
        </w:rPr>
        <w:t>إنّ المسلمين على زمان ابن تيمية كادوا يستقرون عقدياً</w:t>
      </w:r>
      <w:r w:rsidR="000636C2">
        <w:rPr>
          <w:rFonts w:eastAsia="Times New Roman" w:hint="cs"/>
          <w:rtl/>
        </w:rPr>
        <w:t>،</w:t>
      </w:r>
      <w:r>
        <w:rPr>
          <w:rFonts w:eastAsia="Times New Roman" w:hint="cs"/>
          <w:rtl/>
        </w:rPr>
        <w:t xml:space="preserve"> على مدارس الأصول من الأثرية اتباع السلف الحقيقيون</w:t>
      </w:r>
      <w:r w:rsidR="000636C2">
        <w:rPr>
          <w:rFonts w:eastAsia="Times New Roman" w:hint="cs"/>
          <w:rtl/>
        </w:rPr>
        <w:t>،</w:t>
      </w:r>
      <w:r>
        <w:rPr>
          <w:rFonts w:eastAsia="Times New Roman" w:hint="cs"/>
          <w:rtl/>
        </w:rPr>
        <w:t xml:space="preserve"> فلا يتتبعون المتشابه ولا يخوضون فيه</w:t>
      </w:r>
      <w:r w:rsidR="000636C2">
        <w:rPr>
          <w:rFonts w:eastAsia="Times New Roman" w:hint="cs"/>
          <w:rtl/>
        </w:rPr>
        <w:t>،</w:t>
      </w:r>
      <w:r>
        <w:rPr>
          <w:rFonts w:eastAsia="Times New Roman" w:hint="cs"/>
          <w:rtl/>
        </w:rPr>
        <w:t xml:space="preserve"> بلا كيف ولا معنى</w:t>
      </w:r>
      <w:r w:rsidR="000636C2">
        <w:rPr>
          <w:rFonts w:eastAsia="Times New Roman" w:hint="cs"/>
          <w:rtl/>
        </w:rPr>
        <w:t>،</w:t>
      </w:r>
      <w:r>
        <w:rPr>
          <w:rFonts w:eastAsia="Times New Roman" w:hint="cs"/>
          <w:rtl/>
        </w:rPr>
        <w:t xml:space="preserve"> والأشعريىة والماتريدية</w:t>
      </w:r>
      <w:r w:rsidR="000636C2">
        <w:rPr>
          <w:rFonts w:eastAsia="Times New Roman" w:hint="cs"/>
          <w:rtl/>
        </w:rPr>
        <w:t>،</w:t>
      </w:r>
      <w:r>
        <w:rPr>
          <w:rFonts w:eastAsia="Times New Roman" w:hint="cs"/>
          <w:rtl/>
        </w:rPr>
        <w:t xml:space="preserve"> فحول الأصول</w:t>
      </w:r>
      <w:r w:rsidR="000636C2">
        <w:rPr>
          <w:rFonts w:eastAsia="Times New Roman" w:hint="cs"/>
          <w:rtl/>
        </w:rPr>
        <w:t>،</w:t>
      </w:r>
      <w:r>
        <w:rPr>
          <w:rFonts w:eastAsia="Times New Roman" w:hint="cs"/>
          <w:rtl/>
        </w:rPr>
        <w:t xml:space="preserve"> ووقد هذبوا العقائد وصفوها من شوائب الاعتزال والتجسيم والحشو</w:t>
      </w:r>
      <w:r w:rsidR="000636C2">
        <w:rPr>
          <w:rFonts w:eastAsia="Times New Roman" w:hint="cs"/>
          <w:rtl/>
        </w:rPr>
        <w:t>،</w:t>
      </w:r>
      <w:r>
        <w:rPr>
          <w:rFonts w:eastAsia="Times New Roman" w:hint="cs"/>
          <w:rtl/>
        </w:rPr>
        <w:t xml:space="preserve"> وكادوا يستقرون فقهياً</w:t>
      </w:r>
      <w:r w:rsidR="000636C2">
        <w:rPr>
          <w:rFonts w:eastAsia="Times New Roman" w:hint="cs"/>
          <w:rtl/>
        </w:rPr>
        <w:t>،</w:t>
      </w:r>
      <w:r>
        <w:rPr>
          <w:rFonts w:eastAsia="Times New Roman" w:hint="cs"/>
          <w:rtl/>
        </w:rPr>
        <w:t xml:space="preserve"> على المذاهب الأربعة وقد نقوا الفقه وصفوه من شذوذات ابن حزم والظاهرية وأنصاف الفقهاء</w:t>
      </w:r>
      <w:r w:rsidR="000636C2">
        <w:rPr>
          <w:rFonts w:eastAsia="Times New Roman" w:hint="cs"/>
          <w:rtl/>
        </w:rPr>
        <w:t>،</w:t>
      </w:r>
      <w:r>
        <w:rPr>
          <w:rFonts w:eastAsia="Times New Roman" w:hint="cs"/>
          <w:rtl/>
        </w:rPr>
        <w:t xml:space="preserve"> وكادوا يستقرون في التزكية على أرقى وسائل التزكية والتصوف والإحسان</w:t>
      </w:r>
      <w:r w:rsidR="000636C2">
        <w:rPr>
          <w:rFonts w:eastAsia="Times New Roman" w:hint="cs"/>
          <w:rtl/>
        </w:rPr>
        <w:t>،</w:t>
      </w:r>
      <w:r>
        <w:rPr>
          <w:rFonts w:eastAsia="Times New Roman" w:hint="cs"/>
          <w:rtl/>
        </w:rPr>
        <w:t xml:space="preserve"> في مدارس التربية التي تلائم العامة والخاصة</w:t>
      </w:r>
      <w:r w:rsidR="000636C2">
        <w:rPr>
          <w:rFonts w:eastAsia="Times New Roman" w:hint="cs"/>
          <w:rtl/>
        </w:rPr>
        <w:t>،</w:t>
      </w:r>
      <w:r>
        <w:rPr>
          <w:rFonts w:eastAsia="Times New Roman" w:hint="cs"/>
          <w:rtl/>
        </w:rPr>
        <w:t xml:space="preserve"> والمسلمين والمحسنين</w:t>
      </w:r>
      <w:r w:rsidR="000636C2">
        <w:rPr>
          <w:rFonts w:eastAsia="Times New Roman" w:hint="cs"/>
          <w:rtl/>
        </w:rPr>
        <w:t>،</w:t>
      </w:r>
      <w:r>
        <w:rPr>
          <w:rFonts w:eastAsia="Times New Roman" w:hint="cs"/>
          <w:rtl/>
        </w:rPr>
        <w:t xml:space="preserve"> وآنذاك يتفرغ المسلمون لنشر دينهم على أرقى وأحسن ما يكون التخصص العلمي المطلوب</w:t>
      </w:r>
      <w:r w:rsidR="000636C2">
        <w:rPr>
          <w:rFonts w:eastAsia="Times New Roman" w:hint="cs"/>
          <w:rtl/>
        </w:rPr>
        <w:t>،</w:t>
      </w:r>
      <w:r>
        <w:rPr>
          <w:rFonts w:eastAsia="Times New Roman" w:hint="cs"/>
          <w:rtl/>
        </w:rPr>
        <w:t xml:space="preserve"> فبزغ نجم ابن تيمية</w:t>
      </w:r>
      <w:r w:rsidR="000636C2">
        <w:rPr>
          <w:rFonts w:eastAsia="Times New Roman" w:hint="cs"/>
          <w:rtl/>
        </w:rPr>
        <w:t>،</w:t>
      </w:r>
      <w:r>
        <w:rPr>
          <w:rFonts w:eastAsia="Times New Roman" w:hint="cs"/>
          <w:rtl/>
        </w:rPr>
        <w:t xml:space="preserve"> فهاجم الأصول والفروع والوسائل</w:t>
      </w:r>
      <w:r w:rsidR="000636C2">
        <w:rPr>
          <w:rFonts w:eastAsia="Times New Roman" w:hint="cs"/>
          <w:rtl/>
        </w:rPr>
        <w:t>،</w:t>
      </w:r>
      <w:r>
        <w:rPr>
          <w:rFonts w:eastAsia="Times New Roman" w:hint="cs"/>
          <w:rtl/>
        </w:rPr>
        <w:t xml:space="preserve"> وأخذ يهوش على المتخصصين</w:t>
      </w:r>
      <w:r w:rsidR="000636C2">
        <w:rPr>
          <w:rFonts w:eastAsia="Times New Roman" w:hint="cs"/>
          <w:rtl/>
        </w:rPr>
        <w:t>،</w:t>
      </w:r>
      <w:r>
        <w:rPr>
          <w:rFonts w:eastAsia="Times New Roman" w:hint="cs"/>
          <w:rtl/>
        </w:rPr>
        <w:t xml:space="preserve"> فنصحوه ووعظوه</w:t>
      </w:r>
      <w:r w:rsidR="000636C2">
        <w:rPr>
          <w:rFonts w:eastAsia="Times New Roman" w:hint="cs"/>
          <w:rtl/>
        </w:rPr>
        <w:t>،</w:t>
      </w:r>
      <w:r>
        <w:rPr>
          <w:rFonts w:eastAsia="Times New Roman" w:hint="cs"/>
          <w:rtl/>
        </w:rPr>
        <w:t xml:space="preserve"> فلما خافوا من فتنته للعامة والجهلاء سجنوه وخافوا الله تعالى فيه فلم يقتلوه</w:t>
      </w:r>
      <w:r w:rsidR="000636C2">
        <w:rPr>
          <w:rFonts w:eastAsia="Times New Roman" w:hint="cs"/>
          <w:rtl/>
        </w:rPr>
        <w:t>،</w:t>
      </w:r>
      <w:r>
        <w:rPr>
          <w:rFonts w:eastAsia="Times New Roman" w:hint="cs"/>
          <w:rtl/>
        </w:rPr>
        <w:t xml:space="preserve"> ثم لم يهدأ حتى دخل في دهاليز مظلمة من الحديث عن علم الكلام والمعقول والمنقول</w:t>
      </w:r>
      <w:r w:rsidR="000636C2">
        <w:rPr>
          <w:rFonts w:eastAsia="Times New Roman" w:hint="cs"/>
          <w:rtl/>
        </w:rPr>
        <w:t>،</w:t>
      </w:r>
      <w:r>
        <w:rPr>
          <w:rFonts w:eastAsia="Times New Roman" w:hint="cs"/>
          <w:rtl/>
        </w:rPr>
        <w:t xml:space="preserve"> وهو والله لا يبلغ قطرة في بحور الأشعرية والماتريدية مصابيح الزمان</w:t>
      </w:r>
      <w:r w:rsidR="000636C2">
        <w:rPr>
          <w:rFonts w:eastAsia="Times New Roman" w:hint="cs"/>
          <w:rtl/>
        </w:rPr>
        <w:t>،</w:t>
      </w:r>
      <w:r>
        <w:rPr>
          <w:rFonts w:eastAsia="Times New Roman" w:hint="cs"/>
          <w:rtl/>
        </w:rPr>
        <w:t xml:space="preserve"> وحاملي لواء التقديس والتنزيه مفخرة عقائد الإسلام في كل مكان</w:t>
      </w:r>
      <w:r w:rsidR="000636C2">
        <w:rPr>
          <w:rFonts w:eastAsia="Times New Roman" w:hint="cs"/>
          <w:rtl/>
        </w:rPr>
        <w:t>،</w:t>
      </w:r>
      <w:r>
        <w:rPr>
          <w:rFonts w:eastAsia="Times New Roman" w:hint="cs"/>
          <w:rtl/>
        </w:rPr>
        <w:t xml:space="preserve"> فجال وصال وقطع الطريق على العلماء والفقهاء والعارفين</w:t>
      </w:r>
      <w:r w:rsidR="000636C2">
        <w:rPr>
          <w:rFonts w:eastAsia="Times New Roman" w:hint="cs"/>
          <w:rtl/>
        </w:rPr>
        <w:t>،</w:t>
      </w:r>
      <w:r>
        <w:rPr>
          <w:rFonts w:eastAsia="Times New Roman" w:hint="cs"/>
          <w:rtl/>
        </w:rPr>
        <w:t xml:space="preserve"> ثم لم يهدأ حتى نال من منزلة سيد الأنام بأن حرّم التبرك والتوسل به إلى الله تعالى</w:t>
      </w:r>
      <w:r w:rsidR="000636C2">
        <w:rPr>
          <w:rFonts w:eastAsia="Times New Roman" w:hint="cs"/>
          <w:rtl/>
        </w:rPr>
        <w:t>،</w:t>
      </w:r>
      <w:r>
        <w:rPr>
          <w:rFonts w:eastAsia="Times New Roman" w:hint="cs"/>
          <w:rtl/>
        </w:rPr>
        <w:t xml:space="preserve"> مع أنّه أفضل الوسائل وأقصر الطرق إلى رضا الله</w:t>
      </w:r>
      <w:r w:rsidR="000636C2">
        <w:rPr>
          <w:rFonts w:eastAsia="Times New Roman" w:hint="cs"/>
          <w:rtl/>
        </w:rPr>
        <w:t>،</w:t>
      </w:r>
      <w:r>
        <w:rPr>
          <w:rFonts w:eastAsia="Times New Roman" w:hint="cs"/>
          <w:rtl/>
        </w:rPr>
        <w:t xml:space="preserve"> ثم أضحك الثكلى بتحريم التبرك وقصد زيارته عليه الصلاة والسلام</w:t>
      </w:r>
      <w:r w:rsidR="000636C2">
        <w:rPr>
          <w:rFonts w:eastAsia="Times New Roman" w:hint="cs"/>
          <w:rtl/>
        </w:rPr>
        <w:t>،</w:t>
      </w:r>
      <w:r>
        <w:rPr>
          <w:rFonts w:eastAsia="Times New Roman" w:hint="cs"/>
          <w:rtl/>
        </w:rPr>
        <w:t xml:space="preserve"> في زمان كانت الأمة جميعا على جواز تلك الأعمال وأنّها من فضائل</w:t>
      </w:r>
      <w:r w:rsidR="000636C2">
        <w:rPr>
          <w:rFonts w:eastAsia="Times New Roman" w:hint="cs"/>
          <w:rtl/>
        </w:rPr>
        <w:t xml:space="preserve"> </w:t>
      </w:r>
      <w:r>
        <w:rPr>
          <w:rFonts w:eastAsia="Times New Roman" w:hint="cs"/>
          <w:rtl/>
        </w:rPr>
        <w:t>الأعمال</w:t>
      </w:r>
      <w:r w:rsidR="000636C2">
        <w:rPr>
          <w:rFonts w:eastAsia="Times New Roman" w:hint="cs"/>
          <w:rtl/>
        </w:rPr>
        <w:t>،</w:t>
      </w:r>
      <w:r>
        <w:rPr>
          <w:rFonts w:eastAsia="Times New Roman" w:hint="cs"/>
          <w:rtl/>
        </w:rPr>
        <w:t xml:space="preserve"> فهل كانت الأمة في زمانه على ضلال مبين</w:t>
      </w:r>
      <w:r w:rsidR="000636C2">
        <w:rPr>
          <w:rFonts w:eastAsia="Times New Roman" w:hint="cs"/>
          <w:rtl/>
        </w:rPr>
        <w:t>،</w:t>
      </w:r>
      <w:r>
        <w:rPr>
          <w:rFonts w:eastAsia="Times New Roman" w:hint="cs"/>
          <w:rtl/>
        </w:rPr>
        <w:t xml:space="preserve"> حتى انتشلها من الظلام</w:t>
      </w:r>
      <w:r w:rsidR="000636C2">
        <w:rPr>
          <w:rFonts w:eastAsia="Times New Roman" w:hint="cs"/>
          <w:rtl/>
        </w:rPr>
        <w:t>،</w:t>
      </w:r>
      <w:r>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000636C2">
        <w:rPr>
          <w:rFonts w:eastAsia="Times New Roman" w:hint="cs"/>
          <w:rtl/>
        </w:rPr>
        <w:t>،</w:t>
      </w:r>
      <w:r>
        <w:rPr>
          <w:rFonts w:eastAsia="Times New Roman" w:hint="cs"/>
          <w:rtl/>
        </w:rPr>
        <w:t xml:space="preserve"> بما لا ينبغي</w:t>
      </w:r>
      <w:r w:rsidR="000636C2">
        <w:rPr>
          <w:rFonts w:eastAsia="Times New Roman" w:hint="cs"/>
          <w:rtl/>
        </w:rPr>
        <w:t>،</w:t>
      </w:r>
      <w:r>
        <w:rPr>
          <w:rFonts w:eastAsia="Times New Roman" w:hint="cs"/>
          <w:rtl/>
        </w:rPr>
        <w:t xml:space="preserve"> إذ لكل مقام مقال</w:t>
      </w:r>
      <w:r w:rsidR="000636C2">
        <w:rPr>
          <w:rFonts w:eastAsia="Times New Roman" w:hint="cs"/>
          <w:rtl/>
        </w:rPr>
        <w:t>،</w:t>
      </w:r>
      <w:r>
        <w:rPr>
          <w:rFonts w:eastAsia="Times New Roman" w:hint="cs"/>
          <w:rtl/>
        </w:rPr>
        <w:t xml:space="preserve"> وهل الرد على الروافض يُجيز له إساءة الادب مع والد السبطين سيدا شباب أهل الجنّة الحسن والحسين</w:t>
      </w:r>
      <w:r w:rsidR="000636C2">
        <w:rPr>
          <w:rFonts w:eastAsia="Times New Roman" w:hint="cs"/>
          <w:rtl/>
        </w:rPr>
        <w:t>،</w:t>
      </w:r>
      <w:r>
        <w:rPr>
          <w:rFonts w:eastAsia="Times New Roman" w:hint="cs"/>
          <w:rtl/>
        </w:rPr>
        <w:t xml:space="preserve"> ثم تكلم عن الطاهر المطهر سيدنا الحسين</w:t>
      </w:r>
      <w:r w:rsidR="000636C2">
        <w:rPr>
          <w:rFonts w:eastAsia="Times New Roman" w:hint="cs"/>
          <w:rtl/>
        </w:rPr>
        <w:t>،</w:t>
      </w:r>
      <w:r>
        <w:rPr>
          <w:rFonts w:eastAsia="Times New Roman" w:hint="cs"/>
          <w:rtl/>
        </w:rPr>
        <w:t xml:space="preserve"> بكلام لا يتفوه به</w:t>
      </w:r>
      <w:r w:rsidR="000636C2">
        <w:rPr>
          <w:rFonts w:eastAsia="Times New Roman" w:hint="cs"/>
          <w:rtl/>
        </w:rPr>
        <w:t>،</w:t>
      </w:r>
      <w:r>
        <w:rPr>
          <w:rFonts w:eastAsia="Times New Roman" w:hint="cs"/>
          <w:rtl/>
        </w:rPr>
        <w:t xml:space="preserve"> من تأدب على أخلاق القرآن</w:t>
      </w:r>
      <w:r w:rsidR="000636C2">
        <w:rPr>
          <w:rFonts w:eastAsia="Times New Roman" w:hint="cs"/>
          <w:rtl/>
        </w:rPr>
        <w:t>،</w:t>
      </w:r>
      <w:r>
        <w:rPr>
          <w:rFonts w:eastAsia="Times New Roman" w:hint="cs"/>
          <w:rtl/>
        </w:rPr>
        <w:t xml:space="preserve"> وعظّم جناب سيد الانام</w:t>
      </w:r>
      <w:r w:rsidR="000636C2">
        <w:rPr>
          <w:rFonts w:eastAsia="Times New Roman" w:hint="cs"/>
          <w:rtl/>
        </w:rPr>
        <w:t>،</w:t>
      </w:r>
      <w:r>
        <w:rPr>
          <w:rFonts w:eastAsia="Times New Roman" w:hint="cs"/>
          <w:rtl/>
        </w:rPr>
        <w:t xml:space="preserve"> وهل التمحل في الدفاع عن يزيد يُجير سوء الأدب مع السادة الكرام</w:t>
      </w:r>
      <w:r w:rsidR="000636C2">
        <w:rPr>
          <w:rFonts w:eastAsia="Times New Roman" w:hint="cs"/>
          <w:rtl/>
        </w:rPr>
        <w:t>،</w:t>
      </w:r>
      <w:r>
        <w:rPr>
          <w:rFonts w:eastAsia="Times New Roman" w:hint="cs"/>
          <w:rtl/>
        </w:rPr>
        <w:t xml:space="preserve"> فهذه كلها من مفردات الحشو التي لم يتنبه إليها </w:t>
      </w:r>
      <w:r>
        <w:rPr>
          <w:rFonts w:eastAsia="Times New Roman" w:hint="cs"/>
          <w:rtl/>
        </w:rPr>
        <w:lastRenderedPageBreak/>
        <w:t>ابن تيمية</w:t>
      </w:r>
      <w:r w:rsidR="000636C2">
        <w:rPr>
          <w:rFonts w:eastAsia="Times New Roman" w:hint="cs"/>
          <w:rtl/>
        </w:rPr>
        <w:t>،</w:t>
      </w:r>
      <w:r>
        <w:rPr>
          <w:rFonts w:eastAsia="Times New Roman" w:hint="cs"/>
          <w:rtl/>
        </w:rPr>
        <w:t xml:space="preserve"> فتعجل بتبنيها ونشرها</w:t>
      </w:r>
      <w:r w:rsidR="000636C2">
        <w:rPr>
          <w:rFonts w:eastAsia="Times New Roman" w:hint="cs"/>
          <w:rtl/>
        </w:rPr>
        <w:t>،</w:t>
      </w:r>
      <w:r>
        <w:rPr>
          <w:rFonts w:eastAsia="Times New Roman" w:hint="cs"/>
          <w:rtl/>
        </w:rPr>
        <w:t xml:space="preserve"> وهي لا تمت إلى السلفية بنسب ولا صلة</w:t>
      </w:r>
      <w:r w:rsidR="000636C2">
        <w:rPr>
          <w:rFonts w:eastAsia="Times New Roman" w:hint="cs"/>
          <w:rtl/>
        </w:rPr>
        <w:t>،</w:t>
      </w:r>
      <w:r>
        <w:rPr>
          <w:rFonts w:eastAsia="Times New Roman" w:hint="cs"/>
          <w:rtl/>
        </w:rPr>
        <w:t xml:space="preserve"> فهل من السلفية اتهام المسلمين بالشرك بدعوى التوسل</w:t>
      </w:r>
      <w:r w:rsidR="000636C2">
        <w:rPr>
          <w:rFonts w:eastAsia="Times New Roman" w:hint="cs"/>
          <w:rtl/>
        </w:rPr>
        <w:t>،</w:t>
      </w:r>
      <w:r>
        <w:rPr>
          <w:rFonts w:eastAsia="Times New Roman" w:hint="cs"/>
          <w:rtl/>
        </w:rPr>
        <w:t xml:space="preserve"> والتوسل مسالة فقهية على مر عصور الإسلام</w:t>
      </w:r>
      <w:r w:rsidR="000636C2">
        <w:rPr>
          <w:rFonts w:eastAsia="Times New Roman" w:hint="cs"/>
          <w:rtl/>
        </w:rPr>
        <w:t>،</w:t>
      </w:r>
      <w:r>
        <w:rPr>
          <w:rFonts w:eastAsia="Times New Roman" w:hint="cs"/>
          <w:rtl/>
        </w:rPr>
        <w:t xml:space="preserve"> ولم يجعلها من أبواب العقيدة والتوحيد والشرك</w:t>
      </w:r>
      <w:r w:rsidR="000636C2">
        <w:rPr>
          <w:rFonts w:eastAsia="Times New Roman" w:hint="cs"/>
          <w:rtl/>
        </w:rPr>
        <w:t>،</w:t>
      </w:r>
      <w:r>
        <w:rPr>
          <w:rFonts w:eastAsia="Times New Roman" w:hint="cs"/>
          <w:rtl/>
        </w:rPr>
        <w:t xml:space="preserve"> أحد قبل ابن تيمية</w:t>
      </w:r>
      <w:r w:rsidR="000636C2">
        <w:rPr>
          <w:rFonts w:eastAsia="Times New Roman" w:hint="cs"/>
          <w:rtl/>
        </w:rPr>
        <w:t>،</w:t>
      </w:r>
      <w:r>
        <w:rPr>
          <w:rFonts w:eastAsia="Times New Roman" w:hint="cs"/>
          <w:rtl/>
        </w:rPr>
        <w:t xml:space="preserve"> فهل كان السلف قبله على ضلالة عندما اوردوها في أبواب الفقه</w:t>
      </w:r>
      <w:r w:rsidR="000636C2">
        <w:rPr>
          <w:rFonts w:eastAsia="Times New Roman" w:hint="cs"/>
          <w:rtl/>
        </w:rPr>
        <w:t xml:space="preserve">، </w:t>
      </w:r>
      <w:r>
        <w:rPr>
          <w:rFonts w:eastAsia="Times New Roman" w:hint="cs"/>
          <w:rtl/>
        </w:rPr>
        <w:t>وكيف تكون سلفية في مسالة نُخالف فيها السلف</w:t>
      </w:r>
      <w:r w:rsidR="000636C2">
        <w:rPr>
          <w:rFonts w:eastAsia="Times New Roman" w:hint="cs"/>
          <w:rtl/>
        </w:rPr>
        <w:t>،</w:t>
      </w:r>
      <w:r>
        <w:rPr>
          <w:rFonts w:eastAsia="Times New Roman" w:hint="cs"/>
          <w:rtl/>
        </w:rPr>
        <w:t xml:space="preserve"> إنّ السلف الصالح في حياة النبي وبعده كانوا يتوسلون بالنبي صلى الله عليه وسلم</w:t>
      </w:r>
      <w:r w:rsidR="000636C2">
        <w:rPr>
          <w:rFonts w:eastAsia="Times New Roman" w:hint="cs"/>
          <w:rtl/>
        </w:rPr>
        <w:t>،</w:t>
      </w:r>
      <w:r>
        <w:rPr>
          <w:rFonts w:eastAsia="Times New Roman" w:hint="cs"/>
          <w:rtl/>
        </w:rPr>
        <w:t xml:space="preserve"> لما له من كرامة عند اللّه</w:t>
      </w:r>
      <w:r w:rsidR="000636C2">
        <w:rPr>
          <w:rFonts w:eastAsia="Times New Roman" w:hint="cs"/>
          <w:rtl/>
        </w:rPr>
        <w:t>،</w:t>
      </w:r>
      <w:r>
        <w:rPr>
          <w:rFonts w:eastAsia="Times New Roman" w:hint="cs"/>
          <w:rtl/>
        </w:rPr>
        <w:t xml:space="preserve"> ولم يخطر ببال أحد أن التوسل إلى الله تعالى بالنبي</w:t>
      </w:r>
      <w:r w:rsidR="000636C2">
        <w:rPr>
          <w:rFonts w:eastAsia="Times New Roman" w:hint="cs"/>
          <w:rtl/>
        </w:rPr>
        <w:t xml:space="preserve"> </w:t>
      </w:r>
      <w:r>
        <w:rPr>
          <w:rFonts w:eastAsia="Times New Roman" w:hint="cs"/>
          <w:rtl/>
        </w:rPr>
        <w:t>صلى الله عليه وسلم</w:t>
      </w:r>
      <w:r w:rsidR="000636C2">
        <w:rPr>
          <w:rFonts w:eastAsia="Times New Roman" w:hint="cs"/>
          <w:rtl/>
        </w:rPr>
        <w:t xml:space="preserve"> </w:t>
      </w:r>
      <w:r>
        <w:rPr>
          <w:rFonts w:eastAsia="Times New Roman" w:hint="cs"/>
          <w:rtl/>
        </w:rPr>
        <w:t>شرك أو ذريعة إلى الشرك</w:t>
      </w:r>
      <w:r w:rsidR="000636C2">
        <w:rPr>
          <w:rFonts w:eastAsia="Times New Roman" w:hint="cs"/>
          <w:rtl/>
        </w:rPr>
        <w:t>،</w:t>
      </w:r>
      <w:r>
        <w:rPr>
          <w:rFonts w:eastAsia="Times New Roman" w:hint="cs"/>
          <w:rtl/>
        </w:rPr>
        <w:t xml:space="preserve"> وكان هذا ديدن السلف في جميع العصور</w:t>
      </w:r>
      <w:r w:rsidR="000636C2">
        <w:rPr>
          <w:rFonts w:eastAsia="Times New Roman" w:hint="cs"/>
          <w:rtl/>
        </w:rPr>
        <w:t>،</w:t>
      </w:r>
      <w:r>
        <w:rPr>
          <w:rFonts w:eastAsia="Times New Roman" w:hint="cs"/>
          <w:rtl/>
        </w:rPr>
        <w:t xml:space="preserve"> فهل لمنكر التوسل أن يصف نفسه بالسلفية</w:t>
      </w:r>
      <w:r w:rsidR="000636C2">
        <w:rPr>
          <w:rFonts w:eastAsia="Times New Roman" w:hint="cs"/>
          <w:rtl/>
        </w:rPr>
        <w:t>،</w:t>
      </w:r>
      <w:r>
        <w:rPr>
          <w:rFonts w:eastAsia="Times New Roman" w:hint="cs"/>
          <w:rtl/>
        </w:rPr>
        <w:t xml:space="preserve"> ثم يتطاول على بقية المسلمين باللقب</w:t>
      </w:r>
      <w:r w:rsidR="000636C2">
        <w:rPr>
          <w:rFonts w:eastAsia="Times New Roman" w:hint="cs"/>
          <w:rtl/>
        </w:rPr>
        <w:t>،</w:t>
      </w:r>
      <w:r>
        <w:rPr>
          <w:rFonts w:eastAsia="Times New Roman" w:hint="cs"/>
          <w:rtl/>
        </w:rPr>
        <w:t xml:space="preserve"> فيرميهم بالشرك والضلالة والبدعة والكفران</w:t>
      </w:r>
      <w:r w:rsidR="000636C2">
        <w:rPr>
          <w:rFonts w:eastAsia="Times New Roman" w:hint="cs"/>
          <w:rtl/>
        </w:rPr>
        <w:t>،</w:t>
      </w:r>
      <w:r>
        <w:rPr>
          <w:rFonts w:eastAsia="Times New Roman" w:hint="cs"/>
          <w:rtl/>
        </w:rPr>
        <w:t xml:space="preserve"> ثم هل من السلفية في شيء أن يأتي أحدهم بجمع الاحاديث التي تتعلق بالصفات الخبرية</w:t>
      </w:r>
      <w:r w:rsidR="000636C2">
        <w:rPr>
          <w:rFonts w:eastAsia="Times New Roman" w:hint="cs"/>
          <w:rtl/>
        </w:rPr>
        <w:t>،</w:t>
      </w:r>
      <w:r>
        <w:rPr>
          <w:rFonts w:eastAsia="Times New Roman" w:hint="cs"/>
          <w:rtl/>
        </w:rPr>
        <w:t xml:space="preserve"> ويسردها في مؤلف واحد يُوهم التشبيه والتجسيم</w:t>
      </w:r>
      <w:r w:rsidR="000636C2">
        <w:rPr>
          <w:rFonts w:eastAsia="Times New Roman" w:hint="cs"/>
          <w:rtl/>
        </w:rPr>
        <w:t>،</w:t>
      </w:r>
      <w:r>
        <w:rPr>
          <w:rFonts w:eastAsia="Times New Roman" w:hint="cs"/>
          <w:rtl/>
        </w:rPr>
        <w:t xml:space="preserve"> ويمتحن الناس باعتقادها</w:t>
      </w:r>
      <w:r w:rsidR="000636C2">
        <w:rPr>
          <w:rFonts w:eastAsia="Times New Roman" w:hint="cs"/>
          <w:rtl/>
        </w:rPr>
        <w:t>،</w:t>
      </w:r>
      <w:r>
        <w:rPr>
          <w:rFonts w:eastAsia="Times New Roman" w:hint="cs"/>
          <w:rtl/>
        </w:rPr>
        <w:t xml:space="preserve"> هل هذه سلفية</w:t>
      </w:r>
      <w:r w:rsidR="000636C2">
        <w:rPr>
          <w:rFonts w:eastAsia="Times New Roman" w:hint="cs"/>
          <w:rtl/>
        </w:rPr>
        <w:t>،</w:t>
      </w:r>
      <w:r>
        <w:rPr>
          <w:rFonts w:eastAsia="Times New Roman" w:hint="cs"/>
          <w:rtl/>
        </w:rPr>
        <w:t xml:space="preserve"> أم حشوية</w:t>
      </w:r>
      <w:r w:rsidR="000636C2">
        <w:rPr>
          <w:rFonts w:eastAsia="Times New Roman" w:hint="cs"/>
          <w:rtl/>
        </w:rPr>
        <w:t>،</w:t>
      </w:r>
      <w:r>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0636C2">
        <w:rPr>
          <w:rFonts w:eastAsia="Times New Roman" w:hint="cs"/>
          <w:rtl/>
        </w:rPr>
        <w:t>،</w:t>
      </w:r>
      <w:r>
        <w:rPr>
          <w:rFonts w:eastAsia="Times New Roman" w:hint="cs"/>
          <w:rtl/>
        </w:rPr>
        <w:t xml:space="preserve"> خوفا من تتبع المتشابهات</w:t>
      </w:r>
      <w:r w:rsidR="000636C2">
        <w:rPr>
          <w:rFonts w:eastAsia="Times New Roman" w:hint="cs"/>
          <w:rtl/>
        </w:rPr>
        <w:t>،</w:t>
      </w:r>
      <w:r>
        <w:rPr>
          <w:rFonts w:eastAsia="Times New Roman" w:hint="cs"/>
          <w:rtl/>
        </w:rPr>
        <w:t xml:space="preserve"> وكان يمنع في مجلسه من مجرد السؤال عنها</w:t>
      </w:r>
      <w:r w:rsidR="000636C2">
        <w:rPr>
          <w:rFonts w:eastAsia="Times New Roman" w:hint="cs"/>
          <w:rtl/>
        </w:rPr>
        <w:t>،</w:t>
      </w:r>
      <w:r>
        <w:rPr>
          <w:rFonts w:eastAsia="Times New Roman" w:hint="cs"/>
          <w:rtl/>
        </w:rPr>
        <w:t xml:space="preserve"> فكيف ينتسب إلى السلفية من يجمع تلك المتشابهات ويسردها في مؤلف واحد يُوهم التشبيه والتجسيم</w:t>
      </w:r>
      <w:r w:rsidR="000636C2">
        <w:rPr>
          <w:rFonts w:eastAsia="Times New Roman" w:hint="cs"/>
          <w:rtl/>
        </w:rPr>
        <w:t>،</w:t>
      </w:r>
      <w:r>
        <w:rPr>
          <w:rFonts w:eastAsia="Times New Roman" w:hint="cs"/>
          <w:rtl/>
        </w:rPr>
        <w:t xml:space="preserve"> ثم ينسب ذلك إلى السلف</w:t>
      </w:r>
      <w:r w:rsidR="000636C2">
        <w:rPr>
          <w:rFonts w:eastAsia="Times New Roman" w:hint="cs"/>
          <w:rtl/>
        </w:rPr>
        <w:t>،</w:t>
      </w:r>
      <w:r>
        <w:rPr>
          <w:rFonts w:eastAsia="Times New Roman" w:hint="cs"/>
          <w:rtl/>
        </w:rPr>
        <w:t xml:space="preserve"> ما أشد حاجة السلفية المعاصرة من تنقيتها من أدران الحشو والتجسيم والغلو في التكفير والتشريك والتبديع</w:t>
      </w:r>
      <w:r w:rsidR="000636C2">
        <w:rPr>
          <w:rFonts w:eastAsia="Times New Roman" w:hint="cs"/>
          <w:rtl/>
        </w:rPr>
        <w:t>،</w:t>
      </w:r>
      <w:r>
        <w:rPr>
          <w:rFonts w:eastAsia="Times New Roman" w:hint="cs"/>
          <w:rtl/>
        </w:rPr>
        <w:t xml:space="preserve"> والله الهادي إلى سواء السبيل</w:t>
      </w:r>
      <w:r w:rsidR="000636C2">
        <w:rPr>
          <w:rFonts w:eastAsia="Times New Roman" w:hint="cs"/>
          <w:rtl/>
        </w:rPr>
        <w:t>،</w:t>
      </w:r>
      <w:r w:rsidR="000636C2">
        <w:rPr>
          <w:rFonts w:eastAsia="Times New Roman" w:hint="cs"/>
          <w:bCs/>
          <w:rtl/>
        </w:rPr>
        <w:t xml:space="preserve"> </w:t>
      </w:r>
      <w:r>
        <w:rPr>
          <w:rFonts w:eastAsia="Times New Roman" w:hint="cs"/>
          <w:bCs/>
          <w:rtl/>
        </w:rPr>
        <w:t>لقد</w:t>
      </w:r>
      <w:r w:rsidR="000636C2">
        <w:rPr>
          <w:rFonts w:eastAsia="Times New Roman" w:hint="cs"/>
          <w:bCs/>
          <w:rtl/>
        </w:rPr>
        <w:t xml:space="preserve"> </w:t>
      </w:r>
      <w:r>
        <w:rPr>
          <w:rFonts w:eastAsia="Times New Roman" w:hint="cs"/>
          <w:bCs/>
          <w:rtl/>
        </w:rPr>
        <w:t>ثار</w:t>
      </w:r>
      <w:r w:rsidR="000636C2">
        <w:rPr>
          <w:rFonts w:eastAsia="Times New Roman" w:hint="cs"/>
          <w:bCs/>
          <w:rtl/>
        </w:rPr>
        <w:t xml:space="preserve"> </w:t>
      </w:r>
      <w:r>
        <w:rPr>
          <w:rFonts w:eastAsia="Times New Roman" w:hint="cs"/>
          <w:bCs/>
          <w:rtl/>
        </w:rPr>
        <w:t>الرأي العلمي العام الإسلامي على الشيخ ابن تيمية من جانب الأصوليين المتخصصين في العقيدة</w:t>
      </w:r>
      <w:r w:rsidR="000636C2">
        <w:rPr>
          <w:rFonts w:eastAsia="Times New Roman" w:hint="cs"/>
          <w:rtl/>
        </w:rPr>
        <w:t>،</w:t>
      </w:r>
      <w:r>
        <w:rPr>
          <w:rFonts w:eastAsia="Times New Roman" w:hint="cs"/>
          <w:rtl/>
        </w:rPr>
        <w:t xml:space="preserve"> ومن جانب الفقهاء المتخصصين في الفقه</w:t>
      </w:r>
      <w:r w:rsidR="000636C2">
        <w:rPr>
          <w:rFonts w:eastAsia="Times New Roman" w:hint="cs"/>
          <w:rtl/>
        </w:rPr>
        <w:t>،</w:t>
      </w:r>
      <w:r>
        <w:rPr>
          <w:rFonts w:eastAsia="Times New Roman" w:hint="cs"/>
          <w:rtl/>
        </w:rPr>
        <w:t xml:space="preserve"> ومن جانب العارفين من الاولياء والصالحين</w:t>
      </w:r>
      <w:r w:rsidR="000636C2">
        <w:rPr>
          <w:rFonts w:eastAsia="Times New Roman" w:hint="cs"/>
          <w:rtl/>
        </w:rPr>
        <w:t>،</w:t>
      </w:r>
      <w:r>
        <w:rPr>
          <w:rFonts w:eastAsia="Times New Roman" w:hint="cs"/>
          <w:rtl/>
        </w:rPr>
        <w:t xml:space="preserve"> بل ومن جانب المحدثين كابن حجر وغيره</w:t>
      </w:r>
      <w:r w:rsidR="000636C2">
        <w:rPr>
          <w:rFonts w:eastAsia="Times New Roman" w:hint="cs"/>
          <w:rtl/>
        </w:rPr>
        <w:t>،</w:t>
      </w:r>
      <w:r>
        <w:rPr>
          <w:rFonts w:eastAsia="Times New Roman" w:hint="cs"/>
          <w:rtl/>
        </w:rPr>
        <w:t xml:space="preserve"> وهذا دليل على انحرافه عن صراط السلف المستقيم</w:t>
      </w:r>
      <w:r w:rsidR="000636C2">
        <w:rPr>
          <w:rFonts w:eastAsia="Times New Roman" w:hint="cs"/>
          <w:rtl/>
        </w:rPr>
        <w:t>،</w:t>
      </w:r>
      <w:r>
        <w:rPr>
          <w:rFonts w:eastAsia="Times New Roman" w:hint="cs"/>
          <w:rtl/>
        </w:rPr>
        <w:t xml:space="preserve"> إذ ليس من الحكمة تخطئة جمهور علماء المسلمين واتهامهم بالسوء والضلال</w:t>
      </w:r>
      <w:r w:rsidR="000636C2">
        <w:rPr>
          <w:rFonts w:eastAsia="Times New Roman" w:hint="cs"/>
          <w:rtl/>
        </w:rPr>
        <w:t>،</w:t>
      </w:r>
      <w:r>
        <w:rPr>
          <w:rFonts w:eastAsia="Times New Roman" w:hint="cs"/>
          <w:rtl/>
        </w:rPr>
        <w:t xml:space="preserve"> وتصويب رجل واحد</w:t>
      </w:r>
      <w:r w:rsidR="000636C2">
        <w:rPr>
          <w:rFonts w:eastAsia="Times New Roman" w:hint="cs"/>
          <w:rtl/>
        </w:rPr>
        <w:t>،</w:t>
      </w:r>
      <w:r>
        <w:rPr>
          <w:rFonts w:eastAsia="Times New Roman" w:hint="cs"/>
          <w:rtl/>
        </w:rPr>
        <w:t xml:space="preserve"> فمنذ نشر الرجل رأيه حول الصفات الخبرية</w:t>
      </w:r>
      <w:r w:rsidR="000636C2">
        <w:rPr>
          <w:rFonts w:eastAsia="Times New Roman" w:hint="cs"/>
          <w:rtl/>
        </w:rPr>
        <w:t>،</w:t>
      </w:r>
      <w:r>
        <w:rPr>
          <w:rFonts w:eastAsia="Times New Roman" w:hint="cs"/>
          <w:rtl/>
        </w:rPr>
        <w:t xml:space="preserve"> وضرورة الاخذ بظاهرها جاءت الاستنكارات عليه من علماء الأصول</w:t>
      </w:r>
      <w:r w:rsidR="000636C2">
        <w:rPr>
          <w:rFonts w:eastAsia="Times New Roman" w:hint="cs"/>
          <w:rtl/>
        </w:rPr>
        <w:t>،</w:t>
      </w:r>
      <w:r>
        <w:rPr>
          <w:rFonts w:eastAsia="Times New Roman" w:hint="cs"/>
          <w:rtl/>
        </w:rPr>
        <w:t xml:space="preserve"> وعندما تكلم في التوسل والاستغاثة والزيارة</w:t>
      </w:r>
      <w:r w:rsidR="000636C2">
        <w:rPr>
          <w:rFonts w:eastAsia="Times New Roman" w:hint="cs"/>
          <w:rtl/>
        </w:rPr>
        <w:t>،</w:t>
      </w:r>
      <w:r>
        <w:rPr>
          <w:rFonts w:eastAsia="Times New Roman" w:hint="cs"/>
          <w:rtl/>
        </w:rPr>
        <w:t xml:space="preserve"> استنكر ذلك عليه الفقهاء والربانيون</w:t>
      </w:r>
      <w:r w:rsidR="000636C2">
        <w:rPr>
          <w:rFonts w:eastAsia="Times New Roman" w:hint="cs"/>
          <w:rtl/>
        </w:rPr>
        <w:t>،</w:t>
      </w:r>
      <w:r>
        <w:rPr>
          <w:rFonts w:eastAsia="Times New Roman" w:hint="cs"/>
          <w:rtl/>
        </w:rPr>
        <w:t xml:space="preserve"> ثم عندما تكلم في الحد السفلي والجهة العدمية وعلم الكلام والمعقول والمنقول</w:t>
      </w:r>
      <w:r w:rsidR="000636C2">
        <w:rPr>
          <w:rFonts w:eastAsia="Times New Roman" w:hint="cs"/>
          <w:rtl/>
        </w:rPr>
        <w:t>،</w:t>
      </w:r>
      <w:r>
        <w:rPr>
          <w:rFonts w:eastAsia="Times New Roman" w:hint="cs"/>
          <w:rtl/>
        </w:rPr>
        <w:t xml:space="preserve"> وهو لا يعلم شيئا عن المعقول وضوابطه</w:t>
      </w:r>
      <w:r w:rsidR="000636C2">
        <w:rPr>
          <w:rFonts w:eastAsia="Times New Roman" w:hint="cs"/>
          <w:rtl/>
        </w:rPr>
        <w:t>،</w:t>
      </w:r>
      <w:r>
        <w:rPr>
          <w:rFonts w:eastAsia="Times New Roman" w:hint="cs"/>
          <w:rtl/>
        </w:rPr>
        <w:t xml:space="preserve"> قامت عليه السلفية والأثرية</w:t>
      </w:r>
      <w:r w:rsidR="000636C2">
        <w:rPr>
          <w:rFonts w:eastAsia="Times New Roman" w:hint="cs"/>
          <w:rtl/>
        </w:rPr>
        <w:t>،</w:t>
      </w:r>
      <w:r>
        <w:rPr>
          <w:rFonts w:eastAsia="Times New Roman" w:hint="cs"/>
          <w:rtl/>
        </w:rPr>
        <w:t xml:space="preserve"> فاجتمعت عليه طوائف العلماء والاولياء والفقهاء </w:t>
      </w:r>
      <w:r w:rsidR="000636C2">
        <w:rPr>
          <w:rFonts w:eastAsia="Times New Roman" w:hint="cs"/>
          <w:rtl/>
        </w:rPr>
        <w:t>(</w:t>
      </w:r>
      <w:r>
        <w:rPr>
          <w:rFonts w:eastAsia="Times New Roman" w:hint="cs"/>
          <w:rtl/>
        </w:rPr>
        <w:t>من الحنفية والمالكية والشافعية والحنابلة</w:t>
      </w:r>
      <w:r w:rsidR="000636C2">
        <w:rPr>
          <w:rFonts w:eastAsia="Times New Roman" w:hint="cs"/>
          <w:rtl/>
        </w:rPr>
        <w:t xml:space="preserve">) </w:t>
      </w:r>
      <w:r>
        <w:rPr>
          <w:rFonts w:eastAsia="Times New Roman" w:hint="cs"/>
          <w:rtl/>
        </w:rPr>
        <w:t>- خيرة أمّة النبي صلى الله عليه وسلم - وقرروا منعه من نشر أخطائه</w:t>
      </w:r>
      <w:r w:rsidR="000636C2">
        <w:rPr>
          <w:rFonts w:eastAsia="Times New Roman" w:hint="cs"/>
          <w:rtl/>
        </w:rPr>
        <w:t>،</w:t>
      </w:r>
      <w:r>
        <w:rPr>
          <w:rFonts w:eastAsia="Times New Roman" w:hint="cs"/>
          <w:rtl/>
        </w:rPr>
        <w:t xml:space="preserve"> فلما لم يسكت</w:t>
      </w:r>
      <w:r w:rsidR="000636C2">
        <w:rPr>
          <w:rFonts w:eastAsia="Times New Roman" w:hint="cs"/>
          <w:rtl/>
        </w:rPr>
        <w:t>،</w:t>
      </w:r>
      <w:r>
        <w:rPr>
          <w:rFonts w:eastAsia="Times New Roman" w:hint="cs"/>
          <w:rtl/>
        </w:rPr>
        <w:t xml:space="preserve"> أمروا بسجنه</w:t>
      </w:r>
      <w:r w:rsidR="000636C2">
        <w:rPr>
          <w:rFonts w:eastAsia="Times New Roman" w:hint="cs"/>
          <w:rtl/>
        </w:rPr>
        <w:t>،</w:t>
      </w:r>
      <w:r>
        <w:rPr>
          <w:rFonts w:eastAsia="Times New Roman" w:hint="cs"/>
          <w:rtl/>
        </w:rPr>
        <w:t xml:space="preserve"> ونفي من بلد إلى بلد</w:t>
      </w:r>
      <w:r w:rsidR="000636C2">
        <w:rPr>
          <w:rFonts w:eastAsia="Times New Roman" w:hint="cs"/>
          <w:rtl/>
        </w:rPr>
        <w:t>،</w:t>
      </w:r>
      <w:r>
        <w:rPr>
          <w:rFonts w:eastAsia="Times New Roman" w:hint="cs"/>
          <w:rtl/>
        </w:rPr>
        <w:t xml:space="preserve"> وتعرض لاعتقال بعد اعتقال</w:t>
      </w:r>
      <w:r w:rsidR="000636C2">
        <w:rPr>
          <w:rFonts w:eastAsia="Times New Roman" w:hint="cs"/>
          <w:rtl/>
        </w:rPr>
        <w:t>،</w:t>
      </w:r>
      <w:r>
        <w:rPr>
          <w:rFonts w:eastAsia="Times New Roman" w:hint="cs"/>
          <w:rtl/>
        </w:rPr>
        <w:t xml:space="preserve"> إلى أن منع من القرطاس والكتابة</w:t>
      </w:r>
      <w:r w:rsidR="000636C2">
        <w:rPr>
          <w:rFonts w:eastAsia="Times New Roman" w:hint="cs"/>
          <w:rtl/>
        </w:rPr>
        <w:t>،</w:t>
      </w:r>
      <w:r>
        <w:rPr>
          <w:rFonts w:eastAsia="Times New Roman" w:hint="cs"/>
          <w:rtl/>
        </w:rPr>
        <w:t xml:space="preserve"> حتّى مات في السجن ممنوعاً من كل شيء</w:t>
      </w:r>
      <w:r w:rsidR="000636C2">
        <w:rPr>
          <w:rFonts w:eastAsia="Times New Roman" w:hint="cs"/>
          <w:rtl/>
        </w:rPr>
        <w:t>،</w:t>
      </w:r>
      <w:r>
        <w:rPr>
          <w:rFonts w:eastAsia="Times New Roman" w:hint="cs"/>
          <w:rtl/>
        </w:rPr>
        <w:t xml:space="preserve"> ولو كان علمه صافياً لما تعرض لسخط كل هؤلاء العلماء</w:t>
      </w:r>
      <w:r w:rsidR="000636C2">
        <w:rPr>
          <w:rFonts w:eastAsia="Times New Roman" w:hint="cs"/>
          <w:rtl/>
        </w:rPr>
        <w:t>،</w:t>
      </w:r>
      <w:r>
        <w:rPr>
          <w:rFonts w:eastAsia="Times New Roman" w:hint="cs"/>
          <w:rtl/>
        </w:rPr>
        <w:t xml:space="preserve"> </w:t>
      </w:r>
      <w:r>
        <w:rPr>
          <w:rFonts w:eastAsia="Times New Roman" w:hint="cs"/>
          <w:rtl/>
        </w:rPr>
        <w:lastRenderedPageBreak/>
        <w:t>ولأنتصب له من الطوائف من ينصره في مظلمته</w:t>
      </w:r>
      <w:r w:rsidR="000636C2">
        <w:rPr>
          <w:rFonts w:eastAsia="Times New Roman" w:hint="cs"/>
          <w:rtl/>
        </w:rPr>
        <w:t>،</w:t>
      </w:r>
      <w:r>
        <w:rPr>
          <w:rFonts w:eastAsia="Times New Roman" w:hint="cs"/>
          <w:rtl/>
        </w:rPr>
        <w:t xml:space="preserve"> والجميع يعرفون أنّ مشاكله علمية وحسب</w:t>
      </w:r>
      <w:r w:rsidR="000636C2">
        <w:rPr>
          <w:rFonts w:eastAsia="Times New Roman" w:hint="cs"/>
          <w:rtl/>
        </w:rPr>
        <w:t>،</w:t>
      </w:r>
      <w:r>
        <w:rPr>
          <w:rFonts w:eastAsia="Times New Roman" w:hint="cs"/>
          <w:rtl/>
        </w:rPr>
        <w:t xml:space="preserve"> ولم تكن سياسية قط حتى نقول أنّ الحكام تمالئوا عليه</w:t>
      </w:r>
      <w:r w:rsidR="000636C2">
        <w:rPr>
          <w:rFonts w:eastAsia="Times New Roman" w:hint="cs"/>
          <w:rtl/>
        </w:rPr>
        <w:t>،</w:t>
      </w:r>
      <w:r>
        <w:rPr>
          <w:rFonts w:eastAsia="Times New Roman" w:hint="cs"/>
          <w:rtl/>
        </w:rPr>
        <w:t xml:space="preserve"> وظلموه</w:t>
      </w:r>
      <w:r w:rsidR="000636C2">
        <w:rPr>
          <w:rFonts w:eastAsia="Times New Roman" w:hint="cs"/>
          <w:rtl/>
        </w:rPr>
        <w:t>،</w:t>
      </w:r>
      <w:r>
        <w:rPr>
          <w:rFonts w:eastAsia="Times New Roman" w:hint="cs"/>
          <w:rtl/>
        </w:rPr>
        <w:t xml:space="preserve"> لقد كانت مشاكله علمية مع علماء عصره</w:t>
      </w:r>
      <w:r w:rsidR="000636C2">
        <w:rPr>
          <w:rFonts w:eastAsia="Times New Roman" w:hint="cs"/>
          <w:rtl/>
        </w:rPr>
        <w:t>،</w:t>
      </w:r>
      <w:r>
        <w:rPr>
          <w:rFonts w:eastAsia="Times New Roman" w:hint="cs"/>
          <w:rtl/>
        </w:rPr>
        <w:t xml:space="preserve"> فإنّ جماهير العلماء كانوا يخالفونه فيما يبديه من الآراء الشاذة</w:t>
      </w:r>
      <w:r w:rsidR="000636C2">
        <w:rPr>
          <w:rFonts w:eastAsia="Times New Roman" w:hint="cs"/>
          <w:rtl/>
        </w:rPr>
        <w:t>،</w:t>
      </w:r>
      <w:r>
        <w:rPr>
          <w:rFonts w:eastAsia="Times New Roman" w:hint="cs"/>
          <w:rtl/>
        </w:rPr>
        <w:t xml:space="preserve"> المخالفة لما هو المشهور المجمع عليه بين العلماء</w:t>
      </w:r>
      <w:r w:rsidR="000636C2">
        <w:rPr>
          <w:rFonts w:eastAsia="Times New Roman" w:hint="cs"/>
          <w:rtl/>
        </w:rPr>
        <w:t>،</w:t>
      </w:r>
      <w:r>
        <w:rPr>
          <w:rFonts w:eastAsia="Times New Roman" w:hint="cs"/>
          <w:rtl/>
        </w:rPr>
        <w:t xml:space="preserve"> في مجال الأُصول والفروع</w:t>
      </w:r>
      <w:r w:rsidR="000636C2">
        <w:rPr>
          <w:rFonts w:eastAsia="Times New Roman" w:hint="cs"/>
          <w:rtl/>
        </w:rPr>
        <w:t>،</w:t>
      </w:r>
      <w:r>
        <w:rPr>
          <w:rFonts w:eastAsia="Times New Roman" w:hint="cs"/>
          <w:bCs/>
          <w:rtl/>
        </w:rPr>
        <w:t xml:space="preserve"> لقد ترجم للشيخ ابن تيمية مجموعة من تلامذته ممن تأثر به</w:t>
      </w:r>
      <w:r w:rsidR="000636C2">
        <w:rPr>
          <w:rFonts w:eastAsia="Times New Roman" w:hint="cs"/>
          <w:rtl/>
        </w:rPr>
        <w:t>،</w:t>
      </w:r>
      <w:r>
        <w:rPr>
          <w:rFonts w:eastAsia="Times New Roman" w:hint="cs"/>
          <w:rtl/>
        </w:rPr>
        <w:t xml:space="preserve"> ومن الطبيعي أن يزيد التلميذ في حق استاذه</w:t>
      </w:r>
      <w:r w:rsidR="000636C2">
        <w:rPr>
          <w:rFonts w:eastAsia="Times New Roman" w:hint="cs"/>
          <w:rtl/>
        </w:rPr>
        <w:t>،</w:t>
      </w:r>
      <w:r>
        <w:rPr>
          <w:rFonts w:eastAsia="Times New Roman" w:hint="cs"/>
          <w:rtl/>
        </w:rPr>
        <w:t xml:space="preserve"> فأسرفوا في الثناء عليه</w:t>
      </w:r>
      <w:r w:rsidR="000636C2">
        <w:rPr>
          <w:rFonts w:eastAsia="Times New Roman" w:hint="cs"/>
          <w:rtl/>
        </w:rPr>
        <w:t>،</w:t>
      </w:r>
      <w:r>
        <w:rPr>
          <w:rFonts w:eastAsia="Times New Roman" w:hint="cs"/>
          <w:rtl/>
        </w:rPr>
        <w:t xml:space="preserve"> وفي مقدمتهم الذهبي</w:t>
      </w:r>
      <w:r w:rsidR="000636C2">
        <w:rPr>
          <w:rFonts w:eastAsia="Times New Roman" w:hint="cs"/>
          <w:rtl/>
        </w:rPr>
        <w:t>،</w:t>
      </w:r>
      <w:r>
        <w:rPr>
          <w:rFonts w:eastAsia="Times New Roman" w:hint="cs"/>
          <w:rtl/>
        </w:rPr>
        <w:t xml:space="preserve"> لأنّه لاشك تلميذه وقد تأثر بأفكاره كثيرا</w:t>
      </w:r>
      <w:r w:rsidR="000636C2">
        <w:rPr>
          <w:rFonts w:eastAsia="Times New Roman" w:hint="cs"/>
          <w:rtl/>
        </w:rPr>
        <w:t>،</w:t>
      </w:r>
      <w:r>
        <w:rPr>
          <w:rFonts w:eastAsia="Times New Roman" w:hint="cs"/>
          <w:rtl/>
        </w:rPr>
        <w:t xml:space="preserve"> وسيأتي بيان حال الذهبي في الترجمة في المبحث التالي</w:t>
      </w:r>
      <w:r w:rsidR="000636C2">
        <w:rPr>
          <w:rFonts w:eastAsia="Times New Roman" w:hint="cs"/>
          <w:rtl/>
        </w:rPr>
        <w:t>،</w:t>
      </w:r>
      <w:r>
        <w:rPr>
          <w:rFonts w:eastAsia="Times New Roman" w:hint="cs"/>
          <w:rtl/>
        </w:rPr>
        <w:t xml:space="preserve"> والحافظ ابن كثير في البداية والنهاية</w:t>
      </w:r>
      <w:r w:rsidR="000636C2">
        <w:rPr>
          <w:rFonts w:eastAsia="Times New Roman" w:hint="cs"/>
          <w:rtl/>
        </w:rPr>
        <w:t xml:space="preserve">، </w:t>
      </w:r>
      <w:r>
        <w:rPr>
          <w:rFonts w:eastAsia="Times New Roman" w:hint="cs"/>
          <w:rtl/>
        </w:rPr>
        <w:t>وتابعهما عبد الحي بن عماد الحنبلي في كتابه شذرات الذهب في أخبار من ذهب</w:t>
      </w:r>
      <w:r w:rsidR="000636C2">
        <w:rPr>
          <w:rFonts w:eastAsia="Times New Roman" w:hint="cs"/>
          <w:rtl/>
        </w:rPr>
        <w:t>،</w:t>
      </w:r>
      <w:r>
        <w:rPr>
          <w:rFonts w:eastAsia="Times New Roman" w:hint="cs"/>
          <w:rtl/>
        </w:rPr>
        <w:t xml:space="preserve"> وابن رجب الحنبلي في الذيل على طبقات الحنابلة</w:t>
      </w:r>
      <w:r w:rsidR="000636C2">
        <w:rPr>
          <w:rFonts w:eastAsia="Times New Roman" w:hint="cs"/>
          <w:rtl/>
        </w:rPr>
        <w:t>،</w:t>
      </w:r>
      <w:r>
        <w:rPr>
          <w:rFonts w:eastAsia="Times New Roman" w:hint="cs"/>
          <w:rtl/>
        </w:rPr>
        <w:t xml:space="preserve"> والسيوطي في طبقات الحفاظ</w:t>
      </w:r>
      <w:r w:rsidR="000636C2">
        <w:rPr>
          <w:rFonts w:eastAsia="Times New Roman" w:hint="cs"/>
          <w:rtl/>
        </w:rPr>
        <w:t>،</w:t>
      </w:r>
      <w:r>
        <w:rPr>
          <w:rFonts w:eastAsia="Times New Roman" w:hint="cs"/>
          <w:rtl/>
        </w:rPr>
        <w:t xml:space="preserve"> ولا شك أنّهم ذكروا الجانب الحسن من علمه وحياته</w:t>
      </w:r>
      <w:r w:rsidR="000636C2">
        <w:rPr>
          <w:rFonts w:eastAsia="Times New Roman" w:hint="cs"/>
          <w:rtl/>
        </w:rPr>
        <w:t>،</w:t>
      </w:r>
      <w:r>
        <w:rPr>
          <w:rFonts w:eastAsia="Times New Roman" w:hint="cs"/>
          <w:rtl/>
        </w:rPr>
        <w:t xml:space="preserve"> لكنّهم تعاطفوا عليه لكونه قضي أكثر حياته في السجون</w:t>
      </w:r>
      <w:r w:rsidR="000636C2">
        <w:rPr>
          <w:rFonts w:eastAsia="Times New Roman" w:hint="cs"/>
          <w:rtl/>
        </w:rPr>
        <w:t>،</w:t>
      </w:r>
      <w:r>
        <w:rPr>
          <w:rFonts w:eastAsia="Times New Roman" w:hint="cs"/>
          <w:rtl/>
        </w:rPr>
        <w:t xml:space="preserve"> فلم يتوسعوا في ذكر الجانب السيء من علمه وحياته اكتفاءً بما لقيه من عقاب من الفقهاء والقضاة جراء أخطائه</w:t>
      </w:r>
      <w:r w:rsidR="000636C2">
        <w:rPr>
          <w:rFonts w:eastAsia="Times New Roman" w:hint="cs"/>
          <w:rtl/>
        </w:rPr>
        <w:t xml:space="preserve">، </w:t>
      </w:r>
      <w:r>
        <w:rPr>
          <w:rFonts w:eastAsia="Times New Roman" w:hint="cs"/>
          <w:rtl/>
        </w:rPr>
        <w:t>أما الناظر الحصيف</w:t>
      </w:r>
      <w:r w:rsidR="000636C2">
        <w:rPr>
          <w:rFonts w:eastAsia="Times New Roman" w:hint="cs"/>
          <w:rtl/>
        </w:rPr>
        <w:t>،</w:t>
      </w:r>
      <w:r>
        <w:rPr>
          <w:rFonts w:eastAsia="Times New Roman" w:hint="cs"/>
          <w:rtl/>
        </w:rPr>
        <w:t xml:space="preserve"> فإنّه يعلم شذوذه في أقواله التي خالف فيها العلماء</w:t>
      </w:r>
      <w:r w:rsidR="000636C2">
        <w:rPr>
          <w:rFonts w:eastAsia="Times New Roman" w:hint="cs"/>
          <w:rtl/>
        </w:rPr>
        <w:t>،</w:t>
      </w:r>
      <w:r>
        <w:rPr>
          <w:rFonts w:eastAsia="Times New Roman" w:hint="cs"/>
          <w:rtl/>
        </w:rPr>
        <w:t xml:space="preserve"> لأنّه كان هناك اتفاق بين علماء وأكابر الفقهاء في عصره على أنّه يصدر عن عقائد وآراء في مجال العقائد والأحكام تخالف الرأي العام بين أهل السنة والجماعة</w:t>
      </w:r>
      <w:r w:rsidR="000636C2">
        <w:rPr>
          <w:rFonts w:eastAsia="Times New Roman" w:hint="cs"/>
          <w:rtl/>
        </w:rPr>
        <w:t>،</w:t>
      </w:r>
      <w:r>
        <w:rPr>
          <w:rFonts w:eastAsia="Times New Roman" w:hint="cs"/>
          <w:rtl/>
        </w:rPr>
        <w:t xml:space="preserve"> ولأجل ذلك كانوا يصدرون الحكم عليه بعد الحكم</w:t>
      </w:r>
      <w:r w:rsidR="000636C2">
        <w:rPr>
          <w:rFonts w:eastAsia="Times New Roman" w:hint="cs"/>
          <w:rtl/>
        </w:rPr>
        <w:t>،</w:t>
      </w:r>
      <w:r>
        <w:rPr>
          <w:rFonts w:eastAsia="Times New Roman" w:hint="cs"/>
          <w:rtl/>
        </w:rPr>
        <w:t xml:space="preserve"> ويعاقبونه مرة بعد أُخرى</w:t>
      </w:r>
      <w:r w:rsidR="000636C2">
        <w:rPr>
          <w:rFonts w:eastAsia="Times New Roman" w:hint="cs"/>
          <w:rtl/>
        </w:rPr>
        <w:t>،</w:t>
      </w:r>
      <w:r>
        <w:rPr>
          <w:rFonts w:eastAsia="Times New Roman" w:hint="cs"/>
          <w:rtl/>
        </w:rPr>
        <w:t xml:space="preserve"> حتى منعوه من الكتابة قبل وفاته خوفا من تأثر العامة به</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bCs/>
          <w:rtl/>
        </w:rPr>
        <w:t>بعض العلماء الذين ردّوا على ابن تيمية</w:t>
      </w:r>
      <w:r w:rsidR="000636C2">
        <w:rPr>
          <w:rFonts w:eastAsia="Times New Roman" w:hint="cs"/>
          <w:rtl/>
        </w:rPr>
        <w:t>]:</w:t>
      </w:r>
      <w:r>
        <w:rPr>
          <w:rFonts w:eastAsia="Times New Roman" w:hint="cs"/>
          <w:rtl/>
        </w:rPr>
        <w:t xml:space="preserve"> </w:t>
      </w:r>
      <w:r>
        <w:rPr>
          <w:rFonts w:eastAsia="Times New Roman" w:hint="cs"/>
          <w:rtl/>
        </w:rPr>
        <w:tab/>
      </w:r>
      <w:r w:rsidR="000636C2">
        <w:rPr>
          <w:rFonts w:eastAsia="Times New Roman" w:hint="cs"/>
          <w:rtl/>
        </w:rPr>
        <w:t>(</w:t>
      </w:r>
      <w:r>
        <w:rPr>
          <w:rFonts w:eastAsia="Times New Roman" w:hint="cs"/>
          <w:rtl/>
        </w:rPr>
        <w:t>أ</w:t>
      </w:r>
      <w:r w:rsidR="000636C2">
        <w:rPr>
          <w:rFonts w:eastAsia="Times New Roman" w:hint="cs"/>
          <w:rtl/>
        </w:rPr>
        <w:t xml:space="preserve">) </w:t>
      </w:r>
      <w:r>
        <w:rPr>
          <w:rFonts w:eastAsia="Times New Roman" w:hint="cs"/>
          <w:rtl/>
        </w:rPr>
        <w:t xml:space="preserve">الشيخ صفي الدين الهندي الأرموي </w:t>
      </w:r>
      <w:r w:rsidR="000636C2">
        <w:rPr>
          <w:rFonts w:eastAsia="Times New Roman" w:hint="cs"/>
          <w:rtl/>
        </w:rPr>
        <w:t>(</w:t>
      </w:r>
      <w:r>
        <w:rPr>
          <w:rFonts w:eastAsia="Times New Roman" w:hint="cs"/>
          <w:rtl/>
        </w:rPr>
        <w:t>ت ٧١٥ هـ</w:t>
      </w:r>
      <w:r w:rsidR="000636C2">
        <w:rPr>
          <w:rFonts w:eastAsia="Times New Roman" w:hint="cs"/>
          <w:rtl/>
        </w:rPr>
        <w:t xml:space="preserve">): </w:t>
      </w:r>
      <w:r>
        <w:rPr>
          <w:rFonts w:eastAsia="Times New Roman" w:hint="cs"/>
          <w:rtl/>
        </w:rPr>
        <w:t>أمر بحبس ابن تيمية بسبب المسألة الحموية وما فيها من الحوم حول التجسيم</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ب</w:t>
      </w:r>
      <w:r w:rsidR="000636C2">
        <w:rPr>
          <w:rFonts w:eastAsia="Times New Roman" w:hint="cs"/>
          <w:rtl/>
        </w:rPr>
        <w:t xml:space="preserve">) </w:t>
      </w:r>
      <w:r>
        <w:rPr>
          <w:rFonts w:eastAsia="Times New Roman" w:hint="cs"/>
          <w:rtl/>
        </w:rPr>
        <w:t xml:space="preserve">الشيخ شهاب الدين اببن جهبل الكلابي الحلبي </w:t>
      </w:r>
      <w:r w:rsidR="000636C2">
        <w:rPr>
          <w:rFonts w:eastAsia="Times New Roman" w:hint="cs"/>
          <w:rtl/>
        </w:rPr>
        <w:t>(</w:t>
      </w:r>
      <w:r>
        <w:rPr>
          <w:rFonts w:eastAsia="Times New Roman" w:hint="cs"/>
          <w:rtl/>
        </w:rPr>
        <w:t>ت ٧٣٣ هـ</w:t>
      </w:r>
      <w:r w:rsidR="000636C2">
        <w:rPr>
          <w:rFonts w:eastAsia="Times New Roman" w:hint="cs"/>
          <w:rtl/>
        </w:rPr>
        <w:t>)،</w:t>
      </w:r>
      <w:r>
        <w:rPr>
          <w:rFonts w:eastAsia="Times New Roman" w:hint="cs"/>
          <w:rtl/>
        </w:rPr>
        <w:t xml:space="preserve"> له تصنيف صنفه في نفي الجهة رداً على ابن تيمية</w:t>
      </w:r>
      <w:r w:rsidR="000636C2">
        <w:rPr>
          <w:rFonts w:eastAsia="Times New Roman" w:hint="cs"/>
          <w:rtl/>
        </w:rPr>
        <w:t xml:space="preserve">، </w:t>
      </w:r>
      <w:r>
        <w:rPr>
          <w:rFonts w:eastAsia="Times New Roman" w:hint="cs"/>
          <w:rtl/>
        </w:rPr>
        <w:t>قال في مقدمته</w:t>
      </w:r>
      <w:r w:rsidR="000636C2">
        <w:rPr>
          <w:rFonts w:eastAsia="Times New Roman" w:hint="cs"/>
          <w:rtl/>
        </w:rPr>
        <w:t xml:space="preserve">: </w:t>
      </w:r>
      <w:r>
        <w:rPr>
          <w:rFonts w:eastAsia="Times New Roman" w:hint="cs"/>
          <w:rtl/>
        </w:rPr>
        <w:t>أمّا بعد فالذي دعا إلى تصدير هذه النبذة</w:t>
      </w:r>
      <w:r w:rsidR="000636C2">
        <w:rPr>
          <w:rFonts w:eastAsia="Times New Roman" w:hint="cs"/>
          <w:rtl/>
        </w:rPr>
        <w:t xml:space="preserve">، </w:t>
      </w:r>
      <w:r>
        <w:rPr>
          <w:rFonts w:eastAsia="Times New Roman" w:hint="cs"/>
          <w:rtl/>
        </w:rPr>
        <w:t>ما وقع في هذه المدة</w:t>
      </w:r>
      <w:r w:rsidR="000636C2">
        <w:rPr>
          <w:rFonts w:eastAsia="Times New Roman" w:hint="cs"/>
          <w:rtl/>
        </w:rPr>
        <w:t>،</w:t>
      </w:r>
      <w:r>
        <w:rPr>
          <w:rFonts w:eastAsia="Times New Roman" w:hint="cs"/>
          <w:rtl/>
        </w:rPr>
        <w:t xml:space="preserve"> مما علّقه بعضهم في إثبات الجهة واغترّ بها من لم يرسخ له في التعليم قدم</w:t>
      </w:r>
      <w:r w:rsidR="000636C2">
        <w:rPr>
          <w:rFonts w:eastAsia="Times New Roman" w:hint="cs"/>
          <w:rtl/>
        </w:rPr>
        <w:t>،</w:t>
      </w:r>
      <w:r>
        <w:rPr>
          <w:rFonts w:eastAsia="Times New Roman" w:hint="cs"/>
          <w:rtl/>
        </w:rPr>
        <w:t xml:space="preserve"> ولم يتعلّق بأذيال المعرفة</w:t>
      </w:r>
      <w:r w:rsidR="000636C2">
        <w:rPr>
          <w:rFonts w:eastAsia="Times New Roman" w:hint="cs"/>
          <w:rtl/>
        </w:rPr>
        <w:t>،</w:t>
      </w:r>
      <w:r>
        <w:rPr>
          <w:rFonts w:eastAsia="Times New Roman" w:hint="cs"/>
          <w:rtl/>
        </w:rPr>
        <w:t xml:space="preserve"> ولا كبحة لجام الفهم ولا استبصر بنور الحكمة فاحببت أن أذكر عقيدة أهل السنة وأهل الجماعة ثم أُبيّن فساد ما ذكره</w:t>
      </w:r>
      <w:r w:rsidR="000636C2">
        <w:rPr>
          <w:rFonts w:eastAsia="Times New Roman" w:hint="cs"/>
          <w:rtl/>
        </w:rPr>
        <w:t>،</w:t>
      </w:r>
      <w:r>
        <w:rPr>
          <w:rFonts w:eastAsia="Times New Roman" w:hint="cs"/>
          <w:rtl/>
        </w:rPr>
        <w:t xml:space="preserve"> مع أنّه لم يدّع دعوى إلاّ نقضها ولا أطّد قاعدة إلاّ هدمها</w:t>
      </w:r>
      <w:r w:rsidR="000636C2">
        <w:rPr>
          <w:rFonts w:eastAsia="Times New Roman" w:hint="cs"/>
          <w:rtl/>
        </w:rPr>
        <w:t>، [</w:t>
      </w:r>
      <w:r>
        <w:rPr>
          <w:rFonts w:eastAsia="Times New Roman" w:hint="cs"/>
          <w:rtl/>
        </w:rPr>
        <w:t>طبقات الشافعية الكبرى ج ٩ ص ١٦٢</w:t>
      </w:r>
      <w:r w:rsidR="000636C2">
        <w:rPr>
          <w:rFonts w:eastAsia="Times New Roman" w:hint="cs"/>
          <w:rtl/>
        </w:rPr>
        <w:t>]، (</w:t>
      </w:r>
      <w:r>
        <w:rPr>
          <w:rFonts w:eastAsia="Times New Roman" w:hint="cs"/>
          <w:rtl/>
        </w:rPr>
        <w:t>ت</w:t>
      </w:r>
      <w:r w:rsidR="000636C2">
        <w:rPr>
          <w:rFonts w:eastAsia="Times New Roman" w:hint="cs"/>
          <w:rtl/>
        </w:rPr>
        <w:t xml:space="preserve">) </w:t>
      </w:r>
      <w:r>
        <w:rPr>
          <w:rFonts w:eastAsia="Times New Roman" w:hint="cs"/>
          <w:rtl/>
        </w:rPr>
        <w:t xml:space="preserve">قاضي القضاة كمال الدين الزملكاني </w:t>
      </w:r>
      <w:r w:rsidR="000636C2">
        <w:rPr>
          <w:rFonts w:eastAsia="Times New Roman" w:hint="cs"/>
          <w:rtl/>
        </w:rPr>
        <w:t>(</w:t>
      </w:r>
      <w:r>
        <w:rPr>
          <w:rFonts w:eastAsia="Times New Roman" w:hint="cs"/>
          <w:rtl/>
        </w:rPr>
        <w:t>٦٦٧ ـ ٧٣٣ هـ</w:t>
      </w:r>
      <w:r w:rsidR="000636C2">
        <w:rPr>
          <w:rFonts w:eastAsia="Times New Roman" w:hint="cs"/>
          <w:rtl/>
        </w:rPr>
        <w:t>)،</w:t>
      </w:r>
      <w:r>
        <w:rPr>
          <w:rFonts w:eastAsia="Times New Roman" w:hint="cs"/>
          <w:rtl/>
        </w:rPr>
        <w:t xml:space="preserve"> صنفّ الرد على ابن تيمية في مسألتي الطلاق والزيارة</w:t>
      </w:r>
      <w:r w:rsidR="000636C2">
        <w:rPr>
          <w:rFonts w:eastAsia="Times New Roman" w:hint="cs"/>
          <w:rtl/>
        </w:rPr>
        <w:t xml:space="preserve"> [</w:t>
      </w:r>
      <w:r>
        <w:rPr>
          <w:rFonts w:eastAsia="Times New Roman" w:hint="cs"/>
          <w:rtl/>
        </w:rPr>
        <w:t>طبقات الشافعية الكبرى ج ٩ ص ١٩٠ ـ ١٩١</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ث</w:t>
      </w:r>
      <w:r w:rsidR="000636C2">
        <w:rPr>
          <w:rFonts w:eastAsia="Times New Roman" w:hint="cs"/>
          <w:rtl/>
        </w:rPr>
        <w:t xml:space="preserve">) </w:t>
      </w:r>
      <w:r>
        <w:rPr>
          <w:rFonts w:eastAsia="Times New Roman" w:hint="cs"/>
          <w:rtl/>
        </w:rPr>
        <w:t xml:space="preserve">الحافظ علي بن عبد الكافي السبكي </w:t>
      </w:r>
      <w:r w:rsidR="000636C2">
        <w:rPr>
          <w:rFonts w:eastAsia="Times New Roman" w:hint="cs"/>
          <w:rtl/>
        </w:rPr>
        <w:t>(</w:t>
      </w:r>
      <w:r>
        <w:rPr>
          <w:rFonts w:eastAsia="Times New Roman" w:hint="cs"/>
          <w:rtl/>
        </w:rPr>
        <w:t>ت ٧٥٦ هـ</w:t>
      </w:r>
      <w:r w:rsidR="000636C2">
        <w:rPr>
          <w:rFonts w:eastAsia="Times New Roman" w:hint="cs"/>
          <w:rtl/>
        </w:rPr>
        <w:t xml:space="preserve">): </w:t>
      </w:r>
      <w:r>
        <w:rPr>
          <w:rFonts w:eastAsia="Times New Roman" w:hint="cs"/>
          <w:rtl/>
        </w:rPr>
        <w:t>ردّ على ابن تيمية</w:t>
      </w:r>
      <w:r w:rsidR="000636C2">
        <w:rPr>
          <w:rFonts w:eastAsia="Times New Roman" w:hint="cs"/>
          <w:rtl/>
        </w:rPr>
        <w:t>،</w:t>
      </w:r>
      <w:r>
        <w:rPr>
          <w:rFonts w:eastAsia="Times New Roman" w:hint="cs"/>
          <w:rtl/>
        </w:rPr>
        <w:t xml:space="preserve"> وألّف فيه كتاباً أسماه « شفاء السقام في زيارة خير الأنام عليه الصلاة والسلام »</w:t>
      </w:r>
      <w:r w:rsidR="000636C2">
        <w:rPr>
          <w:rFonts w:eastAsia="Times New Roman" w:hint="cs"/>
          <w:rtl/>
        </w:rPr>
        <w:t>،</w:t>
      </w:r>
      <w:r>
        <w:rPr>
          <w:rFonts w:eastAsia="Times New Roman" w:hint="cs"/>
          <w:rtl/>
        </w:rPr>
        <w:t xml:space="preserve"> وقال أيضاً في خطبة كتابه « الدرة المضيئة في الرد على ابن تيمية » ما هذا لفظه</w:t>
      </w:r>
      <w:r w:rsidR="000636C2">
        <w:rPr>
          <w:rFonts w:eastAsia="Times New Roman" w:hint="cs"/>
          <w:rtl/>
        </w:rPr>
        <w:t xml:space="preserve">: </w:t>
      </w:r>
      <w:r>
        <w:rPr>
          <w:rFonts w:eastAsia="Times New Roman" w:hint="cs"/>
          <w:rtl/>
        </w:rPr>
        <w:t xml:space="preserve">« أمّا بعد فإنّه لما أحدث </w:t>
      </w:r>
      <w:r>
        <w:rPr>
          <w:rFonts w:eastAsia="Times New Roman" w:hint="cs"/>
          <w:rtl/>
        </w:rPr>
        <w:lastRenderedPageBreak/>
        <w:t>ابن تيمية ما أحدث في أُصول العقائد</w:t>
      </w:r>
      <w:r w:rsidR="000636C2">
        <w:rPr>
          <w:rFonts w:eastAsia="Times New Roman" w:hint="cs"/>
          <w:rtl/>
        </w:rPr>
        <w:t>،</w:t>
      </w:r>
      <w:r>
        <w:rPr>
          <w:rFonts w:eastAsia="Times New Roman" w:hint="cs"/>
          <w:rtl/>
        </w:rPr>
        <w:t xml:space="preserve"> ونقض من دعائم الإسلام الأركان والمعاقد</w:t>
      </w:r>
      <w:r w:rsidR="000636C2">
        <w:rPr>
          <w:rFonts w:eastAsia="Times New Roman" w:hint="cs"/>
          <w:rtl/>
        </w:rPr>
        <w:t>،</w:t>
      </w:r>
      <w:r>
        <w:rPr>
          <w:rFonts w:eastAsia="Times New Roman" w:hint="cs"/>
          <w:rtl/>
        </w:rPr>
        <w:t xml:space="preserve"> بعد أن كان مستتراً بتبعية الكتاب والسنّة</w:t>
      </w:r>
      <w:r w:rsidR="000636C2">
        <w:rPr>
          <w:rFonts w:eastAsia="Times New Roman" w:hint="cs"/>
          <w:rtl/>
        </w:rPr>
        <w:t>،</w:t>
      </w:r>
      <w:r>
        <w:rPr>
          <w:rFonts w:eastAsia="Times New Roman" w:hint="cs"/>
          <w:rtl/>
        </w:rPr>
        <w:t xml:space="preserve"> مظهراً أنّه داع إلى الحق</w:t>
      </w:r>
      <w:r w:rsidR="000636C2">
        <w:rPr>
          <w:rFonts w:eastAsia="Times New Roman" w:hint="cs"/>
          <w:rtl/>
        </w:rPr>
        <w:t>،</w:t>
      </w:r>
      <w:r>
        <w:rPr>
          <w:rFonts w:eastAsia="Times New Roman" w:hint="cs"/>
          <w:rtl/>
        </w:rPr>
        <w:t xml:space="preserve"> هاد إلى الجنة</w:t>
      </w:r>
      <w:r w:rsidR="000636C2">
        <w:rPr>
          <w:rFonts w:eastAsia="Times New Roman" w:hint="cs"/>
          <w:rtl/>
        </w:rPr>
        <w:t>،</w:t>
      </w:r>
      <w:r>
        <w:rPr>
          <w:rFonts w:eastAsia="Times New Roman" w:hint="cs"/>
          <w:rtl/>
        </w:rPr>
        <w:t xml:space="preserve"> فخرج عن الإتباع إلى الابتداع</w:t>
      </w:r>
      <w:r w:rsidR="000636C2">
        <w:rPr>
          <w:rFonts w:eastAsia="Times New Roman" w:hint="cs"/>
          <w:rtl/>
        </w:rPr>
        <w:t>،</w:t>
      </w:r>
      <w:r>
        <w:rPr>
          <w:rFonts w:eastAsia="Times New Roman" w:hint="cs"/>
          <w:rtl/>
        </w:rPr>
        <w:t xml:space="preserve"> وشذ عن جماعة المسلمين بمخالفة الإجماع</w:t>
      </w:r>
      <w:r w:rsidR="000636C2">
        <w:rPr>
          <w:rFonts w:eastAsia="Times New Roman" w:hint="cs"/>
          <w:rtl/>
        </w:rPr>
        <w:t>،</w:t>
      </w:r>
      <w:r>
        <w:rPr>
          <w:rFonts w:eastAsia="Times New Roman" w:hint="cs"/>
          <w:rtl/>
        </w:rPr>
        <w:t xml:space="preserve"> وقال بما يقتضي الجسمية والتركيب في الذات المقدسة</w:t>
      </w:r>
      <w:r w:rsidR="000636C2">
        <w:rPr>
          <w:rFonts w:eastAsia="Times New Roman" w:hint="cs"/>
          <w:rtl/>
        </w:rPr>
        <w:t>،</w:t>
      </w:r>
      <w:r>
        <w:rPr>
          <w:rFonts w:eastAsia="Times New Roman" w:hint="cs"/>
          <w:rtl/>
        </w:rPr>
        <w:t xml:space="preserve"> وإنّ الافتقار إلى الجزء ليس بمحال</w:t>
      </w:r>
      <w:r w:rsidR="000636C2">
        <w:rPr>
          <w:rFonts w:eastAsia="Times New Roman" w:hint="cs"/>
          <w:rtl/>
        </w:rPr>
        <w:t>،</w:t>
      </w:r>
      <w:r>
        <w:rPr>
          <w:rFonts w:eastAsia="Times New Roman" w:hint="cs"/>
          <w:rtl/>
        </w:rPr>
        <w:t xml:space="preserve"> وقال بحلول الحوادث بذات اللّه تعالى</w:t>
      </w:r>
      <w:r w:rsidR="000636C2">
        <w:rPr>
          <w:rFonts w:eastAsia="Times New Roman" w:hint="cs"/>
          <w:rtl/>
        </w:rPr>
        <w:t>،</w:t>
      </w:r>
      <w:r>
        <w:rPr>
          <w:rFonts w:eastAsia="Times New Roman" w:hint="cs"/>
          <w:rtl/>
        </w:rPr>
        <w:t xml:space="preserve"> وإنّ القرآن محدث تكلم اللّه به بعد أن لم يكن</w:t>
      </w:r>
      <w:r w:rsidR="000636C2">
        <w:rPr>
          <w:rFonts w:eastAsia="Times New Roman" w:hint="cs"/>
          <w:rtl/>
        </w:rPr>
        <w:t>،</w:t>
      </w:r>
      <w:r>
        <w:rPr>
          <w:rFonts w:eastAsia="Times New Roman" w:hint="cs"/>
          <w:rtl/>
        </w:rPr>
        <w:t xml:space="preserve"> وإنّه يتكلم ويسكت</w:t>
      </w:r>
      <w:r w:rsidR="000636C2">
        <w:rPr>
          <w:rFonts w:eastAsia="Times New Roman" w:hint="cs"/>
          <w:rtl/>
        </w:rPr>
        <w:t>،</w:t>
      </w:r>
      <w:r>
        <w:rPr>
          <w:rFonts w:eastAsia="Times New Roman" w:hint="cs"/>
          <w:rtl/>
        </w:rPr>
        <w:t xml:space="preserve"> ويحدث في ذاته الإرادات بحسب المخلوقات</w:t>
      </w:r>
      <w:r w:rsidR="000636C2">
        <w:rPr>
          <w:rFonts w:eastAsia="Times New Roman" w:hint="cs"/>
          <w:rtl/>
        </w:rPr>
        <w:t>،</w:t>
      </w:r>
      <w:r>
        <w:rPr>
          <w:rFonts w:eastAsia="Times New Roman" w:hint="cs"/>
          <w:rtl/>
        </w:rPr>
        <w:t xml:space="preserve"> وتعدّى في ذلك إلى استلزام قدم العالم</w:t>
      </w:r>
      <w:r w:rsidR="000636C2">
        <w:rPr>
          <w:rFonts w:eastAsia="Times New Roman" w:hint="cs"/>
          <w:rtl/>
        </w:rPr>
        <w:t>،</w:t>
      </w:r>
      <w:r>
        <w:rPr>
          <w:rFonts w:eastAsia="Times New Roman" w:hint="cs"/>
          <w:rtl/>
        </w:rPr>
        <w:t xml:space="preserve"> والتزم بالقول بأنّه لا أوّل للمخلوقات فقال بحوادث لا أوّل لها</w:t>
      </w:r>
      <w:r w:rsidR="000636C2">
        <w:rPr>
          <w:rFonts w:eastAsia="Times New Roman" w:hint="cs"/>
          <w:rtl/>
        </w:rPr>
        <w:t>،</w:t>
      </w:r>
      <w:r>
        <w:rPr>
          <w:rFonts w:eastAsia="Times New Roman" w:hint="cs"/>
          <w:rtl/>
        </w:rPr>
        <w:t xml:space="preserve"> فأثبت الصفة القديمة حادثة</w:t>
      </w:r>
      <w:r w:rsidR="000636C2">
        <w:rPr>
          <w:rFonts w:eastAsia="Times New Roman" w:hint="cs"/>
          <w:rtl/>
        </w:rPr>
        <w:t>،</w:t>
      </w:r>
      <w:r>
        <w:rPr>
          <w:rFonts w:eastAsia="Times New Roman" w:hint="cs"/>
          <w:rtl/>
        </w:rPr>
        <w:t xml:space="preserve"> والمخلوق الحادث قديماً</w:t>
      </w:r>
      <w:r w:rsidR="000636C2">
        <w:rPr>
          <w:rFonts w:eastAsia="Times New Roman" w:hint="cs"/>
          <w:rtl/>
        </w:rPr>
        <w:t>،</w:t>
      </w:r>
      <w:r>
        <w:rPr>
          <w:rFonts w:eastAsia="Times New Roman" w:hint="cs"/>
          <w:rtl/>
        </w:rPr>
        <w:t xml:space="preserve"> ولم يجمع أحد هذين القولين في ملة من الملل</w:t>
      </w:r>
      <w:r w:rsidR="000636C2">
        <w:rPr>
          <w:rFonts w:eastAsia="Times New Roman" w:hint="cs"/>
          <w:rtl/>
        </w:rPr>
        <w:t>،</w:t>
      </w:r>
      <w:r>
        <w:rPr>
          <w:rFonts w:eastAsia="Times New Roman" w:hint="cs"/>
          <w:rtl/>
        </w:rPr>
        <w:t xml:space="preserve"> ولا نحلة من النحل</w:t>
      </w:r>
      <w:r w:rsidR="000636C2">
        <w:rPr>
          <w:rFonts w:eastAsia="Times New Roman" w:hint="cs"/>
          <w:rtl/>
        </w:rPr>
        <w:t>،</w:t>
      </w:r>
      <w:r>
        <w:rPr>
          <w:rFonts w:eastAsia="Times New Roman" w:hint="cs"/>
          <w:rtl/>
        </w:rPr>
        <w:t xml:space="preserve"> فلم يدخل في فرقة من الفرق الثلاث والسبعين الّتي افترقت عليها الأُمّة</w:t>
      </w:r>
      <w:r w:rsidR="000636C2">
        <w:rPr>
          <w:rFonts w:eastAsia="Times New Roman" w:hint="cs"/>
          <w:rtl/>
        </w:rPr>
        <w:t>،</w:t>
      </w:r>
      <w:r>
        <w:rPr>
          <w:rFonts w:eastAsia="Times New Roman" w:hint="cs"/>
          <w:rtl/>
        </w:rPr>
        <w:t xml:space="preserve"> ولا وقفت به مع أُمّة من الأُمم همة</w:t>
      </w:r>
      <w:r w:rsidR="000636C2">
        <w:rPr>
          <w:rFonts w:eastAsia="Times New Roman" w:hint="cs"/>
          <w:rtl/>
        </w:rPr>
        <w:t xml:space="preserve">، </w:t>
      </w:r>
      <w:r>
        <w:rPr>
          <w:rFonts w:eastAsia="Times New Roman" w:hint="cs"/>
          <w:rtl/>
        </w:rPr>
        <w:t>وكل ذلك وان كان كفراً شنيعاً</w:t>
      </w:r>
      <w:r w:rsidR="000636C2">
        <w:rPr>
          <w:rFonts w:eastAsia="Times New Roman" w:hint="cs"/>
          <w:rtl/>
        </w:rPr>
        <w:t>،</w:t>
      </w:r>
      <w:r>
        <w:rPr>
          <w:rFonts w:eastAsia="Times New Roman" w:hint="cs"/>
          <w:rtl/>
        </w:rPr>
        <w:t xml:space="preserve"> لكنّه تقل حملته بالنسبة إلى ما أحدث في الفروع " أهـ</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ج</w:t>
      </w:r>
      <w:r w:rsidR="000636C2">
        <w:rPr>
          <w:rFonts w:eastAsia="Times New Roman" w:hint="cs"/>
          <w:rtl/>
        </w:rPr>
        <w:t xml:space="preserve">) </w:t>
      </w:r>
      <w:r>
        <w:rPr>
          <w:rFonts w:eastAsia="Times New Roman" w:hint="cs"/>
          <w:rtl/>
        </w:rPr>
        <w:t xml:space="preserve">أبو محمد اليافعي </w:t>
      </w:r>
      <w:r w:rsidR="000636C2">
        <w:rPr>
          <w:rFonts w:eastAsia="Times New Roman" w:hint="cs"/>
          <w:rtl/>
        </w:rPr>
        <w:t>(</w:t>
      </w:r>
      <w:r>
        <w:rPr>
          <w:rFonts w:eastAsia="Times New Roman" w:hint="cs"/>
          <w:rtl/>
        </w:rPr>
        <w:t>ت ٧٦٨ هـ</w:t>
      </w:r>
      <w:r w:rsidR="000636C2">
        <w:rPr>
          <w:rFonts w:eastAsia="Times New Roman" w:hint="cs"/>
          <w:rtl/>
        </w:rPr>
        <w:t xml:space="preserve">): </w:t>
      </w:r>
      <w:r>
        <w:rPr>
          <w:rFonts w:eastAsia="Times New Roman" w:hint="cs"/>
          <w:rtl/>
        </w:rPr>
        <w:t>قال في كتابه « مرآة الجنان » في ترجمة ابن تيمية</w:t>
      </w:r>
      <w:r w:rsidR="000636C2">
        <w:rPr>
          <w:rFonts w:eastAsia="Times New Roman" w:hint="cs"/>
          <w:rtl/>
        </w:rPr>
        <w:t xml:space="preserve">: </w:t>
      </w:r>
      <w:r>
        <w:rPr>
          <w:rFonts w:eastAsia="Times New Roman" w:hint="cs"/>
          <w:rtl/>
        </w:rPr>
        <w:t>« مات بقلعة دمشق الشيخ الحافظ الكبير تقي الدين أحمد بن تيمية معتقلا</w:t>
      </w:r>
      <w:r w:rsidR="000636C2">
        <w:rPr>
          <w:rFonts w:eastAsia="Times New Roman" w:hint="cs"/>
          <w:rtl/>
        </w:rPr>
        <w:t>،</w:t>
      </w:r>
      <w:r>
        <w:rPr>
          <w:rFonts w:eastAsia="Times New Roman" w:hint="cs"/>
          <w:rtl/>
        </w:rPr>
        <w:t xml:space="preserve"> ومنع قبل وفاته بخمسة أشهر عن الدواة والورق</w:t>
      </w:r>
      <w:r w:rsidR="000636C2">
        <w:rPr>
          <w:rFonts w:eastAsia="Times New Roman" w:hint="cs"/>
          <w:rtl/>
        </w:rPr>
        <w:t>،</w:t>
      </w:r>
      <w:r>
        <w:rPr>
          <w:rFonts w:eastAsia="Times New Roman" w:hint="cs"/>
          <w:rtl/>
        </w:rPr>
        <w:t xml:space="preserve"> وسمع من جماعة وله مسائل غريبة ـ أنكر عليها وحبس بسببها ـ مباينة لمذهب أهل السنة</w:t>
      </w:r>
      <w:r w:rsidR="000636C2">
        <w:rPr>
          <w:rFonts w:eastAsia="Times New Roman" w:hint="cs"/>
          <w:rtl/>
        </w:rPr>
        <w:t>،</w:t>
      </w:r>
      <w:r>
        <w:rPr>
          <w:rFonts w:eastAsia="Times New Roman" w:hint="cs"/>
          <w:rtl/>
        </w:rPr>
        <w:t xml:space="preserve"> ومن أقبحها نهيه عن زيارة النبي ـ عليه الصلاة والسلام ـ وطعنه مشايخ الصوفية</w:t>
      </w:r>
      <w:r w:rsidR="000636C2">
        <w:rPr>
          <w:rFonts w:eastAsia="Times New Roman" w:hint="cs"/>
          <w:rtl/>
        </w:rPr>
        <w:t>،</w:t>
      </w:r>
      <w:r>
        <w:rPr>
          <w:rFonts w:eastAsia="Times New Roman" w:hint="cs"/>
          <w:rtl/>
        </w:rPr>
        <w:t xml:space="preserve"> وكذلك ما قد عرف من مذهبه كمسألة الطلاق وغيرها</w:t>
      </w:r>
      <w:r w:rsidR="000636C2">
        <w:rPr>
          <w:rFonts w:eastAsia="Times New Roman" w:hint="cs"/>
          <w:rtl/>
        </w:rPr>
        <w:t>،</w:t>
      </w:r>
      <w:r>
        <w:rPr>
          <w:rFonts w:eastAsia="Times New Roman" w:hint="cs"/>
          <w:rtl/>
        </w:rPr>
        <w:t xml:space="preserve"> وكذلك عقيدته في الجهة</w:t>
      </w:r>
      <w:r w:rsidR="000636C2">
        <w:rPr>
          <w:rFonts w:eastAsia="Times New Roman" w:hint="cs"/>
          <w:rtl/>
        </w:rPr>
        <w:t>،</w:t>
      </w:r>
      <w:r>
        <w:rPr>
          <w:rFonts w:eastAsia="Times New Roman" w:hint="cs"/>
          <w:rtl/>
        </w:rPr>
        <w:t xml:space="preserve"> وما نقل فيها من الأقوال الباطلة</w:t>
      </w:r>
      <w:r w:rsidR="000636C2">
        <w:rPr>
          <w:rFonts w:eastAsia="Times New Roman" w:hint="cs"/>
          <w:rtl/>
        </w:rPr>
        <w:t>،</w:t>
      </w:r>
      <w:r>
        <w:rPr>
          <w:rFonts w:eastAsia="Times New Roman" w:hint="cs"/>
          <w:rtl/>
        </w:rPr>
        <w:t xml:space="preserve"> وغير ذلك ما هو معروف من مذهبه</w:t>
      </w:r>
      <w:r w:rsidR="000636C2">
        <w:rPr>
          <w:rFonts w:eastAsia="Times New Roman" w:hint="cs"/>
          <w:rtl/>
        </w:rPr>
        <w:t>،</w:t>
      </w:r>
      <w:r>
        <w:rPr>
          <w:rFonts w:eastAsia="Times New Roman" w:hint="cs"/>
          <w:rtl/>
        </w:rPr>
        <w:t xml:space="preserve"> ولقد رأيت مناماً في وقت مبارك يتعلّق بعضه بعقيدته</w:t>
      </w:r>
      <w:r w:rsidR="000636C2">
        <w:rPr>
          <w:rFonts w:eastAsia="Times New Roman" w:hint="cs"/>
          <w:rtl/>
        </w:rPr>
        <w:t>،</w:t>
      </w:r>
      <w:r>
        <w:rPr>
          <w:rFonts w:eastAsia="Times New Roman" w:hint="cs"/>
          <w:rtl/>
        </w:rPr>
        <w:t xml:space="preserve"> ويدل على خطئه فيها</w:t>
      </w:r>
      <w:r w:rsidR="000636C2">
        <w:rPr>
          <w:rFonts w:eastAsia="Times New Roman" w:hint="cs"/>
          <w:rtl/>
        </w:rPr>
        <w:t>،</w:t>
      </w:r>
      <w:r>
        <w:rPr>
          <w:rFonts w:eastAsia="Times New Roman" w:hint="cs"/>
          <w:rtl/>
        </w:rPr>
        <w:t xml:space="preserve"> وقد قدمت ذكره في حوادث سنة ٥٥٨ هـ في ترجمة صاحب « البيان »</w:t>
      </w:r>
      <w:r w:rsidR="000636C2">
        <w:rPr>
          <w:rFonts w:eastAsia="Times New Roman" w:hint="cs"/>
          <w:rtl/>
        </w:rPr>
        <w:t>،</w:t>
      </w:r>
      <w:r>
        <w:rPr>
          <w:rFonts w:eastAsia="Times New Roman" w:hint="cs"/>
          <w:rtl/>
        </w:rPr>
        <w:t xml:space="preserve"> وقال</w:t>
      </w:r>
      <w:r w:rsidR="000636C2">
        <w:rPr>
          <w:rFonts w:eastAsia="Times New Roman" w:hint="cs"/>
          <w:rtl/>
        </w:rPr>
        <w:t xml:space="preserve">: </w:t>
      </w:r>
      <w:r>
        <w:rPr>
          <w:rFonts w:eastAsia="Times New Roman" w:hint="cs"/>
          <w:rtl/>
        </w:rPr>
        <w:t>كان ابن تيمية يقول</w:t>
      </w:r>
      <w:r w:rsidR="000636C2">
        <w:rPr>
          <w:rFonts w:eastAsia="Times New Roman" w:hint="cs"/>
          <w:rtl/>
        </w:rPr>
        <w:t xml:space="preserve">: </w:t>
      </w:r>
      <w:r>
        <w:rPr>
          <w:rFonts w:eastAsia="Times New Roman" w:hint="cs"/>
          <w:rtl/>
        </w:rPr>
        <w:t>قوله</w:t>
      </w:r>
      <w:r w:rsidR="000636C2">
        <w:rPr>
          <w:rFonts w:eastAsia="Times New Roman" w:hint="cs"/>
          <w:rtl/>
        </w:rPr>
        <w:t xml:space="preserve">: </w:t>
      </w:r>
      <w:r>
        <w:rPr>
          <w:rFonts w:eastAsia="Times New Roman" w:hint="cs"/>
          <w:rtl/>
        </w:rPr>
        <w:t>« إنّ اللّه على العرش استوى »</w:t>
      </w:r>
      <w:r w:rsidR="000636C2">
        <w:rPr>
          <w:rFonts w:eastAsia="Times New Roman" w:hint="cs"/>
          <w:rtl/>
        </w:rPr>
        <w:t>،</w:t>
      </w:r>
      <w:r>
        <w:rPr>
          <w:rFonts w:eastAsia="Times New Roman" w:hint="cs"/>
          <w:rtl/>
        </w:rPr>
        <w:t xml:space="preserve"> استواء حقيقة</w:t>
      </w:r>
      <w:r w:rsidR="000636C2">
        <w:rPr>
          <w:rFonts w:eastAsia="Times New Roman" w:hint="cs"/>
          <w:rtl/>
        </w:rPr>
        <w:t>،</w:t>
      </w:r>
      <w:r>
        <w:rPr>
          <w:rFonts w:eastAsia="Times New Roman" w:hint="cs"/>
          <w:rtl/>
        </w:rPr>
        <w:t xml:space="preserve"> وإنّه يتكلّم بحرف وصوت</w:t>
      </w:r>
      <w:r w:rsidR="000636C2">
        <w:rPr>
          <w:rFonts w:eastAsia="Times New Roman" w:hint="cs"/>
          <w:rtl/>
        </w:rPr>
        <w:t>،</w:t>
      </w:r>
      <w:r>
        <w:rPr>
          <w:rFonts w:eastAsia="Times New Roman" w:hint="cs"/>
          <w:rtl/>
        </w:rPr>
        <w:t xml:space="preserve"> وقد نودي في دمشق وغيرها</w:t>
      </w:r>
      <w:r w:rsidR="000636C2">
        <w:rPr>
          <w:rFonts w:eastAsia="Times New Roman" w:hint="cs"/>
          <w:rtl/>
        </w:rPr>
        <w:t xml:space="preserve">: </w:t>
      </w:r>
      <w:r>
        <w:rPr>
          <w:rFonts w:eastAsia="Times New Roman" w:hint="cs"/>
          <w:rtl/>
        </w:rPr>
        <w:t>من كان على عقيدة ابن تيمية حل ماله ودمه!</w:t>
      </w:r>
      <w:r w:rsidR="000636C2">
        <w:rPr>
          <w:rFonts w:eastAsia="Times New Roman" w:hint="cs"/>
          <w:rtl/>
        </w:rPr>
        <w:t xml:space="preserve"> [</w:t>
      </w:r>
      <w:r>
        <w:rPr>
          <w:rFonts w:eastAsia="Times New Roman" w:hint="cs"/>
          <w:rtl/>
        </w:rPr>
        <w:t>مرآة الجنان ج ٤ ص ٢٧٧</w:t>
      </w:r>
      <w:r w:rsidR="000636C2">
        <w:rPr>
          <w:rFonts w:eastAsia="Times New Roman" w:hint="cs"/>
          <w:rtl/>
        </w:rPr>
        <w:t>،</w:t>
      </w:r>
      <w:r>
        <w:rPr>
          <w:rFonts w:eastAsia="Times New Roman" w:hint="cs"/>
          <w:rtl/>
        </w:rPr>
        <w:t xml:space="preserve"> في حوادث سنة ٧٢٨ هـ</w:t>
      </w:r>
      <w:r w:rsidR="000636C2">
        <w:rPr>
          <w:rFonts w:eastAsia="Times New Roman" w:hint="cs"/>
          <w:rtl/>
        </w:rPr>
        <w:t>]،</w:t>
      </w:r>
      <w:r>
        <w:rPr>
          <w:rFonts w:eastAsia="Times New Roman" w:hint="cs"/>
          <w:rtl/>
        </w:rPr>
        <w:t xml:space="preserve"> وقال في حوادث سنة ٧٢٨ هـ</w:t>
      </w:r>
      <w:r w:rsidR="000636C2">
        <w:rPr>
          <w:rFonts w:eastAsia="Times New Roman" w:hint="cs"/>
          <w:rtl/>
        </w:rPr>
        <w:t xml:space="preserve">: </w:t>
      </w:r>
      <w:r>
        <w:rPr>
          <w:rFonts w:eastAsia="Times New Roman" w:hint="cs"/>
          <w:rtl/>
        </w:rPr>
        <w:t xml:space="preserve">وله مسائل غريبة أنكر عليها وحبس بسببها مباينة لمذهب </w:t>
      </w:r>
      <w:r w:rsidR="000636C2">
        <w:rPr>
          <w:rFonts w:eastAsia="Times New Roman" w:hint="cs"/>
          <w:rtl/>
        </w:rPr>
        <w:t>(</w:t>
      </w:r>
      <w:r>
        <w:rPr>
          <w:rFonts w:eastAsia="Times New Roman" w:hint="cs"/>
          <w:rtl/>
        </w:rPr>
        <w:t>أهل السنة</w:t>
      </w:r>
      <w:r w:rsidR="000636C2">
        <w:rPr>
          <w:rFonts w:eastAsia="Times New Roman" w:hint="cs"/>
          <w:rtl/>
        </w:rPr>
        <w:t xml:space="preserve">) </w:t>
      </w:r>
      <w:r>
        <w:rPr>
          <w:rFonts w:eastAsia="Times New Roman" w:hint="cs"/>
          <w:rtl/>
        </w:rPr>
        <w:t xml:space="preserve">ثم </w:t>
      </w:r>
      <w:r w:rsidR="000636C2">
        <w:rPr>
          <w:rFonts w:eastAsia="Times New Roman" w:hint="cs"/>
          <w:rtl/>
        </w:rPr>
        <w:t>(</w:t>
      </w:r>
      <w:r>
        <w:rPr>
          <w:rFonts w:eastAsia="Times New Roman" w:hint="cs"/>
          <w:rtl/>
        </w:rPr>
        <w:t>عدّ له</w:t>
      </w:r>
      <w:r w:rsidR="000636C2">
        <w:rPr>
          <w:rFonts w:eastAsia="Times New Roman" w:hint="cs"/>
          <w:rtl/>
        </w:rPr>
        <w:t xml:space="preserve">) </w:t>
      </w:r>
      <w:r>
        <w:rPr>
          <w:rFonts w:eastAsia="Times New Roman" w:hint="cs"/>
          <w:rtl/>
        </w:rPr>
        <w:t>قبائح</w:t>
      </w:r>
      <w:r w:rsidR="000636C2">
        <w:rPr>
          <w:rFonts w:eastAsia="Times New Roman" w:hint="cs"/>
          <w:rtl/>
        </w:rPr>
        <w:t>،</w:t>
      </w:r>
      <w:r>
        <w:rPr>
          <w:rFonts w:eastAsia="Times New Roman" w:hint="cs"/>
          <w:rtl/>
        </w:rPr>
        <w:t xml:space="preserve"> قال</w:t>
      </w:r>
      <w:r w:rsidR="000636C2">
        <w:rPr>
          <w:rFonts w:eastAsia="Times New Roman" w:hint="cs"/>
          <w:rtl/>
        </w:rPr>
        <w:t xml:space="preserve">: </w:t>
      </w:r>
      <w:r>
        <w:rPr>
          <w:rFonts w:eastAsia="Times New Roman" w:hint="cs"/>
          <w:rtl/>
        </w:rPr>
        <w:t>ومن أقبحها نهيه عن زيارة النبي صلى الله عليه وسلم</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ح</w:t>
      </w:r>
      <w:r w:rsidR="000636C2">
        <w:rPr>
          <w:rFonts w:eastAsia="Times New Roman" w:hint="cs"/>
          <w:rtl/>
        </w:rPr>
        <w:t xml:space="preserve">) </w:t>
      </w:r>
      <w:r>
        <w:rPr>
          <w:rFonts w:eastAsia="Times New Roman" w:hint="cs"/>
          <w:rtl/>
        </w:rPr>
        <w:t xml:space="preserve">أبوبكر الحصني الدمشقي </w:t>
      </w:r>
      <w:r w:rsidR="000636C2">
        <w:rPr>
          <w:rFonts w:eastAsia="Times New Roman" w:hint="cs"/>
          <w:rtl/>
        </w:rPr>
        <w:t>(</w:t>
      </w:r>
      <w:r>
        <w:rPr>
          <w:rFonts w:eastAsia="Times New Roman" w:hint="cs"/>
          <w:rtl/>
        </w:rPr>
        <w:t>ت ٨٢٩ هـ</w:t>
      </w:r>
      <w:r w:rsidR="000636C2">
        <w:rPr>
          <w:rFonts w:eastAsia="Times New Roman" w:hint="cs"/>
          <w:rtl/>
        </w:rPr>
        <w:t xml:space="preserve">): </w:t>
      </w:r>
      <w:r>
        <w:rPr>
          <w:rFonts w:eastAsia="Times New Roman" w:hint="cs"/>
          <w:rtl/>
        </w:rPr>
        <w:t>قال</w:t>
      </w:r>
      <w:r w:rsidR="000636C2">
        <w:rPr>
          <w:rFonts w:eastAsia="Times New Roman" w:hint="cs"/>
          <w:rtl/>
        </w:rPr>
        <w:t xml:space="preserve">: </w:t>
      </w:r>
      <w:r>
        <w:rPr>
          <w:rFonts w:eastAsia="Times New Roman" w:hint="cs"/>
          <w:rtl/>
        </w:rPr>
        <w:t>" فاعلم أنّي نظرت في كلام هذا الخبيث الّذي في قلبه مرض الزيغ</w:t>
      </w:r>
      <w:r w:rsidR="000636C2">
        <w:rPr>
          <w:rFonts w:eastAsia="Times New Roman" w:hint="cs"/>
          <w:rtl/>
        </w:rPr>
        <w:t>،</w:t>
      </w:r>
      <w:r>
        <w:rPr>
          <w:rFonts w:eastAsia="Times New Roman" w:hint="cs"/>
          <w:rtl/>
        </w:rPr>
        <w:t xml:space="preserve"> المتتبّع ما تشابه من الكتاب والسنّة ابتغاء الفتنة</w:t>
      </w:r>
      <w:r w:rsidR="000636C2">
        <w:rPr>
          <w:rFonts w:eastAsia="Times New Roman" w:hint="cs"/>
          <w:rtl/>
        </w:rPr>
        <w:t>،</w:t>
      </w:r>
      <w:r>
        <w:rPr>
          <w:rFonts w:eastAsia="Times New Roman" w:hint="cs"/>
          <w:rtl/>
        </w:rPr>
        <w:t xml:space="preserve"> وتبعه على ذلك خلق من العوام وغيرهم ممن أراد اللّه عزّ وجلّ إهلاكه</w:t>
      </w:r>
      <w:r w:rsidR="000636C2">
        <w:rPr>
          <w:rFonts w:eastAsia="Times New Roman" w:hint="cs"/>
          <w:rtl/>
        </w:rPr>
        <w:t>،</w:t>
      </w:r>
      <w:r>
        <w:rPr>
          <w:rFonts w:eastAsia="Times New Roman" w:hint="cs"/>
          <w:rtl/>
        </w:rPr>
        <w:t xml:space="preserve"> فوجدت فيه ما لا أقدر على النطق به</w:t>
      </w:r>
      <w:r w:rsidR="000636C2">
        <w:rPr>
          <w:rFonts w:eastAsia="Times New Roman" w:hint="cs"/>
          <w:rtl/>
        </w:rPr>
        <w:t>،</w:t>
      </w:r>
      <w:r>
        <w:rPr>
          <w:rFonts w:eastAsia="Times New Roman" w:hint="cs"/>
          <w:rtl/>
        </w:rPr>
        <w:t xml:space="preserve"> ولا لي أنامل تطاوعني على رسمه وتسطيره</w:t>
      </w:r>
      <w:r w:rsidR="000636C2">
        <w:rPr>
          <w:rFonts w:eastAsia="Times New Roman" w:hint="cs"/>
          <w:rtl/>
        </w:rPr>
        <w:t>،</w:t>
      </w:r>
      <w:r>
        <w:rPr>
          <w:rFonts w:eastAsia="Times New Roman" w:hint="cs"/>
          <w:rtl/>
        </w:rPr>
        <w:t xml:space="preserve"> لما فيه من تكذيب ربّ العالمين</w:t>
      </w:r>
      <w:r w:rsidR="000636C2">
        <w:rPr>
          <w:rFonts w:eastAsia="Times New Roman" w:hint="cs"/>
          <w:rtl/>
        </w:rPr>
        <w:t>،</w:t>
      </w:r>
      <w:r>
        <w:rPr>
          <w:rFonts w:eastAsia="Times New Roman" w:hint="cs"/>
          <w:rtl/>
        </w:rPr>
        <w:t xml:space="preserve"> في تنزيهه لنفسه في كتابه المبين</w:t>
      </w:r>
      <w:r w:rsidR="000636C2">
        <w:rPr>
          <w:rFonts w:eastAsia="Times New Roman" w:hint="cs"/>
          <w:rtl/>
        </w:rPr>
        <w:t>،</w:t>
      </w:r>
      <w:r>
        <w:rPr>
          <w:rFonts w:eastAsia="Times New Roman" w:hint="cs"/>
          <w:rtl/>
        </w:rPr>
        <w:t xml:space="preserve"> وكذا الازدراء بأصفيائه</w:t>
      </w:r>
      <w:r w:rsidR="000636C2">
        <w:rPr>
          <w:rFonts w:eastAsia="Times New Roman" w:hint="cs"/>
          <w:rtl/>
        </w:rPr>
        <w:t>،</w:t>
      </w:r>
      <w:r>
        <w:rPr>
          <w:rFonts w:eastAsia="Times New Roman" w:hint="cs"/>
          <w:rtl/>
        </w:rPr>
        <w:t xml:space="preserve"> المنتخبين وخلفائهم الراشدين</w:t>
      </w:r>
      <w:r w:rsidR="000636C2">
        <w:rPr>
          <w:rFonts w:eastAsia="Times New Roman" w:hint="cs"/>
          <w:rtl/>
        </w:rPr>
        <w:t>،</w:t>
      </w:r>
      <w:r>
        <w:rPr>
          <w:rFonts w:eastAsia="Times New Roman" w:hint="cs"/>
          <w:rtl/>
        </w:rPr>
        <w:t xml:space="preserve"> واتباعهم الموفقين</w:t>
      </w:r>
      <w:r w:rsidR="000636C2">
        <w:rPr>
          <w:rFonts w:eastAsia="Times New Roman" w:hint="cs"/>
          <w:rtl/>
        </w:rPr>
        <w:t>،</w:t>
      </w:r>
      <w:r>
        <w:rPr>
          <w:rFonts w:eastAsia="Times New Roman" w:hint="cs"/>
          <w:rtl/>
        </w:rPr>
        <w:t xml:space="preserve"> فعدلت عن ذلك إلى ذكر ما ذكره الأئمّة المتّقون</w:t>
      </w:r>
      <w:r w:rsidR="000636C2">
        <w:rPr>
          <w:rFonts w:eastAsia="Times New Roman" w:hint="cs"/>
          <w:rtl/>
        </w:rPr>
        <w:t>،</w:t>
      </w:r>
      <w:r>
        <w:rPr>
          <w:rFonts w:eastAsia="Times New Roman" w:hint="cs"/>
          <w:rtl/>
        </w:rPr>
        <w:t xml:space="preserve"> وما </w:t>
      </w:r>
      <w:r>
        <w:rPr>
          <w:rFonts w:eastAsia="Times New Roman" w:hint="cs"/>
          <w:rtl/>
        </w:rPr>
        <w:lastRenderedPageBreak/>
        <w:t>اتّفقوا عليه من تبعيده وإخراجه ببغضه من الدين " أهـ</w:t>
      </w:r>
      <w:r w:rsidR="000636C2">
        <w:rPr>
          <w:rFonts w:eastAsia="Times New Roman" w:hint="cs"/>
          <w:rtl/>
        </w:rPr>
        <w:t xml:space="preserve"> [</w:t>
      </w:r>
      <w:r>
        <w:rPr>
          <w:rFonts w:eastAsia="Times New Roman" w:hint="cs"/>
          <w:rtl/>
        </w:rPr>
        <w:t>دفع شبهة من شبّه وتمرّد</w:t>
      </w:r>
      <w:r w:rsidR="000636C2">
        <w:rPr>
          <w:rFonts w:eastAsia="Times New Roman" w:hint="cs"/>
          <w:rtl/>
        </w:rPr>
        <w:t>،</w:t>
      </w:r>
      <w:r>
        <w:rPr>
          <w:rFonts w:eastAsia="Times New Roman" w:hint="cs"/>
          <w:rtl/>
        </w:rPr>
        <w:t xml:space="preserve"> ص ٢١٦</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خ</w:t>
      </w:r>
      <w:r w:rsidR="000636C2">
        <w:rPr>
          <w:rFonts w:eastAsia="Times New Roman" w:hint="cs"/>
          <w:rtl/>
        </w:rPr>
        <w:t xml:space="preserve">) </w:t>
      </w:r>
      <w:r>
        <w:rPr>
          <w:rFonts w:eastAsia="Times New Roman" w:hint="cs"/>
          <w:rtl/>
        </w:rPr>
        <w:t>أمير الدُنيا في الحديث الإمام الحافظ شهاب الدين أحمد بن حجر</w:t>
      </w:r>
      <w:r w:rsidR="000636C2">
        <w:rPr>
          <w:rFonts w:eastAsia="Times New Roman" w:hint="cs"/>
          <w:rtl/>
        </w:rPr>
        <w:t>،</w:t>
      </w:r>
      <w:r>
        <w:rPr>
          <w:rFonts w:eastAsia="Times New Roman" w:hint="cs"/>
          <w:rtl/>
        </w:rPr>
        <w:t xml:space="preserve"> العسقلاني </w:t>
      </w:r>
      <w:r w:rsidR="000636C2">
        <w:rPr>
          <w:rFonts w:eastAsia="Times New Roman" w:hint="cs"/>
          <w:rtl/>
        </w:rPr>
        <w:t>(</w:t>
      </w:r>
      <w:r>
        <w:rPr>
          <w:rFonts w:eastAsia="Times New Roman" w:hint="cs"/>
          <w:rtl/>
        </w:rPr>
        <w:t>ت ٨٥٢ هـ</w:t>
      </w:r>
      <w:r w:rsidR="000636C2">
        <w:rPr>
          <w:rFonts w:eastAsia="Times New Roman" w:hint="cs"/>
          <w:rtl/>
        </w:rPr>
        <w:t xml:space="preserve">): </w:t>
      </w:r>
      <w:r>
        <w:rPr>
          <w:rFonts w:hint="cs"/>
          <w:rtl/>
        </w:rPr>
        <w:t xml:space="preserve">قال الحافظ ابن حجر في الدرر الكامنة </w:t>
      </w:r>
      <w:r w:rsidR="000636C2">
        <w:rPr>
          <w:rFonts w:hint="cs"/>
          <w:rtl/>
        </w:rPr>
        <w:t>(</w:t>
      </w:r>
      <w:r>
        <w:rPr>
          <w:rFonts w:hint="cs"/>
          <w:rtl/>
        </w:rPr>
        <w:t>1/144</w:t>
      </w:r>
      <w:r w:rsidR="000636C2">
        <w:rPr>
          <w:rFonts w:hint="cs"/>
          <w:rtl/>
        </w:rPr>
        <w:t xml:space="preserve">) </w:t>
      </w:r>
      <w:r>
        <w:rPr>
          <w:rFonts w:hint="cs"/>
          <w:rtl/>
        </w:rPr>
        <w:t>في ترجمة ابن تيمية</w:t>
      </w:r>
      <w:r w:rsidR="000636C2">
        <w:rPr>
          <w:rFonts w:hint="cs"/>
          <w:rtl/>
        </w:rPr>
        <w:t xml:space="preserve">: </w:t>
      </w:r>
      <w:r>
        <w:rPr>
          <w:rFonts w:hint="cs"/>
          <w:rtl/>
        </w:rPr>
        <w:t>" افترق الناس فيه شيعًا فمنهم من نسبه إلى التجسيم لما ذكر في العقيدة الحموية والواسطية وغيرهما من ذلك كقوله إن اليد والقدم والساق والوجه صفات حقيقيّة لله وإنه مستوٍ على العرش بذاته</w:t>
      </w:r>
      <w:r w:rsidR="000636C2">
        <w:rPr>
          <w:rFonts w:hint="cs"/>
          <w:rtl/>
        </w:rPr>
        <w:t>،</w:t>
      </w:r>
      <w:r>
        <w:rPr>
          <w:rFonts w:hint="cs"/>
          <w:rtl/>
        </w:rPr>
        <w:t xml:space="preserve"> فقيل له</w:t>
      </w:r>
      <w:r w:rsidR="000636C2">
        <w:rPr>
          <w:rFonts w:hint="cs"/>
          <w:rtl/>
        </w:rPr>
        <w:t xml:space="preserve">: </w:t>
      </w:r>
      <w:r>
        <w:rPr>
          <w:rFonts w:hint="cs"/>
          <w:rtl/>
        </w:rPr>
        <w:t>يلزم من ذلك التحيّز والانقسام، فقال</w:t>
      </w:r>
      <w:r w:rsidR="000636C2">
        <w:rPr>
          <w:rFonts w:hint="cs"/>
          <w:rtl/>
        </w:rPr>
        <w:t xml:space="preserve">: </w:t>
      </w:r>
      <w:r>
        <w:rPr>
          <w:rFonts w:hint="cs"/>
          <w:rtl/>
        </w:rPr>
        <w:t>أنا لا أسلّم أن التحيز والانقسام من خواص الأجسام، فألزم بأنه يقول بتحيّز في ذات الله</w:t>
      </w:r>
      <w:r w:rsidR="000636C2">
        <w:rPr>
          <w:rFonts w:hint="cs"/>
          <w:rtl/>
        </w:rPr>
        <w:t>،</w:t>
      </w:r>
      <w:r>
        <w:rPr>
          <w:rFonts w:hint="cs"/>
          <w:rtl/>
        </w:rPr>
        <w:t xml:space="preserve"> ومنهم من ينسبه إلى الزندقة لقوله إن النبي صلى الله عليه وسلم لا يُستغاث به وأن في ذلك تنقيصًا ومنعًا من تعظيم النبي صلى الله عليه وسلم، وكان أشد الناس عليه في ذلك النور البكري فإنه لما عقد له المجلس بسبب ذلك قال بعض الحاضرين يعزر، فقال البكري</w:t>
      </w:r>
      <w:r w:rsidR="000636C2">
        <w:rPr>
          <w:rFonts w:hint="cs"/>
          <w:rtl/>
        </w:rPr>
        <w:t xml:space="preserve">: </w:t>
      </w:r>
      <w:r>
        <w:rPr>
          <w:rFonts w:hint="cs"/>
          <w:rtl/>
        </w:rPr>
        <w:t>لا معنى لهذا القول فإنه إن كان تنقيصًا يقتل وإن لم يكن تنقيصًا لا يعزر</w:t>
      </w:r>
      <w:r w:rsidR="000636C2">
        <w:rPr>
          <w:rFonts w:hint="cs"/>
          <w:rtl/>
        </w:rPr>
        <w:t>،</w:t>
      </w:r>
      <w:r>
        <w:rPr>
          <w:rFonts w:hint="cs"/>
          <w:rtl/>
        </w:rPr>
        <w:t xml:space="preserve"> ومنهم من ينسبه إلى النفاق لقوله في عليّ ما تقدّم ولقوله</w:t>
      </w:r>
      <w:r w:rsidR="000636C2">
        <w:rPr>
          <w:rFonts w:hint="cs"/>
          <w:rtl/>
        </w:rPr>
        <w:t xml:space="preserve">: </w:t>
      </w:r>
      <w:r>
        <w:rPr>
          <w:rFonts w:hint="cs"/>
          <w:rtl/>
        </w:rPr>
        <w:t>إنه كان مخذولاً حيثما توجه، وإنه حاول الخلافة مرارًا فلم ينلها وإنما قاتل للرياسة لا للديانة، ولقوله</w:t>
      </w:r>
      <w:r w:rsidR="000636C2">
        <w:rPr>
          <w:rFonts w:hint="cs"/>
          <w:rtl/>
        </w:rPr>
        <w:t xml:space="preserve">: </w:t>
      </w:r>
      <w:r>
        <w:rPr>
          <w:rFonts w:hint="cs"/>
          <w:rtl/>
        </w:rPr>
        <w:t>إنه كان يحب الرياسة، وإن عثمان كان يحب المال، ولقوله</w:t>
      </w:r>
      <w:r w:rsidR="000636C2">
        <w:rPr>
          <w:rFonts w:hint="cs"/>
          <w:rtl/>
        </w:rPr>
        <w:t xml:space="preserve">: </w:t>
      </w:r>
      <w:r>
        <w:rPr>
          <w:rFonts w:hint="cs"/>
          <w:rtl/>
        </w:rPr>
        <w:t>أبو بكر أسلم شيخًا لا يدري ما يقول وعليّ أسلم صبيّا والصبي لا يصح إسلامه على قول"</w:t>
      </w:r>
      <w:r w:rsidR="000636C2">
        <w:rPr>
          <w:rFonts w:hint="cs"/>
          <w:rtl/>
        </w:rPr>
        <w:t xml:space="preserve">، </w:t>
      </w:r>
      <w:r>
        <w:rPr>
          <w:rFonts w:hint="cs"/>
          <w:rtl/>
        </w:rPr>
        <w:t>انتهى كلام ابن حجر</w:t>
      </w:r>
      <w:r>
        <w:rPr>
          <w:rFonts w:eastAsia="Times New Roman" w:hint="cs"/>
          <w:rtl/>
        </w:rPr>
        <w:t>" أهـ</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د</w:t>
      </w:r>
      <w:r w:rsidR="000636C2">
        <w:rPr>
          <w:rFonts w:eastAsia="Times New Roman" w:hint="cs"/>
          <w:rtl/>
        </w:rPr>
        <w:t xml:space="preserve">) </w:t>
      </w:r>
      <w:r>
        <w:rPr>
          <w:rFonts w:eastAsia="Times New Roman" w:hint="cs"/>
          <w:rtl/>
        </w:rPr>
        <w:t xml:space="preserve">جمال الدين يوسف بن تغري الأتابكي </w:t>
      </w:r>
      <w:r w:rsidR="000636C2">
        <w:rPr>
          <w:rFonts w:eastAsia="Times New Roman" w:hint="cs"/>
          <w:rtl/>
        </w:rPr>
        <w:t>(</w:t>
      </w:r>
      <w:r>
        <w:rPr>
          <w:rFonts w:eastAsia="Times New Roman" w:hint="cs"/>
          <w:rtl/>
        </w:rPr>
        <w:t>٨١٢ ـ ٨٧٤ هـ</w:t>
      </w:r>
      <w:r w:rsidR="000636C2">
        <w:rPr>
          <w:rFonts w:eastAsia="Times New Roman" w:hint="cs"/>
          <w:rtl/>
        </w:rPr>
        <w:t xml:space="preserve">): </w:t>
      </w:r>
      <w:r>
        <w:rPr>
          <w:rFonts w:eastAsia="Times New Roman" w:hint="cs"/>
          <w:rtl/>
        </w:rPr>
        <w:t>ترجم له في كتابه</w:t>
      </w:r>
      <w:r w:rsidR="000636C2">
        <w:rPr>
          <w:rFonts w:eastAsia="Times New Roman" w:hint="cs"/>
          <w:rtl/>
        </w:rPr>
        <w:t xml:space="preserve">: </w:t>
      </w:r>
      <w:r>
        <w:rPr>
          <w:rFonts w:eastAsia="Times New Roman" w:hint="cs"/>
          <w:rtl/>
        </w:rPr>
        <w:t>« المنهل الصافي والمستوفي بعد الوافي » ومما جاء فيه</w:t>
      </w:r>
      <w:r w:rsidR="000636C2">
        <w:rPr>
          <w:rFonts w:eastAsia="Times New Roman" w:hint="cs"/>
          <w:rtl/>
        </w:rPr>
        <w:t xml:space="preserve">: </w:t>
      </w:r>
      <w:r>
        <w:rPr>
          <w:rFonts w:eastAsia="Times New Roman" w:hint="cs"/>
          <w:rtl/>
        </w:rPr>
        <w:t>قال القاضي كمال الدين الزملكاني</w:t>
      </w:r>
      <w:r w:rsidR="000636C2">
        <w:rPr>
          <w:rFonts w:eastAsia="Times New Roman" w:hint="cs"/>
          <w:rtl/>
        </w:rPr>
        <w:t xml:space="preserve">: </w:t>
      </w:r>
      <w:r>
        <w:rPr>
          <w:rFonts w:eastAsia="Times New Roman" w:hint="cs"/>
          <w:rtl/>
        </w:rPr>
        <w:t>« ثم جرت له محن في مسألة الطلاق الثلاث</w:t>
      </w:r>
      <w:r w:rsidR="000636C2">
        <w:rPr>
          <w:rFonts w:eastAsia="Times New Roman" w:hint="cs"/>
          <w:rtl/>
        </w:rPr>
        <w:t>،</w:t>
      </w:r>
      <w:r>
        <w:rPr>
          <w:rFonts w:eastAsia="Times New Roman" w:hint="cs"/>
          <w:rtl/>
        </w:rPr>
        <w:t xml:space="preserve"> وشدّ الرحال إلى قبور الأنبياء والصالحين</w:t>
      </w:r>
      <w:r w:rsidR="000636C2">
        <w:rPr>
          <w:rFonts w:eastAsia="Times New Roman" w:hint="cs"/>
          <w:rtl/>
        </w:rPr>
        <w:t>،</w:t>
      </w:r>
      <w:r>
        <w:rPr>
          <w:rFonts w:eastAsia="Times New Roman" w:hint="cs"/>
          <w:rtl/>
        </w:rPr>
        <w:t xml:space="preserve"> وحبّب للناس القيام عليه</w:t>
      </w:r>
      <w:r w:rsidR="000636C2">
        <w:rPr>
          <w:rFonts w:eastAsia="Times New Roman" w:hint="cs"/>
          <w:rtl/>
        </w:rPr>
        <w:t>،</w:t>
      </w:r>
      <w:r>
        <w:rPr>
          <w:rFonts w:eastAsia="Times New Roman" w:hint="cs"/>
          <w:rtl/>
        </w:rPr>
        <w:t xml:space="preserve"> وحبس مرات في القاهرة والإسكندرية ودمشق</w:t>
      </w:r>
      <w:r w:rsidR="000636C2">
        <w:rPr>
          <w:rFonts w:eastAsia="Times New Roman" w:hint="cs"/>
          <w:rtl/>
        </w:rPr>
        <w:t>،</w:t>
      </w:r>
      <w:r>
        <w:rPr>
          <w:rFonts w:eastAsia="Times New Roman" w:hint="cs"/>
          <w:rtl/>
        </w:rPr>
        <w:t xml:space="preserve"> وعقد له مجالس بالقاهرة ودمشق</w:t>
      </w:r>
      <w:r w:rsidR="000636C2">
        <w:rPr>
          <w:rFonts w:eastAsia="Times New Roman" w:hint="cs"/>
          <w:rtl/>
        </w:rPr>
        <w:t>،</w:t>
      </w:r>
      <w:r>
        <w:rPr>
          <w:rFonts w:eastAsia="Times New Roman" w:hint="cs"/>
          <w:rtl/>
        </w:rPr>
        <w:t xml:space="preserve"> إلى أن ورد مرسوم شريف من السلطان في شعبان سنة </w:t>
      </w:r>
      <w:r w:rsidR="000636C2">
        <w:rPr>
          <w:rFonts w:eastAsia="Times New Roman" w:hint="cs"/>
          <w:rtl/>
        </w:rPr>
        <w:t>(</w:t>
      </w:r>
      <w:r>
        <w:rPr>
          <w:rFonts w:eastAsia="Times New Roman" w:hint="cs"/>
          <w:rtl/>
        </w:rPr>
        <w:t>٧٢٦ هـ</w:t>
      </w:r>
      <w:r w:rsidR="000636C2">
        <w:rPr>
          <w:rFonts w:eastAsia="Times New Roman" w:hint="cs"/>
          <w:rtl/>
        </w:rPr>
        <w:t xml:space="preserve">) </w:t>
      </w:r>
      <w:r>
        <w:rPr>
          <w:rFonts w:eastAsia="Times New Roman" w:hint="cs"/>
          <w:rtl/>
        </w:rPr>
        <w:t>بأن يجعل في قلعة دمشق</w:t>
      </w:r>
      <w:r w:rsidR="000636C2">
        <w:rPr>
          <w:rFonts w:eastAsia="Times New Roman" w:hint="cs"/>
          <w:rtl/>
        </w:rPr>
        <w:t>،</w:t>
      </w:r>
      <w:r>
        <w:rPr>
          <w:rFonts w:eastAsia="Times New Roman" w:hint="cs"/>
          <w:rtl/>
        </w:rPr>
        <w:t xml:space="preserve"> فاقام فيها مدة مشغولا بالتصنيف</w:t>
      </w:r>
      <w:r w:rsidR="000636C2">
        <w:rPr>
          <w:rFonts w:eastAsia="Times New Roman" w:hint="cs"/>
          <w:rtl/>
        </w:rPr>
        <w:t>،</w:t>
      </w:r>
      <w:r>
        <w:rPr>
          <w:rFonts w:eastAsia="Times New Roman" w:hint="cs"/>
          <w:rtl/>
        </w:rPr>
        <w:t xml:space="preserve"> ثم بعد مدة منع من الكتابة والمطالعة</w:t>
      </w:r>
      <w:r w:rsidR="000636C2">
        <w:rPr>
          <w:rFonts w:eastAsia="Times New Roman" w:hint="cs"/>
          <w:rtl/>
        </w:rPr>
        <w:t>،</w:t>
      </w:r>
      <w:r>
        <w:rPr>
          <w:rFonts w:eastAsia="Times New Roman" w:hint="cs"/>
          <w:rtl/>
        </w:rPr>
        <w:t xml:space="preserve"> وأخرجوا ما كان عنده من الكتب</w:t>
      </w:r>
      <w:r w:rsidR="000636C2">
        <w:rPr>
          <w:rFonts w:eastAsia="Times New Roman" w:hint="cs"/>
          <w:rtl/>
        </w:rPr>
        <w:t>،</w:t>
      </w:r>
      <w:r>
        <w:rPr>
          <w:rFonts w:eastAsia="Times New Roman" w:hint="cs"/>
          <w:rtl/>
        </w:rPr>
        <w:t xml:space="preserve"> ولم يتركوا عنده دواتاً ولا قلماً ولا ورقة</w:t>
      </w:r>
      <w:r w:rsidR="000636C2">
        <w:rPr>
          <w:rFonts w:eastAsia="Times New Roman" w:hint="cs"/>
          <w:rtl/>
        </w:rPr>
        <w:t>،</w:t>
      </w:r>
      <w:r>
        <w:rPr>
          <w:rFonts w:eastAsia="Times New Roman" w:hint="cs"/>
          <w:rtl/>
        </w:rPr>
        <w:t xml:space="preserve"> ومما وقع له قبل حبسه أنّه ناظر بعض الفقهاء</w:t>
      </w:r>
      <w:r w:rsidR="000636C2">
        <w:rPr>
          <w:rFonts w:eastAsia="Times New Roman" w:hint="cs"/>
          <w:rtl/>
        </w:rPr>
        <w:t>،</w:t>
      </w:r>
      <w:r>
        <w:rPr>
          <w:rFonts w:eastAsia="Times New Roman" w:hint="cs"/>
          <w:rtl/>
        </w:rPr>
        <w:t xml:space="preserve"> وكتب محضراً</w:t>
      </w:r>
      <w:r w:rsidR="000636C2">
        <w:rPr>
          <w:rFonts w:eastAsia="Times New Roman" w:hint="cs"/>
          <w:rtl/>
        </w:rPr>
        <w:t>،</w:t>
      </w:r>
      <w:r>
        <w:rPr>
          <w:rFonts w:eastAsia="Times New Roman" w:hint="cs"/>
          <w:rtl/>
        </w:rPr>
        <w:t xml:space="preserve"> فإنّه قال</w:t>
      </w:r>
      <w:r w:rsidR="000636C2">
        <w:rPr>
          <w:rFonts w:eastAsia="Times New Roman" w:hint="cs"/>
          <w:rtl/>
        </w:rPr>
        <w:t xml:space="preserve">، </w:t>
      </w:r>
      <w:r>
        <w:rPr>
          <w:rFonts w:eastAsia="Times New Roman" w:hint="cs"/>
          <w:rtl/>
        </w:rPr>
        <w:t>أنا أشعري ثم أخذ خطه بما نصه</w:t>
      </w:r>
      <w:r w:rsidR="000636C2">
        <w:rPr>
          <w:rFonts w:eastAsia="Times New Roman" w:hint="cs"/>
          <w:rtl/>
        </w:rPr>
        <w:t xml:space="preserve">: </w:t>
      </w:r>
      <w:r>
        <w:rPr>
          <w:rFonts w:eastAsia="Times New Roman" w:hint="cs"/>
          <w:rtl/>
        </w:rPr>
        <w:t>أنا أعتقد أنّ القرآن معنى قائم بذات اللّه</w:t>
      </w:r>
      <w:r w:rsidR="000636C2">
        <w:rPr>
          <w:rFonts w:eastAsia="Times New Roman" w:hint="cs"/>
          <w:rtl/>
        </w:rPr>
        <w:t>،</w:t>
      </w:r>
      <w:r>
        <w:rPr>
          <w:rFonts w:eastAsia="Times New Roman" w:hint="cs"/>
          <w:rtl/>
        </w:rPr>
        <w:t xml:space="preserve"> وهو صفة من صفات ذاته القديمة</w:t>
      </w:r>
      <w:r w:rsidR="000636C2">
        <w:rPr>
          <w:rFonts w:eastAsia="Times New Roman" w:hint="cs"/>
          <w:rtl/>
        </w:rPr>
        <w:t>،</w:t>
      </w:r>
      <w:r>
        <w:rPr>
          <w:rFonts w:eastAsia="Times New Roman" w:hint="cs"/>
          <w:rtl/>
        </w:rPr>
        <w:t xml:space="preserve"> وهو غير مخلوق</w:t>
      </w:r>
      <w:r w:rsidR="000636C2">
        <w:rPr>
          <w:rFonts w:eastAsia="Times New Roman" w:hint="cs"/>
          <w:rtl/>
        </w:rPr>
        <w:t>،</w:t>
      </w:r>
      <w:r>
        <w:rPr>
          <w:rFonts w:eastAsia="Times New Roman" w:hint="cs"/>
          <w:rtl/>
        </w:rPr>
        <w:t xml:space="preserve"> وليس بحرف ولا صوت</w:t>
      </w:r>
      <w:r w:rsidR="000636C2">
        <w:rPr>
          <w:rFonts w:eastAsia="Times New Roman" w:hint="cs"/>
          <w:rtl/>
        </w:rPr>
        <w:t>،</w:t>
      </w:r>
      <w:r>
        <w:rPr>
          <w:rFonts w:eastAsia="Times New Roman" w:hint="cs"/>
          <w:rtl/>
        </w:rPr>
        <w:t xml:space="preserve"> وأنّ قوله تعالى </w:t>
      </w:r>
      <w:r w:rsidR="000636C2">
        <w:rPr>
          <w:rFonts w:eastAsia="Times New Roman" w:hint="cs"/>
          <w:rtl/>
        </w:rPr>
        <w:t>(</w:t>
      </w:r>
      <w:r>
        <w:rPr>
          <w:rFonts w:eastAsia="Times New Roman" w:hint="cs"/>
          <w:rtl/>
        </w:rPr>
        <w:t>الرحمن على العرش استوى</w:t>
      </w:r>
      <w:r w:rsidR="000636C2">
        <w:rPr>
          <w:rFonts w:eastAsia="Times New Roman" w:hint="cs"/>
          <w:rtl/>
        </w:rPr>
        <w:t xml:space="preserve">) </w:t>
      </w:r>
      <w:r>
        <w:rPr>
          <w:rFonts w:eastAsia="Times New Roman" w:hint="cs"/>
          <w:rtl/>
        </w:rPr>
        <w:t>ليس على ظاهره</w:t>
      </w:r>
      <w:r w:rsidR="000636C2">
        <w:rPr>
          <w:rFonts w:eastAsia="Times New Roman" w:hint="cs"/>
          <w:rtl/>
        </w:rPr>
        <w:t>،</w:t>
      </w:r>
      <w:r>
        <w:rPr>
          <w:rFonts w:eastAsia="Times New Roman" w:hint="cs"/>
          <w:rtl/>
        </w:rPr>
        <w:t xml:space="preserve"> ولا أعلم كنه المراد به</w:t>
      </w:r>
      <w:r w:rsidR="000636C2">
        <w:rPr>
          <w:rFonts w:eastAsia="Times New Roman" w:hint="cs"/>
          <w:rtl/>
        </w:rPr>
        <w:t>،</w:t>
      </w:r>
      <w:r>
        <w:rPr>
          <w:rFonts w:eastAsia="Times New Roman" w:hint="cs"/>
          <w:rtl/>
        </w:rPr>
        <w:t xml:space="preserve"> بل لا يعلمه إلاّ اللّه</w:t>
      </w:r>
      <w:r w:rsidR="000636C2">
        <w:rPr>
          <w:rFonts w:eastAsia="Times New Roman" w:hint="cs"/>
          <w:rtl/>
        </w:rPr>
        <w:t>،</w:t>
      </w:r>
      <w:r>
        <w:rPr>
          <w:rFonts w:eastAsia="Times New Roman" w:hint="cs"/>
          <w:rtl/>
        </w:rPr>
        <w:t xml:space="preserve"> والقول في النزول كالقول في الاستواء</w:t>
      </w:r>
      <w:r w:rsidR="000636C2">
        <w:rPr>
          <w:rFonts w:eastAsia="Times New Roman" w:hint="cs"/>
          <w:rtl/>
        </w:rPr>
        <w:t>،</w:t>
      </w:r>
      <w:r>
        <w:rPr>
          <w:rFonts w:eastAsia="Times New Roman" w:hint="cs"/>
          <w:rtl/>
        </w:rPr>
        <w:t xml:space="preserve"> وكتبه أحمد بن تيمية</w:t>
      </w:r>
      <w:r w:rsidR="000636C2">
        <w:rPr>
          <w:rFonts w:eastAsia="Times New Roman" w:hint="cs"/>
          <w:rtl/>
        </w:rPr>
        <w:t>،</w:t>
      </w:r>
      <w:r>
        <w:rPr>
          <w:rFonts w:eastAsia="Times New Roman" w:hint="cs"/>
          <w:rtl/>
        </w:rPr>
        <w:t xml:space="preserve"> ثم أشهدوا عليه جماعة أنّه تاب مما ينافي ذلك مختاراً</w:t>
      </w:r>
      <w:r w:rsidR="000636C2">
        <w:rPr>
          <w:rFonts w:eastAsia="Times New Roman" w:hint="cs"/>
          <w:rtl/>
        </w:rPr>
        <w:t>،</w:t>
      </w:r>
      <w:r>
        <w:rPr>
          <w:rFonts w:eastAsia="Times New Roman" w:hint="cs"/>
          <w:rtl/>
        </w:rPr>
        <w:t xml:space="preserve"> وشهد عليه بذلك جمع من العلماء وغيرهم " أهـ</w:t>
      </w:r>
      <w:r w:rsidR="000636C2">
        <w:rPr>
          <w:rFonts w:eastAsia="Times New Roman" w:hint="cs"/>
          <w:rtl/>
        </w:rPr>
        <w:t xml:space="preserve"> [</w:t>
      </w:r>
      <w:r>
        <w:rPr>
          <w:rFonts w:eastAsia="Times New Roman" w:hint="cs"/>
          <w:rtl/>
        </w:rPr>
        <w:t>المنهل الصافي ج ١ ص ٣٣٦ ـ ٣٤٠</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ذ</w:t>
      </w:r>
      <w:r w:rsidR="000636C2">
        <w:rPr>
          <w:rFonts w:eastAsia="Times New Roman" w:hint="cs"/>
          <w:rtl/>
        </w:rPr>
        <w:t xml:space="preserve">) </w:t>
      </w:r>
      <w:r>
        <w:rPr>
          <w:rFonts w:eastAsia="Times New Roman" w:hint="cs"/>
          <w:rtl/>
        </w:rPr>
        <w:t xml:space="preserve">شهاب الدين ابن حجر الهيثمي </w:t>
      </w:r>
      <w:r w:rsidR="000636C2">
        <w:rPr>
          <w:rFonts w:eastAsia="Times New Roman" w:hint="cs"/>
          <w:rtl/>
        </w:rPr>
        <w:t>(</w:t>
      </w:r>
      <w:r>
        <w:rPr>
          <w:rFonts w:eastAsia="Times New Roman" w:hint="cs"/>
          <w:rtl/>
        </w:rPr>
        <w:t>ت ٩٧٣ هـ</w:t>
      </w:r>
      <w:r w:rsidR="000636C2">
        <w:rPr>
          <w:rFonts w:eastAsia="Times New Roman" w:hint="cs"/>
          <w:rtl/>
        </w:rPr>
        <w:t xml:space="preserve">): </w:t>
      </w:r>
      <w:r>
        <w:rPr>
          <w:rFonts w:eastAsia="Times New Roman" w:hint="cs"/>
          <w:rtl/>
        </w:rPr>
        <w:t>قال في ترجمة ابن تيمية</w:t>
      </w:r>
      <w:r w:rsidR="000636C2">
        <w:rPr>
          <w:rFonts w:eastAsia="Times New Roman" w:hint="cs"/>
          <w:rtl/>
        </w:rPr>
        <w:t xml:space="preserve">: </w:t>
      </w:r>
      <w:r>
        <w:rPr>
          <w:rFonts w:eastAsia="Times New Roman" w:hint="cs"/>
          <w:rtl/>
        </w:rPr>
        <w:t xml:space="preserve">« </w:t>
      </w:r>
      <w:r>
        <w:rPr>
          <w:rFonts w:hint="cs"/>
          <w:rtl/>
        </w:rPr>
        <w:t xml:space="preserve">" ابن تيمية </w:t>
      </w:r>
      <w:r>
        <w:rPr>
          <w:rFonts w:hint="cs"/>
          <w:rtl/>
        </w:rPr>
        <w:lastRenderedPageBreak/>
        <w:t>عبد خذله الله تعالى وأضله وأعماه وأصمه وأذله وبذلك صرح الائمة الذين بينوا فساد أحواله وكذب أقواله</w:t>
      </w:r>
      <w:r w:rsidR="000636C2">
        <w:rPr>
          <w:rFonts w:hint="cs"/>
          <w:rtl/>
        </w:rPr>
        <w:t>،</w:t>
      </w:r>
      <w:r>
        <w:rPr>
          <w:rFonts w:hint="cs"/>
          <w:rtl/>
        </w:rPr>
        <w:t xml:space="preserve"> ومن أراد ذلك فعليه بمطالعة كلام الامام المجتهد المتفق على إمامته وجلالته وبلوغه مرتبة الاجتهاد</w:t>
      </w:r>
      <w:r w:rsidR="000636C2">
        <w:rPr>
          <w:rFonts w:hint="cs"/>
          <w:rtl/>
        </w:rPr>
        <w:t>،</w:t>
      </w:r>
      <w:r>
        <w:rPr>
          <w:rFonts w:hint="cs"/>
          <w:rtl/>
        </w:rPr>
        <w:t xml:space="preserve"> ابي الحسن السبكي وولده التاج والشيخ الامام العز بن جماعة وأهل عصرهم وغيرهم من الشافعية والمالكية والحنفية</w:t>
      </w:r>
      <w:r w:rsidR="000636C2">
        <w:rPr>
          <w:rFonts w:hint="cs"/>
          <w:rtl/>
        </w:rPr>
        <w:t>،</w:t>
      </w:r>
      <w:r>
        <w:rPr>
          <w:rFonts w:hint="cs"/>
          <w:rtl/>
        </w:rPr>
        <w:t xml:space="preserve"> ولم يقصر اعتراضه على متأخري الصوفية بل اعترض على مثل عمر ابن الخطاب وعلي بن أبي طالب رضي الله تعالى عنهما</w:t>
      </w:r>
      <w:r w:rsidR="000636C2">
        <w:rPr>
          <w:rFonts w:hint="cs"/>
          <w:rtl/>
        </w:rPr>
        <w:t>،</w:t>
      </w:r>
      <w:r>
        <w:rPr>
          <w:rFonts w:hint="cs"/>
          <w:rtl/>
        </w:rPr>
        <w:t xml:space="preserve"> والحاصل أن لا يقام لكلامه وزن بل يرمى في كل وعر وحزن ويعتقد فيه أنه مبتدع ضال ومضل جاهل غال</w:t>
      </w:r>
      <w:r w:rsidR="000636C2">
        <w:rPr>
          <w:rFonts w:hint="cs"/>
          <w:rtl/>
        </w:rPr>
        <w:t>،</w:t>
      </w:r>
      <w:r>
        <w:rPr>
          <w:rFonts w:hint="cs"/>
          <w:rtl/>
        </w:rPr>
        <w:t xml:space="preserve"> وأجارنا من مثل طريقته وعقيدته</w:t>
      </w:r>
      <w:r w:rsidR="000636C2">
        <w:rPr>
          <w:rFonts w:hint="cs"/>
          <w:rtl/>
        </w:rPr>
        <w:t>،</w:t>
      </w:r>
      <w:r>
        <w:rPr>
          <w:rFonts w:hint="cs"/>
          <w:rtl/>
        </w:rPr>
        <w:t xml:space="preserve"> وأفاض في ذكر أعيان من الصوفية طعن فيهم ثم قال</w:t>
      </w:r>
      <w:r w:rsidR="000636C2">
        <w:rPr>
          <w:rFonts w:hint="cs"/>
          <w:rtl/>
        </w:rPr>
        <w:t xml:space="preserve">: </w:t>
      </w:r>
      <w:r>
        <w:rPr>
          <w:rFonts w:hint="cs"/>
          <w:rtl/>
        </w:rPr>
        <w:t>ولا زال يتتبع الاكابر حتى تمالا عليه أهل عصره ففسقوه وبدعوه</w:t>
      </w:r>
      <w:r w:rsidR="000636C2">
        <w:rPr>
          <w:rFonts w:hint="cs"/>
          <w:rtl/>
        </w:rPr>
        <w:t>،</w:t>
      </w:r>
      <w:r>
        <w:rPr>
          <w:rFonts w:hint="cs"/>
          <w:rtl/>
        </w:rPr>
        <w:t xml:space="preserve"> بل كفره كثير منهم</w:t>
      </w:r>
      <w:r w:rsidR="000636C2">
        <w:rPr>
          <w:rFonts w:hint="cs"/>
          <w:rtl/>
        </w:rPr>
        <w:t>،</w:t>
      </w:r>
      <w:r>
        <w:rPr>
          <w:rFonts w:hint="cs"/>
          <w:rtl/>
        </w:rPr>
        <w:t xml:space="preserve"> - إلى أن قال -</w:t>
      </w:r>
      <w:r w:rsidR="000636C2">
        <w:rPr>
          <w:rFonts w:hint="cs"/>
          <w:rtl/>
        </w:rPr>
        <w:t xml:space="preserve">: </w:t>
      </w:r>
      <w:r>
        <w:rPr>
          <w:rFonts w:hint="cs"/>
          <w:rtl/>
        </w:rPr>
        <w:t>واعلم أنه خالف الناس في مسائل نبه عليها التاج السبكي وغيره</w:t>
      </w:r>
      <w:r w:rsidR="000636C2">
        <w:rPr>
          <w:rFonts w:hint="cs"/>
          <w:rtl/>
        </w:rPr>
        <w:t>،</w:t>
      </w:r>
      <w:r>
        <w:rPr>
          <w:rFonts w:hint="cs"/>
          <w:rtl/>
        </w:rPr>
        <w:t xml:space="preserve"> فمما خرق فيه الاجماع قوله في </w:t>
      </w:r>
      <w:r w:rsidR="000636C2">
        <w:rPr>
          <w:rFonts w:hint="cs"/>
          <w:rtl/>
        </w:rPr>
        <w:t>(</w:t>
      </w:r>
      <w:r>
        <w:rPr>
          <w:rFonts w:hint="cs"/>
          <w:rtl/>
        </w:rPr>
        <w:t>علي الطلاق</w:t>
      </w:r>
      <w:r w:rsidR="000636C2">
        <w:rPr>
          <w:rFonts w:hint="cs"/>
          <w:rtl/>
        </w:rPr>
        <w:t xml:space="preserve">) </w:t>
      </w:r>
      <w:r>
        <w:rPr>
          <w:rFonts w:hint="cs"/>
          <w:rtl/>
        </w:rPr>
        <w:t>إنه لا يقع عليه بل عليه كفارة يمين ولم يقل بالكفارة أحد من المسلمين قبله</w:t>
      </w:r>
      <w:r w:rsidR="000636C2">
        <w:rPr>
          <w:rFonts w:hint="cs"/>
          <w:rtl/>
        </w:rPr>
        <w:t>،</w:t>
      </w:r>
      <w:r>
        <w:rPr>
          <w:rFonts w:hint="cs"/>
          <w:rtl/>
        </w:rPr>
        <w:t xml:space="preserve"> وان طلاق الحائض لا يقع</w:t>
      </w:r>
      <w:r w:rsidR="000636C2">
        <w:rPr>
          <w:rFonts w:hint="cs"/>
          <w:rtl/>
        </w:rPr>
        <w:t>،</w:t>
      </w:r>
      <w:r>
        <w:rPr>
          <w:rFonts w:hint="cs"/>
          <w:rtl/>
        </w:rPr>
        <w:t xml:space="preserve"> كذا الطلاق في طهر جامع فيه</w:t>
      </w:r>
      <w:r w:rsidR="000636C2">
        <w:rPr>
          <w:rFonts w:hint="cs"/>
          <w:rtl/>
        </w:rPr>
        <w:t>،</w:t>
      </w:r>
      <w:r>
        <w:rPr>
          <w:rFonts w:hint="cs"/>
          <w:rtl/>
        </w:rPr>
        <w:t xml:space="preserve"> وأن الصلاة إذا تركت عمدا لا يجب قضاؤها</w:t>
      </w:r>
      <w:r w:rsidR="000636C2">
        <w:rPr>
          <w:rFonts w:hint="cs"/>
          <w:rtl/>
        </w:rPr>
        <w:t>،</w:t>
      </w:r>
      <w:r>
        <w:rPr>
          <w:rFonts w:hint="cs"/>
          <w:rtl/>
        </w:rPr>
        <w:t xml:space="preserve"> وان الحائض يباح لها الطواف بالبيت ولا كفارة عليها</w:t>
      </w:r>
      <w:r w:rsidR="000636C2">
        <w:rPr>
          <w:rFonts w:hint="cs"/>
          <w:rtl/>
        </w:rPr>
        <w:t>،</w:t>
      </w:r>
      <w:r>
        <w:rPr>
          <w:rFonts w:hint="cs"/>
          <w:rtl/>
        </w:rPr>
        <w:t xml:space="preserve"> وان الطلاق الثلاث يرد إلى واحدة</w:t>
      </w:r>
      <w:r w:rsidR="000636C2">
        <w:rPr>
          <w:rFonts w:hint="cs"/>
          <w:rtl/>
        </w:rPr>
        <w:t>،</w:t>
      </w:r>
      <w:r>
        <w:rPr>
          <w:rFonts w:hint="cs"/>
          <w:rtl/>
        </w:rPr>
        <w:t xml:space="preserve"> وكان هو قبل ادعائه ذلك نقل إجماع المسلمين على خلافه</w:t>
      </w:r>
      <w:r w:rsidR="000636C2">
        <w:rPr>
          <w:rFonts w:hint="cs"/>
          <w:rtl/>
        </w:rPr>
        <w:t>،</w:t>
      </w:r>
      <w:r>
        <w:rPr>
          <w:rFonts w:hint="cs"/>
          <w:rtl/>
        </w:rPr>
        <w:t xml:space="preserve"> وأن المكوس حلال لمن أقطعها</w:t>
      </w:r>
      <w:r w:rsidR="000636C2">
        <w:rPr>
          <w:rFonts w:hint="cs"/>
          <w:rtl/>
        </w:rPr>
        <w:t>،</w:t>
      </w:r>
      <w:r>
        <w:rPr>
          <w:rFonts w:hint="cs"/>
          <w:rtl/>
        </w:rPr>
        <w:t xml:space="preserve"> وانها إذا أخذت من التجار أجزأتهم عن الزكاة وإن لم تكن باسم الزكاة ولا على رسمها</w:t>
      </w:r>
      <w:r w:rsidR="000636C2">
        <w:rPr>
          <w:rFonts w:hint="cs"/>
          <w:rtl/>
        </w:rPr>
        <w:t>،</w:t>
      </w:r>
      <w:r>
        <w:rPr>
          <w:rFonts w:hint="cs"/>
          <w:rtl/>
        </w:rPr>
        <w:t xml:space="preserve"> وان المائعات لا تنجس بموت حيوان فيها كالفأرة</w:t>
      </w:r>
      <w:r w:rsidR="000636C2">
        <w:rPr>
          <w:rFonts w:hint="cs"/>
          <w:rtl/>
        </w:rPr>
        <w:t>،</w:t>
      </w:r>
      <w:r>
        <w:rPr>
          <w:rFonts w:hint="cs"/>
          <w:rtl/>
        </w:rPr>
        <w:t xml:space="preserve"> وان الجنب يصلي تطوعه بالليل</w:t>
      </w:r>
      <w:r w:rsidR="000636C2">
        <w:rPr>
          <w:rFonts w:hint="cs"/>
          <w:rtl/>
        </w:rPr>
        <w:t>،</w:t>
      </w:r>
      <w:r>
        <w:rPr>
          <w:rFonts w:hint="cs"/>
          <w:rtl/>
        </w:rPr>
        <w:t xml:space="preserve"> ولا يؤخره إلى أن يغتسل قبل الفجر إن كان بالبلد</w:t>
      </w:r>
      <w:r w:rsidR="000636C2">
        <w:rPr>
          <w:rFonts w:hint="cs"/>
          <w:rtl/>
        </w:rPr>
        <w:t>،</w:t>
      </w:r>
      <w:r>
        <w:rPr>
          <w:rFonts w:hint="cs"/>
          <w:rtl/>
        </w:rPr>
        <w:t xml:space="preserve"> وان شرط الواقف غير معتبر بل ولو وقف على الشافعية صرف إلى الحنفية وبالعكس</w:t>
      </w:r>
      <w:r w:rsidR="000636C2">
        <w:rPr>
          <w:rFonts w:hint="cs"/>
          <w:rtl/>
        </w:rPr>
        <w:t>،</w:t>
      </w:r>
      <w:r>
        <w:rPr>
          <w:rFonts w:hint="cs"/>
          <w:rtl/>
        </w:rPr>
        <w:t xml:space="preserve"> وأن مخالف الاجماع لا يكفر ولا يفسق</w:t>
      </w:r>
      <w:r w:rsidR="000636C2">
        <w:rPr>
          <w:rFonts w:hint="cs"/>
          <w:rtl/>
        </w:rPr>
        <w:t>،</w:t>
      </w:r>
      <w:r>
        <w:rPr>
          <w:rFonts w:hint="cs"/>
          <w:rtl/>
        </w:rPr>
        <w:t xml:space="preserve"> وأن ربنا سبحانه وتعالى عما يقول الظالمون والجاحدون علوا كبيرا محل الحوادث تعالى الله عن ذلك وتقدس</w:t>
      </w:r>
      <w:r w:rsidR="000636C2">
        <w:rPr>
          <w:rFonts w:hint="cs"/>
          <w:rtl/>
        </w:rPr>
        <w:t>،</w:t>
      </w:r>
      <w:r>
        <w:rPr>
          <w:rFonts w:hint="cs"/>
          <w:rtl/>
        </w:rPr>
        <w:t xml:space="preserve"> وانه مركب تفتقر ذاته افتقار الكل للجزء تعالى الله عن ذلك وتقدس</w:t>
      </w:r>
      <w:r w:rsidR="000636C2">
        <w:rPr>
          <w:rFonts w:hint="cs"/>
          <w:rtl/>
        </w:rPr>
        <w:t>،</w:t>
      </w:r>
      <w:r>
        <w:rPr>
          <w:rFonts w:hint="cs"/>
          <w:rtl/>
        </w:rPr>
        <w:t xml:space="preserve"> وان القرآن محدث في ذات الله</w:t>
      </w:r>
      <w:r w:rsidR="000636C2">
        <w:rPr>
          <w:rFonts w:hint="cs"/>
          <w:rtl/>
        </w:rPr>
        <w:t>،</w:t>
      </w:r>
      <w:r>
        <w:rPr>
          <w:rFonts w:hint="cs"/>
          <w:rtl/>
        </w:rPr>
        <w:t xml:space="preserve"> تعالى الله عن ذلك</w:t>
      </w:r>
      <w:r w:rsidR="000636C2">
        <w:rPr>
          <w:rFonts w:hint="cs"/>
          <w:rtl/>
        </w:rPr>
        <w:t>،</w:t>
      </w:r>
      <w:r>
        <w:rPr>
          <w:rFonts w:hint="cs"/>
          <w:rtl/>
        </w:rPr>
        <w:t xml:space="preserve"> وان العالم قديم بالنوع ولم يزل مع الله مخلوقا دائما فجعله موجبا بالذات لا فاعلا بالاختيار تعالى الله عن ذلك</w:t>
      </w:r>
      <w:r w:rsidR="000636C2">
        <w:rPr>
          <w:rFonts w:hint="cs"/>
          <w:rtl/>
        </w:rPr>
        <w:t>،</w:t>
      </w:r>
      <w:r>
        <w:rPr>
          <w:rFonts w:hint="cs"/>
          <w:rtl/>
        </w:rPr>
        <w:t xml:space="preserve"> وقوله بالجسمية والجهة والانتقال وانه بقدر العرش لا أصغر ولا أكبر تعالى الله عن هذا الافتراء الشنيع القبيح والكفر البراح الصريح وخذل متبعيه وشتت شمل معتقديه</w:t>
      </w:r>
      <w:r w:rsidR="000636C2">
        <w:rPr>
          <w:rFonts w:hint="cs"/>
          <w:rtl/>
        </w:rPr>
        <w:t>،</w:t>
      </w:r>
      <w:r>
        <w:rPr>
          <w:rFonts w:hint="cs"/>
          <w:rtl/>
        </w:rPr>
        <w:t xml:space="preserve"> وقال إن النار تفنى</w:t>
      </w:r>
      <w:r w:rsidR="000636C2">
        <w:rPr>
          <w:rFonts w:hint="cs"/>
          <w:rtl/>
        </w:rPr>
        <w:t>،</w:t>
      </w:r>
      <w:r>
        <w:rPr>
          <w:rFonts w:hint="cs"/>
          <w:rtl/>
        </w:rPr>
        <w:t xml:space="preserve"> وان الانبياء غير معصومين</w:t>
      </w:r>
      <w:r w:rsidR="000636C2">
        <w:rPr>
          <w:rFonts w:hint="cs"/>
          <w:rtl/>
        </w:rPr>
        <w:t>،</w:t>
      </w:r>
      <w:r>
        <w:rPr>
          <w:rFonts w:hint="cs"/>
          <w:rtl/>
        </w:rPr>
        <w:t xml:space="preserve"> وان رسول الله صلى الله عليه وسلم لا جاه له ولا يتوسل به</w:t>
      </w:r>
      <w:r w:rsidR="000636C2">
        <w:rPr>
          <w:rFonts w:hint="cs"/>
          <w:rtl/>
        </w:rPr>
        <w:t>،</w:t>
      </w:r>
      <w:r>
        <w:rPr>
          <w:rFonts w:hint="cs"/>
          <w:rtl/>
        </w:rPr>
        <w:t xml:space="preserve"> وإن إنشاء السفر إليه بسبب الزيارة معصية لا تقصر الصلاة فيه وسيحرم ذلك يوم الحاجة الماسة إلى شفاعته</w:t>
      </w:r>
      <w:r w:rsidR="000636C2">
        <w:rPr>
          <w:rFonts w:hint="cs"/>
          <w:rtl/>
        </w:rPr>
        <w:t>،</w:t>
      </w:r>
      <w:r>
        <w:rPr>
          <w:rFonts w:hint="cs"/>
          <w:rtl/>
        </w:rPr>
        <w:t xml:space="preserve"> وإن التوراة والانجيل لم تبدل ألفاظهما وإنما بدلت معانيهما " أه‍</w:t>
      </w:r>
      <w:r w:rsidR="000636C2">
        <w:rPr>
          <w:rFonts w:hint="cs"/>
          <w:rtl/>
        </w:rPr>
        <w:t>،</w:t>
      </w:r>
      <w:r>
        <w:rPr>
          <w:rFonts w:eastAsia="Times New Roman" w:hint="cs"/>
          <w:rtl/>
        </w:rPr>
        <w:t xml:space="preserve"> </w:t>
      </w:r>
      <w:r w:rsidR="000636C2">
        <w:rPr>
          <w:rFonts w:eastAsia="Times New Roman" w:hint="cs"/>
          <w:rtl/>
        </w:rPr>
        <w:t>(</w:t>
      </w:r>
      <w:r>
        <w:rPr>
          <w:rFonts w:eastAsia="Times New Roman" w:hint="cs"/>
          <w:rtl/>
        </w:rPr>
        <w:t>ر</w:t>
      </w:r>
      <w:r w:rsidR="000636C2">
        <w:rPr>
          <w:rFonts w:eastAsia="Times New Roman" w:hint="cs"/>
          <w:rtl/>
        </w:rPr>
        <w:t xml:space="preserve">) </w:t>
      </w:r>
      <w:r>
        <w:rPr>
          <w:rFonts w:eastAsia="Times New Roman" w:hint="cs"/>
          <w:rtl/>
        </w:rPr>
        <w:t xml:space="preserve">ملاّ علي القارئ الحنفي </w:t>
      </w:r>
      <w:r w:rsidR="000636C2">
        <w:rPr>
          <w:rFonts w:eastAsia="Times New Roman" w:hint="cs"/>
          <w:rtl/>
        </w:rPr>
        <w:t>(</w:t>
      </w:r>
      <w:r>
        <w:rPr>
          <w:rFonts w:eastAsia="Times New Roman" w:hint="cs"/>
          <w:rtl/>
        </w:rPr>
        <w:t>ت ١٠١٦ هـ</w:t>
      </w:r>
      <w:r w:rsidR="000636C2">
        <w:rPr>
          <w:rFonts w:eastAsia="Times New Roman" w:hint="cs"/>
          <w:rtl/>
        </w:rPr>
        <w:t xml:space="preserve">): </w:t>
      </w:r>
      <w:r>
        <w:rPr>
          <w:rFonts w:eastAsia="Times New Roman" w:hint="cs"/>
          <w:rtl/>
        </w:rPr>
        <w:t>قالفي شرحه على الشفاء</w:t>
      </w:r>
      <w:r w:rsidR="000636C2">
        <w:rPr>
          <w:rFonts w:eastAsia="Times New Roman" w:hint="cs"/>
          <w:rtl/>
        </w:rPr>
        <w:t xml:space="preserve">: </w:t>
      </w:r>
      <w:r>
        <w:rPr>
          <w:rFonts w:eastAsia="Times New Roman" w:hint="cs"/>
          <w:rtl/>
        </w:rPr>
        <w:t xml:space="preserve">« وقد أفرط ابن تيمية من الحنابلة حيث حرم السفر </w:t>
      </w:r>
      <w:r>
        <w:rPr>
          <w:rFonts w:eastAsia="Times New Roman" w:hint="cs"/>
          <w:rtl/>
        </w:rPr>
        <w:lastRenderedPageBreak/>
        <w:t>لزيارة النبي صلى ‌الله ‌عليه ‌وسلم كما أفرط غيره حيث قال</w:t>
      </w:r>
      <w:r w:rsidR="000636C2">
        <w:rPr>
          <w:rFonts w:eastAsia="Times New Roman" w:hint="cs"/>
          <w:rtl/>
        </w:rPr>
        <w:t xml:space="preserve">: </w:t>
      </w:r>
      <w:r>
        <w:rPr>
          <w:rFonts w:eastAsia="Times New Roman" w:hint="cs"/>
          <w:rtl/>
        </w:rPr>
        <w:t>كون الزيارة قربة معلوم من الدين بالضرورة</w:t>
      </w:r>
      <w:r w:rsidR="000636C2">
        <w:rPr>
          <w:rFonts w:eastAsia="Times New Roman" w:hint="cs"/>
          <w:rtl/>
        </w:rPr>
        <w:t xml:space="preserve">، </w:t>
      </w:r>
      <w:r>
        <w:rPr>
          <w:rFonts w:eastAsia="Times New Roman" w:hint="cs"/>
          <w:rtl/>
        </w:rPr>
        <w:t>وجاحده محكوم عليه بالكفر</w:t>
      </w:r>
      <w:r w:rsidR="000636C2">
        <w:rPr>
          <w:rFonts w:eastAsia="Times New Roman" w:hint="cs"/>
          <w:rtl/>
        </w:rPr>
        <w:t>،</w:t>
      </w:r>
      <w:r>
        <w:rPr>
          <w:rFonts w:eastAsia="Times New Roman" w:hint="cs"/>
          <w:rtl/>
        </w:rPr>
        <w:t xml:space="preserve"> ولعلّ الثاني أقرب إلى الصواب</w:t>
      </w:r>
      <w:r w:rsidR="000636C2">
        <w:rPr>
          <w:rFonts w:eastAsia="Times New Roman" w:hint="cs"/>
          <w:rtl/>
        </w:rPr>
        <w:t>،</w:t>
      </w:r>
      <w:r>
        <w:rPr>
          <w:rFonts w:eastAsia="Times New Roman" w:hint="cs"/>
          <w:rtl/>
        </w:rPr>
        <w:t xml:space="preserve"> لأنّ تحريم ما أجمع العلماء فيه على الاستحباب يكون كفراً</w:t>
      </w:r>
      <w:r w:rsidR="000636C2">
        <w:rPr>
          <w:rFonts w:eastAsia="Times New Roman" w:hint="cs"/>
          <w:rtl/>
        </w:rPr>
        <w:t>،</w:t>
      </w:r>
      <w:r>
        <w:rPr>
          <w:rFonts w:eastAsia="Times New Roman" w:hint="cs"/>
          <w:rtl/>
        </w:rPr>
        <w:t xml:space="preserve"> لأنّه فوق تحريم المباح المتفق عليه في هذا الباب »</w:t>
      </w:r>
      <w:r w:rsidR="000636C2">
        <w:rPr>
          <w:rFonts w:eastAsia="Times New Roman" w:hint="cs"/>
          <w:rtl/>
        </w:rPr>
        <w:t xml:space="preserve"> [</w:t>
      </w:r>
      <w:r>
        <w:rPr>
          <w:rFonts w:eastAsia="Times New Roman" w:hint="cs"/>
          <w:rtl/>
        </w:rPr>
        <w:t>درة الحجال في أسماء الرجال » ج ١ ص ٣٠</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ز</w:t>
      </w:r>
      <w:r w:rsidR="000636C2">
        <w:rPr>
          <w:rFonts w:eastAsia="Times New Roman" w:hint="cs"/>
          <w:rtl/>
        </w:rPr>
        <w:t xml:space="preserve">) </w:t>
      </w:r>
      <w:r>
        <w:rPr>
          <w:rFonts w:hint="cs"/>
          <w:rtl/>
        </w:rPr>
        <w:t>الحافظ العلائي شيخ الحافظ زين الدين العراقي وغيره من حفاظ الحديث</w:t>
      </w:r>
      <w:r w:rsidR="000636C2">
        <w:rPr>
          <w:rFonts w:hint="cs"/>
          <w:rtl/>
        </w:rPr>
        <w:t xml:space="preserve">: </w:t>
      </w:r>
      <w:r>
        <w:rPr>
          <w:rFonts w:hint="cs"/>
          <w:rtl/>
        </w:rPr>
        <w:t>جاء في كتاب ذخائر القصر في تراجم نبلاء العصر لابن طولون من صحيفة 32 و 33</w:t>
      </w:r>
      <w:r w:rsidR="000636C2">
        <w:rPr>
          <w:rFonts w:hint="cs"/>
          <w:rtl/>
        </w:rPr>
        <w:t xml:space="preserve">: </w:t>
      </w:r>
      <w:r>
        <w:rPr>
          <w:rFonts w:hint="cs"/>
          <w:rtl/>
        </w:rPr>
        <w:t>" وهذا نص كلام الحافظ العلائي شيخ الحافظ زين الدين العراقي وغيره من حفاظ الحديث يذكر فيه ضلالات ابن تيمية التي شذ فيها عن أهل الحق في أصول العقيدة والفروع</w:t>
      </w:r>
      <w:r w:rsidR="000636C2">
        <w:rPr>
          <w:rFonts w:hint="cs"/>
          <w:rtl/>
        </w:rPr>
        <w:t>،</w:t>
      </w:r>
      <w:r>
        <w:rPr>
          <w:rFonts w:hint="cs"/>
          <w:rtl/>
        </w:rPr>
        <w:t xml:space="preserve"> فيقول</w:t>
      </w:r>
      <w:r w:rsidR="000636C2">
        <w:rPr>
          <w:rFonts w:hint="cs"/>
          <w:rtl/>
        </w:rPr>
        <w:t xml:space="preserve">: </w:t>
      </w:r>
      <w:r>
        <w:rPr>
          <w:rFonts w:hint="cs"/>
          <w:rtl/>
        </w:rPr>
        <w:t>ذكر المسائل التي خالف فيها ابن تيمية الناس في الاصول والفروع فمنها ما خالف فيها الاجماع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sidR="000636C2">
        <w:rPr>
          <w:rFonts w:hint="cs"/>
          <w:rtl/>
        </w:rPr>
        <w:t>،</w:t>
      </w:r>
      <w:r>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w:t>
      </w:r>
      <w:r w:rsidR="000636C2">
        <w:rPr>
          <w:rFonts w:hint="cs"/>
          <w:rtl/>
        </w:rPr>
        <w:t xml:space="preserve">، </w:t>
      </w:r>
      <w:r>
        <w:rPr>
          <w:rFonts w:hint="cs"/>
          <w:rtl/>
        </w:rPr>
        <w:t>وإن الحائض تطوف في البيت من غير كفارة وهو مباح لها</w:t>
      </w:r>
      <w:r w:rsidR="000636C2">
        <w:rPr>
          <w:rFonts w:hint="cs"/>
          <w:rtl/>
        </w:rPr>
        <w:t>،</w:t>
      </w:r>
      <w:r>
        <w:rPr>
          <w:rFonts w:hint="cs"/>
          <w:rtl/>
        </w:rPr>
        <w:t xml:space="preserve"> وإن المكوس حلال لمن أقطعها وإذا أخذت من التجار أجزأتهم عن الزكاة وان لم تكن باسم الزكاة ولا على رسمها</w:t>
      </w:r>
      <w:r w:rsidR="000636C2">
        <w:rPr>
          <w:rFonts w:hint="cs"/>
          <w:rtl/>
        </w:rPr>
        <w:t>،</w:t>
      </w:r>
      <w:r>
        <w:rPr>
          <w:rFonts w:hint="cs"/>
          <w:rtl/>
        </w:rPr>
        <w:t xml:space="preserve"> وإن المائعات لا تنجس بموت الفأرة ونحوها فيها ..</w:t>
      </w:r>
      <w:r w:rsidR="000636C2">
        <w:rPr>
          <w:rFonts w:hint="cs"/>
          <w:rtl/>
        </w:rPr>
        <w:t xml:space="preserve"> </w:t>
      </w:r>
      <w:r>
        <w:rPr>
          <w:rFonts w:hint="cs"/>
          <w:rtl/>
        </w:rPr>
        <w:t>.. وسئل عن شرط الواقف فقال غير معتبر بالكلية بل الوقف على الشافعية يصرف إلى الحنفية وعلى الفقهاء يصرف إلى الصوفية وبالعكس وكان يفعل هكذا في مدرسته فيعطي منها الجند والعوام</w:t>
      </w:r>
      <w:r w:rsidR="000636C2">
        <w:rPr>
          <w:rFonts w:hint="cs"/>
          <w:rtl/>
        </w:rPr>
        <w:t xml:space="preserve">، </w:t>
      </w:r>
      <w:r>
        <w:rPr>
          <w:rFonts w:hint="cs"/>
          <w:rtl/>
        </w:rPr>
        <w:t>ولا يحضر درسا على اصطلاح الفقهاء وشرط الواقف بل يحضر فيها ميعادا يوم الثلاثاء ويحضره العوام ويستغني بذلك عن الدرس</w:t>
      </w:r>
      <w:r w:rsidR="000636C2">
        <w:rPr>
          <w:rFonts w:hint="cs"/>
          <w:rtl/>
        </w:rPr>
        <w:t>،</w:t>
      </w:r>
      <w:r>
        <w:rPr>
          <w:rFonts w:hint="cs"/>
          <w:rtl/>
        </w:rPr>
        <w:t xml:space="preserve"> وسئل عن جواز بيع أمهات الاولاد فرجحه وأفتى به ومن المسائل المنفرد بها في الاصول مسألة الحسن والقبح التي يعول بها المعتزلة فقال بها ونصرها وصنف فيها وجعلها دين الله بل الزم كل ما يبنى عليه كالموازنة في الاعمال</w:t>
      </w:r>
      <w:r w:rsidR="000636C2">
        <w:rPr>
          <w:rFonts w:hint="cs"/>
          <w:rtl/>
        </w:rPr>
        <w:t>،</w:t>
      </w:r>
      <w:r>
        <w:rPr>
          <w:rFonts w:hint="cs"/>
          <w:rtl/>
        </w:rPr>
        <w:t xml:space="preserve"> وأما مقالاته في أصول الدين فمنها قوله إن الله سبحانه محل الحوادث تعالى الله عما يقول علوا كبيرا</w:t>
      </w:r>
      <w:r w:rsidR="000636C2">
        <w:rPr>
          <w:rFonts w:hint="cs"/>
          <w:rtl/>
        </w:rPr>
        <w:t xml:space="preserve">، </w:t>
      </w:r>
      <w:r>
        <w:rPr>
          <w:rFonts w:hint="cs"/>
          <w:rtl/>
        </w:rPr>
        <w:t>وإنه مركب مفتقر إلى ذاته افتقار الكل إلى الجزء</w:t>
      </w:r>
      <w:r w:rsidR="000636C2">
        <w:rPr>
          <w:rFonts w:hint="cs"/>
          <w:rtl/>
        </w:rPr>
        <w:t>،</w:t>
      </w:r>
      <w:r>
        <w:rPr>
          <w:rFonts w:hint="cs"/>
          <w:rtl/>
        </w:rPr>
        <w:t xml:space="preserve"> وان القرآن محدث في ذاته تعالى وان العالم قديم بالنوع ولم يزل مع الله مخلوق دائما فجعله موجبا بالذات لا فاعلا بالاختيار سبحانه ما أحلمه</w:t>
      </w:r>
      <w:r w:rsidR="000636C2">
        <w:rPr>
          <w:rFonts w:hint="cs"/>
          <w:rtl/>
        </w:rPr>
        <w:t>،</w:t>
      </w:r>
      <w:r>
        <w:rPr>
          <w:rFonts w:hint="cs"/>
          <w:rtl/>
        </w:rPr>
        <w:t xml:space="preserve"> ومنها قوله بالجسمية والجهة والانتقال وهو مردود</w:t>
      </w:r>
      <w:r w:rsidR="000636C2">
        <w:rPr>
          <w:rFonts w:hint="cs"/>
          <w:rtl/>
        </w:rPr>
        <w:t xml:space="preserve">، </w:t>
      </w:r>
      <w:r>
        <w:rPr>
          <w:rFonts w:hint="cs"/>
          <w:rtl/>
        </w:rPr>
        <w:t xml:space="preserve">وصرح في بعض تصانيفه بأن الله تعالى بقدر العرش لا أكبر منه ولا أصغر تعالى الله عن ذلك وصنف </w:t>
      </w:r>
      <w:r>
        <w:rPr>
          <w:rFonts w:hint="cs"/>
          <w:rtl/>
        </w:rPr>
        <w:lastRenderedPageBreak/>
        <w:t>جزء في أن علم الله لا يتعلق بما لا يتناهى كنعيم أهل الجنة وأنه لا يحيط بالتناهي وهي التي زلق فيها الامام</w:t>
      </w:r>
      <w:r w:rsidR="000636C2">
        <w:rPr>
          <w:rFonts w:hint="cs"/>
          <w:rtl/>
        </w:rPr>
        <w:t>،</w:t>
      </w:r>
      <w:r>
        <w:rPr>
          <w:rFonts w:hint="cs"/>
          <w:rtl/>
        </w:rPr>
        <w:t xml:space="preserve"> ومنها أن الانبياء غير معصومين وأن نبينا عليه وعليهم الصلاة والسلام ليس له جاه ولا يتوسل به أحد إلا ويكون مخطئا وصنف في ذلك عدة أوراق</w:t>
      </w:r>
      <w:r w:rsidR="000636C2">
        <w:rPr>
          <w:rFonts w:hint="cs"/>
          <w:rtl/>
        </w:rPr>
        <w:t>،</w:t>
      </w:r>
      <w:r>
        <w:rPr>
          <w:rFonts w:hint="cs"/>
          <w:rtl/>
        </w:rPr>
        <w:t xml:space="preserve"> وإن إنشاء السفر لزيارة نبينا صلى الله عليه وسلم معصية لا يقصر فيها الصلاة وبالغ في ذلك ولم يقل به أحد من المسلمين قبله</w:t>
      </w:r>
      <w:r w:rsidR="000636C2">
        <w:rPr>
          <w:rFonts w:hint="cs"/>
          <w:rtl/>
        </w:rPr>
        <w:t>،</w:t>
      </w:r>
      <w:r>
        <w:rPr>
          <w:rFonts w:hint="cs"/>
          <w:rtl/>
        </w:rPr>
        <w:t xml:space="preserve"> وإن عذاب أهل النار ينقطع ولا يتأبد حكاه</w:t>
      </w:r>
      <w:r w:rsidR="000636C2">
        <w:rPr>
          <w:rFonts w:hint="cs"/>
          <w:rtl/>
        </w:rPr>
        <w:t xml:space="preserve">، </w:t>
      </w:r>
      <w:r>
        <w:rPr>
          <w:rFonts w:hint="cs"/>
          <w:rtl/>
        </w:rPr>
        <w:t>بعض الفقهاء عن تصانيفه</w:t>
      </w:r>
      <w:r w:rsidR="000636C2">
        <w:rPr>
          <w:rFonts w:hint="cs"/>
          <w:rtl/>
        </w:rPr>
        <w:t>،</w:t>
      </w:r>
      <w:r>
        <w:rPr>
          <w:rFonts w:hint="cs"/>
          <w:rtl/>
        </w:rPr>
        <w:t xml:space="preserve"> ومن إفراده أيضا أن التوراة والانجيل لم تبدل ألفاظهما بل هي باقية على ما أنزلت وإنما وقع التحريف في تأويلها وله فيه مصنف آخر ما رأيت</w:t>
      </w:r>
      <w:r w:rsidR="000636C2">
        <w:rPr>
          <w:rFonts w:hint="cs"/>
          <w:rtl/>
        </w:rPr>
        <w:t>،</w:t>
      </w:r>
      <w:r>
        <w:rPr>
          <w:rFonts w:hint="cs"/>
          <w:rtl/>
        </w:rPr>
        <w:t xml:space="preserve"> واستغفر الله من كتابة مثل هذا فضلا عن اعتقاده " أهـ</w:t>
      </w:r>
      <w:r w:rsidR="000636C2">
        <w:rPr>
          <w:rFonts w:hint="cs"/>
          <w:rtl/>
        </w:rPr>
        <w:t>،</w:t>
      </w:r>
      <w:r>
        <w:rPr>
          <w:rFonts w:hint="cs"/>
          <w:rtl/>
          <w:lang w:eastAsia="ar-SA"/>
        </w:rPr>
        <w:t xml:space="preserve"> </w:t>
      </w:r>
      <w:r w:rsidR="000636C2">
        <w:rPr>
          <w:rFonts w:hint="cs"/>
          <w:rtl/>
          <w:lang w:eastAsia="ar-SA"/>
        </w:rPr>
        <w:t>(</w:t>
      </w:r>
      <w:r>
        <w:rPr>
          <w:rFonts w:hint="cs"/>
          <w:rtl/>
          <w:lang w:eastAsia="ar-SA"/>
        </w:rPr>
        <w:t>س</w:t>
      </w:r>
      <w:r w:rsidR="000636C2">
        <w:rPr>
          <w:rFonts w:hint="cs"/>
          <w:rtl/>
          <w:lang w:eastAsia="ar-SA"/>
        </w:rPr>
        <w:t xml:space="preserve">) </w:t>
      </w:r>
      <w:r>
        <w:rPr>
          <w:rFonts w:eastAsia="Times New Roman" w:hint="cs"/>
          <w:rtl/>
        </w:rPr>
        <w:t xml:space="preserve">النبهاني </w:t>
      </w:r>
      <w:r w:rsidR="000636C2">
        <w:rPr>
          <w:rFonts w:eastAsia="Times New Roman" w:hint="cs"/>
          <w:rtl/>
        </w:rPr>
        <w:t>(</w:t>
      </w:r>
      <w:r>
        <w:rPr>
          <w:rFonts w:eastAsia="Times New Roman" w:hint="cs"/>
          <w:rtl/>
        </w:rPr>
        <w:t>ت ١٣٥٠ هـ</w:t>
      </w:r>
      <w:r w:rsidR="000636C2">
        <w:rPr>
          <w:rFonts w:eastAsia="Times New Roman" w:hint="cs"/>
          <w:rtl/>
        </w:rPr>
        <w:t xml:space="preserve">): </w:t>
      </w:r>
      <w:r>
        <w:rPr>
          <w:rFonts w:eastAsia="Times New Roman" w:hint="cs"/>
          <w:rtl/>
        </w:rPr>
        <w:t>قال النبهاني في كتابه « شواهد الحق » بعد نقل أسماء عدة من الطاعنين به</w:t>
      </w:r>
      <w:r w:rsidR="000636C2">
        <w:rPr>
          <w:rFonts w:eastAsia="Times New Roman" w:hint="cs"/>
          <w:rtl/>
        </w:rPr>
        <w:t xml:space="preserve">: </w:t>
      </w:r>
      <w:r>
        <w:rPr>
          <w:rFonts w:eastAsia="Times New Roman" w:hint="cs"/>
          <w:rtl/>
        </w:rPr>
        <w:t>« فقد ثبت وتحقّق وظهر ظهور الشمس في رابعة النهار أنّ علماء المذاهب الأربعة قد اتّفقوا على ردّ بدع ابن تيمية</w:t>
      </w:r>
      <w:r w:rsidR="000636C2">
        <w:rPr>
          <w:rFonts w:eastAsia="Times New Roman" w:hint="cs"/>
          <w:rtl/>
        </w:rPr>
        <w:t>،</w:t>
      </w:r>
      <w:r>
        <w:rPr>
          <w:rFonts w:eastAsia="Times New Roman" w:hint="cs"/>
          <w:rtl/>
        </w:rPr>
        <w:t xml:space="preserve"> ومنهم من طعنوا بصحة نقله</w:t>
      </w:r>
      <w:r w:rsidR="000636C2">
        <w:rPr>
          <w:rFonts w:eastAsia="Times New Roman" w:hint="cs"/>
          <w:rtl/>
        </w:rPr>
        <w:t>،</w:t>
      </w:r>
      <w:r>
        <w:rPr>
          <w:rFonts w:eastAsia="Times New Roman" w:hint="cs"/>
          <w:rtl/>
        </w:rPr>
        <w:t xml:space="preserve"> كما طعنوا بكمال عقله</w:t>
      </w:r>
      <w:r w:rsidR="000636C2">
        <w:rPr>
          <w:rFonts w:eastAsia="Times New Roman" w:hint="cs"/>
          <w:rtl/>
        </w:rPr>
        <w:t>،</w:t>
      </w:r>
      <w:r>
        <w:rPr>
          <w:rFonts w:eastAsia="Times New Roman" w:hint="cs"/>
          <w:rtl/>
        </w:rPr>
        <w:t xml:space="preserve"> فضلا عن شدة تشنيعهم عليه في خطئه الفاحش في تلك المسائل الّتي شذّ بها في الدين</w:t>
      </w:r>
      <w:r w:rsidR="000636C2">
        <w:rPr>
          <w:rFonts w:eastAsia="Times New Roman" w:hint="cs"/>
          <w:rtl/>
        </w:rPr>
        <w:t>،</w:t>
      </w:r>
      <w:r>
        <w:rPr>
          <w:rFonts w:eastAsia="Times New Roman" w:hint="cs"/>
          <w:rtl/>
        </w:rPr>
        <w:t xml:space="preserve"> وخالف بها إجماع المسلمين</w:t>
      </w:r>
      <w:r w:rsidR="000636C2">
        <w:rPr>
          <w:rFonts w:eastAsia="Times New Roman" w:hint="cs"/>
          <w:rtl/>
        </w:rPr>
        <w:t>،</w:t>
      </w:r>
      <w:r>
        <w:rPr>
          <w:rFonts w:eastAsia="Times New Roman" w:hint="cs"/>
          <w:rtl/>
        </w:rPr>
        <w:t xml:space="preserve"> ولا سيما فيما يتعلّق بسيّد المرسلين صلى ‌الله‌ عليه ‌وسلم " أهـ</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ش</w:t>
      </w:r>
      <w:r w:rsidR="000636C2">
        <w:rPr>
          <w:rFonts w:eastAsia="Times New Roman" w:hint="cs"/>
          <w:rtl/>
        </w:rPr>
        <w:t xml:space="preserve">) </w:t>
      </w:r>
      <w:r>
        <w:rPr>
          <w:rFonts w:eastAsia="Times New Roman" w:hint="cs"/>
          <w:rtl/>
        </w:rPr>
        <w:t xml:space="preserve">الشيخ محمد زاهد الكوثري </w:t>
      </w:r>
      <w:r w:rsidR="000636C2">
        <w:rPr>
          <w:rFonts w:eastAsia="Times New Roman" w:hint="cs"/>
          <w:rtl/>
        </w:rPr>
        <w:t>(</w:t>
      </w:r>
      <w:r>
        <w:rPr>
          <w:rFonts w:eastAsia="Times New Roman" w:hint="cs"/>
          <w:rtl/>
        </w:rPr>
        <w:t>ت ١٣٧١ هـ</w:t>
      </w:r>
      <w:r w:rsidR="000636C2">
        <w:rPr>
          <w:rFonts w:eastAsia="Times New Roman" w:hint="cs"/>
          <w:rtl/>
        </w:rPr>
        <w:t xml:space="preserve">): </w:t>
      </w:r>
      <w:r>
        <w:rPr>
          <w:rFonts w:eastAsia="Times New Roman" w:hint="cs"/>
          <w:rtl/>
        </w:rPr>
        <w:t>قال في مقدمة الأسماء والصفات للبيهقي</w:t>
      </w:r>
      <w:r w:rsidR="000636C2">
        <w:rPr>
          <w:rFonts w:eastAsia="Times New Roman" w:hint="cs"/>
          <w:rtl/>
        </w:rPr>
        <w:t xml:space="preserve">: </w:t>
      </w:r>
      <w:r>
        <w:rPr>
          <w:rFonts w:eastAsia="Times New Roman" w:hint="cs"/>
          <w:rtl/>
        </w:rPr>
        <w:t>- بعدما سرد أسماء عدة من كتب الحشوية كالاستقامة لخشيش بن أصرم</w:t>
      </w:r>
      <w:r w:rsidR="000636C2">
        <w:rPr>
          <w:rFonts w:eastAsia="Times New Roman" w:hint="cs"/>
          <w:rtl/>
        </w:rPr>
        <w:t>،</w:t>
      </w:r>
      <w:r>
        <w:rPr>
          <w:rFonts w:eastAsia="Times New Roman" w:hint="cs"/>
          <w:rtl/>
        </w:rPr>
        <w:t xml:space="preserve"> والسنة المنسوب إلى عبد اللّه بن أحمد</w:t>
      </w:r>
      <w:r w:rsidR="000636C2">
        <w:rPr>
          <w:rFonts w:eastAsia="Times New Roman" w:hint="cs"/>
          <w:rtl/>
        </w:rPr>
        <w:t>،</w:t>
      </w:r>
      <w:r>
        <w:rPr>
          <w:rFonts w:eastAsia="Times New Roman" w:hint="cs"/>
          <w:rtl/>
        </w:rPr>
        <w:t xml:space="preserve"> والنقض لعثمان بن سعيد الدارمي السجزي المجسم ـ</w:t>
      </w:r>
      <w:r w:rsidR="000636C2">
        <w:rPr>
          <w:rFonts w:eastAsia="Times New Roman" w:hint="cs"/>
          <w:rtl/>
        </w:rPr>
        <w:t xml:space="preserve">: </w:t>
      </w:r>
      <w:r>
        <w:rPr>
          <w:rFonts w:eastAsia="Times New Roman" w:hint="cs"/>
          <w:rtl/>
        </w:rPr>
        <w:t>" إنّ السجزي أول من اجترأ بالقول « إنّ اللّه لو شاء لا ستقرّ على ظهر بعوضة فاستقلت به بقدرته</w:t>
      </w:r>
      <w:r w:rsidR="000636C2">
        <w:rPr>
          <w:rFonts w:eastAsia="Times New Roman" w:hint="cs"/>
          <w:rtl/>
        </w:rPr>
        <w:t>،</w:t>
      </w:r>
      <w:r>
        <w:rPr>
          <w:rFonts w:eastAsia="Times New Roman" w:hint="cs"/>
          <w:rtl/>
        </w:rPr>
        <w:t xml:space="preserve"> فكيف على عرش عظيم » وتابعه الشيخ ابن تيمية الحراني في ذلك</w:t>
      </w:r>
      <w:r w:rsidR="000636C2">
        <w:rPr>
          <w:rFonts w:eastAsia="Times New Roman" w:hint="cs"/>
          <w:rtl/>
        </w:rPr>
        <w:t>،</w:t>
      </w:r>
      <w:r>
        <w:rPr>
          <w:rFonts w:eastAsia="Times New Roman" w:hint="cs"/>
          <w:rtl/>
        </w:rPr>
        <w:t xml:space="preserve"> كما تجد نص كلامه في « غوث العباد » المطبوع سنة ١٣٥١ بمطبعة الحلبي</w:t>
      </w:r>
      <w:r w:rsidR="000636C2">
        <w:rPr>
          <w:rFonts w:eastAsia="Times New Roman" w:hint="cs"/>
          <w:rtl/>
        </w:rPr>
        <w:t xml:space="preserve"> </w:t>
      </w:r>
      <w:r>
        <w:rPr>
          <w:rFonts w:eastAsia="Times New Roman" w:hint="cs"/>
          <w:rtl/>
        </w:rPr>
        <w:t>"</w:t>
      </w:r>
      <w:r w:rsidR="000636C2">
        <w:rPr>
          <w:rFonts w:eastAsia="Times New Roman" w:hint="cs"/>
          <w:rtl/>
        </w:rPr>
        <w:t xml:space="preserve"> [</w:t>
      </w:r>
      <w:r>
        <w:rPr>
          <w:rFonts w:eastAsia="Times New Roman" w:hint="cs"/>
          <w:rtl/>
        </w:rPr>
        <w:t>مقدمة الأسماء والصفات للبيهقي</w:t>
      </w:r>
      <w:r w:rsidR="000636C2">
        <w:rPr>
          <w:rFonts w:eastAsia="Times New Roman" w:hint="cs"/>
          <w:rtl/>
        </w:rPr>
        <w:t>]،</w:t>
      </w:r>
      <w:r>
        <w:rPr>
          <w:rFonts w:eastAsia="Times New Roman" w:hint="cs"/>
          <w:rtl/>
        </w:rPr>
        <w:t xml:space="preserve"> وقال ايضاً في مقدمته على السيف الصقيل</w:t>
      </w:r>
      <w:r w:rsidR="000636C2">
        <w:rPr>
          <w:rFonts w:eastAsia="Times New Roman" w:hint="cs"/>
          <w:rtl/>
        </w:rPr>
        <w:t xml:space="preserve">: </w:t>
      </w:r>
      <w:r>
        <w:rPr>
          <w:rFonts w:eastAsia="Times New Roman" w:hint="cs"/>
          <w:rtl/>
        </w:rPr>
        <w:t>" جزى اللّه علماء أُصول الدين عن الإسلام خيراً</w:t>
      </w:r>
      <w:r w:rsidR="000636C2">
        <w:rPr>
          <w:rFonts w:eastAsia="Times New Roman" w:hint="cs"/>
          <w:rtl/>
        </w:rPr>
        <w:t>،</w:t>
      </w:r>
      <w:r>
        <w:rPr>
          <w:rFonts w:eastAsia="Times New Roman" w:hint="cs"/>
          <w:rtl/>
        </w:rPr>
        <w:t xml:space="preserve"> فإنّ لهم فضلا جسيماً في صيانة عقائد المسلمين بادلّة ناهضة مدى القرون</w:t>
      </w:r>
      <w:r w:rsidR="000636C2">
        <w:rPr>
          <w:rFonts w:eastAsia="Times New Roman" w:hint="cs"/>
          <w:rtl/>
        </w:rPr>
        <w:t>،</w:t>
      </w:r>
      <w:r>
        <w:rPr>
          <w:rFonts w:eastAsia="Times New Roman" w:hint="cs"/>
          <w:rtl/>
        </w:rPr>
        <w:t xml:space="preserve"> أمام كل فرقة زائفة ـ إلى أن قال ـ</w:t>
      </w:r>
      <w:r w:rsidR="000636C2">
        <w:rPr>
          <w:rFonts w:eastAsia="Times New Roman" w:hint="cs"/>
          <w:rtl/>
        </w:rPr>
        <w:t xml:space="preserve">: </w:t>
      </w:r>
      <w:r>
        <w:rPr>
          <w:rFonts w:eastAsia="Times New Roman" w:hint="cs"/>
          <w:rtl/>
        </w:rPr>
        <w:t>ومن طالع من ألّفه بعض الرواة على طول القرون من كتب في التوحيد والصفات والسنة</w:t>
      </w:r>
      <w:r w:rsidR="000636C2">
        <w:rPr>
          <w:rFonts w:eastAsia="Times New Roman" w:hint="cs"/>
          <w:rtl/>
        </w:rPr>
        <w:t>،</w:t>
      </w:r>
      <w:r>
        <w:rPr>
          <w:rFonts w:eastAsia="Times New Roman" w:hint="cs"/>
          <w:rtl/>
        </w:rPr>
        <w:t xml:space="preserve"> والردود على أهل النظر</w:t>
      </w:r>
      <w:r w:rsidR="000636C2">
        <w:rPr>
          <w:rFonts w:eastAsia="Times New Roman" w:hint="cs"/>
          <w:rtl/>
        </w:rPr>
        <w:t>،</w:t>
      </w:r>
      <w:r>
        <w:rPr>
          <w:rFonts w:eastAsia="Times New Roman" w:hint="cs"/>
          <w:rtl/>
        </w:rPr>
        <w:t xml:space="preserve"> يشكر اللّه سبحانه على النور الّذي افاضه على عقله</w:t>
      </w:r>
      <w:r w:rsidR="000636C2">
        <w:rPr>
          <w:rFonts w:eastAsia="Times New Roman" w:hint="cs"/>
          <w:rtl/>
        </w:rPr>
        <w:t>،</w:t>
      </w:r>
      <w:r>
        <w:rPr>
          <w:rFonts w:eastAsia="Times New Roman" w:hint="cs"/>
          <w:rtl/>
        </w:rPr>
        <w:t xml:space="preserve"> حتّى نبذ مثل تلك الطامات بأول نظرة</w:t>
      </w:r>
      <w:r w:rsidR="000636C2">
        <w:rPr>
          <w:rFonts w:eastAsia="Times New Roman" w:hint="cs"/>
          <w:rtl/>
        </w:rPr>
        <w:t>،</w:t>
      </w:r>
      <w:r>
        <w:rPr>
          <w:rFonts w:eastAsia="Times New Roman" w:hint="cs"/>
          <w:rtl/>
        </w:rPr>
        <w:t xml:space="preserve"> وقد استمرّت فتن المخدوعين من الرواة على طول القرون مجلبة لسخط اللّه تعالى</w:t>
      </w:r>
      <w:r w:rsidR="000636C2">
        <w:rPr>
          <w:rFonts w:eastAsia="Times New Roman" w:hint="cs"/>
          <w:rtl/>
        </w:rPr>
        <w:t>،</w:t>
      </w:r>
      <w:r>
        <w:rPr>
          <w:rFonts w:eastAsia="Times New Roman" w:hint="cs"/>
          <w:rtl/>
        </w:rPr>
        <w:t xml:space="preserve"> ولاستسخاف العقلاء</w:t>
      </w:r>
      <w:r w:rsidR="000636C2">
        <w:rPr>
          <w:rFonts w:eastAsia="Times New Roman" w:hint="cs"/>
          <w:rtl/>
        </w:rPr>
        <w:t>،</w:t>
      </w:r>
      <w:r>
        <w:rPr>
          <w:rFonts w:eastAsia="Times New Roman" w:hint="cs"/>
          <w:rtl/>
        </w:rPr>
        <w:t xml:space="preserve"> من غير أن يخطر ببال عاقل أن يناضل عن سخافات هؤلاء</w:t>
      </w:r>
      <w:r w:rsidR="000636C2">
        <w:rPr>
          <w:rFonts w:eastAsia="Times New Roman" w:hint="cs"/>
          <w:rtl/>
        </w:rPr>
        <w:t>،</w:t>
      </w:r>
      <w:r>
        <w:rPr>
          <w:rFonts w:eastAsia="Times New Roman" w:hint="cs"/>
          <w:rtl/>
        </w:rPr>
        <w:t xml:space="preserve"> إلى أن نبغ في أواخر القرن السابع بدمشق</w:t>
      </w:r>
      <w:r w:rsidR="000636C2">
        <w:rPr>
          <w:rFonts w:eastAsia="Times New Roman" w:hint="cs"/>
          <w:rtl/>
        </w:rPr>
        <w:t>،</w:t>
      </w:r>
      <w:r>
        <w:rPr>
          <w:rFonts w:eastAsia="Times New Roman" w:hint="cs"/>
          <w:rtl/>
        </w:rPr>
        <w:t xml:space="preserve"> حرّاني تجرّد للدعوة إلى مذهب هؤلاء الحشوية السخفاء</w:t>
      </w:r>
      <w:r w:rsidR="000636C2">
        <w:rPr>
          <w:rFonts w:eastAsia="Times New Roman" w:hint="cs"/>
          <w:rtl/>
        </w:rPr>
        <w:t>،</w:t>
      </w:r>
      <w:r>
        <w:rPr>
          <w:rFonts w:eastAsia="Times New Roman" w:hint="cs"/>
          <w:rtl/>
        </w:rPr>
        <w:t xml:space="preserve"> متظاهراً بالجمع بين العقل والنقل على حسب فهمه من الكتب</w:t>
      </w:r>
      <w:r w:rsidR="000636C2">
        <w:rPr>
          <w:rFonts w:eastAsia="Times New Roman" w:hint="cs"/>
          <w:rtl/>
        </w:rPr>
        <w:t>،</w:t>
      </w:r>
      <w:r>
        <w:rPr>
          <w:rFonts w:eastAsia="Times New Roman" w:hint="cs"/>
          <w:rtl/>
        </w:rPr>
        <w:t xml:space="preserve"> بدون أُستاذ يرشده في مواطن الزلل</w:t>
      </w:r>
      <w:r w:rsidR="000636C2">
        <w:rPr>
          <w:rFonts w:eastAsia="Times New Roman" w:hint="cs"/>
          <w:rtl/>
        </w:rPr>
        <w:t>،</w:t>
      </w:r>
      <w:r>
        <w:rPr>
          <w:rFonts w:eastAsia="Times New Roman" w:hint="cs"/>
          <w:rtl/>
        </w:rPr>
        <w:t xml:space="preserve"> وحاشا العقل الناهض والنقل الصحيح أن يتضافرا في الدفاع عن تحريف السخفاء </w:t>
      </w:r>
      <w:r>
        <w:rPr>
          <w:rFonts w:eastAsia="Times New Roman" w:hint="cs"/>
          <w:rtl/>
        </w:rPr>
        <w:lastRenderedPageBreak/>
        <w:t>إلاّ إذا كان العقل عقل صابئي والنقل نقل صبي</w:t>
      </w:r>
      <w:r w:rsidR="000636C2">
        <w:rPr>
          <w:rFonts w:eastAsia="Times New Roman" w:hint="cs"/>
          <w:rtl/>
        </w:rPr>
        <w:t>،</w:t>
      </w:r>
      <w:r>
        <w:rPr>
          <w:rFonts w:eastAsia="Times New Roman" w:hint="cs"/>
          <w:rtl/>
        </w:rPr>
        <w:t xml:space="preserve"> وكم انخدع بخزعبلاته أُناس ليسوا من التأهّل للجمع بين الرواية والدارية في شيء</w:t>
      </w:r>
      <w:r w:rsidR="000636C2">
        <w:rPr>
          <w:rFonts w:eastAsia="Times New Roman" w:hint="cs"/>
          <w:rtl/>
        </w:rPr>
        <w:t>،</w:t>
      </w:r>
      <w:r>
        <w:rPr>
          <w:rFonts w:eastAsia="Times New Roman" w:hint="cs"/>
          <w:rtl/>
        </w:rPr>
        <w:t xml:space="preserve"> وله مع خلطائه هؤلاء</w:t>
      </w:r>
      <w:r w:rsidR="000636C2">
        <w:rPr>
          <w:rFonts w:eastAsia="Times New Roman" w:hint="cs"/>
          <w:rtl/>
        </w:rPr>
        <w:t>،</w:t>
      </w:r>
      <w:r>
        <w:rPr>
          <w:rFonts w:eastAsia="Times New Roman" w:hint="cs"/>
          <w:rtl/>
        </w:rPr>
        <w:t xml:space="preserve"> موقف في يوم القيامة لا يغبط عليه</w:t>
      </w:r>
      <w:r w:rsidR="000636C2">
        <w:rPr>
          <w:rFonts w:eastAsia="Times New Roman" w:hint="cs"/>
          <w:rtl/>
        </w:rPr>
        <w:t>،</w:t>
      </w:r>
      <w:r>
        <w:rPr>
          <w:rFonts w:eastAsia="Times New Roman" w:hint="cs"/>
          <w:rtl/>
        </w:rPr>
        <w:t xml:space="preserve"> ومن درس حياته يجدها كلها فتناً لا يثيرها حافظ بعقله</w:t>
      </w:r>
      <w:r w:rsidR="000636C2">
        <w:rPr>
          <w:rFonts w:eastAsia="Times New Roman" w:hint="cs"/>
          <w:rtl/>
        </w:rPr>
        <w:t>،</w:t>
      </w:r>
      <w:r>
        <w:rPr>
          <w:rFonts w:eastAsia="Times New Roman" w:hint="cs"/>
          <w:rtl/>
        </w:rPr>
        <w:t xml:space="preserve"> غير مصاب في دينه</w:t>
      </w:r>
      <w:r w:rsidR="000636C2">
        <w:rPr>
          <w:rFonts w:eastAsia="Times New Roman" w:hint="cs"/>
          <w:rtl/>
        </w:rPr>
        <w:t>،</w:t>
      </w:r>
      <w:r>
        <w:rPr>
          <w:rFonts w:eastAsia="Times New Roman" w:hint="cs"/>
          <w:rtl/>
        </w:rPr>
        <w:t xml:space="preserve"> وأنّى يوجد نصّ صريح منقول أو برهان صحيح معقول يثبت الجهة والحركة والثقل والمكان ونحوها للّه سبحانه</w:t>
      </w:r>
      <w:r w:rsidR="000636C2">
        <w:rPr>
          <w:rFonts w:eastAsia="Times New Roman" w:hint="cs"/>
          <w:rtl/>
        </w:rPr>
        <w:t>؟</w:t>
      </w:r>
      <w:r>
        <w:rPr>
          <w:rFonts w:eastAsia="Times New Roman" w:hint="cs"/>
          <w:rtl/>
        </w:rPr>
        <w:t xml:space="preserve"> وكل ما في الرجل أنّه كان له لسان طلق</w:t>
      </w:r>
      <w:r w:rsidR="000636C2">
        <w:rPr>
          <w:rFonts w:eastAsia="Times New Roman" w:hint="cs"/>
          <w:rtl/>
        </w:rPr>
        <w:t>،</w:t>
      </w:r>
      <w:r>
        <w:rPr>
          <w:rFonts w:eastAsia="Times New Roman" w:hint="cs"/>
          <w:rtl/>
        </w:rPr>
        <w:t xml:space="preserve"> وقلم سيال</w:t>
      </w:r>
      <w:r w:rsidR="000636C2">
        <w:rPr>
          <w:rFonts w:eastAsia="Times New Roman" w:hint="cs"/>
          <w:rtl/>
        </w:rPr>
        <w:t>،</w:t>
      </w:r>
      <w:r>
        <w:rPr>
          <w:rFonts w:eastAsia="Times New Roman" w:hint="cs"/>
          <w:rtl/>
        </w:rPr>
        <w:t xml:space="preserve"> وحافطة جيدة</w:t>
      </w:r>
      <w:r w:rsidR="000636C2">
        <w:rPr>
          <w:rFonts w:eastAsia="Times New Roman" w:hint="cs"/>
          <w:rtl/>
        </w:rPr>
        <w:t>،</w:t>
      </w:r>
      <w:r>
        <w:rPr>
          <w:rFonts w:eastAsia="Times New Roman" w:hint="cs"/>
          <w:rtl/>
        </w:rPr>
        <w:t xml:space="preserve"> قلّب ـ بنفسه بدون أُستاذ رشيد ـ صفحات كتب كثيرة جداً من كتب النحل الّتي كانت دمشق امتلأت بها بواسطة القوافل من استيلاء المغول على بلاد الشرق</w:t>
      </w:r>
      <w:r w:rsidR="000636C2">
        <w:rPr>
          <w:rFonts w:eastAsia="Times New Roman" w:hint="cs"/>
          <w:rtl/>
        </w:rPr>
        <w:t>،</w:t>
      </w:r>
      <w:r>
        <w:rPr>
          <w:rFonts w:eastAsia="Times New Roman" w:hint="cs"/>
          <w:rtl/>
        </w:rPr>
        <w:t xml:space="preserve"> فاغترّ بما فهمه من تلك الكتب من الوساوس والهواجس</w:t>
      </w:r>
      <w:r w:rsidR="000636C2">
        <w:rPr>
          <w:rFonts w:eastAsia="Times New Roman" w:hint="cs"/>
          <w:rtl/>
        </w:rPr>
        <w:t>،</w:t>
      </w:r>
      <w:r>
        <w:rPr>
          <w:rFonts w:eastAsia="Times New Roman" w:hint="cs"/>
          <w:rtl/>
        </w:rPr>
        <w:t xml:space="preserve"> حتى طمحت نفسه إلى أن تكون قدوة في المعتقد والأحكام العملية</w:t>
      </w:r>
      <w:r w:rsidR="000636C2">
        <w:rPr>
          <w:rFonts w:eastAsia="Times New Roman" w:hint="cs"/>
          <w:rtl/>
        </w:rPr>
        <w:t>،</w:t>
      </w:r>
      <w:r>
        <w:rPr>
          <w:rFonts w:eastAsia="Times New Roman" w:hint="cs"/>
          <w:rtl/>
        </w:rPr>
        <w:t xml:space="preserve"> ففاه في القبيلين بما لم يفه به أحد من العالمين</w:t>
      </w:r>
      <w:r w:rsidR="000636C2">
        <w:rPr>
          <w:rFonts w:eastAsia="Times New Roman" w:hint="cs"/>
          <w:rtl/>
        </w:rPr>
        <w:t>،</w:t>
      </w:r>
      <w:r>
        <w:rPr>
          <w:rFonts w:eastAsia="Times New Roman" w:hint="cs"/>
          <w:rtl/>
        </w:rPr>
        <w:t xml:space="preserve"> مما هو وصمة عار وأمارة مروق في نظر الناظرين</w:t>
      </w:r>
      <w:r w:rsidR="000636C2">
        <w:rPr>
          <w:rFonts w:eastAsia="Times New Roman" w:hint="cs"/>
          <w:rtl/>
        </w:rPr>
        <w:t>،</w:t>
      </w:r>
      <w:r>
        <w:rPr>
          <w:rFonts w:eastAsia="Times New Roman" w:hint="cs"/>
          <w:rtl/>
        </w:rPr>
        <w:t xml:space="preserve"> فانفضّ من حوله أُناس كانوا تعجّلوا في إطرائه ـ بادئ بدء ـ قبل تجريبه</w:t>
      </w:r>
      <w:r w:rsidR="000636C2">
        <w:rPr>
          <w:rFonts w:eastAsia="Times New Roman" w:hint="cs"/>
          <w:rtl/>
        </w:rPr>
        <w:t>،</w:t>
      </w:r>
      <w:r>
        <w:rPr>
          <w:rFonts w:eastAsia="Times New Roman" w:hint="cs"/>
          <w:rtl/>
        </w:rPr>
        <w:t xml:space="preserve"> وتخلّوا عنه واحداً إثر واحد على تعاب فتنة المدونة في كتب التاريخ</w:t>
      </w:r>
      <w:r w:rsidR="000636C2">
        <w:rPr>
          <w:rFonts w:eastAsia="Times New Roman" w:hint="cs"/>
          <w:rtl/>
        </w:rPr>
        <w:t>،</w:t>
      </w:r>
      <w:r>
        <w:rPr>
          <w:rFonts w:eastAsia="Times New Roman" w:hint="cs"/>
          <w:rtl/>
        </w:rPr>
        <w:t xml:space="preserve"> ولم يبقَ معه إلاّ أهل مذهبه في الحشو من جهلة المقلدة</w:t>
      </w:r>
      <w:r w:rsidR="000636C2">
        <w:rPr>
          <w:rFonts w:eastAsia="Times New Roman" w:hint="cs"/>
          <w:rtl/>
        </w:rPr>
        <w:t>،</w:t>
      </w:r>
      <w:r>
        <w:rPr>
          <w:rFonts w:eastAsia="Times New Roman" w:hint="cs"/>
          <w:rtl/>
        </w:rPr>
        <w:t xml:space="preserve"> ومن ظن أن علماء عصره صاروا كلهم إلباً واحداً ضدّه حسداً من عند أنفسهم</w:t>
      </w:r>
      <w:r w:rsidR="000636C2">
        <w:rPr>
          <w:rFonts w:eastAsia="Times New Roman" w:hint="cs"/>
          <w:rtl/>
        </w:rPr>
        <w:t>،</w:t>
      </w:r>
      <w:r>
        <w:rPr>
          <w:rFonts w:eastAsia="Times New Roman" w:hint="cs"/>
          <w:rtl/>
        </w:rPr>
        <w:t xml:space="preserve"> فَلْيَتّهم عقله وإدراكه قبل اتّهام الآخرين</w:t>
      </w:r>
      <w:r w:rsidR="000636C2">
        <w:rPr>
          <w:rFonts w:eastAsia="Times New Roman" w:hint="cs"/>
          <w:rtl/>
        </w:rPr>
        <w:t>،</w:t>
      </w:r>
      <w:r>
        <w:rPr>
          <w:rFonts w:eastAsia="Times New Roman" w:hint="cs"/>
          <w:rtl/>
        </w:rPr>
        <w:t xml:space="preserve"> بعد أن درس مبلغ بشاعة شواذه في الاعتقاد والعمل</w:t>
      </w:r>
      <w:r w:rsidR="000636C2">
        <w:rPr>
          <w:rFonts w:eastAsia="Times New Roman" w:hint="cs"/>
          <w:rtl/>
        </w:rPr>
        <w:t>،</w:t>
      </w:r>
      <w:r>
        <w:rPr>
          <w:rFonts w:eastAsia="Times New Roman" w:hint="cs"/>
          <w:rtl/>
        </w:rPr>
        <w:t xml:space="preserve"> وهو لم يزل يستتاب استتابة إثر استتابة</w:t>
      </w:r>
      <w:r w:rsidR="000636C2">
        <w:rPr>
          <w:rFonts w:eastAsia="Times New Roman" w:hint="cs"/>
          <w:rtl/>
        </w:rPr>
        <w:t>،</w:t>
      </w:r>
      <w:r>
        <w:rPr>
          <w:rFonts w:eastAsia="Times New Roman" w:hint="cs"/>
          <w:rtl/>
        </w:rPr>
        <w:t xml:space="preserve"> وينقل من سجن إلى سجن إلى أن افضى إلى ما عمل وهو مسجون</w:t>
      </w:r>
      <w:r w:rsidR="000636C2">
        <w:rPr>
          <w:rFonts w:eastAsia="Times New Roman" w:hint="cs"/>
          <w:rtl/>
        </w:rPr>
        <w:t>،</w:t>
      </w:r>
      <w:r>
        <w:rPr>
          <w:rFonts w:eastAsia="Times New Roman" w:hint="cs"/>
          <w:rtl/>
        </w:rPr>
        <w:t xml:space="preserve"> وكان ابن زفيل الزرعي المعروف بابن القيم يسايره في شواذه حياً وميتاً</w:t>
      </w:r>
      <w:r w:rsidR="000636C2">
        <w:rPr>
          <w:rFonts w:eastAsia="Times New Roman" w:hint="cs"/>
          <w:rtl/>
        </w:rPr>
        <w:t>،</w:t>
      </w:r>
      <w:r>
        <w:rPr>
          <w:rFonts w:eastAsia="Times New Roman" w:hint="cs"/>
          <w:rtl/>
        </w:rPr>
        <w:t xml:space="preserve"> ويقلده فيها تقليداً أعمى في الحق والباطل</w:t>
      </w:r>
      <w:r w:rsidR="000636C2">
        <w:rPr>
          <w:rFonts w:eastAsia="Times New Roman" w:hint="cs"/>
          <w:rtl/>
        </w:rPr>
        <w:t>،</w:t>
      </w:r>
      <w:r>
        <w:rPr>
          <w:rFonts w:eastAsia="Times New Roman" w:hint="cs"/>
          <w:rtl/>
        </w:rPr>
        <w:t xml:space="preserve"> وإن كان يتظاهر بمظهر الاستدلال</w:t>
      </w:r>
      <w:r w:rsidR="000636C2">
        <w:rPr>
          <w:rFonts w:eastAsia="Times New Roman" w:hint="cs"/>
          <w:rtl/>
        </w:rPr>
        <w:t>،</w:t>
      </w:r>
      <w:r>
        <w:rPr>
          <w:rFonts w:eastAsia="Times New Roman" w:hint="cs"/>
          <w:rtl/>
        </w:rPr>
        <w:t xml:space="preserve"> لكن لم يكن استدلاله المصطنع سوى ترديد منه لتشغيب قدوته</w:t>
      </w:r>
      <w:r w:rsidR="000636C2">
        <w:rPr>
          <w:rFonts w:eastAsia="Times New Roman" w:hint="cs"/>
          <w:rtl/>
        </w:rPr>
        <w:t>،</w:t>
      </w:r>
      <w:r>
        <w:rPr>
          <w:rFonts w:eastAsia="Times New Roman" w:hint="cs"/>
          <w:rtl/>
        </w:rPr>
        <w:t xml:space="preserve"> دائباً على إذاعة شواذ شيخه</w:t>
      </w:r>
      <w:r w:rsidR="000636C2">
        <w:rPr>
          <w:rFonts w:eastAsia="Times New Roman" w:hint="cs"/>
          <w:rtl/>
        </w:rPr>
        <w:t>،</w:t>
      </w:r>
      <w:r>
        <w:rPr>
          <w:rFonts w:eastAsia="Times New Roman" w:hint="cs"/>
          <w:rtl/>
        </w:rPr>
        <w:t xml:space="preserve"> متوخياً ـ في غالب مؤلفاته ـ تلطيف لهجة أُستاذه في تلك الشواذ لتنطلي وتنفق على الضعفاء</w:t>
      </w:r>
      <w:r w:rsidR="000636C2">
        <w:rPr>
          <w:rFonts w:eastAsia="Times New Roman" w:hint="cs"/>
          <w:rtl/>
        </w:rPr>
        <w:t>،</w:t>
      </w:r>
      <w:r>
        <w:rPr>
          <w:rFonts w:eastAsia="Times New Roman" w:hint="cs"/>
          <w:rtl/>
        </w:rPr>
        <w:t xml:space="preserve"> وعمله كله التلبيس والمخادعة والنضال عن تلك الأهواء المخزية</w:t>
      </w:r>
      <w:r w:rsidR="000636C2">
        <w:rPr>
          <w:rFonts w:eastAsia="Times New Roman" w:hint="cs"/>
          <w:rtl/>
        </w:rPr>
        <w:t>،</w:t>
      </w:r>
      <w:r>
        <w:rPr>
          <w:rFonts w:eastAsia="Times New Roman" w:hint="cs"/>
          <w:rtl/>
        </w:rPr>
        <w:t xml:space="preserve"> حتى أفنى عمره بالدندنة حول مفردات الشيخ الحراني</w:t>
      </w:r>
      <w:r w:rsidR="000636C2">
        <w:rPr>
          <w:rFonts w:eastAsia="Times New Roman" w:hint="cs"/>
          <w:rtl/>
        </w:rPr>
        <w:t>،</w:t>
      </w:r>
      <w:r>
        <w:rPr>
          <w:rFonts w:eastAsia="Times New Roman" w:hint="cs"/>
          <w:rtl/>
        </w:rPr>
        <w:t xml:space="preserve"> تراه يثرثر في كل واد ويخطب بكل ناد</w:t>
      </w:r>
      <w:r w:rsidR="000636C2">
        <w:rPr>
          <w:rFonts w:eastAsia="Times New Roman" w:hint="cs"/>
          <w:rtl/>
        </w:rPr>
        <w:t>،</w:t>
      </w:r>
      <w:r>
        <w:rPr>
          <w:rFonts w:eastAsia="Times New Roman" w:hint="cs"/>
          <w:rtl/>
        </w:rPr>
        <w:t xml:space="preserve"> بكلام لا محصل له عند أهل التحصيل</w:t>
      </w:r>
      <w:r w:rsidR="000636C2">
        <w:rPr>
          <w:rFonts w:eastAsia="Times New Roman" w:hint="cs"/>
          <w:rtl/>
        </w:rPr>
        <w:t>،</w:t>
      </w:r>
      <w:r>
        <w:rPr>
          <w:rFonts w:eastAsia="Times New Roman" w:hint="cs"/>
          <w:rtl/>
        </w:rPr>
        <w:t xml:space="preserve"> ولم يكن له حظ من المعقول</w:t>
      </w:r>
      <w:r w:rsidR="000636C2">
        <w:rPr>
          <w:rFonts w:eastAsia="Times New Roman" w:hint="cs"/>
          <w:rtl/>
        </w:rPr>
        <w:t>،</w:t>
      </w:r>
      <w:r>
        <w:rPr>
          <w:rFonts w:eastAsia="Times New Roman" w:hint="cs"/>
          <w:rtl/>
        </w:rPr>
        <w:t xml:space="preserve"> وإن كان كثير السرد لآراء أهل النظر</w:t>
      </w:r>
      <w:r w:rsidR="000636C2">
        <w:rPr>
          <w:rFonts w:eastAsia="Times New Roman" w:hint="cs"/>
          <w:rtl/>
        </w:rPr>
        <w:t>،</w:t>
      </w:r>
      <w:r>
        <w:rPr>
          <w:rFonts w:eastAsia="Times New Roman" w:hint="cs"/>
          <w:rtl/>
        </w:rPr>
        <w:t xml:space="preserve"> ويظهر مبلغ تهافته لمن طالع شفاء العليل له بتبصّر</w:t>
      </w:r>
      <w:r w:rsidR="000636C2">
        <w:rPr>
          <w:rFonts w:eastAsia="Times New Roman" w:hint="cs"/>
          <w:rtl/>
        </w:rPr>
        <w:t>،</w:t>
      </w:r>
      <w:r>
        <w:rPr>
          <w:rFonts w:eastAsia="Times New Roman" w:hint="cs"/>
          <w:rtl/>
        </w:rPr>
        <w:t xml:space="preserve"> ونونيته وعزَوْه من الدلائل على أنّه لم يكن ممن له علم بالرجال ولا بنقد الحديث</w:t>
      </w:r>
      <w:r w:rsidR="000636C2">
        <w:rPr>
          <w:rFonts w:eastAsia="Times New Roman" w:hint="cs"/>
          <w:rtl/>
        </w:rPr>
        <w:t>،</w:t>
      </w:r>
      <w:r>
        <w:rPr>
          <w:rFonts w:eastAsia="Times New Roman" w:hint="cs"/>
          <w:rtl/>
        </w:rPr>
        <w:t xml:space="preserve"> حيث أثنى فيهما على أُناس هلكى</w:t>
      </w:r>
      <w:r w:rsidR="000636C2">
        <w:rPr>
          <w:rFonts w:eastAsia="Times New Roman" w:hint="cs"/>
          <w:rtl/>
        </w:rPr>
        <w:t>،</w:t>
      </w:r>
      <w:r>
        <w:rPr>
          <w:rFonts w:eastAsia="Times New Roman" w:hint="cs"/>
          <w:rtl/>
        </w:rPr>
        <w:t xml:space="preserve"> واستدل فيهما بأخبار غير صحيحة على صفات اللّه سبحانه</w:t>
      </w:r>
      <w:r w:rsidR="000636C2">
        <w:rPr>
          <w:rFonts w:eastAsia="Times New Roman" w:hint="cs"/>
          <w:rtl/>
        </w:rPr>
        <w:t>،</w:t>
      </w:r>
      <w:r>
        <w:rPr>
          <w:rFonts w:eastAsia="Times New Roman" w:hint="cs"/>
          <w:rtl/>
        </w:rPr>
        <w:t xml:space="preserve"> وقد ذكره الذهبي في المعجم المختص بما فيه عبرة</w:t>
      </w:r>
      <w:r w:rsidR="000636C2">
        <w:rPr>
          <w:rFonts w:eastAsia="Times New Roman" w:hint="cs"/>
          <w:rtl/>
        </w:rPr>
        <w:t>،</w:t>
      </w:r>
      <w:r>
        <w:rPr>
          <w:rFonts w:eastAsia="Times New Roman" w:hint="cs"/>
          <w:rtl/>
        </w:rPr>
        <w:t xml:space="preserve"> ولم يترجم له الحسيني</w:t>
      </w:r>
      <w:r w:rsidR="000636C2">
        <w:rPr>
          <w:rFonts w:eastAsia="Times New Roman" w:hint="cs"/>
          <w:rtl/>
        </w:rPr>
        <w:t>،</w:t>
      </w:r>
      <w:r>
        <w:rPr>
          <w:rFonts w:eastAsia="Times New Roman" w:hint="cs"/>
          <w:rtl/>
        </w:rPr>
        <w:t xml:space="preserve"> ولا ابن فهد ولا السيوطي في عداد الحفاظ في ذيولهم على طبقات الحفاظ</w:t>
      </w:r>
      <w:r w:rsidR="000636C2">
        <w:rPr>
          <w:rFonts w:eastAsia="Times New Roman" w:hint="cs"/>
          <w:rtl/>
        </w:rPr>
        <w:t>،</w:t>
      </w:r>
      <w:r>
        <w:rPr>
          <w:rFonts w:eastAsia="Times New Roman" w:hint="cs"/>
          <w:rtl/>
        </w:rPr>
        <w:t xml:space="preserve"> وما يقع من القارئ بموقع الأعجاب من أبحاثه الحديثية في زاد المعاد وغيره</w:t>
      </w:r>
      <w:r w:rsidR="000636C2">
        <w:rPr>
          <w:rFonts w:eastAsia="Times New Roman" w:hint="cs"/>
          <w:rtl/>
        </w:rPr>
        <w:t>،</w:t>
      </w:r>
      <w:r>
        <w:rPr>
          <w:rFonts w:eastAsia="Times New Roman" w:hint="cs"/>
          <w:rtl/>
        </w:rPr>
        <w:t xml:space="preserve"> فمختزل مأخوذ مما عنده عن كتب قيّمة لأهل العلم بالحديث</w:t>
      </w:r>
      <w:r w:rsidR="000636C2">
        <w:rPr>
          <w:rFonts w:eastAsia="Times New Roman" w:hint="cs"/>
          <w:rtl/>
        </w:rPr>
        <w:t>،</w:t>
      </w:r>
      <w:r>
        <w:rPr>
          <w:rFonts w:eastAsia="Times New Roman" w:hint="cs"/>
          <w:rtl/>
        </w:rPr>
        <w:t xml:space="preserve"> كـ « المورد الهني في شرح سير عبدالغني » للقطب الحلبي ونحوه</w:t>
      </w:r>
      <w:r w:rsidR="000636C2">
        <w:rPr>
          <w:rFonts w:eastAsia="Times New Roman" w:hint="cs"/>
          <w:rtl/>
        </w:rPr>
        <w:t>،</w:t>
      </w:r>
      <w:r>
        <w:rPr>
          <w:rFonts w:eastAsia="Times New Roman" w:hint="cs"/>
          <w:rtl/>
        </w:rPr>
        <w:t xml:space="preserve"> ولولا محلى ابن حزم « </w:t>
      </w:r>
      <w:r>
        <w:rPr>
          <w:rFonts w:eastAsia="Times New Roman" w:hint="cs"/>
          <w:rtl/>
        </w:rPr>
        <w:lastRenderedPageBreak/>
        <w:t>وأحكامه » و « مصنف » ابن أبي شيبه « وتمهيد » ابن عبد البر لما تمكن من مغالطاته وتهويلاته في « أعلام الموقعين »</w:t>
      </w:r>
      <w:r w:rsidR="000636C2">
        <w:rPr>
          <w:rFonts w:eastAsia="Times New Roman" w:hint="cs"/>
          <w:rtl/>
        </w:rPr>
        <w:t>،</w:t>
      </w:r>
      <w:r>
        <w:rPr>
          <w:rFonts w:eastAsia="Times New Roman" w:hint="cs"/>
          <w:rtl/>
        </w:rPr>
        <w:t xml:space="preserve"> وكم استتيب وعذر مع شيخه وبعده على مخاز في الاعتقاد والعمل</w:t>
      </w:r>
      <w:r w:rsidR="000636C2">
        <w:rPr>
          <w:rFonts w:eastAsia="Times New Roman" w:hint="cs"/>
          <w:rtl/>
        </w:rPr>
        <w:t>،</w:t>
      </w:r>
      <w:r>
        <w:rPr>
          <w:rFonts w:eastAsia="Times New Roman" w:hint="cs"/>
          <w:rtl/>
        </w:rPr>
        <w:t xml:space="preserve"> تستبين منها ما ينطوي عليه من المضي على صنوف الزيغ تقليداً لشيخه الزائغ</w:t>
      </w:r>
      <w:r w:rsidR="000636C2">
        <w:rPr>
          <w:rFonts w:eastAsia="Times New Roman" w:hint="cs"/>
          <w:rtl/>
        </w:rPr>
        <w:t>،</w:t>
      </w:r>
      <w:r>
        <w:rPr>
          <w:rFonts w:eastAsia="Times New Roman" w:hint="cs"/>
          <w:rtl/>
        </w:rPr>
        <w:t xml:space="preserve"> وسيلقى جزاء عمله هذا في الآخرة ـ إن لم يكن ختم له بالتوبة والأمانة ـ كما لقي بعض ذلك في الدنيا " أهـ</w:t>
      </w:r>
      <w:r w:rsidR="000636C2">
        <w:rPr>
          <w:rFonts w:eastAsia="Times New Roman" w:hint="cs"/>
          <w:rtl/>
        </w:rPr>
        <w:t xml:space="preserve"> [</w:t>
      </w:r>
      <w:r>
        <w:rPr>
          <w:rFonts w:eastAsia="Times New Roman" w:hint="cs"/>
          <w:rtl/>
        </w:rPr>
        <w:t>تكملة السيف الصقيل ص ٤ ـ ٩</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ص</w:t>
      </w:r>
      <w:r w:rsidR="000636C2">
        <w:rPr>
          <w:rFonts w:eastAsia="Times New Roman" w:hint="cs"/>
          <w:rtl/>
        </w:rPr>
        <w:t xml:space="preserve">) </w:t>
      </w:r>
      <w:r>
        <w:rPr>
          <w:rFonts w:eastAsia="Times New Roman" w:hint="cs"/>
          <w:rtl/>
        </w:rPr>
        <w:t xml:space="preserve">الشيخ سلامة القضاعي العزامي </w:t>
      </w:r>
      <w:r w:rsidR="000636C2">
        <w:rPr>
          <w:rFonts w:eastAsia="Times New Roman" w:hint="cs"/>
          <w:rtl/>
        </w:rPr>
        <w:t>(</w:t>
      </w:r>
      <w:r>
        <w:rPr>
          <w:rFonts w:eastAsia="Times New Roman" w:hint="cs"/>
          <w:rtl/>
        </w:rPr>
        <w:t>ت ١٣٧٩ هـ</w:t>
      </w:r>
      <w:r w:rsidR="000636C2">
        <w:rPr>
          <w:rFonts w:eastAsia="Times New Roman" w:hint="cs"/>
          <w:rtl/>
        </w:rPr>
        <w:t xml:space="preserve">): </w:t>
      </w:r>
      <w:r>
        <w:rPr>
          <w:rFonts w:eastAsia="Times New Roman" w:hint="cs"/>
          <w:rtl/>
        </w:rPr>
        <w:t>قال</w:t>
      </w:r>
      <w:r w:rsidR="000636C2">
        <w:rPr>
          <w:rFonts w:eastAsia="Times New Roman" w:hint="cs"/>
          <w:rtl/>
        </w:rPr>
        <w:t xml:space="preserve">: </w:t>
      </w:r>
      <w:r>
        <w:rPr>
          <w:rFonts w:eastAsia="Times New Roman" w:hint="cs"/>
          <w:rtl/>
        </w:rPr>
        <w:t>« بدأ ابن تيمية حياته بطلب العلم على ذكاء وتصالح</w:t>
      </w:r>
      <w:r w:rsidR="000636C2">
        <w:rPr>
          <w:rFonts w:eastAsia="Times New Roman" w:hint="cs"/>
          <w:rtl/>
        </w:rPr>
        <w:t>،</w:t>
      </w:r>
      <w:r>
        <w:rPr>
          <w:rFonts w:eastAsia="Times New Roman" w:hint="cs"/>
          <w:rtl/>
        </w:rPr>
        <w:t xml:space="preserve"> ورفق به أكابر العلماء لأنّ اباه كان رجلا هادئاً وكان من بيت علم</w:t>
      </w:r>
      <w:r w:rsidR="000636C2">
        <w:rPr>
          <w:rFonts w:eastAsia="Times New Roman" w:hint="cs"/>
          <w:rtl/>
        </w:rPr>
        <w:t>،</w:t>
      </w:r>
      <w:r>
        <w:rPr>
          <w:rFonts w:eastAsia="Times New Roman" w:hint="cs"/>
          <w:rtl/>
        </w:rPr>
        <w:t xml:space="preserve"> فساندوه وشجعوه وأثنوا عليه خيراً</w:t>
      </w:r>
      <w:r w:rsidR="000636C2">
        <w:rPr>
          <w:rFonts w:eastAsia="Times New Roman" w:hint="cs"/>
          <w:rtl/>
        </w:rPr>
        <w:t>،</w:t>
      </w:r>
      <w:r>
        <w:rPr>
          <w:rFonts w:eastAsia="Times New Roman" w:hint="cs"/>
          <w:rtl/>
        </w:rPr>
        <w:t xml:space="preserve"> حتّى إذا أقبل عليه الناس بدأ يظهر بالبدع</w:t>
      </w:r>
      <w:r w:rsidR="000636C2">
        <w:rPr>
          <w:rFonts w:eastAsia="Times New Roman" w:hint="cs"/>
          <w:rtl/>
        </w:rPr>
        <w:t>،</w:t>
      </w:r>
      <w:r>
        <w:rPr>
          <w:rFonts w:eastAsia="Times New Roman" w:hint="cs"/>
          <w:rtl/>
        </w:rPr>
        <w:t xml:space="preserve"> وأبطرته الغرة</w:t>
      </w:r>
      <w:r w:rsidR="000636C2">
        <w:rPr>
          <w:rFonts w:eastAsia="Times New Roman" w:hint="cs"/>
          <w:rtl/>
        </w:rPr>
        <w:t>،</w:t>
      </w:r>
      <w:r>
        <w:rPr>
          <w:rFonts w:eastAsia="Times New Roman" w:hint="cs"/>
          <w:rtl/>
        </w:rPr>
        <w:t xml:space="preserve"> فتمادى في التعصب لآرائه</w:t>
      </w:r>
      <w:r w:rsidR="000636C2">
        <w:rPr>
          <w:rFonts w:eastAsia="Times New Roman" w:hint="cs"/>
          <w:rtl/>
        </w:rPr>
        <w:t>،</w:t>
      </w:r>
      <w:r>
        <w:rPr>
          <w:rFonts w:eastAsia="Times New Roman" w:hint="cs"/>
          <w:rtl/>
        </w:rPr>
        <w:t xml:space="preserve"> وما زال يتلاعب به الهوى حتّى كان مجموعة بدع شنعاء</w:t>
      </w:r>
      <w:r w:rsidR="000636C2">
        <w:rPr>
          <w:rFonts w:eastAsia="Times New Roman" w:hint="cs"/>
          <w:rtl/>
        </w:rPr>
        <w:t>،</w:t>
      </w:r>
      <w:r>
        <w:rPr>
          <w:rFonts w:eastAsia="Times New Roman" w:hint="cs"/>
          <w:rtl/>
        </w:rPr>
        <w:t xml:space="preserve"> ودائرة جهالات وأباطيل شوهاء</w:t>
      </w:r>
      <w:r w:rsidR="000636C2">
        <w:rPr>
          <w:rFonts w:eastAsia="Times New Roman" w:hint="cs"/>
          <w:rtl/>
        </w:rPr>
        <w:t>،</w:t>
      </w:r>
      <w:r>
        <w:rPr>
          <w:rFonts w:eastAsia="Times New Roman" w:hint="cs"/>
          <w:rtl/>
        </w:rPr>
        <w:t xml:space="preserve"> فتجده في مسائل من علم التوحيد حشوياً كرامياً</w:t>
      </w:r>
      <w:r w:rsidR="000636C2">
        <w:rPr>
          <w:rFonts w:eastAsia="Times New Roman" w:hint="cs"/>
          <w:rtl/>
        </w:rPr>
        <w:t>،</w:t>
      </w:r>
      <w:r>
        <w:rPr>
          <w:rFonts w:eastAsia="Times New Roman" w:hint="cs"/>
          <w:rtl/>
        </w:rPr>
        <w:t xml:space="preserve"> يقول في اللّه بالأجزاء والجهة والمكان</w:t>
      </w:r>
      <w:r w:rsidR="000636C2">
        <w:rPr>
          <w:rFonts w:eastAsia="Times New Roman" w:hint="cs"/>
          <w:rtl/>
        </w:rPr>
        <w:t>،</w:t>
      </w:r>
      <w:r>
        <w:rPr>
          <w:rFonts w:eastAsia="Times New Roman" w:hint="cs"/>
          <w:rtl/>
        </w:rPr>
        <w:t xml:space="preserve"> والنزول والصعود الحسيين</w:t>
      </w:r>
      <w:r w:rsidR="000636C2">
        <w:rPr>
          <w:rFonts w:eastAsia="Times New Roman" w:hint="cs"/>
          <w:rtl/>
        </w:rPr>
        <w:t>،</w:t>
      </w:r>
      <w:r>
        <w:rPr>
          <w:rFonts w:eastAsia="Times New Roman" w:hint="cs"/>
          <w:rtl/>
        </w:rPr>
        <w:t xml:space="preserve"> وحلول الحوادث بذاته تعالى</w:t>
      </w:r>
      <w:r w:rsidR="000636C2">
        <w:rPr>
          <w:rFonts w:eastAsia="Times New Roman" w:hint="cs"/>
          <w:rtl/>
        </w:rPr>
        <w:t>،</w:t>
      </w:r>
      <w:r>
        <w:rPr>
          <w:rFonts w:eastAsia="Times New Roman" w:hint="cs"/>
          <w:rtl/>
        </w:rPr>
        <w:t xml:space="preserve"> ومن ناحية أُخرى تجد فيه حضيضة الخوارج</w:t>
      </w:r>
      <w:r w:rsidR="000636C2">
        <w:rPr>
          <w:rFonts w:eastAsia="Times New Roman" w:hint="cs"/>
          <w:rtl/>
        </w:rPr>
        <w:t>،</w:t>
      </w:r>
      <w:r>
        <w:rPr>
          <w:rFonts w:eastAsia="Times New Roman" w:hint="cs"/>
          <w:rtl/>
        </w:rPr>
        <w:t xml:space="preserve"> يكفّر أكابر الأُمة ويخطئ أعاظم الأئمة وقال</w:t>
      </w:r>
      <w:r w:rsidR="000636C2">
        <w:rPr>
          <w:rFonts w:eastAsia="Times New Roman" w:hint="cs"/>
          <w:rtl/>
        </w:rPr>
        <w:t xml:space="preserve">: </w:t>
      </w:r>
      <w:r>
        <w:rPr>
          <w:rFonts w:eastAsia="Times New Roman" w:hint="cs"/>
          <w:rtl/>
        </w:rPr>
        <w:t>من نذر شيئاً للنبي أو غيره من النبيين والأولياء من أهل القبور</w:t>
      </w:r>
      <w:r w:rsidR="000636C2">
        <w:rPr>
          <w:rFonts w:eastAsia="Times New Roman" w:hint="cs"/>
          <w:rtl/>
        </w:rPr>
        <w:t>،</w:t>
      </w:r>
      <w:r>
        <w:rPr>
          <w:rFonts w:eastAsia="Times New Roman" w:hint="cs"/>
          <w:rtl/>
        </w:rPr>
        <w:t xml:space="preserve"> أو ذبح له ذبيحة كان كالمشركين الذين يذبحون لأوثانهم وينذرون لها</w:t>
      </w:r>
      <w:r w:rsidR="000636C2">
        <w:rPr>
          <w:rFonts w:eastAsia="Times New Roman" w:hint="cs"/>
          <w:rtl/>
        </w:rPr>
        <w:t>،</w:t>
      </w:r>
      <w:r>
        <w:rPr>
          <w:rFonts w:eastAsia="Times New Roman" w:hint="cs"/>
          <w:rtl/>
        </w:rPr>
        <w:t xml:space="preserve"> فهو عابد لغير اللّه فيكون بذلك كافراً</w:t>
      </w:r>
      <w:r w:rsidR="000636C2">
        <w:rPr>
          <w:rFonts w:eastAsia="Times New Roman" w:hint="cs"/>
          <w:rtl/>
        </w:rPr>
        <w:t>،</w:t>
      </w:r>
      <w:r>
        <w:rPr>
          <w:rFonts w:eastAsia="Times New Roman" w:hint="cs"/>
          <w:rtl/>
        </w:rPr>
        <w:t xml:space="preserve"> ويطيل في ذلك الكلام</w:t>
      </w:r>
      <w:r w:rsidR="000636C2">
        <w:rPr>
          <w:rFonts w:eastAsia="Times New Roman" w:hint="cs"/>
          <w:rtl/>
        </w:rPr>
        <w:t>،</w:t>
      </w:r>
      <w:r>
        <w:rPr>
          <w:rFonts w:eastAsia="Times New Roman" w:hint="cs"/>
          <w:rtl/>
        </w:rPr>
        <w:t xml:space="preserve"> واغترّ بكلامه بعض من تأخّر عنه من العلماء ممن ابتلي بصحبته أو صحبة تلاميذه</w:t>
      </w:r>
      <w:r w:rsidR="000636C2">
        <w:rPr>
          <w:rFonts w:eastAsia="Times New Roman" w:hint="cs"/>
          <w:rtl/>
        </w:rPr>
        <w:t>،</w:t>
      </w:r>
      <w:r>
        <w:rPr>
          <w:rFonts w:eastAsia="Times New Roman" w:hint="cs"/>
          <w:rtl/>
        </w:rPr>
        <w:t xml:space="preserve"> وهو منه تلبيس في الدين</w:t>
      </w:r>
      <w:r w:rsidR="000636C2">
        <w:rPr>
          <w:rFonts w:eastAsia="Times New Roman" w:hint="cs"/>
          <w:rtl/>
        </w:rPr>
        <w:t>،</w:t>
      </w:r>
      <w:r>
        <w:rPr>
          <w:rFonts w:eastAsia="Times New Roman" w:hint="cs"/>
          <w:rtl/>
        </w:rPr>
        <w:t xml:space="preserve"> وصرف إلى معنى لا يريده مسلم من المسلمين</w:t>
      </w:r>
      <w:r w:rsidR="000636C2">
        <w:rPr>
          <w:rFonts w:eastAsia="Times New Roman" w:hint="cs"/>
          <w:rtl/>
        </w:rPr>
        <w:t>،</w:t>
      </w:r>
      <w:r>
        <w:rPr>
          <w:rFonts w:eastAsia="Times New Roman" w:hint="cs"/>
          <w:rtl/>
        </w:rPr>
        <w:t xml:space="preserve"> ومن خبر حال من فعل ذلك من المسلمين وجدهم لا يقصدون بذبائحهم ونذورهم للمتقين من الأنبياء والأولياء إلاّ الصدقة عنهم</w:t>
      </w:r>
      <w:r w:rsidR="000636C2">
        <w:rPr>
          <w:rFonts w:eastAsia="Times New Roman" w:hint="cs"/>
          <w:rtl/>
        </w:rPr>
        <w:t>،</w:t>
      </w:r>
      <w:r>
        <w:rPr>
          <w:rFonts w:eastAsia="Times New Roman" w:hint="cs"/>
          <w:rtl/>
        </w:rPr>
        <w:t xml:space="preserve"> وجعل ثوابها إليهم</w:t>
      </w:r>
      <w:r w:rsidR="000636C2">
        <w:rPr>
          <w:rFonts w:eastAsia="Times New Roman" w:hint="cs"/>
          <w:rtl/>
        </w:rPr>
        <w:t>،</w:t>
      </w:r>
      <w:r>
        <w:rPr>
          <w:rFonts w:eastAsia="Times New Roman" w:hint="cs"/>
          <w:rtl/>
        </w:rPr>
        <w:t xml:space="preserve"> وقد علموا أنّ إجماع أهل السنة منعقدة على أنّ صدقة الأحياء نافعة للأموات واصلة إليهم</w:t>
      </w:r>
      <w:r w:rsidR="000636C2">
        <w:rPr>
          <w:rFonts w:eastAsia="Times New Roman" w:hint="cs"/>
          <w:rtl/>
        </w:rPr>
        <w:t>،</w:t>
      </w:r>
      <w:r>
        <w:rPr>
          <w:rFonts w:eastAsia="Times New Roman" w:hint="cs"/>
          <w:rtl/>
        </w:rPr>
        <w:t xml:space="preserve"> ولقد تعدّى هذا الرجل حتّى على الجناب المحمدي فقال</w:t>
      </w:r>
      <w:r w:rsidR="000636C2">
        <w:rPr>
          <w:rFonts w:eastAsia="Times New Roman" w:hint="cs"/>
          <w:rtl/>
        </w:rPr>
        <w:t xml:space="preserve">: </w:t>
      </w:r>
      <w:r>
        <w:rPr>
          <w:rFonts w:eastAsia="Times New Roman" w:hint="cs"/>
          <w:rtl/>
        </w:rPr>
        <w:t>إنّ شد الرحال إلى زيارته معصية</w:t>
      </w:r>
      <w:r w:rsidR="000636C2">
        <w:rPr>
          <w:rFonts w:eastAsia="Times New Roman" w:hint="cs"/>
          <w:rtl/>
        </w:rPr>
        <w:t>،</w:t>
      </w:r>
      <w:r>
        <w:rPr>
          <w:rFonts w:eastAsia="Times New Roman" w:hint="cs"/>
          <w:rtl/>
        </w:rPr>
        <w:t xml:space="preserve"> وإنّ من ناداه مستغيثاً به بعد وفاته فقد أشرك</w:t>
      </w:r>
      <w:r w:rsidR="000636C2">
        <w:rPr>
          <w:rFonts w:eastAsia="Times New Roman" w:hint="cs"/>
          <w:rtl/>
        </w:rPr>
        <w:t>،</w:t>
      </w:r>
      <w:r>
        <w:rPr>
          <w:rFonts w:eastAsia="Times New Roman" w:hint="cs"/>
          <w:rtl/>
        </w:rPr>
        <w:t xml:space="preserve"> فتارة يجعله شركاً أصغر</w:t>
      </w:r>
      <w:r w:rsidR="000636C2">
        <w:rPr>
          <w:rFonts w:eastAsia="Times New Roman" w:hint="cs"/>
          <w:rtl/>
        </w:rPr>
        <w:t>،</w:t>
      </w:r>
      <w:r>
        <w:rPr>
          <w:rFonts w:eastAsia="Times New Roman" w:hint="cs"/>
          <w:rtl/>
        </w:rPr>
        <w:t xml:space="preserve"> وأُخرى يجعله شركاً أكبر</w:t>
      </w:r>
      <w:r w:rsidR="000636C2">
        <w:rPr>
          <w:rFonts w:eastAsia="Times New Roman" w:hint="cs"/>
          <w:rtl/>
        </w:rPr>
        <w:t>،</w:t>
      </w:r>
      <w:r>
        <w:rPr>
          <w:rFonts w:eastAsia="Times New Roman" w:hint="cs"/>
          <w:rtl/>
        </w:rPr>
        <w:t xml:space="preserve"> وإن كان المستغيث ممتلىء القلب بأنّه لا خالق ولا مؤثر إلاّ اللّه</w:t>
      </w:r>
      <w:r w:rsidR="000636C2">
        <w:rPr>
          <w:rFonts w:eastAsia="Times New Roman" w:hint="cs"/>
          <w:rtl/>
        </w:rPr>
        <w:t>،</w:t>
      </w:r>
      <w:r>
        <w:rPr>
          <w:rFonts w:eastAsia="Times New Roman" w:hint="cs"/>
          <w:rtl/>
        </w:rPr>
        <w:t xml:space="preserve"> وأنّ النبي إنّما ترفع إليه الحوائج ويستغاث به</w:t>
      </w:r>
      <w:r w:rsidR="000636C2">
        <w:rPr>
          <w:rFonts w:eastAsia="Times New Roman" w:hint="cs"/>
          <w:rtl/>
        </w:rPr>
        <w:t>،</w:t>
      </w:r>
      <w:r>
        <w:rPr>
          <w:rFonts w:eastAsia="Times New Roman" w:hint="cs"/>
          <w:rtl/>
        </w:rPr>
        <w:t xml:space="preserve"> على أنّ اللّه جعله منبع كل خير</w:t>
      </w:r>
      <w:r w:rsidR="000636C2">
        <w:rPr>
          <w:rFonts w:eastAsia="Times New Roman" w:hint="cs"/>
          <w:rtl/>
        </w:rPr>
        <w:t>،</w:t>
      </w:r>
      <w:r>
        <w:rPr>
          <w:rFonts w:eastAsia="Times New Roman" w:hint="cs"/>
          <w:rtl/>
        </w:rPr>
        <w:t xml:space="preserve"> مقبول الشفاعة</w:t>
      </w:r>
      <w:r w:rsidR="000636C2">
        <w:rPr>
          <w:rFonts w:eastAsia="Times New Roman" w:hint="cs"/>
          <w:rtl/>
        </w:rPr>
        <w:t>،</w:t>
      </w:r>
      <w:r>
        <w:rPr>
          <w:rFonts w:eastAsia="Times New Roman" w:hint="cs"/>
          <w:rtl/>
        </w:rPr>
        <w:t xml:space="preserve"> مستجاب الدعاء كما هي عقيدة جميع المسلمين مهما كانوا من العامة</w:t>
      </w:r>
      <w:r w:rsidR="000636C2">
        <w:rPr>
          <w:rFonts w:eastAsia="Times New Roman" w:hint="cs"/>
          <w:rtl/>
        </w:rPr>
        <w:t>،</w:t>
      </w:r>
      <w:r>
        <w:rPr>
          <w:rFonts w:eastAsia="Times New Roman" w:hint="cs"/>
          <w:rtl/>
        </w:rPr>
        <w:t xml:space="preserve"> وقد أوضح ذلك كل الإيضاح قبلنا أكابر جهابذة العلم لا سيما علَمُ أعلام هذا العصر</w:t>
      </w:r>
      <w:r w:rsidR="000636C2">
        <w:rPr>
          <w:rFonts w:eastAsia="Times New Roman" w:hint="cs"/>
          <w:rtl/>
        </w:rPr>
        <w:t>،</w:t>
      </w:r>
      <w:r>
        <w:rPr>
          <w:rFonts w:eastAsia="Times New Roman" w:hint="cs"/>
          <w:rtl/>
        </w:rPr>
        <w:t xml:space="preserve"> حامل لواء الحكمة الإسلامية</w:t>
      </w:r>
      <w:r w:rsidR="000636C2">
        <w:rPr>
          <w:rFonts w:eastAsia="Times New Roman" w:hint="cs"/>
          <w:rtl/>
        </w:rPr>
        <w:t>،</w:t>
      </w:r>
      <w:r>
        <w:rPr>
          <w:rFonts w:eastAsia="Times New Roman" w:hint="cs"/>
          <w:rtl/>
        </w:rPr>
        <w:t xml:space="preserve"> وأحد جماعة كبار العلماء بحق</w:t>
      </w:r>
      <w:r w:rsidR="000636C2">
        <w:rPr>
          <w:rFonts w:eastAsia="Times New Roman" w:hint="cs"/>
          <w:rtl/>
        </w:rPr>
        <w:t>،</w:t>
      </w:r>
      <w:r>
        <w:rPr>
          <w:rFonts w:eastAsia="Times New Roman" w:hint="cs"/>
          <w:rtl/>
        </w:rPr>
        <w:t xml:space="preserve"> الشيخ يوسف الدجوي</w:t>
      </w:r>
      <w:r w:rsidR="000636C2">
        <w:rPr>
          <w:rFonts w:eastAsia="Times New Roman" w:hint="cs"/>
          <w:rtl/>
        </w:rPr>
        <w:t>،</w:t>
      </w:r>
      <w:r>
        <w:rPr>
          <w:rFonts w:eastAsia="Times New Roman" w:hint="cs"/>
          <w:rtl/>
        </w:rPr>
        <w:t xml:space="preserve"> فيما كتبه في مجلة الأزهر</w:t>
      </w:r>
      <w:r w:rsidR="000636C2">
        <w:rPr>
          <w:rFonts w:eastAsia="Times New Roman" w:hint="cs"/>
          <w:rtl/>
        </w:rPr>
        <w:t>،</w:t>
      </w:r>
      <w:r>
        <w:rPr>
          <w:rFonts w:eastAsia="Times New Roman" w:hint="cs"/>
          <w:rtl/>
        </w:rPr>
        <w:t xml:space="preserve"> وهذه البدعة من مبتكراته قد اغتر بها ناس</w:t>
      </w:r>
      <w:r w:rsidR="000636C2">
        <w:rPr>
          <w:rFonts w:eastAsia="Times New Roman" w:hint="cs"/>
          <w:rtl/>
        </w:rPr>
        <w:t>،</w:t>
      </w:r>
      <w:r>
        <w:rPr>
          <w:rFonts w:eastAsia="Times New Roman" w:hint="cs"/>
          <w:rtl/>
        </w:rPr>
        <w:t xml:space="preserve"> فقالوا بكفر من عداهم من جماهير المسلمين</w:t>
      </w:r>
      <w:r w:rsidR="000636C2">
        <w:rPr>
          <w:rFonts w:eastAsia="Times New Roman" w:hint="cs"/>
          <w:rtl/>
        </w:rPr>
        <w:t>،</w:t>
      </w:r>
      <w:r>
        <w:rPr>
          <w:rFonts w:eastAsia="Times New Roman" w:hint="cs"/>
          <w:rtl/>
        </w:rPr>
        <w:t xml:space="preserve"> وسفكت في ذلك دماء لا تحصى</w:t>
      </w:r>
      <w:r w:rsidR="000636C2">
        <w:rPr>
          <w:rFonts w:eastAsia="Times New Roman" w:hint="cs"/>
          <w:rtl/>
        </w:rPr>
        <w:t>،</w:t>
      </w:r>
      <w:r>
        <w:rPr>
          <w:rFonts w:eastAsia="Times New Roman" w:hint="cs"/>
          <w:rtl/>
        </w:rPr>
        <w:t xml:space="preserve"> وقد أُلفت الكتب الكثيرة في رد هذه البدعة وفروعها</w:t>
      </w:r>
      <w:r w:rsidR="000636C2">
        <w:rPr>
          <w:rFonts w:eastAsia="Times New Roman" w:hint="cs"/>
          <w:rtl/>
        </w:rPr>
        <w:t>،</w:t>
      </w:r>
      <w:r>
        <w:rPr>
          <w:rFonts w:eastAsia="Times New Roman" w:hint="cs"/>
          <w:rtl/>
        </w:rPr>
        <w:t xml:space="preserve"> بين مطوّل قد جوّده صاحبه</w:t>
      </w:r>
      <w:r w:rsidR="000636C2">
        <w:rPr>
          <w:rFonts w:eastAsia="Times New Roman" w:hint="cs"/>
          <w:rtl/>
        </w:rPr>
        <w:t>،</w:t>
      </w:r>
      <w:r>
        <w:rPr>
          <w:rFonts w:eastAsia="Times New Roman" w:hint="cs"/>
          <w:rtl/>
        </w:rPr>
        <w:t xml:space="preserve"> ومختصر أفاده مؤلفه وأجاد</w:t>
      </w:r>
      <w:r w:rsidR="000636C2">
        <w:rPr>
          <w:rFonts w:eastAsia="Times New Roman" w:hint="cs"/>
          <w:rtl/>
        </w:rPr>
        <w:t>،</w:t>
      </w:r>
      <w:r>
        <w:rPr>
          <w:rFonts w:eastAsia="Times New Roman" w:hint="cs"/>
          <w:rtl/>
        </w:rPr>
        <w:t xml:space="preserve"> ومن عجيب أمر هذا </w:t>
      </w:r>
      <w:r>
        <w:rPr>
          <w:rFonts w:eastAsia="Times New Roman" w:hint="cs"/>
          <w:rtl/>
        </w:rPr>
        <w:lastRenderedPageBreak/>
        <w:t>الرجل أنّه إذا ابتدع شيئاً حكى عليه إجماع الأولين والآخرين كذباً وزوراً</w:t>
      </w:r>
      <w:r w:rsidR="000636C2">
        <w:rPr>
          <w:rFonts w:eastAsia="Times New Roman" w:hint="cs"/>
          <w:rtl/>
        </w:rPr>
        <w:t>،</w:t>
      </w:r>
      <w:r>
        <w:rPr>
          <w:rFonts w:eastAsia="Times New Roman" w:hint="cs"/>
          <w:rtl/>
        </w:rPr>
        <w:t xml:space="preserve"> وربما تجد تناقضه في الصفحة الواحدة</w:t>
      </w:r>
      <w:r w:rsidR="000636C2">
        <w:rPr>
          <w:rFonts w:eastAsia="Times New Roman" w:hint="cs"/>
          <w:rtl/>
        </w:rPr>
        <w:t>،</w:t>
      </w:r>
      <w:r>
        <w:rPr>
          <w:rFonts w:eastAsia="Times New Roman" w:hint="cs"/>
          <w:rtl/>
        </w:rPr>
        <w:t xml:space="preserve"> فتجده في منهاجه مثلا يدّعي أنّه ما من حاديث إلاّ وقبله حادث إلى ما لا نهاية له في جانب الماضي</w:t>
      </w:r>
      <w:r w:rsidR="000636C2">
        <w:rPr>
          <w:rFonts w:eastAsia="Times New Roman" w:hint="cs"/>
          <w:rtl/>
        </w:rPr>
        <w:t>،</w:t>
      </w:r>
      <w:r>
        <w:rPr>
          <w:rFonts w:eastAsia="Times New Roman" w:hint="cs"/>
          <w:rtl/>
        </w:rPr>
        <w:t xml:space="preserve"> ثم يقول</w:t>
      </w:r>
      <w:r w:rsidR="000636C2">
        <w:rPr>
          <w:rFonts w:eastAsia="Times New Roman" w:hint="cs"/>
          <w:rtl/>
        </w:rPr>
        <w:t xml:space="preserve">: </w:t>
      </w:r>
      <w:r>
        <w:rPr>
          <w:rFonts w:eastAsia="Times New Roman" w:hint="cs"/>
          <w:rtl/>
        </w:rPr>
        <w:t>وعلى ذلك أجمع الصحابة والتابعون</w:t>
      </w:r>
      <w:r w:rsidR="000636C2">
        <w:rPr>
          <w:rFonts w:eastAsia="Times New Roman" w:hint="cs"/>
          <w:rtl/>
        </w:rPr>
        <w:t xml:space="preserve">، </w:t>
      </w:r>
      <w:r>
        <w:rPr>
          <w:rFonts w:eastAsia="Times New Roman" w:hint="cs"/>
          <w:rtl/>
        </w:rPr>
        <w:t>وبعد قليل يحكي اختلافاً لحق الصحابة في أول مخلوق ما هو</w:t>
      </w:r>
      <w:r w:rsidR="000636C2">
        <w:rPr>
          <w:rFonts w:eastAsia="Times New Roman" w:hint="cs"/>
          <w:rtl/>
        </w:rPr>
        <w:t>؟</w:t>
      </w:r>
      <w:r>
        <w:rPr>
          <w:rFonts w:eastAsia="Times New Roman" w:hint="cs"/>
          <w:rtl/>
        </w:rPr>
        <w:t xml:space="preserve"> أهو القلم أم الماء</w:t>
      </w:r>
      <w:r w:rsidR="000636C2">
        <w:rPr>
          <w:rFonts w:eastAsia="Times New Roman" w:hint="cs"/>
          <w:rtl/>
        </w:rPr>
        <w:t>؟</w:t>
      </w:r>
      <w:r>
        <w:rPr>
          <w:rFonts w:eastAsia="Times New Roman" w:hint="cs"/>
          <w:rtl/>
        </w:rPr>
        <w:t xml:space="preserve"> وبينما تراه يتكلّم بلسان أهل الحق المنزهين</w:t>
      </w:r>
      <w:r w:rsidR="000636C2">
        <w:rPr>
          <w:rFonts w:eastAsia="Times New Roman" w:hint="cs"/>
          <w:rtl/>
        </w:rPr>
        <w:t>،</w:t>
      </w:r>
      <w:r>
        <w:rPr>
          <w:rFonts w:eastAsia="Times New Roman" w:hint="cs"/>
          <w:rtl/>
        </w:rPr>
        <w:t xml:space="preserve"> إذا بك تراه قد انقلب جهوياً </w:t>
      </w:r>
      <w:r w:rsidR="000636C2">
        <w:rPr>
          <w:rFonts w:eastAsia="Times New Roman" w:hint="cs"/>
          <w:vertAlign w:val="superscript"/>
          <w:rtl/>
        </w:rPr>
        <w:t>(</w:t>
      </w:r>
      <w:r>
        <w:rPr>
          <w:rFonts w:eastAsia="Times New Roman" w:hint="cs"/>
          <w:vertAlign w:val="superscript"/>
          <w:rtl/>
        </w:rPr>
        <w:t>١</w:t>
      </w:r>
      <w:r w:rsidR="000636C2">
        <w:rPr>
          <w:rFonts w:eastAsia="Times New Roman" w:hint="cs"/>
          <w:vertAlign w:val="superscript"/>
          <w:rtl/>
        </w:rPr>
        <w:t xml:space="preserve">) </w:t>
      </w:r>
      <w:r>
        <w:rPr>
          <w:rFonts w:eastAsia="Times New Roman" w:hint="cs"/>
          <w:rtl/>
        </w:rPr>
        <w:t>وسمّى كل من لا يقول بذلك معطّلا</w:t>
      </w:r>
      <w:r w:rsidR="000636C2">
        <w:rPr>
          <w:rFonts w:eastAsia="Times New Roman" w:hint="cs"/>
          <w:rtl/>
        </w:rPr>
        <w:t>،</w:t>
      </w:r>
      <w:r>
        <w:rPr>
          <w:rFonts w:eastAsia="Times New Roman" w:hint="cs"/>
          <w:rtl/>
        </w:rPr>
        <w:t xml:space="preserve"> وزنديقاً</w:t>
      </w:r>
      <w:r w:rsidR="000636C2">
        <w:rPr>
          <w:rFonts w:eastAsia="Times New Roman" w:hint="cs"/>
          <w:rtl/>
        </w:rPr>
        <w:t>،</w:t>
      </w:r>
      <w:r>
        <w:rPr>
          <w:rFonts w:eastAsia="Times New Roman" w:hint="cs"/>
          <w:rtl/>
        </w:rPr>
        <w:t xml:space="preserve"> وكافراً</w:t>
      </w:r>
      <w:r w:rsidR="000636C2">
        <w:rPr>
          <w:rFonts w:eastAsia="Times New Roman" w:hint="cs"/>
          <w:rtl/>
        </w:rPr>
        <w:t>،</w:t>
      </w:r>
      <w:r>
        <w:rPr>
          <w:rFonts w:eastAsia="Times New Roman" w:hint="cs"/>
          <w:rtl/>
        </w:rPr>
        <w:t xml:space="preserve"> وقد جمع تلميذه « ابن زفيل » سفاهاته ووساوسه في علم أصول الدين</w:t>
      </w:r>
      <w:r w:rsidR="000636C2">
        <w:rPr>
          <w:rFonts w:eastAsia="Times New Roman" w:hint="cs"/>
          <w:rtl/>
        </w:rPr>
        <w:t>،</w:t>
      </w:r>
      <w:r>
        <w:rPr>
          <w:rFonts w:eastAsia="Times New Roman" w:hint="cs"/>
          <w:rtl/>
        </w:rPr>
        <w:t xml:space="preserve"> في قصيدته النونية</w:t>
      </w:r>
      <w:r w:rsidR="000636C2">
        <w:rPr>
          <w:rFonts w:eastAsia="Times New Roman" w:hint="cs"/>
          <w:rtl/>
        </w:rPr>
        <w:t>،</w:t>
      </w:r>
      <w:r>
        <w:rPr>
          <w:rFonts w:eastAsia="Times New Roman" w:hint="cs"/>
          <w:rtl/>
        </w:rPr>
        <w:t xml:space="preserve"> وبينما تراه يسب جهماً والجهمية</w:t>
      </w:r>
      <w:r w:rsidR="000636C2">
        <w:rPr>
          <w:rFonts w:eastAsia="Times New Roman" w:hint="cs"/>
          <w:rtl/>
        </w:rPr>
        <w:t>،</w:t>
      </w:r>
      <w:r>
        <w:rPr>
          <w:rFonts w:eastAsia="Times New Roman" w:hint="cs"/>
          <w:rtl/>
        </w:rPr>
        <w:t xml:space="preserve"> إذا بك تراه يأخذ بقوله في أنّ النار تفنى</w:t>
      </w:r>
      <w:r w:rsidR="000636C2">
        <w:rPr>
          <w:rFonts w:eastAsia="Times New Roman" w:hint="cs"/>
          <w:rtl/>
        </w:rPr>
        <w:t>،</w:t>
      </w:r>
      <w:r>
        <w:rPr>
          <w:rFonts w:eastAsia="Times New Roman" w:hint="cs"/>
          <w:rtl/>
        </w:rPr>
        <w:t xml:space="preserve"> وأن أهلها ليسوا خالدين فيها أبداً ـ إلى أن قال ـ</w:t>
      </w:r>
      <w:r w:rsidR="000636C2">
        <w:rPr>
          <w:rFonts w:eastAsia="Times New Roman" w:hint="cs"/>
          <w:rtl/>
        </w:rPr>
        <w:t xml:space="preserve">: </w:t>
      </w:r>
      <w:r>
        <w:rPr>
          <w:rFonts w:eastAsia="Times New Roman" w:hint="cs"/>
          <w:rtl/>
        </w:rPr>
        <w:t>وليس من غرضنا بسط الكلام في بدع هذا الرجل</w:t>
      </w:r>
      <w:r w:rsidR="000636C2">
        <w:rPr>
          <w:rFonts w:eastAsia="Times New Roman" w:hint="cs"/>
          <w:rtl/>
        </w:rPr>
        <w:t>،</w:t>
      </w:r>
      <w:r>
        <w:rPr>
          <w:rFonts w:eastAsia="Times New Roman" w:hint="cs"/>
          <w:rtl/>
        </w:rPr>
        <w:t xml:space="preserve"> فقد كفانا العلماء ـ شكر اللّه سعيهم ـ من عصره إلى هذا العهد</w:t>
      </w:r>
      <w:r w:rsidR="000636C2">
        <w:rPr>
          <w:rFonts w:eastAsia="Times New Roman" w:hint="cs"/>
          <w:rtl/>
        </w:rPr>
        <w:t>،</w:t>
      </w:r>
      <w:r>
        <w:rPr>
          <w:rFonts w:eastAsia="Times New Roman" w:hint="cs"/>
          <w:rtl/>
        </w:rPr>
        <w:t xml:space="preserve"> المؤنة بالتصانيف الممتعة في الرد عليها</w:t>
      </w:r>
      <w:r w:rsidR="000636C2">
        <w:rPr>
          <w:rFonts w:eastAsia="Times New Roman" w:hint="cs"/>
          <w:rtl/>
        </w:rPr>
        <w:t>،</w:t>
      </w:r>
      <w:r>
        <w:rPr>
          <w:rFonts w:eastAsia="Times New Roman" w:hint="cs"/>
          <w:rtl/>
        </w:rPr>
        <w:t xml:space="preserve"> ولكن رفع الجهل رأسه في عصرنا هذا</w:t>
      </w:r>
      <w:r w:rsidR="000636C2">
        <w:rPr>
          <w:rFonts w:eastAsia="Times New Roman" w:hint="cs"/>
          <w:rtl/>
        </w:rPr>
        <w:t>،</w:t>
      </w:r>
      <w:r>
        <w:rPr>
          <w:rFonts w:eastAsia="Times New Roman" w:hint="cs"/>
          <w:rtl/>
        </w:rPr>
        <w:t xml:space="preserve"> وانتدب ناس من شيعته لطبع الكثير من كتبه وكتب تلميذه ابن زفيل</w:t>
      </w:r>
      <w:r w:rsidR="000636C2">
        <w:rPr>
          <w:rFonts w:eastAsia="Times New Roman" w:hint="cs"/>
          <w:rtl/>
        </w:rPr>
        <w:t>،</w:t>
      </w:r>
      <w:r>
        <w:rPr>
          <w:rFonts w:eastAsia="Times New Roman" w:hint="cs"/>
          <w:rtl/>
        </w:rPr>
        <w:t xml:space="preserve"> ففضحوا الرجل وشهّروا به عند المحققين من أهل الفقه في الدين</w:t>
      </w:r>
      <w:r w:rsidR="000636C2">
        <w:rPr>
          <w:rFonts w:eastAsia="Times New Roman" w:hint="cs"/>
          <w:rtl/>
        </w:rPr>
        <w:t>،</w:t>
      </w:r>
      <w:r>
        <w:rPr>
          <w:rFonts w:eastAsia="Times New Roman" w:hint="cs"/>
          <w:rtl/>
        </w:rPr>
        <w:t xml:space="preserve"> وتبينت صحة نسبة ما كان يتورع العلماء عن نسبته إليه</w:t>
      </w:r>
      <w:r w:rsidR="000636C2">
        <w:rPr>
          <w:rFonts w:eastAsia="Times New Roman" w:hint="cs"/>
          <w:rtl/>
        </w:rPr>
        <w:t>،</w:t>
      </w:r>
      <w:r>
        <w:rPr>
          <w:rFonts w:eastAsia="Times New Roman" w:hint="cs"/>
          <w:rtl/>
        </w:rPr>
        <w:t xml:space="preserve"> وإنّ نصيحتي الّتي أسديها لكن مسلم نصيحة للّه ولرسوله ولكتابه وأئمة المسلمين وعامتهم</w:t>
      </w:r>
      <w:r w:rsidR="000636C2">
        <w:rPr>
          <w:rFonts w:eastAsia="Times New Roman" w:hint="cs"/>
          <w:rtl/>
        </w:rPr>
        <w:t>،</w:t>
      </w:r>
      <w:r>
        <w:rPr>
          <w:rFonts w:eastAsia="Times New Roman" w:hint="cs"/>
          <w:rtl/>
        </w:rPr>
        <w:t xml:space="preserve"> هي لزوم جماعة المسلمين في أُصول الدين وفروعه</w:t>
      </w:r>
      <w:r w:rsidR="000636C2">
        <w:rPr>
          <w:rFonts w:eastAsia="Times New Roman" w:hint="cs"/>
          <w:rtl/>
        </w:rPr>
        <w:t>،</w:t>
      </w:r>
      <w:r>
        <w:rPr>
          <w:rFonts w:eastAsia="Times New Roman" w:hint="cs"/>
          <w:rtl/>
        </w:rPr>
        <w:t xml:space="preserve"> ولولا أنّي اشفق على القارىء أن يملّ لتحدّثت إليه طويلا فيما أصاب الإسلام والمسلمين من عظائم هذا الرجل</w:t>
      </w:r>
      <w:r w:rsidR="000636C2">
        <w:rPr>
          <w:rFonts w:eastAsia="Times New Roman" w:hint="cs"/>
          <w:rtl/>
        </w:rPr>
        <w:t>،</w:t>
      </w:r>
      <w:r>
        <w:rPr>
          <w:rFonts w:eastAsia="Times New Roman" w:hint="cs"/>
          <w:rtl/>
        </w:rPr>
        <w:t xml:space="preserve"> ولبسطت له ما قال أكابر العلماء فيه وفي شيعته</w:t>
      </w:r>
      <w:r w:rsidR="000636C2">
        <w:rPr>
          <w:rFonts w:eastAsia="Times New Roman" w:hint="cs"/>
          <w:rtl/>
        </w:rPr>
        <w:t>،</w:t>
      </w:r>
      <w:r>
        <w:rPr>
          <w:rFonts w:eastAsia="Times New Roman" w:hint="cs"/>
          <w:rtl/>
        </w:rPr>
        <w:t xml:space="preserve"> ولكنّي أرجو أن يكون ما قدّمته كافياً لذوي النهى " أهـ </w:t>
      </w:r>
      <w:r w:rsidR="000636C2">
        <w:rPr>
          <w:rFonts w:eastAsia="Times New Roman" w:hint="cs"/>
          <w:rtl/>
        </w:rPr>
        <w:t>[</w:t>
      </w:r>
      <w:r>
        <w:rPr>
          <w:rFonts w:eastAsia="Times New Roman" w:hint="cs"/>
          <w:rtl/>
        </w:rPr>
        <w:t>فرقان القرآن ص ١٣٢ ـ ١٣٧</w:t>
      </w:r>
      <w:r w:rsidR="000636C2">
        <w:rPr>
          <w:rFonts w:eastAsia="Times New Roman" w:hint="cs"/>
          <w:rtl/>
        </w:rPr>
        <w:t>]،</w:t>
      </w:r>
    </w:p>
    <w:p w14:paraId="2618FFF3" w14:textId="60F3960E" w:rsidR="009C32A0" w:rsidRDefault="000636C2" w:rsidP="000636C2">
      <w:pPr>
        <w:ind w:left="-58"/>
        <w:rPr>
          <w:b/>
          <w:rtl/>
        </w:rPr>
      </w:pPr>
      <w:r>
        <w:rPr>
          <w:rFonts w:cs="Monotype Koufi" w:hint="cs"/>
          <w:rtl/>
        </w:rPr>
        <w:t>(</w:t>
      </w:r>
      <w:r w:rsidR="009C32A0">
        <w:rPr>
          <w:rFonts w:cs="Monotype Koufi" w:hint="cs"/>
          <w:rtl/>
        </w:rPr>
        <w:t>ثانياً</w:t>
      </w:r>
      <w:r>
        <w:rPr>
          <w:rFonts w:cs="Monotype Koufi" w:hint="cs"/>
          <w:rtl/>
        </w:rPr>
        <w:t xml:space="preserve">): </w:t>
      </w:r>
      <w:r w:rsidR="009C32A0">
        <w:rPr>
          <w:rFonts w:cs="Monotype Koufi" w:hint="cs"/>
          <w:rtl/>
        </w:rPr>
        <w:t>حال ابن القيم وما تسرب إليه من مفردات الحشو بسبب صعوبة هضم علم التقديس</w:t>
      </w:r>
      <w:r>
        <w:rPr>
          <w:rFonts w:cs="Monotype Koufi" w:hint="cs"/>
          <w:rtl/>
        </w:rPr>
        <w:t>:</w:t>
      </w:r>
      <w:r w:rsidR="009C32A0">
        <w:rPr>
          <w:rFonts w:eastAsia="Times New Roman" w:hint="cs"/>
          <w:bCs/>
          <w:rtl/>
        </w:rPr>
        <w:t xml:space="preserve"> </w:t>
      </w:r>
      <w:r w:rsidR="009C32A0">
        <w:rPr>
          <w:rFonts w:eastAsia="Times New Roman" w:hint="cs"/>
          <w:rtl/>
        </w:rPr>
        <w:t>قال الشيخ زاهد الكوثري - في مقدمته على السيف الصقيل -</w:t>
      </w:r>
      <w:r>
        <w:rPr>
          <w:rFonts w:eastAsia="Times New Roman" w:hint="cs"/>
          <w:rtl/>
        </w:rPr>
        <w:t xml:space="preserve">: </w:t>
      </w:r>
      <w:r w:rsidR="009C32A0">
        <w:rPr>
          <w:rFonts w:eastAsia="Times New Roman" w:hint="cs"/>
          <w:rtl/>
        </w:rPr>
        <w:t>"</w:t>
      </w:r>
      <w:r>
        <w:rPr>
          <w:rFonts w:eastAsia="Times New Roman" w:hint="cs"/>
          <w:rtl/>
        </w:rPr>
        <w:t xml:space="preserve"> </w:t>
      </w:r>
      <w:r w:rsidR="009C32A0">
        <w:rPr>
          <w:rFonts w:eastAsia="Times New Roman" w:hint="cs"/>
          <w:rtl/>
        </w:rPr>
        <w:t>وكان ابن زفيل الزرعي المعروف بابن القيم يسايره في شواذه حياً وميتاً</w:t>
      </w:r>
      <w:r>
        <w:rPr>
          <w:rFonts w:eastAsia="Times New Roman" w:hint="cs"/>
          <w:rtl/>
        </w:rPr>
        <w:t>،</w:t>
      </w:r>
      <w:r w:rsidR="009C32A0">
        <w:rPr>
          <w:rFonts w:eastAsia="Times New Roman" w:hint="cs"/>
          <w:rtl/>
        </w:rPr>
        <w:t xml:space="preserve"> ويقلده فيها تقليداً أعمى في الحق والباطل</w:t>
      </w:r>
      <w:r>
        <w:rPr>
          <w:rFonts w:eastAsia="Times New Roman" w:hint="cs"/>
          <w:rtl/>
        </w:rPr>
        <w:t>،</w:t>
      </w:r>
      <w:r w:rsidR="009C32A0">
        <w:rPr>
          <w:rFonts w:eastAsia="Times New Roman" w:hint="cs"/>
          <w:rtl/>
        </w:rPr>
        <w:t xml:space="preserve"> وإن كان يتظاهر بمظهر الاستدلال</w:t>
      </w:r>
      <w:r>
        <w:rPr>
          <w:rFonts w:eastAsia="Times New Roman" w:hint="cs"/>
          <w:rtl/>
        </w:rPr>
        <w:t>،</w:t>
      </w:r>
      <w:r w:rsidR="009C32A0">
        <w:rPr>
          <w:rFonts w:eastAsia="Times New Roman" w:hint="cs"/>
          <w:rtl/>
        </w:rPr>
        <w:t xml:space="preserve"> لكن لم يكن استدلاله المصطنع سوى ترديد منه لتشغيب قدوته</w:t>
      </w:r>
      <w:r>
        <w:rPr>
          <w:rFonts w:eastAsia="Times New Roman" w:hint="cs"/>
          <w:rtl/>
        </w:rPr>
        <w:t>،</w:t>
      </w:r>
      <w:r w:rsidR="009C32A0">
        <w:rPr>
          <w:rFonts w:eastAsia="Times New Roman" w:hint="cs"/>
          <w:rtl/>
        </w:rPr>
        <w:t xml:space="preserve"> دائباً على إذاعة شواذ شيخه</w:t>
      </w:r>
      <w:r>
        <w:rPr>
          <w:rFonts w:eastAsia="Times New Roman" w:hint="cs"/>
          <w:rtl/>
        </w:rPr>
        <w:t>،</w:t>
      </w:r>
      <w:r w:rsidR="009C32A0">
        <w:rPr>
          <w:rFonts w:eastAsia="Times New Roman" w:hint="cs"/>
          <w:rtl/>
        </w:rPr>
        <w:t xml:space="preserve"> متوخياً ـ في غالب مؤلفاته ـ تلطيف لهجة أُستاذه في تلك الشواذ لتنطلي وتنفق على الضعفاء</w:t>
      </w:r>
      <w:r>
        <w:rPr>
          <w:rFonts w:eastAsia="Times New Roman" w:hint="cs"/>
          <w:rtl/>
        </w:rPr>
        <w:t>،</w:t>
      </w:r>
      <w:r w:rsidR="009C32A0">
        <w:rPr>
          <w:rFonts w:eastAsia="Times New Roman" w:hint="cs"/>
          <w:rtl/>
        </w:rPr>
        <w:t xml:space="preserve"> وعمله كله التلبيس والمخادعة والنضال عن تلك الأهواء المخزية</w:t>
      </w:r>
      <w:r>
        <w:rPr>
          <w:rFonts w:eastAsia="Times New Roman" w:hint="cs"/>
          <w:rtl/>
        </w:rPr>
        <w:t>،</w:t>
      </w:r>
      <w:r w:rsidR="009C32A0">
        <w:rPr>
          <w:rFonts w:eastAsia="Times New Roman" w:hint="cs"/>
          <w:rtl/>
        </w:rPr>
        <w:t xml:space="preserve"> حتى أفنى عمره بالدندنة حول مفردات الشيخ الحراني</w:t>
      </w:r>
      <w:r>
        <w:rPr>
          <w:rFonts w:eastAsia="Times New Roman" w:hint="cs"/>
          <w:rtl/>
        </w:rPr>
        <w:t>،</w:t>
      </w:r>
      <w:r w:rsidR="009C32A0">
        <w:rPr>
          <w:rFonts w:eastAsia="Times New Roman" w:hint="cs"/>
          <w:rtl/>
        </w:rPr>
        <w:t xml:space="preserve"> تراه يثرثر في كل واد ويخطب بكل ناد</w:t>
      </w:r>
      <w:r>
        <w:rPr>
          <w:rFonts w:eastAsia="Times New Roman" w:hint="cs"/>
          <w:rtl/>
        </w:rPr>
        <w:t>،</w:t>
      </w:r>
      <w:r w:rsidR="009C32A0">
        <w:rPr>
          <w:rFonts w:eastAsia="Times New Roman" w:hint="cs"/>
          <w:rtl/>
        </w:rPr>
        <w:t xml:space="preserve"> بكلام لا محصل له عند أهل التحصيل</w:t>
      </w:r>
      <w:r>
        <w:rPr>
          <w:rFonts w:eastAsia="Times New Roman" w:hint="cs"/>
          <w:rtl/>
        </w:rPr>
        <w:t>،</w:t>
      </w:r>
      <w:r w:rsidR="009C32A0">
        <w:rPr>
          <w:rFonts w:eastAsia="Times New Roman" w:hint="cs"/>
          <w:rtl/>
        </w:rPr>
        <w:t xml:space="preserve"> ولم يكن له حظ من المعقول</w:t>
      </w:r>
      <w:r>
        <w:rPr>
          <w:rFonts w:eastAsia="Times New Roman" w:hint="cs"/>
          <w:rtl/>
        </w:rPr>
        <w:t>،</w:t>
      </w:r>
      <w:r w:rsidR="009C32A0">
        <w:rPr>
          <w:rFonts w:eastAsia="Times New Roman" w:hint="cs"/>
          <w:rtl/>
        </w:rPr>
        <w:t xml:space="preserve"> وإن كان كثير السرد لآراء أهل النظر</w:t>
      </w:r>
      <w:r>
        <w:rPr>
          <w:rFonts w:eastAsia="Times New Roman" w:hint="cs"/>
          <w:rtl/>
        </w:rPr>
        <w:t>،</w:t>
      </w:r>
      <w:r w:rsidR="009C32A0">
        <w:rPr>
          <w:rFonts w:eastAsia="Times New Roman" w:hint="cs"/>
          <w:rtl/>
        </w:rPr>
        <w:t xml:space="preserve"> ويظهر مبلغ تهافته لمن طالع شفاء العليل له بتبصّر</w:t>
      </w:r>
      <w:r>
        <w:rPr>
          <w:rFonts w:eastAsia="Times New Roman" w:hint="cs"/>
          <w:rtl/>
        </w:rPr>
        <w:t>،</w:t>
      </w:r>
      <w:r w:rsidR="009C32A0">
        <w:rPr>
          <w:rFonts w:eastAsia="Times New Roman" w:hint="cs"/>
          <w:rtl/>
        </w:rPr>
        <w:t xml:space="preserve"> ونونيته وعزَوْه من الدلائل على أنّه لم يكن ممن له علم بالرجال ولا بنقد الحديث</w:t>
      </w:r>
      <w:r>
        <w:rPr>
          <w:rFonts w:eastAsia="Times New Roman" w:hint="cs"/>
          <w:rtl/>
        </w:rPr>
        <w:t>،</w:t>
      </w:r>
      <w:r w:rsidR="009C32A0">
        <w:rPr>
          <w:rFonts w:eastAsia="Times New Roman" w:hint="cs"/>
          <w:rtl/>
        </w:rPr>
        <w:t xml:space="preserve"> حيث أثنى فيهما على أُناس هلكى</w:t>
      </w:r>
      <w:r>
        <w:rPr>
          <w:rFonts w:eastAsia="Times New Roman" w:hint="cs"/>
          <w:rtl/>
        </w:rPr>
        <w:t>،</w:t>
      </w:r>
      <w:r w:rsidR="009C32A0">
        <w:rPr>
          <w:rFonts w:eastAsia="Times New Roman" w:hint="cs"/>
          <w:rtl/>
        </w:rPr>
        <w:t xml:space="preserve"> واستدل فيهما بأخبار غير صحيحة على صفات اللّه </w:t>
      </w:r>
      <w:r w:rsidR="009C32A0">
        <w:rPr>
          <w:rFonts w:eastAsia="Times New Roman" w:hint="cs"/>
          <w:rtl/>
        </w:rPr>
        <w:lastRenderedPageBreak/>
        <w:t>سبحانه</w:t>
      </w:r>
      <w:r>
        <w:rPr>
          <w:rFonts w:eastAsia="Times New Roman" w:hint="cs"/>
          <w:rtl/>
        </w:rPr>
        <w:t>،</w:t>
      </w:r>
      <w:r w:rsidR="009C32A0">
        <w:rPr>
          <w:rFonts w:eastAsia="Times New Roman" w:hint="cs"/>
          <w:rtl/>
        </w:rPr>
        <w:t xml:space="preserve"> وقد ذكره الذهبي في المعجم المختص بما فيه عبرة</w:t>
      </w:r>
      <w:r>
        <w:rPr>
          <w:rFonts w:eastAsia="Times New Roman" w:hint="cs"/>
          <w:rtl/>
        </w:rPr>
        <w:t>،</w:t>
      </w:r>
      <w:r w:rsidR="009C32A0">
        <w:rPr>
          <w:rFonts w:eastAsia="Times New Roman" w:hint="cs"/>
          <w:rtl/>
        </w:rPr>
        <w:t xml:space="preserve"> ولم يترجم له الحسيني</w:t>
      </w:r>
      <w:r>
        <w:rPr>
          <w:rFonts w:eastAsia="Times New Roman" w:hint="cs"/>
          <w:rtl/>
        </w:rPr>
        <w:t>،</w:t>
      </w:r>
      <w:r w:rsidR="009C32A0">
        <w:rPr>
          <w:rFonts w:eastAsia="Times New Roman" w:hint="cs"/>
          <w:rtl/>
        </w:rPr>
        <w:t xml:space="preserve"> ولا ابن فهد ولا السيوطي في عداد الحفاظ في ذيولهم على طبقات الحفاظ</w:t>
      </w:r>
      <w:r>
        <w:rPr>
          <w:rFonts w:eastAsia="Times New Roman" w:hint="cs"/>
          <w:rtl/>
        </w:rPr>
        <w:t>،</w:t>
      </w:r>
      <w:r w:rsidR="009C32A0">
        <w:rPr>
          <w:rFonts w:eastAsia="Times New Roman" w:hint="cs"/>
          <w:rtl/>
        </w:rPr>
        <w:t xml:space="preserve"> وما يقع من القارئ بموقع الأعجاب من أبحاثه الحديثية في زاد المعاد وغيره</w:t>
      </w:r>
      <w:r>
        <w:rPr>
          <w:rFonts w:eastAsia="Times New Roman" w:hint="cs"/>
          <w:rtl/>
        </w:rPr>
        <w:t>،</w:t>
      </w:r>
      <w:r w:rsidR="009C32A0">
        <w:rPr>
          <w:rFonts w:eastAsia="Times New Roman" w:hint="cs"/>
          <w:rtl/>
        </w:rPr>
        <w:t xml:space="preserve"> فمختزل مأخوذ مما عنده عن كتب قيّمة لأهل العلم بالحديث</w:t>
      </w:r>
      <w:r>
        <w:rPr>
          <w:rFonts w:eastAsia="Times New Roman" w:hint="cs"/>
          <w:rtl/>
        </w:rPr>
        <w:t>،</w:t>
      </w:r>
      <w:r w:rsidR="009C32A0">
        <w:rPr>
          <w:rFonts w:eastAsia="Times New Roman" w:hint="cs"/>
          <w:rtl/>
        </w:rPr>
        <w:t xml:space="preserve"> كـ « المورد الهني في شرح سير عبدالغني » للقطب الحلبي ونحوه</w:t>
      </w:r>
      <w:r>
        <w:rPr>
          <w:rFonts w:eastAsia="Times New Roman" w:hint="cs"/>
          <w:rtl/>
        </w:rPr>
        <w:t>،</w:t>
      </w:r>
      <w:r w:rsidR="009C32A0">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Pr>
          <w:rFonts w:eastAsia="Times New Roman" w:hint="cs"/>
          <w:rtl/>
        </w:rPr>
        <w:t>،</w:t>
      </w:r>
      <w:r w:rsidR="009C32A0">
        <w:rPr>
          <w:rFonts w:eastAsia="Times New Roman" w:hint="cs"/>
          <w:rtl/>
        </w:rPr>
        <w:t xml:space="preserve"> وكم استتيب وعذر مع شيخه وبعده على مخاز في الاعتقاد والعمل</w:t>
      </w:r>
      <w:r>
        <w:rPr>
          <w:rFonts w:eastAsia="Times New Roman" w:hint="cs"/>
          <w:rtl/>
        </w:rPr>
        <w:t>،</w:t>
      </w:r>
      <w:r w:rsidR="009C32A0">
        <w:rPr>
          <w:rFonts w:eastAsia="Times New Roman" w:hint="cs"/>
          <w:rtl/>
        </w:rPr>
        <w:t xml:space="preserve"> تستبين منها ما ينطوي عليه من المضي على صنوف الزيغ تقليداً لشيخه الزائغ</w:t>
      </w:r>
      <w:r>
        <w:rPr>
          <w:rFonts w:eastAsia="Times New Roman" w:hint="cs"/>
          <w:rtl/>
        </w:rPr>
        <w:t>،</w:t>
      </w:r>
      <w:r w:rsidR="009C32A0">
        <w:rPr>
          <w:rFonts w:eastAsia="Times New Roman" w:hint="cs"/>
          <w:rtl/>
        </w:rPr>
        <w:t xml:space="preserve"> وسيلقى جزاء عمله هذا في الآخرة ـ إن لم يكن ختم له بالتوبة والأمانة ـ كما لقي بعض ذلك في الدنيا</w:t>
      </w:r>
      <w:r>
        <w:rPr>
          <w:rFonts w:eastAsia="Times New Roman" w:hint="cs"/>
          <w:rtl/>
        </w:rPr>
        <w:t>،</w:t>
      </w:r>
      <w:r w:rsidR="009C32A0">
        <w:rPr>
          <w:rFonts w:eastAsia="Times New Roman" w:hint="cs"/>
          <w:rtl/>
        </w:rPr>
        <w:t xml:space="preserve"> وقال الذهبي في المعجم المختص عن ابن القيم هذا</w:t>
      </w:r>
      <w:r>
        <w:rPr>
          <w:rFonts w:eastAsia="Times New Roman" w:hint="cs"/>
          <w:rtl/>
        </w:rPr>
        <w:t xml:space="preserve">: </w:t>
      </w:r>
      <w:r w:rsidR="009C32A0">
        <w:rPr>
          <w:rFonts w:eastAsia="Times New Roman" w:hint="cs"/>
          <w:rtl/>
        </w:rPr>
        <w:t>« عني بالحديث بمتونه وبعض رجاله وكان يشتغل في الفقه ويجيد تقريره</w:t>
      </w:r>
      <w:r>
        <w:rPr>
          <w:rFonts w:eastAsia="Times New Roman" w:hint="cs"/>
          <w:rtl/>
        </w:rPr>
        <w:t>،</w:t>
      </w:r>
      <w:r w:rsidR="009C32A0">
        <w:rPr>
          <w:rFonts w:eastAsia="Times New Roman" w:hint="cs"/>
          <w:rtl/>
        </w:rPr>
        <w:t xml:space="preserve"> وفي النحو ويدريه</w:t>
      </w:r>
      <w:r>
        <w:rPr>
          <w:rFonts w:eastAsia="Times New Roman" w:hint="cs"/>
          <w:rtl/>
        </w:rPr>
        <w:t>،</w:t>
      </w:r>
      <w:r w:rsidR="009C32A0">
        <w:rPr>
          <w:rFonts w:eastAsia="Times New Roman" w:hint="cs"/>
          <w:rtl/>
        </w:rPr>
        <w:t xml:space="preserve"> وفي الأصلين</w:t>
      </w:r>
      <w:r>
        <w:rPr>
          <w:rFonts w:eastAsia="Times New Roman" w:hint="cs"/>
          <w:rtl/>
        </w:rPr>
        <w:t xml:space="preserve">، </w:t>
      </w:r>
      <w:r w:rsidR="009C32A0">
        <w:rPr>
          <w:rFonts w:eastAsia="Times New Roman" w:hint="cs"/>
          <w:rtl/>
        </w:rPr>
        <w:t xml:space="preserve">وقد حبس مدة لإنكاره على شد الرحل لزيارة قبر الخليل </w:t>
      </w:r>
      <w:r>
        <w:rPr>
          <w:rFonts w:eastAsia="Times New Roman" w:hint="cs"/>
          <w:rtl/>
        </w:rPr>
        <w:t>(</w:t>
      </w:r>
      <w:r w:rsidR="009C32A0">
        <w:rPr>
          <w:rFonts w:eastAsia="Times New Roman" w:hint="cs"/>
          <w:rtl/>
        </w:rPr>
        <w:t>إبراهيم عليه‌ السلام</w:t>
      </w:r>
      <w:r>
        <w:rPr>
          <w:rFonts w:eastAsia="Times New Roman" w:hint="cs"/>
          <w:rtl/>
        </w:rPr>
        <w:t xml:space="preserve">) </w:t>
      </w:r>
      <w:r w:rsidR="009C32A0">
        <w:rPr>
          <w:rFonts w:eastAsia="Times New Roman" w:hint="cs"/>
          <w:rtl/>
        </w:rPr>
        <w:t>ثم تصدر للاشتغال ونشر العلم</w:t>
      </w:r>
      <w:r>
        <w:rPr>
          <w:rFonts w:eastAsia="Times New Roman" w:hint="cs"/>
          <w:rtl/>
        </w:rPr>
        <w:t>،</w:t>
      </w:r>
      <w:r w:rsidR="009C32A0">
        <w:rPr>
          <w:rFonts w:eastAsia="Times New Roman" w:hint="cs"/>
          <w:rtl/>
        </w:rPr>
        <w:t xml:space="preserve"> لكنّه معجب برأيه جريء على الأُمور</w:t>
      </w:r>
      <w:r>
        <w:rPr>
          <w:rFonts w:eastAsia="Times New Roman" w:hint="cs"/>
          <w:rtl/>
        </w:rPr>
        <w:t>،</w:t>
      </w:r>
      <w:r w:rsidR="009C32A0">
        <w:rPr>
          <w:rFonts w:eastAsia="Times New Roman" w:hint="cs"/>
          <w:rtl/>
        </w:rPr>
        <w:t xml:space="preserve"> وقال ابن حجر في الدرر الكامنة</w:t>
      </w:r>
      <w:r>
        <w:rPr>
          <w:rFonts w:eastAsia="Times New Roman" w:hint="cs"/>
          <w:rtl/>
        </w:rPr>
        <w:t xml:space="preserve">: </w:t>
      </w:r>
      <w:r w:rsidR="009C32A0">
        <w:rPr>
          <w:rFonts w:eastAsia="Times New Roman" w:hint="cs"/>
          <w:rtl/>
        </w:rPr>
        <w:t>« غلب عليه حب ابن تيمية حتّى كان لا يخرج عن شيء من أقواله</w:t>
      </w:r>
      <w:r>
        <w:rPr>
          <w:rFonts w:eastAsia="Times New Roman" w:hint="cs"/>
          <w:rtl/>
        </w:rPr>
        <w:t>،</w:t>
      </w:r>
      <w:r w:rsidR="009C32A0">
        <w:rPr>
          <w:rFonts w:eastAsia="Times New Roman" w:hint="cs"/>
          <w:rtl/>
        </w:rPr>
        <w:t xml:space="preserve"> بل ينتصر له في جميع ذلك</w:t>
      </w:r>
      <w:r>
        <w:rPr>
          <w:rFonts w:eastAsia="Times New Roman" w:hint="cs"/>
          <w:rtl/>
        </w:rPr>
        <w:t>،</w:t>
      </w:r>
      <w:r w:rsidR="009C32A0">
        <w:rPr>
          <w:rFonts w:eastAsia="Times New Roman" w:hint="cs"/>
          <w:rtl/>
        </w:rPr>
        <w:t xml:space="preserve"> وهو الّذي هذب كتبه ونشر علمه</w:t>
      </w:r>
      <w:r>
        <w:rPr>
          <w:rFonts w:eastAsia="Times New Roman" w:hint="cs"/>
          <w:rtl/>
        </w:rPr>
        <w:t xml:space="preserve"> </w:t>
      </w:r>
      <w:r w:rsidR="009C32A0">
        <w:rPr>
          <w:rFonts w:eastAsia="Times New Roman" w:hint="cs"/>
          <w:rtl/>
        </w:rPr>
        <w:t>..</w:t>
      </w:r>
      <w:r>
        <w:rPr>
          <w:rFonts w:eastAsia="Times New Roman" w:hint="cs"/>
          <w:rtl/>
        </w:rPr>
        <w:t xml:space="preserve">، </w:t>
      </w:r>
      <w:r w:rsidR="009C32A0">
        <w:rPr>
          <w:rFonts w:eastAsia="Times New Roman" w:hint="cs"/>
          <w:rtl/>
        </w:rPr>
        <w:t>واعتقل مع ابن تيمية بالقلة</w:t>
      </w:r>
      <w:r>
        <w:rPr>
          <w:rFonts w:eastAsia="Times New Roman" w:hint="cs"/>
          <w:rtl/>
        </w:rPr>
        <w:t>،</w:t>
      </w:r>
      <w:r w:rsidR="009C32A0">
        <w:rPr>
          <w:rFonts w:eastAsia="Times New Roman" w:hint="cs"/>
          <w:rtl/>
        </w:rPr>
        <w:t xml:space="preserve"> بعد أن أُهين وطيف به على جمل مضروباً بالدرة</w:t>
      </w:r>
      <w:r>
        <w:rPr>
          <w:rFonts w:eastAsia="Times New Roman" w:hint="cs"/>
          <w:rtl/>
        </w:rPr>
        <w:t>،</w:t>
      </w:r>
      <w:r w:rsidR="009C32A0">
        <w:rPr>
          <w:rFonts w:eastAsia="Times New Roman" w:hint="cs"/>
          <w:rtl/>
        </w:rPr>
        <w:t xml:space="preserve"> فلما مات أُفرج عنه</w:t>
      </w:r>
      <w:r>
        <w:rPr>
          <w:rFonts w:eastAsia="Times New Roman" w:hint="cs"/>
          <w:rtl/>
        </w:rPr>
        <w:t>،</w:t>
      </w:r>
      <w:r w:rsidR="009C32A0">
        <w:rPr>
          <w:rFonts w:eastAsia="Times New Roman" w:hint="cs"/>
          <w:rtl/>
        </w:rPr>
        <w:t xml:space="preserve"> وامتحن مرة أُخرى بسبب فتاوى ابن تيمية</w:t>
      </w:r>
      <w:r>
        <w:rPr>
          <w:rFonts w:eastAsia="Times New Roman" w:hint="cs"/>
          <w:rtl/>
        </w:rPr>
        <w:t>،</w:t>
      </w:r>
      <w:r w:rsidR="009C32A0">
        <w:rPr>
          <w:rFonts w:eastAsia="Times New Roman" w:hint="cs"/>
          <w:rtl/>
        </w:rPr>
        <w:t xml:space="preserve"> وكان ينال من علماء عصره وينالون منه »</w:t>
      </w:r>
      <w:r>
        <w:rPr>
          <w:rFonts w:eastAsia="Times New Roman" w:hint="cs"/>
          <w:rtl/>
        </w:rPr>
        <w:t>،</w:t>
      </w:r>
      <w:r w:rsidR="009C32A0">
        <w:rPr>
          <w:rFonts w:eastAsia="Times New Roman" w:hint="cs"/>
          <w:rtl/>
        </w:rPr>
        <w:t xml:space="preserve"> وقال التقي الحصني</w:t>
      </w:r>
      <w:r>
        <w:rPr>
          <w:rFonts w:eastAsia="Times New Roman" w:hint="cs"/>
          <w:rtl/>
        </w:rPr>
        <w:t xml:space="preserve">: </w:t>
      </w:r>
      <w:r w:rsidR="009C32A0">
        <w:rPr>
          <w:rFonts w:eastAsia="Times New Roman" w:hint="cs"/>
          <w:rtl/>
        </w:rPr>
        <w:t>كان ابن تيمية ممن يعتقد ويفتي بأنّ شدّ الرحال إلى قبور الأنبياء حرام لا تقصر فيه الصلاة</w:t>
      </w:r>
      <w:r>
        <w:rPr>
          <w:rFonts w:eastAsia="Times New Roman" w:hint="cs"/>
          <w:rtl/>
        </w:rPr>
        <w:t>،</w:t>
      </w:r>
      <w:r w:rsidR="009C32A0">
        <w:rPr>
          <w:rFonts w:eastAsia="Times New Roman" w:hint="cs"/>
          <w:rtl/>
        </w:rPr>
        <w:t xml:space="preserve"> ويصرّح بقبر الخليل وقبر النبي </w:t>
      </w:r>
      <w:r>
        <w:rPr>
          <w:rFonts w:eastAsia="Times New Roman" w:hint="cs"/>
          <w:rtl/>
        </w:rPr>
        <w:t>(</w:t>
      </w:r>
      <w:r w:rsidR="009C32A0">
        <w:rPr>
          <w:rFonts w:eastAsia="Times New Roman" w:hint="cs"/>
          <w:rtl/>
        </w:rPr>
        <w:t>صلى اللّه عليهما وسلم</w:t>
      </w:r>
      <w:r>
        <w:rPr>
          <w:rFonts w:eastAsia="Times New Roman" w:hint="cs"/>
          <w:rtl/>
        </w:rPr>
        <w:t>)،</w:t>
      </w:r>
      <w:r w:rsidR="009C32A0">
        <w:rPr>
          <w:rFonts w:eastAsia="Times New Roman" w:hint="cs"/>
          <w:rtl/>
        </w:rPr>
        <w:t xml:space="preserve"> وكان على هذا الاعتقاد تلميذه ابن قيم الجوزية الزرعي</w:t>
      </w:r>
      <w:r>
        <w:rPr>
          <w:rFonts w:eastAsia="Times New Roman" w:hint="cs"/>
          <w:rtl/>
        </w:rPr>
        <w:t>،</w:t>
      </w:r>
      <w:r w:rsidR="009C32A0">
        <w:rPr>
          <w:rFonts w:eastAsia="Times New Roman" w:hint="cs"/>
          <w:rtl/>
        </w:rPr>
        <w:t xml:space="preserve"> وإسماعيل بن كثير الشركويني</w:t>
      </w:r>
      <w:r>
        <w:rPr>
          <w:rFonts w:eastAsia="Times New Roman" w:hint="cs"/>
          <w:rtl/>
        </w:rPr>
        <w:t>،</w:t>
      </w:r>
      <w:r w:rsidR="009C32A0">
        <w:rPr>
          <w:rFonts w:eastAsia="Times New Roman" w:hint="cs"/>
          <w:rtl/>
        </w:rPr>
        <w:t xml:space="preserve"> فاتّفق أنّ ابن قيم الجوزية سافر إلى القدس الشريف</w:t>
      </w:r>
      <w:r>
        <w:rPr>
          <w:rFonts w:eastAsia="Times New Roman" w:hint="cs"/>
          <w:rtl/>
        </w:rPr>
        <w:t>،</w:t>
      </w:r>
      <w:r w:rsidR="009C32A0">
        <w:rPr>
          <w:rFonts w:eastAsia="Times New Roman" w:hint="cs"/>
          <w:rtl/>
        </w:rPr>
        <w:t xml:space="preserve"> ورقي على منبر في الحرم ووعظ وقال في أثناء وعظه بعد أن ذكر المسألة</w:t>
      </w:r>
      <w:r>
        <w:rPr>
          <w:rFonts w:eastAsia="Times New Roman" w:hint="cs"/>
          <w:rtl/>
        </w:rPr>
        <w:t xml:space="preserve">: </w:t>
      </w:r>
      <w:r w:rsidR="009C32A0">
        <w:rPr>
          <w:rFonts w:eastAsia="Times New Roman" w:hint="cs"/>
          <w:rtl/>
        </w:rPr>
        <w:t>وها أنا راجع ولا أزور الخليل</w:t>
      </w:r>
      <w:r>
        <w:rPr>
          <w:rFonts w:eastAsia="Times New Roman" w:hint="cs"/>
          <w:rtl/>
        </w:rPr>
        <w:t>،</w:t>
      </w:r>
      <w:r w:rsidR="009C32A0">
        <w:rPr>
          <w:rFonts w:eastAsia="Times New Roman" w:hint="cs"/>
          <w:rtl/>
        </w:rPr>
        <w:t xml:space="preserve"> ثم جاء إلى نابلس</w:t>
      </w:r>
      <w:r>
        <w:rPr>
          <w:rFonts w:eastAsia="Times New Roman" w:hint="cs"/>
          <w:rtl/>
        </w:rPr>
        <w:t>،</w:t>
      </w:r>
      <w:r w:rsidR="009C32A0">
        <w:rPr>
          <w:rFonts w:eastAsia="Times New Roman" w:hint="cs"/>
          <w:rtl/>
        </w:rPr>
        <w:t xml:space="preserve"> وعمل له مجلس وعظ</w:t>
      </w:r>
      <w:r>
        <w:rPr>
          <w:rFonts w:eastAsia="Times New Roman" w:hint="cs"/>
          <w:rtl/>
        </w:rPr>
        <w:t>،</w:t>
      </w:r>
      <w:r w:rsidR="009C32A0">
        <w:rPr>
          <w:rFonts w:eastAsia="Times New Roman" w:hint="cs"/>
          <w:rtl/>
        </w:rPr>
        <w:t xml:space="preserve"> وذكر المسألة بعينها حتى قال</w:t>
      </w:r>
      <w:r>
        <w:rPr>
          <w:rFonts w:eastAsia="Times New Roman" w:hint="cs"/>
          <w:rtl/>
        </w:rPr>
        <w:t xml:space="preserve">: </w:t>
      </w:r>
      <w:r w:rsidR="009C32A0">
        <w:rPr>
          <w:rFonts w:eastAsia="Times New Roman" w:hint="cs"/>
          <w:rtl/>
        </w:rPr>
        <w:t>فلا يزور قبر النبي صلى ‌الله‌ عليه‌ وسلم</w:t>
      </w:r>
      <w:r>
        <w:rPr>
          <w:rFonts w:eastAsia="Times New Roman" w:hint="cs"/>
          <w:rtl/>
        </w:rPr>
        <w:t>،</w:t>
      </w:r>
      <w:r w:rsidR="009C32A0">
        <w:rPr>
          <w:rFonts w:eastAsia="Times New Roman" w:hint="cs"/>
          <w:rtl/>
        </w:rPr>
        <w:t xml:space="preserve"> فقام إليه الناس وأرادوا قتله</w:t>
      </w:r>
      <w:r>
        <w:rPr>
          <w:rFonts w:eastAsia="Times New Roman" w:hint="cs"/>
          <w:rtl/>
        </w:rPr>
        <w:t>،</w:t>
      </w:r>
      <w:r w:rsidR="009C32A0">
        <w:rPr>
          <w:rFonts w:eastAsia="Times New Roman" w:hint="cs"/>
          <w:rtl/>
        </w:rPr>
        <w:t xml:space="preserve"> فحماه منهم والي نابلس</w:t>
      </w:r>
      <w:r>
        <w:rPr>
          <w:rFonts w:eastAsia="Times New Roman" w:hint="cs"/>
          <w:rtl/>
        </w:rPr>
        <w:t>،</w:t>
      </w:r>
      <w:r w:rsidR="009C32A0">
        <w:rPr>
          <w:rFonts w:eastAsia="Times New Roman" w:hint="cs"/>
          <w:rtl/>
        </w:rPr>
        <w:t xml:space="preserve"> وكتب أهل القدس وأهل نابلس إلى دمشق يعرّفون صورة ما وقع منه</w:t>
      </w:r>
      <w:r>
        <w:rPr>
          <w:rFonts w:eastAsia="Times New Roman" w:hint="cs"/>
          <w:rtl/>
        </w:rPr>
        <w:t>،</w:t>
      </w:r>
      <w:r w:rsidR="009C32A0">
        <w:rPr>
          <w:rFonts w:eastAsia="Times New Roman" w:hint="cs"/>
          <w:rtl/>
        </w:rPr>
        <w:t xml:space="preserve"> فطلبه القاضي المالكي فتردد وصعد إلى الصالحية إلى القاضي شمس الدين بن مسلم الحنبلي وأسلم على يديه</w:t>
      </w:r>
      <w:r>
        <w:rPr>
          <w:rFonts w:eastAsia="Times New Roman" w:hint="cs"/>
          <w:rtl/>
        </w:rPr>
        <w:t>،</w:t>
      </w:r>
      <w:r w:rsidR="009C32A0">
        <w:rPr>
          <w:rFonts w:eastAsia="Times New Roman" w:hint="cs"/>
          <w:rtl/>
        </w:rPr>
        <w:t xml:space="preserve"> فقبل توبته وحكم بإسلامه وحقن دمه</w:t>
      </w:r>
      <w:r>
        <w:rPr>
          <w:rFonts w:eastAsia="Times New Roman" w:hint="cs"/>
          <w:rtl/>
        </w:rPr>
        <w:t>،</w:t>
      </w:r>
      <w:r w:rsidR="009C32A0">
        <w:rPr>
          <w:rFonts w:eastAsia="Times New Roman" w:hint="cs"/>
          <w:rtl/>
        </w:rPr>
        <w:t xml:space="preserve"> ولم يعزّره لأجل ابن تيمية</w:t>
      </w:r>
      <w:r>
        <w:rPr>
          <w:rFonts w:eastAsia="Times New Roman" w:hint="cs"/>
          <w:rtl/>
        </w:rPr>
        <w:t xml:space="preserve"> </w:t>
      </w:r>
      <w:r w:rsidR="009C32A0">
        <w:rPr>
          <w:rFonts w:eastAsia="Times New Roman" w:hint="cs"/>
          <w:rtl/>
        </w:rPr>
        <w:t>..</w:t>
      </w:r>
      <w:r>
        <w:rPr>
          <w:rFonts w:eastAsia="Times New Roman" w:hint="cs"/>
          <w:rtl/>
        </w:rPr>
        <w:t xml:space="preserve">، </w:t>
      </w:r>
      <w:r w:rsidR="009C32A0">
        <w:rPr>
          <w:rFonts w:eastAsia="Times New Roman" w:hint="cs"/>
          <w:rtl/>
        </w:rPr>
        <w:t>ثم أحضر ابن قيم الجوزية وادُّعي عليه بما قاله في القدس الشريف وفي نابلس فأنكر</w:t>
      </w:r>
      <w:r>
        <w:rPr>
          <w:rFonts w:eastAsia="Times New Roman" w:hint="cs"/>
          <w:rtl/>
        </w:rPr>
        <w:t>،</w:t>
      </w:r>
      <w:r w:rsidR="009C32A0">
        <w:rPr>
          <w:rFonts w:eastAsia="Times New Roman" w:hint="cs"/>
          <w:rtl/>
        </w:rPr>
        <w:t xml:space="preserve"> فقامت عليه البينة بما قاله</w:t>
      </w:r>
      <w:r>
        <w:rPr>
          <w:rFonts w:eastAsia="Times New Roman" w:hint="cs"/>
          <w:rtl/>
        </w:rPr>
        <w:t>،</w:t>
      </w:r>
      <w:r w:rsidR="009C32A0">
        <w:rPr>
          <w:rFonts w:eastAsia="Times New Roman" w:hint="cs"/>
          <w:rtl/>
        </w:rPr>
        <w:t xml:space="preserve"> فأُدّب وحُمل على جمل</w:t>
      </w:r>
      <w:r>
        <w:rPr>
          <w:rFonts w:eastAsia="Times New Roman" w:hint="cs"/>
          <w:rtl/>
        </w:rPr>
        <w:t>،</w:t>
      </w:r>
      <w:r w:rsidR="009C32A0">
        <w:rPr>
          <w:rFonts w:eastAsia="Times New Roman" w:hint="cs"/>
          <w:rtl/>
        </w:rPr>
        <w:t xml:space="preserve"> ثم أُعيد إلى السجن</w:t>
      </w:r>
      <w:r>
        <w:rPr>
          <w:rFonts w:eastAsia="Times New Roman" w:hint="cs"/>
          <w:rtl/>
        </w:rPr>
        <w:t>،</w:t>
      </w:r>
      <w:r w:rsidR="009C32A0">
        <w:rPr>
          <w:rFonts w:eastAsia="Times New Roman" w:hint="cs"/>
          <w:rtl/>
        </w:rPr>
        <w:t xml:space="preserve"> ثم أُحضر إلى مجلس شمس الدين المالكي وأرادوا ضرب عنقه</w:t>
      </w:r>
      <w:r>
        <w:rPr>
          <w:rFonts w:eastAsia="Times New Roman" w:hint="cs"/>
          <w:rtl/>
        </w:rPr>
        <w:t>،</w:t>
      </w:r>
      <w:r w:rsidR="009C32A0">
        <w:rPr>
          <w:rFonts w:eastAsia="Times New Roman" w:hint="cs"/>
          <w:rtl/>
        </w:rPr>
        <w:t xml:space="preserve"> فما كان جوابه إلاّ </w:t>
      </w:r>
      <w:r w:rsidR="009C32A0">
        <w:rPr>
          <w:rFonts w:eastAsia="Times New Roman" w:hint="cs"/>
          <w:rtl/>
        </w:rPr>
        <w:lastRenderedPageBreak/>
        <w:t>أن قال</w:t>
      </w:r>
      <w:r>
        <w:rPr>
          <w:rFonts w:eastAsia="Times New Roman" w:hint="cs"/>
          <w:rtl/>
        </w:rPr>
        <w:t xml:space="preserve">: </w:t>
      </w:r>
      <w:r w:rsidR="009C32A0">
        <w:rPr>
          <w:rFonts w:eastAsia="Times New Roman" w:hint="cs"/>
          <w:rtl/>
        </w:rPr>
        <w:t>إنّ القاضي الحنبلي حكم بحقن دمي وبإسلامي وقبول توبتي</w:t>
      </w:r>
      <w:r>
        <w:rPr>
          <w:rFonts w:eastAsia="Times New Roman" w:hint="cs"/>
          <w:rtl/>
        </w:rPr>
        <w:t>،</w:t>
      </w:r>
      <w:r w:rsidR="009C32A0">
        <w:rPr>
          <w:rFonts w:eastAsia="Times New Roman" w:hint="cs"/>
          <w:rtl/>
        </w:rPr>
        <w:t xml:space="preserve"> فأُعيد إلى الحبس إلى أن أُحضر الحنبلي فأخبر بما قاله</w:t>
      </w:r>
      <w:r>
        <w:rPr>
          <w:rFonts w:eastAsia="Times New Roman" w:hint="cs"/>
          <w:rtl/>
        </w:rPr>
        <w:t>،</w:t>
      </w:r>
      <w:r w:rsidR="009C32A0">
        <w:rPr>
          <w:rFonts w:eastAsia="Times New Roman" w:hint="cs"/>
          <w:rtl/>
        </w:rPr>
        <w:t xml:space="preserve"> فأُحضر وعزّر وضرب بالدرة</w:t>
      </w:r>
      <w:r>
        <w:rPr>
          <w:rFonts w:eastAsia="Times New Roman" w:hint="cs"/>
          <w:rtl/>
        </w:rPr>
        <w:t>،</w:t>
      </w:r>
      <w:r w:rsidR="009C32A0">
        <w:rPr>
          <w:rFonts w:eastAsia="Times New Roman" w:hint="cs"/>
          <w:rtl/>
        </w:rPr>
        <w:t xml:space="preserve"> وأُركب حماراً وطيف به في البلد والصالحية</w:t>
      </w:r>
      <w:r>
        <w:rPr>
          <w:rFonts w:eastAsia="Times New Roman" w:hint="cs"/>
          <w:rtl/>
        </w:rPr>
        <w:t>،</w:t>
      </w:r>
      <w:r w:rsidR="009C32A0">
        <w:rPr>
          <w:rFonts w:eastAsia="Times New Roman" w:hint="cs"/>
          <w:rtl/>
        </w:rPr>
        <w:t xml:space="preserve"> وردّوه إلى الحبس ـ وجرسوا ابن القيم وابن كثير</w:t>
      </w:r>
      <w:r>
        <w:rPr>
          <w:rFonts w:eastAsia="Times New Roman" w:hint="cs"/>
          <w:rtl/>
        </w:rPr>
        <w:t>،</w:t>
      </w:r>
      <w:r w:rsidR="009C32A0">
        <w:rPr>
          <w:rFonts w:eastAsia="Times New Roman" w:hint="cs"/>
          <w:rtl/>
        </w:rPr>
        <w:t xml:space="preserve"> وطيف بهما في البلد وعلى باب الجوزية لفتواهم في مسالة الطلاق</w:t>
      </w:r>
      <w:r>
        <w:rPr>
          <w:rFonts w:eastAsia="Times New Roman" w:hint="cs"/>
          <w:rtl/>
        </w:rPr>
        <w:t>،</w:t>
      </w:r>
      <w:r w:rsidR="009C32A0">
        <w:rPr>
          <w:rFonts w:eastAsia="Times New Roman" w:hint="cs"/>
          <w:rtl/>
        </w:rPr>
        <w:t xml:space="preserve"> قال ابن رجب</w:t>
      </w:r>
      <w:r>
        <w:rPr>
          <w:rFonts w:eastAsia="Times New Roman" w:hint="cs"/>
          <w:rtl/>
        </w:rPr>
        <w:t xml:space="preserve">: </w:t>
      </w:r>
      <w:r w:rsidR="009C32A0">
        <w:rPr>
          <w:rFonts w:eastAsia="Times New Roman" w:hint="cs"/>
          <w:rtl/>
        </w:rPr>
        <w:t>قد امتحن واوذي مرات</w:t>
      </w:r>
      <w:r>
        <w:rPr>
          <w:rFonts w:eastAsia="Times New Roman" w:hint="cs"/>
          <w:rtl/>
        </w:rPr>
        <w:t>،</w:t>
      </w:r>
      <w:r w:rsidR="009C32A0">
        <w:rPr>
          <w:rFonts w:eastAsia="Times New Roman" w:hint="cs"/>
          <w:rtl/>
        </w:rPr>
        <w:t xml:space="preserve"> وحبس مع الشيخ تقي الدين في المدة الأخيرة بالقلعة منفرداً</w:t>
      </w:r>
      <w:r>
        <w:rPr>
          <w:rFonts w:eastAsia="Times New Roman" w:hint="cs"/>
          <w:rtl/>
        </w:rPr>
        <w:t>،</w:t>
      </w:r>
      <w:r w:rsidR="009C32A0">
        <w:rPr>
          <w:rFonts w:eastAsia="Times New Roman" w:hint="cs"/>
          <w:rtl/>
        </w:rPr>
        <w:t xml:space="preserve"> لم يفرج عنه إلاّ بعد موت الشيخ</w:t>
      </w:r>
      <w:r>
        <w:rPr>
          <w:rFonts w:eastAsia="Times New Roman" w:hint="cs"/>
          <w:rtl/>
        </w:rPr>
        <w:t>،</w:t>
      </w:r>
      <w:r w:rsidR="009C32A0">
        <w:rPr>
          <w:rFonts w:eastAsia="Times New Roman" w:hint="cs"/>
          <w:rtl/>
        </w:rPr>
        <w:t xml:space="preserve"> وقد سقت هنا نماذج من كلمات أصحابه واضداده والمتحايدين في حقه</w:t>
      </w:r>
      <w:r>
        <w:rPr>
          <w:rFonts w:eastAsia="Times New Roman" w:hint="cs"/>
          <w:rtl/>
        </w:rPr>
        <w:t>،</w:t>
      </w:r>
      <w:r w:rsidR="009C32A0">
        <w:rPr>
          <w:rFonts w:eastAsia="Times New Roman" w:hint="cs"/>
          <w:rtl/>
        </w:rPr>
        <w:t xml:space="preserve"> ليعتبر بها المغرورون به</w:t>
      </w:r>
      <w:r>
        <w:rPr>
          <w:rFonts w:eastAsia="Times New Roman" w:hint="cs"/>
          <w:rtl/>
        </w:rPr>
        <w:t xml:space="preserve">، </w:t>
      </w:r>
      <w:r w:rsidR="009C32A0">
        <w:rPr>
          <w:rFonts w:eastAsia="Times New Roman" w:hint="cs"/>
          <w:rtl/>
        </w:rPr>
        <w:t>على أنّ الخبر اليقين فيما يجده القارئ الكريم في حقه في هذا الكتاب</w:t>
      </w:r>
      <w:r>
        <w:rPr>
          <w:rFonts w:eastAsia="Times New Roman" w:hint="cs"/>
          <w:rtl/>
        </w:rPr>
        <w:t>،</w:t>
      </w:r>
      <w:r w:rsidR="009C32A0">
        <w:rPr>
          <w:rFonts w:eastAsia="Times New Roman" w:hint="cs"/>
          <w:rtl/>
        </w:rPr>
        <w:t xml:space="preserve"> وأرجو أن الحق لا يتعدى ما دللت عليه في حقه فيما كتبناه</w:t>
      </w:r>
      <w:r>
        <w:rPr>
          <w:rFonts w:eastAsia="Times New Roman" w:hint="cs"/>
          <w:rtl/>
        </w:rPr>
        <w:t>،</w:t>
      </w:r>
      <w:r w:rsidR="009C32A0">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Pr>
          <w:rFonts w:eastAsia="Times New Roman" w:hint="cs"/>
          <w:rtl/>
        </w:rPr>
        <w:t>،</w:t>
      </w:r>
      <w:r w:rsidR="009C32A0">
        <w:rPr>
          <w:rFonts w:eastAsia="Times New Roman" w:hint="cs"/>
          <w:rtl/>
        </w:rPr>
        <w:t xml:space="preserve"> ومثله إذا دوّن أسفاراً لا يزداد بها إلاّ بسمعه ولا يبصر بعداً عن اللّه وأوزاراً</w:t>
      </w:r>
      <w:r>
        <w:rPr>
          <w:rFonts w:eastAsia="Times New Roman" w:hint="cs"/>
          <w:rtl/>
        </w:rPr>
        <w:t>،</w:t>
      </w:r>
      <w:r w:rsidR="009C32A0">
        <w:rPr>
          <w:rFonts w:eastAsia="Times New Roman" w:hint="cs"/>
          <w:rtl/>
        </w:rPr>
        <w:t xml:space="preserve"> وهو الّذي يصبح متفانياً في شيخه الزائغ بحيث لا يسمع إلاّ ببصره في جميع شؤونه</w:t>
      </w:r>
      <w:r>
        <w:rPr>
          <w:rFonts w:eastAsia="Times New Roman" w:hint="cs"/>
          <w:rtl/>
        </w:rPr>
        <w:t>،</w:t>
      </w:r>
      <w:r w:rsidR="009C32A0">
        <w:rPr>
          <w:rFonts w:eastAsia="Times New Roman" w:hint="cs"/>
          <w:rtl/>
        </w:rPr>
        <w:t xml:space="preserve"> ويبقى في أحط دركات الجهل من التقليد الأعمى</w:t>
      </w:r>
      <w:r>
        <w:rPr>
          <w:rFonts w:eastAsia="Times New Roman" w:hint="cs"/>
          <w:rtl/>
        </w:rPr>
        <w:t>،</w:t>
      </w:r>
      <w:r w:rsidR="009C32A0">
        <w:rPr>
          <w:rFonts w:eastAsia="Times New Roman" w:hint="cs"/>
          <w:rtl/>
        </w:rPr>
        <w:t xml:space="preserve"> ولو فكر قليلا لكان أدرك أنّ من السخف بمكان</w:t>
      </w:r>
      <w:r>
        <w:rPr>
          <w:rFonts w:eastAsia="Times New Roman" w:hint="cs"/>
          <w:rtl/>
        </w:rPr>
        <w:t>،</w:t>
      </w:r>
      <w:r w:rsidR="009C32A0">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Pr>
          <w:rFonts w:eastAsia="Times New Roman" w:hint="cs"/>
          <w:rtl/>
        </w:rPr>
        <w:t>،</w:t>
      </w:r>
      <w:r w:rsidR="009C32A0">
        <w:rPr>
          <w:rFonts w:eastAsia="Times New Roman" w:hint="cs"/>
          <w:rtl/>
        </w:rPr>
        <w:t xml:space="preserve"> ولا سيما بعد التفكير في تلك المخازي من شواذه</w:t>
      </w:r>
      <w:r>
        <w:rPr>
          <w:rFonts w:eastAsia="Times New Roman" w:hint="cs"/>
          <w:rtl/>
        </w:rPr>
        <w:t>،</w:t>
      </w:r>
      <w:r w:rsidR="009C32A0">
        <w:rPr>
          <w:rFonts w:eastAsia="Times New Roman" w:hint="cs"/>
          <w:rtl/>
        </w:rPr>
        <w:t xml:space="preserve"> نعم</w:t>
      </w:r>
      <w:r>
        <w:rPr>
          <w:rFonts w:eastAsia="Times New Roman" w:hint="cs"/>
          <w:rtl/>
        </w:rPr>
        <w:t>،</w:t>
      </w:r>
      <w:r w:rsidR="009C32A0">
        <w:rPr>
          <w:rFonts w:eastAsia="Times New Roman" w:hint="cs"/>
          <w:rtl/>
        </w:rPr>
        <w:t xml:space="preserve"> يمكن أن يكون عنده أو عند شيخه بعض تفوق في بعض العلوم على بعض مشايخ حارته</w:t>
      </w:r>
      <w:r>
        <w:rPr>
          <w:rFonts w:eastAsia="Times New Roman" w:hint="cs"/>
          <w:rtl/>
        </w:rPr>
        <w:t>،</w:t>
      </w:r>
      <w:r w:rsidR="009C32A0">
        <w:rPr>
          <w:rFonts w:eastAsia="Times New Roman" w:hint="cs"/>
          <w:rtl/>
        </w:rPr>
        <w:t xml:space="preserve"> أو أهل خطته أو قريته أو مضرب خيام عشيرته</w:t>
      </w:r>
      <w:r>
        <w:rPr>
          <w:rFonts w:eastAsia="Times New Roman" w:hint="cs"/>
          <w:rtl/>
        </w:rPr>
        <w:t>،</w:t>
      </w:r>
      <w:r w:rsidR="009C32A0">
        <w:rPr>
          <w:rFonts w:eastAsia="Times New Roman" w:hint="cs"/>
          <w:rtl/>
        </w:rPr>
        <w:t xml:space="preserve"> لكن لا يوجب هذا أن يصدق ظنه في حق نفسه أن جوّ هذه الأرض يضيق عن واسع فهومه</w:t>
      </w:r>
      <w:r>
        <w:rPr>
          <w:rFonts w:eastAsia="Times New Roman" w:hint="cs"/>
          <w:rtl/>
        </w:rPr>
        <w:t>،</w:t>
      </w:r>
      <w:r w:rsidR="009C32A0">
        <w:rPr>
          <w:rFonts w:eastAsia="Times New Roman" w:hint="cs"/>
          <w:rtl/>
        </w:rPr>
        <w:t xml:space="preserve"> وعرض هذه البحار لا يتّسع لزاخر علومه " أهـ</w:t>
      </w:r>
      <w:r>
        <w:rPr>
          <w:rFonts w:eastAsia="Times New Roman" w:hint="cs"/>
          <w:rtl/>
        </w:rPr>
        <w:t xml:space="preserve"> [</w:t>
      </w:r>
      <w:r w:rsidR="009C32A0">
        <w:rPr>
          <w:rFonts w:eastAsia="Times New Roman" w:hint="cs"/>
          <w:rtl/>
        </w:rPr>
        <w:t>تكملة السيف الصقيل ص 4 إلى 9</w:t>
      </w:r>
      <w:r>
        <w:rPr>
          <w:rFonts w:eastAsia="Times New Roman" w:hint="cs"/>
          <w:rtl/>
        </w:rPr>
        <w:t>]،</w:t>
      </w:r>
      <w:r w:rsidR="009C32A0">
        <w:rPr>
          <w:rFonts w:eastAsia="Times New Roman" w:hint="cs"/>
          <w:rtl/>
        </w:rPr>
        <w:t xml:space="preserve"> وقال أيضاً</w:t>
      </w:r>
      <w:r>
        <w:rPr>
          <w:rFonts w:eastAsia="Times New Roman" w:hint="cs"/>
          <w:rtl/>
        </w:rPr>
        <w:t xml:space="preserve">: </w:t>
      </w:r>
      <w:r w:rsidR="009C32A0">
        <w:rPr>
          <w:rFonts w:hint="cs"/>
          <w:rtl/>
        </w:rPr>
        <w:t>في السيف الصقيل</w:t>
      </w:r>
      <w:r>
        <w:rPr>
          <w:rFonts w:hint="cs"/>
          <w:rtl/>
        </w:rPr>
        <w:t xml:space="preserve">: </w:t>
      </w:r>
      <w:r w:rsidR="009C32A0">
        <w:rPr>
          <w:rFonts w:hint="cs"/>
          <w:rtl/>
        </w:rPr>
        <w:t>-</w:t>
      </w:r>
      <w:r>
        <w:rPr>
          <w:rFonts w:hint="cs"/>
          <w:rtl/>
        </w:rPr>
        <w:t xml:space="preserve"> </w:t>
      </w:r>
      <w:r w:rsidR="009C32A0">
        <w:rPr>
          <w:rFonts w:hint="cs"/>
          <w:rtl/>
        </w:rPr>
        <w:t>في الرد على قول ابن القيم النونية "ولقد جلست على سرير الملك متصفاً بتدبيرٍ عظيم الشان"</w:t>
      </w:r>
      <w:r>
        <w:rPr>
          <w:rFonts w:hint="cs"/>
          <w:rtl/>
        </w:rPr>
        <w:t xml:space="preserve"> </w:t>
      </w:r>
      <w:r w:rsidR="009C32A0">
        <w:rPr>
          <w:rFonts w:hint="cs"/>
          <w:rtl/>
        </w:rPr>
        <w:t>-</w:t>
      </w:r>
      <w:r>
        <w:rPr>
          <w:rFonts w:hint="cs"/>
          <w:rtl/>
        </w:rPr>
        <w:t xml:space="preserve">: </w:t>
      </w:r>
      <w:r w:rsidR="009C32A0">
        <w:rPr>
          <w:rFonts w:hint="cs"/>
          <w:rtl/>
        </w:rPr>
        <w:t>" يعجب المصنف</w:t>
      </w:r>
      <w:r>
        <w:rPr>
          <w:rFonts w:hint="cs"/>
          <w:rtl/>
        </w:rPr>
        <w:t xml:space="preserve"> </w:t>
      </w:r>
      <w:r w:rsidR="009C32A0">
        <w:rPr>
          <w:rFonts w:hint="cs"/>
          <w:rtl/>
        </w:rPr>
        <w:t>- أي الإمام قاضي القضاة ابن جماعة - كيف يصرح الناظم - أي ابن القيم - بالجلوس</w:t>
      </w:r>
      <w:r>
        <w:rPr>
          <w:rFonts w:hint="cs"/>
          <w:rtl/>
        </w:rPr>
        <w:t>،</w:t>
      </w:r>
      <w:r w:rsidR="009C32A0">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Pr>
          <w:rFonts w:hint="cs"/>
          <w:rtl/>
        </w:rPr>
        <w:t>،</w:t>
      </w:r>
      <w:r w:rsidR="009C32A0">
        <w:rPr>
          <w:rFonts w:hint="cs"/>
          <w:rtl/>
        </w:rPr>
        <w:t xml:space="preserve"> قال ذلك التلميذ أعنى محمدا المنبجي صاحب الفرج بعد الشدة في الجزء المذكور</w:t>
      </w:r>
      <w:r>
        <w:rPr>
          <w:rFonts w:hint="cs"/>
          <w:rtl/>
        </w:rPr>
        <w:t xml:space="preserve">: </w:t>
      </w:r>
      <w:r w:rsidR="009C32A0">
        <w:rPr>
          <w:rFonts w:hint="cs"/>
          <w:rtl/>
        </w:rPr>
        <w:t>قال الخلال في كتاب السنة حدثنا أحمد بن الحسين الرقى حدثنا إبراهيم بن المنذر حدثنا محمد بن فليح حدثني أبى عن سعيد بن الحارث عن عبيد بن حنين قال بينما أنا جالس في المسجد إذ جاءني قتادة بن النعمان يحدث وثاب إليه الناس</w:t>
      </w:r>
      <w:r>
        <w:rPr>
          <w:rFonts w:hint="cs"/>
          <w:rtl/>
        </w:rPr>
        <w:t>،</w:t>
      </w:r>
      <w:r w:rsidR="009C32A0">
        <w:rPr>
          <w:rFonts w:hint="cs"/>
          <w:rtl/>
        </w:rPr>
        <w:t xml:space="preserve"> فقال سمعت رسول الله صلى الله عليه وسلم يقول</w:t>
      </w:r>
      <w:r>
        <w:rPr>
          <w:rFonts w:hint="cs"/>
          <w:rtl/>
        </w:rPr>
        <w:t xml:space="preserve">: </w:t>
      </w:r>
      <w:r w:rsidR="009C32A0">
        <w:rPr>
          <w:rFonts w:hint="cs"/>
          <w:rtl/>
        </w:rPr>
        <w:t xml:space="preserve">" إن الله لما فرغ من خلقه استوى على عرشه واستلقى </w:t>
      </w:r>
      <w:r w:rsidR="009C32A0">
        <w:rPr>
          <w:rFonts w:hint="cs"/>
          <w:rtl/>
        </w:rPr>
        <w:lastRenderedPageBreak/>
        <w:t>ووضع إحدى رجليه على الأخرى وقال إنها لا تصلح لبشر "</w:t>
      </w:r>
      <w:r>
        <w:rPr>
          <w:rFonts w:hint="cs"/>
          <w:rtl/>
        </w:rPr>
        <w:t xml:space="preserve">، </w:t>
      </w:r>
      <w:r w:rsidR="009C32A0">
        <w:rPr>
          <w:rFonts w:hint="cs"/>
          <w:rtl/>
        </w:rPr>
        <w:t>قال الحافظ الذهبي وغيره إسناده على شرط البخارى ومسلم ا هـ</w:t>
      </w:r>
      <w:r>
        <w:rPr>
          <w:rFonts w:hint="cs"/>
          <w:rtl/>
        </w:rPr>
        <w:t>،</w:t>
      </w:r>
      <w:r w:rsidR="009C32A0">
        <w:rPr>
          <w:rFonts w:hint="cs"/>
          <w:rtl/>
        </w:rPr>
        <w:t xml:space="preserve"> ولعلك علمت بذلك قيمة كتاب السنة للخلال</w:t>
      </w:r>
      <w:r>
        <w:rPr>
          <w:rFonts w:hint="cs"/>
          <w:rtl/>
        </w:rPr>
        <w:t>،</w:t>
      </w:r>
      <w:r w:rsidR="009C32A0">
        <w:rPr>
          <w:rFonts w:hint="cs"/>
          <w:rtl/>
        </w:rPr>
        <w:t xml:space="preserve"> وفي ذلك الجزء من المخازى ما يضاهى ما نقلناه آنفا</w:t>
      </w:r>
      <w:r>
        <w:rPr>
          <w:rFonts w:hint="cs"/>
          <w:rtl/>
        </w:rPr>
        <w:t>،</w:t>
      </w:r>
      <w:r w:rsidR="009C32A0">
        <w:rPr>
          <w:rFonts w:hint="cs"/>
          <w:rtl/>
        </w:rPr>
        <w:t xml:space="preserve"> ولابن بدران الدشتى جزء في إثبات الحد والجلوس لله سبحانه ويسوق فيه الحديث المذكور بطرق كما ذكرت ذلك فيما علقت على ذيول طبقات الحافظ قاتلهم الله ما أجرأهم على الله</w:t>
      </w:r>
      <w:r>
        <w:rPr>
          <w:rFonts w:hint="cs"/>
          <w:rtl/>
        </w:rPr>
        <w:t>،</w:t>
      </w:r>
      <w:r w:rsidR="009C32A0">
        <w:rPr>
          <w:rFonts w:hint="cs"/>
          <w:rtl/>
        </w:rPr>
        <w:t xml:space="preserve"> ولعلك علمت بذلك أيضاً قيمة تهويلهم بأنهم يتابعون السنة كما علمت قيمة تصحيحهم للروايات المطابقة لزيغهم(</w:t>
      </w:r>
      <w:r>
        <w:rPr>
          <w:rFonts w:hint="cs"/>
          <w:rtl/>
        </w:rPr>
        <w:t>(</w:t>
      </w:r>
      <w:r w:rsidR="009C32A0">
        <w:rPr>
          <w:rFonts w:hint="cs"/>
          <w:rtl/>
        </w:rPr>
        <w:t>تنبيه</w:t>
      </w:r>
      <w:r>
        <w:rPr>
          <w:rFonts w:hint="cs"/>
          <w:rtl/>
        </w:rPr>
        <w:t>)</w:t>
      </w:r>
      <w:r w:rsidR="009C32A0">
        <w:rPr>
          <w:rFonts w:hint="cs"/>
          <w:rtl/>
        </w:rPr>
        <w:t>)</w:t>
      </w:r>
      <w:r>
        <w:rPr>
          <w:rFonts w:hint="cs"/>
          <w:rtl/>
        </w:rPr>
        <w:t xml:space="preserve"> </w:t>
      </w:r>
      <w:r w:rsidR="009C32A0">
        <w:rPr>
          <w:rFonts w:hint="cs"/>
          <w:rtl/>
        </w:rPr>
        <w:t>الذهبي يبعد عن رشده ويفقد صوابه إذا جاء دور الكلام على أحاديث في الصفات أو في فضائل النبي صلى الله عليه وآله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Pr>
          <w:rFonts w:hint="cs"/>
          <w:rtl/>
        </w:rPr>
        <w:t>،</w:t>
      </w:r>
      <w:r w:rsidR="009C32A0">
        <w:rPr>
          <w:rFonts w:hint="cs"/>
          <w:rtl/>
        </w:rPr>
        <w:t xml:space="preserve"> فهل يتصور من عالم يعقل ما يقول أن يصحح مثل هذا الحديث الذى بطلانه أظهر من الشمس في ضحوة النهار</w:t>
      </w:r>
      <w:r>
        <w:rPr>
          <w:rFonts w:hint="cs"/>
          <w:rtl/>
        </w:rPr>
        <w:t>؟</w:t>
      </w:r>
      <w:r w:rsidR="009C32A0">
        <w:rPr>
          <w:rFonts w:hint="cs"/>
          <w:rtl/>
        </w:rPr>
        <w:t xml:space="preserve"> فطالب الحق لا يعير سمعاً لأقواله فيما ذكرناه</w:t>
      </w:r>
      <w:r>
        <w:rPr>
          <w:rFonts w:hint="cs"/>
          <w:rtl/>
        </w:rPr>
        <w:t>،</w:t>
      </w:r>
      <w:r w:rsidR="009C32A0">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Pr>
          <w:rFonts w:hint="cs"/>
          <w:rtl/>
        </w:rPr>
        <w:t>،</w:t>
      </w:r>
      <w:r w:rsidR="009C32A0">
        <w:rPr>
          <w:rFonts w:hint="cs"/>
          <w:rtl/>
        </w:rPr>
        <w:t xml:space="preserve"> ومن لا يكون متساهلا في أمر دينه لا يثق بكلام مثله فيما ذكرناه بعد أن عرف دخائله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Pr>
          <w:rFonts w:hint="cs"/>
          <w:rtl/>
        </w:rPr>
        <w:t>(</w:t>
      </w:r>
      <w:r w:rsidR="009C32A0">
        <w:rPr>
          <w:rFonts w:hint="cs"/>
          <w:rtl/>
        </w:rPr>
        <w:t>1-197</w:t>
      </w:r>
      <w:r>
        <w:rPr>
          <w:rFonts w:hint="cs"/>
          <w:rtl/>
        </w:rPr>
        <w:t xml:space="preserve">): </w:t>
      </w:r>
      <w:r w:rsidR="009C32A0">
        <w:rPr>
          <w:rFonts w:hint="cs"/>
          <w:rtl/>
        </w:rPr>
        <w:t>وأما تاريخ شيخنا الذهبي فإنه على حسنه وجمعه مشحون بالتعصب المفرط</w:t>
      </w:r>
      <w:r>
        <w:rPr>
          <w:rFonts w:hint="cs"/>
          <w:rtl/>
        </w:rPr>
        <w:t>،</w:t>
      </w:r>
      <w:r w:rsidR="009C32A0">
        <w:rPr>
          <w:rFonts w:hint="cs"/>
          <w:rtl/>
        </w:rPr>
        <w:t xml:space="preserve"> لا آخذه الله فلقد أكثر الوقيعة في أهل الدين ـ أعنى الفقراء الذين هم صفوة الخلق</w:t>
      </w:r>
      <w:r>
        <w:rPr>
          <w:rFonts w:hint="cs"/>
          <w:rtl/>
        </w:rPr>
        <w:t>،</w:t>
      </w:r>
      <w:r w:rsidR="009C32A0">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Pr>
          <w:rFonts w:hint="cs"/>
          <w:rtl/>
        </w:rPr>
        <w:t>(</w:t>
      </w:r>
      <w:r w:rsidR="009C32A0">
        <w:rPr>
          <w:rFonts w:hint="cs"/>
          <w:rtl/>
        </w:rPr>
        <w:t>2-249</w:t>
      </w:r>
      <w:r>
        <w:rPr>
          <w:rFonts w:hint="cs"/>
          <w:rtl/>
        </w:rPr>
        <w:t xml:space="preserve">) </w:t>
      </w:r>
      <w:r w:rsidR="009C32A0">
        <w:rPr>
          <w:rFonts w:hint="cs"/>
          <w:rtl/>
        </w:rPr>
        <w:t>من الكتاب المذكور</w:t>
      </w:r>
      <w:r>
        <w:rPr>
          <w:rFonts w:hint="cs"/>
          <w:rtl/>
        </w:rPr>
        <w:t xml:space="preserve">: </w:t>
      </w:r>
      <w:r w:rsidR="009C32A0">
        <w:rPr>
          <w:rFonts w:hint="cs"/>
          <w:rtl/>
        </w:rPr>
        <w:t xml:space="preserve">وتأتى أنت تتسكع في ظلم التجسيم الذى تدعى أنك بريء منه وأنت من أعظم الدعاة إليه وتزعم أنك تعرف هذا الفن </w:t>
      </w:r>
      <w:r>
        <w:rPr>
          <w:rFonts w:hint="cs"/>
          <w:rtl/>
        </w:rPr>
        <w:t>(</w:t>
      </w:r>
      <w:r w:rsidR="009C32A0">
        <w:rPr>
          <w:rFonts w:hint="cs"/>
          <w:rtl/>
        </w:rPr>
        <w:t>يعنى علم أصول الدين</w:t>
      </w:r>
      <w:r>
        <w:rPr>
          <w:rFonts w:hint="cs"/>
          <w:rtl/>
        </w:rPr>
        <w:t xml:space="preserve">) </w:t>
      </w:r>
      <w:r w:rsidR="009C32A0">
        <w:rPr>
          <w:rFonts w:hint="cs"/>
          <w:rtl/>
        </w:rPr>
        <w:t>وأنت لا تفهم منه نقيراً ولا قطميراً</w:t>
      </w:r>
      <w:r>
        <w:rPr>
          <w:rFonts w:hint="cs"/>
          <w:rtl/>
        </w:rPr>
        <w:t xml:space="preserve"> </w:t>
      </w:r>
      <w:r w:rsidR="009C32A0">
        <w:rPr>
          <w:rFonts w:hint="cs"/>
          <w:rtl/>
        </w:rPr>
        <w:t>اهـ</w:t>
      </w:r>
      <w:r>
        <w:rPr>
          <w:rFonts w:hint="cs"/>
          <w:rtl/>
        </w:rPr>
        <w:t xml:space="preserve"> [</w:t>
      </w:r>
      <w:r w:rsidR="009C32A0">
        <w:rPr>
          <w:rFonts w:hint="cs"/>
          <w:rtl/>
        </w:rPr>
        <w:t>السيف الصقيل ص2</w:t>
      </w:r>
      <w:r>
        <w:rPr>
          <w:rFonts w:hint="cs"/>
          <w:rtl/>
        </w:rPr>
        <w:t>،،</w:t>
      </w:r>
      <w:r w:rsidR="009C32A0">
        <w:rPr>
          <w:rFonts w:hint="cs"/>
          <w:rtl/>
        </w:rPr>
        <w:t xml:space="preserve"> -2</w:t>
      </w:r>
      <w:r>
        <w:rPr>
          <w:rFonts w:hint="cs"/>
          <w:rtl/>
        </w:rPr>
        <w:t>،</w:t>
      </w:r>
      <w:r w:rsidR="009C32A0">
        <w:rPr>
          <w:rFonts w:hint="cs"/>
          <w:rtl/>
        </w:rPr>
        <w:t xml:space="preserve"> 2</w:t>
      </w:r>
      <w:r>
        <w:rPr>
          <w:rFonts w:hint="cs"/>
          <w:rtl/>
        </w:rPr>
        <w:t>]،</w:t>
      </w:r>
    </w:p>
    <w:p w14:paraId="281FE206" w14:textId="7828CFD0" w:rsidR="009C32A0" w:rsidRDefault="000636C2" w:rsidP="000636C2">
      <w:pPr>
        <w:ind w:left="-58"/>
        <w:rPr>
          <w:b/>
        </w:rPr>
      </w:pPr>
      <w:r>
        <w:rPr>
          <w:rFonts w:cs="Monotype Koufi" w:hint="cs"/>
          <w:rtl/>
        </w:rPr>
        <w:t>(</w:t>
      </w:r>
      <w:r w:rsidR="009C32A0">
        <w:rPr>
          <w:rFonts w:cs="Monotype Koufi" w:hint="cs"/>
          <w:rtl/>
        </w:rPr>
        <w:t>ثالثاً</w:t>
      </w:r>
      <w:r>
        <w:rPr>
          <w:rFonts w:cs="Monotype Koufi" w:hint="cs"/>
          <w:rtl/>
        </w:rPr>
        <w:t xml:space="preserve">): </w:t>
      </w:r>
      <w:r w:rsidR="009C32A0">
        <w:rPr>
          <w:rFonts w:cs="Monotype Koufi" w:hint="cs"/>
          <w:rtl/>
        </w:rPr>
        <w:t>حال الذهبي وما تسرب إليه من مفردات الحشو بسبب صعوبة هضم علم التقديس</w:t>
      </w:r>
      <w:r>
        <w:rPr>
          <w:rFonts w:cs="Monotype Koufi" w:hint="cs"/>
          <w:rtl/>
        </w:rPr>
        <w:t>:</w:t>
      </w:r>
      <w:r w:rsidR="009C32A0">
        <w:rPr>
          <w:rFonts w:eastAsia="Times New Roman" w:hint="cs"/>
          <w:bCs/>
          <w:rtl/>
        </w:rPr>
        <w:t xml:space="preserve"> </w:t>
      </w:r>
      <w:r w:rsidR="009C32A0">
        <w:rPr>
          <w:rFonts w:eastAsia="Times New Roman" w:hint="cs"/>
          <w:rtl/>
        </w:rPr>
        <w:t>قد مر بنا في النقل السابق قول الإمام السبكي فيه</w:t>
      </w:r>
      <w:r>
        <w:rPr>
          <w:rFonts w:eastAsia="Times New Roman" w:hint="cs"/>
          <w:rtl/>
        </w:rPr>
        <w:t>،</w:t>
      </w:r>
      <w:r w:rsidR="009C32A0">
        <w:rPr>
          <w:rFonts w:eastAsia="Times New Roman" w:hint="cs"/>
          <w:rtl/>
        </w:rPr>
        <w:t xml:space="preserve"> نقله عنه الشيخ زاهد الكوثري</w:t>
      </w:r>
      <w:r>
        <w:rPr>
          <w:rFonts w:eastAsia="Times New Roman" w:hint="cs"/>
          <w:rtl/>
        </w:rPr>
        <w:t>،</w:t>
      </w:r>
      <w:r w:rsidR="009C32A0">
        <w:rPr>
          <w:rFonts w:eastAsia="Times New Roman" w:hint="cs"/>
          <w:rtl/>
        </w:rPr>
        <w:t xml:space="preserve"> </w:t>
      </w:r>
      <w:r w:rsidR="009C32A0">
        <w:rPr>
          <w:rFonts w:hint="cs"/>
          <w:rtl/>
        </w:rPr>
        <w:t>وقال الإمام السبكي - في درة من كلامه تكتب بماء الذهب لأني أرى أنها التقييم الصحيح للذهبي - في طبقات الشافعية الكبرى</w:t>
      </w:r>
      <w:r>
        <w:rPr>
          <w:rFonts w:hint="cs"/>
          <w:rtl/>
        </w:rPr>
        <w:t xml:space="preserve">: </w:t>
      </w:r>
      <w:r w:rsidR="009C32A0">
        <w:rPr>
          <w:rFonts w:hint="cs"/>
          <w:rtl/>
        </w:rPr>
        <w:t xml:space="preserve">" وهذا شيخنا الذهبي رحمه الله من هذا القبيل له علم وديانة وعنده على أهل السنة تحمل مفرط </w:t>
      </w:r>
      <w:r w:rsidR="009C32A0">
        <w:rPr>
          <w:rFonts w:hint="cs"/>
          <w:rtl/>
        </w:rPr>
        <w:lastRenderedPageBreak/>
        <w:t>فلا يجوز أن يعتمد عليه</w:t>
      </w:r>
      <w:r>
        <w:rPr>
          <w:rFonts w:hint="cs"/>
          <w:rtl/>
        </w:rPr>
        <w:t xml:space="preserve">، </w:t>
      </w:r>
      <w:r w:rsidR="009C32A0">
        <w:rPr>
          <w:rFonts w:hint="cs"/>
          <w:rtl/>
        </w:rPr>
        <w:t>ونقلت من خط الحافظ صلاح الدين خليل بن كيكلدي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Pr>
          <w:rFonts w:hint="cs"/>
          <w:rtl/>
        </w:rPr>
        <w:t>،</w:t>
      </w:r>
      <w:r w:rsidR="009C32A0">
        <w:rPr>
          <w:rFonts w:hint="cs"/>
          <w:rtl/>
        </w:rPr>
        <w:t xml:space="preserve"> انتهى</w:t>
      </w:r>
      <w:r>
        <w:rPr>
          <w:rFonts w:hint="cs"/>
          <w:rtl/>
        </w:rPr>
        <w:t>،</w:t>
      </w:r>
      <w:r w:rsidR="009C32A0">
        <w:rPr>
          <w:rFonts w:hint="cs"/>
          <w:rtl/>
        </w:rPr>
        <w:t xml:space="preserve"> والحال في حق شيخنا الذهبي أزيد مما وصف وهو شيخنا ومعلمنا غير أن الحق أحق أن يتبع وقد وصل من التعصب المفرط إلى حد يسخر منه</w:t>
      </w:r>
      <w:r>
        <w:rPr>
          <w:rFonts w:hint="cs"/>
          <w:rtl/>
        </w:rPr>
        <w:t>،</w:t>
      </w:r>
      <w:r w:rsidR="009C32A0">
        <w:rPr>
          <w:rFonts w:hint="cs"/>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Pr>
          <w:rFonts w:hint="cs"/>
          <w:rtl/>
        </w:rPr>
        <w:t>،</w:t>
      </w:r>
      <w:r w:rsidR="009C32A0">
        <w:rPr>
          <w:rFonts w:hint="cs"/>
          <w:rtl/>
        </w:rPr>
        <w:t xml:space="preserve"> والذى أعتقده أنهم خصماؤه يوم القيامة</w:t>
      </w:r>
      <w:r>
        <w:rPr>
          <w:rFonts w:hint="cs"/>
          <w:rtl/>
        </w:rPr>
        <w:t>،</w:t>
      </w:r>
      <w:r w:rsidR="009C32A0">
        <w:rPr>
          <w:rFonts w:hint="cs"/>
          <w:rtl/>
        </w:rPr>
        <w:t xml:space="preserve"> من لعل أدناهم عنده أوجه منه فالله المسئول أن يخفف عنه وأن يلهمهم العفو عنه وأن يشفعهم فيه</w:t>
      </w:r>
      <w:r>
        <w:rPr>
          <w:rFonts w:hint="cs"/>
          <w:rtl/>
        </w:rPr>
        <w:t>،</w:t>
      </w:r>
      <w:r w:rsidR="009C32A0">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9C32A0">
        <w:rPr>
          <w:rFonts w:hint="cs"/>
          <w:rtl/>
        </w:rPr>
        <w:t xml:space="preserve"> وأما قول العلائي رحمه الله دينه وورعه وتحريه 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ثم قرطم الكلام ومزقه وفعل من التعصب مالا يخفي على ذي بصيرة ثم هو مع ذلك غير خبير بمدلولات الألفاظ كما ينبغي فربما ذكر لفظة من الذم لو عقل معناها لما نطق بها ودائما أتعجب من ذكره الإمام فخر </w:t>
      </w:r>
      <w:r w:rsidR="009C32A0">
        <w:rPr>
          <w:rFonts w:hint="cs"/>
          <w:rtl/>
        </w:rPr>
        <w:lastRenderedPageBreak/>
        <w:t>الدين الرازي في كتاب الميزان في الضعفاء وكذلك السيف الآمدي وأقول يالله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Pr>
          <w:rFonts w:hint="cs"/>
          <w:rtl/>
        </w:rPr>
        <w:t>،</w:t>
      </w:r>
      <w:r w:rsidR="009C32A0">
        <w:rPr>
          <w:rFonts w:hint="cs"/>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Pr>
          <w:rFonts w:hint="cs"/>
          <w:rtl/>
        </w:rPr>
        <w:t xml:space="preserve"> </w:t>
      </w:r>
      <w:r w:rsidR="009C32A0">
        <w:rPr>
          <w:rFonts w:hint="cs"/>
          <w:rtl/>
        </w:rPr>
        <w:t>" أ هـ</w:t>
      </w:r>
      <w:r>
        <w:rPr>
          <w:rFonts w:hint="cs"/>
          <w:rtl/>
        </w:rPr>
        <w:t xml:space="preserve"> [</w:t>
      </w:r>
      <w:r w:rsidR="009C32A0">
        <w:rPr>
          <w:rFonts w:hint="cs"/>
          <w:rtl/>
        </w:rPr>
        <w:t>طبقات الشافعية الكبرى</w:t>
      </w:r>
      <w:r>
        <w:rPr>
          <w:rFonts w:hint="cs"/>
          <w:rtl/>
        </w:rPr>
        <w:t>،</w:t>
      </w:r>
      <w:r w:rsidR="009C32A0">
        <w:rPr>
          <w:rFonts w:hint="cs"/>
          <w:rtl/>
        </w:rPr>
        <w:t xml:space="preserve"> ج</w:t>
      </w:r>
      <w:r>
        <w:rPr>
          <w:rFonts w:hint="cs"/>
          <w:rtl/>
        </w:rPr>
        <w:t xml:space="preserve">: </w:t>
      </w:r>
      <w:r w:rsidR="009C32A0">
        <w:rPr>
          <w:rFonts w:hint="cs"/>
          <w:rtl/>
        </w:rPr>
        <w:t>2 ص</w:t>
      </w:r>
      <w:r>
        <w:rPr>
          <w:rFonts w:hint="cs"/>
          <w:rtl/>
        </w:rPr>
        <w:t xml:space="preserve">: </w:t>
      </w:r>
      <w:r w:rsidR="009C32A0">
        <w:rPr>
          <w:rFonts w:hint="cs"/>
          <w:rtl/>
        </w:rPr>
        <w:t>13</w:t>
      </w:r>
      <w:r>
        <w:rPr>
          <w:rFonts w:hint="cs"/>
          <w:rtl/>
        </w:rPr>
        <w:t xml:space="preserve"> </w:t>
      </w:r>
      <w:r w:rsidR="009C32A0">
        <w:rPr>
          <w:rFonts w:hint="cs"/>
          <w:rtl/>
        </w:rPr>
        <w:t>إلى ص</w:t>
      </w:r>
      <w:r>
        <w:rPr>
          <w:rFonts w:hint="cs"/>
          <w:rtl/>
        </w:rPr>
        <w:t xml:space="preserve">: </w:t>
      </w:r>
      <w:r w:rsidR="009C32A0">
        <w:rPr>
          <w:rFonts w:hint="cs"/>
          <w:rtl/>
        </w:rPr>
        <w:t>15</w:t>
      </w:r>
      <w:r>
        <w:rPr>
          <w:rFonts w:hint="cs"/>
          <w:rtl/>
        </w:rPr>
        <w:t xml:space="preserve">]، </w:t>
      </w:r>
      <w:r w:rsidR="009C32A0">
        <w:rPr>
          <w:rFonts w:hint="cs"/>
          <w:rtl/>
        </w:rPr>
        <w:t xml:space="preserve">وقال في السيف الصقيل " وقال أيضا </w:t>
      </w:r>
      <w:r>
        <w:rPr>
          <w:rFonts w:hint="cs"/>
          <w:rtl/>
        </w:rPr>
        <w:t>(</w:t>
      </w:r>
      <w:r w:rsidR="009C32A0">
        <w:rPr>
          <w:rFonts w:hint="cs"/>
          <w:rtl/>
        </w:rPr>
        <w:t>أي السبكي</w:t>
      </w:r>
      <w:r>
        <w:rPr>
          <w:rFonts w:hint="cs"/>
          <w:rtl/>
        </w:rPr>
        <w:t xml:space="preserve">) </w:t>
      </w:r>
      <w:r w:rsidR="009C32A0">
        <w:rPr>
          <w:rFonts w:hint="cs"/>
          <w:rtl/>
        </w:rPr>
        <w:t>في ترجمة ابن جرير ناقلا عن الحافظ صلاح الدين العلائي أنه قال عن الذهبي ما نصه</w:t>
      </w:r>
      <w:r>
        <w:rPr>
          <w:rFonts w:hint="cs"/>
          <w:rtl/>
        </w:rPr>
        <w:t xml:space="preserve">: </w:t>
      </w:r>
      <w:r w:rsidR="009C32A0">
        <w:rPr>
          <w:rFonts w:hint="cs"/>
          <w:rtl/>
        </w:rPr>
        <w:t>"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Pr>
          <w:rFonts w:hint="cs"/>
          <w:rtl/>
        </w:rPr>
        <w:t xml:space="preserve"> </w:t>
      </w:r>
      <w:r w:rsidR="009C32A0">
        <w:rPr>
          <w:rFonts w:hint="cs"/>
          <w:rtl/>
        </w:rPr>
        <w:t>يطنب في وصفه ويتغافل عن غلطاته ويتأول له ما أمكن</w:t>
      </w:r>
      <w:r>
        <w:rPr>
          <w:rFonts w:hint="cs"/>
          <w:rtl/>
        </w:rPr>
        <w:t>،</w:t>
      </w:r>
      <w:r w:rsidR="009C32A0">
        <w:rPr>
          <w:rFonts w:hint="cs"/>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Pr>
          <w:rFonts w:hint="cs"/>
          <w:rtl/>
        </w:rPr>
        <w:t>،</w:t>
      </w:r>
      <w:r w:rsidR="009C32A0">
        <w:rPr>
          <w:rFonts w:hint="cs"/>
          <w:rtl/>
        </w:rPr>
        <w:t xml:space="preserve"> انتهى "</w:t>
      </w:r>
      <w:r>
        <w:rPr>
          <w:rFonts w:hint="cs"/>
          <w:rtl/>
        </w:rPr>
        <w:t>،</w:t>
      </w:r>
      <w:r w:rsidR="009C32A0">
        <w:rPr>
          <w:rFonts w:hint="cs"/>
          <w:rtl/>
        </w:rPr>
        <w:t xml:space="preserve"> قال التاج ابن السبكي عقب ما تقدم ما نصه</w:t>
      </w:r>
      <w:r>
        <w:rPr>
          <w:rFonts w:hint="cs"/>
          <w:rtl/>
        </w:rPr>
        <w:t xml:space="preserve">: </w:t>
      </w:r>
      <w:r w:rsidR="009C32A0">
        <w:rPr>
          <w:rFonts w:hint="cs"/>
          <w:rtl/>
        </w:rPr>
        <w:t>"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Pr>
          <w:rFonts w:hint="cs"/>
          <w:rtl/>
        </w:rPr>
        <w:t>،</w:t>
      </w:r>
      <w:r w:rsidR="009C32A0">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9C32A0">
        <w:rPr>
          <w:rFonts w:hint="cs"/>
          <w:rtl/>
        </w:rPr>
        <w:t xml:space="preserve"> وأما قول العلائي عن</w:t>
      </w:r>
      <w:r>
        <w:rPr>
          <w:rFonts w:hint="cs"/>
          <w:rtl/>
        </w:rPr>
        <w:t xml:space="preserve">: </w:t>
      </w:r>
      <w:r w:rsidR="009C32A0">
        <w:rPr>
          <w:rFonts w:hint="cs"/>
          <w:rtl/>
        </w:rPr>
        <w:t>دينه وورعه وتحريه فيما يقوله فقد كنت أعتقد ذلك وأقول عند هذه الأشياء ربما اعتقدها ديناً</w:t>
      </w:r>
      <w:r>
        <w:rPr>
          <w:rFonts w:hint="cs"/>
          <w:rtl/>
        </w:rPr>
        <w:t>،</w:t>
      </w:r>
      <w:r w:rsidR="009C32A0">
        <w:rPr>
          <w:rFonts w:hint="cs"/>
          <w:rtl/>
        </w:rPr>
        <w:t xml:space="preserve"> ومنها 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قلة معرفته بمدلولات الألفاظ ومع اعتقاده </w:t>
      </w:r>
      <w:r>
        <w:rPr>
          <w:rFonts w:hint="cs"/>
          <w:rtl/>
        </w:rPr>
        <w:t>(</w:t>
      </w:r>
      <w:r w:rsidR="009C32A0">
        <w:rPr>
          <w:rFonts w:hint="cs"/>
          <w:rtl/>
        </w:rPr>
        <w:t>أن ذلك</w:t>
      </w:r>
      <w:r>
        <w:rPr>
          <w:rFonts w:hint="cs"/>
          <w:rtl/>
        </w:rPr>
        <w:t xml:space="preserve">) </w:t>
      </w:r>
      <w:r w:rsidR="009C32A0">
        <w:rPr>
          <w:rFonts w:hint="cs"/>
          <w:rtl/>
        </w:rPr>
        <w:t>مما يوجب نصر العقيدة التي يعتقدها هو حقاً</w:t>
      </w:r>
      <w:r>
        <w:rPr>
          <w:rFonts w:hint="cs"/>
          <w:rtl/>
        </w:rPr>
        <w:t>،</w:t>
      </w:r>
      <w:r w:rsidR="009C32A0">
        <w:rPr>
          <w:rFonts w:hint="cs"/>
          <w:rtl/>
        </w:rPr>
        <w:t xml:space="preserve"> ومع عدم ممارسته لعلوم الشريعة غير أنى لما أكثرت بعد موته النظر في كلامه عند الاحتياج الى النظر فيه توقفت في تحريه </w:t>
      </w:r>
      <w:r w:rsidR="009C32A0">
        <w:rPr>
          <w:rFonts w:hint="cs"/>
          <w:rtl/>
        </w:rPr>
        <w:lastRenderedPageBreak/>
        <w:t>فيما يقوله ولا أزيد على هذا غير الإحالة على كلامه “</w:t>
      </w:r>
      <w:r>
        <w:rPr>
          <w:rFonts w:hint="cs"/>
          <w:rtl/>
        </w:rPr>
        <w:t xml:space="preserve"> </w:t>
      </w:r>
      <w:r w:rsidR="009C32A0">
        <w:rPr>
          <w:rFonts w:hint="cs"/>
          <w:rtl/>
        </w:rPr>
        <w:t>…</w:t>
      </w:r>
      <w:r>
        <w:rPr>
          <w:rFonts w:hint="cs"/>
          <w:rtl/>
        </w:rPr>
        <w:t xml:space="preserve">، </w:t>
      </w:r>
      <w:r w:rsidR="009C32A0">
        <w:rPr>
          <w:rFonts w:hint="cs"/>
          <w:rtl/>
        </w:rPr>
        <w:t>الى آخر ما قاله فليراجع باقي كلامه من أراد المزيد على ما نقلنا</w:t>
      </w:r>
      <w:r>
        <w:rPr>
          <w:rFonts w:hint="cs"/>
          <w:rtl/>
        </w:rPr>
        <w:t>،</w:t>
      </w:r>
      <w:r w:rsidR="009C32A0">
        <w:rPr>
          <w:rFonts w:hint="cs"/>
          <w:rtl/>
        </w:rPr>
        <w:t xml:space="preserve"> وقال التاج أيضاً في طبقاته وهو يترجم لإمام الحرمين ما نصه</w:t>
      </w:r>
      <w:r>
        <w:rPr>
          <w:rFonts w:hint="cs"/>
          <w:rtl/>
        </w:rPr>
        <w:t>:</w:t>
      </w:r>
      <w:r w:rsidR="009C32A0">
        <w:rPr>
          <w:rFonts w:hint="cs"/>
          <w:rtl/>
        </w:rPr>
        <w:t xml:space="preserve"> " وقد كان الذهبى لا يدرى شرح البرهان</w:t>
      </w:r>
      <w:r>
        <w:rPr>
          <w:rFonts w:hint="cs"/>
          <w:rtl/>
        </w:rPr>
        <w:t>،</w:t>
      </w:r>
      <w:r w:rsidR="009C32A0">
        <w:rPr>
          <w:rFonts w:hint="cs"/>
          <w:rtl/>
        </w:rPr>
        <w:t xml:space="preserve"> ولا هذه الصناعة</w:t>
      </w:r>
      <w:r>
        <w:rPr>
          <w:rFonts w:hint="cs"/>
          <w:rtl/>
        </w:rPr>
        <w:t>،</w:t>
      </w:r>
      <w:r w:rsidR="009C32A0">
        <w:rPr>
          <w:rFonts w:hint="cs"/>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Pr>
          <w:rFonts w:hint="cs"/>
          <w:rtl/>
        </w:rPr>
        <w:t>،</w:t>
      </w:r>
      <w:r w:rsidR="009C32A0">
        <w:rPr>
          <w:rFonts w:hint="cs"/>
          <w:rtl/>
        </w:rPr>
        <w:t xml:space="preserve"> ورجل هذا حاله أي قدر يكون قدره عند أولى النهى الذين عرفوا دخائله</w:t>
      </w:r>
      <w:r>
        <w:rPr>
          <w:rFonts w:hint="cs"/>
          <w:rtl/>
        </w:rPr>
        <w:t>،</w:t>
      </w:r>
      <w:r w:rsidR="009C32A0">
        <w:rPr>
          <w:rFonts w:hint="cs"/>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Pr>
          <w:rFonts w:hint="cs"/>
          <w:rtl/>
        </w:rPr>
        <w:t>(</w:t>
      </w:r>
      <w:r w:rsidR="009C32A0">
        <w:rPr>
          <w:rFonts w:hint="cs"/>
          <w:rtl/>
        </w:rPr>
        <w:t>والذى أدركنا عليه المشايخ النهي عن النظر في كلامه وعدم اعتبار قوله</w:t>
      </w:r>
      <w:r>
        <w:rPr>
          <w:rFonts w:hint="cs"/>
          <w:rtl/>
        </w:rPr>
        <w:t xml:space="preserve">) </w:t>
      </w:r>
      <w:r w:rsidR="009C32A0">
        <w:rPr>
          <w:rFonts w:hint="cs"/>
          <w:rtl/>
        </w:rPr>
        <w:t>فإن هذا معناه القضاء على الرجل وإسقاطه من عداد العلماء الذين يحترم قولهم</w:t>
      </w:r>
      <w:r>
        <w:rPr>
          <w:rFonts w:hint="cs"/>
          <w:rtl/>
        </w:rPr>
        <w:t>،</w:t>
      </w:r>
      <w:r w:rsidR="009C32A0">
        <w:rPr>
          <w:rFonts w:hint="cs"/>
          <w:rtl/>
        </w:rPr>
        <w:t xml:space="preserve"> ليتأمل القارئ طويلا في قول التاج ابن السبكي السابق أيضا </w:t>
      </w:r>
      <w:r>
        <w:rPr>
          <w:rFonts w:hint="cs"/>
          <w:rtl/>
        </w:rPr>
        <w:t>(</w:t>
      </w:r>
      <w:r w:rsidR="009C32A0">
        <w:rPr>
          <w:rFonts w:hint="cs"/>
          <w:rtl/>
        </w:rPr>
        <w:t>ولم يكن يستجرى أن يظهر كتبه التاريخية إلا لمن يغلب على ظنه أن لا ينقل عنه ما يعاب عليه</w:t>
      </w:r>
      <w:r>
        <w:rPr>
          <w:rFonts w:hint="cs"/>
          <w:rtl/>
        </w:rPr>
        <w:t xml:space="preserve">) </w:t>
      </w:r>
      <w:r w:rsidR="009C32A0">
        <w:rPr>
          <w:rFonts w:hint="cs"/>
          <w:rtl/>
        </w:rPr>
        <w:t>فإن هذا معناه أن الرجل كان يعلم حق العلم أنه قال في تلك الكتب ما يوقن أنه ليس بحق</w:t>
      </w:r>
      <w:r>
        <w:rPr>
          <w:rFonts w:hint="cs"/>
          <w:rtl/>
        </w:rPr>
        <w:t>،</w:t>
      </w:r>
      <w:r w:rsidR="009C32A0">
        <w:rPr>
          <w:rFonts w:hint="cs"/>
          <w:rtl/>
        </w:rPr>
        <w:t xml:space="preserve"> ولذلك كان يحرص على</w:t>
      </w:r>
      <w:r>
        <w:rPr>
          <w:rFonts w:hint="cs"/>
          <w:rtl/>
        </w:rPr>
        <w:t xml:space="preserve"> </w:t>
      </w:r>
      <w:r w:rsidR="009C32A0">
        <w:rPr>
          <w:rFonts w:hint="cs"/>
          <w:rtl/>
        </w:rPr>
        <w:t>أن لا يطلع الناس عليه لئلا يفتضح بأكاذيبه البعيدة عما عليه العلماء الذين يكتب عنهم</w:t>
      </w:r>
      <w:r>
        <w:rPr>
          <w:rFonts w:hint="cs"/>
          <w:rtl/>
        </w:rPr>
        <w:t>،</w:t>
      </w:r>
      <w:r w:rsidR="009C32A0">
        <w:rPr>
          <w:rFonts w:hint="cs"/>
          <w:rtl/>
        </w:rPr>
        <w:t xml:space="preserve"> وأرجو وألح في الرجاء أن لا يغفل القارئ عن قول صاحب الطبقات السابق في هذا الرجل من أنه </w:t>
      </w:r>
      <w:r>
        <w:rPr>
          <w:rFonts w:hint="cs"/>
          <w:rtl/>
        </w:rPr>
        <w:t>(</w:t>
      </w:r>
      <w:r w:rsidR="009C32A0">
        <w:rPr>
          <w:rFonts w:hint="cs"/>
          <w:rtl/>
        </w:rPr>
        <w:t>كان قليل المعرفة بمدلولات الألفاظ</w:t>
      </w:r>
      <w:r>
        <w:rPr>
          <w:rFonts w:hint="cs"/>
          <w:rtl/>
        </w:rPr>
        <w:t xml:space="preserve">) </w:t>
      </w:r>
      <w:r w:rsidR="009C32A0">
        <w:rPr>
          <w:rFonts w:hint="cs"/>
          <w:rtl/>
        </w:rPr>
        <w:t>ومن من العقلاء يرضى أن يسقط نفسه فيعد من زمرة العلماء رجلاً يصل به الجهل الى درجة قلة المعرفة بمدلولات الألفاظ</w:t>
      </w:r>
      <w:r>
        <w:rPr>
          <w:rFonts w:hint="cs"/>
          <w:rtl/>
        </w:rPr>
        <w:t>؟</w:t>
      </w:r>
      <w:r w:rsidR="009C32A0">
        <w:rPr>
          <w:rFonts w:hint="cs"/>
          <w:rtl/>
        </w:rPr>
        <w:t xml:space="preserve"> كما أرجو القارئ أيضا وأشدد في هذا الرجاء أن يلتفت لقول صاحب جمع الجوامع </w:t>
      </w:r>
      <w:r>
        <w:rPr>
          <w:rFonts w:hint="cs"/>
          <w:rtl/>
        </w:rPr>
        <w:t>(</w:t>
      </w:r>
      <w:r w:rsidR="009C32A0">
        <w:rPr>
          <w:rFonts w:hint="cs"/>
          <w:rtl/>
        </w:rPr>
        <w:t>إن الذهبي لم يمارس علوم الشريعة</w:t>
      </w:r>
      <w:r>
        <w:rPr>
          <w:rFonts w:hint="cs"/>
          <w:rtl/>
        </w:rPr>
        <w:t xml:space="preserve">) </w:t>
      </w:r>
      <w:r w:rsidR="009C32A0">
        <w:rPr>
          <w:rFonts w:hint="cs"/>
          <w:rtl/>
        </w:rPr>
        <w:t>ومن فقد رشده وضاع صوابه حتى يستطيع أن يعد من العلماء رجلاً لم يمارس الشريعة فليعلم حق العلم ليراعي حق الرعاية</w:t>
      </w:r>
      <w:r>
        <w:rPr>
          <w:rFonts w:hint="cs"/>
          <w:rtl/>
        </w:rPr>
        <w:t>،</w:t>
      </w:r>
      <w:r w:rsidR="009C32A0">
        <w:rPr>
          <w:rFonts w:hint="cs"/>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Pr>
          <w:rFonts w:hint="cs"/>
          <w:rtl/>
        </w:rPr>
        <w:t>،</w:t>
      </w:r>
      <w:r w:rsidR="009C32A0">
        <w:rPr>
          <w:rFonts w:hint="cs"/>
          <w:rtl/>
        </w:rPr>
        <w:t xml:space="preserve"> وقد أشرت الى حاله في مواضع مما علقت به على ذيول طبقات الحفاظ وزغل العلم</w:t>
      </w:r>
      <w:r>
        <w:rPr>
          <w:rFonts w:hint="cs"/>
          <w:rtl/>
        </w:rPr>
        <w:t>،</w:t>
      </w:r>
      <w:r w:rsidR="009C32A0">
        <w:rPr>
          <w:rFonts w:hint="cs"/>
          <w:rtl/>
        </w:rPr>
        <w:t xml:space="preserve"> ومما يزيدك بصيرة في هذا الباب اجتراء الذهبي على حذف لفظ </w:t>
      </w:r>
      <w:r>
        <w:rPr>
          <w:rFonts w:hint="cs"/>
          <w:rtl/>
        </w:rPr>
        <w:t>(</w:t>
      </w:r>
      <w:r w:rsidR="009C32A0">
        <w:rPr>
          <w:rFonts w:hint="cs"/>
          <w:rtl/>
        </w:rPr>
        <w:t>إن صحت الحكاية عنه</w:t>
      </w:r>
      <w:r>
        <w:rPr>
          <w:rFonts w:hint="cs"/>
          <w:rtl/>
        </w:rPr>
        <w:t xml:space="preserve">) </w:t>
      </w:r>
      <w:r w:rsidR="009C32A0">
        <w:rPr>
          <w:rFonts w:hint="cs"/>
          <w:rtl/>
        </w:rPr>
        <w:t xml:space="preserve">من كلام البيهقي في الأسماء والصفات </w:t>
      </w:r>
      <w:r>
        <w:rPr>
          <w:rFonts w:hint="cs"/>
          <w:rtl/>
        </w:rPr>
        <w:t>(</w:t>
      </w:r>
      <w:r w:rsidR="009C32A0">
        <w:rPr>
          <w:rFonts w:hint="cs"/>
          <w:rtl/>
        </w:rPr>
        <w:t>ص</w:t>
      </w:r>
      <w:r>
        <w:rPr>
          <w:rFonts w:hint="cs"/>
          <w:rtl/>
        </w:rPr>
        <w:t xml:space="preserve"> </w:t>
      </w:r>
      <w:r w:rsidR="009C32A0">
        <w:rPr>
          <w:rFonts w:hint="cs"/>
          <w:rtl/>
        </w:rPr>
        <w:t>30 3</w:t>
      </w:r>
      <w:r>
        <w:rPr>
          <w:rFonts w:hint="cs"/>
          <w:rtl/>
        </w:rPr>
        <w:t xml:space="preserve">) </w:t>
      </w:r>
      <w:r w:rsidR="009C32A0">
        <w:rPr>
          <w:rFonts w:hint="cs"/>
          <w:rtl/>
        </w:rPr>
        <w:t xml:space="preserve">عندما نقل كلامه في كتاب العلو </w:t>
      </w:r>
      <w:r>
        <w:rPr>
          <w:rFonts w:hint="cs"/>
          <w:rtl/>
        </w:rPr>
        <w:t>(</w:t>
      </w:r>
      <w:r w:rsidR="009C32A0">
        <w:rPr>
          <w:rFonts w:hint="cs"/>
          <w:rtl/>
        </w:rPr>
        <w:t>ص 126</w:t>
      </w:r>
      <w:r>
        <w:rPr>
          <w:rFonts w:hint="cs"/>
          <w:rtl/>
        </w:rPr>
        <w:t xml:space="preserve">) </w:t>
      </w:r>
      <w:r w:rsidR="009C32A0">
        <w:rPr>
          <w:rFonts w:hint="cs"/>
          <w:rtl/>
        </w:rPr>
        <w:t>في صدد نسبة القول بأن الله في السماء</w:t>
      </w:r>
      <w:r>
        <w:rPr>
          <w:rFonts w:hint="cs"/>
          <w:rtl/>
        </w:rPr>
        <w:t>،</w:t>
      </w:r>
      <w:r w:rsidR="009C32A0">
        <w:rPr>
          <w:rFonts w:hint="cs"/>
          <w:rtl/>
        </w:rPr>
        <w:t xml:space="preserve"> الى أبى حنيفة ليخيل الى السامع أن سند هذه الرواية لا مغمز فيه مع أن نوحا الجامع ربيب مقاتل بن سليمان المجسم</w:t>
      </w:r>
      <w:r>
        <w:rPr>
          <w:rFonts w:hint="cs"/>
          <w:rtl/>
        </w:rPr>
        <w:t>،</w:t>
      </w:r>
      <w:r w:rsidR="009C32A0">
        <w:rPr>
          <w:rFonts w:hint="cs"/>
          <w:rtl/>
        </w:rPr>
        <w:t xml:space="preserve"> وفي السند هالك مثل زوج أمه</w:t>
      </w:r>
      <w:r>
        <w:rPr>
          <w:rFonts w:hint="cs"/>
          <w:rtl/>
        </w:rPr>
        <w:t>،</w:t>
      </w:r>
      <w:r w:rsidR="009C32A0">
        <w:rPr>
          <w:rFonts w:hint="cs"/>
          <w:rtl/>
        </w:rPr>
        <w:t xml:space="preserve"> وكذلك نعيم بن حماد ربيب نوح</w:t>
      </w:r>
      <w:r>
        <w:rPr>
          <w:rFonts w:hint="cs"/>
          <w:rtl/>
        </w:rPr>
        <w:t>،</w:t>
      </w:r>
      <w:r w:rsidR="009C32A0">
        <w:rPr>
          <w:rFonts w:hint="cs"/>
          <w:rtl/>
        </w:rPr>
        <w:t xml:space="preserve"> وقد ذكره كثير من أئمة أصول الدين في عداد المجسمة </w:t>
      </w:r>
      <w:r w:rsidR="009C32A0">
        <w:rPr>
          <w:rFonts w:hint="cs"/>
          <w:rtl/>
        </w:rPr>
        <w:lastRenderedPageBreak/>
        <w:t>فأين التعويل على رواية مجسم فيما يحتج به لمذهبه</w:t>
      </w:r>
      <w:r>
        <w:rPr>
          <w:rFonts w:hint="cs"/>
          <w:rtl/>
        </w:rPr>
        <w:t>؟</w:t>
      </w:r>
      <w:r w:rsidR="009C32A0">
        <w:rPr>
          <w:rFonts w:hint="cs"/>
          <w:rtl/>
        </w:rPr>
        <w:t xml:space="preserve"> وليس بقليل ما ذكره الذهبي في حقهما في ميزان الاعتدال في أنه لو سبق التفاف نحو عشرة آلاف شخص حول بدعه امرأة أتت من ترمذ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Pr>
          <w:rFonts w:hint="cs"/>
          <w:rtl/>
        </w:rPr>
        <w:t>،</w:t>
      </w:r>
      <w:r w:rsidR="009C32A0">
        <w:rPr>
          <w:rFonts w:hint="cs"/>
          <w:rtl/>
        </w:rPr>
        <w:t xml:space="preserve"> وقد ضعفه بلديه الحافظ العسال</w:t>
      </w:r>
      <w:r>
        <w:rPr>
          <w:rFonts w:hint="cs"/>
          <w:rtl/>
        </w:rPr>
        <w:t>،</w:t>
      </w:r>
      <w:r w:rsidR="009C32A0">
        <w:rPr>
          <w:rFonts w:hint="cs"/>
          <w:rtl/>
        </w:rPr>
        <w:t xml:space="preserve"> وقد أشار البيهقي بقوله </w:t>
      </w:r>
      <w:r>
        <w:rPr>
          <w:rFonts w:hint="cs"/>
          <w:rtl/>
        </w:rPr>
        <w:t>(</w:t>
      </w:r>
      <w:r w:rsidR="009C32A0">
        <w:rPr>
          <w:rFonts w:hint="cs"/>
          <w:rtl/>
        </w:rPr>
        <w:t>إن صحت الحكاية</w:t>
      </w:r>
      <w:r>
        <w:rPr>
          <w:rFonts w:hint="cs"/>
          <w:rtl/>
        </w:rPr>
        <w:t xml:space="preserve">) </w:t>
      </w:r>
      <w:r w:rsidR="009C32A0">
        <w:rPr>
          <w:rFonts w:hint="cs"/>
          <w:rtl/>
        </w:rPr>
        <w:t>الى ما في الرواية من وجوه الخلل</w:t>
      </w:r>
      <w:r>
        <w:rPr>
          <w:rFonts w:hint="cs"/>
          <w:rtl/>
        </w:rPr>
        <w:t>،</w:t>
      </w:r>
      <w:r w:rsidR="009C32A0">
        <w:rPr>
          <w:rFonts w:hint="cs"/>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Pr>
          <w:rFonts w:hint="cs"/>
          <w:rtl/>
        </w:rPr>
        <w:t>(</w:t>
      </w:r>
      <w:r w:rsidR="009C32A0">
        <w:rPr>
          <w:rFonts w:hint="cs"/>
          <w:rtl/>
        </w:rPr>
        <w:t>من قال لا أعرف ربى في السماء أو في الأرض كفر</w:t>
      </w:r>
      <w:r>
        <w:rPr>
          <w:rFonts w:hint="cs"/>
          <w:rtl/>
        </w:rPr>
        <w:t xml:space="preserve">) </w:t>
      </w:r>
      <w:r w:rsidR="009C32A0">
        <w:rPr>
          <w:rFonts w:hint="cs"/>
          <w:rtl/>
        </w:rPr>
        <w:t>وعلل الأصحاب ذلك بأن هذا القائل جوز المكان في حقه تعالى وهو كفر</w:t>
      </w:r>
      <w:r>
        <w:rPr>
          <w:rFonts w:hint="cs"/>
          <w:rtl/>
        </w:rPr>
        <w:t>؟</w:t>
      </w:r>
      <w:r w:rsidR="009C32A0">
        <w:rPr>
          <w:rFonts w:hint="cs"/>
          <w:rtl/>
        </w:rPr>
        <w:t xml:space="preserve"> وما طبع في الهند باسم شرح الفقه الأكبر للماتريدي إنما هو شرح أبى الليث على الفقه الأبسط مع سقم النسخة الهندية</w:t>
      </w:r>
      <w:r>
        <w:rPr>
          <w:rFonts w:hint="cs"/>
          <w:rtl/>
        </w:rPr>
        <w:t>،</w:t>
      </w:r>
      <w:r w:rsidR="009C32A0">
        <w:rPr>
          <w:rFonts w:hint="cs"/>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Pr>
          <w:rFonts w:hint="cs"/>
          <w:rtl/>
        </w:rPr>
        <w:t>،</w:t>
      </w:r>
      <w:r w:rsidR="009C32A0">
        <w:rPr>
          <w:rFonts w:hint="cs"/>
          <w:rtl/>
        </w:rPr>
        <w:t xml:space="preserve"> ونقل الذهبي في كتاب العلو جملة ذلك بدون أن يذكر سند الراوي في روايته تعمية وترويجاً للباطل</w:t>
      </w:r>
      <w:r>
        <w:rPr>
          <w:rFonts w:hint="cs"/>
          <w:rtl/>
        </w:rPr>
        <w:t>،</w:t>
      </w:r>
      <w:r w:rsidR="009C32A0">
        <w:rPr>
          <w:rFonts w:hint="cs"/>
          <w:rtl/>
        </w:rPr>
        <w:t xml:space="preserve"> وكذا فعل الناظم في غزوة ـ راجع شرح أبى الليث وشرح البزدوي وإشارات المرام في عبارات الإمام للبياضي</w:t>
      </w:r>
      <w:r>
        <w:rPr>
          <w:rFonts w:hint="cs"/>
          <w:rtl/>
        </w:rPr>
        <w:t>،</w:t>
      </w:r>
      <w:r w:rsidR="009C32A0">
        <w:rPr>
          <w:rFonts w:hint="cs"/>
          <w:rtl/>
        </w:rPr>
        <w:t xml:space="preserve"> ودفع الشبه للتقى الحصني</w:t>
      </w:r>
      <w:r>
        <w:rPr>
          <w:rFonts w:hint="cs"/>
          <w:rtl/>
        </w:rPr>
        <w:t>،</w:t>
      </w:r>
      <w:r w:rsidR="009C32A0">
        <w:rPr>
          <w:rFonts w:hint="cs"/>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Pr>
          <w:rFonts w:hint="cs"/>
          <w:rtl/>
        </w:rPr>
        <w:t>،</w:t>
      </w:r>
      <w:r w:rsidR="009C32A0">
        <w:rPr>
          <w:rFonts w:hint="cs"/>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Pr>
          <w:rFonts w:hint="cs"/>
          <w:rtl/>
        </w:rPr>
        <w:t xml:space="preserve">: </w:t>
      </w:r>
      <w:r w:rsidR="009C32A0">
        <w:rPr>
          <w:rFonts w:hint="cs"/>
          <w:rtl/>
        </w:rPr>
        <w:t>حديث الشفاعة في أحمد</w:t>
      </w:r>
      <w:r>
        <w:rPr>
          <w:rFonts w:hint="cs"/>
          <w:rtl/>
        </w:rPr>
        <w:t xml:space="preserve"> </w:t>
      </w:r>
      <w:r w:rsidR="009C32A0">
        <w:rPr>
          <w:rFonts w:hint="cs"/>
          <w:rtl/>
        </w:rPr>
        <w:t xml:space="preserve">الى أحمد المصطفي بسنده الأبيات </w:t>
      </w:r>
      <w:r>
        <w:rPr>
          <w:rFonts w:hint="cs"/>
          <w:rtl/>
        </w:rPr>
        <w:t>(</w:t>
      </w:r>
      <w:r w:rsidR="009C32A0">
        <w:rPr>
          <w:rFonts w:hint="cs"/>
          <w:rtl/>
        </w:rPr>
        <w:t>وآخرها كما في بدائع الفوائد لابن القيم</w:t>
      </w:r>
      <w:r>
        <w:rPr>
          <w:rFonts w:hint="cs"/>
          <w:rtl/>
        </w:rPr>
        <w:t>: (</w:t>
      </w:r>
      <w:r w:rsidR="009C32A0">
        <w:rPr>
          <w:rFonts w:hint="cs"/>
          <w:rtl/>
        </w:rPr>
        <w:t>فلا تنكروا أنه قاعد</w:t>
      </w:r>
      <w:r>
        <w:rPr>
          <w:rFonts w:hint="cs"/>
          <w:rtl/>
        </w:rPr>
        <w:t xml:space="preserve"> </w:t>
      </w:r>
      <w:r w:rsidR="009C32A0">
        <w:rPr>
          <w:rFonts w:hint="cs"/>
          <w:rtl/>
        </w:rPr>
        <w:t>..</w:t>
      </w:r>
      <w:r>
        <w:rPr>
          <w:rFonts w:hint="cs"/>
          <w:rtl/>
        </w:rPr>
        <w:t xml:space="preserve">، </w:t>
      </w:r>
      <w:r w:rsidR="009C32A0">
        <w:rPr>
          <w:rFonts w:hint="cs"/>
          <w:rtl/>
        </w:rPr>
        <w:t>ولا تجحدوا أنه يقعد</w:t>
      </w:r>
      <w:r>
        <w:rPr>
          <w:rFonts w:hint="cs"/>
          <w:rtl/>
        </w:rPr>
        <w:t>)،</w:t>
      </w:r>
      <w:r w:rsidR="009C32A0">
        <w:rPr>
          <w:rFonts w:hint="cs"/>
          <w:rtl/>
        </w:rPr>
        <w:t xml:space="preserve"> فأحمد بن سلامة الحنبلي شيخ الذهبي مات سنة 678 والذهبي ابن خمس ويحيى بن أسعد بن بوش الحنبلي الخباز المتوفي سنة 593 وأحمد بن سلامة ابن أربع كان أمياً لا يكتب</w:t>
      </w:r>
      <w:r>
        <w:rPr>
          <w:rFonts w:hint="cs"/>
          <w:rtl/>
        </w:rPr>
        <w:t>،</w:t>
      </w:r>
      <w:r w:rsidR="009C32A0">
        <w:rPr>
          <w:rFonts w:hint="cs"/>
          <w:rtl/>
        </w:rPr>
        <w:t xml:space="preserve"> وأبو العز بن كادش أحمد بن عبد الله المتوفي سنة 526 من أصحاب العشاري اعترف بالوضع ويقال ثم تاب</w:t>
      </w:r>
      <w:r>
        <w:rPr>
          <w:rFonts w:hint="cs"/>
          <w:rtl/>
        </w:rPr>
        <w:t>،</w:t>
      </w:r>
      <w:r w:rsidR="009C32A0">
        <w:rPr>
          <w:rFonts w:hint="cs"/>
          <w:rtl/>
        </w:rPr>
        <w:t xml:space="preserve"> راجع الميزان وحكم مثله عند أهل النقد معروف</w:t>
      </w:r>
      <w:r>
        <w:rPr>
          <w:rFonts w:hint="cs"/>
          <w:rtl/>
        </w:rPr>
        <w:t>،</w:t>
      </w:r>
      <w:r w:rsidR="009C32A0">
        <w:rPr>
          <w:rFonts w:hint="cs"/>
          <w:rtl/>
        </w:rPr>
        <w:t xml:space="preserve"> وأبو طالب محمد بن على العشاري الحنبلي المتوفي سنة452 مغفل يتقن ما يلقن</w:t>
      </w:r>
      <w:r>
        <w:rPr>
          <w:rFonts w:hint="cs"/>
          <w:rtl/>
        </w:rPr>
        <w:t>،</w:t>
      </w:r>
      <w:r w:rsidR="009C32A0">
        <w:rPr>
          <w:rFonts w:hint="cs"/>
          <w:rtl/>
        </w:rPr>
        <w:t xml:space="preserve"> وقد راجت </w:t>
      </w:r>
      <w:r w:rsidR="009C32A0">
        <w:rPr>
          <w:rFonts w:hint="cs"/>
          <w:rtl/>
        </w:rPr>
        <w:lastRenderedPageBreak/>
        <w:t>عليه العقيدة المنسوبة الى الشافعي كذباً</w:t>
      </w:r>
      <w:r>
        <w:rPr>
          <w:rFonts w:hint="cs"/>
          <w:rtl/>
        </w:rPr>
        <w:t>،</w:t>
      </w:r>
      <w:r w:rsidR="009C32A0">
        <w:rPr>
          <w:rFonts w:hint="cs"/>
          <w:rtl/>
        </w:rPr>
        <w:t xml:space="preserve"> وكل ذلك باعتراف الذهبي نفسه في الميزان وغيره</w:t>
      </w:r>
      <w:r>
        <w:rPr>
          <w:rFonts w:hint="cs"/>
          <w:rtl/>
        </w:rPr>
        <w:t>،</w:t>
      </w:r>
      <w:r w:rsidR="009C32A0">
        <w:rPr>
          <w:rFonts w:hint="cs"/>
          <w:rtl/>
        </w:rPr>
        <w:t xml:space="preserve"> فهل يصح غزو تلك الأبيات الى الدارقطنى</w:t>
      </w:r>
      <w:r>
        <w:rPr>
          <w:rFonts w:hint="cs"/>
          <w:rtl/>
        </w:rPr>
        <w:t xml:space="preserve"> </w:t>
      </w:r>
      <w:r w:rsidR="009C32A0">
        <w:rPr>
          <w:rFonts w:hint="cs"/>
          <w:rtl/>
        </w:rPr>
        <w:t>بمثل هذا السند</w:t>
      </w:r>
      <w:r>
        <w:rPr>
          <w:rFonts w:hint="cs"/>
          <w:rtl/>
        </w:rPr>
        <w:t>؟</w:t>
      </w:r>
      <w:r w:rsidR="009C32A0">
        <w:rPr>
          <w:rFonts w:hint="cs"/>
          <w:rtl/>
        </w:rPr>
        <w:t xml:space="preserve"> وقال الذهبي أيضا في العبر في ترجمة ابى يعلى الحنبلي</w:t>
      </w:r>
      <w:r>
        <w:rPr>
          <w:rFonts w:hint="cs"/>
          <w:rtl/>
        </w:rPr>
        <w:t>: (</w:t>
      </w:r>
      <w:r w:rsidR="009C32A0">
        <w:rPr>
          <w:rFonts w:hint="cs"/>
          <w:rtl/>
        </w:rPr>
        <w:t>صاحب التصانيف وفقيه العصر كان إماما لا يدرك قراره ولا يشق غباره وجميع الطائفة معترفون بفضله ومغترفون من بحره</w:t>
      </w:r>
      <w:r>
        <w:rPr>
          <w:rFonts w:hint="cs"/>
          <w:rtl/>
        </w:rPr>
        <w:t xml:space="preserve">) </w:t>
      </w:r>
      <w:r w:rsidR="009C32A0">
        <w:rPr>
          <w:rFonts w:hint="cs"/>
          <w:rtl/>
        </w:rPr>
        <w:t>وأنت علمت حال أبى يعلى مما ذكره ابن الجوزي في دفع الشبه</w:t>
      </w:r>
      <w:r>
        <w:rPr>
          <w:rFonts w:hint="cs"/>
          <w:rtl/>
        </w:rPr>
        <w:t>،</w:t>
      </w:r>
      <w:r w:rsidR="009C32A0">
        <w:rPr>
          <w:rFonts w:hint="cs"/>
          <w:rtl/>
        </w:rPr>
        <w:t xml:space="preserve"> ومما نقلناه عن كتبه في هذا الكتاب ومما ذكره ابن الأثير الكامل في حوادث سنة 429</w:t>
      </w:r>
      <w:r>
        <w:rPr>
          <w:rFonts w:hint="cs"/>
          <w:rtl/>
        </w:rPr>
        <w:t>،</w:t>
      </w:r>
      <w:r w:rsidR="009C32A0">
        <w:rPr>
          <w:rFonts w:hint="cs"/>
          <w:rtl/>
        </w:rPr>
        <w:t xml:space="preserve"> وترى الذهبي كثيراً ما يقول في رد ما أخرجه الحاكم في المستدرك في فضائله صلى الله عليه وسلم وأهل بيته عليهم السلام</w:t>
      </w:r>
      <w:r>
        <w:rPr>
          <w:rFonts w:hint="cs"/>
          <w:rtl/>
        </w:rPr>
        <w:t xml:space="preserve">: </w:t>
      </w:r>
      <w:r w:rsidR="009C32A0">
        <w:rPr>
          <w:rFonts w:hint="cs"/>
          <w:rtl/>
        </w:rPr>
        <w:t>أظنه باطلاً</w:t>
      </w:r>
      <w:r>
        <w:rPr>
          <w:rFonts w:hint="cs"/>
          <w:rtl/>
        </w:rPr>
        <w:t>،</w:t>
      </w:r>
      <w:r w:rsidR="009C32A0">
        <w:rPr>
          <w:rFonts w:hint="cs"/>
          <w:rtl/>
        </w:rPr>
        <w:t xml:space="preserve"> بدون ذكر أي حجة</w:t>
      </w:r>
      <w:r>
        <w:rPr>
          <w:rFonts w:hint="cs"/>
          <w:rtl/>
        </w:rPr>
        <w:t>،</w:t>
      </w:r>
      <w:r w:rsidR="009C32A0">
        <w:rPr>
          <w:rFonts w:hint="cs"/>
          <w:rtl/>
        </w:rPr>
        <w:t xml:space="preserve"> وقد ذكر ابن الورد في تاريخه أنه أذى كثيراً من الأحياء بتدوين ما كان يسمعه من أحداث يجتمعون به</w:t>
      </w:r>
      <w:r>
        <w:rPr>
          <w:rFonts w:hint="cs"/>
          <w:rtl/>
        </w:rPr>
        <w:t xml:space="preserve">، </w:t>
      </w:r>
      <w:r w:rsidR="009C32A0">
        <w:rPr>
          <w:rFonts w:hint="cs"/>
          <w:rtl/>
        </w:rPr>
        <w:t>فريما ذكرنا كفاية في معرفة حال الذهبي نسأل الله السلامة</w:t>
      </w:r>
      <w:r>
        <w:rPr>
          <w:rFonts w:hint="cs"/>
          <w:rtl/>
        </w:rPr>
        <w:t>،</w:t>
      </w:r>
      <w:r w:rsidR="009C32A0">
        <w:rPr>
          <w:rFonts w:hint="cs"/>
          <w:rtl/>
        </w:rPr>
        <w:t xml:space="preserve"> ومع ذلك هو أهون شراً من الناظم وشيخه كما سبق " أهـ</w:t>
      </w:r>
      <w:r>
        <w:rPr>
          <w:rFonts w:hint="cs"/>
          <w:rtl/>
        </w:rPr>
        <w:t xml:space="preserve"> [</w:t>
      </w:r>
      <w:r w:rsidR="009C32A0">
        <w:rPr>
          <w:rFonts w:hint="cs"/>
          <w:rtl/>
        </w:rPr>
        <w:t>السيف الصقيل ص 2</w:t>
      </w:r>
      <w:r>
        <w:rPr>
          <w:rFonts w:hint="cs"/>
          <w:rtl/>
        </w:rPr>
        <w:t>،</w:t>
      </w:r>
      <w:r w:rsidR="009C32A0">
        <w:rPr>
          <w:rFonts w:hint="cs"/>
          <w:rtl/>
        </w:rPr>
        <w:t xml:space="preserve"> 2</w:t>
      </w:r>
      <w:r>
        <w:rPr>
          <w:rFonts w:hint="cs"/>
          <w:rtl/>
        </w:rPr>
        <w:t xml:space="preserve"> </w:t>
      </w:r>
      <w:r w:rsidR="009C32A0">
        <w:rPr>
          <w:rFonts w:hint="cs"/>
          <w:rtl/>
        </w:rPr>
        <w:t>- 2</w:t>
      </w:r>
      <w:r>
        <w:rPr>
          <w:rFonts w:hint="cs"/>
          <w:rtl/>
        </w:rPr>
        <w:t>،</w:t>
      </w:r>
      <w:r w:rsidR="009C32A0">
        <w:rPr>
          <w:rFonts w:hint="cs"/>
          <w:rtl/>
        </w:rPr>
        <w:t xml:space="preserve"> 6</w:t>
      </w:r>
      <w:r>
        <w:rPr>
          <w:rFonts w:hint="cs"/>
          <w:rtl/>
        </w:rPr>
        <w:t>]،</w:t>
      </w:r>
    </w:p>
    <w:p w14:paraId="6A2EC45D" w14:textId="77777777" w:rsidR="009C32A0" w:rsidRDefault="009C32A0" w:rsidP="000636C2">
      <w:pPr>
        <w:ind w:left="-58"/>
        <w:jc w:val="center"/>
        <w:rPr>
          <w:b/>
          <w:rtl/>
        </w:rPr>
      </w:pPr>
      <w:r>
        <w:rPr>
          <w:rFonts w:eastAsia="Times New Roman" w:hint="cs"/>
          <w:rtl/>
        </w:rPr>
        <w:t>***</w:t>
      </w:r>
    </w:p>
    <w:p w14:paraId="3863DB19" w14:textId="074D991A" w:rsidR="009C32A0" w:rsidRPr="00627D1B" w:rsidRDefault="000636C2" w:rsidP="00627D1B">
      <w:pPr>
        <w:pStyle w:val="2"/>
        <w:bidi/>
        <w:jc w:val="center"/>
        <w:rPr>
          <w:u w:val="none"/>
          <w:rtl/>
        </w:rPr>
      </w:pPr>
      <w:r w:rsidRPr="00627D1B">
        <w:rPr>
          <w:rFonts w:hint="cs"/>
          <w:u w:val="none"/>
          <w:rtl/>
        </w:rPr>
        <w:t>[</w:t>
      </w:r>
      <w:r w:rsidR="009C32A0" w:rsidRPr="00627D1B">
        <w:rPr>
          <w:rFonts w:hint="cs"/>
          <w:u w:val="none"/>
          <w:rtl/>
        </w:rPr>
        <w:t>سابعاً</w:t>
      </w:r>
      <w:r w:rsidRPr="00627D1B">
        <w:rPr>
          <w:rFonts w:hint="cs"/>
          <w:u w:val="none"/>
          <w:rtl/>
        </w:rPr>
        <w:t>]</w:t>
      </w:r>
      <w:r w:rsidR="00627D1B" w:rsidRPr="00627D1B">
        <w:rPr>
          <w:rFonts w:hint="cs"/>
          <w:u w:val="none"/>
          <w:rtl/>
        </w:rPr>
        <w:t xml:space="preserve"> </w:t>
      </w:r>
      <w:r w:rsidR="009C32A0" w:rsidRPr="00627D1B">
        <w:rPr>
          <w:rFonts w:hint="cs"/>
          <w:u w:val="none"/>
          <w:rtl/>
        </w:rPr>
        <w:t>تقييم دعوة الشيخ محمد ابن عبد الوهاب وما تسرب إليها من أفكار الحشوية</w:t>
      </w:r>
    </w:p>
    <w:p w14:paraId="4BCBEFAC" w14:textId="77777777" w:rsidR="009C32A0" w:rsidRDefault="009C32A0" w:rsidP="000636C2">
      <w:pPr>
        <w:ind w:left="-58"/>
        <w:rPr>
          <w:b/>
          <w:rtl/>
        </w:rPr>
      </w:pPr>
    </w:p>
    <w:p w14:paraId="69B67618" w14:textId="29953771" w:rsidR="009C32A0" w:rsidRDefault="009C32A0" w:rsidP="000636C2">
      <w:pPr>
        <w:ind w:left="-58"/>
        <w:rPr>
          <w:rFonts w:eastAsia="Times New Roman"/>
          <w:b/>
          <w:rtl/>
        </w:rPr>
      </w:pPr>
      <w:r>
        <w:rPr>
          <w:rFonts w:hint="cs"/>
          <w:rtl/>
        </w:rPr>
        <w:t>تبنى الشيخ محمد ابن عبد الوهاب نشر كتب وأفكار الإمام ابن تيمية بقوة السيف والسنان</w:t>
      </w:r>
      <w:r w:rsidR="000636C2">
        <w:rPr>
          <w:rFonts w:hint="cs"/>
          <w:rtl/>
        </w:rPr>
        <w:t>،</w:t>
      </w:r>
      <w:r>
        <w:rPr>
          <w:rFonts w:hint="cs"/>
          <w:rtl/>
        </w:rPr>
        <w:t xml:space="preserve"> ولكن</w:t>
      </w:r>
      <w:r w:rsidR="000636C2">
        <w:rPr>
          <w:rFonts w:hint="cs"/>
          <w:rtl/>
        </w:rPr>
        <w:t xml:space="preserve"> </w:t>
      </w:r>
      <w:r>
        <w:rPr>
          <w:rFonts w:hint="cs"/>
          <w:rtl/>
        </w:rPr>
        <w:t>أيضاً</w:t>
      </w:r>
      <w:r w:rsidR="000636C2">
        <w:rPr>
          <w:rFonts w:hint="cs"/>
          <w:rtl/>
        </w:rPr>
        <w:t xml:space="preserve">: </w:t>
      </w:r>
      <w:r>
        <w:rPr>
          <w:rFonts w:hint="cs"/>
          <w:rtl/>
        </w:rPr>
        <w:t>كانت له كذلك اجتهادات خاطئة في مباحث توحيد الألوهية</w:t>
      </w:r>
      <w:r w:rsidR="000636C2">
        <w:rPr>
          <w:rFonts w:hint="cs"/>
          <w:rtl/>
        </w:rPr>
        <w:t>،</w:t>
      </w:r>
      <w:r>
        <w:rPr>
          <w:rFonts w:hint="cs"/>
          <w:rtl/>
        </w:rPr>
        <w:t xml:space="preserve"> وفي مباحث توحيد الربوبية</w:t>
      </w:r>
      <w:r w:rsidR="000636C2">
        <w:rPr>
          <w:rFonts w:hint="cs"/>
          <w:rtl/>
        </w:rPr>
        <w:t>،</w:t>
      </w:r>
      <w:r>
        <w:rPr>
          <w:rFonts w:hint="cs"/>
          <w:rtl/>
        </w:rPr>
        <w:t xml:space="preserve"> وفي مباحث </w:t>
      </w:r>
      <w:r>
        <w:rPr>
          <w:rFonts w:hint="cs"/>
          <w:rtl/>
          <w:lang w:bidi="ar-KW"/>
        </w:rPr>
        <w:t>تقرير حقيقة الشرك الأكبر</w:t>
      </w:r>
      <w:r w:rsidR="000636C2">
        <w:rPr>
          <w:rFonts w:hint="cs"/>
          <w:rtl/>
          <w:lang w:bidi="ar-KW"/>
        </w:rPr>
        <w:t>،</w:t>
      </w:r>
      <w:r>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0636C2">
        <w:rPr>
          <w:rFonts w:hint="cs"/>
          <w:rtl/>
          <w:lang w:bidi="ar-KW"/>
        </w:rPr>
        <w:t>،</w:t>
      </w:r>
      <w:r>
        <w:rPr>
          <w:rFonts w:hint="cs"/>
          <w:rtl/>
          <w:lang w:bidi="ar-KW"/>
        </w:rPr>
        <w:t xml:space="preserve"> </w:t>
      </w:r>
      <w:r>
        <w:rPr>
          <w:rFonts w:hint="cs"/>
          <w:rtl/>
        </w:rPr>
        <w:t>وفي مجال الخطأ في الهجوم على علم التصوف برمته</w:t>
      </w:r>
      <w:r w:rsidR="000636C2">
        <w:rPr>
          <w:rFonts w:hint="cs"/>
          <w:rtl/>
        </w:rPr>
        <w:t>،</w:t>
      </w:r>
      <w:r>
        <w:rPr>
          <w:rFonts w:hint="cs"/>
          <w:rtl/>
        </w:rPr>
        <w:t xml:space="preserve"> بحسنه وسيئه</w:t>
      </w:r>
      <w:r w:rsidR="000636C2">
        <w:rPr>
          <w:rFonts w:hint="cs"/>
          <w:rtl/>
        </w:rPr>
        <w:t>،</w:t>
      </w:r>
      <w:r>
        <w:rPr>
          <w:rFonts w:hint="cs"/>
          <w:rtl/>
        </w:rPr>
        <w:t xml:space="preserve"> واعلان الحرب على أهله واستحلال حرماتهم لمسائل لا تبلغ بهم هذا الحال أبدا</w:t>
      </w:r>
      <w:r w:rsidR="000636C2">
        <w:rPr>
          <w:rFonts w:hint="cs"/>
          <w:rtl/>
        </w:rPr>
        <w:t>،</w:t>
      </w:r>
      <w:r>
        <w:rPr>
          <w:rFonts w:hint="cs"/>
          <w:rtl/>
        </w:rPr>
        <w:t xml:space="preserve"> </w:t>
      </w:r>
      <w:r w:rsidR="000636C2">
        <w:rPr>
          <w:rFonts w:hint="cs"/>
          <w:rtl/>
        </w:rPr>
        <w:t>(</w:t>
      </w:r>
      <w:r>
        <w:rPr>
          <w:rFonts w:hint="cs"/>
          <w:rtl/>
        </w:rPr>
        <w:t>أ</w:t>
      </w:r>
      <w:r w:rsidR="000636C2">
        <w:rPr>
          <w:rFonts w:hint="cs"/>
          <w:rtl/>
        </w:rPr>
        <w:t xml:space="preserve">) </w:t>
      </w:r>
      <w:r>
        <w:rPr>
          <w:rFonts w:hint="cs"/>
          <w:rtl/>
        </w:rPr>
        <w:t>ففي مجال توحيد الألوهية</w:t>
      </w:r>
      <w:r w:rsidR="000636C2">
        <w:rPr>
          <w:rFonts w:hint="cs"/>
          <w:rtl/>
        </w:rPr>
        <w:t xml:space="preserve">: </w:t>
      </w:r>
      <w:r>
        <w:rPr>
          <w:rFonts w:hint="cs"/>
          <w:rtl/>
        </w:rPr>
        <w:t>أخطأ في تفسير العبادة</w:t>
      </w:r>
      <w:r w:rsidR="000636C2">
        <w:rPr>
          <w:rFonts w:hint="cs"/>
          <w:rtl/>
        </w:rPr>
        <w:t>،</w:t>
      </w:r>
      <w:r>
        <w:rPr>
          <w:rFonts w:hint="cs"/>
          <w:rtl/>
        </w:rPr>
        <w:t xml:space="preserve"> ففسرها بمعناها اللغوي وهو الإتيان بأقصى غاية الذل والخضوع</w:t>
      </w:r>
      <w:r w:rsidR="000636C2">
        <w:rPr>
          <w:rFonts w:hint="cs"/>
          <w:rtl/>
        </w:rPr>
        <w:t>،</w:t>
      </w:r>
      <w:r>
        <w:rPr>
          <w:rFonts w:hint="cs"/>
          <w:rtl/>
        </w:rPr>
        <w:t xml:space="preserve"> وذهل عن ضابطها </w:t>
      </w:r>
      <w:r>
        <w:rPr>
          <w:rFonts w:hint="cs"/>
          <w:rtl/>
        </w:rPr>
        <w:lastRenderedPageBreak/>
        <w:t>الذي يضبط أحكامها ألا وهو الإتيان بأقصى غاية الذل والخضوع لمن يعتقده إلها له صفات الإلهية واستحقاق العبادة من دون الله</w:t>
      </w:r>
      <w:r w:rsidR="000636C2">
        <w:rPr>
          <w:rFonts w:hint="cs"/>
          <w:rtl/>
        </w:rPr>
        <w:t xml:space="preserve">، </w:t>
      </w:r>
      <w:r>
        <w:rPr>
          <w:rFonts w:hint="cs"/>
          <w:rtl/>
        </w:rPr>
        <w:t>أو لمن يعتقده رباً أو له بعض مفردات الربوبية استقلالا كالقدرة على النصرة والعز والنفع والضر من دون الله</w:t>
      </w:r>
      <w:r w:rsidR="000636C2">
        <w:rPr>
          <w:rFonts w:hint="cs"/>
          <w:rtl/>
        </w:rPr>
        <w:t>،</w:t>
      </w:r>
      <w:r>
        <w:rPr>
          <w:rFonts w:hint="cs"/>
          <w:rtl/>
        </w:rPr>
        <w:t xml:space="preserve"> وكنفوذ المشيئة لا محالة و لو بطريق الشفاعة لعابده عند الربّ خالق السموات والأرض</w:t>
      </w:r>
      <w:r w:rsidR="000636C2">
        <w:rPr>
          <w:rFonts w:hint="cs"/>
          <w:rtl/>
        </w:rPr>
        <w:t>،</w:t>
      </w:r>
      <w:r>
        <w:rPr>
          <w:rFonts w:hint="cs"/>
          <w:rtl/>
        </w:rPr>
        <w:t xml:space="preserve"> الّذي هو أكبر الآلهة في اعتقاده</w:t>
      </w:r>
      <w:r w:rsidR="000636C2">
        <w:rPr>
          <w:rFonts w:hint="cs"/>
          <w:rtl/>
        </w:rPr>
        <w:t xml:space="preserve"> </w:t>
      </w:r>
      <w:r>
        <w:rPr>
          <w:rFonts w:hint="cs"/>
          <w:rtl/>
        </w:rPr>
        <w:t>ولهذا قالوا</w:t>
      </w:r>
      <w:r w:rsidR="000636C2">
        <w:rPr>
          <w:rFonts w:hint="cs"/>
          <w:rtl/>
        </w:rPr>
        <w:t>: {</w:t>
      </w:r>
      <w:r>
        <w:rPr>
          <w:rFonts w:hint="cs"/>
          <w:rtl/>
        </w:rPr>
        <w:t>أَجَعَلَ الْآلِهَةَ إِلَهًا وَاحِدًا إِنَّ هَذَا لَشَيْءٌ عُجَابٌ</w:t>
      </w:r>
      <w:r w:rsidR="000636C2">
        <w:rPr>
          <w:rFonts w:hint="cs"/>
          <w:rtl/>
        </w:rPr>
        <w:t xml:space="preserve"> </w:t>
      </w:r>
      <w:r>
        <w:rPr>
          <w:rFonts w:hint="cs"/>
          <w:rtl/>
        </w:rPr>
        <w:t>*</w:t>
      </w:r>
      <w:r w:rsidR="000636C2">
        <w:rPr>
          <w:rFonts w:hint="cs"/>
          <w:rtl/>
        </w:rPr>
        <w:t xml:space="preserve"> </w:t>
      </w:r>
      <w:r>
        <w:rPr>
          <w:rFonts w:hint="cs"/>
          <w:rtl/>
        </w:rPr>
        <w:t>وَانْطَلَقَ الْمَلَأُ مِنْهُمْ أَنِ امْشُوا وَاصْبِرُوا عَلَى آلِهَتِكُمْ إِنَّ هَذَا لَشَيْءٌ يُرَادُ</w:t>
      </w:r>
      <w:r w:rsidR="000636C2">
        <w:rPr>
          <w:rFonts w:hint="cs"/>
          <w:rtl/>
        </w:rPr>
        <w:t>} [</w:t>
      </w:r>
      <w:r>
        <w:rPr>
          <w:rFonts w:hint="cs"/>
          <w:rtl/>
        </w:rPr>
        <w:t>ص</w:t>
      </w:r>
      <w:r w:rsidR="000636C2">
        <w:rPr>
          <w:rFonts w:hint="cs"/>
          <w:rtl/>
        </w:rPr>
        <w:t xml:space="preserve">: </w:t>
      </w:r>
      <w:r>
        <w:rPr>
          <w:rFonts w:hint="cs"/>
          <w:rtl/>
        </w:rPr>
        <w:t>5</w:t>
      </w:r>
      <w:r w:rsidR="000636C2">
        <w:rPr>
          <w:rFonts w:hint="cs"/>
          <w:rtl/>
        </w:rPr>
        <w:t>،</w:t>
      </w:r>
      <w:r>
        <w:rPr>
          <w:rFonts w:hint="cs"/>
          <w:rtl/>
        </w:rPr>
        <w:t xml:space="preserve"> 6</w:t>
      </w:r>
      <w:r w:rsidR="000636C2">
        <w:rPr>
          <w:rFonts w:hint="cs"/>
          <w:rtl/>
        </w:rPr>
        <w:t>]،</w:t>
      </w:r>
      <w:r>
        <w:rPr>
          <w:rFonts w:hint="cs"/>
          <w:rtl/>
        </w:rPr>
        <w:t xml:space="preserve"> وقالوا</w:t>
      </w:r>
      <w:r w:rsidR="000636C2">
        <w:rPr>
          <w:rFonts w:hint="cs"/>
          <w:rtl/>
        </w:rPr>
        <w:t>: {</w:t>
      </w:r>
      <w:r>
        <w:rPr>
          <w:rFonts w:hint="cs"/>
          <w:rtl/>
        </w:rPr>
        <w:t>مَا نَعْبُدُهُمْ إِلَّا لِيُقَرِّبُونَا إِلَى اللَّهِ زُلْفي</w:t>
      </w:r>
      <w:r w:rsidR="000636C2">
        <w:rPr>
          <w:rFonts w:hint="cs"/>
          <w:rtl/>
        </w:rPr>
        <w:t>} [</w:t>
      </w:r>
      <w:r>
        <w:rPr>
          <w:rFonts w:hint="cs"/>
          <w:rtl/>
        </w:rPr>
        <w:t>الزمر</w:t>
      </w:r>
      <w:r w:rsidR="000636C2">
        <w:rPr>
          <w:rFonts w:hint="cs"/>
          <w:rtl/>
        </w:rPr>
        <w:t xml:space="preserve">: </w:t>
      </w:r>
      <w:r>
        <w:rPr>
          <w:rFonts w:hint="cs"/>
          <w:rtl/>
        </w:rPr>
        <w:t>3</w:t>
      </w:r>
      <w:r w:rsidR="000636C2">
        <w:rPr>
          <w:rFonts w:hint="cs"/>
          <w:rtl/>
        </w:rPr>
        <w:t>]،</w:t>
      </w:r>
      <w:r>
        <w:rPr>
          <w:rFonts w:hint="cs"/>
          <w:rtl/>
        </w:rPr>
        <w:t xml:space="preserve"> وقد كفر المشركون بسجودهم لأوثانهم و دعائهم إيّاهم</w:t>
      </w:r>
      <w:r w:rsidR="000636C2">
        <w:rPr>
          <w:rFonts w:hint="cs"/>
          <w:rtl/>
        </w:rPr>
        <w:t>،</w:t>
      </w:r>
      <w:r>
        <w:rPr>
          <w:rFonts w:hint="cs"/>
          <w:rtl/>
        </w:rPr>
        <w:t xml:space="preserve"> وغيرهما من أنواع الخضوع لتحقّق هذا القيد فيهم، و هو اعتقادهم ربوبية ما خضعوا له</w:t>
      </w:r>
      <w:r w:rsidR="000636C2">
        <w:rPr>
          <w:rFonts w:hint="cs"/>
          <w:rtl/>
        </w:rPr>
        <w:t>،</w:t>
      </w:r>
      <w:r>
        <w:rPr>
          <w:rFonts w:hint="cs"/>
          <w:rtl/>
        </w:rPr>
        <w:t xml:space="preserve"> أو خاصة من خواصها كما سيأتيك تفصيله</w:t>
      </w:r>
      <w:r w:rsidR="000636C2">
        <w:rPr>
          <w:rFonts w:hint="cs"/>
          <w:rtl/>
        </w:rPr>
        <w:t xml:space="preserve"> </w:t>
      </w:r>
      <w:r>
        <w:rPr>
          <w:rFonts w:hint="cs"/>
          <w:rtl/>
        </w:rPr>
        <w:t xml:space="preserve">لا يصحّ أن يكون السجود لغير اللّه فضلاً عمّا دونه من أنواع الخضوع بدون هذا الاعتقاد، عبادة شرعاً </w:t>
      </w:r>
      <w:r w:rsidR="000636C2">
        <w:rPr>
          <w:rFonts w:hint="cs"/>
          <w:rtl/>
        </w:rPr>
        <w:t>(</w:t>
      </w:r>
      <w:r>
        <w:rPr>
          <w:rFonts w:hint="cs"/>
          <w:rtl/>
        </w:rPr>
        <w:t>كسجود الملائكة لآدم</w:t>
      </w:r>
      <w:r w:rsidR="000636C2">
        <w:rPr>
          <w:rFonts w:hint="cs"/>
          <w:rtl/>
        </w:rPr>
        <w:t>)،</w:t>
      </w:r>
      <w:r>
        <w:rPr>
          <w:rFonts w:hint="cs"/>
          <w:rtl/>
        </w:rPr>
        <w:t xml:space="preserve"> فانّه حينئذٍ يكون كفراً</w:t>
      </w:r>
      <w:r w:rsidR="000636C2">
        <w:rPr>
          <w:rFonts w:hint="cs"/>
          <w:rtl/>
        </w:rPr>
        <w:t>،</w:t>
      </w:r>
      <w:r>
        <w:rPr>
          <w:rFonts w:hint="cs"/>
          <w:rtl/>
        </w:rPr>
        <w:t xml:space="preserve"> وما هو كفر فلا يختلف باختلاف الشرائع، ولا يأمر اللّه عزّ وجلّ به</w:t>
      </w:r>
      <w:r w:rsidR="000636C2">
        <w:rPr>
          <w:rFonts w:hint="cs"/>
          <w:rtl/>
        </w:rPr>
        <w:t xml:space="preserve"> {</w:t>
      </w:r>
      <w:r>
        <w:rPr>
          <w:rFonts w:hint="cs"/>
          <w:rtl/>
        </w:rPr>
        <w:t>قُلْ إِنَّ اللّهَ لا يَأْمُرُ بِالْفَحْشاءِ</w:t>
      </w:r>
      <w:r w:rsidR="000636C2">
        <w:rPr>
          <w:rFonts w:hint="cs"/>
          <w:rtl/>
        </w:rPr>
        <w:t>} [</w:t>
      </w:r>
      <w:r>
        <w:rPr>
          <w:rFonts w:hint="cs"/>
          <w:rtl/>
        </w:rPr>
        <w:t>الاَعراف</w:t>
      </w:r>
      <w:r w:rsidR="000636C2">
        <w:rPr>
          <w:rFonts w:hint="cs"/>
          <w:rtl/>
        </w:rPr>
        <w:t xml:space="preserve">: </w:t>
      </w:r>
      <w:r>
        <w:rPr>
          <w:rFonts w:hint="cs"/>
          <w:rtl/>
        </w:rPr>
        <w:t>28</w:t>
      </w:r>
      <w:r w:rsidR="000636C2">
        <w:rPr>
          <w:rFonts w:hint="cs"/>
          <w:rtl/>
        </w:rPr>
        <w:t>]،</w:t>
      </w:r>
      <w:r>
        <w:rPr>
          <w:rFonts w:hint="cs"/>
          <w:rtl/>
        </w:rPr>
        <w:t xml:space="preserve"> </w:t>
      </w:r>
      <w:r w:rsidR="000636C2">
        <w:rPr>
          <w:rFonts w:hint="cs"/>
          <w:rtl/>
        </w:rPr>
        <w:t>{</w:t>
      </w:r>
      <w:r>
        <w:rPr>
          <w:rFonts w:hint="cs"/>
          <w:rtl/>
        </w:rPr>
        <w:t>وَلا يَرْضى لِعِبادِهِ الْكُفْر}</w:t>
      </w:r>
      <w:r w:rsidR="000636C2">
        <w:rPr>
          <w:rFonts w:hint="cs"/>
          <w:rtl/>
        </w:rPr>
        <w:t xml:space="preserve"> [</w:t>
      </w:r>
      <w:r>
        <w:rPr>
          <w:rFonts w:hint="cs"/>
          <w:rtl/>
        </w:rPr>
        <w:t>الزمر</w:t>
      </w:r>
      <w:r w:rsidR="000636C2">
        <w:rPr>
          <w:rFonts w:hint="cs"/>
          <w:rtl/>
        </w:rPr>
        <w:t xml:space="preserve">: </w:t>
      </w:r>
      <w:r>
        <w:rPr>
          <w:rFonts w:hint="cs"/>
          <w:rtl/>
        </w:rPr>
        <w:t>7</w:t>
      </w:r>
      <w:r w:rsidR="000636C2">
        <w:rPr>
          <w:rFonts w:hint="cs"/>
          <w:rtl/>
        </w:rPr>
        <w:t>]،</w:t>
      </w:r>
      <w:r>
        <w:rPr>
          <w:rFonts w:hint="cs"/>
          <w:rtl/>
        </w:rPr>
        <w:t xml:space="preserve"> وذلك ظاهر إن شاء اللّه</w:t>
      </w:r>
      <w:r w:rsidR="000636C2">
        <w:rPr>
          <w:rFonts w:hint="cs"/>
          <w:rtl/>
        </w:rPr>
        <w:t xml:space="preserve">، </w:t>
      </w:r>
      <w:r>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0636C2">
        <w:rPr>
          <w:rFonts w:hint="cs"/>
          <w:rtl/>
        </w:rPr>
        <w:t xml:space="preserve">، </w:t>
      </w:r>
      <w:r>
        <w:rPr>
          <w:rFonts w:hint="cs"/>
          <w:rtl/>
        </w:rPr>
        <w:t>فأدى ذلك إلى الغلط في تصور العبادة والشرك المقابل لها</w:t>
      </w:r>
      <w:r w:rsidR="000636C2">
        <w:rPr>
          <w:rFonts w:hint="cs"/>
          <w:rtl/>
        </w:rPr>
        <w:t>،</w:t>
      </w:r>
      <w:r>
        <w:rPr>
          <w:rFonts w:hint="cs"/>
          <w:rtl/>
        </w:rPr>
        <w:t xml:space="preserve">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المزالق والفتن</w:t>
      </w:r>
      <w:r w:rsidR="000636C2">
        <w:rPr>
          <w:rFonts w:hint="cs"/>
          <w:rtl/>
        </w:rPr>
        <w:t>،</w:t>
      </w:r>
      <w:r>
        <w:rPr>
          <w:rFonts w:hint="cs"/>
          <w:rtl/>
        </w:rPr>
        <w:t xml:space="preserve"> </w:t>
      </w:r>
      <w:r w:rsidR="000636C2">
        <w:rPr>
          <w:rFonts w:hint="cs"/>
          <w:rtl/>
        </w:rPr>
        <w:t>(</w:t>
      </w:r>
      <w:r>
        <w:rPr>
          <w:rFonts w:hint="cs"/>
          <w:rtl/>
        </w:rPr>
        <w:t>ب</w:t>
      </w:r>
      <w:r w:rsidR="000636C2">
        <w:rPr>
          <w:rFonts w:hint="cs"/>
          <w:rtl/>
        </w:rPr>
        <w:t xml:space="preserve">) </w:t>
      </w:r>
      <w:r>
        <w:rPr>
          <w:rFonts w:hint="cs"/>
          <w:rtl/>
        </w:rPr>
        <w:t>وفي مجال توحيد الربوبية</w:t>
      </w:r>
      <w:r w:rsidR="000636C2">
        <w:rPr>
          <w:rFonts w:hint="cs"/>
          <w:rtl/>
        </w:rPr>
        <w:t xml:space="preserve">: </w:t>
      </w:r>
      <w:r>
        <w:rPr>
          <w:rFonts w:hint="cs"/>
          <w:rtl/>
        </w:rPr>
        <w:t>قال في مجموعة التوحيد</w:t>
      </w:r>
      <w:r w:rsidR="000636C2">
        <w:rPr>
          <w:rFonts w:hint="cs"/>
          <w:rtl/>
        </w:rPr>
        <w:t xml:space="preserve">: </w:t>
      </w:r>
      <w:r>
        <w:rPr>
          <w:rFonts w:hint="cs"/>
          <w:rtl/>
        </w:rPr>
        <w:t>" وبعد فهذه أربع قواعد من قواعد الدين يميز بهن المسلم دينه من دين المشركين</w:t>
      </w:r>
      <w:r w:rsidR="000636C2">
        <w:rPr>
          <w:rFonts w:hint="cs"/>
          <w:rtl/>
        </w:rPr>
        <w:t xml:space="preserve">: </w:t>
      </w:r>
      <w:r>
        <w:rPr>
          <w:rFonts w:hint="cs"/>
          <w:rtl/>
        </w:rPr>
        <w:t>القاعدة الأولى</w:t>
      </w:r>
      <w:r w:rsidR="000636C2">
        <w:rPr>
          <w:rFonts w:hint="cs"/>
          <w:rtl/>
        </w:rPr>
        <w:t xml:space="preserve">: </w:t>
      </w:r>
      <w:r>
        <w:rPr>
          <w:rFonts w:hint="cs"/>
          <w:rtl/>
        </w:rPr>
        <w:t>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sidR="000636C2">
        <w:rPr>
          <w:rFonts w:hint="cs"/>
          <w:rtl/>
        </w:rPr>
        <w:t>: {</w:t>
      </w:r>
      <w:r>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0636C2">
        <w:rPr>
          <w:rFonts w:hint="cs"/>
          <w:rtl/>
        </w:rPr>
        <w:t>}</w:t>
      </w:r>
      <w:r>
        <w:rPr>
          <w:rFonts w:hint="cs"/>
          <w:rtl/>
        </w:rPr>
        <w:t>" أهـ</w:t>
      </w:r>
      <w:r w:rsidR="000636C2">
        <w:rPr>
          <w:rFonts w:hint="cs"/>
          <w:rtl/>
        </w:rPr>
        <w:t xml:space="preserve"> [</w:t>
      </w:r>
      <w:r>
        <w:rPr>
          <w:rFonts w:hint="cs"/>
          <w:rtl/>
        </w:rPr>
        <w:t>مجموعة التوحيد ص 15 – 16</w:t>
      </w:r>
      <w:r w:rsidR="000636C2">
        <w:rPr>
          <w:rFonts w:hint="cs"/>
          <w:rtl/>
        </w:rPr>
        <w:t>]،</w:t>
      </w:r>
      <w:r>
        <w:rPr>
          <w:rFonts w:hint="cs"/>
          <w:rtl/>
        </w:rPr>
        <w:t xml:space="preserve"> والخطأ في هذا القول بين لأسباب عديدة</w:t>
      </w:r>
      <w:r w:rsidR="000636C2">
        <w:rPr>
          <w:rFonts w:hint="cs"/>
          <w:rtl/>
        </w:rPr>
        <w:t>،</w:t>
      </w:r>
      <w:r>
        <w:rPr>
          <w:rFonts w:hint="cs"/>
          <w:rtl/>
        </w:rPr>
        <w:t xml:space="preserve"> منها</w:t>
      </w:r>
      <w:r w:rsidR="000636C2">
        <w:rPr>
          <w:rFonts w:hint="cs"/>
          <w:rtl/>
        </w:rPr>
        <w:t xml:space="preserve">: </w:t>
      </w:r>
      <w:r>
        <w:rPr>
          <w:rFonts w:hint="cs"/>
          <w:rtl/>
        </w:rPr>
        <w:t>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0636C2">
        <w:rPr>
          <w:rFonts w:hint="cs"/>
          <w:rtl/>
          <w:lang w:bidi="ar-KW"/>
        </w:rPr>
        <w:t>،</w:t>
      </w:r>
      <w:r>
        <w:rPr>
          <w:rFonts w:hint="cs"/>
          <w:rtl/>
          <w:lang w:bidi="ar-KW"/>
        </w:rPr>
        <w:t xml:space="preserve"> واعتقاد أن مقادير كل شيء بيد الله يرفع من يشاء ويخفض ويعز من يشاء ويذل ويهدي من يشاء </w:t>
      </w:r>
      <w:r>
        <w:rPr>
          <w:rFonts w:hint="cs"/>
          <w:rtl/>
          <w:lang w:bidi="ar-KW"/>
        </w:rPr>
        <w:lastRenderedPageBreak/>
        <w:t>ويضل ويوسع الرزق على من يشاء ويضيق ويحيي من يشاء ويميت</w:t>
      </w:r>
      <w:r w:rsidR="000636C2">
        <w:rPr>
          <w:rFonts w:hint="cs"/>
          <w:rtl/>
          <w:lang w:bidi="ar-KW"/>
        </w:rPr>
        <w:t>،</w:t>
      </w:r>
      <w:r>
        <w:rPr>
          <w:rFonts w:hint="cs"/>
          <w:rtl/>
          <w:lang w:bidi="ar-KW"/>
        </w:rPr>
        <w:t xml:space="preserve"> له في لك كله المشيئة المطلقة والإرادة النـافذة لا حق لأحد في مراجعته وأمـره كله عدل وفضـل </w:t>
      </w:r>
      <w:r w:rsidR="000636C2">
        <w:rPr>
          <w:rFonts w:hint="cs"/>
          <w:rtl/>
          <w:lang w:bidi="ar-KW"/>
        </w:rPr>
        <w:t>{</w:t>
      </w:r>
      <w:r>
        <w:rPr>
          <w:rFonts w:hint="cs"/>
          <w:rtl/>
          <w:lang w:bidi="ar-KW"/>
        </w:rPr>
        <w:t>لا يسأل عما يفعل وهم يسألون</w:t>
      </w:r>
      <w:r w:rsidR="000636C2">
        <w:rPr>
          <w:rFonts w:hint="cs"/>
          <w:rtl/>
          <w:lang w:bidi="ar-KW"/>
        </w:rPr>
        <w:t>}،</w:t>
      </w:r>
      <w:r>
        <w:rPr>
          <w:rFonts w:hint="cs"/>
          <w:rtl/>
          <w:lang w:bidi="ar-KW"/>
        </w:rPr>
        <w:t xml:space="preserve"> واعتقاد حقه المطلق في التشريع والحكم والأمر </w:t>
      </w:r>
      <w:r w:rsidR="000636C2">
        <w:rPr>
          <w:rFonts w:hint="cs"/>
          <w:rtl/>
          <w:lang w:bidi="ar-KW"/>
        </w:rPr>
        <w:t>{</w:t>
      </w:r>
      <w:r>
        <w:rPr>
          <w:rFonts w:hint="cs"/>
          <w:rtl/>
          <w:lang w:bidi="ar-KW"/>
        </w:rPr>
        <w:t>ألا له الخلق والأمر تبارك الله رب العالمين</w:t>
      </w:r>
      <w:r w:rsidR="000636C2">
        <w:rPr>
          <w:rFonts w:hint="cs"/>
          <w:rtl/>
          <w:lang w:bidi="ar-KW"/>
        </w:rPr>
        <w:t>}،</w:t>
      </w:r>
      <w:r>
        <w:rPr>
          <w:rFonts w:hint="cs"/>
          <w:rtl/>
          <w:lang w:bidi="ar-KW"/>
        </w:rPr>
        <w:t xml:space="preserve"> هذا هو توحيد الربوبية عند الموحدين</w:t>
      </w:r>
      <w:r w:rsidR="000636C2">
        <w:rPr>
          <w:rFonts w:hint="cs"/>
          <w:rtl/>
          <w:lang w:bidi="ar-KW"/>
        </w:rPr>
        <w:t>،</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0636C2">
        <w:rPr>
          <w:rFonts w:hint="cs"/>
          <w:rtl/>
          <w:lang w:bidi="ar-KW"/>
        </w:rPr>
        <w:t>،</w:t>
      </w:r>
      <w:r>
        <w:rPr>
          <w:rFonts w:hint="cs"/>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0636C2">
        <w:rPr>
          <w:rFonts w:hint="cs"/>
          <w:rtl/>
          <w:lang w:bidi="ar-KW"/>
        </w:rPr>
        <w:t>،</w:t>
      </w:r>
      <w:r>
        <w:rPr>
          <w:rFonts w:hint="cs"/>
          <w:rtl/>
          <w:lang w:bidi="ar-KW"/>
        </w:rPr>
        <w:t xml:space="preserve"> ومن اعتقد أنه يجوز التحاكم إلى شرع غير شرع الله فقد كفر بربوبية الله عز وجل لخلقه</w:t>
      </w:r>
      <w:r w:rsidR="000636C2">
        <w:rPr>
          <w:rFonts w:hint="cs"/>
          <w:rtl/>
          <w:lang w:bidi="ar-KW"/>
        </w:rPr>
        <w:t>،</w:t>
      </w:r>
      <w:r>
        <w:rPr>
          <w:rFonts w:hint="cs"/>
          <w:rtl/>
          <w:lang w:bidi="ar-KW"/>
        </w:rPr>
        <w:t xml:space="preserve"> هذا هو توحيد الربوبية عند المسلمين</w:t>
      </w:r>
      <w:r w:rsidR="000636C2">
        <w:rPr>
          <w:rFonts w:hint="cs"/>
          <w:rtl/>
          <w:lang w:bidi="ar-KW"/>
        </w:rPr>
        <w:t>،</w:t>
      </w:r>
      <w:r>
        <w:rPr>
          <w:rFonts w:hint="cs"/>
          <w:rtl/>
          <w:lang w:bidi="ar-KW"/>
        </w:rPr>
        <w:t xml:space="preserve"> أما </w:t>
      </w:r>
      <w:r>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000636C2">
        <w:rPr>
          <w:rFonts w:hint="cs"/>
          <w:rtl/>
        </w:rPr>
        <w:t>،</w:t>
      </w:r>
      <w:r>
        <w:rPr>
          <w:rFonts w:hint="cs"/>
          <w:rtl/>
        </w:rPr>
        <w:t xml:space="preserve"> ويتضح ذلك في مثل قوله تعالى</w:t>
      </w:r>
      <w:r w:rsidR="000636C2">
        <w:rPr>
          <w:rFonts w:hint="cs"/>
          <w:rtl/>
        </w:rPr>
        <w:t>: {</w:t>
      </w:r>
      <w:r>
        <w:rPr>
          <w:rFonts w:hint="cs"/>
          <w:rtl/>
        </w:rPr>
        <w:t>وَاتَّخَذُوا مِن دُونِ اللَّهِ آلِهَةً لِّيَكُونُوا لَهُمْ عِزًّا</w:t>
      </w:r>
      <w:r w:rsidR="000636C2">
        <w:rPr>
          <w:rFonts w:hint="cs"/>
          <w:rtl/>
        </w:rPr>
        <w:t>}</w:t>
      </w:r>
      <w:r w:rsidR="000636C2">
        <w:rPr>
          <w:rFonts w:hint="cs"/>
          <w:rtl/>
          <w:lang w:bidi="ar-KW"/>
        </w:rPr>
        <w:t xml:space="preserve"> [</w:t>
      </w:r>
      <w:r>
        <w:rPr>
          <w:rFonts w:hint="cs"/>
          <w:rtl/>
          <w:lang w:bidi="ar-KW"/>
        </w:rPr>
        <w:t>مريم</w:t>
      </w:r>
      <w:r w:rsidR="000636C2">
        <w:rPr>
          <w:rFonts w:hint="cs"/>
          <w:rtl/>
          <w:lang w:bidi="ar-KW"/>
        </w:rPr>
        <w:t xml:space="preserve">: </w:t>
      </w:r>
      <w:r>
        <w:rPr>
          <w:rFonts w:hint="cs"/>
          <w:rtl/>
          <w:lang w:bidi="ar-KW"/>
        </w:rPr>
        <w:t>81</w:t>
      </w:r>
      <w:r w:rsidR="000636C2">
        <w:rPr>
          <w:rFonts w:hint="cs"/>
          <w:rtl/>
          <w:lang w:bidi="ar-KW"/>
        </w:rPr>
        <w:t xml:space="preserve">]، </w:t>
      </w:r>
      <w:r>
        <w:rPr>
          <w:rFonts w:hint="cs"/>
          <w:rtl/>
        </w:rPr>
        <w:t>وقوله تعالى</w:t>
      </w:r>
      <w:r w:rsidR="000636C2">
        <w:rPr>
          <w:rFonts w:hint="cs"/>
          <w:rtl/>
        </w:rPr>
        <w:t>: {</w:t>
      </w:r>
      <w:r>
        <w:rPr>
          <w:rFonts w:hint="cs"/>
          <w:rtl/>
        </w:rPr>
        <w:t>وَاتَّخَذُوا مِن دُونِ اللَّهِ آلِهَةً لَعَلَّهُمْ يُنصَرُونَ</w:t>
      </w:r>
      <w:r w:rsidR="000636C2">
        <w:rPr>
          <w:rFonts w:hint="cs"/>
          <w:rtl/>
        </w:rPr>
        <w:t>} [</w:t>
      </w:r>
      <w:r>
        <w:rPr>
          <w:rFonts w:hint="cs"/>
          <w:rtl/>
        </w:rPr>
        <w:t>يس</w:t>
      </w:r>
      <w:r w:rsidR="000636C2">
        <w:rPr>
          <w:rFonts w:hint="cs"/>
          <w:rtl/>
        </w:rPr>
        <w:t xml:space="preserve">: </w:t>
      </w:r>
      <w:r>
        <w:rPr>
          <w:rFonts w:hint="cs"/>
          <w:rtl/>
        </w:rPr>
        <w:t>74</w:t>
      </w:r>
      <w:r w:rsidR="000636C2">
        <w:rPr>
          <w:rFonts w:hint="cs"/>
          <w:rtl/>
        </w:rPr>
        <w:t>]،</w:t>
      </w:r>
      <w:r>
        <w:rPr>
          <w:rFonts w:hint="cs"/>
          <w:rtl/>
          <w:lang w:bidi="ar-KW"/>
        </w:rPr>
        <w:t xml:space="preserve"> وكانوا يخوفون الرسل من بطش آلهتهم وهذا يعني اعتقادهم أنها تنفع وتضر استقلالا وهذا واضح لمن تدبره في مثل قوله تعالى</w:t>
      </w:r>
      <w:r w:rsidR="000636C2">
        <w:rPr>
          <w:rFonts w:hint="cs"/>
          <w:rtl/>
          <w:lang w:bidi="ar-KW"/>
        </w:rPr>
        <w:t>: {</w:t>
      </w:r>
      <w:r>
        <w:rPr>
          <w:rFonts w:hint="cs"/>
          <w:rtl/>
        </w:rPr>
        <w:t>إِن نَّقُولُ إِلاَّ اعْتَرَاكَ بَعْضُ آلِهَتِنَا بِسُوَءٍ</w:t>
      </w:r>
      <w:r w:rsidR="000636C2">
        <w:rPr>
          <w:rFonts w:hint="cs"/>
          <w:rtl/>
        </w:rPr>
        <w:t>} [</w:t>
      </w:r>
      <w:r>
        <w:rPr>
          <w:rFonts w:hint="cs"/>
          <w:rtl/>
        </w:rPr>
        <w:t>هود</w:t>
      </w:r>
      <w:r w:rsidR="000636C2">
        <w:rPr>
          <w:rFonts w:hint="cs"/>
          <w:rtl/>
        </w:rPr>
        <w:t xml:space="preserve">: </w:t>
      </w:r>
      <w:r>
        <w:rPr>
          <w:rFonts w:hint="cs"/>
          <w:rtl/>
        </w:rPr>
        <w:t>54</w:t>
      </w:r>
      <w:r w:rsidR="000636C2">
        <w:rPr>
          <w:rFonts w:hint="cs"/>
          <w:rtl/>
          <w:lang w:bidi="ar-KW"/>
        </w:rPr>
        <w:t>]،</w:t>
      </w:r>
      <w:r>
        <w:rPr>
          <w:rFonts w:hint="cs"/>
          <w:rtl/>
          <w:lang w:bidi="ar-KW"/>
        </w:rPr>
        <w:t xml:space="preserve"> وقوله تعالى</w:t>
      </w:r>
      <w:r w:rsidR="000636C2">
        <w:rPr>
          <w:rFonts w:hint="cs"/>
          <w:rtl/>
          <w:lang w:bidi="ar-KW"/>
        </w:rPr>
        <w:t>: {</w:t>
      </w:r>
      <w:r>
        <w:rPr>
          <w:rFonts w:hint="cs"/>
          <w:rtl/>
        </w:rPr>
        <w:t>أَلَيْسَ اللَّهُ بِكَافٍ عَبْدَهُ وَيُخَوِّفُونَكَ بِالَّذِينَ مِن دُونِهِ وَمَن يُضْلِلِ اللَّهُ فَمَا لَهُ مِنْ هَادٍ</w:t>
      </w:r>
      <w:r w:rsidR="000636C2">
        <w:rPr>
          <w:rFonts w:hint="cs"/>
          <w:rtl/>
        </w:rPr>
        <w:t>} [</w:t>
      </w:r>
      <w:r>
        <w:rPr>
          <w:rFonts w:hint="cs"/>
          <w:rtl/>
        </w:rPr>
        <w:t>الزمر</w:t>
      </w:r>
      <w:r w:rsidR="000636C2">
        <w:rPr>
          <w:rFonts w:hint="cs"/>
          <w:rtl/>
        </w:rPr>
        <w:t xml:space="preserve">: </w:t>
      </w:r>
      <w:r>
        <w:rPr>
          <w:rFonts w:hint="cs"/>
          <w:rtl/>
        </w:rPr>
        <w:t>36</w:t>
      </w:r>
      <w:r w:rsidR="000636C2">
        <w:rPr>
          <w:rFonts w:hint="cs"/>
          <w:rtl/>
        </w:rPr>
        <w:t>]،</w:t>
      </w:r>
      <w:r>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0636C2">
        <w:rPr>
          <w:rFonts w:hint="cs"/>
          <w:rtl/>
        </w:rPr>
        <w:t>،</w:t>
      </w:r>
      <w:r>
        <w:rPr>
          <w:rFonts w:hint="cs"/>
          <w:rtl/>
        </w:rPr>
        <w:t xml:space="preserve"> وكذلك فإن </w:t>
      </w:r>
      <w:r>
        <w:rPr>
          <w:rFonts w:hint="cs"/>
          <w:rtl/>
          <w:lang w:bidi="ar-KW"/>
        </w:rPr>
        <w:t>اعتقاد المشركين كان يقوم على اعتقاد وجود الشريك الذي له</w:t>
      </w:r>
      <w:r w:rsidR="000636C2">
        <w:rPr>
          <w:rFonts w:hint="cs"/>
          <w:rtl/>
          <w:lang w:bidi="ar-KW"/>
        </w:rPr>
        <w:t xml:space="preserve"> </w:t>
      </w:r>
      <w:r>
        <w:rPr>
          <w:rFonts w:hint="cs"/>
          <w:rtl/>
        </w:rPr>
        <w:t>تأثير مستقل في الخلق وتدبير مملكة الله</w:t>
      </w:r>
      <w:r w:rsidR="000636C2">
        <w:rPr>
          <w:rFonts w:hint="cs"/>
          <w:rtl/>
        </w:rPr>
        <w:t>،</w:t>
      </w:r>
      <w:r>
        <w:rPr>
          <w:rFonts w:hint="cs"/>
          <w:rtl/>
        </w:rPr>
        <w:t xml:space="preserve"> ولهذا أمر الله تعالى رسوله الكريم صلى الله عليه وسلم إخبار المشركين بالبراءة من الشريك كما في قوله تعالى</w:t>
      </w:r>
      <w:r w:rsidR="000636C2">
        <w:rPr>
          <w:rFonts w:hint="cs"/>
          <w:rtl/>
        </w:rPr>
        <w:t>: {</w:t>
      </w:r>
      <w:r>
        <w:rPr>
          <w:rFonts w:hint="cs"/>
          <w:rtl/>
        </w:rPr>
        <w:t>وَقُلِ الْحَمْدُ لِلّهِ الَّذِي لَمْ يَتَّخِذْ وَلَدًا وَلَم يَكُن لَّهُ شَرِيكٌ فِي الْمُلْكِ وَلَمْ يَكُن لَّهُ وَلِيٌّ مِّنَ الذُّلَّ وَكَبِّرْهُ تَكْبِيرًا</w:t>
      </w:r>
      <w:r>
        <w:rPr>
          <w:rFonts w:hint="cs"/>
          <w:rtl/>
          <w:lang w:bidi="ar-KW"/>
        </w:rPr>
        <w:t>}</w:t>
      </w:r>
      <w:r w:rsidR="000636C2">
        <w:rPr>
          <w:rFonts w:hint="cs"/>
          <w:rtl/>
          <w:lang w:bidi="ar-KW"/>
        </w:rPr>
        <w:t xml:space="preserve"> [</w:t>
      </w:r>
      <w:r>
        <w:rPr>
          <w:rFonts w:hint="cs"/>
          <w:rtl/>
        </w:rPr>
        <w:t>الإسراء</w:t>
      </w:r>
      <w:r w:rsidR="000636C2">
        <w:rPr>
          <w:rFonts w:hint="cs"/>
          <w:rtl/>
        </w:rPr>
        <w:t xml:space="preserve">: </w:t>
      </w:r>
      <w:r>
        <w:rPr>
          <w:rFonts w:hint="cs"/>
          <w:rtl/>
        </w:rPr>
        <w:t>111</w:t>
      </w:r>
      <w:r w:rsidR="000636C2">
        <w:rPr>
          <w:rFonts w:hint="cs"/>
          <w:rtl/>
        </w:rPr>
        <w:t>]،</w:t>
      </w:r>
      <w:r>
        <w:rPr>
          <w:rFonts w:hint="cs"/>
          <w:rtl/>
        </w:rPr>
        <w:t xml:space="preserve"> وهذا يعني أن شرك المشركين لا يقتصر على شرك العبادة</w:t>
      </w:r>
      <w:r w:rsidR="000636C2">
        <w:rPr>
          <w:rFonts w:hint="cs"/>
          <w:rtl/>
        </w:rPr>
        <w:t>،</w:t>
      </w:r>
      <w:r>
        <w:rPr>
          <w:rFonts w:hint="cs"/>
          <w:rtl/>
        </w:rPr>
        <w:t xml:space="preserve"> ولكن معه شرك الربوبية الي يشمل اعتقاد الشريك في الملك والتدبير</w:t>
      </w:r>
      <w:r w:rsidR="000636C2">
        <w:rPr>
          <w:rFonts w:hint="cs"/>
          <w:rtl/>
        </w:rPr>
        <w:t>،</w:t>
      </w:r>
      <w:r>
        <w:rPr>
          <w:rFonts w:hint="cs"/>
          <w:rtl/>
        </w:rPr>
        <w:t xml:space="preserve"> وكذلك اعتقاد المشركين بوجود الند لله</w:t>
      </w:r>
      <w:r w:rsidR="000636C2">
        <w:rPr>
          <w:rFonts w:hint="cs"/>
          <w:rtl/>
        </w:rPr>
        <w:t>،</w:t>
      </w:r>
      <w:r>
        <w:rPr>
          <w:rFonts w:hint="cs"/>
          <w:rtl/>
        </w:rPr>
        <w:t xml:space="preserve"> والند كما جاء في معاجم اللعة هو الضد والشبيه والمثيل الذي له مشاركة في الملك والخلق والتدبير</w:t>
      </w:r>
      <w:r w:rsidR="000636C2">
        <w:rPr>
          <w:rFonts w:hint="cs"/>
          <w:rtl/>
        </w:rPr>
        <w:t xml:space="preserve"> [</w:t>
      </w:r>
      <w:r>
        <w:rPr>
          <w:rFonts w:hint="cs"/>
          <w:rtl/>
        </w:rPr>
        <w:t>انظر</w:t>
      </w:r>
      <w:r w:rsidR="000636C2">
        <w:rPr>
          <w:rFonts w:hint="cs"/>
          <w:rtl/>
        </w:rPr>
        <w:t xml:space="preserve">: </w:t>
      </w:r>
      <w:r>
        <w:rPr>
          <w:rFonts w:hint="cs"/>
          <w:rtl/>
        </w:rPr>
        <w:t>تهذيب اللغة ج14 ص 51 و المفردات ص 486</w:t>
      </w:r>
      <w:r w:rsidR="000636C2">
        <w:rPr>
          <w:rFonts w:hint="cs"/>
          <w:rtl/>
        </w:rPr>
        <w:t>]،</w:t>
      </w:r>
      <w:r>
        <w:rPr>
          <w:rFonts w:hint="cs"/>
          <w:rtl/>
        </w:rPr>
        <w:t xml:space="preserve"> والمشركون كانوا يعتقدون في أصنامهم ومعبوداتهم أنها أنداد لله</w:t>
      </w:r>
      <w:r w:rsidR="000636C2">
        <w:rPr>
          <w:rFonts w:hint="cs"/>
          <w:rtl/>
        </w:rPr>
        <w:t>،</w:t>
      </w:r>
      <w:r>
        <w:rPr>
          <w:rFonts w:hint="cs"/>
          <w:rtl/>
        </w:rPr>
        <w:t xml:space="preserve"> والأدلة من القرآن الكريم على ذلك كثيرة منها</w:t>
      </w:r>
      <w:r w:rsidR="000636C2">
        <w:rPr>
          <w:rFonts w:hint="cs"/>
          <w:rtl/>
        </w:rPr>
        <w:t xml:space="preserve">: </w:t>
      </w:r>
      <w:r>
        <w:rPr>
          <w:rFonts w:hint="cs"/>
          <w:rtl/>
        </w:rPr>
        <w:t>قوله تعالى</w:t>
      </w:r>
      <w:r w:rsidR="000636C2">
        <w:rPr>
          <w:rFonts w:hint="cs"/>
          <w:rtl/>
        </w:rPr>
        <w:t>:: {</w:t>
      </w:r>
      <w:r>
        <w:rPr>
          <w:rFonts w:hint="cs"/>
          <w:rtl/>
        </w:rPr>
        <w:t>وَجَعَلُوا لِلَّهِ أَنْدَادًا لِيُضِلُّوا عَنْ سَبِيلِهِ قُلْ تَمَتَّعُوا فَإِنَّ مَصِيرَكُمْ إِلَى النَّارِ</w:t>
      </w:r>
      <w:r w:rsidR="000636C2">
        <w:rPr>
          <w:rFonts w:hint="cs"/>
          <w:rtl/>
        </w:rPr>
        <w:t>} [</w:t>
      </w:r>
      <w:r>
        <w:rPr>
          <w:rFonts w:hint="cs"/>
          <w:rtl/>
        </w:rPr>
        <w:t>ابراهيم</w:t>
      </w:r>
      <w:r w:rsidR="000636C2">
        <w:rPr>
          <w:rFonts w:hint="cs"/>
          <w:rtl/>
        </w:rPr>
        <w:t xml:space="preserve">: </w:t>
      </w:r>
      <w:r>
        <w:rPr>
          <w:rFonts w:hint="cs"/>
          <w:rtl/>
        </w:rPr>
        <w:t>30</w:t>
      </w:r>
      <w:r w:rsidR="000636C2">
        <w:rPr>
          <w:rFonts w:hint="cs"/>
          <w:rtl/>
        </w:rPr>
        <w:t>]،</w:t>
      </w:r>
      <w:r>
        <w:rPr>
          <w:rFonts w:hint="cs"/>
          <w:rtl/>
        </w:rPr>
        <w:t xml:space="preserve"> وقوله تعالى</w:t>
      </w:r>
      <w:r w:rsidR="000636C2">
        <w:rPr>
          <w:rFonts w:hint="cs"/>
          <w:rtl/>
        </w:rPr>
        <w:t>: {</w:t>
      </w:r>
      <w:r>
        <w:rPr>
          <w:rFonts w:hint="cs"/>
          <w:rtl/>
        </w:rPr>
        <w:t xml:space="preserve">قُلْ أَئِنَّكُمْ لَتَكْفُرُونَ بِالَّذِي خَلَقَ </w:t>
      </w:r>
      <w:r>
        <w:rPr>
          <w:rFonts w:hint="cs"/>
          <w:rtl/>
        </w:rPr>
        <w:lastRenderedPageBreak/>
        <w:t>الْأَرْضَ فِي يَوْمَيْنِ وَتَجْعَلُونَ لَهُ أَنْدَادًا ذَلِكَ رَبُّ الْعَالَمِينَ</w:t>
      </w:r>
      <w:r w:rsidR="000636C2">
        <w:rPr>
          <w:rFonts w:hint="cs"/>
          <w:rtl/>
        </w:rPr>
        <w:t>} [</w:t>
      </w:r>
      <w:r>
        <w:rPr>
          <w:rFonts w:hint="cs"/>
          <w:rtl/>
        </w:rPr>
        <w:t>فصلت</w:t>
      </w:r>
      <w:r w:rsidR="000636C2">
        <w:rPr>
          <w:rFonts w:hint="cs"/>
          <w:rtl/>
        </w:rPr>
        <w:t xml:space="preserve">: </w:t>
      </w:r>
      <w:r>
        <w:rPr>
          <w:rFonts w:hint="cs"/>
          <w:rtl/>
        </w:rPr>
        <w:t>9</w:t>
      </w:r>
      <w:r w:rsidR="000636C2">
        <w:rPr>
          <w:rFonts w:hint="cs"/>
          <w:rtl/>
        </w:rPr>
        <w:t>]،</w:t>
      </w:r>
      <w:r>
        <w:rPr>
          <w:rFonts w:hint="cs"/>
          <w:rtl/>
        </w:rPr>
        <w:t xml:space="preserve"> وقوله تعالى</w:t>
      </w:r>
      <w:r w:rsidR="000636C2">
        <w:rPr>
          <w:rFonts w:hint="cs"/>
          <w:rtl/>
        </w:rPr>
        <w:t>: {</w:t>
      </w:r>
      <w:r>
        <w:rPr>
          <w:rFonts w:hint="cs"/>
          <w:rtl/>
        </w:rPr>
        <w:t>فَلَا تَجْعَلُوا لِلَّهِ أَنْدَادًا وَأَنْتُمْ تَعْلَمُونَ</w:t>
      </w:r>
      <w:r w:rsidR="000636C2">
        <w:rPr>
          <w:rFonts w:hint="cs"/>
          <w:rtl/>
        </w:rPr>
        <w:t>}</w:t>
      </w:r>
      <w:r>
        <w:rPr>
          <w:rFonts w:hint="cs"/>
          <w:rtl/>
        </w:rPr>
        <w:t xml:space="preserve"> </w:t>
      </w:r>
      <w:r w:rsidR="000636C2">
        <w:rPr>
          <w:rFonts w:hint="cs"/>
          <w:rtl/>
        </w:rPr>
        <w:t>[</w:t>
      </w:r>
      <w:r>
        <w:rPr>
          <w:rFonts w:hint="cs"/>
          <w:rtl/>
        </w:rPr>
        <w:t>البقرة</w:t>
      </w:r>
      <w:r w:rsidR="000636C2">
        <w:rPr>
          <w:rFonts w:hint="cs"/>
          <w:rtl/>
        </w:rPr>
        <w:t xml:space="preserve">: </w:t>
      </w:r>
      <w:r>
        <w:rPr>
          <w:rFonts w:hint="cs"/>
          <w:rtl/>
        </w:rPr>
        <w:t>22</w:t>
      </w:r>
      <w:r w:rsidR="000636C2">
        <w:rPr>
          <w:rFonts w:hint="cs"/>
          <w:rtl/>
        </w:rPr>
        <w:t>]،</w:t>
      </w:r>
      <w:r>
        <w:rPr>
          <w:rFonts w:hint="cs"/>
          <w:rtl/>
        </w:rPr>
        <w:t xml:space="preserve"> وقوله تعالى</w:t>
      </w:r>
      <w:r w:rsidR="000636C2">
        <w:rPr>
          <w:rFonts w:hint="cs"/>
          <w:rtl/>
        </w:rPr>
        <w:t>: {</w:t>
      </w:r>
      <w:r>
        <w:rPr>
          <w:rFonts w:hint="cs"/>
          <w:rtl/>
        </w:rPr>
        <w:t>أَمِ اتَّخَذُوا مِن دُونِهِ أَوْلِيَاء فَاللَّهُ هُوَ الْوَلِيُّ وَهُوَ يُحْيِي المَوْتَى وَهُوَ عَلَى كُلِّ شَيْءٍ قَدِيرٌ</w:t>
      </w:r>
      <w:r w:rsidR="000636C2">
        <w:rPr>
          <w:rFonts w:hint="cs"/>
          <w:rtl/>
        </w:rPr>
        <w:t>} [</w:t>
      </w:r>
      <w:r>
        <w:rPr>
          <w:rFonts w:hint="cs"/>
          <w:rtl/>
        </w:rPr>
        <w:t>الشورى</w:t>
      </w:r>
      <w:r w:rsidR="000636C2">
        <w:rPr>
          <w:rFonts w:hint="cs"/>
          <w:rtl/>
        </w:rPr>
        <w:t xml:space="preserve">: </w:t>
      </w:r>
      <w:r>
        <w:rPr>
          <w:rFonts w:hint="cs"/>
          <w:rtl/>
        </w:rPr>
        <w:t>9</w:t>
      </w:r>
      <w:r w:rsidR="000636C2">
        <w:rPr>
          <w:rFonts w:hint="cs"/>
          <w:rtl/>
        </w:rPr>
        <w:t>]،</w:t>
      </w:r>
      <w:r>
        <w:rPr>
          <w:rFonts w:hint="cs"/>
          <w:rtl/>
        </w:rPr>
        <w:t xml:space="preserve"> وقوله تعالى</w:t>
      </w:r>
      <w:r w:rsidR="000636C2">
        <w:rPr>
          <w:rFonts w:hint="cs"/>
          <w:rtl/>
        </w:rPr>
        <w:t>: {</w:t>
      </w:r>
      <w:r>
        <w:rPr>
          <w:rFonts w:hint="cs"/>
          <w:rtl/>
        </w:rPr>
        <w:t>مَثَلُ الَّذِينَ اتَّخَذُوا مِن دُونِ اللَّهِ أَوْلِيَاء كَمَثَلِ الْعَنكَبُوتِ اتَّخَذَتْ بَيْتًا وَإِنَّ أَوْهَنَ الْبُيُوتِ لَبَيْتُ الْعَنكَبُوتِ لَوْ كَانُوا يَعْلَمُونَ</w:t>
      </w:r>
      <w:r w:rsidR="000636C2">
        <w:rPr>
          <w:rFonts w:hint="cs"/>
          <w:rtl/>
        </w:rPr>
        <w:t>} [</w:t>
      </w:r>
      <w:r>
        <w:rPr>
          <w:rFonts w:hint="cs"/>
          <w:rtl/>
        </w:rPr>
        <w:t>العنكبوت / 41</w:t>
      </w:r>
      <w:r w:rsidR="000636C2">
        <w:rPr>
          <w:rFonts w:hint="cs"/>
          <w:rtl/>
        </w:rPr>
        <w:t>]،</w:t>
      </w:r>
      <w:r>
        <w:rPr>
          <w:rFonts w:hint="cs"/>
          <w:rtl/>
        </w:rPr>
        <w:t xml:space="preserve"> كما أنّ المشركين </w:t>
      </w:r>
      <w:r>
        <w:rPr>
          <w:rFonts w:hint="cs"/>
          <w:rtl/>
          <w:lang w:bidi="ar-KW"/>
        </w:rPr>
        <w:t>كانوا يساوون بين الله تعالى وبين معبوداتهم</w:t>
      </w:r>
      <w:r w:rsidR="000636C2">
        <w:rPr>
          <w:rFonts w:hint="cs"/>
          <w:rtl/>
          <w:lang w:bidi="ar-KW"/>
        </w:rPr>
        <w:t>،</w:t>
      </w:r>
      <w:r>
        <w:rPr>
          <w:rFonts w:hint="cs"/>
          <w:rtl/>
          <w:lang w:bidi="ar-KW"/>
        </w:rPr>
        <w:t xml:space="preserve"> كما في قوله تعالى - واصفا معتقد المشركين الذي أوداهم إلى النار-</w:t>
      </w:r>
      <w:r w:rsidR="000636C2">
        <w:rPr>
          <w:rFonts w:hint="cs"/>
          <w:rtl/>
          <w:lang w:bidi="ar-KW"/>
        </w:rPr>
        <w:t>: {</w:t>
      </w:r>
      <w:r>
        <w:rPr>
          <w:rFonts w:hint="cs"/>
          <w:rtl/>
          <w:lang w:bidi="ar-KW"/>
        </w:rPr>
        <w:t>قَالُوا وَهُمْ فِيهَا يَخْتَصِمُونَ * تَاللَّهِ إِنْ كُنَّا لَفِي ضَلَالٍ مُبِينٍ * إِذْ نُسَوِّيكُمْ بِرَبِّ الْعَالَمِينَ</w:t>
      </w:r>
      <w:r w:rsidR="000636C2">
        <w:rPr>
          <w:rFonts w:hint="cs"/>
          <w:rtl/>
          <w:lang w:bidi="ar-KW"/>
        </w:rPr>
        <w:t>} [</w:t>
      </w:r>
      <w:r>
        <w:rPr>
          <w:rFonts w:hint="cs"/>
          <w:rtl/>
          <w:lang w:bidi="ar-KW"/>
        </w:rPr>
        <w:t>الشعراء</w:t>
      </w:r>
      <w:r w:rsidR="000636C2">
        <w:rPr>
          <w:rFonts w:hint="cs"/>
          <w:rtl/>
          <w:lang w:bidi="ar-KW"/>
        </w:rPr>
        <w:t>:</w:t>
      </w:r>
      <w:r>
        <w:rPr>
          <w:rFonts w:hint="cs"/>
          <w:rtl/>
          <w:lang w:bidi="ar-KW"/>
        </w:rPr>
        <w:t xml:space="preserve"> 96 إلى 98</w:t>
      </w:r>
      <w:r w:rsidR="000636C2">
        <w:rPr>
          <w:rFonts w:hint="cs"/>
          <w:rtl/>
          <w:lang w:bidi="ar-KW"/>
        </w:rPr>
        <w:t>]،</w:t>
      </w:r>
      <w:r>
        <w:rPr>
          <w:rFonts w:hint="cs"/>
          <w:rtl/>
          <w:lang w:bidi="ar-KW"/>
        </w:rPr>
        <w:t xml:space="preserve"> </w:t>
      </w:r>
      <w:r>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0636C2">
        <w:rPr>
          <w:rFonts w:hint="cs"/>
          <w:rtl/>
        </w:rPr>
        <w:t>،</w:t>
      </w:r>
      <w:r>
        <w:rPr>
          <w:rFonts w:hint="cs"/>
          <w:rtl/>
        </w:rPr>
        <w:t xml:space="preserve"> كما أنّ المشركين </w:t>
      </w:r>
      <w:r>
        <w:rPr>
          <w:rFonts w:hint="cs"/>
          <w:rtl/>
          <w:lang w:bidi="ar-KW"/>
        </w:rPr>
        <w:t>كانوا</w:t>
      </w:r>
      <w:r>
        <w:rPr>
          <w:rFonts w:hint="cs"/>
          <w:rtl/>
        </w:rPr>
        <w:t xml:space="preserve"> يلهجون بدعاء آلهتهم</w:t>
      </w:r>
      <w:r w:rsidR="000636C2">
        <w:rPr>
          <w:rFonts w:hint="cs"/>
          <w:rtl/>
        </w:rPr>
        <w:t xml:space="preserve"> </w:t>
      </w:r>
      <w:r>
        <w:rPr>
          <w:rFonts w:hint="cs"/>
          <w:rtl/>
        </w:rPr>
        <w:t>رجاء نصرتها لهم واعزازها لهم</w:t>
      </w:r>
      <w:r w:rsidR="000636C2">
        <w:rPr>
          <w:rFonts w:hint="cs"/>
          <w:rtl/>
        </w:rPr>
        <w:t>،</w:t>
      </w:r>
      <w:r>
        <w:rPr>
          <w:rFonts w:hint="cs"/>
          <w:rtl/>
        </w:rPr>
        <w:t xml:space="preserve"> إذ لا يعقل في تاريخ البشر أن يدعو أحد أحدا لا يرجوه لتحقيق منفعة أو رد ضر وإلا خرج من دائرة العقلاء</w:t>
      </w:r>
      <w:r w:rsidR="000636C2">
        <w:rPr>
          <w:rFonts w:hint="cs"/>
          <w:rtl/>
        </w:rPr>
        <w:t>،</w:t>
      </w:r>
      <w:r>
        <w:rPr>
          <w:rFonts w:hint="cs"/>
          <w:rtl/>
        </w:rPr>
        <w:t xml:space="preserve"> ورد الله تعالى عليهم اعتقادهم الباطل بقوله تعالى</w:t>
      </w:r>
      <w:r w:rsidR="000636C2">
        <w:rPr>
          <w:rFonts w:hint="cs"/>
          <w:rtl/>
        </w:rPr>
        <w:t>: {</w:t>
      </w:r>
      <w:r>
        <w:rPr>
          <w:rFonts w:hint="cs"/>
          <w:rtl/>
        </w:rPr>
        <w:t>والذين يدعون من دون الله لا يخلقون شيئاً وهم يخلقون * أمواتٌ غير أحياءٍ وما يشعرون أيّان يبعثون * إلهكم إلهٌ واحدٌ}</w:t>
      </w:r>
      <w:r w:rsidR="000636C2">
        <w:rPr>
          <w:rFonts w:hint="cs"/>
          <w:rtl/>
        </w:rPr>
        <w:t xml:space="preserve"> [</w:t>
      </w:r>
      <w:r>
        <w:rPr>
          <w:rFonts w:hint="cs"/>
          <w:rtl/>
        </w:rPr>
        <w:t>النحل</w:t>
      </w:r>
      <w:r w:rsidR="000636C2">
        <w:rPr>
          <w:rFonts w:hint="cs"/>
          <w:rtl/>
        </w:rPr>
        <w:t xml:space="preserve">: </w:t>
      </w:r>
      <w:r>
        <w:rPr>
          <w:rFonts w:hint="cs"/>
          <w:rtl/>
        </w:rPr>
        <w:t>2</w:t>
      </w:r>
      <w:r w:rsidR="000636C2">
        <w:rPr>
          <w:rFonts w:hint="cs"/>
          <w:rtl/>
        </w:rPr>
        <w:t>،</w:t>
      </w:r>
      <w:r>
        <w:rPr>
          <w:rFonts w:hint="cs"/>
          <w:rtl/>
        </w:rPr>
        <w:t xml:space="preserve"> إلى 22</w:t>
      </w:r>
      <w:r w:rsidR="000636C2">
        <w:rPr>
          <w:rFonts w:hint="cs"/>
          <w:rtl/>
        </w:rPr>
        <w:t>]،</w:t>
      </w:r>
      <w:r>
        <w:rPr>
          <w:rFonts w:hint="cs"/>
          <w:rtl/>
        </w:rPr>
        <w:t xml:space="preserve"> وبقوله عز وجل</w:t>
      </w:r>
      <w:r w:rsidR="000636C2">
        <w:rPr>
          <w:rFonts w:hint="cs"/>
          <w:rtl/>
        </w:rPr>
        <w:t xml:space="preserve"> {</w:t>
      </w:r>
      <w:r>
        <w:rPr>
          <w:rFonts w:hint="cs"/>
          <w:rtl/>
        </w:rPr>
        <w:t>فما أغنت عنهم آلهتهم التي يدعون من دون الله من شيء لمّا جاء أمر ربك وما زادوهم غير تتبيب</w:t>
      </w:r>
      <w:r w:rsidR="000636C2">
        <w:rPr>
          <w:rFonts w:hint="cs"/>
          <w:rtl/>
        </w:rPr>
        <w:t>) [</w:t>
      </w:r>
      <w:r>
        <w:rPr>
          <w:rFonts w:hint="cs"/>
          <w:rtl/>
        </w:rPr>
        <w:t>هود</w:t>
      </w:r>
      <w:r w:rsidR="000636C2">
        <w:rPr>
          <w:rFonts w:hint="cs"/>
          <w:rtl/>
        </w:rPr>
        <w:t xml:space="preserve">: </w:t>
      </w:r>
      <w:r>
        <w:rPr>
          <w:rFonts w:hint="cs"/>
          <w:rtl/>
        </w:rPr>
        <w:t>10 1</w:t>
      </w:r>
      <w:r w:rsidR="000636C2">
        <w:rPr>
          <w:rFonts w:hint="cs"/>
          <w:rtl/>
        </w:rPr>
        <w:t>]،</w:t>
      </w:r>
      <w:r>
        <w:rPr>
          <w:rFonts w:hint="cs"/>
          <w:rtl/>
        </w:rPr>
        <w:t xml:space="preserve"> وقوله تعالى</w:t>
      </w:r>
      <w:r w:rsidR="000636C2">
        <w:rPr>
          <w:rFonts w:hint="cs"/>
          <w:rtl/>
        </w:rPr>
        <w:t>: {</w:t>
      </w:r>
      <w:r>
        <w:rPr>
          <w:rFonts w:hint="cs"/>
          <w:rtl/>
        </w:rPr>
        <w:t>وما يتّبع الذين يدعون من دون الله شركاء إن يتبعون إلا الظن وإن هم إلا يخرصون</w:t>
      </w:r>
      <w:r w:rsidR="000636C2">
        <w:rPr>
          <w:rFonts w:hint="cs"/>
          <w:rtl/>
        </w:rPr>
        <w:t>} [</w:t>
      </w:r>
      <w:r>
        <w:rPr>
          <w:rFonts w:hint="cs"/>
          <w:rtl/>
        </w:rPr>
        <w:t>يونس</w:t>
      </w:r>
      <w:r w:rsidR="000636C2">
        <w:rPr>
          <w:rFonts w:hint="cs"/>
          <w:rtl/>
        </w:rPr>
        <w:t xml:space="preserve">: </w:t>
      </w:r>
      <w:r>
        <w:rPr>
          <w:rFonts w:hint="cs"/>
          <w:rtl/>
        </w:rPr>
        <w:t>66</w:t>
      </w:r>
      <w:r w:rsidR="000636C2">
        <w:rPr>
          <w:rFonts w:hint="cs"/>
          <w:rtl/>
        </w:rPr>
        <w:t>]،</w:t>
      </w:r>
      <w:r>
        <w:rPr>
          <w:rFonts w:hint="cs"/>
          <w:rtl/>
        </w:rPr>
        <w:t xml:space="preserve"> ويظهر جليا من هذه الآيات أن مشركي العرب</w:t>
      </w:r>
      <w:r w:rsidR="000636C2">
        <w:rPr>
          <w:rFonts w:hint="cs"/>
          <w:rtl/>
        </w:rPr>
        <w:t xml:space="preserve"> </w:t>
      </w:r>
      <w:r>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0636C2">
        <w:rPr>
          <w:rFonts w:hint="cs"/>
          <w:rtl/>
        </w:rPr>
        <w:t>،</w:t>
      </w:r>
      <w:r>
        <w:rPr>
          <w:rFonts w:hint="cs"/>
          <w:rtl/>
        </w:rPr>
        <w:t xml:space="preserve"> </w:t>
      </w:r>
      <w:r>
        <w:rPr>
          <w:rFonts w:hint="cs"/>
          <w:rtl/>
          <w:lang w:bidi="ar-KW"/>
        </w:rPr>
        <w:t>ومن هنا نعلم مدى الخطأ الجسيم في ادعاء أن المشركين كانوا على توحيد الربوبية</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ت</w:t>
      </w:r>
      <w:r w:rsidR="000636C2">
        <w:rPr>
          <w:rFonts w:hint="cs"/>
          <w:rtl/>
          <w:lang w:bidi="ar-KW"/>
        </w:rPr>
        <w:t xml:space="preserve">) </w:t>
      </w:r>
      <w:r>
        <w:rPr>
          <w:rFonts w:hint="cs"/>
          <w:rtl/>
          <w:lang w:bidi="ar-KW"/>
        </w:rPr>
        <w:t>والخطأ في تقرير حقيقة الشرك الأكبر</w:t>
      </w:r>
      <w:r w:rsidR="000636C2">
        <w:rPr>
          <w:rFonts w:hint="cs"/>
          <w:rtl/>
          <w:lang w:bidi="ar-KW"/>
        </w:rPr>
        <w:t xml:space="preserve">: </w:t>
      </w:r>
      <w:r>
        <w:rPr>
          <w:rFonts w:hint="cs"/>
          <w:rtl/>
          <w:lang w:bidi="ar-KW"/>
        </w:rPr>
        <w:t>كما كان الخطأ في تقرير العبادة كان كذلك الخطأ في تقرير الشرك</w:t>
      </w:r>
      <w:r w:rsidR="000636C2">
        <w:rPr>
          <w:rFonts w:hint="cs"/>
          <w:rtl/>
          <w:lang w:bidi="ar-KW"/>
        </w:rPr>
        <w:t>،</w:t>
      </w:r>
      <w:r>
        <w:rPr>
          <w:rFonts w:hint="cs"/>
          <w:rtl/>
          <w:lang w:bidi="ar-KW"/>
        </w:rPr>
        <w:t xml:space="preserve"> وأنّه ليس مجرد صرف صور العبادة كالسجود والدعاء والذبح وغيرها من صور العبادة لغير الله تعالى</w:t>
      </w:r>
      <w:r w:rsidR="000636C2">
        <w:rPr>
          <w:rFonts w:hint="cs"/>
          <w:rtl/>
          <w:lang w:bidi="ar-KW"/>
        </w:rPr>
        <w:t>،</w:t>
      </w:r>
      <w:r>
        <w:rPr>
          <w:rFonts w:hint="cs"/>
          <w:rtl/>
          <w:lang w:bidi="ar-KW"/>
        </w:rPr>
        <w:t xml:space="preserve"> ولكنه الصرف المُصاحب بالاعتقاد لمن يصرف إليه صورة العبادة أنّه إله معبود أو رب قادر</w:t>
      </w:r>
      <w:r w:rsidR="000636C2">
        <w:rPr>
          <w:rFonts w:hint="cs"/>
          <w:rtl/>
          <w:lang w:bidi="ar-KW"/>
        </w:rPr>
        <w:t>،</w:t>
      </w:r>
      <w:r>
        <w:rPr>
          <w:rFonts w:hint="cs"/>
          <w:rtl/>
          <w:lang w:bidi="ar-KW"/>
        </w:rPr>
        <w:t xml:space="preserve"> وإلا لم يكن شركا أكبر يُخرج من الملة إلى الكفر الاكبر</w:t>
      </w:r>
      <w:r w:rsidR="000636C2">
        <w:rPr>
          <w:rFonts w:hint="cs"/>
          <w:rtl/>
          <w:lang w:bidi="ar-KW"/>
        </w:rPr>
        <w:t>،</w:t>
      </w:r>
      <w:r>
        <w:rPr>
          <w:rFonts w:hint="cs"/>
          <w:rtl/>
          <w:lang w:bidi="ar-KW"/>
        </w:rPr>
        <w:t xml:space="preserve"> ومن ذلك الخطأ في فهم آية الزمر</w:t>
      </w:r>
      <w:r w:rsidR="000636C2">
        <w:rPr>
          <w:rFonts w:hint="cs"/>
          <w:rtl/>
          <w:lang w:bidi="ar-KW"/>
        </w:rPr>
        <w:t>،</w:t>
      </w:r>
      <w:r>
        <w:rPr>
          <w:rFonts w:hint="cs"/>
          <w:rtl/>
          <w:lang w:bidi="ar-KW"/>
        </w:rPr>
        <w:t xml:space="preserve"> ومعرفة حقيقة اعتقاد المشركين بربوبية معبوداتهم</w:t>
      </w:r>
      <w:r w:rsidR="000636C2">
        <w:rPr>
          <w:rFonts w:hint="cs"/>
          <w:rtl/>
          <w:lang w:bidi="ar-KW"/>
        </w:rPr>
        <w:t xml:space="preserve">: </w:t>
      </w:r>
      <w:r>
        <w:rPr>
          <w:rFonts w:hint="cs"/>
          <w:rtl/>
          <w:lang w:bidi="ar-KW"/>
        </w:rPr>
        <w:t xml:space="preserve">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sidR="000636C2">
        <w:rPr>
          <w:rFonts w:hint="cs"/>
          <w:rtl/>
        </w:rPr>
        <w:t>}</w:t>
      </w:r>
      <w:r>
        <w:rPr>
          <w:rFonts w:hint="cs"/>
          <w:rtl/>
          <w:lang w:bidi="ar-KW"/>
        </w:rPr>
        <w:t xml:space="preserve"> </w:t>
      </w:r>
      <w:r w:rsidR="000636C2">
        <w:rPr>
          <w:rFonts w:hint="cs"/>
          <w:rtl/>
          <w:lang w:bidi="ar-KW"/>
        </w:rPr>
        <w:t>[</w:t>
      </w:r>
      <w:r>
        <w:rPr>
          <w:rFonts w:hint="cs"/>
          <w:rtl/>
          <w:lang w:bidi="ar-KW"/>
        </w:rPr>
        <w:t>سورة الزمر</w:t>
      </w:r>
      <w:r w:rsidR="000636C2">
        <w:rPr>
          <w:rFonts w:hint="cs"/>
          <w:rtl/>
          <w:lang w:bidi="ar-KW"/>
        </w:rPr>
        <w:t xml:space="preserve">: </w:t>
      </w:r>
      <w:r>
        <w:rPr>
          <w:rFonts w:hint="cs"/>
          <w:rtl/>
          <w:lang w:bidi="ar-KW"/>
        </w:rPr>
        <w:t>3</w:t>
      </w:r>
      <w:r w:rsidR="000636C2">
        <w:rPr>
          <w:rFonts w:hint="cs"/>
          <w:rtl/>
          <w:lang w:bidi="ar-KW"/>
        </w:rPr>
        <w:t>]،</w:t>
      </w:r>
      <w:r>
        <w:rPr>
          <w:rFonts w:hint="cs"/>
          <w:rtl/>
          <w:lang w:bidi="ar-KW"/>
        </w:rPr>
        <w:t xml:space="preserve"> والولي في اللغة هو الناصر والمعين والمشركون اعتقدوا ذلك في آلهتهم بدليل قوله تعالى </w:t>
      </w:r>
      <w:r w:rsidR="000636C2">
        <w:rPr>
          <w:rFonts w:hint="cs"/>
          <w:rtl/>
        </w:rPr>
        <w:t>{</w:t>
      </w:r>
      <w:r>
        <w:rPr>
          <w:rFonts w:hint="cs"/>
          <w:rtl/>
        </w:rPr>
        <w:t>وَاتَّخَذُوا مِنْ دُونِ اللَّهِ آلِهَةً لِيَكُونُوا لَهُمْ عِزًّا</w:t>
      </w:r>
      <w:r w:rsidR="000636C2">
        <w:rPr>
          <w:rFonts w:hint="cs"/>
          <w:rtl/>
        </w:rPr>
        <w:t>}</w:t>
      </w:r>
      <w:r>
        <w:rPr>
          <w:rFonts w:hint="cs"/>
          <w:rtl/>
        </w:rPr>
        <w:t xml:space="preserve"> </w:t>
      </w:r>
      <w:r w:rsidR="000636C2">
        <w:rPr>
          <w:rFonts w:hint="cs"/>
          <w:rtl/>
        </w:rPr>
        <w:t>[</w:t>
      </w:r>
      <w:r>
        <w:rPr>
          <w:rFonts w:hint="cs"/>
          <w:rtl/>
        </w:rPr>
        <w:t>مريم</w:t>
      </w:r>
      <w:r w:rsidR="000636C2">
        <w:rPr>
          <w:rFonts w:hint="cs"/>
          <w:rtl/>
        </w:rPr>
        <w:t xml:space="preserve">: </w:t>
      </w:r>
      <w:r>
        <w:rPr>
          <w:rFonts w:hint="cs"/>
          <w:rtl/>
        </w:rPr>
        <w:t>81</w:t>
      </w:r>
      <w:r w:rsidR="000636C2">
        <w:rPr>
          <w:rFonts w:hint="cs"/>
          <w:rtl/>
        </w:rPr>
        <w:t>]،</w:t>
      </w:r>
      <w:r>
        <w:rPr>
          <w:rFonts w:hint="cs"/>
          <w:rtl/>
        </w:rPr>
        <w:t xml:space="preserve"> فالآية ظاهرة </w:t>
      </w:r>
      <w:r>
        <w:rPr>
          <w:rFonts w:hint="cs"/>
          <w:rtl/>
        </w:rPr>
        <w:lastRenderedPageBreak/>
        <w:t>الدلالة في أنهم يعتقدون أنها تحقق لهم العز</w:t>
      </w:r>
      <w:r w:rsidR="000636C2">
        <w:rPr>
          <w:rFonts w:hint="cs"/>
          <w:rtl/>
        </w:rPr>
        <w:t xml:space="preserve">، </w:t>
      </w:r>
      <w:r>
        <w:rPr>
          <w:rFonts w:hint="cs"/>
          <w:rtl/>
        </w:rPr>
        <w:t xml:space="preserve">وقوله تعالى </w:t>
      </w:r>
      <w:r w:rsidR="000636C2">
        <w:rPr>
          <w:rFonts w:hint="cs"/>
          <w:rtl/>
        </w:rPr>
        <w:t>{</w:t>
      </w:r>
      <w:r>
        <w:rPr>
          <w:rFonts w:hint="cs"/>
          <w:rtl/>
        </w:rPr>
        <w:t>وَاتَّخَذُوا مِنْ دُونِ اللَّهِ آلِهَةً لَعَلَّهُمْ يُنْصَرُونَ</w:t>
      </w:r>
      <w:r w:rsidR="000636C2">
        <w:rPr>
          <w:rFonts w:hint="cs"/>
          <w:rtl/>
        </w:rPr>
        <w:t>}</w:t>
      </w:r>
      <w:r>
        <w:rPr>
          <w:rFonts w:hint="cs"/>
          <w:rtl/>
        </w:rPr>
        <w:t xml:space="preserve"> </w:t>
      </w:r>
      <w:r w:rsidR="000636C2">
        <w:rPr>
          <w:rFonts w:hint="cs"/>
          <w:rtl/>
        </w:rPr>
        <w:t>[</w:t>
      </w:r>
      <w:r>
        <w:rPr>
          <w:rFonts w:hint="cs"/>
          <w:rtl/>
        </w:rPr>
        <w:t>يس</w:t>
      </w:r>
      <w:r w:rsidR="000636C2">
        <w:rPr>
          <w:rFonts w:hint="cs"/>
          <w:rtl/>
        </w:rPr>
        <w:t xml:space="preserve">: </w:t>
      </w:r>
      <w:r>
        <w:rPr>
          <w:rFonts w:hint="cs"/>
          <w:rtl/>
        </w:rPr>
        <w:t>74</w:t>
      </w:r>
      <w:r w:rsidR="000636C2">
        <w:rPr>
          <w:rFonts w:hint="cs"/>
          <w:rtl/>
        </w:rPr>
        <w:t>]،</w:t>
      </w:r>
      <w:r>
        <w:rPr>
          <w:rFonts w:hint="cs"/>
          <w:rtl/>
        </w:rPr>
        <w:t xml:space="preserve"> والآية ظاهرة الدلالة في أنهم يعتقدون أنها تحقق لهم النصر</w:t>
      </w:r>
      <w:r w:rsidR="000636C2">
        <w:rPr>
          <w:rFonts w:hint="cs"/>
          <w:rtl/>
        </w:rPr>
        <w:t>،</w:t>
      </w:r>
      <w:r>
        <w:rPr>
          <w:rFonts w:hint="cs"/>
          <w:rtl/>
        </w:rPr>
        <w:t xml:space="preserve"> وقوله تعالى </w:t>
      </w:r>
      <w:r w:rsidR="000636C2">
        <w:rPr>
          <w:rFonts w:hint="cs"/>
          <w:rtl/>
        </w:rPr>
        <w:t>{</w:t>
      </w:r>
      <w:r>
        <w:rPr>
          <w:rFonts w:hint="cs"/>
          <w:rtl/>
        </w:rPr>
        <w:t>إِنْ نَقُولُ إِلَّا اعْتَرَاكَ بَعْضُ آلِهَتِنَا بِسُوءٍ</w:t>
      </w:r>
      <w:r w:rsidR="000636C2">
        <w:rPr>
          <w:rFonts w:hint="cs"/>
          <w:rtl/>
        </w:rPr>
        <w:t>}</w:t>
      </w:r>
      <w:r>
        <w:rPr>
          <w:rFonts w:hint="cs"/>
          <w:rtl/>
        </w:rPr>
        <w:t xml:space="preserve"> </w:t>
      </w:r>
      <w:r w:rsidR="000636C2">
        <w:rPr>
          <w:rFonts w:hint="cs"/>
          <w:rtl/>
        </w:rPr>
        <w:t>[</w:t>
      </w:r>
      <w:r>
        <w:rPr>
          <w:rFonts w:hint="cs"/>
          <w:rtl/>
        </w:rPr>
        <w:t>سورة هود</w:t>
      </w:r>
      <w:r w:rsidR="000636C2">
        <w:rPr>
          <w:rFonts w:hint="cs"/>
          <w:rtl/>
        </w:rPr>
        <w:t xml:space="preserve">] </w:t>
      </w:r>
      <w:r>
        <w:rPr>
          <w:rFonts w:hint="cs"/>
          <w:rtl/>
        </w:rPr>
        <w:t>وهذا معتقد المشركين على مر الأزمان يعتقدون أن أصنامهم تحقق لهم الحماية وأن لها القدرة على إلحاق السوء والضرر بمن يكفر بها ويذكرها بسوء</w:t>
      </w:r>
      <w:r w:rsidR="000636C2">
        <w:rPr>
          <w:rFonts w:hint="cs"/>
          <w:rtl/>
        </w:rPr>
        <w:t>،</w:t>
      </w:r>
      <w:r>
        <w:rPr>
          <w:rFonts w:hint="cs"/>
          <w:rtl/>
        </w:rPr>
        <w:t xml:space="preserve"> وعلى ذلك فهم مشركون في الربوبية باعتقاد بعض مفرداتها وصرفها لمعبوداتهم مع الله</w:t>
      </w:r>
      <w:r w:rsidR="000636C2">
        <w:rPr>
          <w:rFonts w:hint="cs"/>
          <w:rtl/>
        </w:rPr>
        <w:t>،</w:t>
      </w:r>
      <w:r>
        <w:rPr>
          <w:rFonts w:hint="cs"/>
          <w:rtl/>
        </w:rPr>
        <w:t xml:space="preserve"> </w:t>
      </w:r>
      <w:r w:rsidR="000636C2">
        <w:rPr>
          <w:rFonts w:hint="cs"/>
          <w:rtl/>
        </w:rPr>
        <w:t>{</w:t>
      </w:r>
      <w:r>
        <w:rPr>
          <w:rFonts w:hint="cs"/>
          <w:rtl/>
        </w:rPr>
        <w:t>مَا نَعْبُدُهُمْ إِلَّا لِيُقَرِّبُونَا إِلَى اللَّهِ زُلْفي</w:t>
      </w:r>
      <w:r w:rsidR="000636C2">
        <w:rPr>
          <w:rFonts w:hint="cs"/>
          <w:rtl/>
        </w:rPr>
        <w:t>}</w:t>
      </w:r>
      <w:r>
        <w:rPr>
          <w:rFonts w:hint="cs"/>
          <w:rtl/>
        </w:rPr>
        <w:t xml:space="preserve"> </w:t>
      </w:r>
      <w:r>
        <w:rPr>
          <w:rFonts w:hint="cs"/>
          <w:rtl/>
          <w:lang w:bidi="ar-KW"/>
        </w:rPr>
        <w:t>ويستفاد من الآية</w:t>
      </w:r>
      <w:r w:rsidR="000636C2">
        <w:rPr>
          <w:rFonts w:hint="cs"/>
          <w:rtl/>
          <w:lang w:bidi="ar-KW"/>
        </w:rPr>
        <w:t xml:space="preserve">: </w:t>
      </w:r>
      <w:r>
        <w:rPr>
          <w:rFonts w:hint="cs"/>
          <w:rtl/>
          <w:lang w:bidi="ar-KW"/>
        </w:rPr>
        <w:t xml:space="preserve">أنهم أقروا بعبادة أصنامهم وهو شرك في العبودية والألوهية </w:t>
      </w:r>
      <w:r w:rsidR="000636C2">
        <w:rPr>
          <w:rFonts w:hint="cs"/>
          <w:rtl/>
          <w:lang w:bidi="ar-KW"/>
        </w:rPr>
        <w:t>(</w:t>
      </w:r>
      <w:r>
        <w:rPr>
          <w:rFonts w:hint="cs"/>
          <w:rtl/>
          <w:lang w:bidi="ar-KW"/>
        </w:rPr>
        <w:t>ما نعبدهم</w:t>
      </w:r>
      <w:r w:rsidR="000636C2">
        <w:rPr>
          <w:rFonts w:hint="cs"/>
          <w:rtl/>
          <w:lang w:bidi="ar-KW"/>
        </w:rPr>
        <w:t>)،</w:t>
      </w:r>
      <w:r>
        <w:rPr>
          <w:rFonts w:hint="cs"/>
          <w:rtl/>
          <w:lang w:bidi="ar-KW"/>
        </w:rPr>
        <w:t xml:space="preserve"> وأنهم زعموا أن عبادتهم للأصنام من أجل أن تقربهم إلى الله</w:t>
      </w:r>
      <w:r w:rsidR="000636C2">
        <w:rPr>
          <w:rFonts w:hint="cs"/>
          <w:rtl/>
          <w:lang w:bidi="ar-KW"/>
        </w:rPr>
        <w:t>،</w:t>
      </w:r>
      <w:r>
        <w:rPr>
          <w:rFonts w:hint="cs"/>
          <w:rtl/>
          <w:lang w:bidi="ar-KW"/>
        </w:rPr>
        <w:t xml:space="preserve"> ويستفاد كذلك كذب دعواهم في أنهم ما عبدوها إلا لتقربهم إلى الله زلفي</w:t>
      </w:r>
      <w:r w:rsidR="000636C2">
        <w:rPr>
          <w:rFonts w:hint="cs"/>
          <w:rtl/>
          <w:lang w:bidi="ar-KW"/>
        </w:rPr>
        <w:t>،</w:t>
      </w:r>
      <w:r>
        <w:rPr>
          <w:rFonts w:hint="cs"/>
          <w:rtl/>
          <w:lang w:bidi="ar-KW"/>
        </w:rPr>
        <w:t xml:space="preserve"> بدليل رد الله تعالى عليهم بقوله في خاتمة الآية </w:t>
      </w:r>
      <w:r w:rsidR="000636C2">
        <w:rPr>
          <w:rFonts w:hint="cs"/>
          <w:rtl/>
          <w:lang w:bidi="ar-KW"/>
        </w:rPr>
        <w:t>{</w:t>
      </w:r>
      <w:r>
        <w:rPr>
          <w:rFonts w:hint="cs"/>
          <w:rtl/>
        </w:rPr>
        <w:t>إِنَّ اللَّهَ لَا يَهْدِي مَنْ هُوَ كَاذِبٌ كَفَّارٌ</w:t>
      </w:r>
      <w:r w:rsidR="000636C2">
        <w:rPr>
          <w:rFonts w:hint="cs"/>
          <w:rtl/>
        </w:rPr>
        <w:t>}</w:t>
      </w:r>
      <w:r w:rsidR="000636C2">
        <w:rPr>
          <w:rFonts w:hint="cs"/>
          <w:rtl/>
          <w:lang w:bidi="ar-KW"/>
        </w:rPr>
        <w:t>،</w:t>
      </w:r>
      <w:r>
        <w:rPr>
          <w:rFonts w:hint="cs"/>
          <w:rtl/>
          <w:lang w:bidi="ar-KW"/>
        </w:rPr>
        <w:t xml:space="preserve"> وكذبهم مفاده أنهم يعبدونها لأنهم يعتقدون أنها تنصرهم وتعزهم وتحميهم وتعتري أعدائها بسوء وضر</w:t>
      </w:r>
      <w:r w:rsidR="000636C2">
        <w:rPr>
          <w:rFonts w:hint="cs"/>
          <w:rtl/>
          <w:lang w:bidi="ar-KW"/>
        </w:rPr>
        <w:t>،</w:t>
      </w:r>
      <w:r>
        <w:rPr>
          <w:rFonts w:hint="cs"/>
          <w:rtl/>
          <w:lang w:bidi="ar-KW"/>
        </w:rPr>
        <w:t xml:space="preserve"> وهذا كله من أعظم الشرك في ربوبية الله تعالى وإلهيته لعباده</w:t>
      </w:r>
      <w:r w:rsidR="000636C2">
        <w:rPr>
          <w:rFonts w:hint="cs"/>
          <w:rtl/>
          <w:lang w:bidi="ar-KW"/>
        </w:rPr>
        <w:t>،</w:t>
      </w:r>
      <w:r>
        <w:rPr>
          <w:rFonts w:hint="cs"/>
          <w:rtl/>
          <w:lang w:bidi="ar-KW"/>
        </w:rPr>
        <w:t xml:space="preserve"> وفي الحديث </w:t>
      </w:r>
      <w:r w:rsidR="000636C2">
        <w:rPr>
          <w:rFonts w:hint="cs"/>
          <w:rtl/>
          <w:lang w:bidi="ar-KW"/>
        </w:rPr>
        <w:t>(</w:t>
      </w:r>
      <w:r>
        <w:rPr>
          <w:rFonts w:hint="cs"/>
          <w:rtl/>
          <w:lang w:bidi="ar-KW"/>
        </w:rPr>
        <w:t>أنا أغنى الأغنياء عن الشرك</w:t>
      </w:r>
      <w:r w:rsidR="000636C2">
        <w:rPr>
          <w:rFonts w:hint="cs"/>
          <w:rtl/>
          <w:lang w:bidi="ar-KW"/>
        </w:rPr>
        <w:t>)،</w:t>
      </w:r>
      <w:r>
        <w:rPr>
          <w:rFonts w:hint="cs"/>
          <w:rtl/>
          <w:lang w:bidi="ar-KW"/>
        </w:rPr>
        <w:t xml:space="preserve"> وقوله تعالى</w:t>
      </w:r>
      <w:r w:rsidR="000636C2">
        <w:rPr>
          <w:rFonts w:hint="cs"/>
          <w:rtl/>
          <w:lang w:bidi="ar-KW"/>
        </w:rPr>
        <w:t>: {</w:t>
      </w:r>
      <w:r>
        <w:rPr>
          <w:rFonts w:hint="cs"/>
          <w:rtl/>
        </w:rPr>
        <w:t>كَاذِبٌ كَفَّارٌ</w:t>
      </w:r>
      <w:r w:rsidR="000636C2">
        <w:rPr>
          <w:rFonts w:hint="cs"/>
          <w:rtl/>
        </w:rPr>
        <w:t>}</w:t>
      </w:r>
      <w:r>
        <w:rPr>
          <w:rFonts w:hint="cs"/>
          <w:rtl/>
          <w:lang w:bidi="ar-KW"/>
        </w:rPr>
        <w:t xml:space="preserve"> صيغة مبالغة من كافر لأنهم كفروا بربوبية الله وألوهيته</w:t>
      </w:r>
      <w:r w:rsidR="000636C2">
        <w:rPr>
          <w:rFonts w:hint="cs"/>
          <w:rtl/>
          <w:lang w:bidi="ar-KW"/>
        </w:rPr>
        <w:t xml:space="preserve"> </w:t>
      </w:r>
      <w:r>
        <w:rPr>
          <w:rFonts w:hint="cs"/>
          <w:rtl/>
          <w:lang w:bidi="ar-KW"/>
        </w:rPr>
        <w:t>وكذبوا على الله ورسوله</w:t>
      </w:r>
      <w:r w:rsidR="000636C2">
        <w:rPr>
          <w:rFonts w:hint="cs"/>
          <w:rtl/>
          <w:lang w:bidi="ar-KW"/>
        </w:rPr>
        <w:t>،</w:t>
      </w:r>
      <w:r>
        <w:rPr>
          <w:rFonts w:hint="cs"/>
          <w:rtl/>
          <w:lang w:bidi="ar-KW"/>
        </w:rPr>
        <w:t xml:space="preserve"> </w:t>
      </w:r>
      <w:r w:rsidR="000636C2">
        <w:rPr>
          <w:rFonts w:hint="cs"/>
          <w:rtl/>
        </w:rPr>
        <w:t>(</w:t>
      </w:r>
      <w:r>
        <w:rPr>
          <w:rFonts w:hint="cs"/>
          <w:rtl/>
        </w:rPr>
        <w:t>ث</w:t>
      </w:r>
      <w:r w:rsidR="000636C2">
        <w:rPr>
          <w:rFonts w:hint="cs"/>
          <w:rtl/>
        </w:rPr>
        <w:t xml:space="preserve">) </w:t>
      </w:r>
      <w:r>
        <w:rPr>
          <w:rFonts w:hint="cs"/>
          <w:rtl/>
        </w:rPr>
        <w:t>و</w:t>
      </w:r>
      <w:r>
        <w:rPr>
          <w:rFonts w:hint="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0636C2">
        <w:rPr>
          <w:rFonts w:hint="cs"/>
          <w:rtl/>
          <w:lang w:bidi="ar-KW"/>
        </w:rPr>
        <w:t>،</w:t>
      </w:r>
      <w:r>
        <w:rPr>
          <w:rFonts w:hint="cs"/>
          <w:rtl/>
          <w:lang w:bidi="ar-KW"/>
        </w:rPr>
        <w:t xml:space="preserve"> وليس المقصد من الدعاء إلى تحقيق تلك المسائل هو الانتصار لرأي فقهي على حساب آخر</w:t>
      </w:r>
      <w:r w:rsidR="000636C2">
        <w:rPr>
          <w:rFonts w:hint="cs"/>
          <w:rtl/>
          <w:lang w:bidi="ar-KW"/>
        </w:rPr>
        <w:t>،</w:t>
      </w:r>
      <w:r>
        <w:rPr>
          <w:rFonts w:hint="cs"/>
          <w:rtl/>
          <w:lang w:bidi="ar-KW"/>
        </w:rPr>
        <w:t xml:space="preserve"> وليس هو من قبيل تهوين ما فعله الجهلاء من بناء المساجد على القبور</w:t>
      </w:r>
      <w:r w:rsidR="000636C2">
        <w:rPr>
          <w:rFonts w:hint="cs"/>
          <w:rtl/>
          <w:lang w:bidi="ar-KW"/>
        </w:rPr>
        <w:t>،</w:t>
      </w:r>
      <w:r>
        <w:rPr>
          <w:rFonts w:hint="cs"/>
          <w:rtl/>
          <w:lang w:bidi="ar-KW"/>
        </w:rPr>
        <w:t xml:space="preserve"> وما يفعلونه عند مقابر الصالحين</w:t>
      </w:r>
      <w:r w:rsidR="000636C2">
        <w:rPr>
          <w:rFonts w:hint="cs"/>
          <w:rtl/>
          <w:lang w:bidi="ar-KW"/>
        </w:rPr>
        <w:t>،</w:t>
      </w:r>
      <w:r>
        <w:rPr>
          <w:rFonts w:hint="cs"/>
          <w:rtl/>
          <w:lang w:bidi="ar-KW"/>
        </w:rPr>
        <w:t xml:space="preserve"> فإن المساجد بيوت الله تعالى في الأرض</w:t>
      </w:r>
      <w:r w:rsidR="000636C2">
        <w:rPr>
          <w:rFonts w:hint="cs"/>
          <w:rtl/>
          <w:lang w:bidi="ar-KW"/>
        </w:rPr>
        <w:t>،</w:t>
      </w:r>
      <w:r>
        <w:rPr>
          <w:rFonts w:hint="cs"/>
          <w:rtl/>
          <w:lang w:bidi="ar-KW"/>
        </w:rPr>
        <w:t xml:space="preserve"> وهي دور العبادة والطاعة والصلاة</w:t>
      </w:r>
      <w:r w:rsidR="000636C2">
        <w:rPr>
          <w:rFonts w:hint="cs"/>
          <w:rtl/>
          <w:lang w:bidi="ar-KW"/>
        </w:rPr>
        <w:t>،</w:t>
      </w:r>
      <w:r>
        <w:rPr>
          <w:rFonts w:hint="cs"/>
          <w:rtl/>
          <w:lang w:bidi="ar-KW"/>
        </w:rPr>
        <w:t xml:space="preserve"> ولابد من تنزيهها عن أفعال الجاهلين وغلو المغالين وتسيب المستهترين</w:t>
      </w:r>
      <w:r w:rsidR="000636C2">
        <w:rPr>
          <w:rFonts w:hint="cs"/>
          <w:rtl/>
          <w:lang w:bidi="ar-KW"/>
        </w:rPr>
        <w:t>،</w:t>
      </w:r>
      <w:r>
        <w:rPr>
          <w:rFonts w:hint="cs"/>
          <w:rtl/>
          <w:lang w:bidi="ar-KW"/>
        </w:rPr>
        <w:t xml:space="preserve"> وإنما المقصد الأساس من ذلك هو بيان أنّ هذه المسائل تتبع الفقه ولا تتبع التوحيد</w:t>
      </w:r>
      <w:r w:rsidR="000636C2">
        <w:rPr>
          <w:rFonts w:hint="cs"/>
          <w:rtl/>
          <w:lang w:bidi="ar-KW"/>
        </w:rPr>
        <w:t>،</w:t>
      </w:r>
      <w:r>
        <w:rPr>
          <w:rFonts w:hint="cs"/>
          <w:rtl/>
          <w:lang w:bidi="ar-KW"/>
        </w:rPr>
        <w:t xml:space="preserve"> وتتبع السنّة والبدعة ولا تتبع الشرك والتوحيد</w:t>
      </w:r>
      <w:r w:rsidR="000636C2">
        <w:rPr>
          <w:rFonts w:hint="cs"/>
          <w:rtl/>
          <w:lang w:bidi="ar-KW"/>
        </w:rPr>
        <w:t>،</w:t>
      </w:r>
      <w:r>
        <w:rPr>
          <w:rFonts w:hint="cs"/>
          <w:rtl/>
          <w:lang w:bidi="ar-KW"/>
        </w:rPr>
        <w:t xml:space="preserve"> وتتبع الصواب والخطأ ولا تتبع الإيمان والكفر لأنّ المسلمين - على مر عصور الإسلام - مهما بلغ الجهل منهم مبلغه</w:t>
      </w:r>
      <w:r w:rsidR="000636C2">
        <w:rPr>
          <w:rFonts w:hint="cs"/>
          <w:rtl/>
          <w:lang w:bidi="ar-KW"/>
        </w:rPr>
        <w:t>،</w:t>
      </w:r>
      <w:r>
        <w:rPr>
          <w:rFonts w:hint="cs"/>
          <w:rtl/>
          <w:lang w:bidi="ar-KW"/>
        </w:rPr>
        <w:t xml:space="preserve"> فلم يعبدوا إلا الله ولم يصرفوا العبادة إلا إلى الله</w:t>
      </w:r>
      <w:r w:rsidR="000636C2">
        <w:rPr>
          <w:rFonts w:hint="cs"/>
          <w:rtl/>
          <w:lang w:bidi="ar-KW"/>
        </w:rPr>
        <w:t>،</w:t>
      </w:r>
      <w:r>
        <w:rPr>
          <w:rFonts w:hint="cs"/>
          <w:rtl/>
          <w:lang w:bidi="ar-KW"/>
        </w:rPr>
        <w:t xml:space="preserve"> كيف وشعار هم هو </w:t>
      </w:r>
      <w:r w:rsidR="000636C2">
        <w:rPr>
          <w:rFonts w:hint="cs"/>
          <w:rtl/>
          <w:lang w:bidi="ar-KW"/>
        </w:rPr>
        <w:t>(</w:t>
      </w:r>
      <w:r>
        <w:rPr>
          <w:rFonts w:hint="cs"/>
          <w:rtl/>
          <w:lang w:bidi="ar-KW"/>
        </w:rPr>
        <w:t>لا إله إلا الله</w:t>
      </w:r>
      <w:r w:rsidR="000636C2">
        <w:rPr>
          <w:rFonts w:hint="cs"/>
          <w:rtl/>
          <w:lang w:bidi="ar-KW"/>
        </w:rPr>
        <w:t>)،</w:t>
      </w:r>
      <w:r>
        <w:rPr>
          <w:rFonts w:hint="cs"/>
          <w:rtl/>
          <w:lang w:bidi="ar-KW"/>
        </w:rPr>
        <w:t xml:space="preserve"> ومن ثم تهذيب مسائل التوحيد والشرك</w:t>
      </w:r>
      <w:r w:rsidR="000636C2">
        <w:rPr>
          <w:rFonts w:hint="cs"/>
          <w:rtl/>
          <w:lang w:bidi="ar-KW"/>
        </w:rPr>
        <w:t>،</w:t>
      </w:r>
      <w:r>
        <w:rPr>
          <w:rFonts w:hint="cs"/>
          <w:rtl/>
          <w:lang w:bidi="ar-KW"/>
        </w:rPr>
        <w:t xml:space="preserve"> فلا يشوبها شائبة الغلو والجفاء</w:t>
      </w:r>
      <w:r w:rsidR="000636C2">
        <w:rPr>
          <w:rFonts w:hint="cs"/>
          <w:rtl/>
          <w:lang w:bidi="ar-KW"/>
        </w:rPr>
        <w:t>،</w:t>
      </w:r>
      <w:r>
        <w:rPr>
          <w:rFonts w:hint="cs"/>
          <w:rtl/>
          <w:lang w:bidi="ar-KW"/>
        </w:rPr>
        <w:t xml:space="preserve"> واتهام المسلمين بالشرك الأكبر وهم منه برآء</w:t>
      </w:r>
      <w:r w:rsidR="000636C2">
        <w:rPr>
          <w:rFonts w:hint="cs"/>
          <w:rtl/>
          <w:lang w:bidi="ar-KW"/>
        </w:rPr>
        <w:t>،</w:t>
      </w:r>
      <w:r>
        <w:rPr>
          <w:rFonts w:hint="cs"/>
          <w:rtl/>
          <w:lang w:bidi="ar-KW"/>
        </w:rPr>
        <w:t xml:space="preserve"> فعلاج الخلل لا يكون بالخلل</w:t>
      </w:r>
      <w:r w:rsidR="000636C2">
        <w:rPr>
          <w:rFonts w:hint="cs"/>
          <w:rtl/>
          <w:lang w:bidi="ar-KW"/>
        </w:rPr>
        <w:t>،</w:t>
      </w:r>
      <w:r>
        <w:rPr>
          <w:rFonts w:hint="cs"/>
          <w:rtl/>
          <w:lang w:bidi="ar-KW"/>
        </w:rPr>
        <w:t xml:space="preserve"> وعلاج الخطأ لا يكون بالخطأ</w:t>
      </w:r>
      <w:r w:rsidR="000636C2">
        <w:rPr>
          <w:rFonts w:hint="cs"/>
          <w:rtl/>
          <w:lang w:bidi="ar-KW"/>
        </w:rPr>
        <w:t>،</w:t>
      </w:r>
      <w:r>
        <w:rPr>
          <w:rFonts w:hint="cs"/>
          <w:rtl/>
          <w:lang w:bidi="ar-KW"/>
        </w:rPr>
        <w:t xml:space="preserve"> وعلاج التفريط لا يكون بالإفراط</w:t>
      </w:r>
      <w:r w:rsidR="000636C2">
        <w:rPr>
          <w:rFonts w:hint="cs"/>
          <w:rtl/>
          <w:lang w:bidi="ar-KW"/>
        </w:rPr>
        <w:t>،</w:t>
      </w:r>
      <w:r>
        <w:rPr>
          <w:rFonts w:hint="cs"/>
          <w:rtl/>
          <w:lang w:bidi="ar-KW"/>
        </w:rPr>
        <w:t xml:space="preserve"> ودين الله تعالى عدل بين ظلمين</w:t>
      </w:r>
      <w:r w:rsidR="000636C2">
        <w:rPr>
          <w:rFonts w:hint="cs"/>
          <w:rtl/>
          <w:lang w:bidi="ar-KW"/>
        </w:rPr>
        <w:t>،</w:t>
      </w:r>
      <w:r>
        <w:rPr>
          <w:rFonts w:hint="cs"/>
          <w:rtl/>
          <w:lang w:bidi="ar-KW"/>
        </w:rPr>
        <w:t xml:space="preserve"> ووسط بين طرفين</w:t>
      </w:r>
      <w:r w:rsidR="000636C2">
        <w:rPr>
          <w:rFonts w:hint="cs"/>
          <w:rtl/>
          <w:lang w:bidi="ar-KW"/>
        </w:rPr>
        <w:t>،</w:t>
      </w:r>
      <w:r>
        <w:rPr>
          <w:rFonts w:hint="cs"/>
          <w:rtl/>
          <w:lang w:bidi="ar-KW"/>
        </w:rPr>
        <w:t xml:space="preserve"> </w:t>
      </w:r>
      <w:r w:rsidR="000636C2">
        <w:rPr>
          <w:rFonts w:hint="cs"/>
          <w:rtl/>
          <w:lang w:bidi="ar-KW"/>
        </w:rPr>
        <w:t>(</w:t>
      </w:r>
      <w:r>
        <w:rPr>
          <w:rFonts w:hint="cs"/>
          <w:rtl/>
          <w:lang w:bidi="ar-KW"/>
        </w:rPr>
        <w:t>ج</w:t>
      </w:r>
      <w:r w:rsidR="000636C2">
        <w:rPr>
          <w:rFonts w:hint="cs"/>
          <w:rtl/>
          <w:lang w:bidi="ar-KW"/>
        </w:rPr>
        <w:t xml:space="preserve">) </w:t>
      </w:r>
      <w:r>
        <w:rPr>
          <w:rFonts w:hint="cs"/>
          <w:rtl/>
          <w:lang w:bidi="ar-KW"/>
        </w:rPr>
        <w:t>و</w:t>
      </w:r>
      <w:r>
        <w:rPr>
          <w:rFonts w:hint="cs"/>
          <w:rtl/>
        </w:rPr>
        <w:t>الخطأ في الهجوم على علم التصوف برمته</w:t>
      </w:r>
      <w:r w:rsidR="000636C2">
        <w:rPr>
          <w:rFonts w:hint="cs"/>
          <w:rtl/>
        </w:rPr>
        <w:t>،</w:t>
      </w:r>
      <w:r>
        <w:rPr>
          <w:rFonts w:hint="cs"/>
          <w:rtl/>
        </w:rPr>
        <w:t xml:space="preserve"> بحسنه وسيئه</w:t>
      </w:r>
      <w:r w:rsidR="000636C2">
        <w:rPr>
          <w:rFonts w:hint="cs"/>
          <w:rtl/>
        </w:rPr>
        <w:t>،</w:t>
      </w:r>
      <w:r>
        <w:rPr>
          <w:rFonts w:hint="cs"/>
          <w:rtl/>
        </w:rPr>
        <w:t xml:space="preserve"> واعلان الحرب على أهله واستحلال حرماتهم لمسائل لا تبلغ بهم هذا الحال أبدا</w:t>
      </w:r>
      <w:r w:rsidR="000636C2">
        <w:rPr>
          <w:rFonts w:hint="cs"/>
          <w:rtl/>
        </w:rPr>
        <w:t>،</w:t>
      </w:r>
      <w:r>
        <w:rPr>
          <w:rFonts w:hint="cs"/>
          <w:rtl/>
        </w:rPr>
        <w:t xml:space="preserve"> وإخراجهم من دين المسلمين أو من اطار أهل السنّة والجماعة بظلم وبغي ناشئ عن الغلو </w:t>
      </w:r>
      <w:r>
        <w:rPr>
          <w:rFonts w:hint="cs"/>
          <w:rtl/>
        </w:rPr>
        <w:lastRenderedPageBreak/>
        <w:t>في فهم مفردات التوحيد والشرك والسنّة والبدعة</w:t>
      </w:r>
      <w:r w:rsidR="000636C2">
        <w:rPr>
          <w:rFonts w:hint="cs"/>
          <w:rtl/>
        </w:rPr>
        <w:t>،</w:t>
      </w:r>
      <w:r>
        <w:rPr>
          <w:rFonts w:hint="cs"/>
          <w:rtl/>
        </w:rPr>
        <w:t xml:space="preserve"> وقد كان الإمام ابن تيمية يفصل في مسائل التصوف</w:t>
      </w:r>
      <w:r w:rsidR="000636C2">
        <w:rPr>
          <w:rFonts w:hint="cs"/>
          <w:rtl/>
        </w:rPr>
        <w:t>،</w:t>
      </w:r>
      <w:r>
        <w:rPr>
          <w:rFonts w:hint="cs"/>
          <w:rtl/>
        </w:rPr>
        <w:t xml:space="preserve"> وجعلهم طوائف منهم الصديقون والأولياء</w:t>
      </w:r>
      <w:r w:rsidR="000636C2">
        <w:rPr>
          <w:rFonts w:hint="cs"/>
          <w:rtl/>
        </w:rPr>
        <w:t>،</w:t>
      </w:r>
      <w:r>
        <w:rPr>
          <w:rFonts w:hint="cs"/>
          <w:rtl/>
        </w:rPr>
        <w:t xml:space="preserve"> ومنهم الأدعياء المرتزقة</w:t>
      </w:r>
      <w:r w:rsidR="000636C2">
        <w:rPr>
          <w:rFonts w:hint="cs"/>
          <w:rtl/>
        </w:rPr>
        <w:t>،</w:t>
      </w:r>
      <w:r>
        <w:rPr>
          <w:rFonts w:hint="cs"/>
          <w:rtl/>
        </w:rPr>
        <w:t xml:space="preserve"> ومنهم أهل الجهل والخرافة</w:t>
      </w:r>
      <w:r w:rsidR="000636C2">
        <w:rPr>
          <w:rFonts w:hint="cs"/>
          <w:rtl/>
        </w:rPr>
        <w:t>،</w:t>
      </w:r>
      <w:r>
        <w:rPr>
          <w:rFonts w:hint="cs"/>
          <w:rtl/>
        </w:rPr>
        <w:t xml:space="preserve"> ومنهم أهل البدعة والضلالة</w:t>
      </w:r>
      <w:r w:rsidR="000636C2">
        <w:rPr>
          <w:rFonts w:hint="cs"/>
          <w:rtl/>
        </w:rPr>
        <w:t>،</w:t>
      </w:r>
      <w:r>
        <w:rPr>
          <w:rFonts w:hint="cs"/>
          <w:rtl/>
        </w:rPr>
        <w:t xml:space="preserve"> ولكن الشيخ محمد ابن عبد الوهاب لم يفصّل وإنما</w:t>
      </w:r>
      <w:r w:rsidR="000636C2">
        <w:rPr>
          <w:rFonts w:hint="cs"/>
          <w:rtl/>
        </w:rPr>
        <w:t xml:space="preserve"> </w:t>
      </w:r>
      <w:r>
        <w:rPr>
          <w:rFonts w:hint="cs"/>
          <w:rtl/>
        </w:rPr>
        <w:t>اعتبر التصوف برمته ضلال ينبغي أن يُزال</w:t>
      </w:r>
      <w:r w:rsidR="000636C2">
        <w:rPr>
          <w:rFonts w:hint="cs"/>
          <w:rtl/>
        </w:rPr>
        <w:t>،</w:t>
      </w:r>
      <w:r>
        <w:rPr>
          <w:rFonts w:hint="cs"/>
          <w:rtl/>
        </w:rPr>
        <w:t xml:space="preserve"> مع أنّ السبب الاساس الذي أُنشأ من أجله التصوف هو تزكية الباطن</w:t>
      </w:r>
      <w:r w:rsidR="000636C2">
        <w:rPr>
          <w:rFonts w:hint="cs"/>
          <w:rtl/>
        </w:rPr>
        <w:t>،</w:t>
      </w:r>
      <w:r>
        <w:rPr>
          <w:rFonts w:hint="cs"/>
          <w:rtl/>
        </w:rPr>
        <w:t xml:space="preserve"> وقد كان العلم المتخصص في إصلاح القلب وسلامته وتزكيته</w:t>
      </w:r>
      <w:r w:rsidR="000636C2">
        <w:rPr>
          <w:rFonts w:hint="cs"/>
          <w:rtl/>
        </w:rPr>
        <w:t>،</w:t>
      </w:r>
      <w:r>
        <w:rPr>
          <w:rFonts w:hint="cs"/>
          <w:rtl/>
        </w:rPr>
        <w:t xml:space="preserve"> وتخليته عن صفاته الذميمة</w:t>
      </w:r>
      <w:r w:rsidR="000636C2">
        <w:rPr>
          <w:rFonts w:hint="cs"/>
          <w:rtl/>
        </w:rPr>
        <w:t>،</w:t>
      </w:r>
      <w:r>
        <w:rPr>
          <w:rFonts w:hint="cs"/>
          <w:rtl/>
        </w:rPr>
        <w:t xml:space="preserve"> وتحليته بعظيم الآداب والأخلاق</w:t>
      </w:r>
      <w:r w:rsidR="000636C2">
        <w:rPr>
          <w:rFonts w:hint="cs"/>
          <w:rtl/>
        </w:rPr>
        <w:t xml:space="preserve">، </w:t>
      </w:r>
      <w:r>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0636C2">
        <w:rPr>
          <w:rFonts w:hint="cs"/>
          <w:rtl/>
        </w:rPr>
        <w:t>،</w:t>
      </w:r>
      <w:r>
        <w:rPr>
          <w:rFonts w:hint="cs"/>
          <w:rtl/>
        </w:rPr>
        <w:t xml:space="preserve"> والتصوف هو العلم الذي اختص بمعالجة هذه الأمراض القلبية والعمل على تزكية النفوس والتخلص من صفاتها الناقصة الذميمة</w:t>
      </w:r>
      <w:r w:rsidR="000636C2">
        <w:rPr>
          <w:rFonts w:hint="cs"/>
          <w:rtl/>
        </w:rPr>
        <w:t>،</w:t>
      </w:r>
      <w:r>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0636C2">
        <w:rPr>
          <w:rFonts w:hint="cs"/>
          <w:rtl/>
        </w:rPr>
        <w:t>،</w:t>
      </w:r>
      <w:r>
        <w:rPr>
          <w:rFonts w:hint="cs"/>
          <w:rtl/>
        </w:rPr>
        <w:t xml:space="preserve"> وقد كان السادة الصوفية الحقة هم العلماء العاملون الصادقون والمرشدون المربون والعارفون بمناهج التربية والإحسان</w:t>
      </w:r>
      <w:r w:rsidR="000636C2">
        <w:rPr>
          <w:rFonts w:hint="cs"/>
          <w:rtl/>
        </w:rPr>
        <w:t>،</w:t>
      </w:r>
      <w:r>
        <w:rPr>
          <w:rFonts w:hint="cs"/>
          <w:rtl/>
        </w:rPr>
        <w:t xml:space="preserve"> وبالتالي فإن </w:t>
      </w:r>
      <w:r>
        <w:rPr>
          <w:rFonts w:eastAsia="Times New Roman" w:hint="cs"/>
          <w:rtl/>
        </w:rPr>
        <w:t>إلصاق كل التهم بالصوفية دون تفريق ودون مبالاة بما دس على بعضهم</w:t>
      </w:r>
      <w:r w:rsidR="000636C2">
        <w:rPr>
          <w:rFonts w:eastAsia="Times New Roman" w:hint="cs"/>
          <w:rtl/>
        </w:rPr>
        <w:t>،</w:t>
      </w:r>
      <w:r>
        <w:rPr>
          <w:rFonts w:eastAsia="Times New Roman" w:hint="cs"/>
          <w:rtl/>
        </w:rPr>
        <w:t xml:space="preserve"> أو قالها بعضهم في ساعة ذهول لا يقصدها</w:t>
      </w:r>
      <w:r w:rsidR="000636C2">
        <w:rPr>
          <w:rFonts w:eastAsia="Times New Roman" w:hint="cs"/>
          <w:rtl/>
        </w:rPr>
        <w:t>،</w:t>
      </w:r>
      <w:r>
        <w:rPr>
          <w:rFonts w:eastAsia="Times New Roman" w:hint="cs"/>
          <w:rtl/>
        </w:rPr>
        <w:t xml:space="preserve"> أمر لا ينبغي</w:t>
      </w:r>
      <w:r w:rsidR="000636C2">
        <w:rPr>
          <w:rFonts w:eastAsia="Times New Roman" w:hint="cs"/>
          <w:rtl/>
        </w:rPr>
        <w:t>،</w:t>
      </w:r>
      <w:r>
        <w:rPr>
          <w:rFonts w:eastAsia="Times New Roman" w:hint="cs"/>
          <w:rtl/>
        </w:rPr>
        <w:t xml:space="preserve"> إن كلمة </w:t>
      </w:r>
      <w:r w:rsidR="000636C2">
        <w:rPr>
          <w:rFonts w:eastAsia="Times New Roman" w:hint="cs"/>
          <w:rtl/>
        </w:rPr>
        <w:t>(</w:t>
      </w:r>
      <w:r>
        <w:rPr>
          <w:rFonts w:eastAsia="Times New Roman" w:hint="cs"/>
          <w:rtl/>
        </w:rPr>
        <w:t>صوفي</w:t>
      </w:r>
      <w:r w:rsidR="000636C2">
        <w:rPr>
          <w:rFonts w:eastAsia="Times New Roman" w:hint="cs"/>
          <w:rtl/>
        </w:rPr>
        <w:t xml:space="preserve">) </w:t>
      </w:r>
      <w:r>
        <w:rPr>
          <w:rFonts w:eastAsia="Times New Roman" w:hint="cs"/>
          <w:rtl/>
        </w:rPr>
        <w:t xml:space="preserve">مثلها مثل كلمة </w:t>
      </w:r>
      <w:r w:rsidR="000636C2">
        <w:rPr>
          <w:rFonts w:eastAsia="Times New Roman" w:hint="cs"/>
          <w:rtl/>
        </w:rPr>
        <w:t>(</w:t>
      </w:r>
      <w:r>
        <w:rPr>
          <w:rFonts w:eastAsia="Times New Roman" w:hint="cs"/>
          <w:rtl/>
        </w:rPr>
        <w:t>سلفي</w:t>
      </w:r>
      <w:r w:rsidR="000636C2">
        <w:rPr>
          <w:rFonts w:eastAsia="Times New Roman" w:hint="cs"/>
          <w:rtl/>
        </w:rPr>
        <w:t xml:space="preserve">) </w:t>
      </w:r>
      <w:r>
        <w:rPr>
          <w:rFonts w:eastAsia="Times New Roman" w:hint="cs"/>
          <w:rtl/>
        </w:rPr>
        <w:t>كانت على مر عصور الإسلام السابقة</w:t>
      </w:r>
      <w:r w:rsidR="000636C2">
        <w:rPr>
          <w:rFonts w:eastAsia="Times New Roman" w:hint="cs"/>
          <w:rtl/>
        </w:rPr>
        <w:t xml:space="preserve"> </w:t>
      </w:r>
      <w:r>
        <w:rPr>
          <w:rFonts w:eastAsia="Times New Roman" w:hint="cs"/>
          <w:rtl/>
        </w:rPr>
        <w:t>- منذ القرن الثالث الهجري وإلى يومنا هذا - كلمة ثناء</w:t>
      </w:r>
      <w:r w:rsidR="000636C2">
        <w:rPr>
          <w:rFonts w:eastAsia="Times New Roman" w:hint="cs"/>
          <w:rtl/>
        </w:rPr>
        <w:t>،</w:t>
      </w:r>
      <w:r>
        <w:rPr>
          <w:rFonts w:eastAsia="Times New Roman" w:hint="cs"/>
          <w:rtl/>
        </w:rPr>
        <w:t xml:space="preserve"> وصفة مدح</w:t>
      </w:r>
      <w:r w:rsidR="000636C2">
        <w:rPr>
          <w:rFonts w:eastAsia="Times New Roman" w:hint="cs"/>
          <w:rtl/>
        </w:rPr>
        <w:t>،</w:t>
      </w:r>
      <w:r>
        <w:rPr>
          <w:rFonts w:eastAsia="Times New Roman" w:hint="cs"/>
          <w:rtl/>
        </w:rPr>
        <w:t xml:space="preserve"> فلا يعقل أن ينادي اتباع الشيخ محمد بن عبد الوهاب إلى اقتلاع التصوف من جذوره</w:t>
      </w:r>
      <w:r w:rsidR="000636C2">
        <w:rPr>
          <w:rFonts w:eastAsia="Times New Roman" w:hint="cs"/>
          <w:rtl/>
        </w:rPr>
        <w:t>،</w:t>
      </w:r>
      <w:r>
        <w:rPr>
          <w:rFonts w:eastAsia="Times New Roman" w:hint="cs"/>
          <w:rtl/>
        </w:rPr>
        <w:t xml:space="preserve"> وابادة التصوف وأهله</w:t>
      </w:r>
      <w:r w:rsidR="000636C2">
        <w:rPr>
          <w:rFonts w:eastAsia="Times New Roman" w:hint="cs"/>
          <w:rtl/>
        </w:rPr>
        <w:t>،</w:t>
      </w:r>
      <w:r>
        <w:rPr>
          <w:rFonts w:eastAsia="Times New Roman" w:hint="cs"/>
          <w:rtl/>
        </w:rPr>
        <w:t xml:space="preserve"> وردم التراب على تراث المتصوفة بحجة تطهير المنهج من المبتدعة</w:t>
      </w:r>
      <w:r w:rsidR="000636C2">
        <w:rPr>
          <w:rFonts w:eastAsia="Times New Roman" w:hint="cs"/>
          <w:rtl/>
        </w:rPr>
        <w:t>،</w:t>
      </w:r>
      <w:r>
        <w:rPr>
          <w:rFonts w:eastAsia="Times New Roman" w:hint="cs"/>
          <w:rtl/>
        </w:rPr>
        <w:t xml:space="preserve"> فهل بعد هذا من تنطع</w:t>
      </w:r>
      <w:r w:rsidR="000636C2">
        <w:rPr>
          <w:rFonts w:eastAsia="Times New Roman" w:hint="cs"/>
          <w:rtl/>
        </w:rPr>
        <w:t>،</w:t>
      </w:r>
      <w:r>
        <w:rPr>
          <w:rFonts w:eastAsia="Times New Roman" w:hint="cs"/>
          <w:rtl/>
        </w:rPr>
        <w:t xml:space="preserve"> وأين يذهب أكثرية أهل السنة والجماعة في العالم اليوم في مصر والسودان وبلاد الشام</w:t>
      </w:r>
      <w:r w:rsidR="000636C2">
        <w:rPr>
          <w:rFonts w:eastAsia="Times New Roman" w:hint="cs"/>
          <w:rtl/>
        </w:rPr>
        <w:t>،</w:t>
      </w:r>
      <w:r>
        <w:rPr>
          <w:rFonts w:eastAsia="Times New Roman" w:hint="cs"/>
          <w:rtl/>
        </w:rPr>
        <w:t>ودول المغرب العربي واندونيسيا والباكستان وغيرها من بلاد المسلمين</w:t>
      </w:r>
      <w:r w:rsidR="000636C2">
        <w:rPr>
          <w:rFonts w:eastAsia="Times New Roman" w:hint="cs"/>
          <w:rtl/>
        </w:rPr>
        <w:t>،</w:t>
      </w:r>
      <w:r>
        <w:rPr>
          <w:rFonts w:eastAsia="Times New Roman" w:hint="cs"/>
          <w:rtl/>
        </w:rPr>
        <w:t xml:space="preserve"> وليس معنى ذلك أن نبرأ جميع الصوفية من الخطأ</w:t>
      </w:r>
      <w:r w:rsidR="000636C2">
        <w:rPr>
          <w:rFonts w:eastAsia="Times New Roman" w:hint="cs"/>
          <w:rtl/>
        </w:rPr>
        <w:t>،</w:t>
      </w:r>
      <w:r>
        <w:rPr>
          <w:rFonts w:eastAsia="Times New Roman" w:hint="cs"/>
          <w:rtl/>
        </w:rPr>
        <w:t xml:space="preserve"> فهناك من أدعياء الصوفية من أساء للصوفية </w:t>
      </w:r>
      <w:r>
        <w:rPr>
          <w:rFonts w:eastAsia="Times New Roman" w:hint="cs"/>
          <w:rtl/>
          <w:lang w:bidi="ar-KW"/>
        </w:rPr>
        <w:t>أكثر من أعداء التصوف</w:t>
      </w:r>
      <w:r w:rsidR="000636C2">
        <w:rPr>
          <w:rFonts w:eastAsia="Times New Roman" w:hint="cs"/>
          <w:rtl/>
          <w:lang w:bidi="ar-KW"/>
        </w:rPr>
        <w:t>،</w:t>
      </w:r>
      <w:r w:rsidR="000636C2">
        <w:rPr>
          <w:rFonts w:hint="cs"/>
          <w:rtl/>
        </w:rPr>
        <w:t>(</w:t>
      </w:r>
      <w:r>
        <w:rPr>
          <w:rFonts w:hint="cs"/>
          <w:rtl/>
        </w:rPr>
        <w:t>ح</w:t>
      </w:r>
      <w:r w:rsidR="000636C2">
        <w:rPr>
          <w:rFonts w:hint="cs"/>
          <w:rtl/>
        </w:rPr>
        <w:t xml:space="preserve">) </w:t>
      </w:r>
      <w:r>
        <w:rPr>
          <w:rFonts w:hint="cs"/>
          <w:rtl/>
        </w:rPr>
        <w:t>استحلال دماء وأموال مخالفيه</w:t>
      </w:r>
      <w:r w:rsidR="000636C2">
        <w:rPr>
          <w:rFonts w:hint="cs"/>
          <w:rtl/>
        </w:rPr>
        <w:t xml:space="preserve">: </w:t>
      </w:r>
      <w:r>
        <w:rPr>
          <w:rFonts w:hint="cs"/>
          <w:rtl/>
        </w:rPr>
        <w:t>فقد استحل دماء المسلمين في نجد والحجاز بتهم الشرك والكفر والخروج من ملة الإسلام</w:t>
      </w:r>
      <w:r w:rsidR="000636C2">
        <w:rPr>
          <w:rFonts w:hint="cs"/>
          <w:rtl/>
        </w:rPr>
        <w:t>،</w:t>
      </w:r>
      <w:r>
        <w:rPr>
          <w:rFonts w:hint="cs"/>
          <w:rtl/>
        </w:rPr>
        <w:t xml:space="preserve"> ونظرة عابرة إلى تاريخ نجد لابن غنّام</w:t>
      </w:r>
      <w:r w:rsidR="000636C2">
        <w:rPr>
          <w:rFonts w:hint="cs"/>
          <w:rtl/>
        </w:rPr>
        <w:t>،</w:t>
      </w:r>
      <w:r>
        <w:rPr>
          <w:rFonts w:hint="cs"/>
          <w:rtl/>
        </w:rPr>
        <w:t xml:space="preserve"> نعلم كيف كانت </w:t>
      </w:r>
      <w:r w:rsidR="000636C2">
        <w:rPr>
          <w:rFonts w:hint="cs"/>
          <w:rtl/>
        </w:rPr>
        <w:t>(</w:t>
      </w:r>
      <w:r>
        <w:rPr>
          <w:rFonts w:hint="cs"/>
          <w:rtl/>
        </w:rPr>
        <w:t>الغزوات</w:t>
      </w:r>
      <w:r w:rsidR="000636C2">
        <w:rPr>
          <w:rFonts w:hint="cs"/>
          <w:rtl/>
        </w:rPr>
        <w:t>)!</w:t>
      </w:r>
      <w:r>
        <w:rPr>
          <w:rFonts w:hint="cs"/>
          <w:rtl/>
        </w:rPr>
        <w:t xml:space="preserve"> على أعراب نجد والحجاز</w:t>
      </w:r>
      <w:r w:rsidR="000636C2">
        <w:rPr>
          <w:rFonts w:hint="cs"/>
          <w:rtl/>
        </w:rPr>
        <w:t>،</w:t>
      </w:r>
      <w:r>
        <w:rPr>
          <w:rFonts w:hint="cs"/>
          <w:rtl/>
        </w:rPr>
        <w:t xml:space="preserve"> وكيف كانت الدماء والحُرمات تُستحل حتى في المساجد</w:t>
      </w:r>
      <w:r w:rsidR="000636C2">
        <w:rPr>
          <w:rFonts w:hint="cs"/>
          <w:rtl/>
        </w:rPr>
        <w:t>،</w:t>
      </w:r>
      <w:r>
        <w:rPr>
          <w:rFonts w:hint="cs"/>
          <w:rtl/>
        </w:rPr>
        <w:t xml:space="preserve"> والغنائم توزع على المجاهدين وكأنّهم يحاربون عُباد الأوثان</w:t>
      </w:r>
      <w:r w:rsidR="000636C2">
        <w:rPr>
          <w:rFonts w:hint="cs"/>
          <w:rtl/>
        </w:rPr>
        <w:t>،</w:t>
      </w:r>
      <w:r>
        <w:rPr>
          <w:rFonts w:hint="cs"/>
          <w:rtl/>
        </w:rPr>
        <w:t xml:space="preserve"> لا مسلمين يقولون </w:t>
      </w:r>
      <w:r w:rsidR="000636C2">
        <w:rPr>
          <w:rFonts w:hint="cs"/>
          <w:rtl/>
        </w:rPr>
        <w:t>(</w:t>
      </w:r>
      <w:r>
        <w:rPr>
          <w:rFonts w:hint="cs"/>
          <w:rtl/>
        </w:rPr>
        <w:t>لا إله إلا الله محمد رسول الله</w:t>
      </w:r>
      <w:r w:rsidR="000636C2">
        <w:rPr>
          <w:rFonts w:hint="cs"/>
          <w:rtl/>
        </w:rPr>
        <w:t>)،</w:t>
      </w:r>
      <w:r>
        <w:rPr>
          <w:rFonts w:hint="cs"/>
          <w:rtl/>
        </w:rPr>
        <w:t xml:space="preserve"> ويعتقدون أنّه لا إله ولا رب لهذا الكون إلا الله</w:t>
      </w:r>
      <w:r w:rsidR="000636C2">
        <w:rPr>
          <w:rFonts w:hint="cs"/>
          <w:rtl/>
        </w:rPr>
        <w:t>،</w:t>
      </w:r>
      <w:r>
        <w:rPr>
          <w:rFonts w:hint="cs"/>
          <w:rtl/>
        </w:rPr>
        <w:t xml:space="preserve"> وأنّ كل ما جاء به رسول الله تعالى من عند الله حق يدينون به لله</w:t>
      </w:r>
      <w:r w:rsidR="000636C2">
        <w:rPr>
          <w:rFonts w:hint="cs"/>
          <w:rtl/>
        </w:rPr>
        <w:t>،</w:t>
      </w:r>
    </w:p>
    <w:p w14:paraId="17DD640B" w14:textId="35160306" w:rsidR="009C32A0" w:rsidRDefault="009C32A0" w:rsidP="000636C2">
      <w:pPr>
        <w:ind w:left="-58"/>
        <w:rPr>
          <w:rFonts w:eastAsia="Times New Roman"/>
          <w:b/>
          <w:rtl/>
        </w:rPr>
      </w:pPr>
      <w:r>
        <w:rPr>
          <w:rFonts w:eastAsia="Times New Roman" w:hint="cs"/>
          <w:bCs/>
          <w:rtl/>
        </w:rPr>
        <w:lastRenderedPageBreak/>
        <w:t>غلو الدعوة الوهابية في تكفير المسلمين واستحلال دمائهم وحرماتهم</w:t>
      </w:r>
      <w:r w:rsidR="000636C2">
        <w:rPr>
          <w:rFonts w:eastAsia="Times New Roman" w:hint="cs"/>
          <w:rtl/>
        </w:rPr>
        <w:t xml:space="preserve">: </w:t>
      </w:r>
      <w:r>
        <w:rPr>
          <w:rFonts w:eastAsia="Times New Roman" w:hint="cs"/>
          <w:rtl/>
        </w:rPr>
        <w:t>هناك العديد من نصوص الإمام محمد بن عبد الوهاب والتي آلت به إلى تكفير المسلمين واستحلال دمائهم وحرماتهم</w:t>
      </w:r>
      <w:r w:rsidR="000636C2">
        <w:rPr>
          <w:rFonts w:eastAsia="Times New Roman" w:hint="cs"/>
          <w:rtl/>
        </w:rPr>
        <w:t>،</w:t>
      </w:r>
      <w:r>
        <w:rPr>
          <w:rFonts w:eastAsia="Times New Roman" w:hint="cs"/>
          <w:rtl/>
        </w:rPr>
        <w:t xml:space="preserve"> ومن تلك النصوص</w:t>
      </w:r>
      <w:r w:rsidR="000636C2">
        <w:rPr>
          <w:rFonts w:eastAsia="Times New Roman" w:hint="cs"/>
          <w:rtl/>
        </w:rPr>
        <w:t>،</w:t>
      </w:r>
      <w:r>
        <w:rPr>
          <w:rFonts w:eastAsia="Times New Roman" w:hint="cs"/>
          <w:rtl/>
        </w:rPr>
        <w:t xml:space="preserve"> قوله</w:t>
      </w:r>
      <w:r w:rsidR="000636C2">
        <w:rPr>
          <w:rFonts w:eastAsia="Times New Roman" w:hint="cs"/>
          <w:rtl/>
        </w:rPr>
        <w:t xml:space="preserve">: </w:t>
      </w:r>
      <w:r>
        <w:rPr>
          <w:rFonts w:eastAsia="Times New Roman" w:hint="cs"/>
          <w:rtl/>
        </w:rPr>
        <w:t>- وهو يتحدث عن أربع قواعد في التوحيد -</w:t>
      </w:r>
      <w:r w:rsidR="000636C2">
        <w:rPr>
          <w:rFonts w:eastAsia="Times New Roman" w:hint="cs"/>
          <w:rtl/>
        </w:rPr>
        <w:t>: (</w:t>
      </w:r>
      <w:r>
        <w:rPr>
          <w:rFonts w:eastAsia="Times New Roman" w:hint="cs"/>
          <w:rtl/>
        </w:rPr>
        <w:t>الأُولى</w:t>
      </w:r>
      <w:r w:rsidR="000636C2">
        <w:rPr>
          <w:rFonts w:eastAsia="Times New Roman" w:hint="cs"/>
          <w:rtl/>
        </w:rPr>
        <w:t xml:space="preserve">): </w:t>
      </w:r>
      <w:r>
        <w:rPr>
          <w:rFonts w:eastAsia="Times New Roman" w:hint="cs"/>
          <w:rtl/>
        </w:rPr>
        <w:t>إنّ الكفار الذين قاتلهم رسول اللّه صلى ‌الله ‌عليه ‌وسلم مقرّون بأنّ اللّه هو الخالق الرازق المدبر</w:t>
      </w:r>
      <w:r w:rsidR="000636C2">
        <w:rPr>
          <w:rFonts w:eastAsia="Times New Roman" w:hint="cs"/>
          <w:rtl/>
        </w:rPr>
        <w:t>،</w:t>
      </w:r>
      <w:r>
        <w:rPr>
          <w:rFonts w:eastAsia="Times New Roman" w:hint="cs"/>
          <w:rtl/>
        </w:rPr>
        <w:t xml:space="preserve"> ولم يدخلهم ذلك في الإسلام لقوله تعالى</w:t>
      </w:r>
      <w:r w:rsidR="000636C2">
        <w:rPr>
          <w:rFonts w:eastAsia="Times New Roman" w:hint="cs"/>
          <w:rtl/>
        </w:rPr>
        <w:t>: {</w:t>
      </w:r>
      <w:r>
        <w:rPr>
          <w:rFonts w:eastAsia="Times New Roman" w:hint="cs"/>
          <w:rtl/>
        </w:rPr>
        <w:t>قُلْ مَنْ يَرزُقُكُمْ مِنَ السَّماءِ وَالأرضِ أَمْ مَنْ يَمْلِكُ السَّمْعَ والأبصَارَ</w:t>
      </w:r>
      <w:r w:rsidR="000636C2">
        <w:rPr>
          <w:rFonts w:eastAsia="Times New Roman" w:hint="cs"/>
          <w:rtl/>
        </w:rPr>
        <w:t xml:space="preserve"> </w:t>
      </w:r>
      <w:r>
        <w:rPr>
          <w:rFonts w:eastAsia="Times New Roman" w:hint="cs"/>
          <w:rtl/>
        </w:rPr>
        <w:t>..</w:t>
      </w:r>
      <w:r w:rsidR="000636C2">
        <w:rPr>
          <w:rFonts w:eastAsia="Times New Roman" w:hint="cs"/>
          <w:rtl/>
        </w:rPr>
        <w:t xml:space="preserve">، </w:t>
      </w:r>
      <w:r>
        <w:rPr>
          <w:rFonts w:eastAsia="Times New Roman" w:hint="cs"/>
          <w:rtl/>
        </w:rPr>
        <w:t>فَسَيَقُولُونَ اللّه فَقُلْ أَفَلا تَتَّقُونَ</w:t>
      </w:r>
      <w:r w:rsidR="000636C2">
        <w:rPr>
          <w:rFonts w:eastAsia="Times New Roman" w:hint="cs"/>
          <w:rtl/>
        </w:rPr>
        <w:t>} [</w:t>
      </w:r>
      <w:r>
        <w:rPr>
          <w:rFonts w:eastAsia="Times New Roman" w:hint="cs"/>
          <w:rtl/>
        </w:rPr>
        <w:t>يونس</w:t>
      </w:r>
      <w:r w:rsidR="000636C2">
        <w:rPr>
          <w:rFonts w:eastAsia="Times New Roman" w:hint="cs"/>
          <w:rtl/>
        </w:rPr>
        <w:t xml:space="preserve">: </w:t>
      </w:r>
      <w:r>
        <w:rPr>
          <w:rFonts w:eastAsia="Times New Roman" w:hint="cs"/>
          <w:rtl/>
        </w:rPr>
        <w:t>الآية ٣١</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الثانية</w:t>
      </w:r>
      <w:r w:rsidR="000636C2">
        <w:rPr>
          <w:rFonts w:eastAsia="Times New Roman" w:hint="cs"/>
          <w:rtl/>
        </w:rPr>
        <w:t xml:space="preserve">): </w:t>
      </w:r>
      <w:r>
        <w:rPr>
          <w:rFonts w:eastAsia="Times New Roman" w:hint="cs"/>
          <w:rtl/>
        </w:rPr>
        <w:t>إنهم يقولون</w:t>
      </w:r>
      <w:r w:rsidR="000636C2">
        <w:rPr>
          <w:rFonts w:eastAsia="Times New Roman" w:hint="cs"/>
          <w:rtl/>
        </w:rPr>
        <w:t xml:space="preserve">: </w:t>
      </w:r>
      <w:r>
        <w:rPr>
          <w:rFonts w:eastAsia="Times New Roman" w:hint="cs"/>
          <w:rtl/>
        </w:rPr>
        <w:t>ما دعونا الأصنام وما توجهنا إليهم الاّ لطلب القرب والشفاعة لقوله تعالى</w:t>
      </w:r>
      <w:r w:rsidR="000636C2">
        <w:rPr>
          <w:rFonts w:eastAsia="Times New Roman" w:hint="cs"/>
          <w:rtl/>
        </w:rPr>
        <w:t>: {</w:t>
      </w:r>
      <w:r>
        <w:rPr>
          <w:rFonts w:eastAsia="Times New Roman" w:hint="cs"/>
          <w:rtl/>
        </w:rPr>
        <w:t>الَّذِينَ اتَّخَذُوا مِنْ دُونِهِ أَولِياءَ مَا نَعْبُدُهُم اِلاّ لَيُقَرِّبُونا إلى اللّه زُلفي</w:t>
      </w:r>
      <w:r w:rsidR="000636C2">
        <w:rPr>
          <w:rFonts w:eastAsia="Times New Roman" w:hint="cs"/>
          <w:rtl/>
        </w:rPr>
        <w:t>} [</w:t>
      </w:r>
      <w:r>
        <w:rPr>
          <w:rFonts w:eastAsia="Times New Roman" w:hint="cs"/>
          <w:rtl/>
        </w:rPr>
        <w:t>الزمر</w:t>
      </w:r>
      <w:r w:rsidR="000636C2">
        <w:rPr>
          <w:rFonts w:eastAsia="Times New Roman" w:hint="cs"/>
          <w:rtl/>
        </w:rPr>
        <w:t xml:space="preserve">: </w:t>
      </w:r>
      <w:r>
        <w:rPr>
          <w:rFonts w:eastAsia="Times New Roman" w:hint="cs"/>
          <w:rtl/>
        </w:rPr>
        <w:t>الآية ٣</w:t>
      </w:r>
      <w:r w:rsidR="000636C2">
        <w:rPr>
          <w:rFonts w:eastAsia="Times New Roman" w:hint="cs"/>
          <w:rtl/>
        </w:rPr>
        <w:t>]،</w:t>
      </w:r>
      <w:r>
        <w:rPr>
          <w:rFonts w:eastAsia="Times New Roman" w:hint="cs"/>
          <w:rtl/>
        </w:rPr>
        <w:t xml:space="preserve"> وقوله</w:t>
      </w:r>
      <w:r w:rsidR="000636C2">
        <w:rPr>
          <w:rFonts w:eastAsia="Times New Roman" w:hint="cs"/>
          <w:rtl/>
        </w:rPr>
        <w:t>: {</w:t>
      </w:r>
      <w:r>
        <w:rPr>
          <w:rFonts w:eastAsia="Times New Roman" w:hint="cs"/>
          <w:rtl/>
        </w:rPr>
        <w:t>وَيَعْبُدونَ مِنْ دُونِ اللّه مَالا يَضُرُّهُمْ وَلاَ يَنْفَعُهُم وَيَقُولُونَ هَؤلاَءِ شُفَعَاؤُنَا عِنْدَ اللّه</w:t>
      </w:r>
      <w:r w:rsidR="000636C2">
        <w:rPr>
          <w:rFonts w:eastAsia="Times New Roman" w:hint="cs"/>
          <w:rtl/>
        </w:rPr>
        <w:t>} [</w:t>
      </w:r>
      <w:r>
        <w:rPr>
          <w:rFonts w:eastAsia="Times New Roman" w:hint="cs"/>
          <w:rtl/>
        </w:rPr>
        <w:t>يونس</w:t>
      </w:r>
      <w:r w:rsidR="000636C2">
        <w:rPr>
          <w:rFonts w:eastAsia="Times New Roman" w:hint="cs"/>
          <w:rtl/>
        </w:rPr>
        <w:t xml:space="preserve">: </w:t>
      </w:r>
      <w:r>
        <w:rPr>
          <w:rFonts w:eastAsia="Times New Roman" w:hint="cs"/>
          <w:rtl/>
        </w:rPr>
        <w:t>الآية ١٨</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الثالثة</w:t>
      </w:r>
      <w:r w:rsidR="000636C2">
        <w:rPr>
          <w:rFonts w:eastAsia="Times New Roman" w:hint="cs"/>
          <w:rtl/>
        </w:rPr>
        <w:t xml:space="preserve">): </w:t>
      </w:r>
      <w:r>
        <w:rPr>
          <w:rFonts w:eastAsia="Times New Roman" w:hint="cs"/>
          <w:rtl/>
        </w:rPr>
        <w:t>إنّه ظهر صلى ‌الله ‌عليه ‌وسلم على قوم متفرقين في عبادتهم</w:t>
      </w:r>
      <w:r w:rsidR="000636C2">
        <w:rPr>
          <w:rFonts w:eastAsia="Times New Roman" w:hint="cs"/>
          <w:rtl/>
        </w:rPr>
        <w:t>،</w:t>
      </w:r>
      <w:r>
        <w:rPr>
          <w:rFonts w:eastAsia="Times New Roman" w:hint="cs"/>
          <w:rtl/>
        </w:rPr>
        <w:t xml:space="preserve"> فبعضهم يعبد الملائكة</w:t>
      </w:r>
      <w:r w:rsidR="000636C2">
        <w:rPr>
          <w:rFonts w:eastAsia="Times New Roman" w:hint="cs"/>
          <w:rtl/>
        </w:rPr>
        <w:t>،</w:t>
      </w:r>
      <w:r>
        <w:rPr>
          <w:rFonts w:eastAsia="Times New Roman" w:hint="cs"/>
          <w:rtl/>
        </w:rPr>
        <w:t xml:space="preserve"> وبعضهم الأنبياء والصالحين</w:t>
      </w:r>
      <w:r w:rsidR="000636C2">
        <w:rPr>
          <w:rFonts w:eastAsia="Times New Roman" w:hint="cs"/>
          <w:rtl/>
        </w:rPr>
        <w:t>،</w:t>
      </w:r>
      <w:r>
        <w:rPr>
          <w:rFonts w:eastAsia="Times New Roman" w:hint="cs"/>
          <w:rtl/>
        </w:rPr>
        <w:t xml:space="preserve"> وبعضهم الأشجار والأحجار</w:t>
      </w:r>
      <w:r w:rsidR="000636C2">
        <w:rPr>
          <w:rFonts w:eastAsia="Times New Roman" w:hint="cs"/>
          <w:rtl/>
        </w:rPr>
        <w:t>،</w:t>
      </w:r>
      <w:r>
        <w:rPr>
          <w:rFonts w:eastAsia="Times New Roman" w:hint="cs"/>
          <w:rtl/>
        </w:rPr>
        <w:t xml:space="preserve"> وبعضهم الشمس والقمر</w:t>
      </w:r>
      <w:r w:rsidR="000636C2">
        <w:rPr>
          <w:rFonts w:eastAsia="Times New Roman" w:hint="cs"/>
          <w:rtl/>
        </w:rPr>
        <w:t>،</w:t>
      </w:r>
      <w:r>
        <w:rPr>
          <w:rFonts w:eastAsia="Times New Roman" w:hint="cs"/>
          <w:rtl/>
        </w:rPr>
        <w:t xml:space="preserve"> فقاتلهم ولم يفرق بينهم</w:t>
      </w:r>
      <w:r w:rsidR="000636C2">
        <w:rPr>
          <w:rFonts w:eastAsia="Times New Roman" w:hint="cs"/>
          <w:rtl/>
        </w:rPr>
        <w:t>،</w:t>
      </w:r>
      <w:r>
        <w:rPr>
          <w:rFonts w:eastAsia="Times New Roman" w:hint="cs"/>
          <w:rtl/>
        </w:rPr>
        <w:t xml:space="preserve"> </w:t>
      </w:r>
      <w:r w:rsidR="000636C2">
        <w:rPr>
          <w:rFonts w:eastAsia="Times New Roman" w:hint="cs"/>
          <w:rtl/>
        </w:rPr>
        <w:t>(</w:t>
      </w:r>
      <w:r>
        <w:rPr>
          <w:rFonts w:eastAsia="Times New Roman" w:hint="cs"/>
          <w:rtl/>
        </w:rPr>
        <w:t>الرابعة</w:t>
      </w:r>
      <w:r w:rsidR="000636C2">
        <w:rPr>
          <w:rFonts w:eastAsia="Times New Roman" w:hint="cs"/>
          <w:rtl/>
        </w:rPr>
        <w:t xml:space="preserve">): </w:t>
      </w:r>
      <w:r>
        <w:rPr>
          <w:rFonts w:eastAsia="Times New Roman" w:hint="cs"/>
          <w:rtl/>
        </w:rPr>
        <w:t>إنّ مشركي زماننا أغلظ شركاً من الأولين</w:t>
      </w:r>
      <w:r w:rsidR="000636C2">
        <w:rPr>
          <w:rFonts w:eastAsia="Times New Roman" w:hint="cs"/>
          <w:rtl/>
        </w:rPr>
        <w:t>،</w:t>
      </w:r>
      <w:r>
        <w:rPr>
          <w:rFonts w:eastAsia="Times New Roman" w:hint="cs"/>
          <w:rtl/>
        </w:rPr>
        <w:t xml:space="preserve"> لأن أولئك يشركون في الرخاء</w:t>
      </w:r>
      <w:r w:rsidR="000636C2">
        <w:rPr>
          <w:rFonts w:eastAsia="Times New Roman" w:hint="cs"/>
          <w:rtl/>
        </w:rPr>
        <w:t>،</w:t>
      </w:r>
      <w:r>
        <w:rPr>
          <w:rFonts w:eastAsia="Times New Roman" w:hint="cs"/>
          <w:rtl/>
        </w:rPr>
        <w:t xml:space="preserve"> ويخلصون في الشدة</w:t>
      </w:r>
      <w:r w:rsidR="000636C2">
        <w:rPr>
          <w:rFonts w:eastAsia="Times New Roman" w:hint="cs"/>
          <w:rtl/>
        </w:rPr>
        <w:t>،</w:t>
      </w:r>
      <w:r>
        <w:rPr>
          <w:rFonts w:eastAsia="Times New Roman" w:hint="cs"/>
          <w:rtl/>
        </w:rPr>
        <w:t xml:space="preserve"> وهؤلاء شركهم في الحالتين لقوله تعالى</w:t>
      </w:r>
      <w:r w:rsidR="000636C2">
        <w:rPr>
          <w:rFonts w:eastAsia="Times New Roman" w:hint="cs"/>
          <w:rtl/>
        </w:rPr>
        <w:t>: {</w:t>
      </w:r>
      <w:r>
        <w:rPr>
          <w:rFonts w:eastAsia="Times New Roman" w:hint="cs"/>
          <w:rtl/>
        </w:rPr>
        <w:t>فَإِذا رَكِبُوا فِي الفُلْكِ دَعَوا اللّهَ مُخْلِصينَ لَهُ الدِّينَ فَلَمَّا نَجَّاهُم إلَى البَرِّ إذا هُمْ يُشْرِكُونَ</w:t>
      </w:r>
      <w:r w:rsidR="000636C2">
        <w:rPr>
          <w:rFonts w:eastAsia="Times New Roman" w:hint="cs"/>
          <w:rtl/>
        </w:rPr>
        <w:t>} [</w:t>
      </w:r>
      <w:r>
        <w:rPr>
          <w:rFonts w:eastAsia="Times New Roman" w:hint="cs"/>
          <w:rtl/>
        </w:rPr>
        <w:t>العنكبوت</w:t>
      </w:r>
      <w:r w:rsidR="000636C2">
        <w:rPr>
          <w:rFonts w:eastAsia="Times New Roman" w:hint="cs"/>
          <w:rtl/>
        </w:rPr>
        <w:t xml:space="preserve">: </w:t>
      </w:r>
      <w:r>
        <w:rPr>
          <w:rFonts w:eastAsia="Times New Roman" w:hint="cs"/>
          <w:rtl/>
        </w:rPr>
        <w:t>الآية ٦٥</w:t>
      </w:r>
      <w:r w:rsidR="000636C2">
        <w:rPr>
          <w:rFonts w:eastAsia="Times New Roman" w:hint="cs"/>
          <w:rtl/>
        </w:rPr>
        <w:t>]، [</w:t>
      </w:r>
      <w:r>
        <w:rPr>
          <w:rFonts w:eastAsia="Times New Roman" w:hint="cs"/>
          <w:rtl/>
        </w:rPr>
        <w:t>رسالة أربع قواعد ص ١ ـ ٤</w:t>
      </w:r>
      <w:r w:rsidR="000636C2">
        <w:rPr>
          <w:rFonts w:eastAsia="Times New Roman" w:hint="cs"/>
          <w:rtl/>
        </w:rPr>
        <w:t xml:space="preserve">] </w:t>
      </w:r>
      <w:r>
        <w:rPr>
          <w:rFonts w:eastAsia="Times New Roman" w:hint="cs"/>
          <w:rtl/>
        </w:rPr>
        <w:t>وهو يقصد بمشركي زمانه كافة المسلمين دون أتباعه</w:t>
      </w:r>
      <w:r w:rsidR="000636C2">
        <w:rPr>
          <w:rFonts w:eastAsia="Times New Roman" w:hint="cs"/>
          <w:rtl/>
        </w:rPr>
        <w:t xml:space="preserve">، </w:t>
      </w:r>
      <w:r>
        <w:rPr>
          <w:rFonts w:eastAsia="Times New Roman" w:hint="cs"/>
          <w:rtl/>
        </w:rPr>
        <w:t>وذلك لأنهم يتوسلون بالنبي صلى ‌الله ‌عليه ‌وسلم في شدتهم ورخائهم</w:t>
      </w:r>
      <w:r w:rsidR="000636C2">
        <w:rPr>
          <w:rFonts w:eastAsia="Times New Roman" w:hint="cs"/>
          <w:rtl/>
        </w:rPr>
        <w:t>،</w:t>
      </w:r>
      <w:r>
        <w:rPr>
          <w:rFonts w:eastAsia="Times New Roman" w:hint="cs"/>
          <w:rtl/>
        </w:rPr>
        <w:t xml:space="preserve"> ولذلك صاروا عنده أغلظ من مشركي عهد الرسالة</w:t>
      </w:r>
      <w:r w:rsidR="000636C2">
        <w:rPr>
          <w:rFonts w:eastAsia="Times New Roman" w:hint="cs"/>
          <w:rtl/>
        </w:rPr>
        <w:t>،</w:t>
      </w:r>
      <w:r>
        <w:rPr>
          <w:rFonts w:eastAsia="Times New Roman" w:hint="cs"/>
          <w:rtl/>
        </w:rPr>
        <w:t xml:space="preserve"> هذا مع أن التوسل بالرسول صلى ‌الله ‌عليه ‌وسلم جائز عند جمهور الفقهاء</w:t>
      </w:r>
      <w:r w:rsidR="000636C2">
        <w:rPr>
          <w:rFonts w:eastAsia="Times New Roman" w:hint="cs"/>
          <w:rtl/>
        </w:rPr>
        <w:t>،</w:t>
      </w:r>
      <w:r>
        <w:rPr>
          <w:rFonts w:eastAsia="Times New Roman" w:hint="cs"/>
          <w:rtl/>
        </w:rPr>
        <w:t xml:space="preserve"> وقصاراه أنّه من المسائل الفقهية الخلافية وليس من مسائل التوحيد والشرك</w:t>
      </w:r>
      <w:r w:rsidR="000636C2">
        <w:rPr>
          <w:rFonts w:eastAsia="Times New Roman" w:hint="cs"/>
          <w:rtl/>
        </w:rPr>
        <w:t>،</w:t>
      </w:r>
      <w:r>
        <w:rPr>
          <w:rFonts w:eastAsia="Times New Roman" w:hint="cs"/>
          <w:rtl/>
        </w:rPr>
        <w:t xml:space="preserve"> كما أنّ هناك فرقاً جلياً بين المسلمين وعبدة الأوثان والأصنام</w:t>
      </w:r>
      <w:r w:rsidR="000636C2">
        <w:rPr>
          <w:rFonts w:eastAsia="Times New Roman" w:hint="cs"/>
          <w:rtl/>
        </w:rPr>
        <w:t>،</w:t>
      </w:r>
      <w:r>
        <w:rPr>
          <w:rFonts w:eastAsia="Times New Roman" w:hint="cs"/>
          <w:rtl/>
        </w:rPr>
        <w:t xml:space="preserve"> فإنّ المسلمين يعبدون اللّه وحده</w:t>
      </w:r>
      <w:r w:rsidR="000636C2">
        <w:rPr>
          <w:rFonts w:eastAsia="Times New Roman" w:hint="cs"/>
          <w:rtl/>
        </w:rPr>
        <w:t>،</w:t>
      </w:r>
      <w:r>
        <w:rPr>
          <w:rFonts w:eastAsia="Times New Roman" w:hint="cs"/>
          <w:rtl/>
        </w:rPr>
        <w:t xml:space="preserve"> ولا يتوجّهون إلى النبي صلى ‌الله ‌عليه ‌وسلم إلاّ بقصد أن يدعو لهم عند اللّه</w:t>
      </w:r>
      <w:r w:rsidR="000636C2">
        <w:rPr>
          <w:rFonts w:eastAsia="Times New Roman" w:hint="cs"/>
          <w:rtl/>
        </w:rPr>
        <w:t>،</w:t>
      </w:r>
      <w:r>
        <w:rPr>
          <w:rFonts w:eastAsia="Times New Roman" w:hint="cs"/>
          <w:rtl/>
        </w:rPr>
        <w:t xml:space="preserve"> ويشفع لهم عنده</w:t>
      </w:r>
      <w:r w:rsidR="000636C2">
        <w:rPr>
          <w:rFonts w:eastAsia="Times New Roman" w:hint="cs"/>
          <w:rtl/>
        </w:rPr>
        <w:t>،</w:t>
      </w:r>
      <w:r>
        <w:rPr>
          <w:rFonts w:eastAsia="Times New Roman" w:hint="cs"/>
          <w:rtl/>
        </w:rPr>
        <w:t xml:space="preserve"> وأين هؤلاء من عبدة الطاغوت الذين كانوا يعبدون الأصنام ولا يعبدون اللّه</w:t>
      </w:r>
      <w:r w:rsidR="000636C2">
        <w:rPr>
          <w:rFonts w:eastAsia="Times New Roman" w:hint="cs"/>
          <w:rtl/>
        </w:rPr>
        <w:t>،</w:t>
      </w:r>
      <w:r>
        <w:rPr>
          <w:rFonts w:eastAsia="Times New Roman" w:hint="cs"/>
          <w:rtl/>
        </w:rPr>
        <w:t xml:space="preserve"> ويتوجهون إليها على أنها آلهة تملك ضرهم ونفعهم</w:t>
      </w:r>
      <w:r w:rsidR="000636C2">
        <w:rPr>
          <w:rFonts w:eastAsia="Times New Roman" w:hint="cs"/>
          <w:rtl/>
        </w:rPr>
        <w:t>،</w:t>
      </w:r>
      <w:r>
        <w:rPr>
          <w:rFonts w:eastAsia="Times New Roman" w:hint="cs"/>
          <w:rtl/>
        </w:rPr>
        <w:t xml:space="preserve"> وهذا الخطأ أدى به إلى استحلال دمائهم على أنّهم مشركون</w:t>
      </w:r>
      <w:r w:rsidR="000636C2">
        <w:rPr>
          <w:rFonts w:eastAsia="Times New Roman" w:hint="cs"/>
          <w:rtl/>
        </w:rPr>
        <w:t>،</w:t>
      </w:r>
      <w:r>
        <w:rPr>
          <w:rFonts w:eastAsia="Times New Roman" w:hint="cs"/>
          <w:rtl/>
        </w:rPr>
        <w:t xml:space="preserve"> وقد تكرر هذا الخطأ في رسالته كشف الشبهات</w:t>
      </w:r>
      <w:r w:rsidR="000636C2">
        <w:rPr>
          <w:rFonts w:eastAsia="Times New Roman" w:hint="cs"/>
          <w:rtl/>
        </w:rPr>
        <w:t>،</w:t>
      </w:r>
      <w:r>
        <w:rPr>
          <w:rFonts w:eastAsia="Times New Roman" w:hint="cs"/>
          <w:rtl/>
        </w:rPr>
        <w:t xml:space="preserve"> حيث يقول في حق النبي صلى ‌الله ‌عليه ‌وسلم</w:t>
      </w:r>
      <w:r w:rsidR="000636C2">
        <w:rPr>
          <w:rFonts w:eastAsia="Times New Roman" w:hint="cs"/>
          <w:rtl/>
        </w:rPr>
        <w:t xml:space="preserve">: </w:t>
      </w:r>
      <w:r>
        <w:rPr>
          <w:rFonts w:eastAsia="Times New Roman" w:hint="cs"/>
          <w:rtl/>
        </w:rPr>
        <w:t>" أرسله إلى أُناس يتعبّدون ويحجّون ويتصدقون ويذكرون اللّه كثيراً</w:t>
      </w:r>
      <w:r w:rsidR="000636C2">
        <w:rPr>
          <w:rFonts w:eastAsia="Times New Roman" w:hint="cs"/>
          <w:rtl/>
        </w:rPr>
        <w:t>،</w:t>
      </w:r>
      <w:r>
        <w:rPr>
          <w:rFonts w:eastAsia="Times New Roman" w:hint="cs"/>
          <w:rtl/>
        </w:rPr>
        <w:t xml:space="preserve"> ولكنهم يجعلون بعض المخلوقات بينهم وبين اللّه</w:t>
      </w:r>
      <w:r w:rsidR="000636C2">
        <w:rPr>
          <w:rFonts w:eastAsia="Times New Roman" w:hint="cs"/>
          <w:rtl/>
        </w:rPr>
        <w:t>،</w:t>
      </w:r>
      <w:r>
        <w:rPr>
          <w:rFonts w:eastAsia="Times New Roman" w:hint="cs"/>
          <w:rtl/>
        </w:rPr>
        <w:t xml:space="preserve"> يقولون نريد منهم التقرب إلى اللّه</w:t>
      </w:r>
      <w:r w:rsidR="000636C2">
        <w:rPr>
          <w:rFonts w:eastAsia="Times New Roman" w:hint="cs"/>
          <w:rtl/>
        </w:rPr>
        <w:t>،</w:t>
      </w:r>
      <w:r>
        <w:rPr>
          <w:rFonts w:eastAsia="Times New Roman" w:hint="cs"/>
          <w:rtl/>
        </w:rPr>
        <w:t xml:space="preserve"> ونريد شفاعتهم عنده</w:t>
      </w:r>
      <w:r w:rsidR="000636C2">
        <w:rPr>
          <w:rFonts w:eastAsia="Times New Roman" w:hint="cs"/>
          <w:rtl/>
        </w:rPr>
        <w:t>،</w:t>
      </w:r>
      <w:r>
        <w:rPr>
          <w:rFonts w:eastAsia="Times New Roman" w:hint="cs"/>
          <w:rtl/>
        </w:rPr>
        <w:t xml:space="preserve"> مثل الملائكة وعيسى ومريم وأُناس غيرهم من الصالحين "</w:t>
      </w:r>
      <w:r w:rsidR="000636C2">
        <w:rPr>
          <w:rFonts w:eastAsia="Times New Roman" w:hint="cs"/>
          <w:rtl/>
        </w:rPr>
        <w:t xml:space="preserve"> [</w:t>
      </w:r>
      <w:r>
        <w:rPr>
          <w:rFonts w:eastAsia="Times New Roman" w:hint="cs"/>
          <w:rtl/>
        </w:rPr>
        <w:t>كشف الشبهات</w:t>
      </w:r>
      <w:r w:rsidR="000636C2">
        <w:rPr>
          <w:rFonts w:eastAsia="Times New Roman" w:hint="cs"/>
          <w:rtl/>
        </w:rPr>
        <w:t xml:space="preserve">: </w:t>
      </w:r>
      <w:r>
        <w:rPr>
          <w:rFonts w:eastAsia="Times New Roman" w:hint="cs"/>
          <w:rtl/>
        </w:rPr>
        <w:t>ص ٣</w:t>
      </w:r>
      <w:r w:rsidR="000636C2">
        <w:rPr>
          <w:rFonts w:eastAsia="Times New Roman" w:hint="cs"/>
          <w:rtl/>
        </w:rPr>
        <w:t>]،</w:t>
      </w:r>
      <w:r>
        <w:rPr>
          <w:rFonts w:eastAsia="Times New Roman" w:hint="cs"/>
          <w:rtl/>
        </w:rPr>
        <w:t xml:space="preserve"> فانظر كيف وصف المشركين بأنّهم يتعبّدون ويحجّون ويتصدقون ويذكرون اللّه كثيراً</w:t>
      </w:r>
      <w:r w:rsidR="000636C2">
        <w:rPr>
          <w:rFonts w:eastAsia="Times New Roman" w:hint="cs"/>
          <w:rtl/>
        </w:rPr>
        <w:t>،</w:t>
      </w:r>
      <w:r>
        <w:rPr>
          <w:rFonts w:eastAsia="Times New Roman" w:hint="cs"/>
          <w:rtl/>
        </w:rPr>
        <w:t xml:space="preserve"> وهذه مغالطة فجة</w:t>
      </w:r>
      <w:r w:rsidR="000636C2">
        <w:rPr>
          <w:rFonts w:eastAsia="Times New Roman" w:hint="cs"/>
          <w:rtl/>
        </w:rPr>
        <w:t>،</w:t>
      </w:r>
      <w:r>
        <w:rPr>
          <w:rFonts w:eastAsia="Times New Roman" w:hint="cs"/>
          <w:rtl/>
        </w:rPr>
        <w:t xml:space="preserve"> فإنّ كفرهم كان في عبادة غير الله</w:t>
      </w:r>
      <w:r w:rsidR="000636C2">
        <w:rPr>
          <w:rFonts w:eastAsia="Times New Roman" w:hint="cs"/>
          <w:rtl/>
        </w:rPr>
        <w:t>،</w:t>
      </w:r>
      <w:r>
        <w:rPr>
          <w:rFonts w:eastAsia="Times New Roman" w:hint="cs"/>
          <w:rtl/>
        </w:rPr>
        <w:t xml:space="preserve"> وانكار رسالة </w:t>
      </w:r>
      <w:r>
        <w:rPr>
          <w:rFonts w:eastAsia="Times New Roman" w:hint="cs"/>
          <w:rtl/>
        </w:rPr>
        <w:lastRenderedPageBreak/>
        <w:t>الرسول صلى ‌الله ‌عليه ‌وسلم</w:t>
      </w:r>
      <w:r w:rsidR="000636C2">
        <w:rPr>
          <w:rFonts w:eastAsia="Times New Roman" w:hint="cs"/>
          <w:rtl/>
        </w:rPr>
        <w:t>،</w:t>
      </w:r>
      <w:r>
        <w:rPr>
          <w:rFonts w:eastAsia="Times New Roman" w:hint="cs"/>
          <w:rtl/>
        </w:rPr>
        <w:t xml:space="preserve"> ثم اتخاذهم واسطة على سبيل الشراكة</w:t>
      </w:r>
      <w:r w:rsidR="000636C2">
        <w:rPr>
          <w:rFonts w:eastAsia="Times New Roman" w:hint="cs"/>
          <w:rtl/>
        </w:rPr>
        <w:t>،</w:t>
      </w:r>
      <w:r>
        <w:rPr>
          <w:rFonts w:eastAsia="Times New Roman" w:hint="cs"/>
          <w:rtl/>
        </w:rPr>
        <w:t xml:space="preserve"> كما ذكرنا في كتاب التجديد الثالث " التجديد في علم التوحيد "</w:t>
      </w:r>
      <w:r w:rsidR="000636C2">
        <w:rPr>
          <w:rFonts w:eastAsia="Times New Roman" w:hint="cs"/>
          <w:rtl/>
        </w:rPr>
        <w:t>،</w:t>
      </w:r>
      <w:r>
        <w:rPr>
          <w:rFonts w:eastAsia="Times New Roman" w:hint="cs"/>
          <w:rtl/>
        </w:rPr>
        <w:t xml:space="preserve"> فالوساطة لم تكن قط سبب شركهم</w:t>
      </w:r>
      <w:r w:rsidR="000636C2">
        <w:rPr>
          <w:rFonts w:eastAsia="Times New Roman" w:hint="cs"/>
          <w:rtl/>
        </w:rPr>
        <w:t>،</w:t>
      </w:r>
      <w:r>
        <w:rPr>
          <w:rFonts w:eastAsia="Times New Roman" w:hint="cs"/>
          <w:rtl/>
        </w:rPr>
        <w:t xml:space="preserve"> وإنّما عبادة غير الله</w:t>
      </w:r>
      <w:r w:rsidR="000636C2">
        <w:rPr>
          <w:rFonts w:eastAsia="Times New Roman" w:hint="cs"/>
          <w:rtl/>
        </w:rPr>
        <w:t>: {</w:t>
      </w:r>
      <w:r>
        <w:rPr>
          <w:rFonts w:eastAsia="Times New Roman" w:hint="cs"/>
          <w:rtl/>
        </w:rPr>
        <w:t>ما نعبدهم إلا</w:t>
      </w:r>
      <w:r w:rsidR="000636C2">
        <w:rPr>
          <w:rFonts w:eastAsia="Times New Roman" w:hint="cs"/>
          <w:rtl/>
        </w:rPr>
        <w:t>}،</w:t>
      </w:r>
      <w:r>
        <w:rPr>
          <w:rFonts w:eastAsia="Times New Roman" w:hint="cs"/>
          <w:rtl/>
        </w:rPr>
        <w:t xml:space="preserve"> فقد أقروا بعبادتهم</w:t>
      </w:r>
      <w:r w:rsidR="000636C2">
        <w:rPr>
          <w:rFonts w:eastAsia="Times New Roman" w:hint="cs"/>
          <w:rtl/>
        </w:rPr>
        <w:t>،</w:t>
      </w:r>
      <w:r>
        <w:rPr>
          <w:rFonts w:eastAsia="Times New Roman" w:hint="cs"/>
          <w:rtl/>
        </w:rPr>
        <w:t xml:space="preserve"> ثم الوساطة الجبرية على سبيل الشراكة مع الله</w:t>
      </w:r>
      <w:r w:rsidR="000636C2">
        <w:rPr>
          <w:rFonts w:eastAsia="Times New Roman" w:hint="cs"/>
          <w:rtl/>
        </w:rPr>
        <w:t>،</w:t>
      </w:r>
      <w:r>
        <w:rPr>
          <w:rFonts w:eastAsia="Times New Roman" w:hint="cs"/>
          <w:rtl/>
        </w:rPr>
        <w:t xml:space="preserve"> وهذه وتلك لم يفعلها مسلم قط</w:t>
      </w:r>
      <w:r w:rsidR="000636C2">
        <w:rPr>
          <w:rFonts w:eastAsia="Times New Roman" w:hint="cs"/>
          <w:rtl/>
        </w:rPr>
        <w:t>،</w:t>
      </w:r>
      <w:r>
        <w:rPr>
          <w:rFonts w:eastAsia="Times New Roman" w:hint="cs"/>
          <w:rtl/>
        </w:rPr>
        <w:t xml:space="preserve"> إذ المسلم لا يعبد إلا الله</w:t>
      </w:r>
      <w:r w:rsidR="000636C2">
        <w:rPr>
          <w:rFonts w:eastAsia="Times New Roman" w:hint="cs"/>
          <w:rtl/>
        </w:rPr>
        <w:t>،</w:t>
      </w:r>
      <w:r>
        <w:rPr>
          <w:rFonts w:eastAsia="Times New Roman" w:hint="cs"/>
          <w:rtl/>
        </w:rPr>
        <w:t xml:space="preserve"> وهو بريء عن عقيدة الواسطة الشركية التي تكون جبرا على الله</w:t>
      </w:r>
      <w:r w:rsidR="000636C2">
        <w:rPr>
          <w:rFonts w:eastAsia="Times New Roman" w:hint="cs"/>
          <w:rtl/>
        </w:rPr>
        <w:t>،</w:t>
      </w:r>
      <w:r>
        <w:rPr>
          <w:rFonts w:eastAsia="Times New Roman" w:hint="cs"/>
          <w:rtl/>
        </w:rPr>
        <w:t xml:space="preserve"> وقصاراه التوسل بمن لهم جاه عند الله لقبول الأعمال</w:t>
      </w:r>
      <w:r w:rsidR="000636C2">
        <w:rPr>
          <w:rFonts w:eastAsia="Times New Roman" w:hint="cs"/>
          <w:rtl/>
        </w:rPr>
        <w:t>،</w:t>
      </w:r>
      <w:r>
        <w:rPr>
          <w:rFonts w:eastAsia="Times New Roman" w:hint="cs"/>
          <w:rtl/>
        </w:rPr>
        <w:t xml:space="preserve"> دون أي اعتقاد في شفاعتهم الجبرية على الله</w:t>
      </w:r>
      <w:r w:rsidR="000636C2">
        <w:rPr>
          <w:rFonts w:eastAsia="Times New Roman" w:hint="cs"/>
          <w:rtl/>
        </w:rPr>
        <w:t>،</w:t>
      </w:r>
      <w:r>
        <w:rPr>
          <w:rFonts w:eastAsia="Times New Roman" w:hint="cs"/>
          <w:rtl/>
        </w:rPr>
        <w:t xml:space="preserve"> ويقول في موضع آخر ما نصه</w:t>
      </w:r>
      <w:r w:rsidR="000636C2">
        <w:rPr>
          <w:rFonts w:eastAsia="Times New Roman" w:hint="cs"/>
          <w:rtl/>
        </w:rPr>
        <w:t xml:space="preserve">: </w:t>
      </w:r>
      <w:r>
        <w:rPr>
          <w:rFonts w:eastAsia="Times New Roman" w:hint="cs"/>
          <w:rtl/>
        </w:rPr>
        <w:t>" إنّ التوحيد الّذي جحدوه هو توحيد العبادة</w:t>
      </w:r>
      <w:r w:rsidR="000636C2">
        <w:rPr>
          <w:rFonts w:eastAsia="Times New Roman" w:hint="cs"/>
          <w:rtl/>
        </w:rPr>
        <w:t>،</w:t>
      </w:r>
      <w:r>
        <w:rPr>
          <w:rFonts w:eastAsia="Times New Roman" w:hint="cs"/>
          <w:rtl/>
        </w:rPr>
        <w:t xml:space="preserve"> الّذي يسميه المشركون في زماننا الاعتقاد</w:t>
      </w:r>
      <w:r w:rsidR="000636C2">
        <w:rPr>
          <w:rFonts w:eastAsia="Times New Roman" w:hint="cs"/>
          <w:rtl/>
        </w:rPr>
        <w:t>،</w:t>
      </w:r>
      <w:r>
        <w:rPr>
          <w:rFonts w:eastAsia="Times New Roman" w:hint="cs"/>
          <w:rtl/>
        </w:rPr>
        <w:t xml:space="preserve"> كما كانوا يدعون اللّه سبحانه ليلا ونهاراً</w:t>
      </w:r>
      <w:r w:rsidR="000636C2">
        <w:rPr>
          <w:rFonts w:eastAsia="Times New Roman" w:hint="cs"/>
          <w:rtl/>
        </w:rPr>
        <w:t>،</w:t>
      </w:r>
      <w:r>
        <w:rPr>
          <w:rFonts w:eastAsia="Times New Roman" w:hint="cs"/>
          <w:rtl/>
        </w:rPr>
        <w:t xml:space="preserve"> ثم منهم من يدعو الملائكة لأجل صلاحهم وقربهم من اللّه ليشفعوا له</w:t>
      </w:r>
      <w:r w:rsidR="000636C2">
        <w:rPr>
          <w:rFonts w:eastAsia="Times New Roman" w:hint="cs"/>
          <w:rtl/>
        </w:rPr>
        <w:t>،</w:t>
      </w:r>
      <w:r>
        <w:rPr>
          <w:rFonts w:eastAsia="Times New Roman" w:hint="cs"/>
          <w:rtl/>
        </w:rPr>
        <w:t xml:space="preserve"> أو يدعو رجلا صالحاً مثل اللات</w:t>
      </w:r>
      <w:r w:rsidR="000636C2">
        <w:rPr>
          <w:rFonts w:eastAsia="Times New Roman" w:hint="cs"/>
          <w:rtl/>
        </w:rPr>
        <w:t>،</w:t>
      </w:r>
      <w:r>
        <w:rPr>
          <w:rFonts w:eastAsia="Times New Roman" w:hint="cs"/>
          <w:rtl/>
        </w:rPr>
        <w:t xml:space="preserve"> أو نبياً مثل عيسى "</w:t>
      </w:r>
      <w:r w:rsidR="000636C2">
        <w:rPr>
          <w:rFonts w:eastAsia="Times New Roman" w:hint="cs"/>
          <w:rtl/>
        </w:rPr>
        <w:t xml:space="preserve"> [</w:t>
      </w:r>
      <w:r>
        <w:rPr>
          <w:rFonts w:eastAsia="Times New Roman" w:hint="cs"/>
          <w:rtl/>
        </w:rPr>
        <w:t>كشف الشبهات</w:t>
      </w:r>
      <w:r w:rsidR="000636C2">
        <w:rPr>
          <w:rFonts w:eastAsia="Times New Roman" w:hint="cs"/>
          <w:rtl/>
        </w:rPr>
        <w:t>،</w:t>
      </w:r>
      <w:r>
        <w:rPr>
          <w:rFonts w:eastAsia="Times New Roman" w:hint="cs"/>
          <w:rtl/>
        </w:rPr>
        <w:t xml:space="preserve"> ص ٤</w:t>
      </w:r>
      <w:r w:rsidR="000636C2">
        <w:rPr>
          <w:rFonts w:eastAsia="Times New Roman" w:hint="cs"/>
          <w:rtl/>
        </w:rPr>
        <w:t>]،</w:t>
      </w:r>
      <w:r>
        <w:rPr>
          <w:rFonts w:eastAsia="Times New Roman" w:hint="cs"/>
          <w:rtl/>
        </w:rPr>
        <w:t xml:space="preserve"> وهو هنا لا يفرق بين الدعاء وبين العبادة</w:t>
      </w:r>
      <w:r w:rsidR="000636C2">
        <w:rPr>
          <w:rFonts w:eastAsia="Times New Roman" w:hint="cs"/>
          <w:rtl/>
        </w:rPr>
        <w:t>،</w:t>
      </w:r>
      <w:r>
        <w:rPr>
          <w:rFonts w:eastAsia="Times New Roman" w:hint="cs"/>
          <w:rtl/>
        </w:rPr>
        <w:t xml:space="preserve"> مع أنّ الدعاء لا يكون عبادة حتى يصاحبه اعتقاد الإلهية أو الربوبية لمن يدعوه</w:t>
      </w:r>
      <w:r w:rsidR="000636C2">
        <w:rPr>
          <w:rFonts w:eastAsia="Times New Roman" w:hint="cs"/>
          <w:rtl/>
        </w:rPr>
        <w:t>،</w:t>
      </w:r>
      <w:r>
        <w:rPr>
          <w:rFonts w:eastAsia="Times New Roman" w:hint="cs"/>
          <w:rtl/>
        </w:rPr>
        <w:t xml:space="preserve"> ولو كان الدعاء لعبد صالح من عباد الله</w:t>
      </w:r>
      <w:r w:rsidR="000636C2">
        <w:rPr>
          <w:rFonts w:eastAsia="Times New Roman" w:hint="cs"/>
          <w:rtl/>
        </w:rPr>
        <w:t>،</w:t>
      </w:r>
      <w:r>
        <w:rPr>
          <w:rFonts w:eastAsia="Times New Roman" w:hint="cs"/>
          <w:rtl/>
        </w:rPr>
        <w:t xml:space="preserve"> لعل الله تعالى ان يستجيب دعوته</w:t>
      </w:r>
      <w:r w:rsidR="000636C2">
        <w:rPr>
          <w:rFonts w:eastAsia="Times New Roman" w:hint="cs"/>
          <w:rtl/>
        </w:rPr>
        <w:t>،</w:t>
      </w:r>
      <w:r>
        <w:rPr>
          <w:rFonts w:eastAsia="Times New Roman" w:hint="cs"/>
          <w:rtl/>
        </w:rPr>
        <w:t xml:space="preserve"> فلا تكون الدعوة لهذا العبد عبادة له</w:t>
      </w:r>
      <w:r w:rsidR="000636C2">
        <w:rPr>
          <w:rFonts w:eastAsia="Times New Roman" w:hint="cs"/>
          <w:rtl/>
        </w:rPr>
        <w:t>،</w:t>
      </w:r>
      <w:r>
        <w:rPr>
          <w:rFonts w:eastAsia="Times New Roman" w:hint="cs"/>
          <w:rtl/>
        </w:rPr>
        <w:t xml:space="preserve"> وإنّما توسل به إلى الله</w:t>
      </w:r>
      <w:r w:rsidR="000636C2">
        <w:rPr>
          <w:rFonts w:eastAsia="Times New Roman" w:hint="cs"/>
          <w:rtl/>
        </w:rPr>
        <w:t xml:space="preserve">، </w:t>
      </w:r>
      <w:r>
        <w:rPr>
          <w:rFonts w:eastAsia="Times New Roman" w:hint="cs"/>
          <w:rtl/>
        </w:rPr>
        <w:t>ويقول أيضاً</w:t>
      </w:r>
      <w:r w:rsidR="000636C2">
        <w:rPr>
          <w:rFonts w:eastAsia="Times New Roman" w:hint="cs"/>
          <w:rtl/>
        </w:rPr>
        <w:t xml:space="preserve">: </w:t>
      </w:r>
      <w:r>
        <w:rPr>
          <w:rFonts w:eastAsia="Times New Roman" w:hint="cs"/>
          <w:rtl/>
        </w:rPr>
        <w:t>" تحققت أنّ رسول اللّه قاتلهم ليكون الدعاء كله للّه</w:t>
      </w:r>
      <w:r w:rsidR="000636C2">
        <w:rPr>
          <w:rFonts w:eastAsia="Times New Roman" w:hint="cs"/>
          <w:rtl/>
        </w:rPr>
        <w:t>،</w:t>
      </w:r>
      <w:r>
        <w:rPr>
          <w:rFonts w:eastAsia="Times New Roman" w:hint="cs"/>
          <w:rtl/>
        </w:rPr>
        <w:t xml:space="preserve"> والذبح كله للّه</w:t>
      </w:r>
      <w:r w:rsidR="000636C2">
        <w:rPr>
          <w:rFonts w:eastAsia="Times New Roman" w:hint="cs"/>
          <w:rtl/>
        </w:rPr>
        <w:t>،</w:t>
      </w:r>
      <w:r>
        <w:rPr>
          <w:rFonts w:eastAsia="Times New Roman" w:hint="cs"/>
          <w:rtl/>
        </w:rPr>
        <w:t xml:space="preserve"> والنذر كله للّه</w:t>
      </w:r>
      <w:r w:rsidR="000636C2">
        <w:rPr>
          <w:rFonts w:eastAsia="Times New Roman" w:hint="cs"/>
          <w:rtl/>
        </w:rPr>
        <w:t>،</w:t>
      </w:r>
      <w:r>
        <w:rPr>
          <w:rFonts w:eastAsia="Times New Roman" w:hint="cs"/>
          <w:rtl/>
        </w:rPr>
        <w:t xml:space="preserve"> والاستغاثة كلها باللّه " أهـ</w:t>
      </w:r>
      <w:r w:rsidR="000636C2">
        <w:rPr>
          <w:rFonts w:eastAsia="Times New Roman" w:hint="cs"/>
          <w:rtl/>
        </w:rPr>
        <w:t>،</w:t>
      </w:r>
      <w:r>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000636C2">
        <w:rPr>
          <w:rFonts w:eastAsia="Times New Roman" w:hint="cs"/>
          <w:rtl/>
        </w:rPr>
        <w:t>،</w:t>
      </w:r>
      <w:r>
        <w:rPr>
          <w:rFonts w:eastAsia="Times New Roman" w:hint="cs"/>
          <w:rtl/>
        </w:rPr>
        <w:t xml:space="preserve"> وإن لم تشتمل على تلك العقيدة لم تكن عبادة</w:t>
      </w:r>
      <w:r w:rsidR="000636C2">
        <w:rPr>
          <w:rFonts w:eastAsia="Times New Roman" w:hint="cs"/>
          <w:rtl/>
        </w:rPr>
        <w:t>،</w:t>
      </w:r>
      <w:r>
        <w:rPr>
          <w:rFonts w:eastAsia="Times New Roman" w:hint="cs"/>
          <w:rtl/>
        </w:rPr>
        <w:t xml:space="preserve"> ويقول أيضاً</w:t>
      </w:r>
      <w:r w:rsidR="000636C2">
        <w:rPr>
          <w:rFonts w:eastAsia="Times New Roman" w:hint="cs"/>
          <w:rtl/>
        </w:rPr>
        <w:t xml:space="preserve">: </w:t>
      </w:r>
      <w:r>
        <w:rPr>
          <w:rFonts w:eastAsia="Times New Roman" w:hint="cs"/>
          <w:rtl/>
        </w:rPr>
        <w:t>« إنّ المشركين يقرّون بالربوبية وإن كفرهم بتعلقهم على الملائكة والأنبياء »</w:t>
      </w:r>
      <w:r w:rsidR="000636C2">
        <w:rPr>
          <w:rFonts w:eastAsia="Times New Roman" w:hint="cs"/>
          <w:rtl/>
        </w:rPr>
        <w:t>،</w:t>
      </w:r>
      <w:r>
        <w:rPr>
          <w:rFonts w:eastAsia="Times New Roman" w:hint="cs"/>
          <w:rtl/>
        </w:rPr>
        <w:t xml:space="preserve"> وهذا خطأ</w:t>
      </w:r>
      <w:r w:rsidR="000636C2">
        <w:rPr>
          <w:rFonts w:eastAsia="Times New Roman" w:hint="cs"/>
          <w:rtl/>
        </w:rPr>
        <w:t>،</w:t>
      </w:r>
      <w:r>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0636C2">
        <w:rPr>
          <w:rFonts w:eastAsia="Times New Roman" w:hint="cs"/>
          <w:rtl/>
        </w:rPr>
        <w:t>،</w:t>
      </w:r>
      <w:r>
        <w:rPr>
          <w:rFonts w:eastAsia="Times New Roman" w:hint="cs"/>
          <w:rtl/>
        </w:rPr>
        <w:t xml:space="preserve"> ويقول أيضاً</w:t>
      </w:r>
      <w:r w:rsidR="000636C2">
        <w:rPr>
          <w:rFonts w:eastAsia="Times New Roman" w:hint="cs"/>
          <w:rtl/>
        </w:rPr>
        <w:t xml:space="preserve">: </w:t>
      </w:r>
      <w:r>
        <w:rPr>
          <w:rFonts w:eastAsia="Times New Roman" w:hint="cs"/>
          <w:rtl/>
        </w:rPr>
        <w:t>« إنّ الذين قاتلهم رسول اللّه مقرّون بأن أوثانهم لا تدبّر شيئاً وإنما أرادوا منها الجاه والشفاعة »</w:t>
      </w:r>
      <w:r w:rsidR="000636C2">
        <w:rPr>
          <w:rFonts w:eastAsia="Times New Roman" w:hint="cs"/>
          <w:rtl/>
        </w:rPr>
        <w:t>،</w:t>
      </w:r>
      <w:r>
        <w:rPr>
          <w:rFonts w:eastAsia="Times New Roman" w:hint="cs"/>
          <w:rtl/>
        </w:rPr>
        <w:t xml:space="preserve"> وهذا أيضاً خطأ</w:t>
      </w:r>
      <w:r w:rsidR="000636C2">
        <w:rPr>
          <w:rFonts w:eastAsia="Times New Roman" w:hint="cs"/>
          <w:rtl/>
        </w:rPr>
        <w:t>،</w:t>
      </w:r>
      <w:r>
        <w:rPr>
          <w:rFonts w:eastAsia="Times New Roman" w:hint="cs"/>
          <w:rtl/>
        </w:rPr>
        <w:t xml:space="preserve"> لأنّ كفرهم لم يكن لأجل طلب الشفاعة</w:t>
      </w:r>
      <w:r w:rsidR="000636C2">
        <w:rPr>
          <w:rFonts w:eastAsia="Times New Roman" w:hint="cs"/>
          <w:rtl/>
        </w:rPr>
        <w:t>،</w:t>
      </w:r>
      <w:r>
        <w:rPr>
          <w:rFonts w:eastAsia="Times New Roman" w:hint="cs"/>
          <w:rtl/>
        </w:rPr>
        <w:t xml:space="preserve"> بل لعبادتهم قال تعالى</w:t>
      </w:r>
      <w:r w:rsidR="000636C2">
        <w:rPr>
          <w:rFonts w:eastAsia="Times New Roman" w:hint="cs"/>
          <w:rtl/>
        </w:rPr>
        <w:t>: {</w:t>
      </w:r>
      <w:r>
        <w:rPr>
          <w:rFonts w:eastAsia="Times New Roman" w:hint="cs"/>
          <w:rtl/>
        </w:rPr>
        <w:t>وَيَعْبُدُونَ مِنْ دُونِ اللّه مَا لاَ يَضُرُّهُمْ وَلاَ يَنْفَعُهُم وَيَقُولُون هَؤُلاَءِ شُفَعَاؤُنَا عِنْدَ اللّه</w:t>
      </w:r>
      <w:r w:rsidR="000636C2">
        <w:rPr>
          <w:rFonts w:eastAsia="Times New Roman" w:hint="cs"/>
          <w:rtl/>
        </w:rPr>
        <w:t>} [</w:t>
      </w:r>
      <w:r>
        <w:rPr>
          <w:rFonts w:eastAsia="Times New Roman" w:hint="cs"/>
          <w:rtl/>
        </w:rPr>
        <w:t>يونس</w:t>
      </w:r>
      <w:r w:rsidR="000636C2">
        <w:rPr>
          <w:rFonts w:eastAsia="Times New Roman" w:hint="cs"/>
          <w:rtl/>
        </w:rPr>
        <w:t xml:space="preserve">: </w:t>
      </w:r>
      <w:r>
        <w:rPr>
          <w:rFonts w:eastAsia="Times New Roman" w:hint="cs"/>
          <w:rtl/>
        </w:rPr>
        <w:t>الآية ١٨</w:t>
      </w:r>
      <w:r w:rsidR="000636C2">
        <w:rPr>
          <w:rFonts w:eastAsia="Times New Roman" w:hint="cs"/>
          <w:rtl/>
        </w:rPr>
        <w:t>]،</w:t>
      </w:r>
      <w:r>
        <w:rPr>
          <w:rFonts w:eastAsia="Times New Roman" w:hint="cs"/>
          <w:rtl/>
        </w:rPr>
        <w:t xml:space="preserve"> ويقول</w:t>
      </w:r>
      <w:r w:rsidR="000636C2">
        <w:rPr>
          <w:rFonts w:eastAsia="Times New Roman" w:hint="cs"/>
          <w:rtl/>
        </w:rPr>
        <w:t xml:space="preserve">: </w:t>
      </w:r>
      <w:r>
        <w:rPr>
          <w:rFonts w:eastAsia="Times New Roman" w:hint="cs"/>
          <w:rtl/>
        </w:rPr>
        <w:t>" إنّ اللّه كفّر من قصد الأصنام</w:t>
      </w:r>
      <w:r w:rsidR="000636C2">
        <w:rPr>
          <w:rFonts w:eastAsia="Times New Roman" w:hint="cs"/>
          <w:rtl/>
        </w:rPr>
        <w:t>،</w:t>
      </w:r>
      <w:r>
        <w:rPr>
          <w:rFonts w:eastAsia="Times New Roman" w:hint="cs"/>
          <w:rtl/>
        </w:rPr>
        <w:t xml:space="preserve"> وكفّر من قصد الصالحين</w:t>
      </w:r>
      <w:r w:rsidR="000636C2">
        <w:rPr>
          <w:rFonts w:eastAsia="Times New Roman" w:hint="cs"/>
          <w:rtl/>
        </w:rPr>
        <w:t>،</w:t>
      </w:r>
      <w:r>
        <w:rPr>
          <w:rFonts w:eastAsia="Times New Roman" w:hint="cs"/>
          <w:rtl/>
        </w:rPr>
        <w:t xml:space="preserve"> وقاتلهم رسول اللّه " أهـ</w:t>
      </w:r>
      <w:r w:rsidR="000636C2">
        <w:rPr>
          <w:rFonts w:eastAsia="Times New Roman" w:hint="cs"/>
          <w:rtl/>
        </w:rPr>
        <w:t>،</w:t>
      </w:r>
      <w:r>
        <w:rPr>
          <w:rFonts w:eastAsia="Times New Roman" w:hint="cs"/>
          <w:rtl/>
        </w:rPr>
        <w:t xml:space="preserve"> وهذا أيضاً خطأ</w:t>
      </w:r>
      <w:r w:rsidR="000636C2">
        <w:rPr>
          <w:rFonts w:eastAsia="Times New Roman" w:hint="cs"/>
          <w:rtl/>
        </w:rPr>
        <w:t>،</w:t>
      </w:r>
      <w:r>
        <w:rPr>
          <w:rFonts w:eastAsia="Times New Roman" w:hint="cs"/>
          <w:rtl/>
        </w:rPr>
        <w:t xml:space="preserve"> لأنّ رسول اللّه</w:t>
      </w:r>
      <w:r w:rsidR="000636C2">
        <w:rPr>
          <w:rFonts w:eastAsia="Times New Roman" w:hint="cs"/>
          <w:rtl/>
        </w:rPr>
        <w:t xml:space="preserve"> </w:t>
      </w:r>
      <w:r>
        <w:rPr>
          <w:rFonts w:eastAsia="Times New Roman" w:hint="cs"/>
          <w:rtl/>
        </w:rPr>
        <w:t>صلى ‌الله ‌عليه ‌وسلم كفّر من عبد الصالحين</w:t>
      </w:r>
      <w:r w:rsidR="000636C2">
        <w:rPr>
          <w:rFonts w:eastAsia="Times New Roman" w:hint="cs"/>
          <w:rtl/>
        </w:rPr>
        <w:t>،</w:t>
      </w:r>
      <w:r>
        <w:rPr>
          <w:rFonts w:eastAsia="Times New Roman" w:hint="cs"/>
          <w:rtl/>
        </w:rPr>
        <w:t xml:space="preserve"> لا من قصدهم</w:t>
      </w:r>
      <w:r w:rsidR="000636C2">
        <w:rPr>
          <w:rFonts w:eastAsia="Times New Roman" w:hint="cs"/>
          <w:rtl/>
        </w:rPr>
        <w:t>،</w:t>
      </w:r>
      <w:r>
        <w:rPr>
          <w:rFonts w:eastAsia="Times New Roman" w:hint="cs"/>
          <w:rtl/>
        </w:rPr>
        <w:t xml:space="preserve"> فمن قصد الصالحين لطلب الدعاء لا يكون كافراً أبداً</w:t>
      </w:r>
      <w:r w:rsidR="000636C2">
        <w:rPr>
          <w:rFonts w:eastAsia="Times New Roman" w:hint="cs"/>
          <w:rtl/>
        </w:rPr>
        <w:t>،</w:t>
      </w:r>
      <w:r>
        <w:rPr>
          <w:rFonts w:eastAsia="Times New Roman" w:hint="cs"/>
          <w:rtl/>
        </w:rPr>
        <w:t xml:space="preserve"> ويقول أيضاً - وهو يعلّم أتباعه كيف يناظرون المخالف-</w:t>
      </w:r>
      <w:r w:rsidR="000636C2">
        <w:rPr>
          <w:rFonts w:eastAsia="Times New Roman" w:hint="cs"/>
          <w:rtl/>
        </w:rPr>
        <w:t xml:space="preserve">: </w:t>
      </w:r>
      <w:r>
        <w:rPr>
          <w:rFonts w:eastAsia="Times New Roman" w:hint="cs"/>
          <w:rtl/>
        </w:rPr>
        <w:t>" اقرأ عليه</w:t>
      </w:r>
      <w:r w:rsidR="000636C2">
        <w:rPr>
          <w:rFonts w:eastAsia="Times New Roman" w:hint="cs"/>
          <w:rtl/>
        </w:rPr>
        <w:t>: {</w:t>
      </w:r>
      <w:r>
        <w:rPr>
          <w:rFonts w:eastAsia="Times New Roman" w:hint="cs"/>
          <w:rtl/>
        </w:rPr>
        <w:t>ادعوا ربّكم تضرعاً وخفيةً إنه لا يحبّ المعتدين</w:t>
      </w:r>
      <w:r w:rsidR="000636C2">
        <w:rPr>
          <w:rFonts w:eastAsia="Times New Roman" w:hint="cs"/>
          <w:rtl/>
        </w:rPr>
        <w:t>}</w:t>
      </w:r>
      <w:r>
        <w:rPr>
          <w:rFonts w:eastAsia="Times New Roman" w:hint="cs"/>
          <w:rtl/>
        </w:rPr>
        <w:t xml:space="preserve"> فإذا أعلمته بهذا فقل له</w:t>
      </w:r>
      <w:r w:rsidR="000636C2">
        <w:rPr>
          <w:rFonts w:eastAsia="Times New Roman" w:hint="cs"/>
          <w:rtl/>
        </w:rPr>
        <w:t xml:space="preserve">: </w:t>
      </w:r>
      <w:r>
        <w:rPr>
          <w:rFonts w:eastAsia="Times New Roman" w:hint="cs"/>
          <w:rtl/>
        </w:rPr>
        <w:t>هل علمت هذا عبادة للّه</w:t>
      </w:r>
      <w:r w:rsidR="000636C2">
        <w:rPr>
          <w:rFonts w:eastAsia="Times New Roman" w:hint="cs"/>
          <w:rtl/>
        </w:rPr>
        <w:t>؟</w:t>
      </w:r>
      <w:r>
        <w:rPr>
          <w:rFonts w:eastAsia="Times New Roman" w:hint="cs"/>
          <w:rtl/>
        </w:rPr>
        <w:t xml:space="preserve"> فلا بد أن يقول نعم</w:t>
      </w:r>
      <w:r w:rsidR="000636C2">
        <w:rPr>
          <w:rFonts w:eastAsia="Times New Roman" w:hint="cs"/>
          <w:rtl/>
        </w:rPr>
        <w:t>،</w:t>
      </w:r>
      <w:r>
        <w:rPr>
          <w:rFonts w:eastAsia="Times New Roman" w:hint="cs"/>
          <w:rtl/>
        </w:rPr>
        <w:t xml:space="preserve"> والدعاء مخ العبادة</w:t>
      </w:r>
      <w:r w:rsidR="000636C2">
        <w:rPr>
          <w:rFonts w:eastAsia="Times New Roman" w:hint="cs"/>
          <w:rtl/>
        </w:rPr>
        <w:t>،</w:t>
      </w:r>
      <w:r>
        <w:rPr>
          <w:rFonts w:eastAsia="Times New Roman" w:hint="cs"/>
          <w:rtl/>
        </w:rPr>
        <w:t xml:space="preserve"> فقل له</w:t>
      </w:r>
      <w:r w:rsidR="000636C2">
        <w:rPr>
          <w:rFonts w:eastAsia="Times New Roman" w:hint="cs"/>
          <w:rtl/>
        </w:rPr>
        <w:t xml:space="preserve">: </w:t>
      </w:r>
      <w:r>
        <w:rPr>
          <w:rFonts w:eastAsia="Times New Roman" w:hint="cs"/>
          <w:rtl/>
        </w:rPr>
        <w:t>إذا أقررت أنها عبادة</w:t>
      </w:r>
      <w:r w:rsidR="000636C2">
        <w:rPr>
          <w:rFonts w:eastAsia="Times New Roman" w:hint="cs"/>
          <w:rtl/>
        </w:rPr>
        <w:t>،</w:t>
      </w:r>
      <w:r>
        <w:rPr>
          <w:rFonts w:eastAsia="Times New Roman" w:hint="cs"/>
          <w:rtl/>
        </w:rPr>
        <w:t xml:space="preserve"> ثم دعوت تلك الحاجة نبياً أو غيره</w:t>
      </w:r>
      <w:r w:rsidR="000636C2">
        <w:rPr>
          <w:rFonts w:eastAsia="Times New Roman" w:hint="cs"/>
          <w:rtl/>
        </w:rPr>
        <w:t>،</w:t>
      </w:r>
      <w:r>
        <w:rPr>
          <w:rFonts w:eastAsia="Times New Roman" w:hint="cs"/>
          <w:rtl/>
        </w:rPr>
        <w:t xml:space="preserve"> هل أشركت في عبادة اللّه غيره</w:t>
      </w:r>
      <w:r w:rsidR="000636C2">
        <w:rPr>
          <w:rFonts w:eastAsia="Times New Roman" w:hint="cs"/>
          <w:rtl/>
        </w:rPr>
        <w:t>؟</w:t>
      </w:r>
      <w:r>
        <w:rPr>
          <w:rFonts w:eastAsia="Times New Roman" w:hint="cs"/>
          <w:rtl/>
        </w:rPr>
        <w:t xml:space="preserve"> فلابد أن يقول نعم</w:t>
      </w:r>
      <w:r w:rsidR="000636C2">
        <w:rPr>
          <w:rFonts w:eastAsia="Times New Roman" w:hint="cs"/>
          <w:rtl/>
        </w:rPr>
        <w:t xml:space="preserve"> </w:t>
      </w:r>
      <w:r>
        <w:rPr>
          <w:rFonts w:eastAsia="Times New Roman" w:hint="cs"/>
          <w:rtl/>
        </w:rPr>
        <w:t>" أهـ</w:t>
      </w:r>
      <w:r w:rsidR="000636C2">
        <w:rPr>
          <w:rFonts w:eastAsia="Times New Roman" w:hint="cs"/>
          <w:rtl/>
        </w:rPr>
        <w:t>،</w:t>
      </w:r>
      <w:r>
        <w:rPr>
          <w:rFonts w:eastAsia="Times New Roman" w:hint="cs"/>
          <w:rtl/>
        </w:rPr>
        <w:t xml:space="preserve"> وهذا أيضاٍ </w:t>
      </w:r>
      <w:r>
        <w:rPr>
          <w:rFonts w:eastAsia="Times New Roman" w:hint="cs"/>
          <w:rtl/>
        </w:rPr>
        <w:lastRenderedPageBreak/>
        <w:t>خطأ</w:t>
      </w:r>
      <w:r w:rsidR="000636C2">
        <w:rPr>
          <w:rFonts w:eastAsia="Times New Roman" w:hint="cs"/>
          <w:rtl/>
        </w:rPr>
        <w:t>،</w:t>
      </w:r>
      <w:r>
        <w:rPr>
          <w:rFonts w:eastAsia="Times New Roman" w:hint="cs"/>
          <w:rtl/>
        </w:rPr>
        <w:t xml:space="preserve"> لأنّ الدعاء بنية العبادة</w:t>
      </w:r>
      <w:r w:rsidR="000636C2">
        <w:rPr>
          <w:rFonts w:eastAsia="Times New Roman" w:hint="cs"/>
          <w:rtl/>
        </w:rPr>
        <w:t>،</w:t>
      </w:r>
      <w:r>
        <w:rPr>
          <w:rFonts w:eastAsia="Times New Roman" w:hint="cs"/>
          <w:rtl/>
        </w:rPr>
        <w:t xml:space="preserve"> والدعاء لمن يعتقده ربا وإلهاً</w:t>
      </w:r>
      <w:r w:rsidR="000636C2">
        <w:rPr>
          <w:rFonts w:eastAsia="Times New Roman" w:hint="cs"/>
          <w:rtl/>
        </w:rPr>
        <w:t>،</w:t>
      </w:r>
      <w:r>
        <w:rPr>
          <w:rFonts w:eastAsia="Times New Roman" w:hint="cs"/>
          <w:rtl/>
        </w:rPr>
        <w:t xml:space="preserve"> عبادة</w:t>
      </w:r>
      <w:r w:rsidR="000636C2">
        <w:rPr>
          <w:rFonts w:eastAsia="Times New Roman" w:hint="cs"/>
          <w:rtl/>
        </w:rPr>
        <w:t>،</w:t>
      </w:r>
      <w:r>
        <w:rPr>
          <w:rFonts w:eastAsia="Times New Roman" w:hint="cs"/>
          <w:rtl/>
        </w:rPr>
        <w:t xml:space="preserve"> وما خلا عن ذلك فليس بعبادة</w:t>
      </w:r>
      <w:r w:rsidR="000636C2">
        <w:rPr>
          <w:rFonts w:eastAsia="Times New Roman" w:hint="cs"/>
          <w:rtl/>
        </w:rPr>
        <w:t>،</w:t>
      </w:r>
      <w:r>
        <w:rPr>
          <w:rFonts w:eastAsia="Times New Roman" w:hint="cs"/>
          <w:rtl/>
        </w:rPr>
        <w:t xml:space="preserve"> والدعاء مخ العبادة لمن دعا من يعتقد أنه يدعو الرب الإله</w:t>
      </w:r>
      <w:r w:rsidR="000636C2">
        <w:rPr>
          <w:rFonts w:eastAsia="Times New Roman" w:hint="cs"/>
          <w:rtl/>
        </w:rPr>
        <w:t>،</w:t>
      </w:r>
      <w:r>
        <w:rPr>
          <w:rFonts w:eastAsia="Times New Roman" w:hint="cs"/>
          <w:rtl/>
        </w:rPr>
        <w:t xml:space="preserve"> فأين ذلك من دعوة الأنبياء والصالحين بمعنى التوسل بهم إلى الله</w:t>
      </w:r>
      <w:r w:rsidR="000636C2">
        <w:rPr>
          <w:rFonts w:eastAsia="Times New Roman" w:hint="cs"/>
          <w:rtl/>
        </w:rPr>
        <w:t>،</w:t>
      </w:r>
      <w:r>
        <w:rPr>
          <w:rFonts w:eastAsia="Times New Roman" w:hint="cs"/>
          <w:rtl/>
        </w:rPr>
        <w:t xml:space="preserve"> والذين يتكلم عنهم الشيخ مسلمون موحدون</w:t>
      </w:r>
      <w:r w:rsidR="000636C2">
        <w:rPr>
          <w:rFonts w:eastAsia="Times New Roman" w:hint="cs"/>
          <w:rtl/>
        </w:rPr>
        <w:t>،</w:t>
      </w:r>
      <w:r>
        <w:rPr>
          <w:rFonts w:eastAsia="Times New Roman" w:hint="cs"/>
          <w:rtl/>
        </w:rPr>
        <w:t xml:space="preserve"> لا يعبدون غير الله</w:t>
      </w:r>
      <w:r w:rsidR="000636C2">
        <w:rPr>
          <w:rFonts w:eastAsia="Times New Roman" w:hint="cs"/>
          <w:rtl/>
        </w:rPr>
        <w:t>،</w:t>
      </w:r>
      <w:r>
        <w:rPr>
          <w:rFonts w:eastAsia="Times New Roman" w:hint="cs"/>
          <w:rtl/>
        </w:rPr>
        <w:t xml:space="preserve"> ويعلمون أنّ هؤلاء جميعا عباد صالحون لا يملكون شيئاً لأنفسهم ولا لغيرهم</w:t>
      </w:r>
      <w:r w:rsidR="000636C2">
        <w:rPr>
          <w:rFonts w:eastAsia="Times New Roman" w:hint="cs"/>
          <w:rtl/>
        </w:rPr>
        <w:t>،</w:t>
      </w:r>
      <w:r>
        <w:rPr>
          <w:rFonts w:eastAsia="Times New Roman" w:hint="cs"/>
          <w:rtl/>
        </w:rPr>
        <w:t xml:space="preserve"> إلا الشفاعة بفضل الله</w:t>
      </w:r>
      <w:r w:rsidR="000636C2">
        <w:rPr>
          <w:rFonts w:eastAsia="Times New Roman" w:hint="cs"/>
          <w:rtl/>
        </w:rPr>
        <w:t>،</w:t>
      </w:r>
      <w:r>
        <w:rPr>
          <w:rFonts w:eastAsia="Times New Roman" w:hint="cs"/>
          <w:rtl/>
        </w:rPr>
        <w:t xml:space="preserve"> فلا يجوز تشبيه دعاء الكافرين والمشركين لمن يظنون فيهم نوعا من الألوهية والربوبية</w:t>
      </w:r>
      <w:r w:rsidR="000636C2">
        <w:rPr>
          <w:rFonts w:eastAsia="Times New Roman" w:hint="cs"/>
          <w:rtl/>
        </w:rPr>
        <w:t>،</w:t>
      </w:r>
      <w:r>
        <w:rPr>
          <w:rFonts w:eastAsia="Times New Roman" w:hint="cs"/>
          <w:rtl/>
        </w:rPr>
        <w:t xml:space="preserve"> وبين دعاء المسلمين الموحدون</w:t>
      </w:r>
      <w:r w:rsidR="000636C2">
        <w:rPr>
          <w:rFonts w:eastAsia="Times New Roman" w:hint="cs"/>
          <w:rtl/>
        </w:rPr>
        <w:t>،</w:t>
      </w:r>
      <w:r>
        <w:rPr>
          <w:rFonts w:eastAsia="Times New Roman" w:hint="cs"/>
          <w:rtl/>
        </w:rPr>
        <w:t xml:space="preserve"> وبعد فبتلك القواعد المغلوطة توصل الشيخ محمد بن عبد الوهاب إلى تكفير المسلمين واستحلال محارمهم</w:t>
      </w:r>
      <w:r w:rsidR="000636C2">
        <w:rPr>
          <w:rFonts w:eastAsia="Times New Roman" w:hint="cs"/>
          <w:rtl/>
        </w:rPr>
        <w:t>،</w:t>
      </w:r>
      <w:r>
        <w:rPr>
          <w:rFonts w:eastAsia="Times New Roman" w:hint="cs"/>
          <w:rtl/>
        </w:rPr>
        <w:t xml:space="preserve"> وجعلهم أشد كفراً من المشركيين الأصليين</w:t>
      </w:r>
      <w:r w:rsidR="000636C2">
        <w:rPr>
          <w:rFonts w:eastAsia="Times New Roman" w:hint="cs"/>
          <w:rtl/>
        </w:rPr>
        <w:t>،</w:t>
      </w:r>
    </w:p>
    <w:p w14:paraId="2353AE00" w14:textId="7293DCD6" w:rsidR="009C32A0" w:rsidRDefault="009C32A0" w:rsidP="000636C2">
      <w:pPr>
        <w:ind w:left="-58"/>
        <w:rPr>
          <w:rFonts w:eastAsia="Times New Roman"/>
          <w:b/>
          <w:rtl/>
        </w:rPr>
      </w:pPr>
      <w:r>
        <w:rPr>
          <w:rFonts w:eastAsia="Times New Roman" w:hint="cs"/>
          <w:bCs/>
          <w:rtl/>
        </w:rPr>
        <w:t>من العلماء الرادّين على أخطاء الشيخ محمّد بن عبد الوهاب</w:t>
      </w:r>
      <w:r w:rsidR="000636C2">
        <w:rPr>
          <w:rFonts w:eastAsia="Times New Roman" w:hint="cs"/>
          <w:rtl/>
        </w:rPr>
        <w:t xml:space="preserve">: </w:t>
      </w:r>
      <w:r>
        <w:rPr>
          <w:rFonts w:eastAsia="Times New Roman" w:hint="cs"/>
          <w:rtl/>
        </w:rPr>
        <w:t>أخوه الشيخ سليمان بن عبدالوهاب في رسالته</w:t>
      </w:r>
      <w:r w:rsidR="000636C2">
        <w:rPr>
          <w:rFonts w:eastAsia="Times New Roman" w:hint="cs"/>
          <w:rtl/>
        </w:rPr>
        <w:t xml:space="preserve">: </w:t>
      </w:r>
      <w:r>
        <w:rPr>
          <w:rFonts w:hint="cs"/>
          <w:rtl/>
        </w:rPr>
        <w:t>الصواعق الإلهية في الرد على الوهابية</w:t>
      </w:r>
      <w:r w:rsidR="000636C2">
        <w:rPr>
          <w:rFonts w:eastAsia="Times New Roman" w:hint="cs"/>
          <w:rtl/>
        </w:rPr>
        <w:t>،</w:t>
      </w:r>
      <w:r>
        <w:rPr>
          <w:rFonts w:eastAsia="Times New Roman" w:hint="cs"/>
          <w:rtl/>
        </w:rPr>
        <w:t xml:space="preserve"> وعليها مقدمة الشيخ محمّد بن سليمان الكردي الشافعي الّتي قرّظ بها رسالته</w:t>
      </w:r>
      <w:r w:rsidR="000636C2">
        <w:rPr>
          <w:rFonts w:eastAsia="Times New Roman" w:hint="cs"/>
          <w:rtl/>
        </w:rPr>
        <w:t xml:space="preserve">، </w:t>
      </w:r>
      <w:r>
        <w:rPr>
          <w:rFonts w:eastAsia="Times New Roman" w:hint="cs"/>
          <w:rtl/>
        </w:rPr>
        <w:t>ورسالة تجريد سيف الجهاد لمدّعي الاجتهاد لشيخه العلامة عبد اللّه بن عبد اللطيف الشافعي</w:t>
      </w:r>
      <w:r w:rsidR="000636C2">
        <w:rPr>
          <w:rFonts w:eastAsia="Times New Roman" w:hint="cs"/>
          <w:rtl/>
        </w:rPr>
        <w:t>،</w:t>
      </w:r>
      <w:r>
        <w:rPr>
          <w:rFonts w:eastAsia="Times New Roman" w:hint="cs"/>
          <w:rtl/>
        </w:rPr>
        <w:t xml:space="preserve"> ورسالة الصواعق والرعود للعلامة عفيف الدين عبداللّه بن داود الحنبلي</w:t>
      </w:r>
      <w:r w:rsidR="000636C2">
        <w:rPr>
          <w:rFonts w:eastAsia="Times New Roman" w:hint="cs"/>
          <w:rtl/>
        </w:rPr>
        <w:t>،</w:t>
      </w:r>
      <w:r>
        <w:rPr>
          <w:rFonts w:eastAsia="Times New Roman" w:hint="cs"/>
          <w:rtl/>
        </w:rPr>
        <w:t xml:space="preserve"> ورسالة تهكّم المقلدين بمن ادّعى تجديد الدين للعلاّمة المحقق محمّد بن عبدالرحمن ابن عفالق الحنبلي</w:t>
      </w:r>
      <w:r w:rsidR="000636C2">
        <w:rPr>
          <w:rFonts w:eastAsia="Times New Roman" w:hint="cs"/>
          <w:rtl/>
        </w:rPr>
        <w:t>،</w:t>
      </w:r>
      <w:r>
        <w:rPr>
          <w:rFonts w:eastAsia="Times New Roman" w:hint="cs"/>
          <w:rtl/>
        </w:rPr>
        <w:t xml:space="preserve"> وقد ترصّد فيه لكل مسألة من المسائل الّتي ابتدعها وردّ عليها بأبلغ رد</w:t>
      </w:r>
      <w:r w:rsidR="000636C2">
        <w:rPr>
          <w:rFonts w:eastAsia="Times New Roman" w:hint="cs"/>
          <w:rtl/>
        </w:rPr>
        <w:t>،</w:t>
      </w:r>
      <w:r>
        <w:rPr>
          <w:rFonts w:eastAsia="Times New Roman" w:hint="cs"/>
          <w:rtl/>
        </w:rPr>
        <w:t xml:space="preserve"> ورسالة للعلامة أحمد بن علي القباني البصري الشافعي</w:t>
      </w:r>
      <w:r w:rsidR="000636C2">
        <w:rPr>
          <w:rFonts w:eastAsia="Times New Roman" w:hint="cs"/>
          <w:rtl/>
        </w:rPr>
        <w:t>،</w:t>
      </w:r>
      <w:r>
        <w:rPr>
          <w:rFonts w:eastAsia="Times New Roman" w:hint="cs"/>
          <w:rtl/>
        </w:rPr>
        <w:t xml:space="preserve"> ورسالة للعلامة عبدالوهاب بن أحمد بركات الشافعي الأحمدي المكي</w:t>
      </w:r>
      <w:r w:rsidR="000636C2">
        <w:rPr>
          <w:rFonts w:eastAsia="Times New Roman" w:hint="cs"/>
          <w:rtl/>
        </w:rPr>
        <w:t>،</w:t>
      </w:r>
      <w:r>
        <w:rPr>
          <w:rFonts w:eastAsia="Times New Roman" w:hint="cs"/>
          <w:rtl/>
        </w:rPr>
        <w:t xml:space="preserve"> ورسالة الصارم الهندي في عنق النجدي للشيخ عطاء المكي</w:t>
      </w:r>
      <w:r w:rsidR="000636C2">
        <w:rPr>
          <w:rFonts w:eastAsia="Times New Roman" w:hint="cs"/>
          <w:rtl/>
        </w:rPr>
        <w:t>،</w:t>
      </w:r>
      <w:r>
        <w:rPr>
          <w:rFonts w:eastAsia="Times New Roman" w:hint="cs"/>
          <w:rtl/>
        </w:rPr>
        <w:t xml:space="preserve"> ورسالة للشيخ عبد اللّه بن عيسى المويسي</w:t>
      </w:r>
      <w:r w:rsidR="000636C2">
        <w:rPr>
          <w:rFonts w:eastAsia="Times New Roman" w:hint="cs"/>
          <w:rtl/>
        </w:rPr>
        <w:t>،</w:t>
      </w:r>
      <w:r>
        <w:rPr>
          <w:rFonts w:eastAsia="Times New Roman" w:hint="cs"/>
          <w:rtl/>
        </w:rPr>
        <w:t xml:space="preserve"> ورسالة للشيخ أحمد المصري الإحسائي</w:t>
      </w:r>
      <w:r w:rsidR="000636C2">
        <w:rPr>
          <w:rFonts w:eastAsia="Times New Roman" w:hint="cs"/>
          <w:rtl/>
        </w:rPr>
        <w:t>،</w:t>
      </w:r>
      <w:r>
        <w:rPr>
          <w:rFonts w:eastAsia="Times New Roman" w:hint="cs"/>
          <w:rtl/>
        </w:rPr>
        <w:t xml:space="preserve"> ورسالة السيف الباتر لعنق المنكر على الأكابر</w:t>
      </w:r>
      <w:r w:rsidR="000636C2">
        <w:rPr>
          <w:rFonts w:eastAsia="Times New Roman" w:hint="cs"/>
          <w:rtl/>
        </w:rPr>
        <w:t>،</w:t>
      </w:r>
      <w:r>
        <w:rPr>
          <w:rFonts w:eastAsia="Times New Roman" w:hint="cs"/>
          <w:rtl/>
        </w:rPr>
        <w:t xml:space="preserve"> للسيد علوي بن أحمد الحداد</w:t>
      </w:r>
      <w:r w:rsidR="000636C2">
        <w:rPr>
          <w:rFonts w:eastAsia="Times New Roman" w:hint="cs"/>
          <w:rtl/>
        </w:rPr>
        <w:t>،</w:t>
      </w:r>
      <w:r>
        <w:rPr>
          <w:rFonts w:eastAsia="Times New Roman" w:hint="cs"/>
          <w:rtl/>
        </w:rPr>
        <w:t xml:space="preserve"> ورسالة للشيخ محمد بن الشيخ أحمد بن عبداللطيف الإحسائي</w:t>
      </w:r>
      <w:r w:rsidR="000636C2">
        <w:rPr>
          <w:rFonts w:eastAsia="Times New Roman" w:hint="cs"/>
          <w:rtl/>
        </w:rPr>
        <w:t>،</w:t>
      </w:r>
      <w:r>
        <w:rPr>
          <w:rFonts w:eastAsia="Times New Roman" w:hint="cs"/>
          <w:rtl/>
        </w:rPr>
        <w:t xml:space="preserve"> ورسالة تحريض الأغبياء على الاستغاثة بالأنبياء والأولياء</w:t>
      </w:r>
      <w:r w:rsidR="000636C2">
        <w:rPr>
          <w:rFonts w:eastAsia="Times New Roman" w:hint="cs"/>
          <w:rtl/>
        </w:rPr>
        <w:t>،</w:t>
      </w:r>
      <w:r>
        <w:rPr>
          <w:rFonts w:eastAsia="Times New Roman" w:hint="cs"/>
          <w:rtl/>
        </w:rPr>
        <w:t xml:space="preserve"> للعلامة عبداللّه بن إبراهيم ميرغني</w:t>
      </w:r>
      <w:r w:rsidR="000636C2">
        <w:rPr>
          <w:rFonts w:eastAsia="Times New Roman" w:hint="cs"/>
          <w:rtl/>
        </w:rPr>
        <w:t>،</w:t>
      </w:r>
      <w:r>
        <w:rPr>
          <w:rFonts w:eastAsia="Times New Roman" w:hint="cs"/>
          <w:rtl/>
        </w:rPr>
        <w:t xml:space="preserve"> ورسالة الانتصار للأولياء الأبرار للعلامة طاهر سنبل الحنفي</w:t>
      </w:r>
      <w:r w:rsidR="000636C2">
        <w:rPr>
          <w:rFonts w:eastAsia="Times New Roman" w:hint="cs"/>
          <w:rtl/>
        </w:rPr>
        <w:t>،</w:t>
      </w:r>
      <w:r>
        <w:rPr>
          <w:rFonts w:eastAsia="Times New Roman" w:hint="cs"/>
          <w:rtl/>
        </w:rPr>
        <w:t xml:space="preserve"> ومجموعة أجوبة وردود نظماً ونثراً لأكابر علماء المذاهب الأربعة</w:t>
      </w:r>
      <w:r w:rsidR="000636C2">
        <w:rPr>
          <w:rFonts w:eastAsia="Times New Roman" w:hint="cs"/>
          <w:rtl/>
        </w:rPr>
        <w:t>،</w:t>
      </w:r>
      <w:r>
        <w:rPr>
          <w:rFonts w:eastAsia="Times New Roman" w:hint="cs"/>
          <w:rtl/>
        </w:rPr>
        <w:t xml:space="preserve"> من أهل الحرمين الشريفين والأحساء والبصرة وبغداد وحلب واليمن وغيرها</w:t>
      </w:r>
      <w:r w:rsidR="000636C2">
        <w:rPr>
          <w:rFonts w:eastAsia="Times New Roman" w:hint="cs"/>
          <w:rtl/>
        </w:rPr>
        <w:t>،</w:t>
      </w:r>
      <w:r>
        <w:rPr>
          <w:rFonts w:eastAsia="Times New Roman" w:hint="cs"/>
          <w:rtl/>
        </w:rPr>
        <w:t xml:space="preserve"> ومصباح الأنام وجلاء الظلام في رد شبه البدعي النجدي التي أضل بها العوام للعلامة السيد علوي بن الحداد</w:t>
      </w:r>
      <w:r w:rsidR="000636C2">
        <w:rPr>
          <w:rFonts w:eastAsia="Times New Roman" w:hint="cs"/>
          <w:rtl/>
        </w:rPr>
        <w:t>،</w:t>
      </w:r>
      <w:r>
        <w:rPr>
          <w:rFonts w:eastAsia="Times New Roman" w:hint="cs"/>
          <w:rtl/>
        </w:rPr>
        <w:t xml:space="preserve"> ورسالة الدرر السنية في الرد على الوهابية</w:t>
      </w:r>
      <w:r w:rsidR="000636C2">
        <w:rPr>
          <w:rFonts w:eastAsia="Times New Roman" w:hint="cs"/>
          <w:rtl/>
        </w:rPr>
        <w:t xml:space="preserve"> </w:t>
      </w:r>
      <w:r>
        <w:rPr>
          <w:rFonts w:eastAsia="Times New Roman" w:hint="cs"/>
          <w:rtl/>
        </w:rPr>
        <w:t>لمفتي مكة السيد أحمد زيني دحلان المتوفي سنة ١٣٠٤ هـ</w:t>
      </w:r>
      <w:r w:rsidR="000636C2">
        <w:rPr>
          <w:rFonts w:eastAsia="Times New Roman" w:hint="cs"/>
          <w:rtl/>
        </w:rPr>
        <w:t>،</w:t>
      </w:r>
      <w:r>
        <w:rPr>
          <w:rFonts w:eastAsia="Times New Roman" w:hint="cs"/>
          <w:rtl/>
        </w:rPr>
        <w:t xml:space="preserve"> ورسالة شواهد الحق في التوسل بسيد الخلق للشيخ يوسف النبهاني</w:t>
      </w:r>
      <w:r w:rsidR="000636C2">
        <w:rPr>
          <w:rFonts w:eastAsia="Times New Roman" w:hint="cs"/>
          <w:rtl/>
        </w:rPr>
        <w:t>،</w:t>
      </w:r>
      <w:r>
        <w:rPr>
          <w:rFonts w:eastAsia="Times New Roman" w:hint="cs"/>
          <w:rtl/>
        </w:rPr>
        <w:t xml:space="preserve"> ورسالة الفجر الصادق لجميل صدقي الزهاوي</w:t>
      </w:r>
      <w:r w:rsidR="000636C2">
        <w:rPr>
          <w:rFonts w:eastAsia="Times New Roman" w:hint="cs"/>
          <w:rtl/>
        </w:rPr>
        <w:t>،</w:t>
      </w:r>
      <w:r>
        <w:rPr>
          <w:rFonts w:eastAsia="Times New Roman" w:hint="cs"/>
          <w:rtl/>
        </w:rPr>
        <w:t xml:space="preserve"> ورسالة إظهار العقوق ممن منع التوسل بالنبي والولي الصدوق للشيخ المشرفي المالكي الجزائري</w:t>
      </w:r>
      <w:r w:rsidR="000636C2">
        <w:rPr>
          <w:rFonts w:eastAsia="Times New Roman" w:hint="cs"/>
          <w:rtl/>
        </w:rPr>
        <w:t>،</w:t>
      </w:r>
      <w:r>
        <w:rPr>
          <w:rFonts w:eastAsia="Times New Roman" w:hint="cs"/>
          <w:rtl/>
        </w:rPr>
        <w:t xml:space="preserve"> ورسالة في جواز التوسل</w:t>
      </w:r>
      <w:r w:rsidR="000636C2">
        <w:rPr>
          <w:rFonts w:eastAsia="Times New Roman" w:hint="cs"/>
          <w:rtl/>
        </w:rPr>
        <w:t>،</w:t>
      </w:r>
      <w:r>
        <w:rPr>
          <w:rFonts w:eastAsia="Times New Roman" w:hint="cs"/>
          <w:rtl/>
        </w:rPr>
        <w:t xml:space="preserve"> للشيخ المهدي الوازناني مفتي فاس</w:t>
      </w:r>
      <w:r w:rsidR="000636C2">
        <w:rPr>
          <w:rFonts w:eastAsia="Times New Roman" w:hint="cs"/>
          <w:rtl/>
        </w:rPr>
        <w:t>،</w:t>
      </w:r>
      <w:r>
        <w:rPr>
          <w:rFonts w:eastAsia="Times New Roman" w:hint="cs"/>
          <w:rtl/>
        </w:rPr>
        <w:t xml:space="preserve"> ورسالة غوث العباد في بيان الرشاد للشيخ مصطفي </w:t>
      </w:r>
      <w:r>
        <w:rPr>
          <w:rFonts w:eastAsia="Times New Roman" w:hint="cs"/>
          <w:rtl/>
        </w:rPr>
        <w:lastRenderedPageBreak/>
        <w:t>الحمامي المصرى</w:t>
      </w:r>
      <w:r w:rsidR="000636C2">
        <w:rPr>
          <w:rFonts w:eastAsia="Times New Roman" w:hint="cs"/>
          <w:rtl/>
        </w:rPr>
        <w:t>،</w:t>
      </w:r>
      <w:r>
        <w:rPr>
          <w:rFonts w:eastAsia="Times New Roman" w:hint="cs"/>
          <w:rtl/>
        </w:rPr>
        <w:t xml:space="preserve"> ورسالة البراهين الساطعة للعلامة الشيخ سلامة العزامي المتوفي سنة ١٣٧٩ هـ</w:t>
      </w:r>
      <w:r w:rsidR="000636C2">
        <w:rPr>
          <w:rFonts w:eastAsia="Times New Roman" w:hint="cs"/>
          <w:rtl/>
        </w:rPr>
        <w:t>،</w:t>
      </w:r>
      <w:r>
        <w:rPr>
          <w:rFonts w:eastAsia="Times New Roman" w:hint="cs"/>
          <w:rtl/>
        </w:rPr>
        <w:t xml:space="preserve"> ورسالة النقول الشرعية في الردّ على الوهابية » للشيخ حسن الشطي الحنبلي الدمشقي</w:t>
      </w:r>
      <w:r w:rsidR="000636C2">
        <w:rPr>
          <w:rFonts w:eastAsia="Times New Roman" w:hint="cs"/>
          <w:rtl/>
        </w:rPr>
        <w:t xml:space="preserve">، </w:t>
      </w:r>
      <w:r>
        <w:rPr>
          <w:rFonts w:eastAsia="Times New Roman" w:hint="cs"/>
          <w:rtl/>
        </w:rPr>
        <w:t>ورسالة في حكم التوسل بالأنبياء والأولياء</w:t>
      </w:r>
      <w:r w:rsidR="000636C2">
        <w:rPr>
          <w:rFonts w:eastAsia="Times New Roman" w:hint="cs"/>
          <w:rtl/>
        </w:rPr>
        <w:t>،</w:t>
      </w:r>
      <w:r>
        <w:rPr>
          <w:rFonts w:eastAsia="Times New Roman" w:hint="cs"/>
          <w:rtl/>
        </w:rPr>
        <w:t xml:space="preserve"> للشيخ محمّد حسنين مخلوف</w:t>
      </w:r>
      <w:r w:rsidR="000636C2">
        <w:rPr>
          <w:rFonts w:eastAsia="Times New Roman" w:hint="cs"/>
          <w:rtl/>
        </w:rPr>
        <w:t xml:space="preserve">، </w:t>
      </w:r>
      <w:r>
        <w:rPr>
          <w:rFonts w:eastAsia="Times New Roman" w:hint="cs"/>
          <w:rtl/>
        </w:rPr>
        <w:t>ورسالة المقالات الوفية في الردّ على الوهابية للشيخ حسن قزبك</w:t>
      </w:r>
      <w:r w:rsidR="000636C2">
        <w:rPr>
          <w:rFonts w:eastAsia="Times New Roman" w:hint="cs"/>
          <w:rtl/>
        </w:rPr>
        <w:t>،</w:t>
      </w:r>
      <w:r>
        <w:rPr>
          <w:rFonts w:eastAsia="Times New Roman" w:hint="cs"/>
          <w:rtl/>
        </w:rPr>
        <w:t xml:space="preserve"> ورسالة الأقوال المرضية في الردّ على الوهابية للشيخ عطا الكسم الدمشقي</w:t>
      </w:r>
      <w:r w:rsidR="000636C2">
        <w:rPr>
          <w:rFonts w:eastAsia="Times New Roman" w:hint="cs"/>
          <w:rtl/>
        </w:rPr>
        <w:t>،</w:t>
      </w:r>
      <w:r>
        <w:rPr>
          <w:rFonts w:eastAsia="Times New Roman" w:hint="cs"/>
          <w:rtl/>
        </w:rPr>
        <w:t xml:space="preserve"> والردود أكثر مما ذكر</w:t>
      </w:r>
      <w:r w:rsidR="000636C2">
        <w:rPr>
          <w:rFonts w:eastAsia="Times New Roman" w:hint="cs"/>
          <w:rtl/>
        </w:rPr>
        <w:t>،</w:t>
      </w:r>
      <w:r>
        <w:rPr>
          <w:rFonts w:eastAsia="Times New Roman" w:hint="cs"/>
          <w:rtl/>
        </w:rPr>
        <w:t xml:space="preserve"> وقد اكتفينا بالإشارة</w:t>
      </w:r>
      <w:r w:rsidR="000636C2">
        <w:rPr>
          <w:rFonts w:eastAsia="Times New Roman" w:hint="cs"/>
          <w:rtl/>
        </w:rPr>
        <w:t>،</w:t>
      </w:r>
      <w:r>
        <w:rPr>
          <w:rFonts w:eastAsia="Times New Roman" w:hint="cs"/>
          <w:rtl/>
        </w:rPr>
        <w:t xml:space="preserve"> وفي الملحق سيتم نشر أهم تلك الرسائل وما فيها من درر</w:t>
      </w:r>
      <w:r w:rsidR="000636C2">
        <w:rPr>
          <w:rFonts w:eastAsia="Times New Roman" w:hint="cs"/>
          <w:rtl/>
        </w:rPr>
        <w:t xml:space="preserve"> </w:t>
      </w:r>
      <w:r>
        <w:rPr>
          <w:rFonts w:eastAsia="Times New Roman" w:hint="cs"/>
          <w:rtl/>
        </w:rPr>
        <w:t>وتحقيقات علمية</w:t>
      </w:r>
      <w:r w:rsidR="000636C2">
        <w:rPr>
          <w:rFonts w:eastAsia="Times New Roman" w:hint="cs"/>
          <w:rtl/>
        </w:rPr>
        <w:t>،</w:t>
      </w:r>
    </w:p>
    <w:p w14:paraId="5C46EBB9" w14:textId="49C6786D" w:rsidR="009C32A0" w:rsidRDefault="009C32A0" w:rsidP="000636C2">
      <w:pPr>
        <w:ind w:left="-58"/>
        <w:rPr>
          <w:rFonts w:eastAsia="Times New Roman"/>
          <w:b/>
          <w:rtl/>
        </w:rPr>
      </w:pPr>
      <w:r>
        <w:rPr>
          <w:rFonts w:eastAsia="Times New Roman" w:hint="cs"/>
          <w:bCs/>
          <w:rtl/>
        </w:rPr>
        <w:t>من أقوال العلماء في بيان غلو الشيخ محمد بن عبد الوهاب وأتباعه</w:t>
      </w:r>
      <w:r w:rsidR="000636C2">
        <w:rPr>
          <w:rFonts w:eastAsia="Times New Roman" w:hint="cs"/>
          <w:rtl/>
        </w:rPr>
        <w:t xml:space="preserve">: </w:t>
      </w:r>
      <w:r>
        <w:rPr>
          <w:rFonts w:eastAsia="Times New Roman" w:hint="cs"/>
          <w:rtl/>
        </w:rPr>
        <w:t>قال زيني دحلان في الدرر السمية</w:t>
      </w:r>
      <w:r w:rsidR="000636C2">
        <w:rPr>
          <w:rFonts w:eastAsia="Times New Roman" w:hint="cs"/>
          <w:rtl/>
        </w:rPr>
        <w:t xml:space="preserve">: </w:t>
      </w:r>
      <w:r>
        <w:rPr>
          <w:rFonts w:eastAsia="Times New Roman" w:hint="cs"/>
          <w:rtl/>
        </w:rPr>
        <w:t>" كان محمد بن عبدالوهاب يخطب للجمعة في مسجد الدرعية ويقول في كل خطبة</w:t>
      </w:r>
      <w:r w:rsidR="000636C2">
        <w:rPr>
          <w:rFonts w:eastAsia="Times New Roman" w:hint="cs"/>
          <w:rtl/>
        </w:rPr>
        <w:t xml:space="preserve">: </w:t>
      </w:r>
      <w:r>
        <w:rPr>
          <w:rFonts w:eastAsia="Times New Roman" w:hint="cs"/>
          <w:rtl/>
        </w:rPr>
        <w:t>ومن توسل بالنبي فقد كفر</w:t>
      </w:r>
      <w:r w:rsidR="000636C2">
        <w:rPr>
          <w:rFonts w:eastAsia="Times New Roman" w:hint="cs"/>
          <w:rtl/>
        </w:rPr>
        <w:t>،</w:t>
      </w:r>
      <w:r>
        <w:rPr>
          <w:rFonts w:eastAsia="Times New Roman" w:hint="cs"/>
          <w:rtl/>
        </w:rPr>
        <w:t xml:space="preserve"> وكان أخوه الشيخ سليمان ينكر عليه إنكاراً شديداً</w:t>
      </w:r>
      <w:r w:rsidR="000636C2">
        <w:rPr>
          <w:rFonts w:eastAsia="Times New Roman" w:hint="cs"/>
          <w:rtl/>
        </w:rPr>
        <w:t>،</w:t>
      </w:r>
      <w:r>
        <w:rPr>
          <w:rFonts w:eastAsia="Times New Roman" w:hint="cs"/>
          <w:rtl/>
        </w:rPr>
        <w:t xml:space="preserve"> فقال لأخيه يوماً</w:t>
      </w:r>
      <w:r w:rsidR="000636C2">
        <w:rPr>
          <w:rFonts w:eastAsia="Times New Roman" w:hint="cs"/>
          <w:rtl/>
        </w:rPr>
        <w:t xml:space="preserve">: </w:t>
      </w:r>
      <w:r>
        <w:rPr>
          <w:rFonts w:eastAsia="Times New Roman" w:hint="cs"/>
          <w:rtl/>
        </w:rPr>
        <w:t>كم أركان الإسلام يا محمد</w:t>
      </w:r>
      <w:r w:rsidR="000636C2">
        <w:rPr>
          <w:rFonts w:eastAsia="Times New Roman" w:hint="cs"/>
          <w:rtl/>
        </w:rPr>
        <w:t>؟</w:t>
      </w:r>
      <w:r>
        <w:rPr>
          <w:rFonts w:eastAsia="Times New Roman" w:hint="cs"/>
          <w:rtl/>
        </w:rPr>
        <w:t xml:space="preserve"> فقال</w:t>
      </w:r>
      <w:r w:rsidR="000636C2">
        <w:rPr>
          <w:rFonts w:eastAsia="Times New Roman" w:hint="cs"/>
          <w:rtl/>
        </w:rPr>
        <w:t xml:space="preserve">: </w:t>
      </w:r>
      <w:r>
        <w:rPr>
          <w:rFonts w:eastAsia="Times New Roman" w:hint="cs"/>
          <w:rtl/>
        </w:rPr>
        <w:t>خمسة فقال أنت جعلتها ستة</w:t>
      </w:r>
      <w:r w:rsidR="000636C2">
        <w:rPr>
          <w:rFonts w:eastAsia="Times New Roman" w:hint="cs"/>
          <w:rtl/>
        </w:rPr>
        <w:t xml:space="preserve">: </w:t>
      </w:r>
      <w:r>
        <w:rPr>
          <w:rFonts w:eastAsia="Times New Roman" w:hint="cs"/>
          <w:rtl/>
        </w:rPr>
        <w:t>السادس</w:t>
      </w:r>
      <w:r w:rsidR="000636C2">
        <w:rPr>
          <w:rFonts w:eastAsia="Times New Roman" w:hint="cs"/>
          <w:rtl/>
        </w:rPr>
        <w:t xml:space="preserve">: </w:t>
      </w:r>
      <w:r>
        <w:rPr>
          <w:rFonts w:eastAsia="Times New Roman" w:hint="cs"/>
          <w:rtl/>
        </w:rPr>
        <w:t>من لم يتبعك فليس بمسلم</w:t>
      </w:r>
      <w:r w:rsidR="000636C2">
        <w:rPr>
          <w:rFonts w:eastAsia="Times New Roman" w:hint="cs"/>
          <w:rtl/>
        </w:rPr>
        <w:t>،</w:t>
      </w:r>
      <w:r>
        <w:rPr>
          <w:rFonts w:eastAsia="Times New Roman" w:hint="cs"/>
          <w:rtl/>
        </w:rPr>
        <w:t xml:space="preserve"> هذا عندك ركن سادس للإسلام</w:t>
      </w:r>
      <w:r w:rsidR="000636C2">
        <w:rPr>
          <w:rFonts w:eastAsia="Times New Roman" w:hint="cs"/>
          <w:rtl/>
        </w:rPr>
        <w:t>،</w:t>
      </w:r>
      <w:r>
        <w:rPr>
          <w:rFonts w:eastAsia="Times New Roman" w:hint="cs"/>
          <w:rtl/>
        </w:rPr>
        <w:t xml:space="preserve"> ولما طال النزاع بينه وبين أخيه فخاف على نفسه</w:t>
      </w:r>
      <w:r w:rsidR="000636C2">
        <w:rPr>
          <w:rFonts w:eastAsia="Times New Roman" w:hint="cs"/>
          <w:rtl/>
        </w:rPr>
        <w:t>،</w:t>
      </w:r>
      <w:r>
        <w:rPr>
          <w:rFonts w:eastAsia="Times New Roman" w:hint="cs"/>
          <w:rtl/>
        </w:rPr>
        <w:t xml:space="preserve"> فارتحل إلى المدينة المنورة</w:t>
      </w:r>
      <w:r w:rsidR="000636C2">
        <w:rPr>
          <w:rFonts w:eastAsia="Times New Roman" w:hint="cs"/>
          <w:rtl/>
        </w:rPr>
        <w:t>،</w:t>
      </w:r>
      <w:r>
        <w:rPr>
          <w:rFonts w:eastAsia="Times New Roman" w:hint="cs"/>
          <w:rtl/>
        </w:rPr>
        <w:t xml:space="preserve"> وألّف رسالة في الرد على محمد بن عبدالوهاب وأرسلها له</w:t>
      </w:r>
      <w:r w:rsidR="000636C2">
        <w:rPr>
          <w:rFonts w:eastAsia="Times New Roman" w:hint="cs"/>
          <w:rtl/>
        </w:rPr>
        <w:t>،</w:t>
      </w:r>
      <w:r>
        <w:rPr>
          <w:rFonts w:eastAsia="Times New Roman" w:hint="cs"/>
          <w:rtl/>
        </w:rPr>
        <w:t xml:space="preserve"> فلم ينته</w:t>
      </w:r>
      <w:r w:rsidR="000636C2">
        <w:rPr>
          <w:rFonts w:eastAsia="Times New Roman" w:hint="cs"/>
          <w:rtl/>
        </w:rPr>
        <w:t>،</w:t>
      </w:r>
      <w:r>
        <w:rPr>
          <w:rFonts w:eastAsia="Times New Roman" w:hint="cs"/>
          <w:rtl/>
        </w:rPr>
        <w:t xml:space="preserve"> وألّف كثير من علماء الحنابلة وغيرهم رسائل في الردّ عليه وأرسلوها إليه</w:t>
      </w:r>
      <w:r w:rsidR="000636C2">
        <w:rPr>
          <w:rFonts w:eastAsia="Times New Roman" w:hint="cs"/>
          <w:rtl/>
        </w:rPr>
        <w:t>،</w:t>
      </w:r>
      <w:r>
        <w:rPr>
          <w:rFonts w:eastAsia="Times New Roman" w:hint="cs"/>
          <w:rtl/>
        </w:rPr>
        <w:t xml:space="preserve"> فلم ينته " أهـ</w:t>
      </w:r>
      <w:r w:rsidR="000636C2">
        <w:rPr>
          <w:rFonts w:eastAsia="Times New Roman" w:hint="cs"/>
          <w:rtl/>
        </w:rPr>
        <w:t xml:space="preserve"> [</w:t>
      </w:r>
      <w:r>
        <w:rPr>
          <w:rFonts w:eastAsia="Times New Roman" w:hint="cs"/>
          <w:rtl/>
        </w:rPr>
        <w:t>الدرر السنية في الرد على الوهابية</w:t>
      </w:r>
      <w:r w:rsidR="000636C2">
        <w:rPr>
          <w:rFonts w:eastAsia="Times New Roman" w:hint="cs"/>
          <w:rtl/>
        </w:rPr>
        <w:t>،</w:t>
      </w:r>
      <w:r>
        <w:rPr>
          <w:rFonts w:eastAsia="Times New Roman" w:hint="cs"/>
          <w:rtl/>
        </w:rPr>
        <w:t xml:space="preserve"> ص ٣٩ ـ ٤٠</w:t>
      </w:r>
      <w:r w:rsidR="000636C2">
        <w:rPr>
          <w:rFonts w:eastAsia="Times New Roman" w:hint="cs"/>
          <w:rtl/>
        </w:rPr>
        <w:t>]،</w:t>
      </w:r>
      <w:r>
        <w:rPr>
          <w:rFonts w:eastAsia="Times New Roman" w:hint="cs"/>
          <w:rtl/>
        </w:rPr>
        <w:t xml:space="preserve"> وقال جميل صدقي الزهاوي</w:t>
      </w:r>
      <w:r w:rsidR="000636C2">
        <w:rPr>
          <w:rFonts w:eastAsia="Times New Roman" w:hint="cs"/>
          <w:rtl/>
        </w:rPr>
        <w:t xml:space="preserve">: </w:t>
      </w:r>
      <w:r>
        <w:rPr>
          <w:rFonts w:eastAsia="Times New Roman" w:hint="cs"/>
          <w:rtl/>
        </w:rPr>
        <w:t>كان محمد بن عبدالوهاب يسمي جماعته من أهل بلده</w:t>
      </w:r>
      <w:r w:rsidR="000636C2">
        <w:rPr>
          <w:rFonts w:eastAsia="Times New Roman" w:hint="cs"/>
          <w:rtl/>
        </w:rPr>
        <w:t>،</w:t>
      </w:r>
      <w:r>
        <w:rPr>
          <w:rFonts w:eastAsia="Times New Roman" w:hint="cs"/>
          <w:rtl/>
        </w:rPr>
        <w:t xml:space="preserve"> الأنصار; وكان يسمي متابعيه من الخارج</w:t>
      </w:r>
      <w:r w:rsidR="000636C2">
        <w:rPr>
          <w:rFonts w:eastAsia="Times New Roman" w:hint="cs"/>
          <w:rtl/>
        </w:rPr>
        <w:t>،</w:t>
      </w:r>
      <w:r>
        <w:rPr>
          <w:rFonts w:eastAsia="Times New Roman" w:hint="cs"/>
          <w:rtl/>
        </w:rPr>
        <w:t xml:space="preserve"> المهاجرين; وكان يأمر من حج حجة الإسلام قبل اتّباعه أن يحج ثانياً قائلا إنّ حجتك الأُولى غير مقبولة لأنك حججتها وأنت مشرك</w:t>
      </w:r>
      <w:r w:rsidR="000636C2">
        <w:rPr>
          <w:rFonts w:eastAsia="Times New Roman" w:hint="cs"/>
          <w:rtl/>
        </w:rPr>
        <w:t>،</w:t>
      </w:r>
      <w:r>
        <w:rPr>
          <w:rFonts w:eastAsia="Times New Roman" w:hint="cs"/>
          <w:rtl/>
        </w:rPr>
        <w:t xml:space="preserve"> ويقول لمن أراد أن يدخل في دينه</w:t>
      </w:r>
      <w:r w:rsidR="000636C2">
        <w:rPr>
          <w:rFonts w:eastAsia="Times New Roman" w:hint="cs"/>
          <w:rtl/>
        </w:rPr>
        <w:t xml:space="preserve">: </w:t>
      </w:r>
      <w:r>
        <w:rPr>
          <w:rFonts w:eastAsia="Times New Roman" w:hint="cs"/>
          <w:rtl/>
        </w:rPr>
        <w:t>اشهد على نفسك أنك كنت كافراً</w:t>
      </w:r>
      <w:r w:rsidR="000636C2">
        <w:rPr>
          <w:rFonts w:eastAsia="Times New Roman" w:hint="cs"/>
          <w:rtl/>
        </w:rPr>
        <w:t>،</w:t>
      </w:r>
      <w:r>
        <w:rPr>
          <w:rFonts w:eastAsia="Times New Roman" w:hint="cs"/>
          <w:rtl/>
        </w:rPr>
        <w:t xml:space="preserve"> واشهد على والديك أنهما ماتا كافرين</w:t>
      </w:r>
      <w:r w:rsidR="000636C2">
        <w:rPr>
          <w:rFonts w:eastAsia="Times New Roman" w:hint="cs"/>
          <w:rtl/>
        </w:rPr>
        <w:t>،</w:t>
      </w:r>
      <w:r>
        <w:rPr>
          <w:rFonts w:eastAsia="Times New Roman" w:hint="cs"/>
          <w:rtl/>
        </w:rPr>
        <w:t xml:space="preserve"> واشهد على فلان وفلان </w:t>
      </w:r>
      <w:r w:rsidR="000636C2">
        <w:rPr>
          <w:rFonts w:eastAsia="Times New Roman" w:hint="cs"/>
          <w:rtl/>
        </w:rPr>
        <w:t>(</w:t>
      </w:r>
      <w:r>
        <w:rPr>
          <w:rFonts w:eastAsia="Times New Roman" w:hint="cs"/>
          <w:rtl/>
        </w:rPr>
        <w:t>يسمي جماعة من أكابر العلماء الماضين</w:t>
      </w:r>
      <w:r w:rsidR="000636C2">
        <w:rPr>
          <w:rFonts w:eastAsia="Times New Roman" w:hint="cs"/>
          <w:rtl/>
        </w:rPr>
        <w:t xml:space="preserve">) </w:t>
      </w:r>
      <w:r>
        <w:rPr>
          <w:rFonts w:eastAsia="Times New Roman" w:hint="cs"/>
          <w:rtl/>
        </w:rPr>
        <w:t>أنهم كانوا كفاراً</w:t>
      </w:r>
      <w:r w:rsidR="000636C2">
        <w:rPr>
          <w:rFonts w:eastAsia="Times New Roman" w:hint="cs"/>
          <w:rtl/>
        </w:rPr>
        <w:t>،</w:t>
      </w:r>
      <w:r>
        <w:rPr>
          <w:rFonts w:eastAsia="Times New Roman" w:hint="cs"/>
          <w:rtl/>
        </w:rPr>
        <w:t xml:space="preserve"> فإن شهد بذلك قبله</w:t>
      </w:r>
      <w:r w:rsidR="000636C2">
        <w:rPr>
          <w:rFonts w:eastAsia="Times New Roman" w:hint="cs"/>
          <w:rtl/>
        </w:rPr>
        <w:t>،</w:t>
      </w:r>
      <w:r>
        <w:rPr>
          <w:rFonts w:eastAsia="Times New Roman" w:hint="cs"/>
          <w:rtl/>
        </w:rPr>
        <w:t xml:space="preserve"> وكان يصرّح بتكفير الاُمة منذ ستمائة سنة</w:t>
      </w:r>
      <w:r w:rsidR="000636C2">
        <w:rPr>
          <w:rFonts w:eastAsia="Times New Roman" w:hint="cs"/>
          <w:rtl/>
        </w:rPr>
        <w:t>،</w:t>
      </w:r>
      <w:r>
        <w:rPr>
          <w:rFonts w:eastAsia="Times New Roman" w:hint="cs"/>
          <w:rtl/>
        </w:rPr>
        <w:t xml:space="preserve"> ويكفّر كل من لا يتبعه وإن كان من أتقى المسلمين</w:t>
      </w:r>
      <w:r w:rsidR="000636C2">
        <w:rPr>
          <w:rFonts w:eastAsia="Times New Roman" w:hint="cs"/>
          <w:rtl/>
        </w:rPr>
        <w:t>،</w:t>
      </w:r>
      <w:r>
        <w:rPr>
          <w:rFonts w:eastAsia="Times New Roman" w:hint="cs"/>
          <w:rtl/>
        </w:rPr>
        <w:t xml:space="preserve"> ويسميهم مشركين</w:t>
      </w:r>
      <w:r w:rsidR="000636C2">
        <w:rPr>
          <w:rFonts w:eastAsia="Times New Roman" w:hint="cs"/>
          <w:rtl/>
        </w:rPr>
        <w:t>،</w:t>
      </w:r>
      <w:r>
        <w:rPr>
          <w:rFonts w:eastAsia="Times New Roman" w:hint="cs"/>
          <w:rtl/>
        </w:rPr>
        <w:t xml:space="preserve"> ويستحل دماءهم وأموالهم</w:t>
      </w:r>
      <w:r w:rsidR="000636C2">
        <w:rPr>
          <w:rFonts w:eastAsia="Times New Roman" w:hint="cs"/>
          <w:rtl/>
        </w:rPr>
        <w:t>،</w:t>
      </w:r>
      <w:r>
        <w:rPr>
          <w:rFonts w:eastAsia="Times New Roman" w:hint="cs"/>
          <w:rtl/>
        </w:rPr>
        <w:t xml:space="preserve"> ويثبت الإيمان لمن اتّبعه</w:t>
      </w:r>
      <w:r w:rsidR="000636C2">
        <w:rPr>
          <w:rFonts w:eastAsia="Times New Roman" w:hint="cs"/>
          <w:rtl/>
        </w:rPr>
        <w:t>،</w:t>
      </w:r>
      <w:r>
        <w:rPr>
          <w:rFonts w:eastAsia="Times New Roman" w:hint="cs"/>
          <w:rtl/>
        </w:rPr>
        <w:t xml:space="preserve"> وكان يكره الصلاة على النبي بعد الأذان</w:t>
      </w:r>
      <w:r w:rsidR="000636C2">
        <w:rPr>
          <w:rFonts w:eastAsia="Times New Roman" w:hint="cs"/>
          <w:rtl/>
        </w:rPr>
        <w:t>،</w:t>
      </w:r>
      <w:r>
        <w:rPr>
          <w:rFonts w:eastAsia="Times New Roman" w:hint="cs"/>
          <w:rtl/>
        </w:rPr>
        <w:t xml:space="preserve"> وينهى عن ذكرها ليلة الجمعة وعن الجهر بها على المنابر</w:t>
      </w:r>
      <w:r w:rsidR="000636C2">
        <w:rPr>
          <w:rFonts w:eastAsia="Times New Roman" w:hint="cs"/>
          <w:rtl/>
        </w:rPr>
        <w:t>،</w:t>
      </w:r>
      <w:r>
        <w:rPr>
          <w:rFonts w:eastAsia="Times New Roman" w:hint="cs"/>
          <w:rtl/>
        </w:rPr>
        <w:t xml:space="preserve"> ويعاقب من يفعل ذلك عقاباً شديداً</w:t>
      </w:r>
      <w:r w:rsidR="000636C2">
        <w:rPr>
          <w:rFonts w:eastAsia="Times New Roman" w:hint="cs"/>
          <w:rtl/>
        </w:rPr>
        <w:t>،</w:t>
      </w:r>
      <w:r>
        <w:rPr>
          <w:rFonts w:eastAsia="Times New Roman" w:hint="cs"/>
          <w:rtl/>
        </w:rPr>
        <w:t xml:space="preserve"> حتّى أنه قتل رجلا أعمى مؤذناً لم ينته عن الصلاة على النبي بعد الأذان</w:t>
      </w:r>
      <w:r w:rsidR="000636C2">
        <w:rPr>
          <w:rFonts w:eastAsia="Times New Roman" w:hint="cs"/>
          <w:rtl/>
        </w:rPr>
        <w:t>،</w:t>
      </w:r>
      <w:r>
        <w:rPr>
          <w:rFonts w:eastAsia="Times New Roman" w:hint="cs"/>
          <w:rtl/>
        </w:rPr>
        <w:t xml:space="preserve"> ويلبس على أتباعه أن ذلك كله محافظة على التوحيد</w:t>
      </w:r>
      <w:r w:rsidR="000636C2">
        <w:rPr>
          <w:rFonts w:eastAsia="Times New Roman" w:hint="cs"/>
          <w:rtl/>
        </w:rPr>
        <w:t xml:space="preserve">، </w:t>
      </w:r>
      <w:r>
        <w:rPr>
          <w:rFonts w:eastAsia="Times New Roman" w:hint="cs"/>
          <w:rtl/>
        </w:rPr>
        <w:t>كان قد أحرق كثيراً من كتب الصلاة على النبي</w:t>
      </w:r>
      <w:r w:rsidR="000636C2">
        <w:rPr>
          <w:rFonts w:eastAsia="Times New Roman" w:hint="cs"/>
          <w:rtl/>
        </w:rPr>
        <w:t>،</w:t>
      </w:r>
      <w:r>
        <w:rPr>
          <w:rFonts w:eastAsia="Times New Roman" w:hint="cs"/>
          <w:rtl/>
        </w:rPr>
        <w:t xml:space="preserve"> كدلائل الخيرات وغيرها</w:t>
      </w:r>
      <w:r w:rsidR="000636C2">
        <w:rPr>
          <w:rFonts w:eastAsia="Times New Roman" w:hint="cs"/>
          <w:rtl/>
        </w:rPr>
        <w:t>،</w:t>
      </w:r>
      <w:r>
        <w:rPr>
          <w:rFonts w:eastAsia="Times New Roman" w:hint="cs"/>
          <w:rtl/>
        </w:rPr>
        <w:t xml:space="preserve"> وكذلك أحرق كثيراً من كتب الفقه والتفسير والحديث مما هو مخالف لأباطيله " أهـ</w:t>
      </w:r>
      <w:r w:rsidR="000636C2">
        <w:rPr>
          <w:rFonts w:eastAsia="Times New Roman" w:hint="cs"/>
          <w:rtl/>
        </w:rPr>
        <w:t xml:space="preserve"> [</w:t>
      </w:r>
      <w:r>
        <w:rPr>
          <w:rFonts w:eastAsia="Times New Roman" w:hint="cs"/>
          <w:rtl/>
        </w:rPr>
        <w:t>الفجر الصادق</w:t>
      </w:r>
      <w:r w:rsidR="000636C2">
        <w:rPr>
          <w:rFonts w:eastAsia="Times New Roman" w:hint="cs"/>
          <w:rtl/>
        </w:rPr>
        <w:t>،</w:t>
      </w:r>
      <w:r>
        <w:rPr>
          <w:rFonts w:eastAsia="Times New Roman" w:hint="cs"/>
          <w:rtl/>
        </w:rPr>
        <w:t xml:space="preserve"> ص ١٧ ـ ١٨</w:t>
      </w:r>
      <w:r w:rsidR="000636C2">
        <w:rPr>
          <w:rFonts w:eastAsia="Times New Roman" w:hint="cs"/>
          <w:rtl/>
        </w:rPr>
        <w:t>]،</w:t>
      </w:r>
    </w:p>
    <w:p w14:paraId="27CDFB1D" w14:textId="09F21D0F" w:rsidR="009C32A0" w:rsidRDefault="009C32A0" w:rsidP="000636C2">
      <w:pPr>
        <w:ind w:left="-58"/>
        <w:rPr>
          <w:b/>
          <w:rtl/>
        </w:rPr>
      </w:pPr>
      <w:r>
        <w:rPr>
          <w:rFonts w:hint="cs"/>
          <w:bCs/>
          <w:rtl/>
          <w:lang w:bidi="ar-KW"/>
        </w:rPr>
        <w:lastRenderedPageBreak/>
        <w:t>مآسي المسلمين من غلو بعض الوهابيين</w:t>
      </w:r>
      <w:r w:rsidR="000636C2">
        <w:rPr>
          <w:rFonts w:hint="cs"/>
          <w:rtl/>
          <w:lang w:bidi="ar-KW"/>
        </w:rPr>
        <w:t xml:space="preserve">: </w:t>
      </w:r>
      <w:r>
        <w:rPr>
          <w:rFonts w:hint="cs"/>
          <w:rtl/>
        </w:rPr>
        <w:t>ترتب على غلو الوهابيين في فهم مسائل وأحكام التوحيد والشرك</w:t>
      </w:r>
      <w:r w:rsidR="000636C2">
        <w:rPr>
          <w:rFonts w:hint="cs"/>
          <w:rtl/>
        </w:rPr>
        <w:t xml:space="preserve">: </w:t>
      </w:r>
      <w:r>
        <w:rPr>
          <w:rFonts w:hint="cs"/>
          <w:rtl/>
        </w:rPr>
        <w:t>استحلال دماء المسلمين</w:t>
      </w:r>
      <w:r w:rsidR="000636C2">
        <w:rPr>
          <w:rFonts w:hint="cs"/>
          <w:rtl/>
        </w:rPr>
        <w:t>،</w:t>
      </w:r>
      <w:r>
        <w:rPr>
          <w:rFonts w:hint="cs"/>
          <w:rtl/>
        </w:rPr>
        <w:t xml:space="preserve"> لغير سبب شرعي صحيح</w:t>
      </w:r>
      <w:r w:rsidR="000636C2">
        <w:rPr>
          <w:rFonts w:hint="cs"/>
          <w:rtl/>
        </w:rPr>
        <w:t>،</w:t>
      </w:r>
      <w:r>
        <w:rPr>
          <w:rFonts w:hint="cs"/>
          <w:rtl/>
        </w:rPr>
        <w:t xml:space="preserve"> وإليك الأمثلة</w:t>
      </w:r>
      <w:r w:rsidR="000636C2">
        <w:rPr>
          <w:rFonts w:hint="cs"/>
          <w:rtl/>
        </w:rPr>
        <w:t>: (</w:t>
      </w:r>
      <w:r>
        <w:rPr>
          <w:rFonts w:hint="cs"/>
          <w:rtl/>
        </w:rPr>
        <w:t>أ</w:t>
      </w:r>
      <w:r w:rsidR="000636C2">
        <w:rPr>
          <w:rFonts w:hint="cs"/>
          <w:rtl/>
        </w:rPr>
        <w:t xml:space="preserve">) </w:t>
      </w:r>
      <w:r>
        <w:rPr>
          <w:rFonts w:hint="cs"/>
          <w:rtl/>
        </w:rPr>
        <w:t>هاجم الوهابية الطائف ليحرروها من الشرك</w:t>
      </w:r>
      <w:r w:rsidR="000636C2">
        <w:rPr>
          <w:rFonts w:hint="cs"/>
          <w:rtl/>
        </w:rPr>
        <w:t>!</w:t>
      </w:r>
      <w:r>
        <w:rPr>
          <w:rFonts w:hint="cs"/>
          <w:rtl/>
        </w:rPr>
        <w:t>! وكانت تحت حكم الشريف غالب حاكم مكة</w:t>
      </w:r>
      <w:r w:rsidR="000636C2">
        <w:rPr>
          <w:rFonts w:hint="cs"/>
          <w:rtl/>
        </w:rPr>
        <w:t>،</w:t>
      </w:r>
      <w:r>
        <w:rPr>
          <w:rFonts w:hint="cs"/>
          <w:rtl/>
        </w:rPr>
        <w:t xml:space="preserve"> ودخلوها عنوة في ذي القعدة 1217هـ/18</w:t>
      </w:r>
      <w:r w:rsidR="000636C2">
        <w:rPr>
          <w:rFonts w:hint="cs"/>
          <w:rtl/>
        </w:rPr>
        <w:t>،</w:t>
      </w:r>
      <w:r>
        <w:rPr>
          <w:rFonts w:hint="cs"/>
          <w:rtl/>
        </w:rPr>
        <w:t xml:space="preserve"> 2م فقتلوا الناس بدون تمييز بين رجل وامرأة وطفل ؛ حتى انهم كانوا يذبحون الرضيع على صدر أمه</w:t>
      </w:r>
      <w:r w:rsidR="000636C2">
        <w:rPr>
          <w:rFonts w:hint="cs"/>
          <w:rtl/>
        </w:rPr>
        <w:t>،</w:t>
      </w:r>
      <w:r>
        <w:rPr>
          <w:rFonts w:hint="cs"/>
          <w:rtl/>
        </w:rPr>
        <w:t xml:space="preserve"> كما قتلوا من وجدوا في المساجد والبيوت ولاحقوا الفارين من المدينة فقتلوا أكثرهم</w:t>
      </w:r>
      <w:r w:rsidR="000636C2">
        <w:rPr>
          <w:rFonts w:hint="cs"/>
          <w:rtl/>
        </w:rPr>
        <w:t>،</w:t>
      </w:r>
      <w:r>
        <w:rPr>
          <w:rFonts w:hint="cs"/>
          <w:rtl/>
        </w:rPr>
        <w:t xml:space="preserve"> وأعطوا الأمان للبعض فلما استسلموا ضربوا أعناق فريق منهم</w:t>
      </w:r>
      <w:r w:rsidR="000636C2">
        <w:rPr>
          <w:rFonts w:hint="cs"/>
          <w:rtl/>
        </w:rPr>
        <w:t>،</w:t>
      </w:r>
      <w:r>
        <w:rPr>
          <w:rFonts w:hint="cs"/>
          <w:rtl/>
        </w:rPr>
        <w:t xml:space="preserve"> وأخرجوا فريقاً إلى أحد الأودية</w:t>
      </w:r>
      <w:r w:rsidR="000636C2">
        <w:rPr>
          <w:rFonts w:hint="cs"/>
          <w:rtl/>
        </w:rPr>
        <w:t>،</w:t>
      </w:r>
      <w:r>
        <w:rPr>
          <w:rFonts w:hint="cs"/>
          <w:rtl/>
        </w:rPr>
        <w:t xml:space="preserve"> واسمه وادي الوج</w:t>
      </w:r>
      <w:r w:rsidR="000636C2">
        <w:rPr>
          <w:rFonts w:hint="cs"/>
          <w:rtl/>
        </w:rPr>
        <w:t>،</w:t>
      </w:r>
      <w:r>
        <w:rPr>
          <w:rFonts w:hint="cs"/>
          <w:rtl/>
        </w:rPr>
        <w:t xml:space="preserve"> فتركوهم مكشوفي العورة ومعهم النساء</w:t>
      </w:r>
      <w:r w:rsidR="000636C2">
        <w:rPr>
          <w:rFonts w:hint="cs"/>
          <w:rtl/>
        </w:rPr>
        <w:t>،</w:t>
      </w:r>
      <w:r>
        <w:rPr>
          <w:rFonts w:hint="cs"/>
          <w:rtl/>
        </w:rPr>
        <w:t xml:space="preserve"> ويذكر المؤرخ الشهير عبدالرحمن الجبرتي - وهو ذو هوى وهابي - في كتابه </w:t>
      </w:r>
      <w:r w:rsidR="000636C2">
        <w:rPr>
          <w:rFonts w:hint="cs"/>
          <w:rtl/>
        </w:rPr>
        <w:t>(</w:t>
      </w:r>
      <w:r>
        <w:rPr>
          <w:rFonts w:hint="cs"/>
          <w:rtl/>
        </w:rPr>
        <w:t>تاريخ عجائب الآثار في التراجم والأخبار</w:t>
      </w:r>
      <w:r w:rsidR="000636C2">
        <w:rPr>
          <w:rFonts w:hint="cs"/>
          <w:rtl/>
        </w:rPr>
        <w:t xml:space="preserve">) </w:t>
      </w:r>
      <w:r>
        <w:rPr>
          <w:rFonts w:hint="cs"/>
          <w:rtl/>
        </w:rPr>
        <w:t xml:space="preserve">أنهم </w:t>
      </w:r>
      <w:r w:rsidR="000636C2">
        <w:rPr>
          <w:rFonts w:hint="cs"/>
          <w:rtl/>
        </w:rPr>
        <w:t>(</w:t>
      </w:r>
      <w:r>
        <w:rPr>
          <w:rFonts w:hint="cs"/>
          <w:rtl/>
        </w:rPr>
        <w:t>حاربوا الطائف وحاربهم أهلها ثلاثة أيام حتى غلبوا فأخذ البلدة الوهابيون</w:t>
      </w:r>
      <w:r w:rsidR="000636C2">
        <w:rPr>
          <w:rFonts w:hint="cs"/>
          <w:rtl/>
        </w:rPr>
        <w:t>،</w:t>
      </w:r>
      <w:r>
        <w:rPr>
          <w:rFonts w:hint="cs"/>
          <w:rtl/>
        </w:rPr>
        <w:t xml:space="preserve"> واستولوا عليها عنوة</w:t>
      </w:r>
      <w:r w:rsidR="000636C2">
        <w:rPr>
          <w:rFonts w:hint="cs"/>
          <w:rtl/>
        </w:rPr>
        <w:t>،</w:t>
      </w:r>
      <w:r>
        <w:rPr>
          <w:rFonts w:hint="cs"/>
          <w:rtl/>
        </w:rPr>
        <w:t xml:space="preserve"> وقتلوا الرجال وأسروا النساء والأطفال</w:t>
      </w:r>
      <w:r w:rsidR="000636C2">
        <w:rPr>
          <w:rFonts w:hint="cs"/>
          <w:rtl/>
        </w:rPr>
        <w:t>،</w:t>
      </w:r>
      <w:r>
        <w:rPr>
          <w:rFonts w:hint="cs"/>
          <w:rtl/>
        </w:rPr>
        <w:t xml:space="preserve"> وهذا رأيهم مع من يحاربهم</w:t>
      </w:r>
      <w:r w:rsidR="000636C2">
        <w:rPr>
          <w:rFonts w:hint="cs"/>
          <w:rtl/>
        </w:rPr>
        <w:t>) [</w:t>
      </w:r>
      <w:r>
        <w:rPr>
          <w:rFonts w:hint="cs"/>
          <w:rtl/>
        </w:rPr>
        <w:t>من أخبار الحجاز ونجد في تاريخ الجبرتي ص 9</w:t>
      </w:r>
      <w:r w:rsidR="000636C2">
        <w:rPr>
          <w:rFonts w:hint="cs"/>
          <w:rtl/>
        </w:rPr>
        <w:t>،]،</w:t>
      </w:r>
      <w:r>
        <w:rPr>
          <w:rFonts w:hint="cs"/>
          <w:rtl/>
        </w:rPr>
        <w:t xml:space="preserve"> </w:t>
      </w:r>
      <w:r w:rsidR="000636C2">
        <w:rPr>
          <w:rFonts w:hint="cs"/>
          <w:rtl/>
        </w:rPr>
        <w:t>(</w:t>
      </w:r>
      <w:r>
        <w:rPr>
          <w:rFonts w:hint="cs"/>
          <w:rtl/>
        </w:rPr>
        <w:t>ب</w:t>
      </w:r>
      <w:r w:rsidR="000636C2">
        <w:rPr>
          <w:rFonts w:hint="cs"/>
          <w:rtl/>
        </w:rPr>
        <w:t xml:space="preserve">) </w:t>
      </w:r>
      <w:r>
        <w:rPr>
          <w:rFonts w:hint="cs"/>
          <w:rtl/>
        </w:rPr>
        <w:t>احتلال مكة المكرمة</w:t>
      </w:r>
      <w:r w:rsidR="000636C2">
        <w:rPr>
          <w:rFonts w:hint="cs"/>
          <w:rtl/>
        </w:rPr>
        <w:t xml:space="preserve">: </w:t>
      </w:r>
      <w:r>
        <w:rPr>
          <w:rFonts w:hint="cs"/>
          <w:rtl/>
        </w:rPr>
        <w:t>بعد إرعاب أهل الحجاز بقتل النساء والأطفال خلال احتلال الوهابية للطائف عام 1217 هـ / 18</w:t>
      </w:r>
      <w:r w:rsidR="000636C2">
        <w:rPr>
          <w:rFonts w:hint="cs"/>
          <w:rtl/>
        </w:rPr>
        <w:t>،</w:t>
      </w:r>
      <w:r>
        <w:rPr>
          <w:rFonts w:hint="cs"/>
          <w:rtl/>
        </w:rPr>
        <w:t xml:space="preserve"> 2 م</w:t>
      </w:r>
      <w:r w:rsidR="000636C2">
        <w:rPr>
          <w:rFonts w:hint="cs"/>
          <w:rtl/>
        </w:rPr>
        <w:t>،</w:t>
      </w:r>
      <w:r>
        <w:rPr>
          <w:rFonts w:hint="cs"/>
          <w:rtl/>
        </w:rPr>
        <w:t xml:space="preserve"> بدأوا بمهاجمة مكة المكرمة بعد استيلائهم على الطائف مباشرة فدخلوها سنة 1218هـ/18</w:t>
      </w:r>
      <w:r w:rsidR="000636C2">
        <w:rPr>
          <w:rFonts w:hint="cs"/>
          <w:rtl/>
        </w:rPr>
        <w:t>،</w:t>
      </w:r>
      <w:r>
        <w:rPr>
          <w:rFonts w:hint="cs"/>
          <w:rtl/>
        </w:rPr>
        <w:t xml:space="preserve"> 3م كما ذكر ذلك عبدالله بن الشريف حسين في </w:t>
      </w:r>
      <w:r w:rsidR="000636C2">
        <w:rPr>
          <w:rFonts w:hint="cs"/>
          <w:rtl/>
        </w:rPr>
        <w:t>(</w:t>
      </w:r>
      <w:r>
        <w:rPr>
          <w:rFonts w:hint="cs"/>
          <w:rtl/>
        </w:rPr>
        <w:t>صدق الخبر في خوارج القرن الثاني عشر</w:t>
      </w:r>
      <w:r w:rsidR="000636C2">
        <w:rPr>
          <w:rFonts w:hint="cs"/>
          <w:rtl/>
        </w:rPr>
        <w:t>)،</w:t>
      </w:r>
      <w:r>
        <w:rPr>
          <w:rFonts w:hint="cs"/>
          <w:rtl/>
        </w:rPr>
        <w:t xml:space="preserve"> أما مؤرخ الوهابية عثمان بن بشر الحنبلي النجدي فيذكر ذلك في أحداث سنة 122</w:t>
      </w:r>
      <w:r w:rsidR="000636C2">
        <w:rPr>
          <w:rFonts w:hint="cs"/>
          <w:rtl/>
        </w:rPr>
        <w:t>،</w:t>
      </w:r>
      <w:r>
        <w:rPr>
          <w:rFonts w:hint="cs"/>
          <w:rtl/>
        </w:rPr>
        <w:t xml:space="preserve"> هـ</w:t>
      </w:r>
      <w:r w:rsidR="000636C2">
        <w:rPr>
          <w:rFonts w:hint="cs"/>
          <w:rtl/>
        </w:rPr>
        <w:t>،</w:t>
      </w:r>
      <w:r>
        <w:rPr>
          <w:rFonts w:hint="cs"/>
          <w:rtl/>
        </w:rPr>
        <w:t xml:space="preserve"> ومن أحداث تلك الفترة المشؤومة في محرم 122</w:t>
      </w:r>
      <w:r w:rsidR="000636C2">
        <w:rPr>
          <w:rFonts w:hint="cs"/>
          <w:rtl/>
        </w:rPr>
        <w:t>،</w:t>
      </w:r>
      <w:r>
        <w:rPr>
          <w:rFonts w:hint="cs"/>
          <w:rtl/>
        </w:rPr>
        <w:t xml:space="preserve"> هـ / 18</w:t>
      </w:r>
      <w:r w:rsidR="000636C2">
        <w:rPr>
          <w:rFonts w:hint="cs"/>
          <w:rtl/>
        </w:rPr>
        <w:t>،</w:t>
      </w:r>
      <w:r>
        <w:rPr>
          <w:rFonts w:hint="cs"/>
          <w:rtl/>
        </w:rPr>
        <w:t xml:space="preserve"> 5م أن الوهابية راحوا يقتلون الحاج ويأسرون من يمر بهم</w:t>
      </w:r>
      <w:r w:rsidR="000636C2">
        <w:rPr>
          <w:rFonts w:hint="cs"/>
          <w:rtl/>
        </w:rPr>
        <w:t>،</w:t>
      </w:r>
      <w:r>
        <w:rPr>
          <w:rFonts w:hint="cs"/>
          <w:rtl/>
        </w:rPr>
        <w:t xml:space="preserve"> واشتدَّ الغلاء في مكة بشكل فاحش لم تشهده من قبل حتى باع أهل مكة أثاثهم وحلي نسائهم بعشر القيمة ؛ ليشتروا أقوات أطفالهم بأضعاف أثمانها</w:t>
      </w:r>
      <w:r w:rsidR="000636C2">
        <w:rPr>
          <w:rFonts w:hint="cs"/>
          <w:rtl/>
        </w:rPr>
        <w:t xml:space="preserve">، </w:t>
      </w:r>
      <w:r>
        <w:rPr>
          <w:rFonts w:hint="cs"/>
          <w:rtl/>
        </w:rPr>
        <w:t>ومات الكثير من أهل مكة جوعا وانتشرت جثث الأطفال في الأزقة</w:t>
      </w:r>
      <w:r w:rsidR="000636C2">
        <w:rPr>
          <w:rFonts w:hint="cs"/>
          <w:rtl/>
        </w:rPr>
        <w:t>،</w:t>
      </w:r>
      <w:r>
        <w:rPr>
          <w:rFonts w:hint="cs"/>
          <w:rtl/>
        </w:rPr>
        <w:t xml:space="preserve"> بل وكما يذكر مؤرخ الوهابية عثمان النجدي في كتابه عنوان المجد في تاريخ نجد </w:t>
      </w:r>
      <w:r w:rsidR="000636C2">
        <w:rPr>
          <w:rFonts w:hint="cs"/>
          <w:rtl/>
        </w:rPr>
        <w:t>(</w:t>
      </w:r>
      <w:r>
        <w:rPr>
          <w:rFonts w:hint="cs"/>
          <w:rtl/>
        </w:rPr>
        <w:t>ج10 ص 135</w:t>
      </w:r>
      <w:r w:rsidR="000636C2">
        <w:rPr>
          <w:rFonts w:hint="cs"/>
          <w:rtl/>
        </w:rPr>
        <w:t xml:space="preserve">) </w:t>
      </w:r>
      <w:r>
        <w:rPr>
          <w:rFonts w:hint="cs"/>
          <w:rtl/>
        </w:rPr>
        <w:t>أن لحوم الحمير والجيف بيعت فيها بأغلى الأثمان</w:t>
      </w:r>
      <w:r w:rsidR="000636C2">
        <w:rPr>
          <w:rFonts w:hint="cs"/>
          <w:rtl/>
        </w:rPr>
        <w:t>،</w:t>
      </w:r>
      <w:r>
        <w:rPr>
          <w:rFonts w:hint="cs"/>
          <w:rtl/>
        </w:rPr>
        <w:t xml:space="preserve"> وأكلت الكلاب</w:t>
      </w:r>
      <w:r w:rsidR="000636C2">
        <w:rPr>
          <w:rFonts w:hint="cs"/>
          <w:rtl/>
        </w:rPr>
        <w:t>،</w:t>
      </w:r>
      <w:r>
        <w:rPr>
          <w:rFonts w:hint="cs"/>
          <w:rtl/>
        </w:rPr>
        <w:t xml:space="preserve"> وأخذ الناس يهجرونها نتيجة الخطر الجاثم على أطرافها</w:t>
      </w:r>
      <w:r w:rsidR="000636C2">
        <w:rPr>
          <w:rFonts w:hint="cs"/>
          <w:rtl/>
        </w:rPr>
        <w:t>،</w:t>
      </w:r>
      <w:r>
        <w:rPr>
          <w:rFonts w:hint="cs"/>
          <w:rtl/>
        </w:rPr>
        <w:t xml:space="preserve"> فلم يبق فيها إلا النادر من الناس</w:t>
      </w:r>
      <w:r w:rsidR="000636C2">
        <w:rPr>
          <w:rFonts w:hint="cs"/>
          <w:rtl/>
        </w:rPr>
        <w:t>، (</w:t>
      </w:r>
      <w:r>
        <w:rPr>
          <w:rFonts w:hint="cs"/>
          <w:rtl/>
        </w:rPr>
        <w:t>ت</w:t>
      </w:r>
      <w:r w:rsidR="000636C2">
        <w:rPr>
          <w:rFonts w:hint="cs"/>
          <w:rtl/>
        </w:rPr>
        <w:t xml:space="preserve">) </w:t>
      </w:r>
      <w:r>
        <w:rPr>
          <w:rFonts w:hint="cs"/>
          <w:rtl/>
        </w:rPr>
        <w:t>منع الحجاج من الوصول إلى بيت الله الحرام</w:t>
      </w:r>
      <w:r w:rsidR="000636C2">
        <w:rPr>
          <w:rFonts w:hint="cs"/>
          <w:rtl/>
        </w:rPr>
        <w:t xml:space="preserve">: </w:t>
      </w:r>
      <w:r>
        <w:rPr>
          <w:rFonts w:hint="cs"/>
          <w:rtl/>
        </w:rPr>
        <w:t xml:space="preserve">يذكر المؤرخ عثمان بن بشر الحنبلي في كتابه </w:t>
      </w:r>
      <w:r w:rsidR="000636C2">
        <w:rPr>
          <w:rFonts w:hint="cs"/>
          <w:rtl/>
        </w:rPr>
        <w:t>(</w:t>
      </w:r>
      <w:r>
        <w:rPr>
          <w:rFonts w:hint="cs"/>
          <w:rtl/>
        </w:rPr>
        <w:t>عنوان المجد في تاريخ نجد</w:t>
      </w:r>
      <w:r w:rsidR="000636C2">
        <w:rPr>
          <w:rFonts w:hint="cs"/>
          <w:rtl/>
        </w:rPr>
        <w:t xml:space="preserve">) </w:t>
      </w:r>
      <w:r>
        <w:rPr>
          <w:rFonts w:hint="cs"/>
          <w:rtl/>
        </w:rPr>
        <w:t>من أحداث 1221 هـ الحادثة التالية ص 139</w:t>
      </w:r>
      <w:r w:rsidR="000636C2">
        <w:rPr>
          <w:rFonts w:hint="cs"/>
          <w:rtl/>
        </w:rPr>
        <w:t xml:space="preserve">: </w:t>
      </w:r>
      <w:r>
        <w:rPr>
          <w:rFonts w:hint="cs"/>
          <w:rtl/>
        </w:rPr>
        <w:t>" فلما خرج سعود من الدرعية قاصداً مكة أرسل فرَّاج بن شرعان العتيبي</w:t>
      </w:r>
      <w:r w:rsidR="000636C2">
        <w:rPr>
          <w:rFonts w:hint="cs"/>
          <w:rtl/>
        </w:rPr>
        <w:t>،</w:t>
      </w:r>
      <w:r>
        <w:rPr>
          <w:rFonts w:hint="cs"/>
          <w:rtl/>
        </w:rPr>
        <w:t xml:space="preserve"> ورجالا معه … وذكر لهم أن يمنعوا الحواج التي تأتي من جهة الشام واسطنبول ونواحيهما</w:t>
      </w:r>
      <w:r w:rsidR="000636C2">
        <w:rPr>
          <w:rFonts w:hint="cs"/>
          <w:rtl/>
        </w:rPr>
        <w:t>،</w:t>
      </w:r>
      <w:r>
        <w:rPr>
          <w:rFonts w:hint="cs"/>
          <w:rtl/>
        </w:rPr>
        <w:t xml:space="preserve"> فلما أقبل على المدينة الحاج الشامي ومن تبعه</w:t>
      </w:r>
      <w:r w:rsidR="000636C2">
        <w:rPr>
          <w:rFonts w:hint="cs"/>
          <w:rtl/>
        </w:rPr>
        <w:t>،</w:t>
      </w:r>
      <w:r>
        <w:rPr>
          <w:rFonts w:hint="cs"/>
          <w:rtl/>
        </w:rPr>
        <w:t xml:space="preserve"> وأميره عبدالله العظم باشا الشام فأرسل إليه هؤلاء الأمراء أن لا يقدم وأن يرجع إلى أوطانه</w:t>
      </w:r>
      <w:r w:rsidR="000636C2">
        <w:rPr>
          <w:rFonts w:hint="cs"/>
          <w:rtl/>
        </w:rPr>
        <w:t>،</w:t>
      </w:r>
      <w:r>
        <w:rPr>
          <w:rFonts w:hint="cs"/>
          <w:rtl/>
        </w:rPr>
        <w:t xml:space="preserve"> ويقول مفتخراً ج1 ص 143 ولم يحج </w:t>
      </w:r>
      <w:r>
        <w:rPr>
          <w:rFonts w:hint="cs"/>
          <w:rtl/>
        </w:rPr>
        <w:lastRenderedPageBreak/>
        <w:t xml:space="preserve">في هذه السنة أحد من أهل الشام ومصر والعراق والمغرب </w:t>
      </w:r>
      <w:r w:rsidR="000636C2">
        <w:rPr>
          <w:rFonts w:hint="cs"/>
          <w:rtl/>
        </w:rPr>
        <w:t>(</w:t>
      </w:r>
      <w:r>
        <w:rPr>
          <w:rFonts w:hint="cs"/>
          <w:rtl/>
        </w:rPr>
        <w:t>أي بلاد المغرب العربي كله</w:t>
      </w:r>
      <w:r w:rsidR="000636C2">
        <w:rPr>
          <w:rFonts w:hint="cs"/>
          <w:rtl/>
        </w:rPr>
        <w:t xml:space="preserve">) </w:t>
      </w:r>
      <w:r>
        <w:rPr>
          <w:rFonts w:hint="cs"/>
          <w:rtl/>
        </w:rPr>
        <w:t>وغيرهم إلا شرذمة قليلة من أهل المغرب لا اسم لهم " أهـ</w:t>
      </w:r>
      <w:r w:rsidR="000636C2">
        <w:rPr>
          <w:rFonts w:hint="cs"/>
          <w:rtl/>
        </w:rPr>
        <w:t>،</w:t>
      </w:r>
      <w:r>
        <w:rPr>
          <w:rFonts w:hint="cs"/>
          <w:rtl/>
        </w:rPr>
        <w:t xml:space="preserve"> </w:t>
      </w:r>
      <w:r w:rsidR="000636C2">
        <w:rPr>
          <w:rFonts w:hint="cs"/>
          <w:rtl/>
        </w:rPr>
        <w:t>(</w:t>
      </w:r>
      <w:r>
        <w:rPr>
          <w:rFonts w:hint="cs"/>
          <w:rtl/>
        </w:rPr>
        <w:t>ث</w:t>
      </w:r>
      <w:r w:rsidR="000636C2">
        <w:rPr>
          <w:rFonts w:hint="cs"/>
          <w:rtl/>
        </w:rPr>
        <w:t xml:space="preserve">) </w:t>
      </w:r>
      <w:r>
        <w:rPr>
          <w:rFonts w:hint="cs"/>
          <w:rtl/>
        </w:rPr>
        <w:t>من مجازر الوهابية ضد الحجيج</w:t>
      </w:r>
      <w:r w:rsidR="000636C2">
        <w:rPr>
          <w:rFonts w:hint="cs"/>
          <w:rtl/>
        </w:rPr>
        <w:t xml:space="preserve">: </w:t>
      </w:r>
      <w:r>
        <w:rPr>
          <w:rFonts w:hint="cs"/>
          <w:rtl/>
        </w:rPr>
        <w:t>في سنة 1341هـ/ 1921م التقت سرية من الوهابيين بحوالي ألف من أبناء اليمن القادمين لأداء فريضة الحج</w:t>
      </w:r>
      <w:r w:rsidR="000636C2">
        <w:rPr>
          <w:rFonts w:hint="cs"/>
          <w:rtl/>
        </w:rPr>
        <w:t>،</w:t>
      </w:r>
      <w:r>
        <w:rPr>
          <w:rFonts w:hint="cs"/>
          <w:rtl/>
        </w:rPr>
        <w:t xml:space="preserve"> فلما وصل الفريقان إلى وادي </w:t>
      </w:r>
      <w:r w:rsidR="000636C2">
        <w:rPr>
          <w:rFonts w:hint="cs"/>
          <w:rtl/>
        </w:rPr>
        <w:t>(</w:t>
      </w:r>
      <w:r>
        <w:rPr>
          <w:rFonts w:hint="cs"/>
          <w:rtl/>
        </w:rPr>
        <w:t>تنومة</w:t>
      </w:r>
      <w:r w:rsidR="000636C2">
        <w:rPr>
          <w:rFonts w:hint="cs"/>
          <w:rtl/>
        </w:rPr>
        <w:t xml:space="preserve">) </w:t>
      </w:r>
      <w:r>
        <w:rPr>
          <w:rFonts w:hint="cs"/>
          <w:rtl/>
        </w:rPr>
        <w:t>والوهابيون في الجهة العليا بينما اليمنيون في الجهة الدنيا</w:t>
      </w:r>
      <w:r w:rsidR="000636C2">
        <w:rPr>
          <w:rFonts w:hint="cs"/>
          <w:rtl/>
        </w:rPr>
        <w:t>،</w:t>
      </w:r>
      <w:r>
        <w:rPr>
          <w:rFonts w:hint="cs"/>
          <w:rtl/>
        </w:rPr>
        <w:t xml:space="preserve"> انقض المسلحون على الحجاج بأسلحتهم فأبادوهم فلم ينج منهم إلا اثنان</w:t>
      </w:r>
      <w:r w:rsidR="000636C2">
        <w:rPr>
          <w:rFonts w:hint="cs"/>
          <w:rtl/>
        </w:rPr>
        <w:t>،</w:t>
      </w:r>
      <w:r>
        <w:rPr>
          <w:rFonts w:hint="cs"/>
          <w:rtl/>
        </w:rPr>
        <w:t xml:space="preserve"> وقد برر الوهابيون هذه الفعلة بأنّهم ظنوا</w:t>
      </w:r>
      <w:r w:rsidR="000636C2">
        <w:rPr>
          <w:rFonts w:hint="cs"/>
          <w:rtl/>
        </w:rPr>
        <w:t xml:space="preserve"> </w:t>
      </w:r>
      <w:r>
        <w:rPr>
          <w:rFonts w:hint="cs"/>
          <w:rtl/>
        </w:rPr>
        <w:t>أن مجموعة الحجاج مجموعة مسلحة من أهل الحجاز فاشتبكوا معها</w:t>
      </w:r>
      <w:r w:rsidR="000636C2">
        <w:rPr>
          <w:rFonts w:hint="cs"/>
          <w:rtl/>
        </w:rPr>
        <w:t>،</w:t>
      </w:r>
      <w:r>
        <w:rPr>
          <w:rFonts w:hint="cs"/>
          <w:rtl/>
        </w:rPr>
        <w:t xml:space="preserve"> وهو عذر أقبح من ذنب كما ترى</w:t>
      </w:r>
      <w:r w:rsidR="000636C2">
        <w:rPr>
          <w:rFonts w:hint="cs"/>
          <w:rtl/>
        </w:rPr>
        <w:t>، [</w:t>
      </w:r>
      <w:r>
        <w:rPr>
          <w:rFonts w:hint="cs"/>
          <w:rtl/>
        </w:rPr>
        <w:t>صفحات من تاريخ الجزيرة العربية</w:t>
      </w:r>
      <w:r w:rsidR="000636C2">
        <w:rPr>
          <w:rFonts w:hint="cs"/>
          <w:rtl/>
        </w:rPr>
        <w:t>،</w:t>
      </w:r>
      <w:r>
        <w:rPr>
          <w:rFonts w:hint="cs"/>
          <w:rtl/>
        </w:rPr>
        <w:t xml:space="preserve"> لمحمد عوض الخطيب</w:t>
      </w:r>
      <w:r w:rsidR="000636C2">
        <w:rPr>
          <w:rFonts w:hint="cs"/>
          <w:rtl/>
        </w:rPr>
        <w:t>،</w:t>
      </w:r>
      <w:r>
        <w:rPr>
          <w:rFonts w:hint="cs"/>
          <w:rtl/>
        </w:rPr>
        <w:t xml:space="preserve"> ص 198-199</w:t>
      </w:r>
      <w:r w:rsidR="000636C2">
        <w:rPr>
          <w:rFonts w:hint="cs"/>
          <w:rtl/>
        </w:rPr>
        <w:t>،</w:t>
      </w:r>
      <w:r>
        <w:rPr>
          <w:rFonts w:hint="cs"/>
          <w:rtl/>
        </w:rPr>
        <w:t xml:space="preserve"> عنوان المجد في تاريخ نجد لعثمان بن بشر الحنبلي</w:t>
      </w:r>
      <w:r w:rsidR="000636C2">
        <w:rPr>
          <w:rFonts w:hint="cs"/>
          <w:rtl/>
        </w:rPr>
        <w:t>،</w:t>
      </w:r>
      <w:r>
        <w:rPr>
          <w:rFonts w:hint="cs"/>
          <w:rtl/>
        </w:rPr>
        <w:t>ص 139</w:t>
      </w:r>
      <w:r w:rsidR="000636C2">
        <w:rPr>
          <w:rFonts w:hint="cs"/>
          <w:rtl/>
        </w:rPr>
        <w:t>]،</w:t>
      </w:r>
      <w:r>
        <w:rPr>
          <w:rFonts w:hint="cs"/>
          <w:rtl/>
        </w:rPr>
        <w:t xml:space="preserve"> </w:t>
      </w:r>
      <w:r w:rsidR="000636C2">
        <w:rPr>
          <w:rFonts w:hint="cs"/>
          <w:rtl/>
        </w:rPr>
        <w:t>(</w:t>
      </w:r>
      <w:r>
        <w:rPr>
          <w:rFonts w:hint="cs"/>
          <w:rtl/>
        </w:rPr>
        <w:t>ج</w:t>
      </w:r>
      <w:r w:rsidR="000636C2">
        <w:rPr>
          <w:rFonts w:hint="cs"/>
          <w:rtl/>
        </w:rPr>
        <w:t xml:space="preserve">) </w:t>
      </w:r>
      <w:r>
        <w:rPr>
          <w:rFonts w:hint="cs"/>
          <w:rtl/>
        </w:rPr>
        <w:t>حرق المكتبة العربية بمكة المكرمة</w:t>
      </w:r>
      <w:r w:rsidR="000636C2">
        <w:rPr>
          <w:rFonts w:hint="cs"/>
          <w:rtl/>
        </w:rPr>
        <w:t xml:space="preserve">: </w:t>
      </w:r>
      <w:r>
        <w:rPr>
          <w:rFonts w:hint="cs"/>
          <w:rtl/>
        </w:rPr>
        <w:t>أحرق الوهابية المكتبةَ العربية في مكة المكرمة وهي من أنفس مكتبات العالم</w:t>
      </w:r>
      <w:r w:rsidR="000636C2">
        <w:rPr>
          <w:rFonts w:hint="cs"/>
          <w:rtl/>
        </w:rPr>
        <w:t>،</w:t>
      </w:r>
      <w:r>
        <w:rPr>
          <w:rFonts w:hint="cs"/>
          <w:rtl/>
        </w:rPr>
        <w:t xml:space="preserve"> إذ كانت تحوي ستين ألفاً </w:t>
      </w:r>
      <w:r w:rsidR="000636C2">
        <w:rPr>
          <w:rFonts w:hint="cs"/>
          <w:rtl/>
        </w:rPr>
        <w:t>(</w:t>
      </w:r>
      <w:r>
        <w:rPr>
          <w:rFonts w:hint="cs"/>
          <w:rtl/>
        </w:rPr>
        <w:t>6</w:t>
      </w:r>
      <w:r w:rsidR="000636C2">
        <w:rPr>
          <w:rFonts w:hint="cs"/>
          <w:rtl/>
        </w:rPr>
        <w:t>،</w:t>
      </w:r>
      <w:r>
        <w:rPr>
          <w:rFonts w:hint="cs"/>
          <w:rtl/>
        </w:rPr>
        <w:t xml:space="preserve"> ,</w:t>
      </w:r>
      <w:r w:rsidR="000636C2">
        <w:rPr>
          <w:rFonts w:hint="cs"/>
          <w:rtl/>
        </w:rPr>
        <w:t xml:space="preserve">،،،) </w:t>
      </w:r>
      <w:r>
        <w:rPr>
          <w:rFonts w:hint="cs"/>
          <w:rtl/>
        </w:rPr>
        <w:t>من الكتب النادرة</w:t>
      </w:r>
      <w:r w:rsidR="000636C2">
        <w:rPr>
          <w:rFonts w:hint="cs"/>
          <w:rtl/>
        </w:rPr>
        <w:t>،</w:t>
      </w:r>
      <w:r>
        <w:rPr>
          <w:rFonts w:hint="cs"/>
          <w:rtl/>
        </w:rPr>
        <w:t xml:space="preserve"> وحوالي أربعين ألف </w:t>
      </w:r>
      <w:r w:rsidR="000636C2">
        <w:rPr>
          <w:rFonts w:hint="cs"/>
          <w:rtl/>
        </w:rPr>
        <w:t>(</w:t>
      </w:r>
      <w:r>
        <w:rPr>
          <w:rFonts w:hint="cs"/>
          <w:rtl/>
        </w:rPr>
        <w:t>4</w:t>
      </w:r>
      <w:r w:rsidR="000636C2">
        <w:rPr>
          <w:rFonts w:hint="cs"/>
          <w:rtl/>
        </w:rPr>
        <w:t>،</w:t>
      </w:r>
      <w:r>
        <w:rPr>
          <w:rFonts w:hint="cs"/>
          <w:rtl/>
        </w:rPr>
        <w:t xml:space="preserve"> ,</w:t>
      </w:r>
      <w:r w:rsidR="000636C2">
        <w:rPr>
          <w:rFonts w:hint="cs"/>
          <w:rtl/>
        </w:rPr>
        <w:t xml:space="preserve">،،،) </w:t>
      </w:r>
      <w:r>
        <w:rPr>
          <w:rFonts w:hint="cs"/>
          <w:rtl/>
        </w:rPr>
        <w:t>مخطوطة</w:t>
      </w:r>
      <w:r w:rsidR="000636C2">
        <w:rPr>
          <w:rFonts w:hint="cs"/>
          <w:rtl/>
        </w:rPr>
        <w:t>،</w:t>
      </w:r>
      <w:r>
        <w:rPr>
          <w:rFonts w:hint="cs"/>
          <w:rtl/>
        </w:rPr>
        <w:t xml:space="preserve"> بعضها مما أملاه النبي صلى الله عليه وسلم</w:t>
      </w:r>
      <w:r w:rsidR="000636C2">
        <w:rPr>
          <w:rFonts w:hint="cs"/>
          <w:rtl/>
        </w:rPr>
        <w:t>،</w:t>
      </w:r>
      <w:r>
        <w:rPr>
          <w:rFonts w:hint="cs"/>
          <w:rtl/>
        </w:rPr>
        <w:t xml:space="preserve"> وبعضها كتبه الخلفاء الراشدون وسائر الصحابة</w:t>
      </w:r>
      <w:r w:rsidR="000636C2">
        <w:rPr>
          <w:rFonts w:hint="cs"/>
          <w:rtl/>
        </w:rPr>
        <w:t>،</w:t>
      </w:r>
      <w:r>
        <w:rPr>
          <w:rFonts w:hint="cs"/>
          <w:rtl/>
        </w:rPr>
        <w:t xml:space="preserve"> ومنها ما هو مكتوب على جلود الغزلان والعظام والألواح الخشبية والرقم الفخارية والطينية</w:t>
      </w:r>
      <w:r w:rsidR="000636C2">
        <w:rPr>
          <w:rFonts w:hint="cs"/>
          <w:rtl/>
        </w:rPr>
        <w:t>،</w:t>
      </w:r>
      <w:r>
        <w:rPr>
          <w:rFonts w:hint="cs"/>
          <w:rtl/>
        </w:rPr>
        <w:t xml:space="preserve"> كما كانت المكتبة تشكل في جانب منها متحفاً يحتوي على مجموعة من آثار ما قبل الإسلام وبعده</w:t>
      </w:r>
      <w:r w:rsidR="000636C2">
        <w:rPr>
          <w:rFonts w:hint="cs"/>
          <w:rtl/>
        </w:rPr>
        <w:t>،</w:t>
      </w:r>
      <w:r>
        <w:rPr>
          <w:rFonts w:hint="cs"/>
          <w:rtl/>
        </w:rPr>
        <w:t xml:space="preserve"> </w:t>
      </w:r>
      <w:r w:rsidR="000636C2">
        <w:rPr>
          <w:rFonts w:hint="cs"/>
          <w:rtl/>
        </w:rPr>
        <w:t>(</w:t>
      </w:r>
      <w:r>
        <w:rPr>
          <w:rFonts w:hint="cs"/>
          <w:rtl/>
        </w:rPr>
        <w:t>ح</w:t>
      </w:r>
      <w:r w:rsidR="000636C2">
        <w:rPr>
          <w:rFonts w:hint="cs"/>
          <w:rtl/>
        </w:rPr>
        <w:t xml:space="preserve">) </w:t>
      </w:r>
      <w:r>
        <w:rPr>
          <w:rFonts w:hint="cs"/>
          <w:rtl/>
        </w:rPr>
        <w:t>استباحة دماء المسلمين في المساجد</w:t>
      </w:r>
      <w:r w:rsidR="000636C2">
        <w:rPr>
          <w:rFonts w:hint="cs"/>
          <w:rtl/>
        </w:rPr>
        <w:t xml:space="preserve">: </w:t>
      </w:r>
      <w:r>
        <w:rPr>
          <w:rFonts w:hint="cs"/>
          <w:rtl/>
        </w:rPr>
        <w:t>جاء في كتاب تاريخ نجد</w:t>
      </w:r>
      <w:r w:rsidR="000636C2">
        <w:rPr>
          <w:rFonts w:hint="cs"/>
          <w:rtl/>
        </w:rPr>
        <w:t xml:space="preserve"> </w:t>
      </w:r>
      <w:r>
        <w:rPr>
          <w:rFonts w:hint="cs"/>
          <w:rtl/>
        </w:rPr>
        <w:t>للشيخ حسين بن غنام</w:t>
      </w:r>
      <w:r w:rsidR="000636C2">
        <w:rPr>
          <w:rFonts w:hint="cs"/>
          <w:rtl/>
        </w:rPr>
        <w:t xml:space="preserve">: </w:t>
      </w:r>
      <w:r>
        <w:rPr>
          <w:rFonts w:hint="cs"/>
          <w:rtl/>
        </w:rPr>
        <w:t>" يقول الشيخ محمد بن عبد الوهاب</w:t>
      </w:r>
      <w:r w:rsidR="000636C2">
        <w:rPr>
          <w:rFonts w:hint="cs"/>
          <w:rtl/>
        </w:rPr>
        <w:t>: (</w:t>
      </w:r>
      <w:r>
        <w:rPr>
          <w:rFonts w:hint="cs"/>
          <w:rtl/>
        </w:rPr>
        <w:t>إن عثمان بن معمَّر - حاكم بلد عيينة - مشركٌ كافر</w:t>
      </w:r>
      <w:r w:rsidR="000636C2">
        <w:rPr>
          <w:rFonts w:hint="cs"/>
          <w:rtl/>
        </w:rPr>
        <w:t>،</w:t>
      </w:r>
      <w:r>
        <w:rPr>
          <w:rFonts w:hint="cs"/>
          <w:rtl/>
        </w:rPr>
        <w:t xml:space="preserve"> فلما تحقق المسلمون من ذلك تعاهدوا على قتله بعد انتهائه من صلاة الجمعة</w:t>
      </w:r>
      <w:r w:rsidR="000636C2">
        <w:rPr>
          <w:rFonts w:hint="cs"/>
          <w:rtl/>
        </w:rPr>
        <w:t>،</w:t>
      </w:r>
      <w:r>
        <w:rPr>
          <w:rFonts w:hint="cs"/>
          <w:rtl/>
        </w:rPr>
        <w:t xml:space="preserve"> وقتلناه وهو في مصلاه بالمسجد في رجب 1163 هـ</w:t>
      </w:r>
      <w:r w:rsidR="000636C2">
        <w:rPr>
          <w:rFonts w:hint="cs"/>
          <w:rtl/>
        </w:rPr>
        <w:t>،</w:t>
      </w:r>
      <w:r>
        <w:rPr>
          <w:rFonts w:hint="cs"/>
          <w:rtl/>
        </w:rPr>
        <w:t xml:space="preserve"> ولنا أن نتساءل كيف يكون مشركاً من قُتل في مصلاه بالمسجد يوم الجمعة</w:t>
      </w:r>
      <w:r w:rsidR="000636C2">
        <w:rPr>
          <w:rFonts w:hint="cs"/>
          <w:rtl/>
        </w:rPr>
        <w:t>،</w:t>
      </w:r>
      <w:r>
        <w:rPr>
          <w:rFonts w:hint="cs"/>
          <w:rtl/>
        </w:rPr>
        <w:t xml:space="preserve"> وهو يعبد الله</w:t>
      </w:r>
      <w:r w:rsidR="000636C2">
        <w:rPr>
          <w:rFonts w:hint="cs"/>
          <w:rtl/>
        </w:rPr>
        <w:t>،</w:t>
      </w:r>
      <w:r>
        <w:rPr>
          <w:rFonts w:hint="cs"/>
          <w:rtl/>
        </w:rPr>
        <w:t xml:space="preserve"> </w:t>
      </w:r>
      <w:r w:rsidR="000636C2">
        <w:rPr>
          <w:rFonts w:hint="cs"/>
          <w:rtl/>
        </w:rPr>
        <w:t>(</w:t>
      </w:r>
      <w:r>
        <w:rPr>
          <w:rFonts w:hint="cs"/>
          <w:rtl/>
        </w:rPr>
        <w:t>خ</w:t>
      </w:r>
      <w:r w:rsidR="000636C2">
        <w:rPr>
          <w:rFonts w:hint="cs"/>
          <w:rtl/>
        </w:rPr>
        <w:t xml:space="preserve">) </w:t>
      </w:r>
      <w:r>
        <w:rPr>
          <w:rFonts w:hint="cs"/>
          <w:rtl/>
        </w:rPr>
        <w:t>الهجوم على الكويت</w:t>
      </w:r>
      <w:r w:rsidR="000636C2">
        <w:rPr>
          <w:rFonts w:hint="cs"/>
          <w:rtl/>
        </w:rPr>
        <w:t xml:space="preserve">: </w:t>
      </w:r>
      <w:r>
        <w:rPr>
          <w:rFonts w:hint="cs"/>
          <w:rtl/>
        </w:rPr>
        <w:t>وذلك بزعم أنّهم مشركون حلال الدم والمال</w:t>
      </w:r>
      <w:r w:rsidR="000636C2">
        <w:rPr>
          <w:rFonts w:hint="cs"/>
          <w:rtl/>
        </w:rPr>
        <w:t>،</w:t>
      </w:r>
      <w:r>
        <w:rPr>
          <w:rFonts w:hint="cs"/>
          <w:rtl/>
        </w:rPr>
        <w:t xml:space="preserve"> فوجهوا إليها الغارات تنهب وتقتل وتسلب وتسبي</w:t>
      </w:r>
      <w:r w:rsidR="000636C2">
        <w:rPr>
          <w:rFonts w:hint="cs"/>
          <w:rtl/>
        </w:rPr>
        <w:t>،</w:t>
      </w:r>
      <w:r>
        <w:rPr>
          <w:rFonts w:hint="cs"/>
          <w:rtl/>
        </w:rPr>
        <w:t xml:space="preserve"> وكانت الحملة الأولى سنة 12</w:t>
      </w:r>
      <w:r w:rsidR="000636C2">
        <w:rPr>
          <w:rFonts w:hint="cs"/>
          <w:rtl/>
        </w:rPr>
        <w:t>،</w:t>
      </w:r>
      <w:r>
        <w:rPr>
          <w:rFonts w:hint="cs"/>
          <w:rtl/>
        </w:rPr>
        <w:t xml:space="preserve"> 5 هـ / 179</w:t>
      </w:r>
      <w:r w:rsidR="000636C2">
        <w:rPr>
          <w:rFonts w:hint="cs"/>
          <w:rtl/>
        </w:rPr>
        <w:t xml:space="preserve">، </w:t>
      </w:r>
      <w:r>
        <w:rPr>
          <w:rFonts w:hint="cs"/>
          <w:rtl/>
        </w:rPr>
        <w:t>م</w:t>
      </w:r>
      <w:r w:rsidR="000636C2">
        <w:rPr>
          <w:rFonts w:hint="cs"/>
          <w:rtl/>
        </w:rPr>
        <w:t>،</w:t>
      </w:r>
      <w:r>
        <w:rPr>
          <w:rFonts w:hint="cs"/>
          <w:rtl/>
        </w:rPr>
        <w:t xml:space="preserve"> ثم تلتها حملة أخرى سنة 1213هـ / 1798 م</w:t>
      </w:r>
      <w:r w:rsidR="000636C2">
        <w:rPr>
          <w:rFonts w:hint="cs"/>
          <w:rtl/>
        </w:rPr>
        <w:t>،</w:t>
      </w:r>
      <w:r>
        <w:rPr>
          <w:rFonts w:hint="cs"/>
          <w:rtl/>
        </w:rPr>
        <w:t xml:space="preserve"> وثالثة سنة 1223 هـ / 18</w:t>
      </w:r>
      <w:r w:rsidR="000636C2">
        <w:rPr>
          <w:rFonts w:hint="cs"/>
          <w:rtl/>
        </w:rPr>
        <w:t>،</w:t>
      </w:r>
      <w:r>
        <w:rPr>
          <w:rFonts w:hint="cs"/>
          <w:rtl/>
        </w:rPr>
        <w:t xml:space="preserve"> 8 م ووصلوا في هذه الأخيرة إلى الجهراء</w:t>
      </w:r>
      <w:r w:rsidR="000636C2">
        <w:rPr>
          <w:rFonts w:hint="cs"/>
          <w:rtl/>
        </w:rPr>
        <w:t xml:space="preserve">، </w:t>
      </w:r>
      <w:r>
        <w:rPr>
          <w:rFonts w:hint="cs"/>
          <w:rtl/>
        </w:rPr>
        <w:t>وأعادوا الكرة سنة 1338 هـ/192</w:t>
      </w:r>
      <w:r w:rsidR="000636C2">
        <w:rPr>
          <w:rFonts w:hint="cs"/>
          <w:rtl/>
        </w:rPr>
        <w:t>،</w:t>
      </w:r>
      <w:r>
        <w:rPr>
          <w:rFonts w:hint="cs"/>
          <w:rtl/>
        </w:rPr>
        <w:t xml:space="preserve"> م فكانت معركة </w:t>
      </w:r>
      <w:r w:rsidR="000636C2">
        <w:rPr>
          <w:rFonts w:hint="cs"/>
          <w:rtl/>
        </w:rPr>
        <w:t>(</w:t>
      </w:r>
      <w:r>
        <w:rPr>
          <w:rFonts w:hint="cs"/>
          <w:rtl/>
        </w:rPr>
        <w:t>الجهراء</w:t>
      </w:r>
      <w:r w:rsidR="000636C2">
        <w:rPr>
          <w:rFonts w:hint="cs"/>
          <w:rtl/>
        </w:rPr>
        <w:t xml:space="preserve">) </w:t>
      </w:r>
      <w:r>
        <w:rPr>
          <w:rFonts w:hint="cs"/>
          <w:rtl/>
        </w:rPr>
        <w:t>المعروفة</w:t>
      </w:r>
      <w:r w:rsidR="000636C2">
        <w:rPr>
          <w:rFonts w:hint="cs"/>
          <w:rtl/>
        </w:rPr>
        <w:t>،</w:t>
      </w:r>
      <w:r>
        <w:rPr>
          <w:rFonts w:hint="cs"/>
          <w:rtl/>
        </w:rPr>
        <w:t xml:space="preserve"> </w:t>
      </w:r>
      <w:r w:rsidR="000636C2">
        <w:rPr>
          <w:rFonts w:hint="cs"/>
          <w:rtl/>
        </w:rPr>
        <w:t>(</w:t>
      </w:r>
      <w:r>
        <w:rPr>
          <w:rFonts w:hint="cs"/>
          <w:rtl/>
        </w:rPr>
        <w:t>د</w:t>
      </w:r>
      <w:r w:rsidR="000636C2">
        <w:rPr>
          <w:rFonts w:hint="cs"/>
          <w:rtl/>
        </w:rPr>
        <w:t xml:space="preserve">) </w:t>
      </w:r>
      <w:r>
        <w:rPr>
          <w:rFonts w:hint="cs"/>
          <w:rtl/>
        </w:rPr>
        <w:t>البطش والإبادة لجميع قبائل العرب التي تُخالفهم</w:t>
      </w:r>
      <w:r w:rsidR="000636C2">
        <w:rPr>
          <w:rFonts w:hint="cs"/>
          <w:rtl/>
        </w:rPr>
        <w:t xml:space="preserve">: </w:t>
      </w:r>
      <w:r>
        <w:rPr>
          <w:rFonts w:hint="cs"/>
          <w:rtl/>
        </w:rPr>
        <w:t>لقد نالت شدة وبطش الوهابية العديد من المسلمين</w:t>
      </w:r>
      <w:r w:rsidR="000636C2">
        <w:rPr>
          <w:rFonts w:hint="cs"/>
          <w:rtl/>
        </w:rPr>
        <w:t>،</w:t>
      </w:r>
      <w:r>
        <w:rPr>
          <w:rFonts w:hint="cs"/>
          <w:rtl/>
        </w:rPr>
        <w:t xml:space="preserve"> حتى أبيدت قبائل بأكملها ومواقفهم مع العجمان والخوالد وآل رشيد معروفة</w:t>
      </w:r>
      <w:r w:rsidR="000636C2">
        <w:rPr>
          <w:rFonts w:hint="cs"/>
          <w:rtl/>
        </w:rPr>
        <w:t>،</w:t>
      </w:r>
      <w:r>
        <w:rPr>
          <w:rFonts w:hint="cs"/>
          <w:rtl/>
        </w:rPr>
        <w:t xml:space="preserve"> وما ذلك إلا بناء على عقيدتهم التي ترمي أهل ملة التوحيد بالشرك الأكبر لتستحل بذلك دماءهم وأموالهم ونساءهم</w:t>
      </w:r>
      <w:r w:rsidR="000636C2">
        <w:rPr>
          <w:rFonts w:hint="cs"/>
          <w:rtl/>
        </w:rPr>
        <w:t>،</w:t>
      </w:r>
      <w:r>
        <w:rPr>
          <w:rFonts w:hint="cs"/>
          <w:rtl/>
        </w:rPr>
        <w:t xml:space="preserve"> ومن أراد أن يتتبع أحكامهم على المسلمين</w:t>
      </w:r>
      <w:r w:rsidR="000636C2">
        <w:rPr>
          <w:rFonts w:hint="cs"/>
          <w:rtl/>
        </w:rPr>
        <w:t>،</w:t>
      </w:r>
      <w:r>
        <w:rPr>
          <w:rFonts w:hint="cs"/>
          <w:rtl/>
        </w:rPr>
        <w:t xml:space="preserve"> وكيف أخرجوهم من الملة والدين</w:t>
      </w:r>
      <w:r w:rsidR="000636C2">
        <w:rPr>
          <w:rFonts w:hint="cs"/>
          <w:rtl/>
        </w:rPr>
        <w:t>،</w:t>
      </w:r>
      <w:r>
        <w:rPr>
          <w:rFonts w:hint="cs"/>
          <w:rtl/>
        </w:rPr>
        <w:t xml:space="preserve"> واعتقدوا فيهم أنهم مشركون</w:t>
      </w:r>
      <w:r w:rsidR="000636C2">
        <w:rPr>
          <w:rFonts w:hint="cs"/>
          <w:rtl/>
        </w:rPr>
        <w:t>،</w:t>
      </w:r>
      <w:r>
        <w:rPr>
          <w:rFonts w:hint="cs"/>
          <w:rtl/>
        </w:rPr>
        <w:t xml:space="preserve"> فليرجع إلى كتاب </w:t>
      </w:r>
      <w:r w:rsidR="000636C2">
        <w:rPr>
          <w:rFonts w:hint="cs"/>
          <w:rtl/>
        </w:rPr>
        <w:t>(</w:t>
      </w:r>
      <w:r>
        <w:rPr>
          <w:rFonts w:hint="cs"/>
          <w:rtl/>
        </w:rPr>
        <w:t>مجموعة الرسائل والمسائل النجدية</w:t>
      </w:r>
      <w:r w:rsidR="000636C2">
        <w:rPr>
          <w:rFonts w:hint="cs"/>
          <w:rtl/>
        </w:rPr>
        <w:t xml:space="preserve">) </w:t>
      </w:r>
      <w:r>
        <w:rPr>
          <w:rFonts w:hint="cs"/>
          <w:rtl/>
        </w:rPr>
        <w:t>فإنه سيجد في ذلك العجب العجاب</w:t>
      </w:r>
      <w:r w:rsidR="000636C2">
        <w:rPr>
          <w:rFonts w:hint="cs"/>
          <w:rtl/>
        </w:rPr>
        <w:t>،</w:t>
      </w:r>
      <w:r>
        <w:rPr>
          <w:rFonts w:hint="cs"/>
          <w:rtl/>
        </w:rPr>
        <w:t xml:space="preserve"> </w:t>
      </w:r>
      <w:r>
        <w:rPr>
          <w:rFonts w:hint="cs"/>
          <w:rtl/>
        </w:rPr>
        <w:lastRenderedPageBreak/>
        <w:t xml:space="preserve">وكذلك كتاب </w:t>
      </w:r>
      <w:r w:rsidR="000636C2">
        <w:rPr>
          <w:rFonts w:hint="cs"/>
          <w:rtl/>
        </w:rPr>
        <w:t>(</w:t>
      </w:r>
      <w:r>
        <w:rPr>
          <w:rFonts w:hint="cs"/>
          <w:rtl/>
        </w:rPr>
        <w:t>عنوان المجد في تاريخ نجد</w:t>
      </w:r>
      <w:r w:rsidR="000636C2">
        <w:rPr>
          <w:rFonts w:hint="cs"/>
          <w:rtl/>
        </w:rPr>
        <w:t xml:space="preserve">) </w:t>
      </w:r>
      <w:r>
        <w:rPr>
          <w:rFonts w:hint="cs"/>
          <w:rtl/>
        </w:rPr>
        <w:t>الذي ألفه أحد علماء الوهابية وهو عثمان بن بشر النجدي الحنبلي</w:t>
      </w:r>
      <w:r w:rsidR="000636C2">
        <w:rPr>
          <w:rFonts w:hint="cs"/>
          <w:rtl/>
        </w:rPr>
        <w:t>،</w:t>
      </w:r>
      <w:r>
        <w:rPr>
          <w:rFonts w:hint="cs"/>
          <w:rtl/>
        </w:rPr>
        <w:t xml:space="preserve"> ونشرته مكتبة الرياض الحديثة بالمملكة العربية السعودية</w:t>
      </w:r>
      <w:r w:rsidR="000636C2">
        <w:rPr>
          <w:rFonts w:hint="cs"/>
          <w:rtl/>
        </w:rPr>
        <w:t>،</w:t>
      </w:r>
      <w:r>
        <w:rPr>
          <w:rFonts w:hint="cs"/>
          <w:rtl/>
        </w:rPr>
        <w:t xml:space="preserve"> فإن في هذا الكتاب من تعسفهم ومعاملتهم للمسلمين معاملة الكافرين الصرحاء ما تشيب منه الولدان</w:t>
      </w:r>
      <w:r w:rsidR="000636C2">
        <w:rPr>
          <w:rFonts w:hint="cs"/>
          <w:rtl/>
        </w:rPr>
        <w:t>،</w:t>
      </w:r>
      <w:r>
        <w:rPr>
          <w:rFonts w:hint="cs"/>
          <w:rtl/>
        </w:rPr>
        <w:t xml:space="preserve"> </w:t>
      </w:r>
      <w:r w:rsidR="000636C2">
        <w:rPr>
          <w:rFonts w:hint="cs"/>
          <w:rtl/>
        </w:rPr>
        <w:t>(</w:t>
      </w:r>
      <w:r>
        <w:rPr>
          <w:rFonts w:hint="cs"/>
          <w:rtl/>
        </w:rPr>
        <w:t>ذ</w:t>
      </w:r>
      <w:r w:rsidR="000636C2">
        <w:rPr>
          <w:rFonts w:hint="cs"/>
          <w:rtl/>
        </w:rPr>
        <w:t xml:space="preserve">) </w:t>
      </w:r>
      <w:r>
        <w:rPr>
          <w:rFonts w:hint="cs"/>
          <w:rtl/>
        </w:rPr>
        <w:t>حرب أهل المدينة</w:t>
      </w:r>
      <w:r w:rsidR="000636C2">
        <w:rPr>
          <w:rFonts w:hint="cs"/>
          <w:rtl/>
        </w:rPr>
        <w:t xml:space="preserve">: </w:t>
      </w:r>
      <w:r>
        <w:rPr>
          <w:rFonts w:hint="cs"/>
          <w:rtl/>
        </w:rPr>
        <w:t>جاء في كتاب عنوان المجد في تاريخ نجد</w:t>
      </w:r>
      <w:r w:rsidR="000636C2">
        <w:rPr>
          <w:rFonts w:hint="cs"/>
          <w:rtl/>
        </w:rPr>
        <w:t xml:space="preserve">: </w:t>
      </w:r>
      <w:r>
        <w:rPr>
          <w:rFonts w:hint="cs"/>
          <w:rtl/>
        </w:rPr>
        <w:t>" أجمعوا على حرب المدينة ونزلوا عواليها ..</w:t>
      </w:r>
      <w:r w:rsidR="000636C2">
        <w:rPr>
          <w:rFonts w:hint="cs"/>
          <w:rtl/>
        </w:rPr>
        <w:t xml:space="preserve">، </w:t>
      </w:r>
      <w:r>
        <w:rPr>
          <w:rFonts w:hint="cs"/>
          <w:rtl/>
        </w:rPr>
        <w:t>وضيَّقوا على أهل المدينة</w:t>
      </w:r>
      <w:r w:rsidR="000636C2">
        <w:rPr>
          <w:rFonts w:hint="cs"/>
          <w:rtl/>
        </w:rPr>
        <w:t>،</w:t>
      </w:r>
      <w:r>
        <w:rPr>
          <w:rFonts w:hint="cs"/>
          <w:rtl/>
        </w:rPr>
        <w:t xml:space="preserve"> وقطعوا عليهم السوابل</w:t>
      </w:r>
      <w:r w:rsidR="000636C2">
        <w:rPr>
          <w:rFonts w:hint="cs"/>
          <w:rtl/>
        </w:rPr>
        <w:t>،</w:t>
      </w:r>
      <w:r>
        <w:rPr>
          <w:rFonts w:hint="cs"/>
          <w:rtl/>
        </w:rPr>
        <w:t xml:space="preserve"> وأقاموا على ذلك سنين " أهـ، </w:t>
      </w:r>
      <w:r w:rsidR="000636C2">
        <w:rPr>
          <w:rFonts w:hint="cs"/>
          <w:rtl/>
        </w:rPr>
        <w:t>(</w:t>
      </w:r>
      <w:r>
        <w:rPr>
          <w:rFonts w:hint="cs"/>
          <w:rtl/>
        </w:rPr>
        <w:t>ر</w:t>
      </w:r>
      <w:r w:rsidR="000636C2">
        <w:rPr>
          <w:rFonts w:hint="cs"/>
          <w:rtl/>
        </w:rPr>
        <w:t xml:space="preserve">) </w:t>
      </w:r>
      <w:r>
        <w:rPr>
          <w:rFonts w:hint="cs"/>
          <w:rtl/>
        </w:rPr>
        <w:t>غزو الشام</w:t>
      </w:r>
      <w:r w:rsidR="000636C2">
        <w:rPr>
          <w:rFonts w:hint="cs"/>
          <w:rtl/>
        </w:rPr>
        <w:t xml:space="preserve">: </w:t>
      </w:r>
      <w:r>
        <w:rPr>
          <w:rFonts w:hint="cs"/>
          <w:rtl/>
        </w:rPr>
        <w:t>وقد غزا الوهابية هذيل الشام بقيادة عثمان المضايفي في حوالى سنة 1214هـ /1799م فقتلوا وسبوا النساء</w:t>
      </w:r>
      <w:r w:rsidR="000636C2">
        <w:rPr>
          <w:rFonts w:hint="cs"/>
          <w:rtl/>
        </w:rPr>
        <w:t>،</w:t>
      </w:r>
      <w:r>
        <w:rPr>
          <w:rFonts w:hint="cs"/>
          <w:rtl/>
        </w:rPr>
        <w:t xml:space="preserve"> ثمَّ غزوا اللفاع حيث يقيم أشراف بني عمرو فقتلوا منهم عدداً</w:t>
      </w:r>
      <w:r w:rsidR="000636C2">
        <w:rPr>
          <w:rFonts w:hint="cs"/>
          <w:rtl/>
        </w:rPr>
        <w:t>،</w:t>
      </w:r>
      <w:r>
        <w:rPr>
          <w:rFonts w:hint="cs"/>
          <w:rtl/>
        </w:rPr>
        <w:t xml:space="preserve"> ونهبوهم وسلبوا النساء حتى أنهم جردوهن من الثياب</w:t>
      </w:r>
      <w:r w:rsidR="000636C2">
        <w:rPr>
          <w:rFonts w:hint="cs"/>
          <w:rtl/>
        </w:rPr>
        <w:t>،</w:t>
      </w:r>
      <w:r>
        <w:rPr>
          <w:rFonts w:hint="cs"/>
          <w:rtl/>
        </w:rPr>
        <w:t xml:space="preserve"> فطلبوا الأمان وتوهبوا</w:t>
      </w:r>
      <w:r w:rsidR="000636C2">
        <w:rPr>
          <w:rFonts w:hint="cs"/>
          <w:rtl/>
        </w:rPr>
        <w:t>،،</w:t>
      </w:r>
      <w:r>
        <w:rPr>
          <w:rFonts w:hint="cs"/>
          <w:rtl/>
        </w:rPr>
        <w:t xml:space="preserve"> ابادة أهل الحجاز في تربة وحزبة</w:t>
      </w:r>
      <w:r w:rsidR="000636C2">
        <w:rPr>
          <w:rFonts w:hint="cs"/>
          <w:rtl/>
        </w:rPr>
        <w:t xml:space="preserve">: </w:t>
      </w:r>
      <w:r>
        <w:rPr>
          <w:rFonts w:hint="cs"/>
          <w:rtl/>
        </w:rPr>
        <w:t>وهما قريتان بالحجاز انقض عليهما جنود الوهابية في أواخر شعبان 1337هـ /1919م فقتلوا ونهبوا واعتدوا على الأعراض وأحرقوا النخيل</w:t>
      </w:r>
      <w:r w:rsidR="000636C2">
        <w:rPr>
          <w:rFonts w:hint="cs"/>
          <w:rtl/>
        </w:rPr>
        <w:t>،</w:t>
      </w:r>
      <w:r>
        <w:rPr>
          <w:rFonts w:hint="cs"/>
          <w:rtl/>
        </w:rPr>
        <w:t xml:space="preserve"> وقد أحصي من قتل في تربة وحدها فبلغوا ثلاثة آلاف من المدنيين العزَّل</w:t>
      </w:r>
      <w:r w:rsidR="000636C2">
        <w:rPr>
          <w:rFonts w:hint="cs"/>
          <w:rtl/>
        </w:rPr>
        <w:t>،</w:t>
      </w:r>
      <w:r>
        <w:rPr>
          <w:rFonts w:hint="cs"/>
          <w:rtl/>
        </w:rPr>
        <w:t xml:space="preserve"> </w:t>
      </w:r>
      <w:r w:rsidR="000636C2">
        <w:rPr>
          <w:rFonts w:hint="cs"/>
          <w:rtl/>
        </w:rPr>
        <w:t>(</w:t>
      </w:r>
      <w:r>
        <w:rPr>
          <w:rFonts w:hint="cs"/>
          <w:rtl/>
        </w:rPr>
        <w:t>س</w:t>
      </w:r>
      <w:r w:rsidR="000636C2">
        <w:rPr>
          <w:rFonts w:hint="cs"/>
          <w:rtl/>
        </w:rPr>
        <w:t xml:space="preserve">) </w:t>
      </w:r>
      <w:r>
        <w:rPr>
          <w:rFonts w:hint="cs"/>
          <w:rtl/>
        </w:rPr>
        <w:t>غزو الإحساء</w:t>
      </w:r>
      <w:r w:rsidR="000636C2">
        <w:rPr>
          <w:rFonts w:hint="cs"/>
          <w:rtl/>
        </w:rPr>
        <w:t xml:space="preserve">: </w:t>
      </w:r>
      <w:r>
        <w:rPr>
          <w:rFonts w:hint="cs"/>
          <w:rtl/>
        </w:rPr>
        <w:t>جاء في عنوان المجد</w:t>
      </w:r>
      <w:r w:rsidR="000636C2">
        <w:rPr>
          <w:rFonts w:hint="cs"/>
          <w:rtl/>
        </w:rPr>
        <w:t xml:space="preserve">: </w:t>
      </w:r>
      <w:r>
        <w:rPr>
          <w:rFonts w:hint="cs"/>
          <w:rtl/>
        </w:rPr>
        <w:t>في أحداث 1210</w:t>
      </w:r>
      <w:r w:rsidR="000636C2">
        <w:rPr>
          <w:rFonts w:hint="cs"/>
          <w:rtl/>
        </w:rPr>
        <w:t xml:space="preserve"> </w:t>
      </w:r>
      <w:r>
        <w:rPr>
          <w:rFonts w:hint="cs"/>
          <w:rtl/>
        </w:rPr>
        <w:t>هـ</w:t>
      </w:r>
      <w:r w:rsidR="000636C2">
        <w:rPr>
          <w:rFonts w:hint="cs"/>
          <w:rtl/>
        </w:rPr>
        <w:t>،</w:t>
      </w:r>
      <w:r>
        <w:rPr>
          <w:rFonts w:hint="cs"/>
          <w:rtl/>
        </w:rPr>
        <w:t xml:space="preserve"> " فلما استووا على ركائبهم </w:t>
      </w:r>
      <w:r w:rsidR="000636C2">
        <w:rPr>
          <w:rFonts w:hint="cs"/>
          <w:rtl/>
        </w:rPr>
        <w:t>(</w:t>
      </w:r>
      <w:r>
        <w:rPr>
          <w:rFonts w:hint="cs"/>
          <w:rtl/>
        </w:rPr>
        <w:t>أي الجند الوهابي</w:t>
      </w:r>
      <w:r w:rsidR="000636C2">
        <w:rPr>
          <w:rFonts w:hint="cs"/>
          <w:rtl/>
        </w:rPr>
        <w:t xml:space="preserve">) </w:t>
      </w:r>
      <w:r>
        <w:rPr>
          <w:rFonts w:hint="cs"/>
          <w:rtl/>
        </w:rPr>
        <w:t>وساروا ثوروا بنادقهم دفعة واحدة</w:t>
      </w:r>
      <w:r w:rsidR="000636C2">
        <w:rPr>
          <w:rFonts w:hint="cs"/>
          <w:rtl/>
        </w:rPr>
        <w:t>،</w:t>
      </w:r>
      <w:r>
        <w:rPr>
          <w:rFonts w:hint="cs"/>
          <w:rtl/>
        </w:rPr>
        <w:t xml:space="preserve"> فأظلمت السماء وأرجفت الأرض</w:t>
      </w:r>
      <w:r w:rsidR="000636C2">
        <w:rPr>
          <w:rFonts w:hint="cs"/>
          <w:rtl/>
        </w:rPr>
        <w:t>،</w:t>
      </w:r>
      <w:r>
        <w:rPr>
          <w:rFonts w:hint="cs"/>
          <w:rtl/>
        </w:rPr>
        <w:t xml:space="preserve"> وثار عج الدخان في الجو</w:t>
      </w:r>
      <w:r w:rsidR="000636C2">
        <w:rPr>
          <w:rFonts w:hint="cs"/>
          <w:rtl/>
        </w:rPr>
        <w:t>،</w:t>
      </w:r>
      <w:r>
        <w:rPr>
          <w:rFonts w:hint="cs"/>
          <w:rtl/>
        </w:rPr>
        <w:t xml:space="preserve"> وأسقط كثير من الحوامل في الإحساء</w:t>
      </w:r>
      <w:r w:rsidR="000636C2">
        <w:rPr>
          <w:rFonts w:hint="cs"/>
          <w:rtl/>
        </w:rPr>
        <w:t>،</w:t>
      </w:r>
      <w:r>
        <w:rPr>
          <w:rFonts w:hint="cs"/>
          <w:rtl/>
        </w:rPr>
        <w:t xml:space="preserve"> ثم نزل سعود في الرقيقة … فأقام في ذلك المنزل يقتل من أراد قتله</w:t>
      </w:r>
      <w:r w:rsidR="000636C2">
        <w:rPr>
          <w:rFonts w:hint="cs"/>
          <w:rtl/>
        </w:rPr>
        <w:t>،</w:t>
      </w:r>
      <w:r>
        <w:rPr>
          <w:rFonts w:hint="cs"/>
          <w:rtl/>
        </w:rPr>
        <w:t xml:space="preserve"> ويجلي من أراد جلاءه</w:t>
      </w:r>
      <w:r w:rsidR="000636C2">
        <w:rPr>
          <w:rFonts w:hint="cs"/>
          <w:rtl/>
        </w:rPr>
        <w:t>،</w:t>
      </w:r>
      <w:r>
        <w:rPr>
          <w:rFonts w:hint="cs"/>
          <w:rtl/>
        </w:rPr>
        <w:t xml:space="preserve"> ويحبس من أراد حبسه</w:t>
      </w:r>
      <w:r w:rsidR="000636C2">
        <w:rPr>
          <w:rFonts w:hint="cs"/>
          <w:rtl/>
        </w:rPr>
        <w:t>،</w:t>
      </w:r>
      <w:r>
        <w:rPr>
          <w:rFonts w:hint="cs"/>
          <w:rtl/>
        </w:rPr>
        <w:t xml:space="preserve"> ويأخذ من الأموال</w:t>
      </w:r>
      <w:r w:rsidR="000636C2">
        <w:rPr>
          <w:rFonts w:hint="cs"/>
          <w:rtl/>
        </w:rPr>
        <w:t>،</w:t>
      </w:r>
      <w:r>
        <w:rPr>
          <w:rFonts w:hint="cs"/>
          <w:rtl/>
        </w:rPr>
        <w:t xml:space="preserve"> ويهدم من المحال</w:t>
      </w:r>
      <w:r w:rsidR="000636C2">
        <w:rPr>
          <w:rFonts w:hint="cs"/>
          <w:rtl/>
        </w:rPr>
        <w:t>،</w:t>
      </w:r>
      <w:r>
        <w:rPr>
          <w:rFonts w:hint="cs"/>
          <w:rtl/>
        </w:rPr>
        <w:t xml:space="preserve"> ويبني ثغوراً</w:t>
      </w:r>
      <w:r w:rsidR="000636C2">
        <w:rPr>
          <w:rFonts w:hint="cs"/>
          <w:rtl/>
        </w:rPr>
        <w:t>،</w:t>
      </w:r>
      <w:r>
        <w:rPr>
          <w:rFonts w:hint="cs"/>
          <w:rtl/>
        </w:rPr>
        <w:t xml:space="preserve"> ويهدم دوراً</w:t>
      </w:r>
      <w:r w:rsidR="000636C2">
        <w:rPr>
          <w:rFonts w:hint="cs"/>
          <w:rtl/>
        </w:rPr>
        <w:t>،</w:t>
      </w:r>
      <w:r>
        <w:rPr>
          <w:rFonts w:hint="cs"/>
          <w:rtl/>
        </w:rPr>
        <w:t xml:space="preserve"> وضرب عليهم ألوفاً من الدراهم وقبضها منهم</w:t>
      </w:r>
      <w:r w:rsidR="000636C2">
        <w:rPr>
          <w:rFonts w:hint="cs"/>
          <w:rtl/>
        </w:rPr>
        <w:t xml:space="preserve"> </w:t>
      </w:r>
      <w:r>
        <w:rPr>
          <w:rFonts w:hint="cs"/>
          <w:rtl/>
        </w:rPr>
        <w:t>..</w:t>
      </w:r>
      <w:r w:rsidR="000636C2">
        <w:rPr>
          <w:rFonts w:hint="cs"/>
          <w:rtl/>
        </w:rPr>
        <w:t xml:space="preserve"> </w:t>
      </w:r>
      <w:r>
        <w:rPr>
          <w:rFonts w:hint="cs"/>
          <w:rtl/>
        </w:rPr>
        <w:t>ثم يقول عن القتل وذلك بعد الاستسلام</w:t>
      </w:r>
      <w:r w:rsidR="000636C2">
        <w:rPr>
          <w:rFonts w:hint="cs"/>
          <w:rtl/>
        </w:rPr>
        <w:t xml:space="preserve"> </w:t>
      </w:r>
      <w:r>
        <w:rPr>
          <w:rFonts w:hint="cs"/>
          <w:rtl/>
        </w:rPr>
        <w:t>..</w:t>
      </w:r>
      <w:r w:rsidR="000636C2">
        <w:rPr>
          <w:rFonts w:hint="cs"/>
          <w:rtl/>
        </w:rPr>
        <w:t xml:space="preserve"> </w:t>
      </w:r>
      <w:r>
        <w:rPr>
          <w:rFonts w:hint="cs"/>
          <w:rtl/>
        </w:rPr>
        <w:t>فهذا مقتول في البلد</w:t>
      </w:r>
      <w:r w:rsidR="000636C2">
        <w:rPr>
          <w:rFonts w:hint="cs"/>
          <w:rtl/>
        </w:rPr>
        <w:t>،</w:t>
      </w:r>
      <w:r>
        <w:rPr>
          <w:rFonts w:hint="cs"/>
          <w:rtl/>
        </w:rPr>
        <w:t xml:space="preserve"> وهذا يخرجونه إلى الخيام</w:t>
      </w:r>
      <w:r w:rsidR="000636C2">
        <w:rPr>
          <w:rFonts w:hint="cs"/>
          <w:rtl/>
        </w:rPr>
        <w:t>،</w:t>
      </w:r>
      <w:r>
        <w:rPr>
          <w:rFonts w:hint="cs"/>
          <w:rtl/>
        </w:rPr>
        <w:t xml:space="preserve"> ويضرب عنقه عند خيمة سعود</w:t>
      </w:r>
      <w:r w:rsidR="000636C2">
        <w:rPr>
          <w:rFonts w:hint="cs"/>
          <w:rtl/>
        </w:rPr>
        <w:t>،</w:t>
      </w:r>
      <w:r>
        <w:rPr>
          <w:rFonts w:hint="cs"/>
          <w:rtl/>
        </w:rPr>
        <w:t xml:space="preserve"> حتى أفناهم إلا قليلا</w:t>
      </w:r>
      <w:r w:rsidR="000636C2">
        <w:rPr>
          <w:rFonts w:hint="cs"/>
          <w:rtl/>
        </w:rPr>
        <w:t>،</w:t>
      </w:r>
      <w:r>
        <w:rPr>
          <w:rFonts w:hint="cs"/>
          <w:rtl/>
        </w:rPr>
        <w:t xml:space="preserve"> وحاز سعود في تلك الغزوة ما لا يحصى</w:t>
      </w:r>
      <w:r w:rsidR="000636C2">
        <w:rPr>
          <w:rFonts w:hint="cs"/>
          <w:rtl/>
        </w:rPr>
        <w:t>)،</w:t>
      </w:r>
      <w:r>
        <w:rPr>
          <w:rFonts w:hint="cs"/>
          <w:rtl/>
        </w:rPr>
        <w:t xml:space="preserve"> </w:t>
      </w:r>
      <w:r w:rsidR="000636C2">
        <w:rPr>
          <w:rFonts w:hint="cs"/>
          <w:rtl/>
        </w:rPr>
        <w:t>(</w:t>
      </w:r>
      <w:r>
        <w:rPr>
          <w:rFonts w:hint="cs"/>
          <w:rtl/>
        </w:rPr>
        <w:t>ش</w:t>
      </w:r>
      <w:r w:rsidR="000636C2">
        <w:rPr>
          <w:rFonts w:hint="cs"/>
          <w:rtl/>
        </w:rPr>
        <w:t xml:space="preserve">) </w:t>
      </w:r>
      <w:r>
        <w:rPr>
          <w:rFonts w:hint="cs"/>
          <w:rtl/>
        </w:rPr>
        <w:t>غزو البحرين وقطر وعمان</w:t>
      </w:r>
      <w:r w:rsidR="000636C2">
        <w:rPr>
          <w:rFonts w:hint="cs"/>
          <w:rtl/>
        </w:rPr>
        <w:t xml:space="preserve">: </w:t>
      </w:r>
      <w:r>
        <w:rPr>
          <w:rFonts w:hint="cs"/>
          <w:rtl/>
        </w:rPr>
        <w:t>امتنع العتوب في البحرين عن دفع الجزية فهاجمهم الوهابية وقتلوا منهم الكثير</w:t>
      </w:r>
      <w:r w:rsidR="000636C2">
        <w:rPr>
          <w:rFonts w:hint="cs"/>
          <w:rtl/>
        </w:rPr>
        <w:t>،</w:t>
      </w:r>
      <w:r>
        <w:rPr>
          <w:rFonts w:hint="cs"/>
          <w:rtl/>
        </w:rPr>
        <w:t xml:space="preserve"> وأوقعوا بهم خسائر جسيمة .. وقد هاجم الوهابية البحرين مرات عديدة</w:t>
      </w:r>
      <w:r w:rsidR="000636C2">
        <w:rPr>
          <w:rFonts w:hint="cs"/>
          <w:rtl/>
        </w:rPr>
        <w:t>،</w:t>
      </w:r>
      <w:r>
        <w:rPr>
          <w:rFonts w:hint="cs"/>
          <w:rtl/>
        </w:rPr>
        <w:t xml:space="preserve"> ومنها الحادثة الشهيرة التي رواها مؤرخ الوهابية عثمان النجدي في كتابه </w:t>
      </w:r>
      <w:r w:rsidR="000636C2">
        <w:rPr>
          <w:rFonts w:hint="cs"/>
          <w:rtl/>
        </w:rPr>
        <w:t>(</w:t>
      </w:r>
      <w:r>
        <w:rPr>
          <w:rFonts w:hint="cs"/>
          <w:rtl/>
        </w:rPr>
        <w:t>عنوان المجد</w:t>
      </w:r>
      <w:r w:rsidR="000636C2">
        <w:rPr>
          <w:rFonts w:hint="cs"/>
          <w:rtl/>
        </w:rPr>
        <w:t xml:space="preserve">) </w:t>
      </w:r>
      <w:r>
        <w:rPr>
          <w:rFonts w:hint="cs"/>
          <w:rtl/>
        </w:rPr>
        <w:t>حين قتل الوهابية من أهل البحرين 14</w:t>
      </w:r>
      <w:r w:rsidR="000636C2">
        <w:rPr>
          <w:rFonts w:hint="cs"/>
          <w:rtl/>
        </w:rPr>
        <w:t xml:space="preserve">،، </w:t>
      </w:r>
      <w:r>
        <w:rPr>
          <w:rFonts w:hint="cs"/>
          <w:rtl/>
        </w:rPr>
        <w:t>رجل فانتقم الله لأهل البحرين فانفجر البارود داخل السفن الوهابية المغيرة فمات الجند الوهابي حرقاً وغرقا</w:t>
      </w:r>
      <w:r w:rsidR="000636C2">
        <w:rPr>
          <w:rFonts w:hint="cs"/>
          <w:rtl/>
        </w:rPr>
        <w:t>،</w:t>
      </w:r>
      <w:r>
        <w:rPr>
          <w:rFonts w:hint="cs"/>
          <w:rtl/>
        </w:rPr>
        <w:t xml:space="preserve"> يقول صاحب عنوان المجد ؛ "</w:t>
      </w:r>
      <w:r w:rsidR="000636C2">
        <w:rPr>
          <w:rFonts w:hint="cs"/>
          <w:rtl/>
        </w:rPr>
        <w:t xml:space="preserve"> </w:t>
      </w:r>
      <w:r>
        <w:rPr>
          <w:rFonts w:hint="cs"/>
          <w:rtl/>
        </w:rPr>
        <w:t>ثم دخلت السنة السادسة بعد المائتين والألف وفيها غزا سليمان بن عفيصان بأمر عبد العزيز بجيش من أهل الخرج وغيرهم</w:t>
      </w:r>
      <w:r w:rsidR="000636C2">
        <w:rPr>
          <w:rFonts w:hint="cs"/>
          <w:rtl/>
        </w:rPr>
        <w:t>،</w:t>
      </w:r>
      <w:r>
        <w:rPr>
          <w:rFonts w:hint="cs"/>
          <w:rtl/>
        </w:rPr>
        <w:t xml:space="preserve"> وقصد قطر المعروف بين عمان والبحرين</w:t>
      </w:r>
      <w:r w:rsidR="000636C2">
        <w:rPr>
          <w:rFonts w:hint="cs"/>
          <w:rtl/>
        </w:rPr>
        <w:t>،</w:t>
      </w:r>
      <w:r>
        <w:rPr>
          <w:rFonts w:hint="cs"/>
          <w:rtl/>
        </w:rPr>
        <w:t xml:space="preserve"> فصادف منهم غزواً نحو خمسين مطية فناوخهم</w:t>
      </w:r>
      <w:r w:rsidR="000636C2">
        <w:rPr>
          <w:rFonts w:hint="cs"/>
          <w:rtl/>
        </w:rPr>
        <w:t>،</w:t>
      </w:r>
      <w:r>
        <w:rPr>
          <w:rFonts w:hint="cs"/>
          <w:rtl/>
        </w:rPr>
        <w:t xml:space="preserve"> فقاتلوا وهزمهم سليمان</w:t>
      </w:r>
      <w:r w:rsidR="000636C2">
        <w:rPr>
          <w:rFonts w:hint="cs"/>
          <w:rtl/>
        </w:rPr>
        <w:t>،</w:t>
      </w:r>
      <w:r>
        <w:rPr>
          <w:rFonts w:hint="cs"/>
          <w:rtl/>
        </w:rPr>
        <w:t xml:space="preserve"> وقتلهم إلا القليل</w:t>
      </w:r>
      <w:r w:rsidR="000636C2">
        <w:rPr>
          <w:rFonts w:hint="cs"/>
          <w:rtl/>
        </w:rPr>
        <w:t>،</w:t>
      </w:r>
      <w:r>
        <w:rPr>
          <w:rFonts w:hint="cs"/>
          <w:rtl/>
        </w:rPr>
        <w:t xml:space="preserve"> وأخذ ركبهم</w:t>
      </w:r>
      <w:r w:rsidR="000636C2">
        <w:rPr>
          <w:rFonts w:hint="cs"/>
          <w:rtl/>
        </w:rPr>
        <w:t>،</w:t>
      </w:r>
      <w:r>
        <w:rPr>
          <w:rFonts w:hint="cs"/>
          <w:rtl/>
        </w:rPr>
        <w:t xml:space="preserve"> ويقول كذلك</w:t>
      </w:r>
      <w:r w:rsidR="000636C2">
        <w:rPr>
          <w:rFonts w:hint="cs"/>
          <w:rtl/>
        </w:rPr>
        <w:t>،</w:t>
      </w:r>
      <w:r>
        <w:rPr>
          <w:rFonts w:hint="cs"/>
          <w:rtl/>
        </w:rPr>
        <w:t xml:space="preserve"> عندما تحدث عن أحداث 12</w:t>
      </w:r>
      <w:r w:rsidR="000636C2">
        <w:rPr>
          <w:rFonts w:hint="cs"/>
          <w:rtl/>
        </w:rPr>
        <w:t>،</w:t>
      </w:r>
      <w:r>
        <w:rPr>
          <w:rFonts w:hint="cs"/>
          <w:rtl/>
        </w:rPr>
        <w:t xml:space="preserve"> 9 هـ </w:t>
      </w:r>
      <w:r w:rsidR="000636C2">
        <w:rPr>
          <w:rFonts w:hint="cs"/>
          <w:rtl/>
        </w:rPr>
        <w:t>(</w:t>
      </w:r>
      <w:r>
        <w:rPr>
          <w:rFonts w:hint="cs"/>
          <w:rtl/>
        </w:rPr>
        <w:t>.. ثم سار بهم إبراهيم بن عفيصان فقصد ناحية قطر</w:t>
      </w:r>
      <w:r w:rsidR="000636C2">
        <w:rPr>
          <w:rFonts w:hint="cs"/>
          <w:rtl/>
        </w:rPr>
        <w:t>،</w:t>
      </w:r>
      <w:r>
        <w:rPr>
          <w:rFonts w:hint="cs"/>
          <w:rtl/>
        </w:rPr>
        <w:t xml:space="preserve"> وأغار على أهله فأخذ إبلا كثيرة من بواديهم </w:t>
      </w:r>
      <w:r>
        <w:rPr>
          <w:rFonts w:hint="cs"/>
          <w:rtl/>
        </w:rPr>
        <w:lastRenderedPageBreak/>
        <w:t>وأموالهم</w:t>
      </w:r>
      <w:r w:rsidR="000636C2">
        <w:rPr>
          <w:rFonts w:hint="cs"/>
          <w:rtl/>
        </w:rPr>
        <w:t>،</w:t>
      </w:r>
      <w:r>
        <w:rPr>
          <w:rFonts w:hint="cs"/>
          <w:rtl/>
        </w:rPr>
        <w:t xml:space="preserve"> </w:t>
      </w:r>
      <w:r w:rsidR="000636C2">
        <w:rPr>
          <w:rFonts w:hint="cs"/>
          <w:rtl/>
        </w:rPr>
        <w:t>(</w:t>
      </w:r>
      <w:r>
        <w:rPr>
          <w:rFonts w:hint="cs"/>
          <w:rtl/>
        </w:rPr>
        <w:t>ص</w:t>
      </w:r>
      <w:r w:rsidR="000636C2">
        <w:rPr>
          <w:rFonts w:hint="cs"/>
          <w:rtl/>
        </w:rPr>
        <w:t xml:space="preserve">) </w:t>
      </w:r>
      <w:r>
        <w:rPr>
          <w:rFonts w:hint="cs"/>
          <w:rtl/>
        </w:rPr>
        <w:t>غزوة الشقرة على قبائل شمر</w:t>
      </w:r>
      <w:r w:rsidR="000636C2">
        <w:rPr>
          <w:rFonts w:hint="cs"/>
          <w:rtl/>
        </w:rPr>
        <w:t xml:space="preserve">: </w:t>
      </w:r>
      <w:r>
        <w:rPr>
          <w:rFonts w:hint="cs"/>
          <w:rtl/>
        </w:rPr>
        <w:t>جاء في عنوان نجد</w:t>
      </w:r>
      <w:r w:rsidR="000636C2">
        <w:rPr>
          <w:rFonts w:hint="cs"/>
          <w:rtl/>
        </w:rPr>
        <w:t xml:space="preserve">: </w:t>
      </w:r>
      <w:r>
        <w:rPr>
          <w:rFonts w:hint="cs"/>
          <w:rtl/>
        </w:rPr>
        <w:t xml:space="preserve">" وفيها </w:t>
      </w:r>
      <w:r w:rsidR="000636C2">
        <w:rPr>
          <w:rFonts w:hint="cs"/>
          <w:rtl/>
        </w:rPr>
        <w:t>(</w:t>
      </w:r>
      <w:r>
        <w:rPr>
          <w:rFonts w:hint="cs"/>
          <w:rtl/>
        </w:rPr>
        <w:t>أي سنة 12</w:t>
      </w:r>
      <w:r w:rsidR="000636C2">
        <w:rPr>
          <w:rFonts w:hint="cs"/>
          <w:rtl/>
        </w:rPr>
        <w:t>،</w:t>
      </w:r>
      <w:r>
        <w:rPr>
          <w:rFonts w:hint="cs"/>
          <w:rtl/>
        </w:rPr>
        <w:t xml:space="preserve"> 6 هـ</w:t>
      </w:r>
      <w:r w:rsidR="000636C2">
        <w:rPr>
          <w:rFonts w:hint="cs"/>
          <w:rtl/>
        </w:rPr>
        <w:t>)</w:t>
      </w:r>
      <w:r>
        <w:rPr>
          <w:rFonts w:hint="cs"/>
          <w:rtl/>
        </w:rPr>
        <w:t xml:space="preserve"> كانت غزوة الشقرة وذلك أن سعوداً سار بالجيوش الكثيفة من جميع نجد الحاضرة والبادية</w:t>
      </w:r>
      <w:r w:rsidR="000636C2">
        <w:rPr>
          <w:rFonts w:hint="cs"/>
          <w:rtl/>
        </w:rPr>
        <w:t>،</w:t>
      </w:r>
      <w:r>
        <w:rPr>
          <w:rFonts w:hint="cs"/>
          <w:rtl/>
        </w:rPr>
        <w:t xml:space="preserve"> وقصد ناحية جبل شمر</w:t>
      </w:r>
      <w:r w:rsidR="000636C2">
        <w:rPr>
          <w:rFonts w:hint="cs"/>
          <w:rtl/>
        </w:rPr>
        <w:t>،</w:t>
      </w:r>
      <w:r>
        <w:rPr>
          <w:rFonts w:hint="cs"/>
          <w:rtl/>
        </w:rPr>
        <w:t xml:space="preserve"> وقد ذكر له قبائل كثيرة من البوادي من مطير وحرب وغيرهم</w:t>
      </w:r>
      <w:r w:rsidR="000636C2">
        <w:rPr>
          <w:rFonts w:hint="cs"/>
          <w:rtl/>
        </w:rPr>
        <w:t>،</w:t>
      </w:r>
      <w:r>
        <w:rPr>
          <w:rFonts w:hint="cs"/>
          <w:rtl/>
        </w:rPr>
        <w:t xml:space="preserve"> وهم على الماء المعروف بالشقرة قريب من جبل شمر</w:t>
      </w:r>
      <w:r w:rsidR="000636C2">
        <w:rPr>
          <w:rFonts w:hint="cs"/>
          <w:rtl/>
        </w:rPr>
        <w:t>،</w:t>
      </w:r>
      <w:r>
        <w:rPr>
          <w:rFonts w:hint="cs"/>
          <w:rtl/>
        </w:rPr>
        <w:t xml:space="preserve"> فعدا عليهم سعود وأخذهم جملة وحاز منهم أموالاً عظيمة</w:t>
      </w:r>
      <w:r w:rsidR="000636C2">
        <w:rPr>
          <w:rFonts w:hint="cs"/>
          <w:rtl/>
        </w:rPr>
        <w:t>،</w:t>
      </w:r>
      <w:r>
        <w:rPr>
          <w:rFonts w:hint="cs"/>
          <w:rtl/>
        </w:rPr>
        <w:t xml:space="preserve"> الإبل أكثر من ثمانية آلاف بعير</w:t>
      </w:r>
      <w:r w:rsidR="000636C2">
        <w:rPr>
          <w:rFonts w:hint="cs"/>
          <w:rtl/>
        </w:rPr>
        <w:t>،</w:t>
      </w:r>
      <w:r>
        <w:rPr>
          <w:rFonts w:hint="cs"/>
          <w:rtl/>
        </w:rPr>
        <w:t xml:space="preserve"> وأخذ جميع أغنامهم ومحلتهم وأمتعتهم</w:t>
      </w:r>
      <w:r w:rsidR="000636C2">
        <w:rPr>
          <w:rFonts w:hint="cs"/>
          <w:rtl/>
        </w:rPr>
        <w:t>،</w:t>
      </w:r>
      <w:r>
        <w:rPr>
          <w:rFonts w:hint="cs"/>
          <w:rtl/>
        </w:rPr>
        <w:t xml:space="preserve"> وأكثر من عشرين فرساً</w:t>
      </w:r>
      <w:r w:rsidR="000636C2">
        <w:rPr>
          <w:rFonts w:hint="cs"/>
          <w:rtl/>
        </w:rPr>
        <w:t>،</w:t>
      </w:r>
      <w:r>
        <w:rPr>
          <w:rFonts w:hint="cs"/>
          <w:rtl/>
        </w:rPr>
        <w:t xml:space="preserve"> قتل عليهم عدة رجال</w:t>
      </w:r>
      <w:r w:rsidR="000636C2">
        <w:rPr>
          <w:rFonts w:hint="cs"/>
          <w:rtl/>
        </w:rPr>
        <w:t>،</w:t>
      </w:r>
      <w:r>
        <w:rPr>
          <w:rFonts w:hint="cs"/>
          <w:rtl/>
        </w:rPr>
        <w:t xml:space="preserve"> ثم رحل سعود بجميع تلك الغنائم وأخرج خمسها</w:t>
      </w:r>
      <w:r w:rsidR="000636C2">
        <w:rPr>
          <w:rFonts w:hint="cs"/>
          <w:rtl/>
        </w:rPr>
        <w:t>!</w:t>
      </w:r>
      <w:r>
        <w:rPr>
          <w:rFonts w:hint="cs"/>
          <w:rtl/>
        </w:rPr>
        <w:t>! وقسم باقيها غنيمة في المسلمين للراجل سهم وللفارس سهمان " أهـ</w:t>
      </w:r>
      <w:r w:rsidR="000636C2">
        <w:rPr>
          <w:rFonts w:hint="cs"/>
          <w:rtl/>
        </w:rPr>
        <w:t>،</w:t>
      </w:r>
      <w:r>
        <w:rPr>
          <w:rFonts w:hint="cs"/>
          <w:rtl/>
        </w:rPr>
        <w:t xml:space="preserve"> فمتى كان هؤلاء كفاراً تحلُّ دماؤهم وأموالهم</w:t>
      </w:r>
      <w:r w:rsidR="000636C2">
        <w:rPr>
          <w:rFonts w:hint="cs"/>
          <w:rtl/>
        </w:rPr>
        <w:t>،</w:t>
      </w:r>
      <w:r>
        <w:rPr>
          <w:rFonts w:hint="cs"/>
          <w:rtl/>
        </w:rPr>
        <w:t xml:space="preserve"> ووجه الوهابية قواتهم إلى عمان</w:t>
      </w:r>
      <w:r w:rsidR="000636C2">
        <w:rPr>
          <w:rFonts w:hint="cs"/>
          <w:rtl/>
        </w:rPr>
        <w:t>،</w:t>
      </w:r>
      <w:r>
        <w:rPr>
          <w:rFonts w:hint="cs"/>
          <w:rtl/>
        </w:rPr>
        <w:t xml:space="preserve"> يقول مؤرخهم عثمان بن بشر النجدي</w:t>
      </w:r>
      <w:r w:rsidR="000636C2">
        <w:rPr>
          <w:rFonts w:hint="cs"/>
          <w:rtl/>
        </w:rPr>
        <w:t xml:space="preserve">: </w:t>
      </w:r>
      <w:r>
        <w:rPr>
          <w:rFonts w:hint="cs"/>
          <w:rtl/>
        </w:rPr>
        <w:t>" ثمَّ سعود أرسل إلى عمان عبدالله بن مزروع صاحب منفوحة وعدة رجال من أهل نجد و أمرهم بنزول قصره البريمي المعروف في عمان</w:t>
      </w:r>
      <w:r w:rsidR="000636C2">
        <w:rPr>
          <w:rFonts w:hint="cs"/>
          <w:rtl/>
        </w:rPr>
        <w:t>،</w:t>
      </w:r>
      <w:r>
        <w:rPr>
          <w:rFonts w:hint="cs"/>
          <w:rtl/>
        </w:rPr>
        <w:t xml:space="preserve"> مطلق المطيري بجيش من أهل نجد …</w:t>
      </w:r>
      <w:r w:rsidR="000636C2">
        <w:rPr>
          <w:rFonts w:hint="cs"/>
          <w:rtl/>
        </w:rPr>
        <w:t>،</w:t>
      </w:r>
      <w:r>
        <w:rPr>
          <w:rFonts w:hint="cs"/>
          <w:rtl/>
        </w:rPr>
        <w:t xml:space="preserve"> فقاتل أهل الباطنة سحار ونواحيها</w:t>
      </w:r>
      <w:r w:rsidR="000636C2">
        <w:rPr>
          <w:rFonts w:hint="cs"/>
          <w:rtl/>
        </w:rPr>
        <w:t>،</w:t>
      </w:r>
      <w:r>
        <w:rPr>
          <w:rFonts w:hint="cs"/>
          <w:rtl/>
        </w:rPr>
        <w:t xml:space="preserve"> وقاتلوا سعيد بن سلطان صاحب مسكة </w:t>
      </w:r>
      <w:r w:rsidR="000636C2">
        <w:rPr>
          <w:rFonts w:hint="cs"/>
          <w:rtl/>
        </w:rPr>
        <w:t>(</w:t>
      </w:r>
      <w:r>
        <w:rPr>
          <w:rFonts w:hint="cs"/>
          <w:rtl/>
        </w:rPr>
        <w:t>مسقط</w:t>
      </w:r>
      <w:r w:rsidR="000636C2">
        <w:rPr>
          <w:rFonts w:hint="cs"/>
          <w:rtl/>
        </w:rPr>
        <w:t xml:space="preserve">) </w:t>
      </w:r>
      <w:r>
        <w:rPr>
          <w:rFonts w:hint="cs"/>
          <w:rtl/>
        </w:rPr>
        <w:t>ودام القتال بينهم وقتل من عسكر عزان مقتلة عظيمة بلغت القتلى نحو خمسمائة رجل</w:t>
      </w:r>
      <w:r w:rsidR="000636C2">
        <w:rPr>
          <w:rFonts w:hint="cs"/>
          <w:rtl/>
        </w:rPr>
        <w:t>،</w:t>
      </w:r>
      <w:r>
        <w:rPr>
          <w:rFonts w:hint="cs"/>
          <w:rtl/>
        </w:rPr>
        <w:t xml:space="preserve"> ثم أنه اجتمع مع مطلق المطيرى جميع من هو من رعية سعود من أهل عمان</w:t>
      </w:r>
      <w:r w:rsidR="000636C2">
        <w:rPr>
          <w:rFonts w:hint="cs"/>
          <w:rtl/>
        </w:rPr>
        <w:t>،</w:t>
      </w:r>
      <w:r>
        <w:rPr>
          <w:rFonts w:hint="cs"/>
          <w:rtl/>
        </w:rPr>
        <w:t xml:space="preserve"> فنازل أهل سحار بألوف من المقاتلة</w:t>
      </w:r>
      <w:r w:rsidR="000636C2">
        <w:rPr>
          <w:rFonts w:hint="cs"/>
          <w:rtl/>
        </w:rPr>
        <w:t xml:space="preserve">، </w:t>
      </w:r>
      <w:r>
        <w:rPr>
          <w:rFonts w:hint="cs"/>
          <w:rtl/>
        </w:rPr>
        <w:t>ودخلت سنة خمس وعشرين وهم على ذلك يقتلون ويغنمون</w:t>
      </w:r>
      <w:r w:rsidR="000636C2">
        <w:rPr>
          <w:rFonts w:hint="cs"/>
          <w:rtl/>
        </w:rPr>
        <w:t xml:space="preserve">، </w:t>
      </w:r>
      <w:r>
        <w:rPr>
          <w:rFonts w:hint="cs"/>
          <w:rtl/>
        </w:rPr>
        <w:t>وأخذ مطلق ومن معه قرى كثيرة من نواحى سحار من أهل الباطنة</w:t>
      </w:r>
      <w:r w:rsidR="000636C2">
        <w:rPr>
          <w:rFonts w:hint="cs"/>
          <w:rtl/>
        </w:rPr>
        <w:t xml:space="preserve">، </w:t>
      </w:r>
      <w:r>
        <w:rPr>
          <w:rFonts w:hint="cs"/>
          <w:rtl/>
        </w:rPr>
        <w:t>وبايع غالبهم على دين الله ورسوله والسمع والطاعة</w:t>
      </w:r>
      <w:r w:rsidR="000636C2">
        <w:rPr>
          <w:rFonts w:hint="cs"/>
          <w:rtl/>
        </w:rPr>
        <w:t xml:space="preserve">، </w:t>
      </w:r>
      <w:r>
        <w:rPr>
          <w:rFonts w:hint="cs"/>
          <w:rtl/>
        </w:rPr>
        <w:t>ولم يبق محارب إلا مسكة ونواحيها مملكة سعيد وما تحت ولاية عزان من سحار</w:t>
      </w:r>
      <w:r w:rsidR="000636C2">
        <w:rPr>
          <w:rFonts w:hint="cs"/>
          <w:rtl/>
        </w:rPr>
        <w:t>،</w:t>
      </w:r>
      <w:r>
        <w:rPr>
          <w:rFonts w:hint="cs"/>
          <w:rtl/>
        </w:rPr>
        <w:t xml:space="preserve"> وغنموا منها غنائم كثيرة</w:t>
      </w:r>
      <w:r w:rsidR="000636C2">
        <w:rPr>
          <w:rFonts w:hint="cs"/>
          <w:rtl/>
        </w:rPr>
        <w:t>،</w:t>
      </w:r>
      <w:r>
        <w:rPr>
          <w:rFonts w:hint="cs"/>
          <w:rtl/>
        </w:rPr>
        <w:t xml:space="preserve"> وبعثوا الأخماس إلى سعود في الدرعية " أهـ</w:t>
      </w:r>
      <w:r w:rsidR="000636C2">
        <w:rPr>
          <w:rFonts w:hint="cs"/>
          <w:rtl/>
        </w:rPr>
        <w:t>، (</w:t>
      </w:r>
      <w:r>
        <w:rPr>
          <w:rFonts w:hint="cs"/>
          <w:rtl/>
        </w:rPr>
        <w:t>ض</w:t>
      </w:r>
      <w:r w:rsidR="000636C2">
        <w:rPr>
          <w:rFonts w:hint="cs"/>
          <w:rtl/>
        </w:rPr>
        <w:t xml:space="preserve">) </w:t>
      </w:r>
      <w:r>
        <w:rPr>
          <w:rFonts w:hint="cs"/>
          <w:rtl/>
        </w:rPr>
        <w:t>غزو العراق واليمن والشام</w:t>
      </w:r>
      <w:r w:rsidR="000636C2">
        <w:rPr>
          <w:rFonts w:hint="cs"/>
          <w:rtl/>
        </w:rPr>
        <w:t xml:space="preserve">: </w:t>
      </w:r>
      <w:r>
        <w:rPr>
          <w:rFonts w:hint="cs"/>
          <w:rtl/>
        </w:rPr>
        <w:t xml:space="preserve">يقول صاحب عنوان المجد ؛ " وفيها </w:t>
      </w:r>
      <w:r w:rsidR="000636C2">
        <w:rPr>
          <w:rFonts w:hint="cs"/>
          <w:rtl/>
        </w:rPr>
        <w:t>(</w:t>
      </w:r>
      <w:r>
        <w:rPr>
          <w:rFonts w:hint="cs"/>
          <w:rtl/>
        </w:rPr>
        <w:t>أي سنة 122</w:t>
      </w:r>
      <w:r w:rsidR="000636C2">
        <w:rPr>
          <w:rFonts w:hint="cs"/>
          <w:rtl/>
        </w:rPr>
        <w:t xml:space="preserve">، </w:t>
      </w:r>
      <w:r>
        <w:rPr>
          <w:rFonts w:hint="cs"/>
          <w:rtl/>
        </w:rPr>
        <w:t>هـ</w:t>
      </w:r>
      <w:r w:rsidR="000636C2">
        <w:rPr>
          <w:rFonts w:hint="cs"/>
          <w:rtl/>
        </w:rPr>
        <w:t xml:space="preserve">) </w:t>
      </w:r>
      <w:r>
        <w:rPr>
          <w:rFonts w:hint="cs"/>
          <w:rtl/>
        </w:rPr>
        <w:t>سار سعود بالجيوش المنصورة</w:t>
      </w:r>
      <w:r w:rsidR="000636C2">
        <w:rPr>
          <w:rFonts w:hint="cs"/>
          <w:rtl/>
        </w:rPr>
        <w:t>،</w:t>
      </w:r>
      <w:r>
        <w:rPr>
          <w:rFonts w:hint="cs"/>
          <w:rtl/>
        </w:rPr>
        <w:t xml:space="preserve"> والخيل والجياد المسومة المشهورة من جميع نجد ونواحيها وبواديها</w:t>
      </w:r>
      <w:r w:rsidR="000636C2">
        <w:rPr>
          <w:rFonts w:hint="cs"/>
          <w:rtl/>
        </w:rPr>
        <w:t>،</w:t>
      </w:r>
      <w:r>
        <w:rPr>
          <w:rFonts w:hint="cs"/>
          <w:rtl/>
        </w:rPr>
        <w:t xml:space="preserve"> وقصد جهة الشمال نوازل بلد المشهد المعروف في العراق</w:t>
      </w:r>
      <w:r w:rsidR="000636C2">
        <w:rPr>
          <w:rFonts w:hint="cs"/>
          <w:rtl/>
        </w:rPr>
        <w:t>،</w:t>
      </w:r>
      <w:r>
        <w:rPr>
          <w:rFonts w:hint="cs"/>
          <w:rtl/>
        </w:rPr>
        <w:t xml:space="preserve"> وفرق عليه المسلمين من كلِّ جهة</w:t>
      </w:r>
      <w:r w:rsidR="000636C2">
        <w:rPr>
          <w:rFonts w:hint="cs"/>
          <w:rtl/>
        </w:rPr>
        <w:t>،</w:t>
      </w:r>
      <w:r>
        <w:rPr>
          <w:rFonts w:hint="cs"/>
          <w:rtl/>
        </w:rPr>
        <w:t xml:space="preserve"> وأمرهم أن يتسوروا الجدار على أهله</w:t>
      </w:r>
      <w:r w:rsidR="000636C2">
        <w:rPr>
          <w:rFonts w:hint="cs"/>
          <w:rtl/>
        </w:rPr>
        <w:t>!</w:t>
      </w:r>
      <w:r>
        <w:rPr>
          <w:rFonts w:hint="cs"/>
          <w:rtl/>
        </w:rPr>
        <w:t>! … ثم رحل منه سعود فانحاز على الزملات من عربان غزية فأخذ مواشيهم ثمَّ ورد الهندية المعروفة</w:t>
      </w:r>
      <w:r w:rsidR="000636C2">
        <w:rPr>
          <w:rFonts w:hint="cs"/>
          <w:rtl/>
        </w:rPr>
        <w:t>،</w:t>
      </w:r>
      <w:r>
        <w:rPr>
          <w:rFonts w:hint="cs"/>
          <w:rtl/>
        </w:rPr>
        <w:t xml:space="preserve"> ثم اجتاز بحلل الخزاعل</w:t>
      </w:r>
      <w:r w:rsidR="000636C2">
        <w:rPr>
          <w:rFonts w:hint="cs"/>
          <w:rtl/>
        </w:rPr>
        <w:t>،</w:t>
      </w:r>
      <w:r>
        <w:rPr>
          <w:rFonts w:hint="cs"/>
          <w:rtl/>
        </w:rPr>
        <w:t xml:space="preserve"> وجرى بينه وبينهم مناوشة قتال وطرد خيل</w:t>
      </w:r>
      <w:r w:rsidR="000636C2">
        <w:rPr>
          <w:rFonts w:hint="cs"/>
          <w:rtl/>
        </w:rPr>
        <w:t>،</w:t>
      </w:r>
      <w:r>
        <w:rPr>
          <w:rFonts w:hint="cs"/>
          <w:rtl/>
        </w:rPr>
        <w:t xml:space="preserve"> ثم سار وقصد السماوة وحاصر أهلها ونهب من نواحيها ودمَّر أشجارها</w:t>
      </w:r>
      <w:r w:rsidR="000636C2">
        <w:rPr>
          <w:rFonts w:hint="cs"/>
          <w:rtl/>
        </w:rPr>
        <w:t>،</w:t>
      </w:r>
      <w:r>
        <w:rPr>
          <w:rFonts w:hint="cs"/>
          <w:rtl/>
        </w:rPr>
        <w:t xml:space="preserve"> ووقع بينهم رمي وقتال</w:t>
      </w:r>
      <w:r w:rsidR="000636C2">
        <w:rPr>
          <w:rFonts w:hint="cs"/>
          <w:rtl/>
        </w:rPr>
        <w:t>،</w:t>
      </w:r>
      <w:r>
        <w:rPr>
          <w:rFonts w:hint="cs"/>
          <w:rtl/>
        </w:rPr>
        <w:t xml:space="preserve"> ثم رحل منها وقصد إلى جهة البصرة ونازل أهل الزبير ووقع بينه وبين أهله مناوشة قتال ورمى</w:t>
      </w:r>
      <w:r w:rsidR="000636C2">
        <w:rPr>
          <w:rFonts w:hint="cs"/>
          <w:rtl/>
        </w:rPr>
        <w:t>،</w:t>
      </w:r>
      <w:r>
        <w:rPr>
          <w:rFonts w:hint="cs"/>
          <w:rtl/>
        </w:rPr>
        <w:t xml:space="preserve"> ورحل منه إلى وطنه " أهـ</w:t>
      </w:r>
      <w:r w:rsidR="000636C2">
        <w:rPr>
          <w:rFonts w:hint="cs"/>
          <w:rtl/>
        </w:rPr>
        <w:t>،</w:t>
      </w:r>
      <w:r>
        <w:rPr>
          <w:rFonts w:hint="cs"/>
          <w:rtl/>
        </w:rPr>
        <w:t xml:space="preserve"> ولقد احتل الوهابية صنعاء وأمعنوا فيها قتلا</w:t>
      </w:r>
      <w:r w:rsidR="000636C2">
        <w:rPr>
          <w:rFonts w:hint="cs"/>
          <w:rtl/>
        </w:rPr>
        <w:t>،</w:t>
      </w:r>
      <w:r>
        <w:rPr>
          <w:rFonts w:hint="cs"/>
          <w:rtl/>
        </w:rPr>
        <w:t xml:space="preserve"> ونهبوا خيراتها</w:t>
      </w:r>
      <w:r w:rsidR="000636C2">
        <w:rPr>
          <w:rFonts w:hint="cs"/>
          <w:rtl/>
        </w:rPr>
        <w:t>،</w:t>
      </w:r>
      <w:r>
        <w:rPr>
          <w:rFonts w:hint="cs"/>
          <w:rtl/>
        </w:rPr>
        <w:t xml:space="preserve"> يقول مؤرخهم في غزو الحديدة</w:t>
      </w:r>
      <w:r w:rsidR="000636C2">
        <w:rPr>
          <w:rFonts w:hint="cs"/>
          <w:rtl/>
        </w:rPr>
        <w:t xml:space="preserve">: </w:t>
      </w:r>
      <w:r>
        <w:rPr>
          <w:rFonts w:hint="cs"/>
          <w:rtl/>
        </w:rPr>
        <w:t xml:space="preserve">"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w:t>
      </w:r>
      <w:r>
        <w:rPr>
          <w:rFonts w:hint="cs"/>
          <w:rtl/>
        </w:rPr>
        <w:lastRenderedPageBreak/>
        <w:t>وأخذوه عنوة ونهبوا منها من الأموال والأمتاع شيئا كثيرا ..</w:t>
      </w:r>
      <w:r w:rsidR="000636C2">
        <w:rPr>
          <w:rFonts w:hint="cs"/>
          <w:rtl/>
        </w:rPr>
        <w:t xml:space="preserve">، </w:t>
      </w:r>
      <w:r>
        <w:rPr>
          <w:rFonts w:hint="cs"/>
          <w:rtl/>
        </w:rPr>
        <w:t>وعزل صالح الأخماس وبعثها إلى الدرعية " أهـ</w:t>
      </w:r>
      <w:r w:rsidR="000636C2">
        <w:rPr>
          <w:rFonts w:hint="cs"/>
          <w:rtl/>
        </w:rPr>
        <w:t>،</w:t>
      </w:r>
      <w:r>
        <w:rPr>
          <w:rFonts w:hint="cs"/>
          <w:rtl/>
        </w:rPr>
        <w:t xml:space="preserve"> فأي إسلام هذا الذي يحلُّ الإغارة على المسلمين</w:t>
      </w:r>
      <w:r w:rsidR="000636C2">
        <w:rPr>
          <w:rFonts w:hint="cs"/>
          <w:rtl/>
        </w:rPr>
        <w:t>؟</w:t>
      </w:r>
      <w:r>
        <w:rPr>
          <w:rFonts w:hint="cs"/>
          <w:rtl/>
        </w:rPr>
        <w:t xml:space="preserve"> وفي بلاد الشام</w:t>
      </w:r>
      <w:r w:rsidR="000636C2">
        <w:rPr>
          <w:rFonts w:hint="cs"/>
          <w:rtl/>
        </w:rPr>
        <w:t xml:space="preserve">: </w:t>
      </w:r>
      <w:r>
        <w:rPr>
          <w:rFonts w:hint="cs"/>
          <w:rtl/>
        </w:rPr>
        <w:t>هاجم الوهابية حوران سنة 1225هـ /1810 م فأحرقوا ونهبوا وسبوا بعد أن قتلوا حتى الأطفال ناهيك عن الكبار</w:t>
      </w:r>
      <w:r w:rsidR="000636C2">
        <w:rPr>
          <w:rFonts w:hint="cs"/>
          <w:rtl/>
        </w:rPr>
        <w:t>،</w:t>
      </w:r>
      <w:r>
        <w:rPr>
          <w:rFonts w:hint="cs"/>
          <w:rtl/>
        </w:rPr>
        <w:t xml:space="preserve"> ثمَّ توسعت الغزوات الوهابية حتى بلغت مدينة حلب وقطعوا الطريق بين الشام والعراق</w:t>
      </w:r>
      <w:r w:rsidR="000636C2">
        <w:rPr>
          <w:rFonts w:hint="cs"/>
          <w:rtl/>
        </w:rPr>
        <w:t>،</w:t>
      </w:r>
      <w:r>
        <w:rPr>
          <w:rFonts w:hint="cs"/>
          <w:rtl/>
        </w:rPr>
        <w:t xml:space="preserve"> وكانت سراياهم تصل إلى القادسية</w:t>
      </w:r>
      <w:r w:rsidR="000636C2">
        <w:rPr>
          <w:rFonts w:hint="cs"/>
          <w:rtl/>
        </w:rPr>
        <w:t>،</w:t>
      </w:r>
      <w:r>
        <w:rPr>
          <w:rFonts w:hint="cs"/>
          <w:rtl/>
        </w:rPr>
        <w:t xml:space="preserve"> وقد قتلوا خلقاً كثيراً خلال غاراتهم تلك</w:t>
      </w:r>
      <w:r w:rsidR="000636C2">
        <w:rPr>
          <w:rFonts w:hint="cs"/>
          <w:rtl/>
        </w:rPr>
        <w:t>،</w:t>
      </w:r>
      <w:r>
        <w:rPr>
          <w:rFonts w:hint="cs"/>
          <w:rtl/>
        </w:rPr>
        <w:t xml:space="preserve"> </w:t>
      </w:r>
      <w:r w:rsidR="000636C2">
        <w:rPr>
          <w:rFonts w:hint="cs"/>
          <w:rtl/>
        </w:rPr>
        <w:t>(</w:t>
      </w:r>
      <w:r>
        <w:rPr>
          <w:rFonts w:hint="cs"/>
          <w:rtl/>
        </w:rPr>
        <w:t>وبعد</w:t>
      </w:r>
      <w:r w:rsidR="000636C2">
        <w:rPr>
          <w:rFonts w:hint="cs"/>
          <w:rtl/>
        </w:rPr>
        <w:t xml:space="preserve">) </w:t>
      </w:r>
      <w:r>
        <w:rPr>
          <w:rFonts w:hint="cs"/>
          <w:rtl/>
        </w:rPr>
        <w:t>فهذه بعض الأحداث الدامية التي ارتكبها الوهابية في حق المسلمين</w:t>
      </w:r>
      <w:r w:rsidR="000636C2">
        <w:rPr>
          <w:rFonts w:hint="cs"/>
          <w:rtl/>
        </w:rPr>
        <w:t>،</w:t>
      </w:r>
      <w:r>
        <w:rPr>
          <w:rFonts w:hint="cs"/>
          <w:rtl/>
        </w:rPr>
        <w:t xml:space="preserve"> ولنا أن نقول</w:t>
      </w:r>
      <w:r w:rsidR="000636C2">
        <w:rPr>
          <w:rFonts w:hint="cs"/>
          <w:rtl/>
        </w:rPr>
        <w:t xml:space="preserve">: </w:t>
      </w:r>
      <w:r>
        <w:rPr>
          <w:rFonts w:hint="cs"/>
          <w:rtl/>
        </w:rPr>
        <w:t>ما هو الفرق بين تصرف الخوارج وتصرف هؤلاء مع أهل القبلة من المسلمين</w:t>
      </w:r>
      <w:r w:rsidR="000636C2">
        <w:rPr>
          <w:rFonts w:hint="cs"/>
          <w:rtl/>
        </w:rPr>
        <w:t>،</w:t>
      </w:r>
      <w:r>
        <w:rPr>
          <w:rFonts w:hint="cs"/>
          <w:rtl/>
        </w:rPr>
        <w:t xml:space="preserve"> وهل كانوا حقيقة يُقاتلون كفاراً مشركين</w:t>
      </w:r>
      <w:r w:rsidR="000636C2">
        <w:rPr>
          <w:rFonts w:hint="cs"/>
          <w:rtl/>
        </w:rPr>
        <w:t>،</w:t>
      </w:r>
      <w:r>
        <w:rPr>
          <w:rFonts w:hint="cs"/>
          <w:rtl/>
        </w:rPr>
        <w:t xml:space="preserve"> أم يُقاتلون أهل الإسلام والتوحيد</w:t>
      </w:r>
      <w:r w:rsidR="000636C2">
        <w:rPr>
          <w:rFonts w:hint="cs"/>
          <w:rtl/>
        </w:rPr>
        <w:t>،</w:t>
      </w:r>
      <w:r>
        <w:rPr>
          <w:rFonts w:hint="cs"/>
          <w:rtl/>
        </w:rPr>
        <w:t xml:space="preserve"> الذين يدينون بلا إله إلا الله</w:t>
      </w:r>
      <w:r w:rsidR="000636C2">
        <w:rPr>
          <w:rFonts w:hint="cs"/>
          <w:rtl/>
        </w:rPr>
        <w:t>؟</w:t>
      </w:r>
      <w:r>
        <w:rPr>
          <w:rFonts w:hint="cs"/>
          <w:rtl/>
        </w:rPr>
        <w:t xml:space="preserve"> وكيف بعد ذلك أنّ نصدق أنّهم السلفية على طريق السلف</w:t>
      </w:r>
      <w:r w:rsidR="000636C2">
        <w:rPr>
          <w:rFonts w:hint="cs"/>
          <w:rtl/>
        </w:rPr>
        <w:t>،</w:t>
      </w:r>
      <w:r>
        <w:rPr>
          <w:rFonts w:hint="cs"/>
          <w:rtl/>
        </w:rPr>
        <w:t xml:space="preserve"> اللهم اهد قومنا فإنهم لا يعلمون</w:t>
      </w:r>
      <w:r w:rsidR="000636C2">
        <w:rPr>
          <w:rFonts w:hint="cs"/>
          <w:rtl/>
        </w:rPr>
        <w:t>،</w:t>
      </w:r>
      <w:r>
        <w:rPr>
          <w:rFonts w:hint="cs"/>
          <w:rtl/>
        </w:rPr>
        <w:t xml:space="preserve"> </w:t>
      </w:r>
      <w:r w:rsidR="000636C2">
        <w:rPr>
          <w:rFonts w:hint="cs"/>
          <w:bCs/>
          <w:rtl/>
        </w:rPr>
        <w:t>(</w:t>
      </w:r>
      <w:r>
        <w:rPr>
          <w:rFonts w:hint="cs"/>
          <w:bCs/>
          <w:rtl/>
        </w:rPr>
        <w:t>تنبيه ضروري</w:t>
      </w:r>
      <w:r w:rsidR="000636C2">
        <w:rPr>
          <w:rFonts w:hint="cs"/>
          <w:bCs/>
          <w:rtl/>
        </w:rPr>
        <w:t>)</w:t>
      </w:r>
      <w:r w:rsidR="000636C2">
        <w:rPr>
          <w:rFonts w:hint="cs"/>
          <w:rtl/>
        </w:rPr>
        <w:t xml:space="preserve"> </w:t>
      </w:r>
      <w:r>
        <w:rPr>
          <w:rFonts w:hint="cs"/>
          <w:rtl/>
        </w:rPr>
        <w:t>لقد مرت تلك المحنة وانتهت والحمد لله</w:t>
      </w:r>
      <w:r w:rsidR="000636C2">
        <w:rPr>
          <w:rFonts w:hint="cs"/>
          <w:rtl/>
        </w:rPr>
        <w:t>،</w:t>
      </w:r>
      <w:r>
        <w:rPr>
          <w:rFonts w:hint="cs"/>
          <w:rtl/>
        </w:rPr>
        <w:t xml:space="preserve"> والجميع اليوم يأبى ذلك ويرفضه</w:t>
      </w:r>
      <w:r w:rsidR="000636C2">
        <w:rPr>
          <w:rFonts w:hint="cs"/>
          <w:rtl/>
        </w:rPr>
        <w:t>،</w:t>
      </w:r>
      <w:r>
        <w:rPr>
          <w:rFonts w:hint="cs"/>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sidR="000636C2">
        <w:rPr>
          <w:rFonts w:hint="cs"/>
          <w:rtl/>
        </w:rPr>
        <w:t>،</w:t>
      </w:r>
      <w:r>
        <w:rPr>
          <w:rFonts w:hint="cs"/>
          <w:rtl/>
        </w:rPr>
        <w:t xml:space="preserve"> وتلك هي الحشوية في أرزل صورها</w:t>
      </w:r>
      <w:r w:rsidR="000636C2">
        <w:rPr>
          <w:rFonts w:hint="cs"/>
          <w:rtl/>
        </w:rPr>
        <w:t>،</w:t>
      </w:r>
      <w:r>
        <w:rPr>
          <w:rFonts w:hint="cs"/>
          <w:rtl/>
        </w:rPr>
        <w:t xml:space="preserve"> </w:t>
      </w:r>
      <w:bookmarkStart w:id="49" w:name="_Toc112603697"/>
      <w:bookmarkStart w:id="50" w:name="_Toc112603909"/>
      <w:bookmarkStart w:id="51" w:name="_Toc112664969"/>
      <w:bookmarkStart w:id="52" w:name="_Toc112917462"/>
      <w:r>
        <w:rPr>
          <w:rFonts w:hint="cs"/>
          <w:rtl/>
        </w:rPr>
        <w:t>وهي كما ترى أبعد المذاهب عن السلفية الحقة الصافية الصحيحة</w:t>
      </w:r>
      <w:r w:rsidR="000636C2">
        <w:rPr>
          <w:rFonts w:hint="cs"/>
          <w:rtl/>
        </w:rPr>
        <w:t>،</w:t>
      </w:r>
    </w:p>
    <w:p w14:paraId="24275863" w14:textId="77777777" w:rsidR="009C32A0" w:rsidRDefault="009C32A0" w:rsidP="000636C2">
      <w:pPr>
        <w:ind w:left="-58"/>
        <w:jc w:val="center"/>
        <w:rPr>
          <w:b/>
          <w:rtl/>
        </w:rPr>
      </w:pPr>
      <w:r>
        <w:rPr>
          <w:rFonts w:hint="cs"/>
          <w:rtl/>
        </w:rPr>
        <w:t xml:space="preserve">*** </w:t>
      </w:r>
    </w:p>
    <w:p w14:paraId="055F8A26" w14:textId="413CD22B" w:rsidR="009C32A0" w:rsidRPr="00627D1B" w:rsidRDefault="000636C2" w:rsidP="00627D1B">
      <w:pPr>
        <w:pStyle w:val="2"/>
        <w:bidi/>
        <w:jc w:val="center"/>
        <w:rPr>
          <w:u w:val="none"/>
          <w:rtl/>
        </w:rPr>
      </w:pPr>
      <w:r w:rsidRPr="00627D1B">
        <w:rPr>
          <w:rFonts w:hint="cs"/>
          <w:u w:val="none"/>
          <w:rtl/>
        </w:rPr>
        <w:t>[</w:t>
      </w:r>
      <w:r w:rsidR="009C32A0" w:rsidRPr="00627D1B">
        <w:rPr>
          <w:rFonts w:hint="cs"/>
          <w:u w:val="none"/>
          <w:rtl/>
        </w:rPr>
        <w:t>ثامناً</w:t>
      </w:r>
      <w:r w:rsidRPr="00627D1B">
        <w:rPr>
          <w:rFonts w:hint="cs"/>
          <w:u w:val="none"/>
          <w:rtl/>
        </w:rPr>
        <w:t>]</w:t>
      </w:r>
      <w:r w:rsidR="00627D1B" w:rsidRPr="00627D1B">
        <w:rPr>
          <w:rFonts w:hint="cs"/>
          <w:u w:val="none"/>
          <w:rtl/>
        </w:rPr>
        <w:t xml:space="preserve"> </w:t>
      </w:r>
      <w:r w:rsidR="009C32A0" w:rsidRPr="00627D1B">
        <w:rPr>
          <w:rFonts w:hint="cs"/>
          <w:u w:val="none"/>
          <w:rtl/>
        </w:rPr>
        <w:t>خطورة تجديد أفكار الحشوية في الفكر الإسلامي المعاصر تحت مسمى السلفية</w:t>
      </w:r>
    </w:p>
    <w:p w14:paraId="60A43E1B" w14:textId="77777777" w:rsidR="009C32A0" w:rsidRDefault="009C32A0" w:rsidP="000636C2">
      <w:pPr>
        <w:ind w:left="-58"/>
        <w:rPr>
          <w:bCs/>
          <w:rtl/>
        </w:rPr>
      </w:pPr>
    </w:p>
    <w:p w14:paraId="17EF7817" w14:textId="5D0A1335" w:rsidR="009C32A0" w:rsidRDefault="009C32A0" w:rsidP="000636C2">
      <w:pPr>
        <w:ind w:left="-58"/>
        <w:rPr>
          <w:b/>
        </w:rPr>
      </w:pPr>
      <w:r>
        <w:rPr>
          <w:rFonts w:hint="cs"/>
          <w:rtl/>
        </w:rPr>
        <w:t>قال الدكتور صهيب السقار في كتابه التجسيم في الفكر الإسلامي - تحت عنوان التجسيم في الفكر الإسلامي الحديث</w:t>
      </w:r>
      <w:bookmarkEnd w:id="49"/>
      <w:bookmarkEnd w:id="50"/>
      <w:bookmarkEnd w:id="51"/>
      <w:bookmarkEnd w:id="52"/>
      <w:r>
        <w:rPr>
          <w:rFonts w:hint="cs"/>
          <w:rtl/>
        </w:rPr>
        <w:t xml:space="preserve"> -</w:t>
      </w:r>
      <w:r w:rsidR="000636C2">
        <w:rPr>
          <w:rFonts w:hint="cs"/>
          <w:rtl/>
        </w:rPr>
        <w:t xml:space="preserve">: </w:t>
      </w:r>
      <w:r>
        <w:rPr>
          <w:rFonts w:hint="cs"/>
          <w:rtl/>
        </w:rPr>
        <w:t>" سبق أن قدمنا أن من المعاصرين من ملأ الدنيا شغباً على مذهب أهل السنة والجماعة ومسلكيهم في ما تشابه من الكتاب والسنة وأنهم على كثرة ما حققوه ودرسوه ونشروه لم يقرروا شبهة ولم يحكموا اعتراضاً ولم يزيدوا إلا وبالاً وبللاً</w:t>
      </w:r>
      <w:r w:rsidR="000636C2">
        <w:rPr>
          <w:rFonts w:hint="cs"/>
          <w:rtl/>
        </w:rPr>
        <w:t xml:space="preserve">، </w:t>
      </w:r>
      <w:r>
        <w:rPr>
          <w:rFonts w:hint="cs"/>
          <w:rtl/>
        </w:rPr>
        <w:t xml:space="preserve">وفي هذا المبحث يتبين العذر الذي سوغ إعادة </w:t>
      </w:r>
      <w:r>
        <w:rPr>
          <w:rFonts w:hint="cs"/>
          <w:rtl/>
        </w:rPr>
        <w:lastRenderedPageBreak/>
        <w:t>الكتابة في هذا المذهب المستشنع الهالك</w:t>
      </w:r>
      <w:r w:rsidR="000636C2">
        <w:rPr>
          <w:rFonts w:hint="cs"/>
          <w:rtl/>
        </w:rPr>
        <w:t>،</w:t>
      </w:r>
      <w:r>
        <w:rPr>
          <w:rFonts w:hint="cs"/>
          <w:rtl/>
        </w:rPr>
        <w:t xml:space="preserve"> فنشير إلى صنيع المعاصرين ممن خاضوا في المتشابه فحاموا حول حمى التجسيم، 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 وعكفوا على بعض مصنفات السابقين الذين سبقوهم في ذلك فأشبعوها دراسة وخدمة وقدَّموها على أنها مصادرُ العقيدة السلفية</w:t>
      </w:r>
      <w:r w:rsidR="000636C2">
        <w:rPr>
          <w:rFonts w:hint="cs"/>
          <w:rtl/>
        </w:rPr>
        <w:t xml:space="preserve">، </w:t>
      </w:r>
      <w:r>
        <w:rPr>
          <w:rFonts w:hint="cs"/>
          <w:rtl/>
        </w:rPr>
        <w:t>فلا بد من الإشارة أولاً إلى جهودهم في خدمة المصنفات التي خاض فيها المتقدمون في ما تشابه</w:t>
      </w:r>
      <w:r w:rsidR="000636C2">
        <w:rPr>
          <w:rFonts w:hint="cs"/>
          <w:rtl/>
        </w:rPr>
        <w:t xml:space="preserve">، </w:t>
      </w:r>
      <w:r>
        <w:rPr>
          <w:rFonts w:hint="cs"/>
          <w:rtl/>
        </w:rPr>
        <w:t>ولابد من الإشارة إلى جهودهم في التشنيع على من اختار هذين المسلكين لإبطال ما يدرأ التجسيم</w:t>
      </w:r>
      <w:r w:rsidR="000636C2">
        <w:rPr>
          <w:rFonts w:hint="cs"/>
          <w:rtl/>
        </w:rPr>
        <w:t>،</w:t>
      </w:r>
      <w:bookmarkStart w:id="53" w:name="_Toc112603698"/>
      <w:bookmarkStart w:id="54" w:name="_Toc112603910"/>
      <w:bookmarkStart w:id="55" w:name="_Toc112664970"/>
      <w:bookmarkStart w:id="56" w:name="_Toc112917463"/>
      <w:r>
        <w:rPr>
          <w:rFonts w:hint="cs"/>
          <w:rtl/>
        </w:rPr>
        <w:t xml:space="preserve"> </w:t>
      </w:r>
      <w:r w:rsidR="000636C2">
        <w:rPr>
          <w:rFonts w:hint="cs"/>
          <w:bCs/>
          <w:rtl/>
        </w:rPr>
        <w:t>(</w:t>
      </w:r>
      <w:r>
        <w:rPr>
          <w:rFonts w:hint="cs"/>
          <w:bCs/>
          <w:rtl/>
        </w:rPr>
        <w:t>أولاً</w:t>
      </w:r>
      <w:r w:rsidR="000636C2">
        <w:rPr>
          <w:rFonts w:hint="cs"/>
          <w:bCs/>
          <w:rtl/>
        </w:rPr>
        <w:t xml:space="preserve">): </w:t>
      </w:r>
      <w:r>
        <w:rPr>
          <w:rFonts w:hint="cs"/>
          <w:bCs/>
          <w:rtl/>
        </w:rPr>
        <w:t>جهود المعاصرين في نشر المصنفات التالفة وتحقيقها ونشرها وتعظيمها</w:t>
      </w:r>
      <w:bookmarkEnd w:id="53"/>
      <w:bookmarkEnd w:id="54"/>
      <w:bookmarkEnd w:id="55"/>
      <w:bookmarkEnd w:id="56"/>
      <w:r w:rsidR="000636C2">
        <w:rPr>
          <w:rFonts w:hint="cs"/>
          <w:rtl/>
        </w:rPr>
        <w:t xml:space="preserve">: </w:t>
      </w:r>
      <w:r>
        <w:rPr>
          <w:rFonts w:hint="cs"/>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sidR="000636C2">
        <w:rPr>
          <w:rFonts w:hint="cs"/>
          <w:rtl/>
        </w:rPr>
        <w:t xml:space="preserve">، </w:t>
      </w:r>
      <w:r>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sidR="000636C2">
        <w:rPr>
          <w:rFonts w:hint="cs"/>
          <w:rtl/>
        </w:rPr>
        <w:t xml:space="preserve">، </w:t>
      </w:r>
      <w:r>
        <w:rPr>
          <w:rFonts w:hint="cs"/>
          <w:rtl/>
        </w:rPr>
        <w:t>والمقصود هنا أن نشير إلى منزلة هذا الكتاب في فكر المعاصرين</w:t>
      </w:r>
      <w:r w:rsidR="000636C2">
        <w:rPr>
          <w:rFonts w:hint="cs"/>
          <w:rtl/>
        </w:rPr>
        <w:t xml:space="preserve">، </w:t>
      </w:r>
      <w:r>
        <w:rPr>
          <w:rFonts w:hint="cs"/>
          <w:rtl/>
        </w:rPr>
        <w:t>ومما يشير إلى أهمية هذا الكتاب تحقيقُه في رسالة جامعية نال فيها المحقق التقدير الممتاز في شهادة الدكتوراه في العقيدة الإسلامية</w:t>
      </w:r>
      <w:r w:rsidR="000636C2">
        <w:rPr>
          <w:rFonts w:hint="cs"/>
          <w:rtl/>
        </w:rPr>
        <w:t xml:space="preserve">، </w:t>
      </w:r>
      <w:r>
        <w:rPr>
          <w:rFonts w:hint="cs"/>
          <w:rtl/>
        </w:rPr>
        <w:t>وقد صرح الباحث بما يشير إلى منزلة هذا الكتاب في الفكر السلفي فقال</w:t>
      </w:r>
      <w:r w:rsidR="000636C2">
        <w:rPr>
          <w:rFonts w:hint="cs"/>
          <w:rtl/>
        </w:rPr>
        <w:t>:</w:t>
      </w:r>
      <w:r>
        <w:rPr>
          <w:rFonts w:hint="cs"/>
          <w:rtl/>
        </w:rPr>
        <w:t xml:space="preserve"> </w:t>
      </w:r>
      <w:r w:rsidR="000636C2">
        <w:rPr>
          <w:rFonts w:hint="cs"/>
          <w:rtl/>
        </w:rPr>
        <w:t>(</w:t>
      </w:r>
      <w:r>
        <w:rPr>
          <w:rFonts w:hint="cs"/>
          <w:rtl/>
        </w:rPr>
        <w:t>إن هذا الكتاب من أوائل المصادر التي كتبت في عقيدة السلف فإخراجه للناس في هذا العصر من الأهمية بمكان</w:t>
      </w:r>
      <w:r w:rsidR="000636C2">
        <w:rPr>
          <w:rFonts w:hint="cs"/>
          <w:rtl/>
        </w:rPr>
        <w:t>) [</w:t>
      </w:r>
      <w:r>
        <w:rPr>
          <w:rFonts w:hint="cs"/>
          <w:color w:val="000000"/>
          <w:rtl/>
        </w:rPr>
        <w:t>مقدمة كتاب السنة 1/15</w:t>
      </w:r>
      <w:r w:rsidR="000636C2">
        <w:rPr>
          <w:rFonts w:hint="cs"/>
          <w:rtl/>
        </w:rPr>
        <w:t>]</w:t>
      </w:r>
      <w:r>
        <w:rPr>
          <w:rFonts w:hint="cs"/>
          <w:rtl/>
        </w:rPr>
        <w:t xml:space="preserve"> ويقول أيضاً</w:t>
      </w:r>
      <w:r w:rsidR="000636C2">
        <w:rPr>
          <w:rFonts w:hint="cs"/>
          <w:rtl/>
        </w:rPr>
        <w:t>:</w:t>
      </w:r>
      <w:r>
        <w:rPr>
          <w:rFonts w:hint="cs"/>
          <w:rtl/>
        </w:rPr>
        <w:t xml:space="preserve"> </w:t>
      </w:r>
      <w:r w:rsidR="000636C2">
        <w:rPr>
          <w:rFonts w:hint="cs"/>
          <w:rtl/>
        </w:rPr>
        <w:t>(</w:t>
      </w:r>
      <w:r>
        <w:rPr>
          <w:rFonts w:hint="cs"/>
          <w:rtl/>
        </w:rPr>
        <w:t>هذا الكتاب من أمهات مصادر العقيدة في كتب السلف …لذا فهو من المصادر الأولى إذ لم يتقدمه إلا بعض الكتب الصغيرة .. فهو من هذا الجانب ذا</w:t>
      </w:r>
      <w:r w:rsidR="000636C2">
        <w:rPr>
          <w:rFonts w:hint="cs"/>
          <w:rtl/>
        </w:rPr>
        <w:t xml:space="preserve"> [</w:t>
      </w:r>
      <w:r>
        <w:rPr>
          <w:rFonts w:hint="cs"/>
          <w:rtl/>
        </w:rPr>
        <w:t xml:space="preserve">الصواب </w:t>
      </w:r>
      <w:r w:rsidR="000636C2">
        <w:rPr>
          <w:rFonts w:hint="cs"/>
          <w:rtl/>
        </w:rPr>
        <w:t>(</w:t>
      </w:r>
      <w:r>
        <w:rPr>
          <w:rFonts w:hint="cs"/>
          <w:rtl/>
        </w:rPr>
        <w:t>ذو مكانة</w:t>
      </w:r>
      <w:r w:rsidR="000636C2">
        <w:rPr>
          <w:rFonts w:hint="cs"/>
          <w:rtl/>
        </w:rPr>
        <w:t xml:space="preserve">) </w:t>
      </w:r>
      <w:r>
        <w:rPr>
          <w:rFonts w:hint="cs"/>
          <w:rtl/>
        </w:rPr>
        <w:t>لأنه خبر</w:t>
      </w:r>
      <w:r w:rsidR="000636C2">
        <w:rPr>
          <w:rFonts w:hint="cs"/>
          <w:rtl/>
        </w:rPr>
        <w:t xml:space="preserve">] </w:t>
      </w:r>
      <w:r>
        <w:rPr>
          <w:rFonts w:hint="cs"/>
          <w:rtl/>
        </w:rPr>
        <w:t>مكانة كبيرة حيث اعتمدت عليه كثير من الكتب التي صنفت في عقيدة السلف …فهو بحق مصدر رائد برزت قيمته في من نقل عنه وعزا إليه …فهذا الكتاب صنو لهذه المصنفات التي هي اليوم تحتل مكان الصدارة بعد كتاب الله في المكتبة الإسلامية</w:t>
      </w:r>
      <w:r w:rsidR="000636C2">
        <w:rPr>
          <w:rFonts w:hint="cs"/>
          <w:rtl/>
        </w:rPr>
        <w:t>) [</w:t>
      </w:r>
      <w:r>
        <w:rPr>
          <w:rFonts w:hint="cs"/>
          <w:color w:val="000000"/>
          <w:rtl/>
        </w:rPr>
        <w:t>المصدر السابق1/65-66</w:t>
      </w:r>
      <w:r w:rsidR="000636C2">
        <w:rPr>
          <w:rFonts w:hint="cs"/>
          <w:rtl/>
        </w:rPr>
        <w:t>]،</w:t>
      </w:r>
      <w:r>
        <w:rPr>
          <w:rFonts w:hint="cs"/>
          <w:rtl/>
        </w:rPr>
        <w:t xml:space="preserve"> وقد أجريتُ إحصائية لما في هذا الكتاب من الأحاديث والآثار فوجدت المحقق قد ضعف من أحاديثه وآثاره ما يقارب ثمانية وخمسين خبراً من كل مئة خبر، وفي ما وثَّق المحقق رجالَ إسناده من أخبار هذا الكتاب ما يزيدك علماً بقيمة هذا الكتاب وتوثيق المحقق </w:t>
      </w:r>
      <w:r>
        <w:rPr>
          <w:rFonts w:hint="cs"/>
          <w:rtl/>
        </w:rPr>
        <w:lastRenderedPageBreak/>
        <w:t>لرجاله، فمن ذلك مثلاً أنه وثق ما أخرجه المؤلف بسنده عن الإمام مالك بن أنس أنه ذكر أبا حنيفة بكلام سوء وقال</w:t>
      </w:r>
      <w:r w:rsidR="000636C2">
        <w:rPr>
          <w:rFonts w:hint="cs"/>
          <w:rtl/>
        </w:rPr>
        <w:t xml:space="preserve">: </w:t>
      </w:r>
      <w:r>
        <w:rPr>
          <w:rFonts w:hint="cs"/>
          <w:rtl/>
        </w:rPr>
        <w:t xml:space="preserve">كادَ الدينَ ومن كاد الدين فليس من الدين </w:t>
      </w:r>
      <w:r w:rsidR="000636C2">
        <w:rPr>
          <w:rFonts w:hint="cs"/>
          <w:rtl/>
        </w:rPr>
        <w:t>[</w:t>
      </w:r>
      <w:r>
        <w:rPr>
          <w:rFonts w:hint="cs"/>
          <w:color w:val="000000"/>
          <w:rtl/>
        </w:rPr>
        <w:t>المصدر السابق 1/199</w:t>
      </w:r>
      <w:r w:rsidR="000636C2">
        <w:rPr>
          <w:rFonts w:hint="cs"/>
          <w:rtl/>
        </w:rPr>
        <w:t>]،</w:t>
      </w:r>
      <w:r w:rsidR="000636C2">
        <w:rPr>
          <w:rFonts w:hint="cs"/>
          <w:vertAlign w:val="superscript"/>
          <w:rtl/>
        </w:rPr>
        <w:t xml:space="preserve"> </w:t>
      </w:r>
      <w:r>
        <w:rPr>
          <w:rFonts w:hint="cs"/>
          <w:rtl/>
        </w:rPr>
        <w:t xml:space="preserve">ومنه أيضاً عن أبي عوانة أن أبا حنيفة قال في المسكر حلال </w:t>
      </w:r>
      <w:r w:rsidR="000636C2">
        <w:rPr>
          <w:rFonts w:hint="cs"/>
          <w:rtl/>
        </w:rPr>
        <w:t>[</w:t>
      </w:r>
      <w:r>
        <w:rPr>
          <w:rFonts w:hint="cs"/>
          <w:color w:val="000000"/>
          <w:rtl/>
        </w:rPr>
        <w:t>المصدر السابق 1/2</w:t>
      </w:r>
      <w:r w:rsidR="000636C2">
        <w:rPr>
          <w:rFonts w:hint="cs"/>
          <w:color w:val="000000"/>
          <w:rtl/>
        </w:rPr>
        <w:t>،</w:t>
      </w:r>
      <w:r>
        <w:rPr>
          <w:rFonts w:hint="cs"/>
          <w:color w:val="000000"/>
          <w:rtl/>
        </w:rPr>
        <w:t xml:space="preserve"> 7</w:t>
      </w:r>
      <w:r w:rsidR="000636C2">
        <w:rPr>
          <w:rFonts w:hint="cs"/>
          <w:rtl/>
        </w:rPr>
        <w:t>]</w:t>
      </w:r>
      <w:r>
        <w:rPr>
          <w:rFonts w:hint="cs"/>
          <w:rtl/>
        </w:rPr>
        <w:t xml:space="preserve"> وأنه استتيب من الكفر مرتين </w:t>
      </w:r>
      <w:r w:rsidR="000636C2">
        <w:rPr>
          <w:rFonts w:hint="cs"/>
          <w:rtl/>
        </w:rPr>
        <w:t>[</w:t>
      </w:r>
      <w:r>
        <w:rPr>
          <w:rFonts w:hint="cs"/>
          <w:color w:val="000000"/>
          <w:rtl/>
        </w:rPr>
        <w:t>المصدر السابق 1/193</w:t>
      </w:r>
      <w:r w:rsidR="000636C2">
        <w:rPr>
          <w:rFonts w:hint="cs"/>
          <w:rtl/>
        </w:rPr>
        <w:t>]</w:t>
      </w:r>
      <w:r>
        <w:rPr>
          <w:rFonts w:hint="cs"/>
          <w:rtl/>
        </w:rPr>
        <w:t xml:space="preserve"> ومنه أيضاً أن الله عز وجل يدني داودَ عليه السلام حتى يضع يده في يده </w:t>
      </w:r>
      <w:r w:rsidR="000636C2">
        <w:rPr>
          <w:rFonts w:hint="cs"/>
          <w:rtl/>
        </w:rPr>
        <w:t>[</w:t>
      </w:r>
      <w:r>
        <w:rPr>
          <w:rFonts w:hint="cs"/>
          <w:color w:val="000000"/>
          <w:rtl/>
        </w:rPr>
        <w:t>المصدر السابق2/2</w:t>
      </w:r>
      <w:r w:rsidR="000636C2">
        <w:rPr>
          <w:rFonts w:hint="cs"/>
          <w:color w:val="000000"/>
          <w:rtl/>
        </w:rPr>
        <w:t>،</w:t>
      </w:r>
      <w:r>
        <w:rPr>
          <w:rFonts w:hint="cs"/>
          <w:color w:val="000000"/>
          <w:rtl/>
        </w:rPr>
        <w:t xml:space="preserve"> 5</w:t>
      </w:r>
      <w:r w:rsidR="000636C2">
        <w:rPr>
          <w:rFonts w:hint="cs"/>
          <w:rtl/>
        </w:rPr>
        <w:t>]</w:t>
      </w:r>
      <w:r>
        <w:rPr>
          <w:rFonts w:hint="cs"/>
          <w:rtl/>
        </w:rPr>
        <w:t xml:space="preserve"> فأنت ترى أن القوم زهَّدوا في إحياء علوم الدين للحجة الغزالي متذرعين بما فيه من الأحاديث الضعيفة،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sidR="000636C2">
        <w:rPr>
          <w:rFonts w:hint="cs"/>
          <w:rtl/>
        </w:rPr>
        <w:t xml:space="preserve">، </w:t>
      </w:r>
      <w:r>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sidR="000636C2">
        <w:rPr>
          <w:rFonts w:hint="cs"/>
          <w:rtl/>
        </w:rPr>
        <w:t xml:space="preserve">، </w:t>
      </w:r>
      <w:r>
        <w:rPr>
          <w:rFonts w:hint="cs"/>
          <w:rtl/>
        </w:rPr>
        <w:t>ومن العجيب أن القوم تظاهروا على عده من مصادر عقيدتهم السلفية</w:t>
      </w:r>
      <w:r w:rsidR="000636C2">
        <w:rPr>
          <w:rFonts w:hint="cs"/>
          <w:rtl/>
        </w:rPr>
        <w:t xml:space="preserve">، </w:t>
      </w:r>
      <w:r>
        <w:rPr>
          <w:rFonts w:hint="cs"/>
          <w:rtl/>
        </w:rPr>
        <w:t>ومن يتابع السلف على نبذ التعصب والتجرد لطلب الحق يعلم أن الإسلام أغنى ما يكون عن هذا الكتاب، لأن شيئاً من دين الله عز وجل لم يوكَل إثباته إلى كتاب مجهول السند</w:t>
      </w:r>
      <w:r w:rsidR="000636C2">
        <w:rPr>
          <w:rFonts w:hint="cs"/>
          <w:rtl/>
        </w:rPr>
        <w:t xml:space="preserve">، </w:t>
      </w:r>
      <w:r>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sidR="000636C2">
        <w:rPr>
          <w:rFonts w:hint="cs"/>
          <w:rtl/>
        </w:rPr>
        <w:t xml:space="preserve">، </w:t>
      </w:r>
      <w:r>
        <w:rPr>
          <w:rFonts w:hint="cs"/>
          <w:rtl/>
        </w:rPr>
        <w:t>ولست أرى مع طبع هذا الكتاب ونشره وتحقيقه وجهاً لمن تثاقل في الرد وتذرع بالورع عن الخوض في ما شجر بين المسلمين، فكيف يستقيم هذا الورع إذا كان هذا الكتاب واحداً من جملة كتب ورسائل وفتاوى تظاهرت على الخوض في المتشابه والطعن في علماء الأمة</w:t>
      </w:r>
      <w:r w:rsidR="000636C2">
        <w:rPr>
          <w:rFonts w:hint="cs"/>
          <w:rtl/>
        </w:rPr>
        <w:t>،</w:t>
      </w:r>
      <w:r>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sidR="000636C2">
        <w:rPr>
          <w:rFonts w:hint="cs"/>
          <w:rtl/>
        </w:rPr>
        <w:t>[</w:t>
      </w:r>
      <w:r>
        <w:rPr>
          <w:rFonts w:hint="cs"/>
          <w:color w:val="000000"/>
          <w:rtl/>
        </w:rPr>
        <w:t>انظر كتاب السنة بتحقيقه 1/2</w:t>
      </w:r>
      <w:r w:rsidR="000636C2">
        <w:rPr>
          <w:rFonts w:hint="cs"/>
          <w:color w:val="000000"/>
          <w:rtl/>
        </w:rPr>
        <w:t>،]</w:t>
      </w:r>
      <w:r w:rsidR="000636C2">
        <w:rPr>
          <w:rFonts w:hint="cs"/>
          <w:rtl/>
        </w:rPr>
        <w:t>،</w:t>
      </w:r>
      <w:r>
        <w:rPr>
          <w:rFonts w:hint="cs"/>
          <w:rtl/>
        </w:rPr>
        <w:t xml:space="preserve"> ولم يكتفوا بتحقيق محمد خليل هراس لكتاب التوحيد لابن خزيمة حتى حققه الدكتور عبد العزيز إبراهيم الشهوان ونال بتحقيقه الدكتوراه وشهد فيها للكتاب ولمؤلفه بالسلفية </w:t>
      </w:r>
      <w:r w:rsidR="000636C2">
        <w:rPr>
          <w:rFonts w:hint="cs"/>
          <w:rtl/>
        </w:rPr>
        <w:t>[</w:t>
      </w:r>
      <w:r>
        <w:rPr>
          <w:rFonts w:hint="cs"/>
          <w:color w:val="000000"/>
          <w:rtl/>
        </w:rPr>
        <w:t>انظر مقدمة تحقيق الكتاب 1/38</w:t>
      </w:r>
      <w:r w:rsidR="000636C2">
        <w:rPr>
          <w:rFonts w:hint="cs"/>
          <w:rtl/>
        </w:rPr>
        <w:t>]</w:t>
      </w:r>
      <w:r>
        <w:rPr>
          <w:rFonts w:hint="cs"/>
          <w:rtl/>
        </w:rPr>
        <w:t xml:space="preserve"> ومن العجيب أنه أخذ على المؤلف تأويل حديث الصورة، ثم كاد أن </w:t>
      </w:r>
      <w:r>
        <w:rPr>
          <w:rFonts w:hint="cs"/>
          <w:rtl/>
        </w:rPr>
        <w:lastRenderedPageBreak/>
        <w:t>يلتمس له سبعةً وسبعين عذراً في روايته عن بعض الضعفاء والمجهولين</w:t>
      </w:r>
      <w:r w:rsidR="000636C2">
        <w:rPr>
          <w:rFonts w:hint="cs"/>
          <w:rtl/>
        </w:rPr>
        <w:t xml:space="preserve"> [</w:t>
      </w:r>
      <w:r>
        <w:rPr>
          <w:rFonts w:hint="cs"/>
          <w:color w:val="000000"/>
          <w:rtl/>
        </w:rPr>
        <w:t>المصدر السابق1/68</w:t>
      </w:r>
      <w:r w:rsidR="000636C2">
        <w:rPr>
          <w:rFonts w:hint="cs"/>
          <w:rtl/>
        </w:rPr>
        <w:t>]،</w:t>
      </w:r>
      <w:r>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المريسي والرد على الجهمية ضمن مجموعة عقائد السلف حتى حقق رئيس جمعية أنصار السنة المحمدية محمد حامد الفقي كتاب الرد على المريسي بعد إلحاح شديد من أفاضل علماء نجد وطلبة الحرمين كما زعم وقال في الكتاب</w:t>
      </w:r>
      <w:r w:rsidR="000636C2">
        <w:rPr>
          <w:rFonts w:hint="cs"/>
          <w:rtl/>
        </w:rPr>
        <w:t>: (</w:t>
      </w:r>
      <w:r>
        <w:rPr>
          <w:rFonts w:hint="cs"/>
          <w:rtl/>
        </w:rPr>
        <w:t>من أجل الكتب الداحضة لأباطيل الجهمية</w:t>
      </w:r>
      <w:r w:rsidR="000636C2">
        <w:rPr>
          <w:rFonts w:hint="cs"/>
          <w:rtl/>
        </w:rPr>
        <w:t>) [</w:t>
      </w:r>
      <w:r>
        <w:rPr>
          <w:rFonts w:hint="cs"/>
          <w:color w:val="000000"/>
          <w:rtl/>
        </w:rPr>
        <w:t>انظر الكتاب بتحقيقه 48</w:t>
      </w:r>
      <w:r w:rsidR="000636C2">
        <w:rPr>
          <w:rFonts w:hint="cs"/>
          <w:rtl/>
        </w:rPr>
        <w:t>]</w:t>
      </w:r>
      <w:r>
        <w:rPr>
          <w:rFonts w:hint="cs"/>
          <w:rtl/>
        </w:rPr>
        <w:t xml:space="preserve"> ثم حققه الدكتور رشيد بن حسين في رسالة نال بها شهادة الماجستير بتقدير ممتاز قال فيها</w:t>
      </w:r>
      <w:r w:rsidR="000636C2">
        <w:rPr>
          <w:rFonts w:hint="cs"/>
          <w:rtl/>
        </w:rPr>
        <w:t>: (</w:t>
      </w:r>
      <w:r>
        <w:rPr>
          <w:rFonts w:hint="cs"/>
          <w:rtl/>
        </w:rPr>
        <w:t>ومن تأمل كتابه سيقف على ما كان عليه هذا الرجل من مناصرة السنة</w:t>
      </w:r>
      <w:r w:rsidR="000636C2">
        <w:rPr>
          <w:rFonts w:hint="cs"/>
          <w:rtl/>
        </w:rPr>
        <w:t xml:space="preserve"> </w:t>
      </w:r>
      <w:r>
        <w:rPr>
          <w:rFonts w:hint="cs"/>
          <w:rtl/>
        </w:rPr>
        <w:t>..</w:t>
      </w:r>
      <w:r w:rsidR="000636C2">
        <w:rPr>
          <w:rFonts w:hint="cs"/>
          <w:rtl/>
        </w:rPr>
        <w:t xml:space="preserve"> </w:t>
      </w:r>
      <w:r>
        <w:rPr>
          <w:rFonts w:hint="cs"/>
          <w:rtl/>
        </w:rPr>
        <w:t>وشدة الحرص على إثبات صفات الله وأسمائه</w:t>
      </w:r>
      <w:r w:rsidR="000636C2">
        <w:rPr>
          <w:rFonts w:hint="cs"/>
          <w:rtl/>
        </w:rPr>
        <w:t>) [</w:t>
      </w:r>
      <w:r>
        <w:rPr>
          <w:rFonts w:hint="cs"/>
          <w:color w:val="000000"/>
          <w:rtl/>
        </w:rPr>
        <w:t>انظر مقدمة الكتاب بتحقيقه</w:t>
      </w:r>
      <w:r w:rsidR="000636C2">
        <w:rPr>
          <w:rFonts w:hint="cs"/>
          <w:color w:val="000000"/>
          <w:rtl/>
        </w:rPr>
        <w:t xml:space="preserve"> </w:t>
      </w:r>
      <w:r>
        <w:rPr>
          <w:rFonts w:hint="cs"/>
          <w:color w:val="000000"/>
          <w:rtl/>
        </w:rPr>
        <w:t>1/14</w:t>
      </w:r>
      <w:r w:rsidR="000636C2">
        <w:rPr>
          <w:rFonts w:hint="cs"/>
          <w:rtl/>
        </w:rPr>
        <w:t>]،</w:t>
      </w:r>
      <w:r>
        <w:rPr>
          <w:rFonts w:hint="cs"/>
          <w:vertAlign w:val="superscript"/>
          <w:rtl/>
        </w:rPr>
        <w:t xml:space="preserve"> </w:t>
      </w:r>
      <w:r>
        <w:rPr>
          <w:rFonts w:hint="cs"/>
          <w:rtl/>
        </w:rPr>
        <w:t xml:space="preserve">وأما كتاب الرد على الجهمية فقد حققه أيضاً بدر البدر وشهد له باتباع السلف ونصر السنة </w:t>
      </w:r>
      <w:r w:rsidR="000636C2">
        <w:rPr>
          <w:rFonts w:hint="cs"/>
          <w:rtl/>
        </w:rPr>
        <w:t>[</w:t>
      </w:r>
      <w:r>
        <w:rPr>
          <w:rFonts w:hint="cs"/>
          <w:color w:val="000000"/>
          <w:rtl/>
        </w:rPr>
        <w:t>انظر مقدمة الكتاب بتحقيقه 9-10</w:t>
      </w:r>
      <w:r w:rsidR="000636C2">
        <w:rPr>
          <w:rFonts w:hint="cs"/>
          <w:color w:val="000000"/>
          <w:rtl/>
        </w:rPr>
        <w:t>]</w:t>
      </w:r>
      <w:r w:rsidR="000636C2">
        <w:rPr>
          <w:rFonts w:hint="cs"/>
          <w:rtl/>
        </w:rPr>
        <w:t xml:space="preserve">، </w:t>
      </w:r>
      <w:r>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sidR="000636C2">
        <w:rPr>
          <w:rFonts w:hint="cs"/>
          <w:rtl/>
        </w:rPr>
        <w:t>[</w:t>
      </w:r>
      <w:r>
        <w:rPr>
          <w:rFonts w:hint="cs"/>
          <w:color w:val="000000"/>
          <w:rtl/>
        </w:rPr>
        <w:t>انظر مقدمة رسالته الموسومة " عثمان بن سعيد الدارمي ودفاعه عن عقيدة السلف" من رسائل جامعة أم القرى 14</w:t>
      </w:r>
      <w:r w:rsidR="000636C2">
        <w:rPr>
          <w:rFonts w:hint="cs"/>
          <w:color w:val="000000"/>
          <w:rtl/>
        </w:rPr>
        <w:t>،</w:t>
      </w:r>
      <w:r>
        <w:rPr>
          <w:rFonts w:hint="cs"/>
          <w:color w:val="000000"/>
          <w:rtl/>
        </w:rPr>
        <w:t xml:space="preserve"> 3</w:t>
      </w:r>
      <w:r w:rsidR="000636C2">
        <w:rPr>
          <w:rFonts w:hint="cs"/>
          <w:rtl/>
        </w:rPr>
        <w:t>]،</w:t>
      </w:r>
      <w:r>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sidR="000636C2">
        <w:rPr>
          <w:rFonts w:hint="cs"/>
          <w:rtl/>
        </w:rPr>
        <w:t>[</w:t>
      </w:r>
      <w:r>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sidR="000636C2">
        <w:rPr>
          <w:rFonts w:hint="cs"/>
          <w:rtl/>
        </w:rPr>
        <w:t>]،</w:t>
      </w:r>
      <w:r>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 ونال رضا نعسان معطي شهادة الماجستير على تحقيقه وقال</w:t>
      </w:r>
      <w:r w:rsidR="000636C2">
        <w:rPr>
          <w:rFonts w:hint="cs"/>
          <w:rtl/>
        </w:rPr>
        <w:t>: (</w:t>
      </w:r>
      <w:r>
        <w:rPr>
          <w:rFonts w:hint="cs"/>
          <w:rtl/>
        </w:rPr>
        <w:t>كتاب الإبانة لابن بطة يعد أكبر موسوعة في العقيدة السلفية ..</w:t>
      </w:r>
      <w:r w:rsidR="000636C2">
        <w:rPr>
          <w:rFonts w:hint="cs"/>
          <w:rtl/>
        </w:rPr>
        <w:t xml:space="preserve"> </w:t>
      </w:r>
      <w:r>
        <w:rPr>
          <w:rFonts w:hint="cs"/>
          <w:rtl/>
        </w:rPr>
        <w:t>هذا الكتاب يمثل مذهب الإمام أحمد بن حنبل ..</w:t>
      </w:r>
      <w:r w:rsidR="000636C2">
        <w:rPr>
          <w:rFonts w:hint="cs"/>
          <w:rtl/>
        </w:rPr>
        <w:t>) [</w:t>
      </w:r>
      <w:r>
        <w:rPr>
          <w:rFonts w:hint="cs"/>
          <w:color w:val="000000"/>
          <w:rtl/>
        </w:rPr>
        <w:t>انظر مقدمة الكتاب بتحقيقه 1/6-7</w:t>
      </w:r>
      <w:r w:rsidR="000636C2">
        <w:rPr>
          <w:rFonts w:hint="cs"/>
          <w:rtl/>
        </w:rPr>
        <w:t>]</w:t>
      </w:r>
      <w:r>
        <w:rPr>
          <w:rFonts w:hint="cs"/>
          <w:rtl/>
        </w:rPr>
        <w:t xml:space="preserve"> وحاشا لمذهب إمام أهل الأثر أن يمثله متهم بالوضع والتصرف في الكتب</w:t>
      </w:r>
      <w:r w:rsidR="000636C2">
        <w:rPr>
          <w:rFonts w:hint="cs"/>
          <w:rtl/>
        </w:rPr>
        <w:t>،</w:t>
      </w:r>
      <w:r>
        <w:rPr>
          <w:rFonts w:hint="cs"/>
          <w:rtl/>
        </w:rPr>
        <w:t xml:space="preserve"> ومثله كتاب التوحيد لابن مندة الذي اشترك في تحقيقه الطالبان موسى بن عبد العزيز الغصن ومحمد بن عبد الله الوهيبي لأنه من مصادر عقيدة السلف أيضاً</w:t>
      </w:r>
      <w:r w:rsidR="000636C2">
        <w:rPr>
          <w:rFonts w:hint="cs"/>
          <w:rtl/>
        </w:rPr>
        <w:t xml:space="preserve"> [</w:t>
      </w:r>
      <w:r>
        <w:rPr>
          <w:rFonts w:hint="cs"/>
          <w:color w:val="000000"/>
          <w:rtl/>
        </w:rPr>
        <w:t>انظر مقدمة الكتاب 1/23</w:t>
      </w:r>
      <w:r w:rsidR="000636C2">
        <w:rPr>
          <w:rFonts w:hint="cs"/>
          <w:rtl/>
        </w:rPr>
        <w:t>]،</w:t>
      </w:r>
      <w:r>
        <w:rPr>
          <w:rFonts w:hint="cs"/>
          <w:rtl/>
        </w:rPr>
        <w:t xml:space="preserve"> وحظي كتاب الأربعين في دلائل التوحيد لأبي إسماعيل الهروي بعناية الدكتور علي بن محمد</w:t>
      </w:r>
      <w:r w:rsidR="000636C2">
        <w:rPr>
          <w:rFonts w:hint="cs"/>
          <w:rtl/>
        </w:rPr>
        <w:t xml:space="preserve"> </w:t>
      </w:r>
      <w:r>
        <w:rPr>
          <w:rFonts w:hint="cs"/>
          <w:rtl/>
        </w:rPr>
        <w:t>الفقيهي فحققه على أنه من مصادر العقيدة السلفية أيضاً</w:t>
      </w:r>
      <w:r w:rsidR="000636C2">
        <w:rPr>
          <w:rFonts w:hint="cs"/>
          <w:rtl/>
        </w:rPr>
        <w:t>،</w:t>
      </w:r>
      <w:r>
        <w:rPr>
          <w:rFonts w:hint="cs"/>
          <w:rtl/>
        </w:rPr>
        <w:t xml:space="preserve"> وقد سبق الكلام على هذه المصنفات والكشف عن ما تضمتنه من المنكرات الواهيات التي إن كان لابد من جعلها مصدراً لشيء فلا يجوز إلا أن تكون مصدراً للأخبار المنكرة، </w:t>
      </w:r>
      <w:r>
        <w:rPr>
          <w:rFonts w:hint="cs"/>
          <w:rtl/>
        </w:rPr>
        <w:lastRenderedPageBreak/>
        <w:t>وليس أدل على ذلك من أن بعض القوم عد كتاب العظمة لأبي الشيخ الأصفهاني من مصادر العقيدة السلفية</w:t>
      </w:r>
      <w:r w:rsidR="000636C2">
        <w:rPr>
          <w:rFonts w:hint="cs"/>
          <w:rtl/>
        </w:rPr>
        <w:t xml:space="preserve"> [</w:t>
      </w:r>
      <w:r>
        <w:rPr>
          <w:rFonts w:hint="cs"/>
          <w:color w:val="000000"/>
          <w:rtl/>
        </w:rPr>
        <w:t>انظر مثلا مقدمة المحقق رضاء الله بن محمد المباركفوري 1/12 و4</w:t>
      </w:r>
      <w:r w:rsidR="000636C2">
        <w:rPr>
          <w:rFonts w:hint="cs"/>
          <w:color w:val="000000"/>
          <w:rtl/>
        </w:rPr>
        <w:t>،</w:t>
      </w:r>
      <w:r>
        <w:rPr>
          <w:rFonts w:hint="cs"/>
          <w:color w:val="000000"/>
          <w:rtl/>
        </w:rPr>
        <w:t xml:space="preserve"> و83 و85</w:t>
      </w:r>
      <w:r w:rsidR="000636C2">
        <w:rPr>
          <w:rFonts w:hint="cs"/>
          <w:color w:val="000000"/>
          <w:rtl/>
        </w:rPr>
        <w:t xml:space="preserve">، </w:t>
      </w:r>
      <w:r>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sidR="000636C2">
        <w:rPr>
          <w:rFonts w:hint="cs"/>
          <w:color w:val="000000"/>
          <w:rtl/>
        </w:rPr>
        <w:t xml:space="preserve">، </w:t>
      </w:r>
      <w:r>
        <w:rPr>
          <w:rFonts w:hint="cs"/>
          <w:color w:val="000000"/>
          <w:rtl/>
        </w:rPr>
        <w:t>وانظر أيضاً من عقيدة</w:t>
      </w:r>
      <w:r w:rsidR="000636C2">
        <w:rPr>
          <w:rFonts w:hint="cs"/>
          <w:rtl/>
        </w:rPr>
        <w:t xml:space="preserve">] </w:t>
      </w:r>
      <w:r>
        <w:rPr>
          <w:rFonts w:hint="cs"/>
          <w:rtl/>
        </w:rPr>
        <w:t>مع أنه مادة لمن صنف في جمع الأحاديث الموضوعة</w:t>
      </w:r>
      <w:r w:rsidR="000636C2">
        <w:rPr>
          <w:rFonts w:hint="cs"/>
          <w:rtl/>
        </w:rPr>
        <w:t>،</w:t>
      </w:r>
      <w:r>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0636C2">
        <w:rPr>
          <w:rFonts w:hint="cs"/>
          <w:rtl/>
        </w:rPr>
        <w:t xml:space="preserve"> [</w:t>
      </w:r>
      <w:r>
        <w:rPr>
          <w:rFonts w:hint="cs"/>
          <w:color w:val="000000"/>
          <w:rtl/>
        </w:rPr>
        <w:t>انظر مقدمة إبطال التأويلات 1/4</w:t>
      </w:r>
      <w:r w:rsidR="000636C2">
        <w:rPr>
          <w:rFonts w:hint="cs"/>
          <w:rtl/>
        </w:rPr>
        <w:t>]</w:t>
      </w:r>
      <w:r>
        <w:rPr>
          <w:rFonts w:hint="cs"/>
          <w:rtl/>
        </w:rPr>
        <w:t xml:space="preserve"> وقال متحلياً بالمنهج العلمي</w:t>
      </w:r>
      <w:r w:rsidR="000636C2">
        <w:rPr>
          <w:rFonts w:hint="cs"/>
          <w:rtl/>
        </w:rPr>
        <w:t>:</w:t>
      </w:r>
      <w:r>
        <w:rPr>
          <w:rFonts w:hint="cs"/>
          <w:rtl/>
        </w:rPr>
        <w:t xml:space="preserve"> </w:t>
      </w:r>
      <w:r w:rsidR="000636C2">
        <w:rPr>
          <w:rFonts w:hint="cs"/>
          <w:rtl/>
        </w:rPr>
        <w:t>(</w:t>
      </w:r>
      <w:r>
        <w:rPr>
          <w:rFonts w:hint="cs"/>
          <w:rtl/>
        </w:rPr>
        <w:t>والكتاب لا يخلو من هفوات كما هو شأن جميع الكتب فقد أبى الله أن يتم إلا كتابَه كما قال الشافعي رحمه الله</w:t>
      </w:r>
      <w:r w:rsidR="000636C2">
        <w:rPr>
          <w:rFonts w:hint="cs"/>
          <w:rtl/>
        </w:rPr>
        <w:t>) [</w:t>
      </w:r>
      <w:r>
        <w:rPr>
          <w:rFonts w:hint="cs"/>
          <w:color w:val="000000"/>
          <w:rtl/>
        </w:rPr>
        <w:t>المصدر السابق 1/6</w:t>
      </w:r>
      <w:r w:rsidR="000636C2">
        <w:rPr>
          <w:rFonts w:hint="cs"/>
          <w:rtl/>
        </w:rPr>
        <w:t>]</w:t>
      </w:r>
      <w:r>
        <w:rPr>
          <w:rFonts w:hint="cs"/>
          <w:rtl/>
        </w:rPr>
        <w:t xml:space="preserve"> فهذا المحقق يزعم أن ما عده أئمة الحنابلة عاراً محسوباً على المذهب من الهفوات، فهل يعد من الهفوات إثبات الأضراس واللهوات وإثبات الفراش والحجر في الصفات!</w:t>
      </w:r>
      <w:r w:rsidR="000636C2">
        <w:rPr>
          <w:rFonts w:hint="cs"/>
          <w:rtl/>
        </w:rPr>
        <w:t xml:space="preserve"> </w:t>
      </w:r>
      <w:r>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sidR="000636C2">
        <w:rPr>
          <w:rFonts w:hint="cs"/>
          <w:rtl/>
        </w:rPr>
        <w:t>[</w:t>
      </w:r>
      <w:r>
        <w:rPr>
          <w:rFonts w:hint="cs"/>
          <w:color w:val="000000"/>
          <w:rtl/>
        </w:rPr>
        <w:t>المصدر السابق 1/25</w:t>
      </w:r>
      <w:r w:rsidR="000636C2">
        <w:rPr>
          <w:rFonts w:hint="cs"/>
          <w:rtl/>
        </w:rPr>
        <w:t>]،</w:t>
      </w:r>
      <w:r>
        <w:rPr>
          <w:rFonts w:hint="cs"/>
          <w:rtl/>
        </w:rPr>
        <w:t xml:space="preserve"> وقد اعتنى القوم في دراسة منهج أبي يعلى فنال الطالب فهد بن موسى الفائز شهادة الماجستير في رسالته" منهج القاضي أبي يعلى في أصول الدين"</w:t>
      </w:r>
      <w:r w:rsidR="000636C2">
        <w:rPr>
          <w:rFonts w:hint="cs"/>
          <w:rtl/>
        </w:rPr>
        <w:t xml:space="preserve"> [</w:t>
      </w:r>
      <w:r>
        <w:rPr>
          <w:rFonts w:hint="cs"/>
          <w:color w:val="000000"/>
          <w:rtl/>
        </w:rPr>
        <w:t>من رسائل جامعة الإمام محمد بن سعود سنة 1412هـ</w:t>
      </w:r>
      <w:r w:rsidR="000636C2">
        <w:rPr>
          <w:rFonts w:hint="cs"/>
          <w:rtl/>
        </w:rPr>
        <w:t>]،</w:t>
      </w:r>
      <w:r>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sidR="000636C2">
        <w:rPr>
          <w:rFonts w:hint="cs"/>
          <w:rtl/>
        </w:rPr>
        <w:t>[</w:t>
      </w:r>
      <w:r>
        <w:rPr>
          <w:rFonts w:hint="cs"/>
          <w:color w:val="000000"/>
          <w:rtl/>
        </w:rPr>
        <w:t>انظر "القاضي أبو يعلى وكتابه مسائل الإيمان " 67</w:t>
      </w:r>
      <w:r w:rsidR="000636C2">
        <w:rPr>
          <w:rFonts w:hint="cs"/>
          <w:rtl/>
        </w:rPr>
        <w:t xml:space="preserve">] </w:t>
      </w:r>
      <w:r>
        <w:rPr>
          <w:rFonts w:hint="cs"/>
          <w:rtl/>
        </w:rPr>
        <w:t xml:space="preserve">وقد بذل وسعه في دفع صولة أئمة الحنابلة على أبي يعلى وشيخه ابن حامد وما شانوا به المذهب فزعم أنهم في ذلك اتبعوا السنة واقتفوا الأثر </w:t>
      </w:r>
      <w:r w:rsidR="000636C2">
        <w:rPr>
          <w:rFonts w:hint="cs"/>
          <w:rtl/>
        </w:rPr>
        <w:t>[</w:t>
      </w:r>
      <w:r>
        <w:rPr>
          <w:rFonts w:hint="cs"/>
          <w:color w:val="000000"/>
          <w:rtl/>
        </w:rPr>
        <w:t>المصدر السابق 114</w:t>
      </w:r>
      <w:r w:rsidR="000636C2">
        <w:rPr>
          <w:rFonts w:hint="cs"/>
          <w:rtl/>
        </w:rPr>
        <w:t xml:space="preserve">] </w:t>
      </w:r>
      <w:r>
        <w:rPr>
          <w:rFonts w:hint="cs"/>
          <w:rtl/>
        </w:rPr>
        <w:t>وعاب على ابن العربي أنه نسب إلى أبي يعلى أنه قال القول المشهور في الفرج واللحية وزعم أن أبا يعلى بريء منه،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sidR="000636C2">
        <w:rPr>
          <w:rFonts w:hint="cs"/>
          <w:rtl/>
        </w:rPr>
        <w:t xml:space="preserve">، </w:t>
      </w:r>
      <w:r>
        <w:rPr>
          <w:rFonts w:hint="cs"/>
          <w:rtl/>
        </w:rPr>
        <w:t>ونال الطالب سعود الخلف شهادة الماجستير في رسالته التي أعدها تحت عنوان "القاضي أبو يعلى وكتابه مسائل الإيمان "</w:t>
      </w:r>
      <w:r w:rsidR="000636C2">
        <w:rPr>
          <w:rFonts w:hint="cs"/>
          <w:rtl/>
        </w:rPr>
        <w:t xml:space="preserve"> [</w:t>
      </w:r>
      <w:r>
        <w:rPr>
          <w:rFonts w:hint="cs"/>
          <w:color w:val="000000"/>
          <w:rtl/>
        </w:rPr>
        <w:t>رسالة ماجستير في الجامعة الإسلامية بالمدينة المنورة 14</w:t>
      </w:r>
      <w:r w:rsidR="000636C2">
        <w:rPr>
          <w:rFonts w:hint="cs"/>
          <w:color w:val="000000"/>
          <w:rtl/>
        </w:rPr>
        <w:t>،</w:t>
      </w:r>
      <w:r>
        <w:rPr>
          <w:rFonts w:hint="cs"/>
          <w:color w:val="000000"/>
          <w:rtl/>
        </w:rPr>
        <w:t xml:space="preserve"> 6هـ</w:t>
      </w:r>
      <w:r w:rsidR="000636C2">
        <w:rPr>
          <w:rFonts w:hint="cs"/>
          <w:rtl/>
        </w:rPr>
        <w:t>]،</w:t>
      </w:r>
      <w:r>
        <w:rPr>
          <w:rFonts w:hint="cs"/>
          <w:rtl/>
        </w:rPr>
        <w:t xml:space="preserve"> وأكثر القوم من الثناء على هذه المؤلفات وعدها من مصادر العقيدة السلفية ولم أقف على خلاف بينهم في ذلك </w:t>
      </w:r>
      <w:r w:rsidR="000636C2">
        <w:rPr>
          <w:rFonts w:hint="cs"/>
          <w:rtl/>
        </w:rPr>
        <w:t>[</w:t>
      </w:r>
      <w:r>
        <w:rPr>
          <w:rFonts w:hint="cs"/>
          <w:color w:val="000000"/>
          <w:rtl/>
        </w:rPr>
        <w:t xml:space="preserve">انظر فتاوى اللجنة الدائمة للبحوث والإفتاء 3/124 </w:t>
      </w:r>
      <w:r>
        <w:rPr>
          <w:rFonts w:hint="cs"/>
          <w:color w:val="000000"/>
          <w:rtl/>
        </w:rPr>
        <w:lastRenderedPageBreak/>
        <w:t>وحواب أهل السنة لعبد الله بن محمد بن عبد الوهاب 158وتنبيهات على من تأول الصفات لابن باز 22 والعقيدة الصحيحة له 11 ومجموع فتاوى ابن عثيمين 1/149 وعقيدة التوحيد للكتور صالح الفوزان 22</w:t>
      </w:r>
      <w:r w:rsidR="000636C2">
        <w:rPr>
          <w:rFonts w:hint="cs"/>
          <w:color w:val="000000"/>
          <w:rtl/>
        </w:rPr>
        <w:t xml:space="preserve">، </w:t>
      </w:r>
      <w:r>
        <w:rPr>
          <w:rFonts w:hint="cs"/>
          <w:color w:val="000000"/>
          <w:rtl/>
        </w:rPr>
        <w:t>وعلاقة الإثبات والتفويض لرضا نعسان معطي 21 ومن عقيدة المسلمين 29 وتعرف الخلف بمنهج السلف للكتور إبراهيم بن محمد البريكان 271 وإثبات علو الله لأسامة القصاص 17</w:t>
      </w:r>
      <w:r w:rsidR="000636C2">
        <w:rPr>
          <w:rFonts w:hint="cs"/>
          <w:rtl/>
        </w:rPr>
        <w:t>]،</w:t>
      </w:r>
      <w:bookmarkStart w:id="57" w:name="_Toc112603699"/>
      <w:bookmarkStart w:id="58" w:name="_Toc112603911"/>
      <w:bookmarkStart w:id="59" w:name="_Toc112664971"/>
      <w:bookmarkStart w:id="60" w:name="_Toc112917464"/>
      <w:r>
        <w:rPr>
          <w:rFonts w:hint="cs"/>
          <w:rtl/>
        </w:rPr>
        <w:t xml:space="preserve"> </w:t>
      </w:r>
      <w:r w:rsidR="000636C2">
        <w:rPr>
          <w:rFonts w:hint="cs"/>
          <w:bCs/>
          <w:rtl/>
        </w:rPr>
        <w:t>(</w:t>
      </w:r>
      <w:r>
        <w:rPr>
          <w:rFonts w:hint="cs"/>
          <w:bCs/>
          <w:rtl/>
        </w:rPr>
        <w:t>ثانياً</w:t>
      </w:r>
      <w:r w:rsidR="000636C2">
        <w:rPr>
          <w:rFonts w:hint="cs"/>
          <w:bCs/>
          <w:rtl/>
        </w:rPr>
        <w:t xml:space="preserve">): </w:t>
      </w:r>
      <w:r>
        <w:rPr>
          <w:rFonts w:hint="cs"/>
          <w:bCs/>
          <w:rtl/>
        </w:rPr>
        <w:t>ذم أهل السنة من الأشاعرة ورميهم بالبدعة واستباحة دمائهم وأعراضهم</w:t>
      </w:r>
      <w:bookmarkEnd w:id="57"/>
      <w:bookmarkEnd w:id="58"/>
      <w:bookmarkEnd w:id="59"/>
      <w:bookmarkEnd w:id="60"/>
      <w:r w:rsidR="000636C2">
        <w:rPr>
          <w:rFonts w:hint="cs"/>
          <w:rtl/>
        </w:rPr>
        <w:t xml:space="preserve">: </w:t>
      </w:r>
      <w:r>
        <w:rPr>
          <w:rFonts w:hint="cs"/>
          <w:rtl/>
        </w:rPr>
        <w:t>ويجب أن نتذكر أن هؤلاء لم ينقموا على الأشاعرة إلا التفويض والتأويل إذ لا يتم بهما الخوض في المتشابه ولا إثباتُ ما يسمونه بالصفات</w:t>
      </w:r>
      <w:r w:rsidR="000636C2">
        <w:rPr>
          <w:rFonts w:hint="cs"/>
          <w:rtl/>
        </w:rPr>
        <w:t xml:space="preserve">، </w:t>
      </w:r>
      <w:r>
        <w:rPr>
          <w:rFonts w:hint="cs"/>
          <w:rtl/>
        </w:rPr>
        <w:t>فهذا ابن تيمية رحمه الله يشير إلى موضع النزاع فيقول لأحد مناظريه</w:t>
      </w:r>
      <w:r w:rsidR="000636C2">
        <w:rPr>
          <w:rFonts w:hint="cs"/>
          <w:rtl/>
        </w:rPr>
        <w:t>:</w:t>
      </w:r>
      <w:r>
        <w:rPr>
          <w:rFonts w:hint="cs"/>
          <w:rtl/>
        </w:rPr>
        <w:t xml:space="preserve"> </w:t>
      </w:r>
      <w:r w:rsidR="000636C2">
        <w:rPr>
          <w:rFonts w:hint="cs"/>
          <w:rtl/>
        </w:rPr>
        <w:t>(</w:t>
      </w:r>
      <w:r>
        <w:rPr>
          <w:rFonts w:hint="cs"/>
          <w:rtl/>
        </w:rPr>
        <w:t>.. إن أمهاتِ المسائل التي خالف فيها متأخرو المتكلمين ممن ينتحل مذهب مذهب الأشعري لأهل الحديث ثلاثُ مسائل وصفُ الله بالعلو على العرش ومسألة القرآن ومسألة تأويل الصفات</w:t>
      </w:r>
      <w:r w:rsidR="000636C2">
        <w:rPr>
          <w:rFonts w:hint="cs"/>
          <w:rtl/>
        </w:rPr>
        <w:t xml:space="preserve">، </w:t>
      </w:r>
      <w:r>
        <w:rPr>
          <w:rFonts w:hint="cs"/>
          <w:rtl/>
        </w:rPr>
        <w:t>فقلت له نبدأ بالكلام على مسألة تأويل الصفات فإنها الأم والباقي من المسائل فرع عليها</w:t>
      </w:r>
      <w:r w:rsidR="000636C2">
        <w:rPr>
          <w:rFonts w:hint="cs"/>
          <w:rtl/>
        </w:rPr>
        <w:t>) [</w:t>
      </w:r>
      <w:r>
        <w:rPr>
          <w:rFonts w:hint="cs"/>
          <w:color w:val="000000"/>
          <w:rtl/>
        </w:rPr>
        <w:t>مجموع الفتاوى 6/354</w:t>
      </w:r>
      <w:r w:rsidR="000636C2">
        <w:rPr>
          <w:rFonts w:hint="cs"/>
          <w:rtl/>
        </w:rPr>
        <w:t xml:space="preserve">] </w:t>
      </w:r>
      <w:r>
        <w:rPr>
          <w:rFonts w:hint="cs"/>
          <w:rtl/>
        </w:rPr>
        <w:t>ويقول صالح الفوزان</w:t>
      </w:r>
      <w:r w:rsidR="000636C2">
        <w:rPr>
          <w:rFonts w:hint="cs"/>
          <w:rtl/>
        </w:rPr>
        <w:t>: (</w:t>
      </w:r>
      <w:r>
        <w:rPr>
          <w:rFonts w:hint="cs"/>
          <w:rtl/>
        </w:rPr>
        <w:t>أما كون الأشاعرة لم يخرجوا عن الإسلام فهذا صحيح هم من جملة المسلمين وأما أنهم من أهل السنة والجماعة فلا لأنهم يخالفون أهل السنة والجماعة في إثبات الصفات من غير تأويل</w:t>
      </w:r>
      <w:r w:rsidR="000636C2">
        <w:rPr>
          <w:rFonts w:hint="cs"/>
          <w:rtl/>
        </w:rPr>
        <w:t>) [</w:t>
      </w:r>
      <w:r>
        <w:rPr>
          <w:rFonts w:hint="cs"/>
          <w:color w:val="000000"/>
          <w:rtl/>
        </w:rPr>
        <w:t>تنبيهات على مقالات الصابوني 62</w:t>
      </w:r>
      <w:r w:rsidR="000636C2">
        <w:rPr>
          <w:rFonts w:hint="cs"/>
          <w:rtl/>
        </w:rPr>
        <w:t>]،</w:t>
      </w:r>
      <w:r>
        <w:rPr>
          <w:rFonts w:hint="cs"/>
          <w:rtl/>
        </w:rPr>
        <w:t xml:space="preserve"> ويقول ابن باز</w:t>
      </w:r>
      <w:r w:rsidR="000636C2">
        <w:rPr>
          <w:rFonts w:hint="cs"/>
          <w:rtl/>
        </w:rPr>
        <w:t>: (</w:t>
      </w:r>
      <w:r>
        <w:rPr>
          <w:rFonts w:hint="cs"/>
          <w:rtl/>
        </w:rPr>
        <w:t>فالأشاعرة وأشباههم لا يدخلون في أهل السنة في إثبات الصفات لكونهم قد خالفوهم في ذلك وسلكوا غير منهجهم…كما أنه لا مانع أن يقال</w:t>
      </w:r>
      <w:r w:rsidR="000636C2">
        <w:rPr>
          <w:rFonts w:hint="cs"/>
          <w:rtl/>
        </w:rPr>
        <w:t xml:space="preserve">: </w:t>
      </w:r>
      <w:r>
        <w:rPr>
          <w:rFonts w:hint="cs"/>
          <w:rtl/>
        </w:rPr>
        <w:t>إن الأشاعرة ليسوا من أهل السنة في باب الأسماء والصفات وإن كانوا منهم في الأبواب الأخرى</w:t>
      </w:r>
      <w:r w:rsidR="000636C2">
        <w:rPr>
          <w:rFonts w:hint="cs"/>
          <w:rtl/>
        </w:rPr>
        <w:t>) [</w:t>
      </w:r>
      <w:r>
        <w:rPr>
          <w:rFonts w:hint="cs"/>
          <w:color w:val="000000"/>
          <w:rtl/>
        </w:rPr>
        <w:t>تنبيهات في الرد على من تأول الصفات 42</w:t>
      </w:r>
      <w:r w:rsidR="000636C2">
        <w:rPr>
          <w:rFonts w:hint="cs"/>
          <w:color w:val="000000"/>
          <w:rtl/>
        </w:rPr>
        <w:t xml:space="preserve"> </w:t>
      </w:r>
      <w:r>
        <w:rPr>
          <w:rFonts w:hint="cs"/>
          <w:color w:val="000000"/>
          <w:rtl/>
        </w:rPr>
        <w:t>وانظر نحوه في وسطية أهل السنة بين الفرق للدكتور محمد باكريم محمد 298</w:t>
      </w:r>
      <w:r w:rsidR="000636C2">
        <w:rPr>
          <w:rFonts w:hint="cs"/>
          <w:rtl/>
        </w:rPr>
        <w:t>]،</w:t>
      </w:r>
      <w:r>
        <w:rPr>
          <w:rFonts w:hint="cs"/>
          <w:rtl/>
        </w:rPr>
        <w:t xml:space="preserve"> وقد سبق بيان هذه المسالك الثلاثة وإقامة الأدلة على صحة هذين المسلكين وصحة نسبتهما إلى السلف وبراءة الفكر السليم والسلف الصالح من هذا المسلك الذي اختاره القوم، وهذا يعني أن القوم ما نقموا منهم إلا أنهم لم يثبتوا الصفاتِ بالظن ولم يتبعوا ما تشابه بل حملوه على محكم التنزيه وعلى ما يصح حمله عليه في لغة العرب وأساليبها أو تمسكوا بتفويض العلم بالمراد إلى الله عز وجل ولم يتصرفوا فيه بزيادة أو تغيير أو تأويل</w:t>
      </w:r>
      <w:r w:rsidR="000636C2">
        <w:rPr>
          <w:rFonts w:hint="cs"/>
          <w:rtl/>
        </w:rPr>
        <w:t xml:space="preserve">، </w:t>
      </w:r>
      <w:r>
        <w:rPr>
          <w:rFonts w:hint="cs"/>
          <w:rtl/>
        </w:rPr>
        <w:t>فهل يستحق من اختار هذين المسلكين هذه الحملة الشرسة وما حكمت به على الأشاعرة</w:t>
      </w:r>
      <w:r w:rsidR="000636C2">
        <w:rPr>
          <w:rFonts w:hint="cs"/>
          <w:rtl/>
        </w:rPr>
        <w:t>،</w:t>
      </w:r>
      <w:r>
        <w:rPr>
          <w:rFonts w:hint="cs"/>
          <w:rtl/>
        </w:rPr>
        <w:t xml:space="preserve"> هذه الحملة التي شارك فيها ابن تيمية رحمه الله بوصفٍ خرج فيه عن جادة العلم فقال</w:t>
      </w:r>
      <w:r w:rsidR="000636C2">
        <w:rPr>
          <w:rFonts w:hint="cs"/>
          <w:rtl/>
        </w:rPr>
        <w:t>:</w:t>
      </w:r>
      <w:r>
        <w:rPr>
          <w:rFonts w:hint="cs"/>
          <w:rtl/>
        </w:rPr>
        <w:t xml:space="preserve"> </w:t>
      </w:r>
      <w:r w:rsidR="000636C2">
        <w:rPr>
          <w:rFonts w:hint="cs"/>
          <w:rtl/>
        </w:rPr>
        <w:t>(</w:t>
      </w:r>
      <w:r>
        <w:rPr>
          <w:rFonts w:hint="cs"/>
          <w:rtl/>
        </w:rPr>
        <w:t>..</w:t>
      </w:r>
      <w:r w:rsidR="000636C2">
        <w:rPr>
          <w:rFonts w:hint="cs"/>
          <w:rtl/>
        </w:rPr>
        <w:t xml:space="preserve"> </w:t>
      </w:r>
      <w:r>
        <w:rPr>
          <w:rFonts w:hint="cs"/>
          <w:rtl/>
        </w:rPr>
        <w:t>فالمعتزلة في الصفات مخانيث الجهمية وأما الكلابية فيثبتون الصفات في الجملة وكذلك الأشعريون ولكنهم كما قال الشيخ أبو أسماعيل الانصاري الجهمية الإناث وهم مخانيث المعتزلة</w:t>
      </w:r>
      <w:r w:rsidR="000636C2">
        <w:rPr>
          <w:rFonts w:hint="cs"/>
          <w:rtl/>
        </w:rPr>
        <w:t>) [</w:t>
      </w:r>
      <w:r>
        <w:rPr>
          <w:rFonts w:hint="cs"/>
          <w:color w:val="000000"/>
          <w:rtl/>
        </w:rPr>
        <w:t>انظر الحسنة والسيئة ضمن مجموع الفتاوى 14/348</w:t>
      </w:r>
      <w:r w:rsidR="000636C2">
        <w:rPr>
          <w:rFonts w:hint="cs"/>
          <w:rtl/>
        </w:rPr>
        <w:t>]،</w:t>
      </w:r>
      <w:r>
        <w:rPr>
          <w:rFonts w:hint="cs"/>
          <w:rtl/>
        </w:rPr>
        <w:t xml:space="preserve"> وقال أيضاً</w:t>
      </w:r>
      <w:r w:rsidR="000636C2">
        <w:rPr>
          <w:rFonts w:hint="cs"/>
          <w:rtl/>
        </w:rPr>
        <w:t>:</w:t>
      </w:r>
      <w:r>
        <w:rPr>
          <w:rFonts w:hint="cs"/>
          <w:rtl/>
        </w:rPr>
        <w:t xml:space="preserve"> </w:t>
      </w:r>
      <w:r w:rsidR="000636C2">
        <w:rPr>
          <w:rFonts w:hint="cs"/>
          <w:rtl/>
        </w:rPr>
        <w:t>(</w:t>
      </w:r>
      <w:r>
        <w:rPr>
          <w:rFonts w:hint="cs"/>
          <w:rtl/>
        </w:rPr>
        <w:t>..</w:t>
      </w:r>
      <w:r w:rsidR="000636C2">
        <w:rPr>
          <w:rFonts w:hint="cs"/>
          <w:rtl/>
        </w:rPr>
        <w:t xml:space="preserve"> </w:t>
      </w:r>
      <w:r>
        <w:rPr>
          <w:rFonts w:hint="cs"/>
          <w:rtl/>
        </w:rPr>
        <w:t xml:space="preserve">ومن رزقه الله معرفة ما جاءت به الرسل </w:t>
      </w:r>
      <w:r>
        <w:rPr>
          <w:rFonts w:hint="cs"/>
          <w:rtl/>
        </w:rPr>
        <w:lastRenderedPageBreak/>
        <w:t>وبصراً نافذاً وعرف حقيقة مأخذ هؤلاء علم قطعاً أنهم يلحدون في أسمائه وآياته وأنهم كذبوا بالرسل وبالكتاب وبما أرسل به رسله</w:t>
      </w:r>
      <w:r w:rsidR="000636C2">
        <w:rPr>
          <w:rFonts w:hint="cs"/>
          <w:rtl/>
        </w:rPr>
        <w:t xml:space="preserve">، </w:t>
      </w:r>
      <w:r>
        <w:rPr>
          <w:rFonts w:hint="cs"/>
          <w:rtl/>
        </w:rPr>
        <w:t>ولهذا كانوا يقولون إن البدع مشتقة من الكفر وآيلة إليه ويقولون إن المعتزلة مخانيث الفلاسفة والأشعرية مخانيث المعتزلة</w:t>
      </w:r>
      <w:r w:rsidR="000636C2">
        <w:rPr>
          <w:rFonts w:hint="cs"/>
          <w:rtl/>
        </w:rPr>
        <w:t>،</w:t>
      </w:r>
      <w:r>
        <w:rPr>
          <w:rFonts w:hint="cs"/>
          <w:rtl/>
        </w:rPr>
        <w:t xml:space="preserve"> وكان يحيى بن عمار يقول المعتزلة الجهمية الذكور والأشعرية الجهمية الإناث ومرادهم الأشعرية الذين ينفون الصفات الخبرية</w:t>
      </w:r>
      <w:r w:rsidR="000636C2">
        <w:rPr>
          <w:rFonts w:hint="cs"/>
          <w:rtl/>
        </w:rPr>
        <w:t>،</w:t>
      </w:r>
      <w:r>
        <w:rPr>
          <w:rFonts w:hint="cs"/>
          <w:rtl/>
        </w:rPr>
        <w:t xml:space="preserve"> وأما من قال منهم بكتاب الإبانة الذي صنفه الأشعري في آخر عمره ولم يظهر مقالة تناقض ذلك فهذا يعد من أهل السنة لكن مجرد الانتساب إلى الأشعري بدعة</w:t>
      </w:r>
      <w:r w:rsidR="000636C2">
        <w:rPr>
          <w:rFonts w:hint="cs"/>
          <w:rtl/>
        </w:rPr>
        <w:t>،</w:t>
      </w:r>
      <w:r>
        <w:rPr>
          <w:rFonts w:hint="cs"/>
          <w:rtl/>
        </w:rPr>
        <w:t xml:space="preserve"> لا سيما وأنه بذلك يوهم حسناً بكل من انتسب هذه النسبة وينفتح بذلك أبواب شر</w:t>
      </w:r>
      <w:r w:rsidR="000636C2">
        <w:rPr>
          <w:rFonts w:hint="cs"/>
          <w:rtl/>
        </w:rPr>
        <w:t>) [</w:t>
      </w:r>
      <w:r>
        <w:rPr>
          <w:rFonts w:hint="cs"/>
          <w:color w:val="000000"/>
          <w:rtl/>
        </w:rPr>
        <w:t>المصدر السابق 6/359 وانظر أيضاً 8/227 و2/114</w:t>
      </w:r>
      <w:r w:rsidR="000636C2">
        <w:rPr>
          <w:rFonts w:hint="cs"/>
          <w:rtl/>
        </w:rPr>
        <w:t>]،</w:t>
      </w:r>
      <w:r>
        <w:rPr>
          <w:rFonts w:hint="cs"/>
          <w:rtl/>
        </w:rPr>
        <w:t xml:space="preserve"> ويقول ابن القيم</w:t>
      </w:r>
      <w:r w:rsidR="000636C2">
        <w:rPr>
          <w:rFonts w:hint="cs"/>
          <w:rtl/>
        </w:rPr>
        <w:t>: (</w:t>
      </w:r>
      <w:r>
        <w:rPr>
          <w:rFonts w:hint="cs"/>
          <w:rtl/>
        </w:rPr>
        <w:t>ليسوا مخانيث الوجود فلا إلى*** الكفران ينحازوا ولا الإيمان</w:t>
      </w:r>
      <w:r w:rsidR="000636C2">
        <w:rPr>
          <w:rFonts w:hint="cs"/>
          <w:rtl/>
        </w:rPr>
        <w:t>) [</w:t>
      </w:r>
      <w:r>
        <w:rPr>
          <w:rFonts w:hint="cs"/>
          <w:color w:val="000000"/>
          <w:rtl/>
        </w:rPr>
        <w:t>شرح قصيدة ابن القيم 2/2</w:t>
      </w:r>
      <w:r w:rsidR="000636C2">
        <w:rPr>
          <w:rFonts w:hint="cs"/>
          <w:color w:val="000000"/>
          <w:rtl/>
        </w:rPr>
        <w:t>،</w:t>
      </w:r>
      <w:r>
        <w:rPr>
          <w:rFonts w:hint="cs"/>
          <w:color w:val="000000"/>
          <w:rtl/>
        </w:rPr>
        <w:t xml:space="preserve"> 3</w:t>
      </w:r>
      <w:r w:rsidR="000636C2">
        <w:rPr>
          <w:rFonts w:hint="cs"/>
          <w:rtl/>
        </w:rPr>
        <w:t>]</w:t>
      </w:r>
      <w:r>
        <w:rPr>
          <w:rFonts w:hint="cs"/>
          <w:rtl/>
        </w:rPr>
        <w:t xml:space="preserve"> ..</w:t>
      </w:r>
      <w:r w:rsidR="000636C2">
        <w:rPr>
          <w:rFonts w:hint="cs"/>
          <w:rtl/>
        </w:rPr>
        <w:t xml:space="preserve"> </w:t>
      </w:r>
      <w:r>
        <w:rPr>
          <w:rFonts w:hint="cs"/>
          <w:rtl/>
        </w:rPr>
        <w:t>..</w:t>
      </w:r>
      <w:r w:rsidR="000636C2">
        <w:rPr>
          <w:rFonts w:hint="cs"/>
          <w:rtl/>
        </w:rPr>
        <w:t>،</w:t>
      </w:r>
      <w:r>
        <w:rPr>
          <w:rFonts w:hint="cs"/>
          <w:rtl/>
        </w:rPr>
        <w:t xml:space="preserve"> ولم يشفع الانتساب إلى المحدثين ولا الانتساب إلى الحنابلة في منع تطاول القوم على مثل الحافظ البيهقي</w:t>
      </w:r>
      <w:r w:rsidR="000636C2">
        <w:rPr>
          <w:rFonts w:hint="cs"/>
          <w:rtl/>
        </w:rPr>
        <w:t xml:space="preserve"> [</w:t>
      </w:r>
      <w:r>
        <w:rPr>
          <w:rFonts w:hint="cs"/>
          <w:color w:val="000000"/>
          <w:rtl/>
        </w:rPr>
        <w:t>انظر مقدمة رسالة أحمد بن على الغامدي وعنوانها البيهقي وموقفه من الإلهيات وهي رسالة دكتوراه في جامعة أم القرى 14</w:t>
      </w:r>
      <w:r w:rsidR="000636C2">
        <w:rPr>
          <w:rFonts w:hint="cs"/>
          <w:color w:val="000000"/>
          <w:rtl/>
        </w:rPr>
        <w:t>،</w:t>
      </w:r>
      <w:r>
        <w:rPr>
          <w:rFonts w:hint="cs"/>
          <w:color w:val="000000"/>
          <w:rtl/>
        </w:rPr>
        <w:t xml:space="preserve"> 2</w:t>
      </w:r>
      <w:r w:rsidR="000636C2">
        <w:rPr>
          <w:rFonts w:hint="cs"/>
          <w:rtl/>
        </w:rPr>
        <w:t>]</w:t>
      </w:r>
      <w:r>
        <w:rPr>
          <w:rFonts w:hint="cs"/>
          <w:rtl/>
        </w:rPr>
        <w:t xml:space="preserve"> وابن الجوزي </w:t>
      </w:r>
      <w:r w:rsidR="000636C2">
        <w:rPr>
          <w:rFonts w:hint="cs"/>
          <w:rtl/>
        </w:rPr>
        <w:t>[</w:t>
      </w:r>
      <w:r>
        <w:rPr>
          <w:rFonts w:hint="cs"/>
          <w:color w:val="000000"/>
          <w:rtl/>
        </w:rPr>
        <w:t>وقد خصه أحمد بن عطية الزهراني بالدراسة على طريقتهم في رسالته التي نال فيها شهادة الماجستير من جامعة أم القرى 1397هـ</w:t>
      </w:r>
      <w:r w:rsidR="000636C2">
        <w:rPr>
          <w:rFonts w:hint="cs"/>
          <w:rtl/>
        </w:rPr>
        <w:t>]</w:t>
      </w:r>
      <w:r>
        <w:rPr>
          <w:rFonts w:hint="cs"/>
          <w:rtl/>
        </w:rPr>
        <w:t xml:space="preserve"> والحافظ النووي</w:t>
      </w:r>
      <w:r w:rsidR="000636C2">
        <w:rPr>
          <w:rFonts w:hint="cs"/>
          <w:rtl/>
        </w:rPr>
        <w:t xml:space="preserve"> [</w:t>
      </w:r>
      <w:r>
        <w:rPr>
          <w:rFonts w:hint="cs"/>
          <w:color w:val="000000"/>
          <w:rtl/>
        </w:rPr>
        <w:t>انظر دعوة التوحيد للدكتور محمد خليل هراس 224 وفتاوى اللجنة الدائمة 3/163</w:t>
      </w:r>
      <w:r w:rsidR="000636C2">
        <w:rPr>
          <w:rFonts w:hint="cs"/>
          <w:rtl/>
        </w:rPr>
        <w:t>]</w:t>
      </w:r>
      <w:r>
        <w:rPr>
          <w:rFonts w:hint="cs"/>
          <w:rtl/>
        </w:rPr>
        <w:t xml:space="preserve"> والحافظ ابن حجر</w:t>
      </w:r>
      <w:r w:rsidR="000636C2">
        <w:rPr>
          <w:rFonts w:hint="cs"/>
          <w:rtl/>
        </w:rPr>
        <w:t xml:space="preserve"> [</w:t>
      </w:r>
      <w:r>
        <w:rPr>
          <w:rFonts w:hint="cs"/>
          <w:color w:val="000000"/>
          <w:rtl/>
        </w:rPr>
        <w:t>انظر نيل عبد الله بن إبراهيم آل حمد من الحافظ ابن حجر في تحقيقه لكتاب توفيق الرحمن لفيصل بن عبد العزيز آل مبارك 2/22</w:t>
      </w:r>
      <w:r w:rsidR="000636C2">
        <w:rPr>
          <w:rFonts w:hint="cs"/>
          <w:color w:val="000000"/>
          <w:rtl/>
        </w:rPr>
        <w:t xml:space="preserve">، </w:t>
      </w:r>
      <w:r>
        <w:rPr>
          <w:rFonts w:hint="cs"/>
          <w:color w:val="000000"/>
          <w:rtl/>
        </w:rPr>
        <w:t>وقد رماه بمخالفة أهل السنة واتباع أهل البدع من الأشاعرة</w:t>
      </w:r>
      <w:r w:rsidR="000636C2">
        <w:rPr>
          <w:rFonts w:hint="cs"/>
          <w:color w:val="000000"/>
          <w:rtl/>
        </w:rPr>
        <w:t>،</w:t>
      </w:r>
      <w:r>
        <w:rPr>
          <w:rFonts w:hint="cs"/>
          <w:color w:val="000000"/>
          <w:rtl/>
        </w:rPr>
        <w:t xml:space="preserve"> وانظر نحوه في منهج الحافظ ابن حجر في العقيدة لمحمد إسحاق كندو131 وغمزه بأنه كان ذا عقيدة يشوبها التمشعر</w:t>
      </w:r>
      <w:r w:rsidR="000636C2">
        <w:rPr>
          <w:rFonts w:hint="cs"/>
          <w:rtl/>
        </w:rPr>
        <w:t>]،</w:t>
      </w:r>
      <w:r>
        <w:rPr>
          <w:rFonts w:hint="cs"/>
          <w:rtl/>
        </w:rPr>
        <w:t xml:space="preserve"> فيقول الدكتور محمد أمان الجامي بعد نفيه علاقةَ الأشاعرة بالسلف</w:t>
      </w:r>
      <w:r w:rsidR="000636C2">
        <w:rPr>
          <w:rFonts w:hint="cs"/>
          <w:rtl/>
        </w:rPr>
        <w:t>:</w:t>
      </w:r>
      <w:r>
        <w:rPr>
          <w:rFonts w:hint="cs"/>
          <w:rtl/>
        </w:rPr>
        <w:t xml:space="preserve"> </w:t>
      </w:r>
      <w:r w:rsidR="000636C2">
        <w:rPr>
          <w:rFonts w:hint="cs"/>
          <w:rtl/>
        </w:rPr>
        <w:t>(</w:t>
      </w:r>
      <w:r>
        <w:rPr>
          <w:rFonts w:hint="cs"/>
          <w:rtl/>
        </w:rPr>
        <w:t>وقد انخدع بهم كثير من علماء الفقه والحديث فوافقوهم في بعض ما ابتدعوه …فانتشرت في مصر والشام والعراق باسم عقيدة أهل السنة والجماعة حيث خلا الميدان لأبي حميدان</w:t>
      </w:r>
      <w:r w:rsidR="000636C2">
        <w:rPr>
          <w:rFonts w:hint="cs"/>
          <w:rtl/>
        </w:rPr>
        <w:t>) [</w:t>
      </w:r>
      <w:r>
        <w:rPr>
          <w:rFonts w:hint="cs"/>
          <w:color w:val="000000"/>
          <w:rtl/>
        </w:rPr>
        <w:t>الصفات الإلهية 155</w:t>
      </w:r>
      <w:r w:rsidR="000636C2">
        <w:rPr>
          <w:rFonts w:hint="cs"/>
          <w:rtl/>
        </w:rPr>
        <w:t>]</w:t>
      </w:r>
      <w:r>
        <w:rPr>
          <w:rFonts w:hint="cs"/>
          <w:rtl/>
        </w:rPr>
        <w:t xml:space="preserve"> ومراده بميدان أبي حميدان قلب الجزيرة العربية حيث يقول</w:t>
      </w:r>
      <w:r w:rsidR="000636C2">
        <w:rPr>
          <w:rFonts w:hint="cs"/>
          <w:rtl/>
        </w:rPr>
        <w:t>: (</w:t>
      </w:r>
      <w:r>
        <w:rPr>
          <w:rFonts w:hint="cs"/>
          <w:rtl/>
        </w:rPr>
        <w:t>هكذا تجسدت الدعوة السلفية في الدولة السعودية الإسلامية السلفية في قلب الجزيرة العربية</w:t>
      </w:r>
      <w:r w:rsidR="000636C2">
        <w:rPr>
          <w:rFonts w:hint="cs"/>
          <w:rtl/>
        </w:rPr>
        <w:t xml:space="preserve"> </w:t>
      </w:r>
      <w:r>
        <w:rPr>
          <w:rFonts w:hint="cs"/>
          <w:rtl/>
        </w:rPr>
        <w:t>..</w:t>
      </w:r>
      <w:r w:rsidR="000636C2">
        <w:rPr>
          <w:rFonts w:hint="cs"/>
          <w:rtl/>
        </w:rPr>
        <w:t xml:space="preserve"> </w:t>
      </w:r>
      <w:r>
        <w:rPr>
          <w:rFonts w:hint="cs"/>
          <w:rtl/>
        </w:rPr>
        <w:t xml:space="preserve">التزمت الحكومة السعودية أن يكون المنهج المقرر بالنسبة للمواد بالنسبة للمواد الدينية المنهج السلفي في جميع مراحل التعليم من المرحلة الابتدائية إلى الدراسات العليا فالشاب السعودي يبدأ في دراسة العقيدة على المنهج السلفي من السنة الابتدائية الأولى ثم يستمر في دراسة العقيدة والشريعة على المنهج نفسه بتوسع متفاوت ومطرد إلى درجة الدكتوراه كما ينهج هذا المنهجَ الطلاب الوافدون من خارج البلاد للدراسة في الجامعات السعودية ليتخرجوا على ذلك المنهج </w:t>
      </w:r>
      <w:r>
        <w:rPr>
          <w:rFonts w:hint="cs"/>
          <w:rtl/>
        </w:rPr>
        <w:lastRenderedPageBreak/>
        <w:t>السلفي ليطبقوه في بلادهم إذا رجعوا إليهم …فلا يوجد في الجامعات السعودية ولن يوجد إن شاء الله منهج آخر يزاحم المنهج السلفي</w:t>
      </w:r>
      <w:r w:rsidR="000636C2">
        <w:rPr>
          <w:rFonts w:hint="cs"/>
          <w:rtl/>
        </w:rPr>
        <w:t>) [</w:t>
      </w:r>
      <w:r>
        <w:rPr>
          <w:rFonts w:hint="cs"/>
          <w:color w:val="000000"/>
          <w:rtl/>
        </w:rPr>
        <w:t>المصدر السابق 136</w:t>
      </w:r>
      <w:r w:rsidR="000636C2">
        <w:rPr>
          <w:rFonts w:hint="cs"/>
          <w:rtl/>
        </w:rPr>
        <w:t>]</w:t>
      </w:r>
      <w:r>
        <w:rPr>
          <w:rFonts w:hint="cs"/>
          <w:rtl/>
        </w:rPr>
        <w:t xml:space="preserve"> وهذا شاهد على أهمية التلقين وتغيير فطر المنزهين منذ نعومة الأظفار حتى يشيب على الفكر الحسي</w:t>
      </w:r>
      <w:r w:rsidR="000636C2">
        <w:rPr>
          <w:rFonts w:hint="cs"/>
          <w:rtl/>
        </w:rPr>
        <w:t xml:space="preserve">، </w:t>
      </w:r>
      <w:r>
        <w:rPr>
          <w:rFonts w:hint="cs"/>
          <w:rtl/>
        </w:rPr>
        <w:t>وفيه التنبيه على الطريقة التي انتشر بها هذا الفكر في بعض أنحاء العالم الإسلامي</w:t>
      </w:r>
      <w:r w:rsidR="000636C2">
        <w:rPr>
          <w:rFonts w:hint="cs"/>
          <w:rtl/>
        </w:rPr>
        <w:t xml:space="preserve">، </w:t>
      </w:r>
      <w:r>
        <w:rPr>
          <w:rFonts w:hint="cs"/>
          <w:rtl/>
        </w:rPr>
        <w:t>ويقول عبد الملك علي الكليب</w:t>
      </w:r>
      <w:r w:rsidR="000636C2">
        <w:rPr>
          <w:rFonts w:hint="cs"/>
          <w:rtl/>
        </w:rPr>
        <w:t>: (</w:t>
      </w:r>
      <w:r>
        <w:rPr>
          <w:rFonts w:hint="cs"/>
          <w:rtl/>
        </w:rPr>
        <w:t>وهؤلاء الأشاعرة يدافعون عن الزنادقة مدافعة المسعور</w:t>
      </w:r>
      <w:r w:rsidR="000636C2">
        <w:rPr>
          <w:rFonts w:hint="cs"/>
          <w:rtl/>
        </w:rPr>
        <w:t xml:space="preserve"> </w:t>
      </w:r>
      <w:r>
        <w:rPr>
          <w:rFonts w:hint="cs"/>
          <w:rtl/>
        </w:rPr>
        <w:t>..</w:t>
      </w:r>
      <w:r w:rsidR="000636C2">
        <w:rPr>
          <w:rFonts w:hint="cs"/>
          <w:rtl/>
        </w:rPr>
        <w:t xml:space="preserve"> </w:t>
      </w:r>
      <w:r>
        <w:rPr>
          <w:rFonts w:hint="cs"/>
          <w:rtl/>
        </w:rPr>
        <w:t>وهذا شأنهم في الشام والهند ومصر وكثير من بلدان المسلمين ورحم الله محمد بن عبد الوهاب الذي طهر أكثر جزيرة العرب من الشرك والبدع والعقائد الفاسدة الهدامة الكافرة</w:t>
      </w:r>
      <w:r w:rsidR="000636C2">
        <w:rPr>
          <w:rFonts w:hint="cs"/>
          <w:rtl/>
        </w:rPr>
        <w:t>) [</w:t>
      </w:r>
      <w:r>
        <w:rPr>
          <w:rFonts w:hint="cs"/>
          <w:color w:val="000000"/>
          <w:rtl/>
        </w:rPr>
        <w:t>صفات التابعين وأهل الكتاب والسنة 6-7</w:t>
      </w:r>
      <w:r w:rsidR="000636C2">
        <w:rPr>
          <w:rFonts w:hint="cs"/>
          <w:rtl/>
        </w:rPr>
        <w:t xml:space="preserve">]، </w:t>
      </w:r>
      <w:r>
        <w:rPr>
          <w:rFonts w:hint="cs"/>
          <w:rtl/>
        </w:rPr>
        <w:t>ويقول محمد بن ربيع المدخلي في وصف القرن السادس الهجري</w:t>
      </w:r>
      <w:r w:rsidR="000636C2">
        <w:rPr>
          <w:rFonts w:hint="cs"/>
          <w:rtl/>
        </w:rPr>
        <w:t>:</w:t>
      </w:r>
      <w:r>
        <w:rPr>
          <w:rFonts w:hint="cs"/>
          <w:rtl/>
        </w:rPr>
        <w:t xml:space="preserve"> </w:t>
      </w:r>
      <w:r w:rsidR="000636C2">
        <w:rPr>
          <w:rFonts w:hint="cs"/>
          <w:rtl/>
        </w:rPr>
        <w:t>(</w:t>
      </w:r>
      <w:r>
        <w:rPr>
          <w:rFonts w:hint="cs"/>
          <w:rtl/>
        </w:rPr>
        <w:t>..</w:t>
      </w:r>
      <w:r w:rsidR="000636C2">
        <w:rPr>
          <w:rFonts w:hint="cs"/>
          <w:rtl/>
        </w:rPr>
        <w:t xml:space="preserve"> </w:t>
      </w:r>
      <w:r>
        <w:rPr>
          <w:rFonts w:hint="cs"/>
          <w:rtl/>
        </w:rPr>
        <w:t>كان الأشاعرة يلقبون أنفسهم أهل السنة والجماعة وكاد يختفي المنهج السلفي منهج أحمد بن حنبل ومن سبقه من أئمة الإسلام وأصبحت عقيدة السلف غريبة يعد أتباعها في أنحاء العالم الإسلامي على الأصابع</w:t>
      </w:r>
      <w:r w:rsidR="000636C2">
        <w:rPr>
          <w:rFonts w:hint="cs"/>
          <w:rtl/>
        </w:rPr>
        <w:t>) [</w:t>
      </w:r>
      <w:r>
        <w:rPr>
          <w:rFonts w:hint="cs"/>
          <w:color w:val="000000"/>
          <w:rtl/>
        </w:rPr>
        <w:t>انظر تعليقه على كتاب الحجة في بيان المحجة لإسماعيل بن محمد التميمي</w:t>
      </w:r>
      <w:r w:rsidR="000636C2">
        <w:rPr>
          <w:rFonts w:hint="cs"/>
          <w:color w:val="000000"/>
          <w:rtl/>
        </w:rPr>
        <w:t>(</w:t>
      </w:r>
      <w:r>
        <w:rPr>
          <w:rFonts w:hint="cs"/>
          <w:color w:val="000000"/>
          <w:rtl/>
        </w:rPr>
        <w:t>535هـ</w:t>
      </w:r>
      <w:r w:rsidR="000636C2">
        <w:rPr>
          <w:rFonts w:hint="cs"/>
          <w:color w:val="000000"/>
          <w:rtl/>
        </w:rPr>
        <w:t xml:space="preserve">) </w:t>
      </w:r>
      <w:r>
        <w:rPr>
          <w:rFonts w:hint="cs"/>
          <w:color w:val="000000"/>
          <w:rtl/>
        </w:rPr>
        <w:t>1/42</w:t>
      </w:r>
      <w:r w:rsidR="000636C2">
        <w:rPr>
          <w:rFonts w:hint="cs"/>
          <w:rtl/>
        </w:rPr>
        <w:t>]</w:t>
      </w:r>
      <w:r>
        <w:rPr>
          <w:rFonts w:hint="cs"/>
          <w:rtl/>
        </w:rPr>
        <w:t xml:space="preserve"> وهذا من أصح الاعتراف بشذوذ هذا الفكر وتطرفه وغلوه حتى لا يعد له في أنحاء العالم الإسلامي من الأتباع إلا بعدد الأصابع</w:t>
      </w:r>
      <w:r w:rsidR="000636C2">
        <w:rPr>
          <w:rFonts w:hint="cs"/>
          <w:rtl/>
        </w:rPr>
        <w:t xml:space="preserve">، </w:t>
      </w:r>
      <w:r>
        <w:rPr>
          <w:rFonts w:hint="cs"/>
          <w:rtl/>
        </w:rPr>
        <w:t>وهو من أصدق الشهادة على ما سيأتي من قول ابن السبكي</w:t>
      </w:r>
      <w:r w:rsidR="000636C2">
        <w:rPr>
          <w:rFonts w:hint="cs"/>
          <w:rtl/>
        </w:rPr>
        <w:t xml:space="preserve">، </w:t>
      </w:r>
      <w:r>
        <w:rPr>
          <w:rFonts w:hint="cs"/>
          <w:rtl/>
        </w:rPr>
        <w:t>هذا القول الذي يحصل به الجواب عن ما يستحق الجواب مما سبق</w:t>
      </w:r>
      <w:r w:rsidR="000636C2">
        <w:rPr>
          <w:rFonts w:hint="cs"/>
          <w:rtl/>
        </w:rPr>
        <w:t xml:space="preserve">، </w:t>
      </w:r>
      <w:r>
        <w:rPr>
          <w:rFonts w:hint="cs"/>
          <w:rtl/>
        </w:rPr>
        <w:t>قال رحمه الله</w:t>
      </w:r>
      <w:r w:rsidR="000636C2">
        <w:rPr>
          <w:rFonts w:hint="cs"/>
          <w:rtl/>
        </w:rPr>
        <w:t>: (</w:t>
      </w:r>
      <w:r>
        <w:rPr>
          <w:rFonts w:hint="cs"/>
          <w:rtl/>
        </w:rPr>
        <w:t>إعلم أن أبا الحسن لم يبتدع رأياً ولم ينشء مذهباً، وإنما هو مقرر لمذاهب السلف مناضل عما كانت عليه صحابة رسول الله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w:t>
      </w:r>
      <w:r w:rsidR="000636C2">
        <w:rPr>
          <w:rFonts w:hint="cs"/>
          <w:rtl/>
        </w:rPr>
        <w:t xml:space="preserve">، </w:t>
      </w:r>
      <w:r>
        <w:rPr>
          <w:rFonts w:hint="cs"/>
          <w:rtl/>
        </w:rPr>
        <w:t>ولقد قلت مرة للشيخ الإمام رحمه الله-والده السبكي- أنا أعجب من الحافظ ابن عساكر في عدِّه طوائف من أتباع الشيخ ولم يذكر إلا نزراً يسيراً وعدداً قليلاً، ولو وفي الاستيعاب حقه لاستوعب غالب علماء المذاهب الأربعة فإنهم برأي أبى الحسن يدينون الله تعالى</w:t>
      </w:r>
      <w:r w:rsidR="000636C2">
        <w:rPr>
          <w:rFonts w:hint="cs"/>
          <w:rtl/>
        </w:rPr>
        <w:t>؟</w:t>
      </w:r>
      <w:r>
        <w:rPr>
          <w:rFonts w:hint="cs"/>
          <w:rtl/>
        </w:rPr>
        <w:t xml:space="preserve"> فقال إنما ذكر من اشتهر بالمناضلة عن أبى الحسن وإلا فالأمر على ما ذكرت من أن غالب علماء المذاهب معه</w:t>
      </w:r>
      <w:r w:rsidR="000636C2">
        <w:rPr>
          <w:rFonts w:hint="cs"/>
          <w:rtl/>
        </w:rPr>
        <w:t xml:space="preserve">، </w:t>
      </w:r>
      <w:r>
        <w:rPr>
          <w:rFonts w:hint="cs"/>
          <w:rtl/>
        </w:rPr>
        <w:t>وقد ذكر الشيخ شيخ الإسلام عز الدين بن عبد السلام أن عقيدته اجتمع عليها الشافعية والمالكية والحنفية وفضلاء الحنابلة و وافقه على ذلك من أهل عصره شيخ المالكية في زمانه أبو عمرو بن الحاجب وشيخ الحنفية جمال الدين الحصيرى ..</w:t>
      </w:r>
      <w:r w:rsidR="000636C2">
        <w:rPr>
          <w:rFonts w:hint="cs"/>
          <w:rtl/>
        </w:rPr>
        <w:t xml:space="preserve"> </w:t>
      </w:r>
      <w:r>
        <w:rPr>
          <w:rFonts w:hint="cs"/>
          <w:rtl/>
        </w:rPr>
        <w:t xml:space="preserve">ونقل الحافظ –ابن عساكر –كلام الشيخ أبى عبد الله محمد بن موسى بن عمار الكلاعى المآيرقى وهو من أئمة المالكية في هذا الفصل فاستوعب فيه أهل السنة من المالكية والشافعية وأكثر الحنفية بلسان أبى الحسن الأشعري يتكلمون وبحجته يحتجون…قال المآيرقى ولم يكن أبو الحسن أول متكلم بلسان </w:t>
      </w:r>
      <w:r>
        <w:rPr>
          <w:rFonts w:hint="cs"/>
          <w:rtl/>
        </w:rPr>
        <w:lastRenderedPageBreak/>
        <w:t>أهل السنة إنما جرى على سنن غيره وعلى نصرة مذهب معروف فزاد المذهب حجة وبياناً ولم يبتدع مقالة اخترعها ولا مذهباً انفرد به ألا ترى أن مذهب أهل المدينة نسب إلى مالك، ومن كان على مذهب أهل المدينة يقال له مالكي ومالك إنما جرى على سنن من كان قبله وكان كثير الاتباع لهم إلا أنه لما زاد المذهب بياناً وبسطاً عزي إليه، كذلك أبو الحسن الأشعري ولا فرق، ليس له في مذهب السلف أكثر من بسطه وشرحه وتواليفه في نصرته</w:t>
      </w:r>
      <w:r w:rsidR="000636C2">
        <w:rPr>
          <w:rFonts w:hint="cs"/>
          <w:rtl/>
        </w:rPr>
        <w:t>،) [</w:t>
      </w:r>
      <w:r>
        <w:rPr>
          <w:rFonts w:hint="cs"/>
          <w:color w:val="000000"/>
          <w:rtl/>
        </w:rPr>
        <w:t>طبقات الشافعية الكبرى 3/365 -67</w:t>
      </w:r>
      <w:r w:rsidR="000636C2">
        <w:rPr>
          <w:rFonts w:hint="cs"/>
          <w:rtl/>
        </w:rPr>
        <w:t>]،</w:t>
      </w:r>
      <w:r>
        <w:rPr>
          <w:rFonts w:hint="cs"/>
          <w:rtl/>
        </w:rPr>
        <w:t xml:space="preserve"> وقال أيضاً</w:t>
      </w:r>
      <w:r w:rsidR="000636C2">
        <w:rPr>
          <w:rFonts w:hint="cs"/>
          <w:rtl/>
        </w:rPr>
        <w:t>: (</w:t>
      </w:r>
      <w:r>
        <w:rPr>
          <w:rFonts w:hint="cs"/>
          <w:rtl/>
        </w:rPr>
        <w:t>ذكر بيان أن طريقة الشيخ هى التى عليها المعتبرون من علماء الإسلام والمتميزون من المذاهب الأربعة في معرفة الحلال والحرام والقائمون بنصرة دين سيدنا محمد</w:t>
      </w:r>
      <w:r w:rsidR="000636C2">
        <w:rPr>
          <w:rFonts w:hint="cs"/>
          <w:rtl/>
        </w:rPr>
        <w:t xml:space="preserve">، </w:t>
      </w:r>
      <w:r>
        <w:rPr>
          <w:rFonts w:hint="cs"/>
          <w:rtl/>
        </w:rPr>
        <w:t>قد قدمنا في تضاعيف الكلام ما يدل على ذلك وحكينا لك مقالة الشيخ ابن عبد السلام ومن سبقه إلى مثلها وتلاه على قولها حيث ذكروا أن الشافعية والمالكية والحنفية وفضلاء الحنابلة أشعريون هذه عبارة ابن عبد السلام شيخ الشافعية وابن الحاجب شيخ المالكية والحصيرى شيخ الحنفية</w:t>
      </w:r>
      <w:r w:rsidR="000636C2">
        <w:rPr>
          <w:rFonts w:hint="cs"/>
          <w:rtl/>
        </w:rPr>
        <w:t xml:space="preserve">، </w:t>
      </w:r>
      <w:r>
        <w:rPr>
          <w:rFonts w:hint="cs"/>
          <w:rtl/>
        </w:rPr>
        <w:t>ومن كلام ابن عساكر حافظ هذه الأمة الثقة الثبت</w:t>
      </w:r>
      <w:r w:rsidR="000636C2">
        <w:rPr>
          <w:rFonts w:hint="cs"/>
          <w:rtl/>
        </w:rPr>
        <w:t xml:space="preserve">: </w:t>
      </w:r>
      <w:r>
        <w:rPr>
          <w:rFonts w:hint="cs"/>
          <w:rtl/>
        </w:rPr>
        <w:t>هل من الفقهاء الحنفية والمالكية والشافعية إلا موافق الأشعري ومنتسب إليه وراض بحميد سعيه في دين الله ومثنٍ بكثرة العلم عليه غير شرذمة قليلة تضمر التشبيه وتعادى كل موحد يعتقد التنزيه أو تضاهى قول المعتزلة في ذمه وتباهى بإظهار جهرها بقدرة سعة علمه ..</w:t>
      </w:r>
      <w:r w:rsidR="000636C2">
        <w:rPr>
          <w:rFonts w:hint="cs"/>
          <w:rtl/>
        </w:rPr>
        <w:t xml:space="preserve">، </w:t>
      </w:r>
      <w:r>
        <w:rPr>
          <w:rFonts w:hint="cs"/>
          <w:rtl/>
        </w:rPr>
        <w:t>قلت أنا أعلم أن المالكية كلهم أشاعرة لا أستثنى أحدا والشافعية غالبهم أشاعرة 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متقدميهم أشاعرة لم يخرج منهم عن عقيدة الأشعري إلا من لحق بأهل التجسيم وهم في هذه الفرقة من الحنابلة أكثر من غيرهم</w:t>
      </w:r>
      <w:r w:rsidR="000636C2">
        <w:rPr>
          <w:rFonts w:hint="cs"/>
          <w:rtl/>
        </w:rPr>
        <w:t>) [</w:t>
      </w:r>
      <w:r>
        <w:rPr>
          <w:rFonts w:hint="cs"/>
          <w:color w:val="000000"/>
          <w:rtl/>
        </w:rPr>
        <w:t>طبقات الشافعية الكبرى 3/371-377 وانظر كلام الحافظ ابن عساكر في تبيين كذب المفتري 118-122 332و362</w:t>
      </w:r>
      <w:r w:rsidR="000636C2">
        <w:rPr>
          <w:rFonts w:hint="cs"/>
          <w:rtl/>
        </w:rPr>
        <w:t>]،</w:t>
      </w:r>
      <w:r>
        <w:rPr>
          <w:rFonts w:hint="cs"/>
          <w:rtl/>
        </w:rPr>
        <w:t xml:space="preserve"> ولست أرى وجهاً للسكوت عن وصف الله عز وجل بشيء مما سبق مع التغرير بنسبته إلى السلف، ولا أرى وجهاً يبرر السكوت على التطاول على أكابر علماء المسلمين من الأشاعرة ورميهم بالبدعة ومخالفة السلف خاصة في هذا العصر الذي علا فيه الزبد واستحسنت فيه المسايرة و إيثار السلامة وطمع فيه بالوظيقة ولو بمجاملة من خاض في المتشابه وتطاول على الأكابر</w:t>
      </w:r>
      <w:r w:rsidR="000636C2">
        <w:rPr>
          <w:rFonts w:hint="cs"/>
          <w:rtl/>
        </w:rPr>
        <w:t xml:space="preserve">، </w:t>
      </w:r>
      <w:r>
        <w:rPr>
          <w:rFonts w:hint="cs"/>
          <w:rtl/>
        </w:rPr>
        <w:t>وما أعجب التذرع بكراهة إيقاظ الفتن مع نشر هذه المصنفات وانتشار التطاول على جمهور أهل السنة وأكابرها على مر العصور</w:t>
      </w:r>
      <w:r w:rsidR="000636C2">
        <w:rPr>
          <w:rFonts w:hint="cs"/>
          <w:rtl/>
        </w:rPr>
        <w:t xml:space="preserve">، </w:t>
      </w:r>
      <w:r>
        <w:rPr>
          <w:rFonts w:hint="cs"/>
          <w:rtl/>
        </w:rPr>
        <w:t xml:space="preserve">فإن كان بيان ما في هذه المصنفات من الخوض في المتشابه إيقاظاً فهو إيقاظ لمن غطوا في سبات الفتنة والله المستعان " انتهى من </w:t>
      </w:r>
      <w:r>
        <w:rPr>
          <w:rFonts w:hint="cs"/>
          <w:rtl/>
          <w:lang w:bidi="ar-KW"/>
        </w:rPr>
        <w:t xml:space="preserve">كتاب </w:t>
      </w:r>
      <w:r>
        <w:rPr>
          <w:rFonts w:hint="cs"/>
          <w:rtl/>
        </w:rPr>
        <w:t>التجسيم في الفكر الإسلامى</w:t>
      </w:r>
      <w:r w:rsidR="000636C2">
        <w:rPr>
          <w:rFonts w:hint="cs"/>
          <w:rtl/>
        </w:rPr>
        <w:t>،</w:t>
      </w:r>
      <w:r>
        <w:rPr>
          <w:rFonts w:hint="cs"/>
          <w:rtl/>
        </w:rPr>
        <w:t xml:space="preserve"> </w:t>
      </w:r>
    </w:p>
    <w:p w14:paraId="58DEBB82" w14:textId="77777777" w:rsidR="009C32A0" w:rsidRDefault="009C32A0" w:rsidP="000636C2">
      <w:pPr>
        <w:ind w:left="-58"/>
        <w:jc w:val="center"/>
        <w:rPr>
          <w:b/>
          <w:rtl/>
        </w:rPr>
      </w:pPr>
      <w:r>
        <w:rPr>
          <w:rFonts w:hint="cs"/>
          <w:rtl/>
        </w:rPr>
        <w:lastRenderedPageBreak/>
        <w:t xml:space="preserve">*** </w:t>
      </w:r>
    </w:p>
    <w:p w14:paraId="1C39A7F9" w14:textId="50142075" w:rsidR="009C32A0" w:rsidRPr="00627D1B" w:rsidRDefault="000636C2" w:rsidP="00627D1B">
      <w:pPr>
        <w:pStyle w:val="2"/>
        <w:bidi/>
        <w:jc w:val="center"/>
        <w:rPr>
          <w:u w:val="none"/>
          <w:rtl/>
        </w:rPr>
      </w:pPr>
      <w:r w:rsidRPr="00627D1B">
        <w:rPr>
          <w:rFonts w:hint="cs"/>
          <w:u w:val="none"/>
          <w:rtl/>
        </w:rPr>
        <w:t>[</w:t>
      </w:r>
      <w:r w:rsidR="009C32A0" w:rsidRPr="00627D1B">
        <w:rPr>
          <w:rFonts w:hint="cs"/>
          <w:u w:val="none"/>
          <w:rtl/>
        </w:rPr>
        <w:t>تاسعاً</w:t>
      </w:r>
      <w:r w:rsidRPr="00627D1B">
        <w:rPr>
          <w:rFonts w:hint="cs"/>
          <w:u w:val="none"/>
          <w:rtl/>
        </w:rPr>
        <w:t>]</w:t>
      </w:r>
      <w:r w:rsidR="00627D1B" w:rsidRPr="00627D1B">
        <w:rPr>
          <w:rFonts w:hint="cs"/>
          <w:u w:val="none"/>
          <w:rtl/>
        </w:rPr>
        <w:t xml:space="preserve"> </w:t>
      </w:r>
      <w:r w:rsidR="009C32A0" w:rsidRPr="00627D1B">
        <w:rPr>
          <w:rFonts w:hint="cs"/>
          <w:u w:val="none"/>
          <w:rtl/>
        </w:rPr>
        <w:t>متسلفة اليوم ليسوا على منهج السلف الصافي وانتساب الحشوية إلى السلف نسبة خاطئة</w:t>
      </w:r>
    </w:p>
    <w:p w14:paraId="3CD5678E" w14:textId="77777777" w:rsidR="009C32A0" w:rsidRDefault="009C32A0" w:rsidP="000636C2">
      <w:pPr>
        <w:ind w:left="-58"/>
        <w:rPr>
          <w:b/>
        </w:rPr>
      </w:pPr>
    </w:p>
    <w:p w14:paraId="61F28947" w14:textId="19C67BB8" w:rsidR="009C32A0" w:rsidRDefault="009C32A0" w:rsidP="000636C2">
      <w:pPr>
        <w:ind w:left="-58"/>
        <w:rPr>
          <w:b/>
          <w:rtl/>
        </w:rPr>
      </w:pPr>
      <w:r>
        <w:rPr>
          <w:rFonts w:hint="cs"/>
          <w:rtl/>
        </w:rPr>
        <w:t>يقول الشيخ الزرقاني في درة من كلامه عن السلفية المعاصرة في كتابه مناهل العرفان</w:t>
      </w:r>
      <w:r w:rsidR="000636C2">
        <w:rPr>
          <w:rFonts w:hint="cs"/>
          <w:rtl/>
        </w:rPr>
        <w:t xml:space="preserve">: </w:t>
      </w:r>
      <w:r>
        <w:rPr>
          <w:rFonts w:hint="cs"/>
          <w:rtl/>
        </w:rPr>
        <w:t>"</w:t>
      </w:r>
      <w:r w:rsidR="000636C2">
        <w:rPr>
          <w:rFonts w:hint="cs"/>
          <w:rtl/>
        </w:rPr>
        <w:t xml:space="preserve"> [</w:t>
      </w:r>
      <w:r>
        <w:rPr>
          <w:rFonts w:hint="cs"/>
          <w:rtl/>
        </w:rPr>
        <w:t>الرأي الرشيد في متشابه الصفات</w:t>
      </w:r>
      <w:r w:rsidR="000636C2">
        <w:rPr>
          <w:rFonts w:hint="cs"/>
          <w:rtl/>
        </w:rPr>
        <w:t xml:space="preserve">]: </w:t>
      </w:r>
      <w:r>
        <w:rPr>
          <w:rFonts w:hint="cs"/>
          <w:rtl/>
        </w:rPr>
        <w:t>علماؤنا أجزل الله مثوبتهم قد اتفقوا على ثلاثة أمور تتعلق بهذه المتشابهات ثم اختلفوا فيما وراءها</w:t>
      </w:r>
      <w:r w:rsidR="000636C2">
        <w:rPr>
          <w:rFonts w:hint="cs"/>
          <w:rtl/>
        </w:rPr>
        <w:t xml:space="preserve">، </w:t>
      </w:r>
      <w:r>
        <w:rPr>
          <w:rFonts w:hint="cs"/>
          <w:rtl/>
        </w:rPr>
        <w:t>فأول ما اتفقوا عليه</w:t>
      </w:r>
      <w:r w:rsidR="000636C2">
        <w:rPr>
          <w:rFonts w:hint="cs"/>
          <w:rtl/>
        </w:rPr>
        <w:t xml:space="preserve">: </w:t>
      </w:r>
      <w:r>
        <w:rPr>
          <w:rFonts w:hint="cs"/>
          <w:rtl/>
        </w:rPr>
        <w:t>صرفها عن ظواهرها المستحيلة واعتقاد أن هذه الظواهر غير مرادة للشارع قطعا كيف وهذه الظواهر باطلة بالأدلة القاطعة وبما هو معروف عن الشارع نفسه في محكماته</w:t>
      </w:r>
      <w:r w:rsidR="000636C2">
        <w:rPr>
          <w:rFonts w:hint="cs"/>
          <w:rtl/>
        </w:rPr>
        <w:t xml:space="preserve">، </w:t>
      </w:r>
      <w:r>
        <w:rPr>
          <w:rFonts w:hint="cs"/>
          <w:rtl/>
        </w:rPr>
        <w:t>ثانيه</w:t>
      </w:r>
      <w:r w:rsidR="000636C2">
        <w:rPr>
          <w:rFonts w:hint="cs"/>
          <w:rtl/>
        </w:rPr>
        <w:t xml:space="preserve">: </w:t>
      </w:r>
      <w:r>
        <w:rPr>
          <w:rFonts w:hint="cs"/>
          <w:rtl/>
        </w:rPr>
        <w:t>أنه إذا توقف الدفاع عن الإسلام على التأويل لهذه المتشابهات وجب تأويلها بما يدفع شبهات المشتبهين ويدر طعن الطاعنين</w:t>
      </w:r>
      <w:r w:rsidR="000636C2">
        <w:rPr>
          <w:rFonts w:hint="cs"/>
          <w:rtl/>
        </w:rPr>
        <w:t>،</w:t>
      </w:r>
      <w:r>
        <w:rPr>
          <w:rFonts w:hint="cs"/>
          <w:rtl/>
        </w:rPr>
        <w:t xml:space="preserve"> ثالثه</w:t>
      </w:r>
      <w:r w:rsidR="000636C2">
        <w:rPr>
          <w:rFonts w:hint="cs"/>
          <w:rtl/>
        </w:rPr>
        <w:t xml:space="preserve">: </w:t>
      </w:r>
      <w:r>
        <w:rPr>
          <w:rFonts w:hint="cs"/>
          <w:rtl/>
        </w:rPr>
        <w:t>أن المتشابه إن كان له تأويل واحد يفهم منه فهما قريبا وجب القول به إجماعا وذلك كقوله سبحانه</w:t>
      </w:r>
      <w:r w:rsidR="000636C2">
        <w:rPr>
          <w:rFonts w:hint="cs"/>
          <w:rtl/>
        </w:rPr>
        <w:t>: {</w:t>
      </w:r>
      <w:r>
        <w:rPr>
          <w:rFonts w:hint="cs"/>
          <w:rtl/>
        </w:rPr>
        <w:t>وهو معكم أين ما كنتم</w:t>
      </w:r>
      <w:r w:rsidR="000636C2">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0636C2">
        <w:rPr>
          <w:rFonts w:hint="cs"/>
          <w:rtl/>
        </w:rPr>
        <w:t>،</w:t>
      </w:r>
      <w:r>
        <w:rPr>
          <w:rFonts w:hint="cs"/>
          <w:rtl/>
        </w:rPr>
        <w:t xml:space="preserve"> وأما اختلاف العلماء فيما وراء ذلك فقد وقع على ثلاثة مذاهب</w:t>
      </w:r>
      <w:r w:rsidR="000636C2">
        <w:rPr>
          <w:rFonts w:hint="cs"/>
          <w:rtl/>
        </w:rPr>
        <w:t>: (</w:t>
      </w:r>
      <w:r>
        <w:rPr>
          <w:rFonts w:hint="cs"/>
          <w:rtl/>
        </w:rPr>
        <w:t>المذهب الأول</w:t>
      </w:r>
      <w:r w:rsidR="000636C2">
        <w:rPr>
          <w:rFonts w:hint="cs"/>
          <w:rtl/>
        </w:rPr>
        <w:t xml:space="preserve">): </w:t>
      </w:r>
      <w:r>
        <w:rPr>
          <w:rFonts w:hint="cs"/>
          <w:rtl/>
        </w:rPr>
        <w:t>مذهب السلف</w:t>
      </w:r>
      <w:r w:rsidR="000636C2">
        <w:rPr>
          <w:rFonts w:hint="cs"/>
          <w:rtl/>
        </w:rPr>
        <w:t xml:space="preserve">: </w:t>
      </w:r>
      <w:r>
        <w:rPr>
          <w:rFonts w:hint="cs"/>
          <w:rtl/>
        </w:rPr>
        <w:t>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sidR="000636C2">
        <w:rPr>
          <w:rFonts w:hint="cs"/>
          <w:rtl/>
        </w:rPr>
        <w:t xml:space="preserve">: </w:t>
      </w:r>
      <w:r>
        <w:rPr>
          <w:rFonts w:hint="cs"/>
          <w:rtl/>
        </w:rPr>
        <w:t>أحدهما عقلي</w:t>
      </w:r>
      <w:r w:rsidR="000636C2">
        <w:rPr>
          <w:rFonts w:hint="cs"/>
          <w:rtl/>
        </w:rPr>
        <w:t xml:space="preserve">: </w:t>
      </w:r>
      <w:r>
        <w:rPr>
          <w:rFonts w:hint="cs"/>
          <w:rtl/>
        </w:rPr>
        <w:t>وهو أن تعيين المراد من هذه المتشابهات إنما يجري على قوانين اللغة واستعمالات العرب وهي لا تفيد إلا الظن</w:t>
      </w:r>
      <w:r w:rsidR="000636C2">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0636C2">
        <w:rPr>
          <w:rFonts w:hint="cs"/>
          <w:rtl/>
        </w:rPr>
        <w:t xml:space="preserve">، </w:t>
      </w:r>
      <w:r>
        <w:rPr>
          <w:rFonts w:hint="cs"/>
          <w:rtl/>
        </w:rPr>
        <w:t>والدليل الثاني نقلي</w:t>
      </w:r>
      <w:r w:rsidR="000636C2">
        <w:rPr>
          <w:rFonts w:hint="cs"/>
          <w:rtl/>
        </w:rPr>
        <w:t xml:space="preserve">: </w:t>
      </w:r>
      <w:r>
        <w:rPr>
          <w:rFonts w:hint="cs"/>
          <w:rtl/>
        </w:rPr>
        <w:t>يعتمدون فيه على عدة أمور منها حديث عائشة السابق وفيه</w:t>
      </w:r>
      <w:r w:rsidR="000636C2">
        <w:rPr>
          <w:rFonts w:hint="cs"/>
          <w:rtl/>
        </w:rPr>
        <w:t xml:space="preserve">: </w:t>
      </w:r>
      <w:r>
        <w:rPr>
          <w:rFonts w:hint="cs"/>
          <w:rtl/>
        </w:rPr>
        <w:t>(</w:t>
      </w:r>
      <w:r w:rsidR="000636C2">
        <w:rPr>
          <w:rFonts w:hint="cs"/>
          <w:rtl/>
        </w:rPr>
        <w:t>(</w:t>
      </w:r>
      <w:r>
        <w:rPr>
          <w:rFonts w:hint="cs"/>
          <w:rtl/>
        </w:rPr>
        <w:t>فإذا رأيت الذين يتبعون ما تشابه منه فأولئك الذين سمى الله فاحذرهم</w:t>
      </w:r>
      <w:r w:rsidR="000636C2">
        <w:rPr>
          <w:rFonts w:hint="cs"/>
          <w:rtl/>
        </w:rPr>
        <w:t>)</w:t>
      </w:r>
      <w:r>
        <w:rPr>
          <w:rFonts w:hint="cs"/>
          <w:rtl/>
        </w:rPr>
        <w:t>)</w:t>
      </w:r>
      <w:r w:rsidR="000636C2">
        <w:rPr>
          <w:rFonts w:hint="cs"/>
          <w:rtl/>
        </w:rPr>
        <w:t>،</w:t>
      </w:r>
      <w:r>
        <w:rPr>
          <w:rFonts w:hint="cs"/>
          <w:rtl/>
        </w:rPr>
        <w:t xml:space="preserve"> ومنها ما رواه الطبراني في الكبير عن أبي مالك الأشعري أنه سمع رسول الله يقول</w:t>
      </w:r>
      <w:r w:rsidR="000636C2">
        <w:rPr>
          <w:rFonts w:hint="cs"/>
          <w:rtl/>
        </w:rPr>
        <w:t xml:space="preserve">: </w:t>
      </w:r>
      <w:r>
        <w:rPr>
          <w:rFonts w:hint="cs"/>
          <w:rtl/>
        </w:rPr>
        <w:t>(</w:t>
      </w:r>
      <w:r w:rsidR="000636C2">
        <w:rPr>
          <w:rFonts w:hint="cs"/>
          <w:rtl/>
        </w:rPr>
        <w:t>(</w:t>
      </w:r>
      <w:r>
        <w:rPr>
          <w:rFonts w:hint="cs"/>
          <w:rtl/>
        </w:rPr>
        <w:t xml:space="preserve">لا أخاف على أمتي إلا ثلاث خلال أن يكثر لهم المال فيتحاسدوا فيقتتلوا وأن يفتح لهم الكتاب فيأخذه المؤمن يبتغي تأويله وما يعلم تأويله إلا </w:t>
      </w:r>
      <w:r>
        <w:rPr>
          <w:rFonts w:hint="cs"/>
          <w:rtl/>
        </w:rPr>
        <w:lastRenderedPageBreak/>
        <w:t>الله</w:t>
      </w:r>
      <w:r w:rsidR="000636C2">
        <w:rPr>
          <w:rFonts w:hint="cs"/>
          <w:rtl/>
        </w:rPr>
        <w:t>)</w:t>
      </w:r>
      <w:r>
        <w:rPr>
          <w:rFonts w:hint="cs"/>
          <w:rtl/>
        </w:rPr>
        <w:t>)</w:t>
      </w:r>
      <w:r w:rsidR="000636C2">
        <w:rPr>
          <w:rFonts w:hint="cs"/>
          <w:rtl/>
        </w:rPr>
        <w:t xml:space="preserve"> </w:t>
      </w:r>
      <w:r>
        <w:rPr>
          <w:rFonts w:hint="cs"/>
          <w:rtl/>
        </w:rPr>
        <w:t>الحديث</w:t>
      </w:r>
      <w:r w:rsidR="000636C2">
        <w:rPr>
          <w:rFonts w:hint="cs"/>
          <w:rtl/>
        </w:rPr>
        <w:t>،</w:t>
      </w:r>
      <w:r>
        <w:rPr>
          <w:rFonts w:hint="cs"/>
          <w:rtl/>
        </w:rPr>
        <w:t xml:space="preserve"> ومنها ما أخرجه ابن مردويه عن أبيه عن جده عن رسول الله قال</w:t>
      </w:r>
      <w:r w:rsidR="000636C2">
        <w:rPr>
          <w:rFonts w:hint="cs"/>
          <w:rtl/>
        </w:rPr>
        <w:t xml:space="preserve">: </w:t>
      </w:r>
      <w:r>
        <w:rPr>
          <w:rFonts w:hint="cs"/>
          <w:rtl/>
        </w:rPr>
        <w:t>(</w:t>
      </w:r>
      <w:r w:rsidR="000636C2">
        <w:rPr>
          <w:rFonts w:hint="cs"/>
          <w:rtl/>
        </w:rPr>
        <w:t>(</w:t>
      </w:r>
      <w:r>
        <w:rPr>
          <w:rFonts w:hint="cs"/>
          <w:rtl/>
        </w:rPr>
        <w:t>إن القرآن لم ينزل ليكذب بعضه بعضا فما عرفتم منه فاعملوا وما تشابه فآمنوا به</w:t>
      </w:r>
      <w:r w:rsidR="000636C2">
        <w:rPr>
          <w:rFonts w:hint="cs"/>
          <w:rtl/>
        </w:rPr>
        <w:t>)</w:t>
      </w:r>
      <w:r>
        <w:rPr>
          <w:rFonts w:hint="cs"/>
          <w:rtl/>
        </w:rPr>
        <w:t>)</w:t>
      </w:r>
      <w:r w:rsidR="000636C2">
        <w:rPr>
          <w:rFonts w:hint="cs"/>
          <w:rtl/>
        </w:rPr>
        <w:t>،</w:t>
      </w:r>
      <w:r>
        <w:rPr>
          <w:rFonts w:hint="cs"/>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0636C2">
        <w:rPr>
          <w:rFonts w:hint="cs"/>
          <w:rtl/>
        </w:rPr>
        <w:t>،</w:t>
      </w:r>
      <w:r>
        <w:rPr>
          <w:rFonts w:hint="cs"/>
          <w:rtl/>
        </w:rPr>
        <w:t xml:space="preserve"> ورضي الله عن عمر فإن هذا الأثر يدل على أن ابن صبيغ فتح أو حاول أن يفتح باب فتنة بتتبعه متشابهات القرآن يكثر الكلام فيها ويسأل الناس عنها</w:t>
      </w:r>
      <w:r w:rsidR="000636C2">
        <w:rPr>
          <w:rFonts w:hint="cs"/>
          <w:rtl/>
        </w:rPr>
        <w:t>،</w:t>
      </w:r>
      <w:r>
        <w:rPr>
          <w:rFonts w:hint="cs"/>
          <w:rtl/>
        </w:rPr>
        <w:t xml:space="preserve"> ومنها ما ورد من أن الإمام مالكا رضي الله عنه سأل عن الاستواء في قوله سبحانه</w:t>
      </w:r>
      <w:r w:rsidR="000636C2">
        <w:rPr>
          <w:rFonts w:hint="cs"/>
          <w:rtl/>
        </w:rPr>
        <w:t>: {</w:t>
      </w:r>
      <w:r>
        <w:rPr>
          <w:rFonts w:hint="cs"/>
          <w:rtl/>
        </w:rPr>
        <w:t>الرحمن على العرش استوى</w:t>
      </w:r>
      <w:r w:rsidR="000636C2">
        <w:rPr>
          <w:rFonts w:hint="cs"/>
          <w:rtl/>
        </w:rPr>
        <w:t>}،</w:t>
      </w:r>
      <w:r>
        <w:rPr>
          <w:rFonts w:hint="cs"/>
          <w:rtl/>
        </w:rPr>
        <w:t xml:space="preserve"> فقال</w:t>
      </w:r>
      <w:r w:rsidR="000636C2">
        <w:rPr>
          <w:rFonts w:hint="cs"/>
          <w:rtl/>
        </w:rPr>
        <w:t xml:space="preserve">: </w:t>
      </w:r>
      <w:r>
        <w:rPr>
          <w:rFonts w:hint="cs"/>
          <w:rtl/>
        </w:rPr>
        <w:t>الاستواء معلوم والكيف مجهول والسؤال عن هذا بدعة وأظنك رجل سوء أخرجوه عني</w:t>
      </w:r>
      <w:r w:rsidR="000636C2">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0636C2">
        <w:rPr>
          <w:rFonts w:hint="cs"/>
          <w:rtl/>
        </w:rPr>
        <w:t>،</w:t>
      </w:r>
      <w:r>
        <w:rPr>
          <w:rFonts w:hint="cs"/>
          <w:rtl/>
        </w:rPr>
        <w:t xml:space="preserve"> قال ابن الصلاح</w:t>
      </w:r>
      <w:r w:rsidR="000636C2">
        <w:rPr>
          <w:rFonts w:hint="cs"/>
          <w:rtl/>
        </w:rPr>
        <w:t xml:space="preserve">: </w:t>
      </w:r>
      <w:r>
        <w:rPr>
          <w:rFonts w:hint="cs"/>
          <w:rtl/>
        </w:rPr>
        <w:t>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sidR="000636C2">
        <w:rPr>
          <w:rFonts w:hint="cs"/>
          <w:rtl/>
        </w:rPr>
        <w:t>،</w:t>
      </w:r>
      <w:r>
        <w:rPr>
          <w:rFonts w:hint="cs"/>
          <w:rtl/>
        </w:rPr>
        <w:t xml:space="preserve"> </w:t>
      </w:r>
      <w:r w:rsidR="000636C2">
        <w:rPr>
          <w:rFonts w:hint="cs"/>
          <w:rtl/>
        </w:rPr>
        <w:t>(</w:t>
      </w:r>
      <w:r>
        <w:rPr>
          <w:rFonts w:hint="cs"/>
          <w:rtl/>
        </w:rPr>
        <w:t>المذهب الثاني</w:t>
      </w:r>
      <w:r w:rsidR="000636C2">
        <w:rPr>
          <w:rFonts w:hint="cs"/>
          <w:rtl/>
        </w:rPr>
        <w:t xml:space="preserve">): </w:t>
      </w:r>
      <w:r>
        <w:rPr>
          <w:rFonts w:hint="cs"/>
          <w:rtl/>
        </w:rPr>
        <w:t>مذهب الخلف</w:t>
      </w:r>
      <w:r w:rsidR="000636C2">
        <w:rPr>
          <w:rFonts w:hint="cs"/>
          <w:rtl/>
        </w:rPr>
        <w:t>،</w:t>
      </w:r>
      <w:r>
        <w:rPr>
          <w:rFonts w:hint="cs"/>
          <w:rtl/>
        </w:rPr>
        <w:t xml:space="preserve"> ويسمى مذهب المؤولة بتشديد الواو وكسرها وهم فريقان</w:t>
      </w:r>
      <w:r w:rsidR="000636C2">
        <w:rPr>
          <w:rFonts w:hint="cs"/>
          <w:rtl/>
        </w:rPr>
        <w:t xml:space="preserve">: </w:t>
      </w:r>
      <w:r>
        <w:rPr>
          <w:rFonts w:hint="cs"/>
          <w:rtl/>
        </w:rPr>
        <w:t>فريق</w:t>
      </w:r>
      <w:r w:rsidR="000636C2">
        <w:rPr>
          <w:rFonts w:hint="cs"/>
          <w:rtl/>
        </w:rPr>
        <w:t xml:space="preserve">: </w:t>
      </w:r>
      <w:r>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000636C2">
        <w:rPr>
          <w:rFonts w:hint="cs"/>
          <w:rtl/>
        </w:rPr>
        <w:t>،</w:t>
      </w:r>
      <w:r>
        <w:rPr>
          <w:rFonts w:hint="cs"/>
          <w:rtl/>
        </w:rPr>
        <w:t xml:space="preserve"> وفريق</w:t>
      </w:r>
      <w:r w:rsidR="000636C2">
        <w:rPr>
          <w:rFonts w:hint="cs"/>
          <w:rtl/>
        </w:rPr>
        <w:t xml:space="preserve">: </w:t>
      </w:r>
      <w:r>
        <w:rPr>
          <w:rFonts w:hint="cs"/>
          <w:rtl/>
        </w:rPr>
        <w:t>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sidR="000636C2">
        <w:rPr>
          <w:rFonts w:hint="cs"/>
          <w:rtl/>
        </w:rPr>
        <w:t>،</w:t>
      </w:r>
      <w:r>
        <w:rPr>
          <w:rFonts w:hint="cs"/>
          <w:rtl/>
        </w:rPr>
        <w:t xml:space="preserve"> قال السيوطي</w:t>
      </w:r>
      <w:r w:rsidR="000636C2">
        <w:rPr>
          <w:rFonts w:hint="cs"/>
          <w:rtl/>
        </w:rPr>
        <w:t xml:space="preserve">: </w:t>
      </w:r>
      <w:r>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0636C2">
        <w:rPr>
          <w:rFonts w:hint="cs"/>
          <w:rtl/>
        </w:rPr>
        <w:t xml:space="preserve">، </w:t>
      </w:r>
      <w:r>
        <w:rPr>
          <w:rFonts w:hint="cs"/>
          <w:rtl/>
        </w:rPr>
        <w:t xml:space="preserve">أما حجة أصحاب هذا المذهب فيما ذهبوا إليه فهو أن المطلوب صرف اللفظ عن مقام الإهمال الذي يوجب الحيرة بسبب </w:t>
      </w:r>
      <w:r>
        <w:rPr>
          <w:rFonts w:hint="cs"/>
          <w:rtl/>
        </w:rPr>
        <w:lastRenderedPageBreak/>
        <w:t>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0636C2">
        <w:rPr>
          <w:rFonts w:hint="cs"/>
          <w:rtl/>
        </w:rPr>
        <w:t>،</w:t>
      </w:r>
      <w:r>
        <w:rPr>
          <w:rFonts w:hint="cs"/>
          <w:rtl/>
        </w:rPr>
        <w:t xml:space="preserve"> </w:t>
      </w:r>
      <w:r w:rsidR="000636C2">
        <w:rPr>
          <w:rFonts w:hint="cs"/>
          <w:rtl/>
        </w:rPr>
        <w:t>(</w:t>
      </w:r>
      <w:r>
        <w:rPr>
          <w:rFonts w:hint="cs"/>
          <w:rtl/>
        </w:rPr>
        <w:t>المذهب الثالث</w:t>
      </w:r>
      <w:r w:rsidR="000636C2">
        <w:rPr>
          <w:rFonts w:hint="cs"/>
          <w:rtl/>
        </w:rPr>
        <w:t>)</w:t>
      </w:r>
      <w:r>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0636C2">
        <w:rPr>
          <w:rFonts w:hint="cs"/>
          <w:rtl/>
        </w:rPr>
        <w:t xml:space="preserve"> </w:t>
      </w:r>
      <w:r>
        <w:rPr>
          <w:rFonts w:hint="cs"/>
          <w:rtl/>
        </w:rPr>
        <w:t>تطبيق وتمثيل</w:t>
      </w:r>
      <w:r w:rsidR="000636C2">
        <w:rPr>
          <w:rFonts w:hint="cs"/>
          <w:rtl/>
        </w:rPr>
        <w:t xml:space="preserve">، </w:t>
      </w:r>
      <w:r>
        <w:rPr>
          <w:rFonts w:hint="cs"/>
          <w:rtl/>
        </w:rPr>
        <w:t>ولنطبق هذه المذاهب على قوله سبحانه</w:t>
      </w:r>
      <w:r w:rsidR="000636C2">
        <w:rPr>
          <w:rFonts w:hint="cs"/>
          <w:rtl/>
        </w:rPr>
        <w:t>: {</w:t>
      </w:r>
      <w:r>
        <w:rPr>
          <w:rFonts w:hint="cs"/>
          <w:rtl/>
        </w:rPr>
        <w:t>الرحمن على العرش استوى</w:t>
      </w:r>
      <w:r w:rsidR="000636C2">
        <w:rPr>
          <w:rFonts w:hint="cs"/>
          <w:rtl/>
        </w:rPr>
        <w:t>}،</w:t>
      </w:r>
      <w:r>
        <w:rPr>
          <w:rFonts w:hint="cs"/>
          <w:rtl/>
        </w:rPr>
        <w:t xml:space="preserve"> فنقول</w:t>
      </w:r>
      <w:r w:rsidR="000636C2">
        <w:rPr>
          <w:rFonts w:hint="cs"/>
          <w:rtl/>
        </w:rPr>
        <w:t>:</w:t>
      </w:r>
      <w:r>
        <w:rPr>
          <w:rFonts w:hint="cs"/>
          <w:rtl/>
        </w:rPr>
        <w:t xml:space="preserve"> يتفق الجميع من سلف وخلف على أن ظاهر الاستواء على العرش وهو الجلوس عليه مع التمكن والتحيز مستحيل</w:t>
      </w:r>
      <w:r w:rsidR="000636C2">
        <w:rPr>
          <w:rFonts w:hint="cs"/>
          <w:rtl/>
        </w:rPr>
        <w:t>،</w:t>
      </w:r>
      <w:r>
        <w:rPr>
          <w:rFonts w:hint="cs"/>
          <w:rtl/>
        </w:rPr>
        <w:t xml:space="preserve"> لأن الأدلة القاطعة تنزه الله عن أن يشبه خلقه أو يحتاج إلى شيء منه سواء أكان مكانا يحل فيه أم غيره</w:t>
      </w:r>
      <w:r w:rsidR="000636C2">
        <w:rPr>
          <w:rFonts w:hint="cs"/>
          <w:rtl/>
        </w:rPr>
        <w:t>،</w:t>
      </w:r>
      <w:r>
        <w:rPr>
          <w:rFonts w:hint="cs"/>
          <w:rtl/>
        </w:rPr>
        <w:t xml:space="preserve"> وكذلك اتفق السلف والخلف على أن هذا الظاهر غير مراد لله قطعا لأنه تعالى نفي عن نفسه المماثلة لخلقه وأثبت لنفسه الغنى عنهم فقال</w:t>
      </w:r>
      <w:r w:rsidR="000636C2">
        <w:rPr>
          <w:rFonts w:hint="cs"/>
          <w:rtl/>
        </w:rPr>
        <w:t>: {</w:t>
      </w:r>
      <w:r>
        <w:rPr>
          <w:rFonts w:hint="cs"/>
          <w:rtl/>
        </w:rPr>
        <w:t>ليس كمثله شيء</w:t>
      </w:r>
      <w:r w:rsidR="000636C2">
        <w:rPr>
          <w:rFonts w:hint="cs"/>
          <w:rtl/>
        </w:rPr>
        <w:t>}،</w:t>
      </w:r>
      <w:r>
        <w:rPr>
          <w:rFonts w:hint="cs"/>
          <w:rtl/>
        </w:rPr>
        <w:t xml:space="preserve"> وقال</w:t>
      </w:r>
      <w:r w:rsidR="000636C2">
        <w:rPr>
          <w:rFonts w:hint="cs"/>
          <w:rtl/>
        </w:rPr>
        <w:t>: {</w:t>
      </w:r>
      <w:r>
        <w:rPr>
          <w:rFonts w:hint="cs"/>
          <w:rtl/>
        </w:rPr>
        <w:t>هو الغني الحميد</w:t>
      </w:r>
      <w:r w:rsidR="000636C2">
        <w:rPr>
          <w:rFonts w:hint="cs"/>
          <w:rtl/>
        </w:rPr>
        <w:t>}،</w:t>
      </w:r>
      <w:r>
        <w:rPr>
          <w:rFonts w:hint="cs"/>
          <w:rtl/>
        </w:rPr>
        <w:t xml:space="preserve"> فلو أراد هذا الظاهر لكان متناقضا</w:t>
      </w:r>
      <w:r w:rsidR="000636C2">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0636C2">
        <w:rPr>
          <w:rFonts w:hint="cs"/>
          <w:rtl/>
        </w:rPr>
        <w:t>،</w:t>
      </w:r>
      <w:r>
        <w:rPr>
          <w:rFonts w:hint="cs"/>
          <w:rtl/>
        </w:rPr>
        <w:t xml:space="preserve"> بيد أنهم افترقوا في هذا التأويل فرقتين فطائفة الأشاعرة يؤولون من غير تعيين ويقولون</w:t>
      </w:r>
      <w:r w:rsidR="000636C2">
        <w:rPr>
          <w:rFonts w:hint="cs"/>
          <w:rtl/>
        </w:rPr>
        <w:t xml:space="preserve">: </w:t>
      </w:r>
      <w:r>
        <w:rPr>
          <w:rFonts w:hint="cs"/>
          <w:rtl/>
        </w:rPr>
        <w:t>إن المراد من الآية إثبات أنه تعالى متصف بصفة سمعية لا نعلمها على التعيين تسمى صفة الاستواء وطائفة المتأخرين يعينون فيقولون</w:t>
      </w:r>
      <w:r w:rsidR="000636C2">
        <w:rPr>
          <w:rFonts w:hint="cs"/>
          <w:rtl/>
        </w:rPr>
        <w:t xml:space="preserve">: </w:t>
      </w:r>
      <w:r>
        <w:rPr>
          <w:rFonts w:hint="cs"/>
          <w:rtl/>
        </w:rPr>
        <w:t>إن المراد بالاستواء هنا هو الاستيلاء والقهر من غير معاناة ولا تكلف لأن اللغة تتسع لهذا المعنى ومنه قول الشاعر العربي</w:t>
      </w:r>
      <w:r w:rsidR="000636C2">
        <w:rPr>
          <w:rFonts w:hint="cs"/>
          <w:rtl/>
        </w:rPr>
        <w:t xml:space="preserve">: </w:t>
      </w:r>
      <w:r>
        <w:rPr>
          <w:rFonts w:hint="cs"/>
          <w:rtl/>
        </w:rPr>
        <w:t>قد استوى بشر على العراق من غير سيف ودم مهراق</w:t>
      </w:r>
      <w:r w:rsidR="000636C2">
        <w:rPr>
          <w:rFonts w:hint="cs"/>
          <w:rtl/>
        </w:rPr>
        <w:t xml:space="preserve"> </w:t>
      </w:r>
      <w:r>
        <w:rPr>
          <w:rFonts w:hint="cs"/>
          <w:rtl/>
        </w:rPr>
        <w:t>أي استوى وقهر أو دبر وحكم فكذلك يكون معنى النص الكريم</w:t>
      </w:r>
      <w:r w:rsidR="000636C2">
        <w:rPr>
          <w:rFonts w:hint="cs"/>
          <w:rtl/>
        </w:rPr>
        <w:t xml:space="preserve">: </w:t>
      </w:r>
      <w:r>
        <w:rPr>
          <w:rFonts w:hint="cs"/>
          <w:rtl/>
        </w:rPr>
        <w:t>الرحمن استولى على عرش العالم وحكم العالم بقدرته ودبره بمشيئته</w:t>
      </w:r>
      <w:r w:rsidR="000636C2">
        <w:rPr>
          <w:rFonts w:hint="cs"/>
          <w:rtl/>
        </w:rPr>
        <w:t>،</w:t>
      </w:r>
      <w:r>
        <w:rPr>
          <w:rFonts w:hint="cs"/>
          <w:rtl/>
        </w:rPr>
        <w:t xml:space="preserve"> وابن دقيق العيد يقول بهذا التأويل إن رآه قريبا ويتوقف إن رآه بعيدا</w:t>
      </w:r>
      <w:r w:rsidR="000636C2">
        <w:rPr>
          <w:rFonts w:hint="cs"/>
          <w:rtl/>
        </w:rPr>
        <w:t xml:space="preserve"> </w:t>
      </w:r>
      <w:r>
        <w:rPr>
          <w:rFonts w:hint="cs"/>
          <w:rtl/>
        </w:rPr>
        <w:t>ومثل ذلك في نحو</w:t>
      </w:r>
      <w:r w:rsidR="000636C2">
        <w:rPr>
          <w:rFonts w:hint="cs"/>
          <w:rtl/>
        </w:rPr>
        <w:t>: {</w:t>
      </w:r>
      <w:r>
        <w:rPr>
          <w:rFonts w:hint="cs"/>
          <w:rtl/>
        </w:rPr>
        <w:t>ويبقى وجه ربك</w:t>
      </w:r>
      <w:r w:rsidR="000636C2">
        <w:rPr>
          <w:rFonts w:hint="cs"/>
          <w:rtl/>
        </w:rPr>
        <w:t>}،</w:t>
      </w:r>
      <w:r>
        <w:rPr>
          <w:rFonts w:hint="cs"/>
          <w:rtl/>
        </w:rPr>
        <w:t xml:space="preserve"> </w:t>
      </w:r>
      <w:r w:rsidR="000636C2">
        <w:rPr>
          <w:rFonts w:hint="cs"/>
          <w:rtl/>
        </w:rPr>
        <w:t>{</w:t>
      </w:r>
      <w:r>
        <w:rPr>
          <w:rFonts w:hint="cs"/>
          <w:rtl/>
        </w:rPr>
        <w:t>ولتصنع على عيني</w:t>
      </w:r>
      <w:r w:rsidR="000636C2">
        <w:rPr>
          <w:rFonts w:hint="cs"/>
          <w:rtl/>
        </w:rPr>
        <w:t>}،</w:t>
      </w:r>
      <w:r>
        <w:rPr>
          <w:rFonts w:hint="cs"/>
          <w:rtl/>
        </w:rPr>
        <w:t xml:space="preserve"> </w:t>
      </w:r>
      <w:r w:rsidR="000636C2">
        <w:rPr>
          <w:rFonts w:hint="cs"/>
          <w:rtl/>
        </w:rPr>
        <w:t>{</w:t>
      </w:r>
      <w:r>
        <w:rPr>
          <w:rFonts w:hint="cs"/>
          <w:rtl/>
        </w:rPr>
        <w:t>يد الله فوق أيديهم</w:t>
      </w:r>
      <w:r w:rsidR="000636C2">
        <w:rPr>
          <w:rFonts w:hint="cs"/>
          <w:rtl/>
        </w:rPr>
        <w:t>}،</w:t>
      </w:r>
      <w:r>
        <w:rPr>
          <w:rFonts w:hint="cs"/>
          <w:rtl/>
        </w:rPr>
        <w:t xml:space="preserve"> </w:t>
      </w:r>
      <w:r w:rsidR="000636C2">
        <w:rPr>
          <w:rFonts w:hint="cs"/>
          <w:rtl/>
        </w:rPr>
        <w:t>{</w:t>
      </w:r>
      <w:r>
        <w:rPr>
          <w:rFonts w:hint="cs"/>
          <w:rtl/>
        </w:rPr>
        <w:t>والسموات مطويات بيمنه</w:t>
      </w:r>
      <w:r w:rsidR="000636C2">
        <w:rPr>
          <w:rFonts w:hint="cs"/>
          <w:rtl/>
        </w:rPr>
        <w:t>}،</w:t>
      </w:r>
      <w:r>
        <w:rPr>
          <w:rFonts w:hint="cs"/>
          <w:rtl/>
        </w:rPr>
        <w:t xml:space="preserve"> </w:t>
      </w:r>
      <w:r w:rsidR="000636C2">
        <w:rPr>
          <w:rFonts w:hint="cs"/>
          <w:rtl/>
        </w:rPr>
        <w:t>{</w:t>
      </w:r>
      <w:r>
        <w:rPr>
          <w:rFonts w:hint="cs"/>
          <w:rtl/>
        </w:rPr>
        <w:t>يخافون ربهم من فوقهم</w:t>
      </w:r>
      <w:r w:rsidR="000636C2">
        <w:rPr>
          <w:rFonts w:hint="cs"/>
          <w:rtl/>
        </w:rPr>
        <w:t>}،</w:t>
      </w:r>
      <w:r>
        <w:rPr>
          <w:rFonts w:hint="cs"/>
          <w:rtl/>
        </w:rPr>
        <w:t xml:space="preserve"> </w:t>
      </w:r>
      <w:r w:rsidR="000636C2">
        <w:rPr>
          <w:rFonts w:hint="cs"/>
          <w:rtl/>
        </w:rPr>
        <w:t>{</w:t>
      </w:r>
      <w:r>
        <w:rPr>
          <w:rFonts w:hint="cs"/>
          <w:rtl/>
        </w:rPr>
        <w:t>وجاء ربك</w:t>
      </w:r>
      <w:r w:rsidR="000636C2">
        <w:rPr>
          <w:rFonts w:hint="cs"/>
          <w:rtl/>
        </w:rPr>
        <w:t>}،</w:t>
      </w:r>
      <w:r>
        <w:rPr>
          <w:rFonts w:hint="cs"/>
          <w:rtl/>
        </w:rPr>
        <w:t xml:space="preserve"> </w:t>
      </w:r>
      <w:r w:rsidR="000636C2">
        <w:rPr>
          <w:rFonts w:hint="cs"/>
          <w:rtl/>
        </w:rPr>
        <w:t>{</w:t>
      </w:r>
      <w:r>
        <w:rPr>
          <w:rFonts w:hint="cs"/>
          <w:rtl/>
        </w:rPr>
        <w:t>وعنده مفاتح الغيب</w:t>
      </w:r>
      <w:r w:rsidR="000636C2">
        <w:rPr>
          <w:rFonts w:hint="cs"/>
          <w:rtl/>
        </w:rPr>
        <w:t>}،</w:t>
      </w:r>
      <w:r>
        <w:rPr>
          <w:rFonts w:hint="cs"/>
          <w:rtl/>
        </w:rPr>
        <w:t xml:space="preserve"> فالسلف يفوضون في معانيها تفويضا مطلقا بعد تنزيه الله عن ظواهرها المستحيلة</w:t>
      </w:r>
      <w:r w:rsidR="000636C2">
        <w:rPr>
          <w:rFonts w:hint="cs"/>
          <w:rtl/>
        </w:rPr>
        <w:t>،</w:t>
      </w:r>
      <w:r>
        <w:rPr>
          <w:rFonts w:hint="cs"/>
          <w:rtl/>
        </w:rPr>
        <w:t xml:space="preserve"> والأشاعرة يفسرونها بصفات سمعية زائدة على الصفات التي نعلمها</w:t>
      </w:r>
      <w:r w:rsidR="000636C2">
        <w:rPr>
          <w:rFonts w:hint="cs"/>
          <w:rtl/>
        </w:rPr>
        <w:t>،</w:t>
      </w:r>
      <w:r>
        <w:rPr>
          <w:rFonts w:hint="cs"/>
          <w:rtl/>
        </w:rPr>
        <w:t xml:space="preserve"> ولكنهم يفوضون الأمر في تعيين هذه الصفات إلى الله فهم مؤولون من وجه مفوضون من وجه</w:t>
      </w:r>
      <w:r w:rsidR="000636C2">
        <w:rPr>
          <w:rFonts w:hint="cs"/>
          <w:rtl/>
        </w:rPr>
        <w:t>،</w:t>
      </w:r>
      <w:r>
        <w:rPr>
          <w:rFonts w:hint="cs"/>
          <w:rtl/>
        </w:rPr>
        <w:t xml:space="preserve"> والمتأخرون يفسرون الوجه بالذات</w:t>
      </w:r>
      <w:r w:rsidR="000636C2">
        <w:rPr>
          <w:rFonts w:hint="cs"/>
          <w:rtl/>
        </w:rPr>
        <w:t>،</w:t>
      </w:r>
      <w:r>
        <w:rPr>
          <w:rFonts w:hint="cs"/>
          <w:rtl/>
        </w:rPr>
        <w:t xml:space="preserve"> ولفظ ولتصنع على عيني </w:t>
      </w:r>
      <w:r>
        <w:rPr>
          <w:rFonts w:hint="cs"/>
          <w:rtl/>
        </w:rPr>
        <w:lastRenderedPageBreak/>
        <w:t>بتربية موسى ملحوظا بعناية الله وجميل رعايته</w:t>
      </w:r>
      <w:r w:rsidR="000636C2">
        <w:rPr>
          <w:rFonts w:hint="cs"/>
          <w:rtl/>
        </w:rPr>
        <w:t>،</w:t>
      </w:r>
      <w:r>
        <w:rPr>
          <w:rFonts w:hint="cs"/>
          <w:rtl/>
        </w:rPr>
        <w:t xml:space="preserve"> ولفظ اليد بالقدرة</w:t>
      </w:r>
      <w:r w:rsidR="000636C2">
        <w:rPr>
          <w:rFonts w:hint="cs"/>
          <w:rtl/>
        </w:rPr>
        <w:t>،</w:t>
      </w:r>
      <w:r>
        <w:rPr>
          <w:rFonts w:hint="cs"/>
          <w:rtl/>
        </w:rPr>
        <w:t xml:space="preserve"> ولفظ اليمين بالقوة</w:t>
      </w:r>
      <w:r w:rsidR="000636C2">
        <w:rPr>
          <w:rFonts w:hint="cs"/>
          <w:rtl/>
        </w:rPr>
        <w:t>،</w:t>
      </w:r>
      <w:r>
        <w:rPr>
          <w:rFonts w:hint="cs"/>
          <w:rtl/>
        </w:rPr>
        <w:t xml:space="preserve"> والفوقية بالعلو المعنوي دون الحسي</w:t>
      </w:r>
      <w:r w:rsidR="000636C2">
        <w:rPr>
          <w:rFonts w:hint="cs"/>
          <w:rtl/>
        </w:rPr>
        <w:t>،</w:t>
      </w:r>
      <w:r>
        <w:rPr>
          <w:rFonts w:hint="cs"/>
          <w:rtl/>
        </w:rPr>
        <w:t xml:space="preserve"> والمجيء في قوله </w:t>
      </w:r>
      <w:r w:rsidR="000636C2">
        <w:rPr>
          <w:rFonts w:hint="cs"/>
          <w:rtl/>
        </w:rPr>
        <w:t>{</w:t>
      </w:r>
      <w:r>
        <w:rPr>
          <w:rFonts w:hint="cs"/>
          <w:rtl/>
        </w:rPr>
        <w:t>وجاء ربك</w:t>
      </w:r>
      <w:r w:rsidR="000636C2">
        <w:rPr>
          <w:rFonts w:hint="cs"/>
          <w:rtl/>
        </w:rPr>
        <w:t>}،</w:t>
      </w:r>
      <w:r>
        <w:rPr>
          <w:rFonts w:hint="cs"/>
          <w:rtl/>
        </w:rPr>
        <w:t xml:space="preserve"> بمجيء أمره والعندية في قوله </w:t>
      </w:r>
      <w:r w:rsidR="000636C2">
        <w:rPr>
          <w:rFonts w:hint="cs"/>
          <w:rtl/>
        </w:rPr>
        <w:t>{</w:t>
      </w:r>
      <w:r>
        <w:rPr>
          <w:rFonts w:hint="cs"/>
          <w:rtl/>
        </w:rPr>
        <w:t>وعنده مفاتح الغيب</w:t>
      </w:r>
      <w:r w:rsidR="000636C2">
        <w:rPr>
          <w:rFonts w:hint="cs"/>
          <w:rtl/>
        </w:rPr>
        <w:t>}،</w:t>
      </w:r>
      <w:r>
        <w:rPr>
          <w:rFonts w:hint="cs"/>
          <w:rtl/>
        </w:rPr>
        <w:t xml:space="preserve"> بالإحاطة والتمكن أو بمثل ذلك في الجميع</w:t>
      </w:r>
      <w:r w:rsidR="000636C2">
        <w:rPr>
          <w:rFonts w:hint="cs"/>
          <w:rtl/>
        </w:rPr>
        <w:t xml:space="preserve">، </w:t>
      </w:r>
      <w:r w:rsidR="000636C2">
        <w:rPr>
          <w:rFonts w:hint="cs"/>
          <w:bCs/>
          <w:rtl/>
        </w:rPr>
        <w:t>[</w:t>
      </w:r>
      <w:r>
        <w:rPr>
          <w:rFonts w:hint="cs"/>
          <w:bCs/>
          <w:rtl/>
        </w:rPr>
        <w:t>إرشاد وتحذير</w:t>
      </w:r>
      <w:r w:rsidR="000636C2">
        <w:rPr>
          <w:rFonts w:hint="cs"/>
          <w:bCs/>
          <w:rtl/>
        </w:rPr>
        <w:t>]</w:t>
      </w:r>
      <w:r w:rsidR="000636C2">
        <w:rPr>
          <w:rFonts w:hint="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0636C2">
        <w:rPr>
          <w:rFonts w:hint="cs"/>
          <w:rtl/>
        </w:rPr>
        <w:t>،</w:t>
      </w:r>
      <w:r>
        <w:rPr>
          <w:rFonts w:hint="cs"/>
          <w:rtl/>
        </w:rPr>
        <w:t xml:space="preserve"> ومن المؤسف أنهم يواجهون العامة وأشباههم بهذا</w:t>
      </w:r>
      <w:r w:rsidR="000636C2">
        <w:rPr>
          <w:rFonts w:hint="cs"/>
          <w:rtl/>
        </w:rPr>
        <w:t>،</w:t>
      </w:r>
      <w:r>
        <w:rPr>
          <w:rFonts w:hint="cs"/>
          <w:rtl/>
        </w:rPr>
        <w:t xml:space="preserve"> ومن المحزن أنهم ينسبون ما يقولون إلى سلفنا الصالح ويخيلون إلى الناس أنهم سلفيون من ذلك قولهم</w:t>
      </w:r>
      <w:r w:rsidR="000636C2">
        <w:rPr>
          <w:rFonts w:hint="cs"/>
          <w:rtl/>
        </w:rPr>
        <w:t xml:space="preserve">: </w:t>
      </w:r>
      <w:r>
        <w:rPr>
          <w:rFonts w:hint="cs"/>
          <w:rtl/>
        </w:rPr>
        <w:t>إن الله تعالى يشار إليه بالإشارة الحسية</w:t>
      </w:r>
      <w:r w:rsidR="000636C2">
        <w:rPr>
          <w:rFonts w:hint="cs"/>
          <w:rtl/>
        </w:rPr>
        <w:t>،</w:t>
      </w:r>
      <w:r>
        <w:rPr>
          <w:rFonts w:hint="cs"/>
          <w:rtl/>
        </w:rPr>
        <w:t xml:space="preserve"> وله من الجهات الست جهة الفوق</w:t>
      </w:r>
      <w:r w:rsidR="000636C2">
        <w:rPr>
          <w:rFonts w:hint="cs"/>
          <w:rtl/>
        </w:rPr>
        <w:t>،</w:t>
      </w:r>
      <w:r>
        <w:rPr>
          <w:rFonts w:hint="cs"/>
          <w:rtl/>
        </w:rPr>
        <w:t xml:space="preserve"> ويقولون إنه استوى على عرشه بذاته استواء حقيقا</w:t>
      </w:r>
      <w:r w:rsidR="000636C2">
        <w:rPr>
          <w:rFonts w:hint="cs"/>
          <w:rtl/>
        </w:rPr>
        <w:t>،</w:t>
      </w:r>
      <w:r>
        <w:rPr>
          <w:rFonts w:hint="cs"/>
          <w:rtl/>
        </w:rPr>
        <w:t xml:space="preserve"> بمعنى أنه استقر فوقه استقرارا حقيقيا غير أنهم يعودون فيقولون</w:t>
      </w:r>
      <w:r w:rsidR="000636C2">
        <w:rPr>
          <w:rFonts w:hint="cs"/>
          <w:rtl/>
        </w:rPr>
        <w:t xml:space="preserve">: </w:t>
      </w:r>
      <w:r>
        <w:rPr>
          <w:rFonts w:hint="cs"/>
          <w:rtl/>
        </w:rPr>
        <w:t>ليس كاستقرارنا وليس على ما نعرف وهكذا يتناولون أمثال هذه الآية وليس لهم مستند فيما نعلم إلا التشبث بالظواهر</w:t>
      </w:r>
      <w:r w:rsidR="000636C2">
        <w:rPr>
          <w:rFonts w:hint="cs"/>
          <w:rtl/>
        </w:rPr>
        <w:t>،</w:t>
      </w:r>
      <w:r>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0636C2">
        <w:rPr>
          <w:rFonts w:hint="cs"/>
          <w:rtl/>
        </w:rPr>
        <w:t>،</w:t>
      </w:r>
      <w:r>
        <w:rPr>
          <w:rFonts w:hint="cs"/>
          <w:rtl/>
        </w:rPr>
        <w:t xml:space="preserve"> أما نحن معاشر المسلمين فالعمدة عندنا في أمور العقائد هي الأدلة القطعية التي توافرت على أنه تعالى ليس جسما</w:t>
      </w:r>
      <w:r w:rsidR="000636C2">
        <w:rPr>
          <w:rFonts w:hint="cs"/>
          <w:rtl/>
        </w:rPr>
        <w:t>،</w:t>
      </w:r>
      <w:r>
        <w:rPr>
          <w:rFonts w:hint="cs"/>
          <w:rtl/>
        </w:rPr>
        <w:t xml:space="preserve"> ولا متحيزا</w:t>
      </w:r>
      <w:r w:rsidR="000636C2">
        <w:rPr>
          <w:rFonts w:hint="cs"/>
          <w:rtl/>
        </w:rPr>
        <w:t>،</w:t>
      </w:r>
      <w:r>
        <w:rPr>
          <w:rFonts w:hint="cs"/>
          <w:rtl/>
        </w:rPr>
        <w:t xml:space="preserve"> ولا متجزئا</w:t>
      </w:r>
      <w:r w:rsidR="000636C2">
        <w:rPr>
          <w:rFonts w:hint="cs"/>
          <w:rtl/>
        </w:rPr>
        <w:t>،</w:t>
      </w:r>
      <w:r>
        <w:rPr>
          <w:rFonts w:hint="cs"/>
          <w:rtl/>
        </w:rPr>
        <w:t xml:space="preserve"> ولا متركبا</w:t>
      </w:r>
      <w:r w:rsidR="000636C2">
        <w:rPr>
          <w:rFonts w:hint="cs"/>
          <w:rtl/>
        </w:rPr>
        <w:t>،</w:t>
      </w:r>
      <w:r>
        <w:rPr>
          <w:rFonts w:hint="cs"/>
          <w:rtl/>
        </w:rPr>
        <w:t xml:space="preserve"> ولا محتاجا لأحد</w:t>
      </w:r>
      <w:r w:rsidR="000636C2">
        <w:rPr>
          <w:rFonts w:hint="cs"/>
          <w:rtl/>
        </w:rPr>
        <w:t>،</w:t>
      </w:r>
      <w:r>
        <w:rPr>
          <w:rFonts w:hint="cs"/>
          <w:rtl/>
        </w:rPr>
        <w:t xml:space="preserve"> ولا إلى مكان</w:t>
      </w:r>
      <w:r w:rsidR="000636C2">
        <w:rPr>
          <w:rFonts w:hint="cs"/>
          <w:rtl/>
        </w:rPr>
        <w:t>،</w:t>
      </w:r>
      <w:r>
        <w:rPr>
          <w:rFonts w:hint="cs"/>
          <w:rtl/>
        </w:rPr>
        <w:t xml:space="preserve"> ولا إلى زمان ولا نحو ذلك</w:t>
      </w:r>
      <w:r w:rsidR="000636C2">
        <w:rPr>
          <w:rFonts w:hint="cs"/>
          <w:rtl/>
        </w:rPr>
        <w:t>،</w:t>
      </w:r>
      <w:r>
        <w:rPr>
          <w:rFonts w:hint="cs"/>
          <w:rtl/>
        </w:rPr>
        <w:t xml:space="preserve"> ولقد جاء القرآن بهذا في محكماته إذ يقول</w:t>
      </w:r>
      <w:r w:rsidR="000636C2">
        <w:rPr>
          <w:rFonts w:hint="cs"/>
          <w:rtl/>
        </w:rPr>
        <w:t>: {</w:t>
      </w:r>
      <w:r>
        <w:rPr>
          <w:rFonts w:hint="cs"/>
          <w:rtl/>
        </w:rPr>
        <w:t>ليس كمثله شيء</w:t>
      </w:r>
      <w:r w:rsidR="000636C2">
        <w:rPr>
          <w:rFonts w:hint="cs"/>
          <w:rtl/>
        </w:rPr>
        <w:t>}،</w:t>
      </w:r>
      <w:r>
        <w:rPr>
          <w:rFonts w:hint="cs"/>
          <w:rtl/>
        </w:rPr>
        <w:t xml:space="preserve"> ويقول</w:t>
      </w:r>
      <w:r w:rsidR="000636C2">
        <w:rPr>
          <w:rFonts w:hint="cs"/>
          <w:rtl/>
        </w:rPr>
        <w:t>: {</w:t>
      </w:r>
      <w:r>
        <w:rPr>
          <w:rFonts w:hint="cs"/>
          <w:rtl/>
        </w:rPr>
        <w:t>قل هو الله أحد * الله الصمد * لم يلد ولم يولد * ولم يكن له كفوا أحد</w:t>
      </w:r>
      <w:r w:rsidR="000636C2">
        <w:rPr>
          <w:rFonts w:hint="cs"/>
          <w:rtl/>
        </w:rPr>
        <w:t>}</w:t>
      </w:r>
      <w:r>
        <w:rPr>
          <w:rFonts w:hint="cs"/>
          <w:rtl/>
        </w:rPr>
        <w:t xml:space="preserve"> ويقول</w:t>
      </w:r>
      <w:r w:rsidR="000636C2">
        <w:rPr>
          <w:rFonts w:hint="cs"/>
          <w:rtl/>
        </w:rPr>
        <w:t>: {</w:t>
      </w:r>
      <w:r>
        <w:rPr>
          <w:rFonts w:hint="cs"/>
          <w:rtl/>
        </w:rPr>
        <w:t>إن تكفروا فإن الله غني عنكم ولا يرضى لعباده الكفر وإن تشكروا يرضه لكم</w:t>
      </w:r>
      <w:r w:rsidR="000636C2">
        <w:rPr>
          <w:rFonts w:hint="cs"/>
          <w:rtl/>
        </w:rPr>
        <w:t>}،</w:t>
      </w:r>
      <w:r>
        <w:rPr>
          <w:rFonts w:hint="cs"/>
          <w:rtl/>
        </w:rPr>
        <w:t xml:space="preserve"> ويقول</w:t>
      </w:r>
      <w:r w:rsidR="000636C2">
        <w:rPr>
          <w:rFonts w:hint="cs"/>
          <w:rtl/>
        </w:rPr>
        <w:t>: {</w:t>
      </w:r>
      <w:r>
        <w:rPr>
          <w:rFonts w:hint="cs"/>
          <w:rtl/>
        </w:rPr>
        <w:t>يأيها الناس أنتم الفقراء إلى الله والله هو الغني الحميد</w:t>
      </w:r>
      <w:r w:rsidR="000636C2">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0636C2">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sidR="000636C2">
        <w:rPr>
          <w:rFonts w:hint="cs"/>
          <w:rtl/>
        </w:rPr>
        <w:t>،</w:t>
      </w:r>
      <w:r>
        <w:rPr>
          <w:rFonts w:hint="cs"/>
          <w:rtl/>
        </w:rPr>
        <w:t xml:space="preserve"> ينفون هذه اللوازم مع أن القول بثبوت الملزومات ونفي لوازمها تناقض لا يرضاه لنفسه عاقل</w:t>
      </w:r>
      <w:r w:rsidR="000636C2">
        <w:rPr>
          <w:rFonts w:hint="cs"/>
          <w:rtl/>
        </w:rPr>
        <w:t>،</w:t>
      </w:r>
      <w:r>
        <w:rPr>
          <w:rFonts w:hint="cs"/>
          <w:rtl/>
        </w:rPr>
        <w:t xml:space="preserve"> فضلا عن طالب أو عالم</w:t>
      </w:r>
      <w:r w:rsidR="000636C2">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sidR="000636C2">
        <w:rPr>
          <w:rFonts w:hint="cs"/>
          <w:rtl/>
        </w:rPr>
        <w:t xml:space="preserve">: </w:t>
      </w:r>
      <w:r>
        <w:rPr>
          <w:rFonts w:hint="cs"/>
          <w:rtl/>
        </w:rPr>
        <w:t>ليس هذا الاستواء على ما نعرف يفيد أنه ليس الجلوس المعروف المستلزم للجسمية والتحيز</w:t>
      </w:r>
      <w:r w:rsidR="000636C2">
        <w:rPr>
          <w:rFonts w:hint="cs"/>
          <w:rtl/>
        </w:rPr>
        <w:t>،</w:t>
      </w:r>
      <w:r>
        <w:rPr>
          <w:rFonts w:hint="cs"/>
          <w:rtl/>
        </w:rPr>
        <w:t xml:space="preserve"> </w:t>
      </w:r>
      <w:r>
        <w:rPr>
          <w:rFonts w:hint="cs"/>
          <w:rtl/>
        </w:rPr>
        <w:lastRenderedPageBreak/>
        <w:t>فكأنهم يقولون إنه مستو غير مستو</w:t>
      </w:r>
      <w:r w:rsidR="000636C2">
        <w:rPr>
          <w:rFonts w:hint="cs"/>
          <w:rtl/>
        </w:rPr>
        <w:t>،</w:t>
      </w:r>
      <w:r>
        <w:rPr>
          <w:rFonts w:hint="cs"/>
          <w:rtl/>
        </w:rPr>
        <w:t xml:space="preserve"> ومستقر فوق العرش غير مستقر</w:t>
      </w:r>
      <w:r w:rsidR="000636C2">
        <w:rPr>
          <w:rFonts w:hint="cs"/>
          <w:rtl/>
        </w:rPr>
        <w:t>،</w:t>
      </w:r>
      <w:r>
        <w:rPr>
          <w:rFonts w:hint="cs"/>
          <w:rtl/>
        </w:rPr>
        <w:t xml:space="preserve"> أو متحيز غير متحيز</w:t>
      </w:r>
      <w:r w:rsidR="000636C2">
        <w:rPr>
          <w:rFonts w:hint="cs"/>
          <w:rtl/>
        </w:rPr>
        <w:t>،</w:t>
      </w:r>
      <w:r>
        <w:rPr>
          <w:rFonts w:hint="cs"/>
          <w:rtl/>
        </w:rPr>
        <w:t xml:space="preserve"> وجسم غير جسم</w:t>
      </w:r>
      <w:r w:rsidR="000636C2">
        <w:rPr>
          <w:rFonts w:hint="cs"/>
          <w:rtl/>
        </w:rPr>
        <w:t>،</w:t>
      </w:r>
      <w:r>
        <w:rPr>
          <w:rFonts w:hint="cs"/>
          <w:rtl/>
        </w:rPr>
        <w:t xml:space="preserve"> أو أن الاستواء على العرش ليس هو الاستواء على العرش</w:t>
      </w:r>
      <w:r w:rsidR="000636C2">
        <w:rPr>
          <w:rFonts w:hint="cs"/>
          <w:rtl/>
        </w:rPr>
        <w:t>،</w:t>
      </w:r>
      <w:r>
        <w:rPr>
          <w:rFonts w:hint="cs"/>
          <w:rtl/>
        </w:rPr>
        <w:t xml:space="preserve"> والاستقرار فوقه ليس هو الاستقرار فوقه</w:t>
      </w:r>
      <w:r w:rsidR="000636C2">
        <w:rPr>
          <w:rFonts w:hint="cs"/>
          <w:rtl/>
        </w:rPr>
        <w:t>،</w:t>
      </w:r>
      <w:r>
        <w:rPr>
          <w:rFonts w:hint="cs"/>
          <w:rtl/>
        </w:rPr>
        <w:t xml:space="preserve"> إلى غير ذلك من الإسفاف والتهافت</w:t>
      </w:r>
      <w:r w:rsidR="000636C2">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0636C2">
        <w:rPr>
          <w:rFonts w:hint="cs"/>
          <w:rtl/>
        </w:rPr>
        <w:t>،</w:t>
      </w:r>
      <w:r>
        <w:rPr>
          <w:rFonts w:hint="cs"/>
          <w:rtl/>
        </w:rPr>
        <w:t xml:space="preserve"> لو أنصف هؤلاء</w:t>
      </w:r>
      <w:r w:rsidR="000636C2">
        <w:rPr>
          <w:rFonts w:hint="cs"/>
          <w:rtl/>
        </w:rPr>
        <w:t xml:space="preserve">: </w:t>
      </w:r>
      <w:r>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0636C2">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0636C2">
        <w:rPr>
          <w:rFonts w:hint="cs"/>
          <w:rtl/>
        </w:rPr>
        <w:t xml:space="preserve">، </w:t>
      </w:r>
      <w:r w:rsidR="000636C2">
        <w:rPr>
          <w:rFonts w:hint="cs"/>
          <w:bCs/>
          <w:rtl/>
        </w:rPr>
        <w:t>[</w:t>
      </w:r>
      <w:r>
        <w:rPr>
          <w:rFonts w:hint="cs"/>
          <w:bCs/>
          <w:rtl/>
        </w:rPr>
        <w:t>دفع الشبهات الواردة في هذا المقام</w:t>
      </w:r>
      <w:r w:rsidR="000636C2">
        <w:rPr>
          <w:rFonts w:hint="cs"/>
          <w:bCs/>
          <w:rtl/>
        </w:rPr>
        <w:t>]:</w:t>
      </w:r>
      <w:r>
        <w:rPr>
          <w:rFonts w:hint="cs"/>
          <w:bCs/>
          <w:rtl/>
        </w:rPr>
        <w:t xml:space="preserve"> </w:t>
      </w:r>
      <w:r w:rsidR="000636C2">
        <w:rPr>
          <w:rFonts w:hint="cs"/>
          <w:bCs/>
          <w:rtl/>
        </w:rPr>
        <w:t>(</w:t>
      </w:r>
      <w:r>
        <w:rPr>
          <w:rFonts w:hint="cs"/>
          <w:bCs/>
          <w:rtl/>
        </w:rPr>
        <w:t>الشبهة الأولى ودفعها</w:t>
      </w:r>
      <w:r w:rsidR="000636C2">
        <w:rPr>
          <w:rFonts w:hint="cs"/>
          <w:bCs/>
          <w:rtl/>
        </w:rPr>
        <w:t>):</w:t>
      </w:r>
      <w:r w:rsidR="000636C2">
        <w:rPr>
          <w:rFonts w:hint="cs"/>
          <w:rtl/>
        </w:rPr>
        <w:t xml:space="preserve"> </w:t>
      </w:r>
      <w:r>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0636C2">
        <w:rPr>
          <w:rFonts w:hint="cs"/>
          <w:rtl/>
        </w:rPr>
        <w:t>،</w:t>
      </w:r>
      <w:r>
        <w:rPr>
          <w:rFonts w:hint="cs"/>
          <w:rtl/>
        </w:rPr>
        <w:t xml:space="preserve"> وندفع هذه الشبهة بأمور</w:t>
      </w:r>
      <w:r w:rsidR="000636C2">
        <w:rPr>
          <w:rFonts w:hint="cs"/>
          <w:rtl/>
        </w:rPr>
        <w:t>: (</w:t>
      </w:r>
      <w:r>
        <w:rPr>
          <w:rFonts w:hint="cs"/>
          <w:rtl/>
        </w:rPr>
        <w:t>أولها</w:t>
      </w:r>
      <w:r w:rsidR="000636C2">
        <w:rPr>
          <w:rFonts w:hint="cs"/>
          <w:rtl/>
        </w:rPr>
        <w:t xml:space="preserve">): </w:t>
      </w:r>
      <w:r>
        <w:rPr>
          <w:rFonts w:hint="cs"/>
          <w:rtl/>
        </w:rPr>
        <w:t xml:space="preserve">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w:t>
      </w:r>
      <w:r>
        <w:rPr>
          <w:rFonts w:hint="cs"/>
          <w:rtl/>
        </w:rPr>
        <w:lastRenderedPageBreak/>
        <w:t>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0636C2">
        <w:rPr>
          <w:rFonts w:hint="cs"/>
          <w:rtl/>
        </w:rPr>
        <w:t>،</w:t>
      </w:r>
      <w:r>
        <w:rPr>
          <w:rFonts w:hint="cs"/>
          <w:rtl/>
        </w:rPr>
        <w:t xml:space="preserve"> </w:t>
      </w:r>
      <w:r w:rsidR="000636C2">
        <w:rPr>
          <w:rFonts w:hint="cs"/>
          <w:rtl/>
        </w:rPr>
        <w:t>(</w:t>
      </w:r>
      <w:r>
        <w:rPr>
          <w:rFonts w:hint="cs"/>
          <w:rtl/>
        </w:rPr>
        <w:t>ثانيا</w:t>
      </w:r>
      <w:r w:rsidR="000636C2">
        <w:rPr>
          <w:rFonts w:hint="cs"/>
          <w:rtl/>
        </w:rPr>
        <w:t xml:space="preserve">): </w:t>
      </w:r>
      <w:r>
        <w:rPr>
          <w:rFonts w:hint="cs"/>
          <w:rtl/>
        </w:rPr>
        <w:t>نقول لهؤلاء أين كان الله قبل أن يخلق العرش والفرش والسماء والأرض</w:t>
      </w:r>
      <w:r w:rsidR="000636C2">
        <w:rPr>
          <w:rFonts w:hint="cs"/>
          <w:rtl/>
        </w:rPr>
        <w:t>،</w:t>
      </w:r>
      <w:r>
        <w:rPr>
          <w:rFonts w:hint="cs"/>
          <w:rtl/>
        </w:rPr>
        <w:t xml:space="preserve"> وقبل أن يخلق الزمان والمكان</w:t>
      </w:r>
      <w:r w:rsidR="000636C2">
        <w:rPr>
          <w:rFonts w:hint="cs"/>
          <w:rtl/>
        </w:rPr>
        <w:t>،</w:t>
      </w:r>
      <w:r>
        <w:rPr>
          <w:rFonts w:hint="cs"/>
          <w:rtl/>
        </w:rPr>
        <w:t xml:space="preserve"> وقبل أن تكون هناك جهات ست</w:t>
      </w:r>
      <w:r w:rsidR="000636C2">
        <w:rPr>
          <w:rFonts w:hint="cs"/>
          <w:rtl/>
        </w:rPr>
        <w:t>؟</w:t>
      </w:r>
      <w:r>
        <w:rPr>
          <w:rFonts w:hint="cs"/>
          <w:rtl/>
        </w:rPr>
        <w:t xml:space="preserve"> فإن قالوا</w:t>
      </w:r>
      <w:r w:rsidR="000636C2">
        <w:rPr>
          <w:rFonts w:hint="cs"/>
          <w:rtl/>
        </w:rPr>
        <w:t xml:space="preserve">: </w:t>
      </w:r>
      <w:r>
        <w:rPr>
          <w:rFonts w:hint="cs"/>
          <w:rtl/>
        </w:rPr>
        <w:t>لم يكن له جهة ولا مكان</w:t>
      </w:r>
      <w:r w:rsidR="000636C2">
        <w:rPr>
          <w:rFonts w:hint="cs"/>
          <w:rtl/>
        </w:rPr>
        <w:t>،</w:t>
      </w:r>
      <w:r>
        <w:rPr>
          <w:rFonts w:hint="cs"/>
          <w:rtl/>
        </w:rPr>
        <w:t xml:space="preserve"> نقول قد اعترفتم بما نقول نحن به وهو الآن على ما عليه كان</w:t>
      </w:r>
      <w:r w:rsidR="000636C2">
        <w:rPr>
          <w:rFonts w:hint="cs"/>
          <w:rtl/>
        </w:rPr>
        <w:t>،</w:t>
      </w:r>
      <w:r>
        <w:rPr>
          <w:rFonts w:hint="cs"/>
          <w:rtl/>
        </w:rPr>
        <w:t xml:space="preserve"> لا جهة له ولا مكان</w:t>
      </w:r>
      <w:r w:rsidR="000636C2">
        <w:rPr>
          <w:rFonts w:hint="cs"/>
          <w:rtl/>
        </w:rPr>
        <w:t>،</w:t>
      </w:r>
      <w:r>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0636C2">
        <w:rPr>
          <w:rFonts w:hint="cs"/>
          <w:rtl/>
        </w:rPr>
        <w:t>،</w:t>
      </w:r>
      <w:r>
        <w:rPr>
          <w:rFonts w:hint="cs"/>
          <w:rtl/>
        </w:rPr>
        <w:t xml:space="preserve"> </w:t>
      </w:r>
      <w:r w:rsidR="000636C2">
        <w:rPr>
          <w:rFonts w:hint="cs"/>
          <w:rtl/>
        </w:rPr>
        <w:t>(</w:t>
      </w:r>
      <w:r>
        <w:rPr>
          <w:rFonts w:hint="cs"/>
          <w:rtl/>
        </w:rPr>
        <w:t>ثالثا</w:t>
      </w:r>
      <w:r w:rsidR="000636C2">
        <w:rPr>
          <w:rFonts w:hint="cs"/>
          <w:rtl/>
        </w:rPr>
        <w:t xml:space="preserve">): </w:t>
      </w:r>
      <w:r>
        <w:rPr>
          <w:rFonts w:hint="cs"/>
          <w:rtl/>
        </w:rPr>
        <w:t>نقول لهؤلاء إذا كنتم تأخذون بظواهر النصوص على حقيقتها فماذا تفعلون بمثل قوله تعالى</w:t>
      </w:r>
      <w:r w:rsidR="000636C2">
        <w:rPr>
          <w:rFonts w:hint="cs"/>
          <w:rtl/>
        </w:rPr>
        <w:t>: {</w:t>
      </w:r>
      <w:r>
        <w:rPr>
          <w:rFonts w:hint="cs"/>
          <w:rtl/>
        </w:rPr>
        <w:t>ءأمنتم من في السماء</w:t>
      </w:r>
      <w:r w:rsidR="000636C2">
        <w:rPr>
          <w:rFonts w:hint="cs"/>
          <w:rtl/>
        </w:rPr>
        <w:t>}،</w:t>
      </w:r>
      <w:r>
        <w:rPr>
          <w:rFonts w:hint="cs"/>
          <w:rtl/>
        </w:rPr>
        <w:t xml:space="preserve"> مع قوله</w:t>
      </w:r>
      <w:r w:rsidR="000636C2">
        <w:rPr>
          <w:rFonts w:hint="cs"/>
          <w:rtl/>
        </w:rPr>
        <w:t>: {</w:t>
      </w:r>
      <w:r>
        <w:rPr>
          <w:rFonts w:hint="cs"/>
          <w:rtl/>
        </w:rPr>
        <w:t>وهو الله في السموات وفي الأرض</w:t>
      </w:r>
      <w:r w:rsidR="000636C2">
        <w:rPr>
          <w:rFonts w:hint="cs"/>
          <w:rtl/>
        </w:rPr>
        <w:t>}،</w:t>
      </w:r>
      <w:r>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0636C2">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0636C2">
        <w:rPr>
          <w:rFonts w:hint="cs"/>
          <w:rtl/>
        </w:rPr>
        <w:t>،</w:t>
      </w:r>
      <w:r>
        <w:rPr>
          <w:rFonts w:hint="cs"/>
          <w:rtl/>
        </w:rPr>
        <w:t xml:space="preserve"> </w:t>
      </w:r>
      <w:r w:rsidR="000636C2">
        <w:rPr>
          <w:rFonts w:hint="cs"/>
          <w:rtl/>
        </w:rPr>
        <w:t>(</w:t>
      </w:r>
      <w:r>
        <w:rPr>
          <w:rFonts w:hint="cs"/>
          <w:rtl/>
        </w:rPr>
        <w:t>رابعا</w:t>
      </w:r>
      <w:r w:rsidR="000636C2">
        <w:rPr>
          <w:rFonts w:hint="cs"/>
          <w:rtl/>
        </w:rPr>
        <w:t xml:space="preserve">): </w:t>
      </w:r>
      <w:r>
        <w:rPr>
          <w:rFonts w:hint="cs"/>
          <w:rtl/>
        </w:rPr>
        <w:t>نقول لهؤلاءماذا تقولون في قوله تعالى</w:t>
      </w:r>
      <w:r w:rsidR="000636C2">
        <w:rPr>
          <w:rFonts w:hint="cs"/>
          <w:rtl/>
        </w:rPr>
        <w:t>: {</w:t>
      </w:r>
      <w:r>
        <w:rPr>
          <w:rFonts w:hint="cs"/>
          <w:rtl/>
        </w:rPr>
        <w:t>يد الله فوق أيديهم</w:t>
      </w:r>
      <w:r w:rsidR="000636C2">
        <w:rPr>
          <w:rFonts w:hint="cs"/>
          <w:rtl/>
        </w:rPr>
        <w:t>}</w:t>
      </w:r>
      <w:r>
        <w:rPr>
          <w:rFonts w:hint="cs"/>
          <w:rtl/>
        </w:rPr>
        <w:t xml:space="preserve"> بإفراد اليد مع قوله</w:t>
      </w:r>
      <w:r w:rsidR="000636C2">
        <w:rPr>
          <w:rFonts w:hint="cs"/>
          <w:rtl/>
        </w:rPr>
        <w:t>: {</w:t>
      </w:r>
      <w:r>
        <w:rPr>
          <w:rFonts w:hint="cs"/>
          <w:rtl/>
        </w:rPr>
        <w:t>لما خلقت بيدي</w:t>
      </w:r>
      <w:r w:rsidR="000636C2">
        <w:rPr>
          <w:rFonts w:hint="cs"/>
          <w:rtl/>
        </w:rPr>
        <w:t>}</w:t>
      </w:r>
      <w:r>
        <w:rPr>
          <w:rFonts w:hint="cs"/>
          <w:rtl/>
        </w:rPr>
        <w:t xml:space="preserve"> بتثنيتها</w:t>
      </w:r>
      <w:r w:rsidR="000636C2">
        <w:rPr>
          <w:rFonts w:hint="cs"/>
          <w:rtl/>
        </w:rPr>
        <w:t>،</w:t>
      </w:r>
      <w:r>
        <w:rPr>
          <w:rFonts w:hint="cs"/>
          <w:rtl/>
        </w:rPr>
        <w:t xml:space="preserve"> ومع قوله</w:t>
      </w:r>
      <w:r w:rsidR="000636C2">
        <w:rPr>
          <w:rFonts w:hint="cs"/>
          <w:rtl/>
        </w:rPr>
        <w:t>: {</w:t>
      </w:r>
      <w:r>
        <w:rPr>
          <w:rFonts w:hint="cs"/>
          <w:rtl/>
        </w:rPr>
        <w:t>والسماء بنيناها بأيد</w:t>
      </w:r>
      <w:r w:rsidR="000636C2">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0636C2">
        <w:rPr>
          <w:rFonts w:hint="cs"/>
          <w:rtl/>
        </w:rPr>
        <w:t>،</w:t>
      </w:r>
      <w:r>
        <w:rPr>
          <w:rFonts w:hint="cs"/>
          <w:rtl/>
        </w:rPr>
        <w:t xml:space="preserve"> </w:t>
      </w:r>
      <w:r w:rsidR="000636C2">
        <w:rPr>
          <w:rFonts w:hint="cs"/>
          <w:rtl/>
        </w:rPr>
        <w:t>(</w:t>
      </w:r>
      <w:r>
        <w:rPr>
          <w:rFonts w:hint="cs"/>
          <w:rtl/>
        </w:rPr>
        <w:t>خامسا</w:t>
      </w:r>
      <w:r w:rsidR="000636C2">
        <w:rPr>
          <w:rFonts w:hint="cs"/>
          <w:rtl/>
        </w:rPr>
        <w:t xml:space="preserve">): </w:t>
      </w:r>
      <w:r>
        <w:rPr>
          <w:rFonts w:hint="cs"/>
          <w:rtl/>
        </w:rPr>
        <w:t>نقول لهؤلاء قد ورد في الصحيح أن رسول الله قال</w:t>
      </w:r>
      <w:r w:rsidR="000636C2">
        <w:rPr>
          <w:rFonts w:hint="cs"/>
          <w:rtl/>
        </w:rPr>
        <w:t xml:space="preserve">: </w:t>
      </w:r>
      <w:r>
        <w:rPr>
          <w:rFonts w:hint="cs"/>
          <w:rtl/>
        </w:rPr>
        <w:t>(</w:t>
      </w:r>
      <w:r w:rsidR="000636C2">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0636C2">
        <w:rPr>
          <w:rFonts w:hint="cs"/>
          <w:rtl/>
        </w:rPr>
        <w:t>)</w:t>
      </w:r>
      <w:r>
        <w:rPr>
          <w:rFonts w:hint="cs"/>
          <w:rtl/>
        </w:rPr>
        <w:t>)</w:t>
      </w:r>
      <w:r w:rsidR="000636C2">
        <w:rPr>
          <w:rFonts w:hint="cs"/>
          <w:rtl/>
        </w:rPr>
        <w:t xml:space="preserve"> </w:t>
      </w:r>
      <w:r>
        <w:rPr>
          <w:rFonts w:hint="cs"/>
          <w:rtl/>
        </w:rPr>
        <w:t>رواه البخاري ومسلم وغيرهما</w:t>
      </w:r>
      <w:r w:rsidR="000636C2">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sidR="000636C2">
        <w:rPr>
          <w:rFonts w:hint="cs"/>
          <w:rtl/>
        </w:rPr>
        <w:t>،</w:t>
      </w:r>
      <w:r>
        <w:rPr>
          <w:rFonts w:hint="cs"/>
          <w:rtl/>
        </w:rPr>
        <w:t xml:space="preserve"> </w:t>
      </w:r>
      <w:r w:rsidR="000636C2">
        <w:rPr>
          <w:rFonts w:hint="cs"/>
          <w:rtl/>
        </w:rPr>
        <w:t>(</w:t>
      </w:r>
      <w:r>
        <w:rPr>
          <w:rFonts w:hint="cs"/>
          <w:rtl/>
        </w:rPr>
        <w:t>سادسا</w:t>
      </w:r>
      <w:r w:rsidR="000636C2">
        <w:rPr>
          <w:rFonts w:hint="cs"/>
          <w:rtl/>
        </w:rPr>
        <w:t xml:space="preserve">): </w:t>
      </w:r>
      <w:r>
        <w:rPr>
          <w:rFonts w:hint="cs"/>
          <w:rtl/>
        </w:rPr>
        <w:t>نقول لهؤلاء ما قاله حجة الإسلام الغزالي</w:t>
      </w:r>
      <w:r w:rsidR="000636C2">
        <w:rPr>
          <w:rFonts w:hint="cs"/>
          <w:rtl/>
        </w:rPr>
        <w:t>،</w:t>
      </w:r>
      <w:r>
        <w:rPr>
          <w:rFonts w:hint="cs"/>
          <w:rtl/>
        </w:rPr>
        <w:t xml:space="preserve"> ونصه</w:t>
      </w:r>
      <w:r w:rsidR="000636C2">
        <w:rPr>
          <w:rFonts w:hint="cs"/>
          <w:rtl/>
        </w:rPr>
        <w:t xml:space="preserve">: </w:t>
      </w:r>
      <w:r>
        <w:rPr>
          <w:rFonts w:hint="cs"/>
          <w:rtl/>
        </w:rPr>
        <w:t xml:space="preserve">نقول للمتشبث بظواهر الألفاظ إن كان نزوله من السماء الدنيا ليسمعنا نداءه فما أسمعنا نداءه فأي فائدة في نزوله ولقد كان يمكنه أن ينادينا كذلك وهو </w:t>
      </w:r>
      <w:r>
        <w:rPr>
          <w:rFonts w:hint="cs"/>
          <w:rtl/>
        </w:rPr>
        <w:lastRenderedPageBreak/>
        <w:t>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0636C2">
        <w:rPr>
          <w:rFonts w:hint="cs"/>
          <w:rtl/>
        </w:rPr>
        <w:t>،</w:t>
      </w:r>
      <w:r>
        <w:rPr>
          <w:rFonts w:hint="cs"/>
          <w:rtl/>
        </w:rPr>
        <w:t xml:space="preserve"> </w:t>
      </w:r>
      <w:r w:rsidR="000636C2">
        <w:rPr>
          <w:rFonts w:hint="cs"/>
          <w:bCs/>
          <w:rtl/>
        </w:rPr>
        <w:t>(</w:t>
      </w:r>
      <w:r>
        <w:rPr>
          <w:rFonts w:hint="cs"/>
          <w:bCs/>
          <w:rtl/>
        </w:rPr>
        <w:t>الشبهة الثانية ودفعها</w:t>
      </w:r>
      <w:r w:rsidR="000636C2">
        <w:rPr>
          <w:rFonts w:hint="cs"/>
          <w:bCs/>
          <w:rtl/>
        </w:rPr>
        <w:t>)</w:t>
      </w:r>
      <w:r w:rsidR="000636C2">
        <w:rPr>
          <w:rFonts w:eastAsia="Times New Roman" w:hint="cs"/>
          <w:bCs/>
          <w:noProof/>
          <w:rtl/>
          <w:lang w:eastAsia="ar-SA"/>
        </w:rPr>
        <w:t>:</w:t>
      </w:r>
      <w:r w:rsidR="000636C2">
        <w:rPr>
          <w:rFonts w:eastAsia="Times New Roman" w:hint="cs"/>
          <w:noProof/>
          <w:rtl/>
          <w:lang w:eastAsia="ar-SA"/>
        </w:rPr>
        <w:t xml:space="preserve"> </w:t>
      </w:r>
      <w:r>
        <w:rPr>
          <w:rFonts w:hint="cs"/>
          <w:rtl/>
        </w:rPr>
        <w:t>قال الأستاذ الإمام الشيخ محمد عبده رحمه الله في حاشيته على العقائد العضدية</w:t>
      </w:r>
      <w:r w:rsidR="000636C2">
        <w:rPr>
          <w:rFonts w:hint="cs"/>
          <w:rtl/>
        </w:rPr>
        <w:t xml:space="preserve">: </w:t>
      </w:r>
      <w:r>
        <w:rPr>
          <w:rFonts w:hint="cs"/>
          <w:rtl/>
        </w:rPr>
        <w:t>فإن قلت إن كلام الله وكلام النبي مؤلف من الألفاظ العربية ومدلولاتها معلومة لدى أهل اللغة فيجب الأخذ بمدلول اللفظ كائنا ما كان</w:t>
      </w:r>
      <w:r w:rsidR="000636C2">
        <w:rPr>
          <w:rFonts w:hint="cs"/>
          <w:rtl/>
        </w:rPr>
        <w:t>،</w:t>
      </w:r>
      <w:r>
        <w:rPr>
          <w:rFonts w:hint="cs"/>
          <w:rtl/>
        </w:rPr>
        <w:t xml:space="preserve"> قلت</w:t>
      </w:r>
      <w:r w:rsidR="000636C2">
        <w:rPr>
          <w:rFonts w:hint="cs"/>
          <w:rtl/>
        </w:rPr>
        <w:t xml:space="preserve">: </w:t>
      </w:r>
      <w:r>
        <w:rPr>
          <w:rFonts w:hint="cs"/>
          <w:rtl/>
        </w:rPr>
        <w:t>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0636C2">
        <w:rPr>
          <w:rFonts w:hint="cs"/>
          <w:rtl/>
        </w:rPr>
        <w:t>،</w:t>
      </w:r>
      <w:r>
        <w:rPr>
          <w:rFonts w:hint="cs"/>
          <w:rtl/>
        </w:rPr>
        <w:t xml:space="preserve"> وقال في قوله تعالى</w:t>
      </w:r>
      <w:r w:rsidR="000636C2">
        <w:rPr>
          <w:rFonts w:hint="cs"/>
          <w:rtl/>
        </w:rPr>
        <w:t>: {</w:t>
      </w:r>
      <w:r>
        <w:rPr>
          <w:rFonts w:hint="cs"/>
          <w:rtl/>
        </w:rPr>
        <w:t>ولقد أنزلنا إليكم آيات مبينات</w:t>
      </w:r>
      <w:r w:rsidR="000636C2">
        <w:rPr>
          <w:rFonts w:hint="cs"/>
          <w:rtl/>
        </w:rPr>
        <w:t xml:space="preserve">}: </w:t>
      </w:r>
      <w:r>
        <w:rPr>
          <w:rFonts w:hint="cs"/>
          <w:rtl/>
        </w:rPr>
        <w:t>إن الوحي من الله للنبي تنزيلا وإنزالا ونزولا لبيان علو مرتبة الربوبية لا أن هناك نزولا حسيا من مكان مرتفع إلى مكان منخفض</w:t>
      </w:r>
      <w:r w:rsidR="000636C2">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0636C2">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0636C2">
        <w:rPr>
          <w:rFonts w:hint="cs"/>
          <w:rtl/>
        </w:rPr>
        <w:t>،</w:t>
      </w:r>
      <w:r>
        <w:rPr>
          <w:rFonts w:hint="cs"/>
          <w:rtl/>
        </w:rPr>
        <w:t xml:space="preserve"> </w:t>
      </w:r>
      <w:r w:rsidR="000636C2">
        <w:rPr>
          <w:rFonts w:hint="cs"/>
          <w:bCs/>
          <w:rtl/>
        </w:rPr>
        <w:t>(</w:t>
      </w:r>
      <w:r>
        <w:rPr>
          <w:rFonts w:hint="cs"/>
          <w:bCs/>
          <w:rtl/>
        </w:rPr>
        <w:t>الشبهة الثالثة ودفعها</w:t>
      </w:r>
      <w:r w:rsidR="000636C2">
        <w:rPr>
          <w:rFonts w:hint="cs"/>
          <w:bCs/>
          <w:rtl/>
        </w:rPr>
        <w:t>):</w:t>
      </w:r>
      <w:r w:rsidR="000636C2">
        <w:rPr>
          <w:rFonts w:hint="cs"/>
          <w:rtl/>
        </w:rPr>
        <w:t xml:space="preserve"> </w:t>
      </w:r>
      <w:r>
        <w:rPr>
          <w:rFonts w:hint="cs"/>
          <w:rtl/>
        </w:rPr>
        <w:t>نقل السيوطي عن بعضهم أنه قال</w:t>
      </w:r>
      <w:r w:rsidR="000636C2">
        <w:rPr>
          <w:rFonts w:hint="cs"/>
          <w:rtl/>
        </w:rPr>
        <w:t xml:space="preserve">: </w:t>
      </w:r>
      <w:r>
        <w:rPr>
          <w:rFonts w:hint="cs"/>
          <w:rtl/>
        </w:rPr>
        <w:t>إن قيل ما الحكمة في إنزال المتشابه ممن أراد لعباده البيان والهدى</w:t>
      </w:r>
      <w:r w:rsidR="000636C2">
        <w:rPr>
          <w:rFonts w:hint="cs"/>
          <w:rtl/>
        </w:rPr>
        <w:t>،</w:t>
      </w:r>
      <w:r>
        <w:rPr>
          <w:rFonts w:hint="cs"/>
          <w:rtl/>
        </w:rPr>
        <w:t xml:space="preserve"> قلنا</w:t>
      </w:r>
      <w:r w:rsidR="000636C2">
        <w:rPr>
          <w:rFonts w:hint="cs"/>
          <w:rtl/>
        </w:rPr>
        <w:t xml:space="preserve">: </w:t>
      </w:r>
      <w:r>
        <w:rPr>
          <w:rFonts w:hint="cs"/>
          <w:rtl/>
        </w:rPr>
        <w:t xml:space="preserve">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w:t>
      </w:r>
      <w:r>
        <w:rPr>
          <w:rFonts w:hint="cs"/>
          <w:rtl/>
        </w:rPr>
        <w:lastRenderedPageBreak/>
        <w:t>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0636C2">
        <w:rPr>
          <w:rFonts w:hint="cs"/>
          <w:rtl/>
        </w:rPr>
        <w:t xml:space="preserve">، </w:t>
      </w:r>
      <w:r>
        <w:rPr>
          <w:rFonts w:hint="cs"/>
          <w:rtl/>
        </w:rPr>
        <w:t>ونسترعي نظرك هنا إلى ما أسلفناه في الحكم الماضية</w:t>
      </w:r>
      <w:r w:rsidR="000636C2">
        <w:rPr>
          <w:rFonts w:hint="cs"/>
          <w:rtl/>
        </w:rPr>
        <w:t>،</w:t>
      </w:r>
      <w:r>
        <w:rPr>
          <w:rFonts w:hint="cs"/>
          <w:rtl/>
        </w:rPr>
        <w:t xml:space="preserve"> ثم إلى ما ذكره ابن اللبان في مقدمة كتابه رد الآيات المتشابهات إلى الآيات المحكمات</w:t>
      </w:r>
      <w:r w:rsidR="000636C2">
        <w:rPr>
          <w:rFonts w:hint="cs"/>
          <w:rtl/>
        </w:rPr>
        <w:t>،</w:t>
      </w:r>
      <w:r>
        <w:rPr>
          <w:rFonts w:hint="cs"/>
          <w:rtl/>
        </w:rPr>
        <w:t xml:space="preserve"> إذ قال ما خلاصته</w:t>
      </w:r>
      <w:r w:rsidR="000636C2">
        <w:rPr>
          <w:rFonts w:hint="cs"/>
          <w:rtl/>
        </w:rPr>
        <w:t xml:space="preserve">: </w:t>
      </w:r>
      <w:r>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0636C2">
        <w:rPr>
          <w:rFonts w:hint="cs"/>
          <w:rtl/>
        </w:rPr>
        <w:t xml:space="preserve"> </w:t>
      </w:r>
      <w:r>
        <w:rPr>
          <w:rFonts w:hint="cs"/>
          <w:rtl/>
        </w:rPr>
        <w:t>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0636C2">
        <w:rPr>
          <w:rFonts w:hint="cs"/>
          <w:rtl/>
        </w:rPr>
        <w:t>،</w:t>
      </w:r>
      <w:r>
        <w:rPr>
          <w:rFonts w:hint="cs"/>
          <w:rtl/>
        </w:rPr>
        <w:t xml:space="preserve"> </w:t>
      </w:r>
      <w:r w:rsidR="000636C2">
        <w:rPr>
          <w:rFonts w:hint="cs"/>
          <w:bCs/>
          <w:rtl/>
        </w:rPr>
        <w:t>(</w:t>
      </w:r>
      <w:r>
        <w:rPr>
          <w:rFonts w:hint="cs"/>
          <w:bCs/>
          <w:rtl/>
        </w:rPr>
        <w:t>الشبهة الرابعة ودفعها</w:t>
      </w:r>
      <w:r w:rsidR="000636C2">
        <w:rPr>
          <w:rFonts w:hint="cs"/>
          <w:bCs/>
          <w:rtl/>
        </w:rPr>
        <w:t>)</w:t>
      </w:r>
      <w:r w:rsidR="000636C2">
        <w:rPr>
          <w:rFonts w:hint="cs"/>
          <w:rtl/>
        </w:rPr>
        <w:t xml:space="preserve">: </w:t>
      </w:r>
      <w:r>
        <w:rPr>
          <w:rFonts w:hint="cs"/>
          <w:rtl/>
        </w:rPr>
        <w:t>نقل السيوطي أيضا عن الإمام فخر الدين الرازي أنه قال</w:t>
      </w:r>
      <w:r w:rsidR="000636C2">
        <w:rPr>
          <w:rFonts w:hint="cs"/>
          <w:rtl/>
        </w:rPr>
        <w:t xml:space="preserve">: </w:t>
      </w:r>
      <w:r>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0636C2">
        <w:rPr>
          <w:rFonts w:hint="cs"/>
          <w:rtl/>
        </w:rPr>
        <w:t>،</w:t>
      </w:r>
      <w:r>
        <w:rPr>
          <w:rFonts w:hint="cs"/>
          <w:rtl/>
        </w:rPr>
        <w:t xml:space="preserve"> فالجبري متمسك بآيات الجبر كقوله تعالى</w:t>
      </w:r>
      <w:r w:rsidR="000636C2">
        <w:rPr>
          <w:rFonts w:hint="cs"/>
          <w:rtl/>
        </w:rPr>
        <w:t>: {</w:t>
      </w:r>
      <w:r>
        <w:rPr>
          <w:rFonts w:hint="cs"/>
          <w:rtl/>
        </w:rPr>
        <w:t>وجعلنا على قلوبهم أكنة أن يفقهوه وفي آذانهم وقرا</w:t>
      </w:r>
      <w:r w:rsidR="000636C2">
        <w:rPr>
          <w:rFonts w:hint="cs"/>
          <w:rtl/>
        </w:rPr>
        <w:t>}،</w:t>
      </w:r>
      <w:r>
        <w:rPr>
          <w:rFonts w:hint="cs"/>
          <w:rtl/>
        </w:rPr>
        <w:t xml:space="preserve"> والقدري يقول هذا مذهب الكفار بدليل أنه تعالى حكى عنهم ذلك في معرض الذم في قوله</w:t>
      </w:r>
      <w:r w:rsidR="000636C2">
        <w:rPr>
          <w:rFonts w:hint="cs"/>
          <w:rtl/>
        </w:rPr>
        <w:t>: {</w:t>
      </w:r>
      <w:r>
        <w:rPr>
          <w:rFonts w:hint="cs"/>
          <w:rtl/>
        </w:rPr>
        <w:t>وقالوا قلوبنا في أكنة مما تدعونا إليه وفي آذاننا وقر</w:t>
      </w:r>
      <w:r w:rsidR="000636C2">
        <w:rPr>
          <w:rFonts w:hint="cs"/>
          <w:rtl/>
        </w:rPr>
        <w:t>}،</w:t>
      </w:r>
      <w:r>
        <w:rPr>
          <w:rFonts w:hint="cs"/>
          <w:rtl/>
        </w:rPr>
        <w:t xml:space="preserve"> وفي موضع آخر</w:t>
      </w:r>
      <w:r w:rsidR="000636C2">
        <w:rPr>
          <w:rFonts w:hint="cs"/>
          <w:rtl/>
        </w:rPr>
        <w:t>: {</w:t>
      </w:r>
      <w:r>
        <w:rPr>
          <w:rFonts w:hint="cs"/>
          <w:rtl/>
        </w:rPr>
        <w:t>وقالوا قلوبنا غلف</w:t>
      </w:r>
      <w:r w:rsidR="000636C2">
        <w:rPr>
          <w:rFonts w:hint="cs"/>
          <w:rtl/>
        </w:rPr>
        <w:t>}،</w:t>
      </w:r>
      <w:r>
        <w:rPr>
          <w:rFonts w:hint="cs"/>
          <w:rtl/>
        </w:rPr>
        <w:t xml:space="preserve"> ومنكر الرؤية متمسك بقوله تعالى</w:t>
      </w:r>
      <w:r w:rsidR="000636C2">
        <w:rPr>
          <w:rFonts w:hint="cs"/>
          <w:rtl/>
        </w:rPr>
        <w:t>: {</w:t>
      </w:r>
      <w:r>
        <w:rPr>
          <w:rFonts w:hint="cs"/>
          <w:rtl/>
        </w:rPr>
        <w:t>لا تدركه الأبصار</w:t>
      </w:r>
      <w:r w:rsidR="000636C2">
        <w:rPr>
          <w:rFonts w:hint="cs"/>
          <w:rtl/>
        </w:rPr>
        <w:t>}،</w:t>
      </w:r>
      <w:r>
        <w:rPr>
          <w:rFonts w:hint="cs"/>
          <w:rtl/>
        </w:rPr>
        <w:t xml:space="preserve"> ومثبت الجهة متمسك بقوله تعالى</w:t>
      </w:r>
      <w:r w:rsidR="000636C2">
        <w:rPr>
          <w:rFonts w:hint="cs"/>
          <w:rtl/>
        </w:rPr>
        <w:t>: {</w:t>
      </w:r>
      <w:r>
        <w:rPr>
          <w:rFonts w:hint="cs"/>
          <w:rtl/>
        </w:rPr>
        <w:t>يخافون ربهم من فوقهم</w:t>
      </w:r>
      <w:r w:rsidR="000636C2">
        <w:rPr>
          <w:rFonts w:hint="cs"/>
          <w:rtl/>
        </w:rPr>
        <w:t>}،</w:t>
      </w:r>
      <w:r>
        <w:rPr>
          <w:rFonts w:hint="cs"/>
          <w:rtl/>
        </w:rPr>
        <w:t xml:space="preserve"> </w:t>
      </w:r>
      <w:r w:rsidR="000636C2">
        <w:rPr>
          <w:rFonts w:hint="cs"/>
          <w:rtl/>
        </w:rPr>
        <w:t>{</w:t>
      </w:r>
      <w:r>
        <w:rPr>
          <w:rFonts w:hint="cs"/>
          <w:rtl/>
        </w:rPr>
        <w:t>الرحمن على العرش استوى</w:t>
      </w:r>
      <w:r w:rsidR="000636C2">
        <w:rPr>
          <w:rFonts w:hint="cs"/>
          <w:rtl/>
        </w:rPr>
        <w:t>}،</w:t>
      </w:r>
      <w:r>
        <w:rPr>
          <w:rFonts w:hint="cs"/>
          <w:rtl/>
        </w:rPr>
        <w:t xml:space="preserve"> والثاني متمسك </w:t>
      </w:r>
      <w:r>
        <w:rPr>
          <w:rFonts w:hint="cs"/>
          <w:rtl/>
        </w:rPr>
        <w:lastRenderedPageBreak/>
        <w:t>بقوله تعالى</w:t>
      </w:r>
      <w:r w:rsidR="000636C2">
        <w:rPr>
          <w:rFonts w:hint="cs"/>
          <w:rtl/>
        </w:rPr>
        <w:t>: {</w:t>
      </w:r>
      <w:r>
        <w:rPr>
          <w:rFonts w:hint="cs"/>
          <w:rtl/>
        </w:rPr>
        <w:t>ليس كمثله شيء</w:t>
      </w:r>
      <w:r w:rsidR="000636C2">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0636C2">
        <w:rPr>
          <w:rFonts w:hint="cs"/>
          <w:rtl/>
        </w:rPr>
        <w:t>،</w:t>
      </w:r>
      <w:r>
        <w:rPr>
          <w:rFonts w:hint="cs"/>
          <w:rtl/>
        </w:rPr>
        <w:t xml:space="preserve"> والجواب أن العلماء ذكروا لوقوع المتشابه فيه فوائد</w:t>
      </w:r>
      <w:r w:rsidR="000636C2">
        <w:rPr>
          <w:rFonts w:hint="cs"/>
          <w:rtl/>
        </w:rPr>
        <w:t>،</w:t>
      </w:r>
      <w:r>
        <w:rPr>
          <w:rFonts w:hint="cs"/>
          <w:rtl/>
        </w:rPr>
        <w:t xml:space="preserve"> منها</w:t>
      </w:r>
      <w:r w:rsidR="000636C2">
        <w:rPr>
          <w:rFonts w:hint="cs"/>
          <w:rtl/>
        </w:rPr>
        <w:t xml:space="preserve">: </w:t>
      </w:r>
      <w:r>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0636C2">
        <w:rPr>
          <w:rFonts w:hint="cs"/>
          <w:rtl/>
        </w:rPr>
        <w:t>،</w:t>
      </w:r>
      <w:r>
        <w:rPr>
          <w:rFonts w:hint="cs"/>
          <w:rtl/>
        </w:rPr>
        <w:t xml:space="preserve"> </w:t>
      </w:r>
      <w:r w:rsidR="000636C2">
        <w:rPr>
          <w:rFonts w:hint="cs"/>
          <w:bCs/>
          <w:rtl/>
        </w:rPr>
        <w:t>(</w:t>
      </w:r>
      <w:r>
        <w:rPr>
          <w:rFonts w:hint="cs"/>
          <w:bCs/>
          <w:rtl/>
        </w:rPr>
        <w:t>الشبهة الخامسة ودفعها</w:t>
      </w:r>
      <w:r w:rsidR="000636C2">
        <w:rPr>
          <w:rFonts w:hint="cs"/>
          <w:bCs/>
          <w:rtl/>
        </w:rPr>
        <w:t>)</w:t>
      </w:r>
      <w:r w:rsidR="000636C2">
        <w:rPr>
          <w:rFonts w:hint="cs"/>
          <w:rtl/>
        </w:rPr>
        <w:t xml:space="preserve">: </w:t>
      </w:r>
      <w:r>
        <w:rPr>
          <w:rFonts w:hint="cs"/>
          <w:rtl/>
        </w:rPr>
        <w:t>قال السيوطي في كتابه الإتقان</w:t>
      </w:r>
      <w:r w:rsidR="000636C2">
        <w:rPr>
          <w:rFonts w:hint="cs"/>
          <w:rtl/>
        </w:rPr>
        <w:t xml:space="preserve">: </w:t>
      </w:r>
      <w:r>
        <w:rPr>
          <w:rFonts w:hint="cs"/>
          <w:rtl/>
        </w:rPr>
        <w:t>أورد بعضهم سؤالا وهو أنه هل للمحكم مزية على المتشابه أو لا فإن قلتم بالثاني فهو خلاف الإجماع</w:t>
      </w:r>
      <w:r w:rsidR="000636C2">
        <w:rPr>
          <w:rFonts w:hint="cs"/>
          <w:rtl/>
        </w:rPr>
        <w:t>،</w:t>
      </w:r>
      <w:r>
        <w:rPr>
          <w:rFonts w:hint="cs"/>
          <w:rtl/>
        </w:rPr>
        <w:t xml:space="preserve"> وإلا فقد نقضتم أصلكم في أن جميع كلامه سبحانه سواء وإنه منزل بالحكمة</w:t>
      </w:r>
      <w:r w:rsidR="000636C2">
        <w:rPr>
          <w:rFonts w:hint="cs"/>
          <w:rtl/>
        </w:rPr>
        <w:t>،</w:t>
      </w:r>
      <w:r>
        <w:rPr>
          <w:rFonts w:hint="cs"/>
          <w:rtl/>
        </w:rPr>
        <w:t xml:space="preserve"> وأجاب أبو عبد الله النكرباذي</w:t>
      </w:r>
      <w:r w:rsidR="000636C2">
        <w:rPr>
          <w:rFonts w:hint="cs"/>
          <w:rtl/>
        </w:rPr>
        <w:t xml:space="preserve">: </w:t>
      </w:r>
      <w:r>
        <w:rPr>
          <w:rFonts w:hint="cs"/>
          <w:rtl/>
        </w:rPr>
        <w:t>بأن المحكم كالمتشابه من وجه ويخالفه من وجه</w:t>
      </w:r>
      <w:r w:rsidR="000636C2">
        <w:rPr>
          <w:rFonts w:hint="cs"/>
          <w:rtl/>
        </w:rPr>
        <w:t>،</w:t>
      </w:r>
      <w:r>
        <w:rPr>
          <w:rFonts w:hint="cs"/>
          <w:rtl/>
        </w:rPr>
        <w:t xml:space="preserve"> فيتفقان في أن الاستدلال بهما لا يمكن إلا بعد معرفة حكمة الواضع وأنه لا يختار القبيح</w:t>
      </w:r>
      <w:r w:rsidR="000636C2">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0636C2">
        <w:rPr>
          <w:rFonts w:hint="cs"/>
          <w:rtl/>
        </w:rPr>
        <w:t>،</w:t>
      </w:r>
      <w:r>
        <w:rPr>
          <w:rFonts w:hint="cs"/>
          <w:rtl/>
        </w:rPr>
        <w:t xml:space="preserve"> ولأن المحكم أصل والعلم بالأصل أسبق ولأن المحكم يعلم مفصلا والمتشابه لا يعلم إلا مجملا اهـ</w:t>
      </w:r>
      <w:r w:rsidR="000636C2">
        <w:rPr>
          <w:rFonts w:hint="cs"/>
          <w:rtl/>
        </w:rPr>
        <w:t>،</w:t>
      </w:r>
      <w:r>
        <w:rPr>
          <w:rFonts w:hint="cs"/>
          <w:rtl/>
        </w:rPr>
        <w:t xml:space="preserve"> أقول</w:t>
      </w:r>
      <w:r w:rsidR="000636C2">
        <w:rPr>
          <w:rFonts w:hint="cs"/>
          <w:rtl/>
        </w:rPr>
        <w:t xml:space="preserve">: </w:t>
      </w:r>
      <w:r>
        <w:rPr>
          <w:rFonts w:hint="cs"/>
          <w:rtl/>
        </w:rPr>
        <w:t>ويمكن دفع هذه الشبهة بوجه أقرب</w:t>
      </w:r>
      <w:r w:rsidR="000636C2">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0636C2">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w:t>
      </w:r>
      <w:r>
        <w:rPr>
          <w:rFonts w:hint="cs"/>
          <w:rtl/>
        </w:rPr>
        <w:lastRenderedPageBreak/>
        <w:t>في القرآنية وخصائصها العامة وخلاصة هذا الجواب أن امتياز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0636C2">
        <w:rPr>
          <w:rFonts w:hint="cs"/>
          <w:rtl/>
        </w:rPr>
        <w:t>،</w:t>
      </w:r>
      <w:r>
        <w:rPr>
          <w:rFonts w:hint="cs"/>
          <w:rtl/>
        </w:rPr>
        <w:t xml:space="preserve"> </w:t>
      </w:r>
      <w:r w:rsidR="000636C2">
        <w:rPr>
          <w:rFonts w:hint="cs"/>
          <w:bCs/>
          <w:rtl/>
        </w:rPr>
        <w:t>(</w:t>
      </w:r>
      <w:r>
        <w:rPr>
          <w:rFonts w:hint="cs"/>
          <w:bCs/>
          <w:rtl/>
        </w:rPr>
        <w:t>الشبهة السادسة ودفعها</w:t>
      </w:r>
      <w:r w:rsidR="000636C2">
        <w:rPr>
          <w:rFonts w:hint="cs"/>
          <w:bCs/>
          <w:rtl/>
        </w:rPr>
        <w:t>):</w:t>
      </w:r>
      <w:r w:rsidR="000636C2">
        <w:rPr>
          <w:rFonts w:hint="cs"/>
          <w:rtl/>
        </w:rPr>
        <w:t xml:space="preserve"> </w:t>
      </w:r>
      <w:r>
        <w:rPr>
          <w:rFonts w:hint="cs"/>
          <w:rtl/>
        </w:rPr>
        <w:t>يقولون إن الناظر في موقف السلف والخلف من المتشابه يجزم بأنهم جميعا مؤولون</w:t>
      </w:r>
      <w:r w:rsidR="000636C2">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0636C2">
        <w:rPr>
          <w:rFonts w:hint="cs"/>
          <w:rtl/>
        </w:rPr>
        <w:t>،</w:t>
      </w:r>
      <w:r>
        <w:rPr>
          <w:rFonts w:hint="cs"/>
          <w:rtl/>
        </w:rPr>
        <w:t xml:space="preserve"> وندفع هذه الشبهة أولا</w:t>
      </w:r>
      <w:r w:rsidR="000636C2">
        <w:rPr>
          <w:rFonts w:hint="cs"/>
          <w:rtl/>
        </w:rPr>
        <w:t xml:space="preserve">: </w:t>
      </w:r>
      <w:r>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0636C2">
        <w:rPr>
          <w:rFonts w:hint="cs"/>
          <w:rtl/>
        </w:rPr>
        <w:t>،</w:t>
      </w:r>
      <w:r>
        <w:rPr>
          <w:rFonts w:hint="cs"/>
          <w:rtl/>
        </w:rPr>
        <w:t xml:space="preserve"> ثانيا</w:t>
      </w:r>
      <w:r w:rsidR="000636C2">
        <w:rPr>
          <w:rFonts w:hint="cs"/>
          <w:rtl/>
        </w:rPr>
        <w:t xml:space="preserve">: </w:t>
      </w:r>
      <w:r>
        <w:rPr>
          <w:rFonts w:hint="cs"/>
          <w:rtl/>
        </w:rPr>
        <w:t>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sidR="000636C2">
        <w:rPr>
          <w:rFonts w:hint="cs"/>
          <w:rtl/>
        </w:rPr>
        <w:t>: {</w:t>
      </w:r>
      <w:r>
        <w:rPr>
          <w:rFonts w:hint="cs"/>
          <w:rtl/>
        </w:rPr>
        <w:t>وأما الذين في قلوبهم زيغ</w:t>
      </w:r>
      <w:r w:rsidR="000636C2">
        <w:rPr>
          <w:rFonts w:hint="cs"/>
          <w:rtl/>
        </w:rPr>
        <w:t>}،</w:t>
      </w:r>
      <w:r>
        <w:rPr>
          <w:rFonts w:hint="cs"/>
          <w:rtl/>
        </w:rPr>
        <w:t xml:space="preserve"> أي ميل عن الاستقامة والحجة إلى الهوى والشهوة</w:t>
      </w:r>
      <w:r w:rsidR="000636C2">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0636C2">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sidR="000636C2">
        <w:rPr>
          <w:rFonts w:hint="cs"/>
          <w:rtl/>
        </w:rPr>
        <w:t xml:space="preserve">: </w:t>
      </w:r>
      <w:r>
        <w:rPr>
          <w:rFonts w:hint="cs"/>
          <w:rtl/>
        </w:rPr>
        <w:t>(</w:t>
      </w:r>
      <w:r w:rsidR="000636C2">
        <w:rPr>
          <w:rFonts w:hint="cs"/>
          <w:rtl/>
        </w:rPr>
        <w:t>(</w:t>
      </w:r>
      <w:r>
        <w:rPr>
          <w:rFonts w:hint="cs"/>
          <w:rtl/>
        </w:rPr>
        <w:t>اللهم فقهه في الدين وعلمه التأويل</w:t>
      </w:r>
      <w:r w:rsidR="000636C2">
        <w:rPr>
          <w:rFonts w:hint="cs"/>
          <w:rtl/>
        </w:rPr>
        <w:t>)</w:t>
      </w:r>
      <w:r>
        <w:rPr>
          <w:rFonts w:hint="cs"/>
          <w:rtl/>
        </w:rPr>
        <w:t>)</w:t>
      </w:r>
      <w:r w:rsidR="000636C2">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sidR="000636C2">
        <w:rPr>
          <w:rFonts w:hint="cs"/>
          <w:rtl/>
        </w:rPr>
        <w:t xml:space="preserve"> </w:t>
      </w:r>
      <w:r>
        <w:rPr>
          <w:rFonts w:hint="cs"/>
          <w:rtl/>
        </w:rPr>
        <w:t xml:space="preserve">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w:t>
      </w:r>
      <w:r>
        <w:rPr>
          <w:rFonts w:hint="cs"/>
          <w:rtl/>
        </w:rPr>
        <w:lastRenderedPageBreak/>
        <w:t>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0636C2">
        <w:rPr>
          <w:rFonts w:hint="cs"/>
          <w:rtl/>
        </w:rPr>
        <w:t xml:space="preserve">) </w:t>
      </w:r>
      <w:r>
        <w:rPr>
          <w:rFonts w:hint="cs"/>
          <w:rtl/>
        </w:rPr>
        <w:t>أهـ</w:t>
      </w:r>
      <w:r w:rsidR="000636C2">
        <w:rPr>
          <w:rFonts w:hint="cs"/>
          <w:rtl/>
        </w:rPr>
        <w:t xml:space="preserve"> [</w:t>
      </w:r>
      <w:r>
        <w:rPr>
          <w:rFonts w:hint="cs"/>
          <w:rtl/>
        </w:rPr>
        <w:t>مناهل العرفان ج</w:t>
      </w:r>
      <w:r w:rsidR="000636C2">
        <w:rPr>
          <w:rFonts w:hint="cs"/>
          <w:rtl/>
        </w:rPr>
        <w:t xml:space="preserve">: </w:t>
      </w:r>
      <w:r>
        <w:rPr>
          <w:rFonts w:hint="cs"/>
          <w:rtl/>
        </w:rPr>
        <w:t>2 ص</w:t>
      </w:r>
      <w:r w:rsidR="000636C2">
        <w:rPr>
          <w:rFonts w:hint="cs"/>
          <w:rtl/>
        </w:rPr>
        <w:t xml:space="preserve">: </w:t>
      </w:r>
      <w:r>
        <w:rPr>
          <w:rFonts w:hint="cs"/>
          <w:rtl/>
        </w:rPr>
        <w:t>206 إلى 217</w:t>
      </w:r>
      <w:r w:rsidR="000636C2">
        <w:rPr>
          <w:rFonts w:hint="cs"/>
          <w:rtl/>
        </w:rPr>
        <w:t>]،</w:t>
      </w:r>
    </w:p>
    <w:p w14:paraId="308948B4" w14:textId="77777777" w:rsidR="009C32A0" w:rsidRDefault="009C32A0" w:rsidP="000636C2">
      <w:pPr>
        <w:ind w:left="-58"/>
        <w:jc w:val="center"/>
        <w:rPr>
          <w:b/>
          <w:rtl/>
        </w:rPr>
      </w:pPr>
      <w:r>
        <w:rPr>
          <w:rFonts w:hint="cs"/>
          <w:rtl/>
        </w:rPr>
        <w:t>***</w:t>
      </w:r>
    </w:p>
    <w:p w14:paraId="1DB6E80D" w14:textId="77777777" w:rsidR="009C32A0" w:rsidRDefault="009C32A0" w:rsidP="000636C2">
      <w:pPr>
        <w:ind w:left="-58"/>
        <w:rPr>
          <w:b/>
          <w:rtl/>
          <w:lang w:bidi="ar-KW"/>
        </w:rPr>
      </w:pPr>
    </w:p>
    <w:p w14:paraId="0CF0F937" w14:textId="77777777" w:rsidR="009C32A0" w:rsidRDefault="009C32A0" w:rsidP="000636C2">
      <w:pPr>
        <w:ind w:left="-58"/>
        <w:rPr>
          <w:b/>
          <w:rtl/>
          <w:lang w:bidi="ar-KW"/>
        </w:rPr>
      </w:pPr>
    </w:p>
    <w:p w14:paraId="13957931" w14:textId="77777777" w:rsidR="009C32A0" w:rsidRDefault="009C32A0" w:rsidP="000636C2">
      <w:pPr>
        <w:ind w:left="-58"/>
        <w:rPr>
          <w:b/>
          <w:rtl/>
          <w:lang w:bidi="ar-KW"/>
        </w:rPr>
      </w:pPr>
    </w:p>
    <w:p w14:paraId="1718F694" w14:textId="151984C1" w:rsidR="009C32A0" w:rsidRPr="00627D1B" w:rsidRDefault="000636C2" w:rsidP="00627D1B">
      <w:pPr>
        <w:pStyle w:val="2"/>
        <w:bidi/>
        <w:jc w:val="center"/>
        <w:rPr>
          <w:u w:val="none"/>
          <w:rtl/>
        </w:rPr>
      </w:pPr>
      <w:r w:rsidRPr="00627D1B">
        <w:rPr>
          <w:rFonts w:hint="cs"/>
          <w:u w:val="none"/>
          <w:rtl/>
        </w:rPr>
        <w:t>[</w:t>
      </w:r>
      <w:r w:rsidR="009C32A0" w:rsidRPr="00627D1B">
        <w:rPr>
          <w:rFonts w:hint="cs"/>
          <w:u w:val="none"/>
          <w:rtl/>
        </w:rPr>
        <w:t>عاشراً</w:t>
      </w:r>
      <w:r w:rsidRPr="00627D1B">
        <w:rPr>
          <w:rFonts w:hint="cs"/>
          <w:u w:val="none"/>
          <w:rtl/>
        </w:rPr>
        <w:t>]</w:t>
      </w:r>
      <w:r w:rsidR="00627D1B" w:rsidRPr="00627D1B">
        <w:rPr>
          <w:rFonts w:hint="cs"/>
          <w:u w:val="none"/>
          <w:rtl/>
        </w:rPr>
        <w:t xml:space="preserve"> </w:t>
      </w:r>
      <w:r w:rsidR="009C32A0" w:rsidRPr="00627D1B">
        <w:rPr>
          <w:rFonts w:hint="cs"/>
          <w:u w:val="none"/>
          <w:rtl/>
        </w:rPr>
        <w:t>ما سماه السلفيون المعاصرون توحيد الأسماء والصفات هو عين الحشو والتجسيم</w:t>
      </w:r>
    </w:p>
    <w:p w14:paraId="4252D1AC" w14:textId="77777777" w:rsidR="009C32A0" w:rsidRDefault="009C32A0" w:rsidP="000636C2">
      <w:pPr>
        <w:ind w:left="-58"/>
        <w:rPr>
          <w:b/>
          <w:rtl/>
        </w:rPr>
      </w:pPr>
    </w:p>
    <w:p w14:paraId="7E429410" w14:textId="7A901204" w:rsidR="009C32A0" w:rsidRDefault="009C32A0" w:rsidP="000636C2">
      <w:pPr>
        <w:ind w:left="-58"/>
        <w:rPr>
          <w:b/>
          <w:rtl/>
        </w:rPr>
      </w:pPr>
      <w:r>
        <w:rPr>
          <w:rFonts w:hint="cs"/>
          <w:bCs/>
          <w:rtl/>
        </w:rPr>
        <w:t>يقول الشيخ عبد الله بن عبد الرحمن المكي الهاشمي في كتابه القيم السلفية المعاصرة مناقشات وردود</w:t>
      </w:r>
      <w:r w:rsidR="000636C2">
        <w:rPr>
          <w:rFonts w:hint="cs"/>
          <w:bCs/>
          <w:rtl/>
        </w:rPr>
        <w:t>،</w:t>
      </w:r>
      <w:r>
        <w:rPr>
          <w:rFonts w:hint="cs"/>
          <w:bCs/>
          <w:rtl/>
        </w:rPr>
        <w:t xml:space="preserve"> تحت عنوان</w:t>
      </w:r>
      <w:r w:rsidR="000636C2">
        <w:rPr>
          <w:rFonts w:hint="cs"/>
          <w:bCs/>
          <w:rtl/>
        </w:rPr>
        <w:t>:</w:t>
      </w:r>
      <w:r>
        <w:rPr>
          <w:rFonts w:hint="cs"/>
          <w:bCs/>
          <w:rtl/>
        </w:rPr>
        <w:t xml:space="preserve"> ما سماه الوهابيون توحيد الأسماء والصفات هو التشبيه والتجسيم عند جماهير العلماء</w:t>
      </w:r>
      <w:r w:rsidR="000636C2">
        <w:rPr>
          <w:rFonts w:hint="cs"/>
          <w:bCs/>
          <w:rtl/>
        </w:rPr>
        <w:t>:</w:t>
      </w:r>
      <w:r>
        <w:rPr>
          <w:rFonts w:hint="cs"/>
          <w:bCs/>
          <w:rtl/>
        </w:rPr>
        <w:t xml:space="preserve"> </w:t>
      </w:r>
      <w:r>
        <w:rPr>
          <w:rFonts w:hint="cs"/>
          <w:rtl/>
        </w:rPr>
        <w:t>" ما كنت أود الحوض في هذا المبحث</w:t>
      </w:r>
      <w:r w:rsidR="000636C2">
        <w:rPr>
          <w:rFonts w:hint="cs"/>
          <w:rtl/>
        </w:rPr>
        <w:t>،</w:t>
      </w:r>
      <w:r>
        <w:rPr>
          <w:rFonts w:hint="cs"/>
          <w:rtl/>
        </w:rPr>
        <w:t xml:space="preserve"> ولكن تجريح أدعياء السلفية للأشاعرة في الأيام الأخيرة دعا إلى بيان حقيقة المسألة , وفضل الأشاعرة في إخماد فتنتها وإطفاء لهيبها</w:t>
      </w:r>
      <w:r w:rsidR="000636C2">
        <w:rPr>
          <w:rFonts w:hint="cs"/>
          <w:rtl/>
        </w:rPr>
        <w:t>،</w:t>
      </w:r>
      <w:r>
        <w:rPr>
          <w:rFonts w:hint="cs"/>
          <w:rtl/>
        </w:rPr>
        <w:t xml:space="preserve"> وأقتصر فقط على إشارات عابرة فيها مرتبة كما يلي</w:t>
      </w:r>
      <w:r w:rsidR="000636C2">
        <w:rPr>
          <w:rFonts w:hint="cs"/>
          <w:rtl/>
        </w:rPr>
        <w:t xml:space="preserve">: </w:t>
      </w:r>
    </w:p>
    <w:p w14:paraId="5B372F2F" w14:textId="07710150" w:rsidR="009C32A0" w:rsidRDefault="000636C2" w:rsidP="000636C2">
      <w:pPr>
        <w:ind w:left="-58"/>
        <w:rPr>
          <w:b/>
          <w:rtl/>
        </w:rPr>
      </w:pPr>
      <w:r>
        <w:rPr>
          <w:rFonts w:hint="cs"/>
          <w:bCs/>
          <w:rtl/>
        </w:rPr>
        <w:t>(</w:t>
      </w:r>
      <w:r w:rsidR="009C32A0">
        <w:rPr>
          <w:rFonts w:hint="cs"/>
          <w:bCs/>
          <w:rtl/>
        </w:rPr>
        <w:t>1</w:t>
      </w:r>
      <w:r>
        <w:rPr>
          <w:rFonts w:hint="cs"/>
          <w:bCs/>
          <w:rtl/>
        </w:rPr>
        <w:t xml:space="preserve">) </w:t>
      </w:r>
      <w:r w:rsidR="009C32A0">
        <w:rPr>
          <w:rFonts w:hint="cs"/>
          <w:bCs/>
          <w:rtl/>
        </w:rPr>
        <w:t>ظهور الأشعرية والماتريدية وتصديهم للفرق الخارجة عن الجادة</w:t>
      </w:r>
      <w:r>
        <w:rPr>
          <w:rFonts w:hint="cs"/>
          <w:rtl/>
        </w:rPr>
        <w:t>:</w:t>
      </w:r>
      <w:r w:rsidR="009C32A0">
        <w:rPr>
          <w:rFonts w:hint="cs"/>
          <w:rtl/>
        </w:rPr>
        <w:t xml:space="preserve"> سبق ظهور أبي الحسن الأشعري فرق منحرفة من شيعة وخوارج وكرامية ومجسمة ومشبهة ومرجئة وجهمية وقدرية ودهرية وحلولية وباطنية وإسماعيلية ومعتزلة وغيرها</w:t>
      </w:r>
      <w:r>
        <w:rPr>
          <w:rFonts w:hint="cs"/>
          <w:rtl/>
        </w:rPr>
        <w:t xml:space="preserve">، </w:t>
      </w:r>
      <w:r w:rsidR="009C32A0">
        <w:rPr>
          <w:rFonts w:hint="cs"/>
          <w:rtl/>
        </w:rPr>
        <w:t xml:space="preserve">وكان أول ظهور الفرق بمقتل عثمان رضي الله عنه وكان لكل فرقة عقائدها وطريقة دفاعها عنها ومناظرتها ومؤلفاتها معولين على الأدلة العقلية ,مستخدمين فيها </w:t>
      </w:r>
      <w:r w:rsidR="009C32A0">
        <w:rPr>
          <w:rFonts w:hint="cs"/>
          <w:rtl/>
        </w:rPr>
        <w:lastRenderedPageBreak/>
        <w:t>ما اقتبسوه من منطق وفلسفة ,مؤولين النصوص التي لا توافق آراءهم</w:t>
      </w:r>
      <w:r>
        <w:rPr>
          <w:rFonts w:hint="cs"/>
          <w:rtl/>
        </w:rPr>
        <w:t>،</w:t>
      </w:r>
      <w:r w:rsidR="009C32A0">
        <w:rPr>
          <w:rFonts w:hint="cs"/>
          <w:rtl/>
        </w:rPr>
        <w:t xml:space="preserve"> فنهى السلف عما جاء به هؤلاء المبتدعة مما سموه علم الكلام وذموه</w:t>
      </w:r>
      <w:r>
        <w:rPr>
          <w:rFonts w:hint="cs"/>
          <w:rtl/>
        </w:rPr>
        <w:t>،</w:t>
      </w:r>
      <w:r w:rsidR="009C32A0">
        <w:rPr>
          <w:rFonts w:hint="cs"/>
          <w:rtl/>
        </w:rPr>
        <w:t xml:space="preserve"> ونبت أبو الحسن الأشعري في وسط المعتزلة , ثم أناب إلى أهل السنة فأظهر سنة 330</w:t>
      </w:r>
      <w:r>
        <w:rPr>
          <w:rFonts w:hint="cs"/>
          <w:rtl/>
        </w:rPr>
        <w:t xml:space="preserve"> </w:t>
      </w:r>
      <w:r w:rsidR="009C32A0">
        <w:rPr>
          <w:rFonts w:hint="cs"/>
          <w:rtl/>
        </w:rPr>
        <w:t>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Pr>
          <w:rFonts w:hint="cs"/>
          <w:rtl/>
        </w:rPr>
        <w:t>،</w:t>
      </w:r>
      <w:r w:rsidR="009C32A0">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والماتريدية على توالي القرون إلى اليوم</w:t>
      </w:r>
      <w:r>
        <w:rPr>
          <w:rFonts w:hint="cs"/>
          <w:rtl/>
        </w:rPr>
        <w:t>،</w:t>
      </w:r>
      <w:r w:rsidR="009C32A0">
        <w:rPr>
          <w:rFonts w:hint="cs"/>
          <w:rtl/>
        </w:rPr>
        <w:t xml:space="preserve"> وقد أطلق على ما دونوه في تأليفهم علم الكلام</w:t>
      </w:r>
      <w:r>
        <w:rPr>
          <w:rFonts w:hint="cs"/>
          <w:rtl/>
        </w:rPr>
        <w:t>،</w:t>
      </w:r>
      <w:r w:rsidR="009C32A0">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والماتريدية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والماتريدية كالغزالي ومن بعده وأخذوا من كتبهم ما يظن أن له مساسا بالدين كالإلهيات وتركيب الجسم وحكم المادة والجوهر والعرض وغير ذلك</w:t>
      </w:r>
      <w:r>
        <w:rPr>
          <w:rFonts w:hint="cs"/>
          <w:rtl/>
        </w:rPr>
        <w:t>،</w:t>
      </w:r>
      <w:r w:rsidR="009C32A0">
        <w:rPr>
          <w:rFonts w:hint="cs"/>
          <w:rtl/>
        </w:rPr>
        <w:t xml:space="preserve"> ثم وجهوا عنايتهم إلى نقد ما أتوا به من شبهات والرد عليها</w:t>
      </w:r>
      <w:r>
        <w:rPr>
          <w:rFonts w:hint="cs"/>
          <w:rtl/>
        </w:rPr>
        <w:t>،</w:t>
      </w:r>
      <w:r w:rsidR="009C32A0">
        <w:rPr>
          <w:rFonts w:hint="cs"/>
          <w:rtl/>
        </w:rPr>
        <w:t xml:space="preserve"> وهذا هو سبب خلط الكلام بمذاهب الفلاسفة في كتب المتأخرين كالبيضاوي والعضد والسعد والإيجي وغيرهم</w:t>
      </w:r>
      <w:r>
        <w:rPr>
          <w:rFonts w:hint="cs"/>
          <w:rtl/>
        </w:rPr>
        <w:t>،</w:t>
      </w:r>
      <w:r w:rsidR="009C32A0">
        <w:rPr>
          <w:rFonts w:hint="cs"/>
          <w:rtl/>
        </w:rPr>
        <w:t xml:space="preserve"> ولكثرة ما تصدى أبو الحسن الأشعري للفرق الضالة افترى عليه خصومه فتصدى العلماء لرد مفترياتهم عليه</w:t>
      </w:r>
      <w:r>
        <w:rPr>
          <w:rFonts w:hint="cs"/>
          <w:rtl/>
        </w:rPr>
        <w:t xml:space="preserve">، </w:t>
      </w:r>
      <w:r w:rsidR="009C32A0">
        <w:rPr>
          <w:rFonts w:hint="cs"/>
          <w:rtl/>
        </w:rPr>
        <w:t>ومن أهم ما كتب في الدفاع عنه "تبيين كذب المفتري على أبو الحسن الأشعري " للحافظ ابن عساكر</w:t>
      </w:r>
      <w:r>
        <w:rPr>
          <w:rFonts w:hint="cs"/>
          <w:rtl/>
        </w:rPr>
        <w:t>،</w:t>
      </w:r>
      <w:r w:rsidR="009C32A0">
        <w:rPr>
          <w:rFonts w:hint="cs"/>
          <w:rtl/>
        </w:rPr>
        <w:t xml:space="preserve"> وفي طبقات السبكي تراجم رجال ذبوا عن أبي الحسن كأبي القاسم القشيري</w:t>
      </w:r>
      <w:r>
        <w:rPr>
          <w:rFonts w:hint="cs"/>
          <w:rtl/>
        </w:rPr>
        <w:t>،</w:t>
      </w:r>
      <w:r w:rsidR="009C32A0">
        <w:rPr>
          <w:rFonts w:hint="cs"/>
          <w:rtl/>
        </w:rPr>
        <w:t xml:space="preserve"> كما في "الطبقات" وأيضاً عند ترجمة أبي الحسن ذكر لبعض من تصدى للدفاع عنه مما نسب إليه</w:t>
      </w:r>
      <w:r>
        <w:rPr>
          <w:rFonts w:hint="cs"/>
          <w:rtl/>
        </w:rPr>
        <w:t>،</w:t>
      </w:r>
      <w:r w:rsidR="009C32A0">
        <w:rPr>
          <w:rFonts w:hint="cs"/>
          <w:rtl/>
        </w:rPr>
        <w:t xml:space="preserve"> وقد نبتت نابته ممن اعتنقت مذهب التشبيه في صفاته تعالى فزعمت أن الأشعري قد رجع إلى مذهبهم في كتابه "الإبانه" وزعموا أنها آخر مؤلفاته</w:t>
      </w:r>
      <w:r>
        <w:rPr>
          <w:rFonts w:hint="cs"/>
          <w:rtl/>
        </w:rPr>
        <w:t>،</w:t>
      </w:r>
      <w:r w:rsidR="009C32A0">
        <w:rPr>
          <w:rFonts w:hint="cs"/>
          <w:rtl/>
        </w:rPr>
        <w:t xml:space="preserve"> وقد علق الإمام الكوثري على ذلك في تعليقه على نونية ابن القيم ص10 8 بقوله</w:t>
      </w:r>
      <w:r>
        <w:rPr>
          <w:rFonts w:hint="cs"/>
          <w:rtl/>
        </w:rPr>
        <w:t>:</w:t>
      </w:r>
      <w:r w:rsidR="009C32A0">
        <w:rPr>
          <w:rFonts w:hint="cs"/>
          <w:rtl/>
        </w:rPr>
        <w:t xml:space="preserve"> " والأشعري إن كنتم تعتقدون فيه أنه قائل بالفوقية المكانية فما سبب طعن الحشوية كلهم فيه</w:t>
      </w:r>
      <w:r>
        <w:rPr>
          <w:rFonts w:hint="cs"/>
          <w:rtl/>
        </w:rPr>
        <w:t>،</w:t>
      </w:r>
      <w:r w:rsidR="009C32A0">
        <w:rPr>
          <w:rFonts w:hint="cs"/>
          <w:rtl/>
        </w:rPr>
        <w:t xml:space="preserve"> وإنماله رأيان أحدهما</w:t>
      </w:r>
      <w:r>
        <w:rPr>
          <w:rFonts w:hint="cs"/>
          <w:rtl/>
        </w:rPr>
        <w:t xml:space="preserve">: </w:t>
      </w:r>
      <w:r w:rsidR="009C32A0">
        <w:rPr>
          <w:rFonts w:hint="cs"/>
          <w:rtl/>
        </w:rPr>
        <w:t>عدم الخوض في الصفات مع إثبات ما ثبت في الكتاب والسنة بدون تشبيه ولا تمثيل ,والآخر تأويله بما يوافق التنزيه عند الضرورة</w:t>
      </w:r>
      <w:r>
        <w:rPr>
          <w:rFonts w:hint="cs"/>
          <w:rtl/>
        </w:rPr>
        <w:t>،</w:t>
      </w:r>
      <w:r w:rsidR="009C32A0">
        <w:rPr>
          <w:rFonts w:hint="cs"/>
          <w:rtl/>
        </w:rPr>
        <w:t xml:space="preserve"> وليس في هذا ولافي ذاك القول بالفوقية المكانية</w:t>
      </w:r>
      <w:r>
        <w:rPr>
          <w:rFonts w:hint="cs"/>
          <w:rtl/>
        </w:rPr>
        <w:t>،</w:t>
      </w:r>
      <w:r w:rsidR="009C32A0">
        <w:rPr>
          <w:rFonts w:hint="cs"/>
          <w:rtl/>
        </w:rPr>
        <w:t xml:space="preserve"> قال</w:t>
      </w:r>
      <w:r>
        <w:rPr>
          <w:rFonts w:hint="cs"/>
          <w:rtl/>
        </w:rPr>
        <w:t xml:space="preserve">: </w:t>
      </w:r>
      <w:r w:rsidR="009C32A0">
        <w:rPr>
          <w:rFonts w:hint="cs"/>
          <w:rtl/>
        </w:rPr>
        <w:t>وتأليف "الإبانة " كان في أوائل رجوعه عن الاعتزال لتدريج البربهاري إلى معتقد أهل السنة</w:t>
      </w:r>
      <w:r>
        <w:rPr>
          <w:rFonts w:hint="cs"/>
          <w:rtl/>
        </w:rPr>
        <w:t>،</w:t>
      </w:r>
      <w:r w:rsidR="009C32A0">
        <w:rPr>
          <w:rFonts w:hint="cs"/>
          <w:rtl/>
        </w:rPr>
        <w:t xml:space="preserve"> ومن ظن أنها آخر مؤلفاته فقد ظن باطلاً</w:t>
      </w:r>
      <w:r>
        <w:rPr>
          <w:rFonts w:hint="cs"/>
          <w:rtl/>
        </w:rPr>
        <w:t>،</w:t>
      </w:r>
      <w:r w:rsidR="009C32A0">
        <w:rPr>
          <w:rFonts w:hint="cs"/>
          <w:rtl/>
        </w:rPr>
        <w:t xml:space="preserve"> وقد تلاحقت أقلام الحشوية بالتصرف فيها ولاسيما بعد فتن بغداد</w:t>
      </w:r>
      <w:r>
        <w:rPr>
          <w:rFonts w:hint="cs"/>
          <w:rtl/>
        </w:rPr>
        <w:t>،</w:t>
      </w:r>
      <w:r w:rsidR="009C32A0">
        <w:rPr>
          <w:rFonts w:hint="cs"/>
          <w:rtl/>
        </w:rPr>
        <w:t xml:space="preserve"> </w:t>
      </w:r>
      <w:r w:rsidR="009C32A0">
        <w:rPr>
          <w:rFonts w:hint="cs"/>
          <w:rtl/>
        </w:rPr>
        <w:lastRenderedPageBreak/>
        <w:t>فلا تعويل على ما فيها مما يخالف نصوص أئمة المذهب من أصحابه وأصحاب أصحابه , وابن درباس غير مأمون في روايتها لأنه أفسده شيخه في التصوف مع تأخر طبقته "</w:t>
      </w:r>
      <w:r>
        <w:rPr>
          <w:rFonts w:hint="cs"/>
          <w:rtl/>
        </w:rPr>
        <w:t>،</w:t>
      </w:r>
      <w:r w:rsidR="009C32A0">
        <w:rPr>
          <w:rFonts w:hint="cs"/>
          <w:rtl/>
        </w:rPr>
        <w:t xml:space="preserve"> </w:t>
      </w:r>
    </w:p>
    <w:p w14:paraId="6F1A0433" w14:textId="54C6936E" w:rsidR="009C32A0" w:rsidRDefault="000636C2" w:rsidP="000636C2">
      <w:pPr>
        <w:ind w:left="-58"/>
        <w:rPr>
          <w:b/>
          <w:rtl/>
        </w:rPr>
      </w:pPr>
      <w:r>
        <w:rPr>
          <w:rFonts w:hint="cs"/>
          <w:bCs/>
          <w:rtl/>
        </w:rPr>
        <w:t>(</w:t>
      </w:r>
      <w:r w:rsidR="009C32A0">
        <w:rPr>
          <w:rFonts w:hint="cs"/>
          <w:bCs/>
          <w:rtl/>
        </w:rPr>
        <w:t>2</w:t>
      </w:r>
      <w:r>
        <w:rPr>
          <w:rFonts w:hint="cs"/>
          <w:bCs/>
          <w:rtl/>
        </w:rPr>
        <w:t xml:space="preserve">) </w:t>
      </w:r>
      <w:r w:rsidR="009C32A0">
        <w:rPr>
          <w:rFonts w:hint="cs"/>
          <w:bCs/>
          <w:rtl/>
        </w:rPr>
        <w:t>ما دونه علماء السنة في العقائد</w:t>
      </w:r>
      <w:r>
        <w:rPr>
          <w:rFonts w:hint="cs"/>
          <w:rtl/>
        </w:rPr>
        <w:t>:</w:t>
      </w:r>
      <w:r w:rsidR="009C32A0">
        <w:rPr>
          <w:rFonts w:hint="cs"/>
          <w:rtl/>
        </w:rPr>
        <w:t xml:space="preserve"> وما دونه علماء السنة من أشعرية وماتريدية يسمى أصول الدين أو الفقه الأكبر أو علم التوحيد أو علم الكلام</w:t>
      </w:r>
      <w:r>
        <w:rPr>
          <w:rFonts w:hint="cs"/>
          <w:rtl/>
        </w:rPr>
        <w:t>،</w:t>
      </w:r>
      <w:r w:rsidR="009C32A0">
        <w:rPr>
          <w:rFonts w:hint="cs"/>
          <w:rtl/>
        </w:rPr>
        <w:t xml:space="preserve"> وإنما سمي علم الكلام لأن أشهر مسألة وقع فيها الخلاف هي أن كلام الله الذي يقرأه القارئ حادث أو قديم</w:t>
      </w:r>
      <w:r>
        <w:rPr>
          <w:rFonts w:hint="cs"/>
          <w:rtl/>
        </w:rPr>
        <w:t>،</w:t>
      </w:r>
      <w:r w:rsidR="009C32A0">
        <w:rPr>
          <w:rFonts w:hint="cs"/>
          <w:rtl/>
        </w:rPr>
        <w:t xml:space="preserve"> أو لأن هذا العلم يدور على الدليل العقلي وأثر ذلك يظهر في كلام المتكلم</w:t>
      </w:r>
      <w:r>
        <w:rPr>
          <w:rFonts w:hint="cs"/>
          <w:rtl/>
        </w:rPr>
        <w:t>،</w:t>
      </w:r>
      <w:r w:rsidR="009C32A0">
        <w:rPr>
          <w:rFonts w:hint="cs"/>
          <w:rtl/>
        </w:rPr>
        <w:t xml:space="preserve"> وأما تسميته بالتوحيد فهي تسمية بأهم أجزائه وهو إثبات وحدانية الله , وذلك هو المقصد الأعظم من بعثة الرسل</w:t>
      </w:r>
      <w:r>
        <w:rPr>
          <w:rFonts w:hint="cs"/>
          <w:rtl/>
        </w:rPr>
        <w:t>،</w:t>
      </w:r>
      <w:r w:rsidR="009C32A0">
        <w:rPr>
          <w:rFonts w:hint="cs"/>
          <w:rtl/>
        </w:rPr>
        <w:t xml:space="preserve"> وأما تسميته بالفقه الأكبر فهي تسمية أبي حنيفة له</w:t>
      </w:r>
      <w:r>
        <w:rPr>
          <w:rFonts w:hint="cs"/>
          <w:rtl/>
        </w:rPr>
        <w:t>،</w:t>
      </w:r>
      <w:r w:rsidR="009C32A0">
        <w:rPr>
          <w:rFonts w:hint="cs"/>
          <w:rtl/>
        </w:rPr>
        <w:t xml:space="preserve"> وأما تسميته علم أصول الدين فلأنه علم يبحث فيه جميع أقسام العقائد من إلهيات ونبوات وسمعيات وروحانيات</w:t>
      </w:r>
      <w:r>
        <w:rPr>
          <w:rFonts w:hint="cs"/>
          <w:rtl/>
        </w:rPr>
        <w:t>،</w:t>
      </w:r>
      <w:r w:rsidR="009C32A0">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Pr>
          <w:rFonts w:hint="cs"/>
          <w:rtl/>
        </w:rPr>
        <w:t>،</w:t>
      </w:r>
      <w:r w:rsidR="009C32A0">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Pr>
          <w:rFonts w:hint="cs"/>
          <w:rtl/>
        </w:rPr>
        <w:t>،</w:t>
      </w:r>
      <w:r w:rsidR="009C32A0">
        <w:rPr>
          <w:rFonts w:hint="cs"/>
          <w:rtl/>
        </w:rPr>
        <w:t xml:space="preserve"> وأساس العقائد الإسلامية ككل الأحكام الشرعية كتاب الله وسنة رسوله صلى الله عليه وسلم</w:t>
      </w:r>
      <w:r>
        <w:rPr>
          <w:rFonts w:hint="cs"/>
          <w:rtl/>
        </w:rPr>
        <w:t xml:space="preserve"> </w:t>
      </w:r>
      <w:r w:rsidR="009C32A0">
        <w:rPr>
          <w:rFonts w:hint="cs"/>
          <w:rtl/>
        </w:rPr>
        <w:t>والعقل يؤيدها والنظر الصحيح يثبتها</w:t>
      </w:r>
      <w:r>
        <w:rPr>
          <w:rFonts w:hint="cs"/>
          <w:rtl/>
        </w:rPr>
        <w:t>،</w:t>
      </w:r>
      <w:r w:rsidR="009C32A0">
        <w:rPr>
          <w:rFonts w:hint="cs"/>
          <w:rtl/>
        </w:rPr>
        <w:t xml:space="preserve"> ولذا ندب الله سبحانه وتعالى الإنسان إلى البحث والنظر والتفكير , وذم الذين لا يتفكرون ولا ينظرون</w:t>
      </w:r>
      <w:r>
        <w:rPr>
          <w:rFonts w:hint="cs"/>
          <w:rtl/>
        </w:rPr>
        <w:t>: {</w:t>
      </w:r>
      <w:r w:rsidR="009C32A0">
        <w:rPr>
          <w:rFonts w:hint="cs"/>
          <w:rtl/>
        </w:rPr>
        <w:t>قل انظروا ماذا في السموات والأرض</w:t>
      </w:r>
      <w:r>
        <w:rPr>
          <w:rFonts w:hint="cs"/>
          <w:rtl/>
        </w:rPr>
        <w:t>}</w:t>
      </w:r>
      <w:r w:rsidR="009C32A0">
        <w:rPr>
          <w:rFonts w:hint="cs"/>
          <w:rtl/>
        </w:rPr>
        <w:t xml:space="preserve"> , </w:t>
      </w:r>
      <w:r>
        <w:rPr>
          <w:rFonts w:hint="cs"/>
          <w:rtl/>
        </w:rPr>
        <w:t>{</w:t>
      </w:r>
      <w:r w:rsidR="009C32A0">
        <w:rPr>
          <w:rFonts w:hint="cs"/>
          <w:rtl/>
        </w:rPr>
        <w:t>وكأين من آية في السموات والأرض يمرون عليها وهم عنها معرضون</w:t>
      </w:r>
      <w:r>
        <w:rPr>
          <w:rFonts w:hint="cs"/>
          <w:rtl/>
        </w:rPr>
        <w:t>}،</w:t>
      </w:r>
      <w:r w:rsidR="009C32A0">
        <w:rPr>
          <w:rFonts w:hint="cs"/>
          <w:rtl/>
        </w:rPr>
        <w:t xml:space="preserve"> ومما يجب أن يعلم أن للعقول حداً فعلمها قليل , </w:t>
      </w:r>
      <w:r>
        <w:rPr>
          <w:rFonts w:hint="cs"/>
          <w:rtl/>
        </w:rPr>
        <w:t>{</w:t>
      </w:r>
      <w:r w:rsidR="009C32A0">
        <w:rPr>
          <w:rFonts w:hint="cs"/>
          <w:rtl/>
        </w:rPr>
        <w:t>ومآ أوتيتم من العلم إلا قليلا</w:t>
      </w:r>
      <w:r>
        <w:rPr>
          <w:rFonts w:hint="cs"/>
          <w:rtl/>
        </w:rPr>
        <w:t>}</w:t>
      </w:r>
      <w:r w:rsidR="009C32A0">
        <w:rPr>
          <w:rFonts w:hint="cs"/>
          <w:rtl/>
        </w:rPr>
        <w:t xml:space="preserve"> فمن أخذ عقيدته من طريق الفكر والنظر والمحض ولم يعتضد بالشرع فإنه يوشك أن يخطئ في أحكام الدين</w:t>
      </w:r>
      <w:r>
        <w:rPr>
          <w:rFonts w:hint="cs"/>
          <w:rtl/>
        </w:rPr>
        <w:t>،</w:t>
      </w:r>
      <w:r w:rsidR="009C32A0">
        <w:rPr>
          <w:rFonts w:hint="cs"/>
          <w:rtl/>
        </w:rPr>
        <w:t xml:space="preserve"> والعوام على قواعد دين الإسلام لأن الله تعالى أبقاهم على صحة العقيدة</w:t>
      </w:r>
      <w:r>
        <w:rPr>
          <w:rFonts w:hint="cs"/>
          <w:rtl/>
        </w:rPr>
        <w:t>،</w:t>
      </w:r>
      <w:r w:rsidR="009C32A0">
        <w:rPr>
          <w:rFonts w:hint="cs"/>
          <w:rtl/>
        </w:rPr>
        <w:t xml:space="preserve"> ولابأس من رد الشبهات والاستدلال على العقائد بالنظر لا على سبيل المزج والاختلاط ولكن على سبيل الاستئناس والاستنباط</w:t>
      </w:r>
      <w:r>
        <w:rPr>
          <w:rFonts w:hint="cs"/>
          <w:rtl/>
        </w:rPr>
        <w:t>،</w:t>
      </w:r>
      <w:r w:rsidR="009C32A0">
        <w:rPr>
          <w:rFonts w:hint="cs"/>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Pr>
          <w:rFonts w:hint="cs"/>
          <w:rtl/>
        </w:rPr>
        <w:t xml:space="preserve"> </w:t>
      </w:r>
      <w:r w:rsidR="009C32A0">
        <w:rPr>
          <w:rFonts w:hint="cs"/>
          <w:rtl/>
        </w:rPr>
        <w:t>..</w:t>
      </w:r>
      <w:r>
        <w:rPr>
          <w:rFonts w:hint="cs"/>
          <w:rtl/>
        </w:rPr>
        <w:t xml:space="preserve"> </w:t>
      </w:r>
      <w:r w:rsidR="009C32A0">
        <w:rPr>
          <w:rFonts w:hint="cs"/>
          <w:rtl/>
        </w:rPr>
        <w:t>والعقائد الاسلامية تتشعب إلى أربعة أقسام تحت كل قسم فروع عديدة</w:t>
      </w:r>
      <w:r>
        <w:rPr>
          <w:rFonts w:hint="cs"/>
          <w:rtl/>
        </w:rPr>
        <w:t>: (</w:t>
      </w:r>
      <w:r w:rsidR="009C32A0">
        <w:rPr>
          <w:rFonts w:hint="cs"/>
          <w:rtl/>
        </w:rPr>
        <w:t>القسم الأول</w:t>
      </w:r>
      <w:r>
        <w:rPr>
          <w:rFonts w:hint="cs"/>
          <w:rtl/>
        </w:rPr>
        <w:t xml:space="preserve">): </w:t>
      </w:r>
      <w:r w:rsidR="009C32A0">
        <w:rPr>
          <w:rFonts w:hint="cs"/>
          <w:rtl/>
        </w:rPr>
        <w:t>الإلهيات , وتبحث فيما يتعلق بالإله سبحانه وتعالى من حيث صفاته وأسماؤه وأفعله ,وما يلحق ذلك من الاعتقاد في الله</w:t>
      </w:r>
      <w:r>
        <w:rPr>
          <w:rFonts w:hint="cs"/>
          <w:rtl/>
        </w:rPr>
        <w:t>،</w:t>
      </w:r>
      <w:r w:rsidR="009C32A0">
        <w:rPr>
          <w:rFonts w:hint="cs"/>
          <w:rtl/>
        </w:rPr>
        <w:t xml:space="preserve"> </w:t>
      </w:r>
      <w:r>
        <w:rPr>
          <w:rFonts w:hint="cs"/>
          <w:rtl/>
        </w:rPr>
        <w:t>(</w:t>
      </w:r>
      <w:r w:rsidR="009C32A0">
        <w:rPr>
          <w:rFonts w:hint="cs"/>
          <w:rtl/>
        </w:rPr>
        <w:t>القسم الثاني</w:t>
      </w:r>
      <w:r>
        <w:rPr>
          <w:rFonts w:hint="cs"/>
          <w:rtl/>
        </w:rPr>
        <w:t xml:space="preserve">): </w:t>
      </w:r>
      <w:r w:rsidR="009C32A0">
        <w:rPr>
          <w:rFonts w:hint="cs"/>
          <w:rtl/>
        </w:rPr>
        <w:t xml:space="preserve">النبوات ,وتبحث في كل ما يتعلق بالأنبياء من حيث صفاتهم وعصمتهم ومهمتهم والحاجة إلى رسالتهم ,ويلحق بهذا القسم ما يتعلق بالأولياء والمعجزة والكرامة والكتب </w:t>
      </w:r>
      <w:r w:rsidR="009C32A0">
        <w:rPr>
          <w:rFonts w:hint="cs"/>
          <w:rtl/>
        </w:rPr>
        <w:lastRenderedPageBreak/>
        <w:t>السماوية</w:t>
      </w:r>
      <w:r>
        <w:rPr>
          <w:rFonts w:hint="cs"/>
          <w:rtl/>
        </w:rPr>
        <w:t>،</w:t>
      </w:r>
      <w:r w:rsidR="009C32A0">
        <w:rPr>
          <w:rFonts w:hint="cs"/>
          <w:rtl/>
        </w:rPr>
        <w:t xml:space="preserve"> </w:t>
      </w:r>
      <w:r>
        <w:rPr>
          <w:rFonts w:hint="cs"/>
          <w:rtl/>
        </w:rPr>
        <w:t>(</w:t>
      </w:r>
      <w:r w:rsidR="009C32A0">
        <w:rPr>
          <w:rFonts w:hint="cs"/>
          <w:rtl/>
        </w:rPr>
        <w:t>القسم الثالث</w:t>
      </w:r>
      <w:r>
        <w:rPr>
          <w:rFonts w:hint="cs"/>
          <w:rtl/>
        </w:rPr>
        <w:t xml:space="preserve">): </w:t>
      </w:r>
      <w:r w:rsidR="009C32A0">
        <w:rPr>
          <w:rFonts w:hint="cs"/>
          <w:rtl/>
        </w:rPr>
        <w:t>الروحانيات وتبحث فيما يتعلق بالعالم غير المادي كالملائكة والروح والجن</w:t>
      </w:r>
      <w:r>
        <w:rPr>
          <w:rFonts w:hint="cs"/>
          <w:rtl/>
        </w:rPr>
        <w:t>،</w:t>
      </w:r>
      <w:r w:rsidR="009C32A0">
        <w:rPr>
          <w:rFonts w:hint="cs"/>
          <w:rtl/>
        </w:rPr>
        <w:t xml:space="preserve"> </w:t>
      </w:r>
      <w:r>
        <w:rPr>
          <w:rFonts w:hint="cs"/>
          <w:rtl/>
        </w:rPr>
        <w:t>(</w:t>
      </w:r>
      <w:r w:rsidR="009C32A0">
        <w:rPr>
          <w:rFonts w:hint="cs"/>
          <w:rtl/>
        </w:rPr>
        <w:t>القسم الرابع</w:t>
      </w:r>
      <w:r>
        <w:rPr>
          <w:rFonts w:hint="cs"/>
          <w:rtl/>
        </w:rPr>
        <w:t xml:space="preserve">): </w:t>
      </w:r>
      <w:r w:rsidR="009C32A0">
        <w:rPr>
          <w:rFonts w:hint="cs"/>
          <w:rtl/>
        </w:rPr>
        <w:t>السمعيات وتبحث فيما يتعلق بالحياة البرزخية والحياة الآخروية ,كأحوال القبر وعلامات القيامة والبعث والموقف والحساب والميزان والجزاء والصراط والجنة والنار ونحو ذلك</w:t>
      </w:r>
      <w:r>
        <w:rPr>
          <w:rFonts w:hint="cs"/>
          <w:rtl/>
        </w:rPr>
        <w:t>،</w:t>
      </w:r>
      <w:r w:rsidR="009C32A0">
        <w:rPr>
          <w:rFonts w:hint="cs"/>
          <w:rtl/>
        </w:rPr>
        <w:t xml:space="preserve"> واعلم أن ذات الله سبحانه وتعالى أكبر من أن تحيط بها</w:t>
      </w:r>
      <w:r>
        <w:rPr>
          <w:rFonts w:hint="cs"/>
          <w:rtl/>
        </w:rPr>
        <w:t xml:space="preserve"> </w:t>
      </w:r>
      <w:r w:rsidR="009C32A0">
        <w:rPr>
          <w:rFonts w:hint="cs"/>
          <w:rtl/>
        </w:rPr>
        <w:t>العقول لأنها مهما بلغت العقول فإنها محدودة</w:t>
      </w:r>
      <w:r>
        <w:rPr>
          <w:rFonts w:hint="cs"/>
          <w:rtl/>
        </w:rPr>
        <w:t>،</w:t>
      </w:r>
      <w:r w:rsidR="009C32A0">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Pr>
          <w:rFonts w:hint="cs"/>
          <w:rtl/>
        </w:rPr>
        <w:t>،</w:t>
      </w:r>
      <w:r w:rsidR="009C32A0">
        <w:rPr>
          <w:rFonts w:hint="cs"/>
          <w:rtl/>
        </w:rPr>
        <w:t xml:space="preserve"> وقد ضل أقوام تكلموا في ذات الله فاحصر همتك في إدراك عظمة ربك بالتفكر في مخلوقاته</w:t>
      </w:r>
      <w:r>
        <w:rPr>
          <w:rFonts w:hint="cs"/>
          <w:rtl/>
        </w:rPr>
        <w:t>،</w:t>
      </w:r>
      <w:r w:rsidR="009C32A0">
        <w:rPr>
          <w:rFonts w:hint="cs"/>
          <w:rtl/>
        </w:rPr>
        <w:t xml:space="preserve"> وفي حديث مسلم عن أبي هريرة رضي الله عنه قال</w:t>
      </w:r>
      <w:r>
        <w:rPr>
          <w:rFonts w:hint="cs"/>
          <w:rtl/>
        </w:rPr>
        <w:t xml:space="preserve">: </w:t>
      </w:r>
      <w:r w:rsidR="009C32A0">
        <w:rPr>
          <w:rFonts w:hint="cs"/>
          <w:rtl/>
        </w:rPr>
        <w:t>قال رسول الله صلى الله عليه وسلم</w:t>
      </w:r>
      <w:r>
        <w:rPr>
          <w:rFonts w:hint="cs"/>
          <w:rtl/>
        </w:rPr>
        <w:t xml:space="preserve">: </w:t>
      </w:r>
      <w:r w:rsidR="009C32A0">
        <w:rPr>
          <w:rFonts w:hint="cs"/>
          <w:rtl/>
        </w:rPr>
        <w:t>(</w:t>
      </w:r>
      <w:r>
        <w:rPr>
          <w:rFonts w:hint="cs"/>
          <w:rtl/>
        </w:rPr>
        <w:t>(</w:t>
      </w:r>
      <w:r w:rsidR="009C32A0">
        <w:rPr>
          <w:rFonts w:hint="cs"/>
          <w:rtl/>
        </w:rPr>
        <w:t>لايزال الناس يتساءلون حتى يقال</w:t>
      </w:r>
      <w:r>
        <w:rPr>
          <w:rFonts w:hint="cs"/>
          <w:rtl/>
        </w:rPr>
        <w:t xml:space="preserve">: </w:t>
      </w:r>
      <w:r w:rsidR="009C32A0">
        <w:rPr>
          <w:rFonts w:hint="cs"/>
          <w:rtl/>
        </w:rPr>
        <w:t>خلق الله الخلق فمن خلق الله , فمن وجد من ذلك شيئا فليقل</w:t>
      </w:r>
      <w:r>
        <w:rPr>
          <w:rFonts w:hint="cs"/>
          <w:rtl/>
        </w:rPr>
        <w:t xml:space="preserve">: </w:t>
      </w:r>
      <w:r w:rsidR="009C32A0">
        <w:rPr>
          <w:rFonts w:hint="cs"/>
          <w:rtl/>
        </w:rPr>
        <w:t>آمنت بالله</w:t>
      </w:r>
      <w:r>
        <w:rPr>
          <w:rFonts w:hint="cs"/>
          <w:rtl/>
        </w:rPr>
        <w:t>)</w:t>
      </w:r>
      <w:r w:rsidR="009C32A0">
        <w:rPr>
          <w:rFonts w:hint="cs"/>
          <w:rtl/>
        </w:rPr>
        <w:t>)</w:t>
      </w:r>
      <w:r>
        <w:rPr>
          <w:rFonts w:hint="cs"/>
          <w:rtl/>
        </w:rPr>
        <w:t>،</w:t>
      </w:r>
      <w:r w:rsidR="009C32A0">
        <w:rPr>
          <w:rFonts w:hint="cs"/>
          <w:rtl/>
        </w:rPr>
        <w:t xml:space="preserve"> ويكفيك أن تعلم من طبائع المخلوقات وصفاتها أنها لا توجد بذاتها فعلمنا أن موجدها هو الله</w:t>
      </w:r>
      <w:r>
        <w:rPr>
          <w:rFonts w:hint="cs"/>
          <w:rtl/>
        </w:rPr>
        <w:t>،</w:t>
      </w:r>
      <w:r w:rsidR="009C32A0">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Pr>
          <w:rFonts w:hint="cs"/>
          <w:rtl/>
        </w:rPr>
        <w:t xml:space="preserve">، </w:t>
      </w:r>
      <w:r w:rsidR="009C32A0">
        <w:rPr>
          <w:rFonts w:hint="cs"/>
          <w:rtl/>
        </w:rPr>
        <w:t>والخالق وعلا تعرف إلى خلقه بأفعاله وصفات تليق بجلاله</w:t>
      </w:r>
      <w:r>
        <w:rPr>
          <w:rFonts w:hint="cs"/>
          <w:rtl/>
        </w:rPr>
        <w:t xml:space="preserve">، </w:t>
      </w:r>
      <w:r w:rsidR="009C32A0">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Pr>
          <w:rFonts w:hint="cs"/>
          <w:rtl/>
        </w:rPr>
        <w:t>،</w:t>
      </w:r>
      <w:r w:rsidR="009C32A0">
        <w:rPr>
          <w:rFonts w:hint="cs"/>
          <w:rtl/>
        </w:rPr>
        <w:t xml:space="preserve"> قال غير واحد من الأئمة منهم سفيان الثوري ومالك وابن عيينة وابن المبارك أنها تروى ونؤمن بها ولا يقال كيف</w:t>
      </w:r>
      <w:r>
        <w:rPr>
          <w:rFonts w:hint="cs"/>
          <w:rtl/>
        </w:rPr>
        <w:t>،</w:t>
      </w:r>
      <w:r w:rsidR="009C32A0">
        <w:rPr>
          <w:rFonts w:hint="cs"/>
          <w:rtl/>
        </w:rPr>
        <w:t xml:space="preserve"> </w:t>
      </w:r>
    </w:p>
    <w:p w14:paraId="54200878" w14:textId="02529447" w:rsidR="009C32A0" w:rsidRDefault="000636C2" w:rsidP="000636C2">
      <w:pPr>
        <w:ind w:left="-58"/>
        <w:rPr>
          <w:b/>
          <w:rtl/>
        </w:rPr>
      </w:pPr>
      <w:r>
        <w:rPr>
          <w:rFonts w:hint="cs"/>
          <w:bCs/>
          <w:rtl/>
        </w:rPr>
        <w:t>(</w:t>
      </w:r>
      <w:r w:rsidR="009C32A0">
        <w:rPr>
          <w:rFonts w:hint="cs"/>
          <w:bCs/>
          <w:rtl/>
        </w:rPr>
        <w:t>3</w:t>
      </w:r>
      <w:r>
        <w:rPr>
          <w:rFonts w:hint="cs"/>
          <w:bCs/>
          <w:rtl/>
        </w:rPr>
        <w:t xml:space="preserve">) </w:t>
      </w:r>
      <w:r w:rsidR="009C32A0">
        <w:rPr>
          <w:rFonts w:hint="cs"/>
          <w:bCs/>
          <w:rtl/>
        </w:rPr>
        <w:t>عقيدة الهدى في تفسير ما يوهم تشبيها من صفاته تعالى</w:t>
      </w:r>
      <w:r>
        <w:rPr>
          <w:rFonts w:hint="cs"/>
          <w:rtl/>
        </w:rPr>
        <w:t xml:space="preserve">: </w:t>
      </w:r>
      <w:r w:rsidR="009C32A0">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Pr>
          <w:rFonts w:hint="cs"/>
          <w:rtl/>
        </w:rPr>
        <w:t>،</w:t>
      </w:r>
      <w:r w:rsidR="009C32A0">
        <w:rPr>
          <w:rFonts w:hint="cs"/>
          <w:rtl/>
        </w:rPr>
        <w:t xml:space="preserve"> قال تعالى</w:t>
      </w:r>
      <w:r>
        <w:rPr>
          <w:rFonts w:hint="cs"/>
          <w:rtl/>
        </w:rPr>
        <w:t>: {</w:t>
      </w:r>
      <w:r w:rsidR="009C32A0">
        <w:rPr>
          <w:rFonts w:hint="cs"/>
          <w:rtl/>
        </w:rPr>
        <w:t>وخلق كل شيء فقدره تقديراً</w:t>
      </w:r>
      <w:r>
        <w:rPr>
          <w:rFonts w:hint="cs"/>
          <w:rtl/>
        </w:rPr>
        <w:t>}،</w:t>
      </w:r>
      <w:r w:rsidR="009C32A0">
        <w:rPr>
          <w:rFonts w:hint="cs"/>
          <w:rtl/>
        </w:rPr>
        <w:t xml:space="preserve"> وقال تعالى</w:t>
      </w:r>
      <w:r>
        <w:rPr>
          <w:rFonts w:hint="cs"/>
          <w:rtl/>
        </w:rPr>
        <w:t>: {</w:t>
      </w:r>
      <w:r w:rsidR="009C32A0">
        <w:rPr>
          <w:rFonts w:hint="cs"/>
          <w:rtl/>
        </w:rPr>
        <w:t>جعل الله لكل شيء قدرا</w:t>
      </w:r>
      <w:r>
        <w:rPr>
          <w:rFonts w:hint="cs"/>
          <w:rtl/>
        </w:rPr>
        <w:t>}،</w:t>
      </w:r>
      <w:r w:rsidR="009C32A0">
        <w:rPr>
          <w:rFonts w:hint="cs"/>
          <w:rtl/>
        </w:rPr>
        <w:t xml:space="preserve"> وقال تعالى</w:t>
      </w:r>
      <w:r>
        <w:rPr>
          <w:rFonts w:hint="cs"/>
          <w:rtl/>
        </w:rPr>
        <w:t>: {</w:t>
      </w:r>
      <w:r w:rsidR="009C32A0">
        <w:rPr>
          <w:rFonts w:hint="cs"/>
          <w:rtl/>
        </w:rPr>
        <w:t>وإن من شيء إلاّ عندنا خزائنه وما ننزله إلا بقدر معلوم</w:t>
      </w:r>
      <w:r>
        <w:rPr>
          <w:rFonts w:hint="cs"/>
          <w:rtl/>
        </w:rPr>
        <w:t>}</w:t>
      </w:r>
      <w:r w:rsidR="009C32A0">
        <w:rPr>
          <w:rFonts w:hint="cs"/>
          <w:rtl/>
        </w:rPr>
        <w:t xml:space="preserve"> فهذه الآيات تعطيك أن كل مقدر بقدر محدود هو مخلوق ,وتجعل ذلك التقدير سمة من سمات حدوثه</w:t>
      </w:r>
      <w:r>
        <w:rPr>
          <w:rFonts w:hint="cs"/>
          <w:rtl/>
        </w:rPr>
        <w:t>،</w:t>
      </w:r>
      <w:r w:rsidR="009C32A0">
        <w:rPr>
          <w:rFonts w:hint="cs"/>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Fonts w:hint="cs"/>
          <w:rtl/>
        </w:rPr>
        <w:t xml:space="preserve">، </w:t>
      </w:r>
      <w:r w:rsidR="009C32A0">
        <w:rPr>
          <w:rFonts w:hint="cs"/>
          <w:rtl/>
        </w:rPr>
        <w:t>فاحتج الله على خلق الإنسان بتركيبه وصورته إذ قال</w:t>
      </w:r>
      <w:r>
        <w:rPr>
          <w:rFonts w:hint="cs"/>
          <w:rtl/>
        </w:rPr>
        <w:t>: {</w:t>
      </w:r>
      <w:r w:rsidR="009C32A0">
        <w:rPr>
          <w:rFonts w:hint="cs"/>
          <w:rtl/>
        </w:rPr>
        <w:t xml:space="preserve">في أي صورة ما </w:t>
      </w:r>
      <w:r w:rsidR="009C32A0">
        <w:rPr>
          <w:rFonts w:hint="cs"/>
          <w:rtl/>
        </w:rPr>
        <w:lastRenderedPageBreak/>
        <w:t>شاء ركبك</w:t>
      </w:r>
      <w:r>
        <w:rPr>
          <w:rFonts w:hint="cs"/>
          <w:rtl/>
        </w:rPr>
        <w:t>}،</w:t>
      </w:r>
      <w:r w:rsidR="009C32A0">
        <w:rPr>
          <w:rFonts w:hint="cs"/>
          <w:rtl/>
        </w:rPr>
        <w:t xml:space="preserve"> وإمام الحنفاء إبراهيم عليه السلام الذي قال ربه</w:t>
      </w:r>
      <w:r>
        <w:rPr>
          <w:rFonts w:hint="cs"/>
          <w:rtl/>
        </w:rPr>
        <w:t>: {</w:t>
      </w:r>
      <w:r w:rsidR="009C32A0">
        <w:rPr>
          <w:rFonts w:hint="cs"/>
          <w:rtl/>
        </w:rPr>
        <w:t>وتلك حجتنا ءاتيناها إبراهيم على قومه</w:t>
      </w:r>
      <w:r>
        <w:rPr>
          <w:rFonts w:hint="cs"/>
          <w:rtl/>
        </w:rPr>
        <w:t>}،</w:t>
      </w:r>
      <w:r w:rsidR="009C32A0">
        <w:rPr>
          <w:rFonts w:hint="cs"/>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Pr>
          <w:rFonts w:hint="cs"/>
          <w:rtl/>
        </w:rPr>
        <w:t>،</w:t>
      </w:r>
      <w:r w:rsidR="009C32A0">
        <w:rPr>
          <w:rFonts w:hint="cs"/>
          <w:rtl/>
        </w:rPr>
        <w:t xml:space="preserve"> فيتعالى عن الجسمية ولوازمها</w:t>
      </w:r>
      <w:r>
        <w:rPr>
          <w:rFonts w:hint="cs"/>
          <w:rtl/>
        </w:rPr>
        <w:t xml:space="preserve">: </w:t>
      </w:r>
      <w:r w:rsidR="009C32A0">
        <w:rPr>
          <w:rFonts w:hint="cs"/>
          <w:rtl/>
        </w:rPr>
        <w:t>كالتركيب والأجزاء والصورة والمكان والجهة والقرب والبعد والحركة والسكون , من قال</w:t>
      </w:r>
      <w:r>
        <w:rPr>
          <w:rFonts w:hint="cs"/>
          <w:rtl/>
        </w:rPr>
        <w:t>؟</w:t>
      </w:r>
      <w:r w:rsidR="009C32A0">
        <w:rPr>
          <w:rFonts w:hint="cs"/>
          <w:rtl/>
        </w:rPr>
        <w:t xml:space="preserve"> </w:t>
      </w:r>
      <w:r>
        <w:rPr>
          <w:rFonts w:hint="cs"/>
          <w:rtl/>
        </w:rPr>
        <w:t>{</w:t>
      </w:r>
      <w:r w:rsidR="009C32A0">
        <w:rPr>
          <w:rFonts w:hint="cs"/>
          <w:rtl/>
        </w:rPr>
        <w:t>سبحان ربك رب العزة عما يصفون</w:t>
      </w:r>
      <w:r>
        <w:rPr>
          <w:rFonts w:hint="cs"/>
          <w:rtl/>
        </w:rPr>
        <w:t>}،</w:t>
      </w:r>
      <w:r w:rsidR="009C32A0">
        <w:rPr>
          <w:rFonts w:hint="cs"/>
          <w:rtl/>
        </w:rPr>
        <w:t xml:space="preserve"> ومن قال</w:t>
      </w:r>
      <w:r>
        <w:rPr>
          <w:rFonts w:hint="cs"/>
          <w:rtl/>
        </w:rPr>
        <w:t>؟</w:t>
      </w:r>
      <w:r w:rsidR="009C32A0">
        <w:rPr>
          <w:rFonts w:hint="cs"/>
          <w:rtl/>
        </w:rPr>
        <w:t xml:space="preserve"> </w:t>
      </w:r>
      <w:r>
        <w:rPr>
          <w:rFonts w:hint="cs"/>
          <w:rtl/>
        </w:rPr>
        <w:t>{</w:t>
      </w:r>
      <w:r w:rsidR="009C32A0">
        <w:rPr>
          <w:rFonts w:hint="cs"/>
          <w:rtl/>
        </w:rPr>
        <w:t>ليس كمثله شيء وهو السميع البصير</w:t>
      </w:r>
      <w:r>
        <w:rPr>
          <w:rFonts w:hint="cs"/>
          <w:rtl/>
        </w:rPr>
        <w:t>}،</w:t>
      </w:r>
      <w:r w:rsidR="009C32A0">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9C32A0">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9C32A0">
        <w:rPr>
          <w:rFonts w:hint="cs"/>
          <w:rtl/>
        </w:rPr>
        <w:t xml:space="preserve"> فلا يفسر الاستواء بالجلوس والاستقرار على العرش ,ولا يفسر الوجه والعين والقدم واليد والساق وسواها من الجوارح والأعضاء</w:t>
      </w:r>
      <w:r>
        <w:rPr>
          <w:rFonts w:hint="cs"/>
          <w:rtl/>
        </w:rPr>
        <w:t xml:space="preserve">، </w:t>
      </w:r>
      <w:r w:rsidR="009C32A0">
        <w:rPr>
          <w:rFonts w:hint="cs"/>
          <w:rtl/>
        </w:rPr>
        <w:t>وحسبك أنهم سموها صفات ولم يسموها أعضاء</w:t>
      </w:r>
      <w:r>
        <w:rPr>
          <w:rFonts w:hint="cs"/>
          <w:rtl/>
        </w:rPr>
        <w:t>،</w:t>
      </w:r>
      <w:r w:rsidR="009C32A0">
        <w:rPr>
          <w:rFonts w:hint="cs"/>
          <w:rtl/>
        </w:rPr>
        <w:t xml:space="preserve"> ولا يفسر العلو والنزول والانتقال على المعنى الظاهر الحسي الذي هو من لوازم الأجسام</w:t>
      </w:r>
      <w:r>
        <w:rPr>
          <w:rFonts w:hint="cs"/>
          <w:rtl/>
        </w:rPr>
        <w:t>،</w:t>
      </w:r>
      <w:r w:rsidR="009C32A0">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9C32A0">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9C32A0">
        <w:rPr>
          <w:rFonts w:hint="cs"/>
          <w:rtl/>
        </w:rPr>
        <w:t>وذلك هو معنى قولهم</w:t>
      </w:r>
      <w:r>
        <w:rPr>
          <w:rFonts w:hint="cs"/>
          <w:rtl/>
        </w:rPr>
        <w:t>:</w:t>
      </w:r>
      <w:r w:rsidR="009C32A0">
        <w:rPr>
          <w:rFonts w:hint="cs"/>
          <w:rtl/>
        </w:rPr>
        <w:t xml:space="preserve"> " أمروها كما جاءت" وبقولهم</w:t>
      </w:r>
      <w:r>
        <w:rPr>
          <w:rFonts w:hint="cs"/>
          <w:rtl/>
        </w:rPr>
        <w:t>:</w:t>
      </w:r>
      <w:r w:rsidR="009C32A0">
        <w:rPr>
          <w:rFonts w:hint="cs"/>
          <w:rtl/>
        </w:rPr>
        <w:t xml:space="preserve"> " نؤمن بها بلا كيف وبلا تشبيه " فإن نفي الكيف ونفي التشبيه وتسميتهما الوجه واليد ونحوهما صفات لا أجزاء ولا أعضاء مع ما أثر عنهم من قولهم</w:t>
      </w:r>
      <w:r>
        <w:rPr>
          <w:rFonts w:hint="cs"/>
          <w:rtl/>
        </w:rPr>
        <w:t>،</w:t>
      </w:r>
      <w:r w:rsidR="009C32A0">
        <w:rPr>
          <w:rFonts w:hint="cs"/>
          <w:rtl/>
        </w:rPr>
        <w:t xml:space="preserve"> " قراءتها تفسيرها " صريح في براءة ساحة أئمة الدين مما ألصقه بهم أهل التشبيه والتجسيم</w:t>
      </w:r>
      <w:r>
        <w:rPr>
          <w:rFonts w:hint="cs"/>
          <w:rtl/>
        </w:rPr>
        <w:t>،</w:t>
      </w:r>
      <w:r w:rsidR="009C32A0">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w:t>
      </w:r>
      <w:r w:rsidR="009C32A0">
        <w:rPr>
          <w:rFonts w:hint="cs"/>
          <w:rtl/>
        </w:rPr>
        <w:t xml:space="preserve"> بالاستقرار على العرش ,والوجه واليد بالأعضاء والجوارح ,والنزول بالنزول الحسي المتعارف</w:t>
      </w:r>
      <w:r>
        <w:rPr>
          <w:rFonts w:hint="cs"/>
          <w:rtl/>
        </w:rPr>
        <w:t>،</w:t>
      </w:r>
      <w:r w:rsidR="009C32A0">
        <w:rPr>
          <w:rFonts w:hint="cs"/>
          <w:rtl/>
        </w:rPr>
        <w:t xml:space="preserve"> فأفصح </w:t>
      </w:r>
      <w:r w:rsidR="009C32A0">
        <w:rPr>
          <w:rFonts w:hint="cs"/>
          <w:rtl/>
        </w:rPr>
        <w:lastRenderedPageBreak/>
        <w:t>أحمد لما سئل في محنته عن قوله تعالى</w:t>
      </w:r>
      <w:r>
        <w:rPr>
          <w:rFonts w:hint="cs"/>
          <w:rtl/>
        </w:rPr>
        <w:t>: {</w:t>
      </w:r>
      <w:r w:rsidR="009C32A0">
        <w:rPr>
          <w:rFonts w:hint="cs"/>
          <w:rtl/>
        </w:rPr>
        <w:t>وجاء ربك</w:t>
      </w:r>
      <w:r>
        <w:rPr>
          <w:rFonts w:hint="cs"/>
          <w:rtl/>
        </w:rPr>
        <w:t xml:space="preserve">} </w:t>
      </w:r>
      <w:r w:rsidR="009C32A0">
        <w:rPr>
          <w:rFonts w:hint="cs"/>
          <w:rtl/>
        </w:rPr>
        <w:t>بأن المراد مجيء أمره</w:t>
      </w:r>
      <w:r>
        <w:rPr>
          <w:rFonts w:hint="cs"/>
          <w:rtl/>
        </w:rPr>
        <w:t xml:space="preserve">، </w:t>
      </w:r>
      <w:r w:rsidR="009C32A0">
        <w:rPr>
          <w:rFonts w:hint="cs"/>
          <w:rtl/>
        </w:rPr>
        <w:t>وأفصح مالك عن حديث نزول الرب تعالى فقال</w:t>
      </w:r>
      <w:r>
        <w:rPr>
          <w:rFonts w:hint="cs"/>
          <w:rtl/>
        </w:rPr>
        <w:t xml:space="preserve">: </w:t>
      </w:r>
      <w:r w:rsidR="009C32A0">
        <w:rPr>
          <w:rFonts w:hint="cs"/>
          <w:rtl/>
        </w:rPr>
        <w:t>هو نزول رحمته لا نزول نقله</w:t>
      </w:r>
      <w:r>
        <w:rPr>
          <w:rFonts w:hint="cs"/>
          <w:rtl/>
        </w:rPr>
        <w:t>،</w:t>
      </w:r>
      <w:r w:rsidR="009C32A0">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 xml:space="preserve">: </w:t>
      </w:r>
      <w:r w:rsidR="009C32A0">
        <w:rPr>
          <w:rFonts w:hint="cs"/>
          <w:rtl/>
        </w:rPr>
        <w:t>نؤمن بها بلا كيف وبلا تشبيه وقولهم</w:t>
      </w:r>
      <w:r>
        <w:rPr>
          <w:rFonts w:hint="cs"/>
          <w:rtl/>
        </w:rPr>
        <w:t xml:space="preserve">: </w:t>
      </w:r>
      <w:r w:rsidR="009C32A0">
        <w:rPr>
          <w:rFonts w:hint="cs"/>
          <w:rtl/>
        </w:rPr>
        <w:t>قراءتها تفسيرها</w:t>
      </w:r>
      <w:r>
        <w:rPr>
          <w:rFonts w:hint="cs"/>
          <w:rtl/>
        </w:rPr>
        <w:t>،</w:t>
      </w:r>
      <w:r w:rsidR="009C32A0">
        <w:rPr>
          <w:rFonts w:hint="cs"/>
          <w:rtl/>
        </w:rPr>
        <w:t xml:space="preserve"> فلكل هذه الأسباب كانت طريقة أكثر الخلف هو تعيين المراد من تلك النصوص طبق ما تقتضيه اللغة العربية التي نزل بها القرآن</w:t>
      </w:r>
      <w:r>
        <w:rPr>
          <w:rFonts w:hint="cs"/>
          <w:rtl/>
        </w:rPr>
        <w:t>،</w:t>
      </w:r>
      <w:r w:rsidR="009C32A0">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9C32A0">
        <w:rPr>
          <w:rFonts w:hint="cs"/>
          <w:rtl/>
        </w:rPr>
        <w:t xml:space="preserve"> قال الإمام ابن دقيق العيد</w:t>
      </w:r>
      <w:r>
        <w:rPr>
          <w:rFonts w:hint="cs"/>
          <w:rtl/>
        </w:rPr>
        <w:t>:</w:t>
      </w:r>
      <w:r w:rsidR="009C32A0">
        <w:rPr>
          <w:rFonts w:hint="cs"/>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Pr>
          <w:rFonts w:hint="cs"/>
          <w:rtl/>
        </w:rPr>
        <w:t>،</w:t>
      </w:r>
      <w:r w:rsidR="009C32A0">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9C32A0">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Pr>
          <w:rFonts w:hint="cs"/>
          <w:rtl/>
        </w:rPr>
        <w:t>،</w:t>
      </w:r>
      <w:r w:rsidR="009C32A0">
        <w:rPr>
          <w:rFonts w:hint="cs"/>
          <w:rtl/>
        </w:rPr>
        <w:t xml:space="preserve"> قال الشريف الجرجاني في " شرحه على المواقف "</w:t>
      </w:r>
      <w:r>
        <w:rPr>
          <w:rFonts w:hint="cs"/>
          <w:rtl/>
        </w:rPr>
        <w:t>:</w:t>
      </w:r>
      <w:r w:rsidR="009C32A0">
        <w:rPr>
          <w:rFonts w:hint="cs"/>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حال</w:t>
      </w:r>
      <w:r>
        <w:rPr>
          <w:rFonts w:hint="cs"/>
          <w:rtl/>
        </w:rPr>
        <w:t>،</w:t>
      </w:r>
      <w:r w:rsidR="009C32A0">
        <w:rPr>
          <w:rFonts w:hint="cs"/>
          <w:rtl/>
        </w:rPr>
        <w:t xml:space="preserve">وقد علمت أن من قال أن التأويل هو طريقة الخلف وليس طريقة السلف إنما هو من ضيق </w:t>
      </w:r>
      <w:r w:rsidR="009C32A0">
        <w:rPr>
          <w:rFonts w:hint="cs"/>
          <w:rtl/>
        </w:rPr>
        <w:lastRenderedPageBreak/>
        <w:t>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w:t>
      </w:r>
      <w:r>
        <w:rPr>
          <w:rFonts w:hint="cs"/>
          <w:rtl/>
        </w:rPr>
        <w:t>: {</w:t>
      </w:r>
      <w:r w:rsidR="009C32A0">
        <w:rPr>
          <w:rFonts w:hint="cs"/>
          <w:rtl/>
        </w:rPr>
        <w:t>وجاء ربك</w:t>
      </w:r>
      <w:r>
        <w:rPr>
          <w:rFonts w:hint="cs"/>
          <w:rtl/>
        </w:rPr>
        <w:t>}،</w:t>
      </w:r>
      <w:r w:rsidR="009C32A0">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Fonts w:hint="cs"/>
          <w:rtl/>
        </w:rPr>
        <w:t>،</w:t>
      </w:r>
      <w:r w:rsidR="009C32A0">
        <w:rPr>
          <w:rFonts w:hint="cs"/>
          <w:rtl/>
        </w:rPr>
        <w:t>فمن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9C32A0">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9C32A0">
        <w:rPr>
          <w:rFonts w:hint="cs"/>
          <w:rtl/>
        </w:rPr>
        <w:t xml:space="preserve"> والله تعالى الذي يقول</w:t>
      </w:r>
      <w:r>
        <w:rPr>
          <w:rFonts w:hint="cs"/>
          <w:rtl/>
        </w:rPr>
        <w:t>: {</w:t>
      </w:r>
      <w:r w:rsidR="009C32A0">
        <w:rPr>
          <w:rFonts w:hint="cs"/>
          <w:rtl/>
        </w:rPr>
        <w:t>ليس كمثله شيء وهو السميع البصير</w:t>
      </w:r>
      <w:r>
        <w:rPr>
          <w:rFonts w:hint="cs"/>
          <w:rtl/>
        </w:rPr>
        <w:t>}،</w:t>
      </w:r>
      <w:r w:rsidR="009C32A0">
        <w:rPr>
          <w:rFonts w:hint="cs"/>
          <w:rtl/>
        </w:rPr>
        <w:t xml:space="preserve"> لو كانت ذاته مقدرة بقدر أو مركبة من أجزاء لكان له من خلقه أمثال لا تحصى , تعالى الله عن ذلك علوا كبيرا</w:t>
      </w:r>
      <w:r>
        <w:rPr>
          <w:rFonts w:hint="cs"/>
          <w:rtl/>
        </w:rPr>
        <w:t>،</w:t>
      </w:r>
      <w:r w:rsidR="009C32A0">
        <w:rPr>
          <w:rFonts w:hint="cs"/>
          <w:rtl/>
        </w:rPr>
        <w:t xml:space="preserve"> </w:t>
      </w:r>
    </w:p>
    <w:p w14:paraId="6BF1CBD1" w14:textId="59CE4CFB" w:rsidR="009C32A0" w:rsidRDefault="000636C2" w:rsidP="000636C2">
      <w:pPr>
        <w:ind w:left="-58"/>
        <w:rPr>
          <w:b/>
          <w:rtl/>
        </w:rPr>
      </w:pPr>
      <w:r>
        <w:rPr>
          <w:rFonts w:hint="cs"/>
          <w:bCs/>
          <w:rtl/>
        </w:rPr>
        <w:t>(</w:t>
      </w:r>
      <w:r w:rsidR="009C32A0">
        <w:rPr>
          <w:rFonts w:hint="cs"/>
          <w:bCs/>
          <w:rtl/>
        </w:rPr>
        <w:t>4</w:t>
      </w:r>
      <w:r>
        <w:rPr>
          <w:rFonts w:hint="cs"/>
          <w:bCs/>
          <w:rtl/>
        </w:rPr>
        <w:t xml:space="preserve">) </w:t>
      </w:r>
      <w:r w:rsidR="009C32A0">
        <w:rPr>
          <w:rFonts w:hint="cs"/>
          <w:bCs/>
          <w:rtl/>
        </w:rPr>
        <w:t>الابتلاء بالتشبيه والتجسيم</w:t>
      </w:r>
      <w:r>
        <w:rPr>
          <w:rFonts w:hint="cs"/>
          <w:rtl/>
        </w:rPr>
        <w:t xml:space="preserve">: </w:t>
      </w:r>
      <w:r w:rsidR="009C32A0">
        <w:rPr>
          <w:rFonts w:hint="cs"/>
          <w:rtl/>
        </w:rPr>
        <w:t>والابتلاء بالتشبيه والتجسيم قديم</w:t>
      </w:r>
      <w:r>
        <w:rPr>
          <w:rFonts w:hint="cs"/>
          <w:rtl/>
        </w:rPr>
        <w:t>،</w:t>
      </w:r>
      <w:r w:rsidR="009C32A0">
        <w:rPr>
          <w:rFonts w:hint="cs"/>
          <w:rtl/>
        </w:rPr>
        <w:t xml:space="preserve"> إذ سبق به عباد العجل اليهود الذين جعلوا لله جزءا فقالوا</w:t>
      </w:r>
      <w:r>
        <w:rPr>
          <w:rFonts w:hint="cs"/>
          <w:rtl/>
        </w:rPr>
        <w:t xml:space="preserve">: </w:t>
      </w:r>
      <w:r w:rsidR="009C32A0">
        <w:rPr>
          <w:rFonts w:hint="cs"/>
          <w:rtl/>
        </w:rPr>
        <w:t>عزيز ابن الله</w:t>
      </w:r>
      <w:r>
        <w:rPr>
          <w:rFonts w:hint="cs"/>
          <w:rtl/>
        </w:rPr>
        <w:t>،</w:t>
      </w:r>
      <w:r w:rsidR="009C32A0">
        <w:rPr>
          <w:rFonts w:hint="cs"/>
          <w:rtl/>
        </w:rPr>
        <w:t xml:space="preserve"> كما سبق إليه النصارى الذين قالوا</w:t>
      </w:r>
      <w:r>
        <w:rPr>
          <w:rFonts w:hint="cs"/>
          <w:rtl/>
        </w:rPr>
        <w:t xml:space="preserve">: </w:t>
      </w:r>
      <w:r w:rsidR="009C32A0">
        <w:rPr>
          <w:rFonts w:hint="cs"/>
          <w:rtl/>
        </w:rPr>
        <w:t>المسيح ابن الله</w:t>
      </w:r>
      <w:r>
        <w:rPr>
          <w:rFonts w:hint="cs"/>
          <w:rtl/>
        </w:rPr>
        <w:t xml:space="preserve">، </w:t>
      </w:r>
      <w:r w:rsidR="009C32A0">
        <w:rPr>
          <w:rFonts w:hint="cs"/>
          <w:rtl/>
        </w:rPr>
        <w:t>وفي الاسلام بدأت فرقة المشبهة في عصر التابعين ومن بعدهم</w:t>
      </w:r>
      <w:r>
        <w:rPr>
          <w:rFonts w:hint="cs"/>
          <w:rtl/>
        </w:rPr>
        <w:t xml:space="preserve">، </w:t>
      </w:r>
      <w:r w:rsidR="009C32A0">
        <w:rPr>
          <w:rFonts w:hint="cs"/>
          <w:rtl/>
        </w:rPr>
        <w:t xml:space="preserve">وقد أطلق العلماء عليهم لقب </w:t>
      </w:r>
      <w:r>
        <w:rPr>
          <w:rFonts w:hint="cs"/>
          <w:rtl/>
        </w:rPr>
        <w:t>(</w:t>
      </w:r>
      <w:r w:rsidR="009C32A0">
        <w:rPr>
          <w:rFonts w:hint="cs"/>
          <w:rtl/>
        </w:rPr>
        <w:t>الحشوية</w:t>
      </w:r>
      <w:r>
        <w:rPr>
          <w:rFonts w:hint="cs"/>
          <w:rtl/>
        </w:rPr>
        <w:t xml:space="preserve">) </w:t>
      </w:r>
      <w:r w:rsidR="009C32A0">
        <w:rPr>
          <w:rFonts w:hint="cs"/>
          <w:rtl/>
        </w:rPr>
        <w:t>نسبة إلى الحشو , وهو اللغو تنبها من أهل الحق للأمة بأن ما أتى به هؤلاء إنما هو اللغو الذي لا يعول عليه</w:t>
      </w:r>
      <w:r>
        <w:rPr>
          <w:rFonts w:hint="cs"/>
          <w:rtl/>
        </w:rPr>
        <w:t>،</w:t>
      </w:r>
      <w:r w:rsidR="009C32A0">
        <w:rPr>
          <w:rFonts w:hint="cs"/>
          <w:rtl/>
        </w:rPr>
        <w:t xml:space="preserve"> قال السبكي في تعليقه على نونية ابن القيم</w:t>
      </w:r>
      <w:r>
        <w:rPr>
          <w:rFonts w:hint="cs"/>
          <w:rtl/>
        </w:rPr>
        <w:t>:</w:t>
      </w:r>
      <w:r w:rsidR="009C32A0">
        <w:rPr>
          <w:rFonts w:hint="cs"/>
          <w:rtl/>
        </w:rPr>
        <w:t xml:space="preserve"> " وأما الحشوية فهي طائفة رذيلة جهال ينتسبون إلى أحمد</w:t>
      </w:r>
      <w:r>
        <w:rPr>
          <w:rFonts w:hint="cs"/>
          <w:rtl/>
        </w:rPr>
        <w:t>،</w:t>
      </w:r>
      <w:r w:rsidR="009C32A0">
        <w:rPr>
          <w:rFonts w:hint="cs"/>
          <w:rtl/>
        </w:rPr>
        <w:t>وأحمد مبرأ منهم</w:t>
      </w:r>
      <w:r>
        <w:rPr>
          <w:rFonts w:hint="cs"/>
          <w:rtl/>
        </w:rPr>
        <w:t xml:space="preserve">، </w:t>
      </w:r>
      <w:r w:rsidR="009C32A0">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Pr>
          <w:rFonts w:hint="cs"/>
          <w:rtl/>
        </w:rPr>
        <w:t>،</w:t>
      </w:r>
      <w:r w:rsidR="009C32A0">
        <w:rPr>
          <w:rFonts w:hint="cs"/>
          <w:rtl/>
        </w:rPr>
        <w:t xml:space="preserve"> وفتن الحشوية مشهورة مدونة في كتب التاريخ , كالكامل لابن الأثير , وتبين كذب المفتري لابن عساكر ,وذيل الروضتين لأبي شامة</w:t>
      </w:r>
      <w:r>
        <w:rPr>
          <w:rFonts w:hint="cs"/>
          <w:rtl/>
        </w:rPr>
        <w:t>،</w:t>
      </w:r>
      <w:r w:rsidR="009C32A0">
        <w:rPr>
          <w:rFonts w:hint="cs"/>
          <w:rtl/>
        </w:rPr>
        <w:t xml:space="preserve"> وطبقات </w:t>
      </w:r>
      <w:r w:rsidR="009C32A0">
        <w:rPr>
          <w:rFonts w:hint="cs"/>
          <w:rtl/>
        </w:rPr>
        <w:lastRenderedPageBreak/>
        <w:t>السبكي</w:t>
      </w:r>
      <w:r>
        <w:rPr>
          <w:rFonts w:hint="cs"/>
          <w:rtl/>
        </w:rPr>
        <w:t>،</w:t>
      </w:r>
      <w:r w:rsidR="009C32A0">
        <w:rPr>
          <w:rFonts w:hint="cs"/>
          <w:rtl/>
        </w:rPr>
        <w:t xml:space="preserve"> من ذلك</w:t>
      </w:r>
      <w:r>
        <w:rPr>
          <w:rFonts w:hint="cs"/>
          <w:rtl/>
        </w:rPr>
        <w:t xml:space="preserve">: </w:t>
      </w:r>
      <w:r w:rsidR="009C32A0">
        <w:rPr>
          <w:rFonts w:hint="cs"/>
          <w:rtl/>
        </w:rPr>
        <w:t>فتن الكرامية منذ ظهورهم في القرن الثالث</w:t>
      </w:r>
      <w:r>
        <w:rPr>
          <w:rFonts w:hint="cs"/>
          <w:rtl/>
        </w:rPr>
        <w:t>،</w:t>
      </w:r>
      <w:r w:rsidR="009C32A0">
        <w:rPr>
          <w:rFonts w:hint="cs"/>
          <w:rtl/>
        </w:rPr>
        <w:t xml:space="preserve"> وفتنة مجسمة الحنابلة ببغداد بزعامة البربهاري في القرن الرابع</w:t>
      </w:r>
      <w:r>
        <w:rPr>
          <w:rFonts w:hint="cs"/>
          <w:rtl/>
        </w:rPr>
        <w:t>،</w:t>
      </w:r>
      <w:r w:rsidR="009C32A0">
        <w:rPr>
          <w:rFonts w:hint="cs"/>
          <w:rtl/>
        </w:rPr>
        <w:t xml:space="preserve"> ثم فتنتهم ببغداد أيضا في القرن الخامس في عهد أبي نصر القشيري ,</w:t>
      </w:r>
      <w:r>
        <w:rPr>
          <w:rFonts w:hint="cs"/>
          <w:rtl/>
        </w:rPr>
        <w:t xml:space="preserve"> </w:t>
      </w:r>
      <w:r w:rsidR="009C32A0">
        <w:rPr>
          <w:rFonts w:hint="cs"/>
          <w:rtl/>
        </w:rPr>
        <w:t>وفتنه ابن مرزوق وابن الكيزاني بالقاهرة في النصف الأخير من القرن السادس</w:t>
      </w:r>
      <w:r>
        <w:rPr>
          <w:rFonts w:hint="cs"/>
          <w:rtl/>
        </w:rPr>
        <w:t>،</w:t>
      </w:r>
      <w:r w:rsidR="009C32A0">
        <w:rPr>
          <w:rFonts w:hint="cs"/>
          <w:rtl/>
        </w:rPr>
        <w:t xml:space="preserve"> وأعقبتها فتنة عبد الغني المقدسي الحنبلي في الصوت بالشام</w:t>
      </w:r>
      <w:r>
        <w:rPr>
          <w:rFonts w:hint="cs"/>
          <w:rtl/>
        </w:rPr>
        <w:t>،</w:t>
      </w:r>
      <w:r w:rsidR="009C32A0">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Pr>
          <w:rFonts w:hint="cs"/>
          <w:rtl/>
        </w:rPr>
        <w:t>،</w:t>
      </w:r>
      <w:r w:rsidR="009C32A0">
        <w:rPr>
          <w:rFonts w:hint="cs"/>
          <w:rtl/>
        </w:rPr>
        <w:t xml:space="preserve"> وهكذا توالت فتن الحشوية على مدى العصور</w:t>
      </w:r>
      <w:r>
        <w:rPr>
          <w:rFonts w:hint="cs"/>
          <w:rtl/>
        </w:rPr>
        <w:t>،</w:t>
      </w:r>
      <w:r w:rsidR="009C32A0">
        <w:rPr>
          <w:rFonts w:hint="cs"/>
          <w:rtl/>
        </w:rPr>
        <w:t xml:space="preserve"> وقد زعم الحشويون أن ما أضيف إلى الباري عز وجل من الألفاظ الواردة التي فيها ذكر نحو اليد والساق والاستواء والضحك والنزول مما هو من دلائل الحدوث والمخلوقية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Pr>
          <w:rFonts w:hint="cs"/>
          <w:rtl/>
        </w:rPr>
        <w:t>،</w:t>
      </w:r>
      <w:r w:rsidR="009C32A0">
        <w:rPr>
          <w:rFonts w:hint="cs"/>
          <w:rtl/>
        </w:rPr>
        <w:t xml:space="preserve"> ونسبوا ذلك إلى مقتضى كتاب الله وسنة رسوله صلى الله عليه وسلم</w:t>
      </w:r>
      <w:r>
        <w:rPr>
          <w:rFonts w:hint="cs"/>
          <w:rtl/>
        </w:rPr>
        <w:t xml:space="preserve"> </w:t>
      </w:r>
      <w:r w:rsidR="009C32A0">
        <w:rPr>
          <w:rFonts w:hint="cs"/>
          <w:rtl/>
        </w:rPr>
        <w:t>,وإلى أصحابه وسلف هذه الأمة ويحشرون في مصنفاتهم من النقول مالا يصح نسبته إليهم أو ما لم يفهموا ما أراده السلف منه ويحشرون كذلك من الحديث ما لا يصح أن يكون حجة في الفروع فضلا عن الأصول</w:t>
      </w:r>
      <w:r>
        <w:rPr>
          <w:rFonts w:hint="cs"/>
          <w:rtl/>
        </w:rPr>
        <w:t>،</w:t>
      </w:r>
      <w:r w:rsidR="009C32A0">
        <w:rPr>
          <w:rFonts w:hint="cs"/>
          <w:rtl/>
        </w:rPr>
        <w:t xml:space="preserve"> وقد زادوا من عند أنفسهم ألفاظا على النص الوارد فقالوا مثلا</w:t>
      </w:r>
      <w:r>
        <w:rPr>
          <w:rFonts w:hint="cs"/>
          <w:rtl/>
        </w:rPr>
        <w:t xml:space="preserve">: </w:t>
      </w:r>
      <w:r w:rsidR="009C32A0">
        <w:rPr>
          <w:rFonts w:hint="cs"/>
          <w:rtl/>
        </w:rPr>
        <w:t>استوى بذاته أو أستوى حقيقة ونحو ذلك من الألفاظ التي لم ترد في كتاب ولا سنة</w:t>
      </w:r>
      <w:r>
        <w:rPr>
          <w:rFonts w:hint="cs"/>
          <w:rtl/>
        </w:rPr>
        <w:t>،</w:t>
      </w:r>
      <w:r w:rsidR="009C32A0">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والمخلوقية فيستحيل أن يكون وصفا للخالق على المعنى الذي توهموه</w:t>
      </w:r>
      <w:r>
        <w:rPr>
          <w:rFonts w:hint="cs"/>
          <w:rtl/>
        </w:rPr>
        <w:t>،</w:t>
      </w:r>
      <w:r w:rsidR="009C32A0">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Pr>
          <w:rFonts w:hint="cs"/>
          <w:rtl/>
        </w:rPr>
        <w:t xml:space="preserve">: </w:t>
      </w:r>
      <w:r w:rsidR="009C32A0">
        <w:rPr>
          <w:rFonts w:hint="cs"/>
          <w:rtl/>
        </w:rPr>
        <w:t>له يد حقيقة ,واستوى حقيقة ثم يضيفون عبارة</w:t>
      </w:r>
      <w:r>
        <w:rPr>
          <w:rFonts w:hint="cs"/>
          <w:rtl/>
        </w:rPr>
        <w:t>:</w:t>
      </w:r>
      <w:r w:rsidR="009C32A0">
        <w:rPr>
          <w:rFonts w:hint="cs"/>
          <w:rtl/>
        </w:rPr>
        <w:t xml:space="preserve"> " من غير تمثيل ولا تشبيه ولا تعطيل ولا تحريف " أو يقولون</w:t>
      </w:r>
      <w:r>
        <w:rPr>
          <w:rFonts w:hint="cs"/>
          <w:rtl/>
        </w:rPr>
        <w:t xml:space="preserve">: </w:t>
      </w:r>
      <w:r w:rsidR="009C32A0">
        <w:rPr>
          <w:rFonts w:hint="cs"/>
          <w:rtl/>
        </w:rPr>
        <w:t>ينزل بلا كيف ويستقر بلا كيف</w:t>
      </w:r>
      <w:r>
        <w:rPr>
          <w:rFonts w:hint="cs"/>
          <w:rtl/>
        </w:rPr>
        <w:t>،</w:t>
      </w:r>
      <w:r w:rsidR="009C32A0">
        <w:rPr>
          <w:rFonts w:hint="cs"/>
          <w:rtl/>
        </w:rPr>
        <w:t>وكأن المراد عندهم في الوارد هو العضو والجلوس وإنما المجهول كيفية ذلك</w:t>
      </w:r>
      <w:r>
        <w:rPr>
          <w:rFonts w:hint="cs"/>
          <w:rtl/>
        </w:rPr>
        <w:t>،</w:t>
      </w:r>
      <w:r w:rsidR="009C32A0">
        <w:rPr>
          <w:rFonts w:hint="cs"/>
          <w:rtl/>
        </w:rPr>
        <w:t xml:space="preserve"> وقدفضحهم ابنالجوزي في كتابه </w:t>
      </w:r>
      <w:r w:rsidR="009C32A0">
        <w:t>"</w:t>
      </w:r>
      <w:r w:rsidR="009C32A0">
        <w:rPr>
          <w:rFonts w:hint="cs"/>
          <w:rtl/>
        </w:rPr>
        <w:t>دفعالشبه والتشبيه</w:t>
      </w:r>
      <w:r w:rsidR="009C32A0">
        <w:t>"</w:t>
      </w:r>
      <w:r w:rsidR="009C32A0">
        <w:rPr>
          <w:rFonts w:hint="cs"/>
          <w:rtl/>
        </w:rPr>
        <w:t xml:space="preserve"> إذقال قد وقع غلط من المصنفين </w:t>
      </w:r>
      <w:r w:rsidR="009C32A0">
        <w:t>"</w:t>
      </w:r>
      <w:r w:rsidR="009C32A0">
        <w:rPr>
          <w:rFonts w:hint="cs"/>
          <w:rtl/>
        </w:rPr>
        <w:t>أيمن الحنابلة " في سبعة أوجه عدها ثم قال</w:t>
      </w:r>
      <w:r>
        <w:rPr>
          <w:rFonts w:hint="cs"/>
          <w:rtl/>
        </w:rPr>
        <w:t>:</w:t>
      </w:r>
      <w:r w:rsidR="009C32A0">
        <w:rPr>
          <w:rFonts w:hint="cs"/>
          <w:rtl/>
        </w:rPr>
        <w:t xml:space="preserve"> " السابع</w:t>
      </w:r>
      <w:r>
        <w:rPr>
          <w:rFonts w:hint="cs"/>
          <w:rtl/>
        </w:rPr>
        <w:t>:</w:t>
      </w:r>
      <w:r w:rsidR="009C32A0">
        <w:rPr>
          <w:rFonts w:hint="cs"/>
          <w:rtl/>
        </w:rPr>
        <w:t xml:space="preserve"> أنهم حملوا الأحاديث على مقتضى الحس فقالوا</w:t>
      </w:r>
      <w:r>
        <w:rPr>
          <w:rFonts w:hint="cs"/>
          <w:rtl/>
        </w:rPr>
        <w:t xml:space="preserve">: </w:t>
      </w:r>
      <w:r w:rsidR="009C32A0">
        <w:rPr>
          <w:rFonts w:hint="cs"/>
          <w:rtl/>
        </w:rPr>
        <w:t>ينزل بذاته وينتقل ويتحول , ثم قالوا</w:t>
      </w:r>
      <w:r>
        <w:rPr>
          <w:rFonts w:hint="cs"/>
          <w:rtl/>
        </w:rPr>
        <w:t xml:space="preserve">: </w:t>
      </w:r>
      <w:r w:rsidR="009C32A0">
        <w:rPr>
          <w:rFonts w:hint="cs"/>
          <w:rtl/>
        </w:rPr>
        <w:t>لا كما يعقل</w:t>
      </w:r>
      <w:r>
        <w:rPr>
          <w:rFonts w:hint="cs"/>
          <w:rtl/>
        </w:rPr>
        <w:t>،</w:t>
      </w:r>
      <w:r w:rsidR="009C32A0">
        <w:rPr>
          <w:rFonts w:hint="cs"/>
          <w:rtl/>
        </w:rPr>
        <w:t xml:space="preserve"> فغالطوا من يسمع وكابروا الحس والعقل فحملوا </w:t>
      </w:r>
      <w:r w:rsidR="009C32A0">
        <w:rPr>
          <w:rFonts w:hint="cs"/>
          <w:rtl/>
        </w:rPr>
        <w:lastRenderedPageBreak/>
        <w:t>الأحاديث على الحسيات "</w:t>
      </w:r>
      <w:r>
        <w:rPr>
          <w:rFonts w:hint="cs"/>
          <w:rtl/>
        </w:rPr>
        <w:t>،</w:t>
      </w:r>
      <w:r w:rsidR="009C32A0">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Pr>
          <w:rFonts w:hint="cs"/>
          <w:rtl/>
        </w:rPr>
        <w:t>،</w:t>
      </w:r>
      <w:r w:rsidR="009C32A0">
        <w:rPr>
          <w:rFonts w:hint="cs"/>
          <w:rtl/>
        </w:rPr>
        <w:t>ولو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Pr>
          <w:rFonts w:hint="cs"/>
          <w:rtl/>
        </w:rPr>
        <w:t>،</w:t>
      </w:r>
      <w:r w:rsidR="009C32A0">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Pr>
          <w:rFonts w:hint="cs"/>
          <w:rtl/>
        </w:rPr>
        <w:t>: {</w:t>
      </w:r>
      <w:r w:rsidR="009C32A0">
        <w:rPr>
          <w:rFonts w:hint="cs"/>
          <w:rtl/>
        </w:rPr>
        <w:t>ليس كمثله شيء وهو السميع البصير</w:t>
      </w:r>
      <w:r>
        <w:rPr>
          <w:rFonts w:hint="cs"/>
          <w:rtl/>
        </w:rPr>
        <w:t>}،</w:t>
      </w:r>
      <w:r w:rsidR="009C32A0">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Pr>
          <w:rFonts w:hint="cs"/>
          <w:rtl/>
        </w:rPr>
        <w:t>،</w:t>
      </w:r>
      <w:r w:rsidR="009C32A0">
        <w:rPr>
          <w:rFonts w:hint="cs"/>
          <w:rtl/>
        </w:rPr>
        <w:t xml:space="preserve"> </w:t>
      </w:r>
    </w:p>
    <w:p w14:paraId="3625042B" w14:textId="24DB6B1A" w:rsidR="009C32A0" w:rsidRDefault="000636C2" w:rsidP="000636C2">
      <w:pPr>
        <w:ind w:left="-58"/>
        <w:rPr>
          <w:b/>
          <w:rtl/>
        </w:rPr>
      </w:pPr>
      <w:r>
        <w:rPr>
          <w:rFonts w:hint="cs"/>
          <w:bCs/>
          <w:rtl/>
        </w:rPr>
        <w:t>(</w:t>
      </w:r>
      <w:r w:rsidR="009C32A0">
        <w:rPr>
          <w:rFonts w:hint="cs"/>
          <w:bCs/>
          <w:rtl/>
        </w:rPr>
        <w:t>5</w:t>
      </w:r>
      <w:r>
        <w:rPr>
          <w:rFonts w:hint="cs"/>
          <w:bCs/>
          <w:rtl/>
        </w:rPr>
        <w:t xml:space="preserve">) </w:t>
      </w:r>
      <w:r w:rsidR="009C32A0">
        <w:rPr>
          <w:rFonts w:hint="cs"/>
          <w:bCs/>
          <w:rtl/>
        </w:rPr>
        <w:t>مغالطات للحشوية</w:t>
      </w:r>
      <w:r>
        <w:rPr>
          <w:rFonts w:hint="cs"/>
          <w:rtl/>
        </w:rPr>
        <w:t>: (</w:t>
      </w:r>
      <w:r w:rsidR="009C32A0">
        <w:rPr>
          <w:rFonts w:hint="cs"/>
          <w:rtl/>
        </w:rPr>
        <w:t>أ</w:t>
      </w:r>
      <w:r>
        <w:rPr>
          <w:rFonts w:hint="cs"/>
          <w:rtl/>
        </w:rPr>
        <w:t xml:space="preserve">) </w:t>
      </w:r>
      <w:r w:rsidR="009C32A0">
        <w:rPr>
          <w:rFonts w:hint="cs"/>
          <w:rtl/>
        </w:rPr>
        <w:t>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w:t>
      </w:r>
      <w:r>
        <w:rPr>
          <w:rFonts w:hint="cs"/>
          <w:rtl/>
        </w:rPr>
        <w:t xml:space="preserve">، </w:t>
      </w:r>
      <w:r w:rsidR="009C32A0">
        <w:rPr>
          <w:rFonts w:hint="cs"/>
          <w:rtl/>
        </w:rPr>
        <w:t>والخلف خوفا من التشبيه يؤولون اللفظ الموهم إلى معنى لائق به تعالى طبق ما تقتضيه أساليب اللغة العربية التي نزل بها القرآن</w:t>
      </w:r>
      <w:r>
        <w:rPr>
          <w:rFonts w:hint="cs"/>
          <w:rtl/>
        </w:rPr>
        <w:t>،</w:t>
      </w:r>
      <w:r w:rsidR="009C32A0">
        <w:rPr>
          <w:rFonts w:hint="cs"/>
          <w:rtl/>
        </w:rPr>
        <w:t xml:space="preserve"> وأما الحشوية فيفسرون تلك النصوص بالمعاني الظاهرة الحسية الجسمية التي يتعالى عنها الخالق لدلالتها على الحدوث والمخلوقية</w:t>
      </w:r>
      <w:r>
        <w:rPr>
          <w:rFonts w:hint="cs"/>
          <w:rtl/>
        </w:rPr>
        <w:t>،</w:t>
      </w:r>
      <w:r w:rsidR="009C32A0">
        <w:rPr>
          <w:rFonts w:hint="cs"/>
          <w:rtl/>
        </w:rPr>
        <w:t xml:space="preserve"> ومن مغالطاتهم أنه لما قال الله تعالى في المتشابه</w:t>
      </w:r>
      <w:r>
        <w:rPr>
          <w:rFonts w:hint="cs"/>
          <w:rtl/>
        </w:rPr>
        <w:t>: {</w:t>
      </w:r>
      <w:r w:rsidR="009C32A0">
        <w:rPr>
          <w:rFonts w:hint="cs"/>
          <w:rtl/>
        </w:rPr>
        <w:t>وما يعلم تأويله إلا الله والراسخون في العلم يقولون ءامنا به كل من عند ربنا</w:t>
      </w:r>
      <w:r>
        <w:rPr>
          <w:rFonts w:hint="cs"/>
          <w:rtl/>
        </w:rPr>
        <w:t>}،</w:t>
      </w:r>
      <w:r w:rsidR="009C32A0">
        <w:rPr>
          <w:rFonts w:hint="cs"/>
          <w:rtl/>
        </w:rPr>
        <w:t xml:space="preserve"> ذم الحشوية التأويل تارة ومدحوه أخرى تبعا لاختلاف تفسيراتهم له لمغالطة العامة</w:t>
      </w:r>
      <w:r>
        <w:rPr>
          <w:rFonts w:hint="cs"/>
          <w:rtl/>
        </w:rPr>
        <w:t xml:space="preserve">، </w:t>
      </w:r>
      <w:r w:rsidR="009C32A0">
        <w:rPr>
          <w:rFonts w:hint="cs"/>
          <w:rtl/>
        </w:rPr>
        <w:t>فذموه وفسروه بأنه صرف الوارد المتشابه عن ظاهره الحسي</w:t>
      </w:r>
      <w:r>
        <w:rPr>
          <w:rFonts w:hint="cs"/>
          <w:rtl/>
        </w:rPr>
        <w:t>،</w:t>
      </w:r>
      <w:r w:rsidR="009C32A0">
        <w:rPr>
          <w:rFonts w:hint="cs"/>
          <w:rtl/>
        </w:rPr>
        <w:t xml:space="preserve"> ومدحوه وفسروه بأنه هو تفسير المتشابه بالمعاني الظاهرة المتعارفة وزعموا أن هذا التفسير هو المراد من قوله تعالى</w:t>
      </w:r>
      <w:r>
        <w:rPr>
          <w:rFonts w:hint="cs"/>
          <w:rtl/>
        </w:rPr>
        <w:t>: {</w:t>
      </w:r>
      <w:r w:rsidR="009C32A0">
        <w:rPr>
          <w:rFonts w:hint="cs"/>
          <w:rtl/>
        </w:rPr>
        <w:t>وما يعلم تأويله إلا الله والراسخون في العلم</w:t>
      </w:r>
      <w:r>
        <w:rPr>
          <w:rFonts w:hint="cs"/>
          <w:rtl/>
        </w:rPr>
        <w:t>}،</w:t>
      </w:r>
      <w:r w:rsidR="009C32A0">
        <w:rPr>
          <w:rFonts w:hint="cs"/>
          <w:rtl/>
        </w:rPr>
        <w:t xml:space="preserve"> لمن جعل الوقف على قوله تعالى</w:t>
      </w:r>
      <w:r>
        <w:rPr>
          <w:rFonts w:hint="cs"/>
          <w:rtl/>
        </w:rPr>
        <w:t>: {</w:t>
      </w:r>
      <w:r w:rsidR="009C32A0">
        <w:rPr>
          <w:rFonts w:hint="cs"/>
          <w:rtl/>
        </w:rPr>
        <w:t>والراسخون في العلم</w:t>
      </w:r>
      <w:r>
        <w:rPr>
          <w:rFonts w:hint="cs"/>
          <w:rtl/>
        </w:rPr>
        <w:t>}،</w:t>
      </w:r>
      <w:r w:rsidR="009C32A0">
        <w:rPr>
          <w:rFonts w:hint="cs"/>
          <w:rtl/>
        </w:rPr>
        <w:t xml:space="preserve"> وليت شعري هل التفسير بالظاهر المحسوس مما يحتاج إلى رسوخ في العلم</w:t>
      </w:r>
      <w:r>
        <w:rPr>
          <w:rFonts w:hint="cs"/>
          <w:rtl/>
        </w:rPr>
        <w:t>،</w:t>
      </w:r>
      <w:r w:rsidR="009C32A0">
        <w:rPr>
          <w:rFonts w:hint="cs"/>
          <w:rtl/>
        </w:rPr>
        <w:t>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Pr>
          <w:rFonts w:hint="cs"/>
          <w:rtl/>
        </w:rPr>
        <w:t>،</w:t>
      </w:r>
      <w:r w:rsidR="009C32A0">
        <w:rPr>
          <w:rFonts w:hint="cs"/>
          <w:rtl/>
        </w:rPr>
        <w:t xml:space="preserve"> كما هو الحال في اللفظ الوارد الموهم للتشبيه فإنه مصروف عن الظاهر الموهم إلى معنى لائق به تعالى</w:t>
      </w:r>
      <w:r>
        <w:rPr>
          <w:rFonts w:hint="cs"/>
          <w:rtl/>
        </w:rPr>
        <w:t>، (</w:t>
      </w:r>
      <w:r w:rsidR="009C32A0">
        <w:rPr>
          <w:rFonts w:hint="cs"/>
          <w:rtl/>
        </w:rPr>
        <w:t>ب</w:t>
      </w:r>
      <w:r>
        <w:rPr>
          <w:rFonts w:hint="cs"/>
          <w:rtl/>
        </w:rPr>
        <w:t xml:space="preserve">) </w:t>
      </w:r>
      <w:r w:rsidR="009C32A0">
        <w:rPr>
          <w:rFonts w:hint="cs"/>
          <w:rtl/>
        </w:rPr>
        <w:t>أهل السنة ينزهون الله تعالى عن الجهة , وأنه تعالى لا يقال فيه أنه داخل العالم أو خارجه لاستحالة أن يحل تعالى في الحوادث أو تمازجه الحوادث أو تحل فيه</w:t>
      </w:r>
      <w:r>
        <w:rPr>
          <w:rFonts w:hint="cs"/>
          <w:rtl/>
        </w:rPr>
        <w:t xml:space="preserve">، </w:t>
      </w:r>
      <w:r w:rsidR="009C32A0">
        <w:rPr>
          <w:rFonts w:hint="cs"/>
          <w:rtl/>
        </w:rPr>
        <w:lastRenderedPageBreak/>
        <w:t>فقال الحشوية " تنزيهه تعالى عن الجهة أو أنه لا داخل العالم ولا خارجه معناه أنه معدوم " وذلك تعطيل أي إنكار للباري بزعمهم</w:t>
      </w:r>
      <w:r>
        <w:rPr>
          <w:rFonts w:hint="cs"/>
          <w:rtl/>
        </w:rPr>
        <w:t>،</w:t>
      </w:r>
      <w:r w:rsidR="009C32A0">
        <w:rPr>
          <w:rFonts w:hint="cs"/>
          <w:rtl/>
        </w:rPr>
        <w:t xml:space="preserve"> ونقول</w:t>
      </w:r>
      <w:r>
        <w:rPr>
          <w:rFonts w:hint="cs"/>
          <w:rtl/>
        </w:rPr>
        <w:t xml:space="preserve">: </w:t>
      </w:r>
      <w:r w:rsidR="009C32A0">
        <w:rPr>
          <w:rFonts w:hint="cs"/>
          <w:rtl/>
        </w:rPr>
        <w:t>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والمخلوقية , تعالى الله عن أن يحصره حاصر أو يقهره قاهر</w:t>
      </w:r>
      <w:r>
        <w:rPr>
          <w:rFonts w:hint="cs"/>
          <w:rtl/>
        </w:rPr>
        <w:t>،</w:t>
      </w:r>
      <w:r w:rsidR="009C32A0">
        <w:rPr>
          <w:rFonts w:hint="cs"/>
          <w:rtl/>
        </w:rPr>
        <w:t xml:space="preserve"> </w:t>
      </w:r>
      <w:r>
        <w:rPr>
          <w:rFonts w:hint="cs"/>
          <w:rtl/>
        </w:rPr>
        <w:t>(</w:t>
      </w:r>
      <w:r w:rsidR="009C32A0">
        <w:rPr>
          <w:rFonts w:hint="cs"/>
          <w:rtl/>
        </w:rPr>
        <w:t>ت</w:t>
      </w:r>
      <w:r>
        <w:rPr>
          <w:rFonts w:hint="cs"/>
          <w:rtl/>
        </w:rPr>
        <w:t xml:space="preserve">) </w:t>
      </w:r>
      <w:r w:rsidR="009C32A0">
        <w:rPr>
          <w:rFonts w:hint="cs"/>
          <w:rtl/>
        </w:rPr>
        <w:t>نقل عن بعض السلف</w:t>
      </w:r>
      <w:r>
        <w:rPr>
          <w:rFonts w:hint="cs"/>
          <w:rtl/>
        </w:rPr>
        <w:t>:</w:t>
      </w:r>
      <w:r w:rsidR="009C32A0">
        <w:rPr>
          <w:rFonts w:hint="cs"/>
          <w:rtl/>
        </w:rPr>
        <w:t xml:space="preserve"> " أنه تعالى مستو على عرشه بائن عن خلقه " فوهم الحشوية أن الكلمة تعني أنه تعالى بعيد عن خلقه</w:t>
      </w:r>
      <w:r>
        <w:rPr>
          <w:rFonts w:hint="cs"/>
          <w:rtl/>
        </w:rPr>
        <w:t xml:space="preserve"> </w:t>
      </w:r>
      <w:r w:rsidR="009C32A0">
        <w:rPr>
          <w:rFonts w:hint="cs"/>
          <w:rtl/>
        </w:rPr>
        <w:t>بالمسافات</w:t>
      </w:r>
      <w:r>
        <w:rPr>
          <w:rFonts w:hint="cs"/>
          <w:rtl/>
        </w:rPr>
        <w:t>،</w:t>
      </w:r>
      <w:r w:rsidR="009C32A0">
        <w:rPr>
          <w:rFonts w:hint="cs"/>
          <w:rtl/>
        </w:rPr>
        <w:t xml:space="preserve"> ومن قال هذه الكلمة لا يعني أنه تعالى بائن عن خلقه بالمسافات , وإنما يريد بما قال</w:t>
      </w:r>
      <w:r>
        <w:rPr>
          <w:rFonts w:hint="cs"/>
          <w:rtl/>
        </w:rPr>
        <w:t xml:space="preserve">: </w:t>
      </w:r>
      <w:r w:rsidR="009C32A0">
        <w:rPr>
          <w:rFonts w:hint="cs"/>
          <w:rtl/>
        </w:rPr>
        <w:t>نفي الممازجة عنه تعالى , ردا على جهم , وأنه تعالى ممتاز عن خلقه بالانفراد بصفات الجلال</w:t>
      </w:r>
      <w:r>
        <w:rPr>
          <w:rFonts w:hint="cs"/>
          <w:rtl/>
        </w:rPr>
        <w:t>،</w:t>
      </w:r>
      <w:r w:rsidR="009C32A0">
        <w:rPr>
          <w:rFonts w:hint="cs"/>
          <w:rtl/>
        </w:rPr>
        <w:t xml:space="preserve"> قال الكوثري في تعليقه على النونية</w:t>
      </w:r>
      <w:r>
        <w:rPr>
          <w:rFonts w:hint="cs"/>
          <w:rtl/>
        </w:rPr>
        <w:t>:</w:t>
      </w:r>
      <w:r w:rsidR="009C32A0">
        <w:rPr>
          <w:rFonts w:hint="cs"/>
          <w:rtl/>
        </w:rPr>
        <w:t xml:space="preserve"> " مما يقصر المسافة في الرد على الحشوية التي تدعي التمسك بالظاهر أن قوله تعالى</w:t>
      </w:r>
      <w:r>
        <w:rPr>
          <w:rFonts w:hint="cs"/>
          <w:rtl/>
        </w:rPr>
        <w:t>: {</w:t>
      </w:r>
      <w:r w:rsidR="009C32A0">
        <w:rPr>
          <w:rFonts w:hint="cs"/>
          <w:rtl/>
        </w:rPr>
        <w:t>ثم استوى</w:t>
      </w:r>
      <w:r>
        <w:rPr>
          <w:rFonts w:hint="cs"/>
          <w:rtl/>
        </w:rPr>
        <w:t>}</w:t>
      </w:r>
      <w:r w:rsidR="009C32A0">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Pr>
          <w:rFonts w:hint="cs"/>
          <w:rtl/>
        </w:rPr>
        <w:t>،</w:t>
      </w:r>
      <w:r w:rsidR="009C32A0">
        <w:rPr>
          <w:rFonts w:hint="cs"/>
          <w:rtl/>
        </w:rPr>
        <w:t xml:space="preserve"> وقال</w:t>
      </w:r>
      <w:r>
        <w:rPr>
          <w:rFonts w:hint="cs"/>
          <w:rtl/>
        </w:rPr>
        <w:t xml:space="preserve">: </w:t>
      </w:r>
      <w:r w:rsidR="009C32A0">
        <w:rPr>
          <w:rFonts w:hint="cs"/>
          <w:rtl/>
        </w:rPr>
        <w:t>ولم يرد مرفوعا أنه تعالى فوق العرش إلا في بعض طرق حيث الأوعال</w:t>
      </w:r>
      <w:r>
        <w:rPr>
          <w:rFonts w:hint="cs"/>
          <w:rtl/>
        </w:rPr>
        <w:t xml:space="preserve"> [</w:t>
      </w:r>
      <w:r w:rsidR="009C32A0">
        <w:rPr>
          <w:rFonts w:hint="cs"/>
          <w:rtl/>
        </w:rPr>
        <w:t>قال الكوثري في السيف الصقيل</w:t>
      </w:r>
      <w:r>
        <w:rPr>
          <w:rFonts w:hint="cs"/>
          <w:rtl/>
        </w:rPr>
        <w:t>:</w:t>
      </w:r>
      <w:r w:rsidR="009C32A0">
        <w:rPr>
          <w:rFonts w:hint="cs"/>
          <w:rtl/>
        </w:rPr>
        <w:t xml:space="preserve"> </w:t>
      </w:r>
      <w:r w:rsidR="009C32A0">
        <w:rPr>
          <w:vertAlign w:val="superscript"/>
        </w:rPr>
        <w:footnoteRef/>
      </w:r>
      <w:r w:rsidR="009C32A0">
        <w:rPr>
          <w:vertAlign w:val="superscript"/>
        </w:rPr>
        <w:t xml:space="preserve"> </w:t>
      </w:r>
      <w:r>
        <w:rPr>
          <w:vertAlign w:val="superscript"/>
        </w:rPr>
        <w:t>[</w:t>
      </w:r>
      <w:r w:rsidR="009C32A0">
        <w:rPr>
          <w:vertAlign w:val="superscript"/>
        </w:rPr>
        <w:t>1</w:t>
      </w:r>
      <w:r>
        <w:rPr>
          <w:rFonts w:hint="cs"/>
          <w:vertAlign w:val="superscript"/>
          <w:rtl/>
        </w:rPr>
        <w:t>]</w:t>
      </w:r>
      <w:r w:rsidR="009C32A0">
        <w:rPr>
          <w:rFonts w:hint="cs"/>
          <w:vertAlign w:val="superscript"/>
          <w:rtl/>
        </w:rPr>
        <w:t xml:space="preserve"> </w:t>
      </w:r>
      <w:r w:rsidR="009C32A0">
        <w:rPr>
          <w:rFonts w:hint="cs"/>
          <w:rtl/>
        </w:rPr>
        <w:t>الحديث انفرد به سماك</w:t>
      </w:r>
      <w:r>
        <w:rPr>
          <w:rFonts w:hint="cs"/>
          <w:rtl/>
        </w:rPr>
        <w:t>،</w:t>
      </w:r>
      <w:r w:rsidR="009C32A0">
        <w:rPr>
          <w:rFonts w:hint="cs"/>
          <w:rtl/>
        </w:rPr>
        <w:t xml:space="preserve"> وشيخه عبد الله بن عميرة لم يدرك الأحنف كما نص عله فضلاً عن أن يدرك عباساً مع كونه مجهول الصفة</w:t>
      </w:r>
      <w:r>
        <w:rPr>
          <w:rFonts w:hint="cs"/>
          <w:rtl/>
        </w:rPr>
        <w:t>،</w:t>
      </w:r>
      <w:r w:rsidR="009C32A0">
        <w:rPr>
          <w:rFonts w:hint="cs"/>
          <w:rtl/>
        </w:rPr>
        <w:t xml:space="preserve"> وتحسين الترمذى بإعتبار أنه مروى عن سماك بطرق لا بمعنى أنه محتج به حيث قال حسن غريب ثم ذكر وقفه عن شريك عن سماك فتكون في رفعــة علة أيضاً</w:t>
      </w:r>
      <w:r>
        <w:rPr>
          <w:rFonts w:hint="cs"/>
          <w:rtl/>
        </w:rPr>
        <w:t>،</w:t>
      </w:r>
      <w:r w:rsidR="009C32A0">
        <w:rPr>
          <w:rFonts w:hint="cs"/>
          <w:rtl/>
        </w:rPr>
        <w:t xml:space="preserve"> ويحيـى بن العلا في مسند عبد الرزاق متروك</w:t>
      </w:r>
      <w:r>
        <w:rPr>
          <w:rFonts w:hint="cs"/>
          <w:rtl/>
        </w:rPr>
        <w:t>،</w:t>
      </w:r>
      <w:r w:rsidR="009C32A0">
        <w:rPr>
          <w:rFonts w:hint="cs"/>
          <w:rtl/>
        </w:rPr>
        <w:t xml:space="preserve"> هكذا تكون حجج الناظم في السنة لا يبالى أن يكون الحديث من المفاريد أو أن يكون فيه منكر أو مجهول أو انقطاع</w:t>
      </w:r>
      <w:r>
        <w:rPr>
          <w:rFonts w:hint="cs"/>
          <w:rtl/>
        </w:rPr>
        <w:t>،</w:t>
      </w:r>
      <w:r w:rsidR="009C32A0">
        <w:rPr>
          <w:rFonts w:hint="cs"/>
          <w:rtl/>
        </w:rPr>
        <w:t xml:space="preserve"> دعنا من تخريج الضياء وقد عرف الناس مذهبه في الصفات</w:t>
      </w:r>
      <w:r>
        <w:rPr>
          <w:rFonts w:hint="cs"/>
          <w:rtl/>
        </w:rPr>
        <w:t>،</w:t>
      </w:r>
      <w:r w:rsidR="009C32A0">
        <w:rPr>
          <w:rFonts w:hint="cs"/>
          <w:rtl/>
        </w:rPr>
        <w:t xml:space="preserve"> وقال ابن العربى في العارضة عن حديث الأوعال هذا</w:t>
      </w:r>
      <w:r>
        <w:rPr>
          <w:rFonts w:hint="cs"/>
          <w:rtl/>
        </w:rPr>
        <w:t xml:space="preserve">: </w:t>
      </w:r>
      <w:r w:rsidR="009C32A0">
        <w:rPr>
          <w:rFonts w:hint="cs"/>
          <w:rtl/>
        </w:rPr>
        <w:t>وروى غير ذلك ولم يصح شيء منه وإنما هى أمور تلفقت من أهل الكتاب</w:t>
      </w:r>
      <w:r>
        <w:rPr>
          <w:rFonts w:hint="cs"/>
          <w:rtl/>
        </w:rPr>
        <w:t>،</w:t>
      </w:r>
      <w:r w:rsidR="009C32A0">
        <w:rPr>
          <w:rFonts w:hint="cs"/>
          <w:rtl/>
        </w:rPr>
        <w:t xml:space="preserve"> ليس لها أصل من الصحــة</w:t>
      </w:r>
      <w:r>
        <w:rPr>
          <w:rFonts w:hint="cs"/>
          <w:rtl/>
        </w:rPr>
        <w:t>]</w:t>
      </w:r>
      <w:r w:rsidR="009C32A0">
        <w:rPr>
          <w:rFonts w:hint="cs"/>
          <w:rtl/>
        </w:rPr>
        <w:t xml:space="preserve"> من رواية</w:t>
      </w:r>
      <w:r>
        <w:rPr>
          <w:rFonts w:hint="cs"/>
          <w:rtl/>
        </w:rPr>
        <w:t xml:space="preserve"> </w:t>
      </w:r>
      <w:r w:rsidR="009C32A0">
        <w:rPr>
          <w:rFonts w:hint="cs"/>
          <w:rtl/>
        </w:rPr>
        <w:t>عبدالله بن عميرة مجهول الحال "</w:t>
      </w:r>
      <w:r>
        <w:rPr>
          <w:rFonts w:hint="cs"/>
          <w:rtl/>
        </w:rPr>
        <w:t>،</w:t>
      </w:r>
      <w:r w:rsidR="009C32A0">
        <w:rPr>
          <w:rFonts w:hint="cs"/>
          <w:rtl/>
        </w:rPr>
        <w:t xml:space="preserve"> وقال</w:t>
      </w:r>
      <w:r>
        <w:rPr>
          <w:rFonts w:hint="cs"/>
          <w:rtl/>
        </w:rPr>
        <w:t>:</w:t>
      </w:r>
      <w:r w:rsidR="009C32A0">
        <w:rPr>
          <w:rFonts w:hint="cs"/>
          <w:rtl/>
        </w:rPr>
        <w:t xml:space="preserve"> " والمراد بالفوقية فوقية العزة والقهر والتنزه "</w:t>
      </w:r>
      <w:r>
        <w:rPr>
          <w:rFonts w:hint="cs"/>
          <w:rtl/>
        </w:rPr>
        <w:t>، (</w:t>
      </w:r>
      <w:r w:rsidR="009C32A0">
        <w:rPr>
          <w:rFonts w:hint="cs"/>
          <w:rtl/>
        </w:rPr>
        <w:t>ث</w:t>
      </w:r>
      <w:r>
        <w:rPr>
          <w:rFonts w:hint="cs"/>
          <w:rtl/>
        </w:rPr>
        <w:t xml:space="preserve">) </w:t>
      </w:r>
      <w:r w:rsidR="009C32A0">
        <w:rPr>
          <w:rFonts w:hint="cs"/>
          <w:rtl/>
        </w:rPr>
        <w:t>ونقل الحشوية عن بعض السلف قولهم</w:t>
      </w:r>
      <w:r>
        <w:rPr>
          <w:rFonts w:hint="cs"/>
          <w:rtl/>
        </w:rPr>
        <w:t>:</w:t>
      </w:r>
      <w:r w:rsidR="009C32A0">
        <w:rPr>
          <w:rFonts w:hint="cs"/>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Pr>
          <w:rFonts w:hint="cs"/>
          <w:rtl/>
        </w:rPr>
        <w:t>،</w:t>
      </w:r>
      <w:r w:rsidR="009C32A0">
        <w:rPr>
          <w:rFonts w:hint="cs"/>
          <w:rtl/>
        </w:rPr>
        <w:t xml:space="preserve"> ونقول</w:t>
      </w:r>
      <w:r>
        <w:rPr>
          <w:rFonts w:hint="cs"/>
          <w:rtl/>
        </w:rPr>
        <w:t>:</w:t>
      </w:r>
      <w:r w:rsidR="009C32A0">
        <w:rPr>
          <w:rFonts w:hint="cs"/>
          <w:rtl/>
        </w:rPr>
        <w:t xml:space="preserve"> " السلف لا يريدون أنها جارحة لا تشبه الجوارح أو أنها جزء منه تعالى لا تشبه أجزاء الآدمي فإن هذا لا يقول به إلا اليهود الذين قال الله فيهم</w:t>
      </w:r>
      <w:r>
        <w:rPr>
          <w:rFonts w:hint="cs"/>
          <w:rtl/>
        </w:rPr>
        <w:t xml:space="preserve">: </w:t>
      </w:r>
      <w:r w:rsidR="009C32A0">
        <w:rPr>
          <w:rFonts w:hint="cs"/>
          <w:rtl/>
        </w:rPr>
        <w:t>وجعلوا لله جزءا</w:t>
      </w:r>
      <w:r>
        <w:rPr>
          <w:rFonts w:hint="cs"/>
          <w:rtl/>
        </w:rPr>
        <w:t>،</w:t>
      </w:r>
      <w:r w:rsidR="009C32A0">
        <w:rPr>
          <w:rFonts w:hint="cs"/>
          <w:rtl/>
        </w:rPr>
        <w:t xml:space="preserve"> وإنما مراد السلف </w:t>
      </w:r>
      <w:r w:rsidR="009C32A0">
        <w:rPr>
          <w:rFonts w:hint="cs"/>
          <w:rtl/>
        </w:rPr>
        <w:lastRenderedPageBreak/>
        <w:t>بذلك أن له تعالى صفات سميت بهذه الأسماء فنفوض علمها إلى الله جازمين بأنه ليس مرادا بها ما هو من أعضاء المخلوقين وأجزائهم</w:t>
      </w:r>
      <w:r>
        <w:rPr>
          <w:rFonts w:hint="cs"/>
          <w:rtl/>
        </w:rPr>
        <w:t>،</w:t>
      </w:r>
      <w:r w:rsidR="009C32A0">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Pr>
          <w:rFonts w:hint="cs"/>
          <w:rtl/>
        </w:rPr>
        <w:t>،</w:t>
      </w:r>
      <w:r w:rsidR="009C32A0">
        <w:rPr>
          <w:rFonts w:hint="cs"/>
          <w:rtl/>
        </w:rPr>
        <w:t xml:space="preserve"> وروى البيهقي في "السنن الكبرى" بسنده عن أبي داود الطيالسي قال</w:t>
      </w:r>
      <w:r>
        <w:rPr>
          <w:rFonts w:hint="cs"/>
          <w:rtl/>
        </w:rPr>
        <w:t xml:space="preserve">: </w:t>
      </w:r>
      <w:r w:rsidR="009C32A0">
        <w:rPr>
          <w:rFonts w:hint="cs"/>
          <w:rtl/>
        </w:rPr>
        <w:t>كان سفيان وشعبه وحماد بن زيد وحماد بن سلمة وشريك وأبو عوانة لا يحددون</w:t>
      </w:r>
      <w:r>
        <w:rPr>
          <w:rFonts w:hint="cs"/>
          <w:rtl/>
        </w:rPr>
        <w:t xml:space="preserve">، </w:t>
      </w:r>
      <w:r w:rsidR="009C32A0">
        <w:rPr>
          <w:rFonts w:hint="cs"/>
          <w:rtl/>
        </w:rPr>
        <w:t>وفي نسخه "ولا يجسدون" ولا يشبهون ولا يمثلون</w:t>
      </w:r>
      <w:r>
        <w:rPr>
          <w:rFonts w:hint="cs"/>
          <w:rtl/>
        </w:rPr>
        <w:t>،</w:t>
      </w:r>
      <w:r w:rsidR="009C32A0">
        <w:rPr>
          <w:rFonts w:hint="cs"/>
          <w:rtl/>
        </w:rPr>
        <w:t xml:space="preserve"> يروون الحديث ولا يقولون كيف وإذا سئلوا أجابوا بالأثر</w:t>
      </w:r>
      <w:r>
        <w:rPr>
          <w:rFonts w:hint="cs"/>
          <w:rtl/>
        </w:rPr>
        <w:t>،</w:t>
      </w:r>
      <w:r w:rsidR="009C32A0">
        <w:rPr>
          <w:rFonts w:hint="cs"/>
          <w:rtl/>
        </w:rPr>
        <w:t xml:space="preserve"> 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Pr>
          <w:rFonts w:hint="cs"/>
          <w:rtl/>
        </w:rPr>
        <w:t>،</w:t>
      </w:r>
      <w:r w:rsidR="009C32A0">
        <w:rPr>
          <w:rFonts w:hint="cs"/>
          <w:rtl/>
        </w:rPr>
        <w:t xml:space="preserve"> وقال الترمذي عند الكلام على حديث</w:t>
      </w:r>
      <w:r>
        <w:rPr>
          <w:rFonts w:hint="cs"/>
          <w:rtl/>
        </w:rPr>
        <w:t>:</w:t>
      </w:r>
      <w:r w:rsidR="009C32A0">
        <w:rPr>
          <w:rFonts w:hint="cs"/>
          <w:rtl/>
        </w:rPr>
        <w:t xml:space="preserve"> " يمين الرحمن ملآى سحاء" وهذا حديث قد روته الأئمة نؤمن به كما جاء من غير أن يفسر أو يتوهم</w:t>
      </w:r>
      <w:r>
        <w:rPr>
          <w:rFonts w:hint="cs"/>
          <w:rtl/>
        </w:rPr>
        <w:t>،</w:t>
      </w:r>
      <w:r w:rsidR="009C32A0">
        <w:rPr>
          <w:rFonts w:hint="cs"/>
          <w:rtl/>
        </w:rPr>
        <w:t xml:space="preserve"> هكذا قال غير واحد من الأئمة منهم</w:t>
      </w:r>
      <w:r>
        <w:rPr>
          <w:rFonts w:hint="cs"/>
          <w:rtl/>
        </w:rPr>
        <w:t xml:space="preserve">: </w:t>
      </w:r>
      <w:r w:rsidR="009C32A0">
        <w:rPr>
          <w:rFonts w:hint="cs"/>
          <w:rtl/>
        </w:rPr>
        <w:t>الثوري ومالك بن أنس وابن عيينة وابن المبارك</w:t>
      </w:r>
      <w:r>
        <w:rPr>
          <w:rFonts w:hint="cs"/>
          <w:rtl/>
        </w:rPr>
        <w:t>:</w:t>
      </w:r>
      <w:r w:rsidR="009C32A0">
        <w:rPr>
          <w:rFonts w:hint="cs"/>
          <w:rtl/>
        </w:rPr>
        <w:t xml:space="preserve"> " أنه تروى هذه الأشياء ونؤمن بها فلا يقال كيف "</w:t>
      </w:r>
      <w:r>
        <w:rPr>
          <w:rFonts w:hint="cs"/>
          <w:rtl/>
        </w:rPr>
        <w:t>،</w:t>
      </w:r>
      <w:r w:rsidR="009C32A0">
        <w:rPr>
          <w:rFonts w:hint="cs"/>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Pr>
          <w:rFonts w:hint="cs"/>
          <w:rtl/>
        </w:rPr>
        <w:t>،</w:t>
      </w:r>
      <w:r w:rsidR="009C32A0">
        <w:rPr>
          <w:rFonts w:hint="cs"/>
          <w:rtl/>
        </w:rPr>
        <w:t xml:space="preserve"> وإلا لما بقي وجه لتشددهما ضد أهل الحق</w:t>
      </w:r>
      <w:r>
        <w:rPr>
          <w:rFonts w:hint="cs"/>
          <w:rtl/>
        </w:rPr>
        <w:t>،</w:t>
      </w:r>
      <w:r w:rsidR="009C32A0">
        <w:rPr>
          <w:rFonts w:hint="cs"/>
          <w:rtl/>
        </w:rPr>
        <w:t xml:space="preserve"> وابن تيمية يقول في " الأجوبة المصرية "</w:t>
      </w:r>
      <w:r>
        <w:rPr>
          <w:rFonts w:hint="cs"/>
          <w:rtl/>
        </w:rPr>
        <w:t xml:space="preserve">: </w:t>
      </w:r>
      <w:r w:rsidR="009C32A0">
        <w:rPr>
          <w:rFonts w:hint="cs"/>
          <w:rtl/>
        </w:rPr>
        <w:t>"إن الله يقبض السموات والأرض باليدين اللتين هما اليدان " فماذا يجدي بعد هذا التصريح أن يسميها صفات</w:t>
      </w:r>
      <w:r>
        <w:rPr>
          <w:rFonts w:hint="cs"/>
          <w:rtl/>
        </w:rPr>
        <w:t>،</w:t>
      </w:r>
      <w:r w:rsidR="009C32A0">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Pr>
          <w:rFonts w:hint="cs"/>
          <w:rtl/>
        </w:rPr>
        <w:t>:</w:t>
      </w:r>
      <w:r w:rsidR="009C32A0">
        <w:rPr>
          <w:rFonts w:hint="cs"/>
          <w:rtl/>
        </w:rPr>
        <w:t xml:space="preserve"> " وهو القابض الباسط " أي الموقف عن المسير متى شاء والمجري للأمور كما شاء</w:t>
      </w:r>
      <w:r>
        <w:rPr>
          <w:rFonts w:hint="cs"/>
          <w:rtl/>
        </w:rPr>
        <w:t>، (</w:t>
      </w:r>
      <w:r w:rsidR="009C32A0">
        <w:rPr>
          <w:rFonts w:hint="cs"/>
          <w:rtl/>
        </w:rPr>
        <w:t>ج</w:t>
      </w:r>
      <w:r>
        <w:rPr>
          <w:rFonts w:hint="cs"/>
          <w:rtl/>
        </w:rPr>
        <w:t xml:space="preserve">) </w:t>
      </w:r>
      <w:r w:rsidR="009C32A0">
        <w:rPr>
          <w:rFonts w:hint="cs"/>
          <w:rtl/>
        </w:rPr>
        <w:t>السلف يفوضون مع التنزيه</w:t>
      </w:r>
      <w:r>
        <w:rPr>
          <w:rFonts w:hint="cs"/>
          <w:rtl/>
        </w:rPr>
        <w:t xml:space="preserve">: </w:t>
      </w:r>
      <w:r w:rsidR="009C32A0">
        <w:rPr>
          <w:rFonts w:hint="cs"/>
          <w:rtl/>
        </w:rPr>
        <w:t>وأما حمل القبض على القبض الحسي فقول بالتجسيم والجارحة تعالى الله عن ذلك وحاشا أن يكون قبض الله من قبيل احتواء الأنامل على شيء</w:t>
      </w:r>
      <w:r>
        <w:rPr>
          <w:rFonts w:hint="cs"/>
          <w:rtl/>
        </w:rPr>
        <w:t>،</w:t>
      </w:r>
      <w:r w:rsidR="009C32A0">
        <w:rPr>
          <w:rFonts w:hint="cs"/>
          <w:rtl/>
        </w:rPr>
        <w:t xml:space="preserve"> قال تعالى</w:t>
      </w:r>
      <w:r>
        <w:rPr>
          <w:rFonts w:hint="cs"/>
          <w:rtl/>
        </w:rPr>
        <w:t>: {</w:t>
      </w:r>
      <w:r w:rsidR="009C32A0">
        <w:rPr>
          <w:rFonts w:hint="cs"/>
          <w:rtl/>
        </w:rPr>
        <w:t>وما قدروا الله حق قدره والأرض جميعا قبضته يوم القيامة والسموات مطويات بيمينه سبحانه وتعالى عما يشركون</w:t>
      </w:r>
      <w:r>
        <w:rPr>
          <w:rFonts w:hint="cs"/>
          <w:rtl/>
        </w:rPr>
        <w:t>}،</w:t>
      </w:r>
      <w:r w:rsidR="009C32A0">
        <w:rPr>
          <w:rFonts w:hint="cs"/>
          <w:rtl/>
        </w:rPr>
        <w:t xml:space="preserve"> وقوله تعالى</w:t>
      </w:r>
      <w:r>
        <w:rPr>
          <w:rFonts w:hint="cs"/>
          <w:rtl/>
        </w:rPr>
        <w:t>: {</w:t>
      </w:r>
      <w:r w:rsidR="009C32A0">
        <w:rPr>
          <w:rFonts w:hint="cs"/>
          <w:rtl/>
        </w:rPr>
        <w:t>والأرض جميعا قبضته يوم القيامة</w:t>
      </w:r>
      <w:r>
        <w:rPr>
          <w:rFonts w:hint="cs"/>
          <w:rtl/>
        </w:rPr>
        <w:t>}،</w:t>
      </w:r>
      <w:r w:rsidR="009C32A0">
        <w:rPr>
          <w:rFonts w:hint="cs"/>
          <w:rtl/>
        </w:rPr>
        <w:t xml:space="preserve"> أي تحت تصرف مالك يوم الدين لا يرى لأحد سواه حكم في ذلك اليوم</w:t>
      </w:r>
      <w:r>
        <w:rPr>
          <w:rFonts w:hint="cs"/>
          <w:rtl/>
        </w:rPr>
        <w:t>،</w:t>
      </w:r>
      <w:r w:rsidR="009C32A0">
        <w:rPr>
          <w:rFonts w:hint="cs"/>
          <w:rtl/>
        </w:rPr>
        <w:t xml:space="preserve"> </w:t>
      </w:r>
      <w:r>
        <w:rPr>
          <w:rFonts w:hint="cs"/>
          <w:rtl/>
        </w:rPr>
        <w:t>{</w:t>
      </w:r>
      <w:r w:rsidR="009C32A0">
        <w:rPr>
          <w:rFonts w:hint="cs"/>
          <w:rtl/>
        </w:rPr>
        <w:t>والسموات مطويات بيمينه</w:t>
      </w:r>
      <w:r>
        <w:rPr>
          <w:rFonts w:hint="cs"/>
          <w:rtl/>
        </w:rPr>
        <w:t>}،</w:t>
      </w:r>
      <w:r w:rsidR="009C32A0">
        <w:rPr>
          <w:rFonts w:hint="cs"/>
          <w:rtl/>
        </w:rPr>
        <w:t xml:space="preserve"> أي بقدرته</w:t>
      </w:r>
      <w:r>
        <w:rPr>
          <w:rFonts w:hint="cs"/>
          <w:rtl/>
        </w:rPr>
        <w:t>،</w:t>
      </w:r>
      <w:r w:rsidR="009C32A0">
        <w:rPr>
          <w:rFonts w:hint="cs"/>
          <w:rtl/>
        </w:rPr>
        <w:t xml:space="preserve"> وصح أن حبرا من اليهود جاء إلى رسول الله صلى الله عليه وسلم</w:t>
      </w:r>
      <w:r>
        <w:rPr>
          <w:rFonts w:hint="cs"/>
          <w:rtl/>
        </w:rPr>
        <w:t xml:space="preserve"> </w:t>
      </w:r>
      <w:r w:rsidR="009C32A0">
        <w:rPr>
          <w:rFonts w:hint="cs"/>
          <w:rtl/>
        </w:rPr>
        <w:t>فقال يا أبا القاسم</w:t>
      </w:r>
      <w:r>
        <w:rPr>
          <w:rFonts w:hint="cs"/>
          <w:rtl/>
        </w:rPr>
        <w:t xml:space="preserve">: </w:t>
      </w:r>
      <w:r w:rsidR="009C32A0">
        <w:rPr>
          <w:rFonts w:hint="cs"/>
          <w:rtl/>
        </w:rPr>
        <w:t>إن الله يمسك السموات على أصبع والأرض على أصبع وكذا على أصبع حتى عد خمس أصابع فضحك رسول الله صلى الله عليه وسلم</w:t>
      </w:r>
      <w:r>
        <w:rPr>
          <w:rFonts w:hint="cs"/>
          <w:rtl/>
        </w:rPr>
        <w:t xml:space="preserve"> </w:t>
      </w:r>
      <w:r w:rsidR="009C32A0">
        <w:rPr>
          <w:rFonts w:hint="cs"/>
          <w:rtl/>
        </w:rPr>
        <w:t>,ثم قرأ</w:t>
      </w:r>
      <w:r>
        <w:rPr>
          <w:rFonts w:hint="cs"/>
          <w:rtl/>
        </w:rPr>
        <w:t>: {</w:t>
      </w:r>
      <w:r w:rsidR="009C32A0">
        <w:rPr>
          <w:rFonts w:hint="cs"/>
          <w:rtl/>
        </w:rPr>
        <w:t>وما قدروا الله حق قدره</w:t>
      </w:r>
      <w:r>
        <w:rPr>
          <w:rFonts w:hint="cs"/>
          <w:rtl/>
        </w:rPr>
        <w:t>}،</w:t>
      </w:r>
      <w:r w:rsidR="009C32A0">
        <w:rPr>
          <w:rFonts w:hint="cs"/>
          <w:rtl/>
        </w:rPr>
        <w:t xml:space="preserve"> وظن بعض الرواة أنه ضحك تصديقا لقول الحبر وهو ظن منه لا مبرر له بل إن تلاوته صلى الله عليه وسلم</w:t>
      </w:r>
      <w:r>
        <w:rPr>
          <w:rFonts w:hint="cs"/>
          <w:rtl/>
        </w:rPr>
        <w:t xml:space="preserve"> </w:t>
      </w:r>
      <w:r w:rsidR="009C32A0">
        <w:rPr>
          <w:rFonts w:hint="cs"/>
          <w:rtl/>
        </w:rPr>
        <w:t>للآية</w:t>
      </w:r>
      <w:r>
        <w:rPr>
          <w:rFonts w:hint="cs"/>
          <w:rtl/>
        </w:rPr>
        <w:t>: {</w:t>
      </w:r>
      <w:r w:rsidR="009C32A0">
        <w:rPr>
          <w:rFonts w:hint="cs"/>
          <w:rtl/>
        </w:rPr>
        <w:t xml:space="preserve">وما </w:t>
      </w:r>
      <w:r w:rsidR="009C32A0">
        <w:rPr>
          <w:rFonts w:hint="cs"/>
          <w:rtl/>
        </w:rPr>
        <w:lastRenderedPageBreak/>
        <w:t>قدروا الله حق قدره</w:t>
      </w:r>
      <w:r>
        <w:rPr>
          <w:rFonts w:hint="cs"/>
          <w:rtl/>
        </w:rPr>
        <w:t>}،</w:t>
      </w:r>
      <w:r w:rsidR="009C32A0">
        <w:rPr>
          <w:rFonts w:hint="cs"/>
          <w:rtl/>
        </w:rPr>
        <w:t xml:space="preserve"> يدل على الإنكار والاستهجان , أي ما عرفوه حق معرفته</w:t>
      </w:r>
      <w:r>
        <w:rPr>
          <w:rFonts w:hint="cs"/>
          <w:rtl/>
        </w:rPr>
        <w:t>،</w:t>
      </w:r>
      <w:r w:rsidR="009C32A0">
        <w:rPr>
          <w:rFonts w:hint="cs"/>
          <w:rtl/>
        </w:rPr>
        <w:t xml:space="preserve"> فضحكه كان تعجبا من جهلهم بصفات الله واعتقادهم فيه الجسمية والتركيب والأجزاء من الجوارح</w:t>
      </w:r>
      <w:r>
        <w:rPr>
          <w:rFonts w:hint="cs"/>
          <w:rtl/>
        </w:rPr>
        <w:t>،</w:t>
      </w:r>
      <w:r w:rsidR="009C32A0">
        <w:rPr>
          <w:rFonts w:hint="cs"/>
          <w:rtl/>
        </w:rPr>
        <w:t xml:space="preserve"> وفي ختم الآية التي تلاها صلى الله عليه وسلم</w:t>
      </w:r>
      <w:r>
        <w:rPr>
          <w:rFonts w:hint="cs"/>
          <w:rtl/>
        </w:rPr>
        <w:t xml:space="preserve"> </w:t>
      </w:r>
      <w:r w:rsidR="009C32A0">
        <w:rPr>
          <w:rFonts w:hint="cs"/>
          <w:rtl/>
        </w:rPr>
        <w:t>بقوله تعالى</w:t>
      </w:r>
      <w:r>
        <w:rPr>
          <w:rFonts w:hint="cs"/>
          <w:rtl/>
        </w:rPr>
        <w:t>: {</w:t>
      </w:r>
      <w:r w:rsidR="009C32A0">
        <w:rPr>
          <w:rFonts w:hint="cs"/>
          <w:rtl/>
        </w:rPr>
        <w:t>سبحانه وتعالى عما يشركون</w:t>
      </w:r>
      <w:r>
        <w:rPr>
          <w:rFonts w:hint="cs"/>
          <w:rtl/>
        </w:rPr>
        <w:t>}</w:t>
      </w:r>
      <w:r w:rsidR="009C32A0">
        <w:rPr>
          <w:rFonts w:hint="cs"/>
          <w:rtl/>
        </w:rPr>
        <w:t xml:space="preserve"> فصل الخطاب , وفيه عظة لغلاة المشبهة الذين يفسرون ما ورد من مثل الوجه واليد والأصابع وغيرها بالمعاني الحسية في الإنسان</w:t>
      </w:r>
      <w:r>
        <w:rPr>
          <w:rFonts w:hint="cs"/>
          <w:rtl/>
        </w:rPr>
        <w:t>،</w:t>
      </w:r>
      <w:r w:rsidR="009C32A0">
        <w:rPr>
          <w:rFonts w:hint="cs"/>
          <w:rtl/>
        </w:rPr>
        <w:t xml:space="preserve"> وقد ورد أن اليهود جاؤوا إلى رسول الله صلى الله عليه وسلم</w:t>
      </w:r>
      <w:r>
        <w:rPr>
          <w:rFonts w:hint="cs"/>
          <w:rtl/>
        </w:rPr>
        <w:t xml:space="preserve"> </w:t>
      </w:r>
      <w:r w:rsidR="009C32A0">
        <w:rPr>
          <w:rFonts w:hint="cs"/>
          <w:rtl/>
        </w:rPr>
        <w:t>وسألوه عن الله كيف خلقه وكيف عضده وكيف ذراعه</w:t>
      </w:r>
      <w:r>
        <w:rPr>
          <w:rFonts w:hint="cs"/>
          <w:rtl/>
        </w:rPr>
        <w:t>؟</w:t>
      </w:r>
      <w:r w:rsidR="009C32A0">
        <w:rPr>
          <w:rFonts w:hint="cs"/>
          <w:rtl/>
        </w:rPr>
        <w:t xml:space="preserve"> فغضب فجاءه جبريل بقول الله تعالى</w:t>
      </w:r>
      <w:r>
        <w:rPr>
          <w:rFonts w:hint="cs"/>
          <w:rtl/>
        </w:rPr>
        <w:t>: {</w:t>
      </w:r>
      <w:r w:rsidR="009C32A0">
        <w:rPr>
          <w:rFonts w:hint="cs"/>
          <w:rtl/>
        </w:rPr>
        <w:t>وما قدروا الله حق قدره</w:t>
      </w:r>
      <w:r>
        <w:rPr>
          <w:rFonts w:hint="cs"/>
          <w:rtl/>
        </w:rPr>
        <w:t>}،</w:t>
      </w:r>
      <w:r w:rsidR="009C32A0">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Pr>
          <w:rFonts w:hint="cs"/>
          <w:rtl/>
        </w:rPr>
        <w:t>،</w:t>
      </w:r>
      <w:r w:rsidR="009C32A0">
        <w:rPr>
          <w:rFonts w:hint="cs"/>
          <w:rtl/>
        </w:rPr>
        <w:t xml:space="preserve"> بل قال بعضهم</w:t>
      </w:r>
      <w:r>
        <w:rPr>
          <w:rFonts w:hint="cs"/>
          <w:rtl/>
        </w:rPr>
        <w:t xml:space="preserve">: </w:t>
      </w:r>
      <w:r w:rsidR="009C32A0">
        <w:rPr>
          <w:rFonts w:hint="cs"/>
          <w:rtl/>
        </w:rPr>
        <w:t>ما ذكر فيه اليد من آية أو حديث وأشار إلى يده عزر بقطعها , ومن قرأ ما به العين فأشار إلى عينه عزر بفقأ عينيه</w:t>
      </w:r>
      <w:r>
        <w:rPr>
          <w:rFonts w:hint="cs"/>
          <w:rtl/>
        </w:rPr>
        <w:t>،</w:t>
      </w:r>
      <w:r w:rsidR="009C32A0">
        <w:rPr>
          <w:rFonts w:hint="cs"/>
          <w:rtl/>
        </w:rPr>
        <w:t xml:space="preserve"> وما روي عن أبي داود من وضعه صلى الله عليه وسلم</w:t>
      </w:r>
      <w:r>
        <w:rPr>
          <w:rFonts w:hint="cs"/>
          <w:rtl/>
        </w:rPr>
        <w:t xml:space="preserve"> </w:t>
      </w:r>
      <w:r w:rsidR="009C32A0">
        <w:rPr>
          <w:rFonts w:hint="cs"/>
          <w:rtl/>
        </w:rPr>
        <w:t>إبهامه على أذنه والتي تليها على عينه حين تلا</w:t>
      </w:r>
      <w:r>
        <w:rPr>
          <w:rFonts w:hint="cs"/>
          <w:rtl/>
        </w:rPr>
        <w:t>: {</w:t>
      </w:r>
      <w:r w:rsidR="009C32A0">
        <w:rPr>
          <w:rFonts w:hint="cs"/>
          <w:rtl/>
        </w:rPr>
        <w:t>إن الله سميع بصير</w:t>
      </w:r>
      <w:r>
        <w:rPr>
          <w:rFonts w:hint="cs"/>
          <w:rtl/>
        </w:rPr>
        <w:t>}،</w:t>
      </w:r>
      <w:r w:rsidR="009C32A0">
        <w:rPr>
          <w:rFonts w:hint="cs"/>
          <w:rtl/>
        </w:rPr>
        <w:t xml:space="preserve"> فقال الخطابي في شرحه "المعالم"</w:t>
      </w:r>
      <w:r>
        <w:rPr>
          <w:rFonts w:hint="cs"/>
          <w:rtl/>
        </w:rPr>
        <w:t xml:space="preserve">: </w:t>
      </w:r>
      <w:r w:rsidR="009C32A0">
        <w:rPr>
          <w:rFonts w:hint="cs"/>
          <w:rtl/>
        </w:rPr>
        <w:t>" معنى ذلك إثبات صفة السمع والبصر له تعالى لا إثبات الأذن والعين لأنهما جارحتان</w:t>
      </w:r>
      <w:r>
        <w:rPr>
          <w:rFonts w:hint="cs"/>
          <w:rtl/>
        </w:rPr>
        <w:t>،</w:t>
      </w:r>
      <w:r w:rsidR="009C32A0">
        <w:rPr>
          <w:rFonts w:hint="cs"/>
          <w:rtl/>
        </w:rPr>
        <w:t xml:space="preserve"> والله سبحانه وتعالى موصوف بصفاته منفي عنه ما لا يليق به من صفات الآدميين ليس بذي جوارح ولا بذي أجزاء "</w:t>
      </w:r>
      <w:r>
        <w:rPr>
          <w:rFonts w:hint="cs"/>
          <w:rtl/>
        </w:rPr>
        <w:t>،</w:t>
      </w:r>
      <w:r w:rsidR="009C32A0">
        <w:rPr>
          <w:rFonts w:hint="cs"/>
          <w:rtl/>
        </w:rPr>
        <w:t xml:space="preserve"> وفي " الأجوبة المصرية " لابن تيمية</w:t>
      </w:r>
      <w:r>
        <w:rPr>
          <w:rFonts w:hint="cs"/>
          <w:rtl/>
        </w:rPr>
        <w:t>:</w:t>
      </w:r>
      <w:r w:rsidR="009C32A0">
        <w:rPr>
          <w:rFonts w:hint="cs"/>
          <w:rtl/>
        </w:rPr>
        <w:t xml:space="preserve"> " ذكر أنه صلى الله عليه وسلم</w:t>
      </w:r>
      <w:r>
        <w:rPr>
          <w:rFonts w:hint="cs"/>
          <w:rtl/>
        </w:rPr>
        <w:t xml:space="preserve"> </w:t>
      </w:r>
      <w:r w:rsidR="009C32A0">
        <w:rPr>
          <w:rFonts w:hint="cs"/>
          <w:rtl/>
        </w:rPr>
        <w:t>قبض كفيه فجعل يقبضها ويبسطها " ثم قال</w:t>
      </w:r>
      <w:r>
        <w:rPr>
          <w:rFonts w:hint="cs"/>
          <w:rtl/>
        </w:rPr>
        <w:t xml:space="preserve">: </w:t>
      </w:r>
      <w:r w:rsidR="009C32A0">
        <w:rPr>
          <w:rFonts w:hint="cs"/>
          <w:rtl/>
        </w:rPr>
        <w:t>"وهنا القبض والبسط بقبضه وبسطه "</w:t>
      </w:r>
      <w:r>
        <w:rPr>
          <w:rFonts w:hint="cs"/>
          <w:rtl/>
        </w:rPr>
        <w:t>،</w:t>
      </w:r>
      <w:r w:rsidR="009C32A0">
        <w:rPr>
          <w:rFonts w:hint="cs"/>
          <w:rtl/>
        </w:rPr>
        <w:t xml:space="preserve"> قال الكوثري</w:t>
      </w:r>
      <w:r>
        <w:rPr>
          <w:rFonts w:hint="cs"/>
          <w:rtl/>
        </w:rPr>
        <w:t xml:space="preserve">: </w:t>
      </w:r>
      <w:r w:rsidR="009C32A0">
        <w:rPr>
          <w:rFonts w:hint="cs"/>
          <w:rtl/>
        </w:rPr>
        <w:t>وهذا تشبيه صريح من ابن تيمية واللفظ المذكور لم يقع إلا في بعض الروايات</w:t>
      </w:r>
      <w:r>
        <w:rPr>
          <w:rFonts w:hint="cs"/>
          <w:rtl/>
        </w:rPr>
        <w:t xml:space="preserve">، </w:t>
      </w:r>
      <w:r w:rsidR="009C32A0">
        <w:rPr>
          <w:rFonts w:hint="cs"/>
          <w:rtl/>
        </w:rPr>
        <w:t>والاضطراب في الحديث سندا ومتنا زيادة ونقصا ظاهر جدا لمن اطلع على طرقه</w:t>
      </w:r>
      <w:r>
        <w:rPr>
          <w:rFonts w:hint="cs"/>
          <w:rtl/>
        </w:rPr>
        <w:t>،</w:t>
      </w:r>
      <w:r w:rsidR="009C32A0">
        <w:rPr>
          <w:rFonts w:hint="cs"/>
          <w:rtl/>
        </w:rPr>
        <w:t xml:space="preserve"> بحيث لا يصح الاستدلال به , ولاسيما في هذا المطلب</w:t>
      </w:r>
      <w:r>
        <w:rPr>
          <w:rFonts w:hint="cs"/>
          <w:rtl/>
        </w:rPr>
        <w:t>،</w:t>
      </w:r>
      <w:r w:rsidR="009C32A0">
        <w:rPr>
          <w:rFonts w:hint="cs"/>
          <w:rtl/>
        </w:rPr>
        <w:t xml:space="preserve"> علاوة على أن ما يقع على المنبر أمام الجمهور تتوفر الدواعي إلى روايته فكيف ينفرد برواية مثله راو واحد</w:t>
      </w:r>
      <w:r>
        <w:rPr>
          <w:rFonts w:hint="cs"/>
          <w:rtl/>
        </w:rPr>
        <w:t>،</w:t>
      </w:r>
      <w:r w:rsidR="009C32A0">
        <w:rPr>
          <w:rFonts w:hint="cs"/>
          <w:rtl/>
        </w:rPr>
        <w:t xml:space="preserve"> وعلى فرض ثبوت أن النبي صلى الله عليه وسلم</w:t>
      </w:r>
      <w:r>
        <w:rPr>
          <w:rFonts w:hint="cs"/>
          <w:rtl/>
        </w:rPr>
        <w:t xml:space="preserve"> </w:t>
      </w:r>
      <w:r w:rsidR="009C32A0">
        <w:rPr>
          <w:rFonts w:hint="cs"/>
          <w:rtl/>
        </w:rPr>
        <w:t>قبض كفيه وبسطهما أثناء الخطبة لم ينسب إليه صلى الله عليه وسلم</w:t>
      </w:r>
      <w:r>
        <w:rPr>
          <w:rFonts w:hint="cs"/>
          <w:rtl/>
        </w:rPr>
        <w:t xml:space="preserve"> </w:t>
      </w:r>
      <w:r w:rsidR="009C32A0">
        <w:rPr>
          <w:rFonts w:hint="cs"/>
          <w:rtl/>
        </w:rPr>
        <w:t>في حديث أنه قال</w:t>
      </w:r>
      <w:r>
        <w:rPr>
          <w:rFonts w:hint="cs"/>
          <w:rtl/>
        </w:rPr>
        <w:t>:</w:t>
      </w:r>
      <w:r w:rsidR="009C32A0">
        <w:rPr>
          <w:rFonts w:hint="cs"/>
          <w:rtl/>
        </w:rPr>
        <w:t xml:space="preserve"> " هكذا يقبض ويبسط " حتى يصح كلام ابن تيمية</w:t>
      </w:r>
      <w:r>
        <w:rPr>
          <w:rFonts w:hint="cs"/>
          <w:rtl/>
        </w:rPr>
        <w:t>،</w:t>
      </w:r>
      <w:r w:rsidR="009C32A0">
        <w:rPr>
          <w:rFonts w:hint="cs"/>
          <w:rtl/>
        </w:rPr>
        <w:t xml:space="preserve"> بل البسط غير موجود فيما يروي عما يفعله سبحانه عند قيام الساعة حتى يظن به صلى الله عليه وسلم</w:t>
      </w:r>
      <w:r>
        <w:rPr>
          <w:rFonts w:hint="cs"/>
          <w:rtl/>
        </w:rPr>
        <w:t xml:space="preserve"> </w:t>
      </w:r>
      <w:r w:rsidR="009C32A0">
        <w:rPr>
          <w:rFonts w:hint="cs"/>
          <w:rtl/>
        </w:rPr>
        <w:t>إذا قبض كفيه وبسطهما أنه أراد تشبيها بقبض الله وبسطه ,على أن الخطيب كثيرا ما تصدر منه حركات وإشارات أثناء الخطبة</w:t>
      </w:r>
      <w:r>
        <w:rPr>
          <w:rFonts w:hint="cs"/>
          <w:rtl/>
        </w:rPr>
        <w:t>،</w:t>
      </w:r>
      <w:r w:rsidR="009C32A0">
        <w:rPr>
          <w:rFonts w:hint="cs"/>
          <w:rtl/>
        </w:rPr>
        <w:t xml:space="preserve"> وحملها على معان لم ينطق هو بها تقويل للخطيب مالم يقله " من تعليق الكوثري على النونية</w:t>
      </w:r>
      <w:r>
        <w:rPr>
          <w:rFonts w:hint="cs"/>
          <w:rtl/>
        </w:rPr>
        <w:t>،</w:t>
      </w:r>
      <w:r w:rsidR="009C32A0">
        <w:rPr>
          <w:rFonts w:hint="cs"/>
          <w:rtl/>
        </w:rPr>
        <w:t xml:space="preserve"> ومن مغالطاتهم قولهم</w:t>
      </w:r>
      <w:r>
        <w:rPr>
          <w:rFonts w:hint="cs"/>
          <w:rtl/>
        </w:rPr>
        <w:t>:</w:t>
      </w:r>
      <w:r w:rsidR="009C32A0">
        <w:rPr>
          <w:rFonts w:hint="cs"/>
          <w:rtl/>
        </w:rPr>
        <w:t xml:space="preserve"> " إنكم تثبتون لله الوجود والحياة والقدرة</w:t>
      </w:r>
      <w:r>
        <w:rPr>
          <w:rFonts w:hint="cs"/>
          <w:rtl/>
        </w:rPr>
        <w:t xml:space="preserve"> </w:t>
      </w:r>
      <w:r w:rsidR="009C32A0">
        <w:rPr>
          <w:rFonts w:hint="cs"/>
          <w:rtl/>
        </w:rPr>
        <w:t>والإرادة والعلم والسمع البصر ,وتقولون</w:t>
      </w:r>
      <w:r>
        <w:rPr>
          <w:rFonts w:hint="cs"/>
          <w:rtl/>
        </w:rPr>
        <w:t xml:space="preserve">: </w:t>
      </w:r>
      <w:r w:rsidR="009C32A0">
        <w:rPr>
          <w:rFonts w:hint="cs"/>
          <w:rtl/>
        </w:rPr>
        <w:t>"لا كوجودنا وحياتنا وسمعنا وأبصارنا الخ</w:t>
      </w:r>
      <w:r>
        <w:rPr>
          <w:rFonts w:hint="cs"/>
          <w:rtl/>
        </w:rPr>
        <w:t>،</w:t>
      </w:r>
      <w:r w:rsidR="009C32A0">
        <w:rPr>
          <w:rFonts w:hint="cs"/>
          <w:rtl/>
        </w:rPr>
        <w:t xml:space="preserve"> فقولوا</w:t>
      </w:r>
      <w:r>
        <w:rPr>
          <w:rFonts w:hint="cs"/>
          <w:rtl/>
        </w:rPr>
        <w:t xml:space="preserve">: </w:t>
      </w:r>
      <w:r w:rsidR="009C32A0">
        <w:rPr>
          <w:rFonts w:hint="cs"/>
          <w:rtl/>
        </w:rPr>
        <w:t>يد لا كيدنا , ووجه لا كوجوهنا</w:t>
      </w:r>
      <w:r>
        <w:rPr>
          <w:rFonts w:hint="cs"/>
          <w:rtl/>
        </w:rPr>
        <w:t>،</w:t>
      </w:r>
      <w:r w:rsidR="009C32A0">
        <w:rPr>
          <w:rFonts w:hint="cs"/>
          <w:rtl/>
        </w:rPr>
        <w:t xml:space="preserve"> قلنا قوله </w:t>
      </w:r>
      <w:r w:rsidR="009C32A0">
        <w:rPr>
          <w:rFonts w:hint="cs"/>
          <w:rtl/>
        </w:rPr>
        <w:lastRenderedPageBreak/>
        <w:t>تعالى</w:t>
      </w:r>
      <w:r>
        <w:rPr>
          <w:rFonts w:hint="cs"/>
          <w:rtl/>
        </w:rPr>
        <w:t>: {</w:t>
      </w:r>
      <w:r w:rsidR="009C32A0">
        <w:rPr>
          <w:rFonts w:hint="cs"/>
          <w:rtl/>
        </w:rPr>
        <w:t>ليس كمثله شيء وهو السميع البصير} فيه السميع البصير تتميم لنفي المشابهة له عز وجل , فيكون</w:t>
      </w:r>
      <w:r>
        <w:rPr>
          <w:rFonts w:hint="cs"/>
          <w:rtl/>
        </w:rPr>
        <w:t xml:space="preserve"> </w:t>
      </w:r>
      <w:r w:rsidR="009C32A0">
        <w:rPr>
          <w:rFonts w:hint="cs"/>
          <w:rtl/>
        </w:rPr>
        <w:t>ذلك بمنزلة الجواب عما يبدو من الصفات أنه مشترك بين الخلق والخالق</w:t>
      </w:r>
      <w:r>
        <w:rPr>
          <w:rFonts w:hint="cs"/>
          <w:rtl/>
        </w:rPr>
        <w:t>،</w:t>
      </w:r>
      <w:r w:rsidR="009C32A0">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المخلوقية والحدوث</w:t>
      </w:r>
      <w:r>
        <w:rPr>
          <w:rFonts w:hint="cs"/>
          <w:rtl/>
        </w:rPr>
        <w:t>،</w:t>
      </w:r>
      <w:r w:rsidR="009C32A0">
        <w:rPr>
          <w:rFonts w:hint="cs"/>
          <w:rtl/>
        </w:rPr>
        <w:t xml:space="preserve"> فكذلك أثبتت الآية بقوله</w:t>
      </w:r>
      <w:r>
        <w:rPr>
          <w:rFonts w:hint="cs"/>
          <w:rtl/>
        </w:rPr>
        <w:t>: {</w:t>
      </w:r>
      <w:r w:rsidR="009C32A0">
        <w:rPr>
          <w:rFonts w:hint="cs"/>
          <w:rtl/>
        </w:rPr>
        <w:t>وهو السميع البصير</w:t>
      </w:r>
      <w:r>
        <w:rPr>
          <w:rFonts w:hint="cs"/>
          <w:rtl/>
        </w:rPr>
        <w:t>}</w:t>
      </w:r>
      <w:r w:rsidR="009C32A0">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w:t>
      </w:r>
      <w:r>
        <w:rPr>
          <w:rFonts w:hint="cs"/>
          <w:rtl/>
        </w:rPr>
        <w:t>: {</w:t>
      </w:r>
      <w:r w:rsidR="009C32A0">
        <w:rPr>
          <w:rFonts w:hint="cs"/>
          <w:rtl/>
        </w:rPr>
        <w:t>وهو السميع البصير</w:t>
      </w:r>
      <w:r>
        <w:rPr>
          <w:rFonts w:hint="cs"/>
          <w:rtl/>
        </w:rPr>
        <w:t>}</w:t>
      </w:r>
      <w:r w:rsidR="009C32A0">
        <w:rPr>
          <w:rFonts w:hint="cs"/>
          <w:rtl/>
        </w:rPr>
        <w:t xml:space="preserve"> بصيغة الحصر</w:t>
      </w:r>
      <w:r>
        <w:rPr>
          <w:rFonts w:hint="cs"/>
          <w:rtl/>
        </w:rPr>
        <w:t>،</w:t>
      </w:r>
      <w:r w:rsidR="009C32A0">
        <w:rPr>
          <w:rFonts w:hint="cs"/>
          <w:rtl/>
        </w:rPr>
        <w:t xml:space="preserve"> وكذلك قال</w:t>
      </w:r>
      <w:r>
        <w:rPr>
          <w:rFonts w:hint="cs"/>
          <w:rtl/>
        </w:rPr>
        <w:t>: {</w:t>
      </w:r>
      <w:r w:rsidR="009C32A0">
        <w:rPr>
          <w:rFonts w:hint="cs"/>
          <w:rtl/>
        </w:rPr>
        <w:t>هو الحى</w:t>
      </w:r>
      <w:r>
        <w:rPr>
          <w:rFonts w:hint="cs"/>
          <w:rtl/>
        </w:rPr>
        <w:t>}</w:t>
      </w:r>
      <w:r w:rsidR="009C32A0">
        <w:rPr>
          <w:rFonts w:hint="cs"/>
          <w:rtl/>
        </w:rPr>
        <w:t xml:space="preserve"> وقال</w:t>
      </w:r>
      <w:r>
        <w:rPr>
          <w:rFonts w:hint="cs"/>
          <w:rtl/>
        </w:rPr>
        <w:t>: {</w:t>
      </w:r>
      <w:r w:rsidR="009C32A0">
        <w:rPr>
          <w:rFonts w:hint="cs"/>
          <w:rtl/>
        </w:rPr>
        <w:t>وهو العليم القدير</w:t>
      </w:r>
      <w:r>
        <w:rPr>
          <w:rFonts w:hint="cs"/>
          <w:rtl/>
        </w:rPr>
        <w:t>}،</w:t>
      </w:r>
      <w:r w:rsidR="009C32A0">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Pr>
          <w:rFonts w:hint="cs"/>
          <w:rtl/>
        </w:rPr>
        <w:t>،</w:t>
      </w:r>
      <w:r w:rsidR="009C32A0">
        <w:rPr>
          <w:rFonts w:hint="cs"/>
          <w:rtl/>
        </w:rPr>
        <w:t xml:space="preserve"> </w:t>
      </w:r>
    </w:p>
    <w:p w14:paraId="451DA72F" w14:textId="0E8EF233" w:rsidR="009C32A0" w:rsidRDefault="000636C2" w:rsidP="000636C2">
      <w:pPr>
        <w:ind w:left="-58"/>
        <w:rPr>
          <w:b/>
          <w:rtl/>
        </w:rPr>
      </w:pPr>
      <w:r>
        <w:rPr>
          <w:rFonts w:hint="cs"/>
          <w:bCs/>
          <w:rtl/>
        </w:rPr>
        <w:t>(</w:t>
      </w:r>
      <w:r w:rsidR="009C32A0">
        <w:rPr>
          <w:rFonts w:hint="cs"/>
          <w:bCs/>
          <w:rtl/>
        </w:rPr>
        <w:t>6</w:t>
      </w:r>
      <w:r>
        <w:rPr>
          <w:rFonts w:hint="cs"/>
          <w:bCs/>
          <w:rtl/>
        </w:rPr>
        <w:t xml:space="preserve">) </w:t>
      </w:r>
      <w:r w:rsidR="009C32A0">
        <w:rPr>
          <w:rFonts w:hint="cs"/>
          <w:bCs/>
          <w:rtl/>
        </w:rPr>
        <w:t>بعض من المشبهة</w:t>
      </w:r>
      <w:r>
        <w:rPr>
          <w:rFonts w:hint="cs"/>
          <w:rtl/>
        </w:rPr>
        <w:t xml:space="preserve">: </w:t>
      </w:r>
      <w:r w:rsidR="009C32A0">
        <w:rPr>
          <w:rFonts w:hint="cs"/>
          <w:rtl/>
        </w:rPr>
        <w:t>وقد اشتهر بالتشبيه في القرن الثالث الهجري محمد بن كرام السجستاني فلقب المنتمون إلى طريقته " الكرامية"</w:t>
      </w:r>
      <w:r>
        <w:rPr>
          <w:rFonts w:hint="cs"/>
          <w:rtl/>
        </w:rPr>
        <w:t>،</w:t>
      </w:r>
      <w:r w:rsidR="009C32A0">
        <w:rPr>
          <w:rFonts w:hint="cs"/>
          <w:rtl/>
        </w:rPr>
        <w:t xml:space="preserve"> وتلاه أبو الحسن البربهاري الحنبلي في أوائل القرن الرابع الذي افتتن به العامة في بغداد وجد في الدعاية إلى الاعتقاد وعظمت المحنة بهذين وشيعتهما على أهل الحق</w:t>
      </w:r>
      <w:r>
        <w:rPr>
          <w:rFonts w:hint="cs"/>
          <w:rtl/>
        </w:rPr>
        <w:t>،</w:t>
      </w:r>
      <w:r w:rsidR="009C32A0">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Pr>
          <w:rFonts w:hint="cs"/>
          <w:rtl/>
        </w:rPr>
        <w:t>،</w:t>
      </w:r>
      <w:r w:rsidR="009C32A0">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قرآئن واضحة على وجوب صرف الظواهر الموهمة عن هذه المعاني المتبادرة للعامة إلى معان تليق به عز وجل فدخلوا بذلك فيما لا يحسنون</w:t>
      </w:r>
      <w:r>
        <w:rPr>
          <w:rFonts w:hint="cs"/>
          <w:rtl/>
        </w:rPr>
        <w:t>،</w:t>
      </w:r>
      <w:r w:rsidR="009C32A0">
        <w:rPr>
          <w:rFonts w:hint="cs"/>
          <w:rtl/>
        </w:rPr>
        <w:t xml:space="preserve"> فلا يعبأ بقولهم ما زالوا فيه مهما كانت مكانتهم في الفنون التي يحسنونها من حديث وفروع</w:t>
      </w:r>
      <w:r>
        <w:rPr>
          <w:rFonts w:hint="cs"/>
          <w:rtl/>
        </w:rPr>
        <w:t>،</w:t>
      </w:r>
      <w:r w:rsidR="009C32A0">
        <w:rPr>
          <w:rFonts w:hint="cs"/>
          <w:rtl/>
        </w:rPr>
        <w:t xml:space="preserve"> قال الكوثري</w:t>
      </w:r>
      <w:r>
        <w:rPr>
          <w:rFonts w:hint="cs"/>
          <w:rtl/>
        </w:rPr>
        <w:t>:</w:t>
      </w:r>
      <w:r w:rsidR="009C32A0">
        <w:rPr>
          <w:rFonts w:hint="cs"/>
          <w:rtl/>
        </w:rPr>
        <w:t xml:space="preserve"> " يرثي لحال من يميل إلى التشبيه مع جلالة مقداره في الحديث , ولا يعول على الرجل إلا في العلم الذي يتقنه دون سائر العلوم</w:t>
      </w:r>
      <w:r>
        <w:rPr>
          <w:rFonts w:hint="cs"/>
          <w:rtl/>
        </w:rPr>
        <w:t>،</w:t>
      </w:r>
      <w:r w:rsidR="009C32A0">
        <w:rPr>
          <w:rFonts w:hint="cs"/>
          <w:rtl/>
        </w:rPr>
        <w:t xml:space="preserve"> فكم بين أهل الحديث من هو أنزل منزلة من العامي في علم أصول الدين والفقه وكذلك سائر العلماء في غير علومهم "</w:t>
      </w:r>
      <w:r>
        <w:rPr>
          <w:rFonts w:hint="cs"/>
          <w:rtl/>
        </w:rPr>
        <w:t>،</w:t>
      </w:r>
      <w:r w:rsidR="009C32A0">
        <w:rPr>
          <w:rFonts w:hint="cs"/>
          <w:rtl/>
        </w:rPr>
        <w:t xml:space="preserve"> وكذلك انجرف في تيار التشبيه طائفة من أتباع الإمام أحمد وأفراد قلة من المنتسبين إلى مالك والشافعي مخدوعين</w:t>
      </w:r>
      <w:r>
        <w:rPr>
          <w:rFonts w:hint="cs"/>
          <w:rtl/>
        </w:rPr>
        <w:t>،</w:t>
      </w:r>
      <w:r w:rsidR="009C32A0">
        <w:rPr>
          <w:rFonts w:hint="cs"/>
          <w:rtl/>
        </w:rPr>
        <w:t xml:space="preserve"> ونسب مجسمة الحنابلة ما هم عليه من التجسيم إلى الإمام أحمد بن حنبل وقد أشبعهم الحافظ ابن الجوزي الحنبلي لوما وتجهيلا </w:t>
      </w:r>
      <w:r w:rsidR="009C32A0">
        <w:rPr>
          <w:rFonts w:hint="cs"/>
          <w:rtl/>
        </w:rPr>
        <w:lastRenderedPageBreak/>
        <w:t>وتبرئة للإمام أحمد مما نسبوه إليه وذلك في كتابه القيم "دفع الشبه والتشبيه "</w:t>
      </w:r>
      <w:r>
        <w:rPr>
          <w:rFonts w:hint="cs"/>
          <w:rtl/>
        </w:rPr>
        <w:t>،</w:t>
      </w:r>
      <w:r w:rsidR="009C32A0">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w:t>
      </w:r>
      <w:r>
        <w:rPr>
          <w:rFonts w:hint="cs"/>
          <w:rtl/>
        </w:rPr>
        <w:t>:</w:t>
      </w:r>
      <w:r w:rsidR="009C32A0">
        <w:rPr>
          <w:rFonts w:hint="cs"/>
          <w:rtl/>
        </w:rPr>
        <w:t xml:space="preserve"> " أنكر أحمد على من قال بالجسم</w:t>
      </w:r>
      <w:r>
        <w:rPr>
          <w:rFonts w:hint="cs"/>
          <w:rtl/>
        </w:rPr>
        <w:t>،</w:t>
      </w:r>
      <w:r w:rsidR="009C32A0">
        <w:rPr>
          <w:rFonts w:hint="cs"/>
          <w:rtl/>
        </w:rPr>
        <w:t xml:space="preserve"> وقال</w:t>
      </w:r>
      <w:r>
        <w:rPr>
          <w:rFonts w:hint="cs"/>
          <w:rtl/>
        </w:rPr>
        <w:t>:</w:t>
      </w:r>
      <w:r w:rsidR="009C32A0">
        <w:rPr>
          <w:rFonts w:hint="cs"/>
          <w:rtl/>
        </w:rPr>
        <w:t xml:space="preserve"> إن الأسماء مأخوذة من الشريعة واللغة</w:t>
      </w:r>
      <w:r>
        <w:rPr>
          <w:rFonts w:hint="cs"/>
          <w:rtl/>
        </w:rPr>
        <w:t>،</w:t>
      </w:r>
      <w:r w:rsidR="009C32A0">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Pr>
          <w:rFonts w:hint="cs"/>
          <w:rtl/>
        </w:rPr>
        <w:t>،</w:t>
      </w:r>
      <w:r w:rsidR="009C32A0">
        <w:rPr>
          <w:rFonts w:hint="cs"/>
          <w:rtl/>
        </w:rPr>
        <w:t xml:space="preserve"> قال بعض الأفاضل</w:t>
      </w:r>
      <w:r>
        <w:rPr>
          <w:rFonts w:hint="cs"/>
          <w:rtl/>
        </w:rPr>
        <w:t>:</w:t>
      </w:r>
      <w:r w:rsidR="009C32A0">
        <w:rPr>
          <w:rFonts w:hint="cs"/>
          <w:rtl/>
        </w:rPr>
        <w:t xml:space="preserve"> " رجلان من أئمة هذه الأمة ابتليا بقوم سوء فنسبوا إليهما ما هما براء منه</w:t>
      </w:r>
      <w:r>
        <w:rPr>
          <w:rFonts w:hint="cs"/>
          <w:rtl/>
        </w:rPr>
        <w:t xml:space="preserve">: </w:t>
      </w:r>
      <w:r w:rsidR="009C32A0">
        <w:rPr>
          <w:rFonts w:hint="cs"/>
          <w:rtl/>
        </w:rPr>
        <w:t>جعفر بن محمد الباقر وأحمد بن حنبل "</w:t>
      </w:r>
      <w:r>
        <w:rPr>
          <w:rFonts w:hint="cs"/>
          <w:rtl/>
        </w:rPr>
        <w:t>،</w:t>
      </w:r>
      <w:r w:rsidR="009C32A0">
        <w:rPr>
          <w:rFonts w:hint="cs"/>
          <w:rtl/>
        </w:rPr>
        <w:t xml:space="preserve"> وألف الحشوية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Pr>
          <w:rFonts w:hint="cs"/>
          <w:rtl/>
        </w:rPr>
        <w:t>،</w:t>
      </w:r>
      <w:r w:rsidR="009C32A0">
        <w:rPr>
          <w:rFonts w:hint="cs"/>
          <w:rtl/>
        </w:rPr>
        <w:t xml:space="preserve"> وقد أشبعه الجهابذة نقدا لما احتوى عليه نقضه من تشبيه مضحك</w:t>
      </w:r>
      <w:r>
        <w:rPr>
          <w:rFonts w:hint="cs"/>
          <w:rtl/>
        </w:rPr>
        <w:t>،</w:t>
      </w:r>
      <w:r w:rsidR="009C32A0">
        <w:rPr>
          <w:rFonts w:hint="cs"/>
          <w:rtl/>
        </w:rPr>
        <w:t xml:space="preserve"> وممن احتوى كتابه على التشبيه كتاب التوحيد لابن خزيمة مع اعتراف الناقدين له بإمامته في الفقه ومعرفة علل الحديث ورواته</w:t>
      </w:r>
      <w:r>
        <w:rPr>
          <w:rFonts w:hint="cs"/>
          <w:rtl/>
        </w:rPr>
        <w:t>،</w:t>
      </w:r>
      <w:r w:rsidR="009C32A0">
        <w:rPr>
          <w:rFonts w:hint="cs"/>
          <w:rtl/>
        </w:rPr>
        <w:t xml:space="preserve"> قال البيهقي</w:t>
      </w:r>
      <w:r>
        <w:rPr>
          <w:rFonts w:hint="cs"/>
          <w:rtl/>
        </w:rPr>
        <w:t>:</w:t>
      </w:r>
      <w:r w:rsidR="009C32A0">
        <w:rPr>
          <w:rFonts w:hint="cs"/>
          <w:rtl/>
        </w:rPr>
        <w:t xml:space="preserve"> " وقد رجع ابن خزيمة إلى طريقة السلف وتلهف على ما قال "</w:t>
      </w:r>
      <w:r>
        <w:rPr>
          <w:rFonts w:hint="cs"/>
          <w:rtl/>
        </w:rPr>
        <w:t>،</w:t>
      </w:r>
      <w:r w:rsidR="009C32A0">
        <w:rPr>
          <w:rFonts w:hint="cs"/>
          <w:rtl/>
        </w:rPr>
        <w:t xml:space="preserve"> وروى عنه البيهقي أيضا</w:t>
      </w:r>
      <w:r>
        <w:rPr>
          <w:rFonts w:hint="cs"/>
          <w:rtl/>
        </w:rPr>
        <w:t>:</w:t>
      </w:r>
      <w:r w:rsidR="009C32A0">
        <w:rPr>
          <w:rFonts w:hint="cs"/>
          <w:rtl/>
        </w:rPr>
        <w:t xml:space="preserve"> أنه قال لأصحابه وهو يمشي معهم</w:t>
      </w:r>
      <w:r>
        <w:rPr>
          <w:rFonts w:hint="cs"/>
          <w:rtl/>
        </w:rPr>
        <w:t>:</w:t>
      </w:r>
      <w:r w:rsidR="009C32A0">
        <w:rPr>
          <w:rFonts w:hint="cs"/>
          <w:rtl/>
        </w:rPr>
        <w:t xml:space="preserve"> " ما تنكرون على فقيه راوي حديث إنه لا يحسن الكلام وقد قال مؤدبي</w:t>
      </w:r>
      <w:r>
        <w:rPr>
          <w:rFonts w:hint="cs"/>
          <w:rtl/>
        </w:rPr>
        <w:t xml:space="preserve">: </w:t>
      </w:r>
      <w:r w:rsidR="009C32A0">
        <w:rPr>
          <w:rFonts w:hint="cs"/>
          <w:rtl/>
        </w:rPr>
        <w:t>يعني المزني غير مرة كان الشافعي ينهانا عن الكلام "</w:t>
      </w:r>
      <w:r>
        <w:rPr>
          <w:rFonts w:hint="cs"/>
          <w:rtl/>
        </w:rPr>
        <w:t>،</w:t>
      </w:r>
      <w:r w:rsidR="009C32A0">
        <w:rPr>
          <w:rFonts w:hint="cs"/>
          <w:rtl/>
        </w:rPr>
        <w:t xml:space="preserve"> ومن الكتب في الصفات التي بعد أصحابها عن الصواب كتاب "إبطال التأويلات" لأبي يعلى الشهير بابن الفراء الحنبلي</w:t>
      </w:r>
      <w:r>
        <w:rPr>
          <w:rFonts w:hint="cs"/>
          <w:rtl/>
        </w:rPr>
        <w:t>،</w:t>
      </w:r>
      <w:r w:rsidR="009C32A0">
        <w:rPr>
          <w:rFonts w:hint="cs"/>
          <w:rtl/>
        </w:rPr>
        <w:t xml:space="preserve"> حتى قال عنه أبو محمد رزق الله التميمي الحنبلي</w:t>
      </w:r>
      <w:r>
        <w:rPr>
          <w:rFonts w:hint="cs"/>
          <w:rtl/>
        </w:rPr>
        <w:t>:</w:t>
      </w:r>
      <w:r w:rsidR="009C32A0">
        <w:rPr>
          <w:rFonts w:hint="cs"/>
          <w:rtl/>
        </w:rPr>
        <w:t xml:space="preserve"> " لقد بال أبو يعلى على الحنابلة بولة لا يغسلها ماء البحر " كما ذكره سبط ابن الجوزي في "مرآة الزمان " ولفظ ابن الأثير في الكامل أفظع</w:t>
      </w:r>
      <w:r>
        <w:rPr>
          <w:rFonts w:hint="cs"/>
          <w:rtl/>
        </w:rPr>
        <w:t>،</w:t>
      </w:r>
      <w:r w:rsidR="009C32A0">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Pr>
          <w:rFonts w:hint="cs"/>
          <w:rtl/>
        </w:rPr>
        <w:t>،</w:t>
      </w:r>
      <w:r w:rsidR="009C32A0">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Pr>
          <w:rFonts w:hint="cs"/>
          <w:rtl/>
        </w:rPr>
        <w:t>،</w:t>
      </w:r>
      <w:r w:rsidR="009C32A0">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Pr>
          <w:rFonts w:hint="cs"/>
          <w:rtl/>
        </w:rPr>
        <w:t>؟</w:t>
      </w:r>
      <w:r w:rsidR="009C32A0">
        <w:rPr>
          <w:rFonts w:hint="cs"/>
          <w:rtl/>
        </w:rPr>
        <w:t xml:space="preserve"> وقال آخرون منهم</w:t>
      </w:r>
      <w:r>
        <w:rPr>
          <w:rFonts w:hint="cs"/>
          <w:rtl/>
        </w:rPr>
        <w:t>:</w:t>
      </w:r>
      <w:r w:rsidR="009C32A0">
        <w:rPr>
          <w:rFonts w:hint="cs"/>
          <w:rtl/>
        </w:rPr>
        <w:t xml:space="preserve"> " انسب لنا ربك وبين لنا ما هو ومم هو</w:t>
      </w:r>
      <w:r>
        <w:rPr>
          <w:rFonts w:hint="cs"/>
          <w:rtl/>
        </w:rPr>
        <w:t>؟</w:t>
      </w:r>
      <w:r w:rsidR="009C32A0">
        <w:rPr>
          <w:rFonts w:hint="cs"/>
          <w:rtl/>
        </w:rPr>
        <w:t xml:space="preserve"> فأنزل الله تعالى في ذلك صورة الإخلاص وقوله تعالى </w:t>
      </w:r>
      <w:r>
        <w:rPr>
          <w:rFonts w:hint="cs"/>
          <w:rtl/>
        </w:rPr>
        <w:t>(</w:t>
      </w:r>
      <w:r w:rsidR="009C32A0">
        <w:rPr>
          <w:rFonts w:hint="cs"/>
          <w:rtl/>
        </w:rPr>
        <w:t>وما قدروا الله حق قدره</w:t>
      </w:r>
      <w:r>
        <w:rPr>
          <w:rFonts w:hint="cs"/>
          <w:rtl/>
        </w:rPr>
        <w:t>)،</w:t>
      </w:r>
      <w:r w:rsidR="009C32A0">
        <w:rPr>
          <w:rFonts w:hint="cs"/>
          <w:rtl/>
        </w:rPr>
        <w:t xml:space="preserve"> أليس في ذلك التصريح بأن من اعتقد تركب الذات العلية فما قدر الله حق قدره وما آمن بأحديته</w:t>
      </w:r>
      <w:r>
        <w:rPr>
          <w:rFonts w:hint="cs"/>
          <w:rtl/>
        </w:rPr>
        <w:t>،</w:t>
      </w:r>
      <w:r w:rsidR="009C32A0">
        <w:rPr>
          <w:rFonts w:hint="cs"/>
          <w:rtl/>
        </w:rPr>
        <w:t xml:space="preserve"> والحاصل </w:t>
      </w:r>
      <w:r w:rsidR="009C32A0">
        <w:rPr>
          <w:rFonts w:hint="cs"/>
          <w:rtl/>
        </w:rPr>
        <w:lastRenderedPageBreak/>
        <w:t>أن الباحثين من أهل الاسلام في هذه المسألة انقسموا إلى ثلاث فرق</w:t>
      </w:r>
      <w:r>
        <w:rPr>
          <w:rFonts w:hint="cs"/>
          <w:rtl/>
        </w:rPr>
        <w:t xml:space="preserve">: </w:t>
      </w:r>
      <w:r w:rsidR="009C32A0">
        <w:rPr>
          <w:rFonts w:hint="cs"/>
          <w:rtl/>
        </w:rPr>
        <w:t>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تركبة من الأجزاء وقبوله للانقسام وتعالى الله عما قال الفريقان</w:t>
      </w:r>
      <w:r>
        <w:rPr>
          <w:rFonts w:hint="cs"/>
          <w:rtl/>
        </w:rPr>
        <w:t>،</w:t>
      </w:r>
      <w:r w:rsidR="009C32A0">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كا لحدوث وما يستلزم ذلك من الجسمية والتركيب وما إليها فإن أحديته تعالى توجب التنزيه عنها , وهذا هو الذي يقتضيه الفهم الصحيح لسورة الإخلاص</w:t>
      </w:r>
      <w:r>
        <w:rPr>
          <w:rFonts w:hint="cs"/>
          <w:rtl/>
        </w:rPr>
        <w:t>،</w:t>
      </w:r>
      <w:r w:rsidR="009C32A0">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Pr>
          <w:rFonts w:hint="cs"/>
          <w:rtl/>
        </w:rPr>
        <w:t>،</w:t>
      </w:r>
      <w:r w:rsidR="009C32A0">
        <w:rPr>
          <w:rFonts w:hint="cs"/>
          <w:rtl/>
        </w:rPr>
        <w:t xml:space="preserve"> وفي "مقالات الكوثري" نماذج لما في كتاب " نقض الدارمي ", وكتاب "السنة " لابن الإمام أحمد ,و"توحيد" ابن خزيمة , وكتاب "التأسيس " لابن تيمية فمن المفيد الرجوع إلى ما كتبه لتعلم حقيقة ما في هذه الكتب</w:t>
      </w:r>
      <w:r>
        <w:rPr>
          <w:rFonts w:hint="cs"/>
          <w:rtl/>
        </w:rPr>
        <w:t>،</w:t>
      </w:r>
      <w:r w:rsidR="009C32A0">
        <w:rPr>
          <w:rFonts w:hint="cs"/>
          <w:rtl/>
        </w:rPr>
        <w:t xml:space="preserve"> وفي " تهذيب التهذيب " لابن حجر عن أبي حنيفة رضي الله عنه أنه قال</w:t>
      </w:r>
      <w:r>
        <w:rPr>
          <w:rFonts w:hint="cs"/>
          <w:rtl/>
        </w:rPr>
        <w:t xml:space="preserve">: </w:t>
      </w:r>
      <w:r w:rsidR="009C32A0">
        <w:rPr>
          <w:rFonts w:hint="cs"/>
          <w:rtl/>
        </w:rPr>
        <w:t>" أتانا من المشرق رأيان خبيثان</w:t>
      </w:r>
      <w:r>
        <w:rPr>
          <w:rFonts w:hint="cs"/>
          <w:rtl/>
        </w:rPr>
        <w:t>:</w:t>
      </w:r>
      <w:r w:rsidR="009C32A0">
        <w:rPr>
          <w:rFonts w:hint="cs"/>
          <w:rtl/>
        </w:rPr>
        <w:t xml:space="preserve"> جهم معطل ومقاتل مشبه ,أفرط جهم في النفي حتى قال</w:t>
      </w:r>
      <w:r>
        <w:rPr>
          <w:rFonts w:hint="cs"/>
          <w:rtl/>
        </w:rPr>
        <w:t>:</w:t>
      </w:r>
      <w:r w:rsidR="009C32A0">
        <w:rPr>
          <w:rFonts w:hint="cs"/>
          <w:rtl/>
        </w:rPr>
        <w:t xml:space="preserve"> إن الله ليس بشيء ,وأفرط مقاتل في الإثبات حتى جعل الله تعالى مثل خلقه "</w:t>
      </w:r>
      <w:r>
        <w:rPr>
          <w:rFonts w:hint="cs"/>
          <w:rtl/>
        </w:rPr>
        <w:t>،</w:t>
      </w:r>
      <w:r w:rsidR="009C32A0">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Pr>
          <w:rFonts w:hint="cs"/>
          <w:rtl/>
        </w:rPr>
        <w:t>،</w:t>
      </w:r>
      <w:r w:rsidR="009C32A0">
        <w:rPr>
          <w:rFonts w:hint="cs"/>
          <w:rtl/>
        </w:rPr>
        <w:t xml:space="preserve"> وبالغ مقاتل في الاثبات حتى فسر الاستواء بالاستقرار</w:t>
      </w:r>
      <w:r>
        <w:rPr>
          <w:rFonts w:hint="cs"/>
          <w:rtl/>
        </w:rPr>
        <w:t>،</w:t>
      </w:r>
      <w:r w:rsidR="009C32A0">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Pr>
          <w:rFonts w:hint="cs"/>
          <w:rtl/>
        </w:rPr>
        <w:t>،</w:t>
      </w:r>
      <w:r w:rsidR="009C32A0">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Pr>
          <w:rFonts w:hint="cs"/>
          <w:rtl/>
        </w:rPr>
        <w:t xml:space="preserve">: </w:t>
      </w:r>
      <w:r w:rsidR="009C32A0">
        <w:rPr>
          <w:rFonts w:hint="cs"/>
          <w:rtl/>
        </w:rPr>
        <w:t>وهي الإمساك عن التصرف في الألفاظ الواردة من ستة أوجه</w:t>
      </w:r>
      <w:r>
        <w:rPr>
          <w:rFonts w:hint="cs"/>
          <w:rtl/>
        </w:rPr>
        <w:t xml:space="preserve">: </w:t>
      </w:r>
      <w:r w:rsidR="009C32A0">
        <w:rPr>
          <w:rFonts w:hint="cs"/>
          <w:rtl/>
        </w:rPr>
        <w:t>التفسير ,التأويل , والتصريف , والتفريغ , والجمع , والتفريق وشرح ذلك كله</w:t>
      </w:r>
      <w:r>
        <w:rPr>
          <w:rFonts w:hint="cs"/>
          <w:rtl/>
        </w:rPr>
        <w:t>،</w:t>
      </w:r>
      <w:r w:rsidR="009C32A0">
        <w:rPr>
          <w:rFonts w:hint="cs"/>
          <w:rtl/>
        </w:rPr>
        <w:t xml:space="preserve"> ومما قاله في الجمع أن لا يجمع بين متفرق ولقد بعد عن التوفيق من صنف </w:t>
      </w:r>
      <w:r w:rsidR="009C32A0">
        <w:rPr>
          <w:rFonts w:hint="cs"/>
          <w:rtl/>
        </w:rPr>
        <w:lastRenderedPageBreak/>
        <w:t>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Pr>
          <w:rFonts w:hint="cs"/>
          <w:rtl/>
        </w:rPr>
        <w:t xml:space="preserve"> </w:t>
      </w:r>
      <w:r w:rsidR="009C32A0">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Pr>
          <w:rFonts w:hint="cs"/>
          <w:rtl/>
        </w:rPr>
        <w:t>،</w:t>
      </w:r>
      <w:r w:rsidR="009C32A0">
        <w:rPr>
          <w:rFonts w:hint="cs"/>
          <w:rtl/>
        </w:rPr>
        <w:t xml:space="preserve"> ثم قال</w:t>
      </w:r>
      <w:r>
        <w:rPr>
          <w:rFonts w:hint="cs"/>
          <w:rtl/>
        </w:rPr>
        <w:t xml:space="preserve">: </w:t>
      </w:r>
      <w:r w:rsidR="009C32A0">
        <w:rPr>
          <w:rFonts w:hint="cs"/>
          <w:rtl/>
        </w:rPr>
        <w:t>والتصرف السادس التفريق بين المجتمعات فكما لا يجمع بين متفرقة فلا يفرق بين مجتمعه كقوله تعالى</w:t>
      </w:r>
      <w:r>
        <w:rPr>
          <w:rFonts w:hint="cs"/>
          <w:rtl/>
        </w:rPr>
        <w:t>: {</w:t>
      </w:r>
      <w:r w:rsidR="009C32A0">
        <w:rPr>
          <w:rFonts w:hint="cs"/>
          <w:rtl/>
        </w:rPr>
        <w:t>وهو القاهر فوق عباده</w:t>
      </w:r>
      <w:r>
        <w:rPr>
          <w:rFonts w:hint="cs"/>
          <w:rtl/>
        </w:rPr>
        <w:t>}</w:t>
      </w:r>
      <w:r w:rsidR="009C32A0">
        <w:rPr>
          <w:rFonts w:hint="cs"/>
          <w:rtl/>
        </w:rPr>
        <w:t xml:space="preserve"> فليس للقائل أن يقول هو فوق لأن ذكر القاهر قبله فيه دلالة على الفوقية التي للقاهر مع المقهور وهي فوقية الرتبة</w:t>
      </w:r>
      <w:r>
        <w:rPr>
          <w:rFonts w:hint="cs"/>
          <w:rtl/>
        </w:rPr>
        <w:t>،</w:t>
      </w:r>
      <w:r w:rsidR="009C32A0">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Pr>
          <w:rFonts w:hint="cs"/>
          <w:rtl/>
        </w:rPr>
        <w:t xml:space="preserve">: </w:t>
      </w:r>
      <w:r w:rsidR="009C32A0">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Pr>
          <w:rFonts w:hint="cs"/>
          <w:rtl/>
        </w:rPr>
        <w:t>،</w:t>
      </w:r>
      <w:r w:rsidR="009C32A0">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Pr>
          <w:rFonts w:hint="cs"/>
          <w:rtl/>
        </w:rPr>
        <w:t>،</w:t>
      </w:r>
      <w:r w:rsidR="009C32A0">
        <w:rPr>
          <w:rFonts w:hint="cs"/>
          <w:rtl/>
        </w:rPr>
        <w:t xml:space="preserve"> ومن باب النبذ بالألقاب وصف الحشوية للمنزهين أنهم جهمية ومعطلة أي أنهم لا يثبتون الصفات ويعطلون الباري منها</w:t>
      </w:r>
      <w:r>
        <w:rPr>
          <w:rFonts w:hint="cs"/>
          <w:rtl/>
        </w:rPr>
        <w:t xml:space="preserve">، </w:t>
      </w:r>
      <w:r w:rsidR="009C32A0">
        <w:rPr>
          <w:rFonts w:hint="cs"/>
          <w:rtl/>
        </w:rPr>
        <w:t>وما أنكر أحد من أهل السنة الصفات , وإنما أنكروا تفسيرات الحشوية لتلك الألفاظ وحملها على مقتضى المحسوس</w:t>
      </w:r>
      <w:r>
        <w:rPr>
          <w:rFonts w:hint="cs"/>
          <w:rtl/>
        </w:rPr>
        <w:t>،</w:t>
      </w:r>
      <w:r w:rsidR="009C32A0">
        <w:rPr>
          <w:rFonts w:hint="cs"/>
          <w:rtl/>
        </w:rPr>
        <w:t xml:space="preserve"> قال الكوثري</w:t>
      </w:r>
      <w:r>
        <w:rPr>
          <w:rFonts w:hint="cs"/>
          <w:rtl/>
        </w:rPr>
        <w:t>:</w:t>
      </w:r>
      <w:r w:rsidR="009C32A0">
        <w:rPr>
          <w:rFonts w:hint="cs"/>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Pr>
          <w:rFonts w:hint="cs"/>
          <w:rtl/>
        </w:rPr>
        <w:t>،</w:t>
      </w:r>
      <w:r w:rsidR="009C32A0">
        <w:rPr>
          <w:rFonts w:hint="cs"/>
          <w:rtl/>
        </w:rPr>
        <w:t xml:space="preserve"> وجل الله سبحانه عن أن يكون له مكان يحويه فلا يقال</w:t>
      </w:r>
      <w:r>
        <w:rPr>
          <w:rFonts w:hint="cs"/>
          <w:rtl/>
        </w:rPr>
        <w:t>:</w:t>
      </w:r>
      <w:r w:rsidR="009C32A0">
        <w:rPr>
          <w:rFonts w:hint="cs"/>
          <w:rtl/>
        </w:rPr>
        <w:t xml:space="preserve"> أن السماء ظرف له ولا أن العرش مستقر ذاته ,فأين في كتاب الله مثل ذلك</w:t>
      </w:r>
      <w:r>
        <w:rPr>
          <w:rFonts w:hint="cs"/>
          <w:rtl/>
        </w:rPr>
        <w:t xml:space="preserve">، </w:t>
      </w:r>
      <w:r w:rsidR="009C32A0">
        <w:rPr>
          <w:rFonts w:hint="cs"/>
          <w:rtl/>
        </w:rPr>
        <w:t>وتفسير الاستواء بالاستقرار ,إنما هو قول مقاتل بن سليمان شيخ المجسمة وقول الكلبي الزائغ "</w:t>
      </w:r>
      <w:r>
        <w:rPr>
          <w:rFonts w:hint="cs"/>
          <w:rtl/>
        </w:rPr>
        <w:t>،</w:t>
      </w:r>
      <w:r w:rsidR="009C32A0">
        <w:rPr>
          <w:rFonts w:hint="cs"/>
          <w:rtl/>
        </w:rPr>
        <w:t xml:space="preserve"> </w:t>
      </w:r>
    </w:p>
    <w:p w14:paraId="1DA38D71" w14:textId="7BCE6D60" w:rsidR="009C32A0" w:rsidRDefault="000636C2" w:rsidP="000636C2">
      <w:pPr>
        <w:ind w:left="-58"/>
        <w:rPr>
          <w:b/>
          <w:rtl/>
        </w:rPr>
      </w:pPr>
      <w:r>
        <w:rPr>
          <w:rFonts w:hint="cs"/>
          <w:bCs/>
          <w:rtl/>
        </w:rPr>
        <w:t>(</w:t>
      </w:r>
      <w:r w:rsidR="009C32A0">
        <w:rPr>
          <w:rFonts w:hint="cs"/>
          <w:bCs/>
          <w:rtl/>
        </w:rPr>
        <w:t>7</w:t>
      </w:r>
      <w:r>
        <w:rPr>
          <w:rFonts w:hint="cs"/>
          <w:bCs/>
          <w:rtl/>
        </w:rPr>
        <w:t xml:space="preserve">) </w:t>
      </w:r>
      <w:r w:rsidR="009C32A0">
        <w:rPr>
          <w:rFonts w:hint="cs"/>
          <w:bCs/>
          <w:rtl/>
        </w:rPr>
        <w:t>جهود الأشعرية والماتريدية في القضاء على بدعة الحشو</w:t>
      </w:r>
      <w:r>
        <w:rPr>
          <w:rFonts w:hint="cs"/>
          <w:rtl/>
        </w:rPr>
        <w:t>:</w:t>
      </w:r>
      <w:r w:rsidR="009C32A0">
        <w:rPr>
          <w:rFonts w:hint="cs"/>
          <w:rtl/>
        </w:rPr>
        <w:t xml:space="preserve"> وبفضل الله عز وجل أن أكرم الأمة بالإمامين الجليلين أبي الحسن الأشعري وأبي منصور الماتريدي وتلاميذها وأتباعها من علماء أصول الدين الذين أماتوا بدعة الحشو</w:t>
      </w:r>
      <w:r>
        <w:rPr>
          <w:rFonts w:hint="cs"/>
          <w:rtl/>
        </w:rPr>
        <w:t>،</w:t>
      </w:r>
      <w:r w:rsidR="009C32A0">
        <w:rPr>
          <w:rFonts w:hint="cs"/>
          <w:rtl/>
        </w:rPr>
        <w:t xml:space="preserve"> حتى ظهر في أواخر القرن السابع ابن تيمية بدمشق فتجرد للدعوة إلى </w:t>
      </w:r>
      <w:r w:rsidR="009C32A0">
        <w:rPr>
          <w:rFonts w:hint="cs"/>
          <w:rtl/>
        </w:rPr>
        <w:lastRenderedPageBreak/>
        <w:t>مذهب هؤلاء الحشوية متظاهرا بالجمع بين العقل والنقل على حسب فهمه ,وحاشا العقل الناهض والنقل الصحيح أن يتضافرا في الدفاع عن تخريف السفهاء</w:t>
      </w:r>
      <w:r>
        <w:rPr>
          <w:rFonts w:hint="cs"/>
          <w:rtl/>
        </w:rPr>
        <w:t>،</w:t>
      </w:r>
      <w:r w:rsidR="009C32A0">
        <w:rPr>
          <w:rFonts w:hint="cs"/>
          <w:rtl/>
        </w:rPr>
        <w:t xml:space="preserve"> وزاد ابن تيمية على من سبقه من الحشوية أن زعم أن الآيات والأحاديث التي فيها تلك الألفاظ الموهمة هي من المحكمات لا المتشابهات مخالفا بذلك السابقين واللاحقين بأن ذلك من المتشابه</w:t>
      </w:r>
      <w:r>
        <w:rPr>
          <w:rFonts w:hint="cs"/>
          <w:rtl/>
        </w:rPr>
        <w:t>،</w:t>
      </w:r>
      <w:r w:rsidR="009C32A0">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Pr>
          <w:rFonts w:hint="cs"/>
          <w:rtl/>
        </w:rPr>
        <w:t>،</w:t>
      </w:r>
      <w:r w:rsidR="009C32A0">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Pr>
          <w:rFonts w:hint="cs"/>
          <w:rtl/>
        </w:rPr>
        <w:t>،</w:t>
      </w:r>
      <w:r w:rsidR="009C32A0">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وفروعية مما أوجب محاكمته وسجنه ,وتكرار إعلان توبته ,فلعل من أثنى عليه لم يبلغه ما انتهى إليه أمره في العقائد أوبلغة إعلان توبته وظن أنه قام عليها ,ولم تكن كتبه التي فيها هذه المخالفات متداولة إلا بين أتباعه</w:t>
      </w:r>
      <w:r>
        <w:rPr>
          <w:rFonts w:hint="cs"/>
          <w:rtl/>
        </w:rPr>
        <w:t>،</w:t>
      </w:r>
      <w:r w:rsidR="009C32A0">
        <w:rPr>
          <w:rFonts w:hint="cs"/>
          <w:rtl/>
        </w:rPr>
        <w:t>وكان ابن القيم يساير شيخه ابن تيمية في شواذه كلها حيا وميتا ويقلده</w:t>
      </w:r>
      <w:r>
        <w:rPr>
          <w:rFonts w:hint="cs"/>
          <w:rtl/>
        </w:rPr>
        <w:t>،</w:t>
      </w:r>
      <w:r w:rsidR="009C32A0">
        <w:rPr>
          <w:rFonts w:hint="cs"/>
          <w:rtl/>
        </w:rPr>
        <w:t xml:space="preserve"> ونونيته من أبشع كتبه إغراءً للحشوية ضد أهل السنة</w:t>
      </w:r>
      <w:r>
        <w:rPr>
          <w:rFonts w:hint="cs"/>
          <w:rtl/>
        </w:rPr>
        <w:t>،</w:t>
      </w:r>
      <w:r w:rsidR="009C32A0">
        <w:rPr>
          <w:rFonts w:hint="cs"/>
          <w:rtl/>
        </w:rPr>
        <w:t xml:space="preserve"> وبفضل جهود العلماء الموفقين من الأشعرية والماتريدية في عصرها وبعد عصرها خمدت أنفاس ما أحدثاه وخمد ذكر ما صنفاه إلى أن بدأت في هذا العصر آراءهما الشاذة للظهور من جديد</w:t>
      </w:r>
      <w:r>
        <w:rPr>
          <w:rFonts w:hint="cs"/>
          <w:rtl/>
        </w:rPr>
        <w:t>،</w:t>
      </w:r>
      <w:r w:rsidR="009C32A0">
        <w:rPr>
          <w:rFonts w:hint="cs"/>
          <w:rtl/>
        </w:rPr>
        <w:t xml:space="preserve"> وحاول البعض إلى أن ينفي نسبة التجسيم والتشبيه إلى ابن تيمية وذلك لعدم شيوع كتبه وتداولها</w:t>
      </w:r>
      <w:r>
        <w:rPr>
          <w:rFonts w:hint="cs"/>
          <w:rtl/>
        </w:rPr>
        <w:t>،</w:t>
      </w:r>
      <w:r w:rsidR="009C32A0">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Pr>
          <w:rFonts w:hint="cs"/>
          <w:rtl/>
        </w:rPr>
        <w:t>،</w:t>
      </w:r>
      <w:r w:rsidR="009C32A0">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Pr>
          <w:rFonts w:hint="cs"/>
          <w:rtl/>
        </w:rPr>
        <w:t>،</w:t>
      </w:r>
      <w:r w:rsidR="009C32A0">
        <w:rPr>
          <w:rFonts w:hint="cs"/>
          <w:rtl/>
        </w:rPr>
        <w:t xml:space="preserve"> وممن رد على ابن تيمية تقي الدين الحصني الشافعي المتوفي سنة 829 في كتاب سماه</w:t>
      </w:r>
      <w:r>
        <w:rPr>
          <w:rFonts w:hint="cs"/>
          <w:rtl/>
        </w:rPr>
        <w:t>:</w:t>
      </w:r>
      <w:r w:rsidR="009C32A0">
        <w:rPr>
          <w:rFonts w:hint="cs"/>
          <w:rtl/>
        </w:rPr>
        <w:t xml:space="preserve"> " دفع سبه وتمرد ونسب ذلك إلى الإمام أحمد "</w:t>
      </w:r>
      <w:r>
        <w:rPr>
          <w:rFonts w:hint="cs"/>
          <w:rtl/>
        </w:rPr>
        <w:t>،</w:t>
      </w:r>
      <w:r w:rsidR="009C32A0">
        <w:rPr>
          <w:rFonts w:hint="cs"/>
          <w:rtl/>
        </w:rPr>
        <w:t xml:space="preserve"> وممن رد عليه أيضا فخر الدين القرشي الشافعي في كتابه "نجم المهتدي ورجم المعتدي </w:t>
      </w:r>
      <w:r w:rsidR="009C32A0">
        <w:rPr>
          <w:rFonts w:hint="cs"/>
          <w:rtl/>
        </w:rPr>
        <w:lastRenderedPageBreak/>
        <w:t>" وفيه صيغ من مرات إعلان توبته</w:t>
      </w:r>
      <w:r>
        <w:rPr>
          <w:rFonts w:hint="cs"/>
          <w:rtl/>
        </w:rPr>
        <w:t>،</w:t>
      </w:r>
      <w:r w:rsidR="009C32A0">
        <w:rPr>
          <w:rFonts w:hint="cs"/>
          <w:rtl/>
        </w:rPr>
        <w:t xml:space="preserve"> وللإمام الكوثري عناية بالرد على ابن القيم وشيخه في تعليقه على نونية ابن القيم وغيرها من الكتب</w:t>
      </w:r>
      <w:r>
        <w:rPr>
          <w:rFonts w:hint="cs"/>
          <w:rtl/>
        </w:rPr>
        <w:t>،</w:t>
      </w:r>
      <w:r w:rsidR="009C32A0">
        <w:rPr>
          <w:rFonts w:hint="cs"/>
          <w:rtl/>
        </w:rPr>
        <w:t xml:space="preserve"> وقد نقل من كتاب "التأسيس " لابن تيمية نصوصا تدل على أنه لا يرى مانعا من نسبة الجسم والتركيب إليه تعالى</w:t>
      </w:r>
      <w:r>
        <w:rPr>
          <w:rFonts w:hint="cs"/>
          <w:rtl/>
        </w:rPr>
        <w:t>،</w:t>
      </w:r>
      <w:r w:rsidR="009C32A0">
        <w:rPr>
          <w:rFonts w:hint="cs"/>
          <w:rtl/>
        </w:rPr>
        <w:t xml:space="preserve"> </w:t>
      </w:r>
    </w:p>
    <w:p w14:paraId="2675F9F3" w14:textId="41C99359" w:rsidR="009C32A0" w:rsidRDefault="000636C2" w:rsidP="000636C2">
      <w:pPr>
        <w:rPr>
          <w:rtl/>
          <w:lang w:bidi="ar-KW"/>
        </w:rPr>
      </w:pPr>
      <w:r>
        <w:rPr>
          <w:bCs/>
          <w:rtl/>
        </w:rPr>
        <w:t>(</w:t>
      </w:r>
      <w:r w:rsidR="009C32A0">
        <w:rPr>
          <w:bCs/>
          <w:rtl/>
        </w:rPr>
        <w:t>8</w:t>
      </w:r>
      <w:r>
        <w:rPr>
          <w:bCs/>
          <w:rtl/>
        </w:rPr>
        <w:t xml:space="preserve">) </w:t>
      </w:r>
      <w:r w:rsidR="009C32A0">
        <w:rPr>
          <w:bCs/>
          <w:rtl/>
        </w:rPr>
        <w:t>أمثلة من المتشابهات وردها إلى المحكم</w:t>
      </w:r>
      <w:r>
        <w:rPr>
          <w:rtl/>
        </w:rPr>
        <w:t>:</w:t>
      </w:r>
      <w:r w:rsidR="009C32A0">
        <w:rPr>
          <w:rtl/>
        </w:rPr>
        <w:t xml:space="preserve"> 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Pr>
          <w:rtl/>
        </w:rPr>
        <w:t>،</w:t>
      </w:r>
      <w:r w:rsidR="009C32A0">
        <w:rPr>
          <w:rtl/>
        </w:rPr>
        <w:t xml:space="preserve"> ولابن تيمية رد عليه سماه " التأسيس " لم يطبع</w:t>
      </w:r>
      <w:r>
        <w:rPr>
          <w:rtl/>
        </w:rPr>
        <w:t>،</w:t>
      </w:r>
      <w:r w:rsidR="009C32A0">
        <w:rPr>
          <w:rtl/>
        </w:rPr>
        <w:t xml:space="preserve"> قال الكوثري</w:t>
      </w:r>
      <w:r>
        <w:rPr>
          <w:rtl/>
        </w:rPr>
        <w:t>:</w:t>
      </w:r>
      <w:r w:rsidR="009C32A0">
        <w:rPr>
          <w:rtl/>
        </w:rPr>
        <w:t xml:space="preserve"> " وهو موجود في ظاهرية دمشق ضمن مجلدات "الكواكب الدراري "</w:t>
      </w:r>
      <w:r>
        <w:rPr>
          <w:rtl/>
        </w:rPr>
        <w:t xml:space="preserve">، </w:t>
      </w:r>
      <w:r w:rsidR="009C32A0">
        <w:rPr>
          <w:rtl/>
        </w:rPr>
        <w:t>ونقل منه نماذج تدل على أن ابن تيمية لا يرى بأسا في نسبة الجسمية والجهة والمكان والتركيب إليه تعالى</w:t>
      </w:r>
      <w:r>
        <w:rPr>
          <w:rtl/>
        </w:rPr>
        <w:t>،</w:t>
      </w:r>
      <w:r w:rsidR="009C32A0">
        <w:rPr>
          <w:rtl/>
        </w:rPr>
        <w:t xml:space="preserve"> ومن الكتب النافعة في الرد على المجسمة كتاب "دفع الشبه والتشبيه " لابن الجوزي الحنبلي ينكر فيه على مجسمة الحنابلة</w:t>
      </w:r>
      <w:r>
        <w:rPr>
          <w:rtl/>
        </w:rPr>
        <w:t>،</w:t>
      </w:r>
      <w:r w:rsidR="009C32A0">
        <w:rPr>
          <w:rtl/>
        </w:rPr>
        <w:t xml:space="preserve"> ومن الكتب النافعة أيضا كتاب " قانون التأويل " للإمام الغزالي</w:t>
      </w:r>
      <w:r>
        <w:rPr>
          <w:rtl/>
        </w:rPr>
        <w:t>،</w:t>
      </w:r>
      <w:r w:rsidR="009C32A0">
        <w:rPr>
          <w:rtl/>
        </w:rPr>
        <w:t xml:space="preserve"> ونورد هنا بعض ما ورد من المتشابهة ورده إلى المحكم مأخوذا من أقوال العلماء</w:t>
      </w:r>
      <w:r>
        <w:rPr>
          <w:rtl/>
        </w:rPr>
        <w:t>: [</w:t>
      </w:r>
      <w:r>
        <w:rPr>
          <w:bCs/>
          <w:rtl/>
        </w:rPr>
        <w:t>(</w:t>
      </w:r>
      <w:r w:rsidR="009C32A0">
        <w:rPr>
          <w:bCs/>
          <w:rtl/>
        </w:rPr>
        <w:t>أ</w:t>
      </w:r>
      <w:r>
        <w:rPr>
          <w:bCs/>
          <w:rtl/>
        </w:rPr>
        <w:t xml:space="preserve">) </w:t>
      </w:r>
      <w:r w:rsidR="009C32A0">
        <w:rPr>
          <w:bCs/>
          <w:rtl/>
        </w:rPr>
        <w:t>الرحمن على العرش استوى</w:t>
      </w:r>
      <w:r>
        <w:rPr>
          <w:rtl/>
        </w:rPr>
        <w:t>]:</w:t>
      </w:r>
      <w:r w:rsidR="009C32A0">
        <w:rPr>
          <w:rtl/>
        </w:rPr>
        <w:t xml:space="preserve"> قال العلامة الشيخ سلامة العزامي المتوفي سنة 1376في كتابه "البراهين الساطعة " ما مضمونه</w:t>
      </w:r>
      <w:r>
        <w:rPr>
          <w:rtl/>
        </w:rPr>
        <w:t>:</w:t>
      </w:r>
      <w:r w:rsidR="009C32A0">
        <w:rPr>
          <w:rtl/>
        </w:rPr>
        <w:t xml:space="preserve"> أجاب مالك لما سئل عن الاستواء بقوله</w:t>
      </w:r>
      <w:r>
        <w:rPr>
          <w:rtl/>
        </w:rPr>
        <w:t>:</w:t>
      </w:r>
      <w:r w:rsidR="009C32A0">
        <w:rPr>
          <w:rtl/>
        </w:rPr>
        <w:t xml:space="preserve"> " الاستواء معلوم والكيف غير معقول "</w:t>
      </w:r>
      <w:r>
        <w:rPr>
          <w:rtl/>
        </w:rPr>
        <w:t xml:space="preserve">، </w:t>
      </w:r>
      <w:r w:rsidR="009C32A0">
        <w:rPr>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Pr>
          <w:rtl/>
        </w:rPr>
        <w:t>،</w:t>
      </w:r>
      <w:r w:rsidR="009C32A0">
        <w:rPr>
          <w:rtl/>
        </w:rPr>
        <w:t xml:space="preserve"> وفي قوله</w:t>
      </w:r>
      <w:r>
        <w:rPr>
          <w:rtl/>
        </w:rPr>
        <w:t>:</w:t>
      </w:r>
      <w:r w:rsidR="009C32A0">
        <w:rPr>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Pr>
          <w:rtl/>
        </w:rPr>
        <w:t>،</w:t>
      </w:r>
      <w:r w:rsidR="009C32A0">
        <w:rPr>
          <w:rtl/>
        </w:rPr>
        <w:t xml:space="preserve"> ثم إنه لو قيل</w:t>
      </w:r>
      <w:r>
        <w:rPr>
          <w:rtl/>
        </w:rPr>
        <w:t>:</w:t>
      </w:r>
      <w:r w:rsidR="009C32A0">
        <w:rPr>
          <w:rtl/>
        </w:rPr>
        <w:t xml:space="preserve"> استوى على العرش المملكة ,فمعناه تولى ملكها أو قيل</w:t>
      </w:r>
      <w:r>
        <w:rPr>
          <w:rtl/>
        </w:rPr>
        <w:t xml:space="preserve">: </w:t>
      </w:r>
      <w:r w:rsidR="009C32A0">
        <w:rPr>
          <w:rtl/>
        </w:rPr>
        <w:t>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Pr>
          <w:rtl/>
        </w:rPr>
        <w:t>،</w:t>
      </w:r>
      <w:r w:rsidR="009C32A0">
        <w:rPr>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Pr>
          <w:rtl/>
        </w:rPr>
        <w:t>،</w:t>
      </w:r>
      <w:r w:rsidR="009C32A0">
        <w:rPr>
          <w:rtl/>
        </w:rPr>
        <w:t xml:space="preserve"> فهدم الله تعالى ذلك الاعتقاد بقوله</w:t>
      </w:r>
      <w:r>
        <w:rPr>
          <w:rtl/>
        </w:rPr>
        <w:t>: {</w:t>
      </w:r>
      <w:r w:rsidR="009C32A0">
        <w:rPr>
          <w:rtl/>
        </w:rPr>
        <w:t>إن ربكم الله الذي خلق السموات والأرض في ستة أيام ثم استوى على العرش</w:t>
      </w:r>
      <w:r>
        <w:rPr>
          <w:rtl/>
        </w:rPr>
        <w:t>}</w:t>
      </w:r>
      <w:r w:rsidR="009C32A0">
        <w:rPr>
          <w:rtl/>
        </w:rPr>
        <w:t xml:space="preserve"> فبين بالجملة الأولى أنه الواحد في الخلق ثم بين في الثانية أنه </w:t>
      </w:r>
      <w:r w:rsidR="009C32A0">
        <w:rPr>
          <w:rtl/>
        </w:rPr>
        <w:lastRenderedPageBreak/>
        <w:t>المنفرد بالملك ,ثم أكد ذلك فختم الآية بقوله تعالى</w:t>
      </w:r>
      <w:r>
        <w:rPr>
          <w:rtl/>
        </w:rPr>
        <w:t>:</w:t>
      </w:r>
      <w:r w:rsidR="009C32A0">
        <w:rPr>
          <w:rtl/>
        </w:rPr>
        <w:t xml:space="preserve"> " ألا له الخلق والأمر "</w:t>
      </w:r>
      <w:r>
        <w:rPr>
          <w:rtl/>
        </w:rPr>
        <w:t xml:space="preserve">، </w:t>
      </w:r>
      <w:r w:rsidR="009C32A0">
        <w:rPr>
          <w:rtl/>
        </w:rPr>
        <w:t>والمعنى أن الخلق له لا لسواه وأن الأمر له لا لغيره</w:t>
      </w:r>
      <w:r>
        <w:rPr>
          <w:rtl/>
        </w:rPr>
        <w:t>،</w:t>
      </w:r>
      <w:r w:rsidR="009C32A0">
        <w:rPr>
          <w:rtl/>
        </w:rPr>
        <w:t xml:space="preserve"> والأمر من لوازم الملك فحاصل الكلام أن ربكم هو الخالق لا خالق سواه ,وهو الملك المنفرد بالملك لا ملك سواه</w:t>
      </w:r>
      <w:r>
        <w:rPr>
          <w:rtl/>
        </w:rPr>
        <w:t>،</w:t>
      </w:r>
      <w:r w:rsidR="009C32A0">
        <w:rPr>
          <w:rtl/>
        </w:rPr>
        <w:t xml:space="preserve"> ومن الواضح ان الملك الذي هو التصرف من الملك في الأشياء إنما هو بعد إيجادها على ما شاء لها من أقدار وأشكال وصفات</w:t>
      </w:r>
      <w:r>
        <w:rPr>
          <w:rtl/>
        </w:rPr>
        <w:t>،</w:t>
      </w:r>
      <w:r w:rsidR="009C32A0">
        <w:rPr>
          <w:rtl/>
        </w:rPr>
        <w:t xml:space="preserve"> وترى القرآن في كل المواضع التي ذكر فيها الاستواء على العرض ما ذكره إلا بعد ذكر خلقه للعوالم أو رفعه السموات بغير عمد</w:t>
      </w:r>
      <w:r>
        <w:rPr>
          <w:rtl/>
        </w:rPr>
        <w:t>،</w:t>
      </w:r>
      <w:r w:rsidR="009C32A0">
        <w:rPr>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tl/>
        </w:rPr>
        <w:t>،</w:t>
      </w:r>
      <w:r w:rsidR="009C32A0">
        <w:rPr>
          <w:rtl/>
        </w:rPr>
        <w:t xml:space="preserve"> فمن أين لهم</w:t>
      </w:r>
      <w:r>
        <w:rPr>
          <w:rtl/>
        </w:rPr>
        <w:t xml:space="preserve">: </w:t>
      </w:r>
      <w:r w:rsidR="009C32A0">
        <w:rPr>
          <w:rtl/>
        </w:rPr>
        <w:t>"إن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Pr>
          <w:rtl/>
        </w:rPr>
        <w:t xml:space="preserve">: </w:t>
      </w:r>
      <w:r w:rsidR="009C32A0">
        <w:rPr>
          <w:rtl/>
        </w:rPr>
        <w:t>أن من هو على ظهر الجبل أقرب إلى الله ممن هو في أسفله ,وكيف يمكن أن ينسب ذلك إلى كتاب الله الذي يقول</w:t>
      </w:r>
      <w:r>
        <w:rPr>
          <w:rtl/>
        </w:rPr>
        <w:t>:</w:t>
      </w:r>
      <w:r w:rsidR="009C32A0">
        <w:rPr>
          <w:rtl/>
        </w:rPr>
        <w:t xml:space="preserve"> " واسجد واقترب " والذي يقول رسول الله صلى الله عليه وسلم</w:t>
      </w:r>
      <w:r>
        <w:rPr>
          <w:rtl/>
        </w:rPr>
        <w:t>:</w:t>
      </w:r>
      <w:r w:rsidR="009C32A0">
        <w:rPr>
          <w:rtl/>
        </w:rPr>
        <w:t xml:space="preserve"> " أقرب ما يكون العبد من ربه وهو ساجد " والله تعالى يقول</w:t>
      </w:r>
      <w:r>
        <w:rPr>
          <w:rtl/>
        </w:rPr>
        <w:t>: {</w:t>
      </w:r>
      <w:r w:rsidR="009C32A0">
        <w:rPr>
          <w:rtl/>
        </w:rPr>
        <w:t>ولقد خلقنا الإنسان ونعلم ما توسوس به نفسه ونحن أقرب إليه من حبل الوريد</w:t>
      </w:r>
      <w:r>
        <w:rPr>
          <w:rtl/>
        </w:rPr>
        <w:t>}،</w:t>
      </w:r>
      <w:r w:rsidR="009C32A0">
        <w:rPr>
          <w:rtl/>
        </w:rPr>
        <w:t xml:space="preserve"> ويخاطب الله سبحانه وتعالى الحاضرين عند المحتضر</w:t>
      </w:r>
      <w:r>
        <w:rPr>
          <w:rtl/>
        </w:rPr>
        <w:t>: {</w:t>
      </w:r>
      <w:r w:rsidR="009C32A0">
        <w:rPr>
          <w:rtl/>
        </w:rPr>
        <w:t>ونحن أقرب إليه منكم ولكن لا تبصرون</w:t>
      </w:r>
      <w:r>
        <w:rPr>
          <w:rtl/>
        </w:rPr>
        <w:t>}،</w:t>
      </w:r>
      <w:r w:rsidR="009C32A0">
        <w:rPr>
          <w:rtl/>
        </w:rPr>
        <w:t xml:space="preserve"> فمن اعتقد في الله جهة الفوق أو الاستقرار على العرش أخذا من قوله تعالى</w:t>
      </w:r>
      <w:r>
        <w:rPr>
          <w:rtl/>
        </w:rPr>
        <w:t>: {</w:t>
      </w:r>
      <w:r w:rsidR="009C32A0">
        <w:rPr>
          <w:rtl/>
        </w:rPr>
        <w:t>ثم استوى على العرش</w:t>
      </w:r>
      <w:r>
        <w:rPr>
          <w:rtl/>
        </w:rPr>
        <w:t>}،</w:t>
      </w:r>
      <w:r w:rsidR="009C32A0">
        <w:rPr>
          <w:rtl/>
        </w:rPr>
        <w:t xml:space="preserve"> فقد أتى من قبل قلبه الأعمى وفهمه البليد</w:t>
      </w:r>
      <w:r>
        <w:rPr>
          <w:rtl/>
        </w:rPr>
        <w:t>،</w:t>
      </w:r>
      <w:r w:rsidR="009C32A0">
        <w:rPr>
          <w:rtl/>
        </w:rPr>
        <w:t xml:space="preserve"> وفي المصباح في مادة سوى</w:t>
      </w:r>
      <w:r>
        <w:rPr>
          <w:rtl/>
        </w:rPr>
        <w:t>:</w:t>
      </w:r>
      <w:r w:rsidR="009C32A0">
        <w:rPr>
          <w:rtl/>
        </w:rPr>
        <w:t xml:space="preserve"> " واستوى على سرير الملك كناية عن الملك وإن لم يجلس عليه "</w:t>
      </w:r>
      <w:r>
        <w:rPr>
          <w:rtl/>
        </w:rPr>
        <w:t>،</w:t>
      </w:r>
      <w:r w:rsidR="009C32A0">
        <w:rPr>
          <w:rtl/>
        </w:rPr>
        <w:t xml:space="preserve"> قال</w:t>
      </w:r>
      <w:r>
        <w:rPr>
          <w:rtl/>
        </w:rPr>
        <w:t xml:space="preserve">: </w:t>
      </w:r>
      <w:r w:rsidR="009C32A0">
        <w:rPr>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Pr>
          <w:rtl/>
        </w:rPr>
        <w:t>،</w:t>
      </w:r>
      <w:r w:rsidR="009C32A0">
        <w:rPr>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Pr>
          <w:rtl/>
        </w:rPr>
        <w:t>،</w:t>
      </w:r>
      <w:r w:rsidR="009C32A0">
        <w:rPr>
          <w:rtl/>
        </w:rPr>
        <w:t xml:space="preserve"> مضمون ما في "البراهين الساطعة"</w:t>
      </w:r>
      <w:r>
        <w:rPr>
          <w:rtl/>
        </w:rPr>
        <w:t>،</w:t>
      </w:r>
      <w:r w:rsidR="009C32A0">
        <w:rPr>
          <w:rtl/>
        </w:rPr>
        <w:t xml:space="preserve"> وقال قامع البدعة الشيخ الكوثري في "مقالاته " </w:t>
      </w:r>
      <w:r>
        <w:rPr>
          <w:rtl/>
        </w:rPr>
        <w:t>(</w:t>
      </w:r>
      <w:r w:rsidR="009C32A0">
        <w:rPr>
          <w:rtl/>
        </w:rPr>
        <w:t>ص 292</w:t>
      </w:r>
      <w:r>
        <w:rPr>
          <w:rtl/>
        </w:rPr>
        <w:t xml:space="preserve">): </w:t>
      </w:r>
      <w:r w:rsidR="009C32A0">
        <w:rPr>
          <w:rtl/>
        </w:rPr>
        <w:t>" قوله سبحانه وتعالى في سورة الحديد</w:t>
      </w:r>
      <w:r>
        <w:rPr>
          <w:rtl/>
        </w:rPr>
        <w:t>: {</w:t>
      </w:r>
      <w:r w:rsidR="009C32A0">
        <w:rPr>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tl/>
        </w:rPr>
        <w:t>}،</w:t>
      </w:r>
      <w:r w:rsidR="009C32A0">
        <w:rPr>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 "</w:t>
      </w:r>
      <w:r>
        <w:rPr>
          <w:rtl/>
        </w:rPr>
        <w:t>،</w:t>
      </w:r>
      <w:r w:rsidR="009C32A0">
        <w:rPr>
          <w:rtl/>
        </w:rPr>
        <w:t xml:space="preserve"> </w:t>
      </w:r>
      <w:r>
        <w:rPr>
          <w:rtl/>
        </w:rPr>
        <w:t>[</w:t>
      </w:r>
      <w:r>
        <w:rPr>
          <w:bCs/>
          <w:rtl/>
        </w:rPr>
        <w:t>(</w:t>
      </w:r>
      <w:r w:rsidR="009C32A0">
        <w:rPr>
          <w:bCs/>
          <w:rtl/>
        </w:rPr>
        <w:t>ب</w:t>
      </w:r>
      <w:r>
        <w:rPr>
          <w:bCs/>
          <w:rtl/>
        </w:rPr>
        <w:t xml:space="preserve">) </w:t>
      </w:r>
      <w:r w:rsidR="009C32A0">
        <w:rPr>
          <w:bCs/>
          <w:rtl/>
        </w:rPr>
        <w:t xml:space="preserve">ما </w:t>
      </w:r>
      <w:r w:rsidR="009C32A0">
        <w:rPr>
          <w:bCs/>
          <w:rtl/>
        </w:rPr>
        <w:lastRenderedPageBreak/>
        <w:t>قيل في العلو والفوقية المكانية</w:t>
      </w:r>
      <w:r>
        <w:rPr>
          <w:rtl/>
        </w:rPr>
        <w:t xml:space="preserve">]: </w:t>
      </w:r>
      <w:r w:rsidR="009C32A0">
        <w:rPr>
          <w:rtl/>
        </w:rPr>
        <w:t>علو المكان إنما هو من صفات الحدوث , وأهل السنة لا يعتقدون في الفوق الجهة المقابلة للتحت</w:t>
      </w:r>
      <w:r>
        <w:rPr>
          <w:rtl/>
        </w:rPr>
        <w:t>،</w:t>
      </w:r>
      <w:r w:rsidR="009C32A0">
        <w:rPr>
          <w:rtl/>
        </w:rPr>
        <w:t xml:space="preserve"> </w:t>
      </w:r>
      <w:r>
        <w:rPr>
          <w:rtl/>
        </w:rPr>
        <w:t>(</w:t>
      </w:r>
      <w:r w:rsidR="009C32A0">
        <w:rPr>
          <w:rtl/>
        </w:rPr>
        <w:t>أ</w:t>
      </w:r>
      <w:r>
        <w:rPr>
          <w:rtl/>
        </w:rPr>
        <w:t xml:space="preserve">) </w:t>
      </w:r>
      <w:r w:rsidR="009C32A0">
        <w:rPr>
          <w:rtl/>
        </w:rPr>
        <w:t>قال الطبري</w:t>
      </w:r>
      <w:r>
        <w:rPr>
          <w:rtl/>
        </w:rPr>
        <w:t xml:space="preserve">: </w:t>
      </w:r>
      <w:r w:rsidR="009C32A0">
        <w:rPr>
          <w:rtl/>
        </w:rPr>
        <w:t>زعمت أن تأويل قوله</w:t>
      </w:r>
      <w:r>
        <w:rPr>
          <w:rtl/>
        </w:rPr>
        <w:t>:</w:t>
      </w:r>
      <w:r w:rsidR="009C32A0">
        <w:rPr>
          <w:rtl/>
        </w:rPr>
        <w:t xml:space="preserve"> "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Pr>
          <w:rtl/>
        </w:rPr>
        <w:t xml:space="preserve">: </w:t>
      </w:r>
      <w:r w:rsidR="009C32A0">
        <w:rPr>
          <w:rtl/>
        </w:rPr>
        <w:t>فكذلك فقل علا عليها علو ملك وسلطان لا علو انتقال وزوال</w:t>
      </w:r>
      <w:r>
        <w:rPr>
          <w:rtl/>
        </w:rPr>
        <w:t>،</w:t>
      </w:r>
      <w:r w:rsidR="009C32A0">
        <w:rPr>
          <w:rtl/>
        </w:rPr>
        <w:t xml:space="preserve"> </w:t>
      </w:r>
      <w:r>
        <w:rPr>
          <w:rtl/>
        </w:rPr>
        <w:t>(</w:t>
      </w:r>
      <w:r w:rsidR="009C32A0">
        <w:rPr>
          <w:rtl/>
        </w:rPr>
        <w:t>ب</w:t>
      </w:r>
      <w:r>
        <w:rPr>
          <w:rtl/>
        </w:rPr>
        <w:t>) {</w:t>
      </w:r>
      <w:r w:rsidR="009C32A0">
        <w:rPr>
          <w:rtl/>
        </w:rPr>
        <w:t>وهو العلى</w:t>
      </w:r>
      <w:r>
        <w:rPr>
          <w:rtl/>
        </w:rPr>
        <w:t>}،</w:t>
      </w:r>
      <w:r w:rsidR="009C32A0">
        <w:rPr>
          <w:rtl/>
        </w:rPr>
        <w:t xml:space="preserve"> </w:t>
      </w:r>
      <w:r>
        <w:rPr>
          <w:rtl/>
        </w:rPr>
        <w:t>{</w:t>
      </w:r>
      <w:r w:rsidR="009C32A0">
        <w:rPr>
          <w:rtl/>
        </w:rPr>
        <w:t>إن الله كان عليا كبيرا</w:t>
      </w:r>
      <w:r>
        <w:rPr>
          <w:rtl/>
        </w:rPr>
        <w:t>}،</w:t>
      </w:r>
      <w:r w:rsidR="009C32A0">
        <w:rPr>
          <w:rtl/>
        </w:rPr>
        <w:t xml:space="preserve"> قال الطبري</w:t>
      </w:r>
      <w:r>
        <w:rPr>
          <w:rtl/>
        </w:rPr>
        <w:t xml:space="preserve">: </w:t>
      </w:r>
      <w:r w:rsidR="009C32A0">
        <w:rPr>
          <w:rtl/>
        </w:rPr>
        <w:t>العلي هو ذو العلو والارتفاع على خلقه بقدرته</w:t>
      </w:r>
      <w:r>
        <w:rPr>
          <w:rtl/>
        </w:rPr>
        <w:t>،</w:t>
      </w:r>
      <w:r w:rsidR="009C32A0">
        <w:rPr>
          <w:rtl/>
        </w:rPr>
        <w:t xml:space="preserve"> </w:t>
      </w:r>
      <w:r>
        <w:rPr>
          <w:rtl/>
        </w:rPr>
        <w:t>(</w:t>
      </w:r>
      <w:r w:rsidR="009C32A0">
        <w:rPr>
          <w:rtl/>
        </w:rPr>
        <w:t>ت</w:t>
      </w:r>
      <w:r>
        <w:rPr>
          <w:rtl/>
        </w:rPr>
        <w:t>) {</w:t>
      </w:r>
      <w:r w:rsidR="009C32A0">
        <w:rPr>
          <w:rtl/>
        </w:rPr>
        <w:t>وهو القاهر فوق عباده</w:t>
      </w:r>
      <w:r>
        <w:rPr>
          <w:rtl/>
        </w:rPr>
        <w:t xml:space="preserve">}: </w:t>
      </w:r>
      <w:r w:rsidR="009C32A0">
        <w:rPr>
          <w:rtl/>
        </w:rPr>
        <w:t>توسيط كلمة فوق بين اسم القاهر وبين كلمة عباده تدل على أن المراد فوقية المكانة والعزة وعلو العظمة والكبرياء وهل يظن عاقل من قوله تعالى عن القهر</w:t>
      </w:r>
      <w:r>
        <w:rPr>
          <w:rtl/>
        </w:rPr>
        <w:t>: {</w:t>
      </w:r>
      <w:r w:rsidR="009C32A0">
        <w:rPr>
          <w:rtl/>
        </w:rPr>
        <w:t>وإنما فوقهم قاهرون</w:t>
      </w:r>
      <w:r>
        <w:rPr>
          <w:rtl/>
        </w:rPr>
        <w:t>}</w:t>
      </w:r>
      <w:r w:rsidR="009C32A0">
        <w:rPr>
          <w:rtl/>
        </w:rPr>
        <w:t xml:space="preserve"> إن ذلك يعني الفوقية المكانية</w:t>
      </w:r>
      <w:r>
        <w:rPr>
          <w:rtl/>
        </w:rPr>
        <w:t>،</w:t>
      </w:r>
      <w:r w:rsidR="009C32A0">
        <w:rPr>
          <w:rtl/>
        </w:rPr>
        <w:t xml:space="preserve"> </w:t>
      </w:r>
      <w:r>
        <w:rPr>
          <w:rtl/>
        </w:rPr>
        <w:t>(</w:t>
      </w:r>
      <w:r w:rsidR="009C32A0">
        <w:rPr>
          <w:rtl/>
        </w:rPr>
        <w:t>ث</w:t>
      </w:r>
      <w:r>
        <w:rPr>
          <w:rtl/>
        </w:rPr>
        <w:t xml:space="preserve">) </w:t>
      </w:r>
      <w:r w:rsidR="009C32A0">
        <w:rPr>
          <w:rtl/>
        </w:rPr>
        <w:t>رفع الأيدي إلى السماء في الدعاء</w:t>
      </w:r>
      <w:r>
        <w:rPr>
          <w:rtl/>
        </w:rPr>
        <w:t xml:space="preserve">: </w:t>
      </w:r>
      <w:r w:rsidR="009C32A0">
        <w:rPr>
          <w:rtl/>
        </w:rPr>
        <w:t>ليس في شيء من الدلالة على استقرار وجود ذاته في السماء , وإنما ذلك لمجرد أن السماء قبلة الدعاء ومنزل الأنوار والأمطار والخيرات والبركات</w:t>
      </w:r>
      <w:r>
        <w:rPr>
          <w:rtl/>
        </w:rPr>
        <w:t>،</w:t>
      </w:r>
      <w:r w:rsidR="009C32A0">
        <w:rPr>
          <w:rtl/>
        </w:rPr>
        <w:t xml:space="preserve"> </w:t>
      </w:r>
      <w:r>
        <w:rPr>
          <w:rtl/>
        </w:rPr>
        <w:t>{</w:t>
      </w:r>
      <w:r w:rsidR="009C32A0">
        <w:rPr>
          <w:rtl/>
        </w:rPr>
        <w:t>وفي السماء رزقكم</w:t>
      </w:r>
      <w:r>
        <w:rPr>
          <w:rtl/>
        </w:rPr>
        <w:t>}،</w:t>
      </w:r>
      <w:r w:rsidR="009C32A0">
        <w:rPr>
          <w:rtl/>
        </w:rPr>
        <w:t xml:space="preserve"> وهل يقول عاقل أن الله في الكعبة لأنها قبلة المصلي</w:t>
      </w:r>
      <w:r>
        <w:rPr>
          <w:rtl/>
        </w:rPr>
        <w:t>،</w:t>
      </w:r>
      <w:r w:rsidR="009C32A0">
        <w:rPr>
          <w:rtl/>
        </w:rPr>
        <w:t xml:space="preserve"> </w:t>
      </w:r>
      <w:r>
        <w:rPr>
          <w:rtl/>
        </w:rPr>
        <w:t>(</w:t>
      </w:r>
      <w:r w:rsidR="009C32A0">
        <w:rPr>
          <w:rtl/>
        </w:rPr>
        <w:t>ج</w:t>
      </w:r>
      <w:r>
        <w:rPr>
          <w:rtl/>
        </w:rPr>
        <w:t xml:space="preserve">) </w:t>
      </w:r>
      <w:r w:rsidR="009C32A0">
        <w:rPr>
          <w:rtl/>
        </w:rPr>
        <w:t>لم يكن معراج النبي صلى الله عليه وسلم</w:t>
      </w:r>
      <w:r>
        <w:rPr>
          <w:rtl/>
        </w:rPr>
        <w:t xml:space="preserve"> </w:t>
      </w:r>
      <w:r w:rsidR="009C32A0">
        <w:rPr>
          <w:rtl/>
        </w:rPr>
        <w:t>ليغشي مكان الله سبحانه , بل عرج به كما نص القرآن ليريه من آياته الكبرى</w:t>
      </w:r>
      <w:r>
        <w:rPr>
          <w:rtl/>
        </w:rPr>
        <w:t>،</w:t>
      </w:r>
      <w:r w:rsidR="009C32A0">
        <w:rPr>
          <w:rtl/>
        </w:rPr>
        <w:t xml:space="preserve"> ومقام عيسى بينه حديث المعراج , وليس كما زعم بعض النصارى بأنه رفع إلى السماء وجلس في جنب أبيه</w:t>
      </w:r>
      <w:r>
        <w:rPr>
          <w:rtl/>
        </w:rPr>
        <w:t>،</w:t>
      </w:r>
      <w:r w:rsidR="009C32A0">
        <w:rPr>
          <w:rtl/>
        </w:rPr>
        <w:t xml:space="preserve"> تعالى الله عما يقول المجسمة والنصارى واليهود علوا كبيرا</w:t>
      </w:r>
      <w:r>
        <w:rPr>
          <w:rtl/>
        </w:rPr>
        <w:t>،</w:t>
      </w:r>
      <w:r w:rsidR="009C32A0">
        <w:rPr>
          <w:rtl/>
        </w:rPr>
        <w:t xml:space="preserve"> </w:t>
      </w:r>
      <w:r>
        <w:rPr>
          <w:rtl/>
        </w:rPr>
        <w:t>(</w:t>
      </w:r>
      <w:r w:rsidR="009C32A0">
        <w:rPr>
          <w:rtl/>
        </w:rPr>
        <w:t>ح</w:t>
      </w:r>
      <w:r>
        <w:rPr>
          <w:rtl/>
        </w:rPr>
        <w:t xml:space="preserve">) </w:t>
      </w:r>
      <w:r w:rsidR="009C32A0">
        <w:rPr>
          <w:rtl/>
        </w:rPr>
        <w:t>صعود الأرواح إلى السماء</w:t>
      </w:r>
      <w:r>
        <w:rPr>
          <w:rtl/>
        </w:rPr>
        <w:t xml:space="preserve">: </w:t>
      </w:r>
      <w:r w:rsidR="009C32A0">
        <w:rPr>
          <w:rtl/>
        </w:rPr>
        <w:t>من الذي يراه صالحا لاتخاذه دليلا على إثبات أن مكانه تعالى في السماء</w:t>
      </w:r>
      <w:r>
        <w:rPr>
          <w:rtl/>
        </w:rPr>
        <w:t>،</w:t>
      </w:r>
      <w:r w:rsidR="009C32A0">
        <w:rPr>
          <w:rtl/>
        </w:rPr>
        <w:t xml:space="preserve"> </w:t>
      </w:r>
      <w:r>
        <w:rPr>
          <w:rtl/>
        </w:rPr>
        <w:t>(</w:t>
      </w:r>
      <w:r w:rsidR="009C32A0">
        <w:rPr>
          <w:rtl/>
        </w:rPr>
        <w:t>خ</w:t>
      </w:r>
      <w:r>
        <w:rPr>
          <w:rtl/>
        </w:rPr>
        <w:t>) {</w:t>
      </w:r>
      <w:r w:rsidR="009C32A0">
        <w:rPr>
          <w:rtl/>
        </w:rPr>
        <w:t>إليه يصعد الكلم الطيب</w:t>
      </w:r>
      <w:r>
        <w:rPr>
          <w:rtl/>
        </w:rPr>
        <w:t xml:space="preserve">}: </w:t>
      </w:r>
      <w:r w:rsidR="009C32A0">
        <w:rPr>
          <w:rtl/>
        </w:rPr>
        <w:t>صعود الكلمات والأعمال وهي أعراض هل يعني عند من ذاق مسكة من علم أن مكانه تعالى في السماء إلا أن ذلك مجاز في قبولها</w:t>
      </w:r>
      <w:r>
        <w:rPr>
          <w:rtl/>
        </w:rPr>
        <w:t>،</w:t>
      </w:r>
      <w:r w:rsidR="009C32A0">
        <w:rPr>
          <w:rtl/>
        </w:rPr>
        <w:t xml:space="preserve"> وهل يخفي على لبيب أن ما يكون من الرعية إلى الملك هو رفع إليه ,وما يكون من الملك إلى الرعية فهو نزول ولو كانا في مكان واحد</w:t>
      </w:r>
      <w:r>
        <w:rPr>
          <w:rtl/>
        </w:rPr>
        <w:t>،</w:t>
      </w:r>
      <w:r w:rsidR="009C32A0">
        <w:rPr>
          <w:rtl/>
        </w:rPr>
        <w:t xml:space="preserve"> </w:t>
      </w:r>
      <w:r>
        <w:rPr>
          <w:rtl/>
        </w:rPr>
        <w:t>(</w:t>
      </w:r>
      <w:r w:rsidR="009C32A0">
        <w:rPr>
          <w:rtl/>
        </w:rPr>
        <w:t>د</w:t>
      </w:r>
      <w:r>
        <w:rPr>
          <w:rtl/>
        </w:rPr>
        <w:t xml:space="preserve">) </w:t>
      </w:r>
      <w:r w:rsidR="009C32A0">
        <w:rPr>
          <w:rtl/>
        </w:rPr>
        <w:t>نزول الملائكة من السماء وعروجهم إليها أي دليل فيه على أنه تعالى في السماء</w:t>
      </w:r>
      <w:r>
        <w:rPr>
          <w:rtl/>
        </w:rPr>
        <w:t>،</w:t>
      </w:r>
      <w:r w:rsidR="009C32A0">
        <w:rPr>
          <w:rtl/>
        </w:rPr>
        <w:t xml:space="preserve"> </w:t>
      </w:r>
      <w:r>
        <w:rPr>
          <w:rtl/>
        </w:rPr>
        <w:t>(</w:t>
      </w:r>
      <w:r w:rsidR="009C32A0">
        <w:rPr>
          <w:rtl/>
        </w:rPr>
        <w:t>ذ</w:t>
      </w:r>
      <w:r>
        <w:rPr>
          <w:rtl/>
        </w:rPr>
        <w:t xml:space="preserve">) </w:t>
      </w:r>
      <w:r w:rsidR="009C32A0">
        <w:rPr>
          <w:rtl/>
        </w:rPr>
        <w:t>حديث الجارية وهو أنه صلى الله عليه وسلم</w:t>
      </w:r>
      <w:r>
        <w:rPr>
          <w:rtl/>
        </w:rPr>
        <w:t xml:space="preserve"> </w:t>
      </w:r>
      <w:r w:rsidR="009C32A0">
        <w:rPr>
          <w:rtl/>
        </w:rPr>
        <w:t>أتي بجارية ليتعرف أهي مؤمنة فقال</w:t>
      </w:r>
      <w:r>
        <w:rPr>
          <w:rtl/>
        </w:rPr>
        <w:t xml:space="preserve">: </w:t>
      </w:r>
      <w:r w:rsidR="009C32A0">
        <w:rPr>
          <w:rtl/>
        </w:rPr>
        <w:t>أين الله</w:t>
      </w:r>
      <w:r>
        <w:rPr>
          <w:rtl/>
        </w:rPr>
        <w:t>؟</w:t>
      </w:r>
      <w:r w:rsidR="009C32A0">
        <w:rPr>
          <w:rtl/>
        </w:rPr>
        <w:t xml:space="preserve"> فقالت</w:t>
      </w:r>
      <w:r>
        <w:rPr>
          <w:rtl/>
        </w:rPr>
        <w:t xml:space="preserve">: </w:t>
      </w:r>
      <w:r w:rsidR="009C32A0">
        <w:rPr>
          <w:rtl/>
        </w:rPr>
        <w:t>في السماء</w:t>
      </w:r>
      <w:r>
        <w:rPr>
          <w:rtl/>
        </w:rPr>
        <w:t>،</w:t>
      </w:r>
      <w:r w:rsidR="009C32A0">
        <w:rPr>
          <w:rtl/>
        </w:rPr>
        <w:t xml:space="preserve"> فقال</w:t>
      </w:r>
      <w:r>
        <w:rPr>
          <w:rtl/>
        </w:rPr>
        <w:t xml:space="preserve">: </w:t>
      </w:r>
      <w:r w:rsidR="009C32A0">
        <w:rPr>
          <w:rtl/>
        </w:rPr>
        <w:t>إنها مؤمنة</w:t>
      </w:r>
      <w:r>
        <w:rPr>
          <w:rtl/>
        </w:rPr>
        <w:t>،</w:t>
      </w:r>
      <w:r w:rsidR="009C32A0">
        <w:rPr>
          <w:rtl/>
        </w:rPr>
        <w:t xml:space="preserve"> والحديث مروي عن معاوية بن الحكم وراوية عنه هو عطاء بن يسار ,وقد اختلفت ألفاظه فيه ففي لفظ له</w:t>
      </w:r>
      <w:r>
        <w:rPr>
          <w:rtl/>
        </w:rPr>
        <w:t xml:space="preserve">: </w:t>
      </w:r>
      <w:r w:rsidR="009C32A0">
        <w:rPr>
          <w:rtl/>
        </w:rPr>
        <w:t>"فمد النبي صلى الله عليه وسلم</w:t>
      </w:r>
      <w:r>
        <w:rPr>
          <w:rtl/>
        </w:rPr>
        <w:t xml:space="preserve"> </w:t>
      </w:r>
      <w:r w:rsidR="009C32A0">
        <w:rPr>
          <w:rtl/>
        </w:rPr>
        <w:t>يده إليها وأشار إليها اختلفت ألفاظه فيه ففي لفظ له</w:t>
      </w:r>
      <w:r>
        <w:rPr>
          <w:rtl/>
        </w:rPr>
        <w:t>:</w:t>
      </w:r>
      <w:r w:rsidR="009C32A0">
        <w:rPr>
          <w:rtl/>
        </w:rPr>
        <w:t xml:space="preserve"> "فمد النبي صلى الله عليه وسلم</w:t>
      </w:r>
      <w:r>
        <w:rPr>
          <w:rtl/>
        </w:rPr>
        <w:t xml:space="preserve"> </w:t>
      </w:r>
      <w:r w:rsidR="009C32A0">
        <w:rPr>
          <w:rtl/>
        </w:rPr>
        <w:t>يده إليها وأشار إليها مستفهما</w:t>
      </w:r>
      <w:r>
        <w:rPr>
          <w:rtl/>
        </w:rPr>
        <w:t xml:space="preserve">: </w:t>
      </w:r>
      <w:r w:rsidR="009C32A0">
        <w:rPr>
          <w:rtl/>
        </w:rPr>
        <w:t>من في السماء</w:t>
      </w:r>
      <w:r>
        <w:rPr>
          <w:rtl/>
        </w:rPr>
        <w:t>؟(</w:t>
      </w:r>
      <w:r w:rsidR="009C32A0">
        <w:rPr>
          <w:rtl/>
        </w:rPr>
        <w:t>الحديث</w:t>
      </w:r>
      <w:r>
        <w:rPr>
          <w:rtl/>
        </w:rPr>
        <w:t xml:space="preserve">) </w:t>
      </w:r>
      <w:r w:rsidR="009C32A0">
        <w:rPr>
          <w:rtl/>
        </w:rPr>
        <w:t>فتكون المحادثة بالإشارة على أن اللفظ يكون ضائعا مع الخرساء الصماء</w:t>
      </w:r>
      <w:r>
        <w:rPr>
          <w:rtl/>
        </w:rPr>
        <w:t>،</w:t>
      </w:r>
      <w:r w:rsidR="009C32A0">
        <w:rPr>
          <w:rtl/>
        </w:rPr>
        <w:t xml:space="preserve"> وعلى هذا يكون لفظ أين الله</w:t>
      </w:r>
      <w:r>
        <w:rPr>
          <w:rtl/>
        </w:rPr>
        <w:t>؟</w:t>
      </w:r>
      <w:r w:rsidR="009C32A0">
        <w:rPr>
          <w:rtl/>
        </w:rPr>
        <w:t xml:space="preserve"> لفظ أحد الرواة على حسب فهمه لا لفظ الرسول صلى الله عليه وسلم</w:t>
      </w:r>
      <w:r>
        <w:rPr>
          <w:rtl/>
        </w:rPr>
        <w:t>،</w:t>
      </w:r>
      <w:r w:rsidR="009C32A0">
        <w:rPr>
          <w:rtl/>
        </w:rPr>
        <w:t xml:space="preserve"> والحديث مضطرب سندا ومتنا رغم تصحيح الذهبي وتهويله وراجع طرقه في كتاب "العلو" للذهبي وشروح الموطأ </w:t>
      </w:r>
      <w:r w:rsidR="009C32A0">
        <w:rPr>
          <w:rtl/>
        </w:rPr>
        <w:lastRenderedPageBreak/>
        <w:t>وتوحيد ابن خزيمة حتى تعلم مبلغ الاضطراب فيه سندا ومتنا</w:t>
      </w:r>
      <w:r>
        <w:rPr>
          <w:rtl/>
        </w:rPr>
        <w:t>،</w:t>
      </w:r>
      <w:r w:rsidR="009C32A0">
        <w:rPr>
          <w:rtl/>
        </w:rPr>
        <w:t xml:space="preserve"> وقد روى الإمام مالك هذا الحديث أولا عن طريق هلال بن أسامة باللفظ المشكل ثم أتبع ذلك برواية ابن شهاب بلفظ</w:t>
      </w:r>
      <w:r>
        <w:rPr>
          <w:rtl/>
        </w:rPr>
        <w:t xml:space="preserve"> </w:t>
      </w:r>
      <w:r w:rsidR="009C32A0">
        <w:rPr>
          <w:rtl/>
        </w:rPr>
        <w:t>أن النبي صلى الله عليه وسلم</w:t>
      </w:r>
      <w:r>
        <w:rPr>
          <w:rtl/>
        </w:rPr>
        <w:t xml:space="preserve"> </w:t>
      </w:r>
      <w:r w:rsidR="009C32A0">
        <w:rPr>
          <w:rtl/>
        </w:rPr>
        <w:t>قال لها</w:t>
      </w:r>
      <w:r>
        <w:rPr>
          <w:rtl/>
        </w:rPr>
        <w:t xml:space="preserve">: </w:t>
      </w:r>
      <w:r w:rsidR="009C32A0">
        <w:rPr>
          <w:rtl/>
        </w:rPr>
        <w:t>أتشهدين أن لا إله إلا الله</w:t>
      </w:r>
      <w:r>
        <w:rPr>
          <w:rtl/>
        </w:rPr>
        <w:t xml:space="preserve">، </w:t>
      </w:r>
      <w:r w:rsidR="009C32A0">
        <w:rPr>
          <w:rtl/>
        </w:rPr>
        <w:t>فقالت نعم ,ثم قال أتشهدين أن محمدا رسول الله</w:t>
      </w:r>
      <w:r>
        <w:rPr>
          <w:rtl/>
        </w:rPr>
        <w:t>؟</w:t>
      </w:r>
      <w:r w:rsidR="009C32A0">
        <w:rPr>
          <w:rtl/>
        </w:rPr>
        <w:t xml:space="preserve"> فقالت</w:t>
      </w:r>
      <w:r>
        <w:rPr>
          <w:rtl/>
        </w:rPr>
        <w:t xml:space="preserve">: </w:t>
      </w:r>
      <w:r w:rsidR="009C32A0">
        <w:rPr>
          <w:rtl/>
        </w:rPr>
        <w:t>نعم , فعند ذلك قال لمالكها</w:t>
      </w:r>
      <w:r>
        <w:rPr>
          <w:rtl/>
        </w:rPr>
        <w:t xml:space="preserve">: </w:t>
      </w:r>
      <w:r w:rsidR="009C32A0">
        <w:rPr>
          <w:rtl/>
        </w:rPr>
        <w:t>أعتقها فإنها مؤمنة</w:t>
      </w:r>
      <w:r>
        <w:rPr>
          <w:rtl/>
        </w:rPr>
        <w:t>،</w:t>
      </w:r>
      <w:r w:rsidR="009C32A0">
        <w:rPr>
          <w:rtl/>
        </w:rPr>
        <w:t xml:space="preserve"> وهذه الرواية الأخيرة هو المعروف في حال رسول الله صلى الله عليه وسلم</w:t>
      </w:r>
      <w:r>
        <w:rPr>
          <w:rtl/>
        </w:rPr>
        <w:t xml:space="preserve"> </w:t>
      </w:r>
      <w:r w:rsidR="009C32A0">
        <w:rPr>
          <w:rtl/>
        </w:rPr>
        <w:t>في تلقين الإيمان طول أداء رسالته السؤال بأين أو طلب اعتقاد أن الله في السماء في غير هذه القصة أجدر بأن يكون هو لفظ الرسول صلى الله عليه وسلم</w:t>
      </w:r>
      <w:r>
        <w:rPr>
          <w:rtl/>
        </w:rPr>
        <w:t>،</w:t>
      </w:r>
      <w:r w:rsidR="009C32A0">
        <w:rPr>
          <w:rtl/>
        </w:rPr>
        <w:t xml:space="preserve"> قال ابن الجوزي</w:t>
      </w:r>
      <w:r>
        <w:rPr>
          <w:rtl/>
        </w:rPr>
        <w:t xml:space="preserve">: </w:t>
      </w:r>
      <w:r w:rsidR="009C32A0">
        <w:rPr>
          <w:rtl/>
        </w:rPr>
        <w:t>قد ثبت عند العلماء أن الله لا تحويه السماء ولا الأرض ولا تضمه الأقطار وإنما عرف بإشارتها تعظيم الخالق جلاله عندها</w:t>
      </w:r>
      <w:r>
        <w:rPr>
          <w:rtl/>
        </w:rPr>
        <w:t>،</w:t>
      </w:r>
      <w:r w:rsidR="009C32A0">
        <w:rPr>
          <w:rtl/>
        </w:rPr>
        <w:t xml:space="preserve"> هذا وإن الحديث باللفظ المشكل من رواية أبي رزين ففي سنده حماد بن سلمة وكان ربيباه يدخلان في حديثه ما شاؤوا</w:t>
      </w:r>
      <w:r>
        <w:rPr>
          <w:rtl/>
        </w:rPr>
        <w:t>،</w:t>
      </w:r>
      <w:r w:rsidR="009C32A0">
        <w:rPr>
          <w:rtl/>
        </w:rPr>
        <w:t xml:space="preserve"> ويعلى بن عطاء تفرد عن أبي رزين , ولا شأن للمتفردات والوحدان في إثبات الصفات فضلا عن المجاهيل وعمن به اختلاط</w:t>
      </w:r>
      <w:r>
        <w:rPr>
          <w:rtl/>
        </w:rPr>
        <w:t>،</w:t>
      </w:r>
      <w:r w:rsidR="009C32A0">
        <w:rPr>
          <w:rtl/>
        </w:rPr>
        <w:t xml:space="preserve"> مضمونه من تعليق الكوثري على النونية</w:t>
      </w:r>
      <w:r>
        <w:rPr>
          <w:rtl/>
        </w:rPr>
        <w:t>،</w:t>
      </w:r>
      <w:r w:rsidR="009C32A0">
        <w:rPr>
          <w:rtl/>
        </w:rPr>
        <w:t xml:space="preserve"> </w:t>
      </w:r>
      <w:r>
        <w:rPr>
          <w:rtl/>
        </w:rPr>
        <w:t>[</w:t>
      </w:r>
      <w:r>
        <w:rPr>
          <w:bCs/>
          <w:rtl/>
        </w:rPr>
        <w:t>(</w:t>
      </w:r>
      <w:r w:rsidR="009C32A0">
        <w:rPr>
          <w:bCs/>
          <w:rtl/>
        </w:rPr>
        <w:t>ت</w:t>
      </w:r>
      <w:r>
        <w:rPr>
          <w:bCs/>
          <w:rtl/>
        </w:rPr>
        <w:t xml:space="preserve">) </w:t>
      </w:r>
      <w:r w:rsidR="009C32A0">
        <w:rPr>
          <w:bCs/>
          <w:rtl/>
        </w:rPr>
        <w:t>حديث النزول</w:t>
      </w:r>
      <w:r>
        <w:rPr>
          <w:rtl/>
        </w:rPr>
        <w:t xml:space="preserve">]: </w:t>
      </w:r>
      <w:r w:rsidR="009C32A0">
        <w:rPr>
          <w:rtl/>
        </w:rPr>
        <w:t>حديث نزول الرب إلى سماء الدنيا إذا مضى شطر الليل فيقول</w:t>
      </w:r>
      <w:r>
        <w:rPr>
          <w:rtl/>
        </w:rPr>
        <w:t xml:space="preserve">: </w:t>
      </w:r>
      <w:r w:rsidR="009C32A0">
        <w:rPr>
          <w:rtl/>
        </w:rPr>
        <w:t xml:space="preserve">ألا من سائل فأعطيه </w:t>
      </w:r>
      <w:r>
        <w:rPr>
          <w:rtl/>
        </w:rPr>
        <w:t>(</w:t>
      </w:r>
      <w:r w:rsidR="009C32A0">
        <w:rPr>
          <w:rtl/>
        </w:rPr>
        <w:t>الحديث</w:t>
      </w:r>
      <w:r>
        <w:rPr>
          <w:rtl/>
        </w:rPr>
        <w:t>)،</w:t>
      </w:r>
      <w:r w:rsidR="009C32A0">
        <w:rPr>
          <w:rtl/>
        </w:rPr>
        <w:t xml:space="preserve"> قال مالك</w:t>
      </w:r>
      <w:r>
        <w:rPr>
          <w:rtl/>
        </w:rPr>
        <w:t xml:space="preserve">: </w:t>
      </w:r>
      <w:r w:rsidR="009C32A0">
        <w:rPr>
          <w:rtl/>
        </w:rPr>
        <w:t>هو نزول رحمة لا نزول انتقال</w:t>
      </w:r>
      <w:r>
        <w:rPr>
          <w:rtl/>
        </w:rPr>
        <w:t>،</w:t>
      </w:r>
      <w:r w:rsidR="009C32A0">
        <w:rPr>
          <w:rtl/>
        </w:rPr>
        <w:t xml:space="preserve"> قال الكوثري</w:t>
      </w:r>
      <w:r>
        <w:rPr>
          <w:rtl/>
        </w:rPr>
        <w:t>:</w:t>
      </w:r>
      <w:r w:rsidR="009C32A0">
        <w:rPr>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Pr>
          <w:rtl/>
        </w:rPr>
        <w:t xml:space="preserve">: </w:t>
      </w:r>
      <w:r w:rsidR="009C32A0">
        <w:rPr>
          <w:rtl/>
        </w:rPr>
        <w:t>وقد حمله حماد بن زيد وغيره على الإقبال , فالمراد من النزول في تلك الساعة فتحة لباب الإجابة لعباده ,وقبول الدعاء فيها بالنسبة إلى كل افق</w:t>
      </w:r>
      <w:r>
        <w:rPr>
          <w:rtl/>
        </w:rPr>
        <w:t>،</w:t>
      </w:r>
      <w:r w:rsidR="009C32A0">
        <w:rPr>
          <w:rtl/>
        </w:rPr>
        <w:t xml:space="preserve"> قال</w:t>
      </w:r>
      <w:r>
        <w:rPr>
          <w:rtl/>
        </w:rPr>
        <w:t xml:space="preserve">: </w:t>
      </w:r>
      <w:r w:rsidR="009C32A0">
        <w:rPr>
          <w:rtl/>
        </w:rPr>
        <w:t>وحمله على الانتقال من فوق إلى تحت جهل بما يجوز في الله وما لا يجوز</w:t>
      </w:r>
      <w:r>
        <w:rPr>
          <w:rtl/>
        </w:rPr>
        <w:t>،</w:t>
      </w:r>
      <w:r w:rsidR="009C32A0">
        <w:rPr>
          <w:rtl/>
        </w:rPr>
        <w:t xml:space="preserve"> وقال</w:t>
      </w:r>
      <w:r>
        <w:rPr>
          <w:rtl/>
        </w:rPr>
        <w:t xml:space="preserve">: </w:t>
      </w:r>
      <w:r w:rsidR="009C32A0">
        <w:rPr>
          <w:rtl/>
        </w:rPr>
        <w:t>وفي بعض طرق الحديث ما يعين أنه إسناد مجازي</w:t>
      </w:r>
      <w:r>
        <w:rPr>
          <w:rtl/>
        </w:rPr>
        <w:t>،</w:t>
      </w:r>
      <w:r w:rsidR="009C32A0">
        <w:rPr>
          <w:rtl/>
        </w:rPr>
        <w:t xml:space="preserve"> ففي سنن النسائي</w:t>
      </w:r>
      <w:r>
        <w:rPr>
          <w:rtl/>
        </w:rPr>
        <w:t>:</w:t>
      </w:r>
      <w:r w:rsidR="009C32A0">
        <w:rPr>
          <w:rtl/>
        </w:rPr>
        <w:t xml:space="preserve"> " أن الله يأمر ملكا ينادي أي ذلك النداء</w:t>
      </w:r>
      <w:r>
        <w:rPr>
          <w:rtl/>
        </w:rPr>
        <w:t>؟</w:t>
      </w:r>
      <w:r w:rsidR="009C32A0">
        <w:rPr>
          <w:rtl/>
        </w:rPr>
        <w:t xml:space="preserve"> فيكون من قبيل الإسناد إلى السبب الآمر بذلك "</w:t>
      </w:r>
      <w:r>
        <w:rPr>
          <w:rtl/>
        </w:rPr>
        <w:t>،</w:t>
      </w:r>
      <w:r w:rsidR="009C32A0">
        <w:rPr>
          <w:rtl/>
        </w:rPr>
        <w:t xml:space="preserve"> قال الإمام العزامي</w:t>
      </w:r>
      <w:r>
        <w:rPr>
          <w:rtl/>
        </w:rPr>
        <w:t>:</w:t>
      </w:r>
      <w:r w:rsidR="009C32A0">
        <w:rPr>
          <w:rtl/>
        </w:rPr>
        <w:t xml:space="preserve"> "وإسناد الفعل إلى الآمر به من المجازات الشهيرة في كتاب الله " , قال تعالى</w:t>
      </w:r>
      <w:r>
        <w:rPr>
          <w:rtl/>
        </w:rPr>
        <w:t>:</w:t>
      </w:r>
      <w:r w:rsidR="009C32A0">
        <w:rPr>
          <w:rtl/>
        </w:rPr>
        <w:t xml:space="preserve"> " فإذا قرأناه فاتبع قرءانه " والمباشرة للبطشة هم أهل بدر والله تعالى هو الذي أمر بالقراءة وأمر بالبطش بأعدائه "</w:t>
      </w:r>
      <w:r>
        <w:rPr>
          <w:rtl/>
        </w:rPr>
        <w:t>،</w:t>
      </w:r>
      <w:r w:rsidR="009C32A0">
        <w:rPr>
          <w:rtl/>
        </w:rPr>
        <w:t xml:space="preserve"> </w:t>
      </w:r>
      <w:r>
        <w:rPr>
          <w:rtl/>
        </w:rPr>
        <w:t>[</w:t>
      </w:r>
      <w:r>
        <w:rPr>
          <w:bCs/>
          <w:rtl/>
        </w:rPr>
        <w:t>(</w:t>
      </w:r>
      <w:r w:rsidR="009C32A0">
        <w:rPr>
          <w:bCs/>
          <w:rtl/>
        </w:rPr>
        <w:t>ث</w:t>
      </w:r>
      <w:r>
        <w:rPr>
          <w:bCs/>
          <w:rtl/>
        </w:rPr>
        <w:t xml:space="preserve">) </w:t>
      </w:r>
      <w:r w:rsidR="009C32A0">
        <w:rPr>
          <w:bCs/>
          <w:rtl/>
        </w:rPr>
        <w:t>ما ورد من نصوص في نحو الوجه واليد وغيرهما</w:t>
      </w:r>
      <w:r>
        <w:rPr>
          <w:rtl/>
        </w:rPr>
        <w:t>]:</w:t>
      </w:r>
      <w:r w:rsidR="009C32A0">
        <w:rPr>
          <w:rtl/>
        </w:rPr>
        <w:t xml:space="preserve"> 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Pr>
          <w:rtl/>
        </w:rPr>
        <w:t>: (</w:t>
      </w:r>
      <w:r w:rsidR="009C32A0">
        <w:rPr>
          <w:rtl/>
        </w:rPr>
        <w:t>منهم</w:t>
      </w:r>
      <w:r>
        <w:rPr>
          <w:rtl/>
        </w:rPr>
        <w:t xml:space="preserve">): </w:t>
      </w:r>
      <w:r w:rsidR="009C32A0">
        <w:rPr>
          <w:rtl/>
        </w:rPr>
        <w:t>من حملها على حقائقها اللغوية واعتقد في الله الأجزاء والأعضاء وهم المجسمة</w:t>
      </w:r>
      <w:r>
        <w:rPr>
          <w:rtl/>
        </w:rPr>
        <w:t xml:space="preserve">، </w:t>
      </w:r>
      <w:r w:rsidR="009C32A0">
        <w:rPr>
          <w:rtl/>
        </w:rPr>
        <w:t xml:space="preserve">ومن هؤلاء من يتستر في إعلانه فيسميها صفات ,أو يقول على وجه لا يعقل وعين لا كعين المخلوقين </w:t>
      </w:r>
      <w:r w:rsidR="009C32A0">
        <w:rPr>
          <w:rtl/>
        </w:rPr>
        <w:lastRenderedPageBreak/>
        <w:t>كابن تيمية وابن القيم ومن تبعهما</w:t>
      </w:r>
      <w:r>
        <w:rPr>
          <w:rtl/>
        </w:rPr>
        <w:t xml:space="preserve">، </w:t>
      </w:r>
      <w:r w:rsidR="009C32A0">
        <w:rPr>
          <w:rtl/>
        </w:rPr>
        <w:t>ولكنك إذا قرأت سياق كلامهما وسباقه جزمت بأنهما يريدان الأجزاء والأعضاء كما سبق نقله من كلام ابن تيمية</w:t>
      </w:r>
      <w:r>
        <w:rPr>
          <w:rtl/>
        </w:rPr>
        <w:t>،</w:t>
      </w:r>
      <w:r w:rsidR="009C32A0">
        <w:rPr>
          <w:rtl/>
        </w:rPr>
        <w:t xml:space="preserve"> </w:t>
      </w:r>
      <w:r>
        <w:rPr>
          <w:rtl/>
        </w:rPr>
        <w:t>(</w:t>
      </w:r>
      <w:r w:rsidR="009C32A0">
        <w:rPr>
          <w:rtl/>
        </w:rPr>
        <w:t>ومن العلماء</w:t>
      </w:r>
      <w:r>
        <w:rPr>
          <w:rtl/>
        </w:rPr>
        <w:t xml:space="preserve">) </w:t>
      </w:r>
      <w:r w:rsidR="009C32A0">
        <w:rPr>
          <w:rtl/>
        </w:rPr>
        <w:t>من جزم</w:t>
      </w:r>
      <w:r>
        <w:rPr>
          <w:rtl/>
        </w:rPr>
        <w:t xml:space="preserve">: </w:t>
      </w:r>
      <w:r w:rsidR="009C32A0">
        <w:rPr>
          <w:rtl/>
        </w:rPr>
        <w:t>بأن هذه الألفاظ مصروفة عن حقائقها اللغوية وظواهرها التي اعتقدها المجسمة</w:t>
      </w:r>
      <w:r>
        <w:rPr>
          <w:rtl/>
        </w:rPr>
        <w:t>،</w:t>
      </w:r>
      <w:r w:rsidR="009C32A0">
        <w:rPr>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w:t>
      </w:r>
      <w:r>
        <w:rPr>
          <w:rtl/>
        </w:rPr>
        <w:t>،</w:t>
      </w:r>
      <w:r w:rsidR="009C32A0">
        <w:rPr>
          <w:rtl/>
        </w:rPr>
        <w:t xml:space="preserve"> وهذا هو أغلب أحوال السلف أي التفويض</w:t>
      </w:r>
      <w:r>
        <w:rPr>
          <w:rtl/>
        </w:rPr>
        <w:t>،</w:t>
      </w:r>
      <w:r w:rsidR="009C32A0">
        <w:rPr>
          <w:rtl/>
        </w:rPr>
        <w:t xml:space="preserve"> </w:t>
      </w:r>
      <w:r>
        <w:rPr>
          <w:rtl/>
        </w:rPr>
        <w:t>(</w:t>
      </w:r>
      <w:r w:rsidR="009C32A0">
        <w:rPr>
          <w:rtl/>
        </w:rPr>
        <w:t>ومن العلماء</w:t>
      </w:r>
      <w:r>
        <w:rPr>
          <w:rtl/>
        </w:rPr>
        <w:t xml:space="preserve">) </w:t>
      </w:r>
      <w:r w:rsidR="009C32A0">
        <w:rPr>
          <w:rtl/>
        </w:rPr>
        <w:t>من ألجأته الحاجة</w:t>
      </w:r>
      <w:r>
        <w:rPr>
          <w:rtl/>
        </w:rPr>
        <w:t xml:space="preserve">: </w:t>
      </w:r>
      <w:r w:rsidR="009C32A0">
        <w:rPr>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Pr>
          <w:rtl/>
        </w:rPr>
        <w:t>،</w:t>
      </w:r>
      <w:r w:rsidR="009C32A0">
        <w:rPr>
          <w:rtl/>
        </w:rPr>
        <w:t xml:space="preserve"> يقول العربي</w:t>
      </w:r>
      <w:r>
        <w:rPr>
          <w:rtl/>
        </w:rPr>
        <w:t xml:space="preserve">: </w:t>
      </w:r>
      <w:r w:rsidR="009C32A0">
        <w:rPr>
          <w:rtl/>
        </w:rPr>
        <w:t>غسلت وجهي</w:t>
      </w:r>
      <w:r>
        <w:rPr>
          <w:rtl/>
        </w:rPr>
        <w:t xml:space="preserve"> </w:t>
      </w:r>
      <w:r w:rsidR="009C32A0">
        <w:rPr>
          <w:rtl/>
        </w:rPr>
        <w:t>يريد العضو المخصوص , ويقول قصدت وجهك لتأخذ بيدي , وأعوذ بوجهك من فلان ,ولا يريد بالوجه إلا المخاطب نفسه لا الجزء الخاص</w:t>
      </w:r>
      <w:r>
        <w:rPr>
          <w:rtl/>
        </w:rPr>
        <w:t>،</w:t>
      </w:r>
      <w:r w:rsidR="009C32A0">
        <w:rPr>
          <w:rtl/>
        </w:rPr>
        <w:t xml:space="preserve"> ويقول أيضا</w:t>
      </w:r>
      <w:r>
        <w:rPr>
          <w:rtl/>
        </w:rPr>
        <w:t xml:space="preserve">: </w:t>
      </w:r>
      <w:r w:rsidR="009C32A0">
        <w:rPr>
          <w:rtl/>
        </w:rPr>
        <w:t>غسلت قدمي يريد العضو , ويقول وضعت قدمي على فلان يريد أنه اذله وإن لم يضع عليه قدمه , وهكذا في سائر الألفاظ</w:t>
      </w:r>
      <w:r>
        <w:rPr>
          <w:rtl/>
        </w:rPr>
        <w:t>،</w:t>
      </w:r>
      <w:r w:rsidR="009C32A0">
        <w:rPr>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والمخلوقية</w:t>
      </w:r>
      <w:r>
        <w:rPr>
          <w:rtl/>
        </w:rPr>
        <w:t xml:space="preserve">، </w:t>
      </w:r>
      <w:r w:rsidR="009C32A0">
        <w:rPr>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Pr>
          <w:rtl/>
        </w:rPr>
        <w:t>،</w:t>
      </w:r>
      <w:r w:rsidR="009C32A0">
        <w:rPr>
          <w:rtl/>
        </w:rPr>
        <w:t xml:space="preserve"> - إلى أن قال عند حديثه على صفة اليد -</w:t>
      </w:r>
      <w:r>
        <w:rPr>
          <w:rtl/>
        </w:rPr>
        <w:t xml:space="preserve">: </w:t>
      </w:r>
      <w:r w:rsidR="009C32A0">
        <w:rPr>
          <w:rtl/>
        </w:rPr>
        <w:t>وردت</w:t>
      </w:r>
      <w:r>
        <w:rPr>
          <w:rtl/>
        </w:rPr>
        <w:t xml:space="preserve"> [</w:t>
      </w:r>
      <w:r w:rsidR="009C32A0">
        <w:rPr>
          <w:rtl/>
        </w:rPr>
        <w:t>صفة اليد</w:t>
      </w:r>
      <w:r>
        <w:rPr>
          <w:rtl/>
        </w:rPr>
        <w:t xml:space="preserve">] </w:t>
      </w:r>
      <w:r w:rsidR="009C32A0">
        <w:rPr>
          <w:rtl/>
        </w:rPr>
        <w:t>مفردة أيضا في حديث الشيخين من قوله صلى الله عليه وسلم</w:t>
      </w:r>
      <w:r>
        <w:rPr>
          <w:rtl/>
        </w:rPr>
        <w:t xml:space="preserve"> </w:t>
      </w:r>
      <w:r w:rsidR="009C32A0">
        <w:rPr>
          <w:rtl/>
        </w:rPr>
        <w:t>في حديث الشفاعة</w:t>
      </w:r>
      <w:r>
        <w:rPr>
          <w:rtl/>
        </w:rPr>
        <w:t xml:space="preserve">: </w:t>
      </w:r>
      <w:r w:rsidR="009C32A0">
        <w:rPr>
          <w:rtl/>
        </w:rPr>
        <w:t>(</w:t>
      </w:r>
      <w:r>
        <w:rPr>
          <w:rtl/>
        </w:rPr>
        <w:t>(</w:t>
      </w:r>
      <w:r w:rsidR="009C32A0">
        <w:rPr>
          <w:rtl/>
        </w:rPr>
        <w:t>فيأتون آدم فيقولون يا آدم خلقك الله بيده ولم يثنها</w:t>
      </w:r>
      <w:r>
        <w:rPr>
          <w:rtl/>
        </w:rPr>
        <w:t>)</w:t>
      </w:r>
      <w:r w:rsidR="009C32A0">
        <w:rPr>
          <w:rtl/>
        </w:rPr>
        <w:t>)</w:t>
      </w:r>
      <w:r>
        <w:rPr>
          <w:rtl/>
        </w:rPr>
        <w:t xml:space="preserve"> </w:t>
      </w:r>
      <w:r w:rsidR="009C32A0">
        <w:rPr>
          <w:rtl/>
        </w:rPr>
        <w:t>وكذلك جاءت مفردة في حديث الشيخين</w:t>
      </w:r>
      <w:r>
        <w:rPr>
          <w:rtl/>
        </w:rPr>
        <w:t xml:space="preserve">: </w:t>
      </w:r>
      <w:r w:rsidR="009C32A0">
        <w:rPr>
          <w:rtl/>
        </w:rPr>
        <w:t>(</w:t>
      </w:r>
      <w:r>
        <w:rPr>
          <w:rtl/>
        </w:rPr>
        <w:t>(</w:t>
      </w:r>
      <w:r w:rsidR="009C32A0">
        <w:rPr>
          <w:rtl/>
        </w:rPr>
        <w:t>يد الله ملأى لا يغيضها نفقة سحاء الليل والنهار أرأيتم ما أنفق منذ خلق الله السموات والأرض فإنه لم يغض ما في يده وبيده الأخرى الميزان يخفض ويرفع</w:t>
      </w:r>
      <w:r>
        <w:rPr>
          <w:rtl/>
        </w:rPr>
        <w:t>)</w:t>
      </w:r>
      <w:r w:rsidR="009C32A0">
        <w:rPr>
          <w:rtl/>
        </w:rPr>
        <w:t>)</w:t>
      </w:r>
      <w:r>
        <w:rPr>
          <w:rtl/>
        </w:rPr>
        <w:t>،</w:t>
      </w:r>
      <w:r w:rsidR="009C32A0">
        <w:rPr>
          <w:rtl/>
        </w:rPr>
        <w:t xml:space="preserve"> قال الطيبي</w:t>
      </w:r>
      <w:r>
        <w:rPr>
          <w:rtl/>
        </w:rPr>
        <w:t xml:space="preserve">: </w:t>
      </w:r>
      <w:r w:rsidR="009C32A0">
        <w:rPr>
          <w:rtl/>
        </w:rPr>
        <w:t>وهذا الكلام إذا أخذ بجملته من غير نظر إلى مفرداته أبان زيادة الغني وكمال السعة والنهاية في الجود والبسط في العطاء</w:t>
      </w:r>
      <w:r>
        <w:rPr>
          <w:rtl/>
        </w:rPr>
        <w:t>،</w:t>
      </w:r>
      <w:r w:rsidR="009C32A0">
        <w:rPr>
          <w:rtl/>
        </w:rPr>
        <w:t xml:space="preserve"> وقوله</w:t>
      </w:r>
      <w:r>
        <w:rPr>
          <w:rtl/>
        </w:rPr>
        <w:t xml:space="preserve">: </w:t>
      </w:r>
      <w:r w:rsidR="009C32A0">
        <w:rPr>
          <w:rtl/>
        </w:rPr>
        <w:t>بيده الأخرى أشار إلى أن عادة المخاطبين تعاطي الأشياء باليدين معا فعبر عن قدرته على التصرف بذكر اليدين لتفهيم المعنى المراد بما اعتاده "</w:t>
      </w:r>
      <w:r>
        <w:rPr>
          <w:rtl/>
        </w:rPr>
        <w:t>،</w:t>
      </w:r>
      <w:r w:rsidR="009C32A0">
        <w:rPr>
          <w:rtl/>
        </w:rPr>
        <w:t xml:space="preserve"> وأخرج مسلم عن عبد الله بن عمر أن النبي صلى الله عليه وسلم</w:t>
      </w:r>
      <w:r>
        <w:rPr>
          <w:rtl/>
        </w:rPr>
        <w:t xml:space="preserve"> </w:t>
      </w:r>
      <w:r w:rsidR="009C32A0">
        <w:rPr>
          <w:rtl/>
        </w:rPr>
        <w:t>قال</w:t>
      </w:r>
      <w:r>
        <w:rPr>
          <w:rtl/>
        </w:rPr>
        <w:t xml:space="preserve">: </w:t>
      </w:r>
      <w:r w:rsidR="009C32A0">
        <w:rPr>
          <w:rtl/>
        </w:rPr>
        <w:t>(</w:t>
      </w:r>
      <w:r>
        <w:rPr>
          <w:rtl/>
        </w:rPr>
        <w:t>(</w:t>
      </w:r>
      <w:r w:rsidR="009C32A0">
        <w:rPr>
          <w:rtl/>
        </w:rPr>
        <w:t>يطوي الله السموات يوم القيامة ثم يأخذهن بيده اليمنى ويطوي الأرضين ثم يأخذهن بشمالة</w:t>
      </w:r>
      <w:r>
        <w:rPr>
          <w:rtl/>
        </w:rPr>
        <w:t>)</w:t>
      </w:r>
      <w:r w:rsidR="009C32A0">
        <w:rPr>
          <w:rtl/>
        </w:rPr>
        <w:t>)</w:t>
      </w:r>
      <w:r>
        <w:rPr>
          <w:rtl/>
        </w:rPr>
        <w:t xml:space="preserve"> </w:t>
      </w:r>
      <w:r w:rsidR="009C32A0">
        <w:rPr>
          <w:rtl/>
        </w:rPr>
        <w:t>الحديث</w:t>
      </w:r>
      <w:r>
        <w:rPr>
          <w:rtl/>
        </w:rPr>
        <w:t>،</w:t>
      </w:r>
      <w:r w:rsidR="009C32A0">
        <w:rPr>
          <w:rtl/>
        </w:rPr>
        <w:t xml:space="preserve"> قال المازري في شرح الحديث</w:t>
      </w:r>
      <w:r>
        <w:rPr>
          <w:rtl/>
        </w:rPr>
        <w:t xml:space="preserve">: </w:t>
      </w:r>
      <w:r w:rsidR="009C32A0">
        <w:rPr>
          <w:rtl/>
        </w:rPr>
        <w:t xml:space="preserve">إن إطلاق </w:t>
      </w:r>
      <w:r w:rsidR="009C32A0">
        <w:rPr>
          <w:rtl/>
        </w:rPr>
        <w:lastRenderedPageBreak/>
        <w:t>اليدين لله تعالى مؤولة على القدرة , وكنى عن ذلك باليدين لأن أفعالنا تقع باليدين فخوطبنا بما تفهمه</w:t>
      </w:r>
      <w:r>
        <w:rPr>
          <w:rtl/>
        </w:rPr>
        <w:t xml:space="preserve">، </w:t>
      </w:r>
      <w:r w:rsidR="009C32A0">
        <w:rPr>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Pr>
          <w:rtl/>
        </w:rPr>
        <w:t>،</w:t>
      </w:r>
      <w:r w:rsidR="009C32A0">
        <w:rPr>
          <w:rtl/>
        </w:rPr>
        <w:t xml:space="preserve"> وأكثر الرواة لهذا الحديث لم يأتوا بلفظ الشمال في حقه عز وجل وإنما قالوا وبيده الأخرى</w:t>
      </w:r>
      <w:r>
        <w:rPr>
          <w:rtl/>
        </w:rPr>
        <w:t xml:space="preserve">، </w:t>
      </w:r>
      <w:r w:rsidR="009C32A0">
        <w:rPr>
          <w:rtl/>
        </w:rPr>
        <w:t>ولا إشكال عند التأمل لما عرفت من كلام المازي أن المقصود الاستعارة التمثيلة</w:t>
      </w:r>
      <w:r>
        <w:rPr>
          <w:rtl/>
        </w:rPr>
        <w:t>،</w:t>
      </w:r>
      <w:r w:rsidR="009C32A0">
        <w:rPr>
          <w:rtl/>
        </w:rPr>
        <w:t xml:space="preserve"> وقد ثبت من وجوه صحاح أن النبي صلى الله عليه وسلم</w:t>
      </w:r>
      <w:r>
        <w:rPr>
          <w:rtl/>
        </w:rPr>
        <w:t xml:space="preserve"> </w:t>
      </w:r>
      <w:r w:rsidR="009C32A0">
        <w:rPr>
          <w:rtl/>
        </w:rPr>
        <w:t>قال</w:t>
      </w:r>
      <w:r>
        <w:rPr>
          <w:rtl/>
        </w:rPr>
        <w:t xml:space="preserve">: </w:t>
      </w:r>
      <w:r w:rsidR="009C32A0">
        <w:rPr>
          <w:rtl/>
        </w:rPr>
        <w:t>(</w:t>
      </w:r>
      <w:r>
        <w:rPr>
          <w:rtl/>
        </w:rPr>
        <w:t>(</w:t>
      </w:r>
      <w:r w:rsidR="009C32A0">
        <w:rPr>
          <w:rtl/>
        </w:rPr>
        <w:t>المقسطون يوم القيامة على منابر من نور عن يمين الرحمن وكلتا يديه يمين</w:t>
      </w:r>
      <w:r>
        <w:rPr>
          <w:rtl/>
        </w:rPr>
        <w:t>)</w:t>
      </w:r>
      <w:r w:rsidR="009C32A0">
        <w:rPr>
          <w:rtl/>
        </w:rPr>
        <w:t>)</w:t>
      </w:r>
      <w:r>
        <w:rPr>
          <w:rtl/>
        </w:rPr>
        <w:t>،</w:t>
      </w:r>
      <w:r w:rsidR="009C32A0">
        <w:rPr>
          <w:rtl/>
        </w:rPr>
        <w:t xml:space="preserve"> وهذا ظاهر في أنه لا يقال في حقه تعالى ما يقابل الشمال فلا تكون العضو المتعارف في الناس الله عن ذلك</w:t>
      </w:r>
      <w:r>
        <w:rPr>
          <w:rtl/>
        </w:rPr>
        <w:t>،</w:t>
      </w:r>
      <w:r w:rsidR="009C32A0">
        <w:rPr>
          <w:rtl/>
        </w:rPr>
        <w:t xml:space="preserve"> وجاء لفظ اليمين في الكتاب والسنة بدون ذكر اليد الأخرى</w:t>
      </w:r>
      <w:r>
        <w:rPr>
          <w:rtl/>
        </w:rPr>
        <w:t>،</w:t>
      </w:r>
      <w:r w:rsidR="009C32A0">
        <w:rPr>
          <w:rtl/>
        </w:rPr>
        <w:t xml:space="preserve"> قال تعالى</w:t>
      </w:r>
      <w:r>
        <w:rPr>
          <w:rtl/>
        </w:rPr>
        <w:t>: {</w:t>
      </w:r>
      <w:r w:rsidR="009C32A0">
        <w:rPr>
          <w:rtl/>
        </w:rPr>
        <w:t>ولو تقول علينا بعض الأقاويل لأخذنا منه باليمين * ثم لقطعنا منه الوتين</w:t>
      </w:r>
      <w:r>
        <w:rPr>
          <w:rtl/>
        </w:rPr>
        <w:t>}،</w:t>
      </w:r>
      <w:r w:rsidR="009C32A0">
        <w:rPr>
          <w:rtl/>
        </w:rPr>
        <w:t xml:space="preserve"> إذا حملت اليمين على يمينه عز وجل فقال ابن جرير في تفسيره</w:t>
      </w:r>
      <w:r>
        <w:rPr>
          <w:rtl/>
        </w:rPr>
        <w:t>:</w:t>
      </w:r>
      <w:r w:rsidR="009C32A0">
        <w:rPr>
          <w:rtl/>
        </w:rPr>
        <w:t xml:space="preserve"> " ولو تقول علينا محمد بعض الأقاويل الباطلة وتكذب علينا لأخذنا منه باليمين</w:t>
      </w:r>
      <w:r>
        <w:rPr>
          <w:rtl/>
        </w:rPr>
        <w:t>،</w:t>
      </w:r>
      <w:r w:rsidR="009C32A0">
        <w:rPr>
          <w:rtl/>
        </w:rPr>
        <w:t xml:space="preserve"> يقول</w:t>
      </w:r>
      <w:r>
        <w:rPr>
          <w:rtl/>
        </w:rPr>
        <w:t>:</w:t>
      </w:r>
      <w:r w:rsidR="009C32A0">
        <w:rPr>
          <w:rtl/>
        </w:rPr>
        <w:t xml:space="preserve"> لأخذنا منه بالقوة منا والقدرة ثم لقطعنا منه نياط القلب ,وإنما يعني بذلك أنه كان يعالجه بالعقوبة ولا يؤخره بها "</w:t>
      </w:r>
      <w:r>
        <w:rPr>
          <w:rtl/>
        </w:rPr>
        <w:t>،</w:t>
      </w:r>
      <w:r w:rsidR="009C32A0">
        <w:rPr>
          <w:rtl/>
        </w:rPr>
        <w:t xml:space="preserve"> وأخرج الشيخان عن النبي صلى الله عليه وسلم</w:t>
      </w:r>
      <w:r>
        <w:rPr>
          <w:rtl/>
        </w:rPr>
        <w:t xml:space="preserve"> </w:t>
      </w:r>
      <w:r w:rsidR="009C32A0">
        <w:rPr>
          <w:rtl/>
        </w:rPr>
        <w:t>قال</w:t>
      </w:r>
      <w:r>
        <w:rPr>
          <w:rtl/>
        </w:rPr>
        <w:t xml:space="preserve">: </w:t>
      </w:r>
      <w:r w:rsidR="009C32A0">
        <w:rPr>
          <w:rtl/>
        </w:rPr>
        <w:t>(</w:t>
      </w:r>
      <w:r>
        <w:rPr>
          <w:rtl/>
        </w:rPr>
        <w:t>(</w:t>
      </w:r>
      <w:r w:rsidR="009C32A0">
        <w:rPr>
          <w:rtl/>
        </w:rPr>
        <w:t>من تصدق بعدل تمرة من كسب طيب ولا يصعد إلى الله إلا الطيب فإن الله يتقبلها بيمينه ثم يربيها لصاحبها كما يربي أحدكم فلوه حتى تكون مثل الجبل</w:t>
      </w:r>
      <w:r>
        <w:rPr>
          <w:rtl/>
        </w:rPr>
        <w:t>)</w:t>
      </w:r>
      <w:r w:rsidR="009C32A0">
        <w:rPr>
          <w:rtl/>
        </w:rPr>
        <w:t>)</w:t>
      </w:r>
      <w:r>
        <w:rPr>
          <w:rtl/>
        </w:rPr>
        <w:t>،</w:t>
      </w:r>
      <w:r w:rsidR="009C32A0">
        <w:rPr>
          <w:rtl/>
        </w:rPr>
        <w:t xml:space="preserve"> قال أبو سليمان الخطابي في شرح الحديث</w:t>
      </w:r>
      <w:r>
        <w:rPr>
          <w:rtl/>
        </w:rPr>
        <w:t>:</w:t>
      </w:r>
      <w:r w:rsidR="009C32A0">
        <w:rPr>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Pr>
          <w:rtl/>
        </w:rPr>
        <w:t>،</w:t>
      </w:r>
      <w:r w:rsidR="009C32A0">
        <w:rPr>
          <w:rtl/>
        </w:rPr>
        <w:t xml:space="preserve"> وصح عنه صلى الله عليه وسلم</w:t>
      </w:r>
      <w:r>
        <w:rPr>
          <w:rtl/>
        </w:rPr>
        <w:t xml:space="preserve"> </w:t>
      </w:r>
      <w:r w:rsidR="009C32A0">
        <w:rPr>
          <w:rtl/>
        </w:rPr>
        <w:t>في الذي يتصدق مخلصا من كسب طيب "عن الصدقة تقع في كف الرحمن قبل أن تصل إلى يد المتصدق عليه "</w:t>
      </w:r>
      <w:r>
        <w:rPr>
          <w:rtl/>
        </w:rPr>
        <w:t>،</w:t>
      </w:r>
      <w:r w:rsidR="009C32A0">
        <w:rPr>
          <w:rtl/>
        </w:rPr>
        <w:t xml:space="preserve"> قال أبو بكر بن العربي قوله صلى الله عليه وسلم</w:t>
      </w:r>
      <w:r>
        <w:rPr>
          <w:rtl/>
        </w:rPr>
        <w:t>:</w:t>
      </w:r>
      <w:r w:rsidR="009C32A0">
        <w:rPr>
          <w:rtl/>
        </w:rPr>
        <w:t xml:space="preserve"> (</w:t>
      </w:r>
      <w:r>
        <w:rPr>
          <w:rtl/>
        </w:rPr>
        <w:t>(</w:t>
      </w:r>
      <w:r w:rsidR="009C32A0">
        <w:rPr>
          <w:rtl/>
        </w:rPr>
        <w:t>تقع في كف الرحمن</w:t>
      </w:r>
      <w:r>
        <w:rPr>
          <w:rtl/>
        </w:rPr>
        <w:t>)</w:t>
      </w:r>
      <w:r w:rsidR="009C32A0">
        <w:rPr>
          <w:rtl/>
        </w:rPr>
        <w:t>)</w:t>
      </w:r>
      <w:r>
        <w:rPr>
          <w:rtl/>
        </w:rPr>
        <w:t xml:space="preserve"> </w:t>
      </w:r>
      <w:r w:rsidR="009C32A0">
        <w:rPr>
          <w:rtl/>
        </w:rPr>
        <w:t>كلام صحيح يشهد له القرآن والسنة فإن الله تعالى يقول في كتابه العزيز</w:t>
      </w:r>
      <w:r>
        <w:rPr>
          <w:rtl/>
        </w:rPr>
        <w:t>: {</w:t>
      </w:r>
      <w:r w:rsidR="009C32A0">
        <w:rPr>
          <w:rtl/>
        </w:rPr>
        <w:t>من ذا الذى يقرض الله قرضا حسنا</w:t>
      </w:r>
      <w:r>
        <w:rPr>
          <w:rtl/>
        </w:rPr>
        <w:t>}</w:t>
      </w:r>
      <w:r w:rsidR="009C32A0">
        <w:rPr>
          <w:rtl/>
        </w:rPr>
        <w:t xml:space="preserve"> فعبر عن نفسه الكريمة بالمستقرض فمن دفع للمستقرض شيئا فقد دفع ما دفع في كف المستقرض كما أنه قال</w:t>
      </w:r>
      <w:r>
        <w:rPr>
          <w:rtl/>
        </w:rPr>
        <w:t xml:space="preserve">: </w:t>
      </w:r>
      <w:r w:rsidR="009C32A0">
        <w:rPr>
          <w:rtl/>
        </w:rPr>
        <w:t>(</w:t>
      </w:r>
      <w:r>
        <w:rPr>
          <w:rtl/>
        </w:rPr>
        <w:t>(</w:t>
      </w:r>
      <w:r w:rsidR="009C32A0">
        <w:rPr>
          <w:rtl/>
        </w:rPr>
        <w:t>مرضت فلم تعدني</w:t>
      </w:r>
      <w:r>
        <w:rPr>
          <w:rtl/>
        </w:rPr>
        <w:t>)</w:t>
      </w:r>
      <w:r w:rsidR="009C32A0">
        <w:rPr>
          <w:rtl/>
        </w:rPr>
        <w:t>)</w:t>
      </w:r>
      <w:r>
        <w:rPr>
          <w:rtl/>
        </w:rPr>
        <w:t xml:space="preserve"> </w:t>
      </w:r>
      <w:r w:rsidR="009C32A0">
        <w:rPr>
          <w:rtl/>
        </w:rPr>
        <w:t>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Pr>
          <w:rtl/>
        </w:rPr>
        <w:t>،</w:t>
      </w:r>
      <w:r w:rsidR="009C32A0">
        <w:rPr>
          <w:rtl/>
        </w:rPr>
        <w:t xml:space="preserve"> </w:t>
      </w:r>
      <w:r>
        <w:rPr>
          <w:rtl/>
        </w:rPr>
        <w:t>[</w:t>
      </w:r>
      <w:r>
        <w:rPr>
          <w:bCs/>
          <w:rtl/>
        </w:rPr>
        <w:t>(</w:t>
      </w:r>
      <w:r w:rsidR="009C32A0">
        <w:rPr>
          <w:bCs/>
          <w:rtl/>
        </w:rPr>
        <w:t>ج</w:t>
      </w:r>
      <w:r>
        <w:rPr>
          <w:bCs/>
          <w:rtl/>
        </w:rPr>
        <w:t xml:space="preserve">) </w:t>
      </w:r>
      <w:r w:rsidR="009C32A0">
        <w:rPr>
          <w:bCs/>
          <w:rtl/>
        </w:rPr>
        <w:t>ما ورد في الكيفيات النفسانية</w:t>
      </w:r>
      <w:r>
        <w:rPr>
          <w:rtl/>
        </w:rPr>
        <w:t xml:space="preserve">]: </w:t>
      </w:r>
      <w:r w:rsidR="009C32A0">
        <w:rPr>
          <w:rtl/>
        </w:rPr>
        <w:t>ومن أمثلة ما ورد في ذلك الرحمة والفرح والضحك والتبشبش والتعجب والرضا والغضب والمكر والاستهزاء والكيد وغير ذلك من الكيفيات النفسانية</w:t>
      </w:r>
      <w:r>
        <w:rPr>
          <w:rtl/>
        </w:rPr>
        <w:t xml:space="preserve">، </w:t>
      </w:r>
      <w:r w:rsidR="009C32A0">
        <w:rPr>
          <w:rtl/>
        </w:rPr>
        <w:t xml:space="preserve">فكل ما ورد من ذلك ليس </w:t>
      </w:r>
      <w:r w:rsidR="009C32A0">
        <w:rPr>
          <w:rtl/>
        </w:rPr>
        <w:lastRenderedPageBreak/>
        <w:t>المراد به الانفعالات المتعارفة في الخلق بل المراد غاياتها</w:t>
      </w:r>
      <w:r>
        <w:rPr>
          <w:rtl/>
        </w:rPr>
        <w:t xml:space="preserve">، </w:t>
      </w:r>
      <w:r w:rsidR="009C32A0">
        <w:rPr>
          <w:rtl/>
        </w:rPr>
        <w:t>فجرى التعبير عن إفاضة الجود بالرحمة ,وعن قبول الأعمال بالفرح والضحك والتبشيش والرضا , وعن ردها والعقاب عليها بالغضب , وأما التعجب فإنما هو تنزل للعقول يظهر منه شرف تلك الصفة التي وقع التعجب منها كما في الحديث</w:t>
      </w:r>
      <w:r>
        <w:rPr>
          <w:rtl/>
        </w:rPr>
        <w:t xml:space="preserve">: </w:t>
      </w:r>
      <w:r w:rsidR="009C32A0">
        <w:rPr>
          <w:rtl/>
        </w:rPr>
        <w:t>(</w:t>
      </w:r>
      <w:r>
        <w:rPr>
          <w:rtl/>
        </w:rPr>
        <w:t>(</w:t>
      </w:r>
      <w:r w:rsidR="009C32A0">
        <w:rPr>
          <w:rtl/>
        </w:rPr>
        <w:t>يعجب ربنا من شاب ليس له صبوة أي لا يقع في الزنا</w:t>
      </w:r>
      <w:r>
        <w:rPr>
          <w:rtl/>
        </w:rPr>
        <w:t>)</w:t>
      </w:r>
      <w:r w:rsidR="009C32A0">
        <w:rPr>
          <w:rtl/>
        </w:rPr>
        <w:t>)</w:t>
      </w:r>
      <w:r>
        <w:rPr>
          <w:rtl/>
        </w:rPr>
        <w:t>،</w:t>
      </w:r>
      <w:r w:rsidR="009C32A0">
        <w:rPr>
          <w:rtl/>
        </w:rPr>
        <w:t xml:space="preserve"> وأما المكر والاستهزاء والكيد ,فالمراد أنه تعالى يعاملهم معاملة الماكر المستهزئ والكايد ويجازيهم على ذلك</w:t>
      </w:r>
      <w:r>
        <w:rPr>
          <w:rtl/>
        </w:rPr>
        <w:t>،</w:t>
      </w:r>
      <w:r w:rsidR="009C32A0">
        <w:rPr>
          <w:rtl/>
        </w:rPr>
        <w:t xml:space="preserve"> قال تعالى</w:t>
      </w:r>
      <w:r>
        <w:rPr>
          <w:rtl/>
        </w:rPr>
        <w:t>:</w:t>
      </w:r>
      <w:r w:rsidR="009C32A0">
        <w:rPr>
          <w:rtl/>
        </w:rPr>
        <w:t xml:space="preserve"> " يكيدون كيدا " " وأكيد كيداً"</w:t>
      </w:r>
      <w:r>
        <w:rPr>
          <w:rtl/>
        </w:rPr>
        <w:t>،</w:t>
      </w:r>
      <w:r w:rsidR="009C32A0">
        <w:rPr>
          <w:rtl/>
        </w:rPr>
        <w:t xml:space="preserve"> قال النسفي في تفسيرها</w:t>
      </w:r>
      <w:r>
        <w:rPr>
          <w:rtl/>
        </w:rPr>
        <w:t xml:space="preserve">: </w:t>
      </w:r>
      <w:r w:rsidR="009C32A0">
        <w:rPr>
          <w:rtl/>
        </w:rPr>
        <w:t>يعملون المكايد في إبطال أمر الله وإطفاء نور الحق</w:t>
      </w:r>
      <w:r>
        <w:rPr>
          <w:rtl/>
        </w:rPr>
        <w:t xml:space="preserve">، </w:t>
      </w:r>
      <w:r w:rsidR="009C32A0">
        <w:rPr>
          <w:rtl/>
        </w:rPr>
        <w:t>وأكيد كيدا أي أجازيهم جزاء كيدهم … فسمي جزاء الكيد كيدا كما سمي جزاء الاعتداء والسيئة اعتداء وسيئة وإن لم يكن اعتداء وسيئة</w:t>
      </w:r>
      <w:r>
        <w:rPr>
          <w:rtl/>
        </w:rPr>
        <w:t>،</w:t>
      </w:r>
      <w:r w:rsidR="009C32A0">
        <w:rPr>
          <w:rtl/>
        </w:rPr>
        <w:t xml:space="preserve"> ولا يجوز إطلاق هذا الوصف على الله إلا على وجه الجزاء كقوله تعالى</w:t>
      </w:r>
      <w:r>
        <w:rPr>
          <w:rtl/>
        </w:rPr>
        <w:t>: {</w:t>
      </w:r>
      <w:r w:rsidR="009C32A0">
        <w:rPr>
          <w:rtl/>
        </w:rPr>
        <w:t>نسوا الله فنسيهم</w:t>
      </w:r>
      <w:r>
        <w:rPr>
          <w:rtl/>
        </w:rPr>
        <w:t>}</w:t>
      </w:r>
      <w:r w:rsidR="009C32A0">
        <w:rPr>
          <w:rtl/>
        </w:rPr>
        <w:t xml:space="preserve"> وقوله</w:t>
      </w:r>
      <w:r>
        <w:rPr>
          <w:rtl/>
        </w:rPr>
        <w:t>: {</w:t>
      </w:r>
      <w:r w:rsidR="009C32A0">
        <w:rPr>
          <w:rtl/>
        </w:rPr>
        <w:t>يخادعون الله وهو خادعهم</w:t>
      </w:r>
      <w:r>
        <w:rPr>
          <w:rtl/>
        </w:rPr>
        <w:t>}</w:t>
      </w:r>
      <w:r w:rsidR="009C32A0">
        <w:rPr>
          <w:rtl/>
        </w:rPr>
        <w:t xml:space="preserve"> وقوله</w:t>
      </w:r>
      <w:r>
        <w:rPr>
          <w:rtl/>
        </w:rPr>
        <w:t>: {</w:t>
      </w:r>
      <w:r w:rsidR="009C32A0">
        <w:rPr>
          <w:rtl/>
        </w:rPr>
        <w:t>الله يستهزئ بهم</w:t>
      </w:r>
      <w:r>
        <w:rPr>
          <w:rtl/>
        </w:rPr>
        <w:t>}،</w:t>
      </w:r>
      <w:r w:rsidR="009C32A0">
        <w:rPr>
          <w:rtl/>
        </w:rPr>
        <w:t xml:space="preserve"> وأما النسيان فإن المراد منه أنه لما كان عذاب الكفار لا ينقضي كانوا كالمنسيين عند الله لكون رحمته لا تنالهم</w:t>
      </w:r>
      <w:r>
        <w:rPr>
          <w:rtl/>
        </w:rPr>
        <w:t>،</w:t>
      </w:r>
      <w:r w:rsidR="009C32A0">
        <w:rPr>
          <w:rtl/>
        </w:rPr>
        <w:t xml:space="preserve"> ومجمل القول</w:t>
      </w:r>
      <w:r>
        <w:rPr>
          <w:rtl/>
        </w:rPr>
        <w:t>:</w:t>
      </w:r>
      <w:r w:rsidR="009C32A0">
        <w:rPr>
          <w:rtl/>
        </w:rPr>
        <w:t xml:space="preserve"> أن ما ورد في كتاب الله والسنة الصحيحة هو نعت صحيح لربنا على حد ما يعلمه</w:t>
      </w:r>
      <w:r>
        <w:rPr>
          <w:rtl/>
        </w:rPr>
        <w:t xml:space="preserve"> </w:t>
      </w:r>
      <w:r w:rsidR="009C32A0">
        <w:rPr>
          <w:rtl/>
        </w:rPr>
        <w:t>وعلى حد ما تقبله ذاته وما يليق بها</w:t>
      </w:r>
      <w:r>
        <w:rPr>
          <w:rtl/>
        </w:rPr>
        <w:t>،</w:t>
      </w:r>
      <w:r w:rsidR="009C32A0">
        <w:rPr>
          <w:rtl/>
        </w:rPr>
        <w:t xml:space="preserve"> وما يوهم ظاهره التشبيه ليس هو على بابه وإنما ذلك تنزل لعقول العرب الذي جاء القرآن على لغتهم وذلك مثل قوله تعالى</w:t>
      </w:r>
      <w:r>
        <w:rPr>
          <w:rtl/>
        </w:rPr>
        <w:t>: {</w:t>
      </w:r>
      <w:r w:rsidR="009C32A0">
        <w:rPr>
          <w:rtl/>
        </w:rPr>
        <w:t>ثم دنا فتدلى فكان قاب قوسين أو أدنى</w:t>
      </w:r>
      <w:r>
        <w:rPr>
          <w:rtl/>
        </w:rPr>
        <w:t>}</w:t>
      </w:r>
      <w:r w:rsidR="009C32A0">
        <w:rPr>
          <w:rtl/>
        </w:rPr>
        <w:t xml:space="preserve"> فإن ملوك العرب عندها الكريم المقرب يجلس فيهم على هذا الحد فعقلت العرب بذلك قرب محمد صلى الله عليه وسلم</w:t>
      </w:r>
      <w:r>
        <w:rPr>
          <w:rtl/>
        </w:rPr>
        <w:t xml:space="preserve"> </w:t>
      </w:r>
      <w:r w:rsidR="009C32A0">
        <w:rPr>
          <w:rtl/>
        </w:rPr>
        <w:t>عند ربه</w:t>
      </w:r>
      <w:r>
        <w:rPr>
          <w:rtl/>
        </w:rPr>
        <w:t>،</w:t>
      </w:r>
      <w:r w:rsidR="009C32A0">
        <w:rPr>
          <w:rtl/>
        </w:rPr>
        <w:t xml:space="preserve"> ولا تبالي بما فهمت من ذلك سوى القرب</w:t>
      </w:r>
      <w:r>
        <w:rPr>
          <w:rtl/>
        </w:rPr>
        <w:t>،</w:t>
      </w:r>
      <w:r w:rsidR="009C32A0">
        <w:rPr>
          <w:rtl/>
        </w:rPr>
        <w:t xml:space="preserve"> وكذلك قوله تعالى</w:t>
      </w:r>
      <w:r>
        <w:rPr>
          <w:rtl/>
        </w:rPr>
        <w:t>: {</w:t>
      </w:r>
      <w:r w:rsidR="009C32A0">
        <w:rPr>
          <w:rtl/>
        </w:rPr>
        <w:t>والأرض جميعا قبضته يوم القيامة والسموات مطويات بيمينه</w:t>
      </w:r>
      <w:r>
        <w:rPr>
          <w:rtl/>
        </w:rPr>
        <w:t>}،</w:t>
      </w:r>
      <w:r w:rsidR="009C32A0">
        <w:rPr>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Pr>
          <w:rtl/>
        </w:rPr>
        <w:t>،</w:t>
      </w:r>
      <w:r w:rsidR="009C32A0">
        <w:rPr>
          <w:rtl/>
        </w:rPr>
        <w:t xml:space="preserve"> فكذلك المعنى في الآية يعني أن الوجود كله في قبضته تعالى أي أن العالم كله في قبضة تصريف الحق ,وأما قوله</w:t>
      </w:r>
      <w:r>
        <w:rPr>
          <w:rtl/>
        </w:rPr>
        <w:t>: {</w:t>
      </w:r>
      <w:r w:rsidR="009C32A0">
        <w:rPr>
          <w:rtl/>
        </w:rPr>
        <w:t>بيمينه</w:t>
      </w:r>
      <w:r>
        <w:rPr>
          <w:rtl/>
        </w:rPr>
        <w:t>}</w:t>
      </w:r>
      <w:r w:rsidR="009C32A0">
        <w:rPr>
          <w:rtl/>
        </w:rPr>
        <w:t xml:space="preserve"> فإنما ذكرها لأن اليمين محل التصريف المطلق القوي إذ اليسار لا تقوى في العادة قوة اليمين فكنى باليمين عن التمكن من الطي</w:t>
      </w:r>
      <w:r>
        <w:rPr>
          <w:rtl/>
        </w:rPr>
        <w:t>،</w:t>
      </w:r>
      <w:r w:rsidR="009C32A0">
        <w:rPr>
          <w:rtl/>
        </w:rPr>
        <w:t xml:space="preserve"> وقد تقدم قريبا الكلام على هذه الآية وعلى ما ورد فيها من أحاديث</w:t>
      </w:r>
      <w:r>
        <w:rPr>
          <w:rtl/>
        </w:rPr>
        <w:t>،</w:t>
      </w:r>
      <w:r w:rsidR="009C32A0">
        <w:rPr>
          <w:rtl/>
        </w:rPr>
        <w:t xml:space="preserve"> وكذلك ما جاء في الحديث</w:t>
      </w:r>
      <w:r>
        <w:rPr>
          <w:rtl/>
        </w:rPr>
        <w:t xml:space="preserve">: </w:t>
      </w:r>
      <w:r w:rsidR="009C32A0">
        <w:rPr>
          <w:rtl/>
        </w:rPr>
        <w:t>لما خلق الله الكرسي تدلت إليه القدمان</w:t>
      </w:r>
      <w:r>
        <w:rPr>
          <w:rtl/>
        </w:rPr>
        <w:t>،</w:t>
      </w:r>
      <w:r w:rsidR="009C32A0">
        <w:rPr>
          <w:rtl/>
        </w:rPr>
        <w:t xml:space="preserve"> فإنه لما خصص الاستواء على العرش بالاسم الرحمن , وكان الكرسي هو محل الأوامر والنواهي ,جاء التعبير عنهما بتدلي القدمين من العرش إليه</w:t>
      </w:r>
      <w:r>
        <w:rPr>
          <w:rtl/>
        </w:rPr>
        <w:t>،</w:t>
      </w:r>
      <w:r w:rsidR="009C32A0">
        <w:rPr>
          <w:rtl/>
        </w:rPr>
        <w:t xml:space="preserve"> وكذلك ما جاء في الحديث</w:t>
      </w:r>
      <w:r>
        <w:rPr>
          <w:rtl/>
        </w:rPr>
        <w:t xml:space="preserve">: </w:t>
      </w:r>
      <w:r w:rsidR="009C32A0">
        <w:rPr>
          <w:rtl/>
        </w:rPr>
        <w:t>(</w:t>
      </w:r>
      <w:r>
        <w:rPr>
          <w:rtl/>
        </w:rPr>
        <w:t>(</w:t>
      </w:r>
      <w:r w:rsidR="009C32A0">
        <w:rPr>
          <w:rtl/>
        </w:rPr>
        <w:t>قلب المؤمن بين أصبعين من أصابع الرحمن</w:t>
      </w:r>
      <w:r>
        <w:rPr>
          <w:rtl/>
        </w:rPr>
        <w:t>)</w:t>
      </w:r>
      <w:r w:rsidR="009C32A0">
        <w:rPr>
          <w:rtl/>
        </w:rPr>
        <w:t>)</w:t>
      </w:r>
      <w:r>
        <w:rPr>
          <w:rtl/>
        </w:rPr>
        <w:t xml:space="preserve"> </w:t>
      </w:r>
      <w:r w:rsidR="009C32A0">
        <w:rPr>
          <w:rtl/>
        </w:rPr>
        <w:t>فسروا معناه أنه يراد بذلك النعمة والأثر الحسن , والمراد</w:t>
      </w:r>
      <w:r>
        <w:rPr>
          <w:rtl/>
        </w:rPr>
        <w:t xml:space="preserve">: </w:t>
      </w:r>
      <w:r w:rsidR="009C32A0">
        <w:rPr>
          <w:rtl/>
        </w:rPr>
        <w:t>أن قلب المؤمن بين نعمتين من نعم الرحمن</w:t>
      </w:r>
      <w:r>
        <w:rPr>
          <w:rtl/>
        </w:rPr>
        <w:t xml:space="preserve">: </w:t>
      </w:r>
      <w:r w:rsidR="009C32A0">
        <w:rPr>
          <w:rtl/>
        </w:rPr>
        <w:t>وهما نعمة الإيجاد ونعمة الإمداد</w:t>
      </w:r>
      <w:r>
        <w:rPr>
          <w:rtl/>
        </w:rPr>
        <w:t>،</w:t>
      </w:r>
      <w:r w:rsidR="009C32A0">
        <w:rPr>
          <w:rtl/>
        </w:rPr>
        <w:t xml:space="preserve"> وكذلك ما جاء في الحديث</w:t>
      </w:r>
      <w:r>
        <w:rPr>
          <w:rtl/>
        </w:rPr>
        <w:t xml:space="preserve">: </w:t>
      </w:r>
      <w:r w:rsidR="009C32A0">
        <w:rPr>
          <w:rtl/>
        </w:rPr>
        <w:lastRenderedPageBreak/>
        <w:t>(</w:t>
      </w:r>
      <w:r>
        <w:rPr>
          <w:rtl/>
        </w:rPr>
        <w:t>(</w:t>
      </w:r>
      <w:r w:rsidR="009C32A0">
        <w:rPr>
          <w:rtl/>
        </w:rPr>
        <w:t>إني أجد نفس</w:t>
      </w:r>
      <w:r>
        <w:rPr>
          <w:rtl/>
        </w:rPr>
        <w:t xml:space="preserve"> </w:t>
      </w:r>
      <w:r w:rsidR="009C32A0">
        <w:rPr>
          <w:rtl/>
        </w:rPr>
        <w:t>الرحمن يأتيني من قبل اليمن</w:t>
      </w:r>
      <w:r>
        <w:rPr>
          <w:rtl/>
        </w:rPr>
        <w:t>)</w:t>
      </w:r>
      <w:r w:rsidR="009C32A0">
        <w:rPr>
          <w:rtl/>
        </w:rPr>
        <w:t>)</w:t>
      </w:r>
      <w:r>
        <w:rPr>
          <w:rtl/>
        </w:rPr>
        <w:t>،</w:t>
      </w:r>
      <w:r w:rsidR="009C32A0">
        <w:rPr>
          <w:rtl/>
        </w:rPr>
        <w:t xml:space="preserve"> المراد التنفيس عنه صلى الله عليه وسلم</w:t>
      </w:r>
      <w:r>
        <w:rPr>
          <w:rtl/>
        </w:rPr>
        <w:t xml:space="preserve"> </w:t>
      </w:r>
      <w:r w:rsidR="009C32A0">
        <w:rPr>
          <w:rtl/>
        </w:rPr>
        <w:t>فإن الله نفس عنه بالأنصار وهم من أهل اليمن</w:t>
      </w:r>
      <w:r>
        <w:rPr>
          <w:rtl/>
        </w:rPr>
        <w:t>،</w:t>
      </w:r>
      <w:r w:rsidR="009C32A0">
        <w:rPr>
          <w:rtl/>
        </w:rPr>
        <w:t xml:space="preserve"> أما الله فإنه يتنزه عن النفس إذ هو الغني عما خلق من هواء وغيره</w:t>
      </w:r>
      <w:r>
        <w:rPr>
          <w:rtl/>
        </w:rPr>
        <w:t>،</w:t>
      </w:r>
      <w:r w:rsidR="009C32A0">
        <w:rPr>
          <w:rtl/>
        </w:rPr>
        <w:t xml:space="preserve"> وكذلك ما روى الترمذي وحسنه أن رسول الله صلى الله عليه وسلم</w:t>
      </w:r>
      <w:r>
        <w:rPr>
          <w:rtl/>
        </w:rPr>
        <w:t xml:space="preserve"> </w:t>
      </w:r>
      <w:r w:rsidR="009C32A0">
        <w:rPr>
          <w:rtl/>
        </w:rPr>
        <w:t>أخبر</w:t>
      </w:r>
      <w:r>
        <w:rPr>
          <w:rtl/>
        </w:rPr>
        <w:t xml:space="preserve">: </w:t>
      </w:r>
      <w:r w:rsidR="009C32A0">
        <w:rPr>
          <w:rtl/>
        </w:rPr>
        <w:t>(</w:t>
      </w:r>
      <w:r>
        <w:rPr>
          <w:rtl/>
        </w:rPr>
        <w:t>(</w:t>
      </w:r>
      <w:r w:rsidR="009C32A0">
        <w:rPr>
          <w:rtl/>
        </w:rPr>
        <w:t>أنه نعس حتى استثقل قال</w:t>
      </w:r>
      <w:r>
        <w:rPr>
          <w:rtl/>
        </w:rPr>
        <w:t xml:space="preserve">: </w:t>
      </w:r>
      <w:r w:rsidR="009C32A0">
        <w:rPr>
          <w:rtl/>
        </w:rPr>
        <w:t>فإذا أنا بربي في أحسن صورة فقال</w:t>
      </w:r>
      <w:r>
        <w:rPr>
          <w:rtl/>
        </w:rPr>
        <w:t xml:space="preserve">: </w:t>
      </w:r>
      <w:r w:rsidR="009C32A0">
        <w:rPr>
          <w:rtl/>
        </w:rPr>
        <w:t>يا محمد قلت</w:t>
      </w:r>
      <w:r>
        <w:rPr>
          <w:rtl/>
        </w:rPr>
        <w:t>:</w:t>
      </w:r>
      <w:r w:rsidR="009C32A0">
        <w:rPr>
          <w:rtl/>
        </w:rPr>
        <w:t xml:space="preserve"> لبيك ربي</w:t>
      </w:r>
      <w:r>
        <w:rPr>
          <w:rtl/>
        </w:rPr>
        <w:t xml:space="preserve">، </w:t>
      </w:r>
      <w:r w:rsidR="009C32A0">
        <w:rPr>
          <w:rtl/>
        </w:rPr>
        <w:t>قال</w:t>
      </w:r>
      <w:r>
        <w:rPr>
          <w:rtl/>
        </w:rPr>
        <w:t xml:space="preserve">: </w:t>
      </w:r>
      <w:r w:rsidR="009C32A0">
        <w:rPr>
          <w:rtl/>
        </w:rPr>
        <w:t>فيم يختصم الملأ الأعلى</w:t>
      </w:r>
      <w:r>
        <w:rPr>
          <w:rtl/>
        </w:rPr>
        <w:t>؟</w:t>
      </w:r>
      <w:r w:rsidR="009C32A0">
        <w:rPr>
          <w:rtl/>
        </w:rPr>
        <w:t xml:space="preserve"> قلت</w:t>
      </w:r>
      <w:r>
        <w:rPr>
          <w:rtl/>
        </w:rPr>
        <w:t xml:space="preserve">: </w:t>
      </w:r>
      <w:r w:rsidR="009C32A0">
        <w:rPr>
          <w:rtl/>
        </w:rPr>
        <w:t>لا أدري</w:t>
      </w:r>
      <w:r>
        <w:rPr>
          <w:rtl/>
        </w:rPr>
        <w:t>،</w:t>
      </w:r>
      <w:r w:rsidR="009C32A0">
        <w:rPr>
          <w:rtl/>
        </w:rPr>
        <w:t xml:space="preserve"> قالها ثلاثا قال</w:t>
      </w:r>
      <w:r>
        <w:rPr>
          <w:rtl/>
        </w:rPr>
        <w:t xml:space="preserve">: </w:t>
      </w:r>
      <w:r w:rsidR="009C32A0">
        <w:rPr>
          <w:rtl/>
        </w:rPr>
        <w:t>ورأيته وضع كفه بين كتفي فوجدت برد أنامله بين ثديي فتخيل لي كل شيء</w:t>
      </w:r>
      <w:r>
        <w:rPr>
          <w:rtl/>
        </w:rPr>
        <w:t>)</w:t>
      </w:r>
      <w:r w:rsidR="009C32A0">
        <w:rPr>
          <w:rtl/>
        </w:rPr>
        <w:t>)</w:t>
      </w:r>
      <w:r>
        <w:rPr>
          <w:rtl/>
        </w:rPr>
        <w:t>،</w:t>
      </w:r>
      <w:r w:rsidR="009C32A0">
        <w:rPr>
          <w:rtl/>
        </w:rPr>
        <w:t xml:space="preserve"> وفي لفظ آخر</w:t>
      </w:r>
      <w:r>
        <w:rPr>
          <w:rtl/>
        </w:rPr>
        <w:t xml:space="preserve">: </w:t>
      </w:r>
      <w:r w:rsidR="009C32A0">
        <w:rPr>
          <w:rtl/>
        </w:rPr>
        <w:t>(</w:t>
      </w:r>
      <w:r>
        <w:rPr>
          <w:rtl/>
        </w:rPr>
        <w:t>(</w:t>
      </w:r>
      <w:r w:rsidR="009C32A0">
        <w:rPr>
          <w:rtl/>
        </w:rPr>
        <w:t>فتمثل لي كل شيء وعلمت ما في السموات وما في الأرض , وما بين المشرق والمغرب</w:t>
      </w:r>
      <w:r>
        <w:rPr>
          <w:rtl/>
        </w:rPr>
        <w:t>)</w:t>
      </w:r>
      <w:r w:rsidR="009C32A0">
        <w:rPr>
          <w:rtl/>
        </w:rPr>
        <w:t>)</w:t>
      </w:r>
      <w:r>
        <w:rPr>
          <w:rtl/>
        </w:rPr>
        <w:t>،</w:t>
      </w:r>
      <w:r w:rsidR="009C32A0">
        <w:rPr>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Pr>
          <w:rtl/>
        </w:rPr>
        <w:t xml:space="preserve"> </w:t>
      </w:r>
      <w:r w:rsidR="009C32A0">
        <w:rPr>
          <w:rtl/>
        </w:rPr>
        <w:t>لبرد الأنامل هوما أحس به من سرور بالعطاءات التي وصلت إليه</w:t>
      </w:r>
      <w:r>
        <w:rPr>
          <w:rtl/>
        </w:rPr>
        <w:t>،</w:t>
      </w:r>
      <w:r w:rsidR="009C32A0">
        <w:rPr>
          <w:rtl/>
        </w:rPr>
        <w:t xml:space="preserve"> وذكر الأنامل لأن بها تكون المناولة عادة والصورة مراد بها الصفة أي في احسن صفة</w:t>
      </w:r>
      <w:r>
        <w:rPr>
          <w:rtl/>
        </w:rPr>
        <w:t>،</w:t>
      </w:r>
      <w:r w:rsidR="009C32A0">
        <w:rPr>
          <w:rtl/>
        </w:rPr>
        <w:t xml:space="preserve"> وهكذا يقاس ما لم نذكره على ما ذكرناه وهو سبحانه الملهم الوهاب</w:t>
      </w:r>
      <w:r>
        <w:rPr>
          <w:rtl/>
        </w:rPr>
        <w:t>،</w:t>
      </w:r>
      <w:r w:rsidR="009C32A0">
        <w:rPr>
          <w:rtl/>
        </w:rPr>
        <w:t xml:space="preserve"> </w:t>
      </w:r>
      <w:r>
        <w:rPr>
          <w:rtl/>
        </w:rPr>
        <w:t>[</w:t>
      </w:r>
      <w:r>
        <w:rPr>
          <w:bCs/>
          <w:rtl/>
        </w:rPr>
        <w:t>(</w:t>
      </w:r>
      <w:r w:rsidR="009C32A0">
        <w:rPr>
          <w:bCs/>
          <w:rtl/>
        </w:rPr>
        <w:t>ح</w:t>
      </w:r>
      <w:r>
        <w:rPr>
          <w:bCs/>
          <w:rtl/>
        </w:rPr>
        <w:t xml:space="preserve">) </w:t>
      </w:r>
      <w:r w:rsidR="009C32A0">
        <w:rPr>
          <w:bCs/>
          <w:rtl/>
        </w:rPr>
        <w:t>مقتطفات في رد بدعة التشبيه</w:t>
      </w:r>
      <w:r>
        <w:rPr>
          <w:rtl/>
        </w:rPr>
        <w:t>]:</w:t>
      </w:r>
      <w:r w:rsidR="009C32A0">
        <w:rPr>
          <w:rtl/>
        </w:rPr>
        <w:t xml:space="preserve"> للعلامة المرحوم الشيخ سلامة القضاعي العزامي المتوفي سنة 1376عناية برد بدعة التشبيه</w:t>
      </w:r>
      <w:r>
        <w:rPr>
          <w:rtl/>
        </w:rPr>
        <w:t>،</w:t>
      </w:r>
      <w:r w:rsidR="009C32A0">
        <w:rPr>
          <w:rtl/>
        </w:rPr>
        <w:t xml:space="preserve"> وجل ما قدمناه في ذلك هو تلخيص لما أورده من ذلك في كتابه "البراهين الساطعة في رد بعض البدع الشائعة "إلا نزرا يسيرا</w:t>
      </w:r>
      <w:r>
        <w:rPr>
          <w:rtl/>
        </w:rPr>
        <w:t>،</w:t>
      </w:r>
      <w:r w:rsidR="009C32A0">
        <w:rPr>
          <w:rtl/>
        </w:rPr>
        <w:t xml:space="preserve"> ونختتم البحث في هذا الباب بمقتطفات من كلام عالمين جليلين</w:t>
      </w:r>
      <w:r>
        <w:rPr>
          <w:rtl/>
        </w:rPr>
        <w:t>،</w:t>
      </w:r>
      <w:r w:rsidR="009C32A0">
        <w:rPr>
          <w:rtl/>
        </w:rPr>
        <w:t xml:space="preserve"> </w:t>
      </w:r>
      <w:r>
        <w:rPr>
          <w:rtl/>
        </w:rPr>
        <w:t>(</w:t>
      </w:r>
      <w:r w:rsidR="009C32A0">
        <w:rPr>
          <w:rtl/>
        </w:rPr>
        <w:t>أما أولهما</w:t>
      </w:r>
      <w:r>
        <w:rPr>
          <w:rtl/>
        </w:rPr>
        <w:t xml:space="preserve">): </w:t>
      </w:r>
      <w:r w:rsidR="009C32A0">
        <w:rPr>
          <w:rtl/>
        </w:rPr>
        <w:t xml:space="preserve">فهو المرحوم قامع البدعة في هذا العصر العلامة المحدث الفقيه المتكلم النظار الشيخ محمد زاهد الكوثري المتوفي سنة 13710 </w:t>
      </w:r>
      <w:r>
        <w:rPr>
          <w:rtl/>
        </w:rPr>
        <w:t>(</w:t>
      </w:r>
      <w:r w:rsidR="009C32A0">
        <w:rPr>
          <w:rtl/>
        </w:rPr>
        <w:t>وأما الثاني</w:t>
      </w:r>
      <w:r>
        <w:rPr>
          <w:rtl/>
        </w:rPr>
        <w:t xml:space="preserve">): </w:t>
      </w:r>
      <w:r w:rsidR="009C32A0">
        <w:rPr>
          <w:rtl/>
        </w:rPr>
        <w:t>فهو المرحوم الشيخ يوسف الدجوي أحد أكابر علماء القرن الرابع عشر المتوفي سنة</w:t>
      </w:r>
      <w:r>
        <w:rPr>
          <w:rtl/>
        </w:rPr>
        <w:t xml:space="preserve"> </w:t>
      </w:r>
      <w:r w:rsidR="009C32A0">
        <w:rPr>
          <w:rtl/>
        </w:rPr>
        <w:t>1365</w:t>
      </w:r>
      <w:r>
        <w:rPr>
          <w:rtl/>
        </w:rPr>
        <w:t>،</w:t>
      </w:r>
      <w:r w:rsidR="009C32A0">
        <w:rPr>
          <w:rtl/>
        </w:rPr>
        <w:t xml:space="preserve"> والذي قال تأبينه الإمام الكوثري</w:t>
      </w:r>
      <w:r>
        <w:rPr>
          <w:rtl/>
        </w:rPr>
        <w:t>:</w:t>
      </w:r>
      <w:r w:rsidR="009C32A0">
        <w:rPr>
          <w:rtl/>
        </w:rPr>
        <w:t xml:space="preserve"> " كان هو مفسر الأزهر ومحدثه وفيلسوفه وكاتبه وخطيبه بحق بين اهل طبقته العليا "</w:t>
      </w:r>
      <w:r>
        <w:rPr>
          <w:rtl/>
        </w:rPr>
        <w:t>،</w:t>
      </w:r>
      <w:r w:rsidR="009C32A0">
        <w:rPr>
          <w:rtl/>
        </w:rPr>
        <w:t xml:space="preserve"> وإليك هذه المقتطفات</w:t>
      </w:r>
      <w:r>
        <w:rPr>
          <w:rtl/>
        </w:rPr>
        <w:t xml:space="preserve">: </w:t>
      </w:r>
      <w:r w:rsidR="009C32A0">
        <w:rPr>
          <w:bCs/>
          <w:rtl/>
        </w:rPr>
        <w:t>قال الإمام الدجوي رحمه الله</w:t>
      </w:r>
      <w:r>
        <w:rPr>
          <w:rtl/>
        </w:rPr>
        <w:t xml:space="preserve">: </w:t>
      </w:r>
      <w:r w:rsidR="009C32A0">
        <w:rPr>
          <w:rtl/>
        </w:rPr>
        <w:t>"السلف في آيات الصفات وأحاديثها يفوضون بعد التنزيه , أي ينزهونه عن الجارحة وما لا يليق ولا يعينون بعد ذلك شيئا خاصا من المعاني التنزيهية</w:t>
      </w:r>
      <w:r>
        <w:rPr>
          <w:rtl/>
        </w:rPr>
        <w:t>،</w:t>
      </w:r>
      <w:r w:rsidR="009C32A0">
        <w:rPr>
          <w:rtl/>
        </w:rPr>
        <w:t xml:space="preserve"> والخلف يؤولون خوفا من التشبيه</w:t>
      </w:r>
      <w:r>
        <w:rPr>
          <w:rtl/>
        </w:rPr>
        <w:t>،</w:t>
      </w:r>
      <w:r w:rsidR="009C32A0">
        <w:rPr>
          <w:rtl/>
        </w:rPr>
        <w:t xml:space="preserve"> فالكل أي السلف والخلف متفقون على التنزيه</w:t>
      </w:r>
      <w:r>
        <w:rPr>
          <w:rtl/>
        </w:rPr>
        <w:t>،</w:t>
      </w:r>
      <w:r w:rsidR="009C32A0">
        <w:rPr>
          <w:rtl/>
        </w:rPr>
        <w:t xml:space="preserve"> أما أولئك المتفيهقون الذين يشبهون</w:t>
      </w:r>
      <w:r>
        <w:rPr>
          <w:rtl/>
        </w:rPr>
        <w:t>،</w:t>
      </w:r>
      <w:r w:rsidR="009C32A0">
        <w:rPr>
          <w:rtl/>
        </w:rPr>
        <w:t xml:space="preserve"> فهم مجسمون يبرأ منهم السلف والخلف جميعا فهم كراميون لا سلفيون ولا خلفيون</w:t>
      </w:r>
      <w:r>
        <w:rPr>
          <w:rtl/>
        </w:rPr>
        <w:t>،</w:t>
      </w:r>
      <w:r w:rsidR="009C32A0">
        <w:rPr>
          <w:rtl/>
        </w:rPr>
        <w:t xml:space="preserve"> وليت شعري أيثبت هؤلاء الجاهلون كل ما ورد من تلك الظواهر ,فيثبتون له تعالى يدا بمقتضى قوله تعالى</w:t>
      </w:r>
      <w:r>
        <w:rPr>
          <w:rtl/>
        </w:rPr>
        <w:t>: {</w:t>
      </w:r>
      <w:r w:rsidR="009C32A0">
        <w:rPr>
          <w:rtl/>
        </w:rPr>
        <w:t>يد الله فوق أيديهم</w:t>
      </w:r>
      <w:r>
        <w:rPr>
          <w:rtl/>
        </w:rPr>
        <w:t xml:space="preserve">}، </w:t>
      </w:r>
      <w:r w:rsidR="009C32A0">
        <w:rPr>
          <w:rtl/>
        </w:rPr>
        <w:t>أم يدين بمقتضى قوله صلى الله عليه وسلم</w:t>
      </w:r>
      <w:r>
        <w:rPr>
          <w:rtl/>
        </w:rPr>
        <w:t xml:space="preserve">: </w:t>
      </w:r>
      <w:r w:rsidR="009C32A0">
        <w:rPr>
          <w:rtl/>
        </w:rPr>
        <w:t>(</w:t>
      </w:r>
      <w:r>
        <w:rPr>
          <w:rtl/>
        </w:rPr>
        <w:t>(</w:t>
      </w:r>
      <w:r w:rsidR="009C32A0">
        <w:rPr>
          <w:rtl/>
        </w:rPr>
        <w:t>كلتا يديه يمين</w:t>
      </w:r>
      <w:r>
        <w:rPr>
          <w:rtl/>
        </w:rPr>
        <w:t>)</w:t>
      </w:r>
      <w:r w:rsidR="009C32A0">
        <w:rPr>
          <w:rtl/>
        </w:rPr>
        <w:t>)</w:t>
      </w:r>
      <w:r>
        <w:rPr>
          <w:rtl/>
        </w:rPr>
        <w:t xml:space="preserve"> </w:t>
      </w:r>
      <w:r w:rsidR="009C32A0">
        <w:rPr>
          <w:rtl/>
        </w:rPr>
        <w:t>أم أيادي عديدة بمقتضى قوله تعالى</w:t>
      </w:r>
      <w:r>
        <w:rPr>
          <w:rtl/>
        </w:rPr>
        <w:t>: {</w:t>
      </w:r>
      <w:r w:rsidR="009C32A0">
        <w:rPr>
          <w:rtl/>
        </w:rPr>
        <w:t>أولم يروا أنا خلقنا لهم مما عملت أيدينا أنعاما</w:t>
      </w:r>
      <w:r>
        <w:rPr>
          <w:rtl/>
        </w:rPr>
        <w:t>}،</w:t>
      </w:r>
      <w:r w:rsidR="009C32A0">
        <w:rPr>
          <w:rtl/>
        </w:rPr>
        <w:t xml:space="preserve"> أو عينا بمقتضى قوله تعالى</w:t>
      </w:r>
      <w:r>
        <w:rPr>
          <w:rtl/>
        </w:rPr>
        <w:t>: {</w:t>
      </w:r>
      <w:r w:rsidR="009C32A0">
        <w:rPr>
          <w:rtl/>
        </w:rPr>
        <w:t>ولتصنع على عيني</w:t>
      </w:r>
      <w:r>
        <w:rPr>
          <w:rtl/>
        </w:rPr>
        <w:t>}،</w:t>
      </w:r>
      <w:r w:rsidR="009C32A0">
        <w:rPr>
          <w:rtl/>
        </w:rPr>
        <w:t xml:space="preserve"> أو اعينا بمقتضى قوله تعالى </w:t>
      </w:r>
      <w:r>
        <w:rPr>
          <w:rtl/>
        </w:rPr>
        <w:lastRenderedPageBreak/>
        <w:t>{</w:t>
      </w:r>
      <w:r w:rsidR="009C32A0">
        <w:rPr>
          <w:rtl/>
        </w:rPr>
        <w:t>تجري بأعيننا</w:t>
      </w:r>
      <w:r>
        <w:rPr>
          <w:rtl/>
        </w:rPr>
        <w:t>}،</w:t>
      </w:r>
      <w:r w:rsidR="009C32A0">
        <w:rPr>
          <w:rtl/>
        </w:rPr>
        <w:t xml:space="preserve"> أو يقولون أن الله في السماء بمقتضى قوله تعالى</w:t>
      </w:r>
      <w:r>
        <w:rPr>
          <w:rtl/>
        </w:rPr>
        <w:t>: {</w:t>
      </w:r>
      <w:r w:rsidR="009C32A0">
        <w:rPr>
          <w:rtl/>
        </w:rPr>
        <w:t>ءأمنتم من في السماء</w:t>
      </w:r>
      <w:r>
        <w:rPr>
          <w:rtl/>
        </w:rPr>
        <w:t>}</w:t>
      </w:r>
      <w:r w:rsidR="009C32A0">
        <w:rPr>
          <w:rtl/>
        </w:rPr>
        <w:t xml:space="preserve"> أم على العرش بمقتضى قوله</w:t>
      </w:r>
      <w:r>
        <w:rPr>
          <w:rtl/>
        </w:rPr>
        <w:t>: {</w:t>
      </w:r>
      <w:r w:rsidR="009C32A0">
        <w:rPr>
          <w:rtl/>
        </w:rPr>
        <w:t>الرحمن على العرش استوى</w:t>
      </w:r>
      <w:r>
        <w:rPr>
          <w:rtl/>
        </w:rPr>
        <w:t>}</w:t>
      </w:r>
      <w:r w:rsidR="009C32A0">
        <w:rPr>
          <w:rtl/>
        </w:rPr>
        <w:t xml:space="preserve"> أم في الآفاق بمقتضى قوله</w:t>
      </w:r>
      <w:r>
        <w:rPr>
          <w:rtl/>
        </w:rPr>
        <w:t>: {</w:t>
      </w:r>
      <w:r w:rsidR="009C32A0">
        <w:rPr>
          <w:rtl/>
        </w:rPr>
        <w:t>ولله المشرق والمغرب فأينما تولوا فثم وجه الله</w:t>
      </w:r>
      <w:r>
        <w:rPr>
          <w:rtl/>
        </w:rPr>
        <w:t>}</w:t>
      </w:r>
      <w:r w:rsidR="009C32A0">
        <w:rPr>
          <w:rtl/>
        </w:rPr>
        <w:t xml:space="preserve"> أم في أماكننا بمقتضى قوله</w:t>
      </w:r>
      <w:r>
        <w:rPr>
          <w:rtl/>
        </w:rPr>
        <w:t>: {</w:t>
      </w:r>
      <w:r w:rsidR="009C32A0">
        <w:rPr>
          <w:rtl/>
        </w:rPr>
        <w:t>وهو معكم أين ما كنتم</w:t>
      </w:r>
      <w:r>
        <w:rPr>
          <w:rtl/>
        </w:rPr>
        <w:t>}،</w:t>
      </w:r>
      <w:r w:rsidR="009C32A0">
        <w:rPr>
          <w:rtl/>
        </w:rPr>
        <w:t xml:space="preserve"> أم يثبتون له أصابع بمقتضى الحديث</w:t>
      </w:r>
      <w:r>
        <w:rPr>
          <w:rtl/>
        </w:rPr>
        <w:t xml:space="preserve">: </w:t>
      </w:r>
      <w:r w:rsidR="009C32A0">
        <w:rPr>
          <w:rtl/>
        </w:rPr>
        <w:t>(</w:t>
      </w:r>
      <w:r>
        <w:rPr>
          <w:rtl/>
        </w:rPr>
        <w:t>(</w:t>
      </w:r>
      <w:r w:rsidR="009C32A0">
        <w:rPr>
          <w:rtl/>
        </w:rPr>
        <w:t>قلب المؤمن بين أصبعين من أصابع الرحمن</w:t>
      </w:r>
      <w:r>
        <w:rPr>
          <w:rtl/>
        </w:rPr>
        <w:t>)</w:t>
      </w:r>
      <w:r w:rsidR="009C32A0">
        <w:rPr>
          <w:rtl/>
        </w:rPr>
        <w:t>)</w:t>
      </w:r>
      <w:r>
        <w:rPr>
          <w:rtl/>
        </w:rPr>
        <w:t xml:space="preserve"> </w:t>
      </w:r>
      <w:r w:rsidR="009C32A0">
        <w:rPr>
          <w:rtl/>
        </w:rPr>
        <w:t>, أم يثبتون له يمينا في الأرض من حجر بمقتضى الحديث</w:t>
      </w:r>
      <w:r>
        <w:rPr>
          <w:rtl/>
        </w:rPr>
        <w:t xml:space="preserve">: </w:t>
      </w:r>
      <w:r w:rsidR="009C32A0">
        <w:rPr>
          <w:rtl/>
        </w:rPr>
        <w:t>(</w:t>
      </w:r>
      <w:r>
        <w:rPr>
          <w:rtl/>
        </w:rPr>
        <w:t>(</w:t>
      </w:r>
      <w:r w:rsidR="009C32A0">
        <w:rPr>
          <w:rtl/>
        </w:rPr>
        <w:t>الحجر الأسود يمين الله في أرضه</w:t>
      </w:r>
      <w:r>
        <w:rPr>
          <w:rtl/>
        </w:rPr>
        <w:t>)</w:t>
      </w:r>
      <w:r w:rsidR="009C32A0">
        <w:rPr>
          <w:rtl/>
        </w:rPr>
        <w:t>)</w:t>
      </w:r>
      <w:r>
        <w:rPr>
          <w:rtl/>
        </w:rPr>
        <w:t>،</w:t>
      </w:r>
      <w:r w:rsidR="009C32A0">
        <w:rPr>
          <w:rtl/>
        </w:rPr>
        <w:t xml:space="preserve"> والخلاصة</w:t>
      </w:r>
      <w:r>
        <w:rPr>
          <w:rtl/>
        </w:rPr>
        <w:t xml:space="preserve">: </w:t>
      </w:r>
      <w:r w:rsidR="009C32A0">
        <w:rPr>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Pr>
          <w:rtl/>
        </w:rPr>
        <w:t>،</w:t>
      </w:r>
      <w:r w:rsidR="009C32A0">
        <w:rPr>
          <w:rtl/>
        </w:rPr>
        <w:t xml:space="preserve"> وقال</w:t>
      </w:r>
      <w:r>
        <w:rPr>
          <w:rtl/>
        </w:rPr>
        <w:t>:</w:t>
      </w:r>
      <w:r w:rsidR="009C32A0">
        <w:rPr>
          <w:rtl/>
        </w:rPr>
        <w:t xml:space="preserve"> " مراد مالك في الاستواء من قوله الاستواء معلوم أنه معلوم الثبوت والورود فإنه نطق به القرآن لا أنه معلوم الحقيقة والمعنى "</w:t>
      </w:r>
      <w:r>
        <w:rPr>
          <w:rtl/>
        </w:rPr>
        <w:t>،</w:t>
      </w:r>
      <w:r w:rsidR="009C32A0">
        <w:rPr>
          <w:rtl/>
        </w:rPr>
        <w:t xml:space="preserve"> وقال ما مضمونه</w:t>
      </w:r>
      <w:r>
        <w:rPr>
          <w:rtl/>
        </w:rPr>
        <w:t xml:space="preserve">: </w:t>
      </w:r>
      <w:r w:rsidR="009C32A0">
        <w:rPr>
          <w:rtl/>
        </w:rPr>
        <w:t>قالوا</w:t>
      </w:r>
      <w:r>
        <w:rPr>
          <w:rtl/>
        </w:rPr>
        <w:t>:</w:t>
      </w:r>
      <w:r w:rsidR="009C32A0">
        <w:rPr>
          <w:rtl/>
        </w:rPr>
        <w:t xml:space="preserve"> " لم يثبت عن رسول الله صلى الله عليه وسلم</w:t>
      </w:r>
      <w:r>
        <w:rPr>
          <w:rtl/>
        </w:rPr>
        <w:t xml:space="preserve"> </w:t>
      </w:r>
      <w:r w:rsidR="009C32A0">
        <w:rPr>
          <w:rtl/>
        </w:rPr>
        <w:t>ولا عن أصحابه حرف واحد يفيد صرف هذه الآيات والأحاديث عن ظاهرها</w:t>
      </w:r>
      <w:r>
        <w:rPr>
          <w:rtl/>
        </w:rPr>
        <w:t>،</w:t>
      </w:r>
      <w:r w:rsidR="009C32A0">
        <w:rPr>
          <w:rtl/>
        </w:rPr>
        <w:t xml:space="preserve"> نعم التشبيه غير مراد قطعا "</w:t>
      </w:r>
      <w:r>
        <w:rPr>
          <w:rtl/>
        </w:rPr>
        <w:t>،</w:t>
      </w:r>
      <w:r w:rsidR="009C32A0">
        <w:rPr>
          <w:rtl/>
        </w:rPr>
        <w:t xml:space="preserve"> قلنا</w:t>
      </w:r>
      <w:r>
        <w:rPr>
          <w:rtl/>
        </w:rPr>
        <w:t>:</w:t>
      </w:r>
      <w:r w:rsidR="009C32A0">
        <w:rPr>
          <w:rtl/>
        </w:rPr>
        <w:t xml:space="preserve"> وكذلك لم يرد عنه صلى الله عليه وسلم</w:t>
      </w:r>
      <w:r>
        <w:rPr>
          <w:rtl/>
        </w:rPr>
        <w:t xml:space="preserve"> </w:t>
      </w:r>
      <w:r w:rsidR="009C32A0">
        <w:rPr>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Pr>
          <w:rtl/>
        </w:rPr>
        <w:t>،</w:t>
      </w:r>
      <w:r w:rsidR="009C32A0">
        <w:rPr>
          <w:rtl/>
        </w:rPr>
        <w:t xml:space="preserve"> وقد عرفت أن السلف في آيات الصفات وأحاديثها يفوضون بعد التنزيه وأن الخلف يؤولون خوفا من التشبيه فكلهم متفقون على التنزيه</w:t>
      </w:r>
      <w:r>
        <w:rPr>
          <w:rtl/>
        </w:rPr>
        <w:t>،</w:t>
      </w:r>
      <w:r w:rsidR="009C32A0">
        <w:rPr>
          <w:rtl/>
        </w:rPr>
        <w:t xml:space="preserve"> وربما قالوا</w:t>
      </w:r>
      <w:r>
        <w:rPr>
          <w:rtl/>
        </w:rPr>
        <w:t>:</w:t>
      </w:r>
      <w:r w:rsidR="009C32A0">
        <w:rPr>
          <w:rtl/>
        </w:rPr>
        <w:t xml:space="preserve"> " إن كل ما وصف الله به نفسه من الوجه والعين واليدين والاستواء على العرش ,أو وصفه به رسول الله صلى الله عليه وسلم</w:t>
      </w:r>
      <w:r>
        <w:rPr>
          <w:rtl/>
        </w:rPr>
        <w:t xml:space="preserve"> </w:t>
      </w:r>
      <w:r w:rsidR="009C32A0">
        <w:rPr>
          <w:rtl/>
        </w:rPr>
        <w:t>كنزوله إلى سماء الدنيا كل ليلة ,فهو عندهم حق على حقيقته التي تليق به تعالى من غير تشبيه ولا تكييف</w:t>
      </w:r>
      <w:r>
        <w:rPr>
          <w:rtl/>
        </w:rPr>
        <w:t>،</w:t>
      </w:r>
      <w:r w:rsidR="009C32A0">
        <w:rPr>
          <w:rtl/>
        </w:rPr>
        <w:t xml:space="preserve"> قلنا</w:t>
      </w:r>
      <w:r>
        <w:rPr>
          <w:rtl/>
        </w:rPr>
        <w:t>:</w:t>
      </w:r>
      <w:r w:rsidR="009C32A0">
        <w:rPr>
          <w:rtl/>
        </w:rPr>
        <w:t xml:space="preserve"> ما معنى كون النزول حقا وعلى حقيقته</w:t>
      </w:r>
      <w:r>
        <w:rPr>
          <w:rtl/>
        </w:rPr>
        <w:t>؟</w:t>
      </w:r>
      <w:r w:rsidR="009C32A0">
        <w:rPr>
          <w:rtl/>
        </w:rPr>
        <w:t xml:space="preserve"> هل هناك حقيقة للنزول غير الهبوط من أعلى إلى أسفل</w:t>
      </w:r>
      <w:r>
        <w:rPr>
          <w:rtl/>
        </w:rPr>
        <w:t>،</w:t>
      </w:r>
      <w:r w:rsidR="009C32A0">
        <w:rPr>
          <w:rtl/>
        </w:rPr>
        <w:t xml:space="preserve"> كذلك اليد لا معنى لها على سبيل الحقيقة عندهم إلا الجارحة المخصوصة</w:t>
      </w:r>
      <w:r>
        <w:rPr>
          <w:rtl/>
        </w:rPr>
        <w:t xml:space="preserve">، </w:t>
      </w:r>
      <w:r w:rsidR="009C32A0">
        <w:rPr>
          <w:rtl/>
        </w:rPr>
        <w:t>وإن جاز استعمالها في غيرها فعلى سبيل المجاز وهكذا</w:t>
      </w:r>
      <w:r>
        <w:rPr>
          <w:rtl/>
        </w:rPr>
        <w:t>،</w:t>
      </w:r>
      <w:r w:rsidR="009C32A0">
        <w:rPr>
          <w:rtl/>
        </w:rPr>
        <w:t xml:space="preserve"> فما معنى كونها عندكم على سبيل الحقيقة</w:t>
      </w:r>
      <w:r>
        <w:rPr>
          <w:rtl/>
        </w:rPr>
        <w:t>؟</w:t>
      </w:r>
      <w:r w:rsidR="009C32A0">
        <w:rPr>
          <w:rtl/>
        </w:rPr>
        <w:t xml:space="preserve"> وهل عرفتم لها معنى في حق الله حتى تحكموا بأنها حقيقة فيه</w:t>
      </w:r>
      <w:r>
        <w:rPr>
          <w:rtl/>
        </w:rPr>
        <w:t xml:space="preserve">، </w:t>
      </w:r>
      <w:r w:rsidR="009C32A0">
        <w:rPr>
          <w:rtl/>
        </w:rPr>
        <w:t>فإن بينتم معنى تنزيهي لا تشبيه فيه</w:t>
      </w:r>
      <w:r>
        <w:rPr>
          <w:rtl/>
        </w:rPr>
        <w:t>،</w:t>
      </w:r>
      <w:r w:rsidR="009C32A0">
        <w:rPr>
          <w:rtl/>
        </w:rPr>
        <w:t xml:space="preserve"> وافقتم الخلف في هذا وكانت حينئذ على سبيل المجاز لا على سبيل الحقيقة</w:t>
      </w:r>
      <w:r>
        <w:rPr>
          <w:rtl/>
        </w:rPr>
        <w:t>،</w:t>
      </w:r>
      <w:r w:rsidR="009C32A0">
        <w:rPr>
          <w:rtl/>
        </w:rPr>
        <w:t xml:space="preserve"> وليت شعري أي شيء أثبتوا لله تعالى إذا كانت اليد في حقه ليست على ما نعرف , والاستواء والنزول بالنسبة إليه على غير ما نعهد , وهل يمكن التصديق بثبوت شيء لا نفهمه ولا نعقل له معنى</w:t>
      </w:r>
      <w:r>
        <w:rPr>
          <w:rtl/>
        </w:rPr>
        <w:t>؟</w:t>
      </w:r>
      <w:r w:rsidR="009C32A0">
        <w:rPr>
          <w:rtl/>
        </w:rPr>
        <w:t xml:space="preserve"> وهل بيننا وبينهم خلاف إذا كانوا سلفيين حقا كما يقولون</w:t>
      </w:r>
      <w:r>
        <w:rPr>
          <w:rtl/>
        </w:rPr>
        <w:t>؟</w:t>
      </w:r>
      <w:r w:rsidR="009C32A0">
        <w:rPr>
          <w:rtl/>
        </w:rPr>
        <w:t xml:space="preserve"> فإن الاستواء عندهم وصف كمالي تنزيهي ثابت لله وكذلك اليد والعين الخ</w:t>
      </w:r>
      <w:r>
        <w:rPr>
          <w:rtl/>
        </w:rPr>
        <w:t>،</w:t>
      </w:r>
      <w:r w:rsidR="009C32A0">
        <w:rPr>
          <w:rtl/>
        </w:rPr>
        <w:t xml:space="preserve"> ونحن نقول بثبوت كل كمال لله تعالى فما الذي أثبتوه زائدا على ذلك</w:t>
      </w:r>
      <w:r>
        <w:rPr>
          <w:rtl/>
        </w:rPr>
        <w:t>،</w:t>
      </w:r>
      <w:r w:rsidR="009C32A0">
        <w:rPr>
          <w:rtl/>
        </w:rPr>
        <w:t xml:space="preserve"> وقولهم أنه تعالى عال على خلقه بائن منهم بلا حد ولا </w:t>
      </w:r>
      <w:r w:rsidR="009C32A0">
        <w:rPr>
          <w:rtl/>
        </w:rPr>
        <w:lastRenderedPageBreak/>
        <w:t>صفة الحسي الذي يستلزم الجهة أم هو شيء لا نعرفه نحن ولا هم</w:t>
      </w:r>
      <w:r>
        <w:rPr>
          <w:rtl/>
        </w:rPr>
        <w:t>؟</w:t>
      </w:r>
      <w:r w:rsidR="009C32A0">
        <w:rPr>
          <w:rtl/>
        </w:rPr>
        <w:t xml:space="preserve"> وهل يظنون أنهم قد بينوا شيئا إذا قالوا فوق سمائه على عرشه ما دامت الفوقية غير معروفة "</w:t>
      </w:r>
      <w:r>
        <w:rPr>
          <w:rtl/>
        </w:rPr>
        <w:t>،</w:t>
      </w:r>
      <w:r w:rsidR="009C32A0">
        <w:rPr>
          <w:rtl/>
        </w:rPr>
        <w:t xml:space="preserve"> وقال الإمام الكوثري</w:t>
      </w:r>
      <w:r>
        <w:rPr>
          <w:rtl/>
        </w:rPr>
        <w:t>:</w:t>
      </w:r>
      <w:r w:rsidR="009C32A0">
        <w:rPr>
          <w:rtl/>
        </w:rPr>
        <w:t xml:space="preserve"> " وصفه سبحانه بالصفات الواردة في الكتاب والسنة المشهورة لم ينفه أحد من أهل الحق "</w:t>
      </w:r>
      <w:r>
        <w:rPr>
          <w:rtl/>
        </w:rPr>
        <w:t>،</w:t>
      </w:r>
      <w:r w:rsidR="009C32A0">
        <w:rPr>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Pr>
          <w:rtl/>
        </w:rPr>
        <w:t>،</w:t>
      </w:r>
      <w:r w:rsidR="009C32A0">
        <w:rPr>
          <w:rtl/>
        </w:rPr>
        <w:t xml:space="preserve"> وقد أول أحمد</w:t>
      </w:r>
      <w:r>
        <w:rPr>
          <w:rtl/>
        </w:rPr>
        <w:t>:</w:t>
      </w:r>
      <w:r w:rsidR="009C32A0">
        <w:rPr>
          <w:rtl/>
        </w:rPr>
        <w:t xml:space="preserve"> " </w:t>
      </w:r>
      <w:r>
        <w:rPr>
          <w:rtl/>
        </w:rPr>
        <w:t>{</w:t>
      </w:r>
      <w:r w:rsidR="009C32A0">
        <w:rPr>
          <w:rtl/>
        </w:rPr>
        <w:t>وجاء ربك</w:t>
      </w:r>
      <w:r>
        <w:rPr>
          <w:rtl/>
        </w:rPr>
        <w:t>}</w:t>
      </w:r>
      <w:r w:rsidR="009C32A0">
        <w:rPr>
          <w:rtl/>
        </w:rPr>
        <w:t xml:space="preserve"> قال</w:t>
      </w:r>
      <w:r>
        <w:rPr>
          <w:rtl/>
        </w:rPr>
        <w:t xml:space="preserve">: </w:t>
      </w:r>
      <w:r w:rsidR="009C32A0">
        <w:rPr>
          <w:rtl/>
        </w:rPr>
        <w:t>أي أمره , وسئل عن أحاديث النزول في الرؤية ووضع القدم فقال</w:t>
      </w:r>
      <w:r>
        <w:rPr>
          <w:rtl/>
        </w:rPr>
        <w:t xml:space="preserve">: </w:t>
      </w:r>
      <w:r w:rsidR="009C32A0">
        <w:rPr>
          <w:rtl/>
        </w:rPr>
        <w:t>نؤمن بها ونصدق بها بلا كيف ولا معنى "</w:t>
      </w:r>
      <w:r>
        <w:rPr>
          <w:rtl/>
        </w:rPr>
        <w:t>،</w:t>
      </w:r>
      <w:r w:rsidR="009C32A0">
        <w:rPr>
          <w:rtl/>
        </w:rPr>
        <w:t xml:space="preserve"> وقال</w:t>
      </w:r>
      <w:r>
        <w:rPr>
          <w:rtl/>
        </w:rPr>
        <w:t>:</w:t>
      </w:r>
      <w:r w:rsidR="009C32A0">
        <w:rPr>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Pr>
          <w:rtl/>
        </w:rPr>
        <w:t>:</w:t>
      </w:r>
      <w:r w:rsidR="009C32A0">
        <w:rPr>
          <w:rtl/>
        </w:rPr>
        <w:t xml:space="preserve"> "ليس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w:t>
      </w:r>
      <w:r>
        <w:rPr>
          <w:rtl/>
        </w:rPr>
        <w:t>،</w:t>
      </w:r>
      <w:r w:rsidR="009C32A0">
        <w:rPr>
          <w:rtl/>
        </w:rPr>
        <w:t xml:space="preserve"> وهم لم يخالفوا في أصل التنزيه</w:t>
      </w:r>
      <w:r>
        <w:rPr>
          <w:rtl/>
        </w:rPr>
        <w:t>،</w:t>
      </w:r>
      <w:r w:rsidR="009C32A0">
        <w:rPr>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Pr>
          <w:rtl/>
        </w:rPr>
        <w:t>،</w:t>
      </w:r>
      <w:r w:rsidR="009C32A0">
        <w:rPr>
          <w:rtl/>
        </w:rPr>
        <w:t xml:space="preserve"> فالخلاف بين الفريقين هين يسير وكلاهما منزه</w:t>
      </w:r>
      <w:r>
        <w:rPr>
          <w:rtl/>
        </w:rPr>
        <w:t>،</w:t>
      </w:r>
      <w:r w:rsidR="009C32A0">
        <w:rPr>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Pr>
          <w:rtl/>
        </w:rPr>
        <w:t xml:space="preserve">، </w:t>
      </w:r>
      <w:r w:rsidR="009C32A0">
        <w:rPr>
          <w:rtl/>
        </w:rPr>
        <w:t>فهؤلاء يلزمون بمقتضى كلامهم وهم الحشوية</w:t>
      </w:r>
      <w:r>
        <w:rPr>
          <w:rtl/>
        </w:rPr>
        <w:t>،</w:t>
      </w:r>
      <w:r w:rsidR="009C32A0">
        <w:rPr>
          <w:rtl/>
        </w:rPr>
        <w:t xml:space="preserve"> فمن قال</w:t>
      </w:r>
      <w:r>
        <w:rPr>
          <w:rtl/>
        </w:rPr>
        <w:t xml:space="preserve">: </w:t>
      </w:r>
      <w:r w:rsidR="009C32A0">
        <w:rPr>
          <w:rtl/>
        </w:rPr>
        <w:t>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المخازي فلا نشك في زيفه وخروجه وبعده عما يجوز في الله سبحانه وتعالى</w:t>
      </w:r>
      <w:r>
        <w:rPr>
          <w:rtl/>
        </w:rPr>
        <w:t>،</w:t>
      </w:r>
      <w:r w:rsidR="009C32A0">
        <w:rPr>
          <w:rtl/>
        </w:rPr>
        <w:t xml:space="preserve"> وهذا مكشوف جدا فلا يمكن ستر تلك المخازي بدعوى السلفية والذين يدينون بها هم الذين نستنكر عقائدهم ونستخف أحلامهم ونذكرهم بأنهم نوابت حشوية "</w:t>
      </w:r>
      <w:r>
        <w:rPr>
          <w:rtl/>
        </w:rPr>
        <w:t>،</w:t>
      </w:r>
      <w:r w:rsidR="009C32A0">
        <w:rPr>
          <w:rtl/>
        </w:rPr>
        <w:t xml:space="preserve"> وقال</w:t>
      </w:r>
      <w:r>
        <w:rPr>
          <w:rtl/>
        </w:rPr>
        <w:t xml:space="preserve">: </w:t>
      </w:r>
      <w:r w:rsidR="009C32A0">
        <w:rPr>
          <w:rtl/>
        </w:rPr>
        <w:t>" يزعمون أنهم متمسكون بالقرآن والسنة وهم يسندون إليهما ما لم يقله كتاب ولا سنة</w:t>
      </w:r>
      <w:r>
        <w:rPr>
          <w:rtl/>
        </w:rPr>
        <w:t>،</w:t>
      </w:r>
      <w:r w:rsidR="009C32A0">
        <w:rPr>
          <w:rtl/>
        </w:rPr>
        <w:t xml:space="preserve"> وأين قال الله في القرآن</w:t>
      </w:r>
      <w:r>
        <w:rPr>
          <w:rtl/>
        </w:rPr>
        <w:t xml:space="preserve">: </w:t>
      </w:r>
      <w:r w:rsidR="009C32A0">
        <w:rPr>
          <w:rtl/>
        </w:rPr>
        <w:t>أنه فوق السماء</w:t>
      </w:r>
      <w:r>
        <w:rPr>
          <w:rtl/>
        </w:rPr>
        <w:t>؟</w:t>
      </w:r>
      <w:r w:rsidR="009C32A0">
        <w:rPr>
          <w:rtl/>
        </w:rPr>
        <w:t xml:space="preserve"> وأين قال</w:t>
      </w:r>
      <w:r>
        <w:rPr>
          <w:rtl/>
        </w:rPr>
        <w:t xml:space="preserve">: </w:t>
      </w:r>
      <w:r w:rsidR="009C32A0">
        <w:rPr>
          <w:rtl/>
        </w:rPr>
        <w:t>أنه فوق العرش بهذا اللفظ</w:t>
      </w:r>
      <w:r>
        <w:rPr>
          <w:rtl/>
        </w:rPr>
        <w:t>؟</w:t>
      </w:r>
      <w:r w:rsidR="009C32A0">
        <w:rPr>
          <w:rtl/>
        </w:rPr>
        <w:t xml:space="preserve"> وأين قال</w:t>
      </w:r>
      <w:r>
        <w:rPr>
          <w:rtl/>
        </w:rPr>
        <w:t xml:space="preserve">: </w:t>
      </w:r>
      <w:r w:rsidR="009C32A0">
        <w:rPr>
          <w:rtl/>
        </w:rPr>
        <w:t>أنه بائن من خلقه</w:t>
      </w:r>
      <w:r>
        <w:rPr>
          <w:rtl/>
        </w:rPr>
        <w:t>؟</w:t>
      </w:r>
      <w:r w:rsidR="009C32A0">
        <w:rPr>
          <w:rtl/>
        </w:rPr>
        <w:t xml:space="preserve"> وأين قال</w:t>
      </w:r>
      <w:r>
        <w:rPr>
          <w:rtl/>
        </w:rPr>
        <w:t xml:space="preserve">: </w:t>
      </w:r>
      <w:r w:rsidR="009C32A0">
        <w:rPr>
          <w:rtl/>
        </w:rPr>
        <w:t>إن القدمين فوق الكرسي</w:t>
      </w:r>
      <w:r>
        <w:rPr>
          <w:rtl/>
        </w:rPr>
        <w:t>؟،</w:t>
      </w:r>
      <w:r w:rsidR="009C32A0">
        <w:rPr>
          <w:rtl/>
        </w:rPr>
        <w:t xml:space="preserve"> بل الواجب على من يهاب مقام ربه ان لا يطلق عليه ما لم يرد بإطلاقه في الكتاب </w:t>
      </w:r>
      <w:r w:rsidR="009C32A0">
        <w:rPr>
          <w:rtl/>
        </w:rPr>
        <w:lastRenderedPageBreak/>
        <w:t>والسنة المشهورة مع الاقتصار على الوارد فعلا كان أو صفة أو مفردا أو مجموعا فلا يقال</w:t>
      </w:r>
      <w:r>
        <w:rPr>
          <w:rtl/>
        </w:rPr>
        <w:t xml:space="preserve">: </w:t>
      </w:r>
      <w:r w:rsidR="009C32A0">
        <w:rPr>
          <w:rtl/>
        </w:rPr>
        <w:t>عينان , ولا هو مستو, فإبدال الفعل صفة والمجموع مثنى , وإبدال اللفظ بما يظن مرادفا له مما يجب أن يتهيبه كل مسلم</w:t>
      </w:r>
      <w:r>
        <w:rPr>
          <w:rtl/>
        </w:rPr>
        <w:t>،</w:t>
      </w:r>
      <w:r w:rsidR="009C32A0">
        <w:rPr>
          <w:rtl/>
        </w:rPr>
        <w:t xml:space="preserve"> والذين يسلكون هذا ليخيلوا أن صفات الله من قبيل صفات العبد فلا مانع عندهم أن يكون الباري ينظر بعين ويسمع بأذن , إلى آخر تلك المخازي مع أن تلك الصفات في العبد بآلات وجوارح فهي في العبد مقرونة بالنقائص والاحتياج ,تعالى الله عن ذلك "</w:t>
      </w:r>
      <w:r>
        <w:rPr>
          <w:rtl/>
        </w:rPr>
        <w:t>،</w:t>
      </w:r>
      <w:r w:rsidR="009C32A0">
        <w:rPr>
          <w:rtl/>
        </w:rPr>
        <w:t xml:space="preserve"> قلت</w:t>
      </w:r>
      <w:r>
        <w:rPr>
          <w:rtl/>
        </w:rPr>
        <w:t xml:space="preserve">: </w:t>
      </w:r>
      <w:r w:rsidR="009C32A0">
        <w:rPr>
          <w:rtl/>
        </w:rPr>
        <w:t>هو تعالى لكل شيء سميع وبكل شيء بصير يتنزه سمعه عن الحاجة إلى العصب والأصمخة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Pr>
          <w:rtl/>
        </w:rPr>
        <w:t>،</w:t>
      </w:r>
      <w:r w:rsidR="009C32A0">
        <w:rPr>
          <w:rtl/>
        </w:rPr>
        <w:t xml:space="preserve"> وقال</w:t>
      </w:r>
      <w:r>
        <w:rPr>
          <w:rtl/>
        </w:rPr>
        <w:t>:</w:t>
      </w:r>
      <w:r w:rsidR="009C32A0">
        <w:rPr>
          <w:rtl/>
        </w:rPr>
        <w:t xml:space="preserve"> " ليست حياة الله كحياة العباد ولا فعله كأفعالهم ,وهو تعالى منزه عن الجسمية ولوازم الجسميات لم يشك في ذلك سوى من عنده نزعة الوثنية</w:t>
      </w:r>
      <w:r>
        <w:rPr>
          <w:rtl/>
        </w:rPr>
        <w:t>،</w:t>
      </w:r>
      <w:r w:rsidR="009C32A0">
        <w:rPr>
          <w:rtl/>
        </w:rPr>
        <w:t xml:space="preserve"> ولا يقال</w:t>
      </w:r>
      <w:r>
        <w:rPr>
          <w:rtl/>
        </w:rPr>
        <w:t xml:space="preserve">: </w:t>
      </w:r>
      <w:r w:rsidR="009C32A0">
        <w:rPr>
          <w:rtl/>
        </w:rPr>
        <w:t>إنه مستقر على العرش لأن ذلك لم يرد في الكتاب والسنة ,ولأن ذلك شأن الأجسام</w:t>
      </w:r>
      <w:r>
        <w:rPr>
          <w:rtl/>
        </w:rPr>
        <w:t>،</w:t>
      </w:r>
      <w:r w:rsidR="009C32A0">
        <w:rPr>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Pr>
          <w:rtl/>
        </w:rPr>
        <w:t>،</w:t>
      </w:r>
      <w:r w:rsidR="009C32A0">
        <w:rPr>
          <w:rtl/>
        </w:rPr>
        <w:t xml:space="preserve"> وقال</w:t>
      </w:r>
      <w:r>
        <w:rPr>
          <w:rtl/>
        </w:rPr>
        <w:t xml:space="preserve">: </w:t>
      </w:r>
      <w:r w:rsidR="009C32A0">
        <w:rPr>
          <w:rtl/>
        </w:rPr>
        <w:t>الوارد في الكتاب أنه تعالى كلم موسى بدون ذكر الصوت أصلا والتكلم لا يستلزم الصوت</w:t>
      </w:r>
      <w:r>
        <w:rPr>
          <w:rtl/>
        </w:rPr>
        <w:t>،</w:t>
      </w:r>
      <w:r w:rsidR="009C32A0">
        <w:rPr>
          <w:rtl/>
        </w:rPr>
        <w:t xml:space="preserve"> قال تعالى</w:t>
      </w:r>
      <w:r>
        <w:rPr>
          <w:rtl/>
        </w:rPr>
        <w:t>: {</w:t>
      </w:r>
      <w:r w:rsidR="009C32A0">
        <w:rPr>
          <w:rtl/>
        </w:rPr>
        <w:t>وما كان لبشر أن يكلمه الله إلا وحيا او من وراء حجاب أو يرسل رسولا</w:t>
      </w:r>
      <w:r>
        <w:rPr>
          <w:rtl/>
        </w:rPr>
        <w:t>}،</w:t>
      </w:r>
      <w:r w:rsidR="009C32A0">
        <w:rPr>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Pr>
          <w:rtl/>
        </w:rPr>
        <w:t>،</w:t>
      </w:r>
      <w:r w:rsidR="009C32A0">
        <w:rPr>
          <w:rtl/>
        </w:rPr>
        <w:t xml:space="preserve"> فأي زائغ يتصور حلول الله في الشجرة حتى يقول</w:t>
      </w:r>
      <w:r>
        <w:rPr>
          <w:rtl/>
        </w:rPr>
        <w:t xml:space="preserve">: </w:t>
      </w:r>
      <w:r w:rsidR="009C32A0">
        <w:rPr>
          <w:rtl/>
        </w:rPr>
        <w:t>إن الذي سمعه صوت الله , تعالى الله أن يكون كلامه صوتا</w:t>
      </w:r>
      <w:r>
        <w:rPr>
          <w:rtl/>
        </w:rPr>
        <w:t>،</w:t>
      </w:r>
      <w:r w:rsidR="009C32A0">
        <w:rPr>
          <w:rtl/>
        </w:rPr>
        <w:t xml:space="preserve"> والآية قاضية على جميع الاوهام في هذا البحث لمن أحسن التدبر فيها "</w:t>
      </w:r>
      <w:r>
        <w:rPr>
          <w:rtl/>
        </w:rPr>
        <w:t>،</w:t>
      </w:r>
      <w:r w:rsidR="009C32A0">
        <w:rPr>
          <w:rtl/>
        </w:rPr>
        <w:t xml:space="preserve"> وقال</w:t>
      </w:r>
      <w:r>
        <w:rPr>
          <w:rtl/>
        </w:rPr>
        <w:t xml:space="preserve">: </w:t>
      </w:r>
      <w:r w:rsidR="009C32A0">
        <w:rPr>
          <w:rtl/>
        </w:rPr>
        <w:t>حديث</w:t>
      </w:r>
      <w:r>
        <w:rPr>
          <w:rtl/>
        </w:rPr>
        <w:t xml:space="preserve">: </w:t>
      </w:r>
      <w:r w:rsidR="009C32A0">
        <w:rPr>
          <w:rtl/>
        </w:rPr>
        <w:t>(</w:t>
      </w:r>
      <w:r>
        <w:rPr>
          <w:rtl/>
        </w:rPr>
        <w:t>(</w:t>
      </w:r>
      <w:r w:rsidR="009C32A0">
        <w:rPr>
          <w:rtl/>
        </w:rPr>
        <w:t>يحشر العباد فيناديهم بصوت يسمعه من بعد كما يسمعه من قرب</w:t>
      </w:r>
      <w:r>
        <w:rPr>
          <w:rtl/>
        </w:rPr>
        <w:t>)</w:t>
      </w:r>
      <w:r w:rsidR="009C32A0">
        <w:rPr>
          <w:rtl/>
        </w:rPr>
        <w:t>)</w:t>
      </w:r>
      <w:r>
        <w:rPr>
          <w:rtl/>
        </w:rPr>
        <w:t xml:space="preserve"> </w:t>
      </w:r>
      <w:r w:rsidR="009C32A0">
        <w:rPr>
          <w:rtl/>
        </w:rPr>
        <w:t>هو حديث ضعيف علقه البخاري بقوله</w:t>
      </w:r>
      <w:r>
        <w:rPr>
          <w:rtl/>
        </w:rPr>
        <w:t xml:space="preserve">: </w:t>
      </w:r>
      <w:r w:rsidR="009C32A0">
        <w:rPr>
          <w:rtl/>
        </w:rPr>
        <w:t>ويذكر عن جابر دلالة على أنه ليس على شرطه</w:t>
      </w:r>
      <w:r>
        <w:rPr>
          <w:rtl/>
        </w:rPr>
        <w:t>،</w:t>
      </w:r>
      <w:r w:rsidR="009C32A0">
        <w:rPr>
          <w:rtl/>
        </w:rPr>
        <w:t xml:space="preserve"> وللحافظ ابي الحسن المقدسي جزء في تبيين وجوه الضعف فيه وقال حديث أبي سعيد</w:t>
      </w:r>
      <w:r>
        <w:rPr>
          <w:rtl/>
        </w:rPr>
        <w:t xml:space="preserve">: </w:t>
      </w:r>
      <w:r w:rsidR="009C32A0">
        <w:rPr>
          <w:rtl/>
        </w:rPr>
        <w:t>(</w:t>
      </w:r>
      <w:r>
        <w:rPr>
          <w:rtl/>
        </w:rPr>
        <w:t>(</w:t>
      </w:r>
      <w:r w:rsidR="009C32A0">
        <w:rPr>
          <w:rtl/>
        </w:rPr>
        <w:t>يقول الله يا آدم يقول</w:t>
      </w:r>
      <w:r>
        <w:rPr>
          <w:rtl/>
        </w:rPr>
        <w:t xml:space="preserve">: </w:t>
      </w:r>
      <w:r w:rsidR="009C32A0">
        <w:rPr>
          <w:rtl/>
        </w:rPr>
        <w:t>لبيك وسعديك فينادي بصوت</w:t>
      </w:r>
      <w:r>
        <w:rPr>
          <w:rtl/>
        </w:rPr>
        <w:t xml:space="preserve">: </w:t>
      </w:r>
      <w:r w:rsidR="009C32A0">
        <w:rPr>
          <w:rtl/>
        </w:rPr>
        <w:t>إن الله يأمرك</w:t>
      </w:r>
      <w:r>
        <w:rPr>
          <w:rtl/>
        </w:rPr>
        <w:t>)</w:t>
      </w:r>
      <w:r w:rsidR="009C32A0">
        <w:rPr>
          <w:rtl/>
        </w:rPr>
        <w:t>)</w:t>
      </w:r>
      <w:r>
        <w:rPr>
          <w:rtl/>
        </w:rPr>
        <w:t>،</w:t>
      </w:r>
      <w:r w:rsidR="009C32A0">
        <w:rPr>
          <w:rtl/>
        </w:rPr>
        <w:t xml:space="preserve"> فلفظ ينادي في الحديث على صيغة المفعول جزما بدليل قوله</w:t>
      </w:r>
      <w:r>
        <w:rPr>
          <w:rtl/>
        </w:rPr>
        <w:t>:</w:t>
      </w:r>
      <w:r w:rsidR="009C32A0">
        <w:rPr>
          <w:rtl/>
        </w:rPr>
        <w:t xml:space="preserve"> " إن الله يأمرك " ولو كان على صيغة الفاعل لكان</w:t>
      </w:r>
      <w:r>
        <w:rPr>
          <w:rtl/>
        </w:rPr>
        <w:t xml:space="preserve">: </w:t>
      </w:r>
      <w:r w:rsidR="009C32A0">
        <w:rPr>
          <w:rtl/>
        </w:rPr>
        <w:t>إني آمرك</w:t>
      </w:r>
      <w:r>
        <w:rPr>
          <w:rtl/>
        </w:rPr>
        <w:t xml:space="preserve">) </w:t>
      </w:r>
      <w:r w:rsidR="009C32A0">
        <w:rPr>
          <w:rtl/>
        </w:rPr>
        <w:t>"</w:t>
      </w:r>
      <w:r>
        <w:rPr>
          <w:rtl/>
        </w:rPr>
        <w:t xml:space="preserve"> </w:t>
      </w:r>
      <w:r w:rsidR="009C32A0">
        <w:rPr>
          <w:rtl/>
        </w:rPr>
        <w:t>أهـ</w:t>
      </w:r>
      <w:r>
        <w:rPr>
          <w:rtl/>
        </w:rPr>
        <w:t xml:space="preserve"> [</w:t>
      </w:r>
      <w:r w:rsidR="009C32A0">
        <w:rPr>
          <w:rtl/>
        </w:rPr>
        <w:t>السلفية المعاصرة مناقشات وردود صـ175إلى صـ227</w:t>
      </w:r>
      <w:r>
        <w:rPr>
          <w:rtl/>
        </w:rPr>
        <w:t>]،</w:t>
      </w:r>
      <w:r w:rsidR="009C32A0">
        <w:rPr>
          <w:rtl/>
          <w:lang w:bidi="ar-KW"/>
        </w:rPr>
        <w:t xml:space="preserve"> ومما سبق يتبين أنّ الطريق إلى تجديد الدين لابد وأن يمر على محطة تنقية السلفية من أدران الحشوية في أبواب التقديس والتوحيد والإيمان والسنة </w:t>
      </w:r>
      <w:r w:rsidR="009C32A0">
        <w:rPr>
          <w:rtl/>
          <w:lang w:bidi="ar-KW"/>
        </w:rPr>
        <w:lastRenderedPageBreak/>
        <w:t>والانتساب إلى أهل السنّة والجماعة</w:t>
      </w:r>
      <w:r>
        <w:rPr>
          <w:rtl/>
          <w:lang w:bidi="ar-KW"/>
        </w:rPr>
        <w:t>،</w:t>
      </w:r>
      <w:r w:rsidR="009C32A0">
        <w:rPr>
          <w:rtl/>
          <w:lang w:bidi="ar-KW"/>
        </w:rPr>
        <w:t xml:space="preserve"> وعلاج بدع الحشوية المتعلقة بالحشو في باب العقيدة</w:t>
      </w:r>
      <w:r>
        <w:rPr>
          <w:rtl/>
          <w:lang w:bidi="ar-KW"/>
        </w:rPr>
        <w:t>،</w:t>
      </w:r>
      <w:r w:rsidR="009C32A0">
        <w:rPr>
          <w:rtl/>
          <w:lang w:bidi="ar-KW"/>
        </w:rPr>
        <w:t xml:space="preserve"> والغلو في باب الإيمان واتهام المسلمين بالكفر بغير موجب شرعي صحيح</w:t>
      </w:r>
      <w:r>
        <w:rPr>
          <w:rtl/>
          <w:lang w:bidi="ar-KW"/>
        </w:rPr>
        <w:t>،</w:t>
      </w:r>
      <w:r w:rsidR="009C32A0">
        <w:rPr>
          <w:rtl/>
          <w:lang w:bidi="ar-KW"/>
        </w:rPr>
        <w:t xml:space="preserve"> والغلو في باب التوحيد</w:t>
      </w:r>
      <w:r>
        <w:rPr>
          <w:rtl/>
          <w:lang w:bidi="ar-KW"/>
        </w:rPr>
        <w:t>،</w:t>
      </w:r>
      <w:r w:rsidR="009C32A0">
        <w:rPr>
          <w:rtl/>
          <w:lang w:bidi="ar-KW"/>
        </w:rPr>
        <w:t xml:space="preserve"> واتهام المسلمين بالشرك بغير موجب شرعي صحيح</w:t>
      </w:r>
      <w:r>
        <w:rPr>
          <w:rtl/>
          <w:lang w:bidi="ar-KW"/>
        </w:rPr>
        <w:t>،</w:t>
      </w:r>
      <w:r w:rsidR="009C32A0">
        <w:rPr>
          <w:rtl/>
          <w:lang w:bidi="ar-KW"/>
        </w:rPr>
        <w:t xml:space="preserve"> والغلو في باب السنّة والبدعة</w:t>
      </w:r>
      <w:r>
        <w:rPr>
          <w:rtl/>
          <w:lang w:bidi="ar-KW"/>
        </w:rPr>
        <w:t>،</w:t>
      </w:r>
      <w:r w:rsidR="009C32A0">
        <w:rPr>
          <w:rtl/>
          <w:lang w:bidi="ar-KW"/>
        </w:rPr>
        <w:t xml:space="preserve"> وتبديع المسلمين بغير موجب شرعي صحيح</w:t>
      </w:r>
      <w:r>
        <w:rPr>
          <w:rtl/>
          <w:lang w:bidi="ar-KW"/>
        </w:rPr>
        <w:t>،</w:t>
      </w:r>
      <w:r w:rsidR="009C32A0">
        <w:rPr>
          <w:rtl/>
          <w:lang w:bidi="ar-KW"/>
        </w:rPr>
        <w:t xml:space="preserve"> وتصحيح النظرة تجاه أهل السنّة والجماعة بمعيار صحيح ليس فيه إفراط ولا تفريط</w:t>
      </w:r>
      <w:r>
        <w:rPr>
          <w:rtl/>
          <w:lang w:bidi="ar-KW"/>
        </w:rPr>
        <w:t>،</w:t>
      </w:r>
    </w:p>
    <w:p w14:paraId="1702A736" w14:textId="77777777" w:rsidR="009C32A0" w:rsidRDefault="009C32A0" w:rsidP="000636C2">
      <w:pPr>
        <w:jc w:val="center"/>
        <w:rPr>
          <w:rtl/>
          <w:lang w:bidi="ar-KW"/>
        </w:rPr>
      </w:pPr>
      <w:r>
        <w:rPr>
          <w:rFonts w:hint="cs"/>
          <w:rtl/>
          <w:lang w:bidi="ar-KW"/>
        </w:rPr>
        <w:t>***</w:t>
      </w:r>
    </w:p>
    <w:p w14:paraId="5BD5847A" w14:textId="77777777" w:rsidR="009C32A0" w:rsidRDefault="009C32A0" w:rsidP="000636C2">
      <w:pPr>
        <w:rPr>
          <w:rtl/>
          <w:lang w:bidi="ar-KW"/>
        </w:rPr>
      </w:pPr>
    </w:p>
    <w:p w14:paraId="29482F90" w14:textId="77777777" w:rsidR="009C32A0" w:rsidRPr="005675B2" w:rsidRDefault="009C32A0" w:rsidP="000636C2">
      <w:pPr>
        <w:rPr>
          <w:rtl/>
          <w:lang w:bidi="ar-KW"/>
        </w:rPr>
      </w:pPr>
    </w:p>
    <w:p w14:paraId="515568B9" w14:textId="77777777" w:rsidR="009C32A0" w:rsidRDefault="009C32A0" w:rsidP="000636C2">
      <w:pPr>
        <w:rPr>
          <w:rtl/>
        </w:rPr>
      </w:pPr>
    </w:p>
    <w:p w14:paraId="4DB61742" w14:textId="0A337B36" w:rsidR="009C32A0" w:rsidRPr="00627D1B" w:rsidRDefault="009C32A0" w:rsidP="00627D1B">
      <w:pPr>
        <w:pStyle w:val="1"/>
        <w:rPr>
          <w:u w:val="none"/>
          <w:rtl/>
          <w:lang w:bidi="ar-KW"/>
        </w:rPr>
      </w:pPr>
      <w:r w:rsidRPr="00627D1B">
        <w:rPr>
          <w:u w:val="none"/>
          <w:rtl/>
          <w:lang w:bidi="ar-KW"/>
        </w:rPr>
        <w:t>الملحق الأول</w:t>
      </w:r>
      <w:r w:rsidR="00627D1B" w:rsidRPr="00627D1B">
        <w:rPr>
          <w:rFonts w:hint="cs"/>
          <w:u w:val="none"/>
          <w:rtl/>
          <w:lang w:bidi="ar-KW"/>
        </w:rPr>
        <w:t xml:space="preserve"> </w:t>
      </w:r>
      <w:r w:rsidRPr="00627D1B">
        <w:rPr>
          <w:u w:val="none"/>
          <w:rtl/>
          <w:lang w:bidi="ar-KW"/>
        </w:rPr>
        <w:t>كتاب دفع شبه التشبيه بأكف التنزيه</w:t>
      </w:r>
    </w:p>
    <w:p w14:paraId="5DA72E3E" w14:textId="787FCA02" w:rsidR="009C32A0" w:rsidRPr="002F3AFA" w:rsidRDefault="009C32A0" w:rsidP="000636C2">
      <w:pPr>
        <w:pBdr>
          <w:top w:val="dashDotStroked" w:sz="24" w:space="1" w:color="auto"/>
          <w:left w:val="dashDotStroked" w:sz="24" w:space="4" w:color="auto"/>
          <w:bottom w:val="dashDotStroked" w:sz="24" w:space="1" w:color="auto"/>
          <w:right w:val="dashDotStroked" w:sz="24" w:space="4" w:color="auto"/>
        </w:pBdr>
        <w:jc w:val="center"/>
        <w:rPr>
          <w:rFonts w:cs="Monotype Koufi"/>
          <w:rtl/>
          <w:lang w:bidi="ar-KW"/>
        </w:rPr>
      </w:pPr>
      <w:r w:rsidRPr="002F3AFA">
        <w:rPr>
          <w:rFonts w:cs="Monotype Koufi" w:hint="cs"/>
          <w:rtl/>
          <w:lang w:bidi="ar-KW"/>
        </w:rPr>
        <w:t>وهو كتاب قيم من أحسن ما كتب الإمام</w:t>
      </w:r>
      <w:r>
        <w:rPr>
          <w:rFonts w:cs="Monotype Koufi" w:hint="cs"/>
          <w:rtl/>
          <w:lang w:bidi="ar-KW"/>
        </w:rPr>
        <w:t xml:space="preserve"> الحنبلي </w:t>
      </w:r>
      <w:r w:rsidRPr="002F3AFA">
        <w:rPr>
          <w:rFonts w:cs="Monotype Koufi" w:hint="cs"/>
          <w:rtl/>
          <w:lang w:bidi="ar-KW"/>
        </w:rPr>
        <w:t>ا</w:t>
      </w:r>
      <w:r w:rsidRPr="002F3AFA">
        <w:rPr>
          <w:rFonts w:cs="Monotype Koufi"/>
          <w:rtl/>
          <w:lang w:bidi="ar-KW"/>
        </w:rPr>
        <w:t xml:space="preserve">لحافظ الأثري </w:t>
      </w:r>
      <w:r>
        <w:rPr>
          <w:rFonts w:cs="Monotype Koufi" w:hint="cs"/>
          <w:rtl/>
          <w:lang w:bidi="ar-KW"/>
        </w:rPr>
        <w:t xml:space="preserve">أبي الفرج عبد الرحمن </w:t>
      </w:r>
      <w:r w:rsidRPr="002F3AFA">
        <w:rPr>
          <w:rFonts w:cs="Monotype Koufi"/>
          <w:rtl/>
          <w:lang w:bidi="ar-KW"/>
        </w:rPr>
        <w:t>ابن الجوزي</w:t>
      </w:r>
      <w:r w:rsidRPr="002F3AFA">
        <w:rPr>
          <w:rFonts w:cs="Monotype Koufi" w:hint="cs"/>
          <w:rtl/>
          <w:lang w:bidi="ar-KW"/>
        </w:rPr>
        <w:t xml:space="preserve"> </w:t>
      </w:r>
      <w:r>
        <w:rPr>
          <w:rFonts w:cs="Monotype Koufi" w:hint="cs"/>
          <w:rtl/>
          <w:lang w:bidi="ar-KW"/>
        </w:rPr>
        <w:t xml:space="preserve">القرشي البكري </w:t>
      </w:r>
      <w:r w:rsidRPr="002F3AFA">
        <w:rPr>
          <w:rFonts w:cs="Monotype Koufi" w:hint="cs"/>
          <w:rtl/>
          <w:lang w:bidi="ar-KW"/>
        </w:rPr>
        <w:t>يظهر فيه الفرق بين الأثرية الذين هم الامتداد الحق للسلف الصالح</w:t>
      </w:r>
      <w:r w:rsidR="000636C2">
        <w:rPr>
          <w:rFonts w:cs="Monotype Koufi" w:hint="cs"/>
          <w:rtl/>
          <w:lang w:bidi="ar-KW"/>
        </w:rPr>
        <w:t>،</w:t>
      </w:r>
      <w:r w:rsidRPr="002F3AFA">
        <w:rPr>
          <w:rFonts w:cs="Monotype Koufi" w:hint="cs"/>
          <w:rtl/>
          <w:lang w:bidi="ar-KW"/>
        </w:rPr>
        <w:t xml:space="preserve"> وبين الحشوية الذين ينتسبون زورا وبهتانا إلى السلفية والسلفية الحقة منهم برآء</w:t>
      </w:r>
    </w:p>
    <w:p w14:paraId="71A5F69C" w14:textId="77777777" w:rsidR="009C32A0" w:rsidRDefault="009C32A0" w:rsidP="000636C2">
      <w:pPr>
        <w:pBdr>
          <w:top w:val="dashDotStroked" w:sz="24" w:space="1" w:color="auto"/>
          <w:left w:val="dashDotStroked" w:sz="24" w:space="4" w:color="auto"/>
          <w:bottom w:val="dashDotStroked" w:sz="24" w:space="1" w:color="auto"/>
          <w:right w:val="dashDotStroked" w:sz="24" w:space="4" w:color="auto"/>
        </w:pBdr>
        <w:jc w:val="right"/>
        <w:rPr>
          <w:rtl/>
          <w:lang w:bidi="ar-KW"/>
        </w:rPr>
      </w:pPr>
    </w:p>
    <w:p w14:paraId="06F2A2B4" w14:textId="77777777" w:rsidR="009C32A0" w:rsidRDefault="009C32A0" w:rsidP="000636C2">
      <w:pPr>
        <w:rPr>
          <w:rtl/>
          <w:lang w:bidi="ar-KW"/>
        </w:rPr>
      </w:pPr>
    </w:p>
    <w:p w14:paraId="255899C0" w14:textId="77777777" w:rsidR="009C32A0" w:rsidRDefault="009C32A0" w:rsidP="000636C2">
      <w:pPr>
        <w:spacing w:after="240"/>
        <w:jc w:val="center"/>
        <w:rPr>
          <w:bCs/>
        </w:rPr>
      </w:pPr>
      <w:r>
        <w:rPr>
          <w:bCs/>
          <w:rtl/>
        </w:rPr>
        <w:t>بسم الله الرحمن الرحيم</w:t>
      </w:r>
    </w:p>
    <w:p w14:paraId="530F23BB" w14:textId="77777777" w:rsidR="009C32A0" w:rsidRDefault="009C32A0" w:rsidP="000636C2">
      <w:pPr>
        <w:spacing w:after="240"/>
        <w:jc w:val="center"/>
        <w:rPr>
          <w:rtl/>
        </w:rPr>
      </w:pPr>
      <w:r>
        <w:rPr>
          <w:bCs/>
          <w:rtl/>
        </w:rPr>
        <w:t>مقدمة المؤلف</w:t>
      </w:r>
    </w:p>
    <w:p w14:paraId="06DA93A1" w14:textId="1E1376D1" w:rsidR="009C32A0" w:rsidRDefault="009C32A0" w:rsidP="000636C2">
      <w:pPr>
        <w:spacing w:after="240"/>
        <w:rPr>
          <w:rtl/>
        </w:rPr>
      </w:pPr>
      <w:r>
        <w:rPr>
          <w:rtl/>
        </w:rPr>
        <w:lastRenderedPageBreak/>
        <w:t>قال الشيخ الإمام الحافظ العلامة أبو الفرج عبد الرحمن علي بن عبد الله بن حماد الجوزي بن أحمد بن محمد بن جعفر بن عبد الله بن القاسم الفطر بن</w:t>
      </w:r>
      <w:r w:rsidR="000636C2">
        <w:rPr>
          <w:rtl/>
        </w:rPr>
        <w:t xml:space="preserve"> </w:t>
      </w:r>
      <w:r>
        <w:rPr>
          <w:rtl/>
        </w:rPr>
        <w:t>القاسم بن محمد بن عبد الله بن عبد الرحمن بن القاسم بن محمد بن أبي بكر الصديق رضي الله عنه</w:t>
      </w:r>
      <w:r w:rsidR="000636C2">
        <w:rPr>
          <w:rtl/>
        </w:rPr>
        <w:t>:</w:t>
      </w:r>
      <w:r>
        <w:rPr>
          <w:rtl/>
        </w:rPr>
        <w:t xml:space="preserve"> </w:t>
      </w:r>
    </w:p>
    <w:p w14:paraId="0A5E4109" w14:textId="3C3D250F" w:rsidR="009C32A0" w:rsidRDefault="009C32A0" w:rsidP="000636C2">
      <w:pPr>
        <w:spacing w:after="240"/>
        <w:rPr>
          <w:rtl/>
        </w:rPr>
      </w:pPr>
      <w:r>
        <w:rPr>
          <w:rtl/>
        </w:rPr>
        <w:t>اعلم وفقك الله تعالى أني لما تتبعت مذهب الإمام أحمد رضي الله عنه</w:t>
      </w:r>
      <w:r w:rsidR="000636C2">
        <w:rPr>
          <w:rtl/>
        </w:rPr>
        <w:t xml:space="preserve"> </w:t>
      </w:r>
      <w:r>
        <w:rPr>
          <w:rtl/>
        </w:rPr>
        <w:t>رأيته رجلا كبيرا كبير القدر في العلوم</w:t>
      </w:r>
      <w:r w:rsidR="000636C2">
        <w:rPr>
          <w:rtl/>
        </w:rPr>
        <w:t>،</w:t>
      </w:r>
      <w:r>
        <w:rPr>
          <w:rtl/>
        </w:rPr>
        <w:t xml:space="preserve"> قد بالغ رحمة الله عليه في علوم الفقه ومذهب القدماء</w:t>
      </w:r>
      <w:r w:rsidR="000636C2">
        <w:rPr>
          <w:rtl/>
        </w:rPr>
        <w:t>،</w:t>
      </w:r>
      <w:r>
        <w:rPr>
          <w:rtl/>
        </w:rPr>
        <w:t xml:space="preserve"> حتي لا تأتي مسألة</w:t>
      </w:r>
      <w:r w:rsidR="000636C2">
        <w:rPr>
          <w:rtl/>
        </w:rPr>
        <w:t xml:space="preserve"> </w:t>
      </w:r>
      <w:r>
        <w:rPr>
          <w:rtl/>
        </w:rPr>
        <w:t>إلا وله فيها نص أو تنبيه إلا أنه علي طريق السلف</w:t>
      </w:r>
      <w:r w:rsidR="000636C2">
        <w:rPr>
          <w:rtl/>
        </w:rPr>
        <w:t>،</w:t>
      </w:r>
      <w:r>
        <w:rPr>
          <w:rtl/>
        </w:rPr>
        <w:t xml:space="preserve"> فلم يصنف إلا المنقول</w:t>
      </w:r>
      <w:r w:rsidR="000636C2">
        <w:rPr>
          <w:rtl/>
        </w:rPr>
        <w:t>،</w:t>
      </w:r>
      <w:r>
        <w:rPr>
          <w:rtl/>
        </w:rPr>
        <w:t xml:space="preserve"> فرأيت مذهبه خاليا من التصانيف التي كثر جنسها عند الخصوم فصنفت تفاسير مطولة منها " المغني مجلدات " و" زاد المسير " و " تذكرة الأديب"</w:t>
      </w:r>
      <w:r w:rsidR="000636C2">
        <w:rPr>
          <w:rtl/>
        </w:rPr>
        <w:t>،</w:t>
      </w:r>
      <w:r>
        <w:rPr>
          <w:rtl/>
        </w:rPr>
        <w:t xml:space="preserve"> وغير ذلك</w:t>
      </w:r>
      <w:r w:rsidR="000636C2">
        <w:rPr>
          <w:rtl/>
        </w:rPr>
        <w:t>،</w:t>
      </w:r>
      <w:r>
        <w:rPr>
          <w:rtl/>
        </w:rPr>
        <w:t xml:space="preserve"> وفي الحديث</w:t>
      </w:r>
      <w:r w:rsidR="000636C2">
        <w:rPr>
          <w:rtl/>
        </w:rPr>
        <w:t>:</w:t>
      </w:r>
      <w:r>
        <w:rPr>
          <w:rtl/>
        </w:rPr>
        <w:t xml:space="preserve"> كتبا منها " جامع المسانيد"</w:t>
      </w:r>
      <w:r w:rsidR="000636C2">
        <w:rPr>
          <w:rtl/>
        </w:rPr>
        <w:t>،</w:t>
      </w:r>
      <w:r>
        <w:rPr>
          <w:rtl/>
        </w:rPr>
        <w:t>و "الحدائق " و "نفي النقل "</w:t>
      </w:r>
      <w:r w:rsidR="000636C2">
        <w:rPr>
          <w:rtl/>
        </w:rPr>
        <w:t>،</w:t>
      </w:r>
      <w:r>
        <w:rPr>
          <w:rtl/>
        </w:rPr>
        <w:t xml:space="preserve"> وكتبا كثيرة في الجرح والتعديل</w:t>
      </w:r>
      <w:r w:rsidR="000636C2">
        <w:rPr>
          <w:rtl/>
        </w:rPr>
        <w:t>،</w:t>
      </w:r>
      <w:r>
        <w:rPr>
          <w:rtl/>
        </w:rPr>
        <w:t xml:space="preserve"> وما رأيت لهم" تعليقة" في الخلاف إلا أن القاضي أبا يعلي قال</w:t>
      </w:r>
      <w:r w:rsidR="000636C2">
        <w:rPr>
          <w:rtl/>
        </w:rPr>
        <w:t>:</w:t>
      </w:r>
      <w:r>
        <w:rPr>
          <w:rtl/>
        </w:rPr>
        <w:t xml:space="preserve"> كنت أقول ما لأهل المذاهب يذكرون الخلاف مع خصومهم ولا يذكرون أحمد</w:t>
      </w:r>
      <w:r w:rsidR="000636C2">
        <w:rPr>
          <w:rtl/>
        </w:rPr>
        <w:t>؟</w:t>
      </w:r>
      <w:r>
        <w:rPr>
          <w:rtl/>
        </w:rPr>
        <w:t xml:space="preserve"> ثم عذرتهم</w:t>
      </w:r>
      <w:r w:rsidR="000636C2">
        <w:rPr>
          <w:rtl/>
        </w:rPr>
        <w:t>،</w:t>
      </w:r>
      <w:r>
        <w:rPr>
          <w:rtl/>
        </w:rPr>
        <w:t xml:space="preserve"> إذ ليس لنا تعليقه في الفقه</w:t>
      </w:r>
      <w:r w:rsidR="000636C2">
        <w:rPr>
          <w:rtl/>
        </w:rPr>
        <w:t>،</w:t>
      </w:r>
      <w:r>
        <w:rPr>
          <w:rtl/>
        </w:rPr>
        <w:t xml:space="preserve"> قال</w:t>
      </w:r>
      <w:r w:rsidR="000636C2">
        <w:rPr>
          <w:rtl/>
        </w:rPr>
        <w:t>:</w:t>
      </w:r>
      <w:r>
        <w:rPr>
          <w:rtl/>
        </w:rPr>
        <w:t xml:space="preserve"> فصنفت له تعليقة</w:t>
      </w:r>
      <w:r w:rsidR="000636C2">
        <w:rPr>
          <w:rtl/>
        </w:rPr>
        <w:t>،</w:t>
      </w:r>
      <w:r>
        <w:rPr>
          <w:rtl/>
        </w:rPr>
        <w:t xml:space="preserve"> </w:t>
      </w:r>
      <w:r w:rsidR="000636C2">
        <w:rPr>
          <w:rtl/>
        </w:rPr>
        <w:t>(</w:t>
      </w:r>
      <w:r>
        <w:rPr>
          <w:rtl/>
        </w:rPr>
        <w:t>قلت</w:t>
      </w:r>
      <w:r w:rsidR="000636C2">
        <w:rPr>
          <w:rtl/>
        </w:rPr>
        <w:t>):</w:t>
      </w:r>
      <w:r>
        <w:rPr>
          <w:rtl/>
        </w:rPr>
        <w:t xml:space="preserve"> وتعليقته لم يحقق فيها بيان الصحة والطعن في المردود</w:t>
      </w:r>
      <w:r w:rsidR="000636C2">
        <w:rPr>
          <w:rtl/>
        </w:rPr>
        <w:t>،</w:t>
      </w:r>
      <w:r>
        <w:rPr>
          <w:rtl/>
        </w:rPr>
        <w:t xml:space="preserve"> وذكر فيها أقيسة طردية . ورأيت من يلقي الدرس من أصحابنا من يفزع إلى تعليق الأصطلام أو تعليقة أسعد</w:t>
      </w:r>
      <w:r w:rsidR="000636C2">
        <w:rPr>
          <w:rtl/>
        </w:rPr>
        <w:t>،</w:t>
      </w:r>
      <w:r>
        <w:rPr>
          <w:rtl/>
        </w:rPr>
        <w:t xml:space="preserve"> أو تعليقة العاملي</w:t>
      </w:r>
      <w:r w:rsidR="000636C2">
        <w:rPr>
          <w:rtl/>
        </w:rPr>
        <w:t>،</w:t>
      </w:r>
      <w:r>
        <w:rPr>
          <w:rtl/>
        </w:rPr>
        <w:t xml:space="preserve"> أو تعليقة الشريفة استعارات . فصنفت له تعاليق منها " كتاب الإنصاف في مسائل الخلاف " ومنها " جنة النظر وجنة الفطر " ومنها " عمد الدلائل في مشهور المسائل "</w:t>
      </w:r>
      <w:r w:rsidR="000636C2">
        <w:rPr>
          <w:rtl/>
        </w:rPr>
        <w:t>،</w:t>
      </w:r>
      <w:r>
        <w:rPr>
          <w:rtl/>
        </w:rPr>
        <w:t xml:space="preserve"> ثم رأيت جمع أحاديث التعليق التي يحتج بها أهل المذاهب</w:t>
      </w:r>
      <w:r w:rsidR="000636C2">
        <w:rPr>
          <w:rtl/>
        </w:rPr>
        <w:t>،</w:t>
      </w:r>
      <w:r>
        <w:rPr>
          <w:rtl/>
        </w:rPr>
        <w:t xml:space="preserve"> وبينت تصحيح الصحيح</w:t>
      </w:r>
      <w:r w:rsidR="000636C2">
        <w:rPr>
          <w:rtl/>
        </w:rPr>
        <w:t>،</w:t>
      </w:r>
      <w:r>
        <w:rPr>
          <w:rtl/>
        </w:rPr>
        <w:t xml:space="preserve"> وطعن المطعون فيه وعملت كتابا في المذاهب أدخلتها فيه</w:t>
      </w:r>
      <w:r w:rsidR="000636C2">
        <w:rPr>
          <w:rtl/>
        </w:rPr>
        <w:t>،</w:t>
      </w:r>
      <w:r>
        <w:rPr>
          <w:rtl/>
        </w:rPr>
        <w:t xml:space="preserve"> 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w:t>
      </w:r>
      <w:r w:rsidR="000636C2">
        <w:rPr>
          <w:rtl/>
        </w:rPr>
        <w:t>،</w:t>
      </w:r>
      <w:r>
        <w:rPr>
          <w:rtl/>
        </w:rPr>
        <w:t xml:space="preserve"> </w:t>
      </w:r>
      <w:r>
        <w:rPr>
          <w:bCs/>
          <w:rtl/>
        </w:rPr>
        <w:t>ورأيت من أصحابنا من تكلم في الأصول بما لا يصلح</w:t>
      </w:r>
      <w:r w:rsidR="000636C2">
        <w:rPr>
          <w:bCs/>
          <w:rtl/>
        </w:rPr>
        <w:t>،</w:t>
      </w:r>
      <w:r>
        <w:rPr>
          <w:bCs/>
          <w:rtl/>
        </w:rPr>
        <w:t xml:space="preserve"> </w:t>
      </w:r>
      <w:r>
        <w:rPr>
          <w:rtl/>
        </w:rPr>
        <w:t>وانتدب للتصنيف ثلاثة أبو عبد الله بن حامد . وصاحبه القاضي</w:t>
      </w:r>
      <w:r w:rsidR="000636C2">
        <w:rPr>
          <w:rtl/>
        </w:rPr>
        <w:t>،</w:t>
      </w:r>
      <w:r>
        <w:rPr>
          <w:rtl/>
        </w:rPr>
        <w:t xml:space="preserve"> وابن الزاغوني " فصنفوا كتابا شانوا بها المذاهب</w:t>
      </w:r>
      <w:r w:rsidR="000636C2">
        <w:rPr>
          <w:rtl/>
        </w:rPr>
        <w:t>،</w:t>
      </w:r>
      <w:r>
        <w:rPr>
          <w:rtl/>
        </w:rPr>
        <w:t xml:space="preserve"> ورأيتهم قد نزلوا إلى مرتبة العوام</w:t>
      </w:r>
      <w:r w:rsidR="000636C2">
        <w:rPr>
          <w:rtl/>
        </w:rPr>
        <w:t>،</w:t>
      </w:r>
      <w:r>
        <w:rPr>
          <w:rtl/>
        </w:rPr>
        <w:t xml:space="preserve"> فحملوا الصفات علي مقتضي الحس . فسمعوا أن الله تعالى خلق آدم علي صورته</w:t>
      </w:r>
      <w:r w:rsidR="000636C2">
        <w:rPr>
          <w:rtl/>
        </w:rPr>
        <w:t>،</w:t>
      </w:r>
      <w:r>
        <w:rPr>
          <w:rtl/>
        </w:rPr>
        <w:t xml:space="preserve"> فأثبتوا له صورة ووجها زائدا علي الذات</w:t>
      </w:r>
      <w:r w:rsidR="000636C2">
        <w:rPr>
          <w:rtl/>
        </w:rPr>
        <w:t>،</w:t>
      </w:r>
      <w:r>
        <w:rPr>
          <w:rtl/>
        </w:rPr>
        <w:t xml:space="preserve"> وعينين وفما ولهوات وأضراسا وجهة هي السبحات ويدين وأصابع وكفا وخنصرا وإبهاما وصدرا وفخدا وساقين ورجلين</w:t>
      </w:r>
      <w:r w:rsidR="000636C2">
        <w:rPr>
          <w:rtl/>
        </w:rPr>
        <w:t>،</w:t>
      </w:r>
      <w:r>
        <w:rPr>
          <w:rtl/>
        </w:rPr>
        <w:t xml:space="preserve"> وقالوا ما سمعنا بذكر الرأس</w:t>
      </w:r>
      <w:r w:rsidR="000636C2">
        <w:rPr>
          <w:rtl/>
        </w:rPr>
        <w:t>،</w:t>
      </w:r>
      <w:r>
        <w:rPr>
          <w:rtl/>
        </w:rPr>
        <w:t xml:space="preserve"> وقالوا يجوز أن يمس ويمس</w:t>
      </w:r>
      <w:r w:rsidR="000636C2">
        <w:rPr>
          <w:rtl/>
        </w:rPr>
        <w:t>،</w:t>
      </w:r>
      <w:r>
        <w:rPr>
          <w:rtl/>
        </w:rPr>
        <w:t xml:space="preserve"> ويدني العبد من ذاته</w:t>
      </w:r>
      <w:r w:rsidR="000636C2">
        <w:rPr>
          <w:rtl/>
        </w:rPr>
        <w:t>،</w:t>
      </w:r>
      <w:r>
        <w:rPr>
          <w:rtl/>
        </w:rPr>
        <w:t xml:space="preserve"> وقال بعضهم ويتنفس</w:t>
      </w:r>
      <w:r w:rsidR="000636C2">
        <w:rPr>
          <w:rtl/>
        </w:rPr>
        <w:t>،</w:t>
      </w:r>
      <w:r>
        <w:rPr>
          <w:rtl/>
        </w:rPr>
        <w:t xml:space="preserve"> وقد لأخذوا بالظاهر في الأسماء والصفات</w:t>
      </w:r>
      <w:r w:rsidR="000636C2">
        <w:rPr>
          <w:rtl/>
        </w:rPr>
        <w:t>،</w:t>
      </w:r>
      <w:r>
        <w:rPr>
          <w:rtl/>
        </w:rPr>
        <w:t xml:space="preserve"> فسموها بالصفات تسمية مبتدعة لا دليل لهم في ذلك من النقل ولا من العقل</w:t>
      </w:r>
      <w:r w:rsidR="000636C2">
        <w:rPr>
          <w:rtl/>
        </w:rPr>
        <w:t>،</w:t>
      </w:r>
      <w:r>
        <w:rPr>
          <w:rtl/>
        </w:rPr>
        <w:t xml:space="preserve"> ولم بلتفتوا إلى النصوص الصارمة عن الظواهر </w:t>
      </w:r>
      <w:r>
        <w:rPr>
          <w:rtl/>
        </w:rPr>
        <w:lastRenderedPageBreak/>
        <w:t>إلى المعاني الواجبة لله تعال ولا إلى إلغاء ما يوجبه الظاهر من سمات الحدوث</w:t>
      </w:r>
      <w:r w:rsidR="000636C2">
        <w:rPr>
          <w:rtl/>
        </w:rPr>
        <w:t>،</w:t>
      </w:r>
      <w:r>
        <w:rPr>
          <w:rtl/>
        </w:rPr>
        <w:t xml:space="preserve"> ولم يقنعوا أن يقولوا صفة فعل</w:t>
      </w:r>
      <w:r w:rsidR="000636C2">
        <w:rPr>
          <w:rtl/>
        </w:rPr>
        <w:t>،</w:t>
      </w:r>
      <w:r>
        <w:rPr>
          <w:rtl/>
        </w:rPr>
        <w:t xml:space="preserve"> حتي قالوا صفة ذات</w:t>
      </w:r>
      <w:r w:rsidR="000636C2">
        <w:rPr>
          <w:rtl/>
        </w:rPr>
        <w:t>،</w:t>
      </w:r>
      <w:r>
        <w:rPr>
          <w:rtl/>
        </w:rPr>
        <w:t xml:space="preserve"> ثم لما أثبتوا أنها صفات ذات قالوا لا نحملها علي توجيه اللغة مثل يد علي نعمة وقدرة ومجيء واتيان علي معني بر ولطف</w:t>
      </w:r>
      <w:r w:rsidR="000636C2">
        <w:rPr>
          <w:rtl/>
        </w:rPr>
        <w:t>،</w:t>
      </w:r>
      <w:r>
        <w:rPr>
          <w:rtl/>
        </w:rPr>
        <w:t xml:space="preserve"> وساق علي شدة</w:t>
      </w:r>
      <w:r w:rsidR="000636C2">
        <w:rPr>
          <w:rtl/>
        </w:rPr>
        <w:t>،</w:t>
      </w:r>
      <w:r>
        <w:rPr>
          <w:rtl/>
        </w:rPr>
        <w:t xml:space="preserve"> بل قالوا نحملها علي ظواهرها</w:t>
      </w:r>
      <w:r w:rsidR="000636C2">
        <w:rPr>
          <w:rtl/>
        </w:rPr>
        <w:t>،</w:t>
      </w:r>
      <w:r>
        <w:rPr>
          <w:rtl/>
        </w:rPr>
        <w:t xml:space="preserve"> والظاهر المعهود من نعوت الآدميين</w:t>
      </w:r>
      <w:r w:rsidR="000636C2">
        <w:rPr>
          <w:rtl/>
        </w:rPr>
        <w:t>،</w:t>
      </w:r>
      <w:r>
        <w:rPr>
          <w:rtl/>
        </w:rPr>
        <w:t xml:space="preserve"> والشيء انما يجعل علي حقيقته إذا أمكن وهم يتجرحون من التشبيه ويأنفون من اضافته إليهم ويقولون نحن أهل السنة</w:t>
      </w:r>
      <w:r w:rsidR="000636C2">
        <w:rPr>
          <w:rtl/>
        </w:rPr>
        <w:t>،</w:t>
      </w:r>
      <w:r>
        <w:rPr>
          <w:rtl/>
        </w:rPr>
        <w:t xml:space="preserve"> وكلا منهم صريح في التشبيه وقد تبعهم خلق من العوام</w:t>
      </w:r>
      <w:r w:rsidR="000636C2">
        <w:rPr>
          <w:rtl/>
        </w:rPr>
        <w:t>،</w:t>
      </w:r>
      <w:r>
        <w:rPr>
          <w:rtl/>
        </w:rPr>
        <w:t xml:space="preserve"> فقد نصحت التابع والمتبوع فقلت لهم</w:t>
      </w:r>
      <w:r w:rsidR="000636C2">
        <w:rPr>
          <w:rtl/>
        </w:rPr>
        <w:t>:</w:t>
      </w:r>
      <w:r>
        <w:rPr>
          <w:rtl/>
        </w:rPr>
        <w:t xml:space="preserve"> يا أصحابنا أنتم أصحاب نقل واتباع وإمامكم الاكبر أحمد بن حنبل يقول وهو تحت السياط</w:t>
      </w:r>
      <w:r w:rsidR="000636C2">
        <w:rPr>
          <w:rtl/>
        </w:rPr>
        <w:t xml:space="preserve">: </w:t>
      </w:r>
      <w:r>
        <w:rPr>
          <w:rtl/>
        </w:rPr>
        <w:t>" كيف أقول ما لم يقل "</w:t>
      </w:r>
      <w:r w:rsidR="000636C2">
        <w:rPr>
          <w:rtl/>
        </w:rPr>
        <w:t>،</w:t>
      </w:r>
      <w:r>
        <w:rPr>
          <w:rtl/>
        </w:rPr>
        <w:t xml:space="preserve"> فإياكم أن تبتدعوا في مذهبه ما ليس فيه</w:t>
      </w:r>
      <w:r w:rsidR="000636C2">
        <w:rPr>
          <w:rtl/>
        </w:rPr>
        <w:t>،</w:t>
      </w:r>
      <w:r>
        <w:rPr>
          <w:rtl/>
        </w:rPr>
        <w:t xml:space="preserve"> ثم قلت في الأحاديث</w:t>
      </w:r>
      <w:r w:rsidR="000636C2">
        <w:rPr>
          <w:rtl/>
        </w:rPr>
        <w:t>،</w:t>
      </w:r>
      <w:r>
        <w:rPr>
          <w:rtl/>
        </w:rPr>
        <w:t xml:space="preserve"> تحمل علي ظاهرها . وظاهر القدم الجارحة</w:t>
      </w:r>
      <w:r w:rsidR="000636C2">
        <w:rPr>
          <w:rtl/>
        </w:rPr>
        <w:t>،</w:t>
      </w:r>
      <w:r>
        <w:rPr>
          <w:rtl/>
        </w:rPr>
        <w:t xml:space="preserve"> فإنه لما قيل في عيسي روح الله اعتقدت النصارى أن لله صفة هي روح ولجت في مريم ومن قال</w:t>
      </w:r>
      <w:r w:rsidR="000636C2">
        <w:rPr>
          <w:rtl/>
        </w:rPr>
        <w:t>:</w:t>
      </w:r>
      <w:r>
        <w:rPr>
          <w:rtl/>
        </w:rPr>
        <w:t xml:space="preserve"> استوي بذاته فقد أجراه مجري الحسيات</w:t>
      </w:r>
      <w:r w:rsidR="000636C2">
        <w:rPr>
          <w:rtl/>
        </w:rPr>
        <w:t>،</w:t>
      </w:r>
      <w:r>
        <w:rPr>
          <w:rtl/>
        </w:rPr>
        <w:t xml:space="preserve"> وينبغي أن لا يهمل ما يثبت به الأصل . وهو العقل</w:t>
      </w:r>
      <w:r w:rsidR="000636C2">
        <w:rPr>
          <w:rtl/>
        </w:rPr>
        <w:t>،</w:t>
      </w:r>
      <w:r>
        <w:rPr>
          <w:rtl/>
        </w:rPr>
        <w:t xml:space="preserve"> فإنه به عرفنا الله تعالى</w:t>
      </w:r>
      <w:r w:rsidR="000636C2">
        <w:rPr>
          <w:rtl/>
        </w:rPr>
        <w:t>،</w:t>
      </w:r>
      <w:r>
        <w:rPr>
          <w:rtl/>
        </w:rPr>
        <w:t xml:space="preserve"> وحكمنا له بالقدم</w:t>
      </w:r>
      <w:r w:rsidR="000636C2">
        <w:rPr>
          <w:rtl/>
        </w:rPr>
        <w:t>،</w:t>
      </w:r>
      <w:r>
        <w:rPr>
          <w:rtl/>
        </w:rPr>
        <w:t xml:space="preserve"> فلو أنكم قلتم</w:t>
      </w:r>
      <w:r w:rsidR="000636C2">
        <w:rPr>
          <w:rtl/>
        </w:rPr>
        <w:t>:</w:t>
      </w:r>
      <w:r>
        <w:rPr>
          <w:rtl/>
        </w:rPr>
        <w:t xml:space="preserve"> نقرأ الأحاديث ونسكت</w:t>
      </w:r>
      <w:r w:rsidR="000636C2">
        <w:rPr>
          <w:rtl/>
        </w:rPr>
        <w:t>،</w:t>
      </w:r>
      <w:r>
        <w:rPr>
          <w:rtl/>
        </w:rPr>
        <w:t xml:space="preserve"> ما أنكر عليكم أحد</w:t>
      </w:r>
      <w:r w:rsidR="000636C2">
        <w:rPr>
          <w:rtl/>
        </w:rPr>
        <w:t>،</w:t>
      </w:r>
      <w:r>
        <w:rPr>
          <w:rtl/>
        </w:rPr>
        <w:t xml:space="preserve"> إنما حملكم إياها علي الظاهر قبيح</w:t>
      </w:r>
      <w:r w:rsidR="000636C2">
        <w:rPr>
          <w:rtl/>
        </w:rPr>
        <w:t>،</w:t>
      </w:r>
      <w:r>
        <w:rPr>
          <w:rtl/>
        </w:rPr>
        <w:t xml:space="preserve"> فلا تدخلوا في مذهب هذا الرجل الصالح السلفي ما ليس فيه . ولقد كسيتم هذا المذهب شيئا قبيحا حتي لايقال حنبلي إلا مجسم</w:t>
      </w:r>
      <w:r w:rsidR="000636C2">
        <w:rPr>
          <w:rtl/>
        </w:rPr>
        <w:t>،</w:t>
      </w:r>
      <w:r>
        <w:rPr>
          <w:rtl/>
        </w:rPr>
        <w:t xml:space="preserve"> ثم زينتم مذهبكم بالعصبية ليزيد بن معاوية</w:t>
      </w:r>
      <w:r w:rsidR="000636C2">
        <w:rPr>
          <w:rtl/>
        </w:rPr>
        <w:t>،</w:t>
      </w:r>
      <w:r>
        <w:rPr>
          <w:rtl/>
        </w:rPr>
        <w:t xml:space="preserve"> ولقد علمتم أن صاحب المذهب أجاز لعنته</w:t>
      </w:r>
      <w:r w:rsidR="000636C2">
        <w:rPr>
          <w:rtl/>
        </w:rPr>
        <w:t>،</w:t>
      </w:r>
      <w:r>
        <w:rPr>
          <w:rtl/>
        </w:rPr>
        <w:t xml:space="preserve"> وقد كان أبو محمد التميمي يقول في بعض أئمتكم</w:t>
      </w:r>
      <w:r w:rsidR="000636C2">
        <w:rPr>
          <w:rtl/>
        </w:rPr>
        <w:t>:</w:t>
      </w:r>
      <w:r>
        <w:rPr>
          <w:rtl/>
        </w:rPr>
        <w:t xml:space="preserve"> لقد شان هذا المذهب شيئا قبيحا لا يغسل إلى يوم القيام</w:t>
      </w:r>
    </w:p>
    <w:p w14:paraId="5CF1BCED" w14:textId="77777777" w:rsidR="009C32A0" w:rsidRDefault="009C32A0" w:rsidP="000636C2">
      <w:pPr>
        <w:spacing w:after="240"/>
        <w:jc w:val="center"/>
        <w:rPr>
          <w:bCs/>
          <w:rtl/>
        </w:rPr>
      </w:pPr>
      <w:r>
        <w:rPr>
          <w:bCs/>
          <w:rtl/>
        </w:rPr>
        <w:t>فصل</w:t>
      </w:r>
    </w:p>
    <w:p w14:paraId="40E9B4F4" w14:textId="4B30C2B1" w:rsidR="009C32A0" w:rsidRDefault="000636C2" w:rsidP="000636C2">
      <w:pPr>
        <w:spacing w:after="240"/>
        <w:rPr>
          <w:rtl/>
        </w:rPr>
      </w:pPr>
      <w:r>
        <w:rPr>
          <w:bCs/>
          <w:rtl/>
        </w:rPr>
        <w:t>(</w:t>
      </w:r>
      <w:r w:rsidR="009C32A0">
        <w:rPr>
          <w:bCs/>
          <w:rtl/>
        </w:rPr>
        <w:t>قلت</w:t>
      </w:r>
      <w:r>
        <w:rPr>
          <w:bCs/>
          <w:rtl/>
        </w:rPr>
        <w:t>):</w:t>
      </w:r>
      <w:r w:rsidR="009C32A0">
        <w:rPr>
          <w:rtl/>
        </w:rPr>
        <w:t xml:space="preserve"> وقد وقع غلط المصنفين الذين ذكرتهم في سبعة أوجه</w:t>
      </w:r>
      <w:r>
        <w:rPr>
          <w:rtl/>
        </w:rPr>
        <w:t>:</w:t>
      </w:r>
      <w:r w:rsidR="009C32A0">
        <w:rPr>
          <w:rtl/>
        </w:rPr>
        <w:t xml:space="preserve"> </w:t>
      </w:r>
      <w:r>
        <w:rPr>
          <w:rtl/>
        </w:rPr>
        <w:t>(</w:t>
      </w:r>
      <w:r w:rsidR="009C32A0">
        <w:rPr>
          <w:rtl/>
        </w:rPr>
        <w:t>أحدها</w:t>
      </w:r>
      <w:r>
        <w:rPr>
          <w:rtl/>
        </w:rPr>
        <w:t>):</w:t>
      </w:r>
      <w:r w:rsidR="009C32A0">
        <w:rPr>
          <w:rtl/>
        </w:rPr>
        <w:t xml:space="preserve"> أنهم سموا الأخبار أخبار صفات</w:t>
      </w:r>
      <w:r>
        <w:rPr>
          <w:rtl/>
        </w:rPr>
        <w:t>،</w:t>
      </w:r>
      <w:r w:rsidR="009C32A0">
        <w:rPr>
          <w:rtl/>
        </w:rPr>
        <w:t xml:space="preserve"> وإنما هي إضافات</w:t>
      </w:r>
      <w:r>
        <w:rPr>
          <w:rtl/>
        </w:rPr>
        <w:t>،</w:t>
      </w:r>
      <w:r w:rsidR="009C32A0">
        <w:rPr>
          <w:rtl/>
        </w:rPr>
        <w:t xml:space="preserve"> وليس كل مضاف صفة</w:t>
      </w:r>
      <w:r>
        <w:rPr>
          <w:rtl/>
        </w:rPr>
        <w:t>،</w:t>
      </w:r>
      <w:r w:rsidR="009C32A0">
        <w:rPr>
          <w:rtl/>
        </w:rPr>
        <w:t xml:space="preserve"> فإنه قال سبحانه وتعالى</w:t>
      </w:r>
      <w:r>
        <w:rPr>
          <w:rtl/>
        </w:rPr>
        <w:t>:</w:t>
      </w:r>
      <w:r w:rsidR="009C32A0">
        <w:rPr>
          <w:rtl/>
        </w:rPr>
        <w:t xml:space="preserve"> " ونفخت فيه من روحي "</w:t>
      </w:r>
      <w:r>
        <w:rPr>
          <w:rtl/>
        </w:rPr>
        <w:t>،</w:t>
      </w:r>
      <w:r w:rsidR="009C32A0">
        <w:rPr>
          <w:rtl/>
        </w:rPr>
        <w:t xml:space="preserve"> وليس لله صفة تسمي روحا</w:t>
      </w:r>
      <w:r>
        <w:rPr>
          <w:rtl/>
        </w:rPr>
        <w:t>،</w:t>
      </w:r>
      <w:r w:rsidR="009C32A0">
        <w:rPr>
          <w:rtl/>
        </w:rPr>
        <w:t xml:space="preserve"> فقد ابتدع من سمي المضاف صفة</w:t>
      </w:r>
      <w:r>
        <w:rPr>
          <w:rtl/>
        </w:rPr>
        <w:t>،</w:t>
      </w:r>
      <w:r w:rsidR="009C32A0">
        <w:rPr>
          <w:rtl/>
        </w:rPr>
        <w:t xml:space="preserve"> </w:t>
      </w:r>
      <w:r>
        <w:rPr>
          <w:rtl/>
        </w:rPr>
        <w:t>(</w:t>
      </w:r>
      <w:r w:rsidR="009C32A0">
        <w:rPr>
          <w:rtl/>
        </w:rPr>
        <w:t>الثاني</w:t>
      </w:r>
      <w:r>
        <w:rPr>
          <w:rtl/>
        </w:rPr>
        <w:t>):</w:t>
      </w:r>
      <w:r w:rsidR="009C32A0">
        <w:rPr>
          <w:rtl/>
        </w:rPr>
        <w:t xml:space="preserve"> أنهم قالوا</w:t>
      </w:r>
      <w:r>
        <w:rPr>
          <w:rtl/>
        </w:rPr>
        <w:t>:</w:t>
      </w:r>
      <w:r w:rsidR="009C32A0">
        <w:rPr>
          <w:rtl/>
        </w:rPr>
        <w:t xml:space="preserve"> إن هذه الأحاديث من المتشابه الذي لا يعلمه إلا الله تعالى . ثم قالوا</w:t>
      </w:r>
      <w:r>
        <w:rPr>
          <w:rtl/>
        </w:rPr>
        <w:t>:</w:t>
      </w:r>
      <w:r w:rsidR="009C32A0">
        <w:rPr>
          <w:rtl/>
        </w:rPr>
        <w:t xml:space="preserve"> نحملها علي ظواهرها</w:t>
      </w:r>
      <w:r>
        <w:rPr>
          <w:rtl/>
        </w:rPr>
        <w:t>،</w:t>
      </w:r>
      <w:r w:rsidR="009C32A0">
        <w:rPr>
          <w:rtl/>
        </w:rPr>
        <w:t xml:space="preserve"> فواعجبا ما لا يعلمه إلا الله أي ظاهر له</w:t>
      </w:r>
      <w:r>
        <w:rPr>
          <w:rtl/>
        </w:rPr>
        <w:t>؟</w:t>
      </w:r>
      <w:r w:rsidR="009C32A0">
        <w:rPr>
          <w:rtl/>
        </w:rPr>
        <w:t xml:space="preserve"> فهل ظاهر الاستواء إلا القعود</w:t>
      </w:r>
      <w:r>
        <w:rPr>
          <w:rtl/>
        </w:rPr>
        <w:t>،</w:t>
      </w:r>
      <w:r w:rsidR="009C32A0">
        <w:rPr>
          <w:rtl/>
        </w:rPr>
        <w:t xml:space="preserve"> وظاهر النزول إلا الانتقال</w:t>
      </w:r>
      <w:r>
        <w:rPr>
          <w:rtl/>
        </w:rPr>
        <w:t>،</w:t>
      </w:r>
      <w:r w:rsidR="009C32A0">
        <w:rPr>
          <w:rtl/>
        </w:rPr>
        <w:t xml:space="preserve"> </w:t>
      </w:r>
      <w:r>
        <w:rPr>
          <w:rtl/>
        </w:rPr>
        <w:t>(</w:t>
      </w:r>
      <w:r w:rsidR="009C32A0">
        <w:rPr>
          <w:rtl/>
        </w:rPr>
        <w:t>الثالث</w:t>
      </w:r>
      <w:r>
        <w:rPr>
          <w:rtl/>
        </w:rPr>
        <w:t>):</w:t>
      </w:r>
      <w:r w:rsidR="009C32A0">
        <w:rPr>
          <w:rtl/>
        </w:rPr>
        <w:t xml:space="preserve"> أنهم أثبتوا لله تعالى صفات</w:t>
      </w:r>
      <w:r>
        <w:rPr>
          <w:rtl/>
        </w:rPr>
        <w:t>،</w:t>
      </w:r>
      <w:r w:rsidR="009C32A0">
        <w:rPr>
          <w:rtl/>
        </w:rPr>
        <w:t xml:space="preserve"> وصفات الحق لا تثبت إلا بما يثبت به الذات من الأدلة القطعية . وقال ابن حامد من رد ما يتعلق به بالأخبار الثابتة فهل يكفر</w:t>
      </w:r>
      <w:r>
        <w:rPr>
          <w:rtl/>
        </w:rPr>
        <w:t>؟</w:t>
      </w:r>
      <w:r w:rsidR="009C32A0">
        <w:rPr>
          <w:rtl/>
        </w:rPr>
        <w:t xml:space="preserve"> علي وجهين</w:t>
      </w:r>
      <w:r>
        <w:rPr>
          <w:rtl/>
        </w:rPr>
        <w:t>،</w:t>
      </w:r>
      <w:r w:rsidR="009C32A0">
        <w:rPr>
          <w:rtl/>
        </w:rPr>
        <w:t xml:space="preserve"> وقال</w:t>
      </w:r>
      <w:r>
        <w:rPr>
          <w:rtl/>
        </w:rPr>
        <w:t>:</w:t>
      </w:r>
      <w:r w:rsidR="009C32A0">
        <w:rPr>
          <w:rtl/>
        </w:rPr>
        <w:t xml:space="preserve"> غالب أصحابنا علي تكفير من خالف الأخبار في الساق والقدم والأصابع والكف ونظائر ذلك وأن كانت أخبار آحاد لأنها </w:t>
      </w:r>
      <w:r w:rsidR="009C32A0">
        <w:rPr>
          <w:rtl/>
        </w:rPr>
        <w:lastRenderedPageBreak/>
        <w:t>عندنا توجب العلم</w:t>
      </w:r>
      <w:r>
        <w:rPr>
          <w:rtl/>
        </w:rPr>
        <w:t>،</w:t>
      </w:r>
      <w:r w:rsidR="009C32A0">
        <w:rPr>
          <w:rtl/>
        </w:rPr>
        <w:t xml:space="preserve"> قلت: هذا قول ما لا يفهم الفقه ولا العقل</w:t>
      </w:r>
      <w:r>
        <w:rPr>
          <w:rtl/>
        </w:rPr>
        <w:t>،</w:t>
      </w:r>
      <w:r w:rsidR="009C32A0">
        <w:rPr>
          <w:rtl/>
        </w:rPr>
        <w:t xml:space="preserve"> </w:t>
      </w:r>
      <w:r>
        <w:rPr>
          <w:rtl/>
        </w:rPr>
        <w:t>(</w:t>
      </w:r>
      <w:r w:rsidR="009C32A0">
        <w:rPr>
          <w:rtl/>
        </w:rPr>
        <w:t>الرابع</w:t>
      </w:r>
      <w:r>
        <w:rPr>
          <w:rtl/>
        </w:rPr>
        <w:t>):</w:t>
      </w:r>
      <w:r w:rsidR="009C32A0">
        <w:rPr>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Pr>
          <w:rtl/>
        </w:rPr>
        <w:t>،</w:t>
      </w:r>
      <w:r w:rsidR="009C32A0">
        <w:rPr>
          <w:rtl/>
        </w:rPr>
        <w:t xml:space="preserve"> </w:t>
      </w:r>
      <w:r>
        <w:rPr>
          <w:rtl/>
        </w:rPr>
        <w:t>(</w:t>
      </w:r>
      <w:r w:rsidR="009C32A0">
        <w:rPr>
          <w:rtl/>
        </w:rPr>
        <w:t>الخامس)</w:t>
      </w:r>
      <w:r>
        <w:rPr>
          <w:rtl/>
        </w:rPr>
        <w:t>:</w:t>
      </w:r>
      <w:r w:rsidR="009C32A0">
        <w:rPr>
          <w:rtl/>
        </w:rPr>
        <w:t xml:space="preserve"> أنهم لم يفرقوا بين حديث مرفوع إلى النبي صلى الله عليه وسلم- وبين حديث موقوف علي صحابي أو تابعي فأثبتوا بهذا ما أثبتوا هذا</w:t>
      </w:r>
      <w:r>
        <w:rPr>
          <w:rtl/>
        </w:rPr>
        <w:t>،</w:t>
      </w:r>
      <w:r w:rsidR="009C32A0">
        <w:rPr>
          <w:rtl/>
        </w:rPr>
        <w:t xml:space="preserve"> </w:t>
      </w:r>
      <w:r>
        <w:rPr>
          <w:rtl/>
        </w:rPr>
        <w:t>(</w:t>
      </w:r>
      <w:r w:rsidR="009C32A0">
        <w:rPr>
          <w:rtl/>
        </w:rPr>
        <w:t>السادس</w:t>
      </w:r>
      <w:r>
        <w:rPr>
          <w:rtl/>
        </w:rPr>
        <w:t>):</w:t>
      </w:r>
      <w:r w:rsidR="009C32A0">
        <w:rPr>
          <w:rtl/>
        </w:rPr>
        <w:t xml:space="preserve"> أنهم تأولوا بعض الألفاظ في موضع ولم يتأولوها في آخر كقوله " ومن أتاني يمشي أتيته هرولة "</w:t>
      </w:r>
      <w:r>
        <w:rPr>
          <w:rtl/>
        </w:rPr>
        <w:t>،</w:t>
      </w:r>
      <w:r w:rsidR="009C32A0">
        <w:rPr>
          <w:rtl/>
        </w:rPr>
        <w:t xml:space="preserve"> قالوا هذا ضرب مثل مثل الأنعام</w:t>
      </w:r>
      <w:r>
        <w:rPr>
          <w:rtl/>
        </w:rPr>
        <w:t>،</w:t>
      </w:r>
      <w:r w:rsidR="009C32A0">
        <w:rPr>
          <w:rtl/>
        </w:rPr>
        <w:t xml:space="preserve"> وروي عن عمر بن عبد العزيز أنه قال</w:t>
      </w:r>
      <w:r>
        <w:rPr>
          <w:rtl/>
        </w:rPr>
        <w:t>:</w:t>
      </w:r>
      <w:r w:rsidR="009C32A0">
        <w:rPr>
          <w:rtl/>
        </w:rPr>
        <w:t>" إذا كان يوم القيامة جاء الله يمشي " فقالوا نحمله علي ظاهره فواعجبا من تأول حديث رسول الله صلى الله عليه وسلم ولا يتأول كلام عمر بن عبد العزيز</w:t>
      </w:r>
      <w:r>
        <w:rPr>
          <w:rtl/>
        </w:rPr>
        <w:t>،</w:t>
      </w:r>
      <w:r w:rsidR="009C32A0">
        <w:rPr>
          <w:rtl/>
        </w:rPr>
        <w:t xml:space="preserve"> </w:t>
      </w:r>
      <w:r>
        <w:rPr>
          <w:rtl/>
        </w:rPr>
        <w:t>(</w:t>
      </w:r>
      <w:r w:rsidR="009C32A0">
        <w:rPr>
          <w:rtl/>
        </w:rPr>
        <w:t>السابع</w:t>
      </w:r>
      <w:r>
        <w:rPr>
          <w:rtl/>
        </w:rPr>
        <w:t>):</w:t>
      </w:r>
      <w:r w:rsidR="009C32A0">
        <w:rPr>
          <w:rtl/>
        </w:rPr>
        <w:t xml:space="preserve"> أنهم حملوا الأحاديث علي مقتضي الحس فقالوا</w:t>
      </w:r>
      <w:r>
        <w:rPr>
          <w:rtl/>
        </w:rPr>
        <w:t>:</w:t>
      </w:r>
      <w:r w:rsidR="009C32A0">
        <w:rPr>
          <w:rtl/>
        </w:rPr>
        <w:t xml:space="preserve"> ينزل بذاته وينتقل ويتحرك</w:t>
      </w:r>
      <w:r>
        <w:rPr>
          <w:rtl/>
        </w:rPr>
        <w:t>،</w:t>
      </w:r>
      <w:r w:rsidR="009C32A0">
        <w:rPr>
          <w:rtl/>
        </w:rPr>
        <w:t xml:space="preserve"> ثم قالوا</w:t>
      </w:r>
      <w:r>
        <w:rPr>
          <w:rtl/>
        </w:rPr>
        <w:t>:</w:t>
      </w:r>
      <w:r w:rsidR="009C32A0">
        <w:rPr>
          <w:rtl/>
        </w:rPr>
        <w:t xml:space="preserve"> لاكما يعقل . فغالطوا من يسمع فكابروا الحس والعقل فحملوا الأحاديث علي الحسيات</w:t>
      </w:r>
      <w:r>
        <w:rPr>
          <w:rtl/>
        </w:rPr>
        <w:t>،</w:t>
      </w:r>
      <w:r w:rsidR="009C32A0">
        <w:rPr>
          <w:rtl/>
        </w:rPr>
        <w:t xml:space="preserve"> فرأيت الرد عليهم لازما لئلا ينسب الامام إلى ذلك</w:t>
      </w:r>
      <w:r>
        <w:rPr>
          <w:rtl/>
        </w:rPr>
        <w:t>،</w:t>
      </w:r>
      <w:r w:rsidR="009C32A0">
        <w:rPr>
          <w:rtl/>
        </w:rPr>
        <w:t xml:space="preserve"> وإذا سكت نسبت إلى اعتقاد ذلك</w:t>
      </w:r>
      <w:r>
        <w:rPr>
          <w:rtl/>
        </w:rPr>
        <w:t>،</w:t>
      </w:r>
      <w:r w:rsidR="009C32A0">
        <w:rPr>
          <w:rtl/>
        </w:rPr>
        <w:t xml:space="preserve"> ولا يهولني أمر عظيم في النفوس</w:t>
      </w:r>
      <w:r>
        <w:rPr>
          <w:rtl/>
        </w:rPr>
        <w:t>،</w:t>
      </w:r>
      <w:r w:rsidR="009C32A0">
        <w:rPr>
          <w:rtl/>
        </w:rPr>
        <w:t xml:space="preserve"> لأن العمل علي الدليل</w:t>
      </w:r>
      <w:r>
        <w:rPr>
          <w:rtl/>
        </w:rPr>
        <w:t>،</w:t>
      </w:r>
      <w:r w:rsidR="009C32A0">
        <w:rPr>
          <w:rtl/>
        </w:rPr>
        <w:t xml:space="preserve"> وخصوصا في معرفة الحق لا يجوز فيه التقليد .</w:t>
      </w:r>
    </w:p>
    <w:p w14:paraId="60CFBAD9" w14:textId="77777777" w:rsidR="009C32A0" w:rsidRDefault="009C32A0" w:rsidP="000636C2">
      <w:pPr>
        <w:spacing w:after="240"/>
        <w:jc w:val="center"/>
        <w:rPr>
          <w:bCs/>
          <w:rtl/>
        </w:rPr>
      </w:pPr>
      <w:r>
        <w:rPr>
          <w:bCs/>
          <w:rtl/>
        </w:rPr>
        <w:t>فصل</w:t>
      </w:r>
    </w:p>
    <w:p w14:paraId="1C3FF83E" w14:textId="5148B144" w:rsidR="009C32A0" w:rsidRDefault="009C32A0" w:rsidP="000636C2">
      <w:pPr>
        <w:spacing w:after="240"/>
        <w:rPr>
          <w:rtl/>
        </w:rPr>
      </w:pPr>
      <w:r>
        <w:rPr>
          <w:bCs/>
          <w:rtl/>
        </w:rPr>
        <w:t>فإن قال قائل</w:t>
      </w:r>
      <w:r w:rsidR="000636C2">
        <w:rPr>
          <w:rtl/>
        </w:rPr>
        <w:t>:</w:t>
      </w:r>
      <w:r>
        <w:rPr>
          <w:rtl/>
        </w:rPr>
        <w:t xml:space="preserve"> ما الذي دعا رسول الله صلى الله عليه وسلم أن يتكلم بألفاظ موهمة للتشبيه</w:t>
      </w:r>
      <w:r w:rsidR="000636C2">
        <w:rPr>
          <w:rtl/>
        </w:rPr>
        <w:t>؟(</w:t>
      </w:r>
      <w:r>
        <w:rPr>
          <w:rtl/>
        </w:rPr>
        <w:t>قلنا</w:t>
      </w:r>
      <w:r w:rsidR="000636C2">
        <w:rPr>
          <w:rtl/>
        </w:rPr>
        <w:t>):</w:t>
      </w:r>
      <w:r>
        <w:rPr>
          <w:rtl/>
        </w:rPr>
        <w:t xml:space="preserve"> إن الخلق غلب عليهم الحس فلا يكادون يعرفون غيره</w:t>
      </w:r>
      <w:r w:rsidR="000636C2">
        <w:rPr>
          <w:rtl/>
        </w:rPr>
        <w:t>،</w:t>
      </w:r>
      <w:r>
        <w:rPr>
          <w:rtl/>
        </w:rPr>
        <w:t xml:space="preserve"> وسببه المجانسه لهم في الحديث</w:t>
      </w:r>
      <w:r w:rsidR="000636C2">
        <w:rPr>
          <w:rtl/>
        </w:rPr>
        <w:t>،</w:t>
      </w:r>
      <w:r>
        <w:rPr>
          <w:rtl/>
        </w:rPr>
        <w:t xml:space="preserve"> فعبد قوم النجوم وأضافوا إليها المنافع والمضار</w:t>
      </w:r>
      <w:r w:rsidR="000636C2">
        <w:rPr>
          <w:rtl/>
        </w:rPr>
        <w:t>،</w:t>
      </w:r>
      <w:r>
        <w:rPr>
          <w:rtl/>
        </w:rPr>
        <w:t xml:space="preserve"> وعبد قوم النور وأضافوا إليه الخير</w:t>
      </w:r>
      <w:r w:rsidR="000636C2">
        <w:rPr>
          <w:rtl/>
        </w:rPr>
        <w:t>،</w:t>
      </w:r>
      <w:r>
        <w:rPr>
          <w:rtl/>
        </w:rPr>
        <w:t xml:space="preserve"> وأضافوا الشر إلى الظلمة</w:t>
      </w:r>
      <w:r w:rsidR="000636C2">
        <w:rPr>
          <w:rtl/>
        </w:rPr>
        <w:t>،</w:t>
      </w:r>
      <w:r>
        <w:rPr>
          <w:rtl/>
        </w:rPr>
        <w:t xml:space="preserve"> وعبد قوم الملائكة</w:t>
      </w:r>
      <w:r w:rsidR="000636C2">
        <w:rPr>
          <w:rtl/>
        </w:rPr>
        <w:t>،</w:t>
      </w:r>
      <w:r>
        <w:rPr>
          <w:rtl/>
        </w:rPr>
        <w:t xml:space="preserve"> وقوم الشمس وقوم عيسي</w:t>
      </w:r>
      <w:r w:rsidR="000636C2">
        <w:rPr>
          <w:rtl/>
        </w:rPr>
        <w:t>،</w:t>
      </w:r>
      <w:r>
        <w:rPr>
          <w:rtl/>
        </w:rPr>
        <w:t xml:space="preserve"> وقوم عزيز</w:t>
      </w:r>
      <w:r w:rsidR="000636C2">
        <w:rPr>
          <w:rtl/>
        </w:rPr>
        <w:t>،</w:t>
      </w:r>
      <w:r>
        <w:rPr>
          <w:rtl/>
        </w:rPr>
        <w:t xml:space="preserve"> وعبد قوم البقر والأكثرون الاصنام فآنست نفوسهم بالحس المقطوع بوجوده ولذلك قال قوم لموسي</w:t>
      </w:r>
      <w:r w:rsidR="000636C2">
        <w:rPr>
          <w:rtl/>
        </w:rPr>
        <w:t>:</w:t>
      </w:r>
      <w:r>
        <w:rPr>
          <w:rtl/>
        </w:rPr>
        <w:t xml:space="preserve">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يحويه مكان ولا جهة من الجهات الست وليس بمتحرك ولا ساكن ولا تدركه الإحساس لو قالوا حد لنا النفي بأن تميز ما تدعونا إلى عبادته عن النفي وإلا فأنت تدعوا إلى عدم .فلما علم الحق سبحانه وتعالى ذلك جاءهم بأسماء يعقلونها من السمع والبصر والحلم والغضب وبني البيت وجعل الحجر بمثابة اليمين المصافحة</w:t>
      </w:r>
      <w:r w:rsidR="000636C2">
        <w:rPr>
          <w:rtl/>
        </w:rPr>
        <w:t>،</w:t>
      </w:r>
      <w:r>
        <w:rPr>
          <w:rtl/>
        </w:rPr>
        <w:t xml:space="preserve"> وجاء بذكر الوجه واليدين و القدم والاستواء والنزول لأن المقصود الإثبات فهو الأهم عند الشرع من التنزيه</w:t>
      </w:r>
      <w:r w:rsidR="000636C2">
        <w:rPr>
          <w:rtl/>
        </w:rPr>
        <w:t>،</w:t>
      </w:r>
      <w:r>
        <w:rPr>
          <w:rtl/>
        </w:rPr>
        <w:t xml:space="preserve"> وإن </w:t>
      </w:r>
      <w:r>
        <w:rPr>
          <w:rtl/>
        </w:rPr>
        <w:lastRenderedPageBreak/>
        <w:t>كان التنزيه منها</w:t>
      </w:r>
      <w:r w:rsidR="000636C2">
        <w:rPr>
          <w:rtl/>
        </w:rPr>
        <w:t>،</w:t>
      </w:r>
      <w:r>
        <w:rPr>
          <w:rtl/>
        </w:rPr>
        <w:t xml:space="preserve"> ولهذا قال للجارية أين الله</w:t>
      </w:r>
      <w:r w:rsidR="000636C2">
        <w:rPr>
          <w:rtl/>
        </w:rPr>
        <w:t>،</w:t>
      </w:r>
      <w:r>
        <w:rPr>
          <w:rtl/>
        </w:rPr>
        <w:t xml:space="preserve"> وقيل له أيضحك ربنا</w:t>
      </w:r>
      <w:r w:rsidR="000636C2">
        <w:rPr>
          <w:rtl/>
        </w:rPr>
        <w:t>؟</w:t>
      </w:r>
      <w:r>
        <w:rPr>
          <w:rtl/>
        </w:rPr>
        <w:t xml:space="preserve"> قال نعم</w:t>
      </w:r>
      <w:r w:rsidR="000636C2">
        <w:rPr>
          <w:rtl/>
        </w:rPr>
        <w:t>،</w:t>
      </w:r>
      <w:r>
        <w:rPr>
          <w:rtl/>
        </w:rPr>
        <w:t xml:space="preserve"> فلما أثبت وجوده بذكر صور الحسيات نفي خيال التشبيه بقوله " ليس كمثله شئ" ثم لم يذكر الرسول الأحاديث جمله وإنما كان يذكر الكلمة في الأحيان فقد غلط من ألفها أبوابا علي ترتيب صورة غلطا قبيحا</w:t>
      </w:r>
      <w:r w:rsidR="000636C2">
        <w:rPr>
          <w:rtl/>
        </w:rPr>
        <w:t>،</w:t>
      </w:r>
      <w:r>
        <w:rPr>
          <w:rtl/>
        </w:rPr>
        <w:t xml:space="preserve"> ثم هي مجموعها يسيرة</w:t>
      </w:r>
      <w:r w:rsidR="000636C2">
        <w:rPr>
          <w:rtl/>
        </w:rPr>
        <w:t>،</w:t>
      </w:r>
      <w:r>
        <w:rPr>
          <w:rtl/>
        </w:rPr>
        <w:t xml:space="preserve"> والصحيح منها يسير</w:t>
      </w:r>
      <w:r w:rsidR="000636C2">
        <w:rPr>
          <w:rtl/>
        </w:rPr>
        <w:t>:</w:t>
      </w:r>
      <w:r>
        <w:rPr>
          <w:rtl/>
        </w:rPr>
        <w:t xml:space="preserve"> ثم هو عربي وله التجوز</w:t>
      </w:r>
      <w:r w:rsidR="000636C2">
        <w:rPr>
          <w:rtl/>
        </w:rPr>
        <w:t>،</w:t>
      </w:r>
      <w:r>
        <w:rPr>
          <w:rtl/>
        </w:rPr>
        <w:t xml:space="preserve"> أليس هو القائل " تأتي البقرة وآل عمران كأنهما غمامتان أو فرقان من طير صاف</w:t>
      </w:r>
      <w:r w:rsidR="000636C2">
        <w:rPr>
          <w:rtl/>
        </w:rPr>
        <w:t>،</w:t>
      </w:r>
      <w:r>
        <w:rPr>
          <w:rtl/>
        </w:rPr>
        <w:t xml:space="preserve"> ويؤتي بالموت في صورة كبش أملح فيذبح "</w:t>
      </w:r>
      <w:r w:rsidR="000636C2">
        <w:rPr>
          <w:rtl/>
        </w:rPr>
        <w:t>،</w:t>
      </w:r>
      <w:r>
        <w:rPr>
          <w:rtl/>
        </w:rPr>
        <w:t xml:space="preserve"> فإن قيل لم سكت السلف عن تفسير الأحاديث قالوا</w:t>
      </w:r>
      <w:r w:rsidR="000636C2">
        <w:rPr>
          <w:rtl/>
        </w:rPr>
        <w:t>:</w:t>
      </w:r>
      <w:r>
        <w:rPr>
          <w:rtl/>
        </w:rPr>
        <w:t xml:space="preserve"> أمروها كما جاءت</w:t>
      </w:r>
      <w:r w:rsidR="000636C2">
        <w:rPr>
          <w:rtl/>
        </w:rPr>
        <w:t>؟</w:t>
      </w:r>
      <w:r>
        <w:rPr>
          <w:rtl/>
        </w:rPr>
        <w:t xml:space="preserve"> </w:t>
      </w:r>
      <w:r w:rsidR="000636C2">
        <w:rPr>
          <w:rtl/>
        </w:rPr>
        <w:t>(</w:t>
      </w:r>
      <w:r>
        <w:rPr>
          <w:rtl/>
        </w:rPr>
        <w:t>قلت</w:t>
      </w:r>
      <w:r w:rsidR="000636C2">
        <w:rPr>
          <w:rtl/>
        </w:rPr>
        <w:t>):</w:t>
      </w:r>
      <w:r>
        <w:rPr>
          <w:rtl/>
        </w:rPr>
        <w:t xml:space="preserve"> لثلاثة أوجه</w:t>
      </w:r>
      <w:r w:rsidR="000636C2">
        <w:rPr>
          <w:rtl/>
        </w:rPr>
        <w:t>:</w:t>
      </w:r>
      <w:r>
        <w:rPr>
          <w:rtl/>
        </w:rPr>
        <w:t xml:space="preserve"> </w:t>
      </w:r>
      <w:r w:rsidR="000636C2">
        <w:rPr>
          <w:rtl/>
        </w:rPr>
        <w:t>((</w:t>
      </w:r>
      <w:r>
        <w:rPr>
          <w:rtl/>
        </w:rPr>
        <w:t>أحدهما</w:t>
      </w:r>
      <w:r w:rsidR="000636C2">
        <w:rPr>
          <w:rtl/>
        </w:rPr>
        <w:t>):):</w:t>
      </w:r>
      <w:r>
        <w:rPr>
          <w:rtl/>
        </w:rPr>
        <w:t xml:space="preserve"> أنها ذكرت للايناس بموجود فإذا فسرت لم يحصل الايناس مع أن فيها ما لابد من تأويله كقوله تعالى</w:t>
      </w:r>
      <w:r w:rsidR="000636C2">
        <w:rPr>
          <w:rtl/>
        </w:rPr>
        <w:t>:</w:t>
      </w:r>
      <w:r>
        <w:rPr>
          <w:rtl/>
        </w:rPr>
        <w:t xml:space="preserve"> </w:t>
      </w:r>
      <w:r w:rsidR="000636C2">
        <w:rPr>
          <w:rtl/>
        </w:rPr>
        <w:t>{</w:t>
      </w:r>
      <w:r>
        <w:rPr>
          <w:rtl/>
        </w:rPr>
        <w:t>وجاء ربك " أي جاء أمره . وقال أحمد بن حنبل</w:t>
      </w:r>
      <w:r w:rsidR="000636C2">
        <w:rPr>
          <w:rtl/>
        </w:rPr>
        <w:t>:</w:t>
      </w:r>
      <w:r>
        <w:rPr>
          <w:rtl/>
        </w:rPr>
        <w:t xml:space="preserve"> وإنما صرفه إلى ذلك أدلة العقل فإنه لا يجوز عليه الانتقال</w:t>
      </w:r>
      <w:r w:rsidR="000636C2">
        <w:rPr>
          <w:rtl/>
        </w:rPr>
        <w:t>،</w:t>
      </w:r>
      <w:r>
        <w:rPr>
          <w:rtl/>
        </w:rPr>
        <w:t xml:space="preserve"> و </w:t>
      </w:r>
      <w:r w:rsidR="000636C2">
        <w:rPr>
          <w:rtl/>
        </w:rPr>
        <w:t>(</w:t>
      </w:r>
      <w:r>
        <w:rPr>
          <w:rtl/>
        </w:rPr>
        <w:t>الوجه الثاني</w:t>
      </w:r>
      <w:r w:rsidR="000636C2">
        <w:rPr>
          <w:rtl/>
        </w:rPr>
        <w:t>):</w:t>
      </w:r>
      <w:r>
        <w:rPr>
          <w:rtl/>
        </w:rPr>
        <w:t xml:space="preserve"> أنه لو تأولت اليد بمعني القدرة جاز أن يتناول معني القوة فيحصل الخطر بالصرف عما يحتمل</w:t>
      </w:r>
      <w:r w:rsidR="000636C2">
        <w:rPr>
          <w:rtl/>
        </w:rPr>
        <w:t>،</w:t>
      </w:r>
      <w:r>
        <w:rPr>
          <w:rtl/>
        </w:rPr>
        <w:t xml:space="preserve"> و </w:t>
      </w:r>
      <w:r w:rsidR="000636C2">
        <w:rPr>
          <w:rtl/>
        </w:rPr>
        <w:t>(</w:t>
      </w:r>
      <w:r>
        <w:rPr>
          <w:rtl/>
        </w:rPr>
        <w:t>الثالث</w:t>
      </w:r>
      <w:r w:rsidR="000636C2">
        <w:rPr>
          <w:rtl/>
        </w:rPr>
        <w:t>):</w:t>
      </w:r>
      <w:r>
        <w:rPr>
          <w:rtl/>
        </w:rPr>
        <w:t xml:space="preserve"> أنهم لو أطلقوا في التأويل اتسع الخرق فخلط المتأول</w:t>
      </w:r>
      <w:r w:rsidR="000636C2">
        <w:rPr>
          <w:rtl/>
        </w:rPr>
        <w:t>،</w:t>
      </w:r>
      <w:r>
        <w:rPr>
          <w:rtl/>
        </w:rPr>
        <w:t xml:space="preserve"> فإذا سأل العامي عن قوله تعالى</w:t>
      </w:r>
      <w:r w:rsidR="000636C2">
        <w:rPr>
          <w:rtl/>
        </w:rPr>
        <w:t>:</w:t>
      </w:r>
      <w:r>
        <w:rPr>
          <w:rtl/>
        </w:rPr>
        <w:t xml:space="preserve"> </w:t>
      </w:r>
      <w:r w:rsidR="000636C2">
        <w:rPr>
          <w:rtl/>
        </w:rPr>
        <w:t>{</w:t>
      </w:r>
      <w:r>
        <w:rPr>
          <w:rtl/>
        </w:rPr>
        <w:t>ثم استوي علي العرش " قيل له الاستواء معلم والكيف غير معقول والايمان به واجب والسؤال عنه بدعه وإنما فعلنا هذا لان العوام لا يدركون الغوامض</w:t>
      </w:r>
      <w:r w:rsidR="000636C2">
        <w:rPr>
          <w:rtl/>
        </w:rPr>
        <w:t>،</w:t>
      </w:r>
      <w:r>
        <w:rPr>
          <w:rtl/>
        </w:rPr>
        <w:t xml:space="preserve"> </w:t>
      </w:r>
    </w:p>
    <w:p w14:paraId="5D231B18" w14:textId="77777777" w:rsidR="009C32A0" w:rsidRDefault="009C32A0" w:rsidP="000636C2">
      <w:pPr>
        <w:spacing w:after="240"/>
        <w:jc w:val="center"/>
        <w:rPr>
          <w:bCs/>
          <w:rtl/>
        </w:rPr>
      </w:pPr>
      <w:r>
        <w:rPr>
          <w:bCs/>
          <w:rtl/>
        </w:rPr>
        <w:t>فصل</w:t>
      </w:r>
    </w:p>
    <w:p w14:paraId="26D346E1" w14:textId="0D345A47" w:rsidR="009C32A0" w:rsidRDefault="009C32A0" w:rsidP="000636C2">
      <w:pPr>
        <w:spacing w:after="240"/>
        <w:rPr>
          <w:rtl/>
        </w:rPr>
      </w:pPr>
      <w:r>
        <w:rPr>
          <w:bCs/>
          <w:rtl/>
        </w:rPr>
        <w:t>وكان الإمام أحمد يقول</w:t>
      </w:r>
      <w:r w:rsidR="000636C2">
        <w:rPr>
          <w:rtl/>
        </w:rPr>
        <w:t>:</w:t>
      </w:r>
      <w:r>
        <w:rPr>
          <w:rtl/>
        </w:rPr>
        <w:t xml:space="preserve"> أمروا الأحاديث كما جاءت وعلي هذا من كبار أصحابه كإبراهيم الحربي</w:t>
      </w:r>
      <w:r w:rsidR="000636C2">
        <w:rPr>
          <w:rtl/>
        </w:rPr>
        <w:t>،</w:t>
      </w:r>
      <w:r>
        <w:rPr>
          <w:rtl/>
        </w:rPr>
        <w:t xml:space="preserve"> وابي داود الأشرم</w:t>
      </w:r>
      <w:r w:rsidR="000636C2">
        <w:rPr>
          <w:rtl/>
        </w:rPr>
        <w:t>،</w:t>
      </w:r>
      <w:r>
        <w:rPr>
          <w:rtl/>
        </w:rPr>
        <w:t xml:space="preserve"> ومن كبار أصحابنا أبو الحسن التميمي</w:t>
      </w:r>
      <w:r w:rsidR="000636C2">
        <w:rPr>
          <w:rtl/>
        </w:rPr>
        <w:t>،</w:t>
      </w:r>
      <w:r>
        <w:rPr>
          <w:rtl/>
        </w:rPr>
        <w:t xml:space="preserve"> وأبو محمد رزق الله بن عبد الوهاب</w:t>
      </w:r>
      <w:r w:rsidR="000636C2">
        <w:rPr>
          <w:rtl/>
        </w:rPr>
        <w:t>،</w:t>
      </w:r>
      <w:r>
        <w:rPr>
          <w:rtl/>
        </w:rPr>
        <w:t xml:space="preserve"> وأبو الوفاء بن عقيل فنبغ الثلاثة الذين ذكرناهم ابن حامد والقاضي والزاغوني</w:t>
      </w:r>
      <w:r w:rsidR="000636C2">
        <w:rPr>
          <w:rtl/>
        </w:rPr>
        <w:t>،</w:t>
      </w:r>
      <w:r>
        <w:rPr>
          <w:rtl/>
        </w:rPr>
        <w:t xml:space="preserve"> وقد سئل الإمام أحمد عن مسألة فأفتي فيها فقيل هذا لا يقول به ابن المبارك فقال</w:t>
      </w:r>
      <w:r w:rsidR="000636C2">
        <w:rPr>
          <w:rtl/>
        </w:rPr>
        <w:t>:</w:t>
      </w:r>
      <w:r>
        <w:rPr>
          <w:rtl/>
        </w:rPr>
        <w:t xml:space="preserve"> ابن المبارك لم ينزل من السماء، وقال الإمام الشافعي رضي الله عنه</w:t>
      </w:r>
      <w:r w:rsidR="000636C2">
        <w:rPr>
          <w:rtl/>
        </w:rPr>
        <w:t>:</w:t>
      </w:r>
      <w:r>
        <w:rPr>
          <w:rtl/>
        </w:rPr>
        <w:t xml:space="preserve"> استخرت الله تعالى في الرد علي الإمام مالك . ولما صنف هؤلاء الثلاثة كتبا</w:t>
      </w:r>
      <w:r w:rsidR="000636C2">
        <w:rPr>
          <w:rtl/>
        </w:rPr>
        <w:t>،</w:t>
      </w:r>
      <w:r>
        <w:rPr>
          <w:rtl/>
        </w:rPr>
        <w:t xml:space="preserve"> وانفرد القاضي فصنف الأحاديث التي ذكرتها علي ترتيبه</w:t>
      </w:r>
      <w:r w:rsidR="000636C2">
        <w:rPr>
          <w:rtl/>
        </w:rPr>
        <w:t>،</w:t>
      </w:r>
      <w:r>
        <w:rPr>
          <w:rtl/>
        </w:rPr>
        <w:t xml:space="preserve"> وقدمت عليها الآيات التي وردت في ذلك</w:t>
      </w:r>
      <w:r w:rsidR="000636C2">
        <w:rPr>
          <w:rtl/>
        </w:rPr>
        <w:t>،</w:t>
      </w:r>
      <w:r>
        <w:rPr>
          <w:rtl/>
        </w:rPr>
        <w:t xml:space="preserve"> </w:t>
      </w:r>
    </w:p>
    <w:p w14:paraId="1252F371" w14:textId="77777777" w:rsidR="009C32A0" w:rsidRDefault="009C32A0" w:rsidP="000636C2">
      <w:pPr>
        <w:spacing w:after="240"/>
        <w:jc w:val="center"/>
        <w:rPr>
          <w:bCs/>
          <w:rtl/>
        </w:rPr>
      </w:pPr>
      <w:r>
        <w:rPr>
          <w:bCs/>
          <w:rtl/>
        </w:rPr>
        <w:t>باب ما جاء في القرآن من ذلك</w:t>
      </w:r>
    </w:p>
    <w:p w14:paraId="1351F764" w14:textId="3348854D" w:rsidR="009C32A0" w:rsidRDefault="009C32A0" w:rsidP="000636C2">
      <w:pPr>
        <w:spacing w:after="240"/>
        <w:rPr>
          <w:rtl/>
        </w:rPr>
      </w:pPr>
      <w:r>
        <w:rPr>
          <w:bCs/>
          <w:rtl/>
        </w:rPr>
        <w:t>قال الله تعالى</w:t>
      </w:r>
      <w:r w:rsidR="000636C2">
        <w:rPr>
          <w:rtl/>
        </w:rPr>
        <w:t>:</w:t>
      </w:r>
      <w:r>
        <w:rPr>
          <w:rtl/>
        </w:rPr>
        <w:t xml:space="preserve"> </w:t>
      </w:r>
      <w:r w:rsidR="000636C2">
        <w:rPr>
          <w:rtl/>
        </w:rPr>
        <w:t>{</w:t>
      </w:r>
      <w:r>
        <w:rPr>
          <w:rtl/>
        </w:rPr>
        <w:t>ويبقي وجه ربك ذي الجلال والإكرام</w:t>
      </w:r>
      <w:r w:rsidR="000636C2">
        <w:rPr>
          <w:rtl/>
        </w:rPr>
        <w:t>}،</w:t>
      </w:r>
      <w:r>
        <w:rPr>
          <w:rtl/>
        </w:rPr>
        <w:t xml:space="preserve"> قال المفسرون</w:t>
      </w:r>
      <w:r w:rsidR="000636C2">
        <w:rPr>
          <w:rtl/>
        </w:rPr>
        <w:t>:</w:t>
      </w:r>
      <w:r>
        <w:rPr>
          <w:rtl/>
        </w:rPr>
        <w:t xml:space="preserve"> يبقي ربك</w:t>
      </w:r>
      <w:r w:rsidR="000636C2">
        <w:rPr>
          <w:rtl/>
        </w:rPr>
        <w:t>،</w:t>
      </w:r>
      <w:r>
        <w:rPr>
          <w:rtl/>
        </w:rPr>
        <w:t xml:space="preserve"> وكذا قالوا في قوله " يريدون وجهه ". أي يريدونه</w:t>
      </w:r>
      <w:r w:rsidR="000636C2">
        <w:rPr>
          <w:rtl/>
        </w:rPr>
        <w:t>،</w:t>
      </w:r>
      <w:r>
        <w:rPr>
          <w:rtl/>
        </w:rPr>
        <w:t xml:space="preserve"> وقال الضحاك و أبو عبيدة في قوله " كل شئ هالك إلا وجهه " أي إلا هو</w:t>
      </w:r>
      <w:r w:rsidR="000636C2">
        <w:rPr>
          <w:rtl/>
        </w:rPr>
        <w:t>،</w:t>
      </w:r>
      <w:r>
        <w:rPr>
          <w:rtl/>
        </w:rPr>
        <w:t xml:space="preserve"> وقد ذهب الذين أنكرنا عليهم إلى أن الوجه صفة باسم زائد علي الذات</w:t>
      </w:r>
      <w:r w:rsidR="000636C2">
        <w:rPr>
          <w:rtl/>
        </w:rPr>
        <w:t>،</w:t>
      </w:r>
      <w:r>
        <w:rPr>
          <w:rtl/>
        </w:rPr>
        <w:t xml:space="preserve"> </w:t>
      </w:r>
      <w:r w:rsidR="000636C2">
        <w:rPr>
          <w:rtl/>
        </w:rPr>
        <w:t>(</w:t>
      </w:r>
      <w:r>
        <w:rPr>
          <w:rtl/>
        </w:rPr>
        <w:t>قلت</w:t>
      </w:r>
      <w:r w:rsidR="000636C2">
        <w:rPr>
          <w:rtl/>
        </w:rPr>
        <w:t>):</w:t>
      </w:r>
      <w:r>
        <w:rPr>
          <w:rtl/>
        </w:rPr>
        <w:t xml:space="preserve"> فمن أين قالوا </w:t>
      </w:r>
      <w:r>
        <w:rPr>
          <w:rtl/>
        </w:rPr>
        <w:lastRenderedPageBreak/>
        <w:t>هذا وليس لهم دليل إلا ما عرفوه من الحسيات</w:t>
      </w:r>
      <w:r w:rsidR="000636C2">
        <w:rPr>
          <w:rtl/>
        </w:rPr>
        <w:t>؟</w:t>
      </w:r>
      <w:r>
        <w:rPr>
          <w:rtl/>
        </w:rPr>
        <w:t xml:space="preserve"> وذلك يوجب التبغيض</w:t>
      </w:r>
      <w:r w:rsidR="000636C2">
        <w:rPr>
          <w:rtl/>
        </w:rPr>
        <w:t>،</w:t>
      </w:r>
      <w:r>
        <w:rPr>
          <w:rtl/>
        </w:rPr>
        <w:t xml:space="preserve"> ولوكان كما قالوا</w:t>
      </w:r>
      <w:r w:rsidR="000636C2">
        <w:rPr>
          <w:rtl/>
        </w:rPr>
        <w:t>:</w:t>
      </w:r>
      <w:r>
        <w:rPr>
          <w:rtl/>
        </w:rPr>
        <w:t>كان المعني</w:t>
      </w:r>
      <w:r w:rsidR="000636C2">
        <w:rPr>
          <w:rtl/>
        </w:rPr>
        <w:t>:</w:t>
      </w:r>
      <w:r>
        <w:rPr>
          <w:rtl/>
        </w:rPr>
        <w:t xml:space="preserve"> أن ذاته تهلك الا وجهه . وقال بن حامد</w:t>
      </w:r>
      <w:r w:rsidR="000636C2">
        <w:rPr>
          <w:rtl/>
        </w:rPr>
        <w:t>:</w:t>
      </w:r>
      <w:r>
        <w:rPr>
          <w:rtl/>
        </w:rPr>
        <w:t xml:space="preserve"> أثبتنا لله وجها ولا نجوز إثبات الرأس . </w:t>
      </w:r>
      <w:r w:rsidR="000636C2">
        <w:rPr>
          <w:rtl/>
        </w:rPr>
        <w:t>(</w:t>
      </w:r>
      <w:r>
        <w:rPr>
          <w:rtl/>
        </w:rPr>
        <w:t>قلت</w:t>
      </w:r>
      <w:r w:rsidR="000636C2">
        <w:rPr>
          <w:rtl/>
        </w:rPr>
        <w:t>):</w:t>
      </w:r>
      <w:r>
        <w:rPr>
          <w:rtl/>
        </w:rPr>
        <w:t xml:space="preserve"> ولقد اقشعر بدني من جراءته علي ذكر هذا فما أعوزه في التشبيه غير الرأس</w:t>
      </w:r>
      <w:r w:rsidR="000636C2">
        <w:rPr>
          <w:rtl/>
        </w:rPr>
        <w:t>،</w:t>
      </w:r>
      <w:r>
        <w:rPr>
          <w:rtl/>
        </w:rPr>
        <w:t xml:space="preserve"> </w:t>
      </w:r>
      <w:r w:rsidR="000636C2">
        <w:rPr>
          <w:rtl/>
        </w:rPr>
        <w:t>(</w:t>
      </w:r>
      <w:r>
        <w:rPr>
          <w:rtl/>
        </w:rPr>
        <w:t>قلت</w:t>
      </w:r>
      <w:r w:rsidR="000636C2">
        <w:rPr>
          <w:rtl/>
        </w:rPr>
        <w:t>):</w:t>
      </w:r>
      <w:r>
        <w:rPr>
          <w:rtl/>
        </w:rPr>
        <w:t xml:space="preserve"> ومن ذلك قوله</w:t>
      </w:r>
      <w:r w:rsidR="000636C2">
        <w:rPr>
          <w:rtl/>
        </w:rPr>
        <w:t>:</w:t>
      </w:r>
      <w:r>
        <w:rPr>
          <w:rtl/>
        </w:rPr>
        <w:t xml:space="preserve"> </w:t>
      </w:r>
      <w:r w:rsidR="000636C2">
        <w:rPr>
          <w:rtl/>
        </w:rPr>
        <w:t>{</w:t>
      </w:r>
      <w:r>
        <w:rPr>
          <w:rtl/>
        </w:rPr>
        <w:t>ولتصنع علي عيني</w:t>
      </w:r>
      <w:r w:rsidR="000636C2">
        <w:rPr>
          <w:rtl/>
        </w:rPr>
        <w:t>}،</w:t>
      </w:r>
      <w:r>
        <w:rPr>
          <w:rtl/>
        </w:rPr>
        <w:t xml:space="preserve"> </w:t>
      </w:r>
      <w:r w:rsidR="000636C2">
        <w:rPr>
          <w:rtl/>
        </w:rPr>
        <w:t>{</w:t>
      </w:r>
      <w:r>
        <w:rPr>
          <w:rtl/>
        </w:rPr>
        <w:t>واصنع الفلك بأعيننا</w:t>
      </w:r>
      <w:r w:rsidR="000636C2">
        <w:rPr>
          <w:rtl/>
        </w:rPr>
        <w:t>}،</w:t>
      </w:r>
      <w:r>
        <w:rPr>
          <w:rtl/>
        </w:rPr>
        <w:t xml:space="preserve"> قال المفسرون بأمرنا</w:t>
      </w:r>
      <w:r w:rsidR="000636C2">
        <w:rPr>
          <w:rtl/>
        </w:rPr>
        <w:t>،</w:t>
      </w:r>
      <w:r>
        <w:rPr>
          <w:rtl/>
        </w:rPr>
        <w:t xml:space="preserve"> أي بمرأي منا</w:t>
      </w:r>
      <w:r w:rsidR="000636C2">
        <w:rPr>
          <w:rtl/>
        </w:rPr>
        <w:t>،</w:t>
      </w:r>
      <w:r>
        <w:rPr>
          <w:rtl/>
        </w:rPr>
        <w:t xml:space="preserve"> </w:t>
      </w:r>
      <w:r w:rsidR="000636C2">
        <w:rPr>
          <w:rtl/>
        </w:rPr>
        <w:t>(</w:t>
      </w:r>
      <w:r>
        <w:rPr>
          <w:rtl/>
        </w:rPr>
        <w:t>قال أبو بكر بن الأنباري</w:t>
      </w:r>
      <w:r w:rsidR="000636C2">
        <w:rPr>
          <w:rtl/>
        </w:rPr>
        <w:t>:</w:t>
      </w:r>
      <w:r>
        <w:rPr>
          <w:rtl/>
        </w:rPr>
        <w:t xml:space="preserve"> أما جمع العين علي مذهب العرب في ايقاعها الجمع علي الواحد يقول: خرجنا في السفر إلى البصرة</w:t>
      </w:r>
      <w:r w:rsidR="000636C2">
        <w:rPr>
          <w:rtl/>
        </w:rPr>
        <w:t>)</w:t>
      </w:r>
      <w:r>
        <w:rPr>
          <w:rtl/>
        </w:rPr>
        <w:t>. وإنما جمع لأن عادة الملك أن يقول</w:t>
      </w:r>
      <w:r w:rsidR="000636C2">
        <w:rPr>
          <w:rtl/>
        </w:rPr>
        <w:t>:</w:t>
      </w:r>
      <w:r>
        <w:rPr>
          <w:rtl/>
        </w:rPr>
        <w:t xml:space="preserve"> أمرنا ونهينا . وقد ذهب القاضي إلى أن العين صفة زائده علي الذات وقد سبقه بكر بن خزيمه . فقال في الآية" لربنا عينان ينظر بهما "</w:t>
      </w:r>
      <w:r w:rsidR="000636C2">
        <w:rPr>
          <w:rtl/>
        </w:rPr>
        <w:t>،</w:t>
      </w:r>
      <w:r>
        <w:rPr>
          <w:rtl/>
        </w:rPr>
        <w:t xml:space="preserve"> </w:t>
      </w:r>
      <w:r w:rsidR="000636C2">
        <w:rPr>
          <w:rtl/>
        </w:rPr>
        <w:t>(</w:t>
      </w:r>
      <w:r>
        <w:rPr>
          <w:rtl/>
        </w:rPr>
        <w:t>قلت</w:t>
      </w:r>
      <w:r w:rsidR="000636C2">
        <w:rPr>
          <w:rtl/>
        </w:rPr>
        <w:t>):</w:t>
      </w:r>
      <w:r>
        <w:rPr>
          <w:rtl/>
        </w:rPr>
        <w:t xml:space="preserve"> وهذا ابتداع لا دليل لهم عليه وإنما أثبتوا عينين من دليل الخطاب في قوله عليه الصلاة والسلام</w:t>
      </w:r>
      <w:r w:rsidR="000636C2">
        <w:rPr>
          <w:rtl/>
        </w:rPr>
        <w:t>:</w:t>
      </w:r>
      <w:r>
        <w:rPr>
          <w:rtl/>
        </w:rPr>
        <w:t xml:space="preserve"> (</w:t>
      </w:r>
      <w:r w:rsidR="000636C2">
        <w:rPr>
          <w:rtl/>
        </w:rPr>
        <w:t>(</w:t>
      </w:r>
      <w:r>
        <w:rPr>
          <w:rtl/>
        </w:rPr>
        <w:t>وإن الله ليس بأعور</w:t>
      </w:r>
      <w:r w:rsidR="000636C2">
        <w:rPr>
          <w:rtl/>
        </w:rPr>
        <w:t>)</w:t>
      </w:r>
      <w:r>
        <w:rPr>
          <w:rtl/>
        </w:rPr>
        <w:t>)</w:t>
      </w:r>
      <w:r w:rsidR="000636C2">
        <w:rPr>
          <w:rtl/>
        </w:rPr>
        <w:t>،</w:t>
      </w:r>
      <w:r>
        <w:rPr>
          <w:rtl/>
        </w:rPr>
        <w:t xml:space="preserve"> وإنما أراد نفي النقص عنه</w:t>
      </w:r>
      <w:r w:rsidR="000636C2">
        <w:rPr>
          <w:rtl/>
        </w:rPr>
        <w:t>،</w:t>
      </w:r>
      <w:r>
        <w:rPr>
          <w:rtl/>
        </w:rPr>
        <w:t xml:space="preserve"> ومتي ثبت أنه لا يتجزأ</w:t>
      </w:r>
      <w:r w:rsidR="000636C2">
        <w:rPr>
          <w:rtl/>
        </w:rPr>
        <w:t>،</w:t>
      </w:r>
      <w:r>
        <w:rPr>
          <w:rtl/>
        </w:rPr>
        <w:t xml:space="preserve"> لم يكن لما يتخيل من الصفات وجه</w:t>
      </w:r>
      <w:r w:rsidR="000636C2">
        <w:rPr>
          <w:rtl/>
        </w:rPr>
        <w:t>،</w:t>
      </w:r>
      <w:r>
        <w:rPr>
          <w:rtl/>
        </w:rPr>
        <w:t xml:space="preserve"> ومنها قوله تعالى</w:t>
      </w:r>
      <w:r w:rsidR="000636C2">
        <w:rPr>
          <w:rtl/>
        </w:rPr>
        <w:t>:</w:t>
      </w:r>
      <w:r>
        <w:rPr>
          <w:rtl/>
        </w:rPr>
        <w:t xml:space="preserve"> </w:t>
      </w:r>
      <w:r w:rsidR="000636C2">
        <w:rPr>
          <w:rtl/>
        </w:rPr>
        <w:t>{</w:t>
      </w:r>
      <w:r>
        <w:rPr>
          <w:rtl/>
        </w:rPr>
        <w:t>لما خلقت بيدي</w:t>
      </w:r>
      <w:r w:rsidR="000636C2">
        <w:rPr>
          <w:rtl/>
        </w:rPr>
        <w:t>}،</w:t>
      </w:r>
      <w:r>
        <w:rPr>
          <w:rtl/>
        </w:rPr>
        <w:t xml:space="preserve"> اليد في اللغة</w:t>
      </w:r>
      <w:r w:rsidR="000636C2">
        <w:rPr>
          <w:rtl/>
        </w:rPr>
        <w:t>:</w:t>
      </w:r>
      <w:r>
        <w:rPr>
          <w:rtl/>
        </w:rPr>
        <w:t xml:space="preserve"> بمعني النعمة والإحسان</w:t>
      </w:r>
      <w:r w:rsidR="000636C2">
        <w:rPr>
          <w:rtl/>
        </w:rPr>
        <w:t>،</w:t>
      </w:r>
      <w:r>
        <w:rPr>
          <w:rtl/>
        </w:rPr>
        <w:t xml:space="preserve"> قال الشاعر</w:t>
      </w:r>
      <w:r w:rsidR="000636C2">
        <w:rPr>
          <w:rtl/>
        </w:rPr>
        <w:t>:</w:t>
      </w:r>
      <w:r>
        <w:rPr>
          <w:rtl/>
        </w:rPr>
        <w:t xml:space="preserve"> </w:t>
      </w:r>
      <w:r w:rsidR="000636C2">
        <w:rPr>
          <w:rtl/>
        </w:rPr>
        <w:t>(</w:t>
      </w:r>
      <w:r>
        <w:rPr>
          <w:rtl/>
        </w:rPr>
        <w:t>متي ما تناخي عند باب بني هاشم</w:t>
      </w:r>
      <w:r w:rsidR="000636C2">
        <w:rPr>
          <w:rtl/>
        </w:rPr>
        <w:t xml:space="preserve"> </w:t>
      </w:r>
      <w:r>
        <w:rPr>
          <w:rtl/>
        </w:rPr>
        <w:t>تريحي فتلقي من فواضله يدا</w:t>
      </w:r>
      <w:r w:rsidR="000636C2">
        <w:rPr>
          <w:rtl/>
        </w:rPr>
        <w:t>)،</w:t>
      </w:r>
      <w:r>
        <w:rPr>
          <w:rtl/>
        </w:rPr>
        <w:t xml:space="preserve"> ومعني قول اليهود "يد الله مغلولة " أي محبوسة عن النفقة</w:t>
      </w:r>
      <w:r w:rsidR="000636C2">
        <w:rPr>
          <w:rtl/>
        </w:rPr>
        <w:t>،</w:t>
      </w:r>
      <w:r>
        <w:rPr>
          <w:rtl/>
        </w:rPr>
        <w:t xml:space="preserve"> واليد القوة</w:t>
      </w:r>
      <w:r w:rsidR="000636C2">
        <w:rPr>
          <w:rtl/>
        </w:rPr>
        <w:t>،</w:t>
      </w:r>
      <w:r>
        <w:rPr>
          <w:rtl/>
        </w:rPr>
        <w:t xml:space="preserve"> يقولون</w:t>
      </w:r>
      <w:r w:rsidR="000636C2">
        <w:rPr>
          <w:rtl/>
        </w:rPr>
        <w:t>:</w:t>
      </w:r>
      <w:r>
        <w:rPr>
          <w:rtl/>
        </w:rPr>
        <w:t xml:space="preserve"> ما لنا بهذا الأمر من يد</w:t>
      </w:r>
      <w:r w:rsidR="000636C2">
        <w:rPr>
          <w:rtl/>
        </w:rPr>
        <w:t>،</w:t>
      </w:r>
      <w:r>
        <w:rPr>
          <w:rtl/>
        </w:rPr>
        <w:t xml:space="preserve"> وقوله تعالي</w:t>
      </w:r>
      <w:r w:rsidR="000636C2">
        <w:rPr>
          <w:rtl/>
        </w:rPr>
        <w:t>:</w:t>
      </w:r>
      <w:r>
        <w:rPr>
          <w:rtl/>
        </w:rPr>
        <w:t xml:space="preserve"> </w:t>
      </w:r>
      <w:r w:rsidR="000636C2">
        <w:rPr>
          <w:rtl/>
        </w:rPr>
        <w:t>{</w:t>
      </w:r>
      <w:r>
        <w:rPr>
          <w:rtl/>
        </w:rPr>
        <w:t>بل يداه مبسوطتان</w:t>
      </w:r>
      <w:r w:rsidR="000636C2">
        <w:rPr>
          <w:rtl/>
        </w:rPr>
        <w:t xml:space="preserve">} </w:t>
      </w:r>
      <w:r>
        <w:rPr>
          <w:rtl/>
        </w:rPr>
        <w:t>أي نعمته وقدرته</w:t>
      </w:r>
      <w:r w:rsidR="000636C2">
        <w:rPr>
          <w:rtl/>
        </w:rPr>
        <w:t>،</w:t>
      </w:r>
      <w:r>
        <w:rPr>
          <w:rtl/>
        </w:rPr>
        <w:t xml:space="preserve"> وقوله تعالى</w:t>
      </w:r>
      <w:r w:rsidR="000636C2">
        <w:rPr>
          <w:rtl/>
        </w:rPr>
        <w:t>:</w:t>
      </w:r>
      <w:r>
        <w:rPr>
          <w:rtl/>
        </w:rPr>
        <w:t xml:space="preserve"> </w:t>
      </w:r>
      <w:r w:rsidR="000636C2">
        <w:rPr>
          <w:rtl/>
        </w:rPr>
        <w:t>{</w:t>
      </w:r>
      <w:r>
        <w:rPr>
          <w:rtl/>
        </w:rPr>
        <w:t>لما خلقت بيدي</w:t>
      </w:r>
      <w:r w:rsidR="000636C2">
        <w:rPr>
          <w:rtl/>
        </w:rPr>
        <w:t xml:space="preserve">}، </w:t>
      </w:r>
      <w:r>
        <w:rPr>
          <w:rtl/>
        </w:rPr>
        <w:t>أي بقدرتي ونعمتي</w:t>
      </w:r>
      <w:r w:rsidR="000636C2">
        <w:rPr>
          <w:rtl/>
        </w:rPr>
        <w:t>،</w:t>
      </w:r>
      <w:r>
        <w:rPr>
          <w:rtl/>
        </w:rPr>
        <w:t xml:space="preserve"> وقال الحسن في قوله تعالى</w:t>
      </w:r>
      <w:r w:rsidR="000636C2">
        <w:rPr>
          <w:rtl/>
        </w:rPr>
        <w:t>:</w:t>
      </w:r>
      <w:r>
        <w:rPr>
          <w:rtl/>
        </w:rPr>
        <w:t xml:space="preserve"> </w:t>
      </w:r>
      <w:r w:rsidR="000636C2">
        <w:rPr>
          <w:rtl/>
        </w:rPr>
        <w:t>{</w:t>
      </w:r>
      <w:r>
        <w:rPr>
          <w:rtl/>
        </w:rPr>
        <w:t>يد الله قوق أيديهم</w:t>
      </w:r>
      <w:r w:rsidR="000636C2">
        <w:rPr>
          <w:rtl/>
        </w:rPr>
        <w:t>}،</w:t>
      </w:r>
      <w:r>
        <w:rPr>
          <w:rtl/>
        </w:rPr>
        <w:t xml:space="preserve"> أي منته وإحسانه . </w:t>
      </w:r>
      <w:r w:rsidR="000636C2">
        <w:rPr>
          <w:rtl/>
        </w:rPr>
        <w:t>(</w:t>
      </w:r>
      <w:r>
        <w:rPr>
          <w:rtl/>
        </w:rPr>
        <w:t>قلت</w:t>
      </w:r>
      <w:r w:rsidR="000636C2">
        <w:rPr>
          <w:rtl/>
        </w:rPr>
        <w:t>):</w:t>
      </w:r>
      <w:r>
        <w:rPr>
          <w:rtl/>
        </w:rPr>
        <w:t xml:space="preserve"> هذا كلام المحققين</w:t>
      </w:r>
      <w:r w:rsidR="000636C2">
        <w:rPr>
          <w:rtl/>
        </w:rPr>
        <w:t>،</w:t>
      </w:r>
      <w:r>
        <w:rPr>
          <w:rtl/>
        </w:rPr>
        <w:t xml:space="preserve"> وقال القاضي</w:t>
      </w:r>
      <w:r w:rsidR="000636C2">
        <w:rPr>
          <w:rtl/>
        </w:rPr>
        <w:t>:</w:t>
      </w:r>
      <w:r>
        <w:rPr>
          <w:rtl/>
        </w:rPr>
        <w:t xml:space="preserve"> اليدان صفتان ذاتيتان تسميان باليدين</w:t>
      </w:r>
      <w:r w:rsidR="000636C2">
        <w:rPr>
          <w:rtl/>
        </w:rPr>
        <w:t>،</w:t>
      </w:r>
      <w:r>
        <w:rPr>
          <w:rtl/>
        </w:rPr>
        <w:t xml:space="preserve"> وهذا تصرف بالرأي لا دليل عليه. وقال ابن عقيل معني الآية لما خلقت أنا فهو كقوله تعالى</w:t>
      </w:r>
      <w:r w:rsidR="000636C2">
        <w:rPr>
          <w:rtl/>
        </w:rPr>
        <w:t>:</w:t>
      </w:r>
      <w:r>
        <w:rPr>
          <w:rtl/>
        </w:rPr>
        <w:t xml:space="preserve"> </w:t>
      </w:r>
      <w:r w:rsidR="000636C2">
        <w:rPr>
          <w:rtl/>
        </w:rPr>
        <w:t>{</w:t>
      </w:r>
      <w:r>
        <w:rPr>
          <w:rtl/>
        </w:rPr>
        <w:t>ذلك بما قدمت يداك</w:t>
      </w:r>
      <w:r w:rsidR="000636C2">
        <w:rPr>
          <w:rtl/>
        </w:rPr>
        <w:t>}،</w:t>
      </w:r>
      <w:r>
        <w:rPr>
          <w:rtl/>
        </w:rPr>
        <w:t xml:space="preserve"> أي بما قدمت أنت وقد قال بعض البلة</w:t>
      </w:r>
      <w:r w:rsidR="000636C2">
        <w:rPr>
          <w:rtl/>
        </w:rPr>
        <w:t>:</w:t>
      </w:r>
      <w:r>
        <w:rPr>
          <w:rtl/>
        </w:rPr>
        <w:t xml:space="preserve"> الإضافات إلى الله تعالى لو لم يكن لآدم مزية علي سائر الحيوانات باليد التي هي صفة لما عظمه بذكرها وأجله فقال </w:t>
      </w:r>
      <w:r w:rsidR="000636C2">
        <w:rPr>
          <w:rtl/>
        </w:rPr>
        <w:t>{</w:t>
      </w:r>
      <w:r>
        <w:rPr>
          <w:rtl/>
        </w:rPr>
        <w:t>بيدي</w:t>
      </w:r>
      <w:r w:rsidR="000636C2">
        <w:rPr>
          <w:rtl/>
        </w:rPr>
        <w:t>}،</w:t>
      </w:r>
      <w:r>
        <w:rPr>
          <w:rtl/>
        </w:rPr>
        <w:t xml:space="preserve"> ولو كانت القدرة لما كانت له مزية</w:t>
      </w:r>
      <w:r w:rsidR="000636C2">
        <w:rPr>
          <w:rtl/>
        </w:rPr>
        <w:t>،</w:t>
      </w:r>
      <w:r>
        <w:rPr>
          <w:rtl/>
        </w:rPr>
        <w:t xml:space="preserve"> فإن قالوا القدرة لا تثن</w:t>
      </w:r>
      <w:r w:rsidR="000636C2">
        <w:rPr>
          <w:rtl/>
        </w:rPr>
        <w:t>،</w:t>
      </w:r>
      <w:r>
        <w:rPr>
          <w:rtl/>
        </w:rPr>
        <w:t xml:space="preserve"> وقد قال بيدي " . قلنا بلي قال العربي</w:t>
      </w:r>
      <w:r w:rsidR="000636C2">
        <w:rPr>
          <w:rtl/>
        </w:rPr>
        <w:t>:</w:t>
      </w:r>
      <w:r>
        <w:rPr>
          <w:rtl/>
        </w:rPr>
        <w:t xml:space="preserve"> ليس لي بهذا الأمر يدان</w:t>
      </w:r>
      <w:r w:rsidR="000636C2">
        <w:rPr>
          <w:rtl/>
        </w:rPr>
        <w:t>،</w:t>
      </w:r>
      <w:r>
        <w:rPr>
          <w:rtl/>
        </w:rPr>
        <w:t xml:space="preserve"> أي ليس لي به قدرة وقال عروة بن حزام في شعره</w:t>
      </w:r>
      <w:r w:rsidR="000636C2">
        <w:rPr>
          <w:rtl/>
        </w:rPr>
        <w:t>:</w:t>
      </w:r>
      <w:r>
        <w:rPr>
          <w:rtl/>
        </w:rPr>
        <w:t xml:space="preserve"> </w:t>
      </w:r>
      <w:r w:rsidR="000636C2">
        <w:rPr>
          <w:rtl/>
        </w:rPr>
        <w:t>(</w:t>
      </w:r>
      <w:r>
        <w:rPr>
          <w:rtl/>
        </w:rPr>
        <w:t>فقالا شفاك الله والله ما لنا</w:t>
      </w:r>
      <w:r w:rsidR="000636C2">
        <w:rPr>
          <w:rtl/>
        </w:rPr>
        <w:t xml:space="preserve"> </w:t>
      </w:r>
      <w:r>
        <w:rPr>
          <w:rtl/>
        </w:rPr>
        <w:t>...</w:t>
      </w:r>
      <w:r w:rsidR="000636C2">
        <w:rPr>
          <w:rtl/>
        </w:rPr>
        <w:t xml:space="preserve"> </w:t>
      </w:r>
      <w:r>
        <w:rPr>
          <w:rtl/>
        </w:rPr>
        <w:t>بما ضمت منك الضلوع يدان</w:t>
      </w:r>
      <w:r w:rsidR="000636C2">
        <w:rPr>
          <w:rtl/>
        </w:rPr>
        <w:t>)،</w:t>
      </w:r>
      <w:r>
        <w:rPr>
          <w:rtl/>
        </w:rPr>
        <w:t xml:space="preserve"> وقولهم</w:t>
      </w:r>
      <w:r w:rsidR="000636C2">
        <w:rPr>
          <w:rtl/>
        </w:rPr>
        <w:t>:</w:t>
      </w:r>
      <w:r>
        <w:rPr>
          <w:rtl/>
        </w:rPr>
        <w:t xml:space="preserve"> ميزه بذلك عن الحيوان فقد قال عز وجل</w:t>
      </w:r>
      <w:r w:rsidR="000636C2">
        <w:rPr>
          <w:rtl/>
        </w:rPr>
        <w:t>:</w:t>
      </w:r>
      <w:r>
        <w:rPr>
          <w:rtl/>
        </w:rPr>
        <w:t xml:space="preserve"> </w:t>
      </w:r>
      <w:r w:rsidR="000636C2">
        <w:rPr>
          <w:rtl/>
        </w:rPr>
        <w:t>{</w:t>
      </w:r>
      <w:r>
        <w:rPr>
          <w:rtl/>
        </w:rPr>
        <w:t>خلقنا لهم مما عملت أيدينا أنعاما</w:t>
      </w:r>
      <w:r w:rsidR="000636C2">
        <w:rPr>
          <w:rtl/>
        </w:rPr>
        <w:t>}،</w:t>
      </w:r>
      <w:r>
        <w:rPr>
          <w:rtl/>
        </w:rPr>
        <w:t xml:space="preserve"> ولم يدل هذا علي تمييز الأنعام علي بقية الحيوان قال الله تعالى</w:t>
      </w:r>
      <w:r w:rsidR="000636C2">
        <w:rPr>
          <w:rtl/>
        </w:rPr>
        <w:t>:</w:t>
      </w:r>
      <w:r>
        <w:rPr>
          <w:rtl/>
        </w:rPr>
        <w:t xml:space="preserve"> </w:t>
      </w:r>
      <w:r w:rsidR="000636C2">
        <w:rPr>
          <w:rtl/>
        </w:rPr>
        <w:t>{</w:t>
      </w:r>
      <w:r>
        <w:rPr>
          <w:rtl/>
        </w:rPr>
        <w:t>والسماء بنيناها بأيد وإنا لموسعون</w:t>
      </w:r>
      <w:r w:rsidR="000636C2">
        <w:rPr>
          <w:rtl/>
        </w:rPr>
        <w:t>}،</w:t>
      </w:r>
      <w:r>
        <w:rPr>
          <w:rtl/>
        </w:rPr>
        <w:t xml:space="preserve"> أي بقوة</w:t>
      </w:r>
      <w:r w:rsidR="000636C2">
        <w:rPr>
          <w:rtl/>
        </w:rPr>
        <w:t>،</w:t>
      </w:r>
      <w:r>
        <w:rPr>
          <w:rtl/>
        </w:rPr>
        <w:t xml:space="preserve"> ثم قد أخبر أنه نفخ فيه من روحه</w:t>
      </w:r>
      <w:r w:rsidR="000636C2">
        <w:rPr>
          <w:rtl/>
        </w:rPr>
        <w:t>،</w:t>
      </w:r>
      <w:r>
        <w:rPr>
          <w:rtl/>
        </w:rPr>
        <w:t xml:space="preserve"> ولم يرد إلا الوضع بالفعل والتكوين والمعني</w:t>
      </w:r>
      <w:r w:rsidR="000636C2">
        <w:rPr>
          <w:rtl/>
        </w:rPr>
        <w:t>:</w:t>
      </w:r>
      <w:r>
        <w:rPr>
          <w:rtl/>
        </w:rPr>
        <w:t xml:space="preserve"> نفخت أنا ويكفي شرف بالإضافة</w:t>
      </w:r>
      <w:r w:rsidR="000636C2">
        <w:rPr>
          <w:rtl/>
        </w:rPr>
        <w:t>،</w:t>
      </w:r>
      <w:r>
        <w:rPr>
          <w:rtl/>
        </w:rPr>
        <w:t xml:space="preserve"> إذ لا يليق بالخالق سوي ذلك لأنه لا يحتاج أن يفعل بواسطة</w:t>
      </w:r>
      <w:r w:rsidR="000636C2">
        <w:rPr>
          <w:rtl/>
        </w:rPr>
        <w:t>،</w:t>
      </w:r>
      <w:r>
        <w:rPr>
          <w:rtl/>
        </w:rPr>
        <w:t xml:space="preserve"> فلا له أعضاء وجوارح يفعل بها</w:t>
      </w:r>
      <w:r w:rsidR="000636C2">
        <w:rPr>
          <w:rtl/>
        </w:rPr>
        <w:t>،</w:t>
      </w:r>
      <w:r>
        <w:rPr>
          <w:rtl/>
        </w:rPr>
        <w:t xml:space="preserve"> لأنه الغني بذاته</w:t>
      </w:r>
      <w:r w:rsidR="000636C2">
        <w:rPr>
          <w:rtl/>
        </w:rPr>
        <w:t>،</w:t>
      </w:r>
      <w:r>
        <w:rPr>
          <w:rtl/>
        </w:rPr>
        <w:t xml:space="preserve"> فلا ينبغي أن يتشاغل بطلب تعظيم آدم مع الغفله عما يستحقه البارئ سبحانه من التعظيم بنفي الأبعاض والعادات في الأفعال</w:t>
      </w:r>
      <w:r w:rsidR="000636C2">
        <w:rPr>
          <w:rtl/>
        </w:rPr>
        <w:t>،</w:t>
      </w:r>
      <w:r>
        <w:rPr>
          <w:rtl/>
        </w:rPr>
        <w:t xml:space="preserve"> لأن هذه </w:t>
      </w:r>
      <w:r>
        <w:rPr>
          <w:rtl/>
        </w:rPr>
        <w:lastRenderedPageBreak/>
        <w:t>الأشياء صفة الأجسام</w:t>
      </w:r>
      <w:r w:rsidR="000636C2">
        <w:rPr>
          <w:rtl/>
        </w:rPr>
        <w:t>،</w:t>
      </w:r>
      <w:r>
        <w:rPr>
          <w:rtl/>
        </w:rPr>
        <w:t xml:space="preserve"> وقد ظن بعض البلة أن الله يمس</w:t>
      </w:r>
      <w:r w:rsidR="000636C2">
        <w:rPr>
          <w:rtl/>
        </w:rPr>
        <w:t>،</w:t>
      </w:r>
      <w:r>
        <w:rPr>
          <w:rtl/>
        </w:rPr>
        <w:t xml:space="preserve"> حتي توهموا أنه مس طينة آدم بيد هي بعض ذاته</w:t>
      </w:r>
      <w:r w:rsidR="000636C2">
        <w:rPr>
          <w:rtl/>
        </w:rPr>
        <w:t>،</w:t>
      </w:r>
      <w:r>
        <w:rPr>
          <w:rtl/>
        </w:rPr>
        <w:t xml:space="preserve"> وما فطنوا أنه من جملة مخلوقاته جسما يقابل جسما فيتحد به ويفعل فيه </w:t>
      </w:r>
      <w:r w:rsidR="000636C2">
        <w:rPr>
          <w:rtl/>
        </w:rPr>
        <w:t>(</w:t>
      </w:r>
      <w:r>
        <w:rPr>
          <w:rtl/>
        </w:rPr>
        <w:t>ومن السحر من يعقد عقدا فيتغير به حالا وصفة</w:t>
      </w:r>
      <w:r w:rsidR="000636C2">
        <w:rPr>
          <w:rtl/>
        </w:rPr>
        <w:t>)</w:t>
      </w:r>
      <w:r>
        <w:rPr>
          <w:rtl/>
        </w:rPr>
        <w:t xml:space="preserve"> أفتراه سبحانه جعل أفعال</w:t>
      </w:r>
      <w:r w:rsidR="000636C2">
        <w:rPr>
          <w:rtl/>
        </w:rPr>
        <w:t xml:space="preserve"> </w:t>
      </w:r>
      <w:r>
        <w:rPr>
          <w:rtl/>
        </w:rPr>
        <w:t>الأشخاص والأجسام تتعدي إلى الأجسام بعيدة</w:t>
      </w:r>
      <w:r w:rsidR="000636C2">
        <w:rPr>
          <w:rtl/>
        </w:rPr>
        <w:t>،</w:t>
      </w:r>
      <w:r>
        <w:rPr>
          <w:rtl/>
        </w:rPr>
        <w:t xml:space="preserve"> ثم يحتاج هو في أفعاله إلى معاناة الطين وقد رد قول من قال هذا بقوله تعالى</w:t>
      </w:r>
      <w:r w:rsidR="000636C2">
        <w:rPr>
          <w:rtl/>
        </w:rPr>
        <w:t>:</w:t>
      </w:r>
      <w:r>
        <w:rPr>
          <w:rtl/>
        </w:rPr>
        <w:t xml:space="preserve"> </w:t>
      </w:r>
      <w:r w:rsidR="000636C2">
        <w:rPr>
          <w:rtl/>
        </w:rPr>
        <w:t>{</w:t>
      </w:r>
      <w:r>
        <w:rPr>
          <w:rtl/>
        </w:rPr>
        <w:t>إن مثل عيسي عند الله كمثل آدم خلقه من تراب ثم قال له كن فيكون</w:t>
      </w:r>
      <w:r w:rsidR="000636C2">
        <w:rPr>
          <w:rtl/>
        </w:rPr>
        <w:t>}،</w:t>
      </w:r>
      <w:r>
        <w:rPr>
          <w:rtl/>
        </w:rPr>
        <w:t xml:space="preserve"> ومنها قوله تعالى</w:t>
      </w:r>
      <w:r w:rsidR="000636C2">
        <w:rPr>
          <w:rtl/>
        </w:rPr>
        <w:t>:</w:t>
      </w:r>
      <w:r>
        <w:rPr>
          <w:rtl/>
        </w:rPr>
        <w:t xml:space="preserve"> </w:t>
      </w:r>
      <w:r w:rsidR="000636C2">
        <w:rPr>
          <w:rtl/>
        </w:rPr>
        <w:t>{</w:t>
      </w:r>
      <w:r>
        <w:rPr>
          <w:rtl/>
        </w:rPr>
        <w:t>ويحذركم الله نفسه</w:t>
      </w:r>
      <w:r w:rsidR="000636C2">
        <w:rPr>
          <w:rtl/>
        </w:rPr>
        <w:t>}،</w:t>
      </w:r>
      <w:r>
        <w:rPr>
          <w:rtl/>
        </w:rPr>
        <w:t xml:space="preserve"> وقوله تعالى علي لسان عيسي </w:t>
      </w:r>
      <w:r w:rsidR="000636C2">
        <w:rPr>
          <w:rtl/>
        </w:rPr>
        <w:t>{</w:t>
      </w:r>
      <w:r>
        <w:rPr>
          <w:rtl/>
        </w:rPr>
        <w:t>تعلم ما في نفسي ولا أعلم ما في نفسك</w:t>
      </w:r>
      <w:r w:rsidR="000636C2">
        <w:rPr>
          <w:rtl/>
        </w:rPr>
        <w:t>}،</w:t>
      </w:r>
      <w:r>
        <w:rPr>
          <w:rtl/>
        </w:rPr>
        <w:t xml:space="preserve"> قال المفسرون ويحذركم الله إياه . وقالوا تعلم ما عندي ولا أعلم ما عندك</w:t>
      </w:r>
      <w:r w:rsidR="000636C2">
        <w:rPr>
          <w:rtl/>
        </w:rPr>
        <w:t>،</w:t>
      </w:r>
      <w:r>
        <w:rPr>
          <w:rtl/>
        </w:rPr>
        <w:t xml:space="preserve"> قال المحققون المراد بالنفس ها هنا الذات ونفس الشيء ذاته وقد ذهب القاضي أن لله نفسا</w:t>
      </w:r>
      <w:r w:rsidR="000636C2">
        <w:rPr>
          <w:rtl/>
        </w:rPr>
        <w:t>،</w:t>
      </w:r>
      <w:r>
        <w:rPr>
          <w:rtl/>
        </w:rPr>
        <w:t xml:space="preserve"> وهي صفة زائدة علي ذاته . قلت وهذا قول لا يستند إلا إلى التشبيه</w:t>
      </w:r>
      <w:r w:rsidR="000636C2">
        <w:rPr>
          <w:rtl/>
        </w:rPr>
        <w:t>،</w:t>
      </w:r>
      <w:r>
        <w:rPr>
          <w:rtl/>
        </w:rPr>
        <w:t xml:space="preserve"> لأنه يوجب أن الذات شيء والنفس غيرها</w:t>
      </w:r>
      <w:r w:rsidR="000636C2">
        <w:rPr>
          <w:rtl/>
        </w:rPr>
        <w:t>،</w:t>
      </w:r>
      <w:r>
        <w:rPr>
          <w:rtl/>
        </w:rPr>
        <w:t xml:space="preserve"> وحكي ابن حامد أعظم من هذا فقال</w:t>
      </w:r>
      <w:r w:rsidR="000636C2">
        <w:rPr>
          <w:rtl/>
        </w:rPr>
        <w:t>:</w:t>
      </w:r>
      <w:r>
        <w:rPr>
          <w:rtl/>
        </w:rPr>
        <w:t xml:space="preserve"> ذهبت طائفة في قوله تعالى</w:t>
      </w:r>
      <w:r w:rsidR="000636C2">
        <w:rPr>
          <w:rtl/>
        </w:rPr>
        <w:t>:</w:t>
      </w:r>
      <w:r>
        <w:rPr>
          <w:rtl/>
        </w:rPr>
        <w:t xml:space="preserve"> </w:t>
      </w:r>
      <w:r w:rsidR="000636C2">
        <w:rPr>
          <w:rtl/>
        </w:rPr>
        <w:t>{</w:t>
      </w:r>
      <w:r>
        <w:rPr>
          <w:rtl/>
        </w:rPr>
        <w:t>ونفخت فيه من روحي</w:t>
      </w:r>
      <w:r w:rsidR="000636C2">
        <w:rPr>
          <w:rtl/>
        </w:rPr>
        <w:t>}،</w:t>
      </w:r>
      <w:r>
        <w:rPr>
          <w:rtl/>
        </w:rPr>
        <w:t xml:space="preserve"> أن تلك الروح صفة من ذاته وإنها إذا خرجت رجعت إلى الله تعالى </w:t>
      </w:r>
      <w:r w:rsidR="000636C2">
        <w:rPr>
          <w:rtl/>
        </w:rPr>
        <w:t>(</w:t>
      </w:r>
      <w:r>
        <w:rPr>
          <w:rtl/>
        </w:rPr>
        <w:t>قلت</w:t>
      </w:r>
      <w:r w:rsidR="000636C2">
        <w:rPr>
          <w:rtl/>
        </w:rPr>
        <w:t>):</w:t>
      </w:r>
      <w:r>
        <w:rPr>
          <w:rtl/>
        </w:rPr>
        <w:t xml:space="preserve"> وهذا أقبح من كلام النصارى فما أبقي هذا من التشبيه بقية</w:t>
      </w:r>
      <w:r w:rsidR="000636C2">
        <w:rPr>
          <w:rtl/>
        </w:rPr>
        <w:t xml:space="preserve">، </w:t>
      </w:r>
      <w:r>
        <w:rPr>
          <w:rtl/>
        </w:rPr>
        <w:t>ومنها قوله تعالى</w:t>
      </w:r>
      <w:r w:rsidR="000636C2">
        <w:rPr>
          <w:rtl/>
        </w:rPr>
        <w:t>:</w:t>
      </w:r>
      <w:r>
        <w:rPr>
          <w:rtl/>
        </w:rPr>
        <w:t xml:space="preserve"> </w:t>
      </w:r>
      <w:r w:rsidR="000636C2">
        <w:rPr>
          <w:rtl/>
        </w:rPr>
        <w:t>{</w:t>
      </w:r>
      <w:r>
        <w:rPr>
          <w:rtl/>
        </w:rPr>
        <w:t>ليس كمثله شيء</w:t>
      </w:r>
      <w:r w:rsidR="000636C2">
        <w:rPr>
          <w:rtl/>
        </w:rPr>
        <w:t>}،</w:t>
      </w:r>
      <w:r>
        <w:rPr>
          <w:rtl/>
        </w:rPr>
        <w:t xml:space="preserve"> ظاهر الكلام أن له مثلا</w:t>
      </w:r>
      <w:r w:rsidR="000636C2">
        <w:rPr>
          <w:rtl/>
        </w:rPr>
        <w:t>،</w:t>
      </w:r>
      <w:r>
        <w:rPr>
          <w:rtl/>
        </w:rPr>
        <w:t xml:space="preserve"> فليس كمثله شيء وليس كذلك</w:t>
      </w:r>
      <w:r w:rsidR="000636C2">
        <w:rPr>
          <w:rtl/>
        </w:rPr>
        <w:t>،</w:t>
      </w:r>
      <w:r>
        <w:rPr>
          <w:rtl/>
        </w:rPr>
        <w:t xml:space="preserve"> وإنما معناه عند أهل اللغة</w:t>
      </w:r>
      <w:r w:rsidR="000636C2">
        <w:rPr>
          <w:rtl/>
        </w:rPr>
        <w:t>:</w:t>
      </w:r>
      <w:r>
        <w:rPr>
          <w:rtl/>
        </w:rPr>
        <w:t xml:space="preserve"> أن يقام المثل مقام الشيء نفسه . يقول الرجل</w:t>
      </w:r>
      <w:r w:rsidR="000636C2">
        <w:rPr>
          <w:rtl/>
        </w:rPr>
        <w:t>:</w:t>
      </w:r>
      <w:r>
        <w:rPr>
          <w:rtl/>
        </w:rPr>
        <w:t xml:space="preserve"> مثلي لا يكلم مثلك</w:t>
      </w:r>
      <w:r w:rsidR="000636C2">
        <w:rPr>
          <w:rtl/>
        </w:rPr>
        <w:t>،</w:t>
      </w:r>
      <w:r>
        <w:rPr>
          <w:rtl/>
        </w:rPr>
        <w:t xml:space="preserve"> وإنما المعني</w:t>
      </w:r>
      <w:r w:rsidR="000636C2">
        <w:rPr>
          <w:rtl/>
        </w:rPr>
        <w:t>:</w:t>
      </w:r>
      <w:r>
        <w:rPr>
          <w:rtl/>
        </w:rPr>
        <w:t xml:space="preserve"> ليس كهو شيء</w:t>
      </w:r>
      <w:r w:rsidR="000636C2">
        <w:rPr>
          <w:rtl/>
        </w:rPr>
        <w:t>،</w:t>
      </w:r>
      <w:r>
        <w:rPr>
          <w:rtl/>
        </w:rPr>
        <w:t xml:space="preserve"> ومنها قوله تعالى</w:t>
      </w:r>
      <w:r w:rsidR="000636C2">
        <w:rPr>
          <w:rtl/>
        </w:rPr>
        <w:t>:</w:t>
      </w:r>
      <w:r>
        <w:rPr>
          <w:rtl/>
        </w:rPr>
        <w:t xml:space="preserve"> </w:t>
      </w:r>
      <w:r w:rsidR="000636C2">
        <w:rPr>
          <w:rtl/>
        </w:rPr>
        <w:t>{</w:t>
      </w:r>
      <w:r>
        <w:rPr>
          <w:rtl/>
        </w:rPr>
        <w:t>يوم يكشف عن ساق</w:t>
      </w:r>
      <w:r w:rsidR="000636C2">
        <w:rPr>
          <w:rtl/>
        </w:rPr>
        <w:t>}،</w:t>
      </w:r>
      <w:r>
        <w:rPr>
          <w:rtl/>
        </w:rPr>
        <w:t xml:space="preserve"> قال ابن عباس ومجاهد وابراهيم النخعي وقتادة وجمهور العلماء يكشف عن شدة</w:t>
      </w:r>
      <w:r w:rsidR="000636C2">
        <w:rPr>
          <w:rtl/>
        </w:rPr>
        <w:t>،</w:t>
      </w:r>
      <w:r>
        <w:rPr>
          <w:rtl/>
        </w:rPr>
        <w:t xml:space="preserve"> وأنشدوا</w:t>
      </w:r>
      <w:r w:rsidR="000636C2">
        <w:rPr>
          <w:rtl/>
        </w:rPr>
        <w:t>:</w:t>
      </w:r>
      <w:r>
        <w:rPr>
          <w:rtl/>
        </w:rPr>
        <w:t xml:space="preserve"> " وقامت الحرب بنا علي ساق "</w:t>
      </w:r>
      <w:r w:rsidR="000636C2">
        <w:rPr>
          <w:rtl/>
        </w:rPr>
        <w:t>،</w:t>
      </w:r>
      <w:r>
        <w:rPr>
          <w:rtl/>
        </w:rPr>
        <w:t xml:space="preserve"> وقال آخرون</w:t>
      </w:r>
      <w:r w:rsidR="000636C2">
        <w:rPr>
          <w:rtl/>
        </w:rPr>
        <w:t>:</w:t>
      </w:r>
      <w:r>
        <w:rPr>
          <w:rtl/>
        </w:rPr>
        <w:t xml:space="preserve"> إذا شمرت عن ساقها الحرب شمرا</w:t>
      </w:r>
      <w:r w:rsidR="000636C2">
        <w:rPr>
          <w:rtl/>
        </w:rPr>
        <w:t>،</w:t>
      </w:r>
      <w:r>
        <w:rPr>
          <w:rtl/>
        </w:rPr>
        <w:t xml:space="preserve"> قال ابن قتيبة</w:t>
      </w:r>
      <w:r w:rsidR="000636C2">
        <w:rPr>
          <w:rtl/>
        </w:rPr>
        <w:t>:</w:t>
      </w:r>
      <w:r>
        <w:rPr>
          <w:rtl/>
        </w:rPr>
        <w:t xml:space="preserve"> وأصل هذا أن الرجل إذا</w:t>
      </w:r>
      <w:r w:rsidR="000636C2">
        <w:rPr>
          <w:rtl/>
        </w:rPr>
        <w:t xml:space="preserve"> </w:t>
      </w:r>
      <w:r>
        <w:rPr>
          <w:rtl/>
        </w:rPr>
        <w:t>وقع في أمر عظيم يحتاج إلى معاناه الجد فيه</w:t>
      </w:r>
      <w:r w:rsidR="000636C2">
        <w:rPr>
          <w:rtl/>
        </w:rPr>
        <w:t>،</w:t>
      </w:r>
      <w:r>
        <w:rPr>
          <w:rtl/>
        </w:rPr>
        <w:t xml:space="preserve"> شمر عن ساقه</w:t>
      </w:r>
      <w:r w:rsidR="000636C2">
        <w:rPr>
          <w:rtl/>
        </w:rPr>
        <w:t>،</w:t>
      </w:r>
      <w:r>
        <w:rPr>
          <w:rtl/>
        </w:rPr>
        <w:t xml:space="preserve"> فاستعيرت الساق في موضع الشدة . وبهذا قال الفراء وأبو عبيدة</w:t>
      </w:r>
      <w:r w:rsidR="000636C2">
        <w:rPr>
          <w:rtl/>
        </w:rPr>
        <w:t>،</w:t>
      </w:r>
      <w:r>
        <w:rPr>
          <w:rtl/>
        </w:rPr>
        <w:t xml:space="preserve"> وثعلب واللغويون</w:t>
      </w:r>
      <w:r w:rsidR="000636C2">
        <w:rPr>
          <w:rtl/>
        </w:rPr>
        <w:t>،</w:t>
      </w:r>
      <w:r>
        <w:rPr>
          <w:rtl/>
        </w:rPr>
        <w:t xml:space="preserve"> وروي البخاري ومسلم في الصحيحين عن النبي –صلي الله عليه وسلم -</w:t>
      </w:r>
      <w:r w:rsidR="000636C2">
        <w:rPr>
          <w:rtl/>
        </w:rPr>
        <w:t>:</w:t>
      </w:r>
      <w:r>
        <w:rPr>
          <w:rtl/>
        </w:rPr>
        <w:t xml:space="preserve"> (</w:t>
      </w:r>
      <w:r w:rsidR="000636C2">
        <w:rPr>
          <w:rtl/>
        </w:rPr>
        <w:t>(</w:t>
      </w:r>
      <w:r>
        <w:rPr>
          <w:rtl/>
        </w:rPr>
        <w:t>إن الله عز وجل يكشف عن ساقه</w:t>
      </w:r>
      <w:r w:rsidR="000636C2">
        <w:rPr>
          <w:rtl/>
        </w:rPr>
        <w:t>)</w:t>
      </w:r>
      <w:r>
        <w:rPr>
          <w:rtl/>
        </w:rPr>
        <w:t>)</w:t>
      </w:r>
      <w:r w:rsidR="000636C2">
        <w:rPr>
          <w:rtl/>
        </w:rPr>
        <w:t>،</w:t>
      </w:r>
      <w:r>
        <w:rPr>
          <w:rtl/>
        </w:rPr>
        <w:t xml:space="preserve"> هذه إضافة إليه معناها</w:t>
      </w:r>
      <w:r w:rsidR="000636C2">
        <w:rPr>
          <w:rtl/>
        </w:rPr>
        <w:t>:</w:t>
      </w:r>
      <w:r>
        <w:rPr>
          <w:rtl/>
        </w:rPr>
        <w:t xml:space="preserve"> يكشف عن شدته وأفعاله المضافة إليه ومعني يكشف عنها يزيلها</w:t>
      </w:r>
      <w:r w:rsidR="000636C2">
        <w:rPr>
          <w:rtl/>
        </w:rPr>
        <w:t>،</w:t>
      </w:r>
      <w:r>
        <w:rPr>
          <w:rtl/>
        </w:rPr>
        <w:t xml:space="preserve"> وقال عاصم بن كليب</w:t>
      </w:r>
      <w:r w:rsidR="000636C2">
        <w:rPr>
          <w:rtl/>
        </w:rPr>
        <w:t>:</w:t>
      </w:r>
      <w:r>
        <w:rPr>
          <w:rtl/>
        </w:rPr>
        <w:t xml:space="preserve"> رأيت سعيد بن جبير . غضب وقال</w:t>
      </w:r>
      <w:r w:rsidR="000636C2">
        <w:rPr>
          <w:rtl/>
        </w:rPr>
        <w:t>:</w:t>
      </w:r>
      <w:r>
        <w:rPr>
          <w:rtl/>
        </w:rPr>
        <w:t xml:space="preserve"> يقولون يكشف عن ساقه</w:t>
      </w:r>
      <w:r w:rsidR="000636C2">
        <w:rPr>
          <w:rtl/>
        </w:rPr>
        <w:t>،</w:t>
      </w:r>
      <w:r>
        <w:rPr>
          <w:rtl/>
        </w:rPr>
        <w:t xml:space="preserve"> وإنما ذلك عن أمر شديد وقد ذكر أبو عمر الزاهد ان الساق بمعني" النفس " وقال ومنه قول علي رضي الله عنه لما قالت البغاة</w:t>
      </w:r>
      <w:r w:rsidR="000636C2">
        <w:rPr>
          <w:rtl/>
        </w:rPr>
        <w:t>:</w:t>
      </w:r>
      <w:r>
        <w:rPr>
          <w:rtl/>
        </w:rPr>
        <w:t xml:space="preserve"> لا حكم إلا الله فقال</w:t>
      </w:r>
      <w:r w:rsidR="000636C2">
        <w:rPr>
          <w:rtl/>
        </w:rPr>
        <w:t>:</w:t>
      </w:r>
      <w:r>
        <w:rPr>
          <w:rtl/>
        </w:rPr>
        <w:t xml:space="preserve"> لابد من محاربتهم ولو بلغت ساقي</w:t>
      </w:r>
      <w:r w:rsidR="000636C2">
        <w:rPr>
          <w:rtl/>
        </w:rPr>
        <w:t>،</w:t>
      </w:r>
      <w:r>
        <w:rPr>
          <w:rtl/>
        </w:rPr>
        <w:t xml:space="preserve"> فعلي هذا يكون المعني يتجلي لهم</w:t>
      </w:r>
      <w:r w:rsidR="000636C2">
        <w:rPr>
          <w:rtl/>
        </w:rPr>
        <w:t>،</w:t>
      </w:r>
      <w:r>
        <w:rPr>
          <w:rtl/>
        </w:rPr>
        <w:t xml:space="preserve"> وفي حديث أبي موسي أن النبي صلى الله عليه وسلم قال</w:t>
      </w:r>
      <w:r w:rsidR="000636C2">
        <w:rPr>
          <w:rtl/>
        </w:rPr>
        <w:t>:</w:t>
      </w:r>
      <w:r>
        <w:rPr>
          <w:rtl/>
        </w:rPr>
        <w:t xml:space="preserve"> (</w:t>
      </w:r>
      <w:r w:rsidR="000636C2">
        <w:rPr>
          <w:rtl/>
        </w:rPr>
        <w:t>(</w:t>
      </w:r>
      <w:r>
        <w:rPr>
          <w:rtl/>
        </w:rPr>
        <w:t>يكشف لهم الحجاب فينظرون إلى الله تعالى فيخرون سجدا</w:t>
      </w:r>
      <w:r w:rsidR="000636C2">
        <w:rPr>
          <w:rtl/>
        </w:rPr>
        <w:t>،</w:t>
      </w:r>
      <w:r>
        <w:rPr>
          <w:rtl/>
        </w:rPr>
        <w:t xml:space="preserve"> ويبقي أقوام في ظهورهم كصياصي البقر</w:t>
      </w:r>
      <w:r w:rsidR="000636C2">
        <w:rPr>
          <w:rtl/>
        </w:rPr>
        <w:t>،</w:t>
      </w:r>
      <w:r>
        <w:rPr>
          <w:rtl/>
        </w:rPr>
        <w:t xml:space="preserve"> يريدون السجود فلا يستطيعون</w:t>
      </w:r>
      <w:r w:rsidR="000636C2">
        <w:rPr>
          <w:rtl/>
        </w:rPr>
        <w:t>)</w:t>
      </w:r>
      <w:r>
        <w:rPr>
          <w:rtl/>
        </w:rPr>
        <w:t>)</w:t>
      </w:r>
      <w:r w:rsidR="000636C2">
        <w:rPr>
          <w:rtl/>
        </w:rPr>
        <w:t>،</w:t>
      </w:r>
      <w:r>
        <w:rPr>
          <w:rtl/>
        </w:rPr>
        <w:t xml:space="preserve"> فذلك قوله تعالى</w:t>
      </w:r>
      <w:r w:rsidR="000636C2">
        <w:rPr>
          <w:rtl/>
        </w:rPr>
        <w:t>:</w:t>
      </w:r>
      <w:r>
        <w:rPr>
          <w:rtl/>
        </w:rPr>
        <w:t xml:space="preserve"> </w:t>
      </w:r>
      <w:r w:rsidR="000636C2">
        <w:rPr>
          <w:rtl/>
        </w:rPr>
        <w:t>{</w:t>
      </w:r>
      <w:r>
        <w:rPr>
          <w:rtl/>
        </w:rPr>
        <w:t>يوم يكشف عن ساق ويدعون إلى السجود فلا يستطيعون</w:t>
      </w:r>
      <w:r w:rsidR="000636C2">
        <w:rPr>
          <w:rtl/>
        </w:rPr>
        <w:t>}،</w:t>
      </w:r>
      <w:r>
        <w:rPr>
          <w:rtl/>
        </w:rPr>
        <w:t xml:space="preserve"> </w:t>
      </w:r>
      <w:r>
        <w:rPr>
          <w:rtl/>
        </w:rPr>
        <w:lastRenderedPageBreak/>
        <w:t>وقد ذهب القاضي إلى أن الذات صفة ذاتية . وقال في مثله في يضع قدمه في النار</w:t>
      </w:r>
      <w:r w:rsidR="000636C2">
        <w:rPr>
          <w:rtl/>
        </w:rPr>
        <w:t>:</w:t>
      </w:r>
      <w:r>
        <w:rPr>
          <w:rtl/>
        </w:rPr>
        <w:t xml:space="preserve"> وحكي بن مسعود</w:t>
      </w:r>
      <w:r w:rsidR="000636C2">
        <w:rPr>
          <w:rtl/>
        </w:rPr>
        <w:t>:</w:t>
      </w:r>
      <w:r>
        <w:rPr>
          <w:rtl/>
        </w:rPr>
        <w:t xml:space="preserve"> ويكشف عن ساقه اليمني فتضيء من نور ساقه الأرض</w:t>
      </w:r>
      <w:r w:rsidR="000636C2">
        <w:rPr>
          <w:rtl/>
        </w:rPr>
        <w:t>،</w:t>
      </w:r>
      <w:r>
        <w:rPr>
          <w:rtl/>
        </w:rPr>
        <w:t xml:space="preserve"> </w:t>
      </w:r>
      <w:r w:rsidR="000636C2">
        <w:rPr>
          <w:rtl/>
        </w:rPr>
        <w:t>(</w:t>
      </w:r>
      <w:r>
        <w:rPr>
          <w:rtl/>
        </w:rPr>
        <w:t>قلت</w:t>
      </w:r>
      <w:r w:rsidR="000636C2">
        <w:rPr>
          <w:rtl/>
        </w:rPr>
        <w:t>):</w:t>
      </w:r>
      <w:r>
        <w:rPr>
          <w:rtl/>
        </w:rPr>
        <w:t xml:space="preserve"> وذكر الساق مع القدم تشبيه محض وما ذكر عن بن مسعود محال</w:t>
      </w:r>
      <w:r w:rsidR="000636C2">
        <w:rPr>
          <w:rtl/>
        </w:rPr>
        <w:t>،</w:t>
      </w:r>
      <w:r>
        <w:rPr>
          <w:rtl/>
        </w:rPr>
        <w:t xml:space="preserve"> ولا تثبت لله صفة بمثل هذه الخرافات</w:t>
      </w:r>
      <w:r w:rsidR="000636C2">
        <w:rPr>
          <w:rtl/>
        </w:rPr>
        <w:t>،</w:t>
      </w:r>
      <w:r>
        <w:rPr>
          <w:rtl/>
        </w:rPr>
        <w:t xml:space="preserve"> ولا يوصف ذاته بنور شعاع تضيء به الأمكنة</w:t>
      </w:r>
      <w:r w:rsidR="000636C2">
        <w:rPr>
          <w:rtl/>
        </w:rPr>
        <w:t>،</w:t>
      </w:r>
      <w:r>
        <w:rPr>
          <w:rtl/>
        </w:rPr>
        <w:t xml:space="preserve"> واحتجاجه بالإضافة ليس بشيء لأنه إذا كشف عن شدته</w:t>
      </w:r>
      <w:r w:rsidR="000636C2">
        <w:rPr>
          <w:rtl/>
        </w:rPr>
        <w:t>،</w:t>
      </w:r>
      <w:r>
        <w:rPr>
          <w:rtl/>
        </w:rPr>
        <w:t xml:space="preserve"> فقد كشف عن ساقه</w:t>
      </w:r>
      <w:r w:rsidR="000636C2">
        <w:rPr>
          <w:rtl/>
        </w:rPr>
        <w:t>،</w:t>
      </w:r>
      <w:r>
        <w:rPr>
          <w:rtl/>
        </w:rPr>
        <w:t xml:space="preserve"> وهؤلاء وقع لهم أن معني يكشف " يظهر " وإنما المعني يزيل ويرفع " . قال بن حامد</w:t>
      </w:r>
      <w:r w:rsidR="000636C2">
        <w:rPr>
          <w:rtl/>
        </w:rPr>
        <w:t>:</w:t>
      </w:r>
      <w:r>
        <w:rPr>
          <w:rtl/>
        </w:rPr>
        <w:t xml:space="preserve"> يجب الإيمان بأن لله تعالى ساقا صفة لذاته</w:t>
      </w:r>
      <w:r w:rsidR="000636C2">
        <w:rPr>
          <w:rtl/>
        </w:rPr>
        <w:t>،</w:t>
      </w:r>
      <w:r>
        <w:rPr>
          <w:rtl/>
        </w:rPr>
        <w:t xml:space="preserve"> فمن جحد ذلك فقد كفر</w:t>
      </w:r>
      <w:r w:rsidR="000636C2">
        <w:rPr>
          <w:rtl/>
        </w:rPr>
        <w:t>، (</w:t>
      </w:r>
      <w:r>
        <w:rPr>
          <w:rtl/>
        </w:rPr>
        <w:t>قلت</w:t>
      </w:r>
      <w:r w:rsidR="000636C2">
        <w:rPr>
          <w:rtl/>
        </w:rPr>
        <w:t>):</w:t>
      </w:r>
      <w:r>
        <w:rPr>
          <w:rtl/>
        </w:rPr>
        <w:t xml:space="preserve"> لو تكلم بهذا عامي جلف كان قبيحا</w:t>
      </w:r>
      <w:r w:rsidR="000636C2">
        <w:rPr>
          <w:rtl/>
        </w:rPr>
        <w:t>،</w:t>
      </w:r>
      <w:r>
        <w:rPr>
          <w:rtl/>
        </w:rPr>
        <w:t xml:space="preserve"> فكيف بمن ينسب إلى العلم</w:t>
      </w:r>
      <w:r w:rsidR="000636C2">
        <w:rPr>
          <w:rtl/>
        </w:rPr>
        <w:t>؟</w:t>
      </w:r>
      <w:r>
        <w:rPr>
          <w:rtl/>
        </w:rPr>
        <w:t xml:space="preserve"> فإن المتأولين أعذر منهم لأنهم ردوا الأمر إلى اللغة</w:t>
      </w:r>
      <w:r w:rsidR="000636C2">
        <w:rPr>
          <w:rtl/>
        </w:rPr>
        <w:t>،</w:t>
      </w:r>
      <w:r>
        <w:rPr>
          <w:rtl/>
        </w:rPr>
        <w:t xml:space="preserve"> وهؤلاء أثبتوا ساقا للذات</w:t>
      </w:r>
      <w:r w:rsidR="000636C2">
        <w:rPr>
          <w:rtl/>
        </w:rPr>
        <w:t>،</w:t>
      </w:r>
      <w:r>
        <w:rPr>
          <w:rtl/>
        </w:rPr>
        <w:t xml:space="preserve"> وقدما حتي يتحقق التجسيم والصورة</w:t>
      </w:r>
      <w:r w:rsidR="000636C2">
        <w:rPr>
          <w:rtl/>
        </w:rPr>
        <w:t>،</w:t>
      </w:r>
      <w:r>
        <w:rPr>
          <w:rtl/>
        </w:rPr>
        <w:t xml:space="preserve"> ومنها قوله تعالى</w:t>
      </w:r>
      <w:r w:rsidR="000636C2">
        <w:rPr>
          <w:rtl/>
        </w:rPr>
        <w:t>:</w:t>
      </w:r>
      <w:r>
        <w:rPr>
          <w:rtl/>
        </w:rPr>
        <w:t xml:space="preserve"> </w:t>
      </w:r>
      <w:r w:rsidR="000636C2">
        <w:rPr>
          <w:rtl/>
        </w:rPr>
        <w:t>{</w:t>
      </w:r>
      <w:r>
        <w:rPr>
          <w:rtl/>
        </w:rPr>
        <w:t>ثم استوي علي العرش</w:t>
      </w:r>
      <w:r w:rsidR="000636C2">
        <w:rPr>
          <w:rtl/>
        </w:rPr>
        <w:t>}،</w:t>
      </w:r>
      <w:r>
        <w:rPr>
          <w:rtl/>
        </w:rPr>
        <w:t xml:space="preserve"> قال الخليل بن أحمد</w:t>
      </w:r>
      <w:r w:rsidR="000636C2">
        <w:rPr>
          <w:rtl/>
        </w:rPr>
        <w:t>:</w:t>
      </w:r>
      <w:r>
        <w:rPr>
          <w:rtl/>
        </w:rPr>
        <w:t xml:space="preserve"> العرش</w:t>
      </w:r>
      <w:r w:rsidR="000636C2">
        <w:rPr>
          <w:rtl/>
        </w:rPr>
        <w:t>:</w:t>
      </w:r>
      <w:r>
        <w:rPr>
          <w:rtl/>
        </w:rPr>
        <w:t xml:space="preserve"> السرير</w:t>
      </w:r>
      <w:r w:rsidR="000636C2">
        <w:rPr>
          <w:rtl/>
        </w:rPr>
        <w:t>،</w:t>
      </w:r>
      <w:r>
        <w:rPr>
          <w:rtl/>
        </w:rPr>
        <w:t xml:space="preserve"> فكل سرير ملك يسمي عرشا</w:t>
      </w:r>
      <w:r w:rsidR="000636C2">
        <w:rPr>
          <w:rtl/>
        </w:rPr>
        <w:t>،</w:t>
      </w:r>
      <w:r>
        <w:rPr>
          <w:rtl/>
        </w:rPr>
        <w:t xml:space="preserve"> والعرش مشهور عند العرب في الجاهلية والإسلام قال الله تعالى</w:t>
      </w:r>
      <w:r w:rsidR="000636C2">
        <w:rPr>
          <w:rtl/>
        </w:rPr>
        <w:t>:</w:t>
      </w:r>
      <w:r>
        <w:rPr>
          <w:rtl/>
        </w:rPr>
        <w:t xml:space="preserve"> </w:t>
      </w:r>
      <w:r w:rsidR="000636C2">
        <w:rPr>
          <w:rtl/>
        </w:rPr>
        <w:t>{</w:t>
      </w:r>
      <w:r>
        <w:rPr>
          <w:rtl/>
        </w:rPr>
        <w:t>ورفع أبويه علي العرش</w:t>
      </w:r>
      <w:r w:rsidR="000636C2">
        <w:rPr>
          <w:rtl/>
        </w:rPr>
        <w:t>}،</w:t>
      </w:r>
      <w:r>
        <w:rPr>
          <w:rtl/>
        </w:rPr>
        <w:t xml:space="preserve"> وقال تعالى</w:t>
      </w:r>
      <w:r w:rsidR="000636C2">
        <w:rPr>
          <w:rtl/>
        </w:rPr>
        <w:t>:</w:t>
      </w:r>
      <w:r>
        <w:rPr>
          <w:rtl/>
        </w:rPr>
        <w:t xml:space="preserve"> </w:t>
      </w:r>
      <w:r w:rsidR="000636C2">
        <w:rPr>
          <w:rtl/>
        </w:rPr>
        <w:t>{</w:t>
      </w:r>
      <w:r>
        <w:rPr>
          <w:rtl/>
        </w:rPr>
        <w:t>أيكم يأتيني بعرشها</w:t>
      </w:r>
      <w:r w:rsidR="000636C2">
        <w:rPr>
          <w:rtl/>
        </w:rPr>
        <w:t xml:space="preserve">}، </w:t>
      </w:r>
      <w:r>
        <w:rPr>
          <w:rtl/>
        </w:rPr>
        <w:t>واعلم أن الاستواء في اللغة علي وجوه منها</w:t>
      </w:r>
      <w:r w:rsidR="000636C2">
        <w:rPr>
          <w:rtl/>
        </w:rPr>
        <w:t xml:space="preserve">: </w:t>
      </w:r>
      <w:r>
        <w:rPr>
          <w:rtl/>
        </w:rPr>
        <w:t>الاعتدال . قال بعض بني تميم فاستوي ظالم العشيرة والمظلوم . أي اعتدلا</w:t>
      </w:r>
      <w:r w:rsidR="000636C2">
        <w:rPr>
          <w:rtl/>
        </w:rPr>
        <w:t>،</w:t>
      </w:r>
      <w:r>
        <w:rPr>
          <w:rtl/>
        </w:rPr>
        <w:t xml:space="preserve"> والاستواء تمام الشيء قال الله تعالى</w:t>
      </w:r>
      <w:r w:rsidR="000636C2">
        <w:rPr>
          <w:rtl/>
        </w:rPr>
        <w:t>:</w:t>
      </w:r>
      <w:r>
        <w:rPr>
          <w:rtl/>
        </w:rPr>
        <w:t xml:space="preserve"> </w:t>
      </w:r>
      <w:r w:rsidR="000636C2">
        <w:rPr>
          <w:rtl/>
        </w:rPr>
        <w:t>{</w:t>
      </w:r>
      <w:r>
        <w:rPr>
          <w:rtl/>
        </w:rPr>
        <w:t>ولما بلغ أشده واستوي</w:t>
      </w:r>
      <w:r w:rsidR="000636C2">
        <w:rPr>
          <w:rtl/>
        </w:rPr>
        <w:t>}،</w:t>
      </w:r>
      <w:r>
        <w:rPr>
          <w:rtl/>
        </w:rPr>
        <w:t xml:space="preserve"> أي تم</w:t>
      </w:r>
      <w:r w:rsidR="000636C2">
        <w:rPr>
          <w:rtl/>
        </w:rPr>
        <w:t>،</w:t>
      </w:r>
      <w:r>
        <w:rPr>
          <w:rtl/>
        </w:rPr>
        <w:t xml:space="preserve"> والاستواء القصد إلى الشيء</w:t>
      </w:r>
      <w:r w:rsidR="000636C2">
        <w:rPr>
          <w:rtl/>
        </w:rPr>
        <w:t>،</w:t>
      </w:r>
      <w:r>
        <w:rPr>
          <w:rtl/>
        </w:rPr>
        <w:t xml:space="preserve"> قال تعالى</w:t>
      </w:r>
      <w:r w:rsidR="000636C2">
        <w:rPr>
          <w:rtl/>
        </w:rPr>
        <w:t>:</w:t>
      </w:r>
      <w:r>
        <w:rPr>
          <w:rtl/>
        </w:rPr>
        <w:t xml:space="preserve"> </w:t>
      </w:r>
      <w:r w:rsidR="000636C2">
        <w:rPr>
          <w:rtl/>
        </w:rPr>
        <w:t>{</w:t>
      </w:r>
      <w:r>
        <w:rPr>
          <w:rtl/>
        </w:rPr>
        <w:t>ثم استوي إلى السماء</w:t>
      </w:r>
      <w:r w:rsidR="000636C2">
        <w:rPr>
          <w:rtl/>
        </w:rPr>
        <w:t>}</w:t>
      </w:r>
      <w:r>
        <w:rPr>
          <w:rtl/>
        </w:rPr>
        <w:t xml:space="preserve"> أي قصد خلقها</w:t>
      </w:r>
      <w:r w:rsidR="000636C2">
        <w:rPr>
          <w:rtl/>
        </w:rPr>
        <w:t>،</w:t>
      </w:r>
      <w:r>
        <w:rPr>
          <w:rtl/>
        </w:rPr>
        <w:t xml:space="preserve"> والاستواء في الاستيلاء علي الشيء قال الشاعر</w:t>
      </w:r>
      <w:r w:rsidR="000636C2">
        <w:rPr>
          <w:rtl/>
        </w:rPr>
        <w:t>:</w:t>
      </w:r>
      <w:r>
        <w:rPr>
          <w:rtl/>
        </w:rPr>
        <w:t xml:space="preserve"> </w:t>
      </w:r>
      <w:r w:rsidR="000636C2">
        <w:rPr>
          <w:rtl/>
        </w:rPr>
        <w:t>(</w:t>
      </w:r>
      <w:r>
        <w:rPr>
          <w:rtl/>
        </w:rPr>
        <w:t>قد استوي بشر علي العراق ... من غير سيف ودم مهراق</w:t>
      </w:r>
      <w:r w:rsidR="000636C2">
        <w:rPr>
          <w:rtl/>
        </w:rPr>
        <w:t>)،</w:t>
      </w:r>
      <w:r>
        <w:rPr>
          <w:rtl/>
        </w:rPr>
        <w:t xml:space="preserve"> وقال الآخر</w:t>
      </w:r>
      <w:r w:rsidR="000636C2">
        <w:rPr>
          <w:rtl/>
        </w:rPr>
        <w:t>:</w:t>
      </w:r>
      <w:r>
        <w:rPr>
          <w:rtl/>
        </w:rPr>
        <w:t xml:space="preserve"> </w:t>
      </w:r>
      <w:r w:rsidR="000636C2">
        <w:rPr>
          <w:rtl/>
        </w:rPr>
        <w:t>(</w:t>
      </w:r>
      <w:r>
        <w:rPr>
          <w:rtl/>
        </w:rPr>
        <w:t>إذا ما غزا قوم أباح حريمهم ... وأضحي علي ما ملكوه قد استوي</w:t>
      </w:r>
      <w:r w:rsidR="000636C2">
        <w:rPr>
          <w:rtl/>
        </w:rPr>
        <w:t>)،</w:t>
      </w:r>
      <w:r>
        <w:rPr>
          <w:rtl/>
        </w:rPr>
        <w:t xml:space="preserve"> وروي اسماعيل بن أبي خالد الطائي قال</w:t>
      </w:r>
      <w:r w:rsidR="000636C2">
        <w:rPr>
          <w:rtl/>
        </w:rPr>
        <w:t>:</w:t>
      </w:r>
      <w:r>
        <w:rPr>
          <w:rtl/>
        </w:rPr>
        <w:t xml:space="preserve"> العرش ياقوتة حمراء . </w:t>
      </w:r>
      <w:r w:rsidR="000636C2">
        <w:rPr>
          <w:rtl/>
        </w:rPr>
        <w:t>(</w:t>
      </w:r>
      <w:r>
        <w:rPr>
          <w:rtl/>
        </w:rPr>
        <w:t>قلت</w:t>
      </w:r>
      <w:r w:rsidR="000636C2">
        <w:rPr>
          <w:rtl/>
        </w:rPr>
        <w:t>):</w:t>
      </w:r>
      <w:r>
        <w:rPr>
          <w:rtl/>
        </w:rPr>
        <w:t xml:space="preserve"> وجميع السلف علي امرار هذه الآية كما جاءت من غير تفسير ولا تأويل</w:t>
      </w:r>
      <w:r w:rsidR="000636C2">
        <w:rPr>
          <w:rtl/>
        </w:rPr>
        <w:t>،</w:t>
      </w:r>
      <w:r>
        <w:rPr>
          <w:rtl/>
        </w:rPr>
        <w:t xml:space="preserve"> قال عبد الله بن وهب</w:t>
      </w:r>
      <w:r w:rsidR="000636C2">
        <w:rPr>
          <w:rtl/>
        </w:rPr>
        <w:t>:</w:t>
      </w:r>
      <w:r>
        <w:rPr>
          <w:rtl/>
        </w:rPr>
        <w:t xml:space="preserve"> كنا عند مالك بن أنس فدخل رجل فقال</w:t>
      </w:r>
      <w:r w:rsidR="000636C2">
        <w:rPr>
          <w:rtl/>
        </w:rPr>
        <w:t>:</w:t>
      </w:r>
      <w:r>
        <w:rPr>
          <w:rtl/>
        </w:rPr>
        <w:t xml:space="preserve"> يا أبا عبد الله " الرحمن علي العرش استوي " كيف استوي</w:t>
      </w:r>
      <w:r w:rsidR="000636C2">
        <w:rPr>
          <w:rtl/>
        </w:rPr>
        <w:t>؟</w:t>
      </w:r>
      <w:r>
        <w:rPr>
          <w:rtl/>
        </w:rPr>
        <w:t xml:space="preserve"> فأطرق مالك وأخذته الرحضاء ثم رفع رأسه فقال</w:t>
      </w:r>
      <w:r w:rsidR="000636C2">
        <w:rPr>
          <w:rtl/>
        </w:rPr>
        <w:t>:</w:t>
      </w:r>
      <w:r>
        <w:rPr>
          <w:rtl/>
        </w:rPr>
        <w:t xml:space="preserve"> الرحمن علي العرش استوي كما وصف نفسه ولا يقال له كيف وكيف عنه مرفوع وأنت رجل سوء صاحب بدعة فأخرجوه فأخرج</w:t>
      </w:r>
      <w:r w:rsidR="000636C2">
        <w:rPr>
          <w:rtl/>
        </w:rPr>
        <w:t>،</w:t>
      </w:r>
      <w:r>
        <w:rPr>
          <w:rtl/>
        </w:rPr>
        <w:t xml:space="preserve"> وقد حمل قوم من المتأخرين هذه الصفة علي مقتضي الحس فقالوا</w:t>
      </w:r>
      <w:r w:rsidR="000636C2">
        <w:rPr>
          <w:rtl/>
        </w:rPr>
        <w:t>:</w:t>
      </w:r>
      <w:r>
        <w:rPr>
          <w:rtl/>
        </w:rPr>
        <w:t xml:space="preserve"> " استوي علي العرش بذاته "</w:t>
      </w:r>
      <w:r w:rsidR="000636C2">
        <w:rPr>
          <w:rtl/>
        </w:rPr>
        <w:t>،</w:t>
      </w:r>
      <w:r>
        <w:rPr>
          <w:rtl/>
        </w:rPr>
        <w:t xml:space="preserve"> وهي زيادة لم تنقل</w:t>
      </w:r>
      <w:r w:rsidR="000636C2">
        <w:rPr>
          <w:rtl/>
        </w:rPr>
        <w:t>،</w:t>
      </w:r>
      <w:r>
        <w:rPr>
          <w:rtl/>
        </w:rPr>
        <w:t xml:space="preserve"> إنما فهموها من احساسهم</w:t>
      </w:r>
      <w:r w:rsidR="000636C2">
        <w:rPr>
          <w:rtl/>
        </w:rPr>
        <w:t>،</w:t>
      </w:r>
      <w:r>
        <w:rPr>
          <w:rtl/>
        </w:rPr>
        <w:t xml:space="preserve"> وهو أن المستوي علي الشيء إنما تستوي عليه ذاته</w:t>
      </w:r>
      <w:r w:rsidR="000636C2">
        <w:rPr>
          <w:rtl/>
        </w:rPr>
        <w:t>،</w:t>
      </w:r>
      <w:r>
        <w:rPr>
          <w:rtl/>
        </w:rPr>
        <w:t xml:space="preserve"> قال أبو حامد</w:t>
      </w:r>
      <w:r w:rsidR="000636C2">
        <w:rPr>
          <w:rtl/>
        </w:rPr>
        <w:t>:</w:t>
      </w:r>
      <w:r>
        <w:rPr>
          <w:rtl/>
        </w:rPr>
        <w:t xml:space="preserve"> الاستواء مماسته وصف لذاته</w:t>
      </w:r>
      <w:r w:rsidR="000636C2">
        <w:rPr>
          <w:rtl/>
        </w:rPr>
        <w:t>،</w:t>
      </w:r>
      <w:r>
        <w:rPr>
          <w:rtl/>
        </w:rPr>
        <w:t xml:space="preserve"> والمراد به القعود</w:t>
      </w:r>
      <w:r w:rsidR="000636C2">
        <w:rPr>
          <w:rtl/>
        </w:rPr>
        <w:t>،</w:t>
      </w:r>
      <w:r>
        <w:rPr>
          <w:rtl/>
        </w:rPr>
        <w:t xml:space="preserve"> قال</w:t>
      </w:r>
      <w:r w:rsidR="000636C2">
        <w:rPr>
          <w:rtl/>
        </w:rPr>
        <w:t>:</w:t>
      </w:r>
      <w:r>
        <w:rPr>
          <w:rtl/>
        </w:rPr>
        <w:t xml:space="preserve"> وقد ذهبت طائفة من أصحابنا إلى أن الله سبحانه وتعالى علي عرشه ما ملأ</w:t>
      </w:r>
      <w:r w:rsidR="000636C2">
        <w:rPr>
          <w:rtl/>
        </w:rPr>
        <w:t>،</w:t>
      </w:r>
      <w:r>
        <w:rPr>
          <w:rtl/>
        </w:rPr>
        <w:t xml:space="preserve"> وانه يقعد فيه</w:t>
      </w:r>
      <w:r w:rsidR="000636C2">
        <w:rPr>
          <w:rtl/>
        </w:rPr>
        <w:t>،</w:t>
      </w:r>
      <w:r>
        <w:rPr>
          <w:rtl/>
        </w:rPr>
        <w:t xml:space="preserve"> ويقعد نبيه الله صلى الله عليه وسلم معه علي العرش</w:t>
      </w:r>
      <w:r w:rsidR="000636C2">
        <w:rPr>
          <w:rtl/>
        </w:rPr>
        <w:t>،</w:t>
      </w:r>
      <w:r>
        <w:rPr>
          <w:rtl/>
        </w:rPr>
        <w:t xml:space="preserve"> قال أبو حامد</w:t>
      </w:r>
      <w:r w:rsidR="000636C2">
        <w:rPr>
          <w:rtl/>
        </w:rPr>
        <w:t>:</w:t>
      </w:r>
      <w:r>
        <w:rPr>
          <w:rtl/>
        </w:rPr>
        <w:t xml:space="preserve"> والنزول انتقال . </w:t>
      </w:r>
      <w:r w:rsidR="000636C2">
        <w:rPr>
          <w:rtl/>
        </w:rPr>
        <w:t>(</w:t>
      </w:r>
      <w:r>
        <w:rPr>
          <w:rtl/>
        </w:rPr>
        <w:t>قلت</w:t>
      </w:r>
      <w:r w:rsidR="000636C2">
        <w:rPr>
          <w:rtl/>
        </w:rPr>
        <w:t>):</w:t>
      </w:r>
      <w:r>
        <w:rPr>
          <w:rtl/>
        </w:rPr>
        <w:t xml:space="preserve"> وعلي ما حكي تكون ذاته أصغر من العرش فالعجب من قول هذا</w:t>
      </w:r>
      <w:r w:rsidR="000636C2">
        <w:rPr>
          <w:rtl/>
        </w:rPr>
        <w:t>،</w:t>
      </w:r>
      <w:r>
        <w:rPr>
          <w:rtl/>
        </w:rPr>
        <w:t xml:space="preserve"> ما نحن مجسمة</w:t>
      </w:r>
      <w:r w:rsidR="000636C2">
        <w:rPr>
          <w:rtl/>
        </w:rPr>
        <w:t xml:space="preserve">؟ </w:t>
      </w:r>
      <w:r>
        <w:rPr>
          <w:rtl/>
        </w:rPr>
        <w:t>وقيل لابن الزاغوني</w:t>
      </w:r>
      <w:r w:rsidR="000636C2">
        <w:rPr>
          <w:rtl/>
        </w:rPr>
        <w:t>:</w:t>
      </w:r>
      <w:r>
        <w:rPr>
          <w:rtl/>
        </w:rPr>
        <w:t xml:space="preserve"> هل تجدون له صفة لم تكن له بعد خلق </w:t>
      </w:r>
      <w:r>
        <w:rPr>
          <w:rtl/>
        </w:rPr>
        <w:lastRenderedPageBreak/>
        <w:t>العرش ..؟ قال: لا إنما خلق العالم بصفة التحت</w:t>
      </w:r>
      <w:r w:rsidR="000636C2">
        <w:rPr>
          <w:rtl/>
        </w:rPr>
        <w:t>،</w:t>
      </w:r>
      <w:r>
        <w:rPr>
          <w:rtl/>
        </w:rPr>
        <w:t xml:space="preserve"> فصار العالم بالإضافة إليه أسفل فإذا ثبت لإحدى الذاتين صفة التحت تثبت لأخري صفة استحقاق الفوق قال</w:t>
      </w:r>
      <w:r w:rsidR="000636C2">
        <w:rPr>
          <w:rtl/>
        </w:rPr>
        <w:t>:</w:t>
      </w:r>
      <w:r>
        <w:rPr>
          <w:rtl/>
        </w:rPr>
        <w:t xml:space="preserve"> وقد ثبت أن الأماكن ليست في ذاته</w:t>
      </w:r>
      <w:r w:rsidR="000636C2">
        <w:rPr>
          <w:rtl/>
        </w:rPr>
        <w:t>،</w:t>
      </w:r>
      <w:r>
        <w:rPr>
          <w:rtl/>
        </w:rPr>
        <w:t xml:space="preserve"> ولا ذاته فيها</w:t>
      </w:r>
      <w:r w:rsidR="000636C2">
        <w:rPr>
          <w:rtl/>
        </w:rPr>
        <w:t>،</w:t>
      </w:r>
      <w:r>
        <w:rPr>
          <w:rtl/>
        </w:rPr>
        <w:t xml:space="preserve"> فثبت انفصاله عنها</w:t>
      </w:r>
      <w:r w:rsidR="000636C2">
        <w:rPr>
          <w:rtl/>
        </w:rPr>
        <w:t>،</w:t>
      </w:r>
      <w:r>
        <w:rPr>
          <w:rtl/>
        </w:rPr>
        <w:t xml:space="preserve"> ولا بد من شيء يحصل به الفصل</w:t>
      </w:r>
      <w:r w:rsidR="000636C2">
        <w:rPr>
          <w:rtl/>
        </w:rPr>
        <w:t>،</w:t>
      </w:r>
      <w:r>
        <w:rPr>
          <w:rtl/>
        </w:rPr>
        <w:t xml:space="preserve"> فلما قال</w:t>
      </w:r>
      <w:r w:rsidR="000636C2">
        <w:rPr>
          <w:rtl/>
        </w:rPr>
        <w:t>:</w:t>
      </w:r>
      <w:r>
        <w:rPr>
          <w:rtl/>
        </w:rPr>
        <w:t xml:space="preserve"> " ثم استوى " علمنا اختصاصه بتلك الجهة</w:t>
      </w:r>
      <w:r w:rsidR="000636C2">
        <w:rPr>
          <w:rtl/>
        </w:rPr>
        <w:t>،</w:t>
      </w:r>
      <w:r>
        <w:rPr>
          <w:rtl/>
        </w:rPr>
        <w:t xml:space="preserve"> قال بن الزاغوني</w:t>
      </w:r>
      <w:r w:rsidR="000636C2">
        <w:rPr>
          <w:rtl/>
        </w:rPr>
        <w:t>:</w:t>
      </w:r>
      <w:r>
        <w:rPr>
          <w:rtl/>
        </w:rPr>
        <w:t xml:space="preserve"> ولابد أن تكون لذاته نهاية وغاية نعلمها</w:t>
      </w:r>
      <w:r w:rsidR="000636C2">
        <w:rPr>
          <w:rtl/>
        </w:rPr>
        <w:t>،</w:t>
      </w:r>
      <w:r>
        <w:rPr>
          <w:rtl/>
        </w:rPr>
        <w:t xml:space="preserve"> </w:t>
      </w:r>
      <w:r w:rsidR="000636C2">
        <w:rPr>
          <w:rtl/>
        </w:rPr>
        <w:t>(</w:t>
      </w:r>
      <w:r>
        <w:rPr>
          <w:rtl/>
        </w:rPr>
        <w:t>قلت</w:t>
      </w:r>
      <w:r w:rsidR="000636C2">
        <w:rPr>
          <w:rtl/>
        </w:rPr>
        <w:t>):</w:t>
      </w:r>
      <w:r>
        <w:rPr>
          <w:rtl/>
        </w:rPr>
        <w:t xml:space="preserve"> وهذا رجل لا يدري ما يقول لأنه إذا قدر غاية وفصلا بين الخالق والمخلوق فقد حدده</w:t>
      </w:r>
      <w:r w:rsidR="000636C2">
        <w:rPr>
          <w:rtl/>
        </w:rPr>
        <w:t>،</w:t>
      </w:r>
      <w:r>
        <w:rPr>
          <w:rtl/>
        </w:rPr>
        <w:t xml:space="preserve"> وأقر بأنه جسم</w:t>
      </w:r>
      <w:r w:rsidR="000636C2">
        <w:rPr>
          <w:rtl/>
        </w:rPr>
        <w:t>،</w:t>
      </w:r>
      <w:r>
        <w:rPr>
          <w:rtl/>
        </w:rPr>
        <w:t xml:space="preserve"> وهو يقول في كتابه أنه ليس بجوهر</w:t>
      </w:r>
      <w:r w:rsidR="000636C2">
        <w:rPr>
          <w:rtl/>
        </w:rPr>
        <w:t>،</w:t>
      </w:r>
      <w:r>
        <w:rPr>
          <w:rtl/>
        </w:rPr>
        <w:t xml:space="preserve"> لأن الجوهر ما تحيز ثم يثبت له مكانا يتحيز فيه</w:t>
      </w:r>
      <w:r w:rsidR="000636C2">
        <w:rPr>
          <w:rtl/>
        </w:rPr>
        <w:t>،</w:t>
      </w:r>
      <w:r>
        <w:rPr>
          <w:rtl/>
        </w:rPr>
        <w:t xml:space="preserve"> </w:t>
      </w:r>
      <w:r w:rsidR="000636C2">
        <w:rPr>
          <w:rtl/>
        </w:rPr>
        <w:t>(</w:t>
      </w:r>
      <w:r>
        <w:rPr>
          <w:rtl/>
        </w:rPr>
        <w:t>قلت</w:t>
      </w:r>
      <w:r w:rsidR="000636C2">
        <w:rPr>
          <w:rtl/>
        </w:rPr>
        <w:t>):</w:t>
      </w:r>
      <w:r>
        <w:rPr>
          <w:rtl/>
        </w:rPr>
        <w:t xml:space="preserve"> وهنا كلام جهل من قائله</w:t>
      </w:r>
      <w:r w:rsidR="000636C2">
        <w:rPr>
          <w:rtl/>
        </w:rPr>
        <w:t>،</w:t>
      </w:r>
      <w:r>
        <w:rPr>
          <w:rtl/>
        </w:rPr>
        <w:t xml:space="preserve"> وتشبيه محض</w:t>
      </w:r>
      <w:r w:rsidR="000636C2">
        <w:rPr>
          <w:rtl/>
        </w:rPr>
        <w:t>،</w:t>
      </w:r>
      <w:r>
        <w:rPr>
          <w:rtl/>
        </w:rPr>
        <w:t xml:space="preserve"> فما عرف هذا الشيخ ما يجب للخالق</w:t>
      </w:r>
      <w:r w:rsidR="000636C2">
        <w:rPr>
          <w:rtl/>
        </w:rPr>
        <w:t>،</w:t>
      </w:r>
      <w:r>
        <w:rPr>
          <w:rtl/>
        </w:rPr>
        <w:t xml:space="preserve"> وما يستحيل عليه . فإن وجوده تعالى ليس كوجود الجواهر والأجسام التي لابد لها من حيز</w:t>
      </w:r>
      <w:r w:rsidR="000636C2">
        <w:rPr>
          <w:rtl/>
        </w:rPr>
        <w:t>،</w:t>
      </w:r>
      <w:r>
        <w:rPr>
          <w:rtl/>
        </w:rPr>
        <w:t xml:space="preserve"> والتحت والفوق إنما يكون فيما يقابل ويحازي</w:t>
      </w:r>
      <w:r w:rsidR="000636C2">
        <w:rPr>
          <w:rtl/>
        </w:rPr>
        <w:t>،</w:t>
      </w:r>
      <w:r>
        <w:rPr>
          <w:rtl/>
        </w:rPr>
        <w:t xml:space="preserve"> ومن ضرورة المحازي أن يكون أكبر من المحازي أو أصغر أو مثله</w:t>
      </w:r>
      <w:r w:rsidR="000636C2">
        <w:rPr>
          <w:rtl/>
        </w:rPr>
        <w:t>،</w:t>
      </w:r>
      <w:r>
        <w:rPr>
          <w:rtl/>
        </w:rPr>
        <w:t xml:space="preserve"> وإن هذا ومثله إنما يكون في الأجسام</w:t>
      </w:r>
      <w:r w:rsidR="000636C2">
        <w:rPr>
          <w:rtl/>
        </w:rPr>
        <w:t>،</w:t>
      </w:r>
      <w:r>
        <w:rPr>
          <w:rtl/>
        </w:rPr>
        <w:t xml:space="preserve"> وكل ما يحازي الأجسام يجوز أن يمسها</w:t>
      </w:r>
      <w:r w:rsidR="000636C2">
        <w:rPr>
          <w:rtl/>
        </w:rPr>
        <w:t>،</w:t>
      </w:r>
      <w:r>
        <w:rPr>
          <w:rtl/>
        </w:rPr>
        <w:t xml:space="preserve"> وما جاز عليه مماسة الأجسام ومباينتها فهو حادث</w:t>
      </w:r>
      <w:r w:rsidR="000636C2">
        <w:rPr>
          <w:rtl/>
        </w:rPr>
        <w:t>،</w:t>
      </w:r>
      <w:r>
        <w:rPr>
          <w:rtl/>
        </w:rPr>
        <w:t xml:space="preserve"> إذا ثبت أن الدليل علي حدوث الجواهر قبولها للمباينة والمماسة . فإذا أجازوا هذا عليه</w:t>
      </w:r>
      <w:r w:rsidR="000636C2">
        <w:rPr>
          <w:rtl/>
        </w:rPr>
        <w:t>،</w:t>
      </w:r>
      <w:r>
        <w:rPr>
          <w:rtl/>
        </w:rPr>
        <w:t xml:space="preserve"> قالوا بجواز حدوثه</w:t>
      </w:r>
      <w:r w:rsidR="000636C2">
        <w:rPr>
          <w:rtl/>
        </w:rPr>
        <w:t>،</w:t>
      </w:r>
      <w:r>
        <w:rPr>
          <w:rtl/>
        </w:rPr>
        <w:t xml:space="preserve"> وإن منعوا جواز هذا عليه</w:t>
      </w:r>
      <w:r w:rsidR="000636C2">
        <w:rPr>
          <w:rtl/>
        </w:rPr>
        <w:t>،</w:t>
      </w:r>
      <w:r>
        <w:rPr>
          <w:rtl/>
        </w:rPr>
        <w:t xml:space="preserve"> لم يبق لنا طريق لإثبات حدوث الجواهر، ومتي قدرنا مستغنيا عن المحل والحيز محتاجا إلى الحيز</w:t>
      </w:r>
      <w:r w:rsidR="000636C2">
        <w:rPr>
          <w:rtl/>
        </w:rPr>
        <w:t>،</w:t>
      </w:r>
      <w:r>
        <w:rPr>
          <w:rtl/>
        </w:rPr>
        <w:t xml:space="preserve"> ثم قلنا</w:t>
      </w:r>
      <w:r w:rsidR="000636C2">
        <w:rPr>
          <w:rtl/>
        </w:rPr>
        <w:t>،</w:t>
      </w:r>
      <w:r>
        <w:rPr>
          <w:rtl/>
        </w:rPr>
        <w:t xml:space="preserve"> إما أن يكون متج</w:t>
      </w:r>
      <w:r w:rsidR="000636C2">
        <w:rPr>
          <w:rtl/>
        </w:rPr>
        <w:t xml:space="preserve"> </w:t>
      </w:r>
      <w:r>
        <w:rPr>
          <w:rtl/>
        </w:rPr>
        <w:t>اورين ومتباين</w:t>
      </w:r>
      <w:r w:rsidR="000636C2">
        <w:rPr>
          <w:rtl/>
        </w:rPr>
        <w:t>،</w:t>
      </w:r>
      <w:r>
        <w:rPr>
          <w:rtl/>
        </w:rPr>
        <w:t xml:space="preserve"> كان ذلك محالا . فإن المتجاور والمتباين من لوازم المتحيز في المتحيزات</w:t>
      </w:r>
      <w:r w:rsidR="000636C2">
        <w:rPr>
          <w:rtl/>
        </w:rPr>
        <w:t>،</w:t>
      </w:r>
      <w:r>
        <w:rPr>
          <w:rtl/>
        </w:rPr>
        <w:t xml:space="preserve"> وقد ثبت أن الاجتماع والافتراق من لوازم المتحيز</w:t>
      </w:r>
      <w:r w:rsidR="000636C2">
        <w:rPr>
          <w:rtl/>
        </w:rPr>
        <w:t>،</w:t>
      </w:r>
      <w:r>
        <w:rPr>
          <w:rtl/>
        </w:rPr>
        <w:t xml:space="preserve"> والحق سبحانه وتعالى لا يوصف بالتحيز</w:t>
      </w:r>
      <w:r w:rsidR="000636C2">
        <w:rPr>
          <w:rtl/>
        </w:rPr>
        <w:t>،</w:t>
      </w:r>
      <w:r>
        <w:rPr>
          <w:rtl/>
        </w:rPr>
        <w:t xml:space="preserve"> لأنه لو كان متحيزا لم يخل إما أن يكون ساكنا في حيزه</w:t>
      </w:r>
      <w:r w:rsidR="000636C2">
        <w:rPr>
          <w:rtl/>
        </w:rPr>
        <w:t>،</w:t>
      </w:r>
      <w:r>
        <w:rPr>
          <w:rtl/>
        </w:rPr>
        <w:t xml:space="preserve"> أومتحركا عنه</w:t>
      </w:r>
      <w:r w:rsidR="000636C2">
        <w:rPr>
          <w:rtl/>
        </w:rPr>
        <w:t>،</w:t>
      </w:r>
      <w:r>
        <w:rPr>
          <w:rtl/>
        </w:rPr>
        <w:t xml:space="preserve"> ولا يجوز أن يوصف بحركة أو سكون</w:t>
      </w:r>
      <w:r w:rsidR="000636C2">
        <w:rPr>
          <w:rtl/>
        </w:rPr>
        <w:t>،</w:t>
      </w:r>
      <w:r>
        <w:rPr>
          <w:rtl/>
        </w:rPr>
        <w:t xml:space="preserve"> ولا اجتماع ولا افتراق</w:t>
      </w:r>
      <w:r w:rsidR="000636C2">
        <w:rPr>
          <w:rtl/>
        </w:rPr>
        <w:t>،</w:t>
      </w:r>
      <w:r>
        <w:rPr>
          <w:rtl/>
        </w:rPr>
        <w:t xml:space="preserve"> وما جاور أو باين</w:t>
      </w:r>
      <w:r w:rsidR="000636C2">
        <w:rPr>
          <w:rtl/>
        </w:rPr>
        <w:t>،</w:t>
      </w:r>
      <w:r>
        <w:rPr>
          <w:rtl/>
        </w:rPr>
        <w:t xml:space="preserve"> فقد تناهي ذاتيا</w:t>
      </w:r>
      <w:r w:rsidR="000636C2">
        <w:rPr>
          <w:rtl/>
        </w:rPr>
        <w:t>،</w:t>
      </w:r>
      <w:r>
        <w:rPr>
          <w:rtl/>
        </w:rPr>
        <w:t xml:space="preserve"> والمتناهي إذا خص بمقدار</w:t>
      </w:r>
      <w:r w:rsidR="000636C2">
        <w:rPr>
          <w:rtl/>
        </w:rPr>
        <w:t>،</w:t>
      </w:r>
      <w:r>
        <w:rPr>
          <w:rtl/>
        </w:rPr>
        <w:t xml:space="preserve"> استدعي مخصصا</w:t>
      </w:r>
      <w:r w:rsidR="000636C2">
        <w:rPr>
          <w:rtl/>
        </w:rPr>
        <w:t>،</w:t>
      </w:r>
      <w:r>
        <w:rPr>
          <w:rtl/>
        </w:rPr>
        <w:t xml:space="preserve"> وكذا ينبغي أن لا يقال</w:t>
      </w:r>
      <w:r w:rsidR="000636C2">
        <w:rPr>
          <w:rtl/>
        </w:rPr>
        <w:t>،</w:t>
      </w:r>
      <w:r>
        <w:rPr>
          <w:rtl/>
        </w:rPr>
        <w:t xml:space="preserve"> ليس بداخل العالم</w:t>
      </w:r>
      <w:r w:rsidR="000636C2">
        <w:rPr>
          <w:rtl/>
        </w:rPr>
        <w:t xml:space="preserve">، </w:t>
      </w:r>
      <w:r>
        <w:rPr>
          <w:rtl/>
        </w:rPr>
        <w:t>وليس بخارج منه لأن الدخول والخروج من لوازم المتحيزات وهما كالحركة والسكون كسائر الأعراض التي تختص بالأجرام . وأما قولهم خلق الأماكن لا في ذاته</w:t>
      </w:r>
      <w:r w:rsidR="000636C2">
        <w:rPr>
          <w:rtl/>
        </w:rPr>
        <w:t>،</w:t>
      </w:r>
      <w:r>
        <w:rPr>
          <w:rtl/>
        </w:rPr>
        <w:t xml:space="preserve"> فثبت انفصاله عنها</w:t>
      </w:r>
      <w:r w:rsidR="000636C2">
        <w:rPr>
          <w:rtl/>
        </w:rPr>
        <w:t>،</w:t>
      </w:r>
      <w:r>
        <w:rPr>
          <w:rtl/>
        </w:rPr>
        <w:t xml:space="preserve"> </w:t>
      </w:r>
      <w:r w:rsidR="000636C2">
        <w:rPr>
          <w:rtl/>
        </w:rPr>
        <w:t>(</w:t>
      </w:r>
      <w:r>
        <w:rPr>
          <w:rtl/>
        </w:rPr>
        <w:t>قلنا</w:t>
      </w:r>
      <w:r w:rsidR="000636C2">
        <w:rPr>
          <w:rtl/>
        </w:rPr>
        <w:t>):</w:t>
      </w:r>
      <w:r>
        <w:rPr>
          <w:rtl/>
        </w:rPr>
        <w:t xml:space="preserve"> ذاته تعالى لا يقبل أن يخلق منها شيء</w:t>
      </w:r>
      <w:r w:rsidR="000636C2">
        <w:rPr>
          <w:rtl/>
        </w:rPr>
        <w:t>،</w:t>
      </w:r>
      <w:r>
        <w:rPr>
          <w:rtl/>
        </w:rPr>
        <w:t xml:space="preserve"> ولا أن يحل فيها شيء</w:t>
      </w:r>
      <w:r w:rsidR="000636C2">
        <w:rPr>
          <w:rtl/>
        </w:rPr>
        <w:t>،</w:t>
      </w:r>
      <w:r>
        <w:rPr>
          <w:rtl/>
        </w:rPr>
        <w:t xml:space="preserve"> والفصل من حيث الحس يوجب عليه ما يوجب علي الجواهر</w:t>
      </w:r>
      <w:r w:rsidR="000636C2">
        <w:rPr>
          <w:rtl/>
        </w:rPr>
        <w:t>،</w:t>
      </w:r>
      <w:r>
        <w:rPr>
          <w:rtl/>
        </w:rPr>
        <w:t xml:space="preserve"> ومعني الحيز أن الذي يختص به يمنع مثله أن يوجد</w:t>
      </w:r>
      <w:r w:rsidR="000636C2">
        <w:rPr>
          <w:rtl/>
        </w:rPr>
        <w:t>،</w:t>
      </w:r>
      <w:r>
        <w:rPr>
          <w:rtl/>
        </w:rPr>
        <w:t xml:space="preserve"> وكلام هؤلاء كله مبني علي الحس</w:t>
      </w:r>
      <w:r w:rsidR="000636C2">
        <w:rPr>
          <w:rtl/>
        </w:rPr>
        <w:t>)،</w:t>
      </w:r>
      <w:r>
        <w:rPr>
          <w:rtl/>
        </w:rPr>
        <w:t xml:space="preserve"> وقد حملهم الحس علي التشبيه والتخليط حتي قال بعضهم</w:t>
      </w:r>
      <w:r w:rsidR="000636C2">
        <w:rPr>
          <w:rtl/>
        </w:rPr>
        <w:t>:</w:t>
      </w:r>
      <w:r>
        <w:rPr>
          <w:rtl/>
        </w:rPr>
        <w:t xml:space="preserve"> إنما ذكر الاستواء علي العرش لأنه أقرب الموجودات إليه . وهذا جهل أيضا . لأن قرب المساحة لا يتصور إلا في حق الجسم</w:t>
      </w:r>
      <w:r w:rsidR="000636C2">
        <w:rPr>
          <w:rtl/>
        </w:rPr>
        <w:t>،</w:t>
      </w:r>
      <w:r>
        <w:rPr>
          <w:rtl/>
        </w:rPr>
        <w:t xml:space="preserve"> </w:t>
      </w:r>
      <w:r w:rsidR="000636C2">
        <w:rPr>
          <w:rtl/>
        </w:rPr>
        <w:t>(</w:t>
      </w:r>
      <w:r>
        <w:rPr>
          <w:rtl/>
        </w:rPr>
        <w:t>وقال بعضهم</w:t>
      </w:r>
      <w:r w:rsidR="000636C2">
        <w:rPr>
          <w:rtl/>
        </w:rPr>
        <w:t>:</w:t>
      </w:r>
      <w:r>
        <w:rPr>
          <w:rtl/>
        </w:rPr>
        <w:t xml:space="preserve"> جهة العرش تحازي ما يقابله من الذات ولا تحازي جميع الذات وهذا صريح في التجسيم والتبعيض</w:t>
      </w:r>
      <w:r w:rsidR="000636C2">
        <w:rPr>
          <w:rtl/>
        </w:rPr>
        <w:t>)،</w:t>
      </w:r>
      <w:r>
        <w:rPr>
          <w:rtl/>
        </w:rPr>
        <w:t xml:space="preserve"> ويعز علينا كيف هذا القائل ينسب إلى مذهبنا</w:t>
      </w:r>
      <w:r w:rsidR="000636C2">
        <w:rPr>
          <w:rtl/>
        </w:rPr>
        <w:t>؟</w:t>
      </w:r>
      <w:r>
        <w:rPr>
          <w:rtl/>
        </w:rPr>
        <w:t xml:space="preserve"> واحتج بعضهم </w:t>
      </w:r>
      <w:r>
        <w:rPr>
          <w:rtl/>
        </w:rPr>
        <w:lastRenderedPageBreak/>
        <w:t>بأنه علي العرش بقوله تعالى</w:t>
      </w:r>
      <w:r w:rsidR="000636C2">
        <w:rPr>
          <w:rtl/>
        </w:rPr>
        <w:t>:</w:t>
      </w:r>
      <w:r>
        <w:rPr>
          <w:rtl/>
        </w:rPr>
        <w:t xml:space="preserve"> </w:t>
      </w:r>
      <w:r w:rsidR="000636C2">
        <w:rPr>
          <w:rtl/>
        </w:rPr>
        <w:t>{</w:t>
      </w:r>
      <w:r>
        <w:rPr>
          <w:rtl/>
        </w:rPr>
        <w:t>إليه يصعد الكلم الطيب والعمل الصالح يرفعه</w:t>
      </w:r>
      <w:r w:rsidR="000636C2">
        <w:rPr>
          <w:rtl/>
        </w:rPr>
        <w:t>}،</w:t>
      </w:r>
      <w:r>
        <w:rPr>
          <w:rtl/>
        </w:rPr>
        <w:t xml:space="preserve"> وبقوله تعالى</w:t>
      </w:r>
      <w:r w:rsidR="000636C2">
        <w:rPr>
          <w:rtl/>
        </w:rPr>
        <w:t>:</w:t>
      </w:r>
      <w:r>
        <w:rPr>
          <w:rtl/>
        </w:rPr>
        <w:t xml:space="preserve"> </w:t>
      </w:r>
      <w:r w:rsidR="000636C2">
        <w:rPr>
          <w:rtl/>
        </w:rPr>
        <w:t>{</w:t>
      </w:r>
      <w:r>
        <w:rPr>
          <w:rtl/>
        </w:rPr>
        <w:t>وهو القاهر فوق عباده</w:t>
      </w:r>
      <w:r w:rsidR="000636C2">
        <w:rPr>
          <w:rtl/>
        </w:rPr>
        <w:t>}،</w:t>
      </w:r>
      <w:r>
        <w:rPr>
          <w:rtl/>
        </w:rPr>
        <w:t xml:space="preserve"> وجعلوا ذلك فوقيه حسية</w:t>
      </w:r>
      <w:r w:rsidR="000636C2">
        <w:rPr>
          <w:rtl/>
        </w:rPr>
        <w:t>،</w:t>
      </w:r>
      <w:r>
        <w:rPr>
          <w:rtl/>
        </w:rPr>
        <w:t xml:space="preserve"> ونسوا أن الفوقية الحسية إنما تكون لجسم أو جوهر وأن الفوقية قد تطلق لعلو المرتبة فيقال</w:t>
      </w:r>
      <w:r w:rsidR="000636C2">
        <w:rPr>
          <w:rtl/>
        </w:rPr>
        <w:t>:</w:t>
      </w:r>
      <w:r>
        <w:rPr>
          <w:rtl/>
        </w:rPr>
        <w:t xml:space="preserve"> فلان فوق فلان</w:t>
      </w:r>
      <w:r w:rsidR="000636C2">
        <w:rPr>
          <w:rtl/>
        </w:rPr>
        <w:t>،</w:t>
      </w:r>
      <w:r>
        <w:rPr>
          <w:rtl/>
        </w:rPr>
        <w:t xml:space="preserve"> ثم أنه كما قال</w:t>
      </w:r>
      <w:r w:rsidR="000636C2">
        <w:rPr>
          <w:rtl/>
        </w:rPr>
        <w:t>:</w:t>
      </w:r>
      <w:r>
        <w:rPr>
          <w:rtl/>
        </w:rPr>
        <w:t xml:space="preserve"> </w:t>
      </w:r>
      <w:r w:rsidR="000636C2">
        <w:rPr>
          <w:rtl/>
        </w:rPr>
        <w:t>{</w:t>
      </w:r>
      <w:r>
        <w:rPr>
          <w:rtl/>
        </w:rPr>
        <w:t>فوق عباده</w:t>
      </w:r>
      <w:r w:rsidR="000636C2">
        <w:rPr>
          <w:rtl/>
        </w:rPr>
        <w:t>}،</w:t>
      </w:r>
      <w:r>
        <w:rPr>
          <w:rtl/>
        </w:rPr>
        <w:t xml:space="preserve"> قال</w:t>
      </w:r>
      <w:r w:rsidR="000636C2">
        <w:rPr>
          <w:rtl/>
        </w:rPr>
        <w:t>:</w:t>
      </w:r>
      <w:r>
        <w:rPr>
          <w:rtl/>
        </w:rPr>
        <w:t xml:space="preserve"> </w:t>
      </w:r>
      <w:r w:rsidR="000636C2">
        <w:rPr>
          <w:rtl/>
        </w:rPr>
        <w:t>{</w:t>
      </w:r>
      <w:r>
        <w:rPr>
          <w:rtl/>
        </w:rPr>
        <w:t>وهو معكم</w:t>
      </w:r>
      <w:r w:rsidR="000636C2">
        <w:rPr>
          <w:rtl/>
        </w:rPr>
        <w:t>}،</w:t>
      </w:r>
      <w:r>
        <w:rPr>
          <w:rtl/>
        </w:rPr>
        <w:t xml:space="preserve"> فمن حملها علي العلم</w:t>
      </w:r>
      <w:r w:rsidR="000636C2">
        <w:rPr>
          <w:rtl/>
        </w:rPr>
        <w:t>،</w:t>
      </w:r>
      <w:r>
        <w:rPr>
          <w:rtl/>
        </w:rPr>
        <w:t xml:space="preserve"> حمل خصمه الاستواء علي القهر . </w:t>
      </w:r>
      <w:r w:rsidR="000636C2">
        <w:rPr>
          <w:rtl/>
        </w:rPr>
        <w:t>(</w:t>
      </w:r>
      <w:r>
        <w:rPr>
          <w:rtl/>
        </w:rPr>
        <w:t>أخبرنا علي بن محمد بن عمر الدباس</w:t>
      </w:r>
      <w:r w:rsidR="000636C2">
        <w:rPr>
          <w:rtl/>
        </w:rPr>
        <w:t>،</w:t>
      </w:r>
      <w:r>
        <w:rPr>
          <w:rtl/>
        </w:rPr>
        <w:t xml:space="preserve"> قال أنبأنا رزق الله بن عبد الوهاب التميمي قال</w:t>
      </w:r>
      <w:r w:rsidR="000636C2">
        <w:rPr>
          <w:rtl/>
        </w:rPr>
        <w:t>:</w:t>
      </w:r>
      <w:r>
        <w:rPr>
          <w:rtl/>
        </w:rPr>
        <w:t xml:space="preserve"> كان أحمد بن حنبل يقول</w:t>
      </w:r>
      <w:r w:rsidR="000636C2">
        <w:rPr>
          <w:rtl/>
        </w:rPr>
        <w:t>:</w:t>
      </w:r>
      <w:r>
        <w:rPr>
          <w:rtl/>
        </w:rPr>
        <w:t xml:space="preserve"> الاستواء صفة مسلمة وليست بمعني القصد ولا الاستعلاء . قال ابن حامد</w:t>
      </w:r>
      <w:r w:rsidR="000636C2">
        <w:rPr>
          <w:rtl/>
        </w:rPr>
        <w:t>:</w:t>
      </w:r>
      <w:r>
        <w:rPr>
          <w:rtl/>
        </w:rPr>
        <w:t xml:space="preserve"> الحق يختص بمكان دون مكان ومكانه الذي هو فيه وجود ذاته علي عرشه وقال</w:t>
      </w:r>
      <w:r w:rsidR="000636C2">
        <w:rPr>
          <w:rtl/>
        </w:rPr>
        <w:t>:</w:t>
      </w:r>
      <w:r>
        <w:rPr>
          <w:rtl/>
        </w:rPr>
        <w:t xml:space="preserve"> وذهبت طائفة أن الاستواء علي عرشه قد ملأ</w:t>
      </w:r>
      <w:r w:rsidR="000636C2">
        <w:rPr>
          <w:rtl/>
        </w:rPr>
        <w:t>،</w:t>
      </w:r>
      <w:r>
        <w:rPr>
          <w:rtl/>
        </w:rPr>
        <w:t xml:space="preserve"> والأشبه أنه مماس للعرش الكرسي بوضع قدميه . قلت المماسة إنما تقع بين جسمين</w:t>
      </w:r>
      <w:r w:rsidR="000636C2">
        <w:rPr>
          <w:rtl/>
        </w:rPr>
        <w:t>،</w:t>
      </w:r>
      <w:r>
        <w:rPr>
          <w:rtl/>
        </w:rPr>
        <w:t xml:space="preserve"> وما أبقي هذا في التجسيم بقية ..؟</w:t>
      </w:r>
    </w:p>
    <w:p w14:paraId="4A8C79CA" w14:textId="77777777" w:rsidR="009C32A0" w:rsidRDefault="009C32A0" w:rsidP="000636C2">
      <w:pPr>
        <w:spacing w:after="240"/>
        <w:jc w:val="center"/>
        <w:rPr>
          <w:bCs/>
          <w:rtl/>
        </w:rPr>
      </w:pPr>
      <w:r>
        <w:rPr>
          <w:bCs/>
          <w:rtl/>
        </w:rPr>
        <w:t>فصل</w:t>
      </w:r>
    </w:p>
    <w:p w14:paraId="0A2918A5" w14:textId="23E518E0" w:rsidR="009C32A0" w:rsidRDefault="009C32A0" w:rsidP="000636C2">
      <w:pPr>
        <w:spacing w:after="240"/>
        <w:rPr>
          <w:rtl/>
        </w:rPr>
      </w:pPr>
      <w:r>
        <w:rPr>
          <w:b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sidR="000636C2">
        <w:rPr>
          <w:bCs/>
          <w:rtl/>
        </w:rPr>
        <w:t>،</w:t>
      </w:r>
      <w:r>
        <w:rPr>
          <w:rtl/>
        </w:rPr>
        <w:t xml:space="preserve"> وقد ثبت أن جميع الجهات تتساوي بالإضافة إلى القائل بالجهة فاختصاصه ببعضها ليس بواجب لذاته بل هو جائز فيحتاج إلى مخصص يخصصه ويكون الاختصاص بذلك المعني زائدا علي ذاته وما تطرق الجواز إليه استحال قدمه لأن القديم هو الواجب الوجود من جميع الجهات . ثم إن كل من هو في جهة يكون مقدرا محدودا وهو يتعالى عن ذلك وإنما الجهات للجواهر والأجسام لأنها أجرام تحتاج إلى جهة والجهة ليست في جهة وإذا ثبت بطلان الجهة ثبت بطلان المكان ويوضحه أن المكان إذا كان يحيط بمن فيه والخالق لا يحويه شيء ولا تحدث له صفة</w:t>
      </w:r>
      <w:r w:rsidR="000636C2">
        <w:rPr>
          <w:rtl/>
        </w:rPr>
        <w:t>،</w:t>
      </w:r>
      <w:r>
        <w:rPr>
          <w:rtl/>
        </w:rPr>
        <w:t xml:space="preserve"> فإن قيل</w:t>
      </w:r>
      <w:r w:rsidR="000636C2">
        <w:rPr>
          <w:rtl/>
        </w:rPr>
        <w:t>:</w:t>
      </w:r>
      <w:r>
        <w:rPr>
          <w:rtl/>
        </w:rPr>
        <w:t xml:space="preserve"> " فقد أخرج في الصحيحين عن شريك عن أبي نمر عن أنس بن مالك رضي الله عنه: أنه ذكر المعراج</w:t>
      </w:r>
      <w:r w:rsidR="000636C2">
        <w:rPr>
          <w:rtl/>
        </w:rPr>
        <w:t>،</w:t>
      </w:r>
      <w:r>
        <w:rPr>
          <w:rtl/>
        </w:rPr>
        <w:t xml:space="preserve"> فقال فيه</w:t>
      </w:r>
      <w:r w:rsidR="000636C2">
        <w:rPr>
          <w:rtl/>
        </w:rPr>
        <w:t>:</w:t>
      </w:r>
      <w:r>
        <w:rPr>
          <w:rtl/>
        </w:rPr>
        <w:t xml:space="preserve"> "فعلا به الجبار تعالى " فقال</w:t>
      </w:r>
      <w:r w:rsidR="000636C2">
        <w:rPr>
          <w:rtl/>
        </w:rPr>
        <w:t>:</w:t>
      </w:r>
      <w:r>
        <w:rPr>
          <w:rtl/>
        </w:rPr>
        <w:t xml:space="preserve"> " وهو في مكانه يا رب خفف عنا "</w:t>
      </w:r>
      <w:r w:rsidR="000636C2">
        <w:rPr>
          <w:rtl/>
        </w:rPr>
        <w:t>،</w:t>
      </w:r>
      <w:r>
        <w:rPr>
          <w:rtl/>
        </w:rPr>
        <w:t xml:space="preserve"> فالجواب</w:t>
      </w:r>
      <w:r w:rsidR="000636C2">
        <w:rPr>
          <w:rtl/>
        </w:rPr>
        <w:t>:</w:t>
      </w:r>
      <w:r>
        <w:rPr>
          <w:rtl/>
        </w:rPr>
        <w:t xml:space="preserve"> إن أبا سليمان الخطابي قال: هذه لفظة تفرد بها شريك</w:t>
      </w:r>
      <w:r w:rsidR="000636C2">
        <w:rPr>
          <w:rtl/>
        </w:rPr>
        <w:t>،</w:t>
      </w:r>
      <w:r>
        <w:rPr>
          <w:rtl/>
        </w:rPr>
        <w:t xml:space="preserve"> ولم يذكرها غيره وهو كثير التفرد بمناكير الألفاظ</w:t>
      </w:r>
      <w:r w:rsidR="000636C2">
        <w:rPr>
          <w:rtl/>
        </w:rPr>
        <w:t>،</w:t>
      </w:r>
      <w:r>
        <w:rPr>
          <w:rtl/>
        </w:rPr>
        <w:t xml:space="preserve"> والمكان لا يضاف إلى الله عز وجل</w:t>
      </w:r>
      <w:r w:rsidR="000636C2">
        <w:rPr>
          <w:rtl/>
        </w:rPr>
        <w:t>،</w:t>
      </w:r>
      <w:r>
        <w:rPr>
          <w:rtl/>
        </w:rPr>
        <w:t xml:space="preserve"> إنما هو مكان النبي صلى الله عليه وسلم– ومعناه</w:t>
      </w:r>
      <w:r w:rsidR="000636C2">
        <w:rPr>
          <w:rtl/>
        </w:rPr>
        <w:t>:</w:t>
      </w:r>
      <w:r>
        <w:rPr>
          <w:rtl/>
        </w:rPr>
        <w:t xml:space="preserve"> مقامه الأول الذي أقيم فيه</w:t>
      </w:r>
      <w:r w:rsidR="000636C2">
        <w:rPr>
          <w:rtl/>
        </w:rPr>
        <w:t>،</w:t>
      </w:r>
      <w:r>
        <w:rPr>
          <w:rtl/>
        </w:rPr>
        <w:t xml:space="preserve"> قال الخطابي</w:t>
      </w:r>
      <w:r w:rsidR="000636C2">
        <w:rPr>
          <w:rtl/>
        </w:rPr>
        <w:t>:</w:t>
      </w:r>
      <w:r>
        <w:rPr>
          <w:rtl/>
        </w:rPr>
        <w:t xml:space="preserve"> وفي هذا الحديث " فاستأذنت علي ربي وهو في داره ". توهم مكانا</w:t>
      </w:r>
      <w:r w:rsidR="000636C2">
        <w:rPr>
          <w:rtl/>
        </w:rPr>
        <w:t>،</w:t>
      </w:r>
      <w:r>
        <w:rPr>
          <w:rtl/>
        </w:rPr>
        <w:t xml:space="preserve"> وإنما المعني</w:t>
      </w:r>
      <w:r w:rsidR="000636C2">
        <w:rPr>
          <w:rtl/>
        </w:rPr>
        <w:t>،</w:t>
      </w:r>
      <w:r>
        <w:rPr>
          <w:rtl/>
        </w:rPr>
        <w:t xml:space="preserve"> في داره التي دورها لأوليائه</w:t>
      </w:r>
      <w:r w:rsidR="000636C2">
        <w:rPr>
          <w:rtl/>
        </w:rPr>
        <w:t>،</w:t>
      </w:r>
      <w:r>
        <w:rPr>
          <w:rtl/>
        </w:rPr>
        <w:t xml:space="preserve"> وقد قال القاضي</w:t>
      </w:r>
      <w:r w:rsidR="000636C2">
        <w:rPr>
          <w:rtl/>
        </w:rPr>
        <w:t>:</w:t>
      </w:r>
      <w:r>
        <w:rPr>
          <w:rtl/>
        </w:rPr>
        <w:t xml:space="preserve"> أبو يعلي في كتابه المعتمد إن الله عز وجل لا يوصف بالمكان . فإن قيل نفي الجهات يحيل وجوده</w:t>
      </w:r>
      <w:r w:rsidR="000636C2">
        <w:rPr>
          <w:rtl/>
        </w:rPr>
        <w:t>،</w:t>
      </w:r>
      <w:r>
        <w:rPr>
          <w:rtl/>
        </w:rPr>
        <w:t xml:space="preserve"> قلنا إن كان الوجود يقبل الاتصال والانفصال فقد صدقت</w:t>
      </w:r>
      <w:r w:rsidR="000636C2">
        <w:rPr>
          <w:rtl/>
        </w:rPr>
        <w:t>،</w:t>
      </w:r>
      <w:r>
        <w:rPr>
          <w:rtl/>
        </w:rPr>
        <w:t xml:space="preserve"> فأما إذا لم يقبلها فليس خلوه من طرق النقيض بمحال</w:t>
      </w:r>
      <w:r w:rsidR="000636C2">
        <w:rPr>
          <w:rtl/>
        </w:rPr>
        <w:t>،</w:t>
      </w:r>
      <w:r>
        <w:rPr>
          <w:rtl/>
        </w:rPr>
        <w:t xml:space="preserve"> فإن قيل أنتم تلزموننا أن نقر بما لا يدخل تحت الفهم</w:t>
      </w:r>
      <w:r w:rsidR="000636C2">
        <w:rPr>
          <w:rtl/>
        </w:rPr>
        <w:t>،</w:t>
      </w:r>
      <w:r>
        <w:rPr>
          <w:rtl/>
        </w:rPr>
        <w:t xml:space="preserve"> </w:t>
      </w:r>
      <w:r w:rsidR="000636C2">
        <w:rPr>
          <w:rtl/>
        </w:rPr>
        <w:t>(</w:t>
      </w:r>
      <w:r>
        <w:rPr>
          <w:rtl/>
        </w:rPr>
        <w:t>قلنا</w:t>
      </w:r>
      <w:r w:rsidR="000636C2">
        <w:rPr>
          <w:rtl/>
        </w:rPr>
        <w:t>):</w:t>
      </w:r>
      <w:r>
        <w:rPr>
          <w:rtl/>
        </w:rPr>
        <w:t xml:space="preserve"> أن أردت بالفهم التخيل والتصور فإن الخالق لايدخل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0636C2">
        <w:rPr>
          <w:rtl/>
        </w:rPr>
        <w:t>،</w:t>
      </w:r>
      <w:r>
        <w:rPr>
          <w:rtl/>
        </w:rPr>
        <w:t xml:space="preserve"> وإن أردت أنه لايعلم بالعقل فقد دللنا أنه ثابت بالعقل لأن العقل مضطر إلى التصديق بموجب الدليل</w:t>
      </w:r>
      <w:r w:rsidR="000636C2">
        <w:rPr>
          <w:rtl/>
        </w:rPr>
        <w:t>،</w:t>
      </w:r>
      <w:r>
        <w:rPr>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0636C2">
        <w:rPr>
          <w:rtl/>
        </w:rPr>
        <w:t>،</w:t>
      </w:r>
      <w:r>
        <w:rPr>
          <w:rtl/>
        </w:rPr>
        <w:t xml:space="preserve"> ولما كان مثل هذا الكلام لا يفهمه العامي </w:t>
      </w:r>
      <w:r w:rsidR="000636C2">
        <w:rPr>
          <w:rtl/>
        </w:rPr>
        <w:t>(</w:t>
      </w:r>
      <w:r>
        <w:rPr>
          <w:rtl/>
        </w:rPr>
        <w:t>قلنا</w:t>
      </w:r>
      <w:r w:rsidR="000636C2">
        <w:rPr>
          <w:rtl/>
        </w:rPr>
        <w:t>):</w:t>
      </w:r>
      <w:r>
        <w:rPr>
          <w:rtl/>
        </w:rPr>
        <w:t xml:space="preserve"> لا تسمعوه ما لا يفهمه ودعوا اعتقاده لا تحركوه بل يسروه أن لا يساكن الجبال</w:t>
      </w:r>
      <w:r w:rsidR="000636C2">
        <w:rPr>
          <w:rtl/>
        </w:rPr>
        <w:t>،</w:t>
      </w:r>
      <w:r>
        <w:rPr>
          <w:rtl/>
        </w:rPr>
        <w:t xml:space="preserve"> ويقال إن الله تعالى استوي علي عرشه كما يليق به</w:t>
      </w:r>
      <w:r w:rsidR="000636C2">
        <w:rPr>
          <w:rtl/>
        </w:rPr>
        <w:t>،</w:t>
      </w:r>
      <w:r>
        <w:rPr>
          <w:rtl/>
        </w:rPr>
        <w:t xml:space="preserve"> ومن الآيات قوله تعالى</w:t>
      </w:r>
      <w:r w:rsidR="000636C2">
        <w:rPr>
          <w:rtl/>
        </w:rPr>
        <w:t>:</w:t>
      </w:r>
      <w:r>
        <w:rPr>
          <w:rtl/>
        </w:rPr>
        <w:t xml:space="preserve"> </w:t>
      </w:r>
      <w:r w:rsidR="000636C2">
        <w:rPr>
          <w:rtl/>
        </w:rPr>
        <w:t>{</w:t>
      </w:r>
      <w:r>
        <w:rPr>
          <w:rtl/>
        </w:rPr>
        <w:t>أأمنتم من في السماء</w:t>
      </w:r>
      <w:r w:rsidR="000636C2">
        <w:rPr>
          <w:rtl/>
        </w:rPr>
        <w:t>}،</w:t>
      </w:r>
      <w:r>
        <w:rPr>
          <w:rtl/>
        </w:rPr>
        <w:t xml:space="preserve"> </w:t>
      </w:r>
      <w:r w:rsidR="000636C2">
        <w:rPr>
          <w:rtl/>
        </w:rPr>
        <w:t>(</w:t>
      </w:r>
      <w:r>
        <w:rPr>
          <w:rtl/>
        </w:rPr>
        <w:t>قلت</w:t>
      </w:r>
      <w:r w:rsidR="000636C2">
        <w:rPr>
          <w:rtl/>
        </w:rPr>
        <w:t>):</w:t>
      </w:r>
      <w:r>
        <w:rPr>
          <w:rtl/>
        </w:rPr>
        <w:t xml:space="preserve"> وقد ثبت قطعيا أنها ليست علي ظاهرها</w:t>
      </w:r>
      <w:r w:rsidR="000636C2">
        <w:rPr>
          <w:rtl/>
        </w:rPr>
        <w:t>،</w:t>
      </w:r>
      <w:r>
        <w:rPr>
          <w:rtl/>
        </w:rPr>
        <w:t xml:space="preserve"> لأن لفظة في للظرفية والحق غير مظروف</w:t>
      </w:r>
      <w:r w:rsidR="000636C2">
        <w:rPr>
          <w:rtl/>
        </w:rPr>
        <w:t>،</w:t>
      </w:r>
      <w:r>
        <w:rPr>
          <w:rtl/>
        </w:rPr>
        <w:t xml:space="preserve"> وإذا امتنع الحس أن يتصرف في مثل هذا</w:t>
      </w:r>
      <w:r w:rsidR="000636C2">
        <w:rPr>
          <w:rtl/>
        </w:rPr>
        <w:t>،</w:t>
      </w:r>
      <w:r>
        <w:rPr>
          <w:rtl/>
        </w:rPr>
        <w:t xml:space="preserve"> بقي وصف التعظيم بما هو عظيم عند الخلق ومنها قوله تعالى</w:t>
      </w:r>
      <w:r w:rsidR="000636C2">
        <w:rPr>
          <w:rtl/>
        </w:rPr>
        <w:t>:</w:t>
      </w:r>
      <w:r>
        <w:rPr>
          <w:rtl/>
        </w:rPr>
        <w:t xml:space="preserve"> </w:t>
      </w:r>
      <w:r w:rsidR="000636C2">
        <w:rPr>
          <w:rtl/>
        </w:rPr>
        <w:t>{</w:t>
      </w:r>
      <w:r>
        <w:rPr>
          <w:rtl/>
        </w:rPr>
        <w:t>يا حسرتي علي ما فرطت في جنب الله</w:t>
      </w:r>
      <w:r w:rsidR="000636C2">
        <w:rPr>
          <w:rtl/>
        </w:rPr>
        <w:t>}،</w:t>
      </w:r>
      <w:r>
        <w:rPr>
          <w:rtl/>
        </w:rPr>
        <w:t xml:space="preserve"> أي في طاعته وأمره</w:t>
      </w:r>
      <w:r w:rsidR="000636C2">
        <w:rPr>
          <w:rtl/>
        </w:rPr>
        <w:t>،</w:t>
      </w:r>
      <w:r>
        <w:rPr>
          <w:rtl/>
        </w:rPr>
        <w:t xml:space="preserve"> أي لأن التفريط لا يقع إلا في ذلك</w:t>
      </w:r>
      <w:r w:rsidR="000636C2">
        <w:rPr>
          <w:rtl/>
        </w:rPr>
        <w:t>،</w:t>
      </w:r>
      <w:r>
        <w:rPr>
          <w:rtl/>
        </w:rPr>
        <w:t xml:space="preserve"> وأما الجنب المعهود من ذي الجوارح</w:t>
      </w:r>
      <w:r w:rsidR="000636C2">
        <w:rPr>
          <w:rtl/>
        </w:rPr>
        <w:t>،</w:t>
      </w:r>
      <w:r>
        <w:rPr>
          <w:rtl/>
        </w:rPr>
        <w:t xml:space="preserve"> فلا يقع فيه تفريط</w:t>
      </w:r>
      <w:r w:rsidR="000636C2">
        <w:rPr>
          <w:rtl/>
        </w:rPr>
        <w:t>،</w:t>
      </w:r>
      <w:r>
        <w:rPr>
          <w:rtl/>
        </w:rPr>
        <w:t xml:space="preserve"> وقال ابن حامد</w:t>
      </w:r>
      <w:r w:rsidR="000636C2">
        <w:rPr>
          <w:rtl/>
        </w:rPr>
        <w:t>:</w:t>
      </w:r>
      <w:r>
        <w:rPr>
          <w:rtl/>
        </w:rPr>
        <w:t xml:space="preserve"> " نؤمن بأن لله جنبا بهذه الآية"</w:t>
      </w:r>
      <w:r w:rsidR="000636C2">
        <w:rPr>
          <w:rtl/>
        </w:rPr>
        <w:t>،</w:t>
      </w:r>
      <w:r>
        <w:rPr>
          <w:rtl/>
        </w:rPr>
        <w:t xml:space="preserve"> </w:t>
      </w:r>
      <w:r w:rsidR="000636C2">
        <w:rPr>
          <w:rtl/>
        </w:rPr>
        <w:t>(</w:t>
      </w:r>
      <w:r>
        <w:rPr>
          <w:rtl/>
        </w:rPr>
        <w:t>قلت</w:t>
      </w:r>
      <w:r w:rsidR="000636C2">
        <w:rPr>
          <w:rtl/>
        </w:rPr>
        <w:t>):</w:t>
      </w:r>
      <w:r>
        <w:rPr>
          <w:rtl/>
        </w:rPr>
        <w:t xml:space="preserve"> " واعجبا من عدم العقول</w:t>
      </w:r>
      <w:r w:rsidR="000636C2">
        <w:rPr>
          <w:rtl/>
        </w:rPr>
        <w:t>،</w:t>
      </w:r>
      <w:r>
        <w:rPr>
          <w:rtl/>
        </w:rPr>
        <w:t xml:space="preserve"> إذا لم يتهيأ التفريط في جنب مخلوق كيف يتهيأ في صفة الخالق وأنشد ثعلب وفسره</w:t>
      </w:r>
      <w:r w:rsidR="000636C2">
        <w:rPr>
          <w:rtl/>
        </w:rPr>
        <w:t>:</w:t>
      </w:r>
      <w:r>
        <w:rPr>
          <w:rtl/>
        </w:rPr>
        <w:t xml:space="preserve"> " خليلي كفا فاذكر الله في جنبي " أي في أمري</w:t>
      </w:r>
      <w:r w:rsidR="000636C2">
        <w:rPr>
          <w:rtl/>
        </w:rPr>
        <w:t>،</w:t>
      </w:r>
      <w:r>
        <w:rPr>
          <w:rtl/>
        </w:rPr>
        <w:t xml:space="preserve"> ومنها قوله تعالى</w:t>
      </w:r>
      <w:r w:rsidR="000636C2">
        <w:rPr>
          <w:rtl/>
        </w:rPr>
        <w:t>:</w:t>
      </w:r>
      <w:r>
        <w:rPr>
          <w:rtl/>
        </w:rPr>
        <w:t xml:space="preserve"> </w:t>
      </w:r>
      <w:r w:rsidR="000636C2">
        <w:rPr>
          <w:rtl/>
        </w:rPr>
        <w:t>{</w:t>
      </w:r>
      <w:r>
        <w:rPr>
          <w:rtl/>
        </w:rPr>
        <w:t>فنفخنا فيه من روحنا</w:t>
      </w:r>
      <w:r w:rsidR="000636C2">
        <w:rPr>
          <w:rtl/>
        </w:rPr>
        <w:t>}،</w:t>
      </w:r>
      <w:r>
        <w:rPr>
          <w:rtl/>
        </w:rPr>
        <w:t xml:space="preserve"> قال المفسرون</w:t>
      </w:r>
      <w:r w:rsidR="000636C2">
        <w:rPr>
          <w:rtl/>
        </w:rPr>
        <w:t>:</w:t>
      </w:r>
      <w:r>
        <w:rPr>
          <w:rtl/>
        </w:rPr>
        <w:t xml:space="preserve"> أي رحمتنا . وإنما نسب الروح إليه</w:t>
      </w:r>
      <w:r w:rsidR="000636C2">
        <w:rPr>
          <w:rtl/>
        </w:rPr>
        <w:t>،</w:t>
      </w:r>
      <w:r>
        <w:rPr>
          <w:rtl/>
        </w:rPr>
        <w:t xml:space="preserve"> لأنه بأمره كان . ومنها قوله تعالى</w:t>
      </w:r>
      <w:r w:rsidR="000636C2">
        <w:rPr>
          <w:rtl/>
        </w:rPr>
        <w:t>:</w:t>
      </w:r>
      <w:r>
        <w:rPr>
          <w:rtl/>
        </w:rPr>
        <w:t xml:space="preserve"> </w:t>
      </w:r>
      <w:r w:rsidR="000636C2">
        <w:rPr>
          <w:rtl/>
        </w:rPr>
        <w:t>{</w:t>
      </w:r>
      <w:r>
        <w:rPr>
          <w:rtl/>
        </w:rPr>
        <w:t>يؤذون الله</w:t>
      </w:r>
      <w:r w:rsidR="000636C2">
        <w:rPr>
          <w:rtl/>
        </w:rPr>
        <w:t>}،</w:t>
      </w:r>
      <w:r>
        <w:rPr>
          <w:rtl/>
        </w:rPr>
        <w:t xml:space="preserve"> </w:t>
      </w:r>
      <w:r w:rsidR="000636C2">
        <w:rPr>
          <w:rtl/>
        </w:rPr>
        <w:t>(</w:t>
      </w:r>
      <w:r>
        <w:rPr>
          <w:rtl/>
        </w:rPr>
        <w:t>قلت</w:t>
      </w:r>
      <w:r w:rsidR="000636C2">
        <w:rPr>
          <w:rtl/>
        </w:rPr>
        <w:t>):</w:t>
      </w:r>
      <w:r>
        <w:rPr>
          <w:rtl/>
        </w:rPr>
        <w:t xml:space="preserve"> أي يؤذون أولياءه</w:t>
      </w:r>
      <w:r w:rsidR="000636C2">
        <w:rPr>
          <w:rtl/>
        </w:rPr>
        <w:t>،</w:t>
      </w:r>
      <w:r>
        <w:rPr>
          <w:rtl/>
        </w:rPr>
        <w:t xml:space="preserve"> كقوله تعالى</w:t>
      </w:r>
      <w:r w:rsidR="000636C2">
        <w:rPr>
          <w:rtl/>
        </w:rPr>
        <w:t>:</w:t>
      </w:r>
      <w:r>
        <w:rPr>
          <w:rtl/>
        </w:rPr>
        <w:t xml:space="preserve"> </w:t>
      </w:r>
      <w:r w:rsidR="000636C2">
        <w:rPr>
          <w:rtl/>
        </w:rPr>
        <w:t>{</w:t>
      </w:r>
      <w:r>
        <w:rPr>
          <w:rtl/>
        </w:rPr>
        <w:t>واسأل القرية</w:t>
      </w:r>
      <w:r w:rsidR="000636C2">
        <w:rPr>
          <w:rtl/>
        </w:rPr>
        <w:t xml:space="preserve">}، </w:t>
      </w:r>
      <w:r>
        <w:rPr>
          <w:rtl/>
        </w:rPr>
        <w:t>أي أهلها . وقال النبي عليه الصلاة والسلام</w:t>
      </w:r>
      <w:r w:rsidR="000636C2">
        <w:rPr>
          <w:rtl/>
        </w:rPr>
        <w:t>:</w:t>
      </w:r>
      <w:r>
        <w:rPr>
          <w:rtl/>
        </w:rPr>
        <w:t xml:space="preserve"> (</w:t>
      </w:r>
      <w:r w:rsidR="000636C2">
        <w:rPr>
          <w:rtl/>
        </w:rPr>
        <w:t>(</w:t>
      </w:r>
      <w:r>
        <w:rPr>
          <w:rtl/>
        </w:rPr>
        <w:t>أحد جبل يحبنا ونحبه</w:t>
      </w:r>
      <w:r w:rsidR="000636C2">
        <w:rPr>
          <w:rtl/>
        </w:rPr>
        <w:t>)</w:t>
      </w:r>
      <w:r>
        <w:rPr>
          <w:rtl/>
        </w:rPr>
        <w:t>)</w:t>
      </w:r>
      <w:r w:rsidR="000636C2">
        <w:rPr>
          <w:rtl/>
        </w:rPr>
        <w:t>،</w:t>
      </w:r>
      <w:r>
        <w:rPr>
          <w:rtl/>
        </w:rPr>
        <w:t xml:space="preserve"> قال الشاعر</w:t>
      </w:r>
      <w:r w:rsidR="000636C2">
        <w:rPr>
          <w:rtl/>
        </w:rPr>
        <w:t>:</w:t>
      </w:r>
      <w:r>
        <w:rPr>
          <w:rtl/>
        </w:rPr>
        <w:t xml:space="preserve"> </w:t>
      </w:r>
      <w:r w:rsidR="000636C2">
        <w:rPr>
          <w:rtl/>
        </w:rPr>
        <w:t>(</w:t>
      </w:r>
      <w:r>
        <w:rPr>
          <w:rtl/>
        </w:rPr>
        <w:t>أنبئت أن النار بعدك أوقدت</w:t>
      </w:r>
      <w:r w:rsidR="000636C2">
        <w:rPr>
          <w:rtl/>
        </w:rPr>
        <w:t xml:space="preserve"> </w:t>
      </w:r>
      <w:r>
        <w:rPr>
          <w:rtl/>
        </w:rPr>
        <w:t>... واستب بعدك يا كليب المجلس</w:t>
      </w:r>
      <w:r w:rsidR="000636C2">
        <w:rPr>
          <w:rtl/>
        </w:rPr>
        <w:t>)،</w:t>
      </w:r>
      <w:r>
        <w:rPr>
          <w:rtl/>
        </w:rPr>
        <w:t xml:space="preserve"> ومنها قوله تعالى</w:t>
      </w:r>
      <w:r w:rsidR="000636C2">
        <w:rPr>
          <w:rtl/>
        </w:rPr>
        <w:t>:</w:t>
      </w:r>
      <w:r>
        <w:rPr>
          <w:rtl/>
        </w:rPr>
        <w:t xml:space="preserve"> </w:t>
      </w:r>
      <w:r w:rsidR="000636C2">
        <w:rPr>
          <w:rtl/>
        </w:rPr>
        <w:t>{</w:t>
      </w:r>
      <w:r>
        <w:rPr>
          <w:rtl/>
        </w:rPr>
        <w:t>هل ينظرون إلا أن يأتيهم الله في ظلل من الغمام</w:t>
      </w:r>
      <w:r w:rsidR="000636C2">
        <w:rPr>
          <w:rtl/>
        </w:rPr>
        <w:t>}،</w:t>
      </w:r>
      <w:r>
        <w:rPr>
          <w:rtl/>
        </w:rPr>
        <w:t xml:space="preserve"> أي بظل</w:t>
      </w:r>
      <w:r w:rsidR="000636C2">
        <w:rPr>
          <w:rtl/>
        </w:rPr>
        <w:t>،</w:t>
      </w:r>
      <w:r>
        <w:rPr>
          <w:rtl/>
        </w:rPr>
        <w:t xml:space="preserve"> وكذلك قوله تعالي</w:t>
      </w:r>
      <w:r w:rsidR="000636C2">
        <w:rPr>
          <w:rtl/>
        </w:rPr>
        <w:t>:</w:t>
      </w:r>
      <w:r>
        <w:rPr>
          <w:rtl/>
        </w:rPr>
        <w:t xml:space="preserve"> </w:t>
      </w:r>
      <w:r w:rsidR="000636C2">
        <w:rPr>
          <w:rtl/>
        </w:rPr>
        <w:t>{</w:t>
      </w:r>
      <w:r>
        <w:rPr>
          <w:rtl/>
        </w:rPr>
        <w:t>وجاء ربك</w:t>
      </w:r>
      <w:r w:rsidR="000636C2">
        <w:rPr>
          <w:rtl/>
        </w:rPr>
        <w:t>}،</w:t>
      </w:r>
      <w:r>
        <w:rPr>
          <w:rtl/>
        </w:rPr>
        <w:t xml:space="preserve"> </w:t>
      </w:r>
      <w:r w:rsidR="000636C2">
        <w:rPr>
          <w:rtl/>
        </w:rPr>
        <w:t>(</w:t>
      </w:r>
      <w:r>
        <w:rPr>
          <w:rtl/>
        </w:rPr>
        <w:t>قلت</w:t>
      </w:r>
      <w:r w:rsidR="000636C2">
        <w:rPr>
          <w:rtl/>
        </w:rPr>
        <w:t>):</w:t>
      </w:r>
      <w:r>
        <w:rPr>
          <w:rtl/>
        </w:rPr>
        <w:t xml:space="preserve"> قال القاضي أبو يعلي عن أحمد بن حنبل أنه قال</w:t>
      </w:r>
      <w:r w:rsidR="000636C2">
        <w:rPr>
          <w:rtl/>
        </w:rPr>
        <w:t>:</w:t>
      </w:r>
      <w:r>
        <w:rPr>
          <w:rtl/>
        </w:rPr>
        <w:t xml:space="preserve"> في قوله تعالى</w:t>
      </w:r>
      <w:r w:rsidR="000636C2">
        <w:rPr>
          <w:rtl/>
        </w:rPr>
        <w:t>:</w:t>
      </w:r>
      <w:r>
        <w:rPr>
          <w:rtl/>
        </w:rPr>
        <w:t xml:space="preserve"> </w:t>
      </w:r>
      <w:r w:rsidR="000636C2">
        <w:rPr>
          <w:rtl/>
        </w:rPr>
        <w:t>{</w:t>
      </w:r>
      <w:r>
        <w:rPr>
          <w:rtl/>
        </w:rPr>
        <w:t>يأتيهم</w:t>
      </w:r>
      <w:r w:rsidR="000636C2">
        <w:rPr>
          <w:rtl/>
        </w:rPr>
        <w:t>}،</w:t>
      </w:r>
      <w:r>
        <w:rPr>
          <w:rtl/>
        </w:rPr>
        <w:t xml:space="preserve"> قال المراد به</w:t>
      </w:r>
      <w:r w:rsidR="000636C2">
        <w:rPr>
          <w:rtl/>
        </w:rPr>
        <w:t>:</w:t>
      </w:r>
      <w:r>
        <w:rPr>
          <w:rtl/>
        </w:rPr>
        <w:t xml:space="preserve"> قدرته وأمره</w:t>
      </w:r>
      <w:r w:rsidR="000636C2">
        <w:rPr>
          <w:rtl/>
        </w:rPr>
        <w:t>،</w:t>
      </w:r>
      <w:r>
        <w:rPr>
          <w:rtl/>
        </w:rPr>
        <w:t xml:space="preserve"> قال</w:t>
      </w:r>
      <w:r w:rsidR="000636C2">
        <w:rPr>
          <w:rtl/>
        </w:rPr>
        <w:t>:</w:t>
      </w:r>
      <w:r>
        <w:rPr>
          <w:rtl/>
        </w:rPr>
        <w:t xml:space="preserve"> وقد بينه في قوله تعالى</w:t>
      </w:r>
      <w:r w:rsidR="000636C2">
        <w:rPr>
          <w:rtl/>
        </w:rPr>
        <w:t>:</w:t>
      </w:r>
      <w:r>
        <w:rPr>
          <w:rtl/>
        </w:rPr>
        <w:t xml:space="preserve"> </w:t>
      </w:r>
      <w:r w:rsidR="000636C2">
        <w:rPr>
          <w:rtl/>
        </w:rPr>
        <w:t>{</w:t>
      </w:r>
      <w:r>
        <w:rPr>
          <w:rtl/>
        </w:rPr>
        <w:t>أو يأتي أمر ربك</w:t>
      </w:r>
      <w:r w:rsidR="000636C2">
        <w:rPr>
          <w:rtl/>
        </w:rPr>
        <w:t>}،</w:t>
      </w:r>
      <w:r>
        <w:rPr>
          <w:rtl/>
        </w:rPr>
        <w:t xml:space="preserve"> ومثل هذا في التوراة</w:t>
      </w:r>
      <w:r w:rsidR="000636C2">
        <w:rPr>
          <w:rtl/>
        </w:rPr>
        <w:t>:</w:t>
      </w:r>
      <w:r>
        <w:rPr>
          <w:rtl/>
        </w:rPr>
        <w:t xml:space="preserve"> " وجاء ربك " قال إنما هو قدرته . قال بن حامد</w:t>
      </w:r>
      <w:r w:rsidR="000636C2">
        <w:rPr>
          <w:rtl/>
        </w:rPr>
        <w:t>:</w:t>
      </w:r>
      <w:r>
        <w:rPr>
          <w:rtl/>
        </w:rPr>
        <w:t xml:space="preserve"> هذا خطأ</w:t>
      </w:r>
      <w:r w:rsidR="000636C2">
        <w:rPr>
          <w:rtl/>
        </w:rPr>
        <w:t>،</w:t>
      </w:r>
      <w:r>
        <w:rPr>
          <w:rtl/>
        </w:rPr>
        <w:t xml:space="preserve"> إنما ينزل بذاته بانتقال</w:t>
      </w:r>
      <w:r w:rsidR="000636C2">
        <w:rPr>
          <w:rtl/>
        </w:rPr>
        <w:t>،</w:t>
      </w:r>
      <w:r>
        <w:rPr>
          <w:rtl/>
        </w:rPr>
        <w:t xml:space="preserve"> </w:t>
      </w:r>
      <w:r w:rsidR="000636C2">
        <w:rPr>
          <w:rtl/>
        </w:rPr>
        <w:t>(</w:t>
      </w:r>
      <w:r>
        <w:rPr>
          <w:rtl/>
        </w:rPr>
        <w:t>قلت</w:t>
      </w:r>
      <w:r w:rsidR="000636C2">
        <w:rPr>
          <w:rtl/>
        </w:rPr>
        <w:t>):</w:t>
      </w:r>
      <w:r>
        <w:rPr>
          <w:rtl/>
        </w:rPr>
        <w:t xml:space="preserve"> وهذا الكلام في ذاته تعالى بمقتضي الحس</w:t>
      </w:r>
      <w:r w:rsidR="000636C2">
        <w:rPr>
          <w:rtl/>
        </w:rPr>
        <w:t>،</w:t>
      </w:r>
      <w:r>
        <w:rPr>
          <w:rtl/>
        </w:rPr>
        <w:t xml:space="preserve"> كما يتكلم في ا لأجسام</w:t>
      </w:r>
      <w:r w:rsidR="000636C2">
        <w:rPr>
          <w:rtl/>
        </w:rPr>
        <w:t>،</w:t>
      </w:r>
      <w:r>
        <w:rPr>
          <w:rtl/>
        </w:rPr>
        <w:t xml:space="preserve"> قال ابن عقيل في قوله تعالى</w:t>
      </w:r>
      <w:r w:rsidR="000636C2">
        <w:rPr>
          <w:rtl/>
        </w:rPr>
        <w:t>:</w:t>
      </w:r>
      <w:r>
        <w:rPr>
          <w:rtl/>
        </w:rPr>
        <w:t xml:space="preserve"> </w:t>
      </w:r>
      <w:r w:rsidR="000636C2">
        <w:rPr>
          <w:rtl/>
        </w:rPr>
        <w:t>{</w:t>
      </w:r>
      <w:r>
        <w:rPr>
          <w:rtl/>
        </w:rPr>
        <w:t>قل الروح من أمر ربي</w:t>
      </w:r>
      <w:r w:rsidR="000636C2">
        <w:rPr>
          <w:rtl/>
        </w:rPr>
        <w:t>}،</w:t>
      </w:r>
      <w:r>
        <w:rPr>
          <w:rtl/>
        </w:rPr>
        <w:t xml:space="preserve"> قال</w:t>
      </w:r>
      <w:r w:rsidR="000636C2">
        <w:rPr>
          <w:rtl/>
        </w:rPr>
        <w:t>:</w:t>
      </w:r>
      <w:r>
        <w:rPr>
          <w:rtl/>
        </w:rPr>
        <w:t xml:space="preserve"> من كف خلقه عن السؤال عن مخلوق</w:t>
      </w:r>
      <w:r w:rsidR="000636C2">
        <w:rPr>
          <w:rtl/>
        </w:rPr>
        <w:t>،</w:t>
      </w:r>
      <w:r>
        <w:rPr>
          <w:rtl/>
        </w:rPr>
        <w:t xml:space="preserve"> فكفهم عن الخالق وصفاته أولي . و أنشده</w:t>
      </w:r>
      <w:r w:rsidR="000636C2">
        <w:rPr>
          <w:rtl/>
        </w:rPr>
        <w:t>:</w:t>
      </w:r>
      <w:r>
        <w:rPr>
          <w:rtl/>
        </w:rPr>
        <w:t xml:space="preserve"> </w:t>
      </w:r>
      <w:r w:rsidR="000636C2">
        <w:rPr>
          <w:rtl/>
        </w:rPr>
        <w:t>(</w:t>
      </w:r>
      <w:r>
        <w:rPr>
          <w:rtl/>
        </w:rPr>
        <w:t>كيفية النفس ليس المرء يدركها</w:t>
      </w:r>
      <w:r w:rsidR="000636C2">
        <w:rPr>
          <w:rtl/>
        </w:rPr>
        <w:t xml:space="preserve"> </w:t>
      </w:r>
      <w:r>
        <w:rPr>
          <w:rtl/>
        </w:rPr>
        <w:t>... فكيف كيفية الجبار في القدم</w:t>
      </w:r>
      <w:r w:rsidR="000636C2">
        <w:rPr>
          <w:rtl/>
        </w:rPr>
        <w:t>)،</w:t>
      </w:r>
      <w:r>
        <w:rPr>
          <w:rtl/>
        </w:rPr>
        <w:t xml:space="preserve"> </w:t>
      </w:r>
    </w:p>
    <w:p w14:paraId="65A338BF" w14:textId="741D3D00" w:rsidR="009C32A0" w:rsidRDefault="009C32A0" w:rsidP="000636C2">
      <w:pPr>
        <w:spacing w:after="240"/>
        <w:jc w:val="center"/>
        <w:rPr>
          <w:bCs/>
          <w:rtl/>
        </w:rPr>
      </w:pPr>
      <w:r>
        <w:rPr>
          <w:bCs/>
          <w:rtl/>
        </w:rPr>
        <w:t>باب</w:t>
      </w:r>
      <w:r w:rsidR="000636C2">
        <w:rPr>
          <w:bCs/>
          <w:rtl/>
        </w:rPr>
        <w:t>:</w:t>
      </w:r>
      <w:r>
        <w:rPr>
          <w:bCs/>
          <w:rtl/>
        </w:rPr>
        <w:t xml:space="preserve"> ذكر الأحاديث التي سموها أخبار الصفات</w:t>
      </w:r>
    </w:p>
    <w:p w14:paraId="41C4EA2D" w14:textId="37A3DEFB" w:rsidR="009C32A0" w:rsidRDefault="009C32A0" w:rsidP="000636C2">
      <w:pPr>
        <w:spacing w:after="240"/>
        <w:rPr>
          <w:rtl/>
        </w:rPr>
      </w:pPr>
      <w:r>
        <w:rPr>
          <w:rtl/>
        </w:rPr>
        <w:t>اعلم أن للأحاديث دقائق وآفات لا يعرفها إلا العلماء الفقهاء</w:t>
      </w:r>
      <w:r w:rsidR="000636C2">
        <w:rPr>
          <w:rtl/>
        </w:rPr>
        <w:t>،</w:t>
      </w:r>
      <w:r>
        <w:rPr>
          <w:rtl/>
        </w:rPr>
        <w:t xml:space="preserve"> تارة في نظمها</w:t>
      </w:r>
      <w:r w:rsidR="000636C2">
        <w:rPr>
          <w:rtl/>
        </w:rPr>
        <w:t>،</w:t>
      </w:r>
      <w:r>
        <w:rPr>
          <w:rtl/>
        </w:rPr>
        <w:t xml:space="preserve"> وتارة في كشف معناها</w:t>
      </w:r>
      <w:r w:rsidR="000636C2">
        <w:rPr>
          <w:rtl/>
        </w:rPr>
        <w:t>،</w:t>
      </w:r>
      <w:r>
        <w:rPr>
          <w:rtl/>
        </w:rPr>
        <w:t xml:space="preserve"> وسنوضح إن شاء الله تعالى</w:t>
      </w:r>
      <w:r w:rsidR="000636C2">
        <w:rPr>
          <w:rtl/>
        </w:rPr>
        <w:t>،</w:t>
      </w:r>
      <w:r>
        <w:rPr>
          <w:rtl/>
        </w:rPr>
        <w:t xml:space="preserve"> </w:t>
      </w:r>
    </w:p>
    <w:p w14:paraId="3A58A4AD" w14:textId="7DD53CB3" w:rsidR="009C32A0" w:rsidRDefault="009C32A0" w:rsidP="000636C2">
      <w:pPr>
        <w:spacing w:after="240"/>
        <w:rPr>
          <w:rtl/>
        </w:rPr>
      </w:pPr>
      <w:r>
        <w:rPr>
          <w:bCs/>
          <w:rtl/>
        </w:rPr>
        <w:t>الحديث الأول</w:t>
      </w:r>
      <w:r w:rsidR="000636C2">
        <w:rPr>
          <w:rtl/>
        </w:rPr>
        <w:t>:</w:t>
      </w:r>
      <w:r>
        <w:rPr>
          <w:rtl/>
        </w:rPr>
        <w:t xml:space="preserve"> روي البخاري ومسلم في الصحيحين من حديث أبي هريرة رضي الله عنه قال</w:t>
      </w:r>
      <w:r w:rsidR="000636C2">
        <w:rPr>
          <w:rtl/>
        </w:rPr>
        <w:t>:</w:t>
      </w:r>
      <w:r>
        <w:rPr>
          <w:rtl/>
        </w:rPr>
        <w:t xml:space="preserve"> قال رسول الله – صلي الله عليه وسلم -</w:t>
      </w:r>
      <w:r w:rsidR="000636C2">
        <w:rPr>
          <w:rtl/>
        </w:rPr>
        <w:t>:</w:t>
      </w:r>
      <w:r>
        <w:rPr>
          <w:rtl/>
        </w:rPr>
        <w:t xml:space="preserve"> (</w:t>
      </w:r>
      <w:r w:rsidR="000636C2">
        <w:rPr>
          <w:rtl/>
        </w:rPr>
        <w:t>(</w:t>
      </w:r>
      <w:r>
        <w:rPr>
          <w:rtl/>
        </w:rPr>
        <w:t>خلق الله آدم علي صورته</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للناس في هذا مذهبان </w:t>
      </w:r>
      <w:r w:rsidR="000636C2">
        <w:rPr>
          <w:rtl/>
        </w:rPr>
        <w:t>(</w:t>
      </w:r>
      <w:r>
        <w:rPr>
          <w:rtl/>
        </w:rPr>
        <w:t>أحدهما</w:t>
      </w:r>
      <w:r w:rsidR="000636C2">
        <w:rPr>
          <w:rtl/>
        </w:rPr>
        <w:t>)::</w:t>
      </w:r>
      <w:r>
        <w:rPr>
          <w:rtl/>
        </w:rPr>
        <w:t xml:space="preserve"> السكوت عن تفسيره</w:t>
      </w:r>
      <w:r w:rsidR="000636C2">
        <w:rPr>
          <w:rtl/>
        </w:rPr>
        <w:t>،</w:t>
      </w:r>
      <w:r>
        <w:rPr>
          <w:rtl/>
        </w:rPr>
        <w:t xml:space="preserve"> الثاني</w:t>
      </w:r>
      <w:r w:rsidR="000636C2">
        <w:rPr>
          <w:rtl/>
        </w:rPr>
        <w:t>:</w:t>
      </w:r>
      <w:r>
        <w:rPr>
          <w:rtl/>
        </w:rPr>
        <w:t xml:space="preserve"> الكلام في معناه</w:t>
      </w:r>
      <w:r w:rsidR="000636C2">
        <w:rPr>
          <w:rtl/>
        </w:rPr>
        <w:t>،</w:t>
      </w:r>
      <w:r>
        <w:rPr>
          <w:rtl/>
        </w:rPr>
        <w:t xml:space="preserve"> واختلف أرباب هذا المذهب في الهاء علي من تعود</w:t>
      </w:r>
      <w:r w:rsidR="000636C2">
        <w:rPr>
          <w:rtl/>
        </w:rPr>
        <w:t>؟</w:t>
      </w:r>
      <w:r>
        <w:rPr>
          <w:rtl/>
        </w:rPr>
        <w:t xml:space="preserve"> علي ثلاثة أقوال</w:t>
      </w:r>
      <w:r w:rsidR="000636C2">
        <w:rPr>
          <w:rtl/>
        </w:rPr>
        <w:t>:</w:t>
      </w:r>
      <w:r>
        <w:rPr>
          <w:rtl/>
        </w:rPr>
        <w:t xml:space="preserve"> </w:t>
      </w:r>
      <w:r w:rsidR="000636C2">
        <w:rPr>
          <w:rtl/>
        </w:rPr>
        <w:t>(</w:t>
      </w:r>
      <w:r>
        <w:rPr>
          <w:rtl/>
        </w:rPr>
        <w:t>أحدهما</w:t>
      </w:r>
      <w:r w:rsidR="000636C2">
        <w:rPr>
          <w:rtl/>
        </w:rPr>
        <w:t xml:space="preserve">): </w:t>
      </w:r>
      <w:r>
        <w:rPr>
          <w:rtl/>
        </w:rPr>
        <w:t>تعود علي بعض بني آدم</w:t>
      </w:r>
      <w:r w:rsidR="000636C2">
        <w:rPr>
          <w:rtl/>
        </w:rPr>
        <w:t>،</w:t>
      </w:r>
      <w:r>
        <w:rPr>
          <w:rtl/>
        </w:rPr>
        <w:t xml:space="preserve"> وذلك أن النبي – صلي الله عليه وسلم – مر برجل يضرب رجل وهو يقول</w:t>
      </w:r>
      <w:r w:rsidR="000636C2">
        <w:rPr>
          <w:rtl/>
        </w:rPr>
        <w:t>:</w:t>
      </w:r>
      <w:r>
        <w:rPr>
          <w:rtl/>
        </w:rPr>
        <w:t xml:space="preserve"> قبح الله وجهك ووجه من أشبه وجهك . فقال</w:t>
      </w:r>
      <w:r w:rsidR="000636C2">
        <w:rPr>
          <w:rtl/>
        </w:rPr>
        <w:t>:</w:t>
      </w:r>
      <w:r>
        <w:rPr>
          <w:rtl/>
        </w:rPr>
        <w:t xml:space="preserve"> (</w:t>
      </w:r>
      <w:r w:rsidR="000636C2">
        <w:rPr>
          <w:rtl/>
        </w:rPr>
        <w:t>(</w:t>
      </w:r>
      <w:r>
        <w:rPr>
          <w:rtl/>
        </w:rPr>
        <w:t>إذا ضرب أحدكم فليتق الوجه فإن الله تعالى خلق آدم علي صورته</w:t>
      </w:r>
      <w:r w:rsidR="000636C2">
        <w:rPr>
          <w:rtl/>
        </w:rPr>
        <w:t>)</w:t>
      </w:r>
      <w:r>
        <w:rPr>
          <w:rtl/>
        </w:rPr>
        <w:t>)</w:t>
      </w:r>
      <w:r w:rsidR="000636C2">
        <w:rPr>
          <w:rtl/>
        </w:rPr>
        <w:t>،</w:t>
      </w:r>
      <w:r>
        <w:rPr>
          <w:rtl/>
        </w:rPr>
        <w:t xml:space="preserve"> قالوا</w:t>
      </w:r>
      <w:r w:rsidR="000636C2">
        <w:rPr>
          <w:rtl/>
        </w:rPr>
        <w:t>:</w:t>
      </w:r>
      <w:r>
        <w:rPr>
          <w:rtl/>
        </w:rPr>
        <w:t xml:space="preserve"> وإنما اقتصر بعض الرواة علي بعض الحديث فيحمل المقتصر علي المفسر قالوا</w:t>
      </w:r>
      <w:r w:rsidR="000636C2">
        <w:rPr>
          <w:rtl/>
        </w:rPr>
        <w:t>:</w:t>
      </w:r>
      <w:r>
        <w:rPr>
          <w:rtl/>
        </w:rPr>
        <w:t xml:space="preserve"> فوجه من أشبه وجهك يتضمن سب الأنبياء والمؤمنين</w:t>
      </w:r>
      <w:r w:rsidR="000636C2">
        <w:rPr>
          <w:rtl/>
        </w:rPr>
        <w:t>،</w:t>
      </w:r>
      <w:r>
        <w:rPr>
          <w:rtl/>
        </w:rPr>
        <w:t xml:space="preserve"> إنما خص آدم بالذكر</w:t>
      </w:r>
      <w:r w:rsidR="000636C2">
        <w:rPr>
          <w:rtl/>
        </w:rPr>
        <w:t>،</w:t>
      </w:r>
      <w:r>
        <w:rPr>
          <w:rtl/>
        </w:rPr>
        <w:t xml:space="preserve"> لأنه هو الذي ابتدأ خلقته ووجهه علي هذه الصورة التي احتذي عليها من بعده</w:t>
      </w:r>
      <w:r w:rsidR="000636C2">
        <w:rPr>
          <w:rtl/>
        </w:rPr>
        <w:t>،</w:t>
      </w:r>
      <w:r>
        <w:rPr>
          <w:rtl/>
        </w:rPr>
        <w:t xml:space="preserve"> فعلي هذا تكون الهاء كناية عن المضروب</w:t>
      </w:r>
      <w:r w:rsidR="000636C2">
        <w:rPr>
          <w:rtl/>
        </w:rPr>
        <w:t>،</w:t>
      </w:r>
      <w:r>
        <w:rPr>
          <w:rtl/>
        </w:rPr>
        <w:t xml:space="preserve"> ومن الخطأ أن ترجع إلى الله عز وجل بقوله</w:t>
      </w:r>
      <w:r w:rsidR="000636C2">
        <w:rPr>
          <w:rtl/>
        </w:rPr>
        <w:t>:</w:t>
      </w:r>
      <w:r>
        <w:rPr>
          <w:rtl/>
        </w:rPr>
        <w:t xml:space="preserve"> ووجه من أشبه وجهك فإنه إذا نسب إليه شبه سبحانه وتعالى كان تشبيها صريحا</w:t>
      </w:r>
      <w:r w:rsidR="000636C2">
        <w:rPr>
          <w:rtl/>
        </w:rPr>
        <w:t>،</w:t>
      </w:r>
      <w:r>
        <w:rPr>
          <w:rtl/>
        </w:rPr>
        <w:t xml:space="preserve"> وفي صحيح مسلم من حديث أبي هريرة رضي الله عنه عن النبي صلي الله عليه وسلم أنه قال</w:t>
      </w:r>
      <w:r w:rsidR="000636C2">
        <w:rPr>
          <w:rtl/>
        </w:rPr>
        <w:t>:</w:t>
      </w:r>
      <w:r>
        <w:rPr>
          <w:rtl/>
        </w:rPr>
        <w:t xml:space="preserve"> (</w:t>
      </w:r>
      <w:r w:rsidR="000636C2">
        <w:rPr>
          <w:rtl/>
        </w:rPr>
        <w:t>(</w:t>
      </w:r>
      <w:r>
        <w:rPr>
          <w:rtl/>
        </w:rPr>
        <w:t>إذا قاتل أحدكم فليتق الوجه</w:t>
      </w:r>
      <w:r w:rsidR="000636C2">
        <w:rPr>
          <w:rtl/>
        </w:rPr>
        <w:t>،</w:t>
      </w:r>
      <w:r>
        <w:rPr>
          <w:rtl/>
        </w:rPr>
        <w:t xml:space="preserve"> فإن الله تعالى خلق آدم علي صورته</w:t>
      </w:r>
      <w:r w:rsidR="000636C2">
        <w:rPr>
          <w:rtl/>
        </w:rPr>
        <w:t>)</w:t>
      </w:r>
      <w:r>
        <w:rPr>
          <w:rtl/>
        </w:rPr>
        <w:t>)</w:t>
      </w:r>
      <w:r w:rsidR="000636C2">
        <w:rPr>
          <w:rtl/>
        </w:rPr>
        <w:t>،</w:t>
      </w:r>
      <w:r>
        <w:rPr>
          <w:rtl/>
        </w:rPr>
        <w:t xml:space="preserve"> و </w:t>
      </w:r>
      <w:r w:rsidR="000636C2">
        <w:rPr>
          <w:rtl/>
        </w:rPr>
        <w:t>(</w:t>
      </w:r>
      <w:r>
        <w:rPr>
          <w:rtl/>
        </w:rPr>
        <w:t>القول الثاني</w:t>
      </w:r>
      <w:r w:rsidR="000636C2">
        <w:rPr>
          <w:rtl/>
        </w:rPr>
        <w:t>):</w:t>
      </w:r>
      <w:r>
        <w:rPr>
          <w:rtl/>
        </w:rPr>
        <w:t xml:space="preserve"> " إن الهاء كناية عن اسمين ظاهرين</w:t>
      </w:r>
      <w:r w:rsidR="000636C2">
        <w:rPr>
          <w:rtl/>
        </w:rPr>
        <w:t>،</w:t>
      </w:r>
      <w:r>
        <w:rPr>
          <w:rtl/>
        </w:rPr>
        <w:t xml:space="preserve"> فلا يصح أن يضاف إلى الله عز وجل لقيام الدليل علي أنه ليس بصورة</w:t>
      </w:r>
      <w:r w:rsidR="000636C2">
        <w:rPr>
          <w:rtl/>
        </w:rPr>
        <w:t>،</w:t>
      </w:r>
      <w:r>
        <w:rPr>
          <w:rtl/>
        </w:rPr>
        <w:t xml:space="preserve"> فعادت إلى آدم</w:t>
      </w:r>
      <w:r w:rsidR="000636C2">
        <w:rPr>
          <w:rtl/>
        </w:rPr>
        <w:t>،</w:t>
      </w:r>
      <w:r>
        <w:rPr>
          <w:rtl/>
        </w:rPr>
        <w:t xml:space="preserve"> ومعني الحديث</w:t>
      </w:r>
      <w:r w:rsidR="000636C2">
        <w:rPr>
          <w:rtl/>
        </w:rPr>
        <w:t>:</w:t>
      </w:r>
      <w:r>
        <w:rPr>
          <w:rtl/>
        </w:rPr>
        <w:t xml:space="preserve"> إن الله خلق آدم علي صورته التي خلقها عليها </w:t>
      </w:r>
      <w:r w:rsidR="000636C2">
        <w:rPr>
          <w:rtl/>
        </w:rPr>
        <w:t>(</w:t>
      </w:r>
      <w:r>
        <w:rPr>
          <w:rtl/>
        </w:rPr>
        <w:t>تاما لم ينقله من نطفة إلى علقه هذا مذهب</w:t>
      </w:r>
      <w:r w:rsidR="000636C2">
        <w:rPr>
          <w:rtl/>
        </w:rPr>
        <w:t>)</w:t>
      </w:r>
      <w:r>
        <w:rPr>
          <w:rtl/>
        </w:rPr>
        <w:t xml:space="preserve"> أبي سليمان الخطابي وقد ذكره ثعلب في أماليه</w:t>
      </w:r>
      <w:r w:rsidR="000636C2">
        <w:rPr>
          <w:rtl/>
        </w:rPr>
        <w:t>،</w:t>
      </w:r>
      <w:r>
        <w:rPr>
          <w:rtl/>
        </w:rPr>
        <w:t xml:space="preserve"> و </w:t>
      </w:r>
      <w:r w:rsidR="000636C2">
        <w:rPr>
          <w:rtl/>
        </w:rPr>
        <w:t>(</w:t>
      </w:r>
      <w:r>
        <w:rPr>
          <w:rtl/>
        </w:rPr>
        <w:t>القول الثالث</w:t>
      </w:r>
      <w:r w:rsidR="000636C2">
        <w:rPr>
          <w:rtl/>
        </w:rPr>
        <w:t>):</w:t>
      </w:r>
      <w:r>
        <w:rPr>
          <w:rtl/>
        </w:rPr>
        <w:t xml:space="preserve"> " إنها تعود إلى الله تعالى " وفي معني ذلك قولان</w:t>
      </w:r>
      <w:r w:rsidR="000636C2">
        <w:rPr>
          <w:rtl/>
        </w:rPr>
        <w:t>:</w:t>
      </w:r>
      <w:r>
        <w:rPr>
          <w:rtl/>
        </w:rPr>
        <w:t xml:space="preserve"> </w:t>
      </w:r>
      <w:r w:rsidR="000636C2">
        <w:rPr>
          <w:rtl/>
        </w:rPr>
        <w:t>(</w:t>
      </w:r>
      <w:r>
        <w:rPr>
          <w:rtl/>
        </w:rPr>
        <w:t>أحدهما</w:t>
      </w:r>
      <w:r w:rsidR="000636C2">
        <w:rPr>
          <w:rtl/>
        </w:rPr>
        <w:t xml:space="preserve">): </w:t>
      </w:r>
      <w:r>
        <w:rPr>
          <w:rtl/>
        </w:rPr>
        <w:t>أن تكون صورة ملك</w:t>
      </w:r>
      <w:r w:rsidR="000636C2">
        <w:rPr>
          <w:rtl/>
        </w:rPr>
        <w:t>،</w:t>
      </w:r>
      <w:r>
        <w:rPr>
          <w:rtl/>
        </w:rPr>
        <w:t xml:space="preserve"> لأنها فعله وخلقه</w:t>
      </w:r>
      <w:r w:rsidR="000636C2">
        <w:rPr>
          <w:rtl/>
        </w:rPr>
        <w:t>،</w:t>
      </w:r>
      <w:r>
        <w:rPr>
          <w:rtl/>
        </w:rPr>
        <w:t xml:space="preserve"> فتكون إضافتها إليه من وجهين</w:t>
      </w:r>
      <w:r w:rsidR="000636C2">
        <w:rPr>
          <w:rtl/>
        </w:rPr>
        <w:t>:</w:t>
      </w:r>
      <w:r>
        <w:rPr>
          <w:rtl/>
        </w:rPr>
        <w:t xml:space="preserve"> </w:t>
      </w:r>
      <w:r w:rsidR="000636C2">
        <w:rPr>
          <w:rtl/>
        </w:rPr>
        <w:t>(</w:t>
      </w:r>
      <w:r>
        <w:rPr>
          <w:rtl/>
        </w:rPr>
        <w:t>أحدهما</w:t>
      </w:r>
      <w:r w:rsidR="000636C2">
        <w:rPr>
          <w:rtl/>
        </w:rPr>
        <w:t xml:space="preserve">): </w:t>
      </w:r>
      <w:r>
        <w:rPr>
          <w:rtl/>
        </w:rPr>
        <w:t>التشريف بالإضافة كقوله تعالى</w:t>
      </w:r>
      <w:r w:rsidR="000636C2">
        <w:rPr>
          <w:rtl/>
        </w:rPr>
        <w:t>:</w:t>
      </w:r>
      <w:r>
        <w:rPr>
          <w:rtl/>
        </w:rPr>
        <w:t xml:space="preserve"> </w:t>
      </w:r>
      <w:r w:rsidR="000636C2">
        <w:rPr>
          <w:rtl/>
        </w:rPr>
        <w:t>{</w:t>
      </w:r>
      <w:r>
        <w:rPr>
          <w:rtl/>
        </w:rPr>
        <w:t>وطهرا بيتي للطائفين</w:t>
      </w:r>
      <w:r w:rsidR="000636C2">
        <w:rPr>
          <w:rtl/>
        </w:rPr>
        <w:t>}،</w:t>
      </w:r>
      <w:r>
        <w:rPr>
          <w:rtl/>
        </w:rPr>
        <w:t xml:space="preserve"> و </w:t>
      </w:r>
      <w:r w:rsidR="000636C2">
        <w:rPr>
          <w:rtl/>
        </w:rPr>
        <w:t>(</w:t>
      </w:r>
      <w:r>
        <w:rPr>
          <w:rtl/>
        </w:rPr>
        <w:t>الثاني</w:t>
      </w:r>
      <w:r w:rsidR="000636C2">
        <w:rPr>
          <w:rtl/>
        </w:rPr>
        <w:t>):</w:t>
      </w:r>
      <w:r>
        <w:rPr>
          <w:rtl/>
        </w:rPr>
        <w:t xml:space="preserve"> لأنه ابتدعها علي غير مثال سابق . (وقد روي هذا الحديث من طريق ابن عمر عن النبي – صلي الله علي وسلم – أنه قال</w:t>
      </w:r>
      <w:r w:rsidR="000636C2">
        <w:rPr>
          <w:rtl/>
        </w:rPr>
        <w:t>:</w:t>
      </w:r>
      <w:r>
        <w:rPr>
          <w:rtl/>
        </w:rPr>
        <w:t xml:space="preserve"> (</w:t>
      </w:r>
      <w:r w:rsidR="000636C2">
        <w:rPr>
          <w:rtl/>
        </w:rPr>
        <w:t>(</w:t>
      </w:r>
      <w:r>
        <w:rPr>
          <w:rtl/>
        </w:rPr>
        <w:t>لا تقبح الوجه فإن آدم خلق علي صورة الرحمن</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هذا الحديث فيه ثلاثة علل</w:t>
      </w:r>
      <w:r w:rsidR="000636C2">
        <w:rPr>
          <w:rtl/>
        </w:rPr>
        <w:t>،</w:t>
      </w:r>
      <w:r>
        <w:rPr>
          <w:rtl/>
        </w:rPr>
        <w:t xml:space="preserve"> </w:t>
      </w:r>
      <w:r w:rsidR="000636C2">
        <w:rPr>
          <w:rtl/>
        </w:rPr>
        <w:t>(</w:t>
      </w:r>
      <w:r>
        <w:rPr>
          <w:rtl/>
        </w:rPr>
        <w:t>أحدهما</w:t>
      </w:r>
      <w:r w:rsidR="000636C2">
        <w:rPr>
          <w:rtl/>
        </w:rPr>
        <w:t>)::</w:t>
      </w:r>
      <w:r>
        <w:rPr>
          <w:rtl/>
        </w:rPr>
        <w:t xml:space="preserve"> أن الثوري والأعمش اختلفا فيه فأرسله الثوري ورفعه الأعمش</w:t>
      </w:r>
      <w:r w:rsidR="000636C2">
        <w:rPr>
          <w:rtl/>
        </w:rPr>
        <w:t>،</w:t>
      </w:r>
      <w:r>
        <w:rPr>
          <w:rtl/>
        </w:rPr>
        <w:t xml:space="preserve"> و </w:t>
      </w:r>
      <w:r w:rsidR="000636C2">
        <w:rPr>
          <w:rtl/>
        </w:rPr>
        <w:t>(</w:t>
      </w:r>
      <w:r>
        <w:rPr>
          <w:rtl/>
        </w:rPr>
        <w:t>الثانية</w:t>
      </w:r>
      <w:r w:rsidR="000636C2">
        <w:rPr>
          <w:rtl/>
        </w:rPr>
        <w:t>):</w:t>
      </w:r>
      <w:r>
        <w:rPr>
          <w:rtl/>
        </w:rPr>
        <w:t xml:space="preserve"> أن الأعمش كان يدلس فلم يذكر أنه سمعه من حبيب بن أبي ثابت</w:t>
      </w:r>
      <w:r w:rsidR="000636C2">
        <w:rPr>
          <w:rtl/>
        </w:rPr>
        <w:t>،</w:t>
      </w:r>
      <w:r>
        <w:rPr>
          <w:rtl/>
        </w:rPr>
        <w:t xml:space="preserve"> و </w:t>
      </w:r>
      <w:r w:rsidR="000636C2">
        <w:rPr>
          <w:rtl/>
        </w:rPr>
        <w:t>(</w:t>
      </w:r>
      <w:r>
        <w:rPr>
          <w:rtl/>
        </w:rPr>
        <w:t>الثالثة</w:t>
      </w:r>
      <w:r w:rsidR="000636C2">
        <w:rPr>
          <w:rtl/>
        </w:rPr>
        <w:t>):</w:t>
      </w:r>
      <w:r>
        <w:rPr>
          <w:rtl/>
        </w:rPr>
        <w:t xml:space="preserve"> أن حبيبا كان يدلس فلم يعلم أنه سمعه من عطاء</w:t>
      </w:r>
      <w:r w:rsidR="000636C2">
        <w:rPr>
          <w:rtl/>
        </w:rPr>
        <w:t>،</w:t>
      </w:r>
      <w:r>
        <w:rPr>
          <w:rtl/>
        </w:rPr>
        <w:t xml:space="preserve"> </w:t>
      </w:r>
      <w:r w:rsidR="000636C2">
        <w:rPr>
          <w:rtl/>
        </w:rPr>
        <w:t>(</w:t>
      </w:r>
      <w:r>
        <w:rPr>
          <w:rtl/>
        </w:rPr>
        <w:t>قلت</w:t>
      </w:r>
      <w:r w:rsidR="000636C2">
        <w:rPr>
          <w:rtl/>
        </w:rPr>
        <w:t>):</w:t>
      </w:r>
      <w:r>
        <w:rPr>
          <w:rtl/>
        </w:rPr>
        <w:t xml:space="preserve"> وهذه أدلة توجب وهنا في الحديث ثم هو محمول علي إضافة الصورة إليه ملكا</w:t>
      </w:r>
      <w:r w:rsidR="000636C2">
        <w:rPr>
          <w:rtl/>
        </w:rPr>
        <w:t>،</w:t>
      </w:r>
      <w:r>
        <w:rPr>
          <w:rtl/>
        </w:rPr>
        <w:t xml:space="preserve"> و </w:t>
      </w:r>
      <w:r w:rsidR="000636C2">
        <w:rPr>
          <w:rtl/>
        </w:rPr>
        <w:t>(</w:t>
      </w:r>
      <w:r>
        <w:rPr>
          <w:rtl/>
        </w:rPr>
        <w:t>القول الثاني</w:t>
      </w:r>
      <w:r w:rsidR="000636C2">
        <w:rPr>
          <w:rtl/>
        </w:rPr>
        <w:t>):</w:t>
      </w:r>
      <w:r>
        <w:rPr>
          <w:rtl/>
        </w:rPr>
        <w:t xml:space="preserve"> أن تكون صورة بمعني الصفة</w:t>
      </w:r>
      <w:r w:rsidR="000636C2">
        <w:rPr>
          <w:rtl/>
        </w:rPr>
        <w:t>،</w:t>
      </w:r>
      <w:r>
        <w:rPr>
          <w:rtl/>
        </w:rPr>
        <w:t xml:space="preserve"> تقول</w:t>
      </w:r>
      <w:r w:rsidR="000636C2">
        <w:rPr>
          <w:rtl/>
        </w:rPr>
        <w:t>:</w:t>
      </w:r>
      <w:r>
        <w:rPr>
          <w:rtl/>
        </w:rPr>
        <w:t xml:space="preserve"> هذا صورة الأمر</w:t>
      </w:r>
      <w:r w:rsidR="000636C2">
        <w:rPr>
          <w:rtl/>
        </w:rPr>
        <w:t>:</w:t>
      </w:r>
      <w:r>
        <w:rPr>
          <w:rtl/>
        </w:rPr>
        <w:t xml:space="preserve"> أي صفته ويكون المعني خلق آدم</w:t>
      </w:r>
      <w:r w:rsidR="000636C2">
        <w:rPr>
          <w:rtl/>
        </w:rPr>
        <w:t xml:space="preserve"> </w:t>
      </w:r>
      <w:r>
        <w:rPr>
          <w:rtl/>
        </w:rPr>
        <w:t>علي صفته من الحياة والعلم</w:t>
      </w:r>
      <w:r w:rsidR="000636C2">
        <w:rPr>
          <w:rtl/>
        </w:rPr>
        <w:t xml:space="preserve"> </w:t>
      </w:r>
      <w:r>
        <w:rPr>
          <w:rtl/>
        </w:rPr>
        <w:t>والقدرة والسمع والبصر والإرادة والكلام فميزه بذلك علي جميع الحيوانات</w:t>
      </w:r>
      <w:r w:rsidR="000636C2">
        <w:rPr>
          <w:rtl/>
        </w:rPr>
        <w:t>،</w:t>
      </w:r>
      <w:r>
        <w:rPr>
          <w:rtl/>
        </w:rPr>
        <w:t xml:space="preserve"> ثم ميزه عن الملائكة بصفة التعالي حين أسجدهم له . </w:t>
      </w:r>
      <w:r w:rsidR="000636C2">
        <w:rPr>
          <w:rtl/>
        </w:rPr>
        <w:t>(</w:t>
      </w:r>
      <w:r>
        <w:rPr>
          <w:rtl/>
        </w:rPr>
        <w:t>وقال بن عقيل إنما خص آدم بإضافة صورته إليه لتخصيصه وهي السلطنة التي تشاكلها</w:t>
      </w:r>
      <w:r w:rsidR="000636C2">
        <w:rPr>
          <w:rtl/>
        </w:rPr>
        <w:t xml:space="preserve"> </w:t>
      </w:r>
      <w:r>
        <w:rPr>
          <w:rtl/>
        </w:rPr>
        <w:t>الربوبية استعبادا وسجودا وأمرا نافذا وسياسات تعمر بها البلاد ويصلح به العباد وليس في الملائكة والجن من تجمع علي طاعته نوعه وقبيله سوي الآدمي</w:t>
      </w:r>
      <w:r w:rsidR="000636C2">
        <w:rPr>
          <w:rtl/>
        </w:rPr>
        <w:t>)،</w:t>
      </w:r>
      <w:r>
        <w:rPr>
          <w:rtl/>
        </w:rPr>
        <w:t xml:space="preserve"> وإن الصورة ها هنا معنوية لا صورة تخاطيط</w:t>
      </w:r>
      <w:r w:rsidR="000636C2">
        <w:rPr>
          <w:rtl/>
        </w:rPr>
        <w:t>،</w:t>
      </w:r>
      <w:r>
        <w:rPr>
          <w:rtl/>
        </w:rPr>
        <w:t xml:space="preserve"> وقد ذهب أبو محمد بن قتيبه في هذا الحديث إلى مذهب قبيح فقال</w:t>
      </w:r>
      <w:r w:rsidR="000636C2">
        <w:rPr>
          <w:rtl/>
        </w:rPr>
        <w:t>:</w:t>
      </w:r>
      <w:r>
        <w:rPr>
          <w:rtl/>
        </w:rPr>
        <w:t xml:space="preserve"> لله صورة لا كالصور فخلق آدم عليها</w:t>
      </w:r>
      <w:r w:rsidR="000636C2">
        <w:rPr>
          <w:rtl/>
        </w:rPr>
        <w:t>؟</w:t>
      </w:r>
      <w:r>
        <w:rPr>
          <w:rtl/>
        </w:rPr>
        <w:t xml:space="preserve"> وهذا تخليط وتهافت لأن معني كلامه</w:t>
      </w:r>
      <w:r w:rsidR="000636C2">
        <w:rPr>
          <w:rtl/>
        </w:rPr>
        <w:t>:</w:t>
      </w:r>
      <w:r>
        <w:rPr>
          <w:rtl/>
        </w:rPr>
        <w:t xml:space="preserve"> إن صورة آدم كصورة الحق</w:t>
      </w:r>
      <w:r w:rsidR="000636C2">
        <w:rPr>
          <w:rtl/>
        </w:rPr>
        <w:t>،</w:t>
      </w:r>
      <w:r>
        <w:rPr>
          <w:rtl/>
        </w:rPr>
        <w:t xml:space="preserve"> وقال القاضي</w:t>
      </w:r>
      <w:r w:rsidR="000636C2">
        <w:rPr>
          <w:rtl/>
        </w:rPr>
        <w:t>:</w:t>
      </w:r>
      <w:r>
        <w:rPr>
          <w:rtl/>
        </w:rPr>
        <w:t xml:space="preserve"> يطلق علي الحق تسمية الصورة لا كالصور</w:t>
      </w:r>
      <w:r w:rsidR="000636C2">
        <w:rPr>
          <w:rtl/>
        </w:rPr>
        <w:t>،</w:t>
      </w:r>
      <w:r>
        <w:rPr>
          <w:rtl/>
        </w:rPr>
        <w:t xml:space="preserve"> نقض لما قاله</w:t>
      </w:r>
      <w:r w:rsidR="000636C2">
        <w:rPr>
          <w:rtl/>
        </w:rPr>
        <w:t>،</w:t>
      </w:r>
      <w:r>
        <w:rPr>
          <w:rtl/>
        </w:rPr>
        <w:t xml:space="preserve"> وصار بمثابة من يقول</w:t>
      </w:r>
      <w:r w:rsidR="000636C2">
        <w:rPr>
          <w:rtl/>
        </w:rPr>
        <w:t>:</w:t>
      </w:r>
      <w:r>
        <w:rPr>
          <w:rtl/>
        </w:rPr>
        <w:t xml:space="preserve"> جسم لا كالأجسام</w:t>
      </w:r>
      <w:r w:rsidR="000636C2">
        <w:rPr>
          <w:rtl/>
        </w:rPr>
        <w:t>،</w:t>
      </w:r>
      <w:r>
        <w:rPr>
          <w:rtl/>
        </w:rPr>
        <w:t xml:space="preserve"> فإن الجسم ما كان مؤلفا</w:t>
      </w:r>
      <w:r w:rsidR="000636C2">
        <w:rPr>
          <w:rtl/>
        </w:rPr>
        <w:t>،</w:t>
      </w:r>
      <w:r>
        <w:rPr>
          <w:rtl/>
        </w:rPr>
        <w:t xml:space="preserve"> فإذا قال</w:t>
      </w:r>
      <w:r w:rsidR="000636C2">
        <w:rPr>
          <w:rtl/>
        </w:rPr>
        <w:t>:</w:t>
      </w:r>
      <w:r>
        <w:rPr>
          <w:rtl/>
        </w:rPr>
        <w:t xml:space="preserve"> لا كالأجسام نقض ما قال</w:t>
      </w:r>
      <w:r w:rsidR="000636C2">
        <w:rPr>
          <w:rtl/>
        </w:rPr>
        <w:t>،</w:t>
      </w:r>
      <w:r>
        <w:rPr>
          <w:rtl/>
        </w:rPr>
        <w:t xml:space="preserve"> </w:t>
      </w:r>
    </w:p>
    <w:p w14:paraId="75B26300" w14:textId="03D6BF0D" w:rsidR="009C32A0" w:rsidRDefault="009C32A0" w:rsidP="000636C2">
      <w:pPr>
        <w:spacing w:after="240"/>
        <w:rPr>
          <w:rtl/>
        </w:rPr>
      </w:pPr>
      <w:r>
        <w:rPr>
          <w:bCs/>
          <w:rtl/>
        </w:rPr>
        <w:t>الحديث الثاني</w:t>
      </w:r>
      <w:r w:rsidR="000636C2">
        <w:rPr>
          <w:rtl/>
        </w:rPr>
        <w:t>:</w:t>
      </w:r>
      <w:r>
        <w:rPr>
          <w:rtl/>
        </w:rPr>
        <w:t xml:space="preserve"> روي عبد الرحمن بن عياش – رضي الله عنه – عن النبي – صلي الله عليه وسلم – أنه قال</w:t>
      </w:r>
      <w:r w:rsidR="000636C2">
        <w:rPr>
          <w:rtl/>
        </w:rPr>
        <w:t>:</w:t>
      </w:r>
      <w:r>
        <w:rPr>
          <w:rtl/>
        </w:rPr>
        <w:t xml:space="preserve"> " رأيت ربي في أحسن صورة</w:t>
      </w:r>
      <w:r w:rsidR="000636C2">
        <w:rPr>
          <w:rtl/>
        </w:rPr>
        <w:t>،</w:t>
      </w:r>
      <w:r>
        <w:rPr>
          <w:rtl/>
        </w:rPr>
        <w:t xml:space="preserve"> فقال لي</w:t>
      </w:r>
      <w:r w:rsidR="000636C2">
        <w:rPr>
          <w:rtl/>
        </w:rPr>
        <w:t>:</w:t>
      </w:r>
      <w:r>
        <w:rPr>
          <w:rtl/>
        </w:rPr>
        <w:t xml:space="preserve"> فيم يختصم الملأ الأعلى يا محمد </w:t>
      </w:r>
      <w:r w:rsidR="000636C2">
        <w:rPr>
          <w:rtl/>
        </w:rPr>
        <w:t>(</w:t>
      </w:r>
      <w:r>
        <w:rPr>
          <w:rtl/>
        </w:rPr>
        <w:t>قلت</w:t>
      </w:r>
      <w:r w:rsidR="000636C2">
        <w:rPr>
          <w:rtl/>
        </w:rPr>
        <w:t>):</w:t>
      </w:r>
      <w:r>
        <w:rPr>
          <w:rtl/>
        </w:rPr>
        <w:t xml:space="preserve"> أنت أعلم يا رب</w:t>
      </w:r>
      <w:r w:rsidR="000636C2">
        <w:rPr>
          <w:rtl/>
        </w:rPr>
        <w:t>،</w:t>
      </w:r>
      <w:r>
        <w:rPr>
          <w:rtl/>
        </w:rPr>
        <w:t xml:space="preserve"> فوضع كفه بين كتفي</w:t>
      </w:r>
      <w:r w:rsidR="000636C2">
        <w:rPr>
          <w:rtl/>
        </w:rPr>
        <w:t>،</w:t>
      </w:r>
      <w:r>
        <w:rPr>
          <w:rtl/>
        </w:rPr>
        <w:t xml:space="preserve"> حتي وجدت بردها بين ثديي</w:t>
      </w:r>
      <w:r w:rsidR="000636C2">
        <w:rPr>
          <w:rtl/>
        </w:rPr>
        <w:t>،</w:t>
      </w:r>
      <w:r>
        <w:rPr>
          <w:rtl/>
        </w:rPr>
        <w:t xml:space="preserve"> فعلمت ما بين السموات والأرض "</w:t>
      </w:r>
      <w:r w:rsidR="000636C2">
        <w:rPr>
          <w:rtl/>
        </w:rPr>
        <w:t>،</w:t>
      </w:r>
      <w:r>
        <w:rPr>
          <w:rtl/>
        </w:rPr>
        <w:t xml:space="preserve"> قال أحمد رضي الله عنه</w:t>
      </w:r>
      <w:r w:rsidR="000636C2">
        <w:rPr>
          <w:rtl/>
        </w:rPr>
        <w:t>:</w:t>
      </w:r>
      <w:r>
        <w:rPr>
          <w:rtl/>
        </w:rPr>
        <w:t xml:space="preserve"> أصل هذا الحديث وطرقه مضطربة </w:t>
      </w:r>
      <w:r w:rsidR="000636C2">
        <w:rPr>
          <w:rtl/>
        </w:rPr>
        <w:t>(</w:t>
      </w:r>
      <w:r>
        <w:rPr>
          <w:rtl/>
        </w:rPr>
        <w:t>يرويه معاذ عن رسول الله –صلي الله عليه وسلم وكل أسانيده مضطربة ليس فيها صحيح</w:t>
      </w:r>
      <w:r w:rsidR="000636C2">
        <w:rPr>
          <w:rtl/>
        </w:rPr>
        <w:t>،</w:t>
      </w:r>
      <w:r>
        <w:rPr>
          <w:rtl/>
        </w:rPr>
        <w:t xml:space="preserve"> ورواه قتادة عن أنس واختلف علي قتادة فرواه يوسف عن عطية عن قتادة ووهم فيه</w:t>
      </w:r>
      <w:r w:rsidR="000636C2">
        <w:rPr>
          <w:rtl/>
        </w:rPr>
        <w:t>،</w:t>
      </w:r>
      <w:r>
        <w:rPr>
          <w:rtl/>
        </w:rPr>
        <w:t xml:space="preserve"> ورواه هشام عن قتادة عن ابن قلابة عن خالد بن الحلاج عن بن عباس ووهم في قوله عن ابن عباس وإنما رواه خالد عن عبد الرحمن بن عياش وعبد الرحمن لم يسمعه من رسول الله صلي الله عليه وسلم</w:t>
      </w:r>
      <w:r w:rsidR="000636C2">
        <w:rPr>
          <w:rtl/>
        </w:rPr>
        <w:t>،</w:t>
      </w:r>
      <w:r>
        <w:rPr>
          <w:rtl/>
        </w:rPr>
        <w:t xml:space="preserve"> وإنما رواه عن مالك بن يخامر عن معاذ</w:t>
      </w:r>
      <w:r w:rsidR="000636C2">
        <w:rPr>
          <w:rtl/>
        </w:rPr>
        <w:t>:</w:t>
      </w:r>
      <w:r>
        <w:rPr>
          <w:rtl/>
        </w:rPr>
        <w:t xml:space="preserve"> </w:t>
      </w:r>
      <w:r w:rsidR="000636C2">
        <w:rPr>
          <w:rtl/>
        </w:rPr>
        <w:t>(</w:t>
      </w:r>
      <w:r>
        <w:rPr>
          <w:rtl/>
        </w:rPr>
        <w:t>قلت</w:t>
      </w:r>
      <w:r w:rsidR="000636C2">
        <w:rPr>
          <w:rtl/>
        </w:rPr>
        <w:t>):</w:t>
      </w:r>
      <w:r>
        <w:rPr>
          <w:rtl/>
        </w:rPr>
        <w:t xml:space="preserve"> قد ذكرنا أنه لا يصح</w:t>
      </w:r>
      <w:r w:rsidR="000636C2">
        <w:rPr>
          <w:rtl/>
        </w:rPr>
        <w:t>،</w:t>
      </w:r>
      <w:r>
        <w:rPr>
          <w:rtl/>
        </w:rPr>
        <w:t xml:space="preserve"> وقال أبو بكر البيهقي</w:t>
      </w:r>
      <w:r w:rsidR="000636C2">
        <w:rPr>
          <w:rtl/>
        </w:rPr>
        <w:t>:</w:t>
      </w:r>
      <w:r>
        <w:rPr>
          <w:rtl/>
        </w:rPr>
        <w:t xml:space="preserve"> فقد روي من أوجه كلها ضعيفة وأحسن طرقه أنه كان في النوم</w:t>
      </w:r>
      <w:r w:rsidR="000636C2">
        <w:rPr>
          <w:rtl/>
        </w:rPr>
        <w:t>)،</w:t>
      </w:r>
      <w:r>
        <w:rPr>
          <w:rtl/>
        </w:rPr>
        <w:t xml:space="preserve"> وقد روي من حديث أبي هريرة _ رضي الله عنه – قال</w:t>
      </w:r>
      <w:r w:rsidR="000636C2">
        <w:rPr>
          <w:rtl/>
        </w:rPr>
        <w:t>:</w:t>
      </w:r>
      <w:r>
        <w:rPr>
          <w:rtl/>
        </w:rPr>
        <w:t xml:space="preserve"> قال رسول الله صلى الله عليه وسلم</w:t>
      </w:r>
      <w:r w:rsidR="000636C2">
        <w:rPr>
          <w:rtl/>
        </w:rPr>
        <w:t>:</w:t>
      </w:r>
      <w:r>
        <w:rPr>
          <w:rtl/>
        </w:rPr>
        <w:t xml:space="preserve"> (</w:t>
      </w:r>
      <w:r w:rsidR="000636C2">
        <w:rPr>
          <w:rtl/>
        </w:rPr>
        <w:t>(</w:t>
      </w:r>
      <w:r>
        <w:rPr>
          <w:rtl/>
        </w:rPr>
        <w:t>أتاني آت في أحسن صورة</w:t>
      </w:r>
      <w:r w:rsidR="000636C2">
        <w:rPr>
          <w:rtl/>
        </w:rPr>
        <w:t>)</w:t>
      </w:r>
      <w:r>
        <w:rPr>
          <w:rtl/>
        </w:rPr>
        <w:t>)</w:t>
      </w:r>
      <w:r w:rsidR="000636C2">
        <w:rPr>
          <w:rtl/>
        </w:rPr>
        <w:t>،</w:t>
      </w:r>
      <w:r>
        <w:rPr>
          <w:rtl/>
        </w:rPr>
        <w:t xml:space="preserve"> فقال</w:t>
      </w:r>
      <w:r w:rsidR="000636C2">
        <w:rPr>
          <w:rtl/>
        </w:rPr>
        <w:t>:</w:t>
      </w:r>
      <w:r>
        <w:rPr>
          <w:rtl/>
        </w:rPr>
        <w:t xml:space="preserve"> فيم يختصم الملأ الأعلى</w:t>
      </w:r>
      <w:r w:rsidR="000636C2">
        <w:rPr>
          <w:rtl/>
        </w:rPr>
        <w:t>؟</w:t>
      </w:r>
      <w:r>
        <w:rPr>
          <w:rtl/>
        </w:rPr>
        <w:t xml:space="preserve"> فقلت</w:t>
      </w:r>
      <w:r w:rsidR="000636C2">
        <w:rPr>
          <w:rtl/>
        </w:rPr>
        <w:t>:</w:t>
      </w:r>
      <w:r>
        <w:rPr>
          <w:rtl/>
        </w:rPr>
        <w:t xml:space="preserve"> لا أدري</w:t>
      </w:r>
      <w:r w:rsidR="000636C2">
        <w:rPr>
          <w:rtl/>
        </w:rPr>
        <w:t>،</w:t>
      </w:r>
      <w:r>
        <w:rPr>
          <w:rtl/>
        </w:rPr>
        <w:t xml:space="preserve"> فوضع كفه بين كتفي</w:t>
      </w:r>
      <w:r w:rsidR="000636C2">
        <w:rPr>
          <w:rtl/>
        </w:rPr>
        <w:t>،</w:t>
      </w:r>
      <w:r>
        <w:rPr>
          <w:rtl/>
        </w:rPr>
        <w:t xml:space="preserve"> فوجدت بردها بين ثديي</w:t>
      </w:r>
      <w:r w:rsidR="000636C2">
        <w:rPr>
          <w:rtl/>
        </w:rPr>
        <w:t>،</w:t>
      </w:r>
      <w:r>
        <w:rPr>
          <w:rtl/>
        </w:rPr>
        <w:t xml:space="preserve"> فعرفت كل شيء يسألني عنه</w:t>
      </w:r>
      <w:r w:rsidR="000636C2">
        <w:rPr>
          <w:rtl/>
        </w:rPr>
        <w:t>)</w:t>
      </w:r>
      <w:r>
        <w:rPr>
          <w:rtl/>
        </w:rPr>
        <w:t>)</w:t>
      </w:r>
      <w:r w:rsidR="000636C2">
        <w:rPr>
          <w:rtl/>
        </w:rPr>
        <w:t>،</w:t>
      </w:r>
      <w:r>
        <w:rPr>
          <w:rtl/>
        </w:rPr>
        <w:t xml:space="preserve"> وروي من حديث ثوبان قال</w:t>
      </w:r>
      <w:r w:rsidR="000636C2">
        <w:rPr>
          <w:rtl/>
        </w:rPr>
        <w:t>:</w:t>
      </w:r>
      <w:r>
        <w:rPr>
          <w:rtl/>
        </w:rPr>
        <w:t xml:space="preserve"> خرج علينا رسول الله صلى الله عليه وسلم بعد صلاة الصبح فقال</w:t>
      </w:r>
      <w:r w:rsidR="000636C2">
        <w:rPr>
          <w:rtl/>
        </w:rPr>
        <w:t>:</w:t>
      </w:r>
      <w:r>
        <w:rPr>
          <w:rtl/>
        </w:rPr>
        <w:t xml:space="preserve"> (</w:t>
      </w:r>
      <w:r w:rsidR="000636C2">
        <w:rPr>
          <w:rtl/>
        </w:rPr>
        <w:t>(</w:t>
      </w:r>
      <w:r>
        <w:rPr>
          <w:rtl/>
        </w:rPr>
        <w:t>إن ربي أتاني الليلة في أحسن صورة فقال لي</w:t>
      </w:r>
      <w:r w:rsidR="000636C2">
        <w:rPr>
          <w:rtl/>
        </w:rPr>
        <w:t>:</w:t>
      </w:r>
      <w:r>
        <w:rPr>
          <w:rtl/>
        </w:rPr>
        <w:t xml:space="preserve"> يا محمد</w:t>
      </w:r>
      <w:r w:rsidR="000636C2">
        <w:rPr>
          <w:rtl/>
        </w:rPr>
        <w:t>:</w:t>
      </w:r>
      <w:r>
        <w:rPr>
          <w:rtl/>
        </w:rPr>
        <w:t xml:space="preserve"> فيم يختصم الملأ الأعلى</w:t>
      </w:r>
      <w:r w:rsidR="000636C2">
        <w:rPr>
          <w:rtl/>
        </w:rPr>
        <w:t>؟</w:t>
      </w:r>
      <w:r>
        <w:rPr>
          <w:rtl/>
        </w:rPr>
        <w:t xml:space="preserve"> قلت</w:t>
      </w:r>
      <w:r w:rsidR="000636C2">
        <w:rPr>
          <w:rtl/>
        </w:rPr>
        <w:t>:</w:t>
      </w:r>
      <w:r>
        <w:rPr>
          <w:rtl/>
        </w:rPr>
        <w:t xml:space="preserve"> لا أدري يا رب</w:t>
      </w:r>
      <w:r w:rsidR="000636C2">
        <w:rPr>
          <w:rtl/>
        </w:rPr>
        <w:t>،</w:t>
      </w:r>
      <w:r>
        <w:rPr>
          <w:rtl/>
        </w:rPr>
        <w:t xml:space="preserve"> فوضع كفه بين كتفي</w:t>
      </w:r>
      <w:r w:rsidR="000636C2">
        <w:rPr>
          <w:rtl/>
        </w:rPr>
        <w:t>،</w:t>
      </w:r>
      <w:r>
        <w:rPr>
          <w:rtl/>
        </w:rPr>
        <w:t xml:space="preserve"> حتي وجدت برد أنامله في صدري</w:t>
      </w:r>
      <w:r w:rsidR="000636C2">
        <w:rPr>
          <w:rtl/>
        </w:rPr>
        <w:t>،</w:t>
      </w:r>
      <w:r>
        <w:rPr>
          <w:rtl/>
        </w:rPr>
        <w:t xml:space="preserve"> فتجلي لي ما بين السماء والأرض</w:t>
      </w:r>
      <w:r w:rsidR="000636C2">
        <w:rPr>
          <w:rtl/>
        </w:rPr>
        <w:t>)</w:t>
      </w:r>
      <w:r>
        <w:rPr>
          <w:rtl/>
        </w:rPr>
        <w:t>)</w:t>
      </w:r>
      <w:r w:rsidR="000636C2">
        <w:rPr>
          <w:rtl/>
        </w:rPr>
        <w:t>،</w:t>
      </w:r>
      <w:r>
        <w:rPr>
          <w:rtl/>
        </w:rPr>
        <w:t xml:space="preserve"> وروي عن أبي عبيدة بن الجراح عن النبي صلي الله عليه وسلم أنه قال</w:t>
      </w:r>
      <w:r w:rsidR="000636C2">
        <w:rPr>
          <w:rtl/>
        </w:rPr>
        <w:t>:</w:t>
      </w:r>
      <w:r>
        <w:rPr>
          <w:rtl/>
        </w:rPr>
        <w:t xml:space="preserve"> (</w:t>
      </w:r>
      <w:r w:rsidR="000636C2">
        <w:rPr>
          <w:rtl/>
        </w:rPr>
        <w:t>(</w:t>
      </w:r>
      <w:r>
        <w:rPr>
          <w:rtl/>
        </w:rPr>
        <w:t>لما كنت ليلة أسر بي رأيت ربي في أحسن صورة</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وهذه أحاديث مختلفة</w:t>
      </w:r>
      <w:r w:rsidR="000636C2">
        <w:rPr>
          <w:rtl/>
        </w:rPr>
        <w:t>،</w:t>
      </w:r>
      <w:r>
        <w:rPr>
          <w:rtl/>
        </w:rPr>
        <w:t xml:space="preserve"> وليس فيها ما يثبت وفي بعضها أتاني آت وذلك يرفع الاشكال</w:t>
      </w:r>
      <w:r w:rsidR="000636C2">
        <w:rPr>
          <w:rtl/>
        </w:rPr>
        <w:t>،</w:t>
      </w:r>
      <w:r>
        <w:rPr>
          <w:rtl/>
        </w:rPr>
        <w:t xml:space="preserve"> وإن قلنا أنه رآه في اليقظة فالصورة إن قلنا ترجع إلى الله تعالى</w:t>
      </w:r>
      <w:r w:rsidR="000636C2">
        <w:rPr>
          <w:rtl/>
        </w:rPr>
        <w:t>،</w:t>
      </w:r>
      <w:r>
        <w:rPr>
          <w:rtl/>
        </w:rPr>
        <w:t xml:space="preserve"> فالمعني رأيته علي أحسن صفاته </w:t>
      </w:r>
      <w:r w:rsidR="000636C2">
        <w:rPr>
          <w:rtl/>
        </w:rPr>
        <w:t>(</w:t>
      </w:r>
      <w:r>
        <w:rPr>
          <w:rtl/>
        </w:rPr>
        <w:t>في الإقبال علي والرضي عني</w:t>
      </w:r>
      <w:r w:rsidR="000636C2">
        <w:rPr>
          <w:rtl/>
        </w:rPr>
        <w:t>،</w:t>
      </w:r>
      <w:r>
        <w:rPr>
          <w:rtl/>
        </w:rPr>
        <w:t xml:space="preserve"> وإن قلنا ترجع إلى رسول الله صلى الله عليه وسلم فالمعني رأيته أنا علي أحسن صورة . </w:t>
      </w:r>
      <w:r w:rsidR="000636C2">
        <w:rPr>
          <w:rtl/>
        </w:rPr>
        <w:t>(</w:t>
      </w:r>
      <w:r>
        <w:rPr>
          <w:rtl/>
        </w:rPr>
        <w:t>قلت</w:t>
      </w:r>
      <w:r w:rsidR="000636C2">
        <w:rPr>
          <w:rtl/>
        </w:rPr>
        <w:t>):</w:t>
      </w:r>
      <w:r>
        <w:rPr>
          <w:rtl/>
        </w:rPr>
        <w:t xml:space="preserve"> والعجب مع اضطراب هذه الأحاديث وكون مثلها لا يثبت به حكم في الوضوء</w:t>
      </w:r>
      <w:r w:rsidR="000636C2">
        <w:rPr>
          <w:rtl/>
        </w:rPr>
        <w:t>)،</w:t>
      </w:r>
      <w:r>
        <w:rPr>
          <w:rtl/>
        </w:rPr>
        <w:t xml:space="preserve"> وروي بن حامد من حديث بن عباس رضي الله عنهما عن النبي صلي الله عليه وسلم أنه قال</w:t>
      </w:r>
      <w:r w:rsidR="000636C2">
        <w:rPr>
          <w:rtl/>
        </w:rPr>
        <w:t>:</w:t>
      </w:r>
      <w:r>
        <w:rPr>
          <w:rtl/>
        </w:rPr>
        <w:t>" ولما أسري بي رأيت الرحمن تعالى في صورة شاب أمرد</w:t>
      </w:r>
      <w:r w:rsidR="000636C2">
        <w:rPr>
          <w:rtl/>
        </w:rPr>
        <w:t>،</w:t>
      </w:r>
      <w:r>
        <w:rPr>
          <w:rtl/>
        </w:rPr>
        <w:t xml:space="preserve"> له نور يتلألأ</w:t>
      </w:r>
      <w:r w:rsidR="000636C2">
        <w:rPr>
          <w:rtl/>
        </w:rPr>
        <w:t>،</w:t>
      </w:r>
      <w:r>
        <w:rPr>
          <w:rtl/>
        </w:rPr>
        <w:t xml:space="preserve"> وقد نهيت عن وصفه لكم، فسألت ربي أن يكرمني برؤيته</w:t>
      </w:r>
      <w:r w:rsidR="000636C2">
        <w:rPr>
          <w:rtl/>
        </w:rPr>
        <w:t>،</w:t>
      </w:r>
      <w:r>
        <w:rPr>
          <w:rtl/>
        </w:rPr>
        <w:t xml:space="preserve"> وإذا هو كأنه عروس حين كشف عن حجابه مستوي علي عرشه "</w:t>
      </w:r>
      <w:r w:rsidR="000636C2">
        <w:rPr>
          <w:rtl/>
        </w:rPr>
        <w:t>،</w:t>
      </w:r>
      <w:r>
        <w:rPr>
          <w:rtl/>
        </w:rPr>
        <w:t xml:space="preserve"> </w:t>
      </w:r>
      <w:r w:rsidR="000636C2">
        <w:rPr>
          <w:rtl/>
        </w:rPr>
        <w:t>(</w:t>
      </w:r>
      <w:r>
        <w:rPr>
          <w:rtl/>
        </w:rPr>
        <w:t>قلت</w:t>
      </w:r>
      <w:r w:rsidR="000636C2">
        <w:rPr>
          <w:rtl/>
        </w:rPr>
        <w:t>):</w:t>
      </w:r>
      <w:r>
        <w:rPr>
          <w:rtl/>
        </w:rPr>
        <w:t xml:space="preserve"> هذا الحديث كذب قبيح . ما روي قط في صحيح و لا في كذب مشهور . فأبعد الله من عمله فقد كنا نقول ذلك في المنام</w:t>
      </w:r>
      <w:r w:rsidR="000636C2">
        <w:rPr>
          <w:rtl/>
        </w:rPr>
        <w:t>،</w:t>
      </w:r>
      <w:r>
        <w:rPr>
          <w:rtl/>
        </w:rPr>
        <w:t xml:space="preserve"> فذكر هذا في ليلة الإسراء كافأهم الله وجزاهم النار</w:t>
      </w:r>
      <w:r w:rsidR="000636C2">
        <w:rPr>
          <w:rtl/>
        </w:rPr>
        <w:t>،</w:t>
      </w:r>
      <w:r>
        <w:rPr>
          <w:rtl/>
        </w:rPr>
        <w:t xml:space="preserve"> يشبهون الله بعروس</w:t>
      </w:r>
      <w:r w:rsidR="000636C2">
        <w:rPr>
          <w:rtl/>
        </w:rPr>
        <w:t>؟</w:t>
      </w:r>
      <w:r>
        <w:rPr>
          <w:rtl/>
        </w:rPr>
        <w:t xml:space="preserve"> ما قال هذا مسلم</w:t>
      </w:r>
      <w:r w:rsidR="000636C2">
        <w:rPr>
          <w:rtl/>
        </w:rPr>
        <w:t>؟،</w:t>
      </w:r>
      <w:r>
        <w:rPr>
          <w:rtl/>
        </w:rPr>
        <w:t xml:space="preserve"> وأما ذكر البرد في الحديث الماضي</w:t>
      </w:r>
      <w:r w:rsidR="000636C2">
        <w:rPr>
          <w:rtl/>
        </w:rPr>
        <w:t>،</w:t>
      </w:r>
      <w:r>
        <w:rPr>
          <w:rtl/>
        </w:rPr>
        <w:t xml:space="preserve"> فإن البرد عرض</w:t>
      </w:r>
      <w:r w:rsidR="000636C2">
        <w:rPr>
          <w:rtl/>
        </w:rPr>
        <w:t>،</w:t>
      </w:r>
      <w:r>
        <w:rPr>
          <w:rtl/>
        </w:rPr>
        <w:t xml:space="preserve"> لا يجوز أن ينسب إلى الله تعالى . وقد ذكر القاضي في كتاب الكفاية عن أحمد</w:t>
      </w:r>
      <w:r w:rsidR="000636C2">
        <w:rPr>
          <w:rtl/>
        </w:rPr>
        <w:t>:</w:t>
      </w:r>
      <w:r>
        <w:rPr>
          <w:rtl/>
        </w:rPr>
        <w:t xml:space="preserve"> رأيت ربي في أحسن صورة</w:t>
      </w:r>
      <w:r w:rsidR="000636C2">
        <w:rPr>
          <w:rtl/>
        </w:rPr>
        <w:t>،</w:t>
      </w:r>
      <w:r>
        <w:rPr>
          <w:rtl/>
        </w:rPr>
        <w:t xml:space="preserve"> أي في أحسن موضع</w:t>
      </w:r>
      <w:r w:rsidR="000636C2">
        <w:rPr>
          <w:rtl/>
        </w:rPr>
        <w:t>،</w:t>
      </w:r>
      <w:r>
        <w:rPr>
          <w:rtl/>
        </w:rPr>
        <w:t xml:space="preserve"> </w:t>
      </w:r>
    </w:p>
    <w:p w14:paraId="578CF541" w14:textId="58599312" w:rsidR="009C32A0" w:rsidRDefault="009C32A0" w:rsidP="000636C2">
      <w:pPr>
        <w:spacing w:after="240"/>
        <w:rPr>
          <w:rtl/>
        </w:rPr>
      </w:pPr>
      <w:r>
        <w:rPr>
          <w:bCs/>
          <w:rtl/>
        </w:rPr>
        <w:t>الحديث الثالث</w:t>
      </w:r>
      <w:r w:rsidR="000636C2">
        <w:rPr>
          <w:rtl/>
        </w:rPr>
        <w:t>:</w:t>
      </w:r>
      <w:r>
        <w:rPr>
          <w:rtl/>
        </w:rPr>
        <w:t xml:space="preserve"> روت أم طفيل امرأة أبي رضي الله عنهما</w:t>
      </w:r>
      <w:r w:rsidR="000636C2">
        <w:rPr>
          <w:rtl/>
        </w:rPr>
        <w:t>،</w:t>
      </w:r>
      <w:r>
        <w:rPr>
          <w:rtl/>
        </w:rPr>
        <w:t xml:space="preserve"> أنها سمعت رسول الله صلي الله عليه وسلم يذكر</w:t>
      </w:r>
      <w:r w:rsidR="000636C2">
        <w:rPr>
          <w:rtl/>
        </w:rPr>
        <w:t>،</w:t>
      </w:r>
      <w:r>
        <w:rPr>
          <w:rtl/>
        </w:rPr>
        <w:t xml:space="preserve"> أنه رأي ربه في المنام في أحسن صورة</w:t>
      </w:r>
      <w:r w:rsidR="000636C2">
        <w:rPr>
          <w:rtl/>
        </w:rPr>
        <w:t>،</w:t>
      </w:r>
      <w:r>
        <w:rPr>
          <w:rtl/>
        </w:rPr>
        <w:t xml:space="preserve"> شابا موقرا</w:t>
      </w:r>
      <w:r w:rsidR="000636C2">
        <w:rPr>
          <w:rtl/>
        </w:rPr>
        <w:t>،</w:t>
      </w:r>
      <w:r>
        <w:rPr>
          <w:rtl/>
        </w:rPr>
        <w:t xml:space="preserve"> رجلا في خضر عليه نعلان من ذهب</w:t>
      </w:r>
      <w:r w:rsidR="000636C2">
        <w:rPr>
          <w:rtl/>
        </w:rPr>
        <w:t>،</w:t>
      </w:r>
      <w:r>
        <w:rPr>
          <w:rtl/>
        </w:rPr>
        <w:t xml:space="preserve"> علي وجهه فراش من ذهب . </w:t>
      </w:r>
      <w:r w:rsidR="000636C2">
        <w:rPr>
          <w:rtl/>
        </w:rPr>
        <w:t>(</w:t>
      </w:r>
      <w:r>
        <w:rPr>
          <w:rtl/>
        </w:rPr>
        <w:t>قلت</w:t>
      </w:r>
      <w:r w:rsidR="000636C2">
        <w:rPr>
          <w:rtl/>
        </w:rPr>
        <w:t>):</w:t>
      </w:r>
      <w:r>
        <w:rPr>
          <w:rtl/>
        </w:rPr>
        <w:t xml:space="preserve"> هذا الحديث يرويه نعيم بن حماد بن معاوية قال ابن عدي</w:t>
      </w:r>
      <w:r w:rsidR="000636C2">
        <w:rPr>
          <w:rtl/>
        </w:rPr>
        <w:t>:</w:t>
      </w:r>
      <w:r>
        <w:rPr>
          <w:rtl/>
        </w:rPr>
        <w:t xml:space="preserve"> كان يضع الحديث . وقال يحي بن معين</w:t>
      </w:r>
      <w:r w:rsidR="000636C2">
        <w:rPr>
          <w:rtl/>
        </w:rPr>
        <w:t>:</w:t>
      </w:r>
      <w:r>
        <w:rPr>
          <w:rtl/>
        </w:rPr>
        <w:t xml:space="preserve"> ليس نعيم بشيء في الحديث</w:t>
      </w:r>
      <w:r w:rsidR="000636C2">
        <w:rPr>
          <w:rtl/>
        </w:rPr>
        <w:t>،</w:t>
      </w:r>
      <w:r>
        <w:rPr>
          <w:rtl/>
        </w:rPr>
        <w:t xml:space="preserve"> وفي إسناده مروان بن عثمان عن عمارة بن عامر</w:t>
      </w:r>
      <w:r w:rsidR="000636C2">
        <w:rPr>
          <w:rtl/>
        </w:rPr>
        <w:t>،</w:t>
      </w:r>
      <w:r>
        <w:rPr>
          <w:rtl/>
        </w:rPr>
        <w:t xml:space="preserve"> قال أبو عبد الرحمن النسائي</w:t>
      </w:r>
      <w:r w:rsidR="000636C2">
        <w:rPr>
          <w:rtl/>
        </w:rPr>
        <w:t>:</w:t>
      </w:r>
      <w:r>
        <w:rPr>
          <w:rtl/>
        </w:rPr>
        <w:t xml:space="preserve"> ومن مروان حتي يصدق الله عز وجل</w:t>
      </w:r>
      <w:r w:rsidR="000636C2">
        <w:rPr>
          <w:rtl/>
        </w:rPr>
        <w:t>؟</w:t>
      </w:r>
      <w:r>
        <w:rPr>
          <w:rtl/>
        </w:rPr>
        <w:t xml:space="preserve"> وقال مهني بن يحي</w:t>
      </w:r>
      <w:r w:rsidR="000636C2">
        <w:rPr>
          <w:rtl/>
        </w:rPr>
        <w:t>،</w:t>
      </w:r>
      <w:r>
        <w:rPr>
          <w:rtl/>
        </w:rPr>
        <w:t xml:space="preserve"> سألت أحمد عن هذا الحديث</w:t>
      </w:r>
      <w:r w:rsidR="000636C2">
        <w:rPr>
          <w:rtl/>
        </w:rPr>
        <w:t>،</w:t>
      </w:r>
      <w:r>
        <w:rPr>
          <w:rtl/>
        </w:rPr>
        <w:t xml:space="preserve"> فأعرض بوجهه وقال</w:t>
      </w:r>
      <w:r w:rsidR="000636C2">
        <w:rPr>
          <w:rtl/>
        </w:rPr>
        <w:t>:</w:t>
      </w:r>
      <w:r>
        <w:rPr>
          <w:rtl/>
        </w:rPr>
        <w:t xml:space="preserve"> هذا حديث منكر مجهول يعني مروان بن عثمان </w:t>
      </w:r>
      <w:r w:rsidR="000636C2">
        <w:rPr>
          <w:rtl/>
        </w:rPr>
        <w:t>(</w:t>
      </w:r>
      <w:r>
        <w:rPr>
          <w:rtl/>
        </w:rPr>
        <w:t>قال ولا يعرف أيضا عمارة</w:t>
      </w:r>
      <w:r w:rsidR="000636C2">
        <w:rPr>
          <w:rtl/>
        </w:rPr>
        <w:t>،</w:t>
      </w:r>
      <w:r>
        <w:rPr>
          <w:rtl/>
        </w:rPr>
        <w:t xml:space="preserve"> وقد روي عبيد الله بن أبي سلمة قال</w:t>
      </w:r>
      <w:r w:rsidR="000636C2">
        <w:rPr>
          <w:rtl/>
        </w:rPr>
        <w:t>:</w:t>
      </w:r>
      <w:r>
        <w:rPr>
          <w:rtl/>
        </w:rPr>
        <w:t xml:space="preserve"> بعث بن عمر إلى عبد الله بن عباس هل رأي محمد ربه فأرسل إليه أن نعم قد رأه فرد الرسول إليه كيف رآه</w:t>
      </w:r>
      <w:r w:rsidR="000636C2">
        <w:rPr>
          <w:rtl/>
        </w:rPr>
        <w:t>؟</w:t>
      </w:r>
      <w:r>
        <w:rPr>
          <w:rtl/>
        </w:rPr>
        <w:t xml:space="preserve"> قال</w:t>
      </w:r>
      <w:r w:rsidR="000636C2">
        <w:rPr>
          <w:rtl/>
        </w:rPr>
        <w:t>:</w:t>
      </w:r>
      <w:r>
        <w:rPr>
          <w:rtl/>
        </w:rPr>
        <w:t xml:space="preserve"> رآه علي كرسي من ذهب يحمله أربعة من الملائكة في صورة رجل</w:t>
      </w:r>
      <w:r w:rsidR="000636C2">
        <w:rPr>
          <w:rtl/>
        </w:rPr>
        <w:t>،</w:t>
      </w:r>
      <w:r>
        <w:rPr>
          <w:rtl/>
        </w:rPr>
        <w:t xml:space="preserve"> </w:t>
      </w:r>
      <w:r w:rsidR="000636C2">
        <w:rPr>
          <w:rtl/>
        </w:rPr>
        <w:t>(</w:t>
      </w:r>
      <w:r>
        <w:rPr>
          <w:rtl/>
        </w:rPr>
        <w:t>قلت</w:t>
      </w:r>
      <w:r w:rsidR="000636C2">
        <w:rPr>
          <w:rtl/>
        </w:rPr>
        <w:t>):</w:t>
      </w:r>
      <w:r>
        <w:rPr>
          <w:rtl/>
        </w:rPr>
        <w:t xml:space="preserve"> وهذا الحديث تفرد به إسحاق وكذبه جماعة من العلماء وفي رواية عن بن عباس " رآه كان قدميه علي خضرة دونه ستر من لؤلؤ "</w:t>
      </w:r>
      <w:r w:rsidR="000636C2">
        <w:rPr>
          <w:rtl/>
        </w:rPr>
        <w:t>،</w:t>
      </w:r>
      <w:r>
        <w:rPr>
          <w:rtl/>
        </w:rPr>
        <w:t xml:space="preserve"> </w:t>
      </w:r>
      <w:r w:rsidR="000636C2">
        <w:rPr>
          <w:rtl/>
        </w:rPr>
        <w:t>(</w:t>
      </w:r>
      <w:r>
        <w:rPr>
          <w:rtl/>
        </w:rPr>
        <w:t>قلت</w:t>
      </w:r>
      <w:r w:rsidR="000636C2">
        <w:rPr>
          <w:rtl/>
        </w:rPr>
        <w:t>):</w:t>
      </w:r>
      <w:r>
        <w:rPr>
          <w:rtl/>
        </w:rPr>
        <w:t xml:space="preserve"> وهذا يرويه أبو إبراهيم بن الحكم بن إبان وقد ضعفه يحي بن معين وغيره وفي رواية ابن عباس –رضي الله عنه – عن رسول الله –صلي الله عليه وسلم – قال</w:t>
      </w:r>
      <w:r w:rsidR="000636C2">
        <w:rPr>
          <w:rtl/>
        </w:rPr>
        <w:t>:</w:t>
      </w:r>
      <w:r>
        <w:rPr>
          <w:rtl/>
        </w:rPr>
        <w:t xml:space="preserve"> " رأيت ربي أجعد أمرد عليه حله خضراء ". </w:t>
      </w:r>
      <w:r w:rsidR="000636C2">
        <w:rPr>
          <w:rtl/>
        </w:rPr>
        <w:t>(</w:t>
      </w:r>
      <w:r>
        <w:rPr>
          <w:rtl/>
        </w:rPr>
        <w:t>قلت</w:t>
      </w:r>
      <w:r w:rsidR="000636C2">
        <w:rPr>
          <w:rtl/>
        </w:rPr>
        <w:t>):</w:t>
      </w:r>
      <w:r>
        <w:rPr>
          <w:rtl/>
        </w:rPr>
        <w:t xml:space="preserve"> وهذا يروي عن طريق حماد بن سلمة وكان بن أبي العوجاء لزنديق ربيب حماد</w:t>
      </w:r>
      <w:r w:rsidR="000636C2">
        <w:rPr>
          <w:rtl/>
        </w:rPr>
        <w:t>،</w:t>
      </w:r>
      <w:r>
        <w:rPr>
          <w:rtl/>
        </w:rPr>
        <w:t xml:space="preserve"> وكان يدس في كتبه هذه الأحاديث</w:t>
      </w:r>
      <w:r w:rsidR="000636C2">
        <w:rPr>
          <w:rtl/>
        </w:rPr>
        <w:t>،</w:t>
      </w:r>
      <w:r>
        <w:rPr>
          <w:rtl/>
        </w:rPr>
        <w:t xml:space="preserve"> علي أن هذا كان مناما والمنام خيال</w:t>
      </w:r>
      <w:r w:rsidR="000636C2">
        <w:rPr>
          <w:rtl/>
        </w:rPr>
        <w:t>،</w:t>
      </w:r>
      <w:r>
        <w:rPr>
          <w:rtl/>
        </w:rPr>
        <w:t xml:space="preserve"> ومثل هذه الأحاديث لا ثبوت لها</w:t>
      </w:r>
      <w:r w:rsidR="000636C2">
        <w:rPr>
          <w:rtl/>
        </w:rPr>
        <w:t>،</w:t>
      </w:r>
      <w:r>
        <w:rPr>
          <w:rtl/>
        </w:rPr>
        <w:t xml:space="preserve"> ولا يحسن أن يحتج بها في الوضوء</w:t>
      </w:r>
      <w:r w:rsidR="000636C2">
        <w:rPr>
          <w:rtl/>
        </w:rPr>
        <w:t>،</w:t>
      </w:r>
      <w:r>
        <w:rPr>
          <w:rtl/>
        </w:rPr>
        <w:t xml:space="preserve"> فقد أثبت بها القاضي صفات الله تعالى فقال</w:t>
      </w:r>
      <w:r w:rsidR="000636C2">
        <w:rPr>
          <w:rtl/>
        </w:rPr>
        <w:t>:</w:t>
      </w:r>
      <w:r>
        <w:rPr>
          <w:rtl/>
        </w:rPr>
        <w:t xml:space="preserve"> قوله</w:t>
      </w:r>
      <w:r w:rsidR="000636C2">
        <w:rPr>
          <w:rtl/>
        </w:rPr>
        <w:t>:</w:t>
      </w:r>
      <w:r>
        <w:rPr>
          <w:rtl/>
        </w:rPr>
        <w:t xml:space="preserve"> شاب</w:t>
      </w:r>
      <w:r w:rsidR="000636C2">
        <w:rPr>
          <w:rtl/>
        </w:rPr>
        <w:t>،</w:t>
      </w:r>
      <w:r>
        <w:rPr>
          <w:rtl/>
        </w:rPr>
        <w:t xml:space="preserve"> وأمرد</w:t>
      </w:r>
      <w:r w:rsidR="000636C2">
        <w:rPr>
          <w:rtl/>
        </w:rPr>
        <w:t>،</w:t>
      </w:r>
      <w:r>
        <w:rPr>
          <w:rtl/>
        </w:rPr>
        <w:t xml:space="preserve"> وجعد</w:t>
      </w:r>
      <w:r w:rsidR="000636C2">
        <w:rPr>
          <w:rtl/>
        </w:rPr>
        <w:t>،</w:t>
      </w:r>
      <w:r>
        <w:rPr>
          <w:rtl/>
        </w:rPr>
        <w:t xml:space="preserve"> وقطط</w:t>
      </w:r>
      <w:r w:rsidR="000636C2">
        <w:rPr>
          <w:rtl/>
        </w:rPr>
        <w:t>،</w:t>
      </w:r>
      <w:r>
        <w:rPr>
          <w:rtl/>
        </w:rPr>
        <w:t xml:space="preserve"> والفراش والنعلان والتاج . قال</w:t>
      </w:r>
      <w:r w:rsidR="000636C2">
        <w:rPr>
          <w:rtl/>
        </w:rPr>
        <w:t>:</w:t>
      </w:r>
      <w:r>
        <w:rPr>
          <w:rtl/>
        </w:rPr>
        <w:t xml:space="preserve"> ثبت ذلك تسمية لا يعقل معناها</w:t>
      </w:r>
      <w:r w:rsidR="000636C2">
        <w:rPr>
          <w:rtl/>
        </w:rPr>
        <w:t>،</w:t>
      </w:r>
      <w:r>
        <w:rPr>
          <w:rtl/>
        </w:rPr>
        <w:t xml:space="preserve"> </w:t>
      </w:r>
      <w:r w:rsidR="000636C2">
        <w:rPr>
          <w:rtl/>
        </w:rPr>
        <w:t>(</w:t>
      </w:r>
      <w:r>
        <w:rPr>
          <w:rtl/>
        </w:rPr>
        <w:t>وليس في إثباتها أكثر من تقريب المحدث من القديم وذلك جائز كما روي " يدني عبده إليه " يعني يقربه إلى ذاته</w:t>
      </w:r>
      <w:r w:rsidR="000636C2">
        <w:rPr>
          <w:rtl/>
        </w:rPr>
        <w:t>)،</w:t>
      </w:r>
      <w:r>
        <w:rPr>
          <w:rtl/>
        </w:rPr>
        <w:t xml:space="preserve"> ومن يثبت بالمنام</w:t>
      </w:r>
      <w:r w:rsidR="000636C2">
        <w:rPr>
          <w:rtl/>
        </w:rPr>
        <w:t>،</w:t>
      </w:r>
      <w:r>
        <w:rPr>
          <w:rtl/>
        </w:rPr>
        <w:t xml:space="preserve"> وبما لا يصح نقله صفات</w:t>
      </w:r>
      <w:r w:rsidR="000636C2">
        <w:rPr>
          <w:rtl/>
        </w:rPr>
        <w:t>،</w:t>
      </w:r>
      <w:r>
        <w:rPr>
          <w:rtl/>
        </w:rPr>
        <w:t xml:space="preserve"> وقد عرفنا معني الشاب والأمرد ما هو . ثم يقول ما هو كما نعلم</w:t>
      </w:r>
      <w:r w:rsidR="000636C2">
        <w:rPr>
          <w:rtl/>
        </w:rPr>
        <w:t>،</w:t>
      </w:r>
      <w:r>
        <w:rPr>
          <w:rtl/>
        </w:rPr>
        <w:t xml:space="preserve"> كمن يقول</w:t>
      </w:r>
      <w:r w:rsidR="000636C2">
        <w:rPr>
          <w:rtl/>
        </w:rPr>
        <w:t>:</w:t>
      </w:r>
      <w:r>
        <w:rPr>
          <w:rtl/>
        </w:rPr>
        <w:t xml:space="preserve"> قام فلان وما هو قائم</w:t>
      </w:r>
      <w:r w:rsidR="000636C2">
        <w:rPr>
          <w:rtl/>
        </w:rPr>
        <w:t>،</w:t>
      </w:r>
      <w:r>
        <w:rPr>
          <w:rtl/>
        </w:rPr>
        <w:t xml:space="preserve"> وقعد وليس بقاعد</w:t>
      </w:r>
      <w:r w:rsidR="000636C2">
        <w:rPr>
          <w:rtl/>
        </w:rPr>
        <w:t>،</w:t>
      </w:r>
      <w:r>
        <w:rPr>
          <w:rtl/>
        </w:rPr>
        <w:t xml:space="preserve"> قال بن عقيل هذا الحديث مقطوع فإنه كذب</w:t>
      </w:r>
      <w:r w:rsidR="000636C2">
        <w:rPr>
          <w:rtl/>
        </w:rPr>
        <w:t>،</w:t>
      </w:r>
      <w:r>
        <w:rPr>
          <w:rtl/>
        </w:rPr>
        <w:t xml:space="preserve"> ثم لا تنفع ثقة الرواة إذا كان المتن مستحيلا</w:t>
      </w:r>
      <w:r w:rsidR="000636C2">
        <w:rPr>
          <w:rtl/>
        </w:rPr>
        <w:t>،</w:t>
      </w:r>
      <w:r>
        <w:rPr>
          <w:rtl/>
        </w:rPr>
        <w:t xml:space="preserve"> وصار هذا كما لو أخبرنا جماعة من المعدلين</w:t>
      </w:r>
      <w:r w:rsidR="000636C2">
        <w:rPr>
          <w:rtl/>
        </w:rPr>
        <w:t>:</w:t>
      </w:r>
      <w:r>
        <w:rPr>
          <w:rtl/>
        </w:rPr>
        <w:t xml:space="preserve"> بأن جمل البزار دخل في خرم إبرة الخياط. فإنه لا حكم لصدق الرواة مع استحالة خبرهم</w:t>
      </w:r>
      <w:r w:rsidR="000636C2">
        <w:rPr>
          <w:rtl/>
        </w:rPr>
        <w:t>،</w:t>
      </w:r>
      <w:r>
        <w:rPr>
          <w:rtl/>
        </w:rPr>
        <w:t xml:space="preserve"> </w:t>
      </w:r>
    </w:p>
    <w:p w14:paraId="55A99B00" w14:textId="6AF1A715" w:rsidR="009C32A0" w:rsidRDefault="009C32A0" w:rsidP="000636C2">
      <w:pPr>
        <w:spacing w:after="240"/>
        <w:rPr>
          <w:rtl/>
        </w:rPr>
      </w:pPr>
      <w:r>
        <w:rPr>
          <w:bCs/>
          <w:rtl/>
        </w:rPr>
        <w:t>الحديث الرابع</w:t>
      </w:r>
      <w:r w:rsidR="000636C2">
        <w:rPr>
          <w:rtl/>
        </w:rPr>
        <w:t>:</w:t>
      </w:r>
      <w:r>
        <w:rPr>
          <w:rtl/>
        </w:rPr>
        <w:t xml:space="preserve"> روي عن أنس بن مالك رضي الله عنه قال</w:t>
      </w:r>
      <w:r w:rsidR="000636C2">
        <w:rPr>
          <w:rtl/>
        </w:rPr>
        <w:t>:</w:t>
      </w:r>
      <w:r>
        <w:rPr>
          <w:rtl/>
        </w:rPr>
        <w:t xml:space="preserve"> قال رسول الله صلي الله عليه وسلم " انتهيت ليلة أسري بي إلى السماء فرأيت ربي</w:t>
      </w:r>
      <w:r w:rsidR="000636C2">
        <w:rPr>
          <w:rtl/>
        </w:rPr>
        <w:t>،</w:t>
      </w:r>
      <w:r>
        <w:rPr>
          <w:rtl/>
        </w:rPr>
        <w:t xml:space="preserve"> فرأيت كل شيء من ربي</w:t>
      </w:r>
      <w:r w:rsidR="000636C2">
        <w:rPr>
          <w:rtl/>
        </w:rPr>
        <w:t>،</w:t>
      </w:r>
      <w:r>
        <w:rPr>
          <w:rtl/>
        </w:rPr>
        <w:t xml:space="preserve"> حتي لقد رأيت تاجا مخوصا من لؤلؤ "</w:t>
      </w:r>
      <w:r w:rsidR="000636C2">
        <w:rPr>
          <w:rtl/>
        </w:rPr>
        <w:t>،</w:t>
      </w:r>
      <w:r>
        <w:rPr>
          <w:rtl/>
        </w:rPr>
        <w:t xml:space="preserve"> </w:t>
      </w:r>
      <w:r w:rsidR="000636C2">
        <w:rPr>
          <w:rtl/>
        </w:rPr>
        <w:t>(</w:t>
      </w:r>
      <w:r>
        <w:rPr>
          <w:rtl/>
        </w:rPr>
        <w:t>قلت</w:t>
      </w:r>
      <w:r w:rsidR="000636C2">
        <w:rPr>
          <w:rtl/>
        </w:rPr>
        <w:t>):</w:t>
      </w:r>
      <w:r>
        <w:rPr>
          <w:rtl/>
        </w:rPr>
        <w:t xml:space="preserve"> هذا يرويه أبو القاسم بن ابراهيم . قال الأزهري</w:t>
      </w:r>
      <w:r w:rsidR="000636C2">
        <w:rPr>
          <w:rtl/>
        </w:rPr>
        <w:t>:</w:t>
      </w:r>
      <w:r>
        <w:rPr>
          <w:rtl/>
        </w:rPr>
        <w:t xml:space="preserve"> كنت اقعد مع ابن اليسع ساعة فيقول</w:t>
      </w:r>
      <w:r w:rsidR="000636C2">
        <w:rPr>
          <w:rtl/>
        </w:rPr>
        <w:t>:</w:t>
      </w:r>
      <w:r>
        <w:rPr>
          <w:rtl/>
        </w:rPr>
        <w:t xml:space="preserve"> " قد ختمت الختمة منذ قعدت وقاسم ليس بشيء " قال الدارقطني هو كذاب . قلت كافأ الله عن عمل مثل هذا الحديث .</w:t>
      </w:r>
    </w:p>
    <w:p w14:paraId="66AC276A" w14:textId="1B14DEA7" w:rsidR="009C32A0" w:rsidRDefault="009C32A0" w:rsidP="000636C2">
      <w:pPr>
        <w:spacing w:after="240"/>
        <w:rPr>
          <w:rtl/>
        </w:rPr>
      </w:pPr>
      <w:r>
        <w:rPr>
          <w:bCs/>
          <w:rtl/>
        </w:rPr>
        <w:t>الحديث الخامس</w:t>
      </w:r>
      <w:r w:rsidR="000636C2">
        <w:rPr>
          <w:bCs/>
          <w:rtl/>
        </w:rPr>
        <w:t>:</w:t>
      </w:r>
      <w:r>
        <w:rPr>
          <w:bCs/>
          <w:rtl/>
        </w:rPr>
        <w:t xml:space="preserve"> </w:t>
      </w:r>
      <w:r>
        <w:rPr>
          <w:rtl/>
        </w:rPr>
        <w:t>روي البخاري ومسلم في الصحيحين من حديث أبي هريرة رضي الله تعالى عنه عن النبي – صلي الله عليه وسلم- أنه قال</w:t>
      </w:r>
      <w:r w:rsidR="000636C2">
        <w:rPr>
          <w:rtl/>
        </w:rPr>
        <w:t>:</w:t>
      </w:r>
      <w:r>
        <w:rPr>
          <w:rtl/>
        </w:rPr>
        <w:t xml:space="preserve"> (</w:t>
      </w:r>
      <w:r w:rsidR="000636C2">
        <w:rPr>
          <w:rtl/>
        </w:rPr>
        <w:t>(</w:t>
      </w:r>
      <w:r>
        <w:rPr>
          <w:rtl/>
        </w:rPr>
        <w:t>يجمع الله الناس فيقول</w:t>
      </w:r>
      <w:r w:rsidR="000636C2">
        <w:rPr>
          <w:rtl/>
        </w:rPr>
        <w:t>:</w:t>
      </w:r>
      <w:r>
        <w:rPr>
          <w:rtl/>
        </w:rPr>
        <w:t xml:space="preserve"> من كان يعبد شيئا فليتبعه</w:t>
      </w:r>
      <w:r w:rsidR="000636C2">
        <w:rPr>
          <w:rtl/>
        </w:rPr>
        <w:t>،</w:t>
      </w:r>
      <w:r>
        <w:rPr>
          <w:rtl/>
        </w:rPr>
        <w:t xml:space="preserve"> فيتبعون ما كانوا يعبدون</w:t>
      </w:r>
      <w:r w:rsidR="000636C2">
        <w:rPr>
          <w:rtl/>
        </w:rPr>
        <w:t>،</w:t>
      </w:r>
      <w:r>
        <w:rPr>
          <w:rtl/>
        </w:rPr>
        <w:t xml:space="preserve"> وتبقي هذه الأمة فيها منافقون</w:t>
      </w:r>
      <w:r w:rsidR="000636C2">
        <w:rPr>
          <w:rtl/>
        </w:rPr>
        <w:t>،</w:t>
      </w:r>
      <w:r>
        <w:rPr>
          <w:rtl/>
        </w:rPr>
        <w:t xml:space="preserve"> فيأتهم الله عز وجل في غير الصورة التي كانوا يعرفون فيقول</w:t>
      </w:r>
      <w:r w:rsidR="000636C2">
        <w:rPr>
          <w:rtl/>
        </w:rPr>
        <w:t>:</w:t>
      </w:r>
      <w:r>
        <w:rPr>
          <w:rtl/>
        </w:rPr>
        <w:t xml:space="preserve"> أنا ربكم . فيقولون نعوذ بالله منك هذا مكاننا حتي يأتينا ربنا . فإذا جاء ربنا عرفناه فيأتيهم في الصورة التي يعرفون</w:t>
      </w:r>
      <w:r w:rsidR="000636C2">
        <w:rPr>
          <w:rtl/>
        </w:rPr>
        <w:t>،</w:t>
      </w:r>
      <w:r>
        <w:rPr>
          <w:rtl/>
        </w:rPr>
        <w:t xml:space="preserve"> فيقول</w:t>
      </w:r>
      <w:r w:rsidR="000636C2">
        <w:rPr>
          <w:rtl/>
        </w:rPr>
        <w:t>:</w:t>
      </w:r>
      <w:r>
        <w:rPr>
          <w:rtl/>
        </w:rPr>
        <w:t xml:space="preserve"> أنا ربكم . فيقولون</w:t>
      </w:r>
      <w:r w:rsidR="000636C2">
        <w:rPr>
          <w:rtl/>
        </w:rPr>
        <w:t>:</w:t>
      </w:r>
      <w:r>
        <w:rPr>
          <w:rtl/>
        </w:rPr>
        <w:t xml:space="preserve"> أنت ربنا</w:t>
      </w:r>
      <w:r w:rsidR="000636C2">
        <w:rPr>
          <w:rtl/>
        </w:rPr>
        <w:t>؟)</w:t>
      </w:r>
      <w:r>
        <w:rPr>
          <w:rtl/>
        </w:rPr>
        <w:t>)</w:t>
      </w:r>
      <w:r w:rsidR="000636C2">
        <w:rPr>
          <w:rtl/>
        </w:rPr>
        <w:t>،</w:t>
      </w:r>
      <w:r>
        <w:rPr>
          <w:rtl/>
        </w:rPr>
        <w:t xml:space="preserve"> وفي الصحيحين من حديث بن سعيد عن النبي – صلي الله عليه وسلم – أنه قال</w:t>
      </w:r>
      <w:r w:rsidR="000636C2">
        <w:rPr>
          <w:rtl/>
        </w:rPr>
        <w:t>:</w:t>
      </w:r>
      <w:r>
        <w:rPr>
          <w:rtl/>
        </w:rPr>
        <w:t xml:space="preserve"> (</w:t>
      </w:r>
      <w:r w:rsidR="000636C2">
        <w:rPr>
          <w:rtl/>
        </w:rPr>
        <w:t>(</w:t>
      </w:r>
      <w:r>
        <w:rPr>
          <w:rtl/>
        </w:rPr>
        <w:t>فيأتيهم الجبار في غير صورة رأوه فيها أول مرة</w:t>
      </w:r>
      <w:r w:rsidR="000636C2">
        <w:rPr>
          <w:rtl/>
        </w:rPr>
        <w:t>،</w:t>
      </w:r>
      <w:r>
        <w:rPr>
          <w:rtl/>
        </w:rPr>
        <w:t xml:space="preserve"> فيقول أنا ربكم</w:t>
      </w:r>
      <w:r w:rsidR="000636C2">
        <w:rPr>
          <w:rtl/>
        </w:rPr>
        <w:t>،</w:t>
      </w:r>
      <w:r>
        <w:rPr>
          <w:rtl/>
        </w:rPr>
        <w:t xml:space="preserve"> فلا يكلمه إلا الأنبياء . فيقال</w:t>
      </w:r>
      <w:r w:rsidR="000636C2">
        <w:rPr>
          <w:rtl/>
        </w:rPr>
        <w:t>:</w:t>
      </w:r>
      <w:r>
        <w:rPr>
          <w:rtl/>
        </w:rPr>
        <w:t xml:space="preserve"> هل بينكم وبينه آية تعرفونها</w:t>
      </w:r>
      <w:r w:rsidR="000636C2">
        <w:rPr>
          <w:rtl/>
        </w:rPr>
        <w:t>؟</w:t>
      </w:r>
      <w:r>
        <w:rPr>
          <w:rtl/>
        </w:rPr>
        <w:t xml:space="preserve"> فيقول</w:t>
      </w:r>
      <w:r w:rsidR="000636C2">
        <w:rPr>
          <w:rtl/>
        </w:rPr>
        <w:t>:</w:t>
      </w:r>
      <w:r>
        <w:rPr>
          <w:rtl/>
        </w:rPr>
        <w:t xml:space="preserve"> الساق . فيكشف عن ساقه فيسجد له كل مؤمن</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اعلم أنه يجب علي كل مسلم أن يعتقد أن الله سبحانه وتعالى</w:t>
      </w:r>
      <w:r w:rsidR="000636C2">
        <w:rPr>
          <w:rtl/>
        </w:rPr>
        <w:t>،</w:t>
      </w:r>
      <w:r>
        <w:rPr>
          <w:rtl/>
        </w:rPr>
        <w:t xml:space="preserve"> لا تجوز عليه الصورة التي هي هيئة وتأليف</w:t>
      </w:r>
      <w:r w:rsidR="000636C2">
        <w:rPr>
          <w:rtl/>
        </w:rPr>
        <w:t>،</w:t>
      </w:r>
      <w:r>
        <w:rPr>
          <w:rtl/>
        </w:rPr>
        <w:t xml:space="preserve"> قال أبو سليمان الخطابي</w:t>
      </w:r>
      <w:r w:rsidR="000636C2">
        <w:rPr>
          <w:rtl/>
        </w:rPr>
        <w:t>:</w:t>
      </w:r>
      <w:r>
        <w:rPr>
          <w:rtl/>
        </w:rPr>
        <w:t xml:space="preserve"> معني" فيأتيهم الله " أي يكشف الحجاب لهم حتي يرونه عيانا كما كانوا عرفوه في الدنيا استدلالا. </w:t>
      </w:r>
      <w:r w:rsidR="000636C2">
        <w:rPr>
          <w:rtl/>
        </w:rPr>
        <w:t>(</w:t>
      </w:r>
      <w:r>
        <w:rPr>
          <w:rtl/>
        </w:rPr>
        <w:t xml:space="preserve">وأما الصورة فتتأول علي وجهين </w:t>
      </w:r>
      <w:r w:rsidR="000636C2">
        <w:rPr>
          <w:rtl/>
        </w:rPr>
        <w:t>(</w:t>
      </w:r>
      <w:r>
        <w:rPr>
          <w:rtl/>
        </w:rPr>
        <w:t>أحدهما</w:t>
      </w:r>
      <w:r w:rsidR="000636C2">
        <w:rPr>
          <w:rtl/>
        </w:rPr>
        <w:t xml:space="preserve">): </w:t>
      </w:r>
      <w:r>
        <w:rPr>
          <w:rtl/>
        </w:rPr>
        <w:t>أنها بمعني الصفة</w:t>
      </w:r>
      <w:r w:rsidR="000636C2">
        <w:rPr>
          <w:rtl/>
        </w:rPr>
        <w:t>،</w:t>
      </w:r>
      <w:r>
        <w:rPr>
          <w:rtl/>
        </w:rPr>
        <w:t>يقال صورة الأمر كذا</w:t>
      </w:r>
      <w:r w:rsidR="000636C2">
        <w:rPr>
          <w:rtl/>
        </w:rPr>
        <w:t>،</w:t>
      </w:r>
      <w:r>
        <w:rPr>
          <w:rtl/>
        </w:rPr>
        <w:t xml:space="preserve"> و </w:t>
      </w:r>
      <w:r w:rsidR="000636C2">
        <w:rPr>
          <w:rtl/>
        </w:rPr>
        <w:t>(</w:t>
      </w:r>
      <w:r>
        <w:rPr>
          <w:rtl/>
        </w:rPr>
        <w:t>الثاني</w:t>
      </w:r>
      <w:r w:rsidR="000636C2">
        <w:rPr>
          <w:rtl/>
        </w:rPr>
        <w:t>):</w:t>
      </w:r>
      <w:r>
        <w:rPr>
          <w:rtl/>
        </w:rPr>
        <w:t xml:space="preserve"> أن المذكورات من المعبودات في أول الحديث صور يخرج الكلام علي نوعين من المطابقة</w:t>
      </w:r>
      <w:r w:rsidR="000636C2">
        <w:rPr>
          <w:rtl/>
        </w:rPr>
        <w:t>،</w:t>
      </w:r>
      <w:r>
        <w:rPr>
          <w:rtl/>
        </w:rPr>
        <w:t xml:space="preserve"> وقوله" في غير صورة رأوه فيها " دليل علي أن المراد بالصفة الصورة لأنهم ما رأوه قبلها فعلمت أن المراد الصفة التي عرفوه فيها</w:t>
      </w:r>
      <w:r w:rsidR="000636C2">
        <w:rPr>
          <w:rtl/>
        </w:rPr>
        <w:t>،</w:t>
      </w:r>
      <w:r>
        <w:rPr>
          <w:rtl/>
        </w:rPr>
        <w:t xml:space="preserve"> وقال غيره من العلماء</w:t>
      </w:r>
      <w:r w:rsidR="000636C2">
        <w:rPr>
          <w:rtl/>
        </w:rPr>
        <w:t>:</w:t>
      </w:r>
      <w:r>
        <w:rPr>
          <w:rtl/>
        </w:rPr>
        <w:t xml:space="preserve"> يأتيهم بأهوال القيامة</w:t>
      </w:r>
      <w:r w:rsidR="000636C2">
        <w:rPr>
          <w:rtl/>
        </w:rPr>
        <w:t>،</w:t>
      </w:r>
      <w:r>
        <w:rPr>
          <w:rtl/>
        </w:rPr>
        <w:t xml:space="preserve"> وصور الملائكة</w:t>
      </w:r>
      <w:r w:rsidR="000636C2">
        <w:rPr>
          <w:rtl/>
        </w:rPr>
        <w:t>،</w:t>
      </w:r>
      <w:r>
        <w:rPr>
          <w:rtl/>
        </w:rPr>
        <w:t xml:space="preserve"> ما لم يعهدوا مثله في الدنيا</w:t>
      </w:r>
      <w:r w:rsidR="000636C2">
        <w:rPr>
          <w:rtl/>
        </w:rPr>
        <w:t>،</w:t>
      </w:r>
      <w:r>
        <w:rPr>
          <w:rtl/>
        </w:rPr>
        <w:t xml:space="preserve"> فيستعيذون من تلك الحال ويقولون</w:t>
      </w:r>
      <w:r w:rsidR="000636C2">
        <w:rPr>
          <w:rtl/>
        </w:rPr>
        <w:t>:</w:t>
      </w:r>
      <w:r>
        <w:rPr>
          <w:rtl/>
        </w:rPr>
        <w:t xml:space="preserve"> إذا جاء ربنا عرفناه</w:t>
      </w:r>
      <w:r w:rsidR="000636C2">
        <w:rPr>
          <w:rtl/>
        </w:rPr>
        <w:t>،</w:t>
      </w:r>
      <w:r>
        <w:rPr>
          <w:rtl/>
        </w:rPr>
        <w:t xml:space="preserve"> أي أتي بما يعرفونه من لطفه</w:t>
      </w:r>
      <w:r w:rsidR="000636C2">
        <w:rPr>
          <w:rtl/>
        </w:rPr>
        <w:t>،</w:t>
      </w:r>
      <w:r>
        <w:rPr>
          <w:rtl/>
        </w:rPr>
        <w:t xml:space="preserve"> وهي الصورة التي يعرفون فيكشف عن ساق</w:t>
      </w:r>
      <w:r w:rsidR="000636C2">
        <w:rPr>
          <w:rtl/>
        </w:rPr>
        <w:t>:</w:t>
      </w:r>
      <w:r>
        <w:rPr>
          <w:rtl/>
        </w:rPr>
        <w:t xml:space="preserve"> أي عن شدة كأنه يرفع تلك الشدائد المهولة</w:t>
      </w:r>
      <w:r w:rsidR="000636C2">
        <w:rPr>
          <w:rtl/>
        </w:rPr>
        <w:t>،</w:t>
      </w:r>
      <w:r>
        <w:rPr>
          <w:rtl/>
        </w:rPr>
        <w:t xml:space="preserve"> فيسجدون شكرا</w:t>
      </w:r>
      <w:r w:rsidR="000636C2">
        <w:rPr>
          <w:rtl/>
        </w:rPr>
        <w:t>،</w:t>
      </w:r>
      <w:r>
        <w:rPr>
          <w:rtl/>
        </w:rPr>
        <w:t xml:space="preserve"> وقال بعضهم</w:t>
      </w:r>
      <w:r w:rsidR="000636C2">
        <w:rPr>
          <w:rtl/>
        </w:rPr>
        <w:t>:</w:t>
      </w:r>
      <w:r>
        <w:rPr>
          <w:rtl/>
        </w:rPr>
        <w:t xml:space="preserve"> صورة يمتحن إيمانهم بها</w:t>
      </w:r>
      <w:r w:rsidR="000636C2">
        <w:rPr>
          <w:rtl/>
        </w:rPr>
        <w:t>،</w:t>
      </w:r>
      <w:r>
        <w:rPr>
          <w:rtl/>
        </w:rPr>
        <w:t xml:space="preserve"> كما يبعث الدجال فيقولون</w:t>
      </w:r>
      <w:r w:rsidR="000636C2">
        <w:rPr>
          <w:rtl/>
        </w:rPr>
        <w:t>:</w:t>
      </w:r>
      <w:r>
        <w:rPr>
          <w:rtl/>
        </w:rPr>
        <w:t xml:space="preserve"> نعوذ بالله منك</w:t>
      </w:r>
      <w:r w:rsidR="000636C2">
        <w:rPr>
          <w:rtl/>
        </w:rPr>
        <w:t>،</w:t>
      </w:r>
      <w:r>
        <w:rPr>
          <w:rtl/>
        </w:rPr>
        <w:t xml:space="preserve"> وفي حديث أبي موسي عن رسول الله صلي الله عليه وسلم</w:t>
      </w:r>
      <w:r w:rsidR="000636C2">
        <w:rPr>
          <w:rtl/>
        </w:rPr>
        <w:t>:</w:t>
      </w:r>
      <w:r>
        <w:rPr>
          <w:rtl/>
        </w:rPr>
        <w:t xml:space="preserve"> (</w:t>
      </w:r>
      <w:r w:rsidR="000636C2">
        <w:rPr>
          <w:rtl/>
        </w:rPr>
        <w:t>(</w:t>
      </w:r>
      <w:r>
        <w:rPr>
          <w:rtl/>
        </w:rPr>
        <w:t>أن الناس يقولون</w:t>
      </w:r>
      <w:r w:rsidR="000636C2">
        <w:rPr>
          <w:rtl/>
        </w:rPr>
        <w:t>:</w:t>
      </w:r>
      <w:r>
        <w:rPr>
          <w:rtl/>
        </w:rPr>
        <w:t xml:space="preserve"> إن لنا ربا كنا نعبده في الدنيا فيقال</w:t>
      </w:r>
      <w:r w:rsidR="000636C2">
        <w:rPr>
          <w:rtl/>
        </w:rPr>
        <w:t>:</w:t>
      </w:r>
      <w:r>
        <w:rPr>
          <w:rtl/>
        </w:rPr>
        <w:t xml:space="preserve"> وتعرفونه إذا رأيتموه</w:t>
      </w:r>
      <w:r w:rsidR="000636C2">
        <w:rPr>
          <w:rtl/>
        </w:rPr>
        <w:t>؟</w:t>
      </w:r>
      <w:r>
        <w:rPr>
          <w:rtl/>
        </w:rPr>
        <w:t xml:space="preserve"> فيقولون</w:t>
      </w:r>
      <w:r w:rsidR="000636C2">
        <w:rPr>
          <w:rtl/>
        </w:rPr>
        <w:t>:</w:t>
      </w:r>
      <w:r>
        <w:rPr>
          <w:rtl/>
        </w:rPr>
        <w:t xml:space="preserve"> نعم</w:t>
      </w:r>
      <w:r w:rsidR="000636C2">
        <w:rPr>
          <w:rtl/>
        </w:rPr>
        <w:t>،</w:t>
      </w:r>
      <w:r>
        <w:rPr>
          <w:rtl/>
        </w:rPr>
        <w:t xml:space="preserve"> فيقال</w:t>
      </w:r>
      <w:r w:rsidR="000636C2">
        <w:rPr>
          <w:rtl/>
        </w:rPr>
        <w:t>:</w:t>
      </w:r>
      <w:r>
        <w:rPr>
          <w:rtl/>
        </w:rPr>
        <w:t xml:space="preserve"> كيف تعرفونه ولم تروه</w:t>
      </w:r>
      <w:r w:rsidR="000636C2">
        <w:rPr>
          <w:rtl/>
        </w:rPr>
        <w:t>؟</w:t>
      </w:r>
      <w:r>
        <w:rPr>
          <w:rtl/>
        </w:rPr>
        <w:t xml:space="preserve"> فيقولون إنه لا شيبه</w:t>
      </w:r>
      <w:r w:rsidR="000636C2">
        <w:rPr>
          <w:rtl/>
        </w:rPr>
        <w:t>،</w:t>
      </w:r>
      <w:r>
        <w:rPr>
          <w:rtl/>
        </w:rPr>
        <w:t xml:space="preserve"> فيكشف الحجاب فينظرون إلى الله عز وجل فيخرون سجدا</w:t>
      </w:r>
      <w:r w:rsidR="000636C2">
        <w:rPr>
          <w:rtl/>
        </w:rPr>
        <w:t>،</w:t>
      </w:r>
      <w:r>
        <w:rPr>
          <w:rtl/>
        </w:rPr>
        <w:t xml:space="preserve"> قال ابن</w:t>
      </w:r>
      <w:r w:rsidR="000636C2">
        <w:rPr>
          <w:rtl/>
        </w:rPr>
        <w:t>:</w:t>
      </w:r>
      <w:r>
        <w:rPr>
          <w:rtl/>
        </w:rPr>
        <w:t xml:space="preserve"> الصورة</w:t>
      </w:r>
      <w:r w:rsidR="000636C2">
        <w:rPr>
          <w:rtl/>
        </w:rPr>
        <w:t xml:space="preserve"> </w:t>
      </w:r>
      <w:r>
        <w:rPr>
          <w:rtl/>
        </w:rPr>
        <w:t>علي الحقيقة تقع علي الأشكال والتخاليط</w:t>
      </w:r>
      <w:r w:rsidR="000636C2">
        <w:rPr>
          <w:rtl/>
        </w:rPr>
        <w:t>،</w:t>
      </w:r>
      <w:r>
        <w:rPr>
          <w:rtl/>
        </w:rPr>
        <w:t xml:space="preserve"> وذلك من صفات الأجسام</w:t>
      </w:r>
      <w:r w:rsidR="000636C2">
        <w:rPr>
          <w:rtl/>
        </w:rPr>
        <w:t>،</w:t>
      </w:r>
      <w:r>
        <w:rPr>
          <w:rtl/>
        </w:rPr>
        <w:t xml:space="preserve"> والذي صرفنا عن كونه جسما . الأدلة القطعية كقوله</w:t>
      </w:r>
      <w:r w:rsidR="000636C2">
        <w:rPr>
          <w:rtl/>
        </w:rPr>
        <w:t>:</w:t>
      </w:r>
      <w:r>
        <w:rPr>
          <w:rtl/>
        </w:rPr>
        <w:t xml:space="preserve"> </w:t>
      </w:r>
      <w:r w:rsidR="000636C2">
        <w:rPr>
          <w:rtl/>
        </w:rPr>
        <w:t>{</w:t>
      </w:r>
      <w:r>
        <w:rPr>
          <w:rtl/>
        </w:rPr>
        <w:t>ليس كمثله شيء</w:t>
      </w:r>
      <w:r w:rsidR="000636C2">
        <w:rPr>
          <w:rtl/>
        </w:rPr>
        <w:t>}،</w:t>
      </w:r>
      <w:r>
        <w:rPr>
          <w:rtl/>
        </w:rPr>
        <w:t xml:space="preserve"> ومن الأدلة العقلية</w:t>
      </w:r>
      <w:r w:rsidR="000636C2">
        <w:rPr>
          <w:rtl/>
        </w:rPr>
        <w:t>:</w:t>
      </w:r>
      <w:r>
        <w:rPr>
          <w:rtl/>
        </w:rPr>
        <w:t xml:space="preserve"> أنه لو كان جسما لكان صورة وعرضا</w:t>
      </w:r>
      <w:r w:rsidR="000636C2">
        <w:rPr>
          <w:rtl/>
        </w:rPr>
        <w:t>،</w:t>
      </w:r>
      <w:r>
        <w:rPr>
          <w:rtl/>
        </w:rPr>
        <w:t xml:space="preserve"> ولو كان حاملا الأعراض</w:t>
      </w:r>
      <w:r w:rsidR="000636C2">
        <w:rPr>
          <w:rtl/>
        </w:rPr>
        <w:t>،</w:t>
      </w:r>
      <w:r>
        <w:rPr>
          <w:rtl/>
        </w:rPr>
        <w:t xml:space="preserve"> جاز عليه ما يجوز علي الأجسام</w:t>
      </w:r>
      <w:r w:rsidR="000636C2">
        <w:rPr>
          <w:rtl/>
        </w:rPr>
        <w:t>،</w:t>
      </w:r>
      <w:r>
        <w:rPr>
          <w:rtl/>
        </w:rPr>
        <w:t xml:space="preserve"> وافتقر إلى صانع</w:t>
      </w:r>
      <w:r w:rsidR="000636C2">
        <w:rPr>
          <w:rtl/>
        </w:rPr>
        <w:t>،</w:t>
      </w:r>
      <w:r>
        <w:rPr>
          <w:rtl/>
        </w:rPr>
        <w:t xml:space="preserve"> ولو كان جسما مع قدمه</w:t>
      </w:r>
      <w:r w:rsidR="000636C2">
        <w:rPr>
          <w:rtl/>
        </w:rPr>
        <w:t>،</w:t>
      </w:r>
      <w:r>
        <w:rPr>
          <w:rtl/>
        </w:rPr>
        <w:t xml:space="preserve"> جاز قدم أحدنا</w:t>
      </w:r>
      <w:r w:rsidR="000636C2">
        <w:rPr>
          <w:rtl/>
        </w:rPr>
        <w:t>،</w:t>
      </w:r>
      <w:r>
        <w:rPr>
          <w:rtl/>
        </w:rPr>
        <w:t xml:space="preserve"> فأحوجتنا الأدلة إلى تأويل صورة تليق أضافتها إليه</w:t>
      </w:r>
      <w:r w:rsidR="000636C2">
        <w:rPr>
          <w:rtl/>
        </w:rPr>
        <w:t>،</w:t>
      </w:r>
      <w:r>
        <w:rPr>
          <w:rtl/>
        </w:rPr>
        <w:t xml:space="preserve"> وما ذاك إلا الحال الذي يوقع عليه أهل اللغة اسم صورة فيقولون كيف صورتك مع فلان</w:t>
      </w:r>
      <w:r w:rsidR="000636C2">
        <w:rPr>
          <w:rtl/>
        </w:rPr>
        <w:t>؟</w:t>
      </w:r>
      <w:r>
        <w:rPr>
          <w:rtl/>
        </w:rPr>
        <w:t xml:space="preserve"> وفلان .... علي صورة من الفقر . والحال التي أنكروها العنف</w:t>
      </w:r>
      <w:r w:rsidR="000636C2">
        <w:rPr>
          <w:rtl/>
        </w:rPr>
        <w:t>،</w:t>
      </w:r>
      <w:r>
        <w:rPr>
          <w:rtl/>
        </w:rPr>
        <w:t xml:space="preserve"> والتي يعرفونها اللطف . فيكشف عن الشدة</w:t>
      </w:r>
      <w:r w:rsidR="000636C2">
        <w:rPr>
          <w:rtl/>
        </w:rPr>
        <w:t>،</w:t>
      </w:r>
      <w:r>
        <w:rPr>
          <w:rtl/>
        </w:rPr>
        <w:t xml:space="preserve"> والتغيرات أليق بفعله</w:t>
      </w:r>
      <w:r w:rsidR="000636C2">
        <w:rPr>
          <w:rtl/>
        </w:rPr>
        <w:t>،</w:t>
      </w:r>
      <w:r>
        <w:rPr>
          <w:rtl/>
        </w:rPr>
        <w:t xml:space="preserve"> فإما ذاته</w:t>
      </w:r>
      <w:r w:rsidR="000636C2">
        <w:rPr>
          <w:rtl/>
        </w:rPr>
        <w:t>،</w:t>
      </w:r>
      <w:r>
        <w:rPr>
          <w:rtl/>
        </w:rPr>
        <w:t xml:space="preserve"> فتعالى عن التغيير . نعوذ بالله أن يحمل الحديث علي ما قالته المجسمة إن الصورة ترجع إلى ذاته</w:t>
      </w:r>
      <w:r w:rsidR="000636C2">
        <w:rPr>
          <w:rtl/>
        </w:rPr>
        <w:t>،</w:t>
      </w:r>
      <w:r>
        <w:rPr>
          <w:rtl/>
        </w:rPr>
        <w:t xml:space="preserve"> فإن في ذلك تجويز التغيير علي صفاته . فخرجوه في صورة إن كانت حقيقية</w:t>
      </w:r>
      <w:r w:rsidR="000636C2">
        <w:rPr>
          <w:rtl/>
        </w:rPr>
        <w:t>،</w:t>
      </w:r>
      <w:r>
        <w:rPr>
          <w:rtl/>
        </w:rPr>
        <w:t xml:space="preserve"> فذلك استحالة . وإن كانت تخيلا فليس ذلك هو</w:t>
      </w:r>
      <w:r w:rsidR="000636C2">
        <w:rPr>
          <w:rtl/>
        </w:rPr>
        <w:t>،</w:t>
      </w:r>
      <w:r>
        <w:rPr>
          <w:rtl/>
        </w:rPr>
        <w:t xml:space="preserve"> إنما يريهم غيره</w:t>
      </w:r>
      <w:r w:rsidR="000636C2">
        <w:rPr>
          <w:rtl/>
        </w:rPr>
        <w:t>،</w:t>
      </w:r>
      <w:r>
        <w:rPr>
          <w:rtl/>
        </w:rPr>
        <w:t xml:space="preserve"> </w:t>
      </w:r>
    </w:p>
    <w:p w14:paraId="7570F43B" w14:textId="5740A2E1" w:rsidR="009C32A0" w:rsidRDefault="009C32A0" w:rsidP="000636C2">
      <w:pPr>
        <w:spacing w:after="240"/>
        <w:rPr>
          <w:rtl/>
        </w:rPr>
      </w:pPr>
      <w:r>
        <w:rPr>
          <w:bCs/>
          <w:rtl/>
        </w:rPr>
        <w:t>الحديث السادس</w:t>
      </w:r>
      <w:r w:rsidR="000636C2">
        <w:rPr>
          <w:rtl/>
        </w:rPr>
        <w:t>:</w:t>
      </w:r>
      <w:r>
        <w:rPr>
          <w:rtl/>
        </w:rPr>
        <w:t xml:space="preserve"> روي مسلم في صحيحه من حديث المغيرة عن رسول الله صلي الله عليه وسلم أنه قال</w:t>
      </w:r>
      <w:r w:rsidR="000636C2">
        <w:rPr>
          <w:rtl/>
        </w:rPr>
        <w:t>:</w:t>
      </w:r>
      <w:r>
        <w:rPr>
          <w:rtl/>
        </w:rPr>
        <w:t xml:space="preserve"> (</w:t>
      </w:r>
      <w:r w:rsidR="000636C2">
        <w:rPr>
          <w:rtl/>
        </w:rPr>
        <w:t>(</w:t>
      </w:r>
      <w:r>
        <w:rPr>
          <w:rtl/>
        </w:rPr>
        <w:t>لا شخص أغير من الله</w:t>
      </w:r>
      <w:r w:rsidR="000636C2">
        <w:rPr>
          <w:rtl/>
        </w:rPr>
        <w:t>،</w:t>
      </w:r>
      <w:r>
        <w:rPr>
          <w:rtl/>
        </w:rPr>
        <w:t xml:space="preserve"> ولا شخص أحب إليه العذر من الله</w:t>
      </w:r>
      <w:r w:rsidR="000636C2">
        <w:rPr>
          <w:rtl/>
        </w:rPr>
        <w:t>،</w:t>
      </w:r>
      <w:r>
        <w:rPr>
          <w:rtl/>
        </w:rPr>
        <w:t xml:space="preserve"> ولا شخص أحب إليه المدحة من الله</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لفظة الشخص يرويها بعض الرواة</w:t>
      </w:r>
      <w:r w:rsidR="000636C2">
        <w:rPr>
          <w:rtl/>
        </w:rPr>
        <w:t>،</w:t>
      </w:r>
      <w:r>
        <w:rPr>
          <w:rtl/>
        </w:rPr>
        <w:t xml:space="preserve"> ويروي بعضهم</w:t>
      </w:r>
      <w:r w:rsidR="000636C2">
        <w:rPr>
          <w:rtl/>
        </w:rPr>
        <w:t>:</w:t>
      </w:r>
      <w:r>
        <w:rPr>
          <w:rtl/>
        </w:rPr>
        <w:t xml:space="preserve"> (</w:t>
      </w:r>
      <w:r w:rsidR="000636C2">
        <w:rPr>
          <w:rtl/>
        </w:rPr>
        <w:t>(</w:t>
      </w:r>
      <w:r>
        <w:rPr>
          <w:rtl/>
        </w:rPr>
        <w:t>لا شيء أغير من الله</w:t>
      </w:r>
      <w:r w:rsidR="000636C2">
        <w:rPr>
          <w:rtl/>
        </w:rPr>
        <w:t>)</w:t>
      </w:r>
      <w:r>
        <w:rPr>
          <w:rtl/>
        </w:rPr>
        <w:t>)</w:t>
      </w:r>
      <w:r w:rsidR="000636C2">
        <w:rPr>
          <w:rtl/>
        </w:rPr>
        <w:t>،</w:t>
      </w:r>
      <w:r>
        <w:rPr>
          <w:rtl/>
        </w:rPr>
        <w:t xml:space="preserve"> والرواة يروون بما يظنون به المعني فيكون ذلك الشخص من تغيير الرواة</w:t>
      </w:r>
      <w:r w:rsidR="000636C2">
        <w:rPr>
          <w:rtl/>
        </w:rPr>
        <w:t>،</w:t>
      </w:r>
      <w:r>
        <w:rPr>
          <w:rtl/>
        </w:rPr>
        <w:t xml:space="preserve"> </w:t>
      </w:r>
      <w:r w:rsidR="000636C2">
        <w:rPr>
          <w:rtl/>
        </w:rPr>
        <w:t>(</w:t>
      </w:r>
      <w:r>
        <w:rPr>
          <w:rtl/>
        </w:rPr>
        <w:t>والشخص لا يكون إلا جسما مؤلفا</w:t>
      </w:r>
      <w:r w:rsidR="000636C2">
        <w:rPr>
          <w:rtl/>
        </w:rPr>
        <w:t>،</w:t>
      </w:r>
      <w:r>
        <w:rPr>
          <w:rtl/>
        </w:rPr>
        <w:t xml:space="preserve"> وسمي شخصا فإن له شخوصا وارتفاعا والصواب أنه يرجع ذكر الشخص إلى المخلوقين لا أن الخالق يقال له شخص</w:t>
      </w:r>
      <w:r w:rsidR="000636C2">
        <w:rPr>
          <w:rtl/>
        </w:rPr>
        <w:t>)</w:t>
      </w:r>
      <w:r>
        <w:rPr>
          <w:rtl/>
        </w:rPr>
        <w:t xml:space="preserve"> . ويكون المعني " ليس منكم أيها الأشخاص أغير من الله "</w:t>
      </w:r>
      <w:r w:rsidR="000636C2">
        <w:rPr>
          <w:rtl/>
        </w:rPr>
        <w:t>،</w:t>
      </w:r>
      <w:r>
        <w:rPr>
          <w:rtl/>
        </w:rPr>
        <w:t xml:space="preserve"> لأنه لما اجتمع الكل بالذكر</w:t>
      </w:r>
      <w:r w:rsidR="000636C2">
        <w:rPr>
          <w:rtl/>
        </w:rPr>
        <w:t>،</w:t>
      </w:r>
      <w:r>
        <w:rPr>
          <w:rtl/>
        </w:rPr>
        <w:t xml:space="preserve"> سمي بأسمائهم . ومثل هذا قول بن مسعود</w:t>
      </w:r>
      <w:r w:rsidR="000636C2">
        <w:rPr>
          <w:rtl/>
        </w:rPr>
        <w:t>:</w:t>
      </w:r>
      <w:r>
        <w:rPr>
          <w:rtl/>
        </w:rPr>
        <w:t xml:space="preserve"> " ما خلق الله من جنة ولا نار أعظم من آية الكرسي ".</w:t>
      </w:r>
      <w:r w:rsidR="000636C2">
        <w:rPr>
          <w:rtl/>
        </w:rPr>
        <w:t xml:space="preserve"> </w:t>
      </w:r>
      <w:r>
        <w:rPr>
          <w:rtl/>
        </w:rPr>
        <w:t>قال الامام أحمد بن حنبل رحمة الله تعالى</w:t>
      </w:r>
      <w:r w:rsidR="000636C2">
        <w:rPr>
          <w:rtl/>
        </w:rPr>
        <w:t>:</w:t>
      </w:r>
      <w:r>
        <w:rPr>
          <w:rtl/>
        </w:rPr>
        <w:t xml:space="preserve"> </w:t>
      </w:r>
      <w:r w:rsidR="000636C2">
        <w:rPr>
          <w:rtl/>
        </w:rPr>
        <w:t>(</w:t>
      </w:r>
      <w:r>
        <w:rPr>
          <w:rtl/>
        </w:rPr>
        <w:t>الخلق يرجع إلى الجنة والنار إلى المخلوق لا إلى القرآن</w:t>
      </w:r>
      <w:r w:rsidR="000636C2">
        <w:rPr>
          <w:rtl/>
        </w:rPr>
        <w:t>)،</w:t>
      </w:r>
      <w:r>
        <w:rPr>
          <w:rtl/>
        </w:rPr>
        <w:t xml:space="preserve"> ومن هذا الجنس قوله تعالى</w:t>
      </w:r>
      <w:r w:rsidR="000636C2">
        <w:rPr>
          <w:rtl/>
        </w:rPr>
        <w:t>:</w:t>
      </w:r>
      <w:r>
        <w:rPr>
          <w:rtl/>
        </w:rPr>
        <w:t xml:space="preserve"> </w:t>
      </w:r>
      <w:r w:rsidR="000636C2">
        <w:rPr>
          <w:rtl/>
        </w:rPr>
        <w:t>{</w:t>
      </w:r>
      <w:r>
        <w:rPr>
          <w:rtl/>
        </w:rPr>
        <w:t>الجنة يومئذ خير مستقرا وأحسن مقيلا</w:t>
      </w:r>
      <w:r w:rsidR="000636C2">
        <w:rPr>
          <w:rtl/>
        </w:rPr>
        <w:t>}،</w:t>
      </w:r>
      <w:r>
        <w:rPr>
          <w:rtl/>
        </w:rPr>
        <w:t xml:space="preserve"> ومعلوم أن أهل النار لا</w:t>
      </w:r>
      <w:r w:rsidR="000636C2">
        <w:rPr>
          <w:rtl/>
        </w:rPr>
        <w:t xml:space="preserve"> </w:t>
      </w:r>
      <w:r>
        <w:rPr>
          <w:rtl/>
        </w:rPr>
        <w:t>مستقر لهم ولا مقيل</w:t>
      </w:r>
      <w:r w:rsidR="000636C2">
        <w:rPr>
          <w:rtl/>
        </w:rPr>
        <w:t>)</w:t>
      </w:r>
      <w:r>
        <w:rPr>
          <w:rtl/>
        </w:rPr>
        <w:t xml:space="preserve"> ويمكن أن يكون هذا من باب المستثني من غير الجنس كقوله تعالى</w:t>
      </w:r>
      <w:r w:rsidR="000636C2">
        <w:rPr>
          <w:rtl/>
        </w:rPr>
        <w:t>:</w:t>
      </w:r>
      <w:r>
        <w:rPr>
          <w:rtl/>
        </w:rPr>
        <w:t xml:space="preserve"> </w:t>
      </w:r>
      <w:r w:rsidR="000636C2">
        <w:rPr>
          <w:rtl/>
        </w:rPr>
        <w:t>{</w:t>
      </w:r>
      <w:r>
        <w:rPr>
          <w:rtl/>
        </w:rPr>
        <w:t>ما لهم به من علم إلا اتباع الظن</w:t>
      </w:r>
      <w:r w:rsidR="000636C2">
        <w:rPr>
          <w:rtl/>
        </w:rPr>
        <w:t>}،</w:t>
      </w:r>
      <w:r>
        <w:rPr>
          <w:rtl/>
        </w:rPr>
        <w:t xml:space="preserve"> وقد أجاز بعضهم إطلاق الشخص علي الله تعالى وذلك غلط لما بيناه</w:t>
      </w:r>
      <w:r w:rsidR="000636C2">
        <w:rPr>
          <w:rtl/>
        </w:rPr>
        <w:t>،</w:t>
      </w:r>
      <w:r>
        <w:rPr>
          <w:rtl/>
        </w:rPr>
        <w:t xml:space="preserve"> وأما الغيرة فقد قال العلماء</w:t>
      </w:r>
      <w:r w:rsidR="000636C2">
        <w:rPr>
          <w:rtl/>
        </w:rPr>
        <w:t>:</w:t>
      </w:r>
      <w:r>
        <w:rPr>
          <w:rtl/>
        </w:rPr>
        <w:t xml:space="preserve"> كل من غلب من شيء اشتدت كراهيته له</w:t>
      </w:r>
      <w:r w:rsidR="000636C2">
        <w:rPr>
          <w:rtl/>
        </w:rPr>
        <w:t>،</w:t>
      </w:r>
      <w:r>
        <w:rPr>
          <w:rtl/>
        </w:rPr>
        <w:t xml:space="preserve"> فلما حرم الفواحش وتوعد عليها وصفه رسوله بالغيرة</w:t>
      </w:r>
      <w:r w:rsidR="000636C2">
        <w:rPr>
          <w:rtl/>
        </w:rPr>
        <w:t>،</w:t>
      </w:r>
      <w:r>
        <w:rPr>
          <w:rtl/>
        </w:rPr>
        <w:t xml:space="preserve"> </w:t>
      </w:r>
    </w:p>
    <w:p w14:paraId="09567CC3" w14:textId="07B05A35" w:rsidR="009C32A0" w:rsidRDefault="009C32A0" w:rsidP="000636C2">
      <w:pPr>
        <w:spacing w:after="240"/>
        <w:rPr>
          <w:rtl/>
        </w:rPr>
      </w:pPr>
      <w:r>
        <w:rPr>
          <w:bCs/>
          <w:rtl/>
        </w:rPr>
        <w:t>الحديث السابع</w:t>
      </w:r>
      <w:r w:rsidR="000636C2">
        <w:rPr>
          <w:rtl/>
        </w:rPr>
        <w:t>:</w:t>
      </w:r>
      <w:r>
        <w:rPr>
          <w:rtl/>
        </w:rPr>
        <w:t xml:space="preserve"> روي أبو موسي الأشعري رضي الله عنه عن النبي صلي الله عليه وسلم قال</w:t>
      </w:r>
      <w:r w:rsidR="000636C2">
        <w:rPr>
          <w:rtl/>
        </w:rPr>
        <w:t>:</w:t>
      </w:r>
      <w:r>
        <w:rPr>
          <w:rtl/>
        </w:rPr>
        <w:t xml:space="preserve"> (</w:t>
      </w:r>
      <w:r w:rsidR="000636C2">
        <w:rPr>
          <w:rtl/>
        </w:rPr>
        <w:t>(</w:t>
      </w:r>
      <w:r>
        <w:rPr>
          <w:rtl/>
        </w:rPr>
        <w:t>إن الله خلق آدم من قبضة قبضها من جميع الأرض</w:t>
      </w:r>
      <w:r w:rsidR="000636C2">
        <w:rPr>
          <w:rtl/>
        </w:rPr>
        <w:t>)</w:t>
      </w:r>
      <w:r>
        <w:rPr>
          <w:rtl/>
        </w:rPr>
        <w:t>)</w:t>
      </w:r>
      <w:r w:rsidR="000636C2">
        <w:rPr>
          <w:rtl/>
        </w:rPr>
        <w:t>،</w:t>
      </w:r>
      <w:r>
        <w:rPr>
          <w:rtl/>
        </w:rPr>
        <w:t xml:space="preserve"> المعني مقدار قبضته وليست علي ما يتصور من قبضات المخلوقين فإن الحق منزه عن ذلك</w:t>
      </w:r>
      <w:r w:rsidR="000636C2">
        <w:rPr>
          <w:rtl/>
        </w:rPr>
        <w:t>،</w:t>
      </w:r>
      <w:r>
        <w:rPr>
          <w:rtl/>
        </w:rPr>
        <w:t xml:space="preserve"> وإنما أضيفت القبضة إليه لأن أفعال المملوك نسب إلى المالك وذلك أنه بعث من قبض كقوله تعالى</w:t>
      </w:r>
      <w:r w:rsidR="000636C2">
        <w:rPr>
          <w:rtl/>
        </w:rPr>
        <w:t>:</w:t>
      </w:r>
      <w:r>
        <w:rPr>
          <w:rtl/>
        </w:rPr>
        <w:t xml:space="preserve"> </w:t>
      </w:r>
      <w:r w:rsidR="000636C2">
        <w:rPr>
          <w:rtl/>
        </w:rPr>
        <w:t>{</w:t>
      </w:r>
      <w:r>
        <w:rPr>
          <w:rtl/>
        </w:rPr>
        <w:t>فطمسنا أعينهم</w:t>
      </w:r>
      <w:r w:rsidR="000636C2">
        <w:rPr>
          <w:rtl/>
        </w:rPr>
        <w:t>}،</w:t>
      </w:r>
      <w:r>
        <w:rPr>
          <w:rtl/>
        </w:rPr>
        <w:t xml:space="preserve"> وقد روي محمد بن سعد في كتاب الطبقات</w:t>
      </w:r>
      <w:r w:rsidR="000636C2">
        <w:rPr>
          <w:rtl/>
        </w:rPr>
        <w:t>:</w:t>
      </w:r>
      <w:r>
        <w:rPr>
          <w:rtl/>
        </w:rPr>
        <w:t xml:space="preserve"> إن الله تعالى بعث إبليس فأخذ من أديم الأرض فخلق منه آدم فمن ثم قال</w:t>
      </w:r>
      <w:r w:rsidR="000636C2">
        <w:rPr>
          <w:rtl/>
        </w:rPr>
        <w:t>:</w:t>
      </w:r>
      <w:r>
        <w:rPr>
          <w:rtl/>
        </w:rPr>
        <w:t xml:space="preserve"> "أأسجد لمن خلقت طينا "</w:t>
      </w:r>
      <w:r w:rsidR="000636C2">
        <w:rPr>
          <w:rtl/>
        </w:rPr>
        <w:t>،</w:t>
      </w:r>
      <w:r>
        <w:rPr>
          <w:rtl/>
        </w:rPr>
        <w:t xml:space="preserve"> قال القاضي لا يمتنع إطلاق اسم القبض إليه وإضافة القبضة لا علي معني الجارحة ولا علي المعالجة والممارسة . </w:t>
      </w:r>
      <w:r w:rsidR="000636C2">
        <w:rPr>
          <w:rtl/>
        </w:rPr>
        <w:t>(</w:t>
      </w:r>
      <w:r>
        <w:rPr>
          <w:rtl/>
        </w:rPr>
        <w:t>قلت</w:t>
      </w:r>
      <w:r w:rsidR="000636C2">
        <w:rPr>
          <w:rtl/>
        </w:rPr>
        <w:t>):</w:t>
      </w:r>
      <w:r>
        <w:rPr>
          <w:rtl/>
        </w:rPr>
        <w:t xml:space="preserve"> فيقال له</w:t>
      </w:r>
      <w:r w:rsidR="000636C2">
        <w:rPr>
          <w:rtl/>
        </w:rPr>
        <w:t>:</w:t>
      </w:r>
      <w:r>
        <w:rPr>
          <w:rtl/>
        </w:rPr>
        <w:t xml:space="preserve"> أطلقت وما تدري</w:t>
      </w:r>
      <w:r w:rsidR="000636C2">
        <w:rPr>
          <w:rtl/>
        </w:rPr>
        <w:t>،</w:t>
      </w:r>
      <w:r>
        <w:rPr>
          <w:rtl/>
        </w:rPr>
        <w:t xml:space="preserve"> </w:t>
      </w:r>
    </w:p>
    <w:p w14:paraId="55FD0C18" w14:textId="62F7A078" w:rsidR="009C32A0" w:rsidRDefault="009C32A0" w:rsidP="000636C2">
      <w:pPr>
        <w:spacing w:after="240"/>
        <w:rPr>
          <w:rtl/>
        </w:rPr>
      </w:pPr>
      <w:r>
        <w:rPr>
          <w:bCs/>
          <w:rtl/>
        </w:rPr>
        <w:t>الحديث الثامن</w:t>
      </w:r>
      <w:r w:rsidR="000636C2">
        <w:rPr>
          <w:rtl/>
        </w:rPr>
        <w:t>:</w:t>
      </w:r>
      <w:r>
        <w:rPr>
          <w:rtl/>
        </w:rPr>
        <w:t xml:space="preserve"> روي سليمان قال</w:t>
      </w:r>
      <w:r w:rsidR="000636C2">
        <w:rPr>
          <w:rtl/>
        </w:rPr>
        <w:t>:</w:t>
      </w:r>
      <w:r>
        <w:rPr>
          <w:rtl/>
        </w:rPr>
        <w:t xml:space="preserve"> " إن الله تعالى لما خمر طينة آدم ضرب بيده فيه</w:t>
      </w:r>
      <w:r w:rsidR="000636C2">
        <w:rPr>
          <w:rtl/>
        </w:rPr>
        <w:t>،</w:t>
      </w:r>
      <w:r>
        <w:rPr>
          <w:rtl/>
        </w:rPr>
        <w:t xml:space="preserve"> فخرج كل طيب في يمينه</w:t>
      </w:r>
      <w:r w:rsidR="000636C2">
        <w:rPr>
          <w:rtl/>
        </w:rPr>
        <w:t>،</w:t>
      </w:r>
      <w:r>
        <w:rPr>
          <w:rtl/>
        </w:rPr>
        <w:t xml:space="preserve"> وكل خبيث في يده الأخرى</w:t>
      </w:r>
      <w:r w:rsidR="000636C2">
        <w:rPr>
          <w:rtl/>
        </w:rPr>
        <w:t>،</w:t>
      </w:r>
      <w:r>
        <w:rPr>
          <w:rtl/>
        </w:rPr>
        <w:t xml:space="preserve"> ثم خلط بينهما</w:t>
      </w:r>
      <w:r w:rsidR="000636C2">
        <w:rPr>
          <w:rtl/>
        </w:rPr>
        <w:t>،</w:t>
      </w:r>
      <w:r>
        <w:rPr>
          <w:rtl/>
        </w:rPr>
        <w:t xml:space="preserve"> فمن ثم يخرج الحي من الميت ويخرج الميت من الحي "</w:t>
      </w:r>
      <w:r w:rsidR="000636C2">
        <w:rPr>
          <w:rtl/>
        </w:rPr>
        <w:t>،</w:t>
      </w:r>
      <w:r>
        <w:rPr>
          <w:rtl/>
        </w:rPr>
        <w:t xml:space="preserve"> </w:t>
      </w:r>
      <w:r w:rsidR="000636C2">
        <w:rPr>
          <w:rtl/>
        </w:rPr>
        <w:t>(</w:t>
      </w:r>
      <w:r>
        <w:rPr>
          <w:rtl/>
        </w:rPr>
        <w:t>قلت</w:t>
      </w:r>
      <w:r w:rsidR="000636C2">
        <w:rPr>
          <w:rtl/>
        </w:rPr>
        <w:t>):</w:t>
      </w:r>
      <w:r>
        <w:rPr>
          <w:rtl/>
        </w:rPr>
        <w:t xml:space="preserve"> وهذا مرسل وقد ثبت بالدليل أن الله سبحانه وتعالى لا يوصف بمس شيء</w:t>
      </w:r>
      <w:r w:rsidR="000636C2">
        <w:rPr>
          <w:rtl/>
        </w:rPr>
        <w:t>،</w:t>
      </w:r>
      <w:r>
        <w:rPr>
          <w:rtl/>
        </w:rPr>
        <w:t xml:space="preserve"> فإن صح ضرب مثل لما جرت به الأقدار . وقال القاضي</w:t>
      </w:r>
      <w:r w:rsidR="000636C2">
        <w:rPr>
          <w:rtl/>
        </w:rPr>
        <w:t>:</w:t>
      </w:r>
      <w:r>
        <w:rPr>
          <w:rtl/>
        </w:rPr>
        <w:t xml:space="preserve"> تخمير الطين وخلط بعضه ببعض مضاف إلى اليد التي خلق بها آدم</w:t>
      </w:r>
      <w:r w:rsidR="000636C2">
        <w:rPr>
          <w:rtl/>
        </w:rPr>
        <w:t>،</w:t>
      </w:r>
      <w:r>
        <w:rPr>
          <w:rtl/>
        </w:rPr>
        <w:t xml:space="preserve"> قلت: وهذا التشبيه المحض</w:t>
      </w:r>
      <w:r w:rsidR="000636C2">
        <w:rPr>
          <w:rtl/>
        </w:rPr>
        <w:t>،</w:t>
      </w:r>
      <w:r>
        <w:rPr>
          <w:rtl/>
        </w:rPr>
        <w:t xml:space="preserve"> </w:t>
      </w:r>
    </w:p>
    <w:p w14:paraId="67C5EAF4" w14:textId="316DCD20" w:rsidR="009C32A0" w:rsidRDefault="009C32A0" w:rsidP="000636C2">
      <w:pPr>
        <w:spacing w:after="240"/>
        <w:rPr>
          <w:rtl/>
        </w:rPr>
      </w:pPr>
      <w:r>
        <w:rPr>
          <w:bCs/>
          <w:rtl/>
        </w:rPr>
        <w:t>الحديث التاسع</w:t>
      </w:r>
      <w:r w:rsidR="000636C2">
        <w:rPr>
          <w:rtl/>
        </w:rPr>
        <w:t>:</w:t>
      </w:r>
      <w:r>
        <w:rPr>
          <w:rtl/>
        </w:rPr>
        <w:t xml:space="preserve"> روي عبيد بن حنين قال</w:t>
      </w:r>
      <w:r w:rsidR="000636C2">
        <w:rPr>
          <w:rtl/>
        </w:rPr>
        <w:t>:</w:t>
      </w:r>
      <w:r>
        <w:rPr>
          <w:rtl/>
        </w:rPr>
        <w:t xml:space="preserve"> بينما أنا جالس في المسجد</w:t>
      </w:r>
      <w:r w:rsidR="000636C2">
        <w:rPr>
          <w:rtl/>
        </w:rPr>
        <w:t>،</w:t>
      </w:r>
      <w:r>
        <w:rPr>
          <w:rtl/>
        </w:rPr>
        <w:t xml:space="preserve"> إذ جاء قتادة بن النعمان فجلس يتحدث ثم قال</w:t>
      </w:r>
      <w:r w:rsidR="000636C2">
        <w:rPr>
          <w:rtl/>
        </w:rPr>
        <w:t>:</w:t>
      </w:r>
      <w:r>
        <w:rPr>
          <w:rtl/>
        </w:rPr>
        <w:t xml:space="preserve"> انطلق بنا إلى أبي سعيد الخدري</w:t>
      </w:r>
      <w:r w:rsidR="000636C2">
        <w:rPr>
          <w:rtl/>
        </w:rPr>
        <w:t>،</w:t>
      </w:r>
      <w:r>
        <w:rPr>
          <w:rtl/>
        </w:rPr>
        <w:t xml:space="preserve"> فإني قد أخبرت أنه اشتكي</w:t>
      </w:r>
      <w:r w:rsidR="000636C2">
        <w:rPr>
          <w:rtl/>
        </w:rPr>
        <w:t>،</w:t>
      </w:r>
      <w:r>
        <w:rPr>
          <w:rtl/>
        </w:rPr>
        <w:t xml:space="preserve"> فانطلقنا حتي دخلنا علي أبي سعيد فوجدناه مستلقيا واضعا رجله اليمن علي اليسرى</w:t>
      </w:r>
      <w:r w:rsidR="000636C2">
        <w:rPr>
          <w:rtl/>
        </w:rPr>
        <w:t>،</w:t>
      </w:r>
      <w:r>
        <w:rPr>
          <w:rtl/>
        </w:rPr>
        <w:t xml:space="preserve"> فسلمنا عليه وجلسنا</w:t>
      </w:r>
      <w:r w:rsidR="000636C2">
        <w:rPr>
          <w:rtl/>
        </w:rPr>
        <w:t>،</w:t>
      </w:r>
      <w:r>
        <w:rPr>
          <w:rtl/>
        </w:rPr>
        <w:t xml:space="preserve"> فرفع قتادة يده إلى رجل أبي سعيد</w:t>
      </w:r>
      <w:r w:rsidR="000636C2">
        <w:rPr>
          <w:rtl/>
        </w:rPr>
        <w:t>،</w:t>
      </w:r>
      <w:r>
        <w:rPr>
          <w:rtl/>
        </w:rPr>
        <w:t xml:space="preserve"> فقرصها قرصة شديدة فقال أبو سعيد</w:t>
      </w:r>
      <w:r w:rsidR="000636C2">
        <w:rPr>
          <w:rtl/>
        </w:rPr>
        <w:t>:</w:t>
      </w:r>
      <w:r>
        <w:rPr>
          <w:rtl/>
        </w:rPr>
        <w:t xml:space="preserve"> سبحان الله يا ابن آدم أوجعتني ". فقال</w:t>
      </w:r>
      <w:r w:rsidR="000636C2">
        <w:rPr>
          <w:rtl/>
        </w:rPr>
        <w:t>:</w:t>
      </w:r>
      <w:r>
        <w:rPr>
          <w:rtl/>
        </w:rPr>
        <w:t xml:space="preserve"> ذلك أردت أن رسول الله صلى الله عليه وسلم قال</w:t>
      </w:r>
      <w:r w:rsidR="000636C2">
        <w:rPr>
          <w:rtl/>
        </w:rPr>
        <w:t>:</w:t>
      </w:r>
      <w:r>
        <w:rPr>
          <w:rtl/>
        </w:rPr>
        <w:t xml:space="preserve"> " إن الله لما قضي خلقه</w:t>
      </w:r>
      <w:r w:rsidR="000636C2">
        <w:rPr>
          <w:rtl/>
        </w:rPr>
        <w:t>،</w:t>
      </w:r>
      <w:r>
        <w:rPr>
          <w:rtl/>
        </w:rPr>
        <w:t xml:space="preserve"> استلقي ثم وضع إحدى رجليه علي الأخرى</w:t>
      </w:r>
      <w:r w:rsidR="000636C2">
        <w:rPr>
          <w:rtl/>
        </w:rPr>
        <w:t>،</w:t>
      </w:r>
      <w:r>
        <w:rPr>
          <w:rtl/>
        </w:rPr>
        <w:t xml:space="preserve"> ثم قال</w:t>
      </w:r>
      <w:r w:rsidR="000636C2">
        <w:rPr>
          <w:rtl/>
        </w:rPr>
        <w:t>:</w:t>
      </w:r>
      <w:r>
        <w:rPr>
          <w:rtl/>
        </w:rPr>
        <w:t xml:space="preserve"> لا ينبغي لأحد من خلقي أن يفعل هذا "</w:t>
      </w:r>
      <w:r w:rsidR="000636C2">
        <w:rPr>
          <w:rtl/>
        </w:rPr>
        <w:t>،</w:t>
      </w:r>
      <w:r>
        <w:rPr>
          <w:rtl/>
        </w:rPr>
        <w:t xml:space="preserve"> قال أبو سعيد لا جرم لا أفعله أبدا</w:t>
      </w:r>
      <w:r w:rsidR="000636C2">
        <w:rPr>
          <w:rtl/>
        </w:rPr>
        <w:t>،</w:t>
      </w:r>
      <w:r>
        <w:rPr>
          <w:rtl/>
        </w:rPr>
        <w:t xml:space="preserve"> </w:t>
      </w:r>
      <w:r w:rsidR="000636C2">
        <w:rPr>
          <w:rtl/>
        </w:rPr>
        <w:t>(</w:t>
      </w:r>
      <w:r>
        <w:rPr>
          <w:rtl/>
        </w:rPr>
        <w:t>قلت</w:t>
      </w:r>
      <w:r w:rsidR="000636C2">
        <w:rPr>
          <w:rtl/>
        </w:rPr>
        <w:t>):</w:t>
      </w:r>
      <w:r>
        <w:rPr>
          <w:rtl/>
        </w:rPr>
        <w:t xml:space="preserve"> وقد رواه عبد الله بن أحمد عن أبي بكر محمد بن إسحاق الصاغاني قال</w:t>
      </w:r>
      <w:r w:rsidR="000636C2">
        <w:rPr>
          <w:rtl/>
        </w:rPr>
        <w:t>:</w:t>
      </w:r>
      <w:r>
        <w:rPr>
          <w:rtl/>
        </w:rPr>
        <w:t xml:space="preserve"> حدثني إبراهيم بن المنذر</w:t>
      </w:r>
      <w:r w:rsidR="000636C2">
        <w:rPr>
          <w:rtl/>
        </w:rPr>
        <w:t>،</w:t>
      </w:r>
      <w:r>
        <w:rPr>
          <w:rtl/>
        </w:rPr>
        <w:t xml:space="preserve"> قال</w:t>
      </w:r>
      <w:r w:rsidR="000636C2">
        <w:rPr>
          <w:rtl/>
        </w:rPr>
        <w:t>:</w:t>
      </w:r>
      <w:r>
        <w:rPr>
          <w:rtl/>
        </w:rPr>
        <w:t xml:space="preserve"> حدثنا محمد بن فليح عن سعيد بن الحارث عن عبيد الله بن حنين </w:t>
      </w:r>
      <w:r w:rsidR="000636C2">
        <w:rPr>
          <w:rtl/>
        </w:rPr>
        <w:t>(</w:t>
      </w:r>
      <w:r>
        <w:rPr>
          <w:rtl/>
        </w:rPr>
        <w:t>قلت</w:t>
      </w:r>
      <w:r w:rsidR="000636C2">
        <w:rPr>
          <w:rtl/>
        </w:rPr>
        <w:t>):</w:t>
      </w:r>
      <w:r>
        <w:rPr>
          <w:rtl/>
        </w:rPr>
        <w:t xml:space="preserve"> قال عبد الله بن أحمد بن حنبل</w:t>
      </w:r>
      <w:r w:rsidR="000636C2">
        <w:rPr>
          <w:rtl/>
        </w:rPr>
        <w:t>:</w:t>
      </w:r>
      <w:r>
        <w:rPr>
          <w:rtl/>
        </w:rPr>
        <w:t xml:space="preserve"> </w:t>
      </w:r>
      <w:r w:rsidR="000636C2">
        <w:rPr>
          <w:rtl/>
        </w:rPr>
        <w:t>(</w:t>
      </w:r>
      <w:r>
        <w:rPr>
          <w:rtl/>
        </w:rPr>
        <w:t>وما رأيت هذا في الحديث في ديوان من دواوين الشريعة المعتمد عليها</w:t>
      </w:r>
      <w:r w:rsidR="000636C2">
        <w:rPr>
          <w:rtl/>
        </w:rPr>
        <w:t xml:space="preserve">)، </w:t>
      </w:r>
      <w:r>
        <w:rPr>
          <w:rtl/>
        </w:rPr>
        <w:t>وكان أحمد بن حنبل يذم إبراهيم بن المنذر ويتكلم فيه</w:t>
      </w:r>
      <w:r w:rsidR="000636C2">
        <w:rPr>
          <w:rtl/>
        </w:rPr>
        <w:t>،</w:t>
      </w:r>
      <w:r>
        <w:rPr>
          <w:rtl/>
        </w:rPr>
        <w:t xml:space="preserve"> وقال زكريا الساجي عنده مناكير</w:t>
      </w:r>
      <w:r w:rsidR="000636C2">
        <w:rPr>
          <w:rtl/>
        </w:rPr>
        <w:t>،</w:t>
      </w:r>
      <w:r>
        <w:rPr>
          <w:rtl/>
        </w:rPr>
        <w:t xml:space="preserve"> وقال يحي بن معين</w:t>
      </w:r>
      <w:r w:rsidR="000636C2">
        <w:rPr>
          <w:rtl/>
        </w:rPr>
        <w:t>:</w:t>
      </w:r>
      <w:r>
        <w:rPr>
          <w:rtl/>
        </w:rPr>
        <w:t xml:space="preserve"> فليح ليس حديثة بالجائز . وقال مرة</w:t>
      </w:r>
      <w:r w:rsidR="000636C2">
        <w:rPr>
          <w:rtl/>
        </w:rPr>
        <w:t>:</w:t>
      </w:r>
      <w:r>
        <w:rPr>
          <w:rtl/>
        </w:rPr>
        <w:t xml:space="preserve"> هو ضعيف</w:t>
      </w:r>
      <w:r w:rsidR="000636C2">
        <w:rPr>
          <w:rtl/>
        </w:rPr>
        <w:t>،</w:t>
      </w:r>
      <w:r>
        <w:rPr>
          <w:rtl/>
        </w:rPr>
        <w:t xml:space="preserve"> وقال النسائي</w:t>
      </w:r>
      <w:r w:rsidR="000636C2">
        <w:rPr>
          <w:rtl/>
        </w:rPr>
        <w:t>:</w:t>
      </w:r>
      <w:r>
        <w:rPr>
          <w:rtl/>
        </w:rPr>
        <w:t xml:space="preserve"> وأما عبيد بن حنين فقال البخاري لا يصح حديثه في أهل المدينة</w:t>
      </w:r>
      <w:r w:rsidR="000636C2">
        <w:rPr>
          <w:rtl/>
        </w:rPr>
        <w:t>،</w:t>
      </w:r>
      <w:r>
        <w:rPr>
          <w:rtl/>
        </w:rPr>
        <w:t xml:space="preserve"> </w:t>
      </w:r>
      <w:r w:rsidR="000636C2">
        <w:rPr>
          <w:rtl/>
        </w:rPr>
        <w:t>(</w:t>
      </w:r>
      <w:r>
        <w:rPr>
          <w:rtl/>
        </w:rPr>
        <w:t>وقال أبو بكر البيهقي</w:t>
      </w:r>
      <w:r w:rsidR="000636C2">
        <w:rPr>
          <w:rtl/>
        </w:rPr>
        <w:t>:</w:t>
      </w:r>
      <w:r>
        <w:rPr>
          <w:rtl/>
        </w:rPr>
        <w:t xml:space="preserve"> إذا كان فليح مختلف في جواز الاحتجاج عند الحفاظ لم يثبت في روايته مثل هذا الأمر العظيم) قال</w:t>
      </w:r>
      <w:r w:rsidR="000636C2">
        <w:rPr>
          <w:rtl/>
        </w:rPr>
        <w:t>:</w:t>
      </w:r>
      <w:r>
        <w:rPr>
          <w:rtl/>
        </w:rPr>
        <w:t xml:space="preserve"> وفي الحديث علة أخري</w:t>
      </w:r>
      <w:r w:rsidR="000636C2">
        <w:rPr>
          <w:rtl/>
        </w:rPr>
        <w:t>،</w:t>
      </w:r>
      <w:r>
        <w:rPr>
          <w:rtl/>
        </w:rPr>
        <w:t xml:space="preserve"> وهي أن قتادة بن النعمان مات في خلافة عمر بن الخطاب رضي الله عنه</w:t>
      </w:r>
      <w:r w:rsidR="000636C2">
        <w:rPr>
          <w:rtl/>
        </w:rPr>
        <w:t>،</w:t>
      </w:r>
      <w:r>
        <w:rPr>
          <w:rtl/>
        </w:rPr>
        <w:t xml:space="preserve"> وعبيد بن حنين مات سنة خمس ومائة . وله خمس وسبعون سنة في قول الواقدي</w:t>
      </w:r>
      <w:r w:rsidR="000636C2">
        <w:rPr>
          <w:rtl/>
        </w:rPr>
        <w:t>،</w:t>
      </w:r>
      <w:r>
        <w:rPr>
          <w:rtl/>
        </w:rPr>
        <w:t xml:space="preserve"> فتكون روايته عن قتادة بن النعمان منقطعة</w:t>
      </w:r>
      <w:r w:rsidR="000636C2">
        <w:rPr>
          <w:rtl/>
        </w:rPr>
        <w:t>،</w:t>
      </w:r>
      <w:r>
        <w:rPr>
          <w:rtl/>
        </w:rPr>
        <w:t xml:space="preserve"> وقول الراوي حتي دخلنا علي أبي سعيد لا يرجع إلى عبيد بن حنين وإنما يرجع إلى من أرسله عنه ونحن لا نعرفه قال ولا نقبل المراسيل في الأحكام فكيف هذا الأمر العظيم</w:t>
      </w:r>
      <w:r w:rsidR="000636C2">
        <w:rPr>
          <w:rtl/>
        </w:rPr>
        <w:t>،</w:t>
      </w:r>
      <w:r>
        <w:rPr>
          <w:rtl/>
        </w:rPr>
        <w:t xml:space="preserve"> فقال أحمد ثم لو صح طريقه احتمل أن يكون رسول الله صلى الله عليه وسلم حدث به عن بعض أهل الكتاب علي طريق الإنكار عليهم</w:t>
      </w:r>
      <w:r w:rsidR="000636C2">
        <w:rPr>
          <w:rtl/>
        </w:rPr>
        <w:t>،</w:t>
      </w:r>
      <w:r>
        <w:rPr>
          <w:rtl/>
        </w:rPr>
        <w:t xml:space="preserve"> فلم يفهم قتادة إنكاره عليهم</w:t>
      </w:r>
      <w:r w:rsidR="000636C2">
        <w:rPr>
          <w:rtl/>
        </w:rPr>
        <w:t>،</w:t>
      </w:r>
      <w:r>
        <w:rPr>
          <w:rtl/>
        </w:rPr>
        <w:t xml:space="preserve"> </w:t>
      </w:r>
      <w:r w:rsidR="000636C2">
        <w:rPr>
          <w:rtl/>
        </w:rPr>
        <w:t>(</w:t>
      </w:r>
      <w:r>
        <w:rPr>
          <w:rtl/>
        </w:rPr>
        <w:t>قلت</w:t>
      </w:r>
      <w:r w:rsidR="000636C2">
        <w:rPr>
          <w:rtl/>
        </w:rPr>
        <w:t>):</w:t>
      </w:r>
      <w:r>
        <w:rPr>
          <w:rtl/>
        </w:rPr>
        <w:t xml:space="preserve"> ومن هذا الفن حديث رويناه</w:t>
      </w:r>
      <w:r w:rsidR="000636C2">
        <w:rPr>
          <w:rtl/>
        </w:rPr>
        <w:t>،</w:t>
      </w:r>
      <w:r>
        <w:rPr>
          <w:rtl/>
        </w:rPr>
        <w:t xml:space="preserve"> أن الزبير سمع رجلا يحدث عن رسول الله صلي الله عليه وسلم</w:t>
      </w:r>
      <w:r w:rsidR="000636C2">
        <w:rPr>
          <w:rtl/>
        </w:rPr>
        <w:t>،</w:t>
      </w:r>
      <w:r>
        <w:rPr>
          <w:rtl/>
        </w:rPr>
        <w:t xml:space="preserve"> فاستمع له الزبير حتي إذا قضي الرجل حديثه</w:t>
      </w:r>
      <w:r w:rsidR="000636C2">
        <w:rPr>
          <w:rtl/>
        </w:rPr>
        <w:t>،</w:t>
      </w:r>
      <w:r>
        <w:rPr>
          <w:rtl/>
        </w:rPr>
        <w:t xml:space="preserve"> قال له الزبير</w:t>
      </w:r>
      <w:r w:rsidR="000636C2">
        <w:rPr>
          <w:rtl/>
        </w:rPr>
        <w:t>:</w:t>
      </w:r>
      <w:r>
        <w:rPr>
          <w:rtl/>
        </w:rPr>
        <w:t xml:space="preserve"> " أنت سمعت هذا من رسول الله صلي الله عليه وسلم .؟ قال نعم</w:t>
      </w:r>
      <w:r w:rsidR="000636C2">
        <w:rPr>
          <w:rtl/>
        </w:rPr>
        <w:t>،</w:t>
      </w:r>
      <w:r>
        <w:rPr>
          <w:rtl/>
        </w:rPr>
        <w:t xml:space="preserve"> قال</w:t>
      </w:r>
      <w:r w:rsidR="000636C2">
        <w:rPr>
          <w:rtl/>
        </w:rPr>
        <w:t>:</w:t>
      </w:r>
      <w:r>
        <w:rPr>
          <w:rtl/>
        </w:rPr>
        <w:t xml:space="preserve"> هذا وأشباهه يمنعنا أن نحدث عن رسول الله</w:t>
      </w:r>
      <w:r w:rsidR="000636C2">
        <w:rPr>
          <w:rtl/>
        </w:rPr>
        <w:t>،</w:t>
      </w:r>
      <w:r>
        <w:rPr>
          <w:rtl/>
        </w:rPr>
        <w:t xml:space="preserve"> قال</w:t>
      </w:r>
      <w:r w:rsidR="000636C2">
        <w:rPr>
          <w:rtl/>
        </w:rPr>
        <w:t>:</w:t>
      </w:r>
      <w:r>
        <w:rPr>
          <w:rtl/>
        </w:rPr>
        <w:t xml:space="preserve"> لعمري سمعت هذا من رسول الله وأنا يومئذ حاضر ولكن رسول الله صلى الله عليه وسلم ابتدأ بهذا الحديث . فحدثناه عن رجل من أهل الكتاب حدثه إياه</w:t>
      </w:r>
      <w:r w:rsidR="000636C2">
        <w:rPr>
          <w:rtl/>
        </w:rPr>
        <w:t>،</w:t>
      </w:r>
      <w:r>
        <w:rPr>
          <w:rtl/>
        </w:rPr>
        <w:t xml:space="preserve"> فجئت أنت يومئذ بعد انقضاء مدة الحديث</w:t>
      </w:r>
      <w:r w:rsidR="000636C2">
        <w:rPr>
          <w:rtl/>
        </w:rPr>
        <w:t>،</w:t>
      </w:r>
      <w:r>
        <w:rPr>
          <w:rtl/>
        </w:rPr>
        <w:t xml:space="preserve"> وذكر الرجل الذي من أهل الكتاب فظننت به أنه من حديث رسول الله –صلي الله عليه وسلم -. </w:t>
      </w:r>
      <w:r w:rsidR="000636C2">
        <w:rPr>
          <w:rtl/>
        </w:rPr>
        <w:t>(</w:t>
      </w:r>
      <w:r>
        <w:rPr>
          <w:rtl/>
        </w:rPr>
        <w:t>قلت</w:t>
      </w:r>
      <w:r w:rsidR="000636C2">
        <w:rPr>
          <w:rtl/>
        </w:rPr>
        <w:t>):</w:t>
      </w:r>
      <w:r>
        <w:rPr>
          <w:rtl/>
        </w:rPr>
        <w:t xml:space="preserve"> وغالب الظن أن الإشارة في حديث الزبير إلى حديث قتادة</w:t>
      </w:r>
      <w:r w:rsidR="000636C2">
        <w:rPr>
          <w:rtl/>
        </w:rPr>
        <w:t>،</w:t>
      </w:r>
      <w:r>
        <w:rPr>
          <w:rtl/>
        </w:rPr>
        <w:t xml:space="preserve"> فإن أهل الكتاب قالوا</w:t>
      </w:r>
      <w:r w:rsidR="000636C2">
        <w:rPr>
          <w:rtl/>
        </w:rPr>
        <w:t>:</w:t>
      </w:r>
      <w:r>
        <w:rPr>
          <w:rtl/>
        </w:rPr>
        <w:t xml:space="preserve"> إن الله تعالى لما خلق السماوات والأرض استراح فنزل قوله تعالى</w:t>
      </w:r>
      <w:r w:rsidR="000636C2">
        <w:rPr>
          <w:rtl/>
        </w:rPr>
        <w:t>:</w:t>
      </w:r>
      <w:r>
        <w:rPr>
          <w:rtl/>
        </w:rPr>
        <w:t xml:space="preserve"> </w:t>
      </w:r>
      <w:r w:rsidR="000636C2">
        <w:rPr>
          <w:rtl/>
        </w:rPr>
        <w:t>{</w:t>
      </w:r>
      <w:r>
        <w:rPr>
          <w:rtl/>
        </w:rPr>
        <w:t>وما مسنا من لغوب</w:t>
      </w:r>
      <w:r w:rsidR="000636C2">
        <w:rPr>
          <w:rtl/>
        </w:rPr>
        <w:t>}،</w:t>
      </w:r>
      <w:r>
        <w:rPr>
          <w:rtl/>
        </w:rPr>
        <w:t xml:space="preserve"> فيمكن أن يكون رسول الله قد حكي ذلك عنهم</w:t>
      </w:r>
      <w:r w:rsidR="000636C2">
        <w:rPr>
          <w:rtl/>
        </w:rPr>
        <w:t>،</w:t>
      </w:r>
      <w:r>
        <w:rPr>
          <w:rtl/>
        </w:rPr>
        <w:t xml:space="preserve"> ولم يسمع قتادة أول الكلام</w:t>
      </w:r>
      <w:r w:rsidR="000636C2">
        <w:rPr>
          <w:rtl/>
        </w:rPr>
        <w:t>،</w:t>
      </w:r>
      <w:r>
        <w:rPr>
          <w:rtl/>
        </w:rPr>
        <w:t xml:space="preserve"> وقد روي عبد الرحمن بن أحمد في كتاب السنة عن أبي سفيان قال</w:t>
      </w:r>
      <w:r w:rsidR="000636C2">
        <w:rPr>
          <w:rtl/>
        </w:rPr>
        <w:t>:</w:t>
      </w:r>
      <w:r>
        <w:rPr>
          <w:rtl/>
        </w:rPr>
        <w:t xml:space="preserve"> " رأيت الحسن قد وضع رجله اليمني علي شماله وهو قاعد</w:t>
      </w:r>
      <w:r w:rsidR="000636C2">
        <w:rPr>
          <w:rtl/>
        </w:rPr>
        <w:t>،</w:t>
      </w:r>
      <w:r>
        <w:rPr>
          <w:rtl/>
        </w:rPr>
        <w:t xml:space="preserve"> ف</w:t>
      </w:r>
      <w:r w:rsidR="000636C2">
        <w:rPr>
          <w:rtl/>
        </w:rPr>
        <w:t>(</w:t>
      </w:r>
      <w:r>
        <w:rPr>
          <w:rtl/>
        </w:rPr>
        <w:t>قلت</w:t>
      </w:r>
      <w:r w:rsidR="000636C2">
        <w:rPr>
          <w:rtl/>
        </w:rPr>
        <w:t>):</w:t>
      </w:r>
      <w:r>
        <w:rPr>
          <w:rtl/>
        </w:rPr>
        <w:t xml:space="preserve"> يا أبا سعيد تكره هذه العقدة .؟ فقال</w:t>
      </w:r>
      <w:r w:rsidR="000636C2">
        <w:rPr>
          <w:rtl/>
        </w:rPr>
        <w:t>:</w:t>
      </w:r>
      <w:r>
        <w:rPr>
          <w:rtl/>
        </w:rPr>
        <w:t xml:space="preserve"> قاتل الله اليهود ثم قرأ</w:t>
      </w:r>
      <w:r w:rsidR="000636C2">
        <w:rPr>
          <w:rtl/>
        </w:rPr>
        <w:t>:</w:t>
      </w:r>
      <w:r>
        <w:rPr>
          <w:rtl/>
        </w:rPr>
        <w:t xml:space="preserve"> </w:t>
      </w:r>
      <w:r w:rsidR="000636C2">
        <w:rPr>
          <w:rtl/>
        </w:rPr>
        <w:t>{</w:t>
      </w:r>
      <w:r>
        <w:rPr>
          <w:rtl/>
        </w:rPr>
        <w:t>ولقد خلقنا السماوات والأرض وما بينهما في ستة أيام وما مسنا من لغوب</w:t>
      </w:r>
      <w:r w:rsidR="000636C2">
        <w:rPr>
          <w:rtl/>
        </w:rPr>
        <w:t>}،</w:t>
      </w:r>
      <w:r>
        <w:rPr>
          <w:rtl/>
        </w:rPr>
        <w:t xml:space="preserve"> فعرفت ما عني فأمسكت</w:t>
      </w:r>
      <w:r w:rsidR="000636C2">
        <w:rPr>
          <w:rtl/>
        </w:rPr>
        <w:t>،</w:t>
      </w:r>
      <w:r>
        <w:rPr>
          <w:rtl/>
        </w:rPr>
        <w:t xml:space="preserve"> </w:t>
      </w:r>
      <w:r w:rsidR="000636C2">
        <w:rPr>
          <w:rtl/>
        </w:rPr>
        <w:t>(</w:t>
      </w:r>
      <w:r>
        <w:rPr>
          <w:rtl/>
        </w:rPr>
        <w:t>قلت</w:t>
      </w:r>
      <w:r w:rsidR="000636C2">
        <w:rPr>
          <w:rtl/>
        </w:rPr>
        <w:t>):</w:t>
      </w:r>
      <w:r>
        <w:rPr>
          <w:rtl/>
        </w:rPr>
        <w:t xml:space="preserve"> وإنما أشار الحسن إلى ما ذكرناه عن اليهود</w:t>
      </w:r>
      <w:r w:rsidR="000636C2">
        <w:rPr>
          <w:rtl/>
        </w:rPr>
        <w:t>، (</w:t>
      </w:r>
      <w:r>
        <w:rPr>
          <w:rtl/>
        </w:rPr>
        <w:t>قلت</w:t>
      </w:r>
      <w:r w:rsidR="000636C2">
        <w:rPr>
          <w:rtl/>
        </w:rPr>
        <w:t>):</w:t>
      </w:r>
      <w:r>
        <w:rPr>
          <w:rtl/>
        </w:rPr>
        <w:t xml:space="preserve"> إنما أشار الحسن إلى ما ذكرناه عن اليهود</w:t>
      </w:r>
      <w:r w:rsidR="000636C2">
        <w:rPr>
          <w:rtl/>
        </w:rPr>
        <w:t>،</w:t>
      </w:r>
      <w:r>
        <w:rPr>
          <w:rtl/>
        </w:rPr>
        <w:t xml:space="preserve"> وروينا عن العوام بن حوشب قال</w:t>
      </w:r>
      <w:r w:rsidR="000636C2">
        <w:rPr>
          <w:rtl/>
        </w:rPr>
        <w:t>:</w:t>
      </w:r>
      <w:r>
        <w:rPr>
          <w:rtl/>
        </w:rPr>
        <w:t xml:space="preserve"> سألت أبا مجلز عن رجل يجلس فوضع إحدى رجليه علي الأخرى فقال</w:t>
      </w:r>
      <w:r w:rsidR="000636C2">
        <w:rPr>
          <w:rtl/>
        </w:rPr>
        <w:t>:</w:t>
      </w:r>
      <w:r>
        <w:rPr>
          <w:rtl/>
        </w:rPr>
        <w:t xml:space="preserve"> لا بأس وإنما ذكره ذلك اليهود زعموا أن الله عز وجل خلق السماوات والأرض وما بينهما في ستة أيام</w:t>
      </w:r>
      <w:r w:rsidR="000636C2">
        <w:rPr>
          <w:rtl/>
        </w:rPr>
        <w:t>،</w:t>
      </w:r>
      <w:r>
        <w:rPr>
          <w:rtl/>
        </w:rPr>
        <w:t xml:space="preserve"> </w:t>
      </w:r>
      <w:r w:rsidR="000636C2">
        <w:rPr>
          <w:rtl/>
        </w:rPr>
        <w:t>(</w:t>
      </w:r>
      <w:r>
        <w:rPr>
          <w:rtl/>
        </w:rPr>
        <w:t>قلت</w:t>
      </w:r>
      <w:r w:rsidR="000636C2">
        <w:rPr>
          <w:rtl/>
        </w:rPr>
        <w:t>):</w:t>
      </w:r>
      <w:r>
        <w:rPr>
          <w:rtl/>
        </w:rPr>
        <w:t xml:space="preserve"> وقد تأول بعض العلماء الحديث الذي نحن فيه علي تقدير الصحة فقال</w:t>
      </w:r>
      <w:r w:rsidR="000636C2">
        <w:rPr>
          <w:rtl/>
        </w:rPr>
        <w:t>:</w:t>
      </w:r>
      <w:r>
        <w:rPr>
          <w:rtl/>
        </w:rPr>
        <w:t xml:space="preserve"> معني استلقي أتم خلقه</w:t>
      </w:r>
      <w:r w:rsidR="000636C2">
        <w:rPr>
          <w:rtl/>
        </w:rPr>
        <w:t>،</w:t>
      </w:r>
      <w:r>
        <w:rPr>
          <w:rtl/>
        </w:rPr>
        <w:t xml:space="preserve"> وفرغ فلان بني لفلان داره واستلقي علي ظهره أي لم يبق له فيها عمل . وقوله</w:t>
      </w:r>
      <w:r w:rsidR="000636C2">
        <w:rPr>
          <w:rtl/>
        </w:rPr>
        <w:t>:</w:t>
      </w:r>
      <w:r>
        <w:rPr>
          <w:rtl/>
        </w:rPr>
        <w:t xml:space="preserve"> وضع رجلا علي رجل أي وضع بعض المخلوقات علي بعض</w:t>
      </w:r>
      <w:r w:rsidR="000636C2">
        <w:rPr>
          <w:rtl/>
        </w:rPr>
        <w:t>،</w:t>
      </w:r>
      <w:r>
        <w:rPr>
          <w:rtl/>
        </w:rPr>
        <w:t xml:space="preserve"> وذهب القاضي إلى جعل الاستلقاء صفة وإن وضع رجلا علي رجل ثم قال</w:t>
      </w:r>
      <w:r w:rsidR="000636C2">
        <w:rPr>
          <w:rtl/>
        </w:rPr>
        <w:t>:</w:t>
      </w:r>
      <w:r>
        <w:rPr>
          <w:rtl/>
        </w:rPr>
        <w:t xml:space="preserve"> لا علي وجه يعقل معناه . قال</w:t>
      </w:r>
      <w:r w:rsidR="000636C2">
        <w:rPr>
          <w:rtl/>
        </w:rPr>
        <w:t>:</w:t>
      </w:r>
      <w:r>
        <w:rPr>
          <w:rtl/>
        </w:rPr>
        <w:t xml:space="preserve"> ويفيد الحديث إثبات رجلين</w:t>
      </w:r>
      <w:r w:rsidR="000636C2">
        <w:rPr>
          <w:rtl/>
        </w:rPr>
        <w:t>،</w:t>
      </w:r>
      <w:r>
        <w:rPr>
          <w:rtl/>
        </w:rPr>
        <w:t xml:space="preserve"> </w:t>
      </w:r>
      <w:r w:rsidR="000636C2">
        <w:rPr>
          <w:rtl/>
        </w:rPr>
        <w:t>(</w:t>
      </w:r>
      <w:r>
        <w:rPr>
          <w:rtl/>
        </w:rPr>
        <w:t>قلت</w:t>
      </w:r>
      <w:r w:rsidR="000636C2">
        <w:rPr>
          <w:rtl/>
        </w:rPr>
        <w:t>):</w:t>
      </w:r>
      <w:r>
        <w:rPr>
          <w:rtl/>
        </w:rPr>
        <w:t xml:space="preserve"> ولو لم يعقله ما أثبت من رجلين ولو لم نثبت صفات بمثل هذا الحديث المعلول</w:t>
      </w:r>
      <w:r w:rsidR="000636C2">
        <w:rPr>
          <w:rtl/>
        </w:rPr>
        <w:t>،</w:t>
      </w:r>
      <w:r>
        <w:rPr>
          <w:rtl/>
        </w:rPr>
        <w:t xml:space="preserve"> ولو لم يكن معلولا لم نثبت صفة بإخبار آحاد ولم لم يعقل معناه ما قال لا يصلح للبشر ولا كان يقع نهي وإنما النهي أشبه ما بين الفعلين . وقد صح عن رسول الله صلى الله عليه وسلم</w:t>
      </w:r>
      <w:r w:rsidR="000636C2">
        <w:rPr>
          <w:rtl/>
        </w:rPr>
        <w:t>،</w:t>
      </w:r>
      <w:r>
        <w:rPr>
          <w:rtl/>
        </w:rPr>
        <w:t xml:space="preserve"> وأبي بكر وعمر</w:t>
      </w:r>
      <w:r w:rsidR="000636C2">
        <w:rPr>
          <w:rtl/>
        </w:rPr>
        <w:t>،</w:t>
      </w:r>
      <w:r>
        <w:rPr>
          <w:rtl/>
        </w:rPr>
        <w:t xml:space="preserve"> أنهم كانوا يستلقون ويضعون رجلا علي رجل وإنما يكره هذا لمن لا سراويل له </w:t>
      </w:r>
    </w:p>
    <w:p w14:paraId="2ED3849C" w14:textId="5FA34346" w:rsidR="009C32A0" w:rsidRDefault="009C32A0" w:rsidP="000636C2">
      <w:pPr>
        <w:spacing w:after="240"/>
        <w:rPr>
          <w:rtl/>
        </w:rPr>
      </w:pPr>
      <w:r>
        <w:rPr>
          <w:bCs/>
          <w:rtl/>
        </w:rPr>
        <w:t>الحديث العاشر</w:t>
      </w:r>
      <w:r w:rsidR="000636C2">
        <w:rPr>
          <w:rtl/>
        </w:rPr>
        <w:t>:</w:t>
      </w:r>
      <w:r>
        <w:rPr>
          <w:rtl/>
        </w:rPr>
        <w:t xml:space="preserve"> روي القاضي عن ابن عطية أن رجلا من المشركين سب رسول الله صلى الله عليه وسلم فحمل عليه رجل من المسلمين فقاتله وقتل الرجل . فقال رسول الله</w:t>
      </w:r>
      <w:r w:rsidR="000636C2">
        <w:rPr>
          <w:rtl/>
        </w:rPr>
        <w:t xml:space="preserve"> </w:t>
      </w:r>
      <w:r>
        <w:rPr>
          <w:rtl/>
        </w:rPr>
        <w:t>صلى الله عليه وسلم</w:t>
      </w:r>
      <w:r w:rsidR="000636C2">
        <w:rPr>
          <w:rtl/>
        </w:rPr>
        <w:t>:</w:t>
      </w:r>
      <w:r>
        <w:rPr>
          <w:rtl/>
        </w:rPr>
        <w:t xml:space="preserve"> " ما تعجبون من نصر الله ورسوله لقي الله متكئا فقد له " </w:t>
      </w:r>
      <w:r w:rsidR="000636C2">
        <w:rPr>
          <w:rtl/>
        </w:rPr>
        <w:t>(</w:t>
      </w:r>
      <w:r>
        <w:rPr>
          <w:rtl/>
        </w:rPr>
        <w:t>قلت</w:t>
      </w:r>
      <w:r w:rsidR="000636C2">
        <w:rPr>
          <w:rtl/>
        </w:rPr>
        <w:t>):</w:t>
      </w:r>
      <w:r>
        <w:rPr>
          <w:rtl/>
        </w:rPr>
        <w:t xml:space="preserve"> هذا حديث مقطوع بعيد الصحة</w:t>
      </w:r>
      <w:r w:rsidR="000636C2">
        <w:rPr>
          <w:rtl/>
        </w:rPr>
        <w:t>،</w:t>
      </w:r>
      <w:r>
        <w:rPr>
          <w:rtl/>
        </w:rPr>
        <w:t xml:space="preserve"> ولو كان له وجه كان المعني</w:t>
      </w:r>
      <w:r w:rsidR="000636C2">
        <w:rPr>
          <w:rtl/>
        </w:rPr>
        <w:t>:</w:t>
      </w:r>
      <w:r>
        <w:rPr>
          <w:rtl/>
        </w:rPr>
        <w:t xml:space="preserve"> فاقبل عليه وأنعم</w:t>
      </w:r>
      <w:r w:rsidR="000636C2">
        <w:rPr>
          <w:rtl/>
        </w:rPr>
        <w:t>،</w:t>
      </w:r>
      <w:r>
        <w:rPr>
          <w:rtl/>
        </w:rPr>
        <w:t xml:space="preserve"> </w:t>
      </w:r>
    </w:p>
    <w:p w14:paraId="039312B7" w14:textId="548D5A72" w:rsidR="009C32A0" w:rsidRDefault="009C32A0" w:rsidP="000636C2">
      <w:pPr>
        <w:spacing w:after="240"/>
        <w:rPr>
          <w:rtl/>
        </w:rPr>
      </w:pPr>
      <w:r>
        <w:rPr>
          <w:bCs/>
          <w:rtl/>
        </w:rPr>
        <w:t>الحديث الحادي عشر</w:t>
      </w:r>
      <w:r w:rsidR="000636C2">
        <w:rPr>
          <w:rtl/>
        </w:rPr>
        <w:t>:</w:t>
      </w:r>
      <w:r>
        <w:rPr>
          <w:rtl/>
        </w:rPr>
        <w:t xml:space="preserve"> روي البخاري ومسلم في الصحيحين من حديث أنس بن مالك رضي الله عنه عن النبي صلى الله عليه وسلم قال</w:t>
      </w:r>
      <w:r w:rsidR="000636C2">
        <w:rPr>
          <w:rtl/>
        </w:rPr>
        <w:t>:</w:t>
      </w:r>
      <w:r>
        <w:rPr>
          <w:rtl/>
        </w:rPr>
        <w:t xml:space="preserve"> (</w:t>
      </w:r>
      <w:r w:rsidR="000636C2">
        <w:rPr>
          <w:rtl/>
        </w:rPr>
        <w:t>(</w:t>
      </w:r>
      <w:r>
        <w:rPr>
          <w:rtl/>
        </w:rPr>
        <w:t>لا تزال جهنم يلقي فيها وتقول</w:t>
      </w:r>
      <w:r w:rsidR="000636C2">
        <w:rPr>
          <w:rtl/>
        </w:rPr>
        <w:t>:</w:t>
      </w:r>
      <w:r>
        <w:rPr>
          <w:rtl/>
        </w:rPr>
        <w:t xml:space="preserve"> هل من مزيد</w:t>
      </w:r>
      <w:r w:rsidR="000636C2">
        <w:rPr>
          <w:rtl/>
        </w:rPr>
        <w:t>؟</w:t>
      </w:r>
      <w:r>
        <w:rPr>
          <w:rtl/>
        </w:rPr>
        <w:t xml:space="preserve"> حتي يضع رب العزة فيها قدمه فينزوي بعضها إلى بعض فتمتلئ</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الواجب علينا أن نعتقد أن ذات الله تعالى لا تتبعض ولا يحويها مكان ولا توصف بالتغير ولا بالانتقال . وقد حكي أبو عبيد الهروي عن الحسن البصري أنه قال</w:t>
      </w:r>
      <w:r w:rsidR="000636C2">
        <w:rPr>
          <w:rtl/>
        </w:rPr>
        <w:t>:</w:t>
      </w:r>
      <w:r>
        <w:rPr>
          <w:rtl/>
        </w:rPr>
        <w:t xml:space="preserve"> القدم</w:t>
      </w:r>
      <w:r w:rsidR="000636C2">
        <w:rPr>
          <w:rtl/>
        </w:rPr>
        <w:t>:</w:t>
      </w:r>
      <w:r>
        <w:rPr>
          <w:rtl/>
        </w:rPr>
        <w:t xml:space="preserve"> هم الذين قدمهم الله تعالى من شرار خلقه وأثبتهم لها</w:t>
      </w:r>
      <w:r w:rsidR="000636C2">
        <w:rPr>
          <w:rtl/>
        </w:rPr>
        <w:t>،</w:t>
      </w:r>
      <w:r>
        <w:rPr>
          <w:rtl/>
        </w:rPr>
        <w:t xml:space="preserve"> وقال الإمام بن الأعرابي</w:t>
      </w:r>
      <w:r w:rsidR="000636C2">
        <w:rPr>
          <w:rtl/>
        </w:rPr>
        <w:t>:</w:t>
      </w:r>
      <w:r>
        <w:rPr>
          <w:rtl/>
        </w:rPr>
        <w:t xml:space="preserve"> القدم المتقدم</w:t>
      </w:r>
      <w:r w:rsidR="000636C2">
        <w:rPr>
          <w:rtl/>
        </w:rPr>
        <w:t>،</w:t>
      </w:r>
      <w:r>
        <w:rPr>
          <w:rtl/>
        </w:rPr>
        <w:t xml:space="preserve"> وروي أبو بكر البيهقي عن النضر بن شميل أنه قال</w:t>
      </w:r>
      <w:r w:rsidR="000636C2">
        <w:rPr>
          <w:rtl/>
        </w:rPr>
        <w:t>:</w:t>
      </w:r>
      <w:r>
        <w:rPr>
          <w:rtl/>
        </w:rPr>
        <w:t xml:space="preserve"> القدم ههنا الكفار الذين سبق في علم الله انهم من أهل النار</w:t>
      </w:r>
      <w:r w:rsidR="000636C2">
        <w:rPr>
          <w:rtl/>
        </w:rPr>
        <w:t>،</w:t>
      </w:r>
      <w:r>
        <w:rPr>
          <w:rtl/>
        </w:rPr>
        <w:t xml:space="preserve"> وقال أبو منصور الأزهري</w:t>
      </w:r>
      <w:r w:rsidR="000636C2">
        <w:rPr>
          <w:rtl/>
        </w:rPr>
        <w:t>:</w:t>
      </w:r>
      <w:r>
        <w:rPr>
          <w:rtl/>
        </w:rPr>
        <w:t xml:space="preserve"> القدم هم الذين قدم الله بتخليدهم في النار </w:t>
      </w:r>
      <w:r w:rsidR="000636C2">
        <w:rPr>
          <w:rtl/>
        </w:rPr>
        <w:t>(</w:t>
      </w:r>
      <w:r>
        <w:rPr>
          <w:rtl/>
        </w:rPr>
        <w:t xml:space="preserve">فعلي هذا يكون في المعني وجهين </w:t>
      </w:r>
      <w:r w:rsidR="000636C2">
        <w:rPr>
          <w:rtl/>
        </w:rPr>
        <w:t>(</w:t>
      </w:r>
      <w:r>
        <w:rPr>
          <w:rtl/>
        </w:rPr>
        <w:t>أحدهما</w:t>
      </w:r>
      <w:r w:rsidR="000636C2">
        <w:rPr>
          <w:rtl/>
        </w:rPr>
        <w:t>)::</w:t>
      </w:r>
      <w:r>
        <w:rPr>
          <w:rtl/>
        </w:rPr>
        <w:t xml:space="preserve"> كل شيء قدمه</w:t>
      </w:r>
      <w:r w:rsidR="000636C2">
        <w:rPr>
          <w:rtl/>
        </w:rPr>
        <w:t>،</w:t>
      </w:r>
      <w:r>
        <w:rPr>
          <w:rtl/>
        </w:rPr>
        <w:t xml:space="preserve"> يقال لما قدم</w:t>
      </w:r>
      <w:r w:rsidR="000636C2">
        <w:rPr>
          <w:rtl/>
        </w:rPr>
        <w:t>،</w:t>
      </w:r>
      <w:r>
        <w:rPr>
          <w:rtl/>
        </w:rPr>
        <w:t xml:space="preserve"> ولما هدم هدم ويؤيد هذا قوله في تمام الحديث (</w:t>
      </w:r>
      <w:r w:rsidR="000636C2">
        <w:rPr>
          <w:rtl/>
        </w:rPr>
        <w:t>(</w:t>
      </w:r>
      <w:r>
        <w:rPr>
          <w:rtl/>
        </w:rPr>
        <w:t>وأما الجنة فينشئ لها خلقا</w:t>
      </w:r>
      <w:r w:rsidR="000636C2">
        <w:rPr>
          <w:rtl/>
        </w:rPr>
        <w:t>)</w:t>
      </w:r>
      <w:r>
        <w:rPr>
          <w:rtl/>
        </w:rPr>
        <w:t>)</w:t>
      </w:r>
      <w:r w:rsidR="000636C2">
        <w:rPr>
          <w:rtl/>
        </w:rPr>
        <w:t>،</w:t>
      </w:r>
      <w:r>
        <w:rPr>
          <w:rtl/>
        </w:rPr>
        <w:t xml:space="preserve"> ووجه ثان</w:t>
      </w:r>
      <w:r w:rsidR="000636C2">
        <w:rPr>
          <w:rtl/>
        </w:rPr>
        <w:t>:</w:t>
      </w:r>
      <w:r>
        <w:rPr>
          <w:rtl/>
        </w:rPr>
        <w:t xml:space="preserve"> إن لكل قادم عليها سمي قادما</w:t>
      </w:r>
      <w:r w:rsidR="000636C2">
        <w:rPr>
          <w:rtl/>
        </w:rPr>
        <w:t>،</w:t>
      </w:r>
      <w:r>
        <w:rPr>
          <w:rtl/>
        </w:rPr>
        <w:t xml:space="preserve"> فالقدم جمع قادم</w:t>
      </w:r>
      <w:r w:rsidR="000636C2">
        <w:rPr>
          <w:rtl/>
        </w:rPr>
        <w:t>،</w:t>
      </w:r>
      <w:r>
        <w:rPr>
          <w:rtl/>
        </w:rPr>
        <w:t xml:space="preserve"> فبعض الرواة رواه بما يظنه المعني من أن المقدم الرجل</w:t>
      </w:r>
      <w:r w:rsidR="000636C2">
        <w:rPr>
          <w:rtl/>
        </w:rPr>
        <w:t>،</w:t>
      </w:r>
      <w:r>
        <w:rPr>
          <w:rtl/>
        </w:rPr>
        <w:t xml:space="preserve"> وقد رواه الطبراني من طرق</w:t>
      </w:r>
      <w:r w:rsidR="000636C2">
        <w:rPr>
          <w:rtl/>
        </w:rPr>
        <w:t>،</w:t>
      </w:r>
      <w:r>
        <w:rPr>
          <w:rtl/>
        </w:rPr>
        <w:t xml:space="preserve"> فقال</w:t>
      </w:r>
      <w:r w:rsidR="000636C2">
        <w:rPr>
          <w:rtl/>
        </w:rPr>
        <w:t>:</w:t>
      </w:r>
      <w:r>
        <w:rPr>
          <w:rtl/>
        </w:rPr>
        <w:t xml:space="preserve"> قدمه ورجله </w:t>
      </w:r>
      <w:r w:rsidR="000636C2">
        <w:rPr>
          <w:rtl/>
        </w:rPr>
        <w:t>(</w:t>
      </w:r>
      <w:r>
        <w:rPr>
          <w:rtl/>
        </w:rPr>
        <w:t>قلت</w:t>
      </w:r>
      <w:r w:rsidR="000636C2">
        <w:rPr>
          <w:rtl/>
        </w:rPr>
        <w:t>):</w:t>
      </w:r>
      <w:r>
        <w:rPr>
          <w:rtl/>
        </w:rPr>
        <w:t xml:space="preserve"> وهذا دليل علي تغيير الرواة بما يظنونه علي أن الرجل في اللغة جماعة</w:t>
      </w:r>
      <w:r w:rsidR="000636C2">
        <w:rPr>
          <w:rtl/>
        </w:rPr>
        <w:t>،</w:t>
      </w:r>
      <w:r>
        <w:rPr>
          <w:rtl/>
        </w:rPr>
        <w:t xml:space="preserve"> ومن يرويه بلفظ الرجل فإنه يقول</w:t>
      </w:r>
      <w:r w:rsidR="000636C2">
        <w:rPr>
          <w:rtl/>
        </w:rPr>
        <w:t>:</w:t>
      </w:r>
      <w:r>
        <w:rPr>
          <w:rtl/>
        </w:rPr>
        <w:t xml:space="preserve"> رجل من جراد . فيكون المراد يدخلها جماعة يشبهون في كثرتهم رجل الجراد</w:t>
      </w:r>
      <w:r w:rsidR="000636C2">
        <w:rPr>
          <w:rtl/>
        </w:rPr>
        <w:t>،</w:t>
      </w:r>
      <w:r>
        <w:rPr>
          <w:rtl/>
        </w:rPr>
        <w:t xml:space="preserve"> فيسرعون التهافت فيها</w:t>
      </w:r>
      <w:r w:rsidR="000636C2">
        <w:rPr>
          <w:rtl/>
        </w:rPr>
        <w:t>،</w:t>
      </w:r>
      <w:r>
        <w:rPr>
          <w:rtl/>
        </w:rPr>
        <w:t xml:space="preserve"> قال القاضي القدم صفة ذاتية . وقال بن الزاغوني</w:t>
      </w:r>
      <w:r w:rsidR="000636C2">
        <w:rPr>
          <w:rtl/>
        </w:rPr>
        <w:t>:</w:t>
      </w:r>
      <w:r>
        <w:rPr>
          <w:rtl/>
        </w:rPr>
        <w:t xml:space="preserve"> نقول إنما وضع قدمه في النار ليخبرهم أن أصنافهم تحترق وأنا لا أحرق . </w:t>
      </w:r>
      <w:r w:rsidR="000636C2">
        <w:rPr>
          <w:rtl/>
        </w:rPr>
        <w:t>(</w:t>
      </w:r>
      <w:r>
        <w:rPr>
          <w:rtl/>
        </w:rPr>
        <w:t>قلت</w:t>
      </w:r>
      <w:r w:rsidR="000636C2">
        <w:rPr>
          <w:rtl/>
        </w:rPr>
        <w:t>):</w:t>
      </w:r>
      <w:r>
        <w:rPr>
          <w:rtl/>
        </w:rPr>
        <w:t xml:space="preserve"> وهذا إثبات تبعيض</w:t>
      </w:r>
      <w:r w:rsidR="000636C2">
        <w:rPr>
          <w:rtl/>
        </w:rPr>
        <w:t>،</w:t>
      </w:r>
      <w:r>
        <w:rPr>
          <w:rtl/>
        </w:rPr>
        <w:t xml:space="preserve"> وهو من أقبح الاعتقادات</w:t>
      </w:r>
      <w:r w:rsidR="000636C2">
        <w:rPr>
          <w:rtl/>
        </w:rPr>
        <w:t>،</w:t>
      </w:r>
      <w:r>
        <w:rPr>
          <w:rtl/>
        </w:rPr>
        <w:t xml:space="preserve"> </w:t>
      </w:r>
      <w:r w:rsidR="000636C2">
        <w:rPr>
          <w:rtl/>
        </w:rPr>
        <w:t>(</w:t>
      </w:r>
      <w:r>
        <w:rPr>
          <w:rtl/>
        </w:rPr>
        <w:t>قلت</w:t>
      </w:r>
      <w:r w:rsidR="000636C2">
        <w:rPr>
          <w:rtl/>
        </w:rPr>
        <w:t>):</w:t>
      </w:r>
      <w:r>
        <w:rPr>
          <w:rtl/>
        </w:rPr>
        <w:t xml:space="preserve"> ورأيت أبا بكر بن خزيمة قد جمع كتابا في الصفات وبوبه فقال</w:t>
      </w:r>
      <w:r w:rsidR="000636C2">
        <w:rPr>
          <w:rtl/>
        </w:rPr>
        <w:t>:</w:t>
      </w:r>
      <w:r>
        <w:rPr>
          <w:rtl/>
        </w:rPr>
        <w:t xml:space="preserve"> باب إثبات اليد</w:t>
      </w:r>
      <w:r w:rsidR="000636C2">
        <w:rPr>
          <w:rtl/>
        </w:rPr>
        <w:t>،</w:t>
      </w:r>
      <w:r>
        <w:rPr>
          <w:rtl/>
        </w:rPr>
        <w:t xml:space="preserve"> باب إمساك السماوات علي أصابعه</w:t>
      </w:r>
      <w:r w:rsidR="000636C2">
        <w:rPr>
          <w:rtl/>
        </w:rPr>
        <w:t>،</w:t>
      </w:r>
      <w:r>
        <w:rPr>
          <w:rtl/>
        </w:rPr>
        <w:t xml:space="preserve"> باب إثبات الرجل وإن رغمت أنوف المعتزلة ثم قال</w:t>
      </w:r>
      <w:r w:rsidR="000636C2">
        <w:rPr>
          <w:rtl/>
        </w:rPr>
        <w:t>:</w:t>
      </w:r>
      <w:r>
        <w:rPr>
          <w:rtl/>
        </w:rPr>
        <w:t xml:space="preserve"> قال الله تعالى</w:t>
      </w:r>
      <w:r w:rsidR="000636C2">
        <w:rPr>
          <w:rtl/>
        </w:rPr>
        <w:t>:</w:t>
      </w:r>
      <w:r>
        <w:rPr>
          <w:rtl/>
        </w:rPr>
        <w:t xml:space="preserve"> </w:t>
      </w:r>
      <w:r w:rsidR="000636C2">
        <w:rPr>
          <w:rtl/>
        </w:rPr>
        <w:t>{</w:t>
      </w:r>
      <w:r>
        <w:rPr>
          <w:rtl/>
        </w:rPr>
        <w:t>ألهم أرجل يمشون بها أم لهم أيد يبطشون بها</w:t>
      </w:r>
      <w:r w:rsidR="000636C2">
        <w:rPr>
          <w:rtl/>
        </w:rPr>
        <w:t>}،</w:t>
      </w:r>
      <w:r>
        <w:rPr>
          <w:rtl/>
        </w:rPr>
        <w:t xml:space="preserve"> فأعلمنا أن من لا يد له ولا رجل فهو كالأنعام</w:t>
      </w:r>
      <w:r w:rsidR="000636C2">
        <w:rPr>
          <w:rtl/>
        </w:rPr>
        <w:t>،</w:t>
      </w:r>
      <w:r>
        <w:rPr>
          <w:rtl/>
        </w:rPr>
        <w:t xml:space="preserve"> </w:t>
      </w:r>
      <w:r w:rsidR="000636C2">
        <w:rPr>
          <w:rtl/>
        </w:rPr>
        <w:t>(</w:t>
      </w:r>
      <w:r>
        <w:rPr>
          <w:rtl/>
        </w:rPr>
        <w:t>قلت</w:t>
      </w:r>
      <w:r w:rsidR="000636C2">
        <w:rPr>
          <w:rtl/>
        </w:rPr>
        <w:t>):</w:t>
      </w:r>
      <w:r>
        <w:rPr>
          <w:rtl/>
        </w:rPr>
        <w:t xml:space="preserve"> وإني لأعجب من هذا الرجل مع علو قدره في علم النقل</w:t>
      </w:r>
      <w:r w:rsidR="000636C2">
        <w:rPr>
          <w:rtl/>
        </w:rPr>
        <w:t>،</w:t>
      </w:r>
      <w:r>
        <w:rPr>
          <w:rtl/>
        </w:rPr>
        <w:t xml:space="preserve"> يقول هذا ويثبت لله ما ذم الأصنام بعدمه من اليد الباطشة والرجل الماشية</w:t>
      </w:r>
      <w:r w:rsidR="000636C2">
        <w:rPr>
          <w:rtl/>
        </w:rPr>
        <w:t>،</w:t>
      </w:r>
      <w:r>
        <w:rPr>
          <w:rtl/>
        </w:rPr>
        <w:t xml:space="preserve"> ويلزمه أن يثبت الأذن</w:t>
      </w:r>
      <w:r w:rsidR="000636C2">
        <w:rPr>
          <w:rtl/>
        </w:rPr>
        <w:t>،</w:t>
      </w:r>
      <w:r>
        <w:rPr>
          <w:rtl/>
        </w:rPr>
        <w:t xml:space="preserve"> ولو رزق الفهم لما تكلم بهذا</w:t>
      </w:r>
      <w:r w:rsidR="000636C2">
        <w:rPr>
          <w:rtl/>
        </w:rPr>
        <w:t>،</w:t>
      </w:r>
      <w:r>
        <w:rPr>
          <w:rtl/>
        </w:rPr>
        <w:t xml:space="preserve"> وافهم أن الله تعالى عاب الأصنام عند عابديها</w:t>
      </w:r>
      <w:r w:rsidR="000636C2">
        <w:rPr>
          <w:rtl/>
        </w:rPr>
        <w:t>،</w:t>
      </w:r>
      <w:r>
        <w:rPr>
          <w:rtl/>
        </w:rPr>
        <w:t xml:space="preserve"> والمعني</w:t>
      </w:r>
      <w:r w:rsidR="000636C2">
        <w:rPr>
          <w:rtl/>
        </w:rPr>
        <w:t>:</w:t>
      </w:r>
      <w:r>
        <w:rPr>
          <w:rtl/>
        </w:rPr>
        <w:t xml:space="preserve"> لكم أيد وأرجل فكيف عبدتم ناقصا لا يد له يبطش ولا رجل يمشي بها</w:t>
      </w:r>
      <w:r w:rsidR="000636C2">
        <w:rPr>
          <w:rtl/>
        </w:rPr>
        <w:t>،</w:t>
      </w:r>
      <w:r>
        <w:rPr>
          <w:rtl/>
        </w:rPr>
        <w:t xml:space="preserve"> قال بن عقيل</w:t>
      </w:r>
      <w:r w:rsidR="000636C2">
        <w:rPr>
          <w:rtl/>
        </w:rPr>
        <w:t>:</w:t>
      </w:r>
      <w:r>
        <w:rPr>
          <w:rtl/>
        </w:rPr>
        <w:t xml:space="preserve"> تعالى الله أن يكون له صفة تشغل الأمكنة</w:t>
      </w:r>
      <w:r w:rsidR="000636C2">
        <w:rPr>
          <w:rtl/>
        </w:rPr>
        <w:t>،</w:t>
      </w:r>
      <w:r>
        <w:rPr>
          <w:rtl/>
        </w:rPr>
        <w:t xml:space="preserve"> هذا عين التجسيم</w:t>
      </w:r>
      <w:r w:rsidR="000636C2">
        <w:rPr>
          <w:rtl/>
        </w:rPr>
        <w:t>،</w:t>
      </w:r>
      <w:r>
        <w:rPr>
          <w:rtl/>
        </w:rPr>
        <w:t xml:space="preserve"> وليس الحق بذي أجزاء وأبعاض يعالج بها</w:t>
      </w:r>
      <w:r w:rsidR="000636C2">
        <w:rPr>
          <w:rtl/>
        </w:rPr>
        <w:t>،</w:t>
      </w:r>
      <w:r>
        <w:rPr>
          <w:rtl/>
        </w:rPr>
        <w:t xml:space="preserve"> ثم إنه لا يعمل في النار أمره وتكوينه حتي يستعين بشيء من ذاته ويعالجها بصفة من صفاته وهو القائل</w:t>
      </w:r>
      <w:r w:rsidR="000636C2">
        <w:rPr>
          <w:rtl/>
        </w:rPr>
        <w:t>:</w:t>
      </w:r>
      <w:r>
        <w:rPr>
          <w:rtl/>
        </w:rPr>
        <w:t xml:space="preserve"> </w:t>
      </w:r>
      <w:r w:rsidR="000636C2">
        <w:rPr>
          <w:rtl/>
        </w:rPr>
        <w:t>{</w:t>
      </w:r>
      <w:r>
        <w:rPr>
          <w:rtl/>
        </w:rPr>
        <w:t>كوني بردا وسلاما</w:t>
      </w:r>
      <w:r w:rsidR="000636C2">
        <w:rPr>
          <w:rtl/>
        </w:rPr>
        <w:t>}،</w:t>
      </w:r>
      <w:r>
        <w:rPr>
          <w:rtl/>
        </w:rPr>
        <w:t xml:space="preserve"> فما اسخف هذا الاعتقاد وأبعده من مكون الأملاك والأفلاك فقد نطق بتكذيبهم فقال تعالى</w:t>
      </w:r>
      <w:r w:rsidR="000636C2">
        <w:rPr>
          <w:rtl/>
        </w:rPr>
        <w:t>:</w:t>
      </w:r>
      <w:r>
        <w:rPr>
          <w:rtl/>
        </w:rPr>
        <w:t xml:space="preserve"> </w:t>
      </w:r>
      <w:r w:rsidR="000636C2">
        <w:rPr>
          <w:rtl/>
        </w:rPr>
        <w:t>{</w:t>
      </w:r>
      <w:r>
        <w:rPr>
          <w:rtl/>
        </w:rPr>
        <w:t>لوكان هؤلاء آلهة ما وردوها</w:t>
      </w:r>
      <w:r w:rsidR="000636C2">
        <w:rPr>
          <w:rtl/>
        </w:rPr>
        <w:t>}،</w:t>
      </w:r>
      <w:r>
        <w:rPr>
          <w:rtl/>
        </w:rPr>
        <w:t xml:space="preserve"> فكيف يظن بالخالق أنه يردها</w:t>
      </w:r>
      <w:r w:rsidR="000636C2">
        <w:rPr>
          <w:rtl/>
        </w:rPr>
        <w:t>؟</w:t>
      </w:r>
      <w:r>
        <w:rPr>
          <w:rtl/>
        </w:rPr>
        <w:t xml:space="preserve"> تعالى الله عن تجاهل المجسمة</w:t>
      </w:r>
      <w:r w:rsidR="000636C2">
        <w:rPr>
          <w:rtl/>
        </w:rPr>
        <w:t>،</w:t>
      </w:r>
      <w:r>
        <w:rPr>
          <w:rtl/>
        </w:rPr>
        <w:t xml:space="preserve"> </w:t>
      </w:r>
    </w:p>
    <w:p w14:paraId="3C41B93E" w14:textId="096C98D9" w:rsidR="009C32A0" w:rsidRDefault="009C32A0" w:rsidP="000636C2">
      <w:pPr>
        <w:spacing w:after="240"/>
        <w:rPr>
          <w:rtl/>
        </w:rPr>
      </w:pPr>
      <w:r>
        <w:rPr>
          <w:bCs/>
          <w:rtl/>
        </w:rPr>
        <w:t>الحديث الثاني عشر</w:t>
      </w:r>
      <w:r w:rsidR="000636C2">
        <w:rPr>
          <w:rtl/>
        </w:rPr>
        <w:t>:</w:t>
      </w:r>
      <w:r>
        <w:rPr>
          <w:rtl/>
        </w:rPr>
        <w:t xml:space="preserve"> روي أبو هريرة رضي الله عنه</w:t>
      </w:r>
      <w:r w:rsidR="000636C2">
        <w:rPr>
          <w:rtl/>
        </w:rPr>
        <w:t xml:space="preserve"> </w:t>
      </w:r>
      <w:r>
        <w:rPr>
          <w:rtl/>
        </w:rPr>
        <w:t>عن النبي صلى الله عليه وسلم أنه قال</w:t>
      </w:r>
      <w:r w:rsidR="000636C2">
        <w:rPr>
          <w:rtl/>
        </w:rPr>
        <w:t>:</w:t>
      </w:r>
      <w:r>
        <w:rPr>
          <w:rtl/>
        </w:rPr>
        <w:t xml:space="preserve"> " ضرس الكافر مثل أحد</w:t>
      </w:r>
      <w:r w:rsidR="000636C2">
        <w:rPr>
          <w:rtl/>
        </w:rPr>
        <w:t>،</w:t>
      </w:r>
      <w:r>
        <w:rPr>
          <w:rtl/>
        </w:rPr>
        <w:t xml:space="preserve"> وكثافة جلده اثنان وأربعون ذراعا بذراع الجبار ". قال أبو عمر الزاهد</w:t>
      </w:r>
      <w:r w:rsidR="000636C2">
        <w:rPr>
          <w:rtl/>
        </w:rPr>
        <w:t>:</w:t>
      </w:r>
      <w:r>
        <w:rPr>
          <w:rtl/>
        </w:rPr>
        <w:t xml:space="preserve"> الجبار ها هنا الطويل</w:t>
      </w:r>
      <w:r w:rsidR="000636C2">
        <w:rPr>
          <w:rtl/>
        </w:rPr>
        <w:t>،</w:t>
      </w:r>
      <w:r>
        <w:rPr>
          <w:rtl/>
        </w:rPr>
        <w:t xml:space="preserve"> يقال نخلة جبارة</w:t>
      </w:r>
      <w:r w:rsidR="000636C2">
        <w:rPr>
          <w:rtl/>
        </w:rPr>
        <w:t>،</w:t>
      </w:r>
      <w:r>
        <w:rPr>
          <w:rtl/>
        </w:rPr>
        <w:t xml:space="preserve"> قال بن قتيبة</w:t>
      </w:r>
      <w:r w:rsidR="000636C2">
        <w:rPr>
          <w:rtl/>
        </w:rPr>
        <w:t>:</w:t>
      </w:r>
      <w:r>
        <w:rPr>
          <w:rtl/>
        </w:rPr>
        <w:t xml:space="preserve"> الجبار ها هنا الملك</w:t>
      </w:r>
      <w:r w:rsidR="000636C2">
        <w:rPr>
          <w:rtl/>
        </w:rPr>
        <w:t>،</w:t>
      </w:r>
      <w:r>
        <w:rPr>
          <w:rtl/>
        </w:rPr>
        <w:t xml:space="preserve"> والجبابرة الملوك</w:t>
      </w:r>
      <w:r w:rsidR="000636C2">
        <w:rPr>
          <w:rtl/>
        </w:rPr>
        <w:t>،</w:t>
      </w:r>
      <w:r>
        <w:rPr>
          <w:rtl/>
        </w:rPr>
        <w:t xml:space="preserve"> قال القاضي نحمله علي ظاهره . وإن الجبار هو الله تعالى</w:t>
      </w:r>
      <w:r w:rsidR="000636C2">
        <w:rPr>
          <w:rtl/>
        </w:rPr>
        <w:t>،</w:t>
      </w:r>
      <w:r>
        <w:rPr>
          <w:rtl/>
        </w:rPr>
        <w:t xml:space="preserve"> لأننا لا نثبت ذراعا هو جارحة .قلت واعجبا إذ ذهبت العقول إلى هذا الحد</w:t>
      </w:r>
      <w:r w:rsidR="000636C2">
        <w:rPr>
          <w:rtl/>
        </w:rPr>
        <w:t>؟</w:t>
      </w:r>
      <w:r>
        <w:rPr>
          <w:rtl/>
        </w:rPr>
        <w:t xml:space="preserve"> قال</w:t>
      </w:r>
      <w:r w:rsidR="000636C2">
        <w:rPr>
          <w:rtl/>
        </w:rPr>
        <w:t>:</w:t>
      </w:r>
      <w:r>
        <w:rPr>
          <w:rtl/>
        </w:rPr>
        <w:t xml:space="preserve"> ويجوز أن يقال إن الذراع اثنان وأربعون مرة</w:t>
      </w:r>
      <w:r w:rsidR="000636C2">
        <w:rPr>
          <w:rtl/>
        </w:rPr>
        <w:t>،</w:t>
      </w:r>
      <w:r>
        <w:rPr>
          <w:rtl/>
        </w:rPr>
        <w:t xml:space="preserve"> حتي يبلغ جلد الكافر</w:t>
      </w:r>
      <w:r w:rsidR="000636C2">
        <w:rPr>
          <w:rtl/>
        </w:rPr>
        <w:t>،</w:t>
      </w:r>
      <w:r>
        <w:rPr>
          <w:rtl/>
        </w:rPr>
        <w:t xml:space="preserve"> ويضاف إلى الذات القديم</w:t>
      </w:r>
      <w:r w:rsidR="000636C2">
        <w:rPr>
          <w:rtl/>
        </w:rPr>
        <w:t>،</w:t>
      </w:r>
      <w:r>
        <w:rPr>
          <w:rtl/>
        </w:rPr>
        <w:t xml:space="preserve"> </w:t>
      </w:r>
      <w:r w:rsidR="000636C2">
        <w:rPr>
          <w:rtl/>
        </w:rPr>
        <w:t>(</w:t>
      </w:r>
      <w:r>
        <w:rPr>
          <w:rtl/>
        </w:rPr>
        <w:t>ثم قال ليس بجارحة</w:t>
      </w:r>
      <w:r w:rsidR="000636C2">
        <w:rPr>
          <w:rtl/>
        </w:rPr>
        <w:t>،</w:t>
      </w:r>
      <w:r>
        <w:rPr>
          <w:rtl/>
        </w:rPr>
        <w:t xml:space="preserve"> فإذا لم يكن جارحة كيف ينشئ أربعين مرة</w:t>
      </w:r>
      <w:r w:rsidR="000636C2">
        <w:rPr>
          <w:rtl/>
        </w:rPr>
        <w:t>)</w:t>
      </w:r>
      <w:r>
        <w:rPr>
          <w:rtl/>
        </w:rPr>
        <w:t xml:space="preserve"> . تعالى الله عن ذلك علوا كبيرا</w:t>
      </w:r>
      <w:r w:rsidR="000636C2">
        <w:rPr>
          <w:rtl/>
        </w:rPr>
        <w:t>،</w:t>
      </w:r>
      <w:r>
        <w:rPr>
          <w:rtl/>
        </w:rPr>
        <w:t xml:space="preserve"> </w:t>
      </w:r>
    </w:p>
    <w:p w14:paraId="406C534B" w14:textId="40DFE366" w:rsidR="009C32A0" w:rsidRDefault="009C32A0" w:rsidP="000636C2">
      <w:pPr>
        <w:spacing w:after="240"/>
        <w:rPr>
          <w:rtl/>
        </w:rPr>
      </w:pPr>
      <w:r>
        <w:rPr>
          <w:bCs/>
          <w:rtl/>
        </w:rPr>
        <w:t>الحديث الثالث عشر</w:t>
      </w:r>
      <w:r w:rsidR="000636C2">
        <w:rPr>
          <w:rtl/>
        </w:rPr>
        <w:t>:</w:t>
      </w:r>
      <w:r>
        <w:rPr>
          <w:rtl/>
        </w:rPr>
        <w:t xml:space="preserve"> روي القاضي عن مجاهد أنه قال</w:t>
      </w:r>
      <w:r w:rsidR="000636C2">
        <w:rPr>
          <w:rtl/>
        </w:rPr>
        <w:t>:</w:t>
      </w:r>
      <w:r>
        <w:rPr>
          <w:rtl/>
        </w:rPr>
        <w:t xml:space="preserve"> إذا كان يوم القيامة يذكر داود ذنبه فيقول الله</w:t>
      </w:r>
      <w:r w:rsidR="000636C2">
        <w:rPr>
          <w:rtl/>
        </w:rPr>
        <w:t>:</w:t>
      </w:r>
      <w:r>
        <w:rPr>
          <w:rtl/>
        </w:rPr>
        <w:t xml:space="preserve"> " كن أمامي فيقول رب ذنبي</w:t>
      </w:r>
      <w:r w:rsidR="000636C2">
        <w:rPr>
          <w:rtl/>
        </w:rPr>
        <w:t>،</w:t>
      </w:r>
      <w:r>
        <w:rPr>
          <w:rtl/>
        </w:rPr>
        <w:t xml:space="preserve"> فيقول كن خلفي</w:t>
      </w:r>
      <w:r w:rsidR="000636C2">
        <w:rPr>
          <w:rtl/>
        </w:rPr>
        <w:t>،</w:t>
      </w:r>
      <w:r>
        <w:rPr>
          <w:rtl/>
        </w:rPr>
        <w:t xml:space="preserve"> فيقول</w:t>
      </w:r>
      <w:r w:rsidR="000636C2">
        <w:rPr>
          <w:rtl/>
        </w:rPr>
        <w:t>:</w:t>
      </w:r>
      <w:r>
        <w:rPr>
          <w:rtl/>
        </w:rPr>
        <w:t xml:space="preserve"> يا رب ذنبي</w:t>
      </w:r>
      <w:r w:rsidR="000636C2">
        <w:rPr>
          <w:rtl/>
        </w:rPr>
        <w:t>،</w:t>
      </w:r>
      <w:r>
        <w:rPr>
          <w:rtl/>
        </w:rPr>
        <w:t xml:space="preserve"> فيقول</w:t>
      </w:r>
      <w:r w:rsidR="000636C2">
        <w:rPr>
          <w:rtl/>
        </w:rPr>
        <w:t>:</w:t>
      </w:r>
      <w:r>
        <w:rPr>
          <w:rtl/>
        </w:rPr>
        <w:t xml:space="preserve"> خذ قدمي "</w:t>
      </w:r>
      <w:r w:rsidR="000636C2">
        <w:rPr>
          <w:rtl/>
        </w:rPr>
        <w:t>،</w:t>
      </w:r>
      <w:r>
        <w:rPr>
          <w:rtl/>
        </w:rPr>
        <w:t xml:space="preserve"> قال</w:t>
      </w:r>
      <w:r w:rsidR="000636C2">
        <w:rPr>
          <w:rtl/>
        </w:rPr>
        <w:t>:</w:t>
      </w:r>
      <w:r>
        <w:rPr>
          <w:rtl/>
        </w:rPr>
        <w:t xml:space="preserve"> وفي لفظ عن بن سيرين قال الله تعالى</w:t>
      </w:r>
      <w:r w:rsidR="000636C2">
        <w:rPr>
          <w:rtl/>
        </w:rPr>
        <w:t>:</w:t>
      </w:r>
      <w:r>
        <w:rPr>
          <w:rtl/>
        </w:rPr>
        <w:t xml:space="preserve"> " ليقرب داود حتي يضع يده علي فخذه "</w:t>
      </w:r>
      <w:r w:rsidR="000636C2">
        <w:rPr>
          <w:rtl/>
        </w:rPr>
        <w:t>،</w:t>
      </w:r>
      <w:r>
        <w:rPr>
          <w:rtl/>
        </w:rPr>
        <w:t xml:space="preserve"> </w:t>
      </w:r>
      <w:r w:rsidR="000636C2">
        <w:rPr>
          <w:rtl/>
        </w:rPr>
        <w:t>(</w:t>
      </w:r>
      <w:r>
        <w:rPr>
          <w:rtl/>
        </w:rPr>
        <w:t>قلت</w:t>
      </w:r>
      <w:r w:rsidR="000636C2">
        <w:rPr>
          <w:rtl/>
        </w:rPr>
        <w:t>):</w:t>
      </w:r>
      <w:r>
        <w:rPr>
          <w:rtl/>
        </w:rPr>
        <w:t xml:space="preserve"> والعجب من إثبات صفات الحق سبحانه وتعالى بأقوال التابعين</w:t>
      </w:r>
      <w:r w:rsidR="000636C2">
        <w:rPr>
          <w:rtl/>
        </w:rPr>
        <w:t>،</w:t>
      </w:r>
      <w:r>
        <w:rPr>
          <w:rtl/>
        </w:rPr>
        <w:t xml:space="preserve"> وما تصح عنهم ولو صحت فإنما يذكرونها عن أهل الكتاب</w:t>
      </w:r>
      <w:r w:rsidR="000636C2">
        <w:rPr>
          <w:rtl/>
        </w:rPr>
        <w:t>،</w:t>
      </w:r>
      <w:r>
        <w:rPr>
          <w:rtl/>
        </w:rPr>
        <w:t xml:space="preserve"> كما يذكر وهب بن منبه . قال القاضي نحمله علي ظاهره</w:t>
      </w:r>
      <w:r w:rsidR="000636C2">
        <w:rPr>
          <w:rtl/>
        </w:rPr>
        <w:t>،</w:t>
      </w:r>
      <w:r>
        <w:rPr>
          <w:rtl/>
        </w:rPr>
        <w:t xml:space="preserve"> لأنا لا نثبت قدما ولا فخذا هو جارحة وكذلك لا نثبت الإمام . قلت واعجبا لقد كملوا هيئة البدن بإثبات فخذ وساق</w:t>
      </w:r>
      <w:r w:rsidR="000636C2">
        <w:rPr>
          <w:rtl/>
        </w:rPr>
        <w:t>،</w:t>
      </w:r>
      <w:r>
        <w:rPr>
          <w:rtl/>
        </w:rPr>
        <w:t xml:space="preserve"> وقدم</w:t>
      </w:r>
      <w:r w:rsidR="000636C2">
        <w:rPr>
          <w:rtl/>
        </w:rPr>
        <w:t>،</w:t>
      </w:r>
      <w:r>
        <w:rPr>
          <w:rtl/>
        </w:rPr>
        <w:t xml:space="preserve"> ووجه</w:t>
      </w:r>
      <w:r w:rsidR="000636C2">
        <w:rPr>
          <w:rtl/>
        </w:rPr>
        <w:t>،</w:t>
      </w:r>
      <w:r>
        <w:rPr>
          <w:rtl/>
        </w:rPr>
        <w:t xml:space="preserve"> ويدين وأصابع</w:t>
      </w:r>
      <w:r w:rsidR="000636C2">
        <w:rPr>
          <w:rtl/>
        </w:rPr>
        <w:t>،</w:t>
      </w:r>
      <w:r>
        <w:rPr>
          <w:rtl/>
        </w:rPr>
        <w:t xml:space="preserve"> وخنصر وإبهام وجنب</w:t>
      </w:r>
      <w:r w:rsidR="000636C2">
        <w:rPr>
          <w:rtl/>
        </w:rPr>
        <w:t>،</w:t>
      </w:r>
      <w:r>
        <w:rPr>
          <w:rtl/>
        </w:rPr>
        <w:t xml:space="preserve"> وحقو وصعود ونزول</w:t>
      </w:r>
      <w:r w:rsidR="000636C2">
        <w:rPr>
          <w:rtl/>
        </w:rPr>
        <w:t>،</w:t>
      </w:r>
      <w:r>
        <w:rPr>
          <w:rtl/>
        </w:rPr>
        <w:t xml:space="preserve"> ويقولون تحمل علي ظاهرها وليست جوارح</w:t>
      </w:r>
      <w:r w:rsidR="000636C2">
        <w:rPr>
          <w:rtl/>
        </w:rPr>
        <w:t>،</w:t>
      </w:r>
      <w:r>
        <w:rPr>
          <w:rtl/>
        </w:rPr>
        <w:t xml:space="preserve"> وهل يجوز لعاقل أن يثبت لله تعالى خلفا وإماما وفخذا</w:t>
      </w:r>
      <w:r w:rsidR="000636C2">
        <w:rPr>
          <w:rtl/>
        </w:rPr>
        <w:t>؟</w:t>
      </w:r>
      <w:r>
        <w:rPr>
          <w:rtl/>
        </w:rPr>
        <w:t xml:space="preserve"> ما ينبغي أن يحدث هؤلاء .ولانا قد عرفنا الفخذ فيقال</w:t>
      </w:r>
      <w:r w:rsidR="000636C2">
        <w:rPr>
          <w:rtl/>
        </w:rPr>
        <w:t>:</w:t>
      </w:r>
      <w:r>
        <w:rPr>
          <w:rtl/>
        </w:rPr>
        <w:t xml:space="preserve"> ليس بفخذ، والخلف ليس بخلف</w:t>
      </w:r>
      <w:r w:rsidR="000636C2">
        <w:rPr>
          <w:rtl/>
        </w:rPr>
        <w:t>،</w:t>
      </w:r>
      <w:r>
        <w:rPr>
          <w:rtl/>
        </w:rPr>
        <w:t xml:space="preserve"> ومثل هؤلاء لا يحدثون</w:t>
      </w:r>
      <w:r w:rsidR="000636C2">
        <w:rPr>
          <w:rtl/>
        </w:rPr>
        <w:t>،</w:t>
      </w:r>
      <w:r>
        <w:rPr>
          <w:rtl/>
        </w:rPr>
        <w:t xml:space="preserve"> فإنهم يكابرون العقول</w:t>
      </w:r>
      <w:r w:rsidR="000636C2">
        <w:rPr>
          <w:rtl/>
        </w:rPr>
        <w:t>،</w:t>
      </w:r>
      <w:r>
        <w:rPr>
          <w:rtl/>
        </w:rPr>
        <w:t xml:space="preserve"> وكأنهم يحدثون الأطفال</w:t>
      </w:r>
      <w:r w:rsidR="000636C2">
        <w:rPr>
          <w:rtl/>
        </w:rPr>
        <w:t>،</w:t>
      </w:r>
      <w:r>
        <w:rPr>
          <w:rtl/>
        </w:rPr>
        <w:t xml:space="preserve"> </w:t>
      </w:r>
    </w:p>
    <w:p w14:paraId="16C440EF" w14:textId="3D920D6D" w:rsidR="009C32A0" w:rsidRDefault="009C32A0" w:rsidP="000636C2">
      <w:pPr>
        <w:spacing w:after="240"/>
        <w:rPr>
          <w:rtl/>
        </w:rPr>
      </w:pPr>
      <w:r>
        <w:rPr>
          <w:bCs/>
          <w:rtl/>
        </w:rPr>
        <w:t>الحديث الرابع عشر</w:t>
      </w:r>
      <w:r w:rsidR="000636C2">
        <w:rPr>
          <w:rtl/>
        </w:rPr>
        <w:t>:</w:t>
      </w:r>
      <w:r>
        <w:rPr>
          <w:rtl/>
        </w:rPr>
        <w:t xml:space="preserve"> روي البخاري ومسلم في الصحيحين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يضحك الله من رجلين يقتل أحدهما الآخر يدخلان الجنة</w:t>
      </w:r>
      <w:r w:rsidR="000636C2">
        <w:rPr>
          <w:rtl/>
        </w:rPr>
        <w:t>)</w:t>
      </w:r>
      <w:r>
        <w:rPr>
          <w:rtl/>
        </w:rPr>
        <w:t>)</w:t>
      </w:r>
      <w:r w:rsidR="000636C2">
        <w:rPr>
          <w:rtl/>
        </w:rPr>
        <w:t>،</w:t>
      </w:r>
      <w:r>
        <w:rPr>
          <w:rtl/>
        </w:rPr>
        <w:t xml:space="preserve"> وفي إفراد مسلم من حديث بن مسعود رضي الله عنه</w:t>
      </w:r>
      <w:r w:rsidR="000636C2">
        <w:rPr>
          <w:rtl/>
        </w:rPr>
        <w:t xml:space="preserve"> </w:t>
      </w:r>
      <w:r>
        <w:rPr>
          <w:rtl/>
        </w:rPr>
        <w:t>أن رسول الله صلى الله عليه وسلم أخبر عن آخر من يدخل الجنة وضحك فقيل مما تضحك</w:t>
      </w:r>
      <w:r w:rsidR="000636C2">
        <w:rPr>
          <w:rtl/>
        </w:rPr>
        <w:t>؟</w:t>
      </w:r>
      <w:r>
        <w:rPr>
          <w:rtl/>
        </w:rPr>
        <w:t xml:space="preserve"> فقال</w:t>
      </w:r>
      <w:r w:rsidR="000636C2">
        <w:rPr>
          <w:rtl/>
        </w:rPr>
        <w:t>:</w:t>
      </w:r>
      <w:r>
        <w:rPr>
          <w:rtl/>
        </w:rPr>
        <w:t xml:space="preserve"> من ضحك رب العالمين حين قال</w:t>
      </w:r>
      <w:r w:rsidR="000636C2">
        <w:rPr>
          <w:rtl/>
        </w:rPr>
        <w:t>:</w:t>
      </w:r>
      <w:r>
        <w:rPr>
          <w:rtl/>
        </w:rPr>
        <w:t xml:space="preserve"> أتستهزئي بي .."</w:t>
      </w:r>
      <w:r w:rsidR="000636C2">
        <w:rPr>
          <w:rtl/>
        </w:rPr>
        <w:t>،</w:t>
      </w:r>
      <w:r>
        <w:rPr>
          <w:rtl/>
        </w:rPr>
        <w:t xml:space="preserve"> </w:t>
      </w:r>
      <w:r w:rsidR="000636C2">
        <w:rPr>
          <w:rtl/>
        </w:rPr>
        <w:t>(</w:t>
      </w:r>
      <w:r>
        <w:rPr>
          <w:rtl/>
        </w:rPr>
        <w:t>قلت</w:t>
      </w:r>
      <w:r w:rsidR="000636C2">
        <w:rPr>
          <w:rtl/>
        </w:rPr>
        <w:t>):</w:t>
      </w:r>
      <w:r>
        <w:rPr>
          <w:rtl/>
        </w:rPr>
        <w:t xml:space="preserve"> أعلم أن الضحك له معان ترجع إلى معني البيان والظهور</w:t>
      </w:r>
      <w:r w:rsidR="000636C2">
        <w:rPr>
          <w:rtl/>
        </w:rPr>
        <w:t>،</w:t>
      </w:r>
      <w:r>
        <w:rPr>
          <w:rtl/>
        </w:rPr>
        <w:t xml:space="preserve"> وكل من أبدي من أمر كان مستورا قيل قد ضحك . يقال ضحكت الأرض بالنبات إذا ظهر ما فيها</w:t>
      </w:r>
      <w:r w:rsidR="000636C2">
        <w:rPr>
          <w:rtl/>
        </w:rPr>
        <w:t>،</w:t>
      </w:r>
      <w:r>
        <w:rPr>
          <w:rtl/>
        </w:rPr>
        <w:t xml:space="preserve"> وانفتحت عن زهرة</w:t>
      </w:r>
      <w:r w:rsidR="000636C2">
        <w:rPr>
          <w:rtl/>
        </w:rPr>
        <w:t>،</w:t>
      </w:r>
      <w:r>
        <w:rPr>
          <w:rtl/>
        </w:rPr>
        <w:t xml:space="preserve"> كما يقال</w:t>
      </w:r>
      <w:r w:rsidR="000636C2">
        <w:rPr>
          <w:rtl/>
        </w:rPr>
        <w:t>:</w:t>
      </w:r>
      <w:r>
        <w:rPr>
          <w:rtl/>
        </w:rPr>
        <w:t xml:space="preserve"> بكت السماء . قال الشاعر: </w:t>
      </w:r>
      <w:r w:rsidR="000636C2">
        <w:rPr>
          <w:rtl/>
        </w:rPr>
        <w:t>(</w:t>
      </w:r>
      <w:r>
        <w:rPr>
          <w:rtl/>
        </w:rPr>
        <w:t>كل يوم بالأقحوان جديد</w:t>
      </w:r>
      <w:r w:rsidR="000636C2">
        <w:rPr>
          <w:rtl/>
        </w:rPr>
        <w:t xml:space="preserve"> </w:t>
      </w:r>
      <w:r>
        <w:rPr>
          <w:rtl/>
        </w:rPr>
        <w:t>...</w:t>
      </w:r>
      <w:r w:rsidR="000636C2">
        <w:rPr>
          <w:rtl/>
        </w:rPr>
        <w:t xml:space="preserve"> </w:t>
      </w:r>
      <w:r>
        <w:rPr>
          <w:rtl/>
        </w:rPr>
        <w:t>تضحك الأرض من بكاء السماء</w:t>
      </w:r>
      <w:r w:rsidR="000636C2">
        <w:rPr>
          <w:rtl/>
        </w:rPr>
        <w:t>)،</w:t>
      </w:r>
      <w:r>
        <w:rPr>
          <w:rtl/>
        </w:rPr>
        <w:t xml:space="preserve"> وكذلك الضحك الذي يعتري البشر إنما هو انفتاح الفم عن الأسنان</w:t>
      </w:r>
      <w:r w:rsidR="000636C2">
        <w:rPr>
          <w:rtl/>
        </w:rPr>
        <w:t>،</w:t>
      </w:r>
      <w:r>
        <w:rPr>
          <w:rtl/>
        </w:rPr>
        <w:t xml:space="preserve"> وهذا يستحيل علي الله تعالى فوجب حمله علي ابداء الله كرمه</w:t>
      </w:r>
      <w:r w:rsidR="000636C2">
        <w:rPr>
          <w:rtl/>
        </w:rPr>
        <w:t>،</w:t>
      </w:r>
      <w:r>
        <w:rPr>
          <w:rtl/>
        </w:rPr>
        <w:t xml:space="preserve"> وابانة فضله . ومعني</w:t>
      </w:r>
      <w:r w:rsidR="000636C2">
        <w:rPr>
          <w:rtl/>
        </w:rPr>
        <w:t>:</w:t>
      </w:r>
      <w:r>
        <w:rPr>
          <w:rtl/>
        </w:rPr>
        <w:t xml:space="preserve"> ضحكت لضحك ربي</w:t>
      </w:r>
      <w:r w:rsidR="000636C2">
        <w:rPr>
          <w:rtl/>
        </w:rPr>
        <w:t>،</w:t>
      </w:r>
      <w:r>
        <w:rPr>
          <w:rtl/>
        </w:rPr>
        <w:t xml:space="preserve"> أبديت علي أسناني بفتح فمي</w:t>
      </w:r>
      <w:r w:rsidR="000636C2">
        <w:rPr>
          <w:rtl/>
        </w:rPr>
        <w:t>،</w:t>
      </w:r>
      <w:r>
        <w:rPr>
          <w:rtl/>
        </w:rPr>
        <w:t xml:space="preserve"> لإظهار فضله وكرمه</w:t>
      </w:r>
      <w:r w:rsidR="000636C2">
        <w:rPr>
          <w:rtl/>
        </w:rPr>
        <w:t>،</w:t>
      </w:r>
      <w:r>
        <w:rPr>
          <w:rtl/>
        </w:rPr>
        <w:t xml:space="preserve"> وقول الآخر</w:t>
      </w:r>
      <w:r w:rsidR="000636C2">
        <w:rPr>
          <w:rtl/>
        </w:rPr>
        <w:t>:</w:t>
      </w:r>
      <w:r>
        <w:rPr>
          <w:rtl/>
        </w:rPr>
        <w:t xml:space="preserve"> لن نعدم من رب يضحك خيرا</w:t>
      </w:r>
      <w:r w:rsidR="000636C2">
        <w:rPr>
          <w:rtl/>
        </w:rPr>
        <w:t>،</w:t>
      </w:r>
      <w:r>
        <w:rPr>
          <w:rtl/>
        </w:rPr>
        <w:t xml:space="preserve"> أي يكشف الكرب</w:t>
      </w:r>
      <w:r w:rsidR="000636C2">
        <w:rPr>
          <w:rtl/>
        </w:rPr>
        <w:t>،</w:t>
      </w:r>
      <w:r>
        <w:rPr>
          <w:rtl/>
        </w:rPr>
        <w:t xml:space="preserve"> فرقا بينه وبين الأجسام التي لا يرجي خيرها . </w:t>
      </w:r>
      <w:r w:rsidR="000636C2">
        <w:rPr>
          <w:rtl/>
        </w:rPr>
        <w:t>(</w:t>
      </w:r>
      <w:r>
        <w:rPr>
          <w:rtl/>
        </w:rPr>
        <w:t>قلت</w:t>
      </w:r>
      <w:r w:rsidR="000636C2">
        <w:rPr>
          <w:rtl/>
        </w:rPr>
        <w:t>):</w:t>
      </w:r>
      <w:r>
        <w:rPr>
          <w:rtl/>
        </w:rPr>
        <w:t xml:space="preserve"> وهذا تأويل جماعة من العلماء</w:t>
      </w:r>
      <w:r w:rsidR="000636C2">
        <w:rPr>
          <w:rtl/>
        </w:rPr>
        <w:t>،</w:t>
      </w:r>
      <w:r>
        <w:rPr>
          <w:rtl/>
        </w:rPr>
        <w:t xml:space="preserve"> وقال الخطابي</w:t>
      </w:r>
      <w:r w:rsidR="000636C2">
        <w:rPr>
          <w:rtl/>
        </w:rPr>
        <w:t>:</w:t>
      </w:r>
      <w:r>
        <w:rPr>
          <w:rtl/>
        </w:rPr>
        <w:t xml:space="preserve"> معني ضحك الجبار عز وجل عن الرضا وحسن المجاوزة</w:t>
      </w:r>
      <w:r w:rsidR="000636C2">
        <w:rPr>
          <w:rtl/>
        </w:rPr>
        <w:t>،</w:t>
      </w:r>
      <w:r>
        <w:rPr>
          <w:rtl/>
        </w:rPr>
        <w:t xml:space="preserve"> وقد روي في حديث موقوف</w:t>
      </w:r>
      <w:r w:rsidR="000636C2">
        <w:rPr>
          <w:rtl/>
        </w:rPr>
        <w:t>:</w:t>
      </w:r>
      <w:r>
        <w:rPr>
          <w:rtl/>
        </w:rPr>
        <w:t xml:space="preserve"> " فضحك حتي بدت لهواته وأضراسه "</w:t>
      </w:r>
      <w:r w:rsidR="000636C2">
        <w:rPr>
          <w:rtl/>
        </w:rPr>
        <w:t>،</w:t>
      </w:r>
      <w:r>
        <w:rPr>
          <w:rtl/>
        </w:rPr>
        <w:t xml:space="preserve"> ذكره الخلال في كتاب السنة . وقال المروزي</w:t>
      </w:r>
      <w:r w:rsidR="000636C2">
        <w:rPr>
          <w:rtl/>
        </w:rPr>
        <w:t>:</w:t>
      </w:r>
      <w:r>
        <w:rPr>
          <w:rtl/>
        </w:rPr>
        <w:t xml:space="preserve"> قلت لأبي عبد الله</w:t>
      </w:r>
      <w:r w:rsidR="000636C2">
        <w:rPr>
          <w:rtl/>
        </w:rPr>
        <w:t>:</w:t>
      </w:r>
      <w:r>
        <w:rPr>
          <w:rtl/>
        </w:rPr>
        <w:t xml:space="preserve"> ما تقول في هذا الحديث ..؟ قال هذا بشع . قال</w:t>
      </w:r>
      <w:r w:rsidR="000636C2">
        <w:rPr>
          <w:rtl/>
        </w:rPr>
        <w:t>:</w:t>
      </w:r>
      <w:r>
        <w:rPr>
          <w:rtl/>
        </w:rPr>
        <w:t>ثم علي تقدير الصحة يحتمل أمرين</w:t>
      </w:r>
      <w:r w:rsidR="000636C2">
        <w:rPr>
          <w:rtl/>
        </w:rPr>
        <w:t>:</w:t>
      </w:r>
      <w:r>
        <w:rPr>
          <w:rtl/>
        </w:rPr>
        <w:t xml:space="preserve"> </w:t>
      </w:r>
      <w:r w:rsidR="000636C2">
        <w:rPr>
          <w:rtl/>
        </w:rPr>
        <w:t>(</w:t>
      </w:r>
      <w:r>
        <w:rPr>
          <w:rtl/>
        </w:rPr>
        <w:t>أحدهما</w:t>
      </w:r>
      <w:r w:rsidR="000636C2">
        <w:rPr>
          <w:rtl/>
        </w:rPr>
        <w:t>)::</w:t>
      </w:r>
      <w:r>
        <w:rPr>
          <w:rtl/>
        </w:rPr>
        <w:t xml:space="preserve"> أن يكون ذلك راجعا إلى النبي صلى الله عليه وسلم</w:t>
      </w:r>
      <w:r w:rsidR="000636C2">
        <w:rPr>
          <w:rtl/>
        </w:rPr>
        <w:t>،</w:t>
      </w:r>
      <w:r>
        <w:rPr>
          <w:rtl/>
        </w:rPr>
        <w:t xml:space="preserve"> كأنه ضحك حين أخبر بضحك الرب</w:t>
      </w:r>
      <w:r w:rsidR="000636C2">
        <w:rPr>
          <w:rtl/>
        </w:rPr>
        <w:t>،</w:t>
      </w:r>
      <w:r>
        <w:rPr>
          <w:rtl/>
        </w:rPr>
        <w:t xml:space="preserve"> حتي بدت لهواته وأضراسه</w:t>
      </w:r>
      <w:r w:rsidR="000636C2">
        <w:rPr>
          <w:rtl/>
        </w:rPr>
        <w:t>،</w:t>
      </w:r>
      <w:r>
        <w:rPr>
          <w:rtl/>
        </w:rPr>
        <w:t xml:space="preserve"> كما روي أنه ضحك حتي بدت نواجزه</w:t>
      </w:r>
      <w:r w:rsidR="000636C2">
        <w:rPr>
          <w:rtl/>
        </w:rPr>
        <w:t>،</w:t>
      </w:r>
      <w:r>
        <w:rPr>
          <w:rtl/>
        </w:rPr>
        <w:t xml:space="preserve"> وهذا هو الصحيح لو ثبت الحديث . وإنما هو مقطوع</w:t>
      </w:r>
      <w:r w:rsidR="000636C2">
        <w:rPr>
          <w:rtl/>
        </w:rPr>
        <w:t>،</w:t>
      </w:r>
      <w:r>
        <w:rPr>
          <w:rtl/>
        </w:rPr>
        <w:t xml:space="preserve"> </w:t>
      </w:r>
      <w:r w:rsidR="000636C2">
        <w:rPr>
          <w:rtl/>
        </w:rPr>
        <w:t>(</w:t>
      </w:r>
      <w:r>
        <w:rPr>
          <w:rtl/>
        </w:rPr>
        <w:t>الثاني</w:t>
      </w:r>
      <w:r w:rsidR="000636C2">
        <w:rPr>
          <w:rtl/>
        </w:rPr>
        <w:t>):</w:t>
      </w:r>
      <w:r>
        <w:rPr>
          <w:rtl/>
        </w:rPr>
        <w:t xml:space="preserve"> أن يكون تجوزا من كثرة الكرم وسعة الرضا</w:t>
      </w:r>
      <w:r w:rsidR="000636C2">
        <w:rPr>
          <w:rtl/>
        </w:rPr>
        <w:t>،</w:t>
      </w:r>
      <w:r>
        <w:rPr>
          <w:rtl/>
        </w:rPr>
        <w:t xml:space="preserve"> كما جوز بقوله</w:t>
      </w:r>
      <w:r w:rsidR="000636C2">
        <w:rPr>
          <w:rtl/>
        </w:rPr>
        <w:t>:</w:t>
      </w:r>
      <w:r>
        <w:rPr>
          <w:rtl/>
        </w:rPr>
        <w:t xml:space="preserve"> " ومن أتاني يمشي أتيته مهرولا ". قال القاضي</w:t>
      </w:r>
      <w:r w:rsidR="000636C2">
        <w:rPr>
          <w:rtl/>
        </w:rPr>
        <w:t>:</w:t>
      </w:r>
      <w:r>
        <w:rPr>
          <w:rtl/>
        </w:rPr>
        <w:t xml:space="preserve"> لا يمتنع الأخذ بظاهر الأحاديث في امرارها علي ظواهرها من غير تأويل</w:t>
      </w:r>
      <w:r w:rsidR="000636C2">
        <w:rPr>
          <w:rtl/>
        </w:rPr>
        <w:t>،</w:t>
      </w:r>
      <w:r>
        <w:rPr>
          <w:rtl/>
        </w:rPr>
        <w:t xml:space="preserve"> لأنا لا نثبت ضحكا هو فتح الفم ولا أضراسا ولهوات وجوارح وأبعاضا</w:t>
      </w:r>
      <w:r w:rsidR="000636C2">
        <w:rPr>
          <w:rtl/>
        </w:rPr>
        <w:t>،</w:t>
      </w:r>
      <w:r>
        <w:rPr>
          <w:rtl/>
        </w:rPr>
        <w:t xml:space="preserve"> </w:t>
      </w:r>
      <w:r w:rsidR="000636C2">
        <w:rPr>
          <w:rtl/>
        </w:rPr>
        <w:t>(</w:t>
      </w:r>
      <w:r>
        <w:rPr>
          <w:rtl/>
        </w:rPr>
        <w:t>قلت</w:t>
      </w:r>
      <w:r w:rsidR="000636C2">
        <w:rPr>
          <w:rtl/>
        </w:rPr>
        <w:t>):</w:t>
      </w:r>
      <w:r>
        <w:rPr>
          <w:rtl/>
        </w:rPr>
        <w:t xml:space="preserve"> واعجبا قد أثبت لله صفات بأحاديث وألفاظ لا تصح</w:t>
      </w:r>
      <w:r w:rsidR="000636C2">
        <w:rPr>
          <w:rtl/>
        </w:rPr>
        <w:t>،</w:t>
      </w:r>
      <w:r>
        <w:rPr>
          <w:rtl/>
        </w:rPr>
        <w:t xml:space="preserve"> قال أحدهم</w:t>
      </w:r>
      <w:r w:rsidR="000636C2">
        <w:rPr>
          <w:rtl/>
        </w:rPr>
        <w:t>:</w:t>
      </w:r>
      <w:r>
        <w:rPr>
          <w:rtl/>
        </w:rPr>
        <w:t xml:space="preserve"> وإذا لم يثبته ضحكا معقولا فقد تأول ولا يدري</w:t>
      </w:r>
      <w:r w:rsidR="000636C2">
        <w:rPr>
          <w:rtl/>
        </w:rPr>
        <w:t>،</w:t>
      </w:r>
      <w:r>
        <w:rPr>
          <w:rtl/>
        </w:rPr>
        <w:t xml:space="preserve"> وواعجبا قد عرف أن الضحك يشار به إلى الفضل والإنعام . فالأضراس ما وجهها</w:t>
      </w:r>
      <w:r w:rsidR="000636C2">
        <w:rPr>
          <w:rtl/>
        </w:rPr>
        <w:t>؟</w:t>
      </w:r>
      <w:r>
        <w:rPr>
          <w:rtl/>
        </w:rPr>
        <w:t xml:space="preserve"> والله لو رويت في الصحيحين وجب ردها</w:t>
      </w:r>
      <w:r w:rsidR="000636C2">
        <w:rPr>
          <w:rtl/>
        </w:rPr>
        <w:t>،</w:t>
      </w:r>
      <w:r>
        <w:rPr>
          <w:rtl/>
        </w:rPr>
        <w:t xml:space="preserve"> فكيف وما ثبتت أصلا</w:t>
      </w:r>
      <w:r w:rsidR="000636C2">
        <w:rPr>
          <w:rtl/>
        </w:rPr>
        <w:t>،</w:t>
      </w:r>
      <w:r>
        <w:rPr>
          <w:rtl/>
        </w:rPr>
        <w:t xml:space="preserve"> وقد روي أحمد لو أن الناس اعتزلوهم يعني الأمراء فقال اضرب علي هذا وهذا الحديث في الصحيحين فكيف بحديث لا يثبت يخالف المنقول والمعقول) . ومن أثبت الأضراس صفة فما عنده من الإسلام خبر</w:t>
      </w:r>
      <w:r w:rsidR="000636C2">
        <w:rPr>
          <w:rtl/>
        </w:rPr>
        <w:t>،</w:t>
      </w:r>
    </w:p>
    <w:p w14:paraId="01FBDEC1" w14:textId="52DF3E38" w:rsidR="009C32A0" w:rsidRDefault="009C32A0" w:rsidP="000636C2">
      <w:pPr>
        <w:spacing w:after="240"/>
        <w:rPr>
          <w:rtl/>
        </w:rPr>
      </w:pPr>
      <w:r>
        <w:rPr>
          <w:bCs/>
          <w:rtl/>
        </w:rPr>
        <w:t>الحديث الخامس عشر</w:t>
      </w:r>
      <w:r w:rsidR="000636C2">
        <w:rPr>
          <w:rtl/>
        </w:rPr>
        <w:t>:</w:t>
      </w:r>
      <w:r>
        <w:rPr>
          <w:rtl/>
        </w:rPr>
        <w:t xml:space="preserve"> روي القاضي أبو يعلي عن عبد الرحمن بن عمر موقوفا أنه قال</w:t>
      </w:r>
      <w:r w:rsidR="000636C2">
        <w:rPr>
          <w:rtl/>
        </w:rPr>
        <w:t>:</w:t>
      </w:r>
      <w:r>
        <w:rPr>
          <w:rtl/>
        </w:rPr>
        <w:t xml:space="preserve"> "لما خلق الله الملائكة من نور الذراعين والصدر " . قلت وقد أثبت به القاضي ذراعين وصدرا لله عز وجل . وقال ليس بجوارح وهذا قبيح</w:t>
      </w:r>
      <w:r w:rsidR="000636C2">
        <w:rPr>
          <w:rtl/>
        </w:rPr>
        <w:t>،</w:t>
      </w:r>
      <w:r>
        <w:rPr>
          <w:rtl/>
        </w:rPr>
        <w:t xml:space="preserve"> لأنه حديث ليس بمرفوع ولا يصح</w:t>
      </w:r>
      <w:r w:rsidR="000636C2">
        <w:rPr>
          <w:rtl/>
        </w:rPr>
        <w:t>،</w:t>
      </w:r>
      <w:r>
        <w:rPr>
          <w:rtl/>
        </w:rPr>
        <w:t xml:space="preserve"> وهل يجوز أن يخلق مخلوق من ذات الله القديم ..؟ هذا أقبح مما ادعاه النصارى</w:t>
      </w:r>
      <w:r w:rsidR="000636C2">
        <w:rPr>
          <w:rtl/>
        </w:rPr>
        <w:t>؟</w:t>
      </w:r>
      <w:r>
        <w:rPr>
          <w:rtl/>
        </w:rPr>
        <w:t xml:space="preserve"> </w:t>
      </w:r>
    </w:p>
    <w:p w14:paraId="369D41FE" w14:textId="12E82FC0" w:rsidR="009C32A0" w:rsidRDefault="009C32A0" w:rsidP="000636C2">
      <w:pPr>
        <w:spacing w:after="240"/>
        <w:rPr>
          <w:rtl/>
        </w:rPr>
      </w:pPr>
      <w:r>
        <w:rPr>
          <w:bCs/>
          <w:rtl/>
        </w:rPr>
        <w:t>الحديث السادس عشر</w:t>
      </w:r>
      <w:r w:rsidR="000636C2">
        <w:rPr>
          <w:bCs/>
          <w:rtl/>
        </w:rPr>
        <w:t>:</w:t>
      </w:r>
      <w:r>
        <w:rPr>
          <w:bCs/>
          <w:rtl/>
        </w:rPr>
        <w:t xml:space="preserve"> </w:t>
      </w:r>
      <w:r>
        <w:rPr>
          <w:rtl/>
        </w:rPr>
        <w:t>روي البخاري ومسلم في الصحيحين من حديث بن عمر رضي الله عنه</w:t>
      </w:r>
      <w:r w:rsidR="000636C2">
        <w:rPr>
          <w:rtl/>
        </w:rPr>
        <w:t>،</w:t>
      </w:r>
      <w:r>
        <w:rPr>
          <w:rtl/>
        </w:rPr>
        <w:t xml:space="preserve"> أن النبي صلى الله عليه وسلم قال</w:t>
      </w:r>
      <w:r w:rsidR="000636C2">
        <w:rPr>
          <w:rtl/>
        </w:rPr>
        <w:t>:</w:t>
      </w:r>
      <w:r>
        <w:rPr>
          <w:rtl/>
        </w:rPr>
        <w:t xml:space="preserve"> (</w:t>
      </w:r>
      <w:r w:rsidR="000636C2">
        <w:rPr>
          <w:rtl/>
        </w:rPr>
        <w:t>(</w:t>
      </w:r>
      <w:r>
        <w:rPr>
          <w:rtl/>
        </w:rPr>
        <w:t>إن الله يدني عبده المؤمن</w:t>
      </w:r>
      <w:r w:rsidR="000636C2">
        <w:rPr>
          <w:rtl/>
        </w:rPr>
        <w:t>،</w:t>
      </w:r>
      <w:r>
        <w:rPr>
          <w:rtl/>
        </w:rPr>
        <w:t xml:space="preserve"> فيضع عليه كنفه ويقول</w:t>
      </w:r>
      <w:r w:rsidR="000636C2">
        <w:rPr>
          <w:rtl/>
        </w:rPr>
        <w:t>:</w:t>
      </w:r>
      <w:r>
        <w:rPr>
          <w:rtl/>
        </w:rPr>
        <w:t xml:space="preserve"> أتعرف ذنب كذا</w:t>
      </w:r>
      <w:r w:rsidR="000636C2">
        <w:rPr>
          <w:rtl/>
        </w:rPr>
        <w:t>)</w:t>
      </w:r>
      <w:r>
        <w:rPr>
          <w:rtl/>
        </w:rPr>
        <w:t>)</w:t>
      </w:r>
      <w:r w:rsidR="000636C2">
        <w:rPr>
          <w:rtl/>
        </w:rPr>
        <w:t>،</w:t>
      </w:r>
      <w:r>
        <w:rPr>
          <w:rtl/>
        </w:rPr>
        <w:t xml:space="preserve"> قال العلماء</w:t>
      </w:r>
      <w:r w:rsidR="000636C2">
        <w:rPr>
          <w:rtl/>
        </w:rPr>
        <w:t>:</w:t>
      </w:r>
      <w:r>
        <w:rPr>
          <w:rtl/>
        </w:rPr>
        <w:t xml:space="preserve"> يدنيه من رحمته ولطفه . وقال ابن الأنباري</w:t>
      </w:r>
      <w:r w:rsidR="000636C2">
        <w:rPr>
          <w:rtl/>
        </w:rPr>
        <w:t>:</w:t>
      </w:r>
      <w:r>
        <w:rPr>
          <w:rtl/>
        </w:rPr>
        <w:t xml:space="preserve"> وكنفه</w:t>
      </w:r>
      <w:r w:rsidR="000636C2">
        <w:rPr>
          <w:rtl/>
        </w:rPr>
        <w:t>:</w:t>
      </w:r>
      <w:r>
        <w:rPr>
          <w:rtl/>
        </w:rPr>
        <w:t xml:space="preserve"> حياطته وستره</w:t>
      </w:r>
      <w:r w:rsidR="000636C2">
        <w:rPr>
          <w:rtl/>
        </w:rPr>
        <w:t>،</w:t>
      </w:r>
      <w:r>
        <w:rPr>
          <w:rtl/>
        </w:rPr>
        <w:t xml:space="preserve"> يقال</w:t>
      </w:r>
      <w:r w:rsidR="000636C2">
        <w:rPr>
          <w:rtl/>
        </w:rPr>
        <w:t>:</w:t>
      </w:r>
      <w:r>
        <w:rPr>
          <w:rtl/>
        </w:rPr>
        <w:t xml:space="preserve"> قد كنف فلان فلانا: إذا أحاطه وستره</w:t>
      </w:r>
      <w:r w:rsidR="000636C2">
        <w:rPr>
          <w:rtl/>
        </w:rPr>
        <w:t>،</w:t>
      </w:r>
      <w:r>
        <w:rPr>
          <w:rtl/>
        </w:rPr>
        <w:t xml:space="preserve"> وكل شيء ستر شيئا فقد كنفه</w:t>
      </w:r>
      <w:r w:rsidR="000636C2">
        <w:rPr>
          <w:rtl/>
        </w:rPr>
        <w:t xml:space="preserve">، </w:t>
      </w:r>
      <w:r>
        <w:rPr>
          <w:rtl/>
        </w:rPr>
        <w:t>ويقال للترس كنيف لأنه يستر صاحبه</w:t>
      </w:r>
      <w:r w:rsidR="000636C2">
        <w:rPr>
          <w:rtl/>
        </w:rPr>
        <w:t>،</w:t>
      </w:r>
      <w:r>
        <w:rPr>
          <w:rtl/>
        </w:rPr>
        <w:t xml:space="preserve"> قال القاضي يدنيه ممن ذاته</w:t>
      </w:r>
      <w:r w:rsidR="000636C2">
        <w:rPr>
          <w:rtl/>
        </w:rPr>
        <w:t>،</w:t>
      </w:r>
      <w:r>
        <w:rPr>
          <w:rtl/>
        </w:rPr>
        <w:t xml:space="preserve"> وهذا قول من لم يعرف الله عز وجل</w:t>
      </w:r>
      <w:r w:rsidR="000636C2">
        <w:rPr>
          <w:rtl/>
        </w:rPr>
        <w:t>،</w:t>
      </w:r>
      <w:r>
        <w:rPr>
          <w:rtl/>
        </w:rPr>
        <w:t xml:space="preserve"> ولا يعلم أنه لا يجوز عليه الدنو الذي هو مساحة . وكذلك قوله</w:t>
      </w:r>
      <w:r w:rsidR="000636C2">
        <w:rPr>
          <w:rtl/>
        </w:rPr>
        <w:t>:</w:t>
      </w:r>
      <w:r>
        <w:rPr>
          <w:rtl/>
        </w:rPr>
        <w:t xml:space="preserve"> إنه ليدنو به يوم عرفة أي يقرب بلطفه وعفوه</w:t>
      </w:r>
      <w:r w:rsidR="000636C2">
        <w:rPr>
          <w:rtl/>
        </w:rPr>
        <w:t>،</w:t>
      </w:r>
    </w:p>
    <w:p w14:paraId="49F989BD" w14:textId="2DC2A0E2" w:rsidR="009C32A0" w:rsidRDefault="009C32A0" w:rsidP="000636C2">
      <w:pPr>
        <w:spacing w:after="240"/>
        <w:rPr>
          <w:rtl/>
        </w:rPr>
      </w:pPr>
      <w:r>
        <w:rPr>
          <w:bCs/>
          <w:rtl/>
        </w:rPr>
        <w:t>الحديث السابع عشر</w:t>
      </w:r>
      <w:r w:rsidR="000636C2">
        <w:rPr>
          <w:rtl/>
        </w:rPr>
        <w:t>:</w:t>
      </w:r>
      <w:r>
        <w:rPr>
          <w:rtl/>
        </w:rPr>
        <w:t xml:space="preserve"> روي مسلم في افراده من حديث معاوية بن الحكم قال</w:t>
      </w:r>
      <w:r w:rsidR="000636C2">
        <w:rPr>
          <w:rtl/>
        </w:rPr>
        <w:t>:</w:t>
      </w:r>
      <w:r>
        <w:rPr>
          <w:rtl/>
        </w:rPr>
        <w:t xml:space="preserve"> (</w:t>
      </w:r>
      <w:r w:rsidR="000636C2">
        <w:rPr>
          <w:rtl/>
        </w:rPr>
        <w:t>(</w:t>
      </w:r>
      <w:r>
        <w:rPr>
          <w:rtl/>
        </w:rPr>
        <w:t>كانت لي جارية كانت ترعي غنما لي</w:t>
      </w:r>
      <w:r w:rsidR="000636C2">
        <w:rPr>
          <w:rtl/>
        </w:rPr>
        <w:t>،</w:t>
      </w:r>
      <w:r>
        <w:rPr>
          <w:rtl/>
        </w:rPr>
        <w:t xml:space="preserve"> فانطلقت ذات يوم</w:t>
      </w:r>
      <w:r w:rsidR="000636C2">
        <w:rPr>
          <w:rtl/>
        </w:rPr>
        <w:t>،</w:t>
      </w:r>
      <w:r>
        <w:rPr>
          <w:rtl/>
        </w:rPr>
        <w:t xml:space="preserve"> فإذا الذئب قد ذهب شاه</w:t>
      </w:r>
      <w:r w:rsidR="000636C2">
        <w:rPr>
          <w:rtl/>
        </w:rPr>
        <w:t>،</w:t>
      </w:r>
      <w:r>
        <w:rPr>
          <w:rtl/>
        </w:rPr>
        <w:t xml:space="preserve"> وأنا من بني آدم آسف كما يأسفون فصككتها صكة</w:t>
      </w:r>
      <w:r w:rsidR="000636C2">
        <w:rPr>
          <w:rtl/>
        </w:rPr>
        <w:t>،</w:t>
      </w:r>
      <w:r>
        <w:rPr>
          <w:rtl/>
        </w:rPr>
        <w:t xml:space="preserve"> فأتيت رسول الله صلى الله عليه وسلم فعظم ذلك علي . فقلت ألا أعتقها</w:t>
      </w:r>
      <w:r w:rsidR="000636C2">
        <w:rPr>
          <w:rtl/>
        </w:rPr>
        <w:t>؟</w:t>
      </w:r>
      <w:r>
        <w:rPr>
          <w:rtl/>
        </w:rPr>
        <w:t xml:space="preserve"> قال أئتني بها فأتيته بها</w:t>
      </w:r>
      <w:r w:rsidR="000636C2">
        <w:rPr>
          <w:rtl/>
        </w:rPr>
        <w:t>،</w:t>
      </w:r>
      <w:r>
        <w:rPr>
          <w:rtl/>
        </w:rPr>
        <w:t xml:space="preserve"> فقال لهل</w:t>
      </w:r>
      <w:r w:rsidR="000636C2">
        <w:rPr>
          <w:rtl/>
        </w:rPr>
        <w:t>:</w:t>
      </w:r>
      <w:r>
        <w:rPr>
          <w:rtl/>
        </w:rPr>
        <w:t xml:space="preserve"> أين الله</w:t>
      </w:r>
      <w:r w:rsidR="000636C2">
        <w:rPr>
          <w:rtl/>
        </w:rPr>
        <w:t xml:space="preserve">؟ </w:t>
      </w:r>
      <w:r>
        <w:rPr>
          <w:rtl/>
        </w:rPr>
        <w:t>قالت في السماء</w:t>
      </w:r>
      <w:r w:rsidR="000636C2">
        <w:rPr>
          <w:rtl/>
        </w:rPr>
        <w:t>،</w:t>
      </w:r>
      <w:r>
        <w:rPr>
          <w:rtl/>
        </w:rPr>
        <w:t xml:space="preserve"> قال من أنا</w:t>
      </w:r>
      <w:r w:rsidR="000636C2">
        <w:rPr>
          <w:rtl/>
        </w:rPr>
        <w:t>:</w:t>
      </w:r>
      <w:r>
        <w:rPr>
          <w:rtl/>
        </w:rPr>
        <w:t xml:space="preserve"> قالت</w:t>
      </w:r>
      <w:r w:rsidR="000636C2">
        <w:rPr>
          <w:rtl/>
        </w:rPr>
        <w:t>:</w:t>
      </w:r>
      <w:r>
        <w:rPr>
          <w:rtl/>
        </w:rPr>
        <w:t xml:space="preserve"> أنت رسول الله</w:t>
      </w:r>
      <w:r w:rsidR="000636C2">
        <w:rPr>
          <w:rtl/>
        </w:rPr>
        <w:t>،</w:t>
      </w:r>
      <w:r>
        <w:rPr>
          <w:rtl/>
        </w:rPr>
        <w:t xml:space="preserve"> قال أعتقها فإنها مؤمنة</w:t>
      </w:r>
      <w:r w:rsidR="000636C2">
        <w:rPr>
          <w:rtl/>
        </w:rPr>
        <w:t>)</w:t>
      </w:r>
      <w:r>
        <w:rPr>
          <w:rtl/>
        </w:rPr>
        <w:t>)</w:t>
      </w:r>
      <w:r w:rsidR="000636C2">
        <w:rPr>
          <w:rtl/>
        </w:rPr>
        <w:t>، (</w:t>
      </w:r>
      <w:r>
        <w:rPr>
          <w:rtl/>
        </w:rPr>
        <w:t>قلت</w:t>
      </w:r>
      <w:r w:rsidR="000636C2">
        <w:rPr>
          <w:rtl/>
        </w:rPr>
        <w:t>):</w:t>
      </w:r>
      <w:r>
        <w:rPr>
          <w:rtl/>
        </w:rPr>
        <w:t xml:space="preserve"> قد ثبت عند العلماء ان الله تعالى لا يحويه السماء والأرض ولا تضمه الأقطار</w:t>
      </w:r>
      <w:r w:rsidR="000636C2">
        <w:rPr>
          <w:rtl/>
        </w:rPr>
        <w:t>،</w:t>
      </w:r>
      <w:r>
        <w:rPr>
          <w:rtl/>
        </w:rPr>
        <w:t xml:space="preserve"> وإنما عرف بإشارتها تعظيم الخالق عندها</w:t>
      </w:r>
      <w:r w:rsidR="000636C2">
        <w:rPr>
          <w:rtl/>
        </w:rPr>
        <w:t>،</w:t>
      </w:r>
    </w:p>
    <w:p w14:paraId="0525E7B0" w14:textId="2DA57F11" w:rsidR="009C32A0" w:rsidRDefault="009C32A0" w:rsidP="000636C2">
      <w:pPr>
        <w:spacing w:after="240"/>
        <w:rPr>
          <w:rtl/>
        </w:rPr>
      </w:pPr>
      <w:r>
        <w:rPr>
          <w:bCs/>
          <w:rtl/>
        </w:rPr>
        <w:t>الحديث الثامن عشر</w:t>
      </w:r>
      <w:r w:rsidR="000636C2">
        <w:rPr>
          <w:bCs/>
          <w:rtl/>
        </w:rPr>
        <w:t>:</w:t>
      </w:r>
      <w:r>
        <w:rPr>
          <w:bCs/>
          <w:rtl/>
        </w:rPr>
        <w:t xml:space="preserve"> </w:t>
      </w:r>
      <w:r>
        <w:rPr>
          <w:rtl/>
        </w:rPr>
        <w:t>روي أبو رزين العقيلي قال</w:t>
      </w:r>
      <w:r w:rsidR="000636C2">
        <w:rPr>
          <w:rtl/>
        </w:rPr>
        <w:t>:</w:t>
      </w:r>
      <w:r>
        <w:rPr>
          <w:rtl/>
        </w:rPr>
        <w:t xml:space="preserve"> قلت يا رسول الله</w:t>
      </w:r>
      <w:r w:rsidR="000636C2">
        <w:rPr>
          <w:rtl/>
        </w:rPr>
        <w:t>:</w:t>
      </w:r>
      <w:r>
        <w:rPr>
          <w:rtl/>
        </w:rPr>
        <w:t xml:space="preserve"> أين كان ربنا قبل أن يخلق الخلق ..؟ قال</w:t>
      </w:r>
      <w:r w:rsidR="000636C2">
        <w:rPr>
          <w:rtl/>
        </w:rPr>
        <w:t>:</w:t>
      </w:r>
      <w:r>
        <w:rPr>
          <w:rtl/>
        </w:rPr>
        <w:t xml:space="preserve"> (</w:t>
      </w:r>
      <w:r w:rsidR="000636C2">
        <w:rPr>
          <w:rtl/>
        </w:rPr>
        <w:t>(</w:t>
      </w:r>
      <w:r>
        <w:rPr>
          <w:rtl/>
        </w:rPr>
        <w:t>كان في عماء ما تحته هواء</w:t>
      </w:r>
      <w:r w:rsidR="000636C2">
        <w:rPr>
          <w:rtl/>
        </w:rPr>
        <w:t>،</w:t>
      </w:r>
      <w:r>
        <w:rPr>
          <w:rtl/>
        </w:rPr>
        <w:t xml:space="preserve"> وما فوقه هواء</w:t>
      </w:r>
      <w:r w:rsidR="000636C2">
        <w:rPr>
          <w:rtl/>
        </w:rPr>
        <w:t>،</w:t>
      </w:r>
      <w:r>
        <w:rPr>
          <w:rtl/>
        </w:rPr>
        <w:t xml:space="preserve"> ثم خلق عرشه علي الماء</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وهذا حديث تفرد به علي بن عطاء عن وكيع بن عدس </w:t>
      </w:r>
      <w:r w:rsidR="000636C2">
        <w:rPr>
          <w:rtl/>
        </w:rPr>
        <w:t>(</w:t>
      </w:r>
      <w:r>
        <w:rPr>
          <w:rtl/>
        </w:rPr>
        <w:t>حدس)</w:t>
      </w:r>
      <w:r w:rsidR="000636C2">
        <w:rPr>
          <w:rtl/>
        </w:rPr>
        <w:t>،</w:t>
      </w:r>
      <w:r>
        <w:rPr>
          <w:rtl/>
        </w:rPr>
        <w:t xml:space="preserve"> وليس لوكيع راو غير يعلي والعماء السحاب</w:t>
      </w:r>
      <w:r w:rsidR="000636C2">
        <w:rPr>
          <w:rtl/>
        </w:rPr>
        <w:t>،</w:t>
      </w:r>
      <w:r>
        <w:rPr>
          <w:rtl/>
        </w:rPr>
        <w:t xml:space="preserve"> اعلم أن الفوق والتحت يرجع إلى السحاب لا إلى الله تعالى</w:t>
      </w:r>
      <w:r w:rsidR="000636C2">
        <w:rPr>
          <w:rtl/>
        </w:rPr>
        <w:t>،</w:t>
      </w:r>
      <w:r>
        <w:rPr>
          <w:rtl/>
        </w:rPr>
        <w:t xml:space="preserve"> وفي معني فوق</w:t>
      </w:r>
      <w:r w:rsidR="000636C2">
        <w:rPr>
          <w:rtl/>
        </w:rPr>
        <w:t>،</w:t>
      </w:r>
      <w:r>
        <w:rPr>
          <w:rtl/>
        </w:rPr>
        <w:t xml:space="preserve"> فالمعني</w:t>
      </w:r>
      <w:r w:rsidR="000636C2">
        <w:rPr>
          <w:rtl/>
        </w:rPr>
        <w:t>:</w:t>
      </w:r>
      <w:r>
        <w:rPr>
          <w:rtl/>
        </w:rPr>
        <w:t xml:space="preserve"> كان فوق السحاب بالتدبير والقهر</w:t>
      </w:r>
      <w:r w:rsidR="000636C2">
        <w:rPr>
          <w:rtl/>
        </w:rPr>
        <w:t>،</w:t>
      </w:r>
      <w:r>
        <w:rPr>
          <w:rtl/>
        </w:rPr>
        <w:t xml:space="preserve"> ولما كان القوم يأنسون بالمخلوقات</w:t>
      </w:r>
      <w:r w:rsidR="000636C2">
        <w:rPr>
          <w:rtl/>
        </w:rPr>
        <w:t>،</w:t>
      </w:r>
      <w:r>
        <w:rPr>
          <w:rtl/>
        </w:rPr>
        <w:t xml:space="preserve"> سألوا عنها</w:t>
      </w:r>
      <w:r w:rsidR="000636C2">
        <w:rPr>
          <w:rtl/>
        </w:rPr>
        <w:t>،</w:t>
      </w:r>
      <w:r>
        <w:rPr>
          <w:rtl/>
        </w:rPr>
        <w:t xml:space="preserve"> والسحاب من جملة خلقه</w:t>
      </w:r>
      <w:r w:rsidR="000636C2">
        <w:rPr>
          <w:rtl/>
        </w:rPr>
        <w:t>،</w:t>
      </w:r>
      <w:r>
        <w:rPr>
          <w:rtl/>
        </w:rPr>
        <w:t xml:space="preserve"> ولو سئل عما قبل السحاب</w:t>
      </w:r>
      <w:r w:rsidR="000636C2">
        <w:rPr>
          <w:rtl/>
        </w:rPr>
        <w:t>،</w:t>
      </w:r>
      <w:r>
        <w:rPr>
          <w:rtl/>
        </w:rPr>
        <w:t xml:space="preserve"> لأخبر أن الله تعالى كان ولا شيء معه</w:t>
      </w:r>
      <w:r w:rsidR="000636C2">
        <w:rPr>
          <w:rtl/>
        </w:rPr>
        <w:t>،</w:t>
      </w:r>
      <w:r>
        <w:rPr>
          <w:rtl/>
        </w:rPr>
        <w:t xml:space="preserve"> كذلك روي عن عمران بن حصين عن رسول الله صلى الله عليه وسلم أنه قال</w:t>
      </w:r>
      <w:r w:rsidR="000636C2">
        <w:rPr>
          <w:rtl/>
        </w:rPr>
        <w:t>:</w:t>
      </w:r>
      <w:r>
        <w:rPr>
          <w:rtl/>
        </w:rPr>
        <w:t xml:space="preserve"> " كان الله ولا شيء معه " . </w:t>
      </w:r>
      <w:r w:rsidR="000636C2">
        <w:rPr>
          <w:rtl/>
        </w:rPr>
        <w:t>(</w:t>
      </w:r>
      <w:r>
        <w:rPr>
          <w:rtl/>
        </w:rPr>
        <w:t>وقال أبو الحسين بن المنادي ونقلته من خطه</w:t>
      </w:r>
      <w:r w:rsidR="000636C2">
        <w:rPr>
          <w:rtl/>
        </w:rPr>
        <w:t>:</w:t>
      </w:r>
      <w:r>
        <w:rPr>
          <w:rtl/>
        </w:rPr>
        <w:t xml:space="preserve"> وصف الهواء بالفوقية والتحتية مكروه عند أهل العلم لما في ذلك من الجعل كالوعاء لمن ليس كالأشياء جل وتعالى</w:t>
      </w:r>
      <w:r w:rsidR="000636C2">
        <w:rPr>
          <w:rtl/>
        </w:rPr>
        <w:t>،</w:t>
      </w:r>
      <w:r>
        <w:rPr>
          <w:rtl/>
        </w:rPr>
        <w:t xml:space="preserve"> قال</w:t>
      </w:r>
      <w:r w:rsidR="000636C2">
        <w:rPr>
          <w:rtl/>
        </w:rPr>
        <w:t>:</w:t>
      </w:r>
      <w:r>
        <w:rPr>
          <w:rtl/>
        </w:rPr>
        <w:t xml:space="preserve"> ولسنا نختلف أن الجبار لا يعلوه شيء من خلقه بحال</w:t>
      </w:r>
      <w:r w:rsidR="000636C2">
        <w:rPr>
          <w:rtl/>
        </w:rPr>
        <w:t>،</w:t>
      </w:r>
      <w:r>
        <w:rPr>
          <w:rtl/>
        </w:rPr>
        <w:t xml:space="preserve"> وأنه لا يحل بالأشياء بنفسه</w:t>
      </w:r>
      <w:r w:rsidR="000636C2">
        <w:rPr>
          <w:rtl/>
        </w:rPr>
        <w:t>،</w:t>
      </w:r>
      <w:r>
        <w:rPr>
          <w:rtl/>
        </w:rPr>
        <w:t xml:space="preserve"> ولا يزول عنها</w:t>
      </w:r>
      <w:r w:rsidR="000636C2">
        <w:rPr>
          <w:rtl/>
        </w:rPr>
        <w:t>،</w:t>
      </w:r>
      <w:r>
        <w:rPr>
          <w:rtl/>
        </w:rPr>
        <w:t xml:space="preserve"> لأنه لو حل بها لكان منها</w:t>
      </w:r>
      <w:r w:rsidR="000636C2">
        <w:rPr>
          <w:rtl/>
        </w:rPr>
        <w:t>،</w:t>
      </w:r>
      <w:r>
        <w:rPr>
          <w:rtl/>
        </w:rPr>
        <w:t>ولو زال عنها لنأي عنها فاتفقنا علي هذا اكثر من هذا الخبر علي المعني المكروه</w:t>
      </w:r>
      <w:r w:rsidR="000636C2">
        <w:rPr>
          <w:rtl/>
        </w:rPr>
        <w:t>،</w:t>
      </w:r>
      <w:r>
        <w:rPr>
          <w:rtl/>
        </w:rPr>
        <w:t xml:space="preserve"> والتأويل المألوف</w:t>
      </w:r>
      <w:r w:rsidR="000636C2">
        <w:rPr>
          <w:rtl/>
        </w:rPr>
        <w:t>،</w:t>
      </w:r>
    </w:p>
    <w:p w14:paraId="1A35FE1E" w14:textId="0A6B300D" w:rsidR="009C32A0" w:rsidRDefault="009C32A0" w:rsidP="000636C2">
      <w:pPr>
        <w:spacing w:after="240"/>
        <w:rPr>
          <w:rtl/>
        </w:rPr>
      </w:pPr>
      <w:r>
        <w:rPr>
          <w:bCs/>
          <w:rtl/>
        </w:rPr>
        <w:t>الحديث التاسع عشر</w:t>
      </w:r>
      <w:r w:rsidR="000636C2">
        <w:rPr>
          <w:bCs/>
          <w:rtl/>
        </w:rPr>
        <w:t>:</w:t>
      </w:r>
      <w:r>
        <w:rPr>
          <w:bCs/>
          <w:rtl/>
        </w:rPr>
        <w:t xml:space="preserve"> </w:t>
      </w:r>
      <w:r>
        <w:rPr>
          <w:rtl/>
        </w:rPr>
        <w:t>روى البخاري ومسلم في الصحيحين من حديث أبي هريرة رضي الله عنه</w:t>
      </w:r>
      <w:r w:rsidR="000636C2">
        <w:rPr>
          <w:rtl/>
        </w:rPr>
        <w:t xml:space="preserve"> </w:t>
      </w:r>
      <w:r>
        <w:rPr>
          <w:rtl/>
        </w:rPr>
        <w:t>عن النبي صلى الله عليه وسلم أنه قال</w:t>
      </w:r>
      <w:r w:rsidR="000636C2">
        <w:rPr>
          <w:rtl/>
        </w:rPr>
        <w:t>:</w:t>
      </w:r>
      <w:r>
        <w:rPr>
          <w:rtl/>
        </w:rPr>
        <w:t xml:space="preserve"> (</w:t>
      </w:r>
      <w:r w:rsidR="000636C2">
        <w:rPr>
          <w:rtl/>
        </w:rPr>
        <w:t>(</w:t>
      </w:r>
      <w:r>
        <w:rPr>
          <w:rtl/>
        </w:rPr>
        <w:t>ينزل ربنا كل ليلة إلى السماء الدنيا حتى يبقى ثلث الليل الأخير يقول</w:t>
      </w:r>
      <w:r w:rsidR="000636C2">
        <w:rPr>
          <w:rtl/>
        </w:rPr>
        <w:t>:</w:t>
      </w:r>
      <w:r>
        <w:rPr>
          <w:rtl/>
        </w:rPr>
        <w:t xml:space="preserve"> من يدعوني فأستجيب له</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وقد روى حديث النزول عشرون صحابيا</w:t>
      </w:r>
      <w:r w:rsidR="000636C2">
        <w:rPr>
          <w:rtl/>
        </w:rPr>
        <w:t>،</w:t>
      </w:r>
      <w:r>
        <w:rPr>
          <w:rtl/>
        </w:rPr>
        <w:t xml:space="preserve"> وقد سبق القول أنه يستحيل على الله عز وجل الحركة والنقلة والتغيير</w:t>
      </w:r>
      <w:r w:rsidR="000636C2">
        <w:rPr>
          <w:rtl/>
        </w:rPr>
        <w:t>،</w:t>
      </w:r>
      <w:r>
        <w:rPr>
          <w:rtl/>
        </w:rPr>
        <w:t xml:space="preserve"> فيبقى الناس رجلين </w:t>
      </w:r>
      <w:r w:rsidR="000636C2">
        <w:rPr>
          <w:rtl/>
        </w:rPr>
        <w:t>(</w:t>
      </w:r>
      <w:r>
        <w:rPr>
          <w:rtl/>
        </w:rPr>
        <w:t>أحدهما</w:t>
      </w:r>
      <w:r w:rsidR="000636C2">
        <w:rPr>
          <w:rtl/>
        </w:rPr>
        <w:t xml:space="preserve">): </w:t>
      </w:r>
      <w:r>
        <w:rPr>
          <w:rtl/>
        </w:rPr>
        <w:t>المتأول له بمعنى</w:t>
      </w:r>
      <w:r w:rsidR="000636C2">
        <w:rPr>
          <w:rtl/>
        </w:rPr>
        <w:t>:</w:t>
      </w:r>
      <w:r>
        <w:rPr>
          <w:rtl/>
        </w:rPr>
        <w:t xml:space="preserve"> أنه يقرب رحمته . وقد ذكر أشباء بالنزول فقال تعالى</w:t>
      </w:r>
      <w:r w:rsidR="000636C2">
        <w:rPr>
          <w:rtl/>
        </w:rPr>
        <w:t>:</w:t>
      </w:r>
      <w:r>
        <w:rPr>
          <w:rtl/>
        </w:rPr>
        <w:t xml:space="preserve"> </w:t>
      </w:r>
      <w:r w:rsidR="000636C2">
        <w:rPr>
          <w:rtl/>
        </w:rPr>
        <w:t>{</w:t>
      </w:r>
      <w:r>
        <w:rPr>
          <w:rtl/>
        </w:rPr>
        <w:t>وأنزلنا الحديد فيه بأس شديد</w:t>
      </w:r>
      <w:r w:rsidR="000636C2">
        <w:rPr>
          <w:rtl/>
        </w:rPr>
        <w:t>}،</w:t>
      </w:r>
      <w:r>
        <w:rPr>
          <w:rtl/>
        </w:rPr>
        <w:t xml:space="preserve"> وإن كان معدنه</w:t>
      </w:r>
      <w:r w:rsidR="000636C2">
        <w:rPr>
          <w:rtl/>
        </w:rPr>
        <w:t xml:space="preserve"> </w:t>
      </w:r>
      <w:r>
        <w:rPr>
          <w:rtl/>
        </w:rPr>
        <w:t>بالأرض وقال</w:t>
      </w:r>
      <w:r w:rsidR="000636C2">
        <w:rPr>
          <w:rtl/>
        </w:rPr>
        <w:t>:</w:t>
      </w:r>
      <w:r>
        <w:rPr>
          <w:rtl/>
        </w:rPr>
        <w:t xml:space="preserve"> </w:t>
      </w:r>
      <w:r w:rsidR="000636C2">
        <w:rPr>
          <w:rtl/>
        </w:rPr>
        <w:t>{</w:t>
      </w:r>
      <w:r>
        <w:rPr>
          <w:rtl/>
        </w:rPr>
        <w:t>وأنزلنا لكم من الأنعام ثمانية أزواج</w:t>
      </w:r>
      <w:r w:rsidR="000636C2">
        <w:rPr>
          <w:rtl/>
        </w:rPr>
        <w:t>}،</w:t>
      </w:r>
      <w:r>
        <w:rPr>
          <w:rtl/>
        </w:rPr>
        <w:t xml:space="preserve"> ومن لم يعرف كيف نزول الجمل كيف يتكلم في تفصيل هذه الجمل</w:t>
      </w:r>
      <w:r w:rsidR="000636C2">
        <w:rPr>
          <w:rtl/>
        </w:rPr>
        <w:t>؟،</w:t>
      </w:r>
      <w:r>
        <w:rPr>
          <w:rtl/>
        </w:rPr>
        <w:t xml:space="preserve"> و </w:t>
      </w:r>
      <w:r w:rsidR="000636C2">
        <w:rPr>
          <w:rtl/>
        </w:rPr>
        <w:t>(</w:t>
      </w:r>
      <w:r>
        <w:rPr>
          <w:rtl/>
        </w:rPr>
        <w:t>الثاني</w:t>
      </w:r>
      <w:r w:rsidR="000636C2">
        <w:rPr>
          <w:rtl/>
        </w:rPr>
        <w:t>):</w:t>
      </w:r>
      <w:r>
        <w:rPr>
          <w:rtl/>
        </w:rPr>
        <w:t xml:space="preserve"> الساكت عن الكلام في ذلك . </w:t>
      </w:r>
      <w:r w:rsidR="000636C2">
        <w:rPr>
          <w:rtl/>
        </w:rPr>
        <w:t>(</w:t>
      </w:r>
      <w:r>
        <w:rPr>
          <w:rtl/>
        </w:rPr>
        <w:t>روي أبو عيسي الترمذي عن مالك بن أنس وسفيان بن عيينة وابن المبارك انهم قالوا</w:t>
      </w:r>
      <w:r w:rsidR="000636C2">
        <w:rPr>
          <w:rtl/>
        </w:rPr>
        <w:t>:</w:t>
      </w:r>
      <w:r>
        <w:rPr>
          <w:rtl/>
        </w:rPr>
        <w:t xml:space="preserve"> أمروا هذه الأحاديث بلا كيف </w:t>
      </w:r>
      <w:r w:rsidR="000636C2">
        <w:rPr>
          <w:rtl/>
        </w:rPr>
        <w:t>(</w:t>
      </w:r>
      <w:r>
        <w:rPr>
          <w:rtl/>
        </w:rPr>
        <w:t>قلت</w:t>
      </w:r>
      <w:r w:rsidR="000636C2">
        <w:rPr>
          <w:rtl/>
        </w:rPr>
        <w:t>):</w:t>
      </w:r>
      <w:r>
        <w:rPr>
          <w:rtl/>
        </w:rPr>
        <w:t xml:space="preserve"> وواجب علي الخلق اعتقاد التنزيه وامتناع تجويز النقلة</w:t>
      </w:r>
      <w:r w:rsidR="000636C2">
        <w:rPr>
          <w:rtl/>
        </w:rPr>
        <w:t>،</w:t>
      </w:r>
      <w:r>
        <w:rPr>
          <w:rtl/>
        </w:rPr>
        <w:t xml:space="preserve"> وأن النزول الذي هو انتقال من مكان إلى مكان يقتقر إلى ثلاثة أجسام</w:t>
      </w:r>
      <w:r w:rsidR="000636C2">
        <w:rPr>
          <w:rtl/>
        </w:rPr>
        <w:t>:</w:t>
      </w:r>
      <w:r>
        <w:rPr>
          <w:rtl/>
        </w:rPr>
        <w:t xml:space="preserve"> جسم عالي</w:t>
      </w:r>
      <w:r w:rsidR="000636C2">
        <w:rPr>
          <w:rtl/>
        </w:rPr>
        <w:t>،</w:t>
      </w:r>
      <w:r>
        <w:rPr>
          <w:rtl/>
        </w:rPr>
        <w:t xml:space="preserve"> وهو مكان الساكن</w:t>
      </w:r>
      <w:r w:rsidR="000636C2">
        <w:rPr>
          <w:rtl/>
        </w:rPr>
        <w:t>،</w:t>
      </w:r>
      <w:r>
        <w:rPr>
          <w:rtl/>
        </w:rPr>
        <w:t xml:space="preserve"> وجسم سافل</w:t>
      </w:r>
      <w:r w:rsidR="000636C2">
        <w:rPr>
          <w:rtl/>
        </w:rPr>
        <w:t>،</w:t>
      </w:r>
      <w:r>
        <w:rPr>
          <w:rtl/>
        </w:rPr>
        <w:t xml:space="preserve"> وجسم ينتقل من علو إلى أسفل</w:t>
      </w:r>
      <w:r w:rsidR="000636C2">
        <w:rPr>
          <w:rtl/>
        </w:rPr>
        <w:t>،</w:t>
      </w:r>
      <w:r>
        <w:rPr>
          <w:rtl/>
        </w:rPr>
        <w:t xml:space="preserve"> وهذا لا يجوز علي الله تعالى قطعا</w:t>
      </w:r>
      <w:r w:rsidR="000636C2">
        <w:rPr>
          <w:rtl/>
        </w:rPr>
        <w:t>،</w:t>
      </w:r>
      <w:r>
        <w:rPr>
          <w:rtl/>
        </w:rPr>
        <w:t xml:space="preserve"> فإن قال العامي</w:t>
      </w:r>
      <w:r w:rsidR="000636C2">
        <w:rPr>
          <w:rtl/>
        </w:rPr>
        <w:t>:</w:t>
      </w:r>
      <w:r>
        <w:rPr>
          <w:rtl/>
        </w:rPr>
        <w:t xml:space="preserve"> فما الذي أراد بالنزول</w:t>
      </w:r>
      <w:r w:rsidR="000636C2">
        <w:rPr>
          <w:rtl/>
        </w:rPr>
        <w:t>؟</w:t>
      </w:r>
      <w:r>
        <w:rPr>
          <w:rtl/>
        </w:rPr>
        <w:t xml:space="preserve"> قيل</w:t>
      </w:r>
      <w:r w:rsidR="000636C2">
        <w:rPr>
          <w:rtl/>
        </w:rPr>
        <w:t>:</w:t>
      </w:r>
      <w:r>
        <w:rPr>
          <w:rtl/>
        </w:rPr>
        <w:t xml:space="preserve"> أراد به معني يليق بجلاله لا يلزمك التفتيش عنه</w:t>
      </w:r>
      <w:r w:rsidR="000636C2">
        <w:rPr>
          <w:rtl/>
        </w:rPr>
        <w:t>،</w:t>
      </w:r>
      <w:r>
        <w:rPr>
          <w:rtl/>
        </w:rPr>
        <w:t xml:space="preserve"> فإن قال</w:t>
      </w:r>
      <w:r w:rsidR="000636C2">
        <w:rPr>
          <w:rtl/>
        </w:rPr>
        <w:t>:</w:t>
      </w:r>
      <w:r>
        <w:rPr>
          <w:rtl/>
        </w:rPr>
        <w:t xml:space="preserve"> كيف حدث بما لا أفهمه؟ </w:t>
      </w:r>
      <w:r w:rsidR="000636C2">
        <w:rPr>
          <w:rtl/>
        </w:rPr>
        <w:t>(</w:t>
      </w:r>
      <w:r>
        <w:rPr>
          <w:rtl/>
        </w:rPr>
        <w:t>قلنا</w:t>
      </w:r>
      <w:r w:rsidR="000636C2">
        <w:rPr>
          <w:rtl/>
        </w:rPr>
        <w:t>):</w:t>
      </w:r>
      <w:r>
        <w:rPr>
          <w:rtl/>
        </w:rPr>
        <w:t xml:space="preserve"> قد علمت أن النازل إليك قريب منك</w:t>
      </w:r>
      <w:r w:rsidR="000636C2">
        <w:rPr>
          <w:rtl/>
        </w:rPr>
        <w:t>،</w:t>
      </w:r>
      <w:r>
        <w:rPr>
          <w:rtl/>
        </w:rPr>
        <w:t xml:space="preserve"> فاقنع بالقرب ولا تظنه كقرب الأجسام</w:t>
      </w:r>
      <w:r w:rsidR="000636C2">
        <w:rPr>
          <w:rtl/>
        </w:rPr>
        <w:t>،</w:t>
      </w:r>
      <w:r>
        <w:rPr>
          <w:rtl/>
        </w:rPr>
        <w:t xml:space="preserve"> قال ابن حامد</w:t>
      </w:r>
      <w:r w:rsidR="000636C2">
        <w:rPr>
          <w:rtl/>
        </w:rPr>
        <w:t>:</w:t>
      </w:r>
      <w:r>
        <w:rPr>
          <w:rtl/>
        </w:rPr>
        <w:t xml:space="preserve"> هو علي العرش بذاته</w:t>
      </w:r>
      <w:r w:rsidR="000636C2">
        <w:rPr>
          <w:rtl/>
        </w:rPr>
        <w:t>،</w:t>
      </w:r>
      <w:r>
        <w:rPr>
          <w:rtl/>
        </w:rPr>
        <w:t xml:space="preserve"> مماس له</w:t>
      </w:r>
      <w:r w:rsidR="000636C2">
        <w:rPr>
          <w:rtl/>
        </w:rPr>
        <w:t>،</w:t>
      </w:r>
      <w:r>
        <w:rPr>
          <w:rtl/>
        </w:rPr>
        <w:t xml:space="preserve"> وينزل من مكانه الذي هو فيه فيزول وينتقل</w:t>
      </w:r>
      <w:r w:rsidR="000636C2">
        <w:rPr>
          <w:rtl/>
        </w:rPr>
        <w:t>،</w:t>
      </w:r>
      <w:r>
        <w:rPr>
          <w:rtl/>
        </w:rPr>
        <w:t xml:space="preserve"> </w:t>
      </w:r>
      <w:r w:rsidR="000636C2">
        <w:rPr>
          <w:rtl/>
        </w:rPr>
        <w:t>(</w:t>
      </w:r>
      <w:r>
        <w:rPr>
          <w:rtl/>
        </w:rPr>
        <w:t>قلت</w:t>
      </w:r>
      <w:r w:rsidR="000636C2">
        <w:rPr>
          <w:rtl/>
        </w:rPr>
        <w:t>):</w:t>
      </w:r>
      <w:r>
        <w:rPr>
          <w:rtl/>
        </w:rPr>
        <w:t xml:space="preserve"> وهذا رجل لا يعرف ما يجوز علي الله تعالى</w:t>
      </w:r>
      <w:r w:rsidR="000636C2">
        <w:rPr>
          <w:rtl/>
        </w:rPr>
        <w:t>،</w:t>
      </w:r>
      <w:r>
        <w:rPr>
          <w:rtl/>
        </w:rPr>
        <w:t xml:space="preserve"> وقال القاضي</w:t>
      </w:r>
      <w:r w:rsidR="000636C2">
        <w:rPr>
          <w:rtl/>
        </w:rPr>
        <w:t>:</w:t>
      </w:r>
      <w:r>
        <w:rPr>
          <w:rtl/>
        </w:rPr>
        <w:t xml:space="preserve"> النزول صفة ذاتية</w:t>
      </w:r>
      <w:r w:rsidR="000636C2">
        <w:rPr>
          <w:rtl/>
        </w:rPr>
        <w:t>،</w:t>
      </w:r>
      <w:r>
        <w:rPr>
          <w:rtl/>
        </w:rPr>
        <w:t xml:space="preserve"> ولا نقول نزوله انتقال . قلت وهذا مغالطة</w:t>
      </w:r>
      <w:r w:rsidR="000636C2">
        <w:rPr>
          <w:rtl/>
        </w:rPr>
        <w:t>،</w:t>
      </w:r>
      <w:r>
        <w:rPr>
          <w:rtl/>
        </w:rPr>
        <w:t xml:space="preserve"> ومنهم من قال</w:t>
      </w:r>
      <w:r w:rsidR="000636C2">
        <w:rPr>
          <w:rtl/>
        </w:rPr>
        <w:t>:</w:t>
      </w:r>
      <w:r>
        <w:rPr>
          <w:rtl/>
        </w:rPr>
        <w:t xml:space="preserve"> يتحرك إذا نزل</w:t>
      </w:r>
      <w:r w:rsidR="000636C2">
        <w:rPr>
          <w:rtl/>
        </w:rPr>
        <w:t>،</w:t>
      </w:r>
      <w:r>
        <w:rPr>
          <w:rtl/>
        </w:rPr>
        <w:t xml:space="preserve"> ولا يدري أن الحركة لا تجوز علي الخالق . وقد حكوا عن أحمد ذلك وهو كذب عليه . ولو كان النزول صفة لذاته</w:t>
      </w:r>
      <w:r w:rsidR="000636C2">
        <w:rPr>
          <w:rtl/>
        </w:rPr>
        <w:t>،</w:t>
      </w:r>
      <w:r>
        <w:rPr>
          <w:rtl/>
        </w:rPr>
        <w:t xml:space="preserve"> لكانت صفاته كل ليلة تتجدد وصفاته قديمة</w:t>
      </w:r>
      <w:r w:rsidR="000636C2">
        <w:rPr>
          <w:rtl/>
        </w:rPr>
        <w:t>،</w:t>
      </w:r>
      <w:r>
        <w:rPr>
          <w:rtl/>
        </w:rPr>
        <w:t xml:space="preserve"> </w:t>
      </w:r>
    </w:p>
    <w:p w14:paraId="24627AB3" w14:textId="6312BC16" w:rsidR="009C32A0" w:rsidRDefault="009C32A0" w:rsidP="000636C2">
      <w:pPr>
        <w:spacing w:after="240"/>
        <w:rPr>
          <w:rtl/>
        </w:rPr>
      </w:pPr>
      <w:r>
        <w:rPr>
          <w:bCs/>
          <w:rtl/>
        </w:rPr>
        <w:t>الحديث العشرون</w:t>
      </w:r>
      <w:r w:rsidR="000636C2">
        <w:rPr>
          <w:rtl/>
        </w:rPr>
        <w:t>:</w:t>
      </w:r>
      <w:r>
        <w:rPr>
          <w:rtl/>
        </w:rPr>
        <w:t xml:space="preserve"> روي البخاري ومسلم في الصحيحين من حديث أبي هريرة رضي الله عنه</w:t>
      </w:r>
      <w:r w:rsidR="000636C2">
        <w:rPr>
          <w:rtl/>
        </w:rPr>
        <w:t>:</w:t>
      </w:r>
      <w:r>
        <w:rPr>
          <w:rtl/>
        </w:rPr>
        <w:t xml:space="preserve"> أن رجلا أتي رسول الله صلى الله عليه وسلم فقال</w:t>
      </w:r>
      <w:r w:rsidR="000636C2">
        <w:rPr>
          <w:rtl/>
        </w:rPr>
        <w:t>:</w:t>
      </w:r>
      <w:r>
        <w:rPr>
          <w:rtl/>
        </w:rPr>
        <w:t>" إني مجهود . فقال</w:t>
      </w:r>
      <w:r w:rsidR="000636C2">
        <w:rPr>
          <w:rtl/>
        </w:rPr>
        <w:t>:</w:t>
      </w:r>
      <w:r>
        <w:rPr>
          <w:rtl/>
        </w:rPr>
        <w:t xml:space="preserve"> من يضيف هذا هذه الليلة</w:t>
      </w:r>
      <w:r w:rsidR="000636C2">
        <w:rPr>
          <w:rtl/>
        </w:rPr>
        <w:t>؟</w:t>
      </w:r>
      <w:r>
        <w:rPr>
          <w:rtl/>
        </w:rPr>
        <w:t xml:space="preserve"> فقام رجل من الأنصار فقال</w:t>
      </w:r>
      <w:r w:rsidR="000636C2">
        <w:rPr>
          <w:rtl/>
        </w:rPr>
        <w:t>:</w:t>
      </w:r>
      <w:r>
        <w:rPr>
          <w:rtl/>
        </w:rPr>
        <w:t xml:space="preserve"> أنا يا رسول الله</w:t>
      </w:r>
      <w:r w:rsidR="000636C2">
        <w:rPr>
          <w:rtl/>
        </w:rPr>
        <w:t>،</w:t>
      </w:r>
      <w:r>
        <w:rPr>
          <w:rtl/>
        </w:rPr>
        <w:t xml:space="preserve"> فانطلق به فقال لامرأته</w:t>
      </w:r>
      <w:r w:rsidR="000636C2">
        <w:rPr>
          <w:rtl/>
        </w:rPr>
        <w:t>:</w:t>
      </w:r>
      <w:r>
        <w:rPr>
          <w:rtl/>
        </w:rPr>
        <w:t xml:space="preserve"> هل عندك شيء</w:t>
      </w:r>
      <w:r w:rsidR="000636C2">
        <w:rPr>
          <w:rtl/>
        </w:rPr>
        <w:t>؟،</w:t>
      </w:r>
      <w:r>
        <w:rPr>
          <w:rtl/>
        </w:rPr>
        <w:t xml:space="preserve"> قالت لا إلا قوت صبياني</w:t>
      </w:r>
      <w:r w:rsidR="000636C2">
        <w:rPr>
          <w:rtl/>
        </w:rPr>
        <w:t>،</w:t>
      </w:r>
      <w:r>
        <w:rPr>
          <w:rtl/>
        </w:rPr>
        <w:t xml:space="preserve"> قال فعلليهم بشيء إذا أرادوا الصبية العشاء فنوميهم . فإذا دخل ضيفنا فأطفئ السراج</w:t>
      </w:r>
      <w:r w:rsidR="000636C2">
        <w:rPr>
          <w:rtl/>
        </w:rPr>
        <w:t>،</w:t>
      </w:r>
      <w:r>
        <w:rPr>
          <w:rtl/>
        </w:rPr>
        <w:t xml:space="preserve"> وأريه أنا نأكل فقعدوا وأكل الضيف</w:t>
      </w:r>
      <w:r w:rsidR="000636C2">
        <w:rPr>
          <w:rtl/>
        </w:rPr>
        <w:t>،</w:t>
      </w:r>
      <w:r>
        <w:rPr>
          <w:rtl/>
        </w:rPr>
        <w:t xml:space="preserve"> فلما أصبح غدا علي رسول الله صلى الله عليه وسلم فقال</w:t>
      </w:r>
      <w:r w:rsidR="000636C2">
        <w:rPr>
          <w:rtl/>
        </w:rPr>
        <w:t>:</w:t>
      </w:r>
      <w:r>
        <w:rPr>
          <w:rtl/>
        </w:rPr>
        <w:t xml:space="preserve"> (</w:t>
      </w:r>
      <w:r w:rsidR="000636C2">
        <w:rPr>
          <w:rtl/>
        </w:rPr>
        <w:t>(</w:t>
      </w:r>
      <w:r>
        <w:rPr>
          <w:rtl/>
        </w:rPr>
        <w:t>لقد عجب الله من صنيعكما بضيفكما الليلة</w:t>
      </w:r>
      <w:r w:rsidR="000636C2">
        <w:rPr>
          <w:rtl/>
        </w:rPr>
        <w:t>)</w:t>
      </w:r>
      <w:r>
        <w:rPr>
          <w:rtl/>
        </w:rPr>
        <w:t>)</w:t>
      </w:r>
      <w:r w:rsidR="000636C2">
        <w:rPr>
          <w:rtl/>
        </w:rPr>
        <w:t>،</w:t>
      </w:r>
      <w:r>
        <w:rPr>
          <w:rtl/>
        </w:rPr>
        <w:t xml:space="preserve"> وفي أفراد البخاري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عجب ربك من قوم جيء بهم بالسلاسل حتي يدخلهم الجنة</w:t>
      </w:r>
      <w:r w:rsidR="000636C2">
        <w:rPr>
          <w:rtl/>
        </w:rPr>
        <w:t>)</w:t>
      </w:r>
      <w:r>
        <w:rPr>
          <w:rtl/>
        </w:rPr>
        <w:t>)</w:t>
      </w:r>
      <w:r w:rsidR="000636C2">
        <w:rPr>
          <w:rtl/>
        </w:rPr>
        <w:t>،</w:t>
      </w:r>
      <w:r>
        <w:rPr>
          <w:rtl/>
        </w:rPr>
        <w:t xml:space="preserve"> قال العلماء</w:t>
      </w:r>
      <w:r w:rsidR="000636C2">
        <w:rPr>
          <w:rtl/>
        </w:rPr>
        <w:t>:</w:t>
      </w:r>
      <w:r>
        <w:rPr>
          <w:rtl/>
        </w:rPr>
        <w:t xml:space="preserve"> العجب إنما يكون من شيء يدهم الانسان فيستعظمه مما لا يعلمه وهذا لا يليق بالخالق سبحانه</w:t>
      </w:r>
      <w:r w:rsidR="000636C2">
        <w:rPr>
          <w:rtl/>
        </w:rPr>
        <w:t>،</w:t>
      </w:r>
      <w:r>
        <w:rPr>
          <w:rtl/>
        </w:rPr>
        <w:t xml:space="preserve"> لكن معناه</w:t>
      </w:r>
      <w:r w:rsidR="000636C2">
        <w:rPr>
          <w:rtl/>
        </w:rPr>
        <w:t>:</w:t>
      </w:r>
      <w:r>
        <w:rPr>
          <w:rtl/>
        </w:rPr>
        <w:t xml:space="preserve"> عظم قدر ذلك الشيء عنده لأن المتعجب من شيء يعظم قدره عنده</w:t>
      </w:r>
      <w:r w:rsidR="000636C2">
        <w:rPr>
          <w:rtl/>
        </w:rPr>
        <w:t>،</w:t>
      </w:r>
      <w:r>
        <w:rPr>
          <w:rtl/>
        </w:rPr>
        <w:t xml:space="preserve"> ومعني في السلاسل</w:t>
      </w:r>
      <w:r w:rsidR="000636C2">
        <w:rPr>
          <w:rtl/>
        </w:rPr>
        <w:t>:</w:t>
      </w:r>
      <w:r>
        <w:rPr>
          <w:rtl/>
        </w:rPr>
        <w:t xml:space="preserve"> اكرهوا علي الطاعة التي بها يدخلون الجنة . وقال ابن الأنباري</w:t>
      </w:r>
      <w:r w:rsidR="000636C2">
        <w:rPr>
          <w:rtl/>
        </w:rPr>
        <w:t>:</w:t>
      </w:r>
      <w:r>
        <w:rPr>
          <w:rtl/>
        </w:rPr>
        <w:t xml:space="preserve"> معني عجب ربك</w:t>
      </w:r>
      <w:r w:rsidR="000636C2">
        <w:rPr>
          <w:rtl/>
        </w:rPr>
        <w:t>:</w:t>
      </w:r>
      <w:r>
        <w:rPr>
          <w:rtl/>
        </w:rPr>
        <w:t xml:space="preserve"> زادهم إنعاما وإحسانا</w:t>
      </w:r>
      <w:r w:rsidR="000636C2">
        <w:rPr>
          <w:rtl/>
        </w:rPr>
        <w:t>،</w:t>
      </w:r>
      <w:r>
        <w:rPr>
          <w:rtl/>
        </w:rPr>
        <w:t xml:space="preserve"> فعبر بعجب عن هذا</w:t>
      </w:r>
      <w:r w:rsidR="000636C2">
        <w:rPr>
          <w:rtl/>
        </w:rPr>
        <w:t>،</w:t>
      </w:r>
      <w:r>
        <w:rPr>
          <w:rtl/>
        </w:rPr>
        <w:t xml:space="preserve"> وقال بن عقيل</w:t>
      </w:r>
      <w:r w:rsidR="000636C2">
        <w:rPr>
          <w:rtl/>
        </w:rPr>
        <w:t>:</w:t>
      </w:r>
      <w:r>
        <w:rPr>
          <w:rtl/>
        </w:rPr>
        <w:t xml:space="preserve"> العجب في الأصل استغراب الشيء وذلك يكون من علم ما لم يعلم</w:t>
      </w:r>
      <w:r w:rsidR="000636C2">
        <w:rPr>
          <w:rtl/>
        </w:rPr>
        <w:t>،</w:t>
      </w:r>
      <w:r>
        <w:rPr>
          <w:rtl/>
        </w:rPr>
        <w:t xml:space="preserve"> وإلا فكل شيء أنس به لا يتصور العجب منه</w:t>
      </w:r>
      <w:r w:rsidR="000636C2">
        <w:rPr>
          <w:rtl/>
        </w:rPr>
        <w:t>،</w:t>
      </w:r>
      <w:r>
        <w:rPr>
          <w:rtl/>
        </w:rPr>
        <w:t xml:space="preserve"> فإن الإنسان إذا رأي حجر المغناطيس يجذب الحديد ولم يكن رآه قبل ذلك عجب</w:t>
      </w:r>
      <w:r w:rsidR="000636C2">
        <w:rPr>
          <w:rtl/>
        </w:rPr>
        <w:t>،</w:t>
      </w:r>
      <w:r>
        <w:rPr>
          <w:rtl/>
        </w:rPr>
        <w:t xml:space="preserve"> والباري سبحانه لا يعزب عن علمه شيء</w:t>
      </w:r>
      <w:r w:rsidR="000636C2">
        <w:rPr>
          <w:rtl/>
        </w:rPr>
        <w:t>،</w:t>
      </w:r>
      <w:r>
        <w:rPr>
          <w:rtl/>
        </w:rPr>
        <w:t xml:space="preserve"> فأين العجب منه</w:t>
      </w:r>
      <w:r w:rsidR="000636C2">
        <w:rPr>
          <w:rtl/>
        </w:rPr>
        <w:t>؟</w:t>
      </w:r>
      <w:r>
        <w:rPr>
          <w:rtl/>
        </w:rPr>
        <w:t xml:space="preserve"> فلم يبق للحديث معني إلا أن يكون فعل شيء أعجبه فعله وكذلك الضحك لا يصدر إلا عن راض ولذلك قوله صلى الله عليه وسلم</w:t>
      </w:r>
      <w:r w:rsidR="000636C2">
        <w:rPr>
          <w:rtl/>
        </w:rPr>
        <w:t>:</w:t>
      </w:r>
      <w:r>
        <w:rPr>
          <w:rtl/>
        </w:rPr>
        <w:t xml:space="preserve"> (</w:t>
      </w:r>
      <w:r w:rsidR="000636C2">
        <w:rPr>
          <w:rtl/>
        </w:rPr>
        <w:t>(</w:t>
      </w:r>
      <w:r>
        <w:rPr>
          <w:rtl/>
        </w:rPr>
        <w:t>لله أفرح بتوبة عبده</w:t>
      </w:r>
      <w:r w:rsidR="000636C2">
        <w:rPr>
          <w:rtl/>
        </w:rPr>
        <w:t>)</w:t>
      </w:r>
      <w:r>
        <w:rPr>
          <w:rtl/>
        </w:rPr>
        <w:t>)</w:t>
      </w:r>
      <w:r w:rsidR="000636C2">
        <w:rPr>
          <w:rtl/>
        </w:rPr>
        <w:t xml:space="preserve"> </w:t>
      </w:r>
      <w:r>
        <w:rPr>
          <w:rtl/>
        </w:rPr>
        <w:t>أي رضي</w:t>
      </w:r>
      <w:r w:rsidR="000636C2">
        <w:rPr>
          <w:rtl/>
        </w:rPr>
        <w:t>،</w:t>
      </w:r>
      <w:r>
        <w:rPr>
          <w:rtl/>
        </w:rPr>
        <w:t xml:space="preserve"> ومنه قوله تعالى</w:t>
      </w:r>
      <w:r w:rsidR="000636C2">
        <w:rPr>
          <w:rtl/>
        </w:rPr>
        <w:t>:</w:t>
      </w:r>
      <w:r>
        <w:rPr>
          <w:rtl/>
        </w:rPr>
        <w:t xml:space="preserve"> </w:t>
      </w:r>
      <w:r w:rsidR="000636C2">
        <w:rPr>
          <w:rtl/>
        </w:rPr>
        <w:t>{</w:t>
      </w:r>
      <w:r>
        <w:rPr>
          <w:rtl/>
        </w:rPr>
        <w:t>كل حزب بما لديهم فرحون</w:t>
      </w:r>
      <w:r w:rsidR="000636C2">
        <w:rPr>
          <w:rtl/>
        </w:rPr>
        <w:t>}</w:t>
      </w:r>
      <w:r>
        <w:rPr>
          <w:rtl/>
        </w:rPr>
        <w:t xml:space="preserve"> أي راضون</w:t>
      </w:r>
      <w:r w:rsidR="000636C2">
        <w:rPr>
          <w:rtl/>
        </w:rPr>
        <w:t>،</w:t>
      </w:r>
      <w:r>
        <w:rPr>
          <w:rtl/>
        </w:rPr>
        <w:t xml:space="preserve"> وقال القاضي</w:t>
      </w:r>
      <w:r w:rsidR="000636C2">
        <w:rPr>
          <w:rtl/>
        </w:rPr>
        <w:t>:</w:t>
      </w:r>
      <w:r>
        <w:rPr>
          <w:rtl/>
        </w:rPr>
        <w:t xml:space="preserve"> لا نثبت عجبا هو تعظيم الأمر بل نثبت ذلك صفة</w:t>
      </w:r>
      <w:r w:rsidR="000636C2">
        <w:rPr>
          <w:rtl/>
        </w:rPr>
        <w:t>،</w:t>
      </w:r>
      <w:r>
        <w:rPr>
          <w:rtl/>
        </w:rPr>
        <w:t xml:space="preserve"> وهذا ليس بشيء</w:t>
      </w:r>
      <w:r w:rsidR="000636C2">
        <w:rPr>
          <w:rtl/>
        </w:rPr>
        <w:t>،</w:t>
      </w:r>
    </w:p>
    <w:p w14:paraId="7109E889" w14:textId="3CC3F39B" w:rsidR="009C32A0" w:rsidRDefault="009C32A0" w:rsidP="000636C2">
      <w:pPr>
        <w:spacing w:after="240"/>
        <w:rPr>
          <w:rtl/>
        </w:rPr>
      </w:pPr>
      <w:r>
        <w:rPr>
          <w:bCs/>
          <w:rtl/>
        </w:rPr>
        <w:t>الحديث الحادي والعشرون</w:t>
      </w:r>
      <w:r w:rsidR="000636C2">
        <w:rPr>
          <w:rtl/>
        </w:rPr>
        <w:t>:</w:t>
      </w:r>
      <w:r>
        <w:rPr>
          <w:rtl/>
        </w:rPr>
        <w:t xml:space="preserve"> روي البخاري ومسلم من حديث أبي هريرة رضي الله عنه</w:t>
      </w:r>
      <w:r w:rsidR="000636C2">
        <w:rPr>
          <w:rtl/>
        </w:rPr>
        <w:t>،</w:t>
      </w:r>
      <w:r>
        <w:rPr>
          <w:rtl/>
        </w:rPr>
        <w:t xml:space="preserve"> عن النبي صلى الله عليه وسلم قال</w:t>
      </w:r>
      <w:r w:rsidR="000636C2">
        <w:rPr>
          <w:rtl/>
        </w:rPr>
        <w:t xml:space="preserve">: </w:t>
      </w:r>
      <w:r>
        <w:rPr>
          <w:rtl/>
        </w:rPr>
        <w:t>(</w:t>
      </w:r>
      <w:r w:rsidR="000636C2">
        <w:rPr>
          <w:rtl/>
        </w:rPr>
        <w:t>(</w:t>
      </w:r>
      <w:r>
        <w:rPr>
          <w:rtl/>
        </w:rPr>
        <w:t>لله أشد فرحا بتوبة عبده إذا تاب</w:t>
      </w:r>
      <w:r w:rsidR="000636C2">
        <w:rPr>
          <w:rtl/>
        </w:rPr>
        <w:t>،</w:t>
      </w:r>
      <w:r>
        <w:rPr>
          <w:rtl/>
        </w:rPr>
        <w:t xml:space="preserve"> من أحدكم براحلته إذا وجدها</w:t>
      </w:r>
      <w:r w:rsidR="000636C2">
        <w:rPr>
          <w:rtl/>
        </w:rPr>
        <w:t>)</w:t>
      </w:r>
      <w:r>
        <w:rPr>
          <w:rtl/>
        </w:rPr>
        <w:t>)</w:t>
      </w:r>
      <w:r w:rsidR="000636C2">
        <w:rPr>
          <w:rtl/>
        </w:rPr>
        <w:t>،</w:t>
      </w:r>
      <w:r>
        <w:rPr>
          <w:rtl/>
        </w:rPr>
        <w:t xml:space="preserve"> قال المصنف</w:t>
      </w:r>
      <w:r w:rsidR="000636C2">
        <w:rPr>
          <w:rtl/>
        </w:rPr>
        <w:t>:</w:t>
      </w:r>
      <w:r>
        <w:rPr>
          <w:rtl/>
        </w:rPr>
        <w:t xml:space="preserve"> لما كان سرورا بشيء راضيا به قيل له فرح</w:t>
      </w:r>
      <w:r w:rsidR="000636C2">
        <w:rPr>
          <w:rtl/>
        </w:rPr>
        <w:t>،</w:t>
      </w:r>
      <w:r>
        <w:rPr>
          <w:rtl/>
        </w:rPr>
        <w:t xml:space="preserve"> والمراد الرضا بتوبة التائب</w:t>
      </w:r>
      <w:r w:rsidR="000636C2">
        <w:rPr>
          <w:rtl/>
        </w:rPr>
        <w:t>،</w:t>
      </w:r>
      <w:r>
        <w:rPr>
          <w:rtl/>
        </w:rPr>
        <w:t xml:space="preserve"> ولا يجوز أن يعتقد في الله تعالى من التأثر الذي يوجد في المخلوقين</w:t>
      </w:r>
      <w:r w:rsidR="000636C2">
        <w:rPr>
          <w:rtl/>
        </w:rPr>
        <w:t>،</w:t>
      </w:r>
      <w:r>
        <w:rPr>
          <w:rtl/>
        </w:rPr>
        <w:t xml:space="preserve"> فإن صفات الحق قديمة لا يحدث لها صفة</w:t>
      </w:r>
      <w:r w:rsidR="000636C2">
        <w:rPr>
          <w:rtl/>
        </w:rPr>
        <w:t>،</w:t>
      </w:r>
    </w:p>
    <w:p w14:paraId="242AC2DD" w14:textId="33C17742" w:rsidR="009C32A0" w:rsidRDefault="009C32A0" w:rsidP="000636C2">
      <w:pPr>
        <w:spacing w:after="240"/>
        <w:rPr>
          <w:rtl/>
        </w:rPr>
      </w:pPr>
      <w:r>
        <w:rPr>
          <w:bCs/>
          <w:rtl/>
        </w:rPr>
        <w:t>الحديث الثاني والعشرون</w:t>
      </w:r>
      <w:r w:rsidR="000636C2">
        <w:rPr>
          <w:rtl/>
        </w:rPr>
        <w:t>:</w:t>
      </w:r>
      <w:r>
        <w:rPr>
          <w:rtl/>
        </w:rPr>
        <w:t xml:space="preserve"> روي مسلم في إفراده من حديث أبي موسي قال</w:t>
      </w:r>
      <w:r w:rsidR="000636C2">
        <w:rPr>
          <w:rtl/>
        </w:rPr>
        <w:t>:</w:t>
      </w:r>
      <w:r>
        <w:rPr>
          <w:rtl/>
        </w:rPr>
        <w:t xml:space="preserve"> قام فينا رسول الله بخمس كلمات فقال</w:t>
      </w:r>
      <w:r w:rsidR="000636C2">
        <w:rPr>
          <w:rtl/>
        </w:rPr>
        <w:t>:</w:t>
      </w:r>
      <w:r>
        <w:rPr>
          <w:rtl/>
        </w:rPr>
        <w:t xml:space="preserve"> (</w:t>
      </w:r>
      <w:r w:rsidR="000636C2">
        <w:rPr>
          <w:rtl/>
        </w:rPr>
        <w:t>(</w:t>
      </w:r>
      <w:r>
        <w:rPr>
          <w:rtl/>
        </w:rPr>
        <w:t>إن الله لا ينام ولا ينبغي له أن ينام</w:t>
      </w:r>
      <w:r w:rsidR="000636C2">
        <w:rPr>
          <w:rtl/>
        </w:rPr>
        <w:t>،</w:t>
      </w:r>
      <w:r>
        <w:rPr>
          <w:rtl/>
        </w:rPr>
        <w:t xml:space="preserve"> يخفض القسط ويرفعه إلى قوله</w:t>
      </w:r>
      <w:r w:rsidR="000636C2">
        <w:rPr>
          <w:rtl/>
        </w:rPr>
        <w:t>،</w:t>
      </w:r>
      <w:r>
        <w:rPr>
          <w:rtl/>
        </w:rPr>
        <w:t xml:space="preserve"> إلى قوله</w:t>
      </w:r>
      <w:r w:rsidR="000636C2">
        <w:rPr>
          <w:rtl/>
        </w:rPr>
        <w:t>:</w:t>
      </w:r>
      <w:r>
        <w:rPr>
          <w:rtl/>
        </w:rPr>
        <w:t xml:space="preserve"> حجابه النور</w:t>
      </w:r>
      <w:r w:rsidR="000636C2">
        <w:rPr>
          <w:rtl/>
        </w:rPr>
        <w:t>)</w:t>
      </w:r>
      <w:r>
        <w:rPr>
          <w:rtl/>
        </w:rPr>
        <w:t>)</w:t>
      </w:r>
      <w:r w:rsidR="000636C2">
        <w:rPr>
          <w:rtl/>
        </w:rPr>
        <w:t>،</w:t>
      </w:r>
      <w:r>
        <w:rPr>
          <w:rtl/>
        </w:rPr>
        <w:t xml:space="preserve"> وفي رواية</w:t>
      </w:r>
      <w:r w:rsidR="000636C2">
        <w:rPr>
          <w:rtl/>
        </w:rPr>
        <w:t>:</w:t>
      </w:r>
      <w:r>
        <w:rPr>
          <w:rtl/>
        </w:rPr>
        <w:t xml:space="preserve"> (</w:t>
      </w:r>
      <w:r w:rsidR="000636C2">
        <w:rPr>
          <w:rtl/>
        </w:rPr>
        <w:t>(</w:t>
      </w:r>
      <w:r>
        <w:rPr>
          <w:rtl/>
        </w:rPr>
        <w:t>النار ولو كشفه لأحرقت سبحات وجهه ما انتهي إليه بصره من خلقه</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معني يخفض القسط ويرفعه</w:t>
      </w:r>
      <w:r w:rsidR="000636C2">
        <w:rPr>
          <w:rtl/>
        </w:rPr>
        <w:t>:</w:t>
      </w:r>
      <w:r>
        <w:rPr>
          <w:rtl/>
        </w:rPr>
        <w:t xml:space="preserve"> أي يخفض بعدل ويرفع بعدل</w:t>
      </w:r>
      <w:r w:rsidR="000636C2">
        <w:rPr>
          <w:rtl/>
        </w:rPr>
        <w:t>،</w:t>
      </w:r>
      <w:r>
        <w:rPr>
          <w:rtl/>
        </w:rPr>
        <w:t xml:space="preserve"> وقوله</w:t>
      </w:r>
      <w:r w:rsidR="000636C2">
        <w:rPr>
          <w:rtl/>
        </w:rPr>
        <w:t>:</w:t>
      </w:r>
      <w:r>
        <w:rPr>
          <w:rtl/>
        </w:rPr>
        <w:t xml:space="preserve"> حجابه النور</w:t>
      </w:r>
      <w:r w:rsidR="000636C2">
        <w:rPr>
          <w:rtl/>
        </w:rPr>
        <w:t>،</w:t>
      </w:r>
      <w:r>
        <w:rPr>
          <w:rtl/>
        </w:rPr>
        <w:t xml:space="preserve"> ينبغي أن يعلم أن هذا الحجاب للخلق عنه</w:t>
      </w:r>
      <w:r w:rsidR="000636C2">
        <w:rPr>
          <w:rtl/>
        </w:rPr>
        <w:t>،</w:t>
      </w:r>
      <w:r>
        <w:rPr>
          <w:rtl/>
        </w:rPr>
        <w:t xml:space="preserve"> لأنه لا يجوز أن يكون محجوبا لأن الحجاب يكون أكبر مما يستره</w:t>
      </w:r>
      <w:r w:rsidR="000636C2">
        <w:rPr>
          <w:rtl/>
        </w:rPr>
        <w:t>،</w:t>
      </w:r>
      <w:r>
        <w:rPr>
          <w:rtl/>
        </w:rPr>
        <w:t xml:space="preserve"> ويستحيل أن يكون جسما أو جوهرا أو متناهيا محاذيا إذ جميع ذلك من إمارات الحدث</w:t>
      </w:r>
      <w:r w:rsidR="000636C2">
        <w:rPr>
          <w:rtl/>
        </w:rPr>
        <w:t>،</w:t>
      </w:r>
      <w:r>
        <w:rPr>
          <w:rtl/>
        </w:rPr>
        <w:t xml:space="preserve"> وإنما عرف الناس حدوث الأجسام من حديث وجودها متناهية محدودة محلا للحوادث</w:t>
      </w:r>
      <w:r w:rsidR="000636C2">
        <w:rPr>
          <w:rtl/>
        </w:rPr>
        <w:t>،</w:t>
      </w:r>
      <w:r>
        <w:rPr>
          <w:rtl/>
        </w:rPr>
        <w:t xml:space="preserve"> وكما أنه لا يجوز أن يكون لوجوده ابتداء ولا انتهاء لا يصح أن يكون لذاته انتهاء</w:t>
      </w:r>
      <w:r w:rsidR="000636C2">
        <w:rPr>
          <w:rtl/>
        </w:rPr>
        <w:t>،</w:t>
      </w:r>
      <w:r>
        <w:rPr>
          <w:rtl/>
        </w:rPr>
        <w:t xml:space="preserve"> وإنما المراد</w:t>
      </w:r>
      <w:r w:rsidR="000636C2">
        <w:rPr>
          <w:rtl/>
        </w:rPr>
        <w:t>:</w:t>
      </w:r>
      <w:r>
        <w:rPr>
          <w:rtl/>
        </w:rPr>
        <w:t xml:space="preserve"> أن الخلق محجوبون عنه كما قال سبحانه وتعالى</w:t>
      </w:r>
      <w:r w:rsidR="000636C2">
        <w:rPr>
          <w:rtl/>
        </w:rPr>
        <w:t>:</w:t>
      </w:r>
      <w:r>
        <w:rPr>
          <w:rtl/>
        </w:rPr>
        <w:t xml:space="preserve"> </w:t>
      </w:r>
      <w:r w:rsidR="000636C2">
        <w:rPr>
          <w:rtl/>
        </w:rPr>
        <w:t>{</w:t>
      </w:r>
      <w:r>
        <w:rPr>
          <w:rtl/>
        </w:rPr>
        <w:t>كلا إنهم عن ربهم يومئذ لمحجوبون</w:t>
      </w:r>
      <w:r w:rsidR="000636C2">
        <w:rPr>
          <w:rtl/>
        </w:rPr>
        <w:t>}،</w:t>
      </w:r>
      <w:r>
        <w:rPr>
          <w:rtl/>
        </w:rPr>
        <w:t xml:space="preserve"> وقد روي سهل بن سعد عن رسول الله صلى الله عليه وسلم قال</w:t>
      </w:r>
      <w:r w:rsidR="000636C2">
        <w:rPr>
          <w:rtl/>
        </w:rPr>
        <w:t>:</w:t>
      </w:r>
      <w:r>
        <w:rPr>
          <w:rtl/>
        </w:rPr>
        <w:t xml:space="preserve"> دون الله سبعون ألف حجاب من نور وظلمة</w:t>
      </w:r>
      <w:r w:rsidR="000636C2">
        <w:rPr>
          <w:rtl/>
        </w:rPr>
        <w:t>،</w:t>
      </w:r>
      <w:r>
        <w:rPr>
          <w:rtl/>
        </w:rPr>
        <w:t xml:space="preserve"> </w:t>
      </w:r>
      <w:r w:rsidR="000636C2">
        <w:rPr>
          <w:rtl/>
        </w:rPr>
        <w:t>(</w:t>
      </w:r>
      <w:r>
        <w:rPr>
          <w:rtl/>
        </w:rPr>
        <w:t>قلت</w:t>
      </w:r>
      <w:r w:rsidR="000636C2">
        <w:rPr>
          <w:rtl/>
        </w:rPr>
        <w:t>):</w:t>
      </w:r>
      <w:r>
        <w:rPr>
          <w:rtl/>
        </w:rPr>
        <w:t xml:space="preserve"> وهذا حديث لا يصح ولو كان صحيحا كانت الحجب للخلق لا للحق . وأما السبحات فجمع سبحة</w:t>
      </w:r>
      <w:r w:rsidR="000636C2">
        <w:rPr>
          <w:rtl/>
        </w:rPr>
        <w:t>،</w:t>
      </w:r>
      <w:r>
        <w:rPr>
          <w:rtl/>
        </w:rPr>
        <w:t xml:space="preserve"> قال أبو عبيدة لم نسمع هذا إلا في هذا الحديث</w:t>
      </w:r>
      <w:r w:rsidR="000636C2">
        <w:rPr>
          <w:rtl/>
        </w:rPr>
        <w:t>،</w:t>
      </w:r>
      <w:r>
        <w:rPr>
          <w:rtl/>
        </w:rPr>
        <w:t xml:space="preserve"> قال</w:t>
      </w:r>
      <w:r w:rsidR="000636C2">
        <w:rPr>
          <w:rtl/>
        </w:rPr>
        <w:t>:</w:t>
      </w:r>
      <w:r>
        <w:rPr>
          <w:rtl/>
        </w:rPr>
        <w:t xml:space="preserve"> ويقول أن السبحة جلال وجهه . زمنه قوله</w:t>
      </w:r>
      <w:r w:rsidR="000636C2">
        <w:rPr>
          <w:rtl/>
        </w:rPr>
        <w:t>:</w:t>
      </w:r>
      <w:r>
        <w:rPr>
          <w:rtl/>
        </w:rPr>
        <w:t xml:space="preserve"> سبحان الله وإنما هو تعظيم له وتنزيه . وقال ابن خزيمة</w:t>
      </w:r>
      <w:r w:rsidR="000636C2">
        <w:rPr>
          <w:rtl/>
        </w:rPr>
        <w:t>:</w:t>
      </w:r>
      <w:r>
        <w:rPr>
          <w:rtl/>
        </w:rPr>
        <w:t xml:space="preserve"> باب وجه صفة ربنا ثم ذكر حديث السبحات متوهما النور المعروف</w:t>
      </w:r>
      <w:r w:rsidR="000636C2">
        <w:rPr>
          <w:rtl/>
        </w:rPr>
        <w:t>،</w:t>
      </w:r>
      <w:r>
        <w:rPr>
          <w:rtl/>
        </w:rPr>
        <w:t xml:space="preserve"> والخالق منزه عن النور الجسماني . وروي أبو بكر الخلال في كتاب السنة قال</w:t>
      </w:r>
      <w:r w:rsidR="000636C2">
        <w:rPr>
          <w:rtl/>
        </w:rPr>
        <w:t>:</w:t>
      </w:r>
      <w:r>
        <w:rPr>
          <w:rtl/>
        </w:rPr>
        <w:t xml:space="preserve"> سألت أحمد بن يحي عن قوله</w:t>
      </w:r>
      <w:r w:rsidR="000636C2">
        <w:rPr>
          <w:rtl/>
        </w:rPr>
        <w:t>:</w:t>
      </w:r>
      <w:r>
        <w:rPr>
          <w:rtl/>
        </w:rPr>
        <w:t xml:space="preserve"> لأحرقت سبحات وجهه فقال</w:t>
      </w:r>
      <w:r w:rsidR="000636C2">
        <w:rPr>
          <w:rtl/>
        </w:rPr>
        <w:t>:</w:t>
      </w:r>
      <w:r>
        <w:rPr>
          <w:rtl/>
        </w:rPr>
        <w:t xml:space="preserve"> السبحات الموضع الذي يسجد عليه . </w:t>
      </w:r>
      <w:r w:rsidR="000636C2">
        <w:rPr>
          <w:rtl/>
        </w:rPr>
        <w:t>(</w:t>
      </w:r>
      <w:r>
        <w:rPr>
          <w:rtl/>
        </w:rPr>
        <w:t>قلت</w:t>
      </w:r>
      <w:r w:rsidR="000636C2">
        <w:rPr>
          <w:rtl/>
        </w:rPr>
        <w:t>):</w:t>
      </w:r>
      <w:r>
        <w:rPr>
          <w:rtl/>
        </w:rPr>
        <w:t xml:space="preserve"> فعلي هذا يكون الخطاب بما يعرفون كما قال</w:t>
      </w:r>
      <w:r w:rsidR="000636C2">
        <w:rPr>
          <w:rtl/>
        </w:rPr>
        <w:t>:</w:t>
      </w:r>
      <w:r>
        <w:rPr>
          <w:rtl/>
        </w:rPr>
        <w:t xml:space="preserve"> </w:t>
      </w:r>
      <w:r w:rsidR="000636C2">
        <w:rPr>
          <w:rtl/>
        </w:rPr>
        <w:t>{</w:t>
      </w:r>
      <w:r>
        <w:rPr>
          <w:rtl/>
        </w:rPr>
        <w:t>قلوب العباد بين أصبعين</w:t>
      </w:r>
      <w:r w:rsidR="000636C2">
        <w:rPr>
          <w:rtl/>
        </w:rPr>
        <w:t>}،</w:t>
      </w:r>
      <w:r>
        <w:rPr>
          <w:rtl/>
        </w:rPr>
        <w:t xml:space="preserve"> وقال القاضي</w:t>
      </w:r>
      <w:r w:rsidR="000636C2">
        <w:rPr>
          <w:rtl/>
        </w:rPr>
        <w:t>:</w:t>
      </w:r>
      <w:r>
        <w:rPr>
          <w:rtl/>
        </w:rPr>
        <w:t xml:space="preserve"> لا يمنع اطلاق حجاب من دون الله تعالى</w:t>
      </w:r>
      <w:r w:rsidR="000636C2">
        <w:rPr>
          <w:rtl/>
        </w:rPr>
        <w:t>،</w:t>
      </w:r>
      <w:r>
        <w:rPr>
          <w:rtl/>
        </w:rPr>
        <w:t xml:space="preserve"> لا علي وجه الحد والمحازاة</w:t>
      </w:r>
      <w:r w:rsidR="000636C2">
        <w:rPr>
          <w:rtl/>
        </w:rPr>
        <w:t>،</w:t>
      </w:r>
      <w:r>
        <w:rPr>
          <w:rtl/>
        </w:rPr>
        <w:t xml:space="preserve"> </w:t>
      </w:r>
      <w:r w:rsidR="000636C2">
        <w:rPr>
          <w:rtl/>
        </w:rPr>
        <w:t>(</w:t>
      </w:r>
      <w:r>
        <w:rPr>
          <w:rtl/>
        </w:rPr>
        <w:t>قلت</w:t>
      </w:r>
      <w:r w:rsidR="000636C2">
        <w:rPr>
          <w:rtl/>
        </w:rPr>
        <w:t>):</w:t>
      </w:r>
      <w:r>
        <w:rPr>
          <w:rtl/>
        </w:rPr>
        <w:t xml:space="preserve"> وهذا كلام مختلط لا ترضي به العوام</w:t>
      </w:r>
      <w:r w:rsidR="000636C2">
        <w:rPr>
          <w:rtl/>
        </w:rPr>
        <w:t>،</w:t>
      </w:r>
      <w:r>
        <w:rPr>
          <w:rtl/>
        </w:rPr>
        <w:t xml:space="preserve"> </w:t>
      </w:r>
    </w:p>
    <w:p w14:paraId="17824BC4" w14:textId="1D28B64F" w:rsidR="009C32A0" w:rsidRDefault="009C32A0" w:rsidP="000636C2">
      <w:pPr>
        <w:spacing w:after="240"/>
        <w:rPr>
          <w:rtl/>
        </w:rPr>
      </w:pPr>
      <w:r>
        <w:rPr>
          <w:bCs/>
          <w:rtl/>
        </w:rPr>
        <w:t>الحديث الثالث عشر</w:t>
      </w:r>
      <w:r w:rsidR="000636C2">
        <w:rPr>
          <w:rtl/>
        </w:rPr>
        <w:t>:</w:t>
      </w:r>
      <w:r>
        <w:rPr>
          <w:rtl/>
        </w:rPr>
        <w:t xml:space="preserve"> روي ابن عباس رضي الله عنه عن النبي صلى الله عليه وسلم</w:t>
      </w:r>
      <w:r w:rsidR="000636C2">
        <w:rPr>
          <w:rtl/>
        </w:rPr>
        <w:t>،</w:t>
      </w:r>
      <w:r>
        <w:rPr>
          <w:rtl/>
        </w:rPr>
        <w:t xml:space="preserve"> أنه قال</w:t>
      </w:r>
      <w:r w:rsidR="000636C2">
        <w:rPr>
          <w:rtl/>
        </w:rPr>
        <w:t>:</w:t>
      </w:r>
      <w:r>
        <w:rPr>
          <w:rtl/>
        </w:rPr>
        <w:t xml:space="preserve"> (</w:t>
      </w:r>
      <w:r w:rsidR="000636C2">
        <w:rPr>
          <w:rtl/>
        </w:rPr>
        <w:t>(</w:t>
      </w:r>
      <w:r>
        <w:rPr>
          <w:rtl/>
        </w:rPr>
        <w:t>أهل الجنة يرون ربهم في كل جمعة، في رمال الكافور، وأقربهم منه مجلسا أسرعهم إليه يوم الجمعة</w:t>
      </w:r>
      <w:r w:rsidR="000636C2">
        <w:rPr>
          <w:rtl/>
        </w:rPr>
        <w:t>)</w:t>
      </w:r>
      <w:r>
        <w:rPr>
          <w:rtl/>
        </w:rPr>
        <w:t>)</w:t>
      </w:r>
      <w:r w:rsidR="000636C2">
        <w:rPr>
          <w:rtl/>
        </w:rPr>
        <w:t>،</w:t>
      </w:r>
      <w:r>
        <w:rPr>
          <w:rtl/>
        </w:rPr>
        <w:t xml:space="preserve"> قوله</w:t>
      </w:r>
      <w:r w:rsidR="000636C2">
        <w:rPr>
          <w:rtl/>
        </w:rPr>
        <w:t>:</w:t>
      </w:r>
      <w:r>
        <w:rPr>
          <w:rtl/>
        </w:rPr>
        <w:t xml:space="preserve"> في رمال الكافور</w:t>
      </w:r>
      <w:r w:rsidR="000636C2">
        <w:rPr>
          <w:rtl/>
        </w:rPr>
        <w:t>:</w:t>
      </w:r>
      <w:r>
        <w:rPr>
          <w:rtl/>
        </w:rPr>
        <w:t xml:space="preserve"> إشارة إلى الحاضرين . ثم في رمال الكافور وأقربهم منه أي أ حظاهم عنده</w:t>
      </w:r>
      <w:r w:rsidR="000636C2">
        <w:rPr>
          <w:rtl/>
        </w:rPr>
        <w:t>،</w:t>
      </w:r>
      <w:r>
        <w:rPr>
          <w:rtl/>
        </w:rPr>
        <w:t xml:space="preserve"> وفي حديث آخر</w:t>
      </w:r>
      <w:r w:rsidR="000636C2">
        <w:rPr>
          <w:rtl/>
        </w:rPr>
        <w:t>:</w:t>
      </w:r>
      <w:r>
        <w:rPr>
          <w:rtl/>
        </w:rPr>
        <w:t xml:space="preserve"> (</w:t>
      </w:r>
      <w:r w:rsidR="000636C2">
        <w:rPr>
          <w:rtl/>
        </w:rPr>
        <w:t>(</w:t>
      </w:r>
      <w:r>
        <w:rPr>
          <w:rtl/>
        </w:rPr>
        <w:t>المقسطون يوم القيمة عن منابر من نور علي يمين الرحمن</w:t>
      </w:r>
      <w:r w:rsidR="000636C2">
        <w:rPr>
          <w:rtl/>
        </w:rPr>
        <w:t>)</w:t>
      </w:r>
      <w:r>
        <w:rPr>
          <w:rtl/>
        </w:rPr>
        <w:t>)</w:t>
      </w:r>
      <w:r w:rsidR="000636C2">
        <w:rPr>
          <w:rtl/>
        </w:rPr>
        <w:t>،</w:t>
      </w:r>
      <w:r>
        <w:rPr>
          <w:rtl/>
        </w:rPr>
        <w:t xml:space="preserve"> وقال بعضهم" يمين العرش " وفي حديث " سوق الجنة " فلا يبقي في ذلك المجلس أحد إلا حاضره الله محاضره . ويروي خاصرة بالخاء المعجمة</w:t>
      </w:r>
      <w:r w:rsidR="000636C2">
        <w:rPr>
          <w:rtl/>
        </w:rPr>
        <w:t>،</w:t>
      </w:r>
      <w:r>
        <w:rPr>
          <w:rtl/>
        </w:rPr>
        <w:t xml:space="preserve"> وقال</w:t>
      </w:r>
      <w:r w:rsidR="000636C2">
        <w:rPr>
          <w:rtl/>
        </w:rPr>
        <w:t>:</w:t>
      </w:r>
      <w:r>
        <w:rPr>
          <w:rtl/>
        </w:rPr>
        <w:t xml:space="preserve"> وهذا يرويه يوسف بن عبد الله عن سلمة بن العيار ولم يثبت في الصحاح</w:t>
      </w:r>
      <w:r w:rsidR="000636C2">
        <w:rPr>
          <w:rtl/>
        </w:rPr>
        <w:t>،</w:t>
      </w:r>
      <w:r>
        <w:rPr>
          <w:rtl/>
        </w:rPr>
        <w:t xml:space="preserve"> ومثل هذا لا يثبت برواية هؤلاء وقال</w:t>
      </w:r>
      <w:r w:rsidR="000636C2">
        <w:rPr>
          <w:rtl/>
        </w:rPr>
        <w:t>:</w:t>
      </w:r>
      <w:r>
        <w:rPr>
          <w:rtl/>
        </w:rPr>
        <w:t xml:space="preserve"> والمحاضرة</w:t>
      </w:r>
      <w:r w:rsidR="000636C2">
        <w:rPr>
          <w:rtl/>
        </w:rPr>
        <w:t>:</w:t>
      </w:r>
      <w:r>
        <w:rPr>
          <w:rtl/>
        </w:rPr>
        <w:t xml:space="preserve"> المصافحة</w:t>
      </w:r>
      <w:r w:rsidR="000636C2">
        <w:rPr>
          <w:rtl/>
        </w:rPr>
        <w:t>،</w:t>
      </w:r>
      <w:r>
        <w:rPr>
          <w:rtl/>
        </w:rPr>
        <w:t xml:space="preserve"> وقال القاضي</w:t>
      </w:r>
      <w:r w:rsidR="000636C2">
        <w:rPr>
          <w:rtl/>
        </w:rPr>
        <w:t>:</w:t>
      </w:r>
      <w:r>
        <w:rPr>
          <w:rtl/>
        </w:rPr>
        <w:t xml:space="preserve"> لا يمتنع أن يكون الحق في رمال الكافور</w:t>
      </w:r>
      <w:r w:rsidR="000636C2">
        <w:rPr>
          <w:rtl/>
        </w:rPr>
        <w:t>،</w:t>
      </w:r>
      <w:r>
        <w:rPr>
          <w:rtl/>
        </w:rPr>
        <w:t xml:space="preserve"> </w:t>
      </w:r>
      <w:r w:rsidR="000636C2">
        <w:rPr>
          <w:rtl/>
        </w:rPr>
        <w:t>(</w:t>
      </w:r>
      <w:r>
        <w:rPr>
          <w:rtl/>
        </w:rPr>
        <w:t>قلت</w:t>
      </w:r>
      <w:r w:rsidR="000636C2">
        <w:rPr>
          <w:rtl/>
        </w:rPr>
        <w:t>):</w:t>
      </w:r>
      <w:r>
        <w:rPr>
          <w:rtl/>
        </w:rPr>
        <w:t xml:space="preserve"> فقد أقر بالحضرة . ثم قال</w:t>
      </w:r>
      <w:r w:rsidR="000636C2">
        <w:rPr>
          <w:rtl/>
        </w:rPr>
        <w:t>:</w:t>
      </w:r>
      <w:r>
        <w:rPr>
          <w:rtl/>
        </w:rPr>
        <w:t xml:space="preserve"> لا علي وجه الانتقال</w:t>
      </w:r>
      <w:r w:rsidR="000636C2">
        <w:rPr>
          <w:rtl/>
        </w:rPr>
        <w:t>،</w:t>
      </w:r>
      <w:r>
        <w:rPr>
          <w:rtl/>
        </w:rPr>
        <w:t xml:space="preserve"> وهذا تلاعب . ثم قال</w:t>
      </w:r>
      <w:r w:rsidR="000636C2">
        <w:rPr>
          <w:rtl/>
        </w:rPr>
        <w:t>:</w:t>
      </w:r>
      <w:r>
        <w:rPr>
          <w:rtl/>
        </w:rPr>
        <w:t xml:space="preserve"> ولا يمتنع قربهم من الذات وهذا يضيع معه الحديث</w:t>
      </w:r>
      <w:r w:rsidR="000636C2">
        <w:rPr>
          <w:rtl/>
        </w:rPr>
        <w:t>،</w:t>
      </w:r>
      <w:r>
        <w:rPr>
          <w:rtl/>
        </w:rPr>
        <w:t xml:space="preserve"> واستدل بقوله</w:t>
      </w:r>
      <w:r w:rsidR="000636C2">
        <w:rPr>
          <w:rtl/>
        </w:rPr>
        <w:t>:</w:t>
      </w:r>
      <w:r>
        <w:rPr>
          <w:rtl/>
        </w:rPr>
        <w:t xml:space="preserve"> (</w:t>
      </w:r>
      <w:r w:rsidR="000636C2">
        <w:rPr>
          <w:rtl/>
        </w:rPr>
        <w:t>(</w:t>
      </w:r>
      <w:r>
        <w:rPr>
          <w:rtl/>
        </w:rPr>
        <w:t>ما منكم من أحد إلا سيخلو به ربه</w:t>
      </w:r>
      <w:r w:rsidR="000636C2">
        <w:rPr>
          <w:rtl/>
        </w:rPr>
        <w:t>)</w:t>
      </w:r>
      <w:r>
        <w:rPr>
          <w:rtl/>
        </w:rPr>
        <w:t>)</w:t>
      </w:r>
      <w:r w:rsidR="000636C2">
        <w:rPr>
          <w:rtl/>
        </w:rPr>
        <w:t>،</w:t>
      </w:r>
      <w:r>
        <w:rPr>
          <w:rtl/>
        </w:rPr>
        <w:t xml:space="preserve"> وقال الخلوة عبارة عن القرب</w:t>
      </w:r>
      <w:r w:rsidR="000636C2">
        <w:rPr>
          <w:rtl/>
        </w:rPr>
        <w:t>،</w:t>
      </w:r>
      <w:r>
        <w:rPr>
          <w:rtl/>
        </w:rPr>
        <w:t xml:space="preserve"> ويجوز القرب من الذات</w:t>
      </w:r>
      <w:r w:rsidR="000636C2">
        <w:rPr>
          <w:rtl/>
        </w:rPr>
        <w:t>،</w:t>
      </w:r>
      <w:r>
        <w:rPr>
          <w:rtl/>
        </w:rPr>
        <w:t xml:space="preserve"> وقد سبق رد هذا</w:t>
      </w:r>
      <w:r w:rsidR="000636C2">
        <w:rPr>
          <w:rtl/>
        </w:rPr>
        <w:t>،</w:t>
      </w:r>
      <w:r>
        <w:rPr>
          <w:rtl/>
        </w:rPr>
        <w:t xml:space="preserve"> </w:t>
      </w:r>
    </w:p>
    <w:p w14:paraId="7CA14982" w14:textId="7E0AC21F" w:rsidR="009C32A0" w:rsidRDefault="009C32A0" w:rsidP="000636C2">
      <w:pPr>
        <w:spacing w:after="240"/>
        <w:rPr>
          <w:rtl/>
        </w:rPr>
      </w:pPr>
      <w:r>
        <w:rPr>
          <w:rtl/>
        </w:rPr>
        <w:t>الحديث الرابع والعشرون</w:t>
      </w:r>
      <w:r w:rsidR="000636C2">
        <w:rPr>
          <w:rtl/>
        </w:rPr>
        <w:t>:</w:t>
      </w:r>
      <w:r>
        <w:rPr>
          <w:rtl/>
        </w:rPr>
        <w:t xml:space="preserve"> روي البخاري ومسلم في الصحيحين من حديث ابن مسعود رضي الله عنه</w:t>
      </w:r>
      <w:r w:rsidR="000636C2">
        <w:rPr>
          <w:rtl/>
        </w:rPr>
        <w:t xml:space="preserve"> </w:t>
      </w:r>
      <w:r>
        <w:rPr>
          <w:rtl/>
        </w:rPr>
        <w:t>قال</w:t>
      </w:r>
      <w:r w:rsidR="000636C2">
        <w:rPr>
          <w:rtl/>
        </w:rPr>
        <w:t>:</w:t>
      </w:r>
      <w:r>
        <w:rPr>
          <w:rtl/>
        </w:rPr>
        <w:t xml:space="preserve"> جاء من اليهود رجل إلى رسول الله صلى الله عليه وسلم فقال</w:t>
      </w:r>
      <w:r w:rsidR="000636C2">
        <w:rPr>
          <w:rtl/>
        </w:rPr>
        <w:t>:</w:t>
      </w:r>
      <w:r>
        <w:rPr>
          <w:rtl/>
        </w:rPr>
        <w:t xml:space="preserve"> (</w:t>
      </w:r>
      <w:r w:rsidR="000636C2">
        <w:rPr>
          <w:rtl/>
        </w:rPr>
        <w:t>(</w:t>
      </w:r>
      <w:r>
        <w:rPr>
          <w:rtl/>
        </w:rPr>
        <w:t>يا محمد إن الله يضع السماوات علي إصبع والأرضين علي إصبع</w:t>
      </w:r>
      <w:r w:rsidR="000636C2">
        <w:rPr>
          <w:rtl/>
        </w:rPr>
        <w:t>،</w:t>
      </w:r>
      <w:r>
        <w:rPr>
          <w:rtl/>
        </w:rPr>
        <w:t xml:space="preserve"> والجبال علي إصبع</w:t>
      </w:r>
      <w:r w:rsidR="000636C2">
        <w:rPr>
          <w:rtl/>
        </w:rPr>
        <w:t>،</w:t>
      </w:r>
      <w:r>
        <w:rPr>
          <w:rtl/>
        </w:rPr>
        <w:t xml:space="preserve"> والشجر والأنهار علي إصبع .. وفي لفظ الماء والثري علي إصبع</w:t>
      </w:r>
      <w:r w:rsidR="000636C2">
        <w:rPr>
          <w:rtl/>
        </w:rPr>
        <w:t>،</w:t>
      </w:r>
      <w:r>
        <w:rPr>
          <w:rtl/>
        </w:rPr>
        <w:t xml:space="preserve"> ثم يهزهن . فضحك رسول الله صلى الله عليه وسلم وقال</w:t>
      </w:r>
      <w:r w:rsidR="000636C2">
        <w:rPr>
          <w:rtl/>
        </w:rPr>
        <w:t>:</w:t>
      </w:r>
      <w:r>
        <w:rPr>
          <w:rtl/>
        </w:rPr>
        <w:t xml:space="preserve"> وما قدر الله حق قدره</w:t>
      </w:r>
      <w:r w:rsidR="000636C2">
        <w:rPr>
          <w:rtl/>
        </w:rPr>
        <w:t>)</w:t>
      </w:r>
      <w:r>
        <w:rPr>
          <w:rtl/>
        </w:rPr>
        <w:t>)</w:t>
      </w:r>
      <w:r w:rsidR="000636C2">
        <w:rPr>
          <w:rtl/>
        </w:rPr>
        <w:t>،</w:t>
      </w:r>
      <w:r>
        <w:rPr>
          <w:rtl/>
        </w:rPr>
        <w:t xml:space="preserve"> وفي بعض الألفاظ</w:t>
      </w:r>
      <w:r w:rsidR="000636C2">
        <w:rPr>
          <w:rtl/>
        </w:rPr>
        <w:t>:</w:t>
      </w:r>
      <w:r>
        <w:rPr>
          <w:rtl/>
        </w:rPr>
        <w:t xml:space="preserve"> فضحك رسول الله صلى الله عليه وسلم تعجبا وتصديقا له</w:t>
      </w:r>
      <w:r w:rsidR="000636C2">
        <w:rPr>
          <w:rtl/>
        </w:rPr>
        <w:t>،</w:t>
      </w:r>
      <w:r>
        <w:rPr>
          <w:rtl/>
        </w:rPr>
        <w:t xml:space="preserve"> قال أبو سليمان الخطابي</w:t>
      </w:r>
      <w:r w:rsidR="000636C2">
        <w:rPr>
          <w:rtl/>
        </w:rPr>
        <w:t>:</w:t>
      </w:r>
      <w:r>
        <w:rPr>
          <w:rtl/>
        </w:rPr>
        <w:t xml:space="preserve"> لا تثبت لله صفة إلا بالكتاب أو خبر مقطوع له بصحته يستند إلى أصل في الكتاب أو في السنة المقطوع علي صحتها</w:t>
      </w:r>
      <w:r w:rsidR="000636C2">
        <w:rPr>
          <w:rtl/>
        </w:rPr>
        <w:t>،</w:t>
      </w:r>
      <w:r>
        <w:rPr>
          <w:rtl/>
        </w:rPr>
        <w:t xml:space="preserve"> وما بخلاف ذلك فالواجب التوقف عن إطلاق ذلك ويتأول علي ما يليق بمعاني الأصول المتفق عليها من أقوال أهل العلم من نفي التشبيه</w:t>
      </w:r>
      <w:r w:rsidR="000636C2">
        <w:rPr>
          <w:rtl/>
        </w:rPr>
        <w:t>،</w:t>
      </w:r>
      <w:r>
        <w:rPr>
          <w:rtl/>
        </w:rPr>
        <w:t xml:space="preserve"> قال</w:t>
      </w:r>
      <w:r w:rsidR="000636C2">
        <w:rPr>
          <w:rtl/>
        </w:rPr>
        <w:t>:</w:t>
      </w:r>
      <w:r>
        <w:rPr>
          <w:rtl/>
        </w:rPr>
        <w:t xml:space="preserve">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w:t>
      </w:r>
      <w:r w:rsidR="000636C2">
        <w:rPr>
          <w:rtl/>
        </w:rPr>
        <w:t>،</w:t>
      </w:r>
      <w:r>
        <w:rPr>
          <w:rtl/>
        </w:rPr>
        <w:t xml:space="preserve"> </w:t>
      </w:r>
      <w:r w:rsidR="000636C2">
        <w:rPr>
          <w:rtl/>
        </w:rPr>
        <w:t>(</w:t>
      </w:r>
      <w:r>
        <w:rPr>
          <w:rtl/>
        </w:rPr>
        <w:t>قلت</w:t>
      </w:r>
      <w:r w:rsidR="000636C2">
        <w:rPr>
          <w:rtl/>
        </w:rPr>
        <w:t>):</w:t>
      </w:r>
      <w:r>
        <w:rPr>
          <w:rtl/>
        </w:rPr>
        <w:t xml:space="preserve"> ظاهر ضحك النبي صلى الله عليه وسلم الإنكار</w:t>
      </w:r>
      <w:r w:rsidR="000636C2">
        <w:rPr>
          <w:rtl/>
        </w:rPr>
        <w:t>،</w:t>
      </w:r>
      <w:r>
        <w:rPr>
          <w:rtl/>
        </w:rPr>
        <w:t xml:space="preserve"> واليهود مشبهة ونزول الآية دليل علي إنكار الرسول صلى الله عليه وسلم. وقال بن عقيل ما قدر الله حق قدره حيث جعلوا صفاته تتساعد وتتعاضد علي حمل مخلوقاته وإنما ذكر الشرك في الآية ردا عليهم</w:t>
      </w:r>
      <w:r w:rsidR="000636C2">
        <w:rPr>
          <w:rtl/>
        </w:rPr>
        <w:t>،</w:t>
      </w:r>
      <w:r>
        <w:rPr>
          <w:rtl/>
        </w:rPr>
        <w:t xml:space="preserve"> وفي معني هذا الحديث قوله عليه الصلاة والسلام</w:t>
      </w:r>
      <w:r w:rsidR="000636C2">
        <w:rPr>
          <w:rtl/>
        </w:rPr>
        <w:t>:</w:t>
      </w:r>
      <w:r>
        <w:rPr>
          <w:rtl/>
        </w:rPr>
        <w:t xml:space="preserve"> (</w:t>
      </w:r>
      <w:r w:rsidR="000636C2">
        <w:rPr>
          <w:rtl/>
        </w:rPr>
        <w:t>(</w:t>
      </w:r>
      <w:r>
        <w:rPr>
          <w:rtl/>
        </w:rPr>
        <w:t>إن قلوب بني آدم بين أصبعين من أصابع الرحمن يقلبها كيف يشاء</w:t>
      </w:r>
      <w:r w:rsidR="000636C2">
        <w:rPr>
          <w:rtl/>
        </w:rPr>
        <w:t>)</w:t>
      </w:r>
      <w:r>
        <w:rPr>
          <w:rtl/>
        </w:rPr>
        <w:t>)</w:t>
      </w:r>
      <w:r w:rsidR="000636C2">
        <w:rPr>
          <w:rtl/>
        </w:rPr>
        <w:t>،</w:t>
      </w:r>
      <w:r>
        <w:rPr>
          <w:rtl/>
        </w:rPr>
        <w:t xml:space="preserve"> ولما كان القلب بين أصبعين ذليلا مقهورا</w:t>
      </w:r>
      <w:r w:rsidR="000636C2">
        <w:rPr>
          <w:rtl/>
        </w:rPr>
        <w:t>،</w:t>
      </w:r>
      <w:r>
        <w:rPr>
          <w:rtl/>
        </w:rPr>
        <w:t xml:space="preserve"> دل بهذا علي أن القلوب مقهورة لمقلبها</w:t>
      </w:r>
      <w:r w:rsidR="000636C2">
        <w:rPr>
          <w:rtl/>
        </w:rPr>
        <w:t>،</w:t>
      </w:r>
      <w:r>
        <w:rPr>
          <w:rtl/>
        </w:rPr>
        <w:t xml:space="preserve"> وقال القاضي</w:t>
      </w:r>
      <w:r w:rsidR="000636C2">
        <w:rPr>
          <w:rtl/>
        </w:rPr>
        <w:t>:</w:t>
      </w:r>
      <w:r>
        <w:rPr>
          <w:rtl/>
        </w:rPr>
        <w:t xml:space="preserve"> غير ممتنع حمل الخبر علي ظاهره في الإثبات</w:t>
      </w:r>
      <w:r w:rsidR="000636C2">
        <w:rPr>
          <w:rtl/>
        </w:rPr>
        <w:t>،</w:t>
      </w:r>
      <w:r>
        <w:rPr>
          <w:rtl/>
        </w:rPr>
        <w:t xml:space="preserve"> والإصبع صفة راجعة إلى الذات</w:t>
      </w:r>
      <w:r w:rsidR="000636C2">
        <w:rPr>
          <w:rtl/>
        </w:rPr>
        <w:t>،</w:t>
      </w:r>
      <w:r>
        <w:rPr>
          <w:rtl/>
        </w:rPr>
        <w:t xml:space="preserve"> لأنا لا نثبت أصابعا هي جارحة ولا أبعاضا</w:t>
      </w:r>
      <w:r w:rsidR="000636C2">
        <w:rPr>
          <w:rtl/>
        </w:rPr>
        <w:t>،</w:t>
      </w:r>
      <w:r>
        <w:rPr>
          <w:rtl/>
        </w:rPr>
        <w:t xml:space="preserve"> </w:t>
      </w:r>
      <w:r w:rsidR="000636C2">
        <w:rPr>
          <w:rtl/>
        </w:rPr>
        <w:t>(</w:t>
      </w:r>
      <w:r>
        <w:rPr>
          <w:rtl/>
        </w:rPr>
        <w:t>قلت</w:t>
      </w:r>
      <w:r w:rsidR="000636C2">
        <w:rPr>
          <w:rtl/>
        </w:rPr>
        <w:t>):</w:t>
      </w:r>
      <w:r>
        <w:rPr>
          <w:rtl/>
        </w:rPr>
        <w:t xml:space="preserve"> وهذا كلام مخبط لأنه إما أن يثبت جوارحا وإما أن يتأولها</w:t>
      </w:r>
      <w:r w:rsidR="000636C2">
        <w:rPr>
          <w:rtl/>
        </w:rPr>
        <w:t>،</w:t>
      </w:r>
      <w:r>
        <w:rPr>
          <w:rtl/>
        </w:rPr>
        <w:t xml:space="preserve"> فأما حملها علي ظواهرها</w:t>
      </w:r>
      <w:r w:rsidR="000636C2">
        <w:rPr>
          <w:rtl/>
        </w:rPr>
        <w:t>،</w:t>
      </w:r>
      <w:r>
        <w:rPr>
          <w:rtl/>
        </w:rPr>
        <w:t xml:space="preserve"> فظواهرها الجوارح ..؟ ثم يقول</w:t>
      </w:r>
      <w:r w:rsidR="000636C2">
        <w:rPr>
          <w:rtl/>
        </w:rPr>
        <w:t>:</w:t>
      </w:r>
      <w:r>
        <w:rPr>
          <w:rtl/>
        </w:rPr>
        <w:t xml:space="preserve"> ليست أبعاضا</w:t>
      </w:r>
      <w:r w:rsidR="000636C2">
        <w:rPr>
          <w:rtl/>
        </w:rPr>
        <w:t>،</w:t>
      </w:r>
      <w:r>
        <w:rPr>
          <w:rtl/>
        </w:rPr>
        <w:t xml:space="preserve"> فهذا كلام قائم قاعد</w:t>
      </w:r>
      <w:r w:rsidR="000636C2">
        <w:rPr>
          <w:rtl/>
        </w:rPr>
        <w:t>،</w:t>
      </w:r>
      <w:r>
        <w:rPr>
          <w:rtl/>
        </w:rPr>
        <w:t xml:space="preserve"> ويضيع الخطاب لمن يقول هذا</w:t>
      </w:r>
      <w:r w:rsidR="000636C2">
        <w:rPr>
          <w:rtl/>
        </w:rPr>
        <w:t>،</w:t>
      </w:r>
      <w:r>
        <w:rPr>
          <w:rtl/>
        </w:rPr>
        <w:t xml:space="preserve"> </w:t>
      </w:r>
    </w:p>
    <w:p w14:paraId="528DFFFA" w14:textId="6926320B" w:rsidR="009C32A0" w:rsidRDefault="009C32A0" w:rsidP="000636C2">
      <w:pPr>
        <w:spacing w:after="240"/>
        <w:rPr>
          <w:rtl/>
        </w:rPr>
      </w:pPr>
      <w:r>
        <w:rPr>
          <w:rtl/>
        </w:rPr>
        <w:t>الحديث الخامس والعشرون</w:t>
      </w:r>
      <w:r w:rsidR="000636C2">
        <w:rPr>
          <w:rtl/>
        </w:rPr>
        <w:t>:</w:t>
      </w:r>
      <w:r>
        <w:rPr>
          <w:rtl/>
        </w:rPr>
        <w:t xml:space="preserve"> روي البخاري ومسلم في الصحيحين من حديث بن عمر رضي الله عنه عن النبي صلى الله عليه وسلم أنه قال</w:t>
      </w:r>
      <w:r w:rsidR="000636C2">
        <w:rPr>
          <w:rtl/>
        </w:rPr>
        <w:t>:</w:t>
      </w:r>
      <w:r>
        <w:rPr>
          <w:rtl/>
        </w:rPr>
        <w:t xml:space="preserve"> (</w:t>
      </w:r>
      <w:r w:rsidR="000636C2">
        <w:rPr>
          <w:rtl/>
        </w:rPr>
        <w:t>(</w:t>
      </w:r>
      <w:r>
        <w:rPr>
          <w:rtl/>
        </w:rPr>
        <w:t>يطوي الله عز وجل السماوات يوم القيامة بيديه ثم يأخذهن بيده اليمني ثم يقول</w:t>
      </w:r>
      <w:r w:rsidR="000636C2">
        <w:rPr>
          <w:rtl/>
        </w:rPr>
        <w:t>:</w:t>
      </w:r>
      <w:r>
        <w:rPr>
          <w:rtl/>
        </w:rPr>
        <w:t xml:space="preserve"> أنا الملك</w:t>
      </w:r>
      <w:r w:rsidR="000636C2">
        <w:rPr>
          <w:rtl/>
        </w:rPr>
        <w:t>،</w:t>
      </w:r>
      <w:r>
        <w:rPr>
          <w:rtl/>
        </w:rPr>
        <w:t xml:space="preserve"> أين الجبارون أين المتكبرون..؟ ثم يطوي الأرض بشماله ثم يقول</w:t>
      </w:r>
      <w:r w:rsidR="000636C2">
        <w:rPr>
          <w:rtl/>
        </w:rPr>
        <w:t>:</w:t>
      </w:r>
      <w:r>
        <w:rPr>
          <w:rtl/>
        </w:rPr>
        <w:t xml:space="preserve"> أنا الملك أين الجبارون</w:t>
      </w:r>
      <w:r w:rsidR="000636C2">
        <w:rPr>
          <w:rtl/>
        </w:rPr>
        <w:t>؟</w:t>
      </w:r>
      <w:r>
        <w:rPr>
          <w:rtl/>
        </w:rPr>
        <w:t xml:space="preserve"> أين المتكبرون</w:t>
      </w:r>
      <w:r w:rsidR="000636C2">
        <w:rPr>
          <w:rtl/>
        </w:rPr>
        <w:t>؟)</w:t>
      </w:r>
      <w:r>
        <w:rPr>
          <w:rtl/>
        </w:rPr>
        <w:t>)</w:t>
      </w:r>
      <w:r w:rsidR="000636C2">
        <w:rPr>
          <w:rtl/>
        </w:rPr>
        <w:t>،</w:t>
      </w:r>
      <w:r>
        <w:rPr>
          <w:rtl/>
        </w:rPr>
        <w:t xml:space="preserve"> هكذا رواه مسلم وهي أتم الروايات</w:t>
      </w:r>
      <w:r w:rsidR="000636C2">
        <w:rPr>
          <w:rtl/>
        </w:rPr>
        <w:t>،</w:t>
      </w:r>
      <w:r>
        <w:rPr>
          <w:rtl/>
        </w:rPr>
        <w:t xml:space="preserve"> وفي لفظ رواه مسلم من حديث عبيد الله بن مقسم أنه نظر إلى عبد الله بن عمر كيف يحكي رسول الله صلى الله عليه وسلم أنه قال</w:t>
      </w:r>
      <w:r w:rsidR="000636C2">
        <w:rPr>
          <w:rtl/>
        </w:rPr>
        <w:t>:</w:t>
      </w:r>
      <w:r>
        <w:rPr>
          <w:rtl/>
        </w:rPr>
        <w:t xml:space="preserve"> (</w:t>
      </w:r>
      <w:r w:rsidR="000636C2">
        <w:rPr>
          <w:rtl/>
        </w:rPr>
        <w:t>(</w:t>
      </w:r>
      <w:r>
        <w:rPr>
          <w:rtl/>
        </w:rPr>
        <w:t>يأخذ الله عز وجل سماواته وأرضه بيديه فيقول</w:t>
      </w:r>
      <w:r w:rsidR="000636C2">
        <w:rPr>
          <w:rtl/>
        </w:rPr>
        <w:t>:</w:t>
      </w:r>
      <w:r>
        <w:rPr>
          <w:rtl/>
        </w:rPr>
        <w:t xml:space="preserve"> أنا الله ويقبض أصابعه ويبسطها أنا الملك</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وقد ثبت بالدليل القاطع أن يد الحق سبحانه وتعالى ليست بجارحة وإن قبضه للأشياء ليس مباشرة</w:t>
      </w:r>
      <w:r w:rsidR="000636C2">
        <w:rPr>
          <w:rtl/>
        </w:rPr>
        <w:t>،</w:t>
      </w:r>
      <w:r>
        <w:rPr>
          <w:rtl/>
        </w:rPr>
        <w:t xml:space="preserve"> ولا كف له . وإنما قرب رسول الله صلى الله عليه وسلم إلى الأفهام ما يدركه الحس</w:t>
      </w:r>
      <w:r w:rsidR="000636C2">
        <w:rPr>
          <w:rtl/>
        </w:rPr>
        <w:t>،</w:t>
      </w:r>
      <w:r>
        <w:rPr>
          <w:rtl/>
        </w:rPr>
        <w:t xml:space="preserve"> فقبض رسول الله صلى الله عليه وسلم أصابعه وبسطها .. فوقوع الشبه بين القبضتين من حيث ملكة المقبوض كما وقع الشبه في رؤية الحق سبحانه برؤية القمر في إيضاح الرؤية لا في تشبيه المرئي . فأما في لفظ الشمال فهي في رواية مسلم وهي مما انفرد به عن عمر بن حمزة عن سالم ابن عمر</w:t>
      </w:r>
      <w:r w:rsidR="000636C2">
        <w:rPr>
          <w:rtl/>
        </w:rPr>
        <w:t>،</w:t>
      </w:r>
      <w:r>
        <w:rPr>
          <w:rtl/>
        </w:rPr>
        <w:t xml:space="preserve"> وقد روي الحديث نافع وغيره عن بن عمر فلم يذكروا لفظة الشمال</w:t>
      </w:r>
      <w:r w:rsidR="000636C2">
        <w:rPr>
          <w:rtl/>
        </w:rPr>
        <w:t>،</w:t>
      </w:r>
      <w:r>
        <w:rPr>
          <w:rtl/>
        </w:rPr>
        <w:t xml:space="preserve"> ورواه أبو هريرة وغيره عن النبي صلى الله عليه وسلم فلم يذكر أحد منهم فيه الشمال</w:t>
      </w:r>
      <w:r w:rsidR="000636C2">
        <w:rPr>
          <w:rtl/>
        </w:rPr>
        <w:t>،</w:t>
      </w:r>
      <w:r>
        <w:rPr>
          <w:rtl/>
        </w:rPr>
        <w:t xml:space="preserve"> وقد روي ذكر الشمال في حديث آخر في غير هذه القصة إلا أنه ضعيف بالمرة</w:t>
      </w:r>
      <w:r w:rsidR="000636C2">
        <w:rPr>
          <w:rtl/>
        </w:rPr>
        <w:t>،</w:t>
      </w:r>
      <w:r>
        <w:rPr>
          <w:rtl/>
        </w:rPr>
        <w:t xml:space="preserve"> ورواه بعض المتروكين</w:t>
      </w:r>
      <w:r w:rsidR="000636C2">
        <w:rPr>
          <w:rtl/>
        </w:rPr>
        <w:t>،</w:t>
      </w:r>
      <w:r>
        <w:rPr>
          <w:rtl/>
        </w:rPr>
        <w:t xml:space="preserve"> وقد صح عن رسول الله صلى الله عليه وسلم أنه قال</w:t>
      </w:r>
      <w:r w:rsidR="000636C2">
        <w:rPr>
          <w:rtl/>
        </w:rPr>
        <w:t>:</w:t>
      </w:r>
      <w:r>
        <w:rPr>
          <w:rtl/>
        </w:rPr>
        <w:t xml:space="preserve"> وكلتا يديه يمين مباركة</w:t>
      </w:r>
      <w:r w:rsidR="000636C2">
        <w:rPr>
          <w:rtl/>
        </w:rPr>
        <w:t>،</w:t>
      </w:r>
      <w:r>
        <w:rPr>
          <w:rtl/>
        </w:rPr>
        <w:t xml:space="preserve"> وهذا يوهن ذكر الشمال . وقال أبو بكر البيهقي</w:t>
      </w:r>
      <w:r w:rsidR="000636C2">
        <w:rPr>
          <w:rtl/>
        </w:rPr>
        <w:t>:</w:t>
      </w:r>
      <w:r>
        <w:rPr>
          <w:rtl/>
        </w:rPr>
        <w:t xml:space="preserve"> وكان الذي ذكر الشمال رواه علي العادة في أن الشمال يقابل اليمين . قال القاضي</w:t>
      </w:r>
      <w:r w:rsidR="000636C2">
        <w:rPr>
          <w:rtl/>
        </w:rPr>
        <w:t>:</w:t>
      </w:r>
      <w:r>
        <w:rPr>
          <w:rtl/>
        </w:rPr>
        <w:t xml:space="preserve"> غير مستحيل إضافة القبض والبسط إلى ذاته وقد سبق إنكار هذا</w:t>
      </w:r>
      <w:r w:rsidR="000636C2">
        <w:rPr>
          <w:rtl/>
        </w:rPr>
        <w:t>،</w:t>
      </w:r>
      <w:r>
        <w:rPr>
          <w:rtl/>
        </w:rPr>
        <w:t xml:space="preserve"> </w:t>
      </w:r>
    </w:p>
    <w:p w14:paraId="2CA20E7C" w14:textId="349DCACF" w:rsidR="009C32A0" w:rsidRDefault="009C32A0" w:rsidP="000636C2">
      <w:pPr>
        <w:spacing w:after="240"/>
        <w:rPr>
          <w:rtl/>
        </w:rPr>
      </w:pPr>
      <w:r>
        <w:rPr>
          <w:rtl/>
        </w:rPr>
        <w:t>الحديث السادس والعشرون</w:t>
      </w:r>
      <w:r w:rsidR="000636C2">
        <w:rPr>
          <w:rtl/>
        </w:rPr>
        <w:t>:</w:t>
      </w:r>
      <w:r>
        <w:rPr>
          <w:rtl/>
        </w:rPr>
        <w:t xml:space="preserve"> روي أحمد في مسنده من حديث أنس رضي الله عنه</w:t>
      </w:r>
      <w:r w:rsidR="000636C2">
        <w:rPr>
          <w:rtl/>
        </w:rPr>
        <w:t xml:space="preserve"> </w:t>
      </w:r>
      <w:r>
        <w:rPr>
          <w:rtl/>
        </w:rPr>
        <w:t>عن النبي صلى الله عليه وسلم في قوله تعالى</w:t>
      </w:r>
      <w:r w:rsidR="000636C2">
        <w:rPr>
          <w:rtl/>
        </w:rPr>
        <w:t>:</w:t>
      </w:r>
      <w:r>
        <w:rPr>
          <w:rtl/>
        </w:rPr>
        <w:t xml:space="preserve"> </w:t>
      </w:r>
      <w:r w:rsidR="000636C2">
        <w:rPr>
          <w:rtl/>
        </w:rPr>
        <w:t>{</w:t>
      </w:r>
      <w:r>
        <w:rPr>
          <w:rtl/>
        </w:rPr>
        <w:t>فلما تجلي ربه للجبل</w:t>
      </w:r>
      <w:r w:rsidR="000636C2">
        <w:rPr>
          <w:rtl/>
        </w:rPr>
        <w:t>}،</w:t>
      </w:r>
      <w:r>
        <w:rPr>
          <w:rtl/>
        </w:rPr>
        <w:t xml:space="preserve"> قال</w:t>
      </w:r>
      <w:r w:rsidR="000636C2">
        <w:rPr>
          <w:rtl/>
        </w:rPr>
        <w:t>:</w:t>
      </w:r>
      <w:r>
        <w:rPr>
          <w:rtl/>
        </w:rPr>
        <w:t xml:space="preserve"> قال هكذا</w:t>
      </w:r>
      <w:r w:rsidR="000636C2">
        <w:rPr>
          <w:rtl/>
        </w:rPr>
        <w:t>،</w:t>
      </w:r>
      <w:r>
        <w:rPr>
          <w:rtl/>
        </w:rPr>
        <w:t xml:space="preserve"> يعني أنه أخرج طرف الخنصر</w:t>
      </w:r>
      <w:r w:rsidR="000636C2">
        <w:rPr>
          <w:rtl/>
        </w:rPr>
        <w:t>،</w:t>
      </w:r>
      <w:r>
        <w:rPr>
          <w:rtl/>
        </w:rPr>
        <w:t xml:space="preserve"> فقال حميد الطويل لثابت</w:t>
      </w:r>
      <w:r w:rsidR="000636C2">
        <w:rPr>
          <w:rtl/>
        </w:rPr>
        <w:t>:</w:t>
      </w:r>
      <w:r>
        <w:rPr>
          <w:rtl/>
        </w:rPr>
        <w:t xml:space="preserve"> ما تريد إلى هذا يا أبا محمد</w:t>
      </w:r>
      <w:r w:rsidR="000636C2">
        <w:rPr>
          <w:rtl/>
        </w:rPr>
        <w:t>،</w:t>
      </w:r>
      <w:r>
        <w:rPr>
          <w:rtl/>
        </w:rPr>
        <w:t xml:space="preserve"> قال فضرب صدره ضربة شديدة فقال</w:t>
      </w:r>
      <w:r w:rsidR="000636C2">
        <w:rPr>
          <w:rtl/>
        </w:rPr>
        <w:t>:</w:t>
      </w:r>
      <w:r>
        <w:rPr>
          <w:rtl/>
        </w:rPr>
        <w:t xml:space="preserve"> من أنت يا حميد</w:t>
      </w:r>
      <w:r w:rsidR="000636C2">
        <w:rPr>
          <w:rtl/>
        </w:rPr>
        <w:t>،</w:t>
      </w:r>
      <w:r>
        <w:rPr>
          <w:rtl/>
        </w:rPr>
        <w:t xml:space="preserve"> وما أنت يا حميد . فحدثني به أنس بن مالك عن النبي صلى الله عليه وسلم وفي لفظ</w:t>
      </w:r>
      <w:r w:rsidR="000636C2">
        <w:rPr>
          <w:rtl/>
        </w:rPr>
        <w:t>:</w:t>
      </w:r>
      <w:r>
        <w:rPr>
          <w:rtl/>
        </w:rPr>
        <w:t xml:space="preserve"> فأومئ بخنصره فساخ الجبل وخر موسي صعقا</w:t>
      </w:r>
      <w:r w:rsidR="000636C2">
        <w:rPr>
          <w:rtl/>
        </w:rPr>
        <w:t>،</w:t>
      </w:r>
      <w:r>
        <w:rPr>
          <w:rtl/>
        </w:rPr>
        <w:t xml:space="preserve"> وروي ابن حامد</w:t>
      </w:r>
      <w:r w:rsidR="000636C2">
        <w:rPr>
          <w:rtl/>
        </w:rPr>
        <w:t>،</w:t>
      </w:r>
      <w:r>
        <w:rPr>
          <w:rtl/>
        </w:rPr>
        <w:t xml:space="preserve"> فلما تجلي ربه للجبل قال</w:t>
      </w:r>
      <w:r w:rsidR="000636C2">
        <w:rPr>
          <w:rtl/>
        </w:rPr>
        <w:t>:</w:t>
      </w:r>
      <w:r>
        <w:rPr>
          <w:rtl/>
        </w:rPr>
        <w:t xml:space="preserve"> خرج منه أول مفصل من خنصره</w:t>
      </w:r>
      <w:r w:rsidR="000636C2">
        <w:rPr>
          <w:rtl/>
        </w:rPr>
        <w:t>،</w:t>
      </w:r>
      <w:r>
        <w:rPr>
          <w:rtl/>
        </w:rPr>
        <w:t xml:space="preserve"> </w:t>
      </w:r>
      <w:r w:rsidR="000636C2">
        <w:rPr>
          <w:rtl/>
        </w:rPr>
        <w:t>(</w:t>
      </w:r>
      <w:r>
        <w:rPr>
          <w:rtl/>
        </w:rPr>
        <w:t>قلت</w:t>
      </w:r>
      <w:r w:rsidR="000636C2">
        <w:rPr>
          <w:rtl/>
        </w:rPr>
        <w:t>):</w:t>
      </w:r>
      <w:r>
        <w:rPr>
          <w:rtl/>
        </w:rPr>
        <w:t xml:space="preserve"> هذا الحديث تكلم فيه علماء الحديث وقالوا</w:t>
      </w:r>
      <w:r w:rsidR="000636C2">
        <w:rPr>
          <w:rtl/>
        </w:rPr>
        <w:t>:</w:t>
      </w:r>
      <w:r>
        <w:rPr>
          <w:rtl/>
        </w:rPr>
        <w:t xml:space="preserve"> لم يروه عن ثابت غير حماد بن سلمة وكان ابن أبي العوجاء الزنديق قد أدخل علي حماد أشياء</w:t>
      </w:r>
      <w:r w:rsidR="000636C2">
        <w:rPr>
          <w:rtl/>
        </w:rPr>
        <w:t>،</w:t>
      </w:r>
      <w:r>
        <w:rPr>
          <w:rtl/>
        </w:rPr>
        <w:t xml:space="preserve"> فرواها في آخر عمره ولذلك تجافي أصحاب الصحيح الإخراج عنه</w:t>
      </w:r>
      <w:r w:rsidR="000636C2">
        <w:rPr>
          <w:rtl/>
        </w:rPr>
        <w:t>،</w:t>
      </w:r>
      <w:r>
        <w:rPr>
          <w:rtl/>
        </w:rPr>
        <w:t xml:space="preserve"> ومخرج الحديث سهل</w:t>
      </w:r>
      <w:r w:rsidR="000636C2">
        <w:rPr>
          <w:rtl/>
        </w:rPr>
        <w:t>،</w:t>
      </w:r>
      <w:r>
        <w:rPr>
          <w:rtl/>
        </w:rPr>
        <w:t xml:space="preserve"> وذلك أن النبي صلى الله عليه وسلم كان يقرب إلى الافهام بذكر الحسيات</w:t>
      </w:r>
      <w:r w:rsidR="000636C2">
        <w:rPr>
          <w:rtl/>
        </w:rPr>
        <w:t>،</w:t>
      </w:r>
      <w:r>
        <w:rPr>
          <w:rtl/>
        </w:rPr>
        <w:t xml:space="preserve"> فوضع يده علي خنصره إشارة إلى أن الله تعالى أظهر اليسير من آياته</w:t>
      </w:r>
      <w:r w:rsidR="000636C2">
        <w:rPr>
          <w:rtl/>
        </w:rPr>
        <w:t>،</w:t>
      </w:r>
      <w:r>
        <w:rPr>
          <w:rtl/>
        </w:rPr>
        <w:t xml:space="preserve"> قال بن عقيل</w:t>
      </w:r>
      <w:r w:rsidR="000636C2">
        <w:rPr>
          <w:rtl/>
        </w:rPr>
        <w:t>:</w:t>
      </w:r>
      <w:r>
        <w:rPr>
          <w:rtl/>
        </w:rPr>
        <w:t xml:space="preserve"> كشف من أنواره التي يملكها بقدر طرف الخنصر وهذا تقدير لنا بحسب ما نفهم من القلة لا نحكم أنه يتقدر . فان قيل</w:t>
      </w:r>
      <w:r w:rsidR="000636C2">
        <w:rPr>
          <w:rtl/>
        </w:rPr>
        <w:t>:</w:t>
      </w:r>
      <w:r>
        <w:rPr>
          <w:rtl/>
        </w:rPr>
        <w:t xml:space="preserve"> كيف أنكر حميد علي ثابت</w:t>
      </w:r>
      <w:r w:rsidR="000636C2">
        <w:rPr>
          <w:rtl/>
        </w:rPr>
        <w:t>؟</w:t>
      </w:r>
      <w:r>
        <w:rPr>
          <w:rtl/>
        </w:rPr>
        <w:t xml:space="preserve"> </w:t>
      </w:r>
      <w:r w:rsidR="000636C2">
        <w:rPr>
          <w:rtl/>
        </w:rPr>
        <w:t>(</w:t>
      </w:r>
      <w:r>
        <w:rPr>
          <w:rtl/>
        </w:rPr>
        <w:t>قلنا</w:t>
      </w:r>
      <w:r w:rsidR="000636C2">
        <w:rPr>
          <w:rtl/>
        </w:rPr>
        <w:t>):</w:t>
      </w:r>
      <w:r>
        <w:rPr>
          <w:rtl/>
        </w:rPr>
        <w:t xml:space="preserve"> يحتمل أن يكون توهم أن هذا يرجع إلى الصفات وقد أثبت القاضي لله سبحانه خنصرا بهذا الحديث المعلول</w:t>
      </w:r>
      <w:r w:rsidR="000636C2">
        <w:rPr>
          <w:rtl/>
        </w:rPr>
        <w:t>،</w:t>
      </w:r>
      <w:r>
        <w:rPr>
          <w:rtl/>
        </w:rPr>
        <w:t xml:space="preserve"> </w:t>
      </w:r>
    </w:p>
    <w:p w14:paraId="60127DC4" w14:textId="63C32690" w:rsidR="009C32A0" w:rsidRDefault="009C32A0" w:rsidP="000636C2">
      <w:pPr>
        <w:spacing w:after="240"/>
        <w:rPr>
          <w:rtl/>
        </w:rPr>
      </w:pPr>
      <w:r>
        <w:rPr>
          <w:rtl/>
        </w:rPr>
        <w:t>الحديث السابع والعشرون</w:t>
      </w:r>
      <w:r w:rsidR="000636C2">
        <w:rPr>
          <w:rtl/>
        </w:rPr>
        <w:t>:</w:t>
      </w:r>
      <w:r>
        <w:rPr>
          <w:rtl/>
        </w:rPr>
        <w:t xml:space="preserve"> روي القاضي عن عكرمة أنه قال</w:t>
      </w:r>
      <w:r w:rsidR="000636C2">
        <w:rPr>
          <w:rtl/>
        </w:rPr>
        <w:t>:</w:t>
      </w:r>
      <w:r>
        <w:rPr>
          <w:rtl/>
        </w:rPr>
        <w:t xml:space="preserve"> " إذا أراد الله عز وجل أن يخوف عباده أبدي عن بعضه إلى الأرض فعند ذلك تتزلزل</w:t>
      </w:r>
      <w:r w:rsidR="000636C2">
        <w:rPr>
          <w:rtl/>
        </w:rPr>
        <w:t>،</w:t>
      </w:r>
      <w:r>
        <w:rPr>
          <w:rtl/>
        </w:rPr>
        <w:t xml:space="preserve"> وإذ أراد أن يدمدم علي قوم تجلي لها "</w:t>
      </w:r>
      <w:r w:rsidR="000636C2">
        <w:rPr>
          <w:rtl/>
        </w:rPr>
        <w:t>،</w:t>
      </w:r>
      <w:r>
        <w:rPr>
          <w:rtl/>
        </w:rPr>
        <w:t xml:space="preserve"> قال القاضي</w:t>
      </w:r>
      <w:r w:rsidR="000636C2">
        <w:rPr>
          <w:rtl/>
        </w:rPr>
        <w:t>:</w:t>
      </w:r>
      <w:r>
        <w:rPr>
          <w:rtl/>
        </w:rPr>
        <w:t xml:space="preserve"> أبدي عن بعضه</w:t>
      </w:r>
      <w:r w:rsidR="000636C2">
        <w:rPr>
          <w:rtl/>
        </w:rPr>
        <w:t>،</w:t>
      </w:r>
      <w:r>
        <w:rPr>
          <w:rtl/>
        </w:rPr>
        <w:t xml:space="preserve"> هو علي ظاهره</w:t>
      </w:r>
      <w:r w:rsidR="000636C2">
        <w:rPr>
          <w:rtl/>
        </w:rPr>
        <w:t>،</w:t>
      </w:r>
      <w:r>
        <w:rPr>
          <w:rtl/>
        </w:rPr>
        <w:t xml:space="preserve"> وهو راجع إلى الذات علي وجه لا يفضي إلى التبعيض . </w:t>
      </w:r>
      <w:r w:rsidR="000636C2">
        <w:rPr>
          <w:rtl/>
        </w:rPr>
        <w:t>(</w:t>
      </w:r>
      <w:r>
        <w:rPr>
          <w:rtl/>
        </w:rPr>
        <w:t>قلت</w:t>
      </w:r>
      <w:r w:rsidR="000636C2">
        <w:rPr>
          <w:rtl/>
        </w:rPr>
        <w:t>):</w:t>
      </w:r>
      <w:r>
        <w:rPr>
          <w:rtl/>
        </w:rPr>
        <w:t xml:space="preserve"> ومن يقول أبدي عن بعض ذاته</w:t>
      </w:r>
      <w:r w:rsidR="000636C2">
        <w:rPr>
          <w:rtl/>
        </w:rPr>
        <w:t>،</w:t>
      </w:r>
      <w:r>
        <w:rPr>
          <w:rtl/>
        </w:rPr>
        <w:t xml:space="preserve"> وما هو بعض لا يكلم ثم اثبات البعض بكلام تابعي لو صح يخالف اجماع المسلمين فانهم أجمعوا أن الخالق لا يتبعض وإنما المراد أبدي عن آياته</w:t>
      </w:r>
      <w:r w:rsidR="000636C2">
        <w:rPr>
          <w:rtl/>
        </w:rPr>
        <w:t>،</w:t>
      </w:r>
      <w:r>
        <w:rPr>
          <w:rtl/>
        </w:rPr>
        <w:t xml:space="preserve"> </w:t>
      </w:r>
    </w:p>
    <w:p w14:paraId="406FB66C" w14:textId="7FA27F5F" w:rsidR="009C32A0" w:rsidRDefault="009C32A0" w:rsidP="000636C2">
      <w:pPr>
        <w:spacing w:after="240"/>
        <w:rPr>
          <w:rtl/>
        </w:rPr>
      </w:pPr>
      <w:r>
        <w:rPr>
          <w:rtl/>
        </w:rPr>
        <w:t>الحديث الثامن والعشرون</w:t>
      </w:r>
      <w:r w:rsidR="000636C2">
        <w:rPr>
          <w:rtl/>
        </w:rPr>
        <w:t>:</w:t>
      </w:r>
      <w:r>
        <w:rPr>
          <w:rtl/>
        </w:rPr>
        <w:t xml:space="preserve"> روي أبو الأحوص الجشمي رضي الله عنه</w:t>
      </w:r>
      <w:r w:rsidR="000636C2">
        <w:rPr>
          <w:rtl/>
        </w:rPr>
        <w:t>،</w:t>
      </w:r>
      <w:r>
        <w:rPr>
          <w:rtl/>
        </w:rPr>
        <w:t xml:space="preserve"> أن رسول الله صلى الله عليه وسلم قال له</w:t>
      </w:r>
      <w:r w:rsidR="000636C2">
        <w:rPr>
          <w:rtl/>
        </w:rPr>
        <w:t>:</w:t>
      </w:r>
      <w:r>
        <w:rPr>
          <w:rtl/>
        </w:rPr>
        <w:t xml:space="preserve"> لعلك تأخذ موساك فتقطع أذن بعضها فيقول هذه نحر</w:t>
      </w:r>
      <w:r w:rsidR="000636C2">
        <w:rPr>
          <w:rtl/>
        </w:rPr>
        <w:t>،</w:t>
      </w:r>
      <w:r>
        <w:rPr>
          <w:rtl/>
        </w:rPr>
        <w:t xml:space="preserve"> وتشق الأذن الأخرى وتقول صرم</w:t>
      </w:r>
      <w:r w:rsidR="000636C2">
        <w:rPr>
          <w:rtl/>
        </w:rPr>
        <w:t>؟</w:t>
      </w:r>
      <w:r>
        <w:rPr>
          <w:rtl/>
        </w:rPr>
        <w:t xml:space="preserve"> قال نعم . قال</w:t>
      </w:r>
      <w:r w:rsidR="000636C2">
        <w:rPr>
          <w:rtl/>
        </w:rPr>
        <w:t>:</w:t>
      </w:r>
      <w:r>
        <w:rPr>
          <w:rtl/>
        </w:rPr>
        <w:t xml:space="preserve"> فلا تفعل</w:t>
      </w:r>
      <w:r w:rsidR="000636C2">
        <w:rPr>
          <w:rtl/>
        </w:rPr>
        <w:t>،</w:t>
      </w:r>
      <w:r>
        <w:rPr>
          <w:rtl/>
        </w:rPr>
        <w:t xml:space="preserve"> فإن موسي الله أحد من موساك</w:t>
      </w:r>
      <w:r w:rsidR="000636C2">
        <w:rPr>
          <w:rtl/>
        </w:rPr>
        <w:t>،</w:t>
      </w:r>
      <w:r>
        <w:rPr>
          <w:rtl/>
        </w:rPr>
        <w:t xml:space="preserve"> وساعد الله أشد من ساعدك</w:t>
      </w:r>
      <w:r w:rsidR="000636C2">
        <w:rPr>
          <w:rtl/>
        </w:rPr>
        <w:t>،</w:t>
      </w:r>
      <w:r>
        <w:rPr>
          <w:rtl/>
        </w:rPr>
        <w:t xml:space="preserve"> قال القاضي</w:t>
      </w:r>
      <w:r w:rsidR="000636C2">
        <w:rPr>
          <w:rtl/>
        </w:rPr>
        <w:t>:</w:t>
      </w:r>
      <w:r>
        <w:rPr>
          <w:rtl/>
        </w:rPr>
        <w:t xml:space="preserve"> لا يمتنع حمل الخبر علي ظاهره في إثبات الساعد صفة لذاته</w:t>
      </w:r>
      <w:r w:rsidR="000636C2">
        <w:rPr>
          <w:rtl/>
        </w:rPr>
        <w:t>،</w:t>
      </w:r>
      <w:r>
        <w:rPr>
          <w:rtl/>
        </w:rPr>
        <w:t xml:space="preserve"> وإن المراد بالساعد القوة</w:t>
      </w:r>
      <w:r w:rsidR="000636C2">
        <w:rPr>
          <w:rtl/>
        </w:rPr>
        <w:t>،</w:t>
      </w:r>
      <w:r>
        <w:rPr>
          <w:rtl/>
        </w:rPr>
        <w:t xml:space="preserve"> لأن قوة الإنسان في ساعده غفلة عامية وخروج عن مقتضي الفهم . وكان ينبغي أن يثبت الموسي</w:t>
      </w:r>
      <w:r w:rsidR="000636C2">
        <w:rPr>
          <w:rtl/>
        </w:rPr>
        <w:t>؟ (</w:t>
      </w:r>
      <w:r>
        <w:rPr>
          <w:rtl/>
        </w:rPr>
        <w:t>قلت</w:t>
      </w:r>
      <w:r w:rsidR="000636C2">
        <w:rPr>
          <w:rtl/>
        </w:rPr>
        <w:t>):</w:t>
      </w:r>
      <w:r>
        <w:rPr>
          <w:rtl/>
        </w:rPr>
        <w:t xml:space="preserve"> </w:t>
      </w:r>
      <w:r w:rsidR="000636C2">
        <w:rPr>
          <w:rtl/>
        </w:rPr>
        <w:t>(</w:t>
      </w:r>
      <w:r>
        <w:rPr>
          <w:rtl/>
        </w:rPr>
        <w:t>إثبات صفة لله بهذا الخبر الذي لا يكاد يثبت مع الأعراض عن فهم خطاب العرب وإنها تريد تمثل هذا التجوز والاستعارة</w:t>
      </w:r>
      <w:r w:rsidR="000636C2">
        <w:rPr>
          <w:rtl/>
        </w:rPr>
        <w:t>،</w:t>
      </w:r>
    </w:p>
    <w:p w14:paraId="18B62E7E" w14:textId="6F44F61A" w:rsidR="009C32A0" w:rsidRDefault="009C32A0" w:rsidP="000636C2">
      <w:pPr>
        <w:spacing w:after="240"/>
        <w:rPr>
          <w:rtl/>
        </w:rPr>
      </w:pPr>
      <w:r>
        <w:rPr>
          <w:bCs/>
          <w:rtl/>
        </w:rPr>
        <w:t>الحديث التاسع والعشرون</w:t>
      </w:r>
      <w:r w:rsidR="000636C2">
        <w:rPr>
          <w:rtl/>
        </w:rPr>
        <w:t>:</w:t>
      </w:r>
      <w:r>
        <w:rPr>
          <w:rtl/>
        </w:rPr>
        <w:t xml:space="preserve"> روي أبو هريرة رضي الله عنه</w:t>
      </w:r>
      <w:r w:rsidR="000636C2">
        <w:rPr>
          <w:rtl/>
        </w:rPr>
        <w:t xml:space="preserve"> </w:t>
      </w:r>
      <w:r>
        <w:rPr>
          <w:rtl/>
        </w:rPr>
        <w:t>عن النبي صلى الله عليه وسلم قال</w:t>
      </w:r>
      <w:r w:rsidR="000636C2">
        <w:rPr>
          <w:rtl/>
        </w:rPr>
        <w:t>:</w:t>
      </w:r>
      <w:r>
        <w:rPr>
          <w:rtl/>
        </w:rPr>
        <w:t xml:space="preserve"> " إن العبد إذا قام إلى الصلاة فإنه بين عيني الرحمن "</w:t>
      </w:r>
      <w:r w:rsidR="000636C2">
        <w:rPr>
          <w:rtl/>
        </w:rPr>
        <w:t>،</w:t>
      </w:r>
      <w:r>
        <w:rPr>
          <w:rtl/>
        </w:rPr>
        <w:t xml:space="preserve"> </w:t>
      </w:r>
      <w:r w:rsidR="000636C2">
        <w:rPr>
          <w:rtl/>
        </w:rPr>
        <w:t>(</w:t>
      </w:r>
      <w:r>
        <w:rPr>
          <w:rtl/>
        </w:rPr>
        <w:t>قلت</w:t>
      </w:r>
      <w:r w:rsidR="000636C2">
        <w:rPr>
          <w:rtl/>
        </w:rPr>
        <w:t>):</w:t>
      </w:r>
      <w:r>
        <w:rPr>
          <w:rtl/>
        </w:rPr>
        <w:t xml:space="preserve"> قد ذكرنا صفة العين في الآيات المذكورة قبل الأحاديث والمراد بالحديث إن الله تعالى يشاهد المصلي فليتأدب . وكذلك قوله</w:t>
      </w:r>
      <w:r w:rsidR="000636C2">
        <w:rPr>
          <w:rtl/>
        </w:rPr>
        <w:t>:</w:t>
      </w:r>
      <w:r>
        <w:rPr>
          <w:rtl/>
        </w:rPr>
        <w:t xml:space="preserve"> " فإن الله قبل وجهه " أي أنه يراه "</w:t>
      </w:r>
      <w:r w:rsidR="000636C2">
        <w:rPr>
          <w:rtl/>
        </w:rPr>
        <w:t>،</w:t>
      </w:r>
    </w:p>
    <w:p w14:paraId="202268C6" w14:textId="55FF23D1" w:rsidR="009C32A0" w:rsidRDefault="009C32A0" w:rsidP="000636C2">
      <w:pPr>
        <w:spacing w:after="240"/>
        <w:rPr>
          <w:rtl/>
        </w:rPr>
      </w:pPr>
      <w:r>
        <w:rPr>
          <w:bCs/>
          <w:rtl/>
        </w:rPr>
        <w:t>الحديث الثلاثون</w:t>
      </w:r>
      <w:r w:rsidR="000636C2">
        <w:rPr>
          <w:rtl/>
        </w:rPr>
        <w:t>:</w:t>
      </w:r>
      <w:r>
        <w:rPr>
          <w:rtl/>
        </w:rPr>
        <w:t xml:space="preserve"> روي البخاري ومسلم في الصحيحين من حديث عائشة رضي الله عنها</w:t>
      </w:r>
      <w:r w:rsidR="000636C2">
        <w:rPr>
          <w:rtl/>
        </w:rPr>
        <w:t>:</w:t>
      </w:r>
      <w:r>
        <w:rPr>
          <w:rtl/>
        </w:rPr>
        <w:t xml:space="preserve"> أن رسول الله صلى الله عليه وسلم . دخل عليها وعندها امرأة سعيدة . فقال</w:t>
      </w:r>
      <w:r w:rsidR="000636C2">
        <w:rPr>
          <w:rtl/>
        </w:rPr>
        <w:t>:</w:t>
      </w:r>
      <w:r>
        <w:rPr>
          <w:rtl/>
        </w:rPr>
        <w:t xml:space="preserve"> من هذه ..؟ قالت</w:t>
      </w:r>
      <w:r w:rsidR="000636C2">
        <w:rPr>
          <w:rtl/>
        </w:rPr>
        <w:t>:</w:t>
      </w:r>
      <w:r>
        <w:rPr>
          <w:rtl/>
        </w:rPr>
        <w:t xml:space="preserve"> فلانة تذكر من صلاتها</w:t>
      </w:r>
      <w:r w:rsidR="000636C2">
        <w:rPr>
          <w:rtl/>
        </w:rPr>
        <w:t>،</w:t>
      </w:r>
      <w:r>
        <w:rPr>
          <w:rtl/>
        </w:rPr>
        <w:t xml:space="preserve"> فقال</w:t>
      </w:r>
      <w:r w:rsidR="000636C2">
        <w:rPr>
          <w:rtl/>
        </w:rPr>
        <w:t>:</w:t>
      </w:r>
      <w:r>
        <w:rPr>
          <w:rtl/>
        </w:rPr>
        <w:t xml:space="preserve"> (</w:t>
      </w:r>
      <w:r w:rsidR="000636C2">
        <w:rPr>
          <w:rtl/>
        </w:rPr>
        <w:t>(</w:t>
      </w:r>
      <w:r>
        <w:rPr>
          <w:rtl/>
        </w:rPr>
        <w:t>مه عليكم ما تطيقون فو الله لا يمل الله حتي تملوا</w:t>
      </w:r>
      <w:r w:rsidR="000636C2">
        <w:rPr>
          <w:rtl/>
        </w:rPr>
        <w:t>)</w:t>
      </w:r>
      <w:r>
        <w:rPr>
          <w:rtl/>
        </w:rPr>
        <w:t>)</w:t>
      </w:r>
      <w:r w:rsidR="000636C2">
        <w:rPr>
          <w:rtl/>
        </w:rPr>
        <w:t>،</w:t>
      </w:r>
      <w:r>
        <w:rPr>
          <w:rtl/>
        </w:rPr>
        <w:t xml:space="preserve"> وفي رواية</w:t>
      </w:r>
      <w:r w:rsidR="000636C2">
        <w:rPr>
          <w:rtl/>
        </w:rPr>
        <w:t>:</w:t>
      </w:r>
      <w:r>
        <w:rPr>
          <w:rtl/>
        </w:rPr>
        <w:t xml:space="preserve"> (</w:t>
      </w:r>
      <w:r w:rsidR="000636C2">
        <w:rPr>
          <w:rtl/>
        </w:rPr>
        <w:t>(</w:t>
      </w:r>
      <w:r>
        <w:rPr>
          <w:rtl/>
        </w:rPr>
        <w:t>لا يسأم الله حتي تسأموا</w:t>
      </w:r>
      <w:r w:rsidR="000636C2">
        <w:rPr>
          <w:rtl/>
        </w:rPr>
        <w:t>)</w:t>
      </w:r>
      <w:r>
        <w:rPr>
          <w:rtl/>
        </w:rPr>
        <w:t>)</w:t>
      </w:r>
      <w:r w:rsidR="000636C2">
        <w:rPr>
          <w:rtl/>
        </w:rPr>
        <w:t>،</w:t>
      </w:r>
      <w:r>
        <w:rPr>
          <w:rtl/>
        </w:rPr>
        <w:t xml:space="preserve"> قال العلماء</w:t>
      </w:r>
      <w:r w:rsidR="000636C2">
        <w:rPr>
          <w:rtl/>
        </w:rPr>
        <w:t>:</w:t>
      </w:r>
      <w:r>
        <w:rPr>
          <w:rtl/>
        </w:rPr>
        <w:t xml:space="preserve"> ابدأ وإن مللت . لا يمل الله وهو قول بن قتيبة والخطابي ولا يختلف في أهل اللغة</w:t>
      </w:r>
      <w:r w:rsidR="000636C2">
        <w:rPr>
          <w:rtl/>
        </w:rPr>
        <w:t>،</w:t>
      </w:r>
      <w:r>
        <w:rPr>
          <w:rtl/>
        </w:rPr>
        <w:t xml:space="preserve"> قال الشاعر</w:t>
      </w:r>
      <w:r w:rsidR="000636C2">
        <w:rPr>
          <w:rtl/>
        </w:rPr>
        <w:t>:</w:t>
      </w:r>
      <w:r>
        <w:rPr>
          <w:rtl/>
        </w:rPr>
        <w:t xml:space="preserve"> </w:t>
      </w:r>
      <w:r w:rsidR="000636C2">
        <w:rPr>
          <w:rtl/>
        </w:rPr>
        <w:t>(</w:t>
      </w:r>
      <w:r>
        <w:rPr>
          <w:rtl/>
        </w:rPr>
        <w:t>صليت مني هزيل بخرق</w:t>
      </w:r>
      <w:r w:rsidR="000636C2">
        <w:rPr>
          <w:rtl/>
        </w:rPr>
        <w:t xml:space="preserve"> </w:t>
      </w:r>
      <w:r>
        <w:rPr>
          <w:rtl/>
        </w:rPr>
        <w:t>...</w:t>
      </w:r>
      <w:r w:rsidR="000636C2">
        <w:rPr>
          <w:rtl/>
        </w:rPr>
        <w:t xml:space="preserve"> </w:t>
      </w:r>
      <w:r>
        <w:rPr>
          <w:rtl/>
        </w:rPr>
        <w:t>لا يمل المشير حتي يمل</w:t>
      </w:r>
      <w:r w:rsidR="000636C2">
        <w:rPr>
          <w:rtl/>
        </w:rPr>
        <w:t>)،</w:t>
      </w:r>
      <w:r>
        <w:rPr>
          <w:rtl/>
        </w:rPr>
        <w:t xml:space="preserve"> المعني لا يمل وإن ملوا</w:t>
      </w:r>
      <w:r w:rsidR="000636C2">
        <w:rPr>
          <w:rtl/>
        </w:rPr>
        <w:t>،</w:t>
      </w:r>
      <w:r>
        <w:rPr>
          <w:rtl/>
        </w:rPr>
        <w:t xml:space="preserve"> لم يكن له فضل عليهم</w:t>
      </w:r>
      <w:r w:rsidR="000636C2">
        <w:rPr>
          <w:rtl/>
        </w:rPr>
        <w:t>،</w:t>
      </w:r>
      <w:r>
        <w:rPr>
          <w:rtl/>
        </w:rPr>
        <w:t xml:space="preserve"> وقال قوم من مل من شيء تركه . والمعني . لا يترك الثواب ما لم يتركوا العمل، وأما الملل الذي هو كراهة الشيء والاستثقال له</w:t>
      </w:r>
      <w:r w:rsidR="000636C2">
        <w:rPr>
          <w:rtl/>
        </w:rPr>
        <w:t>،</w:t>
      </w:r>
      <w:r>
        <w:rPr>
          <w:rtl/>
        </w:rPr>
        <w:t xml:space="preserve"> ونفور الشيء عنه والسآمة منه</w:t>
      </w:r>
      <w:r w:rsidR="000636C2">
        <w:rPr>
          <w:rtl/>
        </w:rPr>
        <w:t>،</w:t>
      </w:r>
      <w:r>
        <w:rPr>
          <w:rtl/>
        </w:rPr>
        <w:t xml:space="preserve"> فمحال في حقه تعالى</w:t>
      </w:r>
      <w:r w:rsidR="000636C2">
        <w:rPr>
          <w:rtl/>
        </w:rPr>
        <w:t>،</w:t>
      </w:r>
      <w:r>
        <w:rPr>
          <w:rtl/>
        </w:rPr>
        <w:t xml:space="preserve"> لأنه يقتضي تفسيره</w:t>
      </w:r>
      <w:r w:rsidR="000636C2">
        <w:rPr>
          <w:rtl/>
        </w:rPr>
        <w:t>،</w:t>
      </w:r>
      <w:r>
        <w:rPr>
          <w:rtl/>
        </w:rPr>
        <w:t xml:space="preserve"> لأنه تغير وحلول الحوادث في حقه</w:t>
      </w:r>
      <w:r w:rsidR="000636C2">
        <w:rPr>
          <w:rtl/>
        </w:rPr>
        <w:t>،</w:t>
      </w:r>
      <w:r>
        <w:rPr>
          <w:rtl/>
        </w:rPr>
        <w:t xml:space="preserve"> وقال القاضي</w:t>
      </w:r>
      <w:r w:rsidR="000636C2">
        <w:rPr>
          <w:rtl/>
        </w:rPr>
        <w:t>:</w:t>
      </w:r>
      <w:r>
        <w:rPr>
          <w:rtl/>
        </w:rPr>
        <w:t xml:space="preserve"> لا يمتنع إطلاق الملل عليه لا معني السآمة</w:t>
      </w:r>
      <w:r w:rsidR="000636C2">
        <w:rPr>
          <w:rtl/>
        </w:rPr>
        <w:t>،</w:t>
      </w:r>
      <w:r>
        <w:rPr>
          <w:rtl/>
        </w:rPr>
        <w:t xml:space="preserve"> </w:t>
      </w:r>
      <w:r w:rsidR="000636C2">
        <w:rPr>
          <w:rtl/>
        </w:rPr>
        <w:t>(</w:t>
      </w:r>
      <w:r>
        <w:rPr>
          <w:rtl/>
        </w:rPr>
        <w:t>قلت</w:t>
      </w:r>
      <w:r w:rsidR="000636C2">
        <w:rPr>
          <w:rtl/>
        </w:rPr>
        <w:t>):</w:t>
      </w:r>
      <w:r>
        <w:rPr>
          <w:rtl/>
        </w:rPr>
        <w:t xml:space="preserve"> وهذا بعيد عن معرفة اللغة وما يجوز عليه وما لايجوز عليه</w:t>
      </w:r>
      <w:r w:rsidR="000636C2">
        <w:rPr>
          <w:rtl/>
        </w:rPr>
        <w:t>،</w:t>
      </w:r>
      <w:r>
        <w:rPr>
          <w:rtl/>
        </w:rPr>
        <w:t xml:space="preserve"> ومن لفظ السأمة التي منع منها</w:t>
      </w:r>
      <w:r w:rsidR="000636C2">
        <w:rPr>
          <w:rtl/>
        </w:rPr>
        <w:t>،</w:t>
      </w:r>
      <w:r>
        <w:rPr>
          <w:rtl/>
        </w:rPr>
        <w:t xml:space="preserve"> </w:t>
      </w:r>
    </w:p>
    <w:p w14:paraId="631A34F7" w14:textId="1EFB4FB7" w:rsidR="009C32A0" w:rsidRDefault="009C32A0" w:rsidP="000636C2">
      <w:pPr>
        <w:spacing w:after="240"/>
        <w:rPr>
          <w:rtl/>
        </w:rPr>
      </w:pPr>
      <w:r>
        <w:rPr>
          <w:bCs/>
          <w:rtl/>
        </w:rPr>
        <w:t>الحديث الحادي والثلاثون</w:t>
      </w:r>
      <w:r w:rsidR="000636C2">
        <w:rPr>
          <w:rtl/>
        </w:rPr>
        <w:t>:</w:t>
      </w:r>
      <w:r>
        <w:rPr>
          <w:rtl/>
        </w:rPr>
        <w:t xml:space="preserve"> روت خولة بنت حكيم عن النبي صلى الله عليه وسلم أنه قال</w:t>
      </w:r>
      <w:r w:rsidR="000636C2">
        <w:rPr>
          <w:rtl/>
        </w:rPr>
        <w:t>:</w:t>
      </w:r>
      <w:r>
        <w:rPr>
          <w:rtl/>
        </w:rPr>
        <w:t xml:space="preserve"> " آخر وطأة وطئها الرحمن بوج</w:t>
      </w:r>
      <w:r w:rsidR="000636C2">
        <w:rPr>
          <w:rtl/>
        </w:rPr>
        <w:t>،</w:t>
      </w:r>
      <w:r>
        <w:rPr>
          <w:rtl/>
        </w:rPr>
        <w:t xml:space="preserve"> ووج " واد بالطائف" وهي آخر وقعة أوقعها الله بالمشركين علي يد رسول الله صلى الله عليه وسلم</w:t>
      </w:r>
      <w:r w:rsidR="000636C2">
        <w:rPr>
          <w:rtl/>
        </w:rPr>
        <w:t>،</w:t>
      </w:r>
      <w:r>
        <w:rPr>
          <w:rtl/>
        </w:rPr>
        <w:t xml:space="preserve"> ومنه قوله</w:t>
      </w:r>
      <w:r w:rsidR="000636C2">
        <w:rPr>
          <w:rtl/>
        </w:rPr>
        <w:t>:</w:t>
      </w:r>
      <w:r>
        <w:rPr>
          <w:rtl/>
        </w:rPr>
        <w:t xml:space="preserve"> " اللهم اشدد وطأتك علي مضر "</w:t>
      </w:r>
      <w:r w:rsidR="000636C2">
        <w:rPr>
          <w:rtl/>
        </w:rPr>
        <w:t>،</w:t>
      </w:r>
      <w:r>
        <w:rPr>
          <w:rtl/>
        </w:rPr>
        <w:t xml:space="preserve"> ومأخوذ من القدم</w:t>
      </w:r>
      <w:r w:rsidR="000636C2">
        <w:rPr>
          <w:rtl/>
        </w:rPr>
        <w:t>،</w:t>
      </w:r>
      <w:r>
        <w:rPr>
          <w:rtl/>
        </w:rPr>
        <w:t xml:space="preserve"> وإلى هذا ذهب ابن قتيبة وغيره</w:t>
      </w:r>
      <w:r w:rsidR="000636C2">
        <w:rPr>
          <w:rtl/>
        </w:rPr>
        <w:t>،</w:t>
      </w:r>
      <w:r>
        <w:rPr>
          <w:rtl/>
        </w:rPr>
        <w:t xml:space="preserve"> </w:t>
      </w:r>
      <w:r w:rsidR="000636C2">
        <w:rPr>
          <w:rtl/>
        </w:rPr>
        <w:t>(</w:t>
      </w:r>
      <w:r>
        <w:rPr>
          <w:rtl/>
        </w:rPr>
        <w:t>وقال سفيان بن عيينة في تفسير هذا الحديث</w:t>
      </w:r>
      <w:r w:rsidR="000636C2">
        <w:rPr>
          <w:rtl/>
        </w:rPr>
        <w:t>:</w:t>
      </w:r>
      <w:r>
        <w:rPr>
          <w:rtl/>
        </w:rPr>
        <w:t xml:space="preserve"> آخر غزاه غزاها رسول الله بالطائف</w:t>
      </w:r>
      <w:r w:rsidR="000636C2">
        <w:rPr>
          <w:rtl/>
        </w:rPr>
        <w:t>،</w:t>
      </w:r>
      <w:r>
        <w:rPr>
          <w:rtl/>
        </w:rPr>
        <w:t xml:space="preserve"> وقال القاضي غير ممتنع علي أصولنا</w:t>
      </w:r>
      <w:r w:rsidR="000636C2">
        <w:rPr>
          <w:rtl/>
        </w:rPr>
        <w:t>،</w:t>
      </w:r>
      <w:r>
        <w:rPr>
          <w:rtl/>
        </w:rPr>
        <w:t xml:space="preserve"> حمل هذا الخبر علي ظاهره</w:t>
      </w:r>
      <w:r w:rsidR="000636C2">
        <w:rPr>
          <w:rtl/>
        </w:rPr>
        <w:t>،</w:t>
      </w:r>
      <w:r>
        <w:rPr>
          <w:rtl/>
        </w:rPr>
        <w:t xml:space="preserve"> وإن ذلك المعني بالذات دون الفعل</w:t>
      </w:r>
      <w:r w:rsidR="000636C2">
        <w:rPr>
          <w:rtl/>
        </w:rPr>
        <w:t>،</w:t>
      </w:r>
      <w:r>
        <w:rPr>
          <w:rtl/>
        </w:rPr>
        <w:t xml:space="preserve"> لأنا حملنا قوله</w:t>
      </w:r>
      <w:r w:rsidR="000636C2">
        <w:rPr>
          <w:rtl/>
        </w:rPr>
        <w:t>:</w:t>
      </w:r>
      <w:r>
        <w:rPr>
          <w:rtl/>
        </w:rPr>
        <w:t xml:space="preserve"> "ينزل ويضع قدمه في النار " علي الذات</w:t>
      </w:r>
      <w:r w:rsidR="000636C2">
        <w:rPr>
          <w:rtl/>
        </w:rPr>
        <w:t>،</w:t>
      </w:r>
      <w:r>
        <w:rPr>
          <w:rtl/>
        </w:rPr>
        <w:t xml:space="preserve"> </w:t>
      </w:r>
      <w:r w:rsidR="000636C2">
        <w:rPr>
          <w:rtl/>
        </w:rPr>
        <w:t>(</w:t>
      </w:r>
      <w:r>
        <w:rPr>
          <w:rtl/>
        </w:rPr>
        <w:t>قلت</w:t>
      </w:r>
      <w:r w:rsidR="000636C2">
        <w:rPr>
          <w:rtl/>
        </w:rPr>
        <w:t>):</w:t>
      </w:r>
      <w:r>
        <w:rPr>
          <w:rtl/>
        </w:rPr>
        <w:t xml:space="preserve"> وهذا الرجل يشير بأصولهم إلى ما يوجب التجسيم والانتقال والحركة</w:t>
      </w:r>
      <w:r w:rsidR="000636C2">
        <w:rPr>
          <w:rtl/>
        </w:rPr>
        <w:t>،</w:t>
      </w:r>
      <w:r>
        <w:rPr>
          <w:rtl/>
        </w:rPr>
        <w:t xml:space="preserve"> وهذا مع التشبيه بعيد عن اللغة ومعرفة التواريخ وأدلة العقول</w:t>
      </w:r>
      <w:r w:rsidR="000636C2">
        <w:rPr>
          <w:rtl/>
        </w:rPr>
        <w:t>،</w:t>
      </w:r>
      <w:r>
        <w:rPr>
          <w:rtl/>
        </w:rPr>
        <w:t xml:space="preserve"> وإنما اغتر بحديث روي عن كعب أنه قال</w:t>
      </w:r>
      <w:r w:rsidR="000636C2">
        <w:rPr>
          <w:rtl/>
        </w:rPr>
        <w:t>:</w:t>
      </w:r>
      <w:r>
        <w:rPr>
          <w:rtl/>
        </w:rPr>
        <w:t xml:space="preserve"> " ووج مقدس</w:t>
      </w:r>
      <w:r w:rsidR="000636C2">
        <w:rPr>
          <w:rtl/>
        </w:rPr>
        <w:t>،</w:t>
      </w:r>
      <w:r>
        <w:rPr>
          <w:rtl/>
        </w:rPr>
        <w:t xml:space="preserve"> منه عرج الرب إلى السماء</w:t>
      </w:r>
      <w:r w:rsidR="000636C2">
        <w:rPr>
          <w:rtl/>
        </w:rPr>
        <w:t>،</w:t>
      </w:r>
      <w:r>
        <w:rPr>
          <w:rtl/>
        </w:rPr>
        <w:t xml:space="preserve"> ثم قضي خلق الأرض "</w:t>
      </w:r>
      <w:r w:rsidR="000636C2">
        <w:rPr>
          <w:rtl/>
        </w:rPr>
        <w:t>،</w:t>
      </w:r>
      <w:r>
        <w:rPr>
          <w:rtl/>
        </w:rPr>
        <w:t xml:space="preserve"> وهذا لو صح عن كعب احتمل أن يكون حاكيا عن أهل الكتاب</w:t>
      </w:r>
      <w:r w:rsidR="000636C2">
        <w:rPr>
          <w:rtl/>
        </w:rPr>
        <w:t>،</w:t>
      </w:r>
      <w:r>
        <w:rPr>
          <w:rtl/>
        </w:rPr>
        <w:t xml:space="preserve"> وكان يحكي عنهم كثيرا</w:t>
      </w:r>
      <w:r w:rsidR="000636C2">
        <w:rPr>
          <w:rtl/>
        </w:rPr>
        <w:t>،</w:t>
      </w:r>
      <w:r>
        <w:rPr>
          <w:rtl/>
        </w:rPr>
        <w:t xml:space="preserve"> ولو قدرناه من قوله كان معناه</w:t>
      </w:r>
      <w:r w:rsidR="000636C2">
        <w:rPr>
          <w:rtl/>
        </w:rPr>
        <w:t>:</w:t>
      </w:r>
      <w:r>
        <w:rPr>
          <w:rtl/>
        </w:rPr>
        <w:t xml:space="preserve"> إن ذلك المكان آخر ما استوي من الأرض لما خلقت</w:t>
      </w:r>
      <w:r w:rsidR="000636C2">
        <w:rPr>
          <w:rtl/>
        </w:rPr>
        <w:t>،</w:t>
      </w:r>
      <w:r>
        <w:rPr>
          <w:rtl/>
        </w:rPr>
        <w:t xml:space="preserve"> ثم عرج الرب</w:t>
      </w:r>
      <w:r w:rsidR="000636C2">
        <w:rPr>
          <w:rtl/>
        </w:rPr>
        <w:t>،</w:t>
      </w:r>
      <w:r>
        <w:rPr>
          <w:rtl/>
        </w:rPr>
        <w:t xml:space="preserve"> أي عمد إلى خلق السماء وهو قوله</w:t>
      </w:r>
      <w:r w:rsidR="000636C2">
        <w:rPr>
          <w:rtl/>
        </w:rPr>
        <w:t>:</w:t>
      </w:r>
      <w:r>
        <w:rPr>
          <w:rtl/>
        </w:rPr>
        <w:t>" ثم استوي إلى السماء وهي دخان "</w:t>
      </w:r>
      <w:r w:rsidR="000636C2">
        <w:rPr>
          <w:rtl/>
        </w:rPr>
        <w:t>،</w:t>
      </w:r>
      <w:r>
        <w:rPr>
          <w:rtl/>
        </w:rPr>
        <w:t xml:space="preserve"> ويروي عن أبي هريرة رضي الله عنه</w:t>
      </w:r>
      <w:r w:rsidR="000636C2">
        <w:rPr>
          <w:rtl/>
        </w:rPr>
        <w:t xml:space="preserve"> </w:t>
      </w:r>
      <w:r>
        <w:rPr>
          <w:rtl/>
        </w:rPr>
        <w:t>عن النبي صلى الله عليه وسلم قال</w:t>
      </w:r>
      <w:r w:rsidR="000636C2">
        <w:rPr>
          <w:rtl/>
        </w:rPr>
        <w:t>:</w:t>
      </w:r>
      <w:r>
        <w:rPr>
          <w:rtl/>
        </w:rPr>
        <w:t>" لما أسري بي</w:t>
      </w:r>
      <w:r w:rsidR="000636C2">
        <w:rPr>
          <w:rtl/>
        </w:rPr>
        <w:t>،</w:t>
      </w:r>
      <w:r>
        <w:rPr>
          <w:rtl/>
        </w:rPr>
        <w:t xml:space="preserve"> مر بي جبريل عليه السلام –حتي أتي بي إلى الصخرة</w:t>
      </w:r>
      <w:r w:rsidR="000636C2">
        <w:rPr>
          <w:rtl/>
        </w:rPr>
        <w:t>،</w:t>
      </w:r>
      <w:r>
        <w:rPr>
          <w:rtl/>
        </w:rPr>
        <w:t xml:space="preserve"> فقال</w:t>
      </w:r>
      <w:r w:rsidR="000636C2">
        <w:rPr>
          <w:rtl/>
        </w:rPr>
        <w:t>:</w:t>
      </w:r>
      <w:r>
        <w:rPr>
          <w:rtl/>
        </w:rPr>
        <w:t>" يا محمد من ههنا عرج ربك إلى السماء "</w:t>
      </w:r>
      <w:r w:rsidR="000636C2">
        <w:rPr>
          <w:rtl/>
        </w:rPr>
        <w:t>،</w:t>
      </w:r>
      <w:r>
        <w:rPr>
          <w:rtl/>
        </w:rPr>
        <w:t xml:space="preserve"> </w:t>
      </w:r>
      <w:r w:rsidR="000636C2">
        <w:rPr>
          <w:rtl/>
        </w:rPr>
        <w:t>(</w:t>
      </w:r>
      <w:r>
        <w:rPr>
          <w:rtl/>
        </w:rPr>
        <w:t>قلت</w:t>
      </w:r>
      <w:r w:rsidR="000636C2">
        <w:rPr>
          <w:rtl/>
        </w:rPr>
        <w:t>):</w:t>
      </w:r>
      <w:r>
        <w:rPr>
          <w:rtl/>
        </w:rPr>
        <w:t xml:space="preserve"> وهذا يرويه بكر بن زياد</w:t>
      </w:r>
      <w:r w:rsidR="000636C2">
        <w:rPr>
          <w:rtl/>
        </w:rPr>
        <w:t>،</w:t>
      </w:r>
      <w:r>
        <w:rPr>
          <w:rtl/>
        </w:rPr>
        <w:t xml:space="preserve"> وكان يضع الحديث عن الثقات</w:t>
      </w:r>
      <w:r w:rsidR="000636C2">
        <w:rPr>
          <w:rtl/>
        </w:rPr>
        <w:t>،</w:t>
      </w:r>
      <w:r>
        <w:rPr>
          <w:rtl/>
        </w:rPr>
        <w:t xml:space="preserve"> فإن قيل</w:t>
      </w:r>
      <w:r w:rsidR="000636C2">
        <w:rPr>
          <w:rtl/>
        </w:rPr>
        <w:t>:</w:t>
      </w:r>
      <w:r>
        <w:rPr>
          <w:rtl/>
        </w:rPr>
        <w:t xml:space="preserve"> قال ابن عباس</w:t>
      </w:r>
      <w:r w:rsidR="000636C2">
        <w:rPr>
          <w:rtl/>
        </w:rPr>
        <w:t>:</w:t>
      </w:r>
      <w:r>
        <w:rPr>
          <w:rtl/>
        </w:rPr>
        <w:t xml:space="preserve"> استوي إلى السماء</w:t>
      </w:r>
      <w:r w:rsidR="000636C2">
        <w:rPr>
          <w:rtl/>
        </w:rPr>
        <w:t>:</w:t>
      </w:r>
      <w:r>
        <w:rPr>
          <w:rtl/>
        </w:rPr>
        <w:t xml:space="preserve"> صعد </w:t>
      </w:r>
      <w:r w:rsidR="000636C2">
        <w:rPr>
          <w:rtl/>
        </w:rPr>
        <w:t>(</w:t>
      </w:r>
      <w:r>
        <w:rPr>
          <w:rtl/>
        </w:rPr>
        <w:t>قلنا</w:t>
      </w:r>
      <w:r w:rsidR="000636C2">
        <w:rPr>
          <w:rtl/>
        </w:rPr>
        <w:t>):</w:t>
      </w:r>
      <w:r>
        <w:rPr>
          <w:rtl/>
        </w:rPr>
        <w:t xml:space="preserve"> صعد أمره</w:t>
      </w:r>
      <w:r w:rsidR="000636C2">
        <w:rPr>
          <w:rtl/>
        </w:rPr>
        <w:t>،</w:t>
      </w:r>
      <w:r>
        <w:rPr>
          <w:rtl/>
        </w:rPr>
        <w:t xml:space="preserve"> إذ لا يجوز عليه الانتقال والتغير</w:t>
      </w:r>
      <w:r w:rsidR="000636C2">
        <w:rPr>
          <w:rtl/>
        </w:rPr>
        <w:t>،</w:t>
      </w:r>
      <w:r>
        <w:rPr>
          <w:rtl/>
        </w:rPr>
        <w:t xml:space="preserve"> واعلم أن في أخبار الصفات علي ثلاث مراتب</w:t>
      </w:r>
      <w:r w:rsidR="000636C2">
        <w:rPr>
          <w:rtl/>
        </w:rPr>
        <w:t>:</w:t>
      </w:r>
      <w:r>
        <w:rPr>
          <w:rtl/>
        </w:rPr>
        <w:t xml:space="preserve"> </w:t>
      </w:r>
      <w:r w:rsidR="000636C2">
        <w:rPr>
          <w:rtl/>
        </w:rPr>
        <w:t>(</w:t>
      </w:r>
      <w:r>
        <w:rPr>
          <w:rtl/>
        </w:rPr>
        <w:t>أحدهما</w:t>
      </w:r>
      <w:r w:rsidR="000636C2">
        <w:rPr>
          <w:rtl/>
        </w:rPr>
        <w:t>)::</w:t>
      </w:r>
      <w:r>
        <w:rPr>
          <w:rtl/>
        </w:rPr>
        <w:t xml:space="preserve"> امرارها علي ما جاءت من غير تأويل ولا تفسير</w:t>
      </w:r>
      <w:r w:rsidR="000636C2">
        <w:rPr>
          <w:rtl/>
        </w:rPr>
        <w:t>،</w:t>
      </w:r>
      <w:r>
        <w:rPr>
          <w:rtl/>
        </w:rPr>
        <w:t xml:space="preserve"> إلا أن تقع ضرورة كقوله</w:t>
      </w:r>
      <w:r w:rsidR="000636C2">
        <w:rPr>
          <w:rtl/>
        </w:rPr>
        <w:t>:</w:t>
      </w:r>
      <w:r>
        <w:rPr>
          <w:rtl/>
        </w:rPr>
        <w:t>" جاء ربك " أي جاء أمره وهذا مذهب السلف</w:t>
      </w:r>
      <w:r w:rsidR="000636C2">
        <w:rPr>
          <w:rtl/>
        </w:rPr>
        <w:t>،</w:t>
      </w:r>
      <w:r>
        <w:rPr>
          <w:rtl/>
        </w:rPr>
        <w:t xml:space="preserve"> </w:t>
      </w:r>
      <w:r w:rsidR="000636C2">
        <w:rPr>
          <w:rtl/>
        </w:rPr>
        <w:t>(</w:t>
      </w:r>
      <w:r>
        <w:rPr>
          <w:rtl/>
        </w:rPr>
        <w:t>المرتبة الثانية</w:t>
      </w:r>
      <w:r w:rsidR="000636C2">
        <w:rPr>
          <w:rtl/>
        </w:rPr>
        <w:t>):</w:t>
      </w:r>
      <w:r>
        <w:rPr>
          <w:rtl/>
        </w:rPr>
        <w:t xml:space="preserve"> التأويل وهو مقام خطر علي ما سبق بيانه</w:t>
      </w:r>
      <w:r w:rsidR="000636C2">
        <w:rPr>
          <w:rtl/>
        </w:rPr>
        <w:t>،</w:t>
      </w:r>
      <w:r>
        <w:rPr>
          <w:rtl/>
        </w:rPr>
        <w:t xml:space="preserve"> و </w:t>
      </w:r>
      <w:r w:rsidR="000636C2">
        <w:rPr>
          <w:rtl/>
        </w:rPr>
        <w:t>(</w:t>
      </w:r>
      <w:r>
        <w:rPr>
          <w:rtl/>
        </w:rPr>
        <w:t>المرتبة الثالثة</w:t>
      </w:r>
      <w:r w:rsidR="000636C2">
        <w:rPr>
          <w:rtl/>
        </w:rPr>
        <w:t>):</w:t>
      </w:r>
      <w:r>
        <w:rPr>
          <w:rtl/>
        </w:rPr>
        <w:t xml:space="preserve"> القول فيها بمقتضي الحس</w:t>
      </w:r>
      <w:r w:rsidR="000636C2">
        <w:rPr>
          <w:rtl/>
        </w:rPr>
        <w:t>،</w:t>
      </w:r>
      <w:r>
        <w:rPr>
          <w:rtl/>
        </w:rPr>
        <w:t xml:space="preserve"> وقد عم جهله الناقلين، إذ ليس لهم حظ من علوم المعقولات . التي بها يعرف ما يجوز علي الله وما يستحيل فإن علم المعقولات يصرف ظواهر المنقولات عن التشبيه فإذا عدموها تصرفوا في النقل بمقتضي الحس . وإليه أشار القاضي بقوله</w:t>
      </w:r>
      <w:r w:rsidR="000636C2">
        <w:rPr>
          <w:rtl/>
        </w:rPr>
        <w:t>:</w:t>
      </w:r>
      <w:r>
        <w:rPr>
          <w:rtl/>
        </w:rPr>
        <w:t xml:space="preserve"> " لا يمتنع أن تحمل الوطأة التي وطئها الحق علي أصولنا وأنه معني يتعلق بالذات ". وأصولهم علي زعمه ترجع إلى الحس</w:t>
      </w:r>
      <w:r w:rsidR="000636C2">
        <w:rPr>
          <w:rtl/>
        </w:rPr>
        <w:t>،</w:t>
      </w:r>
      <w:r>
        <w:rPr>
          <w:rtl/>
        </w:rPr>
        <w:t xml:space="preserve"> ولو فهموا أن الله تعالى لا يوصف بحركة ولا انتقال ولا تغير</w:t>
      </w:r>
      <w:r w:rsidR="000636C2">
        <w:rPr>
          <w:rtl/>
        </w:rPr>
        <w:t>،</w:t>
      </w:r>
      <w:r>
        <w:rPr>
          <w:rtl/>
        </w:rPr>
        <w:t xml:space="preserve"> ما بنوا علي الحسيات</w:t>
      </w:r>
      <w:r w:rsidR="000636C2">
        <w:rPr>
          <w:rtl/>
        </w:rPr>
        <w:t>،</w:t>
      </w:r>
      <w:r>
        <w:rPr>
          <w:rtl/>
        </w:rPr>
        <w:t xml:space="preserve"> والعجب أن يقر بهذا القول ثم يقول</w:t>
      </w:r>
      <w:r w:rsidR="000636C2">
        <w:rPr>
          <w:rtl/>
        </w:rPr>
        <w:t>:</w:t>
      </w:r>
      <w:r>
        <w:rPr>
          <w:rtl/>
        </w:rPr>
        <w:t xml:space="preserve"> " من غير نقلة ولا حركة " فينقض ما يبني</w:t>
      </w:r>
      <w:r w:rsidR="000636C2">
        <w:rPr>
          <w:rtl/>
        </w:rPr>
        <w:t>،</w:t>
      </w:r>
      <w:r>
        <w:rPr>
          <w:rtl/>
        </w:rPr>
        <w:t xml:space="preserve"> ومن أعجب ما رأيت لهم </w:t>
      </w:r>
      <w:r w:rsidR="000636C2">
        <w:rPr>
          <w:rtl/>
        </w:rPr>
        <w:t>(</w:t>
      </w:r>
      <w:r>
        <w:rPr>
          <w:rtl/>
        </w:rPr>
        <w:t>ما أنبأنا عبد العزيز بن كادس</w:t>
      </w:r>
      <w:r w:rsidR="000636C2">
        <w:rPr>
          <w:rtl/>
        </w:rPr>
        <w:t>،</w:t>
      </w:r>
      <w:r>
        <w:rPr>
          <w:rtl/>
        </w:rPr>
        <w:t xml:space="preserve"> قال أنبأنا أبو طالب العشاري قال</w:t>
      </w:r>
      <w:r w:rsidR="000636C2">
        <w:rPr>
          <w:rtl/>
        </w:rPr>
        <w:t>:</w:t>
      </w:r>
      <w:r>
        <w:rPr>
          <w:rtl/>
        </w:rPr>
        <w:t xml:space="preserve"> أنبأنا البنا</w:t>
      </w:r>
      <w:r w:rsidR="000636C2">
        <w:rPr>
          <w:rtl/>
        </w:rPr>
        <w:t>،</w:t>
      </w:r>
      <w:r>
        <w:rPr>
          <w:rtl/>
        </w:rPr>
        <w:t xml:space="preserve"> قال</w:t>
      </w:r>
      <w:r w:rsidR="000636C2">
        <w:rPr>
          <w:rtl/>
        </w:rPr>
        <w:t>:</w:t>
      </w:r>
      <w:r>
        <w:rPr>
          <w:rtl/>
        </w:rPr>
        <w:t xml:space="preserve"> أنبانا أبو الفتح ابن أبي الفوارس ٌقال</w:t>
      </w:r>
      <w:r w:rsidR="000636C2">
        <w:rPr>
          <w:rtl/>
        </w:rPr>
        <w:t>:</w:t>
      </w:r>
      <w:r>
        <w:rPr>
          <w:rtl/>
        </w:rPr>
        <w:t xml:space="preserve"> أنبأنا أبو علي الصواف قال</w:t>
      </w:r>
      <w:r w:rsidR="000636C2">
        <w:rPr>
          <w:rtl/>
        </w:rPr>
        <w:t>:</w:t>
      </w:r>
      <w:r>
        <w:rPr>
          <w:rtl/>
        </w:rPr>
        <w:t xml:space="preserve"> أنبأنا أبو جعفر محمد</w:t>
      </w:r>
      <w:r w:rsidR="000636C2">
        <w:rPr>
          <w:rtl/>
        </w:rPr>
        <w:t xml:space="preserve"> </w:t>
      </w:r>
      <w:r>
        <w:rPr>
          <w:rtl/>
        </w:rPr>
        <w:t>بن عثمان ابن أبي شيبة أنه قال في كتاب العرش</w:t>
      </w:r>
      <w:r w:rsidR="000636C2">
        <w:rPr>
          <w:rtl/>
        </w:rPr>
        <w:t>:</w:t>
      </w:r>
      <w:r>
        <w:rPr>
          <w:rtl/>
        </w:rPr>
        <w:t xml:space="preserve"> إن الله تعالى قد أخبرنا أنه صار من الأرض إلى السماء</w:t>
      </w:r>
      <w:r w:rsidR="000636C2">
        <w:rPr>
          <w:rtl/>
        </w:rPr>
        <w:t>،</w:t>
      </w:r>
      <w:r>
        <w:rPr>
          <w:rtl/>
        </w:rPr>
        <w:t xml:space="preserve"> ومن السماء إلى العرش ثم استوي علي العرش</w:t>
      </w:r>
      <w:r w:rsidR="000636C2">
        <w:rPr>
          <w:rtl/>
        </w:rPr>
        <w:t>،</w:t>
      </w:r>
      <w:r>
        <w:rPr>
          <w:rtl/>
        </w:rPr>
        <w:t xml:space="preserve"> </w:t>
      </w:r>
      <w:r w:rsidR="000636C2">
        <w:rPr>
          <w:rtl/>
        </w:rPr>
        <w:t>(</w:t>
      </w:r>
      <w:r>
        <w:rPr>
          <w:rtl/>
        </w:rPr>
        <w:t>قلت</w:t>
      </w:r>
      <w:r w:rsidR="000636C2">
        <w:rPr>
          <w:rtl/>
        </w:rPr>
        <w:t>):</w:t>
      </w:r>
      <w:r>
        <w:rPr>
          <w:rtl/>
        </w:rPr>
        <w:t xml:space="preserve"> ونحن نحمد الله إذ لم يبخس حظنا من المنقولات</w:t>
      </w:r>
      <w:r w:rsidR="000636C2">
        <w:rPr>
          <w:rtl/>
        </w:rPr>
        <w:t>،</w:t>
      </w:r>
      <w:r>
        <w:rPr>
          <w:rtl/>
        </w:rPr>
        <w:t xml:space="preserve"> ولا من المعقولات ونبرأ من أقوام شانوا مذهبنا</w:t>
      </w:r>
      <w:r w:rsidR="000636C2">
        <w:rPr>
          <w:rtl/>
        </w:rPr>
        <w:t>،</w:t>
      </w:r>
      <w:r>
        <w:rPr>
          <w:rtl/>
        </w:rPr>
        <w:t xml:space="preserve"> فعاب الناس كلامهم</w:t>
      </w:r>
      <w:r w:rsidR="000636C2">
        <w:rPr>
          <w:rtl/>
        </w:rPr>
        <w:t>،</w:t>
      </w:r>
    </w:p>
    <w:p w14:paraId="7F6EDB0B" w14:textId="27DAAE3E" w:rsidR="009C32A0" w:rsidRDefault="009C32A0" w:rsidP="000636C2">
      <w:pPr>
        <w:spacing w:after="240"/>
        <w:rPr>
          <w:rtl/>
        </w:rPr>
      </w:pPr>
      <w:r>
        <w:rPr>
          <w:bCs/>
          <w:rtl/>
        </w:rPr>
        <w:t>الحديث الثاني والثلاثون</w:t>
      </w:r>
      <w:r w:rsidR="000636C2">
        <w:rPr>
          <w:rtl/>
        </w:rPr>
        <w:t>:</w:t>
      </w:r>
      <w:r>
        <w:rPr>
          <w:rtl/>
        </w:rPr>
        <w:t xml:space="preserve"> روي أبو إمامة رضي الله عنه</w:t>
      </w:r>
      <w:r w:rsidR="000636C2">
        <w:rPr>
          <w:rtl/>
        </w:rPr>
        <w:t xml:space="preserve"> </w:t>
      </w:r>
      <w:r>
        <w:rPr>
          <w:rtl/>
        </w:rPr>
        <w:t>عن النبي صلى الله عليه وسلم أنه قال</w:t>
      </w:r>
      <w:r w:rsidR="000636C2">
        <w:rPr>
          <w:rtl/>
        </w:rPr>
        <w:t>:</w:t>
      </w:r>
      <w:r>
        <w:rPr>
          <w:rtl/>
        </w:rPr>
        <w:t xml:space="preserve"> " ما تقرب العباد إلى الله تعالي، بمثل ما خرج منه وهو القرآن "</w:t>
      </w:r>
      <w:r w:rsidR="000636C2">
        <w:rPr>
          <w:rtl/>
        </w:rPr>
        <w:t>،</w:t>
      </w:r>
      <w:r>
        <w:rPr>
          <w:rtl/>
        </w:rPr>
        <w:t xml:space="preserve"> وفي حديث عثمان رضي الله عنه</w:t>
      </w:r>
      <w:r w:rsidR="000636C2">
        <w:rPr>
          <w:rtl/>
        </w:rPr>
        <w:t xml:space="preserve"> </w:t>
      </w:r>
      <w:r>
        <w:rPr>
          <w:rtl/>
        </w:rPr>
        <w:t>أن النبي صلى الله عليه وسلم قال " فضيلة القرآن علي سائر الكلام كفضل الله علي خلقه إن القرآن منه خرج وإليه يعود "</w:t>
      </w:r>
      <w:r w:rsidR="000636C2">
        <w:rPr>
          <w:rtl/>
        </w:rPr>
        <w:t>،</w:t>
      </w:r>
      <w:r>
        <w:rPr>
          <w:rtl/>
        </w:rPr>
        <w:t xml:space="preserve"> </w:t>
      </w:r>
      <w:r w:rsidR="000636C2">
        <w:rPr>
          <w:rtl/>
        </w:rPr>
        <w:t>(</w:t>
      </w:r>
      <w:r>
        <w:rPr>
          <w:rtl/>
        </w:rPr>
        <w:t>قلت</w:t>
      </w:r>
      <w:r w:rsidR="000636C2">
        <w:rPr>
          <w:rtl/>
        </w:rPr>
        <w:t>):</w:t>
      </w:r>
      <w:r>
        <w:rPr>
          <w:rtl/>
        </w:rPr>
        <w:t xml:space="preserve"> والمعني أنه وصل إلينا من عنده وإليه يعود فيرفع .</w:t>
      </w:r>
    </w:p>
    <w:p w14:paraId="5AD623BD" w14:textId="452E9270" w:rsidR="009C32A0" w:rsidRDefault="009C32A0" w:rsidP="000636C2">
      <w:pPr>
        <w:spacing w:after="240"/>
        <w:rPr>
          <w:rtl/>
        </w:rPr>
      </w:pPr>
      <w:r>
        <w:rPr>
          <w:bCs/>
          <w:rtl/>
        </w:rPr>
        <w:t>الحديث الثالث والثلاثون</w:t>
      </w:r>
      <w:r w:rsidR="000636C2">
        <w:rPr>
          <w:rtl/>
        </w:rPr>
        <w:t>:</w:t>
      </w:r>
      <w:r>
        <w:rPr>
          <w:rtl/>
        </w:rPr>
        <w:t xml:space="preserve"> روي أبو هريرة رضي الله عنه</w:t>
      </w:r>
      <w:r w:rsidR="000636C2">
        <w:rPr>
          <w:rtl/>
        </w:rPr>
        <w:t xml:space="preserve"> </w:t>
      </w:r>
      <w:r>
        <w:rPr>
          <w:rtl/>
        </w:rPr>
        <w:t>عن النبي صلى الله عليه وسلم</w:t>
      </w:r>
      <w:r w:rsidR="000636C2">
        <w:rPr>
          <w:rtl/>
        </w:rPr>
        <w:t>:</w:t>
      </w:r>
      <w:r>
        <w:rPr>
          <w:rtl/>
        </w:rPr>
        <w:t xml:space="preserve"> " إن الله قرأ طه ويس قبل أن يخلق آدم بألف سنة</w:t>
      </w:r>
      <w:r w:rsidR="000636C2">
        <w:rPr>
          <w:rtl/>
        </w:rPr>
        <w:t>،</w:t>
      </w:r>
      <w:r>
        <w:rPr>
          <w:rtl/>
        </w:rPr>
        <w:t xml:space="preserve"> فلما سمعت الملائكة القرآن قالوا</w:t>
      </w:r>
      <w:r w:rsidR="000636C2">
        <w:rPr>
          <w:rtl/>
        </w:rPr>
        <w:t>:</w:t>
      </w:r>
      <w:r>
        <w:rPr>
          <w:rtl/>
        </w:rPr>
        <w:t xml:space="preserve"> طوبي لأمة ينزل عليهم</w:t>
      </w:r>
      <w:r w:rsidR="000636C2">
        <w:rPr>
          <w:rtl/>
        </w:rPr>
        <w:t>،</w:t>
      </w:r>
      <w:r>
        <w:rPr>
          <w:rtl/>
        </w:rPr>
        <w:t xml:space="preserve"> وطوبي لأجواف تحمل هذا</w:t>
      </w:r>
      <w:r w:rsidR="000636C2">
        <w:rPr>
          <w:rtl/>
        </w:rPr>
        <w:t>،</w:t>
      </w:r>
      <w:r>
        <w:rPr>
          <w:rtl/>
        </w:rPr>
        <w:t xml:space="preserve"> وطوبي لألسن تتكلم بهذا</w:t>
      </w:r>
      <w:r w:rsidR="000636C2">
        <w:rPr>
          <w:rtl/>
        </w:rPr>
        <w:t>،</w:t>
      </w:r>
      <w:r>
        <w:rPr>
          <w:rtl/>
        </w:rPr>
        <w:t xml:space="preserve"> وهذا حديث موضوع يرويه إبراهيم بن مهاجر عن عمر بن حفص</w:t>
      </w:r>
      <w:r w:rsidR="000636C2">
        <w:rPr>
          <w:rtl/>
        </w:rPr>
        <w:t>،</w:t>
      </w:r>
      <w:r>
        <w:rPr>
          <w:rtl/>
        </w:rPr>
        <w:t xml:space="preserve"> وأما عمر بن حفص فقال أحمد بن حنبل</w:t>
      </w:r>
      <w:r w:rsidR="000636C2">
        <w:rPr>
          <w:rtl/>
        </w:rPr>
        <w:t>:</w:t>
      </w:r>
      <w:r>
        <w:rPr>
          <w:rtl/>
        </w:rPr>
        <w:t xml:space="preserve"> صرفنا حديثه</w:t>
      </w:r>
      <w:r w:rsidR="000636C2">
        <w:rPr>
          <w:rtl/>
        </w:rPr>
        <w:t>،</w:t>
      </w:r>
      <w:r>
        <w:rPr>
          <w:rtl/>
        </w:rPr>
        <w:t xml:space="preserve"> وقال يحي بن معين</w:t>
      </w:r>
      <w:r w:rsidR="000636C2">
        <w:rPr>
          <w:rtl/>
        </w:rPr>
        <w:t>:</w:t>
      </w:r>
      <w:r>
        <w:rPr>
          <w:rtl/>
        </w:rPr>
        <w:t xml:space="preserve"> ليس بشيء</w:t>
      </w:r>
      <w:r w:rsidR="000636C2">
        <w:rPr>
          <w:rtl/>
        </w:rPr>
        <w:t>،</w:t>
      </w:r>
      <w:r>
        <w:rPr>
          <w:rtl/>
        </w:rPr>
        <w:t xml:space="preserve"> وقال أبو حاتم بن حبان الحافظ: وهذا متن موضوع</w:t>
      </w:r>
      <w:r w:rsidR="000636C2">
        <w:rPr>
          <w:rtl/>
        </w:rPr>
        <w:t>،</w:t>
      </w:r>
    </w:p>
    <w:p w14:paraId="6425F57B" w14:textId="41FF547C" w:rsidR="009C32A0" w:rsidRDefault="009C32A0" w:rsidP="000636C2">
      <w:pPr>
        <w:spacing w:after="240"/>
        <w:rPr>
          <w:rtl/>
        </w:rPr>
      </w:pPr>
      <w:r>
        <w:rPr>
          <w:bCs/>
          <w:rtl/>
        </w:rPr>
        <w:t>الحديث الرابع والثلاثون</w:t>
      </w:r>
      <w:r w:rsidR="000636C2">
        <w:rPr>
          <w:rtl/>
        </w:rPr>
        <w:t>:</w:t>
      </w:r>
      <w:r>
        <w:rPr>
          <w:rtl/>
        </w:rPr>
        <w:t xml:space="preserve"> روي البخاري ومسلم في الصحيحين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إن الله عز وجل خلق الخلق حتي إذا فرغ منهم قامت الحم فقالت</w:t>
      </w:r>
      <w:r w:rsidR="000636C2">
        <w:rPr>
          <w:rtl/>
        </w:rPr>
        <w:t>:</w:t>
      </w:r>
      <w:r>
        <w:rPr>
          <w:rtl/>
        </w:rPr>
        <w:t xml:space="preserve"> هذا مقام العائذ بك من القطيعة</w:t>
      </w:r>
      <w:r w:rsidR="000636C2">
        <w:rPr>
          <w:rtl/>
        </w:rPr>
        <w:t>،</w:t>
      </w:r>
      <w:r>
        <w:rPr>
          <w:rtl/>
        </w:rPr>
        <w:t xml:space="preserve"> قال</w:t>
      </w:r>
      <w:r w:rsidR="000636C2">
        <w:rPr>
          <w:rtl/>
        </w:rPr>
        <w:t>:</w:t>
      </w:r>
      <w:r>
        <w:rPr>
          <w:rtl/>
        </w:rPr>
        <w:t xml:space="preserve"> نعم</w:t>
      </w:r>
      <w:r w:rsidR="000636C2">
        <w:rPr>
          <w:rtl/>
        </w:rPr>
        <w:t>:</w:t>
      </w:r>
      <w:r>
        <w:rPr>
          <w:rtl/>
        </w:rPr>
        <w:t xml:space="preserve"> أما ترضين أن أصل من وصلك واقطع من قطعك</w:t>
      </w:r>
      <w:r w:rsidR="000636C2">
        <w:rPr>
          <w:rtl/>
        </w:rPr>
        <w:t>)</w:t>
      </w:r>
      <w:r>
        <w:rPr>
          <w:rtl/>
        </w:rPr>
        <w:t>)</w:t>
      </w:r>
      <w:r w:rsidR="000636C2">
        <w:rPr>
          <w:rtl/>
        </w:rPr>
        <w:t>،</w:t>
      </w:r>
      <w:r>
        <w:rPr>
          <w:rtl/>
        </w:rPr>
        <w:t xml:space="preserve"> وفي لفظ أخرجه البخاري أن النبي صلى الله عليه وسلم قال</w:t>
      </w:r>
      <w:r w:rsidR="000636C2">
        <w:rPr>
          <w:rtl/>
        </w:rPr>
        <w:t>:</w:t>
      </w:r>
      <w:r>
        <w:rPr>
          <w:rtl/>
        </w:rPr>
        <w:t xml:space="preserve"> (</w:t>
      </w:r>
      <w:r w:rsidR="000636C2">
        <w:rPr>
          <w:rtl/>
        </w:rPr>
        <w:t>(</w:t>
      </w:r>
      <w:r>
        <w:rPr>
          <w:rtl/>
        </w:rPr>
        <w:t>إن الرحم شجنة من الرحمن</w:t>
      </w:r>
      <w:r w:rsidR="000636C2">
        <w:rPr>
          <w:rtl/>
        </w:rPr>
        <w:t>)</w:t>
      </w:r>
      <w:r>
        <w:rPr>
          <w:rtl/>
        </w:rPr>
        <w:t>)</w:t>
      </w:r>
      <w:r w:rsidR="000636C2">
        <w:rPr>
          <w:rtl/>
        </w:rPr>
        <w:t>،</w:t>
      </w:r>
      <w:r>
        <w:rPr>
          <w:rtl/>
        </w:rPr>
        <w:t xml:space="preserve"> قال أبو عبيدة</w:t>
      </w:r>
      <w:r w:rsidR="000636C2">
        <w:rPr>
          <w:rtl/>
        </w:rPr>
        <w:t>:</w:t>
      </w:r>
      <w:r>
        <w:rPr>
          <w:rtl/>
        </w:rPr>
        <w:t xml:space="preserve"> الشجنة كالغصن من الشجرة</w:t>
      </w:r>
      <w:r w:rsidR="000636C2">
        <w:rPr>
          <w:rtl/>
        </w:rPr>
        <w:t>،</w:t>
      </w:r>
      <w:r>
        <w:rPr>
          <w:rtl/>
        </w:rPr>
        <w:t xml:space="preserve"> ومعني شجنة أي قرابة مشتبكة كاشتباك العروق</w:t>
      </w:r>
      <w:r w:rsidR="000636C2">
        <w:rPr>
          <w:rtl/>
        </w:rPr>
        <w:t>،</w:t>
      </w:r>
      <w:r>
        <w:rPr>
          <w:rtl/>
        </w:rPr>
        <w:t xml:space="preserve"> والشجر شجن إذا التف بعضها ببعض</w:t>
      </w:r>
      <w:r w:rsidR="000636C2">
        <w:rPr>
          <w:rtl/>
        </w:rPr>
        <w:t>،</w:t>
      </w:r>
      <w:r>
        <w:rPr>
          <w:rtl/>
        </w:rPr>
        <w:t xml:space="preserve"> </w:t>
      </w:r>
      <w:r w:rsidR="000636C2">
        <w:rPr>
          <w:rtl/>
        </w:rPr>
        <w:t>(</w:t>
      </w:r>
      <w:r>
        <w:rPr>
          <w:rtl/>
        </w:rPr>
        <w:t>قلت</w:t>
      </w:r>
      <w:r w:rsidR="000636C2">
        <w:rPr>
          <w:rtl/>
        </w:rPr>
        <w:t>):</w:t>
      </w:r>
      <w:r>
        <w:rPr>
          <w:rtl/>
        </w:rPr>
        <w:t xml:space="preserve"> ولا يخلو هذا الحديث من أحد أمرين</w:t>
      </w:r>
      <w:r w:rsidR="000636C2">
        <w:rPr>
          <w:rtl/>
        </w:rPr>
        <w:t>:</w:t>
      </w:r>
      <w:r>
        <w:rPr>
          <w:rtl/>
        </w:rPr>
        <w:t xml:space="preserve"> إما أن يراد أن الله تعالى يراعي الرحم فيصل من يصلها ويقطع من قطعها ويأخذ لها حقا كما يراعي القريب قرابته</w:t>
      </w:r>
      <w:r w:rsidR="000636C2">
        <w:rPr>
          <w:rtl/>
        </w:rPr>
        <w:t>،</w:t>
      </w:r>
      <w:r>
        <w:rPr>
          <w:rtl/>
        </w:rPr>
        <w:t xml:space="preserve"> فإنه يزيد في المراعاة علي الأجانب . أو أن يراد أن الرحم بعض حروف الرحمن</w:t>
      </w:r>
      <w:r w:rsidR="000636C2">
        <w:rPr>
          <w:rtl/>
        </w:rPr>
        <w:t>،</w:t>
      </w:r>
      <w:r>
        <w:rPr>
          <w:rtl/>
        </w:rPr>
        <w:t xml:space="preserve"> فكأنه عظم قدرها بهذا الاسم</w:t>
      </w:r>
      <w:r w:rsidR="000636C2">
        <w:rPr>
          <w:rtl/>
        </w:rPr>
        <w:t>،</w:t>
      </w:r>
      <w:r>
        <w:rPr>
          <w:rtl/>
        </w:rPr>
        <w:t xml:space="preserve"> ويؤيد هذا حديث عبد الرحمن بن عوف رضي الله عنه</w:t>
      </w:r>
      <w:r w:rsidR="000636C2">
        <w:rPr>
          <w:rtl/>
        </w:rPr>
        <w:t xml:space="preserve"> </w:t>
      </w:r>
      <w:r>
        <w:rPr>
          <w:rtl/>
        </w:rPr>
        <w:t>عن النبي صلى الله عليه وسلم قال</w:t>
      </w:r>
      <w:r w:rsidR="000636C2">
        <w:rPr>
          <w:rtl/>
        </w:rPr>
        <w:t>:</w:t>
      </w:r>
      <w:r>
        <w:rPr>
          <w:rtl/>
        </w:rPr>
        <w:t xml:space="preserve"> قال الله تعالى</w:t>
      </w:r>
      <w:r w:rsidR="000636C2">
        <w:rPr>
          <w:rtl/>
        </w:rPr>
        <w:t>:</w:t>
      </w:r>
      <w:r>
        <w:rPr>
          <w:rtl/>
        </w:rPr>
        <w:t>" أنا الله وأنا الرحمن خلقت الرحم وشققت لها اسما من اسمي فمن وصلها وصلته ومن قطعها قطعته ". أو قال بتته</w:t>
      </w:r>
      <w:r w:rsidR="000636C2">
        <w:rPr>
          <w:rtl/>
        </w:rPr>
        <w:t>،</w:t>
      </w:r>
      <w:r>
        <w:rPr>
          <w:rtl/>
        </w:rPr>
        <w:t xml:space="preserve"> وقد روي هذا الحديث بلفظ لم يخرج في الصحاح</w:t>
      </w:r>
      <w:r w:rsidR="000636C2">
        <w:rPr>
          <w:rtl/>
        </w:rPr>
        <w:t>:</w:t>
      </w:r>
      <w:r>
        <w:rPr>
          <w:rtl/>
        </w:rPr>
        <w:t xml:space="preserve"> " الرحم شجنة من الرحمن تعلقت بحقوي الرحمن تقول</w:t>
      </w:r>
      <w:r w:rsidR="000636C2">
        <w:rPr>
          <w:rtl/>
        </w:rPr>
        <w:t>:</w:t>
      </w:r>
      <w:r>
        <w:rPr>
          <w:rtl/>
        </w:rPr>
        <w:t xml:space="preserve"> " اللهم صل من وصلني واقطع من قطعني "</w:t>
      </w:r>
      <w:r w:rsidR="000636C2">
        <w:rPr>
          <w:rtl/>
        </w:rPr>
        <w:t>،</w:t>
      </w:r>
      <w:r>
        <w:rPr>
          <w:rtl/>
        </w:rPr>
        <w:t xml:space="preserve"> وفي لفظ</w:t>
      </w:r>
      <w:r w:rsidR="000636C2">
        <w:rPr>
          <w:rtl/>
        </w:rPr>
        <w:t>:</w:t>
      </w:r>
      <w:r>
        <w:rPr>
          <w:rtl/>
        </w:rPr>
        <w:t>" الرحم شجنة آخذه بحقو الرحمن ". وفي لفظ " لما خلق الله الخلق قامت الرحم فأخذت بحقو الرحمن فقالت</w:t>
      </w:r>
      <w:r w:rsidR="000636C2">
        <w:rPr>
          <w:rtl/>
        </w:rPr>
        <w:t>:</w:t>
      </w:r>
      <w:r>
        <w:rPr>
          <w:rtl/>
        </w:rPr>
        <w:t xml:space="preserve"> هذا مقام العائذ بك من القطيعة</w:t>
      </w:r>
      <w:r w:rsidR="000636C2">
        <w:rPr>
          <w:rtl/>
        </w:rPr>
        <w:t>،</w:t>
      </w:r>
      <w:r>
        <w:rPr>
          <w:rtl/>
        </w:rPr>
        <w:t xml:space="preserve"> </w:t>
      </w:r>
      <w:r w:rsidR="000636C2">
        <w:rPr>
          <w:rtl/>
        </w:rPr>
        <w:t>(</w:t>
      </w:r>
      <w:r>
        <w:rPr>
          <w:rtl/>
        </w:rPr>
        <w:t>قلت</w:t>
      </w:r>
      <w:r w:rsidR="000636C2">
        <w:rPr>
          <w:rtl/>
        </w:rPr>
        <w:t>):</w:t>
      </w:r>
      <w:r>
        <w:rPr>
          <w:rtl/>
        </w:rPr>
        <w:t xml:space="preserve"> وهذه أمثال ترجع كلها إلى ما بينا</w:t>
      </w:r>
      <w:r w:rsidR="000636C2">
        <w:rPr>
          <w:rtl/>
        </w:rPr>
        <w:t>،</w:t>
      </w:r>
      <w:r>
        <w:rPr>
          <w:rtl/>
        </w:rPr>
        <w:t xml:space="preserve"> ومعني تعلقها بحقو الرحمن</w:t>
      </w:r>
      <w:r w:rsidR="000636C2">
        <w:rPr>
          <w:rtl/>
        </w:rPr>
        <w:t>:</w:t>
      </w:r>
      <w:r>
        <w:rPr>
          <w:rtl/>
        </w:rPr>
        <w:t xml:space="preserve"> الاستجارة والاعتصام</w:t>
      </w:r>
      <w:r w:rsidR="000636C2">
        <w:rPr>
          <w:rtl/>
        </w:rPr>
        <w:t>،</w:t>
      </w:r>
      <w:r>
        <w:rPr>
          <w:rtl/>
        </w:rPr>
        <w:t xml:space="preserve"> وفي الصحيحين من حديث عائشة عن النبي صلى الله عليه وسلم أنه قال</w:t>
      </w:r>
      <w:r w:rsidR="000636C2">
        <w:rPr>
          <w:rtl/>
        </w:rPr>
        <w:t>:</w:t>
      </w:r>
      <w:r>
        <w:rPr>
          <w:rtl/>
        </w:rPr>
        <w:t xml:space="preserve"> (</w:t>
      </w:r>
      <w:r w:rsidR="000636C2">
        <w:rPr>
          <w:rtl/>
        </w:rPr>
        <w:t>(</w:t>
      </w:r>
      <w:r>
        <w:rPr>
          <w:rtl/>
        </w:rPr>
        <w:t>الرحم معلقة بالعرش تقول</w:t>
      </w:r>
      <w:r w:rsidR="000636C2">
        <w:rPr>
          <w:rtl/>
        </w:rPr>
        <w:t>:</w:t>
      </w:r>
      <w:r>
        <w:rPr>
          <w:rtl/>
        </w:rPr>
        <w:t xml:space="preserve"> من وصلني وصله الله ومن قطعني قطعة الله</w:t>
      </w:r>
      <w:r w:rsidR="000636C2">
        <w:rPr>
          <w:rtl/>
        </w:rPr>
        <w:t>)</w:t>
      </w:r>
      <w:r>
        <w:rPr>
          <w:rtl/>
        </w:rPr>
        <w:t>)</w:t>
      </w:r>
      <w:r w:rsidR="000636C2">
        <w:rPr>
          <w:rtl/>
        </w:rPr>
        <w:t>،</w:t>
      </w:r>
      <w:r>
        <w:rPr>
          <w:rtl/>
        </w:rPr>
        <w:t xml:space="preserve"> قال أبو بكر البيهقي</w:t>
      </w:r>
      <w:r w:rsidR="000636C2">
        <w:rPr>
          <w:rtl/>
        </w:rPr>
        <w:t>:</w:t>
      </w:r>
      <w:r>
        <w:rPr>
          <w:rtl/>
        </w:rPr>
        <w:t xml:space="preserve"> الحقو الإزار</w:t>
      </w:r>
      <w:r w:rsidR="000636C2">
        <w:rPr>
          <w:rtl/>
        </w:rPr>
        <w:t>،</w:t>
      </w:r>
      <w:r>
        <w:rPr>
          <w:rtl/>
        </w:rPr>
        <w:t xml:space="preserve"> والمعني</w:t>
      </w:r>
      <w:r w:rsidR="000636C2">
        <w:rPr>
          <w:rtl/>
        </w:rPr>
        <w:t>:</w:t>
      </w:r>
      <w:r>
        <w:rPr>
          <w:rtl/>
        </w:rPr>
        <w:t xml:space="preserve"> يتعلق بعزه</w:t>
      </w:r>
      <w:r w:rsidR="000636C2">
        <w:rPr>
          <w:rtl/>
        </w:rPr>
        <w:t>،</w:t>
      </w:r>
      <w:r>
        <w:rPr>
          <w:rtl/>
        </w:rPr>
        <w:t xml:space="preserve"> قال أبو حامد</w:t>
      </w:r>
      <w:r w:rsidR="000636C2">
        <w:rPr>
          <w:rtl/>
        </w:rPr>
        <w:t>:</w:t>
      </w:r>
      <w:r>
        <w:rPr>
          <w:rtl/>
        </w:rPr>
        <w:t xml:space="preserve"> يجب التصديق بأن الله تعالى حقوا</w:t>
      </w:r>
      <w:r w:rsidR="000636C2">
        <w:rPr>
          <w:rtl/>
        </w:rPr>
        <w:t>،</w:t>
      </w:r>
      <w:r>
        <w:rPr>
          <w:rtl/>
        </w:rPr>
        <w:t xml:space="preserve"> فتأخذ الحم بحقوه</w:t>
      </w:r>
      <w:r w:rsidR="000636C2">
        <w:rPr>
          <w:rtl/>
        </w:rPr>
        <w:t>،</w:t>
      </w:r>
      <w:r>
        <w:rPr>
          <w:rtl/>
        </w:rPr>
        <w:t xml:space="preserve"> قال</w:t>
      </w:r>
      <w:r w:rsidR="000636C2">
        <w:rPr>
          <w:rtl/>
        </w:rPr>
        <w:t>:</w:t>
      </w:r>
      <w:r>
        <w:rPr>
          <w:rtl/>
        </w:rPr>
        <w:t xml:space="preserve"> وكذلك نؤمن بأن الله جنبا لقوله تعالى</w:t>
      </w:r>
      <w:r w:rsidR="000636C2">
        <w:rPr>
          <w:rtl/>
        </w:rPr>
        <w:t>:</w:t>
      </w:r>
      <w:r>
        <w:rPr>
          <w:rtl/>
        </w:rPr>
        <w:t xml:space="preserve"> " علي ما فطرت في جنب الله "</w:t>
      </w:r>
      <w:r w:rsidR="000636C2">
        <w:rPr>
          <w:rtl/>
        </w:rPr>
        <w:t>،</w:t>
      </w:r>
      <w:r>
        <w:rPr>
          <w:rtl/>
        </w:rPr>
        <w:t xml:space="preserve"> </w:t>
      </w:r>
      <w:r w:rsidR="000636C2">
        <w:rPr>
          <w:rtl/>
        </w:rPr>
        <w:t>(</w:t>
      </w:r>
      <w:r>
        <w:rPr>
          <w:rtl/>
        </w:rPr>
        <w:t>قلت</w:t>
      </w:r>
      <w:r w:rsidR="000636C2">
        <w:rPr>
          <w:rtl/>
        </w:rPr>
        <w:t>):</w:t>
      </w:r>
      <w:r>
        <w:rPr>
          <w:rtl/>
        </w:rPr>
        <w:t xml:space="preserve"> وهذا لا فهم له أصلا</w:t>
      </w:r>
      <w:r w:rsidR="000636C2">
        <w:rPr>
          <w:rtl/>
        </w:rPr>
        <w:t>،</w:t>
      </w:r>
      <w:r>
        <w:rPr>
          <w:rtl/>
        </w:rPr>
        <w:t xml:space="preserve"> كيف يقطع التفريط في جنب الذات ..؟ قال</w:t>
      </w:r>
      <w:r w:rsidR="000636C2">
        <w:rPr>
          <w:rtl/>
        </w:rPr>
        <w:t>:</w:t>
      </w:r>
      <w:r>
        <w:rPr>
          <w:rtl/>
        </w:rPr>
        <w:t xml:space="preserve"> والمراد بالتعلق القرب والمماسة بالحقو كما روي أن الله تعالى يدني إليه داود حتي يمس بعضه</w:t>
      </w:r>
      <w:r w:rsidR="000636C2">
        <w:rPr>
          <w:rtl/>
        </w:rPr>
        <w:t>،</w:t>
      </w:r>
      <w:r>
        <w:rPr>
          <w:rtl/>
        </w:rPr>
        <w:t xml:space="preserve"> </w:t>
      </w:r>
      <w:r w:rsidR="000636C2">
        <w:rPr>
          <w:rtl/>
        </w:rPr>
        <w:t>(</w:t>
      </w:r>
      <w:r>
        <w:rPr>
          <w:rtl/>
        </w:rPr>
        <w:t>قلت</w:t>
      </w:r>
      <w:r w:rsidR="000636C2">
        <w:rPr>
          <w:rtl/>
        </w:rPr>
        <w:t>):</w:t>
      </w:r>
      <w:r>
        <w:rPr>
          <w:rtl/>
        </w:rPr>
        <w:t xml:space="preserve"> قد طم القاضي علي هذا فقال</w:t>
      </w:r>
      <w:r w:rsidR="000636C2">
        <w:rPr>
          <w:rtl/>
        </w:rPr>
        <w:t>:</w:t>
      </w:r>
      <w:r>
        <w:rPr>
          <w:rtl/>
        </w:rPr>
        <w:t xml:space="preserve"> لا علي وجه الجارحة والتبعيض</w:t>
      </w:r>
      <w:r w:rsidR="000636C2">
        <w:rPr>
          <w:rtl/>
        </w:rPr>
        <w:t>،</w:t>
      </w:r>
      <w:r>
        <w:rPr>
          <w:rtl/>
        </w:rPr>
        <w:t xml:space="preserve"> والرحم أخذه بها لا علي وجه الجارحة والتبعيض</w:t>
      </w:r>
      <w:r w:rsidR="000636C2">
        <w:rPr>
          <w:rtl/>
        </w:rPr>
        <w:t>،</w:t>
      </w:r>
      <w:r>
        <w:rPr>
          <w:rtl/>
        </w:rPr>
        <w:t xml:space="preserve"> والرحم أخذه بها لا علي وجه الاتصال والمماسة</w:t>
      </w:r>
      <w:r w:rsidR="000636C2">
        <w:rPr>
          <w:rtl/>
        </w:rPr>
        <w:t>،</w:t>
      </w:r>
      <w:r>
        <w:rPr>
          <w:rtl/>
        </w:rPr>
        <w:t xml:space="preserve"> ثم نقض هذا التخليط وقال</w:t>
      </w:r>
      <w:r w:rsidR="000636C2">
        <w:rPr>
          <w:rtl/>
        </w:rPr>
        <w:t>:</w:t>
      </w:r>
      <w:r>
        <w:rPr>
          <w:rtl/>
        </w:rPr>
        <w:t xml:space="preserve"> في الخبر اضمار تقديره ذو الرحم</w:t>
      </w:r>
      <w:r w:rsidR="000636C2">
        <w:rPr>
          <w:rtl/>
        </w:rPr>
        <w:t xml:space="preserve"> </w:t>
      </w:r>
      <w:r>
        <w:rPr>
          <w:rtl/>
        </w:rPr>
        <w:t>يأخذ بحقو الرحمن فحذف المضاف وأقام المضاف إليه مقامه قال</w:t>
      </w:r>
      <w:r w:rsidR="000636C2">
        <w:rPr>
          <w:rtl/>
        </w:rPr>
        <w:t>:</w:t>
      </w:r>
      <w:r>
        <w:rPr>
          <w:rtl/>
        </w:rPr>
        <w:t xml:space="preserve"> لأن الرحم لا يصح عليها التعلق فالمراد ذو الرحم يتعلق بالحقو</w:t>
      </w:r>
      <w:r w:rsidR="000636C2">
        <w:rPr>
          <w:rtl/>
        </w:rPr>
        <w:t>،</w:t>
      </w:r>
      <w:r>
        <w:rPr>
          <w:rtl/>
        </w:rPr>
        <w:t xml:space="preserve"> </w:t>
      </w:r>
      <w:r w:rsidR="000636C2">
        <w:rPr>
          <w:rtl/>
        </w:rPr>
        <w:t>(</w:t>
      </w:r>
      <w:r>
        <w:rPr>
          <w:rtl/>
        </w:rPr>
        <w:t>قلت</w:t>
      </w:r>
      <w:r w:rsidR="000636C2">
        <w:rPr>
          <w:rtl/>
        </w:rPr>
        <w:t>):</w:t>
      </w:r>
      <w:r>
        <w:rPr>
          <w:rtl/>
        </w:rPr>
        <w:t xml:space="preserve"> فقد زاد علي التشبيه والتجسيم</w:t>
      </w:r>
      <w:r w:rsidR="000636C2">
        <w:rPr>
          <w:rtl/>
        </w:rPr>
        <w:t>،</w:t>
      </w:r>
      <w:r>
        <w:rPr>
          <w:rtl/>
        </w:rPr>
        <w:t xml:space="preserve"> والكلام مع هؤلاء ضائع كما يقال لا عقل ولا قران</w:t>
      </w:r>
      <w:r w:rsidR="000636C2">
        <w:rPr>
          <w:rtl/>
        </w:rPr>
        <w:t>،</w:t>
      </w:r>
      <w:r>
        <w:rPr>
          <w:rtl/>
        </w:rPr>
        <w:t xml:space="preserve"> وإذا تعلق ذو الرحم وهو جسم فبماذا يتعلق ..؟ نعوذ بالله من سوء الفهم .</w:t>
      </w:r>
    </w:p>
    <w:p w14:paraId="1F475823" w14:textId="2E91BFAD" w:rsidR="009C32A0" w:rsidRDefault="009C32A0" w:rsidP="000636C2">
      <w:pPr>
        <w:spacing w:after="240"/>
        <w:rPr>
          <w:rtl/>
        </w:rPr>
      </w:pPr>
      <w:r>
        <w:rPr>
          <w:bCs/>
          <w:rtl/>
        </w:rPr>
        <w:t>الحديث الخامس والثلاثون</w:t>
      </w:r>
      <w:r w:rsidR="000636C2">
        <w:rPr>
          <w:rtl/>
        </w:rPr>
        <w:t>:</w:t>
      </w:r>
      <w:r>
        <w:rPr>
          <w:rtl/>
        </w:rPr>
        <w:t xml:space="preserve"> روي مسلم في صحيحه أن النبي صلى الله عليه وسلم قال</w:t>
      </w:r>
      <w:r w:rsidR="000636C2">
        <w:rPr>
          <w:rtl/>
        </w:rPr>
        <w:t>:</w:t>
      </w:r>
      <w:r>
        <w:rPr>
          <w:rtl/>
        </w:rPr>
        <w:t xml:space="preserve"> (</w:t>
      </w:r>
      <w:r w:rsidR="000636C2">
        <w:rPr>
          <w:rtl/>
        </w:rPr>
        <w:t>(</w:t>
      </w:r>
      <w:r>
        <w:rPr>
          <w:rtl/>
        </w:rPr>
        <w:t>يقول الله عز وجل الكبرياء ردائي والعظمة إزاري فمن نازعني في شيء منها عذبته</w:t>
      </w:r>
      <w:r w:rsidR="000636C2">
        <w:rPr>
          <w:rtl/>
        </w:rPr>
        <w:t>)</w:t>
      </w:r>
      <w:r>
        <w:rPr>
          <w:rtl/>
        </w:rPr>
        <w:t>)</w:t>
      </w:r>
      <w:r w:rsidR="000636C2">
        <w:rPr>
          <w:rtl/>
        </w:rPr>
        <w:t>،</w:t>
      </w:r>
      <w:r>
        <w:rPr>
          <w:rtl/>
        </w:rPr>
        <w:t xml:space="preserve"> قال أبو سليمان الخطابي معني الكلام</w:t>
      </w:r>
      <w:r w:rsidR="000636C2">
        <w:rPr>
          <w:rtl/>
        </w:rPr>
        <w:t>:</w:t>
      </w:r>
      <w:r>
        <w:rPr>
          <w:rtl/>
        </w:rPr>
        <w:t xml:space="preserve"> أن الكبرياء والعظمة صفتان لله تعالى</w:t>
      </w:r>
      <w:r w:rsidR="000636C2">
        <w:rPr>
          <w:rtl/>
        </w:rPr>
        <w:t>:</w:t>
      </w:r>
      <w:r>
        <w:rPr>
          <w:rtl/>
        </w:rPr>
        <w:t xml:space="preserve"> اختص بهما لا يشاركه فيهما أحد</w:t>
      </w:r>
      <w:r w:rsidR="000636C2">
        <w:rPr>
          <w:rtl/>
        </w:rPr>
        <w:t>،</w:t>
      </w:r>
      <w:r>
        <w:rPr>
          <w:rtl/>
        </w:rPr>
        <w:t xml:space="preserve"> ولا ينبغي لمخلوق أن يتعاطاهما</w:t>
      </w:r>
      <w:r w:rsidR="000636C2">
        <w:rPr>
          <w:rtl/>
        </w:rPr>
        <w:t>،</w:t>
      </w:r>
      <w:r>
        <w:rPr>
          <w:rtl/>
        </w:rPr>
        <w:t xml:space="preserve"> لأن صفة المخلوق التواضع والتذلل وضرب الإزار والرداء . مثلا يقول والله أعلم كما لا يشارك الإنسان في إزاره وردائه أحد</w:t>
      </w:r>
      <w:r w:rsidR="000636C2">
        <w:rPr>
          <w:rtl/>
        </w:rPr>
        <w:t>،</w:t>
      </w:r>
      <w:r>
        <w:rPr>
          <w:rtl/>
        </w:rPr>
        <w:t xml:space="preserve"> كذلك لا يشاركني في الكبرياء والعظمة مخلوق</w:t>
      </w:r>
      <w:r w:rsidR="000636C2">
        <w:rPr>
          <w:rtl/>
        </w:rPr>
        <w:t>،</w:t>
      </w:r>
      <w:r>
        <w:rPr>
          <w:rtl/>
        </w:rPr>
        <w:t xml:space="preserve"> </w:t>
      </w:r>
    </w:p>
    <w:p w14:paraId="0F0CF223" w14:textId="7234D87C" w:rsidR="009C32A0" w:rsidRDefault="009C32A0" w:rsidP="000636C2">
      <w:pPr>
        <w:spacing w:after="240"/>
        <w:rPr>
          <w:rtl/>
        </w:rPr>
      </w:pPr>
      <w:r>
        <w:rPr>
          <w:bCs/>
          <w:rtl/>
        </w:rPr>
        <w:t>الحديث السادس والثلاثون</w:t>
      </w:r>
      <w:r w:rsidR="000636C2">
        <w:rPr>
          <w:rtl/>
        </w:rPr>
        <w:t>:</w:t>
      </w:r>
      <w:r>
        <w:rPr>
          <w:rtl/>
        </w:rPr>
        <w:t xml:space="preserve"> روي البخاري ومسلم في الصحيحين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يقول الله تعالى</w:t>
      </w:r>
      <w:r w:rsidR="000636C2">
        <w:rPr>
          <w:rtl/>
        </w:rPr>
        <w:t>:</w:t>
      </w:r>
      <w:r>
        <w:rPr>
          <w:rtl/>
        </w:rPr>
        <w:t xml:space="preserve"> أنا عند ظن عبدي وأنا معه حين يذكرني فإن ذكرني في نفسه ذكرته في نفسي</w:t>
      </w:r>
      <w:r w:rsidR="000636C2">
        <w:rPr>
          <w:rtl/>
        </w:rPr>
        <w:t>،</w:t>
      </w:r>
      <w:r>
        <w:rPr>
          <w:rtl/>
        </w:rPr>
        <w:t xml:space="preserve"> وإن ذكرني في ملأ ذكرته في ملأ خير منهم وإن تقرب إلى شبرا تقربت إليه ذراعا</w:t>
      </w:r>
      <w:r w:rsidR="000636C2">
        <w:rPr>
          <w:rtl/>
        </w:rPr>
        <w:t>،</w:t>
      </w:r>
      <w:r>
        <w:rPr>
          <w:rtl/>
        </w:rPr>
        <w:t xml:space="preserve"> وإن تقرب إلى ذراعا تقربت إليه باعا وإن أتاني</w:t>
      </w:r>
      <w:r w:rsidR="000636C2">
        <w:rPr>
          <w:rtl/>
        </w:rPr>
        <w:t xml:space="preserve"> </w:t>
      </w:r>
      <w:r>
        <w:rPr>
          <w:rtl/>
        </w:rPr>
        <w:t>يمشي أتيته هرولا</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ذهب القاضي أن لله نفسا هي صفة زائدة علي الذات . وهذا قول مبتدع بنوع التشبيه لأنه لا يفرق بين الذات والنفس</w:t>
      </w:r>
      <w:r w:rsidR="000636C2">
        <w:rPr>
          <w:rtl/>
        </w:rPr>
        <w:t>،</w:t>
      </w:r>
      <w:r>
        <w:rPr>
          <w:rtl/>
        </w:rPr>
        <w:t xml:space="preserve"> وما المانع يكون المعني ذكرته أنا وقد سبق هذا في الكلام علي الآيات</w:t>
      </w:r>
      <w:r w:rsidR="000636C2">
        <w:rPr>
          <w:rtl/>
        </w:rPr>
        <w:t>،</w:t>
      </w:r>
      <w:r>
        <w:rPr>
          <w:rtl/>
        </w:rPr>
        <w:t xml:space="preserve"> والتقرب والهرولة</w:t>
      </w:r>
      <w:r w:rsidR="000636C2">
        <w:rPr>
          <w:rtl/>
        </w:rPr>
        <w:t>،</w:t>
      </w:r>
      <w:r>
        <w:rPr>
          <w:rtl/>
        </w:rPr>
        <w:t xml:space="preserve"> توسع في الكلام كقوله تعالى</w:t>
      </w:r>
      <w:r w:rsidR="000636C2">
        <w:rPr>
          <w:rtl/>
        </w:rPr>
        <w:t>:</w:t>
      </w:r>
      <w:r>
        <w:rPr>
          <w:rtl/>
        </w:rPr>
        <w:t xml:space="preserve"> </w:t>
      </w:r>
      <w:r w:rsidR="000636C2">
        <w:rPr>
          <w:rtl/>
        </w:rPr>
        <w:t>{</w:t>
      </w:r>
      <w:r>
        <w:rPr>
          <w:rtl/>
        </w:rPr>
        <w:t>سعوا في آياتنا</w:t>
      </w:r>
      <w:r w:rsidR="000636C2">
        <w:rPr>
          <w:rtl/>
        </w:rPr>
        <w:t>}،</w:t>
      </w:r>
      <w:r>
        <w:rPr>
          <w:rtl/>
        </w:rPr>
        <w:t xml:space="preserve"> لا يراد به المشي</w:t>
      </w:r>
      <w:r w:rsidR="000636C2">
        <w:rPr>
          <w:rtl/>
        </w:rPr>
        <w:t>،</w:t>
      </w:r>
    </w:p>
    <w:p w14:paraId="7EB1DDC3" w14:textId="78089704" w:rsidR="009C32A0" w:rsidRDefault="009C32A0" w:rsidP="000636C2">
      <w:pPr>
        <w:spacing w:after="240"/>
        <w:rPr>
          <w:rtl/>
        </w:rPr>
      </w:pPr>
      <w:r>
        <w:rPr>
          <w:bCs/>
          <w:rtl/>
        </w:rPr>
        <w:t>الحديث السابع والثلاثون</w:t>
      </w:r>
      <w:r w:rsidR="000636C2">
        <w:rPr>
          <w:rtl/>
        </w:rPr>
        <w:t>:</w:t>
      </w:r>
      <w:r>
        <w:rPr>
          <w:rtl/>
        </w:rPr>
        <w:t xml:space="preserve"> روي أبو سعيد رضي الله عنه</w:t>
      </w:r>
      <w:r w:rsidR="000636C2">
        <w:rPr>
          <w:rtl/>
        </w:rPr>
        <w:t xml:space="preserve"> </w:t>
      </w:r>
      <w:r>
        <w:rPr>
          <w:rtl/>
        </w:rPr>
        <w:t>عن النبي صلى الله عليه وسلم أنه قال</w:t>
      </w:r>
      <w:r w:rsidR="000636C2">
        <w:rPr>
          <w:rtl/>
        </w:rPr>
        <w:t>:</w:t>
      </w:r>
      <w:r>
        <w:rPr>
          <w:rtl/>
        </w:rPr>
        <w:t xml:space="preserve"> " إن الله جميل يحب الجمال "</w:t>
      </w:r>
      <w:r w:rsidR="000636C2">
        <w:rPr>
          <w:rtl/>
        </w:rPr>
        <w:t>،</w:t>
      </w:r>
      <w:r>
        <w:rPr>
          <w:rtl/>
        </w:rPr>
        <w:t xml:space="preserve"> قال العلماء الجميل المجمل بتحسين الصور والأخلاق والإحسان</w:t>
      </w:r>
      <w:r w:rsidR="000636C2">
        <w:rPr>
          <w:rtl/>
        </w:rPr>
        <w:t>،</w:t>
      </w:r>
      <w:r>
        <w:rPr>
          <w:rtl/>
        </w:rPr>
        <w:t xml:space="preserve"> والذي أراه أن الجميل الذي أوصافه تامة مستحسنة</w:t>
      </w:r>
      <w:r w:rsidR="000636C2">
        <w:rPr>
          <w:rtl/>
        </w:rPr>
        <w:t>،</w:t>
      </w:r>
      <w:r>
        <w:rPr>
          <w:rtl/>
        </w:rPr>
        <w:t xml:space="preserve"> وقد فسره القاضي بما لا يليق بالحق سبحانه وتعالى فقال</w:t>
      </w:r>
      <w:r w:rsidR="000636C2">
        <w:rPr>
          <w:rtl/>
        </w:rPr>
        <w:t>:</w:t>
      </w:r>
      <w:r>
        <w:rPr>
          <w:rtl/>
        </w:rPr>
        <w:t xml:space="preserve"> غير ممتنع وصفه بالجمال وإن ذلك صفة راجعة إلى الجمال وإن ذلك صفة راجعة إلى الذات</w:t>
      </w:r>
      <w:r w:rsidR="000636C2">
        <w:rPr>
          <w:rtl/>
        </w:rPr>
        <w:t>،</w:t>
      </w:r>
      <w:r>
        <w:rPr>
          <w:rtl/>
        </w:rPr>
        <w:t xml:space="preserve"> لأن الجمال في معني الحسن</w:t>
      </w:r>
      <w:r w:rsidR="000636C2">
        <w:rPr>
          <w:rtl/>
        </w:rPr>
        <w:t>،</w:t>
      </w:r>
      <w:r>
        <w:rPr>
          <w:rtl/>
        </w:rPr>
        <w:t xml:space="preserve"> قال</w:t>
      </w:r>
      <w:r w:rsidR="000636C2">
        <w:rPr>
          <w:rtl/>
        </w:rPr>
        <w:t>:</w:t>
      </w:r>
      <w:r>
        <w:rPr>
          <w:rtl/>
        </w:rPr>
        <w:t xml:space="preserve"> وقد تقدم قوله</w:t>
      </w:r>
      <w:r w:rsidR="000636C2">
        <w:rPr>
          <w:rtl/>
        </w:rPr>
        <w:t>:</w:t>
      </w:r>
      <w:r>
        <w:rPr>
          <w:rtl/>
        </w:rPr>
        <w:t xml:space="preserve"> " رأيت ربي في أحسن "</w:t>
      </w:r>
      <w:r w:rsidR="000636C2">
        <w:rPr>
          <w:rtl/>
        </w:rPr>
        <w:t>،</w:t>
      </w:r>
      <w:r>
        <w:rPr>
          <w:rtl/>
        </w:rPr>
        <w:t xml:space="preserve"> وهذا تشبيه محض .</w:t>
      </w:r>
    </w:p>
    <w:p w14:paraId="089572C3" w14:textId="2E7105A1" w:rsidR="009C32A0" w:rsidRDefault="009C32A0" w:rsidP="000636C2">
      <w:pPr>
        <w:spacing w:after="240"/>
        <w:rPr>
          <w:rtl/>
        </w:rPr>
      </w:pPr>
      <w:r>
        <w:rPr>
          <w:bCs/>
          <w:rtl/>
        </w:rPr>
        <w:t>الحديث الثامن والثلاثون</w:t>
      </w:r>
      <w:r w:rsidR="000636C2">
        <w:rPr>
          <w:rtl/>
        </w:rPr>
        <w:t>:</w:t>
      </w:r>
      <w:r>
        <w:rPr>
          <w:rtl/>
        </w:rPr>
        <w:t xml:space="preserve"> روي القاضي عن عمر بن عبد العزيز</w:t>
      </w:r>
      <w:r w:rsidR="000636C2">
        <w:rPr>
          <w:rtl/>
        </w:rPr>
        <w:t>:</w:t>
      </w:r>
      <w:r>
        <w:rPr>
          <w:rtl/>
        </w:rPr>
        <w:t xml:space="preserve"> إذا فرغ أهل الجنة والنار أقبل يمشي في ظلل من الغمام والملائكة فيقف علي أول درجة فيسلم عليهم</w:t>
      </w:r>
      <w:r w:rsidR="000636C2">
        <w:rPr>
          <w:rtl/>
        </w:rPr>
        <w:t>،</w:t>
      </w:r>
      <w:r>
        <w:rPr>
          <w:rtl/>
        </w:rPr>
        <w:t xml:space="preserve"> فيردون عليه السلام فيقول</w:t>
      </w:r>
      <w:r w:rsidR="000636C2">
        <w:rPr>
          <w:rtl/>
        </w:rPr>
        <w:t>:</w:t>
      </w:r>
      <w:r>
        <w:rPr>
          <w:rtl/>
        </w:rPr>
        <w:t>سلوني</w:t>
      </w:r>
      <w:r w:rsidR="000636C2">
        <w:rPr>
          <w:rtl/>
        </w:rPr>
        <w:t>،</w:t>
      </w:r>
      <w:r>
        <w:rPr>
          <w:rtl/>
        </w:rPr>
        <w:t xml:space="preserve"> فيقولون</w:t>
      </w:r>
      <w:r w:rsidR="000636C2">
        <w:rPr>
          <w:rtl/>
        </w:rPr>
        <w:t>:</w:t>
      </w:r>
      <w:r>
        <w:rPr>
          <w:rtl/>
        </w:rPr>
        <w:t xml:space="preserve"> و ماذا نسألك ..؟ وعزتك وجلالك وارتفاعك في مكانك لو أنك قسمت علينا رزق الثقلين لأطعمناهم وأسقيناهم ولم ينقص ما عندنا</w:t>
      </w:r>
      <w:r w:rsidR="000636C2">
        <w:rPr>
          <w:rtl/>
        </w:rPr>
        <w:t>،</w:t>
      </w:r>
      <w:r>
        <w:rPr>
          <w:rtl/>
        </w:rPr>
        <w:t xml:space="preserve"> فيقولون بلي سلوني</w:t>
      </w:r>
      <w:r w:rsidR="000636C2">
        <w:rPr>
          <w:rtl/>
        </w:rPr>
        <w:t>،</w:t>
      </w:r>
      <w:r>
        <w:rPr>
          <w:rtl/>
        </w:rPr>
        <w:t xml:space="preserve"> فيقولون</w:t>
      </w:r>
      <w:r w:rsidR="000636C2">
        <w:rPr>
          <w:rtl/>
        </w:rPr>
        <w:t>:</w:t>
      </w:r>
      <w:r>
        <w:rPr>
          <w:rtl/>
        </w:rPr>
        <w:t xml:space="preserve"> نسألك رضاك . فيقول رضاي</w:t>
      </w:r>
      <w:r w:rsidR="000636C2">
        <w:rPr>
          <w:rtl/>
        </w:rPr>
        <w:t>:</w:t>
      </w:r>
      <w:r>
        <w:rPr>
          <w:rtl/>
        </w:rPr>
        <w:t xml:space="preserve"> أحللكم دار كرامتي</w:t>
      </w:r>
      <w:r w:rsidR="000636C2">
        <w:rPr>
          <w:rtl/>
        </w:rPr>
        <w:t>،</w:t>
      </w:r>
      <w:r>
        <w:rPr>
          <w:rtl/>
        </w:rPr>
        <w:t xml:space="preserve"> فيفعل هذا بأهل كل درجة حتي ينتهي إلى مجلسه</w:t>
      </w:r>
      <w:r w:rsidR="000636C2">
        <w:rPr>
          <w:rtl/>
        </w:rPr>
        <w:t>،</w:t>
      </w:r>
      <w:r>
        <w:rPr>
          <w:rtl/>
        </w:rPr>
        <w:t xml:space="preserve"> قلت هذا حديث مكذوب به علي عمر</w:t>
      </w:r>
      <w:r w:rsidR="000636C2">
        <w:rPr>
          <w:rtl/>
        </w:rPr>
        <w:t>،</w:t>
      </w:r>
      <w:r>
        <w:rPr>
          <w:rtl/>
        </w:rPr>
        <w:t xml:space="preserve"> وبعد كيف يثبت لله صفة بقول عمر . قال ابن حامد يأتي يوم القيامة إلى المحشر لقوله</w:t>
      </w:r>
      <w:r w:rsidR="000636C2">
        <w:rPr>
          <w:rtl/>
        </w:rPr>
        <w:t>:</w:t>
      </w:r>
      <w:r>
        <w:rPr>
          <w:rtl/>
        </w:rPr>
        <w:t xml:space="preserve"> " يأتي ربك علي وقت نزوله إلى السماء</w:t>
      </w:r>
      <w:r w:rsidR="000636C2">
        <w:rPr>
          <w:rtl/>
        </w:rPr>
        <w:t>،</w:t>
      </w:r>
      <w:r>
        <w:rPr>
          <w:rtl/>
        </w:rPr>
        <w:t xml:space="preserve"> وقال</w:t>
      </w:r>
      <w:r w:rsidR="000636C2">
        <w:rPr>
          <w:rtl/>
        </w:rPr>
        <w:t>:</w:t>
      </w:r>
      <w:r>
        <w:rPr>
          <w:rtl/>
        </w:rPr>
        <w:t xml:space="preserve"> الحديث يشهد لحديث عمر يعني</w:t>
      </w:r>
      <w:r w:rsidR="000636C2">
        <w:rPr>
          <w:rtl/>
        </w:rPr>
        <w:t>،</w:t>
      </w:r>
      <w:r>
        <w:rPr>
          <w:rtl/>
        </w:rPr>
        <w:t xml:space="preserve"> قوله تعالى</w:t>
      </w:r>
      <w:r w:rsidR="000636C2">
        <w:rPr>
          <w:rtl/>
        </w:rPr>
        <w:t>:</w:t>
      </w:r>
      <w:r>
        <w:rPr>
          <w:rtl/>
        </w:rPr>
        <w:t xml:space="preserve"> </w:t>
      </w:r>
      <w:r w:rsidR="000636C2">
        <w:rPr>
          <w:rtl/>
        </w:rPr>
        <w:t>{</w:t>
      </w:r>
      <w:r>
        <w:rPr>
          <w:rtl/>
        </w:rPr>
        <w:t>يأتيهم الله في ظلل من الغمام</w:t>
      </w:r>
      <w:r w:rsidR="000636C2">
        <w:rPr>
          <w:rtl/>
        </w:rPr>
        <w:t>}،</w:t>
      </w:r>
      <w:r>
        <w:rPr>
          <w:rtl/>
        </w:rPr>
        <w:t xml:space="preserve"> </w:t>
      </w:r>
      <w:r w:rsidR="000636C2">
        <w:rPr>
          <w:rtl/>
        </w:rPr>
        <w:t>(</w:t>
      </w:r>
      <w:r>
        <w:rPr>
          <w:rtl/>
        </w:rPr>
        <w:t>قلت</w:t>
      </w:r>
      <w:r w:rsidR="000636C2">
        <w:rPr>
          <w:rtl/>
        </w:rPr>
        <w:t>):</w:t>
      </w:r>
      <w:r>
        <w:rPr>
          <w:rtl/>
        </w:rPr>
        <w:t xml:space="preserve"> ولا يدري أن المعني يأتيهم الله بظلل </w:t>
      </w:r>
      <w:r w:rsidR="000636C2">
        <w:rPr>
          <w:rtl/>
        </w:rPr>
        <w:t>(</w:t>
      </w:r>
      <w:r>
        <w:rPr>
          <w:rtl/>
        </w:rPr>
        <w:t>قال</w:t>
      </w:r>
      <w:r w:rsidR="000636C2">
        <w:rPr>
          <w:rtl/>
        </w:rPr>
        <w:t>:</w:t>
      </w:r>
      <w:r>
        <w:rPr>
          <w:rtl/>
        </w:rPr>
        <w:t xml:space="preserve"> ولا يمتنع امراره علي ظاهره لأنه لابد من مشية وانتهائه إلى مجلسه عن انتقال</w:t>
      </w:r>
      <w:r w:rsidR="000636C2">
        <w:rPr>
          <w:rtl/>
        </w:rPr>
        <w:t>،</w:t>
      </w:r>
      <w:r>
        <w:rPr>
          <w:rtl/>
        </w:rPr>
        <w:t xml:space="preserve"> </w:t>
      </w:r>
      <w:r w:rsidR="000636C2">
        <w:rPr>
          <w:rtl/>
        </w:rPr>
        <w:t>(</w:t>
      </w:r>
      <w:r>
        <w:rPr>
          <w:rtl/>
        </w:rPr>
        <w:t>قلت</w:t>
      </w:r>
      <w:r w:rsidR="000636C2">
        <w:rPr>
          <w:rtl/>
        </w:rPr>
        <w:t>):</w:t>
      </w:r>
      <w:r>
        <w:rPr>
          <w:rtl/>
        </w:rPr>
        <w:t xml:space="preserve"> من يقول يحمل هذا علي ظاهره كيف يقول بلا انتقال . وإنما يقول هذا ارضاء للجهال وهل المشي إلا انتقال .</w:t>
      </w:r>
    </w:p>
    <w:p w14:paraId="68604C20" w14:textId="3442548E" w:rsidR="009C32A0" w:rsidRDefault="009C32A0" w:rsidP="000636C2">
      <w:pPr>
        <w:spacing w:after="240"/>
        <w:rPr>
          <w:rtl/>
        </w:rPr>
      </w:pPr>
      <w:r>
        <w:rPr>
          <w:bCs/>
          <w:rtl/>
        </w:rPr>
        <w:t>الحديث التاسع والثلاثون</w:t>
      </w:r>
      <w:r w:rsidR="000636C2">
        <w:rPr>
          <w:rtl/>
        </w:rPr>
        <w:t>:</w:t>
      </w:r>
      <w:r>
        <w:rPr>
          <w:rtl/>
        </w:rPr>
        <w:t xml:space="preserve"> روي عن عائشة رضي الله عنها قالت</w:t>
      </w:r>
      <w:r w:rsidR="000636C2">
        <w:rPr>
          <w:rtl/>
        </w:rPr>
        <w:t>:</w:t>
      </w:r>
      <w:r>
        <w:rPr>
          <w:rtl/>
        </w:rPr>
        <w:t xml:space="preserve"> سئل رسول الله صلى الله عليه وسلم عن المقام المحمود قال</w:t>
      </w:r>
      <w:r w:rsidR="000636C2">
        <w:rPr>
          <w:rtl/>
        </w:rPr>
        <w:t>:</w:t>
      </w:r>
      <w:r>
        <w:rPr>
          <w:rtl/>
        </w:rPr>
        <w:t xml:space="preserve"> " وعدني ربي بالعقود علي العرش "</w:t>
      </w:r>
      <w:r w:rsidR="000636C2">
        <w:rPr>
          <w:rtl/>
        </w:rPr>
        <w:t>،</w:t>
      </w:r>
      <w:r>
        <w:rPr>
          <w:rtl/>
        </w:rPr>
        <w:t xml:space="preserve"> </w:t>
      </w:r>
      <w:r w:rsidR="000636C2">
        <w:rPr>
          <w:rtl/>
        </w:rPr>
        <w:t>(</w:t>
      </w:r>
      <w:r>
        <w:rPr>
          <w:rtl/>
        </w:rPr>
        <w:t>قلت</w:t>
      </w:r>
      <w:r w:rsidR="000636C2">
        <w:rPr>
          <w:rtl/>
        </w:rPr>
        <w:t>):</w:t>
      </w:r>
      <w:r>
        <w:rPr>
          <w:rtl/>
        </w:rPr>
        <w:t xml:space="preserve"> وهذا حديث مكذوب لا يصح عن رسول الله صلى الله عليه وسلم</w:t>
      </w:r>
      <w:r w:rsidR="000636C2">
        <w:rPr>
          <w:rtl/>
        </w:rPr>
        <w:t xml:space="preserve"> </w:t>
      </w:r>
      <w:r>
        <w:rPr>
          <w:rtl/>
        </w:rPr>
        <w:t>. قال ابن حامد</w:t>
      </w:r>
      <w:r w:rsidR="000636C2">
        <w:rPr>
          <w:rtl/>
        </w:rPr>
        <w:t>:</w:t>
      </w:r>
      <w:r>
        <w:rPr>
          <w:rtl/>
        </w:rPr>
        <w:t xml:space="preserve"> يجب الإيمان بما ورد في المماسة والقرب من الحق لنية في إقعاده علي العرش . قال</w:t>
      </w:r>
      <w:r w:rsidR="000636C2">
        <w:rPr>
          <w:rtl/>
        </w:rPr>
        <w:t>:</w:t>
      </w:r>
      <w:r>
        <w:rPr>
          <w:rtl/>
        </w:rPr>
        <w:t xml:space="preserve"> وقال ابن عمر</w:t>
      </w:r>
      <w:r w:rsidR="000636C2">
        <w:rPr>
          <w:rtl/>
        </w:rPr>
        <w:t>:</w:t>
      </w:r>
      <w:r>
        <w:rPr>
          <w:rtl/>
        </w:rPr>
        <w:t xml:space="preserve"> " وإن له عندنا لزلفي "</w:t>
      </w:r>
      <w:r w:rsidR="000636C2">
        <w:rPr>
          <w:rtl/>
        </w:rPr>
        <w:t>،</w:t>
      </w:r>
      <w:r>
        <w:rPr>
          <w:rtl/>
        </w:rPr>
        <w:t xml:space="preserve"> قال</w:t>
      </w:r>
      <w:r w:rsidR="000636C2">
        <w:rPr>
          <w:rtl/>
        </w:rPr>
        <w:t>:</w:t>
      </w:r>
      <w:r>
        <w:rPr>
          <w:rtl/>
        </w:rPr>
        <w:t xml:space="preserve"> ذكر الله الدنو منه حتي يمس بعضه</w:t>
      </w:r>
      <w:r w:rsidR="000636C2">
        <w:rPr>
          <w:rtl/>
        </w:rPr>
        <w:t>،</w:t>
      </w:r>
      <w:r>
        <w:rPr>
          <w:rtl/>
        </w:rPr>
        <w:t xml:space="preserve"> </w:t>
      </w:r>
      <w:r w:rsidR="000636C2">
        <w:rPr>
          <w:rtl/>
        </w:rPr>
        <w:t>(</w:t>
      </w:r>
      <w:r>
        <w:rPr>
          <w:rtl/>
        </w:rPr>
        <w:t>قلت</w:t>
      </w:r>
      <w:r w:rsidR="000636C2">
        <w:rPr>
          <w:rtl/>
        </w:rPr>
        <w:t>):</w:t>
      </w:r>
      <w:r>
        <w:rPr>
          <w:rtl/>
        </w:rPr>
        <w:t xml:space="preserve"> وهذا كذب علي ابن عمر ومن ذكر تبعيض الذات كفر بالإجماع</w:t>
      </w:r>
      <w:r w:rsidR="000636C2">
        <w:rPr>
          <w:rtl/>
        </w:rPr>
        <w:t>،</w:t>
      </w:r>
      <w:r>
        <w:rPr>
          <w:rtl/>
        </w:rPr>
        <w:t xml:space="preserve"> قال القاضي</w:t>
      </w:r>
      <w:r w:rsidR="000636C2">
        <w:rPr>
          <w:rtl/>
        </w:rPr>
        <w:t>:</w:t>
      </w:r>
      <w:r>
        <w:rPr>
          <w:rtl/>
        </w:rPr>
        <w:t xml:space="preserve"> يقعد نبيه علي عرشه بمعني يدنيه من ذاته ويقربه منها ويشهد له قوله " فكان قاب قوسين أو أدني " وقال ابن عباس</w:t>
      </w:r>
      <w:r w:rsidR="000636C2">
        <w:rPr>
          <w:rtl/>
        </w:rPr>
        <w:t>:</w:t>
      </w:r>
      <w:r>
        <w:rPr>
          <w:rtl/>
        </w:rPr>
        <w:t xml:space="preserve"> كان بينه وبينه مقدار قوسين</w:t>
      </w:r>
      <w:r w:rsidR="000636C2">
        <w:rPr>
          <w:rtl/>
        </w:rPr>
        <w:t>،</w:t>
      </w:r>
      <w:r>
        <w:rPr>
          <w:rtl/>
        </w:rPr>
        <w:t xml:space="preserve"> </w:t>
      </w:r>
      <w:r w:rsidR="000636C2">
        <w:rPr>
          <w:rtl/>
        </w:rPr>
        <w:t>(</w:t>
      </w:r>
      <w:r>
        <w:rPr>
          <w:rtl/>
        </w:rPr>
        <w:t>قلت</w:t>
      </w:r>
      <w:r w:rsidR="000636C2">
        <w:rPr>
          <w:rtl/>
        </w:rPr>
        <w:t>):</w:t>
      </w:r>
      <w:r>
        <w:rPr>
          <w:rtl/>
        </w:rPr>
        <w:t xml:space="preserve"> هذا عن جبريل لا عن الله سبحانه وتعالى . ومن أجاز القرب من الذات أجاز الملاصقة وما ذهب إليه القاضي صريح في التجسيم .</w:t>
      </w:r>
    </w:p>
    <w:p w14:paraId="515544AF" w14:textId="259CC1B2" w:rsidR="009C32A0" w:rsidRDefault="009C32A0" w:rsidP="000636C2">
      <w:pPr>
        <w:spacing w:after="240"/>
        <w:rPr>
          <w:rtl/>
        </w:rPr>
      </w:pPr>
      <w:r>
        <w:rPr>
          <w:bCs/>
          <w:rtl/>
        </w:rPr>
        <w:t>الحديث الأربعون</w:t>
      </w:r>
      <w:r w:rsidR="000636C2">
        <w:rPr>
          <w:rtl/>
        </w:rPr>
        <w:t>:</w:t>
      </w:r>
      <w:r>
        <w:rPr>
          <w:rtl/>
        </w:rPr>
        <w:t xml:space="preserve"> روي الدار قطني من حديث أبا إسحاق عن عبد الله بن خليفة عن عمر</w:t>
      </w:r>
      <w:r w:rsidR="000636C2">
        <w:rPr>
          <w:rtl/>
        </w:rPr>
        <w:t>:</w:t>
      </w:r>
      <w:r>
        <w:rPr>
          <w:rtl/>
        </w:rPr>
        <w:t xml:space="preserve"> أن امرأة جاءت إلى رسول الله صلى الله عليه وسلم فقالت ادع الله أن يدخلني الجنة فعظم الرب عز وجل فقال</w:t>
      </w:r>
      <w:r w:rsidR="000636C2">
        <w:rPr>
          <w:rtl/>
        </w:rPr>
        <w:t>:</w:t>
      </w:r>
      <w:r>
        <w:rPr>
          <w:rtl/>
        </w:rPr>
        <w:t xml:space="preserve"> " إن كرسيه وسع السماوات والأرض</w:t>
      </w:r>
      <w:r w:rsidR="000636C2">
        <w:rPr>
          <w:rtl/>
        </w:rPr>
        <w:t>،</w:t>
      </w:r>
      <w:r>
        <w:rPr>
          <w:rtl/>
        </w:rPr>
        <w:t xml:space="preserve"> وإن له أطيطا كأطيط الرحل الجديد إذا ركب من ثقله "</w:t>
      </w:r>
      <w:r w:rsidR="000636C2">
        <w:rPr>
          <w:rtl/>
        </w:rPr>
        <w:t>،</w:t>
      </w:r>
      <w:r>
        <w:rPr>
          <w:rtl/>
        </w:rPr>
        <w:t xml:space="preserve"> هذا حديث مختلف جدا</w:t>
      </w:r>
      <w:r w:rsidR="000636C2">
        <w:rPr>
          <w:rtl/>
        </w:rPr>
        <w:t>،</w:t>
      </w:r>
      <w:r>
        <w:rPr>
          <w:rtl/>
        </w:rPr>
        <w:t xml:space="preserve"> فتارة يروي عن عبد الله بن خليفة عن عمر عن رسول الله صلى الله عليه وسلم وتارة عن عمر موقوفا</w:t>
      </w:r>
      <w:r w:rsidR="000636C2">
        <w:rPr>
          <w:rtl/>
        </w:rPr>
        <w:t>)</w:t>
      </w:r>
      <w:r>
        <w:rPr>
          <w:rtl/>
        </w:rPr>
        <w:t xml:space="preserve"> وقد رواه أبو إسحاق عن ابن خليفة عن ابن عمر قال</w:t>
      </w:r>
      <w:r w:rsidR="000636C2">
        <w:rPr>
          <w:rtl/>
        </w:rPr>
        <w:t>:</w:t>
      </w:r>
      <w:r>
        <w:rPr>
          <w:rtl/>
        </w:rPr>
        <w:t xml:space="preserve"> " إذا جلس تبارك وتعالى علي الكرسي سمع له أطيط كأطيط الرحل .." ورواه ابن جرير عن ابن خليفة قال</w:t>
      </w:r>
      <w:r w:rsidR="000636C2">
        <w:rPr>
          <w:rtl/>
        </w:rPr>
        <w:t>:</w:t>
      </w:r>
      <w:r>
        <w:rPr>
          <w:rtl/>
        </w:rPr>
        <w:t xml:space="preserve"> قال رسول الله صلى الله عليه وسلم إن كرسيه وسع السماوات والأرض وإنه ليقعد عليه فما يفضل منه مقدار أربعه أصابع ثم قال بإصبعه فجمعها .. وإن له أطيطا كأطيط الرحل إذا ركب من ثقله "</w:t>
      </w:r>
      <w:r w:rsidR="000636C2">
        <w:rPr>
          <w:rtl/>
        </w:rPr>
        <w:t>،</w:t>
      </w:r>
      <w:r>
        <w:rPr>
          <w:rtl/>
        </w:rPr>
        <w:t xml:space="preserve"> ورواه أبو بكر المروزي إن ابن خليفة قال</w:t>
      </w:r>
      <w:r w:rsidR="000636C2">
        <w:rPr>
          <w:rtl/>
        </w:rPr>
        <w:t>:</w:t>
      </w:r>
      <w:r>
        <w:rPr>
          <w:rtl/>
        </w:rPr>
        <w:t xml:space="preserve"> قال رسول الله صلى الله عليه وسلم " الكرسي الذي يجلس عليه الرب ما يفضل منه إلا مقدار أربعة أصابع "</w:t>
      </w:r>
      <w:r w:rsidR="000636C2">
        <w:rPr>
          <w:rtl/>
        </w:rPr>
        <w:t>،</w:t>
      </w:r>
      <w:r>
        <w:rPr>
          <w:rtl/>
        </w:rPr>
        <w:t xml:space="preserve"> </w:t>
      </w:r>
      <w:r w:rsidR="000636C2">
        <w:rPr>
          <w:rtl/>
        </w:rPr>
        <w:t>(</w:t>
      </w:r>
      <w:r>
        <w:rPr>
          <w:rtl/>
        </w:rPr>
        <w:t>قلت</w:t>
      </w:r>
      <w:r w:rsidR="000636C2">
        <w:rPr>
          <w:rtl/>
        </w:rPr>
        <w:t>):</w:t>
      </w:r>
      <w:r>
        <w:rPr>
          <w:rtl/>
        </w:rPr>
        <w:t xml:space="preserve"> هذا علي ضد اللفظ الأول</w:t>
      </w:r>
      <w:r w:rsidR="000636C2">
        <w:rPr>
          <w:rtl/>
        </w:rPr>
        <w:t>،</w:t>
      </w:r>
      <w:r>
        <w:rPr>
          <w:rtl/>
        </w:rPr>
        <w:t xml:space="preserve"> وكل هذا من تخليط الرواة وسوء الحفظ</w:t>
      </w:r>
      <w:r w:rsidR="000636C2">
        <w:rPr>
          <w:rtl/>
        </w:rPr>
        <w:t>،</w:t>
      </w:r>
      <w:r>
        <w:rPr>
          <w:rtl/>
        </w:rPr>
        <w:t xml:space="preserve"> والأليق فما يفضل منه مقدار أربع أصابع</w:t>
      </w:r>
      <w:r w:rsidR="000636C2">
        <w:rPr>
          <w:rtl/>
        </w:rPr>
        <w:t>:</w:t>
      </w:r>
      <w:r>
        <w:rPr>
          <w:rtl/>
        </w:rPr>
        <w:t xml:space="preserve"> والمعني أنه قد ملأ بهيبته وعظمته</w:t>
      </w:r>
      <w:r w:rsidR="000636C2">
        <w:rPr>
          <w:rtl/>
        </w:rPr>
        <w:t>،</w:t>
      </w:r>
      <w:r>
        <w:rPr>
          <w:rtl/>
        </w:rPr>
        <w:t xml:space="preserve"> ويكون هذا ضرب مثل يقرب عظمه الخالق</w:t>
      </w:r>
      <w:r w:rsidR="000636C2">
        <w:rPr>
          <w:rtl/>
        </w:rPr>
        <w:t>،</w:t>
      </w:r>
      <w:r>
        <w:rPr>
          <w:rtl/>
        </w:rPr>
        <w:t xml:space="preserve"> وقول الرواة</w:t>
      </w:r>
      <w:r w:rsidR="000636C2">
        <w:rPr>
          <w:rtl/>
        </w:rPr>
        <w:t>:</w:t>
      </w:r>
      <w:r>
        <w:rPr>
          <w:rtl/>
        </w:rPr>
        <w:t xml:space="preserve"> إذا قعد وإذا جلس من تغييرهم أو من تعبيرهم بما ظنونه المعني</w:t>
      </w:r>
      <w:r w:rsidR="000636C2">
        <w:rPr>
          <w:rtl/>
        </w:rPr>
        <w:t>،</w:t>
      </w:r>
      <w:r>
        <w:rPr>
          <w:rtl/>
        </w:rPr>
        <w:t xml:space="preserve"> كما قال القائل</w:t>
      </w:r>
      <w:r w:rsidR="000636C2">
        <w:rPr>
          <w:rtl/>
        </w:rPr>
        <w:t>:</w:t>
      </w:r>
      <w:r>
        <w:rPr>
          <w:rtl/>
        </w:rPr>
        <w:t xml:space="preserve"> ثم استوي علي العرش قعد</w:t>
      </w:r>
      <w:r w:rsidR="000636C2">
        <w:rPr>
          <w:rtl/>
        </w:rPr>
        <w:t>،</w:t>
      </w:r>
      <w:r>
        <w:rPr>
          <w:rtl/>
        </w:rPr>
        <w:t xml:space="preserve"> وإنما قلنا هذا لأن الخالق سبحانه وتعالى لا يجوز أن يوصف بالجلوس علي شيء فيفضل من ذلك الشيء</w:t>
      </w:r>
      <w:r w:rsidR="000636C2">
        <w:rPr>
          <w:rtl/>
        </w:rPr>
        <w:t>،</w:t>
      </w:r>
      <w:r>
        <w:rPr>
          <w:rtl/>
        </w:rPr>
        <w:t xml:space="preserve"> أن هذه صفة الأجسام</w:t>
      </w:r>
      <w:r w:rsidR="000636C2">
        <w:rPr>
          <w:rtl/>
        </w:rPr>
        <w:t>،</w:t>
      </w:r>
      <w:r>
        <w:rPr>
          <w:rtl/>
        </w:rPr>
        <w:t xml:space="preserve"> وقال الزاغوني</w:t>
      </w:r>
      <w:r w:rsidR="000636C2">
        <w:rPr>
          <w:rtl/>
        </w:rPr>
        <w:t>:</w:t>
      </w:r>
      <w:r>
        <w:rPr>
          <w:rtl/>
        </w:rPr>
        <w:t xml:space="preserve"> معني الحديث خرج عن صفة الاستواء أربعة أصابع</w:t>
      </w:r>
      <w:r w:rsidR="000636C2">
        <w:rPr>
          <w:rtl/>
        </w:rPr>
        <w:t>،</w:t>
      </w:r>
      <w:r>
        <w:rPr>
          <w:rtl/>
        </w:rPr>
        <w:t xml:space="preserve"> </w:t>
      </w:r>
      <w:r w:rsidR="000636C2">
        <w:rPr>
          <w:rtl/>
        </w:rPr>
        <w:t>(</w:t>
      </w:r>
      <w:r>
        <w:rPr>
          <w:rtl/>
        </w:rPr>
        <w:t>قلت</w:t>
      </w:r>
      <w:r w:rsidR="000636C2">
        <w:rPr>
          <w:rtl/>
        </w:rPr>
        <w:t>):</w:t>
      </w:r>
      <w:r>
        <w:rPr>
          <w:rtl/>
        </w:rPr>
        <w:t xml:space="preserve"> وهذا قد قصد به مغالطة العوام وهل لما قاله معني إلا أن يقال ان هذه الأربعة لم تحاذ ولم تماس وكل هذا صريح في التشبيه ظاهر في التجسيم ثم هو إثبات صفات بما لا يحس إثباته من الأحاديث المعلولة . وقد روينا عن أبي بكر بن مسلم العائدي قال</w:t>
      </w:r>
      <w:r w:rsidR="000636C2">
        <w:rPr>
          <w:rtl/>
        </w:rPr>
        <w:t>:</w:t>
      </w:r>
      <w:r>
        <w:rPr>
          <w:rtl/>
        </w:rPr>
        <w:t xml:space="preserve"> هذا الموضع الذي يفضل لمحمد ليجلس عليه قال</w:t>
      </w:r>
      <w:r w:rsidR="000636C2">
        <w:rPr>
          <w:rtl/>
        </w:rPr>
        <w:t>:</w:t>
      </w:r>
      <w:r>
        <w:rPr>
          <w:rtl/>
        </w:rPr>
        <w:t xml:space="preserve"> وقد كان الأليق بهذا المتعبد أن يتشاغل بعبادته عن الكلام في هذا الفن</w:t>
      </w:r>
      <w:r w:rsidR="000636C2">
        <w:rPr>
          <w:rtl/>
        </w:rPr>
        <w:t>،</w:t>
      </w:r>
      <w:r>
        <w:rPr>
          <w:rtl/>
        </w:rPr>
        <w:t xml:space="preserve"> وقد روي القاضي عن الشعبي أنه قال</w:t>
      </w:r>
      <w:r w:rsidR="000636C2">
        <w:rPr>
          <w:rtl/>
        </w:rPr>
        <w:t>:</w:t>
      </w:r>
      <w:r>
        <w:rPr>
          <w:rtl/>
        </w:rPr>
        <w:t xml:space="preserve"> إن الله تعالى قد ملأ العرش حتي إن له أطيطا كأطيط الرحل</w:t>
      </w:r>
      <w:r w:rsidR="000636C2">
        <w:rPr>
          <w:rtl/>
        </w:rPr>
        <w:t>،</w:t>
      </w:r>
      <w:r>
        <w:rPr>
          <w:rtl/>
        </w:rPr>
        <w:t xml:space="preserve"> </w:t>
      </w:r>
      <w:r w:rsidR="000636C2">
        <w:rPr>
          <w:rtl/>
        </w:rPr>
        <w:t>(</w:t>
      </w:r>
      <w:r>
        <w:rPr>
          <w:rtl/>
        </w:rPr>
        <w:t>قلت</w:t>
      </w:r>
      <w:r w:rsidR="000636C2">
        <w:rPr>
          <w:rtl/>
        </w:rPr>
        <w:t>):</w:t>
      </w:r>
      <w:r>
        <w:rPr>
          <w:rtl/>
        </w:rPr>
        <w:t xml:space="preserve"> هذا كذب علي الشعبي . قال القاضي</w:t>
      </w:r>
      <w:r w:rsidR="000636C2">
        <w:rPr>
          <w:rtl/>
        </w:rPr>
        <w:t>:</w:t>
      </w:r>
      <w:r>
        <w:rPr>
          <w:rtl/>
        </w:rPr>
        <w:t xml:space="preserve"> وغير ممتنع حمل الخبر علي ظاهره في أن ذاته تملأ العرش ثم قال</w:t>
      </w:r>
      <w:r w:rsidR="000636C2">
        <w:rPr>
          <w:rtl/>
        </w:rPr>
        <w:t>:</w:t>
      </w:r>
      <w:r>
        <w:rPr>
          <w:rtl/>
        </w:rPr>
        <w:t xml:space="preserve"> لا علي شغل مكان</w:t>
      </w:r>
      <w:r w:rsidR="000636C2">
        <w:rPr>
          <w:rtl/>
        </w:rPr>
        <w:t>،</w:t>
      </w:r>
      <w:r>
        <w:rPr>
          <w:rtl/>
        </w:rPr>
        <w:t xml:space="preserve"> </w:t>
      </w:r>
      <w:r w:rsidR="000636C2">
        <w:rPr>
          <w:rtl/>
        </w:rPr>
        <w:t>(</w:t>
      </w:r>
      <w:r>
        <w:rPr>
          <w:rtl/>
        </w:rPr>
        <w:t>قلت</w:t>
      </w:r>
      <w:r w:rsidR="000636C2">
        <w:rPr>
          <w:rtl/>
        </w:rPr>
        <w:t>):</w:t>
      </w:r>
      <w:r>
        <w:rPr>
          <w:rtl/>
        </w:rPr>
        <w:t xml:space="preserve"> ومن يخلط هذا التخليط لا يكلم واعجبا ما يملأ مكانه يشغله . روي القاضي عن خالد بن معدان أنه قال</w:t>
      </w:r>
      <w:r w:rsidR="000636C2">
        <w:rPr>
          <w:rtl/>
        </w:rPr>
        <w:t>:</w:t>
      </w:r>
      <w:r>
        <w:rPr>
          <w:rtl/>
        </w:rPr>
        <w:t xml:space="preserve"> إن الرحمن ليثقل علي حمله العرش</w:t>
      </w:r>
      <w:r w:rsidR="000636C2">
        <w:rPr>
          <w:rtl/>
        </w:rPr>
        <w:t>،</w:t>
      </w:r>
      <w:r>
        <w:rPr>
          <w:rtl/>
        </w:rPr>
        <w:t xml:space="preserve"> وقال غيره</w:t>
      </w:r>
      <w:r w:rsidR="000636C2">
        <w:rPr>
          <w:rtl/>
        </w:rPr>
        <w:t>:</w:t>
      </w:r>
      <w:r>
        <w:rPr>
          <w:rtl/>
        </w:rPr>
        <w:t xml:space="preserve"> متنع حمل هذا علي ظاهره وإن ثقله يحصل علي وجه المماسة</w:t>
      </w:r>
      <w:r w:rsidR="000636C2">
        <w:rPr>
          <w:rtl/>
        </w:rPr>
        <w:t>،</w:t>
      </w:r>
      <w:r>
        <w:rPr>
          <w:rtl/>
        </w:rPr>
        <w:t xml:space="preserve"> </w:t>
      </w:r>
    </w:p>
    <w:p w14:paraId="4F38DE57" w14:textId="54A971DB" w:rsidR="009C32A0" w:rsidRDefault="009C32A0" w:rsidP="000636C2">
      <w:pPr>
        <w:spacing w:after="240"/>
        <w:rPr>
          <w:rtl/>
        </w:rPr>
      </w:pPr>
      <w:r>
        <w:rPr>
          <w:bCs/>
          <w:rtl/>
        </w:rPr>
        <w:t>الحديث الحادي والأربعون</w:t>
      </w:r>
      <w:r w:rsidR="000636C2">
        <w:rPr>
          <w:rtl/>
        </w:rPr>
        <w:t>:</w:t>
      </w:r>
      <w:r>
        <w:rPr>
          <w:rtl/>
        </w:rPr>
        <w:t xml:space="preserve"> روي البخاري ومسلم في الصحيحين من حديث أبي سعيد عن رسول الله صلى الله عليه وسلم قال</w:t>
      </w:r>
      <w:r w:rsidR="000636C2">
        <w:rPr>
          <w:rtl/>
        </w:rPr>
        <w:t>:</w:t>
      </w:r>
      <w:r>
        <w:rPr>
          <w:rtl/>
        </w:rPr>
        <w:t xml:space="preserve"> (</w:t>
      </w:r>
      <w:r w:rsidR="000636C2">
        <w:rPr>
          <w:rtl/>
        </w:rPr>
        <w:t>(</w:t>
      </w:r>
      <w:r>
        <w:rPr>
          <w:rtl/>
        </w:rPr>
        <w:t>يقول الله عز وجل يوم القيامة</w:t>
      </w:r>
      <w:r w:rsidR="000636C2">
        <w:rPr>
          <w:rtl/>
        </w:rPr>
        <w:t>:</w:t>
      </w:r>
      <w:r>
        <w:rPr>
          <w:rtl/>
        </w:rPr>
        <w:t xml:space="preserve"> يا آدم فيقول</w:t>
      </w:r>
      <w:r w:rsidR="000636C2">
        <w:rPr>
          <w:rtl/>
        </w:rPr>
        <w:t>:</w:t>
      </w:r>
      <w:r>
        <w:rPr>
          <w:rtl/>
        </w:rPr>
        <w:t xml:space="preserve"> لبيك وسعديك . فينادي بصوت</w:t>
      </w:r>
      <w:r w:rsidR="000636C2">
        <w:rPr>
          <w:rtl/>
        </w:rPr>
        <w:t>:</w:t>
      </w:r>
      <w:r>
        <w:rPr>
          <w:rtl/>
        </w:rPr>
        <w:t xml:space="preserve"> أن يأمرك أن تخرج من ذريتك بعثا إلى النار</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انفرد بلفظ الصوت حفص ابن غياث وخالفه وكيع وجرير وغيرهما</w:t>
      </w:r>
      <w:r w:rsidR="000636C2">
        <w:rPr>
          <w:rtl/>
        </w:rPr>
        <w:t>،</w:t>
      </w:r>
      <w:r>
        <w:rPr>
          <w:rtl/>
        </w:rPr>
        <w:t xml:space="preserve"> من أصحاب الأعمش فلم يذكروا الصوت</w:t>
      </w:r>
      <w:r w:rsidR="000636C2">
        <w:rPr>
          <w:rtl/>
        </w:rPr>
        <w:t>،</w:t>
      </w:r>
      <w:r>
        <w:rPr>
          <w:rtl/>
        </w:rPr>
        <w:t xml:space="preserve"> وسئل أحمد عن حفص قال</w:t>
      </w:r>
      <w:r w:rsidR="000636C2">
        <w:rPr>
          <w:rtl/>
        </w:rPr>
        <w:t>:</w:t>
      </w:r>
      <w:r>
        <w:rPr>
          <w:rtl/>
        </w:rPr>
        <w:t xml:space="preserve"> كان يخلط في حديثه . وفي الحديث الصحيح</w:t>
      </w:r>
      <w:r w:rsidR="000636C2">
        <w:rPr>
          <w:rtl/>
        </w:rPr>
        <w:t>:</w:t>
      </w:r>
      <w:r>
        <w:rPr>
          <w:rtl/>
        </w:rPr>
        <w:t xml:space="preserve"> إذا تكلم الله بالوحي سمع أهل السماء كجر السلسلة علي الصفا</w:t>
      </w:r>
      <w:r w:rsidR="000636C2">
        <w:rPr>
          <w:rtl/>
        </w:rPr>
        <w:t>،</w:t>
      </w:r>
      <w:r>
        <w:rPr>
          <w:rtl/>
        </w:rPr>
        <w:t xml:space="preserve"> فرواه بعضهم بالمعني الذي يظنه فقال</w:t>
      </w:r>
      <w:r w:rsidR="000636C2">
        <w:rPr>
          <w:rtl/>
        </w:rPr>
        <w:t>:</w:t>
      </w:r>
      <w:r>
        <w:rPr>
          <w:rtl/>
        </w:rPr>
        <w:t xml:space="preserve"> سمع صوته أهل السماء</w:t>
      </w:r>
      <w:r w:rsidR="000636C2">
        <w:rPr>
          <w:rtl/>
        </w:rPr>
        <w:t>،</w:t>
      </w:r>
      <w:r>
        <w:rPr>
          <w:rtl/>
        </w:rPr>
        <w:t xml:space="preserve"> وفي حديث ابن مسعود</w:t>
      </w:r>
      <w:r w:rsidR="000636C2">
        <w:rPr>
          <w:rtl/>
        </w:rPr>
        <w:t>:</w:t>
      </w:r>
      <w:r>
        <w:rPr>
          <w:rtl/>
        </w:rPr>
        <w:t>" إذا تكلم الله بالوحي سمع أهل السماء صلصلة كجر السلسلة علي الصفا "</w:t>
      </w:r>
      <w:r w:rsidR="000636C2">
        <w:rPr>
          <w:rtl/>
        </w:rPr>
        <w:t>،</w:t>
      </w:r>
      <w:r>
        <w:rPr>
          <w:rtl/>
        </w:rPr>
        <w:t xml:space="preserve"> وهذا مع اللفظ الأول أليق وليس في الصحيح</w:t>
      </w:r>
      <w:r w:rsidR="000636C2">
        <w:rPr>
          <w:rtl/>
        </w:rPr>
        <w:t>:</w:t>
      </w:r>
      <w:r>
        <w:rPr>
          <w:rtl/>
        </w:rPr>
        <w:t xml:space="preserve"> سمع صوته أهل السماء</w:t>
      </w:r>
      <w:r w:rsidR="000636C2">
        <w:rPr>
          <w:rtl/>
        </w:rPr>
        <w:t>،</w:t>
      </w:r>
      <w:r>
        <w:rPr>
          <w:rtl/>
        </w:rPr>
        <w:t xml:space="preserve"> </w:t>
      </w:r>
    </w:p>
    <w:p w14:paraId="53B6979B" w14:textId="2FCC82F3" w:rsidR="009C32A0" w:rsidRDefault="009C32A0" w:rsidP="000636C2">
      <w:pPr>
        <w:spacing w:after="240"/>
        <w:rPr>
          <w:rtl/>
        </w:rPr>
      </w:pPr>
      <w:r>
        <w:rPr>
          <w:bCs/>
          <w:rtl/>
        </w:rPr>
        <w:t>الحديث الثاني والأربعون</w:t>
      </w:r>
      <w:r w:rsidR="000636C2">
        <w:rPr>
          <w:rtl/>
        </w:rPr>
        <w:t>:</w:t>
      </w:r>
      <w:r>
        <w:rPr>
          <w:rtl/>
        </w:rPr>
        <w:t xml:space="preserve"> روي جابر رضي الله عنه</w:t>
      </w:r>
      <w:r w:rsidR="000636C2">
        <w:rPr>
          <w:rtl/>
        </w:rPr>
        <w:t xml:space="preserve"> </w:t>
      </w:r>
      <w:r>
        <w:rPr>
          <w:rtl/>
        </w:rPr>
        <w:t>عن النبي صلى الله عليه وسلم أنه قال</w:t>
      </w:r>
      <w:r w:rsidR="000636C2">
        <w:rPr>
          <w:rtl/>
        </w:rPr>
        <w:t>:</w:t>
      </w:r>
      <w:r>
        <w:rPr>
          <w:rtl/>
        </w:rPr>
        <w:t xml:space="preserve"> لما كلم الله موسي عليه السلام يوم الطور</w:t>
      </w:r>
      <w:r w:rsidR="000636C2">
        <w:rPr>
          <w:rtl/>
        </w:rPr>
        <w:t>،</w:t>
      </w:r>
      <w:r>
        <w:rPr>
          <w:rtl/>
        </w:rPr>
        <w:t xml:space="preserve"> كلمه بغير الكلام الذي به ناداه فقال له</w:t>
      </w:r>
      <w:r w:rsidR="000636C2">
        <w:rPr>
          <w:rtl/>
        </w:rPr>
        <w:t>:</w:t>
      </w:r>
      <w:r>
        <w:rPr>
          <w:rtl/>
        </w:rPr>
        <w:t xml:space="preserve"> يا موسي إني كلمتك بقوة عشرة آلاف لسان ولي قوة الألسن كلها</w:t>
      </w:r>
      <w:r w:rsidR="000636C2">
        <w:rPr>
          <w:rtl/>
        </w:rPr>
        <w:t>،</w:t>
      </w:r>
      <w:r>
        <w:rPr>
          <w:rtl/>
        </w:rPr>
        <w:t xml:space="preserve"> وأنا أقوي من ذلك فلما سمع رجع إلى بني إسرائيل قالوا</w:t>
      </w:r>
      <w:r w:rsidR="000636C2">
        <w:rPr>
          <w:rtl/>
        </w:rPr>
        <w:t>:</w:t>
      </w:r>
      <w:r>
        <w:rPr>
          <w:rtl/>
        </w:rPr>
        <w:t xml:space="preserve"> صف لنا كلام الرحمن ..؟ قال</w:t>
      </w:r>
      <w:r w:rsidR="000636C2">
        <w:rPr>
          <w:rtl/>
        </w:rPr>
        <w:t>:</w:t>
      </w:r>
      <w:r>
        <w:rPr>
          <w:rtl/>
        </w:rPr>
        <w:t xml:space="preserve"> لا أستطيع قالوا قربه لنا قال</w:t>
      </w:r>
      <w:r w:rsidR="000636C2">
        <w:rPr>
          <w:rtl/>
        </w:rPr>
        <w:t>:</w:t>
      </w:r>
      <w:r>
        <w:rPr>
          <w:rtl/>
        </w:rPr>
        <w:t xml:space="preserve"> ألم تسمعوا صوت الصواعق التي تقبل بأجلي كلام سمعتموه قط</w:t>
      </w:r>
      <w:r w:rsidR="000636C2">
        <w:rPr>
          <w:rtl/>
        </w:rPr>
        <w:t>،</w:t>
      </w:r>
      <w:r>
        <w:rPr>
          <w:rtl/>
        </w:rPr>
        <w:t xml:space="preserve"> </w:t>
      </w:r>
      <w:r w:rsidR="000636C2">
        <w:rPr>
          <w:rtl/>
        </w:rPr>
        <w:t>(</w:t>
      </w:r>
      <w:r>
        <w:rPr>
          <w:rtl/>
        </w:rPr>
        <w:t>قلت</w:t>
      </w:r>
      <w:r w:rsidR="000636C2">
        <w:rPr>
          <w:rtl/>
        </w:rPr>
        <w:t>):</w:t>
      </w:r>
      <w:r>
        <w:rPr>
          <w:rtl/>
        </w:rPr>
        <w:t xml:space="preserve"> هذا حديث لا يصح يرويه علي بن عاصم عن الفضل بن عيسي قال يحي ليس بشيء</w:t>
      </w:r>
      <w:r w:rsidR="000636C2">
        <w:rPr>
          <w:rtl/>
        </w:rPr>
        <w:t>،</w:t>
      </w:r>
      <w:r>
        <w:rPr>
          <w:rtl/>
        </w:rPr>
        <w:t xml:space="preserve"> وقال النسائي</w:t>
      </w:r>
      <w:r w:rsidR="000636C2">
        <w:rPr>
          <w:rtl/>
        </w:rPr>
        <w:t>:</w:t>
      </w:r>
      <w:r>
        <w:rPr>
          <w:rtl/>
        </w:rPr>
        <w:t xml:space="preserve"> علي بن عاصم متروك الحديث . وقال يزيد بن هارون</w:t>
      </w:r>
      <w:r w:rsidR="000636C2">
        <w:rPr>
          <w:rtl/>
        </w:rPr>
        <w:t>:</w:t>
      </w:r>
      <w:r>
        <w:rPr>
          <w:rtl/>
        </w:rPr>
        <w:t xml:space="preserve"> ما زلنا نعرفه بالكذب</w:t>
      </w:r>
      <w:r w:rsidR="000636C2">
        <w:rPr>
          <w:rtl/>
        </w:rPr>
        <w:t>،</w:t>
      </w:r>
      <w:r>
        <w:rPr>
          <w:rtl/>
        </w:rPr>
        <w:t xml:space="preserve"> وأما الفضل بن عيسي فقال السختياني لو خلق أخرس كان خيرا له</w:t>
      </w:r>
      <w:r w:rsidR="000636C2">
        <w:rPr>
          <w:rtl/>
        </w:rPr>
        <w:t>،</w:t>
      </w:r>
      <w:r>
        <w:rPr>
          <w:rtl/>
        </w:rPr>
        <w:t xml:space="preserve"> وقال ابن عيينة</w:t>
      </w:r>
      <w:r w:rsidR="000636C2">
        <w:rPr>
          <w:rtl/>
        </w:rPr>
        <w:t>:</w:t>
      </w:r>
      <w:r>
        <w:rPr>
          <w:rtl/>
        </w:rPr>
        <w:t xml:space="preserve"> الفضل بن عيسي لا شيء</w:t>
      </w:r>
      <w:r w:rsidR="000636C2">
        <w:rPr>
          <w:rtl/>
        </w:rPr>
        <w:t>،</w:t>
      </w:r>
      <w:r>
        <w:rPr>
          <w:rtl/>
        </w:rPr>
        <w:t xml:space="preserve"> وقال يحي</w:t>
      </w:r>
      <w:r w:rsidR="000636C2">
        <w:rPr>
          <w:rtl/>
        </w:rPr>
        <w:t>:</w:t>
      </w:r>
      <w:r>
        <w:rPr>
          <w:rtl/>
        </w:rPr>
        <w:t xml:space="preserve"> هو رجل سوء</w:t>
      </w:r>
      <w:r w:rsidR="000636C2">
        <w:rPr>
          <w:rtl/>
        </w:rPr>
        <w:t>،</w:t>
      </w:r>
      <w:r>
        <w:rPr>
          <w:rtl/>
        </w:rPr>
        <w:t xml:space="preserve"> </w:t>
      </w:r>
    </w:p>
    <w:p w14:paraId="1EE2F3A5" w14:textId="58CC3A4B" w:rsidR="009C32A0" w:rsidRDefault="009C32A0" w:rsidP="000636C2">
      <w:pPr>
        <w:spacing w:after="240"/>
        <w:rPr>
          <w:rtl/>
        </w:rPr>
      </w:pPr>
      <w:r>
        <w:rPr>
          <w:rtl/>
        </w:rPr>
        <w:t>الحديث الثالث والأبعون</w:t>
      </w:r>
      <w:r w:rsidR="000636C2">
        <w:rPr>
          <w:rtl/>
        </w:rPr>
        <w:t>:</w:t>
      </w:r>
      <w:r>
        <w:rPr>
          <w:rtl/>
        </w:rPr>
        <w:t xml:space="preserve"> روي القاضي عن حسان بن عطية أنه قال</w:t>
      </w:r>
      <w:r w:rsidR="000636C2">
        <w:rPr>
          <w:rtl/>
        </w:rPr>
        <w:t>:</w:t>
      </w:r>
      <w:r>
        <w:rPr>
          <w:rtl/>
        </w:rPr>
        <w:t>" الساجد يسجد علي قدم الرحمن "</w:t>
      </w:r>
      <w:r w:rsidR="000636C2">
        <w:rPr>
          <w:rtl/>
        </w:rPr>
        <w:t>،</w:t>
      </w:r>
      <w:r>
        <w:rPr>
          <w:rtl/>
        </w:rPr>
        <w:t xml:space="preserve"> </w:t>
      </w:r>
      <w:r w:rsidR="000636C2">
        <w:rPr>
          <w:rtl/>
        </w:rPr>
        <w:t>(</w:t>
      </w:r>
      <w:r>
        <w:rPr>
          <w:rtl/>
        </w:rPr>
        <w:t>قلت</w:t>
      </w:r>
      <w:r w:rsidR="000636C2">
        <w:rPr>
          <w:rtl/>
        </w:rPr>
        <w:t>):</w:t>
      </w:r>
      <w:r>
        <w:rPr>
          <w:rtl/>
        </w:rPr>
        <w:t xml:space="preserve"> هذا قول تابعي</w:t>
      </w:r>
      <w:r w:rsidR="000636C2">
        <w:rPr>
          <w:rtl/>
        </w:rPr>
        <w:t>،</w:t>
      </w:r>
      <w:r>
        <w:rPr>
          <w:rtl/>
        </w:rPr>
        <w:t xml:space="preserve"> وهو مثل المقرب من فضل الله تعالى</w:t>
      </w:r>
      <w:r w:rsidR="000636C2">
        <w:rPr>
          <w:rtl/>
        </w:rPr>
        <w:t>،</w:t>
      </w:r>
      <w:r>
        <w:rPr>
          <w:rtl/>
        </w:rPr>
        <w:t xml:space="preserve"> وأثبت القاضي بهذا وصف قدم</w:t>
      </w:r>
      <w:r w:rsidR="000636C2">
        <w:rPr>
          <w:rtl/>
        </w:rPr>
        <w:t>،</w:t>
      </w:r>
      <w:r>
        <w:rPr>
          <w:rtl/>
        </w:rPr>
        <w:t xml:space="preserve"> وإنه يسجد علي قدم حقيقية لا علي وجه المماسة .</w:t>
      </w:r>
    </w:p>
    <w:p w14:paraId="03A9CEB9" w14:textId="0DEF79BA" w:rsidR="009C32A0" w:rsidRDefault="009C32A0" w:rsidP="000636C2">
      <w:pPr>
        <w:spacing w:after="240"/>
        <w:rPr>
          <w:rtl/>
        </w:rPr>
      </w:pPr>
      <w:r>
        <w:rPr>
          <w:rtl/>
        </w:rPr>
        <w:t>الحديث الرابع والأربعون</w:t>
      </w:r>
      <w:r w:rsidR="000636C2">
        <w:rPr>
          <w:rtl/>
        </w:rPr>
        <w:t>:</w:t>
      </w:r>
      <w:r>
        <w:rPr>
          <w:rtl/>
        </w:rPr>
        <w:t xml:space="preserve"> روي البخاري ومسلم في الصحيحين من حديث أبي موسي رضي الله عنه</w:t>
      </w:r>
      <w:r w:rsidR="000636C2">
        <w:rPr>
          <w:rtl/>
        </w:rPr>
        <w:t xml:space="preserve"> </w:t>
      </w:r>
      <w:r>
        <w:rPr>
          <w:rtl/>
        </w:rPr>
        <w:t>عن النبي صلى الله عليه وسلم أنه قال</w:t>
      </w:r>
      <w:r w:rsidR="000636C2">
        <w:rPr>
          <w:rtl/>
        </w:rPr>
        <w:t>:</w:t>
      </w:r>
      <w:r>
        <w:rPr>
          <w:rtl/>
        </w:rPr>
        <w:t xml:space="preserve"> (</w:t>
      </w:r>
      <w:r w:rsidR="000636C2">
        <w:rPr>
          <w:rtl/>
        </w:rPr>
        <w:t>(</w:t>
      </w:r>
      <w:r>
        <w:rPr>
          <w:rtl/>
        </w:rPr>
        <w:t>جنتان من فضة آنيتهما وما فيهما</w:t>
      </w:r>
      <w:r w:rsidR="000636C2">
        <w:rPr>
          <w:rtl/>
        </w:rPr>
        <w:t>،</w:t>
      </w:r>
      <w:r>
        <w:rPr>
          <w:rtl/>
        </w:rPr>
        <w:t xml:space="preserve"> وجنتان من ذهب آنيتهما وما فيهما</w:t>
      </w:r>
      <w:r w:rsidR="000636C2">
        <w:rPr>
          <w:rtl/>
        </w:rPr>
        <w:t>،</w:t>
      </w:r>
      <w:r>
        <w:rPr>
          <w:rtl/>
        </w:rPr>
        <w:t xml:space="preserve"> وليس بين القوم وبين أن ينظروا إلى ربهم إلا رداء الكبرياء علي وجهه في جنة عدن</w:t>
      </w:r>
      <w:r w:rsidR="000636C2">
        <w:rPr>
          <w:rtl/>
        </w:rPr>
        <w:t>)</w:t>
      </w:r>
      <w:r>
        <w:rPr>
          <w:rtl/>
        </w:rPr>
        <w:t>)</w:t>
      </w:r>
      <w:r w:rsidR="000636C2">
        <w:rPr>
          <w:rtl/>
        </w:rPr>
        <w:t xml:space="preserve"> </w:t>
      </w:r>
      <w:r>
        <w:rPr>
          <w:rtl/>
        </w:rPr>
        <w:t>الرائي في جنة عدن لا المرئي لأنه لا تحيط به الأمكنة</w:t>
      </w:r>
      <w:r w:rsidR="000636C2">
        <w:rPr>
          <w:rtl/>
        </w:rPr>
        <w:t>،</w:t>
      </w:r>
      <w:r>
        <w:rPr>
          <w:rtl/>
        </w:rPr>
        <w:t xml:space="preserve"> وقال القاضي . ظاهر الحديث أنه المرئي في جنة عدن</w:t>
      </w:r>
      <w:r w:rsidR="000636C2">
        <w:rPr>
          <w:rtl/>
        </w:rPr>
        <w:t>،</w:t>
      </w:r>
      <w:r>
        <w:rPr>
          <w:rtl/>
        </w:rPr>
        <w:t xml:space="preserve"> </w:t>
      </w:r>
      <w:r w:rsidR="000636C2">
        <w:rPr>
          <w:rtl/>
        </w:rPr>
        <w:t>(</w:t>
      </w:r>
      <w:r>
        <w:rPr>
          <w:rtl/>
        </w:rPr>
        <w:t>قلت</w:t>
      </w:r>
      <w:r w:rsidR="000636C2">
        <w:rPr>
          <w:rtl/>
        </w:rPr>
        <w:t>):</w:t>
      </w:r>
      <w:r>
        <w:rPr>
          <w:rtl/>
        </w:rPr>
        <w:t xml:space="preserve"> وهذا هو التجسيم المحض</w:t>
      </w:r>
      <w:r w:rsidR="000636C2">
        <w:rPr>
          <w:rtl/>
        </w:rPr>
        <w:t>،</w:t>
      </w:r>
      <w:r>
        <w:rPr>
          <w:rtl/>
        </w:rPr>
        <w:t xml:space="preserve"> ورداء الكبرياء ما له من الكبرياء والعظمة، فكأنه له أن يمنعهم فلعظمته</w:t>
      </w:r>
      <w:r w:rsidR="000636C2">
        <w:rPr>
          <w:rtl/>
        </w:rPr>
        <w:t>،</w:t>
      </w:r>
      <w:r>
        <w:rPr>
          <w:rtl/>
        </w:rPr>
        <w:t xml:space="preserve"> وإن شاء كشف لهم</w:t>
      </w:r>
      <w:r w:rsidR="000636C2">
        <w:rPr>
          <w:rtl/>
        </w:rPr>
        <w:t>،</w:t>
      </w:r>
      <w:r>
        <w:rPr>
          <w:rtl/>
        </w:rPr>
        <w:t xml:space="preserve"> وقد تكلمنا علي الوجه في الآيات وقلنا</w:t>
      </w:r>
      <w:r w:rsidR="000636C2">
        <w:rPr>
          <w:rtl/>
        </w:rPr>
        <w:t xml:space="preserve"> </w:t>
      </w:r>
      <w:r>
        <w:rPr>
          <w:rtl/>
        </w:rPr>
        <w:t>المراد بالوجه هو</w:t>
      </w:r>
      <w:r w:rsidR="000636C2">
        <w:rPr>
          <w:rtl/>
        </w:rPr>
        <w:t>،</w:t>
      </w:r>
    </w:p>
    <w:p w14:paraId="246C3127" w14:textId="03AB3E04" w:rsidR="009C32A0" w:rsidRDefault="009C32A0" w:rsidP="000636C2">
      <w:pPr>
        <w:spacing w:after="240"/>
        <w:rPr>
          <w:rtl/>
        </w:rPr>
      </w:pPr>
      <w:r>
        <w:rPr>
          <w:bCs/>
          <w:rtl/>
        </w:rPr>
        <w:t>الحديث الخامس والأربعون</w:t>
      </w:r>
      <w:r w:rsidR="000636C2">
        <w:rPr>
          <w:rtl/>
        </w:rPr>
        <w:t>:</w:t>
      </w:r>
      <w:r>
        <w:rPr>
          <w:rtl/>
        </w:rPr>
        <w:t xml:space="preserve"> روي البخاري ومسلم في الصحيحين من حديث أبي هريرة رضي الله عنه</w:t>
      </w:r>
      <w:r w:rsidR="000636C2">
        <w:rPr>
          <w:rtl/>
        </w:rPr>
        <w:t xml:space="preserve"> </w:t>
      </w:r>
      <w:r>
        <w:rPr>
          <w:rtl/>
        </w:rPr>
        <w:t>قال رسول الله صلى الله عليه وسلم</w:t>
      </w:r>
      <w:r w:rsidR="000636C2">
        <w:rPr>
          <w:rtl/>
        </w:rPr>
        <w:t>:</w:t>
      </w:r>
      <w:r>
        <w:rPr>
          <w:rtl/>
        </w:rPr>
        <w:t xml:space="preserve"> (</w:t>
      </w:r>
      <w:r w:rsidR="000636C2">
        <w:rPr>
          <w:rtl/>
        </w:rPr>
        <w:t>(</w:t>
      </w:r>
      <w:r>
        <w:rPr>
          <w:rtl/>
        </w:rPr>
        <w:t>لما قضي الله الخلق كتب في كتابه فهو عنده فوق العرش إن رحمتي غلبت غضبي</w:t>
      </w:r>
      <w:r w:rsidR="000636C2">
        <w:rPr>
          <w:rtl/>
        </w:rPr>
        <w:t>)</w:t>
      </w:r>
      <w:r>
        <w:rPr>
          <w:rtl/>
        </w:rPr>
        <w:t>)</w:t>
      </w:r>
      <w:r w:rsidR="000636C2">
        <w:rPr>
          <w:rtl/>
        </w:rPr>
        <w:t>،</w:t>
      </w:r>
      <w:r>
        <w:rPr>
          <w:rtl/>
        </w:rPr>
        <w:t xml:space="preserve"> وفي لفظ سبقت</w:t>
      </w:r>
      <w:r w:rsidR="000636C2">
        <w:rPr>
          <w:rtl/>
        </w:rPr>
        <w:t>،</w:t>
      </w:r>
      <w:r>
        <w:rPr>
          <w:rtl/>
        </w:rPr>
        <w:t xml:space="preserve"> قال القاضي</w:t>
      </w:r>
      <w:r w:rsidR="000636C2">
        <w:rPr>
          <w:rtl/>
        </w:rPr>
        <w:t>:</w:t>
      </w:r>
      <w:r>
        <w:rPr>
          <w:rtl/>
        </w:rPr>
        <w:t xml:space="preserve"> ظاهر قوله عنده القرب من الذات . واعلم أن القرب من الحق لا يكون بمساحة وإنما ذلك من صفة الأجسام</w:t>
      </w:r>
      <w:r w:rsidR="000636C2">
        <w:rPr>
          <w:rtl/>
        </w:rPr>
        <w:t>،</w:t>
      </w:r>
      <w:r>
        <w:rPr>
          <w:rtl/>
        </w:rPr>
        <w:t xml:space="preserve"> وقد قال سبحانه وتعالى " مسومة عند ربك " .</w:t>
      </w:r>
    </w:p>
    <w:p w14:paraId="65A66382" w14:textId="09F76A86" w:rsidR="009C32A0" w:rsidRDefault="009C32A0" w:rsidP="000636C2">
      <w:pPr>
        <w:spacing w:after="240"/>
        <w:rPr>
          <w:rtl/>
        </w:rPr>
      </w:pPr>
      <w:r>
        <w:rPr>
          <w:bCs/>
          <w:rtl/>
        </w:rPr>
        <w:t>الحديث السادس والأربعون</w:t>
      </w:r>
      <w:r w:rsidR="000636C2">
        <w:rPr>
          <w:rtl/>
        </w:rPr>
        <w:t>:</w:t>
      </w:r>
      <w:r>
        <w:rPr>
          <w:rtl/>
        </w:rPr>
        <w:t xml:space="preserve"> روي عن بعض التابعين أنه قال</w:t>
      </w:r>
      <w:r w:rsidR="000636C2">
        <w:rPr>
          <w:rtl/>
        </w:rPr>
        <w:t>:</w:t>
      </w:r>
      <w:r>
        <w:rPr>
          <w:rtl/>
        </w:rPr>
        <w:t xml:space="preserve"> " خلق الله آدم بيده</w:t>
      </w:r>
      <w:r w:rsidR="000636C2">
        <w:rPr>
          <w:rtl/>
        </w:rPr>
        <w:t>،</w:t>
      </w:r>
      <w:r>
        <w:rPr>
          <w:rtl/>
        </w:rPr>
        <w:t xml:space="preserve"> وكتب التوراة بيده وغرس الفردوس بيده "</w:t>
      </w:r>
      <w:r w:rsidR="000636C2">
        <w:rPr>
          <w:rtl/>
        </w:rPr>
        <w:t>،</w:t>
      </w:r>
      <w:r>
        <w:rPr>
          <w:rtl/>
        </w:rPr>
        <w:t xml:space="preserve"> </w:t>
      </w:r>
      <w:r w:rsidR="000636C2">
        <w:rPr>
          <w:rtl/>
        </w:rPr>
        <w:t>(</w:t>
      </w:r>
      <w:r>
        <w:rPr>
          <w:rtl/>
        </w:rPr>
        <w:t>قلت</w:t>
      </w:r>
      <w:r w:rsidR="000636C2">
        <w:rPr>
          <w:rtl/>
        </w:rPr>
        <w:t>):</w:t>
      </w:r>
      <w:r>
        <w:rPr>
          <w:rtl/>
        </w:rPr>
        <w:t xml:space="preserve"> هذا حديث لا يثبت عن قائله وقد تكلمنا علي قوله تعالى</w:t>
      </w:r>
      <w:r w:rsidR="000636C2">
        <w:rPr>
          <w:rtl/>
        </w:rPr>
        <w:t>:</w:t>
      </w:r>
      <w:r>
        <w:rPr>
          <w:rtl/>
        </w:rPr>
        <w:t xml:space="preserve"> </w:t>
      </w:r>
      <w:r w:rsidR="000636C2">
        <w:rPr>
          <w:rtl/>
        </w:rPr>
        <w:t>{</w:t>
      </w:r>
      <w:r>
        <w:rPr>
          <w:rtl/>
        </w:rPr>
        <w:t>لما خلقت بيدي</w:t>
      </w:r>
      <w:r w:rsidR="000636C2">
        <w:rPr>
          <w:rtl/>
        </w:rPr>
        <w:t>}،</w:t>
      </w:r>
    </w:p>
    <w:p w14:paraId="3B4450DD" w14:textId="6494A4B2" w:rsidR="009C32A0" w:rsidRDefault="009C32A0" w:rsidP="000636C2">
      <w:pPr>
        <w:spacing w:after="240"/>
        <w:rPr>
          <w:rtl/>
        </w:rPr>
      </w:pPr>
      <w:r>
        <w:rPr>
          <w:bCs/>
          <w:rtl/>
        </w:rPr>
        <w:t>الحديث السابع والأربعون</w:t>
      </w:r>
      <w:r w:rsidR="000636C2">
        <w:rPr>
          <w:rtl/>
        </w:rPr>
        <w:t>:</w:t>
      </w:r>
      <w:r>
        <w:rPr>
          <w:rtl/>
        </w:rPr>
        <w:t xml:space="preserve"> روي ابن عباس رضي الله عنه عن النبي صلى الله عليه وسلم في قوله تعالى</w:t>
      </w:r>
      <w:r w:rsidR="000636C2">
        <w:rPr>
          <w:rtl/>
        </w:rPr>
        <w:t>:</w:t>
      </w:r>
      <w:r>
        <w:rPr>
          <w:rtl/>
        </w:rPr>
        <w:t xml:space="preserve"> </w:t>
      </w:r>
      <w:r w:rsidR="000636C2">
        <w:rPr>
          <w:rtl/>
        </w:rPr>
        <w:t>{</w:t>
      </w:r>
      <w:r>
        <w:rPr>
          <w:rtl/>
        </w:rPr>
        <w:t>وسع كرسيه السماوات والأرض</w:t>
      </w:r>
      <w:r w:rsidR="000636C2">
        <w:rPr>
          <w:rtl/>
        </w:rPr>
        <w:t>}،</w:t>
      </w:r>
      <w:r>
        <w:rPr>
          <w:rtl/>
        </w:rPr>
        <w:t xml:space="preserve"> قال</w:t>
      </w:r>
      <w:r w:rsidR="000636C2">
        <w:rPr>
          <w:rtl/>
        </w:rPr>
        <w:t>:</w:t>
      </w:r>
      <w:r>
        <w:rPr>
          <w:rtl/>
        </w:rPr>
        <w:t xml:space="preserve"> " كرسيه موضع قدميه</w:t>
      </w:r>
      <w:r w:rsidR="000636C2">
        <w:rPr>
          <w:rtl/>
        </w:rPr>
        <w:t>،</w:t>
      </w:r>
      <w:r>
        <w:rPr>
          <w:rtl/>
        </w:rPr>
        <w:t xml:space="preserve"> والعرش لا يقدر قدره "</w:t>
      </w:r>
      <w:r w:rsidR="000636C2">
        <w:rPr>
          <w:rtl/>
        </w:rPr>
        <w:t>،</w:t>
      </w:r>
      <w:r>
        <w:rPr>
          <w:rtl/>
        </w:rPr>
        <w:t xml:space="preserve"> </w:t>
      </w:r>
      <w:r w:rsidR="000636C2">
        <w:rPr>
          <w:rtl/>
        </w:rPr>
        <w:t>(</w:t>
      </w:r>
      <w:r>
        <w:rPr>
          <w:rtl/>
        </w:rPr>
        <w:t>قلت</w:t>
      </w:r>
      <w:r w:rsidR="000636C2">
        <w:rPr>
          <w:rtl/>
        </w:rPr>
        <w:t>):</w:t>
      </w:r>
      <w:r>
        <w:rPr>
          <w:rtl/>
        </w:rPr>
        <w:t xml:space="preserve"> رواة جماعة من الأثبات فوقفوه علي ابن عباس</w:t>
      </w:r>
      <w:r w:rsidR="000636C2">
        <w:rPr>
          <w:rtl/>
        </w:rPr>
        <w:t>،</w:t>
      </w:r>
      <w:r>
        <w:rPr>
          <w:rtl/>
        </w:rPr>
        <w:t xml:space="preserve"> ورفعه منهم شجاع ابن مخلد فعلم بمخالفته الكبار المتقنين أنه قد غلط</w:t>
      </w:r>
      <w:r w:rsidR="000636C2">
        <w:rPr>
          <w:rtl/>
        </w:rPr>
        <w:t>،</w:t>
      </w:r>
      <w:r>
        <w:rPr>
          <w:rtl/>
        </w:rPr>
        <w:t xml:space="preserve"> ومعني الحديث . أن الكرسي صغير بالإضافة إلى العرش كمقدار كرسي يكون عنده سرير قد وضع لقدمي القاعد علي السرير</w:t>
      </w:r>
      <w:r w:rsidR="000636C2">
        <w:rPr>
          <w:rtl/>
        </w:rPr>
        <w:t>،</w:t>
      </w:r>
      <w:r>
        <w:rPr>
          <w:rtl/>
        </w:rPr>
        <w:t xml:space="preserve"> قال الضحاك</w:t>
      </w:r>
      <w:r w:rsidR="000636C2">
        <w:rPr>
          <w:rtl/>
        </w:rPr>
        <w:t>:</w:t>
      </w:r>
      <w:r>
        <w:rPr>
          <w:rtl/>
        </w:rPr>
        <w:t xml:space="preserve"> الكرسي الذي تجعل الملوك أرجلهم عليه . وقال القاضي</w:t>
      </w:r>
      <w:r w:rsidR="000636C2">
        <w:rPr>
          <w:rtl/>
        </w:rPr>
        <w:t>:</w:t>
      </w:r>
      <w:r>
        <w:rPr>
          <w:rtl/>
        </w:rPr>
        <w:t xml:space="preserve"> القدم قدم الذات</w:t>
      </w:r>
      <w:r w:rsidR="000636C2">
        <w:rPr>
          <w:rtl/>
        </w:rPr>
        <w:t>،</w:t>
      </w:r>
      <w:r>
        <w:rPr>
          <w:rtl/>
        </w:rPr>
        <w:t xml:space="preserve"> وهي التي يضعها في النار</w:t>
      </w:r>
      <w:r w:rsidR="000636C2">
        <w:rPr>
          <w:rtl/>
        </w:rPr>
        <w:t>،</w:t>
      </w:r>
    </w:p>
    <w:p w14:paraId="46DEF192" w14:textId="7A69B067" w:rsidR="009C32A0" w:rsidRDefault="009C32A0" w:rsidP="000636C2">
      <w:pPr>
        <w:spacing w:after="240"/>
        <w:rPr>
          <w:rtl/>
        </w:rPr>
      </w:pPr>
      <w:r>
        <w:rPr>
          <w:bCs/>
          <w:rtl/>
        </w:rPr>
        <w:t>الحديث الثامن والأربعون</w:t>
      </w:r>
      <w:r w:rsidR="000636C2">
        <w:rPr>
          <w:rtl/>
        </w:rPr>
        <w:t>:</w:t>
      </w:r>
      <w:r>
        <w:rPr>
          <w:rtl/>
        </w:rPr>
        <w:t xml:space="preserve"> حديث العباس رضي الله عنه</w:t>
      </w:r>
      <w:r w:rsidR="000636C2">
        <w:rPr>
          <w:rtl/>
        </w:rPr>
        <w:t xml:space="preserve"> </w:t>
      </w:r>
      <w:r>
        <w:rPr>
          <w:rtl/>
        </w:rPr>
        <w:t>عن رسول الله صلى الله عليه وسلم أنه قال</w:t>
      </w:r>
      <w:r w:rsidR="000636C2">
        <w:rPr>
          <w:rtl/>
        </w:rPr>
        <w:t>:</w:t>
      </w:r>
      <w:r>
        <w:rPr>
          <w:rtl/>
        </w:rPr>
        <w:t xml:space="preserve"> " فوق السماء السابعة بحر بين أعلاه وأسفله كما بين السماء والأرض</w:t>
      </w:r>
      <w:r w:rsidR="000636C2">
        <w:rPr>
          <w:rtl/>
        </w:rPr>
        <w:t>،</w:t>
      </w:r>
      <w:r>
        <w:rPr>
          <w:rtl/>
        </w:rPr>
        <w:t xml:space="preserve"> والله تعالى فوق ذلك "</w:t>
      </w:r>
      <w:r w:rsidR="000636C2">
        <w:rPr>
          <w:rtl/>
        </w:rPr>
        <w:t>،</w:t>
      </w:r>
      <w:r>
        <w:rPr>
          <w:rtl/>
        </w:rPr>
        <w:t xml:space="preserve"> هذا حديث لا يصح تفرد به يحي بن العلاء</w:t>
      </w:r>
      <w:r w:rsidR="000636C2">
        <w:rPr>
          <w:rtl/>
        </w:rPr>
        <w:t>،</w:t>
      </w:r>
      <w:r>
        <w:rPr>
          <w:rtl/>
        </w:rPr>
        <w:t xml:space="preserve"> قال أحمد هو كذاب يضع الحديث</w:t>
      </w:r>
      <w:r w:rsidR="000636C2">
        <w:rPr>
          <w:rtl/>
        </w:rPr>
        <w:t>،</w:t>
      </w:r>
      <w:r>
        <w:rPr>
          <w:rtl/>
        </w:rPr>
        <w:t xml:space="preserve"> وقال يحي بن معين</w:t>
      </w:r>
      <w:r w:rsidR="000636C2">
        <w:rPr>
          <w:rtl/>
        </w:rPr>
        <w:t>:</w:t>
      </w:r>
      <w:r>
        <w:rPr>
          <w:rtl/>
        </w:rPr>
        <w:t xml:space="preserve"> ليس بثقة</w:t>
      </w:r>
      <w:r w:rsidR="000636C2">
        <w:rPr>
          <w:rtl/>
        </w:rPr>
        <w:t>،</w:t>
      </w:r>
      <w:r>
        <w:rPr>
          <w:rtl/>
        </w:rPr>
        <w:t xml:space="preserve"> وقال ابن عدي</w:t>
      </w:r>
      <w:r w:rsidR="000636C2">
        <w:rPr>
          <w:rtl/>
        </w:rPr>
        <w:t>:</w:t>
      </w:r>
      <w:r>
        <w:rPr>
          <w:rtl/>
        </w:rPr>
        <w:t xml:space="preserve"> أحاديثه موضوعة . وقد تكلمنا في الفوقية في قوله تعالى</w:t>
      </w:r>
      <w:r w:rsidR="000636C2">
        <w:rPr>
          <w:rtl/>
        </w:rPr>
        <w:t>:</w:t>
      </w:r>
      <w:r>
        <w:rPr>
          <w:rtl/>
        </w:rPr>
        <w:t xml:space="preserve"> </w:t>
      </w:r>
      <w:r w:rsidR="000636C2">
        <w:rPr>
          <w:rtl/>
        </w:rPr>
        <w:t>{</w:t>
      </w:r>
      <w:r>
        <w:rPr>
          <w:rtl/>
        </w:rPr>
        <w:t>وهو القاهر فوق عباده</w:t>
      </w:r>
      <w:r w:rsidR="000636C2">
        <w:rPr>
          <w:rtl/>
        </w:rPr>
        <w:t>}،</w:t>
      </w:r>
      <w:r>
        <w:rPr>
          <w:rtl/>
        </w:rPr>
        <w:t xml:space="preserve"> قال القاضي</w:t>
      </w:r>
      <w:r w:rsidR="000636C2">
        <w:rPr>
          <w:rtl/>
        </w:rPr>
        <w:t>:</w:t>
      </w:r>
      <w:r>
        <w:rPr>
          <w:rtl/>
        </w:rPr>
        <w:t xml:space="preserve"> المراد من الفوقية: استواء الذات علي العرش</w:t>
      </w:r>
      <w:r w:rsidR="000636C2">
        <w:rPr>
          <w:rtl/>
        </w:rPr>
        <w:t>،</w:t>
      </w:r>
      <w:r>
        <w:rPr>
          <w:rtl/>
        </w:rPr>
        <w:t xml:space="preserve"> وقال هو علي العرش ما حاذي العرش من ذاته فهو حد له وما عدا الجهة المحاذية للعرش وهو الفوق والخلف والأمام واليسرة لا يحد</w:t>
      </w:r>
      <w:r w:rsidR="000636C2">
        <w:rPr>
          <w:rtl/>
        </w:rPr>
        <w:t>،</w:t>
      </w:r>
      <w:r>
        <w:rPr>
          <w:rtl/>
        </w:rPr>
        <w:t xml:space="preserve"> </w:t>
      </w:r>
      <w:r w:rsidR="000636C2">
        <w:rPr>
          <w:rtl/>
        </w:rPr>
        <w:t>(</w:t>
      </w:r>
      <w:r>
        <w:rPr>
          <w:rtl/>
        </w:rPr>
        <w:t>قلت</w:t>
      </w:r>
      <w:r w:rsidR="000636C2">
        <w:rPr>
          <w:rtl/>
        </w:rPr>
        <w:t>):</w:t>
      </w:r>
      <w:r>
        <w:rPr>
          <w:rtl/>
        </w:rPr>
        <w:t xml:space="preserve"> هذا الكلام أصل التجسيم لأن المحاذي يكون أكبر أو أصغر والمقادير لا تكون إلا في الأجسام</w:t>
      </w:r>
      <w:r w:rsidR="000636C2">
        <w:rPr>
          <w:rtl/>
        </w:rPr>
        <w:t>،</w:t>
      </w:r>
      <w:r>
        <w:rPr>
          <w:rtl/>
        </w:rPr>
        <w:t xml:space="preserve"> قال القاضي</w:t>
      </w:r>
      <w:r w:rsidR="000636C2">
        <w:rPr>
          <w:rtl/>
        </w:rPr>
        <w:t>:</w:t>
      </w:r>
      <w:r>
        <w:rPr>
          <w:rtl/>
        </w:rPr>
        <w:t xml:space="preserve"> إذا ثبت أنه مستو علي العرش فهل يجوز أن نطلق عليه الجلوس والقيام</w:t>
      </w:r>
      <w:r w:rsidR="000636C2">
        <w:rPr>
          <w:rtl/>
        </w:rPr>
        <w:t>،</w:t>
      </w:r>
      <w:r>
        <w:rPr>
          <w:rtl/>
        </w:rPr>
        <w:t xml:space="preserve"> ما وجدت عن إمامنا في هذا شيئا</w:t>
      </w:r>
      <w:r w:rsidR="000636C2">
        <w:rPr>
          <w:rtl/>
        </w:rPr>
        <w:t>،</w:t>
      </w:r>
      <w:r>
        <w:rPr>
          <w:rtl/>
        </w:rPr>
        <w:t xml:space="preserve"> </w:t>
      </w:r>
      <w:r w:rsidR="000636C2">
        <w:rPr>
          <w:rtl/>
        </w:rPr>
        <w:t>(</w:t>
      </w:r>
      <w:r>
        <w:rPr>
          <w:rtl/>
        </w:rPr>
        <w:t>قلت</w:t>
      </w:r>
      <w:r w:rsidR="000636C2">
        <w:rPr>
          <w:rtl/>
        </w:rPr>
        <w:t>):</w:t>
      </w:r>
      <w:r>
        <w:rPr>
          <w:rtl/>
        </w:rPr>
        <w:t xml:space="preserve"> وكلا الشيئين لا يصح . أما لفظة القعود فقد رواها عن ابن عباس و لا يصح</w:t>
      </w:r>
      <w:r w:rsidR="000636C2">
        <w:rPr>
          <w:rtl/>
        </w:rPr>
        <w:t>،</w:t>
      </w:r>
      <w:r>
        <w:rPr>
          <w:rtl/>
        </w:rPr>
        <w:t xml:space="preserve"> وأما القيام فيرويها عيسي بن جابر عن عمر ابن الصبيح</w:t>
      </w:r>
      <w:r w:rsidR="000636C2">
        <w:rPr>
          <w:rtl/>
        </w:rPr>
        <w:t>،</w:t>
      </w:r>
      <w:r>
        <w:rPr>
          <w:rtl/>
        </w:rPr>
        <w:t xml:space="preserve"> قال البخاري قال عمر بن الصبيح أنا وضعت خطبة رسول الله صلى الله عليه وسلم وقال ابن حبان</w:t>
      </w:r>
      <w:r w:rsidR="000636C2">
        <w:rPr>
          <w:rtl/>
        </w:rPr>
        <w:t>:</w:t>
      </w:r>
      <w:r>
        <w:rPr>
          <w:rtl/>
        </w:rPr>
        <w:t xml:space="preserve"> وكان يضع الحديث علي الثقات لا يصح كتب حديث إلا علي التعجب</w:t>
      </w:r>
      <w:r w:rsidR="000636C2">
        <w:rPr>
          <w:rtl/>
        </w:rPr>
        <w:t>،</w:t>
      </w:r>
      <w:r>
        <w:rPr>
          <w:rtl/>
        </w:rPr>
        <w:t xml:space="preserve"> وقال الدارقطني</w:t>
      </w:r>
      <w:r w:rsidR="000636C2">
        <w:rPr>
          <w:rtl/>
        </w:rPr>
        <w:t>:</w:t>
      </w:r>
      <w:r>
        <w:rPr>
          <w:rtl/>
        </w:rPr>
        <w:t xml:space="preserve"> متروك وقال الأزدي كذاب ذاهل</w:t>
      </w:r>
      <w:r w:rsidR="000636C2">
        <w:rPr>
          <w:rtl/>
        </w:rPr>
        <w:t>،</w:t>
      </w:r>
      <w:r>
        <w:rPr>
          <w:rtl/>
        </w:rPr>
        <w:t xml:space="preserve"> </w:t>
      </w:r>
      <w:r w:rsidR="000636C2">
        <w:rPr>
          <w:rtl/>
        </w:rPr>
        <w:t>(</w:t>
      </w:r>
      <w:r>
        <w:rPr>
          <w:rtl/>
        </w:rPr>
        <w:t>قلت</w:t>
      </w:r>
      <w:r w:rsidR="000636C2">
        <w:rPr>
          <w:rtl/>
        </w:rPr>
        <w:t>):</w:t>
      </w:r>
      <w:r>
        <w:rPr>
          <w:rtl/>
        </w:rPr>
        <w:t xml:space="preserve"> وبمثل هذه يثبت لله صفة أين العقول</w:t>
      </w:r>
      <w:r w:rsidR="000636C2">
        <w:rPr>
          <w:rtl/>
        </w:rPr>
        <w:t>؟</w:t>
      </w:r>
      <w:r>
        <w:rPr>
          <w:rtl/>
        </w:rPr>
        <w:t xml:space="preserve"> تعالى الحق أن يوصف بقيام وهو انتصاب القامة إنما هو قائم بالقسط</w:t>
      </w:r>
      <w:r w:rsidR="000636C2">
        <w:rPr>
          <w:rtl/>
        </w:rPr>
        <w:t>،</w:t>
      </w:r>
      <w:r>
        <w:rPr>
          <w:rtl/>
        </w:rPr>
        <w:t xml:space="preserve"> ولا يوصف بقعود ولأنها حالة الجسماني .</w:t>
      </w:r>
    </w:p>
    <w:p w14:paraId="71E64C39" w14:textId="2087EC64" w:rsidR="009C32A0" w:rsidRDefault="009C32A0" w:rsidP="000636C2">
      <w:pPr>
        <w:spacing w:after="240"/>
        <w:rPr>
          <w:rtl/>
        </w:rPr>
      </w:pPr>
      <w:r>
        <w:rPr>
          <w:bCs/>
          <w:rtl/>
        </w:rPr>
        <w:t>الحديث التاسع والأربعون</w:t>
      </w:r>
      <w:r w:rsidR="000636C2">
        <w:rPr>
          <w:rtl/>
        </w:rPr>
        <w:t>:</w:t>
      </w:r>
      <w:r>
        <w:rPr>
          <w:rtl/>
        </w:rPr>
        <w:t xml:space="preserve"> روي في الصحيحين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من تصدق بعدل تمرة من كسب طيب ولا يقبل الله إلا طيبا</w:t>
      </w:r>
      <w:r w:rsidR="000636C2">
        <w:rPr>
          <w:rtl/>
        </w:rPr>
        <w:t>،</w:t>
      </w:r>
      <w:r>
        <w:rPr>
          <w:rtl/>
        </w:rPr>
        <w:t xml:space="preserve"> فإن الله يتقبلها بيمينه ثم يربيها لصاحبها كما يربي أحدكم فلوه حتي تكون مثل الجمل</w:t>
      </w:r>
      <w:r w:rsidR="000636C2">
        <w:rPr>
          <w:rtl/>
        </w:rPr>
        <w:t>)</w:t>
      </w:r>
      <w:r>
        <w:rPr>
          <w:rtl/>
        </w:rPr>
        <w:t>)</w:t>
      </w:r>
      <w:r w:rsidR="000636C2">
        <w:rPr>
          <w:rtl/>
        </w:rPr>
        <w:t>،</w:t>
      </w:r>
      <w:r>
        <w:rPr>
          <w:rtl/>
        </w:rPr>
        <w:t xml:space="preserve"> وفي لفظ أخرجه مسلم</w:t>
      </w:r>
      <w:r w:rsidR="000636C2">
        <w:rPr>
          <w:rtl/>
        </w:rPr>
        <w:t>:</w:t>
      </w:r>
      <w:r>
        <w:rPr>
          <w:rtl/>
        </w:rPr>
        <w:t xml:space="preserve"> (</w:t>
      </w:r>
      <w:r w:rsidR="000636C2">
        <w:rPr>
          <w:rtl/>
        </w:rPr>
        <w:t>(</w:t>
      </w:r>
      <w:r>
        <w:rPr>
          <w:rtl/>
        </w:rPr>
        <w:t>فتربوا في كف الرحمن حتي تكون أعظم من الجبل</w:t>
      </w:r>
      <w:r w:rsidR="000636C2">
        <w:rPr>
          <w:rtl/>
        </w:rPr>
        <w:t>)</w:t>
      </w:r>
      <w:r>
        <w:rPr>
          <w:rtl/>
        </w:rPr>
        <w:t>)</w:t>
      </w:r>
      <w:r w:rsidR="000636C2">
        <w:rPr>
          <w:rtl/>
        </w:rPr>
        <w:t>،</w:t>
      </w:r>
      <w:r>
        <w:rPr>
          <w:rtl/>
        </w:rPr>
        <w:t xml:space="preserve"> قال العلماء هذا خطاب للناس بما بما يعلمونه ويفهمونه من الأخذ والتربية والنمو لما كان التناول باليد والقبض بالكف . خاطبهم بما يعقلون</w:t>
      </w:r>
      <w:r w:rsidR="000636C2">
        <w:rPr>
          <w:rtl/>
        </w:rPr>
        <w:t>،</w:t>
      </w:r>
      <w:r>
        <w:rPr>
          <w:rtl/>
        </w:rPr>
        <w:t xml:space="preserve"> وإنما جري ذكر اليمين لأنها مرصدة لما عز من الأمور</w:t>
      </w:r>
      <w:r w:rsidR="000636C2">
        <w:rPr>
          <w:rtl/>
        </w:rPr>
        <w:t>،</w:t>
      </w:r>
      <w:r>
        <w:rPr>
          <w:rtl/>
        </w:rPr>
        <w:t xml:space="preserve"> ومعني التربية المضاعفة</w:t>
      </w:r>
      <w:r w:rsidR="000636C2">
        <w:rPr>
          <w:rtl/>
        </w:rPr>
        <w:t>،</w:t>
      </w:r>
      <w:r>
        <w:rPr>
          <w:rtl/>
        </w:rPr>
        <w:t xml:space="preserve"> </w:t>
      </w:r>
    </w:p>
    <w:p w14:paraId="2B070CE9" w14:textId="23605CDA" w:rsidR="009C32A0" w:rsidRDefault="009C32A0" w:rsidP="000636C2">
      <w:pPr>
        <w:spacing w:after="240"/>
        <w:rPr>
          <w:rtl/>
        </w:rPr>
      </w:pPr>
      <w:r>
        <w:rPr>
          <w:bCs/>
          <w:rtl/>
        </w:rPr>
        <w:t>الحديث</w:t>
      </w:r>
      <w:r w:rsidR="000636C2">
        <w:rPr>
          <w:bCs/>
          <w:rtl/>
        </w:rPr>
        <w:t xml:space="preserve"> </w:t>
      </w:r>
      <w:r>
        <w:rPr>
          <w:bCs/>
          <w:rtl/>
        </w:rPr>
        <w:t>الخمسون</w:t>
      </w:r>
      <w:r w:rsidR="000636C2">
        <w:rPr>
          <w:rtl/>
        </w:rPr>
        <w:t>:</w:t>
      </w:r>
      <w:r>
        <w:rPr>
          <w:rtl/>
        </w:rPr>
        <w:t xml:space="preserve"> روي البخاري ومسلم في الصحيحين من حديث أنس بن مالك رضي الله عنه</w:t>
      </w:r>
      <w:r w:rsidR="000636C2">
        <w:rPr>
          <w:rtl/>
        </w:rPr>
        <w:t xml:space="preserve"> </w:t>
      </w:r>
      <w:r>
        <w:rPr>
          <w:rtl/>
        </w:rPr>
        <w:t>عن النبي صلى الله عليه وسلم أنه ذكر الدجال فقال</w:t>
      </w:r>
      <w:r w:rsidR="000636C2">
        <w:rPr>
          <w:rtl/>
        </w:rPr>
        <w:t>:</w:t>
      </w:r>
      <w:r>
        <w:rPr>
          <w:rtl/>
        </w:rPr>
        <w:t xml:space="preserve"> (</w:t>
      </w:r>
      <w:r w:rsidR="000636C2">
        <w:rPr>
          <w:rtl/>
        </w:rPr>
        <w:t>(</w:t>
      </w:r>
      <w:r>
        <w:rPr>
          <w:rtl/>
        </w:rPr>
        <w:t>ألا إنه أعور وإن ربكم ليس بأعور</w:t>
      </w:r>
      <w:r w:rsidR="000636C2">
        <w:rPr>
          <w:rtl/>
        </w:rPr>
        <w:t>)</w:t>
      </w:r>
      <w:r>
        <w:rPr>
          <w:rtl/>
        </w:rPr>
        <w:t>)</w:t>
      </w:r>
      <w:r w:rsidR="000636C2">
        <w:rPr>
          <w:rtl/>
        </w:rPr>
        <w:t>،</w:t>
      </w:r>
      <w:r>
        <w:rPr>
          <w:rtl/>
        </w:rPr>
        <w:t xml:space="preserve"> قال العلماء</w:t>
      </w:r>
      <w:r w:rsidR="000636C2">
        <w:rPr>
          <w:rtl/>
        </w:rPr>
        <w:t>:</w:t>
      </w:r>
      <w:r>
        <w:rPr>
          <w:rtl/>
        </w:rPr>
        <w:t xml:space="preserve"> إنما أراد تحقيق وصفه بأنه لا يجوز عليه النقص</w:t>
      </w:r>
      <w:r w:rsidR="000636C2">
        <w:rPr>
          <w:rtl/>
        </w:rPr>
        <w:t>،</w:t>
      </w:r>
      <w:r>
        <w:rPr>
          <w:rtl/>
        </w:rPr>
        <w:t xml:space="preserve"> والعور نقص ولم يرد إثبات جارحة</w:t>
      </w:r>
      <w:r w:rsidR="000636C2">
        <w:rPr>
          <w:rtl/>
        </w:rPr>
        <w:t>،</w:t>
      </w:r>
      <w:r>
        <w:rPr>
          <w:rtl/>
        </w:rPr>
        <w:t xml:space="preserve"> لأنه لا مدح</w:t>
      </w:r>
      <w:r w:rsidR="000636C2">
        <w:rPr>
          <w:rtl/>
        </w:rPr>
        <w:t xml:space="preserve"> </w:t>
      </w:r>
      <w:r>
        <w:rPr>
          <w:rtl/>
        </w:rPr>
        <w:t>في إثبات جارحة</w:t>
      </w:r>
      <w:r w:rsidR="000636C2">
        <w:rPr>
          <w:rtl/>
        </w:rPr>
        <w:t>،</w:t>
      </w:r>
      <w:r>
        <w:rPr>
          <w:rtl/>
        </w:rPr>
        <w:t xml:space="preserve"> قال بن عقيل</w:t>
      </w:r>
      <w:r w:rsidR="000636C2">
        <w:rPr>
          <w:rtl/>
        </w:rPr>
        <w:t>:</w:t>
      </w:r>
      <w:r>
        <w:rPr>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 . كأنه قال</w:t>
      </w:r>
      <w:r w:rsidR="000636C2">
        <w:rPr>
          <w:rtl/>
        </w:rPr>
        <w:t>:</w:t>
      </w:r>
      <w:r>
        <w:rPr>
          <w:rtl/>
        </w:rPr>
        <w:t xml:space="preserve"> ربكم ليس بذي جوارح تتسلط عليه النقائص</w:t>
      </w:r>
      <w:r w:rsidR="000636C2">
        <w:rPr>
          <w:rtl/>
        </w:rPr>
        <w:t xml:space="preserve">، </w:t>
      </w:r>
      <w:r>
        <w:rPr>
          <w:rtl/>
        </w:rPr>
        <w:t>وهذا مثل نفي الولد عنه لأنه يستحيل عليه التجزيء</w:t>
      </w:r>
      <w:r w:rsidR="000636C2">
        <w:rPr>
          <w:rtl/>
        </w:rPr>
        <w:t>،</w:t>
      </w:r>
      <w:r>
        <w:rPr>
          <w:rtl/>
        </w:rPr>
        <w:t xml:space="preserve"> ولو كانت الإشارة إلى صورة كاملة</w:t>
      </w:r>
      <w:r w:rsidR="000636C2">
        <w:rPr>
          <w:rtl/>
        </w:rPr>
        <w:t>،</w:t>
      </w:r>
      <w:r>
        <w:rPr>
          <w:rtl/>
        </w:rPr>
        <w:t xml:space="preserve"> لم يكن في ذلك دليل علي الألوهية ولا القدم</w:t>
      </w:r>
      <w:r w:rsidR="000636C2">
        <w:rPr>
          <w:rtl/>
        </w:rPr>
        <w:t>،</w:t>
      </w:r>
      <w:r>
        <w:rPr>
          <w:rtl/>
        </w:rPr>
        <w:t xml:space="preserve"> فإن الكامل في الصورة كثير</w:t>
      </w:r>
      <w:r w:rsidR="000636C2">
        <w:rPr>
          <w:rtl/>
        </w:rPr>
        <w:t>،</w:t>
      </w:r>
      <w:r>
        <w:rPr>
          <w:rtl/>
        </w:rPr>
        <w:t xml:space="preserve"> قال</w:t>
      </w:r>
      <w:r w:rsidR="000636C2">
        <w:rPr>
          <w:rtl/>
        </w:rPr>
        <w:t>:</w:t>
      </w:r>
      <w:r>
        <w:rPr>
          <w:rtl/>
        </w:rPr>
        <w:t xml:space="preserve"> ومن قال بدليل الخطاب فأثبت عينين قيل له دليل الخطاب مختلف في كونه دليلا في أحكام الفقه وفروع الدين</w:t>
      </w:r>
      <w:r w:rsidR="000636C2">
        <w:rPr>
          <w:rtl/>
        </w:rPr>
        <w:t>،</w:t>
      </w:r>
      <w:r>
        <w:rPr>
          <w:rtl/>
        </w:rPr>
        <w:t xml:space="preserve"> فكيف بأصوله ثم هو عند من اعتقده جحد يقضي عليه معني النطق وهو القياس المظنون فكيف يكون له حكم الدليل وقد قضي عليه دليل العقل بالرد .</w:t>
      </w:r>
    </w:p>
    <w:p w14:paraId="48871731" w14:textId="3014EAE5" w:rsidR="009C32A0" w:rsidRDefault="009C32A0" w:rsidP="000636C2">
      <w:pPr>
        <w:spacing w:after="240"/>
        <w:rPr>
          <w:rtl/>
        </w:rPr>
      </w:pPr>
      <w:r>
        <w:rPr>
          <w:rtl/>
        </w:rPr>
        <w:t>الحديث الحادي والخمسون</w:t>
      </w:r>
      <w:r w:rsidR="000636C2">
        <w:rPr>
          <w:rtl/>
        </w:rPr>
        <w:t>:</w:t>
      </w:r>
      <w:r>
        <w:rPr>
          <w:rtl/>
        </w:rPr>
        <w:t xml:space="preserve"> روي البخاري ومسلم في إفراده من حديث أبي هريرة رضي الله عنه</w:t>
      </w:r>
      <w:r w:rsidR="000636C2">
        <w:rPr>
          <w:rtl/>
        </w:rPr>
        <w:t xml:space="preserve"> </w:t>
      </w:r>
      <w:r>
        <w:rPr>
          <w:rtl/>
        </w:rPr>
        <w:t>عن النبي صلى الله عليه وسلم قال</w:t>
      </w:r>
      <w:r w:rsidR="000636C2">
        <w:rPr>
          <w:rtl/>
        </w:rPr>
        <w:t>:</w:t>
      </w:r>
      <w:r>
        <w:rPr>
          <w:rtl/>
        </w:rPr>
        <w:t xml:space="preserve"> (</w:t>
      </w:r>
      <w:r w:rsidR="000636C2">
        <w:rPr>
          <w:rtl/>
        </w:rPr>
        <w:t>(</w:t>
      </w:r>
      <w:r>
        <w:rPr>
          <w:rtl/>
        </w:rPr>
        <w:t>يقول الله عز وجل</w:t>
      </w:r>
      <w:r w:rsidR="000636C2">
        <w:rPr>
          <w:rtl/>
        </w:rPr>
        <w:t>:</w:t>
      </w:r>
      <w:r>
        <w:rPr>
          <w:rtl/>
        </w:rPr>
        <w:t xml:space="preserve"> ما يزال عبدي يتقرب إلى بالنوافل حتي أحبه</w:t>
      </w:r>
      <w:r w:rsidR="000636C2">
        <w:rPr>
          <w:rtl/>
        </w:rPr>
        <w:t>،</w:t>
      </w:r>
      <w:r>
        <w:rPr>
          <w:rtl/>
        </w:rPr>
        <w:t xml:space="preserve"> فإذا أحببته كنت سمعه الذي يسمع به وبصره الذي يبصر به ويده التي يبطش بها ورجله التي يمشي بها</w:t>
      </w:r>
      <w:r w:rsidR="000636C2">
        <w:rPr>
          <w:rtl/>
        </w:rPr>
        <w:t>،</w:t>
      </w:r>
      <w:r>
        <w:rPr>
          <w:rtl/>
        </w:rPr>
        <w:t xml:space="preserve"> وما ترددت عن شيء أنا فاعله ترددي عن نفس المؤمن يكره الموت وأكره مساءته</w:t>
      </w:r>
      <w:r w:rsidR="000636C2">
        <w:rPr>
          <w:rtl/>
        </w:rPr>
        <w:t>)</w:t>
      </w:r>
      <w:r>
        <w:rPr>
          <w:rtl/>
        </w:rPr>
        <w:t>)</w:t>
      </w:r>
      <w:r w:rsidR="000636C2">
        <w:rPr>
          <w:rtl/>
        </w:rPr>
        <w:t>،</w:t>
      </w:r>
      <w:r>
        <w:rPr>
          <w:rtl/>
        </w:rPr>
        <w:t xml:space="preserve"> </w:t>
      </w:r>
      <w:r w:rsidR="000636C2">
        <w:rPr>
          <w:rtl/>
        </w:rPr>
        <w:t>(</w:t>
      </w:r>
      <w:r>
        <w:rPr>
          <w:rtl/>
        </w:rPr>
        <w:t>قلت</w:t>
      </w:r>
      <w:r w:rsidR="000636C2">
        <w:rPr>
          <w:rtl/>
        </w:rPr>
        <w:t>):</w:t>
      </w:r>
      <w:r>
        <w:rPr>
          <w:rtl/>
        </w:rPr>
        <w:t xml:space="preserve"> قوله</w:t>
      </w:r>
      <w:r w:rsidR="000636C2">
        <w:rPr>
          <w:rtl/>
        </w:rPr>
        <w:t>:</w:t>
      </w:r>
      <w:r>
        <w:rPr>
          <w:rtl/>
        </w:rPr>
        <w:t xml:space="preserve"> كنت سمعه وبصره فهو مثل وله ثلاثة أوجه</w:t>
      </w:r>
      <w:r w:rsidR="000636C2">
        <w:rPr>
          <w:rtl/>
        </w:rPr>
        <w:t>:</w:t>
      </w:r>
      <w:r>
        <w:rPr>
          <w:rtl/>
        </w:rPr>
        <w:t xml:space="preserve"> </w:t>
      </w:r>
      <w:r w:rsidR="000636C2">
        <w:rPr>
          <w:rtl/>
        </w:rPr>
        <w:t>(</w:t>
      </w:r>
      <w:r>
        <w:rPr>
          <w:rtl/>
        </w:rPr>
        <w:t>أحدهما</w:t>
      </w:r>
      <w:r w:rsidR="000636C2">
        <w:rPr>
          <w:rtl/>
        </w:rPr>
        <w:t>)::</w:t>
      </w:r>
      <w:r>
        <w:rPr>
          <w:rtl/>
        </w:rPr>
        <w:t xml:space="preserve"> كنت كسمعه وبصره</w:t>
      </w:r>
      <w:r w:rsidR="000636C2">
        <w:rPr>
          <w:rtl/>
        </w:rPr>
        <w:t xml:space="preserve"> </w:t>
      </w:r>
      <w:r>
        <w:rPr>
          <w:rtl/>
        </w:rPr>
        <w:t>فهو يحب طاعتي . كما يحب هذه الجوارح</w:t>
      </w:r>
      <w:r w:rsidR="000636C2">
        <w:rPr>
          <w:rtl/>
        </w:rPr>
        <w:t>،</w:t>
      </w:r>
      <w:r>
        <w:rPr>
          <w:rtl/>
        </w:rPr>
        <w:t xml:space="preserve"> و </w:t>
      </w:r>
      <w:r w:rsidR="000636C2">
        <w:rPr>
          <w:rtl/>
        </w:rPr>
        <w:t>(</w:t>
      </w:r>
      <w:r>
        <w:rPr>
          <w:rtl/>
        </w:rPr>
        <w:t>الثاني</w:t>
      </w:r>
      <w:r w:rsidR="000636C2">
        <w:rPr>
          <w:rtl/>
        </w:rPr>
        <w:t>):</w:t>
      </w:r>
      <w:r>
        <w:rPr>
          <w:rtl/>
        </w:rPr>
        <w:t xml:space="preserve"> أن جوارحه مشغولة بي</w:t>
      </w:r>
      <w:r w:rsidR="000636C2">
        <w:rPr>
          <w:rtl/>
        </w:rPr>
        <w:t>،</w:t>
      </w:r>
      <w:r>
        <w:rPr>
          <w:rtl/>
        </w:rPr>
        <w:t xml:space="preserve"> فلا يصغي إلى ما لا يرضيني إلا عن أمري</w:t>
      </w:r>
      <w:r w:rsidR="000636C2">
        <w:rPr>
          <w:rtl/>
        </w:rPr>
        <w:t>،</w:t>
      </w:r>
      <w:r>
        <w:rPr>
          <w:rtl/>
        </w:rPr>
        <w:t xml:space="preserve"> و </w:t>
      </w:r>
      <w:r w:rsidR="000636C2">
        <w:rPr>
          <w:rtl/>
        </w:rPr>
        <w:t>(</w:t>
      </w:r>
      <w:r>
        <w:rPr>
          <w:rtl/>
        </w:rPr>
        <w:t>الثالث</w:t>
      </w:r>
      <w:r w:rsidR="000636C2">
        <w:rPr>
          <w:rtl/>
        </w:rPr>
        <w:t>):</w:t>
      </w:r>
      <w:r>
        <w:rPr>
          <w:rtl/>
        </w:rPr>
        <w:t xml:space="preserve"> أني أحصل له مقاصده كما ينالها بسمعه وبصره ويديه اللواتي تعينه علي عدوه</w:t>
      </w:r>
      <w:r w:rsidR="000636C2">
        <w:rPr>
          <w:rtl/>
        </w:rPr>
        <w:t>،</w:t>
      </w:r>
      <w:r>
        <w:rPr>
          <w:rtl/>
        </w:rPr>
        <w:t xml:space="preserve"> والحق منزه عن حقيقته فهو كقوله</w:t>
      </w:r>
      <w:r w:rsidR="000636C2">
        <w:rPr>
          <w:rtl/>
        </w:rPr>
        <w:t>:</w:t>
      </w:r>
      <w:r>
        <w:rPr>
          <w:rtl/>
        </w:rPr>
        <w:t xml:space="preserve"> (</w:t>
      </w:r>
      <w:r w:rsidR="000636C2">
        <w:rPr>
          <w:rtl/>
        </w:rPr>
        <w:t>(</w:t>
      </w:r>
      <w:r>
        <w:rPr>
          <w:rtl/>
        </w:rPr>
        <w:t>ومن أتاني يمشي أتيته هرولة</w:t>
      </w:r>
      <w:r w:rsidR="000636C2">
        <w:rPr>
          <w:rtl/>
        </w:rPr>
        <w:t>)</w:t>
      </w:r>
      <w:r>
        <w:rPr>
          <w:rtl/>
        </w:rPr>
        <w:t>)</w:t>
      </w:r>
      <w:r w:rsidR="000636C2">
        <w:rPr>
          <w:rtl/>
        </w:rPr>
        <w:t>،</w:t>
      </w:r>
      <w:r>
        <w:rPr>
          <w:rtl/>
        </w:rPr>
        <w:t xml:space="preserve"> وقال بعض العلماء</w:t>
      </w:r>
      <w:r w:rsidR="000636C2">
        <w:rPr>
          <w:rtl/>
        </w:rPr>
        <w:t>:</w:t>
      </w:r>
      <w:r>
        <w:rPr>
          <w:rtl/>
        </w:rPr>
        <w:t xml:space="preserve"> لما كان المؤمن يمرض فيسئل العافية فيعافي كان ذلك كالتردد في إماتته . وأما التردد فخطاب لنا بما نعقل.</w:t>
      </w:r>
    </w:p>
    <w:p w14:paraId="019196C2" w14:textId="4386B4A8" w:rsidR="009C32A0" w:rsidRDefault="009C32A0" w:rsidP="000636C2">
      <w:pPr>
        <w:spacing w:after="240"/>
        <w:rPr>
          <w:rtl/>
        </w:rPr>
      </w:pPr>
      <w:r>
        <w:rPr>
          <w:bCs/>
          <w:rtl/>
        </w:rPr>
        <w:t>الحديث الثاني والخمسون</w:t>
      </w:r>
      <w:r w:rsidR="000636C2">
        <w:rPr>
          <w:rtl/>
        </w:rPr>
        <w:t>:</w:t>
      </w:r>
      <w:r>
        <w:rPr>
          <w:rtl/>
        </w:rPr>
        <w:t xml:space="preserve"> روي جبير بن مطعم قال</w:t>
      </w:r>
      <w:r w:rsidR="000636C2">
        <w:rPr>
          <w:rtl/>
        </w:rPr>
        <w:t>:</w:t>
      </w:r>
      <w:r>
        <w:rPr>
          <w:rtl/>
        </w:rPr>
        <w:t xml:space="preserve"> أتي رسول الله صلى الله عليه وسلم أعرابي فقال</w:t>
      </w:r>
      <w:r w:rsidR="000636C2">
        <w:rPr>
          <w:rtl/>
        </w:rPr>
        <w:t>:</w:t>
      </w:r>
      <w:r>
        <w:rPr>
          <w:rtl/>
        </w:rPr>
        <w:t xml:space="preserve"> يا رسول الله</w:t>
      </w:r>
      <w:r w:rsidR="000636C2">
        <w:rPr>
          <w:rtl/>
        </w:rPr>
        <w:t>:</w:t>
      </w:r>
      <w:r>
        <w:rPr>
          <w:rtl/>
        </w:rPr>
        <w:t xml:space="preserve"> جهدت الأنفس وضاعت العيال</w:t>
      </w:r>
      <w:r w:rsidR="000636C2">
        <w:rPr>
          <w:rtl/>
        </w:rPr>
        <w:t>،</w:t>
      </w:r>
      <w:r>
        <w:rPr>
          <w:rtl/>
        </w:rPr>
        <w:t xml:space="preserve"> ونهكت الأموال</w:t>
      </w:r>
      <w:r w:rsidR="000636C2">
        <w:rPr>
          <w:rtl/>
        </w:rPr>
        <w:t>،</w:t>
      </w:r>
      <w:r>
        <w:rPr>
          <w:rtl/>
        </w:rPr>
        <w:t xml:space="preserve"> وهلكت الأنعام فاستسق الله لنا</w:t>
      </w:r>
      <w:r w:rsidR="000636C2">
        <w:rPr>
          <w:rtl/>
        </w:rPr>
        <w:t>،</w:t>
      </w:r>
      <w:r>
        <w:rPr>
          <w:rtl/>
        </w:rPr>
        <w:t xml:space="preserve"> فإنا نستشفع بك علي الله ونستشفع بالله عليك</w:t>
      </w:r>
      <w:r w:rsidR="000636C2">
        <w:rPr>
          <w:rtl/>
        </w:rPr>
        <w:t>،</w:t>
      </w:r>
      <w:r>
        <w:rPr>
          <w:rtl/>
        </w:rPr>
        <w:t xml:space="preserve"> فقال رسول الله صلى الله عليه وسلم</w:t>
      </w:r>
      <w:r w:rsidR="000636C2">
        <w:rPr>
          <w:rtl/>
        </w:rPr>
        <w:t>:</w:t>
      </w:r>
      <w:r>
        <w:rPr>
          <w:rtl/>
        </w:rPr>
        <w:t xml:space="preserve"> " ويحك</w:t>
      </w:r>
      <w:r w:rsidR="000636C2">
        <w:rPr>
          <w:rtl/>
        </w:rPr>
        <w:t>:</w:t>
      </w:r>
      <w:r>
        <w:rPr>
          <w:rtl/>
        </w:rPr>
        <w:t xml:space="preserve"> أتدري ما تقول ..؟؟ وسبح رسول الله صلى الله عليه وسلم فما زال يسبح حتي عرف ذلك في وجه أصحابه فقال</w:t>
      </w:r>
      <w:r w:rsidR="000636C2">
        <w:rPr>
          <w:rtl/>
        </w:rPr>
        <w:t>:</w:t>
      </w:r>
      <w:r>
        <w:rPr>
          <w:rtl/>
        </w:rPr>
        <w:t xml:space="preserve"> إنه لا يستشفع بالله علي أحد من خلقه</w:t>
      </w:r>
      <w:r w:rsidR="000636C2">
        <w:rPr>
          <w:rtl/>
        </w:rPr>
        <w:t>،</w:t>
      </w:r>
      <w:r>
        <w:rPr>
          <w:rtl/>
        </w:rPr>
        <w:t xml:space="preserve"> شأن الله أعظم من ذلك</w:t>
      </w:r>
      <w:r w:rsidR="000636C2">
        <w:rPr>
          <w:rtl/>
        </w:rPr>
        <w:t>:</w:t>
      </w:r>
      <w:r>
        <w:rPr>
          <w:rtl/>
        </w:rPr>
        <w:t xml:space="preserve"> ويحك أتدري ما الله إن عرشه علي سمواته هكذا</w:t>
      </w:r>
      <w:r w:rsidR="000636C2">
        <w:rPr>
          <w:rtl/>
        </w:rPr>
        <w:t>،</w:t>
      </w:r>
      <w:r>
        <w:rPr>
          <w:rtl/>
        </w:rPr>
        <w:t xml:space="preserve"> وقال بأصابعه مثل القبة</w:t>
      </w:r>
      <w:r w:rsidR="000636C2">
        <w:rPr>
          <w:rtl/>
        </w:rPr>
        <w:t>،</w:t>
      </w:r>
      <w:r>
        <w:rPr>
          <w:rtl/>
        </w:rPr>
        <w:t xml:space="preserve"> فإنه ليئط كأطيط الرحل بالراكب"</w:t>
      </w:r>
      <w:r w:rsidR="000636C2">
        <w:rPr>
          <w:rtl/>
        </w:rPr>
        <w:t xml:space="preserve"> (</w:t>
      </w:r>
      <w:r>
        <w:rPr>
          <w:rtl/>
        </w:rPr>
        <w:t>قلت</w:t>
      </w:r>
      <w:r w:rsidR="000636C2">
        <w:rPr>
          <w:rtl/>
        </w:rPr>
        <w:t>):</w:t>
      </w:r>
      <w:r>
        <w:rPr>
          <w:rtl/>
        </w:rPr>
        <w:t xml:space="preserve"> هذا الحديث تفرد بروايته وقال محمد بن اسحق عن يعقوب عن عتبة وكلاهما لا يحتج به أرباب الصحاح</w:t>
      </w:r>
      <w:r w:rsidR="000636C2">
        <w:rPr>
          <w:rtl/>
        </w:rPr>
        <w:t>،</w:t>
      </w:r>
      <w:r>
        <w:rPr>
          <w:rtl/>
        </w:rPr>
        <w:t xml:space="preserve"> قال أبو سليمان الخطابي</w:t>
      </w:r>
      <w:r w:rsidR="000636C2">
        <w:rPr>
          <w:rtl/>
        </w:rPr>
        <w:t>:</w:t>
      </w:r>
      <w:r>
        <w:rPr>
          <w:rtl/>
        </w:rPr>
        <w:t xml:space="preserve"> هذا الحديث إذا أجري علي ظاهره كان فيه نوع من الكيفية</w:t>
      </w:r>
      <w:r w:rsidR="000636C2">
        <w:rPr>
          <w:rtl/>
        </w:rPr>
        <w:t>،</w:t>
      </w:r>
      <w:r>
        <w:rPr>
          <w:rtl/>
        </w:rPr>
        <w:t xml:space="preserve"> وهي عن الله وصفاته منفية</w:t>
      </w:r>
      <w:r w:rsidR="000636C2">
        <w:rPr>
          <w:rtl/>
        </w:rPr>
        <w:t>،</w:t>
      </w:r>
      <w:r>
        <w:rPr>
          <w:rtl/>
        </w:rPr>
        <w:t xml:space="preserve"> فعلم أنه مكان تقريب أريد به عظمة الله ممن حيث يدركه فهم السامع إذا كان أعرابيا جلفا لا علم له بمعاني ما دق من الكلام . ومعني قوله أتدري ما الله – أتدري ما عظمة الله وجلاله ..؟ ومعني يأط به أي يعجز عن جلاله وعظمته</w:t>
      </w:r>
      <w:r w:rsidR="000636C2">
        <w:rPr>
          <w:rtl/>
        </w:rPr>
        <w:t>،</w:t>
      </w:r>
      <w:r>
        <w:rPr>
          <w:rtl/>
        </w:rPr>
        <w:t xml:space="preserve"> إذ كان معلوما أن أطيط الرحل بالراكب معلوما لقوة ما فوقه</w:t>
      </w:r>
      <w:r w:rsidR="000636C2">
        <w:rPr>
          <w:rtl/>
        </w:rPr>
        <w:t>،</w:t>
      </w:r>
      <w:r>
        <w:rPr>
          <w:rtl/>
        </w:rPr>
        <w:t xml:space="preserve"> أو لعجزه عن احتماله</w:t>
      </w:r>
      <w:r w:rsidR="000636C2">
        <w:rPr>
          <w:rtl/>
        </w:rPr>
        <w:t>،</w:t>
      </w:r>
      <w:r>
        <w:rPr>
          <w:rtl/>
        </w:rPr>
        <w:t xml:space="preserve"> فقرب بهذا النوع من التمثيل عنده</w:t>
      </w:r>
      <w:r w:rsidR="000636C2">
        <w:rPr>
          <w:rtl/>
        </w:rPr>
        <w:t>،</w:t>
      </w:r>
      <w:r>
        <w:rPr>
          <w:rtl/>
        </w:rPr>
        <w:t xml:space="preserve"> معني عظمة الله وجلاله ليعلمه أن الموصوف بعلو الشأن لا يجعل شفيعا لما هو دونه في القدر .. وقد ذكرنا فيما تقدم عن القاضي أنه قال</w:t>
      </w:r>
      <w:r w:rsidR="000636C2">
        <w:rPr>
          <w:rtl/>
        </w:rPr>
        <w:t>:</w:t>
      </w:r>
      <w:r>
        <w:rPr>
          <w:rtl/>
        </w:rPr>
        <w:t xml:space="preserve"> " يئط من ثقل الذات " . وهذا صريح في التجسيم</w:t>
      </w:r>
      <w:r w:rsidR="000636C2">
        <w:rPr>
          <w:rtl/>
        </w:rPr>
        <w:t>،</w:t>
      </w:r>
    </w:p>
    <w:p w14:paraId="49514FCA" w14:textId="5E19FABF" w:rsidR="009C32A0" w:rsidRDefault="009C32A0" w:rsidP="000636C2">
      <w:pPr>
        <w:spacing w:after="240"/>
        <w:rPr>
          <w:rtl/>
        </w:rPr>
      </w:pPr>
      <w:r>
        <w:rPr>
          <w:bCs/>
          <w:rtl/>
        </w:rPr>
        <w:t>الحديث الثالث والخمسون</w:t>
      </w:r>
      <w:r w:rsidR="000636C2">
        <w:rPr>
          <w:rtl/>
        </w:rPr>
        <w:t>:</w:t>
      </w:r>
      <w:r>
        <w:rPr>
          <w:rtl/>
        </w:rPr>
        <w:t xml:space="preserve"> روي أبو هريرة رضي الله عنه</w:t>
      </w:r>
      <w:r w:rsidR="000636C2">
        <w:rPr>
          <w:rtl/>
        </w:rPr>
        <w:t xml:space="preserve"> </w:t>
      </w:r>
      <w:r>
        <w:rPr>
          <w:rtl/>
        </w:rPr>
        <w:t>عن النبي صلى الله عليه وسلم أنه قرأ</w:t>
      </w:r>
      <w:r w:rsidR="000636C2">
        <w:rPr>
          <w:rtl/>
        </w:rPr>
        <w:t>:</w:t>
      </w:r>
      <w:r>
        <w:rPr>
          <w:rtl/>
        </w:rPr>
        <w:t xml:space="preserve"> </w:t>
      </w:r>
      <w:r w:rsidR="000636C2">
        <w:rPr>
          <w:rtl/>
        </w:rPr>
        <w:t>{</w:t>
      </w:r>
      <w:r>
        <w:rPr>
          <w:rtl/>
        </w:rPr>
        <w:t>إن الله كان سميعا بصيرا</w:t>
      </w:r>
      <w:r w:rsidR="000636C2">
        <w:rPr>
          <w:rtl/>
        </w:rPr>
        <w:t>}،</w:t>
      </w:r>
      <w:r>
        <w:rPr>
          <w:rtl/>
        </w:rPr>
        <w:t xml:space="preserve"> فوضع إصبع الدعاء وإبهامه علي عينيه وأذنيه</w:t>
      </w:r>
      <w:r w:rsidR="000636C2">
        <w:rPr>
          <w:rtl/>
        </w:rPr>
        <w:t>،</w:t>
      </w:r>
      <w:r>
        <w:rPr>
          <w:rtl/>
        </w:rPr>
        <w:t xml:space="preserve"> قال العلماء</w:t>
      </w:r>
      <w:r w:rsidR="000636C2">
        <w:rPr>
          <w:rtl/>
        </w:rPr>
        <w:t>:</w:t>
      </w:r>
      <w:r>
        <w:rPr>
          <w:rtl/>
        </w:rPr>
        <w:t xml:space="preserve"> أراد بهذا تحقيق السمع والبصر لله تعالى</w:t>
      </w:r>
      <w:r w:rsidR="000636C2">
        <w:rPr>
          <w:rtl/>
        </w:rPr>
        <w:t>،</w:t>
      </w:r>
      <w:r>
        <w:rPr>
          <w:rtl/>
        </w:rPr>
        <w:t xml:space="preserve"> فأشار إلى الجارحتين اللتين هما محل السمع والبصر</w:t>
      </w:r>
      <w:r w:rsidR="000636C2">
        <w:rPr>
          <w:rtl/>
        </w:rPr>
        <w:t>،</w:t>
      </w:r>
      <w:r>
        <w:rPr>
          <w:rtl/>
        </w:rPr>
        <w:t xml:space="preserve"> لا أنه لله سبحانه جارحة .</w:t>
      </w:r>
    </w:p>
    <w:p w14:paraId="4F6EE4E1" w14:textId="38CB8DF5" w:rsidR="009C32A0" w:rsidRDefault="009C32A0" w:rsidP="000636C2">
      <w:pPr>
        <w:spacing w:after="240"/>
        <w:rPr>
          <w:rtl/>
        </w:rPr>
      </w:pPr>
      <w:r>
        <w:rPr>
          <w:bCs/>
          <w:rtl/>
        </w:rPr>
        <w:t>الحديث الرابع والخمسون</w:t>
      </w:r>
      <w:r w:rsidR="000636C2">
        <w:rPr>
          <w:rtl/>
        </w:rPr>
        <w:t>:</w:t>
      </w:r>
      <w:r>
        <w:rPr>
          <w:rtl/>
        </w:rPr>
        <w:t xml:space="preserve"> روي أبو الدرداء رضي الله عنه</w:t>
      </w:r>
      <w:r w:rsidR="000636C2">
        <w:rPr>
          <w:rtl/>
        </w:rPr>
        <w:t xml:space="preserve"> </w:t>
      </w:r>
      <w:r>
        <w:rPr>
          <w:rtl/>
        </w:rPr>
        <w:t>عن النبي صلى الله عليه وسلم أنه قال " إن الله عز وجل ينزل في ثلاث ساعات يبقين من الليل</w:t>
      </w:r>
      <w:r w:rsidR="000636C2">
        <w:rPr>
          <w:rtl/>
        </w:rPr>
        <w:t>،</w:t>
      </w:r>
      <w:r>
        <w:rPr>
          <w:rtl/>
        </w:rPr>
        <w:t xml:space="preserve"> فيفتح الذكر في الساعة الأولي</w:t>
      </w:r>
      <w:r w:rsidR="000636C2">
        <w:rPr>
          <w:rtl/>
        </w:rPr>
        <w:t>،</w:t>
      </w:r>
      <w:r>
        <w:rPr>
          <w:rtl/>
        </w:rPr>
        <w:t xml:space="preserve"> فيمحو ما يشاء ويثبت</w:t>
      </w:r>
      <w:r w:rsidR="000636C2">
        <w:rPr>
          <w:rtl/>
        </w:rPr>
        <w:t>،</w:t>
      </w:r>
      <w:r>
        <w:rPr>
          <w:rtl/>
        </w:rPr>
        <w:t xml:space="preserve"> ثم ينزل في الساعة الثانية إلى جنة عدن وهي داره التي لم يسكنها غيره</w:t>
      </w:r>
      <w:r w:rsidR="000636C2">
        <w:rPr>
          <w:rtl/>
        </w:rPr>
        <w:t>،</w:t>
      </w:r>
      <w:r>
        <w:rPr>
          <w:rtl/>
        </w:rPr>
        <w:t xml:space="preserve"> وهي مسكنه</w:t>
      </w:r>
      <w:r w:rsidR="000636C2">
        <w:rPr>
          <w:rtl/>
        </w:rPr>
        <w:t>،</w:t>
      </w:r>
      <w:r>
        <w:rPr>
          <w:rtl/>
        </w:rPr>
        <w:t xml:space="preserve"> ثم يقول طوبي لمن يسكنك ثم ينزل في الساعة الثالثة إلى سماء الدنيا بروحه وملائكته ثم ينتفض فيقول قومي بعزتي</w:t>
      </w:r>
      <w:r w:rsidR="000636C2">
        <w:rPr>
          <w:rtl/>
        </w:rPr>
        <w:t>،</w:t>
      </w:r>
      <w:r>
        <w:rPr>
          <w:rtl/>
        </w:rPr>
        <w:t xml:space="preserve"> </w:t>
      </w:r>
      <w:r w:rsidR="000636C2">
        <w:rPr>
          <w:rtl/>
        </w:rPr>
        <w:t>(</w:t>
      </w:r>
      <w:r>
        <w:rPr>
          <w:rtl/>
        </w:rPr>
        <w:t>قلت</w:t>
      </w:r>
      <w:r w:rsidR="000636C2">
        <w:rPr>
          <w:rtl/>
        </w:rPr>
        <w:t>):</w:t>
      </w:r>
      <w:r>
        <w:rPr>
          <w:rtl/>
        </w:rPr>
        <w:t xml:space="preserve"> هذا الحديث يرويه زيادة الأنصاري</w:t>
      </w:r>
      <w:r w:rsidR="000636C2">
        <w:rPr>
          <w:rtl/>
        </w:rPr>
        <w:t>،</w:t>
      </w:r>
      <w:r>
        <w:rPr>
          <w:rtl/>
        </w:rPr>
        <w:t xml:space="preserve"> قال البخاري</w:t>
      </w:r>
      <w:r w:rsidR="000636C2">
        <w:rPr>
          <w:rtl/>
        </w:rPr>
        <w:t>،</w:t>
      </w:r>
      <w:r>
        <w:rPr>
          <w:rtl/>
        </w:rPr>
        <w:t xml:space="preserve"> هو منكر الحديث </w:t>
      </w:r>
      <w:r w:rsidR="000636C2">
        <w:rPr>
          <w:rtl/>
        </w:rPr>
        <w:t>(</w:t>
      </w:r>
      <w:r>
        <w:rPr>
          <w:rtl/>
        </w:rPr>
        <w:t>وذكر له أهل الحديث هذا الحديث</w:t>
      </w:r>
      <w:r w:rsidR="000636C2">
        <w:rPr>
          <w:rtl/>
        </w:rPr>
        <w:t>)</w:t>
      </w:r>
      <w:r>
        <w:rPr>
          <w:rtl/>
        </w:rPr>
        <w:t xml:space="preserve"> وقال أبو حاتم ابن حبان يروي المناكير عن المشاهير</w:t>
      </w:r>
      <w:r w:rsidR="000636C2">
        <w:rPr>
          <w:rtl/>
        </w:rPr>
        <w:t>،</w:t>
      </w:r>
      <w:r>
        <w:rPr>
          <w:rtl/>
        </w:rPr>
        <w:t xml:space="preserve"> واستحق الترك </w:t>
      </w:r>
      <w:r w:rsidR="000636C2">
        <w:rPr>
          <w:rtl/>
        </w:rPr>
        <w:t>(</w:t>
      </w:r>
      <w:r>
        <w:rPr>
          <w:rtl/>
        </w:rPr>
        <w:t>وقد رواه أبو جعفر بن أبي شيبة فقال فيه</w:t>
      </w:r>
      <w:r w:rsidR="000636C2">
        <w:rPr>
          <w:rtl/>
        </w:rPr>
        <w:t>:</w:t>
      </w:r>
      <w:r>
        <w:rPr>
          <w:rtl/>
        </w:rPr>
        <w:t xml:space="preserve"> زائدة</w:t>
      </w:r>
      <w:r w:rsidR="000636C2">
        <w:rPr>
          <w:rtl/>
        </w:rPr>
        <w:t>:</w:t>
      </w:r>
      <w:r>
        <w:rPr>
          <w:rtl/>
        </w:rPr>
        <w:t xml:space="preserve"> وهو غلط إنما هو زيادة . ونقول علي تقدير الصحة أنها مضافة إليه كما أضيف البيت إليه يقال</w:t>
      </w:r>
      <w:r w:rsidR="000636C2">
        <w:rPr>
          <w:rtl/>
        </w:rPr>
        <w:t>:</w:t>
      </w:r>
      <w:r>
        <w:rPr>
          <w:rtl/>
        </w:rPr>
        <w:t xml:space="preserve"> هذا بيته وهذا مسكنه</w:t>
      </w:r>
      <w:r w:rsidR="000636C2">
        <w:rPr>
          <w:rtl/>
        </w:rPr>
        <w:t>،</w:t>
      </w:r>
      <w:r>
        <w:rPr>
          <w:rtl/>
        </w:rPr>
        <w:t xml:space="preserve"> وإنما قلنا هذا لأن السكنة مستحيلة في حقه</w:t>
      </w:r>
      <w:r w:rsidR="000636C2">
        <w:rPr>
          <w:rtl/>
        </w:rPr>
        <w:t>،</w:t>
      </w:r>
    </w:p>
    <w:p w14:paraId="6C4F71A3" w14:textId="231C1020" w:rsidR="009C32A0" w:rsidRDefault="009C32A0" w:rsidP="000636C2">
      <w:pPr>
        <w:spacing w:after="240"/>
        <w:rPr>
          <w:rtl/>
        </w:rPr>
      </w:pPr>
      <w:r>
        <w:rPr>
          <w:bCs/>
          <w:rtl/>
        </w:rPr>
        <w:t>الحديث الخامس والخمسون</w:t>
      </w:r>
      <w:r w:rsidR="000636C2">
        <w:rPr>
          <w:rtl/>
        </w:rPr>
        <w:t>:</w:t>
      </w:r>
      <w:r>
        <w:rPr>
          <w:rtl/>
        </w:rPr>
        <w:t xml:space="preserve"> روي أبو إمامة عن رسول الله صلى الله عليه وسلم أنه قال</w:t>
      </w:r>
      <w:r w:rsidR="000636C2">
        <w:rPr>
          <w:rtl/>
        </w:rPr>
        <w:t>:</w:t>
      </w:r>
      <w:r>
        <w:rPr>
          <w:rtl/>
        </w:rPr>
        <w:t xml:space="preserve"> " وعدني ربي أن يدخل الجنة من أمتي ألفا وثلاث حثيات من حثياته "</w:t>
      </w:r>
      <w:r w:rsidR="000636C2">
        <w:rPr>
          <w:rtl/>
        </w:rPr>
        <w:t>،</w:t>
      </w:r>
      <w:r>
        <w:rPr>
          <w:rtl/>
        </w:rPr>
        <w:t xml:space="preserve"> قلت</w:t>
      </w:r>
      <w:r w:rsidR="000636C2">
        <w:rPr>
          <w:rtl/>
        </w:rPr>
        <w:t>:</w:t>
      </w:r>
      <w:r>
        <w:rPr>
          <w:rtl/>
        </w:rPr>
        <w:t xml:space="preserve"> الحثية مليء الكف</w:t>
      </w:r>
      <w:r w:rsidR="000636C2">
        <w:rPr>
          <w:rtl/>
        </w:rPr>
        <w:t>،</w:t>
      </w:r>
      <w:r>
        <w:rPr>
          <w:rtl/>
        </w:rPr>
        <w:t xml:space="preserve"> والمراد التقريب بما يعقل لا حقيقة الحثية .</w:t>
      </w:r>
    </w:p>
    <w:p w14:paraId="3EC77B9E" w14:textId="0B3F55FE" w:rsidR="009C32A0" w:rsidRDefault="009C32A0" w:rsidP="000636C2">
      <w:pPr>
        <w:spacing w:after="240"/>
        <w:rPr>
          <w:rtl/>
        </w:rPr>
      </w:pPr>
      <w:r>
        <w:rPr>
          <w:bCs/>
          <w:rtl/>
        </w:rPr>
        <w:t>الحديث السادس والخمسون</w:t>
      </w:r>
      <w:r w:rsidR="000636C2">
        <w:rPr>
          <w:rtl/>
        </w:rPr>
        <w:t>:</w:t>
      </w:r>
      <w:r>
        <w:rPr>
          <w:rtl/>
        </w:rPr>
        <w:t xml:space="preserve"> روي أبو إمامة عن رسول الله صلى الله عليه وسلم أنه قال</w:t>
      </w:r>
      <w:r w:rsidR="000636C2">
        <w:rPr>
          <w:rtl/>
        </w:rPr>
        <w:t>:</w:t>
      </w:r>
      <w:r>
        <w:rPr>
          <w:rtl/>
        </w:rPr>
        <w:t xml:space="preserve"> " إن الله يجلس يوم القيامة علي القنطرة الوسطي بين الجنة والنار "</w:t>
      </w:r>
      <w:r w:rsidR="000636C2">
        <w:rPr>
          <w:rtl/>
        </w:rPr>
        <w:t>،</w:t>
      </w:r>
      <w:r>
        <w:rPr>
          <w:rtl/>
        </w:rPr>
        <w:t xml:space="preserve"> يرويه عثمان ابن أبي عاتكة وقال يحي</w:t>
      </w:r>
      <w:r w:rsidR="000636C2">
        <w:rPr>
          <w:rtl/>
        </w:rPr>
        <w:t>:</w:t>
      </w:r>
      <w:r>
        <w:rPr>
          <w:rtl/>
        </w:rPr>
        <w:t xml:space="preserve"> ليس بشيء .</w:t>
      </w:r>
    </w:p>
    <w:p w14:paraId="05DE2A8D" w14:textId="5A6C9BC3" w:rsidR="009C32A0" w:rsidRDefault="009C32A0" w:rsidP="000636C2">
      <w:pPr>
        <w:spacing w:after="240"/>
        <w:rPr>
          <w:rtl/>
        </w:rPr>
      </w:pPr>
      <w:r>
        <w:rPr>
          <w:bCs/>
          <w:rtl/>
        </w:rPr>
        <w:t>الحديث السابع والخمسون</w:t>
      </w:r>
      <w:r w:rsidR="000636C2">
        <w:rPr>
          <w:rtl/>
        </w:rPr>
        <w:t>:</w:t>
      </w:r>
      <w:r>
        <w:rPr>
          <w:rtl/>
        </w:rPr>
        <w:t xml:space="preserve"> روي القاضي عن محمد بن كعب القرظي قال</w:t>
      </w:r>
      <w:r w:rsidR="000636C2">
        <w:rPr>
          <w:rtl/>
        </w:rPr>
        <w:t>:</w:t>
      </w:r>
      <w:r>
        <w:rPr>
          <w:rtl/>
        </w:rPr>
        <w:t xml:space="preserve"> " كان الناس إذا سمعوا القرأن من في الرحمن كأنهم لم يسمعوه قط "</w:t>
      </w:r>
      <w:r w:rsidR="000636C2">
        <w:rPr>
          <w:rtl/>
        </w:rPr>
        <w:t>،</w:t>
      </w:r>
      <w:r>
        <w:rPr>
          <w:rtl/>
        </w:rPr>
        <w:t xml:space="preserve"> قال القاضي</w:t>
      </w:r>
      <w:r w:rsidR="000636C2">
        <w:rPr>
          <w:rtl/>
        </w:rPr>
        <w:t>:</w:t>
      </w:r>
      <w:r>
        <w:rPr>
          <w:rtl/>
        </w:rPr>
        <w:t xml:space="preserve"> ولا يمتنع أن يطلق الفي عليه</w:t>
      </w:r>
      <w:r w:rsidR="000636C2">
        <w:rPr>
          <w:rtl/>
        </w:rPr>
        <w:t>،</w:t>
      </w:r>
      <w:r>
        <w:rPr>
          <w:rtl/>
        </w:rPr>
        <w:t xml:space="preserve"> </w:t>
      </w:r>
      <w:r w:rsidR="000636C2">
        <w:rPr>
          <w:rtl/>
        </w:rPr>
        <w:t>(</w:t>
      </w:r>
      <w:r>
        <w:rPr>
          <w:rtl/>
        </w:rPr>
        <w:t>قلت</w:t>
      </w:r>
      <w:r w:rsidR="000636C2">
        <w:rPr>
          <w:rtl/>
        </w:rPr>
        <w:t>):</w:t>
      </w:r>
      <w:r>
        <w:rPr>
          <w:rtl/>
        </w:rPr>
        <w:t xml:space="preserve"> وآعجبا يعني في الرحمن فمه</w:t>
      </w:r>
      <w:r w:rsidR="000636C2">
        <w:rPr>
          <w:rtl/>
        </w:rPr>
        <w:t>،</w:t>
      </w:r>
      <w:r>
        <w:rPr>
          <w:rtl/>
        </w:rPr>
        <w:t xml:space="preserve"> فيثبت لله صفة بقول تابعي لا تصح الروية عنه . هذا من أقبح الأشياء</w:t>
      </w:r>
      <w:r w:rsidR="000636C2">
        <w:rPr>
          <w:rtl/>
        </w:rPr>
        <w:t>،</w:t>
      </w:r>
      <w:r>
        <w:rPr>
          <w:rtl/>
        </w:rPr>
        <w:t xml:space="preserve"> فإما الحديث الذي سبق عن أبي إمامة عن رسول الله صلى الله عليه وسلم أنه قال</w:t>
      </w:r>
      <w:r w:rsidR="000636C2">
        <w:rPr>
          <w:rtl/>
        </w:rPr>
        <w:t>:</w:t>
      </w:r>
      <w:r>
        <w:rPr>
          <w:rtl/>
        </w:rPr>
        <w:t xml:space="preserve"> ما تقرب إلى بمثل ما خرج مني</w:t>
      </w:r>
      <w:r w:rsidR="000636C2">
        <w:rPr>
          <w:rtl/>
        </w:rPr>
        <w:t>،</w:t>
      </w:r>
      <w:r>
        <w:rPr>
          <w:rtl/>
        </w:rPr>
        <w:t xml:space="preserve"> فالمعني</w:t>
      </w:r>
      <w:r w:rsidR="000636C2">
        <w:rPr>
          <w:rtl/>
        </w:rPr>
        <w:t>:</w:t>
      </w:r>
      <w:r>
        <w:rPr>
          <w:rtl/>
        </w:rPr>
        <w:t xml:space="preserve"> خرج عنه</w:t>
      </w:r>
      <w:r w:rsidR="000636C2">
        <w:rPr>
          <w:rtl/>
        </w:rPr>
        <w:t>،</w:t>
      </w:r>
      <w:r>
        <w:rPr>
          <w:rtl/>
        </w:rPr>
        <w:t xml:space="preserve"> ولا يجوز أن يظن أنه كخروج جسم من جسم لأن الله عز وجل ليس بجسم ولا كلامه جسم .</w:t>
      </w:r>
    </w:p>
    <w:p w14:paraId="37132802" w14:textId="68A197DE" w:rsidR="009C32A0" w:rsidRDefault="009C32A0" w:rsidP="000636C2">
      <w:pPr>
        <w:spacing w:after="240"/>
        <w:rPr>
          <w:rtl/>
        </w:rPr>
      </w:pPr>
      <w:r>
        <w:rPr>
          <w:bCs/>
          <w:rtl/>
        </w:rPr>
        <w:t>الحديث الثامن والخمسون</w:t>
      </w:r>
      <w:r w:rsidR="000636C2">
        <w:rPr>
          <w:rtl/>
        </w:rPr>
        <w:t>:</w:t>
      </w:r>
      <w:r>
        <w:rPr>
          <w:rtl/>
        </w:rPr>
        <w:t xml:space="preserve"> روينا عن سهل بن سعد عن النبي صلى الله عليه وسلم قال</w:t>
      </w:r>
      <w:r w:rsidR="000636C2">
        <w:rPr>
          <w:rtl/>
        </w:rPr>
        <w:t>:</w:t>
      </w:r>
      <w:r>
        <w:rPr>
          <w:rtl/>
        </w:rPr>
        <w:t xml:space="preserve"> دون الله سبعون ألف حجاب من نور وظلمة ولا تسمع من نفس شيئا من حس تلك الحجب إلا زهقت "</w:t>
      </w:r>
      <w:r w:rsidR="000636C2">
        <w:rPr>
          <w:rtl/>
        </w:rPr>
        <w:t>،</w:t>
      </w:r>
      <w:r>
        <w:rPr>
          <w:rtl/>
        </w:rPr>
        <w:t xml:space="preserve"> قلت هذا حديث لا أصل له . يرويه موسي بن عبيدة</w:t>
      </w:r>
      <w:r w:rsidR="000636C2">
        <w:rPr>
          <w:rtl/>
        </w:rPr>
        <w:t>،</w:t>
      </w:r>
      <w:r>
        <w:rPr>
          <w:rtl/>
        </w:rPr>
        <w:t xml:space="preserve"> قال أحمد</w:t>
      </w:r>
      <w:r w:rsidR="000636C2">
        <w:rPr>
          <w:rtl/>
        </w:rPr>
        <w:t>:</w:t>
      </w:r>
      <w:r>
        <w:rPr>
          <w:rtl/>
        </w:rPr>
        <w:t xml:space="preserve"> لا يحل عندي الرواية عنه</w:t>
      </w:r>
      <w:r w:rsidR="000636C2">
        <w:rPr>
          <w:rtl/>
        </w:rPr>
        <w:t>،</w:t>
      </w:r>
      <w:r>
        <w:rPr>
          <w:rtl/>
        </w:rPr>
        <w:t xml:space="preserve"> قال يحي ليس بشيء</w:t>
      </w:r>
      <w:r w:rsidR="000636C2">
        <w:rPr>
          <w:rtl/>
        </w:rPr>
        <w:t>،</w:t>
      </w:r>
      <w:r>
        <w:rPr>
          <w:rtl/>
        </w:rPr>
        <w:t xml:space="preserve"> وموسي يرويه عن موسي بن الحكم قال البخاري</w:t>
      </w:r>
      <w:r w:rsidR="000636C2">
        <w:rPr>
          <w:rtl/>
        </w:rPr>
        <w:t>:</w:t>
      </w:r>
      <w:r>
        <w:rPr>
          <w:rtl/>
        </w:rPr>
        <w:t xml:space="preserve"> عمر ذاهب الحديث .</w:t>
      </w:r>
    </w:p>
    <w:p w14:paraId="74F2A4D2" w14:textId="66E6F2C1" w:rsidR="009C32A0" w:rsidRDefault="009C32A0" w:rsidP="000636C2">
      <w:pPr>
        <w:spacing w:after="240"/>
        <w:rPr>
          <w:rtl/>
        </w:rPr>
      </w:pPr>
      <w:r>
        <w:rPr>
          <w:bCs/>
          <w:rtl/>
        </w:rPr>
        <w:t>الحديث التاسع والخمسون</w:t>
      </w:r>
      <w:r w:rsidR="000636C2">
        <w:rPr>
          <w:bCs/>
          <w:rtl/>
        </w:rPr>
        <w:t>:</w:t>
      </w:r>
      <w:r>
        <w:rPr>
          <w:bCs/>
          <w:rtl/>
        </w:rPr>
        <w:t xml:space="preserve"> </w:t>
      </w:r>
      <w:r>
        <w:rPr>
          <w:rtl/>
        </w:rPr>
        <w:t>رواه أنس بن مالك رضي الله عنه</w:t>
      </w:r>
      <w:r w:rsidR="000636C2">
        <w:rPr>
          <w:rtl/>
        </w:rPr>
        <w:t xml:space="preserve"> </w:t>
      </w:r>
      <w:r>
        <w:rPr>
          <w:rtl/>
        </w:rPr>
        <w:t>عن النبي صلى الله عليه وسلم قال " إن لله للوحا</w:t>
      </w:r>
      <w:r w:rsidR="000636C2">
        <w:rPr>
          <w:rtl/>
        </w:rPr>
        <w:t>،</w:t>
      </w:r>
      <w:r>
        <w:rPr>
          <w:rtl/>
        </w:rPr>
        <w:t xml:space="preserve"> أحد وجهيه دره والآخر ياقوته</w:t>
      </w:r>
      <w:r w:rsidR="000636C2">
        <w:rPr>
          <w:rtl/>
        </w:rPr>
        <w:t>،</w:t>
      </w:r>
      <w:r>
        <w:rPr>
          <w:rtl/>
        </w:rPr>
        <w:t xml:space="preserve"> قلمة النور فبه يخلق وبه يرزق وبه يحي وبه يميت</w:t>
      </w:r>
      <w:r w:rsidR="000636C2">
        <w:rPr>
          <w:rtl/>
        </w:rPr>
        <w:t>،</w:t>
      </w:r>
      <w:r>
        <w:rPr>
          <w:rtl/>
        </w:rPr>
        <w:t xml:space="preserve"> ويعز ويذل</w:t>
      </w:r>
      <w:r w:rsidR="000636C2">
        <w:rPr>
          <w:rtl/>
        </w:rPr>
        <w:t>،</w:t>
      </w:r>
      <w:r>
        <w:rPr>
          <w:rtl/>
        </w:rPr>
        <w:t xml:space="preserve"> ويفعل ما يشاء في يوم وليلة "</w:t>
      </w:r>
      <w:r w:rsidR="000636C2">
        <w:rPr>
          <w:rtl/>
        </w:rPr>
        <w:t>،</w:t>
      </w:r>
      <w:r>
        <w:rPr>
          <w:rtl/>
        </w:rPr>
        <w:t xml:space="preserve"> </w:t>
      </w:r>
      <w:r w:rsidR="000636C2">
        <w:rPr>
          <w:rtl/>
        </w:rPr>
        <w:t>(</w:t>
      </w:r>
      <w:r>
        <w:rPr>
          <w:rtl/>
        </w:rPr>
        <w:t>قلت</w:t>
      </w:r>
      <w:r w:rsidR="000636C2">
        <w:rPr>
          <w:rtl/>
        </w:rPr>
        <w:t>):</w:t>
      </w:r>
      <w:r>
        <w:rPr>
          <w:rtl/>
        </w:rPr>
        <w:t xml:space="preserve"> هذا الحديث موضوع</w:t>
      </w:r>
      <w:r w:rsidR="000636C2">
        <w:rPr>
          <w:rtl/>
        </w:rPr>
        <w:t>،</w:t>
      </w:r>
      <w:r>
        <w:rPr>
          <w:rtl/>
        </w:rPr>
        <w:t xml:space="preserve"> يرويه محمد بن عثمان وهو متروك .</w:t>
      </w:r>
    </w:p>
    <w:p w14:paraId="1BAA132A" w14:textId="0415B763" w:rsidR="009C32A0" w:rsidRDefault="009C32A0" w:rsidP="000636C2">
      <w:pPr>
        <w:spacing w:after="240"/>
        <w:rPr>
          <w:bCs/>
          <w:rtl/>
        </w:rPr>
      </w:pPr>
      <w:r>
        <w:rPr>
          <w:bCs/>
          <w:rtl/>
        </w:rPr>
        <w:t>الحديث الستون</w:t>
      </w:r>
      <w:r w:rsidR="000636C2">
        <w:rPr>
          <w:rtl/>
        </w:rPr>
        <w:t>:</w:t>
      </w:r>
      <w:r>
        <w:rPr>
          <w:rtl/>
        </w:rPr>
        <w:t xml:space="preserve"> روي جابر رضي الله عنه</w:t>
      </w:r>
      <w:r w:rsidR="000636C2">
        <w:rPr>
          <w:rtl/>
        </w:rPr>
        <w:t xml:space="preserve"> </w:t>
      </w:r>
      <w:r>
        <w:rPr>
          <w:rtl/>
        </w:rPr>
        <w:t>عن النبي صلى الله عليه وسلم أنه قال</w:t>
      </w:r>
      <w:r w:rsidR="000636C2">
        <w:rPr>
          <w:rtl/>
        </w:rPr>
        <w:t>:</w:t>
      </w:r>
      <w:r>
        <w:rPr>
          <w:rtl/>
        </w:rPr>
        <w:t xml:space="preserve"> " إذا رأيتم الريح فلا تسبوها فإنها من نفس الرحمن</w:t>
      </w:r>
      <w:r w:rsidR="000636C2">
        <w:rPr>
          <w:rtl/>
        </w:rPr>
        <w:t>،</w:t>
      </w:r>
      <w:r>
        <w:rPr>
          <w:rtl/>
        </w:rPr>
        <w:t xml:space="preserve"> تأتي بالرحمة وتأتي بالعذاب فأسالوا الله خيرها واستعيذوا من شرها "</w:t>
      </w:r>
      <w:r w:rsidR="000636C2">
        <w:rPr>
          <w:rtl/>
        </w:rPr>
        <w:t>،</w:t>
      </w:r>
      <w:r>
        <w:rPr>
          <w:rtl/>
        </w:rPr>
        <w:t xml:space="preserve"> </w:t>
      </w:r>
      <w:r w:rsidR="000636C2">
        <w:rPr>
          <w:rtl/>
        </w:rPr>
        <w:t>(</w:t>
      </w:r>
      <w:r>
        <w:rPr>
          <w:rtl/>
        </w:rPr>
        <w:t>قلت</w:t>
      </w:r>
      <w:r w:rsidR="000636C2">
        <w:rPr>
          <w:rtl/>
        </w:rPr>
        <w:t>):</w:t>
      </w:r>
      <w:r>
        <w:rPr>
          <w:rtl/>
        </w:rPr>
        <w:t xml:space="preserve"> النفس بمعني التنفيس عن المكروب</w:t>
      </w:r>
      <w:r w:rsidR="000636C2">
        <w:rPr>
          <w:rtl/>
        </w:rPr>
        <w:t>،</w:t>
      </w:r>
      <w:r>
        <w:rPr>
          <w:rtl/>
        </w:rPr>
        <w:t xml:space="preserve"> ومثله ما رواه أبو هريرة رضي الله عنه</w:t>
      </w:r>
      <w:r w:rsidR="000636C2">
        <w:rPr>
          <w:rtl/>
        </w:rPr>
        <w:t xml:space="preserve"> </w:t>
      </w:r>
      <w:r>
        <w:rPr>
          <w:rtl/>
        </w:rPr>
        <w:t>عن النبي صلى الله عليه وسلم أنه قال</w:t>
      </w:r>
      <w:r w:rsidR="000636C2">
        <w:rPr>
          <w:rtl/>
        </w:rPr>
        <w:t>:</w:t>
      </w:r>
      <w:r>
        <w:rPr>
          <w:rtl/>
        </w:rPr>
        <w:t xml:space="preserve"> " إني لأجد نفس ربكم من قبل اليمن "</w:t>
      </w:r>
      <w:r w:rsidR="000636C2">
        <w:rPr>
          <w:rtl/>
        </w:rPr>
        <w:t>،</w:t>
      </w:r>
      <w:r>
        <w:rPr>
          <w:rtl/>
        </w:rPr>
        <w:t xml:space="preserve"> يعني تنفيسه عن المكروب بنصرة أهل المدينة </w:t>
      </w:r>
      <w:r w:rsidR="000636C2">
        <w:rPr>
          <w:rtl/>
        </w:rPr>
        <w:t>(</w:t>
      </w:r>
      <w:r>
        <w:rPr>
          <w:rtl/>
        </w:rPr>
        <w:t>إياي والمدينة</w:t>
      </w:r>
      <w:r w:rsidR="000636C2">
        <w:rPr>
          <w:rtl/>
        </w:rPr>
        <w:t>)</w:t>
      </w:r>
      <w:r>
        <w:rPr>
          <w:rtl/>
        </w:rPr>
        <w:t xml:space="preserve"> من جانب اليمن</w:t>
      </w:r>
      <w:r w:rsidR="000636C2">
        <w:rPr>
          <w:rtl/>
        </w:rPr>
        <w:t>،</w:t>
      </w:r>
      <w:r>
        <w:rPr>
          <w:rtl/>
        </w:rPr>
        <w:t xml:space="preserve"> وهذا شيء لا يختلف فيه المسلمون</w:t>
      </w:r>
      <w:r w:rsidR="000636C2">
        <w:rPr>
          <w:rtl/>
        </w:rPr>
        <w:t>،</w:t>
      </w:r>
      <w:r>
        <w:rPr>
          <w:rtl/>
        </w:rPr>
        <w:t xml:space="preserve"> وقال بن حامد</w:t>
      </w:r>
      <w:r w:rsidR="000636C2">
        <w:rPr>
          <w:rtl/>
        </w:rPr>
        <w:t>:</w:t>
      </w:r>
      <w:r>
        <w:rPr>
          <w:rtl/>
        </w:rPr>
        <w:t xml:space="preserve"> رأيت بعض أصحابنا يثبتون لله وصفا في ذاته بأنه</w:t>
      </w:r>
      <w:r w:rsidR="000636C2">
        <w:rPr>
          <w:rtl/>
        </w:rPr>
        <w:t xml:space="preserve"> </w:t>
      </w:r>
      <w:r>
        <w:rPr>
          <w:rtl/>
        </w:rPr>
        <w:t>يتنفس قال</w:t>
      </w:r>
      <w:r w:rsidR="000636C2">
        <w:rPr>
          <w:rtl/>
        </w:rPr>
        <w:t>:</w:t>
      </w:r>
      <w:r>
        <w:rPr>
          <w:rtl/>
        </w:rPr>
        <w:t xml:space="preserve"> وقالوا الرياح الهفافة مثل الرياح العاصفة</w:t>
      </w:r>
      <w:r w:rsidR="000636C2">
        <w:rPr>
          <w:rtl/>
        </w:rPr>
        <w:t>،</w:t>
      </w:r>
      <w:r>
        <w:rPr>
          <w:rtl/>
        </w:rPr>
        <w:t xml:space="preserve"> والعقيم والجنوب والشمال والصبا والدبور مخلوقة</w:t>
      </w:r>
      <w:r w:rsidR="000636C2">
        <w:rPr>
          <w:rtl/>
        </w:rPr>
        <w:t>،</w:t>
      </w:r>
      <w:r>
        <w:rPr>
          <w:rtl/>
        </w:rPr>
        <w:t xml:space="preserve"> إلا رياحا من صفاته هي ذات نسيم حياتي</w:t>
      </w:r>
      <w:r w:rsidR="000636C2">
        <w:rPr>
          <w:rtl/>
        </w:rPr>
        <w:t>،</w:t>
      </w:r>
      <w:r>
        <w:rPr>
          <w:rtl/>
        </w:rPr>
        <w:t xml:space="preserve"> وهي من نفس الرحمن</w:t>
      </w:r>
      <w:r w:rsidR="000636C2">
        <w:rPr>
          <w:rtl/>
        </w:rPr>
        <w:t>،</w:t>
      </w:r>
      <w:r>
        <w:rPr>
          <w:rtl/>
        </w:rPr>
        <w:t xml:space="preserve"> </w:t>
      </w:r>
      <w:r w:rsidR="000636C2">
        <w:rPr>
          <w:bCs/>
          <w:rtl/>
        </w:rPr>
        <w:t>(</w:t>
      </w:r>
      <w:r>
        <w:rPr>
          <w:bCs/>
          <w:rtl/>
        </w:rPr>
        <w:t>قلت</w:t>
      </w:r>
      <w:r w:rsidR="000636C2">
        <w:rPr>
          <w:bCs/>
          <w:rtl/>
        </w:rPr>
        <w:t>):</w:t>
      </w:r>
      <w:r>
        <w:rPr>
          <w:bCs/>
          <w:rtl/>
        </w:rPr>
        <w:t xml:space="preserve"> علي من يعتقد هذه اللعنة</w:t>
      </w:r>
      <w:r w:rsidR="000636C2">
        <w:rPr>
          <w:bCs/>
          <w:rtl/>
        </w:rPr>
        <w:t>،</w:t>
      </w:r>
      <w:r>
        <w:rPr>
          <w:bCs/>
          <w:rtl/>
        </w:rPr>
        <w:t xml:space="preserve"> لأنه يثبت جسدا مخلوقا وما هؤلاء بمسلمين</w:t>
      </w:r>
      <w:r w:rsidR="000636C2">
        <w:rPr>
          <w:bCs/>
          <w:rtl/>
        </w:rPr>
        <w:t>،</w:t>
      </w:r>
    </w:p>
    <w:p w14:paraId="66ADE3EF" w14:textId="77777777" w:rsidR="009C32A0" w:rsidRDefault="009C32A0" w:rsidP="000636C2">
      <w:pPr>
        <w:spacing w:after="240"/>
        <w:jc w:val="center"/>
        <w:rPr>
          <w:rtl/>
        </w:rPr>
      </w:pPr>
      <w:r>
        <w:rPr>
          <w:rtl/>
        </w:rPr>
        <w:t>تم بحمد الله</w:t>
      </w:r>
    </w:p>
    <w:p w14:paraId="380E3213" w14:textId="7A80B430" w:rsidR="009C32A0" w:rsidRDefault="009C32A0" w:rsidP="000636C2">
      <w:pPr>
        <w:spacing w:after="240"/>
        <w:rPr>
          <w:rtl/>
        </w:rPr>
      </w:pPr>
      <w:r>
        <w:rPr>
          <w:bCs/>
          <w:rtl/>
        </w:rPr>
        <w:t>خاتمة</w:t>
      </w:r>
      <w:r w:rsidR="000636C2">
        <w:rPr>
          <w:rtl/>
        </w:rPr>
        <w:t>:</w:t>
      </w:r>
      <w:r>
        <w:rPr>
          <w:rtl/>
        </w:rPr>
        <w:t xml:space="preserve"> قال المصنف: ولما علم بكتابي هذا جماعة من الجهال لم يعجبهم لأنهم ألفوا كلام رؤسائهم المجسمة</w:t>
      </w:r>
      <w:r w:rsidR="000636C2">
        <w:rPr>
          <w:rtl/>
        </w:rPr>
        <w:t>،</w:t>
      </w:r>
      <w:r>
        <w:rPr>
          <w:rtl/>
        </w:rPr>
        <w:t xml:space="preserve"> فقالوا</w:t>
      </w:r>
      <w:r w:rsidR="000636C2">
        <w:rPr>
          <w:rtl/>
        </w:rPr>
        <w:t>:</w:t>
      </w:r>
      <w:r>
        <w:rPr>
          <w:rtl/>
        </w:rPr>
        <w:t>ليس هذا المذهب</w:t>
      </w:r>
      <w:r w:rsidR="000636C2">
        <w:rPr>
          <w:rtl/>
        </w:rPr>
        <w:t>،</w:t>
      </w:r>
      <w:r>
        <w:rPr>
          <w:rtl/>
        </w:rPr>
        <w:t xml:space="preserve"> </w:t>
      </w:r>
      <w:r w:rsidR="000636C2">
        <w:rPr>
          <w:rtl/>
        </w:rPr>
        <w:t>(</w:t>
      </w:r>
      <w:r>
        <w:rPr>
          <w:rtl/>
        </w:rPr>
        <w:t>قلت</w:t>
      </w:r>
      <w:r w:rsidR="000636C2">
        <w:rPr>
          <w:rtl/>
        </w:rPr>
        <w:t>):</w:t>
      </w:r>
      <w:r>
        <w:rPr>
          <w:rtl/>
        </w:rPr>
        <w:t xml:space="preserve"> ليس بمذهبكم ولا مذهب من قلدتم من أشياخكم فقد نزهت الإمام أحمد ونفيت عنه كذب المنقولات وهذيان المعقولات غير مقلد فيما اعتقدوه</w:t>
      </w:r>
      <w:r w:rsidR="000636C2">
        <w:rPr>
          <w:rtl/>
        </w:rPr>
        <w:t>،</w:t>
      </w:r>
      <w:r>
        <w:rPr>
          <w:rtl/>
        </w:rPr>
        <w:t xml:space="preserve"> </w:t>
      </w:r>
    </w:p>
    <w:p w14:paraId="13A3CC1C" w14:textId="77777777" w:rsidR="009C32A0" w:rsidRDefault="009C32A0" w:rsidP="000636C2">
      <w:pPr>
        <w:spacing w:after="240"/>
        <w:jc w:val="center"/>
        <w:rPr>
          <w:rtl/>
        </w:rPr>
      </w:pPr>
      <w:r>
        <w:rPr>
          <w:rtl/>
        </w:rPr>
        <w:t>ومذهبه ألا يشبه ربه ويتبع .................... في التسليم من قد مضى قبل</w:t>
      </w:r>
    </w:p>
    <w:p w14:paraId="0DDA1369" w14:textId="0B64A0FA" w:rsidR="009C32A0" w:rsidRDefault="009C32A0" w:rsidP="000636C2">
      <w:pPr>
        <w:spacing w:after="240"/>
        <w:jc w:val="center"/>
        <w:rPr>
          <w:rtl/>
        </w:rPr>
      </w:pPr>
      <w:r>
        <w:rPr>
          <w:rtl/>
        </w:rPr>
        <w:t>وكان له أتباع صدق تتابعوا .................</w:t>
      </w:r>
      <w:r w:rsidR="000636C2">
        <w:rPr>
          <w:rtl/>
        </w:rPr>
        <w:t xml:space="preserve"> </w:t>
      </w:r>
      <w:r>
        <w:rPr>
          <w:rtl/>
        </w:rPr>
        <w:t>فكم أرشدوا نحو الهدى وكم دلوا</w:t>
      </w:r>
    </w:p>
    <w:p w14:paraId="02275055" w14:textId="060FDC35" w:rsidR="009C32A0" w:rsidRDefault="009C32A0" w:rsidP="000636C2">
      <w:pPr>
        <w:spacing w:after="240"/>
        <w:jc w:val="center"/>
        <w:rPr>
          <w:rtl/>
        </w:rPr>
      </w:pPr>
      <w:r>
        <w:rPr>
          <w:rtl/>
        </w:rPr>
        <w:t>وجاءك قوم يدعون تمذهبا</w:t>
      </w:r>
      <w:r w:rsidR="000636C2">
        <w:rPr>
          <w:rtl/>
        </w:rPr>
        <w:t xml:space="preserve"> </w:t>
      </w:r>
      <w:r>
        <w:rPr>
          <w:rtl/>
        </w:rPr>
        <w:t>.................... بمذهبه ما كل زرع له أكل</w:t>
      </w:r>
    </w:p>
    <w:p w14:paraId="39416E4C" w14:textId="77777777" w:rsidR="009C32A0" w:rsidRDefault="009C32A0" w:rsidP="000636C2">
      <w:pPr>
        <w:spacing w:after="240"/>
        <w:jc w:val="center"/>
        <w:rPr>
          <w:rtl/>
        </w:rPr>
      </w:pPr>
      <w:r>
        <w:rPr>
          <w:rtl/>
        </w:rPr>
        <w:t>فلا في الفروع يثبتون لنصره .................... وعندهم من فهم ما قاله شغل</w:t>
      </w:r>
    </w:p>
    <w:p w14:paraId="1E3133E7" w14:textId="1E13E548" w:rsidR="009C32A0" w:rsidRDefault="009C32A0" w:rsidP="000636C2">
      <w:pPr>
        <w:spacing w:after="240"/>
        <w:jc w:val="center"/>
        <w:rPr>
          <w:rtl/>
        </w:rPr>
      </w:pPr>
      <w:r>
        <w:rPr>
          <w:rtl/>
        </w:rPr>
        <w:t>إذا ناظروا قاموا مقام مقاتل</w:t>
      </w:r>
      <w:r w:rsidR="000636C2">
        <w:rPr>
          <w:rtl/>
        </w:rPr>
        <w:t xml:space="preserve"> </w:t>
      </w:r>
      <w:r>
        <w:rPr>
          <w:rtl/>
        </w:rPr>
        <w:t>................. فواعجباً والقوم كلهم عزل</w:t>
      </w:r>
    </w:p>
    <w:p w14:paraId="60A0EAAD" w14:textId="77777777" w:rsidR="009C32A0" w:rsidRDefault="009C32A0" w:rsidP="000636C2">
      <w:pPr>
        <w:spacing w:after="240"/>
        <w:jc w:val="center"/>
        <w:rPr>
          <w:rtl/>
        </w:rPr>
      </w:pPr>
      <w:r>
        <w:rPr>
          <w:rtl/>
        </w:rPr>
        <w:t>قياسهم طرداً إذا ما تصدروا ................... وهم في علوم النقل أجمعها عطل</w:t>
      </w:r>
    </w:p>
    <w:p w14:paraId="1857CCCF" w14:textId="77777777" w:rsidR="009C32A0" w:rsidRDefault="009C32A0" w:rsidP="000636C2">
      <w:pPr>
        <w:spacing w:after="240"/>
        <w:jc w:val="center"/>
        <w:rPr>
          <w:rtl/>
        </w:rPr>
      </w:pPr>
      <w:r>
        <w:rPr>
          <w:rtl/>
        </w:rPr>
        <w:t>إذا لم يكن في النقل صاحب فطنة. .............. تشابهت الحيات وانقطع الحبل</w:t>
      </w:r>
    </w:p>
    <w:p w14:paraId="7B58F27E" w14:textId="77777777" w:rsidR="009C32A0" w:rsidRDefault="009C32A0" w:rsidP="000636C2">
      <w:pPr>
        <w:spacing w:after="240"/>
        <w:jc w:val="center"/>
        <w:rPr>
          <w:rtl/>
        </w:rPr>
      </w:pPr>
      <w:r>
        <w:rPr>
          <w:rtl/>
        </w:rPr>
        <w:t>ومالوا إلى التشبيه أخذا بصورة ................... لما نقلوه في الصفات وهم غفل</w:t>
      </w:r>
    </w:p>
    <w:p w14:paraId="1E5BCF0D" w14:textId="77777777" w:rsidR="009C32A0" w:rsidRDefault="009C32A0" w:rsidP="000636C2">
      <w:pPr>
        <w:spacing w:after="240"/>
        <w:jc w:val="center"/>
        <w:rPr>
          <w:rtl/>
        </w:rPr>
      </w:pPr>
      <w:r>
        <w:rPr>
          <w:rtl/>
        </w:rPr>
        <w:t>وقالوا الذي قلناه مذهب أحمد .............. فمال إلى تصديقهم من به جهل</w:t>
      </w:r>
    </w:p>
    <w:p w14:paraId="4322E231" w14:textId="77777777" w:rsidR="009C32A0" w:rsidRDefault="009C32A0" w:rsidP="000636C2">
      <w:pPr>
        <w:spacing w:after="240"/>
        <w:jc w:val="center"/>
        <w:rPr>
          <w:rtl/>
        </w:rPr>
      </w:pPr>
      <w:r>
        <w:rPr>
          <w:rtl/>
        </w:rPr>
        <w:t>وصار الأعادي قائلين لكلنا ................... مشبهة قد ضرنا الصحب والخل</w:t>
      </w:r>
    </w:p>
    <w:p w14:paraId="2C4C3BAE" w14:textId="183BCAE8" w:rsidR="009C32A0" w:rsidRDefault="009C32A0" w:rsidP="000636C2">
      <w:pPr>
        <w:spacing w:after="240"/>
        <w:jc w:val="center"/>
        <w:rPr>
          <w:rtl/>
        </w:rPr>
      </w:pPr>
      <w:r>
        <w:rPr>
          <w:rtl/>
        </w:rPr>
        <w:t>فقد فضحوا ذاك الإمام بجهلهم ................</w:t>
      </w:r>
      <w:r w:rsidR="000636C2">
        <w:rPr>
          <w:rtl/>
        </w:rPr>
        <w:t xml:space="preserve"> </w:t>
      </w:r>
      <w:r>
        <w:rPr>
          <w:rtl/>
        </w:rPr>
        <w:t>ومذهبه التنزيه لكن هم اختلوا</w:t>
      </w:r>
    </w:p>
    <w:p w14:paraId="039A5FCD" w14:textId="680EBA2E" w:rsidR="009C32A0" w:rsidRDefault="009C32A0" w:rsidP="000636C2">
      <w:pPr>
        <w:spacing w:after="240"/>
        <w:jc w:val="center"/>
        <w:rPr>
          <w:rtl/>
        </w:rPr>
      </w:pPr>
      <w:r>
        <w:rPr>
          <w:rtl/>
        </w:rPr>
        <w:t>لعمري لقد أدركت منهم مشايخاً ..............</w:t>
      </w:r>
      <w:r w:rsidR="000636C2">
        <w:rPr>
          <w:rtl/>
        </w:rPr>
        <w:t xml:space="preserve"> </w:t>
      </w:r>
      <w:r>
        <w:rPr>
          <w:rtl/>
        </w:rPr>
        <w:t>وأكثر من أدركتهم ما له عقل</w:t>
      </w:r>
    </w:p>
    <w:p w14:paraId="5459E9ED" w14:textId="77777777" w:rsidR="009C32A0" w:rsidRDefault="009C32A0" w:rsidP="000636C2">
      <w:pPr>
        <w:spacing w:after="240"/>
        <w:jc w:val="center"/>
        <w:rPr>
          <w:rtl/>
        </w:rPr>
      </w:pPr>
      <w:r>
        <w:rPr>
          <w:rtl/>
        </w:rPr>
        <w:t>وما زلت أجلوا عندهم كل خصلة ......... من الاعتقاد الرزل كي يجمع الشمل</w:t>
      </w:r>
    </w:p>
    <w:p w14:paraId="18701A9E" w14:textId="77777777" w:rsidR="009C32A0" w:rsidRDefault="009C32A0" w:rsidP="000636C2">
      <w:pPr>
        <w:spacing w:after="240"/>
        <w:jc w:val="center"/>
        <w:rPr>
          <w:rtl/>
        </w:rPr>
      </w:pPr>
      <w:r>
        <w:rPr>
          <w:rtl/>
        </w:rPr>
        <w:t>تسموا بألقاب ولا علم عندهم .............. موائدهم لا حرم فيها ولا حل</w:t>
      </w:r>
    </w:p>
    <w:p w14:paraId="1FB9D9FF" w14:textId="77777777" w:rsidR="009C32A0" w:rsidRDefault="009C32A0" w:rsidP="000636C2">
      <w:pPr>
        <w:spacing w:after="240"/>
        <w:jc w:val="center"/>
        <w:rPr>
          <w:rtl/>
        </w:rPr>
      </w:pPr>
      <w:r>
        <w:rPr>
          <w:rtl/>
        </w:rPr>
        <w:t>وأكثر حساد لنا أهل مذهبي ................. فلو قدروا أفتوا بأن دمي حل</w:t>
      </w:r>
    </w:p>
    <w:p w14:paraId="37ECC0C3" w14:textId="77777777" w:rsidR="009C32A0" w:rsidRDefault="009C32A0" w:rsidP="000636C2">
      <w:pPr>
        <w:spacing w:after="240"/>
        <w:jc w:val="center"/>
        <w:rPr>
          <w:rtl/>
        </w:rPr>
      </w:pPr>
      <w:r>
        <w:rPr>
          <w:rtl/>
        </w:rPr>
        <w:t>تمنوا بجهل أن تزل بي الهوى .................. ولم تمش في مجد بمثلي لهم رجل</w:t>
      </w:r>
    </w:p>
    <w:p w14:paraId="10ABCA5D" w14:textId="77777777" w:rsidR="009C32A0" w:rsidRDefault="009C32A0" w:rsidP="000636C2">
      <w:pPr>
        <w:spacing w:after="240"/>
        <w:jc w:val="center"/>
        <w:rPr>
          <w:rtl/>
        </w:rPr>
      </w:pPr>
      <w:r>
        <w:rPr>
          <w:rtl/>
        </w:rPr>
        <w:t>ومنذ مضى شيخ الجماعة أحمد ................ إلى الآن لم يوجد لعالمكم مثل</w:t>
      </w:r>
    </w:p>
    <w:p w14:paraId="297F1D3D" w14:textId="77777777" w:rsidR="009C32A0" w:rsidRDefault="009C32A0" w:rsidP="000636C2">
      <w:pPr>
        <w:spacing w:after="240"/>
        <w:jc w:val="center"/>
        <w:rPr>
          <w:rtl/>
        </w:rPr>
      </w:pPr>
      <w:r>
        <w:rPr>
          <w:rtl/>
        </w:rPr>
        <w:t>تفرد بالبغض القبيح مخالف ................. أليس اجتماع الناس لي شاهد عدل</w:t>
      </w:r>
    </w:p>
    <w:p w14:paraId="0C9183A2" w14:textId="3D438AC4" w:rsidR="009C32A0" w:rsidRDefault="009C32A0" w:rsidP="000636C2">
      <w:pPr>
        <w:spacing w:after="240"/>
        <w:jc w:val="center"/>
        <w:rPr>
          <w:rtl/>
        </w:rPr>
      </w:pPr>
      <w:r>
        <w:rPr>
          <w:rtl/>
        </w:rPr>
        <w:t>*</w:t>
      </w:r>
      <w:r>
        <w:rPr>
          <w:rFonts w:hint="cs"/>
          <w:rtl/>
        </w:rPr>
        <w:t>*</w:t>
      </w:r>
      <w:r>
        <w:rPr>
          <w:rtl/>
        </w:rPr>
        <w:t>*</w:t>
      </w:r>
      <w:r w:rsidR="000636C2">
        <w:rPr>
          <w:rtl/>
        </w:rPr>
        <w:t xml:space="preserve"> </w:t>
      </w:r>
    </w:p>
    <w:p w14:paraId="4573827E" w14:textId="77777777" w:rsidR="009C32A0" w:rsidRDefault="009C32A0" w:rsidP="000636C2">
      <w:pPr>
        <w:spacing w:after="240"/>
        <w:jc w:val="center"/>
        <w:rPr>
          <w:rtl/>
          <w:lang w:bidi="ar-KW"/>
        </w:rPr>
      </w:pPr>
    </w:p>
    <w:p w14:paraId="7B61EECA" w14:textId="77777777" w:rsidR="009C32A0" w:rsidRDefault="009C32A0" w:rsidP="000636C2">
      <w:pPr>
        <w:rPr>
          <w:rtl/>
          <w:lang w:bidi="ar-KW"/>
        </w:rPr>
      </w:pPr>
    </w:p>
    <w:p w14:paraId="7712C579" w14:textId="77777777" w:rsidR="009C32A0" w:rsidRDefault="009C32A0" w:rsidP="000636C2">
      <w:pPr>
        <w:rPr>
          <w:rtl/>
        </w:rPr>
      </w:pPr>
    </w:p>
    <w:p w14:paraId="262EAA2B" w14:textId="77777777" w:rsidR="009C32A0" w:rsidRPr="005675B2" w:rsidRDefault="009C32A0" w:rsidP="000636C2">
      <w:pPr>
        <w:rPr>
          <w:rtl/>
        </w:rPr>
      </w:pPr>
    </w:p>
    <w:p w14:paraId="50116E18" w14:textId="501D2A63" w:rsidR="009C32A0" w:rsidRPr="00EE70CF" w:rsidRDefault="009C32A0" w:rsidP="00EE70CF">
      <w:pPr>
        <w:pStyle w:val="1"/>
        <w:rPr>
          <w:u w:val="none"/>
          <w:rtl/>
          <w:lang w:bidi="ar-KW"/>
        </w:rPr>
      </w:pPr>
      <w:r w:rsidRPr="00EE70CF">
        <w:rPr>
          <w:rFonts w:hint="cs"/>
          <w:u w:val="none"/>
          <w:rtl/>
          <w:lang w:bidi="ar-KW"/>
        </w:rPr>
        <w:t>الملحق الثاني</w:t>
      </w:r>
      <w:r w:rsidR="00627D1B" w:rsidRPr="00EE70CF">
        <w:rPr>
          <w:rFonts w:hint="cs"/>
          <w:u w:val="none"/>
          <w:rtl/>
          <w:lang w:bidi="ar-KW"/>
        </w:rPr>
        <w:t xml:space="preserve"> </w:t>
      </w:r>
      <w:r w:rsidRPr="00EE70CF">
        <w:rPr>
          <w:rFonts w:hint="cs"/>
          <w:u w:val="none"/>
          <w:rtl/>
          <w:lang w:bidi="ar-KW"/>
        </w:rPr>
        <w:t>كتاب أ</w:t>
      </w:r>
      <w:r w:rsidRPr="00EE70CF">
        <w:rPr>
          <w:u w:val="none"/>
          <w:rtl/>
          <w:lang w:bidi="ar-KW"/>
        </w:rPr>
        <w:t>هل السنة الأشاعرة شهادة علماء الأمة</w:t>
      </w:r>
      <w:r w:rsidR="00627D1B" w:rsidRPr="00EE70CF">
        <w:rPr>
          <w:rFonts w:hint="cs"/>
          <w:u w:val="none"/>
          <w:rtl/>
          <w:lang w:bidi="ar-KW"/>
        </w:rPr>
        <w:t xml:space="preserve"> </w:t>
      </w:r>
      <w:r w:rsidRPr="00EE70CF">
        <w:rPr>
          <w:rFonts w:hint="cs"/>
          <w:u w:val="none"/>
          <w:rtl/>
          <w:lang w:bidi="ar-KW"/>
        </w:rPr>
        <w:t xml:space="preserve">جمع وإعداد </w:t>
      </w:r>
      <w:r w:rsidRPr="00EE70CF">
        <w:rPr>
          <w:u w:val="none"/>
          <w:rtl/>
          <w:lang w:bidi="ar-KW"/>
        </w:rPr>
        <w:t>حمد سنان</w:t>
      </w:r>
      <w:r w:rsidRPr="00EE70CF">
        <w:rPr>
          <w:rFonts w:hint="cs"/>
          <w:u w:val="none"/>
          <w:rtl/>
          <w:lang w:bidi="ar-KW"/>
        </w:rPr>
        <w:t xml:space="preserve"> وفوزي العنجري</w:t>
      </w:r>
    </w:p>
    <w:p w14:paraId="2EED079F" w14:textId="77777777" w:rsidR="009C32A0" w:rsidRPr="005675B2" w:rsidRDefault="009C32A0" w:rsidP="000636C2">
      <w:pPr>
        <w:spacing w:after="240"/>
        <w:rPr>
          <w:b/>
          <w:bCs/>
          <w:rtl/>
        </w:rPr>
      </w:pPr>
    </w:p>
    <w:p w14:paraId="564A3826" w14:textId="4EA27499" w:rsidR="009C32A0" w:rsidRPr="005675B2" w:rsidRDefault="000636C2" w:rsidP="000636C2">
      <w:pPr>
        <w:widowControl w:val="0"/>
        <w:spacing w:before="80" w:after="240"/>
        <w:rPr>
          <w:rtl/>
          <w:lang w:bidi="ar-KW"/>
        </w:rPr>
      </w:pPr>
      <w:r>
        <w:rPr>
          <w:rFonts w:hint="cs"/>
          <w:bCs/>
          <w:rtl/>
          <w:lang w:bidi="ar-KW"/>
        </w:rPr>
        <w:t>[</w:t>
      </w:r>
      <w:r w:rsidR="009C32A0" w:rsidRPr="005675B2">
        <w:rPr>
          <w:bCs/>
          <w:rtl/>
          <w:lang w:bidi="ar-KW"/>
        </w:rPr>
        <w:t>المقدمة</w:t>
      </w:r>
      <w:r>
        <w:rPr>
          <w:rFonts w:hint="cs"/>
          <w:bCs/>
          <w:rtl/>
          <w:lang w:bidi="ar-KW"/>
        </w:rPr>
        <w:t>]:</w:t>
      </w:r>
      <w:r w:rsidR="009C32A0" w:rsidRPr="005675B2">
        <w:rPr>
          <w:rFonts w:hint="cs"/>
          <w:bCs/>
          <w:rtl/>
          <w:lang w:bidi="ar-KW"/>
        </w:rPr>
        <w:t xml:space="preserve"> </w:t>
      </w:r>
      <w:r w:rsidR="009C32A0" w:rsidRPr="005675B2">
        <w:rPr>
          <w:rtl/>
          <w:lang w:bidi="ar-KW"/>
        </w:rPr>
        <w:t>الحمد لله حمدًا كثيرًا كبيرًا يبلغ رضاه، والصلاة والسلام على خيرته من خلقه ومصطفاه، وعلى آله وصحبه ومن والاه، وبعد</w:t>
      </w:r>
      <w:r>
        <w:rPr>
          <w:rFonts w:hint="cs"/>
          <w:rtl/>
          <w:lang w:bidi="ar-KW"/>
        </w:rPr>
        <w:t>،</w:t>
      </w:r>
      <w:r w:rsidR="009C32A0" w:rsidRPr="005675B2">
        <w:rPr>
          <w:rFonts w:hint="cs"/>
          <w:rtl/>
          <w:lang w:bidi="ar-KW"/>
        </w:rPr>
        <w:t xml:space="preserve"> </w:t>
      </w:r>
      <w:r w:rsidR="009C32A0" w:rsidRPr="005675B2">
        <w:rPr>
          <w:rtl/>
          <w:lang w:bidi="ar-KW"/>
        </w:rPr>
        <w:t>فأصل هذا البحث ونواته ورقات مختصرة أجبنا فيها على بعض الأسئلة التي وردتنا من بعض طلبة الجامعة عن حقيقة الأشاعرة، وهل هم من جملة أهل السنة والجماعة</w:t>
      </w:r>
      <w:r>
        <w:rPr>
          <w:rFonts w:hint="cs"/>
          <w:rtl/>
          <w:lang w:bidi="ar-KW"/>
        </w:rPr>
        <w:t>؟</w:t>
      </w:r>
      <w:r w:rsidR="009C32A0" w:rsidRPr="005675B2">
        <w:rPr>
          <w:rFonts w:hint="cs"/>
          <w:rtl/>
          <w:lang w:bidi="ar-KW"/>
        </w:rPr>
        <w:t xml:space="preserve"> </w:t>
      </w:r>
      <w:r w:rsidR="009C32A0" w:rsidRPr="005675B2">
        <w:rPr>
          <w:rtl/>
          <w:lang w:bidi="ar-KW"/>
        </w:rPr>
        <w:t>وكنا نظن أن تلك الورقات ستروي الغلة وتشفي العلة، لكننا تبيّنا خطأ ذلك الظن حين تتابعت التساؤلات حول نفس الموضوع، بعد أن أصبح يلقى على أسماع عوامِّ الناس ومثقفيهم, وقد تفاقم الأمر وتعاظم الخطب حتى بلغ إلى حدِّ هجر المسلم أخاه المسلم، وعدم التسليم عليه والصلاة خلفه لكونه من الأشاعرة</w:t>
      </w:r>
      <w:r>
        <w:rPr>
          <w:rFonts w:hint="cs"/>
          <w:rtl/>
          <w:lang w:bidi="ar-KW"/>
        </w:rPr>
        <w:t>،</w:t>
      </w:r>
      <w:r w:rsidR="009C32A0" w:rsidRPr="005675B2">
        <w:rPr>
          <w:rtl/>
          <w:lang w:bidi="ar-KW"/>
        </w:rPr>
        <w:t xml:space="preserve"> ولا حول ولا قوة إلا بالله العلي العظيم</w:t>
      </w:r>
      <w:r>
        <w:rPr>
          <w:rFonts w:hint="cs"/>
          <w:rtl/>
          <w:lang w:bidi="ar-KW"/>
        </w:rPr>
        <w:t>،</w:t>
      </w:r>
      <w:r w:rsidR="009C32A0" w:rsidRPr="005675B2">
        <w:rPr>
          <w:rFonts w:hint="cs"/>
          <w:rtl/>
          <w:lang w:bidi="ar-KW"/>
        </w:rPr>
        <w:t xml:space="preserve"> </w:t>
      </w:r>
      <w:r w:rsidR="009C32A0" w:rsidRPr="005675B2">
        <w:rPr>
          <w:rtl/>
          <w:lang w:bidi="ar-KW"/>
        </w:rPr>
        <w:t xml:space="preserve">فأصبح مذهب أهل السنة الأشاعرة تهمة وسُبَّة </w:t>
      </w:r>
      <w:r w:rsidR="009C32A0" w:rsidRPr="005675B2">
        <w:rPr>
          <w:rFonts w:hint="cs"/>
          <w:rtl/>
          <w:lang w:bidi="ar-KW"/>
        </w:rPr>
        <w:t>يتبرأ</w:t>
      </w:r>
      <w:r w:rsidR="009C32A0" w:rsidRPr="005675B2">
        <w:rPr>
          <w:rtl/>
          <w:lang w:bidi="ar-KW"/>
        </w:rPr>
        <w:t xml:space="preserve"> منها من نسبت إليه أو نسب إليها</w:t>
      </w:r>
      <w:r>
        <w:rPr>
          <w:rFonts w:hint="cs"/>
          <w:rtl/>
          <w:lang w:bidi="ar-KW"/>
        </w:rPr>
        <w:t xml:space="preserve">! </w:t>
      </w:r>
      <w:r w:rsidR="009C32A0" w:rsidRPr="005675B2">
        <w:rPr>
          <w:rtl/>
          <w:lang w:bidi="ar-KW"/>
        </w:rPr>
        <w:t>هذا المذهب الذي ما فتئ رافعاً لواء أهل السنة والجماعة، منافحًا عن ثوابت الأمة وعقائدها، واقفاً في وجه طوفان البدع والزيغ وأهله</w:t>
      </w:r>
      <w:r>
        <w:rPr>
          <w:rFonts w:hint="cs"/>
          <w:rtl/>
          <w:lang w:bidi="ar-KW"/>
        </w:rPr>
        <w:t>،</w:t>
      </w:r>
      <w:r w:rsidR="009C32A0" w:rsidRPr="005675B2">
        <w:rPr>
          <w:rFonts w:hint="cs"/>
          <w:rtl/>
          <w:lang w:bidi="ar-KW"/>
        </w:rPr>
        <w:t xml:space="preserve"> </w:t>
      </w:r>
      <w:r w:rsidR="009C32A0" w:rsidRPr="005675B2">
        <w:rPr>
          <w:rtl/>
          <w:lang w:bidi="ar-KW"/>
        </w:rPr>
        <w:t>هذا المذهب الذي هو في حقيقة الأمر امتداد لما كان عليه الصحابة والتابعون ومن بعدهم من أهل السنة</w:t>
      </w:r>
      <w:r>
        <w:rPr>
          <w:rFonts w:hint="cs"/>
          <w:rtl/>
          <w:lang w:bidi="ar-KW"/>
        </w:rPr>
        <w:t>،</w:t>
      </w:r>
      <w:r w:rsidR="009C32A0" w:rsidRPr="005675B2">
        <w:rPr>
          <w:rFonts w:hint="cs"/>
          <w:rtl/>
          <w:lang w:bidi="ar-KW"/>
        </w:rPr>
        <w:t xml:space="preserve"> </w:t>
      </w:r>
      <w:r w:rsidR="009C32A0" w:rsidRPr="005675B2">
        <w:rPr>
          <w:rtl/>
          <w:lang w:bidi="ar-KW"/>
        </w:rPr>
        <w:t>هذا المذهب الذي يدين به تسعة أعشار أمة الإسلام وسوادها الأعظم وعلماؤها ودهماؤها</w:t>
      </w:r>
      <w:r>
        <w:rPr>
          <w:rFonts w:hint="cs"/>
          <w:rtl/>
          <w:lang w:bidi="ar-KW"/>
        </w:rPr>
        <w:t>،</w:t>
      </w:r>
      <w:r w:rsidR="009C32A0" w:rsidRPr="005675B2">
        <w:rPr>
          <w:rFonts w:hint="cs"/>
          <w:rtl/>
          <w:lang w:bidi="ar-KW"/>
        </w:rPr>
        <w:t xml:space="preserve"> </w:t>
      </w:r>
      <w:r w:rsidR="009C32A0" w:rsidRPr="005675B2">
        <w:rPr>
          <w:rtl/>
          <w:lang w:bidi="ar-KW"/>
        </w:rPr>
        <w:t>مما اقتضى كتابة هذا البحث مساهمة منا في إزاحة سجف الجهالة التي غَـشَّـت على العقول المسلمة في أمور هي من الأهمية بمكان، أمور كانت بالأمس معلومة للكافة، فباتت في عصرنا من القضايا التي لا يكاد يعرفها أحد</w:t>
      </w:r>
      <w:r>
        <w:rPr>
          <w:rFonts w:hint="cs"/>
          <w:rtl/>
          <w:lang w:bidi="ar-KW"/>
        </w:rPr>
        <w:t>،</w:t>
      </w:r>
      <w:r w:rsidR="009C32A0" w:rsidRPr="005675B2">
        <w:rPr>
          <w:rFonts w:hint="cs"/>
          <w:rtl/>
          <w:lang w:bidi="ar-KW"/>
        </w:rPr>
        <w:t xml:space="preserve"> </w:t>
      </w:r>
      <w:r w:rsidR="009C32A0" w:rsidRPr="005675B2">
        <w:rPr>
          <w:rtl/>
          <w:lang w:bidi="ar-KW"/>
        </w:rPr>
        <w:t>وسـاهم في هذه الجهالة والظلم الذي وقع على هذا المذهب قوم أرادوا أن يحسنوا فأساءوا، قوم لم يفهموا حقيقة مذهب الأشاعرة في التأويل والتفويض فأساءوا في الحكم عليه بالضلال في قضية لا تستلزم كل هذا التهويل والتضليل</w:t>
      </w:r>
      <w:r>
        <w:rPr>
          <w:rFonts w:hint="cs"/>
          <w:rtl/>
          <w:lang w:bidi="ar-KW"/>
        </w:rPr>
        <w:t>،</w:t>
      </w:r>
      <w:r w:rsidR="009C32A0" w:rsidRPr="005675B2">
        <w:rPr>
          <w:rFonts w:hint="cs"/>
          <w:rtl/>
          <w:lang w:bidi="ar-KW"/>
        </w:rPr>
        <w:t xml:space="preserve"> </w:t>
      </w:r>
      <w:r w:rsidR="009C32A0" w:rsidRPr="005675B2">
        <w:rPr>
          <w:rtl/>
          <w:lang w:bidi="ar-KW"/>
        </w:rPr>
        <w:t>فقضية التأويل والتفويض لم تكن يوماً تشكل خطرًا يهدد الأمة ويقض مضجعها، ولم تكن مشكلة أمام علماء المسلمين تستوجب التراشق بالتهم والتنابز بالألقاب، وكلٌّ من التأويل والتفويض قد نقل عن علماء السلف الصالح ولم يترتب على ذلك بينهم تضليل ولا تبديع، فلماذا نجعله الآن سببا لذلك؟! لماذا نجعله عقبة أمام وحدة أهل السنة والجماعة في وقت نحن فيه في أمس الحاجة إلى الوحدة؟!</w:t>
      </w:r>
      <w:r w:rsidR="009C32A0" w:rsidRPr="005675B2">
        <w:rPr>
          <w:rFonts w:hint="cs"/>
          <w:rtl/>
          <w:lang w:bidi="ar-KW"/>
        </w:rPr>
        <w:t xml:space="preserve"> </w:t>
      </w:r>
      <w:r w:rsidR="009C32A0" w:rsidRPr="005675B2">
        <w:rPr>
          <w:rtl/>
          <w:lang w:bidi="ar-KW"/>
        </w:rPr>
        <w:t>ولقد كنا قبل نتحاشى الخوض في هذه القضايا خشية أن ندخل العامة في متاهات لا حاجة بهم إلى الدخول فيها، سيما موضوع صفات الله تعالى والنصوص المتشابهة التي نهى السلف الصالح عن الخوض فيها، وأمروا الناس بإمرارها وبإرجاعها إلى الآيات والنصوص المحكمة، أَمَا وقد خاض فيها البعض ووصفوا الله تعالى بما لا يليق وبما يستحيل في حقه تعالى، وأدخلوا العامة في ذلك، وضللوا أعلام الدين وعلماء الأمة فلا مناص من ولوج هذا الباب - ولو كنا كارهين - لبيان الحق في ذلك، والدفاع عن علماء الأمة</w:t>
      </w:r>
      <w:r>
        <w:rPr>
          <w:rFonts w:hint="cs"/>
          <w:rtl/>
          <w:lang w:bidi="ar-KW"/>
        </w:rPr>
        <w:t>،</w:t>
      </w:r>
      <w:r w:rsidR="009C32A0" w:rsidRPr="005675B2">
        <w:rPr>
          <w:rFonts w:hint="cs"/>
          <w:rtl/>
          <w:lang w:bidi="ar-KW"/>
        </w:rPr>
        <w:t xml:space="preserve"> </w:t>
      </w:r>
      <w:r w:rsidR="009C32A0" w:rsidRPr="005675B2">
        <w:rPr>
          <w:rtl/>
          <w:lang w:bidi="ar-KW"/>
        </w:rPr>
        <w:t>إن أسباب الوحدة التي تملكها أمتنا لا تملكها أمة أخرى على الأرض، ودواعي الاجتماع والوفاق كثيرة جدًا، وإنه لمن أشد الظلم والتجني أن نهمل كل هذه الأسباب والموجبات الجامعة الموحدة ونتجاهلها، ثم نركز على أمور فرعية في الفقه والعقائد ونجعلها من الأصول التي ينبني عليها الدين، وتقوم عليها عقائد المسلمين</w:t>
      </w:r>
      <w:r>
        <w:rPr>
          <w:rFonts w:hint="cs"/>
          <w:rtl/>
          <w:lang w:bidi="ar-KW"/>
        </w:rPr>
        <w:t>،</w:t>
      </w:r>
      <w:r w:rsidR="009C32A0" w:rsidRPr="005675B2">
        <w:rPr>
          <w:rFonts w:hint="cs"/>
          <w:rtl/>
          <w:lang w:bidi="ar-KW"/>
        </w:rPr>
        <w:t xml:space="preserve"> </w:t>
      </w:r>
      <w:r w:rsidR="009C32A0" w:rsidRPr="005675B2">
        <w:rPr>
          <w:rtl/>
          <w:lang w:bidi="ar-KW"/>
        </w:rPr>
        <w:t>إننـا اليوم لفي أمس الحاجة إلى الوحدة والتجمع لكي تتخطى أمتنا عصر الظلمات الذي تتخبط فيه، ولن يتم لنا ذلك من خلال مناهج التبديع والتفسيق - جزافاً وبغير حق - لأعلام تاريخنا الذين هم بمنزلة العُمُد والأسس لثقافتنا وحضارتنا، كما لن يتم لنا ذلك من خلال إشاعة المزيد من أسبـاب الفرقة المفتعلة، وتصنيـف المسلمين إلى ضُلال ومبتدعين وزنادقة وقبوريين.. و.. و.. إلخ</w:t>
      </w:r>
      <w:r>
        <w:rPr>
          <w:rFonts w:hint="cs"/>
          <w:rtl/>
          <w:lang w:bidi="ar-KW"/>
        </w:rPr>
        <w:t>،</w:t>
      </w:r>
      <w:r w:rsidR="009C32A0" w:rsidRPr="005675B2">
        <w:rPr>
          <w:rFonts w:hint="cs"/>
          <w:rtl/>
          <w:lang w:bidi="ar-KW"/>
        </w:rPr>
        <w:t xml:space="preserve"> </w:t>
      </w:r>
      <w:r w:rsidR="009C32A0" w:rsidRPr="005675B2">
        <w:rPr>
          <w:rtl/>
          <w:lang w:bidi="ar-KW"/>
        </w:rPr>
        <w:t>نعم</w:t>
      </w:r>
      <w:r>
        <w:rPr>
          <w:rFonts w:hint="cs"/>
          <w:rtl/>
          <w:lang w:bidi="ar-KW"/>
        </w:rPr>
        <w:t>،</w:t>
      </w:r>
      <w:r w:rsidR="009C32A0" w:rsidRPr="005675B2">
        <w:rPr>
          <w:rtl/>
          <w:lang w:bidi="ar-KW"/>
        </w:rPr>
        <w:t xml:space="preserve"> لن يتم للأمة خلاصها إلا بالرجوع إلى المنابع، والعودة إلى الأصالة والجذور، وإنشاء أجيال مسلمة تعرف للدين وعلماء الأمة أقدارها، أجيال تدرك قيمة الحوار للوصول إلى الحق، وتتسع صدورها للاختلاف الذي هو من طبيعة البشر</w:t>
      </w:r>
      <w:r>
        <w:rPr>
          <w:rFonts w:hint="cs"/>
          <w:rtl/>
          <w:lang w:bidi="ar-KW"/>
        </w:rPr>
        <w:t>،</w:t>
      </w:r>
      <w:r w:rsidR="009C32A0" w:rsidRPr="005675B2">
        <w:rPr>
          <w:rFonts w:hint="cs"/>
          <w:rtl/>
          <w:lang w:bidi="ar-KW"/>
        </w:rPr>
        <w:t xml:space="preserve"> </w:t>
      </w:r>
      <w:r w:rsidR="009C32A0" w:rsidRPr="005675B2">
        <w:rPr>
          <w:rtl/>
          <w:lang w:bidi="ar-KW"/>
        </w:rPr>
        <w:t>وهو ما كنا دائماً نسعى إلى ترسيخه في جميع بحوثنا، وهو أيضاً ما نَصْـبوا إليه في هذا البحث، معرضين عن كل ما قد يثيره البعض، ضاربين عنه صفحاً، موقنين بأن الحوار الهادئ المعتضد بالدليل والحجة والبرهان هو أقصر طريق للحقيقة</w:t>
      </w:r>
      <w:r>
        <w:rPr>
          <w:rFonts w:hint="cs"/>
          <w:rtl/>
          <w:lang w:bidi="ar-KW"/>
        </w:rPr>
        <w:t>،</w:t>
      </w:r>
      <w:r w:rsidR="009C32A0" w:rsidRPr="005675B2">
        <w:rPr>
          <w:rFonts w:hint="cs"/>
          <w:rtl/>
          <w:lang w:bidi="ar-KW"/>
        </w:rPr>
        <w:t xml:space="preserve"> </w:t>
      </w:r>
      <w:r w:rsidR="009C32A0" w:rsidRPr="005675B2">
        <w:rPr>
          <w:rtl/>
          <w:lang w:bidi="ar-KW"/>
        </w:rPr>
        <w:t>ولقد اعتمدنا في هذا البحث على جمع أقوال الأئمة الأعلام، وعزونا كل نصٍّ إلى قائله حرصاً على نزاهة المنهج</w:t>
      </w:r>
      <w:r>
        <w:rPr>
          <w:rFonts w:hint="cs"/>
          <w:rtl/>
          <w:lang w:bidi="ar-KW"/>
        </w:rPr>
        <w:t>،</w:t>
      </w:r>
      <w:r w:rsidR="009C32A0" w:rsidRPr="005675B2">
        <w:rPr>
          <w:rtl/>
          <w:lang w:bidi="ar-KW"/>
        </w:rPr>
        <w:t xml:space="preserve"> ولم يكن لنا من جهد</w:t>
      </w:r>
      <w:r>
        <w:rPr>
          <w:rtl/>
          <w:lang w:bidi="ar-KW"/>
        </w:rPr>
        <w:t xml:space="preserve"> </w:t>
      </w:r>
      <w:r w:rsidR="009C32A0" w:rsidRPr="005675B2">
        <w:rPr>
          <w:rtl/>
          <w:lang w:bidi="ar-KW"/>
        </w:rPr>
        <w:t>- في الغالب</w:t>
      </w:r>
      <w:r>
        <w:rPr>
          <w:rtl/>
          <w:lang w:bidi="ar-KW"/>
        </w:rPr>
        <w:t xml:space="preserve"> </w:t>
      </w:r>
      <w:r w:rsidR="009C32A0" w:rsidRPr="005675B2">
        <w:rPr>
          <w:rtl/>
          <w:lang w:bidi="ar-KW"/>
        </w:rPr>
        <w:t>- إلا في التبويب والترتيب وبعض التعليقات هنا وهناك، وما سوى ذلك فهو نصوص العلماء وكلماتهم موجهة إلى القارئ الكريم مخاطبة لعقله</w:t>
      </w:r>
      <w:r>
        <w:rPr>
          <w:rFonts w:hint="cs"/>
          <w:rtl/>
          <w:lang w:bidi="ar-KW"/>
        </w:rPr>
        <w:t>،</w:t>
      </w:r>
      <w:r w:rsidR="009C32A0" w:rsidRPr="005675B2">
        <w:rPr>
          <w:rFonts w:hint="cs"/>
          <w:rtl/>
          <w:lang w:bidi="ar-KW"/>
        </w:rPr>
        <w:t xml:space="preserve"> </w:t>
      </w:r>
      <w:r w:rsidR="009C32A0" w:rsidRPr="005675B2">
        <w:rPr>
          <w:rtl/>
          <w:lang w:bidi="ar-KW"/>
        </w:rPr>
        <w:t>وعلى الجملة فإن الموضوع أكبر من أن تحيط به صفحات معدودات، بيد أن هذا ما سمح به المقام مراعاةً (لحساسية) الموضوع وخطورته!!</w:t>
      </w:r>
      <w:r w:rsidR="009C32A0" w:rsidRPr="005675B2">
        <w:rPr>
          <w:rFonts w:hint="cs"/>
          <w:rtl/>
          <w:lang w:bidi="ar-KW"/>
        </w:rPr>
        <w:t xml:space="preserve"> </w:t>
      </w:r>
      <w:r w:rsidR="009C32A0" w:rsidRPr="005675B2">
        <w:rPr>
          <w:rtl/>
          <w:lang w:bidi="ar-KW"/>
        </w:rPr>
        <w:t>وأخيراً.. فهذا البحث جهدُ المُقِلِّ عسى الله تعالى أن يبارك فيه وينفع قارئيه، كما بارك في الرسائل والبحوث التي سبقته، وأن يوفق تعالى إلى بحوث أخرى تساعد في إنارة الطريق إلى الله تعالى، وتساهم في توعيةٍ شرعيةٍ أصيلةٍ</w:t>
      </w:r>
      <w:r>
        <w:rPr>
          <w:rFonts w:hint="cs"/>
          <w:rtl/>
          <w:lang w:bidi="ar-KW"/>
        </w:rPr>
        <w:t>،</w:t>
      </w:r>
      <w:r w:rsidR="009C32A0" w:rsidRPr="005675B2">
        <w:rPr>
          <w:rFonts w:hint="cs"/>
          <w:rtl/>
          <w:lang w:bidi="ar-KW"/>
        </w:rPr>
        <w:t xml:space="preserve"> </w:t>
      </w:r>
      <w:r w:rsidR="009C32A0" w:rsidRPr="005675B2">
        <w:rPr>
          <w:rtl/>
          <w:lang w:bidi="ar-KW"/>
        </w:rPr>
        <w:t xml:space="preserve">وبالله الحول والقوة، وإليه المفزع في درك كل طَلِبَة، به نعتضد وعليه نعتمد، هو حسبنا ونعم </w:t>
      </w:r>
      <w:r w:rsidR="009C32A0" w:rsidRPr="005675B2">
        <w:rPr>
          <w:rFonts w:hint="cs"/>
          <w:rtl/>
          <w:lang w:bidi="ar-KW"/>
        </w:rPr>
        <w:t>ا</w:t>
      </w:r>
      <w:r w:rsidR="009C32A0" w:rsidRPr="005675B2">
        <w:rPr>
          <w:rtl/>
          <w:lang w:bidi="ar-KW"/>
        </w:rPr>
        <w:t>لوكيل.</w:t>
      </w:r>
    </w:p>
    <w:p w14:paraId="7858FE64" w14:textId="77777777" w:rsidR="009C32A0" w:rsidRPr="005675B2" w:rsidRDefault="009C32A0" w:rsidP="000636C2">
      <w:pPr>
        <w:widowControl w:val="0"/>
        <w:spacing w:before="80" w:after="240"/>
        <w:jc w:val="center"/>
        <w:rPr>
          <w:b/>
          <w:bCs/>
          <w:rtl/>
          <w:lang w:bidi="ar-KW"/>
        </w:rPr>
      </w:pPr>
      <w:r w:rsidRPr="005675B2">
        <w:rPr>
          <w:rtl/>
          <w:lang w:bidi="ar-KW"/>
        </w:rPr>
        <w:t>* * * * *</w:t>
      </w:r>
      <w:r w:rsidRPr="005675B2">
        <w:rPr>
          <w:rFonts w:hint="cs"/>
          <w:rtl/>
          <w:lang w:bidi="ar-KW"/>
        </w:rPr>
        <w:t xml:space="preserve"> </w:t>
      </w:r>
    </w:p>
    <w:p w14:paraId="09243473" w14:textId="77777777" w:rsidR="009C32A0" w:rsidRPr="005675B2" w:rsidRDefault="009C32A0" w:rsidP="000636C2">
      <w:pPr>
        <w:widowControl w:val="0"/>
        <w:spacing w:before="80" w:after="240"/>
        <w:jc w:val="center"/>
        <w:rPr>
          <w:b/>
          <w:bCs/>
          <w:rtl/>
          <w:lang w:bidi="ar-KW"/>
        </w:rPr>
      </w:pPr>
      <w:r w:rsidRPr="005675B2">
        <w:rPr>
          <w:bCs/>
          <w:rtl/>
          <w:lang w:bidi="ar-KW"/>
        </w:rPr>
        <w:t>مصطلح الأشاعرة</w:t>
      </w:r>
    </w:p>
    <w:p w14:paraId="4CFCC577" w14:textId="3C50FEA2" w:rsidR="009C32A0" w:rsidRPr="005675B2" w:rsidRDefault="009C32A0" w:rsidP="000636C2">
      <w:pPr>
        <w:widowControl w:val="0"/>
        <w:spacing w:before="80" w:after="240"/>
        <w:rPr>
          <w:rtl/>
          <w:lang w:bidi="ar-KW"/>
        </w:rPr>
      </w:pPr>
      <w:r w:rsidRPr="005675B2">
        <w:rPr>
          <w:rtl/>
          <w:lang w:bidi="ar-KW"/>
        </w:rPr>
        <w:t>لفظ الأشاعرة يطلق على من سلك مسلك الإمام أبي الحسن الأشعري في الاعتقاد، لا تقليداً بل اهتداءً، فمثل الإمام أبي الحسن - رحمه الله تعالى - كمن عقد على طريق السلف لواءً ليهتدي به من يراه، فالانتساب إليه بمنزلة الانتساب إلى الإمام أبي حنيفة ومالك والشافعي وأحمد - رضوان الله عليهم - في الفروع الفقهية، إذ مع كونهم مختلفين في طرق الاستنباط واستخراج الأحكام، إلا أنهم متفقون على المصادر التي يصدرون عنها والموارد التي يردونها، وكذلك الإمام أبو الحسن الأشعري في أبواب أصول الدين، إنما هو آخذ من القرآن الكريم والسنة الشريفة، وسائر على طريق السلف، والانتساب إليه إنما هو من حيث كونه أضاء تلك الطريق ونصب عليها نطاقاً وشهرها في الأمة بعد أن حاول طمسها أصحاب البدع والأهواء</w:t>
      </w:r>
      <w:r w:rsidR="000636C2">
        <w:rPr>
          <w:rFonts w:hint="cs"/>
          <w:rtl/>
          <w:lang w:bidi="ar-KW"/>
        </w:rPr>
        <w:t>،</w:t>
      </w:r>
      <w:r w:rsidRPr="005675B2">
        <w:rPr>
          <w:rFonts w:hint="cs"/>
          <w:rtl/>
          <w:lang w:bidi="ar-KW"/>
        </w:rPr>
        <w:t xml:space="preserve"> </w:t>
      </w:r>
    </w:p>
    <w:p w14:paraId="18304E15" w14:textId="5DBF961A" w:rsidR="009C32A0" w:rsidRPr="005675B2" w:rsidRDefault="009C32A0" w:rsidP="000636C2">
      <w:pPr>
        <w:widowControl w:val="0"/>
        <w:spacing w:before="80" w:after="240"/>
        <w:rPr>
          <w:rtl/>
          <w:lang w:bidi="ar-KW"/>
        </w:rPr>
      </w:pPr>
      <w:r w:rsidRPr="005675B2">
        <w:rPr>
          <w:bCs/>
          <w:rtl/>
          <w:lang w:bidi="ar-KW"/>
        </w:rPr>
        <w:t>قال الإمام تاج الدين السبكي</w:t>
      </w:r>
      <w:r w:rsidRPr="005675B2">
        <w:rPr>
          <w:rtl/>
          <w:lang w:bidi="ar-KW"/>
        </w:rPr>
        <w:t xml:space="preserve"> رحمه الله تعالى (الطبقات 3/ 365)</w:t>
      </w:r>
      <w:r w:rsidR="000636C2">
        <w:rPr>
          <w:rFonts w:hint="cs"/>
          <w:rtl/>
          <w:lang w:bidi="ar-KW"/>
        </w:rPr>
        <w:t>:</w:t>
      </w:r>
      <w:r w:rsidRPr="005675B2">
        <w:rPr>
          <w:rFonts w:hint="cs"/>
          <w:rtl/>
          <w:lang w:bidi="ar-KW"/>
        </w:rPr>
        <w:t xml:space="preserve"> </w:t>
      </w:r>
      <w:r w:rsidR="000636C2">
        <w:rPr>
          <w:rtl/>
          <w:lang w:bidi="ar-KW"/>
        </w:rPr>
        <w:t>(</w:t>
      </w:r>
      <w:r w:rsidRPr="005675B2">
        <w:rPr>
          <w:rtl/>
          <w:lang w:bidi="ar-KW"/>
        </w:rPr>
        <w:t>اعلم أن أبا الحسن لم يبدع رأياً ولم ينشء مذهباً، وإنما هو مقرر لمذاهب السلف، مناضل عما كانت عليه صحابة رسول الله</w:t>
      </w:r>
      <w:r w:rsidR="000636C2">
        <w:rPr>
          <w:rtl/>
          <w:lang w:bidi="ar-KW"/>
        </w:rPr>
        <w:t>،</w:t>
      </w:r>
      <w:r w:rsidRPr="005675B2">
        <w:rPr>
          <w:rtl/>
          <w:lang w:bidi="ar-KW"/>
        </w:rPr>
        <w:t xml:space="preserve">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 اهـ</w:t>
      </w:r>
      <w:r w:rsidR="000636C2">
        <w:rPr>
          <w:rtl/>
          <w:lang w:bidi="ar-KW"/>
        </w:rPr>
        <w:t>،</w:t>
      </w:r>
      <w:r w:rsidRPr="005675B2">
        <w:rPr>
          <w:rFonts w:hint="cs"/>
          <w:rtl/>
          <w:lang w:bidi="ar-KW"/>
        </w:rPr>
        <w:t xml:space="preserve"> </w:t>
      </w:r>
      <w:r w:rsidRPr="005675B2">
        <w:rPr>
          <w:rtl/>
          <w:lang w:bidi="ar-KW"/>
        </w:rPr>
        <w:t>ثم قال رحمه الله تعالى مبيناً أن هذه الطريقة عليها جل الأمة</w:t>
      </w:r>
      <w:r w:rsidR="000636C2">
        <w:rPr>
          <w:rFonts w:hint="cs"/>
          <w:rtl/>
          <w:lang w:bidi="ar-KW"/>
        </w:rPr>
        <w:t>:</w:t>
      </w:r>
      <w:r w:rsidRPr="005675B2">
        <w:rPr>
          <w:rFonts w:hint="cs"/>
          <w:rtl/>
          <w:lang w:bidi="ar-KW"/>
        </w:rPr>
        <w:t xml:space="preserve"> </w:t>
      </w:r>
      <w:r w:rsidRPr="005675B2">
        <w:rPr>
          <w:rtl/>
          <w:lang w:bidi="ar-KW"/>
        </w:rPr>
        <w:t>(وقد ذكر شيخ الإسلام عز الدين بن عبد السلام أن عقيدته</w:t>
      </w:r>
      <w:r w:rsidR="000636C2">
        <w:rPr>
          <w:rtl/>
          <w:lang w:bidi="ar-KW"/>
        </w:rPr>
        <w:t xml:space="preserve"> </w:t>
      </w:r>
      <w:r w:rsidRPr="005675B2">
        <w:rPr>
          <w:rtl/>
          <w:lang w:bidi="ar-KW"/>
        </w:rPr>
        <w:t>-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 اهـ.</w:t>
      </w:r>
    </w:p>
    <w:p w14:paraId="10304C08" w14:textId="2C301E89" w:rsidR="009C32A0" w:rsidRPr="005675B2" w:rsidRDefault="009C32A0" w:rsidP="000636C2">
      <w:pPr>
        <w:widowControl w:val="0"/>
        <w:spacing w:before="80" w:after="240"/>
        <w:rPr>
          <w:rtl/>
          <w:lang w:bidi="ar-KW"/>
        </w:rPr>
      </w:pPr>
      <w:r w:rsidRPr="005675B2">
        <w:rPr>
          <w:bCs/>
          <w:rtl/>
          <w:lang w:bidi="ar-KW"/>
        </w:rPr>
        <w:t>وقال الحافظ أبو بكر البيهقي</w:t>
      </w:r>
      <w:r w:rsidRPr="005675B2">
        <w:rPr>
          <w:rtl/>
          <w:lang w:bidi="ar-KW"/>
        </w:rPr>
        <w:t xml:space="preserve"> رحمه الله تعالى وهو من الطبقة الثالثة من أتباع الإمام الأشعري (تبيين كذب المفتري 103، الطبقات الكبرى للتاج السبكي 3/397)</w:t>
      </w:r>
      <w:r w:rsidR="000636C2">
        <w:rPr>
          <w:rFonts w:hint="cs"/>
          <w:rtl/>
          <w:lang w:bidi="ar-KW"/>
        </w:rPr>
        <w:t>:</w:t>
      </w:r>
      <w:r w:rsidRPr="005675B2">
        <w:rPr>
          <w:rFonts w:hint="cs"/>
          <w:rtl/>
          <w:lang w:bidi="ar-KW"/>
        </w:rPr>
        <w:t xml:space="preserve"> </w:t>
      </w:r>
      <w:r w:rsidRPr="005675B2">
        <w:rPr>
          <w:rtl/>
          <w:lang w:bidi="ar-KW"/>
        </w:rPr>
        <w:t>(..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أهل الأهواء من أن بعضه لا يستقيم في الآراء، فكان في بيانه تقوية ما لم يدلَّ عليه من أهل السنة والجماعة، ونصرة أقاويل من مضى من الأئمة كأبي حنيفة وسفيان الثوري من أهل الكوفة، والأوزاعي وغيره من أهل الشام، ومالك والشافعي من أهل الحرمين، ومن نحا نحوهما من الحجاز وغيرها من سائر البلاد، وكأحمد بن حنبل وغيره من أهل الحديث، والليث بن سعد وغيره وأبي عبدالله محمد بن إسماعيل البخاري وأبي الحسين مسلم بن الحجاج النيسابوري إمامي أهل الآثار وحفاظ السنن التي عليها مدار الشرع رضي الله عنهم أجمعين) اهـ.</w:t>
      </w:r>
    </w:p>
    <w:p w14:paraId="27E17E90" w14:textId="59FF9C13" w:rsidR="009C32A0" w:rsidRPr="005675B2" w:rsidRDefault="009C32A0" w:rsidP="000636C2">
      <w:pPr>
        <w:widowControl w:val="0"/>
        <w:spacing w:before="80" w:after="240"/>
        <w:rPr>
          <w:rtl/>
          <w:lang w:bidi="ar-KW"/>
        </w:rPr>
      </w:pPr>
      <w:r w:rsidRPr="005675B2">
        <w:rPr>
          <w:bCs/>
          <w:rtl/>
          <w:lang w:bidi="ar-KW"/>
        </w:rPr>
        <w:t>وقال الحافظ ابن عساكر</w:t>
      </w:r>
      <w:r w:rsidRPr="005675B2">
        <w:rPr>
          <w:rtl/>
          <w:lang w:bidi="ar-KW"/>
        </w:rPr>
        <w:t xml:space="preserve"> رحمه الله تعالى (تبيين كذب المفتري ص</w:t>
      </w:r>
      <w:r w:rsidR="000636C2">
        <w:rPr>
          <w:rtl/>
          <w:lang w:bidi="ar-KW"/>
        </w:rPr>
        <w:t xml:space="preserve"> </w:t>
      </w:r>
      <w:r w:rsidRPr="005675B2">
        <w:rPr>
          <w:rtl/>
          <w:lang w:bidi="ar-KW"/>
        </w:rPr>
        <w:t>359)</w:t>
      </w:r>
      <w:r w:rsidR="000636C2">
        <w:rPr>
          <w:rFonts w:hint="cs"/>
          <w:rtl/>
          <w:lang w:bidi="ar-KW"/>
        </w:rPr>
        <w:t>:</w:t>
      </w:r>
      <w:r w:rsidRPr="005675B2">
        <w:rPr>
          <w:rFonts w:hint="cs"/>
          <w:rtl/>
          <w:lang w:bidi="ar-KW"/>
        </w:rPr>
        <w:t xml:space="preserve"> </w:t>
      </w:r>
      <w:r w:rsidRPr="005675B2">
        <w:rPr>
          <w:rtl/>
          <w:lang w:bidi="ar-KW"/>
        </w:rPr>
        <w:t>(.. ولسنا نُسَلِّم أن أبا الحسن اخترع مذهباً خامساً، وإنما أقام من مذاهب أهل السنة ما صار عند المبتدعة دارساً، وأوضح من أقوال من تقدمه من الأربعة وغيرهم ما غدا ملتبساً، وجدد من معالم الشريعة ما أصبح بتكذيب من اعتدى منطمساً، ولسنا ننتسب بمذهبنا في التوحيد إليه على معنى أنا نقلده فيه ونعتمد عليه، ولكنا نوافقه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تمشعراً فالموحدون بأسرهم أشعرية، ولا يضر عصابة انتمت إلى موحد مجردُ التشنيع عليها بما هي منه بَرِيِّة) اهـ</w:t>
      </w:r>
      <w:r w:rsidR="000636C2">
        <w:rPr>
          <w:rtl/>
          <w:lang w:bidi="ar-KW"/>
        </w:rPr>
        <w:t>،</w:t>
      </w:r>
      <w:r w:rsidRPr="005675B2">
        <w:rPr>
          <w:rFonts w:hint="cs"/>
          <w:rtl/>
          <w:lang w:bidi="ar-KW"/>
        </w:rPr>
        <w:t xml:space="preserve"> </w:t>
      </w:r>
      <w:r w:rsidRPr="005675B2">
        <w:rPr>
          <w:rtl/>
          <w:lang w:bidi="ar-KW"/>
        </w:rPr>
        <w:t>فانظر - رحمك الله - كيف جعل الانتساب إلى الإمام الأشعري تميزاً عن أهل البدع والأهواء، وأنه ومن انتسب إليه على ما كان عليه السلف الصالح من الأربعة وغيرهم.</w:t>
      </w:r>
    </w:p>
    <w:p w14:paraId="10C121DF" w14:textId="634F1296" w:rsidR="009C32A0" w:rsidRPr="005675B2" w:rsidRDefault="009C32A0" w:rsidP="000636C2">
      <w:pPr>
        <w:widowControl w:val="0"/>
        <w:spacing w:before="80" w:after="240"/>
        <w:rPr>
          <w:rtl/>
          <w:lang w:bidi="ar-KW"/>
        </w:rPr>
      </w:pPr>
      <w:r w:rsidRPr="005675B2">
        <w:rPr>
          <w:bCs/>
          <w:rtl/>
          <w:lang w:bidi="ar-KW"/>
        </w:rPr>
        <w:t>وقال أيضاً</w:t>
      </w:r>
      <w:r w:rsidRPr="005675B2">
        <w:rPr>
          <w:rtl/>
          <w:lang w:bidi="ar-KW"/>
        </w:rPr>
        <w:t xml:space="preserve"> رحمه الله تعالى (المصدر السابق 397)</w:t>
      </w:r>
      <w:r w:rsidR="000636C2">
        <w:rPr>
          <w:rFonts w:hint="cs"/>
          <w:rtl/>
          <w:lang w:bidi="ar-KW"/>
        </w:rPr>
        <w:t>:</w:t>
      </w:r>
      <w:r w:rsidRPr="005675B2">
        <w:rPr>
          <w:rFonts w:hint="cs"/>
          <w:rtl/>
          <w:lang w:bidi="ar-KW"/>
        </w:rPr>
        <w:t xml:space="preserve"> </w:t>
      </w:r>
      <w:r w:rsidRPr="005675B2">
        <w:rPr>
          <w:rtl/>
          <w:lang w:bidi="ar-KW"/>
        </w:rPr>
        <w:t>(وهم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w:t>
      </w:r>
    </w:p>
    <w:p w14:paraId="5C3D2D65" w14:textId="07F872C5" w:rsidR="009C32A0" w:rsidRPr="005675B2" w:rsidRDefault="009C32A0" w:rsidP="000636C2">
      <w:pPr>
        <w:widowControl w:val="0"/>
        <w:spacing w:before="80" w:after="240"/>
        <w:rPr>
          <w:rtl/>
          <w:lang w:bidi="ar-KW"/>
        </w:rPr>
      </w:pPr>
      <w:r w:rsidRPr="005675B2">
        <w:rPr>
          <w:bCs/>
          <w:rtl/>
          <w:lang w:bidi="ar-KW"/>
        </w:rPr>
        <w:t>وقال الإمام المرتضى الزبيدي</w:t>
      </w:r>
      <w:r w:rsidRPr="005675B2">
        <w:rPr>
          <w:rtl/>
          <w:lang w:bidi="ar-KW"/>
        </w:rPr>
        <w:t xml:space="preserve"> رحمه الله تعالى (إتحاف السادة المتقين 2/7):</w:t>
      </w:r>
      <w:r w:rsidRPr="005675B2">
        <w:rPr>
          <w:rFonts w:hint="cs"/>
          <w:rtl/>
          <w:lang w:bidi="ar-KW"/>
        </w:rPr>
        <w:t xml:space="preserve"> </w:t>
      </w:r>
      <w:r w:rsidRPr="005675B2">
        <w:rPr>
          <w:rtl/>
          <w:lang w:bidi="ar-KW"/>
        </w:rPr>
        <w:t>(وليعلم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w:t>
      </w:r>
      <w:r w:rsidR="000636C2">
        <w:rPr>
          <w:rtl/>
          <w:lang w:bidi="ar-KW"/>
        </w:rPr>
        <w:t xml:space="preserve"> </w:t>
      </w:r>
      <w:r w:rsidRPr="005675B2">
        <w:rPr>
          <w:rtl/>
          <w:lang w:bidi="ar-KW"/>
        </w:rPr>
        <w:t>... وناظَرَ كلٌّ منهما ذوي البدع والضلالات حتى انقطعوا وولوا منهزمين) اهـ</w:t>
      </w:r>
      <w:r w:rsidR="000636C2">
        <w:rPr>
          <w:rFonts w:hint="cs"/>
          <w:rtl/>
          <w:lang w:bidi="ar-KW"/>
        </w:rPr>
        <w:t>،</w:t>
      </w:r>
      <w:r w:rsidRPr="005675B2">
        <w:rPr>
          <w:rFonts w:hint="cs"/>
          <w:rtl/>
          <w:lang w:bidi="ar-KW"/>
        </w:rPr>
        <w:t xml:space="preserve"> </w:t>
      </w:r>
      <w:r w:rsidRPr="005675B2">
        <w:rPr>
          <w:rtl/>
          <w:lang w:bidi="ar-KW"/>
        </w:rPr>
        <w:t>هـؤلاء هم الأشاعرة أتباع الإمام أبي الحسن الأشعري، فمن هو هذا الإمام الفذ الذي انتسبوا إليه؟</w:t>
      </w:r>
    </w:p>
    <w:p w14:paraId="32035D2D" w14:textId="77777777" w:rsidR="009C32A0" w:rsidRPr="005675B2" w:rsidRDefault="009C32A0" w:rsidP="000636C2">
      <w:pPr>
        <w:widowControl w:val="0"/>
        <w:spacing w:before="80" w:after="240"/>
        <w:jc w:val="center"/>
        <w:rPr>
          <w:b/>
          <w:bCs/>
          <w:rtl/>
          <w:lang w:bidi="ar-KW"/>
        </w:rPr>
      </w:pPr>
      <w:r w:rsidRPr="005675B2">
        <w:rPr>
          <w:rtl/>
          <w:lang w:bidi="ar-KW"/>
        </w:rPr>
        <w:t>* * * * *</w:t>
      </w:r>
    </w:p>
    <w:p w14:paraId="461A46E3" w14:textId="77777777" w:rsidR="009C32A0" w:rsidRPr="005675B2" w:rsidRDefault="009C32A0" w:rsidP="000636C2">
      <w:pPr>
        <w:widowControl w:val="0"/>
        <w:spacing w:before="80" w:after="240"/>
        <w:jc w:val="center"/>
        <w:rPr>
          <w:b/>
          <w:bCs/>
          <w:rtl/>
          <w:lang w:bidi="ar-KW"/>
        </w:rPr>
      </w:pPr>
      <w:r w:rsidRPr="005675B2">
        <w:rPr>
          <w:bCs/>
          <w:rtl/>
          <w:lang w:bidi="ar-KW"/>
        </w:rPr>
        <w:t>ترجمة الإمام أبى الحسن الأشعر</w:t>
      </w:r>
      <w:r w:rsidRPr="005675B2">
        <w:rPr>
          <w:rFonts w:hint="cs"/>
          <w:bCs/>
          <w:rtl/>
          <w:lang w:bidi="ar-KW"/>
        </w:rPr>
        <w:t>ي</w:t>
      </w:r>
    </w:p>
    <w:p w14:paraId="791E4D80" w14:textId="760F301C" w:rsidR="009C32A0" w:rsidRPr="005675B2" w:rsidRDefault="009C32A0" w:rsidP="000636C2">
      <w:pPr>
        <w:widowControl w:val="0"/>
        <w:spacing w:before="80" w:after="240"/>
        <w:rPr>
          <w:rtl/>
          <w:lang w:bidi="ar-KW"/>
        </w:rPr>
      </w:pPr>
      <w:r w:rsidRPr="005675B2">
        <w:rPr>
          <w:rtl/>
          <w:lang w:bidi="ar-KW"/>
        </w:rPr>
        <w:t>هو الإمام الحبر، التقي البر، ناصر السنة، وعلم الدين، وشعار المسلمين، علي بن إسماعيل بن أبي بشر إسحق بن سالم بن إسماعيل بن عبد الله بن موسى بن بلال بن أبي بردة بن صاحب رسول الله - أبي موسى عبد الله بن قيس الأشعري</w:t>
      </w:r>
      <w:r w:rsidR="000636C2">
        <w:rPr>
          <w:rtl/>
          <w:lang w:bidi="ar-KW"/>
        </w:rPr>
        <w:t xml:space="preserve"> </w:t>
      </w:r>
      <w:r w:rsidRPr="005675B2">
        <w:rPr>
          <w:rtl/>
          <w:lang w:bidi="ar-KW"/>
        </w:rPr>
        <w:t>- رضي الله عنه</w:t>
      </w:r>
      <w:r w:rsidR="000636C2">
        <w:rPr>
          <w:rFonts w:hint="cs"/>
          <w:rtl/>
          <w:lang w:bidi="ar-KW"/>
        </w:rPr>
        <w:t>،</w:t>
      </w:r>
      <w:r w:rsidRPr="005675B2">
        <w:rPr>
          <w:rFonts w:hint="cs"/>
          <w:rtl/>
          <w:lang w:bidi="ar-KW"/>
        </w:rPr>
        <w:t xml:space="preserve"> </w:t>
      </w:r>
      <w:r w:rsidRPr="005675B2">
        <w:rPr>
          <w:rtl/>
          <w:lang w:bidi="ar-KW"/>
        </w:rPr>
        <w:t>شيخ طريقة أهل السنة والجماعة وإمام المتكلمين، ولد رحمه الله سنة ستين ومئتين، وتبع أول أمره مذهب الجبّائي المعتزلي، واستمر على الاعتزال أربعين سنة أو قريبا من ذلك، وبرع فيه حتى صار للمعتزلة إمـاماً، وعلى خصومهم حسـاماً، فلما أراد الله نصر دينه، وتأييـد سنة نبيه</w:t>
      </w:r>
      <w:r w:rsidR="000636C2">
        <w:rPr>
          <w:rtl/>
          <w:lang w:bidi="ar-KW"/>
        </w:rPr>
        <w:t xml:space="preserve"> </w:t>
      </w:r>
      <w:r w:rsidRPr="005675B2">
        <w:rPr>
          <w:rtl/>
          <w:lang w:bidi="ar-KW"/>
        </w:rPr>
        <w:t>بصره ببطلان مذهب الاعتزال فكانت تعرض له إشكالات على عقائد المعتزلة، فيسأل عنها أستاذِيه فلا يجد عندهم أجوبة شافية، وهكذا إلى أن أراه الله تعالى وجه الحق،</w:t>
      </w:r>
      <w:r w:rsidRPr="005675B2">
        <w:rPr>
          <w:rFonts w:hint="cs"/>
          <w:rtl/>
          <w:lang w:bidi="ar-KW"/>
        </w:rPr>
        <w:t xml:space="preserve"> </w:t>
      </w:r>
      <w:r w:rsidRPr="005675B2">
        <w:rPr>
          <w:rtl/>
          <w:lang w:bidi="ar-KW"/>
        </w:rPr>
        <w:t>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وهاأنا تائب من الاعتزال معتقد الرد على المعتزلة مخرج لفضائحهم، معاشر الناس إنما تغيبت عنكم هذه المدة لأني نظرت فتكافأت عندي الأدلة، ولم يترجح عندي شيء على شيء، فاستهديت الله تعالى فهداني إلى اعتقاد ما أودعته كتبي هذه، ولقد انخلعت من جميع ما كنت أعتقده كما انخلعت من ثوبي هذا، وانخلع من ثوب كان عليه ورمى به، ودفـع للناس الكتب التي ألفها على مذاهب أهل الحق، وطريقة الجماعة من الفقهاء والمحدثين</w:t>
      </w:r>
      <w:r w:rsidR="000636C2">
        <w:rPr>
          <w:rFonts w:hint="cs"/>
          <w:rtl/>
          <w:lang w:bidi="ar-KW"/>
        </w:rPr>
        <w:t>،</w:t>
      </w:r>
      <w:r w:rsidRPr="005675B2">
        <w:rPr>
          <w:rFonts w:hint="cs"/>
          <w:rtl/>
          <w:lang w:bidi="ar-KW"/>
        </w:rPr>
        <w:t xml:space="preserve"> </w:t>
      </w:r>
      <w:r w:rsidRPr="005675B2">
        <w:rPr>
          <w:bCs/>
          <w:rtl/>
          <w:lang w:bidi="ar-KW"/>
        </w:rPr>
        <w:t>قال العلماء:</w:t>
      </w:r>
      <w:r w:rsidRPr="005675B2">
        <w:rPr>
          <w:rtl/>
          <w:lang w:bidi="ar-KW"/>
        </w:rPr>
        <w:t xml:space="preserve"> إن أهل البدع قبل الإمام أبي الحسن قد رفعوا رؤوسهم فلما ظهر عليهم رحمه الله حجزهم في أقماع السمسم</w:t>
      </w:r>
      <w:r w:rsidR="000636C2">
        <w:rPr>
          <w:rFonts w:hint="cs"/>
          <w:rtl/>
          <w:lang w:bidi="ar-KW"/>
        </w:rPr>
        <w:t>،</w:t>
      </w:r>
      <w:r>
        <w:rPr>
          <w:rFonts w:hint="cs"/>
          <w:rtl/>
          <w:lang w:bidi="ar-KW"/>
        </w:rPr>
        <w:t xml:space="preserve"> </w:t>
      </w:r>
      <w:r w:rsidRPr="005675B2">
        <w:rPr>
          <w:rtl/>
          <w:lang w:bidi="ar-KW"/>
        </w:rPr>
        <w:t>وقد أخذ عنه رحمه الله خلق كثير من أعلام الأمة مثل الإمام أبي الحسن الباهلي البصري رحمه الله تعالى، والإمام أبي عبد الله بن مجاهد البصري رحمه الله تعالى، والإمام أبي محمد الطبري المعروف بالعراقي رحمه الله تعالى، والإمام أبي بكر القفال الشاشي رحمه الله تعالى، والإمام أبي سهل الصعلوكي النيسابوري رحمه الله تعالى وغيرهم</w:t>
      </w:r>
      <w:r w:rsidR="000636C2">
        <w:rPr>
          <w:rFonts w:hint="cs"/>
          <w:rtl/>
          <w:lang w:bidi="ar-KW"/>
        </w:rPr>
        <w:t>،</w:t>
      </w:r>
      <w:r w:rsidRPr="005675B2">
        <w:rPr>
          <w:rFonts w:hint="cs"/>
          <w:rtl/>
          <w:lang w:bidi="ar-KW"/>
        </w:rPr>
        <w:t xml:space="preserve"> </w:t>
      </w:r>
      <w:r w:rsidRPr="005675B2">
        <w:rPr>
          <w:rtl/>
          <w:lang w:bidi="ar-KW"/>
        </w:rPr>
        <w:t>وأخذ عن أصحابه أعلام وأئمة في الإسلام، مثل الإمام القاضي أبي بكر الباقلاني رحمه الله تعالى، والإمام أبي الطيب بن أبي سهل الصعلوكي رحمه الله تعالى، والإمام أبي علي الدقاق رحمه الله تعالى، والإمام الحاكم النيسابوري رحمه الله تعالى، والإمام أبي بكر بن فورك رحمه الله تعالى والحافظ أبي نعيم الأصبهاني رحمه الله تعالى، وغيرهم ممن تتزين بذكرهم المنابر، وتتعطر بسيرهم الدفاتر وكلهم خلّف تلامذة هم إلى اليوم أعلام الدنيا ونجوم الهدى</w:t>
      </w:r>
      <w:r w:rsidR="000636C2">
        <w:rPr>
          <w:rFonts w:hint="cs"/>
          <w:rtl/>
          <w:lang w:bidi="ar-KW"/>
        </w:rPr>
        <w:t>،</w:t>
      </w:r>
      <w:r w:rsidRPr="005675B2">
        <w:rPr>
          <w:rFonts w:hint="cs"/>
          <w:rtl/>
          <w:lang w:bidi="ar-KW"/>
        </w:rPr>
        <w:t xml:space="preserve"> </w:t>
      </w:r>
      <w:r w:rsidRPr="005675B2">
        <w:rPr>
          <w:rtl/>
          <w:lang w:bidi="ar-KW"/>
        </w:rPr>
        <w:t>وعلى الجملة فقد انتهض لنصرة مذهبه أهل السنة والجماعة في جميع الأرض، وبلغ مذهبه ما بلغ الليل والنهار، لِمَا كان عليه من اقتفاءٍ لآثار السلف رضوان الله عليهم، ورفعٍ للواء السنة</w:t>
      </w:r>
      <w:r w:rsidR="000636C2">
        <w:rPr>
          <w:rFonts w:hint="cs"/>
          <w:rtl/>
          <w:lang w:bidi="ar-KW"/>
        </w:rPr>
        <w:t>،</w:t>
      </w:r>
      <w:r w:rsidRPr="005675B2">
        <w:rPr>
          <w:rFonts w:hint="cs"/>
          <w:rtl/>
          <w:lang w:bidi="ar-KW"/>
        </w:rPr>
        <w:t xml:space="preserve"> </w:t>
      </w:r>
      <w:r w:rsidRPr="005675B2">
        <w:rPr>
          <w:rtl/>
          <w:lang w:bidi="ar-KW"/>
        </w:rPr>
        <w:t>ترك من المؤلفات شيئا كثيرا، قيل إنه بلغت مؤلفاته أكثر من مئتين كتاب</w:t>
      </w:r>
      <w:r w:rsidRPr="005675B2">
        <w:rPr>
          <w:rFonts w:hint="cs"/>
          <w:rtl/>
          <w:lang w:bidi="ar-KW"/>
        </w:rPr>
        <w:t xml:space="preserve"> </w:t>
      </w:r>
      <w:r w:rsidR="000636C2">
        <w:rPr>
          <w:rFonts w:hint="cs"/>
          <w:rtl/>
          <w:lang w:bidi="ar-KW"/>
        </w:rPr>
        <w:t>[</w:t>
      </w:r>
      <w:r w:rsidRPr="005675B2">
        <w:rPr>
          <w:sz w:val="24"/>
          <w:szCs w:val="24"/>
          <w:rtl/>
        </w:rPr>
        <w:t>انظر طبقات الشافعية لتاج الدين السبكي 3/360</w:t>
      </w:r>
      <w:r w:rsidR="000636C2">
        <w:rPr>
          <w:sz w:val="24"/>
          <w:szCs w:val="24"/>
          <w:rtl/>
        </w:rPr>
        <w:t>]</w:t>
      </w:r>
      <w:r w:rsidR="000636C2">
        <w:rPr>
          <w:rFonts w:hint="cs"/>
          <w:rtl/>
          <w:lang w:bidi="ar-KW"/>
        </w:rPr>
        <w:t>،</w:t>
      </w:r>
      <w:r w:rsidRPr="005675B2">
        <w:rPr>
          <w:rFonts w:hint="cs"/>
          <w:rtl/>
          <w:lang w:bidi="ar-KW"/>
        </w:rPr>
        <w:t xml:space="preserve"> </w:t>
      </w:r>
      <w:r w:rsidRPr="005675B2">
        <w:rPr>
          <w:rtl/>
          <w:lang w:bidi="ar-KW"/>
        </w:rPr>
        <w:t>توفي رحمه الله تعالى سنة أربع وعشرين وثلاثمائة، وكل أهل السنة باكون عليه، متوجعون لفقده، وكل أهل البدعة مرتاحون منه. رحمه الله ورضي عنه</w:t>
      </w:r>
      <w:r w:rsidR="000636C2">
        <w:rPr>
          <w:rtl/>
          <w:lang w:bidi="ar-KW"/>
        </w:rPr>
        <w:t xml:space="preserve"> </w:t>
      </w:r>
      <w:r w:rsidR="000636C2">
        <w:rPr>
          <w:rFonts w:hint="cs"/>
          <w:rtl/>
          <w:lang w:bidi="ar-KW"/>
        </w:rPr>
        <w:t>[</w:t>
      </w:r>
      <w:r w:rsidRPr="005675B2">
        <w:rPr>
          <w:sz w:val="24"/>
          <w:szCs w:val="24"/>
          <w:rtl/>
        </w:rPr>
        <w:t>اقتبسنا ترجمته رحمه الله تعالى من تبيين كذب المفتري، وطبقات الشافعية للسبكي</w:t>
      </w:r>
      <w:r w:rsidR="000636C2">
        <w:rPr>
          <w:sz w:val="24"/>
          <w:szCs w:val="24"/>
          <w:rtl/>
        </w:rPr>
        <w:t>،</w:t>
      </w:r>
      <w:r w:rsidRPr="005675B2">
        <w:rPr>
          <w:sz w:val="24"/>
          <w:szCs w:val="24"/>
          <w:rtl/>
        </w:rPr>
        <w:t xml:space="preserve"> ومفتاح السعادة</w:t>
      </w:r>
      <w:r w:rsidR="000636C2">
        <w:rPr>
          <w:rFonts w:hint="cs"/>
          <w:sz w:val="24"/>
          <w:szCs w:val="24"/>
          <w:rtl/>
        </w:rPr>
        <w:t>]،</w:t>
      </w:r>
    </w:p>
    <w:p w14:paraId="1A901BF1" w14:textId="77777777" w:rsidR="009C32A0" w:rsidRPr="005675B2" w:rsidRDefault="009C32A0" w:rsidP="000636C2">
      <w:pPr>
        <w:widowControl w:val="0"/>
        <w:spacing w:before="80" w:after="240"/>
        <w:jc w:val="center"/>
        <w:rPr>
          <w:b/>
          <w:bCs/>
          <w:rtl/>
          <w:lang w:bidi="ar-KW"/>
        </w:rPr>
      </w:pPr>
      <w:r w:rsidRPr="005675B2">
        <w:rPr>
          <w:rtl/>
          <w:lang w:bidi="ar-KW"/>
        </w:rPr>
        <w:t>* * * * *</w:t>
      </w:r>
    </w:p>
    <w:p w14:paraId="258CAA85" w14:textId="2A9728EE" w:rsidR="009C32A0" w:rsidRPr="005675B2" w:rsidRDefault="009C32A0" w:rsidP="000636C2">
      <w:pPr>
        <w:widowControl w:val="0"/>
        <w:spacing w:before="80" w:after="240"/>
        <w:jc w:val="center"/>
        <w:rPr>
          <w:b/>
          <w:bCs/>
          <w:rtl/>
          <w:lang w:bidi="ar-KW"/>
        </w:rPr>
      </w:pPr>
      <w:r w:rsidRPr="005675B2">
        <w:rPr>
          <w:bCs/>
          <w:rtl/>
          <w:lang w:bidi="ar-KW"/>
        </w:rPr>
        <w:t xml:space="preserve">هل مات الإمام على عقيدة غير العقيدة التي كان عليها بعد توبته من </w:t>
      </w:r>
      <w:r w:rsidRPr="005675B2">
        <w:rPr>
          <w:rFonts w:hint="cs"/>
          <w:bCs/>
          <w:rtl/>
          <w:lang w:bidi="ar-KW"/>
        </w:rPr>
        <w:t>الاعتزال</w:t>
      </w:r>
      <w:r w:rsidR="000636C2">
        <w:rPr>
          <w:bCs/>
          <w:rtl/>
          <w:lang w:bidi="ar-KW"/>
        </w:rPr>
        <w:t>؟</w:t>
      </w:r>
    </w:p>
    <w:p w14:paraId="20766C1D" w14:textId="4E4B195F" w:rsidR="009C32A0" w:rsidRPr="005675B2" w:rsidRDefault="009C32A0" w:rsidP="000636C2">
      <w:pPr>
        <w:widowControl w:val="0"/>
        <w:spacing w:before="80" w:after="240"/>
        <w:rPr>
          <w:lang w:bidi="ar-KW"/>
        </w:rPr>
      </w:pPr>
      <w:r w:rsidRPr="005675B2">
        <w:rPr>
          <w:rtl/>
          <w:lang w:bidi="ar-KW"/>
        </w:rPr>
        <w:t>يرى البعض أن الإمام أبا الحسن الأشعري رحمه الله تعالى قد مرّ في حياته بثلاث مراحل:</w:t>
      </w:r>
      <w:r w:rsidRPr="005675B2">
        <w:rPr>
          <w:rFonts w:hint="cs"/>
          <w:rtl/>
          <w:lang w:bidi="ar-KW"/>
        </w:rPr>
        <w:t xml:space="preserve"> </w:t>
      </w:r>
      <w:r w:rsidR="000636C2">
        <w:rPr>
          <w:rFonts w:hint="cs"/>
          <w:rtl/>
          <w:lang w:bidi="ar-KW"/>
        </w:rPr>
        <w:t>(</w:t>
      </w:r>
      <w:r w:rsidRPr="005675B2">
        <w:rPr>
          <w:bCs/>
          <w:rtl/>
          <w:lang w:bidi="ar-KW"/>
        </w:rPr>
        <w:t>الأولى</w:t>
      </w:r>
      <w:r w:rsidR="000636C2">
        <w:rPr>
          <w:rFonts w:hint="cs"/>
          <w:bCs/>
          <w:rtl/>
          <w:lang w:bidi="ar-KW"/>
        </w:rPr>
        <w:t>):</w:t>
      </w:r>
      <w:r w:rsidRPr="005675B2">
        <w:rPr>
          <w:rtl/>
          <w:lang w:bidi="ar-KW"/>
        </w:rPr>
        <w:t xml:space="preserve"> مرحلة الاعتزال التي دامت إلى ما يقرب من سن الأربعين</w:t>
      </w:r>
      <w:r w:rsidR="000636C2">
        <w:rPr>
          <w:rFonts w:hint="cs"/>
          <w:rtl/>
          <w:lang w:bidi="ar-KW"/>
        </w:rPr>
        <w:t>،</w:t>
      </w:r>
      <w:r w:rsidRPr="005675B2">
        <w:rPr>
          <w:rFonts w:hint="cs"/>
          <w:rtl/>
          <w:lang w:bidi="ar-KW"/>
        </w:rPr>
        <w:t xml:space="preserve"> </w:t>
      </w:r>
      <w:r w:rsidR="000636C2">
        <w:rPr>
          <w:rFonts w:hint="cs"/>
          <w:rtl/>
          <w:lang w:bidi="ar-KW"/>
        </w:rPr>
        <w:t>(</w:t>
      </w:r>
      <w:r w:rsidRPr="005675B2">
        <w:rPr>
          <w:bCs/>
          <w:rtl/>
          <w:lang w:bidi="ar-KW"/>
        </w:rPr>
        <w:t>والثانية</w:t>
      </w:r>
      <w:r w:rsidR="000636C2">
        <w:rPr>
          <w:rFonts w:hint="cs"/>
          <w:bCs/>
          <w:rtl/>
          <w:lang w:bidi="ar-KW"/>
        </w:rPr>
        <w:t>):</w:t>
      </w:r>
      <w:r w:rsidRPr="005675B2">
        <w:rPr>
          <w:rtl/>
          <w:lang w:bidi="ar-KW"/>
        </w:rPr>
        <w:t xml:space="preserve"> مرحلة اتباعه لعبدالله بن سعيد بن كلاّب</w:t>
      </w:r>
      <w:r w:rsidR="000636C2">
        <w:rPr>
          <w:rFonts w:hint="cs"/>
          <w:rtl/>
          <w:lang w:bidi="ar-KW"/>
        </w:rPr>
        <w:t>،</w:t>
      </w:r>
      <w:r w:rsidRPr="005675B2">
        <w:rPr>
          <w:rFonts w:hint="cs"/>
          <w:rtl/>
          <w:lang w:bidi="ar-KW"/>
        </w:rPr>
        <w:t xml:space="preserve"> </w:t>
      </w:r>
      <w:r w:rsidR="000636C2">
        <w:rPr>
          <w:rFonts w:hint="cs"/>
          <w:rtl/>
          <w:lang w:bidi="ar-KW"/>
        </w:rPr>
        <w:t>(</w:t>
      </w:r>
      <w:r w:rsidRPr="005675B2">
        <w:rPr>
          <w:bCs/>
          <w:rtl/>
          <w:lang w:bidi="ar-KW"/>
        </w:rPr>
        <w:t>والثالثة</w:t>
      </w:r>
      <w:r w:rsidR="000636C2">
        <w:rPr>
          <w:rFonts w:hint="cs"/>
          <w:bCs/>
          <w:rtl/>
          <w:lang w:bidi="ar-KW"/>
        </w:rPr>
        <w:t>):</w:t>
      </w:r>
      <w:r w:rsidRPr="005675B2">
        <w:rPr>
          <w:rtl/>
          <w:lang w:bidi="ar-KW"/>
        </w:rPr>
        <w:t xml:space="preserve"> مرحلة رجوعه إلى عقيدة السلف وأهل السنة</w:t>
      </w:r>
      <w:r w:rsidR="000636C2">
        <w:rPr>
          <w:rFonts w:hint="cs"/>
          <w:rtl/>
          <w:lang w:bidi="ar-KW"/>
        </w:rPr>
        <w:t>،</w:t>
      </w:r>
      <w:r w:rsidRPr="005675B2">
        <w:rPr>
          <w:rFonts w:hint="cs"/>
          <w:rtl/>
          <w:lang w:bidi="ar-KW"/>
        </w:rPr>
        <w:t xml:space="preserve"> </w:t>
      </w:r>
      <w:r w:rsidRPr="005675B2">
        <w:rPr>
          <w:rtl/>
          <w:lang w:bidi="ar-KW"/>
        </w:rPr>
        <w:t>ويبنون على هذه الدعوى أن الأشاعرة اتبعوا الإمام الأشعري في مرحلته الثانية فقط وهي التي كان فيها متبعاً لعبدالله بن سعيد! إذ عندهم أن عبدالله بن سعيد بن كلاّب ليس من أهل السنة، وأن الأشاعرة متبعون له لا للإمام أبي الحسن لأن الإمام رجع عن عقيدة ابن كلاّب في مرحلته الثالثة، وألّف على عقيدة السلف كتابه الإبانة وبعض كتبه الأخرى</w:t>
      </w:r>
      <w:r w:rsidR="000636C2">
        <w:rPr>
          <w:rFonts w:hint="cs"/>
          <w:rtl/>
          <w:lang w:bidi="ar-KW"/>
        </w:rPr>
        <w:t>،</w:t>
      </w:r>
      <w:r w:rsidRPr="005675B2">
        <w:rPr>
          <w:rFonts w:hint="cs"/>
          <w:rtl/>
          <w:lang w:bidi="ar-KW"/>
        </w:rPr>
        <w:t xml:space="preserve"> </w:t>
      </w:r>
      <w:r w:rsidRPr="005675B2">
        <w:rPr>
          <w:rtl/>
          <w:lang w:bidi="ar-KW"/>
        </w:rPr>
        <w:t>هذا تقرير هذه الدعوى، وقبل الشروع في إثبات بطلانها تاريخياً وعلمياً نفصّل ما ورد فيها من قضايا، ثم نشرع في تفنيدها، لقد تضمنت هذه الدعوى ثلاث قضايا</w:t>
      </w:r>
      <w:r w:rsidR="000636C2">
        <w:rPr>
          <w:rFonts w:hint="cs"/>
          <w:rtl/>
          <w:lang w:bidi="ar-KW"/>
        </w:rPr>
        <w:t>:</w:t>
      </w:r>
      <w:r w:rsidRPr="005675B2">
        <w:rPr>
          <w:rFonts w:hint="cs"/>
          <w:rtl/>
          <w:lang w:bidi="ar-KW"/>
        </w:rPr>
        <w:t xml:space="preserve"> </w:t>
      </w:r>
      <w:r w:rsidR="000636C2">
        <w:rPr>
          <w:rFonts w:hint="cs"/>
          <w:rtl/>
          <w:lang w:bidi="ar-KW"/>
        </w:rPr>
        <w:t>(</w:t>
      </w:r>
      <w:r w:rsidRPr="005675B2">
        <w:rPr>
          <w:rtl/>
          <w:lang w:bidi="ar-KW"/>
        </w:rPr>
        <w:t>ا</w:t>
      </w:r>
      <w:r w:rsidRPr="005675B2">
        <w:rPr>
          <w:bCs/>
          <w:rtl/>
          <w:lang w:bidi="ar-KW"/>
        </w:rPr>
        <w:t>لأولى</w:t>
      </w:r>
      <w:r w:rsidR="000636C2">
        <w:rPr>
          <w:rFonts w:hint="cs"/>
          <w:bCs/>
          <w:rtl/>
          <w:lang w:bidi="ar-KW"/>
        </w:rPr>
        <w:t>):</w:t>
      </w:r>
      <w:r w:rsidRPr="005675B2">
        <w:rPr>
          <w:rtl/>
          <w:lang w:bidi="ar-KW"/>
        </w:rPr>
        <w:t xml:space="preserve"> الإمام الأشعري مر بثلاث مراحل في حياته، الاعتزال ثم اتباعه لابن كلاّب ثم أخيراً رجوعه إلى منهج السنة والجماعة، وهذه هي القضية الرئيسية، وهي تتضمن القضيتين التاليتين</w:t>
      </w:r>
      <w:r w:rsidR="000636C2">
        <w:rPr>
          <w:rFonts w:hint="cs"/>
          <w:rtl/>
          <w:lang w:bidi="ar-KW"/>
        </w:rPr>
        <w:t>،</w:t>
      </w:r>
      <w:r w:rsidRPr="005675B2">
        <w:rPr>
          <w:rFonts w:hint="cs"/>
          <w:rtl/>
          <w:lang w:bidi="ar-KW"/>
        </w:rPr>
        <w:t xml:space="preserve"> </w:t>
      </w:r>
      <w:r w:rsidR="000636C2">
        <w:rPr>
          <w:rFonts w:hint="cs"/>
          <w:rtl/>
          <w:lang w:bidi="ar-KW"/>
        </w:rPr>
        <w:t>(</w:t>
      </w:r>
      <w:r w:rsidRPr="005675B2">
        <w:rPr>
          <w:bCs/>
          <w:rtl/>
          <w:lang w:bidi="ar-KW"/>
        </w:rPr>
        <w:t>الثانية</w:t>
      </w:r>
      <w:r w:rsidR="000636C2">
        <w:rPr>
          <w:rFonts w:hint="cs"/>
          <w:bCs/>
          <w:rtl/>
          <w:lang w:bidi="ar-KW"/>
        </w:rPr>
        <w:t>):</w:t>
      </w:r>
      <w:r w:rsidRPr="005675B2">
        <w:rPr>
          <w:rtl/>
          <w:lang w:bidi="ar-KW"/>
        </w:rPr>
        <w:t xml:space="preserve"> عبد الله بن سعيد بن كلاّب ليس على منهج أهل السنة والجماعة</w:t>
      </w:r>
      <w:r w:rsidR="000636C2">
        <w:rPr>
          <w:rFonts w:hint="cs"/>
          <w:rtl/>
          <w:lang w:bidi="ar-KW"/>
        </w:rPr>
        <w:t>،</w:t>
      </w:r>
      <w:r w:rsidRPr="005675B2">
        <w:rPr>
          <w:rFonts w:hint="cs"/>
          <w:rtl/>
          <w:lang w:bidi="ar-KW"/>
        </w:rPr>
        <w:t xml:space="preserve"> </w:t>
      </w:r>
      <w:r w:rsidR="000636C2">
        <w:rPr>
          <w:rFonts w:hint="cs"/>
          <w:rtl/>
          <w:lang w:bidi="ar-KW"/>
        </w:rPr>
        <w:t>(</w:t>
      </w:r>
      <w:r w:rsidRPr="005675B2">
        <w:rPr>
          <w:bCs/>
          <w:rtl/>
          <w:lang w:bidi="ar-KW"/>
        </w:rPr>
        <w:t>الثالثة</w:t>
      </w:r>
      <w:r w:rsidR="000636C2">
        <w:rPr>
          <w:rFonts w:hint="cs"/>
          <w:rtl/>
          <w:lang w:bidi="ar-KW"/>
        </w:rPr>
        <w:t>):</w:t>
      </w:r>
      <w:r w:rsidRPr="005675B2">
        <w:rPr>
          <w:rtl/>
          <w:lang w:bidi="ar-KW"/>
        </w:rPr>
        <w:t xml:space="preserve"> كتاب الإبانة يمثل المرحلة الأخيرة من حياة الإمام الأشعري, وهي مرحلة العودة إلى طريق السلف الصالح</w:t>
      </w:r>
      <w:r w:rsidR="000636C2">
        <w:rPr>
          <w:rFonts w:hint="cs"/>
          <w:rtl/>
          <w:lang w:bidi="ar-KW"/>
        </w:rPr>
        <w:t>،</w:t>
      </w:r>
      <w:r w:rsidRPr="005675B2">
        <w:rPr>
          <w:rFonts w:hint="cs"/>
          <w:rtl/>
          <w:lang w:bidi="ar-KW"/>
        </w:rPr>
        <w:t xml:space="preserve"> </w:t>
      </w:r>
      <w:r w:rsidR="000636C2">
        <w:rPr>
          <w:rFonts w:hint="cs"/>
          <w:sz w:val="24"/>
          <w:szCs w:val="24"/>
          <w:rtl/>
          <w:lang w:bidi="ar-KW"/>
        </w:rPr>
        <w:t>[</w:t>
      </w:r>
      <w:r w:rsidRPr="005675B2">
        <w:rPr>
          <w:sz w:val="24"/>
          <w:szCs w:val="24"/>
          <w:rtl/>
        </w:rPr>
        <w:t>نحن نقول هذا من باب التسليم الجدلي، وإلا فإن الذي رجحه المحققون من الباحثين أن كتاب اللمع ألَّفه الإمام الأشعري بعد الإبانة. انظرمقدمة كتاب اللمع للأستاذ حمودة غرابة</w:t>
      </w:r>
      <w:r w:rsidR="000636C2">
        <w:rPr>
          <w:rFonts w:hint="cs"/>
          <w:sz w:val="24"/>
          <w:szCs w:val="24"/>
          <w:rtl/>
        </w:rPr>
        <w:t>،</w:t>
      </w:r>
      <w:r w:rsidRPr="005675B2">
        <w:rPr>
          <w:rFonts w:hint="cs"/>
          <w:sz w:val="24"/>
          <w:szCs w:val="24"/>
          <w:rtl/>
        </w:rPr>
        <w:t xml:space="preserve"> </w:t>
      </w:r>
      <w:r w:rsidRPr="005675B2">
        <w:rPr>
          <w:sz w:val="24"/>
          <w:szCs w:val="24"/>
          <w:rtl/>
        </w:rPr>
        <w:t>وانظر قول العلامة الكوثري في تعليقه على السيف الصقيل (ص123</w:t>
      </w:r>
      <w:r w:rsidR="000636C2">
        <w:rPr>
          <w:sz w:val="24"/>
          <w:szCs w:val="24"/>
          <w:rtl/>
        </w:rPr>
        <w:t>)</w:t>
      </w:r>
      <w:r w:rsidRPr="005675B2">
        <w:rPr>
          <w:sz w:val="24"/>
          <w:szCs w:val="24"/>
          <w:rtl/>
        </w:rPr>
        <w:t>، وفي تعليقه على تبيين كذب المفتري (ص392)، والمقدمة التي وضعنها الدكتورة فوقية حسين على كتاب الإبانة ص79-80 وما بعدها</w:t>
      </w:r>
      <w:r w:rsidR="000636C2">
        <w:rPr>
          <w:rFonts w:hint="cs"/>
          <w:sz w:val="24"/>
          <w:szCs w:val="24"/>
          <w:rtl/>
        </w:rPr>
        <w:t>]،</w:t>
      </w:r>
      <w:r w:rsidRPr="005675B2">
        <w:rPr>
          <w:rFonts w:hint="cs"/>
          <w:sz w:val="24"/>
          <w:szCs w:val="24"/>
          <w:rtl/>
        </w:rPr>
        <w:t xml:space="preserve"> </w:t>
      </w:r>
    </w:p>
    <w:p w14:paraId="7A1E460F" w14:textId="0BDABD4F" w:rsidR="009C32A0" w:rsidRPr="005675B2" w:rsidRDefault="009C32A0" w:rsidP="000636C2">
      <w:pPr>
        <w:widowControl w:val="0"/>
        <w:spacing w:before="80" w:after="240"/>
        <w:rPr>
          <w:rtl/>
          <w:lang w:bidi="ar-KW"/>
        </w:rPr>
      </w:pPr>
      <w:r w:rsidRPr="004007C1">
        <w:rPr>
          <w:bCs/>
          <w:rtl/>
          <w:lang w:bidi="ar-KW"/>
        </w:rPr>
        <w:t>وللرد على القضية الأولى</w:t>
      </w:r>
      <w:r w:rsidR="000636C2">
        <w:rPr>
          <w:rFonts w:hint="cs"/>
          <w:rtl/>
          <w:lang w:bidi="ar-KW"/>
        </w:rPr>
        <w:t>:</w:t>
      </w:r>
      <w:r w:rsidRPr="005675B2">
        <w:rPr>
          <w:rtl/>
          <w:lang w:bidi="ar-KW"/>
        </w:rPr>
        <w:t xml:space="preserve"> وهي مرور الإمام بثلاث مراحل أو ثلاث حالات في حياته نقول:</w:t>
      </w:r>
      <w:r w:rsidRPr="005675B2">
        <w:rPr>
          <w:rFonts w:hint="cs"/>
          <w:rtl/>
          <w:lang w:bidi="ar-KW"/>
        </w:rPr>
        <w:t xml:space="preserve"> </w:t>
      </w:r>
      <w:r w:rsidRPr="005675B2">
        <w:rPr>
          <w:rtl/>
          <w:lang w:bidi="ar-KW"/>
        </w:rPr>
        <w:t>إن الإمام الأشعري رحمه الله تعالى عَلَمٌ من أعلام المسلمين يشار إليه بالبنان، وتعقد على كلماته الخناصر، فهو ليس بنكرة من الناس، ولا برجل مجهول يخفى على الناس أمره لا سيما في قضية مثل هذه التي نحن بصددها، فلو كان الأمر كما جاء في الدعوى، وأنه مر بثلاث مراحل في حياته فلا بد أن يكون المؤرخون قد ذكروا هذا وبينوه، ولكان</w:t>
      </w:r>
      <w:r w:rsidR="000636C2">
        <w:rPr>
          <w:rtl/>
          <w:lang w:bidi="ar-KW"/>
        </w:rPr>
        <w:t xml:space="preserve"> </w:t>
      </w:r>
      <w:r w:rsidRPr="005675B2">
        <w:rPr>
          <w:rtl/>
          <w:lang w:bidi="ar-KW"/>
        </w:rPr>
        <w:t>- حتماً</w:t>
      </w:r>
      <w:r w:rsidR="000636C2">
        <w:rPr>
          <w:rtl/>
          <w:lang w:bidi="ar-KW"/>
        </w:rPr>
        <w:t xml:space="preserve"> </w:t>
      </w:r>
      <w:r w:rsidRPr="005675B2">
        <w:rPr>
          <w:rtl/>
          <w:lang w:bidi="ar-KW"/>
        </w:rPr>
        <w:t>- قد اشتهر عنه وانتشر كما ذاع وانتشر أمر رجوعه عن الاعتزال إذ لم يَبْقَ أحد ممن ترجم له إلا وذكر قصة صعوده المنبر وتبرِّيه من الاعتزال، فهل ذكر أحد من المؤرخين شيئاً عن رجوع الإمام عن منهج عبدالله بن سعيد بن كلاّب</w:t>
      </w:r>
      <w:r w:rsidR="000636C2">
        <w:rPr>
          <w:rFonts w:hint="cs"/>
          <w:rtl/>
          <w:lang w:bidi="ar-KW"/>
        </w:rPr>
        <w:t>؟</w:t>
      </w:r>
      <w:r w:rsidRPr="005675B2">
        <w:rPr>
          <w:rFonts w:hint="cs"/>
          <w:rtl/>
          <w:lang w:bidi="ar-KW"/>
        </w:rPr>
        <w:t xml:space="preserve"> </w:t>
      </w:r>
      <w:r w:rsidRPr="005675B2">
        <w:rPr>
          <w:rtl/>
          <w:lang w:bidi="ar-KW"/>
        </w:rPr>
        <w:t>عند الرجوع إلى كتب التاريخ لا نجد أي إشارة إلى هذا لا من قريب ولا من بعيد، بل نجد المؤرخين كلهم مطبقين على أن الإمام أبا الحسن بعد هجره للاعتزال والمعتزلة رجع إلى مذهب السلف الصالح</w:t>
      </w:r>
      <w:r w:rsidR="000636C2">
        <w:rPr>
          <w:rFonts w:hint="cs"/>
          <w:rtl/>
          <w:lang w:bidi="ar-KW"/>
        </w:rPr>
        <w:t>،</w:t>
      </w:r>
      <w:r w:rsidRPr="005675B2">
        <w:rPr>
          <w:rtl/>
          <w:lang w:bidi="ar-KW"/>
        </w:rPr>
        <w:t xml:space="preserve"> وصنف على طريقتهم كتبه اللاحقة الإبانة وغيرها من الكتب التي صنفها في نصرة مذهب أهل الحق</w:t>
      </w:r>
      <w:r w:rsidR="000636C2">
        <w:rPr>
          <w:rFonts w:hint="cs"/>
          <w:rtl/>
          <w:lang w:bidi="ar-KW"/>
        </w:rPr>
        <w:t>،</w:t>
      </w:r>
      <w:r w:rsidRPr="005675B2">
        <w:rPr>
          <w:rFonts w:hint="cs"/>
          <w:rtl/>
          <w:lang w:bidi="ar-KW"/>
        </w:rPr>
        <w:t xml:space="preserve"> </w:t>
      </w:r>
      <w:r w:rsidRPr="005675B2">
        <w:rPr>
          <w:bCs/>
          <w:rtl/>
          <w:lang w:bidi="ar-KW"/>
        </w:rPr>
        <w:t>قال الإمام أبو بكر بن فورك</w:t>
      </w:r>
      <w:r w:rsidRPr="005675B2">
        <w:rPr>
          <w:rtl/>
          <w:lang w:bidi="ar-KW"/>
        </w:rPr>
        <w:t xml:space="preserve"> رحمه الله تعالى (تبيين كذب المفتري ص127)</w:t>
      </w:r>
      <w:r w:rsidR="000636C2">
        <w:rPr>
          <w:rFonts w:hint="cs"/>
          <w:rtl/>
          <w:lang w:bidi="ar-KW"/>
        </w:rPr>
        <w:t>:</w:t>
      </w:r>
      <w:r w:rsidRPr="005675B2">
        <w:rPr>
          <w:rFonts w:hint="cs"/>
          <w:rtl/>
          <w:lang w:bidi="ar-KW"/>
        </w:rPr>
        <w:t xml:space="preserve"> </w:t>
      </w:r>
      <w:r w:rsidRPr="005675B2">
        <w:rPr>
          <w:rtl/>
          <w:lang w:bidi="ar-KW"/>
        </w:rPr>
        <w:t>(انتقل الشيخ أبو الحسن علي بن إسماعيل الأشعري رضي الله عنه من مذاهب المعتزلة إلى نصرة مذاهب أهل السنة والجماعة بالحجج العقلية، وصنَّف في ذلك الكتب..) اهـ</w:t>
      </w:r>
      <w:r w:rsidR="000636C2">
        <w:rPr>
          <w:rtl/>
          <w:lang w:bidi="ar-KW"/>
        </w:rPr>
        <w:t>،</w:t>
      </w:r>
      <w:r w:rsidRPr="005675B2">
        <w:rPr>
          <w:rFonts w:hint="cs"/>
          <w:rtl/>
          <w:lang w:bidi="ar-KW"/>
        </w:rPr>
        <w:t xml:space="preserve"> </w:t>
      </w:r>
      <w:r w:rsidRPr="005675B2">
        <w:rPr>
          <w:bCs/>
          <w:rtl/>
          <w:lang w:bidi="ar-KW"/>
        </w:rPr>
        <w:t>وقال عنه ابن خلكان</w:t>
      </w:r>
      <w:r w:rsidRPr="005675B2">
        <w:rPr>
          <w:rtl/>
          <w:lang w:bidi="ar-KW"/>
        </w:rPr>
        <w:t xml:space="preserve"> (وفيات الأعيان 3/284)</w:t>
      </w:r>
      <w:r w:rsidR="000636C2">
        <w:rPr>
          <w:rFonts w:hint="cs"/>
          <w:rtl/>
          <w:lang w:bidi="ar-KW"/>
        </w:rPr>
        <w:t>:</w:t>
      </w:r>
      <w:r w:rsidRPr="005675B2">
        <w:rPr>
          <w:rFonts w:hint="cs"/>
          <w:rtl/>
          <w:lang w:bidi="ar-KW"/>
        </w:rPr>
        <w:t xml:space="preserve"> </w:t>
      </w:r>
      <w:r w:rsidRPr="005675B2">
        <w:rPr>
          <w:rtl/>
          <w:lang w:bidi="ar-KW"/>
        </w:rPr>
        <w:t>(هو صاحب الأصول والقائم بنصرة مذهب السنة... وكان أبو الحسن أولاً معتزلياً ثم تاب من القول بالعدل وخلق القرآن في المسجد الجامع بالبصرة يوم الجمعة) اهـ</w:t>
      </w:r>
      <w:r w:rsidR="000636C2">
        <w:rPr>
          <w:rtl/>
          <w:lang w:bidi="ar-KW"/>
        </w:rPr>
        <w:t>،</w:t>
      </w:r>
      <w:r w:rsidRPr="005675B2">
        <w:rPr>
          <w:rFonts w:hint="cs"/>
          <w:rtl/>
          <w:lang w:bidi="ar-KW"/>
        </w:rPr>
        <w:t xml:space="preserve"> </w:t>
      </w:r>
      <w:r w:rsidRPr="005675B2">
        <w:rPr>
          <w:bCs/>
          <w:rtl/>
          <w:lang w:bidi="ar-KW"/>
        </w:rPr>
        <w:t>وفي سير أعلام النبلاء</w:t>
      </w:r>
      <w:r w:rsidRPr="005675B2">
        <w:rPr>
          <w:rtl/>
          <w:lang w:bidi="ar-KW"/>
        </w:rPr>
        <w:t xml:space="preserve"> (15/89) قال عنه الذهبي</w:t>
      </w:r>
      <w:r w:rsidR="000636C2">
        <w:rPr>
          <w:rFonts w:hint="cs"/>
          <w:rtl/>
          <w:lang w:bidi="ar-KW"/>
        </w:rPr>
        <w:t>:</w:t>
      </w:r>
      <w:r w:rsidRPr="005675B2">
        <w:rPr>
          <w:rFonts w:hint="cs"/>
          <w:rtl/>
          <w:lang w:bidi="ar-KW"/>
        </w:rPr>
        <w:t xml:space="preserve"> </w:t>
      </w:r>
      <w:r w:rsidRPr="005675B2">
        <w:rPr>
          <w:rtl/>
          <w:lang w:bidi="ar-KW"/>
        </w:rPr>
        <w:t>(وبلغنا أن أبا الحسن تاب وصعد منبر البصرة، وقال: إني كنت أقول بخلق القرآن... وإني تائب معتقد الردّ على المعتزلة) اهـ</w:t>
      </w:r>
      <w:r w:rsidR="000636C2">
        <w:rPr>
          <w:rtl/>
          <w:lang w:bidi="ar-KW"/>
        </w:rPr>
        <w:t>،</w:t>
      </w:r>
      <w:r w:rsidRPr="005675B2">
        <w:rPr>
          <w:rFonts w:hint="cs"/>
          <w:rtl/>
          <w:lang w:bidi="ar-KW"/>
        </w:rPr>
        <w:t xml:space="preserve"> </w:t>
      </w:r>
      <w:r w:rsidRPr="005675B2">
        <w:rPr>
          <w:bCs/>
          <w:rtl/>
          <w:lang w:bidi="ar-KW"/>
        </w:rPr>
        <w:t>وعند العلامة ابن خلدون</w:t>
      </w:r>
      <w:r w:rsidRPr="005675B2">
        <w:rPr>
          <w:rtl/>
          <w:lang w:bidi="ar-KW"/>
        </w:rPr>
        <w:t xml:space="preserve"> رحمه الله (المقدمة ص853)</w:t>
      </w:r>
      <w:r w:rsidR="000636C2">
        <w:rPr>
          <w:rFonts w:hint="cs"/>
          <w:rtl/>
          <w:lang w:bidi="ar-KW"/>
        </w:rPr>
        <w:t>:</w:t>
      </w:r>
      <w:r w:rsidRPr="005675B2">
        <w:rPr>
          <w:rFonts w:hint="cs"/>
          <w:rtl/>
          <w:lang w:bidi="ar-KW"/>
        </w:rPr>
        <w:t xml:space="preserve"> </w:t>
      </w:r>
      <w:r w:rsidRPr="005675B2">
        <w:rPr>
          <w:rtl/>
          <w:lang w:bidi="ar-KW"/>
        </w:rPr>
        <w:t>(إلى أن ظهر الشيخ أبو الحسن الأشعري وناظر بعض مشيختهم</w:t>
      </w:r>
      <w:r w:rsidR="000636C2">
        <w:rPr>
          <w:rtl/>
          <w:lang w:bidi="ar-KW"/>
        </w:rPr>
        <w:t xml:space="preserve"> </w:t>
      </w:r>
      <w:r w:rsidRPr="005675B2">
        <w:rPr>
          <w:rtl/>
          <w:lang w:bidi="ar-KW"/>
        </w:rPr>
        <w:t>- أي المعتزلة</w:t>
      </w:r>
      <w:r w:rsidR="000636C2">
        <w:rPr>
          <w:rtl/>
          <w:lang w:bidi="ar-KW"/>
        </w:rPr>
        <w:t xml:space="preserve"> </w:t>
      </w:r>
      <w:r w:rsidRPr="005675B2">
        <w:rPr>
          <w:rtl/>
          <w:lang w:bidi="ar-KW"/>
        </w:rPr>
        <w:t>- في مسائل الصلاح والأصلح، فرفض طريقتهم وكان على رأي عبدالله بن سعيد بن كلاّب وأبي العباس القلانسي والحارث المحاسبي من أتباع السلف وعلى طريقة السنة) اهـ</w:t>
      </w:r>
      <w:r w:rsidR="000636C2">
        <w:rPr>
          <w:rtl/>
          <w:lang w:bidi="ar-KW"/>
        </w:rPr>
        <w:t>،</w:t>
      </w:r>
      <w:r w:rsidRPr="005675B2">
        <w:rPr>
          <w:rFonts w:hint="cs"/>
          <w:rtl/>
          <w:lang w:bidi="ar-KW"/>
        </w:rPr>
        <w:t xml:space="preserve"> </w:t>
      </w:r>
      <w:r w:rsidRPr="005675B2">
        <w:rPr>
          <w:rtl/>
          <w:lang w:bidi="ar-KW"/>
        </w:rPr>
        <w:t>فأثبت أن الإمام بعد رجوعه عن الاعتزال كان على رأي عبدالله بن كلاّب والقلانسي والمحاسبي وهؤلاء كلهم على طريقة السلف والسنة</w:t>
      </w:r>
      <w:r w:rsidR="000636C2">
        <w:rPr>
          <w:rFonts w:hint="cs"/>
          <w:rtl/>
          <w:lang w:bidi="ar-KW"/>
        </w:rPr>
        <w:t>،</w:t>
      </w:r>
      <w:r w:rsidRPr="005675B2">
        <w:rPr>
          <w:rFonts w:hint="cs"/>
          <w:rtl/>
          <w:lang w:bidi="ar-KW"/>
        </w:rPr>
        <w:t xml:space="preserve"> </w:t>
      </w:r>
      <w:r w:rsidRPr="005675B2">
        <w:rPr>
          <w:rtl/>
          <w:lang w:bidi="ar-KW"/>
        </w:rPr>
        <w:t>وهكذا كل كتب التاريخ التي ترجمت للإمام أبي الحسن، مثل تاريخ بغداد للخطيب البغدادي، وطبقات الشافعية للسبكي وشذرات الذهب لابن العماد والكامل لابن الأثير وتبيين كذب المفتري لابن عساكر</w:t>
      </w:r>
      <w:r w:rsidRPr="005675B2">
        <w:rPr>
          <w:rFonts w:hint="cs"/>
          <w:rtl/>
          <w:lang w:bidi="ar-KW"/>
        </w:rPr>
        <w:t xml:space="preserve"> </w:t>
      </w:r>
      <w:r w:rsidRPr="005675B2">
        <w:rPr>
          <w:rtl/>
          <w:lang w:bidi="ar-KW"/>
        </w:rPr>
        <w:t>وترتيب المدارك للقاضي عياض وطبقات الشافعية لابن قاضي شهبة وطبقات الشافعية للأسنوي والديباج المذهب لابن فرحون ومرآة الجنان لليافعي وغيرها، كلها مطبقة على أن الإمام أبا الحسن بعد توبته من الاعتزال رجع إلى مذهب السلف والسنة</w:t>
      </w:r>
      <w:r w:rsidR="000636C2">
        <w:rPr>
          <w:rFonts w:hint="cs"/>
          <w:rtl/>
          <w:lang w:bidi="ar-KW"/>
        </w:rPr>
        <w:t>،</w:t>
      </w:r>
      <w:r w:rsidRPr="005675B2">
        <w:rPr>
          <w:rFonts w:hint="cs"/>
          <w:rtl/>
          <w:lang w:bidi="ar-KW"/>
        </w:rPr>
        <w:t xml:space="preserve"> </w:t>
      </w:r>
      <w:r w:rsidRPr="005675B2">
        <w:rPr>
          <w:rtl/>
          <w:lang w:bidi="ar-KW"/>
        </w:rPr>
        <w:t>أضف إلى ذلك، أن رجوع الإمام المزعومَ هذا لو ثبت عنه لكان أولى الناس بمعرفته ونقله هم أصحابه وتلامذته، لأن أولى الناس بمعرفة الرجل هم خاصته وأصحابه وأتباعه الملازمون له، فهؤلاء هم أقرب الناس إليه وأعرفهم بأحواله وأقواله وآرائه، لا سيما في قضية مهمة مثل هذه القضية التي تتوفر الدواعي على نقلها، وتتحفز الأسماع على تلقفها، خاصة من إمام كبير مثل الإمام أبي الحسن، وعند الرجوع إلى أقوال أصحابه وأصحاب أصحابه أيضاً لا نجد أي إشارة تفيد ذلك، بل نجدهم متفقين على أن الإمام كان بعد هجره للاعتزال على منهج السلف والسنة الذي كان عليه المحاسبي وابن كلاب والقلانسي والكرابيسي وغيرهم، فهذه مؤلفات ناصر مذهب الأشعري القاضي أبي بكر الباقلاني رحمه الله تعالى كالإنصاف والتمهيد وغيرها، ومؤلفات ابن فورك ومؤلفات أبي بكر القفال الشاشي وأبي إسحق الشيرازي وأبي بكر البيهقي وغيرهم من أصحاب الإمام وأصحاب أصحابه وتلاميذهم ليس فيها أي ذكر أو إشارة لهذا الأمر الذي هو من الأهمية بمكان، فهل يعقل أن يرجع الإمام عن مذهبه ويهجره ثم لا يكون لهذه الحادثة المهمة أي ذكر عند أحد من أصحابه وتلاميذه وهو من هو جلالة وقدراً؟! أم تُراه قد رجع عن ذلك سرّاً وهو الذي حين قرر هجر مذهب المعتزلة اعتلى منبر المعتزلة نفسَه ليعلن ذلك على الملأ</w:t>
      </w:r>
      <w:r w:rsidR="000636C2">
        <w:rPr>
          <w:rFonts w:hint="cs"/>
          <w:rtl/>
          <w:lang w:bidi="ar-KW"/>
        </w:rPr>
        <w:t>؟</w:t>
      </w:r>
      <w:r w:rsidRPr="005675B2">
        <w:rPr>
          <w:rtl/>
          <w:lang w:bidi="ar-KW"/>
        </w:rPr>
        <w:t>!</w:t>
      </w:r>
      <w:r w:rsidRPr="005675B2">
        <w:rPr>
          <w:rFonts w:hint="cs"/>
          <w:rtl/>
          <w:lang w:bidi="ar-KW"/>
        </w:rPr>
        <w:t xml:space="preserve"> </w:t>
      </w:r>
      <w:r w:rsidRPr="005675B2">
        <w:rPr>
          <w:spacing w:val="-4"/>
          <w:rtl/>
          <w:lang w:bidi="ar-KW"/>
        </w:rPr>
        <w:t>كلا، ليس الأمر كما جاء في هذه الدعوى، بل الحق الذي لا مرية فيه هو أن الإمام لم يمرّ في حياته إلا بمرحلتين، الاعتزال ثم الرجوع إلى طريق السلف، وليس لمن يقول بخلاف هذا الأمر من دليل ولا شبهة دليل</w:t>
      </w:r>
      <w:r w:rsidR="000636C2">
        <w:rPr>
          <w:rFonts w:hint="cs"/>
          <w:spacing w:val="-4"/>
          <w:rtl/>
          <w:lang w:bidi="ar-KW"/>
        </w:rPr>
        <w:t>،</w:t>
      </w:r>
      <w:r w:rsidRPr="005675B2">
        <w:rPr>
          <w:rFonts w:hint="cs"/>
          <w:spacing w:val="-4"/>
          <w:rtl/>
          <w:lang w:bidi="ar-KW"/>
        </w:rPr>
        <w:t xml:space="preserve"> </w:t>
      </w:r>
      <w:r w:rsidRPr="005675B2">
        <w:rPr>
          <w:rtl/>
          <w:lang w:bidi="ar-KW"/>
        </w:rPr>
        <w:t>ومن يقول بهذه الدعوى يعتمد في قوله هذا على أسلوب الإمام في تأليف كتاب الإبانة وبعض الرسائل الأخرى، فقد اتبع الإمام فيها طريق التفويض الذي هو طريق جمهور السلف، فبنوا على هذا الأسلوب مخالفة الإمام الأشعري لآراء ابن كُلاّب الذي يتهمونه بأنه لم يكن على طريق السلف</w:t>
      </w:r>
      <w:r w:rsidR="000636C2">
        <w:rPr>
          <w:rFonts w:hint="cs"/>
          <w:rtl/>
          <w:lang w:bidi="ar-KW"/>
        </w:rPr>
        <w:t>،</w:t>
      </w:r>
      <w:r w:rsidRPr="005675B2">
        <w:rPr>
          <w:rFonts w:hint="cs"/>
          <w:rtl/>
          <w:lang w:bidi="ar-KW"/>
        </w:rPr>
        <w:t xml:space="preserve"> </w:t>
      </w:r>
      <w:r w:rsidRPr="005675B2">
        <w:rPr>
          <w:rtl/>
          <w:lang w:bidi="ar-KW"/>
        </w:rPr>
        <w:t>تُرى هل ما في الإبانة التي هي على طريق جمهور السلف، وهي من أواخـر كتب الإمام أو هـي آخرها</w:t>
      </w:r>
      <w:r w:rsidRPr="005675B2">
        <w:rPr>
          <w:rFonts w:hint="cs"/>
          <w:rtl/>
          <w:lang w:bidi="ar-KW"/>
        </w:rPr>
        <w:t xml:space="preserve"> </w:t>
      </w:r>
      <w:r w:rsidRPr="005675B2">
        <w:rPr>
          <w:rtl/>
          <w:lang w:bidi="ar-KW"/>
        </w:rPr>
        <w:t>, ما يناقض ما كان عليه عبدالله بن سعيد بن كلاّب؟ أو بتعبير آخر، هل كان ابن كلاّب على خلاف طريق السلف الذي ألَّف الإمام الأشعري الإبانة عليه؟</w:t>
      </w:r>
      <w:r w:rsidRPr="005675B2">
        <w:rPr>
          <w:rFonts w:hint="cs"/>
          <w:rtl/>
          <w:lang w:bidi="ar-KW"/>
        </w:rPr>
        <w:t xml:space="preserve"> </w:t>
      </w:r>
      <w:r w:rsidRPr="005675B2">
        <w:rPr>
          <w:rtl/>
          <w:lang w:bidi="ar-KW"/>
        </w:rPr>
        <w:t>وهذا يجرُّنا إلى القضية الثانية</w:t>
      </w:r>
      <w:r w:rsidR="000636C2">
        <w:rPr>
          <w:rFonts w:hint="cs"/>
          <w:rtl/>
          <w:lang w:bidi="ar-KW"/>
        </w:rPr>
        <w:t>،</w:t>
      </w:r>
      <w:r w:rsidRPr="005675B2">
        <w:rPr>
          <w:rFonts w:hint="cs"/>
          <w:rtl/>
          <w:lang w:bidi="ar-KW"/>
        </w:rPr>
        <w:t xml:space="preserve"> </w:t>
      </w:r>
    </w:p>
    <w:p w14:paraId="7672B01F" w14:textId="79A1297D" w:rsidR="009C32A0" w:rsidRPr="005675B2" w:rsidRDefault="009C32A0" w:rsidP="000636C2">
      <w:pPr>
        <w:widowControl w:val="0"/>
        <w:spacing w:before="80" w:after="240"/>
        <w:rPr>
          <w:rtl/>
          <w:lang w:bidi="ar-KW"/>
        </w:rPr>
      </w:pPr>
      <w:r w:rsidRPr="005675B2">
        <w:rPr>
          <w:rtl/>
          <w:lang w:bidi="ar-KW"/>
        </w:rPr>
        <w:t xml:space="preserve">الرد على </w:t>
      </w:r>
      <w:r w:rsidRPr="005675B2">
        <w:rPr>
          <w:bCs/>
          <w:rtl/>
          <w:lang w:bidi="ar-KW"/>
        </w:rPr>
        <w:t>القضية الثانية</w:t>
      </w:r>
      <w:r w:rsidR="000636C2">
        <w:rPr>
          <w:rFonts w:hint="cs"/>
          <w:bCs/>
          <w:rtl/>
          <w:lang w:bidi="ar-KW"/>
        </w:rPr>
        <w:t>:</w:t>
      </w:r>
      <w:r w:rsidRPr="005675B2">
        <w:rPr>
          <w:rFonts w:hint="cs"/>
          <w:rtl/>
          <w:lang w:bidi="ar-KW"/>
        </w:rPr>
        <w:t xml:space="preserve"> </w:t>
      </w:r>
      <w:r w:rsidRPr="005675B2">
        <w:rPr>
          <w:rtl/>
          <w:lang w:bidi="ar-KW"/>
        </w:rPr>
        <w:t>هل كان عبدالله بن سعيد بن كلاّب منحرفاً عن طريق السنة والسلف؟</w:t>
      </w:r>
      <w:r w:rsidRPr="005675B2">
        <w:rPr>
          <w:rFonts w:hint="cs"/>
          <w:rtl/>
          <w:lang w:bidi="ar-KW"/>
        </w:rPr>
        <w:t xml:space="preserve"> </w:t>
      </w:r>
      <w:r w:rsidRPr="005675B2">
        <w:rPr>
          <w:rtl/>
          <w:lang w:bidi="ar-KW"/>
        </w:rPr>
        <w:t>نسلم أولاً أن الإمام الأشعري بعد تركه للاعتزال كان على طريق عبدالله بن سعيد بن كلاب، وهذا أمر يوافقنا عليه أصحاب الدعوى، ولكنهم يخالفوننا في أن طريق ابن كلاب وطريق السلف هما في حقيقة الأمر طريق واحد، لأن ابن كلاب كان من أئمة أهل السنة والجماعة السائرين على طريق السلف الصالح</w:t>
      </w:r>
      <w:r w:rsidR="000636C2">
        <w:rPr>
          <w:rFonts w:hint="cs"/>
          <w:rtl/>
          <w:lang w:bidi="ar-KW"/>
        </w:rPr>
        <w:t>،</w:t>
      </w:r>
      <w:r w:rsidRPr="005675B2">
        <w:rPr>
          <w:rFonts w:hint="cs"/>
          <w:rtl/>
          <w:lang w:bidi="ar-KW"/>
        </w:rPr>
        <w:t xml:space="preserve"> </w:t>
      </w:r>
      <w:r w:rsidRPr="005675B2">
        <w:rPr>
          <w:bCs/>
          <w:rtl/>
          <w:lang w:bidi="ar-KW"/>
        </w:rPr>
        <w:t>قال التاج السبكي</w:t>
      </w:r>
      <w:r w:rsidRPr="005675B2">
        <w:rPr>
          <w:rtl/>
          <w:lang w:bidi="ar-KW"/>
        </w:rPr>
        <w:t xml:space="preserve"> في الطبقات (الطبقات 2 /300)</w:t>
      </w:r>
      <w:r w:rsidR="000636C2">
        <w:rPr>
          <w:rFonts w:hint="cs"/>
          <w:rtl/>
          <w:lang w:bidi="ar-KW"/>
        </w:rPr>
        <w:t>:</w:t>
      </w:r>
      <w:r w:rsidRPr="005675B2">
        <w:rPr>
          <w:rFonts w:hint="cs"/>
          <w:rtl/>
          <w:lang w:bidi="ar-KW"/>
        </w:rPr>
        <w:t xml:space="preserve"> </w:t>
      </w:r>
      <w:r w:rsidRPr="005675B2">
        <w:rPr>
          <w:bCs/>
          <w:rtl/>
          <w:lang w:bidi="ar-KW"/>
        </w:rPr>
        <w:t>(</w:t>
      </w:r>
      <w:r w:rsidRPr="005675B2">
        <w:rPr>
          <w:rtl/>
          <w:lang w:bidi="ar-KW"/>
        </w:rPr>
        <w:t>وابن كلاّب على كل حال من أهل السنة.... ورأيت الإمام ضياء الدين الخطيب والد الإمام فخر الدين الرازي قد ذكر عبدالله بن سعيد في آخر كتابه "غاية المرام في علم الكلام " فقال: ومن متكلمي أهل السنة في أيام المأمون عبدالله بن سعيد التميمي الذي دمّر المعتزلة في مجلس المأمون وفضحهم ببيانه) اهـ</w:t>
      </w:r>
      <w:r w:rsidR="000636C2">
        <w:rPr>
          <w:rtl/>
          <w:lang w:bidi="ar-KW"/>
        </w:rPr>
        <w:t>،</w:t>
      </w:r>
      <w:r w:rsidRPr="005675B2">
        <w:rPr>
          <w:rFonts w:hint="cs"/>
          <w:rtl/>
          <w:lang w:bidi="ar-KW"/>
        </w:rPr>
        <w:t xml:space="preserve"> </w:t>
      </w:r>
      <w:r w:rsidRPr="005675B2">
        <w:rPr>
          <w:bCs/>
          <w:rtl/>
          <w:lang w:bidi="ar-KW"/>
        </w:rPr>
        <w:t>وقال الحافظ ابن عساكر</w:t>
      </w:r>
      <w:r w:rsidRPr="005675B2">
        <w:rPr>
          <w:rtl/>
          <w:lang w:bidi="ar-KW"/>
        </w:rPr>
        <w:t xml:space="preserve"> رحمه الله تعالى (تبيين كذب المفتري ص405):</w:t>
      </w:r>
      <w:r w:rsidRPr="005675B2">
        <w:rPr>
          <w:rFonts w:hint="cs"/>
          <w:rtl/>
          <w:lang w:bidi="ar-KW"/>
        </w:rPr>
        <w:t xml:space="preserve"> </w:t>
      </w:r>
      <w:r w:rsidRPr="005675B2">
        <w:rPr>
          <w:rtl/>
          <w:lang w:bidi="ar-KW"/>
        </w:rPr>
        <w:t xml:space="preserve">(قرأت بخطِّ علي بن بقاء الورّاق المحدث المصري رسالة كتب بها أبو محمد عبدالله بن أبي زيد القيرواني الفقيه المالكي- وكان مقدَّم أصحاب مالك رحمه الله بالمغرب في زمانه- إلى علي بن أحمد بن إسماعيل البغدادي المعتزلي جواباً عن رسالة كتب بها إلى المالكيين من أهل القيروان يظهر نصيحتهم بما يدخلهم به في أقاويل أهل الاعتزال، فذكر الرسالة بطولها في جزءٍ وهي معروفة، فمن جملة جواب ابن أبي زيد له أن قال: </w:t>
      </w:r>
      <w:r w:rsidRPr="005675B2">
        <w:rPr>
          <w:bCs/>
          <w:rtl/>
          <w:lang w:bidi="ar-KW"/>
        </w:rPr>
        <w:t>ونسبتَ ابن كلاّب إلى البدعة، ثم لم تحكِ عنه قولاً يعرف أنه بدعة فيوسم بهذا الاسم، وما علمنا من نسب إلى ابن كلاّب</w:t>
      </w:r>
      <w:r w:rsidRPr="005675B2">
        <w:rPr>
          <w:rtl/>
          <w:lang w:bidi="ar-KW"/>
        </w:rPr>
        <w:t xml:space="preserve"> </w:t>
      </w:r>
      <w:r w:rsidRPr="005675B2">
        <w:rPr>
          <w:bCs/>
          <w:rtl/>
          <w:lang w:bidi="ar-KW"/>
        </w:rPr>
        <w:t>البدعة، والذي بلغنا أنه يتقلّد السنة ويتولّى الردَّ على الجهمية وغيرهم من أهل البدع يعني عبدالله بن سعيد بن كلاّب) اهـ</w:t>
      </w:r>
      <w:r w:rsidR="000636C2">
        <w:rPr>
          <w:bCs/>
          <w:rtl/>
          <w:lang w:bidi="ar-KW"/>
        </w:rPr>
        <w:t>،</w:t>
      </w:r>
      <w:r w:rsidRPr="005675B2">
        <w:rPr>
          <w:rFonts w:hint="cs"/>
          <w:bCs/>
          <w:rtl/>
          <w:lang w:bidi="ar-KW"/>
        </w:rPr>
        <w:t xml:space="preserve"> </w:t>
      </w:r>
      <w:r w:rsidRPr="005675B2">
        <w:rPr>
          <w:rtl/>
          <w:lang w:bidi="ar-KW"/>
        </w:rPr>
        <w:t>وهذه شهادة عظيمة من الإمام ابن أبي زيد رحمه الله لابن كلاب أنه يتقلَّد السنة ويردُّ على المبتدعة، وأنه لم يعلم من نسب إليه البدعة</w:t>
      </w:r>
      <w:r w:rsidR="000636C2">
        <w:rPr>
          <w:rFonts w:hint="cs"/>
          <w:rtl/>
          <w:lang w:bidi="ar-KW"/>
        </w:rPr>
        <w:t>،</w:t>
      </w:r>
      <w:r w:rsidRPr="005675B2">
        <w:rPr>
          <w:rFonts w:hint="cs"/>
          <w:rtl/>
          <w:lang w:bidi="ar-KW"/>
        </w:rPr>
        <w:t xml:space="preserve"> </w:t>
      </w:r>
      <w:r w:rsidRPr="005675B2">
        <w:rPr>
          <w:bCs/>
          <w:rtl/>
          <w:lang w:bidi="ar-KW"/>
        </w:rPr>
        <w:t>وعلّق العلامة الكوثري</w:t>
      </w:r>
      <w:r w:rsidRPr="005675B2">
        <w:rPr>
          <w:rtl/>
          <w:lang w:bidi="ar-KW"/>
        </w:rPr>
        <w:t xml:space="preserve"> رحمه الله تعالى في هامش الصفحة معرِّفاً بابن كلاب قال (المصدر السابق): (.. كان إمام متكلمة السنة في عهد أحمد، وممن يرافق الحارث بن أسد، ويشنع عليه بعض الضعفاء في أصول الدين..) ثم بيّن المسائل التي يشنع عليه بسببها وأن كلامه فيها ليس ببعيد عن الشرع والعقل</w:t>
      </w:r>
      <w:r w:rsidR="000636C2">
        <w:rPr>
          <w:rFonts w:hint="cs"/>
          <w:rtl/>
          <w:lang w:bidi="ar-KW"/>
        </w:rPr>
        <w:t>،</w:t>
      </w:r>
      <w:r w:rsidRPr="005675B2">
        <w:rPr>
          <w:rFonts w:hint="cs"/>
          <w:rtl/>
          <w:lang w:bidi="ar-KW"/>
        </w:rPr>
        <w:t xml:space="preserve"> </w:t>
      </w:r>
      <w:r w:rsidRPr="005675B2">
        <w:rPr>
          <w:bCs/>
          <w:rtl/>
          <w:lang w:bidi="ar-KW"/>
        </w:rPr>
        <w:t>وقال ابن قاضي شهبة</w:t>
      </w:r>
      <w:r w:rsidRPr="005675B2">
        <w:rPr>
          <w:rtl/>
          <w:lang w:bidi="ar-KW"/>
        </w:rPr>
        <w:t xml:space="preserve"> (طبقات الشافعية لابن قاضي شهبة 1 / 78)</w:t>
      </w:r>
      <w:r w:rsidR="000636C2">
        <w:rPr>
          <w:rtl/>
          <w:lang w:bidi="ar-KW"/>
        </w:rPr>
        <w:t>:</w:t>
      </w:r>
      <w:r w:rsidRPr="005675B2">
        <w:rPr>
          <w:rFonts w:hint="cs"/>
          <w:rtl/>
          <w:lang w:bidi="ar-KW"/>
        </w:rPr>
        <w:t xml:space="preserve"> </w:t>
      </w:r>
      <w:r w:rsidRPr="005675B2">
        <w:rPr>
          <w:bCs/>
          <w:rtl/>
          <w:lang w:bidi="ar-KW"/>
        </w:rPr>
        <w:t>(كان من كبار المتكلمين ومن أهل السنة، وبطريقته وطريقة الحارث المحاسبي اقتدى أبو الحسن الأشعري) اهـ</w:t>
      </w:r>
      <w:r w:rsidR="000636C2">
        <w:rPr>
          <w:bCs/>
          <w:rtl/>
          <w:lang w:bidi="ar-KW"/>
        </w:rPr>
        <w:t>،</w:t>
      </w:r>
      <w:r w:rsidRPr="005675B2">
        <w:rPr>
          <w:rFonts w:hint="cs"/>
          <w:bCs/>
          <w:rtl/>
          <w:lang w:bidi="ar-KW"/>
        </w:rPr>
        <w:t xml:space="preserve"> </w:t>
      </w:r>
      <w:r w:rsidRPr="005675B2">
        <w:rPr>
          <w:rtl/>
          <w:lang w:bidi="ar-KW"/>
        </w:rPr>
        <w:t>وقال عنه جمال الدين الأسنوي (طبقات الشافعية للأسنوي 2 /178)</w:t>
      </w:r>
      <w:r w:rsidR="000636C2">
        <w:rPr>
          <w:rtl/>
          <w:lang w:bidi="ar-KW"/>
        </w:rPr>
        <w:t>:</w:t>
      </w:r>
      <w:r w:rsidRPr="005675B2">
        <w:rPr>
          <w:rFonts w:hint="cs"/>
          <w:rtl/>
          <w:lang w:bidi="ar-KW"/>
        </w:rPr>
        <w:t xml:space="preserve"> </w:t>
      </w:r>
      <w:r w:rsidRPr="005675B2">
        <w:rPr>
          <w:bCs/>
          <w:rtl/>
          <w:lang w:bidi="ar-KW"/>
        </w:rPr>
        <w:t>(كان من كبار المتكلمين ومن أهل السنة... ذكره العبادي في طبقة أبي بكر الصيرفي، قال</w:t>
      </w:r>
      <w:r w:rsidR="000636C2">
        <w:rPr>
          <w:bCs/>
          <w:rtl/>
          <w:lang w:bidi="ar-KW"/>
        </w:rPr>
        <w:t>:</w:t>
      </w:r>
      <w:r w:rsidRPr="005675B2">
        <w:rPr>
          <w:bCs/>
          <w:rtl/>
          <w:lang w:bidi="ar-KW"/>
        </w:rPr>
        <w:t xml:space="preserve"> إنه من أصحابنا المتكلمين) اهـ</w:t>
      </w:r>
      <w:r w:rsidR="000636C2">
        <w:rPr>
          <w:bCs/>
          <w:rtl/>
          <w:lang w:bidi="ar-KW"/>
        </w:rPr>
        <w:t>،</w:t>
      </w:r>
      <w:r w:rsidRPr="005675B2">
        <w:rPr>
          <w:rFonts w:hint="cs"/>
          <w:bCs/>
          <w:rtl/>
          <w:lang w:bidi="ar-KW"/>
        </w:rPr>
        <w:t xml:space="preserve"> </w:t>
      </w:r>
      <w:r w:rsidRPr="005675B2">
        <w:rPr>
          <w:bCs/>
          <w:rtl/>
          <w:lang w:bidi="ar-KW"/>
        </w:rPr>
        <w:t>وقال الإمام الحافظ الذهبي</w:t>
      </w:r>
      <w:r w:rsidRPr="005675B2">
        <w:rPr>
          <w:rtl/>
          <w:lang w:bidi="ar-KW"/>
        </w:rPr>
        <w:t xml:space="preserve"> (سير أعلام النبلاء 11 /175)</w:t>
      </w:r>
      <w:r w:rsidR="000636C2">
        <w:rPr>
          <w:rFonts w:hint="cs"/>
          <w:rtl/>
          <w:lang w:bidi="ar-KW"/>
        </w:rPr>
        <w:t>:</w:t>
      </w:r>
      <w:r w:rsidRPr="005675B2">
        <w:rPr>
          <w:rFonts w:hint="cs"/>
          <w:rtl/>
          <w:lang w:bidi="ar-KW"/>
        </w:rPr>
        <w:t xml:space="preserve"> </w:t>
      </w:r>
      <w:r w:rsidRPr="005675B2">
        <w:rPr>
          <w:rtl/>
          <w:lang w:bidi="ar-KW"/>
        </w:rPr>
        <w:t>(والرجل أقرب المتكلمين إلى السنة، بل هو في مناظريهم) اهـ</w:t>
      </w:r>
      <w:r w:rsidR="000636C2">
        <w:rPr>
          <w:rtl/>
          <w:lang w:bidi="ar-KW"/>
        </w:rPr>
        <w:t>،</w:t>
      </w:r>
      <w:r w:rsidRPr="005675B2">
        <w:rPr>
          <w:rFonts w:hint="cs"/>
          <w:rtl/>
          <w:lang w:bidi="ar-KW"/>
        </w:rPr>
        <w:t xml:space="preserve"> </w:t>
      </w:r>
      <w:r w:rsidRPr="005675B2">
        <w:rPr>
          <w:rtl/>
          <w:lang w:bidi="ar-KW"/>
        </w:rPr>
        <w:t>علّق الشيخ شعيب الأرنؤوط على هذا الكلام قائلاً</w:t>
      </w:r>
      <w:r w:rsidR="000636C2">
        <w:rPr>
          <w:rtl/>
          <w:lang w:bidi="ar-KW"/>
        </w:rPr>
        <w:t>:</w:t>
      </w:r>
      <w:r w:rsidRPr="005675B2">
        <w:rPr>
          <w:rtl/>
          <w:lang w:bidi="ar-KW"/>
        </w:rPr>
        <w:t xml:space="preserve"> </w:t>
      </w:r>
      <w:r w:rsidRPr="005675B2">
        <w:rPr>
          <w:bCs/>
          <w:rtl/>
          <w:lang w:bidi="ar-KW"/>
        </w:rPr>
        <w:t>(كان إمام أهل السنة في عصره، وإليه مرجعها، وقد وصفه إمام الحرمين في كتابه " الإرشاد " بأنه من أصحابنا) اهـ</w:t>
      </w:r>
      <w:r w:rsidR="000636C2">
        <w:rPr>
          <w:bCs/>
          <w:rtl/>
          <w:lang w:bidi="ar-KW"/>
        </w:rPr>
        <w:t>،</w:t>
      </w:r>
      <w:r w:rsidRPr="005675B2">
        <w:rPr>
          <w:rFonts w:hint="cs"/>
          <w:bCs/>
          <w:rtl/>
          <w:lang w:bidi="ar-KW"/>
        </w:rPr>
        <w:t xml:space="preserve"> </w:t>
      </w:r>
      <w:r w:rsidRPr="005675B2">
        <w:rPr>
          <w:rtl/>
          <w:lang w:bidi="ar-KW"/>
        </w:rPr>
        <w:t>ولقد مر معنا قول العلامة ابن خلدون (المقدمة ص 853)</w:t>
      </w:r>
      <w:r w:rsidR="000636C2">
        <w:rPr>
          <w:rtl/>
          <w:lang w:bidi="ar-KW"/>
        </w:rPr>
        <w:t>:</w:t>
      </w:r>
      <w:r w:rsidRPr="005675B2">
        <w:rPr>
          <w:rFonts w:hint="cs"/>
          <w:rtl/>
          <w:lang w:bidi="ar-KW"/>
        </w:rPr>
        <w:t xml:space="preserve"> </w:t>
      </w:r>
      <w:r w:rsidRPr="005675B2">
        <w:rPr>
          <w:bCs/>
          <w:rtl/>
          <w:lang w:bidi="ar-KW"/>
        </w:rPr>
        <w:t>(إلى أن ظهر الشيخ أبو الحسن الأشعري.... وكان على رأي عبدالله بن سعيد بن كلاّب وأبي العباس القلانسي والحارث المحاسبي من أتباع السلف وعلى طريقة السنة) اهـ</w:t>
      </w:r>
      <w:r w:rsidR="000636C2">
        <w:rPr>
          <w:bCs/>
          <w:rtl/>
          <w:lang w:bidi="ar-KW"/>
        </w:rPr>
        <w:t>،</w:t>
      </w:r>
      <w:r w:rsidRPr="005675B2">
        <w:rPr>
          <w:rFonts w:hint="cs"/>
          <w:bCs/>
          <w:rtl/>
          <w:lang w:bidi="ar-KW"/>
        </w:rPr>
        <w:t xml:space="preserve"> </w:t>
      </w:r>
      <w:r w:rsidRPr="005675B2">
        <w:rPr>
          <w:rtl/>
          <w:lang w:bidi="ar-KW"/>
        </w:rPr>
        <w:t xml:space="preserve">فوصفه بأنه من أتباع السلف، وأن الإمام الأشعري كان على رأيه ورأي القلانسي والمحاسبي </w:t>
      </w:r>
      <w:r w:rsidRPr="005675B2">
        <w:rPr>
          <w:bCs/>
          <w:rtl/>
          <w:lang w:bidi="ar-KW"/>
        </w:rPr>
        <w:t>وهؤلاء من أتباع السلف وعلى طريق السنة</w:t>
      </w:r>
      <w:r w:rsidR="000636C2">
        <w:rPr>
          <w:rFonts w:hint="cs"/>
          <w:rtl/>
          <w:lang w:bidi="ar-KW"/>
        </w:rPr>
        <w:t>،</w:t>
      </w:r>
      <w:r w:rsidRPr="005675B2">
        <w:rPr>
          <w:rFonts w:hint="cs"/>
          <w:rtl/>
          <w:lang w:bidi="ar-KW"/>
        </w:rPr>
        <w:t xml:space="preserve"> </w:t>
      </w:r>
      <w:r w:rsidRPr="005675B2">
        <w:rPr>
          <w:rtl/>
          <w:lang w:bidi="ar-KW"/>
        </w:rPr>
        <w:t>وقال العلامة كمال الدين البياضي رحمه الله تعالى (إشارات المرام من عبارات الإمام ص23)</w:t>
      </w:r>
      <w:r w:rsidR="000636C2">
        <w:rPr>
          <w:rtl/>
          <w:lang w:bidi="ar-KW"/>
        </w:rPr>
        <w:t>:</w:t>
      </w:r>
      <w:r w:rsidRPr="005675B2">
        <w:rPr>
          <w:rFonts w:hint="cs"/>
          <w:rtl/>
          <w:lang w:bidi="ar-KW"/>
        </w:rPr>
        <w:t xml:space="preserve"> </w:t>
      </w:r>
      <w:r w:rsidRPr="005675B2">
        <w:rPr>
          <w:rtl/>
          <w:lang w:bidi="ar-KW"/>
        </w:rPr>
        <w:t>(لأن الماتريدي مفصّل لمذهب الإمام</w:t>
      </w:r>
      <w:r w:rsidR="000636C2">
        <w:rPr>
          <w:rtl/>
          <w:lang w:bidi="ar-KW"/>
        </w:rPr>
        <w:t xml:space="preserve"> </w:t>
      </w:r>
      <w:r w:rsidRPr="005675B2">
        <w:rPr>
          <w:rtl/>
          <w:lang w:bidi="ar-KW"/>
        </w:rPr>
        <w:t>- يعني أبا حنيفة</w:t>
      </w:r>
      <w:r w:rsidR="000636C2">
        <w:rPr>
          <w:rtl/>
          <w:lang w:bidi="ar-KW"/>
        </w:rPr>
        <w:t xml:space="preserve"> </w:t>
      </w:r>
      <w:r w:rsidRPr="005675B2">
        <w:rPr>
          <w:rtl/>
          <w:lang w:bidi="ar-KW"/>
        </w:rPr>
        <w:t>- وأصحابِه المظهرين قبل الأشعري لمذهب أهل السنة، فلم يخلُ زمان من القائمين بنصرة الدين وإظهاره.. وقد سبقه</w:t>
      </w:r>
      <w:r w:rsidR="000636C2">
        <w:rPr>
          <w:rtl/>
          <w:lang w:bidi="ar-KW"/>
        </w:rPr>
        <w:t xml:space="preserve"> </w:t>
      </w:r>
      <w:r w:rsidRPr="005675B2">
        <w:rPr>
          <w:rtl/>
          <w:lang w:bidi="ar-KW"/>
        </w:rPr>
        <w:t>- يعني الأشعري</w:t>
      </w:r>
      <w:r w:rsidR="000636C2">
        <w:rPr>
          <w:rtl/>
          <w:lang w:bidi="ar-KW"/>
        </w:rPr>
        <w:t xml:space="preserve"> </w:t>
      </w:r>
      <w:r w:rsidRPr="005675B2">
        <w:rPr>
          <w:rtl/>
          <w:lang w:bidi="ar-KW"/>
        </w:rPr>
        <w:t>- أيضاً في ذلك</w:t>
      </w:r>
      <w:r w:rsidR="000636C2">
        <w:rPr>
          <w:rtl/>
          <w:lang w:bidi="ar-KW"/>
        </w:rPr>
        <w:t xml:space="preserve"> </w:t>
      </w:r>
      <w:r w:rsidRPr="005675B2">
        <w:rPr>
          <w:rtl/>
          <w:lang w:bidi="ar-KW"/>
        </w:rPr>
        <w:t>- يعني في نصرة مذهب أهل السنة</w:t>
      </w:r>
      <w:r w:rsidR="000636C2">
        <w:rPr>
          <w:rtl/>
          <w:lang w:bidi="ar-KW"/>
        </w:rPr>
        <w:t xml:space="preserve"> </w:t>
      </w:r>
      <w:r w:rsidRPr="005675B2">
        <w:rPr>
          <w:rtl/>
          <w:lang w:bidi="ar-KW"/>
        </w:rPr>
        <w:t xml:space="preserve">- </w:t>
      </w:r>
      <w:r w:rsidRPr="005675B2">
        <w:rPr>
          <w:bCs/>
          <w:rtl/>
          <w:lang w:bidi="ar-KW"/>
        </w:rPr>
        <w:t>الإمام أبو محمد عبدالله بن سعيد القطان..) اهـ</w:t>
      </w:r>
      <w:r w:rsidR="000636C2">
        <w:rPr>
          <w:bCs/>
          <w:rtl/>
          <w:lang w:bidi="ar-KW"/>
        </w:rPr>
        <w:t>،</w:t>
      </w:r>
      <w:r w:rsidRPr="005675B2">
        <w:rPr>
          <w:rFonts w:hint="cs"/>
          <w:bCs/>
          <w:rtl/>
          <w:lang w:bidi="ar-KW"/>
        </w:rPr>
        <w:t xml:space="preserve"> </w:t>
      </w:r>
      <w:r w:rsidRPr="005675B2">
        <w:rPr>
          <w:rtl/>
          <w:lang w:bidi="ar-KW"/>
        </w:rPr>
        <w:t>أي أن الإمام ابن كلاب كان قبل الإمام أبي الحسن في نصرة الدين وإظهار السنة</w:t>
      </w:r>
      <w:r w:rsidR="000636C2">
        <w:rPr>
          <w:rFonts w:hint="cs"/>
          <w:rtl/>
          <w:lang w:bidi="ar-KW"/>
        </w:rPr>
        <w:t>،</w:t>
      </w:r>
      <w:r w:rsidRPr="005675B2">
        <w:rPr>
          <w:rFonts w:hint="cs"/>
          <w:rtl/>
          <w:lang w:bidi="ar-KW"/>
        </w:rPr>
        <w:t xml:space="preserve"> </w:t>
      </w:r>
      <w:r w:rsidRPr="005675B2">
        <w:rPr>
          <w:bCs/>
          <w:rtl/>
          <w:lang w:bidi="ar-KW"/>
        </w:rPr>
        <w:t>وقال الحافظ ابن حجر</w:t>
      </w:r>
      <w:r w:rsidRPr="005675B2">
        <w:rPr>
          <w:rtl/>
          <w:lang w:bidi="ar-KW"/>
        </w:rPr>
        <w:t xml:space="preserve"> في (لسان الميزان 3 /291) في ترجمته، بعد أن نقل قول ابن النديم</w:t>
      </w:r>
      <w:r w:rsidR="000636C2">
        <w:rPr>
          <w:rtl/>
          <w:lang w:bidi="ar-KW"/>
        </w:rPr>
        <w:t>:</w:t>
      </w:r>
      <w:r w:rsidRPr="005675B2">
        <w:rPr>
          <w:rtl/>
          <w:lang w:bidi="ar-KW"/>
        </w:rPr>
        <w:t xml:space="preserve"> إنـه</w:t>
      </w:r>
      <w:r w:rsidR="000636C2">
        <w:rPr>
          <w:rtl/>
          <w:lang w:bidi="ar-KW"/>
        </w:rPr>
        <w:t xml:space="preserve"> </w:t>
      </w:r>
      <w:r w:rsidRPr="005675B2">
        <w:rPr>
          <w:rtl/>
          <w:lang w:bidi="ar-KW"/>
        </w:rPr>
        <w:t>- يعني ابن كلاب</w:t>
      </w:r>
      <w:r w:rsidR="000636C2">
        <w:rPr>
          <w:rtl/>
          <w:lang w:bidi="ar-KW"/>
        </w:rPr>
        <w:t xml:space="preserve"> </w:t>
      </w:r>
      <w:r w:rsidRPr="005675B2">
        <w:rPr>
          <w:rtl/>
          <w:lang w:bidi="ar-KW"/>
        </w:rPr>
        <w:t>- من الحشوية</w:t>
      </w:r>
      <w:r w:rsidR="000636C2">
        <w:rPr>
          <w:rFonts w:hint="cs"/>
          <w:rtl/>
          <w:lang w:bidi="ar-KW"/>
        </w:rPr>
        <w:t>،</w:t>
      </w:r>
      <w:r w:rsidRPr="005675B2">
        <w:rPr>
          <w:rFonts w:hint="cs"/>
          <w:rtl/>
          <w:lang w:bidi="ar-KW"/>
        </w:rPr>
        <w:t xml:space="preserve"> </w:t>
      </w:r>
      <w:r w:rsidRPr="005675B2">
        <w:rPr>
          <w:rtl/>
          <w:lang w:bidi="ar-KW"/>
        </w:rPr>
        <w:t>قال الحافظ</w:t>
      </w:r>
      <w:r w:rsidR="000636C2">
        <w:rPr>
          <w:rFonts w:hint="cs"/>
          <w:rtl/>
          <w:lang w:bidi="ar-KW"/>
        </w:rPr>
        <w:t>:</w:t>
      </w:r>
      <w:r w:rsidRPr="005675B2">
        <w:rPr>
          <w:rFonts w:hint="cs"/>
          <w:rtl/>
          <w:lang w:bidi="ar-KW"/>
        </w:rPr>
        <w:t xml:space="preserve"> </w:t>
      </w:r>
      <w:r w:rsidRPr="005675B2">
        <w:rPr>
          <w:rtl/>
          <w:lang w:bidi="ar-KW"/>
        </w:rPr>
        <w:t>(يريد من يكون على طريق السلف في ترك التأويل للآيات والأحاديث المتعلقة بالصفات، ويقال لهم المفوضة) اهـ</w:t>
      </w:r>
      <w:r w:rsidR="000636C2">
        <w:rPr>
          <w:rtl/>
          <w:lang w:bidi="ar-KW"/>
        </w:rPr>
        <w:t>،</w:t>
      </w:r>
      <w:r w:rsidRPr="005675B2">
        <w:rPr>
          <w:rFonts w:hint="cs"/>
          <w:rtl/>
          <w:lang w:bidi="ar-KW"/>
        </w:rPr>
        <w:t xml:space="preserve"> </w:t>
      </w:r>
      <w:r w:rsidRPr="005675B2">
        <w:rPr>
          <w:bCs/>
          <w:rtl/>
          <w:lang w:bidi="ar-KW"/>
        </w:rPr>
        <w:t>وقال الإمام الشهرستاني</w:t>
      </w:r>
      <w:r w:rsidRPr="005675B2">
        <w:rPr>
          <w:rtl/>
          <w:lang w:bidi="ar-KW"/>
        </w:rPr>
        <w:t xml:space="preserve"> رحمه الله تعالى (الملل والنحل ص81)</w:t>
      </w:r>
      <w:r w:rsidR="000636C2">
        <w:rPr>
          <w:rtl/>
          <w:lang w:bidi="ar-KW"/>
        </w:rPr>
        <w:t>:</w:t>
      </w:r>
      <w:r w:rsidRPr="005675B2">
        <w:rPr>
          <w:rFonts w:hint="cs"/>
          <w:rtl/>
          <w:lang w:bidi="ar-KW"/>
        </w:rPr>
        <w:t xml:space="preserve"> </w:t>
      </w:r>
      <w:r w:rsidRPr="005675B2">
        <w:rPr>
          <w:rtl/>
          <w:lang w:bidi="ar-KW"/>
        </w:rPr>
        <w:t>(حتى انتهى الزمان إلى عبدالله بن سعيد الكلابي وأبي العباس القلانسي والحارث بن أسد المحاسبي وهؤلاء كانوا من جملة السلف، إلا أنهم باشروا علم الكلام وأيدوا عقائد السلف بحجج كلامية وبراهين أصولية، وصنَّف بعضهم ودرَّس بعضٌ، حتى جرى بين أبي الحسن الأشعري وبين أستاذه مناظرة في مسألة من مسائل الصلاح والأصلح، فتخاصما وانحاز الأشعري إلى هذه الطائفة، فأيَّد مقالتهم بمناهج كلامية، وصار ذلك مذهباً لأهل السنة والجماعة، وانتقلت سمة الصفاتية إلى الأشعرية) اهـ</w:t>
      </w:r>
      <w:r w:rsidR="000636C2">
        <w:rPr>
          <w:rtl/>
          <w:lang w:bidi="ar-KW"/>
        </w:rPr>
        <w:t>،</w:t>
      </w:r>
      <w:r w:rsidRPr="005675B2">
        <w:rPr>
          <w:rFonts w:hint="cs"/>
          <w:rtl/>
          <w:lang w:bidi="ar-KW"/>
        </w:rPr>
        <w:t xml:space="preserve"> </w:t>
      </w:r>
      <w:r w:rsidRPr="005675B2">
        <w:rPr>
          <w:rtl/>
          <w:lang w:bidi="ar-KW"/>
        </w:rPr>
        <w:t>بل نزيد على ما مرَّ ونقول</w:t>
      </w:r>
      <w:r w:rsidR="000636C2">
        <w:rPr>
          <w:rtl/>
          <w:lang w:bidi="ar-KW"/>
        </w:rPr>
        <w:t>:</w:t>
      </w:r>
      <w:r w:rsidRPr="005675B2">
        <w:rPr>
          <w:rtl/>
          <w:lang w:bidi="ar-KW"/>
        </w:rPr>
        <w:t xml:space="preserve"> ليس الإمام الأشعري وحده الذي كان على طريق الإمام ابن كلاب، كلا، بل كان على نفس المعتقد أئمة كبار مثل الإمام البخاري رحمه الله تعالى</w:t>
      </w:r>
      <w:r w:rsidR="000636C2">
        <w:rPr>
          <w:rFonts w:hint="cs"/>
          <w:rtl/>
          <w:lang w:bidi="ar-KW"/>
        </w:rPr>
        <w:t>،</w:t>
      </w:r>
      <w:r w:rsidRPr="005675B2">
        <w:rPr>
          <w:rFonts w:hint="cs"/>
          <w:rtl/>
          <w:lang w:bidi="ar-KW"/>
        </w:rPr>
        <w:t xml:space="preserve"> </w:t>
      </w:r>
      <w:r w:rsidRPr="005675B2">
        <w:rPr>
          <w:bCs/>
          <w:rtl/>
          <w:lang w:bidi="ar-KW"/>
        </w:rPr>
        <w:t>قال الحافظ ابن حجر</w:t>
      </w:r>
      <w:r w:rsidRPr="005675B2">
        <w:rPr>
          <w:rtl/>
          <w:lang w:bidi="ar-KW"/>
        </w:rPr>
        <w:t xml:space="preserve"> رحمه الله تعالى (الفتح 1/293)</w:t>
      </w:r>
      <w:r w:rsidR="000636C2">
        <w:rPr>
          <w:rtl/>
          <w:lang w:bidi="ar-KW"/>
        </w:rPr>
        <w:t>:</w:t>
      </w:r>
      <w:r w:rsidRPr="005675B2">
        <w:rPr>
          <w:rFonts w:hint="cs"/>
          <w:rtl/>
          <w:lang w:bidi="ar-KW"/>
        </w:rPr>
        <w:t xml:space="preserve"> </w:t>
      </w:r>
      <w:r w:rsidRPr="005675B2">
        <w:rPr>
          <w:rtl/>
          <w:lang w:bidi="ar-KW"/>
        </w:rPr>
        <w:t xml:space="preserve">(البخاري في جميع ما يورده من تفسير الغريب إنما ينقله عن أهل ذلك الفن كأبي عبيدة والنضر بن شميل والفراء وغيرهم، وأما المباحث الفقهية فغالبها مستمدة له من الشافعي وأبي عبيـد وأمثالهـما، </w:t>
      </w:r>
      <w:r w:rsidRPr="005675B2">
        <w:rPr>
          <w:bCs/>
          <w:rtl/>
          <w:lang w:bidi="ar-KW"/>
        </w:rPr>
        <w:t>وأما المسائـل الكلامية فأكثرها من الكرابيـسي وابن كُـلاَّب ونحـوهما</w:t>
      </w:r>
      <w:r w:rsidRPr="005675B2">
        <w:rPr>
          <w:rtl/>
          <w:lang w:bidi="ar-KW"/>
        </w:rPr>
        <w:t>) اهـ</w:t>
      </w:r>
      <w:r w:rsidR="000636C2">
        <w:rPr>
          <w:rtl/>
          <w:lang w:bidi="ar-KW"/>
        </w:rPr>
        <w:t>،</w:t>
      </w:r>
      <w:r w:rsidRPr="005675B2">
        <w:rPr>
          <w:rFonts w:hint="cs"/>
          <w:rtl/>
          <w:lang w:bidi="ar-KW"/>
        </w:rPr>
        <w:t xml:space="preserve"> </w:t>
      </w:r>
      <w:r w:rsidRPr="005675B2">
        <w:rPr>
          <w:rtl/>
          <w:lang w:bidi="ar-KW"/>
        </w:rPr>
        <w:t>هذه نصوص واضحة بينة في أن الإمام عبدالله بن سعيد بن كلاب كان على طريق السلف والسنة</w:t>
      </w:r>
      <w:r w:rsidR="000636C2">
        <w:rPr>
          <w:rFonts w:hint="cs"/>
          <w:rtl/>
          <w:lang w:bidi="ar-KW"/>
        </w:rPr>
        <w:t>،</w:t>
      </w:r>
      <w:r w:rsidRPr="005675B2">
        <w:rPr>
          <w:rFonts w:hint="cs"/>
          <w:rtl/>
          <w:lang w:bidi="ar-KW"/>
        </w:rPr>
        <w:t xml:space="preserve"> </w:t>
      </w:r>
    </w:p>
    <w:p w14:paraId="28DB8D13" w14:textId="366C87CB" w:rsidR="009C32A0" w:rsidRPr="005675B2" w:rsidRDefault="009C32A0" w:rsidP="000636C2">
      <w:pPr>
        <w:widowControl w:val="0"/>
        <w:spacing w:before="360" w:after="240"/>
        <w:rPr>
          <w:rtl/>
          <w:lang w:bidi="ar-KW"/>
        </w:rPr>
      </w:pPr>
      <w:r w:rsidRPr="005675B2">
        <w:rPr>
          <w:bCs/>
          <w:rtl/>
          <w:lang w:bidi="ar-KW"/>
        </w:rPr>
        <w:t>القرآن كلام الله غير مخلوق، واللفظ به مخلوق</w:t>
      </w:r>
      <w:r w:rsidR="000636C2">
        <w:rPr>
          <w:bCs/>
          <w:rtl/>
          <w:lang w:bidi="ar-KW"/>
        </w:rPr>
        <w:t>:</w:t>
      </w:r>
      <w:r w:rsidR="000636C2">
        <w:rPr>
          <w:rFonts w:hint="cs"/>
          <w:bCs/>
          <w:rtl/>
          <w:lang w:bidi="ar-KW"/>
        </w:rPr>
        <w:t xml:space="preserve"> </w:t>
      </w:r>
      <w:r w:rsidRPr="005675B2">
        <w:rPr>
          <w:rtl/>
          <w:lang w:bidi="ar-KW"/>
        </w:rPr>
        <w:t>فإذا كان الأمر كذلك كما بيّن هؤلاء الأئمة، فما السبب في اتهام عبدالله بن سعيد بن كلاب بمخالفة طريق السلف؟</w:t>
      </w:r>
      <w:r w:rsidRPr="005675B2">
        <w:rPr>
          <w:rFonts w:hint="cs"/>
          <w:rtl/>
          <w:lang w:bidi="ar-KW"/>
        </w:rPr>
        <w:t xml:space="preserve"> </w:t>
      </w:r>
      <w:r w:rsidRPr="005675B2">
        <w:rPr>
          <w:bCs/>
          <w:rtl/>
          <w:lang w:bidi="ar-KW"/>
        </w:rPr>
        <w:t>يقول ابن عبدالبر</w:t>
      </w:r>
      <w:r w:rsidRPr="005675B2">
        <w:rPr>
          <w:rtl/>
          <w:lang w:bidi="ar-KW"/>
        </w:rPr>
        <w:t xml:space="preserve"> في بيان شيء من ذلك أثناء ترجمة الإمام الكرابيسي (الانتقاء</w:t>
      </w:r>
      <w:r w:rsidR="000636C2">
        <w:rPr>
          <w:rtl/>
          <w:lang w:bidi="ar-KW"/>
        </w:rPr>
        <w:t xml:space="preserve"> </w:t>
      </w:r>
      <w:r w:rsidRPr="005675B2">
        <w:rPr>
          <w:rtl/>
          <w:lang w:bidi="ar-KW"/>
        </w:rPr>
        <w:t>ص165)</w:t>
      </w:r>
      <w:r w:rsidR="000636C2">
        <w:rPr>
          <w:rFonts w:hint="cs"/>
          <w:rtl/>
          <w:lang w:bidi="ar-KW"/>
        </w:rPr>
        <w:t>:</w:t>
      </w:r>
      <w:r w:rsidRPr="005675B2">
        <w:rPr>
          <w:rFonts w:hint="cs"/>
          <w:rtl/>
          <w:lang w:bidi="ar-KW"/>
        </w:rPr>
        <w:t xml:space="preserve"> </w:t>
      </w:r>
      <w:r w:rsidRPr="005675B2">
        <w:rPr>
          <w:rtl/>
          <w:lang w:bidi="ar-KW"/>
        </w:rPr>
        <w:t>(وكانت بينه</w:t>
      </w:r>
      <w:r w:rsidR="000636C2">
        <w:rPr>
          <w:rtl/>
          <w:lang w:bidi="ar-KW"/>
        </w:rPr>
        <w:t xml:space="preserve"> </w:t>
      </w:r>
      <w:r w:rsidRPr="005675B2">
        <w:rPr>
          <w:rtl/>
          <w:lang w:bidi="ar-KW"/>
        </w:rPr>
        <w:t>- يعني الكرابيسي</w:t>
      </w:r>
      <w:r w:rsidR="000636C2">
        <w:rPr>
          <w:rtl/>
          <w:lang w:bidi="ar-KW"/>
        </w:rPr>
        <w:t xml:space="preserve"> </w:t>
      </w:r>
      <w:r w:rsidRPr="005675B2">
        <w:rPr>
          <w:rtl/>
          <w:lang w:bidi="ar-KW"/>
        </w:rPr>
        <w:t>- وبين أحمد بن حنبل صداقة وكيدة، فلمّا خالفه في القرآن عادت تلك الصداقة عداوة، فكان كلُّ واحد منهما يطعن على صاحبه، وذلك أن أحمد كان يقول</w:t>
      </w:r>
      <w:r w:rsidR="000636C2">
        <w:rPr>
          <w:rtl/>
          <w:lang w:bidi="ar-KW"/>
        </w:rPr>
        <w:t>:</w:t>
      </w:r>
      <w:r w:rsidRPr="005675B2">
        <w:rPr>
          <w:rtl/>
          <w:lang w:bidi="ar-KW"/>
        </w:rPr>
        <w:t xml:space="preserve"> من قال القرآن مخلوق فهو جهمي، ومن قال القرآن كلام الله ولا يقول غير مخلوق ولا مخلوق فهو واقفي، ومن قال لفظي بالقرآن مخلوق فهو مبتدع. وكان الكرابيسي وعبدالله بن كلاّب وأبو ثور وداود بن علي وطبقاتهم يقولون</w:t>
      </w:r>
      <w:r w:rsidR="000636C2">
        <w:rPr>
          <w:rtl/>
          <w:lang w:bidi="ar-KW"/>
        </w:rPr>
        <w:t>:</w:t>
      </w:r>
      <w:r w:rsidRPr="005675B2">
        <w:rPr>
          <w:rtl/>
          <w:lang w:bidi="ar-KW"/>
        </w:rPr>
        <w:t xml:space="preserve"> إن القرآن الذي تكلم الله به صفة من صفاته لا يجوز عليه الخلق، وإن تلاوة التالي وكلامه بالقرآن كسب له وفعل له وذلك مخلوق وإنه حكاية عن كلام الله</w:t>
      </w:r>
      <w:r w:rsidRPr="005675B2">
        <w:rPr>
          <w:rFonts w:hint="cs"/>
          <w:rtl/>
          <w:lang w:bidi="ar-KW"/>
        </w:rPr>
        <w:t xml:space="preserve"> </w:t>
      </w:r>
      <w:r w:rsidRPr="005675B2">
        <w:rPr>
          <w:rtl/>
          <w:lang w:bidi="ar-KW"/>
        </w:rPr>
        <w:t>... وهجرت الحنبلية أصحاب أحمد بن حنبل حسيناً الكرابيسي وبدّعوه وطعنوا عليه وعلى كل من قال بقوله في ذلك) اهـ</w:t>
      </w:r>
      <w:r w:rsidR="000636C2">
        <w:rPr>
          <w:rtl/>
          <w:lang w:bidi="ar-KW"/>
        </w:rPr>
        <w:t>،</w:t>
      </w:r>
      <w:r w:rsidRPr="005675B2">
        <w:rPr>
          <w:rFonts w:hint="cs"/>
          <w:rtl/>
          <w:lang w:bidi="ar-KW"/>
        </w:rPr>
        <w:t xml:space="preserve"> </w:t>
      </w:r>
      <w:r w:rsidRPr="005675B2">
        <w:rPr>
          <w:rtl/>
          <w:lang w:bidi="ar-KW"/>
        </w:rPr>
        <w:t>هذا هو سبب الطعن والتشنيع على عبدالله بن كلاّب ووصْـفِه بأنه لم يكن على طريق السنة والسلف، إلا أن هذا القول الذي بُـدّع بسببه لا يقتضي وصفه بالبدعة أو أنه على غير طريق السلف، لا سيما أن مسألة اللفظ بالقرآن كان يقول بها ثلة من أكابر أمة الإسلام مثل الذين ذكرهم ابن عبدالبر، وممن كان يقول بذلك أيضاً الإمام البخاري والإمام مسلم والحارث المحاسبي ومحمد بن نصر المـروزي وغيرهم، وما الفتنة التي حدثت بين البخاري وشيخه الذهلي إلا بسبب هذه المسألة، نعني مسألة اللفظ، ولقد صنّف الإمام البخاري في هذه المسألـة كتابـه " خلق أفعال العباد " لإثبات رأيه فيها والردّ على مخالفيه</w:t>
      </w:r>
      <w:r w:rsidR="000636C2">
        <w:rPr>
          <w:rtl/>
          <w:lang w:bidi="ar-KW"/>
        </w:rPr>
        <w:t>،</w:t>
      </w:r>
      <w:r w:rsidRPr="005675B2">
        <w:rPr>
          <w:rtl/>
          <w:lang w:bidi="ar-KW"/>
        </w:rPr>
        <w:t xml:space="preserve"> </w:t>
      </w:r>
      <w:r w:rsidRPr="005675B2">
        <w:rPr>
          <w:bCs/>
          <w:rtl/>
          <w:lang w:bidi="ar-KW"/>
        </w:rPr>
        <w:t>أما الإمام مسلم</w:t>
      </w:r>
      <w:r w:rsidRPr="005675B2">
        <w:rPr>
          <w:rtl/>
          <w:lang w:bidi="ar-KW"/>
        </w:rPr>
        <w:t xml:space="preserve"> فقد كان يظهر القول باللفظ ولا يكتمه</w:t>
      </w:r>
      <w:r w:rsidR="000636C2">
        <w:rPr>
          <w:rtl/>
          <w:lang w:bidi="ar-KW"/>
        </w:rPr>
        <w:t>،</w:t>
      </w:r>
      <w:r w:rsidRPr="005675B2">
        <w:rPr>
          <w:rtl/>
          <w:lang w:bidi="ar-KW"/>
        </w:rPr>
        <w:t xml:space="preserve"> (انظر سير أعلام النبلاء 12 /453 وما بعدها، 12/572)</w:t>
      </w:r>
      <w:r w:rsidR="000636C2">
        <w:rPr>
          <w:rtl/>
          <w:lang w:bidi="ar-KW"/>
        </w:rPr>
        <w:t>،</w:t>
      </w:r>
      <w:r w:rsidRPr="005675B2">
        <w:rPr>
          <w:rtl/>
          <w:lang w:bidi="ar-KW"/>
        </w:rPr>
        <w:t xml:space="preserve"> </w:t>
      </w:r>
      <w:r w:rsidRPr="005675B2">
        <w:rPr>
          <w:bCs/>
          <w:rtl/>
          <w:lang w:bidi="ar-KW"/>
        </w:rPr>
        <w:t>قال الحافظ ابن كثير</w:t>
      </w:r>
      <w:r w:rsidRPr="005675B2">
        <w:rPr>
          <w:rtl/>
          <w:lang w:bidi="ar-KW"/>
        </w:rPr>
        <w:t xml:space="preserve"> رحمه الله تعالى في ترجمة الكرابيسي (طبقات الفقهاء الشافعيين 1/133)</w:t>
      </w:r>
      <w:r w:rsidR="000636C2">
        <w:rPr>
          <w:rtl/>
          <w:lang w:bidi="ar-KW"/>
        </w:rPr>
        <w:t>:</w:t>
      </w:r>
      <w:r w:rsidRPr="005675B2">
        <w:rPr>
          <w:rFonts w:hint="cs"/>
          <w:rtl/>
          <w:lang w:bidi="ar-KW"/>
        </w:rPr>
        <w:t xml:space="preserve"> </w:t>
      </w:r>
      <w:r w:rsidR="000636C2">
        <w:rPr>
          <w:spacing w:val="4"/>
          <w:rtl/>
          <w:lang w:bidi="ar-KW"/>
        </w:rPr>
        <w:t>(</w:t>
      </w:r>
      <w:r w:rsidRPr="005675B2">
        <w:rPr>
          <w:spacing w:val="4"/>
          <w:rtl/>
          <w:lang w:bidi="ar-KW"/>
        </w:rPr>
        <w:t>وأن أحمد بن حنبل كان تكلم فيه بسبب مسألة اللفظ، وكان هو أيضاً يتكلم في أحمد، فتجنَّب الناس الأخذ عنه لهذا السبب</w:t>
      </w:r>
      <w:r w:rsidR="000636C2">
        <w:rPr>
          <w:spacing w:val="4"/>
          <w:rtl/>
          <w:lang w:bidi="ar-KW"/>
        </w:rPr>
        <w:t>،</w:t>
      </w:r>
      <w:r w:rsidRPr="005675B2">
        <w:rPr>
          <w:spacing w:val="4"/>
          <w:rtl/>
          <w:lang w:bidi="ar-KW"/>
        </w:rPr>
        <w:t xml:space="preserve"> قلت</w:t>
      </w:r>
      <w:r w:rsidR="000636C2">
        <w:rPr>
          <w:spacing w:val="4"/>
          <w:rtl/>
          <w:lang w:bidi="ar-KW"/>
        </w:rPr>
        <w:t>:</w:t>
      </w:r>
      <w:r w:rsidRPr="005675B2">
        <w:rPr>
          <w:spacing w:val="4"/>
          <w:rtl/>
          <w:lang w:bidi="ar-KW"/>
        </w:rPr>
        <w:t xml:space="preserve"> الذي رأيت عنه أنه قال كلام الله غير مخلوق من كل الجهات إلا أن لفظي بالقرآن مخلوق، ومن لم يقلْ </w:t>
      </w:r>
      <w:r w:rsidR="000636C2">
        <w:rPr>
          <w:spacing w:val="4"/>
          <w:rtl/>
          <w:lang w:bidi="ar-KW"/>
        </w:rPr>
        <w:t>[</w:t>
      </w:r>
      <w:r w:rsidRPr="005675B2">
        <w:rPr>
          <w:spacing w:val="4"/>
          <w:rtl/>
          <w:lang w:bidi="ar-KW"/>
        </w:rPr>
        <w:t>أي يعتقد</w:t>
      </w:r>
      <w:r w:rsidR="000636C2">
        <w:rPr>
          <w:spacing w:val="4"/>
          <w:rtl/>
          <w:lang w:bidi="ar-KW"/>
        </w:rPr>
        <w:t>]:</w:t>
      </w:r>
      <w:r w:rsidRPr="005675B2">
        <w:rPr>
          <w:spacing w:val="4"/>
          <w:rtl/>
          <w:lang w:bidi="ar-KW"/>
        </w:rPr>
        <w:t xml:space="preserve"> إن لفظي بالقرآن مخلوق فهو كافر</w:t>
      </w:r>
      <w:r w:rsidR="000636C2">
        <w:rPr>
          <w:spacing w:val="4"/>
          <w:rtl/>
          <w:lang w:bidi="ar-KW"/>
        </w:rPr>
        <w:t>،</w:t>
      </w:r>
      <w:r w:rsidRPr="005675B2">
        <w:rPr>
          <w:spacing w:val="4"/>
          <w:rtl/>
          <w:lang w:bidi="ar-KW"/>
        </w:rPr>
        <w:t xml:space="preserve"> وهذا هو المنقول عن البخاري وداود بن على الظاهري، وكان الإمام أحمد يسدُّ في هذا البابَ لأجل حسم مادة القول بخلق القرآن) اهـ</w:t>
      </w:r>
      <w:r w:rsidR="000636C2">
        <w:rPr>
          <w:spacing w:val="4"/>
          <w:rtl/>
          <w:lang w:bidi="ar-KW"/>
        </w:rPr>
        <w:t>،</w:t>
      </w:r>
      <w:r w:rsidRPr="005675B2">
        <w:rPr>
          <w:spacing w:val="4"/>
          <w:rtl/>
          <w:lang w:bidi="ar-KW"/>
        </w:rPr>
        <w:t xml:space="preserve"> </w:t>
      </w:r>
      <w:r w:rsidRPr="005675B2">
        <w:rPr>
          <w:rtl/>
          <w:lang w:bidi="ar-KW"/>
        </w:rPr>
        <w:t>وممن كان يقول باللفظ أيضاً الإمام محمد بن جرير الطبري رحمه الله تعالى، وهي من المسائل التي نقم عليه بسببها بعض متعصبة الحنابلة</w:t>
      </w:r>
      <w:r w:rsidR="000636C2">
        <w:rPr>
          <w:rFonts w:hint="cs"/>
          <w:rtl/>
          <w:lang w:bidi="ar-KW"/>
        </w:rPr>
        <w:t>،</w:t>
      </w:r>
      <w:r w:rsidRPr="005675B2">
        <w:rPr>
          <w:rtl/>
          <w:lang w:bidi="ar-KW"/>
        </w:rPr>
        <w:t xml:space="preserve"> قال الحافظ ابن كثير رحمـه الله تعالى (المصدر السابق 1/226)</w:t>
      </w:r>
      <w:r w:rsidR="000636C2">
        <w:rPr>
          <w:rtl/>
          <w:lang w:bidi="ar-KW"/>
        </w:rPr>
        <w:t>:</w:t>
      </w:r>
      <w:r w:rsidRPr="005675B2">
        <w:rPr>
          <w:rFonts w:hint="cs"/>
          <w:rtl/>
          <w:lang w:bidi="ar-KW"/>
        </w:rPr>
        <w:t xml:space="preserve"> </w:t>
      </w:r>
      <w:r w:rsidR="000636C2">
        <w:rPr>
          <w:rtl/>
          <w:lang w:bidi="ar-KW"/>
        </w:rPr>
        <w:t>(</w:t>
      </w:r>
      <w:r w:rsidRPr="005675B2">
        <w:rPr>
          <w:rtl/>
          <w:lang w:bidi="ar-KW"/>
        </w:rPr>
        <w:t>كان قد وقع بينه - الطبري - وبين الحنابلة أظنه بسبب مسألة اللفظ، واتهم بالتشيع، وطلبوا عقد مناظرة بينهم وبينه، فجاء ابن جرير لذلك ولم يجئ منهم أحد</w:t>
      </w:r>
      <w:r w:rsidR="000636C2">
        <w:rPr>
          <w:rFonts w:hint="cs"/>
          <w:rtl/>
          <w:lang w:bidi="ar-KW"/>
        </w:rPr>
        <w:t>،</w:t>
      </w:r>
      <w:r w:rsidRPr="005675B2">
        <w:rPr>
          <w:rtl/>
          <w:lang w:bidi="ar-KW"/>
        </w:rPr>
        <w:t xml:space="preserve"> وقد بالغ الحنابلة في هذه المسألة وتعصبوا لها كثيراً</w:t>
      </w:r>
      <w:r w:rsidR="000636C2">
        <w:rPr>
          <w:rFonts w:hint="cs"/>
          <w:rtl/>
          <w:lang w:bidi="ar-KW"/>
        </w:rPr>
        <w:t>،</w:t>
      </w:r>
      <w:r w:rsidRPr="005675B2">
        <w:rPr>
          <w:rtl/>
          <w:lang w:bidi="ar-KW"/>
        </w:rPr>
        <w:t xml:space="preserve"> واعتقدوا أن القول بها يفضي إلى القول بخلق القرآن، وليس كما زعموا، فإن الحق لا يحتاط له بالباطل، والله أعلم) اهـ</w:t>
      </w:r>
      <w:r w:rsidR="000636C2">
        <w:rPr>
          <w:rtl/>
          <w:lang w:bidi="ar-KW"/>
        </w:rPr>
        <w:t>،</w:t>
      </w:r>
      <w:r w:rsidRPr="005675B2">
        <w:rPr>
          <w:rtl/>
          <w:lang w:bidi="ar-KW"/>
        </w:rPr>
        <w:t xml:space="preserve"> (وانظر في محنة ابن جرير مع الحنابلة البداية والنهاية 11/145، الكامل لابن الأثير 7/8، السير 14/272</w:t>
      </w:r>
      <w:r w:rsidR="000636C2">
        <w:rPr>
          <w:rtl/>
          <w:lang w:bidi="ar-KW"/>
        </w:rPr>
        <w:t xml:space="preserve"> </w:t>
      </w:r>
      <w:r w:rsidRPr="005675B2">
        <w:rPr>
          <w:rtl/>
          <w:lang w:bidi="ar-KW"/>
        </w:rPr>
        <w:t>- 277، الوافي بالوفيات 2/284)</w:t>
      </w:r>
      <w:r w:rsidR="000636C2">
        <w:rPr>
          <w:rtl/>
          <w:lang w:bidi="ar-KW"/>
        </w:rPr>
        <w:t>،</w:t>
      </w:r>
      <w:r w:rsidRPr="005675B2">
        <w:rPr>
          <w:rtl/>
          <w:lang w:bidi="ar-KW"/>
        </w:rPr>
        <w:t xml:space="preserve"> نعم، فإن القرآن كلام الله تعالى غير مخلوق وهو صفة من صفات ذاته العلية، إلا أنه لا يصحُّ أن يحتاط لهذا الحق بالباطل الذي هو إنكار حدوث وخلق ما قام بالمخلوق، ثم التشنيع على من يقول بذلك!</w:t>
      </w:r>
      <w:r w:rsidR="000636C2">
        <w:rPr>
          <w:rFonts w:hint="cs"/>
          <w:rtl/>
          <w:lang w:bidi="ar-KW"/>
        </w:rPr>
        <w:t xml:space="preserve"> </w:t>
      </w:r>
      <w:r w:rsidRPr="005675B2">
        <w:rPr>
          <w:rtl/>
          <w:lang w:bidi="ar-KW"/>
        </w:rPr>
        <w:t>على أية حال الحق في هذه القضية مع الكرابيسي وابن كلاّب والبخاري ومسلم وأبي ثور وداود والمحاسبي والطبري وغيرهم ممن كان على طريقهم، أما الإمام أحمد رضي الله عنه - ومن قال بقوله - فكلامه محمول على سدّ باب الذريعة لكي لا يتوسل بالقول باللفظ إلى القول بخلق القـرآن</w:t>
      </w:r>
      <w:r w:rsidR="000636C2">
        <w:rPr>
          <w:rtl/>
          <w:lang w:bidi="ar-KW"/>
        </w:rPr>
        <w:t>،</w:t>
      </w:r>
      <w:r w:rsidRPr="005675B2">
        <w:rPr>
          <w:rtl/>
          <w:lang w:bidi="ar-KW"/>
        </w:rPr>
        <w:t xml:space="preserve"> </w:t>
      </w:r>
      <w:r w:rsidRPr="005675B2">
        <w:rPr>
          <w:bCs/>
          <w:rtl/>
          <w:lang w:bidi="ar-KW"/>
        </w:rPr>
        <w:t>قال الإمام الذهبي</w:t>
      </w:r>
      <w:r w:rsidRPr="005675B2">
        <w:rPr>
          <w:rtl/>
          <w:lang w:bidi="ar-KW"/>
        </w:rPr>
        <w:t xml:space="preserve"> (السير 12/82، وانظر أيضاً السير 11/510)</w:t>
      </w:r>
      <w:r w:rsidR="000636C2">
        <w:rPr>
          <w:rtl/>
          <w:lang w:bidi="ar-KW"/>
        </w:rPr>
        <w:t>:</w:t>
      </w:r>
      <w:r w:rsidR="000636C2">
        <w:rPr>
          <w:rFonts w:hint="cs"/>
          <w:rtl/>
          <w:lang w:bidi="ar-KW"/>
        </w:rPr>
        <w:t xml:space="preserve"> </w:t>
      </w:r>
      <w:r w:rsidRPr="005675B2">
        <w:rPr>
          <w:rtl/>
          <w:lang w:bidi="ar-KW"/>
        </w:rPr>
        <w:t xml:space="preserve">(ولا ريب أن ما ابتدعه الكرابيسي وحرره في مسألة اللفظ وأنه مخلوق </w:t>
      </w:r>
      <w:r w:rsidRPr="005675B2">
        <w:rPr>
          <w:bCs/>
          <w:rtl/>
          <w:lang w:bidi="ar-KW"/>
        </w:rPr>
        <w:t>هو حق</w:t>
      </w:r>
      <w:r w:rsidRPr="005675B2">
        <w:rPr>
          <w:rtl/>
          <w:lang w:bidi="ar-KW"/>
        </w:rPr>
        <w:t>، لكن أباه الإمام أحمد لئلا يُتذرع به إلى القول بخلق القرآن فسدّ الباب) اهـ</w:t>
      </w:r>
      <w:r w:rsidR="000636C2">
        <w:rPr>
          <w:rtl/>
          <w:lang w:bidi="ar-KW"/>
        </w:rPr>
        <w:t xml:space="preserve">، </w:t>
      </w:r>
      <w:r w:rsidRPr="005675B2">
        <w:rPr>
          <w:rtl/>
          <w:lang w:bidi="ar-KW"/>
        </w:rPr>
        <w:t>وقال أيضاً (ميزان الاعتدال 1/544)</w:t>
      </w:r>
      <w:r w:rsidR="000636C2">
        <w:rPr>
          <w:rtl/>
          <w:lang w:bidi="ar-KW"/>
        </w:rPr>
        <w:t>:</w:t>
      </w:r>
      <w:r w:rsidRPr="005675B2">
        <w:rPr>
          <w:rtl/>
          <w:lang w:bidi="ar-KW"/>
        </w:rPr>
        <w:t xml:space="preserve"> (وكان يقول</w:t>
      </w:r>
      <w:r w:rsidR="000636C2">
        <w:rPr>
          <w:rtl/>
          <w:lang w:bidi="ar-KW"/>
        </w:rPr>
        <w:t xml:space="preserve"> </w:t>
      </w:r>
      <w:r w:rsidRPr="005675B2">
        <w:rPr>
          <w:rtl/>
          <w:lang w:bidi="ar-KW"/>
        </w:rPr>
        <w:t>- يعني الكرابيسي</w:t>
      </w:r>
      <w:r w:rsidR="000636C2">
        <w:rPr>
          <w:rtl/>
          <w:lang w:bidi="ar-KW"/>
        </w:rPr>
        <w:t xml:space="preserve"> </w:t>
      </w:r>
      <w:r w:rsidRPr="005675B2">
        <w:rPr>
          <w:rtl/>
          <w:lang w:bidi="ar-KW"/>
        </w:rPr>
        <w:t>- القرآن كلام الله غير مخلوق، ولفظي به مخلوق، فإن عنى التلفظ فهذا جيد، فإن أفعالنا مخلوقة، وإن قصد الملفوظ بأنه مخلوق فهذا الذي أنكره أحمد والسلف وعدّوه تجهماً) اهـ</w:t>
      </w:r>
      <w:r w:rsidR="000636C2">
        <w:rPr>
          <w:rtl/>
          <w:lang w:bidi="ar-KW"/>
        </w:rPr>
        <w:t xml:space="preserve">، </w:t>
      </w:r>
      <w:r w:rsidRPr="005675B2">
        <w:rPr>
          <w:rtl/>
          <w:lang w:bidi="ar-KW"/>
        </w:rPr>
        <w:t>ولا ريب أن مراد الكرابيسي وابن كلاّب والبخاري ومسلم وأبي ثور وداود ومن كان على قولهم لاريب أن مرادهم هو الأول، وعلى الجملة فإن القضية أهون من أن يُبـدَّع من أجلها</w:t>
      </w:r>
      <w:r w:rsidR="000636C2">
        <w:rPr>
          <w:rtl/>
          <w:lang w:bidi="ar-KW"/>
        </w:rPr>
        <w:t>،</w:t>
      </w:r>
      <w:r w:rsidRPr="005675B2">
        <w:rPr>
          <w:rtl/>
          <w:lang w:bidi="ar-KW"/>
        </w:rPr>
        <w:t xml:space="preserve"> وقال أيضا (السير 11/510) بعد أن نقل قول الحافظ أبي بكر الأعين</w:t>
      </w:r>
      <w:r w:rsidR="000636C2">
        <w:rPr>
          <w:rtl/>
          <w:lang w:bidi="ar-KW"/>
        </w:rPr>
        <w:t>:</w:t>
      </w:r>
      <w:r w:rsidRPr="005675B2">
        <w:rPr>
          <w:rtl/>
          <w:lang w:bidi="ar-KW"/>
        </w:rPr>
        <w:t xml:space="preserve"> مشايخ خراسان ثلاثة</w:t>
      </w:r>
      <w:r w:rsidR="000636C2">
        <w:rPr>
          <w:rtl/>
          <w:lang w:bidi="ar-KW"/>
        </w:rPr>
        <w:t xml:space="preserve">: </w:t>
      </w:r>
      <w:r w:rsidRPr="005675B2">
        <w:rPr>
          <w:rtl/>
          <w:lang w:bidi="ar-KW"/>
        </w:rPr>
        <w:t>قتيبة، وعلي بن حجر، ومحمد بن مهران الرازي، ورجالها أربعة</w:t>
      </w:r>
      <w:r w:rsidR="000636C2">
        <w:rPr>
          <w:rtl/>
          <w:lang w:bidi="ar-KW"/>
        </w:rPr>
        <w:t>:</w:t>
      </w:r>
      <w:r w:rsidRPr="005675B2">
        <w:rPr>
          <w:rtl/>
          <w:lang w:bidi="ar-KW"/>
        </w:rPr>
        <w:t xml:space="preserve"> عبدالله بن عبدالرحمن السمرقندي </w:t>
      </w:r>
      <w:r w:rsidRPr="005675B2">
        <w:rPr>
          <w:bCs/>
          <w:rtl/>
          <w:lang w:bidi="ar-KW"/>
        </w:rPr>
        <w:t xml:space="preserve">ومحمد بن إسماعيل البخاري قبل أن يظهر منه ما ظهر .. </w:t>
      </w:r>
      <w:r w:rsidRPr="005675B2">
        <w:rPr>
          <w:rtl/>
          <w:lang w:bidi="ar-KW"/>
        </w:rPr>
        <w:t>الخ</w:t>
      </w:r>
      <w:r w:rsidR="000636C2">
        <w:rPr>
          <w:rFonts w:hint="cs"/>
          <w:rtl/>
          <w:lang w:bidi="ar-KW"/>
        </w:rPr>
        <w:t xml:space="preserve">، </w:t>
      </w:r>
      <w:r w:rsidRPr="005675B2">
        <w:rPr>
          <w:rtl/>
          <w:lang w:bidi="ar-KW"/>
        </w:rPr>
        <w:t>قال الذهبي معلّقاً عليه</w:t>
      </w:r>
      <w:r w:rsidR="000636C2">
        <w:rPr>
          <w:rtl/>
          <w:lang w:bidi="ar-KW"/>
        </w:rPr>
        <w:t>:</w:t>
      </w:r>
      <w:r w:rsidRPr="005675B2">
        <w:rPr>
          <w:rtl/>
          <w:lang w:bidi="ar-KW"/>
        </w:rPr>
        <w:t xml:space="preserve"> (والذي ظهر من محمد - يعني البخاري - أمرٌ خفيف من المسائل التي اختلف فيها الأئمة في القول في القرآن وتسمّى مسألة أفعال التالين، فجمهور الأئمة والسلف والخلف على أن القرآن كلام الله المنزل غير مخلوق وبهذا ندين الله) اهـ</w:t>
      </w:r>
      <w:r w:rsidR="000636C2">
        <w:rPr>
          <w:rtl/>
          <w:lang w:bidi="ar-KW"/>
        </w:rPr>
        <w:t xml:space="preserve">، </w:t>
      </w:r>
      <w:r w:rsidRPr="005675B2">
        <w:rPr>
          <w:rtl/>
          <w:lang w:bidi="ar-KW"/>
        </w:rPr>
        <w:t>ولا يلزم من هجر الإمام أحمد لهؤلاء الأئمة أن يكونوا على غير طريق السلف، لا سيما أن الحق معهم فيما ذهبوا إليه كما قرَّرَه الإمام الذهبي</w:t>
      </w:r>
      <w:r w:rsidR="000636C2">
        <w:rPr>
          <w:rtl/>
          <w:lang w:bidi="ar-KW"/>
        </w:rPr>
        <w:t>،</w:t>
      </w:r>
      <w:r w:rsidRPr="005675B2">
        <w:rPr>
          <w:rtl/>
          <w:lang w:bidi="ar-KW"/>
        </w:rPr>
        <w:t xml:space="preserve"> وقال أيضا </w:t>
      </w:r>
      <w:r w:rsidR="000636C2">
        <w:rPr>
          <w:rtl/>
          <w:lang w:bidi="ar-KW"/>
        </w:rPr>
        <w:t>(</w:t>
      </w:r>
      <w:r w:rsidRPr="005675B2">
        <w:rPr>
          <w:rtl/>
          <w:lang w:bidi="ar-KW"/>
        </w:rPr>
        <w:t>سير أعلام النبلاء 11/290</w:t>
      </w:r>
      <w:r w:rsidR="000636C2">
        <w:rPr>
          <w:rtl/>
          <w:lang w:bidi="ar-KW"/>
        </w:rPr>
        <w:t>)</w:t>
      </w:r>
      <w:r w:rsidR="000636C2">
        <w:rPr>
          <w:rFonts w:hint="cs"/>
          <w:rtl/>
          <w:lang w:bidi="ar-KW"/>
        </w:rPr>
        <w:t>:</w:t>
      </w:r>
      <w:r w:rsidRPr="005675B2">
        <w:rPr>
          <w:rFonts w:hint="cs"/>
          <w:rtl/>
          <w:lang w:bidi="ar-KW"/>
        </w:rPr>
        <w:t xml:space="preserve"> </w:t>
      </w:r>
      <w:r w:rsidR="000636C2">
        <w:rPr>
          <w:rtl/>
          <w:lang w:bidi="ar-KW"/>
        </w:rPr>
        <w:t>(</w:t>
      </w:r>
      <w:r w:rsidRPr="005675B2">
        <w:rPr>
          <w:rtl/>
          <w:lang w:bidi="ar-KW"/>
        </w:rPr>
        <w:t xml:space="preserve">فقد كان هذا الإمام </w:t>
      </w:r>
      <w:r w:rsidR="000636C2">
        <w:rPr>
          <w:rtl/>
          <w:lang w:bidi="ar-KW"/>
        </w:rPr>
        <w:t>[</w:t>
      </w:r>
      <w:r w:rsidRPr="005675B2">
        <w:rPr>
          <w:rtl/>
          <w:lang w:bidi="ar-KW"/>
        </w:rPr>
        <w:t>يعني أحمد</w:t>
      </w:r>
      <w:r w:rsidR="000636C2">
        <w:rPr>
          <w:rtl/>
          <w:lang w:bidi="ar-KW"/>
        </w:rPr>
        <w:t>]</w:t>
      </w:r>
      <w:r w:rsidRPr="005675B2">
        <w:rPr>
          <w:rtl/>
          <w:lang w:bidi="ar-KW"/>
        </w:rPr>
        <w:t xml:space="preserve"> لا يرى الخوض في هذا البحث خوفا من أن يُتذرّع به إلى القول بخلق القرآن، والكف عن هذا أولى</w:t>
      </w:r>
      <w:r w:rsidR="000636C2">
        <w:rPr>
          <w:rtl/>
          <w:lang w:bidi="ar-KW"/>
        </w:rPr>
        <w:t>،</w:t>
      </w:r>
      <w:r w:rsidRPr="005675B2">
        <w:rPr>
          <w:rtl/>
          <w:lang w:bidi="ar-KW"/>
        </w:rPr>
        <w:t xml:space="preserve"> آمنا بالله تعالى وبملائكته وبكتبه ورسله وأقداره والبعث والعرض على الله يوم الدين</w:t>
      </w:r>
      <w:r w:rsidR="000636C2">
        <w:rPr>
          <w:rtl/>
          <w:lang w:bidi="ar-KW"/>
        </w:rPr>
        <w:t>،</w:t>
      </w:r>
      <w:r w:rsidRPr="005675B2">
        <w:rPr>
          <w:rtl/>
          <w:lang w:bidi="ar-KW"/>
        </w:rPr>
        <w:t xml:space="preserve"> ولو بسط هذا السطر وحُرِّرَ وقُرِّرَ بأدلته لجاء في خمس مجلدات، بل ذلك موجود مشروح لمن رامه</w:t>
      </w:r>
      <w:r w:rsidR="000636C2">
        <w:rPr>
          <w:rtl/>
          <w:lang w:bidi="ar-KW"/>
        </w:rPr>
        <w:t>،</w:t>
      </w:r>
      <w:r w:rsidRPr="005675B2">
        <w:rPr>
          <w:rtl/>
          <w:lang w:bidi="ar-KW"/>
        </w:rPr>
        <w:t xml:space="preserve"> والقرآن فيه شفاء ورحمة للمؤمنين</w:t>
      </w:r>
      <w:r w:rsidR="000636C2">
        <w:rPr>
          <w:rtl/>
          <w:lang w:bidi="ar-KW"/>
        </w:rPr>
        <w:t>،</w:t>
      </w:r>
      <w:r w:rsidRPr="005675B2">
        <w:rPr>
          <w:rtl/>
          <w:lang w:bidi="ar-KW"/>
        </w:rPr>
        <w:t xml:space="preserve"> ومعلوم أن التلفظ شيء من كسب القارئ غير الملفوظ، والقراءة غير الشيء المقروء، والتلاوة وحسنها وتجويدها غير المتلو، وصوت القارئ من كسبه فهو يُحدث </w:t>
      </w:r>
      <w:r w:rsidR="000636C2">
        <w:rPr>
          <w:rtl/>
          <w:lang w:bidi="ar-KW"/>
        </w:rPr>
        <w:t>[</w:t>
      </w:r>
      <w:r w:rsidRPr="005675B2">
        <w:rPr>
          <w:rtl/>
          <w:lang w:bidi="ar-KW"/>
        </w:rPr>
        <w:t>يعني يفعل، وليس الإحداث المرادف للخلق كما تقول المعتزلة</w:t>
      </w:r>
      <w:r w:rsidR="000636C2">
        <w:rPr>
          <w:rtl/>
          <w:lang w:bidi="ar-KW"/>
        </w:rPr>
        <w:t>]</w:t>
      </w:r>
      <w:r w:rsidRPr="005675B2">
        <w:rPr>
          <w:rtl/>
          <w:lang w:bidi="ar-KW"/>
        </w:rPr>
        <w:t xml:space="preserve"> التلفظ والصوت والحركة والنطق، وإخراج الكلمات من أدواته المخلوقة، ولم يحدث كلمات القرآن ولا ترتيبه ولا تأليفه ولا معانيه</w:t>
      </w:r>
      <w:r w:rsidR="000636C2">
        <w:rPr>
          <w:rtl/>
          <w:lang w:bidi="ar-KW"/>
        </w:rPr>
        <w:t>)،</w:t>
      </w:r>
      <w:r w:rsidRPr="005675B2">
        <w:rPr>
          <w:rtl/>
          <w:lang w:bidi="ar-KW"/>
        </w:rPr>
        <w:t xml:space="preserve"> ثم روى عن الحاكم بسنده إلى فوران صاحب أحمد أنه قال</w:t>
      </w:r>
      <w:r w:rsidR="000636C2">
        <w:rPr>
          <w:rtl/>
          <w:lang w:bidi="ar-KW"/>
        </w:rPr>
        <w:t>:</w:t>
      </w:r>
      <w:r w:rsidRPr="005675B2">
        <w:rPr>
          <w:rFonts w:hint="cs"/>
          <w:rtl/>
          <w:lang w:bidi="ar-KW"/>
        </w:rPr>
        <w:t xml:space="preserve"> </w:t>
      </w:r>
      <w:r w:rsidRPr="005675B2">
        <w:rPr>
          <w:rtl/>
          <w:lang w:bidi="ar-KW"/>
        </w:rPr>
        <w:t xml:space="preserve">سألني الأثرم وأبو عبدالله المعيطي أن أطلب من أبي عبدالله </w:t>
      </w:r>
      <w:r w:rsidR="000636C2">
        <w:rPr>
          <w:rtl/>
          <w:lang w:bidi="ar-KW"/>
        </w:rPr>
        <w:t>[</w:t>
      </w:r>
      <w:r w:rsidRPr="005675B2">
        <w:rPr>
          <w:rtl/>
          <w:lang w:bidi="ar-KW"/>
        </w:rPr>
        <w:t>يعني أحمد</w:t>
      </w:r>
      <w:r w:rsidR="000636C2">
        <w:rPr>
          <w:rtl/>
          <w:lang w:bidi="ar-KW"/>
        </w:rPr>
        <w:t>]</w:t>
      </w:r>
      <w:r w:rsidRPr="005675B2">
        <w:rPr>
          <w:rtl/>
          <w:lang w:bidi="ar-KW"/>
        </w:rPr>
        <w:t xml:space="preserve"> خلوة</w:t>
      </w:r>
      <w:r w:rsidR="000636C2">
        <w:rPr>
          <w:rFonts w:hint="cs"/>
          <w:rtl/>
          <w:lang w:bidi="ar-KW"/>
        </w:rPr>
        <w:t>،</w:t>
      </w:r>
      <w:r w:rsidRPr="005675B2">
        <w:rPr>
          <w:rtl/>
          <w:lang w:bidi="ar-KW"/>
        </w:rPr>
        <w:t xml:space="preserve"> فأسأله فيها عن أصحابنا الذين يفرقون بين اللفظ والمحكي</w:t>
      </w:r>
      <w:r w:rsidR="000636C2">
        <w:rPr>
          <w:rtl/>
          <w:lang w:bidi="ar-KW"/>
        </w:rPr>
        <w:t>،</w:t>
      </w:r>
      <w:r w:rsidRPr="005675B2">
        <w:rPr>
          <w:rtl/>
          <w:lang w:bidi="ar-KW"/>
        </w:rPr>
        <w:t xml:space="preserve"> فسألته</w:t>
      </w:r>
      <w:r w:rsidR="000636C2">
        <w:rPr>
          <w:rtl/>
          <w:lang w:bidi="ar-KW"/>
        </w:rPr>
        <w:t>،</w:t>
      </w:r>
      <w:r w:rsidRPr="005675B2">
        <w:rPr>
          <w:rtl/>
          <w:lang w:bidi="ar-KW"/>
        </w:rPr>
        <w:t xml:space="preserve"> فقال</w:t>
      </w:r>
      <w:r w:rsidR="000636C2">
        <w:rPr>
          <w:rtl/>
          <w:lang w:bidi="ar-KW"/>
        </w:rPr>
        <w:t>:</w:t>
      </w:r>
      <w:r w:rsidRPr="005675B2">
        <w:rPr>
          <w:rtl/>
          <w:lang w:bidi="ar-KW"/>
        </w:rPr>
        <w:t xml:space="preserve"> القرآن كيف تُصُرِّفَ في أقواله وأفعاله فغير مخلوق، فأما أفعالنا فمخلوقة</w:t>
      </w:r>
      <w:r w:rsidR="000636C2">
        <w:rPr>
          <w:rtl/>
          <w:lang w:bidi="ar-KW"/>
        </w:rPr>
        <w:t>،</w:t>
      </w:r>
      <w:r w:rsidRPr="005675B2">
        <w:rPr>
          <w:rtl/>
          <w:lang w:bidi="ar-KW"/>
        </w:rPr>
        <w:t xml:space="preserve"> قلت </w:t>
      </w:r>
      <w:r w:rsidR="000636C2">
        <w:rPr>
          <w:rtl/>
          <w:lang w:bidi="ar-KW"/>
        </w:rPr>
        <w:t>[</w:t>
      </w:r>
      <w:r w:rsidRPr="005675B2">
        <w:rPr>
          <w:rtl/>
          <w:lang w:bidi="ar-KW"/>
        </w:rPr>
        <w:t>القائل فوران</w:t>
      </w:r>
      <w:r w:rsidR="000636C2">
        <w:rPr>
          <w:rtl/>
          <w:lang w:bidi="ar-KW"/>
        </w:rPr>
        <w:t>]:</w:t>
      </w:r>
      <w:r w:rsidRPr="005675B2">
        <w:rPr>
          <w:rtl/>
          <w:lang w:bidi="ar-KW"/>
        </w:rPr>
        <w:t xml:space="preserve"> فاللفظية تعدُّهم يا أبا عبدالله في جملة الجهمية</w:t>
      </w:r>
      <w:r w:rsidR="000636C2">
        <w:rPr>
          <w:rtl/>
          <w:lang w:bidi="ar-KW"/>
        </w:rPr>
        <w:t>؟</w:t>
      </w:r>
      <w:r w:rsidRPr="005675B2">
        <w:rPr>
          <w:rtl/>
          <w:lang w:bidi="ar-KW"/>
        </w:rPr>
        <w:t xml:space="preserve"> فقال</w:t>
      </w:r>
      <w:r w:rsidR="000636C2">
        <w:rPr>
          <w:rtl/>
          <w:lang w:bidi="ar-KW"/>
        </w:rPr>
        <w:t>:</w:t>
      </w:r>
      <w:r w:rsidRPr="005675B2">
        <w:rPr>
          <w:rtl/>
          <w:lang w:bidi="ar-KW"/>
        </w:rPr>
        <w:t xml:space="preserve"> لا</w:t>
      </w:r>
      <w:r w:rsidR="000636C2">
        <w:rPr>
          <w:rtl/>
          <w:lang w:bidi="ar-KW"/>
        </w:rPr>
        <w:t>،</w:t>
      </w:r>
      <w:r w:rsidRPr="005675B2">
        <w:rPr>
          <w:rtl/>
          <w:lang w:bidi="ar-KW"/>
        </w:rPr>
        <w:t xml:space="preserve"> الجهمية الذين قالوا</w:t>
      </w:r>
      <w:r w:rsidR="000636C2">
        <w:rPr>
          <w:rtl/>
          <w:lang w:bidi="ar-KW"/>
        </w:rPr>
        <w:t xml:space="preserve">: </w:t>
      </w:r>
      <w:r w:rsidRPr="005675B2">
        <w:rPr>
          <w:rtl/>
          <w:lang w:bidi="ar-KW"/>
        </w:rPr>
        <w:t>القرآن مخلوق</w:t>
      </w:r>
      <w:r w:rsidR="000636C2">
        <w:rPr>
          <w:rtl/>
          <w:lang w:bidi="ar-KW"/>
        </w:rPr>
        <w:t xml:space="preserve"> </w:t>
      </w:r>
      <w:r w:rsidRPr="005675B2">
        <w:rPr>
          <w:rtl/>
          <w:lang w:bidi="ar-KW"/>
        </w:rPr>
        <w:t>اهـ</w:t>
      </w:r>
      <w:r w:rsidR="000636C2">
        <w:rPr>
          <w:rtl/>
          <w:lang w:bidi="ar-KW"/>
        </w:rPr>
        <w:t xml:space="preserve">، </w:t>
      </w:r>
      <w:r w:rsidRPr="005675B2">
        <w:rPr>
          <w:rtl/>
          <w:lang w:bidi="ar-KW"/>
        </w:rPr>
        <w:t>وفي الأسماء والصفات للبيهقي ص266 عن عبدالله بن أحمد بن حنبل قال</w:t>
      </w:r>
      <w:r w:rsidR="000636C2">
        <w:rPr>
          <w:rtl/>
          <w:lang w:bidi="ar-KW"/>
        </w:rPr>
        <w:t>:</w:t>
      </w:r>
      <w:r w:rsidRPr="005675B2">
        <w:rPr>
          <w:rtl/>
          <w:lang w:bidi="ar-KW"/>
        </w:rPr>
        <w:t xml:space="preserve"> سمعت أبي يقول</w:t>
      </w:r>
      <w:r w:rsidR="000636C2">
        <w:rPr>
          <w:rtl/>
          <w:lang w:bidi="ar-KW"/>
        </w:rPr>
        <w:t>:</w:t>
      </w:r>
      <w:r w:rsidRPr="005675B2">
        <w:rPr>
          <w:rtl/>
          <w:lang w:bidi="ar-KW"/>
        </w:rPr>
        <w:t xml:space="preserve"> </w:t>
      </w:r>
      <w:r w:rsidR="000636C2">
        <w:rPr>
          <w:rtl/>
          <w:lang w:bidi="ar-KW"/>
        </w:rPr>
        <w:t>(</w:t>
      </w:r>
      <w:r w:rsidRPr="005675B2">
        <w:rPr>
          <w:rtl/>
          <w:lang w:bidi="ar-KW"/>
        </w:rPr>
        <w:t>من قال لفظي بالقرآن مخلوق يريد به القرآن فهو كافر</w:t>
      </w:r>
      <w:r w:rsidR="000636C2">
        <w:rPr>
          <w:rtl/>
          <w:lang w:bidi="ar-KW"/>
        </w:rPr>
        <w:t>)</w:t>
      </w:r>
      <w:r w:rsidRPr="005675B2">
        <w:rPr>
          <w:rtl/>
          <w:lang w:bidi="ar-KW"/>
        </w:rPr>
        <w:t xml:space="preserve"> علق الحافظ البيهقي قائلا</w:t>
      </w:r>
      <w:r w:rsidR="000636C2">
        <w:rPr>
          <w:rtl/>
          <w:lang w:bidi="ar-KW"/>
        </w:rPr>
        <w:t>:</w:t>
      </w:r>
      <w:r w:rsidRPr="005675B2">
        <w:rPr>
          <w:rtl/>
          <w:lang w:bidi="ar-KW"/>
        </w:rPr>
        <w:t xml:space="preserve"> </w:t>
      </w:r>
      <w:r w:rsidR="000636C2">
        <w:rPr>
          <w:rtl/>
          <w:lang w:bidi="ar-KW"/>
        </w:rPr>
        <w:t>(</w:t>
      </w:r>
      <w:r w:rsidRPr="005675B2">
        <w:rPr>
          <w:rtl/>
          <w:lang w:bidi="ar-KW"/>
        </w:rPr>
        <w:t>قلت</w:t>
      </w:r>
      <w:r w:rsidR="000636C2">
        <w:rPr>
          <w:rtl/>
          <w:lang w:bidi="ar-KW"/>
        </w:rPr>
        <w:t>:</w:t>
      </w:r>
      <w:r w:rsidRPr="005675B2">
        <w:rPr>
          <w:rtl/>
          <w:lang w:bidi="ar-KW"/>
        </w:rPr>
        <w:t xml:space="preserve"> هذا تقييد حفظه عنه ابنه عبدالله وهو قوله</w:t>
      </w:r>
      <w:r w:rsidR="000636C2">
        <w:rPr>
          <w:rtl/>
          <w:lang w:bidi="ar-KW"/>
        </w:rPr>
        <w:t>:</w:t>
      </w:r>
      <w:r w:rsidRPr="005675B2">
        <w:rPr>
          <w:rtl/>
          <w:lang w:bidi="ar-KW"/>
        </w:rPr>
        <w:t xml:space="preserve"> يريد به القرآن</w:t>
      </w:r>
      <w:r w:rsidR="000636C2">
        <w:rPr>
          <w:rtl/>
          <w:lang w:bidi="ar-KW"/>
        </w:rPr>
        <w:t>،</w:t>
      </w:r>
      <w:r w:rsidRPr="005675B2">
        <w:rPr>
          <w:rtl/>
          <w:lang w:bidi="ar-KW"/>
        </w:rPr>
        <w:t xml:space="preserve"> فقد غفل عنه غيره ممن حكى عنه في اللفظ خلاف ما حكينا حتى نسب إليه ما تبرأ منه فيما ذكرنا</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البخاري رحمه الله تعالى </w:t>
      </w:r>
      <w:r w:rsidR="000636C2">
        <w:rPr>
          <w:rtl/>
          <w:lang w:bidi="ar-KW"/>
        </w:rPr>
        <w:t>(</w:t>
      </w:r>
      <w:r w:rsidRPr="005675B2">
        <w:rPr>
          <w:rtl/>
          <w:lang w:bidi="ar-KW"/>
        </w:rPr>
        <w:t>خلق أفعال العباد ص 43</w:t>
      </w:r>
      <w:r w:rsidR="000636C2">
        <w:rPr>
          <w:rtl/>
          <w:lang w:bidi="ar-KW"/>
        </w:rPr>
        <w:t>):</w:t>
      </w:r>
      <w:r w:rsidRPr="005675B2">
        <w:rPr>
          <w:rFonts w:hint="cs"/>
          <w:rtl/>
          <w:lang w:bidi="ar-KW"/>
        </w:rPr>
        <w:t xml:space="preserve"> </w:t>
      </w:r>
      <w:r w:rsidR="000636C2">
        <w:rPr>
          <w:rtl/>
          <w:lang w:bidi="ar-KW"/>
        </w:rPr>
        <w:t>(</w:t>
      </w:r>
      <w:r w:rsidRPr="005675B2">
        <w:rPr>
          <w:rtl/>
          <w:lang w:bidi="ar-KW"/>
        </w:rPr>
        <w:t>فأما ما احتج به الفريقان لمذهب أحمد ويدعيه كل لنفسه فليس بثابت كثير من أخبارهم، وربما لم يفهموا دقة مذهبه، بل المعروف عن أحمد وأهل العلم أن كلام الله غير مخلوق وما سواه مخلوق، وأنهم كرهوا البحث والتنقيب عن الأشياء الغامضة، وتجنبوا أهل الكلام والخوض والتنازع إلا فيما جاء به العلم وبيّنه رسول الله صلى الله عليه وسلم</w:t>
      </w:r>
      <w:r w:rsidR="000636C2">
        <w:rPr>
          <w:rtl/>
          <w:lang w:bidi="ar-KW"/>
        </w:rPr>
        <w:t>)</w:t>
      </w:r>
      <w:r w:rsidRPr="005675B2">
        <w:rPr>
          <w:rtl/>
          <w:lang w:bidi="ar-KW"/>
        </w:rPr>
        <w:t xml:space="preserve"> اهـ</w:t>
      </w:r>
      <w:r w:rsidR="000636C2">
        <w:rPr>
          <w:rtl/>
          <w:lang w:bidi="ar-KW"/>
        </w:rPr>
        <w:t>،</w:t>
      </w:r>
      <w:r w:rsidRPr="005675B2">
        <w:rPr>
          <w:rtl/>
          <w:lang w:bidi="ar-KW"/>
        </w:rPr>
        <w:t xml:space="preserve"> وإننا متيقنون بأنهم رحمهم الله تعالى لم يقولوا هذا القول دون أن تدعو لذلك حاجة، كلا، وحاشاهم أن يتكلموا بشيء سكت عنه الصحابة والتابعون، لكنهم لمَّا رأوا الناس تقحموا هذا الباب، وخاضوا في هذا الأمر، وحملوه على غير وجهه، اضطروا إلى الكلام فيه تبياناً للحق، وكفّاً للناس عن ذلك</w:t>
      </w:r>
      <w:r w:rsidR="000636C2">
        <w:rPr>
          <w:rtl/>
          <w:lang w:bidi="ar-KW"/>
        </w:rPr>
        <w:t>،</w:t>
      </w:r>
      <w:r w:rsidRPr="005675B2">
        <w:rPr>
          <w:rtl/>
          <w:lang w:bidi="ar-KW"/>
        </w:rPr>
        <w:t xml:space="preserve"> قال العلامة الكوثري رحمه الله تعالى (في تعليقه على تبيين كذب المفتري هامش(2) من الصفحة / 406)</w:t>
      </w:r>
      <w:r w:rsidR="000636C2">
        <w:rPr>
          <w:rtl/>
          <w:lang w:bidi="ar-KW"/>
        </w:rPr>
        <w:t>:</w:t>
      </w:r>
      <w:r w:rsidRPr="005675B2">
        <w:rPr>
          <w:rFonts w:hint="cs"/>
          <w:rtl/>
          <w:lang w:bidi="ar-KW"/>
        </w:rPr>
        <w:t xml:space="preserve"> </w:t>
      </w:r>
      <w:r w:rsidRPr="005675B2">
        <w:rPr>
          <w:rtl/>
          <w:lang w:bidi="ar-KW"/>
        </w:rPr>
        <w:t xml:space="preserve">(أما كلام أحمد في ابن كلاب وصاحبه </w:t>
      </w:r>
      <w:r w:rsidR="000636C2">
        <w:rPr>
          <w:rtl/>
          <w:lang w:bidi="ar-KW"/>
        </w:rPr>
        <w:t>[</w:t>
      </w:r>
      <w:r w:rsidRPr="005675B2">
        <w:rPr>
          <w:rtl/>
          <w:lang w:bidi="ar-KW"/>
        </w:rPr>
        <w:t>يعني الحارث المحاسبي</w:t>
      </w:r>
      <w:r w:rsidR="000636C2">
        <w:rPr>
          <w:rtl/>
          <w:lang w:bidi="ar-KW"/>
        </w:rPr>
        <w:t>]</w:t>
      </w:r>
      <w:r w:rsidRPr="005675B2">
        <w:rPr>
          <w:rtl/>
          <w:lang w:bidi="ar-KW"/>
        </w:rPr>
        <w:t xml:space="preserve"> فلكراهته الخوض في الكلام وتورُّعِه منه، ولكن الحق أن الخوض فيه عند الحاجة متعيِّنٌ على خلاف ما يرتئيه أحمد) اهـ</w:t>
      </w:r>
      <w:r w:rsidR="000636C2">
        <w:rPr>
          <w:rtl/>
          <w:lang w:bidi="ar-KW"/>
        </w:rPr>
        <w:t>،</w:t>
      </w:r>
      <w:r w:rsidRPr="005675B2">
        <w:rPr>
          <w:rtl/>
          <w:lang w:bidi="ar-KW"/>
        </w:rPr>
        <w:t xml:space="preserve"> الخلاصة أن الأمر خفيف كما وصفه الحافظ الذهبي، وأن هذه المسألة مما اختلفت فيها أقوال الأئمة، وهم متفقون جميعاً على أن القرآن الذي هو صفة الرحمن وكلامه تعالى غيرمخلوق</w:t>
      </w:r>
      <w:r w:rsidR="000636C2">
        <w:rPr>
          <w:rtl/>
          <w:lang w:bidi="ar-KW"/>
        </w:rPr>
        <w:t>،</w:t>
      </w:r>
      <w:r w:rsidRPr="005675B2">
        <w:rPr>
          <w:rtl/>
          <w:lang w:bidi="ar-KW"/>
        </w:rPr>
        <w:t xml:space="preserve"> بهذا يتبين أن الإمام ابن كلاّب لم يكن وحده في هذا الأمر الذي ذهب إليه، بل كان على رأيه كبار أئمة الدين، وبهذا يُعلم أيضاً أنه لم يبتدع أو يخالف منهج السلف والسنة، بل هو من أكابر أهل السنة والجماعة السائرين على خطى السلف الصالح كما مرّ من أقوال العلماء فيه</w:t>
      </w:r>
      <w:r w:rsidR="000636C2">
        <w:rPr>
          <w:rtl/>
          <w:lang w:bidi="ar-KW"/>
        </w:rPr>
        <w:t>،</w:t>
      </w:r>
      <w:r w:rsidRPr="005675B2">
        <w:rPr>
          <w:rtl/>
          <w:lang w:bidi="ar-KW"/>
        </w:rPr>
        <w:t xml:space="preserve"> فإذا كان الأمر كذلك، فمن أين جاء القول بأن الإمام الأشعري قد ترك طريقته وآراءه؟!</w:t>
      </w:r>
      <w:r w:rsidRPr="005675B2">
        <w:rPr>
          <w:rFonts w:hint="cs"/>
          <w:rtl/>
          <w:lang w:bidi="ar-KW"/>
        </w:rPr>
        <w:t xml:space="preserve"> </w:t>
      </w:r>
      <w:r w:rsidRPr="005675B2">
        <w:rPr>
          <w:rtl/>
          <w:lang w:bidi="ar-KW"/>
        </w:rPr>
        <w:t>وهذا السؤال يجرنا إلى الحديث عن القضية الثالثة</w:t>
      </w:r>
      <w:r w:rsidR="000636C2">
        <w:rPr>
          <w:rtl/>
          <w:lang w:bidi="ar-KW"/>
        </w:rPr>
        <w:t>،</w:t>
      </w:r>
      <w:r w:rsidRPr="005675B2">
        <w:rPr>
          <w:rtl/>
          <w:lang w:bidi="ar-KW"/>
        </w:rPr>
        <w:t xml:space="preserve"> </w:t>
      </w:r>
    </w:p>
    <w:p w14:paraId="09BFD677" w14:textId="7B638224" w:rsidR="009C32A0" w:rsidRPr="005675B2" w:rsidRDefault="009C32A0" w:rsidP="000636C2">
      <w:pPr>
        <w:widowControl w:val="0"/>
        <w:spacing w:before="80" w:after="240"/>
        <w:rPr>
          <w:rtl/>
          <w:lang w:bidi="ar-KW"/>
        </w:rPr>
      </w:pPr>
      <w:r w:rsidRPr="005675B2">
        <w:rPr>
          <w:bCs/>
          <w:rtl/>
          <w:lang w:bidi="ar-KW"/>
        </w:rPr>
        <w:t>الردّ على</w:t>
      </w:r>
      <w:r w:rsidRPr="005675B2">
        <w:rPr>
          <w:rtl/>
          <w:lang w:bidi="ar-KW"/>
        </w:rPr>
        <w:t xml:space="preserve"> </w:t>
      </w:r>
      <w:r w:rsidRPr="005675B2">
        <w:rPr>
          <w:bCs/>
          <w:rtl/>
          <w:lang w:bidi="ar-KW"/>
        </w:rPr>
        <w:t>القضية الثالثة</w:t>
      </w:r>
      <w:r w:rsidR="000636C2">
        <w:rPr>
          <w:rtl/>
          <w:lang w:bidi="ar-KW"/>
        </w:rPr>
        <w:t>:</w:t>
      </w:r>
      <w:r w:rsidR="000636C2">
        <w:rPr>
          <w:rFonts w:hint="cs"/>
          <w:rtl/>
          <w:lang w:bidi="ar-KW"/>
        </w:rPr>
        <w:t xml:space="preserve"> </w:t>
      </w:r>
      <w:r w:rsidRPr="005675B2">
        <w:rPr>
          <w:rtl/>
          <w:lang w:bidi="ar-KW"/>
        </w:rPr>
        <w:t>كتاب الإبانة هو دليل ومعتمد من يقول بمرور الإمام الأشعري بثلاث مراحل في حياته، والذي لا ريب فيه أن الإمام قد سلك في هذا الكتاب وفي غيره من الرسائل التي نسبت له أسلوباً مختلفاً في التأليف، فهو في الغالب قد سلك مسلك جمهور السلف في المتشابهات، نعني بذلك أنه قد أخذ بطريق التفويض، ففهم البعض من ذلك أن الإمام قد رجع عن طريق ابن كلاب الذي كان عليه إلى طريق السلف</w:t>
      </w:r>
      <w:r w:rsidR="000636C2">
        <w:rPr>
          <w:rtl/>
          <w:lang w:bidi="ar-KW"/>
        </w:rPr>
        <w:t>!</w:t>
      </w:r>
      <w:r w:rsidRPr="005675B2">
        <w:rPr>
          <w:rFonts w:hint="cs"/>
          <w:rtl/>
          <w:lang w:bidi="ar-KW"/>
        </w:rPr>
        <w:t xml:space="preserve"> </w:t>
      </w:r>
      <w:r w:rsidRPr="005675B2">
        <w:rPr>
          <w:rtl/>
          <w:lang w:bidi="ar-KW"/>
        </w:rPr>
        <w:t>ونحن قد أثبتنا في الحديث حول القضية الثانية أن ابن كلاب لم يكن مخالفاً للسلف بل هو منهم وعلى طريقهم وسالكٌ لمسلك التفويض كما مر من قول الحافظ ابن حجر في الرد على ابن النديم حين وصف ابن كلاب بأنه من الحشوية، قال</w:t>
      </w:r>
      <w:r w:rsidR="000636C2">
        <w:rPr>
          <w:rtl/>
          <w:lang w:bidi="ar-KW"/>
        </w:rPr>
        <w:t>:</w:t>
      </w:r>
      <w:r w:rsidRPr="005675B2">
        <w:rPr>
          <w:rtl/>
          <w:lang w:bidi="ar-KW"/>
        </w:rPr>
        <w:t xml:space="preserve"> </w:t>
      </w:r>
      <w:r w:rsidR="000636C2">
        <w:rPr>
          <w:rtl/>
          <w:lang w:bidi="ar-KW"/>
        </w:rPr>
        <w:t>(</w:t>
      </w:r>
      <w:r w:rsidRPr="005675B2">
        <w:rPr>
          <w:rtl/>
          <w:lang w:bidi="ar-KW"/>
        </w:rPr>
        <w:t>يريد من يكون على طريق السلف في ترك التأويل .. ويقال لهم المفوضة</w:t>
      </w:r>
      <w:r w:rsidR="000636C2">
        <w:rPr>
          <w:rtl/>
          <w:lang w:bidi="ar-KW"/>
        </w:rPr>
        <w:t>)</w:t>
      </w:r>
      <w:r w:rsidRPr="005675B2">
        <w:rPr>
          <w:rtl/>
          <w:lang w:bidi="ar-KW"/>
        </w:rPr>
        <w:t xml:space="preserve"> اهـ</w:t>
      </w:r>
      <w:r w:rsidR="000636C2">
        <w:rPr>
          <w:rtl/>
          <w:lang w:bidi="ar-KW"/>
        </w:rPr>
        <w:t>، (</w:t>
      </w:r>
      <w:r w:rsidRPr="005675B2">
        <w:rPr>
          <w:rtl/>
          <w:lang w:bidi="ar-KW"/>
        </w:rPr>
        <w:t>لسان الميزان 3/291)، وهذا كافٍ في الردِّ لمن تأمل وأنصف</w:t>
      </w:r>
      <w:r w:rsidR="000636C2">
        <w:rPr>
          <w:rtl/>
          <w:lang w:bidi="ar-KW"/>
        </w:rPr>
        <w:t>،</w:t>
      </w:r>
      <w:r w:rsidRPr="005675B2">
        <w:rPr>
          <w:rtl/>
          <w:lang w:bidi="ar-KW"/>
        </w:rPr>
        <w:t xml:space="preserve"> </w:t>
      </w:r>
      <w:r w:rsidRPr="005675B2">
        <w:rPr>
          <w:bCs/>
          <w:rtl/>
          <w:lang w:bidi="ar-KW"/>
        </w:rPr>
        <w:t>لكننا نزيد على ذلك ونقول</w:t>
      </w:r>
      <w:r w:rsidR="000636C2">
        <w:rPr>
          <w:bCs/>
          <w:rtl/>
          <w:lang w:bidi="ar-KW"/>
        </w:rPr>
        <w:t>:</w:t>
      </w:r>
      <w:r w:rsidR="000636C2">
        <w:rPr>
          <w:rFonts w:hint="cs"/>
          <w:bCs/>
          <w:rtl/>
          <w:lang w:bidi="ar-KW"/>
        </w:rPr>
        <w:t xml:space="preserve"> </w:t>
      </w:r>
      <w:r w:rsidRPr="005675B2">
        <w:rPr>
          <w:rtl/>
          <w:lang w:bidi="ar-KW"/>
        </w:rPr>
        <w:t>إن كتاب الإبانة الذي هو معتمد أصحاب هذه الدعوى، وهو الدليل عندهم على رجوع الإمام عن طريق ابن كلاب، نقول</w:t>
      </w:r>
      <w:r w:rsidR="000636C2">
        <w:rPr>
          <w:rtl/>
          <w:lang w:bidi="ar-KW"/>
        </w:rPr>
        <w:t>:</w:t>
      </w:r>
      <w:r w:rsidRPr="005675B2">
        <w:rPr>
          <w:rtl/>
          <w:lang w:bidi="ar-KW"/>
        </w:rPr>
        <w:t xml:space="preserve"> إن هذا الكتاب بذاته ينقض دعوى رجوع الإمام عن هذا الطريق، لأنه مؤلَّف على طريقة ابن كلاّب وعلى منهجه، فكيف يرجع عن طريق ابن كلاب ثم يؤلف آخر كتبه على طريقته</w:t>
      </w:r>
      <w:r w:rsidR="000636C2">
        <w:rPr>
          <w:rtl/>
          <w:lang w:bidi="ar-KW"/>
        </w:rPr>
        <w:t>؟!</w:t>
      </w:r>
      <w:r w:rsidRPr="005675B2">
        <w:rPr>
          <w:rFonts w:hint="cs"/>
          <w:rtl/>
          <w:lang w:bidi="ar-KW"/>
        </w:rPr>
        <w:t xml:space="preserve"> </w:t>
      </w:r>
      <w:r w:rsidRPr="005675B2">
        <w:rPr>
          <w:rtl/>
          <w:lang w:bidi="ar-KW"/>
        </w:rPr>
        <w:t xml:space="preserve">قال الحافظ ابن حجر في (لسان الميزان 3/291) </w:t>
      </w:r>
      <w:r w:rsidR="000636C2">
        <w:rPr>
          <w:rtl/>
          <w:lang w:bidi="ar-KW"/>
        </w:rPr>
        <w:t>(</w:t>
      </w:r>
      <w:r w:rsidRPr="005675B2">
        <w:rPr>
          <w:bCs/>
          <w:rtl/>
          <w:lang w:bidi="ar-KW"/>
        </w:rPr>
        <w:t>وعلى طريقته</w:t>
      </w:r>
      <w:r w:rsidR="000636C2">
        <w:rPr>
          <w:bCs/>
          <w:rtl/>
          <w:lang w:bidi="ar-KW"/>
        </w:rPr>
        <w:t xml:space="preserve"> </w:t>
      </w:r>
      <w:r w:rsidRPr="005675B2">
        <w:rPr>
          <w:bCs/>
          <w:rtl/>
          <w:lang w:bidi="ar-KW"/>
        </w:rPr>
        <w:t>- يعني ابن كلاّب</w:t>
      </w:r>
      <w:r w:rsidR="000636C2">
        <w:rPr>
          <w:bCs/>
          <w:rtl/>
          <w:lang w:bidi="ar-KW"/>
        </w:rPr>
        <w:t xml:space="preserve"> </w:t>
      </w:r>
      <w:r w:rsidRPr="005675B2">
        <w:rPr>
          <w:bCs/>
          <w:rtl/>
          <w:lang w:bidi="ar-KW"/>
        </w:rPr>
        <w:t xml:space="preserve">- مشى الأشعري في كتاب الإبانة) </w:t>
      </w:r>
      <w:r w:rsidRPr="005675B2">
        <w:rPr>
          <w:rtl/>
          <w:lang w:bidi="ar-KW"/>
        </w:rPr>
        <w:t>اهـ</w:t>
      </w:r>
      <w:r w:rsidR="000636C2">
        <w:rPr>
          <w:rtl/>
          <w:lang w:bidi="ar-KW"/>
        </w:rPr>
        <w:t>،</w:t>
      </w:r>
      <w:r w:rsidRPr="005675B2">
        <w:rPr>
          <w:rtl/>
          <w:lang w:bidi="ar-KW"/>
        </w:rPr>
        <w:t xml:space="preserve"> وهذا يزيدنا يقيناً على يقين بأن الإمام ابن كلاب كان على طريق السلف الصالح ومن أئمتهم، لأن الإبانة التي ألَّفها الإمام الأشعري في آخر حياته على منهج السلف هي مؤلَّفة على طريقة الإمام ابن كلاب، وهذا يقتضي قطعاً أن طريق السلف وطريق ابن كلاب هما في حقيقة الأمر طريق واحد وهو ما كان عليه الإمام الأشعري بعد رجوعه عن الاعتزال</w:t>
      </w:r>
      <w:r w:rsidR="000636C2">
        <w:rPr>
          <w:rtl/>
          <w:lang w:bidi="ar-KW"/>
        </w:rPr>
        <w:t>،</w:t>
      </w:r>
      <w:r w:rsidRPr="005675B2">
        <w:rPr>
          <w:rtl/>
          <w:lang w:bidi="ar-KW"/>
        </w:rPr>
        <w:t xml:space="preserve"> أي أن الإمام لم يمرَّ بثلاث مراحل في حياته، بل هما مرحلتان فقط، مرحلة الاعتزال ثم أعقبتها مرحلة العودة إلى طريق السلف التي كان عليها ابن كلاب والمحاسبي والقلانسي والكرابيسي والبخاري ومسلم وأبو ثور والطبري وغيرهم، وهي المرحلة التي ألَّف الإمام فيها كتاب الإبانة</w:t>
      </w:r>
      <w:r w:rsidR="000636C2">
        <w:rPr>
          <w:rtl/>
          <w:lang w:bidi="ar-KW"/>
        </w:rPr>
        <w:t>،</w:t>
      </w:r>
      <w:r w:rsidRPr="005675B2">
        <w:rPr>
          <w:rtl/>
          <w:lang w:bidi="ar-KW"/>
        </w:rPr>
        <w:t xml:space="preserve"> ويُروى أن الإمام الأشعري عندما ألَّف الإبانة رفضها بعض حنابلة بغداد تعصّبـاً ولـم يقبلـوها منـه (انظر</w:t>
      </w:r>
      <w:r w:rsidRPr="005675B2">
        <w:rPr>
          <w:rFonts w:hint="cs"/>
          <w:rtl/>
          <w:lang w:bidi="ar-KW"/>
        </w:rPr>
        <w:t xml:space="preserve"> </w:t>
      </w:r>
      <w:r w:rsidRPr="005675B2">
        <w:rPr>
          <w:rtl/>
          <w:lang w:bidi="ar-KW"/>
        </w:rPr>
        <w:t>سير</w:t>
      </w:r>
      <w:r w:rsidRPr="005675B2">
        <w:rPr>
          <w:rFonts w:hint="cs"/>
          <w:rtl/>
          <w:lang w:bidi="ar-KW"/>
        </w:rPr>
        <w:t xml:space="preserve"> </w:t>
      </w:r>
      <w:r w:rsidRPr="005675B2">
        <w:rPr>
          <w:rtl/>
          <w:lang w:bidi="ar-KW"/>
        </w:rPr>
        <w:t>أعلام النبلاء 15/90، طبقات الحنابلة 2/18، الوافـي بالوفيات 12/146)</w:t>
      </w:r>
      <w:r w:rsidR="000636C2">
        <w:rPr>
          <w:rtl/>
          <w:lang w:bidi="ar-KW"/>
        </w:rPr>
        <w:t xml:space="preserve"> </w:t>
      </w:r>
      <w:r w:rsidR="000636C2">
        <w:rPr>
          <w:rFonts w:hint="cs"/>
          <w:rtl/>
          <w:lang w:bidi="ar-KW"/>
        </w:rPr>
        <w:t>[</w:t>
      </w:r>
      <w:r w:rsidRPr="005675B2">
        <w:rPr>
          <w:sz w:val="24"/>
          <w:szCs w:val="24"/>
          <w:rtl/>
        </w:rPr>
        <w:t>قيدنا هذا الرفض بأنه من بعض الحنابلة، لأنه لم تزل طائفة كبيرة من الحنابلة يوالون الإمام الأشعري ويحبونه وينتسبون إليه، قال الحافظ ابن عساكـر في</w:t>
      </w:r>
      <w:r w:rsidR="000636C2">
        <w:rPr>
          <w:sz w:val="24"/>
          <w:szCs w:val="24"/>
          <w:rtl/>
        </w:rPr>
        <w:t xml:space="preserve"> </w:t>
      </w:r>
      <w:r w:rsidRPr="005675B2">
        <w:rPr>
          <w:sz w:val="24"/>
          <w:szCs w:val="24"/>
          <w:rtl/>
        </w:rPr>
        <w:t>" التبيين " ص389 أثناء ردّه على الأهوازي الذي استشهد بالقصة من أجل إثبات رفض الحنابلة للإمام الأشعري ولكتابه الإبانة، ما نصّه</w:t>
      </w:r>
      <w:r w:rsidR="000636C2">
        <w:rPr>
          <w:rFonts w:hint="cs"/>
          <w:sz w:val="24"/>
          <w:szCs w:val="24"/>
          <w:rtl/>
        </w:rPr>
        <w:t>:</w:t>
      </w:r>
      <w:r w:rsidRPr="005675B2">
        <w:rPr>
          <w:sz w:val="24"/>
          <w:szCs w:val="24"/>
          <w:rtl/>
        </w:rPr>
        <w:t xml:space="preserve"> </w:t>
      </w:r>
      <w:r w:rsidR="000636C2">
        <w:rPr>
          <w:sz w:val="24"/>
          <w:szCs w:val="24"/>
          <w:rtl/>
        </w:rPr>
        <w:t>(</w:t>
      </w:r>
      <w:r w:rsidRPr="005675B2">
        <w:rPr>
          <w:sz w:val="24"/>
          <w:szCs w:val="24"/>
          <w:rtl/>
        </w:rPr>
        <w:t>فلو كان الأمر كما قال لنقلوه عن أشياخهم وأظهروه، ولم أزل أسمع ممن يوثق به أنه ـ الإمام ـ كان صديقاً للتميميين سلف أبي محمد رزق الله بن عبدالوهاب ابن عبدالعزيز بن الحارث، وكانوا له مكرمين، وقد ظهر أثر بركة تلك الصحبة على أعقابهم، حتى نسب إلى مذهبه أبو الخطاب الكلوذاني من أصحابهم، وهذا تلميذ أبي الخطاب أحمد الحربي يخبر بصحة ما ذكرته وينبي، وكذلك كان بينهم وبين صاحبه أبي عبدالله بن مجاهد وصاحب صاحبه أبي بكر بن الطيب ـ الباقلاني ـ من المواصلة والمؤاكلة ما يدلّ على الاختلاق من الأهوازي..) اهـ. وانظر أيضاً ص163 من نفس الكتاب</w:t>
      </w:r>
      <w:r w:rsidR="000636C2">
        <w:rPr>
          <w:rFonts w:hint="cs"/>
          <w:sz w:val="24"/>
          <w:szCs w:val="24"/>
          <w:rtl/>
        </w:rPr>
        <w:t>]،</w:t>
      </w:r>
      <w:r w:rsidRPr="005675B2">
        <w:rPr>
          <w:rFonts w:hint="cs"/>
          <w:sz w:val="24"/>
          <w:szCs w:val="24"/>
          <w:rtl/>
        </w:rPr>
        <w:t xml:space="preserve"> </w:t>
      </w:r>
      <w:r w:rsidRPr="005675B2">
        <w:rPr>
          <w:rtl/>
          <w:lang w:bidi="ar-KW"/>
        </w:rPr>
        <w:t>وهـذا يؤيد ما مرَّ من أن الإبانة مؤلَّفة على طريقة ابن كلاب الذي هجره بعض الحنابلة فيمن هجروه من الأئمة لأجل مسألة اللفظ وأخذهم بعلم الكلام للرد على المخالفين من المعتزلة وغيرهم</w:t>
      </w:r>
      <w:r w:rsidR="000636C2">
        <w:rPr>
          <w:rtl/>
          <w:lang w:bidi="ar-KW"/>
        </w:rPr>
        <w:t>،</w:t>
      </w:r>
      <w:r w:rsidRPr="005675B2">
        <w:rPr>
          <w:rtl/>
          <w:lang w:bidi="ar-KW"/>
        </w:rPr>
        <w:t xml:space="preserve"> وهذا الذي ذكرناه عن كتاب الإبانة، إنما أردنا به الإبانة التي صنّفها الإمام، وليست الإبانة المتداولة والمطبوعة اليوم، وذلك لما حدث على هذا الكتاب من التحريف والنقص والزيادة</w:t>
      </w:r>
      <w:r w:rsidR="000636C2">
        <w:rPr>
          <w:rtl/>
          <w:lang w:bidi="ar-KW"/>
        </w:rPr>
        <w:t>،</w:t>
      </w:r>
      <w:r w:rsidRPr="005675B2">
        <w:rPr>
          <w:rtl/>
          <w:lang w:bidi="ar-KW"/>
        </w:rPr>
        <w:t xml:space="preserve"> </w:t>
      </w:r>
      <w:r w:rsidRPr="005675B2">
        <w:rPr>
          <w:bCs/>
          <w:rtl/>
          <w:lang w:bidi="ar-KW"/>
        </w:rPr>
        <w:t>قال العلامة الكوثري</w:t>
      </w:r>
      <w:r w:rsidRPr="005675B2">
        <w:rPr>
          <w:rtl/>
          <w:lang w:bidi="ar-KW"/>
        </w:rPr>
        <w:t xml:space="preserve"> رحمه الله تعالى في مقدمة كتاب " تبيين كذب المفتري "</w:t>
      </w:r>
      <w:r w:rsidR="000636C2">
        <w:rPr>
          <w:rtl/>
          <w:lang w:bidi="ar-KW"/>
        </w:rPr>
        <w:t>:</w:t>
      </w:r>
      <w:r w:rsidRPr="005675B2">
        <w:rPr>
          <w:rFonts w:hint="cs"/>
          <w:rtl/>
          <w:lang w:bidi="ar-KW"/>
        </w:rPr>
        <w:t xml:space="preserve"> </w:t>
      </w:r>
      <w:r w:rsidR="000636C2">
        <w:rPr>
          <w:rtl/>
          <w:lang w:bidi="ar-KW"/>
        </w:rPr>
        <w:t>(</w:t>
      </w:r>
      <w:r w:rsidRPr="005675B2">
        <w:rPr>
          <w:rtl/>
          <w:lang w:bidi="ar-KW"/>
        </w:rPr>
        <w:t>والنسخة المطبوعة في الهند من الإبانة نسخة مصحفة محرفة تلاعبت بها الأيدي الأثيمة، فيجب إعادة طبعها من أصل موثوق</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w:t>
      </w:r>
      <w:r w:rsidR="000636C2">
        <w:rPr>
          <w:rtl/>
          <w:lang w:bidi="ar-KW"/>
        </w:rPr>
        <w:t>(</w:t>
      </w:r>
      <w:r w:rsidRPr="005675B2">
        <w:rPr>
          <w:rtl/>
          <w:lang w:bidi="ar-KW"/>
        </w:rPr>
        <w:t>مقدمته على كتاب إشارات المرام من عبارات الإمام للعلامة البياضي</w:t>
      </w:r>
      <w:r w:rsidR="000636C2">
        <w:rPr>
          <w:rtl/>
          <w:lang w:bidi="ar-KW"/>
        </w:rPr>
        <w:t>):</w:t>
      </w:r>
      <w:r w:rsidRPr="005675B2">
        <w:rPr>
          <w:rFonts w:hint="cs"/>
          <w:rtl/>
          <w:lang w:bidi="ar-KW"/>
        </w:rPr>
        <w:t xml:space="preserve"> </w:t>
      </w:r>
      <w:r w:rsidR="000636C2">
        <w:rPr>
          <w:rtl/>
          <w:lang w:bidi="ar-KW"/>
        </w:rPr>
        <w:t>(</w:t>
      </w:r>
      <w:r w:rsidRPr="005675B2">
        <w:rPr>
          <w:rtl/>
          <w:lang w:bidi="ar-KW"/>
        </w:rPr>
        <w:t>ومن العزيز جدّاً الظفر بأصلٍ صحيح من مؤلفاته على كثرتها البالغة، وطبْعُ كتاب الإبانة لم يكن من أصل وثيق، وفي المقالات المنشورة باسمه وقفة</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000636C2">
        <w:rPr>
          <w:rtl/>
          <w:lang w:bidi="ar-KW"/>
        </w:rPr>
        <w:t>(</w:t>
      </w:r>
      <w:r w:rsidRPr="005675B2">
        <w:rPr>
          <w:rtl/>
          <w:lang w:bidi="ar-KW"/>
        </w:rPr>
        <w:t>وانظر أيضاً تعليقه على السيف الصقيل ص155-196</w:t>
      </w:r>
      <w:r w:rsidR="000636C2">
        <w:rPr>
          <w:rtl/>
          <w:lang w:bidi="ar-KW"/>
        </w:rPr>
        <w:t>)،</w:t>
      </w:r>
      <w:r w:rsidRPr="005675B2">
        <w:rPr>
          <w:rtl/>
          <w:lang w:bidi="ar-KW"/>
        </w:rPr>
        <w:t xml:space="preserve"> وهذا أيضاً ما ذهب إليه الدكتورعبد الرحمن بدوي مؤيداً للعلامة الكوثري </w:t>
      </w:r>
      <w:r w:rsidR="000636C2">
        <w:rPr>
          <w:rtl/>
          <w:lang w:bidi="ar-KW"/>
        </w:rPr>
        <w:t>(</w:t>
      </w:r>
      <w:r w:rsidRPr="005675B2">
        <w:rPr>
          <w:rtl/>
          <w:lang w:bidi="ar-KW"/>
        </w:rPr>
        <w:t>مذاهب الإسلاميين 1/516</w:t>
      </w:r>
      <w:r w:rsidR="000636C2">
        <w:rPr>
          <w:rtl/>
          <w:lang w:bidi="ar-KW"/>
        </w:rPr>
        <w:t>)</w:t>
      </w:r>
      <w:r w:rsidRPr="005675B2">
        <w:rPr>
          <w:rtl/>
          <w:lang w:bidi="ar-KW"/>
        </w:rPr>
        <w:t xml:space="preserve"> قال</w:t>
      </w:r>
      <w:r w:rsidR="000636C2">
        <w:rPr>
          <w:rtl/>
          <w:lang w:bidi="ar-KW"/>
        </w:rPr>
        <w:t>:</w:t>
      </w:r>
      <w:r w:rsidRPr="005675B2">
        <w:rPr>
          <w:rFonts w:hint="cs"/>
          <w:rtl/>
          <w:lang w:bidi="ar-KW"/>
        </w:rPr>
        <w:t xml:space="preserve"> </w:t>
      </w:r>
      <w:r w:rsidR="000636C2">
        <w:rPr>
          <w:rtl/>
          <w:lang w:bidi="ar-KW"/>
        </w:rPr>
        <w:t>(</w:t>
      </w:r>
      <w:r w:rsidRPr="005675B2">
        <w:rPr>
          <w:bCs/>
          <w:rtl/>
          <w:lang w:bidi="ar-KW"/>
        </w:rPr>
        <w:t>وقد لاحظ الشيخ الكوثري</w:t>
      </w:r>
      <w:r w:rsidRPr="005675B2">
        <w:rPr>
          <w:rtl/>
          <w:lang w:bidi="ar-KW"/>
        </w:rPr>
        <w:t xml:space="preserve"> بحق أن النسخة المطبوعة في الهند</w:t>
      </w:r>
      <w:r w:rsidR="000636C2">
        <w:rPr>
          <w:rtl/>
          <w:lang w:bidi="ar-KW"/>
        </w:rPr>
        <w:t>،،</w:t>
      </w:r>
      <w:r w:rsidRPr="005675B2">
        <w:rPr>
          <w:rtl/>
          <w:lang w:bidi="ar-KW"/>
        </w:rPr>
        <w:t xml:space="preserve"> تلاعبت بها الأيدي الأثيمة ..</w:t>
      </w:r>
      <w:r w:rsidR="000636C2">
        <w:rPr>
          <w:rtl/>
          <w:lang w:bidi="ar-KW"/>
        </w:rPr>
        <w:t>)</w:t>
      </w:r>
      <w:r w:rsidRPr="005675B2">
        <w:rPr>
          <w:rtl/>
          <w:lang w:bidi="ar-KW"/>
        </w:rPr>
        <w:t xml:space="preserve"> اهـ</w:t>
      </w:r>
      <w:r w:rsidR="000636C2">
        <w:rPr>
          <w:rtl/>
          <w:lang w:bidi="ar-KW"/>
        </w:rPr>
        <w:t>،</w:t>
      </w:r>
      <w:r w:rsidRPr="005675B2">
        <w:rPr>
          <w:rtl/>
          <w:lang w:bidi="ar-KW"/>
        </w:rPr>
        <w:t xml:space="preserve"> كما لاحظ ذلك غيرهم من الدارسين </w:t>
      </w:r>
      <w:r w:rsidR="000636C2">
        <w:rPr>
          <w:rtl/>
          <w:lang w:bidi="ar-KW"/>
        </w:rPr>
        <w:t>(</w:t>
      </w:r>
      <w:r w:rsidRPr="005675B2">
        <w:rPr>
          <w:rtl/>
          <w:lang w:bidi="ar-KW"/>
        </w:rPr>
        <w:t>انظر مذاهب الإسلاميين 1/517 وما بعدها</w:t>
      </w:r>
      <w:r w:rsidR="000636C2">
        <w:rPr>
          <w:rtl/>
          <w:lang w:bidi="ar-KW"/>
        </w:rPr>
        <w:t>)،</w:t>
      </w:r>
      <w:r w:rsidRPr="005675B2">
        <w:rPr>
          <w:rtl/>
          <w:lang w:bidi="ar-KW"/>
        </w:rPr>
        <w:t xml:space="preserve"> </w:t>
      </w:r>
      <w:r w:rsidRPr="005675B2">
        <w:rPr>
          <w:bCs/>
          <w:rtl/>
          <w:lang w:bidi="ar-KW"/>
        </w:rPr>
        <w:t>وللشيخ وهبي غاوجي</w:t>
      </w:r>
      <w:r w:rsidRPr="005675B2">
        <w:rPr>
          <w:rtl/>
          <w:lang w:bidi="ar-KW"/>
        </w:rPr>
        <w:t xml:space="preserve"> حفظه الله رسالة في هذا الموضوع بعنوان</w:t>
      </w:r>
      <w:r w:rsidR="000636C2">
        <w:rPr>
          <w:rtl/>
          <w:lang w:bidi="ar-KW"/>
        </w:rPr>
        <w:t xml:space="preserve"> </w:t>
      </w:r>
      <w:r w:rsidRPr="005675B2">
        <w:rPr>
          <w:rtl/>
          <w:lang w:bidi="ar-KW"/>
        </w:rPr>
        <w:t>" نظرة علمية في نسبة كتاب الإبانة جميعه إلى الإمام أبي الحسن " أتى فيها بأدلة موضوعية تدل على أن قسماً كبيراً مما في الإبانة المتداولة اليوم بين الناس لا يصح نسبته للإمام الأشعري</w:t>
      </w:r>
      <w:r w:rsidR="000636C2">
        <w:rPr>
          <w:rtl/>
          <w:lang w:bidi="ar-KW"/>
        </w:rPr>
        <w:t>،</w:t>
      </w:r>
      <w:r w:rsidRPr="005675B2">
        <w:rPr>
          <w:rtl/>
          <w:lang w:bidi="ar-KW"/>
        </w:rPr>
        <w:t xml:space="preserve"> وقد طبع كتاب الإبانة طبعة قوبلت على أربع نسخ خطية بتحقيق الدكتورة فوقية حسين، وهي طبعة وإن كانت أحسن حالاً من المطبوعة قبلُ إلا أنها لم تخلُ من التحريف والنقص والزيادة أيضاً، وهذا لعله يصحح ما ذهب إليه العلامة الكوثري رحمه الله تعالى حين قال </w:t>
      </w:r>
      <w:r w:rsidR="000636C2">
        <w:rPr>
          <w:rtl/>
          <w:lang w:bidi="ar-KW"/>
        </w:rPr>
        <w:t>(</w:t>
      </w:r>
      <w:r w:rsidRPr="005675B2">
        <w:rPr>
          <w:rtl/>
          <w:lang w:bidi="ar-KW"/>
        </w:rPr>
        <w:t>ومن العزيز جدّاً الظفر بأصلٍ صحيح من مؤلفاته على كثرتها البالغة</w:t>
      </w:r>
      <w:r w:rsidR="000636C2">
        <w:rPr>
          <w:rtl/>
          <w:lang w:bidi="ar-KW"/>
        </w:rPr>
        <w:t>)،</w:t>
      </w:r>
      <w:r w:rsidRPr="005675B2">
        <w:rPr>
          <w:rtl/>
          <w:lang w:bidi="ar-KW"/>
        </w:rPr>
        <w:t xml:space="preserve"> وقد نقل الحافظ ابن عساكر رحمه الله تعالى في كتاب تبيين كذب المفتري فصلين من الإبانة، وعند مقارنة الإبانة المطبوعة المتداولة مع طبعة الدكتورة فوقية مع الفصلين المنقولين عند ابن عساكر يتبين بوضوح قدر ذلك التحريف الذي جرى على هذا الكتاب</w:t>
      </w:r>
      <w:r w:rsidR="000636C2">
        <w:rPr>
          <w:rtl/>
          <w:lang w:bidi="ar-KW"/>
        </w:rPr>
        <w:t xml:space="preserve">، </w:t>
      </w:r>
      <w:r w:rsidRPr="005675B2">
        <w:rPr>
          <w:bCs/>
          <w:rtl/>
          <w:lang w:bidi="ar-KW"/>
        </w:rPr>
        <w:t>وهذه بعض الأمثلة على ذلك</w:t>
      </w:r>
      <w:r w:rsidR="000636C2">
        <w:rPr>
          <w:bCs/>
          <w:rtl/>
          <w:lang w:bidi="ar-KW"/>
        </w:rPr>
        <w:t>:</w:t>
      </w:r>
      <w:r w:rsidRPr="005675B2">
        <w:rPr>
          <w:rFonts w:hint="cs"/>
          <w:bCs/>
          <w:rtl/>
          <w:lang w:bidi="ar-KW"/>
        </w:rPr>
        <w:t xml:space="preserve"> </w:t>
      </w:r>
      <w:r w:rsidRPr="005675B2">
        <w:rPr>
          <w:rtl/>
          <w:lang w:bidi="ar-KW"/>
        </w:rPr>
        <w:t xml:space="preserve">* جاء في الإبانة المطبوعة ص16 ما نصُّه </w:t>
      </w:r>
      <w:r w:rsidR="000636C2">
        <w:rPr>
          <w:rtl/>
          <w:lang w:bidi="ar-KW"/>
        </w:rPr>
        <w:t>(</w:t>
      </w:r>
      <w:r w:rsidRPr="005675B2">
        <w:rPr>
          <w:rtl/>
          <w:lang w:bidi="ar-KW"/>
        </w:rPr>
        <w:t xml:space="preserve">وأنكروا أن يكون </w:t>
      </w:r>
      <w:r w:rsidRPr="005675B2">
        <w:rPr>
          <w:bCs/>
          <w:rtl/>
          <w:lang w:bidi="ar-KW"/>
        </w:rPr>
        <w:t>له عينـان</w:t>
      </w:r>
      <w:r w:rsidRPr="005675B2">
        <w:rPr>
          <w:rtl/>
          <w:lang w:bidi="ar-KW"/>
        </w:rPr>
        <w:t xml:space="preserve"> مـع قولـه تجري بأعيننا ..</w:t>
      </w:r>
      <w:r w:rsidR="000636C2">
        <w:rPr>
          <w:rtl/>
          <w:lang w:bidi="ar-KW"/>
        </w:rPr>
        <w:t>)</w:t>
      </w:r>
      <w:r w:rsidRPr="005675B2">
        <w:rPr>
          <w:rtl/>
          <w:lang w:bidi="ar-KW"/>
        </w:rPr>
        <w:t xml:space="preserve"> اهـ</w:t>
      </w:r>
      <w:r w:rsidR="000636C2">
        <w:rPr>
          <w:rtl/>
          <w:lang w:bidi="ar-KW"/>
        </w:rPr>
        <w:t>،</w:t>
      </w:r>
      <w:r w:rsidRPr="005675B2">
        <w:rPr>
          <w:rtl/>
          <w:lang w:bidi="ar-KW"/>
        </w:rPr>
        <w:t xml:space="preserve"> هكذا بالتثنية</w:t>
      </w:r>
      <w:r w:rsidR="000636C2">
        <w:rPr>
          <w:rtl/>
          <w:lang w:bidi="ar-KW"/>
        </w:rPr>
        <w:t>!</w:t>
      </w:r>
      <w:r w:rsidR="000636C2">
        <w:rPr>
          <w:rFonts w:hint="cs"/>
          <w:rtl/>
          <w:lang w:bidi="ar-KW"/>
        </w:rPr>
        <w:t xml:space="preserve"> </w:t>
      </w:r>
      <w:r w:rsidRPr="005675B2">
        <w:rPr>
          <w:rtl/>
          <w:lang w:bidi="ar-KW"/>
        </w:rPr>
        <w:t xml:space="preserve">* وعند ابن عساكر ص157 </w:t>
      </w:r>
      <w:r w:rsidR="000636C2">
        <w:rPr>
          <w:rtl/>
          <w:lang w:bidi="ar-KW"/>
        </w:rPr>
        <w:t>(</w:t>
      </w:r>
      <w:r w:rsidRPr="005675B2">
        <w:rPr>
          <w:rtl/>
          <w:lang w:bidi="ar-KW"/>
        </w:rPr>
        <w:t xml:space="preserve">وأنكروا أن يكون </w:t>
      </w:r>
      <w:r w:rsidRPr="005675B2">
        <w:rPr>
          <w:bCs/>
          <w:rtl/>
          <w:lang w:bidi="ar-KW"/>
        </w:rPr>
        <w:t>له عين</w:t>
      </w:r>
      <w:r w:rsidRPr="005675B2">
        <w:rPr>
          <w:rtl/>
          <w:lang w:bidi="ar-KW"/>
        </w:rPr>
        <w:t xml:space="preserve"> ..</w:t>
      </w:r>
      <w:r w:rsidR="000636C2">
        <w:rPr>
          <w:rtl/>
          <w:lang w:bidi="ar-KW"/>
        </w:rPr>
        <w:t>)</w:t>
      </w:r>
      <w:r w:rsidRPr="005675B2">
        <w:rPr>
          <w:rtl/>
          <w:lang w:bidi="ar-KW"/>
        </w:rPr>
        <w:t xml:space="preserve"> بإفراد لفظ العين</w:t>
      </w:r>
      <w:r w:rsidR="000636C2">
        <w:rPr>
          <w:rtl/>
          <w:lang w:bidi="ar-KW"/>
        </w:rPr>
        <w:t>،</w:t>
      </w:r>
      <w:r w:rsidRPr="005675B2">
        <w:rPr>
          <w:rtl/>
          <w:lang w:bidi="ar-KW"/>
        </w:rPr>
        <w:t xml:space="preserve"> * وجاء في المطبوعة ص18 </w:t>
      </w:r>
      <w:r w:rsidR="000636C2">
        <w:rPr>
          <w:rtl/>
          <w:lang w:bidi="ar-KW"/>
        </w:rPr>
        <w:t>(</w:t>
      </w:r>
      <w:r w:rsidRPr="005675B2">
        <w:rPr>
          <w:rtl/>
          <w:lang w:bidi="ar-KW"/>
        </w:rPr>
        <w:t xml:space="preserve">وأن </w:t>
      </w:r>
      <w:r w:rsidRPr="005675B2">
        <w:rPr>
          <w:bCs/>
          <w:rtl/>
          <w:lang w:bidi="ar-KW"/>
        </w:rPr>
        <w:t>له عينين</w:t>
      </w:r>
      <w:r w:rsidRPr="005675B2">
        <w:rPr>
          <w:rtl/>
          <w:lang w:bidi="ar-KW"/>
        </w:rPr>
        <w:t xml:space="preserve"> بلا كيف ..</w:t>
      </w:r>
      <w:r w:rsidR="000636C2">
        <w:rPr>
          <w:rtl/>
          <w:lang w:bidi="ar-KW"/>
        </w:rPr>
        <w:t>)</w:t>
      </w:r>
      <w:r w:rsidRPr="005675B2">
        <w:rPr>
          <w:rFonts w:hint="cs"/>
          <w:rtl/>
          <w:lang w:bidi="ar-KW"/>
        </w:rPr>
        <w:t xml:space="preserve"> </w:t>
      </w:r>
      <w:r w:rsidRPr="005675B2">
        <w:rPr>
          <w:rtl/>
          <w:lang w:bidi="ar-KW"/>
        </w:rPr>
        <w:t xml:space="preserve">* وفي طبعة الدكتورة فوقية ص22 </w:t>
      </w:r>
      <w:r w:rsidR="000636C2">
        <w:rPr>
          <w:rtl/>
          <w:lang w:bidi="ar-KW"/>
        </w:rPr>
        <w:t>(</w:t>
      </w:r>
      <w:r w:rsidRPr="005675B2">
        <w:rPr>
          <w:rtl/>
          <w:lang w:bidi="ar-KW"/>
        </w:rPr>
        <w:t xml:space="preserve">وأن له سبحانه </w:t>
      </w:r>
      <w:r w:rsidRPr="005675B2">
        <w:rPr>
          <w:bCs/>
          <w:rtl/>
          <w:lang w:bidi="ar-KW"/>
        </w:rPr>
        <w:t>عينين بلا كيف</w:t>
      </w:r>
      <w:r w:rsidR="000636C2">
        <w:rPr>
          <w:rtl/>
          <w:lang w:bidi="ar-KW"/>
        </w:rPr>
        <w:t>)</w:t>
      </w:r>
      <w:r w:rsidRPr="005675B2">
        <w:rPr>
          <w:rtl/>
          <w:lang w:bidi="ar-KW"/>
        </w:rPr>
        <w:t xml:space="preserve"> هكذا، كلاهما بالتثنية</w:t>
      </w:r>
      <w:r w:rsidR="000636C2">
        <w:rPr>
          <w:rtl/>
          <w:lang w:bidi="ar-KW"/>
        </w:rPr>
        <w:t>!</w:t>
      </w:r>
      <w:r w:rsidRPr="005675B2">
        <w:rPr>
          <w:rFonts w:hint="cs"/>
          <w:rtl/>
          <w:lang w:bidi="ar-KW"/>
        </w:rPr>
        <w:t xml:space="preserve"> </w:t>
      </w:r>
      <w:r w:rsidRPr="005675B2">
        <w:rPr>
          <w:rtl/>
          <w:lang w:bidi="ar-KW"/>
        </w:rPr>
        <w:t xml:space="preserve">* وعند ابن عساكر ص158 </w:t>
      </w:r>
      <w:r w:rsidR="000636C2">
        <w:rPr>
          <w:rtl/>
          <w:lang w:bidi="ar-KW"/>
        </w:rPr>
        <w:t>(</w:t>
      </w:r>
      <w:r w:rsidRPr="005675B2">
        <w:rPr>
          <w:rtl/>
          <w:lang w:bidi="ar-KW"/>
        </w:rPr>
        <w:t xml:space="preserve">وأن له </w:t>
      </w:r>
      <w:r w:rsidRPr="005675B2">
        <w:rPr>
          <w:bCs/>
          <w:rtl/>
          <w:lang w:bidi="ar-KW"/>
        </w:rPr>
        <w:t>عيناً بلا كيف</w:t>
      </w:r>
      <w:r w:rsidRPr="005675B2">
        <w:rPr>
          <w:rtl/>
          <w:lang w:bidi="ar-KW"/>
        </w:rPr>
        <w:t xml:space="preserve"> ..</w:t>
      </w:r>
      <w:r w:rsidR="000636C2">
        <w:rPr>
          <w:rtl/>
          <w:lang w:bidi="ar-KW"/>
        </w:rPr>
        <w:t>)</w:t>
      </w:r>
      <w:r w:rsidRPr="005675B2">
        <w:rPr>
          <w:rtl/>
          <w:lang w:bidi="ar-KW"/>
        </w:rPr>
        <w:t xml:space="preserve"> بإفراد لفظ العين</w:t>
      </w:r>
      <w:r w:rsidR="000636C2">
        <w:rPr>
          <w:rtl/>
          <w:lang w:bidi="ar-KW"/>
        </w:rPr>
        <w:t>،</w:t>
      </w:r>
      <w:r w:rsidRPr="005675B2">
        <w:rPr>
          <w:rtl/>
          <w:lang w:bidi="ar-KW"/>
        </w:rPr>
        <w:t xml:space="preserve"> والإفراد هو الموافق للكتاب والسنة وأقوال السلف، وهذا نصٌّ واضح في التلاعب بنسخ الكتاب، ولفظ العينين لم يردْ في القرآن ولا في السنة، ومن ثنَّى فقد قاس الله تعالى على المحسوس المشاهد من الخلق، تعالى الله وتقدس عن ذلك</w:t>
      </w:r>
      <w:r w:rsidR="000636C2">
        <w:rPr>
          <w:rtl/>
          <w:lang w:bidi="ar-KW"/>
        </w:rPr>
        <w:t>،</w:t>
      </w:r>
      <w:r w:rsidRPr="005675B2">
        <w:rPr>
          <w:rtl/>
          <w:lang w:bidi="ar-KW"/>
        </w:rPr>
        <w:t xml:space="preserve"> </w:t>
      </w:r>
      <w:r w:rsidRPr="005675B2">
        <w:rPr>
          <w:bCs/>
          <w:rtl/>
          <w:lang w:bidi="ar-KW"/>
        </w:rPr>
        <w:t>قال العلامة الكوثري</w:t>
      </w:r>
      <w:r w:rsidRPr="005675B2">
        <w:rPr>
          <w:rtl/>
          <w:lang w:bidi="ar-KW"/>
        </w:rPr>
        <w:t xml:space="preserve"> رحمه الله تعالى في تعليقه على كتاب الأسماء والصفات للبيهقي في هامش ص313</w:t>
      </w:r>
      <w:r w:rsidR="000636C2">
        <w:rPr>
          <w:rtl/>
          <w:lang w:bidi="ar-KW"/>
        </w:rPr>
        <w:t>:</w:t>
      </w:r>
      <w:r w:rsidRPr="005675B2">
        <w:rPr>
          <w:rtl/>
          <w:lang w:bidi="ar-KW"/>
        </w:rPr>
        <w:t xml:space="preserve"> </w:t>
      </w:r>
      <w:r w:rsidR="000636C2">
        <w:rPr>
          <w:rtl/>
          <w:lang w:bidi="ar-KW"/>
        </w:rPr>
        <w:t>(</w:t>
      </w:r>
      <w:r w:rsidRPr="005675B2">
        <w:rPr>
          <w:rtl/>
          <w:lang w:bidi="ar-KW"/>
        </w:rPr>
        <w:t>لم ترد صيغة التثنية في الكتاب ولا في السنة، وما يروى عن أبي الحسن الأشعري من ذلك فمدسوس في كتبه بالنظر إلى نقل الكافة عنه</w:t>
      </w:r>
      <w:r w:rsidR="000636C2">
        <w:rPr>
          <w:rtl/>
          <w:lang w:bidi="ar-KW"/>
        </w:rPr>
        <w:t>)</w:t>
      </w:r>
      <w:r w:rsidRPr="005675B2">
        <w:rPr>
          <w:rtl/>
          <w:lang w:bidi="ar-KW"/>
        </w:rPr>
        <w:t xml:space="preserve"> ثم قال</w:t>
      </w:r>
      <w:r w:rsidR="000636C2">
        <w:rPr>
          <w:rtl/>
          <w:lang w:bidi="ar-KW"/>
        </w:rPr>
        <w:t>:</w:t>
      </w:r>
      <w:r w:rsidRPr="005675B2">
        <w:rPr>
          <w:rtl/>
          <w:lang w:bidi="ar-KW"/>
        </w:rPr>
        <w:t xml:space="preserve"> </w:t>
      </w:r>
      <w:r w:rsidR="000636C2">
        <w:rPr>
          <w:rtl/>
          <w:lang w:bidi="ar-KW"/>
        </w:rPr>
        <w:t>(</w:t>
      </w:r>
      <w:r w:rsidRPr="005675B2">
        <w:rPr>
          <w:rtl/>
          <w:lang w:bidi="ar-KW"/>
        </w:rPr>
        <w:t>قال ابن حزم</w:t>
      </w:r>
      <w:r w:rsidR="000636C2">
        <w:rPr>
          <w:rtl/>
          <w:lang w:bidi="ar-KW"/>
        </w:rPr>
        <w:t>:</w:t>
      </w:r>
      <w:r w:rsidRPr="005675B2">
        <w:rPr>
          <w:rtl/>
          <w:lang w:bidi="ar-KW"/>
        </w:rPr>
        <w:t xml:space="preserve"> لا يجوز لأحد أن يصف الله عز وجل بأن له عينين لأن النص لم يـأت بـذلك</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ابن عقيل</w:t>
      </w:r>
      <w:r w:rsidRPr="005675B2">
        <w:rPr>
          <w:rtl/>
          <w:lang w:bidi="ar-KW"/>
        </w:rPr>
        <w:t xml:space="preserve"> معلقاً على حديث الدجال </w:t>
      </w:r>
      <w:r w:rsidR="000636C2">
        <w:rPr>
          <w:rtl/>
          <w:lang w:bidi="ar-KW"/>
        </w:rPr>
        <w:t>(</w:t>
      </w:r>
      <w:r w:rsidRPr="005675B2">
        <w:rPr>
          <w:rtl/>
          <w:lang w:bidi="ar-KW"/>
        </w:rPr>
        <w:t>دفع شبه التشبيه ص263</w:t>
      </w:r>
      <w:r w:rsidR="000636C2">
        <w:rPr>
          <w:rtl/>
          <w:lang w:bidi="ar-KW"/>
        </w:rPr>
        <w:t>):</w:t>
      </w:r>
      <w:r w:rsidR="000636C2">
        <w:rPr>
          <w:rFonts w:hint="cs"/>
          <w:rtl/>
          <w:lang w:bidi="ar-KW"/>
        </w:rPr>
        <w:t xml:space="preserve"> </w:t>
      </w:r>
      <w:r w:rsidR="000636C2">
        <w:rPr>
          <w:rtl/>
          <w:lang w:bidi="ar-KW"/>
        </w:rPr>
        <w:t>(</w:t>
      </w:r>
      <w:r w:rsidRPr="005675B2">
        <w:rPr>
          <w:rtl/>
          <w:lang w:bidi="ar-KW"/>
        </w:rPr>
        <w:t>يحسب بعض الجهلة أنه</w:t>
      </w:r>
      <w:r w:rsidR="000636C2">
        <w:rPr>
          <w:rtl/>
          <w:lang w:bidi="ar-KW"/>
        </w:rPr>
        <w:t xml:space="preserve"> </w:t>
      </w:r>
      <w:r w:rsidRPr="005675B2">
        <w:rPr>
          <w:rtl/>
          <w:lang w:bidi="ar-KW"/>
        </w:rPr>
        <w:t>- صلى الله عليه وسلم</w:t>
      </w:r>
      <w:r w:rsidR="000636C2">
        <w:rPr>
          <w:rtl/>
          <w:lang w:bidi="ar-KW"/>
        </w:rPr>
        <w:t xml:space="preserve"> </w:t>
      </w:r>
      <w:r w:rsidRPr="005675B2">
        <w:rPr>
          <w:rtl/>
          <w:lang w:bidi="ar-KW"/>
        </w:rPr>
        <w:t>- لما نفى العور عن الله عز وجل أثبت من دليل الخطاب أنه ذو عينين، وهذا بعيد من الفهم، إنما نفى العور من حيث نفي النقائص ..</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ابن الجوزي</w:t>
      </w:r>
      <w:r w:rsidRPr="005675B2">
        <w:rPr>
          <w:rtl/>
          <w:lang w:bidi="ar-KW"/>
        </w:rPr>
        <w:t xml:space="preserve"> في الرد على من أثبت لله تعالى عينين </w:t>
      </w:r>
      <w:r w:rsidR="000636C2">
        <w:rPr>
          <w:rtl/>
          <w:lang w:bidi="ar-KW"/>
        </w:rPr>
        <w:t>(</w:t>
      </w:r>
      <w:r w:rsidRPr="005675B2">
        <w:rPr>
          <w:rtl/>
          <w:lang w:bidi="ar-KW"/>
        </w:rPr>
        <w:t>دفع شبه التشبيه ص114</w:t>
      </w:r>
      <w:r w:rsidR="000636C2">
        <w:rPr>
          <w:rtl/>
          <w:lang w:bidi="ar-KW"/>
        </w:rPr>
        <w:t>):</w:t>
      </w:r>
      <w:r w:rsidRPr="005675B2">
        <w:rPr>
          <w:rFonts w:hint="cs"/>
          <w:rtl/>
          <w:lang w:bidi="ar-KW"/>
        </w:rPr>
        <w:t xml:space="preserve"> </w:t>
      </w:r>
      <w:r w:rsidR="000636C2">
        <w:rPr>
          <w:rtl/>
          <w:lang w:bidi="ar-KW"/>
        </w:rPr>
        <w:t>(</w:t>
      </w:r>
      <w:r w:rsidRPr="005675B2">
        <w:rPr>
          <w:bCs/>
          <w:rtl/>
          <w:lang w:bidi="ar-KW"/>
        </w:rPr>
        <w:t>قلت</w:t>
      </w:r>
      <w:r w:rsidR="000636C2">
        <w:rPr>
          <w:rtl/>
          <w:lang w:bidi="ar-KW"/>
        </w:rPr>
        <w:t>:</w:t>
      </w:r>
      <w:r w:rsidRPr="005675B2">
        <w:rPr>
          <w:rtl/>
          <w:lang w:bidi="ar-KW"/>
        </w:rPr>
        <w:t xml:space="preserve"> وهذا ابتداع لا دليل لهم عليه، وإنما أثبتوا عينين من دليل الخطاب في قوله عليه الصلاة والسلام</w:t>
      </w:r>
      <w:r w:rsidR="000636C2">
        <w:rPr>
          <w:rtl/>
          <w:lang w:bidi="ar-KW"/>
        </w:rPr>
        <w:t>:</w:t>
      </w:r>
      <w:r w:rsidRPr="005675B2">
        <w:rPr>
          <w:rtl/>
          <w:lang w:bidi="ar-KW"/>
        </w:rPr>
        <w:t xml:space="preserve"> " وإن الله ليس بأعور " وإنما أراد نفي النقص عنه تعالى</w:t>
      </w:r>
      <w:r w:rsidR="000636C2">
        <w:rPr>
          <w:rtl/>
          <w:lang w:bidi="ar-KW"/>
        </w:rPr>
        <w:t>)</w:t>
      </w:r>
      <w:r w:rsidRPr="005675B2">
        <w:rPr>
          <w:rtl/>
          <w:lang w:bidi="ar-KW"/>
        </w:rPr>
        <w:t xml:space="preserve"> اهـ</w:t>
      </w:r>
      <w:r w:rsidR="000636C2">
        <w:rPr>
          <w:rtl/>
          <w:lang w:bidi="ar-KW"/>
        </w:rPr>
        <w:t>،</w:t>
      </w:r>
      <w:r w:rsidRPr="005675B2">
        <w:rPr>
          <w:rtl/>
          <w:lang w:bidi="ar-KW"/>
        </w:rPr>
        <w:t xml:space="preserve"> ومن أمثلة التحريف فيه أيضاً القدح بالإمام الأعظم أبي حنيفة رضي الله عنه</w:t>
      </w:r>
      <w:r w:rsidR="000636C2">
        <w:rPr>
          <w:rtl/>
          <w:lang w:bidi="ar-KW"/>
        </w:rPr>
        <w:t>:</w:t>
      </w:r>
      <w:r w:rsidRPr="005675B2">
        <w:rPr>
          <w:rFonts w:hint="cs"/>
          <w:rtl/>
          <w:lang w:bidi="ar-KW"/>
        </w:rPr>
        <w:t xml:space="preserve"> </w:t>
      </w:r>
      <w:r w:rsidRPr="005675B2">
        <w:rPr>
          <w:rtl/>
          <w:lang w:bidi="ar-KW"/>
        </w:rPr>
        <w:t xml:space="preserve">فقد جاء في الإبانة المطبوعة ص57 </w:t>
      </w:r>
      <w:r w:rsidR="000636C2">
        <w:rPr>
          <w:rtl/>
          <w:lang w:bidi="ar-KW"/>
        </w:rPr>
        <w:t>(</w:t>
      </w:r>
      <w:r w:rsidRPr="005675B2">
        <w:rPr>
          <w:rtl/>
          <w:lang w:bidi="ar-KW"/>
        </w:rPr>
        <w:t>وذكر هارون بن إسحاق الهمداني عن أبي نعيم عن سليمان بن عيسى القاري عن سفيان الثوري، قال</w:t>
      </w:r>
      <w:r w:rsidR="000636C2">
        <w:rPr>
          <w:rtl/>
          <w:lang w:bidi="ar-KW"/>
        </w:rPr>
        <w:t>:</w:t>
      </w:r>
      <w:r w:rsidRPr="005675B2">
        <w:rPr>
          <w:rtl/>
          <w:lang w:bidi="ar-KW"/>
        </w:rPr>
        <w:t xml:space="preserve"> قال لي حماد بن أبي سليمان</w:t>
      </w:r>
      <w:r w:rsidR="000636C2">
        <w:rPr>
          <w:rtl/>
          <w:lang w:bidi="ar-KW"/>
        </w:rPr>
        <w:t>:</w:t>
      </w:r>
      <w:r w:rsidRPr="005675B2">
        <w:rPr>
          <w:rtl/>
          <w:lang w:bidi="ar-KW"/>
        </w:rPr>
        <w:t xml:space="preserve"> بلِّغ أبا حنيفة المشرك أنِّي منه بريء</w:t>
      </w:r>
      <w:r w:rsidR="000636C2">
        <w:rPr>
          <w:rtl/>
          <w:lang w:bidi="ar-KW"/>
        </w:rPr>
        <w:t>،</w:t>
      </w:r>
      <w:r w:rsidRPr="005675B2">
        <w:rPr>
          <w:rtl/>
          <w:lang w:bidi="ar-KW"/>
        </w:rPr>
        <w:t xml:space="preserve"> قال سليمان</w:t>
      </w:r>
      <w:r w:rsidR="000636C2">
        <w:rPr>
          <w:rtl/>
          <w:lang w:bidi="ar-KW"/>
        </w:rPr>
        <w:t>:</w:t>
      </w:r>
      <w:r w:rsidRPr="005675B2">
        <w:rPr>
          <w:rtl/>
          <w:lang w:bidi="ar-KW"/>
        </w:rPr>
        <w:t xml:space="preserve"> ثم قال سفيان</w:t>
      </w:r>
      <w:r w:rsidR="000636C2">
        <w:rPr>
          <w:rtl/>
          <w:lang w:bidi="ar-KW"/>
        </w:rPr>
        <w:t>:</w:t>
      </w:r>
      <w:r w:rsidRPr="005675B2">
        <w:rPr>
          <w:rtl/>
          <w:lang w:bidi="ar-KW"/>
        </w:rPr>
        <w:t xml:space="preserve"> لأنه كان يقول القرآن مخلوق</w:t>
      </w:r>
      <w:r w:rsidR="000636C2">
        <w:rPr>
          <w:rtl/>
          <w:lang w:bidi="ar-KW"/>
        </w:rPr>
        <w:t xml:space="preserve">، </w:t>
      </w:r>
      <w:r w:rsidRPr="005675B2">
        <w:rPr>
          <w:rtl/>
          <w:lang w:bidi="ar-KW"/>
        </w:rPr>
        <w:t>وذكر سفيان بن وكيع قال عمر بن حماد بن أبي حنيفة قال أخبرني أبي قال</w:t>
      </w:r>
      <w:r w:rsidR="000636C2">
        <w:rPr>
          <w:rtl/>
          <w:lang w:bidi="ar-KW"/>
        </w:rPr>
        <w:t>:</w:t>
      </w:r>
      <w:r w:rsidRPr="005675B2">
        <w:rPr>
          <w:rtl/>
          <w:lang w:bidi="ar-KW"/>
        </w:rPr>
        <w:t xml:space="preserve"> الكلام الذي استتاب فيه ابن أبي ليلى أبا حنيفة هو قوله</w:t>
      </w:r>
      <w:r w:rsidR="000636C2">
        <w:rPr>
          <w:rtl/>
          <w:lang w:bidi="ar-KW"/>
        </w:rPr>
        <w:t>:</w:t>
      </w:r>
      <w:r w:rsidRPr="005675B2">
        <w:rPr>
          <w:rtl/>
          <w:lang w:bidi="ar-KW"/>
        </w:rPr>
        <w:t xml:space="preserve"> القرآن مخلوق</w:t>
      </w:r>
      <w:r w:rsidR="000636C2">
        <w:rPr>
          <w:rtl/>
          <w:lang w:bidi="ar-KW"/>
        </w:rPr>
        <w:t>،</w:t>
      </w:r>
      <w:r w:rsidRPr="005675B2">
        <w:rPr>
          <w:rtl/>
          <w:lang w:bidi="ar-KW"/>
        </w:rPr>
        <w:t xml:space="preserve"> قال</w:t>
      </w:r>
      <w:r w:rsidR="000636C2">
        <w:rPr>
          <w:rtl/>
          <w:lang w:bidi="ar-KW"/>
        </w:rPr>
        <w:t>:</w:t>
      </w:r>
      <w:r w:rsidRPr="005675B2">
        <w:rPr>
          <w:rtl/>
          <w:lang w:bidi="ar-KW"/>
        </w:rPr>
        <w:t xml:space="preserve"> فتاب منه وطاف به في الخلق</w:t>
      </w:r>
      <w:r w:rsidR="000636C2">
        <w:rPr>
          <w:rtl/>
          <w:lang w:bidi="ar-KW"/>
        </w:rPr>
        <w:t>،</w:t>
      </w:r>
      <w:r w:rsidRPr="005675B2">
        <w:rPr>
          <w:rtl/>
          <w:lang w:bidi="ar-KW"/>
        </w:rPr>
        <w:t xml:space="preserve"> قال أبي</w:t>
      </w:r>
      <w:r w:rsidR="000636C2">
        <w:rPr>
          <w:rtl/>
          <w:lang w:bidi="ar-KW"/>
        </w:rPr>
        <w:t>:</w:t>
      </w:r>
      <w:r w:rsidRPr="005675B2">
        <w:rPr>
          <w:rtl/>
          <w:lang w:bidi="ar-KW"/>
        </w:rPr>
        <w:t xml:space="preserve"> فقلت له كيف صرت إلى هذا</w:t>
      </w:r>
      <w:r w:rsidR="000636C2">
        <w:rPr>
          <w:rtl/>
          <w:lang w:bidi="ar-KW"/>
        </w:rPr>
        <w:t>؟</w:t>
      </w:r>
      <w:r w:rsidRPr="005675B2">
        <w:rPr>
          <w:rtl/>
          <w:lang w:bidi="ar-KW"/>
        </w:rPr>
        <w:t xml:space="preserve"> قال</w:t>
      </w:r>
      <w:r w:rsidR="000636C2">
        <w:rPr>
          <w:rtl/>
          <w:lang w:bidi="ar-KW"/>
        </w:rPr>
        <w:t>:</w:t>
      </w:r>
      <w:r w:rsidRPr="005675B2">
        <w:rPr>
          <w:rtl/>
          <w:lang w:bidi="ar-KW"/>
        </w:rPr>
        <w:t xml:space="preserve"> خفت أن يقوم عليّ، فأعطيته التقيّـة</w:t>
      </w:r>
      <w:r w:rsidR="000636C2">
        <w:rPr>
          <w:rtl/>
          <w:lang w:bidi="ar-KW"/>
        </w:rPr>
        <w:t xml:space="preserve">، </w:t>
      </w:r>
      <w:r w:rsidRPr="005675B2">
        <w:rPr>
          <w:rtl/>
          <w:lang w:bidi="ar-KW"/>
        </w:rPr>
        <w:t>وذكر هارون بن إسحاق قال سمعت إسماعيل بن أبي الحكم يذكر عن عمر بن عبيد الطنافسي أن حمّاداً</w:t>
      </w:r>
      <w:r w:rsidR="000636C2">
        <w:rPr>
          <w:rtl/>
          <w:lang w:bidi="ar-KW"/>
        </w:rPr>
        <w:t xml:space="preserve"> </w:t>
      </w:r>
      <w:r w:rsidRPr="005675B2">
        <w:rPr>
          <w:rtl/>
          <w:lang w:bidi="ar-KW"/>
        </w:rPr>
        <w:t>- يعني ابن أبي سليمان</w:t>
      </w:r>
      <w:r w:rsidR="000636C2">
        <w:rPr>
          <w:rtl/>
          <w:lang w:bidi="ar-KW"/>
        </w:rPr>
        <w:t xml:space="preserve"> </w:t>
      </w:r>
      <w:r w:rsidRPr="005675B2">
        <w:rPr>
          <w:rtl/>
          <w:lang w:bidi="ar-KW"/>
        </w:rPr>
        <w:t>- بعث إلى أبي حنيفة</w:t>
      </w:r>
      <w:r w:rsidR="000636C2">
        <w:rPr>
          <w:rtl/>
          <w:lang w:bidi="ar-KW"/>
        </w:rPr>
        <w:t>:</w:t>
      </w:r>
      <w:r w:rsidRPr="005675B2">
        <w:rPr>
          <w:rtl/>
          <w:lang w:bidi="ar-KW"/>
        </w:rPr>
        <w:t xml:space="preserve"> إني بريء مما تقول، إلا أن تتوب</w:t>
      </w:r>
      <w:r w:rsidR="000636C2">
        <w:rPr>
          <w:rtl/>
          <w:lang w:bidi="ar-KW"/>
        </w:rPr>
        <w:t>،</w:t>
      </w:r>
      <w:r w:rsidRPr="005675B2">
        <w:rPr>
          <w:rtl/>
          <w:lang w:bidi="ar-KW"/>
        </w:rPr>
        <w:t xml:space="preserve"> وكان عنده ابن أبي عقبة، قال، فقال</w:t>
      </w:r>
      <w:r w:rsidR="000636C2">
        <w:rPr>
          <w:rtl/>
          <w:lang w:bidi="ar-KW"/>
        </w:rPr>
        <w:t>:</w:t>
      </w:r>
      <w:r w:rsidRPr="005675B2">
        <w:rPr>
          <w:rtl/>
          <w:lang w:bidi="ar-KW"/>
        </w:rPr>
        <w:t xml:space="preserve"> أخبرني جارك أن أبا حنيفة دعاه إلى ما استتيب منه بعد ما استتيب</w:t>
      </w:r>
      <w:r w:rsidR="000636C2">
        <w:rPr>
          <w:rtl/>
          <w:lang w:bidi="ar-KW"/>
        </w:rPr>
        <w:t xml:space="preserve">، </w:t>
      </w:r>
      <w:r w:rsidRPr="005675B2">
        <w:rPr>
          <w:rtl/>
          <w:lang w:bidi="ar-KW"/>
        </w:rPr>
        <w:t>وذكر عن أبي يوسف قال</w:t>
      </w:r>
      <w:r w:rsidR="000636C2">
        <w:rPr>
          <w:rtl/>
          <w:lang w:bidi="ar-KW"/>
        </w:rPr>
        <w:t>:</w:t>
      </w:r>
      <w:r w:rsidRPr="005675B2">
        <w:rPr>
          <w:rtl/>
          <w:lang w:bidi="ar-KW"/>
        </w:rPr>
        <w:t xml:space="preserve"> ناظرت أبا حنيفة شهرين حتى رجع عن خلق القرآن</w:t>
      </w:r>
      <w:r w:rsidR="000636C2">
        <w:rPr>
          <w:rtl/>
          <w:lang w:bidi="ar-KW"/>
        </w:rPr>
        <w:t>)</w:t>
      </w:r>
      <w:r w:rsidRPr="005675B2">
        <w:rPr>
          <w:rtl/>
          <w:lang w:bidi="ar-KW"/>
        </w:rPr>
        <w:t xml:space="preserve"> اهـ</w:t>
      </w:r>
      <w:r w:rsidR="000636C2">
        <w:rPr>
          <w:rtl/>
          <w:lang w:bidi="ar-KW"/>
        </w:rPr>
        <w:t xml:space="preserve">، </w:t>
      </w:r>
      <w:r w:rsidRPr="005675B2">
        <w:rPr>
          <w:rtl/>
          <w:lang w:bidi="ar-KW"/>
        </w:rPr>
        <w:t>ترى هل نحن بحاجة إلى إثبات كذب مثل هذه الأخبار وأنها مدسوسة في كتاب الإمام الأشعري، أم أنه يكفي عزوها إلى الإبانة المطبوعة لكي يُعلم تحريفها وتلاعـب الأيـدي فيها</w:t>
      </w:r>
      <w:r w:rsidR="000636C2">
        <w:rPr>
          <w:rtl/>
          <w:lang w:bidi="ar-KW"/>
        </w:rPr>
        <w:t>؟!</w:t>
      </w:r>
      <w:r w:rsidR="000636C2">
        <w:rPr>
          <w:rFonts w:hint="cs"/>
          <w:rtl/>
          <w:lang w:bidi="ar-KW"/>
        </w:rPr>
        <w:t xml:space="preserve"> </w:t>
      </w:r>
      <w:r w:rsidRPr="005675B2">
        <w:rPr>
          <w:rtl/>
          <w:lang w:bidi="ar-KW"/>
        </w:rPr>
        <w:t>وفي طبعة الدكتورة فوقية ص90-91 جاء بعد الخبر الأول بعد قول سفيان</w:t>
      </w:r>
      <w:r w:rsidR="000636C2">
        <w:rPr>
          <w:rtl/>
          <w:lang w:bidi="ar-KW"/>
        </w:rPr>
        <w:t>:</w:t>
      </w:r>
      <w:r w:rsidRPr="005675B2">
        <w:rPr>
          <w:rtl/>
          <w:lang w:bidi="ar-KW"/>
        </w:rPr>
        <w:t xml:space="preserve"> لأنه يقول القرآن مخلوق</w:t>
      </w:r>
      <w:r w:rsidR="000636C2">
        <w:rPr>
          <w:rtl/>
          <w:lang w:bidi="ar-KW"/>
        </w:rPr>
        <w:t>،</w:t>
      </w:r>
      <w:r w:rsidRPr="005675B2">
        <w:rPr>
          <w:rtl/>
          <w:lang w:bidi="ar-KW"/>
        </w:rPr>
        <w:t xml:space="preserve"> ما نصُّه</w:t>
      </w:r>
      <w:r w:rsidR="000636C2">
        <w:rPr>
          <w:rtl/>
          <w:lang w:bidi="ar-KW"/>
        </w:rPr>
        <w:t>:</w:t>
      </w:r>
      <w:r w:rsidRPr="005675B2">
        <w:rPr>
          <w:rtl/>
          <w:lang w:bidi="ar-KW"/>
        </w:rPr>
        <w:t xml:space="preserve"> </w:t>
      </w:r>
      <w:r w:rsidR="000636C2">
        <w:rPr>
          <w:bCs/>
          <w:rtl/>
          <w:lang w:bidi="ar-KW"/>
        </w:rPr>
        <w:t>(</w:t>
      </w:r>
      <w:r w:rsidRPr="005675B2">
        <w:rPr>
          <w:bCs/>
          <w:rtl/>
          <w:lang w:bidi="ar-KW"/>
        </w:rPr>
        <w:t>وحاشى الإمام الأعظم أبو حنيفة رضي الله عنه من هذا القول بل هو زور وباطل فإن أبا حنيفة من أفضل أهل السنة</w:t>
      </w:r>
      <w:r w:rsidR="000636C2">
        <w:rPr>
          <w:bCs/>
          <w:rtl/>
          <w:lang w:bidi="ar-KW"/>
        </w:rPr>
        <w:t>)</w:t>
      </w:r>
      <w:r w:rsidRPr="005675B2">
        <w:rPr>
          <w:bCs/>
          <w:rtl/>
          <w:lang w:bidi="ar-KW"/>
        </w:rPr>
        <w:t xml:space="preserve"> اهـ</w:t>
      </w:r>
      <w:r w:rsidR="000636C2">
        <w:rPr>
          <w:bCs/>
          <w:rtl/>
          <w:lang w:bidi="ar-KW"/>
        </w:rPr>
        <w:t>،</w:t>
      </w:r>
      <w:r w:rsidRPr="005675B2">
        <w:rPr>
          <w:bCs/>
          <w:rtl/>
          <w:lang w:bidi="ar-KW"/>
        </w:rPr>
        <w:t xml:space="preserve"> </w:t>
      </w:r>
      <w:r w:rsidRPr="005675B2">
        <w:rPr>
          <w:rtl/>
          <w:lang w:bidi="ar-KW"/>
        </w:rPr>
        <w:t>وجاء فيها بعد قول ابن أبي عقبة</w:t>
      </w:r>
      <w:r w:rsidR="000636C2">
        <w:rPr>
          <w:rtl/>
          <w:lang w:bidi="ar-KW"/>
        </w:rPr>
        <w:t>:</w:t>
      </w:r>
      <w:r w:rsidRPr="005675B2">
        <w:rPr>
          <w:rtl/>
          <w:lang w:bidi="ar-KW"/>
        </w:rPr>
        <w:t xml:space="preserve"> أخبرني جارك أن أبا حنيفة دعاه لما استتيب منه بعد ما استتيب</w:t>
      </w:r>
      <w:r w:rsidR="000636C2">
        <w:rPr>
          <w:rtl/>
          <w:lang w:bidi="ar-KW"/>
        </w:rPr>
        <w:t>،</w:t>
      </w:r>
      <w:r w:rsidRPr="005675B2">
        <w:rPr>
          <w:rtl/>
          <w:lang w:bidi="ar-KW"/>
        </w:rPr>
        <w:t xml:space="preserve"> ما نصُّه</w:t>
      </w:r>
      <w:r w:rsidR="000636C2">
        <w:rPr>
          <w:rtl/>
          <w:lang w:bidi="ar-KW"/>
        </w:rPr>
        <w:t>:</w:t>
      </w:r>
      <w:r w:rsidRPr="005675B2">
        <w:rPr>
          <w:rtl/>
          <w:lang w:bidi="ar-KW"/>
        </w:rPr>
        <w:t xml:space="preserve"> </w:t>
      </w:r>
      <w:r w:rsidR="000636C2">
        <w:rPr>
          <w:bCs/>
          <w:rtl/>
          <w:lang w:bidi="ar-KW"/>
        </w:rPr>
        <w:t>(</w:t>
      </w:r>
      <w:r w:rsidRPr="005675B2">
        <w:rPr>
          <w:bCs/>
          <w:rtl/>
          <w:lang w:bidi="ar-KW"/>
        </w:rPr>
        <w:t>وهذا كذب محض على أبي حنيفة رضي الله عنه</w:t>
      </w:r>
      <w:r w:rsidR="000636C2">
        <w:rPr>
          <w:bCs/>
          <w:rtl/>
          <w:lang w:bidi="ar-KW"/>
        </w:rPr>
        <w:t>)</w:t>
      </w:r>
      <w:r w:rsidRPr="005675B2">
        <w:rPr>
          <w:bCs/>
          <w:rtl/>
          <w:lang w:bidi="ar-KW"/>
        </w:rPr>
        <w:t xml:space="preserve"> اهـ</w:t>
      </w:r>
      <w:r w:rsidR="000636C2">
        <w:rPr>
          <w:bCs/>
          <w:rtl/>
          <w:lang w:bidi="ar-KW"/>
        </w:rPr>
        <w:t>،</w:t>
      </w:r>
      <w:r w:rsidRPr="005675B2">
        <w:rPr>
          <w:bCs/>
          <w:rtl/>
          <w:lang w:bidi="ar-KW"/>
        </w:rPr>
        <w:t xml:space="preserve"> قال العلامة الكوثري</w:t>
      </w:r>
      <w:r w:rsidRPr="005675B2">
        <w:rPr>
          <w:rtl/>
          <w:lang w:bidi="ar-KW"/>
        </w:rPr>
        <w:t xml:space="preserve"> رحمه الله تعالى في تعليقه على كتاب الاختلاف في اللفظ لابن قتيبة، في هامش ص49، ما نصُّه </w:t>
      </w:r>
      <w:r w:rsidR="000636C2">
        <w:rPr>
          <w:rtl/>
          <w:lang w:bidi="ar-KW"/>
        </w:rPr>
        <w:t>(</w:t>
      </w:r>
      <w:r w:rsidRPr="005675B2">
        <w:rPr>
          <w:rtl/>
          <w:lang w:bidi="ar-KW"/>
        </w:rPr>
        <w:t>ومن غريب التحريف ما دُسَّ في بعض نسخ الإبانة للأشعري كما دُسَّ فيها أشياء أخر من أن حمّاد بن أبي سليمان قال " بلِّغ أبا حنيفة المشرك أني بريء من دينه " وكان يقول بخلق القرآن</w:t>
      </w:r>
      <w:r w:rsidR="000636C2">
        <w:rPr>
          <w:rtl/>
          <w:lang w:bidi="ar-KW"/>
        </w:rPr>
        <w:t>،</w:t>
      </w:r>
      <w:r w:rsidRPr="005675B2">
        <w:rPr>
          <w:rtl/>
          <w:lang w:bidi="ar-KW"/>
        </w:rPr>
        <w:t xml:space="preserve"> فإن لفظ حمّاد " بلّغ أبا فلان " لا أبا حنيفة</w:t>
      </w:r>
      <w:r w:rsidR="000636C2">
        <w:rPr>
          <w:rtl/>
          <w:lang w:bidi="ar-KW"/>
        </w:rPr>
        <w:t>!</w:t>
      </w:r>
      <w:r w:rsidRPr="005675B2">
        <w:rPr>
          <w:rtl/>
          <w:lang w:bidi="ar-KW"/>
        </w:rPr>
        <w:t xml:space="preserve"> كما في أول خلق الأفعال للبخاري، وجعل من لا يخاف الله لفظ " أبا حنيـفة " فـي موضـع " أبا فلان " والله أعلم من هو أبو فلان هذا، وما هي المسألة ..</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وفي كتاب الاعتقاد للبيهقي</w:t>
      </w:r>
      <w:r w:rsidRPr="005675B2">
        <w:rPr>
          <w:rtl/>
          <w:lang w:bidi="ar-KW"/>
        </w:rPr>
        <w:t xml:space="preserve"> </w:t>
      </w:r>
      <w:r w:rsidR="000636C2">
        <w:rPr>
          <w:rtl/>
          <w:lang w:bidi="ar-KW"/>
        </w:rPr>
        <w:t>(</w:t>
      </w:r>
      <w:r w:rsidRPr="005675B2">
        <w:rPr>
          <w:rtl/>
          <w:lang w:bidi="ar-KW"/>
        </w:rPr>
        <w:t>ص 112</w:t>
      </w:r>
      <w:r w:rsidR="000636C2">
        <w:rPr>
          <w:rtl/>
          <w:lang w:bidi="ar-KW"/>
        </w:rPr>
        <w:t>):</w:t>
      </w:r>
      <w:r w:rsidRPr="005675B2">
        <w:rPr>
          <w:rFonts w:hint="cs"/>
          <w:rtl/>
          <w:lang w:bidi="ar-KW"/>
        </w:rPr>
        <w:t xml:space="preserve"> </w:t>
      </w:r>
      <w:r w:rsidR="000636C2">
        <w:rPr>
          <w:rtl/>
          <w:lang w:bidi="ar-KW"/>
        </w:rPr>
        <w:t>(</w:t>
      </w:r>
      <w:r w:rsidRPr="005675B2">
        <w:rPr>
          <w:rtl/>
          <w:lang w:bidi="ar-KW"/>
        </w:rPr>
        <w:t>روّينا عن محمد بن سعيد بن سابق أنه قال</w:t>
      </w:r>
      <w:r w:rsidR="000636C2">
        <w:rPr>
          <w:rtl/>
          <w:lang w:bidi="ar-KW"/>
        </w:rPr>
        <w:t>:</w:t>
      </w:r>
      <w:r w:rsidRPr="005675B2">
        <w:rPr>
          <w:rtl/>
          <w:lang w:bidi="ar-KW"/>
        </w:rPr>
        <w:t xml:space="preserve"> سألت أبا يوسف فقلت</w:t>
      </w:r>
      <w:r w:rsidR="000636C2">
        <w:rPr>
          <w:rtl/>
          <w:lang w:bidi="ar-KW"/>
        </w:rPr>
        <w:t>:</w:t>
      </w:r>
      <w:r w:rsidRPr="005675B2">
        <w:rPr>
          <w:rtl/>
          <w:lang w:bidi="ar-KW"/>
        </w:rPr>
        <w:t xml:space="preserve"> أكان أبو حنيفة يقول القرآن مخلوق</w:t>
      </w:r>
      <w:r w:rsidR="000636C2">
        <w:rPr>
          <w:rtl/>
          <w:lang w:bidi="ar-KW"/>
        </w:rPr>
        <w:t>؟</w:t>
      </w:r>
      <w:r w:rsidRPr="005675B2">
        <w:rPr>
          <w:rtl/>
          <w:lang w:bidi="ar-KW"/>
        </w:rPr>
        <w:t xml:space="preserve"> فقال</w:t>
      </w:r>
      <w:r w:rsidR="000636C2">
        <w:rPr>
          <w:rtl/>
          <w:lang w:bidi="ar-KW"/>
        </w:rPr>
        <w:t>:</w:t>
      </w:r>
      <w:r w:rsidRPr="005675B2">
        <w:rPr>
          <w:rtl/>
          <w:lang w:bidi="ar-KW"/>
        </w:rPr>
        <w:t xml:space="preserve"> معاذ الله، ولا أنا أقوله</w:t>
      </w:r>
      <w:r w:rsidR="000636C2">
        <w:rPr>
          <w:rtl/>
          <w:lang w:bidi="ar-KW"/>
        </w:rPr>
        <w:t>،</w:t>
      </w:r>
      <w:r w:rsidRPr="005675B2">
        <w:rPr>
          <w:rtl/>
          <w:lang w:bidi="ar-KW"/>
        </w:rPr>
        <w:t xml:space="preserve"> فقلت</w:t>
      </w:r>
      <w:r w:rsidR="000636C2">
        <w:rPr>
          <w:rtl/>
          <w:lang w:bidi="ar-KW"/>
        </w:rPr>
        <w:t>:</w:t>
      </w:r>
      <w:r w:rsidRPr="005675B2">
        <w:rPr>
          <w:rtl/>
          <w:lang w:bidi="ar-KW"/>
        </w:rPr>
        <w:t xml:space="preserve"> أكان يرى رأي جهم</w:t>
      </w:r>
      <w:r w:rsidR="000636C2">
        <w:rPr>
          <w:rtl/>
          <w:lang w:bidi="ar-KW"/>
        </w:rPr>
        <w:t>؟</w:t>
      </w:r>
      <w:r w:rsidRPr="005675B2">
        <w:rPr>
          <w:rtl/>
          <w:lang w:bidi="ar-KW"/>
        </w:rPr>
        <w:t xml:space="preserve"> فقال</w:t>
      </w:r>
      <w:r w:rsidR="000636C2">
        <w:rPr>
          <w:rtl/>
          <w:lang w:bidi="ar-KW"/>
        </w:rPr>
        <w:t>:</w:t>
      </w:r>
      <w:r w:rsidRPr="005675B2">
        <w:rPr>
          <w:rtl/>
          <w:lang w:bidi="ar-KW"/>
        </w:rPr>
        <w:t xml:space="preserve"> معاذ الله، ولا أنا أقوله</w:t>
      </w:r>
      <w:r w:rsidR="000636C2">
        <w:rPr>
          <w:rtl/>
          <w:lang w:bidi="ar-KW"/>
        </w:rPr>
        <w:t>،</w:t>
      </w:r>
      <w:r w:rsidRPr="005675B2">
        <w:rPr>
          <w:rtl/>
          <w:lang w:bidi="ar-KW"/>
        </w:rPr>
        <w:t xml:space="preserve"> رواته ثقات</w:t>
      </w:r>
      <w:r w:rsidR="000636C2">
        <w:rPr>
          <w:rtl/>
          <w:lang w:bidi="ar-KW"/>
        </w:rPr>
        <w:t>)</w:t>
      </w:r>
      <w:r w:rsidRPr="005675B2">
        <w:rPr>
          <w:rtl/>
          <w:lang w:bidi="ar-KW"/>
        </w:rPr>
        <w:t xml:space="preserve"> اهـ</w:t>
      </w:r>
      <w:r w:rsidR="000636C2">
        <w:rPr>
          <w:rtl/>
          <w:lang w:bidi="ar-KW"/>
        </w:rPr>
        <w:t xml:space="preserve">، </w:t>
      </w:r>
      <w:r w:rsidRPr="005675B2">
        <w:rPr>
          <w:bCs/>
          <w:rtl/>
          <w:lang w:bidi="ar-KW"/>
        </w:rPr>
        <w:t>وقال الشيخ وهبي غاوجي</w:t>
      </w:r>
      <w:r w:rsidRPr="005675B2">
        <w:rPr>
          <w:rtl/>
          <w:lang w:bidi="ar-KW"/>
        </w:rPr>
        <w:t xml:space="preserve"> حفظه الله </w:t>
      </w:r>
      <w:r w:rsidR="000636C2">
        <w:rPr>
          <w:rtl/>
          <w:lang w:bidi="ar-KW"/>
        </w:rPr>
        <w:t>(</w:t>
      </w:r>
      <w:r w:rsidRPr="005675B2">
        <w:rPr>
          <w:rtl/>
          <w:lang w:bidi="ar-KW"/>
        </w:rPr>
        <w:t>نظرة علمية في نسبة كتاب الإبانة جميعه .. ص20</w:t>
      </w:r>
      <w:r w:rsidR="000636C2">
        <w:rPr>
          <w:rtl/>
          <w:lang w:bidi="ar-KW"/>
        </w:rPr>
        <w:t>):</w:t>
      </w:r>
      <w:r w:rsidRPr="005675B2">
        <w:rPr>
          <w:rFonts w:hint="cs"/>
          <w:rtl/>
          <w:lang w:bidi="ar-KW"/>
        </w:rPr>
        <w:t xml:space="preserve"> </w:t>
      </w:r>
      <w:r w:rsidR="000636C2">
        <w:rPr>
          <w:rtl/>
          <w:lang w:bidi="ar-KW"/>
        </w:rPr>
        <w:t>(</w:t>
      </w:r>
      <w:r w:rsidRPr="005675B2">
        <w:rPr>
          <w:rtl/>
          <w:lang w:bidi="ar-KW"/>
        </w:rPr>
        <w:t>ولا بأس أن نقول</w:t>
      </w:r>
      <w:r w:rsidR="000636C2">
        <w:rPr>
          <w:rtl/>
          <w:lang w:bidi="ar-KW"/>
        </w:rPr>
        <w:t>:</w:t>
      </w:r>
      <w:r w:rsidRPr="005675B2">
        <w:rPr>
          <w:rtl/>
          <w:lang w:bidi="ar-KW"/>
        </w:rPr>
        <w:t xml:space="preserve"> لو كان الإمام الأشعري رحمه الله تعالى نسب حقاً إلى الإمام</w:t>
      </w:r>
      <w:r w:rsidR="000636C2">
        <w:rPr>
          <w:rtl/>
          <w:lang w:bidi="ar-KW"/>
        </w:rPr>
        <w:t xml:space="preserve"> </w:t>
      </w:r>
      <w:r w:rsidRPr="005675B2">
        <w:rPr>
          <w:rtl/>
          <w:lang w:bidi="ar-KW"/>
        </w:rPr>
        <w:t>- يعني أبا حنيفة</w:t>
      </w:r>
      <w:r w:rsidR="000636C2">
        <w:rPr>
          <w:rtl/>
          <w:lang w:bidi="ar-KW"/>
        </w:rPr>
        <w:t xml:space="preserve"> </w:t>
      </w:r>
      <w:r w:rsidRPr="005675B2">
        <w:rPr>
          <w:rtl/>
          <w:lang w:bidi="ar-KW"/>
        </w:rPr>
        <w:t>- القول بخلق القرآن لما كان للإمام الأشعري تلك المكانة العالية عند الحنفية أتباع الإمام أبي حنيفة رحمه الله تعالى</w:t>
      </w:r>
      <w:r w:rsidR="000636C2">
        <w:rPr>
          <w:rtl/>
          <w:lang w:bidi="ar-KW"/>
        </w:rPr>
        <w:t>،</w:t>
      </w:r>
      <w:r w:rsidRPr="005675B2">
        <w:rPr>
          <w:rtl/>
          <w:lang w:bidi="ar-KW"/>
        </w:rPr>
        <w:t xml:space="preserve"> فلا تلتفت أيها القارئ إلى تلك النقول المبتورة مبتدأً والباطلة سنداً، وأحسن الظن بالإمام الأشعري كما تحسن الظن بإمام الأئمة الفقهاء وسائر الأئمة رضوان الله تعالى عليهم</w:t>
      </w:r>
      <w:r w:rsidR="000636C2">
        <w:rPr>
          <w:rtl/>
          <w:lang w:bidi="ar-KW"/>
        </w:rPr>
        <w:t>،</w:t>
      </w:r>
      <w:r w:rsidRPr="005675B2">
        <w:rPr>
          <w:rtl/>
          <w:lang w:bidi="ar-KW"/>
        </w:rPr>
        <w:t xml:space="preserve"> وتذكر أنه أُدخِل الكثيرُ من الأباطيل على حديث رسول الله صلى الله عليه وسلم، رُكّبت لها أسانيد باطلة، لكلمات باطلة</w:t>
      </w:r>
      <w:r w:rsidR="000636C2">
        <w:rPr>
          <w:rtl/>
          <w:lang w:bidi="ar-KW"/>
        </w:rPr>
        <w:t>،</w:t>
      </w:r>
      <w:r w:rsidRPr="005675B2">
        <w:rPr>
          <w:rtl/>
          <w:lang w:bidi="ar-KW"/>
        </w:rPr>
        <w:t xml:space="preserve"> كذلك ولا تنس أنه حُشِر في كتب كثير من العلماء كلماتٌ وعبارات وحذف منها كلمـات وعبارات حتى في حيـاة أصحابها</w:t>
      </w:r>
      <w:r w:rsidR="000636C2">
        <w:rPr>
          <w:rtl/>
          <w:lang w:bidi="ar-KW"/>
        </w:rPr>
        <w:t>)</w:t>
      </w:r>
      <w:r w:rsidRPr="005675B2">
        <w:rPr>
          <w:rtl/>
          <w:lang w:bidi="ar-KW"/>
        </w:rPr>
        <w:t xml:space="preserve"> اهـ</w:t>
      </w:r>
      <w:r w:rsidR="000636C2">
        <w:rPr>
          <w:rtl/>
          <w:lang w:bidi="ar-KW"/>
        </w:rPr>
        <w:t>،</w:t>
      </w:r>
      <w:r w:rsidRPr="005675B2">
        <w:rPr>
          <w:rtl/>
          <w:lang w:bidi="ar-KW"/>
        </w:rPr>
        <w:t xml:space="preserve"> ومن هذه الأمثلة أيضاً ما جاء في الطبعة المتداولة عند ذكر الاستواء ص69 </w:t>
      </w:r>
      <w:r w:rsidR="000636C2">
        <w:rPr>
          <w:rtl/>
          <w:lang w:bidi="ar-KW"/>
        </w:rPr>
        <w:t>(</w:t>
      </w:r>
      <w:r w:rsidRPr="005675B2">
        <w:rPr>
          <w:rtl/>
          <w:lang w:bidi="ar-KW"/>
        </w:rPr>
        <w:t>إن قال قائل</w:t>
      </w:r>
      <w:r w:rsidR="000636C2">
        <w:rPr>
          <w:rtl/>
          <w:lang w:bidi="ar-KW"/>
        </w:rPr>
        <w:t>:</w:t>
      </w:r>
      <w:r w:rsidRPr="005675B2">
        <w:rPr>
          <w:rtl/>
          <w:lang w:bidi="ar-KW"/>
        </w:rPr>
        <w:t xml:space="preserve"> ما تقولون في الاستواء</w:t>
      </w:r>
      <w:r w:rsidR="000636C2">
        <w:rPr>
          <w:rtl/>
          <w:lang w:bidi="ar-KW"/>
        </w:rPr>
        <w:t>؟</w:t>
      </w:r>
      <w:r w:rsidRPr="005675B2">
        <w:rPr>
          <w:rtl/>
          <w:lang w:bidi="ar-KW"/>
        </w:rPr>
        <w:t xml:space="preserve"> قيل له نقول</w:t>
      </w:r>
      <w:r w:rsidR="000636C2">
        <w:rPr>
          <w:rtl/>
          <w:lang w:bidi="ar-KW"/>
        </w:rPr>
        <w:t>:</w:t>
      </w:r>
      <w:r w:rsidRPr="005675B2">
        <w:rPr>
          <w:rtl/>
          <w:lang w:bidi="ar-KW"/>
        </w:rPr>
        <w:t xml:space="preserve"> إن الله عز وجل مستوٍ على عرشه كما قال </w:t>
      </w:r>
      <w:r w:rsidR="000636C2">
        <w:rPr>
          <w:bCs/>
          <w:rtl/>
          <w:lang w:bidi="ar-KW"/>
        </w:rPr>
        <w:t>(</w:t>
      </w:r>
      <w:r w:rsidRPr="005675B2">
        <w:rPr>
          <w:bCs/>
          <w:rtl/>
          <w:lang w:bidi="ar-KW"/>
        </w:rPr>
        <w:t>الرحمن على العرش استوى</w:t>
      </w:r>
      <w:r w:rsidR="000636C2">
        <w:rPr>
          <w:bCs/>
          <w:rtl/>
          <w:lang w:bidi="ar-KW"/>
        </w:rPr>
        <w:t>)</w:t>
      </w:r>
      <w:r w:rsidR="000636C2">
        <w:rPr>
          <w:rFonts w:hint="cs"/>
          <w:rtl/>
          <w:lang w:bidi="ar-KW"/>
        </w:rPr>
        <w:t>،</w:t>
      </w:r>
      <w:r w:rsidRPr="005675B2">
        <w:rPr>
          <w:rFonts w:hint="cs"/>
          <w:rtl/>
          <w:lang w:bidi="ar-KW"/>
        </w:rPr>
        <w:t xml:space="preserve"> </w:t>
      </w:r>
      <w:r w:rsidRPr="005675B2">
        <w:rPr>
          <w:rtl/>
          <w:lang w:bidi="ar-KW"/>
        </w:rPr>
        <w:t xml:space="preserve">وفي طبعة الدكتورة فوقية ص105 </w:t>
      </w:r>
      <w:r w:rsidR="000636C2">
        <w:rPr>
          <w:rtl/>
          <w:lang w:bidi="ar-KW"/>
        </w:rPr>
        <w:t>(</w:t>
      </w:r>
      <w:r w:rsidRPr="005675B2">
        <w:rPr>
          <w:rtl/>
          <w:lang w:bidi="ar-KW"/>
        </w:rPr>
        <w:t xml:space="preserve">.. نقول إن الله عز وجل استوى على عرشه </w:t>
      </w:r>
      <w:r w:rsidRPr="005675B2">
        <w:rPr>
          <w:bCs/>
          <w:rtl/>
          <w:lang w:bidi="ar-KW"/>
        </w:rPr>
        <w:t>استواءً يليق به من غير حلول ولا استقرار ..</w:t>
      </w:r>
      <w:r w:rsidR="000636C2">
        <w:rPr>
          <w:bCs/>
          <w:rtl/>
          <w:lang w:bidi="ar-KW"/>
        </w:rPr>
        <w:t>)</w:t>
      </w:r>
      <w:r w:rsidR="000636C2">
        <w:rPr>
          <w:rFonts w:hint="cs"/>
          <w:bCs/>
          <w:rtl/>
          <w:lang w:bidi="ar-KW"/>
        </w:rPr>
        <w:t xml:space="preserve">، </w:t>
      </w:r>
      <w:r w:rsidRPr="005675B2">
        <w:rPr>
          <w:rtl/>
          <w:lang w:bidi="ar-KW"/>
        </w:rPr>
        <w:t>فالعبارة الأخيرة محذوفة من الطبعة المتداولة</w:t>
      </w:r>
      <w:r w:rsidR="000636C2">
        <w:rPr>
          <w:rtl/>
          <w:lang w:bidi="ar-KW"/>
        </w:rPr>
        <w:t>!</w:t>
      </w:r>
      <w:r w:rsidRPr="005675B2">
        <w:rPr>
          <w:rtl/>
          <w:lang w:bidi="ar-KW"/>
        </w:rPr>
        <w:t>!</w:t>
      </w:r>
      <w:r w:rsidR="000636C2">
        <w:rPr>
          <w:rFonts w:hint="cs"/>
          <w:rtl/>
          <w:lang w:bidi="ar-KW"/>
        </w:rPr>
        <w:t xml:space="preserve"> </w:t>
      </w:r>
      <w:r w:rsidRPr="005675B2">
        <w:rPr>
          <w:rtl/>
          <w:lang w:bidi="ar-KW"/>
        </w:rPr>
        <w:t xml:space="preserve">وفي ص73 من الإبانة المتداولة </w:t>
      </w:r>
      <w:r w:rsidR="000636C2">
        <w:rPr>
          <w:rtl/>
          <w:lang w:bidi="ar-KW"/>
        </w:rPr>
        <w:t>(</w:t>
      </w:r>
      <w:r w:rsidRPr="005675B2">
        <w:rPr>
          <w:rtl/>
          <w:lang w:bidi="ar-KW"/>
        </w:rPr>
        <w:t>فكل ذلك يدل على أنه تعالى في السماء مستوٍ على عرشـه، والسماء بإجماع الناس ليست الأرض، فدل على أن الله تعالى منفرد بوحدانيته مستوٍ على عرشه</w:t>
      </w:r>
      <w:r w:rsidR="000636C2">
        <w:rPr>
          <w:rtl/>
          <w:lang w:bidi="ar-KW"/>
        </w:rPr>
        <w:t>)</w:t>
      </w:r>
      <w:r w:rsidRPr="005675B2">
        <w:rPr>
          <w:rtl/>
          <w:lang w:bidi="ar-KW"/>
        </w:rPr>
        <w:t xml:space="preserve"> اهـ</w:t>
      </w:r>
      <w:r w:rsidR="000636C2">
        <w:rPr>
          <w:rtl/>
          <w:lang w:bidi="ar-KW"/>
        </w:rPr>
        <w:t>،</w:t>
      </w:r>
      <w:r w:rsidRPr="005675B2">
        <w:rPr>
          <w:rtl/>
          <w:lang w:bidi="ar-KW"/>
        </w:rPr>
        <w:t xml:space="preserve"> وفي طبعة الدكتورة فوقية ص113 </w:t>
      </w:r>
      <w:r w:rsidR="000636C2">
        <w:rPr>
          <w:rtl/>
          <w:lang w:bidi="ar-KW"/>
        </w:rPr>
        <w:t>(</w:t>
      </w:r>
      <w:r w:rsidRPr="005675B2">
        <w:rPr>
          <w:rtl/>
          <w:lang w:bidi="ar-KW"/>
        </w:rPr>
        <w:t xml:space="preserve">فدل على أنه تعالى منفرد بوحدانيته مستوٍ على عرشه </w:t>
      </w:r>
      <w:r w:rsidRPr="005675B2">
        <w:rPr>
          <w:bCs/>
          <w:rtl/>
          <w:lang w:bidi="ar-KW"/>
        </w:rPr>
        <w:t>استواءً منزهاً عن الحلول والاتحاد</w:t>
      </w:r>
      <w:r w:rsidR="000636C2">
        <w:rPr>
          <w:rtl/>
          <w:lang w:bidi="ar-KW"/>
        </w:rPr>
        <w:t>)</w:t>
      </w:r>
      <w:r w:rsidRPr="005675B2">
        <w:rPr>
          <w:rtl/>
          <w:lang w:bidi="ar-KW"/>
        </w:rPr>
        <w:t xml:space="preserve"> اهـ</w:t>
      </w:r>
      <w:r w:rsidR="000636C2">
        <w:rPr>
          <w:rtl/>
          <w:lang w:bidi="ar-KW"/>
        </w:rPr>
        <w:t>،</w:t>
      </w:r>
      <w:r w:rsidRPr="005675B2">
        <w:rPr>
          <w:rtl/>
          <w:lang w:bidi="ar-KW"/>
        </w:rPr>
        <w:t xml:space="preserve"> إلى غير ذلك من عشرات الأمثلة الدالَّة دلالة قاطعة على تحريف الكتاب، والقاضية بعدم جواز اعتبار معظمه ممثلاً لعقيدة الإمام الأشعري إلا في ما وافق قول الكافة من أهل العلم والنقل عنه</w:t>
      </w:r>
      <w:r w:rsidR="000636C2">
        <w:rPr>
          <w:rtl/>
          <w:lang w:bidi="ar-KW"/>
        </w:rPr>
        <w:t>،</w:t>
      </w:r>
      <w:r w:rsidRPr="005675B2">
        <w:rPr>
          <w:rtl/>
          <w:lang w:bidi="ar-KW"/>
        </w:rPr>
        <w:t xml:space="preserve"> فإذا ثبت</w:t>
      </w:r>
      <w:r w:rsidR="000636C2">
        <w:rPr>
          <w:rtl/>
          <w:lang w:bidi="ar-KW"/>
        </w:rPr>
        <w:t xml:space="preserve"> </w:t>
      </w:r>
      <w:r w:rsidRPr="005675B2">
        <w:rPr>
          <w:rtl/>
          <w:lang w:bidi="ar-KW"/>
        </w:rPr>
        <w:t>- كما مرَّ معنا</w:t>
      </w:r>
      <w:r w:rsidR="000636C2">
        <w:rPr>
          <w:rtl/>
          <w:lang w:bidi="ar-KW"/>
        </w:rPr>
        <w:t xml:space="preserve"> </w:t>
      </w:r>
      <w:r w:rsidRPr="005675B2">
        <w:rPr>
          <w:rtl/>
          <w:lang w:bidi="ar-KW"/>
        </w:rPr>
        <w:t>- تاريخيّاً أن الإمام بعد رجوعه عن الاعتزال كان على منهج السلف وأهل السنة، وإذا ثبت أيضاً أن الإمام ابن كلاب كان من أئمة السلف وعلى نهـج السنة، وإذا ثبت أيضاً أن كتاب الإبانة الذي بنيت عليه هذه الدعوى من أساسها هو في حقيقة الأمر مؤلف على طريقة ابن كلاب التي هي ذاتها طريقة السلف، إذا ثبت ذلك ثبت بناءً عليه أن الإمام لم يمرَّ بثلاث مراحل في حياته، وإنما هما مرحلتان مرحلة الاعتزال في بداية حياته ثم مرحلة عودته ورجوعه إلى طريق السلف</w:t>
      </w:r>
      <w:r w:rsidR="000636C2">
        <w:rPr>
          <w:rtl/>
          <w:lang w:bidi="ar-KW"/>
        </w:rPr>
        <w:t>،</w:t>
      </w:r>
      <w:r w:rsidRPr="005675B2">
        <w:rPr>
          <w:rtl/>
          <w:lang w:bidi="ar-KW"/>
        </w:rPr>
        <w:t xml:space="preserve"> ولا نعلم لمن يقول بهذه الدعوى دليلاً على ما ذهب إليه إلا الاعتماد على أسلوب الإبانة وبعض الرسائل الأخرى والطريقة التي كتبت عليها، لأن الإمام قد سلك في الإبانة طريق التفويض، وهي طريقة جمهور السلف، وهي في حقيقتها لا تنافي بينها وبين طريق التأويل بشرطه، والأشاعرة يعتقدون كل ما في الإبانة</w:t>
      </w:r>
      <w:r w:rsidR="000636C2">
        <w:rPr>
          <w:rtl/>
          <w:lang w:bidi="ar-KW"/>
        </w:rPr>
        <w:t xml:space="preserve"> </w:t>
      </w:r>
      <w:r w:rsidRPr="005675B2">
        <w:rPr>
          <w:rtl/>
          <w:lang w:bidi="ar-KW"/>
        </w:rPr>
        <w:t>- نعني الإبانة الصحيحة التي كتبها الإمام وليست الإبانة المحرفة</w:t>
      </w:r>
      <w:r w:rsidR="000636C2">
        <w:rPr>
          <w:rtl/>
          <w:lang w:bidi="ar-KW"/>
        </w:rPr>
        <w:t xml:space="preserve"> </w:t>
      </w:r>
      <w:r w:rsidRPr="005675B2">
        <w:rPr>
          <w:rtl/>
          <w:lang w:bidi="ar-KW"/>
        </w:rPr>
        <w:t>- ويعقدون عليه خناصرهم، إذ كلٌّ من التفويض والتأويل حق لا اعتراض عليه، وكلا الطريقين مأثور عن الصحابة والسلف كما سيأتي بيانه، وكلا الطريقين متفقان على التنزيه بعد إثبات ما أثبته الله تعالى لنفسه، وكلاهما متفقان على استبعاد الظاهر وما يعهده الخلق من عالمهم</w:t>
      </w:r>
      <w:r w:rsidR="000636C2">
        <w:rPr>
          <w:rtl/>
          <w:lang w:bidi="ar-KW"/>
        </w:rPr>
        <w:t>،</w:t>
      </w:r>
      <w:r w:rsidRPr="005675B2">
        <w:rPr>
          <w:rtl/>
          <w:lang w:bidi="ar-KW"/>
        </w:rPr>
        <w:t xml:space="preserve"> </w:t>
      </w:r>
      <w:r w:rsidRPr="005675B2">
        <w:rPr>
          <w:bCs/>
          <w:rtl/>
          <w:lang w:bidi="ar-KW"/>
        </w:rPr>
        <w:t xml:space="preserve">قال الحافظ ابن عساكر رحمه الله تعالى </w:t>
      </w:r>
      <w:r w:rsidR="000636C2">
        <w:rPr>
          <w:bCs/>
          <w:rtl/>
          <w:lang w:bidi="ar-KW"/>
        </w:rPr>
        <w:t>(</w:t>
      </w:r>
      <w:r w:rsidRPr="005675B2">
        <w:rPr>
          <w:bCs/>
          <w:rtl/>
          <w:lang w:bidi="ar-KW"/>
        </w:rPr>
        <w:t>التبيين ص388</w:t>
      </w:r>
      <w:r w:rsidR="000636C2">
        <w:rPr>
          <w:bCs/>
          <w:rtl/>
          <w:lang w:bidi="ar-KW"/>
        </w:rPr>
        <w:t>):</w:t>
      </w:r>
      <w:r w:rsidRPr="005675B2">
        <w:rPr>
          <w:rFonts w:hint="cs"/>
          <w:bCs/>
          <w:rtl/>
          <w:lang w:bidi="ar-KW"/>
        </w:rPr>
        <w:t xml:space="preserve"> </w:t>
      </w:r>
      <w:r w:rsidR="000636C2">
        <w:rPr>
          <w:rtl/>
          <w:lang w:bidi="ar-KW"/>
        </w:rPr>
        <w:t>(</w:t>
      </w:r>
      <w:r w:rsidRPr="005675B2">
        <w:rPr>
          <w:rtl/>
          <w:lang w:bidi="ar-KW"/>
        </w:rPr>
        <w:t>بل هم</w:t>
      </w:r>
      <w:r w:rsidR="000636C2">
        <w:rPr>
          <w:rtl/>
          <w:lang w:bidi="ar-KW"/>
        </w:rPr>
        <w:t xml:space="preserve"> </w:t>
      </w:r>
      <w:r w:rsidRPr="005675B2">
        <w:rPr>
          <w:rtl/>
          <w:lang w:bidi="ar-KW"/>
        </w:rPr>
        <w:t>- يعني الأشاعرة</w:t>
      </w:r>
      <w:r w:rsidR="000636C2">
        <w:rPr>
          <w:rtl/>
          <w:lang w:bidi="ar-KW"/>
        </w:rPr>
        <w:t xml:space="preserve"> </w:t>
      </w:r>
      <w:r w:rsidRPr="005675B2">
        <w:rPr>
          <w:rtl/>
          <w:lang w:bidi="ar-KW"/>
        </w:rPr>
        <w:t>- يعتقدون ما فيها</w:t>
      </w:r>
      <w:r w:rsidR="000636C2">
        <w:rPr>
          <w:rtl/>
          <w:lang w:bidi="ar-KW"/>
        </w:rPr>
        <w:t xml:space="preserve"> </w:t>
      </w:r>
      <w:r w:rsidRPr="005675B2">
        <w:rPr>
          <w:rtl/>
          <w:lang w:bidi="ar-KW"/>
        </w:rPr>
        <w:t>- أي الإبانة</w:t>
      </w:r>
      <w:r w:rsidR="000636C2">
        <w:rPr>
          <w:rtl/>
          <w:lang w:bidi="ar-KW"/>
        </w:rPr>
        <w:t xml:space="preserve"> </w:t>
      </w:r>
      <w:r w:rsidRPr="005675B2">
        <w:rPr>
          <w:rtl/>
          <w:lang w:bidi="ar-KW"/>
        </w:rPr>
        <w:t>- أسدّ اعتقاد، ويعتمدون عليها أشدّ اعتماد، فإنهم بحمد الله ليسوا معتزلة ولا نفاة لصفات الله معطلة، لكنهم يثبتون له سبحانه ما أثبته لنفسه من الصفات، ويصفونه بما اتصف به في محكم الآيات، وبما وصفه به نبيّه صلى الله عليه وسلم في صحيح الروايات، وينزهونه عن سمات النقص والآفات</w:t>
      </w:r>
      <w:r w:rsidR="000636C2">
        <w:rPr>
          <w:rtl/>
          <w:lang w:bidi="ar-KW"/>
        </w:rPr>
        <w:t>)</w:t>
      </w:r>
      <w:r w:rsidRPr="005675B2">
        <w:rPr>
          <w:rtl/>
          <w:lang w:bidi="ar-KW"/>
        </w:rPr>
        <w:t xml:space="preserve"> اهـ</w:t>
      </w:r>
      <w:r w:rsidR="000636C2">
        <w:rPr>
          <w:rtl/>
          <w:lang w:bidi="ar-KW"/>
        </w:rPr>
        <w:t>،</w:t>
      </w:r>
      <w:r w:rsidRPr="005675B2">
        <w:rPr>
          <w:rtl/>
          <w:lang w:bidi="ar-KW"/>
        </w:rPr>
        <w:t xml:space="preserve"> وهذا الذي قاله الحافظ ابن عساكر منطبق على كتاب الإبانة الذي ألفه الإمام، أما ما يوجد اليوم في أيدي الناس منها فلا ثقة به ولا يصح أن يمثل</w:t>
      </w:r>
      <w:r w:rsidR="000636C2">
        <w:rPr>
          <w:rtl/>
          <w:lang w:bidi="ar-KW"/>
        </w:rPr>
        <w:t xml:space="preserve"> </w:t>
      </w:r>
      <w:r w:rsidRPr="005675B2">
        <w:rPr>
          <w:rtl/>
          <w:lang w:bidi="ar-KW"/>
        </w:rPr>
        <w:t>- في الغالب</w:t>
      </w:r>
      <w:r w:rsidR="000636C2">
        <w:rPr>
          <w:rtl/>
          <w:lang w:bidi="ar-KW"/>
        </w:rPr>
        <w:t xml:space="preserve"> </w:t>
      </w:r>
      <w:r w:rsidRPr="005675B2">
        <w:rPr>
          <w:rtl/>
          <w:lang w:bidi="ar-KW"/>
        </w:rPr>
        <w:t>- اعتقاد الإمام أو الأشاعرة كما أثبتنا ذلك، إلا فيما وافق قول الكافة</w:t>
      </w:r>
      <w:r w:rsidR="000636C2">
        <w:rPr>
          <w:rtl/>
          <w:lang w:bidi="ar-KW"/>
        </w:rPr>
        <w:t>،</w:t>
      </w:r>
      <w:r w:rsidRPr="005675B2">
        <w:rPr>
          <w:rtl/>
          <w:lang w:bidi="ar-KW"/>
        </w:rPr>
        <w:t xml:space="preserve"> </w:t>
      </w:r>
      <w:r w:rsidRPr="005675B2">
        <w:rPr>
          <w:bCs/>
          <w:rtl/>
          <w:lang w:bidi="ar-KW"/>
        </w:rPr>
        <w:t>وقال أيضاً رحمه الله تعالى</w:t>
      </w:r>
      <w:r w:rsidRPr="005675B2">
        <w:rPr>
          <w:rtl/>
          <w:lang w:bidi="ar-KW"/>
        </w:rPr>
        <w:t xml:space="preserve"> </w:t>
      </w:r>
      <w:r w:rsidR="000636C2">
        <w:rPr>
          <w:rtl/>
          <w:lang w:bidi="ar-KW"/>
        </w:rPr>
        <w:t>(</w:t>
      </w:r>
      <w:r w:rsidRPr="005675B2">
        <w:rPr>
          <w:rtl/>
          <w:lang w:bidi="ar-KW"/>
        </w:rPr>
        <w:t>تبيين كذب المفتري ص389</w:t>
      </w:r>
      <w:r w:rsidR="000636C2">
        <w:rPr>
          <w:rtl/>
          <w:lang w:bidi="ar-KW"/>
        </w:rPr>
        <w:t>):</w:t>
      </w:r>
      <w:r w:rsidRPr="005675B2">
        <w:rPr>
          <w:rFonts w:hint="cs"/>
          <w:rtl/>
          <w:lang w:bidi="ar-KW"/>
        </w:rPr>
        <w:t xml:space="preserve"> </w:t>
      </w:r>
      <w:r w:rsidR="000636C2">
        <w:rPr>
          <w:rtl/>
          <w:lang w:bidi="ar-KW"/>
        </w:rPr>
        <w:t>(</w:t>
      </w:r>
      <w:r w:rsidRPr="005675B2">
        <w:rPr>
          <w:rtl/>
          <w:lang w:bidi="ar-KW"/>
        </w:rPr>
        <w:t>ولم يزل كتاب الإبانة مُستصوباً عند أهل الديانة، وسمعت الشيخ أبا بكر أحمد بن محمد بن إسماعيل بن محمد بن بشار البوشنجي المعروف بالخسروجـردي الفقيه الزاهد يحكي عن بعض شيوخه أن الإمام أبا عثمان إسماعيل بن عبد الرحمن بن أحمد الصابوني النيسابوري ما كان يخرج إلى مجلس درسه إلا وبيده كتاب الإبانة لأبي الحسن الأشعري، ويظهر الإعجاب به، ويقول</w:t>
      </w:r>
      <w:r w:rsidR="000636C2">
        <w:rPr>
          <w:rtl/>
          <w:lang w:bidi="ar-KW"/>
        </w:rPr>
        <w:t>:</w:t>
      </w:r>
      <w:r w:rsidRPr="005675B2">
        <w:rPr>
          <w:rtl/>
          <w:lang w:bidi="ar-KW"/>
        </w:rPr>
        <w:t xml:space="preserve"> ماذا الذي يُنكر على من هذا الكتاب شرح مذهبه</w:t>
      </w:r>
      <w:r w:rsidRPr="005675B2">
        <w:rPr>
          <w:rFonts w:hint="cs"/>
          <w:rtl/>
          <w:lang w:bidi="ar-KW"/>
        </w:rPr>
        <w:t xml:space="preserve"> </w:t>
      </w:r>
      <w:r w:rsidR="000636C2">
        <w:rPr>
          <w:rFonts w:hint="cs"/>
          <w:sz w:val="24"/>
          <w:szCs w:val="24"/>
          <w:rtl/>
          <w:lang w:bidi="ar-KW"/>
        </w:rPr>
        <w:t>[</w:t>
      </w:r>
      <w:r w:rsidRPr="005675B2">
        <w:rPr>
          <w:sz w:val="24"/>
          <w:szCs w:val="24"/>
          <w:rtl/>
        </w:rPr>
        <w:t>وهذا المذهب هو ما كان عليه ابن كلاب لأن الإبانة مؤلفة على طريقته، وعليه. يمكن أن نعتبر ثناء شيخ الإسلام الصابوني هذا على الإبانة وأبي الحسن ثناءً على ابن كلاب - ضمناً – لينضم إلى أقوال الأئمة السابقة في الثناء عليه وتزكيته</w:t>
      </w:r>
      <w:r w:rsidR="000636C2">
        <w:rPr>
          <w:rFonts w:hint="cs"/>
          <w:sz w:val="24"/>
          <w:szCs w:val="24"/>
          <w:rtl/>
        </w:rPr>
        <w:t>]،</w:t>
      </w:r>
      <w:r w:rsidRPr="005675B2">
        <w:rPr>
          <w:rtl/>
          <w:lang w:bidi="ar-KW"/>
        </w:rPr>
        <w:t xml:space="preserve"> فهذا قول الإمام أبي عثمان وهو من أعيان أهل الأثر بخراسان</w:t>
      </w:r>
      <w:r w:rsidR="000636C2">
        <w:rPr>
          <w:rtl/>
          <w:lang w:bidi="ar-KW"/>
        </w:rPr>
        <w:t>،)</w:t>
      </w:r>
      <w:r w:rsidRPr="005675B2">
        <w:rPr>
          <w:rtl/>
          <w:lang w:bidi="ar-KW"/>
        </w:rPr>
        <w:t xml:space="preserve"> اهـ</w:t>
      </w:r>
      <w:r w:rsidR="000636C2">
        <w:rPr>
          <w:rtl/>
          <w:lang w:bidi="ar-KW"/>
        </w:rPr>
        <w:t xml:space="preserve">، </w:t>
      </w:r>
      <w:r w:rsidRPr="005675B2">
        <w:rPr>
          <w:rtl/>
          <w:lang w:bidi="ar-KW"/>
        </w:rPr>
        <w:t>فانظر إلى قدر كتاب الإبانة وصاحبه عند أعلام الأمة</w:t>
      </w:r>
      <w:r w:rsidR="000636C2">
        <w:rPr>
          <w:rFonts w:hint="cs"/>
          <w:rtl/>
          <w:lang w:bidi="ar-KW"/>
        </w:rPr>
        <w:t>،</w:t>
      </w:r>
      <w:r w:rsidRPr="005675B2">
        <w:rPr>
          <w:rtl/>
          <w:lang w:bidi="ar-KW"/>
        </w:rPr>
        <w:t xml:space="preserve"> فهذا شيخ الإسلام أبو عثمان الصابوني رحمه الله تعالى وهو من هو جلالة وعلماً وزهداً</w:t>
      </w:r>
      <w:r w:rsidR="000636C2">
        <w:rPr>
          <w:rFonts w:hint="cs"/>
          <w:vertAlign w:val="superscript"/>
          <w:rtl/>
          <w:lang w:bidi="ar-KW"/>
        </w:rPr>
        <w:t xml:space="preserve"> </w:t>
      </w:r>
      <w:r w:rsidR="000636C2">
        <w:rPr>
          <w:rFonts w:hint="cs"/>
          <w:sz w:val="24"/>
          <w:szCs w:val="24"/>
          <w:rtl/>
          <w:lang w:bidi="ar-KW"/>
        </w:rPr>
        <w:t>[</w:t>
      </w:r>
      <w:r w:rsidRPr="005675B2">
        <w:rPr>
          <w:sz w:val="24"/>
          <w:szCs w:val="24"/>
          <w:rtl/>
        </w:rPr>
        <w:t>قال عنه التاج السبكي: الملقب بشيخ الإسلام، لقبه أهل السنة في بلاد</w:t>
      </w:r>
      <w:r w:rsidR="000636C2">
        <w:rPr>
          <w:sz w:val="24"/>
          <w:szCs w:val="24"/>
          <w:rtl/>
        </w:rPr>
        <w:t xml:space="preserve"> </w:t>
      </w:r>
      <w:r w:rsidRPr="005675B2">
        <w:rPr>
          <w:sz w:val="24"/>
          <w:szCs w:val="24"/>
          <w:rtl/>
        </w:rPr>
        <w:t>خراسان، فلا يعنون عند إطلاقهم هذه اللفظة غيرَه</w:t>
      </w:r>
      <w:r w:rsidR="000636C2">
        <w:rPr>
          <w:rFonts w:hint="cs"/>
          <w:sz w:val="24"/>
          <w:szCs w:val="24"/>
          <w:rtl/>
        </w:rPr>
        <w:t xml:space="preserve">] </w:t>
      </w:r>
      <w:r w:rsidRPr="005675B2">
        <w:rPr>
          <w:rtl/>
          <w:lang w:bidi="ar-KW"/>
        </w:rPr>
        <w:t>يثني هذا الثناء العاطر على الإمام أبي الحسن وكتابه الإبانة، ومنه تعلم أن شيخ الإسلام أبا عثمان الصابوني أيضاً كان على طريق الإمام الأشعري، كيف لا وقد تولّى تربيته وتهذيبه الإمام أبو الطيب سهل بن أبي سهل الصعلوكي، وهو</w:t>
      </w:r>
      <w:r w:rsidR="000636C2">
        <w:rPr>
          <w:rtl/>
          <w:lang w:bidi="ar-KW"/>
        </w:rPr>
        <w:t xml:space="preserve"> </w:t>
      </w:r>
      <w:r w:rsidRPr="005675B2">
        <w:rPr>
          <w:rtl/>
          <w:lang w:bidi="ar-KW"/>
        </w:rPr>
        <w:t>- أبو الطيب</w:t>
      </w:r>
      <w:r w:rsidR="000636C2">
        <w:rPr>
          <w:rtl/>
          <w:lang w:bidi="ar-KW"/>
        </w:rPr>
        <w:t xml:space="preserve"> </w:t>
      </w:r>
      <w:r w:rsidRPr="005675B2">
        <w:rPr>
          <w:rtl/>
          <w:lang w:bidi="ar-KW"/>
        </w:rPr>
        <w:t>- من طبقة أصحاب أصحاب الإمام الأشعري، أي من الطبقة الثانية، وكان يحضر مجالس أبي عثمان أئمةُ الوقت كالأستاذ أبي إسحاق الإسفراييني والأستاذ الإمام أبي بكر بن فورك وسائر الأئمة، وهؤلاء من أعلام أمة الإسلام من السادة الأشاعرة، وثناؤهم عليه وثناؤه عليهم يدلّ على أنهم على طريق واحد رحمهم الله تعالى ورضي عنهم</w:t>
      </w:r>
      <w:r w:rsidR="000636C2">
        <w:rPr>
          <w:rtl/>
          <w:lang w:bidi="ar-KW"/>
        </w:rPr>
        <w:t>،</w:t>
      </w:r>
      <w:r w:rsidRPr="005675B2">
        <w:rPr>
          <w:rtl/>
          <w:lang w:bidi="ar-KW"/>
        </w:rPr>
        <w:t xml:space="preserve"> </w:t>
      </w:r>
      <w:r w:rsidR="000636C2">
        <w:rPr>
          <w:rtl/>
          <w:lang w:bidi="ar-KW"/>
        </w:rPr>
        <w:t>(</w:t>
      </w:r>
      <w:r w:rsidRPr="005675B2">
        <w:rPr>
          <w:rtl/>
          <w:lang w:bidi="ar-KW"/>
        </w:rPr>
        <w:t>انظر ترجمة شيخ الإسلام الصابوني في تاريخ مدينة دمشق 9/3، سير أعلام النبلاء 18/40، الطبقات الكبرى للتاج السبكي 4/271</w:t>
      </w:r>
      <w:r w:rsidR="000636C2">
        <w:rPr>
          <w:rtl/>
          <w:lang w:bidi="ar-KW"/>
        </w:rPr>
        <w:t>)،</w:t>
      </w:r>
      <w:r w:rsidRPr="005675B2">
        <w:rPr>
          <w:rtl/>
          <w:lang w:bidi="ar-KW"/>
        </w:rPr>
        <w:t xml:space="preserve"> بعد كل ما مرَّ، وبعد كل هذه الأدلة، هل يصح وفقاً للمنهج العلمي للبحث أن تهمل جميع هذه البراهين التاريخية والعقلية والعلمية، ثم يؤخذ بكلام استنباطي لا يرقى إلى مستوى الظن، وليس له ما يؤيده من النقل والعقل</w:t>
      </w:r>
      <w:r w:rsidR="000636C2">
        <w:rPr>
          <w:rtl/>
          <w:lang w:bidi="ar-KW"/>
        </w:rPr>
        <w:t>؟!</w:t>
      </w:r>
      <w:r w:rsidRPr="005675B2">
        <w:rPr>
          <w:rFonts w:hint="cs"/>
          <w:rtl/>
          <w:lang w:bidi="ar-KW"/>
        </w:rPr>
        <w:t xml:space="preserve"> </w:t>
      </w:r>
      <w:r w:rsidRPr="005675B2">
        <w:rPr>
          <w:rtl/>
          <w:lang w:bidi="ar-KW"/>
        </w:rPr>
        <w:t>ولو بالغنا واعتبرنا ما اعتمدت عليه هذه الدعوى دليلاً لما أمكن الأخذ به علمياً لأن الدليــل متى ما تطرق إليه الاحتمال كساه ثوب الإجمال وسقط به الاستدلال، كما هو مقرر في علم الأصول، هذا إذا تطرق إلى الدليل الاحتمال مجرد تطرق، فكيف يكون الحال إذا قارب هذا الاحتمال حدَّ اليقين كما مرَّ من أدلـة تحريف الإبانة</w:t>
      </w:r>
      <w:r w:rsidR="000636C2">
        <w:rPr>
          <w:rtl/>
          <w:lang w:bidi="ar-KW"/>
        </w:rPr>
        <w:t>؟!</w:t>
      </w:r>
      <w:r w:rsidRPr="005675B2">
        <w:rPr>
          <w:rFonts w:hint="cs"/>
          <w:rtl/>
          <w:lang w:bidi="ar-KW"/>
        </w:rPr>
        <w:t xml:space="preserve"> </w:t>
      </w:r>
      <w:r w:rsidRPr="005675B2">
        <w:rPr>
          <w:rtl/>
          <w:lang w:bidi="ar-KW"/>
        </w:rPr>
        <w:t>بيد أننا سنبالغ في الافتراض ونقول</w:t>
      </w:r>
      <w:r w:rsidR="000636C2">
        <w:rPr>
          <w:rtl/>
          <w:lang w:bidi="ar-KW"/>
        </w:rPr>
        <w:t>:</w:t>
      </w:r>
      <w:r w:rsidRPr="005675B2">
        <w:rPr>
          <w:rtl/>
          <w:lang w:bidi="ar-KW"/>
        </w:rPr>
        <w:t xml:space="preserve"> هَبْ - جدلاً - أن كتاب الإبانة المتداول غير محرَّفٍ، وأنه ثابت النسبة إلى الإمام الأشعري، وأنه قد رجع فعلاً عن ما كان يعتقده من التـنـزيـه</w:t>
      </w:r>
      <w:r w:rsidR="000636C2">
        <w:rPr>
          <w:rFonts w:hint="cs"/>
          <w:rtl/>
          <w:lang w:bidi="ar-KW"/>
        </w:rPr>
        <w:t>،</w:t>
      </w:r>
      <w:r w:rsidRPr="005675B2">
        <w:rPr>
          <w:rFonts w:hint="cs"/>
          <w:rtl/>
          <w:lang w:bidi="ar-KW"/>
        </w:rPr>
        <w:t xml:space="preserve"> </w:t>
      </w:r>
      <w:r w:rsidRPr="005675B2">
        <w:rPr>
          <w:rtl/>
          <w:lang w:bidi="ar-KW"/>
        </w:rPr>
        <w:t>فهل يلزم الأمة أن تتابعه في هذا الأمر</w:t>
      </w:r>
      <w:r w:rsidR="000636C2">
        <w:rPr>
          <w:rtl/>
          <w:lang w:bidi="ar-KW"/>
        </w:rPr>
        <w:t>؟!</w:t>
      </w:r>
      <w:r w:rsidR="000636C2">
        <w:rPr>
          <w:rFonts w:hint="cs"/>
          <w:rtl/>
          <w:lang w:bidi="ar-KW"/>
        </w:rPr>
        <w:t xml:space="preserve"> </w:t>
      </w:r>
      <w:r w:rsidRPr="005675B2">
        <w:rPr>
          <w:rtl/>
          <w:lang w:bidi="ar-KW"/>
        </w:rPr>
        <w:t>إن من يعتقد ذلك يسيء الظن بعقول أكثر من عشرة قرون من العلماء والأئمة، وينسبهم إلى التقليد الأعمى في العقائد، ويغيب عنه أن الأمة نُسِبت إلى الإمام الأشعري من حيث كونه وقف حاملاً لواء السنة على طريق السلف في وجه أصحاب البدع والأهواء، لا لأنهم قلّدوه في ما ذهب إليه، فمتى ما رجع عن اعتقاده رجعوا</w:t>
      </w:r>
      <w:r w:rsidR="000636C2">
        <w:rPr>
          <w:rtl/>
          <w:lang w:bidi="ar-KW"/>
        </w:rPr>
        <w:t>!</w:t>
      </w:r>
      <w:r w:rsidRPr="005675B2">
        <w:rPr>
          <w:rtl/>
          <w:lang w:bidi="ar-KW"/>
        </w:rPr>
        <w:t xml:space="preserve"> كلا</w:t>
      </w:r>
      <w:r w:rsidR="000636C2">
        <w:rPr>
          <w:rtl/>
          <w:lang w:bidi="ar-KW"/>
        </w:rPr>
        <w:t xml:space="preserve">، </w:t>
      </w:r>
      <w:r w:rsidRPr="005675B2">
        <w:rPr>
          <w:rtl/>
          <w:lang w:bidi="ar-KW"/>
        </w:rPr>
        <w:t>فهم في الحقيقة منتسبون إلى رسول الله</w:t>
      </w:r>
      <w:r w:rsidR="000636C2">
        <w:rPr>
          <w:rtl/>
          <w:lang w:bidi="ar-KW"/>
        </w:rPr>
        <w:t xml:space="preserve"> </w:t>
      </w:r>
      <w:r w:rsidRPr="005675B2">
        <w:rPr>
          <w:rtl/>
          <w:lang w:bidi="ar-KW"/>
        </w:rPr>
        <w:t>والسلف الصالح، وما الإمام الأشعري رحمه الله وغيره من أئمة أهل السنة إلا أدلاّء على الطريق</w:t>
      </w:r>
      <w:r w:rsidR="000636C2">
        <w:rPr>
          <w:rtl/>
          <w:lang w:bidi="ar-KW"/>
        </w:rPr>
        <w:t>،</w:t>
      </w:r>
      <w:r w:rsidRPr="005675B2">
        <w:rPr>
          <w:rtl/>
          <w:lang w:bidi="ar-KW"/>
        </w:rPr>
        <w:t xml:space="preserve"> ومن يروج لمثل هذه الدعاوى يريد أن يقول بلسان حال هذه الدعوى وأمثالها أن هذا الذي رجع عنه هؤلاء الأكابر لو كان حقاًّ ما رجعوا عنه</w:t>
      </w:r>
      <w:r w:rsidR="000636C2">
        <w:rPr>
          <w:rtl/>
          <w:lang w:bidi="ar-KW"/>
        </w:rPr>
        <w:t>!</w:t>
      </w:r>
      <w:r w:rsidRPr="005675B2">
        <w:rPr>
          <w:rtl/>
          <w:lang w:bidi="ar-KW"/>
        </w:rPr>
        <w:t xml:space="preserve"> فالحق عنده يعرف بمن قال به وتبناه وليس بما اعتضد به من أدلة وبراهين</w:t>
      </w:r>
      <w:r w:rsidR="000636C2">
        <w:rPr>
          <w:rtl/>
          <w:lang w:bidi="ar-KW"/>
        </w:rPr>
        <w:t>!</w:t>
      </w:r>
      <w:r w:rsidRPr="005675B2">
        <w:rPr>
          <w:rtl/>
          <w:lang w:bidi="ar-KW"/>
        </w:rPr>
        <w:t xml:space="preserve"> وهل أُتِيَ من أتِيَ إلا من قبل هذا الأمر الذي هو تعظيم الكبراء إلى الحدِّ الذي أعمى أعينهم عن الأخطاء، فاتبعوهم مقلدين لهم في أخطائهم معتقدين أنها هي الحق الذي لا يأتيه الباطل ولا يتطرق إليه</w:t>
      </w:r>
      <w:r w:rsidR="000636C2">
        <w:rPr>
          <w:rtl/>
          <w:lang w:bidi="ar-KW"/>
        </w:rPr>
        <w:t>،</w:t>
      </w:r>
      <w:r w:rsidRPr="005675B2">
        <w:rPr>
          <w:rtl/>
          <w:lang w:bidi="ar-KW"/>
        </w:rPr>
        <w:t xml:space="preserve"> ولله درُّ الإمام ابن الجوزي ما أصدق عبارته فقد أصاب المحزّ وطبّق المفصل حيث قال </w:t>
      </w:r>
      <w:r w:rsidR="000636C2">
        <w:rPr>
          <w:rtl/>
          <w:lang w:bidi="ar-KW"/>
        </w:rPr>
        <w:t>(</w:t>
      </w:r>
      <w:r w:rsidRPr="005675B2">
        <w:rPr>
          <w:rtl/>
          <w:lang w:bidi="ar-KW"/>
        </w:rPr>
        <w:t>صيد الخاطر ص187</w:t>
      </w:r>
      <w:r w:rsidR="000636C2">
        <w:rPr>
          <w:rtl/>
          <w:lang w:bidi="ar-KW"/>
        </w:rPr>
        <w:t>):</w:t>
      </w:r>
      <w:r w:rsidR="000636C2">
        <w:rPr>
          <w:rFonts w:hint="cs"/>
          <w:rtl/>
          <w:lang w:bidi="ar-KW"/>
        </w:rPr>
        <w:t xml:space="preserve"> </w:t>
      </w:r>
      <w:r w:rsidR="000636C2">
        <w:rPr>
          <w:rtl/>
          <w:lang w:bidi="ar-KW"/>
        </w:rPr>
        <w:t>(</w:t>
      </w:r>
      <w:r w:rsidRPr="005675B2">
        <w:rPr>
          <w:rtl/>
          <w:lang w:bidi="ar-KW"/>
        </w:rPr>
        <w:t>قد قال أحمد بن حنبل رحمة الله عليه</w:t>
      </w:r>
      <w:r w:rsidR="000636C2">
        <w:rPr>
          <w:rtl/>
          <w:lang w:bidi="ar-KW"/>
        </w:rPr>
        <w:t>:</w:t>
      </w:r>
      <w:r w:rsidRPr="005675B2">
        <w:rPr>
          <w:rtl/>
          <w:lang w:bidi="ar-KW"/>
        </w:rPr>
        <w:t xml:space="preserve"> من ضيق علم الرجل أن يقلد في دينه الرجال</w:t>
      </w:r>
      <w:r w:rsidR="000636C2">
        <w:rPr>
          <w:rtl/>
          <w:lang w:bidi="ar-KW"/>
        </w:rPr>
        <w:t>،</w:t>
      </w:r>
      <w:r w:rsidRPr="005675B2">
        <w:rPr>
          <w:rtl/>
          <w:lang w:bidi="ar-KW"/>
        </w:rPr>
        <w:t xml:space="preserve"> فلا ينبغي أن تسمع من مُعَظَّمٍ في النفوس شيئاً في الأصول فتقلده فيه، ولو سمعت عن أحدهم ما لا يوافق الأصول الصحيحة، فقل</w:t>
      </w:r>
      <w:r w:rsidR="000636C2">
        <w:rPr>
          <w:rtl/>
          <w:lang w:bidi="ar-KW"/>
        </w:rPr>
        <w:t>:</w:t>
      </w:r>
      <w:r w:rsidRPr="005675B2">
        <w:rPr>
          <w:rtl/>
          <w:lang w:bidi="ar-KW"/>
        </w:rPr>
        <w:t xml:space="preserve"> هذا من الراوي، لأنه قد ثبت عن ذلك الإمام أنه لا يقول بشيء من رأيه</w:t>
      </w:r>
      <w:r w:rsidR="000636C2">
        <w:rPr>
          <w:rtl/>
          <w:lang w:bidi="ar-KW"/>
        </w:rPr>
        <w:t>،</w:t>
      </w:r>
      <w:r w:rsidRPr="005675B2">
        <w:rPr>
          <w:rtl/>
          <w:lang w:bidi="ar-KW"/>
        </w:rPr>
        <w:t xml:space="preserve"> فلو قدَّرنا صحته عنه فإنه لا يُقَلَّد في الأصول، ولا أبو بكر ولا عمر رضي الله عنهما</w:t>
      </w:r>
      <w:r w:rsidR="000636C2">
        <w:rPr>
          <w:rtl/>
          <w:lang w:bidi="ar-KW"/>
        </w:rPr>
        <w:t>،</w:t>
      </w:r>
      <w:r w:rsidRPr="005675B2">
        <w:rPr>
          <w:rtl/>
          <w:lang w:bidi="ar-KW"/>
        </w:rPr>
        <w:t xml:space="preserve"> فهذا أصلٌ يجب البناء عليه، فلا يهولنَّك ذكرُ معظَّمٍ في النفوس</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لقد أطنبنا في مناقشة هذه القضية، وما كنا لنفعل ذلك لولا أن تمسك بها البعض واعتبرها أمراً مسلَّماً ثم ذهب يبني عليها ويؤسس، فاقتضى الأمر التفصيل، وإلا فإن القضية أهون من ذلك بكثير، إذ كان يكفينا مؤنة النقاش القول المأثور </w:t>
      </w:r>
      <w:r w:rsidR="000636C2">
        <w:rPr>
          <w:rtl/>
          <w:lang w:bidi="ar-KW"/>
        </w:rPr>
        <w:t>(</w:t>
      </w:r>
      <w:r w:rsidRPr="005675B2">
        <w:rPr>
          <w:rtl/>
          <w:lang w:bidi="ar-KW"/>
        </w:rPr>
        <w:t>البينة على من ادعى</w:t>
      </w:r>
      <w:r w:rsidR="000636C2">
        <w:rPr>
          <w:rtl/>
          <w:lang w:bidi="ar-KW"/>
        </w:rPr>
        <w:t>)</w:t>
      </w:r>
      <w:r w:rsidRPr="005675B2">
        <w:rPr>
          <w:rtl/>
          <w:lang w:bidi="ar-KW"/>
        </w:rPr>
        <w:t xml:space="preserve"> ولا بينة ثمَّ ولا قرينة</w:t>
      </w:r>
      <w:r w:rsidR="000636C2">
        <w:rPr>
          <w:rtl/>
          <w:lang w:bidi="ar-KW"/>
        </w:rPr>
        <w:t>،</w:t>
      </w:r>
      <w:r w:rsidRPr="005675B2">
        <w:rPr>
          <w:rtl/>
          <w:lang w:bidi="ar-KW"/>
        </w:rPr>
        <w:t xml:space="preserve"> ومهما عظُمَ قدرُ القائل بهذه الدعوى فإنه لن يغير من شأن الحقيقة شيئاً، لأن أي دعوى إنما هي تبعٌ للبراهين والأدلة التي تثبتها فتكون حقيقة أو تنفيها فتكون خطأً ووهماً يجب الرجوع عنه، وكلٌّ يؤخذ منه ويردُّ عليه إلا المعصوم صلى الله عليه وسلم، والحق أحق وأثمن ما يطلبه المسلم</w:t>
      </w:r>
      <w:r w:rsidR="000636C2">
        <w:rPr>
          <w:rtl/>
          <w:lang w:bidi="ar-KW"/>
        </w:rPr>
        <w:t>،</w:t>
      </w:r>
      <w:r w:rsidRPr="005675B2">
        <w:rPr>
          <w:rtl/>
          <w:lang w:bidi="ar-KW"/>
        </w:rPr>
        <w:t xml:space="preserve"> وإذ علمت هذا</w:t>
      </w:r>
      <w:r w:rsidR="000636C2">
        <w:rPr>
          <w:rtl/>
          <w:lang w:bidi="ar-KW"/>
        </w:rPr>
        <w:t xml:space="preserve"> </w:t>
      </w:r>
      <w:r w:rsidRPr="005675B2">
        <w:rPr>
          <w:rtl/>
          <w:lang w:bidi="ar-KW"/>
        </w:rPr>
        <w:t>- وفقنا الله تعالى وإياك</w:t>
      </w:r>
      <w:r w:rsidR="000636C2">
        <w:rPr>
          <w:rtl/>
          <w:lang w:bidi="ar-KW"/>
        </w:rPr>
        <w:t xml:space="preserve"> </w:t>
      </w:r>
      <w:r w:rsidRPr="005675B2">
        <w:rPr>
          <w:rtl/>
          <w:lang w:bidi="ar-KW"/>
        </w:rPr>
        <w:t>- فَدعْ عنك من قال إذ الحق لا يعرف بالرجال، ولكن اعرف الحق تعرف أهله، وعليك بما قيل إن كان حقاً، وإلاّ فالرجوع إلى الحق أولى من التمادي في الباطل</w:t>
      </w:r>
      <w:r w:rsidR="000636C2">
        <w:rPr>
          <w:rtl/>
          <w:lang w:bidi="ar-KW"/>
        </w:rPr>
        <w:t>،</w:t>
      </w:r>
      <w:r w:rsidRPr="005675B2">
        <w:rPr>
          <w:rtl/>
          <w:lang w:bidi="ar-KW"/>
        </w:rPr>
        <w:t xml:space="preserve"> </w:t>
      </w:r>
    </w:p>
    <w:p w14:paraId="1F934E6D" w14:textId="77777777" w:rsidR="009C32A0" w:rsidRPr="005675B2" w:rsidRDefault="009C32A0" w:rsidP="000636C2">
      <w:pPr>
        <w:widowControl w:val="0"/>
        <w:spacing w:before="80" w:after="240"/>
        <w:jc w:val="center"/>
        <w:rPr>
          <w:rtl/>
          <w:lang w:bidi="ar-KW"/>
        </w:rPr>
      </w:pPr>
      <w:r w:rsidRPr="005675B2">
        <w:rPr>
          <w:rtl/>
          <w:lang w:bidi="ar-KW"/>
        </w:rPr>
        <w:t>* * * * *</w:t>
      </w:r>
    </w:p>
    <w:p w14:paraId="7134721A" w14:textId="554F3AB6" w:rsidR="009C32A0" w:rsidRPr="005675B2" w:rsidRDefault="009C32A0" w:rsidP="000636C2">
      <w:pPr>
        <w:widowControl w:val="0"/>
        <w:spacing w:before="80" w:after="240"/>
        <w:rPr>
          <w:rtl/>
          <w:lang w:bidi="ar-KW"/>
        </w:rPr>
      </w:pPr>
      <w:r w:rsidRPr="005675B2">
        <w:rPr>
          <w:bCs/>
          <w:rtl/>
          <w:lang w:bidi="ar-KW"/>
        </w:rPr>
        <w:t>دعوى رجوع بعض الأئمة عن عقيدة الأشاعرة</w:t>
      </w:r>
      <w:r w:rsidR="000636C2">
        <w:rPr>
          <w:bCs/>
          <w:rtl/>
          <w:lang w:bidi="ar-KW"/>
        </w:rPr>
        <w:t>:</w:t>
      </w:r>
      <w:r w:rsidR="000636C2">
        <w:rPr>
          <w:rFonts w:hint="cs"/>
          <w:bCs/>
          <w:rtl/>
          <w:lang w:bidi="ar-KW"/>
        </w:rPr>
        <w:t xml:space="preserve"> </w:t>
      </w:r>
      <w:r w:rsidRPr="005675B2">
        <w:rPr>
          <w:rtl/>
          <w:lang w:bidi="ar-KW"/>
        </w:rPr>
        <w:t>قريب من هذا الذي نسب إلى إمام أهل السنة أبي الحسن الأشعري رحمه الله تعالى، ما ينسب إلى بعض الأئمة كالإمام الجويني والغزالي والرازي رحمهم الله تعالى أنهم رجعوا عن معتقد الأشاعرة وتبرءوا منه</w:t>
      </w:r>
      <w:r w:rsidR="000636C2">
        <w:rPr>
          <w:rtl/>
          <w:lang w:bidi="ar-KW"/>
        </w:rPr>
        <w:t>!</w:t>
      </w:r>
      <w:r w:rsidRPr="005675B2">
        <w:rPr>
          <w:rFonts w:hint="cs"/>
          <w:rtl/>
          <w:lang w:bidi="ar-KW"/>
        </w:rPr>
        <w:t xml:space="preserve"> </w:t>
      </w:r>
      <w:r w:rsidRPr="005675B2">
        <w:rPr>
          <w:rtl/>
          <w:lang w:bidi="ar-KW"/>
        </w:rPr>
        <w:t>ومن يروج لهذه الدعوى يريد أن يقول</w:t>
      </w:r>
      <w:r w:rsidR="000636C2">
        <w:rPr>
          <w:rtl/>
          <w:lang w:bidi="ar-KW"/>
        </w:rPr>
        <w:t>:</w:t>
      </w:r>
      <w:r w:rsidRPr="005675B2">
        <w:rPr>
          <w:rtl/>
          <w:lang w:bidi="ar-KW"/>
        </w:rPr>
        <w:t xml:space="preserve"> إن هذا المعتقد الذي رجع عنه هؤلاء العلماء لو كان حقاًّ ما تركوه ولا هجروه</w:t>
      </w:r>
      <w:r w:rsidR="000636C2">
        <w:rPr>
          <w:rtl/>
          <w:lang w:bidi="ar-KW"/>
        </w:rPr>
        <w:t>!</w:t>
      </w:r>
      <w:r w:rsidRPr="005675B2">
        <w:rPr>
          <w:rtl/>
          <w:lang w:bidi="ar-KW"/>
        </w:rPr>
        <w:t>!</w:t>
      </w:r>
      <w:r w:rsidRPr="005675B2">
        <w:rPr>
          <w:rFonts w:hint="cs"/>
          <w:rtl/>
          <w:lang w:bidi="ar-KW"/>
        </w:rPr>
        <w:t xml:space="preserve"> </w:t>
      </w:r>
      <w:r w:rsidRPr="005675B2">
        <w:rPr>
          <w:rtl/>
          <w:lang w:bidi="ar-KW"/>
        </w:rPr>
        <w:t>فنقول</w:t>
      </w:r>
      <w:r w:rsidR="000636C2">
        <w:rPr>
          <w:rtl/>
          <w:lang w:bidi="ar-KW"/>
        </w:rPr>
        <w:t>:</w:t>
      </w:r>
      <w:r w:rsidRPr="005675B2">
        <w:rPr>
          <w:rFonts w:hint="cs"/>
          <w:rtl/>
          <w:lang w:bidi="ar-KW"/>
        </w:rPr>
        <w:t xml:space="preserve"> </w:t>
      </w:r>
      <w:r w:rsidRPr="005675B2">
        <w:rPr>
          <w:rtl/>
          <w:lang w:bidi="ar-KW"/>
        </w:rPr>
        <w:t>إما أن يكون اعتقاد الأشاعرة هذا الذي ينسب إلى هؤلاء الأئمة الرجوع عنه حقًّا في ذاتـه أو باطلاً</w:t>
      </w:r>
      <w:r w:rsidR="000636C2">
        <w:rPr>
          <w:rtl/>
          <w:lang w:bidi="ar-KW"/>
        </w:rPr>
        <w:t>،</w:t>
      </w:r>
      <w:r w:rsidRPr="005675B2">
        <w:rPr>
          <w:rtl/>
          <w:lang w:bidi="ar-KW"/>
        </w:rPr>
        <w:t xml:space="preserve"> فإن كان حقّاً فماذا يضيره أو يضير من تمسك به حتى لو تبرأ منه هؤلاء الأئمة على فرض صحة ذلك عنهم</w:t>
      </w:r>
      <w:r w:rsidR="000636C2">
        <w:rPr>
          <w:rtl/>
          <w:lang w:bidi="ar-KW"/>
        </w:rPr>
        <w:t>؟!</w:t>
      </w:r>
      <w:r w:rsidRPr="005675B2">
        <w:rPr>
          <w:rtl/>
          <w:lang w:bidi="ar-KW"/>
        </w:rPr>
        <w:t xml:space="preserve"> أم أنه صار حقّاً حين قالوا به، فلما تركوه انقلب الحق إلى باطل</w:t>
      </w:r>
      <w:r w:rsidR="000636C2">
        <w:rPr>
          <w:rtl/>
          <w:lang w:bidi="ar-KW"/>
        </w:rPr>
        <w:t>؟!</w:t>
      </w:r>
      <w:r w:rsidRPr="005675B2">
        <w:rPr>
          <w:rFonts w:hint="cs"/>
          <w:rtl/>
          <w:lang w:bidi="ar-KW"/>
        </w:rPr>
        <w:t xml:space="preserve"> </w:t>
      </w:r>
      <w:r w:rsidRPr="005675B2">
        <w:rPr>
          <w:rtl/>
          <w:lang w:bidi="ar-KW"/>
        </w:rPr>
        <w:t>وإن كان ما رجعوا عنه باطلاً فواهاً ثم واهاً على أمة الإسلام وقد تبنّت طيلة هذه القرون الماضية باطلاً، ثم لم يكتشف بطلانه إلا ثلاثة أو أربعة منهم</w:t>
      </w:r>
      <w:r w:rsidR="000636C2">
        <w:rPr>
          <w:rtl/>
          <w:lang w:bidi="ar-KW"/>
        </w:rPr>
        <w:t>!</w:t>
      </w:r>
      <w:r w:rsidRPr="005675B2">
        <w:rPr>
          <w:rtl/>
          <w:lang w:bidi="ar-KW"/>
        </w:rPr>
        <w:t>!</w:t>
      </w:r>
      <w:r w:rsidRPr="005675B2">
        <w:rPr>
          <w:rFonts w:hint="cs"/>
          <w:rtl/>
          <w:lang w:bidi="ar-KW"/>
        </w:rPr>
        <w:t xml:space="preserve"> </w:t>
      </w:r>
      <w:r w:rsidRPr="005675B2">
        <w:rPr>
          <w:rtl/>
          <w:lang w:bidi="ar-KW"/>
        </w:rPr>
        <w:t>كلا ليس الأمر هكذا، فعلماء الإسلام ليسوا حفنة من مقلدة العوام تغدو بهم كلمة وتروح بهم أخرى دون تبصر ولا برهان، لكنهم لما رأوا هذين الإمامين الجليلين أبي الحسن الأشعري وأبي منصور الماتريدي رحمهما الله قد انتصبا دليلين على طريق السلف الصالح ينافحان عن معتقداتهم ويذبان عن الكتاب والسنة هرعوا لنصرتهم وانتهضوا لتأييدهم ونشر طريقتهم في إثبات عقيدة السلف الصالح، لهذا، ولهذا فقط نُسبوا إلى هذين الإمامين، وليس</w:t>
      </w:r>
      <w:r w:rsidR="000636C2">
        <w:rPr>
          <w:rtl/>
          <w:lang w:bidi="ar-KW"/>
        </w:rPr>
        <w:t xml:space="preserve"> </w:t>
      </w:r>
      <w:r w:rsidRPr="005675B2">
        <w:rPr>
          <w:rtl/>
          <w:lang w:bidi="ar-KW"/>
        </w:rPr>
        <w:t>- كما يظـن البعض</w:t>
      </w:r>
      <w:r w:rsidR="000636C2">
        <w:rPr>
          <w:rtl/>
          <w:lang w:bidi="ar-KW"/>
        </w:rPr>
        <w:t xml:space="preserve"> </w:t>
      </w:r>
      <w:r w:rsidRPr="005675B2">
        <w:rPr>
          <w:rtl/>
          <w:lang w:bidi="ar-KW"/>
        </w:rPr>
        <w:t>- لأنهم يقلدونهما فيما ذهبا إليه، فلو افترضنا صحة رجوع هؤلاء الأئمة عن معتقد الأشاعرة، بل لو افترضنا رجوع عشرات غيرهم عن الأشعرية ما كان هذا سيغير من الحقيقة التي أطبقت عليها الأمة شيئاً، غاية ما يقال حينها أن هؤلاء الأئمة قد أخطأوا في ذلك</w:t>
      </w:r>
      <w:r w:rsidR="000636C2">
        <w:rPr>
          <w:rtl/>
          <w:lang w:bidi="ar-KW"/>
        </w:rPr>
        <w:t>،</w:t>
      </w:r>
      <w:r w:rsidRPr="005675B2">
        <w:rPr>
          <w:rtl/>
          <w:lang w:bidi="ar-KW"/>
        </w:rPr>
        <w:t xml:space="preserve"> على أن هؤلاء الأئمة رحمهم الله تعالى لم يرجعوا عن اعتقاد الأشاعرة ولا تبرءوا منه، كيف وهو الامتداد الطبيعي لما كان عليه السلف، وإنما رجعوا عن طريق التأويل في ظواهر المتشابه الذي كانوا يقولون به قبلُ إلى طريق التفويض الذي هو طريق جمهور السلف الصالح بعد تنزيه الله تعالى عما توهمه هذه الظواهر من سمات المخلوق، وكلا الطريقين التفويض والتأويل بشرطه ثابت عن سلف الأمة</w:t>
      </w:r>
      <w:r w:rsidR="000636C2">
        <w:rPr>
          <w:rtl/>
          <w:lang w:bidi="ar-KW"/>
        </w:rPr>
        <w:t xml:space="preserve"> </w:t>
      </w:r>
      <w:r w:rsidRPr="005675B2">
        <w:rPr>
          <w:rtl/>
          <w:lang w:bidi="ar-KW"/>
        </w:rPr>
        <w:t>- كما سيأتي بيانه وإثباته من قبل العلماء</w:t>
      </w:r>
      <w:r w:rsidR="000636C2">
        <w:rPr>
          <w:rtl/>
          <w:lang w:bidi="ar-KW"/>
        </w:rPr>
        <w:t xml:space="preserve"> </w:t>
      </w:r>
      <w:r w:rsidRPr="005675B2">
        <w:rPr>
          <w:rtl/>
          <w:lang w:bidi="ar-KW"/>
        </w:rPr>
        <w:t>- وكلا المسلكين صحيح لا غبار عليه عند أهل الحق، أما الذي يأباه العقل والنقل فهو نسبة حقائق هذه الظواهر اللغوية لله تعالى، وحمل هذه الظواهر على ما يعهده الخلق مـن عوالمهم، وهذا قطعاً لم يقل به أحد من هؤلاء الأئمة الذين ينسب إليهم الرجوع عن معتقد الأشاعرة، بل على العكس من ذلك، فنصوصهم وأقوالهم واضحة وصريحة في الردّ على من يقول ذلك، بل ومن هذه الكتب التي ينسب إليهم الرجوع فيها</w:t>
      </w:r>
      <w:r w:rsidR="000636C2">
        <w:rPr>
          <w:rtl/>
          <w:lang w:bidi="ar-KW"/>
        </w:rPr>
        <w:t>!</w:t>
      </w:r>
      <w:r w:rsidRPr="005675B2">
        <w:rPr>
          <w:rFonts w:hint="cs"/>
          <w:rtl/>
          <w:lang w:bidi="ar-KW"/>
        </w:rPr>
        <w:t xml:space="preserve"> </w:t>
      </w:r>
      <w:r w:rsidRPr="005675B2">
        <w:rPr>
          <w:rtl/>
          <w:lang w:bidi="ar-KW"/>
        </w:rPr>
        <w:t xml:space="preserve">فهذا الإمام الجويني الذي ينسبون له الرجوع عن معتقد الأشاعرة في رسالته النظامية، يصرح في نفس هذه الرسالة بإطباق أهل الحق على تنزيه الله تعالى عن ظواهر نصوص المتشابه بقوله </w:t>
      </w:r>
      <w:r w:rsidR="000636C2">
        <w:rPr>
          <w:rtl/>
          <w:lang w:bidi="ar-KW"/>
        </w:rPr>
        <w:t>(</w:t>
      </w:r>
      <w:r w:rsidRPr="005675B2">
        <w:rPr>
          <w:rtl/>
          <w:lang w:bidi="ar-KW"/>
        </w:rPr>
        <w:t>النظامية ص32</w:t>
      </w:r>
      <w:r w:rsidR="000636C2">
        <w:rPr>
          <w:rtl/>
          <w:lang w:bidi="ar-KW"/>
        </w:rPr>
        <w:t>):</w:t>
      </w:r>
      <w:r w:rsidRPr="005675B2">
        <w:rPr>
          <w:rtl/>
          <w:lang w:bidi="ar-KW"/>
        </w:rPr>
        <w:t xml:space="preserve"> </w:t>
      </w:r>
      <w:r w:rsidR="000636C2">
        <w:rPr>
          <w:rtl/>
          <w:lang w:bidi="ar-KW"/>
        </w:rPr>
        <w:t>(</w:t>
      </w:r>
      <w:r w:rsidRPr="005675B2">
        <w:rPr>
          <w:rtl/>
          <w:lang w:bidi="ar-KW"/>
        </w:rPr>
        <w:t>.. وامتنع على أهل الحق اعتقاد فحواها وإجراؤها على موجب ما تبتدره أفهام أرباب اللسان منها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أضف إلى ذلك أن الرسالة النظامية صنّفها الإمام الجويني رحمه الله للوزير نظام الملك، ولهذا سمّاها بالنظامية نسبة إليه، ولا يخفى أن الوزير نظام الملك أشعري المعتقد، قال عنه الحافظ الذهبي بعد أن أثنى عليه ثناءً عاطراً </w:t>
      </w:r>
      <w:r w:rsidR="000636C2">
        <w:rPr>
          <w:rtl/>
          <w:lang w:bidi="ar-KW"/>
        </w:rPr>
        <w:t>(</w:t>
      </w:r>
      <w:r w:rsidRPr="005675B2">
        <w:rPr>
          <w:rtl/>
          <w:lang w:bidi="ar-KW"/>
        </w:rPr>
        <w:t>السير 19/96</w:t>
      </w:r>
      <w:r w:rsidR="000636C2">
        <w:rPr>
          <w:rtl/>
          <w:lang w:bidi="ar-KW"/>
        </w:rPr>
        <w:t>):</w:t>
      </w:r>
      <w:r w:rsidRPr="005675B2">
        <w:rPr>
          <w:rtl/>
          <w:lang w:bidi="ar-KW"/>
        </w:rPr>
        <w:t xml:space="preserve"> </w:t>
      </w:r>
      <w:r w:rsidR="000636C2">
        <w:rPr>
          <w:rtl/>
          <w:lang w:bidi="ar-KW"/>
        </w:rPr>
        <w:t>(</w:t>
      </w:r>
      <w:r w:rsidRPr="005675B2">
        <w:rPr>
          <w:rtl/>
          <w:lang w:bidi="ar-KW"/>
        </w:rPr>
        <w:t>وكان شافعيّاً أشعريّاً</w:t>
      </w:r>
      <w:r w:rsidR="000636C2">
        <w:rPr>
          <w:rtl/>
          <w:lang w:bidi="ar-KW"/>
        </w:rPr>
        <w:t>)</w:t>
      </w:r>
      <w:r w:rsidRPr="005675B2">
        <w:rPr>
          <w:rtl/>
          <w:lang w:bidi="ar-KW"/>
        </w:rPr>
        <w:t xml:space="preserve"> اهـ</w:t>
      </w:r>
      <w:r w:rsidR="000636C2">
        <w:rPr>
          <w:rtl/>
          <w:lang w:bidi="ar-KW"/>
        </w:rPr>
        <w:t xml:space="preserve">، </w:t>
      </w:r>
      <w:r w:rsidRPr="005675B2">
        <w:rPr>
          <w:rtl/>
          <w:lang w:bidi="ar-KW"/>
        </w:rPr>
        <w:t>تُرى هل سيهدي الإمام للوزير نظام الملك كتاباً في نقض اعتقاده</w:t>
      </w:r>
      <w:r w:rsidR="000636C2">
        <w:rPr>
          <w:rtl/>
          <w:lang w:bidi="ar-KW"/>
        </w:rPr>
        <w:t>؟!</w:t>
      </w:r>
      <w:r w:rsidRPr="005675B2">
        <w:rPr>
          <w:rFonts w:hint="cs"/>
          <w:rtl/>
          <w:lang w:bidi="ar-KW"/>
        </w:rPr>
        <w:t xml:space="preserve"> </w:t>
      </w:r>
      <w:r w:rsidRPr="005675B2">
        <w:rPr>
          <w:rtl/>
          <w:lang w:bidi="ar-KW"/>
        </w:rPr>
        <w:t>ثم نقول</w:t>
      </w:r>
      <w:r w:rsidR="000636C2">
        <w:rPr>
          <w:rtl/>
          <w:lang w:bidi="ar-KW"/>
        </w:rPr>
        <w:t>:</w:t>
      </w:r>
      <w:r w:rsidRPr="005675B2">
        <w:rPr>
          <w:rtl/>
          <w:lang w:bidi="ar-KW"/>
        </w:rPr>
        <w:t xml:space="preserve"> ليس في الرسالة النظامية ما يناقض اعتقاد الأشاعرة في شيء، والذي ذكره الإمام الجويني من ترجيح التفويض على التأويل هو أحد مسلكي الأشاعرة مع نصوص المتشابه، وهو ثابت أيضاً عن أئمة من السلف الصالح كما نقله العلماء عنهم كما سيأتي، قال الإمام ابن السبكي رحمه الله تعالى </w:t>
      </w:r>
      <w:r w:rsidR="000636C2">
        <w:rPr>
          <w:rtl/>
          <w:lang w:bidi="ar-KW"/>
        </w:rPr>
        <w:t>(</w:t>
      </w:r>
      <w:r w:rsidRPr="005675B2">
        <w:rPr>
          <w:rtl/>
          <w:lang w:bidi="ar-KW"/>
        </w:rPr>
        <w:t>الطبقات 5/191</w:t>
      </w:r>
      <w:r w:rsidR="000636C2">
        <w:rPr>
          <w:rtl/>
          <w:lang w:bidi="ar-KW"/>
        </w:rPr>
        <w:t>):</w:t>
      </w:r>
      <w:r w:rsidRPr="005675B2">
        <w:rPr>
          <w:rtl/>
          <w:lang w:bidi="ar-KW"/>
        </w:rPr>
        <w:t xml:space="preserve"> </w:t>
      </w:r>
      <w:r w:rsidR="000636C2">
        <w:rPr>
          <w:rtl/>
          <w:lang w:bidi="ar-KW"/>
        </w:rPr>
        <w:t>(</w:t>
      </w:r>
      <w:r w:rsidRPr="005675B2">
        <w:rPr>
          <w:rtl/>
          <w:lang w:bidi="ar-KW"/>
        </w:rPr>
        <w:t>ثم أقول</w:t>
      </w:r>
      <w:r w:rsidR="000636C2">
        <w:rPr>
          <w:rtl/>
          <w:lang w:bidi="ar-KW"/>
        </w:rPr>
        <w:t>:</w:t>
      </w:r>
      <w:r w:rsidRPr="005675B2">
        <w:rPr>
          <w:rtl/>
          <w:lang w:bidi="ar-KW"/>
        </w:rPr>
        <w:t xml:space="preserve"> للأشاعرة قولان مشهوران في إثبات الصفـات، هل تمرُّ على ظاهرها مع اعتقاد التنزيه، أو تؤوَّل</w:t>
      </w:r>
      <w:r w:rsidR="000636C2">
        <w:rPr>
          <w:rtl/>
          <w:lang w:bidi="ar-KW"/>
        </w:rPr>
        <w:t>؟</w:t>
      </w:r>
      <w:r w:rsidRPr="005675B2">
        <w:rPr>
          <w:rtl/>
          <w:lang w:bidi="ar-KW"/>
        </w:rPr>
        <w:t xml:space="preserve"> والقول بالإمرار مع اعتقاد التنزيه هو المعزوُّ إلى السلف، وهو اختيار الإمام</w:t>
      </w:r>
      <w:r w:rsidR="000636C2">
        <w:rPr>
          <w:rtl/>
          <w:lang w:bidi="ar-KW"/>
        </w:rPr>
        <w:t xml:space="preserve"> </w:t>
      </w:r>
      <w:r w:rsidRPr="005675B2">
        <w:rPr>
          <w:rtl/>
          <w:lang w:bidi="ar-KW"/>
        </w:rPr>
        <w:t>- يعني الجويني</w:t>
      </w:r>
      <w:r w:rsidR="000636C2">
        <w:rPr>
          <w:rtl/>
          <w:lang w:bidi="ar-KW"/>
        </w:rPr>
        <w:t xml:space="preserve"> </w:t>
      </w:r>
      <w:r w:rsidRPr="005675B2">
        <w:rPr>
          <w:rtl/>
          <w:lang w:bidi="ar-KW"/>
        </w:rPr>
        <w:t>- في الرسالة النظامية وفي مواضع من كلامه، فرجوعه معناه الرجوع عن التأويل إلى التفويض، ولا إنكار في ذلك ولا في مقابله</w:t>
      </w:r>
      <w:r w:rsidR="000636C2">
        <w:rPr>
          <w:rtl/>
          <w:lang w:bidi="ar-KW"/>
        </w:rPr>
        <w:t xml:space="preserve"> </w:t>
      </w:r>
      <w:r w:rsidRPr="005675B2">
        <w:rPr>
          <w:rtl/>
          <w:lang w:bidi="ar-KW"/>
        </w:rPr>
        <w:t>- يعني التأويل</w:t>
      </w:r>
      <w:r w:rsidR="000636C2">
        <w:rPr>
          <w:rtl/>
          <w:lang w:bidi="ar-KW"/>
        </w:rPr>
        <w:t xml:space="preserve"> </w:t>
      </w:r>
      <w:r w:rsidRPr="005675B2">
        <w:rPr>
          <w:rtl/>
          <w:lang w:bidi="ar-KW"/>
        </w:rPr>
        <w:t>- فإنها مسألة اجتهادية، أعني مسألة التأويل والتفويض مع اعتقاد التنزيه، إنما المصيبة الكبرى والداهية الدهياء الإمرار على الظاهر والاعتقاد أنه المراد وأنه لا يستحيل على الباري ..</w:t>
      </w:r>
      <w:r w:rsidR="000636C2">
        <w:rPr>
          <w:rtl/>
          <w:lang w:bidi="ar-KW"/>
        </w:rPr>
        <w:t>)</w:t>
      </w:r>
      <w:r w:rsidRPr="005675B2">
        <w:rPr>
          <w:rtl/>
          <w:lang w:bidi="ar-KW"/>
        </w:rPr>
        <w:t xml:space="preserve"> اهـ</w:t>
      </w:r>
      <w:r w:rsidR="000636C2">
        <w:rPr>
          <w:rtl/>
          <w:lang w:bidi="ar-KW"/>
        </w:rPr>
        <w:t>،</w:t>
      </w:r>
      <w:r w:rsidRPr="005675B2">
        <w:rPr>
          <w:rtl/>
          <w:lang w:bidi="ar-KW"/>
        </w:rPr>
        <w:t xml:space="preserve"> ومن يطالع النظامية يعلم موافقتها لاعتقاد أهل السنة الأشاعرة، فمن أمثلة ذلك تنزيه الإمام الجويني لله تعالى عن الجهة والمكان والحيز والحرف والصوت وظواهر المتشابه، وتشديده على القائلين بحوادث لا أول لها في الماضي، إلى غير ذلك من المسائل التي تدل دلالة قاطعة على تمسك الإمام باعتقاد السادة الأشاعرة</w:t>
      </w:r>
      <w:r w:rsidR="000636C2">
        <w:rPr>
          <w:rtl/>
          <w:lang w:bidi="ar-KW"/>
        </w:rPr>
        <w:t>،</w:t>
      </w:r>
      <w:r w:rsidRPr="005675B2">
        <w:rPr>
          <w:rtl/>
          <w:lang w:bidi="ar-KW"/>
        </w:rPr>
        <w:t xml:space="preserve"> وكذلك الإمام الغزالي رحمه الله تعالى، فكتابه </w:t>
      </w:r>
      <w:r w:rsidR="000636C2">
        <w:rPr>
          <w:rtl/>
          <w:lang w:bidi="ar-KW"/>
        </w:rPr>
        <w:t>(</w:t>
      </w:r>
      <w:r w:rsidRPr="005675B2">
        <w:rPr>
          <w:rtl/>
          <w:lang w:bidi="ar-KW"/>
        </w:rPr>
        <w:t>إلجام العوام</w:t>
      </w:r>
      <w:r w:rsidR="000636C2">
        <w:rPr>
          <w:rtl/>
          <w:lang w:bidi="ar-KW"/>
        </w:rPr>
        <w:t>)</w:t>
      </w:r>
      <w:r w:rsidRPr="005675B2">
        <w:rPr>
          <w:rtl/>
          <w:lang w:bidi="ar-KW"/>
        </w:rPr>
        <w:t xml:space="preserve"> الذي ينسب إليه الرجوع فيه هو في حقيقة الأمر تأصيل لمسلك السادة الأشاعرة من حيث تنزيه الله تعالى عن سمات الحوادث مثل الجهة والمكان والحروف والأصوات وظواهر المتشابه، بل هو قائل بالتأويل في مواضع من الكتاب وذلك في شرح الوظيفة الخامسة من الوظائف السبع التي يجب على العوام مراعاتها عند سماع شيء من نصوص المتشابه، وذلك من الصفحة </w:t>
      </w:r>
      <w:r w:rsidR="000636C2">
        <w:rPr>
          <w:rtl/>
          <w:lang w:bidi="ar-KW"/>
        </w:rPr>
        <w:t>(</w:t>
      </w:r>
      <w:r w:rsidRPr="005675B2">
        <w:rPr>
          <w:rtl/>
          <w:lang w:bidi="ar-KW"/>
        </w:rPr>
        <w:t>71</w:t>
      </w:r>
      <w:r w:rsidR="000636C2">
        <w:rPr>
          <w:rtl/>
          <w:lang w:bidi="ar-KW"/>
        </w:rPr>
        <w:t>)</w:t>
      </w:r>
      <w:r w:rsidRPr="005675B2">
        <w:rPr>
          <w:rtl/>
          <w:lang w:bidi="ar-KW"/>
        </w:rPr>
        <w:t xml:space="preserve">إلى الصفحة </w:t>
      </w:r>
      <w:r w:rsidR="000636C2">
        <w:rPr>
          <w:rtl/>
          <w:lang w:bidi="ar-KW"/>
        </w:rPr>
        <w:t>(</w:t>
      </w:r>
      <w:r w:rsidRPr="005675B2">
        <w:rPr>
          <w:rtl/>
          <w:lang w:bidi="ar-KW"/>
        </w:rPr>
        <w:t>81</w:t>
      </w:r>
      <w:r w:rsidR="000636C2">
        <w:rPr>
          <w:rtl/>
          <w:lang w:bidi="ar-KW"/>
        </w:rPr>
        <w:t>)</w:t>
      </w:r>
      <w:r w:rsidRPr="005675B2">
        <w:rPr>
          <w:rtl/>
          <w:lang w:bidi="ar-KW"/>
        </w:rPr>
        <w:t xml:space="preserve">، وهو بحق كلام نفيس، وإنّا لنحض القارئ على مطالعة كتاب </w:t>
      </w:r>
      <w:r w:rsidR="000636C2">
        <w:rPr>
          <w:rtl/>
          <w:lang w:bidi="ar-KW"/>
        </w:rPr>
        <w:t>(</w:t>
      </w:r>
      <w:r w:rsidRPr="005675B2">
        <w:rPr>
          <w:rtl/>
          <w:lang w:bidi="ar-KW"/>
        </w:rPr>
        <w:t>إلجام العوام</w:t>
      </w:r>
      <w:r w:rsidR="000636C2">
        <w:rPr>
          <w:rtl/>
          <w:lang w:bidi="ar-KW"/>
        </w:rPr>
        <w:t>)</w:t>
      </w:r>
      <w:r w:rsidRPr="005675B2">
        <w:rPr>
          <w:rtl/>
          <w:lang w:bidi="ar-KW"/>
        </w:rPr>
        <w:t xml:space="preserve"> والرجوع إليه، فهو كتاب قلّ نظيره في بابه، قد ذكر فيه حجة الإسلام رحمه الله تعالى من الفوائد ما لا مزيد عليه</w:t>
      </w:r>
      <w:r w:rsidR="000636C2">
        <w:rPr>
          <w:rtl/>
          <w:lang w:bidi="ar-KW"/>
        </w:rPr>
        <w:t>،</w:t>
      </w:r>
      <w:r w:rsidRPr="005675B2">
        <w:rPr>
          <w:rtl/>
          <w:lang w:bidi="ar-KW"/>
        </w:rPr>
        <w:t xml:space="preserve"> ومن يطالع الكتاب يعلم أن الإمام الغزالي رحمه الله تعالى لم يترك مذهب الأشاعرة ولا رجع عنه، وإنما رجَّح مسلك التفويض على مسلك التأويل، وهو ترجيح منه ليس على إطلاقه، كما أنه لا يفهم منه تضليل للقائلين بالتأويل، حاشاه، وهو الذي يعلم أن كلا المسلكين صحيح، وإن كان الأرجح عنده والأفضل</w:t>
      </w:r>
      <w:r w:rsidR="000636C2">
        <w:rPr>
          <w:rtl/>
          <w:lang w:bidi="ar-KW"/>
        </w:rPr>
        <w:t xml:space="preserve"> </w:t>
      </w:r>
      <w:r w:rsidRPr="005675B2">
        <w:rPr>
          <w:rtl/>
          <w:lang w:bidi="ar-KW"/>
        </w:rPr>
        <w:t>- عند عدم الحاجة</w:t>
      </w:r>
      <w:r w:rsidR="000636C2">
        <w:rPr>
          <w:rtl/>
          <w:lang w:bidi="ar-KW"/>
        </w:rPr>
        <w:t xml:space="preserve"> </w:t>
      </w:r>
      <w:r w:rsidRPr="005675B2">
        <w:rPr>
          <w:rtl/>
          <w:lang w:bidi="ar-KW"/>
        </w:rPr>
        <w:t>- هو مسلك التفويض الذي هو مسلك جمهور السلف، بل هو الأرجح والأفضل عند جميع الأشاعرة، وهو ما نراه ونقول به، فالوقوف حيث وقف السلف الصالح بعد تنزيه الله تعالى عمّا توهمه هذه الظواهر هو الأولى بالاتباع، وهذا كما ذكرنا عند عدم الحاجة، أما إذا خاض الناس في المتشابهات فلا بد حينئذ من البيان، ومن أساليب البيان التأويل، والإمام الغزالي رحمه الله لم يأت في كتاب الإلجام بشيء مخالف لما في كتبه الأخرى</w:t>
      </w:r>
      <w:r w:rsidR="000636C2">
        <w:rPr>
          <w:rtl/>
          <w:lang w:bidi="ar-KW"/>
        </w:rPr>
        <w:t xml:space="preserve">، </w:t>
      </w:r>
      <w:r w:rsidRPr="005675B2">
        <w:rPr>
          <w:rtl/>
          <w:lang w:bidi="ar-KW"/>
        </w:rPr>
        <w:t>على أنه يلزم من ينسب إلى هؤلاء الأئمة ترك ما كانوا عليه والرجوع إلى منهج السلف أن يقرَّ بأن مذهب السلف هو تنزيه الله تعالى عن ظواهر هذه النصوص لأنهم نصّوا على ذلك في هذه الكتب التي ينسب إليهم الرجوع إلى منهج السلف فيها، ونحن لا ننكر رجوع هؤلاء الأئمة إلى مذهب جمهور السلف الذي هو التفويض مع التنزيه عن ظواهر هذه النصوص إذا صح النقل عنهم، كلا، وإنما الذي ننكره وترفضه نصوص هؤلاء الأئمة وغيرهم هو الزعم بأن هذا المسلك ينافي ما عليه معتقد الأشاعرة، وهذا أمر تبطله كتب هؤلاء الأئمة وجميع السادة الأشاعرة والمنقول عنهم وهم أعلام هذه الأمة في كل فن من فنون الشريعة</w:t>
      </w:r>
      <w:r w:rsidR="000636C2">
        <w:rPr>
          <w:rtl/>
          <w:lang w:bidi="ar-KW"/>
        </w:rPr>
        <w:t xml:space="preserve">، </w:t>
      </w:r>
      <w:r w:rsidRPr="005675B2">
        <w:rPr>
          <w:rtl/>
          <w:lang w:bidi="ar-KW"/>
        </w:rPr>
        <w:t xml:space="preserve">وكذلك ما ينقل عن الإمام الرازي لا يخرج عمّا ذكرنا سابقاً، بل إن الإمام لآخر لحظة في حياته يوصي بكتبه التي صنفها قبلُ، فجاء في وصيته التي أملاها على أحد تلاميذه وهو على فراش الموت كما في </w:t>
      </w:r>
      <w:r w:rsidR="000636C2">
        <w:rPr>
          <w:rtl/>
          <w:lang w:bidi="ar-KW"/>
        </w:rPr>
        <w:t>(</w:t>
      </w:r>
      <w:r w:rsidRPr="005675B2">
        <w:rPr>
          <w:rtl/>
          <w:lang w:bidi="ar-KW"/>
        </w:rPr>
        <w:t>طبقات الأطباء ص469</w:t>
      </w:r>
      <w:r w:rsidR="000636C2">
        <w:rPr>
          <w:rtl/>
          <w:lang w:bidi="ar-KW"/>
        </w:rPr>
        <w:t>):</w:t>
      </w:r>
      <w:r w:rsidRPr="005675B2">
        <w:rPr>
          <w:rtl/>
          <w:lang w:bidi="ar-KW"/>
        </w:rPr>
        <w:t xml:space="preserve"> </w:t>
      </w:r>
      <w:r w:rsidR="000636C2">
        <w:rPr>
          <w:rtl/>
          <w:lang w:bidi="ar-KW"/>
        </w:rPr>
        <w:t>(</w:t>
      </w:r>
      <w:r w:rsidRPr="005675B2">
        <w:rPr>
          <w:rtl/>
          <w:lang w:bidi="ar-KW"/>
        </w:rPr>
        <w:t>.. وأما الكتب العلمية التي صنّفتها أواستكثرت من إيراد السؤالات على المتقدمين فيها، فمن نظر في شيء منها فإن طابت له تلك السؤالات فليذكرني في صالح دعائه على سبيل التفضل والإنعام، وإلا فليحذف القول السيئ فإني ما أردت إلا تكثير البحث وتشحيذ الخاطر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وما ينقل عنه مثل قوله </w:t>
      </w:r>
      <w:r w:rsidR="000636C2">
        <w:rPr>
          <w:rtl/>
          <w:lang w:bidi="ar-KW"/>
        </w:rPr>
        <w:t>(</w:t>
      </w:r>
      <w:r w:rsidRPr="005675B2">
        <w:rPr>
          <w:rtl/>
          <w:lang w:bidi="ar-KW"/>
        </w:rPr>
        <w:t>مجموع فتاوى ابن تيمية 4/72</w:t>
      </w:r>
      <w:r w:rsidR="000636C2">
        <w:rPr>
          <w:rtl/>
          <w:lang w:bidi="ar-KW"/>
        </w:rPr>
        <w:t>):</w:t>
      </w:r>
      <w:r w:rsidRPr="005675B2">
        <w:rPr>
          <w:rtl/>
          <w:lang w:bidi="ar-KW"/>
        </w:rPr>
        <w:t xml:space="preserve"> </w:t>
      </w:r>
      <w:r w:rsidR="000636C2">
        <w:rPr>
          <w:rtl/>
          <w:lang w:bidi="ar-KW"/>
        </w:rPr>
        <w:t>(</w:t>
      </w:r>
      <w:r w:rsidRPr="005675B2">
        <w:rPr>
          <w:rtl/>
          <w:lang w:bidi="ar-KW"/>
        </w:rPr>
        <w:t xml:space="preserve">لقد تأملت الطرق الكلامية والمناهج الفلسفية فما رأيتها تشفي عليلاً ولا تروي غليلاً، ورأيت أقرب الطرق طريقة القرآن، اقرأ في الإثبات </w:t>
      </w:r>
      <w:r w:rsidR="000636C2">
        <w:rPr>
          <w:bCs/>
          <w:rtl/>
          <w:lang w:bidi="ar-KW"/>
        </w:rPr>
        <w:t>(</w:t>
      </w:r>
      <w:r w:rsidRPr="005675B2">
        <w:rPr>
          <w:bCs/>
          <w:rtl/>
          <w:lang w:bidi="ar-KW"/>
        </w:rPr>
        <w:t>الرحمن على العرش استوى</w:t>
      </w:r>
      <w:r w:rsidR="000636C2">
        <w:rPr>
          <w:bCs/>
          <w:rtl/>
          <w:lang w:bidi="ar-KW"/>
        </w:rPr>
        <w:t>)</w:t>
      </w:r>
      <w:r w:rsidRPr="005675B2">
        <w:rPr>
          <w:bCs/>
          <w:rtl/>
          <w:lang w:bidi="ar-KW"/>
        </w:rPr>
        <w:t xml:space="preserve"> </w:t>
      </w:r>
      <w:r w:rsidR="000636C2">
        <w:rPr>
          <w:bCs/>
          <w:rtl/>
          <w:lang w:bidi="ar-KW"/>
        </w:rPr>
        <w:t>(</w:t>
      </w:r>
      <w:r w:rsidRPr="005675B2">
        <w:rPr>
          <w:bCs/>
          <w:rtl/>
          <w:lang w:bidi="ar-KW"/>
        </w:rPr>
        <w:t>إليه يصعد الكلم الطيب والعمل الصالح يرفعه</w:t>
      </w:r>
      <w:r w:rsidR="000636C2">
        <w:rPr>
          <w:bCs/>
          <w:rtl/>
          <w:lang w:bidi="ar-KW"/>
        </w:rPr>
        <w:t>)،</w:t>
      </w:r>
      <w:r w:rsidRPr="005675B2">
        <w:rPr>
          <w:rtl/>
          <w:lang w:bidi="ar-KW"/>
        </w:rPr>
        <w:t xml:space="preserve"> واقرأ في النفي</w:t>
      </w:r>
      <w:r w:rsidRPr="005675B2">
        <w:rPr>
          <w:bCs/>
          <w:rtl/>
          <w:lang w:bidi="ar-KW"/>
        </w:rPr>
        <w:t xml:space="preserve"> </w:t>
      </w:r>
      <w:r w:rsidR="000636C2">
        <w:rPr>
          <w:bCs/>
          <w:rtl/>
          <w:lang w:bidi="ar-KW"/>
        </w:rPr>
        <w:t>(</w:t>
      </w:r>
      <w:r w:rsidRPr="005675B2">
        <w:rPr>
          <w:bCs/>
          <w:rtl/>
          <w:lang w:bidi="ar-KW"/>
        </w:rPr>
        <w:t>ليس كمثله شئ</w:t>
      </w:r>
      <w:r w:rsidR="000636C2">
        <w:rPr>
          <w:bCs/>
          <w:rtl/>
          <w:lang w:bidi="ar-KW"/>
        </w:rPr>
        <w:t>)،</w:t>
      </w:r>
      <w:r w:rsidRPr="005675B2">
        <w:rPr>
          <w:bCs/>
          <w:rtl/>
          <w:lang w:bidi="ar-KW"/>
        </w:rPr>
        <w:t xml:space="preserve"> </w:t>
      </w:r>
      <w:r w:rsidR="000636C2">
        <w:rPr>
          <w:bCs/>
          <w:rtl/>
          <w:lang w:bidi="ar-KW"/>
        </w:rPr>
        <w:t>(</w:t>
      </w:r>
      <w:r w:rsidRPr="005675B2">
        <w:rPr>
          <w:bCs/>
          <w:rtl/>
          <w:lang w:bidi="ar-KW"/>
        </w:rPr>
        <w:t>ولا يحيطون به علما</w:t>
      </w:r>
      <w:r w:rsidR="000636C2">
        <w:rPr>
          <w:bCs/>
          <w:rtl/>
          <w:lang w:bidi="ar-KW"/>
        </w:rPr>
        <w:t>)،</w:t>
      </w:r>
      <w:r w:rsidRPr="005675B2">
        <w:rPr>
          <w:bCs/>
          <w:rtl/>
          <w:lang w:bidi="ar-KW"/>
        </w:rPr>
        <w:t xml:space="preserve"> </w:t>
      </w:r>
      <w:r w:rsidR="000636C2">
        <w:rPr>
          <w:bCs/>
          <w:rtl/>
          <w:lang w:bidi="ar-KW"/>
        </w:rPr>
        <w:t>(</w:t>
      </w:r>
      <w:r w:rsidRPr="005675B2">
        <w:rPr>
          <w:bCs/>
          <w:rtl/>
          <w:lang w:bidi="ar-KW"/>
        </w:rPr>
        <w:t>هل تعلم له سميا</w:t>
      </w:r>
      <w:r w:rsidR="000636C2">
        <w:rPr>
          <w:bCs/>
          <w:rtl/>
          <w:lang w:bidi="ar-KW"/>
        </w:rPr>
        <w:t>)</w:t>
      </w:r>
      <w:r w:rsidRPr="005675B2">
        <w:rPr>
          <w:rtl/>
          <w:lang w:bidi="ar-KW"/>
        </w:rPr>
        <w:t xml:space="preserve"> .. ومن جرب مثل تجربتي عرف مثل معرفتي ..</w:t>
      </w:r>
      <w:r w:rsidR="000636C2">
        <w:rPr>
          <w:rtl/>
          <w:lang w:bidi="ar-KW"/>
        </w:rPr>
        <w:t>)</w:t>
      </w:r>
      <w:r w:rsidRPr="005675B2">
        <w:rPr>
          <w:rtl/>
          <w:lang w:bidi="ar-KW"/>
        </w:rPr>
        <w:t xml:space="preserve"> اهـ فهذا إذا صحَّ عنه فلا يفيد تركه لمعتقد الأشاعرة لا تصريحاً ولا تلميحاً، غاية ما هنالك أنه رحمه الله تعالى يرى أن أقرب الطرق في إثبات صفة الرب جلّ وعزّ طريق القرآن، وهذا حق لا ريب فيه لا يخالفه إلا زائغ</w:t>
      </w:r>
      <w:r w:rsidR="000636C2">
        <w:rPr>
          <w:rtl/>
          <w:lang w:bidi="ar-KW"/>
        </w:rPr>
        <w:t>،</w:t>
      </w:r>
      <w:r w:rsidRPr="005675B2">
        <w:rPr>
          <w:rtl/>
          <w:lang w:bidi="ar-KW"/>
        </w:rPr>
        <w:t xml:space="preserve"> والإدعاء بأنه رجع عن معتقد الأشاعرة تقويل للإمام ما لم يقله وتحميل للكلام ما لا يحتمل هذا إذا سلمنا صحة هذه الأقوال عن الإمام</w:t>
      </w:r>
      <w:r w:rsidR="000636C2">
        <w:rPr>
          <w:rtl/>
          <w:lang w:bidi="ar-KW"/>
        </w:rPr>
        <w:t>،</w:t>
      </w:r>
      <w:r w:rsidRPr="005675B2">
        <w:rPr>
          <w:rtl/>
          <w:lang w:bidi="ar-KW"/>
        </w:rPr>
        <w:t xml:space="preserve"> بهذا يتضح أن أقدار أئمة الإسلام أكبرُ وأجلُّ من أن تنقاد في مسائل أصول الدين إلى أحد</w:t>
      </w:r>
      <w:r w:rsidR="000636C2">
        <w:rPr>
          <w:rtl/>
          <w:lang w:bidi="ar-KW"/>
        </w:rPr>
        <w:t xml:space="preserve"> </w:t>
      </w:r>
      <w:r w:rsidRPr="005675B2">
        <w:rPr>
          <w:rtl/>
          <w:lang w:bidi="ar-KW"/>
        </w:rPr>
        <w:t>- غير رسول الله عليه الصلاة والسلام</w:t>
      </w:r>
      <w:r w:rsidR="000636C2">
        <w:rPr>
          <w:rtl/>
          <w:lang w:bidi="ar-KW"/>
        </w:rPr>
        <w:t xml:space="preserve"> </w:t>
      </w:r>
      <w:r w:rsidRPr="005675B2">
        <w:rPr>
          <w:rtl/>
          <w:lang w:bidi="ar-KW"/>
        </w:rPr>
        <w:t>- تقليداً بلا تبصر أواهتداء، حتى وإن كان إمام أهل السنة والجماعة أبا الحسن الأشعري، فإن اتباع الأمة له رحمه الله اهتداءً لا تقليداً، لذا فإن أي محاولة للتشكيك في معتقد الأشاعرة بادعاء رجوع الإمام أبي الحسن أو رجوع أحد من الأئمة لن تجدي نفعاً ولن تغير من الحق الذي أطبقت عليه الأمة بعلمائها ودهمائها شيئاً، فإن غاية ما يقال في أي دعوى من هذا القبيل إذا صحت عن أحد من العلماء هو أنه أخطأ فيما ذهب إليه، ولا يقلد في ذلك، وكلٌّ يؤخذ منه ويُردُّ عليه إلا المعصوم صلى الله عليه وسلم</w:t>
      </w:r>
      <w:r w:rsidR="000636C2">
        <w:rPr>
          <w:rtl/>
          <w:lang w:bidi="ar-KW"/>
        </w:rPr>
        <w:t>،</w:t>
      </w:r>
      <w:r w:rsidRPr="005675B2">
        <w:rPr>
          <w:rtl/>
          <w:lang w:bidi="ar-KW"/>
        </w:rPr>
        <w:t xml:space="preserve"> </w:t>
      </w:r>
    </w:p>
    <w:p w14:paraId="040A4CBB" w14:textId="77777777" w:rsidR="009C32A0" w:rsidRPr="005675B2" w:rsidRDefault="009C32A0" w:rsidP="000636C2">
      <w:pPr>
        <w:widowControl w:val="0"/>
        <w:spacing w:before="80" w:after="240"/>
        <w:jc w:val="center"/>
        <w:rPr>
          <w:rtl/>
          <w:lang w:bidi="ar-KW"/>
        </w:rPr>
      </w:pPr>
      <w:r w:rsidRPr="005675B2">
        <w:rPr>
          <w:rtl/>
          <w:lang w:bidi="ar-KW"/>
        </w:rPr>
        <w:t>* * * *</w:t>
      </w:r>
    </w:p>
    <w:p w14:paraId="1A2E4A06" w14:textId="180442B7" w:rsidR="009C32A0" w:rsidRPr="005675B2" w:rsidRDefault="009C32A0" w:rsidP="000636C2">
      <w:pPr>
        <w:widowControl w:val="0"/>
        <w:spacing w:before="80" w:after="240"/>
        <w:rPr>
          <w:rtl/>
          <w:lang w:bidi="ar-KW"/>
        </w:rPr>
      </w:pPr>
      <w:r w:rsidRPr="005675B2">
        <w:rPr>
          <w:bCs/>
          <w:rtl/>
          <w:lang w:bidi="ar-KW"/>
        </w:rPr>
        <w:t>أهل السنة والجماعة</w:t>
      </w:r>
      <w:r w:rsidR="000636C2">
        <w:rPr>
          <w:rFonts w:hint="cs"/>
          <w:bCs/>
          <w:rtl/>
          <w:lang w:bidi="ar-KW"/>
        </w:rPr>
        <w:t xml:space="preserve">: </w:t>
      </w:r>
      <w:r w:rsidRPr="005675B2">
        <w:rPr>
          <w:rtl/>
          <w:lang w:bidi="ar-KW"/>
        </w:rPr>
        <w:t>أهل السنة والجماعة مصطلح ظهر للدلالة على من كان على منهج السلف الصالح من التمسك بالقرآن والسنن والآثار المروية عن رسول الله</w:t>
      </w:r>
      <w:r w:rsidR="000636C2">
        <w:rPr>
          <w:rtl/>
          <w:lang w:bidi="ar-KW"/>
        </w:rPr>
        <w:t xml:space="preserve"> </w:t>
      </w:r>
      <w:r w:rsidRPr="005675B2">
        <w:rPr>
          <w:rtl/>
          <w:lang w:bidi="ar-KW"/>
        </w:rPr>
        <w:t>وعن أصحابه رضوان الله تعالى عليهم، ليتميز عن مذاهب المبتدعة وأهل الأهواء</w:t>
      </w:r>
      <w:r w:rsidR="000636C2">
        <w:rPr>
          <w:rtl/>
          <w:lang w:bidi="ar-KW"/>
        </w:rPr>
        <w:t>،</w:t>
      </w:r>
      <w:r w:rsidRPr="005675B2">
        <w:rPr>
          <w:rtl/>
          <w:lang w:bidi="ar-KW"/>
        </w:rPr>
        <w:t xml:space="preserve"> وإذا أطلق هذا المصطلح في كتب العلماء فالمقصود به الأشاعرة والماتريدية وأصحاب الحديث؛ لأنهم هم الذين على ما كان عليه رسول الله</w:t>
      </w:r>
      <w:r w:rsidR="000636C2">
        <w:rPr>
          <w:rtl/>
          <w:lang w:bidi="ar-KW"/>
        </w:rPr>
        <w:t>،</w:t>
      </w:r>
      <w:r w:rsidRPr="005675B2">
        <w:rPr>
          <w:rtl/>
          <w:lang w:bidi="ar-KW"/>
        </w:rPr>
        <w:t xml:space="preserve"> لم يبدلوا ولم يغيروا كما فعل غيرهم من أهل الزيغ والابتداع</w:t>
      </w:r>
      <w:r w:rsidR="000636C2">
        <w:rPr>
          <w:rtl/>
          <w:lang w:bidi="ar-KW"/>
        </w:rPr>
        <w:t>،</w:t>
      </w:r>
      <w:r w:rsidRPr="005675B2">
        <w:rPr>
          <w:rtl/>
          <w:lang w:bidi="ar-KW"/>
        </w:rPr>
        <w:t xml:space="preserve"> ولقد وصف رسول الله</w:t>
      </w:r>
      <w:r w:rsidR="000636C2">
        <w:rPr>
          <w:rtl/>
          <w:lang w:bidi="ar-KW"/>
        </w:rPr>
        <w:t xml:space="preserve"> </w:t>
      </w:r>
      <w:r w:rsidRPr="005675B2">
        <w:rPr>
          <w:rtl/>
          <w:lang w:bidi="ar-KW"/>
        </w:rPr>
        <w:t xml:space="preserve">الفرقة النـاجية بأنهم السواد الأعظم من الأمة، وهذا الوصف منطبق على الأشاعرة والماتريدية وأصحاب الحديث، إذ هم غالب أمة الإسلام، والمنفي عنهم الاجتماع على الضلالة بنص الحديث المشهور </w:t>
      </w:r>
      <w:r w:rsidR="000636C2">
        <w:rPr>
          <w:bCs/>
          <w:rtl/>
          <w:lang w:bidi="ar-KW"/>
        </w:rPr>
        <w:t>(</w:t>
      </w:r>
      <w:r w:rsidRPr="005675B2">
        <w:rPr>
          <w:bCs/>
          <w:rtl/>
          <w:lang w:bidi="ar-KW"/>
        </w:rPr>
        <w:t>لا تجتمع أمتـي علـى الضلالة</w:t>
      </w:r>
      <w:r w:rsidR="000636C2">
        <w:rPr>
          <w:bCs/>
          <w:rtl/>
          <w:lang w:bidi="ar-KW"/>
        </w:rPr>
        <w:t>)</w:t>
      </w:r>
      <w:r w:rsidR="000636C2">
        <w:rPr>
          <w:vertAlign w:val="superscript"/>
          <w:rtl/>
        </w:rPr>
        <w:t xml:space="preserve"> </w:t>
      </w:r>
      <w:r w:rsidR="000636C2">
        <w:rPr>
          <w:rFonts w:hint="cs"/>
          <w:sz w:val="24"/>
          <w:szCs w:val="24"/>
          <w:rtl/>
          <w:lang w:bidi="ar-KW"/>
        </w:rPr>
        <w:t>[</w:t>
      </w:r>
      <w:r w:rsidRPr="005675B2">
        <w:rPr>
          <w:sz w:val="24"/>
          <w:szCs w:val="24"/>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0636C2">
        <w:rPr>
          <w:rFonts w:hint="cs"/>
          <w:sz w:val="24"/>
          <w:szCs w:val="24"/>
          <w:rtl/>
        </w:rPr>
        <w:t>]،</w:t>
      </w:r>
      <w:r w:rsidRPr="005675B2">
        <w:rPr>
          <w:rtl/>
          <w:lang w:bidi="ar-KW"/>
        </w:rPr>
        <w:t xml:space="preserve"> قال الإمام تاج الدين السبكي رحمه الله تعالى </w:t>
      </w:r>
      <w:r w:rsidR="000636C2">
        <w:rPr>
          <w:rtl/>
          <w:lang w:bidi="ar-KW"/>
        </w:rPr>
        <w:t>(</w:t>
      </w:r>
      <w:r w:rsidRPr="005675B2">
        <w:rPr>
          <w:rtl/>
          <w:lang w:bidi="ar-KW"/>
        </w:rPr>
        <w:t>إتحاف السادة المتقين 2/6</w:t>
      </w:r>
      <w:r w:rsidR="000636C2">
        <w:rPr>
          <w:rtl/>
          <w:lang w:bidi="ar-KW"/>
        </w:rPr>
        <w:t>):</w:t>
      </w:r>
      <w:r w:rsidRPr="005675B2">
        <w:rPr>
          <w:rFonts w:hint="cs"/>
          <w:rtl/>
          <w:lang w:bidi="ar-KW"/>
        </w:rPr>
        <w:t xml:space="preserve"> </w:t>
      </w:r>
      <w:r w:rsidR="000636C2">
        <w:rPr>
          <w:rtl/>
          <w:lang w:bidi="ar-KW"/>
        </w:rPr>
        <w:t>(</w:t>
      </w:r>
      <w:r w:rsidRPr="005675B2">
        <w:rPr>
          <w:rtl/>
          <w:lang w:bidi="ar-KW"/>
        </w:rPr>
        <w:t>اعلم أن أهل السنة والجماعة كلهم قد اتفقوا على معتقد واحد فيما يجب ويجوز ويستحيل، وإن اختلفوا في الطرق والمبادئ الموصلة لذلك، أو في لِميّة</w:t>
      </w:r>
      <w:r w:rsidRPr="005675B2">
        <w:rPr>
          <w:rFonts w:hint="cs"/>
          <w:rtl/>
          <w:lang w:bidi="ar-KW"/>
        </w:rPr>
        <w:t xml:space="preserve"> </w:t>
      </w:r>
      <w:r w:rsidRPr="005675B2">
        <w:rPr>
          <w:rtl/>
          <w:lang w:bidi="ar-KW"/>
        </w:rPr>
        <w:t>ما هنالك، وبالجملة فهم بالاستقراء ثلاث طوائف</w:t>
      </w:r>
      <w:r w:rsidR="000636C2">
        <w:rPr>
          <w:rtl/>
          <w:lang w:bidi="ar-KW"/>
        </w:rPr>
        <w:t>:</w:t>
      </w:r>
      <w:r w:rsidRPr="005675B2">
        <w:rPr>
          <w:rFonts w:hint="cs"/>
          <w:rtl/>
          <w:lang w:bidi="ar-KW"/>
        </w:rPr>
        <w:t xml:space="preserve"> </w:t>
      </w:r>
      <w:r w:rsidRPr="005675B2">
        <w:rPr>
          <w:bCs/>
          <w:rtl/>
          <w:lang w:bidi="ar-KW"/>
        </w:rPr>
        <w:t>الأولى</w:t>
      </w:r>
      <w:r w:rsidR="000636C2">
        <w:rPr>
          <w:bCs/>
          <w:rtl/>
          <w:lang w:bidi="ar-KW"/>
        </w:rPr>
        <w:t>:</w:t>
      </w:r>
      <w:r w:rsidRPr="005675B2">
        <w:rPr>
          <w:rtl/>
          <w:lang w:bidi="ar-KW"/>
        </w:rPr>
        <w:t xml:space="preserve"> أهل الحديث ومعتمد مباديهم الأدلة السمعية، أعني الكتاب والسنة والإجماع</w:t>
      </w:r>
      <w:r w:rsidR="000636C2">
        <w:rPr>
          <w:rtl/>
          <w:lang w:bidi="ar-KW"/>
        </w:rPr>
        <w:t>،</w:t>
      </w:r>
      <w:r w:rsidRPr="005675B2">
        <w:rPr>
          <w:rtl/>
          <w:lang w:bidi="ar-KW"/>
        </w:rPr>
        <w:t xml:space="preserve"> </w:t>
      </w:r>
      <w:r w:rsidRPr="005675B2">
        <w:rPr>
          <w:bCs/>
          <w:rtl/>
          <w:lang w:bidi="ar-KW"/>
        </w:rPr>
        <w:t>الثانية</w:t>
      </w:r>
      <w:r w:rsidR="000636C2">
        <w:rPr>
          <w:bCs/>
          <w:rtl/>
          <w:lang w:bidi="ar-KW"/>
        </w:rPr>
        <w:t>:</w:t>
      </w:r>
      <w:r w:rsidRPr="005675B2">
        <w:rPr>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sidRPr="005675B2">
        <w:rPr>
          <w:bCs/>
          <w:rtl/>
          <w:lang w:bidi="ar-KW"/>
        </w:rPr>
        <w:t>الثالثة</w:t>
      </w:r>
      <w:r w:rsidR="000636C2">
        <w:rPr>
          <w:bCs/>
          <w:rtl/>
          <w:lang w:bidi="ar-KW"/>
        </w:rPr>
        <w:t>:</w:t>
      </w:r>
      <w:r w:rsidRPr="005675B2">
        <w:rPr>
          <w:rtl/>
          <w:lang w:bidi="ar-KW"/>
        </w:rPr>
        <w:t xml:space="preserve"> أهل الوجدان والكشف، وهم الصوفية، ومباديهم مبادئ أهل النظر والحديث في البداية، والكشف والإلهام في النهاية</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عضد الدين الإيجي - رحمه الله تعالى - في بيان الفرقة الناجية، بعد أن عدد فرق الهالكين </w:t>
      </w:r>
      <w:r w:rsidR="000636C2">
        <w:rPr>
          <w:rtl/>
          <w:lang w:bidi="ar-KW"/>
        </w:rPr>
        <w:t>(</w:t>
      </w:r>
      <w:r w:rsidRPr="005675B2">
        <w:rPr>
          <w:rtl/>
          <w:lang w:bidi="ar-KW"/>
        </w:rPr>
        <w:t>المواقف ص 430</w:t>
      </w:r>
      <w:r w:rsidR="000636C2">
        <w:rPr>
          <w:rtl/>
          <w:lang w:bidi="ar-KW"/>
        </w:rPr>
        <w:t>):</w:t>
      </w:r>
      <w:r w:rsidRPr="005675B2">
        <w:rPr>
          <w:rFonts w:hint="cs"/>
          <w:rtl/>
          <w:lang w:bidi="ar-KW"/>
        </w:rPr>
        <w:t xml:space="preserve"> </w:t>
      </w:r>
      <w:r w:rsidR="000636C2">
        <w:rPr>
          <w:rtl/>
          <w:lang w:bidi="ar-KW"/>
        </w:rPr>
        <w:t>(</w:t>
      </w:r>
      <w:r w:rsidRPr="005675B2">
        <w:rPr>
          <w:rtl/>
          <w:lang w:bidi="ar-KW"/>
        </w:rPr>
        <w:t>وأما الفرقة الناجية المستثناة الذين قال النبي</w:t>
      </w:r>
      <w:r w:rsidR="000636C2">
        <w:rPr>
          <w:rtl/>
          <w:lang w:bidi="ar-KW"/>
        </w:rPr>
        <w:t xml:space="preserve"> </w:t>
      </w:r>
      <w:r w:rsidRPr="005675B2">
        <w:rPr>
          <w:rtl/>
          <w:lang w:bidi="ar-KW"/>
        </w:rPr>
        <w:t>- - فيهم "هم الذين على ما أنا عليه وأصحابي" فهم الأشاعرة والسلف من المحدثين وأهل السنة والجماعة، ومذهبهم خالٍ من بدع هؤلاء</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الجلال الدواني رحمه الله تعالى </w:t>
      </w:r>
      <w:r w:rsidR="000636C2">
        <w:rPr>
          <w:rtl/>
          <w:lang w:bidi="ar-KW"/>
        </w:rPr>
        <w:t>(</w:t>
      </w:r>
      <w:r w:rsidRPr="005675B2">
        <w:rPr>
          <w:rtl/>
          <w:lang w:bidi="ar-KW"/>
        </w:rPr>
        <w:t>شرح العقائد العضدية 1/ 34</w:t>
      </w:r>
      <w:r w:rsidR="000636C2">
        <w:rPr>
          <w:rtl/>
          <w:lang w:bidi="ar-KW"/>
        </w:rPr>
        <w:t>):</w:t>
      </w:r>
      <w:r w:rsidRPr="005675B2">
        <w:rPr>
          <w:rFonts w:hint="cs"/>
          <w:rtl/>
          <w:lang w:bidi="ar-KW"/>
        </w:rPr>
        <w:t xml:space="preserve"> </w:t>
      </w:r>
      <w:r w:rsidR="000636C2">
        <w:rPr>
          <w:rtl/>
          <w:lang w:bidi="ar-KW"/>
        </w:rPr>
        <w:t>(</w:t>
      </w:r>
      <w:r w:rsidRPr="005675B2">
        <w:rPr>
          <w:rtl/>
          <w:lang w:bidi="ar-KW"/>
        </w:rPr>
        <w:t>الفرقة الناجية، وهم الأشاعرة أي التابعون في الأصـول للشيخ أبي الحسـن .. فـإن قلت</w:t>
      </w:r>
      <w:r w:rsidR="000636C2">
        <w:rPr>
          <w:rtl/>
          <w:lang w:bidi="ar-KW"/>
        </w:rPr>
        <w:t>:</w:t>
      </w:r>
      <w:r w:rsidRPr="005675B2">
        <w:rPr>
          <w:rtl/>
          <w:lang w:bidi="ar-KW"/>
        </w:rPr>
        <w:t xml:space="preserve"> كيف حكم بأن الفرقة الناجية هم الأشاعرة</w:t>
      </w:r>
      <w:r w:rsidR="000636C2">
        <w:rPr>
          <w:rtl/>
          <w:lang w:bidi="ar-KW"/>
        </w:rPr>
        <w:t>؟</w:t>
      </w:r>
      <w:r w:rsidRPr="005675B2">
        <w:rPr>
          <w:rtl/>
          <w:lang w:bidi="ar-KW"/>
        </w:rPr>
        <w:t xml:space="preserve"> وكل فرقة تزعم أنها ناجية</w:t>
      </w:r>
      <w:r w:rsidR="000636C2">
        <w:rPr>
          <w:rtl/>
          <w:lang w:bidi="ar-KW"/>
        </w:rPr>
        <w:t>؟</w:t>
      </w:r>
      <w:r w:rsidRPr="005675B2">
        <w:rPr>
          <w:rtl/>
          <w:lang w:bidi="ar-KW"/>
        </w:rPr>
        <w:t xml:space="preserve"> قلت سياق الحـديث مشعر بأنهم – يعني الفرقة الناجية – المعتقدون بما روي عن النبـي</w:t>
      </w:r>
      <w:r w:rsidR="000636C2">
        <w:rPr>
          <w:rtl/>
          <w:lang w:bidi="ar-KW"/>
        </w:rPr>
        <w:t xml:space="preserve"> </w:t>
      </w:r>
      <w:r w:rsidRPr="005675B2">
        <w:rPr>
          <w:rtl/>
          <w:lang w:bidi="ar-KW"/>
        </w:rPr>
        <w:t>وأصحابه، وذلك إنما ينطبق على الأشاعرة، فإنهم متمسكون في عقائدهم بالأحاديث الصحيحة المنقولة عنه</w:t>
      </w:r>
      <w:r w:rsidR="000636C2">
        <w:rPr>
          <w:rtl/>
          <w:lang w:bidi="ar-KW"/>
        </w:rPr>
        <w:t xml:space="preserve"> </w:t>
      </w:r>
      <w:r w:rsidRPr="005675B2">
        <w:rPr>
          <w:rtl/>
          <w:lang w:bidi="ar-KW"/>
        </w:rPr>
        <w:t>وعن أصحابه، ولا يتجاوزون عن ظواهرها إلا لضرورة، ولا يسترسلون مع عقولهم كالمعتزلة</w:t>
      </w:r>
      <w:r w:rsidR="000636C2">
        <w:rPr>
          <w:rtl/>
          <w:lang w:bidi="ar-KW"/>
        </w:rPr>
        <w:t>)</w:t>
      </w:r>
      <w:r w:rsidRPr="005675B2">
        <w:rPr>
          <w:rtl/>
          <w:lang w:bidi="ar-KW"/>
        </w:rPr>
        <w:t xml:space="preserve"> اهـ</w:t>
      </w:r>
      <w:r w:rsidR="000636C2">
        <w:rPr>
          <w:rtl/>
          <w:lang w:bidi="ar-KW"/>
        </w:rPr>
        <w:t xml:space="preserve">، </w:t>
      </w:r>
      <w:r w:rsidRPr="005675B2">
        <w:rPr>
          <w:rtl/>
          <w:lang w:bidi="ar-KW"/>
        </w:rPr>
        <w:t>والاقتصار على الأشاعرة في نصوص الأئمة إنما ذلك لكونهم أغلب أهل السنة، فلا يفهم منه إخراج غيرهم من طوائف أهل السنة من الفرقة الناجية، فمن لم يكن منهم متبعاً للإمام الأشعري فهو موافق له</w:t>
      </w:r>
      <w:r w:rsidR="000636C2">
        <w:rPr>
          <w:rtl/>
          <w:lang w:bidi="ar-KW"/>
        </w:rPr>
        <w:t xml:space="preserve">، </w:t>
      </w:r>
      <w:r w:rsidRPr="005675B2">
        <w:rPr>
          <w:bCs/>
          <w:rtl/>
          <w:lang w:bidi="ar-KW"/>
        </w:rPr>
        <w:t>وقال العارف بالله الإمام ابن عجيبة</w:t>
      </w:r>
      <w:r w:rsidRPr="005675B2">
        <w:rPr>
          <w:rFonts w:hint="cs"/>
          <w:rtl/>
          <w:lang w:bidi="ar-KW"/>
        </w:rPr>
        <w:t xml:space="preserve"> </w:t>
      </w:r>
      <w:r w:rsidR="000636C2">
        <w:rPr>
          <w:rFonts w:hint="cs"/>
          <w:sz w:val="24"/>
          <w:szCs w:val="24"/>
          <w:rtl/>
          <w:lang w:bidi="ar-KW"/>
        </w:rPr>
        <w:t>[</w:t>
      </w:r>
      <w:r w:rsidRPr="005675B2">
        <w:rPr>
          <w:sz w:val="24"/>
          <w:szCs w:val="24"/>
          <w:rtl/>
        </w:rPr>
        <w:t>أبو العباس أحمد بن محمد بن عجيبة الحسني الفاسي، العلامة المحقق الفهامة البارع المدقق الصوفي الجامع بين الشريعة والحقيقة، وفاته رحمه الله تعالى سنة 1224هـ. (شجرة النور الزكية ص400، وانظر ترجمته في فهرس الفهارس 2/854)</w:t>
      </w:r>
      <w:r w:rsidR="000636C2">
        <w:rPr>
          <w:rFonts w:hint="cs"/>
          <w:sz w:val="24"/>
          <w:szCs w:val="24"/>
          <w:rtl/>
        </w:rPr>
        <w:t>]</w:t>
      </w:r>
      <w:r w:rsidRPr="005675B2">
        <w:rPr>
          <w:rFonts w:hint="cs"/>
          <w:sz w:val="24"/>
          <w:szCs w:val="24"/>
          <w:rtl/>
        </w:rPr>
        <w:t xml:space="preserve"> </w:t>
      </w:r>
      <w:r w:rsidRPr="005675B2">
        <w:rPr>
          <w:rtl/>
          <w:lang w:bidi="ar-KW"/>
        </w:rPr>
        <w:t xml:space="preserve">رحمه الله تعالى </w:t>
      </w:r>
      <w:r w:rsidR="000636C2">
        <w:rPr>
          <w:rtl/>
          <w:lang w:bidi="ar-KW"/>
        </w:rPr>
        <w:t>(</w:t>
      </w:r>
      <w:r w:rsidRPr="005675B2">
        <w:rPr>
          <w:rtl/>
          <w:lang w:bidi="ar-KW"/>
        </w:rPr>
        <w:t>تفسير الفاتحة الكبير، المسمى ب - " البحر المديد " ص607</w:t>
      </w:r>
      <w:r w:rsidR="000636C2">
        <w:rPr>
          <w:rtl/>
          <w:lang w:bidi="ar-KW"/>
        </w:rPr>
        <w:t>):</w:t>
      </w:r>
      <w:r w:rsidRPr="005675B2">
        <w:rPr>
          <w:rtl/>
          <w:lang w:bidi="ar-KW"/>
        </w:rPr>
        <w:t xml:space="preserve"> </w:t>
      </w:r>
      <w:r w:rsidR="000636C2">
        <w:rPr>
          <w:rtl/>
          <w:lang w:bidi="ar-KW"/>
        </w:rPr>
        <w:t>(</w:t>
      </w:r>
      <w:r w:rsidRPr="005675B2">
        <w:rPr>
          <w:rtl/>
          <w:lang w:bidi="ar-KW"/>
        </w:rPr>
        <w:t>أما أهل السنة فهم الأشاعرة ومن تبعهم في اعتقادهم الصحيح، كما هو مقرر في كتب أهل السنة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قال الإمام تاج الدين السبكي رحمه الله تعالى </w:t>
      </w:r>
      <w:r w:rsidR="000636C2">
        <w:rPr>
          <w:rtl/>
          <w:lang w:bidi="ar-KW"/>
        </w:rPr>
        <w:t>(</w:t>
      </w:r>
      <w:r w:rsidRPr="005675B2">
        <w:rPr>
          <w:rtl/>
          <w:lang w:bidi="ar-KW"/>
        </w:rPr>
        <w:t>طبقات الشافعية 3 / 365</w:t>
      </w:r>
      <w:r w:rsidR="000636C2">
        <w:rPr>
          <w:rtl/>
          <w:lang w:bidi="ar-KW"/>
        </w:rPr>
        <w:t>):</w:t>
      </w:r>
      <w:r w:rsidRPr="005675B2">
        <w:rPr>
          <w:rFonts w:hint="cs"/>
          <w:rtl/>
          <w:lang w:bidi="ar-KW"/>
        </w:rPr>
        <w:t xml:space="preserve"> </w:t>
      </w:r>
      <w:r w:rsidR="000636C2">
        <w:rPr>
          <w:rtl/>
          <w:lang w:bidi="ar-KW"/>
        </w:rPr>
        <w:t>(</w:t>
      </w:r>
      <w:r w:rsidRPr="005675B2">
        <w:rPr>
          <w:rtl/>
          <w:lang w:bidi="ar-KW"/>
        </w:rPr>
        <w:t>قال الشيخ الإمام - يعني والده التقي السبكي - فيما يحكيه لنا</w:t>
      </w:r>
      <w:r w:rsidR="000636C2">
        <w:rPr>
          <w:rtl/>
          <w:lang w:bidi="ar-KW"/>
        </w:rPr>
        <w:t>:</w:t>
      </w:r>
      <w:r w:rsidRPr="005675B2">
        <w:rPr>
          <w:rtl/>
          <w:lang w:bidi="ar-KW"/>
        </w:rPr>
        <w:t xml:space="preserve"> ولقد وقفت لبعض المعتزلة على كتاب سماه طبقات المعتزلة، وافتتح بذكر عبد الله بن مسعود رضي الله عنه، ظناً منه أنه - برأه الله منهم - على عقيدتهم</w:t>
      </w:r>
      <w:r w:rsidR="000636C2">
        <w:rPr>
          <w:rtl/>
          <w:lang w:bidi="ar-KW"/>
        </w:rPr>
        <w:t>،</w:t>
      </w:r>
      <w:r w:rsidRPr="005675B2">
        <w:rPr>
          <w:rtl/>
          <w:lang w:bidi="ar-KW"/>
        </w:rPr>
        <w:t xml:space="preserve"> قال</w:t>
      </w:r>
      <w:r w:rsidR="000636C2">
        <w:rPr>
          <w:rtl/>
          <w:lang w:bidi="ar-KW"/>
        </w:rPr>
        <w:t>:</w:t>
      </w:r>
      <w:r w:rsidRPr="005675B2">
        <w:rPr>
          <w:rtl/>
          <w:lang w:bidi="ar-KW"/>
        </w:rPr>
        <w:t xml:space="preserve"> وهذا نهاية في التعصب، فإنما ينسب إلى المرء من مشى على منواله</w:t>
      </w:r>
      <w:r w:rsidR="000636C2">
        <w:rPr>
          <w:rtl/>
          <w:lang w:bidi="ar-KW"/>
        </w:rPr>
        <w:t>،</w:t>
      </w:r>
      <w:r w:rsidRPr="005675B2">
        <w:rPr>
          <w:rtl/>
          <w:lang w:bidi="ar-KW"/>
        </w:rPr>
        <w:t xml:space="preserve"> قلت أنا للشيخ الإمام</w:t>
      </w:r>
      <w:r w:rsidR="000636C2">
        <w:rPr>
          <w:rtl/>
          <w:lang w:bidi="ar-KW"/>
        </w:rPr>
        <w:t>:</w:t>
      </w:r>
      <w:r w:rsidRPr="005675B2">
        <w:rPr>
          <w:rtl/>
          <w:lang w:bidi="ar-KW"/>
        </w:rPr>
        <w:t xml:space="preserve"> ولو تم هذا لهم لكان للأشاعرة أن يعدوا أبا بكر وعمر رضي الله عنهما في جملتهم، لأنهم عن عقيدتهما وعقيدة غيرهما من الصحابة فيما يدعون يناضلون، وإياها ينصرون، وعلى حماها يحومون</w:t>
      </w:r>
      <w:r w:rsidR="000636C2">
        <w:rPr>
          <w:rtl/>
          <w:lang w:bidi="ar-KW"/>
        </w:rPr>
        <w:t>،</w:t>
      </w:r>
      <w:r w:rsidRPr="005675B2">
        <w:rPr>
          <w:rtl/>
          <w:lang w:bidi="ar-KW"/>
        </w:rPr>
        <w:t xml:space="preserve"> فتبسم، وقال</w:t>
      </w:r>
      <w:r w:rsidR="000636C2">
        <w:rPr>
          <w:rtl/>
          <w:lang w:bidi="ar-KW"/>
        </w:rPr>
        <w:t>:</w:t>
      </w:r>
      <w:r w:rsidRPr="005675B2">
        <w:rPr>
          <w:rtl/>
          <w:lang w:bidi="ar-KW"/>
        </w:rPr>
        <w:t xml:space="preserve"> أتباع المرء من دان بمذهبه وقال بقوله على سبيل المتابعة والاقتفاء الذي هو أخص من الموافقة، فبين المتابعة والموافقة بون عظيم</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الإمام عبدالقاهر البغدادي</w:t>
      </w:r>
      <w:r w:rsidRPr="005675B2">
        <w:rPr>
          <w:rtl/>
          <w:lang w:bidi="ar-KW"/>
        </w:rPr>
        <w:t xml:space="preserve"> رحمه الله </w:t>
      </w:r>
      <w:r w:rsidR="000636C2">
        <w:rPr>
          <w:rtl/>
          <w:lang w:bidi="ar-KW"/>
        </w:rPr>
        <w:t>(</w:t>
      </w:r>
      <w:r w:rsidRPr="005675B2">
        <w:rPr>
          <w:rtl/>
          <w:lang w:bidi="ar-KW"/>
        </w:rPr>
        <w:t>الفرق بين الفرق ص 19</w:t>
      </w:r>
      <w:r w:rsidR="000636C2">
        <w:rPr>
          <w:rtl/>
          <w:lang w:bidi="ar-KW"/>
        </w:rPr>
        <w:t>):</w:t>
      </w:r>
      <w:r w:rsidR="000636C2">
        <w:rPr>
          <w:rFonts w:hint="cs"/>
          <w:rtl/>
          <w:lang w:bidi="ar-KW"/>
        </w:rPr>
        <w:t xml:space="preserve"> </w:t>
      </w:r>
      <w:r w:rsidR="000636C2">
        <w:rPr>
          <w:rtl/>
          <w:lang w:bidi="ar-KW"/>
        </w:rPr>
        <w:t>(</w:t>
      </w:r>
      <w:r w:rsidRPr="005675B2">
        <w:rPr>
          <w:rtl/>
          <w:lang w:bidi="ar-KW"/>
        </w:rPr>
        <w:t>.. فأما الفرقة الثالثة والسبعون فهي أهل السنة والجماعة من فريقي الرأي والحديث دون من يشتري لهو الحديث، وفقهاء هذين الفريقين وقراؤهم ومحدثوهم ومتكلمو أهل الحديث منهم، كلهم متفقون على مقالة واحدة .. وليس بينهم فيما اختلفوا فيه منها تضليل ولا تفسيق وهم الفرقة الناجية .. فمن قال بهذه الجهة التي ذكرناها ولم يخلط إيمانه بشيء من بدع ..</w:t>
      </w:r>
      <w:r w:rsidR="000636C2">
        <w:rPr>
          <w:rtl/>
          <w:lang w:bidi="ar-KW"/>
        </w:rPr>
        <w:t>،</w:t>
      </w:r>
      <w:r w:rsidRPr="005675B2">
        <w:rPr>
          <w:rtl/>
          <w:lang w:bidi="ar-KW"/>
        </w:rPr>
        <w:t xml:space="preserve">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الظاهر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w:t>
      </w:r>
      <w:r w:rsidR="000636C2">
        <w:rPr>
          <w:rtl/>
          <w:lang w:bidi="ar-KW"/>
        </w:rPr>
        <w:t>(</w:t>
      </w:r>
      <w:r w:rsidRPr="005675B2">
        <w:rPr>
          <w:rtl/>
          <w:lang w:bidi="ar-KW"/>
        </w:rPr>
        <w:t>أصول الدين ص309</w:t>
      </w:r>
      <w:r w:rsidR="000636C2">
        <w:rPr>
          <w:rtl/>
          <w:lang w:bidi="ar-KW"/>
        </w:rPr>
        <w:t>)</w:t>
      </w:r>
      <w:r w:rsidRPr="005675B2">
        <w:rPr>
          <w:rtl/>
          <w:lang w:bidi="ar-KW"/>
        </w:rPr>
        <w:t xml:space="preserve"> بعد أن عدَّدَ أئمة أهل السنة والجماعة في علم الكلام من الصحابة والتابعين وتابعيهم إلى أن قال</w:t>
      </w:r>
      <w:r w:rsidR="000636C2">
        <w:rPr>
          <w:rtl/>
          <w:lang w:bidi="ar-KW"/>
        </w:rPr>
        <w:t>:</w:t>
      </w:r>
      <w:r w:rsidRPr="005675B2">
        <w:rPr>
          <w:rFonts w:hint="cs"/>
          <w:rtl/>
          <w:lang w:bidi="ar-KW"/>
        </w:rPr>
        <w:t xml:space="preserve"> </w:t>
      </w:r>
      <w:r w:rsidR="000636C2">
        <w:rPr>
          <w:rtl/>
          <w:lang w:bidi="ar-KW"/>
        </w:rPr>
        <w:t>(</w:t>
      </w:r>
      <w:r w:rsidRPr="005675B2">
        <w:rPr>
          <w:rtl/>
          <w:lang w:bidi="ar-KW"/>
        </w:rPr>
        <w:t>.. ثم بعدهم شيخ النظر وإمام الآفاق في الجدل والتحقيق أبو الحسن علي بن إسماعيل الأشعري الذي صار شجاً في حلوق القدرية .. وقد ملأت الدنيا كتبه، وما رزق أحد من المتكلمين من التبع ما قد رزق،</w:t>
      </w:r>
      <w:r w:rsidRPr="005675B2">
        <w:rPr>
          <w:bCs/>
          <w:rtl/>
          <w:lang w:bidi="ar-KW"/>
        </w:rPr>
        <w:t xml:space="preserve"> لأن جميع أهل الحديث وكل من لم يتمعزل من أهل الرأي على مذهبه</w:t>
      </w:r>
      <w:r w:rsidR="000636C2">
        <w:rPr>
          <w:bCs/>
          <w:rtl/>
          <w:lang w:bidi="ar-KW"/>
        </w:rPr>
        <w:t>)</w:t>
      </w:r>
      <w:r w:rsidRPr="005675B2">
        <w:rPr>
          <w:bCs/>
          <w:rtl/>
          <w:lang w:bidi="ar-KW"/>
        </w:rPr>
        <w:t xml:space="preserve"> اهـ</w:t>
      </w:r>
      <w:r w:rsidR="000636C2">
        <w:rPr>
          <w:bCs/>
          <w:rtl/>
          <w:lang w:bidi="ar-KW"/>
        </w:rPr>
        <w:t>،</w:t>
      </w:r>
      <w:r w:rsidRPr="005675B2">
        <w:rPr>
          <w:bCs/>
          <w:rtl/>
          <w:lang w:bidi="ar-KW"/>
        </w:rPr>
        <w:t xml:space="preserve"> وقال الإمام الزاهد القدوة أبو عمرو الداني</w:t>
      </w:r>
      <w:r w:rsidRPr="005675B2">
        <w:rPr>
          <w:rFonts w:hint="cs"/>
          <w:rtl/>
          <w:lang w:bidi="ar-KW"/>
        </w:rPr>
        <w:t xml:space="preserve"> </w:t>
      </w:r>
      <w:r w:rsidRPr="005675B2">
        <w:rPr>
          <w:rtl/>
          <w:lang w:bidi="ar-KW"/>
        </w:rPr>
        <w:t xml:space="preserve">رحمه الله تعالى </w:t>
      </w:r>
      <w:r w:rsidR="000636C2">
        <w:rPr>
          <w:rtl/>
          <w:lang w:bidi="ar-KW"/>
        </w:rPr>
        <w:t>(</w:t>
      </w:r>
      <w:r w:rsidRPr="005675B2">
        <w:rPr>
          <w:rtl/>
          <w:lang w:bidi="ar-KW"/>
        </w:rPr>
        <w:t>الرسالة الوافية في معتقد أهل السنة والجماعة ص117</w:t>
      </w:r>
      <w:r w:rsidR="000636C2">
        <w:rPr>
          <w:rtl/>
          <w:lang w:bidi="ar-KW"/>
        </w:rPr>
        <w:t>):</w:t>
      </w:r>
      <w:r w:rsidRPr="005675B2">
        <w:rPr>
          <w:rtl/>
          <w:lang w:bidi="ar-KW"/>
        </w:rPr>
        <w:t xml:space="preserve"> </w:t>
      </w:r>
      <w:r w:rsidR="000636C2">
        <w:rPr>
          <w:rtl/>
          <w:lang w:bidi="ar-KW"/>
        </w:rPr>
        <w:t>(</w:t>
      </w:r>
      <w:r w:rsidRPr="005675B2">
        <w:rPr>
          <w:rtl/>
          <w:lang w:bidi="ar-KW"/>
        </w:rPr>
        <w:t>اعلموا أيدكم الله بتوفيقه وأمدكم بعونه وتسديده، أن قول أهـل السنـة والجماعة من المسلمين المتقدمين والمتأخرين من أصحاب الحديث والفقهاء والمتكلمين ..</w:t>
      </w:r>
      <w:r w:rsidR="000636C2">
        <w:rPr>
          <w:rtl/>
          <w:lang w:bidi="ar-KW"/>
        </w:rPr>
        <w:t>)</w:t>
      </w:r>
      <w:r w:rsidR="000636C2">
        <w:rPr>
          <w:rFonts w:hint="cs"/>
          <w:rtl/>
          <w:lang w:bidi="ar-KW"/>
        </w:rPr>
        <w:t xml:space="preserve">، </w:t>
      </w:r>
      <w:r w:rsidRPr="005675B2">
        <w:rPr>
          <w:rtl/>
          <w:lang w:bidi="ar-KW"/>
        </w:rPr>
        <w:t xml:space="preserve">ثم شرع ببيان اعتقاد أهل السنة، وقوله </w:t>
      </w:r>
      <w:r w:rsidR="000636C2">
        <w:rPr>
          <w:rtl/>
          <w:lang w:bidi="ar-KW"/>
        </w:rPr>
        <w:t>(</w:t>
      </w:r>
      <w:r w:rsidRPr="005675B2">
        <w:rPr>
          <w:rtl/>
          <w:lang w:bidi="ar-KW"/>
        </w:rPr>
        <w:t>الفقهـاء والمتكلمين</w:t>
      </w:r>
      <w:r w:rsidR="000636C2">
        <w:rPr>
          <w:rtl/>
          <w:lang w:bidi="ar-KW"/>
        </w:rPr>
        <w:t>)</w:t>
      </w:r>
      <w:r w:rsidRPr="005675B2">
        <w:rPr>
          <w:rtl/>
          <w:lang w:bidi="ar-KW"/>
        </w:rPr>
        <w:t xml:space="preserve"> يعني بهم الأشاعرة والماتريدية، ورسالته زاخرة بأدلة التقديس رحمه الله، وتأثره بشيخه وأستاذه شيخ أهل السنة القاضي أبي بكر الباقلاني رحمه الله تعالى وبطريقة الإمام الأشعري واضح لا يخفى على من طالع كتبه، بل إن بعض الألفاظ والعبارات هي هي التي استخدمها الإمام الأشعري في بعض كتبه</w:t>
      </w:r>
      <w:r w:rsidR="000636C2">
        <w:rPr>
          <w:rtl/>
          <w:lang w:bidi="ar-KW"/>
        </w:rPr>
        <w:t xml:space="preserve">، </w:t>
      </w:r>
      <w:r w:rsidRPr="005675B2">
        <w:rPr>
          <w:bCs/>
          <w:rtl/>
          <w:lang w:bidi="ar-KW"/>
        </w:rPr>
        <w:t>وقال حجة المتكلمين الإمام أبو المظفر الإسفراييني</w:t>
      </w:r>
      <w:r w:rsidRPr="005675B2">
        <w:rPr>
          <w:rtl/>
          <w:lang w:bidi="ar-KW"/>
        </w:rPr>
        <w:t xml:space="preserve"> - رحمه الله تعالى- </w:t>
      </w:r>
      <w:r w:rsidR="000636C2">
        <w:rPr>
          <w:rtl/>
          <w:lang w:bidi="ar-KW"/>
        </w:rPr>
        <w:t>(</w:t>
      </w:r>
      <w:r w:rsidRPr="005675B2">
        <w:rPr>
          <w:rtl/>
          <w:lang w:bidi="ar-KW"/>
        </w:rPr>
        <w:t>التبصـير في الدين ص 111</w:t>
      </w:r>
      <w:r w:rsidR="000636C2">
        <w:rPr>
          <w:rtl/>
          <w:lang w:bidi="ar-KW"/>
        </w:rPr>
        <w:t>)</w:t>
      </w:r>
      <w:r w:rsidRPr="005675B2">
        <w:rPr>
          <w:rtl/>
          <w:lang w:bidi="ar-KW"/>
        </w:rPr>
        <w:t xml:space="preserve"> بعد أن شرح عقيدة أهل السنة</w:t>
      </w:r>
      <w:r w:rsidR="000636C2">
        <w:rPr>
          <w:rtl/>
          <w:lang w:bidi="ar-KW"/>
        </w:rPr>
        <w:t>:</w:t>
      </w:r>
      <w:r w:rsidRPr="005675B2">
        <w:rPr>
          <w:rtl/>
          <w:lang w:bidi="ar-KW"/>
        </w:rPr>
        <w:t xml:space="preserve"> </w:t>
      </w:r>
      <w:r w:rsidR="000636C2">
        <w:rPr>
          <w:rtl/>
          <w:lang w:bidi="ar-KW"/>
        </w:rPr>
        <w:t>(</w:t>
      </w:r>
      <w:r w:rsidRPr="005675B2">
        <w:rPr>
          <w:rtl/>
          <w:lang w:bidi="ar-KW"/>
        </w:rPr>
        <w:t>وأن تعلم أنّ كل من تدين بهذا الدين الذي وصفناه من اعتقاد الفرقة الناجية فهو على الحق وعلى الصراط المستقيم فمن بدّعه فهو مبتدع ومن ضلله فهو ضال ومن كفره فهو كافر</w:t>
      </w:r>
      <w:r w:rsidR="000636C2">
        <w:rPr>
          <w:rtl/>
          <w:lang w:bidi="ar-KW"/>
        </w:rPr>
        <w:t>)</w:t>
      </w:r>
      <w:r w:rsidRPr="005675B2">
        <w:rPr>
          <w:rtl/>
          <w:lang w:bidi="ar-KW"/>
        </w:rPr>
        <w:t xml:space="preserve"> اهـ</w:t>
      </w:r>
      <w:r w:rsidR="000636C2">
        <w:rPr>
          <w:rtl/>
          <w:lang w:bidi="ar-KW"/>
        </w:rPr>
        <w:t xml:space="preserve">، </w:t>
      </w:r>
      <w:r w:rsidRPr="005675B2">
        <w:rPr>
          <w:bCs/>
          <w:rtl/>
          <w:lang w:bidi="ar-KW"/>
        </w:rPr>
        <w:t>فانظر يا رعاك الله كيف هي خطورة الأمر، لتعلم استهتار الذين يقعون في أعراض الأشاعرة ويثلبونهم ويضللون عقائدهم، ولا حول ولا قوة إلا بالله</w:t>
      </w:r>
      <w:r w:rsidR="000636C2">
        <w:rPr>
          <w:bCs/>
          <w:rtl/>
          <w:lang w:bidi="ar-KW"/>
        </w:rPr>
        <w:t>،</w:t>
      </w:r>
      <w:r w:rsidRPr="005675B2">
        <w:rPr>
          <w:bCs/>
          <w:rtl/>
          <w:lang w:bidi="ar-KW"/>
        </w:rPr>
        <w:t xml:space="preserve"> وقال الإمام أبو إسحاق الشيرازي</w:t>
      </w:r>
      <w:r w:rsidRPr="005675B2">
        <w:rPr>
          <w:rtl/>
          <w:lang w:bidi="ar-KW"/>
        </w:rPr>
        <w:t xml:space="preserve"> رحمه الله تعالى </w:t>
      </w:r>
      <w:r w:rsidR="000636C2">
        <w:rPr>
          <w:rtl/>
          <w:lang w:bidi="ar-KW"/>
        </w:rPr>
        <w:t>(</w:t>
      </w:r>
      <w:r w:rsidRPr="005675B2">
        <w:rPr>
          <w:rtl/>
          <w:lang w:bidi="ar-KW"/>
        </w:rPr>
        <w:t>طبقات الشافعية 3/ 376</w:t>
      </w:r>
      <w:r w:rsidR="000636C2">
        <w:rPr>
          <w:rtl/>
          <w:lang w:bidi="ar-KW"/>
        </w:rPr>
        <w:t>):</w:t>
      </w:r>
      <w:r w:rsidRPr="005675B2">
        <w:rPr>
          <w:rtl/>
          <w:lang w:bidi="ar-KW"/>
        </w:rPr>
        <w:t xml:space="preserve"> </w:t>
      </w:r>
      <w:r w:rsidR="000636C2">
        <w:rPr>
          <w:bCs/>
          <w:rtl/>
          <w:lang w:bidi="ar-KW"/>
        </w:rPr>
        <w:t>(</w:t>
      </w:r>
      <w:r w:rsidRPr="005675B2">
        <w:rPr>
          <w:bCs/>
          <w:rtl/>
          <w:lang w:bidi="ar-KW"/>
        </w:rPr>
        <w:t>وأبو الحسن الأشعري إمام أهل السنة، وعامة أصحاب الشافعي على مذهبه، ومذهبه مذهب أهل الحق</w:t>
      </w:r>
      <w:r w:rsidR="000636C2">
        <w:rPr>
          <w:bCs/>
          <w:rtl/>
          <w:lang w:bidi="ar-KW"/>
        </w:rPr>
        <w:t>)</w:t>
      </w:r>
      <w:r w:rsidRPr="005675B2">
        <w:rPr>
          <w:bCs/>
          <w:rtl/>
          <w:lang w:bidi="ar-KW"/>
        </w:rPr>
        <w:t xml:space="preserve"> اهـ</w:t>
      </w:r>
      <w:r w:rsidR="000636C2">
        <w:rPr>
          <w:bCs/>
          <w:rtl/>
          <w:lang w:bidi="ar-KW"/>
        </w:rPr>
        <w:t xml:space="preserve">، </w:t>
      </w:r>
      <w:r w:rsidRPr="005675B2">
        <w:rPr>
          <w:rtl/>
          <w:lang w:bidi="ar-KW"/>
        </w:rPr>
        <w:t>وناهيك بأبي إسحاق الشيرازي علماً وفقهاً وديانة وورعاً وتقدماً في الدين</w:t>
      </w:r>
      <w:r w:rsidR="000636C2">
        <w:rPr>
          <w:rtl/>
          <w:lang w:bidi="ar-KW"/>
        </w:rPr>
        <w:t xml:space="preserve">، </w:t>
      </w:r>
      <w:r w:rsidRPr="005675B2">
        <w:rPr>
          <w:rtl/>
          <w:lang w:bidi="ar-KW"/>
        </w:rPr>
        <w:t>وسئل الإمام ابن حجر الهيتمي – رحمه الله تعالى – عن الإمام أبي الحسن الأشعري والباقلاني وابن فورك وإمام الحرمين والباجي وغيرهم ممن أخذ بمذهب الأشعري، فأجاب</w:t>
      </w:r>
      <w:r w:rsidR="000636C2">
        <w:rPr>
          <w:rtl/>
          <w:lang w:bidi="ar-KW"/>
        </w:rPr>
        <w:t>:</w:t>
      </w:r>
      <w:r w:rsidRPr="005675B2">
        <w:rPr>
          <w:rFonts w:hint="cs"/>
          <w:rtl/>
          <w:lang w:bidi="ar-KW"/>
        </w:rPr>
        <w:t xml:space="preserve"> </w:t>
      </w:r>
      <w:r w:rsidR="000636C2">
        <w:rPr>
          <w:rtl/>
          <w:lang w:bidi="ar-KW"/>
        </w:rPr>
        <w:t>(</w:t>
      </w:r>
      <w:r w:rsidRPr="005675B2">
        <w:rPr>
          <w:rtl/>
          <w:lang w:bidi="ar-KW"/>
        </w:rPr>
        <w:t>هم أئمة الدين وفحول علماء المسلمين، فيجب الاقتداء بهم لقيامهم بنصرة الشريعة وإيضاح المشكلات وردّ شبه أهل الزيغ وبيان ما يجب من الاعتقادات والديانات، لعلمهم بالله وما يجب له وما يستحيل عليه وما يجوز في حقه .. .. والواجب الاعتراف بفضل أولئك الأئمة المذكورين في السؤال وسابقتهم وأنهم من جملة المرادين بقوله</w:t>
      </w:r>
      <w:r w:rsidR="000636C2">
        <w:rPr>
          <w:rtl/>
          <w:lang w:bidi="ar-KW"/>
        </w:rPr>
        <w:t xml:space="preserve"> </w:t>
      </w:r>
      <w:r w:rsidRPr="005675B2">
        <w:rPr>
          <w:rtl/>
          <w:lang w:bidi="ar-KW"/>
        </w:rPr>
        <w:t>" يحمل هذا العلم</w:t>
      </w:r>
      <w:r w:rsidRPr="005675B2">
        <w:rPr>
          <w:bCs/>
          <w:rtl/>
          <w:lang w:bidi="ar-KW"/>
        </w:rPr>
        <w:t xml:space="preserve"> </w:t>
      </w:r>
      <w:r w:rsidRPr="005675B2">
        <w:rPr>
          <w:rtl/>
          <w:lang w:bidi="ar-KW"/>
        </w:rPr>
        <w:t>من كل خلف عدوله ينفون عنه تحريف الغالين وانتحال المبطلين وتأويل الجاهلين "</w:t>
      </w:r>
      <w:r w:rsidRPr="005675B2">
        <w:rPr>
          <w:bCs/>
          <w:rtl/>
          <w:lang w:bidi="ar-KW"/>
        </w:rPr>
        <w:t xml:space="preserve"> فلا يعتقد ضلالتهم إلا أحمق جاهل أو مبتدع زائغ عن الحق، ولا يسبهم إلا فاسق، فينبغي تبصير الجاهل وتأديب الفاسق واستتابة المبتدع</w:t>
      </w:r>
      <w:r w:rsidR="000636C2">
        <w:rPr>
          <w:bCs/>
          <w:rtl/>
          <w:lang w:bidi="ar-KW"/>
        </w:rPr>
        <w:t>)</w:t>
      </w:r>
      <w:r w:rsidRPr="005675B2">
        <w:rPr>
          <w:rtl/>
          <w:lang w:bidi="ar-KW"/>
        </w:rPr>
        <w:t xml:space="preserve"> اهـ</w:t>
      </w:r>
      <w:r w:rsidR="000636C2">
        <w:rPr>
          <w:rtl/>
          <w:lang w:bidi="ar-KW"/>
        </w:rPr>
        <w:t>،</w:t>
      </w:r>
      <w:r w:rsidRPr="005675B2">
        <w:rPr>
          <w:rtl/>
          <w:lang w:bidi="ar-KW"/>
        </w:rPr>
        <w:t xml:space="preserve"> </w:t>
      </w:r>
      <w:r w:rsidR="000636C2">
        <w:rPr>
          <w:rtl/>
          <w:lang w:bidi="ar-KW"/>
        </w:rPr>
        <w:t>(</w:t>
      </w:r>
      <w:r w:rsidRPr="005675B2">
        <w:rPr>
          <w:rtl/>
          <w:lang w:bidi="ar-KW"/>
        </w:rPr>
        <w:t>الفتاوى الحديثية ص 205</w:t>
      </w:r>
      <w:r w:rsidR="000636C2">
        <w:rPr>
          <w:rtl/>
          <w:lang w:bidi="ar-KW"/>
        </w:rPr>
        <w:t>)،</w:t>
      </w:r>
      <w:r w:rsidRPr="005675B2">
        <w:rPr>
          <w:rtl/>
          <w:lang w:bidi="ar-KW"/>
        </w:rPr>
        <w:t xml:space="preserve"> </w:t>
      </w:r>
      <w:r w:rsidRPr="005675B2">
        <w:rPr>
          <w:bCs/>
          <w:rtl/>
          <w:lang w:bidi="ar-KW"/>
        </w:rPr>
        <w:t>وقال العلامة السفاريني الحنبلي</w:t>
      </w:r>
      <w:r w:rsidRPr="005675B2">
        <w:rPr>
          <w:rtl/>
          <w:lang w:bidi="ar-KW"/>
        </w:rPr>
        <w:t xml:space="preserve"> رحمه الله تعالى </w:t>
      </w:r>
      <w:r w:rsidR="000636C2">
        <w:rPr>
          <w:rtl/>
          <w:lang w:bidi="ar-KW"/>
        </w:rPr>
        <w:t>(</w:t>
      </w:r>
      <w:r w:rsidRPr="005675B2">
        <w:rPr>
          <w:rtl/>
          <w:lang w:bidi="ar-KW"/>
        </w:rPr>
        <w:t>لوامع الأنوار البهية 1 / 73</w:t>
      </w:r>
      <w:r w:rsidR="000636C2">
        <w:rPr>
          <w:rtl/>
          <w:lang w:bidi="ar-KW"/>
        </w:rPr>
        <w:t>):</w:t>
      </w:r>
      <w:r w:rsidRPr="005675B2">
        <w:rPr>
          <w:rtl/>
          <w:lang w:bidi="ar-KW"/>
        </w:rPr>
        <w:t xml:space="preserve"> أهل السنة والجماعة ثلاث فرق</w:t>
      </w:r>
      <w:r w:rsidR="000636C2">
        <w:rPr>
          <w:rtl/>
          <w:lang w:bidi="ar-KW"/>
        </w:rPr>
        <w:t>:</w:t>
      </w:r>
      <w:r w:rsidRPr="005675B2">
        <w:rPr>
          <w:rFonts w:hint="cs"/>
          <w:rtl/>
          <w:lang w:bidi="ar-KW"/>
        </w:rPr>
        <w:t xml:space="preserve"> </w:t>
      </w:r>
      <w:r w:rsidRPr="005675B2">
        <w:rPr>
          <w:rtl/>
          <w:lang w:bidi="ar-KW"/>
        </w:rPr>
        <w:t>الأثرية، وإمامهم أحمد بن حنبل رضي الله عنه</w:t>
      </w:r>
      <w:r w:rsidR="000636C2">
        <w:rPr>
          <w:rtl/>
          <w:lang w:bidi="ar-KW"/>
        </w:rPr>
        <w:t xml:space="preserve">، </w:t>
      </w:r>
      <w:r w:rsidRPr="005675B2">
        <w:rPr>
          <w:rtl/>
          <w:lang w:bidi="ar-KW"/>
        </w:rPr>
        <w:t>والأشعرية، وإمامهم أبو الحسن الأشعري رحمه الله</w:t>
      </w:r>
      <w:r w:rsidR="000636C2">
        <w:rPr>
          <w:rtl/>
          <w:lang w:bidi="ar-KW"/>
        </w:rPr>
        <w:t xml:space="preserve">، </w:t>
      </w:r>
      <w:r w:rsidRPr="005675B2">
        <w:rPr>
          <w:rtl/>
          <w:lang w:bidi="ar-KW"/>
        </w:rPr>
        <w:t>والماتريدية، وإمامهم أبو منصور الماتريدي رحمه الله تعالى</w:t>
      </w:r>
      <w:r w:rsidR="000636C2">
        <w:rPr>
          <w:rtl/>
          <w:lang w:bidi="ar-KW"/>
        </w:rPr>
        <w:t>)</w:t>
      </w:r>
      <w:r w:rsidRPr="005675B2">
        <w:rPr>
          <w:rtl/>
          <w:lang w:bidi="ar-KW"/>
        </w:rPr>
        <w:t xml:space="preserve"> اهـ</w:t>
      </w:r>
      <w:r w:rsidR="000636C2">
        <w:rPr>
          <w:rtl/>
          <w:lang w:bidi="ar-KW"/>
        </w:rPr>
        <w:t xml:space="preserve">، </w:t>
      </w:r>
      <w:r w:rsidRPr="005675B2">
        <w:rPr>
          <w:bCs/>
          <w:rtl/>
          <w:lang w:bidi="ar-KW"/>
        </w:rPr>
        <w:t>وقال الإمام المرتضى الزبيدي</w:t>
      </w:r>
      <w:r w:rsidRPr="005675B2">
        <w:rPr>
          <w:rtl/>
          <w:lang w:bidi="ar-KW"/>
        </w:rPr>
        <w:t xml:space="preserve"> - رحمه الله تعالى - </w:t>
      </w:r>
      <w:r w:rsidR="000636C2">
        <w:rPr>
          <w:rtl/>
          <w:lang w:bidi="ar-KW"/>
        </w:rPr>
        <w:t>(</w:t>
      </w:r>
      <w:r w:rsidRPr="005675B2">
        <w:rPr>
          <w:rtl/>
          <w:lang w:bidi="ar-KW"/>
        </w:rPr>
        <w:t>إتحاف السادة المتقين 2 / 6</w:t>
      </w:r>
      <w:r w:rsidR="000636C2">
        <w:rPr>
          <w:rtl/>
          <w:lang w:bidi="ar-KW"/>
        </w:rPr>
        <w:t>):</w:t>
      </w:r>
      <w:r w:rsidRPr="005675B2">
        <w:rPr>
          <w:rtl/>
          <w:lang w:bidi="ar-KW"/>
        </w:rPr>
        <w:t xml:space="preserve"> </w:t>
      </w:r>
      <w:r w:rsidR="000636C2">
        <w:rPr>
          <w:rtl/>
          <w:lang w:bidi="ar-KW"/>
        </w:rPr>
        <w:t>(</w:t>
      </w:r>
      <w:r w:rsidRPr="005675B2">
        <w:rPr>
          <w:rtl/>
          <w:lang w:bidi="ar-KW"/>
        </w:rPr>
        <w:t>إذا أطلق أهل السنة والجماعة فالمراد بهم الأشاعرة والماتريدية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في موضع آخر </w:t>
      </w:r>
      <w:r w:rsidR="000636C2">
        <w:rPr>
          <w:rtl/>
          <w:lang w:bidi="ar-KW"/>
        </w:rPr>
        <w:t>(</w:t>
      </w:r>
      <w:r w:rsidRPr="005675B2">
        <w:rPr>
          <w:rtl/>
          <w:lang w:bidi="ar-KW"/>
        </w:rPr>
        <w:t>2 / 86</w:t>
      </w:r>
      <w:r w:rsidR="000636C2">
        <w:rPr>
          <w:rtl/>
          <w:lang w:bidi="ar-KW"/>
        </w:rPr>
        <w:t>):</w:t>
      </w:r>
      <w:r w:rsidRPr="005675B2">
        <w:rPr>
          <w:rFonts w:hint="cs"/>
          <w:rtl/>
          <w:lang w:bidi="ar-KW"/>
        </w:rPr>
        <w:t xml:space="preserve"> </w:t>
      </w:r>
      <w:r w:rsidR="000636C2">
        <w:rPr>
          <w:rtl/>
          <w:lang w:bidi="ar-KW"/>
        </w:rPr>
        <w:t>(</w:t>
      </w:r>
      <w:r w:rsidRPr="005675B2">
        <w:rPr>
          <w:rtl/>
          <w:lang w:bidi="ar-KW"/>
        </w:rPr>
        <w:t>والمراد بأهل السنة هم الفرق الأربعة، المحدثون والصوفية</w:t>
      </w:r>
      <w:r w:rsidRPr="005675B2">
        <w:rPr>
          <w:rFonts w:hint="cs"/>
          <w:rtl/>
          <w:lang w:bidi="ar-KW"/>
        </w:rPr>
        <w:t xml:space="preserve"> </w:t>
      </w:r>
      <w:r w:rsidRPr="005675B2">
        <w:rPr>
          <w:rtl/>
          <w:lang w:bidi="ar-KW"/>
        </w:rPr>
        <w:t>والأشاعرة والماتريدية</w:t>
      </w:r>
      <w:r w:rsidR="000636C2">
        <w:rPr>
          <w:rtl/>
          <w:lang w:bidi="ar-KW"/>
        </w:rPr>
        <w:t>)</w:t>
      </w:r>
      <w:r w:rsidRPr="005675B2">
        <w:rPr>
          <w:rtl/>
          <w:lang w:bidi="ar-KW"/>
        </w:rPr>
        <w:t xml:space="preserve"> اهـ</w:t>
      </w:r>
      <w:r w:rsidR="000636C2">
        <w:rPr>
          <w:rtl/>
          <w:lang w:bidi="ar-KW"/>
        </w:rPr>
        <w:t>،</w:t>
      </w:r>
      <w:r w:rsidRPr="005675B2">
        <w:rPr>
          <w:rtl/>
          <w:lang w:bidi="ar-KW"/>
        </w:rPr>
        <w:t xml:space="preserve"> ومما يستشهد به في هذا الباب رسالة أبي جعفر الطحاوي </w:t>
      </w:r>
      <w:r w:rsidRPr="005675B2">
        <w:rPr>
          <w:rFonts w:hint="cs"/>
          <w:rtl/>
          <w:lang w:bidi="ar-KW"/>
        </w:rPr>
        <w:t>- ر</w:t>
      </w:r>
      <w:r w:rsidRPr="005675B2">
        <w:rPr>
          <w:rtl/>
          <w:lang w:bidi="ar-KW"/>
        </w:rPr>
        <w:t>حمه الله - في العقيدة، المسماة بالعقيدة الطحاوية، التي أجمل فيها اعتقاد السلف رضوان الله عليهم، وهي مما أطبقت الأمة عليه وتلقته بالقبول، وما تضمنته هذه العقيدة هو ما يعتقده الأشاعرة، سوى مسائل يسيرة لا تستلزم تضليلاً ولا تفسيقاً</w:t>
      </w:r>
      <w:r w:rsidR="000636C2">
        <w:rPr>
          <w:rtl/>
          <w:lang w:bidi="ar-KW"/>
        </w:rPr>
        <w:t>،</w:t>
      </w:r>
      <w:r w:rsidRPr="005675B2">
        <w:rPr>
          <w:rtl/>
          <w:lang w:bidi="ar-KW"/>
        </w:rPr>
        <w:t xml:space="preserve"> وقال الإمام العلامة أحمد الدردير - رحمه الله تعالى - في شرحه على منظومته في العقائد المسماة ب - " خريدة التوحيد " </w:t>
      </w:r>
      <w:r w:rsidR="000636C2">
        <w:rPr>
          <w:rtl/>
          <w:lang w:bidi="ar-KW"/>
        </w:rPr>
        <w:t>(</w:t>
      </w:r>
      <w:r w:rsidRPr="005675B2">
        <w:rPr>
          <w:rtl/>
          <w:lang w:bidi="ar-KW"/>
        </w:rPr>
        <w:t>ص 194</w:t>
      </w:r>
      <w:r w:rsidR="000636C2">
        <w:rPr>
          <w:rtl/>
          <w:lang w:bidi="ar-KW"/>
        </w:rPr>
        <w:t>):</w:t>
      </w:r>
      <w:r w:rsidRPr="005675B2">
        <w:rPr>
          <w:rFonts w:hint="cs"/>
          <w:rtl/>
          <w:lang w:bidi="ar-KW"/>
        </w:rPr>
        <w:t xml:space="preserve"> </w:t>
      </w:r>
      <w:r w:rsidR="000636C2">
        <w:rPr>
          <w:rtl/>
          <w:lang w:bidi="ar-KW"/>
        </w:rPr>
        <w:t>(</w:t>
      </w:r>
      <w:r w:rsidRPr="005675B2">
        <w:rPr>
          <w:rtl/>
          <w:lang w:bidi="ar-KW"/>
        </w:rPr>
        <w:t>واتبع سبيل الناسكين العلماء</w:t>
      </w:r>
      <w:r w:rsidR="000636C2">
        <w:rPr>
          <w:rtl/>
          <w:lang w:bidi="ar-KW"/>
        </w:rPr>
        <w:t>)</w:t>
      </w:r>
      <w:r w:rsidRPr="005675B2">
        <w:rPr>
          <w:rtl/>
          <w:lang w:bidi="ar-KW"/>
        </w:rPr>
        <w:t xml:space="preserve"> ثم شرح عبارته فقال </w:t>
      </w:r>
      <w:r w:rsidR="000636C2">
        <w:rPr>
          <w:rtl/>
          <w:lang w:bidi="ar-KW"/>
        </w:rPr>
        <w:t>(</w:t>
      </w:r>
      <w:r w:rsidRPr="005675B2">
        <w:rPr>
          <w:rtl/>
          <w:lang w:bidi="ar-KW"/>
        </w:rPr>
        <w:t>جمع عالم وهو العارف بالأحكام الشرعية التي عليها مدار صحة الدين اعتقادية كانت أو عملية والمراد بهم السلف الصالح ومن تبعهم بإحسان وسبيلهم منحصر في اعتقاد وعلم وعمل على طبق</w:t>
      </w:r>
      <w:r w:rsidRPr="005675B2">
        <w:rPr>
          <w:rFonts w:hint="cs"/>
          <w:rtl/>
          <w:lang w:bidi="ar-KW"/>
        </w:rPr>
        <w:t xml:space="preserve"> </w:t>
      </w:r>
      <w:r w:rsidRPr="005675B2">
        <w:rPr>
          <w:rtl/>
          <w:lang w:bidi="ar-KW"/>
        </w:rPr>
        <w:t>العلم، وافترق من جاء بعدهم من أئمة الأمة الذين يجب اتباعهم على ثلاث فرق، فرقة نصبت نفسـها لبيـان الأحكام الشرعية العملية وهم الأئمة الأربعة وغيرهم من المجتهدين، ولكن لم يستقر من المذاهب المرضية سوى مذاهب الأئمة الأربعة، وفرقة نصبت نفسها للاشتغال ببيان العقائد التي كان عليها السلف وهم الأشعري والماتريدي ومن تبعهما، وفرقة نصبت نفسها للاشتغال بالعمل والمجـاهدات على طبق ما ذهب إليه الفرقتان المتقدمتان وهم الإمام أبو القاسم الجنيد ومن تبعه، فهؤلاء الفرق الثلاثة هم خواص الأمة المحمدية ومن عداهم من جميع الفرق على ضلال وإن كان البعض منهم يحكم له بالإسلام فالناجي من كان في عقيدته على طبق ما بينه أهل السنة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العلامة عبد الله بن علوي الحداد رحمه الله تعالى </w:t>
      </w:r>
      <w:r w:rsidR="000636C2">
        <w:rPr>
          <w:rtl/>
          <w:lang w:bidi="ar-KW"/>
        </w:rPr>
        <w:t>(</w:t>
      </w:r>
      <w:r w:rsidRPr="005675B2">
        <w:rPr>
          <w:rtl/>
          <w:lang w:bidi="ar-KW"/>
        </w:rPr>
        <w:t>نيل المرام شرح عقيدة الإسلام للإمام الحداد الصفحة</w:t>
      </w:r>
      <w:r w:rsidR="000636C2">
        <w:rPr>
          <w:rtl/>
          <w:lang w:bidi="ar-KW"/>
        </w:rPr>
        <w:t xml:space="preserve"> </w:t>
      </w:r>
      <w:r w:rsidRPr="005675B2">
        <w:rPr>
          <w:rtl/>
          <w:lang w:bidi="ar-KW"/>
        </w:rPr>
        <w:t>8</w:t>
      </w:r>
      <w:r w:rsidR="000636C2">
        <w:rPr>
          <w:rtl/>
          <w:lang w:bidi="ar-KW"/>
        </w:rPr>
        <w:t>):</w:t>
      </w:r>
      <w:r w:rsidRPr="005675B2">
        <w:rPr>
          <w:rFonts w:hint="cs"/>
          <w:rtl/>
          <w:lang w:bidi="ar-KW"/>
        </w:rPr>
        <w:t xml:space="preserve"> </w:t>
      </w:r>
      <w:r w:rsidR="000636C2">
        <w:rPr>
          <w:rtl/>
          <w:lang w:bidi="ar-KW"/>
        </w:rPr>
        <w:t>(</w:t>
      </w:r>
      <w:r w:rsidRPr="005675B2">
        <w:rPr>
          <w:rtl/>
          <w:lang w:bidi="ar-KW"/>
        </w:rPr>
        <w:t>اعلم أن مذهب الأشاعرة في الاعتقاد هو ما كان عليه جماهير أمة الإسلام علماؤها ودهماؤها، إذ المنتسبون إليهم والسالكون طريقهم كانوا أئمة أهل العلوم قاطبة على مرّ الأيام والسنين، وهم أئمة علم التوحيد والكلام والتفسير والقراءة والفقه وأصوله والحديث وفنونه والتصوف واللغة والتاريخ</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أيضاً رضي الله عنه </w:t>
      </w:r>
      <w:r w:rsidR="000636C2">
        <w:rPr>
          <w:rtl/>
          <w:lang w:bidi="ar-KW"/>
        </w:rPr>
        <w:t>(</w:t>
      </w:r>
      <w:r w:rsidRPr="005675B2">
        <w:rPr>
          <w:rtl/>
          <w:lang w:bidi="ar-KW"/>
        </w:rPr>
        <w:t>رسالة المعاونة والمظاهرة والمؤازرة ص/67</w:t>
      </w:r>
      <w:r w:rsidR="000636C2">
        <w:rPr>
          <w:rtl/>
          <w:lang w:bidi="ar-KW"/>
        </w:rPr>
        <w:t xml:space="preserve"> </w:t>
      </w:r>
      <w:r w:rsidRPr="005675B2">
        <w:rPr>
          <w:rtl/>
          <w:lang w:bidi="ar-KW"/>
        </w:rPr>
        <w:t>- 68</w:t>
      </w:r>
      <w:r w:rsidR="000636C2">
        <w:rPr>
          <w:rtl/>
          <w:lang w:bidi="ar-KW"/>
        </w:rPr>
        <w:t>):</w:t>
      </w:r>
      <w:r w:rsidRPr="005675B2">
        <w:rPr>
          <w:rFonts w:hint="cs"/>
          <w:rtl/>
          <w:lang w:bidi="ar-KW"/>
        </w:rPr>
        <w:t xml:space="preserve"> </w:t>
      </w:r>
      <w:r w:rsidR="000636C2">
        <w:rPr>
          <w:rtl/>
          <w:lang w:bidi="ar-KW"/>
        </w:rPr>
        <w:t>(</w:t>
      </w:r>
      <w:r w:rsidRPr="005675B2">
        <w:rPr>
          <w:rtl/>
          <w:lang w:bidi="ar-KW"/>
        </w:rPr>
        <w:t>وعليك بتحسين معتقدك وإصلاحه وتقويمه على منهاج الفرقة الناجية، وهي المعروفة من بين سائر الفرق الإسلامية بأهل السنة والجماعة، وهم المتمسكون بما كان عليه رسول الله صلى الله عليه وسلم وأصحابه، وأنت إذا نظرت بفهم مستقيم عن قلب سليـم فـي نصوص الكتاب والسنة المتضمنة لعلوم الإيمان، وطالعت سير السلف الصالح من الصحابة والتابعين علمتَ وتحققتَ أن الحق مع الفرقة الموسومة بالأشعرية، نسبة إلى الشيخ أبي الحسن الأشعري رحمه الله، فقد رتب قواعد عقيدة أهل الحق وحرَّرَ أدلتها، وهي العقيدة التي أجمع عليها الصحابة ومن بعدهم من خيار التابعين، وهي عقيدة أهل الحق من أهل كل زمان ومكان، وهي عقيدة جملة أهل التصوف كما حكى ذلك أبو القاسم القشيري في أول رسالته، وهي بحمد الله عقيدتنا .. وعقيدة أسلافنا من لدن رسول الله صلى الله عليه وسلم إلى يومنا هذا .. والماتريدية كالأشعرية في جميع ما تقدم</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العـلامة ابن الشطي الحنبلي - رحمه الله تعالى - في شرحـه على العقيـدة السفارينية </w:t>
      </w:r>
      <w:r w:rsidR="000636C2">
        <w:rPr>
          <w:rtl/>
          <w:lang w:bidi="ar-KW"/>
        </w:rPr>
        <w:t>(</w:t>
      </w:r>
      <w:r w:rsidRPr="005675B2">
        <w:rPr>
          <w:rtl/>
          <w:lang w:bidi="ar-KW"/>
        </w:rPr>
        <w:t>تبصير القانع في الجمع بين شرحي ابن شطي وابن مانع على العقيدة السفارينية، الصفحة / 73</w:t>
      </w:r>
      <w:r w:rsidR="000636C2">
        <w:rPr>
          <w:rtl/>
          <w:lang w:bidi="ar-KW"/>
        </w:rPr>
        <w:t>):</w:t>
      </w:r>
      <w:r w:rsidR="000636C2">
        <w:rPr>
          <w:rFonts w:hint="cs"/>
          <w:rtl/>
          <w:lang w:bidi="ar-KW"/>
        </w:rPr>
        <w:t xml:space="preserve"> </w:t>
      </w:r>
      <w:r w:rsidR="000636C2">
        <w:rPr>
          <w:rtl/>
          <w:lang w:bidi="ar-KW"/>
        </w:rPr>
        <w:t>(</w:t>
      </w:r>
      <w:r w:rsidRPr="005675B2">
        <w:rPr>
          <w:rtl/>
          <w:lang w:bidi="ar-KW"/>
        </w:rPr>
        <w:t>قال بعض العلماء هم - يعني الفرقة الناجية - أهل الحديث يعني الأثرية والأشعرية والماتريدية</w:t>
      </w:r>
      <w:r w:rsidR="000636C2">
        <w:rPr>
          <w:rtl/>
          <w:lang w:bidi="ar-KW"/>
        </w:rPr>
        <w:t>)</w:t>
      </w:r>
      <w:r w:rsidRPr="005675B2">
        <w:rPr>
          <w:rtl/>
          <w:lang w:bidi="ar-KW"/>
        </w:rPr>
        <w:t xml:space="preserve"> ثم قال بعد ذلك بأسطر</w:t>
      </w:r>
      <w:r w:rsidR="000636C2">
        <w:rPr>
          <w:rtl/>
          <w:lang w:bidi="ar-KW"/>
        </w:rPr>
        <w:t>:</w:t>
      </w:r>
      <w:r w:rsidRPr="005675B2">
        <w:rPr>
          <w:rFonts w:hint="cs"/>
          <w:rtl/>
          <w:lang w:bidi="ar-KW"/>
        </w:rPr>
        <w:t xml:space="preserve"> </w:t>
      </w:r>
      <w:r w:rsidR="000636C2">
        <w:rPr>
          <w:rtl/>
          <w:lang w:bidi="ar-KW"/>
        </w:rPr>
        <w:t>(</w:t>
      </w:r>
      <w:r w:rsidRPr="005675B2">
        <w:rPr>
          <w:rtl/>
          <w:lang w:bidi="ar-KW"/>
        </w:rPr>
        <w:t>فائدة</w:t>
      </w:r>
      <w:r w:rsidR="000636C2">
        <w:rPr>
          <w:rtl/>
          <w:lang w:bidi="ar-KW"/>
        </w:rPr>
        <w:t>:</w:t>
      </w:r>
      <w:r w:rsidRPr="005675B2">
        <w:rPr>
          <w:rtl/>
          <w:lang w:bidi="ar-KW"/>
        </w:rPr>
        <w:t xml:space="preserve"> أهل السنة والجماعة ثلاث فرق، الأثرية وإمامهم الإمام أحمد رضي الله عنه</w:t>
      </w:r>
      <w:r w:rsidR="000636C2">
        <w:rPr>
          <w:rtl/>
          <w:lang w:bidi="ar-KW"/>
        </w:rPr>
        <w:t>،</w:t>
      </w:r>
      <w:r w:rsidRPr="005675B2">
        <w:rPr>
          <w:rtl/>
          <w:lang w:bidi="ar-KW"/>
        </w:rPr>
        <w:t xml:space="preserve"> والأشعرية وإمامهم أبو الحسن الأشعري رحمه الله تعالى</w:t>
      </w:r>
      <w:r w:rsidR="000636C2">
        <w:rPr>
          <w:rtl/>
          <w:lang w:bidi="ar-KW"/>
        </w:rPr>
        <w:t>،</w:t>
      </w:r>
      <w:r w:rsidRPr="005675B2">
        <w:rPr>
          <w:rtl/>
          <w:lang w:bidi="ar-KW"/>
        </w:rPr>
        <w:t xml:space="preserve"> والماتريدية وإمامهم أبو منصور الماتريدي رحمه الله تعالى</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علامة الكويت الشيخ عبد الله بن خلف الدحيان</w:t>
      </w:r>
      <w:r w:rsidRPr="005675B2">
        <w:rPr>
          <w:rtl/>
          <w:lang w:bidi="ar-KW"/>
        </w:rPr>
        <w:t xml:space="preserve"> - رحمه الله تعالى - تعليقا على تقسيم السفاريني لأهل السنة إلى ثلاث فرق</w:t>
      </w:r>
      <w:r w:rsidR="000636C2">
        <w:rPr>
          <w:rtl/>
          <w:lang w:bidi="ar-KW"/>
        </w:rPr>
        <w:t>:</w:t>
      </w:r>
      <w:r w:rsidRPr="005675B2">
        <w:rPr>
          <w:rFonts w:hint="cs"/>
          <w:rtl/>
          <w:lang w:bidi="ar-KW"/>
        </w:rPr>
        <w:t xml:space="preserve"> </w:t>
      </w:r>
      <w:r w:rsidR="000636C2">
        <w:rPr>
          <w:rtl/>
          <w:lang w:bidi="ar-KW"/>
        </w:rPr>
        <w:t>(</w:t>
      </w:r>
      <w:r w:rsidRPr="005675B2">
        <w:rPr>
          <w:rtl/>
          <w:lang w:bidi="ar-KW"/>
        </w:rPr>
        <w:t>فإذا قلت</w:t>
      </w:r>
      <w:r w:rsidR="000636C2">
        <w:rPr>
          <w:rtl/>
          <w:lang w:bidi="ar-KW"/>
        </w:rPr>
        <w:t>:</w:t>
      </w:r>
      <w:r w:rsidRPr="005675B2">
        <w:rPr>
          <w:rtl/>
          <w:lang w:bidi="ar-KW"/>
        </w:rPr>
        <w:t xml:space="preserve"> لفظ الحديـث يقتضـي عدم التعْدِيَة</w:t>
      </w:r>
      <w:r w:rsidRPr="005675B2">
        <w:rPr>
          <w:rFonts w:hint="cs"/>
          <w:rtl/>
          <w:lang w:bidi="ar-KW"/>
        </w:rPr>
        <w:t xml:space="preserve"> </w:t>
      </w:r>
      <w:r w:rsidRPr="005675B2">
        <w:rPr>
          <w:rtl/>
          <w:lang w:bidi="ar-KW"/>
        </w:rPr>
        <w:t>حيث قـال فيه</w:t>
      </w:r>
      <w:r w:rsidR="000636C2">
        <w:rPr>
          <w:rtl/>
          <w:lang w:bidi="ar-KW"/>
        </w:rPr>
        <w:t xml:space="preserve"> </w:t>
      </w:r>
      <w:r w:rsidRPr="005675B2">
        <w:rPr>
          <w:bCs/>
          <w:rtl/>
          <w:lang w:bidi="ar-KW"/>
        </w:rPr>
        <w:t>" ستفترق أمتي على بضع وسبعين فرقة كلهم في النار إلا فرقة واحدة وهي ما كان على ما</w:t>
      </w:r>
      <w:r w:rsidRPr="005675B2">
        <w:rPr>
          <w:rtl/>
          <w:lang w:bidi="ar-KW"/>
        </w:rPr>
        <w:t xml:space="preserve"> </w:t>
      </w:r>
      <w:r w:rsidRPr="005675B2">
        <w:rPr>
          <w:bCs/>
          <w:rtl/>
          <w:lang w:bidi="ar-KW"/>
        </w:rPr>
        <w:t>أنا عليه وأصحابي "</w:t>
      </w:r>
      <w:r w:rsidRPr="005675B2">
        <w:rPr>
          <w:rtl/>
          <w:lang w:bidi="ar-KW"/>
        </w:rPr>
        <w:t xml:space="preserve"> ف</w:t>
      </w:r>
      <w:r w:rsidR="000636C2">
        <w:rPr>
          <w:rtl/>
          <w:lang w:bidi="ar-KW"/>
        </w:rPr>
        <w:t>[</w:t>
      </w:r>
      <w:r>
        <w:rPr>
          <w:rtl/>
          <w:lang w:bidi="ar-KW"/>
        </w:rPr>
        <w:t>الجواب</w:t>
      </w:r>
      <w:r w:rsidR="000636C2">
        <w:rPr>
          <w:rtl/>
          <w:lang w:bidi="ar-KW"/>
        </w:rPr>
        <w:t>]:</w:t>
      </w:r>
      <w:r w:rsidRPr="005675B2">
        <w:rPr>
          <w:rtl/>
          <w:lang w:bidi="ar-KW"/>
        </w:rPr>
        <w:t xml:space="preserve"> أن الثلاث فرق هي فرقة واحدة لأنهم كلهم أهل الحديث، </w:t>
      </w:r>
      <w:r w:rsidRPr="005675B2">
        <w:rPr>
          <w:bCs/>
          <w:rtl/>
          <w:lang w:bidi="ar-KW"/>
        </w:rPr>
        <w:t>فإن الأشاعرة والماتريدية لم يردوا الأحاديث ولا أهملوها، فإمّا فوضوها وإمّا أوّلوها، وكل منهـم أهـل حديث، وحينئذ فالثلاث فرقة واحدة، لاقتفائهم الأخبار وانتحالهم الآثار، بخلاف باقي الفرق فإنهم حكّموا العقول وخالفوا المنقول فهم أهل بدعة وضلالة ومخالفة وجهالة والله تعالى أعلم</w:t>
      </w:r>
      <w:r w:rsidR="000636C2">
        <w:rPr>
          <w:bCs/>
          <w:rtl/>
          <w:lang w:bidi="ar-KW"/>
        </w:rPr>
        <w:t>)</w:t>
      </w:r>
      <w:r w:rsidRPr="005675B2">
        <w:rPr>
          <w:bCs/>
          <w:rtl/>
          <w:lang w:bidi="ar-KW"/>
        </w:rPr>
        <w:t xml:space="preserve"> اهـ</w:t>
      </w:r>
      <w:r w:rsidR="000636C2">
        <w:rPr>
          <w:bCs/>
          <w:rtl/>
          <w:lang w:bidi="ar-KW"/>
        </w:rPr>
        <w:t>،</w:t>
      </w:r>
      <w:r w:rsidRPr="005675B2">
        <w:rPr>
          <w:bCs/>
          <w:rtl/>
          <w:lang w:bidi="ar-KW"/>
        </w:rPr>
        <w:t xml:space="preserve"> </w:t>
      </w:r>
      <w:r w:rsidR="000636C2">
        <w:rPr>
          <w:rtl/>
          <w:lang w:bidi="ar-KW"/>
        </w:rPr>
        <w:t>(</w:t>
      </w:r>
      <w:r w:rsidRPr="005675B2">
        <w:rPr>
          <w:rtl/>
          <w:lang w:bidi="ar-KW"/>
        </w:rPr>
        <w:t>تبصير القائع ص / 73</w:t>
      </w:r>
      <w:r w:rsidR="000636C2">
        <w:rPr>
          <w:rtl/>
          <w:lang w:bidi="ar-KW"/>
        </w:rPr>
        <w:t xml:space="preserve">)، </w:t>
      </w:r>
      <w:r w:rsidRPr="005675B2">
        <w:rPr>
          <w:rtl/>
          <w:lang w:bidi="ar-KW"/>
        </w:rPr>
        <w:t>وقال الشيخ العلامة الحنبلي محمد بن علي بن سلوم رحمه الله تعالى في شرحه على العقيدة السفارينية مثل ذلك</w:t>
      </w:r>
      <w:r w:rsidR="000636C2">
        <w:rPr>
          <w:rtl/>
          <w:lang w:bidi="ar-KW"/>
        </w:rPr>
        <w:t>،</w:t>
      </w:r>
      <w:r w:rsidRPr="005675B2">
        <w:rPr>
          <w:rtl/>
          <w:lang w:bidi="ar-KW"/>
        </w:rPr>
        <w:t xml:space="preserve"> </w:t>
      </w:r>
      <w:r w:rsidR="000636C2">
        <w:rPr>
          <w:rtl/>
          <w:lang w:bidi="ar-KW"/>
        </w:rPr>
        <w:t>(</w:t>
      </w:r>
      <w:r w:rsidRPr="005675B2">
        <w:rPr>
          <w:rtl/>
          <w:lang w:bidi="ar-KW"/>
        </w:rPr>
        <w:t>شرح الدرة المضية، الصفحة / 58</w:t>
      </w:r>
      <w:r w:rsidR="000636C2">
        <w:rPr>
          <w:rtl/>
          <w:lang w:bidi="ar-KW"/>
        </w:rPr>
        <w:t>)،</w:t>
      </w:r>
      <w:r w:rsidRPr="005675B2">
        <w:rPr>
          <w:rtl/>
          <w:lang w:bidi="ar-KW"/>
        </w:rPr>
        <w:t xml:space="preserve"> وقال العلامة المواهبي الحنبلي رحمه الله تعالى </w:t>
      </w:r>
      <w:r w:rsidR="000636C2">
        <w:rPr>
          <w:rtl/>
          <w:lang w:bidi="ar-KW"/>
        </w:rPr>
        <w:t>(</w:t>
      </w:r>
      <w:r w:rsidRPr="005675B2">
        <w:rPr>
          <w:rtl/>
          <w:lang w:bidi="ar-KW"/>
        </w:rPr>
        <w:t>العين والأثر ص/53</w:t>
      </w:r>
      <w:r w:rsidR="000636C2">
        <w:rPr>
          <w:rtl/>
          <w:lang w:bidi="ar-KW"/>
        </w:rPr>
        <w:t>):</w:t>
      </w:r>
      <w:r w:rsidRPr="005675B2">
        <w:rPr>
          <w:rFonts w:hint="cs"/>
          <w:rtl/>
          <w:lang w:bidi="ar-KW"/>
        </w:rPr>
        <w:t xml:space="preserve"> </w:t>
      </w:r>
      <w:r w:rsidR="000636C2">
        <w:rPr>
          <w:rtl/>
          <w:lang w:bidi="ar-KW"/>
        </w:rPr>
        <w:t>(</w:t>
      </w:r>
      <w:r w:rsidRPr="005675B2">
        <w:rPr>
          <w:rtl/>
          <w:lang w:bidi="ar-KW"/>
        </w:rPr>
        <w:t>طوائف أهل السنة ثلاثة</w:t>
      </w:r>
      <w:r w:rsidR="000636C2">
        <w:rPr>
          <w:rtl/>
          <w:lang w:bidi="ar-KW"/>
        </w:rPr>
        <w:t>:</w:t>
      </w:r>
      <w:r w:rsidRPr="005675B2">
        <w:rPr>
          <w:rtl/>
          <w:lang w:bidi="ar-KW"/>
        </w:rPr>
        <w:t xml:space="preserve"> أشاعرة، وحنابلة، وماتريدية، بدليل عطف العلماء الحنابلة على الأشاعرة في كثير من الكتب الكلامية وجميع كتب الحنابلة</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المحدث محمد بن درويش الحوت البيروتي - رحمه الله تعالى - </w:t>
      </w:r>
      <w:r w:rsidR="000636C2">
        <w:rPr>
          <w:rtl/>
          <w:lang w:bidi="ar-KW"/>
        </w:rPr>
        <w:t>(</w:t>
      </w:r>
      <w:r w:rsidRPr="005675B2">
        <w:rPr>
          <w:rtl/>
          <w:lang w:bidi="ar-KW"/>
        </w:rPr>
        <w:t>رسائل في بيان عقائد أهل السنة والجماعة، الصفحة / 77</w:t>
      </w:r>
      <w:r w:rsidR="000636C2">
        <w:rPr>
          <w:rtl/>
          <w:lang w:bidi="ar-KW"/>
        </w:rPr>
        <w:t>):</w:t>
      </w:r>
      <w:r w:rsidRPr="005675B2">
        <w:rPr>
          <w:rFonts w:hint="cs"/>
          <w:rtl/>
          <w:lang w:bidi="ar-KW"/>
        </w:rPr>
        <w:t xml:space="preserve"> </w:t>
      </w:r>
      <w:r w:rsidR="000636C2">
        <w:rPr>
          <w:rtl/>
          <w:lang w:bidi="ar-KW"/>
        </w:rPr>
        <w:t>(</w:t>
      </w:r>
      <w:r w:rsidRPr="005675B2">
        <w:rPr>
          <w:rtl/>
          <w:lang w:bidi="ar-KW"/>
        </w:rPr>
        <w:t>فائدة</w:t>
      </w:r>
      <w:r w:rsidR="000636C2">
        <w:rPr>
          <w:rtl/>
          <w:lang w:bidi="ar-KW"/>
        </w:rPr>
        <w:t>:</w:t>
      </w:r>
      <w:r w:rsidRPr="005675B2">
        <w:rPr>
          <w:rtl/>
          <w:lang w:bidi="ar-KW"/>
        </w:rPr>
        <w:t xml:space="preserve"> المالكية والشافعية أشعرية وإمامهم أبو الحسن الأشعري من ذرية أبي موسى الأشعري رضي الله عنه، والحنفية ماتريدية وإمامهم أبو منصور الماتريدي، وهما إماما أهل السنة والجماعة، والحنابلة أثرية</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العلامة كمال الدين البياضي - رحمه الله تعالى - </w:t>
      </w:r>
      <w:r w:rsidR="000636C2">
        <w:rPr>
          <w:rtl/>
          <w:lang w:bidi="ar-KW"/>
        </w:rPr>
        <w:t>(</w:t>
      </w:r>
      <w:r w:rsidRPr="005675B2">
        <w:rPr>
          <w:rtl/>
          <w:lang w:bidi="ar-KW"/>
        </w:rPr>
        <w:t>إشارات المرام من عبارات الإمام، الصفحة 52</w:t>
      </w:r>
      <w:r w:rsidR="000636C2">
        <w:rPr>
          <w:rtl/>
          <w:lang w:bidi="ar-KW"/>
        </w:rPr>
        <w:t>):</w:t>
      </w:r>
      <w:r w:rsidRPr="005675B2">
        <w:rPr>
          <w:rFonts w:hint="cs"/>
          <w:rtl/>
          <w:lang w:bidi="ar-KW"/>
        </w:rPr>
        <w:t xml:space="preserve"> </w:t>
      </w:r>
      <w:r w:rsidR="000636C2">
        <w:rPr>
          <w:rtl/>
          <w:lang w:bidi="ar-KW"/>
        </w:rPr>
        <w:t>(</w:t>
      </w:r>
      <w:r w:rsidRPr="005675B2">
        <w:rPr>
          <w:rtl/>
          <w:lang w:bidi="ar-KW"/>
        </w:rPr>
        <w:t>إن الفرقة الناجية هم الجماعة الكثيرة المتمسكون بمحكمات الكتاب والسنة في العقائد، فإنه المنطبق لما عليه الرسول</w:t>
      </w:r>
      <w:r w:rsidR="000636C2">
        <w:rPr>
          <w:rtl/>
          <w:lang w:bidi="ar-KW"/>
        </w:rPr>
        <w:t xml:space="preserve"> </w:t>
      </w:r>
      <w:r w:rsidRPr="005675B2">
        <w:rPr>
          <w:rtl/>
          <w:lang w:bidi="ar-KW"/>
        </w:rPr>
        <w:t>ولما عليه الصحابة لا يتجاوزون عن ظاهرها إلا لضرورة مخالفة قطعي من الدليل النقلي والعقلي، فإن حجج الله تتعاضد ولا تتضاد</w:t>
      </w:r>
      <w:r w:rsidR="000636C2">
        <w:rPr>
          <w:rtl/>
          <w:lang w:bidi="ar-KW"/>
        </w:rPr>
        <w:t>)</w:t>
      </w:r>
      <w:r w:rsidRPr="005675B2">
        <w:rPr>
          <w:rtl/>
          <w:lang w:bidi="ar-KW"/>
        </w:rPr>
        <w:t xml:space="preserve"> اهـ</w:t>
      </w:r>
      <w:r w:rsidR="000636C2">
        <w:rPr>
          <w:rtl/>
          <w:lang w:bidi="ar-KW"/>
        </w:rPr>
        <w:t>،</w:t>
      </w:r>
      <w:r w:rsidRPr="005675B2">
        <w:rPr>
          <w:rtl/>
          <w:lang w:bidi="ar-KW"/>
        </w:rPr>
        <w:t xml:space="preserve"> ومن نظر بعين المعقول وتجرد للوصول إلى الحق علم يقيناً أنه ليس أحد من الطوائف ينطبق عليه هذا الوصف إلا الأشاعرة والماتريدية وأهل الحديث، فهم الذي ملئوا الزمان والمكان، وطبقوا الأرض شهرة وانتشاراً</w:t>
      </w:r>
      <w:r w:rsidR="000636C2">
        <w:rPr>
          <w:rtl/>
          <w:lang w:bidi="ar-KW"/>
        </w:rPr>
        <w:t xml:space="preserve">، </w:t>
      </w:r>
      <w:r w:rsidRPr="005675B2">
        <w:rPr>
          <w:rtl/>
          <w:lang w:bidi="ar-KW"/>
        </w:rPr>
        <w:t xml:space="preserve">قال الإمام عبد القاهر البغدادي - رحمه الله تعالى - </w:t>
      </w:r>
      <w:r w:rsidR="000636C2">
        <w:rPr>
          <w:rtl/>
          <w:lang w:bidi="ar-KW"/>
        </w:rPr>
        <w:t>(</w:t>
      </w:r>
      <w:r w:rsidRPr="005675B2">
        <w:rPr>
          <w:rtl/>
          <w:lang w:bidi="ar-KW"/>
        </w:rPr>
        <w:t>الفرق بين الفرق، 247</w:t>
      </w:r>
      <w:r w:rsidR="000636C2">
        <w:rPr>
          <w:rtl/>
          <w:lang w:bidi="ar-KW"/>
        </w:rPr>
        <w:t>):</w:t>
      </w:r>
      <w:r w:rsidRPr="005675B2">
        <w:rPr>
          <w:rFonts w:hint="cs"/>
          <w:rtl/>
          <w:lang w:bidi="ar-KW"/>
        </w:rPr>
        <w:t xml:space="preserve"> </w:t>
      </w:r>
      <w:r w:rsidR="000636C2">
        <w:rPr>
          <w:rtl/>
          <w:lang w:bidi="ar-KW"/>
        </w:rPr>
        <w:t>(</w:t>
      </w:r>
      <w:r w:rsidRPr="005675B2">
        <w:rPr>
          <w:rtl/>
          <w:lang w:bidi="ar-KW"/>
        </w:rPr>
        <w:t>إن النبي</w:t>
      </w:r>
      <w:r w:rsidR="000636C2">
        <w:rPr>
          <w:rtl/>
          <w:lang w:bidi="ar-KW"/>
        </w:rPr>
        <w:t xml:space="preserve"> </w:t>
      </w:r>
      <w:r w:rsidRPr="005675B2">
        <w:rPr>
          <w:rtl/>
          <w:lang w:bidi="ar-KW"/>
        </w:rPr>
        <w:t>لمّا ذكر افتراق أمته بعده ثلاثاً وسبعين فرقة وأخبر أن فرقة واحدة منها ناجية، سئل عن الفرقة الناجية وعن صفتها، فأشار إلى الذين هم على ما عليه هو وأصحابه، ولسنا نجد اليوم من فرق الأمة من هم على موافقة الصحابة رضي الله عنهم غيرَ أهل السنة والجماعة من فقهاء الأمة ومتكلمي الصفاتية</w:t>
      </w:r>
      <w:r w:rsidR="000636C2">
        <w:rPr>
          <w:rtl/>
          <w:lang w:bidi="ar-KW"/>
        </w:rPr>
        <w:t>)</w:t>
      </w:r>
      <w:r w:rsidRPr="005675B2">
        <w:rPr>
          <w:rtl/>
          <w:lang w:bidi="ar-KW"/>
        </w:rPr>
        <w:t>ثم أخذ رحمه الله يبين وجـوه عدم نجـاة بـاقي الفِرَق وضروب انحرافاتهم عن منهج الرسول</w:t>
      </w:r>
      <w:r w:rsidR="000636C2">
        <w:rPr>
          <w:rtl/>
          <w:lang w:bidi="ar-KW"/>
        </w:rPr>
        <w:t xml:space="preserve"> </w:t>
      </w:r>
      <w:r w:rsidRPr="005675B2">
        <w:rPr>
          <w:rtl/>
          <w:lang w:bidi="ar-KW"/>
        </w:rPr>
        <w:t>وأصحابه، ثم قال</w:t>
      </w:r>
      <w:r w:rsidR="000636C2">
        <w:rPr>
          <w:rtl/>
          <w:lang w:bidi="ar-KW"/>
        </w:rPr>
        <w:t>:</w:t>
      </w:r>
      <w:r w:rsidRPr="005675B2">
        <w:rPr>
          <w:rFonts w:hint="cs"/>
          <w:rtl/>
          <w:lang w:bidi="ar-KW"/>
        </w:rPr>
        <w:t xml:space="preserve"> </w:t>
      </w:r>
      <w:r w:rsidR="000636C2">
        <w:rPr>
          <w:rtl/>
          <w:lang w:bidi="ar-KW"/>
        </w:rPr>
        <w:t>(</w:t>
      </w:r>
      <w:r w:rsidRPr="005675B2">
        <w:rPr>
          <w:rtl/>
          <w:lang w:bidi="ar-KW"/>
        </w:rPr>
        <w:t>وبان من هذا أن المقتدين بالصحابة من يعمل بما قد صحّ بالرواية الصحيحة في أحكامهم وسيرهم، وذلك سنّة أهل السنة دون ذوي البدعة، وصح بصحة ما ذكرناه تحقيق نجاتهم لحكم النبي</w:t>
      </w:r>
      <w:r w:rsidR="000636C2">
        <w:rPr>
          <w:rtl/>
          <w:lang w:bidi="ar-KW"/>
        </w:rPr>
        <w:t xml:space="preserve"> </w:t>
      </w:r>
      <w:r w:rsidRPr="005675B2">
        <w:rPr>
          <w:rtl/>
          <w:lang w:bidi="ar-KW"/>
        </w:rPr>
        <w:t>بنجاة المقتدين بأصحابه، والحمد لله على ذلك</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ابن حجر الهيتمي - رحمه الله تعالى - </w:t>
      </w:r>
      <w:r w:rsidR="000636C2">
        <w:rPr>
          <w:rtl/>
          <w:lang w:bidi="ar-KW"/>
        </w:rPr>
        <w:t>(</w:t>
      </w:r>
      <w:r w:rsidRPr="005675B2">
        <w:rPr>
          <w:rtl/>
          <w:lang w:bidi="ar-KW"/>
        </w:rPr>
        <w:t>الزواجر عن اقتراف الكبائر 82</w:t>
      </w:r>
      <w:r w:rsidR="000636C2">
        <w:rPr>
          <w:rtl/>
          <w:lang w:bidi="ar-KW"/>
        </w:rPr>
        <w:t>):</w:t>
      </w:r>
      <w:r w:rsidRPr="005675B2">
        <w:rPr>
          <w:rFonts w:hint="cs"/>
          <w:rtl/>
          <w:lang w:bidi="ar-KW"/>
        </w:rPr>
        <w:t xml:space="preserve"> </w:t>
      </w:r>
      <w:r w:rsidR="000636C2">
        <w:rPr>
          <w:rtl/>
          <w:lang w:bidi="ar-KW"/>
        </w:rPr>
        <w:t>(</w:t>
      </w:r>
      <w:r w:rsidRPr="005675B2">
        <w:rPr>
          <w:rtl/>
          <w:lang w:bidi="ar-KW"/>
        </w:rPr>
        <w:t>المـراد بالسنة ما عليه إماما أهل السنة والجمـاعة الشيخ أبو الحسن الأشعري وأبو منصور الماتريدي ..</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العلامة طاش كبري زاده - رحمه الله تعالى - </w:t>
      </w:r>
      <w:r w:rsidR="000636C2">
        <w:rPr>
          <w:rtl/>
          <w:lang w:bidi="ar-KW"/>
        </w:rPr>
        <w:t>(</w:t>
      </w:r>
      <w:r w:rsidRPr="005675B2">
        <w:rPr>
          <w:rtl/>
          <w:lang w:bidi="ar-KW"/>
        </w:rPr>
        <w:t>مفتاح السعادة 2 / 33</w:t>
      </w:r>
      <w:r w:rsidR="000636C2">
        <w:rPr>
          <w:rtl/>
          <w:lang w:bidi="ar-KW"/>
        </w:rPr>
        <w:t>):</w:t>
      </w:r>
      <w:r w:rsidRPr="005675B2">
        <w:rPr>
          <w:rFonts w:hint="cs"/>
          <w:rtl/>
          <w:lang w:bidi="ar-KW"/>
        </w:rPr>
        <w:t xml:space="preserve"> </w:t>
      </w:r>
      <w:r w:rsidR="000636C2">
        <w:rPr>
          <w:rtl/>
          <w:lang w:bidi="ar-KW"/>
        </w:rPr>
        <w:t>(</w:t>
      </w:r>
      <w:r w:rsidRPr="005675B2">
        <w:rPr>
          <w:rtl/>
          <w:lang w:bidi="ar-KW"/>
        </w:rPr>
        <w:t>ثم اعلم أن رئيس أهل السنة والجماعة في علم الكلام - يعني العقائد - رجلان، أحدهما حنفي والآخر شافعي</w:t>
      </w:r>
      <w:r w:rsidRPr="005675B2">
        <w:rPr>
          <w:rFonts w:hint="cs"/>
          <w:rtl/>
          <w:lang w:bidi="ar-KW"/>
        </w:rPr>
        <w:t xml:space="preserve"> </w:t>
      </w:r>
      <w:r w:rsidR="000636C2">
        <w:rPr>
          <w:rFonts w:hint="cs"/>
          <w:sz w:val="24"/>
          <w:szCs w:val="24"/>
          <w:rtl/>
          <w:lang w:bidi="ar-KW"/>
        </w:rPr>
        <w:t>[</w:t>
      </w:r>
      <w:r w:rsidRPr="005675B2">
        <w:rPr>
          <w:sz w:val="24"/>
          <w:szCs w:val="24"/>
          <w:rtl/>
        </w:rPr>
        <w:t>ينازع المالكية في الإمام أبي الحسن ويذكرونه ضمن طبقاتهم، والراجح أنه شافعي، أما المالكي فهو الإمام أبو بكر بن الباقلاني شيخ الأشاعرة. انظر طبقات الشافعية الكبرى 3/352</w:t>
      </w:r>
      <w:r w:rsidR="000636C2">
        <w:rPr>
          <w:rFonts w:hint="cs"/>
          <w:sz w:val="24"/>
          <w:szCs w:val="24"/>
          <w:rtl/>
        </w:rPr>
        <w:t>]</w:t>
      </w:r>
      <w:r w:rsidRPr="005675B2">
        <w:rPr>
          <w:rFonts w:hint="cs"/>
          <w:sz w:val="24"/>
          <w:szCs w:val="24"/>
          <w:rtl/>
        </w:rPr>
        <w:t xml:space="preserve"> </w:t>
      </w:r>
      <w:r w:rsidRPr="005675B2">
        <w:rPr>
          <w:rtl/>
          <w:lang w:bidi="ar-KW"/>
        </w:rPr>
        <w:t>أما الحنفي فهو أبو منصور محمد بن محمود الماتريدي، إمام الهدى .. وأما الآخر الشافعي فهو شيخ السنة ورئيس الجماعة إمام المتكلمين وناصر سنة سيد المرسلين والذاب عن الدين والساعي في حفظ عقائد المسلمين، أبو الحسن الأشعري البصري .. حامي جناب الشرع الشريـف من الحديـث المفترى، الذي قـام في نصرة ملـة الإسـلام فنصرها نصراً مؤزراً</w:t>
      </w:r>
      <w:r w:rsidR="000636C2">
        <w:rPr>
          <w:rtl/>
          <w:lang w:bidi="ar-KW"/>
        </w:rPr>
        <w:t>)</w:t>
      </w:r>
      <w:r w:rsidRPr="005675B2">
        <w:rPr>
          <w:rtl/>
          <w:lang w:bidi="ar-KW"/>
        </w:rPr>
        <w:t xml:space="preserve"> اهـ</w:t>
      </w:r>
      <w:r w:rsidR="000636C2">
        <w:rPr>
          <w:rtl/>
          <w:lang w:bidi="ar-KW"/>
        </w:rPr>
        <w:t xml:space="preserve">، </w:t>
      </w:r>
      <w:r w:rsidRPr="005675B2">
        <w:rPr>
          <w:rtl/>
          <w:lang w:bidi="ar-KW"/>
        </w:rPr>
        <w:t>وعلى الجملة، فإن أقوال علماء الإسلام متفقة على أن الأشاعرة ومن وافقهم في الاعتقاد من طوائف أهل الحق هم الفرقة الناجية، وهم المعنيون بقوله</w:t>
      </w:r>
      <w:r w:rsidR="000636C2">
        <w:rPr>
          <w:rtl/>
          <w:lang w:bidi="ar-KW"/>
        </w:rPr>
        <w:t xml:space="preserve"> </w:t>
      </w:r>
      <w:r w:rsidRPr="005675B2">
        <w:rPr>
          <w:rtl/>
          <w:lang w:bidi="ar-KW"/>
        </w:rPr>
        <w:t>" ما أنا عليه وأصحابي " وهم الوسط بين الفرق المبتدعة، فقد جانبوا أهل الزيغ وابتعدوا عنهم غاية البعد بحيث من رام بعداً عن الضلالة أكثر من بعدهم وقع فيها أو مال إليها</w:t>
      </w:r>
      <w:r w:rsidR="000636C2">
        <w:rPr>
          <w:rtl/>
          <w:lang w:bidi="ar-KW"/>
        </w:rPr>
        <w:t>،</w:t>
      </w:r>
      <w:r w:rsidRPr="005675B2">
        <w:rPr>
          <w:rtl/>
          <w:lang w:bidi="ar-KW"/>
        </w:rPr>
        <w:t xml:space="preserve"> </w:t>
      </w:r>
    </w:p>
    <w:p w14:paraId="7CDA8278" w14:textId="77777777" w:rsidR="009C32A0" w:rsidRPr="005675B2" w:rsidRDefault="009C32A0" w:rsidP="000636C2">
      <w:pPr>
        <w:widowControl w:val="0"/>
        <w:spacing w:before="80" w:after="240"/>
        <w:jc w:val="center"/>
        <w:rPr>
          <w:rStyle w:val="heading-11"/>
          <w:rFonts w:ascii="Traditional Arabic" w:hAnsi="Traditional Arabic" w:cs="Traditional Arabic"/>
          <w:sz w:val="32"/>
          <w:szCs w:val="32"/>
          <w:rtl/>
        </w:rPr>
      </w:pPr>
      <w:r w:rsidRPr="005675B2">
        <w:rPr>
          <w:rtl/>
          <w:lang w:bidi="ar-KW"/>
        </w:rPr>
        <w:t>* * * * *</w:t>
      </w:r>
    </w:p>
    <w:p w14:paraId="65CC41EF" w14:textId="701A19D4" w:rsidR="009C32A0" w:rsidRPr="005675B2" w:rsidRDefault="009C32A0" w:rsidP="000636C2">
      <w:pPr>
        <w:widowControl w:val="0"/>
        <w:spacing w:before="80" w:after="240"/>
        <w:rPr>
          <w:rtl/>
          <w:lang w:bidi="ar-KW"/>
        </w:rPr>
      </w:pPr>
      <w:r w:rsidRPr="005675B2">
        <w:rPr>
          <w:rStyle w:val="heading-11"/>
          <w:rFonts w:ascii="Traditional Arabic" w:hAnsi="Traditional Arabic" w:cs="Traditional Arabic"/>
          <w:sz w:val="32"/>
          <w:szCs w:val="32"/>
          <w:rtl/>
        </w:rPr>
        <w:t>أقوال</w:t>
      </w:r>
      <w:r w:rsidRPr="005675B2">
        <w:rPr>
          <w:rStyle w:val="heading-11"/>
          <w:rFonts w:ascii="Traditional Arabic" w:hAnsi="Traditional Arabic" w:cs="Traditional Arabic"/>
          <w:sz w:val="32"/>
          <w:szCs w:val="32"/>
        </w:rPr>
        <w:t xml:space="preserve"> </w:t>
      </w:r>
      <w:r w:rsidRPr="005675B2">
        <w:rPr>
          <w:rStyle w:val="heading-11"/>
          <w:rFonts w:ascii="Traditional Arabic" w:hAnsi="Traditional Arabic" w:cs="Traditional Arabic"/>
          <w:sz w:val="32"/>
          <w:szCs w:val="32"/>
          <w:rtl/>
        </w:rPr>
        <w:t>الأعلام المعاصرين فى الأشاعرة</w:t>
      </w:r>
      <w:r w:rsidR="000636C2">
        <w:rPr>
          <w:rFonts w:hint="cs"/>
          <w:rtl/>
          <w:lang w:bidi="ar-KW"/>
        </w:rPr>
        <w:t xml:space="preserve">: </w:t>
      </w:r>
      <w:r w:rsidRPr="005675B2">
        <w:rPr>
          <w:rtl/>
          <w:lang w:bidi="ar-KW"/>
        </w:rPr>
        <w:t>لقد أطنبنا بذكر أقوال العلماء المتقدمين والمتأخرين التي تفيد قصر مصطلح أهل السنة والجماعة على الأشاعرة والماتريدية وأهل الحديث، وإليك الآن طائفة من نصوص الأعـلام المعاصرين ممن سلك مسلك أهل السنة وأشاد بفضلهم</w:t>
      </w:r>
      <w:r w:rsidR="000636C2">
        <w:rPr>
          <w:rtl/>
          <w:lang w:bidi="ar-KW"/>
        </w:rPr>
        <w:t>:</w:t>
      </w:r>
      <w:r w:rsidRPr="005675B2">
        <w:rPr>
          <w:rFonts w:hint="cs"/>
          <w:rtl/>
          <w:lang w:bidi="ar-KW"/>
        </w:rPr>
        <w:t xml:space="preserve"> </w:t>
      </w:r>
      <w:r w:rsidRPr="005675B2">
        <w:rPr>
          <w:rtl/>
          <w:lang w:bidi="ar-KW"/>
        </w:rPr>
        <w:t xml:space="preserve">قال الشيخ الداعية حسن أيوب - حفظه الله تعالى - </w:t>
      </w:r>
      <w:r w:rsidR="000636C2">
        <w:rPr>
          <w:rtl/>
          <w:lang w:bidi="ar-KW"/>
        </w:rPr>
        <w:t>(</w:t>
      </w:r>
      <w:r w:rsidRPr="005675B2">
        <w:rPr>
          <w:rtl/>
          <w:lang w:bidi="ar-KW"/>
        </w:rPr>
        <w:t>تبسيط العقائد الإسلامية 299</w:t>
      </w:r>
      <w:r w:rsidR="000636C2">
        <w:rPr>
          <w:rtl/>
          <w:lang w:bidi="ar-KW"/>
        </w:rPr>
        <w:t>):</w:t>
      </w:r>
      <w:r w:rsidRPr="005675B2">
        <w:rPr>
          <w:rFonts w:hint="cs"/>
          <w:rtl/>
          <w:lang w:bidi="ar-KW"/>
        </w:rPr>
        <w:t xml:space="preserve"> </w:t>
      </w:r>
      <w:r w:rsidR="000636C2">
        <w:rPr>
          <w:rtl/>
          <w:lang w:bidi="ar-KW"/>
        </w:rPr>
        <w:t>(</w:t>
      </w:r>
      <w:r w:rsidRPr="005675B2">
        <w:rPr>
          <w:rtl/>
          <w:lang w:bidi="ar-KW"/>
        </w:rPr>
        <w:t>أهل السنة هم أبو الحسن الأشعري وأبو منصور الماتريدي ومن سلك طريقهما، وكانوا يسيرون على طريق السلف الصالح في فهم العقائد، وقد جعلوا القرآن الكريم المنهل العذب الذي يلجأون إليه في تعرف عقائدهم فكانوا يفهمون من الآيات القرآنية مسائل العقائد، وما أشبه عليهم منه حاولوا فهمه بما توحيه أساليب اللغة ولا تنكره العقول، فإن تعذر عليهم توقفوا وفوضوا، وقد سمي أتباع أبي الحسن الأشعري بالأشاعرة، وأبي منصور الماتريدي بالماتريدية</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الأستاذ الداعية سعيد حوى - رحمه الله تعالى - </w:t>
      </w:r>
      <w:r w:rsidR="000636C2">
        <w:rPr>
          <w:rtl/>
          <w:lang w:bidi="ar-KW"/>
        </w:rPr>
        <w:t>(</w:t>
      </w:r>
      <w:r w:rsidRPr="005675B2">
        <w:rPr>
          <w:rtl/>
          <w:lang w:bidi="ar-KW"/>
        </w:rPr>
        <w:t>جولات في الفقهين الكبير والأكبر ص / 22</w:t>
      </w:r>
      <w:r w:rsidR="000636C2">
        <w:rPr>
          <w:rtl/>
          <w:lang w:bidi="ar-KW"/>
        </w:rPr>
        <w:t>):</w:t>
      </w:r>
      <w:r w:rsidRPr="005675B2">
        <w:rPr>
          <w:rFonts w:hint="cs"/>
          <w:rtl/>
          <w:lang w:bidi="ar-KW"/>
        </w:rPr>
        <w:t xml:space="preserve"> </w:t>
      </w:r>
      <w:r w:rsidR="000636C2">
        <w:rPr>
          <w:rtl/>
          <w:lang w:bidi="ar-KW"/>
        </w:rPr>
        <w:t>(</w:t>
      </w:r>
      <w:r w:rsidRPr="005675B2">
        <w:rPr>
          <w:rtl/>
          <w:lang w:bidi="ar-KW"/>
        </w:rPr>
        <w:t>إن للمسلمين خلال العصور أئمتهم في الاعتقاد وأئمتهم في الفقه وأئمتهم في التصوف والسلوك إلى الله عز وجل، فأئمتهم في الاعتقاد كأبي الحسن الأشعري وأبي منصور الماتريدي .. وهؤلاء وأمثالهم كلٌّ في اختصاصه حيث ثبت النقل عنهم قدَّمَ أصفى فهمٍ للكتاب والسنة، ومن ثم أجمعت الأمة على اعتماد أقوالهم وقبولها في خضم اتجاهات لا تعد ولا تحصى من الاتجاهات الباطلة الزائفة، منها الذي مات ومنها الذي لازال حياً</w:t>
      </w:r>
      <w:r w:rsidR="000636C2">
        <w:rPr>
          <w:rtl/>
          <w:lang w:bidi="ar-KW"/>
        </w:rPr>
        <w:t>)</w:t>
      </w:r>
      <w:r w:rsidRPr="005675B2">
        <w:rPr>
          <w:rtl/>
          <w:lang w:bidi="ar-KW"/>
        </w:rPr>
        <w:t xml:space="preserve"> اهـ</w:t>
      </w:r>
      <w:r w:rsidR="000636C2">
        <w:rPr>
          <w:rtl/>
          <w:lang w:bidi="ar-KW"/>
        </w:rPr>
        <w:t>،</w:t>
      </w:r>
      <w:r w:rsidRPr="005675B2">
        <w:rPr>
          <w:rtl/>
          <w:lang w:bidi="ar-KW"/>
        </w:rPr>
        <w:t xml:space="preserve"> والشيخ سعيد حوى - رحمه الله تعالى - هنا وفي معظم ما كتب إنما ينقل خلاصة رأي الإمام الشهيد حسن البنا رحمه الله تعالى، وهو موافق لما عليه السلف والخلف من تنزيه الله تعالى عن كل ما لا يليق به سبحانه</w:t>
      </w:r>
      <w:r w:rsidR="000636C2">
        <w:rPr>
          <w:rtl/>
          <w:lang w:bidi="ar-KW"/>
        </w:rPr>
        <w:t>،</w:t>
      </w:r>
      <w:r w:rsidRPr="005675B2">
        <w:rPr>
          <w:rtl/>
          <w:lang w:bidi="ar-KW"/>
        </w:rPr>
        <w:t xml:space="preserve"> وقال الشيخ سعيد - رحمه الله تعالى - أيضاً </w:t>
      </w:r>
      <w:r w:rsidR="000636C2">
        <w:rPr>
          <w:rtl/>
          <w:lang w:bidi="ar-KW"/>
        </w:rPr>
        <w:t>(</w:t>
      </w:r>
      <w:r w:rsidRPr="005675B2">
        <w:rPr>
          <w:rtl/>
          <w:lang w:bidi="ar-KW"/>
        </w:rPr>
        <w:t>المصدر السابق ص/8</w:t>
      </w:r>
      <w:r w:rsidR="000636C2">
        <w:rPr>
          <w:rtl/>
          <w:lang w:bidi="ar-KW"/>
        </w:rPr>
        <w:t>):</w:t>
      </w:r>
      <w:r w:rsidRPr="005675B2">
        <w:rPr>
          <w:rFonts w:hint="cs"/>
          <w:rtl/>
          <w:lang w:bidi="ar-KW"/>
        </w:rPr>
        <w:t xml:space="preserve"> </w:t>
      </w:r>
      <w:r w:rsidR="000636C2">
        <w:rPr>
          <w:rtl/>
          <w:lang w:bidi="ar-KW"/>
        </w:rPr>
        <w:t>(</w:t>
      </w:r>
      <w:r w:rsidRPr="005675B2">
        <w:rPr>
          <w:rtl/>
          <w:lang w:bidi="ar-KW"/>
        </w:rPr>
        <w:t>وكما وجد في الفقه مؤلفون وكتب، وكما وجد في الفقه أئمة أجمعت الأمة على قبولهم، فكذلك في باب العقائد وجد أئمة أجمعت الأمة على إمامتهم في هذا الشأن كأبي الحسن الأشعري وأبي منصور الماتريدي</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وممن أشاد بفضل الأشاعرة من المعاصرين الشيخ الداعية الأستاذ أبو الحسن الندوي </w:t>
      </w:r>
      <w:r w:rsidR="000636C2">
        <w:rPr>
          <w:rtl/>
          <w:lang w:bidi="ar-KW"/>
        </w:rPr>
        <w:t>(</w:t>
      </w:r>
      <w:r w:rsidRPr="005675B2">
        <w:rPr>
          <w:rtl/>
          <w:lang w:bidi="ar-KW"/>
        </w:rPr>
        <w:t>رجال الفكر والدعوة في الإسلام، ص / 137</w:t>
      </w:r>
      <w:r w:rsidR="000636C2">
        <w:rPr>
          <w:rtl/>
          <w:lang w:bidi="ar-KW"/>
        </w:rPr>
        <w:t>)</w:t>
      </w:r>
      <w:r w:rsidRPr="005675B2">
        <w:rPr>
          <w:rtl/>
          <w:lang w:bidi="ar-KW"/>
        </w:rPr>
        <w:t xml:space="preserve"> فقال - رحمه الله تعالى - منوهاً بذكرهم</w:t>
      </w:r>
      <w:r w:rsidR="000636C2">
        <w:rPr>
          <w:rtl/>
          <w:lang w:bidi="ar-KW"/>
        </w:rPr>
        <w:t>:</w:t>
      </w:r>
      <w:r w:rsidRPr="005675B2">
        <w:rPr>
          <w:rFonts w:hint="cs"/>
          <w:rtl/>
          <w:lang w:bidi="ar-KW"/>
        </w:rPr>
        <w:t xml:space="preserve"> </w:t>
      </w:r>
      <w:r w:rsidR="000636C2">
        <w:rPr>
          <w:rtl/>
          <w:lang w:bidi="ar-KW"/>
        </w:rPr>
        <w:t>(</w:t>
      </w:r>
      <w:r w:rsidRPr="005675B2">
        <w:rPr>
          <w:bCs/>
          <w:rtl/>
          <w:lang w:bidi="ar-KW"/>
        </w:rPr>
        <w:t>خضع لعلمهم ونفوذهم العالم الإسلامي من أقصاه إلى أقصاه .. وبفضلهم انتقلت قيادة العالم الإسلامي الفكرية وتوجيهه من المعتزلة إلى أهل السنة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w:t>
      </w:r>
      <w:r w:rsidR="000636C2">
        <w:rPr>
          <w:rtl/>
          <w:lang w:bidi="ar-KW"/>
        </w:rPr>
        <w:t>(</w:t>
      </w:r>
      <w:r w:rsidRPr="005675B2">
        <w:rPr>
          <w:rtl/>
          <w:lang w:bidi="ar-KW"/>
        </w:rPr>
        <w:t>ص / 133</w:t>
      </w:r>
      <w:r w:rsidR="000636C2">
        <w:rPr>
          <w:rtl/>
          <w:lang w:bidi="ar-KW"/>
        </w:rPr>
        <w:t>):</w:t>
      </w:r>
      <w:r w:rsidRPr="005675B2">
        <w:rPr>
          <w:rFonts w:hint="cs"/>
          <w:rtl/>
          <w:lang w:bidi="ar-KW"/>
        </w:rPr>
        <w:t xml:space="preserve"> </w:t>
      </w:r>
      <w:r w:rsidR="000636C2">
        <w:rPr>
          <w:rtl/>
          <w:lang w:bidi="ar-KW"/>
        </w:rPr>
        <w:t>(</w:t>
      </w:r>
      <w:r w:rsidRPr="005675B2">
        <w:rPr>
          <w:rtl/>
          <w:lang w:bidi="ar-KW"/>
        </w:rPr>
        <w:t>وقد سار الأشعري في طريقه مجاهداً مناضلاً منتجاً ..</w:t>
      </w:r>
      <w:r w:rsidR="000636C2">
        <w:rPr>
          <w:rtl/>
          <w:lang w:bidi="ar-KW"/>
        </w:rPr>
        <w:t>،</w:t>
      </w:r>
      <w:r w:rsidRPr="005675B2">
        <w:rPr>
          <w:rtl/>
          <w:lang w:bidi="ar-KW"/>
        </w:rPr>
        <w:t xml:space="preserve"> لا يعبأ بما يقال فيه مؤمناً بأنه هو الطريق الذي ينفع الدين في عصره ويرد إلى الشريعة مهابتها وكرامتها ويحرس للناشئة دينها وعقيدتها، حتى استطاع بعمله المتواصل وشخصيته القوية وعقله الكبير وإخلاصه النادر أن يرد سيل الاعتزال والتفلسف الجارف الذي كان يتهدد الدين، ويثبّت كثيراً من الذين تزلزلت أقدامهم واضطربت عقولهم وعقائدهم، </w:t>
      </w:r>
      <w:r w:rsidRPr="005675B2">
        <w:rPr>
          <w:bCs/>
          <w:rtl/>
          <w:lang w:bidi="ar-KW"/>
        </w:rPr>
        <w:t>وأن يوجد في أهل السنة ثقة جديدة بعقيدتهم</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الشيخ وهبي سليمان غاوجي - حفظه الله تعالى - </w:t>
      </w:r>
      <w:r w:rsidR="000636C2">
        <w:rPr>
          <w:rtl/>
          <w:lang w:bidi="ar-KW"/>
        </w:rPr>
        <w:t>(</w:t>
      </w:r>
      <w:r w:rsidRPr="005675B2">
        <w:rPr>
          <w:rtl/>
          <w:lang w:bidi="ar-KW"/>
        </w:rPr>
        <w:t>أركان الإيمان ص / 7</w:t>
      </w:r>
      <w:r w:rsidR="000636C2">
        <w:rPr>
          <w:rtl/>
          <w:lang w:bidi="ar-KW"/>
        </w:rPr>
        <w:t>):</w:t>
      </w:r>
      <w:r w:rsidRPr="005675B2">
        <w:rPr>
          <w:rFonts w:hint="cs"/>
          <w:rtl/>
          <w:lang w:bidi="ar-KW"/>
        </w:rPr>
        <w:t xml:space="preserve"> </w:t>
      </w:r>
      <w:r w:rsidR="000636C2">
        <w:rPr>
          <w:rtl/>
          <w:lang w:bidi="ar-KW"/>
        </w:rPr>
        <w:t>(</w:t>
      </w:r>
      <w:r w:rsidRPr="005675B2">
        <w:rPr>
          <w:rtl/>
          <w:lang w:bidi="ar-KW"/>
        </w:rPr>
        <w:t>وقد كان أول من كتب في أصول الدين ورد شبهات أهل الزيغ في الاعتقاد الإمام الأعظم أبو حنيفة - رحمه الله تعالى - بطريقي النقل أو العقل، وتتابع الكاتبون في أصول الدين إلى أن استقرت قواعدها على يدي الإمامين العظيمين أبي منصور الماتريدي وأبي الحسن الأشعري رحمهما الله تعالى</w:t>
      </w:r>
      <w:r w:rsidR="000636C2">
        <w:rPr>
          <w:rtl/>
          <w:lang w:bidi="ar-KW"/>
        </w:rPr>
        <w:t>)</w:t>
      </w:r>
      <w:r w:rsidRPr="005675B2">
        <w:rPr>
          <w:rtl/>
          <w:lang w:bidi="ar-KW"/>
        </w:rPr>
        <w:t xml:space="preserve"> اهـ</w:t>
      </w:r>
      <w:r w:rsidR="000636C2">
        <w:rPr>
          <w:rtl/>
          <w:lang w:bidi="ar-KW"/>
        </w:rPr>
        <w:t>،</w:t>
      </w:r>
      <w:r w:rsidRPr="005675B2">
        <w:rPr>
          <w:rtl/>
          <w:lang w:bidi="ar-KW"/>
        </w:rPr>
        <w:t xml:space="preserve"> هذا هو شأن الأشاعرة وقدرهم عند المتقدمين والمتأخرين، وهذه هي مكانتهم في التاريخ، فلا ينكر فضلهم وجهادهم إلا مكابر، ومهما بالغ البعض بالانتقاص منهم، وجَحَدَ فضلهم بلسانه، فإنه لا محالة مضطرٌّ إلى علومهم، إذ ما من متعلم أو معلم إلا وهو عالة على ما أثمرته وأنتجته قرائحهم، وسطرته أيديهم، وهل يستغني عالم أو طالب علم عن كتاب فتح الباري - مثلاً - للإمام الحافظ ابن حجر، أو شرح صحيح مسلم للإمام النووي رحمه الله تعالى</w:t>
      </w:r>
      <w:r w:rsidR="000636C2">
        <w:rPr>
          <w:rtl/>
          <w:lang w:bidi="ar-KW"/>
        </w:rPr>
        <w:t>؟!</w:t>
      </w:r>
      <w:r w:rsidRPr="005675B2">
        <w:rPr>
          <w:rFonts w:hint="cs"/>
          <w:rtl/>
          <w:lang w:bidi="ar-KW"/>
        </w:rPr>
        <w:t xml:space="preserve"> </w:t>
      </w:r>
      <w:r w:rsidRPr="005675B2">
        <w:rPr>
          <w:rtl/>
          <w:lang w:bidi="ar-KW"/>
        </w:rPr>
        <w:t>بهذه النصوص التي نقلناها عن العلماء والأئمة المتقدمين والمتأخرين والمعاصرين أصبح جلياّ من المقصود بأهل السنة والجماعة، ومن هي الفرقة الناجية المعنية بالنصوص الشرعية والمخصوصة بالهداية والنجاة، فكيف يسوغ لمنصف بعد كل ذلك إخراج الأشاعرة والماتريدية من أهل السنة والجماعة</w:t>
      </w:r>
      <w:r w:rsidR="000636C2">
        <w:rPr>
          <w:rtl/>
          <w:lang w:bidi="ar-KW"/>
        </w:rPr>
        <w:t>؟!</w:t>
      </w:r>
    </w:p>
    <w:p w14:paraId="680A4FE7" w14:textId="77777777" w:rsidR="009C32A0" w:rsidRPr="005675B2" w:rsidRDefault="009C32A0" w:rsidP="000636C2">
      <w:pPr>
        <w:widowControl w:val="0"/>
        <w:spacing w:before="80" w:after="240"/>
        <w:jc w:val="center"/>
        <w:rPr>
          <w:b/>
          <w:bCs/>
          <w:rtl/>
          <w:lang w:bidi="ar-KW"/>
        </w:rPr>
      </w:pPr>
      <w:r w:rsidRPr="005675B2">
        <w:rPr>
          <w:rtl/>
          <w:lang w:bidi="ar-KW"/>
        </w:rPr>
        <w:t>* * * * *</w:t>
      </w:r>
    </w:p>
    <w:p w14:paraId="6EA84834" w14:textId="5D3943D4" w:rsidR="009C32A0" w:rsidRPr="005675B2" w:rsidRDefault="009C32A0" w:rsidP="000636C2">
      <w:pPr>
        <w:widowControl w:val="0"/>
        <w:spacing w:before="80" w:after="240"/>
        <w:rPr>
          <w:rtl/>
          <w:lang w:bidi="ar-KW"/>
        </w:rPr>
      </w:pPr>
      <w:r w:rsidRPr="005675B2">
        <w:rPr>
          <w:bCs/>
          <w:rtl/>
          <w:lang w:bidi="ar-KW"/>
        </w:rPr>
        <w:t>المتشابه عند السلف والخلف</w:t>
      </w:r>
      <w:r w:rsidR="000636C2">
        <w:rPr>
          <w:rFonts w:hint="cs"/>
          <w:bCs/>
          <w:rtl/>
          <w:lang w:bidi="ar-KW"/>
        </w:rPr>
        <w:t xml:space="preserve">: </w:t>
      </w:r>
      <w:r w:rsidRPr="005675B2">
        <w:rPr>
          <w:rtl/>
          <w:lang w:bidi="ar-KW"/>
        </w:rPr>
        <w:t>يصرّ البعض على تضليل الأشاعرة والماتريدية لأن جمهورهم أجاز التأويل بشروطه في نصوص المتشابه التي تتعلق بصفات الله تعالى، وينسى هؤلاء أن جُلَّ الأمة على مذهب التأويل وأن جماعات من السلف قالوا به</w:t>
      </w:r>
      <w:r w:rsidR="000636C2">
        <w:rPr>
          <w:rtl/>
          <w:lang w:bidi="ar-KW"/>
        </w:rPr>
        <w:t xml:space="preserve">، </w:t>
      </w:r>
      <w:r w:rsidRPr="005675B2">
        <w:rPr>
          <w:rtl/>
          <w:lang w:bidi="ar-KW"/>
        </w:rPr>
        <w:t xml:space="preserve">قال الإمام الزركشي - رحمه الله تعالى - مبيناً المذاهب في المتشابه </w:t>
      </w:r>
      <w:r w:rsidR="000636C2">
        <w:rPr>
          <w:rtl/>
          <w:lang w:bidi="ar-KW"/>
        </w:rPr>
        <w:t>(</w:t>
      </w:r>
      <w:r w:rsidRPr="005675B2">
        <w:rPr>
          <w:rtl/>
          <w:lang w:bidi="ar-KW"/>
        </w:rPr>
        <w:t>البرهان في علوم القرآن 2 / 207</w:t>
      </w:r>
      <w:r w:rsidR="000636C2">
        <w:rPr>
          <w:rtl/>
          <w:lang w:bidi="ar-KW"/>
        </w:rPr>
        <w:t>):</w:t>
      </w:r>
      <w:r w:rsidRPr="005675B2">
        <w:rPr>
          <w:rFonts w:hint="cs"/>
          <w:rtl/>
          <w:lang w:bidi="ar-KW"/>
        </w:rPr>
        <w:t xml:space="preserve"> </w:t>
      </w:r>
      <w:r w:rsidR="000636C2">
        <w:rPr>
          <w:spacing w:val="-4"/>
          <w:rtl/>
          <w:lang w:bidi="ar-KW"/>
        </w:rPr>
        <w:t>(</w:t>
      </w:r>
      <w:r w:rsidRPr="005675B2">
        <w:rPr>
          <w:spacing w:val="-4"/>
          <w:rtl/>
          <w:lang w:bidi="ar-KW"/>
        </w:rPr>
        <w:t xml:space="preserve">.. والثالث أنها مؤولة، وأولـوها على ما يليق به، والأول – يعني مذهب الأخذ بالظاهر – باطل، والأخيران منقولان عن الصحابة .. </w:t>
      </w:r>
      <w:r w:rsidRPr="005675B2">
        <w:rPr>
          <w:bCs/>
          <w:spacing w:val="-4"/>
          <w:rtl/>
          <w:lang w:bidi="ar-KW"/>
        </w:rPr>
        <w:t>وممن نقل عنه التأويل علي وابن مسعود وابن عباس وغيرهم</w:t>
      </w:r>
      <w:r w:rsidR="000636C2">
        <w:rPr>
          <w:bCs/>
          <w:spacing w:val="-4"/>
          <w:rtl/>
          <w:lang w:bidi="ar-KW"/>
        </w:rPr>
        <w:t>)</w:t>
      </w:r>
      <w:r w:rsidRPr="005675B2">
        <w:rPr>
          <w:bCs/>
          <w:spacing w:val="-4"/>
          <w:rtl/>
          <w:lang w:bidi="ar-KW"/>
        </w:rPr>
        <w:t xml:space="preserve"> اهـ</w:t>
      </w:r>
      <w:r w:rsidR="000636C2">
        <w:rPr>
          <w:bCs/>
          <w:spacing w:val="-4"/>
          <w:rtl/>
          <w:lang w:bidi="ar-KW"/>
        </w:rPr>
        <w:t>،</w:t>
      </w:r>
      <w:r w:rsidRPr="005675B2">
        <w:rPr>
          <w:bCs/>
          <w:spacing w:val="-4"/>
          <w:rtl/>
          <w:lang w:bidi="ar-KW"/>
        </w:rPr>
        <w:t xml:space="preserve"> </w:t>
      </w:r>
      <w:r w:rsidRPr="005675B2">
        <w:rPr>
          <w:rtl/>
          <w:lang w:bidi="ar-KW"/>
        </w:rPr>
        <w:t>وقال الإمام النووي – رحمه الله تعالى – عن مذهب التأويل</w:t>
      </w:r>
      <w:r w:rsidR="000636C2">
        <w:rPr>
          <w:rtl/>
          <w:lang w:bidi="ar-KW"/>
        </w:rPr>
        <w:t>:</w:t>
      </w:r>
      <w:r w:rsidR="000636C2">
        <w:rPr>
          <w:rFonts w:hint="cs"/>
          <w:rtl/>
          <w:lang w:bidi="ar-KW"/>
        </w:rPr>
        <w:t xml:space="preserve"> </w:t>
      </w:r>
      <w:r w:rsidR="000636C2">
        <w:rPr>
          <w:rtl/>
          <w:lang w:bidi="ar-KW"/>
        </w:rPr>
        <w:t>(</w:t>
      </w:r>
      <w:r w:rsidRPr="005675B2">
        <w:rPr>
          <w:bCs/>
          <w:rtl/>
          <w:lang w:bidi="ar-KW"/>
        </w:rPr>
        <w:t>مذهـب أكثر المتكلمين وجماعات من السلف، وهو محكي عن مالك والأوزاعي</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000636C2">
        <w:rPr>
          <w:rtl/>
          <w:lang w:bidi="ar-KW"/>
        </w:rPr>
        <w:t>(</w:t>
      </w:r>
      <w:r w:rsidRPr="005675B2">
        <w:rPr>
          <w:rtl/>
          <w:lang w:bidi="ar-KW"/>
        </w:rPr>
        <w:t>شرح صحيح مسلم 6 / 36</w:t>
      </w:r>
      <w:r w:rsidR="000636C2">
        <w:rPr>
          <w:rtl/>
          <w:lang w:bidi="ar-KW"/>
        </w:rPr>
        <w:t>)،</w:t>
      </w:r>
      <w:r w:rsidRPr="005675B2">
        <w:rPr>
          <w:rtl/>
          <w:lang w:bidi="ar-KW"/>
        </w:rPr>
        <w:t xml:space="preserve"> </w:t>
      </w:r>
    </w:p>
    <w:p w14:paraId="48E6D353" w14:textId="77777777" w:rsidR="009C32A0" w:rsidRPr="005675B2" w:rsidRDefault="009C32A0" w:rsidP="000636C2">
      <w:pPr>
        <w:widowControl w:val="0"/>
        <w:spacing w:before="80" w:after="240"/>
        <w:jc w:val="center"/>
        <w:rPr>
          <w:b/>
          <w:bCs/>
          <w:rtl/>
          <w:lang w:bidi="ar-KW"/>
        </w:rPr>
      </w:pPr>
      <w:r w:rsidRPr="005675B2">
        <w:rPr>
          <w:rtl/>
          <w:lang w:bidi="ar-KW"/>
        </w:rPr>
        <w:t>* * * * *</w:t>
      </w:r>
    </w:p>
    <w:p w14:paraId="5A45E84C" w14:textId="2AB8A5F4" w:rsidR="009C32A0" w:rsidRPr="005675B2" w:rsidRDefault="009C32A0" w:rsidP="000636C2">
      <w:pPr>
        <w:widowControl w:val="0"/>
        <w:spacing w:before="80" w:after="240"/>
        <w:rPr>
          <w:rtl/>
          <w:lang w:bidi="ar-KW"/>
        </w:rPr>
      </w:pPr>
      <w:r w:rsidRPr="005675B2">
        <w:rPr>
          <w:bCs/>
          <w:rtl/>
          <w:lang w:bidi="ar-KW"/>
        </w:rPr>
        <w:t>مفهوم المتشابه</w:t>
      </w:r>
      <w:r w:rsidR="000636C2">
        <w:rPr>
          <w:rFonts w:hint="cs"/>
          <w:bCs/>
          <w:rtl/>
          <w:lang w:bidi="ar-KW"/>
        </w:rPr>
        <w:t xml:space="preserve">: </w:t>
      </w:r>
      <w:r w:rsidRPr="005675B2">
        <w:rPr>
          <w:rtl/>
          <w:lang w:bidi="ar-KW"/>
        </w:rPr>
        <w:t>قال تعالى</w:t>
      </w:r>
      <w:r w:rsidR="000636C2">
        <w:rPr>
          <w:rtl/>
          <w:lang w:bidi="ar-KW"/>
        </w:rPr>
        <w:t>:</w:t>
      </w:r>
      <w:r w:rsidRPr="005675B2">
        <w:rPr>
          <w:rtl/>
          <w:lang w:bidi="ar-KW"/>
        </w:rPr>
        <w:t xml:space="preserve"> </w:t>
      </w:r>
      <w:r w:rsidR="000636C2">
        <w:rPr>
          <w:bCs/>
          <w:rtl/>
          <w:lang w:bidi="ar-KW"/>
        </w:rPr>
        <w:t>(</w:t>
      </w:r>
      <w:r w:rsidRPr="005675B2">
        <w:rPr>
          <w:bCs/>
          <w:rtl/>
          <w:lang w:bidi="ar-KW"/>
        </w:rPr>
        <w:t>هو الذي أنزل عليك الكتاب منه آيات محكمات هـن أم الكتاب وأخر متشابهات</w:t>
      </w:r>
      <w:r w:rsidR="000636C2">
        <w:rPr>
          <w:bCs/>
          <w:rtl/>
          <w:lang w:bidi="ar-KW"/>
        </w:rPr>
        <w:t>)</w:t>
      </w:r>
      <w:r w:rsidR="000636C2">
        <w:rPr>
          <w:rFonts w:hint="cs"/>
          <w:bCs/>
          <w:rtl/>
          <w:lang w:bidi="ar-KW"/>
        </w:rPr>
        <w:t>،</w:t>
      </w:r>
      <w:r w:rsidRPr="005675B2">
        <w:rPr>
          <w:rFonts w:hint="cs"/>
          <w:bCs/>
          <w:rtl/>
          <w:lang w:bidi="ar-KW"/>
        </w:rPr>
        <w:t xml:space="preserve"> </w:t>
      </w:r>
      <w:r w:rsidRPr="005675B2">
        <w:rPr>
          <w:rtl/>
          <w:lang w:bidi="ar-KW"/>
        </w:rPr>
        <w:t>المتشابه في الأصل كل ما لا يهتدي إليه الإنسان، والمراد به هنا ما جاء في القرآن والسنة الصحيحة المشهورة من النصوص التي يوهم ظاهرها مشابهة الله تعالى لخلقه</w:t>
      </w:r>
      <w:r w:rsidR="000636C2">
        <w:rPr>
          <w:rtl/>
          <w:lang w:bidi="ar-KW"/>
        </w:rPr>
        <w:t>،</w:t>
      </w:r>
      <w:r w:rsidRPr="005675B2">
        <w:rPr>
          <w:rtl/>
          <w:lang w:bidi="ar-KW"/>
        </w:rPr>
        <w:t xml:space="preserve"> قال الراغب الأصفهاني - رحمه الله تعالى - </w:t>
      </w:r>
      <w:r w:rsidR="000636C2">
        <w:rPr>
          <w:rtl/>
          <w:lang w:bidi="ar-KW"/>
        </w:rPr>
        <w:t>(</w:t>
      </w:r>
      <w:r w:rsidRPr="005675B2">
        <w:rPr>
          <w:rtl/>
          <w:lang w:bidi="ar-KW"/>
        </w:rPr>
        <w:t>مفردات القرآن مادة " شبه "</w:t>
      </w:r>
      <w:r w:rsidR="000636C2">
        <w:rPr>
          <w:rtl/>
          <w:lang w:bidi="ar-KW"/>
        </w:rPr>
        <w:t>):</w:t>
      </w:r>
      <w:r w:rsidRPr="005675B2">
        <w:rPr>
          <w:rFonts w:hint="cs"/>
          <w:rtl/>
          <w:lang w:bidi="ar-KW"/>
        </w:rPr>
        <w:t xml:space="preserve"> </w:t>
      </w:r>
      <w:r w:rsidR="000636C2">
        <w:rPr>
          <w:rtl/>
          <w:lang w:bidi="ar-KW"/>
        </w:rPr>
        <w:t>(</w:t>
      </w:r>
      <w:r w:rsidRPr="005675B2">
        <w:rPr>
          <w:rtl/>
          <w:lang w:bidi="ar-KW"/>
        </w:rPr>
        <w:t>والمتشابه من جهة المعنى أوصاف الله تعالى وأوصاف يوم القيامة، فإن تلك</w:t>
      </w:r>
      <w:r w:rsidRPr="005675B2">
        <w:rPr>
          <w:rFonts w:hint="cs"/>
          <w:rtl/>
          <w:lang w:bidi="ar-KW"/>
        </w:rPr>
        <w:t xml:space="preserve"> </w:t>
      </w:r>
      <w:r w:rsidRPr="005675B2">
        <w:rPr>
          <w:rtl/>
          <w:lang w:bidi="ar-KW"/>
        </w:rPr>
        <w:t>الصفات لا تتصور لنـا، إذ كـان لا يحصل في نفوسـنا صورة مـا لا نحسه، أو لم يكن من جنس ما نحسه</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ومثـال المتشابه من القرآن قوله تعالى</w:t>
      </w:r>
      <w:r w:rsidR="000636C2">
        <w:rPr>
          <w:bCs/>
          <w:rtl/>
          <w:lang w:bidi="ar-KW"/>
        </w:rPr>
        <w:t>:</w:t>
      </w:r>
      <w:r w:rsidRPr="005675B2">
        <w:rPr>
          <w:bCs/>
          <w:rtl/>
          <w:lang w:bidi="ar-KW"/>
        </w:rPr>
        <w:t xml:space="preserve"> </w:t>
      </w:r>
      <w:r w:rsidR="000636C2">
        <w:rPr>
          <w:bCs/>
          <w:rtl/>
          <w:lang w:bidi="ar-KW"/>
        </w:rPr>
        <w:t>(</w:t>
      </w:r>
      <w:r w:rsidRPr="005675B2">
        <w:rPr>
          <w:bCs/>
          <w:rtl/>
          <w:lang w:bidi="ar-KW"/>
        </w:rPr>
        <w:t>الرحمن على العرش استوى</w:t>
      </w:r>
      <w:r w:rsidR="000636C2">
        <w:rPr>
          <w:bCs/>
          <w:rtl/>
          <w:lang w:bidi="ar-KW"/>
        </w:rPr>
        <w:t>)</w:t>
      </w:r>
      <w:r w:rsidRPr="005675B2">
        <w:rPr>
          <w:bCs/>
          <w:rtl/>
          <w:lang w:bidi="ar-KW"/>
        </w:rPr>
        <w:t xml:space="preserve"> وقوله عز وجل</w:t>
      </w:r>
      <w:r w:rsidR="000636C2">
        <w:rPr>
          <w:bCs/>
          <w:rtl/>
          <w:lang w:bidi="ar-KW"/>
        </w:rPr>
        <w:t>:</w:t>
      </w:r>
      <w:r w:rsidRPr="005675B2">
        <w:rPr>
          <w:bCs/>
          <w:rtl/>
          <w:lang w:bidi="ar-KW"/>
        </w:rPr>
        <w:t xml:space="preserve"> </w:t>
      </w:r>
      <w:r w:rsidR="000636C2">
        <w:rPr>
          <w:bCs/>
          <w:rtl/>
          <w:lang w:bidi="ar-KW"/>
        </w:rPr>
        <w:t>(</w:t>
      </w:r>
      <w:r w:rsidRPr="005675B2">
        <w:rPr>
          <w:bCs/>
          <w:rtl/>
          <w:lang w:bidi="ar-KW"/>
        </w:rPr>
        <w:t>يد الله فوق أيديهم</w:t>
      </w:r>
      <w:r w:rsidR="000636C2">
        <w:rPr>
          <w:bCs/>
          <w:rtl/>
          <w:lang w:bidi="ar-KW"/>
        </w:rPr>
        <w:t>)</w:t>
      </w:r>
      <w:r w:rsidRPr="005675B2">
        <w:rPr>
          <w:bCs/>
          <w:rtl/>
          <w:lang w:bidi="ar-KW"/>
        </w:rPr>
        <w:t xml:space="preserve"> وقوله سبحانه</w:t>
      </w:r>
      <w:r w:rsidR="000636C2">
        <w:rPr>
          <w:bCs/>
          <w:rtl/>
          <w:lang w:bidi="ar-KW"/>
        </w:rPr>
        <w:t>:</w:t>
      </w:r>
      <w:r w:rsidRPr="005675B2">
        <w:rPr>
          <w:bCs/>
          <w:rtl/>
          <w:lang w:bidi="ar-KW"/>
        </w:rPr>
        <w:t xml:space="preserve"> </w:t>
      </w:r>
      <w:r w:rsidR="000636C2">
        <w:rPr>
          <w:bCs/>
          <w:rtl/>
          <w:lang w:bidi="ar-KW"/>
        </w:rPr>
        <w:t>(</w:t>
      </w:r>
      <w:r w:rsidRPr="005675B2">
        <w:rPr>
          <w:bCs/>
          <w:rtl/>
          <w:lang w:bidi="ar-KW"/>
        </w:rPr>
        <w:t>فإنك بأعيننا</w:t>
      </w:r>
      <w:r w:rsidR="000636C2">
        <w:rPr>
          <w:bCs/>
          <w:rtl/>
          <w:lang w:bidi="ar-KW"/>
        </w:rPr>
        <w:t>)،</w:t>
      </w:r>
      <w:r w:rsidRPr="005675B2">
        <w:rPr>
          <w:bCs/>
          <w:rtl/>
          <w:lang w:bidi="ar-KW"/>
        </w:rPr>
        <w:t xml:space="preserve"> </w:t>
      </w:r>
      <w:r w:rsidR="000636C2">
        <w:rPr>
          <w:bCs/>
          <w:rtl/>
          <w:lang w:bidi="ar-KW"/>
        </w:rPr>
        <w:t>(</w:t>
      </w:r>
      <w:r w:rsidRPr="005675B2">
        <w:rPr>
          <w:bCs/>
          <w:rtl/>
          <w:lang w:bidi="ar-KW"/>
        </w:rPr>
        <w:t>ولتصنع على عينى</w:t>
      </w:r>
      <w:r w:rsidR="000636C2">
        <w:rPr>
          <w:bCs/>
          <w:rtl/>
          <w:lang w:bidi="ar-KW"/>
        </w:rPr>
        <w:t>)،</w:t>
      </w:r>
      <w:r w:rsidRPr="005675B2">
        <w:rPr>
          <w:bCs/>
          <w:rtl/>
          <w:lang w:bidi="ar-KW"/>
        </w:rPr>
        <w:t xml:space="preserve"> </w:t>
      </w:r>
      <w:r w:rsidR="000636C2">
        <w:rPr>
          <w:bCs/>
          <w:rtl/>
          <w:lang w:bidi="ar-KW"/>
        </w:rPr>
        <w:t>(</w:t>
      </w:r>
      <w:r w:rsidRPr="005675B2">
        <w:rPr>
          <w:bCs/>
          <w:rtl/>
          <w:lang w:bidi="ar-KW"/>
        </w:rPr>
        <w:t>لما خلقت بيدىّ</w:t>
      </w:r>
      <w:r w:rsidR="000636C2">
        <w:rPr>
          <w:bCs/>
          <w:rtl/>
          <w:lang w:bidi="ar-KW"/>
        </w:rPr>
        <w:t>)</w:t>
      </w:r>
      <w:r w:rsidRPr="005675B2">
        <w:rPr>
          <w:bCs/>
          <w:rtl/>
          <w:lang w:bidi="ar-KW"/>
        </w:rPr>
        <w:t xml:space="preserve"> </w:t>
      </w:r>
      <w:r w:rsidRPr="005675B2">
        <w:rPr>
          <w:rtl/>
          <w:lang w:bidi="ar-KW"/>
        </w:rPr>
        <w:t>ومثـاله من السنة قوله</w:t>
      </w:r>
      <w:r w:rsidR="000636C2">
        <w:rPr>
          <w:rtl/>
          <w:lang w:bidi="ar-KW"/>
        </w:rPr>
        <w:t>:</w:t>
      </w:r>
      <w:r w:rsidRPr="005675B2">
        <w:rPr>
          <w:rtl/>
          <w:lang w:bidi="ar-KW"/>
        </w:rPr>
        <w:t xml:space="preserve"> </w:t>
      </w:r>
      <w:r w:rsidR="000636C2">
        <w:rPr>
          <w:rtl/>
          <w:lang w:bidi="ar-KW"/>
        </w:rPr>
        <w:t>(</w:t>
      </w:r>
      <w:r w:rsidRPr="005675B2">
        <w:rPr>
          <w:rtl/>
          <w:lang w:bidi="ar-KW"/>
        </w:rPr>
        <w:t>ينزل ربنا في الثلث الأخير من الليل ..</w:t>
      </w:r>
      <w:r w:rsidR="000636C2">
        <w:rPr>
          <w:rtl/>
          <w:lang w:bidi="ar-KW"/>
        </w:rPr>
        <w:t>)</w:t>
      </w:r>
      <w:r w:rsidRPr="005675B2">
        <w:rPr>
          <w:rtl/>
          <w:lang w:bidi="ar-KW"/>
        </w:rPr>
        <w:t xml:space="preserve"> وقوله</w:t>
      </w:r>
      <w:r w:rsidR="000636C2">
        <w:rPr>
          <w:rtl/>
          <w:lang w:bidi="ar-KW"/>
        </w:rPr>
        <w:t>:</w:t>
      </w:r>
      <w:r w:rsidRPr="005675B2">
        <w:rPr>
          <w:rtl/>
          <w:lang w:bidi="ar-KW"/>
        </w:rPr>
        <w:t xml:space="preserve"> </w:t>
      </w:r>
      <w:r w:rsidR="000636C2">
        <w:rPr>
          <w:rtl/>
          <w:lang w:bidi="ar-KW"/>
        </w:rPr>
        <w:t>(</w:t>
      </w:r>
      <w:r w:rsidRPr="005675B2">
        <w:rPr>
          <w:rtl/>
          <w:lang w:bidi="ar-KW"/>
        </w:rPr>
        <w:t>ضحك الله الليلة من فعالكما</w:t>
      </w:r>
      <w:r w:rsidR="000636C2">
        <w:rPr>
          <w:rtl/>
          <w:lang w:bidi="ar-KW"/>
        </w:rPr>
        <w:t>)</w:t>
      </w:r>
      <w:r w:rsidRPr="005675B2">
        <w:rPr>
          <w:rtl/>
          <w:lang w:bidi="ar-KW"/>
        </w:rPr>
        <w:t xml:space="preserve"> </w:t>
      </w:r>
      <w:r w:rsidR="000636C2">
        <w:rPr>
          <w:rtl/>
          <w:lang w:bidi="ar-KW"/>
        </w:rPr>
        <w:t>(</w:t>
      </w:r>
      <w:r w:rsidRPr="005675B2">
        <w:rPr>
          <w:rtl/>
          <w:lang w:bidi="ar-KW"/>
        </w:rPr>
        <w:t>إن الله خلق آدم على صورته</w:t>
      </w:r>
      <w:r w:rsidR="000636C2">
        <w:rPr>
          <w:rtl/>
          <w:lang w:bidi="ar-KW"/>
        </w:rPr>
        <w:t>)</w:t>
      </w:r>
      <w:r w:rsidRPr="005675B2">
        <w:rPr>
          <w:rtl/>
          <w:lang w:bidi="ar-KW"/>
        </w:rPr>
        <w:t xml:space="preserve"> ونحو ذلك مما يوهم ظاهره مشابهة الله تعالى لخلقه</w:t>
      </w:r>
      <w:r w:rsidR="000636C2">
        <w:rPr>
          <w:rtl/>
          <w:lang w:bidi="ar-KW"/>
        </w:rPr>
        <w:t>،</w:t>
      </w:r>
      <w:r w:rsidRPr="005675B2">
        <w:rPr>
          <w:rtl/>
          <w:lang w:bidi="ar-KW"/>
        </w:rPr>
        <w:t xml:space="preserve"> وحكم المتشابه من هذه النصوص هو الإيمان به على الوجه الذي أراد الله تعالى، والقطع بأن له معنىً عظيماً شريفاً عند الله تعالى، بعد أن ننزه الله تعالى عن الظاهر المستحيل في حقه سبحانه</w:t>
      </w:r>
      <w:r w:rsidR="000636C2">
        <w:rPr>
          <w:rtl/>
          <w:lang w:bidi="ar-KW"/>
        </w:rPr>
        <w:t>،</w:t>
      </w:r>
      <w:r w:rsidRPr="005675B2">
        <w:rPr>
          <w:rtl/>
          <w:lang w:bidi="ar-KW"/>
        </w:rPr>
        <w:t xml:space="preserve"> هذا هو القدر المشترك بين العلماء في حكمهم على المتشابه، ثم اختلفوا في ما وراء ذلك، ومنشأ الاختلاف جاء من فهمهم لآية المتشابهات واختلافهم في محل الوقوف في قوله تعالى</w:t>
      </w:r>
      <w:r w:rsidR="000636C2">
        <w:rPr>
          <w:rtl/>
          <w:lang w:bidi="ar-KW"/>
        </w:rPr>
        <w:t>:</w:t>
      </w:r>
      <w:r w:rsidRPr="005675B2">
        <w:rPr>
          <w:bCs/>
          <w:rtl/>
          <w:lang w:bidi="ar-KW"/>
        </w:rPr>
        <w:t xml:space="preserve"> </w:t>
      </w:r>
      <w:r w:rsidR="000636C2">
        <w:rPr>
          <w:bCs/>
          <w:rtl/>
          <w:lang w:bidi="ar-KW"/>
        </w:rPr>
        <w:t>(</w:t>
      </w:r>
      <w:r w:rsidRPr="005675B2">
        <w:rPr>
          <w:bCs/>
          <w:rtl/>
          <w:lang w:bidi="ar-KW"/>
        </w:rPr>
        <w:t>وما يعلم تأويله إلا الله</w:t>
      </w:r>
      <w:r w:rsidR="000636C2">
        <w:rPr>
          <w:bCs/>
          <w:rtl/>
          <w:lang w:bidi="ar-KW"/>
        </w:rPr>
        <w:t>،</w:t>
      </w:r>
      <w:r w:rsidRPr="005675B2">
        <w:rPr>
          <w:bCs/>
          <w:rtl/>
          <w:lang w:bidi="ar-KW"/>
        </w:rPr>
        <w:t xml:space="preserve"> والراسخون فى العلم يقولون كلٌّ من عند ربنا</w:t>
      </w:r>
      <w:r w:rsidR="000636C2">
        <w:rPr>
          <w:bCs/>
          <w:rtl/>
          <w:lang w:bidi="ar-KW"/>
        </w:rPr>
        <w:t>)،</w:t>
      </w:r>
      <w:r w:rsidRPr="005675B2">
        <w:rPr>
          <w:bCs/>
          <w:rtl/>
          <w:lang w:bidi="ar-KW"/>
        </w:rPr>
        <w:t xml:space="preserve"> </w:t>
      </w:r>
      <w:r w:rsidRPr="005675B2">
        <w:rPr>
          <w:rtl/>
          <w:lang w:bidi="ar-KW"/>
        </w:rPr>
        <w:t xml:space="preserve">قال جمهـور السلف إن الوقـوف في الآيـة على لفـظ الجلالـة لازم، وعليه، قوله تعـالى </w:t>
      </w:r>
      <w:r w:rsidR="000636C2">
        <w:rPr>
          <w:bCs/>
          <w:rtl/>
          <w:lang w:bidi="ar-KW"/>
        </w:rPr>
        <w:t>(</w:t>
      </w:r>
      <w:r w:rsidRPr="005675B2">
        <w:rPr>
          <w:bCs/>
          <w:rtl/>
          <w:lang w:bidi="ar-KW"/>
        </w:rPr>
        <w:t>والراسخون</w:t>
      </w:r>
      <w:r w:rsidR="000636C2">
        <w:rPr>
          <w:bCs/>
          <w:rtl/>
          <w:lang w:bidi="ar-KW"/>
        </w:rPr>
        <w:t>)</w:t>
      </w:r>
      <w:r w:rsidRPr="005675B2">
        <w:rPr>
          <w:bCs/>
          <w:rtl/>
          <w:lang w:bidi="ar-KW"/>
        </w:rPr>
        <w:t xml:space="preserve"> </w:t>
      </w:r>
      <w:r w:rsidRPr="005675B2">
        <w:rPr>
          <w:rtl/>
          <w:lang w:bidi="ar-KW"/>
        </w:rPr>
        <w:t>الواو فيه استئنافية والجملة بعده مستأنفة، وبناء على ذلك يكون المعنى أنه لا يعلم تأويل المتشابه إلا الله تعالى، ويفوّض العلم بتأويله إليه سبحانه إذ هو تعالى أعلم بمراده، ولا نشتغل بتأويل شيء من ذلك، هذا بعد قطعهم بأن الظاهر المستحيل في حق الله تعالى غير مراد له سبحانه ولا لرسوله</w:t>
      </w:r>
      <w:r w:rsidR="000636C2">
        <w:rPr>
          <w:rtl/>
          <w:lang w:bidi="ar-KW"/>
        </w:rPr>
        <w:t>،</w:t>
      </w:r>
      <w:r w:rsidRPr="005675B2">
        <w:rPr>
          <w:rtl/>
          <w:lang w:bidi="ar-KW"/>
        </w:rPr>
        <w:t xml:space="preserve"> أما الخلف فقالوا إن الواو في قوله تعالى </w:t>
      </w:r>
      <w:r w:rsidR="000636C2">
        <w:rPr>
          <w:bCs/>
          <w:rtl/>
          <w:lang w:bidi="ar-KW"/>
        </w:rPr>
        <w:t>(</w:t>
      </w:r>
      <w:r w:rsidRPr="005675B2">
        <w:rPr>
          <w:bCs/>
          <w:rtl/>
          <w:lang w:bidi="ar-KW"/>
        </w:rPr>
        <w:t>والراسخون</w:t>
      </w:r>
      <w:r w:rsidR="000636C2">
        <w:rPr>
          <w:bCs/>
          <w:rtl/>
          <w:lang w:bidi="ar-KW"/>
        </w:rPr>
        <w:t>)</w:t>
      </w:r>
      <w:r w:rsidRPr="005675B2">
        <w:rPr>
          <w:bCs/>
          <w:rtl/>
          <w:lang w:bidi="ar-KW"/>
        </w:rPr>
        <w:t xml:space="preserve"> </w:t>
      </w:r>
      <w:r w:rsidRPr="005675B2">
        <w:rPr>
          <w:rtl/>
          <w:lang w:bidi="ar-KW"/>
        </w:rPr>
        <w:t>عاطفة وما بعدها معطوف على لفظ الجلالة، وعليه يكون معنى الآية، أن الراسخين في العلم يعلمون تأويل المتشابه</w:t>
      </w:r>
      <w:r w:rsidR="000636C2">
        <w:rPr>
          <w:rtl/>
          <w:lang w:bidi="ar-KW"/>
        </w:rPr>
        <w:t>،</w:t>
      </w:r>
      <w:r w:rsidRPr="005675B2">
        <w:rPr>
          <w:rtl/>
          <w:lang w:bidi="ar-KW"/>
        </w:rPr>
        <w:t xml:space="preserve"> وعلى أية حال فإن كلاّ ًمن الفريقين لا يضلل الآخر، كيف وقد نُقِلَ كلٌّ من المذهبين عن سلف الأمة من الصحابة والتابعين وتابعيهم</w:t>
      </w:r>
      <w:r w:rsidR="000636C2">
        <w:rPr>
          <w:rtl/>
          <w:lang w:bidi="ar-KW"/>
        </w:rPr>
        <w:t>،</w:t>
      </w:r>
      <w:r w:rsidRPr="005675B2">
        <w:rPr>
          <w:rtl/>
          <w:lang w:bidi="ar-KW"/>
        </w:rPr>
        <w:t xml:space="preserve"> ولقد أجمل حجة الإسلام الغزالي - رحمه الله تعالى - ما يجب على المسلم عند سماعه لهذه النصوص بقوله </w:t>
      </w:r>
      <w:r w:rsidR="000636C2">
        <w:rPr>
          <w:rtl/>
          <w:lang w:bidi="ar-KW"/>
        </w:rPr>
        <w:t>(</w:t>
      </w:r>
      <w:r w:rsidRPr="005675B2">
        <w:rPr>
          <w:rtl/>
          <w:lang w:bidi="ar-KW"/>
        </w:rPr>
        <w:t>إلجام العوام عن علم الكلام ص/4 من الطبعة الأزهرية للتراث سنة 1418ه -</w:t>
      </w:r>
      <w:r w:rsidR="000636C2">
        <w:rPr>
          <w:rtl/>
          <w:lang w:bidi="ar-KW"/>
        </w:rPr>
        <w:t>):</w:t>
      </w:r>
      <w:r w:rsidRPr="005675B2">
        <w:rPr>
          <w:rFonts w:hint="cs"/>
          <w:rtl/>
          <w:lang w:bidi="ar-KW"/>
        </w:rPr>
        <w:t xml:space="preserve"> </w:t>
      </w:r>
      <w:r w:rsidR="000636C2">
        <w:rPr>
          <w:rtl/>
          <w:lang w:bidi="ar-KW"/>
        </w:rPr>
        <w:t>(</w:t>
      </w:r>
      <w:r w:rsidRPr="005675B2">
        <w:rPr>
          <w:rtl/>
          <w:lang w:bidi="ar-KW"/>
        </w:rPr>
        <w:t>اعلم أن الحق الصريح الذي لا مراء فيه عند أهل البصائر هو مذهب السلف، أعني مذهب الصحابة والتابعين</w:t>
      </w:r>
      <w:r w:rsidR="000636C2">
        <w:rPr>
          <w:rtl/>
          <w:lang w:bidi="ar-KW"/>
        </w:rPr>
        <w:t>،</w:t>
      </w:r>
      <w:r w:rsidRPr="005675B2">
        <w:rPr>
          <w:rtl/>
          <w:lang w:bidi="ar-KW"/>
        </w:rPr>
        <w:t xml:space="preserve"> وها أنا أورد بيانه وبيان برهانه، فأقول</w:t>
      </w:r>
      <w:r w:rsidR="000636C2">
        <w:rPr>
          <w:rtl/>
          <w:lang w:bidi="ar-KW"/>
        </w:rPr>
        <w:t>:</w:t>
      </w:r>
      <w:r w:rsidRPr="005675B2">
        <w:rPr>
          <w:rFonts w:hint="cs"/>
          <w:rtl/>
          <w:lang w:bidi="ar-KW"/>
        </w:rPr>
        <w:t xml:space="preserve"> </w:t>
      </w:r>
      <w:r w:rsidRPr="005675B2">
        <w:rPr>
          <w:rtl/>
          <w:lang w:bidi="ar-KW"/>
        </w:rPr>
        <w:t>حقيقة مذهب السلف وهو الحق عندنا أن كل من بلغه حديث من هذه الأحاديث من عوام الخلق يجب عليه فيه سبعة أمور، التقديس ثم التصديق ثم الاعتراف بالعجز ثم السكوت ثم الإمساك ثم الكف ثم التسليم لأهل المعرفة</w:t>
      </w:r>
      <w:r w:rsidR="000636C2">
        <w:rPr>
          <w:rtl/>
          <w:lang w:bidi="ar-KW"/>
        </w:rPr>
        <w:t>،</w:t>
      </w:r>
      <w:r w:rsidRPr="005675B2">
        <w:rPr>
          <w:rtl/>
          <w:lang w:bidi="ar-KW"/>
        </w:rPr>
        <w:t xml:space="preserve"> أما التقديس</w:t>
      </w:r>
      <w:r w:rsidR="000636C2">
        <w:rPr>
          <w:rtl/>
          <w:lang w:bidi="ar-KW"/>
        </w:rPr>
        <w:t>:</w:t>
      </w:r>
      <w:r w:rsidRPr="005675B2">
        <w:rPr>
          <w:rtl/>
          <w:lang w:bidi="ar-KW"/>
        </w:rPr>
        <w:t xml:space="preserve"> فأعني به تنزيه الرب تعالى عن الجسمية وتوابعها</w:t>
      </w:r>
      <w:r w:rsidR="000636C2">
        <w:rPr>
          <w:rtl/>
          <w:lang w:bidi="ar-KW"/>
        </w:rPr>
        <w:t xml:space="preserve">، </w:t>
      </w:r>
      <w:r w:rsidRPr="005675B2">
        <w:rPr>
          <w:rtl/>
          <w:lang w:bidi="ar-KW"/>
        </w:rPr>
        <w:t>وأما التصديق</w:t>
      </w:r>
      <w:r w:rsidR="000636C2">
        <w:rPr>
          <w:rtl/>
          <w:lang w:bidi="ar-KW"/>
        </w:rPr>
        <w:t>:</w:t>
      </w:r>
      <w:r w:rsidRPr="005675B2">
        <w:rPr>
          <w:rtl/>
          <w:lang w:bidi="ar-KW"/>
        </w:rPr>
        <w:t xml:space="preserve"> فهو الإيمان بما قاله</w:t>
      </w:r>
      <w:r w:rsidR="000636C2">
        <w:rPr>
          <w:rtl/>
          <w:lang w:bidi="ar-KW"/>
        </w:rPr>
        <w:t>،</w:t>
      </w:r>
      <w:r w:rsidRPr="005675B2">
        <w:rPr>
          <w:rtl/>
          <w:lang w:bidi="ar-KW"/>
        </w:rPr>
        <w:t xml:space="preserve"> وأن ما ذكره حق وهو فيما قاله صادق، وأنه حق على الوجه الذي قاله وأراده</w:t>
      </w:r>
      <w:r w:rsidR="000636C2">
        <w:rPr>
          <w:rtl/>
          <w:lang w:bidi="ar-KW"/>
        </w:rPr>
        <w:t>،</w:t>
      </w:r>
      <w:r w:rsidRPr="005675B2">
        <w:rPr>
          <w:rtl/>
          <w:lang w:bidi="ar-KW"/>
        </w:rPr>
        <w:t xml:space="preserve"> وأما الاعتراف بالعجز</w:t>
      </w:r>
      <w:r w:rsidR="000636C2">
        <w:rPr>
          <w:rtl/>
          <w:lang w:bidi="ar-KW"/>
        </w:rPr>
        <w:t>:</w:t>
      </w:r>
      <w:r w:rsidRPr="005675B2">
        <w:rPr>
          <w:rtl/>
          <w:lang w:bidi="ar-KW"/>
        </w:rPr>
        <w:t xml:space="preserve"> فهو أن يقر بأن معرفة مراده ليست على قدر طاقته، وأن ذلك ليس من شأنه وحرفته</w:t>
      </w:r>
      <w:r w:rsidR="000636C2">
        <w:rPr>
          <w:rtl/>
          <w:lang w:bidi="ar-KW"/>
        </w:rPr>
        <w:t>،</w:t>
      </w:r>
      <w:r w:rsidRPr="005675B2">
        <w:rPr>
          <w:rtl/>
          <w:lang w:bidi="ar-KW"/>
        </w:rPr>
        <w:t xml:space="preserve"> وأما السكوت</w:t>
      </w:r>
      <w:r w:rsidR="000636C2">
        <w:rPr>
          <w:rtl/>
          <w:lang w:bidi="ar-KW"/>
        </w:rPr>
        <w:t>:</w:t>
      </w:r>
      <w:r w:rsidRPr="005675B2">
        <w:rPr>
          <w:rtl/>
          <w:lang w:bidi="ar-KW"/>
        </w:rPr>
        <w:t xml:space="preserve"> فأن لا يسأل عن معناه ولا يخوض فيه، ويعلم أن سؤاله عنه بدعة، وأنه في خوضه فيه مخاطر بدينه، وأنه يوشك أن يكفر لو خاض فيه من حيث لا يشعر</w:t>
      </w:r>
      <w:r w:rsidR="000636C2">
        <w:rPr>
          <w:rtl/>
          <w:lang w:bidi="ar-KW"/>
        </w:rPr>
        <w:t>،</w:t>
      </w:r>
      <w:r w:rsidRPr="005675B2">
        <w:rPr>
          <w:rtl/>
          <w:lang w:bidi="ar-KW"/>
        </w:rPr>
        <w:t xml:space="preserve"> وأما الإمساك</w:t>
      </w:r>
      <w:r w:rsidR="000636C2">
        <w:rPr>
          <w:rtl/>
          <w:lang w:bidi="ar-KW"/>
        </w:rPr>
        <w:t>:</w:t>
      </w:r>
      <w:r w:rsidRPr="005675B2">
        <w:rPr>
          <w:rtl/>
          <w:lang w:bidi="ar-KW"/>
        </w:rPr>
        <w:t xml:space="preserve"> فأن لا يتصرف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0636C2">
        <w:rPr>
          <w:rtl/>
          <w:lang w:bidi="ar-KW"/>
        </w:rPr>
        <w:t>،</w:t>
      </w:r>
      <w:r w:rsidRPr="005675B2">
        <w:rPr>
          <w:rtl/>
          <w:lang w:bidi="ar-KW"/>
        </w:rPr>
        <w:t xml:space="preserve"> وأما الكف</w:t>
      </w:r>
      <w:r w:rsidR="000636C2">
        <w:rPr>
          <w:rtl/>
          <w:lang w:bidi="ar-KW"/>
        </w:rPr>
        <w:t>:</w:t>
      </w:r>
      <w:r w:rsidRPr="005675B2">
        <w:rPr>
          <w:rtl/>
          <w:lang w:bidi="ar-KW"/>
        </w:rPr>
        <w:t xml:space="preserve"> فأن يكف باطنه عن البحث عنه والتفكر فيه</w:t>
      </w:r>
      <w:r w:rsidR="000636C2">
        <w:rPr>
          <w:rtl/>
          <w:lang w:bidi="ar-KW"/>
        </w:rPr>
        <w:t>،</w:t>
      </w:r>
      <w:r w:rsidRPr="005675B2">
        <w:rPr>
          <w:rtl/>
          <w:lang w:bidi="ar-KW"/>
        </w:rPr>
        <w:t xml:space="preserve"> وأما التسليم لأهلـه</w:t>
      </w:r>
      <w:r w:rsidR="000636C2">
        <w:rPr>
          <w:rtl/>
          <w:lang w:bidi="ar-KW"/>
        </w:rPr>
        <w:t>:</w:t>
      </w:r>
      <w:r w:rsidRPr="005675B2">
        <w:rPr>
          <w:rtl/>
          <w:lang w:bidi="ar-KW"/>
        </w:rPr>
        <w:t xml:space="preserve"> فأن لا يعتقد أن ذلـك إن خفي عليـه لعجـزه فقد خفي على رسول الله</w:t>
      </w:r>
      <w:r w:rsidR="000636C2">
        <w:rPr>
          <w:rtl/>
          <w:lang w:bidi="ar-KW"/>
        </w:rPr>
        <w:t>،</w:t>
      </w:r>
      <w:r w:rsidRPr="005675B2">
        <w:rPr>
          <w:rtl/>
          <w:lang w:bidi="ar-KW"/>
        </w:rPr>
        <w:t xml:space="preserve"> أو على الأنبياء أو على الصديقين والأولياء</w:t>
      </w:r>
      <w:r w:rsidR="000636C2">
        <w:rPr>
          <w:rtl/>
          <w:lang w:bidi="ar-KW"/>
        </w:rPr>
        <w:t xml:space="preserve">، </w:t>
      </w:r>
      <w:r w:rsidRPr="005675B2">
        <w:rPr>
          <w:rtl/>
          <w:lang w:bidi="ar-KW"/>
        </w:rPr>
        <w:t>فهذه سبع وظائف اعتقد كافة السلف وجوبها على كل العوام، لا ينبغي أن يظن بالسلف الخلاف في شي منها</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spacing w:val="10"/>
          <w:rtl/>
          <w:lang w:bidi="ar-KW"/>
        </w:rPr>
        <w:t xml:space="preserve">وقال الشيخ العلامة محمود خطاب السبكي - رحمه الله تعالى - </w:t>
      </w:r>
      <w:r w:rsidR="000636C2">
        <w:rPr>
          <w:spacing w:val="10"/>
          <w:rtl/>
          <w:lang w:bidi="ar-KW"/>
        </w:rPr>
        <w:t>(</w:t>
      </w:r>
      <w:r w:rsidRPr="005675B2">
        <w:rPr>
          <w:spacing w:val="10"/>
          <w:rtl/>
          <w:lang w:bidi="ar-KW"/>
        </w:rPr>
        <w:t>إتحاف الكائنات ببيان مذهب السلف والخلف في المتشابهات ص/ 167</w:t>
      </w:r>
      <w:r w:rsidR="000636C2">
        <w:rPr>
          <w:spacing w:val="10"/>
          <w:rtl/>
          <w:lang w:bidi="ar-KW"/>
        </w:rPr>
        <w:t>):</w:t>
      </w:r>
      <w:r w:rsidRPr="005675B2">
        <w:rPr>
          <w:rFonts w:hint="cs"/>
          <w:spacing w:val="10"/>
          <w:rtl/>
          <w:lang w:bidi="ar-KW"/>
        </w:rPr>
        <w:t xml:space="preserve"> </w:t>
      </w:r>
      <w:r w:rsidR="000636C2">
        <w:rPr>
          <w:rtl/>
          <w:lang w:bidi="ar-KW"/>
        </w:rPr>
        <w:t>(</w:t>
      </w:r>
      <w:r w:rsidRPr="005675B2">
        <w:rPr>
          <w:rtl/>
          <w:lang w:bidi="ar-KW"/>
        </w:rPr>
        <w:t>المراد به - يعني المتشابه - هنا كل ما ورد في الكتاب أو السنة الصحيحة موهماً مماثلته تعالى للحوادث في شيء ما،وقامت الدلائل القاطعة على امتناع ظاهره في حق الله تعالى، ولذا أجمع السلف والخلف على تأويله تأويلاً إجمالياً بصرف اللفظ عن ظاهره المحال على الله تعالى، لقيام الأدلة القاطعة على أنه تعالى ليس كمثله شيء، ثم إن السلف لا يعينون المعنى المراد من ذلك النص بل يفوضون علمه إلى الله تعـالى بناء على أن الوقف على قوله تعالى</w:t>
      </w:r>
      <w:r w:rsidR="000636C2">
        <w:rPr>
          <w:rtl/>
          <w:lang w:bidi="ar-KW"/>
        </w:rPr>
        <w:t>:</w:t>
      </w:r>
      <w:r w:rsidRPr="005675B2">
        <w:rPr>
          <w:rtl/>
          <w:lang w:bidi="ar-KW"/>
        </w:rPr>
        <w:t xml:space="preserve"> </w:t>
      </w:r>
      <w:r w:rsidR="000636C2">
        <w:rPr>
          <w:bCs/>
          <w:rtl/>
          <w:lang w:bidi="ar-KW"/>
        </w:rPr>
        <w:t>(</w:t>
      </w:r>
      <w:r w:rsidRPr="005675B2">
        <w:rPr>
          <w:bCs/>
          <w:rtl/>
          <w:lang w:bidi="ar-KW"/>
        </w:rPr>
        <w:t>وما يعلم تأويله إلا الله</w:t>
      </w:r>
      <w:r w:rsidR="000636C2">
        <w:rPr>
          <w:bCs/>
          <w:rtl/>
          <w:lang w:bidi="ar-KW"/>
        </w:rPr>
        <w:t>)</w:t>
      </w:r>
      <w:r w:rsidRPr="005675B2">
        <w:rPr>
          <w:bCs/>
          <w:rtl/>
          <w:lang w:bidi="ar-KW"/>
        </w:rPr>
        <w:t xml:space="preserve"> والخلف يؤولونه تأويلاً تفصيلياً بتعيين المعنى المراد منه لاضطرارهم إلى ذلك ردّاً على المبتدعين الذين كثروا في زمانهم، بناء على أن الوقف على قوله تعالى</w:t>
      </w:r>
      <w:r w:rsidR="000636C2">
        <w:rPr>
          <w:bCs/>
          <w:rtl/>
          <w:lang w:bidi="ar-KW"/>
        </w:rPr>
        <w:t>:</w:t>
      </w:r>
      <w:r w:rsidR="000636C2">
        <w:rPr>
          <w:rFonts w:hint="cs"/>
          <w:bCs/>
          <w:rtl/>
          <w:lang w:bidi="ar-KW"/>
        </w:rPr>
        <w:t xml:space="preserve"> </w:t>
      </w:r>
      <w:r w:rsidR="000636C2">
        <w:rPr>
          <w:bCs/>
          <w:rtl/>
          <w:lang w:bidi="ar-KW"/>
        </w:rPr>
        <w:t>(</w:t>
      </w:r>
      <w:r w:rsidRPr="005675B2">
        <w:rPr>
          <w:bCs/>
          <w:rtl/>
          <w:lang w:bidi="ar-KW"/>
        </w:rPr>
        <w:t>والراسخون فى العلم</w:t>
      </w:r>
      <w:r w:rsidR="000636C2">
        <w:rPr>
          <w:bCs/>
          <w:rtl/>
          <w:lang w:bidi="ar-KW"/>
        </w:rPr>
        <w:t>)</w:t>
      </w:r>
      <w:r w:rsidRPr="005675B2">
        <w:rPr>
          <w:bCs/>
          <w:rtl/>
          <w:lang w:bidi="ar-KW"/>
        </w:rPr>
        <w:t xml:space="preserve"> اهـ</w:t>
      </w:r>
      <w:r w:rsidR="000636C2">
        <w:rPr>
          <w:bCs/>
          <w:rtl/>
          <w:lang w:bidi="ar-KW"/>
        </w:rPr>
        <w:t xml:space="preserve">، </w:t>
      </w:r>
      <w:r w:rsidRPr="005675B2">
        <w:rPr>
          <w:rtl/>
          <w:lang w:bidi="ar-KW"/>
        </w:rPr>
        <w:t xml:space="preserve">وقال الشيخ علي الطنطاوي - رحمه الله تعالى - </w:t>
      </w:r>
      <w:r w:rsidR="000636C2">
        <w:rPr>
          <w:rtl/>
          <w:lang w:bidi="ar-KW"/>
        </w:rPr>
        <w:t>(</w:t>
      </w:r>
      <w:r w:rsidRPr="005675B2">
        <w:rPr>
          <w:rtl/>
          <w:lang w:bidi="ar-KW"/>
        </w:rPr>
        <w:t>تعريف عام بدين الإسلام ص/84</w:t>
      </w:r>
      <w:r w:rsidR="000636C2">
        <w:rPr>
          <w:rtl/>
          <w:lang w:bidi="ar-KW"/>
        </w:rPr>
        <w:t>):</w:t>
      </w:r>
      <w:r w:rsidRPr="005675B2">
        <w:rPr>
          <w:rFonts w:hint="cs"/>
          <w:rtl/>
          <w:lang w:bidi="ar-KW"/>
        </w:rPr>
        <w:t xml:space="preserve"> </w:t>
      </w:r>
      <w:r w:rsidR="000636C2">
        <w:rPr>
          <w:rtl/>
          <w:lang w:bidi="ar-KW"/>
        </w:rPr>
        <w:t>(</w:t>
      </w:r>
      <w:r w:rsidRPr="005675B2">
        <w:rPr>
          <w:rtl/>
          <w:lang w:bidi="ar-KW"/>
        </w:rPr>
        <w:t>بيّن الله في القرآن أن فيه آيات محكمات واضحة المعنى، صريحة اللفظ، وآيات وردت متشابهات، ولا يَضِحُ</w:t>
      </w:r>
      <w:r w:rsidR="000636C2">
        <w:rPr>
          <w:rtl/>
          <w:lang w:bidi="ar-KW"/>
        </w:rPr>
        <w:t xml:space="preserve"> </w:t>
      </w:r>
      <w:r w:rsidRPr="005675B2">
        <w:rPr>
          <w:rtl/>
          <w:lang w:bidi="ar-KW"/>
        </w:rPr>
        <w:t xml:space="preserve">- الفعل المضارع من </w:t>
      </w:r>
      <w:r w:rsidR="000636C2">
        <w:rPr>
          <w:rtl/>
          <w:lang w:bidi="ar-KW"/>
        </w:rPr>
        <w:t>(</w:t>
      </w:r>
      <w:r w:rsidRPr="005675B2">
        <w:rPr>
          <w:rtl/>
          <w:lang w:bidi="ar-KW"/>
        </w:rPr>
        <w:t>وضح</w:t>
      </w:r>
      <w:r w:rsidR="000636C2">
        <w:rPr>
          <w:rtl/>
          <w:lang w:bidi="ar-KW"/>
        </w:rPr>
        <w:t xml:space="preserve">) </w:t>
      </w:r>
      <w:r w:rsidRPr="005675B2">
        <w:rPr>
          <w:rtl/>
          <w:lang w:bidi="ar-KW"/>
        </w:rPr>
        <w:t>- المعنى المراد منها تماماً، وإن على المؤمن ألا يطيل الغوص في معناها، ولا يتتبعها فيجمعها ليفتن الناس بالبحث فيها، ومن المتشابه آيات الصفات</w:t>
      </w:r>
      <w:r w:rsidR="000636C2">
        <w:rPr>
          <w:rtl/>
          <w:lang w:bidi="ar-KW"/>
        </w:rPr>
        <w:t>)</w:t>
      </w:r>
      <w:r w:rsidR="000636C2">
        <w:rPr>
          <w:rFonts w:hint="cs"/>
          <w:rtl/>
          <w:lang w:bidi="ar-KW"/>
        </w:rPr>
        <w:t xml:space="preserve">، </w:t>
      </w:r>
      <w:r w:rsidRPr="005675B2">
        <w:rPr>
          <w:rtl/>
          <w:lang w:bidi="ar-KW"/>
        </w:rPr>
        <w:t>وعلّق - رحمه الله - على هذا في الهامش قائلاً</w:t>
      </w:r>
      <w:r w:rsidR="000636C2">
        <w:rPr>
          <w:rtl/>
          <w:lang w:bidi="ar-KW"/>
        </w:rPr>
        <w:t>:</w:t>
      </w:r>
      <w:r w:rsidRPr="005675B2">
        <w:rPr>
          <w:rtl/>
          <w:lang w:bidi="ar-KW"/>
        </w:rPr>
        <w:t xml:space="preserve"> </w:t>
      </w:r>
      <w:r w:rsidR="000636C2">
        <w:rPr>
          <w:rtl/>
          <w:lang w:bidi="ar-KW"/>
        </w:rPr>
        <w:t>(</w:t>
      </w:r>
      <w:r w:rsidRPr="005675B2">
        <w:rPr>
          <w:rtl/>
          <w:lang w:bidi="ar-KW"/>
        </w:rPr>
        <w:t>ومن جمعها كلها وألقاها إلى التلاميذ فقد جانب طريقة السلف، لا سيما إذا ضمّ إليها أحاديث الآحاد المروية في مثلها، والتي لا تعتبر دليلاً قطعياً في أمور العقائد</w:t>
      </w:r>
      <w:r w:rsidR="000636C2">
        <w:rPr>
          <w:rtl/>
          <w:lang w:bidi="ar-KW"/>
        </w:rPr>
        <w:t>)</w:t>
      </w:r>
      <w:r w:rsidRPr="005675B2">
        <w:rPr>
          <w:rtl/>
          <w:lang w:bidi="ar-KW"/>
        </w:rPr>
        <w:t xml:space="preserve"> اهـ</w:t>
      </w:r>
      <w:r w:rsidR="000636C2">
        <w:rPr>
          <w:rtl/>
          <w:lang w:bidi="ar-KW"/>
        </w:rPr>
        <w:t xml:space="preserve">، </w:t>
      </w:r>
      <w:r w:rsidRPr="005675B2">
        <w:rPr>
          <w:rtl/>
          <w:lang w:bidi="ar-KW"/>
        </w:rPr>
        <w:t>ثم بين - رحمه الله تعالى - موقف المسلمين منها فقال</w:t>
      </w:r>
      <w:r w:rsidR="000636C2">
        <w:rPr>
          <w:rtl/>
          <w:lang w:bidi="ar-KW"/>
        </w:rPr>
        <w:t>:</w:t>
      </w:r>
      <w:r w:rsidRPr="005675B2">
        <w:rPr>
          <w:rFonts w:hint="cs"/>
          <w:rtl/>
          <w:lang w:bidi="ar-KW"/>
        </w:rPr>
        <w:t xml:space="preserve"> </w:t>
      </w:r>
      <w:r w:rsidR="000636C2">
        <w:rPr>
          <w:rtl/>
          <w:lang w:bidi="ar-KW"/>
        </w:rPr>
        <w:t>(</w:t>
      </w:r>
      <w:r w:rsidRPr="005675B2">
        <w:rPr>
          <w:rtl/>
          <w:lang w:bidi="ar-KW"/>
        </w:rPr>
        <w:t>المسلمون الأولون وهم سلف هذه الأمة وخيرها وأفضلها لم يتكلموا فيها، ولم يخوضوا في شرحها، بل آمنوا بها كما جاءت من عند الله على مراد الله، فلما انتشر علم الكلام، وأوردت الشبه على عقائد الإسلام، وظهرت طبقة جديدة من العلماء انبرت لِرَدِّ هذه الشبه، تكلم هؤلاء العلماء في آيات الصفات، وفهموها على طريقة العرب في مجاوزة المعنى الأصلي للكلمة إذا لم يمكن فهمها به إلى معنى آخر، وهذا ما يسمى المجاز أو التأويل، وقيل في هذا</w:t>
      </w:r>
      <w:r w:rsidR="000636C2">
        <w:rPr>
          <w:rtl/>
          <w:lang w:bidi="ar-KW"/>
        </w:rPr>
        <w:t>:</w:t>
      </w:r>
      <w:r w:rsidRPr="005675B2">
        <w:rPr>
          <w:rtl/>
          <w:lang w:bidi="ar-KW"/>
        </w:rPr>
        <w:t xml:space="preserve"> طريقة السلف أسلم، وطريقة الخلف أحكم، </w:t>
      </w:r>
      <w:r w:rsidRPr="005675B2">
        <w:rPr>
          <w:bCs/>
          <w:rtl/>
          <w:lang w:bidi="ar-KW"/>
        </w:rPr>
        <w:t>وكلهم متفقون على أن هذه الآيات نزلت من عند الله، من أنكر شيئاً منها كفر، وأن من عطلها تماماً فجعلها لفظاً بلا معنى كفر، ومن فهمها بالمعنى البشري وطبقه على الله فجعل الخالق كالمخلوق كفر، والمسلك خطر، والمفازة مهلكة، والنجاة منها باجتناب الخوض فيها</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Pr="005675B2">
        <w:rPr>
          <w:rtl/>
          <w:lang w:bidi="ar-KW"/>
        </w:rPr>
        <w:t xml:space="preserve"> ولقد أجاد رحمه الله تعالى وأحسن، فالمسلك خطر جدّاً، والنجاة باجتناب الخوض جملة، وليس من الحكمة في شيء إلقاء مثل هذه النصوص على العامة وتعريضهم بهـذا الصنيع للفتنة، وقد تواردت الأخبار في النهي عن ذلك، منها ما خرّجه مسلم في مقدمة الصحيح عن ابن</w:t>
      </w:r>
      <w:r w:rsidRPr="005675B2">
        <w:rPr>
          <w:bCs/>
          <w:rtl/>
          <w:lang w:bidi="ar-KW"/>
        </w:rPr>
        <w:t xml:space="preserve"> </w:t>
      </w:r>
      <w:r w:rsidRPr="005675B2">
        <w:rPr>
          <w:rtl/>
          <w:lang w:bidi="ar-KW"/>
        </w:rPr>
        <w:t>مسعود رضي الله تعالى عنه قال</w:t>
      </w:r>
      <w:r w:rsidR="000636C2">
        <w:rPr>
          <w:rtl/>
          <w:lang w:bidi="ar-KW"/>
        </w:rPr>
        <w:t>:</w:t>
      </w:r>
      <w:r w:rsidRPr="005675B2">
        <w:rPr>
          <w:bCs/>
          <w:rtl/>
          <w:lang w:bidi="ar-KW"/>
        </w:rPr>
        <w:t xml:space="preserve"> </w:t>
      </w:r>
      <w:r w:rsidR="000636C2">
        <w:rPr>
          <w:bCs/>
          <w:rtl/>
          <w:lang w:bidi="ar-KW"/>
        </w:rPr>
        <w:t>(</w:t>
      </w:r>
      <w:r w:rsidRPr="005675B2">
        <w:rPr>
          <w:bCs/>
          <w:rtl/>
          <w:lang w:bidi="ar-KW"/>
        </w:rPr>
        <w:t>ما أنت بمحدث قوماً حديثاً لا تبلغه عقولهم إلا كان لبعضهم فتنة</w:t>
      </w:r>
      <w:r w:rsidR="000636C2">
        <w:rPr>
          <w:bCs/>
          <w:rtl/>
          <w:lang w:bidi="ar-KW"/>
        </w:rPr>
        <w:t>)</w:t>
      </w:r>
      <w:r w:rsidRPr="005675B2">
        <w:rPr>
          <w:bCs/>
          <w:rtl/>
          <w:lang w:bidi="ar-KW"/>
        </w:rPr>
        <w:t xml:space="preserve">، </w:t>
      </w:r>
      <w:r w:rsidRPr="005675B2">
        <w:rPr>
          <w:rtl/>
          <w:lang w:bidi="ar-KW"/>
        </w:rPr>
        <w:t xml:space="preserve">وعند البخاري في " كتاب العلـم " باب </w:t>
      </w:r>
      <w:r w:rsidR="000636C2">
        <w:rPr>
          <w:rtl/>
          <w:lang w:bidi="ar-KW"/>
        </w:rPr>
        <w:t>(</w:t>
      </w:r>
      <w:r w:rsidRPr="005675B2">
        <w:rPr>
          <w:rtl/>
          <w:lang w:bidi="ar-KW"/>
        </w:rPr>
        <w:t>من خصَّ بالعلم قوماً دون قوم كراهية أن لا يفهموا</w:t>
      </w:r>
      <w:r w:rsidR="000636C2">
        <w:rPr>
          <w:rtl/>
          <w:lang w:bidi="ar-KW"/>
        </w:rPr>
        <w:t>)</w:t>
      </w:r>
      <w:r w:rsidRPr="005675B2">
        <w:rPr>
          <w:rtl/>
          <w:lang w:bidi="ar-KW"/>
        </w:rPr>
        <w:t xml:space="preserve"> عـن عليّ موقوفــاً</w:t>
      </w:r>
      <w:r w:rsidRPr="005675B2">
        <w:rPr>
          <w:bCs/>
          <w:rtl/>
          <w:lang w:bidi="ar-KW"/>
        </w:rPr>
        <w:t xml:space="preserve"> </w:t>
      </w:r>
      <w:r w:rsidR="000636C2">
        <w:rPr>
          <w:bCs/>
          <w:rtl/>
          <w:lang w:bidi="ar-KW"/>
        </w:rPr>
        <w:t>(</w:t>
      </w:r>
      <w:r w:rsidRPr="005675B2">
        <w:rPr>
          <w:bCs/>
          <w:rtl/>
          <w:lang w:bidi="ar-KW"/>
        </w:rPr>
        <w:t>حدثوا الناس بما يعرفون، أتحبون أن يُكذَّب الله ورسوله</w:t>
      </w:r>
      <w:r w:rsidR="000636C2">
        <w:rPr>
          <w:bCs/>
          <w:rtl/>
          <w:lang w:bidi="ar-KW"/>
        </w:rPr>
        <w:t xml:space="preserve">؟)، </w:t>
      </w:r>
      <w:r w:rsidRPr="005675B2">
        <w:rPr>
          <w:rtl/>
          <w:lang w:bidi="ar-KW"/>
        </w:rPr>
        <w:t>قال الحافظ ابن حجر - رحمه الله تعالى</w:t>
      </w:r>
      <w:r w:rsidRPr="005675B2">
        <w:rPr>
          <w:bCs/>
          <w:rtl/>
          <w:lang w:bidi="ar-KW"/>
        </w:rPr>
        <w:t xml:space="preserve"> - </w:t>
      </w:r>
      <w:r w:rsidR="000636C2">
        <w:rPr>
          <w:rtl/>
          <w:lang w:bidi="ar-KW"/>
        </w:rPr>
        <w:t>(</w:t>
      </w:r>
      <w:r w:rsidRPr="005675B2">
        <w:rPr>
          <w:rtl/>
          <w:lang w:bidi="ar-KW"/>
        </w:rPr>
        <w:t>الفتح 1/272</w:t>
      </w:r>
      <w:r w:rsidR="000636C2">
        <w:rPr>
          <w:rtl/>
          <w:lang w:bidi="ar-KW"/>
        </w:rPr>
        <w:t>)</w:t>
      </w:r>
      <w:r w:rsidRPr="005675B2">
        <w:rPr>
          <w:rtl/>
          <w:lang w:bidi="ar-KW"/>
        </w:rPr>
        <w:t xml:space="preserve"> في شرحه للحديث</w:t>
      </w:r>
      <w:r w:rsidR="000636C2">
        <w:rPr>
          <w:rtl/>
          <w:lang w:bidi="ar-KW"/>
        </w:rPr>
        <w:t>:</w:t>
      </w:r>
      <w:r w:rsidRPr="005675B2">
        <w:rPr>
          <w:rFonts w:hint="cs"/>
          <w:rtl/>
          <w:lang w:bidi="ar-KW"/>
        </w:rPr>
        <w:t xml:space="preserve"> </w:t>
      </w:r>
      <w:r w:rsidR="000636C2">
        <w:rPr>
          <w:rtl/>
          <w:lang w:bidi="ar-KW"/>
        </w:rPr>
        <w:t>(</w:t>
      </w:r>
      <w:r w:rsidRPr="005675B2">
        <w:rPr>
          <w:rtl/>
          <w:lang w:bidi="ar-KW"/>
        </w:rPr>
        <w:t>فيه دليل على أن المتشابه لا ينبغي أن يذكر عند العامة .. وضابط ذلك أن يكون الحديث يقوي البدعة، وظاهره في الأصل غير مراد، فالإمساك عنه عند من يُخشى عليه الأخذ بظاهره مطلوب</w:t>
      </w:r>
      <w:r w:rsidR="000636C2">
        <w:rPr>
          <w:rtl/>
          <w:lang w:bidi="ar-KW"/>
        </w:rPr>
        <w:t>)</w:t>
      </w:r>
      <w:r w:rsidRPr="005675B2">
        <w:rPr>
          <w:rtl/>
          <w:lang w:bidi="ar-KW"/>
        </w:rPr>
        <w:t xml:space="preserve"> اهـ</w:t>
      </w:r>
      <w:r w:rsidR="000636C2">
        <w:rPr>
          <w:rtl/>
          <w:lang w:bidi="ar-KW"/>
        </w:rPr>
        <w:t>،</w:t>
      </w:r>
      <w:r w:rsidRPr="005675B2">
        <w:rPr>
          <w:rtl/>
          <w:lang w:bidi="ar-KW"/>
        </w:rPr>
        <w:t xml:space="preserve"> ولقد نهى الإمام مالك أن يُحَدَّث بما قد يلتبس على الناس كما نقل عنه الإمام ابن أبي زيد رحمه الله تعالى </w:t>
      </w:r>
      <w:r w:rsidR="000636C2">
        <w:rPr>
          <w:rtl/>
          <w:lang w:bidi="ar-KW"/>
        </w:rPr>
        <w:t>(</w:t>
      </w:r>
      <w:r w:rsidRPr="005675B2">
        <w:rPr>
          <w:rtl/>
          <w:lang w:bidi="ar-KW"/>
        </w:rPr>
        <w:t>النوادر والزيادات 14/ 553</w:t>
      </w:r>
      <w:r w:rsidR="000636C2">
        <w:rPr>
          <w:rtl/>
          <w:lang w:bidi="ar-KW"/>
        </w:rPr>
        <w:t>)</w:t>
      </w:r>
      <w:r w:rsidRPr="005675B2">
        <w:rPr>
          <w:rtl/>
          <w:lang w:bidi="ar-KW"/>
        </w:rPr>
        <w:t xml:space="preserve"> </w:t>
      </w:r>
      <w:r w:rsidR="000636C2">
        <w:rPr>
          <w:rtl/>
          <w:lang w:bidi="ar-KW"/>
        </w:rPr>
        <w:t>(</w:t>
      </w:r>
      <w:r w:rsidRPr="005675B2">
        <w:rPr>
          <w:rtl/>
          <w:lang w:bidi="ar-KW"/>
        </w:rPr>
        <w:t>ولا ينبغي لأحد أن يصف الله تعالى إلا بما وصف به نفسه، ولا يشبهه كذلك بشيء، وليقل</w:t>
      </w:r>
      <w:r w:rsidR="000636C2">
        <w:rPr>
          <w:rtl/>
          <w:lang w:bidi="ar-KW"/>
        </w:rPr>
        <w:t>:</w:t>
      </w:r>
      <w:r w:rsidRPr="005675B2">
        <w:rPr>
          <w:rtl/>
          <w:lang w:bidi="ar-KW"/>
        </w:rPr>
        <w:t xml:space="preserve"> له - تعالى - يدان كما وصف به نفسه، وله وجه كما وصف به نفسه</w:t>
      </w:r>
      <w:r w:rsidR="000636C2">
        <w:rPr>
          <w:rtl/>
          <w:lang w:bidi="ar-KW"/>
        </w:rPr>
        <w:t>،</w:t>
      </w:r>
      <w:r w:rsidRPr="005675B2">
        <w:rPr>
          <w:rtl/>
          <w:lang w:bidi="ar-KW"/>
        </w:rPr>
        <w:t xml:space="preserve"> تقف عند ما في الكتاب، لأن الله سبحانه لا مثل له ولا شبيه له ولا نظير له، </w:t>
      </w:r>
      <w:r w:rsidRPr="005675B2">
        <w:rPr>
          <w:bCs/>
          <w:rtl/>
          <w:lang w:bidi="ar-KW"/>
        </w:rPr>
        <w:t>ولا يروي أحدٌ مثلَ هذه الأحاديث، مثلُ " إن الله خلق آدم على صورته " ونحوُ ذلك مـن الأحاديث</w:t>
      </w:r>
      <w:r w:rsidR="000636C2">
        <w:rPr>
          <w:bCs/>
          <w:rtl/>
          <w:lang w:bidi="ar-KW"/>
        </w:rPr>
        <w:t>،</w:t>
      </w:r>
      <w:r w:rsidRPr="005675B2">
        <w:rPr>
          <w:bCs/>
          <w:rtl/>
          <w:lang w:bidi="ar-KW"/>
        </w:rPr>
        <w:t xml:space="preserve"> وأعظمَ مالكٌ أن يتحدث أحدٌ بمثل هذه الأحاديث أو يُردِّدَها</w:t>
      </w:r>
      <w:r w:rsidR="000636C2">
        <w:rPr>
          <w:bCs/>
          <w:rtl/>
          <w:lang w:bidi="ar-KW"/>
        </w:rPr>
        <w:t>)،</w:t>
      </w:r>
      <w:r w:rsidRPr="005675B2">
        <w:rPr>
          <w:bCs/>
          <w:rtl/>
          <w:lang w:bidi="ar-KW"/>
        </w:rPr>
        <w:t xml:space="preserve"> </w:t>
      </w:r>
      <w:r w:rsidR="000636C2">
        <w:rPr>
          <w:rtl/>
          <w:lang w:bidi="ar-KW"/>
        </w:rPr>
        <w:t>(</w:t>
      </w:r>
      <w:r w:rsidRPr="005675B2">
        <w:rPr>
          <w:rtl/>
          <w:lang w:bidi="ar-KW"/>
        </w:rPr>
        <w:t>وانظر أيضاً في هذا البيان والتحصيل 18/504، والسيـر 8/104، الموافـقات 4/549، فتح الباري 1/272</w:t>
      </w:r>
      <w:r w:rsidR="000636C2">
        <w:rPr>
          <w:rtl/>
          <w:lang w:bidi="ar-KW"/>
        </w:rPr>
        <w:t>)</w:t>
      </w:r>
      <w:r w:rsidR="000636C2">
        <w:rPr>
          <w:bCs/>
          <w:rtl/>
          <w:lang w:bidi="ar-KW"/>
        </w:rPr>
        <w:t>،</w:t>
      </w:r>
      <w:r w:rsidRPr="005675B2">
        <w:rPr>
          <w:bCs/>
          <w:rtl/>
          <w:lang w:bidi="ar-KW"/>
        </w:rPr>
        <w:t xml:space="preserve"> </w:t>
      </w:r>
      <w:r w:rsidRPr="005675B2">
        <w:rPr>
          <w:rtl/>
          <w:lang w:bidi="ar-KW"/>
        </w:rPr>
        <w:t>هذه نصوص واضحة في النهي عن التحديث بالمتشابهات، منها تعلم مجازفة من يخوض في هذه النصوص، ويلقيها على الناس على أنها مما لا يجوز الجهل به، بل ويزيد على هذا بحملها على ما يعهده الناس من هذه الظواهر، ويضلل من يصرفها عن ظاهرها المحال، الذي هو قطعاً ليس مراد رسول الله صلى الله عليه وسلم ولا ما فهمه أصحابه رضوان الله تعالى عليهم من خطابه الشريف</w:t>
      </w:r>
      <w:r w:rsidR="000636C2">
        <w:rPr>
          <w:rtl/>
          <w:lang w:bidi="ar-KW"/>
        </w:rPr>
        <w:t>!</w:t>
      </w:r>
      <w:r w:rsidRPr="005675B2">
        <w:rPr>
          <w:rtl/>
          <w:lang w:bidi="ar-KW"/>
        </w:rPr>
        <w:t>!</w:t>
      </w:r>
    </w:p>
    <w:p w14:paraId="46EDA0F2" w14:textId="77777777" w:rsidR="009C32A0" w:rsidRPr="005675B2" w:rsidRDefault="009C32A0" w:rsidP="000636C2">
      <w:pPr>
        <w:widowControl w:val="0"/>
        <w:spacing w:before="80" w:after="240"/>
        <w:jc w:val="center"/>
        <w:rPr>
          <w:rtl/>
          <w:lang w:bidi="ar-KW"/>
        </w:rPr>
      </w:pPr>
      <w:r w:rsidRPr="005675B2">
        <w:rPr>
          <w:rtl/>
          <w:lang w:bidi="ar-KW"/>
        </w:rPr>
        <w:t>* * * * *</w:t>
      </w:r>
    </w:p>
    <w:p w14:paraId="25444EFD" w14:textId="72C362E7" w:rsidR="009C32A0" w:rsidRPr="005675B2" w:rsidRDefault="009C32A0" w:rsidP="000636C2">
      <w:pPr>
        <w:widowControl w:val="0"/>
        <w:spacing w:before="80" w:after="240"/>
        <w:rPr>
          <w:rtl/>
          <w:lang w:bidi="ar-KW"/>
        </w:rPr>
      </w:pPr>
      <w:r w:rsidRPr="005675B2">
        <w:rPr>
          <w:rtl/>
          <w:lang w:bidi="ar-KW"/>
        </w:rPr>
        <w:t xml:space="preserve">قال الأستاذ الدكتور الشيخ محمد سعيد رمضان البوطي حفظه الله تعالى </w:t>
      </w:r>
      <w:r w:rsidR="000636C2">
        <w:rPr>
          <w:rtl/>
          <w:lang w:bidi="ar-KW"/>
        </w:rPr>
        <w:t>(</w:t>
      </w:r>
      <w:r w:rsidRPr="005675B2">
        <w:rPr>
          <w:rtl/>
          <w:lang w:bidi="ar-KW"/>
        </w:rPr>
        <w:t>كبرى اليقينيات الكونية ص/137</w:t>
      </w:r>
      <w:r w:rsidR="000636C2">
        <w:rPr>
          <w:rtl/>
          <w:lang w:bidi="ar-KW"/>
        </w:rPr>
        <w:t>)</w:t>
      </w:r>
      <w:r w:rsidRPr="005675B2">
        <w:rPr>
          <w:rtl/>
          <w:lang w:bidi="ar-KW"/>
        </w:rPr>
        <w:t xml:space="preserve"> موضحاً شأن هذه المتشابهات</w:t>
      </w:r>
      <w:r w:rsidR="000636C2">
        <w:rPr>
          <w:rtl/>
          <w:lang w:bidi="ar-KW"/>
        </w:rPr>
        <w:t>:</w:t>
      </w:r>
      <w:r w:rsidR="000636C2">
        <w:rPr>
          <w:rFonts w:hint="cs"/>
          <w:rtl/>
          <w:lang w:bidi="ar-KW"/>
        </w:rPr>
        <w:t xml:space="preserve"> </w:t>
      </w:r>
      <w:r w:rsidR="000636C2">
        <w:rPr>
          <w:rtl/>
          <w:lang w:bidi="ar-KW"/>
        </w:rPr>
        <w:t>(</w:t>
      </w:r>
      <w:r w:rsidRPr="005675B2">
        <w:rPr>
          <w:rtl/>
          <w:lang w:bidi="ar-KW"/>
        </w:rPr>
        <w:t>يُشْـكِل</w:t>
      </w:r>
      <w:r w:rsidR="000636C2">
        <w:rPr>
          <w:rtl/>
          <w:lang w:bidi="ar-KW"/>
        </w:rPr>
        <w:t xml:space="preserve"> </w:t>
      </w:r>
      <w:r w:rsidRPr="005675B2">
        <w:rPr>
          <w:rtl/>
          <w:lang w:bidi="ar-KW"/>
        </w:rPr>
        <w:t>- بحسب الظاهر</w:t>
      </w:r>
      <w:r w:rsidR="000636C2">
        <w:rPr>
          <w:rtl/>
          <w:lang w:bidi="ar-KW"/>
        </w:rPr>
        <w:t xml:space="preserve"> </w:t>
      </w:r>
      <w:r w:rsidRPr="005675B2">
        <w:rPr>
          <w:rtl/>
          <w:lang w:bidi="ar-KW"/>
        </w:rPr>
        <w:t>- آيات في كتاب الله، وأحاديث ثابتة عن رسول الله صلى الله عليه وسلم، تفيد بظاهر ألفاظها وتعابيرها ثبوت بعض النقائص أو النقائض التي نفيناها عن ذات الله جلّ جلاله، كالجهة والجسمية والجوارح والأعضاء والتحيز في المكان</w:t>
      </w:r>
      <w:r w:rsidR="000636C2">
        <w:rPr>
          <w:rtl/>
          <w:lang w:bidi="ar-KW"/>
        </w:rPr>
        <w:t>،</w:t>
      </w:r>
      <w:r w:rsidRPr="005675B2">
        <w:rPr>
          <w:rtl/>
          <w:lang w:bidi="ar-KW"/>
        </w:rPr>
        <w:t xml:space="preserve"> كقوله سبحانه وتعالى </w:t>
      </w:r>
      <w:r w:rsidR="000636C2">
        <w:rPr>
          <w:bCs/>
          <w:rtl/>
          <w:lang w:bidi="ar-KW"/>
        </w:rPr>
        <w:t>(</w:t>
      </w:r>
      <w:r w:rsidRPr="005675B2">
        <w:rPr>
          <w:bCs/>
          <w:rtl/>
          <w:lang w:bidi="ar-KW"/>
        </w:rPr>
        <w:t>وجاء ربك والملك صفّا صفّا</w:t>
      </w:r>
      <w:r w:rsidR="000636C2">
        <w:rPr>
          <w:bCs/>
          <w:rtl/>
          <w:lang w:bidi="ar-KW"/>
        </w:rPr>
        <w:t>)،</w:t>
      </w:r>
      <w:r w:rsidRPr="005675B2">
        <w:rPr>
          <w:bCs/>
          <w:rtl/>
          <w:lang w:bidi="ar-KW"/>
        </w:rPr>
        <w:t xml:space="preserve"> وقوله </w:t>
      </w:r>
      <w:r w:rsidR="000636C2">
        <w:rPr>
          <w:bCs/>
          <w:rtl/>
          <w:lang w:bidi="ar-KW"/>
        </w:rPr>
        <w:t>(</w:t>
      </w:r>
      <w:r w:rsidRPr="005675B2">
        <w:rPr>
          <w:bCs/>
          <w:rtl/>
          <w:lang w:bidi="ar-KW"/>
        </w:rPr>
        <w:t>يد الله فوق أيديهم</w:t>
      </w:r>
      <w:r w:rsidR="000636C2">
        <w:rPr>
          <w:bCs/>
          <w:rtl/>
          <w:lang w:bidi="ar-KW"/>
        </w:rPr>
        <w:t>)،</w:t>
      </w:r>
      <w:r w:rsidRPr="005675B2">
        <w:rPr>
          <w:bCs/>
          <w:rtl/>
          <w:lang w:bidi="ar-KW"/>
        </w:rPr>
        <w:t xml:space="preserve"> وقولـه </w:t>
      </w:r>
      <w:r w:rsidR="000636C2">
        <w:rPr>
          <w:bCs/>
          <w:rtl/>
          <w:lang w:bidi="ar-KW"/>
        </w:rPr>
        <w:t>(</w:t>
      </w:r>
      <w:r w:rsidRPr="005675B2">
        <w:rPr>
          <w:bCs/>
          <w:rtl/>
          <w:lang w:bidi="ar-KW"/>
        </w:rPr>
        <w:t>.. بل يداه مبسوطتان كيف يشاء</w:t>
      </w:r>
      <w:r w:rsidR="000636C2">
        <w:rPr>
          <w:bCs/>
          <w:rtl/>
          <w:lang w:bidi="ar-KW"/>
        </w:rPr>
        <w:t>)</w:t>
      </w:r>
      <w:r w:rsidRPr="005675B2">
        <w:rPr>
          <w:bCs/>
          <w:rtl/>
          <w:lang w:bidi="ar-KW"/>
        </w:rPr>
        <w:t xml:space="preserve"> وقوله </w:t>
      </w:r>
      <w:r w:rsidR="000636C2">
        <w:rPr>
          <w:bCs/>
          <w:rtl/>
          <w:lang w:bidi="ar-KW"/>
        </w:rPr>
        <w:t>(</w:t>
      </w:r>
      <w:r w:rsidRPr="005675B2">
        <w:rPr>
          <w:bCs/>
          <w:rtl/>
          <w:lang w:bidi="ar-KW"/>
        </w:rPr>
        <w:t>الرحمن على العرش استوى</w:t>
      </w:r>
      <w:r w:rsidR="000636C2">
        <w:rPr>
          <w:bCs/>
          <w:rtl/>
          <w:lang w:bidi="ar-KW"/>
        </w:rPr>
        <w:t>)</w:t>
      </w:r>
      <w:r w:rsidRPr="005675B2">
        <w:rPr>
          <w:bCs/>
          <w:rtl/>
          <w:lang w:bidi="ar-KW"/>
        </w:rPr>
        <w:t xml:space="preserve"> </w:t>
      </w:r>
      <w:r w:rsidRPr="005675B2">
        <w:rPr>
          <w:rtl/>
          <w:lang w:bidi="ar-KW"/>
        </w:rPr>
        <w:t>وكقوله عليه الصلاة والسلام " إن قلوب بني آدم بين أصبعين من أصابع الرحمن "، وقوله " إن الله خلق آدم على صورته "</w:t>
      </w:r>
      <w:r w:rsidR="000636C2">
        <w:rPr>
          <w:bCs/>
          <w:rtl/>
          <w:lang w:bidi="ar-KW"/>
        </w:rPr>
        <w:t>،</w:t>
      </w:r>
      <w:r w:rsidRPr="005675B2">
        <w:rPr>
          <w:bCs/>
          <w:rtl/>
          <w:lang w:bidi="ar-KW"/>
        </w:rPr>
        <w:t xml:space="preserve"> </w:t>
      </w:r>
      <w:r w:rsidRPr="005675B2">
        <w:rPr>
          <w:rtl/>
          <w:lang w:bidi="ar-KW"/>
        </w:rPr>
        <w:t>إن هذه النصوص القرآنية من نوع المتشابه الذي ذكر الله عزّ وجلّ أن في كتابه آيات منه، والمقصود بالمتشابه كل نصّ تجاذبته الاحتمالات حول المعنى المراد منه، وأوهم بظاهره ما قامت الأدلة على نفيه</w:t>
      </w:r>
      <w:r w:rsidR="000636C2">
        <w:rPr>
          <w:rtl/>
          <w:lang w:bidi="ar-KW"/>
        </w:rPr>
        <w:t>،</w:t>
      </w:r>
      <w:r w:rsidRPr="005675B2">
        <w:rPr>
          <w:rtl/>
          <w:lang w:bidi="ar-KW"/>
        </w:rPr>
        <w:t xml:space="preserve"> غير أن هنالك آيات تتعلق بصفات الله تعالى أيضاً، ولكنها محكمات أي قاطعة في دلالتها لا تحتمل إلا معناها الواضح الصريح، كقوله جلّ جلاله </w:t>
      </w:r>
      <w:r w:rsidR="000636C2">
        <w:rPr>
          <w:bCs/>
          <w:rtl/>
          <w:lang w:bidi="ar-KW"/>
        </w:rPr>
        <w:t>(</w:t>
      </w:r>
      <w:r w:rsidRPr="005675B2">
        <w:rPr>
          <w:bCs/>
          <w:rtl/>
          <w:lang w:bidi="ar-KW"/>
        </w:rPr>
        <w:t>ليس كمثله شئ</w:t>
      </w:r>
      <w:r w:rsidR="000636C2">
        <w:rPr>
          <w:bCs/>
          <w:rtl/>
          <w:lang w:bidi="ar-KW"/>
        </w:rPr>
        <w:t>)،</w:t>
      </w:r>
      <w:r w:rsidRPr="005675B2">
        <w:rPr>
          <w:bCs/>
          <w:rtl/>
          <w:lang w:bidi="ar-KW"/>
        </w:rPr>
        <w:t xml:space="preserve"> وقوله </w:t>
      </w:r>
      <w:r w:rsidR="000636C2">
        <w:rPr>
          <w:bCs/>
          <w:rtl/>
          <w:lang w:bidi="ar-KW"/>
        </w:rPr>
        <w:t>(</w:t>
      </w:r>
      <w:r w:rsidRPr="005675B2">
        <w:rPr>
          <w:bCs/>
          <w:rtl/>
          <w:lang w:bidi="ar-KW"/>
        </w:rPr>
        <w:t>قل هو الله أحد</w:t>
      </w:r>
      <w:r w:rsidR="000636C2">
        <w:rPr>
          <w:bCs/>
          <w:rtl/>
          <w:lang w:bidi="ar-KW"/>
        </w:rPr>
        <w:t>،</w:t>
      </w:r>
      <w:r w:rsidRPr="005675B2">
        <w:rPr>
          <w:bCs/>
          <w:rtl/>
          <w:lang w:bidi="ar-KW"/>
        </w:rPr>
        <w:t xml:space="preserve"> الله الصمد</w:t>
      </w:r>
      <w:r w:rsidR="000636C2">
        <w:rPr>
          <w:bCs/>
          <w:rtl/>
          <w:lang w:bidi="ar-KW"/>
        </w:rPr>
        <w:t>،</w:t>
      </w:r>
      <w:r w:rsidRPr="005675B2">
        <w:rPr>
          <w:bCs/>
          <w:rtl/>
          <w:lang w:bidi="ar-KW"/>
        </w:rPr>
        <w:t xml:space="preserve"> لم يلد ولم يولد</w:t>
      </w:r>
      <w:r w:rsidR="000636C2">
        <w:rPr>
          <w:bCs/>
          <w:rtl/>
          <w:lang w:bidi="ar-KW"/>
        </w:rPr>
        <w:t>،</w:t>
      </w:r>
      <w:r w:rsidRPr="005675B2">
        <w:rPr>
          <w:bCs/>
          <w:rtl/>
          <w:lang w:bidi="ar-KW"/>
        </w:rPr>
        <w:t xml:space="preserve"> ولم يكن له كفوا أحد</w:t>
      </w:r>
      <w:r w:rsidR="000636C2">
        <w:rPr>
          <w:bCs/>
          <w:rtl/>
          <w:lang w:bidi="ar-KW"/>
        </w:rPr>
        <w:t>)</w:t>
      </w:r>
      <w:r w:rsidRPr="005675B2">
        <w:rPr>
          <w:bCs/>
          <w:rtl/>
          <w:lang w:bidi="ar-KW"/>
        </w:rPr>
        <w:t xml:space="preserve"> </w:t>
      </w:r>
      <w:r w:rsidRPr="005675B2">
        <w:rPr>
          <w:rtl/>
          <w:lang w:bidi="ar-KW"/>
        </w:rPr>
        <w:t>وقد</w:t>
      </w:r>
      <w:r w:rsidRPr="005675B2">
        <w:rPr>
          <w:bCs/>
          <w:rtl/>
          <w:lang w:bidi="ar-KW"/>
        </w:rPr>
        <w:t xml:space="preserve"> </w:t>
      </w:r>
      <w:r w:rsidRPr="005675B2">
        <w:rPr>
          <w:rtl/>
          <w:lang w:bidi="ar-KW"/>
        </w:rPr>
        <w:t>أوضح الله في كتابه بصريح العبارة ضرورة اتباع المؤمن للنصوص المحكمة في كتابه، وبناء عقيدته في الله بموجبها، ووضع النصوص المتشابهة من ورائها من حيث فهمها والوقوف على المعنى المراد منها ..</w:t>
      </w:r>
      <w:r w:rsidR="000636C2">
        <w:rPr>
          <w:rtl/>
          <w:lang w:bidi="ar-KW"/>
        </w:rPr>
        <w:t>)</w:t>
      </w:r>
      <w:r w:rsidRPr="005675B2">
        <w:rPr>
          <w:rtl/>
          <w:lang w:bidi="ar-KW"/>
        </w:rPr>
        <w:t xml:space="preserve"> ثم قال</w:t>
      </w:r>
      <w:r w:rsidR="000636C2">
        <w:rPr>
          <w:rtl/>
          <w:lang w:bidi="ar-KW"/>
        </w:rPr>
        <w:t>:</w:t>
      </w:r>
      <w:r w:rsidRPr="005675B2">
        <w:rPr>
          <w:rFonts w:hint="cs"/>
          <w:rtl/>
          <w:lang w:bidi="ar-KW"/>
        </w:rPr>
        <w:t xml:space="preserve"> </w:t>
      </w:r>
      <w:r w:rsidR="000636C2">
        <w:rPr>
          <w:rtl/>
          <w:lang w:bidi="ar-KW"/>
        </w:rPr>
        <w:t>(</w:t>
      </w:r>
      <w:r w:rsidRPr="005675B2">
        <w:rPr>
          <w:rtl/>
          <w:lang w:bidi="ar-KW"/>
        </w:rPr>
        <w:t>وبناء على ذلك فقد اتفق المسلمون كلهم على تنزيه الله تعالى عمّا يقتضيه ظاهر تلك النصوص القرآنية والأحاديث النبوية من الصفات المنافية لكمال الله وألوهيته .. وبعد أن اتفقوا على ذلك</w:t>
      </w:r>
      <w:r w:rsidR="000636C2">
        <w:rPr>
          <w:rtl/>
          <w:lang w:bidi="ar-KW"/>
        </w:rPr>
        <w:t xml:space="preserve"> </w:t>
      </w:r>
      <w:r w:rsidRPr="005675B2">
        <w:rPr>
          <w:rtl/>
          <w:lang w:bidi="ar-KW"/>
        </w:rPr>
        <w:t>- وهذا القدر الذي يجب أن يعتقده المسلم</w:t>
      </w:r>
      <w:r w:rsidR="000636C2">
        <w:rPr>
          <w:rtl/>
          <w:lang w:bidi="ar-KW"/>
        </w:rPr>
        <w:t xml:space="preserve"> </w:t>
      </w:r>
      <w:r w:rsidRPr="005675B2">
        <w:rPr>
          <w:rtl/>
          <w:lang w:bidi="ar-KW"/>
        </w:rPr>
        <w:t>- اختلفوا في موقفهم من النصوص المتشابهة إلى مذهبين</w:t>
      </w:r>
      <w:r w:rsidR="000636C2">
        <w:rPr>
          <w:rtl/>
          <w:lang w:bidi="ar-KW"/>
        </w:rPr>
        <w:t>:</w:t>
      </w:r>
      <w:r w:rsidRPr="005675B2">
        <w:rPr>
          <w:rtl/>
          <w:lang w:bidi="ar-KW"/>
        </w:rPr>
        <w:t xml:space="preserve"> أولهما تمسك به السلف المتقدمون، وثانيهما جنح إليه مَن بعدهم مِنَ المتأخرين</w:t>
      </w:r>
      <w:r w:rsidR="000636C2">
        <w:rPr>
          <w:rtl/>
          <w:lang w:bidi="ar-KW"/>
        </w:rPr>
        <w:t>)</w:t>
      </w:r>
      <w:r w:rsidRPr="005675B2">
        <w:rPr>
          <w:rtl/>
          <w:lang w:bidi="ar-KW"/>
        </w:rPr>
        <w:t xml:space="preserve"> اهـ</w:t>
      </w:r>
      <w:r w:rsidR="000636C2">
        <w:rPr>
          <w:rtl/>
          <w:lang w:bidi="ar-KW"/>
        </w:rPr>
        <w:t>،</w:t>
      </w:r>
      <w:r w:rsidRPr="005675B2">
        <w:rPr>
          <w:rtl/>
          <w:lang w:bidi="ar-KW"/>
        </w:rPr>
        <w:t xml:space="preserve"> وعلى الجملة، فإنه لم يؤثر عن علماء الأمة في المتشابه إلا هذان المذهبان المعتبران فقط، مذهب التفويض، وهو مذهب أكثر السلف، ومذهب التأويل، وهو مذهب الخلف وجماعات من السلف، ولا عبرة بمن قال بالأخذ بظاهر نصوص المتشابه، لمناقضته للمنقول وبداهة العقول</w:t>
      </w:r>
      <w:r w:rsidR="000636C2">
        <w:rPr>
          <w:rtl/>
          <w:lang w:bidi="ar-KW"/>
        </w:rPr>
        <w:t>،</w:t>
      </w:r>
      <w:r w:rsidRPr="005675B2">
        <w:rPr>
          <w:rtl/>
          <w:lang w:bidi="ar-KW"/>
        </w:rPr>
        <w:t xml:space="preserve"> قال الإمـام النووي - رحمه الله تعالى - أثنـاء شرحـه لحديـث مـن أحاديـث الصفـات </w:t>
      </w:r>
      <w:r w:rsidR="000636C2">
        <w:rPr>
          <w:rtl/>
          <w:lang w:bidi="ar-KW"/>
        </w:rPr>
        <w:t>(</w:t>
      </w:r>
      <w:r w:rsidRPr="005675B2">
        <w:rPr>
          <w:rtl/>
          <w:lang w:bidi="ar-KW"/>
        </w:rPr>
        <w:t>شرح مسلم 6 / 36</w:t>
      </w:r>
      <w:r w:rsidR="000636C2">
        <w:rPr>
          <w:rtl/>
          <w:lang w:bidi="ar-KW"/>
        </w:rPr>
        <w:t>):</w:t>
      </w:r>
      <w:r w:rsidRPr="005675B2">
        <w:rPr>
          <w:rFonts w:hint="cs"/>
          <w:rtl/>
          <w:lang w:bidi="ar-KW"/>
        </w:rPr>
        <w:t xml:space="preserve"> </w:t>
      </w:r>
      <w:r w:rsidR="000636C2">
        <w:rPr>
          <w:rtl/>
          <w:lang w:bidi="ar-KW"/>
        </w:rPr>
        <w:t>(</w:t>
      </w:r>
      <w:r w:rsidRPr="005675B2">
        <w:rPr>
          <w:rtl/>
          <w:lang w:bidi="ar-KW"/>
        </w:rPr>
        <w:t>هذا الحديث من أحاديث الصفات وفيه مذهبان مشهوران للعلماء سبق إيضاحهما في كتاب الإيمان، ومختصرهما أن أحدهما</w:t>
      </w:r>
      <w:r w:rsidR="000636C2">
        <w:rPr>
          <w:rtl/>
          <w:lang w:bidi="ar-KW"/>
        </w:rPr>
        <w:t>:</w:t>
      </w:r>
      <w:r w:rsidRPr="005675B2">
        <w:rPr>
          <w:rtl/>
          <w:lang w:bidi="ar-KW"/>
        </w:rPr>
        <w:t xml:space="preserve"> وهو مذهب جمهور السلف وبعض المتكلمين، أنه يؤمن بأنها حق على ما يليق بالله تعالى وأن ظاهرها المتعارف في حقنا غير مراد ولا يتكلم في تأويلها مع اعتقاد تنزيه الله تعالى عن صفات المخلوق وعن الانتقال والحركات وسائر سمات الخلق، والثاني</w:t>
      </w:r>
      <w:r w:rsidR="000636C2">
        <w:rPr>
          <w:rtl/>
          <w:lang w:bidi="ar-KW"/>
        </w:rPr>
        <w:t>:</w:t>
      </w:r>
      <w:r w:rsidRPr="005675B2">
        <w:rPr>
          <w:rtl/>
          <w:lang w:bidi="ar-KW"/>
        </w:rPr>
        <w:t xml:space="preserve"> </w:t>
      </w:r>
      <w:r w:rsidRPr="005675B2">
        <w:rPr>
          <w:bCs/>
          <w:rtl/>
          <w:lang w:bidi="ar-KW"/>
        </w:rPr>
        <w:t>مذهب أكثر المتكلمين وجماعات من السلف وهو محكي عن مالك والأوزاعي أنها تتأول على ما يليق بها بحسب مواطنها</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Pr="005675B2">
        <w:rPr>
          <w:rtl/>
          <w:lang w:bidi="ar-KW"/>
        </w:rPr>
        <w:t xml:space="preserve"> فاقتصر رحمه الله تعالى على ذكر هذين المذهبين، ونص على أن مذهب التأويل منقول أيضاً عن السلف رضوان الله تعالى عليهم، وهذا ليعلم من ينحى على الأشاعرة والماتريدية باللوائم ويصفهم بالابتداع لكونهم سوّغوا مسلك التأويل بشروطه أنه على السلف يعيب وإياهم ينتقص</w:t>
      </w:r>
      <w:r w:rsidR="000636C2">
        <w:rPr>
          <w:rtl/>
          <w:lang w:bidi="ar-KW"/>
        </w:rPr>
        <w:t>،</w:t>
      </w:r>
      <w:r w:rsidRPr="005675B2">
        <w:rPr>
          <w:rtl/>
          <w:lang w:bidi="ar-KW"/>
        </w:rPr>
        <w:t xml:space="preserve"> وقال الحافظ ابن حجر رحمه الله تعالى في مثل هـذه النصـوص </w:t>
      </w:r>
      <w:r w:rsidR="000636C2">
        <w:rPr>
          <w:rtl/>
          <w:lang w:bidi="ar-KW"/>
        </w:rPr>
        <w:t>(</w:t>
      </w:r>
      <w:r w:rsidRPr="005675B2">
        <w:rPr>
          <w:rtl/>
          <w:lang w:bidi="ar-KW"/>
        </w:rPr>
        <w:t>فتح الباري 13 / 466</w:t>
      </w:r>
      <w:r w:rsidR="000636C2">
        <w:rPr>
          <w:rtl/>
          <w:lang w:bidi="ar-KW"/>
        </w:rPr>
        <w:t>):</w:t>
      </w:r>
      <w:r w:rsidRPr="005675B2">
        <w:rPr>
          <w:rtl/>
          <w:lang w:bidi="ar-KW"/>
        </w:rPr>
        <w:t xml:space="preserve"> </w:t>
      </w:r>
      <w:r w:rsidR="000636C2">
        <w:rPr>
          <w:rtl/>
          <w:lang w:bidi="ar-KW"/>
        </w:rPr>
        <w:t>(</w:t>
      </w:r>
      <w:r w:rsidRPr="005675B2">
        <w:rPr>
          <w:rtl/>
          <w:lang w:bidi="ar-KW"/>
        </w:rPr>
        <w:t>إما تفويض وإما تأويل</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أيضاً أثناء رده على أبي إسماعيل الهروي حين اعترض على من أوّل أحاديث النزول، وذكر - أي الهروي - عدة أحاديث في الصعود زاعماً أنها لا تقبل التأويل، فردّ عليه الحافظ بعد أن وصفه بالمبالغة في الإثبات ونقـل طعـن البعض عليه بسبب ذلك، قال الحافظ </w:t>
      </w:r>
      <w:r w:rsidR="000636C2">
        <w:rPr>
          <w:rtl/>
          <w:lang w:bidi="ar-KW"/>
        </w:rPr>
        <w:t>(</w:t>
      </w:r>
      <w:r w:rsidRPr="005675B2">
        <w:rPr>
          <w:rtl/>
          <w:lang w:bidi="ar-KW"/>
        </w:rPr>
        <w:t>الفتح 13 / 476</w:t>
      </w:r>
      <w:r w:rsidR="000636C2">
        <w:rPr>
          <w:rtl/>
          <w:lang w:bidi="ar-KW"/>
        </w:rPr>
        <w:t>):</w:t>
      </w:r>
      <w:r w:rsidRPr="005675B2">
        <w:rPr>
          <w:rtl/>
          <w:lang w:bidi="ar-KW"/>
        </w:rPr>
        <w:t xml:space="preserve"> </w:t>
      </w:r>
      <w:r w:rsidR="000636C2">
        <w:rPr>
          <w:rtl/>
          <w:lang w:bidi="ar-KW"/>
        </w:rPr>
        <w:t>(</w:t>
      </w:r>
      <w:r w:rsidRPr="005675B2">
        <w:rPr>
          <w:rtl/>
          <w:lang w:bidi="ar-KW"/>
        </w:rPr>
        <w:t>فهذه الطرق كلها ضعيفة، وعلى تقدير ثبوتها لا يقبل قوله " إنها لا تقبل التأويل " فإن مُحصِّلها ذكرُ الصعود بعد النزول، فكما قَبِلَ النزولُ التأويلَ لا يُمنع قبولُ الصعودِ التأويلَ، والتسليم أسلم</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فانظر إلى قوله رحمه الله </w:t>
      </w:r>
      <w:r w:rsidR="000636C2">
        <w:rPr>
          <w:rtl/>
          <w:lang w:bidi="ar-KW"/>
        </w:rPr>
        <w:t>(</w:t>
      </w:r>
      <w:r w:rsidRPr="005675B2">
        <w:rPr>
          <w:rtl/>
          <w:lang w:bidi="ar-KW"/>
        </w:rPr>
        <w:t>والتسليم أسلم</w:t>
      </w:r>
      <w:r w:rsidR="000636C2">
        <w:rPr>
          <w:rtl/>
          <w:lang w:bidi="ar-KW"/>
        </w:rPr>
        <w:t>)</w:t>
      </w:r>
      <w:r w:rsidRPr="005675B2">
        <w:rPr>
          <w:rtl/>
          <w:lang w:bidi="ar-KW"/>
        </w:rPr>
        <w:t xml:space="preserve"> يتبين لك كونهم - رحمهم الله تعالى - ما طرقوا سبيل التأويل إلا مضطرين ملجئين، ولولا ذلك لوقفوا حيث وقف السلف رضوان الله على الجميع</w:t>
      </w:r>
      <w:r w:rsidR="000636C2">
        <w:rPr>
          <w:rtl/>
          <w:lang w:bidi="ar-KW"/>
        </w:rPr>
        <w:t>،</w:t>
      </w:r>
      <w:r w:rsidRPr="005675B2">
        <w:rPr>
          <w:rtl/>
          <w:lang w:bidi="ar-KW"/>
        </w:rPr>
        <w:t xml:space="preserve"> وقال الإمام الكرماني - رحمه الله تعالى - في حديث من أحاديث الصفات </w:t>
      </w:r>
      <w:r w:rsidR="000636C2">
        <w:rPr>
          <w:rtl/>
          <w:lang w:bidi="ar-KW"/>
        </w:rPr>
        <w:t>(</w:t>
      </w:r>
      <w:r w:rsidRPr="005675B2">
        <w:rPr>
          <w:rtl/>
          <w:lang w:bidi="ar-KW"/>
        </w:rPr>
        <w:t>الفتح 13 / 13</w:t>
      </w:r>
      <w:r w:rsidR="000636C2">
        <w:rPr>
          <w:rtl/>
          <w:lang w:bidi="ar-KW"/>
        </w:rPr>
        <w:t>):</w:t>
      </w:r>
      <w:r w:rsidRPr="005675B2">
        <w:rPr>
          <w:rFonts w:hint="cs"/>
          <w:rtl/>
          <w:lang w:bidi="ar-KW"/>
        </w:rPr>
        <w:t xml:space="preserve"> </w:t>
      </w:r>
      <w:r w:rsidR="000636C2">
        <w:rPr>
          <w:rtl/>
          <w:lang w:bidi="ar-KW"/>
        </w:rPr>
        <w:t>(</w:t>
      </w:r>
      <w:r w:rsidRPr="005675B2">
        <w:rPr>
          <w:rtl/>
          <w:lang w:bidi="ar-KW"/>
        </w:rPr>
        <w:t>حكم هذا حكم سائر المتشابهات، إما التفويض وإما التأويل</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عن حديث آخر </w:t>
      </w:r>
      <w:r w:rsidR="000636C2">
        <w:rPr>
          <w:rtl/>
          <w:lang w:bidi="ar-KW"/>
        </w:rPr>
        <w:t>(</w:t>
      </w:r>
      <w:r w:rsidRPr="005675B2">
        <w:rPr>
          <w:rtl/>
          <w:lang w:bidi="ar-KW"/>
        </w:rPr>
        <w:t>13 / 441</w:t>
      </w:r>
      <w:r w:rsidR="000636C2">
        <w:rPr>
          <w:rtl/>
          <w:lang w:bidi="ar-KW"/>
        </w:rPr>
        <w:t>):</w:t>
      </w:r>
      <w:r w:rsidRPr="005675B2">
        <w:rPr>
          <w:rFonts w:hint="cs"/>
          <w:rtl/>
          <w:lang w:bidi="ar-KW"/>
        </w:rPr>
        <w:t xml:space="preserve"> </w:t>
      </w:r>
      <w:r w:rsidR="000636C2">
        <w:rPr>
          <w:rtl/>
          <w:lang w:bidi="ar-KW"/>
        </w:rPr>
        <w:t>(</w:t>
      </w:r>
      <w:r w:rsidRPr="005675B2">
        <w:rPr>
          <w:rtl/>
          <w:lang w:bidi="ar-KW"/>
        </w:rPr>
        <w:t>هذا الحديث من المتشابهات فإما مفوض وإما مؤول</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وقـال الإمـام بدر الديـن بـن جمـاعة عنـد قولـه تعـالى </w:t>
      </w:r>
      <w:r w:rsidR="000636C2">
        <w:rPr>
          <w:rtl/>
          <w:lang w:bidi="ar-KW"/>
        </w:rPr>
        <w:t>(</w:t>
      </w:r>
      <w:r w:rsidRPr="005675B2">
        <w:rPr>
          <w:bCs/>
          <w:rtl/>
          <w:lang w:bidi="ar-KW"/>
        </w:rPr>
        <w:t>ثم استوى على العــرش</w:t>
      </w:r>
      <w:r w:rsidR="000636C2">
        <w:rPr>
          <w:bCs/>
          <w:rtl/>
          <w:lang w:bidi="ar-KW"/>
        </w:rPr>
        <w:t>)</w:t>
      </w:r>
      <w:r w:rsidRPr="005675B2">
        <w:rPr>
          <w:rtl/>
          <w:lang w:bidi="ar-KW"/>
        </w:rPr>
        <w:t xml:space="preserve"> </w:t>
      </w:r>
      <w:r w:rsidR="000636C2">
        <w:rPr>
          <w:rtl/>
          <w:lang w:bidi="ar-KW"/>
        </w:rPr>
        <w:t>(</w:t>
      </w:r>
      <w:r w:rsidRPr="005675B2">
        <w:rPr>
          <w:rtl/>
          <w:lang w:bidi="ar-KW"/>
        </w:rPr>
        <w:t>إيضاح الدليل في قطع حجج أهل التعطيل لابن جماعة، طبع دار السلام القاهرة ص/103</w:t>
      </w:r>
      <w:r w:rsidR="000636C2">
        <w:rPr>
          <w:rtl/>
          <w:lang w:bidi="ar-KW"/>
        </w:rPr>
        <w:t>):</w:t>
      </w:r>
      <w:r w:rsidRPr="005675B2">
        <w:rPr>
          <w:rFonts w:hint="cs"/>
          <w:rtl/>
          <w:lang w:bidi="ar-KW"/>
        </w:rPr>
        <w:t xml:space="preserve"> </w:t>
      </w:r>
      <w:r w:rsidR="000636C2">
        <w:rPr>
          <w:rtl/>
          <w:lang w:bidi="ar-KW"/>
        </w:rPr>
        <w:t>(</w:t>
      </w:r>
      <w:r w:rsidRPr="005675B2">
        <w:rPr>
          <w:rtl/>
          <w:lang w:bidi="ar-KW"/>
        </w:rPr>
        <w:t>.. واتفق السلف وأهل التأويل على أن ما لا يليق من ذلك بجلال الرب تعالى غير مراد، كالقعود والاعتدال .. فسكت السلف عنه - يعني تعيين المراد - وأوله المتأولون</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p>
    <w:p w14:paraId="4897090A" w14:textId="7EFEC5C8" w:rsidR="009C32A0" w:rsidRPr="005675B2" w:rsidRDefault="009C32A0" w:rsidP="000636C2">
      <w:pPr>
        <w:widowControl w:val="0"/>
        <w:spacing w:before="80" w:after="240"/>
        <w:rPr>
          <w:rtl/>
          <w:lang w:bidi="ar-KW"/>
        </w:rPr>
      </w:pPr>
      <w:r w:rsidRPr="005675B2">
        <w:rPr>
          <w:rtl/>
          <w:lang w:bidi="ar-KW"/>
        </w:rPr>
        <w:t xml:space="preserve">وقـال الإمـام أبو عبد الله الأبي في شرحه على صحيح مسلم عند كلامه على حديث النزول </w:t>
      </w:r>
      <w:r w:rsidR="000636C2">
        <w:rPr>
          <w:rtl/>
          <w:lang w:bidi="ar-KW"/>
        </w:rPr>
        <w:t>(</w:t>
      </w:r>
      <w:r w:rsidRPr="005675B2">
        <w:rPr>
          <w:rtl/>
          <w:lang w:bidi="ar-KW"/>
        </w:rPr>
        <w:t>2 / 385</w:t>
      </w:r>
      <w:r w:rsidR="000636C2">
        <w:rPr>
          <w:rtl/>
          <w:lang w:bidi="ar-KW"/>
        </w:rPr>
        <w:t>):</w:t>
      </w:r>
    </w:p>
    <w:p w14:paraId="6542A942" w14:textId="3DEF3FF7" w:rsidR="009C32A0" w:rsidRPr="005675B2" w:rsidRDefault="000636C2" w:rsidP="000636C2">
      <w:pPr>
        <w:widowControl w:val="0"/>
        <w:spacing w:before="80" w:after="240"/>
        <w:rPr>
          <w:rtl/>
          <w:lang w:bidi="ar-KW"/>
        </w:rPr>
      </w:pPr>
      <w:r>
        <w:rPr>
          <w:rtl/>
          <w:lang w:bidi="ar-KW"/>
        </w:rPr>
        <w:t>(</w:t>
      </w:r>
      <w:r w:rsidR="009C32A0" w:rsidRPr="005675B2">
        <w:rPr>
          <w:rtl/>
          <w:lang w:bidi="ar-KW"/>
        </w:rPr>
        <w:t>.. ومذهب أهل الحق في جميع ذلك أن يصرف اللفظ عن ظاهره المحال، ثم بعد الصرف هل الأولى التأويل أو عدمه، بأن يؤمن باللفظ على ما يليق، ويكل علم حقيقة ذلك إلى الله سبحانه وتعالى .. ثم الأظهر من قول أهل الحق التأويل</w:t>
      </w:r>
      <w:r>
        <w:rPr>
          <w:rtl/>
          <w:lang w:bidi="ar-KW"/>
        </w:rPr>
        <w:t>)</w:t>
      </w:r>
      <w:r w:rsidR="009C32A0" w:rsidRPr="005675B2">
        <w:rPr>
          <w:rtl/>
          <w:lang w:bidi="ar-KW"/>
        </w:rPr>
        <w:t xml:space="preserve"> اهـ</w:t>
      </w:r>
      <w:r>
        <w:rPr>
          <w:rtl/>
          <w:lang w:bidi="ar-KW"/>
        </w:rPr>
        <w:t xml:space="preserve">، </w:t>
      </w:r>
      <w:r w:rsidR="009C32A0" w:rsidRPr="005675B2">
        <w:rPr>
          <w:rtl/>
          <w:lang w:bidi="ar-KW"/>
        </w:rPr>
        <w:t xml:space="preserve">وقال الإمام العلامة ملا علي القاري - رحمه الله تعالى - بعد أن نقل قول الإمام النووي المارّ معنا قريباً </w:t>
      </w:r>
      <w:r>
        <w:rPr>
          <w:rtl/>
          <w:lang w:bidi="ar-KW"/>
        </w:rPr>
        <w:t>(</w:t>
      </w:r>
      <w:r w:rsidR="009C32A0" w:rsidRPr="005675B2">
        <w:rPr>
          <w:rtl/>
          <w:lang w:bidi="ar-KW"/>
        </w:rPr>
        <w:t>مرقاة المفاتيح 2 / 136</w:t>
      </w:r>
      <w:r>
        <w:rPr>
          <w:rtl/>
          <w:lang w:bidi="ar-KW"/>
        </w:rPr>
        <w:t>):</w:t>
      </w:r>
      <w:r w:rsidR="009C32A0" w:rsidRPr="005675B2">
        <w:rPr>
          <w:rFonts w:hint="cs"/>
          <w:rtl/>
          <w:lang w:bidi="ar-KW"/>
        </w:rPr>
        <w:t xml:space="preserve"> </w:t>
      </w:r>
      <w:r>
        <w:rPr>
          <w:rtl/>
          <w:lang w:bidi="ar-KW"/>
        </w:rPr>
        <w:t>(</w:t>
      </w:r>
      <w:r w:rsidR="009C32A0" w:rsidRPr="005675B2">
        <w:rPr>
          <w:rtl/>
          <w:lang w:bidi="ar-KW"/>
        </w:rPr>
        <w:t>وبكلامه وبكلام الشيخ الرباني أبي إسحاق الشيرازي وإمام الحرمين والغزالي وغيرهم من أئمتنا وغيرهم يعلم أن المذهبين متفقان على صرف تلك الظواهر كالمجيء والصورة والشخص والرجل والقدم واليد والوجه والغضب والرحمة والاستواء على العرش والكون في السماء وغير ذلك عما يفهمه ظاهرها، لما يلزم عليه من محالات قطعية البطلان تستلزم أشياء يحكم بكفرها بالإجماع، فاضطر ذلك جميع الخلف والسلف إلى صرف اللفظ عن ظاهره</w:t>
      </w:r>
      <w:r>
        <w:rPr>
          <w:rtl/>
          <w:lang w:bidi="ar-KW"/>
        </w:rPr>
        <w:t>،</w:t>
      </w:r>
      <w:r w:rsidR="009C32A0" w:rsidRPr="005675B2">
        <w:rPr>
          <w:rtl/>
          <w:lang w:bidi="ar-KW"/>
        </w:rPr>
        <w:t xml:space="preserve"> وإنما اختلفوا هل نصرفه عن ظاهره معتقدين اتصافه سبحانه بما يليق بجلاله وعظمته من غير أن نؤوله بشيء آخر، وهو مذهب أكثر أهل السلف وفيه تأويل إجمالي، أو مع تأويله بشيء آخر وهو مذهب أكثر أهل الخلف، وهو تأويل تفصيلي، ولم يريدوا بذلك مخـالفة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Pr>
          <w:rtl/>
          <w:lang w:bidi="ar-KW"/>
        </w:rPr>
        <w:t>:</w:t>
      </w:r>
      <w:r w:rsidR="009C32A0" w:rsidRPr="005675B2">
        <w:rPr>
          <w:rtl/>
          <w:lang w:bidi="ar-KW"/>
        </w:rPr>
        <w:t xml:space="preserve"> لو كنا على ما كان عليه السلف الصالح من صفاء العقائد وعدم المبطلين في زمنهم لم نخض في تأويل شيء من ذلك</w:t>
      </w:r>
      <w:r>
        <w:rPr>
          <w:rtl/>
          <w:lang w:bidi="ar-KW"/>
        </w:rPr>
        <w:t>)</w:t>
      </w:r>
      <w:r w:rsidR="009C32A0" w:rsidRPr="005675B2">
        <w:rPr>
          <w:rtl/>
          <w:lang w:bidi="ar-KW"/>
        </w:rPr>
        <w:t xml:space="preserve"> اهـ</w:t>
      </w:r>
      <w:r>
        <w:rPr>
          <w:rtl/>
          <w:lang w:bidi="ar-KW"/>
        </w:rPr>
        <w:t>،</w:t>
      </w:r>
      <w:r w:rsidR="009C32A0" w:rsidRPr="005675B2">
        <w:rPr>
          <w:rtl/>
          <w:lang w:bidi="ar-KW"/>
        </w:rPr>
        <w:t xml:space="preserve"> وقال الإمام الزركشي – رحمه الله تعالى – </w:t>
      </w:r>
      <w:r>
        <w:rPr>
          <w:rtl/>
          <w:lang w:bidi="ar-KW"/>
        </w:rPr>
        <w:t>(</w:t>
      </w:r>
      <w:r w:rsidR="009C32A0" w:rsidRPr="005675B2">
        <w:rPr>
          <w:rtl/>
          <w:lang w:bidi="ar-KW"/>
        </w:rPr>
        <w:t>البرهان في علوم القرآن 2/ 207</w:t>
      </w:r>
      <w:r>
        <w:rPr>
          <w:rtl/>
          <w:lang w:bidi="ar-KW"/>
        </w:rPr>
        <w:t>):</w:t>
      </w:r>
      <w:r w:rsidR="009C32A0" w:rsidRPr="005675B2">
        <w:rPr>
          <w:rFonts w:hint="cs"/>
          <w:rtl/>
          <w:lang w:bidi="ar-KW"/>
        </w:rPr>
        <w:t xml:space="preserve"> </w:t>
      </w:r>
      <w:r>
        <w:rPr>
          <w:rtl/>
          <w:lang w:bidi="ar-KW"/>
        </w:rPr>
        <w:t>(</w:t>
      </w:r>
      <w:r w:rsidR="009C32A0" w:rsidRPr="005675B2">
        <w:rPr>
          <w:rtl/>
          <w:lang w:bidi="ar-KW"/>
        </w:rPr>
        <w:t>اختلف الناس في الوارد منها - يريد المتشابهات - في الآيات والأحاديث على ثلاث فرق</w:t>
      </w:r>
      <w:r>
        <w:rPr>
          <w:rtl/>
          <w:lang w:bidi="ar-KW"/>
        </w:rPr>
        <w:t>:</w:t>
      </w:r>
      <w:r w:rsidR="009C32A0" w:rsidRPr="005675B2">
        <w:rPr>
          <w:rFonts w:hint="cs"/>
          <w:rtl/>
          <w:lang w:bidi="ar-KW"/>
        </w:rPr>
        <w:t xml:space="preserve"> </w:t>
      </w:r>
      <w:r w:rsidR="009C32A0" w:rsidRPr="005675B2">
        <w:rPr>
          <w:bCs/>
          <w:rtl/>
          <w:lang w:bidi="ar-KW"/>
        </w:rPr>
        <w:t>أحدها</w:t>
      </w:r>
      <w:r>
        <w:rPr>
          <w:bCs/>
          <w:rtl/>
          <w:lang w:bidi="ar-KW"/>
        </w:rPr>
        <w:t>:</w:t>
      </w:r>
      <w:r w:rsidR="009C32A0" w:rsidRPr="005675B2">
        <w:rPr>
          <w:rtl/>
          <w:lang w:bidi="ar-KW"/>
        </w:rPr>
        <w:t xml:space="preserve"> لا مدخل للتأويـل فيها، بل تجرى على ظاهرها، ولا نؤول شيئاً منها، وهم المشبهة</w:t>
      </w:r>
      <w:r>
        <w:rPr>
          <w:rtl/>
          <w:lang w:bidi="ar-KW"/>
        </w:rPr>
        <w:t>،</w:t>
      </w:r>
      <w:r w:rsidR="009C32A0" w:rsidRPr="005675B2">
        <w:rPr>
          <w:rtl/>
          <w:lang w:bidi="ar-KW"/>
        </w:rPr>
        <w:t xml:space="preserve"> </w:t>
      </w:r>
      <w:r w:rsidR="009C32A0" w:rsidRPr="005675B2">
        <w:rPr>
          <w:bCs/>
          <w:rtl/>
          <w:lang w:bidi="ar-KW"/>
        </w:rPr>
        <w:t>والثاني</w:t>
      </w:r>
      <w:r>
        <w:rPr>
          <w:bCs/>
          <w:rtl/>
          <w:lang w:bidi="ar-KW"/>
        </w:rPr>
        <w:t>:</w:t>
      </w:r>
      <w:r w:rsidR="009C32A0" w:rsidRPr="005675B2">
        <w:rPr>
          <w:rtl/>
          <w:lang w:bidi="ar-KW"/>
        </w:rPr>
        <w:t xml:space="preserve"> أن لها تأويلاً ولكنا نمسك عنه مع تنزيه اعتقادنا عن الشبه والتعطيل ونقول لا يعلمه إلا الله، وهو قول السلف</w:t>
      </w:r>
      <w:r>
        <w:rPr>
          <w:rtl/>
          <w:lang w:bidi="ar-KW"/>
        </w:rPr>
        <w:t xml:space="preserve">، </w:t>
      </w:r>
      <w:r w:rsidR="009C32A0" w:rsidRPr="005675B2">
        <w:rPr>
          <w:bCs/>
          <w:rtl/>
          <w:lang w:bidi="ar-KW"/>
        </w:rPr>
        <w:t>والثالث</w:t>
      </w:r>
      <w:r>
        <w:rPr>
          <w:bCs/>
          <w:rtl/>
          <w:lang w:bidi="ar-KW"/>
        </w:rPr>
        <w:t>:</w:t>
      </w:r>
      <w:r w:rsidR="009C32A0" w:rsidRPr="005675B2">
        <w:rPr>
          <w:rtl/>
          <w:lang w:bidi="ar-KW"/>
        </w:rPr>
        <w:t xml:space="preserve"> أنها مؤولة، وأولوها على ما يليق به</w:t>
      </w:r>
      <w:r>
        <w:rPr>
          <w:rtl/>
          <w:lang w:bidi="ar-KW"/>
        </w:rPr>
        <w:t>،</w:t>
      </w:r>
      <w:r w:rsidR="009C32A0" w:rsidRPr="005675B2">
        <w:rPr>
          <w:rtl/>
          <w:lang w:bidi="ar-KW"/>
        </w:rPr>
        <w:t xml:space="preserve"> </w:t>
      </w:r>
      <w:r w:rsidR="009C32A0" w:rsidRPr="005675B2">
        <w:rPr>
          <w:bCs/>
          <w:rtl/>
          <w:lang w:bidi="ar-KW"/>
        </w:rPr>
        <w:t>والأول باطل، والأخيران منقولان عن الصحابة .. وممن نقل عنه التأويل علي وابن مسعود وابن عباس وغيرهم</w:t>
      </w:r>
      <w:r>
        <w:rPr>
          <w:bCs/>
          <w:rtl/>
          <w:lang w:bidi="ar-KW"/>
        </w:rPr>
        <w:t>)</w:t>
      </w:r>
      <w:r w:rsidR="009C32A0" w:rsidRPr="005675B2">
        <w:rPr>
          <w:bCs/>
          <w:rtl/>
          <w:lang w:bidi="ar-KW"/>
        </w:rPr>
        <w:t xml:space="preserve"> اهـ</w:t>
      </w:r>
      <w:r>
        <w:rPr>
          <w:bCs/>
          <w:rtl/>
          <w:lang w:bidi="ar-KW"/>
        </w:rPr>
        <w:t>،</w:t>
      </w:r>
      <w:r w:rsidR="009C32A0" w:rsidRPr="005675B2">
        <w:rPr>
          <w:bCs/>
          <w:rtl/>
          <w:lang w:bidi="ar-KW"/>
        </w:rPr>
        <w:t xml:space="preserve"> </w:t>
      </w:r>
      <w:r w:rsidR="009C32A0" w:rsidRPr="005675B2">
        <w:rPr>
          <w:rtl/>
          <w:lang w:bidi="ar-KW"/>
        </w:rPr>
        <w:t xml:space="preserve">وقال العلامة محمد زكريا الكاندهلوي رحمه الله تعالى عند شرحه لحديث النزول من الموطأ </w:t>
      </w:r>
      <w:r>
        <w:rPr>
          <w:rtl/>
          <w:lang w:bidi="ar-KW"/>
        </w:rPr>
        <w:t>(</w:t>
      </w:r>
      <w:r w:rsidR="009C32A0" w:rsidRPr="005675B2">
        <w:rPr>
          <w:rtl/>
          <w:lang w:bidi="ar-KW"/>
        </w:rPr>
        <w:t>أوجز المسالك 4/334</w:t>
      </w:r>
      <w:r>
        <w:rPr>
          <w:rtl/>
          <w:lang w:bidi="ar-KW"/>
        </w:rPr>
        <w:t>):</w:t>
      </w:r>
      <w:r w:rsidR="009C32A0" w:rsidRPr="005675B2">
        <w:rPr>
          <w:rtl/>
          <w:lang w:bidi="ar-KW"/>
        </w:rPr>
        <w:t xml:space="preserve"> </w:t>
      </w:r>
      <w:r>
        <w:rPr>
          <w:rtl/>
          <w:lang w:bidi="ar-KW"/>
        </w:rPr>
        <w:t>(</w:t>
      </w:r>
      <w:r w:rsidR="009C32A0" w:rsidRPr="005675B2">
        <w:rPr>
          <w:rtl/>
          <w:lang w:bidi="ar-KW"/>
        </w:rPr>
        <w:t>فالعلماء في ذلك على قسمين</w:t>
      </w:r>
      <w:r>
        <w:rPr>
          <w:rtl/>
          <w:lang w:bidi="ar-KW"/>
        </w:rPr>
        <w:t>:</w:t>
      </w:r>
      <w:r w:rsidR="009C32A0" w:rsidRPr="005675B2">
        <w:rPr>
          <w:rtl/>
          <w:lang w:bidi="ar-KW"/>
        </w:rPr>
        <w:t xml:space="preserve"> الأول المفوّضة .. والقسم الثاني</w:t>
      </w:r>
      <w:r>
        <w:rPr>
          <w:rtl/>
          <w:lang w:bidi="ar-KW"/>
        </w:rPr>
        <w:t>:</w:t>
      </w:r>
      <w:r w:rsidR="009C32A0" w:rsidRPr="005675B2">
        <w:rPr>
          <w:rtl/>
          <w:lang w:bidi="ar-KW"/>
        </w:rPr>
        <w:t xml:space="preserve"> المؤوّلة</w:t>
      </w:r>
      <w:r>
        <w:rPr>
          <w:rtl/>
          <w:lang w:bidi="ar-KW"/>
        </w:rPr>
        <w:t>)</w:t>
      </w:r>
      <w:r w:rsidR="009C32A0" w:rsidRPr="005675B2">
        <w:rPr>
          <w:rtl/>
          <w:lang w:bidi="ar-KW"/>
        </w:rPr>
        <w:t xml:space="preserve"> اهـ</w:t>
      </w:r>
      <w:r>
        <w:rPr>
          <w:rtl/>
          <w:lang w:bidi="ar-KW"/>
        </w:rPr>
        <w:t>،</w:t>
      </w:r>
      <w:r w:rsidR="009C32A0" w:rsidRPr="005675B2">
        <w:rPr>
          <w:rtl/>
          <w:lang w:bidi="ar-KW"/>
        </w:rPr>
        <w:t xml:space="preserve"> بهذا يكون الصبح قد استبان لذي عينين، وثبت أن التفويض والتأويل هما المذهبان الصحيحان في المتشابه من نصوص الصفات</w:t>
      </w:r>
      <w:r>
        <w:rPr>
          <w:rtl/>
          <w:lang w:bidi="ar-KW"/>
        </w:rPr>
        <w:t>،</w:t>
      </w:r>
      <w:r w:rsidR="009C32A0" w:rsidRPr="005675B2">
        <w:rPr>
          <w:rtl/>
          <w:lang w:bidi="ar-KW"/>
        </w:rPr>
        <w:t xml:space="preserve"> بقي أن نبين سبب ورود مثل هذه الألفاظ في الكتاب والسنة مع كونها مثاراختلاف ومزلة قدم، فنقول</w:t>
      </w:r>
      <w:r>
        <w:rPr>
          <w:rtl/>
          <w:lang w:bidi="ar-KW"/>
        </w:rPr>
        <w:t>:</w:t>
      </w:r>
      <w:r w:rsidR="009C32A0" w:rsidRPr="005675B2">
        <w:rPr>
          <w:rtl/>
          <w:lang w:bidi="ar-KW"/>
        </w:rPr>
        <w:t xml:space="preserve"> لا يبعد أن يكون ورود مثل هذه الألفاظ اختباراً وابتلاءً للناس، ليتبين من يلتزم الحد ويقف حيث أُمِر، ومن يتبع المتشابه ابتغاء الفتنة وتضليل الخلق، قال تعالى </w:t>
      </w:r>
      <w:r>
        <w:rPr>
          <w:bCs/>
          <w:rtl/>
          <w:lang w:bidi="ar-KW"/>
        </w:rPr>
        <w:t>(</w:t>
      </w:r>
      <w:r w:rsidR="009C32A0" w:rsidRPr="005675B2">
        <w:rPr>
          <w:bCs/>
          <w:rtl/>
          <w:lang w:bidi="ar-KW"/>
        </w:rPr>
        <w:t>هو الذي أنزل عليك الكتاب منه آيات محكمات هنّ أم الكتاب وأخر متشابهات</w:t>
      </w:r>
      <w:r>
        <w:rPr>
          <w:bCs/>
          <w:rtl/>
          <w:lang w:bidi="ar-KW"/>
        </w:rPr>
        <w:t>،</w:t>
      </w:r>
      <w:r w:rsidR="009C32A0" w:rsidRPr="005675B2">
        <w:rPr>
          <w:bCs/>
          <w:rtl/>
          <w:lang w:bidi="ar-KW"/>
        </w:rPr>
        <w:t xml:space="preserve"> فأما الذين في قلوبهم زيغ فيتِّبعون ما تشابه منه ابتغاء الفتنة وابتغاء تأويله</w:t>
      </w:r>
      <w:r>
        <w:rPr>
          <w:bCs/>
          <w:rtl/>
          <w:lang w:bidi="ar-KW"/>
        </w:rPr>
        <w:t>،</w:t>
      </w:r>
      <w:r w:rsidR="009C32A0" w:rsidRPr="005675B2">
        <w:rPr>
          <w:bCs/>
          <w:rtl/>
          <w:lang w:bidi="ar-KW"/>
        </w:rPr>
        <w:t xml:space="preserve"> وما يعلم تأويله إلا الله</w:t>
      </w:r>
      <w:r>
        <w:rPr>
          <w:bCs/>
          <w:rtl/>
          <w:lang w:bidi="ar-KW"/>
        </w:rPr>
        <w:t>،</w:t>
      </w:r>
      <w:r w:rsidR="009C32A0" w:rsidRPr="005675B2">
        <w:rPr>
          <w:bCs/>
          <w:rtl/>
          <w:lang w:bidi="ar-KW"/>
        </w:rPr>
        <w:t xml:space="preserve"> والراسخون في العلم يقولون كلٌّ من عند ربنا</w:t>
      </w:r>
      <w:r>
        <w:rPr>
          <w:bCs/>
          <w:rtl/>
          <w:lang w:bidi="ar-KW"/>
        </w:rPr>
        <w:t>،</w:t>
      </w:r>
      <w:r w:rsidR="009C32A0" w:rsidRPr="005675B2">
        <w:rPr>
          <w:bCs/>
          <w:rtl/>
          <w:lang w:bidi="ar-KW"/>
        </w:rPr>
        <w:t xml:space="preserve"> وما يتذكر إلا أولوا الألباب</w:t>
      </w:r>
      <w:r>
        <w:rPr>
          <w:bCs/>
          <w:rtl/>
          <w:lang w:bidi="ar-KW"/>
        </w:rPr>
        <w:t>)</w:t>
      </w:r>
      <w:r>
        <w:rPr>
          <w:rFonts w:hint="cs"/>
          <w:bCs/>
          <w:rtl/>
          <w:lang w:bidi="ar-KW"/>
        </w:rPr>
        <w:t>،</w:t>
      </w:r>
      <w:r w:rsidR="009C32A0" w:rsidRPr="005675B2">
        <w:rPr>
          <w:rFonts w:hint="cs"/>
          <w:bCs/>
          <w:rtl/>
          <w:lang w:bidi="ar-KW"/>
        </w:rPr>
        <w:t xml:space="preserve"> </w:t>
      </w:r>
      <w:r w:rsidR="009C32A0" w:rsidRPr="005675B2">
        <w:rPr>
          <w:bCs/>
          <w:rtl/>
          <w:lang w:bidi="ar-KW"/>
        </w:rPr>
        <w:t>قال الإمام الغزالي رحمه الله تعالى</w:t>
      </w:r>
      <w:r w:rsidR="009C32A0" w:rsidRPr="005675B2">
        <w:rPr>
          <w:rtl/>
          <w:lang w:bidi="ar-KW"/>
        </w:rPr>
        <w:t xml:space="preserve"> </w:t>
      </w:r>
      <w:r>
        <w:rPr>
          <w:rtl/>
          <w:lang w:bidi="ar-KW"/>
        </w:rPr>
        <w:t>(</w:t>
      </w:r>
      <w:r w:rsidR="009C32A0" w:rsidRPr="005675B2">
        <w:rPr>
          <w:rtl/>
          <w:lang w:bidi="ar-KW"/>
        </w:rPr>
        <w:t>إلجام العوام ص/49</w:t>
      </w:r>
      <w:r>
        <w:rPr>
          <w:rtl/>
          <w:lang w:bidi="ar-KW"/>
        </w:rPr>
        <w:t>):</w:t>
      </w:r>
      <w:r>
        <w:rPr>
          <w:rFonts w:hint="cs"/>
          <w:rtl/>
          <w:lang w:bidi="ar-KW"/>
        </w:rPr>
        <w:t xml:space="preserve"> </w:t>
      </w:r>
      <w:r>
        <w:rPr>
          <w:rtl/>
          <w:lang w:bidi="ar-KW"/>
        </w:rPr>
        <w:t>(</w:t>
      </w:r>
      <w:r w:rsidR="009C32A0" w:rsidRPr="005675B2">
        <w:rPr>
          <w:bCs/>
          <w:rtl/>
          <w:lang w:bidi="ar-KW"/>
        </w:rPr>
        <w:t>إن قال قائل</w:t>
      </w:r>
      <w:r w:rsidR="009C32A0" w:rsidRPr="005675B2">
        <w:rPr>
          <w:rtl/>
          <w:lang w:bidi="ar-KW"/>
        </w:rPr>
        <w:t xml:space="preserve"> ما الذي دعا رسول الله</w:t>
      </w:r>
      <w:r>
        <w:rPr>
          <w:rtl/>
          <w:lang w:bidi="ar-KW"/>
        </w:rPr>
        <w:t>،</w:t>
      </w:r>
      <w:r w:rsidR="009C32A0" w:rsidRPr="005675B2">
        <w:rPr>
          <w:rtl/>
          <w:lang w:bidi="ar-KW"/>
        </w:rPr>
        <w:t xml:space="preserve"> إلى إطلاق هذه الألفاظ الموهمة مع الاستغناء عنها، أكان لا يدري أنه يوهم التشبيه ويغلّط الخلق ويسوقهم إلى اعتقاد الباطل في ذات الله تعالى وصفاته، وحاشا منصب النبوة أن يخفى عليه ذلك، أو عرف ولكن لم يبالِ بجهل الجهال وضلالة الضلاّل، وهذا أبعد وأشنع لأنه بُـعِـَث شـارحاً لا مـبهماً ملـبّساً ملغزاً، وهذا إشكال له وقع في القلوب حتى جرّ بعض الخلق إلى سوء الاعتقاد فيه، فقالوا</w:t>
      </w:r>
      <w:r>
        <w:rPr>
          <w:rtl/>
          <w:lang w:bidi="ar-KW"/>
        </w:rPr>
        <w:t>:</w:t>
      </w:r>
      <w:r w:rsidR="009C32A0" w:rsidRPr="005675B2">
        <w:rPr>
          <w:rtl/>
          <w:lang w:bidi="ar-KW"/>
        </w:rPr>
        <w:t xml:space="preserve"> لو كان نبِيّاً لعرف الله ولو عرفه لما وصفه بما يستحيل عليه في ذاته وصفاته، ومالت طائفة أخرى إلى اعتقاد الظواهر، وقالوا لو لم يكن حقاً - أي هذه الظواهر المُحالة - لما ذكره كذلك مطلقاً، ولعدل عنها إلى غيرها أو قرنها بما يزيل الإيهام عنها في سبيل حلّ هذا الإشكال العظيم</w:t>
      </w:r>
      <w:r>
        <w:rPr>
          <w:rtl/>
          <w:lang w:bidi="ar-KW"/>
        </w:rPr>
        <w:t>،</w:t>
      </w:r>
      <w:r w:rsidR="009C32A0" w:rsidRPr="005675B2">
        <w:rPr>
          <w:rtl/>
          <w:lang w:bidi="ar-KW"/>
        </w:rPr>
        <w:t xml:space="preserve"> </w:t>
      </w:r>
      <w:r w:rsidR="009C32A0" w:rsidRPr="005675B2">
        <w:rPr>
          <w:bCs/>
          <w:rtl/>
          <w:lang w:bidi="ar-KW"/>
        </w:rPr>
        <w:t>ف</w:t>
      </w:r>
      <w:r>
        <w:rPr>
          <w:bCs/>
          <w:rtl/>
          <w:lang w:bidi="ar-KW"/>
        </w:rPr>
        <w:t>[</w:t>
      </w:r>
      <w:r w:rsidR="009C32A0">
        <w:rPr>
          <w:bCs/>
          <w:rtl/>
          <w:lang w:bidi="ar-KW"/>
        </w:rPr>
        <w:t>الجواب</w:t>
      </w:r>
      <w:r>
        <w:rPr>
          <w:bCs/>
          <w:rtl/>
          <w:lang w:bidi="ar-KW"/>
        </w:rPr>
        <w:t>]:</w:t>
      </w:r>
      <w:r w:rsidR="009C32A0" w:rsidRPr="005675B2">
        <w:rPr>
          <w:rtl/>
          <w:lang w:bidi="ar-KW"/>
        </w:rPr>
        <w:t xml:space="preserve"> أن هذا الإشكال مُنْحَلٌّ عند أهل البصيرة، وبيانه أن هذه الكلمات ما جمعها رسول الله دفعةً واحدة وما ذكرها، وإنما جمعها المشبهة، وقد بيّنا أن لجمعها من التأثير في الإيهام والتلبيس على الأفهام ما ليس لآحادها المفرّقة، وإنما هي كلمات لهج بها في جميع عمره</w:t>
      </w:r>
      <w:r>
        <w:rPr>
          <w:rtl/>
          <w:lang w:bidi="ar-KW"/>
        </w:rPr>
        <w:t>،</w:t>
      </w:r>
      <w:r w:rsidR="009C32A0" w:rsidRPr="005675B2">
        <w:rPr>
          <w:rtl/>
          <w:lang w:bidi="ar-KW"/>
        </w:rPr>
        <w:t xml:space="preserve"> في أوقات متباعدة، وإذا اقتصر منها على ما في القرآن والأخبار المتواترة رجعت إلى كلمات يسيرة معدودة، وإن أضيفت إليها الأخبار الصحيحة فهي أيضاً قليلة، وإنما كثرت الروايات الشاذة الضعيفة التي لايجوز التعويل عليها، ثم ما تواتر منها إن صح نقلها عن العدول فهي آحاد كلمات وما ذكر كلمة منها إلا مع قرائن وإشارات يزول معها إيهام التشيبه، وقد أدركها الحاضرون المشاهدون، فإذا نُقلت الألفاظ مجردة عن تلك القرائن ظهر الإيهام، وأعظم القرائن في زوال الإيهام المعرفة السابقة بتقديس الله تعالى عن قبول هذه الظواهر، ومن سبقت معرفته بذلك كانت تلك المعرفة ذخيرة له راسخة في نفسه مقارنة لكل ما يسمع، فينمحق معه الإيهام انمحاقاً لا يشك فيه، ويعرف هذا بأمثلة</w:t>
      </w:r>
      <w:r>
        <w:rPr>
          <w:rtl/>
          <w:lang w:bidi="ar-KW"/>
        </w:rPr>
        <w:t>:</w:t>
      </w:r>
      <w:r w:rsidR="009C32A0" w:rsidRPr="005675B2">
        <w:rPr>
          <w:rFonts w:hint="cs"/>
          <w:rtl/>
          <w:lang w:bidi="ar-KW"/>
        </w:rPr>
        <w:t xml:space="preserve"> </w:t>
      </w:r>
      <w:r w:rsidR="009C32A0" w:rsidRPr="005675B2">
        <w:rPr>
          <w:rtl/>
          <w:lang w:bidi="ar-KW"/>
        </w:rPr>
        <w:t>الأول</w:t>
      </w:r>
      <w:r>
        <w:rPr>
          <w:rtl/>
          <w:lang w:bidi="ar-KW"/>
        </w:rPr>
        <w:t>:</w:t>
      </w:r>
      <w:r w:rsidR="009C32A0" w:rsidRPr="005675B2">
        <w:rPr>
          <w:rtl/>
          <w:lang w:bidi="ar-KW"/>
        </w:rPr>
        <w:t xml:space="preserve"> أنه</w:t>
      </w:r>
      <w:r>
        <w:rPr>
          <w:rtl/>
          <w:lang w:bidi="ar-KW"/>
        </w:rPr>
        <w:t xml:space="preserve"> </w:t>
      </w:r>
      <w:r w:rsidR="009C32A0" w:rsidRPr="005675B2">
        <w:rPr>
          <w:rtl/>
          <w:lang w:bidi="ar-KW"/>
        </w:rPr>
        <w:t>سمى الكعبة بيت الله تعالى، وإطلاق هذا يوهم عند الصبيان وعند من تقرب درجتهم منهم أن الكعبة وطنه ومثواه لكن العوام الذين اعتقدوا أنه في السماء وأن استقراره على العرش ينمحق في حقهم هذا الإيهام على وجه لايشكون فيه، فلو قيل لهم</w:t>
      </w:r>
      <w:r>
        <w:rPr>
          <w:rtl/>
          <w:lang w:bidi="ar-KW"/>
        </w:rPr>
        <w:t>:</w:t>
      </w:r>
      <w:r w:rsidR="009C32A0" w:rsidRPr="005675B2">
        <w:rPr>
          <w:rtl/>
          <w:lang w:bidi="ar-KW"/>
        </w:rPr>
        <w:t xml:space="preserve"> ما الذي دعا رسول الله</w:t>
      </w:r>
      <w:r>
        <w:rPr>
          <w:rtl/>
          <w:lang w:bidi="ar-KW"/>
        </w:rPr>
        <w:t xml:space="preserve"> </w:t>
      </w:r>
      <w:r w:rsidR="009C32A0" w:rsidRPr="005675B2">
        <w:rPr>
          <w:rtl/>
          <w:lang w:bidi="ar-KW"/>
        </w:rPr>
        <w:t>إلى إطلاق هذا اللفظ الموهم المخيل إلى السامع أن الكعبة مسكنه</w:t>
      </w:r>
      <w:r>
        <w:rPr>
          <w:rtl/>
          <w:lang w:bidi="ar-KW"/>
        </w:rPr>
        <w:t>؟</w:t>
      </w:r>
      <w:r w:rsidR="009C32A0" w:rsidRPr="005675B2">
        <w:rPr>
          <w:rtl/>
          <w:lang w:bidi="ar-KW"/>
        </w:rPr>
        <w:t xml:space="preserve"> لبادروا بأجمعهم وقالوا</w:t>
      </w:r>
      <w:r>
        <w:rPr>
          <w:rtl/>
          <w:lang w:bidi="ar-KW"/>
        </w:rPr>
        <w:t>:</w:t>
      </w:r>
      <w:r w:rsidR="009C32A0" w:rsidRPr="005675B2">
        <w:rPr>
          <w:rtl/>
          <w:lang w:bidi="ar-KW"/>
        </w:rPr>
        <w:t xml:space="preserve"> هذا إنما يوهم في حق الصبيان والحمقى أما من تكرر على سمعه أن الله مستقر على عرشه فلا يشك عند سماع هذا اللفظ أنه ليس المراد به أن البيت مسكنه ومأواه، بل يعلم على البديهة أن المراد بهذه الإضافة تشريف البيت أو معنىً سواه غير ما وُضع له لفظ البيت المضاف إلى ربه وساكنه</w:t>
      </w:r>
      <w:r>
        <w:rPr>
          <w:rtl/>
          <w:lang w:bidi="ar-KW"/>
        </w:rPr>
        <w:t>،</w:t>
      </w:r>
      <w:r w:rsidR="009C32A0" w:rsidRPr="005675B2">
        <w:rPr>
          <w:rtl/>
          <w:lang w:bidi="ar-KW"/>
        </w:rPr>
        <w:t xml:space="preserve"> أليس كان اعتقاده أنه على العرش قرينة أفادته علماً قطعياً بأنه ما أريد بكون الكعبة بيته أنه مأواه، وأن هذا إنما يوهم في حق من لا يسبق إلى هذه العقيدة، فكذلك رسول الله</w:t>
      </w:r>
      <w:r>
        <w:rPr>
          <w:rtl/>
          <w:lang w:bidi="ar-KW"/>
        </w:rPr>
        <w:t xml:space="preserve"> </w:t>
      </w:r>
      <w:r w:rsidR="009C32A0" w:rsidRPr="005675B2">
        <w:rPr>
          <w:rtl/>
          <w:lang w:bidi="ar-KW"/>
        </w:rPr>
        <w:t>خاطب بهذه الألفاظ جماعة سبقوا إلى علم التقديس ونفي التشبيه وأنه منزّه عن الجسمية وعوارضها، وكان ذلك قرينة قطعية مزيلة للإيهام لا يبقى معه شك، وإن جاز أن يبقى لبعضهم تردد في تأويله وتعيين المراد به من جملة ما يحتمله اللفظ ويليق بجلال الله تعالى</w:t>
      </w:r>
      <w:r>
        <w:rPr>
          <w:rtl/>
          <w:lang w:bidi="ar-KW"/>
        </w:rPr>
        <w:t>)</w:t>
      </w:r>
      <w:r w:rsidR="009C32A0" w:rsidRPr="005675B2">
        <w:rPr>
          <w:rtl/>
          <w:lang w:bidi="ar-KW"/>
        </w:rPr>
        <w:t xml:space="preserve"> اهـ</w:t>
      </w:r>
      <w:r>
        <w:rPr>
          <w:rtl/>
          <w:lang w:bidi="ar-KW"/>
        </w:rPr>
        <w:t>،</w:t>
      </w:r>
      <w:r w:rsidR="009C32A0" w:rsidRPr="005675B2">
        <w:rPr>
          <w:rtl/>
          <w:lang w:bidi="ar-KW"/>
        </w:rPr>
        <w:t xml:space="preserve"> ثم أخذ الإمام الغزالي رحمه الله يزيل كل توهم في هذه القضية ببيانه المحكم وعبارته الفصيحة، فليراجع فهو غاية في الأهمية</w:t>
      </w:r>
      <w:r>
        <w:rPr>
          <w:rtl/>
          <w:lang w:bidi="ar-KW"/>
        </w:rPr>
        <w:t xml:space="preserve">، </w:t>
      </w:r>
      <w:r w:rsidR="009C32A0" w:rsidRPr="005675B2">
        <w:rPr>
          <w:rtl/>
          <w:lang w:bidi="ar-KW"/>
        </w:rPr>
        <w:t>وبهذا يعلم أن من قال بظواهر هذه النصوص قد خالف السلف والخلف، وأتى بقول مبتدع ليس له نصيب من الحق، إذ ليس في هذه المسألة إلا التفويض أو التأويل، كما يعلم أيضـاً بأن التأويل ليس بدعة في الدين كما يروجه البعض - جهلاً - على العامة، بل هو مذهب حق ثابت عن سلف الأمة، وجارٍ على سنن لغة العرب</w:t>
      </w:r>
      <w:r>
        <w:rPr>
          <w:rtl/>
          <w:lang w:bidi="ar-KW"/>
        </w:rPr>
        <w:t>،</w:t>
      </w:r>
      <w:r w:rsidR="009C32A0" w:rsidRPr="005675B2">
        <w:rPr>
          <w:rtl/>
          <w:lang w:bidi="ar-KW"/>
        </w:rPr>
        <w:t xml:space="preserve"> فلماذا كل هذا التهويل في أمر لا يستلزم ذلك، لا سيما والحق فيه مـع الأشاعـرة والماتريدية</w:t>
      </w:r>
      <w:r>
        <w:rPr>
          <w:rtl/>
          <w:lang w:bidi="ar-KW"/>
        </w:rPr>
        <w:t>؟!</w:t>
      </w:r>
      <w:r w:rsidR="009C32A0" w:rsidRPr="005675B2">
        <w:rPr>
          <w:rFonts w:hint="cs"/>
          <w:rtl/>
          <w:lang w:bidi="ar-KW"/>
        </w:rPr>
        <w:t xml:space="preserve"> </w:t>
      </w:r>
      <w:r w:rsidR="009C32A0" w:rsidRPr="005675B2">
        <w:rPr>
          <w:rtl/>
          <w:lang w:bidi="ar-KW"/>
        </w:rPr>
        <w:t>ولماذا كل هذا الإصرار على تفريق الأمة والفتِّ في عضدها وخَضْدِ شوكتِها</w:t>
      </w:r>
      <w:r>
        <w:rPr>
          <w:rtl/>
          <w:lang w:bidi="ar-KW"/>
        </w:rPr>
        <w:t>؟!</w:t>
      </w:r>
      <w:r w:rsidR="009C32A0" w:rsidRPr="005675B2">
        <w:rPr>
          <w:rtl/>
          <w:lang w:bidi="ar-KW"/>
        </w:rPr>
        <w:t xml:space="preserve"> وكأن الأمة لا يكفيها ما تئنُّ تحت وطأته من مصائب وإحن</w:t>
      </w:r>
      <w:r>
        <w:rPr>
          <w:rtl/>
          <w:lang w:bidi="ar-KW"/>
        </w:rPr>
        <w:t>؟!</w:t>
      </w:r>
      <w:r w:rsidR="009C32A0" w:rsidRPr="005675B2">
        <w:rPr>
          <w:rtl/>
          <w:lang w:bidi="ar-KW"/>
        </w:rPr>
        <w:t>!</w:t>
      </w:r>
      <w:r w:rsidR="009C32A0" w:rsidRPr="005675B2">
        <w:rPr>
          <w:rFonts w:hint="cs"/>
          <w:rtl/>
          <w:lang w:bidi="ar-KW"/>
        </w:rPr>
        <w:t xml:space="preserve"> </w:t>
      </w:r>
    </w:p>
    <w:p w14:paraId="49644701" w14:textId="77777777" w:rsidR="009C32A0" w:rsidRPr="005675B2" w:rsidRDefault="009C32A0" w:rsidP="000636C2">
      <w:pPr>
        <w:widowControl w:val="0"/>
        <w:spacing w:before="80" w:after="240"/>
        <w:jc w:val="center"/>
        <w:rPr>
          <w:rtl/>
          <w:lang w:bidi="ar-KW"/>
        </w:rPr>
      </w:pPr>
      <w:r w:rsidRPr="005675B2">
        <w:rPr>
          <w:rtl/>
          <w:lang w:bidi="ar-KW"/>
        </w:rPr>
        <w:t>* * * * *</w:t>
      </w:r>
    </w:p>
    <w:p w14:paraId="2704DF23" w14:textId="03474016" w:rsidR="009C32A0" w:rsidRPr="005675B2" w:rsidRDefault="009C32A0" w:rsidP="000636C2">
      <w:pPr>
        <w:widowControl w:val="0"/>
        <w:spacing w:before="80" w:after="240"/>
        <w:rPr>
          <w:rtl/>
          <w:lang w:bidi="ar-KW"/>
        </w:rPr>
      </w:pPr>
      <w:r w:rsidRPr="005675B2">
        <w:rPr>
          <w:bCs/>
          <w:rtl/>
          <w:lang w:bidi="ar-KW"/>
        </w:rPr>
        <w:t>الخلاف في العقيدة</w:t>
      </w:r>
      <w:r w:rsidR="000636C2">
        <w:rPr>
          <w:rFonts w:hint="cs"/>
          <w:bCs/>
          <w:rtl/>
          <w:lang w:bidi="ar-KW"/>
        </w:rPr>
        <w:t xml:space="preserve">: </w:t>
      </w:r>
      <w:r w:rsidRPr="005675B2">
        <w:rPr>
          <w:rtl/>
          <w:lang w:bidi="ar-KW"/>
        </w:rPr>
        <w:t>هل كل خلاف في العقيدة سواء كان في الأصول أو في الفروع يترتب عليه الكفر أو الضلالة، والبدعة والفسق</w:t>
      </w:r>
      <w:r w:rsidR="000636C2">
        <w:rPr>
          <w:rtl/>
          <w:lang w:bidi="ar-KW"/>
        </w:rPr>
        <w:t>؟</w:t>
      </w:r>
      <w:r w:rsidRPr="005675B2">
        <w:rPr>
          <w:rFonts w:hint="cs"/>
          <w:rtl/>
          <w:lang w:bidi="ar-KW"/>
        </w:rPr>
        <w:t xml:space="preserve"> </w:t>
      </w:r>
      <w:r w:rsidRPr="005675B2">
        <w:rPr>
          <w:rtl/>
          <w:lang w:bidi="ar-KW"/>
        </w:rPr>
        <w:t>وهل وقع بين الصحابة وعلماء السلف الطيب خلاف في العقائد</w:t>
      </w:r>
      <w:r w:rsidR="000636C2">
        <w:rPr>
          <w:rtl/>
          <w:lang w:bidi="ar-KW"/>
        </w:rPr>
        <w:t>؟</w:t>
      </w:r>
      <w:r w:rsidRPr="005675B2">
        <w:rPr>
          <w:rFonts w:hint="cs"/>
          <w:rtl/>
          <w:lang w:bidi="ar-KW"/>
        </w:rPr>
        <w:t xml:space="preserve"> </w:t>
      </w:r>
      <w:r w:rsidRPr="005675B2">
        <w:rPr>
          <w:rtl/>
          <w:lang w:bidi="ar-KW"/>
        </w:rPr>
        <w:t>وهل وقع بينهم رضي الله عنهم على إثر ذلك الخلاف تضليل لبعضهم أو تفسيق</w:t>
      </w:r>
      <w:r w:rsidR="000636C2">
        <w:rPr>
          <w:rtl/>
          <w:lang w:bidi="ar-KW"/>
        </w:rPr>
        <w:t>؟</w:t>
      </w:r>
      <w:r w:rsidRPr="005675B2">
        <w:rPr>
          <w:rFonts w:hint="cs"/>
          <w:rtl/>
          <w:lang w:bidi="ar-KW"/>
        </w:rPr>
        <w:t xml:space="preserve"> </w:t>
      </w:r>
      <w:r w:rsidRPr="005675B2">
        <w:rPr>
          <w:rtl/>
          <w:lang w:bidi="ar-KW"/>
        </w:rPr>
        <w:t>عند الإجابة على هذه الأسئلة يتضح خطأ الذين يجازفون بتضليل الأشاعرة والماتريدية وعلماء الأمة وأعلامها وكل من خالفهم بغير علم ولا روية</w:t>
      </w:r>
      <w:r w:rsidR="000636C2">
        <w:rPr>
          <w:rtl/>
          <w:lang w:bidi="ar-KW"/>
        </w:rPr>
        <w:t xml:space="preserve">، </w:t>
      </w:r>
      <w:r w:rsidRPr="005675B2">
        <w:rPr>
          <w:rtl/>
          <w:lang w:bidi="ar-KW"/>
        </w:rPr>
        <w:t>وكان الأجدر بهم - وحال الأمة من التفكك والتشرذم يدمى له قلب كل غيور - أن يُحمل الخلاف إذا وجد على محامل حسنة تتفق مع صدر ديننا الرحب، ويُلتمس العذر قدر المستطاع كي لا يزيدوا في فرقة الأمة وتشتتها، ويعينوا عليها أعداءها، كالتي نقضت غزلها من بعد قوة أنكاثاً</w:t>
      </w:r>
      <w:r w:rsidR="000636C2">
        <w:rPr>
          <w:rtl/>
          <w:lang w:bidi="ar-KW"/>
        </w:rPr>
        <w:t xml:space="preserve">، </w:t>
      </w:r>
      <w:r w:rsidRPr="005675B2">
        <w:rPr>
          <w:rtl/>
          <w:lang w:bidi="ar-KW"/>
        </w:rPr>
        <w:t>ولبيان قضية الخلاف في العقيدة نقول</w:t>
      </w:r>
      <w:r w:rsidR="000636C2">
        <w:rPr>
          <w:rtl/>
          <w:lang w:bidi="ar-KW"/>
        </w:rPr>
        <w:t>:</w:t>
      </w:r>
      <w:r w:rsidR="000636C2">
        <w:rPr>
          <w:rFonts w:hint="cs"/>
          <w:rtl/>
          <w:lang w:bidi="ar-KW"/>
        </w:rPr>
        <w:t xml:space="preserve"> </w:t>
      </w:r>
      <w:r w:rsidRPr="005675B2">
        <w:rPr>
          <w:rtl/>
          <w:lang w:bidi="ar-KW"/>
        </w:rPr>
        <w:t>إن العقيدة تنقسم إلى أصول وفروع، والأصول تنقسم كذلك إلى أصول الدين وأصول مذهب أهل السنة والجماعة، أما أصول الدين، مثل</w:t>
      </w:r>
      <w:r w:rsidR="000636C2">
        <w:rPr>
          <w:rtl/>
          <w:lang w:bidi="ar-KW"/>
        </w:rPr>
        <w:t>:</w:t>
      </w:r>
      <w:r w:rsidRPr="005675B2">
        <w:rPr>
          <w:rtl/>
          <w:lang w:bidi="ar-KW"/>
        </w:rPr>
        <w:t xml:space="preserve"> وجود الله تعالى ووحدانيته وبقاؤه وقدمه، وحدوث العالم، وهو كل ما سوى الله تعالى من الموجودات، وصدق الرسل والأنبياء، ونحو ذلك من القضايا، فحكم المخالف فيها الخروج من الملة بلا خلاف لكونها أعمدة الدين وأسسه التي ينبني عليها، ومثال المخالفين فيها أصحاب الديانات والنحل الأخرى كاليهودية والنصرانية والمجوسية والبوذية .. إلخ</w:t>
      </w:r>
      <w:r w:rsidR="000636C2">
        <w:rPr>
          <w:rFonts w:hint="cs"/>
          <w:rtl/>
          <w:lang w:bidi="ar-KW"/>
        </w:rPr>
        <w:t xml:space="preserve">، </w:t>
      </w:r>
      <w:r w:rsidRPr="005675B2">
        <w:rPr>
          <w:rtl/>
          <w:lang w:bidi="ar-KW"/>
        </w:rPr>
        <w:t xml:space="preserve">نقل الإمام النووي - رحمه الله تعالى - عن الإمام المتولي قوله </w:t>
      </w:r>
      <w:r w:rsidR="000636C2">
        <w:rPr>
          <w:rtl/>
          <w:lang w:bidi="ar-KW"/>
        </w:rPr>
        <w:t>(</w:t>
      </w:r>
      <w:r w:rsidRPr="005675B2">
        <w:rPr>
          <w:rtl/>
          <w:lang w:bidi="ar-KW"/>
        </w:rPr>
        <w:t>روضة الطالبين 10 / 64</w:t>
      </w:r>
      <w:r w:rsidR="000636C2">
        <w:rPr>
          <w:rtl/>
          <w:lang w:bidi="ar-KW"/>
        </w:rPr>
        <w:t>):</w:t>
      </w:r>
      <w:r w:rsidR="000636C2">
        <w:rPr>
          <w:rFonts w:hint="cs"/>
          <w:rtl/>
          <w:lang w:bidi="ar-KW"/>
        </w:rPr>
        <w:t xml:space="preserve"> </w:t>
      </w:r>
      <w:r w:rsidR="000636C2">
        <w:rPr>
          <w:rtl/>
          <w:lang w:bidi="ar-KW"/>
        </w:rPr>
        <w:t>(</w:t>
      </w:r>
      <w:r w:rsidRPr="005675B2">
        <w:rPr>
          <w:rtl/>
          <w:lang w:bidi="ar-KW"/>
        </w:rPr>
        <w:t>من اعتقد قدم العالم أو حدوث الصانع أو نفى ما هو ثابت للقديم بالإجماع، ككونه عالماً قادراً، أو أثبت ما هو منفي عنه بالإجماع، كالألوان، أو أثبت له الاتصال والانفصال، كان كافراً، وكذا من جحد جواز بعثة الرسل، أو أنكر نبوة نبي من الأنبياء صلوات الله وسلامه عليهم، أو كذبه، أو جحد آية من القرآن مجمعاً عليها، أو زاد في القرآن كلمة واعتقد أنها منه، أو سبَّ نبياً أو استخف به، أو استحل محرماً بالإجماع، كالخمر والزنى واللواط، أو حرم حلالاً بالإجماع، أو نفى وجوب مجمع على وجوبه، كركعة من الصلوات الخمس، أو اعتقد وجوب ما ليس بواجب بالإجماع، كصلاة سادسة وصوم شوال، أو نسب عائشة رضي الله عنها إلى الفاحشة، أو ادعى النبوة بعد نبينا</w:t>
      </w:r>
      <w:r w:rsidR="000636C2">
        <w:rPr>
          <w:rtl/>
          <w:lang w:bidi="ar-KW"/>
        </w:rPr>
        <w:t>،</w:t>
      </w:r>
      <w:r w:rsidRPr="005675B2">
        <w:rPr>
          <w:rtl/>
          <w:lang w:bidi="ar-KW"/>
        </w:rPr>
        <w:t xml:space="preserve"> أو صدق مدّعياً لها، أو عظم صنماً بالسجود له، أو تقرب إليه بالذبح باسمه فكل هذا كفر</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وهنا قضية هامة وخطرة لابد من التعريج عليها قبل الانتقال إلى الخلاف في أصول أهل السنة والجماعة بشيء من البسط حسب ما يقتضيه المقام، وهي قول الإمام المتولي </w:t>
      </w:r>
      <w:r w:rsidR="000636C2">
        <w:rPr>
          <w:rtl/>
          <w:lang w:bidi="ar-KW"/>
        </w:rPr>
        <w:t>(</w:t>
      </w:r>
      <w:r w:rsidRPr="005675B2">
        <w:rPr>
          <w:rtl/>
          <w:lang w:bidi="ar-KW"/>
        </w:rPr>
        <w:t>أو أثبت له الاتصال أو الانفصال</w:t>
      </w:r>
      <w:r w:rsidR="000636C2">
        <w:rPr>
          <w:rtl/>
          <w:lang w:bidi="ar-KW"/>
        </w:rPr>
        <w:t>)</w:t>
      </w:r>
      <w:r w:rsidRPr="005675B2">
        <w:rPr>
          <w:rtl/>
          <w:lang w:bidi="ar-KW"/>
        </w:rPr>
        <w:t xml:space="preserve"> فجعل إثبات الاتصال والانفصال لله تعالى من الأمور المكفرة ووافقه على ذلك الإمام النووي، وسيأتي معنا أقوال العلماء التي تنزه الله تعالى عن الاتصال والانفصال والمكان والحيز والجهة وكل ما لا يليق به من صفات المخلوقين</w:t>
      </w:r>
      <w:r w:rsidR="000636C2">
        <w:rPr>
          <w:rtl/>
          <w:lang w:bidi="ar-KW"/>
        </w:rPr>
        <w:t xml:space="preserve">، </w:t>
      </w:r>
      <w:r w:rsidRPr="005675B2">
        <w:rPr>
          <w:rtl/>
          <w:lang w:bidi="ar-KW"/>
        </w:rPr>
        <w:t>والاتصال والانفصال هو الدخول والخروج الذي ينزه أهل السنة الله تعالى عن الاتصاف بأحدهما</w:t>
      </w:r>
      <w:r w:rsidR="000636C2">
        <w:rPr>
          <w:rtl/>
          <w:lang w:bidi="ar-KW"/>
        </w:rPr>
        <w:t xml:space="preserve">، </w:t>
      </w:r>
      <w:r w:rsidRPr="005675B2">
        <w:rPr>
          <w:rtl/>
          <w:lang w:bidi="ar-KW"/>
        </w:rPr>
        <w:t>هذه القضية من الأهمية والخطورة بمكان، ولولا عدم الفهم لها فهماً صحيحاً من قبل هؤلاء الذين ينكرون على الأشاعرة لأجلها ما أدرجناها هنا لدقتها، بيد أننا سنحاول أن لا ندخل في تفاصيلها وسنكتفي بالبيان الإجمالي وبنقل أقوال العلماء المحذرة من وصف الله تعالى بأي شيء من ذلك، ومن أراد الاستزادة والتفصيل فليراجع المسألة في مظانها من كتب العقائد</w:t>
      </w:r>
      <w:r w:rsidR="000636C2">
        <w:rPr>
          <w:rtl/>
          <w:lang w:bidi="ar-KW"/>
        </w:rPr>
        <w:t>،</w:t>
      </w:r>
      <w:r w:rsidRPr="005675B2">
        <w:rPr>
          <w:rtl/>
          <w:lang w:bidi="ar-KW"/>
        </w:rPr>
        <w:t xml:space="preserve"> كثيرا ما نقرأ أو نسمع من البعض التصريح بوصف الله تعالى بأنه </w:t>
      </w:r>
      <w:r w:rsidR="000636C2">
        <w:rPr>
          <w:rtl/>
          <w:lang w:bidi="ar-KW"/>
        </w:rPr>
        <w:t>(</w:t>
      </w:r>
      <w:r w:rsidRPr="005675B2">
        <w:rPr>
          <w:rtl/>
          <w:lang w:bidi="ar-KW"/>
        </w:rPr>
        <w:t>بائن من خلقه</w:t>
      </w:r>
      <w:r w:rsidRPr="005675B2">
        <w:rPr>
          <w:bCs/>
          <w:rtl/>
          <w:lang w:bidi="ar-KW"/>
        </w:rPr>
        <w:t xml:space="preserve"> بذاته</w:t>
      </w:r>
      <w:r w:rsidR="000636C2">
        <w:rPr>
          <w:rtl/>
          <w:lang w:bidi="ar-KW"/>
        </w:rPr>
        <w:t>!</w:t>
      </w:r>
      <w:r w:rsidRPr="005675B2">
        <w:rPr>
          <w:rtl/>
          <w:lang w:bidi="ar-KW"/>
        </w:rPr>
        <w:t>!</w:t>
      </w:r>
      <w:r w:rsidR="000636C2">
        <w:rPr>
          <w:rtl/>
          <w:lang w:bidi="ar-KW"/>
        </w:rPr>
        <w:t>)</w:t>
      </w:r>
      <w:r w:rsidRPr="005675B2">
        <w:rPr>
          <w:rtl/>
          <w:lang w:bidi="ar-KW"/>
        </w:rPr>
        <w:t xml:space="preserve"> وهذا القول هو ما حذر العلماء منه، لأن البينونة بالذات هي الانفصال الذي حكم العلماء بحرمة وصف الله تعالى به كما مر من قول المتولي وإقرار النووي رحمهما الله، وكما سيأتي من نصوص غيرهما من العلماء، فهذا القول - وهو قولهم بائن بذاته – فضلا عن كونه قولاً ممتنعاً عقلاً فهو أيضاً قولٌ مبتدع لم يرد في كتاب ولا سنة ولا على لسان أحد من الصحابة أو التابعين</w:t>
      </w:r>
      <w:r w:rsidR="000636C2">
        <w:rPr>
          <w:rtl/>
          <w:lang w:bidi="ar-KW"/>
        </w:rPr>
        <w:t>،</w:t>
      </w:r>
      <w:r w:rsidRPr="005675B2">
        <w:rPr>
          <w:rtl/>
          <w:lang w:bidi="ar-KW"/>
        </w:rPr>
        <w:t xml:space="preserve"> </w:t>
      </w:r>
      <w:r w:rsidRPr="005675B2">
        <w:rPr>
          <w:bCs/>
          <w:rtl/>
          <w:lang w:bidi="ar-KW"/>
        </w:rPr>
        <w:t>وإليك أقوال العلماء في إنكار لفظة</w:t>
      </w:r>
      <w:r w:rsidRPr="005675B2">
        <w:rPr>
          <w:rtl/>
          <w:lang w:bidi="ar-KW"/>
        </w:rPr>
        <w:t xml:space="preserve"> </w:t>
      </w:r>
      <w:r w:rsidR="000636C2">
        <w:rPr>
          <w:rtl/>
          <w:lang w:bidi="ar-KW"/>
        </w:rPr>
        <w:t>(</w:t>
      </w:r>
      <w:r w:rsidRPr="005675B2">
        <w:rPr>
          <w:bCs/>
          <w:rtl/>
          <w:lang w:bidi="ar-KW"/>
        </w:rPr>
        <w:t>بذاته</w:t>
      </w:r>
      <w:r w:rsidR="000636C2">
        <w:rPr>
          <w:rtl/>
          <w:lang w:bidi="ar-KW"/>
        </w:rPr>
        <w:t>):</w:t>
      </w:r>
      <w:r w:rsidRPr="005675B2">
        <w:rPr>
          <w:rFonts w:hint="cs"/>
          <w:rtl/>
          <w:lang w:bidi="ar-KW"/>
        </w:rPr>
        <w:t xml:space="preserve"> </w:t>
      </w:r>
      <w:r w:rsidRPr="005675B2">
        <w:rPr>
          <w:bCs/>
          <w:rtl/>
          <w:lang w:bidi="ar-KW"/>
        </w:rPr>
        <w:t>قال الحافظ الذهبي أثناء ترجمة ابن الزاغوني</w:t>
      </w:r>
      <w:r w:rsidRPr="005675B2">
        <w:rPr>
          <w:rtl/>
          <w:lang w:bidi="ar-KW"/>
        </w:rPr>
        <w:t xml:space="preserve"> </w:t>
      </w:r>
      <w:r w:rsidR="000636C2">
        <w:rPr>
          <w:rtl/>
          <w:lang w:bidi="ar-KW"/>
        </w:rPr>
        <w:t>(</w:t>
      </w:r>
      <w:r w:rsidRPr="005675B2">
        <w:rPr>
          <w:rtl/>
          <w:lang w:bidi="ar-KW"/>
        </w:rPr>
        <w:t>سير أعلام النبلاء19/607</w:t>
      </w:r>
      <w:r w:rsidR="000636C2">
        <w:rPr>
          <w:rtl/>
          <w:lang w:bidi="ar-KW"/>
        </w:rPr>
        <w:t>):</w:t>
      </w:r>
      <w:r w:rsidRPr="005675B2">
        <w:rPr>
          <w:rFonts w:hint="cs"/>
          <w:rtl/>
          <w:lang w:bidi="ar-KW"/>
        </w:rPr>
        <w:t xml:space="preserve"> </w:t>
      </w:r>
      <w:r w:rsidR="000636C2">
        <w:rPr>
          <w:rtl/>
          <w:lang w:bidi="ar-KW"/>
        </w:rPr>
        <w:t>(</w:t>
      </w:r>
      <w:r w:rsidRPr="005675B2">
        <w:rPr>
          <w:rtl/>
          <w:lang w:bidi="ar-KW"/>
        </w:rPr>
        <w:t>قد ذكرنا أن لفظة بذاته لا حاجة إليها، وهي تشغب النفوس، وتركها أولى، والله أعـلــم</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الحافظ ابن حجر العسقلاني</w:t>
      </w:r>
      <w:r w:rsidRPr="005675B2">
        <w:rPr>
          <w:rtl/>
          <w:lang w:bidi="ar-KW"/>
        </w:rPr>
        <w:t xml:space="preserve"> عند شرحه لحديث "إن أحدكم إذا قام في صلاته فإنه يناجي ربه أو إن ربه بينه وبين القبلة .. " الحديث، قال</w:t>
      </w:r>
      <w:r w:rsidR="000636C2">
        <w:rPr>
          <w:rtl/>
          <w:lang w:bidi="ar-KW"/>
        </w:rPr>
        <w:t>:(</w:t>
      </w:r>
      <w:r w:rsidRPr="005675B2">
        <w:rPr>
          <w:rtl/>
          <w:lang w:bidi="ar-KW"/>
        </w:rPr>
        <w:t>وفيه - أي الحديث - الرد على من زعم أنه على العرش بذاته</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الحافظ الذهبي في كتاب</w:t>
      </w:r>
      <w:r w:rsidRPr="005675B2">
        <w:rPr>
          <w:rtl/>
          <w:lang w:bidi="ar-KW"/>
        </w:rPr>
        <w:t xml:space="preserve"> </w:t>
      </w:r>
      <w:r w:rsidR="000636C2">
        <w:rPr>
          <w:rtl/>
          <w:lang w:bidi="ar-KW"/>
        </w:rPr>
        <w:t>(</w:t>
      </w:r>
      <w:r w:rsidRPr="005675B2">
        <w:rPr>
          <w:rtl/>
          <w:lang w:bidi="ar-KW"/>
        </w:rPr>
        <w:t>العلو / ص263</w:t>
      </w:r>
      <w:r w:rsidR="000636C2">
        <w:rPr>
          <w:rtl/>
          <w:lang w:bidi="ar-KW"/>
        </w:rPr>
        <w:t>)</w:t>
      </w:r>
      <w:r w:rsidRPr="005675B2">
        <w:rPr>
          <w:rtl/>
          <w:lang w:bidi="ar-KW"/>
        </w:rPr>
        <w:t xml:space="preserve"> بعد أن نقل قول يحيى بن عمار</w:t>
      </w:r>
      <w:r w:rsidR="000636C2">
        <w:rPr>
          <w:rtl/>
          <w:lang w:bidi="ar-KW"/>
        </w:rPr>
        <w:t>:</w:t>
      </w:r>
      <w:r w:rsidRPr="005675B2">
        <w:rPr>
          <w:rtl/>
          <w:lang w:bidi="ar-KW"/>
        </w:rPr>
        <w:t xml:space="preserve"> </w:t>
      </w:r>
      <w:r w:rsidR="000636C2">
        <w:rPr>
          <w:rtl/>
          <w:lang w:bidi="ar-KW"/>
        </w:rPr>
        <w:t>(</w:t>
      </w:r>
      <w:r w:rsidRPr="005675B2">
        <w:rPr>
          <w:rtl/>
          <w:lang w:bidi="ar-KW"/>
        </w:rPr>
        <w:t>بل نقول هو بذاته على العرش وعلمه محيط بكل شيء</w:t>
      </w:r>
      <w:r w:rsidR="000636C2">
        <w:rPr>
          <w:rtl/>
          <w:lang w:bidi="ar-KW"/>
        </w:rPr>
        <w:t>)</w:t>
      </w:r>
      <w:r w:rsidRPr="005675B2">
        <w:rPr>
          <w:rtl/>
          <w:lang w:bidi="ar-KW"/>
        </w:rPr>
        <w:t xml:space="preserve"> قال الذهبي </w:t>
      </w:r>
      <w:r w:rsidR="000636C2">
        <w:rPr>
          <w:rtl/>
          <w:lang w:bidi="ar-KW"/>
        </w:rPr>
        <w:t>(</w:t>
      </w:r>
      <w:r w:rsidRPr="005675B2">
        <w:rPr>
          <w:rtl/>
          <w:lang w:bidi="ar-KW"/>
        </w:rPr>
        <w:t>قولك "بذاته"من كيسك</w:t>
      </w:r>
      <w:r w:rsidR="000636C2">
        <w:rPr>
          <w:rtl/>
          <w:lang w:bidi="ar-KW"/>
        </w:rPr>
        <w:t>)</w:t>
      </w:r>
      <w:r w:rsidRPr="005675B2">
        <w:rPr>
          <w:rtl/>
          <w:lang w:bidi="ar-KW"/>
        </w:rPr>
        <w:t xml:space="preserve"> اهـ</w:t>
      </w:r>
      <w:r w:rsidR="000636C2">
        <w:rPr>
          <w:rtl/>
          <w:lang w:bidi="ar-KW"/>
        </w:rPr>
        <w:t xml:space="preserve">، </w:t>
      </w:r>
      <w:r w:rsidRPr="005675B2">
        <w:rPr>
          <w:bCs/>
          <w:rtl/>
          <w:lang w:bidi="ar-KW"/>
        </w:rPr>
        <w:t>وقال أيضاً</w:t>
      </w:r>
      <w:r w:rsidRPr="005675B2">
        <w:rPr>
          <w:rtl/>
          <w:lang w:bidi="ar-KW"/>
        </w:rPr>
        <w:t xml:space="preserve"> في ترجمة الحافظ أبي القاسم إسماعيل بن محمد التيمي </w:t>
      </w:r>
      <w:r w:rsidR="000636C2">
        <w:rPr>
          <w:rtl/>
          <w:lang w:bidi="ar-KW"/>
        </w:rPr>
        <w:t>(</w:t>
      </w:r>
      <w:r w:rsidRPr="005675B2">
        <w:rPr>
          <w:rtl/>
          <w:lang w:bidi="ar-KW"/>
        </w:rPr>
        <w:t>سير أعلام النبلاء 20/86</w:t>
      </w:r>
      <w:r w:rsidR="000636C2">
        <w:rPr>
          <w:rtl/>
          <w:lang w:bidi="ar-KW"/>
        </w:rPr>
        <w:t>):</w:t>
      </w:r>
      <w:r w:rsidRPr="005675B2">
        <w:rPr>
          <w:rFonts w:hint="cs"/>
          <w:rtl/>
          <w:lang w:bidi="ar-KW"/>
        </w:rPr>
        <w:t xml:space="preserve"> </w:t>
      </w:r>
      <w:r w:rsidR="000636C2">
        <w:rPr>
          <w:rtl/>
          <w:lang w:bidi="ar-KW"/>
        </w:rPr>
        <w:t>(</w:t>
      </w:r>
      <w:r w:rsidRPr="005675B2">
        <w:rPr>
          <w:rtl/>
          <w:lang w:bidi="ar-KW"/>
        </w:rPr>
        <w:t>قلت</w:t>
      </w:r>
      <w:r w:rsidR="000636C2">
        <w:rPr>
          <w:rtl/>
          <w:lang w:bidi="ar-KW"/>
        </w:rPr>
        <w:t>:</w:t>
      </w:r>
      <w:r w:rsidRPr="005675B2">
        <w:rPr>
          <w:rtl/>
          <w:lang w:bidi="ar-KW"/>
        </w:rPr>
        <w:t xml:space="preserve"> الصواب الكف عن إطلاق ذلك،إذ لم يأت فيه نص، ولو فرضنا أن المعنى صحيح فليس لنا أن نتفوه بشيء لم يأذن به الله خوفاً من أن يدخل القلب شيء من البدعة</w:t>
      </w:r>
      <w:r w:rsidR="000636C2">
        <w:rPr>
          <w:rtl/>
          <w:lang w:bidi="ar-KW"/>
        </w:rPr>
        <w:t>،</w:t>
      </w:r>
      <w:r w:rsidRPr="005675B2">
        <w:rPr>
          <w:rtl/>
          <w:lang w:bidi="ar-KW"/>
        </w:rPr>
        <w:t xml:space="preserve"> اللهم احفظ علينا إيماننا</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وافتراض الذهبي لصحة المعنى محمول على ما ذكره صاحب الترجمة من المعاني الصحيحة للفظة </w:t>
      </w:r>
      <w:r w:rsidR="000636C2">
        <w:rPr>
          <w:rtl/>
          <w:lang w:bidi="ar-KW"/>
        </w:rPr>
        <w:t>(</w:t>
      </w:r>
      <w:r w:rsidRPr="005675B2">
        <w:rPr>
          <w:rtl/>
          <w:lang w:bidi="ar-KW"/>
        </w:rPr>
        <w:t>بذاته</w:t>
      </w:r>
      <w:r w:rsidR="000636C2">
        <w:rPr>
          <w:rtl/>
          <w:lang w:bidi="ar-KW"/>
        </w:rPr>
        <w:t>)</w:t>
      </w:r>
      <w:r w:rsidRPr="005675B2">
        <w:rPr>
          <w:rtl/>
          <w:lang w:bidi="ar-KW"/>
        </w:rPr>
        <w:t xml:space="preserve"> لا على المعنى الظاهر المتبادرإلى الذهن منها</w:t>
      </w:r>
      <w:r w:rsidR="000636C2">
        <w:rPr>
          <w:rtl/>
          <w:lang w:bidi="ar-KW"/>
        </w:rPr>
        <w:t xml:space="preserve">، </w:t>
      </w:r>
      <w:r w:rsidRPr="005675B2">
        <w:rPr>
          <w:bCs/>
          <w:rtl/>
          <w:lang w:bidi="ar-KW"/>
        </w:rPr>
        <w:t>وقال الإمام بدر الدين بن جماعة</w:t>
      </w:r>
      <w:r w:rsidRPr="005675B2">
        <w:rPr>
          <w:rtl/>
          <w:lang w:bidi="ar-KW"/>
        </w:rPr>
        <w:t xml:space="preserve"> رحمه الله تعالى في كتابه </w:t>
      </w:r>
      <w:r w:rsidR="000636C2">
        <w:rPr>
          <w:rtl/>
          <w:lang w:bidi="ar-KW"/>
        </w:rPr>
        <w:t>(</w:t>
      </w:r>
      <w:r w:rsidRPr="005675B2">
        <w:rPr>
          <w:rtl/>
          <w:lang w:bidi="ar-KW"/>
        </w:rPr>
        <w:t>إيضاح الدليل ص/107</w:t>
      </w:r>
      <w:r w:rsidR="000636C2">
        <w:rPr>
          <w:rtl/>
          <w:lang w:bidi="ar-KW"/>
        </w:rPr>
        <w:t>):</w:t>
      </w:r>
      <w:r w:rsidR="000636C2">
        <w:rPr>
          <w:rFonts w:hint="cs"/>
          <w:rtl/>
          <w:lang w:bidi="ar-KW"/>
        </w:rPr>
        <w:t xml:space="preserve"> </w:t>
      </w:r>
      <w:r w:rsidR="000636C2">
        <w:rPr>
          <w:rtl/>
          <w:lang w:bidi="ar-KW"/>
        </w:rPr>
        <w:t>(</w:t>
      </w:r>
      <w:r w:rsidRPr="005675B2">
        <w:rPr>
          <w:rtl/>
          <w:lang w:bidi="ar-KW"/>
        </w:rPr>
        <w:t>فمن جعل الاستواء في حقه تعالى ما يفهم من صفات المحدثين وقال</w:t>
      </w:r>
      <w:r w:rsidR="000636C2">
        <w:rPr>
          <w:rtl/>
          <w:lang w:bidi="ar-KW"/>
        </w:rPr>
        <w:t>:</w:t>
      </w:r>
      <w:r w:rsidRPr="005675B2">
        <w:rPr>
          <w:rtl/>
          <w:lang w:bidi="ar-KW"/>
        </w:rPr>
        <w:t xml:space="preserve"> استـوى بذاته، أو قال</w:t>
      </w:r>
      <w:r w:rsidR="000636C2">
        <w:rPr>
          <w:rtl/>
          <w:lang w:bidi="ar-KW"/>
        </w:rPr>
        <w:t>:</w:t>
      </w:r>
      <w:r w:rsidRPr="005675B2">
        <w:rPr>
          <w:rtl/>
          <w:lang w:bidi="ar-KW"/>
        </w:rPr>
        <w:t xml:space="preserve"> استوى حقيقة فقد ابتدع بهذه الزيادة التي لم تثبت في السنة ولا عن أحد من الأئمة المقتدى بهم</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وقال الحافظ الذهبي في</w:t>
      </w:r>
      <w:r w:rsidRPr="005675B2">
        <w:rPr>
          <w:rtl/>
          <w:lang w:bidi="ar-KW"/>
        </w:rPr>
        <w:t xml:space="preserve"> </w:t>
      </w:r>
      <w:r w:rsidR="000636C2">
        <w:rPr>
          <w:rtl/>
          <w:lang w:bidi="ar-KW"/>
        </w:rPr>
        <w:t>(</w:t>
      </w:r>
      <w:r w:rsidRPr="005675B2">
        <w:rPr>
          <w:rtl/>
          <w:lang w:bidi="ar-KW"/>
        </w:rPr>
        <w:t>العلو/ ص 256</w:t>
      </w:r>
      <w:r w:rsidR="000636C2">
        <w:rPr>
          <w:rtl/>
          <w:lang w:bidi="ar-KW"/>
        </w:rPr>
        <w:t>):</w:t>
      </w:r>
      <w:r w:rsidRPr="005675B2">
        <w:rPr>
          <w:rFonts w:hint="cs"/>
          <w:rtl/>
          <w:lang w:bidi="ar-KW"/>
        </w:rPr>
        <w:t xml:space="preserve"> </w:t>
      </w:r>
      <w:r w:rsidR="000636C2">
        <w:rPr>
          <w:rtl/>
          <w:lang w:bidi="ar-KW"/>
        </w:rPr>
        <w:t>(</w:t>
      </w:r>
      <w:r w:rsidRPr="005675B2">
        <w:rPr>
          <w:rtl/>
          <w:lang w:bidi="ar-KW"/>
        </w:rPr>
        <w:t>وقد نقموا عليه</w:t>
      </w:r>
      <w:r w:rsidR="000636C2">
        <w:rPr>
          <w:rtl/>
          <w:lang w:bidi="ar-KW"/>
        </w:rPr>
        <w:t xml:space="preserve"> </w:t>
      </w:r>
      <w:r w:rsidRPr="005675B2">
        <w:rPr>
          <w:rtl/>
          <w:lang w:bidi="ar-KW"/>
        </w:rPr>
        <w:t>- يعني ابن أبي زيد القيرواني</w:t>
      </w:r>
      <w:r w:rsidR="000636C2">
        <w:rPr>
          <w:rtl/>
          <w:lang w:bidi="ar-KW"/>
        </w:rPr>
        <w:t xml:space="preserve"> </w:t>
      </w:r>
      <w:r w:rsidRPr="005675B2">
        <w:rPr>
          <w:rtl/>
          <w:lang w:bidi="ar-KW"/>
        </w:rPr>
        <w:t>- في قوله بذاته</w:t>
      </w:r>
      <w:r w:rsidR="000636C2">
        <w:rPr>
          <w:rtl/>
          <w:lang w:bidi="ar-KW"/>
        </w:rPr>
        <w:t>،</w:t>
      </w:r>
      <w:r w:rsidRPr="005675B2">
        <w:rPr>
          <w:rtl/>
          <w:lang w:bidi="ar-KW"/>
        </w:rPr>
        <w:t xml:space="preserve"> فليته تركها</w:t>
      </w:r>
      <w:r w:rsidR="000636C2">
        <w:rPr>
          <w:rtl/>
          <w:lang w:bidi="ar-KW"/>
        </w:rPr>
        <w:t>)</w:t>
      </w:r>
      <w:r w:rsidRPr="005675B2">
        <w:rPr>
          <w:rtl/>
          <w:lang w:bidi="ar-KW"/>
        </w:rPr>
        <w:t xml:space="preserve"> اهـ</w:t>
      </w:r>
      <w:r w:rsidR="000636C2">
        <w:rPr>
          <w:rtl/>
          <w:lang w:bidi="ar-KW"/>
        </w:rPr>
        <w:t xml:space="preserve">، </w:t>
      </w:r>
      <w:r w:rsidRPr="005675B2">
        <w:rPr>
          <w:rtl/>
          <w:lang w:bidi="ar-KW"/>
        </w:rPr>
        <w:t>هذا مع اليقين بأن الإمام ابن أبي زيد القيرواني لم يُرِدْ بهذه اللفظة - إذا صحَّت عنه</w:t>
      </w:r>
      <w:r w:rsidRPr="005675B2">
        <w:rPr>
          <w:rFonts w:hint="cs"/>
          <w:rtl/>
          <w:lang w:bidi="ar-KW"/>
        </w:rPr>
        <w:t xml:space="preserve"> </w:t>
      </w:r>
      <w:r w:rsidRPr="005675B2">
        <w:rPr>
          <w:rtl/>
          <w:lang w:bidi="ar-KW"/>
        </w:rPr>
        <w:t>-</w:t>
      </w:r>
      <w:r w:rsidR="000636C2">
        <w:rPr>
          <w:rtl/>
          <w:lang w:bidi="ar-KW"/>
        </w:rPr>
        <w:t xml:space="preserve"> </w:t>
      </w:r>
      <w:r w:rsidR="000636C2">
        <w:rPr>
          <w:rFonts w:hint="cs"/>
          <w:sz w:val="24"/>
          <w:szCs w:val="24"/>
          <w:rtl/>
          <w:lang w:bidi="ar-KW"/>
        </w:rPr>
        <w:t>[</w:t>
      </w:r>
      <w:r w:rsidRPr="005675B2">
        <w:rPr>
          <w:sz w:val="24"/>
          <w:szCs w:val="24"/>
          <w:rtl/>
        </w:rPr>
        <w:t>قال العلامة الكوثري رحمه الله في تعليقه على تبيين كذب المفتري في هامش ص/123 (يطبق شراح رسالته على أن هذه اللفظة إما مدسوسة أو من قبيل الاحتراس بالرفع أي: المجيد بذاته لا بالخدم والخول</w:t>
      </w:r>
      <w:r w:rsidR="000636C2">
        <w:rPr>
          <w:rFonts w:hint="cs"/>
          <w:sz w:val="24"/>
          <w:szCs w:val="24"/>
          <w:rtl/>
        </w:rPr>
        <w:t>)]</w:t>
      </w:r>
      <w:r w:rsidRPr="005675B2">
        <w:rPr>
          <w:rFonts w:hint="cs"/>
          <w:sz w:val="24"/>
          <w:szCs w:val="24"/>
          <w:rtl/>
        </w:rPr>
        <w:t xml:space="preserve"> </w:t>
      </w:r>
      <w:r w:rsidRPr="005675B2">
        <w:rPr>
          <w:rtl/>
          <w:lang w:bidi="ar-KW"/>
        </w:rPr>
        <w:t>المعنى الذي يريده البعض من ذكرها، كما هو بيّن وجليّ من أقوال شراح رسالته، وهو أشعري محب للإمام أبي الحسن كما هو واضح من جوابه لمن لامه في حُبِّه، قال</w:t>
      </w:r>
      <w:r w:rsidR="000636C2">
        <w:rPr>
          <w:rtl/>
          <w:lang w:bidi="ar-KW"/>
        </w:rPr>
        <w:t>:</w:t>
      </w:r>
      <w:r w:rsidRPr="005675B2">
        <w:rPr>
          <w:rtl/>
          <w:lang w:bidi="ar-KW"/>
        </w:rPr>
        <w:t xml:space="preserve"> </w:t>
      </w:r>
      <w:r w:rsidR="000636C2">
        <w:rPr>
          <w:rtl/>
          <w:lang w:bidi="ar-KW"/>
        </w:rPr>
        <w:t>(</w:t>
      </w:r>
      <w:r w:rsidRPr="005675B2">
        <w:rPr>
          <w:rtl/>
          <w:lang w:bidi="ar-KW"/>
        </w:rPr>
        <w:t>ما الأشعري إلا رجل مشهور بالردِّ على أهل البدع وعلى القدرية والجهمية متمسك بالسنن</w:t>
      </w:r>
      <w:r w:rsidR="000636C2">
        <w:rPr>
          <w:rtl/>
          <w:lang w:bidi="ar-KW"/>
        </w:rPr>
        <w:t>)</w:t>
      </w:r>
      <w:r w:rsidRPr="005675B2">
        <w:rPr>
          <w:rtl/>
          <w:lang w:bidi="ar-KW"/>
        </w:rPr>
        <w:t xml:space="preserve"> اهـ، وقد ذكره التاج السبكي ضمن الطبقة الثانية من الأشاعرة الذين فات الحافظ ابن عساكر ذكرهم في كتابه </w:t>
      </w:r>
      <w:r w:rsidRPr="005675B2">
        <w:rPr>
          <w:rFonts w:hint="cs"/>
          <w:rtl/>
          <w:lang w:bidi="ar-KW"/>
        </w:rPr>
        <w:t>"</w:t>
      </w:r>
      <w:r w:rsidRPr="005675B2">
        <w:rPr>
          <w:rtl/>
          <w:lang w:bidi="ar-KW"/>
        </w:rPr>
        <w:t xml:space="preserve"> التبيين " </w:t>
      </w:r>
      <w:r w:rsidR="000636C2">
        <w:rPr>
          <w:rtl/>
          <w:lang w:bidi="ar-KW"/>
        </w:rPr>
        <w:t>(</w:t>
      </w:r>
      <w:r w:rsidRPr="005675B2">
        <w:rPr>
          <w:rtl/>
          <w:lang w:bidi="ar-KW"/>
        </w:rPr>
        <w:t>تبيين كذب المفتري ص/123، طبقات الشافعية الكبرى 3/ 368، 372</w:t>
      </w:r>
      <w:r w:rsidR="000636C2">
        <w:rPr>
          <w:rtl/>
          <w:lang w:bidi="ar-KW"/>
        </w:rPr>
        <w:t xml:space="preserve">)، </w:t>
      </w:r>
      <w:r w:rsidRPr="005675B2">
        <w:rPr>
          <w:bCs/>
          <w:rtl/>
          <w:lang w:bidi="ar-KW"/>
        </w:rPr>
        <w:t>وقال الإمام ابن عبدالبر</w:t>
      </w:r>
      <w:r w:rsidRPr="005675B2">
        <w:rPr>
          <w:rtl/>
          <w:lang w:bidi="ar-KW"/>
        </w:rPr>
        <w:t xml:space="preserve"> رحمه الله </w:t>
      </w:r>
      <w:r w:rsidR="000636C2">
        <w:rPr>
          <w:rtl/>
          <w:lang w:bidi="ar-KW"/>
        </w:rPr>
        <w:t>(</w:t>
      </w:r>
      <w:r w:rsidRPr="005675B2">
        <w:rPr>
          <w:rtl/>
          <w:lang w:bidi="ar-KW"/>
        </w:rPr>
        <w:t>الاستذكار 8 /153</w:t>
      </w:r>
      <w:r w:rsidR="000636C2">
        <w:rPr>
          <w:rtl/>
          <w:lang w:bidi="ar-KW"/>
        </w:rPr>
        <w:t>):</w:t>
      </w:r>
      <w:r w:rsidR="000636C2">
        <w:rPr>
          <w:rFonts w:hint="cs"/>
          <w:rtl/>
          <w:lang w:bidi="ar-KW"/>
        </w:rPr>
        <w:t xml:space="preserve"> </w:t>
      </w:r>
      <w:r w:rsidR="000636C2">
        <w:rPr>
          <w:rtl/>
          <w:lang w:bidi="ar-KW"/>
        </w:rPr>
        <w:t>(</w:t>
      </w:r>
      <w:r w:rsidRPr="005675B2">
        <w:rPr>
          <w:rtl/>
          <w:lang w:bidi="ar-KW"/>
        </w:rPr>
        <w:t>وقد قالت فرقة منتسبة إلى السنة</w:t>
      </w:r>
      <w:r w:rsidR="000636C2">
        <w:rPr>
          <w:rtl/>
          <w:lang w:bidi="ar-KW"/>
        </w:rPr>
        <w:t>:</w:t>
      </w:r>
      <w:r w:rsidRPr="005675B2">
        <w:rPr>
          <w:rtl/>
          <w:lang w:bidi="ar-KW"/>
        </w:rPr>
        <w:t xml:space="preserve"> إنه - تعالى - ينزل بذاته</w:t>
      </w:r>
      <w:r w:rsidR="000636C2">
        <w:rPr>
          <w:rtl/>
          <w:lang w:bidi="ar-KW"/>
        </w:rPr>
        <w:t>!</w:t>
      </w:r>
      <w:r w:rsidRPr="005675B2">
        <w:rPr>
          <w:rtl/>
          <w:lang w:bidi="ar-KW"/>
        </w:rPr>
        <w:t xml:space="preserve"> وهذا قول مهجور، لأنه تعالى ذِكْرُه ليس بمحل للحركات ولا فيه شيء من علامات المخلوقات</w:t>
      </w:r>
      <w:r w:rsidR="000636C2">
        <w:rPr>
          <w:rtl/>
          <w:lang w:bidi="ar-KW"/>
        </w:rPr>
        <w:t>،)</w:t>
      </w:r>
      <w:r w:rsidRPr="005675B2">
        <w:rPr>
          <w:rtl/>
          <w:lang w:bidi="ar-KW"/>
        </w:rPr>
        <w:t xml:space="preserve"> اهـ</w:t>
      </w:r>
      <w:r w:rsidR="000636C2">
        <w:rPr>
          <w:rtl/>
          <w:lang w:bidi="ar-KW"/>
        </w:rPr>
        <w:t xml:space="preserve">، </w:t>
      </w:r>
      <w:r w:rsidRPr="005675B2">
        <w:rPr>
          <w:bCs/>
          <w:rtl/>
          <w:lang w:bidi="ar-KW"/>
        </w:rPr>
        <w:t>وقال الحافظ الذهبي</w:t>
      </w:r>
      <w:r w:rsidRPr="005675B2">
        <w:rPr>
          <w:rtl/>
          <w:lang w:bidi="ar-KW"/>
        </w:rPr>
        <w:t xml:space="preserve"> رحمه الله تعالى </w:t>
      </w:r>
      <w:r w:rsidR="000636C2">
        <w:rPr>
          <w:rtl/>
          <w:lang w:bidi="ar-KW"/>
        </w:rPr>
        <w:t>(</w:t>
      </w:r>
      <w:r w:rsidRPr="005675B2">
        <w:rPr>
          <w:rtl/>
          <w:lang w:bidi="ar-KW"/>
        </w:rPr>
        <w:t>السير 20/331، في ترجمة كوتاه</w:t>
      </w:r>
      <w:r w:rsidR="000636C2">
        <w:rPr>
          <w:rtl/>
          <w:lang w:bidi="ar-KW"/>
        </w:rPr>
        <w:t>):</w:t>
      </w:r>
      <w:r w:rsidR="000636C2">
        <w:rPr>
          <w:rFonts w:hint="cs"/>
          <w:rtl/>
          <w:lang w:bidi="ar-KW"/>
        </w:rPr>
        <w:t xml:space="preserve"> </w:t>
      </w:r>
      <w:r w:rsidR="000636C2">
        <w:rPr>
          <w:rtl/>
          <w:lang w:bidi="ar-KW"/>
        </w:rPr>
        <w:t>(</w:t>
      </w:r>
      <w:r w:rsidRPr="005675B2">
        <w:rPr>
          <w:rtl/>
          <w:lang w:bidi="ar-KW"/>
        </w:rPr>
        <w:t>وكذا قوله</w:t>
      </w:r>
      <w:r w:rsidR="000636C2">
        <w:rPr>
          <w:bCs/>
          <w:rtl/>
          <w:lang w:bidi="ar-KW"/>
        </w:rPr>
        <w:t>(</w:t>
      </w:r>
      <w:r w:rsidRPr="005675B2">
        <w:rPr>
          <w:bCs/>
          <w:rtl/>
          <w:lang w:bidi="ar-KW"/>
        </w:rPr>
        <w:t>وجاء ربك</w:t>
      </w:r>
      <w:r w:rsidR="000636C2">
        <w:rPr>
          <w:bCs/>
          <w:rtl/>
          <w:lang w:bidi="ar-KW"/>
        </w:rPr>
        <w:t>)</w:t>
      </w:r>
      <w:r w:rsidRPr="005675B2">
        <w:rPr>
          <w:rtl/>
          <w:lang w:bidi="ar-KW"/>
        </w:rPr>
        <w:t xml:space="preserve"> ونحوه، فنقول</w:t>
      </w:r>
      <w:r w:rsidR="000636C2">
        <w:rPr>
          <w:rtl/>
          <w:lang w:bidi="ar-KW"/>
        </w:rPr>
        <w:t>:</w:t>
      </w:r>
      <w:r w:rsidRPr="005675B2">
        <w:rPr>
          <w:rtl/>
          <w:lang w:bidi="ar-KW"/>
        </w:rPr>
        <w:t xml:space="preserve"> جاء، وينزل، وننهى عن القول</w:t>
      </w:r>
      <w:r w:rsidR="000636C2">
        <w:rPr>
          <w:rtl/>
          <w:lang w:bidi="ar-KW"/>
        </w:rPr>
        <w:t>:</w:t>
      </w:r>
      <w:r w:rsidRPr="005675B2">
        <w:rPr>
          <w:rtl/>
          <w:lang w:bidi="ar-KW"/>
        </w:rPr>
        <w:t xml:space="preserve"> ينزل بذاته، كما لا نقول</w:t>
      </w:r>
      <w:r w:rsidR="000636C2">
        <w:rPr>
          <w:rtl/>
          <w:lang w:bidi="ar-KW"/>
        </w:rPr>
        <w:t>:</w:t>
      </w:r>
      <w:r w:rsidRPr="005675B2">
        <w:rPr>
          <w:rtl/>
          <w:lang w:bidi="ar-KW"/>
        </w:rPr>
        <w:t xml:space="preserve"> ينزل بعلمه، بل نسكت ولا نتفاصح على الرسول صلى الله عليه وسلم بعبارات مبتدعة، والله أعلم</w:t>
      </w:r>
      <w:r w:rsidR="000636C2">
        <w:rPr>
          <w:rtl/>
          <w:lang w:bidi="ar-KW"/>
        </w:rPr>
        <w:t>)</w:t>
      </w:r>
      <w:r w:rsidRPr="005675B2">
        <w:rPr>
          <w:rtl/>
          <w:lang w:bidi="ar-KW"/>
        </w:rPr>
        <w:t xml:space="preserve"> اهـ</w:t>
      </w:r>
      <w:r w:rsidR="000636C2">
        <w:rPr>
          <w:rtl/>
          <w:lang w:bidi="ar-KW"/>
        </w:rPr>
        <w:t xml:space="preserve">، </w:t>
      </w:r>
      <w:r w:rsidRPr="005675B2">
        <w:rPr>
          <w:rtl/>
          <w:lang w:bidi="ar-KW"/>
        </w:rPr>
        <w:t>وبهذا يتضح أن لفظة بذاته غير ثابتة عن سلف الأمة الطيب ويأباها العقل والنقل</w:t>
      </w:r>
      <w:r w:rsidR="000636C2">
        <w:rPr>
          <w:rtl/>
          <w:lang w:bidi="ar-KW"/>
        </w:rPr>
        <w:t>،</w:t>
      </w:r>
      <w:r w:rsidRPr="005675B2">
        <w:rPr>
          <w:rtl/>
          <w:lang w:bidi="ar-KW"/>
        </w:rPr>
        <w:t xml:space="preserve"> فأي حجة أقوى من هذه الحجة ونصوص الأئمة لا تحتمل معها أي معنى آخر، ونحن إذ نثبت هذا لا نحتم على مخالفينا اتباع ما نقول، كلاَّ، وإنما حسبنا أن يكفُّوا عن إساءتهم لعلماء الأمة وأئمة الهدى الذين لا يفتأون يُجرِّحونهم ويقعون في أعراضهم</w:t>
      </w:r>
      <w:r w:rsidR="000636C2">
        <w:rPr>
          <w:rtl/>
          <w:lang w:bidi="ar-KW"/>
        </w:rPr>
        <w:t>!</w:t>
      </w:r>
      <w:r w:rsidRPr="005675B2">
        <w:rPr>
          <w:rtl/>
          <w:lang w:bidi="ar-KW"/>
        </w:rPr>
        <w:t xml:space="preserve">! قـال أبـو الحسيـن ابن المنـادي - رحمـه الله - كمــا نقله ابن الجـوزي مـن خطّه </w:t>
      </w:r>
      <w:r w:rsidR="000636C2">
        <w:rPr>
          <w:rtl/>
          <w:lang w:bidi="ar-KW"/>
        </w:rPr>
        <w:t>(</w:t>
      </w:r>
      <w:r w:rsidRPr="005675B2">
        <w:rPr>
          <w:rtl/>
          <w:lang w:bidi="ar-KW"/>
        </w:rPr>
        <w:t>دفع شبه التشبيه 192</w:t>
      </w:r>
      <w:r w:rsidR="000636C2">
        <w:rPr>
          <w:rtl/>
          <w:lang w:bidi="ar-KW"/>
        </w:rPr>
        <w:t>):</w:t>
      </w:r>
      <w:r w:rsidRPr="005675B2">
        <w:rPr>
          <w:rFonts w:hint="cs"/>
          <w:rtl/>
          <w:lang w:bidi="ar-KW"/>
        </w:rPr>
        <w:t xml:space="preserve"> </w:t>
      </w:r>
      <w:r w:rsidR="000636C2">
        <w:rPr>
          <w:rtl/>
          <w:lang w:bidi="ar-KW"/>
        </w:rPr>
        <w:t>(</w:t>
      </w:r>
      <w:r w:rsidRPr="005675B2">
        <w:rPr>
          <w:rtl/>
          <w:lang w:bidi="ar-KW"/>
        </w:rPr>
        <w:t>ولسنا نختلف أن الجبار لا يعلوه شيء من خلقه بحال، وأنه لا يحلّ بالأشياء بنفسه، ولا يزول عنها، لأنه لو حل بها لكان منها، ولو زال عنها لنأى عنها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وقول ابن المنادي </w:t>
      </w:r>
      <w:r w:rsidR="000636C2">
        <w:rPr>
          <w:bCs/>
          <w:rtl/>
          <w:lang w:bidi="ar-KW"/>
        </w:rPr>
        <w:t>(</w:t>
      </w:r>
      <w:r w:rsidRPr="005675B2">
        <w:rPr>
          <w:bCs/>
          <w:rtl/>
          <w:lang w:bidi="ar-KW"/>
        </w:rPr>
        <w:t>وأنه لا يحلّ بالأشياء بنفسه ولا يزول عنها</w:t>
      </w:r>
      <w:r w:rsidR="000636C2">
        <w:rPr>
          <w:bCs/>
          <w:rtl/>
          <w:lang w:bidi="ar-KW"/>
        </w:rPr>
        <w:t>)</w:t>
      </w:r>
      <w:r w:rsidRPr="005675B2">
        <w:rPr>
          <w:rtl/>
          <w:lang w:bidi="ar-KW"/>
        </w:rPr>
        <w:t xml:space="preserve"> هو عين ما يعنيه العلماء بقولهم</w:t>
      </w:r>
      <w:r w:rsidR="000636C2">
        <w:rPr>
          <w:rtl/>
          <w:lang w:bidi="ar-KW"/>
        </w:rPr>
        <w:t>:</w:t>
      </w:r>
      <w:r w:rsidRPr="005675B2">
        <w:rPr>
          <w:rtl/>
          <w:lang w:bidi="ar-KW"/>
        </w:rPr>
        <w:t xml:space="preserve"> إن الله تعالى لا يوصف بالاتصال والانفصال والدخول والخروج</w:t>
      </w:r>
      <w:r w:rsidR="000636C2">
        <w:rPr>
          <w:rtl/>
          <w:lang w:bidi="ar-KW"/>
        </w:rPr>
        <w:t xml:space="preserve">، </w:t>
      </w:r>
      <w:r w:rsidRPr="005675B2">
        <w:rPr>
          <w:rtl/>
          <w:lang w:bidi="ar-KW"/>
        </w:rPr>
        <w:t>وابن المنـادي هو الإمام أحمد بن جعفر المقرئ الحافظ كما وصفه الذهبي</w:t>
      </w:r>
      <w:r w:rsidR="000636C2">
        <w:rPr>
          <w:rtl/>
          <w:lang w:bidi="ar-KW"/>
        </w:rPr>
        <w:t>(</w:t>
      </w:r>
      <w:r w:rsidRPr="005675B2">
        <w:rPr>
          <w:rtl/>
          <w:lang w:bidi="ar-KW"/>
        </w:rPr>
        <w:t>السير 15 / 361</w:t>
      </w:r>
      <w:r w:rsidR="000636C2">
        <w:rPr>
          <w:rtl/>
          <w:lang w:bidi="ar-KW"/>
        </w:rPr>
        <w:t>)</w:t>
      </w:r>
      <w:r w:rsidRPr="005675B2">
        <w:rPr>
          <w:rtl/>
          <w:lang w:bidi="ar-KW"/>
        </w:rPr>
        <w:t>قال</w:t>
      </w:r>
      <w:r w:rsidR="000636C2">
        <w:rPr>
          <w:rtl/>
          <w:lang w:bidi="ar-KW"/>
        </w:rPr>
        <w:t>:</w:t>
      </w:r>
      <w:r w:rsidRPr="005675B2">
        <w:rPr>
          <w:rtl/>
          <w:lang w:bidi="ar-KW"/>
        </w:rPr>
        <w:t xml:space="preserve"> </w:t>
      </w:r>
      <w:r w:rsidR="000636C2">
        <w:rPr>
          <w:rtl/>
          <w:lang w:bidi="ar-KW"/>
        </w:rPr>
        <w:t>(</w:t>
      </w:r>
      <w:r w:rsidRPr="005675B2">
        <w:rPr>
          <w:rtl/>
          <w:lang w:bidi="ar-KW"/>
        </w:rPr>
        <w:t>قال عنه الدانيّ</w:t>
      </w:r>
      <w:r w:rsidR="000636C2">
        <w:rPr>
          <w:rtl/>
          <w:lang w:bidi="ar-KW"/>
        </w:rPr>
        <w:t>:</w:t>
      </w:r>
      <w:r w:rsidRPr="005675B2">
        <w:rPr>
          <w:rtl/>
          <w:lang w:bidi="ar-KW"/>
        </w:rPr>
        <w:t xml:space="preserve"> مقرئ جليل غاية في الإتقان، فصيح اللسان، عالم بالآثار، نهاية في علم العربية، صاحب سنة ثقة مأمون</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 xml:space="preserve">قال العلامة ابن خلدون رحمه الله تعالى </w:t>
      </w:r>
      <w:r w:rsidR="000636C2">
        <w:rPr>
          <w:bCs/>
          <w:rtl/>
          <w:lang w:bidi="ar-KW"/>
        </w:rPr>
        <w:t>(</w:t>
      </w:r>
      <w:r w:rsidRPr="005675B2">
        <w:rPr>
          <w:bCs/>
          <w:rtl/>
          <w:lang w:bidi="ar-KW"/>
        </w:rPr>
        <w:t>المقدمة ص/868</w:t>
      </w:r>
      <w:r w:rsidR="000636C2">
        <w:rPr>
          <w:bCs/>
          <w:rtl/>
          <w:lang w:bidi="ar-KW"/>
        </w:rPr>
        <w:t>):</w:t>
      </w:r>
      <w:r w:rsidRPr="005675B2">
        <w:rPr>
          <w:rFonts w:hint="cs"/>
          <w:bCs/>
          <w:rtl/>
          <w:lang w:bidi="ar-KW"/>
        </w:rPr>
        <w:t xml:space="preserve"> </w:t>
      </w:r>
      <w:r w:rsidR="000636C2">
        <w:rPr>
          <w:rtl/>
          <w:lang w:bidi="ar-KW"/>
        </w:rPr>
        <w:t>(</w:t>
      </w:r>
      <w:r w:rsidRPr="005675B2">
        <w:rPr>
          <w:rtl/>
          <w:lang w:bidi="ar-KW"/>
        </w:rPr>
        <w:t>يقع كثيراً في كلام أهل العقائد من علماء الحديث والفقه أن الله تعالى مباين لمخلوقاته، ويقع للمتكلمين أنه لا مباين ولا متصل، ويقع للفلاسفة أنه لا داخل العالم ولا خارجه .. فلنبينْ تفصيل هذه المذاهب ونشرحْ حقيقة كلِّ واحد منها حتى تتضح معانيها، فنقول</w:t>
      </w:r>
      <w:r w:rsidR="000636C2">
        <w:rPr>
          <w:rtl/>
          <w:lang w:bidi="ar-KW"/>
        </w:rPr>
        <w:t>:</w:t>
      </w:r>
      <w:r w:rsidRPr="005675B2">
        <w:rPr>
          <w:rtl/>
          <w:lang w:bidi="ar-KW"/>
        </w:rPr>
        <w:t xml:space="preserve"> إن المباينة تقال لمعنيين </w:t>
      </w:r>
      <w:r w:rsidRPr="005675B2">
        <w:rPr>
          <w:bCs/>
          <w:rtl/>
          <w:lang w:bidi="ar-KW"/>
        </w:rPr>
        <w:t>أحدهما</w:t>
      </w:r>
      <w:r w:rsidR="000636C2">
        <w:rPr>
          <w:rtl/>
          <w:lang w:bidi="ar-KW"/>
        </w:rPr>
        <w:t>:</w:t>
      </w:r>
      <w:r w:rsidRPr="005675B2">
        <w:rPr>
          <w:rtl/>
          <w:lang w:bidi="ar-KW"/>
        </w:rPr>
        <w:t xml:space="preserve"> المباينة في الحيز والجهة، ويقابلها [أي المباينة بهذا المعنى] الاتصال، وتُشعِر هذه المقابلة على هذه التقيدَ بالمكان إمّا صريحاً وهو تجسيم، أو لزوماً وهو تشبيه من قبيل القول بالجهة، وقد نقل مثله عن بعض علماء السلف من التصريح بهذه المباينة، فيحتمل غير هذا المعنى، ومن أجل ذلك أنكر المتكلمون هذه المباينة، وقالوا</w:t>
      </w:r>
      <w:r w:rsidR="000636C2">
        <w:rPr>
          <w:rtl/>
          <w:lang w:bidi="ar-KW"/>
        </w:rPr>
        <w:t>:</w:t>
      </w:r>
      <w:r w:rsidRPr="005675B2">
        <w:rPr>
          <w:rtl/>
          <w:lang w:bidi="ar-KW"/>
        </w:rPr>
        <w:t xml:space="preserve"> لا يقال في البارئ أنه مباينٌ مخلوقاتَه ولا متصل بها، لأن ذلك إنما يكون للمتحيزات، وما يقال من أن المحلَّ لا يخلو عن الاتصاف بالمعنى وضدّه [أي نقيضه] فهو مشروط بصحة الاتصاف أولاً، وأمّا مع امتناعه فلا، بل يجوز الخلوُّ عن المعنى وضدِّه كما يقال في الجماد لا عالم ولا جاهل ولا قادر ولا عاجز ولا كاتب ولا أمّي، وصحة الاتصاف بهـذه المباينـة [أي المباينة في الحيز والجهة] مشروط بالحصول في الجهة، على ما تقرر من مدلولها، والبارئ منزه عن ذلك، ذكره ابن التلمساني في شرح اللمع لإمام الحرمين، وقال</w:t>
      </w:r>
      <w:r w:rsidR="000636C2">
        <w:rPr>
          <w:rtl/>
          <w:lang w:bidi="ar-KW"/>
        </w:rPr>
        <w:t>:</w:t>
      </w:r>
      <w:r w:rsidRPr="005675B2">
        <w:rPr>
          <w:rtl/>
          <w:lang w:bidi="ar-KW"/>
        </w:rPr>
        <w:t xml:space="preserve"> " ولا يقال في البارئ مباين للعالم ولا متصل به، ولا داخل فيه ولا خارج عنه</w:t>
      </w:r>
      <w:r w:rsidR="000636C2">
        <w:rPr>
          <w:rtl/>
          <w:lang w:bidi="ar-KW"/>
        </w:rPr>
        <w:t>،</w:t>
      </w:r>
      <w:r w:rsidRPr="005675B2">
        <w:rPr>
          <w:rtl/>
          <w:lang w:bidi="ar-KW"/>
        </w:rPr>
        <w:t xml:space="preserve"> " .. وأما </w:t>
      </w:r>
      <w:r w:rsidRPr="005675B2">
        <w:rPr>
          <w:bCs/>
          <w:rtl/>
          <w:lang w:bidi="ar-KW"/>
        </w:rPr>
        <w:t>المعنى الآخر</w:t>
      </w:r>
      <w:r w:rsidRPr="005675B2">
        <w:rPr>
          <w:rtl/>
          <w:lang w:bidi="ar-KW"/>
        </w:rPr>
        <w:t xml:space="preserve"> للمباينة فهو المغايرة والمخالفة، فيقال</w:t>
      </w:r>
      <w:r w:rsidR="000636C2">
        <w:rPr>
          <w:rtl/>
          <w:lang w:bidi="ar-KW"/>
        </w:rPr>
        <w:t>:</w:t>
      </w:r>
      <w:r w:rsidRPr="005675B2">
        <w:rPr>
          <w:rtl/>
          <w:lang w:bidi="ar-KW"/>
        </w:rPr>
        <w:t xml:space="preserve"> البارئ مباين لمخلوقاته في ذاته وهويته ووجوده وصفاته، ويقابله الاتحاد والامتزاج والاختلاط، </w:t>
      </w:r>
      <w:r w:rsidRPr="005675B2">
        <w:rPr>
          <w:bCs/>
          <w:rtl/>
          <w:lang w:bidi="ar-KW"/>
        </w:rPr>
        <w:t>وهذه المباينة هي مذهب أهل الحق</w:t>
      </w:r>
      <w:r w:rsidRPr="005675B2">
        <w:rPr>
          <w:rtl/>
          <w:lang w:bidi="ar-KW"/>
        </w:rPr>
        <w:t xml:space="preserve"> </w:t>
      </w:r>
      <w:r w:rsidRPr="005675B2">
        <w:rPr>
          <w:bCs/>
          <w:rtl/>
          <w:lang w:bidi="ar-KW"/>
        </w:rPr>
        <w:t>كلهم من جمهور السلف وعلماء الشرائع والمتكلمين والمتصوفة الأقدمين كأهـل الرسالـة</w:t>
      </w:r>
      <w:r w:rsidRPr="005675B2">
        <w:rPr>
          <w:rtl/>
          <w:lang w:bidi="ar-KW"/>
        </w:rPr>
        <w:t xml:space="preserve"> [أي من جاء ذكرهم في رسالة القشيري] ومن نحا منحاهم</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ابن الجوزي- رحمه الله تعالى - </w:t>
      </w:r>
      <w:r w:rsidR="000636C2">
        <w:rPr>
          <w:rtl/>
          <w:lang w:bidi="ar-KW"/>
        </w:rPr>
        <w:t>(</w:t>
      </w:r>
      <w:r w:rsidRPr="005675B2">
        <w:rPr>
          <w:rtl/>
          <w:lang w:bidi="ar-KW"/>
        </w:rPr>
        <w:t>دفع شبه التشبيه ص 130</w:t>
      </w:r>
      <w:r w:rsidR="000636C2">
        <w:rPr>
          <w:rtl/>
          <w:lang w:bidi="ar-KW"/>
        </w:rPr>
        <w:t>):</w:t>
      </w:r>
      <w:r w:rsidRPr="005675B2">
        <w:rPr>
          <w:rFonts w:hint="cs"/>
          <w:rtl/>
          <w:lang w:bidi="ar-KW"/>
        </w:rPr>
        <w:t xml:space="preserve"> </w:t>
      </w:r>
      <w:r w:rsidR="000636C2">
        <w:rPr>
          <w:rtl/>
          <w:lang w:bidi="ar-KW"/>
        </w:rPr>
        <w:t>(</w:t>
      </w:r>
      <w:r w:rsidRPr="005675B2">
        <w:rPr>
          <w:rtl/>
          <w:lang w:bidi="ar-KW"/>
        </w:rPr>
        <w:t>فإن التجاور والتباين من لوازم المتحيز في المتحيزات، وقد ثبت أن الاجتماع والافتراق من لوازم المتحيز، والحق سبحانه وتعالى لا يوصف بالتحيز .. وكذا ينبغي أن يقال</w:t>
      </w:r>
      <w:r w:rsidR="000636C2">
        <w:rPr>
          <w:rtl/>
          <w:lang w:bidi="ar-KW"/>
        </w:rPr>
        <w:t>:</w:t>
      </w:r>
      <w:r w:rsidRPr="005675B2">
        <w:rPr>
          <w:rtl/>
          <w:lang w:bidi="ar-KW"/>
        </w:rPr>
        <w:t xml:space="preserve"> ليس بداخل العالم وليس بخارج منه، لأن الدخول والخروج من لوازم المتحيزات وهما كالحركة والسكون وسائر الأعراض التي تختص بالأجرام ..</w:t>
      </w:r>
      <w:r w:rsidR="000636C2">
        <w:rPr>
          <w:rtl/>
          <w:lang w:bidi="ar-KW"/>
        </w:rPr>
        <w:t>،</w:t>
      </w:r>
      <w:r w:rsidRPr="005675B2">
        <w:rPr>
          <w:rtl/>
          <w:lang w:bidi="ar-KW"/>
        </w:rPr>
        <w:t xml:space="preserve"> وكلام هؤلاء كله مبني على الحس، وقد حملهم الحس على التشبيه والتخليط</w:t>
      </w:r>
      <w:r w:rsidR="000636C2">
        <w:rPr>
          <w:rtl/>
          <w:lang w:bidi="ar-KW"/>
        </w:rPr>
        <w:t>)</w:t>
      </w:r>
      <w:r w:rsidRPr="005675B2">
        <w:rPr>
          <w:rtl/>
          <w:lang w:bidi="ar-KW"/>
        </w:rPr>
        <w:t xml:space="preserve"> اهـ</w:t>
      </w:r>
      <w:r w:rsidR="000636C2">
        <w:rPr>
          <w:rtl/>
          <w:lang w:bidi="ar-KW"/>
        </w:rPr>
        <w:t xml:space="preserve">، </w:t>
      </w:r>
      <w:r w:rsidRPr="005675B2">
        <w:rPr>
          <w:rtl/>
          <w:lang w:bidi="ar-KW"/>
        </w:rPr>
        <w:t>ولقد فرعوا على القول بأن الله تعالى بائن بذاته من خلقه</w:t>
      </w:r>
      <w:r w:rsidR="000636C2">
        <w:rPr>
          <w:rtl/>
          <w:lang w:bidi="ar-KW"/>
        </w:rPr>
        <w:t xml:space="preserve"> </w:t>
      </w:r>
      <w:r w:rsidRPr="005675B2">
        <w:rPr>
          <w:rtl/>
          <w:lang w:bidi="ar-KW"/>
        </w:rPr>
        <w:t>- وهي بينونة حسية</w:t>
      </w:r>
      <w:r w:rsidR="000636C2">
        <w:rPr>
          <w:rtl/>
          <w:lang w:bidi="ar-KW"/>
        </w:rPr>
        <w:t xml:space="preserve"> </w:t>
      </w:r>
      <w:r w:rsidRPr="005675B2">
        <w:rPr>
          <w:rtl/>
          <w:lang w:bidi="ar-KW"/>
        </w:rPr>
        <w:t>- وعلى إثبات الحد له سبحانه وتعالى، فرعوا على ذلك القول بالجهة لله تعالى أي أنه تعالى بجهة الفوق حساً ويشار إليه بالإشارة الحسية، ونسبوا لله تعالى المكان</w:t>
      </w:r>
      <w:r w:rsidR="000636C2">
        <w:rPr>
          <w:rtl/>
          <w:lang w:bidi="ar-KW"/>
        </w:rPr>
        <w:t>،</w:t>
      </w:r>
      <w:r w:rsidRPr="005675B2">
        <w:rPr>
          <w:rtl/>
          <w:lang w:bidi="ar-KW"/>
        </w:rPr>
        <w:t xml:space="preserve"> </w:t>
      </w:r>
    </w:p>
    <w:p w14:paraId="00F0F92A" w14:textId="366AFEF5" w:rsidR="009C32A0" w:rsidRPr="005675B2" w:rsidRDefault="009C32A0" w:rsidP="000636C2">
      <w:pPr>
        <w:widowControl w:val="0"/>
        <w:spacing w:before="80" w:after="240"/>
        <w:rPr>
          <w:b/>
          <w:bCs/>
          <w:rtl/>
        </w:rPr>
      </w:pPr>
      <w:r w:rsidRPr="005675B2">
        <w:rPr>
          <w:bCs/>
          <w:rtl/>
          <w:lang w:bidi="ar-KW"/>
        </w:rPr>
        <w:t>وهذه أقوال الأئمة الثقات بنفي الجهة عن الله تعالى وتنزيهه عن المكان</w:t>
      </w:r>
      <w:r w:rsidR="000636C2">
        <w:rPr>
          <w:rtl/>
          <w:lang w:bidi="ar-KW"/>
        </w:rPr>
        <w:t>:</w:t>
      </w:r>
      <w:r w:rsidRPr="005675B2">
        <w:rPr>
          <w:rFonts w:hint="cs"/>
          <w:rtl/>
          <w:lang w:bidi="ar-KW"/>
        </w:rPr>
        <w:t xml:space="preserve"> </w:t>
      </w:r>
      <w:r w:rsidRPr="005675B2">
        <w:rPr>
          <w:bCs/>
          <w:rtl/>
        </w:rPr>
        <w:t>* تنزيه الإمام مالك لله تعالى عن الجهة والمكان والعلو والنزول الحسي</w:t>
      </w:r>
      <w:r w:rsidR="000636C2">
        <w:rPr>
          <w:bCs/>
          <w:rtl/>
        </w:rPr>
        <w:t>:</w:t>
      </w:r>
      <w:r w:rsidRPr="005675B2">
        <w:rPr>
          <w:rFonts w:hint="cs"/>
          <w:rtl/>
          <w:lang w:bidi="ar-KW"/>
        </w:rPr>
        <w:t xml:space="preserve"> </w:t>
      </w:r>
      <w:r w:rsidRPr="005675B2">
        <w:rPr>
          <w:rtl/>
        </w:rPr>
        <w:t>ذكر الإمام قاضي القضاة ناصر الدين بن المنير الإسكندري المالكي في كتابه" المنتقى في شرف المصطفى "لما تكلم على الجهة وقرر نفيها قال</w:t>
      </w:r>
      <w:r w:rsidR="000636C2">
        <w:rPr>
          <w:rtl/>
        </w:rPr>
        <w:t>:</w:t>
      </w:r>
      <w:r w:rsidRPr="005675B2">
        <w:rPr>
          <w:rFonts w:hint="cs"/>
          <w:rtl/>
          <w:lang w:bidi="ar-KW"/>
        </w:rPr>
        <w:t xml:space="preserve"> </w:t>
      </w:r>
      <w:r w:rsidR="000636C2">
        <w:rPr>
          <w:rtl/>
        </w:rPr>
        <w:t>(</w:t>
      </w:r>
      <w:r w:rsidRPr="005675B2">
        <w:rPr>
          <w:rtl/>
        </w:rPr>
        <w:t>ولهذا أشار مالك رحمه الله تعالى في قوله " لا تفضلوني على يونس بن متى " فقال مالك</w:t>
      </w:r>
      <w:r w:rsidR="000636C2">
        <w:rPr>
          <w:rtl/>
        </w:rPr>
        <w:t>:</w:t>
      </w:r>
      <w:r w:rsidRPr="005675B2">
        <w:rPr>
          <w:rtl/>
        </w:rPr>
        <w:t xml:space="preserve"> إنما خص يونس لل</w:t>
      </w:r>
      <w:r w:rsidR="000636C2">
        <w:rPr>
          <w:rtl/>
        </w:rPr>
        <w:t>(</w:t>
      </w:r>
      <w:r>
        <w:rPr>
          <w:rtl/>
        </w:rPr>
        <w:t>تنبيه</w:t>
      </w:r>
      <w:r w:rsidR="000636C2">
        <w:rPr>
          <w:rtl/>
        </w:rPr>
        <w:t>)</w:t>
      </w:r>
      <w:r w:rsidRPr="005675B2">
        <w:rPr>
          <w:rtl/>
        </w:rPr>
        <w:t xml:space="preserve"> على التنزيه لأنه،</w:t>
      </w:r>
      <w:r w:rsidRPr="005675B2">
        <w:rPr>
          <w:rtl/>
          <w:lang w:bidi="ar-KW"/>
        </w:rPr>
        <w:t xml:space="preserve"> </w:t>
      </w:r>
      <w:r w:rsidRPr="005675B2">
        <w:rPr>
          <w:rtl/>
        </w:rPr>
        <w:t>رفع إلى العرش ويونس عليه السلام هبط إلى قاموس البحر ونسبتهما مع ذلك من حيث الجهة إلى الحق جل جلاله نسبة واحدة ولو كان الفضل بالمكان لكان عليه السلام أقرب من يونس بن متى وأفـضـل، ولَمَا نهى عن ذلك</w:t>
      </w:r>
      <w:r w:rsidR="000636C2">
        <w:rPr>
          <w:rtl/>
        </w:rPr>
        <w:t>)</w:t>
      </w:r>
      <w:r w:rsidRPr="005675B2">
        <w:rPr>
          <w:rtl/>
        </w:rPr>
        <w:t xml:space="preserve"> اهـ</w:t>
      </w:r>
      <w:r w:rsidR="000636C2">
        <w:rPr>
          <w:rtl/>
        </w:rPr>
        <w:t xml:space="preserve">، </w:t>
      </w:r>
      <w:r w:rsidRPr="005675B2">
        <w:rPr>
          <w:rtl/>
        </w:rPr>
        <w:t>ثم أخذ الإمام ناصر الدين يبين أن الفضل بالمكانة لا بالمكان لأن العرش في الرفيق الأعلى فهو أفضل من السفلى</w:t>
      </w:r>
      <w:r w:rsidR="000636C2">
        <w:rPr>
          <w:rtl/>
        </w:rPr>
        <w:t>،</w:t>
      </w:r>
      <w:r w:rsidRPr="005675B2">
        <w:rPr>
          <w:rtl/>
        </w:rPr>
        <w:t xml:space="preserve"> </w:t>
      </w:r>
      <w:r w:rsidR="000636C2">
        <w:rPr>
          <w:rtl/>
        </w:rPr>
        <w:t>(</w:t>
      </w:r>
      <w:r w:rsidRPr="005675B2">
        <w:rPr>
          <w:rtl/>
        </w:rPr>
        <w:t>إتحاف السادة المتقين 2/ 105</w:t>
      </w:r>
      <w:r w:rsidR="000636C2">
        <w:rPr>
          <w:rtl/>
        </w:rPr>
        <w:t xml:space="preserve">)، </w:t>
      </w:r>
      <w:r w:rsidRPr="005675B2">
        <w:rPr>
          <w:rtl/>
          <w:lang w:bidi="ar-KW"/>
        </w:rPr>
        <w:t xml:space="preserve">وقال الإمام مالك رضي الله عنه في تأويله للنزول في الحديث </w:t>
      </w:r>
      <w:r w:rsidR="000636C2">
        <w:rPr>
          <w:rtl/>
          <w:lang w:bidi="ar-KW"/>
        </w:rPr>
        <w:t>(</w:t>
      </w:r>
      <w:r w:rsidRPr="005675B2">
        <w:rPr>
          <w:rtl/>
          <w:lang w:bidi="ar-KW"/>
        </w:rPr>
        <w:t>ينزل أمره كل سحر، فأما هو عز وجل فإنه دائم لا يزول ولا ينتقل، سبحانه لا إله إلا هو</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000636C2">
        <w:rPr>
          <w:rtl/>
        </w:rPr>
        <w:t>(</w:t>
      </w:r>
      <w:r w:rsidRPr="005675B2">
        <w:rPr>
          <w:rtl/>
        </w:rPr>
        <w:t>التمهيد 7 / 143، شرح صحيح مسلم للنووي 6/ 37، سير أعلام النبلاء 8 / 105، الإنصاف لابن السيد البطليوسي ص / 81</w:t>
      </w:r>
      <w:r w:rsidR="000636C2">
        <w:rPr>
          <w:rtl/>
        </w:rPr>
        <w:t>)</w:t>
      </w:r>
      <w:r w:rsidRPr="005675B2">
        <w:rPr>
          <w:rtl/>
        </w:rPr>
        <w:t xml:space="preserve"> قال الإمام ابن عبد البر بعد نقله لقول مالك</w:t>
      </w:r>
      <w:r w:rsidR="000636C2">
        <w:rPr>
          <w:rtl/>
        </w:rPr>
        <w:t>:</w:t>
      </w:r>
      <w:r w:rsidRPr="005675B2">
        <w:rPr>
          <w:rtl/>
        </w:rPr>
        <w:t xml:space="preserve"> </w:t>
      </w:r>
      <w:r w:rsidR="000636C2">
        <w:rPr>
          <w:rtl/>
        </w:rPr>
        <w:t>(</w:t>
      </w:r>
      <w:r w:rsidRPr="005675B2">
        <w:rPr>
          <w:rtl/>
        </w:rPr>
        <w:t>وقد يحتمل أن يكون كما قال مالك رحمه الله على معنى أنه تتنزل رحمته وقضاؤه بالعفو والاستجابة</w:t>
      </w:r>
      <w:r w:rsidR="000636C2">
        <w:rPr>
          <w:rtl/>
        </w:rPr>
        <w:t>)</w:t>
      </w:r>
      <w:r w:rsidRPr="005675B2">
        <w:rPr>
          <w:rtl/>
        </w:rPr>
        <w:t xml:space="preserve"> ثم قال بعد أن ذكر قول الذين يقولون</w:t>
      </w:r>
      <w:r w:rsidR="000636C2">
        <w:rPr>
          <w:rtl/>
        </w:rPr>
        <w:t>:</w:t>
      </w:r>
      <w:r w:rsidRPr="005675B2">
        <w:rPr>
          <w:rtl/>
        </w:rPr>
        <w:t xml:space="preserve"> ينزل بذاته</w:t>
      </w:r>
      <w:r w:rsidR="000636C2">
        <w:rPr>
          <w:rtl/>
        </w:rPr>
        <w:t>،</w:t>
      </w:r>
      <w:r w:rsidRPr="005675B2">
        <w:rPr>
          <w:rtl/>
        </w:rPr>
        <w:t xml:space="preserve"> قال رحمه الله تعالى</w:t>
      </w:r>
      <w:r w:rsidR="000636C2">
        <w:rPr>
          <w:rtl/>
        </w:rPr>
        <w:t>:</w:t>
      </w:r>
      <w:r w:rsidRPr="005675B2">
        <w:rPr>
          <w:rtl/>
        </w:rPr>
        <w:t xml:space="preserve"> </w:t>
      </w:r>
      <w:r w:rsidR="000636C2">
        <w:rPr>
          <w:rtl/>
        </w:rPr>
        <w:t>(</w:t>
      </w:r>
      <w:r w:rsidRPr="005675B2">
        <w:rPr>
          <w:rtl/>
        </w:rPr>
        <w:t>ليس هذا بشيء عند أهل الفهم من أهل السنة، لأن هذا كيفية، وهم يفزعون منها لأنها لا تصلح إلا فيما يحاط به عياناً وقد جل الله وتعالى عن ذلك</w:t>
      </w:r>
      <w:r w:rsidR="000636C2">
        <w:rPr>
          <w:rtl/>
        </w:rPr>
        <w:t>)،</w:t>
      </w:r>
      <w:r w:rsidRPr="005675B2">
        <w:rPr>
          <w:rtl/>
        </w:rPr>
        <w:t xml:space="preserve"> </w:t>
      </w:r>
    </w:p>
    <w:p w14:paraId="3793839F" w14:textId="298A0D56" w:rsidR="009C32A0" w:rsidRPr="005675B2" w:rsidRDefault="009C32A0" w:rsidP="000636C2">
      <w:pPr>
        <w:widowControl w:val="0"/>
        <w:spacing w:before="80" w:after="240"/>
        <w:rPr>
          <w:rtl/>
          <w:lang w:bidi="ar-KW"/>
        </w:rPr>
      </w:pPr>
      <w:r w:rsidRPr="005675B2">
        <w:rPr>
          <w:bCs/>
          <w:rtl/>
        </w:rPr>
        <w:t>* قول الإمام الطبري في نفي العلو الحسي</w:t>
      </w:r>
      <w:r w:rsidR="000636C2">
        <w:rPr>
          <w:bCs/>
          <w:rtl/>
        </w:rPr>
        <w:t>:</w:t>
      </w:r>
      <w:r w:rsidRPr="005675B2">
        <w:rPr>
          <w:rFonts w:hint="cs"/>
          <w:bCs/>
          <w:rtl/>
          <w:lang w:bidi="ar-KW"/>
        </w:rPr>
        <w:t xml:space="preserve"> </w:t>
      </w:r>
      <w:r w:rsidRPr="005675B2">
        <w:rPr>
          <w:rtl/>
        </w:rPr>
        <w:t>قال الإمام ابن جرير الطبري - رحمه الله تعالى - عند تفسير قوله عز وجل</w:t>
      </w:r>
      <w:r w:rsidR="000636C2">
        <w:rPr>
          <w:rFonts w:hint="cs"/>
          <w:rtl/>
        </w:rPr>
        <w:t xml:space="preserve">، </w:t>
      </w:r>
      <w:r w:rsidR="000636C2">
        <w:rPr>
          <w:bCs/>
          <w:rtl/>
        </w:rPr>
        <w:t>(</w:t>
      </w:r>
      <w:r w:rsidRPr="005675B2">
        <w:rPr>
          <w:bCs/>
          <w:rtl/>
        </w:rPr>
        <w:t>وه</w:t>
      </w:r>
      <w:r w:rsidRPr="005675B2">
        <w:rPr>
          <w:rFonts w:hint="cs"/>
          <w:bCs/>
          <w:rtl/>
        </w:rPr>
        <w:t>و</w:t>
      </w:r>
      <w:r w:rsidRPr="005675B2">
        <w:rPr>
          <w:bCs/>
          <w:rtl/>
        </w:rPr>
        <w:t xml:space="preserve"> القاهر فوق عباده</w:t>
      </w:r>
      <w:r w:rsidR="000636C2">
        <w:rPr>
          <w:bCs/>
          <w:rtl/>
        </w:rPr>
        <w:t>)</w:t>
      </w:r>
      <w:r w:rsidRPr="005675B2">
        <w:rPr>
          <w:rtl/>
        </w:rPr>
        <w:t xml:space="preserve"> </w:t>
      </w:r>
      <w:r w:rsidR="000636C2">
        <w:rPr>
          <w:rtl/>
        </w:rPr>
        <w:t>(</w:t>
      </w:r>
      <w:r w:rsidRPr="005675B2">
        <w:rPr>
          <w:rtl/>
        </w:rPr>
        <w:t>7 / 103</w:t>
      </w:r>
      <w:r w:rsidR="000636C2">
        <w:rPr>
          <w:rtl/>
        </w:rPr>
        <w:t>)</w:t>
      </w:r>
      <w:r w:rsidRPr="005675B2">
        <w:rPr>
          <w:rtl/>
        </w:rPr>
        <w:t xml:space="preserve"> قال </w:t>
      </w:r>
      <w:r w:rsidR="000636C2">
        <w:rPr>
          <w:rtl/>
        </w:rPr>
        <w:t>(</w:t>
      </w:r>
      <w:r w:rsidRPr="005675B2">
        <w:rPr>
          <w:bCs/>
          <w:rtl/>
        </w:rPr>
        <w:t>فهو فوقهم بقهره إياهم وهم دونه</w:t>
      </w:r>
      <w:r w:rsidR="000636C2">
        <w:rPr>
          <w:bCs/>
          <w:rtl/>
        </w:rPr>
        <w:t>)</w:t>
      </w:r>
      <w:r w:rsidRPr="005675B2">
        <w:rPr>
          <w:rtl/>
        </w:rPr>
        <w:t xml:space="preserve"> فجعل - رحمه الله - فوقية الله على عباده فوقية القهر، وعباده دونه أي تحته من هذه الحيثية</w:t>
      </w:r>
      <w:r w:rsidR="000636C2">
        <w:rPr>
          <w:rtl/>
        </w:rPr>
        <w:t xml:space="preserve">، </w:t>
      </w:r>
      <w:r w:rsidRPr="005675B2">
        <w:rPr>
          <w:rtl/>
        </w:rPr>
        <w:t xml:space="preserve">وقال أيضاً مؤولاً علو الله تعالى على عرشه ونافياً للاستقرار والتحيز </w:t>
      </w:r>
      <w:r w:rsidR="000636C2">
        <w:rPr>
          <w:rtl/>
        </w:rPr>
        <w:t>(</w:t>
      </w:r>
      <w:r w:rsidRPr="005675B2">
        <w:rPr>
          <w:rtl/>
        </w:rPr>
        <w:t>1 / 192</w:t>
      </w:r>
      <w:r w:rsidR="000636C2">
        <w:rPr>
          <w:rtl/>
        </w:rPr>
        <w:t>):</w:t>
      </w:r>
      <w:r w:rsidRPr="005675B2">
        <w:rPr>
          <w:rtl/>
        </w:rPr>
        <w:t xml:space="preserve"> </w:t>
      </w:r>
      <w:r w:rsidR="000636C2">
        <w:rPr>
          <w:rtl/>
        </w:rPr>
        <w:t>(</w:t>
      </w:r>
      <w:r w:rsidRPr="005675B2">
        <w:rPr>
          <w:rtl/>
        </w:rPr>
        <w:t>علا عليه علو ملك وسلطان لا علو انتقال وزوال</w:t>
      </w:r>
      <w:r w:rsidR="000636C2">
        <w:rPr>
          <w:rtl/>
        </w:rPr>
        <w:t>)</w:t>
      </w:r>
      <w:r w:rsidRPr="005675B2">
        <w:rPr>
          <w:rtl/>
        </w:rPr>
        <w:t xml:space="preserve"> اهـ</w:t>
      </w:r>
      <w:r w:rsidR="000636C2">
        <w:rPr>
          <w:rtl/>
        </w:rPr>
        <w:t>،</w:t>
      </w:r>
      <w:r w:rsidRPr="005675B2">
        <w:rPr>
          <w:rtl/>
        </w:rPr>
        <w:t xml:space="preserve"> </w:t>
      </w:r>
      <w:r w:rsidRPr="005675B2">
        <w:rPr>
          <w:bCs/>
          <w:rtl/>
          <w:lang w:bidi="ar-KW"/>
        </w:rPr>
        <w:t>* قول القاضي عياض في صرف ألفاظ المتشابه عن ظاهرها ونقله اتفاق الأمة على ذلك</w:t>
      </w:r>
      <w:r w:rsidR="000636C2">
        <w:rPr>
          <w:bCs/>
          <w:rtl/>
          <w:lang w:bidi="ar-KW"/>
        </w:rPr>
        <w:t>:</w:t>
      </w:r>
      <w:r w:rsidRPr="005675B2">
        <w:rPr>
          <w:rFonts w:hint="cs"/>
          <w:rtl/>
          <w:lang w:bidi="ar-KW"/>
        </w:rPr>
        <w:t xml:space="preserve"> </w:t>
      </w:r>
      <w:r w:rsidRPr="005675B2">
        <w:rPr>
          <w:rtl/>
          <w:lang w:bidi="ar-KW"/>
        </w:rPr>
        <w:t xml:space="preserve">قال - رحمه الله تعالى - </w:t>
      </w:r>
      <w:r w:rsidR="000636C2">
        <w:rPr>
          <w:rtl/>
          <w:lang w:bidi="ar-KW"/>
        </w:rPr>
        <w:t>(</w:t>
      </w:r>
      <w:r w:rsidRPr="005675B2">
        <w:rPr>
          <w:rtl/>
          <w:lang w:bidi="ar-KW"/>
        </w:rPr>
        <w:t>إكمال المعلم 2/465، شرح صحيح مسلم للنووي 5 / 24</w:t>
      </w:r>
      <w:r w:rsidR="000636C2">
        <w:rPr>
          <w:rtl/>
          <w:lang w:bidi="ar-KW"/>
        </w:rPr>
        <w:t>):</w:t>
      </w:r>
      <w:r w:rsidRPr="005675B2">
        <w:rPr>
          <w:rFonts w:hint="cs"/>
          <w:rtl/>
          <w:lang w:bidi="ar-KW"/>
        </w:rPr>
        <w:t xml:space="preserve"> </w:t>
      </w:r>
      <w:r w:rsidR="000636C2">
        <w:rPr>
          <w:rtl/>
          <w:lang w:bidi="ar-KW"/>
        </w:rPr>
        <w:t>(</w:t>
      </w:r>
      <w:r w:rsidRPr="005675B2">
        <w:rPr>
          <w:rtl/>
          <w:lang w:bidi="ar-KW"/>
        </w:rPr>
        <w:t>لا خلاف بين المسلمين قاطبة فقيههم ومحدثهم ومتكلمهم ونظارهم ومقلدهم أن الظواهر الواردة بذكر الله تعالى في السمـاء كقوله تعالى</w:t>
      </w:r>
      <w:r w:rsidR="000636C2">
        <w:rPr>
          <w:bCs/>
          <w:rtl/>
          <w:lang w:bidi="ar-KW"/>
        </w:rPr>
        <w:t>(</w:t>
      </w:r>
      <w:r w:rsidRPr="005675B2">
        <w:rPr>
          <w:bCs/>
          <w:rtl/>
          <w:lang w:bidi="ar-KW"/>
        </w:rPr>
        <w:t>ءَأَمنتم من في السماء أن يخسف بكم الأرض</w:t>
      </w:r>
      <w:r w:rsidR="000636C2">
        <w:rPr>
          <w:bCs/>
          <w:rtl/>
          <w:lang w:bidi="ar-KW"/>
        </w:rPr>
        <w:t>)</w:t>
      </w:r>
      <w:r w:rsidRPr="005675B2">
        <w:rPr>
          <w:bCs/>
          <w:rtl/>
          <w:lang w:bidi="ar-KW"/>
        </w:rPr>
        <w:t xml:space="preserve"> </w:t>
      </w:r>
      <w:r w:rsidRPr="005675B2">
        <w:rPr>
          <w:rtl/>
          <w:lang w:bidi="ar-KW"/>
        </w:rPr>
        <w:t>ونحوه ليست على ظاهرها بل متأولة عند جميعهم</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bCs/>
          <w:rtl/>
          <w:lang w:bidi="ar-KW"/>
        </w:rPr>
        <w:t>* قول الإمام النووي</w:t>
      </w:r>
      <w:r w:rsidR="000636C2">
        <w:rPr>
          <w:bCs/>
          <w:rtl/>
          <w:lang w:bidi="ar-KW"/>
        </w:rPr>
        <w:t>:</w:t>
      </w:r>
      <w:r w:rsidRPr="005675B2">
        <w:rPr>
          <w:rFonts w:hint="cs"/>
          <w:bCs/>
          <w:rtl/>
          <w:lang w:bidi="ar-KW"/>
        </w:rPr>
        <w:t xml:space="preserve"> </w:t>
      </w:r>
      <w:r w:rsidRPr="005675B2">
        <w:rPr>
          <w:rtl/>
          <w:lang w:bidi="ar-KW"/>
        </w:rPr>
        <w:t>قال</w:t>
      </w:r>
      <w:r w:rsidR="000636C2">
        <w:rPr>
          <w:rtl/>
          <w:lang w:bidi="ar-KW"/>
        </w:rPr>
        <w:t xml:space="preserve"> </w:t>
      </w:r>
      <w:r w:rsidRPr="005675B2">
        <w:rPr>
          <w:rtl/>
          <w:lang w:bidi="ar-KW"/>
        </w:rPr>
        <w:t>- رحمه الله تعالى</w:t>
      </w:r>
      <w:r w:rsidR="000636C2">
        <w:rPr>
          <w:rtl/>
          <w:lang w:bidi="ar-KW"/>
        </w:rPr>
        <w:t xml:space="preserve"> </w:t>
      </w:r>
      <w:r w:rsidRPr="005675B2">
        <w:rPr>
          <w:rtl/>
          <w:lang w:bidi="ar-KW"/>
        </w:rPr>
        <w:t xml:space="preserve">- </w:t>
      </w:r>
      <w:r w:rsidR="000636C2">
        <w:rPr>
          <w:rtl/>
          <w:lang w:bidi="ar-KW"/>
        </w:rPr>
        <w:t>(</w:t>
      </w:r>
      <w:r w:rsidRPr="005675B2">
        <w:rPr>
          <w:rtl/>
          <w:lang w:bidi="ar-KW"/>
        </w:rPr>
        <w:t>روضة الطالبين 10 / 85</w:t>
      </w:r>
      <w:r w:rsidR="000636C2">
        <w:rPr>
          <w:rtl/>
          <w:lang w:bidi="ar-KW"/>
        </w:rPr>
        <w:t>):</w:t>
      </w:r>
      <w:r w:rsidRPr="005675B2">
        <w:rPr>
          <w:rFonts w:hint="cs"/>
          <w:rtl/>
          <w:lang w:bidi="ar-KW"/>
        </w:rPr>
        <w:t xml:space="preserve"> </w:t>
      </w:r>
      <w:r w:rsidR="000636C2">
        <w:rPr>
          <w:rtl/>
          <w:lang w:bidi="ar-KW"/>
        </w:rPr>
        <w:t>(</w:t>
      </w:r>
      <w:r w:rsidRPr="005675B2">
        <w:rPr>
          <w:rtl/>
          <w:lang w:bidi="ar-KW"/>
        </w:rPr>
        <w:t>ولو قال – يعني الكافر – لا إله إلا ساكن السماء، لم يكن مؤمناً، وكذا لو قال لا إله إلا الله ساكن السماء، لأن السكون محال على الله</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أيضاً</w:t>
      </w:r>
      <w:r w:rsidR="000636C2">
        <w:rPr>
          <w:rtl/>
          <w:lang w:bidi="ar-KW"/>
        </w:rPr>
        <w:t xml:space="preserve"> </w:t>
      </w:r>
      <w:r w:rsidRPr="005675B2">
        <w:rPr>
          <w:rtl/>
          <w:lang w:bidi="ar-KW"/>
        </w:rPr>
        <w:t>- رحمه الله تعالى</w:t>
      </w:r>
      <w:r w:rsidR="000636C2">
        <w:rPr>
          <w:rtl/>
          <w:lang w:bidi="ar-KW"/>
        </w:rPr>
        <w:t xml:space="preserve"> </w:t>
      </w:r>
      <w:r w:rsidRPr="005675B2">
        <w:rPr>
          <w:rtl/>
          <w:lang w:bidi="ar-KW"/>
        </w:rPr>
        <w:t xml:space="preserve">- في شرح حديث الجارية </w:t>
      </w:r>
      <w:r w:rsidR="000636C2">
        <w:rPr>
          <w:rtl/>
          <w:lang w:bidi="ar-KW"/>
        </w:rPr>
        <w:t>(</w:t>
      </w:r>
      <w:r w:rsidRPr="005675B2">
        <w:rPr>
          <w:rtl/>
          <w:lang w:bidi="ar-KW"/>
        </w:rPr>
        <w:t>شرح مسلم 5 / 24</w:t>
      </w:r>
      <w:r w:rsidR="000636C2">
        <w:rPr>
          <w:rtl/>
          <w:lang w:bidi="ar-KW"/>
        </w:rPr>
        <w:t>):</w:t>
      </w:r>
      <w:r w:rsidRPr="005675B2">
        <w:rPr>
          <w:rFonts w:hint="cs"/>
          <w:rtl/>
          <w:lang w:bidi="ar-KW"/>
        </w:rPr>
        <w:t xml:space="preserve"> </w:t>
      </w:r>
      <w:r w:rsidR="000636C2">
        <w:rPr>
          <w:rtl/>
          <w:lang w:bidi="ar-KW"/>
        </w:rPr>
        <w:t>(</w:t>
      </w:r>
      <w:r w:rsidRPr="005675B2">
        <w:rPr>
          <w:rtl/>
          <w:lang w:bidi="ar-KW"/>
        </w:rPr>
        <w:t>هذا حديث من أحاديث الصفات وفيها مذهبان، أحدهما الإيمان به من غير خوض في معناه مع اعتقاد أن الله تعالى ليس كمثله شيء وتنزيهه عن سمات المخلوقات</w:t>
      </w:r>
      <w:r w:rsidR="000636C2">
        <w:rPr>
          <w:rtl/>
          <w:lang w:bidi="ar-KW"/>
        </w:rPr>
        <w:t>،</w:t>
      </w:r>
      <w:r w:rsidRPr="005675B2">
        <w:rPr>
          <w:rtl/>
          <w:lang w:bidi="ar-KW"/>
        </w:rPr>
        <w:t xml:space="preserve"> والثاني</w:t>
      </w:r>
      <w:r w:rsidR="000636C2">
        <w:rPr>
          <w:rtl/>
          <w:lang w:bidi="ar-KW"/>
        </w:rPr>
        <w:t>:</w:t>
      </w:r>
      <w:r w:rsidRPr="005675B2">
        <w:rPr>
          <w:rtl/>
          <w:lang w:bidi="ar-KW"/>
        </w:rPr>
        <w:t xml:space="preserve"> تأويله بما يليق</w:t>
      </w:r>
      <w:r w:rsidR="000636C2">
        <w:rPr>
          <w:rtl/>
          <w:lang w:bidi="ar-KW"/>
        </w:rPr>
        <w:t>،</w:t>
      </w:r>
      <w:r w:rsidRPr="005675B2">
        <w:rPr>
          <w:rtl/>
          <w:lang w:bidi="ar-KW"/>
        </w:rPr>
        <w:t xml:space="preserve"> فمن قال بهذا قال</w:t>
      </w:r>
      <w:r w:rsidR="000636C2">
        <w:rPr>
          <w:rtl/>
          <w:lang w:bidi="ar-KW"/>
        </w:rPr>
        <w:t>:</w:t>
      </w:r>
      <w:r w:rsidRPr="005675B2">
        <w:rPr>
          <w:rtl/>
          <w:lang w:bidi="ar-KW"/>
        </w:rPr>
        <w:t xml:space="preserve"> كأن المراد امتحان الجارية هل هي موحدة تُقرّ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 أو هي من عبدة الأوثـان التي بين أيديهم، فلما قـالت</w:t>
      </w:r>
      <w:r w:rsidR="000636C2">
        <w:rPr>
          <w:rtl/>
          <w:lang w:bidi="ar-KW"/>
        </w:rPr>
        <w:t>:</w:t>
      </w:r>
      <w:r w:rsidRPr="005675B2">
        <w:rPr>
          <w:rtl/>
          <w:lang w:bidi="ar-KW"/>
        </w:rPr>
        <w:t xml:space="preserve"> في السمـاء عُلم أنها موحـدة وليست عابـدة للأوثان</w:t>
      </w:r>
      <w:r w:rsidR="000636C2">
        <w:rPr>
          <w:rtl/>
          <w:lang w:bidi="ar-KW"/>
        </w:rPr>
        <w:t>)</w:t>
      </w:r>
      <w:r w:rsidRPr="005675B2">
        <w:rPr>
          <w:rtl/>
          <w:lang w:bidi="ar-KW"/>
        </w:rPr>
        <w:t xml:space="preserve"> اهـ</w:t>
      </w:r>
      <w:r w:rsidR="000636C2">
        <w:rPr>
          <w:rtl/>
          <w:lang w:bidi="ar-KW"/>
        </w:rPr>
        <w:t xml:space="preserve">، </w:t>
      </w:r>
      <w:r w:rsidRPr="005675B2">
        <w:rPr>
          <w:bCs/>
          <w:rtl/>
          <w:lang w:bidi="ar-KW"/>
        </w:rPr>
        <w:t>* قول الحافظ ابن حجر العسقلاني</w:t>
      </w:r>
      <w:r w:rsidR="000636C2">
        <w:rPr>
          <w:bCs/>
          <w:rtl/>
          <w:lang w:bidi="ar-KW"/>
        </w:rPr>
        <w:t>:</w:t>
      </w:r>
      <w:r w:rsidRPr="005675B2">
        <w:rPr>
          <w:rFonts w:hint="cs"/>
          <w:bCs/>
          <w:rtl/>
          <w:lang w:bidi="ar-KW"/>
        </w:rPr>
        <w:t xml:space="preserve"> </w:t>
      </w:r>
      <w:r w:rsidRPr="005675B2">
        <w:rPr>
          <w:rtl/>
        </w:rPr>
        <w:t xml:space="preserve">قال - رحمه الله تعالى - </w:t>
      </w:r>
      <w:r w:rsidR="000636C2">
        <w:rPr>
          <w:rtl/>
        </w:rPr>
        <w:t>(</w:t>
      </w:r>
      <w:r w:rsidRPr="005675B2">
        <w:rPr>
          <w:rtl/>
        </w:rPr>
        <w:t>الفتح 6 / 158</w:t>
      </w:r>
      <w:r w:rsidR="000636C2">
        <w:rPr>
          <w:rtl/>
        </w:rPr>
        <w:t>):</w:t>
      </w:r>
      <w:r w:rsidRPr="005675B2">
        <w:rPr>
          <w:rtl/>
        </w:rPr>
        <w:t xml:space="preserve"> </w:t>
      </w:r>
      <w:r w:rsidR="000636C2">
        <w:rPr>
          <w:bCs/>
          <w:rtl/>
        </w:rPr>
        <w:t>(</w:t>
      </w:r>
      <w:r w:rsidRPr="005675B2">
        <w:rPr>
          <w:bCs/>
          <w:rtl/>
        </w:rPr>
        <w:t>ولا يلزم من كون جهتي العلو والسفل محال على الله أن لا يوصف بالعلو، لأن وصفه بالعلو، من جهة المعنى، والمستحيل كون ذلك من جهة الحس</w:t>
      </w:r>
      <w:r w:rsidR="000636C2">
        <w:rPr>
          <w:bCs/>
          <w:rtl/>
        </w:rPr>
        <w:t>)</w:t>
      </w:r>
      <w:r w:rsidRPr="005675B2">
        <w:rPr>
          <w:rtl/>
        </w:rPr>
        <w:t xml:space="preserve"> اهـ</w:t>
      </w:r>
      <w:r w:rsidR="000636C2">
        <w:rPr>
          <w:rtl/>
        </w:rPr>
        <w:t>،</w:t>
      </w:r>
      <w:r w:rsidRPr="005675B2">
        <w:rPr>
          <w:rtl/>
        </w:rPr>
        <w:t xml:space="preserve"> وقال - أيضاً - معلقاً على حديث </w:t>
      </w:r>
      <w:r w:rsidRPr="005675B2">
        <w:rPr>
          <w:bCs/>
          <w:rtl/>
        </w:rPr>
        <w:t>"إن أحدكم إذا قام في صلاته فإنه يناجي ربه أو</w:t>
      </w:r>
      <w:r w:rsidRPr="005675B2">
        <w:rPr>
          <w:rtl/>
        </w:rPr>
        <w:t xml:space="preserve"> </w:t>
      </w:r>
      <w:r w:rsidRPr="005675B2">
        <w:rPr>
          <w:bCs/>
          <w:rtl/>
        </w:rPr>
        <w:t>إن ربه بينه وبين القبلة فلا يبزقن أحدكم قبل قبلته "</w:t>
      </w:r>
      <w:r w:rsidR="000636C2">
        <w:rPr>
          <w:rtl/>
        </w:rPr>
        <w:t>:</w:t>
      </w:r>
      <w:r w:rsidRPr="005675B2">
        <w:rPr>
          <w:rFonts w:hint="cs"/>
          <w:rtl/>
        </w:rPr>
        <w:t xml:space="preserve"> </w:t>
      </w:r>
      <w:r w:rsidR="000636C2">
        <w:rPr>
          <w:rtl/>
        </w:rPr>
        <w:t>(</w:t>
      </w:r>
      <w:r w:rsidRPr="005675B2">
        <w:rPr>
          <w:rtl/>
        </w:rPr>
        <w:t>وفيه رد على من زعم أنه - تعالى - على العرش بذاته</w:t>
      </w:r>
      <w:r w:rsidR="000636C2">
        <w:rPr>
          <w:rtl/>
        </w:rPr>
        <w:t>)</w:t>
      </w:r>
      <w:r w:rsidRPr="005675B2">
        <w:rPr>
          <w:rtl/>
        </w:rPr>
        <w:t xml:space="preserve"> اهـ </w:t>
      </w:r>
      <w:r w:rsidR="000636C2">
        <w:rPr>
          <w:rtl/>
        </w:rPr>
        <w:t>(</w:t>
      </w:r>
      <w:r w:rsidRPr="005675B2">
        <w:rPr>
          <w:rtl/>
        </w:rPr>
        <w:t>الفتح 1 /508</w:t>
      </w:r>
      <w:r w:rsidR="000636C2">
        <w:rPr>
          <w:rtl/>
        </w:rPr>
        <w:t>)</w:t>
      </w:r>
      <w:r w:rsidR="000636C2">
        <w:rPr>
          <w:rtl/>
          <w:lang w:bidi="ar-KW"/>
        </w:rPr>
        <w:t>،</w:t>
      </w:r>
      <w:r w:rsidRPr="005675B2">
        <w:rPr>
          <w:rtl/>
          <w:lang w:bidi="ar-KW"/>
        </w:rPr>
        <w:t xml:space="preserve"> وقال أيضاً منزهاً لله تعالى عن الجهة والمكان عند كلامه على حديث " لا شخص أغير من الله " </w:t>
      </w:r>
      <w:r w:rsidR="000636C2">
        <w:rPr>
          <w:rtl/>
          <w:lang w:bidi="ar-KW"/>
        </w:rPr>
        <w:t>(</w:t>
      </w:r>
      <w:r w:rsidRPr="005675B2">
        <w:rPr>
          <w:rtl/>
          <w:lang w:bidi="ar-KW"/>
        </w:rPr>
        <w:t>الفتح 13 / 413</w:t>
      </w:r>
      <w:r w:rsidR="000636C2">
        <w:rPr>
          <w:rtl/>
          <w:lang w:bidi="ar-KW"/>
        </w:rPr>
        <w:t>):</w:t>
      </w:r>
      <w:r w:rsidRPr="005675B2">
        <w:rPr>
          <w:rFonts w:hint="cs"/>
          <w:rtl/>
          <w:lang w:bidi="ar-KW"/>
        </w:rPr>
        <w:t xml:space="preserve"> </w:t>
      </w:r>
      <w:r w:rsidR="000636C2">
        <w:rPr>
          <w:rtl/>
          <w:lang w:bidi="ar-KW"/>
        </w:rPr>
        <w:t>(</w:t>
      </w:r>
      <w:r w:rsidRPr="005675B2">
        <w:rPr>
          <w:rtl/>
          <w:lang w:bidi="ar-KW"/>
        </w:rPr>
        <w:t>وكأن لفظ الشخص أطلق مبالغة في إثبات إيمان من يتعذر على فهمه موجود لا يشبه شيئاً من الموجـودات، لئلا يفضي به إلى النفي والتعطيـل، وهو نحو قولـه</w:t>
      </w:r>
      <w:r w:rsidR="000636C2">
        <w:rPr>
          <w:rtl/>
          <w:lang w:bidi="ar-KW"/>
        </w:rPr>
        <w:t xml:space="preserve"> </w:t>
      </w:r>
      <w:r w:rsidRPr="005675B2">
        <w:rPr>
          <w:rtl/>
          <w:lang w:bidi="ar-KW"/>
        </w:rPr>
        <w:t>للجارية " أين الله " قالت</w:t>
      </w:r>
      <w:r w:rsidR="000636C2">
        <w:rPr>
          <w:rtl/>
          <w:lang w:bidi="ar-KW"/>
        </w:rPr>
        <w:t>:</w:t>
      </w:r>
      <w:r w:rsidRPr="005675B2">
        <w:rPr>
          <w:rtl/>
          <w:lang w:bidi="ar-KW"/>
        </w:rPr>
        <w:t xml:space="preserve"> " في السماء "، فحكم بإيمانها مخافة أن تقع في التعطيل لقصور فهمها عمّا ينبغي له من تنزيهـه مما يقتضـي التشبيـه تعـالى الله عن ذلك علوّا كبيراً</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ناقلاً قول ابن بطال مؤيداً له </w:t>
      </w:r>
      <w:r w:rsidR="000636C2">
        <w:rPr>
          <w:rtl/>
          <w:lang w:bidi="ar-KW"/>
        </w:rPr>
        <w:t>(</w:t>
      </w:r>
      <w:r w:rsidRPr="005675B2">
        <w:rPr>
          <w:rtl/>
          <w:lang w:bidi="ar-KW"/>
        </w:rPr>
        <w:t>الفتح 13/397</w:t>
      </w:r>
      <w:r w:rsidR="000636C2">
        <w:rPr>
          <w:rtl/>
          <w:lang w:bidi="ar-KW"/>
        </w:rPr>
        <w:t>):</w:t>
      </w:r>
      <w:r w:rsidRPr="005675B2">
        <w:rPr>
          <w:rFonts w:hint="cs"/>
          <w:rtl/>
          <w:lang w:bidi="ar-KW"/>
        </w:rPr>
        <w:t xml:space="preserve"> </w:t>
      </w:r>
      <w:r w:rsidR="000636C2">
        <w:rPr>
          <w:rtl/>
          <w:lang w:bidi="ar-KW"/>
        </w:rPr>
        <w:t>(</w:t>
      </w:r>
      <w:r w:rsidRPr="005675B2">
        <w:rPr>
          <w:rtl/>
          <w:lang w:bidi="ar-KW"/>
        </w:rPr>
        <w:t>والله منزه عن الحلول في المواضع، لأن الحلول عرض يفنى، وهو حادث، والحادث لا يليق بالله</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في شرحه لحديث النزول </w:t>
      </w:r>
      <w:r w:rsidR="000636C2">
        <w:rPr>
          <w:rtl/>
          <w:lang w:bidi="ar-KW"/>
        </w:rPr>
        <w:t>(</w:t>
      </w:r>
      <w:r w:rsidRPr="005675B2">
        <w:rPr>
          <w:rtl/>
          <w:lang w:bidi="ar-KW"/>
        </w:rPr>
        <w:t>الفتح 3 / 37</w:t>
      </w:r>
      <w:r w:rsidR="000636C2">
        <w:rPr>
          <w:rtl/>
          <w:lang w:bidi="ar-KW"/>
        </w:rPr>
        <w:t>):</w:t>
      </w:r>
      <w:r w:rsidRPr="005675B2">
        <w:rPr>
          <w:rFonts w:hint="cs"/>
          <w:rtl/>
          <w:lang w:bidi="ar-KW"/>
        </w:rPr>
        <w:t xml:space="preserve"> </w:t>
      </w:r>
      <w:r w:rsidR="000636C2">
        <w:rPr>
          <w:rtl/>
          <w:lang w:bidi="ar-KW"/>
        </w:rPr>
        <w:t>(</w:t>
      </w:r>
      <w:r w:rsidRPr="005675B2">
        <w:rPr>
          <w:rtl/>
          <w:lang w:bidi="ar-KW"/>
        </w:rPr>
        <w:t>استدل به من أثبت الجهة وقال</w:t>
      </w:r>
      <w:r w:rsidR="000636C2">
        <w:rPr>
          <w:rtl/>
          <w:lang w:bidi="ar-KW"/>
        </w:rPr>
        <w:t>:</w:t>
      </w:r>
      <w:r w:rsidRPr="005675B2">
        <w:rPr>
          <w:rtl/>
          <w:lang w:bidi="ar-KW"/>
        </w:rPr>
        <w:t xml:space="preserve"> هي جهة العلوّ، وأنكر ذلك الجمهور، لأن القول بذلك يفضي إلى التحيز تعالى الله عن ذلك</w:t>
      </w:r>
      <w:r w:rsidR="000636C2">
        <w:rPr>
          <w:rtl/>
          <w:lang w:bidi="ar-KW"/>
        </w:rPr>
        <w:t>،</w:t>
      </w:r>
      <w:r w:rsidRPr="005675B2">
        <w:rPr>
          <w:rtl/>
          <w:lang w:bidi="ar-KW"/>
        </w:rPr>
        <w:t xml:space="preserve"> وقد اختلف في معنى النزول على أقوال</w:t>
      </w:r>
      <w:r w:rsidR="000636C2">
        <w:rPr>
          <w:rtl/>
          <w:lang w:bidi="ar-KW"/>
        </w:rPr>
        <w:t>:</w:t>
      </w:r>
      <w:r w:rsidRPr="005675B2">
        <w:rPr>
          <w:rFonts w:hint="cs"/>
          <w:bCs/>
          <w:rtl/>
          <w:lang w:bidi="ar-KW"/>
        </w:rPr>
        <w:t xml:space="preserve"> </w:t>
      </w:r>
      <w:r w:rsidRPr="005675B2">
        <w:rPr>
          <w:bCs/>
          <w:rtl/>
          <w:lang w:bidi="ar-KW"/>
        </w:rPr>
        <w:t>فمنهم من حمله على ظاهره وحقيقته وهم المشبهة، تعالى الله عن قولهم</w:t>
      </w:r>
      <w:r w:rsidR="000636C2">
        <w:rPr>
          <w:bCs/>
          <w:rtl/>
          <w:lang w:bidi="ar-KW"/>
        </w:rPr>
        <w:t>،</w:t>
      </w:r>
      <w:r w:rsidRPr="005675B2">
        <w:rPr>
          <w:bCs/>
          <w:rtl/>
          <w:lang w:bidi="ar-KW"/>
        </w:rPr>
        <w:t xml:space="preserve"> </w:t>
      </w:r>
      <w:r w:rsidRPr="005675B2">
        <w:rPr>
          <w:rtl/>
          <w:lang w:bidi="ar-KW"/>
        </w:rPr>
        <w:t>ومنهم من أنكر صحة الأحاديث الواردة في ذلك جملة، وهم الخوارج والمعتزلة، وهو مكابرة ..</w:t>
      </w:r>
      <w:r w:rsidR="000636C2">
        <w:rPr>
          <w:rtl/>
          <w:lang w:bidi="ar-KW"/>
        </w:rPr>
        <w:t xml:space="preserve"> </w:t>
      </w:r>
      <w:r w:rsidRPr="005675B2">
        <w:rPr>
          <w:rtl/>
          <w:lang w:bidi="ar-KW"/>
        </w:rPr>
        <w:t>ومنهم من أجراه على ما ورد مؤمناً به على طريق الإجمال منزهاً الله تعالى عن الكيفية والتشبيه وهم جمهور السلف، ونقله البيهقي وغيره عن الأئمة الأربعة والسفيانين والحمّادين والأوزاعي والليث وغيرهم</w:t>
      </w:r>
      <w:r w:rsidR="000636C2">
        <w:rPr>
          <w:rtl/>
          <w:lang w:bidi="ar-KW"/>
        </w:rPr>
        <w:t>،</w:t>
      </w:r>
      <w:r w:rsidRPr="005675B2">
        <w:rPr>
          <w:rtl/>
          <w:lang w:bidi="ar-KW"/>
        </w:rPr>
        <w:t xml:space="preserve"> ومنهم من أوّله على وجه يليق مستعمل في كلام العرب .. ومنهم من فصل بين ما يكون تأويله قريباً مستعملاً في كلام العرب وبين ما يكون بعيداً مهجوراً، فأوّل في بعض وفوّض في بعض، وهو منقول عن مالك وجزم به من المتأخرين ابن دقيق العيد</w:t>
      </w:r>
      <w:r w:rsidR="000636C2">
        <w:rPr>
          <w:rtl/>
          <w:lang w:bidi="ar-KW"/>
        </w:rPr>
        <w:t>)</w:t>
      </w:r>
      <w:r w:rsidRPr="005675B2">
        <w:rPr>
          <w:rtl/>
          <w:lang w:bidi="ar-KW"/>
        </w:rPr>
        <w:t xml:space="preserve"> اهـ</w:t>
      </w:r>
      <w:r w:rsidR="000636C2">
        <w:rPr>
          <w:rtl/>
          <w:lang w:bidi="ar-KW"/>
        </w:rPr>
        <w:t xml:space="preserve">، </w:t>
      </w:r>
      <w:r w:rsidRPr="005675B2">
        <w:rPr>
          <w:bCs/>
          <w:rtl/>
          <w:lang w:bidi="ar-KW"/>
        </w:rPr>
        <w:t>* قول الإمام ابن الجوزي</w:t>
      </w:r>
      <w:r w:rsidR="000636C2">
        <w:rPr>
          <w:bCs/>
          <w:rtl/>
          <w:lang w:bidi="ar-KW"/>
        </w:rPr>
        <w:t>:</w:t>
      </w:r>
      <w:r w:rsidR="000636C2">
        <w:rPr>
          <w:rFonts w:hint="cs"/>
          <w:bCs/>
          <w:rtl/>
          <w:lang w:bidi="ar-KW"/>
        </w:rPr>
        <w:t xml:space="preserve"> </w:t>
      </w:r>
      <w:r w:rsidRPr="005675B2">
        <w:rPr>
          <w:rtl/>
          <w:lang w:bidi="ar-KW"/>
        </w:rPr>
        <w:t xml:space="preserve">قال - رحمه الله تعالى - </w:t>
      </w:r>
      <w:r w:rsidR="000636C2">
        <w:rPr>
          <w:rtl/>
          <w:lang w:bidi="ar-KW"/>
        </w:rPr>
        <w:t>(</w:t>
      </w:r>
      <w:r w:rsidRPr="005675B2">
        <w:rPr>
          <w:rtl/>
          <w:lang w:bidi="ar-KW"/>
        </w:rPr>
        <w:t>دفع شبه التشبيه</w:t>
      </w:r>
      <w:r w:rsidR="000636C2">
        <w:rPr>
          <w:rtl/>
          <w:lang w:bidi="ar-KW"/>
        </w:rPr>
        <w:t>،</w:t>
      </w:r>
      <w:r w:rsidRPr="005675B2">
        <w:rPr>
          <w:rtl/>
          <w:lang w:bidi="ar-KW"/>
        </w:rPr>
        <w:t xml:space="preserve"> ص / 136</w:t>
      </w:r>
      <w:r w:rsidR="000636C2">
        <w:rPr>
          <w:rtl/>
          <w:lang w:bidi="ar-KW"/>
        </w:rPr>
        <w:t>):</w:t>
      </w:r>
      <w:r w:rsidRPr="005675B2">
        <w:rPr>
          <w:rFonts w:hint="cs"/>
          <w:rtl/>
          <w:lang w:bidi="ar-KW"/>
        </w:rPr>
        <w:t xml:space="preserve"> </w:t>
      </w:r>
      <w:r w:rsidR="000636C2">
        <w:rPr>
          <w:rtl/>
          <w:lang w:bidi="ar-KW"/>
        </w:rPr>
        <w:t>(</w:t>
      </w:r>
      <w:r w:rsidRPr="005675B2">
        <w:rPr>
          <w:rtl/>
          <w:lang w:bidi="ar-KW"/>
        </w:rPr>
        <w:t>اعلم أن كل من يَتصور وجود الحق سبحانه وجوداً مكانياً طَلَبَ له جهة، كما أن من تخيل أن وجوده وجود زماني طلب له مدة في تقدمه على العالم بأزمنة، وكلا التخيلين باطل</w:t>
      </w:r>
      <w:r w:rsidR="000636C2">
        <w:rPr>
          <w:rtl/>
          <w:lang w:bidi="ar-KW"/>
        </w:rPr>
        <w:t>،</w:t>
      </w:r>
      <w:r w:rsidRPr="005675B2">
        <w:rPr>
          <w:rtl/>
          <w:lang w:bidi="ar-KW"/>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لأن القديم هو الواجب الوجود من جميع الجهات، ثم إن كل من هو في جهة يكون مقدّراً محدوداً وهو يتعالى عن ذلك، وإنما الجهات للجواهر والأجسام لأنها أجرام تحتاج إلى جهة، والجهة ليست في جهة، وإذا ثبت بطلان الجهة ثبت بطلان المكان، ويوضحه أن المكان يحيط بمن فيه والخالق لا يحويه شيء ولا تحدث له صفة</w:t>
      </w:r>
      <w:r w:rsidR="000636C2">
        <w:rPr>
          <w:rtl/>
          <w:lang w:bidi="ar-KW"/>
        </w:rPr>
        <w:t>)</w:t>
      </w:r>
      <w:r w:rsidRPr="005675B2">
        <w:rPr>
          <w:rtl/>
          <w:lang w:bidi="ar-KW"/>
        </w:rPr>
        <w:t xml:space="preserve"> اهـ</w:t>
      </w:r>
      <w:r w:rsidR="000636C2">
        <w:rPr>
          <w:rtl/>
          <w:lang w:bidi="ar-KW"/>
        </w:rPr>
        <w:t>،</w:t>
      </w:r>
      <w:r w:rsidRPr="005675B2">
        <w:rPr>
          <w:rtl/>
          <w:lang w:bidi="ar-KW"/>
        </w:rPr>
        <w:t xml:space="preserve"> وقوله رحمه الله تعالى </w:t>
      </w:r>
      <w:r w:rsidR="000636C2">
        <w:rPr>
          <w:rtl/>
          <w:lang w:bidi="ar-KW"/>
        </w:rPr>
        <w:t>(</w:t>
      </w:r>
      <w:r w:rsidRPr="005675B2">
        <w:rPr>
          <w:rtl/>
          <w:lang w:bidi="ar-KW"/>
        </w:rPr>
        <w:t>والجهة ليست في جهة</w:t>
      </w:r>
      <w:r w:rsidR="000636C2">
        <w:rPr>
          <w:rtl/>
          <w:lang w:bidi="ar-KW"/>
        </w:rPr>
        <w:t>)</w:t>
      </w:r>
      <w:r w:rsidRPr="005675B2">
        <w:rPr>
          <w:rtl/>
          <w:lang w:bidi="ar-KW"/>
        </w:rPr>
        <w:t xml:space="preserve"> أراد أن يردّ فيه زعم الزاعم</w:t>
      </w:r>
      <w:r w:rsidR="000636C2">
        <w:rPr>
          <w:rtl/>
          <w:lang w:bidi="ar-KW"/>
        </w:rPr>
        <w:t>:</w:t>
      </w:r>
      <w:r w:rsidRPr="005675B2">
        <w:rPr>
          <w:rtl/>
          <w:lang w:bidi="ar-KW"/>
        </w:rPr>
        <w:t xml:space="preserve"> لا يُتَعقَّل موجود ليس في جهة</w:t>
      </w:r>
      <w:r w:rsidR="000636C2">
        <w:rPr>
          <w:rtl/>
          <w:lang w:bidi="ar-KW"/>
        </w:rPr>
        <w:t>،</w:t>
      </w:r>
      <w:r w:rsidRPr="005675B2">
        <w:rPr>
          <w:rtl/>
          <w:lang w:bidi="ar-KW"/>
        </w:rPr>
        <w:t xml:space="preserve"> توصّلاً بهذا إلى إثبات الجهة لله تعالى، إذ الجهة موجودة عند هذا الزاعم وهي ليست في جهة من نفسها، إذ لو كانت كذلك لتسلسل الأمر إلى غير نهاية، وهذا باطل، فثبت أن الجهة موجودة بلا جهة، وبه ينتقض زعمهم</w:t>
      </w:r>
      <w:r w:rsidR="000636C2">
        <w:rPr>
          <w:rtl/>
          <w:lang w:bidi="ar-KW"/>
        </w:rPr>
        <w:t>:</w:t>
      </w:r>
      <w:r w:rsidRPr="005675B2">
        <w:rPr>
          <w:rtl/>
          <w:lang w:bidi="ar-KW"/>
        </w:rPr>
        <w:t xml:space="preserve"> لا يُتَعقَّل موجود ليس في جهة من الجهات</w:t>
      </w:r>
      <w:r w:rsidR="000636C2">
        <w:rPr>
          <w:rtl/>
          <w:lang w:bidi="ar-KW"/>
        </w:rPr>
        <w:t>،</w:t>
      </w:r>
      <w:r w:rsidRPr="005675B2">
        <w:rPr>
          <w:rtl/>
          <w:lang w:bidi="ar-KW"/>
        </w:rPr>
        <w:t xml:space="preserve"> </w:t>
      </w:r>
      <w:r w:rsidRPr="005675B2">
        <w:rPr>
          <w:bCs/>
          <w:rtl/>
          <w:lang w:bidi="ar-KW"/>
        </w:rPr>
        <w:t xml:space="preserve">وقال القاضي أبو يعلى </w:t>
      </w:r>
      <w:r w:rsidR="000636C2">
        <w:rPr>
          <w:bCs/>
          <w:rtl/>
          <w:lang w:bidi="ar-KW"/>
        </w:rPr>
        <w:t>(</w:t>
      </w:r>
      <w:r w:rsidRPr="005675B2">
        <w:rPr>
          <w:bCs/>
          <w:rtl/>
          <w:lang w:bidi="ar-KW"/>
        </w:rPr>
        <w:t>دفع شبه التشبيه 137</w:t>
      </w:r>
      <w:r w:rsidR="000636C2">
        <w:rPr>
          <w:bCs/>
          <w:rtl/>
          <w:lang w:bidi="ar-KW"/>
        </w:rPr>
        <w:t>):</w:t>
      </w:r>
      <w:r w:rsidRPr="005675B2">
        <w:rPr>
          <w:rFonts w:hint="cs"/>
          <w:bCs/>
          <w:rtl/>
          <w:lang w:bidi="ar-KW"/>
        </w:rPr>
        <w:t xml:space="preserve"> </w:t>
      </w:r>
      <w:r w:rsidR="000636C2">
        <w:rPr>
          <w:rtl/>
          <w:lang w:bidi="ar-KW"/>
        </w:rPr>
        <w:t>(</w:t>
      </w:r>
      <w:r w:rsidRPr="005675B2">
        <w:rPr>
          <w:rtl/>
          <w:lang w:bidi="ar-KW"/>
        </w:rPr>
        <w:t>إن الله عزّ وجلّ لا يوصف بالمكان</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قال الإمام ابن الجوزي بعد نقله لقول أبي يعلى الفراء </w:t>
      </w:r>
      <w:r w:rsidR="000636C2">
        <w:rPr>
          <w:rtl/>
          <w:lang w:bidi="ar-KW"/>
        </w:rPr>
        <w:t>(</w:t>
      </w:r>
      <w:r w:rsidRPr="005675B2">
        <w:rPr>
          <w:rtl/>
          <w:lang w:bidi="ar-KW"/>
        </w:rPr>
        <w:t>دفع شبه التشبيه 138</w:t>
      </w:r>
      <w:r w:rsidR="000636C2">
        <w:rPr>
          <w:rtl/>
          <w:lang w:bidi="ar-KW"/>
        </w:rPr>
        <w:t>):</w:t>
      </w:r>
      <w:r w:rsidRPr="005675B2">
        <w:rPr>
          <w:rFonts w:hint="cs"/>
          <w:rtl/>
          <w:lang w:bidi="ar-KW"/>
        </w:rPr>
        <w:t xml:space="preserve"> </w:t>
      </w:r>
      <w:r w:rsidR="000636C2">
        <w:rPr>
          <w:bCs/>
          <w:rtl/>
          <w:lang w:bidi="ar-KW"/>
        </w:rPr>
        <w:t>(</w:t>
      </w:r>
      <w:r w:rsidRPr="005675B2">
        <w:rPr>
          <w:bCs/>
          <w:rtl/>
          <w:lang w:bidi="ar-KW"/>
        </w:rPr>
        <w:t>فإن قيل</w:t>
      </w:r>
      <w:r w:rsidR="000636C2">
        <w:rPr>
          <w:rtl/>
          <w:lang w:bidi="ar-KW"/>
        </w:rPr>
        <w:t>:</w:t>
      </w:r>
      <w:r w:rsidRPr="005675B2">
        <w:rPr>
          <w:rtl/>
          <w:lang w:bidi="ar-KW"/>
        </w:rPr>
        <w:t xml:space="preserve"> نفي الجهات يحيل وجوده</w:t>
      </w:r>
      <w:r w:rsidR="000636C2">
        <w:rPr>
          <w:rtl/>
          <w:lang w:bidi="ar-KW"/>
        </w:rPr>
        <w:t>،</w:t>
      </w:r>
      <w:r w:rsidRPr="005675B2">
        <w:rPr>
          <w:rtl/>
          <w:lang w:bidi="ar-KW"/>
        </w:rPr>
        <w:t xml:space="preserve"> </w:t>
      </w:r>
      <w:r w:rsidRPr="005675B2">
        <w:rPr>
          <w:bCs/>
          <w:rtl/>
          <w:lang w:bidi="ar-KW"/>
        </w:rPr>
        <w:t>قلنا</w:t>
      </w:r>
      <w:r w:rsidR="000636C2">
        <w:rPr>
          <w:rtl/>
          <w:lang w:bidi="ar-KW"/>
        </w:rPr>
        <w:t>:</w:t>
      </w:r>
      <w:r w:rsidRPr="005675B2">
        <w:rPr>
          <w:rtl/>
          <w:lang w:bidi="ar-KW"/>
        </w:rPr>
        <w:t xml:space="preserve"> إن كان الموجود يقبل الاتصال والانفصال فقد صدقت، فأمّا إذا لم يقبلهما فليس خلوّه من طرف النقيض بمحال</w:t>
      </w:r>
      <w:r w:rsidR="000636C2">
        <w:rPr>
          <w:rtl/>
          <w:lang w:bidi="ar-KW"/>
        </w:rPr>
        <w:t xml:space="preserve">، </w:t>
      </w:r>
      <w:r w:rsidRPr="005675B2">
        <w:rPr>
          <w:bCs/>
          <w:rtl/>
          <w:lang w:bidi="ar-KW"/>
        </w:rPr>
        <w:t>فإن قيل</w:t>
      </w:r>
      <w:r w:rsidR="000636C2">
        <w:rPr>
          <w:rtl/>
          <w:lang w:bidi="ar-KW"/>
        </w:rPr>
        <w:t>:</w:t>
      </w:r>
      <w:r w:rsidRPr="005675B2">
        <w:rPr>
          <w:rtl/>
          <w:lang w:bidi="ar-KW"/>
        </w:rPr>
        <w:t xml:space="preserve"> أنتم تلزموننا أن نقرّ بما لا يدخل تحت الفهم</w:t>
      </w:r>
      <w:r w:rsidR="000636C2">
        <w:rPr>
          <w:rtl/>
          <w:lang w:bidi="ar-KW"/>
        </w:rPr>
        <w:t>،</w:t>
      </w:r>
      <w:r w:rsidRPr="005675B2">
        <w:rPr>
          <w:rtl/>
          <w:lang w:bidi="ar-KW"/>
        </w:rPr>
        <w:t xml:space="preserve"> </w:t>
      </w:r>
      <w:r w:rsidRPr="005675B2">
        <w:rPr>
          <w:bCs/>
          <w:rtl/>
          <w:lang w:bidi="ar-KW"/>
        </w:rPr>
        <w:t>قلنا</w:t>
      </w:r>
      <w:r w:rsidR="000636C2">
        <w:rPr>
          <w:bCs/>
          <w:rtl/>
          <w:lang w:bidi="ar-KW"/>
        </w:rPr>
        <w:t>:</w:t>
      </w:r>
      <w:r w:rsidRPr="005675B2">
        <w:rPr>
          <w:rtl/>
          <w:lang w:bidi="ar-KW"/>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لأن الوهم من نتائج الحس، وإن أردت أنه لا يعلم بالعقل فقد دللنا أنه ثابت بالعقل، لأن العقل مضطر إلى التصديق بموجب الدليل</w:t>
      </w:r>
      <w:r w:rsidR="000636C2">
        <w:rPr>
          <w:rtl/>
          <w:lang w:bidi="ar-KW"/>
        </w:rPr>
        <w:t>،</w:t>
      </w:r>
      <w:r w:rsidRPr="005675B2">
        <w:rPr>
          <w:rtl/>
          <w:lang w:bidi="ar-KW"/>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sidR="000636C2">
        <w:rPr>
          <w:rtl/>
          <w:lang w:bidi="ar-KW"/>
        </w:rPr>
        <w:t>،</w:t>
      </w:r>
      <w:r w:rsidRPr="005675B2">
        <w:rPr>
          <w:rtl/>
          <w:lang w:bidi="ar-KW"/>
        </w:rPr>
        <w:t xml:space="preserve"> ولمّا كان مثل هذا الكلام لا يفهمه العامّي قلنا</w:t>
      </w:r>
      <w:r w:rsidR="000636C2">
        <w:rPr>
          <w:rtl/>
          <w:lang w:bidi="ar-KW"/>
        </w:rPr>
        <w:t>:</w:t>
      </w:r>
      <w:r w:rsidRPr="005675B2">
        <w:rPr>
          <w:rtl/>
          <w:lang w:bidi="ar-KW"/>
        </w:rPr>
        <w:t xml:space="preserve"> لا تسمعوه ما لا يفهمه ودعوا اعتقاده لا تحركوه، ويقال إن الله تعالى استوى على عرشه كما يليق به</w:t>
      </w:r>
      <w:r w:rsidR="000636C2">
        <w:rPr>
          <w:rtl/>
          <w:lang w:bidi="ar-KW"/>
        </w:rPr>
        <w:t>)</w:t>
      </w:r>
      <w:r w:rsidRPr="005675B2">
        <w:rPr>
          <w:rtl/>
          <w:lang w:bidi="ar-KW"/>
        </w:rPr>
        <w:t xml:space="preserve"> اهـ</w:t>
      </w:r>
      <w:r w:rsidR="000636C2">
        <w:rPr>
          <w:rtl/>
          <w:lang w:bidi="ar-KW"/>
        </w:rPr>
        <w:t>،</w:t>
      </w:r>
      <w:r w:rsidRPr="005675B2">
        <w:rPr>
          <w:rtl/>
          <w:lang w:bidi="ar-KW"/>
        </w:rPr>
        <w:t xml:space="preserve"> وهذا واضح في أن الأصل في النصوص المتشابهة التفويض ما لم تدْعُ حاجة إلى التأويل، وهو ما كان عليه جمهور السلف الصالح كما سيأتي من أقوال العلماء التي تفيد ذلك، وأنهم</w:t>
      </w:r>
      <w:r w:rsidR="000636C2">
        <w:rPr>
          <w:rtl/>
          <w:lang w:bidi="ar-KW"/>
        </w:rPr>
        <w:t xml:space="preserve"> </w:t>
      </w:r>
      <w:r w:rsidRPr="005675B2">
        <w:rPr>
          <w:rtl/>
          <w:lang w:bidi="ar-KW"/>
        </w:rPr>
        <w:t>- نعني السلف</w:t>
      </w:r>
      <w:r w:rsidR="000636C2">
        <w:rPr>
          <w:rtl/>
          <w:lang w:bidi="ar-KW"/>
        </w:rPr>
        <w:t xml:space="preserve"> </w:t>
      </w:r>
      <w:r w:rsidRPr="005675B2">
        <w:rPr>
          <w:rtl/>
          <w:lang w:bidi="ar-KW"/>
        </w:rPr>
        <w:t>- لو وُجد في أزمانهم ما حدث بعد ذلك لجهروا بالتأويل، كيف وقد ثبت التأويل عن جماعات منهم</w:t>
      </w:r>
      <w:r w:rsidR="000636C2">
        <w:rPr>
          <w:rtl/>
          <w:lang w:bidi="ar-KW"/>
        </w:rPr>
        <w:t>؟!</w:t>
      </w:r>
      <w:r w:rsidRPr="005675B2">
        <w:rPr>
          <w:rFonts w:hint="cs"/>
          <w:bCs/>
          <w:rtl/>
          <w:lang w:bidi="ar-KW"/>
        </w:rPr>
        <w:t xml:space="preserve"> </w:t>
      </w:r>
      <w:r w:rsidRPr="005675B2">
        <w:rPr>
          <w:bCs/>
          <w:rtl/>
          <w:lang w:bidi="ar-KW"/>
        </w:rPr>
        <w:t>* قول الإمام القشيري</w:t>
      </w:r>
      <w:r w:rsidR="000636C2">
        <w:rPr>
          <w:bCs/>
          <w:rtl/>
          <w:lang w:bidi="ar-KW"/>
        </w:rPr>
        <w:t>:</w:t>
      </w:r>
      <w:r w:rsidRPr="005675B2">
        <w:rPr>
          <w:rFonts w:hint="cs"/>
          <w:bCs/>
          <w:rtl/>
          <w:lang w:bidi="ar-KW"/>
        </w:rPr>
        <w:t xml:space="preserve"> </w:t>
      </w:r>
      <w:r w:rsidRPr="005675B2">
        <w:rPr>
          <w:rtl/>
          <w:lang w:bidi="ar-KW"/>
        </w:rPr>
        <w:t xml:space="preserve">قال الإمام القشيري - رحمه الله تعالى - </w:t>
      </w:r>
      <w:r w:rsidR="000636C2">
        <w:rPr>
          <w:rtl/>
          <w:lang w:bidi="ar-KW"/>
        </w:rPr>
        <w:t>(</w:t>
      </w:r>
      <w:r w:rsidRPr="005675B2">
        <w:rPr>
          <w:rtl/>
          <w:lang w:bidi="ar-KW"/>
        </w:rPr>
        <w:t>إتحاف السادة المتقين 2 / 108</w:t>
      </w:r>
      <w:r w:rsidR="000636C2">
        <w:rPr>
          <w:rtl/>
          <w:lang w:bidi="ar-KW"/>
        </w:rPr>
        <w:t>):</w:t>
      </w:r>
      <w:r w:rsidRPr="005675B2">
        <w:rPr>
          <w:rtl/>
          <w:lang w:bidi="ar-KW"/>
        </w:rPr>
        <w:t xml:space="preserve"> </w:t>
      </w:r>
      <w:r w:rsidR="000636C2">
        <w:rPr>
          <w:rtl/>
          <w:lang w:bidi="ar-KW"/>
        </w:rPr>
        <w:t>(</w:t>
      </w:r>
      <w:r w:rsidRPr="005675B2">
        <w:rPr>
          <w:rtl/>
          <w:lang w:bidi="ar-KW"/>
        </w:rPr>
        <w:t>فالرب موصـوف بالعلو وفوقيـة الرتبة والعظمة منزه عن الكون في المكـان وعن المحاذاة</w:t>
      </w:r>
      <w:r w:rsidR="000636C2">
        <w:rPr>
          <w:rtl/>
          <w:lang w:bidi="ar-KW"/>
        </w:rPr>
        <w:t>)</w:t>
      </w:r>
      <w:r w:rsidRPr="005675B2">
        <w:rPr>
          <w:rtl/>
          <w:lang w:bidi="ar-KW"/>
        </w:rPr>
        <w:t xml:space="preserve"> اهـ</w:t>
      </w:r>
      <w:r w:rsidR="000636C2">
        <w:rPr>
          <w:rtl/>
          <w:lang w:bidi="ar-KW"/>
        </w:rPr>
        <w:t xml:space="preserve">، </w:t>
      </w:r>
      <w:r w:rsidRPr="005675B2">
        <w:rPr>
          <w:bCs/>
          <w:rtl/>
          <w:lang w:bidi="ar-KW"/>
        </w:rPr>
        <w:t>* قول قاضي القضاة ابن المنير</w:t>
      </w:r>
      <w:r w:rsidR="000636C2">
        <w:rPr>
          <w:rtl/>
          <w:lang w:bidi="ar-KW"/>
        </w:rPr>
        <w:t>:</w:t>
      </w:r>
      <w:r w:rsidRPr="005675B2">
        <w:rPr>
          <w:rFonts w:hint="cs"/>
          <w:rtl/>
          <w:lang w:bidi="ar-KW"/>
        </w:rPr>
        <w:t xml:space="preserve"> </w:t>
      </w:r>
      <w:r w:rsidRPr="005675B2">
        <w:rPr>
          <w:rtl/>
          <w:lang w:bidi="ar-KW"/>
        </w:rPr>
        <w:t xml:space="preserve">نقل الحـافظ ابن حجر عن ابن المنيـر مؤيّداً له في تنزيـه الله تعــالى عن المكان والجهة </w:t>
      </w:r>
      <w:r w:rsidR="000636C2">
        <w:rPr>
          <w:rtl/>
          <w:lang w:bidi="ar-KW"/>
        </w:rPr>
        <w:t>(</w:t>
      </w:r>
      <w:r w:rsidRPr="005675B2">
        <w:rPr>
          <w:rtl/>
          <w:lang w:bidi="ar-KW"/>
        </w:rPr>
        <w:t>فتح الباري 13 / 429</w:t>
      </w:r>
      <w:r w:rsidR="000636C2">
        <w:rPr>
          <w:rtl/>
          <w:lang w:bidi="ar-KW"/>
        </w:rPr>
        <w:t>):</w:t>
      </w:r>
      <w:r w:rsidRPr="005675B2">
        <w:rPr>
          <w:rFonts w:hint="cs"/>
          <w:rtl/>
          <w:lang w:bidi="ar-KW"/>
        </w:rPr>
        <w:t xml:space="preserve"> </w:t>
      </w:r>
      <w:r w:rsidR="000636C2">
        <w:rPr>
          <w:rtl/>
          <w:lang w:bidi="ar-KW"/>
        </w:rPr>
        <w:t>(</w:t>
      </w:r>
      <w:r w:rsidRPr="005675B2">
        <w:rPr>
          <w:rtl/>
          <w:lang w:bidi="ar-KW"/>
        </w:rPr>
        <w:t>قال ابن المنير .. قوله " رب العرش " .. نبّه [يعني البخاري] على بطلان قول من أثبت الجهة أخذاً من قوله " ذي المعارج " ففَـهِمَ - أي مثبت الجهة - أن العلوّ الفوقي مضاف إلى الله تعالى، فبين المصنف [يعني البخاري] أن الجهة التي يصدق عليها أنها سماء والجهة التي يصدق عليها أنها عرش كل منهما مخلوق مربوب محدث، وقد كان الله قبل ذلك وغيره، فحدثت هذه الأمكنة، وقدمه - تعالى - يحيل وصفه بالتحيز فيها والله أعلم</w:t>
      </w:r>
      <w:r w:rsidR="000636C2">
        <w:rPr>
          <w:rtl/>
          <w:lang w:bidi="ar-KW"/>
        </w:rPr>
        <w:t>)</w:t>
      </w:r>
      <w:r w:rsidRPr="005675B2">
        <w:rPr>
          <w:rtl/>
          <w:lang w:bidi="ar-KW"/>
        </w:rPr>
        <w:t xml:space="preserve"> اهـ</w:t>
      </w:r>
      <w:r w:rsidR="000636C2">
        <w:rPr>
          <w:rtl/>
          <w:lang w:bidi="ar-KW"/>
        </w:rPr>
        <w:t>،</w:t>
      </w:r>
      <w:r w:rsidRPr="005675B2">
        <w:rPr>
          <w:rtl/>
          <w:lang w:bidi="ar-KW"/>
        </w:rPr>
        <w:t xml:space="preserve"> وبهذا تتفق كلمة البخاري وابن المنير والحافظ ابن حجر رحمهم الله تعالى في هذا النص على تنزيه الله تعالى عن المكان والجهة، وهذا قول جميع المنزهين</w:t>
      </w:r>
      <w:r w:rsidR="000636C2">
        <w:rPr>
          <w:rtl/>
          <w:lang w:bidi="ar-KW"/>
        </w:rPr>
        <w:t xml:space="preserve">، </w:t>
      </w:r>
      <w:r w:rsidRPr="005675B2">
        <w:rPr>
          <w:bCs/>
          <w:rtl/>
          <w:lang w:bidi="ar-KW"/>
        </w:rPr>
        <w:t>* قول الإمام البيضاوي</w:t>
      </w:r>
      <w:r w:rsidR="000636C2">
        <w:rPr>
          <w:bCs/>
          <w:rtl/>
          <w:lang w:bidi="ar-KW"/>
        </w:rPr>
        <w:t>:</w:t>
      </w:r>
      <w:r w:rsidRPr="005675B2">
        <w:rPr>
          <w:rFonts w:hint="cs"/>
          <w:bCs/>
          <w:rtl/>
          <w:lang w:bidi="ar-KW"/>
        </w:rPr>
        <w:t xml:space="preserve"> </w:t>
      </w:r>
      <w:r w:rsidRPr="005675B2">
        <w:rPr>
          <w:rtl/>
        </w:rPr>
        <w:t xml:space="preserve">وقال الإمام البيضاوي - رحمه الله تعالى - </w:t>
      </w:r>
      <w:r w:rsidR="000636C2">
        <w:rPr>
          <w:rtl/>
        </w:rPr>
        <w:t>(</w:t>
      </w:r>
      <w:r w:rsidRPr="005675B2">
        <w:rPr>
          <w:rtl/>
        </w:rPr>
        <w:t>فتح الباري 3 / 37</w:t>
      </w:r>
      <w:r w:rsidR="000636C2">
        <w:rPr>
          <w:rtl/>
        </w:rPr>
        <w:t>):</w:t>
      </w:r>
      <w:r w:rsidRPr="005675B2">
        <w:rPr>
          <w:rFonts w:hint="cs"/>
          <w:rtl/>
        </w:rPr>
        <w:t xml:space="preserve"> </w:t>
      </w:r>
      <w:r w:rsidR="000636C2">
        <w:rPr>
          <w:rtl/>
        </w:rPr>
        <w:t>(</w:t>
      </w:r>
      <w:r w:rsidRPr="005675B2">
        <w:rPr>
          <w:rtl/>
        </w:rPr>
        <w:t>ولما ثبت بالقواطع أنه سبحانه منزه عن الجسمية والتحيز امتنع عليه النزول على معنى الانتقال من موضع إلى موضع أخفض منه، فالمراد نور رحمته، أي ينتقل من مقتضى صفة الجـلال التي تقتضي الغضب والانتقـام إلى مقتضى صفة الإكرام التي تقتضي الرأفة والرحمة</w:t>
      </w:r>
      <w:r w:rsidR="000636C2">
        <w:rPr>
          <w:rtl/>
        </w:rPr>
        <w:t>)</w:t>
      </w:r>
      <w:r w:rsidRPr="005675B2">
        <w:rPr>
          <w:rtl/>
        </w:rPr>
        <w:t xml:space="preserve"> اهـ</w:t>
      </w:r>
      <w:r w:rsidR="000636C2">
        <w:rPr>
          <w:rtl/>
        </w:rPr>
        <w:t>،</w:t>
      </w:r>
      <w:r w:rsidRPr="005675B2">
        <w:rPr>
          <w:rtl/>
        </w:rPr>
        <w:t xml:space="preserve"> </w:t>
      </w:r>
      <w:r w:rsidRPr="005675B2">
        <w:rPr>
          <w:bCs/>
          <w:rtl/>
          <w:lang w:bidi="ar-KW"/>
        </w:rPr>
        <w:t>* قول الإمام القرطبي</w:t>
      </w:r>
      <w:r w:rsidR="000636C2">
        <w:rPr>
          <w:bCs/>
          <w:rtl/>
          <w:lang w:bidi="ar-KW"/>
        </w:rPr>
        <w:t>:</w:t>
      </w:r>
      <w:r w:rsidRPr="005675B2">
        <w:rPr>
          <w:rFonts w:hint="cs"/>
          <w:bCs/>
          <w:rtl/>
          <w:lang w:bidi="ar-KW"/>
        </w:rPr>
        <w:t xml:space="preserve"> </w:t>
      </w:r>
      <w:r w:rsidRPr="005675B2">
        <w:rPr>
          <w:rtl/>
        </w:rPr>
        <w:t xml:space="preserve">وقال الإمام القرطبي في تفسير قوله تعالى </w:t>
      </w:r>
      <w:r w:rsidR="000636C2">
        <w:rPr>
          <w:bCs/>
          <w:rtl/>
        </w:rPr>
        <w:t>(</w:t>
      </w:r>
      <w:r w:rsidRPr="005675B2">
        <w:rPr>
          <w:bCs/>
          <w:rtl/>
        </w:rPr>
        <w:t>وهو القاهر فوق عباده</w:t>
      </w:r>
      <w:r w:rsidR="000636C2">
        <w:rPr>
          <w:bCs/>
          <w:rtl/>
        </w:rPr>
        <w:t>)</w:t>
      </w:r>
      <w:r w:rsidRPr="005675B2">
        <w:rPr>
          <w:rFonts w:hint="cs"/>
          <w:rtl/>
        </w:rPr>
        <w:t xml:space="preserve"> </w:t>
      </w:r>
      <w:r w:rsidR="000636C2">
        <w:rPr>
          <w:rtl/>
        </w:rPr>
        <w:t>(</w:t>
      </w:r>
      <w:r w:rsidRPr="005675B2">
        <w:rPr>
          <w:rtl/>
        </w:rPr>
        <w:t>6 / 399</w:t>
      </w:r>
      <w:r w:rsidR="000636C2">
        <w:rPr>
          <w:rtl/>
        </w:rPr>
        <w:t>)</w:t>
      </w:r>
      <w:r w:rsidR="000636C2">
        <w:rPr>
          <w:rtl/>
          <w:lang w:bidi="ar-KW"/>
        </w:rPr>
        <w:t>:</w:t>
      </w:r>
      <w:r w:rsidRPr="005675B2">
        <w:rPr>
          <w:rtl/>
          <w:lang w:bidi="ar-KW"/>
        </w:rPr>
        <w:t xml:space="preserve"> </w:t>
      </w:r>
      <w:r w:rsidR="000636C2">
        <w:rPr>
          <w:rtl/>
        </w:rPr>
        <w:t>(</w:t>
      </w:r>
      <w:r w:rsidRPr="005675B2">
        <w:rPr>
          <w:rtl/>
        </w:rPr>
        <w:t>ومعنى فوق عباده، فوقية الاستعلاء بالقهر والغلبة عليهم، أي أنهم تحت تسخيره لا فوقية مكان</w:t>
      </w:r>
      <w:r w:rsidR="000636C2">
        <w:rPr>
          <w:rtl/>
        </w:rPr>
        <w:t>)</w:t>
      </w:r>
      <w:r w:rsidRPr="005675B2">
        <w:rPr>
          <w:rtl/>
        </w:rPr>
        <w:t xml:space="preserve"> اهـ</w:t>
      </w:r>
      <w:r w:rsidR="000636C2">
        <w:rPr>
          <w:rtl/>
        </w:rPr>
        <w:t xml:space="preserve">، </w:t>
      </w:r>
      <w:r w:rsidRPr="005675B2">
        <w:rPr>
          <w:rtl/>
          <w:lang w:bidi="ar-KW"/>
        </w:rPr>
        <w:t>نخلص من هذا إلى أن القول بأن الله تعالى ساكن في السماء، أو أنه على العرش بذاته أو ينزل بذاته أو استوى على العرش بذاته أو على الحقيقة، أو أنه تعالى بائن من خلقه بذاته، كل ذلك وصف لله بما يستحيل في حقه تعالى عقلاً ونقلاً، فهذه نصوص واضحة قاطعة بتنزيه الله تعالى عن المكان والجهة والحيز والاتصال والانفصال والدخول والخروج، وقاضية على من أثبت شيئاً من ذلك لله تعالى بالتشبيه</w:t>
      </w:r>
      <w:r w:rsidR="000636C2">
        <w:rPr>
          <w:rtl/>
          <w:lang w:bidi="ar-KW"/>
        </w:rPr>
        <w:t xml:space="preserve">، </w:t>
      </w:r>
      <w:r w:rsidRPr="005675B2">
        <w:rPr>
          <w:rtl/>
          <w:lang w:bidi="ar-KW"/>
        </w:rPr>
        <w:t>ولا يفهم من قول أهل الحق</w:t>
      </w:r>
      <w:r w:rsidR="000636C2">
        <w:rPr>
          <w:rtl/>
          <w:lang w:bidi="ar-KW"/>
        </w:rPr>
        <w:t>:</w:t>
      </w:r>
      <w:r w:rsidRPr="005675B2">
        <w:rPr>
          <w:rtl/>
          <w:lang w:bidi="ar-KW"/>
        </w:rPr>
        <w:t xml:space="preserve"> إن الله تعالى لا يوصف بأنه داخل العالم ولا بأنه خارج العالم</w:t>
      </w:r>
      <w:r w:rsidR="000636C2">
        <w:rPr>
          <w:rtl/>
          <w:lang w:bidi="ar-KW"/>
        </w:rPr>
        <w:t>،</w:t>
      </w:r>
      <w:r w:rsidRPr="005675B2">
        <w:rPr>
          <w:rtl/>
          <w:lang w:bidi="ar-KW"/>
        </w:rPr>
        <w:t xml:space="preserve"> بأنهم يصفونه تعالى بالعدم، معاذ الله، كلا، وإنما مرادهم أن إطلاق هذا اللفظ على الله تعالى لا يجوز وهو منزه عنه، هذا مع إثباتهم أن الله تعالى ليس حالاًّ في العالم وليس شيء من العالم حالاًّ فيه تعالى، أما الدخول والخروج والاتصال والانفصال فلا يجوز أن يضاف شيء منها إلى الله تعالى لأنها من صفات الأجسام</w:t>
      </w:r>
      <w:r w:rsidR="000636C2">
        <w:rPr>
          <w:rtl/>
          <w:lang w:bidi="ar-KW"/>
        </w:rPr>
        <w:t>،</w:t>
      </w:r>
      <w:r w:rsidRPr="005675B2">
        <w:rPr>
          <w:rtl/>
          <w:lang w:bidi="ar-KW"/>
        </w:rPr>
        <w:t xml:space="preserve"> أما ما جاء في الكتاب والسنة من الألفاظ التي ظاهرها إثبات الجهة والمكان لله تعالى فهي</w:t>
      </w:r>
      <w:r w:rsidR="000636C2">
        <w:rPr>
          <w:rtl/>
          <w:lang w:bidi="ar-KW"/>
        </w:rPr>
        <w:t xml:space="preserve"> </w:t>
      </w:r>
      <w:r w:rsidRPr="005675B2">
        <w:rPr>
          <w:rtl/>
          <w:lang w:bidi="ar-KW"/>
        </w:rPr>
        <w:t>- قطعاً وباتفاق علماء السلف والخلف</w:t>
      </w:r>
      <w:r w:rsidR="000636C2">
        <w:rPr>
          <w:rtl/>
          <w:lang w:bidi="ar-KW"/>
        </w:rPr>
        <w:t xml:space="preserve"> </w:t>
      </w:r>
      <w:r w:rsidRPr="005675B2">
        <w:rPr>
          <w:rtl/>
          <w:lang w:bidi="ar-KW"/>
        </w:rPr>
        <w:t>- مصروفة عن ظاهرها وحقائقها كما مرّ من أقوال العلماء، ولا خلاف بين المسلمين في ذلك كما نقل الإمام النووي عن القاضي عياض قوله المار قريباً</w:t>
      </w:r>
      <w:r w:rsidR="000636C2">
        <w:rPr>
          <w:rtl/>
          <w:lang w:bidi="ar-KW"/>
        </w:rPr>
        <w:t>،</w:t>
      </w:r>
      <w:r w:rsidRPr="005675B2">
        <w:rPr>
          <w:rtl/>
          <w:lang w:bidi="ar-KW"/>
        </w:rPr>
        <w:t xml:space="preserve"> وهذا الذي ذكرناه في هذه القضية الهامة إنما كان موضعه - في الأصل - كتب أهل الاختصاص ومجالس العلم التي يُفهم فيها مدلولات الألفاظ، ولكن ما الحيلة وقد أصبح مثل هذا الكلام الخطر والمسلك الوعر ندرة المجالس وحديث العامة في كل مكان، فتجد من لا يعرف نواقض الوضوء وأركان الصلاة وأحكام العبادات يرفع عقيرته بالكلام عن أعظم قضية في الإسلام بلا خوف أو وجل نعني بذلك صفات الله تعالى، وما هذا إلا بسبب ترديد مثل هذه النصوص المتشابهة التي نهى العلماء عن التحدث بها كما مرَّ من قول الإمام مالك وكما قال الإمام ابن رشد معقِّباً على قول مالكٍ ومبيناً لسبب نهيِهِ عن ذلك، قال</w:t>
      </w:r>
      <w:r w:rsidR="000636C2">
        <w:rPr>
          <w:rtl/>
          <w:lang w:bidi="ar-KW"/>
        </w:rPr>
        <w:t>:</w:t>
      </w:r>
      <w:r w:rsidRPr="005675B2">
        <w:rPr>
          <w:rtl/>
          <w:lang w:bidi="ar-KW"/>
        </w:rPr>
        <w:t xml:space="preserve"> </w:t>
      </w:r>
      <w:r w:rsidR="000636C2">
        <w:rPr>
          <w:rtl/>
          <w:lang w:bidi="ar-KW"/>
        </w:rPr>
        <w:t>(</w:t>
      </w:r>
      <w:r w:rsidRPr="005675B2">
        <w:rPr>
          <w:rtl/>
          <w:lang w:bidi="ar-KW"/>
        </w:rPr>
        <w:t>وإنما نهى مالك .. مخافة أن يُتحدث بها، فيكثر التحدث بها، وتشيع في الناس فيسمعها الجهال الذين لا يعرفون تأويلها فيسبق إلى ظنونهم التشبيه بها</w:t>
      </w:r>
      <w:r w:rsidR="000636C2">
        <w:rPr>
          <w:rtl/>
          <w:lang w:bidi="ar-KW"/>
        </w:rPr>
        <w:t>)</w:t>
      </w:r>
      <w:r w:rsidRPr="005675B2">
        <w:rPr>
          <w:rtl/>
          <w:lang w:bidi="ar-KW"/>
        </w:rPr>
        <w:t xml:space="preserve"> اهـ</w:t>
      </w:r>
      <w:r w:rsidR="000636C2">
        <w:rPr>
          <w:rtl/>
          <w:lang w:bidi="ar-KW"/>
        </w:rPr>
        <w:t xml:space="preserve">، </w:t>
      </w:r>
      <w:r w:rsidRPr="005675B2">
        <w:rPr>
          <w:rtl/>
          <w:lang w:bidi="ar-KW"/>
        </w:rPr>
        <w:t>فاضطررنا إلى ذكره هنا تبياناً للحق، و</w:t>
      </w:r>
      <w:r w:rsidR="000636C2">
        <w:rPr>
          <w:rtl/>
          <w:lang w:bidi="ar-KW"/>
        </w:rPr>
        <w:t>(</w:t>
      </w:r>
      <w:r>
        <w:rPr>
          <w:rtl/>
          <w:lang w:bidi="ar-KW"/>
        </w:rPr>
        <w:t>تنبيه</w:t>
      </w:r>
      <w:r w:rsidR="000636C2">
        <w:rPr>
          <w:rtl/>
          <w:lang w:bidi="ar-KW"/>
        </w:rPr>
        <w:t>)</w:t>
      </w:r>
      <w:r w:rsidRPr="005675B2">
        <w:rPr>
          <w:rtl/>
          <w:lang w:bidi="ar-KW"/>
        </w:rPr>
        <w:t>اً على ما وقع بين الناس من فهم غير صحيح لهذه القضية</w:t>
      </w:r>
      <w:r w:rsidR="000636C2">
        <w:rPr>
          <w:rtl/>
          <w:lang w:bidi="ar-KW"/>
        </w:rPr>
        <w:t xml:space="preserve">، </w:t>
      </w:r>
      <w:r w:rsidRPr="005675B2">
        <w:rPr>
          <w:rtl/>
          <w:lang w:bidi="ar-KW"/>
        </w:rPr>
        <w:t>عود على بدء، قد بينا الخلاف في أصول الديانات وحكم المخالف في شيء منها، بقي أن نذكر الخلاف في أصول أهل السنة والجماعة، وهذه الأصول لا يحكم على المخالف فيها بالتكفير بيد أن الخلاف فيها غير يسير بل جد خطير</w:t>
      </w:r>
      <w:r w:rsidR="000636C2">
        <w:rPr>
          <w:rtl/>
          <w:lang w:bidi="ar-KW"/>
        </w:rPr>
        <w:t>،</w:t>
      </w:r>
      <w:r w:rsidRPr="005675B2">
        <w:rPr>
          <w:rtl/>
          <w:lang w:bidi="ar-KW"/>
        </w:rPr>
        <w:t xml:space="preserve"> ومثال هذه الأصول ثبوت عذاب القبرونعيمه والصراط والميزان، والكف عن صحابة رسول الله</w:t>
      </w:r>
      <w:r w:rsidR="000636C2">
        <w:rPr>
          <w:rtl/>
          <w:lang w:bidi="ar-KW"/>
        </w:rPr>
        <w:t xml:space="preserve"> </w:t>
      </w:r>
      <w:r w:rsidRPr="005675B2">
        <w:rPr>
          <w:rtl/>
          <w:lang w:bidi="ar-KW"/>
        </w:rPr>
        <w:t>والترضي عليهم، والقدر، وعدم تكفير أهل المعاصي من الموحدين، وغير ذلك من المسائل والقضايا التي اتفقت عليها كلمة أهل السنة والجماعة من الصحابة والتابعين وتابعيهم</w:t>
      </w:r>
      <w:r w:rsidR="000636C2">
        <w:rPr>
          <w:rtl/>
          <w:lang w:bidi="ar-KW"/>
        </w:rPr>
        <w:t>،</w:t>
      </w:r>
      <w:r w:rsidRPr="005675B2">
        <w:rPr>
          <w:rtl/>
          <w:lang w:bidi="ar-KW"/>
        </w:rPr>
        <w:t xml:space="preserve"> وحكم المخالف في شيء من ذلك الفسق والضلال والخروج عن دائرة أهل السنة والجماعة، وما كان عليه رسول الله</w:t>
      </w:r>
      <w:r w:rsidR="000636C2">
        <w:rPr>
          <w:rtl/>
          <w:lang w:bidi="ar-KW"/>
        </w:rPr>
        <w:t xml:space="preserve"> </w:t>
      </w:r>
      <w:r w:rsidRPr="005675B2">
        <w:rPr>
          <w:rtl/>
          <w:lang w:bidi="ar-KW"/>
        </w:rPr>
        <w:t>وأصحابه</w:t>
      </w:r>
      <w:r w:rsidR="000636C2">
        <w:rPr>
          <w:rtl/>
          <w:lang w:bidi="ar-KW"/>
        </w:rPr>
        <w:t>،</w:t>
      </w:r>
      <w:r w:rsidRPr="005675B2">
        <w:rPr>
          <w:rtl/>
          <w:lang w:bidi="ar-KW"/>
        </w:rPr>
        <w:t xml:space="preserve"> أعاذنا الله من الفتن</w:t>
      </w:r>
      <w:r w:rsidR="000636C2">
        <w:rPr>
          <w:rtl/>
          <w:lang w:bidi="ar-KW"/>
        </w:rPr>
        <w:t xml:space="preserve">، </w:t>
      </w:r>
      <w:r w:rsidRPr="005675B2">
        <w:rPr>
          <w:rtl/>
          <w:lang w:bidi="ar-KW"/>
        </w:rPr>
        <w:t>أما الفروع العقدية وهي ما سوى هذين القسمين مثل جزئيات العقيدة ونمثل لها هنا بما حدث بين الصحابة رضوان الله تعالى عليهم من اختلاف في رؤية النبي</w:t>
      </w:r>
      <w:r w:rsidR="000636C2">
        <w:rPr>
          <w:rtl/>
          <w:lang w:bidi="ar-KW"/>
        </w:rPr>
        <w:t xml:space="preserve"> </w:t>
      </w:r>
      <w:r w:rsidRPr="005675B2">
        <w:rPr>
          <w:rtl/>
          <w:lang w:bidi="ar-KW"/>
        </w:rPr>
        <w:t>ربه ليلة عرج به إلى السماء، فأثبتها بعضهم كابن عباس، ونفاها البعض كأم المؤمنين السيدة عائشة رضي الله عنهم أجمعين، وكتعذيب الميت ببكاء أهله عليه، فأثبته بعضهم ونفاه آخرون</w:t>
      </w:r>
      <w:r w:rsidR="000636C2">
        <w:rPr>
          <w:rtl/>
          <w:lang w:bidi="ar-KW"/>
        </w:rPr>
        <w:t>،</w:t>
      </w:r>
      <w:r w:rsidRPr="005675B2">
        <w:rPr>
          <w:rtl/>
          <w:lang w:bidi="ar-KW"/>
        </w:rPr>
        <w:t xml:space="preserve"> وغير ذلك من المسائل الجزئية الغيبية، ويلحق بهذا النوع من الاختلاف المشروع الذي حدث بين سلف الأمة الطيب الاختلاف في تفويض المتشابهات وتأويلها، فقد نقل العلماء عن السلف أن جمهورهم كان على مذهب التفويض وعن جماعات منهم أنهم أخذوا بالتأويل من هؤلاء</w:t>
      </w:r>
      <w:r w:rsidR="000636C2">
        <w:rPr>
          <w:rtl/>
          <w:lang w:bidi="ar-KW"/>
        </w:rPr>
        <w:t xml:space="preserve"> </w:t>
      </w:r>
      <w:r w:rsidRPr="005675B2">
        <w:rPr>
          <w:rtl/>
          <w:lang w:bidi="ar-KW"/>
        </w:rPr>
        <w:t>- نعني الذين قالوا بالتأويل</w:t>
      </w:r>
      <w:r w:rsidR="000636C2">
        <w:rPr>
          <w:rtl/>
          <w:lang w:bidi="ar-KW"/>
        </w:rPr>
        <w:t xml:space="preserve"> </w:t>
      </w:r>
      <w:r w:rsidRPr="005675B2">
        <w:rPr>
          <w:rtl/>
          <w:lang w:bidi="ar-KW"/>
        </w:rPr>
        <w:t>- سيدنا ابن عباس رضي الله عنهما وغيره من الصحابة وأكابر التابعين وتابعيهم</w:t>
      </w:r>
      <w:r w:rsidR="000636C2">
        <w:rPr>
          <w:rtl/>
          <w:lang w:bidi="ar-KW"/>
        </w:rPr>
        <w:t>،</w:t>
      </w:r>
      <w:r w:rsidRPr="005675B2">
        <w:rPr>
          <w:rtl/>
          <w:lang w:bidi="ar-KW"/>
        </w:rPr>
        <w:t xml:space="preserve"> وعلى الجملة فإن الخلاف في هذا النوع من القضايا لا يترتب عليه شيء قطعاً، إذ لم ينقل عن الصحابة أو السلف عموماً أنهم ضللوا بعضهم بعضاً بسبب شيء من ذلك خصوصاً وأن اختلافهم في مثل هذه القضايا مستفيض مشهور</w:t>
      </w:r>
      <w:r w:rsidR="000636C2">
        <w:rPr>
          <w:rtl/>
          <w:lang w:bidi="ar-KW"/>
        </w:rPr>
        <w:t>،</w:t>
      </w:r>
      <w:r w:rsidRPr="005675B2">
        <w:rPr>
          <w:rtl/>
          <w:lang w:bidi="ar-KW"/>
        </w:rPr>
        <w:t xml:space="preserve"> وما حدث بين طوائف أهل السنة من اختلاف في بعض المسائل ملحق بهذا النوع من الاختلاف، نحو ما حدث بين الأشاعرة والماتريدية، فكله لا يستلزم تضليلاً ولا تبديعاً</w:t>
      </w:r>
      <w:r w:rsidR="000636C2">
        <w:rPr>
          <w:rtl/>
          <w:lang w:bidi="ar-KW"/>
        </w:rPr>
        <w:t xml:space="preserve">، </w:t>
      </w:r>
      <w:r w:rsidRPr="005675B2">
        <w:rPr>
          <w:rtl/>
          <w:lang w:bidi="ar-KW"/>
        </w:rPr>
        <w:t xml:space="preserve">قال الحافظ بن عساكر - رحمه الله تعالى - </w:t>
      </w:r>
      <w:r w:rsidR="000636C2">
        <w:rPr>
          <w:rtl/>
        </w:rPr>
        <w:t>(</w:t>
      </w:r>
      <w:r w:rsidRPr="005675B2">
        <w:rPr>
          <w:rtl/>
        </w:rPr>
        <w:t>تبين كذب المفترى ص / 409</w:t>
      </w:r>
      <w:r w:rsidR="000636C2">
        <w:rPr>
          <w:rtl/>
        </w:rPr>
        <w:t>)</w:t>
      </w:r>
      <w:r w:rsidR="000636C2">
        <w:rPr>
          <w:rtl/>
          <w:lang w:bidi="ar-KW"/>
        </w:rPr>
        <w:t>:</w:t>
      </w:r>
      <w:r w:rsidR="000636C2">
        <w:rPr>
          <w:rFonts w:hint="cs"/>
          <w:rtl/>
          <w:lang w:bidi="ar-KW"/>
        </w:rPr>
        <w:t xml:space="preserve"> </w:t>
      </w:r>
      <w:r w:rsidR="000636C2">
        <w:rPr>
          <w:rtl/>
          <w:lang w:bidi="ar-KW"/>
        </w:rPr>
        <w:t>(</w:t>
      </w:r>
      <w:r w:rsidRPr="005675B2">
        <w:rPr>
          <w:rtl/>
          <w:lang w:bidi="ar-KW"/>
        </w:rPr>
        <w:t>الأصحاب مع اختلافهم في بعض المسائل كلهم أجمعون، على ترك تكفير بعضهم بعضاً مجمعون، بخلاف من عداهم من سائر الطوائف وجميع الفرق، فإنهم حين اختلفت بهم مستشنعات الأهواء والطرق كفر بعضهم بعضاً، ورأى تبرِّيه ممن خالفه فرضاً</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تاج الدين السبكي - رحمه الله تعالى - </w:t>
      </w:r>
      <w:r w:rsidR="000636C2">
        <w:rPr>
          <w:rtl/>
        </w:rPr>
        <w:t>(</w:t>
      </w:r>
      <w:r w:rsidRPr="005675B2">
        <w:rPr>
          <w:rtl/>
        </w:rPr>
        <w:t>طبقات الشافعية 3 / 378</w:t>
      </w:r>
      <w:r w:rsidR="000636C2">
        <w:rPr>
          <w:rtl/>
        </w:rPr>
        <w:t>):</w:t>
      </w:r>
      <w:r w:rsidRPr="005675B2">
        <w:rPr>
          <w:rFonts w:hint="cs"/>
          <w:rtl/>
        </w:rPr>
        <w:t xml:space="preserve"> </w:t>
      </w:r>
      <w:r w:rsidR="000636C2">
        <w:rPr>
          <w:rtl/>
          <w:lang w:bidi="ar-KW"/>
        </w:rPr>
        <w:t>(</w:t>
      </w:r>
      <w:r w:rsidRPr="005675B2">
        <w:rPr>
          <w:rtl/>
          <w:lang w:bidi="ar-KW"/>
        </w:rPr>
        <w:t>تفحصت كتب الحنفية فوجدت جميع المسائل التي بيننا وبين الحنفية خلاف فيها ثلاث عشر مسألة، منها معنوي ست مسائل، والباقي لفظي، وتلك الست المعنوية لا تقتضي مخالفتهم لنا ولا مخالفتنا لهم فيها تكفيراً ولا تبديعاً صرح بذلك الأستاذ أبو منصور البغدادي وغيره من أئمتنا وأئمتهم وهو غني عن التصريح لظهوره</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العلامة ملا علي القاري - رحمه الله تعالى - </w:t>
      </w:r>
      <w:r w:rsidR="000636C2">
        <w:rPr>
          <w:rtl/>
        </w:rPr>
        <w:t>(</w:t>
      </w:r>
      <w:r w:rsidRPr="005675B2">
        <w:rPr>
          <w:rtl/>
        </w:rPr>
        <w:t>مرقاة المفاتيح 1/ 206</w:t>
      </w:r>
      <w:r w:rsidR="000636C2">
        <w:rPr>
          <w:rtl/>
          <w:lang w:bidi="ar-KW"/>
        </w:rPr>
        <w:t>):</w:t>
      </w:r>
      <w:r w:rsidRPr="005675B2">
        <w:rPr>
          <w:rFonts w:hint="cs"/>
          <w:rtl/>
          <w:lang w:bidi="ar-KW"/>
        </w:rPr>
        <w:t xml:space="preserve"> </w:t>
      </w:r>
      <w:r w:rsidR="000636C2">
        <w:rPr>
          <w:rtl/>
          <w:lang w:bidi="ar-KW"/>
        </w:rPr>
        <w:t>(</w:t>
      </w:r>
      <w:r w:rsidRPr="005675B2">
        <w:rPr>
          <w:rtl/>
          <w:lang w:bidi="ar-KW"/>
        </w:rPr>
        <w:t>وما وقع من الخلاف بين والماتريدية والأشعرية في مسائل فهي ترجع إلى الفروع في الحقيقة، فإنها ظنيات فلم تكن من الاعتقادات المبنية على اليقينيات، بل قال بعض المحققين إن الخُلْفَ بينهما في الكل لفظي</w:t>
      </w:r>
      <w:r w:rsidR="000636C2">
        <w:rPr>
          <w:rtl/>
          <w:lang w:bidi="ar-KW"/>
        </w:rPr>
        <w:t>)</w:t>
      </w:r>
      <w:r w:rsidRPr="005675B2">
        <w:rPr>
          <w:rtl/>
          <w:lang w:bidi="ar-KW"/>
        </w:rPr>
        <w:t xml:space="preserve"> اهـ</w:t>
      </w:r>
      <w:r w:rsidR="000636C2">
        <w:rPr>
          <w:rtl/>
          <w:lang w:bidi="ar-KW"/>
        </w:rPr>
        <w:t xml:space="preserve">، </w:t>
      </w:r>
      <w:r w:rsidRPr="005675B2">
        <w:rPr>
          <w:rtl/>
          <w:lang w:bidi="ar-KW"/>
        </w:rPr>
        <w:t>بهذا يتبين خطأ الذين يسارعون في تضليل مخالفيهم وتبديعهم معممين لأحكامهم وغير مراعين لنوع القضايا التي يقع فيها الخلاف، لا سيما المسائل التي نقل عن السلف الطيب خلاف فيها دون إنكار من بعضهم على بعض</w:t>
      </w:r>
      <w:r w:rsidR="000636C2">
        <w:rPr>
          <w:rtl/>
          <w:lang w:bidi="ar-KW"/>
        </w:rPr>
        <w:t>،</w:t>
      </w:r>
      <w:r w:rsidRPr="005675B2">
        <w:rPr>
          <w:rtl/>
          <w:lang w:bidi="ar-KW"/>
        </w:rPr>
        <w:t xml:space="preserve"> ويتبين أيضاً مجازفة أولئك الذين يضللون الأشاعرة والماتريدية جهلاً ودون روية، متجاهلين كل النصوص المنقولة عن علماء الأمة بالتنويه بفضلهم، ومتجاهلين أيضا كون قضية التفويض والتأويل التي يضللونهم بسببها منقولة عن الصحابة والسلف الطيب، وأنها من نوع المسائل التي لا يترتب عليها ضلال أو بدعة</w:t>
      </w:r>
      <w:r w:rsidR="000636C2">
        <w:rPr>
          <w:rtl/>
          <w:lang w:bidi="ar-KW"/>
        </w:rPr>
        <w:t>،</w:t>
      </w:r>
      <w:r w:rsidRPr="005675B2">
        <w:rPr>
          <w:rtl/>
          <w:lang w:bidi="ar-KW"/>
        </w:rPr>
        <w:t xml:space="preserve"> </w:t>
      </w:r>
    </w:p>
    <w:p w14:paraId="312D298E" w14:textId="77777777" w:rsidR="009C32A0" w:rsidRPr="005675B2" w:rsidRDefault="009C32A0" w:rsidP="000636C2">
      <w:pPr>
        <w:widowControl w:val="0"/>
        <w:spacing w:before="80" w:after="240"/>
        <w:jc w:val="center"/>
        <w:rPr>
          <w:rtl/>
          <w:lang w:bidi="ar-KW"/>
        </w:rPr>
      </w:pPr>
      <w:r w:rsidRPr="005675B2">
        <w:rPr>
          <w:rtl/>
          <w:lang w:bidi="ar-KW"/>
        </w:rPr>
        <w:t>* * * * *</w:t>
      </w:r>
    </w:p>
    <w:p w14:paraId="2C9FF3C5" w14:textId="5A59459C" w:rsidR="009C32A0" w:rsidRPr="005675B2" w:rsidRDefault="009C32A0" w:rsidP="000636C2">
      <w:pPr>
        <w:widowControl w:val="0"/>
        <w:spacing w:before="80" w:after="240"/>
        <w:rPr>
          <w:b/>
          <w:bCs/>
          <w:rtl/>
          <w:lang w:bidi="ar-KW"/>
        </w:rPr>
      </w:pPr>
      <w:r w:rsidRPr="005675B2">
        <w:rPr>
          <w:bCs/>
          <w:rtl/>
          <w:lang w:bidi="ar-KW"/>
        </w:rPr>
        <w:t>التفويض والتأويل</w:t>
      </w:r>
      <w:r w:rsidR="000636C2">
        <w:rPr>
          <w:rFonts w:hint="cs"/>
          <w:bCs/>
          <w:rtl/>
          <w:lang w:bidi="ar-KW"/>
        </w:rPr>
        <w:t>: (</w:t>
      </w:r>
      <w:r w:rsidRPr="005675B2">
        <w:rPr>
          <w:bCs/>
          <w:rtl/>
          <w:lang w:bidi="ar-KW"/>
        </w:rPr>
        <w:t>التفويض</w:t>
      </w:r>
      <w:r w:rsidR="000636C2">
        <w:rPr>
          <w:bCs/>
          <w:rtl/>
          <w:lang w:bidi="ar-KW"/>
        </w:rPr>
        <w:t>)</w:t>
      </w:r>
      <w:r w:rsidR="000636C2">
        <w:rPr>
          <w:rFonts w:hint="cs"/>
          <w:bCs/>
          <w:rtl/>
          <w:lang w:bidi="ar-KW"/>
        </w:rPr>
        <w:t>:</w:t>
      </w:r>
      <w:r w:rsidRPr="005675B2">
        <w:rPr>
          <w:bCs/>
          <w:rtl/>
          <w:lang w:bidi="ar-KW"/>
        </w:rPr>
        <w:t xml:space="preserve"> </w:t>
      </w:r>
      <w:r w:rsidRPr="005675B2">
        <w:rPr>
          <w:rtl/>
          <w:lang w:bidi="ar-KW"/>
        </w:rPr>
        <w:t>مأخوذ من قولهم فوض إليه الأمر</w:t>
      </w:r>
      <w:r w:rsidR="000636C2">
        <w:rPr>
          <w:rtl/>
          <w:lang w:bidi="ar-KW"/>
        </w:rPr>
        <w:t>،</w:t>
      </w:r>
      <w:r w:rsidRPr="005675B2">
        <w:rPr>
          <w:rtl/>
          <w:lang w:bidi="ar-KW"/>
        </w:rPr>
        <w:t xml:space="preserve"> أي ردّه إليه</w:t>
      </w:r>
      <w:r w:rsidR="000636C2">
        <w:rPr>
          <w:rtl/>
          <w:lang w:bidi="ar-KW"/>
        </w:rPr>
        <w:t>،</w:t>
      </w:r>
      <w:r w:rsidRPr="005675B2">
        <w:rPr>
          <w:rtl/>
          <w:lang w:bidi="ar-KW"/>
        </w:rPr>
        <w:t xml:space="preserve"> والمعنى الشرعي لا يخرج عن المعنى اللغوي، فهو شرعاً</w:t>
      </w:r>
      <w:r w:rsidR="000636C2">
        <w:rPr>
          <w:rtl/>
          <w:lang w:bidi="ar-KW"/>
        </w:rPr>
        <w:t>:</w:t>
      </w:r>
      <w:r w:rsidRPr="005675B2">
        <w:rPr>
          <w:rtl/>
          <w:lang w:bidi="ar-KW"/>
        </w:rPr>
        <w:t xml:space="preserve"> ردُّ العلم بهذه المتشابهات إلى الله تعالى وعدم الخوض في معناها وذلك بعد تنزيه الله تعالى عن ظواهرها غير المرادة للشارع</w:t>
      </w:r>
      <w:r w:rsidR="000636C2">
        <w:rPr>
          <w:rtl/>
          <w:lang w:bidi="ar-KW"/>
        </w:rPr>
        <w:t xml:space="preserve">، </w:t>
      </w:r>
      <w:r w:rsidRPr="005675B2">
        <w:rPr>
          <w:bCs/>
          <w:rtl/>
          <w:lang w:bidi="ar-KW"/>
        </w:rPr>
        <w:t>والتأويل</w:t>
      </w:r>
      <w:r w:rsidR="000636C2">
        <w:rPr>
          <w:rtl/>
          <w:lang w:bidi="ar-KW"/>
        </w:rPr>
        <w:t>:</w:t>
      </w:r>
      <w:r w:rsidRPr="005675B2">
        <w:rPr>
          <w:rtl/>
          <w:lang w:bidi="ar-KW"/>
        </w:rPr>
        <w:t xml:space="preserve"> أصله من الأَوْلِ وهو الرجوع</w:t>
      </w:r>
      <w:r w:rsidR="000636C2">
        <w:rPr>
          <w:rtl/>
          <w:lang w:bidi="ar-KW"/>
        </w:rPr>
        <w:t xml:space="preserve">، </w:t>
      </w:r>
      <w:r w:rsidRPr="005675B2">
        <w:rPr>
          <w:rtl/>
          <w:lang w:bidi="ar-KW"/>
        </w:rPr>
        <w:t>وهو شرعاً</w:t>
      </w:r>
      <w:r w:rsidR="000636C2">
        <w:rPr>
          <w:rtl/>
          <w:lang w:bidi="ar-KW"/>
        </w:rPr>
        <w:t>:</w:t>
      </w:r>
      <w:r w:rsidRPr="005675B2">
        <w:rPr>
          <w:rtl/>
          <w:lang w:bidi="ar-KW"/>
        </w:rPr>
        <w:t xml:space="preserve"> صرف اللفظ عن الظاهر بقرينة تقتضي ذلك</w:t>
      </w:r>
      <w:r w:rsidR="000636C2">
        <w:rPr>
          <w:rtl/>
          <w:lang w:bidi="ar-KW"/>
        </w:rPr>
        <w:t>،</w:t>
      </w:r>
      <w:r w:rsidRPr="005675B2">
        <w:rPr>
          <w:rtl/>
          <w:lang w:bidi="ar-KW"/>
        </w:rPr>
        <w:t xml:space="preserve"> وهذان المذهبان كما أسلفنا هما المذهبان المعتبران المأثوران عن أهل السنة والجماعة في أبواب المتشابه، ولا اعتبار لمن جنح إلى التعطيل أو التشبيه من المذاهب الأخرى التي رفضتها الأمة ولفظتها</w:t>
      </w:r>
      <w:r w:rsidR="000636C2">
        <w:rPr>
          <w:rtl/>
          <w:lang w:bidi="ar-KW"/>
        </w:rPr>
        <w:t>،</w:t>
      </w:r>
      <w:r w:rsidRPr="005675B2">
        <w:rPr>
          <w:rtl/>
          <w:lang w:bidi="ar-KW"/>
        </w:rPr>
        <w:t xml:space="preserve"> </w:t>
      </w:r>
    </w:p>
    <w:p w14:paraId="0F57957A" w14:textId="6FC81871" w:rsidR="009C32A0" w:rsidRPr="005675B2" w:rsidRDefault="009C32A0" w:rsidP="000636C2">
      <w:pPr>
        <w:widowControl w:val="0"/>
        <w:spacing w:before="80" w:after="240"/>
        <w:rPr>
          <w:rtl/>
          <w:lang w:bidi="ar-KW"/>
        </w:rPr>
      </w:pPr>
      <w:r w:rsidRPr="005675B2">
        <w:rPr>
          <w:bCs/>
          <w:rtl/>
          <w:lang w:bidi="ar-KW"/>
        </w:rPr>
        <w:t>انحصار الحق في التفويض والتأويل</w:t>
      </w:r>
      <w:r w:rsidR="000636C2">
        <w:rPr>
          <w:bCs/>
          <w:rtl/>
          <w:lang w:bidi="ar-KW"/>
        </w:rPr>
        <w:t>:</w:t>
      </w:r>
      <w:r w:rsidR="000636C2">
        <w:rPr>
          <w:rFonts w:hint="cs"/>
          <w:rtl/>
          <w:lang w:bidi="ar-KW"/>
        </w:rPr>
        <w:t xml:space="preserve"> </w:t>
      </w:r>
      <w:r w:rsidRPr="005675B2">
        <w:rPr>
          <w:rtl/>
          <w:lang w:bidi="ar-KW"/>
        </w:rPr>
        <w:t>هذه النصوص المتشابهة في الصفات إما أن تُثبت أو تُنفى، ونفيها تعطيل ظاهر، لأنه نفيٌ لما أثبت الله تعالى ورسوله صلى الله عليه وسلم، والإثبات إما أن يكون معه حمل الكلام على ظاهره وحقيقته التي يعهدها البشر، أو يصرف الكلام معه عن هذا الظاهر وهذه الحقيقة، والأول نعني حملَ الكلام على الظاهر والحقيقة يفضي قطعاً إلى التشبيه، لأن حقائق وظواهرهذه الألفاظ أجسام وكيفيات مخلوقة، والله تعالى منزه عنها</w:t>
      </w:r>
      <w:r w:rsidR="000636C2">
        <w:rPr>
          <w:rtl/>
          <w:lang w:bidi="ar-KW"/>
        </w:rPr>
        <w:t>،</w:t>
      </w:r>
      <w:r w:rsidRPr="005675B2">
        <w:rPr>
          <w:rtl/>
          <w:lang w:bidi="ar-KW"/>
        </w:rPr>
        <w:t xml:space="preserve"> ولا يقال</w:t>
      </w:r>
      <w:r w:rsidR="000636C2">
        <w:rPr>
          <w:rtl/>
          <w:lang w:bidi="ar-KW"/>
        </w:rPr>
        <w:t>:</w:t>
      </w:r>
      <w:r w:rsidRPr="005675B2">
        <w:rPr>
          <w:rtl/>
          <w:lang w:bidi="ar-KW"/>
        </w:rPr>
        <w:t xml:space="preserve"> نحملها على الظاهر ونفوض العلم بالكيفية إلى الله تعالى</w:t>
      </w:r>
      <w:r w:rsidR="000636C2">
        <w:rPr>
          <w:rtl/>
          <w:lang w:bidi="ar-KW"/>
        </w:rPr>
        <w:t>،</w:t>
      </w:r>
      <w:r w:rsidRPr="005675B2">
        <w:rPr>
          <w:rtl/>
          <w:lang w:bidi="ar-KW"/>
        </w:rPr>
        <w:t xml:space="preserve"> لأن هذا القول تناقض صريح أوقعت فيه الغفلة، إذ ليس من ظاهر ولا حقيـقة هنـا إلا الجسم، وهذا لا يصح قطعاً وصف الله تعالى به</w:t>
      </w:r>
      <w:r w:rsidR="000636C2">
        <w:rPr>
          <w:rtl/>
          <w:lang w:bidi="ar-KW"/>
        </w:rPr>
        <w:t>،</w:t>
      </w:r>
      <w:r w:rsidRPr="005675B2">
        <w:rPr>
          <w:rtl/>
          <w:lang w:bidi="ar-KW"/>
        </w:rPr>
        <w:t xml:space="preserve"> بقي القسم الأخير الذي هو صرف الكلام عن الحقيقة والظاهر، ثم بعد صرفه عن الظاهر إما أن يُتوقفَ عن التماس معنى له ويوكلَ العلمُ به إلى الله تعالى، وهذا هو التفويض الذي عليه جماهير السلف الصالح، أو يلتمسَ له معنى لائقٌ بالله تعالى حسب مناحي الكلام عند العرب وما تسيغه لغتهم، وهذا هو التأويل الذي عليه خلف الأمة وجماعات من سلفها الصالح</w:t>
      </w:r>
      <w:r w:rsidR="000636C2">
        <w:rPr>
          <w:rtl/>
          <w:lang w:bidi="ar-KW"/>
        </w:rPr>
        <w:t>،</w:t>
      </w:r>
      <w:r w:rsidRPr="005675B2">
        <w:rPr>
          <w:rtl/>
          <w:lang w:bidi="ar-KW"/>
        </w:rPr>
        <w:t xml:space="preserve"> بهذين المذهبين تنحصر القسمة الصحيحة في هذه القضية</w:t>
      </w:r>
      <w:r w:rsidR="000636C2">
        <w:rPr>
          <w:rtl/>
          <w:lang w:bidi="ar-KW"/>
        </w:rPr>
        <w:t xml:space="preserve">، </w:t>
      </w:r>
      <w:r w:rsidRPr="005675B2">
        <w:rPr>
          <w:rtl/>
          <w:lang w:bidi="ar-KW"/>
        </w:rPr>
        <w:t xml:space="preserve">لهذا نرى العلماء ينصّون عندما يعرض لهم شيء من هذه المتشابهات على أنه </w:t>
      </w:r>
      <w:r w:rsidR="000636C2">
        <w:rPr>
          <w:bCs/>
          <w:rtl/>
          <w:lang w:bidi="ar-KW"/>
        </w:rPr>
        <w:t>(</w:t>
      </w:r>
      <w:r w:rsidRPr="005675B2">
        <w:rPr>
          <w:bCs/>
          <w:rtl/>
          <w:lang w:bidi="ar-KW"/>
        </w:rPr>
        <w:t>إما تفويض</w:t>
      </w:r>
      <w:r w:rsidRPr="005675B2">
        <w:rPr>
          <w:rtl/>
          <w:lang w:bidi="ar-KW"/>
        </w:rPr>
        <w:t xml:space="preserve"> </w:t>
      </w:r>
      <w:r w:rsidRPr="005675B2">
        <w:rPr>
          <w:bCs/>
          <w:rtl/>
          <w:lang w:bidi="ar-KW"/>
        </w:rPr>
        <w:t>وإما تأويل</w:t>
      </w:r>
      <w:r w:rsidR="000636C2">
        <w:rPr>
          <w:bCs/>
          <w:rtl/>
          <w:lang w:bidi="ar-KW"/>
        </w:rPr>
        <w:t>)</w:t>
      </w:r>
      <w:r w:rsidRPr="005675B2">
        <w:rPr>
          <w:rtl/>
          <w:lang w:bidi="ar-KW"/>
        </w:rPr>
        <w:t xml:space="preserve"> إذ ليس بعدهما إلا التشبيه أو التعطيل</w:t>
      </w:r>
      <w:r w:rsidR="000636C2">
        <w:rPr>
          <w:rtl/>
          <w:lang w:bidi="ar-KW"/>
        </w:rPr>
        <w:t>،</w:t>
      </w:r>
      <w:r w:rsidRPr="005675B2">
        <w:rPr>
          <w:rtl/>
          <w:lang w:bidi="ar-KW"/>
        </w:rPr>
        <w:t xml:space="preserve"> قال الإمام الأبّي رحمه الله تعالى </w:t>
      </w:r>
      <w:r w:rsidR="000636C2">
        <w:rPr>
          <w:rtl/>
        </w:rPr>
        <w:t>(</w:t>
      </w:r>
      <w:r w:rsidRPr="005675B2">
        <w:rPr>
          <w:rtl/>
        </w:rPr>
        <w:t>شرح صحيح مسلم للأبي 7 / 190</w:t>
      </w:r>
      <w:r w:rsidR="000636C2">
        <w:rPr>
          <w:rtl/>
        </w:rPr>
        <w:t>)</w:t>
      </w:r>
      <w:r w:rsidRPr="005675B2">
        <w:rPr>
          <w:rtl/>
        </w:rPr>
        <w:t xml:space="preserve"> </w:t>
      </w:r>
      <w:r w:rsidRPr="005675B2">
        <w:rPr>
          <w:rtl/>
          <w:lang w:bidi="ar-KW"/>
        </w:rPr>
        <w:t xml:space="preserve">أثناء شرحه لحديث </w:t>
      </w:r>
      <w:r w:rsidRPr="005675B2">
        <w:rPr>
          <w:bCs/>
          <w:rtl/>
          <w:lang w:bidi="ar-KW"/>
        </w:rPr>
        <w:t>" إن الله</w:t>
      </w:r>
      <w:r w:rsidRPr="005675B2">
        <w:rPr>
          <w:rtl/>
          <w:lang w:bidi="ar-KW"/>
        </w:rPr>
        <w:t xml:space="preserve"> </w:t>
      </w:r>
      <w:r w:rsidRPr="005675B2">
        <w:rPr>
          <w:bCs/>
          <w:rtl/>
          <w:lang w:bidi="ar-KW"/>
        </w:rPr>
        <w:t>يمسك السموات على أصبع "</w:t>
      </w:r>
      <w:r w:rsidR="000636C2">
        <w:rPr>
          <w:rtl/>
          <w:lang w:bidi="ar-KW"/>
        </w:rPr>
        <w:t>:</w:t>
      </w:r>
      <w:r w:rsidRPr="005675B2">
        <w:rPr>
          <w:rFonts w:hint="cs"/>
          <w:rtl/>
          <w:lang w:bidi="ar-KW"/>
        </w:rPr>
        <w:t xml:space="preserve"> </w:t>
      </w:r>
      <w:r w:rsidR="000636C2">
        <w:rPr>
          <w:rtl/>
          <w:lang w:bidi="ar-KW"/>
        </w:rPr>
        <w:t>(</w:t>
      </w:r>
      <w:r w:rsidRPr="005675B2">
        <w:rPr>
          <w:rtl/>
          <w:lang w:bidi="ar-KW"/>
        </w:rPr>
        <w:t>والحديث من أحاديث الصفات فيصرف الكلام عن ظاهره المحال الموهم للجارحة، ويكون فيه المذهبان المتقدمان، إما الإمساك عن التأويل والإيمان به على ما يليق، ويصرف علمه إلى الله تعالى، أو يتأول</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العلامة بدر الدين بن جماعة </w:t>
      </w:r>
      <w:r w:rsidR="000636C2">
        <w:rPr>
          <w:rtl/>
          <w:lang w:bidi="ar-KW"/>
        </w:rPr>
        <w:t>(</w:t>
      </w:r>
      <w:r w:rsidRPr="005675B2">
        <w:rPr>
          <w:rtl/>
          <w:lang w:bidi="ar-KW"/>
        </w:rPr>
        <w:t>إيضاح الدليل ص/103</w:t>
      </w:r>
      <w:r w:rsidR="000636C2">
        <w:rPr>
          <w:rtl/>
          <w:lang w:bidi="ar-KW"/>
        </w:rPr>
        <w:t>):</w:t>
      </w:r>
      <w:r w:rsidRPr="005675B2">
        <w:rPr>
          <w:rFonts w:hint="cs"/>
          <w:rtl/>
          <w:lang w:bidi="ar-KW"/>
        </w:rPr>
        <w:t xml:space="preserve"> </w:t>
      </w:r>
      <w:r w:rsidR="000636C2">
        <w:rPr>
          <w:rtl/>
          <w:lang w:bidi="ar-KW"/>
        </w:rPr>
        <w:t>(</w:t>
      </w:r>
      <w:r w:rsidRPr="005675B2">
        <w:rPr>
          <w:rtl/>
          <w:lang w:bidi="ar-KW"/>
        </w:rPr>
        <w:t>واتفق السلف وأهل التأويل على أن ما لا يليق من ذلك بجلال الرب تعالى غير مراد .. واختلفوا في تعيين ما يليق بجلاله من المعاني المحتملة .. فسكت السلف عنه، وأوله المتأولون</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ابن الجوزي - رحمه الله تعالى - في حديث النزول </w:t>
      </w:r>
      <w:r w:rsidR="000636C2">
        <w:rPr>
          <w:rtl/>
        </w:rPr>
        <w:t>(</w:t>
      </w:r>
      <w:r w:rsidRPr="005675B2">
        <w:rPr>
          <w:rtl/>
        </w:rPr>
        <w:t>دفع شبه التشبيه 194</w:t>
      </w:r>
      <w:r w:rsidR="000636C2">
        <w:rPr>
          <w:rtl/>
        </w:rPr>
        <w:t>)</w:t>
      </w:r>
      <w:r w:rsidR="000636C2">
        <w:rPr>
          <w:rtl/>
          <w:lang w:bidi="ar-KW"/>
        </w:rPr>
        <w:t>:</w:t>
      </w:r>
      <w:r w:rsidRPr="005675B2">
        <w:rPr>
          <w:rFonts w:hint="cs"/>
          <w:rtl/>
          <w:lang w:bidi="ar-KW"/>
        </w:rPr>
        <w:t xml:space="preserve"> </w:t>
      </w:r>
      <w:r w:rsidR="000636C2">
        <w:rPr>
          <w:rtl/>
          <w:lang w:bidi="ar-KW"/>
        </w:rPr>
        <w:t>(</w:t>
      </w:r>
      <w:r w:rsidRPr="005675B2">
        <w:rPr>
          <w:rtl/>
          <w:lang w:bidi="ar-KW"/>
        </w:rPr>
        <w:t>روى حديث النزول عشرون صحابياً، وقد تقدم أنه يستحيل على الله عز وجل الحركة والنقلة والتغير، فيبقى الناس رجلين</w:t>
      </w:r>
      <w:r w:rsidR="000636C2">
        <w:rPr>
          <w:rtl/>
          <w:lang w:bidi="ar-KW"/>
        </w:rPr>
        <w:t>:</w:t>
      </w:r>
      <w:r w:rsidRPr="005675B2">
        <w:rPr>
          <w:rtl/>
          <w:lang w:bidi="ar-KW"/>
        </w:rPr>
        <w:t xml:space="preserve"> أحدهما، المتأول بمعنى أنه يقرب برحمته .. والثاني، الساكت عن الكلام في ذلك مع اعتقاد التنزيه</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النووي - رحمه الله تعالى - في شرحه على صحيح مسلم </w:t>
      </w:r>
      <w:r w:rsidR="000636C2">
        <w:rPr>
          <w:rtl/>
          <w:lang w:bidi="ar-KW"/>
        </w:rPr>
        <w:t>(</w:t>
      </w:r>
      <w:r w:rsidRPr="005675B2">
        <w:rPr>
          <w:rtl/>
          <w:lang w:bidi="ar-KW"/>
        </w:rPr>
        <w:t>5 / 24</w:t>
      </w:r>
      <w:r w:rsidR="000636C2">
        <w:rPr>
          <w:rtl/>
          <w:lang w:bidi="ar-KW"/>
        </w:rPr>
        <w:t>)</w:t>
      </w:r>
      <w:r w:rsidRPr="005675B2">
        <w:rPr>
          <w:rtl/>
          <w:lang w:bidi="ar-KW"/>
        </w:rPr>
        <w:t xml:space="preserve"> أثناء الكلام على حديث الجارية، ما نصه</w:t>
      </w:r>
      <w:r w:rsidR="000636C2">
        <w:rPr>
          <w:rtl/>
          <w:lang w:bidi="ar-KW"/>
        </w:rPr>
        <w:t>:</w:t>
      </w:r>
      <w:r w:rsidRPr="005675B2">
        <w:rPr>
          <w:rFonts w:hint="cs"/>
          <w:rtl/>
          <w:lang w:bidi="ar-KW"/>
        </w:rPr>
        <w:t xml:space="preserve"> </w:t>
      </w:r>
      <w:r w:rsidR="000636C2">
        <w:rPr>
          <w:rtl/>
          <w:lang w:bidi="ar-KW"/>
        </w:rPr>
        <w:t>(</w:t>
      </w:r>
      <w:r w:rsidRPr="005675B2">
        <w:rPr>
          <w:rtl/>
          <w:lang w:bidi="ar-KW"/>
        </w:rPr>
        <w:t>هذا الحديث من أحاديث الصفات، وفيها مذهبان، أحدهما، الإيمان به من غير خوض في معناه مع اعتقاد أن الله تعالى ليس كمثله شيء، وتنزيهه عن سمات المخلوقات، والثاني، تأويله بما يليق</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وقـال أيضـاً أثنـاء الكلام على حديث إمساك السماوات على أصبع والأرضين على أصبع </w:t>
      </w:r>
      <w:r w:rsidR="000636C2">
        <w:rPr>
          <w:rtl/>
          <w:lang w:bidi="ar-KW"/>
        </w:rPr>
        <w:t>(</w:t>
      </w:r>
      <w:r w:rsidRPr="005675B2">
        <w:rPr>
          <w:rtl/>
          <w:lang w:bidi="ar-KW"/>
        </w:rPr>
        <w:t>17 / 129</w:t>
      </w:r>
      <w:r w:rsidR="000636C2">
        <w:rPr>
          <w:rtl/>
          <w:lang w:bidi="ar-KW"/>
        </w:rPr>
        <w:t>)</w:t>
      </w:r>
      <w:r w:rsidRPr="005675B2">
        <w:rPr>
          <w:rtl/>
          <w:lang w:bidi="ar-KW"/>
        </w:rPr>
        <w:t xml:space="preserve"> ما نصه</w:t>
      </w:r>
      <w:r w:rsidR="000636C2">
        <w:rPr>
          <w:rtl/>
          <w:lang w:bidi="ar-KW"/>
        </w:rPr>
        <w:t>:</w:t>
      </w:r>
      <w:r w:rsidRPr="005675B2">
        <w:rPr>
          <w:rtl/>
          <w:lang w:bidi="ar-KW"/>
        </w:rPr>
        <w:t xml:space="preserve"> </w:t>
      </w:r>
      <w:r w:rsidR="000636C2">
        <w:rPr>
          <w:rtl/>
          <w:lang w:bidi="ar-KW"/>
        </w:rPr>
        <w:t>(</w:t>
      </w:r>
      <w:r w:rsidRPr="005675B2">
        <w:rPr>
          <w:rtl/>
          <w:lang w:bidi="ar-KW"/>
        </w:rPr>
        <w:t>هذا من أحاديث الصفات، وقد سبق فيها المذهبان، التأويل والإمساك عنه مع الإيمان بها ومع اعتقاد أن الظاهر منها غير مراد</w:t>
      </w:r>
      <w:r w:rsidR="000636C2">
        <w:rPr>
          <w:rtl/>
          <w:lang w:bidi="ar-KW"/>
        </w:rPr>
        <w:t>)</w:t>
      </w:r>
      <w:r w:rsidRPr="005675B2">
        <w:rPr>
          <w:rtl/>
          <w:lang w:bidi="ar-KW"/>
        </w:rPr>
        <w:t xml:space="preserve"> اهـ</w:t>
      </w:r>
      <w:r w:rsidR="000636C2">
        <w:rPr>
          <w:rtl/>
          <w:lang w:bidi="ar-KW"/>
        </w:rPr>
        <w:t>،</w:t>
      </w:r>
      <w:r w:rsidRPr="005675B2">
        <w:rPr>
          <w:rtl/>
          <w:lang w:bidi="ar-KW"/>
        </w:rPr>
        <w:t xml:space="preserve"> ونقل الحافظ ابن حجر قول ابن دقيق العيد مؤيداً له وموافقاً عليه في حديث </w:t>
      </w:r>
      <w:r w:rsidRPr="005675B2">
        <w:rPr>
          <w:bCs/>
          <w:rtl/>
          <w:lang w:bidi="ar-KW"/>
        </w:rPr>
        <w:t>" لا شخص أغير</w:t>
      </w:r>
      <w:r w:rsidRPr="005675B2">
        <w:rPr>
          <w:rtl/>
          <w:lang w:bidi="ar-KW"/>
        </w:rPr>
        <w:t xml:space="preserve"> </w:t>
      </w:r>
      <w:r w:rsidRPr="005675B2">
        <w:rPr>
          <w:bCs/>
          <w:rtl/>
          <w:lang w:bidi="ar-KW"/>
        </w:rPr>
        <w:t>من الله "</w:t>
      </w:r>
      <w:r w:rsidRPr="005675B2">
        <w:rPr>
          <w:rtl/>
          <w:lang w:bidi="ar-KW"/>
        </w:rPr>
        <w:t xml:space="preserve"> </w:t>
      </w:r>
      <w:r w:rsidR="000636C2">
        <w:rPr>
          <w:rtl/>
          <w:lang w:bidi="ar-KW"/>
        </w:rPr>
        <w:t>(</w:t>
      </w:r>
      <w:r w:rsidRPr="005675B2">
        <w:rPr>
          <w:rtl/>
          <w:lang w:bidi="ar-KW"/>
        </w:rPr>
        <w:t>الفتح 13 / 411</w:t>
      </w:r>
      <w:r w:rsidR="000636C2">
        <w:rPr>
          <w:rtl/>
          <w:lang w:bidi="ar-KW"/>
        </w:rPr>
        <w:t>):</w:t>
      </w:r>
      <w:r w:rsidRPr="005675B2">
        <w:rPr>
          <w:rtl/>
          <w:lang w:bidi="ar-KW"/>
        </w:rPr>
        <w:t xml:space="preserve"> </w:t>
      </w:r>
      <w:r w:rsidR="000636C2">
        <w:rPr>
          <w:rtl/>
          <w:lang w:bidi="ar-KW"/>
        </w:rPr>
        <w:t>(</w:t>
      </w:r>
      <w:r w:rsidRPr="005675B2">
        <w:rPr>
          <w:rtl/>
          <w:lang w:bidi="ar-KW"/>
        </w:rPr>
        <w:t>قال ابن دقيق العيد</w:t>
      </w:r>
      <w:r w:rsidR="000636C2">
        <w:rPr>
          <w:rtl/>
          <w:lang w:bidi="ar-KW"/>
        </w:rPr>
        <w:t>:</w:t>
      </w:r>
      <w:r w:rsidRPr="005675B2">
        <w:rPr>
          <w:rtl/>
          <w:lang w:bidi="ar-KW"/>
        </w:rPr>
        <w:t xml:space="preserve"> المنزهون لله إما ساكت عن التأويل، وإما مؤول</w:t>
      </w:r>
      <w:r w:rsidR="000636C2">
        <w:rPr>
          <w:rtl/>
          <w:lang w:bidi="ar-KW"/>
        </w:rPr>
        <w:t>)</w:t>
      </w:r>
      <w:r w:rsidRPr="005675B2">
        <w:rPr>
          <w:rtl/>
          <w:lang w:bidi="ar-KW"/>
        </w:rPr>
        <w:t xml:space="preserve"> اهـ</w:t>
      </w:r>
      <w:r w:rsidR="000636C2">
        <w:rPr>
          <w:rtl/>
          <w:lang w:bidi="ar-KW"/>
        </w:rPr>
        <w:t xml:space="preserve">، </w:t>
      </w:r>
      <w:r w:rsidRPr="005675B2">
        <w:rPr>
          <w:rtl/>
          <w:lang w:bidi="ar-KW"/>
        </w:rPr>
        <w:t>وعلى الجملة فإن أقوال العلماء في حصر الحق في هذين المذهبين لا تحصى كثرة، وبما نقلناه من نصوصهم مقنع</w:t>
      </w:r>
      <w:r w:rsidR="000636C2">
        <w:rPr>
          <w:rtl/>
          <w:lang w:bidi="ar-KW"/>
        </w:rPr>
        <w:t>،</w:t>
      </w:r>
      <w:r w:rsidRPr="005675B2">
        <w:rPr>
          <w:rtl/>
          <w:lang w:bidi="ar-KW"/>
        </w:rPr>
        <w:t xml:space="preserve"> </w:t>
      </w:r>
    </w:p>
    <w:p w14:paraId="2E0E12AF" w14:textId="77777777" w:rsidR="009C32A0" w:rsidRPr="005675B2" w:rsidRDefault="009C32A0" w:rsidP="000636C2">
      <w:pPr>
        <w:widowControl w:val="0"/>
        <w:spacing w:before="80" w:after="240"/>
        <w:jc w:val="center"/>
        <w:rPr>
          <w:rtl/>
          <w:lang w:bidi="ar-KW"/>
        </w:rPr>
      </w:pPr>
      <w:r w:rsidRPr="005675B2">
        <w:rPr>
          <w:rtl/>
          <w:lang w:bidi="ar-KW"/>
        </w:rPr>
        <w:t>* * * * *</w:t>
      </w:r>
    </w:p>
    <w:p w14:paraId="6CEF813D" w14:textId="6E12B422" w:rsidR="009C32A0" w:rsidRPr="005675B2" w:rsidRDefault="009C32A0" w:rsidP="000636C2">
      <w:pPr>
        <w:widowControl w:val="0"/>
        <w:spacing w:before="80" w:after="240"/>
        <w:rPr>
          <w:rtl/>
          <w:lang w:bidi="ar-KW"/>
        </w:rPr>
      </w:pPr>
      <w:r w:rsidRPr="005675B2">
        <w:rPr>
          <w:bCs/>
          <w:rtl/>
          <w:lang w:bidi="ar-KW"/>
        </w:rPr>
        <w:t>مذهب جمهور السلف التفويض</w:t>
      </w:r>
      <w:r w:rsidR="000636C2">
        <w:rPr>
          <w:rFonts w:hint="cs"/>
          <w:bCs/>
          <w:rtl/>
          <w:lang w:bidi="ar-KW"/>
        </w:rPr>
        <w:t xml:space="preserve">: </w:t>
      </w:r>
      <w:r w:rsidRPr="005675B2">
        <w:rPr>
          <w:rtl/>
          <w:lang w:bidi="ar-KW"/>
        </w:rPr>
        <w:t xml:space="preserve">قال الإمام التـرمذي - رحمه الله - </w:t>
      </w:r>
      <w:r w:rsidR="000636C2">
        <w:rPr>
          <w:rtl/>
          <w:lang w:bidi="ar-KW"/>
        </w:rPr>
        <w:t>(</w:t>
      </w:r>
      <w:r w:rsidRPr="005675B2">
        <w:rPr>
          <w:rtl/>
          <w:lang w:bidi="ar-KW"/>
        </w:rPr>
        <w:t>سنن الترمذي 4 / 492</w:t>
      </w:r>
      <w:r w:rsidR="000636C2">
        <w:rPr>
          <w:rtl/>
          <w:lang w:bidi="ar-KW"/>
        </w:rPr>
        <w:t>)</w:t>
      </w:r>
      <w:r w:rsidRPr="005675B2">
        <w:rPr>
          <w:rtl/>
          <w:lang w:bidi="ar-KW"/>
        </w:rPr>
        <w:t xml:space="preserve"> مثبتاً للسلف الصالح مذهب التفويض</w:t>
      </w:r>
      <w:r w:rsidR="000636C2">
        <w:rPr>
          <w:rtl/>
          <w:lang w:bidi="ar-KW"/>
        </w:rPr>
        <w:t>:</w:t>
      </w:r>
      <w:r w:rsidRPr="005675B2">
        <w:rPr>
          <w:rFonts w:hint="cs"/>
          <w:rtl/>
          <w:lang w:bidi="ar-KW"/>
        </w:rPr>
        <w:t xml:space="preserve"> </w:t>
      </w:r>
      <w:r w:rsidR="000636C2">
        <w:rPr>
          <w:rtl/>
          <w:lang w:bidi="ar-KW"/>
        </w:rPr>
        <w:t>(</w:t>
      </w:r>
      <w:r w:rsidRPr="005675B2">
        <w:rPr>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وقوله </w:t>
      </w:r>
      <w:r w:rsidR="000636C2">
        <w:rPr>
          <w:rtl/>
          <w:lang w:bidi="ar-KW"/>
        </w:rPr>
        <w:t>(</w:t>
      </w:r>
      <w:r w:rsidRPr="005675B2">
        <w:rPr>
          <w:rtl/>
          <w:lang w:bidi="ar-KW"/>
        </w:rPr>
        <w:t>يؤمن بها</w:t>
      </w:r>
      <w:r w:rsidR="000636C2">
        <w:rPr>
          <w:rtl/>
          <w:lang w:bidi="ar-KW"/>
        </w:rPr>
        <w:t>)</w:t>
      </w:r>
      <w:r w:rsidRPr="005675B2">
        <w:rPr>
          <w:rtl/>
          <w:lang w:bidi="ar-KW"/>
        </w:rPr>
        <w:t xml:space="preserve"> إثبات لها، وبه يفارقون أصحاب التعطيل، وقوله </w:t>
      </w:r>
      <w:r w:rsidR="000636C2">
        <w:rPr>
          <w:rtl/>
          <w:lang w:bidi="ar-KW"/>
        </w:rPr>
        <w:t>(</w:t>
      </w:r>
      <w:r w:rsidRPr="005675B2">
        <w:rPr>
          <w:rtl/>
          <w:lang w:bidi="ar-KW"/>
        </w:rPr>
        <w:t>ولا تفسر ولا تتوهم ولا يقال كيف</w:t>
      </w:r>
      <w:r w:rsidR="000636C2">
        <w:rPr>
          <w:rtl/>
          <w:lang w:bidi="ar-KW"/>
        </w:rPr>
        <w:t>)</w:t>
      </w:r>
      <w:r w:rsidRPr="005675B2">
        <w:rPr>
          <w:rtl/>
          <w:lang w:bidi="ar-KW"/>
        </w:rPr>
        <w:t xml:space="preserve"> تفويض لله تعالى في معانيها، وقوله </w:t>
      </w:r>
      <w:r w:rsidR="000636C2">
        <w:rPr>
          <w:rtl/>
          <w:lang w:bidi="ar-KW"/>
        </w:rPr>
        <w:t>(</w:t>
      </w:r>
      <w:r w:rsidRPr="005675B2">
        <w:rPr>
          <w:rtl/>
          <w:lang w:bidi="ar-KW"/>
        </w:rPr>
        <w:t>ولا يقال كيف</w:t>
      </w:r>
      <w:r w:rsidR="000636C2">
        <w:rPr>
          <w:rtl/>
          <w:lang w:bidi="ar-KW"/>
        </w:rPr>
        <w:t>)</w:t>
      </w:r>
      <w:r w:rsidRPr="005675B2">
        <w:rPr>
          <w:rtl/>
          <w:lang w:bidi="ar-KW"/>
        </w:rPr>
        <w:t xml:space="preserve"> أي بلا استفسار عن معانيها، أو تعيين المراد بها، وبه يفارقون أصحاب التشبيه</w:t>
      </w:r>
      <w:r w:rsidR="000636C2">
        <w:rPr>
          <w:rtl/>
          <w:lang w:bidi="ar-KW"/>
        </w:rPr>
        <w:t xml:space="preserve">، </w:t>
      </w:r>
      <w:r w:rsidRPr="005675B2">
        <w:rPr>
          <w:rtl/>
          <w:lang w:bidi="ar-KW"/>
        </w:rPr>
        <w:t>وروى الخلال بسند صحيح عن الإمام أحمد رضي الله عنه أنه قال في مثل هذه النصوص</w:t>
      </w:r>
      <w:r w:rsidR="000636C2">
        <w:rPr>
          <w:rtl/>
          <w:lang w:bidi="ar-KW"/>
        </w:rPr>
        <w:t>:</w:t>
      </w:r>
      <w:r w:rsidRPr="005675B2">
        <w:rPr>
          <w:rtl/>
          <w:lang w:bidi="ar-KW"/>
        </w:rPr>
        <w:t xml:space="preserve"> </w:t>
      </w:r>
      <w:r w:rsidR="000636C2">
        <w:rPr>
          <w:rtl/>
          <w:lang w:bidi="ar-KW"/>
        </w:rPr>
        <w:t>(</w:t>
      </w:r>
      <w:r w:rsidRPr="005675B2">
        <w:rPr>
          <w:rtl/>
          <w:lang w:bidi="ar-KW"/>
        </w:rPr>
        <w:t>نؤمن بها ونصدق ولا كيف ولا معنى</w:t>
      </w:r>
      <w:r w:rsidR="000636C2">
        <w:rPr>
          <w:rtl/>
          <w:lang w:bidi="ar-KW"/>
        </w:rPr>
        <w:t>)</w:t>
      </w:r>
      <w:r w:rsidRPr="005675B2">
        <w:rPr>
          <w:rtl/>
          <w:lang w:bidi="ar-KW"/>
        </w:rPr>
        <w:t xml:space="preserve"> اهـ</w:t>
      </w:r>
      <w:r w:rsidR="000636C2">
        <w:rPr>
          <w:rtl/>
          <w:lang w:bidi="ar-KW"/>
        </w:rPr>
        <w:t xml:space="preserve">، </w:t>
      </w:r>
      <w:r w:rsidRPr="005675B2">
        <w:rPr>
          <w:rtl/>
          <w:lang w:bidi="ar-KW"/>
        </w:rPr>
        <w:t>وروى الإمـام الحـافظ البيهقي رحمه الله تعالى بسنده عن الإمام والأوزاعي</w:t>
      </w:r>
      <w:r w:rsidR="000636C2">
        <w:rPr>
          <w:rtl/>
          <w:lang w:bidi="ar-KW"/>
        </w:rPr>
        <w:t xml:space="preserve"> </w:t>
      </w:r>
      <w:r w:rsidRPr="005675B2">
        <w:rPr>
          <w:rtl/>
          <w:lang w:bidi="ar-KW"/>
        </w:rPr>
        <w:t xml:space="preserve">- رحمه الله </w:t>
      </w:r>
      <w:r w:rsidR="000636C2">
        <w:rPr>
          <w:rtl/>
          <w:lang w:bidi="ar-KW"/>
        </w:rPr>
        <w:t>(</w:t>
      </w:r>
      <w:r w:rsidRPr="005675B2">
        <w:rPr>
          <w:rtl/>
          <w:lang w:bidi="ar-KW"/>
        </w:rPr>
        <w:t>الاعتقاد ص / 93</w:t>
      </w:r>
      <w:r w:rsidR="000636C2">
        <w:rPr>
          <w:rtl/>
          <w:lang w:bidi="ar-KW"/>
        </w:rPr>
        <w:t>)</w:t>
      </w:r>
      <w:r w:rsidRPr="005675B2">
        <w:rPr>
          <w:rtl/>
          <w:lang w:bidi="ar-KW"/>
        </w:rPr>
        <w:t xml:space="preserve"> قال</w:t>
      </w:r>
      <w:r w:rsidR="000636C2">
        <w:rPr>
          <w:rtl/>
          <w:lang w:bidi="ar-KW"/>
        </w:rPr>
        <w:t>:</w:t>
      </w:r>
      <w:r w:rsidRPr="005675B2">
        <w:rPr>
          <w:rFonts w:hint="cs"/>
          <w:rtl/>
          <w:lang w:bidi="ar-KW"/>
        </w:rPr>
        <w:t xml:space="preserve"> </w:t>
      </w:r>
      <w:r w:rsidR="000636C2">
        <w:rPr>
          <w:rtl/>
          <w:lang w:bidi="ar-KW"/>
        </w:rPr>
        <w:t>(</w:t>
      </w:r>
      <w:r w:rsidRPr="005675B2">
        <w:rPr>
          <w:rtl/>
          <w:lang w:bidi="ar-KW"/>
        </w:rPr>
        <w:t>كل ما وصف الله تعالى به نفسه في كتابه فتفسيره تلاوته والسكوت عليه</w:t>
      </w:r>
      <w:r w:rsidR="000636C2">
        <w:rPr>
          <w:rtl/>
          <w:lang w:bidi="ar-KW"/>
        </w:rPr>
        <w:t>)</w:t>
      </w:r>
      <w:r w:rsidRPr="005675B2">
        <w:rPr>
          <w:rtl/>
          <w:lang w:bidi="ar-KW"/>
        </w:rPr>
        <w:t xml:space="preserve"> اهـ</w:t>
      </w:r>
      <w:r w:rsidR="000636C2">
        <w:rPr>
          <w:rtl/>
          <w:lang w:bidi="ar-KW"/>
        </w:rPr>
        <w:t xml:space="preserve">، </w:t>
      </w:r>
      <w:r w:rsidRPr="005675B2">
        <w:rPr>
          <w:rtl/>
          <w:lang w:bidi="ar-KW"/>
        </w:rPr>
        <w:t>والنصوص في هذا المعنى عن السلف كثيرة جدّاً كلها يفيد إيمانهم بها وإمرارها وعدم الخوض في تفسير معناها</w:t>
      </w:r>
      <w:r w:rsidR="000636C2">
        <w:rPr>
          <w:rtl/>
          <w:lang w:bidi="ar-KW"/>
        </w:rPr>
        <w:t>،</w:t>
      </w:r>
      <w:r w:rsidRPr="005675B2">
        <w:rPr>
          <w:rtl/>
          <w:lang w:bidi="ar-KW"/>
        </w:rPr>
        <w:t xml:space="preserve"> ولقد نقـل الحـافظ ابن حجر </w:t>
      </w:r>
      <w:r w:rsidR="000636C2">
        <w:rPr>
          <w:rtl/>
          <w:lang w:bidi="ar-KW"/>
        </w:rPr>
        <w:t>(</w:t>
      </w:r>
      <w:r w:rsidRPr="005675B2">
        <w:rPr>
          <w:rtl/>
          <w:lang w:bidi="ar-KW"/>
        </w:rPr>
        <w:t>الفتح 6 / 48</w:t>
      </w:r>
      <w:r w:rsidR="000636C2">
        <w:rPr>
          <w:rtl/>
          <w:lang w:bidi="ar-KW"/>
        </w:rPr>
        <w:t>)</w:t>
      </w:r>
      <w:r w:rsidRPr="005675B2">
        <w:rPr>
          <w:rtl/>
          <w:lang w:bidi="ar-KW"/>
        </w:rPr>
        <w:t xml:space="preserve"> عن الحافظ ابن الجوزي معنى قولهم</w:t>
      </w:r>
      <w:r w:rsidR="000636C2">
        <w:rPr>
          <w:rtl/>
          <w:lang w:bidi="ar-KW"/>
        </w:rPr>
        <w:t>:</w:t>
      </w:r>
      <w:r w:rsidRPr="005675B2">
        <w:rPr>
          <w:rtl/>
          <w:lang w:bidi="ar-KW"/>
        </w:rPr>
        <w:t xml:space="preserve"> أمـروهـا كمـا جاءت</w:t>
      </w:r>
      <w:r w:rsidR="000636C2">
        <w:rPr>
          <w:rtl/>
          <w:lang w:bidi="ar-KW"/>
        </w:rPr>
        <w:t>،</w:t>
      </w:r>
      <w:r w:rsidRPr="005675B2">
        <w:rPr>
          <w:rtl/>
          <w:lang w:bidi="ar-KW"/>
        </w:rPr>
        <w:t xml:space="preserve"> قال</w:t>
      </w:r>
      <w:r w:rsidR="000636C2">
        <w:rPr>
          <w:rtl/>
          <w:lang w:bidi="ar-KW"/>
        </w:rPr>
        <w:t>:</w:t>
      </w:r>
      <w:r w:rsidRPr="005675B2">
        <w:rPr>
          <w:rFonts w:hint="cs"/>
          <w:rtl/>
          <w:lang w:bidi="ar-KW"/>
        </w:rPr>
        <w:t xml:space="preserve"> </w:t>
      </w:r>
      <w:r w:rsidR="000636C2">
        <w:rPr>
          <w:rtl/>
          <w:lang w:bidi="ar-KW"/>
        </w:rPr>
        <w:t>(</w:t>
      </w:r>
      <w:r w:rsidRPr="005675B2">
        <w:rPr>
          <w:rtl/>
          <w:lang w:bidi="ar-KW"/>
        </w:rPr>
        <w:t>قال ابن الجوزي</w:t>
      </w:r>
      <w:r w:rsidR="000636C2">
        <w:rPr>
          <w:rtl/>
          <w:lang w:bidi="ar-KW"/>
        </w:rPr>
        <w:t>:</w:t>
      </w:r>
      <w:r w:rsidRPr="005675B2">
        <w:rPr>
          <w:rtl/>
          <w:lang w:bidi="ar-KW"/>
        </w:rPr>
        <w:t xml:space="preserve"> أكثر السلف يمتنعون من تأويل مثل هذا</w:t>
      </w:r>
      <w:r w:rsidR="000636C2">
        <w:rPr>
          <w:rtl/>
          <w:lang w:bidi="ar-KW"/>
        </w:rPr>
        <w:t xml:space="preserve"> </w:t>
      </w:r>
      <w:r w:rsidRPr="005675B2">
        <w:rPr>
          <w:rtl/>
          <w:lang w:bidi="ar-KW"/>
        </w:rPr>
        <w:t>- يشير إلى حديث يضحك الله إلى رجلين</w:t>
      </w:r>
      <w:r w:rsidR="000636C2">
        <w:rPr>
          <w:rtl/>
          <w:lang w:bidi="ar-KW"/>
        </w:rPr>
        <w:t xml:space="preserve"> </w:t>
      </w:r>
      <w:r w:rsidRPr="005675B2">
        <w:rPr>
          <w:rtl/>
          <w:lang w:bidi="ar-KW"/>
        </w:rPr>
        <w:t>- ويمرونه كما جاء، وينبغي أن يراعى في مثل هذا الإمرار اعتقاد أنه لا تشبه صفات الله صفات الخلق، ومعنى الإمرار عدم العلم بالمراد</w:t>
      </w:r>
      <w:r w:rsidRPr="005675B2">
        <w:rPr>
          <w:rFonts w:hint="cs"/>
          <w:rtl/>
          <w:lang w:bidi="ar-KW"/>
        </w:rPr>
        <w:t xml:space="preserve"> </w:t>
      </w:r>
      <w:r w:rsidRPr="005675B2">
        <w:rPr>
          <w:rtl/>
          <w:lang w:bidi="ar-KW"/>
        </w:rPr>
        <w:t>منه مع اعتقاد التنزيه</w:t>
      </w:r>
      <w:r w:rsidR="000636C2">
        <w:rPr>
          <w:rtl/>
          <w:lang w:bidi="ar-KW"/>
        </w:rPr>
        <w:t>)</w:t>
      </w:r>
      <w:r w:rsidRPr="005675B2">
        <w:rPr>
          <w:rtl/>
          <w:lang w:bidi="ar-KW"/>
        </w:rPr>
        <w:t xml:space="preserve"> اهـ </w:t>
      </w:r>
      <w:r w:rsidR="000636C2">
        <w:rPr>
          <w:rFonts w:hint="cs"/>
          <w:sz w:val="24"/>
          <w:szCs w:val="24"/>
          <w:rtl/>
          <w:lang w:bidi="ar-KW"/>
        </w:rPr>
        <w:t>[</w:t>
      </w:r>
      <w:r w:rsidRPr="005675B2">
        <w:rPr>
          <w:sz w:val="24"/>
          <w:szCs w:val="24"/>
          <w:rtl/>
        </w:rPr>
        <w:t>سنبين بعد قليل معنى عدم العلم بالمراد، إذ ليس المقصود أنهم لا يفهمون للكلام أي معنى، كلا، وإلا لأصبح الكلام مثل الحروف المقطعة في أوائل السور، وهذا يجعل كلامه تعالى وكلام رسوله عليه الصلاة والسلام بلا فائدة، وهو محال من الله تعالى وأنبيائه عليهم الصلاة والسلام</w:t>
      </w:r>
      <w:r w:rsidR="000636C2">
        <w:rPr>
          <w:rFonts w:hint="cs"/>
          <w:sz w:val="24"/>
          <w:szCs w:val="24"/>
          <w:rtl/>
        </w:rPr>
        <w:t>]،</w:t>
      </w:r>
      <w:r w:rsidR="000636C2">
        <w:rPr>
          <w:rtl/>
          <w:lang w:bidi="ar-KW"/>
        </w:rPr>
        <w:t xml:space="preserve"> </w:t>
      </w:r>
      <w:r w:rsidRPr="005675B2">
        <w:rPr>
          <w:rtl/>
          <w:lang w:bidi="ar-KW"/>
        </w:rPr>
        <w:t>قال الإمام عدي بن مسافر</w:t>
      </w:r>
      <w:r w:rsidRPr="005675B2">
        <w:rPr>
          <w:rFonts w:hint="cs"/>
          <w:rtl/>
          <w:lang w:bidi="ar-KW"/>
        </w:rPr>
        <w:t xml:space="preserve"> </w:t>
      </w:r>
      <w:r w:rsidRPr="005675B2">
        <w:rPr>
          <w:rtl/>
          <w:lang w:bidi="ar-KW"/>
        </w:rPr>
        <w:t xml:space="preserve">رحمه الله تعالى </w:t>
      </w:r>
      <w:r w:rsidR="000636C2">
        <w:rPr>
          <w:rtl/>
          <w:lang w:bidi="ar-KW"/>
        </w:rPr>
        <w:t>(</w:t>
      </w:r>
      <w:r w:rsidRPr="005675B2">
        <w:rPr>
          <w:rtl/>
          <w:lang w:bidi="ar-KW"/>
        </w:rPr>
        <w:t>اعتقاد أهل السنة والجماعة ص / 26</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وتقرير مذهب السلف كما جاء من غير تمثيل ولا تكييف ولا تشبيه </w:t>
      </w:r>
      <w:r w:rsidRPr="005675B2">
        <w:rPr>
          <w:bCs/>
          <w:rtl/>
          <w:lang w:bidi="ar-KW"/>
        </w:rPr>
        <w:t>ولا حمل على</w:t>
      </w:r>
      <w:r w:rsidRPr="005675B2">
        <w:rPr>
          <w:rtl/>
          <w:lang w:bidi="ar-KW"/>
        </w:rPr>
        <w:t xml:space="preserve"> </w:t>
      </w:r>
      <w:r w:rsidRPr="005675B2">
        <w:rPr>
          <w:bCs/>
          <w:rtl/>
          <w:lang w:bidi="ar-KW"/>
        </w:rPr>
        <w:t>الظاهر</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ونقل الحافظ ابن حجر عن الإمام ابن المنير </w:t>
      </w:r>
      <w:r w:rsidR="000636C2">
        <w:rPr>
          <w:rtl/>
          <w:lang w:bidi="ar-KW"/>
        </w:rPr>
        <w:t>(</w:t>
      </w:r>
      <w:r w:rsidRPr="005675B2">
        <w:rPr>
          <w:rtl/>
          <w:lang w:bidi="ar-KW"/>
        </w:rPr>
        <w:t>الفتح 13 / 190</w:t>
      </w:r>
      <w:r w:rsidR="000636C2">
        <w:rPr>
          <w:rtl/>
          <w:lang w:bidi="ar-KW"/>
        </w:rPr>
        <w:t>)</w:t>
      </w:r>
      <w:r w:rsidRPr="005675B2">
        <w:rPr>
          <w:rtl/>
          <w:lang w:bidi="ar-KW"/>
        </w:rPr>
        <w:t xml:space="preserve"> قوله</w:t>
      </w:r>
      <w:r w:rsidR="000636C2">
        <w:rPr>
          <w:rtl/>
          <w:lang w:bidi="ar-KW"/>
        </w:rPr>
        <w:t>:</w:t>
      </w:r>
      <w:r w:rsidRPr="005675B2">
        <w:rPr>
          <w:rFonts w:hint="cs"/>
          <w:rtl/>
          <w:lang w:bidi="ar-KW"/>
        </w:rPr>
        <w:t xml:space="preserve"> </w:t>
      </w:r>
      <w:r w:rsidR="000636C2">
        <w:rPr>
          <w:rtl/>
          <w:lang w:bidi="ar-KW"/>
        </w:rPr>
        <w:t>(</w:t>
      </w:r>
      <w:r w:rsidRPr="005675B2">
        <w:rPr>
          <w:rtl/>
          <w:lang w:bidi="ar-KW"/>
        </w:rPr>
        <w:t>لأهل الكلام في هذه الصفات كالعين والوجه واليد ثلاثة أقوال .. والثالث إمرارها على ما جاءت مفوضاً معناها إلى الله تعالى، وقال الشيخ السهروردي في كتاب العقيدة له</w:t>
      </w:r>
      <w:r w:rsidR="000636C2">
        <w:rPr>
          <w:rtl/>
          <w:lang w:bidi="ar-KW"/>
        </w:rPr>
        <w:t>:</w:t>
      </w:r>
      <w:r w:rsidRPr="005675B2">
        <w:rPr>
          <w:rtl/>
          <w:lang w:bidi="ar-KW"/>
        </w:rPr>
        <w:t xml:space="preserve"> أخبر الله في كتابه وثبت عن رسوله الاستواء والنزول والنفس واليد والعين فلا يتصرف فيها بتشبيه ولا تعطيل، إذ لولا إخبار الله ورسوله ما تجاسر عقل أن يحوم حول ذلك الحمى</w:t>
      </w:r>
      <w:r w:rsidR="000636C2">
        <w:rPr>
          <w:rtl/>
          <w:lang w:bidi="ar-KW"/>
        </w:rPr>
        <w:t>،</w:t>
      </w:r>
      <w:r w:rsidRPr="005675B2">
        <w:rPr>
          <w:rtl/>
          <w:lang w:bidi="ar-KW"/>
        </w:rPr>
        <w:t xml:space="preserve"> قال الطيبي</w:t>
      </w:r>
      <w:r w:rsidR="000636C2">
        <w:rPr>
          <w:rtl/>
          <w:lang w:bidi="ar-KW"/>
        </w:rPr>
        <w:t>:</w:t>
      </w:r>
      <w:r w:rsidRPr="005675B2">
        <w:rPr>
          <w:rtl/>
          <w:lang w:bidi="ar-KW"/>
        </w:rPr>
        <w:t xml:space="preserve"> هذا هو المذهب المعتمد وبه يقول السلف الصالح</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النووي - رحمه الله تعالى - </w:t>
      </w:r>
      <w:r w:rsidR="000636C2">
        <w:rPr>
          <w:rtl/>
          <w:lang w:bidi="ar-KW"/>
        </w:rPr>
        <w:t>(</w:t>
      </w:r>
      <w:r w:rsidRPr="005675B2">
        <w:rPr>
          <w:rtl/>
          <w:lang w:bidi="ar-KW"/>
        </w:rPr>
        <w:t>المجموع 1 / 25</w:t>
      </w:r>
      <w:r w:rsidR="000636C2">
        <w:rPr>
          <w:rtl/>
          <w:lang w:bidi="ar-KW"/>
        </w:rPr>
        <w:t>):</w:t>
      </w:r>
      <w:r w:rsidRPr="005675B2">
        <w:rPr>
          <w:rFonts w:hint="cs"/>
          <w:rtl/>
          <w:lang w:bidi="ar-KW"/>
        </w:rPr>
        <w:t xml:space="preserve"> </w:t>
      </w:r>
      <w:r w:rsidR="000636C2">
        <w:rPr>
          <w:rtl/>
          <w:lang w:bidi="ar-KW"/>
        </w:rPr>
        <w:t>(</w:t>
      </w:r>
      <w:r w:rsidRPr="005675B2">
        <w:rPr>
          <w:rtl/>
          <w:lang w:bidi="ar-KW"/>
        </w:rPr>
        <w:t>اختلفوا في آيات الصفات وأخبارها هل يخاض فيها بالتأويل أم لا</w:t>
      </w:r>
      <w:r w:rsidR="000636C2">
        <w:rPr>
          <w:rtl/>
          <w:lang w:bidi="ar-KW"/>
        </w:rPr>
        <w:t>؟</w:t>
      </w:r>
      <w:r w:rsidRPr="005675B2">
        <w:rPr>
          <w:rtl/>
          <w:lang w:bidi="ar-KW"/>
        </w:rPr>
        <w:t xml:space="preserve"> فقال قائلون تتأول على ما يليق بها، وهذا أشهر المذهبين للمتكلمين، وقال آخرون</w:t>
      </w:r>
      <w:r w:rsidR="000636C2">
        <w:rPr>
          <w:rtl/>
          <w:lang w:bidi="ar-KW"/>
        </w:rPr>
        <w:t>:</w:t>
      </w:r>
      <w:r w:rsidRPr="005675B2">
        <w:rPr>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sidR="000636C2">
        <w:rPr>
          <w:rtl/>
          <w:lang w:bidi="ar-KW"/>
        </w:rPr>
        <w:t>:</w:t>
      </w:r>
      <w:r w:rsidRPr="005675B2">
        <w:rPr>
          <w:rtl/>
          <w:lang w:bidi="ar-KW"/>
        </w:rPr>
        <w:t xml:space="preserve">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w:t>
      </w:r>
      <w:r w:rsidR="000636C2">
        <w:rPr>
          <w:rtl/>
          <w:lang w:bidi="ar-KW"/>
        </w:rPr>
        <w:t>)</w:t>
      </w:r>
      <w:r w:rsidRPr="005675B2">
        <w:rPr>
          <w:rtl/>
          <w:lang w:bidi="ar-KW"/>
        </w:rPr>
        <w:t xml:space="preserve"> اهـ</w:t>
      </w:r>
      <w:r w:rsidR="000636C2">
        <w:rPr>
          <w:rtl/>
          <w:lang w:bidi="ar-KW"/>
        </w:rPr>
        <w:t>،</w:t>
      </w:r>
      <w:r w:rsidRPr="005675B2">
        <w:rPr>
          <w:rtl/>
          <w:lang w:bidi="ar-KW"/>
        </w:rPr>
        <w:t xml:space="preserve"> قال الإمام الجلال السيوطي - رحمه الله تعالى - </w:t>
      </w:r>
      <w:r w:rsidR="000636C2">
        <w:rPr>
          <w:rtl/>
          <w:lang w:bidi="ar-KW"/>
        </w:rPr>
        <w:t>(</w:t>
      </w:r>
      <w:r w:rsidRPr="005675B2">
        <w:rPr>
          <w:rtl/>
          <w:lang w:bidi="ar-KW"/>
        </w:rPr>
        <w:t>الإتقان في علوم القرآن 2 / 10</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من المتشابه آيات الصفات .. وجمهور أهل السنة منهم السلف وأهل الحديث على الإيمان وتفويض معناها المراد منها إلى الله تعالى، ولا نفسرها </w:t>
      </w:r>
      <w:r w:rsidRPr="005675B2">
        <w:rPr>
          <w:bCs/>
          <w:rtl/>
          <w:lang w:bidi="ar-KW"/>
        </w:rPr>
        <w:t>مع تنزيهنا له - تعالى - عن حقيقتها</w:t>
      </w:r>
      <w:r w:rsidR="000636C2">
        <w:rPr>
          <w:rtl/>
          <w:lang w:bidi="ar-KW"/>
        </w:rPr>
        <w:t>)</w:t>
      </w:r>
      <w:r w:rsidRPr="005675B2">
        <w:rPr>
          <w:rtl/>
          <w:lang w:bidi="ar-KW"/>
        </w:rPr>
        <w:t xml:space="preserve"> اهـ</w:t>
      </w:r>
      <w:r w:rsidR="000636C2">
        <w:rPr>
          <w:rtl/>
          <w:lang w:bidi="ar-KW"/>
        </w:rPr>
        <w:t>،</w:t>
      </w:r>
      <w:r w:rsidRPr="005675B2">
        <w:rPr>
          <w:rtl/>
          <w:lang w:bidi="ar-KW"/>
        </w:rPr>
        <w:t xml:space="preserve"> هذه نصوص صريحة في إثبات التفويض للسلف الصالح لا سبيل إلى إنكارها أو حملها على معاني أخرى لا تتفق وجلالة أقدارهم وتنزيههم للباري سبحانه، كمن ينسب لهم إثبات الحقائق الظاهرة المتعارف عليها بين البشر وتفويض كيفياتها لله تعالى، فيقول إنهم يثبتون المعنى الحقيقي ويفوضـون الكيف، وقائل هذا لا يدري ما يقول، وقد جره إلى هذا الفهم عبـارة </w:t>
      </w:r>
      <w:r w:rsidR="000636C2">
        <w:rPr>
          <w:rtl/>
          <w:lang w:bidi="ar-KW"/>
        </w:rPr>
        <w:t>(</w:t>
      </w:r>
      <w:r w:rsidRPr="005675B2">
        <w:rPr>
          <w:rtl/>
          <w:lang w:bidi="ar-KW"/>
        </w:rPr>
        <w:t>بلا كيف</w:t>
      </w:r>
      <w:r w:rsidR="000636C2">
        <w:rPr>
          <w:rtl/>
          <w:lang w:bidi="ar-KW"/>
        </w:rPr>
        <w:t>)</w:t>
      </w:r>
      <w:r w:rsidRPr="005675B2">
        <w:rPr>
          <w:rtl/>
          <w:lang w:bidi="ar-KW"/>
        </w:rPr>
        <w:t xml:space="preserve"> التي كثيراً ما ترد على ألسنة السلف عند الكلام على النصوص المتشابهة، ففهم منها أنهم يثبتون المعنى الحقيقي ويفوضون الكيف، وهذا فهم باطل، بل هي عبارةٌ المقصودُ منها زجرُ السائل عن البحث والتقصِّي، لا إثبات المعنى الحقيقي وتفويض الكيف</w:t>
      </w:r>
      <w:r w:rsidR="000636C2">
        <w:rPr>
          <w:rtl/>
          <w:lang w:bidi="ar-KW"/>
        </w:rPr>
        <w:t>!</w:t>
      </w:r>
      <w:r w:rsidRPr="005675B2">
        <w:rPr>
          <w:rtl/>
          <w:lang w:bidi="ar-KW"/>
        </w:rPr>
        <w:t>!</w:t>
      </w:r>
      <w:r w:rsidRPr="005675B2">
        <w:rPr>
          <w:rFonts w:hint="cs"/>
          <w:rtl/>
          <w:lang w:bidi="ar-KW"/>
        </w:rPr>
        <w:t xml:space="preserve"> </w:t>
      </w:r>
      <w:r w:rsidRPr="005675B2">
        <w:rPr>
          <w:rtl/>
          <w:lang w:bidi="ar-KW"/>
        </w:rPr>
        <w:t xml:space="preserve">فإن أي لفظ يدلُّ في حقيقته على شيء من الجسمانيات والكيفيات متى ما جُهِل معناه كان السؤال عن المراد منه بكلمة </w:t>
      </w:r>
      <w:r w:rsidR="000636C2">
        <w:rPr>
          <w:rtl/>
          <w:lang w:bidi="ar-KW"/>
        </w:rPr>
        <w:t>(</w:t>
      </w:r>
      <w:r w:rsidRPr="005675B2">
        <w:rPr>
          <w:rtl/>
          <w:lang w:bidi="ar-KW"/>
        </w:rPr>
        <w:t>كيف</w:t>
      </w:r>
      <w:r w:rsidR="000636C2">
        <w:rPr>
          <w:rtl/>
          <w:lang w:bidi="ar-KW"/>
        </w:rPr>
        <w:t>)</w:t>
      </w:r>
      <w:r w:rsidRPr="005675B2">
        <w:rPr>
          <w:rtl/>
          <w:lang w:bidi="ar-KW"/>
        </w:rPr>
        <w:t xml:space="preserve">، وفي حديث فضل عيادة المريض الذي أخرجه مسلم ما يدل على هذا، وذلك حين يقول الله تعالى لعبده </w:t>
      </w:r>
      <w:r w:rsidR="000636C2">
        <w:rPr>
          <w:rtl/>
          <w:lang w:bidi="ar-KW"/>
        </w:rPr>
        <w:t>(</w:t>
      </w:r>
      <w:r w:rsidRPr="005675B2">
        <w:rPr>
          <w:rtl/>
          <w:lang w:bidi="ar-KW"/>
        </w:rPr>
        <w:t>مرضت فلم تعدني .. استطعمتك فلم تطعمني .. استسقيتك فلم تسقني ..</w:t>
      </w:r>
      <w:r w:rsidR="000636C2">
        <w:rPr>
          <w:rtl/>
          <w:lang w:bidi="ar-KW"/>
        </w:rPr>
        <w:t>)</w:t>
      </w:r>
      <w:r w:rsidRPr="005675B2">
        <w:rPr>
          <w:rtl/>
          <w:lang w:bidi="ar-KW"/>
        </w:rPr>
        <w:t xml:space="preserve"> كل ذلك والعبد يقول</w:t>
      </w:r>
      <w:r w:rsidR="000636C2">
        <w:rPr>
          <w:rtl/>
          <w:lang w:bidi="ar-KW"/>
        </w:rPr>
        <w:t>:</w:t>
      </w:r>
      <w:r w:rsidRPr="005675B2">
        <w:rPr>
          <w:rtl/>
          <w:lang w:bidi="ar-KW"/>
        </w:rPr>
        <w:t xml:space="preserve"> </w:t>
      </w:r>
      <w:r w:rsidR="000636C2">
        <w:rPr>
          <w:rtl/>
          <w:lang w:bidi="ar-KW"/>
        </w:rPr>
        <w:t>(</w:t>
      </w:r>
      <w:r w:rsidRPr="005675B2">
        <w:rPr>
          <w:rtl/>
          <w:lang w:bidi="ar-KW"/>
        </w:rPr>
        <w:t>رب كيف أعودك وأنت رب العالمين</w:t>
      </w:r>
      <w:r w:rsidR="000636C2">
        <w:rPr>
          <w:rtl/>
          <w:lang w:bidi="ar-KW"/>
        </w:rPr>
        <w:t>؟!</w:t>
      </w:r>
      <w:r w:rsidRPr="005675B2">
        <w:rPr>
          <w:rtl/>
          <w:lang w:bidi="ar-KW"/>
        </w:rPr>
        <w:t xml:space="preserve"> .. رب كيف أطعمك وأنت رب العالمين</w:t>
      </w:r>
      <w:r w:rsidR="000636C2">
        <w:rPr>
          <w:rtl/>
          <w:lang w:bidi="ar-KW"/>
        </w:rPr>
        <w:t>؟!</w:t>
      </w:r>
      <w:r w:rsidRPr="005675B2">
        <w:rPr>
          <w:rtl/>
          <w:lang w:bidi="ar-KW"/>
        </w:rPr>
        <w:t xml:space="preserve"> .. رب كيف أسقيك وأنت رب العالمين</w:t>
      </w:r>
      <w:r w:rsidR="000636C2">
        <w:rPr>
          <w:rtl/>
          <w:lang w:bidi="ar-KW"/>
        </w:rPr>
        <w:t>؟!)</w:t>
      </w:r>
      <w:r w:rsidRPr="005675B2">
        <w:rPr>
          <w:rtl/>
          <w:lang w:bidi="ar-KW"/>
        </w:rPr>
        <w:t xml:space="preserve"> فهو لم يفهم المعنى المراد من اللفظ بعد أن استحالت حقيقته في عقله، فسأل ب - </w:t>
      </w:r>
      <w:r w:rsidR="000636C2">
        <w:rPr>
          <w:rtl/>
          <w:lang w:bidi="ar-KW"/>
        </w:rPr>
        <w:t>(</w:t>
      </w:r>
      <w:r w:rsidRPr="005675B2">
        <w:rPr>
          <w:rtl/>
          <w:lang w:bidi="ar-KW"/>
        </w:rPr>
        <w:t>كيف</w:t>
      </w:r>
      <w:r w:rsidR="000636C2">
        <w:rPr>
          <w:rtl/>
          <w:lang w:bidi="ar-KW"/>
        </w:rPr>
        <w:t>؟)</w:t>
      </w:r>
      <w:r w:rsidRPr="005675B2">
        <w:rPr>
          <w:rtl/>
          <w:lang w:bidi="ar-KW"/>
        </w:rPr>
        <w:t xml:space="preserve"> عن المعنى المراد، لا أنه أثبت حقيقة المرض والاستطعام والاستسقاء لله تعالى لكنه لم يعلم كيفياتها</w:t>
      </w:r>
      <w:r w:rsidR="000636C2">
        <w:rPr>
          <w:rtl/>
          <w:lang w:bidi="ar-KW"/>
        </w:rPr>
        <w:t>!</w:t>
      </w:r>
      <w:r w:rsidRPr="005675B2">
        <w:rPr>
          <w:rtl/>
          <w:lang w:bidi="ar-KW"/>
        </w:rPr>
        <w:t>!</w:t>
      </w:r>
      <w:r w:rsidRPr="005675B2">
        <w:rPr>
          <w:rFonts w:hint="cs"/>
          <w:rtl/>
          <w:lang w:bidi="ar-KW"/>
        </w:rPr>
        <w:t xml:space="preserve"> </w:t>
      </w:r>
      <w:r w:rsidRPr="005675B2">
        <w:rPr>
          <w:rtl/>
          <w:lang w:bidi="ar-KW"/>
        </w:rPr>
        <w:t xml:space="preserve">فعندما يقال في جواب السائل </w:t>
      </w:r>
      <w:r w:rsidR="000636C2">
        <w:rPr>
          <w:rtl/>
          <w:lang w:bidi="ar-KW"/>
        </w:rPr>
        <w:t>(</w:t>
      </w:r>
      <w:r w:rsidRPr="005675B2">
        <w:rPr>
          <w:rtl/>
          <w:lang w:bidi="ar-KW"/>
        </w:rPr>
        <w:t>بلا كيف</w:t>
      </w:r>
      <w:r w:rsidR="000636C2">
        <w:rPr>
          <w:rtl/>
          <w:lang w:bidi="ar-KW"/>
        </w:rPr>
        <w:t>)</w:t>
      </w:r>
      <w:r w:rsidRPr="005675B2">
        <w:rPr>
          <w:rtl/>
          <w:lang w:bidi="ar-KW"/>
        </w:rPr>
        <w:t xml:space="preserve"> يفهم منه أنه </w:t>
      </w:r>
      <w:r w:rsidR="000636C2">
        <w:rPr>
          <w:rtl/>
          <w:lang w:bidi="ar-KW"/>
        </w:rPr>
        <w:t>(</w:t>
      </w:r>
      <w:r w:rsidRPr="005675B2">
        <w:rPr>
          <w:rtl/>
          <w:lang w:bidi="ar-KW"/>
        </w:rPr>
        <w:t>بلا معنى</w:t>
      </w:r>
      <w:r w:rsidR="000636C2">
        <w:rPr>
          <w:rtl/>
          <w:lang w:bidi="ar-KW"/>
        </w:rPr>
        <w:t>)</w:t>
      </w:r>
      <w:r w:rsidRPr="005675B2">
        <w:rPr>
          <w:rtl/>
          <w:lang w:bidi="ar-KW"/>
        </w:rPr>
        <w:t xml:space="preserve"> لأن لفظ ال - </w:t>
      </w:r>
      <w:r w:rsidR="000636C2">
        <w:rPr>
          <w:rtl/>
          <w:lang w:bidi="ar-KW"/>
        </w:rPr>
        <w:t>(</w:t>
      </w:r>
      <w:r w:rsidRPr="005675B2">
        <w:rPr>
          <w:rtl/>
          <w:lang w:bidi="ar-KW"/>
        </w:rPr>
        <w:t>كيف</w:t>
      </w:r>
      <w:r w:rsidR="000636C2">
        <w:rPr>
          <w:rtl/>
          <w:lang w:bidi="ar-KW"/>
        </w:rPr>
        <w:t>)</w:t>
      </w:r>
      <w:r w:rsidRPr="005675B2">
        <w:rPr>
          <w:rtl/>
          <w:lang w:bidi="ar-KW"/>
        </w:rPr>
        <w:t xml:space="preserve"> هنا مستفهم به عن المعنى، وبنفيه ينتـفي المعنى المستفهم عنه به، فهو من قبيل نفي الملزوم عن طريق نفي اللازم، فالكيف لازم للمعنى الظاهر، وبنفيه نفيٌ للمعنى الظاهر، وذلك كمن يقول لك</w:t>
      </w:r>
      <w:r w:rsidR="000636C2">
        <w:rPr>
          <w:rtl/>
          <w:lang w:bidi="ar-KW"/>
        </w:rPr>
        <w:t>:</w:t>
      </w:r>
      <w:r w:rsidRPr="005675B2">
        <w:rPr>
          <w:rtl/>
          <w:lang w:bidi="ar-KW"/>
        </w:rPr>
        <w:t xml:space="preserve"> إن هذا العدد ليس بزوج</w:t>
      </w:r>
      <w:r w:rsidR="000636C2">
        <w:rPr>
          <w:rtl/>
          <w:lang w:bidi="ar-KW"/>
        </w:rPr>
        <w:t>،</w:t>
      </w:r>
      <w:r w:rsidRPr="005675B2">
        <w:rPr>
          <w:rtl/>
          <w:lang w:bidi="ar-KW"/>
        </w:rPr>
        <w:t xml:space="preserve"> فتفهم منه أنه ليس اثنين ولا أربعة ولا ستة .. الخ لأن الزوجية لازم غير قابل للانفكاك عن الاثنين والأربعة والستة .. الخ</w:t>
      </w:r>
      <w:r w:rsidR="000636C2">
        <w:rPr>
          <w:rtl/>
          <w:lang w:bidi="ar-KW"/>
        </w:rPr>
        <w:t>،</w:t>
      </w:r>
      <w:r w:rsidRPr="005675B2">
        <w:rPr>
          <w:rtl/>
          <w:lang w:bidi="ar-KW"/>
        </w:rPr>
        <w:t xml:space="preserve"> من هنا يتبين مراد السلف بقولهم </w:t>
      </w:r>
      <w:r w:rsidR="000636C2">
        <w:rPr>
          <w:rtl/>
          <w:lang w:bidi="ar-KW"/>
        </w:rPr>
        <w:t>(</w:t>
      </w:r>
      <w:r w:rsidRPr="005675B2">
        <w:rPr>
          <w:rtl/>
          <w:lang w:bidi="ar-KW"/>
        </w:rPr>
        <w:t>بلا كيف</w:t>
      </w:r>
      <w:r w:rsidR="000636C2">
        <w:rPr>
          <w:rtl/>
          <w:lang w:bidi="ar-KW"/>
        </w:rPr>
        <w:t>)</w:t>
      </w:r>
      <w:r w:rsidRPr="005675B2">
        <w:rPr>
          <w:rtl/>
          <w:lang w:bidi="ar-KW"/>
        </w:rPr>
        <w:t>، ومنه تعلم أن من ينسب للسلف إثبات المعاني الحقيقية لهذه الألفاظ والتفويض في كيفياتها ينسب لهم التشبيه من حيث لا يدري</w:t>
      </w:r>
      <w:r w:rsidR="000636C2">
        <w:rPr>
          <w:rtl/>
          <w:lang w:bidi="ar-KW"/>
        </w:rPr>
        <w:t>،</w:t>
      </w:r>
      <w:r w:rsidRPr="005675B2">
        <w:rPr>
          <w:rtl/>
          <w:lang w:bidi="ar-KW"/>
        </w:rPr>
        <w:t xml:space="preserve"> </w:t>
      </w:r>
    </w:p>
    <w:p w14:paraId="3B3DEDCF" w14:textId="15B2FBE1" w:rsidR="009C32A0" w:rsidRPr="005675B2" w:rsidRDefault="000636C2" w:rsidP="000636C2">
      <w:pPr>
        <w:widowControl w:val="0"/>
        <w:spacing w:before="80" w:after="240"/>
        <w:rPr>
          <w:b/>
          <w:bCs/>
          <w:rtl/>
          <w:lang w:bidi="ar-KW"/>
        </w:rPr>
      </w:pPr>
      <w:r>
        <w:rPr>
          <w:rFonts w:hint="cs"/>
          <w:bCs/>
          <w:rtl/>
          <w:lang w:bidi="ar-KW"/>
        </w:rPr>
        <w:t>(</w:t>
      </w:r>
      <w:r w:rsidR="009C32A0">
        <w:rPr>
          <w:rFonts w:hint="cs"/>
          <w:bCs/>
          <w:rtl/>
          <w:lang w:bidi="ar-KW"/>
        </w:rPr>
        <w:t>تنبيه</w:t>
      </w:r>
      <w:r>
        <w:rPr>
          <w:rFonts w:hint="cs"/>
          <w:bCs/>
          <w:rtl/>
          <w:lang w:bidi="ar-KW"/>
        </w:rPr>
        <w:t>):</w:t>
      </w:r>
      <w:r w:rsidR="009C32A0" w:rsidRPr="005675B2">
        <w:rPr>
          <w:rFonts w:hint="cs"/>
          <w:rtl/>
          <w:lang w:bidi="ar-KW"/>
        </w:rPr>
        <w:t xml:space="preserve"> </w:t>
      </w:r>
      <w:r w:rsidR="009C32A0" w:rsidRPr="005675B2">
        <w:rPr>
          <w:rtl/>
          <w:lang w:bidi="ar-KW"/>
        </w:rPr>
        <w:t>هل كان السلف يدركون أي معنى لهذه النصوص المتشابهة</w:t>
      </w:r>
      <w:r>
        <w:rPr>
          <w:rtl/>
          <w:lang w:bidi="ar-KW"/>
        </w:rPr>
        <w:t>؟</w:t>
      </w:r>
      <w:r w:rsidR="009C32A0" w:rsidRPr="005675B2">
        <w:rPr>
          <w:rtl/>
          <w:lang w:bidi="ar-KW"/>
        </w:rPr>
        <w:t xml:space="preserve"> أم أنها بالنسبة لهم كالحروف التي في أوائل السور</w:t>
      </w:r>
      <w:r>
        <w:rPr>
          <w:rtl/>
          <w:lang w:bidi="ar-KW"/>
        </w:rPr>
        <w:t>؟</w:t>
      </w:r>
      <w:r w:rsidR="009C32A0" w:rsidRPr="005675B2">
        <w:rPr>
          <w:rFonts w:hint="cs"/>
          <w:rtl/>
          <w:lang w:bidi="ar-KW"/>
        </w:rPr>
        <w:t xml:space="preserve"> </w:t>
      </w:r>
      <w:r w:rsidR="009C32A0" w:rsidRPr="005675B2">
        <w:rPr>
          <w:rtl/>
          <w:lang w:bidi="ar-KW"/>
        </w:rPr>
        <w:t>وإذا كانوا يدركون لها معنى، كيف يُوفَّق بين إدراكهم هذا وبين ما مرَّ من تفسير الإمرار بأنه عدم العلم بالمراد</w:t>
      </w:r>
      <w:r>
        <w:rPr>
          <w:rtl/>
          <w:lang w:bidi="ar-KW"/>
        </w:rPr>
        <w:t>؟</w:t>
      </w:r>
      <w:r w:rsidR="009C32A0" w:rsidRPr="005675B2">
        <w:rPr>
          <w:rFonts w:hint="cs"/>
          <w:rtl/>
          <w:lang w:bidi="ar-KW"/>
        </w:rPr>
        <w:t xml:space="preserve"> </w:t>
      </w:r>
      <w:r w:rsidR="009C32A0" w:rsidRPr="005675B2">
        <w:rPr>
          <w:rtl/>
          <w:lang w:bidi="ar-KW"/>
        </w:rPr>
        <w:t>يبدو للوهلة الأولى أن ثمة تعارض بين إدراك معاني هذا النصوص وبين إمرارها الذي هو عدم العلم بالمراد منها، وفي الحقيقة ليس ثمة أي تعارض بين الأمرين، فالمقصود بعدم العلم بالمراد الذي فُسِّر به الإمرار هو عدم العلم بالمراد تفصيلاً وعلى سبيل القطع والتحديد، وهذا لا يقتضي عدم علمهم بالمراد إجمالاً</w:t>
      </w:r>
      <w:r>
        <w:rPr>
          <w:rtl/>
          <w:lang w:bidi="ar-KW"/>
        </w:rPr>
        <w:t xml:space="preserve">، </w:t>
      </w:r>
      <w:r w:rsidR="009C32A0" w:rsidRPr="005675B2">
        <w:rPr>
          <w:rtl/>
          <w:lang w:bidi="ar-KW"/>
        </w:rPr>
        <w:t>مثال على هذا قوله تعالى</w:t>
      </w:r>
      <w:r>
        <w:rPr>
          <w:bCs/>
          <w:rtl/>
          <w:lang w:bidi="ar-KW"/>
        </w:rPr>
        <w:t>(</w:t>
      </w:r>
      <w:r w:rsidR="009C32A0" w:rsidRPr="005675B2">
        <w:rPr>
          <w:bCs/>
          <w:rtl/>
          <w:lang w:bidi="ar-KW"/>
        </w:rPr>
        <w:t>بل يداه مبسوطتان</w:t>
      </w:r>
      <w:r>
        <w:rPr>
          <w:bCs/>
          <w:rtl/>
          <w:lang w:bidi="ar-KW"/>
        </w:rPr>
        <w:t>)</w:t>
      </w:r>
      <w:r w:rsidR="009C32A0" w:rsidRPr="005675B2">
        <w:rPr>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 فبعد استبعاد المعنى الظاهر المتبادر من إطلاقه وهو الحقيقة اللغوية التي وضع اللفظ ليدلَّ عليها بين المخلوقين وهي الجارحة، نقول بعد استبعاد هذه الحقيقة احتمل اللفظ عدة معانٍ مجازية، ولهذا الاحتمال توقف جمهور السلف عن التعيين والقطع بأحدها، وهذ هو معنى عدم علمهم بالمراد لا أنهم لا يفهمون لهذه النصوص أي معنى، تعالى الله أن يخاطب الناس بما لا يُفهم</w:t>
      </w:r>
      <w:r>
        <w:rPr>
          <w:rtl/>
          <w:lang w:bidi="ar-KW"/>
        </w:rPr>
        <w:t xml:space="preserve">، </w:t>
      </w:r>
      <w:r w:rsidR="009C32A0" w:rsidRPr="005675B2">
        <w:rPr>
          <w:rtl/>
          <w:lang w:bidi="ar-KW"/>
        </w:rPr>
        <w:t xml:space="preserve">هذا هو اللائق بمقامات السلف في العلم، إذ لا يعقل أنهم كانوا يسمعون مثلاً قول الله تعالـى </w:t>
      </w:r>
      <w:r>
        <w:rPr>
          <w:bCs/>
          <w:rtl/>
          <w:lang w:bidi="ar-KW"/>
        </w:rPr>
        <w:t>(</w:t>
      </w:r>
      <w:r w:rsidR="009C32A0" w:rsidRPr="005675B2">
        <w:rPr>
          <w:bCs/>
          <w:rtl/>
          <w:lang w:bidi="ar-KW"/>
        </w:rPr>
        <w:t>يد الله فوق أيديهم</w:t>
      </w:r>
      <w:r>
        <w:rPr>
          <w:bCs/>
          <w:rtl/>
          <w:lang w:bidi="ar-KW"/>
        </w:rPr>
        <w:t xml:space="preserve">) </w:t>
      </w:r>
      <w:r w:rsidR="009C32A0" w:rsidRPr="005675B2">
        <w:rPr>
          <w:bCs/>
          <w:rtl/>
          <w:lang w:bidi="ar-KW"/>
        </w:rPr>
        <w:t xml:space="preserve">أو </w:t>
      </w:r>
      <w:r>
        <w:rPr>
          <w:bCs/>
          <w:rtl/>
          <w:lang w:bidi="ar-KW"/>
        </w:rPr>
        <w:t>(</w:t>
      </w:r>
      <w:r w:rsidR="009C32A0" w:rsidRPr="005675B2">
        <w:rPr>
          <w:bCs/>
          <w:rtl/>
          <w:lang w:bidi="ar-KW"/>
        </w:rPr>
        <w:t>بل يداه مبسوطتان ينفق كيف يشاء</w:t>
      </w:r>
      <w:r>
        <w:rPr>
          <w:bCs/>
          <w:rtl/>
          <w:lang w:bidi="ar-KW"/>
        </w:rPr>
        <w:t xml:space="preserve">) </w:t>
      </w:r>
      <w:r w:rsidR="009C32A0" w:rsidRPr="005675B2">
        <w:rPr>
          <w:bCs/>
          <w:rtl/>
          <w:lang w:bidi="ar-KW"/>
        </w:rPr>
        <w:t xml:space="preserve">أو </w:t>
      </w:r>
      <w:r>
        <w:rPr>
          <w:bCs/>
          <w:rtl/>
          <w:lang w:bidi="ar-KW"/>
        </w:rPr>
        <w:t>(</w:t>
      </w:r>
      <w:r w:rsidR="009C32A0" w:rsidRPr="005675B2">
        <w:rPr>
          <w:bCs/>
          <w:rtl/>
          <w:lang w:bidi="ar-KW"/>
        </w:rPr>
        <w:t>الرحمن على العرش استوى</w:t>
      </w:r>
      <w:r>
        <w:rPr>
          <w:bCs/>
          <w:rtl/>
          <w:lang w:bidi="ar-KW"/>
        </w:rPr>
        <w:t xml:space="preserve">) </w:t>
      </w:r>
      <w:r w:rsidR="009C32A0" w:rsidRPr="005675B2">
        <w:rPr>
          <w:bCs/>
          <w:rtl/>
          <w:lang w:bidi="ar-KW"/>
        </w:rPr>
        <w:t xml:space="preserve">أو </w:t>
      </w:r>
      <w:r>
        <w:rPr>
          <w:bCs/>
          <w:rtl/>
          <w:lang w:bidi="ar-KW"/>
        </w:rPr>
        <w:t>(</w:t>
      </w:r>
      <w:r w:rsidR="009C32A0" w:rsidRPr="005675B2">
        <w:rPr>
          <w:bCs/>
          <w:rtl/>
          <w:lang w:bidi="ar-KW"/>
        </w:rPr>
        <w:t>ثم استوى إلى السماء</w:t>
      </w:r>
      <w:r>
        <w:rPr>
          <w:bCs/>
          <w:rtl/>
          <w:lang w:bidi="ar-KW"/>
        </w:rPr>
        <w:t>)</w:t>
      </w:r>
      <w:r w:rsidR="009C32A0" w:rsidRPr="005675B2">
        <w:rPr>
          <w:bCs/>
          <w:rtl/>
          <w:lang w:bidi="ar-KW"/>
        </w:rPr>
        <w:t xml:space="preserve"> أو </w:t>
      </w:r>
      <w:r>
        <w:rPr>
          <w:bCs/>
          <w:rtl/>
          <w:lang w:bidi="ar-KW"/>
        </w:rPr>
        <w:t>(</w:t>
      </w:r>
      <w:r w:rsidR="009C32A0" w:rsidRPr="005675B2">
        <w:rPr>
          <w:bCs/>
          <w:rtl/>
          <w:lang w:bidi="ar-KW"/>
        </w:rPr>
        <w:t>يوم يكشف عن ساق</w:t>
      </w:r>
      <w:r>
        <w:rPr>
          <w:bCs/>
          <w:rtl/>
          <w:lang w:bidi="ar-KW"/>
        </w:rPr>
        <w:t>)</w:t>
      </w:r>
      <w:r w:rsidR="009C32A0" w:rsidRPr="005675B2">
        <w:rPr>
          <w:rtl/>
          <w:lang w:bidi="ar-KW"/>
        </w:rPr>
        <w:t>، أو قول رسول الله</w:t>
      </w:r>
      <w:r>
        <w:rPr>
          <w:rtl/>
          <w:lang w:bidi="ar-KW"/>
        </w:rPr>
        <w:t xml:space="preserve"> </w:t>
      </w:r>
      <w:r>
        <w:rPr>
          <w:bCs/>
          <w:rtl/>
          <w:lang w:bidi="ar-KW"/>
        </w:rPr>
        <w:t>(</w:t>
      </w:r>
      <w:r w:rsidR="009C32A0" w:rsidRPr="005675B2">
        <w:rPr>
          <w:bCs/>
          <w:rtl/>
          <w:lang w:bidi="ar-KW"/>
        </w:rPr>
        <w:t>يضحك ربنا</w:t>
      </w:r>
      <w:r>
        <w:rPr>
          <w:bCs/>
          <w:rtl/>
          <w:lang w:bidi="ar-KW"/>
        </w:rPr>
        <w:t>)</w:t>
      </w:r>
      <w:r w:rsidR="009C32A0" w:rsidRPr="005675B2">
        <w:rPr>
          <w:rtl/>
          <w:lang w:bidi="ar-KW"/>
        </w:rPr>
        <w:t xml:space="preserve"> أو </w:t>
      </w:r>
      <w:r>
        <w:rPr>
          <w:bCs/>
          <w:rtl/>
          <w:lang w:bidi="ar-KW"/>
        </w:rPr>
        <w:t>(</w:t>
      </w:r>
      <w:r w:rsidR="009C32A0" w:rsidRPr="005675B2">
        <w:rPr>
          <w:bCs/>
          <w:rtl/>
          <w:lang w:bidi="ar-KW"/>
        </w:rPr>
        <w:t>ينزل ربنا</w:t>
      </w:r>
      <w:r>
        <w:rPr>
          <w:bCs/>
          <w:rtl/>
          <w:lang w:bidi="ar-KW"/>
        </w:rPr>
        <w:t>)</w:t>
      </w:r>
      <w:r w:rsidR="009C32A0" w:rsidRPr="005675B2">
        <w:rPr>
          <w:rtl/>
          <w:lang w:bidi="ar-KW"/>
        </w:rPr>
        <w:t xml:space="preserve"> أو </w:t>
      </w:r>
      <w:r>
        <w:rPr>
          <w:bCs/>
          <w:rtl/>
          <w:lang w:bidi="ar-KW"/>
        </w:rPr>
        <w:t>(</w:t>
      </w:r>
      <w:r w:rsidR="009C32A0" w:rsidRPr="005675B2">
        <w:rPr>
          <w:bCs/>
          <w:rtl/>
          <w:lang w:bidi="ar-KW"/>
        </w:rPr>
        <w:t>يعجب ربنا</w:t>
      </w:r>
      <w:r>
        <w:rPr>
          <w:bCs/>
          <w:rtl/>
          <w:lang w:bidi="ar-KW"/>
        </w:rPr>
        <w:t>)</w:t>
      </w:r>
      <w:r w:rsidR="009C32A0" w:rsidRPr="005675B2">
        <w:rPr>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ثم لعدم الاضطرار إلى التعيين لأحد المعاني لخلو عصرهم من المبطلين الذين يحملون كلام الله تعالى وكلام رسوله</w:t>
      </w:r>
      <w:r>
        <w:rPr>
          <w:rtl/>
          <w:lang w:bidi="ar-KW"/>
        </w:rPr>
        <w:t xml:space="preserve"> </w:t>
      </w:r>
      <w:r w:rsidR="009C32A0" w:rsidRPr="005675B2">
        <w:rPr>
          <w:rtl/>
          <w:lang w:bidi="ar-KW"/>
        </w:rPr>
        <w:t>على وجوه فاسدة لا تحتملها لغة العرب وتتنافى مع التقديس والتنزيه، لهذا ولذاك أحجموا عن التعيين والتصريح، واكتفوا بهذا الفهم الإجمالي لها، وصرح بها الخلف بعدهم لطروِّ ما اقتضى ذلك وحتّمه عليهم</w:t>
      </w:r>
      <w:r>
        <w:rPr>
          <w:rtl/>
          <w:lang w:bidi="ar-KW"/>
        </w:rPr>
        <w:t>،</w:t>
      </w:r>
      <w:r w:rsidR="009C32A0" w:rsidRPr="005675B2">
        <w:rPr>
          <w:rtl/>
          <w:lang w:bidi="ar-KW"/>
        </w:rPr>
        <w:t xml:space="preserve"> قـال الشيـخ العلامـة العزامـي القضـاعي </w:t>
      </w:r>
      <w:r>
        <w:rPr>
          <w:rtl/>
          <w:lang w:bidi="ar-KW"/>
        </w:rPr>
        <w:t>(</w:t>
      </w:r>
      <w:r w:rsidR="009C32A0" w:rsidRPr="005675B2">
        <w:rPr>
          <w:rtl/>
          <w:lang w:bidi="ar-KW"/>
        </w:rPr>
        <w:t>فرقان القرآن مطبوع في ذيل الأسماء والصفات للبيهقي ص / 104</w:t>
      </w:r>
      <w:r>
        <w:rPr>
          <w:rtl/>
          <w:lang w:bidi="ar-KW"/>
        </w:rPr>
        <w:t>):</w:t>
      </w:r>
      <w:r w:rsidR="009C32A0" w:rsidRPr="005675B2">
        <w:rPr>
          <w:rFonts w:hint="cs"/>
          <w:rtl/>
          <w:lang w:bidi="ar-KW"/>
        </w:rPr>
        <w:t xml:space="preserve"> </w:t>
      </w:r>
      <w:r>
        <w:rPr>
          <w:rtl/>
          <w:lang w:bidi="ar-KW"/>
        </w:rPr>
        <w:t>(</w:t>
      </w:r>
      <w:r w:rsidR="009C32A0" w:rsidRPr="005675B2">
        <w:rPr>
          <w:rtl/>
          <w:lang w:bidi="ar-KW"/>
        </w:rPr>
        <w:t>وقال تعالى</w:t>
      </w:r>
      <w:r>
        <w:rPr>
          <w:rtl/>
          <w:lang w:bidi="ar-KW"/>
        </w:rPr>
        <w:t>:</w:t>
      </w:r>
      <w:r w:rsidR="009C32A0" w:rsidRPr="005675B2">
        <w:rPr>
          <w:rtl/>
          <w:lang w:bidi="ar-KW"/>
        </w:rPr>
        <w:t xml:space="preserve"> </w:t>
      </w:r>
      <w:r>
        <w:rPr>
          <w:bCs/>
          <w:rtl/>
          <w:lang w:bidi="ar-KW"/>
        </w:rPr>
        <w:t>(</w:t>
      </w:r>
      <w:r w:rsidR="009C32A0" w:rsidRPr="005675B2">
        <w:rPr>
          <w:bCs/>
          <w:rtl/>
          <w:lang w:bidi="ar-KW"/>
        </w:rPr>
        <w:t>الله نور السموات والأرض</w:t>
      </w:r>
      <w:r>
        <w:rPr>
          <w:bCs/>
          <w:rtl/>
          <w:lang w:bidi="ar-KW"/>
        </w:rPr>
        <w:t>)</w:t>
      </w:r>
      <w:r w:rsidR="009C32A0" w:rsidRPr="005675B2">
        <w:rPr>
          <w:rFonts w:hint="cs"/>
          <w:rtl/>
          <w:lang w:bidi="ar-KW"/>
        </w:rPr>
        <w:t xml:space="preserve"> </w:t>
      </w:r>
      <w:r w:rsidR="009C32A0" w:rsidRPr="005675B2">
        <w:rPr>
          <w:rtl/>
          <w:lang w:bidi="ar-KW"/>
        </w:rPr>
        <w:t>هل فهم أحد من السلف أنه هو ذلك النور الفائض على الحيطان والجدران المنتشر في الجو</w:t>
      </w:r>
      <w:r>
        <w:rPr>
          <w:rtl/>
          <w:lang w:bidi="ar-KW"/>
        </w:rPr>
        <w:t>؟</w:t>
      </w:r>
      <w:r w:rsidR="009C32A0" w:rsidRPr="005675B2">
        <w:rPr>
          <w:rtl/>
          <w:lang w:bidi="ar-KW"/>
        </w:rPr>
        <w:t xml:space="preserve"> جل مقام العلماء بالله وكتابه أن يفهموا هذا المعنى الظـاهر العامي</w:t>
      </w:r>
      <w:r>
        <w:rPr>
          <w:rtl/>
          <w:lang w:bidi="ar-KW"/>
        </w:rPr>
        <w:t>،</w:t>
      </w:r>
      <w:r w:rsidR="009C32A0" w:rsidRPr="005675B2">
        <w:rPr>
          <w:rtl/>
          <w:lang w:bidi="ar-KW"/>
        </w:rPr>
        <w:t xml:space="preserve"> قال حبر الأمة ابن عباس فيما رواه عنه الطبري بالسند الصحيح</w:t>
      </w:r>
      <w:r>
        <w:rPr>
          <w:rtl/>
          <w:lang w:bidi="ar-KW"/>
        </w:rPr>
        <w:t>:</w:t>
      </w:r>
      <w:r w:rsidR="009C32A0" w:rsidRPr="005675B2">
        <w:rPr>
          <w:rtl/>
          <w:lang w:bidi="ar-KW"/>
        </w:rPr>
        <w:t xml:space="preserve"> الله سبحانه هادي أهل السموات والأرض</w:t>
      </w:r>
      <w:r>
        <w:rPr>
          <w:rtl/>
          <w:lang w:bidi="ar-KW"/>
        </w:rPr>
        <w:t>،</w:t>
      </w:r>
      <w:r w:rsidR="009C32A0" w:rsidRPr="005675B2">
        <w:rPr>
          <w:rtl/>
          <w:lang w:bidi="ar-KW"/>
        </w:rPr>
        <w:t xml:space="preserve"> وروى نحوه عن أنس بن مالك</w:t>
      </w:r>
      <w:r>
        <w:rPr>
          <w:rtl/>
          <w:lang w:bidi="ar-KW"/>
        </w:rPr>
        <w:t>،</w:t>
      </w:r>
      <w:r w:rsidR="009C32A0" w:rsidRPr="005675B2">
        <w:rPr>
          <w:rtl/>
          <w:lang w:bidi="ar-KW"/>
        </w:rPr>
        <w:t xml:space="preserve"> وروى عن مجاهد أن معناه المدبر</w:t>
      </w:r>
      <w:r>
        <w:rPr>
          <w:rtl/>
          <w:lang w:bidi="ar-KW"/>
        </w:rPr>
        <w:t>،</w:t>
      </w:r>
      <w:r w:rsidR="009C32A0" w:rsidRPr="005675B2">
        <w:rPr>
          <w:rtl/>
          <w:lang w:bidi="ar-KW"/>
        </w:rPr>
        <w:t xml:space="preserve"> ورجح الإمامُ الأوّلَ وزيف ما عداه … تعالى الله عن صفات الأجسام وسمات الحدوث</w:t>
      </w:r>
      <w:r>
        <w:rPr>
          <w:rtl/>
          <w:lang w:bidi="ar-KW"/>
        </w:rPr>
        <w:t>،</w:t>
      </w:r>
      <w:r w:rsidR="009C32A0" w:rsidRPr="005675B2">
        <w:rPr>
          <w:rtl/>
          <w:lang w:bidi="ar-KW"/>
        </w:rPr>
        <w:t xml:space="preserve"> </w:t>
      </w:r>
      <w:r w:rsidR="009C32A0" w:rsidRPr="005675B2">
        <w:rPr>
          <w:bCs/>
          <w:rtl/>
          <w:lang w:bidi="ar-KW"/>
        </w:rPr>
        <w:t>وهكذا لو استقريت أقوال السلف من مظانها لرأيت الكثير الطيب من بيان المعاني اللائقة بالله تعالى على سبيل التعيين، فمن نقل عدم التعيين مطلقاً عن السلف فما دقق البحث ولا اتسع اطلاعه</w:t>
      </w:r>
      <w:r>
        <w:rPr>
          <w:rtl/>
          <w:lang w:bidi="ar-KW"/>
        </w:rPr>
        <w:t>)</w:t>
      </w:r>
      <w:r w:rsidR="009C32A0" w:rsidRPr="005675B2">
        <w:rPr>
          <w:rtl/>
          <w:lang w:bidi="ar-KW"/>
        </w:rPr>
        <w:t xml:space="preserve"> اهـ</w:t>
      </w:r>
      <w:r>
        <w:rPr>
          <w:rtl/>
          <w:lang w:bidi="ar-KW"/>
        </w:rPr>
        <w:t xml:space="preserve">، </w:t>
      </w:r>
      <w:r w:rsidR="009C32A0" w:rsidRPr="005675B2">
        <w:rPr>
          <w:rtl/>
          <w:lang w:bidi="ar-KW"/>
        </w:rPr>
        <w:t>وقال أيضاً مُوضّحاً هذا المعنى</w:t>
      </w:r>
      <w:r>
        <w:rPr>
          <w:rtl/>
          <w:lang w:bidi="ar-KW"/>
        </w:rPr>
        <w:t>:</w:t>
      </w:r>
      <w:r w:rsidR="009C32A0" w:rsidRPr="005675B2">
        <w:rPr>
          <w:rFonts w:hint="cs"/>
          <w:rtl/>
          <w:lang w:bidi="ar-KW"/>
        </w:rPr>
        <w:t xml:space="preserve"> </w:t>
      </w:r>
      <w:r>
        <w:rPr>
          <w:rtl/>
          <w:lang w:bidi="ar-KW"/>
        </w:rPr>
        <w:t>((</w:t>
      </w:r>
      <w:r w:rsidR="009C32A0">
        <w:rPr>
          <w:rtl/>
          <w:lang w:bidi="ar-KW"/>
        </w:rPr>
        <w:t>تنبيه</w:t>
      </w:r>
      <w:r>
        <w:rPr>
          <w:rtl/>
          <w:lang w:bidi="ar-KW"/>
        </w:rPr>
        <w:t>)</w:t>
      </w:r>
      <w:r w:rsidR="009C32A0" w:rsidRPr="005675B2">
        <w:rPr>
          <w:rtl/>
          <w:lang w:bidi="ar-KW"/>
        </w:rPr>
        <w:t xml:space="preserve"> مهم</w:t>
      </w:r>
      <w:r>
        <w:rPr>
          <w:rtl/>
          <w:lang w:bidi="ar-KW"/>
        </w:rPr>
        <w:t>:</w:t>
      </w:r>
      <w:r w:rsidR="009C32A0" w:rsidRPr="005675B2">
        <w:rPr>
          <w:rtl/>
          <w:lang w:bidi="ar-KW"/>
        </w:rPr>
        <w:t xml:space="preserve"> إذا سمعت في عبارات بعض السلف " إننا نؤمن بأن له - تعالى - وجها لا كالوجوه ويداً لا كالأيدي " فلا تظن أنهم أرادوا أن ذاته العلية منقسمة إلى أجزاء وأبعاض، فجزءٌ منها يدٌ وجزءٌ منها وجهٌ غير أنه لا يشابه الأيدي والوجوه التي للخلق</w:t>
      </w:r>
      <w:r>
        <w:rPr>
          <w:rtl/>
          <w:lang w:bidi="ar-KW"/>
        </w:rPr>
        <w:t>!</w:t>
      </w:r>
      <w:r w:rsidR="009C32A0" w:rsidRPr="005675B2">
        <w:rPr>
          <w:rtl/>
          <w:lang w:bidi="ar-KW"/>
        </w:rPr>
        <w:t>! حاشاهم من ذلك، وما هذا إلا التشبيه بعينه، وإنما أرادوا بذلك أن لفظ الوجه واليد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w:t>
      </w:r>
      <w:r>
        <w:rPr>
          <w:rtl/>
          <w:lang w:bidi="ar-KW"/>
        </w:rPr>
        <w:t>)</w:t>
      </w:r>
      <w:r w:rsidR="009C32A0" w:rsidRPr="005675B2">
        <w:rPr>
          <w:rtl/>
          <w:lang w:bidi="ar-KW"/>
        </w:rPr>
        <w:t xml:space="preserve"> اهـ</w:t>
      </w:r>
      <w:r>
        <w:rPr>
          <w:rtl/>
          <w:lang w:bidi="ar-KW"/>
        </w:rPr>
        <w:t>،</w:t>
      </w:r>
      <w:r w:rsidR="009C32A0" w:rsidRPr="005675B2">
        <w:rPr>
          <w:rtl/>
          <w:lang w:bidi="ar-KW"/>
        </w:rPr>
        <w:t xml:space="preserve"> وجاء في كتاب تاريخ المذاهب الإسلامية للشيخ محمد أبو زهرة - رحمه الله - </w:t>
      </w:r>
      <w:r>
        <w:rPr>
          <w:rtl/>
          <w:lang w:bidi="ar-KW"/>
        </w:rPr>
        <w:t>(</w:t>
      </w:r>
      <w:r w:rsidR="009C32A0" w:rsidRPr="005675B2">
        <w:rPr>
          <w:rtl/>
          <w:lang w:bidi="ar-KW"/>
        </w:rPr>
        <w:t>1 / 237</w:t>
      </w:r>
      <w:r>
        <w:rPr>
          <w:rtl/>
          <w:lang w:bidi="ar-KW"/>
        </w:rPr>
        <w:t>)</w:t>
      </w:r>
      <w:r w:rsidR="009C32A0" w:rsidRPr="005675B2">
        <w:rPr>
          <w:rtl/>
          <w:lang w:bidi="ar-KW"/>
        </w:rPr>
        <w:t xml:space="preserve"> ما نصه</w:t>
      </w:r>
      <w:r>
        <w:rPr>
          <w:rtl/>
          <w:lang w:bidi="ar-KW"/>
        </w:rPr>
        <w:t>:</w:t>
      </w:r>
      <w:r w:rsidR="009C32A0" w:rsidRPr="005675B2">
        <w:rPr>
          <w:rFonts w:hint="cs"/>
          <w:rtl/>
          <w:lang w:bidi="ar-KW"/>
        </w:rPr>
        <w:t xml:space="preserve"> </w:t>
      </w:r>
      <w:r>
        <w:rPr>
          <w:rtl/>
          <w:lang w:bidi="ar-KW"/>
        </w:rPr>
        <w:t>(</w:t>
      </w:r>
      <w:r w:rsidR="009C32A0" w:rsidRPr="005675B2">
        <w:rPr>
          <w:rtl/>
          <w:lang w:bidi="ar-KW"/>
        </w:rPr>
        <w:t>فهل يتصور أن الذين يبايعون النبي</w:t>
      </w:r>
      <w:r>
        <w:rPr>
          <w:rtl/>
          <w:lang w:bidi="ar-KW"/>
        </w:rPr>
        <w:t xml:space="preserve"> </w:t>
      </w:r>
      <w:r w:rsidR="009C32A0" w:rsidRPr="005675B2">
        <w:rPr>
          <w:rtl/>
          <w:lang w:bidi="ar-KW"/>
        </w:rPr>
        <w:t xml:space="preserve">تحت الشجرة عندما يتلون قوله تعالى </w:t>
      </w:r>
      <w:r>
        <w:rPr>
          <w:bCs/>
          <w:rtl/>
          <w:lang w:bidi="ar-KW"/>
        </w:rPr>
        <w:t>(</w:t>
      </w:r>
      <w:r w:rsidR="009C32A0" w:rsidRPr="005675B2">
        <w:rPr>
          <w:bCs/>
          <w:rtl/>
          <w:lang w:bidi="ar-KW"/>
        </w:rPr>
        <w:t>إنّ الذين يبايعونك إنما يبايعون الله يد الله فوق أيديهم</w:t>
      </w:r>
      <w:r>
        <w:rPr>
          <w:bCs/>
          <w:rtl/>
          <w:lang w:bidi="ar-KW"/>
        </w:rPr>
        <w:t>،</w:t>
      </w:r>
      <w:r w:rsidR="009C32A0" w:rsidRPr="005675B2">
        <w:rPr>
          <w:bCs/>
          <w:rtl/>
          <w:lang w:bidi="ar-KW"/>
        </w:rPr>
        <w:t xml:space="preserve"> فمن نكث فإنما ينكث على نفسه ومن أوفى بما عاهد عليه الله فسيؤتيه أجراً عظيما</w:t>
      </w:r>
      <w:r>
        <w:rPr>
          <w:bCs/>
          <w:rtl/>
          <w:lang w:bidi="ar-KW"/>
        </w:rPr>
        <w:t>)</w:t>
      </w:r>
      <w:r w:rsidR="009C32A0" w:rsidRPr="005675B2">
        <w:rPr>
          <w:bCs/>
          <w:rtl/>
          <w:lang w:bidi="ar-KW"/>
        </w:rPr>
        <w:t xml:space="preserve"> </w:t>
      </w:r>
      <w:r w:rsidR="009C32A0" w:rsidRPr="005675B2">
        <w:rPr>
          <w:rtl/>
          <w:lang w:bidi="ar-KW"/>
        </w:rPr>
        <w:t>يفهمون أن اليد هنـا يد ليست كيد المخلوقات – يعني يدا حقيقية كما يقول أصحاب الظاهر ولكنها ليست كيد المخلوقات – ولا يفهمون أن المراد سلطان الله تعالى وقدرته، بدليل ما فيها من تهديد لمن ينكث بأن مغبة النكث تعود عليه</w:t>
      </w:r>
      <w:r>
        <w:rPr>
          <w:rtl/>
          <w:lang w:bidi="ar-KW"/>
        </w:rPr>
        <w:t>،</w:t>
      </w:r>
      <w:r w:rsidR="009C32A0" w:rsidRPr="005675B2">
        <w:rPr>
          <w:rtl/>
          <w:lang w:bidi="ar-KW"/>
        </w:rPr>
        <w:t xml:space="preserve"> ولذلك نحن نرجح منهاج الماتريدي ومنهاج ابن الجوزي ومنهاج الغزالي، </w:t>
      </w:r>
      <w:r w:rsidR="009C32A0" w:rsidRPr="005675B2">
        <w:rPr>
          <w:bCs/>
          <w:rtl/>
          <w:lang w:bidi="ar-KW"/>
        </w:rPr>
        <w:t>ونرى أن الصحابة كانوا يفسرون بالمجاز إن تعذر إطلاق الحقيقة، كما يفسرون بالحقيقة في ذاتها</w:t>
      </w:r>
      <w:r>
        <w:rPr>
          <w:bCs/>
          <w:rtl/>
          <w:lang w:bidi="ar-KW"/>
        </w:rPr>
        <w:t>)</w:t>
      </w:r>
      <w:r w:rsidR="009C32A0" w:rsidRPr="005675B2">
        <w:rPr>
          <w:bCs/>
          <w:rtl/>
          <w:lang w:bidi="ar-KW"/>
        </w:rPr>
        <w:t xml:space="preserve"> </w:t>
      </w:r>
      <w:r w:rsidR="009C32A0" w:rsidRPr="005675B2">
        <w:rPr>
          <w:rtl/>
          <w:lang w:bidi="ar-KW"/>
        </w:rPr>
        <w:t>اهـ</w:t>
      </w:r>
      <w:r>
        <w:rPr>
          <w:rtl/>
          <w:lang w:bidi="ar-KW"/>
        </w:rPr>
        <w:t>،</w:t>
      </w:r>
      <w:r w:rsidR="009C32A0" w:rsidRPr="005675B2">
        <w:rPr>
          <w:rtl/>
          <w:lang w:bidi="ar-KW"/>
        </w:rPr>
        <w:t xml:space="preserve"> يؤيد هذا ما نقل عن جماعات منهم من التصريح بذكر هذه المعاني المجازية مثل سيدنا ابن عباس وابن مسعود وعلي رضي الله عنهم والحسن البصري ومالك والأوزاعي وقتادة والثوري ومجاهد وعكرمة رحمهم الله وغيرهم ممن تزخر بنصوصهم كتب التفسير والحديث وغيرها</w:t>
      </w:r>
      <w:r>
        <w:rPr>
          <w:rtl/>
          <w:lang w:bidi="ar-KW"/>
        </w:rPr>
        <w:t xml:space="preserve">، </w:t>
      </w:r>
      <w:r w:rsidR="009C32A0" w:rsidRPr="005675B2">
        <w:rPr>
          <w:rtl/>
          <w:lang w:bidi="ar-KW"/>
        </w:rPr>
        <w:t>وسيأتي معنا باب خاص في تأويلات السلف الصالح رضوان الله تعالى عليهم</w:t>
      </w:r>
      <w:r>
        <w:rPr>
          <w:rtl/>
          <w:lang w:bidi="ar-KW"/>
        </w:rPr>
        <w:t>،</w:t>
      </w:r>
      <w:r w:rsidR="009C32A0" w:rsidRPr="005675B2">
        <w:rPr>
          <w:rtl/>
          <w:lang w:bidi="ar-KW"/>
        </w:rPr>
        <w:t xml:space="preserve"> </w:t>
      </w:r>
    </w:p>
    <w:p w14:paraId="51D8E05C" w14:textId="77777777" w:rsidR="009C32A0" w:rsidRPr="005675B2" w:rsidRDefault="009C32A0" w:rsidP="000636C2">
      <w:pPr>
        <w:widowControl w:val="0"/>
        <w:spacing w:before="80" w:after="240"/>
        <w:jc w:val="center"/>
        <w:rPr>
          <w:b/>
          <w:bCs/>
          <w:rtl/>
          <w:lang w:bidi="ar-KW"/>
        </w:rPr>
      </w:pPr>
      <w:r w:rsidRPr="005675B2">
        <w:rPr>
          <w:bCs/>
          <w:rtl/>
          <w:lang w:bidi="ar-KW"/>
        </w:rPr>
        <w:t>* * * * *</w:t>
      </w:r>
    </w:p>
    <w:p w14:paraId="0824122D" w14:textId="20D721E9" w:rsidR="009C32A0" w:rsidRPr="005675B2" w:rsidRDefault="009C32A0" w:rsidP="000636C2">
      <w:pPr>
        <w:widowControl w:val="0"/>
        <w:spacing w:before="80" w:after="240"/>
        <w:rPr>
          <w:rtl/>
          <w:lang w:bidi="ar-KW"/>
        </w:rPr>
      </w:pPr>
      <w:r w:rsidRPr="005675B2">
        <w:rPr>
          <w:bCs/>
          <w:rtl/>
          <w:lang w:bidi="ar-KW"/>
        </w:rPr>
        <w:t>التأويل مذهب سلفى وعربى أصيل</w:t>
      </w:r>
      <w:r w:rsidR="000636C2">
        <w:rPr>
          <w:rFonts w:hint="cs"/>
          <w:bCs/>
          <w:rtl/>
          <w:lang w:bidi="ar-KW"/>
        </w:rPr>
        <w:t xml:space="preserve">: </w:t>
      </w:r>
      <w:r w:rsidRPr="005675B2">
        <w:rPr>
          <w:rtl/>
          <w:lang w:bidi="ar-KW"/>
        </w:rPr>
        <w:t>قد يظن البعض وذلك بسبب الرهج الذي يثار أمام البصائر والعقول في هذه القضية أن التأويل مذهب مبتدع ومنهج ضلال، لا سيما إذا مثل له بتأويلات المبتدعة من الفرق الباطنية وتعطيلات الجهمية وغيرها من الفرق التي اتخذت التأويل المتكلَّف مركباً وجسراً تعبر منه لهدم الدين ونقض الشريعة، والحق الذي لا يماري فيه منصف عاقل أن التأويل منهج سديد لابد منه لفهم الكتاب والسنة، ومذهب ثابت عن جماعات من السلف كما نقل ذلك علماء الأمة وأئمتها</w:t>
      </w:r>
      <w:r w:rsidR="000636C2">
        <w:rPr>
          <w:rtl/>
          <w:lang w:bidi="ar-KW"/>
        </w:rPr>
        <w:t>،</w:t>
      </w:r>
      <w:r w:rsidRPr="005675B2">
        <w:rPr>
          <w:rtl/>
          <w:lang w:bidi="ar-KW"/>
        </w:rPr>
        <w:t xml:space="preserve"> قال الإمام الزركشي - رحمه الله تعالى - </w:t>
      </w:r>
      <w:r w:rsidR="000636C2">
        <w:rPr>
          <w:rtl/>
          <w:lang w:bidi="ar-KW"/>
        </w:rPr>
        <w:t>(</w:t>
      </w:r>
      <w:r w:rsidRPr="005675B2">
        <w:rPr>
          <w:rtl/>
          <w:lang w:bidi="ar-KW"/>
        </w:rPr>
        <w:t>البرهان في علوم القرآن 2 / 207</w:t>
      </w:r>
      <w:r w:rsidR="000636C2">
        <w:rPr>
          <w:rtl/>
          <w:lang w:bidi="ar-KW"/>
        </w:rPr>
        <w:t>):</w:t>
      </w:r>
      <w:r w:rsidRPr="005675B2">
        <w:rPr>
          <w:rFonts w:hint="cs"/>
          <w:rtl/>
          <w:lang w:bidi="ar-KW"/>
        </w:rPr>
        <w:t xml:space="preserve"> </w:t>
      </w:r>
      <w:r w:rsidR="000636C2">
        <w:rPr>
          <w:rtl/>
          <w:lang w:bidi="ar-KW"/>
        </w:rPr>
        <w:t>(</w:t>
      </w:r>
      <w:r w:rsidRPr="005675B2">
        <w:rPr>
          <w:rtl/>
          <w:lang w:bidi="ar-KW"/>
        </w:rPr>
        <w:t>وقد اختلف الناس في الوارد منها - يعني المتشابهات - في الآيات والأحاديث على ثلاث فرق</w:t>
      </w:r>
      <w:r w:rsidR="000636C2">
        <w:rPr>
          <w:rtl/>
          <w:lang w:bidi="ar-KW"/>
        </w:rPr>
        <w:t>:</w:t>
      </w:r>
      <w:r w:rsidRPr="005675B2">
        <w:rPr>
          <w:rFonts w:hint="cs"/>
          <w:rtl/>
          <w:lang w:bidi="ar-KW"/>
        </w:rPr>
        <w:t xml:space="preserve"> </w:t>
      </w:r>
      <w:r w:rsidRPr="005675B2">
        <w:rPr>
          <w:bCs/>
          <w:rtl/>
          <w:lang w:bidi="ar-KW"/>
        </w:rPr>
        <w:t>أحدها</w:t>
      </w:r>
      <w:r w:rsidR="000636C2">
        <w:rPr>
          <w:bCs/>
          <w:rtl/>
          <w:lang w:bidi="ar-KW"/>
        </w:rPr>
        <w:t>:</w:t>
      </w:r>
      <w:r w:rsidRPr="005675B2">
        <w:rPr>
          <w:rtl/>
          <w:lang w:bidi="ar-KW"/>
        </w:rPr>
        <w:t xml:space="preserve"> أنه لا مدخل للتأويل فيها، بل تجرى على ظاهرها، ولا نؤول شيئاً منها، وهم المشبهة</w:t>
      </w:r>
      <w:r w:rsidR="000636C2">
        <w:rPr>
          <w:rtl/>
          <w:lang w:bidi="ar-KW"/>
        </w:rPr>
        <w:t xml:space="preserve">، </w:t>
      </w:r>
      <w:r w:rsidRPr="005675B2">
        <w:rPr>
          <w:bCs/>
          <w:rtl/>
          <w:lang w:bidi="ar-KW"/>
        </w:rPr>
        <w:t>الثانية</w:t>
      </w:r>
      <w:r w:rsidR="000636C2">
        <w:rPr>
          <w:bCs/>
          <w:rtl/>
          <w:lang w:bidi="ar-KW"/>
        </w:rPr>
        <w:t>:</w:t>
      </w:r>
      <w:r w:rsidRPr="005675B2">
        <w:rPr>
          <w:rtl/>
          <w:lang w:bidi="ar-KW"/>
        </w:rPr>
        <w:t xml:space="preserve"> أن لها تأويلاً ولكنا نمسك عنه مع تنزيه اعتقادنا عن الشبه، والتعطيل، ونقول لا يعلمه إلا الله وهو قول السلف</w:t>
      </w:r>
      <w:r w:rsidR="000636C2">
        <w:rPr>
          <w:rtl/>
          <w:lang w:bidi="ar-KW"/>
        </w:rPr>
        <w:t>،</w:t>
      </w:r>
      <w:r w:rsidRPr="005675B2">
        <w:rPr>
          <w:rtl/>
          <w:lang w:bidi="ar-KW"/>
        </w:rPr>
        <w:t xml:space="preserve"> </w:t>
      </w:r>
      <w:r w:rsidRPr="005675B2">
        <w:rPr>
          <w:bCs/>
          <w:rtl/>
          <w:lang w:bidi="ar-KW"/>
        </w:rPr>
        <w:t>والثالثة</w:t>
      </w:r>
      <w:r w:rsidR="000636C2">
        <w:rPr>
          <w:bCs/>
          <w:rtl/>
          <w:lang w:bidi="ar-KW"/>
        </w:rPr>
        <w:t>:</w:t>
      </w:r>
      <w:r w:rsidRPr="005675B2">
        <w:rPr>
          <w:rtl/>
          <w:lang w:bidi="ar-KW"/>
        </w:rPr>
        <w:t xml:space="preserve"> أنها مؤولة وأولوها على ما يليق به</w:t>
      </w:r>
      <w:r w:rsidR="000636C2">
        <w:rPr>
          <w:rtl/>
          <w:lang w:bidi="ar-KW"/>
        </w:rPr>
        <w:t>،</w:t>
      </w:r>
      <w:r w:rsidRPr="005675B2">
        <w:rPr>
          <w:rtl/>
          <w:lang w:bidi="ar-KW"/>
        </w:rPr>
        <w:t xml:space="preserve"> </w:t>
      </w:r>
      <w:r w:rsidRPr="005675B2">
        <w:rPr>
          <w:bCs/>
          <w:rtl/>
          <w:lang w:bidi="ar-KW"/>
        </w:rPr>
        <w:t>والأول باطل - يعني مذهب المشبهة - والأخيران منقولان عن الصحابة</w:t>
      </w:r>
      <w:r w:rsidR="000636C2">
        <w:rPr>
          <w:bCs/>
          <w:rtl/>
          <w:lang w:bidi="ar-KW"/>
        </w:rPr>
        <w:t>)</w:t>
      </w:r>
      <w:r w:rsidRPr="005675B2">
        <w:rPr>
          <w:bCs/>
          <w:rtl/>
          <w:lang w:bidi="ar-KW"/>
        </w:rPr>
        <w:t xml:space="preserve"> اهـ</w:t>
      </w:r>
      <w:r w:rsidR="000636C2">
        <w:rPr>
          <w:bCs/>
          <w:rtl/>
          <w:lang w:bidi="ar-KW"/>
        </w:rPr>
        <w:t>،</w:t>
      </w:r>
      <w:r w:rsidRPr="005675B2">
        <w:rPr>
          <w:bCs/>
          <w:rtl/>
          <w:lang w:bidi="ar-KW"/>
        </w:rPr>
        <w:t xml:space="preserve"> </w:t>
      </w:r>
      <w:r w:rsidRPr="005675B2">
        <w:rPr>
          <w:rtl/>
          <w:lang w:bidi="ar-KW"/>
        </w:rPr>
        <w:t>فأثبت رحمه الله تعالى مذهب التأويل للصحابة</w:t>
      </w:r>
      <w:r w:rsidR="000636C2">
        <w:rPr>
          <w:rtl/>
          <w:lang w:bidi="ar-KW"/>
        </w:rPr>
        <w:t xml:space="preserve">، </w:t>
      </w:r>
      <w:r w:rsidRPr="005675B2">
        <w:rPr>
          <w:rtl/>
          <w:lang w:bidi="ar-KW"/>
        </w:rPr>
        <w:t xml:space="preserve">وقال الإمام النووي - رحمه الله - في سياق شرحه لحديث من أحاديث الصفات </w:t>
      </w:r>
      <w:r w:rsidR="000636C2">
        <w:rPr>
          <w:rtl/>
          <w:lang w:bidi="ar-KW"/>
        </w:rPr>
        <w:t>(</w:t>
      </w:r>
      <w:r w:rsidRPr="005675B2">
        <w:rPr>
          <w:rtl/>
          <w:lang w:bidi="ar-KW"/>
        </w:rPr>
        <w:t>شرح مسلم 6 / 36</w:t>
      </w:r>
      <w:r w:rsidR="000636C2">
        <w:rPr>
          <w:rtl/>
          <w:lang w:bidi="ar-KW"/>
        </w:rPr>
        <w:t>):</w:t>
      </w:r>
      <w:r w:rsidR="000636C2">
        <w:rPr>
          <w:rFonts w:hint="cs"/>
          <w:rtl/>
          <w:lang w:bidi="ar-KW"/>
        </w:rPr>
        <w:t xml:space="preserve"> </w:t>
      </w:r>
      <w:r w:rsidR="000636C2">
        <w:rPr>
          <w:rtl/>
          <w:lang w:bidi="ar-KW"/>
        </w:rPr>
        <w:t>(</w:t>
      </w:r>
      <w:r w:rsidRPr="005675B2">
        <w:rPr>
          <w:rtl/>
          <w:lang w:bidi="ar-KW"/>
        </w:rPr>
        <w:t xml:space="preserve">هذا حديث من أحاديث الصفات وفيه مذهبان مشهوران للعلماء .. أحدهما وهو مذهب السلف .. </w:t>
      </w:r>
      <w:r w:rsidRPr="005675B2">
        <w:rPr>
          <w:bCs/>
          <w:rtl/>
          <w:lang w:bidi="ar-KW"/>
        </w:rPr>
        <w:t>والثاني مذهب أكثر المتكلمين وجماعات من السلف وهو محكي عن مالك والأوزاعي أنها تتأول على ما يليق بها بحسب مواطنها</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Pr="005675B2">
        <w:rPr>
          <w:bCs/>
          <w:rtl/>
          <w:lang w:bidi="ar-KW"/>
        </w:rPr>
        <w:t xml:space="preserve"> </w:t>
      </w:r>
      <w:r w:rsidRPr="005675B2">
        <w:rPr>
          <w:rtl/>
          <w:lang w:bidi="ar-KW"/>
        </w:rPr>
        <w:t>ومالك والأوزاعي من كبار علماء السلف الصالح رضوان الله تعالى عليهم</w:t>
      </w:r>
      <w:r w:rsidR="000636C2">
        <w:rPr>
          <w:rtl/>
          <w:lang w:bidi="ar-KW"/>
        </w:rPr>
        <w:t>،</w:t>
      </w:r>
      <w:r w:rsidRPr="005675B2">
        <w:rPr>
          <w:rtl/>
          <w:lang w:bidi="ar-KW"/>
        </w:rPr>
        <w:t xml:space="preserve"> وقد مر معنا تأويل مالك لنزول الرب وتعليق ابن عبد البر على ذلك</w:t>
      </w:r>
      <w:r w:rsidR="000636C2">
        <w:rPr>
          <w:rtl/>
          <w:lang w:bidi="ar-KW"/>
        </w:rPr>
        <w:t xml:space="preserve">، </w:t>
      </w:r>
      <w:r w:rsidRPr="005675B2">
        <w:rPr>
          <w:rtl/>
          <w:lang w:bidi="ar-KW"/>
        </w:rPr>
        <w:t>وقال الإمام أبو محمد الجويني</w:t>
      </w:r>
      <w:r w:rsidRPr="005675B2">
        <w:rPr>
          <w:rFonts w:hint="cs"/>
          <w:rtl/>
          <w:lang w:bidi="ar-KW"/>
        </w:rPr>
        <w:t xml:space="preserve"> </w:t>
      </w:r>
      <w:r w:rsidRPr="005675B2">
        <w:rPr>
          <w:rtl/>
          <w:lang w:bidi="ar-KW"/>
        </w:rPr>
        <w:t xml:space="preserve">والد إمام الحرمين رحمهما الله تعالى </w:t>
      </w:r>
      <w:r w:rsidR="000636C2">
        <w:rPr>
          <w:rFonts w:hint="cs"/>
          <w:sz w:val="24"/>
          <w:szCs w:val="24"/>
          <w:rtl/>
          <w:lang w:bidi="ar-KW"/>
        </w:rPr>
        <w:t>[</w:t>
      </w:r>
      <w:r w:rsidRPr="005675B2">
        <w:rPr>
          <w:sz w:val="24"/>
          <w:szCs w:val="24"/>
          <w:rtl/>
          <w:lang w:bidi="ar-KW"/>
        </w:rPr>
        <w:t>هو عبدالله بن يوسف والد إمام الحرمين، أوحد زمانه علماً وديناً وزهداً قال فيه شيخ الإسلام أبو عثمان الصابوني رحمه الله تعالى: لو كان الشيخ أبو محمد في بني إسرائيل لنُقل إلينا شمائله ولافتخروا به. اهـ توفي رحمه الله تعالى سنة 438هـ. له من المصنفات " الفروق " و" السلسلة " و" التذكرة " و" التبصرة" وغيرها، أما رسالة الاستواء التي يحاول البعض ترويجها وإلصاقها به فمنسوبة له زوراً، إذ إن آخر كتاب صنَّفه هو الرسالة التي سماها " عقيدة أصحاب الإمام المطلبي الشافعي رحمه الله وكافة أهل السنة والجماعة " وأثنى فيها على الإمام أبي الحسن الأشعري ثناء طيباً، كما في تبيين كذب المفتري ص/115، وقبله ص/ 113 إعطاؤه خطَّه راضياً مؤيداً ضمن خطوط جمع من أكابر الأئمة مثل الإمام شيخ الإسلام أبي عثمان الصابوني وابنه أبي نصر وغيرهم على مكتوب بخط الإمام أبي القاسم القشيري وفيه (اتفق أصحاب الحديث أن أبا الحسن علي بن إسماعيل الأشعري رضي الله عنه كان إماماً من أئمة أصحاب الحديث ومذهبه مذهب أصحاب الحديث، تكلَّم في أصول الديانات على طريقة أهل السنة... ومن طعن فيه أو قدح أو لعنه أو سبَّه فقد بسط لسان السوء في جميع أهل السنة) وذلك سنة 436هـ، وتعرَّف على الخط المذكور الحافظ ابن عساكر. وانظره أيضاً في الطبقات الكبرى للتاج السبكي 3/374</w:t>
      </w:r>
      <w:r w:rsidR="000636C2">
        <w:rPr>
          <w:sz w:val="24"/>
          <w:szCs w:val="24"/>
          <w:rtl/>
          <w:lang w:bidi="ar-KW"/>
        </w:rPr>
        <w:t>،</w:t>
      </w:r>
      <w:r w:rsidRPr="005675B2">
        <w:rPr>
          <w:sz w:val="24"/>
          <w:szCs w:val="24"/>
          <w:rtl/>
          <w:lang w:bidi="ar-KW"/>
        </w:rPr>
        <w:t xml:space="preserve"> وعدَّه الحافظ ابن عساكر ضمن الطبقة الثالثة من أتباع الإمام الأشعري (انظر التبيين ص/257) وكذلك فعل التاج السبكي في الطبقات الكبرى 3/370، كما أن هذه الرسالة المزعومة لم يذكرها أحد ممن ترجم له على كثرتهم. ولو افترضنا ثبوت نسبتها له رحمه الله لردّ عليه العلماء من معاصريه ومن بعدهم، فقد ردّوا عليه بأقلّ من ذلك، كما فعل الحافظ البيهقي في الرسالة التي أرسلها إليه إثر شروعه في الكتاب الذي سماه المحيط، ونصّ الرسالة موجود في طبقات التاج السبكي 5/77</w:t>
      </w:r>
      <w:r w:rsidR="000636C2">
        <w:rPr>
          <w:sz w:val="24"/>
          <w:szCs w:val="24"/>
          <w:rtl/>
          <w:lang w:bidi="ar-KW"/>
        </w:rPr>
        <w:t>،</w:t>
      </w:r>
      <w:r w:rsidRPr="005675B2">
        <w:rPr>
          <w:sz w:val="24"/>
          <w:szCs w:val="24"/>
          <w:rtl/>
          <w:lang w:bidi="ar-KW"/>
        </w:rPr>
        <w:t xml:space="preserve"> </w:t>
      </w:r>
      <w:r w:rsidRPr="005675B2">
        <w:rPr>
          <w:sz w:val="24"/>
          <w:szCs w:val="24"/>
          <w:rtl/>
        </w:rPr>
        <w:t>وهذا النص الذي نقله عنه الزبيدي هو من رسالة (كفاية المعتقد) لأبي محمد رحمه الله تعالى</w:t>
      </w:r>
      <w:r w:rsidR="000636C2">
        <w:rPr>
          <w:sz w:val="24"/>
          <w:szCs w:val="24"/>
          <w:rtl/>
          <w:lang w:bidi="ar-KW"/>
        </w:rPr>
        <w:t>]</w:t>
      </w:r>
      <w:r w:rsidR="000636C2">
        <w:rPr>
          <w:rFonts w:hint="cs"/>
          <w:rtl/>
          <w:lang w:bidi="ar-KW"/>
        </w:rPr>
        <w:t xml:space="preserve"> </w:t>
      </w:r>
      <w:r w:rsidR="000636C2">
        <w:rPr>
          <w:rtl/>
          <w:lang w:bidi="ar-KW"/>
        </w:rPr>
        <w:t>(</w:t>
      </w:r>
      <w:r w:rsidRPr="005675B2">
        <w:rPr>
          <w:rtl/>
          <w:lang w:bidi="ar-KW"/>
        </w:rPr>
        <w:t>إتحاف السادة المتقين 2 / 110</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أما ما ورد من ظاهر الكتاب والسنة مما يوهم بظاهره تشبيهاً </w:t>
      </w:r>
      <w:r w:rsidRPr="005675B2">
        <w:rPr>
          <w:bCs/>
          <w:rtl/>
          <w:lang w:bidi="ar-KW"/>
        </w:rPr>
        <w:t>فللسلف فيه طريقان</w:t>
      </w:r>
      <w:r w:rsidRPr="005675B2">
        <w:rPr>
          <w:rtl/>
          <w:lang w:bidi="ar-KW"/>
        </w:rPr>
        <w:t>، الإعراض عن الخـوض فيها وتفويض علمها إلى الله تعالى .. وإليها ذهب كثير من السلف .. والطريقة الثانية</w:t>
      </w:r>
      <w:r w:rsidR="000636C2">
        <w:rPr>
          <w:rtl/>
          <w:lang w:bidi="ar-KW"/>
        </w:rPr>
        <w:t>:</w:t>
      </w:r>
      <w:r w:rsidRPr="005675B2">
        <w:rPr>
          <w:rtl/>
          <w:lang w:bidi="ar-KW"/>
        </w:rPr>
        <w:t xml:space="preserve"> الكلام فيها وفي تفسيرها بأن يردها عن صفات الذات إلى صفات الفعل، فيحمل النزول على قرب الرحمة واليد على النعمة والاستواء على القهر والقدرة، وقد قال</w:t>
      </w:r>
      <w:r w:rsidR="000636C2">
        <w:rPr>
          <w:rtl/>
          <w:lang w:bidi="ar-KW"/>
        </w:rPr>
        <w:t xml:space="preserve"> </w:t>
      </w:r>
      <w:r w:rsidRPr="005675B2">
        <w:rPr>
          <w:rtl/>
          <w:lang w:bidi="ar-KW"/>
        </w:rPr>
        <w:t xml:space="preserve">" كلتا يديه يمين " ومن تأمل هذا اللفظ انتفى عن قلبه ريبة التشبيه، وقد قال تعالى </w:t>
      </w:r>
      <w:r w:rsidR="000636C2">
        <w:rPr>
          <w:bCs/>
          <w:rtl/>
          <w:lang w:bidi="ar-KW"/>
        </w:rPr>
        <w:t>(</w:t>
      </w:r>
      <w:r w:rsidRPr="005675B2">
        <w:rPr>
          <w:bCs/>
          <w:rtl/>
          <w:lang w:bidi="ar-KW"/>
        </w:rPr>
        <w:t>الرحمن على العرش استوى</w:t>
      </w:r>
      <w:r w:rsidR="000636C2">
        <w:rPr>
          <w:bCs/>
          <w:rtl/>
          <w:lang w:bidi="ar-KW"/>
        </w:rPr>
        <w:t>)</w:t>
      </w:r>
      <w:r w:rsidRPr="005675B2">
        <w:rPr>
          <w:bCs/>
          <w:rtl/>
          <w:lang w:bidi="ar-KW"/>
        </w:rPr>
        <w:t xml:space="preserve">وقال </w:t>
      </w:r>
      <w:r w:rsidR="000636C2">
        <w:rPr>
          <w:bCs/>
          <w:rtl/>
          <w:lang w:bidi="ar-KW"/>
        </w:rPr>
        <w:t>(</w:t>
      </w:r>
      <w:r w:rsidRPr="005675B2">
        <w:rPr>
          <w:bCs/>
          <w:rtl/>
          <w:lang w:bidi="ar-KW"/>
        </w:rPr>
        <w:t>ما يكون من نجوى ثلاثة إلا هو رابعهم ولا خمسة إلا هو سادسهم</w:t>
      </w:r>
      <w:r w:rsidR="000636C2">
        <w:rPr>
          <w:bCs/>
          <w:rtl/>
          <w:lang w:bidi="ar-KW"/>
        </w:rPr>
        <w:t>)</w:t>
      </w:r>
      <w:r w:rsidRPr="005675B2">
        <w:rPr>
          <w:bCs/>
          <w:rtl/>
          <w:lang w:bidi="ar-KW"/>
        </w:rPr>
        <w:t xml:space="preserve"> </w:t>
      </w:r>
      <w:r w:rsidRPr="005675B2">
        <w:rPr>
          <w:rtl/>
          <w:lang w:bidi="ar-KW"/>
        </w:rPr>
        <w:t>فكيف يكون على العرش ساعة كونه سادسهم إلا أن يُردَّ ذلك إلى معنى الإدراك والإحاطة لا إلى معنى المكان والاستقرار والجهة والتحديد</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العلامة الشوكاني - رحمه الله تعالى - </w:t>
      </w:r>
      <w:r w:rsidR="000636C2">
        <w:rPr>
          <w:rtl/>
          <w:lang w:bidi="ar-KW"/>
        </w:rPr>
        <w:t>(</w:t>
      </w:r>
      <w:r w:rsidRPr="005675B2">
        <w:rPr>
          <w:rtl/>
          <w:lang w:bidi="ar-KW"/>
        </w:rPr>
        <w:t>إرشاد الفحول 176</w:t>
      </w:r>
      <w:r w:rsidR="000636C2">
        <w:rPr>
          <w:rtl/>
          <w:lang w:bidi="ar-KW"/>
        </w:rPr>
        <w:t>):</w:t>
      </w:r>
      <w:r w:rsidR="000636C2">
        <w:rPr>
          <w:rFonts w:hint="cs"/>
          <w:rtl/>
          <w:lang w:bidi="ar-KW"/>
        </w:rPr>
        <w:t xml:space="preserve"> </w:t>
      </w:r>
      <w:r w:rsidR="000636C2">
        <w:rPr>
          <w:rtl/>
          <w:lang w:bidi="ar-KW"/>
        </w:rPr>
        <w:t>(</w:t>
      </w:r>
      <w:r w:rsidRPr="005675B2">
        <w:rPr>
          <w:rtl/>
          <w:lang w:bidi="ar-KW"/>
        </w:rPr>
        <w:t>الفصل الثاني</w:t>
      </w:r>
      <w:r w:rsidR="000636C2">
        <w:rPr>
          <w:rtl/>
          <w:lang w:bidi="ar-KW"/>
        </w:rPr>
        <w:t>:</w:t>
      </w:r>
      <w:r w:rsidRPr="005675B2">
        <w:rPr>
          <w:rtl/>
          <w:lang w:bidi="ar-KW"/>
        </w:rPr>
        <w:t xml:space="preserve"> فيما يدخله التأويل، وهو قسمان، أحدهما، أغلب الفروع، ولا خلاف في ذلك</w:t>
      </w:r>
      <w:r w:rsidR="000636C2">
        <w:rPr>
          <w:rtl/>
          <w:lang w:bidi="ar-KW"/>
        </w:rPr>
        <w:t>،</w:t>
      </w:r>
      <w:r w:rsidRPr="005675B2">
        <w:rPr>
          <w:rtl/>
          <w:lang w:bidi="ar-KW"/>
        </w:rPr>
        <w:t xml:space="preserve"> والثاني، الأصول كالعقائد وأصول الديانات وصفات الباري عز وجل، وقد اختلفوا في هذا القسم على ثلاثة مذاهب</w:t>
      </w:r>
      <w:r w:rsidR="000636C2">
        <w:rPr>
          <w:rtl/>
          <w:lang w:bidi="ar-KW"/>
        </w:rPr>
        <w:t>:</w:t>
      </w:r>
      <w:r w:rsidRPr="005675B2">
        <w:rPr>
          <w:rFonts w:hint="cs"/>
          <w:rtl/>
          <w:lang w:bidi="ar-KW"/>
        </w:rPr>
        <w:t xml:space="preserve"> </w:t>
      </w:r>
      <w:r w:rsidRPr="005675B2">
        <w:rPr>
          <w:bCs/>
          <w:rtl/>
          <w:lang w:bidi="ar-KW"/>
        </w:rPr>
        <w:t>الأول</w:t>
      </w:r>
      <w:r w:rsidR="000636C2">
        <w:rPr>
          <w:rtl/>
          <w:lang w:bidi="ar-KW"/>
        </w:rPr>
        <w:t>:</w:t>
      </w:r>
      <w:r w:rsidRPr="005675B2">
        <w:rPr>
          <w:rtl/>
          <w:lang w:bidi="ar-KW"/>
        </w:rPr>
        <w:t xml:space="preserve"> أنه لا مدخل للتأويل فيها، بل تجرى على ظاهرها ولا يؤوَّل شيء منها، وهذا قول المشبهة</w:t>
      </w:r>
      <w:r w:rsidR="000636C2">
        <w:rPr>
          <w:rtl/>
          <w:lang w:bidi="ar-KW"/>
        </w:rPr>
        <w:t xml:space="preserve">، </w:t>
      </w:r>
      <w:r w:rsidRPr="005675B2">
        <w:rPr>
          <w:bCs/>
          <w:rtl/>
          <w:lang w:bidi="ar-KW"/>
        </w:rPr>
        <w:t>والثاني</w:t>
      </w:r>
      <w:r w:rsidR="000636C2">
        <w:rPr>
          <w:rtl/>
          <w:lang w:bidi="ar-KW"/>
        </w:rPr>
        <w:t>:</w:t>
      </w:r>
      <w:r w:rsidRPr="005675B2">
        <w:rPr>
          <w:rtl/>
          <w:lang w:bidi="ar-KW"/>
        </w:rPr>
        <w:t xml:space="preserve"> أن لها تأويلاً ولكنا نمسك عنه، مع تنزيه اعتقادنا عن التشبيه والتعطيل لقوله تعالى </w:t>
      </w:r>
      <w:r w:rsidR="000636C2">
        <w:rPr>
          <w:bCs/>
          <w:rtl/>
          <w:lang w:bidi="ar-KW"/>
        </w:rPr>
        <w:t>(</w:t>
      </w:r>
      <w:r w:rsidRPr="005675B2">
        <w:rPr>
          <w:bCs/>
          <w:rtl/>
          <w:lang w:bidi="ar-KW"/>
        </w:rPr>
        <w:t>وما يعلم تأويله إلا الله</w:t>
      </w:r>
      <w:r w:rsidR="000636C2">
        <w:rPr>
          <w:bCs/>
          <w:rtl/>
          <w:lang w:bidi="ar-KW"/>
        </w:rPr>
        <w:t>)</w:t>
      </w:r>
      <w:r w:rsidRPr="005675B2">
        <w:rPr>
          <w:rtl/>
          <w:lang w:bidi="ar-KW"/>
        </w:rPr>
        <w:t>، قال ابن برهان وهذا قول السلف ..</w:t>
      </w:r>
      <w:r w:rsidR="000636C2">
        <w:rPr>
          <w:rtl/>
          <w:lang w:bidi="ar-KW"/>
        </w:rPr>
        <w:t xml:space="preserve"> </w:t>
      </w:r>
      <w:r w:rsidRPr="005675B2">
        <w:rPr>
          <w:bCs/>
          <w:rtl/>
          <w:lang w:bidi="ar-KW"/>
        </w:rPr>
        <w:t>والمذهب الثالث</w:t>
      </w:r>
      <w:r w:rsidR="000636C2">
        <w:rPr>
          <w:bCs/>
          <w:rtl/>
          <w:lang w:bidi="ar-KW"/>
        </w:rPr>
        <w:t>:</w:t>
      </w:r>
      <w:r w:rsidRPr="005675B2">
        <w:rPr>
          <w:rtl/>
          <w:lang w:bidi="ar-KW"/>
        </w:rPr>
        <w:t xml:space="preserve"> أنها مؤولة</w:t>
      </w:r>
      <w:r w:rsidR="000636C2">
        <w:rPr>
          <w:rtl/>
          <w:lang w:bidi="ar-KW"/>
        </w:rPr>
        <w:t>،</w:t>
      </w:r>
      <w:r w:rsidRPr="005675B2">
        <w:rPr>
          <w:rtl/>
          <w:lang w:bidi="ar-KW"/>
        </w:rPr>
        <w:t xml:space="preserve"> قال ابن برهان، والأول من هذه المذاهب باطل،</w:t>
      </w:r>
      <w:r w:rsidRPr="005675B2">
        <w:rPr>
          <w:bCs/>
          <w:rtl/>
          <w:lang w:bidi="ar-KW"/>
        </w:rPr>
        <w:t xml:space="preserve"> والآخران منقـولان عن الصحابة، ونقل هذا المذهب الثالث عن علي وابن مسعود وابن عباس وأم سلمة</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Pr="005675B2">
        <w:rPr>
          <w:rtl/>
          <w:lang w:bidi="ar-KW"/>
        </w:rPr>
        <w:t xml:space="preserve"> وهذه أقوال صريحة للعلماء</w:t>
      </w:r>
      <w:r w:rsidR="000636C2">
        <w:rPr>
          <w:rtl/>
          <w:lang w:bidi="ar-KW"/>
        </w:rPr>
        <w:t>،</w:t>
      </w:r>
      <w:r w:rsidRPr="005675B2">
        <w:rPr>
          <w:rtl/>
          <w:lang w:bidi="ar-KW"/>
        </w:rPr>
        <w:t xml:space="preserve"> بإثبات مذهب التأويل للسلف الصالح</w:t>
      </w:r>
      <w:r w:rsidR="000636C2">
        <w:rPr>
          <w:rtl/>
          <w:lang w:bidi="ar-KW"/>
        </w:rPr>
        <w:t>،</w:t>
      </w:r>
      <w:r w:rsidRPr="005675B2">
        <w:rPr>
          <w:rtl/>
          <w:lang w:bidi="ar-KW"/>
        </w:rPr>
        <w:t xml:space="preserve"> ونحن نقول</w:t>
      </w:r>
      <w:r w:rsidR="000636C2">
        <w:rPr>
          <w:rtl/>
          <w:lang w:bidi="ar-KW"/>
        </w:rPr>
        <w:t>:</w:t>
      </w:r>
      <w:r w:rsidRPr="005675B2">
        <w:rPr>
          <w:rtl/>
          <w:lang w:bidi="ar-KW"/>
        </w:rPr>
        <w:t xml:space="preserve"> لنفترض أنه لم ينقل عن أحد من السلف الصالح التصريح بتأويل شيء من ذلك، أي حرج على من سلك سنن العرب في فهم الكلام العربي، وحمل هذه النصوص على ما تجيزه لغتهم، والعرب شائع في لسانهم تسمية الشيء باسم غيره إذا كان مجاوراً له أو كان منه بسبب، كتسمية المطر بالنوء، والقوة باليد، وشائع أيضاً عندهم نسبة الفعل إلى غير فاعله، إذا كان برضاه أو بأمره ونحو ذلك، كأن يقال</w:t>
      </w:r>
      <w:r w:rsidR="000636C2">
        <w:rPr>
          <w:rtl/>
          <w:lang w:bidi="ar-KW"/>
        </w:rPr>
        <w:t>:</w:t>
      </w:r>
      <w:r w:rsidRPr="005675B2">
        <w:rPr>
          <w:rtl/>
          <w:lang w:bidi="ar-KW"/>
        </w:rPr>
        <w:t xml:space="preserve"> فعل الأمير كذا، وضرب الأمير فلاناً، والفاعل والضارب حقيقة عامله، وإنما نسب الفعل إليه لأنه أمر به أو رضي به، وعلى الجملة فإن هذا ونظائره كثير دارج على ألسنتهم، ولا سبيل إلى إنكاره وجحده، والقرآن وأحاديث الرسول</w:t>
      </w:r>
      <w:r w:rsidR="000636C2">
        <w:rPr>
          <w:rtl/>
          <w:lang w:bidi="ar-KW"/>
        </w:rPr>
        <w:t xml:space="preserve"> </w:t>
      </w:r>
      <w:r w:rsidRPr="005675B2">
        <w:rPr>
          <w:rtl/>
          <w:lang w:bidi="ar-KW"/>
        </w:rPr>
        <w:t>جاءا بلسان العرب ولغتهم</w:t>
      </w:r>
      <w:r w:rsidR="000636C2">
        <w:rPr>
          <w:rtl/>
          <w:lang w:bidi="ar-KW"/>
        </w:rPr>
        <w:t>،</w:t>
      </w:r>
      <w:r w:rsidRPr="005675B2">
        <w:rPr>
          <w:rtl/>
          <w:lang w:bidi="ar-KW"/>
        </w:rPr>
        <w:t xml:space="preserve"> على أن الكلام إذا خلا من المجازات والاستعارات سمج وأصبح فجاً ثقيلاً لا تقبله الأسماع ولا تهضمه</w:t>
      </w:r>
      <w:r w:rsidR="000636C2">
        <w:rPr>
          <w:rtl/>
          <w:lang w:bidi="ar-KW"/>
        </w:rPr>
        <w:t xml:space="preserve">، </w:t>
      </w:r>
      <w:r w:rsidRPr="005675B2">
        <w:rPr>
          <w:rtl/>
          <w:lang w:bidi="ar-KW"/>
        </w:rPr>
        <w:t xml:space="preserve">ونقل الحافظ بن حجر عن الإمام المازري </w:t>
      </w:r>
      <w:r w:rsidR="000636C2">
        <w:rPr>
          <w:rtl/>
          <w:lang w:bidi="ar-KW"/>
        </w:rPr>
        <w:t>(</w:t>
      </w:r>
      <w:r w:rsidRPr="005675B2">
        <w:rPr>
          <w:rtl/>
          <w:lang w:bidi="ar-KW"/>
        </w:rPr>
        <w:t>الفتح 13 / 144</w:t>
      </w:r>
      <w:r w:rsidR="000636C2">
        <w:rPr>
          <w:rtl/>
          <w:lang w:bidi="ar-KW"/>
        </w:rPr>
        <w:t>)</w:t>
      </w:r>
      <w:r w:rsidRPr="005675B2">
        <w:rPr>
          <w:rtl/>
          <w:lang w:bidi="ar-KW"/>
        </w:rPr>
        <w:t xml:space="preserve"> أثناء شرحه لحديث " إنكم سترون ربكم " وفيه قوله " وما بين القوم وبين أن ينظروا إلى ربهم إلا رداء الكبرياء على وجهه "</w:t>
      </w:r>
      <w:r w:rsidR="000636C2">
        <w:rPr>
          <w:rtl/>
          <w:lang w:bidi="ar-KW"/>
        </w:rPr>
        <w:t>،</w:t>
      </w:r>
      <w:r w:rsidRPr="005675B2">
        <w:rPr>
          <w:rtl/>
          <w:lang w:bidi="ar-KW"/>
        </w:rPr>
        <w:t xml:space="preserve"> قال الحافظ</w:t>
      </w:r>
      <w:r w:rsidR="000636C2">
        <w:rPr>
          <w:rtl/>
          <w:lang w:bidi="ar-KW"/>
        </w:rPr>
        <w:t>:</w:t>
      </w:r>
      <w:r w:rsidRPr="005675B2">
        <w:rPr>
          <w:rtl/>
          <w:lang w:bidi="ar-KW"/>
        </w:rPr>
        <w:t xml:space="preserve"> </w:t>
      </w:r>
      <w:r w:rsidR="000636C2">
        <w:rPr>
          <w:rtl/>
          <w:lang w:bidi="ar-KW"/>
        </w:rPr>
        <w:t>(</w:t>
      </w:r>
      <w:r w:rsidRPr="005675B2">
        <w:rPr>
          <w:rtl/>
          <w:lang w:bidi="ar-KW"/>
        </w:rPr>
        <w:t>قـال المازري كان النبي</w:t>
      </w:r>
      <w:r w:rsidR="000636C2">
        <w:rPr>
          <w:rtl/>
          <w:lang w:bidi="ar-KW"/>
        </w:rPr>
        <w:t xml:space="preserve"> </w:t>
      </w:r>
      <w:r w:rsidRPr="005675B2">
        <w:rPr>
          <w:rtl/>
          <w:lang w:bidi="ar-KW"/>
        </w:rPr>
        <w:t>يخاطب العرب بما تفهم، ويخرج لهم الأشياء المعنوية إلى الحس ليقرب تناولهم لها، فعبر عن زوال المـانع ورفعه عن الأبصـار بذلك</w:t>
      </w:r>
      <w:r w:rsidR="000636C2">
        <w:rPr>
          <w:rtl/>
          <w:lang w:bidi="ar-KW"/>
        </w:rPr>
        <w:t>)</w:t>
      </w:r>
      <w:r w:rsidRPr="005675B2">
        <w:rPr>
          <w:rtl/>
          <w:lang w:bidi="ar-KW"/>
        </w:rPr>
        <w:t xml:space="preserve"> اهـ</w:t>
      </w:r>
      <w:r w:rsidR="000636C2">
        <w:rPr>
          <w:rtl/>
          <w:lang w:bidi="ar-KW"/>
        </w:rPr>
        <w:t>،</w:t>
      </w:r>
      <w:r w:rsidRPr="005675B2">
        <w:rPr>
          <w:rtl/>
          <w:lang w:bidi="ar-KW"/>
        </w:rPr>
        <w:t xml:space="preserve"> ثم قال الحافظ ابن حجر </w:t>
      </w:r>
      <w:r w:rsidR="000636C2">
        <w:rPr>
          <w:rtl/>
          <w:lang w:bidi="ar-KW"/>
        </w:rPr>
        <w:t>(</w:t>
      </w:r>
      <w:r w:rsidRPr="005675B2">
        <w:rPr>
          <w:rtl/>
          <w:lang w:bidi="ar-KW"/>
        </w:rPr>
        <w:t>المصدر السابق</w:t>
      </w:r>
      <w:r w:rsidR="000636C2">
        <w:rPr>
          <w:rtl/>
          <w:lang w:bidi="ar-KW"/>
        </w:rPr>
        <w:t>):</w:t>
      </w:r>
      <w:r w:rsidRPr="005675B2">
        <w:rPr>
          <w:rFonts w:hint="cs"/>
          <w:rtl/>
          <w:lang w:bidi="ar-KW"/>
        </w:rPr>
        <w:t xml:space="preserve"> </w:t>
      </w:r>
      <w:r w:rsidR="000636C2">
        <w:rPr>
          <w:rtl/>
          <w:lang w:bidi="ar-KW"/>
        </w:rPr>
        <w:t>(</w:t>
      </w:r>
      <w:r w:rsidRPr="005675B2">
        <w:rPr>
          <w:rtl/>
          <w:lang w:bidi="ar-KW"/>
        </w:rPr>
        <w:t>قال عياض</w:t>
      </w:r>
      <w:r w:rsidR="000636C2">
        <w:rPr>
          <w:rtl/>
          <w:lang w:bidi="ar-KW"/>
        </w:rPr>
        <w:t>:</w:t>
      </w:r>
      <w:r w:rsidRPr="005675B2">
        <w:rPr>
          <w:rtl/>
          <w:lang w:bidi="ar-KW"/>
        </w:rPr>
        <w:t xml:space="preserve"> كانت العرب تستعمل الاستعارة كثيراً، وهو أرفع أدوات بديع فصاحتها وإيجازها، ومنه قوله تعالى</w:t>
      </w:r>
      <w:r w:rsidR="000636C2">
        <w:rPr>
          <w:rtl/>
          <w:lang w:bidi="ar-KW"/>
        </w:rPr>
        <w:t>:</w:t>
      </w:r>
      <w:r w:rsidRPr="005675B2">
        <w:rPr>
          <w:rtl/>
          <w:lang w:bidi="ar-KW"/>
        </w:rPr>
        <w:t xml:space="preserve"> </w:t>
      </w:r>
      <w:r w:rsidR="000636C2">
        <w:rPr>
          <w:bCs/>
          <w:rtl/>
          <w:lang w:bidi="ar-KW"/>
        </w:rPr>
        <w:t>(</w:t>
      </w:r>
      <w:r w:rsidRPr="005675B2">
        <w:rPr>
          <w:bCs/>
          <w:rtl/>
          <w:lang w:bidi="ar-KW"/>
        </w:rPr>
        <w:t>جناح الذل</w:t>
      </w:r>
      <w:r w:rsidR="000636C2">
        <w:rPr>
          <w:bCs/>
          <w:rtl/>
          <w:lang w:bidi="ar-KW"/>
        </w:rPr>
        <w:t>)</w:t>
      </w:r>
      <w:r w:rsidRPr="005675B2">
        <w:rPr>
          <w:bCs/>
          <w:rtl/>
          <w:lang w:bidi="ar-KW"/>
        </w:rPr>
        <w:t xml:space="preserve"> </w:t>
      </w:r>
      <w:r w:rsidRPr="005675B2">
        <w:rPr>
          <w:rtl/>
          <w:lang w:bidi="ar-KW"/>
        </w:rPr>
        <w:t>فمخاطبة النبي</w:t>
      </w:r>
      <w:r w:rsidR="000636C2">
        <w:rPr>
          <w:rtl/>
          <w:lang w:bidi="ar-KW"/>
        </w:rPr>
        <w:t xml:space="preserve"> </w:t>
      </w:r>
      <w:r w:rsidRPr="005675B2">
        <w:rPr>
          <w:rtl/>
          <w:lang w:bidi="ar-KW"/>
        </w:rPr>
        <w:t>لهم ب - " رداء الكبرياء على وجهه " ونحو ذلك من هذا المعنى، ومن لم يتضح له، وعلم أن الله منزه عن الذي يقتضيه ظاهرها إما أن يكذب نقلتها، وإما أن يؤولها، كأن يقول</w:t>
      </w:r>
      <w:r w:rsidR="000636C2">
        <w:rPr>
          <w:rtl/>
          <w:lang w:bidi="ar-KW"/>
        </w:rPr>
        <w:t>:</w:t>
      </w:r>
      <w:r w:rsidRPr="005675B2">
        <w:rPr>
          <w:rtl/>
          <w:lang w:bidi="ar-KW"/>
        </w:rPr>
        <w:t xml:space="preserve"> استعار لعظيم سلطان الله وكبريائه وعظمته وهيبته وجلاله المانعِ إدراكَ أبصارِ البشرِ مع ضعفها لذلك رداءَ الكبريـاء، فإذا شـاء تقويـة أبصـارهم وقلوبهم كشف عنهم حجـاب هيبته وموانع عظمته</w:t>
      </w:r>
      <w:r w:rsidR="000636C2">
        <w:rPr>
          <w:rtl/>
          <w:lang w:bidi="ar-KW"/>
        </w:rPr>
        <w:t>)</w:t>
      </w:r>
      <w:r w:rsidRPr="005675B2">
        <w:rPr>
          <w:rtl/>
          <w:lang w:bidi="ar-KW"/>
        </w:rPr>
        <w:t xml:space="preserve"> اهـ</w:t>
      </w:r>
      <w:r w:rsidR="000636C2">
        <w:rPr>
          <w:rtl/>
          <w:lang w:bidi="ar-KW"/>
        </w:rPr>
        <w:t>،</w:t>
      </w:r>
      <w:r w:rsidRPr="005675B2">
        <w:rPr>
          <w:rtl/>
          <w:lang w:bidi="ar-KW"/>
        </w:rPr>
        <w:t xml:space="preserve"> ورجّح الإمـام العزبن عبد السلام - رحمه الله - طريـقة التأويـل فقــال </w:t>
      </w:r>
      <w:r w:rsidR="000636C2">
        <w:rPr>
          <w:rtl/>
          <w:lang w:bidi="ar-KW"/>
        </w:rPr>
        <w:t>(</w:t>
      </w:r>
      <w:r w:rsidRPr="005675B2">
        <w:rPr>
          <w:rtl/>
          <w:lang w:bidi="ar-KW"/>
        </w:rPr>
        <w:t>إتحاف السادة المتقين 2 / 109</w:t>
      </w:r>
      <w:r w:rsidR="000636C2">
        <w:rPr>
          <w:rtl/>
          <w:lang w:bidi="ar-KW"/>
        </w:rPr>
        <w:t>):</w:t>
      </w:r>
      <w:r w:rsidRPr="005675B2">
        <w:rPr>
          <w:rFonts w:hint="cs"/>
          <w:rtl/>
          <w:lang w:bidi="ar-KW"/>
        </w:rPr>
        <w:t xml:space="preserve"> </w:t>
      </w:r>
      <w:r w:rsidR="000636C2">
        <w:rPr>
          <w:rtl/>
          <w:lang w:bidi="ar-KW"/>
        </w:rPr>
        <w:t>(</w:t>
      </w:r>
      <w:r w:rsidRPr="005675B2">
        <w:rPr>
          <w:rtl/>
          <w:lang w:bidi="ar-KW"/>
        </w:rPr>
        <w:t>طريقة التأويل بشرطها أقربها إلى الحق</w:t>
      </w:r>
      <w:r w:rsidR="000636C2">
        <w:rPr>
          <w:rtl/>
          <w:lang w:bidi="ar-KW"/>
        </w:rPr>
        <w:t>)</w:t>
      </w:r>
      <w:r w:rsidRPr="005675B2">
        <w:rPr>
          <w:rtl/>
          <w:lang w:bidi="ar-KW"/>
        </w:rPr>
        <w:t xml:space="preserve"> وعلق الإمام الزبيدي رحمه الله تعالى على قول العز بقوله </w:t>
      </w:r>
      <w:r w:rsidR="000636C2">
        <w:rPr>
          <w:rtl/>
          <w:lang w:bidi="ar-KW"/>
        </w:rPr>
        <w:t>(</w:t>
      </w:r>
      <w:r w:rsidRPr="005675B2">
        <w:rPr>
          <w:rtl/>
          <w:lang w:bidi="ar-KW"/>
        </w:rPr>
        <w:t>ويعني بشرطها أن يكون على مقتضى لسان العرب</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العلامة الآلوسي رحمه الله تعالى </w:t>
      </w:r>
      <w:r w:rsidR="000636C2">
        <w:rPr>
          <w:rtl/>
          <w:lang w:bidi="ar-KW"/>
        </w:rPr>
        <w:t>(</w:t>
      </w:r>
      <w:r w:rsidRPr="005675B2">
        <w:rPr>
          <w:rtl/>
          <w:lang w:bidi="ar-KW"/>
        </w:rPr>
        <w:t>روح المعاني 3 / 89</w:t>
      </w:r>
      <w:r w:rsidR="000636C2">
        <w:rPr>
          <w:rtl/>
          <w:lang w:bidi="ar-KW"/>
        </w:rPr>
        <w:t>)</w:t>
      </w:r>
      <w:r w:rsidRPr="005675B2">
        <w:rPr>
          <w:rtl/>
          <w:lang w:bidi="ar-KW"/>
        </w:rPr>
        <w:t xml:space="preserve"> حاثاً على حمل المتشابه على المجاز</w:t>
      </w:r>
      <w:r w:rsidR="000636C2">
        <w:rPr>
          <w:rtl/>
          <w:lang w:bidi="ar-KW"/>
        </w:rPr>
        <w:t>:</w:t>
      </w:r>
      <w:r w:rsidRPr="005675B2">
        <w:rPr>
          <w:rtl/>
          <w:lang w:bidi="ar-KW"/>
        </w:rPr>
        <w:t xml:space="preserve"> </w:t>
      </w:r>
      <w:r w:rsidR="000636C2">
        <w:rPr>
          <w:rtl/>
          <w:lang w:bidi="ar-KW"/>
        </w:rPr>
        <w:t>(</w:t>
      </w:r>
      <w:r w:rsidRPr="005675B2">
        <w:rPr>
          <w:rtl/>
          <w:lang w:bidi="ar-KW"/>
        </w:rPr>
        <w:t>الحمل على المجاز الشائع في كلام العرب والكناية البالغة في الشهرة مبلغ الحقيقة أظهر من الحمل على معنى مجهول</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w:t>
      </w:r>
      <w:r w:rsidR="000636C2">
        <w:rPr>
          <w:rtl/>
          <w:lang w:bidi="ar-KW"/>
        </w:rPr>
        <w:t>(</w:t>
      </w:r>
      <w:r w:rsidRPr="005675B2">
        <w:rPr>
          <w:rtl/>
          <w:lang w:bidi="ar-KW"/>
        </w:rPr>
        <w:t>3 / 116</w:t>
      </w:r>
      <w:r w:rsidR="000636C2">
        <w:rPr>
          <w:rtl/>
          <w:lang w:bidi="ar-KW"/>
        </w:rPr>
        <w:t>):</w:t>
      </w:r>
      <w:r w:rsidRPr="005675B2">
        <w:rPr>
          <w:rtl/>
          <w:lang w:bidi="ar-KW"/>
        </w:rPr>
        <w:t xml:space="preserve"> </w:t>
      </w:r>
      <w:r w:rsidR="000636C2">
        <w:rPr>
          <w:rtl/>
          <w:lang w:bidi="ar-KW"/>
        </w:rPr>
        <w:t>(</w:t>
      </w:r>
      <w:r w:rsidRPr="005675B2">
        <w:rPr>
          <w:rtl/>
          <w:lang w:bidi="ar-KW"/>
        </w:rPr>
        <w:t xml:space="preserve">والتأويل القريب إلى الذهن الشائع نظيره في كلام العرب مما لا بأس به عندي، </w:t>
      </w:r>
      <w:r w:rsidRPr="005675B2">
        <w:rPr>
          <w:bCs/>
          <w:rtl/>
          <w:lang w:bidi="ar-KW"/>
        </w:rPr>
        <w:t>على أن</w:t>
      </w:r>
      <w:r w:rsidRPr="005675B2">
        <w:rPr>
          <w:rtl/>
          <w:lang w:bidi="ar-KW"/>
        </w:rPr>
        <w:t xml:space="preserve"> </w:t>
      </w:r>
      <w:r w:rsidRPr="005675B2">
        <w:rPr>
          <w:bCs/>
          <w:rtl/>
          <w:lang w:bidi="ar-KW"/>
        </w:rPr>
        <w:t>بعض الآيات مما أجمع على تأويلها السلف والخلف</w:t>
      </w:r>
      <w:r w:rsidR="000636C2">
        <w:rPr>
          <w:bCs/>
          <w:rtl/>
          <w:lang w:bidi="ar-KW"/>
        </w:rPr>
        <w:t>)</w:t>
      </w:r>
      <w:r w:rsidRPr="005675B2">
        <w:rPr>
          <w:rtl/>
          <w:lang w:bidi="ar-KW"/>
        </w:rPr>
        <w:t xml:space="preserve"> اهـ</w:t>
      </w:r>
      <w:r w:rsidR="000636C2">
        <w:rPr>
          <w:rtl/>
          <w:lang w:bidi="ar-KW"/>
        </w:rPr>
        <w:t xml:space="preserve">، </w:t>
      </w:r>
      <w:r w:rsidRPr="005675B2">
        <w:rPr>
          <w:rtl/>
          <w:lang w:bidi="ar-KW"/>
        </w:rPr>
        <w:t>فأثبت رحمه الله للسلف تأويل بعض الآيات وأنها مما أُجمِع على تأويلها</w:t>
      </w:r>
      <w:r w:rsidR="000636C2">
        <w:rPr>
          <w:rtl/>
          <w:lang w:bidi="ar-KW"/>
        </w:rPr>
        <w:t xml:space="preserve">، </w:t>
      </w:r>
      <w:r w:rsidRPr="005675B2">
        <w:rPr>
          <w:rtl/>
          <w:lang w:bidi="ar-KW"/>
        </w:rPr>
        <w:t xml:space="preserve">وقال الدكتورالشيخ محمد سعيد رمضان البوطي حفظه الله تعالـى </w:t>
      </w:r>
      <w:r w:rsidR="000636C2">
        <w:rPr>
          <w:rtl/>
          <w:lang w:bidi="ar-KW"/>
        </w:rPr>
        <w:t>(</w:t>
      </w:r>
      <w:r w:rsidRPr="005675B2">
        <w:rPr>
          <w:rtl/>
          <w:lang w:bidi="ar-KW"/>
        </w:rPr>
        <w:t>كبرى اليقينيات ص/ 138 وما بعدها</w:t>
      </w:r>
      <w:r w:rsidR="000636C2">
        <w:rPr>
          <w:rtl/>
          <w:lang w:bidi="ar-KW"/>
        </w:rPr>
        <w:t>):</w:t>
      </w:r>
      <w:r w:rsidRPr="005675B2">
        <w:rPr>
          <w:rFonts w:hint="cs"/>
          <w:rtl/>
          <w:lang w:bidi="ar-KW"/>
        </w:rPr>
        <w:t xml:space="preserve"> </w:t>
      </w:r>
      <w:r w:rsidR="000636C2">
        <w:rPr>
          <w:rtl/>
          <w:lang w:bidi="ar-KW"/>
        </w:rPr>
        <w:t>(</w:t>
      </w:r>
      <w:r w:rsidRPr="005675B2">
        <w:rPr>
          <w:rtl/>
          <w:lang w:bidi="ar-KW"/>
        </w:rPr>
        <w:t>مذهب السلف هو عدم الخوض في أي تأويل أو تفسير تفصيلي لهذه النصوص، والاكتفاء بإثبات ما أثبته الله تعالى لذاته، مع تنزيهه عزّ وجلّ عن كل نقص ومشابهة للحوادث، وسبيل ذلك التأويل الإجمالي لهذه النصوص وتحويل العلم التفصيلي بالمقصود منها إلى علم الله عزّ وجلّ، أما ترك هذه النصوص على ظاهرها دون أي تأويل لها سواء كان إجمالياً أم تفصيلياً فهو غير جائز، وهو شيء لم يجنح إليه سلف ولا خلف ..</w:t>
      </w:r>
      <w:r w:rsidR="000636C2">
        <w:rPr>
          <w:rtl/>
          <w:lang w:bidi="ar-KW"/>
        </w:rPr>
        <w:t>،</w:t>
      </w:r>
      <w:r w:rsidRPr="005675B2">
        <w:rPr>
          <w:rtl/>
          <w:lang w:bidi="ar-KW"/>
        </w:rPr>
        <w:t xml:space="preserve"> ولكنك عندما تنزه الله حيال جميع هذه الآيات عن مشابهة مخلوقه في أن يتحيز في مكان وتكون له أبعاد وأعضاء وصورة وشكل، ثم أثبتَّ لله ما أثبته هو لذاته على نحوٍ يليق بكماله وذلك بأن تكِلَ تفصيل المقصود بكلٍّ من هذه النصوص إلى الله جلّ جلاله سَلِمْتَ بذلك من التناقض في الفهم وسَلَّمْتَ القرآن من توهم أي تناقض فيه، وهذه هي طريقة السلف رحمهم الله ألا تراهم يقولون عنها " أمروها بلا كيف " إذ لولا أنهم يؤولونها تأويلاً إجمالياً بالمعنى الذي أوضحنا لما صحّ منهم أن يقولوا ذلك ..</w:t>
      </w:r>
      <w:r w:rsidRPr="005675B2">
        <w:rPr>
          <w:rFonts w:hint="cs"/>
          <w:rtl/>
          <w:lang w:bidi="ar-KW"/>
        </w:rPr>
        <w:t xml:space="preserve"> </w:t>
      </w:r>
      <w:r w:rsidRPr="005675B2">
        <w:rPr>
          <w:rtl/>
          <w:lang w:bidi="ar-KW"/>
        </w:rPr>
        <w:t>ومذهب الخلف الذين جاءوا من بعدهم هو تأويل هذه النصوص بما يضعها على صراط واحد من الوفاق مع النصوص المحكمة الأخرى التي تقطع بتنزّه الله عن الجهة والمكان والجارحة ..</w:t>
      </w:r>
      <w:r w:rsidR="000636C2">
        <w:rPr>
          <w:rtl/>
          <w:lang w:bidi="ar-KW"/>
        </w:rPr>
        <w:t xml:space="preserve"> </w:t>
      </w:r>
      <w:r w:rsidRPr="005675B2">
        <w:rPr>
          <w:rtl/>
          <w:lang w:bidi="ar-KW"/>
        </w:rPr>
        <w:t>واعلم أن مذهب السلف في عصرهم كان هو الأفضل والأسلم والأوفق مع الإيمان الفطري المرتكز في كلٍّ من العقل والقلب</w:t>
      </w:r>
      <w:r w:rsidR="000636C2">
        <w:rPr>
          <w:rtl/>
          <w:lang w:bidi="ar-KW"/>
        </w:rPr>
        <w:t xml:space="preserve">، </w:t>
      </w:r>
      <w:r w:rsidRPr="005675B2">
        <w:rPr>
          <w:rtl/>
          <w:lang w:bidi="ar-KW"/>
        </w:rPr>
        <w:t>ومذهب الخلف في عصرهم أصبح هو المصير الذي لا يمكن التحول عنه، بسبب ما قامت فيه من المذاهب الفكرية والمناقشات العلمية ..</w:t>
      </w:r>
      <w:r w:rsidR="000636C2">
        <w:rPr>
          <w:rtl/>
          <w:lang w:bidi="ar-KW"/>
        </w:rPr>
        <w:t>،</w:t>
      </w:r>
      <w:r w:rsidRPr="005675B2">
        <w:rPr>
          <w:rtl/>
          <w:lang w:bidi="ar-KW"/>
        </w:rPr>
        <w:t xml:space="preserve"> والمهم أن تعلم بأن كلاًّ من المذهبين منهجان إلى غاية واحدة، لأن المآل فيهما إلى أن الله عزّوجلّ لا يشبهه شيء من مخلوقاته، وأنه منزّه عن جميع صفات النقص، فالخلاف الذي تراه بينهما خلاف لفظي وشكلي فقط</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الشيخ علي الطنطاوي رحمه الله تعالى </w:t>
      </w:r>
      <w:r w:rsidR="000636C2">
        <w:rPr>
          <w:rtl/>
          <w:lang w:bidi="ar-KW"/>
        </w:rPr>
        <w:t>(</w:t>
      </w:r>
      <w:r w:rsidRPr="005675B2">
        <w:rPr>
          <w:rtl/>
          <w:lang w:bidi="ar-KW"/>
        </w:rPr>
        <w:t>تعريف عام بدين الإسلام ص/81</w:t>
      </w:r>
      <w:r w:rsidR="000636C2">
        <w:rPr>
          <w:rtl/>
          <w:lang w:bidi="ar-KW"/>
        </w:rPr>
        <w:t>):</w:t>
      </w:r>
      <w:r w:rsidR="000636C2">
        <w:rPr>
          <w:rFonts w:hint="cs"/>
          <w:rtl/>
          <w:lang w:bidi="ar-KW"/>
        </w:rPr>
        <w:t xml:space="preserve"> </w:t>
      </w:r>
      <w:r w:rsidR="000636C2">
        <w:rPr>
          <w:rtl/>
          <w:lang w:bidi="ar-KW"/>
        </w:rPr>
        <w:t>(</w:t>
      </w:r>
      <w:r w:rsidRPr="005675B2">
        <w:rPr>
          <w:rtl/>
          <w:lang w:bidi="ar-KW"/>
        </w:rPr>
        <w:t>القرآن أنزل بلسان العرب، وخوطب به العرب، وكل ما يفهمه منه العربي الصميم وفق قواعد العربية ومصطلح أهلها - حقيقة حيث ينصرف إلى الحقيقة أو مجازاً حيث يفهم منه المجاز - يكون فهماً صحيحاً، ولكن اللغات كلها إنما وضعت للتعبير عن المعاني الأرضية المادية، فلا تستطيع أن تحيط بالمشاعر الإنسانية فضلاً عن الصفات الإلهية</w:t>
      </w:r>
      <w:r w:rsidR="000636C2">
        <w:rPr>
          <w:rtl/>
          <w:lang w:bidi="ar-KW"/>
        </w:rPr>
        <w:t>)</w:t>
      </w:r>
      <w:r w:rsidRPr="005675B2">
        <w:rPr>
          <w:rtl/>
          <w:lang w:bidi="ar-KW"/>
        </w:rPr>
        <w:t xml:space="preserve"> اهـ</w:t>
      </w:r>
      <w:r w:rsidR="000636C2">
        <w:rPr>
          <w:rtl/>
          <w:lang w:bidi="ar-KW"/>
        </w:rPr>
        <w:t xml:space="preserve">، </w:t>
      </w:r>
      <w:r w:rsidRPr="005675B2">
        <w:rPr>
          <w:rtl/>
          <w:lang w:bidi="ar-KW"/>
        </w:rPr>
        <w:t>وهذه حقيقة لا ريب فيها بين العقلاء، إذ الكلام يتعين في الحقيقة والظاهر متى أمكن ذلك، وإلا فبالمجاز مندوحة وسَعة، وبما أن هذه الألفاظ حقائقها مادية حسية إذن من الخطأ بمكان حمل اللفظ عليها، بل يتعين الانصراف إلى المجاز</w:t>
      </w:r>
      <w:r w:rsidR="000636C2">
        <w:rPr>
          <w:rtl/>
          <w:lang w:bidi="ar-KW"/>
        </w:rPr>
        <w:t xml:space="preserve">، </w:t>
      </w:r>
      <w:r w:rsidRPr="005675B2">
        <w:rPr>
          <w:rtl/>
          <w:lang w:bidi="ar-KW"/>
        </w:rPr>
        <w:t>فإذا كان الأمر كذلك، فلا ملامة ولا حرج حينئذ على علماء الأمة إذا فسروا كلام الله تعالى وكلام رسوله</w:t>
      </w:r>
      <w:r w:rsidR="000636C2">
        <w:rPr>
          <w:rtl/>
          <w:lang w:bidi="ar-KW"/>
        </w:rPr>
        <w:t xml:space="preserve"> </w:t>
      </w:r>
      <w:r w:rsidRPr="005675B2">
        <w:rPr>
          <w:rtl/>
          <w:lang w:bidi="ar-KW"/>
        </w:rPr>
        <w:t>العربيين على طريقة العرب وحسب أسلوب تخاطبهم وتحاورهم وبما يليق بجلال الله تعالى، وبما يدفع شبه المشبهين، وهل هم في هذا إلا مـهتدون بهدي جمهور السلف الذين فهموا عن الله تعالى وعن رسوله</w:t>
      </w:r>
      <w:r w:rsidR="000636C2">
        <w:rPr>
          <w:rtl/>
          <w:lang w:bidi="ar-KW"/>
        </w:rPr>
        <w:t>،</w:t>
      </w:r>
      <w:r w:rsidRPr="005675B2">
        <w:rPr>
          <w:rtl/>
          <w:lang w:bidi="ar-KW"/>
        </w:rPr>
        <w:t xml:space="preserve"> لكنهم - كما ذكرنا - لم يتطرقوا - في الغالب - لإعلانه والتصريح به لعدم الحاجة إلى ذلك في عصورهم، ومضى قرنهم على هذا</w:t>
      </w:r>
      <w:r w:rsidR="000636C2">
        <w:rPr>
          <w:rtl/>
          <w:lang w:bidi="ar-KW"/>
        </w:rPr>
        <w:t>،</w:t>
      </w:r>
      <w:r w:rsidRPr="005675B2">
        <w:rPr>
          <w:rtl/>
          <w:lang w:bidi="ar-KW"/>
        </w:rPr>
        <w:t xml:space="preserve"> وهكذا كان الحـال مع الذين جاءوا من بعدهم، إلى أن جاء زمن نبتت فيه رؤوس البدعة، ورفع فيه أهل الزيغ عقيرتهم، وجابهوا الناس بما لم يكن لهم به عهد، واستولوا بمقالاتهم الفاسدة على عقول العامة، وحملوا كلام الله تعالى وكلام رسوله</w:t>
      </w:r>
      <w:r w:rsidR="000636C2">
        <w:rPr>
          <w:rtl/>
          <w:lang w:bidi="ar-KW"/>
        </w:rPr>
        <w:t xml:space="preserve"> </w:t>
      </w:r>
      <w:r w:rsidRPr="005675B2">
        <w:rPr>
          <w:rtl/>
          <w:lang w:bidi="ar-KW"/>
        </w:rPr>
        <w:t>على ما لا يجوز حملهما عليه من المعاني، حينها تعين على علماء أهل السنة الذود عن عقائد المسلمين، وغاية ما فعلوه</w:t>
      </w:r>
      <w:r w:rsidR="000636C2">
        <w:rPr>
          <w:rtl/>
          <w:lang w:bidi="ar-KW"/>
        </w:rPr>
        <w:t xml:space="preserve"> </w:t>
      </w:r>
      <w:r w:rsidRPr="005675B2">
        <w:rPr>
          <w:rtl/>
          <w:lang w:bidi="ar-KW"/>
        </w:rPr>
        <w:t>- رضي الله تعالى عنهم</w:t>
      </w:r>
      <w:r w:rsidR="000636C2">
        <w:rPr>
          <w:rtl/>
          <w:lang w:bidi="ar-KW"/>
        </w:rPr>
        <w:t xml:space="preserve"> </w:t>
      </w:r>
      <w:r w:rsidRPr="005675B2">
        <w:rPr>
          <w:rtl/>
          <w:lang w:bidi="ar-KW"/>
        </w:rPr>
        <w:t>- هو أنهم جهروا بما كان يجتنب جمهور السلف الصالح من الصحابة والتابعين الجهر به، لعدم الحاجة إليه في أزمنتهم</w:t>
      </w:r>
      <w:r w:rsidR="000636C2">
        <w:rPr>
          <w:rtl/>
          <w:lang w:bidi="ar-KW"/>
        </w:rPr>
        <w:t>،</w:t>
      </w:r>
      <w:r w:rsidRPr="005675B2">
        <w:rPr>
          <w:rtl/>
          <w:lang w:bidi="ar-KW"/>
        </w:rPr>
        <w:t xml:space="preserve"> قال الإمام العز بن عبد السلام </w:t>
      </w:r>
      <w:r w:rsidR="000636C2">
        <w:rPr>
          <w:rtl/>
          <w:lang w:bidi="ar-KW"/>
        </w:rPr>
        <w:t>(</w:t>
      </w:r>
      <w:r w:rsidRPr="005675B2">
        <w:rPr>
          <w:rtl/>
          <w:lang w:bidi="ar-KW"/>
        </w:rPr>
        <w:t>فتاوى العز بن عبد السلام ص / 22</w:t>
      </w:r>
      <w:r w:rsidR="000636C2">
        <w:rPr>
          <w:rtl/>
          <w:lang w:bidi="ar-KW"/>
        </w:rPr>
        <w:t>)</w:t>
      </w:r>
      <w:r w:rsidRPr="005675B2">
        <w:rPr>
          <w:rtl/>
          <w:lang w:bidi="ar-KW"/>
        </w:rPr>
        <w:t xml:space="preserve"> رحمه الله تعالى</w:t>
      </w:r>
      <w:r w:rsidR="000636C2">
        <w:rPr>
          <w:rtl/>
          <w:lang w:bidi="ar-KW"/>
        </w:rPr>
        <w:t>:</w:t>
      </w:r>
      <w:r w:rsidRPr="005675B2">
        <w:rPr>
          <w:rFonts w:hint="cs"/>
          <w:rtl/>
          <w:lang w:bidi="ar-KW"/>
        </w:rPr>
        <w:t xml:space="preserve"> </w:t>
      </w:r>
      <w:r w:rsidR="000636C2">
        <w:rPr>
          <w:rtl/>
          <w:lang w:bidi="ar-KW"/>
        </w:rPr>
        <w:t>(</w:t>
      </w:r>
      <w:r w:rsidRPr="005675B2">
        <w:rPr>
          <w:rtl/>
          <w:lang w:bidi="ar-KW"/>
        </w:rPr>
        <w:t>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الشيخ الإمام القدوة الرباني عدي بن مسافر الشامي - رحمه الله تعالى - </w:t>
      </w:r>
      <w:r w:rsidR="000636C2">
        <w:rPr>
          <w:rtl/>
          <w:lang w:bidi="ar-KW"/>
        </w:rPr>
        <w:t>(</w:t>
      </w:r>
      <w:r w:rsidRPr="005675B2">
        <w:rPr>
          <w:rtl/>
          <w:lang w:bidi="ar-KW"/>
        </w:rPr>
        <w:t>اعتقاد أهل السنة والجماعة ص / 26</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w:t>
      </w:r>
      <w:r w:rsidRPr="005675B2">
        <w:rPr>
          <w:bCs/>
          <w:rtl/>
          <w:lang w:bidi="ar-KW"/>
        </w:rPr>
        <w:t>وهذا الذي درج عليه السلف قبل ظهور الأهواء وتشعب الآراء، فلما ظهرت البدع وانتشر في الناس التشبيه والتعطيل فزع أهل الحق إلى التأويل</w:t>
      </w:r>
      <w:r w:rsidR="000636C2">
        <w:rPr>
          <w:bCs/>
          <w:rtl/>
          <w:lang w:bidi="ar-KW"/>
        </w:rPr>
        <w:t>)</w:t>
      </w:r>
      <w:r w:rsidRPr="005675B2">
        <w:rPr>
          <w:bCs/>
          <w:rtl/>
          <w:lang w:bidi="ar-KW"/>
        </w:rPr>
        <w:t xml:space="preserve"> اهـ</w:t>
      </w:r>
      <w:r w:rsidR="000636C2">
        <w:rPr>
          <w:bCs/>
          <w:rtl/>
          <w:lang w:bidi="ar-KW"/>
        </w:rPr>
        <w:t>،</w:t>
      </w:r>
      <w:r w:rsidRPr="005675B2">
        <w:rPr>
          <w:rtl/>
          <w:lang w:bidi="ar-KW"/>
        </w:rPr>
        <w:t xml:space="preserve"> وهذا الذي قاله رضي الله عنه هو عين ما يراه الأشاعرة ويعتقدونه، إذ لولا ظهور الفتن ومقالات أهل الزيغ وتشويشهم على عقائد العامة ما صرحوا وبينوا ما كان السلف يعتقدونه إجمالاً ويمرون عليه مروراً</w:t>
      </w:r>
      <w:r w:rsidR="000636C2">
        <w:rPr>
          <w:rtl/>
          <w:lang w:bidi="ar-KW"/>
        </w:rPr>
        <w:t>،</w:t>
      </w:r>
      <w:r w:rsidRPr="005675B2">
        <w:rPr>
          <w:rtl/>
          <w:lang w:bidi="ar-KW"/>
        </w:rPr>
        <w:t xml:space="preserve"> وقال العلامة ملا على القاري - رحمه الله تعالى - معتذراً عن علمـاء الأمة لأخذهم بالتأويل </w:t>
      </w:r>
      <w:r w:rsidR="000636C2">
        <w:rPr>
          <w:rtl/>
          <w:lang w:bidi="ar-KW"/>
        </w:rPr>
        <w:t>(</w:t>
      </w:r>
      <w:r w:rsidRPr="005675B2">
        <w:rPr>
          <w:rtl/>
          <w:lang w:bidi="ar-KW"/>
        </w:rPr>
        <w:t>مرقاة المفاتيح 2 / 136</w:t>
      </w:r>
      <w:r w:rsidR="000636C2">
        <w:rPr>
          <w:rtl/>
          <w:lang w:bidi="ar-KW"/>
        </w:rPr>
        <w:t>):</w:t>
      </w:r>
      <w:r w:rsidRPr="005675B2">
        <w:rPr>
          <w:rtl/>
          <w:lang w:bidi="ar-KW"/>
        </w:rPr>
        <w:t xml:space="preserve"> </w:t>
      </w:r>
      <w:r w:rsidR="000636C2">
        <w:rPr>
          <w:rtl/>
          <w:lang w:bidi="ar-KW"/>
        </w:rPr>
        <w:t>(</w:t>
      </w:r>
      <w:r w:rsidRPr="005675B2">
        <w:rPr>
          <w:rtl/>
          <w:lang w:bidi="ar-KW"/>
        </w:rPr>
        <w:t>ولم يريدوا بذلك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sidR="000636C2">
        <w:rPr>
          <w:rtl/>
          <w:lang w:bidi="ar-KW"/>
        </w:rPr>
        <w:t>:</w:t>
      </w:r>
      <w:r w:rsidRPr="005675B2">
        <w:rPr>
          <w:rtl/>
          <w:lang w:bidi="ar-KW"/>
        </w:rPr>
        <w:t xml:space="preserve"> لو كنا على ما كان عليه السلف الصالح من صفاء العقائد وعدم المبطلين في زمنهم لم نخض في تأويل شيء من ذلك</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الزركشي - رحمه الله تعالى - </w:t>
      </w:r>
      <w:r w:rsidR="000636C2">
        <w:rPr>
          <w:rtl/>
          <w:lang w:bidi="ar-KW"/>
        </w:rPr>
        <w:t>(</w:t>
      </w:r>
      <w:r w:rsidRPr="005675B2">
        <w:rPr>
          <w:rtl/>
          <w:lang w:bidi="ar-KW"/>
        </w:rPr>
        <w:t>البرهان في علوم القرآن 2/ 209</w:t>
      </w:r>
      <w:r w:rsidR="000636C2">
        <w:rPr>
          <w:rtl/>
          <w:lang w:bidi="ar-KW"/>
        </w:rPr>
        <w:t>):</w:t>
      </w:r>
      <w:r w:rsidR="000636C2">
        <w:rPr>
          <w:rFonts w:hint="cs"/>
          <w:rtl/>
          <w:lang w:bidi="ar-KW"/>
        </w:rPr>
        <w:t xml:space="preserve"> </w:t>
      </w:r>
      <w:r w:rsidR="000636C2">
        <w:rPr>
          <w:rtl/>
          <w:lang w:bidi="ar-KW"/>
        </w:rPr>
        <w:t>(</w:t>
      </w:r>
      <w:r w:rsidRPr="005675B2">
        <w:rPr>
          <w:rtl/>
          <w:lang w:bidi="ar-KW"/>
        </w:rPr>
        <w:t>قلت وإنما حملهم على التأويل وجوب حمل الكلام على خلاف المفهوم من حقيقته، لقيام الأدلة على استحالة المشابهة والجسمية في حق البارئ تعالى</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الحافظ بن حجر - رحمه الله تعالى - </w:t>
      </w:r>
      <w:r w:rsidR="000636C2">
        <w:rPr>
          <w:rtl/>
          <w:lang w:bidi="ar-KW"/>
        </w:rPr>
        <w:t>(</w:t>
      </w:r>
      <w:r w:rsidRPr="005675B2">
        <w:rPr>
          <w:rtl/>
          <w:lang w:bidi="ar-KW"/>
        </w:rPr>
        <w:t>مرقاة المفاتيح 1/134</w:t>
      </w:r>
      <w:r w:rsidR="000636C2">
        <w:rPr>
          <w:rtl/>
          <w:lang w:bidi="ar-KW"/>
        </w:rPr>
        <w:t>):</w:t>
      </w:r>
      <w:r w:rsidRPr="005675B2">
        <w:rPr>
          <w:rFonts w:hint="cs"/>
          <w:rtl/>
          <w:lang w:bidi="ar-KW"/>
        </w:rPr>
        <w:t xml:space="preserve"> </w:t>
      </w:r>
      <w:r w:rsidR="000636C2">
        <w:rPr>
          <w:rtl/>
          <w:lang w:bidi="ar-KW"/>
        </w:rPr>
        <w:t>(</w:t>
      </w:r>
      <w:r w:rsidRPr="005675B2">
        <w:rPr>
          <w:rtl/>
          <w:lang w:bidi="ar-KW"/>
        </w:rPr>
        <w:t>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إمام الحرمين الجويني رحمه الله تعالى </w:t>
      </w:r>
      <w:r w:rsidR="000636C2">
        <w:rPr>
          <w:rtl/>
          <w:lang w:bidi="ar-KW"/>
        </w:rPr>
        <w:t>(</w:t>
      </w:r>
      <w:r w:rsidRPr="005675B2">
        <w:rPr>
          <w:rtl/>
          <w:lang w:bidi="ar-KW"/>
        </w:rPr>
        <w:t>المصدر السابق</w:t>
      </w:r>
      <w:r w:rsidR="000636C2">
        <w:rPr>
          <w:rtl/>
          <w:lang w:bidi="ar-KW"/>
        </w:rPr>
        <w:t>):</w:t>
      </w:r>
      <w:r w:rsidRPr="005675B2">
        <w:rPr>
          <w:rFonts w:hint="cs"/>
          <w:rtl/>
          <w:lang w:bidi="ar-KW"/>
        </w:rPr>
        <w:t xml:space="preserve"> </w:t>
      </w:r>
      <w:r w:rsidR="000636C2">
        <w:rPr>
          <w:rtl/>
          <w:lang w:bidi="ar-KW"/>
        </w:rPr>
        <w:t>(</w:t>
      </w:r>
      <w:r w:rsidRPr="005675B2">
        <w:rPr>
          <w:rtl/>
          <w:lang w:bidi="ar-KW"/>
        </w:rPr>
        <w:t>لو بقي الناس على ما كانوا عليه لم نؤمر بالاشتغال بعلم الكلام، أما الآن فقد كثرت البدع فلا سبيل إلى ترك أمواج الفتن تلتطم</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النووي - رحمه الله تعالى - </w:t>
      </w:r>
      <w:r w:rsidR="000636C2">
        <w:rPr>
          <w:rtl/>
          <w:lang w:bidi="ar-KW"/>
        </w:rPr>
        <w:t>(</w:t>
      </w:r>
      <w:r w:rsidRPr="005675B2">
        <w:rPr>
          <w:rtl/>
          <w:lang w:bidi="ar-KW"/>
        </w:rPr>
        <w:t>المجموع 1 / 25</w:t>
      </w:r>
      <w:r w:rsidR="000636C2">
        <w:rPr>
          <w:rtl/>
          <w:lang w:bidi="ar-KW"/>
        </w:rPr>
        <w:t>):</w:t>
      </w:r>
      <w:r w:rsidRPr="005675B2">
        <w:rPr>
          <w:rFonts w:hint="cs"/>
          <w:rtl/>
          <w:lang w:bidi="ar-KW"/>
        </w:rPr>
        <w:t xml:space="preserve"> </w:t>
      </w:r>
      <w:r w:rsidR="000636C2">
        <w:rPr>
          <w:rtl/>
          <w:lang w:bidi="ar-KW"/>
        </w:rPr>
        <w:t>(</w:t>
      </w:r>
      <w:r w:rsidRPr="005675B2">
        <w:rPr>
          <w:rtl/>
          <w:lang w:bidi="ar-KW"/>
        </w:rPr>
        <w:t>فإن دعت الحاجة إلى التأويل لرد مبتدع ونحوه تأوّلوا حينئذ، وعلى هذا يحمل ما جاء عن العلماء في هذا</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العلامة ملا علي القاري - رحمه الله تعالى - </w:t>
      </w:r>
      <w:r w:rsidR="000636C2">
        <w:rPr>
          <w:rtl/>
          <w:lang w:bidi="ar-KW"/>
        </w:rPr>
        <w:t>(</w:t>
      </w:r>
      <w:r w:rsidRPr="005675B2">
        <w:rPr>
          <w:rtl/>
          <w:lang w:bidi="ar-KW"/>
        </w:rPr>
        <w:t>مرقاة المفاتيح 1/ 189</w:t>
      </w:r>
      <w:r w:rsidR="000636C2">
        <w:rPr>
          <w:rtl/>
          <w:lang w:bidi="ar-KW"/>
        </w:rPr>
        <w:t>):</w:t>
      </w:r>
      <w:r w:rsidRPr="005675B2">
        <w:rPr>
          <w:rFonts w:hint="cs"/>
          <w:rtl/>
          <w:lang w:bidi="ar-KW"/>
        </w:rPr>
        <w:t xml:space="preserve"> </w:t>
      </w:r>
      <w:r w:rsidR="000636C2">
        <w:rPr>
          <w:rtl/>
          <w:lang w:bidi="ar-KW"/>
        </w:rPr>
        <w:t>(</w:t>
      </w:r>
      <w:r w:rsidRPr="005675B2">
        <w:rPr>
          <w:rtl/>
          <w:lang w:bidi="ar-KW"/>
        </w:rPr>
        <w:t>اتـفـق السلف والخلف على تنـزيه الله تعالى عن ظواهر المتشابهات المستحيلة على الله تعالى ..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العلامة محمود بن خطاب السبكي - رحمه الله تعالى - في كتاب </w:t>
      </w:r>
      <w:r w:rsidR="000636C2">
        <w:rPr>
          <w:rtl/>
          <w:lang w:bidi="ar-KW"/>
        </w:rPr>
        <w:t>(</w:t>
      </w:r>
      <w:r w:rsidRPr="005675B2">
        <w:rPr>
          <w:rtl/>
          <w:lang w:bidi="ar-KW"/>
        </w:rPr>
        <w:t>الدين الخالص 1 / 27</w:t>
      </w:r>
      <w:r w:rsidR="000636C2">
        <w:rPr>
          <w:rtl/>
          <w:lang w:bidi="ar-KW"/>
        </w:rPr>
        <w:t>)</w:t>
      </w:r>
      <w:r w:rsidRPr="005675B2">
        <w:rPr>
          <w:rtl/>
          <w:lang w:bidi="ar-KW"/>
        </w:rPr>
        <w:t xml:space="preserve"> ما نصه</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أما ما ورد من الآيات والأحاديث المتشابهة فقد أجمع السلف والخلف رضي الله عنهم على أنها مصروفة عن ظاهرها لقوله تعالى </w:t>
      </w:r>
      <w:r w:rsidR="000636C2">
        <w:rPr>
          <w:bCs/>
          <w:rtl/>
          <w:lang w:bidi="ar-KW"/>
        </w:rPr>
        <w:t>(</w:t>
      </w:r>
      <w:r w:rsidRPr="005675B2">
        <w:rPr>
          <w:bCs/>
          <w:rtl/>
          <w:lang w:bidi="ar-KW"/>
        </w:rPr>
        <w:t>قل هو الله أحد</w:t>
      </w:r>
      <w:r w:rsidR="000636C2">
        <w:rPr>
          <w:bCs/>
          <w:rtl/>
          <w:lang w:bidi="ar-KW"/>
        </w:rPr>
        <w:t>،</w:t>
      </w:r>
      <w:r w:rsidRPr="005675B2">
        <w:rPr>
          <w:bCs/>
          <w:rtl/>
          <w:lang w:bidi="ar-KW"/>
        </w:rPr>
        <w:t xml:space="preserve"> الله الصمد</w:t>
      </w:r>
      <w:r w:rsidR="000636C2">
        <w:rPr>
          <w:bCs/>
          <w:rtl/>
          <w:lang w:bidi="ar-KW"/>
        </w:rPr>
        <w:t>،</w:t>
      </w:r>
      <w:r w:rsidRPr="005675B2">
        <w:rPr>
          <w:bCs/>
          <w:rtl/>
          <w:lang w:bidi="ar-KW"/>
        </w:rPr>
        <w:t xml:space="preserve"> لم يلد ولم يولد</w:t>
      </w:r>
      <w:r w:rsidR="000636C2">
        <w:rPr>
          <w:bCs/>
          <w:rtl/>
          <w:lang w:bidi="ar-KW"/>
        </w:rPr>
        <w:t>،</w:t>
      </w:r>
      <w:r w:rsidRPr="005675B2">
        <w:rPr>
          <w:bCs/>
          <w:rtl/>
          <w:lang w:bidi="ar-KW"/>
        </w:rPr>
        <w:t xml:space="preserve"> ولم يكن له كفواً أحد</w:t>
      </w:r>
      <w:r w:rsidR="000636C2">
        <w:rPr>
          <w:bCs/>
          <w:rtl/>
          <w:lang w:bidi="ar-KW"/>
        </w:rPr>
        <w:t>)</w:t>
      </w:r>
      <w:r w:rsidRPr="005675B2">
        <w:rPr>
          <w:bCs/>
          <w:rtl/>
          <w:lang w:bidi="ar-KW"/>
        </w:rPr>
        <w:t xml:space="preserve"> وقوله سبحانه </w:t>
      </w:r>
      <w:r w:rsidR="000636C2">
        <w:rPr>
          <w:bCs/>
          <w:rtl/>
          <w:lang w:bidi="ar-KW"/>
        </w:rPr>
        <w:t>(</w:t>
      </w:r>
      <w:r w:rsidRPr="005675B2">
        <w:rPr>
          <w:bCs/>
          <w:rtl/>
          <w:lang w:bidi="ar-KW"/>
        </w:rPr>
        <w:t>ليس كمثله شئ وهوالسميع البصير</w:t>
      </w:r>
      <w:r w:rsidR="000636C2">
        <w:rPr>
          <w:bCs/>
          <w:rtl/>
          <w:lang w:bidi="ar-KW"/>
        </w:rPr>
        <w:t>)</w:t>
      </w:r>
      <w:r w:rsidRPr="005675B2">
        <w:rPr>
          <w:bCs/>
          <w:rtl/>
          <w:lang w:bidi="ar-KW"/>
        </w:rPr>
        <w:t xml:space="preserve"> ثم اختلفوا في بيان معاني تلك الآيات والأحاديث، فالسلف يفوضون علم معانيها إليه تعالى، فيقولون إن الاستواء في آية </w:t>
      </w:r>
      <w:r w:rsidR="000636C2">
        <w:rPr>
          <w:bCs/>
          <w:rtl/>
          <w:lang w:bidi="ar-KW"/>
        </w:rPr>
        <w:t>(</w:t>
      </w:r>
      <w:r w:rsidRPr="005675B2">
        <w:rPr>
          <w:bCs/>
          <w:rtl/>
          <w:lang w:bidi="ar-KW"/>
        </w:rPr>
        <w:t>الرحمن على العرش استوى</w:t>
      </w:r>
      <w:r w:rsidR="000636C2">
        <w:rPr>
          <w:bCs/>
          <w:rtl/>
          <w:lang w:bidi="ar-KW"/>
        </w:rPr>
        <w:t>)</w:t>
      </w:r>
      <w:r w:rsidRPr="005675B2">
        <w:rPr>
          <w:rtl/>
          <w:lang w:bidi="ar-KW"/>
        </w:rPr>
        <w:t xml:space="preserve"> لا يعلمه إلا الله سبحانه وتعالى، مع جزمهم بأنه جل جلاله يستحيل عليه الاستقرار على العرش أو اتصاله به أو جلوسه عليه، لأنه تعالى إله قديم موصوف باستوائه على العرش قبل خلق العرش، لأن القرآن الذي منه هذه الآية موجود قبل إيجاد العرش، فكيف يعقل أنه تعالى استقر على عرش غير موجود</w:t>
      </w:r>
      <w:r w:rsidR="000636C2">
        <w:rPr>
          <w:rtl/>
          <w:lang w:bidi="ar-KW"/>
        </w:rPr>
        <w:t>؟</w:t>
      </w:r>
      <w:r w:rsidRPr="005675B2">
        <w:rPr>
          <w:rFonts w:hint="cs"/>
          <w:rtl/>
          <w:lang w:bidi="ar-KW"/>
        </w:rPr>
        <w:t xml:space="preserve"> </w:t>
      </w:r>
      <w:r w:rsidRPr="005675B2">
        <w:rPr>
          <w:rtl/>
          <w:lang w:bidi="ar-KW"/>
        </w:rPr>
        <w:t>ولما خلق الخلق لم يحتج إلى مكان يحل فيه، بل هو غني عنه</w:t>
      </w:r>
      <w:r w:rsidR="000636C2">
        <w:rPr>
          <w:rtl/>
          <w:lang w:bidi="ar-KW"/>
        </w:rPr>
        <w:t>،</w:t>
      </w:r>
      <w:r w:rsidRPr="005675B2">
        <w:rPr>
          <w:rtl/>
          <w:lang w:bidi="ar-KW"/>
        </w:rPr>
        <w:t xml:space="preserve"> فهو تعالى لم يزل بالصفة التي كان عليها</w:t>
      </w:r>
      <w:r w:rsidR="000636C2">
        <w:rPr>
          <w:rtl/>
          <w:lang w:bidi="ar-KW"/>
        </w:rPr>
        <w:t xml:space="preserve">، </w:t>
      </w:r>
      <w:r w:rsidRPr="005675B2">
        <w:rPr>
          <w:rtl/>
          <w:lang w:bidi="ar-KW"/>
        </w:rPr>
        <w:t>والخلف يقولون فيها</w:t>
      </w:r>
      <w:r w:rsidR="000636C2">
        <w:rPr>
          <w:rtl/>
          <w:lang w:bidi="ar-KW"/>
        </w:rPr>
        <w:t>:</w:t>
      </w:r>
      <w:r w:rsidRPr="005675B2">
        <w:rPr>
          <w:rtl/>
          <w:lang w:bidi="ar-KW"/>
        </w:rPr>
        <w:t xml:space="preserve"> الاستواء معناه الاقتدار والتصرف أو نحو ذلك</w:t>
      </w:r>
      <w:r w:rsidR="000636C2">
        <w:rPr>
          <w:rtl/>
          <w:lang w:bidi="ar-KW"/>
        </w:rPr>
        <w:t>،</w:t>
      </w:r>
      <w:r w:rsidRPr="005675B2">
        <w:rPr>
          <w:rtl/>
          <w:lang w:bidi="ar-KW"/>
        </w:rPr>
        <w:t xml:space="preserve"> ومذهب السلف أسلم .. ووجه صحة مذهب الخلف أنهم فسروا الآية بما يدل عليه اللفظ العربي، والقرآن عربي، وحملهم على التفسير المذكور ولم يفوضوا كما فوض السلف وجود المشبهة في زمانهم زاعمين - أي المشبهة- أن ظاهر الآيات يدل على أنه تعالى جسم، ولم يفقهوا أنه مستحيل عليه عز وجل الجسمية والحلول في الأمكنة ..</w:t>
      </w:r>
      <w:r w:rsidR="000636C2">
        <w:rPr>
          <w:rtl/>
          <w:lang w:bidi="ar-KW"/>
        </w:rPr>
        <w:t xml:space="preserve"> </w:t>
      </w:r>
      <w:r w:rsidRPr="005675B2">
        <w:rPr>
          <w:rtl/>
          <w:lang w:bidi="ar-KW"/>
        </w:rPr>
        <w:t>فوجب عليهم - يعني الخلف - أن يبينوا للعامة معنى تلك الآيات والأحاديث المتشابهة حسب مدلولات القرآن والأحاديث النبوية بما يصح اتصاف الله تعالى به، ليعرفوا الحق فيعملوا عليه ويتركوا الباطل وأهله فجزاهم الله تعالى خير الجزاء</w:t>
      </w:r>
      <w:r w:rsidR="000636C2">
        <w:rPr>
          <w:rtl/>
          <w:lang w:bidi="ar-KW"/>
        </w:rPr>
        <w:t xml:space="preserve">، </w:t>
      </w:r>
      <w:r w:rsidRPr="005675B2">
        <w:rPr>
          <w:rtl/>
          <w:lang w:bidi="ar-KW"/>
        </w:rPr>
        <w:t>وقد نقل العلامة زروق عن أبي حامد أنه قال</w:t>
      </w:r>
      <w:r w:rsidR="000636C2">
        <w:rPr>
          <w:rtl/>
          <w:lang w:bidi="ar-KW"/>
        </w:rPr>
        <w:t>:</w:t>
      </w:r>
      <w:r w:rsidRPr="005675B2">
        <w:rPr>
          <w:rtl/>
          <w:lang w:bidi="ar-KW"/>
        </w:rPr>
        <w:t xml:space="preserve"> </w:t>
      </w:r>
      <w:r w:rsidR="000636C2">
        <w:rPr>
          <w:bCs/>
          <w:rtl/>
          <w:lang w:bidi="ar-KW"/>
        </w:rPr>
        <w:t>(</w:t>
      </w:r>
      <w:r w:rsidRPr="005675B2">
        <w:rPr>
          <w:bCs/>
          <w:rtl/>
          <w:lang w:bidi="ar-KW"/>
        </w:rPr>
        <w:t>لا خلاف في وجوب التأويل عند تعين شبهة لا ترتفع إلا به</w:t>
      </w:r>
      <w:r w:rsidR="000636C2">
        <w:rPr>
          <w:rtl/>
          <w:lang w:bidi="ar-KW"/>
        </w:rPr>
        <w:t xml:space="preserve">)، </w:t>
      </w:r>
      <w:r w:rsidRPr="005675B2">
        <w:rPr>
          <w:rtl/>
          <w:lang w:bidi="ar-KW"/>
        </w:rPr>
        <w:t>والحاصل</w:t>
      </w:r>
      <w:r w:rsidR="000636C2">
        <w:rPr>
          <w:rtl/>
          <w:lang w:bidi="ar-KW"/>
        </w:rPr>
        <w:t>:</w:t>
      </w:r>
      <w:r w:rsidRPr="005675B2">
        <w:rPr>
          <w:rtl/>
          <w:lang w:bidi="ar-KW"/>
        </w:rPr>
        <w:t xml:space="preserve"> أن الخلف لم يخالفوا السلف في الاعتقاد وإنما خالفوهم في تفسير المتشابه للمقتضي الذي حدث في زمانهم دون زمان السلف كما علمت، بل اعتقادهم واحد، وهو أن الآيات والأحاديث المتشابهات مصروفة عن ظاهرها الموهم تشبيهه تعالى بشيء من صفات الحوادث وأنه سبحانه وتعالى مخالف للحوادث، فليس بجسم ولا جوهر ولا عرض ولا مستقر على عرش ولا في سماء ولا يمر عليه زمان وليس له جهة إلى غير ذلك مما هو من نعوت المخلوقين</w:t>
      </w:r>
      <w:r w:rsidR="000636C2">
        <w:rPr>
          <w:rtl/>
          <w:lang w:bidi="ar-KW"/>
        </w:rPr>
        <w:t>،)</w:t>
      </w:r>
      <w:r w:rsidRPr="005675B2">
        <w:rPr>
          <w:rtl/>
          <w:lang w:bidi="ar-KW"/>
        </w:rPr>
        <w:t xml:space="preserve"> اهـ</w:t>
      </w:r>
      <w:r w:rsidR="000636C2">
        <w:rPr>
          <w:rtl/>
          <w:lang w:bidi="ar-KW"/>
        </w:rPr>
        <w:t>،</w:t>
      </w:r>
      <w:r w:rsidRPr="005675B2">
        <w:rPr>
          <w:rtl/>
          <w:lang w:bidi="ar-KW"/>
        </w:rPr>
        <w:t xml:space="preserve"> وعلى الجملة، فإن التأويل حق سواء ثبت النقل فيه عن السلف - وهو الحق كما سيأتي - أم لم يثبت، لأنه أسلوب عربي أصيل لفهم الكلام العربي، ويدخل في ضمنه كلام الله تعالى وكلام رسوله</w:t>
      </w:r>
      <w:r w:rsidR="000636C2">
        <w:rPr>
          <w:rtl/>
          <w:lang w:bidi="ar-KW"/>
        </w:rPr>
        <w:t>،</w:t>
      </w:r>
      <w:r w:rsidRPr="005675B2">
        <w:rPr>
          <w:rtl/>
          <w:lang w:bidi="ar-KW"/>
        </w:rPr>
        <w:t xml:space="preserve"> والقائل به لم يأت بدعاً من الأمر، ولكنه اتبع طريق العرب في فهم الكلام</w:t>
      </w:r>
      <w:r w:rsidR="000636C2">
        <w:rPr>
          <w:rtl/>
          <w:lang w:bidi="ar-KW"/>
        </w:rPr>
        <w:t>،</w:t>
      </w:r>
      <w:r w:rsidRPr="005675B2">
        <w:rPr>
          <w:rtl/>
          <w:lang w:bidi="ar-KW"/>
        </w:rPr>
        <w:t xml:space="preserve"> </w:t>
      </w:r>
    </w:p>
    <w:p w14:paraId="6AD9F946" w14:textId="77777777" w:rsidR="009C32A0" w:rsidRPr="005675B2" w:rsidRDefault="009C32A0" w:rsidP="000636C2">
      <w:pPr>
        <w:widowControl w:val="0"/>
        <w:spacing w:before="80" w:after="240"/>
        <w:jc w:val="center"/>
        <w:rPr>
          <w:b/>
          <w:bCs/>
          <w:rtl/>
          <w:lang w:bidi="ar-KW"/>
        </w:rPr>
      </w:pPr>
      <w:r w:rsidRPr="005675B2">
        <w:rPr>
          <w:rtl/>
          <w:lang w:bidi="ar-KW"/>
        </w:rPr>
        <w:t>* * * * *</w:t>
      </w:r>
    </w:p>
    <w:p w14:paraId="473CE3B9" w14:textId="48D5D826" w:rsidR="009C32A0" w:rsidRPr="005675B2" w:rsidRDefault="009C32A0" w:rsidP="000636C2">
      <w:pPr>
        <w:widowControl w:val="0"/>
        <w:spacing w:before="80" w:after="240"/>
        <w:rPr>
          <w:rtl/>
          <w:lang w:bidi="ar-KW"/>
        </w:rPr>
      </w:pPr>
      <w:r w:rsidRPr="005675B2">
        <w:rPr>
          <w:bCs/>
          <w:rtl/>
          <w:lang w:bidi="ar-KW"/>
        </w:rPr>
        <w:t>نماذج من تأويل علماء الأمة وأئمتها لنصوص الصفات</w:t>
      </w:r>
      <w:r w:rsidR="000636C2">
        <w:rPr>
          <w:rFonts w:hint="cs"/>
          <w:bCs/>
          <w:rtl/>
          <w:lang w:bidi="ar-KW"/>
        </w:rPr>
        <w:t xml:space="preserve">: </w:t>
      </w:r>
      <w:r w:rsidRPr="005675B2">
        <w:rPr>
          <w:rtl/>
          <w:lang w:bidi="ar-KW"/>
        </w:rPr>
        <w:t>قال الإمام الخطابي - رحمه الله تعالى - عند شرحه قول النبي</w:t>
      </w:r>
      <w:r w:rsidR="000636C2">
        <w:rPr>
          <w:rtl/>
          <w:lang w:bidi="ar-KW"/>
        </w:rPr>
        <w:t xml:space="preserve"> </w:t>
      </w:r>
      <w:r w:rsidRPr="005675B2">
        <w:rPr>
          <w:rtl/>
          <w:lang w:bidi="ar-KW"/>
        </w:rPr>
        <w:t xml:space="preserve">"وإنه ليئط به أطيط الرحل بالراكب " </w:t>
      </w:r>
      <w:r w:rsidR="000636C2">
        <w:rPr>
          <w:rtl/>
          <w:lang w:bidi="ar-KW"/>
        </w:rPr>
        <w:t>(</w:t>
      </w:r>
      <w:r w:rsidRPr="005675B2">
        <w:rPr>
          <w:rtl/>
          <w:lang w:bidi="ar-KW"/>
        </w:rPr>
        <w:t>معالم السنن 4 / 328</w:t>
      </w:r>
      <w:r w:rsidR="000636C2">
        <w:rPr>
          <w:rtl/>
          <w:lang w:bidi="ar-KW"/>
        </w:rPr>
        <w:t>):</w:t>
      </w:r>
      <w:r w:rsidRPr="005675B2">
        <w:rPr>
          <w:rFonts w:hint="cs"/>
          <w:rtl/>
          <w:lang w:bidi="ar-KW"/>
        </w:rPr>
        <w:t xml:space="preserve"> </w:t>
      </w:r>
      <w:r w:rsidR="000636C2">
        <w:rPr>
          <w:rtl/>
          <w:lang w:bidi="ar-KW"/>
        </w:rPr>
        <w:t>(</w:t>
      </w:r>
      <w:r w:rsidRPr="005675B2">
        <w:rPr>
          <w:rtl/>
          <w:lang w:bidi="ar-KW"/>
        </w:rPr>
        <w:t>هذا الكلام إذا جرى على ظاهره كان فيه نوع من الكيفية، والكيفية عن الله وصفاته منفية، فعقل أن ليس المراد منه تحقيق هذه الصفة، ولا تحديده على هذه الهيئة، وإنما هو كلام تقريب أريد به عظمة الله وجلاله سبحانه، وإنما قصد به إفهام السائل من حيث يدركه فهمه إذ كان أعرابياً جلفاً لا علم له بمعاني ما دق من الكلام وبما لطف منه عن درك الإفهام، وفي الكلام حذف وإضمار، فمعنى قوله " أتدري ما الله " معناه أتدري ما عظمة الله وجلاله، وقوله " إنه ليئط به " معناه إنه ليعجز عن جلاله وعظمته حتى يئط به، إذ كان معلوماً أن أطيط الرحل بالراكب إنما يكون لقوة ما فوقه ولعجزه عن احتماله، فقرر بهذا النوع من التمثيل عنده معنى عظمة الله وجلاله وارتفاع عرشه ليعلم أن الموصوف بعلو الشأن وجلالة القدر وفخامة الذكر لا يجعل شفيعاً إلى من هو دونه في القدر وأسفل منه في الدرجة، وتعالى الله أن يكون مشبهاً بشيء أو مكيفا بصورة خلق أو مدركاً بحد</w:t>
      </w:r>
      <w:r w:rsidR="000636C2">
        <w:rPr>
          <w:rtl/>
          <w:lang w:bidi="ar-KW"/>
        </w:rPr>
        <w:t>،</w:t>
      </w:r>
      <w:r w:rsidRPr="005675B2">
        <w:rPr>
          <w:rtl/>
          <w:lang w:bidi="ar-KW"/>
        </w:rPr>
        <w:t xml:space="preserve"> ليس كمثله شيء وهو السميع البصير</w:t>
      </w:r>
      <w:r w:rsidR="000636C2">
        <w:rPr>
          <w:rtl/>
          <w:lang w:bidi="ar-KW"/>
        </w:rPr>
        <w:t>)</w:t>
      </w:r>
      <w:r w:rsidRPr="005675B2">
        <w:rPr>
          <w:rtl/>
          <w:lang w:bidi="ar-KW"/>
        </w:rPr>
        <w:t xml:space="preserve"> اهـ</w:t>
      </w:r>
      <w:r w:rsidR="000636C2">
        <w:rPr>
          <w:rtl/>
          <w:lang w:bidi="ar-KW"/>
        </w:rPr>
        <w:t>،</w:t>
      </w:r>
      <w:r w:rsidRPr="005675B2">
        <w:rPr>
          <w:rtl/>
          <w:lang w:bidi="ar-KW"/>
        </w:rPr>
        <w:t xml:space="preserve"> </w:t>
      </w:r>
      <w:r w:rsidRPr="005675B2">
        <w:rPr>
          <w:rtl/>
          <w:lang w:val="uz-Latn-UZ"/>
        </w:rPr>
        <w:t xml:space="preserve">وأوّل محيي السنة الإمام البغوي حبَّ الله تعالى للمؤمنين بثنائه عليهم وثوابه لهم وعفوه عنهم </w:t>
      </w:r>
      <w:r w:rsidR="000636C2">
        <w:rPr>
          <w:rtl/>
          <w:lang w:val="uz-Latn-UZ"/>
        </w:rPr>
        <w:t>(</w:t>
      </w:r>
      <w:r w:rsidRPr="005675B2">
        <w:rPr>
          <w:rtl/>
          <w:lang w:val="uz-Latn-UZ"/>
        </w:rPr>
        <w:t>تفسير البغوي 1 / 293</w:t>
      </w:r>
      <w:r w:rsidR="000636C2">
        <w:rPr>
          <w:rtl/>
          <w:lang w:val="uz-Latn-UZ"/>
        </w:rPr>
        <w:t xml:space="preserve">)، </w:t>
      </w:r>
      <w:r w:rsidRPr="005675B2">
        <w:rPr>
          <w:rtl/>
          <w:lang w:val="uz-Latn-UZ"/>
        </w:rPr>
        <w:t>وتفسيره زاخر بما تقرّ به أعين المنزّهين لله تعالى</w:t>
      </w:r>
      <w:r w:rsidR="000636C2">
        <w:rPr>
          <w:rtl/>
          <w:lang w:val="uz-Latn-UZ"/>
        </w:rPr>
        <w:t xml:space="preserve">، </w:t>
      </w:r>
      <w:r w:rsidRPr="005675B2">
        <w:rPr>
          <w:rtl/>
          <w:lang w:bidi="ar-KW"/>
        </w:rPr>
        <w:t xml:space="preserve">وقال الإمام أبو نصرالقشيري رحمه الله تعالى </w:t>
      </w:r>
      <w:r w:rsidR="000636C2">
        <w:rPr>
          <w:rtl/>
          <w:lang w:bidi="ar-KW"/>
        </w:rPr>
        <w:t>(</w:t>
      </w:r>
      <w:r w:rsidRPr="005675B2">
        <w:rPr>
          <w:rtl/>
          <w:lang w:bidi="ar-KW"/>
        </w:rPr>
        <w:t>إتحاف السادة المتقين 2/ 110</w:t>
      </w:r>
      <w:r w:rsidR="000636C2">
        <w:rPr>
          <w:rtl/>
          <w:lang w:bidi="ar-KW"/>
        </w:rPr>
        <w:t>):</w:t>
      </w:r>
      <w:r w:rsidRPr="005675B2">
        <w:rPr>
          <w:rFonts w:hint="cs"/>
          <w:rtl/>
          <w:lang w:bidi="ar-KW"/>
        </w:rPr>
        <w:t xml:space="preserve"> </w:t>
      </w:r>
      <w:r w:rsidR="000636C2">
        <w:rPr>
          <w:rtl/>
          <w:lang w:bidi="ar-KW"/>
        </w:rPr>
        <w:t>(</w:t>
      </w:r>
      <w:r w:rsidRPr="005675B2">
        <w:rPr>
          <w:rtl/>
          <w:lang w:bidi="ar-KW"/>
        </w:rPr>
        <w:t>كيف يسوغ لقائل أن يقول</w:t>
      </w:r>
      <w:r w:rsidR="000636C2">
        <w:rPr>
          <w:rtl/>
          <w:lang w:bidi="ar-KW"/>
        </w:rPr>
        <w:t>:</w:t>
      </w:r>
      <w:r w:rsidRPr="005675B2">
        <w:rPr>
          <w:rtl/>
          <w:lang w:bidi="ar-KW"/>
        </w:rPr>
        <w:t xml:space="preserve"> في كتاب الله تعالى ما ليس لمخلوق سبيل إلى معرفته ولا يعلم تأويله إلا الله، أليس هذا من أعظم القدح في النبوات</w:t>
      </w:r>
      <w:r w:rsidR="000636C2">
        <w:rPr>
          <w:rtl/>
          <w:lang w:bidi="ar-KW"/>
        </w:rPr>
        <w:t>؟!</w:t>
      </w:r>
      <w:r w:rsidRPr="005675B2">
        <w:rPr>
          <w:rtl/>
          <w:lang w:bidi="ar-KW"/>
        </w:rPr>
        <w:t xml:space="preserve"> وأن النبي</w:t>
      </w:r>
      <w:r w:rsidR="000636C2">
        <w:rPr>
          <w:rtl/>
          <w:lang w:bidi="ar-KW"/>
        </w:rPr>
        <w:t xml:space="preserve"> </w:t>
      </w:r>
      <w:r w:rsidRPr="005675B2">
        <w:rPr>
          <w:rtl/>
          <w:lang w:bidi="ar-KW"/>
        </w:rPr>
        <w:t xml:space="preserve">ما عرف تأويل ما ورد في صفـات الله تعالى، ودعا الخلق إلى علم ما لا يعلم، أليس الله يقول </w:t>
      </w:r>
      <w:r w:rsidR="000636C2">
        <w:rPr>
          <w:bCs/>
          <w:rtl/>
          <w:lang w:bidi="ar-KW"/>
        </w:rPr>
        <w:t>(</w:t>
      </w:r>
      <w:r w:rsidRPr="005675B2">
        <w:rPr>
          <w:bCs/>
          <w:rtl/>
          <w:lang w:bidi="ar-KW"/>
        </w:rPr>
        <w:t>بلسان عربي مبين</w:t>
      </w:r>
      <w:r w:rsidR="000636C2">
        <w:rPr>
          <w:bCs/>
          <w:rtl/>
          <w:lang w:bidi="ar-KW"/>
        </w:rPr>
        <w:t>)</w:t>
      </w:r>
      <w:r w:rsidRPr="005675B2">
        <w:rPr>
          <w:bCs/>
          <w:rtl/>
          <w:lang w:bidi="ar-KW"/>
        </w:rPr>
        <w:t xml:space="preserve"> </w:t>
      </w:r>
      <w:r w:rsidRPr="005675B2">
        <w:rPr>
          <w:rtl/>
          <w:lang w:bidi="ar-KW"/>
        </w:rPr>
        <w:t xml:space="preserve">فإذاً – على زعمهم – يجب أن يقولوا كذب حيث قال </w:t>
      </w:r>
      <w:r w:rsidR="000636C2">
        <w:rPr>
          <w:bCs/>
          <w:rtl/>
          <w:lang w:bidi="ar-KW"/>
        </w:rPr>
        <w:t>(</w:t>
      </w:r>
      <w:r w:rsidRPr="005675B2">
        <w:rPr>
          <w:bCs/>
          <w:rtl/>
          <w:lang w:bidi="ar-KW"/>
        </w:rPr>
        <w:t>بلسان عربي مبين</w:t>
      </w:r>
      <w:r w:rsidR="000636C2">
        <w:rPr>
          <w:bCs/>
          <w:rtl/>
          <w:lang w:bidi="ar-KW"/>
        </w:rPr>
        <w:t>)</w:t>
      </w:r>
      <w:r w:rsidRPr="005675B2">
        <w:rPr>
          <w:bCs/>
          <w:rtl/>
          <w:lang w:bidi="ar-KW"/>
        </w:rPr>
        <w:t xml:space="preserve"> </w:t>
      </w:r>
      <w:r w:rsidRPr="005675B2">
        <w:rPr>
          <w:rtl/>
          <w:lang w:bidi="ar-KW"/>
        </w:rPr>
        <w:t>إذ لم يكن معلوماً عندهم، وإلا فأين هذا البيان، وإذا كان بلغة العرب فكيف يدعى بأنه مما لا تعلمه العرب</w:t>
      </w:r>
      <w:r w:rsidR="000636C2">
        <w:rPr>
          <w:rtl/>
          <w:lang w:bidi="ar-KW"/>
        </w:rPr>
        <w:t>؟</w:t>
      </w:r>
      <w:r w:rsidRPr="005675B2">
        <w:rPr>
          <w:rtl/>
          <w:lang w:bidi="ar-KW"/>
        </w:rPr>
        <w:t xml:space="preserve"> ولو كان كذلك لما كان ذلك الشيء عربياً .. ونسبة النبي</w:t>
      </w:r>
      <w:r w:rsidR="000636C2">
        <w:rPr>
          <w:rtl/>
          <w:lang w:bidi="ar-KW"/>
        </w:rPr>
        <w:t xml:space="preserve"> </w:t>
      </w:r>
      <w:r w:rsidRPr="005675B2">
        <w:rPr>
          <w:rtl/>
          <w:lang w:bidi="ar-KW"/>
        </w:rPr>
        <w:t>إلى أنه دعا إلى رب موصوف بصفات لا تعقل، أمر عظيم لا يتخيله مسلم، فإن الجهل بالصفات يؤدي إلى الجهل بالموصوف</w:t>
      </w:r>
      <w:r w:rsidR="000636C2">
        <w:rPr>
          <w:rtl/>
          <w:lang w:bidi="ar-KW"/>
        </w:rPr>
        <w:t>،</w:t>
      </w:r>
      <w:r w:rsidRPr="005675B2">
        <w:rPr>
          <w:rtl/>
          <w:lang w:bidi="ar-KW"/>
        </w:rPr>
        <w:t xml:space="preserve"> والغرض</w:t>
      </w:r>
      <w:r w:rsidR="000636C2">
        <w:rPr>
          <w:rtl/>
          <w:lang w:bidi="ar-KW"/>
        </w:rPr>
        <w:t>:</w:t>
      </w:r>
      <w:r w:rsidRPr="005675B2">
        <w:rPr>
          <w:rtl/>
          <w:lang w:bidi="ar-KW"/>
        </w:rPr>
        <w:t xml:space="preserve"> أن يستبين من معه مسكة من العقل أن قول من يقول</w:t>
      </w:r>
      <w:r w:rsidR="000636C2">
        <w:rPr>
          <w:rtl/>
          <w:lang w:bidi="ar-KW"/>
        </w:rPr>
        <w:t>:</w:t>
      </w:r>
      <w:r w:rsidRPr="005675B2">
        <w:rPr>
          <w:rtl/>
          <w:lang w:bidi="ar-KW"/>
        </w:rPr>
        <w:t xml:space="preserve"> استواؤه صفة ذاتية لا يعقل معناه، واليد صفة ذاتية لا يعقل معناها، والقدم صفة ذاتيـة لا يعقل معناه، تمويه ضمنه تكييف وتشبيه ودعاء إلى الجهل، وقد وضح الحق لذي عينين</w:t>
      </w:r>
      <w:r w:rsidR="000636C2">
        <w:rPr>
          <w:rtl/>
          <w:lang w:bidi="ar-KW"/>
        </w:rPr>
        <w:t>،</w:t>
      </w:r>
      <w:r w:rsidRPr="005675B2">
        <w:rPr>
          <w:rtl/>
          <w:lang w:bidi="ar-KW"/>
        </w:rPr>
        <w:t xml:space="preserve"> وليت شعري، هذا الذي ينكر التأويل يطرد هذا الإنكار في كل شيء وفي كل آية، أم يقنع بترك التأويل في صفات الله تعالى</w:t>
      </w:r>
      <w:r w:rsidR="000636C2">
        <w:rPr>
          <w:rtl/>
          <w:lang w:bidi="ar-KW"/>
        </w:rPr>
        <w:t>؟</w:t>
      </w:r>
      <w:r w:rsidRPr="005675B2">
        <w:rPr>
          <w:rtl/>
          <w:lang w:bidi="ar-KW"/>
        </w:rPr>
        <w:t xml:space="preserve"> فإن امتنع من التأويل أصلاً فقد أبطل الشريعة والعلوم، إذ ما من آية وخبر إلا ويحتاج إلى تأويل وتصرفٍ في الكلام، لأن ثَمّ أشياء لابد من تأويلها لا خلاف بين العقلاء فيه إلا الملحدة الذين قصدهم التعطيل للشرائع، والاعتقاد لهذا يؤدي إلى إبطال ما هو عليه من التمسك بالشرع</w:t>
      </w:r>
      <w:r w:rsidR="000636C2">
        <w:rPr>
          <w:rtl/>
          <w:lang w:bidi="ar-KW"/>
        </w:rPr>
        <w:t xml:space="preserve">، </w:t>
      </w:r>
      <w:r w:rsidRPr="005675B2">
        <w:rPr>
          <w:rtl/>
          <w:lang w:bidi="ar-KW"/>
        </w:rPr>
        <w:t>وإن قال</w:t>
      </w:r>
      <w:r w:rsidR="000636C2">
        <w:rPr>
          <w:rtl/>
          <w:lang w:bidi="ar-KW"/>
        </w:rPr>
        <w:t>:</w:t>
      </w:r>
      <w:r w:rsidRPr="005675B2">
        <w:rPr>
          <w:rtl/>
          <w:lang w:bidi="ar-KW"/>
        </w:rPr>
        <w:t xml:space="preserve"> يجوز التأويل على الجملة إلا فيما يتعلق بالله وصفاته فلا تأويل فيه</w:t>
      </w:r>
      <w:r w:rsidR="000636C2">
        <w:rPr>
          <w:rtl/>
          <w:lang w:bidi="ar-KW"/>
        </w:rPr>
        <w:t>،</w:t>
      </w:r>
      <w:r w:rsidRPr="005675B2">
        <w:rPr>
          <w:rtl/>
          <w:lang w:bidi="ar-KW"/>
        </w:rPr>
        <w:t xml:space="preserve"> فهذا يصير منه إلى أن ما يتعلق بغير الله تعالى يجب أن يعلم، وما يتعلق بالصانع وصفاته يجب التقاصي عنه، وهذا لا يرضى به مسلم</w:t>
      </w:r>
      <w:r w:rsidR="000636C2">
        <w:rPr>
          <w:rtl/>
          <w:lang w:bidi="ar-KW"/>
        </w:rPr>
        <w:t>،</w:t>
      </w:r>
      <w:r w:rsidRPr="005675B2">
        <w:rPr>
          <w:rtl/>
          <w:lang w:bidi="ar-KW"/>
        </w:rPr>
        <w:t xml:space="preserve"> وسر الأمر أن هؤلاء الذين يمتنعون عن التأويل معتقدون حقيقة التشبيه غير أنهم يدلسون ويقولون</w:t>
      </w:r>
      <w:r w:rsidR="000636C2">
        <w:rPr>
          <w:rtl/>
          <w:lang w:bidi="ar-KW"/>
        </w:rPr>
        <w:t>:</w:t>
      </w:r>
      <w:r w:rsidRPr="005675B2">
        <w:rPr>
          <w:rtl/>
          <w:lang w:bidi="ar-KW"/>
        </w:rPr>
        <w:t xml:space="preserve"> له يد لا كالأيدي وقدم لا كالأقدام، واستواء بالذات لا كما نعقل فيما بيننا، فليقل المحقق</w:t>
      </w:r>
      <w:r w:rsidR="000636C2">
        <w:rPr>
          <w:rtl/>
          <w:lang w:bidi="ar-KW"/>
        </w:rPr>
        <w:t>:</w:t>
      </w:r>
      <w:r w:rsidRPr="005675B2">
        <w:rPr>
          <w:rtl/>
          <w:lang w:bidi="ar-KW"/>
        </w:rPr>
        <w:t xml:space="preserve"> هذا كلام لابد فيه من استبيان، قولكم</w:t>
      </w:r>
      <w:r w:rsidR="000636C2">
        <w:rPr>
          <w:rtl/>
          <w:lang w:bidi="ar-KW"/>
        </w:rPr>
        <w:t>:</w:t>
      </w:r>
      <w:r w:rsidRPr="005675B2">
        <w:rPr>
          <w:rtl/>
          <w:lang w:bidi="ar-KW"/>
        </w:rPr>
        <w:t xml:space="preserve"> نُجري الأمر على الظاهر ولا يعقل معناه تناقض، إن أجريت على الظاهر فظاهر السياق في قوله تعالى </w:t>
      </w:r>
      <w:r w:rsidR="000636C2">
        <w:rPr>
          <w:bCs/>
          <w:rtl/>
          <w:lang w:bidi="ar-KW"/>
        </w:rPr>
        <w:t>(</w:t>
      </w:r>
      <w:r w:rsidRPr="005675B2">
        <w:rPr>
          <w:bCs/>
          <w:rtl/>
          <w:lang w:bidi="ar-KW"/>
        </w:rPr>
        <w:t>يوم يكشف عن ساق</w:t>
      </w:r>
      <w:r w:rsidR="000636C2">
        <w:rPr>
          <w:bCs/>
          <w:rtl/>
          <w:lang w:bidi="ar-KW"/>
        </w:rPr>
        <w:t>)</w:t>
      </w:r>
      <w:r w:rsidRPr="005675B2">
        <w:rPr>
          <w:bCs/>
          <w:rtl/>
          <w:lang w:bidi="ar-KW"/>
        </w:rPr>
        <w:t xml:space="preserve"> </w:t>
      </w:r>
      <w:r w:rsidRPr="005675B2">
        <w:rPr>
          <w:rtl/>
          <w:lang w:bidi="ar-KW"/>
        </w:rPr>
        <w:t>هو العضو المشتمل على الجلد واللحم والعظم والعصب والمخ، فإن أخذت بهذا الظاهر والتزمت بالإقرار بهذه الأعضاء فهو الكفر، وإن لم يمكنك الأخذ بها فأين الأخذ بالظاهر</w:t>
      </w:r>
      <w:r w:rsidR="000636C2">
        <w:rPr>
          <w:rtl/>
          <w:lang w:bidi="ar-KW"/>
        </w:rPr>
        <w:t>؟</w:t>
      </w:r>
      <w:r w:rsidRPr="005675B2">
        <w:rPr>
          <w:rtl/>
          <w:lang w:bidi="ar-KW"/>
        </w:rPr>
        <w:t xml:space="preserve"> ألست قد تركت الظاهر وعلمت تقدس الرب تعالى عما يوهم الظاهر فكيف يكون أخذاً بالظاهر</w:t>
      </w:r>
      <w:r w:rsidR="000636C2">
        <w:rPr>
          <w:rtl/>
          <w:lang w:bidi="ar-KW"/>
        </w:rPr>
        <w:t>؟!</w:t>
      </w:r>
      <w:r w:rsidRPr="005675B2">
        <w:rPr>
          <w:rtl/>
          <w:lang w:bidi="ar-KW"/>
        </w:rPr>
        <w:t xml:space="preserve"> وإن قال الخصم</w:t>
      </w:r>
      <w:r w:rsidR="000636C2">
        <w:rPr>
          <w:rtl/>
          <w:lang w:bidi="ar-KW"/>
        </w:rPr>
        <w:t>:</w:t>
      </w:r>
      <w:r w:rsidRPr="005675B2">
        <w:rPr>
          <w:rtl/>
          <w:lang w:bidi="ar-KW"/>
        </w:rPr>
        <w:t xml:space="preserve"> هذه الظواهر لا معنى لها أصلاً</w:t>
      </w:r>
      <w:r w:rsidR="000636C2">
        <w:rPr>
          <w:rtl/>
          <w:lang w:bidi="ar-KW"/>
        </w:rPr>
        <w:t>،</w:t>
      </w:r>
      <w:r w:rsidRPr="005675B2">
        <w:rPr>
          <w:rtl/>
          <w:lang w:bidi="ar-KW"/>
        </w:rPr>
        <w:t xml:space="preserve"> فهو حكم بأنها ملغاة وما كان في إبلاغها إلينا فائدة وهي هدر، وهذا محال</w:t>
      </w:r>
      <w:r w:rsidR="000636C2">
        <w:rPr>
          <w:rtl/>
          <w:lang w:bidi="ar-KW"/>
        </w:rPr>
        <w:t>،</w:t>
      </w:r>
      <w:r w:rsidRPr="005675B2">
        <w:rPr>
          <w:rtl/>
          <w:lang w:bidi="ar-KW"/>
        </w:rPr>
        <w:t xml:space="preserve"> وفي لغة العرب ما شئت من التجوز والتوسع في الخطاب وكانوا يعرفون موارد الكلام ويفهمون المقاصد، فمن تجافى عن التأويل فذلك لقلة فهمه بالعربية، ومن أحاط بطرف من العربية هان عليه مدرك الحقائق، وقد قيل </w:t>
      </w:r>
      <w:r w:rsidR="000636C2">
        <w:rPr>
          <w:bCs/>
          <w:rtl/>
          <w:lang w:bidi="ar-KW"/>
        </w:rPr>
        <w:t>(</w:t>
      </w:r>
      <w:r w:rsidRPr="005675B2">
        <w:rPr>
          <w:bCs/>
          <w:rtl/>
          <w:lang w:bidi="ar-KW"/>
        </w:rPr>
        <w:t>وما يعلم تأويله إلا الله</w:t>
      </w:r>
      <w:r w:rsidR="000636C2">
        <w:rPr>
          <w:bCs/>
          <w:rtl/>
          <w:lang w:bidi="ar-KW"/>
        </w:rPr>
        <w:t>،</w:t>
      </w:r>
      <w:r w:rsidRPr="005675B2">
        <w:rPr>
          <w:bCs/>
          <w:rtl/>
          <w:lang w:bidi="ar-KW"/>
        </w:rPr>
        <w:t xml:space="preserve"> والراسخون في العلم</w:t>
      </w:r>
      <w:r w:rsidR="000636C2">
        <w:rPr>
          <w:bCs/>
          <w:rtl/>
          <w:lang w:bidi="ar-KW"/>
        </w:rPr>
        <w:t>)</w:t>
      </w:r>
      <w:r w:rsidRPr="005675B2">
        <w:rPr>
          <w:rtl/>
          <w:lang w:bidi="ar-KW"/>
        </w:rPr>
        <w:t xml:space="preserve"> فكأنه قال والراسخون في العلم أيضاً يعلمونه ويقولون آمنا به فإن الإيمان بالشيء إنما يتصور بعد العلم، أما ما لا يعلم فالإيمان به غير متأت، ولهذا قال ابن عباس</w:t>
      </w:r>
      <w:r w:rsidR="000636C2">
        <w:rPr>
          <w:rtl/>
          <w:lang w:bidi="ar-KW"/>
        </w:rPr>
        <w:t>:</w:t>
      </w:r>
      <w:r w:rsidRPr="005675B2">
        <w:rPr>
          <w:rtl/>
          <w:lang w:bidi="ar-KW"/>
        </w:rPr>
        <w:t xml:space="preserve"> أنا من الراسخين في العلم</w:t>
      </w:r>
      <w:r w:rsidR="000636C2">
        <w:rPr>
          <w:rtl/>
          <w:lang w:bidi="ar-KW"/>
        </w:rPr>
        <w:t>)</w:t>
      </w:r>
      <w:r w:rsidRPr="005675B2">
        <w:rPr>
          <w:rtl/>
          <w:lang w:bidi="ar-KW"/>
        </w:rPr>
        <w:t xml:space="preserve"> انـتـهى قول الإمام القشيري رحمه الله</w:t>
      </w:r>
      <w:r w:rsidR="000636C2">
        <w:rPr>
          <w:rtl/>
          <w:lang w:bidi="ar-KW"/>
        </w:rPr>
        <w:t>،</w:t>
      </w:r>
      <w:r w:rsidRPr="005675B2">
        <w:rPr>
          <w:rtl/>
          <w:lang w:bidi="ar-KW"/>
        </w:rPr>
        <w:t xml:space="preserve"> ونقل الحافظ ابن حجر عن ابن دقيق العيد مؤيداً له في شرحـه لحديث " لا شخص أغير من الله " </w:t>
      </w:r>
      <w:r w:rsidR="000636C2">
        <w:rPr>
          <w:rtl/>
          <w:lang w:bidi="ar-KW"/>
        </w:rPr>
        <w:t>(</w:t>
      </w:r>
      <w:r w:rsidRPr="005675B2">
        <w:rPr>
          <w:rtl/>
          <w:lang w:bidi="ar-KW"/>
        </w:rPr>
        <w:t>الفتح 13 / 411</w:t>
      </w:r>
      <w:r w:rsidR="000636C2">
        <w:rPr>
          <w:rtl/>
          <w:lang w:bidi="ar-KW"/>
        </w:rPr>
        <w:t>)</w:t>
      </w:r>
      <w:r w:rsidRPr="005675B2">
        <w:rPr>
          <w:rtl/>
          <w:lang w:bidi="ar-KW"/>
        </w:rPr>
        <w:t xml:space="preserve"> قال</w:t>
      </w:r>
      <w:r w:rsidR="000636C2">
        <w:rPr>
          <w:rtl/>
          <w:lang w:bidi="ar-KW"/>
        </w:rPr>
        <w:t>:</w:t>
      </w:r>
      <w:r w:rsidRPr="005675B2">
        <w:rPr>
          <w:rFonts w:hint="cs"/>
          <w:rtl/>
          <w:lang w:bidi="ar-KW"/>
        </w:rPr>
        <w:t xml:space="preserve"> </w:t>
      </w:r>
      <w:r w:rsidR="000636C2">
        <w:rPr>
          <w:rtl/>
          <w:lang w:bidi="ar-KW"/>
        </w:rPr>
        <w:t>(</w:t>
      </w:r>
      <w:r w:rsidRPr="005675B2">
        <w:rPr>
          <w:rtl/>
          <w:lang w:bidi="ar-KW"/>
        </w:rPr>
        <w:t>قال ابن دقيق العيد</w:t>
      </w:r>
      <w:r w:rsidR="000636C2">
        <w:rPr>
          <w:rtl/>
          <w:lang w:bidi="ar-KW"/>
        </w:rPr>
        <w:t>:</w:t>
      </w:r>
      <w:r w:rsidRPr="005675B2">
        <w:rPr>
          <w:rtl/>
          <w:lang w:bidi="ar-KW"/>
        </w:rPr>
        <w:t xml:space="preserve"> المنزهون لله إما ساكت عن التأويل، وإما مؤول، والثاني - يعني المؤول - يقول المراد بالغيرة المنع من الشيء والحماية، وهما من لوازم الغيرة، فأطلقت على سبيل المجاز، كالملازمة وغيرها من الأوجه الشائعة في لسان العرب</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النووي - رحمه الله - </w:t>
      </w:r>
      <w:r w:rsidR="000636C2">
        <w:rPr>
          <w:rtl/>
          <w:lang w:bidi="ar-KW"/>
        </w:rPr>
        <w:t>(</w:t>
      </w:r>
      <w:r w:rsidRPr="005675B2">
        <w:rPr>
          <w:rtl/>
          <w:lang w:bidi="ar-KW"/>
        </w:rPr>
        <w:t>شرح مسلم 5 / 24</w:t>
      </w:r>
      <w:r w:rsidR="000636C2">
        <w:rPr>
          <w:rtl/>
          <w:lang w:bidi="ar-KW"/>
        </w:rPr>
        <w:t>)</w:t>
      </w:r>
      <w:r w:rsidRPr="005675B2">
        <w:rPr>
          <w:rtl/>
          <w:lang w:bidi="ar-KW"/>
        </w:rPr>
        <w:t xml:space="preserve"> في شرح حديث إمساك السموات على أصبع والأرضين على أصبع " ما نصه</w:t>
      </w:r>
      <w:r w:rsidR="000636C2">
        <w:rPr>
          <w:rtl/>
          <w:lang w:bidi="ar-KW"/>
        </w:rPr>
        <w:t>:</w:t>
      </w:r>
      <w:r w:rsidRPr="005675B2">
        <w:rPr>
          <w:rFonts w:hint="cs"/>
          <w:rtl/>
          <w:lang w:bidi="ar-KW"/>
        </w:rPr>
        <w:t xml:space="preserve"> </w:t>
      </w:r>
      <w:r w:rsidR="000636C2">
        <w:rPr>
          <w:rtl/>
          <w:lang w:bidi="ar-KW"/>
        </w:rPr>
        <w:t>(</w:t>
      </w:r>
      <w:r w:rsidRPr="005675B2">
        <w:rPr>
          <w:rtl/>
          <w:lang w:bidi="ar-KW"/>
        </w:rPr>
        <w:t>هذا من أحاديث الصفات وقد سبق فيها المذهبان التأويل والإمساك ..</w:t>
      </w:r>
      <w:r w:rsidR="000636C2">
        <w:rPr>
          <w:rtl/>
          <w:lang w:bidi="ar-KW"/>
        </w:rPr>
        <w:t>)</w:t>
      </w:r>
      <w:r w:rsidRPr="005675B2">
        <w:rPr>
          <w:rtl/>
          <w:lang w:bidi="ar-KW"/>
        </w:rPr>
        <w:t xml:space="preserve"> ثم قال بعد صفحات </w:t>
      </w:r>
      <w:r w:rsidR="000636C2">
        <w:rPr>
          <w:rtl/>
          <w:lang w:bidi="ar-KW"/>
        </w:rPr>
        <w:t>(</w:t>
      </w:r>
      <w:r w:rsidRPr="005675B2">
        <w:rPr>
          <w:rtl/>
          <w:lang w:bidi="ar-KW"/>
        </w:rPr>
        <w:t>وأما إطلاق اليدين لله تعالى فمتأول على القدرة، وكنى عن ذلك باليدين لأن أفعالنا تقع باليدين، فخوطبنا بما نفهمه ليكون أوضح وأوكد في النفوس، ولا تمثيل لصفة الله تعالى السمعية المسماة باليد التي ليست بجارحة، والله تعالى أعلم بمراد نبيه صلى الله تعالى عليه وعلى آله وسلم فيما ورد في هذه الأحاديث من مشكل ونحن نؤمن بالله تعالى وصفاته ولا نشبه شيئاً به ولا نشبهه بشيء</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اللغوي النحوي ابن السيد البطليوسي - رحمه الله تعالى - بعد أن ذكر حديث النزول في سياق إثباته للمجاز </w:t>
      </w:r>
      <w:r w:rsidR="000636C2">
        <w:rPr>
          <w:rtl/>
          <w:lang w:bidi="ar-KW"/>
        </w:rPr>
        <w:t>(</w:t>
      </w:r>
      <w:r w:rsidRPr="005675B2">
        <w:rPr>
          <w:rtl/>
          <w:lang w:bidi="ar-KW"/>
        </w:rPr>
        <w:t>الإنصاف ص/ 82</w:t>
      </w:r>
      <w:r w:rsidR="000636C2">
        <w:rPr>
          <w:rtl/>
          <w:lang w:bidi="ar-KW"/>
        </w:rPr>
        <w:t>):</w:t>
      </w:r>
      <w:r w:rsidRPr="005675B2">
        <w:rPr>
          <w:rFonts w:hint="cs"/>
          <w:rtl/>
          <w:lang w:bidi="ar-KW"/>
        </w:rPr>
        <w:t xml:space="preserve"> </w:t>
      </w:r>
      <w:r w:rsidR="000636C2">
        <w:rPr>
          <w:rtl/>
          <w:lang w:bidi="ar-KW"/>
        </w:rPr>
        <w:t>(</w:t>
      </w:r>
      <w:r w:rsidRPr="005675B2">
        <w:rPr>
          <w:rtl/>
          <w:lang w:bidi="ar-KW"/>
        </w:rPr>
        <w:t>جعلته المجسمة نزولا على الحقيقة، تعالى الله عما يقول الظالمون علواً كبيراً، وقد أجمع العارفون بالله عز وجل على أنه لا ينتقل لأن الانتقال من صفات المحدثات، ولهذا الحديث تأويلان صحيحان لا يقتضيان شيئاً من التشبيه</w:t>
      </w:r>
      <w:r w:rsidR="000636C2">
        <w:rPr>
          <w:rtl/>
          <w:lang w:bidi="ar-KW"/>
        </w:rPr>
        <w:t>:</w:t>
      </w:r>
      <w:r w:rsidRPr="005675B2">
        <w:rPr>
          <w:rFonts w:hint="cs"/>
          <w:rtl/>
          <w:lang w:bidi="ar-KW"/>
        </w:rPr>
        <w:t xml:space="preserve"> </w:t>
      </w:r>
      <w:r w:rsidRPr="005675B2">
        <w:rPr>
          <w:rtl/>
          <w:lang w:bidi="ar-KW"/>
        </w:rPr>
        <w:t>أحدهما أشار إليه مالك رحمه الله وقد سئل عن هذا الحديث فقال</w:t>
      </w:r>
      <w:r w:rsidR="000636C2">
        <w:rPr>
          <w:rtl/>
          <w:lang w:bidi="ar-KW"/>
        </w:rPr>
        <w:t>:</w:t>
      </w:r>
      <w:r w:rsidRPr="005675B2">
        <w:rPr>
          <w:rtl/>
          <w:lang w:bidi="ar-KW"/>
        </w:rPr>
        <w:t xml:space="preserve"> ينزل أمره كل سحر، فأما هو عز وجل فإنه دائم لا يزول ولا ينتقل سبحانه لا إله إلا هو</w:t>
      </w:r>
      <w:r w:rsidR="000636C2">
        <w:rPr>
          <w:rtl/>
          <w:lang w:bidi="ar-KW"/>
        </w:rPr>
        <w:t>،</w:t>
      </w:r>
      <w:r w:rsidRPr="005675B2">
        <w:rPr>
          <w:rtl/>
          <w:lang w:bidi="ar-KW"/>
        </w:rPr>
        <w:t xml:space="preserve"> وسئل الأوزاعي فقال</w:t>
      </w:r>
      <w:r w:rsidR="000636C2">
        <w:rPr>
          <w:rtl/>
          <w:lang w:bidi="ar-KW"/>
        </w:rPr>
        <w:t>:</w:t>
      </w:r>
      <w:r w:rsidRPr="005675B2">
        <w:rPr>
          <w:rtl/>
          <w:lang w:bidi="ar-KW"/>
        </w:rPr>
        <w:t xml:space="preserve"> يفعل الله ما يشاء</w:t>
      </w:r>
      <w:r w:rsidRPr="005675B2">
        <w:rPr>
          <w:rFonts w:hint="cs"/>
          <w:rtl/>
          <w:lang w:bidi="ar-KW"/>
        </w:rPr>
        <w:t xml:space="preserve"> </w:t>
      </w:r>
      <w:r w:rsidR="000636C2">
        <w:rPr>
          <w:rFonts w:hint="cs"/>
          <w:sz w:val="24"/>
          <w:szCs w:val="24"/>
          <w:rtl/>
          <w:lang w:bidi="ar-KW"/>
        </w:rPr>
        <w:t>[</w:t>
      </w:r>
      <w:r w:rsidRPr="005675B2">
        <w:rPr>
          <w:sz w:val="24"/>
          <w:szCs w:val="24"/>
          <w:rtl/>
        </w:rPr>
        <w:t>ذكر قول الأوزاعي هذا الإمام أبو عمرو الداني رحمه الله تعالى ثم قال: أي يظهر الله من أفعاله ما يشاء. اهـ الرسالة الوافية ص/137</w:t>
      </w:r>
      <w:r w:rsidR="000636C2">
        <w:rPr>
          <w:rFonts w:hint="cs"/>
          <w:sz w:val="24"/>
          <w:szCs w:val="24"/>
          <w:rtl/>
        </w:rPr>
        <w:t>]،</w:t>
      </w:r>
      <w:r w:rsidR="000636C2">
        <w:rPr>
          <w:rtl/>
          <w:lang w:bidi="ar-KW"/>
        </w:rPr>
        <w:t xml:space="preserve"> </w:t>
      </w:r>
      <w:r w:rsidRPr="005675B2">
        <w:rPr>
          <w:rtl/>
          <w:lang w:bidi="ar-KW"/>
        </w:rPr>
        <w:t>وهذا تلويح يحتاج إلى تصريح، وخفي إشارة يحتاج إلى تبيين عبارة</w:t>
      </w:r>
      <w:r w:rsidR="000636C2">
        <w:rPr>
          <w:rtl/>
          <w:lang w:bidi="ar-KW"/>
        </w:rPr>
        <w:t>)</w:t>
      </w:r>
      <w:r w:rsidR="000636C2">
        <w:rPr>
          <w:rFonts w:hint="cs"/>
          <w:rtl/>
          <w:lang w:bidi="ar-KW"/>
        </w:rPr>
        <w:t xml:space="preserve">، </w:t>
      </w:r>
      <w:r w:rsidRPr="005675B2">
        <w:rPr>
          <w:rtl/>
          <w:lang w:bidi="ar-KW"/>
        </w:rPr>
        <w:t>ثم أخذ رحمه الله ببيان حقيقة ما قالاه على أساليب العرب واستعاراتها، وذكر أن العرب تنسب الفعل إلى من أمر به كما تنسبه إلى من فعله وباشره ومعنى النزول في الحديث أن الله تعالى يأمر ملكاً بالنزول إلى السماء الدنيا فينادي بأمره، ثم قال رحمه الله</w:t>
      </w:r>
      <w:r w:rsidR="000636C2">
        <w:rPr>
          <w:rtl/>
          <w:lang w:bidi="ar-KW"/>
        </w:rPr>
        <w:t>:</w:t>
      </w:r>
      <w:r w:rsidRPr="005675B2">
        <w:rPr>
          <w:rtl/>
          <w:lang w:bidi="ar-KW"/>
        </w:rPr>
        <w:t xml:space="preserve"> </w:t>
      </w:r>
      <w:r w:rsidR="000636C2">
        <w:rPr>
          <w:rtl/>
          <w:lang w:bidi="ar-KW"/>
        </w:rPr>
        <w:t>(</w:t>
      </w:r>
      <w:r w:rsidRPr="005675B2">
        <w:rPr>
          <w:rtl/>
          <w:lang w:bidi="ar-KW"/>
        </w:rPr>
        <w:t>فهذا تأويل كما تراه صحيح جار على فصيح كلام العرب في محاوراتها والمتعارف من أساليبها ومخاطباتها، وهو شرح ما أراده مالك والأوزاعي رحمهما الله</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قال الإمام أبو بكر بن العربي - رحمه الله - </w:t>
      </w:r>
      <w:r w:rsidR="000636C2">
        <w:rPr>
          <w:rtl/>
          <w:lang w:bidi="ar-KW"/>
        </w:rPr>
        <w:t>(</w:t>
      </w:r>
      <w:r w:rsidRPr="005675B2">
        <w:rPr>
          <w:rtl/>
          <w:lang w:bidi="ar-KW"/>
        </w:rPr>
        <w:t>القبس شرح الموطأ 1 / 288 – 289</w:t>
      </w:r>
      <w:r w:rsidR="000636C2">
        <w:rPr>
          <w:rtl/>
          <w:lang w:bidi="ar-KW"/>
        </w:rPr>
        <w:t>):</w:t>
      </w:r>
      <w:r w:rsidRPr="005675B2">
        <w:rPr>
          <w:rFonts w:hint="cs"/>
          <w:rtl/>
          <w:lang w:bidi="ar-KW"/>
        </w:rPr>
        <w:t xml:space="preserve"> </w:t>
      </w:r>
      <w:r w:rsidR="000636C2">
        <w:rPr>
          <w:rtl/>
          <w:lang w:bidi="ar-KW"/>
        </w:rPr>
        <w:t>(</w:t>
      </w:r>
      <w:r w:rsidRPr="005675B2">
        <w:rPr>
          <w:rtl/>
          <w:lang w:bidi="ar-KW"/>
        </w:rPr>
        <w:t>وأما الأوزاعي - وهو إمام عظيم - فنزع بالتأويل حين قال وقد سئل عن قول النبي</w:t>
      </w:r>
      <w:r w:rsidR="000636C2">
        <w:rPr>
          <w:rtl/>
          <w:lang w:bidi="ar-KW"/>
        </w:rPr>
        <w:t xml:space="preserve"> </w:t>
      </w:r>
      <w:r w:rsidRPr="005675B2">
        <w:rPr>
          <w:bCs/>
          <w:rtl/>
          <w:lang w:bidi="ar-KW"/>
        </w:rPr>
        <w:t>"ينزل ربنا</w:t>
      </w:r>
      <w:r w:rsidRPr="005675B2">
        <w:rPr>
          <w:rtl/>
          <w:lang w:bidi="ar-KW"/>
        </w:rPr>
        <w:t xml:space="preserve"> " فقال</w:t>
      </w:r>
      <w:r w:rsidR="000636C2">
        <w:rPr>
          <w:rtl/>
          <w:lang w:bidi="ar-KW"/>
        </w:rPr>
        <w:t>:</w:t>
      </w:r>
      <w:r w:rsidRPr="005675B2">
        <w:rPr>
          <w:rtl/>
          <w:lang w:bidi="ar-KW"/>
        </w:rPr>
        <w:t xml:space="preserve"> يفعل الله ما يشاء</w:t>
      </w:r>
      <w:r w:rsidR="000636C2">
        <w:rPr>
          <w:rtl/>
          <w:lang w:bidi="ar-KW"/>
        </w:rPr>
        <w:t>،</w:t>
      </w:r>
      <w:r w:rsidRPr="005675B2">
        <w:rPr>
          <w:rtl/>
          <w:lang w:bidi="ar-KW"/>
        </w:rPr>
        <w:t xml:space="preserve"> ففتح باباً من المعرفة عظيما ونهج إلى التأويل صراطا مستقيما</w:t>
      </w:r>
      <w:r w:rsidR="000636C2">
        <w:rPr>
          <w:rtl/>
          <w:lang w:bidi="ar-KW"/>
        </w:rPr>
        <w:t>)،</w:t>
      </w:r>
      <w:r w:rsidRPr="005675B2">
        <w:rPr>
          <w:rtl/>
          <w:lang w:bidi="ar-KW"/>
        </w:rPr>
        <w:t xml:space="preserve"> ثم قال رحمه الله تعالى</w:t>
      </w:r>
      <w:r w:rsidR="000636C2">
        <w:rPr>
          <w:rtl/>
          <w:lang w:bidi="ar-KW"/>
        </w:rPr>
        <w:t>:</w:t>
      </w:r>
      <w:r w:rsidRPr="005675B2">
        <w:rPr>
          <w:rFonts w:hint="cs"/>
          <w:rtl/>
          <w:lang w:bidi="ar-KW"/>
        </w:rPr>
        <w:t xml:space="preserve"> </w:t>
      </w:r>
      <w:r w:rsidR="000636C2">
        <w:rPr>
          <w:rtl/>
          <w:lang w:bidi="ar-KW"/>
        </w:rPr>
        <w:t>(</w:t>
      </w:r>
      <w:r w:rsidRPr="005675B2">
        <w:rPr>
          <w:rtl/>
          <w:lang w:bidi="ar-KW"/>
        </w:rPr>
        <w:t>إن الله سبحانه منزه عن الحركة والانتقال لأنه لا يحويه مكان كما لا يشتمل عليه زمان، ولا يشغل حيزاً كما لا يدنو إلى شيء بمسافة ولا يغيب بعلمه عن شيء، متقدس الذات عن الآفات منزه عن التغير والاستحالات، إله في الأرض إله في السماوات</w:t>
      </w:r>
      <w:r w:rsidR="000636C2">
        <w:rPr>
          <w:rtl/>
          <w:lang w:bidi="ar-KW"/>
        </w:rPr>
        <w:t>،</w:t>
      </w:r>
      <w:r w:rsidRPr="005675B2">
        <w:rPr>
          <w:rtl/>
          <w:lang w:bidi="ar-KW"/>
        </w:rPr>
        <w:t xml:space="preserve"> وهذه عقيدة مستقرة في القلوب ثابتة بواضح الدليل</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أيضاً في شرحه على سنن الترمذي </w:t>
      </w:r>
      <w:r w:rsidR="000636C2">
        <w:rPr>
          <w:rtl/>
          <w:lang w:bidi="ar-KW"/>
        </w:rPr>
        <w:t>(</w:t>
      </w:r>
      <w:r w:rsidRPr="005675B2">
        <w:rPr>
          <w:rtl/>
          <w:lang w:bidi="ar-KW"/>
        </w:rPr>
        <w:t>2 /234</w:t>
      </w:r>
      <w:r w:rsidR="000636C2">
        <w:rPr>
          <w:rtl/>
          <w:lang w:bidi="ar-KW"/>
        </w:rPr>
        <w:t>):</w:t>
      </w:r>
      <w:r w:rsidR="000636C2">
        <w:rPr>
          <w:rFonts w:hint="cs"/>
          <w:rtl/>
          <w:lang w:bidi="ar-KW"/>
        </w:rPr>
        <w:t xml:space="preserve"> </w:t>
      </w:r>
      <w:r w:rsidR="000636C2">
        <w:rPr>
          <w:rtl/>
          <w:lang w:bidi="ar-KW"/>
        </w:rPr>
        <w:t>(</w:t>
      </w:r>
      <w:r w:rsidRPr="005675B2">
        <w:rPr>
          <w:rtl/>
          <w:lang w:bidi="ar-KW"/>
        </w:rPr>
        <w:t>اختلف الناس في هذا الحديث وأمثاله على ثلاثة أقوال فمنهم من ردّه لأنه خبر واحد ورد بما لا يجوز ظاهره على الله وهم المبتدعة، ومنهم من قبله وأمرّه كما جاء ولم يتأوله ولا تكلم فيه مع اعتقاده أن الله ليس كمثله شيء، ومنهم من تأوله وفسره</w:t>
      </w:r>
      <w:r w:rsidR="000636C2">
        <w:rPr>
          <w:rtl/>
          <w:lang w:bidi="ar-KW"/>
        </w:rPr>
        <w:t>،</w:t>
      </w:r>
      <w:r w:rsidRPr="005675B2">
        <w:rPr>
          <w:rtl/>
          <w:lang w:bidi="ar-KW"/>
        </w:rPr>
        <w:t xml:space="preserve"> وبه أقول، لأنه معنى قريب عربي فصيح</w:t>
      </w:r>
      <w:r w:rsidR="000636C2">
        <w:rPr>
          <w:rtl/>
          <w:lang w:bidi="ar-KW"/>
        </w:rPr>
        <w:t xml:space="preserve">، </w:t>
      </w:r>
      <w:r w:rsidRPr="005675B2">
        <w:rPr>
          <w:rtl/>
          <w:lang w:bidi="ar-KW"/>
        </w:rPr>
        <w:t>أما إنه قد تعدى إليه قوم ليسوا من أهل العلم بالتفسير فتعدوا عليه بالقول بالتكثير، قالوا</w:t>
      </w:r>
      <w:r w:rsidR="000636C2">
        <w:rPr>
          <w:rtl/>
          <w:lang w:bidi="ar-KW"/>
        </w:rPr>
        <w:t>:</w:t>
      </w:r>
      <w:r w:rsidRPr="005675B2">
        <w:rPr>
          <w:rtl/>
          <w:lang w:bidi="ar-KW"/>
        </w:rPr>
        <w:t xml:space="preserve"> في هذا الحديث دليل على أن الله في السماء على العرش من فوق سبع سموات</w:t>
      </w:r>
      <w:r w:rsidR="000636C2">
        <w:rPr>
          <w:rtl/>
          <w:lang w:bidi="ar-KW"/>
        </w:rPr>
        <w:t xml:space="preserve">، </w:t>
      </w:r>
      <w:r w:rsidRPr="005675B2">
        <w:rPr>
          <w:rtl/>
          <w:lang w:bidi="ar-KW"/>
        </w:rPr>
        <w:t>قلنا</w:t>
      </w:r>
      <w:r w:rsidR="000636C2">
        <w:rPr>
          <w:rtl/>
          <w:lang w:bidi="ar-KW"/>
        </w:rPr>
        <w:t>:</w:t>
      </w:r>
      <w:r w:rsidRPr="005675B2">
        <w:rPr>
          <w:rtl/>
          <w:lang w:bidi="ar-KW"/>
        </w:rPr>
        <w:t xml:space="preserve">هذا جهل عظيم وإنما قال </w:t>
      </w:r>
      <w:r w:rsidRPr="005675B2">
        <w:rPr>
          <w:bCs/>
          <w:rtl/>
          <w:lang w:bidi="ar-KW"/>
        </w:rPr>
        <w:t>" ينزل إلى السماء "</w:t>
      </w:r>
      <w:r w:rsidRPr="005675B2">
        <w:rPr>
          <w:rtl/>
          <w:lang w:bidi="ar-KW"/>
        </w:rPr>
        <w:t xml:space="preserve"> ولم يقل في هذا الحديث من أين ينزل ولا كيف ينزل</w:t>
      </w:r>
      <w:r w:rsidR="000636C2">
        <w:rPr>
          <w:rtl/>
          <w:lang w:bidi="ar-KW"/>
        </w:rPr>
        <w:t>،</w:t>
      </w:r>
      <w:r w:rsidRPr="005675B2">
        <w:rPr>
          <w:rtl/>
          <w:lang w:bidi="ar-KW"/>
        </w:rPr>
        <w:t xml:space="preserve"> قالوا - وحجتهم ظاهره -</w:t>
      </w:r>
      <w:r w:rsidR="000636C2">
        <w:rPr>
          <w:rtl/>
          <w:lang w:bidi="ar-KW"/>
        </w:rPr>
        <w:t>:</w:t>
      </w:r>
      <w:r w:rsidRPr="005675B2">
        <w:rPr>
          <w:rtl/>
          <w:lang w:bidi="ar-KW"/>
        </w:rPr>
        <w:t xml:space="preserve"> قال الله تعالى </w:t>
      </w:r>
      <w:r w:rsidR="000636C2">
        <w:rPr>
          <w:bCs/>
          <w:rtl/>
          <w:lang w:bidi="ar-KW"/>
        </w:rPr>
        <w:t>(</w:t>
      </w:r>
      <w:r w:rsidRPr="005675B2">
        <w:rPr>
          <w:bCs/>
          <w:rtl/>
          <w:lang w:bidi="ar-KW"/>
        </w:rPr>
        <w:t>الرحمن على العرش استوى</w:t>
      </w:r>
      <w:r w:rsidR="000636C2">
        <w:rPr>
          <w:bCs/>
          <w:rtl/>
          <w:lang w:bidi="ar-KW"/>
        </w:rPr>
        <w:t>)</w:t>
      </w:r>
      <w:r w:rsidR="000636C2">
        <w:rPr>
          <w:rFonts w:hint="cs"/>
          <w:rtl/>
          <w:lang w:bidi="ar-KW"/>
        </w:rPr>
        <w:t xml:space="preserve">، </w:t>
      </w:r>
      <w:r w:rsidRPr="005675B2">
        <w:rPr>
          <w:rtl/>
          <w:lang w:bidi="ar-KW"/>
        </w:rPr>
        <w:t>قلنا</w:t>
      </w:r>
      <w:r w:rsidR="000636C2">
        <w:rPr>
          <w:rtl/>
          <w:lang w:bidi="ar-KW"/>
        </w:rPr>
        <w:t>:</w:t>
      </w:r>
      <w:r w:rsidRPr="005675B2">
        <w:rPr>
          <w:rtl/>
          <w:lang w:bidi="ar-KW"/>
        </w:rPr>
        <w:t xml:space="preserve"> وما العرش في العربية</w:t>
      </w:r>
      <w:r w:rsidR="000636C2">
        <w:rPr>
          <w:rtl/>
          <w:lang w:bidi="ar-KW"/>
        </w:rPr>
        <w:t>؟</w:t>
      </w:r>
      <w:r w:rsidRPr="005675B2">
        <w:rPr>
          <w:rtl/>
          <w:lang w:bidi="ar-KW"/>
        </w:rPr>
        <w:t xml:space="preserve"> وما الاستواء</w:t>
      </w:r>
      <w:r w:rsidR="000636C2">
        <w:rPr>
          <w:rtl/>
          <w:lang w:bidi="ar-KW"/>
        </w:rPr>
        <w:t>؟</w:t>
      </w:r>
      <w:r w:rsidRPr="005675B2">
        <w:rPr>
          <w:rtl/>
          <w:lang w:bidi="ar-KW"/>
        </w:rPr>
        <w:t xml:space="preserve"> ..</w:t>
      </w:r>
      <w:r w:rsidR="000636C2">
        <w:rPr>
          <w:rtl/>
          <w:lang w:bidi="ar-KW"/>
        </w:rPr>
        <w:t>)</w:t>
      </w:r>
      <w:r w:rsidRPr="005675B2">
        <w:rPr>
          <w:rtl/>
          <w:lang w:bidi="ar-KW"/>
        </w:rPr>
        <w:t xml:space="preserve"> إلى أن قال رحمه الله تعالى</w:t>
      </w:r>
      <w:r w:rsidR="000636C2">
        <w:rPr>
          <w:rtl/>
          <w:lang w:bidi="ar-KW"/>
        </w:rPr>
        <w:t>:</w:t>
      </w:r>
      <w:r w:rsidR="000636C2">
        <w:rPr>
          <w:rFonts w:hint="cs"/>
          <w:rtl/>
          <w:lang w:bidi="ar-KW"/>
        </w:rPr>
        <w:t xml:space="preserve"> </w:t>
      </w:r>
      <w:r w:rsidR="000636C2">
        <w:rPr>
          <w:rtl/>
          <w:lang w:bidi="ar-KW"/>
        </w:rPr>
        <w:t>(</w:t>
      </w:r>
      <w:r w:rsidRPr="005675B2">
        <w:rPr>
          <w:rtl/>
          <w:lang w:bidi="ar-KW"/>
        </w:rPr>
        <w:t>والذي يجب أن يعتقد في ذلك أن الله كان ولا شيء معه ثم خلق المخلوقات من العرش إلى الفرش فلم يتغير بها ولا حدث له جهة منها ولا كان له مكان فيها فإنه لا يحول ولا يزول قدوس لا يتغير ولا يستحيل، وللاستواء في كلام العرب خمسة عشر معنى ما بين حقيقة ومجاز، منها ما يجوز على الله فيكون معنى الآية، ومنها ما لا يجوز على الله بحال، وهو إذا كان الاستواء بمعنى التمكن أو الاستقرار أو الاتصال أو المحاذاة، فإن شيئاً من ذلك لا يجوز على الباري تعالى، ولا يضرب له الأمثال في المخلوقات، وإما أن لا يفسر كما قال مالك وغيره</w:t>
      </w:r>
      <w:r w:rsidR="000636C2">
        <w:rPr>
          <w:rtl/>
          <w:lang w:bidi="ar-KW"/>
        </w:rPr>
        <w:t>:</w:t>
      </w:r>
      <w:r w:rsidRPr="005675B2">
        <w:rPr>
          <w:rtl/>
          <w:lang w:bidi="ar-KW"/>
        </w:rPr>
        <w:t xml:space="preserve"> إن الاستواء معلوم</w:t>
      </w:r>
      <w:r w:rsidR="000636C2">
        <w:rPr>
          <w:rtl/>
          <w:lang w:bidi="ar-KW"/>
        </w:rPr>
        <w:t>،</w:t>
      </w:r>
      <w:r w:rsidRPr="005675B2">
        <w:rPr>
          <w:rtl/>
          <w:lang w:bidi="ar-KW"/>
        </w:rPr>
        <w:t xml:space="preserve"> يعني مورده في اللغة</w:t>
      </w:r>
      <w:r w:rsidR="000636C2">
        <w:rPr>
          <w:rtl/>
          <w:lang w:bidi="ar-KW"/>
        </w:rPr>
        <w:t>،</w:t>
      </w:r>
      <w:r w:rsidRPr="005675B2">
        <w:rPr>
          <w:rtl/>
          <w:lang w:bidi="ar-KW"/>
        </w:rPr>
        <w:t xml:space="preserve"> والكيفية التي أراد الله مما يجوز عليه من معاني الاستواء مجهولة، فمن يقدر أن يعيّنها، والسؤال عنه بدعة، لأن الاشتغال به وقد تبين طلب التشابه ابتغاء للفتنة</w:t>
      </w:r>
      <w:r w:rsidR="000636C2">
        <w:rPr>
          <w:rtl/>
          <w:lang w:bidi="ar-KW"/>
        </w:rPr>
        <w:t>،</w:t>
      </w:r>
      <w:r w:rsidRPr="005675B2">
        <w:rPr>
          <w:rtl/>
          <w:lang w:bidi="ar-KW"/>
        </w:rPr>
        <w:t xml:space="preserve"> فتحصل لك من كلام إمام المسلمين مالك أن الاستواء معلوم وأن ما يجوز على الله غير متعين وما يستحيل عليه هو منزه عنه، وتعيُّن المراد بما لا يجوز عليه لا فائدة لك فيه إذ قد حصل لك التوحيد والإيمان بنفي التشبيه والمحال على الله سبحانه وتعالى فلا يلزمك سواه، وقد بينا ذلك في المشكلين على التحقيق، وأما قوله</w:t>
      </w:r>
      <w:r w:rsidR="000636C2">
        <w:rPr>
          <w:rtl/>
          <w:lang w:bidi="ar-KW"/>
        </w:rPr>
        <w:t>:</w:t>
      </w:r>
      <w:r w:rsidRPr="005675B2">
        <w:rPr>
          <w:rtl/>
          <w:lang w:bidi="ar-KW"/>
        </w:rPr>
        <w:t xml:space="preserve"> ينزل ويجيء ويأتي، وما أشبه ذلك من الألفاظ التي لا تجوز على الله في ذاته معانيها فإنها ترجع إلى أفعاله، وهنا نكتة وهي</w:t>
      </w:r>
      <w:r w:rsidR="000636C2">
        <w:rPr>
          <w:rtl/>
          <w:lang w:bidi="ar-KW"/>
        </w:rPr>
        <w:t>:</w:t>
      </w:r>
      <w:r w:rsidRPr="005675B2">
        <w:rPr>
          <w:rtl/>
          <w:lang w:bidi="ar-KW"/>
        </w:rPr>
        <w:t xml:space="preserve"> أن أفعالك أيها العبد إنما هي في ذاتك، وأفعال الله سبحانه لا تكون في ذاته ولا ترجع إليه وإنما تكون في مخلوقاته، فإذا سمعت الله يقول كذا فمعناه في المخلوقات لا في الذات، وقد بين ذلك الأوزاعي حين سئل عن هذا الحديث</w:t>
      </w:r>
      <w:r w:rsidR="000636C2">
        <w:rPr>
          <w:rtl/>
          <w:lang w:bidi="ar-KW"/>
        </w:rPr>
        <w:t xml:space="preserve"> </w:t>
      </w:r>
      <w:r w:rsidRPr="005675B2">
        <w:rPr>
          <w:rtl/>
          <w:lang w:bidi="ar-KW"/>
        </w:rPr>
        <w:t>- أي حديث النزول</w:t>
      </w:r>
      <w:r w:rsidR="000636C2">
        <w:rPr>
          <w:rtl/>
          <w:lang w:bidi="ar-KW"/>
        </w:rPr>
        <w:t xml:space="preserve"> </w:t>
      </w:r>
      <w:r w:rsidRPr="005675B2">
        <w:rPr>
          <w:rtl/>
          <w:lang w:bidi="ar-KW"/>
        </w:rPr>
        <w:t>- فقال</w:t>
      </w:r>
      <w:r w:rsidR="000636C2">
        <w:rPr>
          <w:rtl/>
          <w:lang w:bidi="ar-KW"/>
        </w:rPr>
        <w:t>:</w:t>
      </w:r>
      <w:r w:rsidRPr="005675B2">
        <w:rPr>
          <w:rtl/>
          <w:lang w:bidi="ar-KW"/>
        </w:rPr>
        <w:t xml:space="preserve"> يفعل الله ما يشاء</w:t>
      </w:r>
      <w:r w:rsidR="000636C2">
        <w:rPr>
          <w:rtl/>
          <w:lang w:bidi="ar-KW"/>
        </w:rPr>
        <w:t>،</w:t>
      </w:r>
      <w:r w:rsidRPr="005675B2">
        <w:rPr>
          <w:rtl/>
          <w:lang w:bidi="ar-KW"/>
        </w:rPr>
        <w:t xml:space="preserve"> وإما أن تعلم وتعتقد أن الله لا يتوهم على صفة من المحدثات ولا يشبهه شيء من المخلوقات ولا يدخل باباً من التأويلات</w:t>
      </w:r>
      <w:r w:rsidR="000636C2">
        <w:rPr>
          <w:rtl/>
          <w:lang w:bidi="ar-KW"/>
        </w:rPr>
        <w:t xml:space="preserve">، </w:t>
      </w:r>
      <w:r w:rsidRPr="005675B2">
        <w:rPr>
          <w:rtl/>
          <w:lang w:bidi="ar-KW"/>
        </w:rPr>
        <w:t>قالوا- أي أصحاب الظواهر -</w:t>
      </w:r>
      <w:r w:rsidR="000636C2">
        <w:rPr>
          <w:rtl/>
          <w:lang w:bidi="ar-KW"/>
        </w:rPr>
        <w:t>:</w:t>
      </w:r>
      <w:r w:rsidRPr="005675B2">
        <w:rPr>
          <w:rtl/>
          <w:lang w:bidi="ar-KW"/>
        </w:rPr>
        <w:t xml:space="preserve"> نقول ينزل ولا نكيف</w:t>
      </w:r>
      <w:r w:rsidR="000636C2">
        <w:rPr>
          <w:rtl/>
          <w:lang w:bidi="ar-KW"/>
        </w:rPr>
        <w:t xml:space="preserve">، </w:t>
      </w:r>
      <w:r w:rsidRPr="005675B2">
        <w:rPr>
          <w:rtl/>
          <w:lang w:bidi="ar-KW"/>
        </w:rPr>
        <w:t>قلنا</w:t>
      </w:r>
      <w:r w:rsidR="000636C2">
        <w:rPr>
          <w:rtl/>
          <w:lang w:bidi="ar-KW"/>
        </w:rPr>
        <w:t>:</w:t>
      </w:r>
      <w:r w:rsidRPr="005675B2">
        <w:rPr>
          <w:rtl/>
          <w:lang w:bidi="ar-KW"/>
        </w:rPr>
        <w:t xml:space="preserve"> معاذ الله أن نقول ذلك، إنما نقول كما علمنا رسول الله</w:t>
      </w:r>
      <w:r w:rsidR="000636C2">
        <w:rPr>
          <w:rtl/>
          <w:lang w:bidi="ar-KW"/>
        </w:rPr>
        <w:t xml:space="preserve"> </w:t>
      </w:r>
      <w:r w:rsidRPr="005675B2">
        <w:rPr>
          <w:rtl/>
          <w:lang w:bidi="ar-KW"/>
        </w:rPr>
        <w:t>وكما علمنا من العربية التي نزل بها القرآن، قال النبي</w:t>
      </w:r>
      <w:r w:rsidR="000636C2">
        <w:rPr>
          <w:rtl/>
          <w:lang w:bidi="ar-KW"/>
        </w:rPr>
        <w:t>:</w:t>
      </w:r>
      <w:r w:rsidRPr="005675B2">
        <w:rPr>
          <w:rtl/>
          <w:lang w:bidi="ar-KW"/>
        </w:rPr>
        <w:t xml:space="preserve"> </w:t>
      </w:r>
      <w:r w:rsidRPr="005675B2">
        <w:rPr>
          <w:bCs/>
          <w:rtl/>
          <w:lang w:bidi="ar-KW"/>
        </w:rPr>
        <w:t>" يقول الله عبدي مرضت فلم</w:t>
      </w:r>
      <w:r w:rsidRPr="005675B2">
        <w:rPr>
          <w:rtl/>
          <w:lang w:bidi="ar-KW"/>
        </w:rPr>
        <w:t xml:space="preserve"> </w:t>
      </w:r>
      <w:r w:rsidRPr="005675B2">
        <w:rPr>
          <w:bCs/>
          <w:rtl/>
          <w:lang w:bidi="ar-KW"/>
        </w:rPr>
        <w:t>تعدني .. وجعت فلم تطعمني .. وعطشت فلم تسقني</w:t>
      </w:r>
      <w:r w:rsidRPr="005675B2">
        <w:rPr>
          <w:rtl/>
          <w:lang w:bidi="ar-KW"/>
        </w:rPr>
        <w:t xml:space="preserve"> " وهو لا يجوز عليه شيء من ذلك ولكن شرّف هؤلاء بأن عبّر به عنهم، كذلك قوله</w:t>
      </w:r>
      <w:r w:rsidR="000636C2">
        <w:rPr>
          <w:rtl/>
          <w:lang w:bidi="ar-KW"/>
        </w:rPr>
        <w:t>:</w:t>
      </w:r>
      <w:r w:rsidRPr="005675B2">
        <w:rPr>
          <w:rtl/>
          <w:lang w:bidi="ar-KW"/>
        </w:rPr>
        <w:t xml:space="preserve"> ينزل ربنا، عبّر به عن عبده وملَكه الذي ينزل بأمره باسمه فيما يعطي من رحمته .. والنزول قد يكون في المعاني وقد يكون في الأجسام، والنزول الذي أخبر الله عنه إن حملته على أنه جسم فذلك ملَكُه ورسوله وعبده، وإن حملته على أنه كان لايفعل شيئاً من ذلك ثم فعله عند ثلث الليل فاستجاب وغفر وأعطى وسمّى ذلك نزولاً عن مرتبة إلى مرتبة ومن صفة إلى صفة فتلك عربية محضة خاطب بها من هم أعرف منكم - أهل الظاهر - وأعقل وأكثر توحيداً وأقلّ بل أعدم تخليطاً</w:t>
      </w:r>
      <w:r w:rsidR="000636C2">
        <w:rPr>
          <w:rtl/>
          <w:lang w:bidi="ar-KW"/>
        </w:rPr>
        <w:t>،</w:t>
      </w:r>
      <w:r w:rsidRPr="005675B2">
        <w:rPr>
          <w:rtl/>
          <w:lang w:bidi="ar-KW"/>
        </w:rPr>
        <w:t xml:space="preserve"> قالوا بجهلهم</w:t>
      </w:r>
      <w:r w:rsidR="000636C2">
        <w:rPr>
          <w:rtl/>
          <w:lang w:bidi="ar-KW"/>
        </w:rPr>
        <w:t>:</w:t>
      </w:r>
      <w:r w:rsidRPr="005675B2">
        <w:rPr>
          <w:rtl/>
          <w:lang w:bidi="ar-KW"/>
        </w:rPr>
        <w:t xml:space="preserve"> لو أراد نزول رحمته لما خص بذلك الثلث من الليل لأن رحمته تنزل بالليل والنهار</w:t>
      </w:r>
      <w:r w:rsidR="000636C2">
        <w:rPr>
          <w:rtl/>
          <w:lang w:bidi="ar-KW"/>
        </w:rPr>
        <w:t>،</w:t>
      </w:r>
      <w:r w:rsidRPr="005675B2">
        <w:rPr>
          <w:rtl/>
          <w:lang w:bidi="ar-KW"/>
        </w:rPr>
        <w:t xml:space="preserve"> قلنا</w:t>
      </w:r>
      <w:r w:rsidR="000636C2">
        <w:rPr>
          <w:rtl/>
          <w:lang w:bidi="ar-KW"/>
        </w:rPr>
        <w:t>:</w:t>
      </w:r>
      <w:r w:rsidRPr="005675B2">
        <w:rPr>
          <w:rtl/>
          <w:lang w:bidi="ar-KW"/>
        </w:rPr>
        <w:t xml:space="preserve"> ولكنها بالليل وفي يوم عرفة وفي ساعة الجمعة يكون نزولها أكثر وعطاؤها أوسع وقد نبّه الله على ذلك بقوله تعالى</w:t>
      </w:r>
      <w:r w:rsidR="000636C2">
        <w:rPr>
          <w:bCs/>
          <w:rtl/>
          <w:lang w:bidi="ar-KW"/>
        </w:rPr>
        <w:t>(</w:t>
      </w:r>
      <w:r w:rsidRPr="005675B2">
        <w:rPr>
          <w:bCs/>
          <w:rtl/>
          <w:lang w:bidi="ar-KW"/>
        </w:rPr>
        <w:t>والمستغفرين بالأسحار</w:t>
      </w:r>
      <w:r w:rsidR="000636C2">
        <w:rPr>
          <w:bCs/>
          <w:rtl/>
          <w:lang w:bidi="ar-KW"/>
        </w:rPr>
        <w:t>)</w:t>
      </w:r>
      <w:r w:rsidRPr="005675B2">
        <w:rPr>
          <w:rtl/>
          <w:lang w:bidi="ar-KW"/>
        </w:rPr>
        <w:t xml:space="preserve"> اهـ</w:t>
      </w:r>
      <w:r w:rsidR="000636C2">
        <w:rPr>
          <w:rtl/>
          <w:lang w:bidi="ar-KW"/>
        </w:rPr>
        <w:t>،</w:t>
      </w:r>
      <w:r w:rsidRPr="005675B2">
        <w:rPr>
          <w:rtl/>
          <w:lang w:bidi="ar-KW"/>
        </w:rPr>
        <w:t xml:space="preserve"> ولقد أطلنا بنقل كلامه رحمه الله لنفاسته وإحكامه</w:t>
      </w:r>
      <w:r w:rsidR="000636C2">
        <w:rPr>
          <w:rtl/>
          <w:lang w:bidi="ar-KW"/>
        </w:rPr>
        <w:t>،</w:t>
      </w:r>
      <w:r w:rsidRPr="005675B2">
        <w:rPr>
          <w:rtl/>
          <w:lang w:bidi="ar-KW"/>
        </w:rPr>
        <w:t xml:space="preserve"> ولا ندري</w:t>
      </w:r>
      <w:r w:rsidR="000636C2">
        <w:rPr>
          <w:rtl/>
          <w:lang w:bidi="ar-KW"/>
        </w:rPr>
        <w:t xml:space="preserve"> </w:t>
      </w:r>
      <w:r w:rsidRPr="005675B2">
        <w:rPr>
          <w:rtl/>
          <w:lang w:bidi="ar-KW"/>
        </w:rPr>
        <w:t>- والله - كيف يكون مثل هذا الكلام الرفيع الرائع الرائق ضلالاً</w:t>
      </w:r>
      <w:r w:rsidR="000636C2">
        <w:rPr>
          <w:rtl/>
          <w:lang w:bidi="ar-KW"/>
        </w:rPr>
        <w:t>؟!</w:t>
      </w:r>
      <w:r w:rsidRPr="005675B2">
        <w:rPr>
          <w:rFonts w:hint="cs"/>
          <w:rtl/>
          <w:lang w:bidi="ar-KW"/>
        </w:rPr>
        <w:t xml:space="preserve"> </w:t>
      </w:r>
      <w:r w:rsidRPr="005675B2">
        <w:rPr>
          <w:rtl/>
          <w:lang w:bidi="ar-KW"/>
        </w:rPr>
        <w:t xml:space="preserve">وجاء في كتاب البيان والتحصيل لابن رشد </w:t>
      </w:r>
      <w:r w:rsidR="000636C2">
        <w:rPr>
          <w:rtl/>
          <w:lang w:bidi="ar-KW"/>
        </w:rPr>
        <w:t>(</w:t>
      </w:r>
      <w:r w:rsidRPr="005675B2">
        <w:rPr>
          <w:rtl/>
          <w:lang w:bidi="ar-KW"/>
        </w:rPr>
        <w:t>الجد</w:t>
      </w:r>
      <w:r w:rsidR="000636C2">
        <w:rPr>
          <w:rtl/>
          <w:lang w:bidi="ar-KW"/>
        </w:rPr>
        <w:t>)</w:t>
      </w:r>
      <w:r w:rsidRPr="005675B2">
        <w:rPr>
          <w:rtl/>
          <w:lang w:bidi="ar-KW"/>
        </w:rPr>
        <w:t xml:space="preserve"> رحمه الله تعالى </w:t>
      </w:r>
      <w:r w:rsidR="000636C2">
        <w:rPr>
          <w:rtl/>
          <w:lang w:bidi="ar-KW"/>
        </w:rPr>
        <w:t>(</w:t>
      </w:r>
      <w:r w:rsidRPr="005675B2">
        <w:rPr>
          <w:rtl/>
          <w:lang w:bidi="ar-KW"/>
        </w:rPr>
        <w:t>18 / 504، وانظر السير 8/104، والنوادر والزيادات لابن أبي زيد 14/553</w:t>
      </w:r>
      <w:r w:rsidR="000636C2">
        <w:rPr>
          <w:rtl/>
          <w:lang w:bidi="ar-KW"/>
        </w:rPr>
        <w:t>)</w:t>
      </w:r>
      <w:r w:rsidRPr="005675B2">
        <w:rPr>
          <w:rtl/>
          <w:lang w:bidi="ar-KW"/>
        </w:rPr>
        <w:t xml:space="preserve"> ما نصه</w:t>
      </w:r>
      <w:r w:rsidR="000636C2">
        <w:rPr>
          <w:rtl/>
          <w:lang w:bidi="ar-KW"/>
        </w:rPr>
        <w:t>:</w:t>
      </w:r>
      <w:r w:rsidRPr="005675B2">
        <w:rPr>
          <w:rFonts w:hint="cs"/>
          <w:rtl/>
          <w:lang w:bidi="ar-KW"/>
        </w:rPr>
        <w:t xml:space="preserve"> </w:t>
      </w:r>
      <w:r w:rsidR="000636C2">
        <w:rPr>
          <w:rtl/>
          <w:lang w:bidi="ar-KW"/>
        </w:rPr>
        <w:t>(</w:t>
      </w:r>
      <w:r w:rsidRPr="005675B2">
        <w:rPr>
          <w:rtl/>
          <w:lang w:bidi="ar-KW"/>
        </w:rPr>
        <w:t>قال - يعني ابن القاسم صاحب مالك - وسألت مالكاً عن الحديث في أخبار سعد بن معاذ في العرش، فقال</w:t>
      </w:r>
      <w:r w:rsidR="000636C2">
        <w:rPr>
          <w:rtl/>
          <w:lang w:bidi="ar-KW"/>
        </w:rPr>
        <w:t>:</w:t>
      </w:r>
      <w:r w:rsidRPr="005675B2">
        <w:rPr>
          <w:rtl/>
          <w:lang w:bidi="ar-KW"/>
        </w:rPr>
        <w:t xml:space="preserve"> لا تتحدث به .. وعن الحديث " إن الله خلق آدم على صورته " وعن الحديث في الساق، وذلك كله، قال ابن القاسم</w:t>
      </w:r>
      <w:r w:rsidR="000636C2">
        <w:rPr>
          <w:rtl/>
          <w:lang w:bidi="ar-KW"/>
        </w:rPr>
        <w:t>:</w:t>
      </w:r>
      <w:r w:rsidRPr="005675B2">
        <w:rPr>
          <w:rtl/>
          <w:lang w:bidi="ar-KW"/>
        </w:rPr>
        <w:t xml:space="preserve"> لا ينبغي لمن يتقي الله ويخافه أن يحدث بمثل هذا</w:t>
      </w:r>
      <w:r w:rsidR="000636C2">
        <w:rPr>
          <w:rtl/>
          <w:lang w:bidi="ar-KW"/>
        </w:rPr>
        <w:t>،</w:t>
      </w:r>
      <w:r w:rsidRPr="005675B2">
        <w:rPr>
          <w:rtl/>
          <w:lang w:bidi="ar-KW"/>
        </w:rPr>
        <w:t xml:space="preserve"> قال ابن رشد بعد أن ذكر الأحاديث التي أشار إليها ابن القاسم</w:t>
      </w:r>
      <w:r w:rsidR="000636C2">
        <w:rPr>
          <w:rtl/>
          <w:lang w:bidi="ar-KW"/>
        </w:rPr>
        <w:t>:</w:t>
      </w:r>
      <w:r w:rsidRPr="005675B2">
        <w:rPr>
          <w:rtl/>
          <w:lang w:bidi="ar-KW"/>
        </w:rPr>
        <w:t xml:space="preserve"> وإنما نهى مالك أن يتحدث بهذين الحديثين وبالحديث الذي جاء بأن الله خلق آدم على صورته، ونحو ذلك من الأحاديث التي يقتضي ظاهرها التشبيه، مخافة أن يتحدث بها، فيكثر التحدث بها، وتشيع في الناس، فيسمعها الجهال الذين لا يعرفون تأويلها، فيسبق إلى ظنونهم التشبيه بها، وسبيلها – إذا صحت الروايات بها – أن تتأول على ما يصح، مما ينتفي به التشبيه عن الله عز وجل بشيء من خلقه، كما يصنع بما جاء في القرآن مما يقتضي ظاهره التشبيه وهو كثير، كالإتيان في قوله عز وجل</w:t>
      </w:r>
      <w:r w:rsidR="000636C2">
        <w:rPr>
          <w:bCs/>
          <w:rtl/>
          <w:lang w:bidi="ar-KW"/>
        </w:rPr>
        <w:t>(</w:t>
      </w:r>
      <w:r w:rsidRPr="005675B2">
        <w:rPr>
          <w:bCs/>
          <w:rtl/>
          <w:lang w:bidi="ar-KW"/>
        </w:rPr>
        <w:t>هل ينظرون إلا أن يأتيهم الله في ظلل</w:t>
      </w:r>
      <w:r w:rsidR="000636C2">
        <w:rPr>
          <w:bCs/>
          <w:rtl/>
          <w:lang w:bidi="ar-KW"/>
        </w:rPr>
        <w:t>)</w:t>
      </w:r>
      <w:r w:rsidRPr="005675B2">
        <w:rPr>
          <w:bCs/>
          <w:rtl/>
          <w:lang w:bidi="ar-KW"/>
        </w:rPr>
        <w:t xml:space="preserve"> والاستواء في قوله </w:t>
      </w:r>
      <w:r w:rsidR="000636C2">
        <w:rPr>
          <w:bCs/>
          <w:rtl/>
          <w:lang w:bidi="ar-KW"/>
        </w:rPr>
        <w:t>(</w:t>
      </w:r>
      <w:r w:rsidRPr="005675B2">
        <w:rPr>
          <w:bCs/>
          <w:rtl/>
          <w:lang w:bidi="ar-KW"/>
        </w:rPr>
        <w:t>الرحمن على العرش استوى</w:t>
      </w:r>
      <w:r w:rsidR="000636C2">
        <w:rPr>
          <w:bCs/>
          <w:rtl/>
          <w:lang w:bidi="ar-KW"/>
        </w:rPr>
        <w:t>)،</w:t>
      </w:r>
      <w:r w:rsidRPr="005675B2">
        <w:rPr>
          <w:rtl/>
          <w:lang w:bidi="ar-KW"/>
        </w:rPr>
        <w:t xml:space="preserve"> وكما يفعل أيضاً بما جاء من ذلك في السنن المتواترة كالضحك والنزول وشبه ذلك مما لم يكره روايتها لتواتر الآثار بها، لأن سبيلها كلها في اقتضاء ظاهرها التشبيه وإمكان تأويلها على ما ينتفي به تشبيه الله عز وجل بشيء من خلقه سواء</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ولقد نقل الحافظ أبو الحسن على بن القطان - رحمه الله تعالى - الإجماع على التأويل الإجمالي والتأويل التفصيلي، قال </w:t>
      </w:r>
      <w:r w:rsidR="000636C2">
        <w:rPr>
          <w:rtl/>
          <w:lang w:bidi="ar-KW"/>
        </w:rPr>
        <w:t>(</w:t>
      </w:r>
      <w:r w:rsidRPr="005675B2">
        <w:rPr>
          <w:rtl/>
          <w:lang w:bidi="ar-KW"/>
        </w:rPr>
        <w:t>الإقناع في مسائل الإجماع 1 / 32 - 43</w:t>
      </w:r>
      <w:r w:rsidR="000636C2">
        <w:rPr>
          <w:rtl/>
          <w:lang w:bidi="ar-KW"/>
        </w:rPr>
        <w:t>):</w:t>
      </w:r>
      <w:r w:rsidRPr="005675B2">
        <w:rPr>
          <w:rFonts w:hint="cs"/>
          <w:rtl/>
          <w:lang w:bidi="ar-KW"/>
        </w:rPr>
        <w:t xml:space="preserve"> </w:t>
      </w:r>
      <w:r w:rsidR="000636C2">
        <w:rPr>
          <w:spacing w:val="-4"/>
          <w:rtl/>
          <w:lang w:bidi="ar-KW"/>
        </w:rPr>
        <w:t>(</w:t>
      </w:r>
      <w:r w:rsidRPr="005675B2">
        <w:rPr>
          <w:spacing w:val="-4"/>
          <w:rtl/>
          <w:lang w:bidi="ar-KW"/>
        </w:rPr>
        <w:t>وأجمعـوا أنه تعالى يجيء يوم القيامة والملك صفاً صفاً لعرض الأمم وحسابها وعقابها وثوابها، فيغفر لمن يشاء من المؤمنين، ويعذب منهم من يشاء كما قال تعالى،</w:t>
      </w:r>
      <w:r w:rsidRPr="005675B2">
        <w:rPr>
          <w:bCs/>
          <w:spacing w:val="-4"/>
          <w:rtl/>
          <w:lang w:bidi="ar-KW"/>
        </w:rPr>
        <w:t xml:space="preserve"> وليس مجيئه بحركة ولا </w:t>
      </w:r>
      <w:r w:rsidRPr="005675B2">
        <w:rPr>
          <w:bCs/>
          <w:rtl/>
          <w:lang w:bidi="ar-KW"/>
        </w:rPr>
        <w:t>انتقال</w:t>
      </w:r>
      <w:r w:rsidR="000636C2">
        <w:rPr>
          <w:bCs/>
          <w:rtl/>
          <w:lang w:bidi="ar-KW"/>
        </w:rPr>
        <w:t xml:space="preserve">، </w:t>
      </w:r>
      <w:r w:rsidRPr="005675B2">
        <w:rPr>
          <w:rtl/>
          <w:lang w:bidi="ar-KW"/>
        </w:rPr>
        <w:t>وأجمعوا أنه تعالى يرضى عن الطائعين له،</w:t>
      </w:r>
      <w:r w:rsidRPr="005675B2">
        <w:rPr>
          <w:bCs/>
          <w:rtl/>
          <w:lang w:bidi="ar-KW"/>
        </w:rPr>
        <w:t xml:space="preserve"> وأن رضاه عنهم إرادته نعيمهم</w:t>
      </w:r>
      <w:r w:rsidR="000636C2">
        <w:rPr>
          <w:rtl/>
          <w:lang w:bidi="ar-KW"/>
        </w:rPr>
        <w:t xml:space="preserve">، </w:t>
      </w:r>
      <w:r w:rsidRPr="005675B2">
        <w:rPr>
          <w:rtl/>
          <w:lang w:bidi="ar-KW"/>
        </w:rPr>
        <w:t>وأجمعوا أنه يحب التوابين ويسخط على الكافرين ويغضب عليهم، وأن غضبه إرادته لعذابهم وأنه لا يقوم لغضبه شيء</w:t>
      </w:r>
      <w:r w:rsidR="000636C2">
        <w:rPr>
          <w:rtl/>
          <w:lang w:bidi="ar-KW"/>
        </w:rPr>
        <w:t>)</w:t>
      </w:r>
      <w:r w:rsidRPr="005675B2">
        <w:rPr>
          <w:rtl/>
          <w:lang w:bidi="ar-KW"/>
        </w:rPr>
        <w:t xml:space="preserve"> اهـ</w:t>
      </w:r>
      <w:r w:rsidR="000636C2">
        <w:rPr>
          <w:rtl/>
          <w:lang w:bidi="ar-KW"/>
        </w:rPr>
        <w:t>،</w:t>
      </w:r>
      <w:r w:rsidRPr="005675B2">
        <w:rPr>
          <w:rtl/>
          <w:lang w:bidi="ar-KW"/>
        </w:rPr>
        <w:t xml:space="preserve"> وفي صرف المجيء عن ظاهره الذي هو الحركة تأويل إجمالي، وفى حمل الرضا على إرادة النعيم، وحمل الغضب على إرادة العذاب تأويل تفصيلي</w:t>
      </w:r>
      <w:r w:rsidR="000636C2">
        <w:rPr>
          <w:rtl/>
          <w:lang w:bidi="ar-KW"/>
        </w:rPr>
        <w:t xml:space="preserve">، </w:t>
      </w:r>
      <w:r w:rsidRPr="005675B2">
        <w:rPr>
          <w:rtl/>
          <w:lang w:bidi="ar-KW"/>
        </w:rPr>
        <w:t xml:space="preserve">وقال الإمام الشاطبي رحمه الله تعالى </w:t>
      </w:r>
      <w:r w:rsidR="000636C2">
        <w:rPr>
          <w:rtl/>
          <w:lang w:bidi="ar-KW"/>
        </w:rPr>
        <w:t>(</w:t>
      </w:r>
      <w:r w:rsidRPr="005675B2">
        <w:rPr>
          <w:rtl/>
          <w:lang w:bidi="ar-KW"/>
        </w:rPr>
        <w:t>الاعتصام، بتحقيق محمد رشيد رضا، 1/297</w:t>
      </w:r>
      <w:r w:rsidR="000636C2">
        <w:rPr>
          <w:rtl/>
          <w:lang w:bidi="ar-KW"/>
        </w:rPr>
        <w:t>):</w:t>
      </w:r>
      <w:r w:rsidRPr="005675B2">
        <w:rPr>
          <w:rFonts w:hint="cs"/>
          <w:rtl/>
          <w:lang w:bidi="ar-KW"/>
        </w:rPr>
        <w:t xml:space="preserve"> </w:t>
      </w:r>
      <w:r w:rsidR="000636C2">
        <w:rPr>
          <w:rtl/>
          <w:lang w:bidi="ar-KW"/>
        </w:rPr>
        <w:t>(</w:t>
      </w:r>
      <w:r w:rsidRPr="005675B2">
        <w:rPr>
          <w:rtl/>
          <w:lang w:bidi="ar-KW"/>
        </w:rPr>
        <w:t>إن للراسخين طريقاًً يسلكونها في اتباع الحق، وإن الزائغين على طريق غير طريقهم، فاحتجنا إلى بيان الطريق التي سلكها هؤلاء لنتجنبها، كما نبين الطريق التي سلكها الراسخون لنسلكها</w:t>
      </w:r>
      <w:r w:rsidR="000636C2">
        <w:rPr>
          <w:rtl/>
          <w:lang w:bidi="ar-KW"/>
        </w:rPr>
        <w:t>)،</w:t>
      </w:r>
      <w:r w:rsidRPr="005675B2">
        <w:rPr>
          <w:rtl/>
          <w:lang w:bidi="ar-KW"/>
        </w:rPr>
        <w:t xml:space="preserve"> ثم أخذ ببيان طرق الزائغين فقال</w:t>
      </w:r>
      <w:r w:rsidR="000636C2">
        <w:rPr>
          <w:rtl/>
          <w:lang w:bidi="ar-KW"/>
        </w:rPr>
        <w:t>:</w:t>
      </w:r>
      <w:r w:rsidRPr="005675B2">
        <w:rPr>
          <w:rFonts w:hint="cs"/>
          <w:rtl/>
          <w:lang w:bidi="ar-KW"/>
        </w:rPr>
        <w:t xml:space="preserve"> </w:t>
      </w:r>
      <w:r w:rsidR="000636C2">
        <w:rPr>
          <w:spacing w:val="-4"/>
          <w:rtl/>
          <w:lang w:bidi="ar-KW"/>
        </w:rPr>
        <w:t>(</w:t>
      </w:r>
      <w:r w:rsidRPr="005675B2">
        <w:rPr>
          <w:spacing w:val="-4"/>
          <w:rtl/>
          <w:lang w:bidi="ar-KW"/>
        </w:rPr>
        <w:t>فمنها اعتمادهم على الأحاديث الواهية الضعيفة .. ومنها ضد هذا، وهو ردّهم للأحاديث التي جرت غير موافقة لأغراضهم ومذاهبهم .. ومنها تخرّصهم على الكلام في القرآن والسنة العربيين مع العُروِّ عن علم العربية الذي يفهم به عن الله ورسوله .. ومنها انحرافهم عن الأصول الواضحة إلى اتباع المتشابهات التي للعقول فيها مواقف</w:t>
      </w:r>
      <w:r w:rsidR="000636C2">
        <w:rPr>
          <w:spacing w:val="-4"/>
          <w:rtl/>
          <w:lang w:bidi="ar-KW"/>
        </w:rPr>
        <w:t xml:space="preserve">)، </w:t>
      </w:r>
      <w:r w:rsidRPr="005675B2">
        <w:rPr>
          <w:spacing w:val="-4"/>
          <w:rtl/>
          <w:lang w:bidi="ar-KW"/>
        </w:rPr>
        <w:t>وضرب مثلاً لهذا الصنف من غير أمة الإسلام بالنصارى، ثم قال رحمه الله</w:t>
      </w:r>
      <w:r w:rsidR="000636C2">
        <w:rPr>
          <w:spacing w:val="-4"/>
          <w:rtl/>
          <w:lang w:bidi="ar-KW"/>
        </w:rPr>
        <w:t>:</w:t>
      </w:r>
      <w:r w:rsidRPr="005675B2">
        <w:rPr>
          <w:spacing w:val="-4"/>
          <w:rtl/>
          <w:lang w:bidi="ar-KW"/>
        </w:rPr>
        <w:t xml:space="preserve"> </w:t>
      </w:r>
      <w:r w:rsidR="000636C2">
        <w:rPr>
          <w:bCs/>
          <w:spacing w:val="-4"/>
          <w:rtl/>
          <w:lang w:bidi="ar-KW"/>
        </w:rPr>
        <w:t>(</w:t>
      </w:r>
      <w:r w:rsidRPr="005675B2">
        <w:rPr>
          <w:bCs/>
          <w:spacing w:val="-4"/>
          <w:rtl/>
          <w:lang w:bidi="ar-KW"/>
        </w:rPr>
        <w:t>ومثاله في ملة الإسلام مذهب الظاهرية في إثبات الجوارح للرب</w:t>
      </w:r>
      <w:r w:rsidR="000636C2">
        <w:rPr>
          <w:bCs/>
          <w:spacing w:val="-4"/>
          <w:rtl/>
          <w:lang w:bidi="ar-KW"/>
        </w:rPr>
        <w:t xml:space="preserve"> </w:t>
      </w:r>
      <w:r w:rsidRPr="005675B2">
        <w:rPr>
          <w:bCs/>
          <w:spacing w:val="-4"/>
          <w:rtl/>
          <w:lang w:bidi="ar-KW"/>
        </w:rPr>
        <w:t>- المنزه عن النقائص</w:t>
      </w:r>
      <w:r w:rsidR="000636C2">
        <w:rPr>
          <w:bCs/>
          <w:spacing w:val="-4"/>
          <w:rtl/>
          <w:lang w:bidi="ar-KW"/>
        </w:rPr>
        <w:t xml:space="preserve"> </w:t>
      </w:r>
      <w:r w:rsidRPr="005675B2">
        <w:rPr>
          <w:bCs/>
          <w:spacing w:val="-4"/>
          <w:rtl/>
          <w:lang w:bidi="ar-KW"/>
        </w:rPr>
        <w:t>- من العين واليد والرجل والوجه المحسوسات والجهة وغير ذلك من الثابت للمحدثات</w:t>
      </w:r>
      <w:r w:rsidR="000636C2">
        <w:rPr>
          <w:bCs/>
          <w:spacing w:val="-4"/>
          <w:rtl/>
          <w:lang w:bidi="ar-KW"/>
        </w:rPr>
        <w:t>)</w:t>
      </w:r>
      <w:r w:rsidRPr="005675B2">
        <w:rPr>
          <w:bCs/>
          <w:spacing w:val="-4"/>
          <w:rtl/>
          <w:lang w:bidi="ar-KW"/>
        </w:rPr>
        <w:t xml:space="preserve"> </w:t>
      </w:r>
      <w:r w:rsidRPr="005675B2">
        <w:rPr>
          <w:spacing w:val="-4"/>
          <w:rtl/>
          <w:lang w:bidi="ar-KW"/>
        </w:rPr>
        <w:t>اهـ</w:t>
      </w:r>
      <w:r w:rsidR="000636C2">
        <w:rPr>
          <w:spacing w:val="-4"/>
          <w:rtl/>
          <w:lang w:bidi="ar-KW"/>
        </w:rPr>
        <w:t>،</w:t>
      </w:r>
      <w:r w:rsidR="000636C2">
        <w:rPr>
          <w:bCs/>
          <w:spacing w:val="-4"/>
          <w:rtl/>
          <w:lang w:bidi="ar-KW"/>
        </w:rPr>
        <w:t xml:space="preserve"> </w:t>
      </w:r>
      <w:r w:rsidRPr="005675B2">
        <w:rPr>
          <w:rtl/>
          <w:lang w:bidi="ar-KW"/>
        </w:rPr>
        <w:t>ومعنى كلامه ظاهر، أي أن المحظور هو حملها على المحسوسات، وهو اللازم من حملها على الظاهر والحقيقة، أما إثباتها مع تنزيه الله تعالى عن ظواهرها وحقائقها اللغوية المعروفة فهو حق، وهو مذهب جماهير سلف الأمة الصالح رضوان الله عليهم</w:t>
      </w:r>
      <w:r w:rsidR="000636C2">
        <w:rPr>
          <w:rtl/>
          <w:lang w:bidi="ar-KW"/>
        </w:rPr>
        <w:t xml:space="preserve">، </w:t>
      </w:r>
      <w:r w:rsidRPr="005675B2">
        <w:rPr>
          <w:rtl/>
          <w:lang w:bidi="ar-KW"/>
        </w:rPr>
        <w:t xml:space="preserve">وقال أيضاً رحمه الله تعالى في تأويل حُبِّه تعالى وبغضه </w:t>
      </w:r>
      <w:r w:rsidR="000636C2">
        <w:rPr>
          <w:rtl/>
          <w:lang w:bidi="ar-KW"/>
        </w:rPr>
        <w:t>(</w:t>
      </w:r>
      <w:r w:rsidRPr="005675B2">
        <w:rPr>
          <w:rtl/>
          <w:lang w:bidi="ar-KW"/>
        </w:rPr>
        <w:t>الموافقات 2/116</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والحب والبغض من الله تعالى إما أن يراد بهما نفس الإنعام والانتقام، فيرجعان إلى صفات الأفعال على رأي من قال بذلك، وإما أن يراد بهما إرادة الإنعام والانتقام، فيرجعان إلى صفات الذات، </w:t>
      </w:r>
      <w:r w:rsidRPr="005675B2">
        <w:rPr>
          <w:bCs/>
          <w:rtl/>
          <w:lang w:bidi="ar-KW"/>
        </w:rPr>
        <w:t>لأن نفس الحب والبغض المفهومين في كلام العرب حقيقة محالان على الله تعالى</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Pr="005675B2">
        <w:rPr>
          <w:bCs/>
          <w:rtl/>
          <w:lang w:bidi="ar-KW"/>
        </w:rPr>
        <w:t xml:space="preserve"> </w:t>
      </w:r>
      <w:r w:rsidRPr="005675B2">
        <w:rPr>
          <w:rtl/>
          <w:lang w:bidi="ar-KW"/>
        </w:rPr>
        <w:t xml:space="preserve">وقال الإمام ابن الأثير رحمه الله تعالى </w:t>
      </w:r>
      <w:r w:rsidR="000636C2">
        <w:rPr>
          <w:rtl/>
          <w:lang w:bidi="ar-KW"/>
        </w:rPr>
        <w:t>(</w:t>
      </w:r>
      <w:r w:rsidRPr="005675B2">
        <w:rPr>
          <w:rtl/>
          <w:lang w:bidi="ar-KW"/>
        </w:rPr>
        <w:t>النهاية في غريب الحديث 5/300</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 </w:t>
      </w:r>
      <w:r w:rsidRPr="005675B2">
        <w:rPr>
          <w:bCs/>
          <w:rtl/>
          <w:lang w:bidi="ar-KW"/>
        </w:rPr>
        <w:t>الحجر يمين الله في الأرض</w:t>
      </w:r>
      <w:r w:rsidRPr="005675B2">
        <w:rPr>
          <w:rtl/>
          <w:lang w:bidi="ar-KW"/>
        </w:rPr>
        <w:t xml:space="preserve"> " هذا الكلام تمثيل وتخييل، وأصله أن الملك إذا صافح رجلاً قبّل الرجل يده، فكأن الحجر الأسود لله بمنزلة اليمين للملك، حيث يستلم ويلثم</w:t>
      </w:r>
      <w:r w:rsidR="000636C2">
        <w:rPr>
          <w:rtl/>
          <w:lang w:bidi="ar-KW"/>
        </w:rPr>
        <w:t xml:space="preserve">، </w:t>
      </w:r>
      <w:r w:rsidRPr="005675B2">
        <w:rPr>
          <w:rtl/>
          <w:lang w:bidi="ar-KW"/>
        </w:rPr>
        <w:t xml:space="preserve">ومنه الحديث الآخر </w:t>
      </w:r>
      <w:r w:rsidRPr="005675B2">
        <w:rPr>
          <w:bCs/>
          <w:rtl/>
          <w:lang w:bidi="ar-KW"/>
        </w:rPr>
        <w:t>" وكلتا يديه يمين "</w:t>
      </w:r>
      <w:r w:rsidRPr="005675B2">
        <w:rPr>
          <w:rtl/>
          <w:lang w:bidi="ar-KW"/>
        </w:rPr>
        <w:t xml:space="preserve"> أي أن يديه تبارك وتعالى بصفة الكمال، لانقص في واحدة منهما، لأن الشمال تنقص عن اليمين، وكل ما جاء في القرآن والحديث من إضافة اليد والأيدي واليمين وغير ذلك من أسماء الجوارح إلى الله تعالى فإنما هو على سبيل المجاز والاستعارة، والله منزه عن التشبيه والتجسيم</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أيضاً عن حديث النزول </w:t>
      </w:r>
      <w:r w:rsidR="000636C2">
        <w:rPr>
          <w:rtl/>
          <w:lang w:bidi="ar-KW"/>
        </w:rPr>
        <w:t>(</w:t>
      </w:r>
      <w:r w:rsidRPr="005675B2">
        <w:rPr>
          <w:rtl/>
          <w:lang w:bidi="ar-KW"/>
        </w:rPr>
        <w:t>5/42</w:t>
      </w:r>
      <w:r w:rsidR="000636C2">
        <w:rPr>
          <w:rtl/>
          <w:lang w:bidi="ar-KW"/>
        </w:rPr>
        <w:t>):</w:t>
      </w:r>
      <w:r w:rsidRPr="005675B2">
        <w:rPr>
          <w:rtl/>
          <w:lang w:bidi="ar-KW"/>
        </w:rPr>
        <w:t xml:space="preserve"> </w:t>
      </w:r>
      <w:r w:rsidR="000636C2">
        <w:rPr>
          <w:rtl/>
          <w:lang w:bidi="ar-KW"/>
        </w:rPr>
        <w:t>(</w:t>
      </w:r>
      <w:r w:rsidRPr="005675B2">
        <w:rPr>
          <w:rtl/>
          <w:lang w:bidi="ar-KW"/>
        </w:rPr>
        <w:t>النزول والصعود والحركة والسكون من صفات الأجسام، والله يتعالى عن ذلك ويتقدس، والمراد به نزول الرحمة والألطاف الإلهية، وقربها من العباد، وتخصيصها بالليل والثلث الأخير منه لأنه وقت التهجد وغفلة الناس عمّن يتعرض لنفحات رحمة الله، وعند ذلك تكون النية خالصة، والرغبة إلى الله وافرة، وذلك مظنة القبول والإجابة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القرطبي - رحمه الله تعالى - </w:t>
      </w:r>
      <w:r w:rsidR="000636C2">
        <w:rPr>
          <w:rtl/>
          <w:lang w:bidi="ar-KW"/>
        </w:rPr>
        <w:t>(</w:t>
      </w:r>
      <w:r w:rsidRPr="005675B2">
        <w:rPr>
          <w:rtl/>
          <w:lang w:bidi="ar-KW"/>
        </w:rPr>
        <w:t>المُفهم 6 / 672</w:t>
      </w:r>
      <w:r w:rsidR="000636C2">
        <w:rPr>
          <w:rtl/>
          <w:lang w:bidi="ar-KW"/>
        </w:rPr>
        <w:t>)</w:t>
      </w:r>
      <w:r w:rsidRPr="005675B2">
        <w:rPr>
          <w:rtl/>
          <w:lang w:bidi="ar-KW"/>
        </w:rPr>
        <w:t xml:space="preserve"> في شرح حديث "</w:t>
      </w:r>
      <w:r w:rsidRPr="005675B2">
        <w:rPr>
          <w:bCs/>
          <w:rtl/>
          <w:lang w:bidi="ar-KW"/>
        </w:rPr>
        <w:t>قلوب بنى</w:t>
      </w:r>
      <w:r w:rsidRPr="005675B2">
        <w:rPr>
          <w:rtl/>
          <w:lang w:bidi="ar-KW"/>
        </w:rPr>
        <w:t xml:space="preserve"> </w:t>
      </w:r>
      <w:r w:rsidRPr="005675B2">
        <w:rPr>
          <w:bCs/>
          <w:rtl/>
          <w:lang w:bidi="ar-KW"/>
        </w:rPr>
        <w:t>آدم بين أصبعين من أصابع الرحمن</w:t>
      </w:r>
      <w:r w:rsidRPr="005675B2">
        <w:rPr>
          <w:rtl/>
          <w:lang w:bidi="ar-KW"/>
        </w:rPr>
        <w:t xml:space="preserve"> "</w:t>
      </w:r>
      <w:r w:rsidR="000636C2">
        <w:rPr>
          <w:rtl/>
          <w:lang w:bidi="ar-KW"/>
        </w:rPr>
        <w:t>:</w:t>
      </w:r>
      <w:r w:rsidRPr="005675B2">
        <w:rPr>
          <w:rFonts w:hint="cs"/>
          <w:rtl/>
          <w:lang w:bidi="ar-KW"/>
        </w:rPr>
        <w:t xml:space="preserve"> </w:t>
      </w:r>
      <w:r w:rsidR="000636C2">
        <w:rPr>
          <w:rtl/>
          <w:lang w:bidi="ar-KW"/>
        </w:rPr>
        <w:t>(</w:t>
      </w:r>
      <w:r w:rsidRPr="005675B2">
        <w:rPr>
          <w:rtl/>
          <w:lang w:bidi="ar-KW"/>
        </w:rPr>
        <w:t>ظاهر الأصبع محال على الله تعالى قطعاً .. وقد تأول بعض أئمتنا هذا الحديث فقال</w:t>
      </w:r>
      <w:r w:rsidR="000636C2">
        <w:rPr>
          <w:rtl/>
          <w:lang w:bidi="ar-KW"/>
        </w:rPr>
        <w:t>:</w:t>
      </w:r>
      <w:r w:rsidRPr="005675B2">
        <w:rPr>
          <w:rtl/>
          <w:lang w:bidi="ar-KW"/>
        </w:rPr>
        <w:t xml:space="preserve"> هذا استعارة جارية مجرى قولهم</w:t>
      </w:r>
      <w:r w:rsidR="000636C2">
        <w:rPr>
          <w:rtl/>
          <w:lang w:bidi="ar-KW"/>
        </w:rPr>
        <w:t>:</w:t>
      </w:r>
      <w:r w:rsidRPr="005675B2">
        <w:rPr>
          <w:rtl/>
          <w:lang w:bidi="ar-KW"/>
        </w:rPr>
        <w:t xml:space="preserve"> فلان في كفي وفي قبضتي</w:t>
      </w:r>
      <w:r w:rsidR="000636C2">
        <w:rPr>
          <w:rtl/>
          <w:lang w:bidi="ar-KW"/>
        </w:rPr>
        <w:t>،</w:t>
      </w:r>
      <w:r w:rsidRPr="005675B2">
        <w:rPr>
          <w:rtl/>
          <w:lang w:bidi="ar-KW"/>
        </w:rPr>
        <w:t xml:space="preserve"> يراد به أنه متمكن من التصرف فيه والتصريف له كيف يشاء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الحافظ ابن حجر رحمه الله تعالى </w:t>
      </w:r>
      <w:r w:rsidR="000636C2">
        <w:rPr>
          <w:rtl/>
          <w:lang w:bidi="ar-KW"/>
        </w:rPr>
        <w:t>(</w:t>
      </w:r>
      <w:r w:rsidRPr="005675B2">
        <w:rPr>
          <w:rtl/>
          <w:lang w:bidi="ar-KW"/>
        </w:rPr>
        <w:t>الفتح 1/189</w:t>
      </w:r>
      <w:r w:rsidR="000636C2">
        <w:rPr>
          <w:rtl/>
          <w:lang w:bidi="ar-KW"/>
        </w:rPr>
        <w:t>)</w:t>
      </w:r>
      <w:r w:rsidRPr="005675B2">
        <w:rPr>
          <w:rtl/>
          <w:lang w:bidi="ar-KW"/>
        </w:rPr>
        <w:t xml:space="preserve"> مؤولاً للفظ الحياء المضاف إلى الله تعالى في الحديث</w:t>
      </w:r>
      <w:r w:rsidR="000636C2">
        <w:rPr>
          <w:rtl/>
          <w:lang w:bidi="ar-KW"/>
        </w:rPr>
        <w:t>:</w:t>
      </w:r>
      <w:r w:rsidRPr="005675B2">
        <w:rPr>
          <w:rtl/>
          <w:lang w:bidi="ar-KW"/>
        </w:rPr>
        <w:t xml:space="preserve"> </w:t>
      </w:r>
      <w:r w:rsidR="000636C2">
        <w:rPr>
          <w:rtl/>
          <w:lang w:bidi="ar-KW"/>
        </w:rPr>
        <w:t>(</w:t>
      </w:r>
      <w:r w:rsidRPr="005675B2">
        <w:rPr>
          <w:rtl/>
          <w:lang w:bidi="ar-KW"/>
        </w:rPr>
        <w:t>قوله " فاستحيا الله منه " أي رحمه ولم يعاقبه، وقوله " فأعرض الله عنه " أي سخط عليه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أيضاً </w:t>
      </w:r>
      <w:r w:rsidR="000636C2">
        <w:rPr>
          <w:rtl/>
          <w:lang w:bidi="ar-KW"/>
        </w:rPr>
        <w:t>(</w:t>
      </w:r>
      <w:r w:rsidRPr="005675B2">
        <w:rPr>
          <w:rtl/>
          <w:lang w:bidi="ar-KW"/>
        </w:rPr>
        <w:t>الفتح 1/419</w:t>
      </w:r>
      <w:r w:rsidR="000636C2">
        <w:rPr>
          <w:rtl/>
          <w:lang w:bidi="ar-KW"/>
        </w:rPr>
        <w:t>)</w:t>
      </w:r>
      <w:r w:rsidRPr="005675B2">
        <w:rPr>
          <w:rtl/>
          <w:lang w:bidi="ar-KW"/>
        </w:rPr>
        <w:t xml:space="preserve"> مؤوّلاً للفظ اليد </w:t>
      </w:r>
      <w:r w:rsidR="000636C2">
        <w:rPr>
          <w:rtl/>
          <w:lang w:bidi="ar-KW"/>
        </w:rPr>
        <w:t>(</w:t>
      </w:r>
      <w:r w:rsidRPr="005675B2">
        <w:rPr>
          <w:rtl/>
          <w:lang w:bidi="ar-KW"/>
        </w:rPr>
        <w:t>والمراد باليد هنا القدرة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قبل ذلك </w:t>
      </w:r>
      <w:r w:rsidR="000636C2">
        <w:rPr>
          <w:rtl/>
          <w:lang w:bidi="ar-KW"/>
        </w:rPr>
        <w:t>(</w:t>
      </w:r>
      <w:r w:rsidRPr="005675B2">
        <w:rPr>
          <w:rtl/>
          <w:lang w:bidi="ar-KW"/>
        </w:rPr>
        <w:t>هدي الساري ص/219</w:t>
      </w:r>
      <w:r w:rsidR="000636C2">
        <w:rPr>
          <w:rtl/>
          <w:lang w:bidi="ar-KW"/>
        </w:rPr>
        <w:t>):</w:t>
      </w:r>
      <w:r w:rsidRPr="005675B2">
        <w:rPr>
          <w:rtl/>
          <w:lang w:bidi="ar-KW"/>
        </w:rPr>
        <w:t xml:space="preserve"> </w:t>
      </w:r>
      <w:r w:rsidR="000636C2">
        <w:rPr>
          <w:rtl/>
          <w:lang w:bidi="ar-KW"/>
        </w:rPr>
        <w:t>(</w:t>
      </w:r>
      <w:r w:rsidRPr="005675B2">
        <w:rPr>
          <w:rtl/>
          <w:lang w:bidi="ar-KW"/>
        </w:rPr>
        <w:t>ووقع ذكر اليد في القرآن والحديث مضافاً إلى الله تعالى، واتفق أهل السنة والجماعة على أنه ليس المراد باليد الجارحة التي هي من صفات المحدثات، وأثبتوا ما جاء من ذلك وآمنوا به، فمنهم من وقف ولم يتأوّل، ومنهم من حمل كلّ لفظ منها على المعنى الذي ظهر له، وهكذا عملوا في جميع ما جاء من أمثال ذلك</w:t>
      </w:r>
      <w:r w:rsidR="000636C2">
        <w:rPr>
          <w:rtl/>
          <w:lang w:bidi="ar-KW"/>
        </w:rPr>
        <w:t>)</w:t>
      </w:r>
      <w:r w:rsidRPr="005675B2">
        <w:rPr>
          <w:rtl/>
          <w:lang w:bidi="ar-KW"/>
        </w:rPr>
        <w:t xml:space="preserve"> اهـ</w:t>
      </w:r>
      <w:r w:rsidR="000636C2">
        <w:rPr>
          <w:rtl/>
          <w:lang w:bidi="ar-KW"/>
        </w:rPr>
        <w:t>،</w:t>
      </w:r>
      <w:r w:rsidRPr="005675B2">
        <w:rPr>
          <w:rFonts w:hint="cs"/>
          <w:rtl/>
          <w:lang w:bidi="ar-KW"/>
        </w:rPr>
        <w:t xml:space="preserve"> </w:t>
      </w:r>
      <w:r w:rsidRPr="005675B2">
        <w:rPr>
          <w:rtl/>
          <w:lang w:bidi="ar-KW"/>
        </w:rPr>
        <w:t>فأنت ترى أن الأمر يسير، ولا يستدعي كلّ ما أثير حوله من تهويل، فليس في حمل الكلام على المعنى المجازي كبير خطر، ما دام ذلك ضمن ما يفهم من اللسان العربي عن قرب، وهذا الحافظ ابن حجر يقول</w:t>
      </w:r>
      <w:r w:rsidR="000636C2">
        <w:rPr>
          <w:rtl/>
          <w:lang w:bidi="ar-KW"/>
        </w:rPr>
        <w:t>:</w:t>
      </w:r>
      <w:r w:rsidRPr="005675B2">
        <w:rPr>
          <w:rtl/>
          <w:lang w:bidi="ar-KW"/>
        </w:rPr>
        <w:t xml:space="preserve"> إن أهل السنة</w:t>
      </w:r>
      <w:r w:rsidR="000636C2">
        <w:rPr>
          <w:rtl/>
          <w:lang w:bidi="ar-KW"/>
        </w:rPr>
        <w:t xml:space="preserve"> </w:t>
      </w:r>
      <w:r w:rsidRPr="005675B2">
        <w:rPr>
          <w:rtl/>
          <w:lang w:bidi="ar-KW"/>
        </w:rPr>
        <w:t>- بعد التنزيه عن الظاهر</w:t>
      </w:r>
      <w:r w:rsidR="000636C2">
        <w:rPr>
          <w:rtl/>
          <w:lang w:bidi="ar-KW"/>
        </w:rPr>
        <w:t xml:space="preserve"> </w:t>
      </w:r>
      <w:r w:rsidRPr="005675B2">
        <w:rPr>
          <w:rtl/>
          <w:lang w:bidi="ar-KW"/>
        </w:rPr>
        <w:t>- ما بين مفوض ومؤول، ولا نكير من أحدهم على الآخر</w:t>
      </w:r>
      <w:r w:rsidR="000636C2">
        <w:rPr>
          <w:rtl/>
          <w:lang w:bidi="ar-KW"/>
        </w:rPr>
        <w:t xml:space="preserve">، </w:t>
      </w:r>
      <w:r w:rsidRPr="005675B2">
        <w:rPr>
          <w:rtl/>
          <w:lang w:bidi="ar-KW"/>
        </w:rPr>
        <w:t xml:space="preserve">وللإمام الأُبّي - رحمه الله تعالى - كـلام يعتبر قـاعدة ذهبية في هذا الباب، قال رحمه الله </w:t>
      </w:r>
      <w:r w:rsidR="000636C2">
        <w:rPr>
          <w:rtl/>
          <w:lang w:bidi="ar-KW"/>
        </w:rPr>
        <w:t>(</w:t>
      </w:r>
      <w:r w:rsidRPr="005675B2">
        <w:rPr>
          <w:rtl/>
          <w:lang w:bidi="ar-KW"/>
        </w:rPr>
        <w:t>شرح مسلم 7 / 54</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القاعدة التي يجب اعتبارها أن ما يستحيل نسبته للذات أو الصفات يستحيل أن يرد متواتراً في نص لا يحتمل التأويل، وغاية المتواتر أن يرد فيما دلالته على المحال دلالة ظاهرة، والظاهر يقبل التأويل، </w:t>
      </w:r>
      <w:r w:rsidRPr="005675B2">
        <w:rPr>
          <w:bCs/>
          <w:rtl/>
          <w:lang w:bidi="ar-KW"/>
        </w:rPr>
        <w:t>فإن ورد فيجب صرف اللفظ عن ظاهره المستحيل</w:t>
      </w:r>
      <w:r w:rsidRPr="005675B2">
        <w:rPr>
          <w:rtl/>
          <w:lang w:bidi="ar-KW"/>
        </w:rPr>
        <w:t xml:space="preserve">، ثم اختلف، فوقف أكثر السلف عن التأويل، وقالوا نؤمن به على ما هو عند الله سبحانه في نفس الأمر، ونَكِلُ علم ذلك إلى الله سبحانه، وقال قوم بل الأولى التأويل .. </w:t>
      </w:r>
      <w:r w:rsidRPr="005675B2">
        <w:rPr>
          <w:bCs/>
          <w:rtl/>
          <w:lang w:bidi="ar-KW"/>
        </w:rPr>
        <w:t>وإن ورد خبر واحد نصاً في محال قطع بكذب راويه، وإن كان محتملاً للتأويل يتصرف فيه كما سبق</w:t>
      </w:r>
      <w:r w:rsidR="000636C2">
        <w:rPr>
          <w:bCs/>
          <w:rtl/>
          <w:lang w:bidi="ar-KW"/>
        </w:rPr>
        <w:t>)</w:t>
      </w:r>
      <w:r w:rsidRPr="005675B2">
        <w:rPr>
          <w:rtl/>
          <w:lang w:bidi="ar-KW"/>
        </w:rPr>
        <w:t xml:space="preserve"> اهـ</w:t>
      </w:r>
      <w:r w:rsidR="000636C2">
        <w:rPr>
          <w:rtl/>
          <w:lang w:bidi="ar-KW"/>
        </w:rPr>
        <w:t xml:space="preserve">، </w:t>
      </w:r>
      <w:r w:rsidRPr="005675B2">
        <w:rPr>
          <w:rtl/>
          <w:lang w:bidi="ar-KW"/>
        </w:rPr>
        <w:t>وهذا كلام محكم نفيس في عبارة موجزة شاملة</w:t>
      </w:r>
      <w:r w:rsidR="000636C2">
        <w:rPr>
          <w:rtl/>
          <w:lang w:bidi="ar-KW"/>
        </w:rPr>
        <w:t xml:space="preserve">، </w:t>
      </w:r>
      <w:r w:rsidRPr="005675B2">
        <w:rPr>
          <w:rtl/>
          <w:lang w:bidi="ar-KW"/>
        </w:rPr>
        <w:t xml:space="preserve">وقوله رحمه الله </w:t>
      </w:r>
      <w:r w:rsidR="000636C2">
        <w:rPr>
          <w:rtl/>
          <w:lang w:bidi="ar-KW"/>
        </w:rPr>
        <w:t>(</w:t>
      </w:r>
      <w:r w:rsidRPr="005675B2">
        <w:rPr>
          <w:rtl/>
          <w:lang w:bidi="ar-KW"/>
        </w:rPr>
        <w:t>وإن ورد .. قطع بكذب راويه</w:t>
      </w:r>
      <w:r w:rsidR="000636C2">
        <w:rPr>
          <w:rtl/>
          <w:lang w:bidi="ar-KW"/>
        </w:rPr>
        <w:t>)</w:t>
      </w:r>
      <w:r w:rsidRPr="005675B2">
        <w:rPr>
          <w:rtl/>
          <w:lang w:bidi="ar-KW"/>
        </w:rPr>
        <w:t xml:space="preserve"> لأنه ظني عارض القطعي، وقد ثبت بالقطعي من دليل النقل والعقل أنه تعالى ليس كمثله شيء، فكل خبر يأتي على خلاف ذلك يقطع بكذب راويه، لأن أدلة الشرع تتعاضد ولا تتضاد</w:t>
      </w:r>
      <w:r w:rsidR="000636C2">
        <w:rPr>
          <w:rtl/>
          <w:lang w:bidi="ar-KW"/>
        </w:rPr>
        <w:t xml:space="preserve">، </w:t>
      </w:r>
      <w:r w:rsidRPr="005675B2">
        <w:rPr>
          <w:rtl/>
          <w:lang w:bidi="ar-KW"/>
        </w:rPr>
        <w:t>ومن اطلع على كتب التراث الإسلامي لأئمة الإسلام وجد ما لا يدخل تحت الحصر من هذه النصوص التي اكتفينا هنا بذكر شذرة منها، مما يدفع العاقل الأريب إلى الإيقان بصحة هذا المنهج الذي اجتمعت عليه الأمة</w:t>
      </w:r>
      <w:r w:rsidR="000636C2">
        <w:rPr>
          <w:rtl/>
          <w:lang w:bidi="ar-KW"/>
        </w:rPr>
        <w:t>،</w:t>
      </w:r>
      <w:r w:rsidRPr="005675B2">
        <w:rPr>
          <w:rtl/>
          <w:lang w:bidi="ar-KW"/>
        </w:rPr>
        <w:t xml:space="preserve"> قال الشيخ الزرقاني في " مناهل العرفان " </w:t>
      </w:r>
      <w:r w:rsidR="000636C2">
        <w:rPr>
          <w:rtl/>
          <w:lang w:bidi="ar-KW"/>
        </w:rPr>
        <w:t>(</w:t>
      </w:r>
      <w:r w:rsidRPr="005675B2">
        <w:rPr>
          <w:rtl/>
          <w:lang w:bidi="ar-KW"/>
        </w:rPr>
        <w:t>2 / 286</w:t>
      </w:r>
      <w:r w:rsidR="000636C2">
        <w:rPr>
          <w:rtl/>
          <w:lang w:bidi="ar-KW"/>
        </w:rPr>
        <w:t>)</w:t>
      </w:r>
      <w:r w:rsidRPr="005675B2">
        <w:rPr>
          <w:rtl/>
          <w:lang w:bidi="ar-KW"/>
        </w:rPr>
        <w:t xml:space="preserve"> ما نصه</w:t>
      </w:r>
      <w:r w:rsidR="000636C2">
        <w:rPr>
          <w:rtl/>
          <w:lang w:bidi="ar-KW"/>
        </w:rPr>
        <w:t>:</w:t>
      </w:r>
      <w:r w:rsidRPr="005675B2">
        <w:rPr>
          <w:rFonts w:hint="cs"/>
          <w:rtl/>
          <w:lang w:bidi="ar-KW"/>
        </w:rPr>
        <w:t xml:space="preserve"> </w:t>
      </w:r>
      <w:r w:rsidR="000636C2">
        <w:rPr>
          <w:rtl/>
          <w:lang w:bidi="ar-KW"/>
        </w:rPr>
        <w:t>(</w:t>
      </w:r>
      <w:r w:rsidRPr="005675B2">
        <w:rPr>
          <w:rtl/>
          <w:lang w:bidi="ar-KW"/>
        </w:rPr>
        <w:t>علماؤنا أجزل الله مثوبتهم قد اتفقوا على ثلاثة أمور تتعلق بهذه المتشابهات، ثم اختلفوا فيما وراءها</w:t>
      </w:r>
      <w:r w:rsidR="000636C2">
        <w:rPr>
          <w:rtl/>
          <w:lang w:bidi="ar-KW"/>
        </w:rPr>
        <w:t>:</w:t>
      </w:r>
      <w:r w:rsidRPr="005675B2">
        <w:rPr>
          <w:rFonts w:hint="cs"/>
          <w:rtl/>
          <w:lang w:bidi="ar-KW"/>
        </w:rPr>
        <w:t xml:space="preserve"> </w:t>
      </w:r>
      <w:r w:rsidRPr="005675B2">
        <w:rPr>
          <w:rtl/>
          <w:lang w:bidi="ar-KW"/>
        </w:rPr>
        <w:t>فأول</w:t>
      </w:r>
      <w:r w:rsidR="000636C2">
        <w:rPr>
          <w:rtl/>
          <w:lang w:bidi="ar-KW"/>
        </w:rPr>
        <w:t>:</w:t>
      </w:r>
      <w:r w:rsidRPr="005675B2">
        <w:rPr>
          <w:rtl/>
          <w:lang w:bidi="ar-KW"/>
        </w:rPr>
        <w:t xml:space="preserve"> ما اتفقوا عليه صرفها عن ظواهرها المستحيلة، واعتقاد أن هذه الظواهر باطلة بالأدلة القاطعة وبما هو معروف عن الشارع نفسه في محكماته</w:t>
      </w:r>
      <w:r w:rsidR="000636C2">
        <w:rPr>
          <w:rtl/>
          <w:lang w:bidi="ar-KW"/>
        </w:rPr>
        <w:t xml:space="preserve">، </w:t>
      </w:r>
      <w:r w:rsidRPr="005675B2">
        <w:rPr>
          <w:rtl/>
          <w:lang w:bidi="ar-KW"/>
        </w:rPr>
        <w:t>ثانيه</w:t>
      </w:r>
      <w:r w:rsidR="000636C2">
        <w:rPr>
          <w:rtl/>
          <w:lang w:bidi="ar-KW"/>
        </w:rPr>
        <w:t>:</w:t>
      </w:r>
      <w:r w:rsidRPr="005675B2">
        <w:rPr>
          <w:rtl/>
          <w:lang w:bidi="ar-KW"/>
        </w:rPr>
        <w:t xml:space="preserve"> أنه إذا توقف الدفاع عن الإسلام على التأويل لهذه المتشابهات وجب تأويلها بما يدفع شبهات المشتبهين ويرد طعن الطاعنين</w:t>
      </w:r>
      <w:r w:rsidR="000636C2">
        <w:rPr>
          <w:rtl/>
          <w:lang w:bidi="ar-KW"/>
        </w:rPr>
        <w:t>،</w:t>
      </w:r>
      <w:r w:rsidRPr="005675B2">
        <w:rPr>
          <w:rtl/>
          <w:lang w:bidi="ar-KW"/>
        </w:rPr>
        <w:t xml:space="preserve"> ثالثه</w:t>
      </w:r>
      <w:r w:rsidR="000636C2">
        <w:rPr>
          <w:rtl/>
          <w:lang w:bidi="ar-KW"/>
        </w:rPr>
        <w:t>:</w:t>
      </w:r>
      <w:r w:rsidRPr="005675B2">
        <w:rPr>
          <w:rtl/>
          <w:lang w:bidi="ar-KW"/>
        </w:rPr>
        <w:t xml:space="preserve"> إن المتشابه إن كان له تأويل واحد يفهم منه قريباً وجب القول به إجماعاً، وذلك كقوله تعالى</w:t>
      </w:r>
      <w:r w:rsidR="000636C2">
        <w:rPr>
          <w:bCs/>
          <w:rtl/>
          <w:lang w:bidi="ar-KW"/>
        </w:rPr>
        <w:t>(</w:t>
      </w:r>
      <w:r w:rsidRPr="005675B2">
        <w:rPr>
          <w:bCs/>
          <w:rtl/>
          <w:lang w:bidi="ar-KW"/>
        </w:rPr>
        <w:t>وهو معكم أينما كنتم</w:t>
      </w:r>
      <w:r w:rsidR="000636C2">
        <w:rPr>
          <w:bCs/>
          <w:rtl/>
          <w:lang w:bidi="ar-KW"/>
        </w:rPr>
        <w:t>)</w:t>
      </w:r>
      <w:r w:rsidRPr="005675B2">
        <w:rPr>
          <w:rtl/>
          <w:lang w:bidi="ar-KW"/>
        </w:rPr>
        <w:t xml:space="preserve"> فإن الكينونة بالذات مع الخلق مستحيلة قطعاً، وليس لها بعد ذلك إلا تأويل واحد، هو الكينونة معهم بالإحاطة علماً وبصراً وقدرة وإرادة</w:t>
      </w:r>
      <w:r w:rsidR="000636C2">
        <w:rPr>
          <w:rtl/>
          <w:lang w:bidi="ar-KW"/>
        </w:rPr>
        <w:t xml:space="preserve">، </w:t>
      </w:r>
      <w:r w:rsidRPr="005675B2">
        <w:rPr>
          <w:rtl/>
          <w:lang w:bidi="ar-KW"/>
        </w:rPr>
        <w:t>وأما اختلاف العلماء فيما وراء ذلك فقد وقع على ثلاثة مذاهب</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فعد مذهب التفويض ومذهب التأويل، ثم جعل للإمام ابن دقيق العيد مذهباً ثالثاً متوسطاً بين المذهبين لقوله </w:t>
      </w:r>
      <w:r w:rsidR="000636C2">
        <w:rPr>
          <w:rtl/>
          <w:lang w:bidi="ar-KW"/>
        </w:rPr>
        <w:t>(</w:t>
      </w:r>
      <w:r w:rsidRPr="005675B2">
        <w:rPr>
          <w:rtl/>
          <w:lang w:bidi="ar-KW"/>
        </w:rPr>
        <w:t>الفتح 13 / 395</w:t>
      </w:r>
      <w:r w:rsidR="000636C2">
        <w:rPr>
          <w:rtl/>
          <w:lang w:bidi="ar-KW"/>
        </w:rPr>
        <w:t>)</w:t>
      </w:r>
      <w:r w:rsidRPr="005675B2">
        <w:rPr>
          <w:rtl/>
          <w:lang w:bidi="ar-KW"/>
        </w:rPr>
        <w:t xml:space="preserve"> </w:t>
      </w:r>
      <w:r w:rsidR="000636C2">
        <w:rPr>
          <w:rtl/>
          <w:lang w:bidi="ar-KW"/>
        </w:rPr>
        <w:t>(</w:t>
      </w:r>
      <w:r w:rsidRPr="005675B2">
        <w:rPr>
          <w:rtl/>
          <w:lang w:bidi="ar-KW"/>
        </w:rPr>
        <w:t>نقول في الصفات المشكلة إنها حق وصدق على المعنى الذي أراده الله، ومن تأولها نظرنا، فإن كان تأويله قريباً على مقتضى لسان العرب لم ننكر عليه، وإن كان بعيداً توقفنا عنه ورجعنا إلى التصديق مع التنزيه</w:t>
      </w:r>
      <w:r w:rsidR="000636C2">
        <w:rPr>
          <w:rtl/>
          <w:lang w:bidi="ar-KW"/>
        </w:rPr>
        <w:t>)</w:t>
      </w:r>
      <w:r w:rsidRPr="005675B2">
        <w:rPr>
          <w:rtl/>
          <w:lang w:bidi="ar-KW"/>
        </w:rPr>
        <w:t>، وهو في حقيقة الأمر داخل ضمن مذهب التأويل، لأنه ليس من أهل السنة أحد إلا وهو متفق معه على ما ذهب إليه من رفض التأويلات البعيدة التي ليست على مقتضى لسان العرب</w:t>
      </w:r>
      <w:r w:rsidR="000636C2">
        <w:rPr>
          <w:rtl/>
          <w:lang w:bidi="ar-KW"/>
        </w:rPr>
        <w:t xml:space="preserve">، </w:t>
      </w:r>
      <w:r w:rsidRPr="005675B2">
        <w:rPr>
          <w:rtl/>
          <w:lang w:bidi="ar-KW"/>
        </w:rPr>
        <w:t xml:space="preserve">وقال الشيخ العلامة محمد الحامد - رحمه الله تعالى - </w:t>
      </w:r>
      <w:r w:rsidR="000636C2">
        <w:rPr>
          <w:rtl/>
          <w:lang w:bidi="ar-KW"/>
        </w:rPr>
        <w:t>(</w:t>
      </w:r>
      <w:r w:rsidRPr="005675B2">
        <w:rPr>
          <w:rtl/>
          <w:lang w:bidi="ar-KW"/>
        </w:rPr>
        <w:t>ردود على أباطيل 2/ 10</w:t>
      </w:r>
      <w:r w:rsidR="000636C2">
        <w:rPr>
          <w:rtl/>
          <w:lang w:bidi="ar-KW"/>
        </w:rPr>
        <w:t>):</w:t>
      </w:r>
      <w:r w:rsidRPr="005675B2">
        <w:rPr>
          <w:rFonts w:hint="cs"/>
          <w:rtl/>
          <w:lang w:bidi="ar-KW"/>
        </w:rPr>
        <w:t xml:space="preserve"> </w:t>
      </w:r>
      <w:r w:rsidR="000636C2">
        <w:rPr>
          <w:rtl/>
          <w:lang w:bidi="ar-KW"/>
        </w:rPr>
        <w:t>(</w:t>
      </w:r>
      <w:r w:rsidRPr="005675B2">
        <w:rPr>
          <w:rtl/>
          <w:lang w:bidi="ar-KW"/>
        </w:rPr>
        <w:t>النصوص السمعية المحكمة أي الواضحة المعنى هي الأصل الذي يجب أن يحمل عليه المتشابه، أي الذي يسبق إلى الوهم معنى التشبيه منه</w:t>
      </w:r>
      <w:r w:rsidR="000636C2">
        <w:rPr>
          <w:bCs/>
          <w:rtl/>
          <w:lang w:bidi="ar-KW"/>
        </w:rPr>
        <w:t xml:space="preserve"> (</w:t>
      </w:r>
      <w:r w:rsidRPr="005675B2">
        <w:rPr>
          <w:bCs/>
          <w:rtl/>
          <w:lang w:bidi="ar-KW"/>
        </w:rPr>
        <w:t>هو الذي أنزل عليك الكتاب منه آيات محكمات هنَّ أمُّ الكتاب وأخر متشابهات</w:t>
      </w:r>
      <w:r w:rsidR="000636C2">
        <w:rPr>
          <w:bCs/>
          <w:rtl/>
          <w:lang w:bidi="ar-KW"/>
        </w:rPr>
        <w:t>،</w:t>
      </w:r>
      <w:r w:rsidRPr="005675B2">
        <w:rPr>
          <w:bCs/>
          <w:rtl/>
          <w:lang w:bidi="ar-KW"/>
        </w:rPr>
        <w:t xml:space="preserve"> فأمّا الذين في قلوبهم زيغ فيتَّبعون ما تشابه منه ابتغاء الفتنة وابتغاء تأويله وما يعلم تأويله إلا الله</w:t>
      </w:r>
      <w:r w:rsidR="000636C2">
        <w:rPr>
          <w:bCs/>
          <w:rtl/>
          <w:lang w:bidi="ar-KW"/>
        </w:rPr>
        <w:t>،</w:t>
      </w:r>
      <w:r w:rsidRPr="005675B2">
        <w:rPr>
          <w:bCs/>
          <w:rtl/>
          <w:lang w:bidi="ar-KW"/>
        </w:rPr>
        <w:t xml:space="preserve"> والراسخون في العلم يقولون آمنّا به كلٌّ من عند ربنا</w:t>
      </w:r>
      <w:r w:rsidR="000636C2">
        <w:rPr>
          <w:bCs/>
          <w:rtl/>
          <w:lang w:bidi="ar-KW"/>
        </w:rPr>
        <w:t>،</w:t>
      </w:r>
      <w:r w:rsidRPr="005675B2">
        <w:rPr>
          <w:bCs/>
          <w:rtl/>
          <w:lang w:bidi="ar-KW"/>
        </w:rPr>
        <w:t xml:space="preserve"> وما يتذكّر ألا أولوا الألباب</w:t>
      </w:r>
      <w:r w:rsidR="000636C2">
        <w:rPr>
          <w:bCs/>
          <w:rtl/>
          <w:lang w:bidi="ar-KW"/>
        </w:rPr>
        <w:t>)</w:t>
      </w:r>
      <w:r w:rsidRPr="005675B2">
        <w:rPr>
          <w:bCs/>
          <w:rtl/>
          <w:lang w:bidi="ar-KW"/>
        </w:rPr>
        <w:t xml:space="preserve"> </w:t>
      </w:r>
      <w:r w:rsidRPr="005675B2">
        <w:rPr>
          <w:rtl/>
          <w:lang w:bidi="ar-KW"/>
        </w:rPr>
        <w:t>أي آمنا به جميعاً محكمه ومتشابهه، لكن إيمانهم بالمتشابه لا ينقض إيمانهم بالمحكم الذي هو الأصل، فهم لا يشبهون الله بخلقه، بل يكلون العلم بمعنى المتشابه إلى الله عز وجل معتقدين أن له معنى شريفاً يليق به سبحانه، فلا هم بالمعطلين للنصوص ولا هم بالمشبهين، ومذهبهم وسط بين الطائفتين الشاذتين عن سبيل أهل الحق وهما المعطلة والمشبهة</w:t>
      </w:r>
      <w:r w:rsidR="000636C2">
        <w:rPr>
          <w:rtl/>
          <w:lang w:bidi="ar-KW"/>
        </w:rPr>
        <w:t>،</w:t>
      </w:r>
      <w:r w:rsidRPr="005675B2">
        <w:rPr>
          <w:rtl/>
          <w:lang w:bidi="ar-KW"/>
        </w:rPr>
        <w:t xml:space="preserve"> وعلى هذا درج سلف الأمة من الصحابة والتابعين وتابعيهم ولو ذهبت أسرد لك كلماتهم في هذا لطال بي القول وامتد الكلام، لكن لما ظهرت البدعة وتطلعت رؤوس أهل الزيغ وصاروا يشوشون على المسلمين عقائدهم، خشي علماء المسلمين على العقائد أن يلحقها لوث وفساد فاعتمدوا تأويل النصوص المتشابهة في إطار اللغة العربية وضمن سور الشريعة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وقوله رحمه الله </w:t>
      </w:r>
      <w:r w:rsidR="000636C2">
        <w:rPr>
          <w:rtl/>
          <w:lang w:bidi="ar-KW"/>
        </w:rPr>
        <w:t>(</w:t>
      </w:r>
      <w:r w:rsidRPr="005675B2">
        <w:rPr>
          <w:rtl/>
          <w:lang w:bidi="ar-KW"/>
        </w:rPr>
        <w:t>لكن إيمانهم بالمتشابه لا ينقض إيمانهم بالمحكم الذي هو الأصل</w:t>
      </w:r>
      <w:r w:rsidR="000636C2">
        <w:rPr>
          <w:rtl/>
          <w:lang w:bidi="ar-KW"/>
        </w:rPr>
        <w:t>)</w:t>
      </w:r>
      <w:r w:rsidRPr="005675B2">
        <w:rPr>
          <w:rtl/>
          <w:lang w:bidi="ar-KW"/>
        </w:rPr>
        <w:t xml:space="preserve"> واضح في الرد على من حمل المتشابه على مقتضى الحس، فهؤلاء بدلاً من أن يحملوا المتشابه على المحكم ويرجعوه إليه، فعلوا العكس، فنقضوا بفعلهم هذا إيمانهم بالمحكم من مثل قوله تعالى</w:t>
      </w:r>
      <w:r w:rsidR="000636C2">
        <w:rPr>
          <w:bCs/>
          <w:rtl/>
          <w:lang w:bidi="ar-KW"/>
        </w:rPr>
        <w:t>(</w:t>
      </w:r>
      <w:r w:rsidRPr="005675B2">
        <w:rPr>
          <w:bCs/>
          <w:rtl/>
          <w:lang w:bidi="ar-KW"/>
        </w:rPr>
        <w:t>ليس كمثله شئ وهو السميع البصير</w:t>
      </w:r>
      <w:r w:rsidR="000636C2">
        <w:rPr>
          <w:bCs/>
          <w:rtl/>
          <w:lang w:bidi="ar-KW"/>
        </w:rPr>
        <w:t>)</w:t>
      </w:r>
      <w:r w:rsidR="000636C2">
        <w:rPr>
          <w:rFonts w:hint="cs"/>
          <w:bCs/>
          <w:rtl/>
          <w:lang w:bidi="ar-KW"/>
        </w:rPr>
        <w:t xml:space="preserve">، </w:t>
      </w:r>
      <w:r w:rsidRPr="005675B2">
        <w:rPr>
          <w:rtl/>
          <w:lang w:bidi="ar-KW"/>
        </w:rPr>
        <w:t xml:space="preserve">وقال الداعية الكبير سيد قطب رحمه الله تعالى </w:t>
      </w:r>
      <w:r w:rsidR="000636C2">
        <w:rPr>
          <w:rtl/>
          <w:lang w:bidi="ar-KW"/>
        </w:rPr>
        <w:t>(</w:t>
      </w:r>
      <w:r w:rsidRPr="005675B2">
        <w:rPr>
          <w:rtl/>
          <w:lang w:bidi="ar-KW"/>
        </w:rPr>
        <w:t>في ظلال القرآن، سورة الحديد</w:t>
      </w:r>
      <w:r w:rsidR="000636C2">
        <w:rPr>
          <w:rtl/>
          <w:lang w:bidi="ar-KW"/>
        </w:rPr>
        <w:t>):</w:t>
      </w:r>
      <w:r w:rsidR="000636C2">
        <w:rPr>
          <w:rFonts w:hint="cs"/>
          <w:rtl/>
          <w:lang w:bidi="ar-KW"/>
        </w:rPr>
        <w:t xml:space="preserve"> </w:t>
      </w:r>
      <w:r w:rsidR="000636C2">
        <w:rPr>
          <w:rtl/>
          <w:lang w:bidi="ar-KW"/>
        </w:rPr>
        <w:t>(</w:t>
      </w:r>
      <w:r w:rsidRPr="005675B2">
        <w:rPr>
          <w:rtl/>
          <w:lang w:bidi="ar-KW"/>
        </w:rPr>
        <w:t xml:space="preserve">وكذلك العرش فنحن نؤمن به كما ذكره، لا نعلم حقيقته، أما الاستواء على العرش فنملك أن نقول إنه كناية عن الهيمنة على هذا الخلق، استناداً إلى ما نعلمه من القرآن عن يقين من أن الله سبحانه لا تتغير عليه الأحوال، فلا يكون في حالة عدم استواء على العرش ثم تتبعها حالة استواء، والقول بأننا نؤمن بالاستواء ولا ندرك كيفيته لا يفسرقوله تعالى </w:t>
      </w:r>
      <w:r w:rsidR="000636C2">
        <w:rPr>
          <w:bCs/>
          <w:rtl/>
          <w:lang w:bidi="ar-KW"/>
        </w:rPr>
        <w:t>(</w:t>
      </w:r>
      <w:r w:rsidRPr="005675B2">
        <w:rPr>
          <w:bCs/>
          <w:rtl/>
          <w:lang w:bidi="ar-KW"/>
        </w:rPr>
        <w:t>ثم استوى</w:t>
      </w:r>
      <w:r w:rsidR="000636C2">
        <w:rPr>
          <w:bCs/>
          <w:rtl/>
          <w:lang w:bidi="ar-KW"/>
        </w:rPr>
        <w:t>)،</w:t>
      </w:r>
      <w:r w:rsidRPr="005675B2">
        <w:rPr>
          <w:bCs/>
          <w:rtl/>
          <w:lang w:bidi="ar-KW"/>
        </w:rPr>
        <w:t xml:space="preserve"> </w:t>
      </w:r>
      <w:r w:rsidRPr="005675B2">
        <w:rPr>
          <w:rtl/>
          <w:lang w:bidi="ar-KW"/>
        </w:rPr>
        <w:t>والأولى أن نقول</w:t>
      </w:r>
      <w:r w:rsidR="000636C2">
        <w:rPr>
          <w:rtl/>
          <w:lang w:bidi="ar-KW"/>
        </w:rPr>
        <w:t>:</w:t>
      </w:r>
      <w:r w:rsidRPr="005675B2">
        <w:rPr>
          <w:rtl/>
          <w:lang w:bidi="ar-KW"/>
        </w:rPr>
        <w:t xml:space="preserve"> إنه كناية عن الهيمنة كما ذكرنا، والتأويل هنا لا يخرج على المنهج الذي أشرنا إليه آنفاً، لأنه لا ينبع من مقررات وتصورات من عند أنفسنا</w:t>
      </w:r>
      <w:r w:rsidR="000636C2">
        <w:rPr>
          <w:rtl/>
          <w:lang w:bidi="ar-KW"/>
        </w:rPr>
        <w:t>)</w:t>
      </w:r>
      <w:r w:rsidRPr="005675B2">
        <w:rPr>
          <w:rtl/>
          <w:lang w:bidi="ar-KW"/>
        </w:rPr>
        <w:t xml:space="preserve"> اهـ</w:t>
      </w:r>
      <w:r w:rsidR="000636C2">
        <w:rPr>
          <w:rtl/>
          <w:lang w:bidi="ar-KW"/>
        </w:rPr>
        <w:t xml:space="preserve">، </w:t>
      </w:r>
      <w:r w:rsidRPr="005675B2">
        <w:rPr>
          <w:rtl/>
          <w:lang w:bidi="ar-KW"/>
        </w:rPr>
        <w:t>وبالجملة، فإن منهج سيد قطب رحمه الله تعالى في الظلال دائر بين التأويل الذي أخذ به أولاً قبل العودة على الظلال بالتنقيح، وبين التفويض الذي آل إليه رأيه أخيراً، وكلا الطريقين حق، بل إن طريق التفويض الذي كان عليه جمهور السلف الصالح أولى بالاتباع ما لم تدعُ حاجة إلى التأويل</w:t>
      </w:r>
      <w:r w:rsidR="000636C2">
        <w:rPr>
          <w:rtl/>
          <w:lang w:bidi="ar-KW"/>
        </w:rPr>
        <w:t xml:space="preserve">، </w:t>
      </w:r>
      <w:r w:rsidRPr="005675B2">
        <w:rPr>
          <w:rtl/>
          <w:lang w:bidi="ar-KW"/>
        </w:rPr>
        <w:t>وهذا الذي آل إليه رأي سيد قطب رحمه الله تعالى هو من قبيل ما ينسب إلى بعض الأئمة مثل الإمام الجويني والرازي والغزالي وغيرهم، ففهم البعض منه أنهم هجروا منهج الإمام الأشعري، وقد ردَدْنا هذا الفهم وبيَّنّا بطلانه، كما بيَّنا أيضاً أن منهج الأشعري تفويض وتأويل، وأنهم تركوا التأويل ورجعوا إلى التفويض الذي كان عليه جمهور السلف، وذكرنا أنه ليس بين المسلكين تناقض، إذ كلاهما قائل بتنزيه الله تعالى عن سمات النقص والحدوث، وكلاهما مؤوّل، فالسلف أوّلوا إجمالاً، والخلف أوّلوا تفصيلاً</w:t>
      </w:r>
      <w:r w:rsidR="000636C2">
        <w:rPr>
          <w:rtl/>
          <w:lang w:bidi="ar-KW"/>
        </w:rPr>
        <w:t xml:space="preserve">، </w:t>
      </w:r>
      <w:r w:rsidRPr="005675B2">
        <w:rPr>
          <w:rtl/>
          <w:lang w:bidi="ar-KW"/>
        </w:rPr>
        <w:t xml:space="preserve">وقال الشيخ عمر التلمساني رحمه الله تعالى </w:t>
      </w:r>
      <w:r w:rsidR="000636C2">
        <w:rPr>
          <w:rtl/>
          <w:lang w:bidi="ar-KW"/>
        </w:rPr>
        <w:t>(</w:t>
      </w:r>
      <w:r w:rsidRPr="005675B2">
        <w:rPr>
          <w:rtl/>
          <w:lang w:bidi="ar-KW"/>
        </w:rPr>
        <w:t>بعض ما علمني الإخوان ص/17</w:t>
      </w:r>
      <w:r w:rsidR="000636C2">
        <w:rPr>
          <w:rtl/>
          <w:lang w:bidi="ar-KW"/>
        </w:rPr>
        <w:t>)</w:t>
      </w:r>
      <w:r w:rsidRPr="005675B2">
        <w:rPr>
          <w:rtl/>
          <w:lang w:bidi="ar-KW"/>
        </w:rPr>
        <w:t xml:space="preserve"> في قوله تعالـى </w:t>
      </w:r>
      <w:r w:rsidR="000636C2">
        <w:rPr>
          <w:bCs/>
          <w:rtl/>
          <w:lang w:bidi="ar-KW"/>
        </w:rPr>
        <w:t>(</w:t>
      </w:r>
      <w:r w:rsidRPr="005675B2">
        <w:rPr>
          <w:bCs/>
          <w:rtl/>
          <w:lang w:bidi="ar-KW"/>
        </w:rPr>
        <w:t>والسموات مطويات بيمينه</w:t>
      </w:r>
      <w:r w:rsidR="000636C2">
        <w:rPr>
          <w:bCs/>
          <w:rtl/>
          <w:lang w:bidi="ar-KW"/>
        </w:rPr>
        <w:t>)</w:t>
      </w:r>
      <w:r w:rsidR="000636C2">
        <w:rPr>
          <w:rtl/>
          <w:lang w:bidi="ar-KW"/>
        </w:rPr>
        <w:t xml:space="preserve"> (</w:t>
      </w:r>
      <w:r w:rsidRPr="005675B2">
        <w:rPr>
          <w:rtl/>
          <w:lang w:bidi="ar-KW"/>
        </w:rPr>
        <w:t>إن هذه اليمين التي تشير إليها الآية الكريمة هي التمكن من طي السموات والأرض، أي القدرة التي تفعل ما تشاء كيفما تشاء عندما تشاء</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وكذا قال سيد قطب عند هذه الآية </w:t>
      </w:r>
      <w:r w:rsidR="000636C2">
        <w:rPr>
          <w:rtl/>
          <w:lang w:bidi="ar-KW"/>
        </w:rPr>
        <w:t>(</w:t>
      </w:r>
      <w:r w:rsidRPr="005675B2">
        <w:rPr>
          <w:rtl/>
          <w:lang w:bidi="ar-KW"/>
        </w:rPr>
        <w:t>الظلال 5/3062</w:t>
      </w:r>
      <w:r w:rsidR="000636C2">
        <w:rPr>
          <w:rtl/>
          <w:lang w:bidi="ar-KW"/>
        </w:rPr>
        <w:t>):</w:t>
      </w:r>
      <w:r w:rsidRPr="005675B2">
        <w:rPr>
          <w:rFonts w:hint="cs"/>
          <w:rtl/>
          <w:lang w:bidi="ar-KW"/>
        </w:rPr>
        <w:t xml:space="preserve"> </w:t>
      </w:r>
      <w:r w:rsidR="000636C2">
        <w:rPr>
          <w:rtl/>
          <w:lang w:bidi="ar-KW"/>
        </w:rPr>
        <w:t>(</w:t>
      </w:r>
      <w:r w:rsidRPr="005675B2">
        <w:rPr>
          <w:rtl/>
          <w:lang w:bidi="ar-KW"/>
        </w:rPr>
        <w:t>وكل ما ورد في القرآن والحديث من هذه الصور والمشاهد إنما هو تقريب للحقائق التي لا يملك البشر إدراكها بغير أن توضع لهم في تعبير يدركونه، وفي صورة يتصورونها، ومنه هذا التصوير لجانب من حقيقة القدرة المطلقة التي لا تتقيد بشكل ولا تتحيز في حيز ولا تتحدد بحدود</w:t>
      </w:r>
      <w:r w:rsidR="000636C2">
        <w:rPr>
          <w:rtl/>
          <w:lang w:bidi="ar-KW"/>
        </w:rPr>
        <w:t>)</w:t>
      </w:r>
      <w:r w:rsidRPr="005675B2">
        <w:rPr>
          <w:rtl/>
          <w:lang w:bidi="ar-KW"/>
        </w:rPr>
        <w:t xml:space="preserve"> اهـ</w:t>
      </w:r>
      <w:r w:rsidR="000636C2">
        <w:rPr>
          <w:rtl/>
          <w:lang w:bidi="ar-KW"/>
        </w:rPr>
        <w:t>،</w:t>
      </w:r>
      <w:r w:rsidRPr="005675B2">
        <w:rPr>
          <w:rtl/>
          <w:lang w:bidi="ar-KW"/>
        </w:rPr>
        <w:t xml:space="preserve"> وقال الإمام الداعية حسن البنا رحمه الله </w:t>
      </w:r>
      <w:r w:rsidR="000636C2">
        <w:rPr>
          <w:rtl/>
          <w:lang w:bidi="ar-KW"/>
        </w:rPr>
        <w:t>(</w:t>
      </w:r>
      <w:r w:rsidRPr="005675B2">
        <w:rPr>
          <w:rtl/>
          <w:lang w:bidi="ar-KW"/>
        </w:rPr>
        <w:t>مجموعة رسائل الإمام ص 411</w:t>
      </w:r>
      <w:r w:rsidR="000636C2">
        <w:rPr>
          <w:rtl/>
          <w:lang w:bidi="ar-KW"/>
        </w:rPr>
        <w:t>):</w:t>
      </w:r>
      <w:r w:rsidRPr="005675B2">
        <w:rPr>
          <w:rFonts w:hint="cs"/>
          <w:rtl/>
          <w:lang w:bidi="ar-KW"/>
        </w:rPr>
        <w:t xml:space="preserve"> </w:t>
      </w:r>
      <w:r w:rsidR="000636C2">
        <w:rPr>
          <w:rtl/>
          <w:lang w:bidi="ar-KW"/>
        </w:rPr>
        <w:t>(</w:t>
      </w:r>
      <w:r w:rsidRPr="005675B2">
        <w:rPr>
          <w:rtl/>
          <w:lang w:bidi="ar-KW"/>
        </w:rPr>
        <w:t>انقسم الناس في هذه المسألة على أربع فرق</w:t>
      </w:r>
      <w:r w:rsidR="000636C2">
        <w:rPr>
          <w:rtl/>
          <w:lang w:bidi="ar-KW"/>
        </w:rPr>
        <w:t>:</w:t>
      </w:r>
      <w:r w:rsidRPr="005675B2">
        <w:rPr>
          <w:rFonts w:hint="cs"/>
          <w:rtl/>
          <w:lang w:bidi="ar-KW"/>
        </w:rPr>
        <w:t xml:space="preserve"> </w:t>
      </w:r>
      <w:r w:rsidRPr="005675B2">
        <w:rPr>
          <w:bCs/>
          <w:rtl/>
          <w:lang w:bidi="ar-KW"/>
        </w:rPr>
        <w:t>الأولى</w:t>
      </w:r>
      <w:r w:rsidR="000636C2">
        <w:rPr>
          <w:bCs/>
          <w:rtl/>
          <w:lang w:bidi="ar-KW"/>
        </w:rPr>
        <w:t>:</w:t>
      </w:r>
      <w:r w:rsidRPr="005675B2">
        <w:rPr>
          <w:rtl/>
          <w:lang w:bidi="ar-KW"/>
        </w:rPr>
        <w:t xml:space="preserve"> أخذت بظواهرها كما هي فنسبت إلى الله وجهاً كوجوه الخلق ويداً أو أيدٍ كأيديهم وضحكاً كضحكهم .. وهؤلاء هم المجسمة والمشبهة، وليسوا من الإسلام في شيء، وليس لقولهم نصيب من الصحة</w:t>
      </w:r>
      <w:r w:rsidR="000636C2">
        <w:rPr>
          <w:rtl/>
          <w:lang w:bidi="ar-KW"/>
        </w:rPr>
        <w:t>،</w:t>
      </w:r>
      <w:r w:rsidRPr="005675B2">
        <w:rPr>
          <w:rtl/>
          <w:lang w:bidi="ar-KW"/>
        </w:rPr>
        <w:t xml:space="preserve"> </w:t>
      </w:r>
      <w:r w:rsidRPr="005675B2">
        <w:rPr>
          <w:bCs/>
          <w:rtl/>
          <w:lang w:bidi="ar-KW"/>
        </w:rPr>
        <w:t>والثانية</w:t>
      </w:r>
      <w:r w:rsidR="000636C2">
        <w:rPr>
          <w:bCs/>
          <w:rtl/>
          <w:lang w:bidi="ar-KW"/>
        </w:rPr>
        <w:t>:</w:t>
      </w:r>
      <w:r w:rsidRPr="005675B2">
        <w:rPr>
          <w:rtl/>
          <w:lang w:bidi="ar-KW"/>
        </w:rPr>
        <w:t xml:space="preserve"> عطلت معاني هذه على أي وجه، يقصدون بذلك نفي مدلولاتها عن الله تبارك وتعالى فالله تبارك وتعالى عندهم لا يتكلم ولا يسمع ولا يبصر .. وهؤلاء هم المعطلة ويطلق عليهم بعض علماء تاريخ العقائد الإسلامية الجهمية .. هذان رأيان باطلان لا حظ لهما من النظر</w:t>
      </w:r>
      <w:r w:rsidR="000636C2">
        <w:rPr>
          <w:rtl/>
          <w:lang w:bidi="ar-KW"/>
        </w:rPr>
        <w:t xml:space="preserve">، </w:t>
      </w:r>
      <w:r w:rsidRPr="005675B2">
        <w:rPr>
          <w:rtl/>
          <w:lang w:bidi="ar-KW"/>
        </w:rPr>
        <w:t>وبقي أمامنا رأيان هما محل أنظار العلماء في العقائد وهما رأي السلف والخلف</w:t>
      </w:r>
      <w:r w:rsidR="000636C2">
        <w:rPr>
          <w:rtl/>
          <w:lang w:bidi="ar-KW"/>
        </w:rPr>
        <w:t xml:space="preserve">، </w:t>
      </w:r>
      <w:r w:rsidRPr="005675B2">
        <w:rPr>
          <w:bCs/>
          <w:rtl/>
          <w:lang w:bidi="ar-KW"/>
        </w:rPr>
        <w:t>مذهب السلف</w:t>
      </w:r>
      <w:r w:rsidR="000636C2">
        <w:rPr>
          <w:bCs/>
          <w:rtl/>
          <w:lang w:bidi="ar-KW"/>
        </w:rPr>
        <w:t>:</w:t>
      </w:r>
      <w:r w:rsidRPr="005675B2">
        <w:rPr>
          <w:rtl/>
          <w:lang w:bidi="ar-KW"/>
        </w:rPr>
        <w:t xml:space="preserve"> نؤمن بهذه الآيات والأحاديث كما وردت ونترك بيان المقصود منها لله تبارك وتعالى، فهم يثبتون اليد والعين والأعين والاستواء والضحك والتعجب .. الخ، </w:t>
      </w:r>
      <w:r w:rsidRPr="005675B2">
        <w:rPr>
          <w:bCs/>
          <w:rtl/>
          <w:lang w:bidi="ar-KW"/>
        </w:rPr>
        <w:t>وكل ذلك</w:t>
      </w:r>
      <w:r w:rsidRPr="005675B2">
        <w:rPr>
          <w:rtl/>
          <w:lang w:bidi="ar-KW"/>
        </w:rPr>
        <w:t xml:space="preserve"> </w:t>
      </w:r>
      <w:r w:rsidRPr="005675B2">
        <w:rPr>
          <w:bCs/>
          <w:rtl/>
          <w:lang w:bidi="ar-KW"/>
        </w:rPr>
        <w:t>بمعان لا ندركها،</w:t>
      </w:r>
      <w:r w:rsidRPr="005675B2">
        <w:rPr>
          <w:rtl/>
          <w:lang w:bidi="ar-KW"/>
        </w:rPr>
        <w:t xml:space="preserve"> ونترك لله تبارك وتعالى الإحاطة بعلمها ..</w:t>
      </w:r>
      <w:r w:rsidR="000636C2">
        <w:rPr>
          <w:rtl/>
          <w:lang w:bidi="ar-KW"/>
        </w:rPr>
        <w:t xml:space="preserve"> </w:t>
      </w:r>
      <w:r w:rsidRPr="005675B2">
        <w:rPr>
          <w:bCs/>
          <w:rtl/>
          <w:lang w:bidi="ar-KW"/>
        </w:rPr>
        <w:t>أما الخلف</w:t>
      </w:r>
      <w:r w:rsidR="000636C2">
        <w:rPr>
          <w:bCs/>
          <w:rtl/>
          <w:lang w:bidi="ar-KW"/>
        </w:rPr>
        <w:t>:</w:t>
      </w:r>
      <w:r w:rsidRPr="005675B2">
        <w:rPr>
          <w:rtl/>
          <w:lang w:bidi="ar-KW"/>
        </w:rPr>
        <w:t xml:space="preserve"> فقد قالوا إننا نقطع بأن معاني ألفاظ هذه الآيات والأحاديث لا يراد بها ظواهرها، وعلى ذلك فهي مجازات لا مانع من تأويلها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ثم قال رحمه الله تعالى </w:t>
      </w:r>
      <w:r w:rsidR="000636C2">
        <w:rPr>
          <w:rtl/>
          <w:lang w:bidi="ar-KW"/>
        </w:rPr>
        <w:t>(</w:t>
      </w:r>
      <w:r w:rsidRPr="005675B2">
        <w:rPr>
          <w:bCs/>
          <w:rtl/>
          <w:lang w:bidi="ar-KW"/>
        </w:rPr>
        <w:t>بين السلف والخلف</w:t>
      </w:r>
      <w:r w:rsidR="000636C2">
        <w:rPr>
          <w:rtl/>
          <w:lang w:bidi="ar-KW"/>
        </w:rPr>
        <w:t>:</w:t>
      </w:r>
      <w:r w:rsidRPr="005675B2">
        <w:rPr>
          <w:rtl/>
          <w:lang w:bidi="ar-KW"/>
        </w:rPr>
        <w:t xml:space="preserve"> قد علمت أن مذهب السلف في الآيات والأحاديث التي تتعلق بصفات الله تبارك وتعالى أن يُمِرّوها على ما جاءت عليه ويسكتوا عن تفسيرها أو تأويلها، وأن مذهب الخلف أن يؤولوها بما يتفق مع تنزيه الله تبارك وتعالى عن مشابهة خلقه</w:t>
      </w:r>
      <w:r w:rsidR="000636C2">
        <w:rPr>
          <w:rtl/>
          <w:lang w:bidi="ar-KW"/>
        </w:rPr>
        <w:t>)</w:t>
      </w:r>
      <w:r w:rsidRPr="005675B2">
        <w:rPr>
          <w:rtl/>
          <w:lang w:bidi="ar-KW"/>
        </w:rPr>
        <w:t xml:space="preserve"> اهـ</w:t>
      </w:r>
      <w:r w:rsidR="000636C2">
        <w:rPr>
          <w:rtl/>
          <w:lang w:bidi="ar-KW"/>
        </w:rPr>
        <w:t>،</w:t>
      </w:r>
      <w:r w:rsidRPr="005675B2">
        <w:rPr>
          <w:rtl/>
          <w:lang w:bidi="ar-KW"/>
        </w:rPr>
        <w:t xml:space="preserve"> ثم بين رحمه الله تعالى أن كلا المذهبين حق ولا يستلزم اختلافهم تكفيراً ولا تفسيقاً</w:t>
      </w:r>
      <w:r w:rsidR="000636C2">
        <w:rPr>
          <w:rtl/>
          <w:lang w:bidi="ar-KW"/>
        </w:rPr>
        <w:t xml:space="preserve">، </w:t>
      </w:r>
      <w:r w:rsidRPr="005675B2">
        <w:rPr>
          <w:rtl/>
          <w:lang w:bidi="ar-KW"/>
        </w:rPr>
        <w:t>وهو كما قال رحمه الله إذ لا خلاف بين السلف والخلف في هذا الباب، وإنما هو اختلاف جائز مباح، فَرَضَه اختلاف الظروف التي كان يعيشها كل من السلف والخلف، فزمن السلف كان خاليـاً من بدعة القول بالظاهر والتجسيم فاقتضى ذلك أن يتوقفوا ولا يقدموا على تفسير هذه النصوص، بخلاف أزمنة الخلف التي شاعت فيها مقالات المبطلين مما دعاهم إلى التصريح بالتأويل</w:t>
      </w:r>
      <w:r w:rsidR="000636C2">
        <w:rPr>
          <w:rtl/>
          <w:lang w:bidi="ar-KW"/>
        </w:rPr>
        <w:t xml:space="preserve">، </w:t>
      </w:r>
      <w:r w:rsidRPr="005675B2">
        <w:rPr>
          <w:rtl/>
          <w:lang w:bidi="ar-KW"/>
        </w:rPr>
        <w:t>ولكن الخلاف الحقيقي هو الواقع بين السلف والخلف من جانب ومن يحملون هذه النصوص على ظواهرها وعلى مقتضى الحس من جانب آخر</w:t>
      </w:r>
      <w:r w:rsidR="000636C2">
        <w:rPr>
          <w:rtl/>
          <w:lang w:bidi="ar-KW"/>
        </w:rPr>
        <w:t xml:space="preserve">، </w:t>
      </w:r>
      <w:r w:rsidRPr="005675B2">
        <w:rPr>
          <w:rtl/>
          <w:lang w:bidi="ar-KW"/>
        </w:rPr>
        <w:t>إن السلف الصالح والخلف متفقون جميعاً على صرف هذه النصوص عن ظاهرها المحال في حق الله تعالى، بل الأمة مجمعة على ذلك، كيف لا وهذه الظواهر منفية عن الله تعالى بالقطعي من الأدلة النقلية والعقلية، وهؤلاء الذين يصرون على إثبات هذه الظواهر المستلزمة لمعان باطلة ولوازم مستحيلة، لا يختلفون معنا في كون هذه اللوازم الباطلة من الجسمية والحد ونحوها منفية عن الله تعالى، إلا أنهم يجهلون أن إثبات الحقائق اللغوية المعهودة والظواهر المتبادرة من المتشابه يستلزم إثبات ما قد نفوه وأجمعت الأمة على نفيه وعلى تنزيه الله تعالى عنه وهو الحد والتحيز والجسمية ونحوها، وكونهم لا يقرون بهذه اللوازم أمرٌ لا يُقضى منه العجب، لأن إثبات الملزوم وهو المعنى الظاهر هنا ثم نفي اللازم وهو الجسمية ونحوها لا يعقل لأنه لازم لا ينفكّ</w:t>
      </w:r>
      <w:r w:rsidR="000636C2">
        <w:rPr>
          <w:rtl/>
          <w:lang w:bidi="ar-KW"/>
        </w:rPr>
        <w:t xml:space="preserve">، </w:t>
      </w:r>
      <w:r w:rsidRPr="005675B2">
        <w:rPr>
          <w:rtl/>
          <w:lang w:bidi="ar-KW"/>
        </w:rPr>
        <w:t>وإذا قيل لهم</w:t>
      </w:r>
      <w:r w:rsidR="000636C2">
        <w:rPr>
          <w:rtl/>
          <w:lang w:bidi="ar-KW"/>
        </w:rPr>
        <w:t>:</w:t>
      </w:r>
      <w:r w:rsidRPr="005675B2">
        <w:rPr>
          <w:rtl/>
          <w:lang w:bidi="ar-KW"/>
        </w:rPr>
        <w:t xml:space="preserve"> إن هذه الألفاظ إنما وضعت للدلالة على المخلوق، وأنه لا يفهم منها إذا حملت على الظاهر إلا ذلك</w:t>
      </w:r>
      <w:r w:rsidR="000636C2">
        <w:rPr>
          <w:rtl/>
          <w:lang w:bidi="ar-KW"/>
        </w:rPr>
        <w:t>،</w:t>
      </w:r>
      <w:r w:rsidRPr="005675B2">
        <w:rPr>
          <w:rtl/>
          <w:lang w:bidi="ar-KW"/>
        </w:rPr>
        <w:t xml:space="preserve"> قالوا</w:t>
      </w:r>
      <w:r w:rsidR="000636C2">
        <w:rPr>
          <w:rtl/>
          <w:lang w:bidi="ar-KW"/>
        </w:rPr>
        <w:t>:</w:t>
      </w:r>
      <w:r w:rsidRPr="005675B2">
        <w:rPr>
          <w:rtl/>
          <w:lang w:bidi="ar-KW"/>
        </w:rPr>
        <w:t xml:space="preserve"> إن الكلام في الصفات فرع عن الكلام في الذات، فكما أثبتم ذاتاً لا كالذوات متصفة بالحياة والعلم والسمع والبصر، وغيرها مما أطلقتم عليه صفات المعـاني، ولم تؤولوا شيئاً منها، أثبتوا له تعـالى استواء ووجهاً ويداً وضحكاً ومللاً وأصبعاً .. الخ على الحقيقة وبلا تأويل</w:t>
      </w:r>
      <w:r w:rsidR="000636C2">
        <w:rPr>
          <w:rtl/>
          <w:lang w:bidi="ar-KW"/>
        </w:rPr>
        <w:t>!</w:t>
      </w:r>
      <w:r w:rsidRPr="005675B2">
        <w:rPr>
          <w:rtl/>
          <w:lang w:bidi="ar-KW"/>
        </w:rPr>
        <w:t>!</w:t>
      </w:r>
      <w:r w:rsidRPr="005675B2">
        <w:rPr>
          <w:rFonts w:hint="cs"/>
          <w:rtl/>
          <w:lang w:bidi="ar-KW"/>
        </w:rPr>
        <w:t xml:space="preserve"> </w:t>
      </w:r>
      <w:r w:rsidRPr="005675B2">
        <w:rPr>
          <w:rtl/>
          <w:lang w:bidi="ar-KW"/>
        </w:rPr>
        <w:t>وهذه مغالطة وكلام يوهم ظاهره أنه حق، وقد يلتبس عند الخاطر الأول على من لم يدقق ويمعن النظر، ولكن مع قليل من التروي ينجلي للعقل فساد باطنه</w:t>
      </w:r>
      <w:r w:rsidR="000636C2">
        <w:rPr>
          <w:rtl/>
          <w:lang w:bidi="ar-KW"/>
        </w:rPr>
        <w:t xml:space="preserve">، </w:t>
      </w:r>
      <w:r w:rsidRPr="005675B2">
        <w:rPr>
          <w:rtl/>
          <w:lang w:bidi="ar-KW"/>
        </w:rPr>
        <w:t>وقضية هذا الكلام التسوية بين ما يعرف بصفات المعاني وهذه الألفاظ والإضافات الواردة في نصوص المتشابه، وهي قضية خاسرة كما سنبين</w:t>
      </w:r>
      <w:r w:rsidR="000636C2">
        <w:rPr>
          <w:rtl/>
          <w:lang w:bidi="ar-KW"/>
        </w:rPr>
        <w:t xml:space="preserve">، </w:t>
      </w:r>
      <w:r w:rsidRPr="005675B2">
        <w:rPr>
          <w:rtl/>
          <w:lang w:bidi="ar-KW"/>
        </w:rPr>
        <w:t>إن الفرق الذي بين الألفاظ التي تدل على الأجسام وما إليها وبين الألفاظ التي تدل على المعاني كبير وشاسع، فالأولى منها أول ما يتبادر إلى الذهن عند سماعها العضو والجسم الذي وضعت للدلالة عليه، فإذا أضيف ذلك اللفظ إلى الله تعالى قطع العارف بالله أن ذلك المعنى المتبادر والظاهر من اللفظ محال هنا ومنفي عن الله تعالى وإنما سيق الكلام على سبيل</w:t>
      </w:r>
      <w:r w:rsidRPr="005675B2">
        <w:rPr>
          <w:rFonts w:hint="cs"/>
          <w:rtl/>
          <w:lang w:bidi="ar-KW"/>
        </w:rPr>
        <w:t xml:space="preserve"> </w:t>
      </w:r>
      <w:r w:rsidRPr="005675B2">
        <w:rPr>
          <w:rtl/>
          <w:lang w:bidi="ar-KW"/>
        </w:rPr>
        <w:t xml:space="preserve">الاستعارة والمجاز، وذلك كلفظ </w:t>
      </w:r>
      <w:r w:rsidR="000636C2">
        <w:rPr>
          <w:rtl/>
          <w:lang w:bidi="ar-KW"/>
        </w:rPr>
        <w:t>(</w:t>
      </w:r>
      <w:r w:rsidRPr="005675B2">
        <w:rPr>
          <w:rtl/>
          <w:lang w:bidi="ar-KW"/>
        </w:rPr>
        <w:t>اليد، والأصبع، والقدم، والساق، والوجه، والضحك، والاستواء، والنزول</w:t>
      </w:r>
      <w:r w:rsidR="000636C2">
        <w:rPr>
          <w:rtl/>
          <w:lang w:bidi="ar-KW"/>
        </w:rPr>
        <w:t>)</w:t>
      </w:r>
      <w:r w:rsidRPr="005675B2">
        <w:rPr>
          <w:rtl/>
          <w:lang w:bidi="ar-KW"/>
        </w:rPr>
        <w:t xml:space="preserve"> ونحوها من الألفاظ التي ترجع حقائقها المتبادرة منها إلى الحس</w:t>
      </w:r>
      <w:r w:rsidR="000636C2">
        <w:rPr>
          <w:rtl/>
          <w:lang w:bidi="ar-KW"/>
        </w:rPr>
        <w:t>،</w:t>
      </w:r>
      <w:r w:rsidRPr="005675B2">
        <w:rPr>
          <w:rtl/>
          <w:lang w:bidi="ar-KW"/>
        </w:rPr>
        <w:t xml:space="preserve"> أما الثانية منها وهي التي ترجع إلى المعنى مثل القدرة والإرادة والسمع والبصر ونحوها فلا يلزم من حملها على ظاهرها وحقيقتها مشابهة لأنها معانٍ مجردة وحقائقها واسعة، فإذا أضيفت للخالق كان لها حقيقة لائقة به تعالى، وإذا أضيفت للمخلوق كانت لها حقيقة لائقة به ولهذا السبب لم يضطر علماء الأمة إلى صرفها عن ظاهرها</w:t>
      </w:r>
      <w:r w:rsidR="000636C2">
        <w:rPr>
          <w:rtl/>
          <w:lang w:bidi="ar-KW"/>
        </w:rPr>
        <w:t>،</w:t>
      </w:r>
      <w:r w:rsidRPr="005675B2">
        <w:rPr>
          <w:rtl/>
          <w:lang w:bidi="ar-KW"/>
        </w:rPr>
        <w:t xml:space="preserve"> ومما يعضد هذا القول أنه لم ينقل عن أحد من السلف الصالح رضوان الله عليهم أنه قال في شيء من صفات المعاني أمرّوها بلا كيف، أو لا تفسر ولا تكيف .. الخ</w:t>
      </w:r>
      <w:r w:rsidR="000636C2">
        <w:rPr>
          <w:rtl/>
          <w:lang w:bidi="ar-KW"/>
        </w:rPr>
        <w:t>،</w:t>
      </w:r>
      <w:r w:rsidRPr="005675B2">
        <w:rPr>
          <w:rtl/>
          <w:lang w:bidi="ar-KW"/>
        </w:rPr>
        <w:t xml:space="preserve"> وما هذا إلا لفطنتهم لهذا الفارق بين النوعين من الألفاظ، والأمر واضح وبيِّن لمن كان له شيء من الاطلاع على علوم اللغة</w:t>
      </w:r>
      <w:r w:rsidR="000636C2">
        <w:rPr>
          <w:rtl/>
          <w:lang w:bidi="ar-KW"/>
        </w:rPr>
        <w:t>،</w:t>
      </w:r>
      <w:r w:rsidRPr="005675B2">
        <w:rPr>
          <w:rtl/>
          <w:lang w:bidi="ar-KW"/>
        </w:rPr>
        <w:t xml:space="preserve"> وانظر إلى قول الإمام أحمد رضي الله عنه كما جاء في عقيدته المروية عنه في طبقات الحنابلة </w:t>
      </w:r>
      <w:r w:rsidR="000636C2">
        <w:rPr>
          <w:rtl/>
          <w:lang w:bidi="ar-KW"/>
        </w:rPr>
        <w:t>(</w:t>
      </w:r>
      <w:r w:rsidRPr="005675B2">
        <w:rPr>
          <w:rtl/>
          <w:lang w:bidi="ar-KW"/>
        </w:rPr>
        <w:t>2/291</w:t>
      </w:r>
      <w:r w:rsidR="000636C2">
        <w:rPr>
          <w:rtl/>
          <w:lang w:bidi="ar-KW"/>
        </w:rPr>
        <w:t>):</w:t>
      </w:r>
      <w:r w:rsidRPr="005675B2">
        <w:rPr>
          <w:rFonts w:hint="cs"/>
          <w:rtl/>
          <w:lang w:bidi="ar-KW"/>
        </w:rPr>
        <w:t xml:space="preserve"> </w:t>
      </w:r>
      <w:r w:rsidR="000636C2">
        <w:rPr>
          <w:rtl/>
          <w:lang w:bidi="ar-KW"/>
        </w:rPr>
        <w:t>(</w:t>
      </w:r>
      <w:r w:rsidRPr="005675B2">
        <w:rPr>
          <w:rtl/>
          <w:lang w:bidi="ar-KW"/>
        </w:rPr>
        <w:t>إن لله تعالى يدين، وهما صفة له في ذاته، ليستا بجارحتين وليستا بمركبتين ولا جسم، ولا من جنس الأجسام، ولا من جنس المحدود والتركيب، ولا الأبعاض والجوارح، ولا يقاس على ذلك، ولا له مرفق ولا عضد، ولا فيما يقتضي ذلك من إطلاق قولهم</w:t>
      </w:r>
      <w:r w:rsidR="000636C2">
        <w:rPr>
          <w:rtl/>
          <w:lang w:bidi="ar-KW"/>
        </w:rPr>
        <w:t>:</w:t>
      </w:r>
      <w:r w:rsidRPr="005675B2">
        <w:rPr>
          <w:rtl/>
          <w:lang w:bidi="ar-KW"/>
        </w:rPr>
        <w:t xml:space="preserve"> يد، إلا ما نطق به القرآن الكريم أو صحَّت عن رسول الله صلى الله عليه وسلم السنة فيه</w:t>
      </w:r>
      <w:r w:rsidR="000636C2">
        <w:rPr>
          <w:rtl/>
          <w:lang w:bidi="ar-KW"/>
        </w:rPr>
        <w:t>)</w:t>
      </w:r>
      <w:r w:rsidRPr="005675B2">
        <w:rPr>
          <w:rtl/>
          <w:lang w:bidi="ar-KW"/>
        </w:rPr>
        <w:t xml:space="preserve"> اهـ</w:t>
      </w:r>
      <w:r w:rsidR="000636C2">
        <w:rPr>
          <w:rtl/>
          <w:lang w:bidi="ar-KW"/>
        </w:rPr>
        <w:t xml:space="preserve">، </w:t>
      </w:r>
      <w:r w:rsidRPr="005675B2">
        <w:rPr>
          <w:rtl/>
          <w:lang w:bidi="ar-KW"/>
        </w:rPr>
        <w:t>فقد نفى الإمام أحمد رضي الله عنه كلَّ ما يعلق باللفظ من الظواهر الباطلة من الجوارح والأبعاض والتركيب ونحوها، وأوضَحَه بقوله</w:t>
      </w:r>
      <w:r w:rsidR="000636C2">
        <w:rPr>
          <w:rtl/>
          <w:lang w:bidi="ar-KW"/>
        </w:rPr>
        <w:t>:</w:t>
      </w:r>
      <w:r w:rsidRPr="005675B2">
        <w:rPr>
          <w:rtl/>
          <w:lang w:bidi="ar-KW"/>
        </w:rPr>
        <w:t xml:space="preserve"> </w:t>
      </w:r>
      <w:r w:rsidR="000636C2">
        <w:rPr>
          <w:rtl/>
          <w:lang w:bidi="ar-KW"/>
        </w:rPr>
        <w:t>(</w:t>
      </w:r>
      <w:r w:rsidRPr="005675B2">
        <w:rPr>
          <w:rtl/>
          <w:lang w:bidi="ar-KW"/>
        </w:rPr>
        <w:t>ولا فيما يقتضي ذلك من إطلاق قولهم</w:t>
      </w:r>
      <w:r w:rsidR="000636C2">
        <w:rPr>
          <w:rtl/>
          <w:lang w:bidi="ar-KW"/>
        </w:rPr>
        <w:t>:</w:t>
      </w:r>
      <w:r w:rsidRPr="005675B2">
        <w:rPr>
          <w:rtl/>
          <w:lang w:bidi="ar-KW"/>
        </w:rPr>
        <w:t xml:space="preserve"> يـد</w:t>
      </w:r>
      <w:r w:rsidR="000636C2">
        <w:rPr>
          <w:rtl/>
          <w:lang w:bidi="ar-KW"/>
        </w:rPr>
        <w:t>)</w:t>
      </w:r>
      <w:r w:rsidRPr="005675B2">
        <w:rPr>
          <w:rtl/>
          <w:lang w:bidi="ar-KW"/>
        </w:rPr>
        <w:t xml:space="preserve"> أي كلُّ ما يقتضيه إطلاق لفظ اليد من هذه المعاني التي مرَّت من الجارحة والجسم ونحوه، كلُّه منفيٌّ عن ربِّنا عزَّ وجلَّ</w:t>
      </w:r>
      <w:r w:rsidR="000636C2">
        <w:rPr>
          <w:rtl/>
          <w:lang w:bidi="ar-KW"/>
        </w:rPr>
        <w:t xml:space="preserve">، </w:t>
      </w:r>
      <w:r w:rsidRPr="005675B2">
        <w:rPr>
          <w:rtl/>
          <w:lang w:bidi="ar-KW"/>
        </w:rPr>
        <w:t xml:space="preserve">وقال أيضاً رضي الله عنه في صفة الاستواء </w:t>
      </w:r>
      <w:r w:rsidR="000636C2">
        <w:rPr>
          <w:rtl/>
          <w:lang w:bidi="ar-KW"/>
        </w:rPr>
        <w:t>(</w:t>
      </w:r>
      <w:r w:rsidRPr="005675B2">
        <w:rPr>
          <w:rtl/>
          <w:lang w:bidi="ar-KW"/>
        </w:rPr>
        <w:t>ولا يجوز أن يقال</w:t>
      </w:r>
      <w:r w:rsidR="000636C2">
        <w:rPr>
          <w:rtl/>
          <w:lang w:bidi="ar-KW"/>
        </w:rPr>
        <w:t>:</w:t>
      </w:r>
      <w:r w:rsidRPr="005675B2">
        <w:rPr>
          <w:rtl/>
          <w:lang w:bidi="ar-KW"/>
        </w:rPr>
        <w:t xml:space="preserve"> استوى بمماسَّة ولا بملاقاة، تعالى الله عن ذلك علوّاً كبيراً</w:t>
      </w:r>
      <w:r w:rsidR="000636C2">
        <w:rPr>
          <w:rtl/>
          <w:lang w:bidi="ar-KW"/>
        </w:rPr>
        <w:t>)</w:t>
      </w:r>
      <w:r w:rsidRPr="005675B2">
        <w:rPr>
          <w:rtl/>
          <w:lang w:bidi="ar-KW"/>
        </w:rPr>
        <w:t xml:space="preserve"> اهـ</w:t>
      </w:r>
      <w:r w:rsidR="000636C2">
        <w:rPr>
          <w:rtl/>
          <w:lang w:bidi="ar-KW"/>
        </w:rPr>
        <w:t xml:space="preserve">، </w:t>
      </w:r>
      <w:r w:rsidRPr="005675B2">
        <w:rPr>
          <w:rtl/>
          <w:lang w:bidi="ar-KW"/>
        </w:rPr>
        <w:t>وهذا نصٌّ في نفي الظاهر المتبادر من إطلاق اللفظ، وهو ما يقول به الأشاعرة، فيثبتون لله تعالى يدين ووجهاً وعيناً وأنه تعالى استوى على عرشه كما قال سبحانه مخبراً عن نفسه، يثبتون كل ما أثبته تعالى لنفسه وأثبته رسوله صلى الله عليه وسلم له وينزهونه عن ظواهر هذه الألفاظ مما يعهده الخلق من أنفسهم وما يفهمونه من لغاتهم التي وضعوها لأجل التعبير بها عما يحتاجون إليه من شؤونهم، والله متعالٍ عن كل ذلك</w:t>
      </w:r>
      <w:r w:rsidR="000636C2">
        <w:rPr>
          <w:rtl/>
          <w:lang w:bidi="ar-KW"/>
        </w:rPr>
        <w:t>،</w:t>
      </w:r>
      <w:r w:rsidRPr="005675B2">
        <w:rPr>
          <w:rtl/>
          <w:lang w:bidi="ar-KW"/>
        </w:rPr>
        <w:t xml:space="preserve"> ولعل قائلاً أن يقول</w:t>
      </w:r>
      <w:r w:rsidR="000636C2">
        <w:rPr>
          <w:rtl/>
          <w:lang w:bidi="ar-KW"/>
        </w:rPr>
        <w:t>:</w:t>
      </w:r>
      <w:r w:rsidRPr="005675B2">
        <w:rPr>
          <w:rFonts w:hint="cs"/>
          <w:rtl/>
          <w:lang w:bidi="ar-KW"/>
        </w:rPr>
        <w:t xml:space="preserve"> </w:t>
      </w:r>
      <w:r w:rsidRPr="005675B2">
        <w:rPr>
          <w:rtl/>
          <w:lang w:bidi="ar-KW"/>
        </w:rPr>
        <w:t>إنكم حين نفيتم الظواهر عطَّلتم ما أثبته الله تعالى لنفسه وأثبته له رسوله صلى الله عليـه وسلم</w:t>
      </w:r>
      <w:r w:rsidR="000636C2">
        <w:rPr>
          <w:rtl/>
          <w:lang w:bidi="ar-KW"/>
        </w:rPr>
        <w:t xml:space="preserve">، </w:t>
      </w:r>
      <w:r w:rsidRPr="005675B2">
        <w:rPr>
          <w:rtl/>
          <w:lang w:bidi="ar-KW"/>
        </w:rPr>
        <w:t>فنقول</w:t>
      </w:r>
      <w:r w:rsidR="000636C2">
        <w:rPr>
          <w:rtl/>
          <w:lang w:bidi="ar-KW"/>
        </w:rPr>
        <w:t>:</w:t>
      </w:r>
      <w:r w:rsidRPr="005675B2">
        <w:rPr>
          <w:rtl/>
          <w:lang w:bidi="ar-KW"/>
        </w:rPr>
        <w:t xml:space="preserve"> نحن إنما نفينا الظواهر ونزهنا الله تعالى عنها، وليس الظاهر - قطعاً - هو مراد الله تعالى ومراد رسوله عليه الصلاة والسلام، بل إن هذه الظواهر باتفاق السلف والخلف منفية عن الله تعالى عقلاً ونقلاً</w:t>
      </w:r>
      <w:r w:rsidR="000636C2">
        <w:rPr>
          <w:rtl/>
          <w:lang w:bidi="ar-KW"/>
        </w:rPr>
        <w:t xml:space="preserve">، </w:t>
      </w:r>
      <w:r w:rsidRPr="005675B2">
        <w:rPr>
          <w:rtl/>
          <w:lang w:bidi="ar-KW"/>
        </w:rPr>
        <w:t>ونحن نفينا هذه الظواهر ولم ننفِ الصفة التي أثبتها الله تعالى لنفسه، فلم يَقُلْ أحد من أهل السنة أن الله تعالى ليس له يدان أو ليس له عين أو غير مستوٍ على عرشه، كلا، بل قالوا لله تعالى يدان ولكن يده تعالى ليست بجارحة، وهذا قول السلف كما مرَّ عن الإمام أحمد، ولله تعالى وجه وهو ليس بجارحة أو صورة أو جسم، وهو قول السلف كما في عقيدة الإمام أحمد، ولله تعالى عين ليست بجارحة، والله تعالى استوى على عرشه استواءً لائقاً به تعالى ليس بمماسة ولا بملاقاة، وهذا الذي قاله الإمام أحمد كما مرَّ، وهكذا، فتراهم يثبتون ما ثبت بالكتاب والسنة الصحيحة وينزهون الله تعالى عن الظاهر الذي يُفهَم من اللفظ بيـن الخلق، وحين يُستبعد الظاهر والحقيقة اللغوية المتبادرة من اللفظ لا يبقى إلا المجاز، فترى جمهور السلف لاحتمال اللفظ أكثر من معنى لديهم يتوقفون عن تعيين أحدها مكتفين بالفهم الإجمالي للفظ حسب موطنه من الكلام، فيفهمون من قوله تعالى</w:t>
      </w:r>
      <w:r w:rsidR="000636C2">
        <w:rPr>
          <w:bCs/>
          <w:rtl/>
          <w:lang w:bidi="ar-KW"/>
        </w:rPr>
        <w:t>(</w:t>
      </w:r>
      <w:r w:rsidRPr="005675B2">
        <w:rPr>
          <w:bCs/>
          <w:rtl/>
          <w:lang w:bidi="ar-KW"/>
        </w:rPr>
        <w:t>بل يداه مبسوطتان</w:t>
      </w:r>
      <w:r w:rsidR="000636C2">
        <w:rPr>
          <w:bCs/>
          <w:rtl/>
          <w:lang w:bidi="ar-KW"/>
        </w:rPr>
        <w:t>)</w:t>
      </w:r>
      <w:r w:rsidRPr="005675B2">
        <w:rPr>
          <w:bCs/>
          <w:rtl/>
          <w:lang w:bidi="ar-KW"/>
        </w:rPr>
        <w:t xml:space="preserve"> أن الله تعالى جوادٌ كريم لا تفنى خزائنه ولا ينقطع عطاؤه، ويفهمون من قوله تعالى </w:t>
      </w:r>
      <w:r w:rsidR="000636C2">
        <w:rPr>
          <w:bCs/>
          <w:rtl/>
          <w:lang w:bidi="ar-KW"/>
        </w:rPr>
        <w:t>(</w:t>
      </w:r>
      <w:r w:rsidRPr="005675B2">
        <w:rPr>
          <w:bCs/>
          <w:rtl/>
          <w:lang w:bidi="ar-KW"/>
        </w:rPr>
        <w:t>يد الله فوق أيديهم</w:t>
      </w:r>
      <w:r w:rsidR="000636C2">
        <w:rPr>
          <w:bCs/>
          <w:rtl/>
          <w:lang w:bidi="ar-KW"/>
        </w:rPr>
        <w:t>)</w:t>
      </w:r>
      <w:r w:rsidRPr="005675B2">
        <w:rPr>
          <w:rtl/>
          <w:lang w:bidi="ar-KW"/>
        </w:rPr>
        <w:t xml:space="preserve"> النصرة والثواب، وهكذا، لكن جمهورهم لم ينطق بهذه المعاني، لوضوحها عندهم وعدم الحاجة إلى التصريح بها لخلوِّ عصرهم مما يقتضي ذلك، بيد أن هذا لم يمنع البعض منهم رضي الله عنهم من التصريح ببعض هذه المعاني كما سيأتي معنا في مبحث تأويلات السلف</w:t>
      </w:r>
      <w:r w:rsidR="000636C2">
        <w:rPr>
          <w:rtl/>
          <w:lang w:bidi="ar-KW"/>
        </w:rPr>
        <w:t xml:space="preserve">، </w:t>
      </w:r>
      <w:r w:rsidRPr="005675B2">
        <w:rPr>
          <w:rtl/>
          <w:lang w:bidi="ar-KW"/>
        </w:rPr>
        <w:t>على أننا نقول</w:t>
      </w:r>
      <w:r w:rsidR="000636C2">
        <w:rPr>
          <w:rtl/>
          <w:lang w:bidi="ar-KW"/>
        </w:rPr>
        <w:t>:</w:t>
      </w:r>
      <w:r w:rsidRPr="005675B2">
        <w:rPr>
          <w:rtl/>
          <w:lang w:bidi="ar-KW"/>
        </w:rPr>
        <w:t xml:space="preserve"> إن الله تعالى هو من علمنا كيف ننزهه وننفي عنه كلَّ ما لا يليق بذاته العلية من هذه الظواهر، كما جاء في الحديث القدسي الذي رواه الإمام مسلم في فضل عيادة المريض والذي يقول فيه الرب تعالى لعبده يوم القيامة</w:t>
      </w:r>
      <w:r w:rsidR="000636C2">
        <w:rPr>
          <w:rtl/>
          <w:lang w:bidi="ar-KW"/>
        </w:rPr>
        <w:t>:</w:t>
      </w:r>
      <w:r w:rsidRPr="005675B2">
        <w:rPr>
          <w:rtl/>
          <w:lang w:bidi="ar-KW"/>
        </w:rPr>
        <w:t xml:space="preserve"> </w:t>
      </w:r>
      <w:r w:rsidR="000636C2">
        <w:rPr>
          <w:bCs/>
          <w:rtl/>
          <w:lang w:bidi="ar-KW"/>
        </w:rPr>
        <w:t>(</w:t>
      </w:r>
      <w:r w:rsidRPr="005675B2">
        <w:rPr>
          <w:bCs/>
          <w:rtl/>
          <w:lang w:bidi="ar-KW"/>
        </w:rPr>
        <w:t>يا ابن آدم مرضت فلم تعدني .. يا ابن آدم استطعمتك فلم تطعمني .. يا ابن آدم استسقيتك فلم تسقني</w:t>
      </w:r>
      <w:r w:rsidR="000636C2">
        <w:rPr>
          <w:rtl/>
          <w:lang w:bidi="ar-KW"/>
        </w:rPr>
        <w:t>)</w:t>
      </w:r>
      <w:r w:rsidRPr="005675B2">
        <w:rPr>
          <w:rtl/>
          <w:lang w:bidi="ar-KW"/>
        </w:rPr>
        <w:t xml:space="preserve"> كل ذلك والعبد يقول </w:t>
      </w:r>
      <w:r w:rsidR="000636C2">
        <w:rPr>
          <w:rtl/>
          <w:lang w:bidi="ar-KW"/>
        </w:rPr>
        <w:t>(</w:t>
      </w:r>
      <w:r w:rsidRPr="005675B2">
        <w:rPr>
          <w:rtl/>
          <w:lang w:bidi="ar-KW"/>
        </w:rPr>
        <w:t>رب كيف أعودك وأنت رب العالمين .. رب كيف أطعمك وأنت رب العالمين .. رب كيف أسقيك وأنت رب العالمين</w:t>
      </w:r>
      <w:r w:rsidR="000636C2">
        <w:rPr>
          <w:rtl/>
          <w:lang w:bidi="ar-KW"/>
        </w:rPr>
        <w:t>)</w:t>
      </w:r>
      <w:r w:rsidRPr="005675B2">
        <w:rPr>
          <w:rtl/>
          <w:lang w:bidi="ar-KW"/>
        </w:rPr>
        <w:t xml:space="preserve"> فإنه عندما استحال في عقل العبد الذي ينزه مولاه عن صفات المخلوقين وسمات الأجسام وعوارض النقص والآفات أن يمرض ربه ويعوده على الحقيقة وأن يستطعم ويستسقي على الحقيقة سأل </w:t>
      </w:r>
      <w:r w:rsidR="000636C2">
        <w:rPr>
          <w:rtl/>
          <w:lang w:bidi="ar-KW"/>
        </w:rPr>
        <w:t>(</w:t>
      </w:r>
      <w:r w:rsidRPr="005675B2">
        <w:rPr>
          <w:rtl/>
          <w:lang w:bidi="ar-KW"/>
        </w:rPr>
        <w:t>رب كيف .. وأنت رب العالمين</w:t>
      </w:r>
      <w:r w:rsidR="000636C2">
        <w:rPr>
          <w:rtl/>
          <w:lang w:bidi="ar-KW"/>
        </w:rPr>
        <w:t>)</w:t>
      </w:r>
      <w:r w:rsidRPr="005675B2">
        <w:rPr>
          <w:rtl/>
          <w:lang w:bidi="ar-KW"/>
        </w:rPr>
        <w:t xml:space="preserve"> أي أن حقائق هذه الألفاظ لا تليق به تعالى وهي محالة قطعاً في حقه، وما دامت منفية الظاهر والحقيقة فهي عنده بلا معنى مفهوم</w:t>
      </w:r>
      <w:r w:rsidR="000636C2">
        <w:rPr>
          <w:rtl/>
          <w:lang w:bidi="ar-KW"/>
        </w:rPr>
        <w:t>،</w:t>
      </w:r>
      <w:r w:rsidRPr="005675B2">
        <w:rPr>
          <w:rtl/>
          <w:lang w:bidi="ar-KW"/>
        </w:rPr>
        <w:t xml:space="preserve"> ولهذا سأل </w:t>
      </w:r>
      <w:r w:rsidR="000636C2">
        <w:rPr>
          <w:rtl/>
          <w:lang w:bidi="ar-KW"/>
        </w:rPr>
        <w:t>(</w:t>
      </w:r>
      <w:r w:rsidRPr="005675B2">
        <w:rPr>
          <w:rtl/>
          <w:lang w:bidi="ar-KW"/>
        </w:rPr>
        <w:t>رب كيف</w:t>
      </w:r>
      <w:r w:rsidR="000636C2">
        <w:rPr>
          <w:rtl/>
          <w:lang w:bidi="ar-KW"/>
        </w:rPr>
        <w:t>)</w:t>
      </w:r>
      <w:r w:rsidRPr="005675B2">
        <w:rPr>
          <w:rtl/>
          <w:lang w:bidi="ar-KW"/>
        </w:rPr>
        <w:t xml:space="preserve">، وهذا شأن كل لفظ من هذه الألفاظ التي من هذا القبيل عندما يستحيل معناه الظاهر والحقيقي يستفسر عن المـراد منـه ب - </w:t>
      </w:r>
      <w:r w:rsidR="000636C2">
        <w:rPr>
          <w:rtl/>
          <w:lang w:bidi="ar-KW"/>
        </w:rPr>
        <w:t>(</w:t>
      </w:r>
      <w:r w:rsidRPr="005675B2">
        <w:rPr>
          <w:rtl/>
          <w:lang w:bidi="ar-KW"/>
        </w:rPr>
        <w:t>كيف</w:t>
      </w:r>
      <w:r w:rsidR="000636C2">
        <w:rPr>
          <w:rtl/>
          <w:lang w:bidi="ar-KW"/>
        </w:rPr>
        <w:t>)</w:t>
      </w:r>
      <w:r w:rsidRPr="005675B2">
        <w:rPr>
          <w:rtl/>
          <w:lang w:bidi="ar-KW"/>
        </w:rPr>
        <w:t>، وهذا الذي حدث من بعض العوام في الصدر الأول حين أخذوا يسألون عن مثل هذه الألفاظ</w:t>
      </w:r>
      <w:r w:rsidR="000636C2">
        <w:rPr>
          <w:rtl/>
          <w:lang w:bidi="ar-KW"/>
        </w:rPr>
        <w:t>:</w:t>
      </w:r>
      <w:r w:rsidRPr="005675B2">
        <w:rPr>
          <w:rtl/>
          <w:lang w:bidi="ar-KW"/>
        </w:rPr>
        <w:t xml:space="preserve"> كيف استوى</w:t>
      </w:r>
      <w:r w:rsidR="000636C2">
        <w:rPr>
          <w:rtl/>
          <w:lang w:bidi="ar-KW"/>
        </w:rPr>
        <w:t>؟</w:t>
      </w:r>
      <w:r w:rsidRPr="005675B2">
        <w:rPr>
          <w:rtl/>
          <w:lang w:bidi="ar-KW"/>
        </w:rPr>
        <w:t xml:space="preserve"> كيف ينزل</w:t>
      </w:r>
      <w:r w:rsidR="000636C2">
        <w:rPr>
          <w:rtl/>
          <w:lang w:bidi="ar-KW"/>
        </w:rPr>
        <w:t>؟</w:t>
      </w:r>
      <w:r w:rsidRPr="005675B2">
        <w:rPr>
          <w:rtl/>
          <w:lang w:bidi="ar-KW"/>
        </w:rPr>
        <w:t xml:space="preserve"> كيف يضحك</w:t>
      </w:r>
      <w:r w:rsidR="000636C2">
        <w:rPr>
          <w:rtl/>
          <w:lang w:bidi="ar-KW"/>
        </w:rPr>
        <w:t>؟</w:t>
      </w:r>
      <w:r w:rsidRPr="005675B2">
        <w:rPr>
          <w:rtl/>
          <w:lang w:bidi="ar-KW"/>
        </w:rPr>
        <w:t xml:space="preserve"> فنهاهم علماء السلف عن الاستفسار عن معانيها بقولهم </w:t>
      </w:r>
      <w:r w:rsidR="000636C2">
        <w:rPr>
          <w:rtl/>
          <w:lang w:bidi="ar-KW"/>
        </w:rPr>
        <w:t>(</w:t>
      </w:r>
      <w:r w:rsidRPr="005675B2">
        <w:rPr>
          <w:rtl/>
          <w:lang w:bidi="ar-KW"/>
        </w:rPr>
        <w:t>بلا كيف</w:t>
      </w:r>
      <w:r w:rsidR="000636C2">
        <w:rPr>
          <w:rtl/>
          <w:lang w:bidi="ar-KW"/>
        </w:rPr>
        <w:t>)</w:t>
      </w:r>
      <w:r w:rsidRPr="005675B2">
        <w:rPr>
          <w:rtl/>
          <w:lang w:bidi="ar-KW"/>
        </w:rPr>
        <w:t xml:space="preserve"> وألزموهم تنزيه الله تعالى عن ظواهرها ثم السكوت بعد الإيمان بأن الله تعالى ليس كمثله شيء</w:t>
      </w:r>
      <w:r w:rsidR="000636C2">
        <w:rPr>
          <w:rtl/>
          <w:lang w:bidi="ar-KW"/>
        </w:rPr>
        <w:t xml:space="preserve">، </w:t>
      </w:r>
      <w:r w:rsidRPr="005675B2">
        <w:rPr>
          <w:rtl/>
          <w:lang w:bidi="ar-KW"/>
        </w:rPr>
        <w:t xml:space="preserve">قال الإمام العز بن عبد السلام رحمه الله تعالى </w:t>
      </w:r>
      <w:r w:rsidR="000636C2">
        <w:rPr>
          <w:rtl/>
          <w:lang w:bidi="ar-KW"/>
        </w:rPr>
        <w:t>(</w:t>
      </w:r>
      <w:r w:rsidRPr="005675B2">
        <w:rPr>
          <w:rtl/>
          <w:lang w:bidi="ar-KW"/>
        </w:rPr>
        <w:t>الإشارة إلى الإيجاز ص/7</w:t>
      </w:r>
      <w:r w:rsidR="000636C2">
        <w:rPr>
          <w:rtl/>
          <w:lang w:bidi="ar-KW"/>
        </w:rPr>
        <w:t>):</w:t>
      </w:r>
      <w:r w:rsidRPr="005675B2">
        <w:rPr>
          <w:rFonts w:hint="cs"/>
          <w:rtl/>
          <w:lang w:bidi="ar-KW"/>
        </w:rPr>
        <w:t xml:space="preserve"> </w:t>
      </w:r>
      <w:r w:rsidR="000636C2">
        <w:rPr>
          <w:rtl/>
          <w:lang w:bidi="ar-KW"/>
        </w:rPr>
        <w:t>(</w:t>
      </w:r>
      <w:r w:rsidRPr="005675B2">
        <w:rPr>
          <w:rtl/>
          <w:lang w:bidi="ar-KW"/>
        </w:rPr>
        <w:t>وأما قوله عليه السلام حكاية عن ربِّه " مرضت فلم تعدني واستطعمتك فلم تطعمني واستسقيتك فلم تسقني " فيحمل على حذف المضاف تقديره مرض عبدي فلم تعدْه، واستطعمك عبدي فلم تطعمه، واستسقاك عبدي فلم تسْـقِه .. ويدلُّ على هذا أن الملوم لمَّا قيل له استطعمتك فلم تطعمني</w:t>
      </w:r>
      <w:r w:rsidR="000636C2">
        <w:rPr>
          <w:rtl/>
          <w:lang w:bidi="ar-KW"/>
        </w:rPr>
        <w:t>،</w:t>
      </w:r>
      <w:r w:rsidRPr="005675B2">
        <w:rPr>
          <w:rtl/>
          <w:lang w:bidi="ar-KW"/>
        </w:rPr>
        <w:t xml:space="preserve"> قال استبعاداً لذلك وتعجباً منه</w:t>
      </w:r>
      <w:r w:rsidR="000636C2">
        <w:rPr>
          <w:rtl/>
          <w:lang w:bidi="ar-KW"/>
        </w:rPr>
        <w:t xml:space="preserve"> </w:t>
      </w:r>
      <w:r w:rsidRPr="005675B2">
        <w:rPr>
          <w:rtl/>
          <w:lang w:bidi="ar-KW"/>
        </w:rPr>
        <w:t>- لمَّا لم يتفطن لحذف المضاف وإرادة الرب - كيف أطعمك وأنت رب العالمين</w:t>
      </w:r>
      <w:r w:rsidR="000636C2">
        <w:rPr>
          <w:rtl/>
          <w:lang w:bidi="ar-KW"/>
        </w:rPr>
        <w:t>؟</w:t>
      </w:r>
      <w:r w:rsidRPr="005675B2">
        <w:rPr>
          <w:rtl/>
          <w:lang w:bidi="ar-KW"/>
        </w:rPr>
        <w:t xml:space="preserve"> حملاً للكلام على ظاهره، فأظهر الرب سبحانه وتعالى مرادَه من تأويل كلامه فقال</w:t>
      </w:r>
      <w:r w:rsidR="000636C2">
        <w:rPr>
          <w:rtl/>
          <w:lang w:bidi="ar-KW"/>
        </w:rPr>
        <w:t>:</w:t>
      </w:r>
      <w:r w:rsidRPr="005675B2">
        <w:rPr>
          <w:rtl/>
          <w:lang w:bidi="ar-KW"/>
        </w:rPr>
        <w:t xml:space="preserve"> " مرض عبدي فلم تعدْه واستطعمك عبدي فلم تطعمْه واستسقاك عبدي فلم تسْقه</w:t>
      </w:r>
      <w:r w:rsidR="000636C2">
        <w:rPr>
          <w:rtl/>
          <w:lang w:bidi="ar-KW"/>
        </w:rPr>
        <w:t>)</w:t>
      </w:r>
      <w:r w:rsidRPr="005675B2">
        <w:rPr>
          <w:rtl/>
          <w:lang w:bidi="ar-KW"/>
        </w:rPr>
        <w:t xml:space="preserve"> اهـ</w:t>
      </w:r>
      <w:r w:rsidR="000636C2">
        <w:rPr>
          <w:rtl/>
          <w:lang w:bidi="ar-KW"/>
        </w:rPr>
        <w:t>،</w:t>
      </w:r>
      <w:r w:rsidRPr="005675B2">
        <w:rPr>
          <w:rtl/>
          <w:lang w:bidi="ar-KW"/>
        </w:rPr>
        <w:t xml:space="preserve"> وقوله </w:t>
      </w:r>
      <w:r w:rsidR="000636C2">
        <w:rPr>
          <w:rtl/>
          <w:lang w:bidi="ar-KW"/>
        </w:rPr>
        <w:t>(</w:t>
      </w:r>
      <w:r w:rsidRPr="005675B2">
        <w:rPr>
          <w:rtl/>
          <w:lang w:bidi="ar-KW"/>
        </w:rPr>
        <w:t>حملاً للكلام على ظاهره</w:t>
      </w:r>
      <w:r w:rsidR="000636C2">
        <w:rPr>
          <w:rtl/>
          <w:lang w:bidi="ar-KW"/>
        </w:rPr>
        <w:t>)</w:t>
      </w:r>
      <w:r w:rsidRPr="005675B2">
        <w:rPr>
          <w:rtl/>
          <w:lang w:bidi="ar-KW"/>
        </w:rPr>
        <w:t xml:space="preserve"> أي أن العبد قال ذلك مستبعداً له لمّا لم يتفطن لغيره من المعاني اللائقة بالله تعالى</w:t>
      </w:r>
      <w:r w:rsidR="000636C2">
        <w:rPr>
          <w:rtl/>
          <w:lang w:bidi="ar-KW"/>
        </w:rPr>
        <w:t xml:space="preserve">، </w:t>
      </w:r>
      <w:r w:rsidRPr="005675B2">
        <w:rPr>
          <w:rtl/>
          <w:lang w:bidi="ar-KW"/>
        </w:rPr>
        <w:t xml:space="preserve">وقال العلامة ابن خلدون - رحمه الله تعالى - </w:t>
      </w:r>
      <w:r w:rsidR="000636C2">
        <w:rPr>
          <w:rtl/>
          <w:lang w:bidi="ar-KW"/>
        </w:rPr>
        <w:t>(</w:t>
      </w:r>
      <w:r w:rsidRPr="005675B2">
        <w:rPr>
          <w:rtl/>
          <w:lang w:bidi="ar-KW"/>
        </w:rPr>
        <w:t>المقدمة 3 /1088، بتحقيق علي عبدالواحد وافي</w:t>
      </w:r>
      <w:r w:rsidR="000636C2">
        <w:rPr>
          <w:rtl/>
          <w:lang w:bidi="ar-KW"/>
        </w:rPr>
        <w:t>):</w:t>
      </w:r>
      <w:r w:rsidR="000636C2">
        <w:rPr>
          <w:rFonts w:hint="cs"/>
          <w:rtl/>
          <w:lang w:bidi="ar-KW"/>
        </w:rPr>
        <w:t xml:space="preserve"> </w:t>
      </w:r>
      <w:r w:rsidR="000636C2">
        <w:rPr>
          <w:rtl/>
          <w:lang w:bidi="ar-KW"/>
        </w:rPr>
        <w:t>(</w:t>
      </w:r>
      <w:r w:rsidRPr="005675B2">
        <w:rPr>
          <w:rtl/>
          <w:lang w:bidi="ar-KW"/>
        </w:rPr>
        <w:t>إلى أن ظهر الشيخ أبو الحسن الأشعري وناظر مشيختهم – أي المعتزلة – في مسائل الصلاح والأصلح، فرفض طريقتهم وكان على رأي عبد الله بن سعيد بن كلاب وأبي العباس القلانسي والحارث المحاسبي من أتبـاع السلف وعلى طريقة السنة فأيد مقالاتهم – يعني السلف – بالحجج الكلامية وأثبت الصفات القائمة بذات الله تعالى من العلم والقدرة والإرادة .. وكان من مذهبهم إثبات الكلام والسمع والبصر، لأنها]</w:t>
      </w:r>
      <w:r w:rsidRPr="005675B2">
        <w:rPr>
          <w:rtl/>
          <w:lang w:val="en-GB" w:bidi="ar-KW"/>
        </w:rPr>
        <w:t xml:space="preserve"> </w:t>
      </w:r>
      <w:r w:rsidRPr="005675B2">
        <w:rPr>
          <w:rtl/>
          <w:lang w:bidi="ar-KW"/>
        </w:rPr>
        <w:t xml:space="preserve">يعني هذه الصفات </w:t>
      </w:r>
      <w:r w:rsidRPr="005675B2">
        <w:rPr>
          <w:rtl/>
          <w:lang w:val="en-GB" w:bidi="ar-KW"/>
        </w:rPr>
        <w:t>[</w:t>
      </w:r>
      <w:r w:rsidRPr="005675B2">
        <w:rPr>
          <w:rtl/>
          <w:lang w:bidi="ar-KW"/>
        </w:rPr>
        <w:t>وإن أوهم ظاهرها النقص بالصوت والحرف الجسمانيين، فقد وجد للكلام عند العرب مدلول آخر غير الحروف والصوت وهو ما يدور في الخلد والكلام حقيقة فيه دون الأول ..</w:t>
      </w:r>
      <w:r w:rsidR="000636C2">
        <w:rPr>
          <w:rtl/>
          <w:lang w:bidi="ar-KW"/>
        </w:rPr>
        <w:t>،</w:t>
      </w:r>
      <w:r w:rsidRPr="005675B2">
        <w:rPr>
          <w:rtl/>
          <w:lang w:bidi="ar-KW"/>
        </w:rPr>
        <w:t xml:space="preserve"> وأما السمع والبصر وإن كان يوهم إدراك الجارحة فهو يدلُّ لغةً على إدراك المسموع والمبصر وينتفي إيهام النقص حينئذ لأنه حقيقة لغوية فيهما</w:t>
      </w:r>
      <w:r w:rsidR="000636C2">
        <w:rPr>
          <w:rtl/>
          <w:lang w:bidi="ar-KW"/>
        </w:rPr>
        <w:t>)</w:t>
      </w:r>
      <w:r w:rsidRPr="005675B2">
        <w:rPr>
          <w:rtl/>
          <w:lang w:bidi="ar-KW"/>
        </w:rPr>
        <w:t xml:space="preserve"> اهـ</w:t>
      </w:r>
      <w:r w:rsidR="000636C2">
        <w:rPr>
          <w:rtl/>
          <w:lang w:bidi="ar-KW"/>
        </w:rPr>
        <w:t xml:space="preserve">، </w:t>
      </w:r>
      <w:r w:rsidRPr="005675B2">
        <w:rPr>
          <w:rtl/>
          <w:lang w:bidi="ar-KW"/>
        </w:rPr>
        <w:t>هذا فيما يتعلق بصفات المعاني، أما الصفات الأخرى التي يريد هؤلاء التسوية بينها وبين صفات المعاني وذلك بقولهم يجب إثبات حقائقها ومعانيها الظاهرة كما هو الحال في صفات المعاني فيقول العلامة ابن خلدون عنها</w:t>
      </w:r>
      <w:r w:rsidR="000636C2">
        <w:rPr>
          <w:rtl/>
          <w:lang w:bidi="ar-KW"/>
        </w:rPr>
        <w:t>:</w:t>
      </w:r>
      <w:r w:rsidRPr="005675B2">
        <w:rPr>
          <w:rFonts w:hint="cs"/>
          <w:rtl/>
          <w:lang w:bidi="ar-KW"/>
        </w:rPr>
        <w:t xml:space="preserve"> </w:t>
      </w:r>
      <w:r w:rsidR="000636C2">
        <w:rPr>
          <w:rtl/>
          <w:lang w:bidi="ar-KW"/>
        </w:rPr>
        <w:t>(</w:t>
      </w:r>
      <w:r w:rsidRPr="005675B2">
        <w:rPr>
          <w:rtl/>
          <w:lang w:bidi="ar-KW"/>
        </w:rPr>
        <w:t>وأما لفظ الاستواء والمجيء والنزول والوجه واليدين والعينين</w:t>
      </w:r>
      <w:r w:rsidRPr="005675B2">
        <w:rPr>
          <w:rFonts w:hint="cs"/>
          <w:rtl/>
          <w:lang w:bidi="ar-KW"/>
        </w:rPr>
        <w:t xml:space="preserve"> </w:t>
      </w:r>
      <w:r w:rsidR="000636C2">
        <w:rPr>
          <w:rFonts w:hint="cs"/>
          <w:sz w:val="24"/>
          <w:szCs w:val="24"/>
          <w:rtl/>
          <w:lang w:bidi="ar-KW"/>
        </w:rPr>
        <w:t>[</w:t>
      </w:r>
      <w:r w:rsidRPr="005675B2">
        <w:rPr>
          <w:sz w:val="24"/>
          <w:szCs w:val="24"/>
          <w:rtl/>
        </w:rPr>
        <w:t>لم يرد لفظ العينين في القرآن والسنة، فلعلَّ هذا من تصحيفات النساخ. انظر ما مرَّ ص 18 ـ 19</w:t>
      </w:r>
      <w:r w:rsidR="000636C2">
        <w:rPr>
          <w:rFonts w:hint="cs"/>
          <w:sz w:val="24"/>
          <w:szCs w:val="24"/>
          <w:rtl/>
        </w:rPr>
        <w:t>]</w:t>
      </w:r>
      <w:r w:rsidRPr="005675B2">
        <w:rPr>
          <w:rFonts w:hint="cs"/>
          <w:sz w:val="24"/>
          <w:szCs w:val="24"/>
          <w:rtl/>
        </w:rPr>
        <w:t xml:space="preserve"> </w:t>
      </w:r>
      <w:r w:rsidRPr="005675B2">
        <w:rPr>
          <w:rtl/>
          <w:lang w:bidi="ar-KW"/>
        </w:rPr>
        <w:t>وأمثال ذلك، فعدلوا عن حقائقها اللغوية لما فيها من إيهام النقص بالتشبيه إلى مجازاتها على طريقة العرب حين تتعذر حقائق الألفاظ، فيرجعون إلى المجاز، كما في قوله تعالى</w:t>
      </w:r>
      <w:r w:rsidR="000636C2">
        <w:rPr>
          <w:rtl/>
          <w:lang w:bidi="ar-KW"/>
        </w:rPr>
        <w:t>:</w:t>
      </w:r>
      <w:r w:rsidRPr="005675B2">
        <w:rPr>
          <w:bCs/>
          <w:rtl/>
          <w:lang w:bidi="ar-KW"/>
        </w:rPr>
        <w:t xml:space="preserve"> </w:t>
      </w:r>
      <w:r w:rsidR="000636C2">
        <w:rPr>
          <w:bCs/>
          <w:rtl/>
          <w:lang w:bidi="ar-KW"/>
        </w:rPr>
        <w:t>(</w:t>
      </w:r>
      <w:r w:rsidRPr="005675B2">
        <w:rPr>
          <w:bCs/>
          <w:rtl/>
          <w:lang w:bidi="ar-KW"/>
        </w:rPr>
        <w:t>يريد أن ينقضّ</w:t>
      </w:r>
      <w:r w:rsidR="000636C2">
        <w:rPr>
          <w:bCs/>
          <w:rtl/>
          <w:lang w:bidi="ar-KW"/>
        </w:rPr>
        <w:t xml:space="preserve">) </w:t>
      </w:r>
      <w:r w:rsidRPr="005675B2">
        <w:rPr>
          <w:rtl/>
          <w:lang w:bidi="ar-KW"/>
        </w:rPr>
        <w:t xml:space="preserve">وأمثاله، </w:t>
      </w:r>
      <w:r w:rsidRPr="005675B2">
        <w:rPr>
          <w:bCs/>
          <w:rtl/>
          <w:lang w:bidi="ar-KW"/>
        </w:rPr>
        <w:t>طريقة معروفة لهم غير منكرة ولا مبتدعة</w:t>
      </w:r>
      <w:r w:rsidR="000636C2">
        <w:rPr>
          <w:rtl/>
          <w:lang w:bidi="ar-KW"/>
        </w:rPr>
        <w:t>)</w:t>
      </w:r>
      <w:r w:rsidRPr="005675B2">
        <w:rPr>
          <w:rtl/>
          <w:lang w:bidi="ar-KW"/>
        </w:rPr>
        <w:t xml:space="preserve"> اهـ</w:t>
      </w:r>
      <w:r w:rsidR="000636C2">
        <w:rPr>
          <w:rtl/>
          <w:lang w:bidi="ar-KW"/>
        </w:rPr>
        <w:t xml:space="preserve">، </w:t>
      </w:r>
      <w:r w:rsidRPr="005675B2">
        <w:rPr>
          <w:rtl/>
          <w:lang w:bidi="ar-KW"/>
        </w:rPr>
        <w:t>ثم قال موضحاً سبب أخذ الخلف بالتأويل</w:t>
      </w:r>
      <w:r w:rsidR="000636C2">
        <w:rPr>
          <w:rtl/>
          <w:lang w:bidi="ar-KW"/>
        </w:rPr>
        <w:t>:</w:t>
      </w:r>
      <w:r w:rsidRPr="005675B2">
        <w:rPr>
          <w:rtl/>
          <w:lang w:bidi="ar-KW"/>
        </w:rPr>
        <w:t xml:space="preserve"> </w:t>
      </w:r>
      <w:r w:rsidR="000636C2">
        <w:rPr>
          <w:rtl/>
          <w:lang w:bidi="ar-KW"/>
        </w:rPr>
        <w:t>(</w:t>
      </w:r>
      <w:r w:rsidRPr="005675B2">
        <w:rPr>
          <w:rtl/>
          <w:lang w:bidi="ar-KW"/>
        </w:rPr>
        <w:t>وحملهم على هذا التأويل وإن كان مخالفاً لمذهب السلف في التفويض أن جماعة ارتكبوا في محمل هذه الصفات فحملوها على صفات ثابتة لله تعالى مجهولة الكيفية فيقولون في</w:t>
      </w:r>
      <w:r w:rsidR="000636C2">
        <w:rPr>
          <w:bCs/>
          <w:rtl/>
          <w:lang w:bidi="ar-KW"/>
        </w:rPr>
        <w:t>(</w:t>
      </w:r>
      <w:r w:rsidRPr="005675B2">
        <w:rPr>
          <w:bCs/>
          <w:rtl/>
          <w:lang w:bidi="ar-KW"/>
        </w:rPr>
        <w:t>استوى على العرش</w:t>
      </w:r>
      <w:r w:rsidR="000636C2">
        <w:rPr>
          <w:bCs/>
          <w:rtl/>
          <w:lang w:bidi="ar-KW"/>
        </w:rPr>
        <w:t>)</w:t>
      </w:r>
      <w:r w:rsidRPr="005675B2">
        <w:rPr>
          <w:rtl/>
          <w:lang w:bidi="ar-KW"/>
        </w:rPr>
        <w:t xml:space="preserve"> نثبت له استواء بحيث مدلول اللفظ] أي على الحقيقة </w:t>
      </w:r>
      <w:r w:rsidRPr="005675B2">
        <w:rPr>
          <w:rtl/>
          <w:lang w:val="en-GB" w:bidi="ar-KW"/>
        </w:rPr>
        <w:t>[</w:t>
      </w:r>
      <w:r w:rsidRPr="005675B2">
        <w:rPr>
          <w:rtl/>
          <w:lang w:bidi="ar-KW"/>
        </w:rPr>
        <w:t xml:space="preserve">فراراً من تعطيله، ولا نقول بكيفيته فراراً من القول بالتشبيه الذي تنفيه آيات السلوب من قوله تعالى </w:t>
      </w:r>
      <w:r w:rsidR="000636C2">
        <w:rPr>
          <w:bCs/>
          <w:rtl/>
          <w:lang w:bidi="ar-KW"/>
        </w:rPr>
        <w:t>(</w:t>
      </w:r>
      <w:r w:rsidRPr="005675B2">
        <w:rPr>
          <w:bCs/>
          <w:rtl/>
          <w:lang w:bidi="ar-KW"/>
        </w:rPr>
        <w:t>ليس كمثله شئ</w:t>
      </w:r>
      <w:r w:rsidR="000636C2">
        <w:rPr>
          <w:bCs/>
          <w:rtl/>
          <w:lang w:bidi="ar-KW"/>
        </w:rPr>
        <w:t>)</w:t>
      </w:r>
      <w:r w:rsidRPr="005675B2">
        <w:rPr>
          <w:bCs/>
          <w:rtl/>
          <w:lang w:bidi="ar-KW"/>
        </w:rPr>
        <w:t xml:space="preserve"> </w:t>
      </w:r>
      <w:r w:rsidR="000636C2">
        <w:rPr>
          <w:bCs/>
          <w:rtl/>
          <w:lang w:bidi="ar-KW"/>
        </w:rPr>
        <w:t>(</w:t>
      </w:r>
      <w:r w:rsidRPr="005675B2">
        <w:rPr>
          <w:bCs/>
          <w:rtl/>
          <w:lang w:bidi="ar-KW"/>
        </w:rPr>
        <w:t>سبحان الله عمّا يصفون</w:t>
      </w:r>
      <w:r w:rsidR="000636C2">
        <w:rPr>
          <w:bCs/>
          <w:rtl/>
          <w:lang w:bidi="ar-KW"/>
        </w:rPr>
        <w:t>)</w:t>
      </w:r>
      <w:r w:rsidRPr="005675B2">
        <w:rPr>
          <w:bCs/>
          <w:rtl/>
          <w:lang w:bidi="ar-KW"/>
        </w:rPr>
        <w:t xml:space="preserve"> </w:t>
      </w:r>
      <w:r w:rsidR="000636C2">
        <w:rPr>
          <w:bCs/>
          <w:rtl/>
          <w:lang w:bidi="ar-KW"/>
        </w:rPr>
        <w:t>(</w:t>
      </w:r>
      <w:r w:rsidRPr="005675B2">
        <w:rPr>
          <w:bCs/>
          <w:rtl/>
          <w:lang w:bidi="ar-KW"/>
        </w:rPr>
        <w:t>تعالى الله عمّا يشركون</w:t>
      </w:r>
      <w:r w:rsidR="000636C2">
        <w:rPr>
          <w:bCs/>
          <w:rtl/>
          <w:lang w:bidi="ar-KW"/>
        </w:rPr>
        <w:t>)</w:t>
      </w:r>
      <w:r w:rsidRPr="005675B2">
        <w:rPr>
          <w:bCs/>
          <w:rtl/>
          <w:lang w:bidi="ar-KW"/>
        </w:rPr>
        <w:t xml:space="preserve"> </w:t>
      </w:r>
      <w:r w:rsidR="000636C2">
        <w:rPr>
          <w:bCs/>
          <w:rtl/>
          <w:lang w:bidi="ar-KW"/>
        </w:rPr>
        <w:t>(</w:t>
      </w:r>
      <w:r w:rsidRPr="005675B2">
        <w:rPr>
          <w:bCs/>
          <w:rtl/>
          <w:lang w:bidi="ar-KW"/>
        </w:rPr>
        <w:t>لم يلد ولم يولد</w:t>
      </w:r>
      <w:r w:rsidR="000636C2">
        <w:rPr>
          <w:bCs/>
          <w:rtl/>
          <w:lang w:bidi="ar-KW"/>
        </w:rPr>
        <w:t>)</w:t>
      </w:r>
      <w:r w:rsidRPr="005675B2">
        <w:rPr>
          <w:bCs/>
          <w:rtl/>
          <w:lang w:bidi="ar-KW"/>
        </w:rPr>
        <w:t xml:space="preserve"> </w:t>
      </w:r>
      <w:r w:rsidRPr="005675B2">
        <w:rPr>
          <w:rtl/>
          <w:lang w:bidi="ar-KW"/>
        </w:rPr>
        <w:t xml:space="preserve">ولا يعلمون مع ذلك أنهم ولجوا من باب التشبيه في قولهم بإثبات استواءٍ] يعني ظاهره اللغوي وحقيقته المعهودة عند الخلق </w:t>
      </w:r>
      <w:r w:rsidRPr="005675B2">
        <w:rPr>
          <w:rtl/>
          <w:lang w:val="en-GB" w:bidi="ar-KW"/>
        </w:rPr>
        <w:t>[</w:t>
      </w:r>
      <w:r w:rsidRPr="005675B2">
        <w:rPr>
          <w:rtl/>
          <w:lang w:bidi="ar-KW"/>
        </w:rPr>
        <w:t>والاستواء عند أهل اللغة إنما موضوعه الاستقرار والتمكن وهو جسماني</w:t>
      </w:r>
      <w:r w:rsidR="000636C2">
        <w:rPr>
          <w:rtl/>
          <w:lang w:bidi="ar-KW"/>
        </w:rPr>
        <w:t>،</w:t>
      </w:r>
      <w:r w:rsidRPr="005675B2">
        <w:rPr>
          <w:rtl/>
          <w:lang w:bidi="ar-KW"/>
        </w:rPr>
        <w:t xml:space="preserve"> </w:t>
      </w:r>
      <w:r w:rsidRPr="005675B2">
        <w:rPr>
          <w:bCs/>
          <w:rtl/>
          <w:lang w:bidi="ar-KW"/>
        </w:rPr>
        <w:t>وأما التعطيل الذي</w:t>
      </w:r>
      <w:r w:rsidRPr="005675B2">
        <w:rPr>
          <w:rtl/>
          <w:lang w:bidi="ar-KW"/>
        </w:rPr>
        <w:t xml:space="preserve"> </w:t>
      </w:r>
      <w:r w:rsidRPr="005675B2">
        <w:rPr>
          <w:bCs/>
          <w:rtl/>
          <w:lang w:bidi="ar-KW"/>
        </w:rPr>
        <w:t>يشنعون بإلزامه وهو تعطيل اللفظ</w:t>
      </w:r>
      <w:r w:rsidR="000636C2">
        <w:rPr>
          <w:bCs/>
          <w:rtl/>
          <w:lang w:bidi="ar-KW"/>
        </w:rPr>
        <w:t xml:space="preserve"> </w:t>
      </w:r>
      <w:r w:rsidRPr="005675B2">
        <w:rPr>
          <w:bCs/>
          <w:rtl/>
          <w:lang w:bidi="ar-KW"/>
        </w:rPr>
        <w:t>- أي ظاهره</w:t>
      </w:r>
      <w:r w:rsidR="000636C2">
        <w:rPr>
          <w:bCs/>
          <w:rtl/>
          <w:lang w:bidi="ar-KW"/>
        </w:rPr>
        <w:t xml:space="preserve"> </w:t>
      </w:r>
      <w:r w:rsidRPr="005675B2">
        <w:rPr>
          <w:bCs/>
          <w:rtl/>
          <w:lang w:bidi="ar-KW"/>
        </w:rPr>
        <w:t>- فلا محذور فيه وإنما المحذور في تعطيل الإله</w:t>
      </w:r>
      <w:r w:rsidRPr="005675B2">
        <w:rPr>
          <w:rFonts w:hint="cs"/>
          <w:bCs/>
          <w:rtl/>
          <w:lang w:bidi="ar-KW"/>
        </w:rPr>
        <w:t xml:space="preserve"> </w:t>
      </w:r>
      <w:r w:rsidR="000636C2">
        <w:rPr>
          <w:rFonts w:hint="cs"/>
          <w:sz w:val="24"/>
          <w:szCs w:val="24"/>
          <w:rtl/>
          <w:lang w:bidi="ar-KW"/>
        </w:rPr>
        <w:t>[</w:t>
      </w:r>
      <w:r w:rsidRPr="005675B2">
        <w:rPr>
          <w:sz w:val="24"/>
          <w:szCs w:val="24"/>
          <w:rtl/>
        </w:rPr>
        <w:t>أي نفي صفاته تعالى كأن يقال: لم يستو أو غير مستو، أو ليس لله يدان أو وجه أو لا يغضب أو لا يحب ونحو ذلك مما وقعت به بعض الفرق المعطلة فهذا هو المحظور، أما نفي الظاهرالمحال وإثبات الصفة التي أثبتها الله تعالى لنفسه أو أثبتها له رسوله عليه الصلاة والسلام فليس بمحظور، وهذا ما فعله أهل السنة الأشاعرة</w:t>
      </w:r>
      <w:r w:rsidR="000636C2">
        <w:rPr>
          <w:rFonts w:hint="cs"/>
          <w:sz w:val="24"/>
          <w:szCs w:val="24"/>
          <w:rtl/>
        </w:rPr>
        <w:t>]</w:t>
      </w:r>
      <w:r w:rsidRPr="005675B2">
        <w:rPr>
          <w:rFonts w:hint="cs"/>
          <w:sz w:val="24"/>
          <w:szCs w:val="24"/>
          <w:rtl/>
        </w:rPr>
        <w:t xml:space="preserve"> </w:t>
      </w:r>
      <w:r w:rsidRPr="005675B2">
        <w:rPr>
          <w:bCs/>
          <w:rtl/>
          <w:lang w:bidi="ar-KW"/>
        </w:rPr>
        <w:t xml:space="preserve">.. ثم يدعون أن هذا مذهب السف، وحاشا لله من ذلك، وإنما مذهب السلف ما قررناه </w:t>
      </w:r>
      <w:r w:rsidR="000636C2">
        <w:rPr>
          <w:bCs/>
          <w:rtl/>
          <w:lang w:bidi="ar-KW"/>
        </w:rPr>
        <w:t>(</w:t>
      </w:r>
      <w:r>
        <w:rPr>
          <w:bCs/>
          <w:rtl/>
          <w:lang w:bidi="ar-KW"/>
        </w:rPr>
        <w:t>أولا</w:t>
      </w:r>
      <w:r w:rsidR="000636C2">
        <w:rPr>
          <w:bCs/>
          <w:rtl/>
          <w:lang w:bidi="ar-KW"/>
        </w:rPr>
        <w:t>)</w:t>
      </w:r>
      <w:r w:rsidRPr="005675B2">
        <w:rPr>
          <w:bCs/>
          <w:rtl/>
          <w:lang w:bidi="ar-KW"/>
        </w:rPr>
        <w:t xml:space="preserve"> من تفويض المراد بها إلى الله والسكوت عن فهمها .. ثم طردوا ذلك المحمل الذي ابتدعوه في ظواهر الوجه والعينين واليدين والنزول والكلام بالحرف والصوت يجعلون لها مدلولات أعم</w:t>
      </w:r>
      <w:r w:rsidRPr="005675B2">
        <w:rPr>
          <w:rFonts w:hint="cs"/>
          <w:bCs/>
          <w:rtl/>
          <w:lang w:bidi="ar-KW"/>
        </w:rPr>
        <w:t xml:space="preserve"> </w:t>
      </w:r>
      <w:r w:rsidRPr="005675B2">
        <w:rPr>
          <w:bCs/>
          <w:rtl/>
          <w:lang w:bidi="ar-KW"/>
        </w:rPr>
        <w:t>من الجسمانية وينزهونه عن مدلول الجسماني منها، وهذا شيء لا يعرف في اللغة، وقد درج على ذلك الأول والآخر منهم، ونافرهم أهل السنة من المتكلمين الأشعرية والحنفية ورفضوا عقائدهم في ذلك</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000636C2">
        <w:rPr>
          <w:bCs/>
          <w:rtl/>
          <w:lang w:bidi="ar-KW"/>
        </w:rPr>
        <w:t xml:space="preserve"> </w:t>
      </w:r>
      <w:r w:rsidR="000636C2">
        <w:rPr>
          <w:rFonts w:hint="cs"/>
          <w:bCs/>
          <w:sz w:val="24"/>
          <w:szCs w:val="24"/>
          <w:rtl/>
          <w:lang w:bidi="ar-KW"/>
        </w:rPr>
        <w:t>[</w:t>
      </w:r>
      <w:r w:rsidRPr="005675B2">
        <w:rPr>
          <w:sz w:val="24"/>
          <w:szCs w:val="24"/>
          <w:rtl/>
        </w:rPr>
        <w:t>وهذا الذي ذكره العلامة ابن خلدون هو ما عنيناه بقولنا إن صفات المعاني لها مدلولات واسعة أعم من الجسمانيات لذا لم يضطر العلماء معها إلى صرفها عن مدلولها الظاهر، فهي لها مدلول خاص إذا أضيفت إلى الله تعالى ومدلول آخر إذا أضيفت إلى المخلوق، أما ألفاظ المتشابه فمدلولها الظاهر ضيق لا يفهم منه إلا الجسمانيات، ولهذا اضطر العلماء معها إلى الصرف عـن هـذا الظاهر فإما التفويض وإما التأويل وهذا بعينه ما أراده العلامة ابن خلدون في هذه العبارة فإنه لا يعقل ـ مثلاً ـ أن يقولوا لا نثبت لله تعالى جارحة ثم يحملون هذه الألفاظ على الظاهر فإنه لا ظاهر هنا إلا الجارحة والجسمانيات</w:t>
      </w:r>
      <w:r w:rsidR="000636C2">
        <w:rPr>
          <w:rFonts w:hint="cs"/>
          <w:sz w:val="24"/>
          <w:szCs w:val="24"/>
          <w:rtl/>
        </w:rPr>
        <w:t>]،</w:t>
      </w:r>
      <w:r w:rsidRPr="005675B2">
        <w:rPr>
          <w:rFonts w:hint="cs"/>
          <w:sz w:val="24"/>
          <w:szCs w:val="24"/>
          <w:rtl/>
        </w:rPr>
        <w:t xml:space="preserve"> </w:t>
      </w:r>
      <w:r w:rsidRPr="005675B2">
        <w:rPr>
          <w:rtl/>
          <w:lang w:bidi="ar-KW"/>
        </w:rPr>
        <w:t>وهذا الذي قرره وحرره العلامة ابن خلدون هو ما أطبقت عليه الأمة</w:t>
      </w:r>
      <w:r w:rsidR="000636C2">
        <w:rPr>
          <w:rtl/>
          <w:lang w:bidi="ar-KW"/>
        </w:rPr>
        <w:t xml:space="preserve">، </w:t>
      </w:r>
      <w:r w:rsidRPr="005675B2">
        <w:rPr>
          <w:rtl/>
          <w:lang w:bidi="ar-KW"/>
        </w:rPr>
        <w:t>فإن قيل</w:t>
      </w:r>
      <w:r w:rsidR="000636C2">
        <w:rPr>
          <w:rtl/>
          <w:lang w:bidi="ar-KW"/>
        </w:rPr>
        <w:t>:</w:t>
      </w:r>
      <w:r w:rsidRPr="005675B2">
        <w:rPr>
          <w:rtl/>
          <w:lang w:bidi="ar-KW"/>
        </w:rPr>
        <w:t xml:space="preserve"> قول السلف </w:t>
      </w:r>
      <w:r w:rsidR="000636C2">
        <w:rPr>
          <w:rtl/>
          <w:lang w:bidi="ar-KW"/>
        </w:rPr>
        <w:t>(</w:t>
      </w:r>
      <w:r w:rsidRPr="005675B2">
        <w:rPr>
          <w:rtl/>
          <w:lang w:bidi="ar-KW"/>
        </w:rPr>
        <w:t>بلا كيف</w:t>
      </w:r>
      <w:r w:rsidR="000636C2">
        <w:rPr>
          <w:rtl/>
          <w:lang w:bidi="ar-KW"/>
        </w:rPr>
        <w:t>)</w:t>
      </w:r>
      <w:r w:rsidRPr="005675B2">
        <w:rPr>
          <w:rtl/>
          <w:lang w:bidi="ar-KW"/>
        </w:rPr>
        <w:t xml:space="preserve"> و</w:t>
      </w:r>
      <w:r w:rsidR="000636C2">
        <w:rPr>
          <w:rtl/>
          <w:lang w:bidi="ar-KW"/>
        </w:rPr>
        <w:t>(</w:t>
      </w:r>
      <w:r w:rsidRPr="005675B2">
        <w:rPr>
          <w:rtl/>
          <w:lang w:bidi="ar-KW"/>
        </w:rPr>
        <w:t>أمروها كما جاءت</w:t>
      </w:r>
      <w:r w:rsidR="000636C2">
        <w:rPr>
          <w:rtl/>
          <w:lang w:bidi="ar-KW"/>
        </w:rPr>
        <w:t>)</w:t>
      </w:r>
      <w:r w:rsidRPr="005675B2">
        <w:rPr>
          <w:rtl/>
          <w:lang w:bidi="ar-KW"/>
        </w:rPr>
        <w:t xml:space="preserve"> ونحو ذلك مما نقل عنهم، تفويض في الكيف إلى الله بعد إثبات المعنى الظاهر</w:t>
      </w:r>
      <w:r w:rsidR="000636C2">
        <w:rPr>
          <w:rtl/>
          <w:lang w:bidi="ar-KW"/>
        </w:rPr>
        <w:t xml:space="preserve">، </w:t>
      </w:r>
      <w:r w:rsidRPr="005675B2">
        <w:rPr>
          <w:rtl/>
          <w:lang w:bidi="ar-KW"/>
        </w:rPr>
        <w:t>قلنا</w:t>
      </w:r>
      <w:r w:rsidR="000636C2">
        <w:rPr>
          <w:rtl/>
          <w:lang w:bidi="ar-KW"/>
        </w:rPr>
        <w:t>:</w:t>
      </w:r>
      <w:r w:rsidRPr="005675B2">
        <w:rPr>
          <w:rtl/>
          <w:lang w:bidi="ar-KW"/>
        </w:rPr>
        <w:t xml:space="preserve"> إن نفي هذه المعاني الظاهرة متفق عليه عند جميع العارفين بالله تعالى، وقد ذكرنا قبل أن هذه الكيفيات المحسوسة مما يتنزه الله تعالى عنها ولا يجوز وصفه بها لأنها لوازم لا تنفك عن المعاني الظاهرة من هذه الألفاظ، وحاشا السلف الصالح أن يثبتوا لله تعالى ما يستحيل في حقه وهم أعرف الخلق كافة بالله بعد رسول الله</w:t>
      </w:r>
      <w:r w:rsidR="000636C2">
        <w:rPr>
          <w:rtl/>
          <w:lang w:bidi="ar-KW"/>
        </w:rPr>
        <w:t>،</w:t>
      </w:r>
      <w:r w:rsidRPr="005675B2">
        <w:rPr>
          <w:rtl/>
          <w:lang w:bidi="ar-KW"/>
        </w:rPr>
        <w:t xml:space="preserve"> وهذه نصوص العلماء في تنزيه الله تعالى عن الكيفيات المحسوسة</w:t>
      </w:r>
      <w:r w:rsidR="000636C2">
        <w:rPr>
          <w:rtl/>
          <w:lang w:bidi="ar-KW"/>
        </w:rPr>
        <w:t>:</w:t>
      </w:r>
      <w:r w:rsidRPr="005675B2">
        <w:rPr>
          <w:rFonts w:hint="cs"/>
          <w:rtl/>
          <w:lang w:bidi="ar-KW"/>
        </w:rPr>
        <w:t xml:space="preserve"> </w:t>
      </w:r>
      <w:r w:rsidRPr="005675B2">
        <w:rPr>
          <w:rtl/>
          <w:lang w:bidi="ar-KW"/>
        </w:rPr>
        <w:t xml:space="preserve">من ذلك ما جاء في كتاب " الاعتقاد " للحافظ البيهقي </w:t>
      </w:r>
      <w:r w:rsidR="000636C2">
        <w:rPr>
          <w:rtl/>
          <w:lang w:bidi="ar-KW"/>
        </w:rPr>
        <w:t>(</w:t>
      </w:r>
      <w:r w:rsidRPr="005675B2">
        <w:rPr>
          <w:rtl/>
          <w:lang w:bidi="ar-KW"/>
        </w:rPr>
        <w:t>ص / 93</w:t>
      </w:r>
      <w:r w:rsidR="000636C2">
        <w:rPr>
          <w:rtl/>
          <w:lang w:bidi="ar-KW"/>
        </w:rPr>
        <w:t>):</w:t>
      </w:r>
      <w:r w:rsidRPr="005675B2">
        <w:rPr>
          <w:rFonts w:hint="cs"/>
          <w:rtl/>
          <w:lang w:bidi="ar-KW"/>
        </w:rPr>
        <w:t xml:space="preserve"> </w:t>
      </w:r>
      <w:r w:rsidRPr="005675B2">
        <w:rPr>
          <w:rtl/>
          <w:lang w:bidi="ar-KW"/>
        </w:rPr>
        <w:t>قال الحافظ البيهقي</w:t>
      </w:r>
      <w:r w:rsidR="000636C2">
        <w:rPr>
          <w:rtl/>
          <w:lang w:bidi="ar-KW"/>
        </w:rPr>
        <w:t>:</w:t>
      </w:r>
      <w:r w:rsidRPr="005675B2">
        <w:rPr>
          <w:rtl/>
          <w:lang w:bidi="ar-KW"/>
        </w:rPr>
        <w:t xml:space="preserve"> قال الأوزاعي</w:t>
      </w:r>
      <w:r w:rsidR="000636C2">
        <w:rPr>
          <w:rtl/>
          <w:lang w:bidi="ar-KW"/>
        </w:rPr>
        <w:t>:</w:t>
      </w:r>
      <w:r w:rsidRPr="005675B2">
        <w:rPr>
          <w:rtl/>
          <w:lang w:bidi="ar-KW"/>
        </w:rPr>
        <w:t xml:space="preserve"> </w:t>
      </w:r>
      <w:r w:rsidR="000636C2">
        <w:rPr>
          <w:rtl/>
          <w:lang w:bidi="ar-KW"/>
        </w:rPr>
        <w:t>(</w:t>
      </w:r>
      <w:r w:rsidRPr="005675B2">
        <w:rPr>
          <w:rtl/>
          <w:lang w:bidi="ar-KW"/>
        </w:rPr>
        <w:t>كل ما وصف الله تعالى به نفسه في كتابه فتفسيره تلاوته والسكوت عليه</w:t>
      </w:r>
      <w:r w:rsidR="000636C2">
        <w:rPr>
          <w:rtl/>
          <w:lang w:bidi="ar-KW"/>
        </w:rPr>
        <w:t xml:space="preserve">)، </w:t>
      </w:r>
      <w:r w:rsidRPr="005675B2">
        <w:rPr>
          <w:rtl/>
          <w:lang w:bidi="ar-KW"/>
        </w:rPr>
        <w:t xml:space="preserve">قال البيهقي </w:t>
      </w:r>
      <w:r w:rsidR="000636C2">
        <w:rPr>
          <w:rtl/>
          <w:lang w:bidi="ar-KW"/>
        </w:rPr>
        <w:t>(</w:t>
      </w:r>
      <w:r w:rsidRPr="005675B2">
        <w:rPr>
          <w:bCs/>
          <w:rtl/>
          <w:lang w:bidi="ar-KW"/>
        </w:rPr>
        <w:t>وإنما أراد - والله أعلم - فيما تفسيره يؤدي إلى تكييف، وتكييفه يقتضي تشبيهه له بخلقه في أوصاف الحدوث</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000636C2">
        <w:rPr>
          <w:bCs/>
          <w:rtl/>
          <w:lang w:bidi="ar-KW"/>
        </w:rPr>
        <w:t xml:space="preserve"> </w:t>
      </w:r>
      <w:r w:rsidR="00FB1249">
        <w:rPr>
          <w:rtl/>
        </w:rPr>
        <w:pict w14:anchorId="4C830A26">
          <v:line id="_x0000_s1026" style="position:absolute;left:0;text-align:left;z-index:251658240;mso-position-horizontal-relative:text;mso-position-vertical-relative:text" from="3in,11.8pt" to="3in,11.8pt">
            <w10:wrap anchorx="page"/>
          </v:line>
        </w:pict>
      </w:r>
      <w:r w:rsidRPr="005675B2">
        <w:rPr>
          <w:rtl/>
          <w:lang w:bidi="ar-KW"/>
        </w:rPr>
        <w:t>نقول</w:t>
      </w:r>
      <w:r w:rsidR="000636C2">
        <w:rPr>
          <w:rtl/>
          <w:lang w:bidi="ar-KW"/>
        </w:rPr>
        <w:t>:</w:t>
      </w:r>
      <w:r w:rsidRPr="005675B2">
        <w:rPr>
          <w:rtl/>
          <w:lang w:bidi="ar-KW"/>
        </w:rPr>
        <w:t xml:space="preserve"> إن كل ما جاء من نصوص المتشابه في الصفات من هذا القبيل، لأن ظاهره ومعناه الحقيقي يؤدي إلى التكييف المقتضي للتشبيه لا محالة، فلا فرق بين إثبات المعنى الحقيقي لهذه الألفاظ وبين التكييف المستحيل في حق الله تعالى، وهذا بعينه ما أشار إليه الإمام مالك رضي الله عنه في القول المشهور عنه في الاستواء </w:t>
      </w:r>
      <w:r w:rsidR="000636C2">
        <w:rPr>
          <w:rtl/>
          <w:lang w:bidi="ar-KW"/>
        </w:rPr>
        <w:t>(</w:t>
      </w:r>
      <w:r w:rsidRPr="005675B2">
        <w:rPr>
          <w:rtl/>
          <w:lang w:bidi="ar-KW"/>
        </w:rPr>
        <w:t>الاستواء غير مجهول، والكيف غير معقول ..</w:t>
      </w:r>
      <w:r w:rsidR="000636C2">
        <w:rPr>
          <w:rtl/>
          <w:lang w:bidi="ar-KW"/>
        </w:rPr>
        <w:t>)</w:t>
      </w:r>
      <w:r w:rsidRPr="005675B2">
        <w:rPr>
          <w:rtl/>
          <w:lang w:bidi="ar-KW"/>
        </w:rPr>
        <w:t xml:space="preserve"> أي لا يعقل، ولا يجوز على الله تعالى، لأن التكييف تحديد، والله تعالى منزه عن الحدود</w:t>
      </w:r>
      <w:r w:rsidR="000636C2">
        <w:rPr>
          <w:rtl/>
          <w:lang w:bidi="ar-KW"/>
        </w:rPr>
        <w:t xml:space="preserve">، </w:t>
      </w:r>
      <w:r w:rsidRPr="005675B2">
        <w:rPr>
          <w:rtl/>
          <w:lang w:bidi="ar-KW"/>
        </w:rPr>
        <w:t xml:space="preserve">ونقل الإمام النووي عن القاضي عياض مؤيداً له ما نصه </w:t>
      </w:r>
      <w:r w:rsidR="000636C2">
        <w:rPr>
          <w:rtl/>
          <w:lang w:bidi="ar-KW"/>
        </w:rPr>
        <w:t>(</w:t>
      </w:r>
      <w:r w:rsidRPr="005675B2">
        <w:rPr>
          <w:rtl/>
          <w:lang w:bidi="ar-KW"/>
        </w:rPr>
        <w:t>شرح مسلم 5 / 24</w:t>
      </w:r>
      <w:r w:rsidR="000636C2">
        <w:rPr>
          <w:rtl/>
          <w:lang w:bidi="ar-KW"/>
        </w:rPr>
        <w:t>):</w:t>
      </w:r>
      <w:r w:rsidRPr="005675B2">
        <w:rPr>
          <w:rFonts w:hint="cs"/>
          <w:rtl/>
          <w:lang w:bidi="ar-KW"/>
        </w:rPr>
        <w:t xml:space="preserve"> </w:t>
      </w:r>
      <w:r w:rsidR="000636C2">
        <w:rPr>
          <w:bCs/>
          <w:rtl/>
          <w:lang w:bidi="ar-KW"/>
        </w:rPr>
        <w:t>(</w:t>
      </w:r>
      <w:r w:rsidRPr="005675B2">
        <w:rPr>
          <w:bCs/>
          <w:rtl/>
          <w:lang w:bidi="ar-KW"/>
        </w:rPr>
        <w:t>لا خلاف بين المسلمين قاطبة فقيههم ومحدثهم ومتكلمهم ونظارهم ومقلدهم أن الظواهر الواردة بذكر الله تعالى في السماء .. ليست على ظاهرها بل متأولة عند جميعهم .. وهل بين التكييف وإثبات الجهات فرق</w:t>
      </w:r>
      <w:r w:rsidR="000636C2">
        <w:rPr>
          <w:bCs/>
          <w:rtl/>
          <w:lang w:bidi="ar-KW"/>
        </w:rPr>
        <w:t>؟!</w:t>
      </w:r>
      <w:r w:rsidRPr="005675B2">
        <w:rPr>
          <w:bCs/>
          <w:rtl/>
          <w:lang w:bidi="ar-KW"/>
        </w:rPr>
        <w:t>! لكن إطلاق ما أطلقه الشرع من أنه القاهر فوق عباده وأنه استوى على العرش مع التمسك بالآية الجامعة للتنزيه الكلي الذي لا يصح في المعقول غيره وهو قوله تعالى " ليس كمثله شيء " عصمة لمن وفقه الله تعالى</w:t>
      </w:r>
      <w:r w:rsidR="000636C2">
        <w:rPr>
          <w:bCs/>
          <w:rtl/>
          <w:lang w:bidi="ar-KW"/>
        </w:rPr>
        <w:t>)</w:t>
      </w:r>
      <w:r w:rsidRPr="005675B2">
        <w:rPr>
          <w:bCs/>
          <w:rtl/>
          <w:lang w:bidi="ar-KW"/>
        </w:rPr>
        <w:t xml:space="preserve"> </w:t>
      </w:r>
      <w:r w:rsidRPr="005675B2">
        <w:rPr>
          <w:rtl/>
          <w:lang w:bidi="ar-KW"/>
        </w:rPr>
        <w:t>اهـ</w:t>
      </w:r>
      <w:r w:rsidR="000636C2">
        <w:rPr>
          <w:rtl/>
          <w:lang w:bidi="ar-KW"/>
        </w:rPr>
        <w:t>،</w:t>
      </w:r>
      <w:r w:rsidR="000636C2">
        <w:rPr>
          <w:bCs/>
          <w:rtl/>
          <w:lang w:bidi="ar-KW"/>
        </w:rPr>
        <w:t xml:space="preserve"> </w:t>
      </w:r>
      <w:r w:rsidRPr="005675B2">
        <w:rPr>
          <w:rtl/>
          <w:lang w:bidi="ar-KW"/>
        </w:rPr>
        <w:t>ونحن نتساءل بعجب مع القاضي عياض والإمام النووي وباقي أئمة الدين وأعلام المسلمين ونقول</w:t>
      </w:r>
      <w:r w:rsidR="000636C2">
        <w:rPr>
          <w:rtl/>
          <w:lang w:bidi="ar-KW"/>
        </w:rPr>
        <w:t>:</w:t>
      </w:r>
      <w:r w:rsidRPr="005675B2">
        <w:rPr>
          <w:rtl/>
          <w:lang w:bidi="ar-KW"/>
        </w:rPr>
        <w:t xml:space="preserve"> </w:t>
      </w:r>
      <w:r w:rsidRPr="005675B2">
        <w:rPr>
          <w:bCs/>
          <w:rtl/>
          <w:lang w:bidi="ar-KW"/>
        </w:rPr>
        <w:t>وهل بين التكييف والقول بظواهر هذه النصوص فرق</w:t>
      </w:r>
      <w:r w:rsidR="000636C2">
        <w:rPr>
          <w:bCs/>
          <w:rtl/>
          <w:lang w:bidi="ar-KW"/>
        </w:rPr>
        <w:t>؟!</w:t>
      </w:r>
      <w:r w:rsidRPr="005675B2">
        <w:rPr>
          <w:bCs/>
          <w:rtl/>
          <w:lang w:bidi="ar-KW"/>
        </w:rPr>
        <w:t>!</w:t>
      </w:r>
      <w:r w:rsidRPr="005675B2">
        <w:rPr>
          <w:rFonts w:hint="cs"/>
          <w:bCs/>
          <w:rtl/>
          <w:lang w:bidi="ar-KW"/>
        </w:rPr>
        <w:t xml:space="preserve"> </w:t>
      </w:r>
      <w:r w:rsidRPr="005675B2">
        <w:rPr>
          <w:spacing w:val="-4"/>
          <w:rtl/>
          <w:lang w:bidi="ar-KW"/>
        </w:rPr>
        <w:t>وما هذا إلا للزوم التكييف لهذه الظواهر لزوماً غير قابل للانفكاك</w:t>
      </w:r>
      <w:r w:rsidR="000636C2">
        <w:rPr>
          <w:spacing w:val="-4"/>
          <w:rtl/>
          <w:lang w:bidi="ar-KW"/>
        </w:rPr>
        <w:t xml:space="preserve">، </w:t>
      </w:r>
      <w:r w:rsidRPr="005675B2">
        <w:rPr>
          <w:rtl/>
          <w:lang w:bidi="ar-KW"/>
        </w:rPr>
        <w:t xml:space="preserve">وقول الإمام أحمد المارّ قريباً </w:t>
      </w:r>
      <w:r w:rsidR="000636C2">
        <w:rPr>
          <w:rtl/>
          <w:lang w:bidi="ar-KW"/>
        </w:rPr>
        <w:t>(</w:t>
      </w:r>
      <w:r w:rsidRPr="005675B2">
        <w:rPr>
          <w:rtl/>
          <w:lang w:bidi="ar-KW"/>
        </w:rPr>
        <w:t>نؤمن بها ونصدق ولا كيف ولا معنى</w:t>
      </w:r>
      <w:r w:rsidR="000636C2">
        <w:rPr>
          <w:rtl/>
          <w:lang w:bidi="ar-KW"/>
        </w:rPr>
        <w:t>)</w:t>
      </w:r>
      <w:r w:rsidRPr="005675B2">
        <w:rPr>
          <w:rtl/>
          <w:lang w:bidi="ar-KW"/>
        </w:rPr>
        <w:t xml:space="preserve"> صريح في كونهم رضي الله عنهم يفوضون المعنى، ولا يحتمل التفسير بغير ذلك</w:t>
      </w:r>
      <w:r w:rsidR="000636C2">
        <w:rPr>
          <w:rtl/>
          <w:lang w:bidi="ar-KW"/>
        </w:rPr>
        <w:t xml:space="preserve">، </w:t>
      </w:r>
      <w:r w:rsidRPr="005675B2">
        <w:rPr>
          <w:rtl/>
          <w:lang w:bidi="ar-KW"/>
        </w:rPr>
        <w:t xml:space="preserve">وقال الإمام الخطابي معلقاً على حديث أطيط العرش ما نصه </w:t>
      </w:r>
      <w:r w:rsidR="000636C2">
        <w:rPr>
          <w:rtl/>
          <w:lang w:bidi="ar-KW"/>
        </w:rPr>
        <w:t>(</w:t>
      </w:r>
      <w:r w:rsidRPr="005675B2">
        <w:rPr>
          <w:rtl/>
          <w:lang w:bidi="ar-KW"/>
        </w:rPr>
        <w:t>معالم السنن 4 / 328</w:t>
      </w:r>
      <w:r w:rsidR="000636C2">
        <w:rPr>
          <w:rtl/>
          <w:lang w:bidi="ar-KW"/>
        </w:rPr>
        <w:t>):</w:t>
      </w:r>
      <w:r w:rsidRPr="005675B2">
        <w:rPr>
          <w:rFonts w:hint="cs"/>
          <w:rtl/>
          <w:lang w:bidi="ar-KW"/>
        </w:rPr>
        <w:t xml:space="preserve"> </w:t>
      </w:r>
      <w:r w:rsidR="000636C2">
        <w:rPr>
          <w:bCs/>
          <w:rtl/>
          <w:lang w:bidi="ar-KW"/>
        </w:rPr>
        <w:t>(</w:t>
      </w:r>
      <w:r w:rsidRPr="005675B2">
        <w:rPr>
          <w:bCs/>
          <w:rtl/>
          <w:lang w:bidi="ar-KW"/>
        </w:rPr>
        <w:t>هذا الكـلام إذا جرى على ظاهره كان فيه نوع من الكيفية، والكيفية عن الله وصفاته منفية ..</w:t>
      </w:r>
      <w:r w:rsidR="000636C2">
        <w:rPr>
          <w:bCs/>
          <w:rtl/>
          <w:lang w:bidi="ar-KW"/>
        </w:rPr>
        <w:t>)</w:t>
      </w:r>
      <w:r w:rsidRPr="005675B2">
        <w:rPr>
          <w:rtl/>
          <w:lang w:bidi="ar-KW"/>
        </w:rPr>
        <w:t xml:space="preserve"> ثم أخذ بتأويل الحديث على ما يليق، وقد مر معنا قريباً</w:t>
      </w:r>
      <w:r w:rsidR="000636C2">
        <w:rPr>
          <w:rtl/>
          <w:lang w:bidi="ar-KW"/>
        </w:rPr>
        <w:t xml:space="preserve">، </w:t>
      </w:r>
      <w:r w:rsidRPr="005675B2">
        <w:rPr>
          <w:rtl/>
          <w:lang w:bidi="ar-KW"/>
        </w:rPr>
        <w:t xml:space="preserve">وقال الحافظ ابن عبد البر - رحمه الله تعالى - </w:t>
      </w:r>
      <w:r w:rsidR="000636C2">
        <w:rPr>
          <w:rtl/>
          <w:lang w:bidi="ar-KW"/>
        </w:rPr>
        <w:t>(</w:t>
      </w:r>
      <w:r w:rsidRPr="005675B2">
        <w:rPr>
          <w:rtl/>
          <w:lang w:bidi="ar-KW"/>
        </w:rPr>
        <w:t>التمهيد 7 / 144</w:t>
      </w:r>
      <w:r w:rsidR="000636C2">
        <w:rPr>
          <w:rtl/>
          <w:lang w:bidi="ar-KW"/>
        </w:rPr>
        <w:t>)</w:t>
      </w:r>
      <w:r w:rsidRPr="005675B2">
        <w:rPr>
          <w:rtl/>
          <w:lang w:bidi="ar-KW"/>
        </w:rPr>
        <w:t xml:space="preserve"> أثناء كلامه على حديث النزول بعد أن نقل قول القائلين</w:t>
      </w:r>
      <w:r w:rsidR="000636C2">
        <w:rPr>
          <w:rtl/>
          <w:lang w:bidi="ar-KW"/>
        </w:rPr>
        <w:t>:</w:t>
      </w:r>
      <w:r w:rsidRPr="005675B2">
        <w:rPr>
          <w:rtl/>
          <w:lang w:bidi="ar-KW"/>
        </w:rPr>
        <w:t xml:space="preserve"> ينزل تعالى بذاته</w:t>
      </w:r>
      <w:r w:rsidR="000636C2">
        <w:rPr>
          <w:rtl/>
          <w:lang w:bidi="ar-KW"/>
        </w:rPr>
        <w:t>،</w:t>
      </w:r>
      <w:r w:rsidRPr="005675B2">
        <w:rPr>
          <w:rtl/>
          <w:lang w:bidi="ar-KW"/>
        </w:rPr>
        <w:t xml:space="preserve"> قال</w:t>
      </w:r>
      <w:r w:rsidR="000636C2">
        <w:rPr>
          <w:rtl/>
          <w:lang w:bidi="ar-KW"/>
        </w:rPr>
        <w:t>:</w:t>
      </w:r>
      <w:r w:rsidRPr="005675B2">
        <w:rPr>
          <w:rtl/>
          <w:lang w:bidi="ar-KW"/>
        </w:rPr>
        <w:t xml:space="preserve"> </w:t>
      </w:r>
      <w:r w:rsidR="000636C2">
        <w:rPr>
          <w:rtl/>
          <w:lang w:bidi="ar-KW"/>
        </w:rPr>
        <w:t>(</w:t>
      </w:r>
      <w:r w:rsidRPr="005675B2">
        <w:rPr>
          <w:rtl/>
          <w:lang w:bidi="ar-KW"/>
        </w:rPr>
        <w:t>ليس هذا بشيء عند أهل الفهم من أهل السنة،</w:t>
      </w:r>
      <w:r w:rsidRPr="005675B2">
        <w:rPr>
          <w:bCs/>
          <w:rtl/>
          <w:lang w:bidi="ar-KW"/>
        </w:rPr>
        <w:t xml:space="preserve"> لأن هذا كيفية وهم يفزعون منها لأنها لا تصلح إلا فيما يحاط به عياناً، وقد جل الله وتعالى عن ذلك</w:t>
      </w:r>
      <w:r w:rsidR="000636C2">
        <w:rPr>
          <w:bCs/>
          <w:rtl/>
          <w:lang w:bidi="ar-KW"/>
        </w:rPr>
        <w:t>)</w:t>
      </w:r>
      <w:r w:rsidRPr="005675B2">
        <w:rPr>
          <w:bCs/>
          <w:rtl/>
          <w:lang w:bidi="ar-KW"/>
        </w:rPr>
        <w:t xml:space="preserve"> اهـ</w:t>
      </w:r>
      <w:r w:rsidR="000636C2">
        <w:rPr>
          <w:bCs/>
          <w:rtl/>
          <w:lang w:bidi="ar-KW"/>
        </w:rPr>
        <w:t>،</w:t>
      </w:r>
      <w:r w:rsidR="000636C2">
        <w:rPr>
          <w:rtl/>
          <w:lang w:bidi="ar-KW"/>
        </w:rPr>
        <w:t xml:space="preserve"> </w:t>
      </w:r>
      <w:r w:rsidRPr="005675B2">
        <w:rPr>
          <w:rtl/>
          <w:lang w:bidi="ar-KW"/>
        </w:rPr>
        <w:t xml:space="preserve">وقال الحافظ ابن كثير مفوضاً وذامّاً الذين يحملون المتشابه على ظاهره وذلك في تفسيره لقوله تعالى في سورة الأعراف </w:t>
      </w:r>
      <w:r w:rsidR="000636C2">
        <w:rPr>
          <w:bCs/>
          <w:rtl/>
          <w:lang w:bidi="ar-KW"/>
        </w:rPr>
        <w:t>(</w:t>
      </w:r>
      <w:r w:rsidRPr="005675B2">
        <w:rPr>
          <w:bCs/>
          <w:rtl/>
          <w:lang w:bidi="ar-KW"/>
        </w:rPr>
        <w:t>ثم استوى على العرش</w:t>
      </w:r>
      <w:r w:rsidR="000636C2">
        <w:rPr>
          <w:bCs/>
          <w:rtl/>
          <w:lang w:bidi="ar-KW"/>
        </w:rPr>
        <w:t>)</w:t>
      </w:r>
      <w:r w:rsidRPr="005675B2">
        <w:rPr>
          <w:rtl/>
          <w:lang w:bidi="ar-KW"/>
        </w:rPr>
        <w:t xml:space="preserve"> </w:t>
      </w:r>
      <w:r w:rsidR="000636C2">
        <w:rPr>
          <w:rtl/>
          <w:lang w:bidi="ar-KW"/>
        </w:rPr>
        <w:t>(</w:t>
      </w:r>
      <w:r w:rsidRPr="005675B2">
        <w:rPr>
          <w:rtl/>
          <w:lang w:bidi="ar-KW"/>
        </w:rPr>
        <w:t>2 / 220</w:t>
      </w:r>
      <w:r w:rsidR="000636C2">
        <w:rPr>
          <w:rtl/>
          <w:lang w:bidi="ar-KW"/>
        </w:rPr>
        <w:t>)</w:t>
      </w:r>
      <w:r w:rsidRPr="005675B2">
        <w:rPr>
          <w:rtl/>
          <w:lang w:bidi="ar-KW"/>
        </w:rPr>
        <w:t xml:space="preserve"> ما نصه</w:t>
      </w:r>
      <w:r w:rsidR="000636C2">
        <w:rPr>
          <w:rtl/>
          <w:lang w:bidi="ar-KW"/>
        </w:rPr>
        <w:t>:</w:t>
      </w:r>
      <w:r w:rsidRPr="005675B2">
        <w:rPr>
          <w:rFonts w:hint="cs"/>
          <w:rtl/>
          <w:lang w:bidi="ar-KW"/>
        </w:rPr>
        <w:t xml:space="preserve"> </w:t>
      </w:r>
      <w:r w:rsidR="000636C2">
        <w:rPr>
          <w:rtl/>
          <w:lang w:bidi="ar-KW"/>
        </w:rPr>
        <w:t>(</w:t>
      </w:r>
      <w:r w:rsidRPr="005675B2">
        <w:rPr>
          <w:rtl/>
          <w:lang w:bidi="ar-KW"/>
        </w:rPr>
        <w:t xml:space="preserve">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Pr="005675B2">
        <w:rPr>
          <w:bCs/>
          <w:rtl/>
          <w:lang w:bidi="ar-KW"/>
        </w:rPr>
        <w:t>والظاهر المتبادر إلى أذهان المشبهين منفي عن الله فإن الله لا يشبهه شيء من خلقه</w:t>
      </w:r>
      <w:r w:rsidR="000636C2">
        <w:rPr>
          <w:bCs/>
          <w:rtl/>
          <w:lang w:bidi="ar-KW"/>
        </w:rPr>
        <w:t>)</w:t>
      </w:r>
      <w:r w:rsidRPr="005675B2">
        <w:rPr>
          <w:bCs/>
          <w:rtl/>
          <w:lang w:bidi="ar-KW"/>
        </w:rPr>
        <w:t xml:space="preserve"> اهـ</w:t>
      </w:r>
      <w:r w:rsidR="000636C2">
        <w:rPr>
          <w:bCs/>
          <w:rtl/>
          <w:lang w:bidi="ar-KW"/>
        </w:rPr>
        <w:t>،</w:t>
      </w:r>
      <w:r w:rsidR="000636C2">
        <w:rPr>
          <w:rtl/>
          <w:lang w:bidi="ar-KW"/>
        </w:rPr>
        <w:t xml:space="preserve"> </w:t>
      </w:r>
      <w:r w:rsidRPr="005675B2">
        <w:rPr>
          <w:rtl/>
          <w:lang w:bidi="ar-KW"/>
        </w:rPr>
        <w:t xml:space="preserve">وقال الشيخ سلامة العزامي القضاعي - رحمه الله تعالى - </w:t>
      </w:r>
      <w:r w:rsidR="000636C2">
        <w:rPr>
          <w:rtl/>
          <w:lang w:bidi="ar-KW"/>
        </w:rPr>
        <w:t>(</w:t>
      </w:r>
      <w:r w:rsidRPr="005675B2">
        <w:rPr>
          <w:rtl/>
          <w:lang w:bidi="ar-KW"/>
        </w:rPr>
        <w:t>الفرقان في ذيل الأسماء والصفات للبيهقي ص / 78</w:t>
      </w:r>
      <w:r w:rsidR="000636C2">
        <w:rPr>
          <w:rtl/>
          <w:lang w:bidi="ar-KW"/>
        </w:rPr>
        <w:t>):</w:t>
      </w:r>
      <w:r w:rsidRPr="005675B2">
        <w:rPr>
          <w:rFonts w:hint="cs"/>
          <w:rtl/>
          <w:lang w:bidi="ar-KW"/>
        </w:rPr>
        <w:t xml:space="preserve"> </w:t>
      </w:r>
      <w:r w:rsidR="000636C2">
        <w:rPr>
          <w:rtl/>
          <w:lang w:bidi="ar-KW"/>
        </w:rPr>
        <w:t>(</w:t>
      </w:r>
      <w:r w:rsidRPr="005675B2">
        <w:rPr>
          <w:rtl/>
          <w:lang w:bidi="ar-KW"/>
        </w:rPr>
        <w:t>ومجمل القول في هذا الباب أن صفات المحدثات على قسمين</w:t>
      </w:r>
      <w:r w:rsidR="000636C2">
        <w:rPr>
          <w:rtl/>
          <w:lang w:bidi="ar-KW"/>
        </w:rPr>
        <w:t>:</w:t>
      </w:r>
      <w:r w:rsidRPr="005675B2">
        <w:rPr>
          <w:rFonts w:hint="cs"/>
          <w:rtl/>
          <w:lang w:bidi="ar-KW"/>
        </w:rPr>
        <w:t xml:space="preserve"> </w:t>
      </w:r>
      <w:r w:rsidRPr="005675B2">
        <w:rPr>
          <w:bCs/>
          <w:rtl/>
          <w:lang w:bidi="ar-KW"/>
        </w:rPr>
        <w:t>القسم الأول</w:t>
      </w:r>
      <w:r w:rsidR="000636C2">
        <w:rPr>
          <w:bCs/>
          <w:rtl/>
          <w:lang w:bidi="ar-KW"/>
        </w:rPr>
        <w:t>:</w:t>
      </w:r>
      <w:r w:rsidRPr="005675B2">
        <w:rPr>
          <w:rFonts w:hint="cs"/>
          <w:bCs/>
          <w:rtl/>
          <w:lang w:bidi="ar-KW"/>
        </w:rPr>
        <w:t xml:space="preserve"> </w:t>
      </w:r>
      <w:r w:rsidRPr="005675B2">
        <w:rPr>
          <w:rtl/>
          <w:lang w:bidi="ar-KW"/>
        </w:rPr>
        <w:t>ما يدل على الحدوث والإمكان والافتقار والاحتياج من حيث ذاته وماهيته أو ملزوماته أو لوازمه المساوية، كالكون في الجهة والمكان، وكالصغر والكبر والجسمية وقبول الانقسام، فهذا مختص بالكائنات لا يجوز أن يتصف الخالق منه بشيء ثم منه ما يكون القول به في الله كفراً إجماعا ً، ككونه - تعالى - والداً أو مولوداً أو ذا صاحبة أو له شريك، ونحو ذلك من كل ما النقص فيه جلي، ومنه ما اختلف فيه على أقوال ليس هذا محل بسطها، أرجحها أن ذلك ضلال وبدعة وفسق شنيع، أشد من فسق الجوارح بكثير، وقد يعذر العامي في الجهل ببعض ذلك، وأما من ارتفعت درجته عن العامية فلا يعذر وإنما يعزر، فإن كان داعية إلى رأيه كان الذنب أعظم والأمر أخطر – عياذاً بالله من ذلك</w:t>
      </w:r>
      <w:r w:rsidR="000636C2">
        <w:rPr>
          <w:rtl/>
          <w:lang w:bidi="ar-KW"/>
        </w:rPr>
        <w:t>،</w:t>
      </w:r>
      <w:r w:rsidRPr="005675B2">
        <w:rPr>
          <w:rtl/>
          <w:lang w:bidi="ar-KW"/>
        </w:rPr>
        <w:t xml:space="preserve"> </w:t>
      </w:r>
      <w:r w:rsidRPr="005675B2">
        <w:rPr>
          <w:bCs/>
          <w:rtl/>
          <w:lang w:bidi="ar-KW"/>
        </w:rPr>
        <w:t>القسم الثانى</w:t>
      </w:r>
      <w:r w:rsidR="000636C2">
        <w:rPr>
          <w:bCs/>
          <w:rtl/>
          <w:lang w:bidi="ar-KW"/>
        </w:rPr>
        <w:t>:</w:t>
      </w:r>
      <w:r w:rsidRPr="005675B2">
        <w:rPr>
          <w:rFonts w:hint="cs"/>
          <w:bCs/>
          <w:rtl/>
          <w:lang w:bidi="ar-KW"/>
        </w:rPr>
        <w:t xml:space="preserve"> </w:t>
      </w:r>
      <w:r w:rsidRPr="005675B2">
        <w:rPr>
          <w:rtl/>
          <w:lang w:bidi="ar-KW"/>
        </w:rPr>
        <w:t>ما لا يدل على مـا سبق من حيث ذاته بل من حيث نقصه عن الدرجة العليا في كماله، كالوجود والحياة والعلم والإرادة والقدرة وأشباهها من كل صفة هي من حيث ذاتها كمال، فهذا القسم هو للحق تعالى بالأصالة على أكمل درجاته وأبعدها عن شوب النقص، وأرفعها عن الإمكان ولوازمه، واجب بوجوب موصوفه تبارك وتعالى، قديم بقدمه باق ببقائه، أما ما للخلق منه فهو له بالعرض حادثٌ فيه بإحداث الحق ممكنٌ غيرُ واجب، على درجة نازلة لائقة بحال الممكن، بحيث لا نسبة بين ما اتصف به الحق جل وعز وما اتصف به الممكن - أي المخلوق - وأين وجودٌ ممكنٌ حادثٌ قابلٌ للزوال غيرُ مملـوكٍ للمتصفِ به حين اتصافه به، من الوجودِ الواجبِ الأزليِّ الأبدي الذي يجل عن الابتداء والانتهاء، ويرتفع عن قبول الفناء</w:t>
      </w:r>
      <w:r w:rsidR="000636C2">
        <w:rPr>
          <w:rtl/>
          <w:lang w:bidi="ar-KW"/>
        </w:rPr>
        <w:t>؟!</w:t>
      </w:r>
      <w:r w:rsidR="000636C2">
        <w:rPr>
          <w:rFonts w:hint="cs"/>
          <w:rtl/>
          <w:lang w:bidi="ar-KW"/>
        </w:rPr>
        <w:t xml:space="preserve"> </w:t>
      </w:r>
      <w:r w:rsidRPr="005675B2">
        <w:rPr>
          <w:spacing w:val="6"/>
          <w:rtl/>
          <w:lang w:bidi="ar-KW"/>
        </w:rPr>
        <w:t xml:space="preserve">.. وبهذا يبين لك معنى قوله تعالى في صفة ذاته العلية وكمالاته المقدسة </w:t>
      </w:r>
      <w:r w:rsidR="000636C2">
        <w:rPr>
          <w:bCs/>
          <w:spacing w:val="6"/>
          <w:rtl/>
          <w:lang w:bidi="ar-KW"/>
        </w:rPr>
        <w:t>(</w:t>
      </w:r>
      <w:r w:rsidRPr="005675B2">
        <w:rPr>
          <w:bCs/>
          <w:spacing w:val="6"/>
          <w:rtl/>
          <w:lang w:bidi="ar-KW"/>
        </w:rPr>
        <w:t>ليس كمثله شئ</w:t>
      </w:r>
      <w:r w:rsidR="000636C2">
        <w:rPr>
          <w:bCs/>
          <w:spacing w:val="6"/>
          <w:rtl/>
          <w:lang w:bidi="ar-KW"/>
        </w:rPr>
        <w:t>) (</w:t>
      </w:r>
      <w:r w:rsidRPr="005675B2">
        <w:rPr>
          <w:bCs/>
          <w:spacing w:val="6"/>
          <w:rtl/>
          <w:lang w:bidi="ar-KW"/>
        </w:rPr>
        <w:t>هو الحي</w:t>
      </w:r>
      <w:r w:rsidR="000636C2">
        <w:rPr>
          <w:bCs/>
          <w:spacing w:val="6"/>
          <w:rtl/>
          <w:lang w:bidi="ar-KW"/>
        </w:rPr>
        <w:t>)</w:t>
      </w:r>
      <w:r w:rsidRPr="005675B2">
        <w:rPr>
          <w:bCs/>
          <w:spacing w:val="6"/>
          <w:rtl/>
          <w:lang w:bidi="ar-KW"/>
        </w:rPr>
        <w:t xml:space="preserve"> </w:t>
      </w:r>
      <w:r w:rsidR="000636C2">
        <w:rPr>
          <w:bCs/>
          <w:spacing w:val="6"/>
          <w:rtl/>
          <w:lang w:bidi="ar-KW"/>
        </w:rPr>
        <w:t>(</w:t>
      </w:r>
      <w:r w:rsidRPr="005675B2">
        <w:rPr>
          <w:bCs/>
          <w:spacing w:val="6"/>
          <w:rtl/>
          <w:lang w:bidi="ar-KW"/>
        </w:rPr>
        <w:t>وهو اللطيف الخبير</w:t>
      </w:r>
      <w:r w:rsidR="000636C2">
        <w:rPr>
          <w:bCs/>
          <w:spacing w:val="6"/>
          <w:rtl/>
          <w:lang w:bidi="ar-KW"/>
        </w:rPr>
        <w:t>)</w:t>
      </w:r>
      <w:r w:rsidRPr="005675B2">
        <w:rPr>
          <w:bCs/>
          <w:spacing w:val="6"/>
          <w:rtl/>
          <w:lang w:bidi="ar-KW"/>
        </w:rPr>
        <w:t xml:space="preserve"> </w:t>
      </w:r>
      <w:r w:rsidR="000636C2">
        <w:rPr>
          <w:bCs/>
          <w:spacing w:val="6"/>
          <w:rtl/>
          <w:lang w:bidi="ar-KW"/>
        </w:rPr>
        <w:t>(</w:t>
      </w:r>
      <w:r w:rsidRPr="005675B2">
        <w:rPr>
          <w:bCs/>
          <w:spacing w:val="6"/>
          <w:rtl/>
          <w:lang w:bidi="ar-KW"/>
        </w:rPr>
        <w:t>وهو العليم القدير</w:t>
      </w:r>
      <w:r w:rsidR="000636C2">
        <w:rPr>
          <w:bCs/>
          <w:spacing w:val="6"/>
          <w:rtl/>
          <w:lang w:bidi="ar-KW"/>
        </w:rPr>
        <w:t>)</w:t>
      </w:r>
      <w:r w:rsidRPr="005675B2">
        <w:rPr>
          <w:bCs/>
          <w:spacing w:val="6"/>
          <w:rtl/>
          <w:lang w:bidi="ar-KW"/>
        </w:rPr>
        <w:t xml:space="preserve"> </w:t>
      </w:r>
      <w:r w:rsidR="000636C2">
        <w:rPr>
          <w:bCs/>
          <w:spacing w:val="6"/>
          <w:rtl/>
          <w:lang w:bidi="ar-KW"/>
        </w:rPr>
        <w:t>(</w:t>
      </w:r>
      <w:r w:rsidRPr="005675B2">
        <w:rPr>
          <w:bCs/>
          <w:spacing w:val="6"/>
          <w:rtl/>
          <w:lang w:bidi="ar-KW"/>
        </w:rPr>
        <w:t>لا يعلم من في السموات والأرض الغيب إلا الله</w:t>
      </w:r>
      <w:r w:rsidR="000636C2">
        <w:rPr>
          <w:bCs/>
          <w:spacing w:val="6"/>
          <w:rtl/>
          <w:lang w:bidi="ar-KW"/>
        </w:rPr>
        <w:t>)</w:t>
      </w:r>
      <w:r w:rsidRPr="005675B2">
        <w:rPr>
          <w:bCs/>
          <w:spacing w:val="6"/>
          <w:rtl/>
          <w:lang w:bidi="ar-KW"/>
        </w:rPr>
        <w:t xml:space="preserve"> </w:t>
      </w:r>
      <w:r w:rsidRPr="005675B2">
        <w:rPr>
          <w:spacing w:val="6"/>
          <w:rtl/>
          <w:lang w:bidi="ar-KW"/>
        </w:rPr>
        <w:t>إلى أمثال هذه الآيات الشريفة من كل ما دل على انحصار هذه الصفات فيه عز وجل، وقصرها عليه</w:t>
      </w:r>
      <w:r w:rsidR="000636C2">
        <w:rPr>
          <w:spacing w:val="6"/>
          <w:rtl/>
          <w:lang w:bidi="ar-KW"/>
        </w:rPr>
        <w:t>،</w:t>
      </w:r>
      <w:r w:rsidRPr="005675B2">
        <w:rPr>
          <w:spacing w:val="6"/>
          <w:rtl/>
          <w:lang w:bidi="ar-KW"/>
        </w:rPr>
        <w:t xml:space="preserve"> ولبُـعْدِ ما بين حقائق هذه الصفات في الممكن - يعني المخلوق - وحقيقتِها في الواجب -يعني الله تعالى - قال بعض الفضـلاء</w:t>
      </w:r>
      <w:r w:rsidR="000636C2">
        <w:rPr>
          <w:spacing w:val="6"/>
          <w:rtl/>
          <w:lang w:bidi="ar-KW"/>
        </w:rPr>
        <w:t>:</w:t>
      </w:r>
      <w:r w:rsidRPr="005675B2">
        <w:rPr>
          <w:spacing w:val="6"/>
          <w:rtl/>
          <w:lang w:bidi="ar-KW"/>
        </w:rPr>
        <w:t xml:space="preserve"> إن إطلاق الوجود والحياة والعلم ونحوها على الممكن ما هو إلا بالمجاز</w:t>
      </w:r>
      <w:r w:rsidR="000636C2">
        <w:rPr>
          <w:spacing w:val="6"/>
          <w:rtl/>
          <w:lang w:bidi="ar-KW"/>
        </w:rPr>
        <w:t>،</w:t>
      </w:r>
      <w:r w:rsidRPr="005675B2">
        <w:rPr>
          <w:rFonts w:hint="cs"/>
          <w:spacing w:val="6"/>
          <w:rtl/>
          <w:lang w:bidi="ar-KW"/>
        </w:rPr>
        <w:t xml:space="preserve"> </w:t>
      </w:r>
      <w:r w:rsidRPr="005675B2">
        <w:rPr>
          <w:spacing w:val="6"/>
          <w:rtl/>
          <w:lang w:bidi="ar-KW"/>
        </w:rPr>
        <w:t>.. وأرجو بعد هذا البيان لهذين القسمين أن تكون قد تكشفت لك تلك المغالطة التي قد يفوه بها بعضهم في مناظرة أهل السنة .. وهو قولهم</w:t>
      </w:r>
      <w:r w:rsidR="000636C2">
        <w:rPr>
          <w:spacing w:val="6"/>
          <w:rtl/>
          <w:lang w:bidi="ar-KW"/>
        </w:rPr>
        <w:t>:</w:t>
      </w:r>
      <w:r w:rsidRPr="005675B2">
        <w:rPr>
          <w:spacing w:val="6"/>
          <w:rtl/>
          <w:lang w:bidi="ar-KW"/>
        </w:rPr>
        <w:t xml:space="preserve"> إن الوجه والعين واليدين والقدمين والساق صفات كما أن الحياة والعلم والإرادة والقدرة صفات، وقد قلتم بها في ذات الله، فلماذا لا تقولون بتلك الصفات الوجه وما ذكر معه</w:t>
      </w:r>
      <w:r w:rsidR="000636C2">
        <w:rPr>
          <w:spacing w:val="6"/>
          <w:rtl/>
          <w:lang w:bidi="ar-KW"/>
        </w:rPr>
        <w:t>؟</w:t>
      </w:r>
      <w:r w:rsidRPr="005675B2">
        <w:rPr>
          <w:spacing w:val="6"/>
          <w:rtl/>
          <w:lang w:bidi="ar-KW"/>
        </w:rPr>
        <w:t xml:space="preserve"> فكما قلتم له علم لا كالعلوم، وقدرة لا كالـقُـدَر، فقولوا له وجه على الحقيقة لا كالوجوه ويد على الحقيقة لا كالأيدي ورجل على الحقيقة لا كالأرجل وساق على الحقيقة لا كالسوق، ويتوسعون في ذلك حتى انخدع بهذا الكلام من أهل الفضل من تروج عليه الحيل، ويغره الزخرف من القول، ويزيد في رواج هذا الزخرف أن هذه العبارة</w:t>
      </w:r>
      <w:r w:rsidR="000636C2">
        <w:rPr>
          <w:spacing w:val="6"/>
          <w:rtl/>
          <w:lang w:bidi="ar-KW"/>
        </w:rPr>
        <w:t>:</w:t>
      </w:r>
      <w:r w:rsidRPr="005675B2">
        <w:rPr>
          <w:spacing w:val="6"/>
          <w:rtl/>
          <w:lang w:bidi="ar-KW"/>
        </w:rPr>
        <w:t xml:space="preserve"> " له وجه لا كالوجوه " توجد من بعض الأكابر</w:t>
      </w:r>
      <w:r w:rsidRPr="005675B2">
        <w:rPr>
          <w:rFonts w:hint="cs"/>
          <w:spacing w:val="6"/>
          <w:rtl/>
          <w:lang w:bidi="ar-KW"/>
        </w:rPr>
        <w:t xml:space="preserve"> </w:t>
      </w:r>
      <w:r w:rsidRPr="005675B2">
        <w:rPr>
          <w:spacing w:val="6"/>
          <w:rtl/>
          <w:lang w:bidi="ar-KW"/>
        </w:rPr>
        <w:t>المنزهين للحق عن الأجزاء والجسمية كما هو الحق، وهي من هؤلاء</w:t>
      </w:r>
      <w:r w:rsidR="000636C2">
        <w:rPr>
          <w:spacing w:val="6"/>
          <w:rtl/>
          <w:lang w:bidi="ar-KW"/>
        </w:rPr>
        <w:t xml:space="preserve"> </w:t>
      </w:r>
      <w:r w:rsidRPr="005675B2">
        <w:rPr>
          <w:spacing w:val="6"/>
          <w:rtl/>
          <w:lang w:bidi="ar-KW"/>
        </w:rPr>
        <w:t>- أي مثبتي الظواهر</w:t>
      </w:r>
      <w:r w:rsidRPr="005675B2">
        <w:rPr>
          <w:rFonts w:hint="cs"/>
          <w:spacing w:val="6"/>
          <w:rtl/>
          <w:lang w:bidi="ar-KW"/>
        </w:rPr>
        <w:t xml:space="preserve"> </w:t>
      </w:r>
      <w:r w:rsidRPr="005675B2">
        <w:rPr>
          <w:spacing w:val="6"/>
          <w:rtl/>
          <w:lang w:bidi="ar-KW"/>
        </w:rPr>
        <w:t>الحسية</w:t>
      </w:r>
      <w:r w:rsidR="000636C2">
        <w:rPr>
          <w:spacing w:val="6"/>
          <w:rtl/>
          <w:lang w:bidi="ar-KW"/>
        </w:rPr>
        <w:t xml:space="preserve"> </w:t>
      </w:r>
      <w:r w:rsidRPr="005675B2">
        <w:rPr>
          <w:spacing w:val="6"/>
          <w:rtl/>
          <w:lang w:bidi="ar-KW"/>
        </w:rPr>
        <w:t xml:space="preserve">- مغالطة .. </w:t>
      </w:r>
      <w:r w:rsidRPr="005675B2">
        <w:rPr>
          <w:bCs/>
          <w:spacing w:val="6"/>
          <w:rtl/>
          <w:lang w:bidi="ar-KW"/>
        </w:rPr>
        <w:t>فإن الوجه والعين واليد والرجل والساق أجزاء وأبعاض وأعضاء لما هي فيه من الذوات،</w:t>
      </w:r>
      <w:r w:rsidRPr="005675B2">
        <w:rPr>
          <w:rFonts w:hint="cs"/>
          <w:bCs/>
          <w:spacing w:val="6"/>
          <w:rtl/>
          <w:lang w:bidi="ar-KW"/>
        </w:rPr>
        <w:t xml:space="preserve"> </w:t>
      </w:r>
      <w:r w:rsidRPr="005675B2">
        <w:rPr>
          <w:bCs/>
          <w:spacing w:val="6"/>
          <w:rtl/>
          <w:lang w:bidi="ar-KW"/>
        </w:rPr>
        <w:t>لا معان وأوصاف تقوم بموصوفاتها، فأين هي مما ألحقوها به من الحياة والعلم والإرادة والقدرة</w:t>
      </w:r>
      <w:r w:rsidR="000636C2">
        <w:rPr>
          <w:bCs/>
          <w:spacing w:val="6"/>
          <w:rtl/>
          <w:lang w:bidi="ar-KW"/>
        </w:rPr>
        <w:t>؟!،</w:t>
      </w:r>
      <w:r w:rsidRPr="005675B2">
        <w:rPr>
          <w:bCs/>
          <w:spacing w:val="6"/>
          <w:rtl/>
          <w:lang w:bidi="ar-KW"/>
        </w:rPr>
        <w:t xml:space="preserve"> وهل هذا إلا كتشبيه العالم بالعلم والأبيض بالبياض</w:t>
      </w:r>
      <w:r w:rsidR="000636C2">
        <w:rPr>
          <w:bCs/>
          <w:spacing w:val="6"/>
          <w:rtl/>
          <w:lang w:bidi="ar-KW"/>
        </w:rPr>
        <w:t>؟!</w:t>
      </w:r>
      <w:r w:rsidR="000636C2">
        <w:rPr>
          <w:rFonts w:hint="cs"/>
          <w:bCs/>
          <w:spacing w:val="6"/>
          <w:rtl/>
          <w:lang w:bidi="ar-KW"/>
        </w:rPr>
        <w:t xml:space="preserve"> </w:t>
      </w:r>
      <w:r w:rsidRPr="005675B2">
        <w:rPr>
          <w:spacing w:val="6"/>
          <w:rtl/>
          <w:lang w:bidi="ar-KW"/>
        </w:rPr>
        <w:t>.. فإن قالوا</w:t>
      </w:r>
      <w:r w:rsidR="000636C2">
        <w:rPr>
          <w:spacing w:val="6"/>
          <w:rtl/>
          <w:lang w:bidi="ar-KW"/>
        </w:rPr>
        <w:t>:</w:t>
      </w:r>
      <w:r w:rsidRPr="005675B2">
        <w:rPr>
          <w:spacing w:val="6"/>
          <w:rtl/>
          <w:lang w:bidi="ar-KW"/>
        </w:rPr>
        <w:t xml:space="preserve"> إنا لا نريد بالوجه وأخواته ما هو أجزاء وأبعاض، بل نريد ما هو صفات حقيقة كالعظمة والملك والبصر والقدرة، ولكنا لا نعين المراد</w:t>
      </w:r>
      <w:r w:rsidR="000636C2">
        <w:rPr>
          <w:spacing w:val="6"/>
          <w:rtl/>
          <w:lang w:bidi="ar-KW"/>
        </w:rPr>
        <w:t xml:space="preserve">، </w:t>
      </w:r>
      <w:r w:rsidRPr="005675B2">
        <w:rPr>
          <w:spacing w:val="6"/>
          <w:rtl/>
          <w:lang w:bidi="ar-KW"/>
        </w:rPr>
        <w:t>قلنا لهم</w:t>
      </w:r>
      <w:r w:rsidR="000636C2">
        <w:rPr>
          <w:spacing w:val="6"/>
          <w:rtl/>
          <w:lang w:bidi="ar-KW"/>
        </w:rPr>
        <w:t>:</w:t>
      </w:r>
      <w:r w:rsidRPr="005675B2">
        <w:rPr>
          <w:spacing w:val="6"/>
          <w:rtl/>
          <w:lang w:bidi="ar-KW"/>
        </w:rPr>
        <w:t xml:space="preserve"> مرحبا بالراجعين إلى الحق .. ولا نزاع بيننا وبينكم</w:t>
      </w:r>
      <w:r w:rsidR="000636C2">
        <w:rPr>
          <w:spacing w:val="6"/>
          <w:rtl/>
          <w:lang w:bidi="ar-KW"/>
        </w:rPr>
        <w:t>)</w:t>
      </w:r>
      <w:r w:rsidRPr="005675B2">
        <w:rPr>
          <w:spacing w:val="6"/>
          <w:rtl/>
          <w:lang w:bidi="ar-KW"/>
        </w:rPr>
        <w:t xml:space="preserve"> انتهى كلامه رحمه الله بتصرف يسير</w:t>
      </w:r>
      <w:r w:rsidR="000636C2">
        <w:rPr>
          <w:spacing w:val="6"/>
          <w:rtl/>
          <w:lang w:bidi="ar-KW"/>
        </w:rPr>
        <w:t xml:space="preserve">، </w:t>
      </w:r>
      <w:r w:rsidRPr="005675B2">
        <w:rPr>
          <w:spacing w:val="6"/>
          <w:rtl/>
          <w:lang w:bidi="ar-KW"/>
        </w:rPr>
        <w:t xml:space="preserve">وجاء في كتاب مناهل العرفان للشيخ الزرقاني - رحمه الله تعالى - </w:t>
      </w:r>
      <w:r w:rsidR="000636C2">
        <w:rPr>
          <w:spacing w:val="6"/>
          <w:rtl/>
          <w:lang w:bidi="ar-KW"/>
        </w:rPr>
        <w:t>(</w:t>
      </w:r>
      <w:r w:rsidRPr="005675B2">
        <w:rPr>
          <w:spacing w:val="6"/>
          <w:rtl/>
          <w:lang w:bidi="ar-KW"/>
        </w:rPr>
        <w:t>2 / 291</w:t>
      </w:r>
      <w:r w:rsidR="000636C2">
        <w:rPr>
          <w:spacing w:val="6"/>
          <w:rtl/>
          <w:lang w:bidi="ar-KW"/>
        </w:rPr>
        <w:t>)</w:t>
      </w:r>
      <w:r w:rsidRPr="005675B2">
        <w:rPr>
          <w:spacing w:val="6"/>
          <w:rtl/>
          <w:lang w:bidi="ar-KW"/>
        </w:rPr>
        <w:t xml:space="preserve"> ما نصه</w:t>
      </w:r>
      <w:r w:rsidR="000636C2">
        <w:rPr>
          <w:spacing w:val="6"/>
          <w:rtl/>
          <w:lang w:bidi="ar-KW"/>
        </w:rPr>
        <w:t>:</w:t>
      </w:r>
      <w:r w:rsidRPr="005675B2">
        <w:rPr>
          <w:rFonts w:hint="cs"/>
          <w:spacing w:val="6"/>
          <w:rtl/>
          <w:lang w:bidi="ar-KW"/>
        </w:rPr>
        <w:t xml:space="preserve"> </w:t>
      </w:r>
      <w:r w:rsidR="000636C2">
        <w:rPr>
          <w:spacing w:val="6"/>
          <w:rtl/>
          <w:lang w:bidi="ar-KW"/>
        </w:rPr>
        <w:t>(</w:t>
      </w:r>
      <w:r w:rsidRPr="005675B2">
        <w:rPr>
          <w:spacing w:val="6"/>
          <w:rtl/>
          <w:lang w:bidi="ar-KW"/>
        </w:rPr>
        <w:t>لقد أسرف بعض الناس في هذا العصر، فخاضوا في متشابه الصفات بغير حق، وأتوا في حديثهم عنها وتعليقهم عليها بما لا يأذن به الله، ولهم فيها كلمات غامضة تحتمل التشبيه والتنزيه .. حتى باتت هذه الكلمات نفسها من المتشابهات ومن المؤسف أنهم يواجهون العامة وأشباههم بهذا، ومن المحزن أنهم ينسبون ما يقولون إلى سلفنا الصالح .. من ذلك قولهم</w:t>
      </w:r>
      <w:r w:rsidR="000636C2">
        <w:rPr>
          <w:spacing w:val="6"/>
          <w:rtl/>
          <w:lang w:bidi="ar-KW"/>
        </w:rPr>
        <w:t>:</w:t>
      </w:r>
      <w:r w:rsidRPr="005675B2">
        <w:rPr>
          <w:spacing w:val="6"/>
          <w:rtl/>
          <w:lang w:bidi="ar-KW"/>
        </w:rPr>
        <w:t xml:space="preserve"> إن الله تعالى يشار إليه بالإشارة الحسية</w:t>
      </w:r>
      <w:r w:rsidR="000636C2">
        <w:rPr>
          <w:spacing w:val="6"/>
          <w:rtl/>
          <w:lang w:bidi="ar-KW"/>
        </w:rPr>
        <w:t>!</w:t>
      </w:r>
      <w:r w:rsidRPr="005675B2">
        <w:rPr>
          <w:spacing w:val="6"/>
          <w:rtl/>
          <w:lang w:bidi="ar-KW"/>
        </w:rPr>
        <w:t>! وله من الجهات الست جهة الفوق، ويقولون إنه - تعالى - استوى على العرش بذاته استواءً حقيقياً، بمعنى أنه استقر عليه استقراراً حقيقياً، غير أنهم يعودون فيقولون</w:t>
      </w:r>
      <w:r w:rsidR="000636C2">
        <w:rPr>
          <w:spacing w:val="6"/>
          <w:rtl/>
          <w:lang w:bidi="ar-KW"/>
        </w:rPr>
        <w:t>:</w:t>
      </w:r>
      <w:r w:rsidRPr="005675B2">
        <w:rPr>
          <w:spacing w:val="6"/>
          <w:rtl/>
          <w:lang w:bidi="ar-KW"/>
        </w:rPr>
        <w:t xml:space="preserve"> ليس كاستقرارنا وليس على ما نعرف، وهكذا يتناولون أمثال هذه الآية، وليس لهم فيما نعلم إلا التشبث بالظواهر، ولقد تجلى لك مذهب السلف والخلف فلا نطيل بإعادته .. لو أنصف هؤلاء لسكتوا عن الآيات والأخبار المتشابهة، واكتفوا بتنزيه الله تعالى عما توهمه ظواهرها من الحـدوث ولوازمـه، ثم فوضـوا الأمـر إلى الله وحـده</w:t>
      </w:r>
      <w:r w:rsidR="000636C2">
        <w:rPr>
          <w:spacing w:val="6"/>
          <w:rtl/>
          <w:lang w:bidi="ar-KW"/>
        </w:rPr>
        <w:t>)</w:t>
      </w:r>
      <w:r w:rsidRPr="005675B2">
        <w:rPr>
          <w:spacing w:val="6"/>
          <w:rtl/>
          <w:lang w:bidi="ar-KW"/>
        </w:rPr>
        <w:t xml:space="preserve"> اهـ</w:t>
      </w:r>
      <w:r w:rsidR="000636C2">
        <w:rPr>
          <w:spacing w:val="6"/>
          <w:rtl/>
          <w:lang w:bidi="ar-KW"/>
        </w:rPr>
        <w:t>،</w:t>
      </w:r>
      <w:r w:rsidRPr="005675B2">
        <w:rPr>
          <w:spacing w:val="6"/>
          <w:rtl/>
          <w:lang w:bidi="ar-KW"/>
        </w:rPr>
        <w:t xml:space="preserve"> وقال العلامة محمود بن خطاب السبكي - رحمه الله تعالى - </w:t>
      </w:r>
      <w:r w:rsidR="000636C2">
        <w:rPr>
          <w:spacing w:val="6"/>
          <w:rtl/>
          <w:lang w:bidi="ar-KW"/>
        </w:rPr>
        <w:t>(</w:t>
      </w:r>
      <w:r w:rsidRPr="005675B2">
        <w:rPr>
          <w:spacing w:val="6"/>
          <w:rtl/>
          <w:lang w:bidi="ar-KW"/>
        </w:rPr>
        <w:t>الدين الخالص 1 / 28</w:t>
      </w:r>
      <w:r w:rsidR="000636C2">
        <w:rPr>
          <w:spacing w:val="6"/>
          <w:rtl/>
          <w:lang w:bidi="ar-KW"/>
        </w:rPr>
        <w:t>):</w:t>
      </w:r>
      <w:r w:rsidRPr="005675B2">
        <w:rPr>
          <w:rFonts w:hint="cs"/>
          <w:spacing w:val="6"/>
          <w:rtl/>
          <w:lang w:bidi="ar-KW"/>
        </w:rPr>
        <w:t xml:space="preserve"> </w:t>
      </w:r>
      <w:r w:rsidR="000636C2">
        <w:rPr>
          <w:spacing w:val="6"/>
          <w:rtl/>
          <w:lang w:bidi="ar-KW"/>
        </w:rPr>
        <w:t>(</w:t>
      </w:r>
      <w:r w:rsidRPr="005675B2">
        <w:rPr>
          <w:spacing w:val="6"/>
          <w:rtl/>
          <w:lang w:bidi="ar-KW"/>
        </w:rPr>
        <w:t>وأما السلف والخلف فإنهم مجمعون على ثبوت صفات الله تعالى الواردة في الكتاب العزيز والسنة المحمدية، وإنما خلافهم في تفويض معنى المتشابه وهو مذهب السلف، وفي بيان معناه وهو مذهب الخلف</w:t>
      </w:r>
      <w:r w:rsidR="000636C2">
        <w:rPr>
          <w:spacing w:val="6"/>
          <w:rtl/>
          <w:lang w:bidi="ar-KW"/>
        </w:rPr>
        <w:t>)</w:t>
      </w:r>
      <w:r w:rsidRPr="005675B2">
        <w:rPr>
          <w:spacing w:val="6"/>
          <w:rtl/>
          <w:lang w:bidi="ar-KW"/>
        </w:rPr>
        <w:t xml:space="preserve"> اهـ</w:t>
      </w:r>
      <w:r w:rsidR="000636C2">
        <w:rPr>
          <w:spacing w:val="6"/>
          <w:rtl/>
          <w:lang w:bidi="ar-KW"/>
        </w:rPr>
        <w:t xml:space="preserve">، </w:t>
      </w:r>
      <w:r w:rsidRPr="005675B2">
        <w:rPr>
          <w:spacing w:val="6"/>
          <w:rtl/>
          <w:lang w:bidi="ar-KW"/>
        </w:rPr>
        <w:t xml:space="preserve">قال الإمام ابن الجوزي - رحمه الله تعالى - </w:t>
      </w:r>
      <w:r w:rsidR="000636C2">
        <w:rPr>
          <w:spacing w:val="6"/>
          <w:rtl/>
          <w:lang w:bidi="ar-KW"/>
        </w:rPr>
        <w:t>(</w:t>
      </w:r>
      <w:r w:rsidRPr="005675B2">
        <w:rPr>
          <w:spacing w:val="6"/>
          <w:rtl/>
          <w:lang w:bidi="ar-KW"/>
        </w:rPr>
        <w:t>دفع شبه التشبيه ص / 97 وما بعدها</w:t>
      </w:r>
      <w:r w:rsidR="000636C2">
        <w:rPr>
          <w:spacing w:val="6"/>
          <w:rtl/>
          <w:lang w:bidi="ar-KW"/>
        </w:rPr>
        <w:t>):</w:t>
      </w:r>
      <w:r w:rsidRPr="005675B2">
        <w:rPr>
          <w:rFonts w:hint="cs"/>
          <w:spacing w:val="6"/>
          <w:rtl/>
          <w:lang w:bidi="ar-KW"/>
        </w:rPr>
        <w:t xml:space="preserve"> </w:t>
      </w:r>
      <w:r w:rsidR="000636C2">
        <w:rPr>
          <w:spacing w:val="6"/>
          <w:rtl/>
          <w:lang w:bidi="ar-KW"/>
        </w:rPr>
        <w:t>(</w:t>
      </w:r>
      <w:r w:rsidRPr="005675B2">
        <w:rPr>
          <w:spacing w:val="6"/>
          <w:rtl/>
          <w:lang w:bidi="ar-KW"/>
        </w:rPr>
        <w:t>ورأيت من أصحابنا من تكلم في الأصول بما لا يصلح،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وأضواء لوجهه هي السبحات، ويدين وأصابع وكفّاً وخنصراً وإبهاماَ وصدراً وفخذاً وساقين ورجلين</w:t>
      </w:r>
      <w:r w:rsidR="000636C2">
        <w:rPr>
          <w:spacing w:val="6"/>
          <w:rtl/>
          <w:lang w:bidi="ar-KW"/>
        </w:rPr>
        <w:t>،</w:t>
      </w:r>
      <w:r w:rsidRPr="005675B2">
        <w:rPr>
          <w:spacing w:val="6"/>
          <w:rtl/>
          <w:lang w:bidi="ar-KW"/>
        </w:rPr>
        <w:t xml:space="preserve"> وقالوا</w:t>
      </w:r>
      <w:r w:rsidR="000636C2">
        <w:rPr>
          <w:spacing w:val="6"/>
          <w:rtl/>
          <w:lang w:bidi="ar-KW"/>
        </w:rPr>
        <w:t>:</w:t>
      </w:r>
      <w:r w:rsidRPr="005675B2">
        <w:rPr>
          <w:spacing w:val="6"/>
          <w:rtl/>
          <w:lang w:bidi="ar-KW"/>
        </w:rPr>
        <w:t xml:space="preserve"> ما سمعنا بذكر الرأس</w:t>
      </w:r>
      <w:r w:rsidR="000636C2">
        <w:rPr>
          <w:spacing w:val="6"/>
          <w:rtl/>
          <w:lang w:bidi="ar-KW"/>
        </w:rPr>
        <w:t>،</w:t>
      </w:r>
      <w:r w:rsidRPr="005675B2">
        <w:rPr>
          <w:spacing w:val="6"/>
          <w:rtl/>
          <w:lang w:bidi="ar-KW"/>
        </w:rPr>
        <w:t xml:space="preserve"> وقالوا</w:t>
      </w:r>
      <w:r w:rsidR="000636C2">
        <w:rPr>
          <w:spacing w:val="6"/>
          <w:rtl/>
          <w:lang w:bidi="ar-KW"/>
        </w:rPr>
        <w:t>:</w:t>
      </w:r>
      <w:r w:rsidRPr="005675B2">
        <w:rPr>
          <w:spacing w:val="6"/>
          <w:rtl/>
          <w:lang w:bidi="ar-KW"/>
        </w:rPr>
        <w:t xml:space="preserve"> يجوز أن يَمَسَّ ويُمَسَّ، ويُدْني العبد من ذاته</w:t>
      </w:r>
      <w:r w:rsidR="000636C2">
        <w:rPr>
          <w:spacing w:val="6"/>
          <w:rtl/>
          <w:lang w:bidi="ar-KW"/>
        </w:rPr>
        <w:t>،</w:t>
      </w:r>
      <w:r w:rsidRPr="005675B2">
        <w:rPr>
          <w:spacing w:val="6"/>
          <w:rtl/>
          <w:lang w:bidi="ar-KW"/>
        </w:rPr>
        <w:t xml:space="preserve"> وقال بعضهم</w:t>
      </w:r>
      <w:r w:rsidR="000636C2">
        <w:rPr>
          <w:spacing w:val="6"/>
          <w:rtl/>
          <w:lang w:bidi="ar-KW"/>
        </w:rPr>
        <w:t>:</w:t>
      </w:r>
      <w:r w:rsidRPr="005675B2">
        <w:rPr>
          <w:spacing w:val="6"/>
          <w:rtl/>
          <w:lang w:bidi="ar-KW"/>
        </w:rPr>
        <w:t xml:space="preserve"> ويتنفس</w:t>
      </w:r>
      <w:r w:rsidR="000636C2">
        <w:rPr>
          <w:spacing w:val="6"/>
          <w:rtl/>
          <w:lang w:bidi="ar-KW"/>
        </w:rPr>
        <w:t>،</w:t>
      </w:r>
      <w:r w:rsidRPr="005675B2">
        <w:rPr>
          <w:spacing w:val="6"/>
          <w:rtl/>
          <w:lang w:bidi="ar-KW"/>
        </w:rPr>
        <w:t xml:space="preserve"> ثم يرضون العوام بقولهم</w:t>
      </w:r>
      <w:r w:rsidR="000636C2">
        <w:rPr>
          <w:spacing w:val="6"/>
          <w:rtl/>
          <w:lang w:bidi="ar-KW"/>
        </w:rPr>
        <w:t>:</w:t>
      </w:r>
      <w:r w:rsidRPr="005675B2">
        <w:rPr>
          <w:spacing w:val="6"/>
          <w:rtl/>
          <w:lang w:bidi="ar-KW"/>
        </w:rPr>
        <w:t xml:space="preserve"> لا كما يعقل</w:t>
      </w:r>
      <w:r w:rsidR="000636C2">
        <w:rPr>
          <w:spacing w:val="6"/>
          <w:rtl/>
          <w:lang w:bidi="ar-KW"/>
        </w:rPr>
        <w:t>!</w:t>
      </w:r>
      <w:r w:rsidRPr="005675B2">
        <w:rPr>
          <w:spacing w:val="6"/>
          <w:rtl/>
          <w:lang w:bidi="ar-KW"/>
        </w:rPr>
        <w:t>!</w:t>
      </w:r>
      <w:r w:rsidRPr="005675B2">
        <w:rPr>
          <w:rFonts w:hint="cs"/>
          <w:spacing w:val="6"/>
          <w:rtl/>
          <w:lang w:bidi="ar-KW"/>
        </w:rPr>
        <w:t xml:space="preserve"> </w:t>
      </w:r>
      <w:r w:rsidRPr="005675B2">
        <w:rPr>
          <w:spacing w:val="6"/>
          <w:rtl/>
          <w:lang w:bidi="ar-KW"/>
        </w:rPr>
        <w:t>وقد أخذوا بالظاهر في الأسماء والصفات، فسموها بالصفات تسمية مبتدعة لا دليل لهم في ذلك من النقل ولا من العقل، ولم يلتفتوا إلى النصوص الصارفة عن الظواهر إلى المعاني الواجبة لله تعالى، ولا إلى إلغاء ما يوجبه الظاهر من سمات الحدوث، ولم يقنعوا بأن يقولوا</w:t>
      </w:r>
      <w:r w:rsidR="000636C2">
        <w:rPr>
          <w:spacing w:val="6"/>
          <w:rtl/>
          <w:lang w:bidi="ar-KW"/>
        </w:rPr>
        <w:t>:</w:t>
      </w:r>
      <w:r w:rsidRPr="005675B2">
        <w:rPr>
          <w:spacing w:val="6"/>
          <w:rtl/>
          <w:lang w:bidi="ar-KW"/>
        </w:rPr>
        <w:t xml:space="preserve"> صفة فعل</w:t>
      </w:r>
      <w:r w:rsidR="000636C2">
        <w:rPr>
          <w:spacing w:val="6"/>
          <w:rtl/>
          <w:lang w:bidi="ar-KW"/>
        </w:rPr>
        <w:t>،</w:t>
      </w:r>
      <w:r w:rsidRPr="005675B2">
        <w:rPr>
          <w:spacing w:val="6"/>
          <w:rtl/>
          <w:lang w:bidi="ar-KW"/>
        </w:rPr>
        <w:t xml:space="preserve"> حتى قالوا</w:t>
      </w:r>
      <w:r w:rsidR="000636C2">
        <w:rPr>
          <w:spacing w:val="6"/>
          <w:rtl/>
          <w:lang w:bidi="ar-KW"/>
        </w:rPr>
        <w:t>:</w:t>
      </w:r>
      <w:r w:rsidRPr="005675B2">
        <w:rPr>
          <w:spacing w:val="6"/>
          <w:rtl/>
          <w:lang w:bidi="ar-KW"/>
        </w:rPr>
        <w:t xml:space="preserve"> صفة ذات، ثم لما أثبتوا أنها صفات ذات، قالوا</w:t>
      </w:r>
      <w:r w:rsidR="000636C2">
        <w:rPr>
          <w:spacing w:val="6"/>
          <w:rtl/>
          <w:lang w:bidi="ar-KW"/>
        </w:rPr>
        <w:t>:</w:t>
      </w:r>
      <w:r w:rsidRPr="005675B2">
        <w:rPr>
          <w:spacing w:val="6"/>
          <w:rtl/>
          <w:lang w:bidi="ar-KW"/>
        </w:rPr>
        <w:t xml:space="preserve"> لا نحملها على توجيه اللغة مثل يد على نعمة وقدرة، ومجيء وإتيان على معنى بر ولطف، وساق على شدة، بل قالوا</w:t>
      </w:r>
      <w:r w:rsidR="000636C2">
        <w:rPr>
          <w:spacing w:val="6"/>
          <w:rtl/>
          <w:lang w:bidi="ar-KW"/>
        </w:rPr>
        <w:t>:</w:t>
      </w:r>
      <w:r w:rsidRPr="005675B2">
        <w:rPr>
          <w:spacing w:val="6"/>
          <w:rtl/>
          <w:lang w:bidi="ar-KW"/>
        </w:rPr>
        <w:t xml:space="preserve"> نحملها على ظواهرها المتعارفة، والظاهر هو المعهود من نعوت الآدميين، والشيء إنما يحمل على حقيقته إذا أمكن، ثم يتحرجون من التشبيه، ويأنفـون من إضافته إليهم، ويقولون</w:t>
      </w:r>
      <w:r w:rsidR="000636C2">
        <w:rPr>
          <w:spacing w:val="6"/>
          <w:rtl/>
          <w:lang w:bidi="ar-KW"/>
        </w:rPr>
        <w:t>:</w:t>
      </w:r>
      <w:r w:rsidRPr="005675B2">
        <w:rPr>
          <w:spacing w:val="6"/>
          <w:rtl/>
          <w:lang w:bidi="ar-KW"/>
        </w:rPr>
        <w:t xml:space="preserve"> نحن أهل السنة</w:t>
      </w:r>
      <w:r w:rsidR="000636C2">
        <w:rPr>
          <w:spacing w:val="6"/>
          <w:rtl/>
          <w:lang w:bidi="ar-KW"/>
        </w:rPr>
        <w:t>،</w:t>
      </w:r>
      <w:r w:rsidRPr="005675B2">
        <w:rPr>
          <w:spacing w:val="6"/>
          <w:rtl/>
          <w:lang w:bidi="ar-KW"/>
        </w:rPr>
        <w:t xml:space="preserve"> وكلامهم صريح في التشبيـه، وقد تبعهم خلق من العـوام ..</w:t>
      </w:r>
      <w:r w:rsidR="000636C2">
        <w:rPr>
          <w:spacing w:val="6"/>
          <w:rtl/>
          <w:lang w:bidi="ar-KW"/>
        </w:rPr>
        <w:t>)،</w:t>
      </w:r>
      <w:r w:rsidRPr="005675B2">
        <w:rPr>
          <w:spacing w:val="6"/>
          <w:rtl/>
          <w:lang w:bidi="ar-KW"/>
        </w:rPr>
        <w:t xml:space="preserve"> إلى أن قال</w:t>
      </w:r>
      <w:r w:rsidR="000636C2">
        <w:rPr>
          <w:spacing w:val="6"/>
          <w:rtl/>
          <w:lang w:bidi="ar-KW"/>
        </w:rPr>
        <w:t>:</w:t>
      </w:r>
      <w:r w:rsidRPr="005675B2">
        <w:rPr>
          <w:spacing w:val="6"/>
          <w:rtl/>
          <w:lang w:bidi="ar-KW"/>
        </w:rPr>
        <w:t xml:space="preserve"> </w:t>
      </w:r>
      <w:r w:rsidR="000636C2">
        <w:rPr>
          <w:spacing w:val="6"/>
          <w:rtl/>
          <w:lang w:bidi="ar-KW"/>
        </w:rPr>
        <w:t>(</w:t>
      </w:r>
      <w:r w:rsidRPr="005675B2">
        <w:rPr>
          <w:spacing w:val="6"/>
          <w:rtl/>
          <w:lang w:bidi="ar-KW"/>
        </w:rPr>
        <w:t>فلو أنكم قلتم نقرأ الأحاديث ونسكت، ما أنكر عليكم أحد، إنما حَـمْـلُكم إياها على الظاهر قبيح</w:t>
      </w:r>
      <w:r w:rsidR="000636C2">
        <w:rPr>
          <w:spacing w:val="6"/>
          <w:rtl/>
          <w:lang w:bidi="ar-KW"/>
        </w:rPr>
        <w:t>)</w:t>
      </w:r>
      <w:r w:rsidRPr="005675B2">
        <w:rPr>
          <w:spacing w:val="6"/>
          <w:rtl/>
          <w:lang w:bidi="ar-KW"/>
        </w:rPr>
        <w:t xml:space="preserve"> اهـ</w:t>
      </w:r>
      <w:r w:rsidR="000636C2">
        <w:rPr>
          <w:spacing w:val="6"/>
          <w:rtl/>
          <w:lang w:bidi="ar-KW"/>
        </w:rPr>
        <w:t>،</w:t>
      </w:r>
      <w:r w:rsidRPr="005675B2">
        <w:rPr>
          <w:spacing w:val="6"/>
          <w:rtl/>
          <w:lang w:bidi="ar-KW"/>
        </w:rPr>
        <w:t xml:space="preserve"> وقال الإمام ابن القشيري - رحمه الله تعالى - </w:t>
      </w:r>
      <w:r w:rsidR="000636C2">
        <w:rPr>
          <w:spacing w:val="6"/>
          <w:rtl/>
          <w:lang w:bidi="ar-KW"/>
        </w:rPr>
        <w:t>(</w:t>
      </w:r>
      <w:r w:rsidRPr="005675B2">
        <w:rPr>
          <w:spacing w:val="6"/>
          <w:rtl/>
          <w:lang w:bidi="ar-KW"/>
        </w:rPr>
        <w:t>إتحاف السادة المتقين 2 / 109</w:t>
      </w:r>
      <w:r w:rsidR="000636C2">
        <w:rPr>
          <w:spacing w:val="6"/>
          <w:rtl/>
          <w:lang w:bidi="ar-KW"/>
        </w:rPr>
        <w:t>):</w:t>
      </w:r>
      <w:r w:rsidRPr="005675B2">
        <w:rPr>
          <w:rFonts w:hint="cs"/>
          <w:spacing w:val="6"/>
          <w:rtl/>
          <w:lang w:bidi="ar-KW"/>
        </w:rPr>
        <w:t xml:space="preserve"> </w:t>
      </w:r>
      <w:r w:rsidR="000636C2">
        <w:rPr>
          <w:spacing w:val="6"/>
          <w:rtl/>
          <w:lang w:bidi="ar-KW"/>
        </w:rPr>
        <w:t>(</w:t>
      </w:r>
      <w:r w:rsidRPr="005675B2">
        <w:rPr>
          <w:spacing w:val="6"/>
          <w:rtl/>
          <w:lang w:bidi="ar-KW"/>
        </w:rPr>
        <w:t>يقولون - يعني أهل الظاهر - نحن نأخذ بالظاهر ونجري الآيات الموهمة تشبيهاً والأخبار المقتضية حداً وعضواً على الظاهر، ولا يجوز أن نطرق التأويل إلى شيء من ذلك، ويتمسكون بقوله تعالى</w:t>
      </w:r>
      <w:r w:rsidRPr="005675B2">
        <w:rPr>
          <w:rFonts w:hint="cs"/>
          <w:bCs/>
          <w:spacing w:val="6"/>
          <w:rtl/>
          <w:lang w:bidi="ar-KW"/>
        </w:rPr>
        <w:t xml:space="preserve"> </w:t>
      </w:r>
      <w:r w:rsidR="000636C2">
        <w:rPr>
          <w:bCs/>
          <w:spacing w:val="6"/>
          <w:rtl/>
          <w:lang w:bidi="ar-KW"/>
        </w:rPr>
        <w:t>(</w:t>
      </w:r>
      <w:r w:rsidRPr="005675B2">
        <w:rPr>
          <w:bCs/>
          <w:spacing w:val="6"/>
          <w:rtl/>
          <w:lang w:bidi="ar-KW"/>
        </w:rPr>
        <w:t>وما يعلم تأويله إلا الله</w:t>
      </w:r>
      <w:r w:rsidR="000636C2">
        <w:rPr>
          <w:bCs/>
          <w:spacing w:val="6"/>
          <w:rtl/>
          <w:lang w:bidi="ar-KW"/>
        </w:rPr>
        <w:t>)</w:t>
      </w:r>
      <w:r w:rsidRPr="005675B2">
        <w:rPr>
          <w:bCs/>
          <w:spacing w:val="6"/>
          <w:rtl/>
          <w:lang w:bidi="ar-KW"/>
        </w:rPr>
        <w:t xml:space="preserve"> .. </w:t>
      </w:r>
      <w:r w:rsidRPr="005675B2">
        <w:rPr>
          <w:spacing w:val="6"/>
          <w:rtl/>
          <w:lang w:bidi="ar-KW"/>
        </w:rPr>
        <w:t>وأوحوا إلى أوليائهم بهذه البدع وأحلوا في قلوبهم وصف المعبود سبحانه بالأعضاء والجوارح والركوب والنزول والاتكاء والاستلقاء والاستواء بالذات والتردد في الجهات، فمن أصغى إلى ظاهرهم يبادر بوهمه إلى تخيل المحسوسات فيعتقد الفضائح، فيسيل به السيل وهو لا يدري</w:t>
      </w:r>
      <w:r w:rsidR="000636C2">
        <w:rPr>
          <w:spacing w:val="6"/>
          <w:rtl/>
          <w:lang w:bidi="ar-KW"/>
        </w:rPr>
        <w:t>)</w:t>
      </w:r>
      <w:r w:rsidRPr="005675B2">
        <w:rPr>
          <w:spacing w:val="6"/>
          <w:rtl/>
          <w:lang w:bidi="ar-KW"/>
        </w:rPr>
        <w:t xml:space="preserve"> اهـ</w:t>
      </w:r>
      <w:r w:rsidR="000636C2">
        <w:rPr>
          <w:spacing w:val="6"/>
          <w:rtl/>
          <w:lang w:bidi="ar-KW"/>
        </w:rPr>
        <w:t>،</w:t>
      </w:r>
      <w:r w:rsidRPr="005675B2">
        <w:rPr>
          <w:spacing w:val="6"/>
          <w:rtl/>
          <w:lang w:bidi="ar-KW"/>
        </w:rPr>
        <w:t xml:space="preserve"> قال الشيخ الزرقاني - رحمه الله تعالى - </w:t>
      </w:r>
      <w:r w:rsidR="000636C2">
        <w:rPr>
          <w:spacing w:val="6"/>
          <w:rtl/>
          <w:lang w:bidi="ar-KW"/>
        </w:rPr>
        <w:t>(</w:t>
      </w:r>
      <w:r w:rsidRPr="005675B2">
        <w:rPr>
          <w:spacing w:val="6"/>
          <w:rtl/>
          <w:lang w:bidi="ar-KW"/>
        </w:rPr>
        <w:t>مناهل العرفان 2 / 292</w:t>
      </w:r>
      <w:r w:rsidR="000636C2">
        <w:rPr>
          <w:spacing w:val="6"/>
          <w:rtl/>
          <w:lang w:bidi="ar-KW"/>
        </w:rPr>
        <w:t>):</w:t>
      </w:r>
      <w:r w:rsidRPr="005675B2">
        <w:rPr>
          <w:rFonts w:hint="cs"/>
          <w:spacing w:val="6"/>
          <w:rtl/>
          <w:lang w:bidi="ar-KW"/>
        </w:rPr>
        <w:t xml:space="preserve"> </w:t>
      </w:r>
      <w:r w:rsidR="000636C2">
        <w:rPr>
          <w:spacing w:val="6"/>
          <w:rtl/>
          <w:lang w:bidi="ar-KW"/>
        </w:rPr>
        <w:t>(</w:t>
      </w:r>
      <w:r w:rsidRPr="005675B2">
        <w:rPr>
          <w:spacing w:val="6"/>
          <w:rtl/>
          <w:lang w:bidi="ar-KW"/>
        </w:rPr>
        <w:t>فالعمدة عندنا في أمور العقائد هي الأدلة القطعية التي توافرت على أنه تعالى ليس جسماً ولا متحيزًا ولا متجزئًا ولا مركبًا، ولا محتاجًا لأحد ولا إلى مكان ولا إلى زمان، ولا نحو ذلك، ولقد جاء القرآن بهذا في محكماته، إذ يقول</w:t>
      </w:r>
      <w:r w:rsidR="000636C2">
        <w:rPr>
          <w:spacing w:val="6"/>
          <w:rtl/>
          <w:lang w:bidi="ar-KW"/>
        </w:rPr>
        <w:t>:</w:t>
      </w:r>
      <w:r w:rsidRPr="005675B2">
        <w:rPr>
          <w:spacing w:val="6"/>
          <w:rtl/>
          <w:lang w:bidi="ar-KW"/>
        </w:rPr>
        <w:t xml:space="preserve"> </w:t>
      </w:r>
      <w:r w:rsidR="000636C2">
        <w:rPr>
          <w:bCs/>
          <w:spacing w:val="6"/>
          <w:rtl/>
          <w:lang w:bidi="ar-KW"/>
        </w:rPr>
        <w:t>(</w:t>
      </w:r>
      <w:r w:rsidRPr="005675B2">
        <w:rPr>
          <w:bCs/>
          <w:spacing w:val="6"/>
          <w:rtl/>
          <w:lang w:bidi="ar-KW"/>
        </w:rPr>
        <w:t>ليس كمثله شئ</w:t>
      </w:r>
      <w:r w:rsidR="000636C2">
        <w:rPr>
          <w:bCs/>
          <w:spacing w:val="6"/>
          <w:rtl/>
          <w:lang w:bidi="ar-KW"/>
        </w:rPr>
        <w:t>)</w:t>
      </w:r>
      <w:r w:rsidRPr="005675B2">
        <w:rPr>
          <w:bCs/>
          <w:spacing w:val="6"/>
          <w:rtl/>
          <w:lang w:bidi="ar-KW"/>
        </w:rPr>
        <w:t xml:space="preserve"> ويقول </w:t>
      </w:r>
      <w:r w:rsidR="000636C2">
        <w:rPr>
          <w:bCs/>
          <w:spacing w:val="6"/>
          <w:rtl/>
          <w:lang w:bidi="ar-KW"/>
        </w:rPr>
        <w:t>(</w:t>
      </w:r>
      <w:r w:rsidRPr="005675B2">
        <w:rPr>
          <w:bCs/>
          <w:spacing w:val="6"/>
          <w:rtl/>
          <w:lang w:bidi="ar-KW"/>
        </w:rPr>
        <w:t>قل هو الله أحد</w:t>
      </w:r>
      <w:r w:rsidR="000636C2">
        <w:rPr>
          <w:bCs/>
          <w:spacing w:val="6"/>
          <w:rtl/>
          <w:lang w:bidi="ar-KW"/>
        </w:rPr>
        <w:t>،</w:t>
      </w:r>
      <w:r w:rsidRPr="005675B2">
        <w:rPr>
          <w:bCs/>
          <w:spacing w:val="6"/>
          <w:rtl/>
          <w:lang w:bidi="ar-KW"/>
        </w:rPr>
        <w:t xml:space="preserve"> الله الصمد</w:t>
      </w:r>
      <w:r w:rsidR="000636C2">
        <w:rPr>
          <w:bCs/>
          <w:spacing w:val="6"/>
          <w:rtl/>
          <w:lang w:bidi="ar-KW"/>
        </w:rPr>
        <w:t>،</w:t>
      </w:r>
      <w:r w:rsidRPr="005675B2">
        <w:rPr>
          <w:bCs/>
          <w:spacing w:val="6"/>
          <w:rtl/>
          <w:lang w:bidi="ar-KW"/>
        </w:rPr>
        <w:t xml:space="preserve"> لم يلد ولم يولد</w:t>
      </w:r>
      <w:r w:rsidR="000636C2">
        <w:rPr>
          <w:bCs/>
          <w:spacing w:val="6"/>
          <w:rtl/>
          <w:lang w:bidi="ar-KW"/>
        </w:rPr>
        <w:t>،</w:t>
      </w:r>
      <w:r w:rsidRPr="005675B2">
        <w:rPr>
          <w:bCs/>
          <w:spacing w:val="6"/>
          <w:rtl/>
          <w:lang w:bidi="ar-KW"/>
        </w:rPr>
        <w:t xml:space="preserve"> ولم يكن له كفواً أحد</w:t>
      </w:r>
      <w:r w:rsidR="000636C2">
        <w:rPr>
          <w:bCs/>
          <w:spacing w:val="6"/>
          <w:rtl/>
          <w:lang w:bidi="ar-KW"/>
        </w:rPr>
        <w:t>)</w:t>
      </w:r>
      <w:r w:rsidRPr="005675B2">
        <w:rPr>
          <w:bCs/>
          <w:spacing w:val="6"/>
          <w:rtl/>
          <w:lang w:bidi="ar-KW"/>
        </w:rPr>
        <w:t xml:space="preserve"> ويقول</w:t>
      </w:r>
      <w:r w:rsidR="000636C2">
        <w:rPr>
          <w:bCs/>
          <w:spacing w:val="6"/>
          <w:rtl/>
          <w:lang w:bidi="ar-KW"/>
        </w:rPr>
        <w:t>:</w:t>
      </w:r>
      <w:r w:rsidRPr="005675B2">
        <w:rPr>
          <w:bCs/>
          <w:spacing w:val="6"/>
          <w:rtl/>
          <w:lang w:bidi="ar-KW"/>
        </w:rPr>
        <w:t xml:space="preserve"> </w:t>
      </w:r>
      <w:r w:rsidR="000636C2">
        <w:rPr>
          <w:bCs/>
          <w:spacing w:val="6"/>
          <w:rtl/>
          <w:lang w:bidi="ar-KW"/>
        </w:rPr>
        <w:t>(</w:t>
      </w:r>
      <w:r w:rsidRPr="005675B2">
        <w:rPr>
          <w:bCs/>
          <w:spacing w:val="6"/>
          <w:rtl/>
          <w:lang w:bidi="ar-KW"/>
        </w:rPr>
        <w:t>إن تكفروا فأنّ الله غنىٌّ عنكم ولا يرضى لعباده الكفر</w:t>
      </w:r>
      <w:r w:rsidR="000636C2">
        <w:rPr>
          <w:bCs/>
          <w:spacing w:val="6"/>
          <w:rtl/>
          <w:lang w:bidi="ar-KW"/>
        </w:rPr>
        <w:t>،</w:t>
      </w:r>
      <w:r w:rsidRPr="005675B2">
        <w:rPr>
          <w:bCs/>
          <w:spacing w:val="6"/>
          <w:rtl/>
          <w:lang w:bidi="ar-KW"/>
        </w:rPr>
        <w:t xml:space="preserve"> وإن تشكروا يرضه لكم</w:t>
      </w:r>
      <w:r w:rsidR="000636C2">
        <w:rPr>
          <w:bCs/>
          <w:spacing w:val="6"/>
          <w:rtl/>
          <w:lang w:bidi="ar-KW"/>
        </w:rPr>
        <w:t>)</w:t>
      </w:r>
      <w:r w:rsidRPr="005675B2">
        <w:rPr>
          <w:bCs/>
          <w:spacing w:val="6"/>
          <w:rtl/>
          <w:lang w:bidi="ar-KW"/>
        </w:rPr>
        <w:t xml:space="preserve"> ويقول</w:t>
      </w:r>
      <w:r w:rsidR="000636C2">
        <w:rPr>
          <w:bCs/>
          <w:spacing w:val="6"/>
          <w:rtl/>
          <w:lang w:bidi="ar-KW"/>
        </w:rPr>
        <w:t>: (</w:t>
      </w:r>
      <w:r w:rsidRPr="005675B2">
        <w:rPr>
          <w:bCs/>
          <w:spacing w:val="6"/>
          <w:rtl/>
          <w:lang w:bidi="ar-KW"/>
        </w:rPr>
        <w:t>ياأيها الناس أنتم الفقراء إلى الله</w:t>
      </w:r>
      <w:r w:rsidR="000636C2">
        <w:rPr>
          <w:bCs/>
          <w:spacing w:val="6"/>
          <w:rtl/>
          <w:lang w:bidi="ar-KW"/>
        </w:rPr>
        <w:t>،</w:t>
      </w:r>
      <w:r w:rsidRPr="005675B2">
        <w:rPr>
          <w:bCs/>
          <w:spacing w:val="6"/>
          <w:rtl/>
          <w:lang w:bidi="ar-KW"/>
        </w:rPr>
        <w:t xml:space="preserve"> والله هو الغنىُّ الحميد</w:t>
      </w:r>
      <w:r w:rsidR="000636C2">
        <w:rPr>
          <w:bCs/>
          <w:spacing w:val="6"/>
          <w:rtl/>
          <w:lang w:bidi="ar-KW"/>
        </w:rPr>
        <w:t>)</w:t>
      </w:r>
      <w:r w:rsidRPr="005675B2">
        <w:rPr>
          <w:bCs/>
          <w:spacing w:val="6"/>
          <w:rtl/>
          <w:lang w:bidi="ar-KW"/>
        </w:rPr>
        <w:t xml:space="preserve"> </w:t>
      </w:r>
      <w:r w:rsidRPr="005675B2">
        <w:rPr>
          <w:spacing w:val="6"/>
          <w:rtl/>
          <w:lang w:bidi="ar-KW"/>
        </w:rPr>
        <w:t>وغير ذلك كثير في الكتاب والسنة، فكل ما جاء مخالفاً بظاهره لتلك القطعيات والمحكمات فهو من المتشابهات التي لا يجوز اتباعها، كما تبين لك فيما سلف</w:t>
      </w:r>
      <w:r w:rsidR="000636C2">
        <w:rPr>
          <w:spacing w:val="6"/>
          <w:rtl/>
          <w:lang w:bidi="ar-KW"/>
        </w:rPr>
        <w:t>،</w:t>
      </w:r>
      <w:r w:rsidRPr="005675B2">
        <w:rPr>
          <w:spacing w:val="6"/>
          <w:rtl/>
          <w:lang w:bidi="ar-KW"/>
        </w:rPr>
        <w:t xml:space="preserve"> ثم إن هؤلاء - يعني القائلين بالظواهر -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w:t>
      </w:r>
      <w:r w:rsidR="000636C2">
        <w:rPr>
          <w:spacing w:val="6"/>
          <w:rtl/>
          <w:lang w:bidi="ar-KW"/>
        </w:rPr>
        <w:t>:</w:t>
      </w:r>
      <w:r w:rsidRPr="005675B2">
        <w:rPr>
          <w:spacing w:val="6"/>
          <w:rtl/>
          <w:lang w:bidi="ar-KW"/>
        </w:rPr>
        <w:t xml:space="preserve">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w:t>
      </w:r>
      <w:r w:rsidR="000636C2">
        <w:rPr>
          <w:spacing w:val="6"/>
          <w:rtl/>
          <w:lang w:bidi="ar-KW"/>
        </w:rPr>
        <w:t>:</w:t>
      </w:r>
      <w:r w:rsidRPr="005675B2">
        <w:rPr>
          <w:spacing w:val="6"/>
          <w:rtl/>
          <w:lang w:bidi="ar-KW"/>
        </w:rPr>
        <w:t xml:space="preserve"> إنه مستو غير مستو ومستقر على العرش غير مستقر، أو متحيز غير متحيز، وجسم غير جسم، أو أن الاستواء على العرش ليس هو الاستواء على العرش، والاستقرار فوقه ليس هو الاستقرار فوقه .. فإن أرادوا بقولهم الاستواء على حقيقته، أنه على حقيقته التي يعلمها الله ولا نعلمها نحن، فقد اتفقنا، لكن تعبيرهم هذا موهم، لا يجوز أن يصدر من مؤمن، خصوصاً في مقام التعليم والإرشاد وفي موقف النقاش والحجاج، لأن القول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w:t>
      </w:r>
      <w:r w:rsidR="000636C2">
        <w:rPr>
          <w:spacing w:val="6"/>
          <w:rtl/>
          <w:lang w:bidi="ar-KW"/>
        </w:rPr>
        <w:t>؟!</w:t>
      </w:r>
      <w:r w:rsidRPr="005675B2">
        <w:rPr>
          <w:rFonts w:hint="cs"/>
          <w:spacing w:val="6"/>
          <w:rtl/>
          <w:lang w:bidi="ar-KW"/>
        </w:rPr>
        <w:t xml:space="preserve"> </w:t>
      </w:r>
      <w:r w:rsidRPr="005675B2">
        <w:rPr>
          <w:spacing w:val="6"/>
          <w:rtl/>
          <w:lang w:bidi="ar-KW"/>
        </w:rPr>
        <w:t>وفي ذلك ما فيه من الإضلال وتمزيق وحدة الأمة، الأمر الذي نهانا القرآن عنه، والذي جعل عمر</w:t>
      </w:r>
      <w:r w:rsidR="000636C2">
        <w:rPr>
          <w:spacing w:val="6"/>
          <w:rtl/>
          <w:lang w:bidi="ar-KW"/>
        </w:rPr>
        <w:t xml:space="preserve"> </w:t>
      </w:r>
      <w:r w:rsidRPr="005675B2">
        <w:rPr>
          <w:spacing w:val="6"/>
          <w:rtl/>
          <w:lang w:bidi="ar-KW"/>
        </w:rPr>
        <w:t>- رضي الله تعالى عنه</w:t>
      </w:r>
      <w:r w:rsidR="000636C2">
        <w:rPr>
          <w:spacing w:val="6"/>
          <w:rtl/>
          <w:lang w:bidi="ar-KW"/>
        </w:rPr>
        <w:t xml:space="preserve"> </w:t>
      </w:r>
      <w:r w:rsidRPr="005675B2">
        <w:rPr>
          <w:spacing w:val="6"/>
          <w:rtl/>
          <w:lang w:bidi="ar-KW"/>
        </w:rPr>
        <w:t>- يفعل ما فعل بصبيغ، وجعل مالكا</w:t>
      </w:r>
      <w:r w:rsidR="000636C2">
        <w:rPr>
          <w:spacing w:val="6"/>
          <w:rtl/>
          <w:lang w:bidi="ar-KW"/>
        </w:rPr>
        <w:t xml:space="preserve"> </w:t>
      </w:r>
      <w:r w:rsidRPr="005675B2">
        <w:rPr>
          <w:spacing w:val="6"/>
          <w:rtl/>
          <w:lang w:bidi="ar-KW"/>
        </w:rPr>
        <w:t>- رحمه الله تعالى</w:t>
      </w:r>
      <w:r w:rsidR="000636C2">
        <w:rPr>
          <w:spacing w:val="6"/>
          <w:rtl/>
          <w:lang w:bidi="ar-KW"/>
        </w:rPr>
        <w:t xml:space="preserve"> </w:t>
      </w:r>
      <w:r w:rsidRPr="005675B2">
        <w:rPr>
          <w:spacing w:val="6"/>
          <w:rtl/>
          <w:lang w:bidi="ar-KW"/>
        </w:rPr>
        <w:t>- يقول ما قال ويفعل ما فعل بالذي سأله عن الاستواء</w:t>
      </w:r>
      <w:r w:rsidR="000636C2">
        <w:rPr>
          <w:spacing w:val="6"/>
          <w:rtl/>
          <w:lang w:bidi="ar-KW"/>
        </w:rPr>
        <w:t xml:space="preserve">، </w:t>
      </w:r>
      <w:r w:rsidRPr="005675B2">
        <w:rPr>
          <w:spacing w:val="6"/>
          <w:rtl/>
          <w:lang w:bidi="ar-KW"/>
        </w:rPr>
        <w:t>ولو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w:t>
      </w:r>
      <w:r w:rsidR="000636C2">
        <w:rPr>
          <w:spacing w:val="6"/>
          <w:rtl/>
          <w:lang w:bidi="ar-KW"/>
        </w:rPr>
        <w:t>)</w:t>
      </w:r>
      <w:r w:rsidRPr="005675B2">
        <w:rPr>
          <w:spacing w:val="6"/>
          <w:rtl/>
          <w:lang w:bidi="ar-KW"/>
        </w:rPr>
        <w:t xml:space="preserve"> اهـ</w:t>
      </w:r>
      <w:r w:rsidR="000636C2">
        <w:rPr>
          <w:spacing w:val="6"/>
          <w:rtl/>
          <w:lang w:bidi="ar-KW"/>
        </w:rPr>
        <w:t>،</w:t>
      </w:r>
      <w:r w:rsidRPr="005675B2">
        <w:rPr>
          <w:spacing w:val="6"/>
          <w:rtl/>
          <w:lang w:bidi="ar-KW"/>
        </w:rPr>
        <w:t xml:space="preserve"> وبأقوال أئمة الإسلام وأعلام الأمة ينجلي في هذه القضية وجه الحق، وتتضح المحجة، ويتبين على وجه اليقين أنه ليس لأهل الحق في هذه المسألة إلا قولان، التفويض الذي عليه أكثر السلف، والتأويل الذي عليه أكثر الخلف وجماعات من السلف، وليس بعد هذين المذهبين إلا التعطيل أو التشبيه</w:t>
      </w:r>
      <w:r w:rsidR="000636C2">
        <w:rPr>
          <w:spacing w:val="6"/>
          <w:rtl/>
          <w:lang w:bidi="ar-KW"/>
        </w:rPr>
        <w:t>،</w:t>
      </w:r>
      <w:r w:rsidRPr="005675B2">
        <w:rPr>
          <w:spacing w:val="6"/>
          <w:rtl/>
          <w:lang w:bidi="ar-KW"/>
        </w:rPr>
        <w:t xml:space="preserve"> </w:t>
      </w:r>
    </w:p>
    <w:p w14:paraId="05F8FC43" w14:textId="77777777" w:rsidR="009C32A0" w:rsidRPr="005675B2" w:rsidRDefault="009C32A0" w:rsidP="000636C2">
      <w:pPr>
        <w:widowControl w:val="0"/>
        <w:spacing w:before="80" w:after="240"/>
        <w:jc w:val="center"/>
        <w:rPr>
          <w:rtl/>
          <w:lang w:bidi="ar-KW"/>
        </w:rPr>
      </w:pPr>
      <w:r w:rsidRPr="005675B2">
        <w:rPr>
          <w:rtl/>
          <w:lang w:bidi="ar-KW"/>
        </w:rPr>
        <w:t>* * * * *</w:t>
      </w:r>
    </w:p>
    <w:p w14:paraId="3BF257D4" w14:textId="6C391B0F" w:rsidR="009C32A0" w:rsidRPr="005675B2" w:rsidRDefault="009C32A0" w:rsidP="000636C2">
      <w:pPr>
        <w:widowControl w:val="0"/>
        <w:spacing w:before="80" w:after="240"/>
        <w:rPr>
          <w:b/>
          <w:bCs/>
          <w:rtl/>
          <w:lang w:bidi="ar-KW"/>
        </w:rPr>
      </w:pPr>
      <w:r w:rsidRPr="005675B2">
        <w:rPr>
          <w:bCs/>
          <w:rtl/>
        </w:rPr>
        <w:t>التأويل والتعطيل</w:t>
      </w:r>
      <w:r w:rsidR="000636C2">
        <w:rPr>
          <w:rFonts w:hint="cs"/>
          <w:rtl/>
          <w:lang w:bidi="ar-KW"/>
        </w:rPr>
        <w:t xml:space="preserve">: </w:t>
      </w:r>
      <w:r w:rsidRPr="005675B2">
        <w:rPr>
          <w:rtl/>
          <w:lang w:bidi="ar-KW"/>
        </w:rPr>
        <w:t>التأويل والتعطيل كلاهما أسند إلى الأشاعرة على سبيل القدح والتشنيع .. أما التأويل فقد تبين لك كونه شعاراً لأهل الحق أمام أهل البدعة من المشبهة والمجسمة، فاستحقوا به المدح لا القدح، والمنقبة لا المذمة</w:t>
      </w:r>
      <w:r w:rsidR="000636C2">
        <w:rPr>
          <w:rtl/>
          <w:lang w:bidi="ar-KW"/>
        </w:rPr>
        <w:t>،</w:t>
      </w:r>
      <w:r w:rsidRPr="005675B2">
        <w:rPr>
          <w:rtl/>
          <w:lang w:bidi="ar-KW"/>
        </w:rPr>
        <w:t xml:space="preserve"> وأما التعطيل فهم منه براء .. وكيف ينسب إلى الأشاعرة التعطيل وهم المثبتة للصفات المنزهون لله تعالى عن جميع الآفات وسمات النقص والمخلوقات، وهم المنتسبون إلى إمام أهل السنة، وشوكة أصحاب الحق في حلوق المبتدعة</w:t>
      </w:r>
      <w:r w:rsidR="000636C2">
        <w:rPr>
          <w:rtl/>
          <w:lang w:bidi="ar-KW"/>
        </w:rPr>
        <w:t xml:space="preserve">، </w:t>
      </w:r>
      <w:r w:rsidRPr="005675B2">
        <w:rPr>
          <w:rtl/>
          <w:lang w:bidi="ar-KW"/>
        </w:rPr>
        <w:t>وإنما الذي أوقع من يتهم الأشاعرة في ذلك أنهم لم يدركوا حقيقة الفرق بين التأويل والتعطيل، أو أنهم لم يدركوا الفرق بين نفي أصل الصفة ونفي المعنى الحسي الظاهر والحقيقة اللغوية التي لا تليق بالله تعالى</w:t>
      </w:r>
      <w:r w:rsidR="000636C2">
        <w:rPr>
          <w:rtl/>
          <w:lang w:bidi="ar-KW"/>
        </w:rPr>
        <w:t>،</w:t>
      </w:r>
      <w:r w:rsidRPr="005675B2">
        <w:rPr>
          <w:rtl/>
          <w:lang w:bidi="ar-KW"/>
        </w:rPr>
        <w:t xml:space="preserve"> وعلى أية حال سنحاول في ما يأتي بيان هذا الفرق، ولكن قبل ذلك لا بد من بيان معنى التعطيل</w:t>
      </w:r>
      <w:r w:rsidR="000636C2">
        <w:rPr>
          <w:rtl/>
          <w:lang w:bidi="ar-KW"/>
        </w:rPr>
        <w:t>،</w:t>
      </w:r>
      <w:r w:rsidRPr="005675B2">
        <w:rPr>
          <w:rtl/>
          <w:lang w:bidi="ar-KW"/>
        </w:rPr>
        <w:t xml:space="preserve"> </w:t>
      </w:r>
    </w:p>
    <w:p w14:paraId="5B20306A" w14:textId="77777777" w:rsidR="009C32A0" w:rsidRPr="005675B2" w:rsidRDefault="009C32A0" w:rsidP="000636C2">
      <w:pPr>
        <w:widowControl w:val="0"/>
        <w:spacing w:before="80" w:after="240"/>
        <w:jc w:val="center"/>
        <w:rPr>
          <w:b/>
          <w:bCs/>
          <w:rtl/>
        </w:rPr>
      </w:pPr>
      <w:r w:rsidRPr="005675B2">
        <w:rPr>
          <w:bCs/>
          <w:rtl/>
          <w:lang w:bidi="ar-KW"/>
        </w:rPr>
        <w:t>* * * * *</w:t>
      </w:r>
    </w:p>
    <w:p w14:paraId="7CEE2886" w14:textId="755CA1A0" w:rsidR="009C32A0" w:rsidRPr="005675B2" w:rsidRDefault="009C32A0" w:rsidP="000636C2">
      <w:pPr>
        <w:widowControl w:val="0"/>
        <w:spacing w:before="80" w:after="240"/>
        <w:rPr>
          <w:rtl/>
        </w:rPr>
      </w:pPr>
      <w:r w:rsidRPr="005675B2">
        <w:rPr>
          <w:bCs/>
          <w:rtl/>
        </w:rPr>
        <w:t>حقيقة التعطيل</w:t>
      </w:r>
      <w:r w:rsidR="000636C2">
        <w:rPr>
          <w:rFonts w:hint="cs"/>
          <w:bCs/>
          <w:rtl/>
        </w:rPr>
        <w:t xml:space="preserve">: </w:t>
      </w:r>
      <w:r w:rsidRPr="005675B2">
        <w:rPr>
          <w:rtl/>
        </w:rPr>
        <w:t>التعطيل هو التخلية والنفي، هذا في الأصل، يقال</w:t>
      </w:r>
      <w:r w:rsidR="000636C2">
        <w:rPr>
          <w:rtl/>
        </w:rPr>
        <w:t>:</w:t>
      </w:r>
      <w:r w:rsidRPr="005675B2">
        <w:rPr>
          <w:rtl/>
        </w:rPr>
        <w:t xml:space="preserve"> امرأة عاطل، إذا خلا جيدها من القلائد والزينة</w:t>
      </w:r>
      <w:r w:rsidR="000636C2">
        <w:rPr>
          <w:rtl/>
        </w:rPr>
        <w:t>،</w:t>
      </w:r>
      <w:r w:rsidRPr="005675B2">
        <w:rPr>
          <w:rtl/>
        </w:rPr>
        <w:t xml:space="preserve"> والمعطّلة هم نفاة صانع العالم، وهم هنا نفاة صفات الباري جلّ وعزّ، مثل الجهمية الذين نفوا صفات الله تعالى وعطّلوها</w:t>
      </w:r>
      <w:r w:rsidR="000636C2">
        <w:rPr>
          <w:rtl/>
        </w:rPr>
        <w:t>،</w:t>
      </w:r>
      <w:r w:rsidRPr="005675B2">
        <w:rPr>
          <w:rtl/>
        </w:rPr>
        <w:t xml:space="preserve"> </w:t>
      </w:r>
    </w:p>
    <w:p w14:paraId="57958A99" w14:textId="77777777" w:rsidR="009C32A0" w:rsidRPr="005675B2" w:rsidRDefault="009C32A0" w:rsidP="000636C2">
      <w:pPr>
        <w:widowControl w:val="0"/>
        <w:spacing w:before="80" w:after="240"/>
        <w:jc w:val="center"/>
        <w:rPr>
          <w:b/>
          <w:bCs/>
          <w:rtl/>
          <w:lang w:bidi="ar-KW"/>
        </w:rPr>
      </w:pPr>
      <w:r w:rsidRPr="005675B2">
        <w:rPr>
          <w:rtl/>
        </w:rPr>
        <w:t>* * * * *</w:t>
      </w:r>
    </w:p>
    <w:p w14:paraId="1EF2FB68" w14:textId="1F5E8F2B" w:rsidR="009C32A0" w:rsidRPr="005675B2" w:rsidRDefault="009C32A0" w:rsidP="000636C2">
      <w:pPr>
        <w:widowControl w:val="0"/>
        <w:spacing w:before="80" w:after="240"/>
        <w:rPr>
          <w:rtl/>
          <w:lang w:val="uz-Latn-UZ"/>
        </w:rPr>
      </w:pPr>
      <w:r w:rsidRPr="005675B2">
        <w:rPr>
          <w:bCs/>
          <w:rtl/>
        </w:rPr>
        <w:t>هل عطل الأشاعرة صفات الله تعالى</w:t>
      </w:r>
      <w:r w:rsidR="000636C2">
        <w:rPr>
          <w:rFonts w:hint="cs"/>
          <w:bCs/>
          <w:rtl/>
          <w:lang w:bidi="ar-KW"/>
        </w:rPr>
        <w:t xml:space="preserve">: </w:t>
      </w:r>
      <w:r w:rsidRPr="005675B2">
        <w:rPr>
          <w:spacing w:val="10"/>
          <w:rtl/>
        </w:rPr>
        <w:t>لقد مرّ معنا في هذا البحث اعتقاد الأشاعرة وتأويلهم لبعض الألفاظ التي يستحيل وصف الله تعالى بظاهرها وحقائقها التي يعهدها البشر من أنفسهم ومما حولهم، وهذا الذي ذهبوا إليه من التأويل هو عين ما كان يعرفه السلف الصالح ويعتقدونه، غير أن جمهورهم رضي الله عنهم أحجموا عن التصريح والتعيين حين احتمل اللفظ عندهم أكثر من معنى فتوقفـوا ورعاً وتهيّباً، ثم لعدم الحاجة إلى ذلك لسلامة عصرهم من البدع التي حدثت بعد، يشهد لهذا ما ذكرناه مراراً من تصريح البعض منهم بهذه المعاني التي قال بها الأشاعرة، ولو جاز وصف الأشاعرة بالتعطيل لأَخْذِهم بالتأويل لانسحب هذا الحكم على أجيال الصحابة والتابعيـن وتابعيهم</w:t>
      </w:r>
      <w:r w:rsidR="000636C2">
        <w:rPr>
          <w:spacing w:val="10"/>
          <w:rtl/>
        </w:rPr>
        <w:t xml:space="preserve">، </w:t>
      </w:r>
      <w:r w:rsidRPr="005675B2">
        <w:rPr>
          <w:rtl/>
          <w:lang w:bidi="ar-KW"/>
        </w:rPr>
        <w:t>ولقد نص العلماء على أن مذهب التأويل منقول عن السلف الصالح، وأخْذُ جمهورهم بمذهب التفويض - وهو ما يسميه العلماء تأويلاً إجمالياً- لا ينفى أخْذَ جماعاتٍ منهم بالتأويل</w:t>
      </w:r>
      <w:r w:rsidR="000636C2">
        <w:rPr>
          <w:rtl/>
          <w:lang w:bidi="ar-KW"/>
        </w:rPr>
        <w:t xml:space="preserve">، </w:t>
      </w:r>
      <w:r w:rsidRPr="005675B2">
        <w:rPr>
          <w:rtl/>
        </w:rPr>
        <w:t xml:space="preserve">قال الإمام النووي - رحمه الله - مثبتاً التأويل للسلف الصالح </w:t>
      </w:r>
      <w:r w:rsidR="000636C2">
        <w:rPr>
          <w:rtl/>
          <w:lang w:val="uz-Latn-UZ"/>
        </w:rPr>
        <w:t>(</w:t>
      </w:r>
      <w:r w:rsidRPr="005675B2">
        <w:rPr>
          <w:rtl/>
          <w:lang w:val="uz-Latn-UZ"/>
        </w:rPr>
        <w:t>شرح مسلم 6 / 36</w:t>
      </w:r>
      <w:r w:rsidR="000636C2">
        <w:rPr>
          <w:rtl/>
          <w:lang w:val="uz-Latn-UZ"/>
        </w:rPr>
        <w:t>)</w:t>
      </w:r>
      <w:r w:rsidRPr="005675B2">
        <w:rPr>
          <w:rtl/>
        </w:rPr>
        <w:t xml:space="preserve"> ما نصه</w:t>
      </w:r>
      <w:r w:rsidR="000636C2">
        <w:rPr>
          <w:rtl/>
        </w:rPr>
        <w:t>:</w:t>
      </w:r>
      <w:r w:rsidRPr="005675B2">
        <w:rPr>
          <w:rFonts w:hint="cs"/>
          <w:rtl/>
        </w:rPr>
        <w:t xml:space="preserve"> </w:t>
      </w:r>
      <w:r w:rsidR="000636C2">
        <w:rPr>
          <w:rtl/>
        </w:rPr>
        <w:t>(</w:t>
      </w:r>
      <w:r w:rsidRPr="005675B2">
        <w:rPr>
          <w:rtl/>
        </w:rPr>
        <w:t>هذا الحديث من أحاديث الصفات وفيه مذهبان مشهوران للعلماء ..</w:t>
      </w:r>
      <w:r w:rsidR="000636C2">
        <w:rPr>
          <w:rtl/>
        </w:rPr>
        <w:t>،</w:t>
      </w:r>
      <w:r w:rsidRPr="005675B2">
        <w:rPr>
          <w:rtl/>
        </w:rPr>
        <w:t xml:space="preserve"> ومختصرهما أن أحدهما وهو مذهب جمهور السلف وبعض المتكلمين .. </w:t>
      </w:r>
      <w:r w:rsidRPr="005675B2">
        <w:rPr>
          <w:bCs/>
          <w:rtl/>
        </w:rPr>
        <w:t>والثاني مذهب المتكلمين وجماعات من السلف وهو محكي عن مالك والأوزاعي أنها تتأولّ على ما يليق بها بحسب مواطنها</w:t>
      </w:r>
      <w:r w:rsidR="000636C2">
        <w:rPr>
          <w:bCs/>
          <w:rtl/>
        </w:rPr>
        <w:t>)</w:t>
      </w:r>
      <w:r w:rsidRPr="005675B2">
        <w:rPr>
          <w:bCs/>
          <w:rtl/>
        </w:rPr>
        <w:t xml:space="preserve"> </w:t>
      </w:r>
      <w:r w:rsidRPr="005675B2">
        <w:rPr>
          <w:rtl/>
        </w:rPr>
        <w:t>اهـ</w:t>
      </w:r>
      <w:r w:rsidR="000636C2">
        <w:rPr>
          <w:rtl/>
        </w:rPr>
        <w:t>،</w:t>
      </w:r>
      <w:r w:rsidRPr="005675B2">
        <w:rPr>
          <w:rtl/>
        </w:rPr>
        <w:t xml:space="preserve"> وقال الإمام الزركشي - رحمه الله تعالى - في النصـوص المتشـابهة </w:t>
      </w:r>
      <w:r w:rsidR="000636C2">
        <w:rPr>
          <w:rtl/>
        </w:rPr>
        <w:t>(</w:t>
      </w:r>
      <w:r w:rsidRPr="005675B2">
        <w:rPr>
          <w:rtl/>
        </w:rPr>
        <w:t>البرهان في علوم القرآن 2 /207</w:t>
      </w:r>
      <w:r w:rsidR="000636C2">
        <w:rPr>
          <w:rtl/>
        </w:rPr>
        <w:t>)</w:t>
      </w:r>
      <w:r w:rsidR="000636C2">
        <w:rPr>
          <w:rtl/>
          <w:lang w:bidi="ar-KW"/>
        </w:rPr>
        <w:t>:</w:t>
      </w:r>
      <w:r w:rsidRPr="005675B2">
        <w:rPr>
          <w:rFonts w:hint="cs"/>
          <w:rtl/>
        </w:rPr>
        <w:t xml:space="preserve"> </w:t>
      </w:r>
      <w:r w:rsidR="000636C2">
        <w:rPr>
          <w:rtl/>
        </w:rPr>
        <w:t>(</w:t>
      </w:r>
      <w:r w:rsidRPr="005675B2">
        <w:rPr>
          <w:rtl/>
        </w:rPr>
        <w:t>اختلف الناس في الوارد منها في الآيات والأحاديث على ثلاث فرق</w:t>
      </w:r>
      <w:r w:rsidR="000636C2">
        <w:rPr>
          <w:rtl/>
        </w:rPr>
        <w:t>:</w:t>
      </w:r>
      <w:r w:rsidRPr="005675B2">
        <w:rPr>
          <w:rFonts w:hint="cs"/>
          <w:rtl/>
        </w:rPr>
        <w:t xml:space="preserve"> </w:t>
      </w:r>
      <w:r w:rsidRPr="005675B2">
        <w:rPr>
          <w:rtl/>
        </w:rPr>
        <w:t>أحدها</w:t>
      </w:r>
      <w:r w:rsidR="000636C2">
        <w:rPr>
          <w:rtl/>
        </w:rPr>
        <w:t>:</w:t>
      </w:r>
      <w:r w:rsidRPr="005675B2">
        <w:rPr>
          <w:rtl/>
        </w:rPr>
        <w:t xml:space="preserve"> </w:t>
      </w:r>
      <w:r w:rsidRPr="005675B2">
        <w:rPr>
          <w:bCs/>
          <w:rtl/>
        </w:rPr>
        <w:t>أنه لا مدخل للتأويل فيها، بل تجري على ظاهرها ولا تؤول .. وهم المشبهة</w:t>
      </w:r>
      <w:r w:rsidR="000636C2">
        <w:rPr>
          <w:bCs/>
          <w:rtl/>
        </w:rPr>
        <w:t xml:space="preserve">، </w:t>
      </w:r>
      <w:r w:rsidRPr="005675B2">
        <w:rPr>
          <w:rtl/>
        </w:rPr>
        <w:t>والثاني</w:t>
      </w:r>
      <w:r w:rsidR="000636C2">
        <w:rPr>
          <w:rtl/>
        </w:rPr>
        <w:t>:</w:t>
      </w:r>
      <w:r w:rsidRPr="005675B2">
        <w:rPr>
          <w:rtl/>
        </w:rPr>
        <w:t xml:space="preserve"> أن لها تأويلاً ولكنّا نمسك عنه مع تنزيه اعتقادنا عن التشبيه والتعطيل، ونقول لا يعلمه إلا الله</w:t>
      </w:r>
      <w:r w:rsidR="000636C2">
        <w:rPr>
          <w:rtl/>
        </w:rPr>
        <w:t>،</w:t>
      </w:r>
      <w:r w:rsidRPr="005675B2">
        <w:rPr>
          <w:rtl/>
        </w:rPr>
        <w:t xml:space="preserve"> وهو قول السلف</w:t>
      </w:r>
      <w:r w:rsidR="000636C2">
        <w:rPr>
          <w:rtl/>
        </w:rPr>
        <w:t>،</w:t>
      </w:r>
      <w:r w:rsidRPr="005675B2">
        <w:rPr>
          <w:rtl/>
        </w:rPr>
        <w:t xml:space="preserve"> </w:t>
      </w:r>
      <w:r w:rsidRPr="005675B2">
        <w:rPr>
          <w:bCs/>
          <w:rtl/>
        </w:rPr>
        <w:t>والثالث</w:t>
      </w:r>
      <w:r w:rsidR="000636C2">
        <w:rPr>
          <w:bCs/>
          <w:rtl/>
        </w:rPr>
        <w:t>:</w:t>
      </w:r>
      <w:r w:rsidRPr="005675B2">
        <w:rPr>
          <w:bCs/>
          <w:rtl/>
        </w:rPr>
        <w:t xml:space="preserve"> أنها مؤوّلة، وأولوها على ما يليق به</w:t>
      </w:r>
      <w:r w:rsidR="000636C2">
        <w:rPr>
          <w:bCs/>
          <w:rtl/>
        </w:rPr>
        <w:t>،</w:t>
      </w:r>
      <w:r w:rsidRPr="005675B2">
        <w:rPr>
          <w:bCs/>
          <w:rtl/>
        </w:rPr>
        <w:t xml:space="preserve"> والأول باطل، والأخيران منقولان عن الصحابة .. وممن نُقٍل عنه التأويل عليّ وابن مسعود وابن عباس وغيرهم</w:t>
      </w:r>
      <w:r w:rsidR="000636C2">
        <w:rPr>
          <w:bCs/>
          <w:rtl/>
        </w:rPr>
        <w:t>)</w:t>
      </w:r>
      <w:r w:rsidRPr="005675B2">
        <w:rPr>
          <w:bCs/>
          <w:rtl/>
        </w:rPr>
        <w:t xml:space="preserve"> </w:t>
      </w:r>
      <w:r w:rsidRPr="005675B2">
        <w:rPr>
          <w:rtl/>
        </w:rPr>
        <w:t>اهـ</w:t>
      </w:r>
      <w:r w:rsidR="000636C2">
        <w:rPr>
          <w:rtl/>
        </w:rPr>
        <w:t xml:space="preserve">، </w:t>
      </w:r>
      <w:r w:rsidRPr="005675B2">
        <w:rPr>
          <w:rtl/>
        </w:rPr>
        <w:t xml:space="preserve">وقال العلامة الشوكاني - رحمه الله تعالى - </w:t>
      </w:r>
      <w:r w:rsidR="000636C2">
        <w:rPr>
          <w:rtl/>
          <w:lang w:val="uz-Latn-UZ"/>
        </w:rPr>
        <w:t>(</w:t>
      </w:r>
      <w:r w:rsidRPr="005675B2">
        <w:rPr>
          <w:rtl/>
          <w:lang w:val="uz-Latn-UZ"/>
        </w:rPr>
        <w:t>إرشاد الفحول ص / 176</w:t>
      </w:r>
      <w:r w:rsidR="000636C2">
        <w:rPr>
          <w:rtl/>
          <w:lang w:val="uz-Latn-UZ"/>
        </w:rPr>
        <w:t>)</w:t>
      </w:r>
      <w:r w:rsidR="000636C2">
        <w:rPr>
          <w:rtl/>
          <w:lang w:val="uz-Latn-UZ" w:bidi="ar-KW"/>
        </w:rPr>
        <w:t>:</w:t>
      </w:r>
      <w:r w:rsidRPr="005675B2">
        <w:rPr>
          <w:rFonts w:hint="cs"/>
          <w:rtl/>
        </w:rPr>
        <w:t xml:space="preserve"> </w:t>
      </w:r>
      <w:r w:rsidR="000636C2">
        <w:rPr>
          <w:rtl/>
        </w:rPr>
        <w:t>(</w:t>
      </w:r>
      <w:r w:rsidRPr="005675B2">
        <w:rPr>
          <w:rtl/>
        </w:rPr>
        <w:t>الفصل الثاني</w:t>
      </w:r>
      <w:r w:rsidR="000636C2">
        <w:rPr>
          <w:rtl/>
        </w:rPr>
        <w:t>:</w:t>
      </w:r>
      <w:r w:rsidRPr="005675B2">
        <w:rPr>
          <w:rtl/>
        </w:rPr>
        <w:t xml:space="preserve"> فيما يدخله التأويل، وهو قسمان، أحدهما أغلب الفروع، ولا خلاف في ذلك، والثاني</w:t>
      </w:r>
      <w:r w:rsidR="000636C2">
        <w:rPr>
          <w:rtl/>
        </w:rPr>
        <w:t>:</w:t>
      </w:r>
      <w:r w:rsidRPr="005675B2">
        <w:rPr>
          <w:rtl/>
        </w:rPr>
        <w:t xml:space="preserve"> الأصول كالعقائد وأصول الديانات وصفات الباري عزّ وجلّ</w:t>
      </w:r>
      <w:r w:rsidR="000636C2">
        <w:rPr>
          <w:rtl/>
        </w:rPr>
        <w:t>،</w:t>
      </w:r>
      <w:r w:rsidRPr="005675B2">
        <w:rPr>
          <w:rtl/>
        </w:rPr>
        <w:t xml:space="preserve"> وقد اختلفوا في هذا القسم على ثلاثة مذاهب</w:t>
      </w:r>
      <w:r w:rsidR="000636C2">
        <w:rPr>
          <w:rtl/>
        </w:rPr>
        <w:t>)،</w:t>
      </w:r>
      <w:r w:rsidRPr="005675B2">
        <w:rPr>
          <w:rtl/>
        </w:rPr>
        <w:t xml:space="preserve"> ونقل المذاهب الثلاثة التي ذكرها الزركشي ثم قال</w:t>
      </w:r>
      <w:r w:rsidR="000636C2">
        <w:rPr>
          <w:rtl/>
        </w:rPr>
        <w:t>:</w:t>
      </w:r>
      <w:r w:rsidRPr="005675B2">
        <w:rPr>
          <w:rFonts w:hint="cs"/>
          <w:rtl/>
        </w:rPr>
        <w:t xml:space="preserve"> </w:t>
      </w:r>
      <w:r w:rsidR="000636C2">
        <w:rPr>
          <w:bCs/>
          <w:rtl/>
        </w:rPr>
        <w:t>(</w:t>
      </w:r>
      <w:r w:rsidRPr="005675B2">
        <w:rPr>
          <w:bCs/>
          <w:rtl/>
        </w:rPr>
        <w:t>قال ابن برهان</w:t>
      </w:r>
      <w:r w:rsidR="000636C2">
        <w:rPr>
          <w:bCs/>
          <w:rtl/>
        </w:rPr>
        <w:t>:</w:t>
      </w:r>
      <w:r w:rsidRPr="005675B2">
        <w:rPr>
          <w:bCs/>
          <w:rtl/>
        </w:rPr>
        <w:t xml:space="preserve"> الأول من هذه المذاهب باطل، والآخران منقولان عن الصحابة، ونُقِلَ هذا المذهب الثالث عن عليّ وابن مسعود وابن عباس وأم سلمة</w:t>
      </w:r>
      <w:r w:rsidR="000636C2">
        <w:rPr>
          <w:bCs/>
          <w:rtl/>
        </w:rPr>
        <w:t>)</w:t>
      </w:r>
      <w:r w:rsidRPr="005675B2">
        <w:rPr>
          <w:bCs/>
          <w:rtl/>
        </w:rPr>
        <w:t xml:space="preserve"> </w:t>
      </w:r>
      <w:r w:rsidRPr="005675B2">
        <w:rPr>
          <w:rtl/>
        </w:rPr>
        <w:t>اهـ</w:t>
      </w:r>
      <w:r w:rsidR="000636C2">
        <w:rPr>
          <w:rtl/>
        </w:rPr>
        <w:t xml:space="preserve">، </w:t>
      </w:r>
      <w:r w:rsidRPr="005675B2">
        <w:rPr>
          <w:rtl/>
        </w:rPr>
        <w:t>ويؤيد هذا أيضاً ما نقله العلماء عن بعض أئمة السلف من التأويلات لبعض نصـوص المتشابه، نذكر منها على سبيل الإجمال</w:t>
      </w:r>
      <w:r w:rsidR="000636C2">
        <w:rPr>
          <w:rtl/>
        </w:rPr>
        <w:t>:</w:t>
      </w:r>
      <w:r w:rsidRPr="005675B2">
        <w:rPr>
          <w:rFonts w:hint="cs"/>
          <w:rtl/>
        </w:rPr>
        <w:t xml:space="preserve"> </w:t>
      </w:r>
      <w:r w:rsidRPr="005675B2">
        <w:rPr>
          <w:rtl/>
        </w:rPr>
        <w:t>تأويل ابن عباس رضي الله عنهما للفظ الساق بشدة الأمر، وكذلك مجاهد وعكرمة والضحاك وقتادة وسعيد بن جبير وغيرهم</w:t>
      </w:r>
      <w:r w:rsidR="000636C2">
        <w:rPr>
          <w:rtl/>
        </w:rPr>
        <w:t>،</w:t>
      </w:r>
      <w:r w:rsidRPr="005675B2">
        <w:rPr>
          <w:rtl/>
        </w:rPr>
        <w:t xml:space="preserve"> </w:t>
      </w:r>
      <w:r w:rsidR="000636C2">
        <w:rPr>
          <w:rtl/>
          <w:lang w:val="uz-Latn-UZ" w:bidi="ar-KW"/>
        </w:rPr>
        <w:t>(</w:t>
      </w:r>
      <w:r w:rsidRPr="005675B2">
        <w:rPr>
          <w:rtl/>
          <w:lang w:val="uz-Latn-UZ" w:bidi="ar-KW"/>
        </w:rPr>
        <w:t>الطبري 29 / 38، القرطبي 18 / 249</w:t>
      </w:r>
      <w:r w:rsidR="000636C2">
        <w:rPr>
          <w:rtl/>
          <w:lang w:val="uz-Latn-UZ" w:bidi="ar-KW"/>
        </w:rPr>
        <w:t>)</w:t>
      </w:r>
      <w:r w:rsidRPr="005675B2">
        <w:rPr>
          <w:rFonts w:hint="cs"/>
          <w:rtl/>
          <w:lang w:val="uz-Latn-UZ" w:bidi="ar-KW"/>
        </w:rPr>
        <w:t xml:space="preserve"> </w:t>
      </w:r>
      <w:r w:rsidRPr="005675B2">
        <w:rPr>
          <w:rtl/>
        </w:rPr>
        <w:t xml:space="preserve">وتأويلهم للفظ الوجه في قوله تعالى </w:t>
      </w:r>
      <w:r w:rsidR="000636C2">
        <w:rPr>
          <w:bCs/>
          <w:rtl/>
        </w:rPr>
        <w:t>(</w:t>
      </w:r>
      <w:r w:rsidRPr="005675B2">
        <w:rPr>
          <w:bCs/>
          <w:rtl/>
        </w:rPr>
        <w:t>فأينما تولّوا فثمّ وجه الله</w:t>
      </w:r>
      <w:r w:rsidR="000636C2">
        <w:rPr>
          <w:bCs/>
          <w:rtl/>
        </w:rPr>
        <w:t>)،</w:t>
      </w:r>
      <w:r w:rsidRPr="005675B2">
        <w:rPr>
          <w:bCs/>
          <w:rtl/>
        </w:rPr>
        <w:t xml:space="preserve"> قال مجاهد</w:t>
      </w:r>
      <w:r w:rsidR="000636C2">
        <w:rPr>
          <w:bCs/>
          <w:rtl/>
        </w:rPr>
        <w:t>:</w:t>
      </w:r>
      <w:r w:rsidRPr="005675B2">
        <w:rPr>
          <w:bCs/>
          <w:rtl/>
        </w:rPr>
        <w:t xml:space="preserve"> قبلة الله</w:t>
      </w:r>
      <w:r w:rsidR="000636C2">
        <w:rPr>
          <w:bCs/>
          <w:rtl/>
        </w:rPr>
        <w:t>،</w:t>
      </w:r>
      <w:r w:rsidRPr="005675B2">
        <w:rPr>
          <w:bCs/>
          <w:rtl/>
        </w:rPr>
        <w:t xml:space="preserve"> </w:t>
      </w:r>
      <w:r w:rsidR="000636C2">
        <w:rPr>
          <w:bCs/>
          <w:rtl/>
          <w:lang w:val="uz-Latn-UZ"/>
        </w:rPr>
        <w:t>(</w:t>
      </w:r>
      <w:r w:rsidRPr="005675B2">
        <w:rPr>
          <w:bCs/>
          <w:rtl/>
          <w:lang w:val="uz-Latn-UZ"/>
        </w:rPr>
        <w:t>الطبري 1 / 402</w:t>
      </w:r>
      <w:r w:rsidR="000636C2">
        <w:rPr>
          <w:bCs/>
          <w:rtl/>
          <w:lang w:val="uz-Latn-UZ"/>
        </w:rPr>
        <w:t>)</w:t>
      </w:r>
      <w:r w:rsidR="000636C2">
        <w:rPr>
          <w:bCs/>
          <w:rtl/>
        </w:rPr>
        <w:t xml:space="preserve">، </w:t>
      </w:r>
      <w:r w:rsidRPr="005675B2">
        <w:rPr>
          <w:bCs/>
          <w:rtl/>
        </w:rPr>
        <w:t xml:space="preserve">وقوله تعالى </w:t>
      </w:r>
      <w:r w:rsidR="000636C2">
        <w:rPr>
          <w:bCs/>
          <w:rtl/>
        </w:rPr>
        <w:t>(</w:t>
      </w:r>
      <w:r w:rsidRPr="005675B2">
        <w:rPr>
          <w:bCs/>
          <w:rtl/>
        </w:rPr>
        <w:t>كلّ شئٍ هالكٌ إلا وجهه</w:t>
      </w:r>
      <w:r w:rsidR="000636C2">
        <w:rPr>
          <w:bCs/>
          <w:rtl/>
        </w:rPr>
        <w:t>)</w:t>
      </w:r>
      <w:r w:rsidRPr="005675B2">
        <w:rPr>
          <w:rFonts w:hint="cs"/>
          <w:bCs/>
          <w:rtl/>
        </w:rPr>
        <w:t xml:space="preserve"> </w:t>
      </w:r>
      <w:r w:rsidRPr="005675B2">
        <w:rPr>
          <w:rtl/>
        </w:rPr>
        <w:t>قال مجاهد وأبو عبيدة والضحاك</w:t>
      </w:r>
      <w:r w:rsidR="000636C2">
        <w:rPr>
          <w:rtl/>
        </w:rPr>
        <w:t>:</w:t>
      </w:r>
      <w:r w:rsidRPr="005675B2">
        <w:rPr>
          <w:rtl/>
        </w:rPr>
        <w:t xml:space="preserve"> إلا هو</w:t>
      </w:r>
      <w:r w:rsidR="000636C2">
        <w:rPr>
          <w:rtl/>
        </w:rPr>
        <w:t>،</w:t>
      </w:r>
      <w:r w:rsidRPr="005675B2">
        <w:rPr>
          <w:rtl/>
        </w:rPr>
        <w:t xml:space="preserve"> </w:t>
      </w:r>
      <w:r w:rsidR="000636C2">
        <w:rPr>
          <w:rtl/>
          <w:lang w:val="uz-Latn-UZ"/>
        </w:rPr>
        <w:t>(</w:t>
      </w:r>
      <w:r w:rsidRPr="005675B2">
        <w:rPr>
          <w:rtl/>
          <w:lang w:val="uz-Latn-UZ"/>
        </w:rPr>
        <w:t>القرطبي 13 / 322، الطبري 20 / 82، دفع شبه التشبيه ص / 113</w:t>
      </w:r>
      <w:r w:rsidR="000636C2">
        <w:rPr>
          <w:rtl/>
          <w:lang w:val="uz-Latn-UZ"/>
        </w:rPr>
        <w:t xml:space="preserve">)، </w:t>
      </w:r>
      <w:r w:rsidRPr="005675B2">
        <w:rPr>
          <w:rtl/>
        </w:rPr>
        <w:t>وقال أبو العالية وسفيان</w:t>
      </w:r>
      <w:r w:rsidR="000636C2">
        <w:rPr>
          <w:rtl/>
        </w:rPr>
        <w:t>:</w:t>
      </w:r>
      <w:r w:rsidRPr="005675B2">
        <w:rPr>
          <w:rtl/>
        </w:rPr>
        <w:t xml:space="preserve"> إلا ما أريد به وجهه</w:t>
      </w:r>
      <w:r w:rsidR="000636C2">
        <w:rPr>
          <w:rtl/>
        </w:rPr>
        <w:t>،</w:t>
      </w:r>
      <w:r w:rsidRPr="005675B2">
        <w:rPr>
          <w:rtl/>
        </w:rPr>
        <w:t xml:space="preserve"> وقال الصادق</w:t>
      </w:r>
      <w:r w:rsidR="000636C2">
        <w:rPr>
          <w:rtl/>
        </w:rPr>
        <w:t>:</w:t>
      </w:r>
      <w:r w:rsidRPr="005675B2">
        <w:rPr>
          <w:rtl/>
        </w:rPr>
        <w:t xml:space="preserve"> دينه</w:t>
      </w:r>
      <w:r w:rsidR="000636C2">
        <w:rPr>
          <w:rtl/>
        </w:rPr>
        <w:t>،</w:t>
      </w:r>
      <w:r w:rsidRPr="005675B2">
        <w:rPr>
          <w:rtl/>
        </w:rPr>
        <w:t xml:space="preserve"> وقال أبو عبيدة أيضاً</w:t>
      </w:r>
      <w:r w:rsidR="000636C2">
        <w:rPr>
          <w:rtl/>
        </w:rPr>
        <w:t>:</w:t>
      </w:r>
      <w:r w:rsidRPr="005675B2">
        <w:rPr>
          <w:rtl/>
        </w:rPr>
        <w:t xml:space="preserve"> إلا جاهه</w:t>
      </w:r>
      <w:r w:rsidR="000636C2">
        <w:rPr>
          <w:rtl/>
        </w:rPr>
        <w:t>،</w:t>
      </w:r>
      <w:r w:rsidRPr="005675B2">
        <w:rPr>
          <w:rtl/>
        </w:rPr>
        <w:t xml:space="preserve"> </w:t>
      </w:r>
      <w:r w:rsidR="000636C2">
        <w:rPr>
          <w:rtl/>
          <w:lang w:val="uz-Latn-UZ"/>
        </w:rPr>
        <w:t>(</w:t>
      </w:r>
      <w:r w:rsidRPr="005675B2">
        <w:rPr>
          <w:rtl/>
          <w:lang w:val="uz-Latn-UZ"/>
        </w:rPr>
        <w:t>القرطبي 13 / 322</w:t>
      </w:r>
      <w:r w:rsidR="000636C2">
        <w:rPr>
          <w:rtl/>
          <w:lang w:val="uz-Latn-UZ"/>
        </w:rPr>
        <w:t>)،</w:t>
      </w:r>
      <w:r w:rsidRPr="005675B2">
        <w:rPr>
          <w:rtl/>
          <w:lang w:val="uz-Latn-UZ"/>
        </w:rPr>
        <w:t xml:space="preserve"> </w:t>
      </w:r>
      <w:r w:rsidRPr="005675B2">
        <w:rPr>
          <w:rtl/>
        </w:rPr>
        <w:t xml:space="preserve">وتأويل ابن جرير الطبري للاستواء بالعلو والسلطان </w:t>
      </w:r>
      <w:r w:rsidR="000636C2">
        <w:rPr>
          <w:rtl/>
          <w:lang w:val="uz-Latn-UZ"/>
        </w:rPr>
        <w:t>(</w:t>
      </w:r>
      <w:r w:rsidRPr="005675B2">
        <w:rPr>
          <w:rtl/>
          <w:lang w:val="uz-Latn-UZ"/>
        </w:rPr>
        <w:t>في تفسيره 1/192</w:t>
      </w:r>
      <w:r w:rsidR="000636C2">
        <w:rPr>
          <w:rtl/>
          <w:lang w:val="uz-Latn-UZ"/>
        </w:rPr>
        <w:t>)</w:t>
      </w:r>
      <w:r w:rsidRPr="005675B2">
        <w:rPr>
          <w:rtl/>
        </w:rPr>
        <w:t xml:space="preserve"> ويروى شيء قريب من هذا عن الحسن والثوري</w:t>
      </w:r>
      <w:r w:rsidR="000636C2">
        <w:rPr>
          <w:rtl/>
        </w:rPr>
        <w:t>،</w:t>
      </w:r>
      <w:r w:rsidRPr="005675B2">
        <w:rPr>
          <w:rtl/>
        </w:rPr>
        <w:t xml:space="preserve"> </w:t>
      </w:r>
      <w:r w:rsidR="000636C2">
        <w:rPr>
          <w:rtl/>
          <w:lang w:val="uz-Latn-UZ"/>
        </w:rPr>
        <w:t>(</w:t>
      </w:r>
      <w:r w:rsidRPr="005675B2">
        <w:rPr>
          <w:rtl/>
          <w:lang w:val="uz-Latn-UZ"/>
        </w:rPr>
        <w:t>مرقاة المفاتيح 2/ 137، وتفسير العز بن عبد السلام 1 / 485 - 486</w:t>
      </w:r>
      <w:r w:rsidR="000636C2">
        <w:rPr>
          <w:rtl/>
          <w:lang w:val="uz-Latn-UZ"/>
        </w:rPr>
        <w:t>)،</w:t>
      </w:r>
      <w:r w:rsidRPr="005675B2">
        <w:rPr>
          <w:rtl/>
          <w:lang w:val="uz-Latn-UZ"/>
        </w:rPr>
        <w:t xml:space="preserve"> </w:t>
      </w:r>
      <w:r w:rsidR="000636C2">
        <w:rPr>
          <w:bCs/>
          <w:rtl/>
        </w:rPr>
        <w:t>(</w:t>
      </w:r>
      <w:r w:rsidRPr="005675B2">
        <w:rPr>
          <w:bCs/>
          <w:rtl/>
        </w:rPr>
        <w:t>وجاء ربك</w:t>
      </w:r>
      <w:r w:rsidR="000636C2">
        <w:rPr>
          <w:bCs/>
          <w:rtl/>
        </w:rPr>
        <w:t>)</w:t>
      </w:r>
      <w:r w:rsidRPr="005675B2">
        <w:rPr>
          <w:rFonts w:hint="cs"/>
          <w:rtl/>
          <w:lang w:val="uz-Latn-UZ"/>
        </w:rPr>
        <w:t xml:space="preserve"> </w:t>
      </w:r>
      <w:r w:rsidRPr="005675B2">
        <w:rPr>
          <w:rtl/>
        </w:rPr>
        <w:t>وتأويل أحمد لقوله تعالى قال</w:t>
      </w:r>
      <w:r w:rsidR="000636C2">
        <w:rPr>
          <w:rtl/>
        </w:rPr>
        <w:t>:</w:t>
      </w:r>
      <w:r w:rsidRPr="005675B2">
        <w:rPr>
          <w:rtl/>
        </w:rPr>
        <w:t xml:space="preserve"> جاء ثوابه</w:t>
      </w:r>
      <w:r w:rsidR="000636C2">
        <w:rPr>
          <w:rtl/>
        </w:rPr>
        <w:t>،</w:t>
      </w:r>
      <w:r w:rsidRPr="005675B2">
        <w:rPr>
          <w:rtl/>
        </w:rPr>
        <w:t xml:space="preserve"> </w:t>
      </w:r>
      <w:r w:rsidR="000636C2">
        <w:rPr>
          <w:rtl/>
          <w:lang w:bidi="ar-KW"/>
        </w:rPr>
        <w:t>(</w:t>
      </w:r>
      <w:r w:rsidRPr="005675B2">
        <w:rPr>
          <w:rtl/>
          <w:lang w:bidi="ar-KW"/>
        </w:rPr>
        <w:t xml:space="preserve">ذكره ابن كثير من رواية البيهقي </w:t>
      </w:r>
      <w:r w:rsidRPr="005675B2">
        <w:rPr>
          <w:rtl/>
        </w:rPr>
        <w:t>ثم نقل قول البيهقي</w:t>
      </w:r>
      <w:r w:rsidR="000636C2">
        <w:rPr>
          <w:rtl/>
        </w:rPr>
        <w:t>:</w:t>
      </w:r>
      <w:r w:rsidRPr="005675B2">
        <w:rPr>
          <w:rtl/>
        </w:rPr>
        <w:t xml:space="preserve"> وهذا إسناد لا غبار عليه</w:t>
      </w:r>
      <w:r w:rsidR="000636C2">
        <w:rPr>
          <w:rtl/>
        </w:rPr>
        <w:t>،</w:t>
      </w:r>
      <w:r w:rsidRPr="005675B2">
        <w:rPr>
          <w:rtl/>
        </w:rPr>
        <w:t xml:space="preserve"> البداية والنهاية 10 / 327</w:t>
      </w:r>
      <w:r w:rsidR="000636C2">
        <w:rPr>
          <w:rtl/>
        </w:rPr>
        <w:t>)</w:t>
      </w:r>
      <w:r w:rsidRPr="005675B2">
        <w:rPr>
          <w:rtl/>
        </w:rPr>
        <w:t>، وهو مروي عن سيدنا ابن عباس رضي الله عنهما</w:t>
      </w:r>
      <w:r w:rsidR="000636C2">
        <w:rPr>
          <w:rtl/>
        </w:rPr>
        <w:t>،</w:t>
      </w:r>
      <w:r w:rsidRPr="005675B2">
        <w:rPr>
          <w:rtl/>
        </w:rPr>
        <w:t xml:space="preserve"> </w:t>
      </w:r>
      <w:r w:rsidR="000636C2">
        <w:rPr>
          <w:rtl/>
        </w:rPr>
        <w:t>(</w:t>
      </w:r>
      <w:r w:rsidRPr="005675B2">
        <w:rPr>
          <w:rtl/>
        </w:rPr>
        <w:t>تفسير النسفي 4 / 378، في هامش تفسير الخازن</w:t>
      </w:r>
      <w:r w:rsidR="000636C2">
        <w:rPr>
          <w:rtl/>
        </w:rPr>
        <w:t>)،</w:t>
      </w:r>
      <w:r w:rsidRPr="005675B2">
        <w:rPr>
          <w:rtl/>
        </w:rPr>
        <w:t xml:space="preserve"> وتأويـل البخاري للضحك بالرحمة</w:t>
      </w:r>
      <w:r w:rsidR="000636C2">
        <w:rPr>
          <w:rtl/>
        </w:rPr>
        <w:t>،</w:t>
      </w:r>
      <w:r w:rsidRPr="005675B2">
        <w:rPr>
          <w:rtl/>
        </w:rPr>
        <w:t xml:space="preserve"> </w:t>
      </w:r>
      <w:r w:rsidR="000636C2">
        <w:rPr>
          <w:rtl/>
        </w:rPr>
        <w:t>(</w:t>
      </w:r>
      <w:r w:rsidRPr="005675B2">
        <w:rPr>
          <w:rtl/>
        </w:rPr>
        <w:t>الأسماء والصفات للبيهقي ص / 470</w:t>
      </w:r>
      <w:r w:rsidR="000636C2">
        <w:rPr>
          <w:rtl/>
        </w:rPr>
        <w:t>)</w:t>
      </w:r>
      <w:r w:rsidRPr="005675B2">
        <w:rPr>
          <w:rtl/>
        </w:rPr>
        <w:t xml:space="preserve"> وتأويـله لقوله تعالى ق</w:t>
      </w:r>
      <w:r w:rsidR="000636C2">
        <w:rPr>
          <w:bCs/>
          <w:rtl/>
        </w:rPr>
        <w:t>(</w:t>
      </w:r>
      <w:r w:rsidRPr="005675B2">
        <w:rPr>
          <w:bCs/>
          <w:rtl/>
        </w:rPr>
        <w:t>كلّ شـئٍ هالكٌ إلا وجهه</w:t>
      </w:r>
      <w:r w:rsidR="000636C2">
        <w:rPr>
          <w:bCs/>
          <w:rtl/>
        </w:rPr>
        <w:t>)</w:t>
      </w:r>
      <w:r w:rsidRPr="005675B2">
        <w:rPr>
          <w:bCs/>
          <w:rtl/>
        </w:rPr>
        <w:t xml:space="preserve"> </w:t>
      </w:r>
      <w:r w:rsidRPr="005675B2">
        <w:rPr>
          <w:rtl/>
        </w:rPr>
        <w:t>قال</w:t>
      </w:r>
      <w:r w:rsidR="000636C2">
        <w:rPr>
          <w:rtl/>
        </w:rPr>
        <w:t>:</w:t>
      </w:r>
      <w:r w:rsidRPr="005675B2">
        <w:rPr>
          <w:rtl/>
        </w:rPr>
        <w:t xml:space="preserve"> إلا ملكه</w:t>
      </w:r>
      <w:r w:rsidR="000636C2">
        <w:rPr>
          <w:rtl/>
        </w:rPr>
        <w:t>،</w:t>
      </w:r>
      <w:r w:rsidRPr="005675B2">
        <w:rPr>
          <w:rtl/>
        </w:rPr>
        <w:t xml:space="preserve"> </w:t>
      </w:r>
      <w:r w:rsidR="000636C2">
        <w:rPr>
          <w:rtl/>
          <w:lang w:val="uz-Latn-UZ"/>
        </w:rPr>
        <w:t>(</w:t>
      </w:r>
      <w:r w:rsidRPr="005675B2">
        <w:rPr>
          <w:rtl/>
          <w:lang w:val="uz-Latn-UZ"/>
        </w:rPr>
        <w:t>الفتح 8 / 364</w:t>
      </w:r>
      <w:r w:rsidR="000636C2">
        <w:rPr>
          <w:rtl/>
          <w:lang w:val="uz-Latn-UZ"/>
        </w:rPr>
        <w:t>)</w:t>
      </w:r>
      <w:r w:rsidR="000636C2">
        <w:rPr>
          <w:rtl/>
        </w:rPr>
        <w:t>،</w:t>
      </w:r>
      <w:r w:rsidRPr="005675B2">
        <w:rPr>
          <w:rtl/>
        </w:rPr>
        <w:t xml:space="preserve"> وغير ذلك مما سيأتي بيانه وتفصيله في مبحث تأويلات السلف الصالح، وهي كثيرة جداً تزخر بها كتب التفسير والحديث وغيرها</w:t>
      </w:r>
      <w:r w:rsidR="000636C2">
        <w:rPr>
          <w:rtl/>
        </w:rPr>
        <w:t>،</w:t>
      </w:r>
      <w:r w:rsidRPr="005675B2">
        <w:rPr>
          <w:rtl/>
        </w:rPr>
        <w:t xml:space="preserve"> وهو أمر ثابت لا سبيل إلى جحده، ولن يتأتى لمكابر إنكاره</w:t>
      </w:r>
      <w:r w:rsidR="000636C2">
        <w:rPr>
          <w:rtl/>
        </w:rPr>
        <w:t xml:space="preserve">، </w:t>
      </w:r>
      <w:r w:rsidRPr="005675B2">
        <w:rPr>
          <w:rtl/>
          <w:lang w:bidi="ar-KW"/>
        </w:rPr>
        <w:t>إن التعطيل كما هو واضح من تعريفه نفي صفات الباري سبحانه، والأشاعرة لم ينفوا صفة لله تعالى ثبتت بطريق صحيح، ومؤلفاتهم تشهد بهذا، غاية ما فعلوه أنهم حملوا هذه النصوص التي تقتضي ظواهرها وحقائقها تشبيه الله تعالى بخلقه على وجه تعرفه العرب لا ينافي تنزيه الله تعالى، وفرق كبير بين نفي ما أثبته الله تعالى كما فعل الجهمية، وبين إثباته ثم حمله على معنى لائق بالله تعالى مشهور في اللسان العربي بعد أن استحال الظاهر</w:t>
      </w:r>
      <w:r w:rsidR="000636C2">
        <w:rPr>
          <w:rtl/>
          <w:lang w:bidi="ar-KW"/>
        </w:rPr>
        <w:t xml:space="preserve">، </w:t>
      </w:r>
      <w:r w:rsidRPr="005675B2">
        <w:rPr>
          <w:rtl/>
        </w:rPr>
        <w:t xml:space="preserve">ولنأخذ على ذلك مثالاً ليزداد الأمر وضوحاً، قال الله تعالى </w:t>
      </w:r>
      <w:r w:rsidR="000636C2">
        <w:rPr>
          <w:bCs/>
          <w:rtl/>
        </w:rPr>
        <w:t>(</w:t>
      </w:r>
      <w:r w:rsidRPr="005675B2">
        <w:rPr>
          <w:bCs/>
          <w:rtl/>
        </w:rPr>
        <w:t>الرحمن على العرش استوي</w:t>
      </w:r>
      <w:r w:rsidR="000636C2">
        <w:rPr>
          <w:bCs/>
          <w:rtl/>
        </w:rPr>
        <w:t xml:space="preserve">) </w:t>
      </w:r>
      <w:r w:rsidRPr="005675B2">
        <w:rPr>
          <w:rtl/>
        </w:rPr>
        <w:t>فللاستواء في اللغة معانٍ كثيرةٌ ما بين حقيقة ومجاز، وكل ما كان حقيقة من معاني الاستواء لا يليق بالله تعالى، لأن الاستواء فعل حسِّي جسماني وكل ما كان من هذا القبيل ظاهره وحقيقته اللغوية قطعاً لا تليق بالله تعالى، ولهذا فإنه لا محيص من المصير إلى المعاني المجازية، وهذا ما فعله العلماء، فهم رحمهم الله عندما رأوا استحالة المعاني الحقيقية للاستواء في حق الله تعالى أثبتوا ما أثبته الله تعالى لنفسه أو أثبته له رسوله عليه الصلاة والسلام، ثم نزَّهوا الله عن ظاهر اللفظ فنفوا الحقيقة اللغوية المعهودة بين الخلق، وقالوا استوى ربُّنا تعالى كما أخبر استواءً ليس كاستواء البشر</w:t>
      </w:r>
      <w:r w:rsidR="000636C2">
        <w:rPr>
          <w:rtl/>
        </w:rPr>
        <w:t xml:space="preserve"> </w:t>
      </w:r>
      <w:r w:rsidRPr="005675B2">
        <w:rPr>
          <w:rtl/>
        </w:rPr>
        <w:t>- كما يتبادر من ظاهر اللفظ</w:t>
      </w:r>
      <w:r w:rsidR="000636C2">
        <w:rPr>
          <w:rtl/>
        </w:rPr>
        <w:t xml:space="preserve"> </w:t>
      </w:r>
      <w:r w:rsidRPr="005675B2">
        <w:rPr>
          <w:rtl/>
        </w:rPr>
        <w:t>- استواءً منزهاً عن المماسَّة والحلول والاستقرار وغير ذلك من المعاني الباطلة</w:t>
      </w:r>
      <w:r w:rsidR="000636C2">
        <w:rPr>
          <w:rtl/>
        </w:rPr>
        <w:t>،</w:t>
      </w:r>
      <w:r w:rsidRPr="005675B2">
        <w:rPr>
          <w:rtl/>
        </w:rPr>
        <w:t xml:space="preserve"> </w:t>
      </w:r>
      <w:r w:rsidRPr="005675B2">
        <w:rPr>
          <w:rtl/>
          <w:lang w:bidi="ar-KW"/>
        </w:rPr>
        <w:t>وهذه نصوصهم في ذلك</w:t>
      </w:r>
      <w:r w:rsidR="000636C2">
        <w:rPr>
          <w:rtl/>
          <w:lang w:bidi="ar-KW"/>
        </w:rPr>
        <w:t>:</w:t>
      </w:r>
      <w:r w:rsidRPr="005675B2">
        <w:rPr>
          <w:rFonts w:hint="cs"/>
          <w:rtl/>
          <w:lang w:bidi="ar-KW"/>
        </w:rPr>
        <w:t xml:space="preserve"> </w:t>
      </w:r>
      <w:r w:rsidRPr="005675B2">
        <w:rPr>
          <w:rtl/>
        </w:rPr>
        <w:t xml:space="preserve">قال الإمام الغزالي - رحمه الله تعالى - </w:t>
      </w:r>
      <w:r w:rsidR="000636C2">
        <w:rPr>
          <w:rtl/>
          <w:lang w:val="uz-Latn-UZ"/>
        </w:rPr>
        <w:t>(</w:t>
      </w:r>
      <w:r w:rsidRPr="005675B2">
        <w:rPr>
          <w:rtl/>
          <w:lang w:val="uz-Latn-UZ"/>
        </w:rPr>
        <w:t>إحياء علوم الدين 1 / 90</w:t>
      </w:r>
      <w:r w:rsidR="000636C2">
        <w:rPr>
          <w:rtl/>
          <w:lang w:val="uz-Latn-UZ"/>
        </w:rPr>
        <w:t>):</w:t>
      </w:r>
      <w:r w:rsidRPr="005675B2">
        <w:rPr>
          <w:rFonts w:hint="cs"/>
          <w:rtl/>
          <w:lang w:val="uz-Latn-UZ" w:bidi="ar-KW"/>
        </w:rPr>
        <w:t xml:space="preserve"> </w:t>
      </w:r>
      <w:r w:rsidR="000636C2">
        <w:rPr>
          <w:rtl/>
        </w:rPr>
        <w:t>(</w:t>
      </w:r>
      <w:r w:rsidRPr="005675B2">
        <w:rPr>
          <w:rtl/>
        </w:rPr>
        <w:t>وأنه تعالى مستوٍ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w:t>
      </w:r>
      <w:r w:rsidR="000636C2">
        <w:rPr>
          <w:rtl/>
        </w:rPr>
        <w:t>)،</w:t>
      </w:r>
      <w:r w:rsidRPr="005675B2">
        <w:rPr>
          <w:rtl/>
        </w:rPr>
        <w:t xml:space="preserve"> وقال أيضاً </w:t>
      </w:r>
      <w:r w:rsidR="000636C2">
        <w:rPr>
          <w:rtl/>
          <w:lang w:val="uz-Latn-UZ"/>
        </w:rPr>
        <w:t>(</w:t>
      </w:r>
      <w:r w:rsidRPr="005675B2">
        <w:rPr>
          <w:rtl/>
          <w:lang w:val="uz-Latn-UZ" w:bidi="ar-KW"/>
        </w:rPr>
        <w:t>الإحياء 1 / 108</w:t>
      </w:r>
      <w:r w:rsidR="000636C2">
        <w:rPr>
          <w:rtl/>
          <w:lang w:val="uz-Latn-UZ" w:bidi="ar-KW"/>
        </w:rPr>
        <w:t>)</w:t>
      </w:r>
      <w:r w:rsidRPr="005675B2">
        <w:rPr>
          <w:rtl/>
          <w:lang w:bidi="ar-KW"/>
        </w:rPr>
        <w:t xml:space="preserve"> </w:t>
      </w:r>
      <w:r w:rsidR="000636C2">
        <w:rPr>
          <w:rtl/>
        </w:rPr>
        <w:t>(</w:t>
      </w:r>
      <w:r w:rsidRPr="005675B2">
        <w:rPr>
          <w:rtl/>
        </w:rPr>
        <w:t>الأصل الثامن</w:t>
      </w:r>
      <w:r w:rsidR="000636C2">
        <w:rPr>
          <w:rtl/>
        </w:rPr>
        <w:t>:</w:t>
      </w:r>
      <w:r w:rsidRPr="005675B2">
        <w:rPr>
          <w:rtl/>
        </w:rPr>
        <w:t xml:space="preserve"> العلم بأنه تعالى مستوٍ على عرشه بالمعنى الذي أراده الله تعـالى بالاستـواء وهو لا ينافي الكبريـاء ولا يتطرق إليه سمـات الحدوث والفناء</w:t>
      </w:r>
      <w:r w:rsidR="000636C2">
        <w:rPr>
          <w:rtl/>
        </w:rPr>
        <w:t>)</w:t>
      </w:r>
      <w:r w:rsidRPr="005675B2">
        <w:rPr>
          <w:rtl/>
        </w:rPr>
        <w:t xml:space="preserve"> 1ه -</w:t>
      </w:r>
      <w:r w:rsidR="000636C2">
        <w:rPr>
          <w:rtl/>
        </w:rPr>
        <w:t>،</w:t>
      </w:r>
      <w:r w:rsidRPr="005675B2">
        <w:rPr>
          <w:rtl/>
        </w:rPr>
        <w:t xml:space="preserve"> فبالله خبّرونا أي تعطيل في هذا</w:t>
      </w:r>
      <w:r w:rsidR="000636C2">
        <w:rPr>
          <w:rtl/>
        </w:rPr>
        <w:t>؟!</w:t>
      </w:r>
      <w:r w:rsidRPr="005675B2">
        <w:rPr>
          <w:rFonts w:hint="cs"/>
          <w:rtl/>
        </w:rPr>
        <w:t xml:space="preserve"> </w:t>
      </w:r>
      <w:r w:rsidRPr="005675B2">
        <w:rPr>
          <w:rtl/>
        </w:rPr>
        <w:t>وهل نُفِي َهنا إلا ما يجب نفيه عن الله تعالى ويحرم إثباته</w:t>
      </w:r>
      <w:r w:rsidR="000636C2">
        <w:rPr>
          <w:rtl/>
        </w:rPr>
        <w:t>؟!</w:t>
      </w:r>
      <w:r w:rsidRPr="005675B2">
        <w:rPr>
          <w:rFonts w:hint="cs"/>
          <w:rtl/>
        </w:rPr>
        <w:t xml:space="preserve"> </w:t>
      </w:r>
      <w:r w:rsidRPr="005675B2">
        <w:rPr>
          <w:rtl/>
        </w:rPr>
        <w:t>فالأشاعرة لم يعطلوا صفة الاستواء، كلا، لكنهم نزهوا الله تعالى عن المعنى الحسي المحال للاستواء الذي هو الجلوس والاستقرار وهو المعنى الظاهر من اللفظ، ومثبته لا محالة واقع في التشبيه ومائل إليه، ولقد نصّ العلماء على أن الحمل على الظاهر تشبيه</w:t>
      </w:r>
      <w:r w:rsidR="000636C2">
        <w:rPr>
          <w:rtl/>
        </w:rPr>
        <w:t xml:space="preserve">، </w:t>
      </w:r>
      <w:r w:rsidRPr="005675B2">
        <w:rPr>
          <w:rtl/>
        </w:rPr>
        <w:t xml:space="preserve">قال الحافظ ابن حجر - رحمه الله تعالى - أثناء شرحه لحديث النزول </w:t>
      </w:r>
      <w:r w:rsidR="000636C2">
        <w:rPr>
          <w:rtl/>
          <w:lang w:val="uz-Latn-UZ"/>
        </w:rPr>
        <w:t>(</w:t>
      </w:r>
      <w:r w:rsidRPr="005675B2">
        <w:rPr>
          <w:rtl/>
          <w:lang w:val="uz-Latn-UZ"/>
        </w:rPr>
        <w:t>الفتح 3 / 36</w:t>
      </w:r>
      <w:r w:rsidR="000636C2">
        <w:rPr>
          <w:rtl/>
          <w:lang w:val="uz-Latn-UZ"/>
        </w:rPr>
        <w:t>):</w:t>
      </w:r>
      <w:r w:rsidRPr="005675B2">
        <w:rPr>
          <w:rFonts w:hint="cs"/>
          <w:rtl/>
        </w:rPr>
        <w:t xml:space="preserve"> </w:t>
      </w:r>
      <w:r w:rsidR="000636C2">
        <w:rPr>
          <w:rtl/>
        </w:rPr>
        <w:t>(</w:t>
      </w:r>
      <w:r w:rsidRPr="005675B2">
        <w:rPr>
          <w:rtl/>
        </w:rPr>
        <w:t>وقد اختلف في معنى النزول على أقوال</w:t>
      </w:r>
      <w:r w:rsidR="000636C2">
        <w:rPr>
          <w:rtl/>
        </w:rPr>
        <w:t>:</w:t>
      </w:r>
      <w:r w:rsidRPr="005675B2">
        <w:rPr>
          <w:rtl/>
        </w:rPr>
        <w:t xml:space="preserve"> </w:t>
      </w:r>
      <w:r w:rsidRPr="005675B2">
        <w:rPr>
          <w:bCs/>
          <w:rtl/>
        </w:rPr>
        <w:t>فمنهم من حمله على ظاهره وحقيقته وهم المشبهة تعالى الله عن قولهم ..</w:t>
      </w:r>
      <w:r w:rsidR="000636C2">
        <w:rPr>
          <w:bCs/>
          <w:rtl/>
        </w:rPr>
        <w:t>)</w:t>
      </w:r>
      <w:r w:rsidRPr="005675B2">
        <w:rPr>
          <w:rtl/>
        </w:rPr>
        <w:t xml:space="preserve"> اهـ</w:t>
      </w:r>
      <w:r w:rsidR="000636C2">
        <w:rPr>
          <w:rtl/>
        </w:rPr>
        <w:t>،</w:t>
      </w:r>
      <w:r w:rsidRPr="005675B2">
        <w:rPr>
          <w:rtl/>
        </w:rPr>
        <w:t xml:space="preserve"> وقد نقلنا قول الإمام الزركشي والشوكاني في هذا المعنى قريباً</w:t>
      </w:r>
      <w:r w:rsidR="000636C2">
        <w:rPr>
          <w:rtl/>
        </w:rPr>
        <w:t xml:space="preserve">، </w:t>
      </w:r>
      <w:r w:rsidRPr="005675B2">
        <w:rPr>
          <w:rtl/>
        </w:rPr>
        <w:t xml:space="preserve">قال الإمـام القرطبي - رحمه الله تعالى - عند تفسير قوله تعالى </w:t>
      </w:r>
      <w:r w:rsidR="000636C2">
        <w:rPr>
          <w:bCs/>
          <w:rtl/>
        </w:rPr>
        <w:t>(</w:t>
      </w:r>
      <w:r w:rsidRPr="005675B2">
        <w:rPr>
          <w:bCs/>
          <w:rtl/>
        </w:rPr>
        <w:t>ءأمنتم من في السماء</w:t>
      </w:r>
      <w:r w:rsidR="000636C2">
        <w:rPr>
          <w:bCs/>
          <w:rtl/>
        </w:rPr>
        <w:t>)</w:t>
      </w:r>
      <w:r w:rsidRPr="005675B2">
        <w:rPr>
          <w:bCs/>
          <w:rtl/>
        </w:rPr>
        <w:t xml:space="preserve"> </w:t>
      </w:r>
      <w:r w:rsidR="000636C2">
        <w:rPr>
          <w:bCs/>
          <w:rtl/>
          <w:lang w:val="uz-Latn-UZ"/>
        </w:rPr>
        <w:t>(</w:t>
      </w:r>
      <w:r w:rsidRPr="005675B2">
        <w:rPr>
          <w:bCs/>
          <w:rtl/>
          <w:lang w:val="uz-Latn-UZ"/>
        </w:rPr>
        <w:t>18 / 216</w:t>
      </w:r>
      <w:r w:rsidR="000636C2">
        <w:rPr>
          <w:bCs/>
          <w:rtl/>
          <w:lang w:val="uz-Latn-UZ"/>
        </w:rPr>
        <w:t>)</w:t>
      </w:r>
      <w:r w:rsidRPr="005675B2">
        <w:rPr>
          <w:bCs/>
          <w:rtl/>
        </w:rPr>
        <w:t xml:space="preserve"> ما نصّه </w:t>
      </w:r>
      <w:r w:rsidR="000636C2">
        <w:rPr>
          <w:bCs/>
          <w:rtl/>
        </w:rPr>
        <w:t>(</w:t>
      </w:r>
      <w:r w:rsidRPr="005675B2">
        <w:rPr>
          <w:bCs/>
          <w:rtl/>
        </w:rPr>
        <w:t>قال المحققون</w:t>
      </w:r>
      <w:r w:rsidR="000636C2">
        <w:rPr>
          <w:bCs/>
          <w:rtl/>
        </w:rPr>
        <w:t>:</w:t>
      </w:r>
      <w:r w:rsidRPr="005675B2">
        <w:rPr>
          <w:bCs/>
          <w:rtl/>
        </w:rPr>
        <w:t xml:space="preserve"> ءأمنتم من فوق السماء، كقوله تعالى </w:t>
      </w:r>
      <w:r w:rsidR="000636C2">
        <w:rPr>
          <w:bCs/>
          <w:rtl/>
        </w:rPr>
        <w:t>(</w:t>
      </w:r>
      <w:r w:rsidRPr="005675B2">
        <w:rPr>
          <w:bCs/>
          <w:rtl/>
        </w:rPr>
        <w:t>فسيحوا في الأرض</w:t>
      </w:r>
      <w:r w:rsidR="000636C2">
        <w:rPr>
          <w:bCs/>
          <w:rtl/>
        </w:rPr>
        <w:t xml:space="preserve">) </w:t>
      </w:r>
      <w:r w:rsidRPr="005675B2">
        <w:rPr>
          <w:rtl/>
        </w:rPr>
        <w:t>أي فوقها، لا بالمماسّة والتحيز لكن بالقهر والتدبير .. والأخبار في هذا الباب كثيرة صحيحة منتشرة مشيرة إلى العلوّ لا يدفعها إلا ملحد أو جاهل معاند، 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 ولأنه خلق الأمكنة وهو غير محتاج إليها وكان في أزله قبل خلق المكان والزمان ولا مكان ولا زمان وهو الآن على ما عليه كان</w:t>
      </w:r>
      <w:r w:rsidR="000636C2">
        <w:rPr>
          <w:rtl/>
        </w:rPr>
        <w:t>)</w:t>
      </w:r>
      <w:r w:rsidRPr="005675B2">
        <w:rPr>
          <w:rtl/>
        </w:rPr>
        <w:t xml:space="preserve"> اهـ</w:t>
      </w:r>
      <w:r w:rsidR="000636C2">
        <w:rPr>
          <w:rtl/>
        </w:rPr>
        <w:t>،</w:t>
      </w:r>
      <w:r w:rsidRPr="005675B2">
        <w:rPr>
          <w:rtl/>
        </w:rPr>
        <w:t xml:space="preserve"> وقال الإمام الطبري رحمه الله تعالى </w:t>
      </w:r>
      <w:r w:rsidR="000636C2">
        <w:rPr>
          <w:rtl/>
        </w:rPr>
        <w:t>(</w:t>
      </w:r>
      <w:r w:rsidRPr="005675B2">
        <w:rPr>
          <w:rtl/>
        </w:rPr>
        <w:t>7 / 103</w:t>
      </w:r>
      <w:r w:rsidR="000636C2">
        <w:rPr>
          <w:rtl/>
        </w:rPr>
        <w:t>)</w:t>
      </w:r>
      <w:r w:rsidRPr="005675B2">
        <w:rPr>
          <w:rtl/>
        </w:rPr>
        <w:t xml:space="preserve"> في تفسير قوله تعالى </w:t>
      </w:r>
      <w:r w:rsidR="000636C2">
        <w:rPr>
          <w:bCs/>
          <w:rtl/>
        </w:rPr>
        <w:t>(</w:t>
      </w:r>
      <w:r w:rsidRPr="005675B2">
        <w:rPr>
          <w:bCs/>
          <w:rtl/>
        </w:rPr>
        <w:t>وهو القاهر فوق عباده</w:t>
      </w:r>
      <w:r w:rsidR="000636C2">
        <w:rPr>
          <w:bCs/>
          <w:rtl/>
        </w:rPr>
        <w:t>)</w:t>
      </w:r>
      <w:r w:rsidRPr="005675B2">
        <w:rPr>
          <w:rtl/>
        </w:rPr>
        <w:t xml:space="preserve"> ما نصّه </w:t>
      </w:r>
      <w:r w:rsidR="000636C2">
        <w:rPr>
          <w:rtl/>
        </w:rPr>
        <w:t>(</w:t>
      </w:r>
      <w:r w:rsidRPr="005675B2">
        <w:rPr>
          <w:rtl/>
        </w:rPr>
        <w:t>فهو فوقهم بقهره إياهم وهم دونه</w:t>
      </w:r>
      <w:r w:rsidR="000636C2">
        <w:rPr>
          <w:rtl/>
        </w:rPr>
        <w:t>)</w:t>
      </w:r>
      <w:r w:rsidRPr="005675B2">
        <w:rPr>
          <w:rtl/>
        </w:rPr>
        <w:t xml:space="preserve"> أي هم دونه من هذه الحيثية، لا من حيث الحس والمكان</w:t>
      </w:r>
      <w:r w:rsidR="000636C2">
        <w:rPr>
          <w:rtl/>
        </w:rPr>
        <w:t xml:space="preserve">، </w:t>
      </w:r>
      <w:r w:rsidRPr="005675B2">
        <w:rPr>
          <w:rtl/>
        </w:rPr>
        <w:t xml:space="preserve">وقـال في تفسيـره للاستـواء </w:t>
      </w:r>
      <w:r w:rsidR="000636C2">
        <w:rPr>
          <w:rtl/>
        </w:rPr>
        <w:t>(</w:t>
      </w:r>
      <w:r w:rsidRPr="005675B2">
        <w:rPr>
          <w:rtl/>
        </w:rPr>
        <w:t>1 / 192</w:t>
      </w:r>
      <w:r w:rsidR="000636C2">
        <w:rPr>
          <w:rtl/>
        </w:rPr>
        <w:t>)</w:t>
      </w:r>
      <w:r w:rsidRPr="005675B2">
        <w:rPr>
          <w:rtl/>
        </w:rPr>
        <w:t xml:space="preserve"> </w:t>
      </w:r>
      <w:r w:rsidR="000636C2">
        <w:rPr>
          <w:rtl/>
        </w:rPr>
        <w:t>(</w:t>
      </w:r>
      <w:r w:rsidRPr="005675B2">
        <w:rPr>
          <w:rtl/>
        </w:rPr>
        <w:t>علا عليهم علوّ ملك وسلطان لا علوّ انتقال وزوال</w:t>
      </w:r>
      <w:r w:rsidR="000636C2">
        <w:rPr>
          <w:rtl/>
        </w:rPr>
        <w:t>)</w:t>
      </w:r>
      <w:r w:rsidRPr="005675B2">
        <w:rPr>
          <w:rtl/>
        </w:rPr>
        <w:t xml:space="preserve"> اهـ</w:t>
      </w:r>
      <w:r w:rsidR="000636C2">
        <w:rPr>
          <w:rtl/>
        </w:rPr>
        <w:t xml:space="preserve">، </w:t>
      </w:r>
      <w:r w:rsidRPr="005675B2">
        <w:rPr>
          <w:rtl/>
        </w:rPr>
        <w:t xml:space="preserve">وقال الإمام القرطبي </w:t>
      </w:r>
      <w:r w:rsidR="000636C2">
        <w:rPr>
          <w:rtl/>
        </w:rPr>
        <w:t>(</w:t>
      </w:r>
      <w:r w:rsidRPr="005675B2">
        <w:rPr>
          <w:rtl/>
        </w:rPr>
        <w:t>6 / 399</w:t>
      </w:r>
      <w:r w:rsidR="000636C2">
        <w:rPr>
          <w:rtl/>
        </w:rPr>
        <w:t>)</w:t>
      </w:r>
      <w:r w:rsidRPr="005675B2">
        <w:rPr>
          <w:rtl/>
        </w:rPr>
        <w:t xml:space="preserve"> في تفسير قوله تعالى</w:t>
      </w:r>
      <w:r w:rsidRPr="005675B2">
        <w:rPr>
          <w:rFonts w:hint="cs"/>
          <w:rtl/>
        </w:rPr>
        <w:t xml:space="preserve"> </w:t>
      </w:r>
      <w:r w:rsidR="000636C2">
        <w:rPr>
          <w:bCs/>
          <w:rtl/>
        </w:rPr>
        <w:t>(</w:t>
      </w:r>
      <w:r w:rsidRPr="005675B2">
        <w:rPr>
          <w:bCs/>
          <w:rtl/>
        </w:rPr>
        <w:t>وهو القاهر فوق عباده</w:t>
      </w:r>
      <w:r w:rsidR="000636C2">
        <w:rPr>
          <w:bCs/>
          <w:rtl/>
        </w:rPr>
        <w:t xml:space="preserve">) </w:t>
      </w:r>
      <w:r w:rsidR="000636C2">
        <w:rPr>
          <w:rtl/>
        </w:rPr>
        <w:t>(</w:t>
      </w:r>
      <w:r w:rsidRPr="005675B2">
        <w:rPr>
          <w:rtl/>
        </w:rPr>
        <w:t>ومعنى فوق عباده فوقية الاستعلاء بالقهر والغلبة عليهم أي هم تحت تسخيره لا فوقية مكــان</w:t>
      </w:r>
      <w:r w:rsidR="000636C2">
        <w:rPr>
          <w:rtl/>
        </w:rPr>
        <w:t>)</w:t>
      </w:r>
      <w:r w:rsidRPr="005675B2">
        <w:rPr>
          <w:rtl/>
        </w:rPr>
        <w:t xml:space="preserve"> اهـ</w:t>
      </w:r>
      <w:r w:rsidR="000636C2">
        <w:rPr>
          <w:rtl/>
        </w:rPr>
        <w:t xml:space="preserve">، </w:t>
      </w:r>
      <w:r w:rsidRPr="005675B2">
        <w:rPr>
          <w:rtl/>
        </w:rPr>
        <w:t xml:space="preserve">وقال الحافظ ابن حجر </w:t>
      </w:r>
      <w:r w:rsidR="000636C2">
        <w:rPr>
          <w:rtl/>
        </w:rPr>
        <w:t>(</w:t>
      </w:r>
      <w:r w:rsidRPr="005675B2">
        <w:rPr>
          <w:rtl/>
        </w:rPr>
        <w:t>الفتح 6 / 158</w:t>
      </w:r>
      <w:r w:rsidR="000636C2">
        <w:rPr>
          <w:rtl/>
        </w:rPr>
        <w:t>)</w:t>
      </w:r>
      <w:r w:rsidR="000636C2">
        <w:rPr>
          <w:rtl/>
          <w:lang w:bidi="ar-KW"/>
        </w:rPr>
        <w:t>:</w:t>
      </w:r>
      <w:r w:rsidR="000636C2">
        <w:rPr>
          <w:rFonts w:hint="cs"/>
          <w:rtl/>
        </w:rPr>
        <w:t xml:space="preserve"> </w:t>
      </w:r>
      <w:r w:rsidR="000636C2">
        <w:rPr>
          <w:rtl/>
        </w:rPr>
        <w:t>(</w:t>
      </w:r>
      <w:r w:rsidRPr="005675B2">
        <w:rPr>
          <w:rtl/>
        </w:rPr>
        <w:t xml:space="preserve">ولا يلزم من كون جهتي العلوّ والسفل محال على الله أن لا يوصف بالعلوّ، </w:t>
      </w:r>
      <w:r w:rsidRPr="005675B2">
        <w:rPr>
          <w:bCs/>
          <w:rtl/>
        </w:rPr>
        <w:t>لأن وصفه بالعلوّ من جهة المعنى والمستحيل كون ذلك من جهة الحسّ</w:t>
      </w:r>
      <w:r w:rsidR="000636C2">
        <w:rPr>
          <w:rtl/>
        </w:rPr>
        <w:t>)</w:t>
      </w:r>
      <w:r w:rsidRPr="005675B2">
        <w:rPr>
          <w:rtl/>
          <w:lang w:val="uz-Latn-UZ"/>
        </w:rPr>
        <w:t xml:space="preserve"> اهـ</w:t>
      </w:r>
      <w:r w:rsidR="000636C2">
        <w:rPr>
          <w:rtl/>
          <w:lang w:val="uz-Latn-UZ"/>
        </w:rPr>
        <w:t xml:space="preserve">، </w:t>
      </w:r>
      <w:r w:rsidRPr="005675B2">
        <w:rPr>
          <w:rtl/>
          <w:lang w:val="uz-Latn-UZ"/>
        </w:rPr>
        <w:t xml:space="preserve">وقال أيضاً </w:t>
      </w:r>
      <w:r w:rsidR="000636C2">
        <w:rPr>
          <w:rtl/>
        </w:rPr>
        <w:t>(</w:t>
      </w:r>
      <w:r w:rsidRPr="005675B2">
        <w:rPr>
          <w:rtl/>
        </w:rPr>
        <w:t>الفتح 1 / 508</w:t>
      </w:r>
      <w:r w:rsidR="000636C2">
        <w:rPr>
          <w:rtl/>
        </w:rPr>
        <w:t>)</w:t>
      </w:r>
      <w:r w:rsidRPr="005675B2">
        <w:rPr>
          <w:rtl/>
          <w:lang w:val="uz-Latn-UZ"/>
        </w:rPr>
        <w:t xml:space="preserve"> عند شرحه لحديث </w:t>
      </w:r>
      <w:r w:rsidR="000636C2">
        <w:rPr>
          <w:rtl/>
          <w:lang w:val="uz-Latn-UZ"/>
        </w:rPr>
        <w:t>(</w:t>
      </w:r>
      <w:r w:rsidRPr="005675B2">
        <w:rPr>
          <w:rtl/>
          <w:lang w:val="uz-Latn-UZ"/>
        </w:rPr>
        <w:t>إن أحدكم إذا قام في صلاته فإنه يناجي ربه .. فإن الله في قبلته</w:t>
      </w:r>
      <w:r w:rsidR="000636C2">
        <w:rPr>
          <w:rtl/>
          <w:lang w:val="uz-Latn-UZ"/>
        </w:rPr>
        <w:t>)،</w:t>
      </w:r>
      <w:r w:rsidRPr="005675B2">
        <w:rPr>
          <w:rtl/>
          <w:lang w:val="uz-Latn-UZ"/>
        </w:rPr>
        <w:t xml:space="preserve"> قال الحافظ </w:t>
      </w:r>
      <w:r w:rsidR="000636C2">
        <w:rPr>
          <w:bCs/>
          <w:rtl/>
          <w:lang w:val="uz-Latn-UZ"/>
        </w:rPr>
        <w:t>(</w:t>
      </w:r>
      <w:r w:rsidRPr="005675B2">
        <w:rPr>
          <w:bCs/>
          <w:rtl/>
          <w:lang w:val="uz-Latn-UZ"/>
        </w:rPr>
        <w:t>فيه ردَّ على من زعم أنه – تعالى – على العرش بذاته</w:t>
      </w:r>
      <w:r w:rsidR="000636C2">
        <w:rPr>
          <w:bCs/>
          <w:rtl/>
          <w:lang w:val="uz-Latn-UZ"/>
        </w:rPr>
        <w:t>)</w:t>
      </w:r>
      <w:r w:rsidRPr="005675B2">
        <w:rPr>
          <w:bCs/>
          <w:rtl/>
          <w:lang w:val="uz-Latn-UZ"/>
        </w:rPr>
        <w:t xml:space="preserve"> اهـ</w:t>
      </w:r>
      <w:r w:rsidR="000636C2">
        <w:rPr>
          <w:bCs/>
          <w:rtl/>
          <w:lang w:val="uz-Latn-UZ"/>
        </w:rPr>
        <w:t>،</w:t>
      </w:r>
      <w:r w:rsidRPr="005675B2">
        <w:rPr>
          <w:rtl/>
          <w:lang w:val="uz-Latn-UZ"/>
        </w:rPr>
        <w:t xml:space="preserve"> وقال الإمام بدر الدين بن جماعةرحمه الله</w:t>
      </w:r>
      <w:r w:rsidR="000636C2">
        <w:rPr>
          <w:rtl/>
          <w:lang w:val="uz-Latn-UZ"/>
        </w:rPr>
        <w:t>:</w:t>
      </w:r>
      <w:r w:rsidRPr="005675B2">
        <w:rPr>
          <w:rFonts w:hint="cs"/>
          <w:rtl/>
          <w:lang w:val="uz-Latn-UZ"/>
        </w:rPr>
        <w:t xml:space="preserve"> </w:t>
      </w:r>
      <w:r w:rsidR="000636C2">
        <w:rPr>
          <w:bCs/>
          <w:rtl/>
          <w:lang w:val="uz-Latn-UZ"/>
        </w:rPr>
        <w:t>(</w:t>
      </w:r>
      <w:r w:rsidRPr="005675B2">
        <w:rPr>
          <w:bCs/>
          <w:rtl/>
          <w:lang w:val="uz-Latn-UZ"/>
        </w:rPr>
        <w:t>ثم استوي على العرش</w:t>
      </w:r>
      <w:r w:rsidR="000636C2">
        <w:rPr>
          <w:bCs/>
          <w:rtl/>
          <w:lang w:val="uz-Latn-UZ"/>
        </w:rPr>
        <w:t>)</w:t>
      </w:r>
      <w:r w:rsidRPr="005675B2">
        <w:rPr>
          <w:bCs/>
          <w:rtl/>
          <w:lang w:val="uz-Latn-UZ"/>
        </w:rPr>
        <w:t xml:space="preserve"> ورد في خمس آيات وفي سادسة في طه </w:t>
      </w:r>
      <w:r w:rsidR="000636C2">
        <w:rPr>
          <w:bCs/>
          <w:rtl/>
          <w:lang w:val="uz-Latn-UZ"/>
        </w:rPr>
        <w:t>(</w:t>
      </w:r>
      <w:r w:rsidRPr="005675B2">
        <w:rPr>
          <w:bCs/>
          <w:rtl/>
          <w:lang w:val="uz-Latn-UZ"/>
        </w:rPr>
        <w:t>الرحمن على العرش استوي</w:t>
      </w:r>
      <w:r w:rsidR="000636C2">
        <w:rPr>
          <w:bCs/>
          <w:rtl/>
          <w:lang w:val="uz-Latn-UZ"/>
        </w:rPr>
        <w:t>)</w:t>
      </w:r>
      <w:r w:rsidRPr="005675B2">
        <w:rPr>
          <w:bCs/>
          <w:rtl/>
          <w:lang w:val="uz-Latn-UZ"/>
        </w:rPr>
        <w:t xml:space="preserve"> </w:t>
      </w:r>
      <w:r w:rsidRPr="005675B2">
        <w:rPr>
          <w:rtl/>
          <w:lang w:val="uz-Latn-UZ"/>
        </w:rPr>
        <w:t>والقرآن نزل بلغة العرب ومعاني كلامهم وما كانوا يتعقلون من خطابهم</w:t>
      </w:r>
      <w:r w:rsidR="000636C2">
        <w:rPr>
          <w:rtl/>
          <w:lang w:val="uz-Latn-UZ"/>
        </w:rPr>
        <w:t>)</w:t>
      </w:r>
      <w:r w:rsidRPr="005675B2">
        <w:rPr>
          <w:rtl/>
          <w:lang w:val="uz-Latn-UZ"/>
        </w:rPr>
        <w:t xml:space="preserve"> ثم أخذ رحمه الله ببيان معاني الاستواء في اللغة، ثم قال</w:t>
      </w:r>
      <w:r w:rsidR="000636C2">
        <w:rPr>
          <w:rtl/>
          <w:lang w:val="uz-Latn-UZ"/>
        </w:rPr>
        <w:t>:</w:t>
      </w:r>
      <w:r w:rsidRPr="005675B2">
        <w:rPr>
          <w:rFonts w:hint="cs"/>
          <w:rtl/>
          <w:lang w:val="uz-Latn-UZ"/>
        </w:rPr>
        <w:t xml:space="preserve"> </w:t>
      </w:r>
      <w:r w:rsidR="000636C2">
        <w:rPr>
          <w:rtl/>
          <w:lang w:val="uz-Latn-UZ"/>
        </w:rPr>
        <w:t>(</w:t>
      </w:r>
      <w:r w:rsidRPr="005675B2">
        <w:rPr>
          <w:rtl/>
          <w:lang w:val="uz-Latn-UZ"/>
        </w:rPr>
        <w:t>و</w:t>
      </w:r>
      <w:r w:rsidRPr="005675B2">
        <w:rPr>
          <w:rtl/>
        </w:rPr>
        <w:t>ا</w:t>
      </w:r>
      <w:r w:rsidRPr="005675B2">
        <w:rPr>
          <w:rtl/>
          <w:lang w:val="uz-Latn-UZ"/>
        </w:rPr>
        <w:t>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المتأولون على الاستيلاء والقهر لتعالي الرب عزّ وجلّ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فقوله تعالى</w:t>
      </w:r>
      <w:r w:rsidR="000636C2">
        <w:rPr>
          <w:bCs/>
          <w:rtl/>
          <w:lang w:val="uz-Latn-UZ"/>
        </w:rPr>
        <w:t>(</w:t>
      </w:r>
      <w:r w:rsidRPr="005675B2">
        <w:rPr>
          <w:bCs/>
          <w:rtl/>
          <w:lang w:val="uz-Latn-UZ"/>
        </w:rPr>
        <w:t>استوي</w:t>
      </w:r>
      <w:r w:rsidR="000636C2">
        <w:rPr>
          <w:bCs/>
          <w:rtl/>
          <w:lang w:val="uz-Latn-UZ"/>
        </w:rPr>
        <w:t>)</w:t>
      </w:r>
      <w:r w:rsidR="000636C2">
        <w:rPr>
          <w:rtl/>
          <w:lang w:val="uz-Latn-UZ"/>
        </w:rPr>
        <w:t xml:space="preserve"> </w:t>
      </w:r>
      <w:r w:rsidRPr="005675B2">
        <w:rPr>
          <w:rtl/>
          <w:lang w:val="uz-Latn-UZ"/>
        </w:rPr>
        <w:t>يتعين فيه معنى الاستيلاء والقهر لا القعود والاستقرار، إذ لو كان وجوده مكانياً أو زمانياً للزم قدم الزمان والمكان أو تقدّمهـما عليه تعالـى وكلاهما</w:t>
      </w:r>
      <w:r w:rsidRPr="005675B2">
        <w:rPr>
          <w:rFonts w:hint="cs"/>
          <w:rtl/>
          <w:lang w:val="uz-Latn-UZ" w:bidi="ar-KW"/>
        </w:rPr>
        <w:t xml:space="preserve"> </w:t>
      </w:r>
      <w:r w:rsidRPr="005675B2">
        <w:rPr>
          <w:rtl/>
          <w:lang w:val="uz-Latn-UZ"/>
        </w:rPr>
        <w:t xml:space="preserve">باطل .. </w:t>
      </w:r>
      <w:r w:rsidRPr="005675B2">
        <w:rPr>
          <w:bCs/>
          <w:rtl/>
          <w:lang w:val="uz-Latn-UZ"/>
        </w:rPr>
        <w:t>فإن قيل</w:t>
      </w:r>
      <w:r w:rsidR="000636C2">
        <w:rPr>
          <w:bCs/>
          <w:rtl/>
          <w:lang w:val="uz-Latn-UZ"/>
        </w:rPr>
        <w:t>:</w:t>
      </w:r>
      <w:r w:rsidRPr="005675B2">
        <w:rPr>
          <w:rtl/>
          <w:lang w:val="uz-Latn-UZ"/>
        </w:rPr>
        <w:t xml:space="preserve"> نفي الجهة - أي حسّاً - عن الموجود يوجب نفيه- أي الموجود – لاستحالة موجود من غير جهة</w:t>
      </w:r>
      <w:r w:rsidR="000636C2">
        <w:rPr>
          <w:rtl/>
          <w:lang w:val="uz-Latn-UZ"/>
        </w:rPr>
        <w:t>،</w:t>
      </w:r>
      <w:r w:rsidRPr="005675B2">
        <w:rPr>
          <w:rtl/>
          <w:lang w:val="uz-Latn-UZ"/>
        </w:rPr>
        <w:t xml:space="preserve"> </w:t>
      </w:r>
      <w:r w:rsidRPr="005675B2">
        <w:rPr>
          <w:bCs/>
          <w:rtl/>
          <w:lang w:val="uz-Latn-UZ"/>
        </w:rPr>
        <w:t>قلنا</w:t>
      </w:r>
      <w:r w:rsidR="000636C2">
        <w:rPr>
          <w:bCs/>
          <w:rtl/>
          <w:lang w:val="uz-Latn-UZ"/>
        </w:rPr>
        <w:t>:</w:t>
      </w:r>
      <w:r w:rsidRPr="005675B2">
        <w:rPr>
          <w:rtl/>
          <w:lang w:val="uz-Latn-UZ"/>
        </w:rPr>
        <w:t xml:space="preserve"> الموجود قسمان</w:t>
      </w:r>
      <w:r w:rsidR="000636C2">
        <w:rPr>
          <w:rtl/>
          <w:lang w:val="uz-Latn-UZ"/>
        </w:rPr>
        <w:t>:</w:t>
      </w:r>
      <w:r w:rsidRPr="005675B2">
        <w:rPr>
          <w:rtl/>
          <w:lang w:val="uz-Latn-UZ"/>
        </w:rPr>
        <w:t xml:space="preserve"> موجود لا يتصرف فيه الوهم والحس والخيال، ولا يقبل الاتصال والانفصال</w:t>
      </w:r>
      <w:r w:rsidR="000636C2">
        <w:rPr>
          <w:rtl/>
          <w:lang w:val="uz-Latn-UZ"/>
        </w:rPr>
        <w:t>،</w:t>
      </w:r>
      <w:r w:rsidRPr="005675B2">
        <w:rPr>
          <w:rtl/>
          <w:lang w:val="uz-Latn-UZ"/>
        </w:rPr>
        <w:t xml:space="preserve"> وموجود يتصرف ذلك فيه ويقبله</w:t>
      </w:r>
      <w:r w:rsidR="000636C2">
        <w:rPr>
          <w:rtl/>
          <w:lang w:val="uz-Latn-UZ"/>
        </w:rPr>
        <w:t>،</w:t>
      </w:r>
      <w:r w:rsidRPr="005675B2">
        <w:rPr>
          <w:rtl/>
          <w:lang w:val="uz-Latn-UZ"/>
        </w:rPr>
        <w:t xml:space="preserve"> فالأول ممنوع الاستحالة - أي لا يستحيل وجوده بغير جهة - والرب تعالى لا يتصرف فيه ذلك، إذ ليس بجسم ولا عرض ولا جوهر، فصحّ وجوده عقلاً من غير جهة ولا حيز، كما دلّ الدليل العقلي على وجوده مع نفي الجسمية والعرضية مع بُعد الفهم الحسي له، فكذلك دلّ على نفي الجهة والحيز مع بُعد الفهم والحس له .. </w:t>
      </w:r>
      <w:r w:rsidRPr="005675B2">
        <w:rPr>
          <w:bCs/>
          <w:rtl/>
          <w:lang w:val="uz-Latn-UZ"/>
        </w:rPr>
        <w:t>فإن قيل</w:t>
      </w:r>
      <w:r w:rsidR="000636C2">
        <w:rPr>
          <w:bCs/>
          <w:rtl/>
          <w:lang w:val="uz-Latn-UZ"/>
        </w:rPr>
        <w:t>:</w:t>
      </w:r>
      <w:r w:rsidRPr="005675B2">
        <w:rPr>
          <w:rtl/>
          <w:lang w:val="uz-Latn-UZ"/>
        </w:rPr>
        <w:t xml:space="preserve"> قال الله تعالى </w:t>
      </w:r>
      <w:r w:rsidR="000636C2">
        <w:rPr>
          <w:bCs/>
          <w:rtl/>
          <w:lang w:val="uz-Latn-UZ"/>
        </w:rPr>
        <w:t>(</w:t>
      </w:r>
      <w:r w:rsidRPr="005675B2">
        <w:rPr>
          <w:bCs/>
          <w:rtl/>
          <w:lang w:val="uz-Latn-UZ"/>
        </w:rPr>
        <w:t>إليه يصعد الكلم الطيب</w:t>
      </w:r>
      <w:r w:rsidR="000636C2">
        <w:rPr>
          <w:bCs/>
          <w:rtl/>
          <w:lang w:val="uz-Latn-UZ"/>
        </w:rPr>
        <w:t>)</w:t>
      </w:r>
      <w:r w:rsidRPr="005675B2">
        <w:rPr>
          <w:bCs/>
          <w:rtl/>
          <w:lang w:val="uz-Latn-UZ"/>
        </w:rPr>
        <w:t xml:space="preserve"> </w:t>
      </w:r>
      <w:r w:rsidRPr="005675B2">
        <w:rPr>
          <w:rtl/>
          <w:lang w:val="uz-Latn-UZ"/>
        </w:rPr>
        <w:t>وهذا ظاهر في الجهة، وكذلك قوله تعالى</w:t>
      </w:r>
      <w:r w:rsidR="000636C2">
        <w:rPr>
          <w:bCs/>
          <w:rtl/>
          <w:lang w:val="uz-Latn-UZ"/>
        </w:rPr>
        <w:t>(</w:t>
      </w:r>
      <w:r w:rsidRPr="005675B2">
        <w:rPr>
          <w:bCs/>
          <w:rtl/>
          <w:lang w:val="uz-Latn-UZ"/>
        </w:rPr>
        <w:t>تعرج الملائكة والروح إليه</w:t>
      </w:r>
      <w:r w:rsidR="000636C2">
        <w:rPr>
          <w:bCs/>
          <w:rtl/>
          <w:lang w:val="uz-Latn-UZ"/>
        </w:rPr>
        <w:t>)</w:t>
      </w:r>
      <w:r w:rsidRPr="005675B2">
        <w:rPr>
          <w:bCs/>
          <w:rtl/>
          <w:lang w:val="uz-Latn-UZ"/>
        </w:rPr>
        <w:t xml:space="preserve"> وقوله </w:t>
      </w:r>
      <w:r w:rsidR="000636C2">
        <w:rPr>
          <w:bCs/>
          <w:rtl/>
          <w:lang w:val="uz-Latn-UZ"/>
        </w:rPr>
        <w:t>(</w:t>
      </w:r>
      <w:r w:rsidRPr="005675B2">
        <w:rPr>
          <w:bCs/>
          <w:rtl/>
          <w:lang w:val="uz-Latn-UZ"/>
        </w:rPr>
        <w:t>ثمّ يَعرج إليه</w:t>
      </w:r>
      <w:r w:rsidR="000636C2">
        <w:rPr>
          <w:bCs/>
          <w:rtl/>
          <w:lang w:val="uz-Latn-UZ"/>
        </w:rPr>
        <w:t>)</w:t>
      </w:r>
      <w:r w:rsidRPr="005675B2">
        <w:rPr>
          <w:bCs/>
          <w:rtl/>
          <w:lang w:val="uz-Latn-UZ"/>
        </w:rPr>
        <w:t xml:space="preserve"> الآية</w:t>
      </w:r>
      <w:r w:rsidR="000636C2">
        <w:rPr>
          <w:bCs/>
          <w:rtl/>
          <w:lang w:val="uz-Latn-UZ"/>
        </w:rPr>
        <w:t>،</w:t>
      </w:r>
      <w:r w:rsidRPr="005675B2">
        <w:rPr>
          <w:bCs/>
          <w:rtl/>
          <w:lang w:val="uz-Latn-UZ"/>
        </w:rPr>
        <w:t xml:space="preserve"> قلنا</w:t>
      </w:r>
      <w:r w:rsidR="000636C2">
        <w:rPr>
          <w:bCs/>
          <w:rtl/>
          <w:lang w:val="uz-Latn-UZ"/>
        </w:rPr>
        <w:t>:</w:t>
      </w:r>
      <w:r w:rsidRPr="005675B2">
        <w:rPr>
          <w:bCs/>
          <w:rtl/>
          <w:lang w:val="uz-Latn-UZ"/>
        </w:rPr>
        <w:t xml:space="preserve"> ليس المراد بالغاية هنا غاية المكان، بل غاية انتهاء الأمور إليه، كقوله تعالى </w:t>
      </w:r>
      <w:r w:rsidR="000636C2">
        <w:rPr>
          <w:bCs/>
          <w:rtl/>
          <w:lang w:val="uz-Latn-UZ"/>
        </w:rPr>
        <w:t>(</w:t>
      </w:r>
      <w:r w:rsidRPr="005675B2">
        <w:rPr>
          <w:bCs/>
          <w:rtl/>
          <w:lang w:val="uz-Latn-UZ"/>
        </w:rPr>
        <w:t>ألا إلى الله تصير الأمور</w:t>
      </w:r>
      <w:r w:rsidR="000636C2">
        <w:rPr>
          <w:bCs/>
          <w:rtl/>
          <w:lang w:val="uz-Latn-UZ"/>
        </w:rPr>
        <w:t>)</w:t>
      </w:r>
      <w:r w:rsidRPr="005675B2">
        <w:rPr>
          <w:bCs/>
          <w:rtl/>
          <w:lang w:val="uz-Latn-UZ"/>
        </w:rPr>
        <w:t xml:space="preserve"> و </w:t>
      </w:r>
      <w:r w:rsidR="000636C2">
        <w:rPr>
          <w:bCs/>
          <w:rtl/>
          <w:lang w:val="uz-Latn-UZ"/>
        </w:rPr>
        <w:t>(</w:t>
      </w:r>
      <w:r w:rsidRPr="005675B2">
        <w:rPr>
          <w:bCs/>
          <w:rtl/>
          <w:lang w:val="uz-Latn-UZ"/>
        </w:rPr>
        <w:t>إليه يرجع الأمر كلُّه</w:t>
      </w:r>
      <w:r w:rsidR="000636C2">
        <w:rPr>
          <w:bCs/>
          <w:rtl/>
          <w:lang w:val="uz-Latn-UZ"/>
        </w:rPr>
        <w:t xml:space="preserve">) </w:t>
      </w:r>
      <w:r w:rsidRPr="005675B2">
        <w:rPr>
          <w:bCs/>
          <w:rtl/>
          <w:lang w:val="uz-Latn-UZ"/>
        </w:rPr>
        <w:t xml:space="preserve">وكقول الخليل </w:t>
      </w:r>
      <w:r w:rsidR="000636C2">
        <w:rPr>
          <w:bCs/>
          <w:rtl/>
          <w:lang w:val="uz-Latn-UZ"/>
        </w:rPr>
        <w:t>(</w:t>
      </w:r>
      <w:r w:rsidRPr="005675B2">
        <w:rPr>
          <w:bCs/>
          <w:rtl/>
          <w:lang w:val="uz-Latn-UZ"/>
        </w:rPr>
        <w:t>إني ذاهب إلى ربى سيهدين</w:t>
      </w:r>
      <w:r w:rsidR="000636C2">
        <w:rPr>
          <w:bCs/>
          <w:rtl/>
          <w:lang w:val="uz-Latn-UZ"/>
        </w:rPr>
        <w:t>)</w:t>
      </w:r>
      <w:r w:rsidRPr="005675B2">
        <w:rPr>
          <w:bCs/>
          <w:rtl/>
          <w:lang w:val="uz-Latn-UZ"/>
        </w:rPr>
        <w:t xml:space="preserve"> .. </w:t>
      </w:r>
      <w:r w:rsidRPr="005675B2">
        <w:rPr>
          <w:rtl/>
          <w:lang w:val="uz-Latn-UZ"/>
        </w:rPr>
        <w:t>وهو كثير، فالمراد الانتهاء إلى ما أعدّه لعباده والملائكة من الثـواب والكرامة والمنزلة</w:t>
      </w:r>
      <w:r w:rsidR="000636C2">
        <w:rPr>
          <w:rtl/>
          <w:lang w:val="uz-Latn-UZ"/>
        </w:rPr>
        <w:t>،</w:t>
      </w:r>
      <w:r w:rsidRPr="005675B2">
        <w:rPr>
          <w:rtl/>
          <w:lang w:val="uz-Latn-UZ"/>
        </w:rPr>
        <w:t xml:space="preserve"> </w:t>
      </w:r>
      <w:r w:rsidRPr="005675B2">
        <w:rPr>
          <w:bCs/>
          <w:rtl/>
          <w:lang w:val="uz-Latn-UZ"/>
        </w:rPr>
        <w:t>فإن قيل</w:t>
      </w:r>
      <w:r w:rsidR="000636C2">
        <w:rPr>
          <w:rtl/>
          <w:lang w:val="uz-Latn-UZ"/>
        </w:rPr>
        <w:t>:</w:t>
      </w:r>
      <w:r w:rsidRPr="005675B2">
        <w:rPr>
          <w:rtl/>
          <w:lang w:val="uz-Latn-UZ"/>
        </w:rPr>
        <w:t xml:space="preserve"> إنما يقال استولى لمن لم يكن مستولياً قبل، أو لمن كان له منازع فيما استولى عليه، أو عاجزاً ثم قدر</w:t>
      </w:r>
      <w:r w:rsidR="000636C2">
        <w:rPr>
          <w:rtl/>
          <w:lang w:val="uz-Latn-UZ"/>
        </w:rPr>
        <w:t>،</w:t>
      </w:r>
      <w:r w:rsidRPr="005675B2">
        <w:rPr>
          <w:rtl/>
          <w:lang w:val="uz-Latn-UZ"/>
        </w:rPr>
        <w:t xml:space="preserve"> </w:t>
      </w:r>
      <w:r w:rsidRPr="005675B2">
        <w:rPr>
          <w:bCs/>
          <w:rtl/>
          <w:lang w:val="uz-Latn-UZ"/>
        </w:rPr>
        <w:t>قلنا</w:t>
      </w:r>
      <w:r w:rsidR="000636C2">
        <w:rPr>
          <w:bCs/>
          <w:rtl/>
          <w:lang w:val="uz-Latn-UZ"/>
        </w:rPr>
        <w:t>:</w:t>
      </w:r>
      <w:r w:rsidRPr="005675B2">
        <w:rPr>
          <w:rtl/>
          <w:lang w:val="uz-Latn-UZ"/>
        </w:rPr>
        <w:t xml:space="preserve"> المراد بهذا الاستيـلاء القـدرة التـامة الخـالية عن معـارض .. </w:t>
      </w:r>
      <w:r w:rsidRPr="005675B2">
        <w:rPr>
          <w:bCs/>
          <w:rtl/>
          <w:lang w:val="uz-Latn-UZ"/>
        </w:rPr>
        <w:t>فان قيـل</w:t>
      </w:r>
      <w:r w:rsidR="000636C2">
        <w:rPr>
          <w:bCs/>
          <w:rtl/>
          <w:lang w:val="uz-Latn-UZ"/>
        </w:rPr>
        <w:t>:</w:t>
      </w:r>
      <w:r w:rsidRPr="005675B2">
        <w:rPr>
          <w:rtl/>
          <w:lang w:val="uz-Latn-UZ"/>
        </w:rPr>
        <w:t xml:space="preserve"> فالاستيـلاء- أي بهـذا المعنى - حاصل بالنسبة إلى جميع مخلوقاته، فما فائدة تخصيصه بالعرش</w:t>
      </w:r>
      <w:r w:rsidR="000636C2">
        <w:rPr>
          <w:rtl/>
          <w:lang w:val="uz-Latn-UZ"/>
        </w:rPr>
        <w:t>،</w:t>
      </w:r>
      <w:r w:rsidRPr="005675B2">
        <w:rPr>
          <w:rtl/>
          <w:lang w:val="uz-Latn-UZ"/>
        </w:rPr>
        <w:t xml:space="preserve"> </w:t>
      </w:r>
      <w:r w:rsidRPr="005675B2">
        <w:rPr>
          <w:bCs/>
          <w:rtl/>
          <w:lang w:val="uz-Latn-UZ"/>
        </w:rPr>
        <w:t>قلنا</w:t>
      </w:r>
      <w:r w:rsidR="000636C2">
        <w:rPr>
          <w:bCs/>
          <w:rtl/>
          <w:lang w:val="uz-Latn-UZ"/>
        </w:rPr>
        <w:t>:</w:t>
      </w:r>
      <w:r w:rsidRPr="005675B2">
        <w:rPr>
          <w:rtl/>
          <w:lang w:val="uz-Latn-UZ"/>
        </w:rPr>
        <w:t xml:space="preserve"> خُصّ بالذكر لأنه أعظم المخلوقات إجماعاً، كما خصّ بقوله </w:t>
      </w:r>
      <w:r w:rsidR="000636C2">
        <w:rPr>
          <w:bCs/>
          <w:rtl/>
          <w:lang w:val="uz-Latn-UZ"/>
        </w:rPr>
        <w:t>(</w:t>
      </w:r>
      <w:r w:rsidRPr="005675B2">
        <w:rPr>
          <w:bCs/>
          <w:rtl/>
          <w:lang w:val="uz-Latn-UZ"/>
        </w:rPr>
        <w:t>ربُّ العرش</w:t>
      </w:r>
      <w:r w:rsidR="000636C2">
        <w:rPr>
          <w:bCs/>
          <w:rtl/>
          <w:lang w:val="uz-Latn-UZ"/>
        </w:rPr>
        <w:t>)</w:t>
      </w:r>
      <w:r w:rsidRPr="005675B2">
        <w:rPr>
          <w:bCs/>
          <w:rtl/>
          <w:lang w:val="uz-Latn-UZ"/>
        </w:rPr>
        <w:t xml:space="preserve"> </w:t>
      </w:r>
      <w:r w:rsidRPr="005675B2">
        <w:rPr>
          <w:rtl/>
          <w:lang w:val="uz-Latn-UZ"/>
        </w:rPr>
        <w:t>وهو رب كل شيء، وإذا استولى على العرش المحيط بكل شيء استولى على الكل قطعاً</w:t>
      </w:r>
      <w:r w:rsidR="000636C2">
        <w:rPr>
          <w:rtl/>
          <w:lang w:val="uz-Latn-UZ"/>
        </w:rPr>
        <w:t>،</w:t>
      </w:r>
      <w:r w:rsidRPr="005675B2">
        <w:rPr>
          <w:rtl/>
          <w:lang w:val="uz-Latn-UZ"/>
        </w:rPr>
        <w:t xml:space="preserve"> </w:t>
      </w:r>
      <w:r w:rsidRPr="005675B2">
        <w:rPr>
          <w:bCs/>
          <w:rtl/>
          <w:lang w:val="uz-Latn-UZ"/>
        </w:rPr>
        <w:t>إذا ثبت ذلك فمن جعل الاستواء في حقه تعالى ما يفهم من صفات المحدثين، وقال</w:t>
      </w:r>
      <w:r w:rsidR="000636C2">
        <w:rPr>
          <w:bCs/>
          <w:rtl/>
          <w:lang w:val="uz-Latn-UZ"/>
        </w:rPr>
        <w:t>:</w:t>
      </w:r>
      <w:r w:rsidRPr="005675B2">
        <w:rPr>
          <w:bCs/>
          <w:rtl/>
          <w:lang w:val="uz-Latn-UZ"/>
        </w:rPr>
        <w:t xml:space="preserve"> استوى بذاته، أو قال</w:t>
      </w:r>
      <w:r w:rsidR="000636C2">
        <w:rPr>
          <w:bCs/>
          <w:rtl/>
          <w:lang w:val="uz-Latn-UZ"/>
        </w:rPr>
        <w:t>:</w:t>
      </w:r>
      <w:r w:rsidRPr="005675B2">
        <w:rPr>
          <w:bCs/>
          <w:rtl/>
          <w:lang w:val="uz-Latn-UZ"/>
        </w:rPr>
        <w:t xml:space="preserve"> استوى حقيقة، فقد ابتدع بهذه الزيادة التي لم تثبت في السنة ولا عن أحد من الأئمة المقتدى بهم</w:t>
      </w:r>
      <w:r w:rsidR="000636C2">
        <w:rPr>
          <w:bCs/>
          <w:rtl/>
          <w:lang w:val="uz-Latn-UZ"/>
        </w:rPr>
        <w:t>)</w:t>
      </w:r>
      <w:r w:rsidRPr="005675B2">
        <w:rPr>
          <w:rtl/>
          <w:lang w:val="uz-Latn-UZ"/>
        </w:rPr>
        <w:t xml:space="preserve"> اهـ</w:t>
      </w:r>
      <w:r w:rsidR="000636C2">
        <w:rPr>
          <w:rtl/>
          <w:lang w:val="uz-Latn-UZ"/>
        </w:rPr>
        <w:t>،</w:t>
      </w:r>
      <w:r w:rsidRPr="005675B2">
        <w:rPr>
          <w:rtl/>
          <w:lang w:val="uz-Latn-UZ"/>
        </w:rPr>
        <w:t xml:space="preserve"> </w:t>
      </w:r>
      <w:r w:rsidR="000636C2">
        <w:rPr>
          <w:rtl/>
        </w:rPr>
        <w:t>(</w:t>
      </w:r>
      <w:r w:rsidRPr="005675B2">
        <w:rPr>
          <w:rtl/>
        </w:rPr>
        <w:t>إيضاح الدليل ص/101</w:t>
      </w:r>
      <w:r w:rsidR="000636C2">
        <w:rPr>
          <w:rtl/>
        </w:rPr>
        <w:t xml:space="preserve"> </w:t>
      </w:r>
      <w:r w:rsidRPr="005675B2">
        <w:rPr>
          <w:rtl/>
        </w:rPr>
        <w:t>- 107، إتحاف الكائنات، للشيخ محمود بن خطاب السبكي ص / 66 - 67، ويبدو أن النسخة التي اعتمد عليها الشيخ أوثق من نسخة ناشر الأصل، لذا اعتمدنا لفظ الإتحاف</w:t>
      </w:r>
      <w:r w:rsidR="000636C2">
        <w:rPr>
          <w:rtl/>
        </w:rPr>
        <w:t>)</w:t>
      </w:r>
      <w:r w:rsidR="000636C2">
        <w:rPr>
          <w:rtl/>
          <w:lang w:bidi="ar-KW"/>
        </w:rPr>
        <w:t>،</w:t>
      </w:r>
      <w:r w:rsidRPr="005675B2">
        <w:rPr>
          <w:rtl/>
          <w:lang w:bidi="ar-KW"/>
        </w:rPr>
        <w:t xml:space="preserve"> </w:t>
      </w:r>
      <w:r w:rsidRPr="005675B2">
        <w:rPr>
          <w:rtl/>
          <w:lang w:val="uz-Latn-UZ"/>
        </w:rPr>
        <w:t>وقس على الاستواء جميع ما هو ثابت من نصوص الصفات، يثبتون كل ذلك بلا تشبيه ولا تمثيل، ويؤولون - إذا استحال الظاهر - بلا تعطيل، يثبتون ما أثبته الله تعالى لنفسه في كتابه أو على لسان نبيّه</w:t>
      </w:r>
      <w:r w:rsidR="000636C2">
        <w:rPr>
          <w:rtl/>
          <w:lang w:val="uz-Latn-UZ"/>
        </w:rPr>
        <w:t xml:space="preserve"> </w:t>
      </w:r>
      <w:r w:rsidRPr="005675B2">
        <w:rPr>
          <w:rtl/>
          <w:lang w:val="uz-Latn-UZ"/>
        </w:rPr>
        <w:t>بعد أن ينزهوه تعالى عن كل ما لا يليق به سبحانه من ظاهر اللفظ، وهذا القدر من معنى اللفظ هو المنفي عندهم لاستحالة أن يتصف الله تعالى به، وهو القدر الذي يجب نفيه، ومثبته لا محالة واقع في التشبيه أو التجسيم أو مائل إليه</w:t>
      </w:r>
      <w:r w:rsidR="000636C2">
        <w:rPr>
          <w:rtl/>
          <w:lang w:val="uz-Latn-UZ"/>
        </w:rPr>
        <w:t>،</w:t>
      </w:r>
      <w:r w:rsidRPr="005675B2">
        <w:rPr>
          <w:rtl/>
          <w:lang w:val="uz-Latn-UZ"/>
        </w:rPr>
        <w:t xml:space="preserve"> </w:t>
      </w:r>
      <w:r w:rsidRPr="005675B2">
        <w:rPr>
          <w:rtl/>
          <w:lang w:val="uz-Latn-UZ" w:bidi="ar-KW"/>
        </w:rPr>
        <w:t xml:space="preserve">على أن التأويل ليس عنه محيص، وكل الذين يفرون منه مضطرون إليه لا محالة، وإلا فماذا عساهم أن يقولوا في مثل قوله تعالى </w:t>
      </w:r>
      <w:r w:rsidR="000636C2">
        <w:rPr>
          <w:bCs/>
          <w:rtl/>
          <w:lang w:val="uz-Latn-UZ" w:bidi="ar-KW"/>
        </w:rPr>
        <w:t>(</w:t>
      </w:r>
      <w:r w:rsidRPr="005675B2">
        <w:rPr>
          <w:bCs/>
          <w:rtl/>
          <w:lang w:val="uz-Latn-UZ" w:bidi="ar-KW"/>
        </w:rPr>
        <w:t>نسوا الله فنسيهم</w:t>
      </w:r>
      <w:r w:rsidR="000636C2">
        <w:rPr>
          <w:bCs/>
          <w:rtl/>
          <w:lang w:val="uz-Latn-UZ" w:bidi="ar-KW"/>
        </w:rPr>
        <w:t>)</w:t>
      </w:r>
      <w:r w:rsidRPr="005675B2">
        <w:rPr>
          <w:bCs/>
          <w:rtl/>
          <w:lang w:val="uz-Latn-UZ" w:bidi="ar-KW"/>
        </w:rPr>
        <w:t xml:space="preserve"> وقوله سبحانه</w:t>
      </w:r>
      <w:r w:rsidR="000636C2">
        <w:rPr>
          <w:bCs/>
          <w:rtl/>
          <w:lang w:val="uz-Latn-UZ" w:bidi="ar-KW"/>
        </w:rPr>
        <w:t xml:space="preserve"> (</w:t>
      </w:r>
      <w:r w:rsidRPr="005675B2">
        <w:rPr>
          <w:bCs/>
          <w:rtl/>
          <w:lang w:val="uz-Latn-UZ" w:bidi="ar-KW"/>
        </w:rPr>
        <w:t>اليوم ننساكم كما نسيتم لقاء يومكم هذا</w:t>
      </w:r>
      <w:r w:rsidR="000636C2">
        <w:rPr>
          <w:bCs/>
          <w:rtl/>
          <w:lang w:val="uz-Latn-UZ" w:bidi="ar-KW"/>
        </w:rPr>
        <w:t>)</w:t>
      </w:r>
      <w:r w:rsidR="000636C2">
        <w:rPr>
          <w:rFonts w:hint="cs"/>
          <w:bCs/>
          <w:rtl/>
          <w:lang w:val="uz-Latn-UZ"/>
        </w:rPr>
        <w:t>،</w:t>
      </w:r>
      <w:r w:rsidRPr="005675B2">
        <w:rPr>
          <w:rFonts w:hint="cs"/>
          <w:bCs/>
          <w:rtl/>
          <w:lang w:val="uz-Latn-UZ"/>
        </w:rPr>
        <w:t xml:space="preserve"> </w:t>
      </w:r>
      <w:r w:rsidRPr="005675B2">
        <w:rPr>
          <w:bCs/>
          <w:rtl/>
          <w:lang w:val="uz-Latn-UZ"/>
        </w:rPr>
        <w:t>وقوله عزّ وجلّ</w:t>
      </w:r>
      <w:r w:rsidR="000636C2">
        <w:rPr>
          <w:bCs/>
          <w:rtl/>
          <w:lang w:val="uz-Latn-UZ"/>
        </w:rPr>
        <w:t xml:space="preserve"> (</w:t>
      </w:r>
      <w:r w:rsidRPr="005675B2">
        <w:rPr>
          <w:bCs/>
          <w:rtl/>
          <w:lang w:val="uz-Latn-UZ"/>
        </w:rPr>
        <w:t>وهو معكم أينما كنتم</w:t>
      </w:r>
      <w:r w:rsidR="000636C2">
        <w:rPr>
          <w:bCs/>
          <w:rtl/>
          <w:lang w:val="uz-Latn-UZ"/>
        </w:rPr>
        <w:t>)</w:t>
      </w:r>
      <w:r w:rsidR="000636C2">
        <w:rPr>
          <w:rFonts w:hint="cs"/>
          <w:bCs/>
          <w:rtl/>
          <w:lang w:val="uz-Latn-UZ" w:bidi="ar-KW"/>
        </w:rPr>
        <w:t>،</w:t>
      </w:r>
      <w:r w:rsidRPr="005675B2">
        <w:rPr>
          <w:rFonts w:hint="cs"/>
          <w:bCs/>
          <w:rtl/>
          <w:lang w:val="uz-Latn-UZ" w:bidi="ar-KW"/>
        </w:rPr>
        <w:t xml:space="preserve"> </w:t>
      </w:r>
      <w:r w:rsidRPr="005675B2">
        <w:rPr>
          <w:bCs/>
          <w:rtl/>
          <w:lang w:val="uz-Latn-UZ"/>
        </w:rPr>
        <w:t>وقوله سبحانه</w:t>
      </w:r>
      <w:r w:rsidR="000636C2">
        <w:rPr>
          <w:bCs/>
          <w:rtl/>
          <w:lang w:val="uz-Latn-UZ"/>
        </w:rPr>
        <w:t xml:space="preserve"> (</w:t>
      </w:r>
      <w:r w:rsidRPr="005675B2">
        <w:rPr>
          <w:bCs/>
          <w:rtl/>
          <w:lang w:val="uz-Latn-UZ"/>
        </w:rPr>
        <w:t>ما يكون من نجوى ثلاثة إلا هو رابعهم ولا خمسة إلا هو سادسهم ولا أدنى من ذلك ولا أكثر إلا هو معهم أينما كانوا</w:t>
      </w:r>
      <w:r w:rsidR="000636C2">
        <w:rPr>
          <w:bCs/>
          <w:rtl/>
          <w:lang w:val="uz-Latn-UZ"/>
        </w:rPr>
        <w:t>)</w:t>
      </w:r>
      <w:r w:rsidR="000636C2">
        <w:rPr>
          <w:rFonts w:hint="cs"/>
          <w:bCs/>
          <w:rtl/>
          <w:lang w:val="uz-Latn-UZ" w:bidi="ar-KW"/>
        </w:rPr>
        <w:t xml:space="preserve">، </w:t>
      </w:r>
      <w:r w:rsidRPr="005675B2">
        <w:rPr>
          <w:bCs/>
          <w:rtl/>
          <w:lang w:val="uz-Latn-UZ"/>
        </w:rPr>
        <w:t>وقوله تعالى</w:t>
      </w:r>
      <w:r w:rsidR="000636C2">
        <w:rPr>
          <w:bCs/>
          <w:rtl/>
          <w:lang w:val="uz-Latn-UZ"/>
        </w:rPr>
        <w:t xml:space="preserve"> (</w:t>
      </w:r>
      <w:r w:rsidRPr="005675B2">
        <w:rPr>
          <w:bCs/>
          <w:rtl/>
          <w:lang w:val="uz-Latn-UZ"/>
        </w:rPr>
        <w:t>الله يستهزئ بهم</w:t>
      </w:r>
      <w:r w:rsidR="000636C2">
        <w:rPr>
          <w:bCs/>
          <w:rtl/>
          <w:lang w:val="uz-Latn-UZ"/>
        </w:rPr>
        <w:t>)</w:t>
      </w:r>
      <w:r w:rsidR="000636C2">
        <w:rPr>
          <w:rFonts w:hint="cs"/>
          <w:bCs/>
          <w:rtl/>
          <w:lang w:val="uz-Latn-UZ" w:bidi="ar-KW"/>
        </w:rPr>
        <w:t xml:space="preserve">، </w:t>
      </w:r>
      <w:r w:rsidRPr="005675B2">
        <w:rPr>
          <w:bCs/>
          <w:rtl/>
          <w:lang w:val="uz-Latn-UZ"/>
        </w:rPr>
        <w:t>وقوله تعالى</w:t>
      </w:r>
      <w:r w:rsidR="000636C2">
        <w:rPr>
          <w:bCs/>
          <w:rtl/>
          <w:lang w:val="uz-Latn-UZ"/>
        </w:rPr>
        <w:t xml:space="preserve"> (</w:t>
      </w:r>
      <w:r w:rsidRPr="005675B2">
        <w:rPr>
          <w:bCs/>
          <w:rtl/>
          <w:lang w:val="uz-Latn-UZ"/>
        </w:rPr>
        <w:t>والله خير الماكرين</w:t>
      </w:r>
      <w:r w:rsidR="000636C2">
        <w:rPr>
          <w:bCs/>
          <w:rtl/>
          <w:lang w:val="uz-Latn-UZ"/>
        </w:rPr>
        <w:t>)</w:t>
      </w:r>
      <w:r w:rsidR="000636C2">
        <w:rPr>
          <w:rFonts w:hint="cs"/>
          <w:bCs/>
          <w:rtl/>
          <w:lang w:val="uz-Latn-UZ" w:bidi="ar-KW"/>
        </w:rPr>
        <w:t xml:space="preserve">، </w:t>
      </w:r>
      <w:r w:rsidRPr="005675B2">
        <w:rPr>
          <w:bCs/>
          <w:rtl/>
          <w:lang w:val="uz-Latn-UZ"/>
        </w:rPr>
        <w:t xml:space="preserve">وقوله تعالى </w:t>
      </w:r>
      <w:r w:rsidR="000636C2">
        <w:rPr>
          <w:bCs/>
          <w:rtl/>
          <w:lang w:val="uz-Latn-UZ"/>
        </w:rPr>
        <w:t>(</w:t>
      </w:r>
      <w:r w:rsidRPr="005675B2">
        <w:rPr>
          <w:bCs/>
          <w:rtl/>
          <w:lang w:val="uz-Latn-UZ"/>
        </w:rPr>
        <w:t>يخادعون الله وهو خادعهم</w:t>
      </w:r>
      <w:r w:rsidR="000636C2">
        <w:rPr>
          <w:bCs/>
          <w:rtl/>
          <w:lang w:val="uz-Latn-UZ"/>
        </w:rPr>
        <w:t>)</w:t>
      </w:r>
      <w:r w:rsidR="000636C2">
        <w:rPr>
          <w:rFonts w:hint="cs"/>
          <w:bCs/>
          <w:rtl/>
          <w:lang w:val="uz-Latn-UZ" w:bidi="ar-KW"/>
        </w:rPr>
        <w:t xml:space="preserve">، </w:t>
      </w:r>
      <w:r w:rsidRPr="005675B2">
        <w:rPr>
          <w:rtl/>
          <w:lang w:val="uz-Latn-UZ"/>
        </w:rPr>
        <w:t>وقوله</w:t>
      </w:r>
      <w:r w:rsidR="000636C2">
        <w:rPr>
          <w:rtl/>
          <w:lang w:val="uz-Latn-UZ"/>
        </w:rPr>
        <w:t xml:space="preserve"> </w:t>
      </w:r>
      <w:r w:rsidR="000636C2">
        <w:rPr>
          <w:rtl/>
          <w:lang w:val="uz-Latn-UZ" w:bidi="ar-KW"/>
        </w:rPr>
        <w:t>(</w:t>
      </w:r>
      <w:r w:rsidRPr="005675B2">
        <w:rPr>
          <w:rtl/>
          <w:lang w:val="uz-Latn-UZ" w:bidi="ar-KW"/>
        </w:rPr>
        <w:t>لا يملّ الله حتى تملّوا</w:t>
      </w:r>
      <w:r w:rsidR="000636C2">
        <w:rPr>
          <w:rtl/>
          <w:lang w:val="uz-Latn-UZ" w:bidi="ar-KW"/>
        </w:rPr>
        <w:t xml:space="preserve">)، </w:t>
      </w:r>
      <w:r w:rsidRPr="005675B2">
        <w:rPr>
          <w:rtl/>
          <w:lang w:val="uz-Latn-UZ"/>
        </w:rPr>
        <w:t>وقوله</w:t>
      </w:r>
      <w:r w:rsidR="000636C2">
        <w:rPr>
          <w:rtl/>
        </w:rPr>
        <w:t xml:space="preserve"> </w:t>
      </w:r>
      <w:r w:rsidRPr="005675B2">
        <w:rPr>
          <w:rtl/>
          <w:lang w:val="uz-Latn-UZ"/>
        </w:rPr>
        <w:t xml:space="preserve">في الحديث القدسي حاكياً عن ربّه عزّ وجلّ </w:t>
      </w:r>
      <w:r w:rsidR="000636C2">
        <w:rPr>
          <w:rtl/>
          <w:lang w:val="uz-Latn-UZ"/>
        </w:rPr>
        <w:t>(</w:t>
      </w:r>
      <w:r w:rsidRPr="005675B2">
        <w:rPr>
          <w:rtl/>
          <w:lang w:val="uz-Latn-UZ"/>
        </w:rPr>
        <w:t>.. ومن أتاني يمشي أتيته هرولة</w:t>
      </w:r>
      <w:r w:rsidR="000636C2">
        <w:rPr>
          <w:rtl/>
          <w:lang w:val="uz-Latn-UZ"/>
        </w:rPr>
        <w:t xml:space="preserve">)، </w:t>
      </w:r>
      <w:r w:rsidRPr="005675B2">
        <w:rPr>
          <w:rtl/>
          <w:lang w:val="uz-Latn-UZ" w:bidi="ar-KW"/>
        </w:rPr>
        <w:t>وقوله</w:t>
      </w:r>
      <w:r w:rsidR="000636C2">
        <w:rPr>
          <w:rtl/>
          <w:lang w:val="uz-Latn-UZ" w:bidi="ar-KW"/>
        </w:rPr>
        <w:t xml:space="preserve"> </w:t>
      </w:r>
      <w:r w:rsidRPr="005675B2">
        <w:rPr>
          <w:rtl/>
          <w:lang w:val="uz-Latn-UZ" w:bidi="ar-KW"/>
        </w:rPr>
        <w:t xml:space="preserve">في الحديث القدسي حاكياً عن ربه تعالى </w:t>
      </w:r>
      <w:r w:rsidR="000636C2">
        <w:rPr>
          <w:rtl/>
          <w:lang w:val="uz-Latn-UZ" w:bidi="ar-KW"/>
        </w:rPr>
        <w:t>(</w:t>
      </w:r>
      <w:r w:rsidRPr="005675B2">
        <w:rPr>
          <w:rtl/>
          <w:lang w:val="uz-Latn-UZ" w:bidi="ar-KW"/>
        </w:rPr>
        <w:t>عبدي مرضت فلم تعدْني</w:t>
      </w:r>
      <w:r w:rsidR="000636C2">
        <w:rPr>
          <w:rtl/>
          <w:lang w:val="uz-Latn-UZ" w:bidi="ar-KW"/>
        </w:rPr>
        <w:t>)،</w:t>
      </w:r>
      <w:r w:rsidRPr="005675B2">
        <w:rPr>
          <w:rtl/>
          <w:lang w:val="uz-Latn-UZ" w:bidi="ar-KW"/>
        </w:rPr>
        <w:t xml:space="preserve"> </w:t>
      </w:r>
      <w:r w:rsidRPr="005675B2">
        <w:rPr>
          <w:rtl/>
          <w:lang w:val="uz-Latn-UZ"/>
        </w:rPr>
        <w:t>وقوله</w:t>
      </w:r>
      <w:r w:rsidR="000636C2">
        <w:rPr>
          <w:rtl/>
        </w:rPr>
        <w:t xml:space="preserve"> </w:t>
      </w:r>
      <w:r w:rsidR="000636C2">
        <w:rPr>
          <w:rtl/>
          <w:lang w:val="uz-Latn-UZ"/>
        </w:rPr>
        <w:t>(</w:t>
      </w:r>
      <w:r w:rsidRPr="005675B2">
        <w:rPr>
          <w:rtl/>
          <w:lang w:val="uz-Latn-UZ"/>
        </w:rPr>
        <w:t>فإن موسى الله أحدّ من موساك، وساعدَ الله أشدّ من ساعدك</w:t>
      </w:r>
      <w:r w:rsidR="000636C2">
        <w:rPr>
          <w:rtl/>
          <w:lang w:val="uz-Latn-UZ"/>
        </w:rPr>
        <w:t xml:space="preserve">)، </w:t>
      </w:r>
      <w:r w:rsidRPr="005675B2">
        <w:rPr>
          <w:rtl/>
          <w:lang w:val="uz-Latn-UZ"/>
        </w:rPr>
        <w:t>وقوله</w:t>
      </w:r>
      <w:r w:rsidR="000636C2">
        <w:rPr>
          <w:rtl/>
        </w:rPr>
        <w:t xml:space="preserve"> </w:t>
      </w:r>
      <w:r w:rsidR="000636C2">
        <w:rPr>
          <w:rtl/>
          <w:lang w:val="uz-Latn-UZ"/>
        </w:rPr>
        <w:t>(</w:t>
      </w:r>
      <w:r w:rsidRPr="005675B2">
        <w:rPr>
          <w:rtl/>
          <w:lang w:val="uz-Latn-UZ"/>
        </w:rPr>
        <w:t>إن الله تعالى حَييٌّ كريم يستحيي من عبده أن يرفع يديه فيردّهما صفراً ليس فيهما شيء</w:t>
      </w:r>
      <w:r w:rsidR="000636C2">
        <w:rPr>
          <w:rtl/>
          <w:lang w:val="uz-Latn-UZ"/>
        </w:rPr>
        <w:t xml:space="preserve">)، </w:t>
      </w:r>
      <w:r w:rsidRPr="005675B2">
        <w:rPr>
          <w:rtl/>
          <w:lang w:val="uz-Latn-UZ"/>
        </w:rPr>
        <w:t>وقوله</w:t>
      </w:r>
      <w:r w:rsidR="000636C2">
        <w:rPr>
          <w:rtl/>
        </w:rPr>
        <w:t xml:space="preserve"> </w:t>
      </w:r>
      <w:r w:rsidR="000636C2">
        <w:rPr>
          <w:rtl/>
          <w:lang w:val="uz-Latn-UZ"/>
        </w:rPr>
        <w:t>(</w:t>
      </w:r>
      <w:r w:rsidRPr="005675B2">
        <w:rPr>
          <w:rtl/>
          <w:lang w:val="uz-Latn-UZ"/>
        </w:rPr>
        <w:t>إن الله يضحك ..</w:t>
      </w:r>
      <w:r w:rsidR="000636C2">
        <w:rPr>
          <w:rtl/>
          <w:lang w:val="uz-Latn-UZ"/>
        </w:rPr>
        <w:t xml:space="preserve">)، </w:t>
      </w:r>
      <w:r w:rsidRPr="005675B2">
        <w:rPr>
          <w:rtl/>
          <w:lang w:val="uz-Latn-UZ"/>
        </w:rPr>
        <w:t>وقوله</w:t>
      </w:r>
      <w:r w:rsidR="000636C2">
        <w:rPr>
          <w:rtl/>
          <w:lang w:val="uz-Latn-UZ"/>
        </w:rPr>
        <w:t xml:space="preserve"> (</w:t>
      </w:r>
      <w:r w:rsidRPr="005675B2">
        <w:rPr>
          <w:rtl/>
          <w:lang w:val="uz-Latn-UZ"/>
        </w:rPr>
        <w:t>إن الله يغار ..</w:t>
      </w:r>
      <w:r w:rsidR="000636C2">
        <w:rPr>
          <w:rtl/>
          <w:lang w:val="uz-Latn-UZ"/>
        </w:rPr>
        <w:t xml:space="preserve">)، </w:t>
      </w:r>
      <w:r w:rsidRPr="005675B2">
        <w:rPr>
          <w:rtl/>
          <w:lang w:val="uz-Latn-UZ"/>
        </w:rPr>
        <w:t>وقوله</w:t>
      </w:r>
      <w:r w:rsidR="000636C2">
        <w:rPr>
          <w:rtl/>
          <w:lang w:val="uz-Latn-UZ"/>
        </w:rPr>
        <w:t xml:space="preserve"> (</w:t>
      </w:r>
      <w:r w:rsidRPr="005675B2">
        <w:rPr>
          <w:rtl/>
          <w:lang w:val="uz-Latn-UZ"/>
        </w:rPr>
        <w:t>إن الله يعجب ..</w:t>
      </w:r>
      <w:r w:rsidR="000636C2">
        <w:rPr>
          <w:rtl/>
          <w:lang w:val="uz-Latn-UZ"/>
        </w:rPr>
        <w:t xml:space="preserve">)، </w:t>
      </w:r>
      <w:r w:rsidRPr="005675B2">
        <w:rPr>
          <w:rtl/>
          <w:lang w:val="uz-Latn-UZ"/>
        </w:rPr>
        <w:t>وغير ذلك من النصوص، أتراهم يثبتون ظواهرها وحقائقها المعهودة المعروفة بين البشر أيضاً، فيقولون</w:t>
      </w:r>
      <w:r w:rsidR="000636C2">
        <w:rPr>
          <w:rtl/>
          <w:lang w:val="uz-Latn-UZ"/>
        </w:rPr>
        <w:t>:</w:t>
      </w:r>
      <w:r w:rsidRPr="005675B2">
        <w:rPr>
          <w:rFonts w:hint="cs"/>
          <w:rtl/>
          <w:lang w:val="uz-Latn-UZ"/>
        </w:rPr>
        <w:t xml:space="preserve"> </w:t>
      </w:r>
      <w:r w:rsidRPr="005675B2">
        <w:rPr>
          <w:rtl/>
          <w:lang w:val="uz-Latn-UZ"/>
        </w:rPr>
        <w:t>نثبت لله نسياناً حقيقياً ومكراً حقيقياً وخداعاً حقيقياً واستهزاءً حقيقياً ومرضاً حقيقياً وهرولة حقيقية وسـاعداً شديداً حقيقياً، وموسى حادّةً حقيقية، ومللاً حقيقياً، وعجباً وغيرةً وحيـاءً وتردداً وضحكاً ومعيّةً وقرباً بالذات والمسافات، كلّ ذلك على الحقيقة</w:t>
      </w:r>
      <w:r w:rsidR="000636C2">
        <w:rPr>
          <w:rtl/>
          <w:lang w:val="uz-Latn-UZ"/>
        </w:rPr>
        <w:t>؟!</w:t>
      </w:r>
      <w:r w:rsidRPr="005675B2">
        <w:rPr>
          <w:rtl/>
          <w:lang w:val="uz-Latn-UZ"/>
        </w:rPr>
        <w:t>!</w:t>
      </w:r>
      <w:r w:rsidRPr="005675B2">
        <w:rPr>
          <w:rFonts w:hint="cs"/>
          <w:rtl/>
          <w:lang w:val="uz-Latn-UZ" w:bidi="ar-KW"/>
        </w:rPr>
        <w:t xml:space="preserve"> </w:t>
      </w:r>
      <w:r w:rsidRPr="005675B2">
        <w:rPr>
          <w:rtl/>
          <w:lang w:val="uz-Latn-UZ"/>
        </w:rPr>
        <w:t>ولا نظن أن أحداً يماري ويكابر في استحالة هذه الظواهر وفي نفيها عن الله تعالى، فكذا ظاهر الاستواء والنزول والمجيء ونحوها يجب نفيه ومنعه لاتحاد العلّة في الجميع وهي استحالة الظاهر والحقيقة</w:t>
      </w:r>
      <w:r w:rsidR="000636C2">
        <w:rPr>
          <w:rtl/>
          <w:lang w:val="uz-Latn-UZ"/>
        </w:rPr>
        <w:t xml:space="preserve">، </w:t>
      </w:r>
      <w:r w:rsidRPr="005675B2">
        <w:rPr>
          <w:rtl/>
          <w:lang w:val="uz-Latn-UZ"/>
        </w:rPr>
        <w:t xml:space="preserve">قال الحافظ ابن عساكر - رحمه الله تعالى - </w:t>
      </w:r>
      <w:r w:rsidR="000636C2">
        <w:rPr>
          <w:rtl/>
          <w:lang w:val="uz-Latn-UZ"/>
        </w:rPr>
        <w:t>(</w:t>
      </w:r>
      <w:r w:rsidRPr="005675B2">
        <w:rPr>
          <w:rtl/>
          <w:lang w:val="uz-Latn-UZ"/>
        </w:rPr>
        <w:t>تبيين كذب المفتري ص/ 388</w:t>
      </w:r>
      <w:r w:rsidR="000636C2">
        <w:rPr>
          <w:rtl/>
          <w:lang w:val="uz-Latn-UZ"/>
        </w:rPr>
        <w:t>)</w:t>
      </w:r>
      <w:r w:rsidR="000636C2">
        <w:rPr>
          <w:rtl/>
          <w:lang w:val="uz-Latn-UZ" w:bidi="ar-KW"/>
        </w:rPr>
        <w:t>:</w:t>
      </w:r>
      <w:r w:rsidRPr="005675B2">
        <w:rPr>
          <w:rFonts w:hint="cs"/>
          <w:rtl/>
          <w:lang w:val="uz-Latn-UZ"/>
        </w:rPr>
        <w:t xml:space="preserve"> </w:t>
      </w:r>
      <w:r w:rsidR="000636C2">
        <w:rPr>
          <w:rtl/>
          <w:lang w:val="uz-Latn-UZ"/>
        </w:rPr>
        <w:t>(</w:t>
      </w:r>
      <w:r w:rsidRPr="005675B2">
        <w:rPr>
          <w:rtl/>
          <w:lang w:val="uz-Latn-UZ"/>
        </w:rPr>
        <w:t>فإنهم – يعني الأشاعرة – بحمد الله ليسوا معتزلة، ولا نفاة لصفات الله معطلة، لكنهم يثبتون له سبحانه ما أثبته لنفسه من الصفات، ويصفونه بما اتصف به في محكم الآيات، وبما وصفه به نبيّه</w:t>
      </w:r>
      <w:r w:rsidR="000636C2">
        <w:rPr>
          <w:rtl/>
          <w:lang w:val="uz-Latn-UZ"/>
        </w:rPr>
        <w:t xml:space="preserve"> </w:t>
      </w:r>
      <w:r w:rsidRPr="005675B2">
        <w:rPr>
          <w:rtl/>
          <w:lang w:val="uz-Latn-UZ"/>
        </w:rPr>
        <w:t>في صحيح الروايات وينزهونه عن سمات النقص والآفات، فإذا وجدوا من يقول بالتجسيم أو التكييف من المجسمة والمشبهة، ولقوا من يصفه بصفات المحدثات من القائلين بالحدود والجهة فحينئذ يسلكون طريق التأويل، ويثبتون تنزيهه تعالى بأوضح الدليل، ويبالغون في إثبات التقديس له والتنزيه خوفاً من وقوع من لا يعلم في ظُلم التشبيه، فإذا أمنوا من ذلك رأوا أن السكوت أسلم، وترك الخوض في التأويل إلا عند الحاجة أحزم، وما مثالهم في ذلك إلا مثل الطبيب الحاذق الذي يداوي كلّ داء من الأدواء بالدواء الموافق، فإذا تحقق غلبة البرودة على المريض داواه بالأدوية الحارّة، ويعالجه بالأدوية الباردة عند تيقنه منه بغلبة الحرارة، وما هذا في ضرب المثال إلا كما رُويَ عن سفيان</w:t>
      </w:r>
      <w:r w:rsidR="000636C2">
        <w:rPr>
          <w:rtl/>
          <w:lang w:val="uz-Latn-UZ"/>
        </w:rPr>
        <w:t>:</w:t>
      </w:r>
      <w:r w:rsidRPr="005675B2">
        <w:rPr>
          <w:rtl/>
          <w:lang w:val="uz-Latn-UZ"/>
        </w:rPr>
        <w:t xml:space="preserve"> إذا كنت بالشام فحدّث بفضائل عليّ رضي الله عنه، وإذا كنت بالكوفة فحدّث بفضائل عثمان رضي الله عنه</w:t>
      </w:r>
      <w:r w:rsidR="000636C2">
        <w:rPr>
          <w:rtl/>
          <w:lang w:val="uz-Latn-UZ"/>
        </w:rPr>
        <w:t xml:space="preserve">، </w:t>
      </w:r>
      <w:r w:rsidRPr="005675B2">
        <w:rPr>
          <w:spacing w:val="-6"/>
          <w:rtl/>
          <w:lang w:val="uz-Latn-UZ"/>
        </w:rPr>
        <w:t>وما مثال المتأوّل بالدليل الواضح إلا مثال الرجل السابح، فإنه لا يحتاج إلى السباحة ما دام في البر، فإن اتفق له في بعض الأحايين ركوب البحر، وعاين هوله عند ارتجاجه وشاهد منه تلاطم أمواجه، وعصفت به الريح حتى انكسر الفُلك، وأحاط به إن لم يستعمل السباحة الهُلك، فحينئذ يسبح بجهده طلباً للنجاة، ولا يلحقه فيها تقصير حبّاً للحياة، فكذلك الموحّد ما دام سالكاً محجّة التنزيه، آمناً في عقده من ركوب لجّة التشبيه، فهو غير محتاج إلى الخوض في التأويل لسلامة عقيدته من التشبيه والأباطيل، فأما إذا تكدّر صفاء عقده بكدورة التكييف والتمثيل، فلا بدّ من تصفية قلبه من الكدر بمصفاة التأويل، وترويق ذهنه براووق الدليل، لتسلم عقيدته من التشبيه والتعطيل</w:t>
      </w:r>
      <w:r w:rsidR="000636C2">
        <w:rPr>
          <w:spacing w:val="-6"/>
          <w:rtl/>
          <w:lang w:val="uz-Latn-UZ"/>
        </w:rPr>
        <w:t>)</w:t>
      </w:r>
      <w:r w:rsidRPr="005675B2">
        <w:rPr>
          <w:spacing w:val="-6"/>
          <w:rtl/>
          <w:lang w:val="uz-Latn-UZ"/>
        </w:rPr>
        <w:t xml:space="preserve"> اهـ</w:t>
      </w:r>
      <w:r w:rsidR="000636C2">
        <w:rPr>
          <w:spacing w:val="-6"/>
          <w:rtl/>
          <w:lang w:val="uz-Latn-UZ"/>
        </w:rPr>
        <w:t xml:space="preserve">، </w:t>
      </w:r>
      <w:r w:rsidRPr="005675B2">
        <w:rPr>
          <w:rtl/>
          <w:lang w:val="uz-Latn-UZ"/>
        </w:rPr>
        <w:t xml:space="preserve">وقال الإمام أبو نصر القشيري رحمه الله تعالى </w:t>
      </w:r>
      <w:r w:rsidR="000636C2">
        <w:rPr>
          <w:rtl/>
          <w:lang w:val="uz-Latn-UZ" w:bidi="ar-KW"/>
        </w:rPr>
        <w:t>(</w:t>
      </w:r>
      <w:r w:rsidRPr="005675B2">
        <w:rPr>
          <w:rtl/>
          <w:lang w:val="uz-Latn-UZ" w:bidi="ar-KW"/>
        </w:rPr>
        <w:t>إتحاف السادة المتقين 2 / 108</w:t>
      </w:r>
      <w:r w:rsidR="000636C2">
        <w:rPr>
          <w:rtl/>
          <w:lang w:val="uz-Latn-UZ" w:bidi="ar-KW"/>
        </w:rPr>
        <w:t>)</w:t>
      </w:r>
      <w:r w:rsidR="000636C2">
        <w:rPr>
          <w:rtl/>
          <w:lang w:val="uz-Latn-UZ"/>
        </w:rPr>
        <w:t>:</w:t>
      </w:r>
      <w:r w:rsidRPr="005675B2">
        <w:rPr>
          <w:rFonts w:hint="cs"/>
          <w:rtl/>
          <w:lang w:val="uz-Latn-UZ"/>
        </w:rPr>
        <w:t xml:space="preserve"> </w:t>
      </w:r>
      <w:r w:rsidR="000636C2">
        <w:rPr>
          <w:rtl/>
          <w:lang w:val="uz-Latn-UZ" w:bidi="ar-KW"/>
        </w:rPr>
        <w:t>(</w:t>
      </w:r>
      <w:r w:rsidRPr="005675B2">
        <w:rPr>
          <w:rtl/>
          <w:lang w:val="uz-Latn-UZ" w:bidi="ar-KW"/>
        </w:rPr>
        <w:t>فإن قيل</w:t>
      </w:r>
      <w:r w:rsidR="000636C2">
        <w:rPr>
          <w:rtl/>
          <w:lang w:val="uz-Latn-UZ" w:bidi="ar-KW"/>
        </w:rPr>
        <w:t>:</w:t>
      </w:r>
      <w:r w:rsidRPr="005675B2">
        <w:rPr>
          <w:rtl/>
          <w:lang w:val="uz-Latn-UZ" w:bidi="ar-KW"/>
        </w:rPr>
        <w:t xml:space="preserve"> أليس الله يقول </w:t>
      </w:r>
      <w:r w:rsidR="000636C2">
        <w:rPr>
          <w:bCs/>
          <w:rtl/>
          <w:lang w:val="uz-Latn-UZ" w:bidi="ar-KW"/>
        </w:rPr>
        <w:t>(</w:t>
      </w:r>
      <w:r w:rsidRPr="005675B2">
        <w:rPr>
          <w:bCs/>
          <w:rtl/>
          <w:lang w:val="uz-Latn-UZ" w:bidi="ar-KW"/>
        </w:rPr>
        <w:t>الرحمن على العرش استوي</w:t>
      </w:r>
      <w:r w:rsidR="000636C2">
        <w:rPr>
          <w:bCs/>
          <w:rtl/>
          <w:lang w:val="uz-Latn-UZ" w:bidi="ar-KW"/>
        </w:rPr>
        <w:t>)؟</w:t>
      </w:r>
      <w:r w:rsidRPr="005675B2">
        <w:rPr>
          <w:bCs/>
          <w:rtl/>
          <w:lang w:val="uz-Latn-UZ" w:bidi="ar-KW"/>
        </w:rPr>
        <w:t xml:space="preserve"> فيجب الأخذ بظاهره</w:t>
      </w:r>
      <w:r w:rsidR="000636C2">
        <w:rPr>
          <w:bCs/>
          <w:rtl/>
          <w:lang w:val="uz-Latn-UZ" w:bidi="ar-KW"/>
        </w:rPr>
        <w:t xml:space="preserve">، </w:t>
      </w:r>
      <w:r w:rsidRPr="005675B2">
        <w:rPr>
          <w:bCs/>
          <w:rtl/>
          <w:lang w:val="uz-Latn-UZ"/>
        </w:rPr>
        <w:t>قلنا</w:t>
      </w:r>
      <w:r w:rsidR="000636C2">
        <w:rPr>
          <w:bCs/>
          <w:rtl/>
          <w:lang w:val="uz-Latn-UZ"/>
        </w:rPr>
        <w:t>:</w:t>
      </w:r>
      <w:r w:rsidRPr="005675B2">
        <w:rPr>
          <w:bCs/>
          <w:rtl/>
          <w:lang w:val="uz-Latn-UZ"/>
        </w:rPr>
        <w:t xml:space="preserve"> الله يقول أيضاً </w:t>
      </w:r>
      <w:r w:rsidR="000636C2">
        <w:rPr>
          <w:bCs/>
          <w:rtl/>
          <w:lang w:val="uz-Latn-UZ"/>
        </w:rPr>
        <w:t>(</w:t>
      </w:r>
      <w:r w:rsidRPr="005675B2">
        <w:rPr>
          <w:bCs/>
          <w:rtl/>
          <w:lang w:val="uz-Latn-UZ"/>
        </w:rPr>
        <w:t>وهو معكم أينما كنتم</w:t>
      </w:r>
      <w:r w:rsidR="000636C2">
        <w:rPr>
          <w:bCs/>
          <w:rtl/>
          <w:lang w:val="uz-Latn-UZ"/>
        </w:rPr>
        <w:t>)</w:t>
      </w:r>
      <w:r w:rsidRPr="005675B2">
        <w:rPr>
          <w:bCs/>
          <w:rtl/>
          <w:lang w:val="uz-Latn-UZ"/>
        </w:rPr>
        <w:t xml:space="preserve"> ويقول تعالى</w:t>
      </w:r>
      <w:r w:rsidR="000636C2">
        <w:rPr>
          <w:bCs/>
          <w:rtl/>
          <w:lang w:val="uz-Latn-UZ"/>
        </w:rPr>
        <w:t xml:space="preserve"> (</w:t>
      </w:r>
      <w:r w:rsidRPr="005675B2">
        <w:rPr>
          <w:bCs/>
          <w:rtl/>
          <w:lang w:val="uz-Latn-UZ"/>
        </w:rPr>
        <w:t>ألا إنّه بكلِّ شئ محيط</w:t>
      </w:r>
      <w:r w:rsidR="000636C2">
        <w:rPr>
          <w:bCs/>
          <w:rtl/>
          <w:lang w:val="uz-Latn-UZ"/>
        </w:rPr>
        <w:t>)</w:t>
      </w:r>
      <w:r w:rsidRPr="005675B2">
        <w:rPr>
          <w:bCs/>
          <w:rtl/>
          <w:lang w:val="uz-Latn-UZ"/>
        </w:rPr>
        <w:t xml:space="preserve"> فينبغي أيضاً أن تأخذ بظاهر هذه الآيات حتى يكون – تعالى – على العرش وعندنا ومعنا ومحيـطاً بالعالم محدقاً به بالذات في حالة واحدة، والواحد يستحيل أن يكون بذاته في كلّ مكان</w:t>
      </w:r>
      <w:r w:rsidR="000636C2">
        <w:rPr>
          <w:bCs/>
          <w:rtl/>
          <w:lang w:val="uz-Latn-UZ"/>
        </w:rPr>
        <w:t>،</w:t>
      </w:r>
      <w:r w:rsidRPr="005675B2">
        <w:rPr>
          <w:bCs/>
          <w:rtl/>
          <w:lang w:val="uz-Latn-UZ"/>
        </w:rPr>
        <w:t xml:space="preserve"> قالوا</w:t>
      </w:r>
      <w:r w:rsidR="000636C2">
        <w:rPr>
          <w:bCs/>
          <w:rtl/>
          <w:lang w:val="uz-Latn-UZ"/>
        </w:rPr>
        <w:t>:</w:t>
      </w:r>
      <w:r w:rsidRPr="005675B2">
        <w:rPr>
          <w:bCs/>
          <w:rtl/>
          <w:lang w:val="uz-Latn-UZ"/>
        </w:rPr>
        <w:t xml:space="preserve"> قوله تعالى </w:t>
      </w:r>
      <w:r w:rsidR="000636C2">
        <w:rPr>
          <w:bCs/>
          <w:rtl/>
          <w:lang w:val="uz-Latn-UZ"/>
        </w:rPr>
        <w:t>(</w:t>
      </w:r>
      <w:r w:rsidRPr="005675B2">
        <w:rPr>
          <w:bCs/>
          <w:rtl/>
          <w:lang w:val="uz-Latn-UZ"/>
        </w:rPr>
        <w:t>وهو معكم</w:t>
      </w:r>
      <w:r w:rsidR="000636C2">
        <w:rPr>
          <w:bCs/>
          <w:rtl/>
          <w:lang w:val="uz-Latn-UZ"/>
        </w:rPr>
        <w:t xml:space="preserve">) </w:t>
      </w:r>
      <w:r w:rsidRPr="005675B2">
        <w:rPr>
          <w:bCs/>
          <w:rtl/>
          <w:lang w:val="uz-Latn-UZ"/>
        </w:rPr>
        <w:t xml:space="preserve">يعني بالعلم، و </w:t>
      </w:r>
      <w:r w:rsidR="000636C2">
        <w:rPr>
          <w:bCs/>
          <w:rtl/>
          <w:lang w:val="uz-Latn-UZ"/>
        </w:rPr>
        <w:t>(</w:t>
      </w:r>
      <w:r w:rsidRPr="005675B2">
        <w:rPr>
          <w:bCs/>
          <w:rtl/>
          <w:lang w:val="uz-Latn-UZ"/>
        </w:rPr>
        <w:t>بكل شـئ محيط</w:t>
      </w:r>
      <w:r w:rsidR="000636C2">
        <w:rPr>
          <w:bCs/>
          <w:rtl/>
          <w:lang w:val="uz-Latn-UZ"/>
        </w:rPr>
        <w:t>)</w:t>
      </w:r>
      <w:r w:rsidRPr="005675B2">
        <w:rPr>
          <w:bCs/>
          <w:rtl/>
          <w:lang w:val="uz-Latn-UZ"/>
        </w:rPr>
        <w:t xml:space="preserve"> إحاطة العلم</w:t>
      </w:r>
      <w:r w:rsidR="000636C2">
        <w:rPr>
          <w:bCs/>
          <w:rtl/>
          <w:lang w:val="uz-Latn-UZ"/>
        </w:rPr>
        <w:t xml:space="preserve">، </w:t>
      </w:r>
      <w:r w:rsidRPr="005675B2">
        <w:rPr>
          <w:bCs/>
          <w:rtl/>
          <w:lang w:val="uz-Latn-UZ"/>
        </w:rPr>
        <w:t>قلنا</w:t>
      </w:r>
      <w:r w:rsidR="000636C2">
        <w:rPr>
          <w:bCs/>
          <w:rtl/>
          <w:lang w:val="uz-Latn-UZ"/>
        </w:rPr>
        <w:t>:</w:t>
      </w:r>
      <w:r w:rsidRPr="005675B2">
        <w:rPr>
          <w:bCs/>
          <w:rtl/>
          <w:lang w:val="uz-Latn-UZ"/>
        </w:rPr>
        <w:t xml:space="preserve"> وقوله تعالى</w:t>
      </w:r>
      <w:r w:rsidR="000636C2">
        <w:rPr>
          <w:bCs/>
          <w:rtl/>
          <w:lang w:val="uz-Latn-UZ"/>
        </w:rPr>
        <w:t xml:space="preserve"> (</w:t>
      </w:r>
      <w:r w:rsidRPr="005675B2">
        <w:rPr>
          <w:bCs/>
          <w:rtl/>
          <w:lang w:val="uz-Latn-UZ"/>
        </w:rPr>
        <w:t>على العرش استوي</w:t>
      </w:r>
      <w:r w:rsidR="000636C2">
        <w:rPr>
          <w:bCs/>
          <w:rtl/>
          <w:lang w:val="uz-Latn-UZ"/>
        </w:rPr>
        <w:t>)</w:t>
      </w:r>
      <w:r w:rsidRPr="005675B2">
        <w:rPr>
          <w:bCs/>
          <w:rtl/>
          <w:lang w:val="uz-Latn-UZ"/>
        </w:rPr>
        <w:t xml:space="preserve"> قهر وحفظ</w:t>
      </w:r>
      <w:r w:rsidR="000636C2">
        <w:rPr>
          <w:bCs/>
          <w:rtl/>
          <w:lang w:val="uz-Latn-UZ"/>
        </w:rPr>
        <w:t>)</w:t>
      </w:r>
      <w:r w:rsidRPr="005675B2">
        <w:rPr>
          <w:bCs/>
          <w:rtl/>
          <w:lang w:val="uz-Latn-UZ"/>
        </w:rPr>
        <w:t xml:space="preserve"> اهـ</w:t>
      </w:r>
      <w:r w:rsidR="000636C2">
        <w:rPr>
          <w:bCs/>
          <w:rtl/>
          <w:lang w:val="uz-Latn-UZ"/>
        </w:rPr>
        <w:t xml:space="preserve">، </w:t>
      </w:r>
      <w:r w:rsidRPr="005675B2">
        <w:rPr>
          <w:spacing w:val="-6"/>
          <w:rtl/>
          <w:lang w:val="uz-Latn-UZ"/>
        </w:rPr>
        <w:t xml:space="preserve">وقال الإمام وحجّة الإسلام الغزالي رحمه الله تعالى </w:t>
      </w:r>
      <w:r w:rsidR="000636C2">
        <w:rPr>
          <w:spacing w:val="-6"/>
          <w:rtl/>
        </w:rPr>
        <w:t>(</w:t>
      </w:r>
      <w:r w:rsidRPr="005675B2">
        <w:rPr>
          <w:spacing w:val="-6"/>
          <w:rtl/>
        </w:rPr>
        <w:t>الإحياء 1 / 108</w:t>
      </w:r>
      <w:r w:rsidR="000636C2">
        <w:rPr>
          <w:spacing w:val="-6"/>
          <w:rtl/>
        </w:rPr>
        <w:t>)</w:t>
      </w:r>
      <w:r w:rsidR="000636C2">
        <w:rPr>
          <w:spacing w:val="-6"/>
          <w:rtl/>
          <w:lang w:bidi="ar-KW"/>
        </w:rPr>
        <w:t>:</w:t>
      </w:r>
      <w:r w:rsidRPr="005675B2">
        <w:rPr>
          <w:rFonts w:hint="cs"/>
          <w:spacing w:val="-6"/>
          <w:rtl/>
          <w:lang w:val="uz-Latn-UZ" w:bidi="ar-KW"/>
        </w:rPr>
        <w:t xml:space="preserve"> </w:t>
      </w:r>
      <w:r w:rsidR="000636C2">
        <w:rPr>
          <w:spacing w:val="-4"/>
          <w:rtl/>
          <w:lang w:val="uz-Latn-UZ" w:bidi="ar-KW"/>
        </w:rPr>
        <w:t>(</w:t>
      </w:r>
      <w:r w:rsidRPr="005675B2">
        <w:rPr>
          <w:spacing w:val="-4"/>
          <w:rtl/>
          <w:lang w:val="uz-Latn-UZ" w:bidi="ar-KW"/>
        </w:rPr>
        <w:t>الأصل الثامن</w:t>
      </w:r>
      <w:r w:rsidR="000636C2">
        <w:rPr>
          <w:spacing w:val="-4"/>
          <w:rtl/>
          <w:lang w:val="uz-Latn-UZ" w:bidi="ar-KW"/>
        </w:rPr>
        <w:t>:</w:t>
      </w:r>
      <w:r w:rsidRPr="005675B2">
        <w:rPr>
          <w:spacing w:val="-4"/>
          <w:rtl/>
          <w:lang w:val="uz-Latn-UZ" w:bidi="ar-KW"/>
        </w:rPr>
        <w:t xml:space="preserve"> العلم بأنه تعالى مستوٍ على عرشه بالمعنى الذي أراده الله تعالى بالاستواء، وهو الذي لا ينافي وصف الكبرياء، ولا يتطرق إليه سمات الحدوث والفناء، وهو الذي أريد بالاستواء إلى السماء حيث قال في القرآن إ</w:t>
      </w:r>
      <w:r w:rsidR="000636C2">
        <w:rPr>
          <w:bCs/>
          <w:spacing w:val="-4"/>
          <w:rtl/>
          <w:lang w:val="uz-Latn-UZ" w:bidi="ar-KW"/>
        </w:rPr>
        <w:t>(</w:t>
      </w:r>
      <w:r w:rsidRPr="005675B2">
        <w:rPr>
          <w:bCs/>
          <w:spacing w:val="-4"/>
          <w:rtl/>
          <w:lang w:val="uz-Latn-UZ" w:bidi="ar-KW"/>
        </w:rPr>
        <w:t>ثم استوي إلى السماء وهى دخان</w:t>
      </w:r>
      <w:r w:rsidR="000636C2">
        <w:rPr>
          <w:bCs/>
          <w:spacing w:val="-4"/>
          <w:rtl/>
          <w:lang w:val="uz-Latn-UZ" w:bidi="ar-KW"/>
        </w:rPr>
        <w:t>)</w:t>
      </w:r>
      <w:r w:rsidRPr="005675B2">
        <w:rPr>
          <w:bCs/>
          <w:spacing w:val="-4"/>
          <w:rtl/>
          <w:lang w:val="uz-Latn-UZ" w:bidi="ar-KW"/>
        </w:rPr>
        <w:t xml:space="preserve"> وليس ذلك إلا بطريق القهر والاستيلاء .. واضطرّ أهل الحق إلى هذا التأويل كما اضطرّ أهل الباطل إلى تأويل قوله تعالى </w:t>
      </w:r>
      <w:r w:rsidR="000636C2">
        <w:rPr>
          <w:bCs/>
          <w:spacing w:val="-4"/>
          <w:rtl/>
          <w:lang w:val="uz-Latn-UZ" w:bidi="ar-KW"/>
        </w:rPr>
        <w:t>(</w:t>
      </w:r>
      <w:r w:rsidRPr="005675B2">
        <w:rPr>
          <w:bCs/>
          <w:spacing w:val="-4"/>
          <w:rtl/>
          <w:lang w:val="uz-Latn-UZ" w:bidi="ar-KW"/>
        </w:rPr>
        <w:t>وهو معكم أينما كنتم</w:t>
      </w:r>
      <w:r w:rsidR="000636C2">
        <w:rPr>
          <w:bCs/>
          <w:spacing w:val="-4"/>
          <w:rtl/>
          <w:lang w:val="uz-Latn-UZ" w:bidi="ar-KW"/>
        </w:rPr>
        <w:t>)</w:t>
      </w:r>
      <w:r w:rsidRPr="005675B2">
        <w:rPr>
          <w:bCs/>
          <w:spacing w:val="-4"/>
          <w:rtl/>
          <w:lang w:val="uz-Latn-UZ" w:bidi="ar-KW"/>
        </w:rPr>
        <w:t xml:space="preserve"> إ</w:t>
      </w:r>
      <w:r w:rsidRPr="005675B2">
        <w:rPr>
          <w:spacing w:val="-4"/>
          <w:rtl/>
          <w:lang w:val="uz-Latn-UZ" w:bidi="ar-KW"/>
        </w:rPr>
        <w:t>ذ حمل ذلك بالاتفاق على الإحاطة والعلم وحمل قولـه</w:t>
      </w:r>
      <w:r w:rsidR="000636C2">
        <w:rPr>
          <w:spacing w:val="-4"/>
          <w:rtl/>
          <w:lang w:val="uz-Latn-UZ" w:bidi="ar-KW"/>
        </w:rPr>
        <w:t xml:space="preserve"> </w:t>
      </w:r>
      <w:r w:rsidR="000636C2">
        <w:rPr>
          <w:spacing w:val="-4"/>
          <w:rtl/>
          <w:lang w:val="uz-Latn-UZ"/>
        </w:rPr>
        <w:t>(</w:t>
      </w:r>
      <w:r w:rsidRPr="005675B2">
        <w:rPr>
          <w:spacing w:val="-4"/>
          <w:rtl/>
          <w:lang w:val="uz-Latn-UZ"/>
        </w:rPr>
        <w:t>قلب المؤمن بين إصبعين من أصابع الرحمن</w:t>
      </w:r>
      <w:r w:rsidR="000636C2">
        <w:rPr>
          <w:spacing w:val="-4"/>
          <w:rtl/>
          <w:lang w:val="uz-Latn-UZ"/>
        </w:rPr>
        <w:t>)</w:t>
      </w:r>
      <w:r w:rsidRPr="005675B2">
        <w:rPr>
          <w:spacing w:val="-4"/>
          <w:rtl/>
          <w:lang w:val="uz-Latn-UZ"/>
        </w:rPr>
        <w:t xml:space="preserve"> على القدرة والقهر، وحمل قوله</w:t>
      </w:r>
      <w:r w:rsidR="000636C2">
        <w:rPr>
          <w:spacing w:val="-4"/>
          <w:rtl/>
          <w:lang w:val="uz-Latn-UZ"/>
        </w:rPr>
        <w:t xml:space="preserve"> </w:t>
      </w:r>
      <w:r w:rsidR="000636C2">
        <w:rPr>
          <w:spacing w:val="-4"/>
          <w:rtl/>
          <w:lang w:val="uz-Latn-UZ" w:bidi="ar-KW"/>
        </w:rPr>
        <w:t>(</w:t>
      </w:r>
      <w:r w:rsidRPr="005675B2">
        <w:rPr>
          <w:spacing w:val="-4"/>
          <w:rtl/>
          <w:lang w:val="uz-Latn-UZ" w:bidi="ar-KW"/>
        </w:rPr>
        <w:t>الحجر الأسود يمين الله في أرضه</w:t>
      </w:r>
      <w:r w:rsidR="000636C2">
        <w:rPr>
          <w:spacing w:val="-4"/>
          <w:rtl/>
          <w:lang w:val="uz-Latn-UZ" w:bidi="ar-KW"/>
        </w:rPr>
        <w:t>)</w:t>
      </w:r>
      <w:r w:rsidRPr="005675B2">
        <w:rPr>
          <w:spacing w:val="-4"/>
          <w:rtl/>
          <w:lang w:val="uz-Latn-UZ" w:bidi="ar-KW"/>
        </w:rPr>
        <w:t xml:space="preserve"> على التشريف والإكرام، لأنه لو ترك على ظاهره للزم منه المحال، فكذا الاستواء لو ترك على الاستقرار والتمكن لزم منه كون المتمكن جسماً مماسّاً للعرش إما أكبر منه أو أصغر، وذلك محال، وما يؤدّي إلى المحـال فهو محال</w:t>
      </w:r>
      <w:r w:rsidR="000636C2">
        <w:rPr>
          <w:spacing w:val="-4"/>
          <w:rtl/>
          <w:lang w:val="uz-Latn-UZ" w:bidi="ar-KW"/>
        </w:rPr>
        <w:t>)</w:t>
      </w:r>
      <w:r w:rsidRPr="005675B2">
        <w:rPr>
          <w:spacing w:val="-4"/>
          <w:rtl/>
          <w:lang w:val="uz-Latn-UZ" w:bidi="ar-KW"/>
        </w:rPr>
        <w:t xml:space="preserve"> اهـ</w:t>
      </w:r>
      <w:r w:rsidR="000636C2">
        <w:rPr>
          <w:spacing w:val="-4"/>
          <w:rtl/>
          <w:lang w:val="uz-Latn-UZ" w:bidi="ar-KW"/>
        </w:rPr>
        <w:t xml:space="preserve">، </w:t>
      </w:r>
      <w:r w:rsidRPr="005675B2">
        <w:rPr>
          <w:spacing w:val="-4"/>
          <w:rtl/>
          <w:lang w:val="uz-Latn-UZ"/>
        </w:rPr>
        <w:t>ولقد نقل العلماء الإجماع على أن هذه الظواهر غير مرادة للشارع، من ذلك ما ذكره الإمام الحافظ أبو الحسن علي بن القطان الفاسي</w:t>
      </w:r>
      <w:r w:rsidR="000636C2">
        <w:rPr>
          <w:spacing w:val="-4"/>
          <w:rtl/>
          <w:lang w:val="uz-Latn-UZ"/>
        </w:rPr>
        <w:t xml:space="preserve"> </w:t>
      </w:r>
      <w:r w:rsidRPr="005675B2">
        <w:rPr>
          <w:spacing w:val="-4"/>
          <w:rtl/>
          <w:lang w:val="uz-Latn-UZ"/>
        </w:rPr>
        <w:t>- رحمه الله تعالى - حيث قال</w:t>
      </w:r>
      <w:r w:rsidR="000636C2">
        <w:rPr>
          <w:spacing w:val="-4"/>
          <w:rtl/>
          <w:lang w:val="uz-Latn-UZ"/>
        </w:rPr>
        <w:t>:</w:t>
      </w:r>
      <w:r w:rsidRPr="005675B2">
        <w:rPr>
          <w:spacing w:val="-4"/>
          <w:rtl/>
          <w:lang w:val="uz-Latn-UZ"/>
        </w:rPr>
        <w:t xml:space="preserve"> </w:t>
      </w:r>
      <w:r w:rsidR="000636C2">
        <w:rPr>
          <w:spacing w:val="-4"/>
          <w:rtl/>
        </w:rPr>
        <w:t>(</w:t>
      </w:r>
      <w:r w:rsidRPr="005675B2">
        <w:rPr>
          <w:spacing w:val="-4"/>
          <w:rtl/>
        </w:rPr>
        <w:t>الإقناع في مسائل الإجماع 1 / 32 - 34</w:t>
      </w:r>
      <w:r w:rsidR="000636C2">
        <w:rPr>
          <w:spacing w:val="-4"/>
          <w:rtl/>
        </w:rPr>
        <w:t>)</w:t>
      </w:r>
      <w:r w:rsidR="000636C2">
        <w:rPr>
          <w:spacing w:val="-4"/>
          <w:rtl/>
          <w:lang w:bidi="ar-KW"/>
        </w:rPr>
        <w:t>:</w:t>
      </w:r>
      <w:r w:rsidRPr="005675B2">
        <w:rPr>
          <w:rFonts w:hint="cs"/>
          <w:spacing w:val="-4"/>
          <w:rtl/>
          <w:lang w:bidi="ar-KW"/>
        </w:rPr>
        <w:t xml:space="preserve"> </w:t>
      </w:r>
      <w:r w:rsidR="000636C2">
        <w:rPr>
          <w:rtl/>
          <w:lang w:val="uz-Latn-UZ"/>
        </w:rPr>
        <w:t>(</w:t>
      </w:r>
      <w:r w:rsidRPr="005675B2">
        <w:rPr>
          <w:rtl/>
          <w:lang w:val="uz-Latn-UZ"/>
        </w:rPr>
        <w:t>وأجمعوا أنه تعالى يجيء يوم القيامة والملك صفاً صفاً لعرض الأمم وحسابها وعقابها وثوابها، فيغفر لمن يشاء من المؤمنين ويعذب منهم من يشاء كما قال تعالى،</w:t>
      </w:r>
      <w:r w:rsidRPr="005675B2">
        <w:rPr>
          <w:bCs/>
          <w:rtl/>
          <w:lang w:val="uz-Latn-UZ"/>
        </w:rPr>
        <w:t xml:space="preserve"> وليس مجيئه بحركة ولا انتقال</w:t>
      </w:r>
      <w:r w:rsidR="000636C2">
        <w:rPr>
          <w:rtl/>
          <w:lang w:val="uz-Latn-UZ"/>
        </w:rPr>
        <w:t xml:space="preserve">، </w:t>
      </w:r>
      <w:r w:rsidRPr="005675B2">
        <w:rPr>
          <w:rtl/>
          <w:lang w:val="uz-Latn-UZ"/>
        </w:rPr>
        <w:t xml:space="preserve">وأجمعوا أنه تعالى يرضى عن الطائعين له، </w:t>
      </w:r>
      <w:r w:rsidRPr="005675B2">
        <w:rPr>
          <w:bCs/>
          <w:rtl/>
          <w:lang w:val="uz-Latn-UZ"/>
        </w:rPr>
        <w:t>وأن رضاه عنهم إرادته نعيمهم</w:t>
      </w:r>
      <w:r w:rsidR="000636C2">
        <w:rPr>
          <w:bCs/>
          <w:rtl/>
          <w:lang w:val="uz-Latn-UZ"/>
        </w:rPr>
        <w:t xml:space="preserve">، </w:t>
      </w:r>
      <w:r w:rsidRPr="005675B2">
        <w:rPr>
          <w:rtl/>
          <w:lang w:val="uz-Latn-UZ"/>
        </w:rPr>
        <w:t xml:space="preserve">وأجمعوا أنه يحب التوّابين ويسخط على الكـافرين ويغضب عليهم، </w:t>
      </w:r>
      <w:r w:rsidRPr="005675B2">
        <w:rPr>
          <w:bCs/>
          <w:rtl/>
          <w:lang w:val="uz-Latn-UZ"/>
        </w:rPr>
        <w:t>وأن غضبه إرادته لعذابهم،</w:t>
      </w:r>
      <w:r w:rsidRPr="005675B2">
        <w:rPr>
          <w:rtl/>
          <w:lang w:val="uz-Latn-UZ"/>
        </w:rPr>
        <w:t xml:space="preserve"> وأنه لا يقوم لغضبه شيء</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rPr>
        <w:t>أتراهم أجمعوا على باطل حين أجمعوا على نفي الظاهر المحال في لفظ المجيء والرضا والغضب</w:t>
      </w:r>
      <w:r w:rsidR="000636C2">
        <w:rPr>
          <w:rtl/>
          <w:lang w:val="uz-Latn-UZ"/>
        </w:rPr>
        <w:t>؟!</w:t>
      </w:r>
      <w:r w:rsidRPr="005675B2">
        <w:rPr>
          <w:rtl/>
          <w:lang w:val="uz-Latn-UZ"/>
        </w:rPr>
        <w:t xml:space="preserve"> وهل تجتمع أمة محمد</w:t>
      </w:r>
      <w:r w:rsidR="000636C2">
        <w:rPr>
          <w:rtl/>
          <w:lang w:val="uz-Latn-UZ"/>
        </w:rPr>
        <w:t xml:space="preserve"> </w:t>
      </w:r>
      <w:r w:rsidRPr="005675B2">
        <w:rPr>
          <w:rtl/>
          <w:lang w:val="uz-Latn-UZ" w:bidi="ar-KW"/>
        </w:rPr>
        <w:t>على ضلالة وبدعة</w:t>
      </w:r>
      <w:r w:rsidR="000636C2">
        <w:rPr>
          <w:rtl/>
          <w:lang w:val="uz-Latn-UZ" w:bidi="ar-KW"/>
        </w:rPr>
        <w:t>؟!</w:t>
      </w:r>
      <w:r w:rsidRPr="005675B2">
        <w:rPr>
          <w:rtl/>
          <w:lang w:val="uz-Latn-UZ" w:bidi="ar-KW"/>
        </w:rPr>
        <w:t xml:space="preserve"> أم تراهم عطلوا صفات الباري عز وجل</w:t>
      </w:r>
      <w:r w:rsidR="000636C2">
        <w:rPr>
          <w:rtl/>
          <w:lang w:val="uz-Latn-UZ" w:bidi="ar-KW"/>
        </w:rPr>
        <w:t>؟!</w:t>
      </w:r>
      <w:r w:rsidRPr="005675B2">
        <w:rPr>
          <w:rFonts w:hint="cs"/>
          <w:rtl/>
          <w:lang w:val="uz-Latn-UZ" w:bidi="ar-KW"/>
        </w:rPr>
        <w:t xml:space="preserve"> </w:t>
      </w:r>
      <w:r w:rsidRPr="005675B2">
        <w:rPr>
          <w:rtl/>
          <w:lang w:val="uz-Latn-UZ"/>
        </w:rPr>
        <w:t xml:space="preserve">وقد مرَّ معنا قول القاضي عياض </w:t>
      </w:r>
      <w:r w:rsidR="000636C2">
        <w:rPr>
          <w:rtl/>
        </w:rPr>
        <w:t>(</w:t>
      </w:r>
      <w:r w:rsidRPr="005675B2">
        <w:rPr>
          <w:rtl/>
        </w:rPr>
        <w:t>شرح مسلم 5 / 24</w:t>
      </w:r>
      <w:r w:rsidR="000636C2">
        <w:rPr>
          <w:rtl/>
        </w:rPr>
        <w:t>)</w:t>
      </w:r>
      <w:r w:rsidR="000636C2">
        <w:rPr>
          <w:rtl/>
          <w:lang w:bidi="ar-KW"/>
        </w:rPr>
        <w:t>:</w:t>
      </w:r>
      <w:r w:rsidRPr="005675B2">
        <w:rPr>
          <w:rFonts w:hint="cs"/>
          <w:rtl/>
        </w:rPr>
        <w:t xml:space="preserve"> </w:t>
      </w:r>
      <w:r w:rsidR="000636C2">
        <w:rPr>
          <w:rtl/>
          <w:lang w:val="uz-Latn-UZ"/>
        </w:rPr>
        <w:t>(</w:t>
      </w:r>
      <w:r w:rsidRPr="005675B2">
        <w:rPr>
          <w:rtl/>
          <w:lang w:val="uz-Latn-UZ"/>
        </w:rPr>
        <w:t xml:space="preserve">لا خلاف بين المسلمين قاطبة فقيههم ومحدثهم ومتكلمهم ونظارهم ومقلدهم أن الظواهر الواردة بذكر الله تعالى في السمـاء كقوله تعالى </w:t>
      </w:r>
      <w:r w:rsidR="000636C2">
        <w:rPr>
          <w:bCs/>
          <w:rtl/>
          <w:lang w:val="uz-Latn-UZ"/>
        </w:rPr>
        <w:t>(</w:t>
      </w:r>
      <w:r w:rsidRPr="005675B2">
        <w:rPr>
          <w:bCs/>
          <w:rtl/>
          <w:lang w:val="uz-Latn-UZ"/>
        </w:rPr>
        <w:t>ءأمنتم من في السماء أن يخسف بكم الأرض</w:t>
      </w:r>
      <w:r w:rsidR="000636C2">
        <w:rPr>
          <w:bCs/>
          <w:rtl/>
          <w:lang w:val="uz-Latn-UZ"/>
        </w:rPr>
        <w:t>)</w:t>
      </w:r>
      <w:r w:rsidRPr="005675B2">
        <w:rPr>
          <w:bCs/>
          <w:rtl/>
          <w:lang w:val="uz-Latn-UZ"/>
        </w:rPr>
        <w:t xml:space="preserve"> </w:t>
      </w:r>
      <w:r w:rsidRPr="005675B2">
        <w:rPr>
          <w:rtl/>
          <w:lang w:val="uz-Latn-UZ"/>
        </w:rPr>
        <w:t>ونحوه ليست على ظاهرها بل متأوّلة عند جميعهم</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rPr>
        <w:t xml:space="preserve">وقال الإمام الزاهد القدوة أبو عمرو الداني رحمه الله تعالى </w:t>
      </w:r>
      <w:r w:rsidR="000636C2">
        <w:rPr>
          <w:rtl/>
        </w:rPr>
        <w:t>(</w:t>
      </w:r>
      <w:r w:rsidRPr="005675B2">
        <w:rPr>
          <w:rtl/>
        </w:rPr>
        <w:t>الرسالة الوافية لمذهب أهل السنة في الاعتقادات ص / 124</w:t>
      </w:r>
      <w:r w:rsidR="000636C2">
        <w:rPr>
          <w:rtl/>
        </w:rPr>
        <w:t>):</w:t>
      </w:r>
      <w:r w:rsidRPr="005675B2">
        <w:rPr>
          <w:rFonts w:hint="cs"/>
          <w:rtl/>
        </w:rPr>
        <w:t xml:space="preserve"> </w:t>
      </w:r>
      <w:r w:rsidR="000636C2">
        <w:rPr>
          <w:rtl/>
          <w:lang w:val="uz-Latn-UZ"/>
        </w:rPr>
        <w:t>(</w:t>
      </w:r>
      <w:r w:rsidRPr="005675B2">
        <w:rPr>
          <w:rtl/>
          <w:lang w:val="uz-Latn-UZ"/>
        </w:rPr>
        <w:t xml:space="preserve">إن الله تعالى لم يزل مريداً، وشائياً، ومحبّاً، ومبغضاً، وراضياً، وساخطاً، وموالياً ومعادياً، ورحيماً، ورحماناً، </w:t>
      </w:r>
      <w:r w:rsidRPr="005675B2">
        <w:rPr>
          <w:bCs/>
          <w:rtl/>
          <w:lang w:val="uz-Latn-UZ"/>
        </w:rPr>
        <w:t>وأن جميع هذه الصفات راجعة إلى إرادته في عباده، ومشيئته في خلقه لا إلى غضب يغيّره، ورضاً يسكن طبعاً له، وحنق وغيظ يلحقه، وحقد يجده، وأنه تعالى راضٍ في أزله عمّن علم أنه بالإيمان يختم عمله ويوافي به، وغضبان على من يعلم أنه بالكفر يختم عمله ويكون عاقبة أمره</w:t>
      </w:r>
      <w:r w:rsidR="000636C2">
        <w:rPr>
          <w:bCs/>
          <w:rtl/>
          <w:lang w:val="uz-Latn-UZ"/>
        </w:rPr>
        <w:t>)</w:t>
      </w:r>
      <w:r w:rsidRPr="005675B2">
        <w:rPr>
          <w:rtl/>
          <w:lang w:val="uz-Latn-UZ"/>
        </w:rPr>
        <w:t xml:space="preserve"> اهـ</w:t>
      </w:r>
      <w:r w:rsidR="000636C2">
        <w:rPr>
          <w:rtl/>
          <w:lang w:val="uz-Latn-UZ"/>
        </w:rPr>
        <w:t xml:space="preserve">، </w:t>
      </w:r>
      <w:r w:rsidRPr="005675B2">
        <w:rPr>
          <w:rtl/>
          <w:lang w:val="uz-Latn-UZ"/>
        </w:rPr>
        <w:t xml:space="preserve">وقال أيضاً في نزول الربّ جلّ وعزّ </w:t>
      </w:r>
      <w:r w:rsidR="000636C2">
        <w:rPr>
          <w:rtl/>
        </w:rPr>
        <w:t>(</w:t>
      </w:r>
      <w:r w:rsidRPr="005675B2">
        <w:rPr>
          <w:rtl/>
        </w:rPr>
        <w:t>ص / 135</w:t>
      </w:r>
      <w:r w:rsidR="000636C2">
        <w:rPr>
          <w:rtl/>
        </w:rPr>
        <w:t>)</w:t>
      </w:r>
      <w:r w:rsidR="000636C2">
        <w:rPr>
          <w:rtl/>
          <w:lang w:val="uz-Latn-UZ"/>
        </w:rPr>
        <w:t>:</w:t>
      </w:r>
      <w:r w:rsidRPr="005675B2">
        <w:rPr>
          <w:rFonts w:hint="cs"/>
          <w:rtl/>
          <w:lang w:val="uz-Latn-UZ"/>
        </w:rPr>
        <w:t xml:space="preserve"> </w:t>
      </w:r>
      <w:r w:rsidR="000636C2">
        <w:rPr>
          <w:bCs/>
          <w:rtl/>
          <w:lang w:val="uz-Latn-UZ" w:bidi="ar-KW"/>
        </w:rPr>
        <w:t>(</w:t>
      </w:r>
      <w:r w:rsidRPr="005675B2">
        <w:rPr>
          <w:bCs/>
          <w:rtl/>
          <w:lang w:val="uz-Latn-UZ" w:bidi="ar-KW"/>
        </w:rPr>
        <w:t>ونزوله تبـارك وتعـالى كيف شـاء، بلا حدّ، ولا تكييـف، ولا وصف بانتقال ولا زوال</w:t>
      </w:r>
      <w:r w:rsidR="000636C2">
        <w:rPr>
          <w:bCs/>
          <w:rtl/>
          <w:lang w:val="uz-Latn-UZ" w:bidi="ar-KW"/>
        </w:rPr>
        <w:t>)</w:t>
      </w:r>
      <w:r w:rsidRPr="005675B2">
        <w:rPr>
          <w:bCs/>
          <w:rtl/>
          <w:lang w:val="uz-Latn-UZ" w:bidi="ar-KW"/>
        </w:rPr>
        <w:t xml:space="preserve"> اهـ</w:t>
      </w:r>
      <w:r w:rsidR="000636C2">
        <w:rPr>
          <w:bCs/>
          <w:rtl/>
          <w:lang w:val="uz-Latn-UZ" w:bidi="ar-KW"/>
        </w:rPr>
        <w:t>،</w:t>
      </w:r>
      <w:r w:rsidR="000636C2">
        <w:rPr>
          <w:rtl/>
          <w:lang w:val="uz-Latn-UZ" w:bidi="ar-KW"/>
        </w:rPr>
        <w:t xml:space="preserve"> </w:t>
      </w:r>
      <w:r w:rsidRPr="005675B2">
        <w:rPr>
          <w:rtl/>
          <w:lang w:val="uz-Latn-UZ"/>
        </w:rPr>
        <w:t>وقال</w:t>
      </w:r>
      <w:r w:rsidR="000636C2">
        <w:rPr>
          <w:rtl/>
          <w:lang w:val="uz-Latn-UZ"/>
        </w:rPr>
        <w:t xml:space="preserve"> </w:t>
      </w:r>
      <w:r w:rsidRPr="005675B2">
        <w:rPr>
          <w:rtl/>
          <w:lang w:val="uz-Latn-UZ"/>
        </w:rPr>
        <w:t>- رحمه الله تعالى</w:t>
      </w:r>
      <w:r w:rsidR="000636C2">
        <w:rPr>
          <w:rtl/>
          <w:lang w:val="uz-Latn-UZ"/>
        </w:rPr>
        <w:t xml:space="preserve"> </w:t>
      </w:r>
      <w:r w:rsidRPr="005675B2">
        <w:rPr>
          <w:rtl/>
          <w:lang w:val="uz-Latn-UZ"/>
        </w:rPr>
        <w:t xml:space="preserve">- في استوائه تعالى </w:t>
      </w:r>
      <w:r w:rsidR="000636C2">
        <w:rPr>
          <w:rtl/>
        </w:rPr>
        <w:t>(</w:t>
      </w:r>
      <w:r w:rsidRPr="005675B2">
        <w:rPr>
          <w:rtl/>
        </w:rPr>
        <w:t>ص / 130</w:t>
      </w:r>
      <w:r w:rsidR="000636C2">
        <w:rPr>
          <w:rtl/>
        </w:rPr>
        <w:t>)</w:t>
      </w:r>
      <w:r w:rsidR="000636C2">
        <w:rPr>
          <w:rtl/>
          <w:lang w:val="uz-Latn-UZ"/>
        </w:rPr>
        <w:t>:</w:t>
      </w:r>
      <w:r w:rsidRPr="005675B2">
        <w:rPr>
          <w:rFonts w:hint="cs"/>
          <w:rtl/>
          <w:lang w:val="uz-Latn-UZ"/>
        </w:rPr>
        <w:t xml:space="preserve"> </w:t>
      </w:r>
      <w:r w:rsidR="000636C2">
        <w:rPr>
          <w:bCs/>
          <w:rtl/>
          <w:lang w:val="uz-Latn-UZ"/>
        </w:rPr>
        <w:t>(</w:t>
      </w:r>
      <w:r w:rsidRPr="005675B2">
        <w:rPr>
          <w:bCs/>
          <w:rtl/>
          <w:lang w:val="uz-Latn-UZ"/>
        </w:rPr>
        <w:t>واستواؤه جلّ جلاله علوّه بغير كيفية ولا تحديد ولا مجاورة ولا مماسة</w:t>
      </w:r>
      <w:r w:rsidR="000636C2">
        <w:rPr>
          <w:bCs/>
          <w:rtl/>
          <w:lang w:val="uz-Latn-UZ"/>
        </w:rPr>
        <w:t>)</w:t>
      </w:r>
      <w:r w:rsidRPr="005675B2">
        <w:rPr>
          <w:rtl/>
          <w:lang w:val="uz-Latn-UZ"/>
        </w:rPr>
        <w:t xml:space="preserve"> اهـ</w:t>
      </w:r>
      <w:r w:rsidR="000636C2">
        <w:rPr>
          <w:rtl/>
          <w:lang w:val="uz-Latn-UZ"/>
        </w:rPr>
        <w:t xml:space="preserve">، </w:t>
      </w:r>
      <w:r w:rsidRPr="005675B2">
        <w:rPr>
          <w:rtl/>
          <w:lang w:val="uz-Latn-UZ"/>
        </w:rPr>
        <w:t>فهل كان هؤلاء الأئمة معطلين حين صرفوا هذه الألفاظ عن ظاهرها، وحملوها على المجازات والاستعارات</w:t>
      </w:r>
      <w:r w:rsidR="000636C2">
        <w:rPr>
          <w:rtl/>
          <w:lang w:val="uz-Latn-UZ"/>
        </w:rPr>
        <w:t>؟!</w:t>
      </w:r>
      <w:r w:rsidRPr="005675B2">
        <w:rPr>
          <w:rFonts w:hint="cs"/>
          <w:rtl/>
          <w:lang w:val="uz-Latn-UZ" w:bidi="ar-KW"/>
        </w:rPr>
        <w:t xml:space="preserve"> </w:t>
      </w:r>
      <w:r w:rsidRPr="005675B2">
        <w:rPr>
          <w:rtl/>
          <w:lang w:val="uz-Latn-UZ" w:bidi="ar-KW"/>
        </w:rPr>
        <w:t>بهذا تعلم - تولّى الله هدانا وهداك - أن التعطيل الذي يُرمى به الأشاعرة والماتريدية وهم جماهير أعلام الأمة إنما هو عين التقديس والتنزيه، والذي يرفض ما ذهبوا إليه، ويصرّ على إثبات ما نفوه يقع حتماً بالتجسيم والتشبيه، إذ إن هذا القدر من معنى اللفظ الذي نفاه الأشاعرة ونزهوا الله تعالى عنه يحرم إثباته ووصفُ الله تعالى به لما يلزم منه من اللوازم الباطلة المحالة</w:t>
      </w:r>
      <w:r w:rsidR="000636C2">
        <w:rPr>
          <w:rtl/>
          <w:lang w:val="uz-Latn-UZ" w:bidi="ar-KW"/>
        </w:rPr>
        <w:t xml:space="preserve">، </w:t>
      </w:r>
      <w:r w:rsidRPr="005675B2">
        <w:rPr>
          <w:rtl/>
          <w:lang w:val="uz-Latn-UZ" w:bidi="ar-KW"/>
        </w:rPr>
        <w:t>وعلى الجملة فأقوال سلف الأمة وخلفها مطبقة على تنزيـه الله تعالى عن هذه الظواهر المحالة، وفي ما نقلناه مقنع لمن أنصف</w:t>
      </w:r>
      <w:r w:rsidR="000636C2">
        <w:rPr>
          <w:rtl/>
          <w:lang w:val="uz-Latn-UZ" w:bidi="ar-KW"/>
        </w:rPr>
        <w:t xml:space="preserve">، </w:t>
      </w:r>
      <w:r w:rsidRPr="005675B2">
        <w:rPr>
          <w:rtl/>
          <w:lang w:val="uz-Latn-UZ" w:bidi="ar-KW"/>
        </w:rPr>
        <w:t>نخلص من هذا إلى أن التأويل بشرطه وضوابطه شعارٌ سُنّيٌّ ومنهج شرعي أصيل لا مناص من الأخذ به لفهم كتاب الله تعالى وسنة نبيّه صلى الله على وسلم، وليس شعاراً للبدعة والضلالة أو التعطيل، وأن من يحمل المتشابه من نصوص الصفات على الظواهر المعهودة لدى الخلق هو الواقع في التعطيل، لأنه عطل المعنى المفهوم من النص وصدف به عن القصد</w:t>
      </w:r>
      <w:r w:rsidR="000636C2">
        <w:rPr>
          <w:rtl/>
          <w:lang w:val="uz-Latn-UZ" w:bidi="ar-KW"/>
        </w:rPr>
        <w:t>،</w:t>
      </w:r>
      <w:r w:rsidRPr="005675B2">
        <w:rPr>
          <w:rtl/>
          <w:lang w:val="uz-Latn-UZ" w:bidi="ar-KW"/>
        </w:rPr>
        <w:t xml:space="preserve"> </w:t>
      </w:r>
    </w:p>
    <w:p w14:paraId="6AA386DE" w14:textId="77777777" w:rsidR="009C32A0" w:rsidRPr="005675B2" w:rsidRDefault="009C32A0" w:rsidP="000636C2">
      <w:pPr>
        <w:widowControl w:val="0"/>
        <w:spacing w:before="80" w:after="240"/>
        <w:jc w:val="center"/>
        <w:rPr>
          <w:b/>
          <w:bCs/>
          <w:rtl/>
          <w:lang w:val="uz-Latn-UZ"/>
        </w:rPr>
      </w:pPr>
      <w:r w:rsidRPr="005675B2">
        <w:rPr>
          <w:rtl/>
          <w:lang w:val="uz-Latn-UZ"/>
        </w:rPr>
        <w:t>* * * * *</w:t>
      </w:r>
    </w:p>
    <w:p w14:paraId="1E79D46F" w14:textId="6B91CF36" w:rsidR="009C32A0" w:rsidRPr="005675B2" w:rsidRDefault="009C32A0" w:rsidP="000636C2">
      <w:pPr>
        <w:widowControl w:val="0"/>
        <w:spacing w:before="80" w:after="240"/>
        <w:rPr>
          <w:b/>
          <w:bCs/>
          <w:rtl/>
          <w:lang w:val="uz-Latn-UZ" w:bidi="ar-KW"/>
        </w:rPr>
      </w:pPr>
      <w:r w:rsidRPr="005675B2">
        <w:rPr>
          <w:bCs/>
          <w:rtl/>
          <w:lang w:bidi="ar-KW"/>
        </w:rPr>
        <w:t>تأويلات السلف الصالح لنصوص الصفات</w:t>
      </w:r>
      <w:r w:rsidR="000636C2">
        <w:rPr>
          <w:rFonts w:hint="cs"/>
          <w:bCs/>
          <w:rtl/>
          <w:lang w:bidi="ar-KW"/>
        </w:rPr>
        <w:t xml:space="preserve">: </w:t>
      </w:r>
      <w:r w:rsidRPr="005675B2">
        <w:rPr>
          <w:spacing w:val="-4"/>
          <w:rtl/>
          <w:lang w:val="uz-Latn-UZ" w:bidi="ar-KW"/>
        </w:rPr>
        <w:t>إن الخلف من علماء الأمة حين سلكوا مذهب التأويل لم يبتدعوا قولاً ومنهجاً من عند أنفسهم، لكنهم سلكوا بهذا مسلك جماعات كثيرة من السلف الصالح قالوا بالتأويل وأخذوا به - كما مرّ معنا - وهذا يدلّ قطعاً على سنّية هذا المنهج وأصالته وشرعيته، ولقد نقل العلماء تأويلات ثلة من أكابر السلف الصالح، من ذلك على سبيل المثال</w:t>
      </w:r>
      <w:r w:rsidR="000636C2">
        <w:rPr>
          <w:spacing w:val="-4"/>
          <w:rtl/>
          <w:lang w:val="uz-Latn-UZ" w:bidi="ar-KW"/>
        </w:rPr>
        <w:t>،</w:t>
      </w:r>
      <w:r w:rsidRPr="005675B2">
        <w:rPr>
          <w:rFonts w:hint="cs"/>
          <w:spacing w:val="-4"/>
          <w:rtl/>
          <w:lang w:val="uz-Latn-UZ" w:bidi="ar-KW"/>
        </w:rPr>
        <w:t xml:space="preserve"> </w:t>
      </w:r>
      <w:r w:rsidRPr="005675B2">
        <w:rPr>
          <w:bCs/>
          <w:rtl/>
          <w:lang w:val="uz-Latn-UZ"/>
        </w:rPr>
        <w:t>تأويل ابن عباس رضي الله عنهما للكرسي بالعلم</w:t>
      </w:r>
      <w:r w:rsidR="000636C2">
        <w:rPr>
          <w:bCs/>
          <w:rtl/>
          <w:lang w:val="uz-Latn-UZ"/>
        </w:rPr>
        <w:t>:</w:t>
      </w:r>
      <w:r w:rsidRPr="005675B2">
        <w:rPr>
          <w:rFonts w:hint="cs"/>
          <w:bCs/>
          <w:rtl/>
          <w:lang w:val="uz-Latn-UZ" w:bidi="ar-KW"/>
        </w:rPr>
        <w:t xml:space="preserve"> </w:t>
      </w:r>
      <w:r w:rsidRPr="005675B2">
        <w:rPr>
          <w:spacing w:val="-6"/>
          <w:rtl/>
          <w:lang w:val="uz-Latn-UZ"/>
        </w:rPr>
        <w:t xml:space="preserve">جاء في تفسير الطبري </w:t>
      </w:r>
      <w:r w:rsidR="000636C2">
        <w:rPr>
          <w:spacing w:val="-6"/>
          <w:rtl/>
          <w:lang w:val="uz-Latn-UZ"/>
        </w:rPr>
        <w:t>(</w:t>
      </w:r>
      <w:r w:rsidRPr="005675B2">
        <w:rPr>
          <w:spacing w:val="-6"/>
          <w:rtl/>
          <w:lang w:val="uz-Latn-UZ"/>
        </w:rPr>
        <w:t>3 / 7</w:t>
      </w:r>
      <w:r w:rsidR="000636C2">
        <w:rPr>
          <w:spacing w:val="-6"/>
          <w:rtl/>
          <w:lang w:val="uz-Latn-UZ"/>
        </w:rPr>
        <w:t>)</w:t>
      </w:r>
      <w:r w:rsidRPr="005675B2">
        <w:rPr>
          <w:spacing w:val="-6"/>
          <w:rtl/>
          <w:lang w:val="uz-Latn-UZ"/>
        </w:rPr>
        <w:t xml:space="preserve"> عند تفسيره لآية الكرسي ما نصّه </w:t>
      </w:r>
      <w:r w:rsidR="000636C2">
        <w:rPr>
          <w:spacing w:val="-6"/>
          <w:rtl/>
          <w:lang w:val="uz-Latn-UZ"/>
        </w:rPr>
        <w:t>(</w:t>
      </w:r>
      <w:r w:rsidRPr="005675B2">
        <w:rPr>
          <w:spacing w:val="-6"/>
          <w:rtl/>
          <w:lang w:val="uz-Latn-UZ"/>
        </w:rPr>
        <w:t>اختلف أهل التأويل في معنى الكرسي الذي أخبر الله تعالى ذكره في هذه الآية أنه وسع السموات والأرض، فقال بعضهم</w:t>
      </w:r>
      <w:r w:rsidR="000636C2">
        <w:rPr>
          <w:spacing w:val="-6"/>
          <w:rtl/>
          <w:lang w:val="uz-Latn-UZ"/>
        </w:rPr>
        <w:t>:</w:t>
      </w:r>
      <w:r w:rsidRPr="005675B2">
        <w:rPr>
          <w:spacing w:val="-6"/>
          <w:rtl/>
          <w:lang w:val="uz-Latn-UZ"/>
        </w:rPr>
        <w:t xml:space="preserve"> هو علم الله تعالى ذكره ..</w:t>
      </w:r>
      <w:r w:rsidR="000636C2">
        <w:rPr>
          <w:spacing w:val="-6"/>
          <w:rtl/>
          <w:lang w:val="uz-Latn-UZ"/>
        </w:rPr>
        <w:t>،</w:t>
      </w:r>
      <w:r w:rsidRPr="005675B2">
        <w:rPr>
          <w:spacing w:val="-6"/>
          <w:rtl/>
          <w:lang w:val="uz-Latn-UZ"/>
        </w:rPr>
        <w:t xml:space="preserve"> وأما الذي يدُلُّ على ظاهر القرآن فقول ابن عباس الذي رواه جعفر بن أبي المغيرة عن سعيد بن جبير أنه قال</w:t>
      </w:r>
      <w:r w:rsidR="000636C2">
        <w:rPr>
          <w:spacing w:val="-6"/>
          <w:rtl/>
          <w:lang w:val="uz-Latn-UZ"/>
        </w:rPr>
        <w:t>:</w:t>
      </w:r>
      <w:r w:rsidRPr="005675B2">
        <w:rPr>
          <w:spacing w:val="-6"/>
          <w:rtl/>
          <w:lang w:val="uz-Latn-UZ"/>
        </w:rPr>
        <w:t xml:space="preserve"> هو علمه ..</w:t>
      </w:r>
      <w:r w:rsidR="000636C2">
        <w:rPr>
          <w:spacing w:val="-6"/>
          <w:rtl/>
          <w:lang w:val="uz-Latn-UZ"/>
        </w:rPr>
        <w:t>)</w:t>
      </w:r>
      <w:r w:rsidRPr="005675B2">
        <w:rPr>
          <w:spacing w:val="-6"/>
          <w:rtl/>
          <w:lang w:val="uz-Latn-UZ"/>
        </w:rPr>
        <w:t xml:space="preserve"> اهـ</w:t>
      </w:r>
      <w:r w:rsidR="000636C2">
        <w:rPr>
          <w:spacing w:val="-6"/>
          <w:rtl/>
          <w:lang w:val="uz-Latn-UZ"/>
        </w:rPr>
        <w:t>،</w:t>
      </w:r>
      <w:r w:rsidRPr="005675B2">
        <w:rPr>
          <w:spacing w:val="-6"/>
          <w:rtl/>
          <w:lang w:val="uz-Latn-UZ"/>
        </w:rPr>
        <w:t xml:space="preserve"> </w:t>
      </w:r>
      <w:r w:rsidRPr="005675B2">
        <w:rPr>
          <w:bCs/>
          <w:rtl/>
          <w:lang w:val="uz-Latn-UZ"/>
        </w:rPr>
        <w:t>تأويله رضي ال</w:t>
      </w:r>
      <w:r w:rsidRPr="005675B2">
        <w:rPr>
          <w:bCs/>
          <w:rtl/>
          <w:lang w:val="uz-Latn-UZ" w:bidi="ar-KW"/>
        </w:rPr>
        <w:t>له</w:t>
      </w:r>
      <w:r w:rsidRPr="005675B2">
        <w:rPr>
          <w:bCs/>
          <w:rtl/>
          <w:lang w:val="uz-Latn-UZ"/>
        </w:rPr>
        <w:t xml:space="preserve"> عنه لمجيء الرب جلّ وعزّ</w:t>
      </w:r>
      <w:r w:rsidR="000636C2">
        <w:rPr>
          <w:bCs/>
          <w:rtl/>
          <w:lang w:val="uz-Latn-UZ" w:bidi="ar-KW"/>
        </w:rPr>
        <w:t>:</w:t>
      </w:r>
      <w:r w:rsidRPr="005675B2">
        <w:rPr>
          <w:rFonts w:hint="cs"/>
          <w:bCs/>
          <w:rtl/>
          <w:lang w:val="uz-Latn-UZ" w:bidi="ar-KW"/>
        </w:rPr>
        <w:t xml:space="preserve"> </w:t>
      </w:r>
      <w:r w:rsidRPr="005675B2">
        <w:rPr>
          <w:rtl/>
          <w:lang w:val="uz-Latn-UZ"/>
        </w:rPr>
        <w:t xml:space="preserve">جاء في تفسير النسفي رحمه الله تعالى </w:t>
      </w:r>
      <w:r w:rsidR="000636C2">
        <w:rPr>
          <w:rtl/>
          <w:lang w:val="uz-Latn-UZ"/>
        </w:rPr>
        <w:t>(</w:t>
      </w:r>
      <w:r w:rsidRPr="005675B2">
        <w:rPr>
          <w:rtl/>
          <w:lang w:val="uz-Latn-UZ"/>
        </w:rPr>
        <w:t>4 / 378</w:t>
      </w:r>
      <w:r w:rsidR="000636C2">
        <w:rPr>
          <w:rtl/>
          <w:lang w:val="uz-Latn-UZ"/>
        </w:rPr>
        <w:t>)</w:t>
      </w:r>
      <w:r w:rsidRPr="005675B2">
        <w:rPr>
          <w:rtl/>
          <w:lang w:val="uz-Latn-UZ"/>
        </w:rPr>
        <w:t xml:space="preserve"> عند قوله تعالى </w:t>
      </w:r>
      <w:r w:rsidR="000636C2">
        <w:rPr>
          <w:bCs/>
          <w:rtl/>
          <w:lang w:val="uz-Latn-UZ"/>
        </w:rPr>
        <w:t>(</w:t>
      </w:r>
      <w:r w:rsidRPr="005675B2">
        <w:rPr>
          <w:bCs/>
          <w:rtl/>
          <w:lang w:val="uz-Latn-UZ"/>
        </w:rPr>
        <w:t>وجاء ربك والمَلَك صفّاً صفَّا</w:t>
      </w:r>
      <w:r w:rsidR="000636C2">
        <w:rPr>
          <w:bCs/>
          <w:rtl/>
          <w:lang w:val="uz-Latn-UZ"/>
        </w:rPr>
        <w:t>)</w:t>
      </w:r>
      <w:r w:rsidRPr="005675B2">
        <w:rPr>
          <w:bCs/>
          <w:rtl/>
          <w:lang w:val="uz-Latn-UZ"/>
        </w:rPr>
        <w:t xml:space="preserve"> </w:t>
      </w:r>
      <w:r w:rsidRPr="005675B2">
        <w:rPr>
          <w:rtl/>
          <w:lang w:val="uz-Latn-UZ"/>
        </w:rPr>
        <w:t xml:space="preserve">ما نصّه </w:t>
      </w:r>
      <w:r w:rsidR="000636C2">
        <w:rPr>
          <w:rtl/>
          <w:lang w:val="uz-Latn-UZ"/>
        </w:rPr>
        <w:t>(</w:t>
      </w:r>
      <w:r w:rsidRPr="005675B2">
        <w:rPr>
          <w:rtl/>
          <w:lang w:val="uz-Latn-UZ"/>
        </w:rPr>
        <w:t>هذا تمثيل لظهور آيات اقتداره وتبيين آثار قهره وسلطانه، فإن واحداً من الملوك إذا حضر بنفسه ظهر بحضوره من آثار الهيبة ما لا يظهر بحضور عساكره وخواصّه، وعن ابن عباس</w:t>
      </w:r>
      <w:r w:rsidR="000636C2">
        <w:rPr>
          <w:rtl/>
          <w:lang w:val="uz-Latn-UZ"/>
        </w:rPr>
        <w:t>:</w:t>
      </w:r>
      <w:r w:rsidRPr="005675B2">
        <w:rPr>
          <w:rtl/>
          <w:lang w:val="uz-Latn-UZ"/>
        </w:rPr>
        <w:t xml:space="preserve"> أمره وقضاؤه</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bidi="ar-KW"/>
        </w:rPr>
        <w:t xml:space="preserve">ونقل الإمام القرطبي نحو هذا عن الحسن البصري، وقال هناك نقلاً عن بعض الأئمة ما نصّه </w:t>
      </w:r>
      <w:r w:rsidR="000636C2">
        <w:rPr>
          <w:rtl/>
          <w:lang w:val="uz-Latn-UZ"/>
        </w:rPr>
        <w:t>(</w:t>
      </w:r>
      <w:r w:rsidRPr="005675B2">
        <w:rPr>
          <w:rtl/>
          <w:lang w:val="uz-Latn-UZ"/>
        </w:rPr>
        <w:t>تفسير القرطبي 20 / 55</w:t>
      </w:r>
      <w:r w:rsidR="000636C2">
        <w:rPr>
          <w:rtl/>
          <w:lang w:val="uz-Latn-UZ"/>
        </w:rPr>
        <w:t>)</w:t>
      </w:r>
      <w:r w:rsidR="000636C2">
        <w:rPr>
          <w:rtl/>
          <w:lang w:val="uz-Latn-UZ" w:bidi="ar-KW"/>
        </w:rPr>
        <w:t>:</w:t>
      </w:r>
      <w:r w:rsidRPr="005675B2">
        <w:rPr>
          <w:rFonts w:hint="cs"/>
          <w:rtl/>
          <w:lang w:val="uz-Latn-UZ"/>
        </w:rPr>
        <w:t xml:space="preserve"> </w:t>
      </w:r>
      <w:r w:rsidR="000636C2">
        <w:rPr>
          <w:rtl/>
          <w:lang w:val="uz-Latn-UZ"/>
        </w:rPr>
        <w:t>(</w:t>
      </w:r>
      <w:r w:rsidRPr="005675B2">
        <w:rPr>
          <w:rtl/>
          <w:lang w:val="uz-Latn-UZ"/>
        </w:rPr>
        <w:t xml:space="preserve">جعل مجيء الآيات مجيئاً له تفخيماً لشأن تلك الآيات، ومنه قوله تعالى في الحديث </w:t>
      </w:r>
      <w:r w:rsidRPr="005675B2">
        <w:rPr>
          <w:bCs/>
          <w:rtl/>
          <w:lang w:val="uz-Latn-UZ"/>
        </w:rPr>
        <w:t>" يا ابن</w:t>
      </w:r>
      <w:r w:rsidRPr="005675B2">
        <w:rPr>
          <w:rtl/>
          <w:lang w:val="uz-Latn-UZ"/>
        </w:rPr>
        <w:t xml:space="preserve"> </w:t>
      </w:r>
      <w:r w:rsidRPr="005675B2">
        <w:rPr>
          <w:bCs/>
          <w:rtl/>
          <w:lang w:val="uz-Latn-UZ"/>
        </w:rPr>
        <w:t>آدم مرضت فلم تعدني .. واستسقيتك فلم تسقني .. واستطعمتك فلم تطعمني "</w:t>
      </w:r>
      <w:r w:rsidRPr="005675B2">
        <w:rPr>
          <w:rtl/>
          <w:lang w:val="uz-Latn-UZ"/>
        </w:rPr>
        <w:t xml:space="preserve"> .. 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w:t>
      </w:r>
      <w:r w:rsidR="000636C2">
        <w:rPr>
          <w:rtl/>
          <w:lang w:val="uz-Latn-UZ"/>
        </w:rPr>
        <w:t>)</w:t>
      </w:r>
      <w:r w:rsidRPr="005675B2">
        <w:rPr>
          <w:rtl/>
          <w:lang w:val="uz-Latn-UZ"/>
        </w:rPr>
        <w:t xml:space="preserve"> اهـ</w:t>
      </w:r>
      <w:r w:rsidR="000636C2">
        <w:rPr>
          <w:rtl/>
          <w:lang w:val="uz-Latn-UZ"/>
        </w:rPr>
        <w:t xml:space="preserve">، </w:t>
      </w:r>
      <w:r w:rsidRPr="005675B2">
        <w:rPr>
          <w:bCs/>
          <w:rtl/>
          <w:lang w:val="uz-Latn-UZ"/>
        </w:rPr>
        <w:t xml:space="preserve">تأويله رضي الله عنه للفظ </w:t>
      </w:r>
      <w:r w:rsidR="000636C2">
        <w:rPr>
          <w:bCs/>
          <w:rtl/>
          <w:lang w:val="uz-Latn-UZ"/>
        </w:rPr>
        <w:t>(</w:t>
      </w:r>
      <w:r w:rsidRPr="005675B2">
        <w:rPr>
          <w:bCs/>
          <w:rtl/>
          <w:lang w:val="uz-Latn-UZ"/>
        </w:rPr>
        <w:t>الأعين</w:t>
      </w:r>
      <w:r w:rsidR="000636C2">
        <w:rPr>
          <w:bCs/>
          <w:rtl/>
          <w:lang w:val="uz-Latn-UZ" w:bidi="ar-KW"/>
        </w:rPr>
        <w:t>)</w:t>
      </w:r>
      <w:r w:rsidR="000636C2">
        <w:rPr>
          <w:bCs/>
          <w:rtl/>
          <w:lang w:val="uz-Latn-UZ"/>
        </w:rPr>
        <w:t>:</w:t>
      </w:r>
      <w:r w:rsidRPr="005675B2">
        <w:rPr>
          <w:rFonts w:hint="cs"/>
          <w:rtl/>
          <w:lang w:val="uz-Latn-UZ"/>
        </w:rPr>
        <w:t xml:space="preserve"> </w:t>
      </w:r>
      <w:r w:rsidRPr="005675B2">
        <w:rPr>
          <w:rtl/>
          <w:lang w:val="uz-Latn-UZ"/>
        </w:rPr>
        <w:t xml:space="preserve">قال تعالى </w:t>
      </w:r>
      <w:r w:rsidR="000636C2">
        <w:rPr>
          <w:rtl/>
          <w:lang w:val="uz-Latn-UZ"/>
        </w:rPr>
        <w:t>(</w:t>
      </w:r>
      <w:r w:rsidRPr="005675B2">
        <w:rPr>
          <w:rtl/>
          <w:lang w:val="uz-Latn-UZ"/>
        </w:rPr>
        <w:t>واصنع الفلك بأعيننا</w:t>
      </w:r>
      <w:r w:rsidR="000636C2">
        <w:rPr>
          <w:rtl/>
          <w:lang w:val="uz-Latn-UZ"/>
        </w:rPr>
        <w:t>)</w:t>
      </w:r>
      <w:r w:rsidRPr="005675B2">
        <w:rPr>
          <w:rtl/>
          <w:lang w:val="uz-Latn-UZ"/>
        </w:rPr>
        <w:t xml:space="preserve"> قال رضي الله عنه</w:t>
      </w:r>
      <w:r w:rsidR="000636C2">
        <w:rPr>
          <w:rtl/>
          <w:lang w:val="uz-Latn-UZ"/>
        </w:rPr>
        <w:t>:</w:t>
      </w:r>
      <w:r w:rsidRPr="005675B2">
        <w:rPr>
          <w:rtl/>
          <w:lang w:val="uz-Latn-UZ"/>
        </w:rPr>
        <w:t xml:space="preserve"> بمرأى منا </w:t>
      </w:r>
      <w:r w:rsidR="000636C2">
        <w:rPr>
          <w:rtl/>
          <w:lang w:val="uz-Latn-UZ"/>
        </w:rPr>
        <w:t>(</w:t>
      </w:r>
      <w:r w:rsidRPr="005675B2">
        <w:rPr>
          <w:rtl/>
          <w:lang w:val="uz-Latn-UZ"/>
        </w:rPr>
        <w:t>تفسير البغوي 2 / 322</w:t>
      </w:r>
      <w:r w:rsidR="000636C2">
        <w:rPr>
          <w:rtl/>
          <w:lang w:val="uz-Latn-UZ"/>
        </w:rPr>
        <w:t>)،</w:t>
      </w:r>
      <w:r w:rsidRPr="005675B2">
        <w:rPr>
          <w:rtl/>
          <w:lang w:val="uz-Latn-UZ"/>
        </w:rPr>
        <w:t xml:space="preserve"> وقال تعالى </w:t>
      </w:r>
      <w:r w:rsidR="000636C2">
        <w:rPr>
          <w:rtl/>
          <w:lang w:val="uz-Latn-UZ"/>
        </w:rPr>
        <w:t>(</w:t>
      </w:r>
      <w:r w:rsidRPr="005675B2">
        <w:rPr>
          <w:rtl/>
          <w:lang w:val="uz-Latn-UZ"/>
        </w:rPr>
        <w:t>واصبر لحكم ربك فإنّك بأعيننا</w:t>
      </w:r>
      <w:r w:rsidR="000636C2">
        <w:rPr>
          <w:rtl/>
          <w:lang w:val="uz-Latn-UZ"/>
        </w:rPr>
        <w:t>)</w:t>
      </w:r>
      <w:r w:rsidRPr="005675B2">
        <w:rPr>
          <w:rtl/>
          <w:lang w:val="uz-Latn-UZ"/>
        </w:rPr>
        <w:t xml:space="preserve"> قال رضي الله عنه</w:t>
      </w:r>
      <w:r w:rsidR="000636C2">
        <w:rPr>
          <w:rtl/>
          <w:lang w:val="uz-Latn-UZ"/>
        </w:rPr>
        <w:t>:</w:t>
      </w:r>
      <w:r w:rsidRPr="005675B2">
        <w:rPr>
          <w:rtl/>
          <w:lang w:val="uz-Latn-UZ"/>
        </w:rPr>
        <w:t xml:space="preserve"> نرى ما يعمل بك </w:t>
      </w:r>
      <w:r w:rsidR="000636C2">
        <w:rPr>
          <w:rtl/>
          <w:lang w:val="uz-Latn-UZ"/>
        </w:rPr>
        <w:t>(</w:t>
      </w:r>
      <w:r w:rsidRPr="005675B2">
        <w:rPr>
          <w:rtl/>
          <w:lang w:val="uz-Latn-UZ"/>
        </w:rPr>
        <w:t>تفسير الخازن 4 / 190</w:t>
      </w:r>
      <w:r w:rsidR="000636C2">
        <w:rPr>
          <w:rtl/>
          <w:lang w:val="uz-Latn-UZ"/>
        </w:rPr>
        <w:t>)،</w:t>
      </w:r>
      <w:r w:rsidRPr="005675B2">
        <w:rPr>
          <w:rtl/>
          <w:lang w:val="uz-Latn-UZ"/>
        </w:rPr>
        <w:t xml:space="preserve"> </w:t>
      </w:r>
      <w:r w:rsidRPr="005675B2">
        <w:rPr>
          <w:bCs/>
          <w:rtl/>
          <w:lang w:val="uz-Latn-UZ"/>
        </w:rPr>
        <w:t xml:space="preserve">تأويله رضي الله عنه للفظ </w:t>
      </w:r>
      <w:r w:rsidR="000636C2">
        <w:rPr>
          <w:bCs/>
          <w:rtl/>
          <w:lang w:val="uz-Latn-UZ" w:bidi="ar-KW"/>
        </w:rPr>
        <w:t>(</w:t>
      </w:r>
      <w:r w:rsidRPr="005675B2">
        <w:rPr>
          <w:bCs/>
          <w:rtl/>
          <w:lang w:val="uz-Latn-UZ"/>
        </w:rPr>
        <w:t>الأيد</w:t>
      </w:r>
      <w:r w:rsidR="000636C2">
        <w:rPr>
          <w:bCs/>
          <w:rtl/>
          <w:lang w:val="uz-Latn-UZ" w:bidi="ar-KW"/>
        </w:rPr>
        <w:t>):</w:t>
      </w:r>
      <w:r w:rsidRPr="005675B2">
        <w:rPr>
          <w:rFonts w:hint="cs"/>
          <w:bCs/>
          <w:rtl/>
          <w:lang w:val="uz-Latn-UZ" w:bidi="ar-KW"/>
        </w:rPr>
        <w:t xml:space="preserve"> </w:t>
      </w:r>
      <w:r w:rsidRPr="005675B2">
        <w:rPr>
          <w:rtl/>
          <w:lang w:val="uz-Latn-UZ"/>
        </w:rPr>
        <w:t xml:space="preserve">قال تعالى </w:t>
      </w:r>
      <w:r w:rsidR="000636C2">
        <w:rPr>
          <w:rtl/>
          <w:lang w:val="uz-Latn-UZ"/>
        </w:rPr>
        <w:t>(</w:t>
      </w:r>
      <w:r w:rsidRPr="005675B2">
        <w:rPr>
          <w:rtl/>
          <w:lang w:val="uz-Latn-UZ"/>
        </w:rPr>
        <w:t>والسماء بنيناها بأييد</w:t>
      </w:r>
      <w:r w:rsidR="000636C2">
        <w:rPr>
          <w:rtl/>
          <w:lang w:val="uz-Latn-UZ"/>
        </w:rPr>
        <w:t>)</w:t>
      </w:r>
      <w:r w:rsidRPr="005675B2">
        <w:rPr>
          <w:rtl/>
          <w:lang w:val="uz-Latn-UZ"/>
        </w:rPr>
        <w:t>قال رضي الله عنه</w:t>
      </w:r>
      <w:r w:rsidR="000636C2">
        <w:rPr>
          <w:rtl/>
          <w:lang w:val="uz-Latn-UZ"/>
        </w:rPr>
        <w:t>:</w:t>
      </w:r>
      <w:r w:rsidRPr="005675B2">
        <w:rPr>
          <w:rtl/>
          <w:lang w:val="uz-Latn-UZ"/>
        </w:rPr>
        <w:t xml:space="preserve"> بقوّة وقدرة </w:t>
      </w:r>
      <w:r w:rsidR="000636C2">
        <w:rPr>
          <w:rtl/>
          <w:lang w:val="uz-Latn-UZ"/>
        </w:rPr>
        <w:t>(</w:t>
      </w:r>
      <w:r w:rsidRPr="005675B2">
        <w:rPr>
          <w:rtl/>
          <w:lang w:val="uz-Latn-UZ"/>
        </w:rPr>
        <w:t>القرطبي17 / 52</w:t>
      </w:r>
      <w:r w:rsidR="000636C2">
        <w:rPr>
          <w:rtl/>
          <w:lang w:val="uz-Latn-UZ"/>
        </w:rPr>
        <w:t xml:space="preserve">)، </w:t>
      </w:r>
      <w:r w:rsidRPr="005675B2">
        <w:rPr>
          <w:rtl/>
          <w:lang w:val="uz-Latn-UZ"/>
        </w:rPr>
        <w:t xml:space="preserve">تأويله رضي الله عنه لقوله تعالى </w:t>
      </w:r>
      <w:r w:rsidR="000636C2">
        <w:rPr>
          <w:rtl/>
          <w:lang w:val="uz-Latn-UZ"/>
        </w:rPr>
        <w:t>(</w:t>
      </w:r>
      <w:r w:rsidRPr="005675B2">
        <w:rPr>
          <w:rtl/>
          <w:lang w:val="uz-Latn-UZ"/>
        </w:rPr>
        <w:t>الله نور السموات والأرض</w:t>
      </w:r>
      <w:r w:rsidR="000636C2">
        <w:rPr>
          <w:rtl/>
          <w:lang w:val="uz-Latn-UZ"/>
        </w:rPr>
        <w:t>)</w:t>
      </w:r>
      <w:r w:rsidRPr="005675B2">
        <w:rPr>
          <w:rFonts w:hint="cs"/>
          <w:rtl/>
          <w:lang w:val="uz-Latn-UZ"/>
        </w:rPr>
        <w:t xml:space="preserve"> </w:t>
      </w:r>
      <w:r w:rsidRPr="005675B2">
        <w:rPr>
          <w:rtl/>
          <w:lang w:val="uz-Latn-UZ"/>
        </w:rPr>
        <w:t xml:space="preserve">جاء في تفسير الطبري </w:t>
      </w:r>
      <w:r w:rsidR="000636C2">
        <w:rPr>
          <w:rtl/>
          <w:lang w:val="uz-Latn-UZ"/>
        </w:rPr>
        <w:t>(</w:t>
      </w:r>
      <w:r w:rsidRPr="005675B2">
        <w:rPr>
          <w:rtl/>
          <w:lang w:val="uz-Latn-UZ"/>
        </w:rPr>
        <w:t>18/135</w:t>
      </w:r>
      <w:r w:rsidR="000636C2">
        <w:rPr>
          <w:rtl/>
          <w:lang w:val="uz-Latn-UZ"/>
        </w:rPr>
        <w:t>)</w:t>
      </w:r>
      <w:r w:rsidRPr="005675B2">
        <w:rPr>
          <w:rtl/>
          <w:lang w:val="uz-Latn-UZ"/>
        </w:rPr>
        <w:t xml:space="preserve"> ما نصّه </w:t>
      </w:r>
      <w:r w:rsidR="000636C2">
        <w:rPr>
          <w:rtl/>
          <w:lang w:val="uz-Latn-UZ"/>
        </w:rPr>
        <w:t>(</w:t>
      </w:r>
      <w:r w:rsidRPr="005675B2">
        <w:rPr>
          <w:rtl/>
          <w:lang w:val="uz-Latn-UZ"/>
        </w:rPr>
        <w:t xml:space="preserve">عن ابن عباس قوله </w:t>
      </w:r>
      <w:r w:rsidR="000636C2">
        <w:rPr>
          <w:rtl/>
          <w:lang w:val="uz-Latn-UZ"/>
        </w:rPr>
        <w:t>(</w:t>
      </w:r>
      <w:r w:rsidRPr="005675B2">
        <w:rPr>
          <w:rtl/>
          <w:lang w:val="uz-Latn-UZ"/>
        </w:rPr>
        <w:t>الله نور السموات والأرض</w:t>
      </w:r>
      <w:r w:rsidR="000636C2">
        <w:rPr>
          <w:rtl/>
          <w:lang w:val="uz-Latn-UZ"/>
        </w:rPr>
        <w:t xml:space="preserve">) </w:t>
      </w:r>
      <w:r w:rsidRPr="005675B2">
        <w:rPr>
          <w:rtl/>
          <w:lang w:val="uz-Latn-UZ"/>
        </w:rPr>
        <w:t>يقول</w:t>
      </w:r>
      <w:r w:rsidR="000636C2">
        <w:rPr>
          <w:rtl/>
          <w:lang w:val="uz-Latn-UZ"/>
        </w:rPr>
        <w:t>:</w:t>
      </w:r>
      <w:r w:rsidRPr="005675B2">
        <w:rPr>
          <w:rtl/>
          <w:lang w:val="uz-Latn-UZ"/>
        </w:rPr>
        <w:t xml:space="preserve"> الله سبحانه هادي أهل السموات والأرض</w:t>
      </w:r>
      <w:r w:rsidR="000636C2">
        <w:rPr>
          <w:rtl/>
          <w:lang w:val="uz-Latn-UZ"/>
        </w:rPr>
        <w:t>)،</w:t>
      </w:r>
      <w:r w:rsidRPr="005675B2">
        <w:rPr>
          <w:rtl/>
          <w:lang w:val="uz-Latn-UZ"/>
        </w:rPr>
        <w:t xml:space="preserve"> </w:t>
      </w:r>
      <w:r w:rsidRPr="005675B2">
        <w:rPr>
          <w:bCs/>
          <w:rtl/>
          <w:lang w:val="uz-Latn-UZ"/>
        </w:rPr>
        <w:t xml:space="preserve">تأويله رضي الله عنه لنصوص </w:t>
      </w:r>
      <w:r w:rsidR="000636C2">
        <w:rPr>
          <w:bCs/>
          <w:rtl/>
          <w:lang w:val="uz-Latn-UZ"/>
        </w:rPr>
        <w:t>(</w:t>
      </w:r>
      <w:r w:rsidRPr="005675B2">
        <w:rPr>
          <w:bCs/>
          <w:rtl/>
          <w:lang w:val="uz-Latn-UZ"/>
        </w:rPr>
        <w:t>الوجه</w:t>
      </w:r>
      <w:r w:rsidR="000636C2">
        <w:rPr>
          <w:bCs/>
          <w:rtl/>
          <w:lang w:val="uz-Latn-UZ"/>
        </w:rPr>
        <w:t>):</w:t>
      </w:r>
      <w:r w:rsidRPr="005675B2">
        <w:rPr>
          <w:rFonts w:hint="cs"/>
          <w:rtl/>
          <w:lang w:val="uz-Latn-UZ" w:bidi="ar-KW"/>
        </w:rPr>
        <w:t xml:space="preserve"> </w:t>
      </w:r>
      <w:r w:rsidRPr="005675B2">
        <w:rPr>
          <w:spacing w:val="-4"/>
          <w:rtl/>
          <w:lang w:val="uz-Latn-UZ"/>
        </w:rPr>
        <w:t xml:space="preserve">قال تعالى </w:t>
      </w:r>
      <w:r w:rsidR="000636C2">
        <w:rPr>
          <w:bCs/>
          <w:spacing w:val="-4"/>
          <w:rtl/>
          <w:lang w:val="uz-Latn-UZ"/>
        </w:rPr>
        <w:t>(</w:t>
      </w:r>
      <w:r w:rsidRPr="005675B2">
        <w:rPr>
          <w:bCs/>
          <w:spacing w:val="-4"/>
          <w:rtl/>
          <w:lang w:val="uz-Latn-UZ"/>
        </w:rPr>
        <w:t>ويبقى وجه ربك ذو الجلال والإكرام</w:t>
      </w:r>
      <w:r w:rsidR="000636C2">
        <w:rPr>
          <w:bCs/>
          <w:spacing w:val="-4"/>
          <w:rtl/>
          <w:lang w:val="uz-Latn-UZ"/>
        </w:rPr>
        <w:t>)</w:t>
      </w:r>
      <w:r w:rsidRPr="005675B2">
        <w:rPr>
          <w:bCs/>
          <w:spacing w:val="-4"/>
          <w:rtl/>
          <w:lang w:val="uz-Latn-UZ"/>
        </w:rPr>
        <w:t xml:space="preserve"> </w:t>
      </w:r>
      <w:r w:rsidRPr="005675B2">
        <w:rPr>
          <w:spacing w:val="-4"/>
          <w:rtl/>
          <w:lang w:val="uz-Latn-UZ"/>
        </w:rPr>
        <w:t>قال رضي الله عنه</w:t>
      </w:r>
      <w:r w:rsidR="000636C2">
        <w:rPr>
          <w:spacing w:val="-4"/>
          <w:rtl/>
          <w:lang w:val="uz-Latn-UZ"/>
        </w:rPr>
        <w:t>:</w:t>
      </w:r>
      <w:r w:rsidRPr="005675B2">
        <w:rPr>
          <w:spacing w:val="-4"/>
          <w:rtl/>
          <w:lang w:val="uz-Latn-UZ"/>
        </w:rPr>
        <w:t xml:space="preserve"> الوجه عبارة عنه</w:t>
      </w:r>
      <w:r w:rsidR="000636C2">
        <w:rPr>
          <w:spacing w:val="-4"/>
          <w:rtl/>
          <w:lang w:val="uz-Latn-UZ"/>
        </w:rPr>
        <w:t>،</w:t>
      </w:r>
      <w:r w:rsidRPr="005675B2">
        <w:rPr>
          <w:spacing w:val="-4"/>
          <w:rtl/>
          <w:lang w:val="uz-Latn-UZ"/>
        </w:rPr>
        <w:t xml:space="preserve"> وقال القرطبي في تفسيره</w:t>
      </w:r>
      <w:r w:rsidR="000636C2">
        <w:rPr>
          <w:spacing w:val="-4"/>
          <w:rtl/>
          <w:lang w:val="uz-Latn-UZ"/>
        </w:rPr>
        <w:t>:</w:t>
      </w:r>
      <w:r w:rsidRPr="005675B2">
        <w:rPr>
          <w:spacing w:val="-4"/>
          <w:rtl/>
          <w:lang w:val="uz-Latn-UZ"/>
        </w:rPr>
        <w:t xml:space="preserve"> أي ويبقى الله فالوجه عبارة عن وجوده وذاته سبحانه .. وهذا الذي ارتضاه المحققون من علمائنا ابن فورك وأبو المعالي وغيرهم .. وقال أبو المعالي</w:t>
      </w:r>
      <w:r w:rsidR="000636C2">
        <w:rPr>
          <w:spacing w:val="-4"/>
          <w:rtl/>
          <w:lang w:val="uz-Latn-UZ"/>
        </w:rPr>
        <w:t>:</w:t>
      </w:r>
      <w:r w:rsidRPr="005675B2">
        <w:rPr>
          <w:spacing w:val="-4"/>
          <w:rtl/>
          <w:lang w:val="uz-Latn-UZ"/>
        </w:rPr>
        <w:t xml:space="preserve"> وأما الوجه المراد به عند معظم أئمتنا وجود الباري تعالى </w:t>
      </w:r>
      <w:r w:rsidR="000636C2">
        <w:rPr>
          <w:spacing w:val="-4"/>
          <w:rtl/>
          <w:lang w:val="uz-Latn-UZ"/>
        </w:rPr>
        <w:t>(</w:t>
      </w:r>
      <w:r w:rsidRPr="005675B2">
        <w:rPr>
          <w:spacing w:val="-4"/>
          <w:rtl/>
          <w:lang w:val="uz-Latn-UZ"/>
        </w:rPr>
        <w:t>القرطبي 17 / 165</w:t>
      </w:r>
      <w:r w:rsidR="000636C2">
        <w:rPr>
          <w:spacing w:val="-4"/>
          <w:rtl/>
          <w:lang w:val="uz-Latn-UZ"/>
        </w:rPr>
        <w:t>)</w:t>
      </w:r>
      <w:r w:rsidR="000636C2">
        <w:rPr>
          <w:spacing w:val="-4"/>
          <w:rtl/>
          <w:lang w:val="uz-Latn-UZ" w:bidi="ar-KW"/>
        </w:rPr>
        <w:t>،</w:t>
      </w:r>
      <w:r w:rsidRPr="005675B2">
        <w:rPr>
          <w:spacing w:val="-4"/>
          <w:rtl/>
          <w:lang w:val="uz-Latn-UZ" w:bidi="ar-KW"/>
        </w:rPr>
        <w:t xml:space="preserve"> </w:t>
      </w:r>
      <w:r w:rsidRPr="005675B2">
        <w:rPr>
          <w:bCs/>
          <w:rtl/>
          <w:lang w:val="uz-Latn-UZ"/>
        </w:rPr>
        <w:t xml:space="preserve">تأويله رضي الله عنه للفظ </w:t>
      </w:r>
      <w:r w:rsidR="000636C2">
        <w:rPr>
          <w:bCs/>
          <w:rtl/>
          <w:lang w:val="uz-Latn-UZ"/>
        </w:rPr>
        <w:t>(</w:t>
      </w:r>
      <w:r w:rsidRPr="005675B2">
        <w:rPr>
          <w:bCs/>
          <w:rtl/>
          <w:lang w:val="uz-Latn-UZ"/>
        </w:rPr>
        <w:t>الساق</w:t>
      </w:r>
      <w:r w:rsidR="000636C2">
        <w:rPr>
          <w:bCs/>
          <w:rtl/>
          <w:lang w:val="uz-Latn-UZ" w:bidi="ar-KW"/>
        </w:rPr>
        <w:t>):</w:t>
      </w:r>
      <w:r w:rsidRPr="005675B2">
        <w:rPr>
          <w:rFonts w:hint="cs"/>
          <w:bCs/>
          <w:rtl/>
          <w:lang w:val="uz-Latn-UZ" w:bidi="ar-KW"/>
        </w:rPr>
        <w:t xml:space="preserve"> </w:t>
      </w:r>
      <w:r w:rsidRPr="005675B2">
        <w:rPr>
          <w:rtl/>
          <w:lang w:val="uz-Latn-UZ"/>
        </w:rPr>
        <w:t xml:space="preserve">قال تعالى </w:t>
      </w:r>
      <w:r w:rsidR="000636C2">
        <w:rPr>
          <w:bCs/>
          <w:rtl/>
          <w:lang w:val="uz-Latn-UZ"/>
        </w:rPr>
        <w:t>(</w:t>
      </w:r>
      <w:r w:rsidRPr="005675B2">
        <w:rPr>
          <w:bCs/>
          <w:rtl/>
          <w:lang w:val="uz-Latn-UZ"/>
        </w:rPr>
        <w:t>يوم يُكشف عن ساق</w:t>
      </w:r>
      <w:r w:rsidR="000636C2">
        <w:rPr>
          <w:bCs/>
          <w:rtl/>
          <w:lang w:val="uz-Latn-UZ"/>
        </w:rPr>
        <w:t>)</w:t>
      </w:r>
      <w:r w:rsidRPr="005675B2">
        <w:rPr>
          <w:bCs/>
          <w:rtl/>
          <w:lang w:val="uz-Latn-UZ"/>
        </w:rPr>
        <w:t xml:space="preserve"> </w:t>
      </w:r>
      <w:r w:rsidRPr="005675B2">
        <w:rPr>
          <w:rtl/>
          <w:lang w:val="uz-Latn-UZ"/>
        </w:rPr>
        <w:t>قال رضي الله عنه</w:t>
      </w:r>
      <w:r w:rsidR="000636C2">
        <w:rPr>
          <w:rtl/>
          <w:lang w:val="uz-Latn-UZ"/>
        </w:rPr>
        <w:t>:</w:t>
      </w:r>
      <w:r w:rsidRPr="005675B2">
        <w:rPr>
          <w:rtl/>
          <w:lang w:val="uz-Latn-UZ"/>
        </w:rPr>
        <w:t xml:space="preserve"> عن كرب شديـد </w:t>
      </w:r>
      <w:r w:rsidR="000636C2">
        <w:rPr>
          <w:rtl/>
          <w:lang w:val="uz-Latn-UZ"/>
        </w:rPr>
        <w:t>(</w:t>
      </w:r>
      <w:r w:rsidRPr="005675B2">
        <w:rPr>
          <w:rtl/>
          <w:lang w:val="uz-Latn-UZ"/>
        </w:rPr>
        <w:t>الطبري 29 / 38، القرطبي 18 / 249</w:t>
      </w:r>
      <w:r w:rsidR="000636C2">
        <w:rPr>
          <w:rtl/>
          <w:lang w:val="uz-Latn-UZ"/>
        </w:rPr>
        <w:t>)،</w:t>
      </w:r>
      <w:r w:rsidRPr="005675B2">
        <w:rPr>
          <w:rtl/>
          <w:lang w:val="uz-Latn-UZ"/>
        </w:rPr>
        <w:t xml:space="preserve"> </w:t>
      </w:r>
      <w:r w:rsidRPr="005675B2">
        <w:rPr>
          <w:bCs/>
          <w:rtl/>
          <w:lang w:val="uz-Latn-UZ"/>
        </w:rPr>
        <w:t xml:space="preserve">تأويله رضي الله عنه للفظ </w:t>
      </w:r>
      <w:r w:rsidR="000636C2">
        <w:rPr>
          <w:bCs/>
          <w:rtl/>
          <w:lang w:val="uz-Latn-UZ"/>
        </w:rPr>
        <w:t>(</w:t>
      </w:r>
      <w:r w:rsidRPr="005675B2">
        <w:rPr>
          <w:bCs/>
          <w:rtl/>
          <w:lang w:val="uz-Latn-UZ"/>
        </w:rPr>
        <w:t>الجنب</w:t>
      </w:r>
      <w:r w:rsidR="000636C2">
        <w:rPr>
          <w:bCs/>
          <w:rtl/>
          <w:lang w:val="uz-Latn-UZ" w:bidi="ar-KW"/>
        </w:rPr>
        <w:t>):</w:t>
      </w:r>
      <w:r w:rsidRPr="005675B2">
        <w:rPr>
          <w:rFonts w:hint="cs"/>
          <w:bCs/>
          <w:rtl/>
          <w:lang w:val="uz-Latn-UZ" w:bidi="ar-KW"/>
        </w:rPr>
        <w:t xml:space="preserve"> </w:t>
      </w:r>
      <w:r w:rsidRPr="005675B2">
        <w:rPr>
          <w:rtl/>
          <w:lang w:val="uz-Latn-UZ"/>
        </w:rPr>
        <w:t>قال تعالى</w:t>
      </w:r>
      <w:r w:rsidR="000636C2">
        <w:rPr>
          <w:rtl/>
          <w:lang w:val="uz-Latn-UZ"/>
        </w:rPr>
        <w:t>:</w:t>
      </w:r>
      <w:r w:rsidRPr="005675B2">
        <w:rPr>
          <w:rtl/>
          <w:lang w:val="uz-Latn-UZ"/>
        </w:rPr>
        <w:t xml:space="preserve"> </w:t>
      </w:r>
      <w:r w:rsidR="000636C2">
        <w:rPr>
          <w:bCs/>
          <w:rtl/>
          <w:lang w:val="uz-Latn-UZ"/>
        </w:rPr>
        <w:t>(</w:t>
      </w:r>
      <w:r w:rsidRPr="005675B2">
        <w:rPr>
          <w:bCs/>
          <w:rtl/>
          <w:lang w:val="uz-Latn-UZ"/>
        </w:rPr>
        <w:t>أن تقول نفس يا حسرتى على ما فرّطت في جنب الله</w:t>
      </w:r>
      <w:r w:rsidR="000636C2">
        <w:rPr>
          <w:bCs/>
          <w:rtl/>
          <w:lang w:val="uz-Latn-UZ"/>
        </w:rPr>
        <w:t>)</w:t>
      </w:r>
      <w:r w:rsidRPr="005675B2">
        <w:rPr>
          <w:bCs/>
          <w:rtl/>
          <w:lang w:val="uz-Latn-UZ"/>
        </w:rPr>
        <w:t xml:space="preserve"> </w:t>
      </w:r>
      <w:r w:rsidRPr="005675B2">
        <w:rPr>
          <w:rtl/>
          <w:lang w:val="uz-Latn-UZ"/>
        </w:rPr>
        <w:t>قال رضي الله عنه</w:t>
      </w:r>
      <w:r w:rsidR="000636C2">
        <w:rPr>
          <w:rtl/>
          <w:lang w:val="uz-Latn-UZ"/>
        </w:rPr>
        <w:t>:</w:t>
      </w:r>
      <w:r w:rsidRPr="005675B2">
        <w:rPr>
          <w:rtl/>
          <w:lang w:val="uz-Latn-UZ"/>
        </w:rPr>
        <w:t xml:space="preserve"> تركت من طاعة الله وأمر الله وثوابه </w:t>
      </w:r>
      <w:r w:rsidR="000636C2">
        <w:rPr>
          <w:rtl/>
          <w:lang w:val="uz-Latn-UZ"/>
        </w:rPr>
        <w:t>(</w:t>
      </w:r>
      <w:r w:rsidRPr="005675B2">
        <w:rPr>
          <w:rtl/>
          <w:lang w:val="uz-Latn-UZ"/>
        </w:rPr>
        <w:t>روح المعاني الآية 56 من الزمر</w:t>
      </w:r>
      <w:r w:rsidR="000636C2">
        <w:rPr>
          <w:rtl/>
          <w:lang w:val="uz-Latn-UZ"/>
        </w:rPr>
        <w:t>)</w:t>
      </w:r>
      <w:r w:rsidR="000636C2">
        <w:rPr>
          <w:rtl/>
          <w:lang w:val="uz-Latn-UZ" w:bidi="ar-KW"/>
        </w:rPr>
        <w:t>،</w:t>
      </w:r>
      <w:r w:rsidRPr="005675B2">
        <w:rPr>
          <w:rtl/>
          <w:lang w:val="uz-Latn-UZ" w:bidi="ar-KW"/>
        </w:rPr>
        <w:t xml:space="preserve"> </w:t>
      </w:r>
      <w:r w:rsidRPr="005675B2">
        <w:rPr>
          <w:spacing w:val="-6"/>
          <w:rtl/>
          <w:lang w:val="uz-Latn-UZ" w:bidi="ar-KW"/>
        </w:rPr>
        <w:t>قال الإمام الألوسي رحمه الله تعالى</w:t>
      </w:r>
      <w:r w:rsidR="000636C2">
        <w:rPr>
          <w:spacing w:val="-6"/>
          <w:rtl/>
          <w:lang w:val="uz-Latn-UZ" w:bidi="ar-KW"/>
        </w:rPr>
        <w:t>:</w:t>
      </w:r>
      <w:r w:rsidRPr="005675B2">
        <w:rPr>
          <w:spacing w:val="-6"/>
          <w:rtl/>
          <w:lang w:val="uz-Latn-UZ" w:bidi="ar-KW"/>
        </w:rPr>
        <w:t xml:space="preserve"> </w:t>
      </w:r>
      <w:r w:rsidR="000636C2">
        <w:rPr>
          <w:spacing w:val="-6"/>
          <w:rtl/>
          <w:lang w:val="uz-Latn-UZ" w:bidi="ar-KW"/>
        </w:rPr>
        <w:t>(</w:t>
      </w:r>
      <w:r w:rsidRPr="005675B2">
        <w:rPr>
          <w:spacing w:val="-6"/>
          <w:rtl/>
          <w:lang w:val="uz-Latn-UZ" w:bidi="ar-KW"/>
        </w:rPr>
        <w:t>وبالجملة لا يمكن إبقاء الكلام على حقيقته لتنزهه عزّ وجلّ من الجنب بالمعنى الحقيقي، ولم أقف على عدِّ أحـد من السلف إياه من الصفات السمعية</w:t>
      </w:r>
      <w:r w:rsidR="000636C2">
        <w:rPr>
          <w:spacing w:val="-6"/>
          <w:rtl/>
          <w:lang w:val="uz-Latn-UZ" w:bidi="ar-KW"/>
        </w:rPr>
        <w:t>)</w:t>
      </w:r>
      <w:r w:rsidRPr="005675B2">
        <w:rPr>
          <w:spacing w:val="-6"/>
          <w:rtl/>
          <w:lang w:val="uz-Latn-UZ" w:bidi="ar-KW"/>
        </w:rPr>
        <w:t xml:space="preserve"> اهـ</w:t>
      </w:r>
      <w:r w:rsidR="000636C2">
        <w:rPr>
          <w:spacing w:val="-6"/>
          <w:rtl/>
          <w:lang w:val="uz-Latn-UZ" w:bidi="ar-KW"/>
        </w:rPr>
        <w:t>،</w:t>
      </w:r>
      <w:r w:rsidRPr="005675B2">
        <w:rPr>
          <w:spacing w:val="-6"/>
          <w:rtl/>
          <w:lang w:val="uz-Latn-UZ" w:bidi="ar-KW"/>
        </w:rPr>
        <w:t xml:space="preserve"> </w:t>
      </w:r>
      <w:r w:rsidR="000636C2">
        <w:rPr>
          <w:spacing w:val="-6"/>
          <w:rtl/>
          <w:lang w:val="uz-Latn-UZ" w:bidi="ar-KW"/>
        </w:rPr>
        <w:t>(</w:t>
      </w:r>
      <w:r w:rsidRPr="005675B2">
        <w:rPr>
          <w:spacing w:val="-6"/>
          <w:rtl/>
          <w:lang w:val="uz-Latn-UZ" w:bidi="ar-KW"/>
        </w:rPr>
        <w:t>المصدر السابق</w:t>
      </w:r>
      <w:r w:rsidR="000636C2">
        <w:rPr>
          <w:spacing w:val="-6"/>
          <w:rtl/>
          <w:lang w:val="uz-Latn-UZ" w:bidi="ar-KW"/>
        </w:rPr>
        <w:t xml:space="preserve">)، </w:t>
      </w:r>
      <w:r w:rsidRPr="005675B2">
        <w:rPr>
          <w:rtl/>
          <w:lang w:val="uz-Latn-UZ"/>
        </w:rPr>
        <w:t>هذا هو سيدنا ابن عباس رضي الله عنهما وناهيك بابن عباس فقهاً وعلماً بالقرآن والتنزيل، وهو الذي دعـا له رسول الله</w:t>
      </w:r>
      <w:r w:rsidR="000636C2">
        <w:rPr>
          <w:rtl/>
          <w:lang w:val="uz-Latn-UZ"/>
        </w:rPr>
        <w:t xml:space="preserve"> </w:t>
      </w:r>
      <w:r w:rsidRPr="005675B2">
        <w:rPr>
          <w:rtl/>
          <w:lang w:val="uz-Latn-UZ"/>
        </w:rPr>
        <w:t>بقوله</w:t>
      </w:r>
      <w:r w:rsidR="000636C2">
        <w:rPr>
          <w:rtl/>
          <w:lang w:val="uz-Latn-UZ"/>
        </w:rPr>
        <w:t>:</w:t>
      </w:r>
      <w:r w:rsidRPr="005675B2">
        <w:rPr>
          <w:rtl/>
          <w:lang w:val="uz-Latn-UZ"/>
        </w:rPr>
        <w:t xml:space="preserve"> </w:t>
      </w:r>
      <w:r w:rsidR="000636C2">
        <w:rPr>
          <w:rtl/>
          <w:lang w:val="uz-Latn-UZ"/>
        </w:rPr>
        <w:t>(</w:t>
      </w:r>
      <w:r w:rsidRPr="005675B2">
        <w:rPr>
          <w:bCs/>
          <w:rtl/>
          <w:lang w:val="uz-Latn-UZ"/>
        </w:rPr>
        <w:t>اللهمّ فقّهه في الدين وعلمه التأويل</w:t>
      </w:r>
      <w:r w:rsidR="000636C2">
        <w:rPr>
          <w:bCs/>
          <w:rtl/>
          <w:lang w:val="uz-Latn-UZ"/>
        </w:rPr>
        <w:t>)</w:t>
      </w:r>
      <w:r w:rsidRPr="005675B2">
        <w:rPr>
          <w:rtl/>
          <w:lang w:val="uz-Latn-UZ"/>
        </w:rPr>
        <w:t xml:space="preserve"> وهو حبر الأمة وترجمان القرآن</w:t>
      </w:r>
      <w:r w:rsidR="000636C2">
        <w:rPr>
          <w:rtl/>
          <w:lang w:val="uz-Latn-UZ"/>
        </w:rPr>
        <w:t>،</w:t>
      </w:r>
      <w:r w:rsidRPr="005675B2">
        <w:rPr>
          <w:rtl/>
          <w:lang w:val="uz-Latn-UZ"/>
        </w:rPr>
        <w:t xml:space="preserve"> هذا والذي ذهب إليه الأشاعرة والماتريدية في هذه النصوص هو عين ما نقل عن ابن عباس رضي الله عنهما، فإن جاز اتهام الأشاعرة والماتريدية بالتعطيل والابتداع، جاز ذلك على سيدنا ابن عباس - معاذ الله - وحاشاه أن يقول في الله تعالى ما ليس له به علم</w:t>
      </w:r>
      <w:r w:rsidR="000636C2">
        <w:rPr>
          <w:rtl/>
          <w:lang w:val="uz-Latn-UZ"/>
        </w:rPr>
        <w:t>،</w:t>
      </w:r>
      <w:r w:rsidRPr="005675B2">
        <w:rPr>
          <w:rtl/>
          <w:lang w:val="uz-Latn-UZ"/>
        </w:rPr>
        <w:t xml:space="preserve"> ألا فليتق الله</w:t>
      </w:r>
      <w:r w:rsidR="000636C2">
        <w:rPr>
          <w:rtl/>
          <w:lang w:val="uz-Latn-UZ"/>
        </w:rPr>
        <w:t>!</w:t>
      </w:r>
      <w:r w:rsidRPr="005675B2">
        <w:rPr>
          <w:rtl/>
          <w:lang w:val="uz-Latn-UZ"/>
        </w:rPr>
        <w:t xml:space="preserve"> امرؤ جاءته موعظة من ربه، وليَنْتَهِ</w:t>
      </w:r>
      <w:r w:rsidR="000636C2">
        <w:rPr>
          <w:rtl/>
          <w:lang w:val="uz-Latn-UZ"/>
        </w:rPr>
        <w:t>!</w:t>
      </w:r>
      <w:r w:rsidRPr="005675B2">
        <w:rPr>
          <w:rtl/>
          <w:lang w:val="uz-Latn-UZ"/>
        </w:rPr>
        <w:t xml:space="preserve"> عن التطاول على أئمة الدين وعلماء الشرع الذي هو في حقيقة الأمر تطاول على صحابة رسول الله</w:t>
      </w:r>
      <w:r w:rsidR="000636C2">
        <w:rPr>
          <w:rtl/>
          <w:lang w:val="uz-Latn-UZ"/>
        </w:rPr>
        <w:t xml:space="preserve"> </w:t>
      </w:r>
      <w:r w:rsidRPr="005675B2">
        <w:rPr>
          <w:rtl/>
          <w:lang w:val="uz-Latn-UZ"/>
        </w:rPr>
        <w:t>والتابعين لهم بإحسان</w:t>
      </w:r>
      <w:r w:rsidR="000636C2">
        <w:rPr>
          <w:rtl/>
          <w:lang w:val="uz-Latn-UZ"/>
        </w:rPr>
        <w:t>!،</w:t>
      </w:r>
      <w:r w:rsidRPr="005675B2">
        <w:rPr>
          <w:rtl/>
          <w:lang w:val="uz-Latn-UZ"/>
        </w:rPr>
        <w:t xml:space="preserve"> </w:t>
      </w:r>
      <w:r w:rsidRPr="005675B2">
        <w:rPr>
          <w:bCs/>
          <w:rtl/>
          <w:lang w:val="uz-Latn-UZ"/>
        </w:rPr>
        <w:t xml:space="preserve">تأويل مجاهد والسدي للفظ </w:t>
      </w:r>
      <w:r w:rsidR="000636C2">
        <w:rPr>
          <w:bCs/>
          <w:rtl/>
          <w:lang w:val="uz-Latn-UZ"/>
        </w:rPr>
        <w:t>(</w:t>
      </w:r>
      <w:r w:rsidRPr="005675B2">
        <w:rPr>
          <w:bCs/>
          <w:rtl/>
          <w:lang w:val="uz-Latn-UZ"/>
        </w:rPr>
        <w:t>الجنب</w:t>
      </w:r>
      <w:r w:rsidR="000636C2">
        <w:rPr>
          <w:bCs/>
          <w:rtl/>
          <w:lang w:val="uz-Latn-UZ" w:bidi="ar-KW"/>
        </w:rPr>
        <w:t>):</w:t>
      </w:r>
      <w:r w:rsidRPr="005675B2">
        <w:rPr>
          <w:rFonts w:hint="cs"/>
          <w:bCs/>
          <w:rtl/>
          <w:lang w:val="uz-Latn-UZ" w:bidi="ar-KW"/>
        </w:rPr>
        <w:t xml:space="preserve"> </w:t>
      </w:r>
      <w:r w:rsidRPr="005675B2">
        <w:rPr>
          <w:rtl/>
          <w:lang w:val="uz-Latn-UZ"/>
        </w:rPr>
        <w:t xml:space="preserve">جاء في تفسير الطبري رحمه الله </w:t>
      </w:r>
      <w:r w:rsidR="000636C2">
        <w:rPr>
          <w:rtl/>
          <w:lang w:val="uz-Latn-UZ"/>
        </w:rPr>
        <w:t>(</w:t>
      </w:r>
      <w:r w:rsidRPr="005675B2">
        <w:rPr>
          <w:rtl/>
          <w:lang w:val="uz-Latn-UZ"/>
        </w:rPr>
        <w:t>24 / 19</w:t>
      </w:r>
      <w:r w:rsidR="000636C2">
        <w:rPr>
          <w:rtl/>
          <w:lang w:val="uz-Latn-UZ"/>
        </w:rPr>
        <w:t>)</w:t>
      </w:r>
      <w:r w:rsidRPr="005675B2">
        <w:rPr>
          <w:rtl/>
          <w:lang w:val="uz-Latn-UZ"/>
        </w:rPr>
        <w:t xml:space="preserve"> عند قوله تعالى </w:t>
      </w:r>
      <w:r w:rsidR="000636C2">
        <w:rPr>
          <w:bCs/>
          <w:rtl/>
          <w:lang w:val="uz-Latn-UZ"/>
        </w:rPr>
        <w:t>(</w:t>
      </w:r>
      <w:r w:rsidRPr="005675B2">
        <w:rPr>
          <w:bCs/>
          <w:rtl/>
          <w:lang w:val="uz-Latn-UZ"/>
        </w:rPr>
        <w:t>أن تقول نفس يا حسرتى على ما فرّطت في جنب الله</w:t>
      </w:r>
      <w:r w:rsidR="000636C2">
        <w:rPr>
          <w:bCs/>
          <w:rtl/>
          <w:lang w:val="uz-Latn-UZ"/>
        </w:rPr>
        <w:t>)</w:t>
      </w:r>
      <w:r w:rsidRPr="005675B2">
        <w:rPr>
          <w:bCs/>
          <w:rtl/>
          <w:lang w:val="uz-Latn-UZ"/>
        </w:rPr>
        <w:t xml:space="preserve"> </w:t>
      </w:r>
      <w:r w:rsidRPr="005675B2">
        <w:rPr>
          <w:rtl/>
          <w:lang w:val="uz-Latn-UZ"/>
        </w:rPr>
        <w:t>قال مجاهد</w:t>
      </w:r>
      <w:r w:rsidR="000636C2">
        <w:rPr>
          <w:rtl/>
          <w:lang w:val="uz-Latn-UZ"/>
        </w:rPr>
        <w:t>:</w:t>
      </w:r>
      <w:r w:rsidRPr="005675B2">
        <w:rPr>
          <w:rtl/>
          <w:lang w:val="uz-Latn-UZ"/>
        </w:rPr>
        <w:t xml:space="preserve"> في أمر الله، وقال السدي</w:t>
      </w:r>
      <w:r w:rsidR="000636C2">
        <w:rPr>
          <w:rtl/>
          <w:lang w:val="uz-Latn-UZ"/>
        </w:rPr>
        <w:t>:</w:t>
      </w:r>
      <w:r w:rsidRPr="005675B2">
        <w:rPr>
          <w:rtl/>
          <w:lang w:val="uz-Latn-UZ"/>
        </w:rPr>
        <w:t xml:space="preserve"> على ما تركت من أمر الله</w:t>
      </w:r>
      <w:r w:rsidR="000636C2">
        <w:rPr>
          <w:rtl/>
          <w:lang w:val="uz-Latn-UZ"/>
        </w:rPr>
        <w:t>،</w:t>
      </w:r>
      <w:r w:rsidRPr="005675B2">
        <w:rPr>
          <w:rtl/>
          <w:lang w:val="uz-Latn-UZ"/>
        </w:rPr>
        <w:t xml:space="preserve"> </w:t>
      </w:r>
      <w:r w:rsidRPr="005675B2">
        <w:rPr>
          <w:bCs/>
          <w:rtl/>
          <w:lang w:val="uz-Latn-UZ"/>
        </w:rPr>
        <w:t xml:space="preserve">تأويل الضحاك وقتادة وسعيد بن جبير للفظ </w:t>
      </w:r>
      <w:r w:rsidR="000636C2">
        <w:rPr>
          <w:bCs/>
          <w:rtl/>
          <w:lang w:val="uz-Latn-UZ"/>
        </w:rPr>
        <w:t>(</w:t>
      </w:r>
      <w:r w:rsidRPr="005675B2">
        <w:rPr>
          <w:bCs/>
          <w:rtl/>
          <w:lang w:val="uz-Latn-UZ"/>
        </w:rPr>
        <w:t>الساق</w:t>
      </w:r>
      <w:r w:rsidR="000636C2">
        <w:rPr>
          <w:bCs/>
          <w:rtl/>
          <w:lang w:val="uz-Latn-UZ"/>
        </w:rPr>
        <w:t>):</w:t>
      </w:r>
      <w:r w:rsidRPr="005675B2">
        <w:rPr>
          <w:rFonts w:hint="cs"/>
          <w:bCs/>
          <w:rtl/>
          <w:lang w:val="uz-Latn-UZ"/>
        </w:rPr>
        <w:t xml:space="preserve"> </w:t>
      </w:r>
      <w:r w:rsidRPr="005675B2">
        <w:rPr>
          <w:rtl/>
          <w:lang w:val="uz-Latn-UZ"/>
        </w:rPr>
        <w:t xml:space="preserve">جاء في تفسير الطبري </w:t>
      </w:r>
      <w:r w:rsidR="000636C2">
        <w:rPr>
          <w:rtl/>
          <w:lang w:val="uz-Latn-UZ"/>
        </w:rPr>
        <w:t>(</w:t>
      </w:r>
      <w:r w:rsidRPr="005675B2">
        <w:rPr>
          <w:rtl/>
          <w:lang w:val="uz-Latn-UZ"/>
        </w:rPr>
        <w:t>29 / 38 – 39</w:t>
      </w:r>
      <w:r w:rsidR="000636C2">
        <w:rPr>
          <w:rtl/>
          <w:lang w:val="uz-Latn-UZ"/>
        </w:rPr>
        <w:t>)</w:t>
      </w:r>
      <w:r w:rsidRPr="005675B2">
        <w:rPr>
          <w:rtl/>
          <w:lang w:val="uz-Latn-UZ"/>
        </w:rPr>
        <w:t xml:space="preserve"> عند قوله تعالى </w:t>
      </w:r>
      <w:r w:rsidR="000636C2">
        <w:rPr>
          <w:bCs/>
          <w:rtl/>
          <w:lang w:val="uz-Latn-UZ"/>
        </w:rPr>
        <w:t>(</w:t>
      </w:r>
      <w:r w:rsidRPr="005675B2">
        <w:rPr>
          <w:bCs/>
          <w:rtl/>
          <w:lang w:val="uz-Latn-UZ"/>
        </w:rPr>
        <w:t>يوم يُكشف عن ساق</w:t>
      </w:r>
      <w:r w:rsidR="000636C2">
        <w:rPr>
          <w:bCs/>
          <w:rtl/>
          <w:lang w:val="uz-Latn-UZ"/>
        </w:rPr>
        <w:t xml:space="preserve">) </w:t>
      </w:r>
      <w:r w:rsidRPr="005675B2">
        <w:rPr>
          <w:rtl/>
          <w:lang w:val="uz-Latn-UZ"/>
        </w:rPr>
        <w:t>قال الضحاك</w:t>
      </w:r>
      <w:r w:rsidR="000636C2">
        <w:rPr>
          <w:rtl/>
          <w:lang w:val="uz-Latn-UZ"/>
        </w:rPr>
        <w:t>:</w:t>
      </w:r>
      <w:r w:rsidRPr="005675B2">
        <w:rPr>
          <w:rtl/>
          <w:lang w:val="uz-Latn-UZ"/>
        </w:rPr>
        <w:t xml:space="preserve"> هو أمر شديد، وقال قتادة</w:t>
      </w:r>
      <w:r w:rsidR="000636C2">
        <w:rPr>
          <w:rtl/>
          <w:lang w:val="uz-Latn-UZ"/>
        </w:rPr>
        <w:t>:</w:t>
      </w:r>
      <w:r w:rsidRPr="005675B2">
        <w:rPr>
          <w:rtl/>
          <w:lang w:val="uz-Latn-UZ"/>
        </w:rPr>
        <w:t xml:space="preserve"> أمر فظيع وشدّة الأمر، وقال سعيد</w:t>
      </w:r>
      <w:r w:rsidR="000636C2">
        <w:rPr>
          <w:rtl/>
          <w:lang w:val="uz-Latn-UZ"/>
        </w:rPr>
        <w:t>:</w:t>
      </w:r>
      <w:r w:rsidRPr="005675B2">
        <w:rPr>
          <w:rtl/>
          <w:lang w:val="uz-Latn-UZ"/>
        </w:rPr>
        <w:t xml:space="preserve"> شدة الأمر</w:t>
      </w:r>
      <w:r w:rsidR="000636C2">
        <w:rPr>
          <w:rtl/>
          <w:lang w:val="uz-Latn-UZ"/>
        </w:rPr>
        <w:t>،</w:t>
      </w:r>
      <w:r w:rsidRPr="005675B2">
        <w:rPr>
          <w:rtl/>
          <w:lang w:val="uz-Latn-UZ"/>
        </w:rPr>
        <w:t xml:space="preserve"> وقال الإمام الطبري قبل هذا بأسطر</w:t>
      </w:r>
      <w:r w:rsidR="000636C2">
        <w:rPr>
          <w:rtl/>
          <w:lang w:val="uz-Latn-UZ"/>
        </w:rPr>
        <w:t>:</w:t>
      </w:r>
      <w:r w:rsidRPr="005675B2">
        <w:rPr>
          <w:rtl/>
          <w:lang w:val="uz-Latn-UZ"/>
        </w:rPr>
        <w:t xml:space="preserve"> </w:t>
      </w:r>
      <w:r w:rsidR="000636C2">
        <w:rPr>
          <w:rtl/>
          <w:lang w:val="uz-Latn-UZ"/>
        </w:rPr>
        <w:t>(</w:t>
      </w:r>
      <w:r w:rsidRPr="005675B2">
        <w:rPr>
          <w:rtl/>
          <w:lang w:val="uz-Latn-UZ"/>
        </w:rPr>
        <w:t>قال جماعة من الصحابة والتابعين من أهل التأويل</w:t>
      </w:r>
      <w:r w:rsidR="000636C2">
        <w:rPr>
          <w:rtl/>
          <w:lang w:val="uz-Latn-UZ"/>
        </w:rPr>
        <w:t>:</w:t>
      </w:r>
      <w:r w:rsidRPr="005675B2">
        <w:rPr>
          <w:rtl/>
          <w:lang w:val="uz-Latn-UZ"/>
        </w:rPr>
        <w:t xml:space="preserve"> يبدو عن أمر شديد</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w:t>
      </w:r>
      <w:r w:rsidRPr="005675B2">
        <w:rPr>
          <w:bCs/>
          <w:rtl/>
          <w:lang w:val="uz-Latn-UZ"/>
        </w:rPr>
        <w:t>تأويل سفيان الثوري وابن جرير الطبري للاستواء</w:t>
      </w:r>
      <w:r w:rsidR="000636C2">
        <w:rPr>
          <w:bCs/>
          <w:rtl/>
          <w:lang w:val="uz-Latn-UZ" w:bidi="ar-KW"/>
        </w:rPr>
        <w:t>:</w:t>
      </w:r>
      <w:r w:rsidRPr="005675B2">
        <w:rPr>
          <w:rFonts w:hint="cs"/>
          <w:bCs/>
          <w:rtl/>
          <w:lang w:val="uz-Latn-UZ" w:bidi="ar-KW"/>
        </w:rPr>
        <w:t xml:space="preserve"> </w:t>
      </w:r>
      <w:r w:rsidRPr="005675B2">
        <w:rPr>
          <w:rtl/>
          <w:lang w:val="uz-Latn-UZ"/>
        </w:rPr>
        <w:t xml:space="preserve">قال الإمام الطبري </w:t>
      </w:r>
      <w:r w:rsidR="000636C2">
        <w:rPr>
          <w:rtl/>
          <w:lang w:val="uz-Latn-UZ"/>
        </w:rPr>
        <w:t>(</w:t>
      </w:r>
      <w:r w:rsidRPr="005675B2">
        <w:rPr>
          <w:rtl/>
          <w:lang w:val="uz-Latn-UZ"/>
        </w:rPr>
        <w:t>1 / 192</w:t>
      </w:r>
      <w:r w:rsidR="000636C2">
        <w:rPr>
          <w:rtl/>
          <w:lang w:val="uz-Latn-UZ"/>
        </w:rPr>
        <w:t>)</w:t>
      </w:r>
      <w:r w:rsidRPr="005675B2">
        <w:rPr>
          <w:rtl/>
          <w:lang w:val="uz-Latn-UZ" w:bidi="ar-KW"/>
        </w:rPr>
        <w:t xml:space="preserve"> في تفسير </w:t>
      </w:r>
      <w:r w:rsidRPr="005675B2">
        <w:rPr>
          <w:rtl/>
          <w:lang w:val="uz-Latn-UZ"/>
        </w:rPr>
        <w:t xml:space="preserve">قوله تعلى </w:t>
      </w:r>
      <w:r w:rsidR="000636C2">
        <w:rPr>
          <w:bCs/>
          <w:rtl/>
          <w:lang w:val="uz-Latn-UZ"/>
        </w:rPr>
        <w:t>(</w:t>
      </w:r>
      <w:r w:rsidRPr="005675B2">
        <w:rPr>
          <w:bCs/>
          <w:rtl/>
          <w:lang w:val="uz-Latn-UZ"/>
        </w:rPr>
        <w:t>ثم استوي إلى السماء</w:t>
      </w:r>
      <w:r w:rsidR="000636C2">
        <w:rPr>
          <w:bCs/>
          <w:rtl/>
          <w:lang w:val="uz-Latn-UZ"/>
        </w:rPr>
        <w:t>)</w:t>
      </w:r>
      <w:r w:rsidRPr="005675B2">
        <w:rPr>
          <w:bCs/>
          <w:rtl/>
          <w:lang w:val="uz-Latn-UZ"/>
        </w:rPr>
        <w:t xml:space="preserve"> </w:t>
      </w:r>
      <w:r w:rsidRPr="005675B2">
        <w:rPr>
          <w:rtl/>
          <w:lang w:val="uz-Latn-UZ"/>
        </w:rPr>
        <w:t>بعد أن ذكر معاني الاستواء في اللغة، ما نصّه</w:t>
      </w:r>
      <w:r w:rsidR="000636C2">
        <w:rPr>
          <w:rtl/>
          <w:lang w:val="uz-Latn-UZ"/>
        </w:rPr>
        <w:t>:</w:t>
      </w:r>
      <w:r w:rsidRPr="005675B2">
        <w:rPr>
          <w:rtl/>
          <w:lang w:val="uz-Latn-UZ"/>
        </w:rPr>
        <w:t xml:space="preserve"> </w:t>
      </w:r>
      <w:r w:rsidR="000636C2">
        <w:rPr>
          <w:rtl/>
          <w:lang w:val="uz-Latn-UZ"/>
        </w:rPr>
        <w:t>(</w:t>
      </w:r>
      <w:r w:rsidRPr="005675B2">
        <w:rPr>
          <w:rtl/>
          <w:lang w:val="uz-Latn-UZ"/>
        </w:rPr>
        <w:t>علا عليهن وارتفع، فدبرهن بقدرته ..</w:t>
      </w:r>
      <w:r w:rsidR="000636C2">
        <w:rPr>
          <w:rtl/>
          <w:lang w:val="uz-Latn-UZ"/>
        </w:rPr>
        <w:t>،</w:t>
      </w:r>
      <w:r w:rsidRPr="005675B2">
        <w:rPr>
          <w:rtl/>
          <w:lang w:val="uz-Latn-UZ"/>
        </w:rPr>
        <w:t xml:space="preserve"> علا عليها علو ملك وسلطان، لا علو انتقال وزوال</w:t>
      </w:r>
      <w:r w:rsidR="000636C2">
        <w:rPr>
          <w:rtl/>
          <w:lang w:val="uz-Latn-UZ"/>
        </w:rPr>
        <w:t>)</w:t>
      </w:r>
      <w:r w:rsidR="000636C2">
        <w:rPr>
          <w:rFonts w:hint="cs"/>
          <w:rtl/>
          <w:lang w:val="uz-Latn-UZ"/>
        </w:rPr>
        <w:t>،</w:t>
      </w:r>
      <w:r w:rsidRPr="005675B2">
        <w:rPr>
          <w:rFonts w:hint="cs"/>
          <w:rtl/>
          <w:lang w:val="uz-Latn-UZ"/>
        </w:rPr>
        <w:t xml:space="preserve"> </w:t>
      </w:r>
      <w:r w:rsidRPr="005675B2">
        <w:rPr>
          <w:rtl/>
          <w:lang w:val="uz-Latn-UZ"/>
        </w:rPr>
        <w:t>وأوّل سفيان الثوري الاستواء على العرش</w:t>
      </w:r>
      <w:r w:rsidR="000636C2">
        <w:rPr>
          <w:rtl/>
          <w:lang w:val="uz-Latn-UZ"/>
        </w:rPr>
        <w:t>:</w:t>
      </w:r>
      <w:r w:rsidRPr="005675B2">
        <w:rPr>
          <w:rtl/>
          <w:lang w:val="uz-Latn-UZ"/>
        </w:rPr>
        <w:t xml:space="preserve"> بقصد أمره، والاستواء إلى السماء</w:t>
      </w:r>
      <w:r w:rsidR="000636C2">
        <w:rPr>
          <w:rtl/>
          <w:lang w:val="uz-Latn-UZ"/>
        </w:rPr>
        <w:t>:</w:t>
      </w:r>
      <w:r w:rsidRPr="005675B2">
        <w:rPr>
          <w:rtl/>
          <w:lang w:val="uz-Latn-UZ"/>
        </w:rPr>
        <w:t xml:space="preserve"> بالقصد إليها </w:t>
      </w:r>
      <w:r w:rsidR="000636C2">
        <w:rPr>
          <w:rtl/>
          <w:lang w:val="uz-Latn-UZ"/>
        </w:rPr>
        <w:t>(</w:t>
      </w:r>
      <w:r w:rsidRPr="005675B2">
        <w:rPr>
          <w:rtl/>
          <w:lang w:val="uz-Latn-UZ"/>
        </w:rPr>
        <w:t>مرقاة المفاتيح 2 / 137</w:t>
      </w:r>
      <w:r w:rsidR="000636C2">
        <w:rPr>
          <w:rtl/>
          <w:lang w:val="uz-Latn-UZ"/>
        </w:rPr>
        <w:t>)،</w:t>
      </w:r>
      <w:r w:rsidRPr="005675B2">
        <w:rPr>
          <w:rtl/>
          <w:lang w:val="uz-Latn-UZ"/>
        </w:rPr>
        <w:t xml:space="preserve"> </w:t>
      </w:r>
      <w:r w:rsidRPr="005675B2">
        <w:rPr>
          <w:bCs/>
          <w:rtl/>
          <w:lang w:val="uz-Latn-UZ"/>
        </w:rPr>
        <w:t>تأويل مجاهد والضحاك وأبي عبيد</w:t>
      </w:r>
      <w:r w:rsidRPr="005675B2">
        <w:rPr>
          <w:bCs/>
          <w:rtl/>
          <w:lang w:val="uz-Latn-UZ" w:bidi="ar-KW"/>
        </w:rPr>
        <w:t>ة</w:t>
      </w:r>
      <w:r w:rsidRPr="005675B2">
        <w:rPr>
          <w:bCs/>
          <w:rtl/>
          <w:lang w:val="uz-Latn-UZ"/>
        </w:rPr>
        <w:t xml:space="preserve"> للفظ </w:t>
      </w:r>
      <w:r w:rsidR="000636C2">
        <w:rPr>
          <w:bCs/>
          <w:rtl/>
          <w:lang w:val="uz-Latn-UZ"/>
        </w:rPr>
        <w:t>(</w:t>
      </w:r>
      <w:r w:rsidRPr="005675B2">
        <w:rPr>
          <w:bCs/>
          <w:rtl/>
          <w:lang w:val="uz-Latn-UZ"/>
        </w:rPr>
        <w:t>الوجه</w:t>
      </w:r>
      <w:r w:rsidR="000636C2">
        <w:rPr>
          <w:bCs/>
          <w:rtl/>
          <w:lang w:val="uz-Latn-UZ" w:bidi="ar-KW"/>
        </w:rPr>
        <w:t>):</w:t>
      </w:r>
      <w:r w:rsidRPr="005675B2">
        <w:rPr>
          <w:rFonts w:hint="cs"/>
          <w:bCs/>
          <w:rtl/>
          <w:lang w:val="uz-Latn-UZ" w:bidi="ar-KW"/>
        </w:rPr>
        <w:t xml:space="preserve"> </w:t>
      </w:r>
      <w:r w:rsidRPr="005675B2">
        <w:rPr>
          <w:rtl/>
          <w:lang w:val="uz-Latn-UZ"/>
        </w:rPr>
        <w:t xml:space="preserve">قال تعالى </w:t>
      </w:r>
      <w:r w:rsidR="000636C2">
        <w:rPr>
          <w:bCs/>
          <w:rtl/>
          <w:lang w:val="uz-Latn-UZ"/>
        </w:rPr>
        <w:t>(</w:t>
      </w:r>
      <w:r w:rsidRPr="005675B2">
        <w:rPr>
          <w:bCs/>
          <w:rtl/>
          <w:lang w:val="uz-Latn-UZ"/>
        </w:rPr>
        <w:t>فأينما تولُّوا فثم وجه الله</w:t>
      </w:r>
      <w:r w:rsidR="000636C2">
        <w:rPr>
          <w:bCs/>
          <w:rtl/>
          <w:lang w:val="uz-Latn-UZ"/>
        </w:rPr>
        <w:t xml:space="preserve">) </w:t>
      </w:r>
      <w:r w:rsidRPr="005675B2">
        <w:rPr>
          <w:rtl/>
          <w:lang w:val="uz-Latn-UZ"/>
        </w:rPr>
        <w:t>قال مجاهد رحمه الله</w:t>
      </w:r>
      <w:r w:rsidR="000636C2">
        <w:rPr>
          <w:rtl/>
          <w:lang w:val="uz-Latn-UZ"/>
        </w:rPr>
        <w:t>:</w:t>
      </w:r>
      <w:r w:rsidRPr="005675B2">
        <w:rPr>
          <w:rtl/>
          <w:lang w:val="uz-Latn-UZ"/>
        </w:rPr>
        <w:t xml:space="preserve"> قبلة الله</w:t>
      </w:r>
      <w:r w:rsidR="000636C2">
        <w:rPr>
          <w:rtl/>
          <w:lang w:val="uz-Latn-UZ"/>
        </w:rPr>
        <w:t>،</w:t>
      </w:r>
      <w:r w:rsidRPr="005675B2">
        <w:rPr>
          <w:rtl/>
          <w:lang w:val="uz-Latn-UZ"/>
        </w:rPr>
        <w:t xml:space="preserve"> </w:t>
      </w:r>
      <w:r w:rsidR="000636C2">
        <w:rPr>
          <w:rtl/>
          <w:lang w:val="uz-Latn-UZ"/>
        </w:rPr>
        <w:t>(</w:t>
      </w:r>
      <w:r w:rsidRPr="005675B2">
        <w:rPr>
          <w:rtl/>
          <w:lang w:val="uz-Latn-UZ"/>
        </w:rPr>
        <w:t>الطبري 1 / 402، الأسماء والصفات للبيهقي ص/309، وصححه ابن تيمية عنهما كما في العقود الدرية ص/247ـ248</w:t>
      </w:r>
      <w:r w:rsidR="000636C2">
        <w:rPr>
          <w:rtl/>
          <w:lang w:val="uz-Latn-UZ"/>
        </w:rPr>
        <w:t>)</w:t>
      </w:r>
      <w:r w:rsidR="000636C2">
        <w:rPr>
          <w:rFonts w:hint="cs"/>
          <w:rtl/>
          <w:lang w:val="uz-Latn-UZ"/>
        </w:rPr>
        <w:t>،</w:t>
      </w:r>
      <w:r w:rsidRPr="005675B2">
        <w:rPr>
          <w:rFonts w:hint="cs"/>
          <w:rtl/>
          <w:lang w:val="uz-Latn-UZ"/>
        </w:rPr>
        <w:t xml:space="preserve"> </w:t>
      </w:r>
      <w:r w:rsidRPr="005675B2">
        <w:rPr>
          <w:rtl/>
          <w:lang w:val="uz-Latn-UZ"/>
        </w:rPr>
        <w:t>وقال الضحاك وأبو عبيدة في قوله تعالى</w:t>
      </w:r>
      <w:r w:rsidR="000636C2">
        <w:rPr>
          <w:rtl/>
          <w:lang w:val="uz-Latn-UZ"/>
        </w:rPr>
        <w:t xml:space="preserve"> </w:t>
      </w:r>
      <w:r w:rsidR="000636C2">
        <w:rPr>
          <w:bCs/>
          <w:rtl/>
          <w:lang w:val="uz-Latn-UZ"/>
        </w:rPr>
        <w:t>(</w:t>
      </w:r>
      <w:r w:rsidRPr="005675B2">
        <w:rPr>
          <w:bCs/>
          <w:rtl/>
          <w:lang w:val="uz-Latn-UZ"/>
        </w:rPr>
        <w:t>كلُّ شـئ هالك إلا وحهه</w:t>
      </w:r>
      <w:r w:rsidR="000636C2">
        <w:rPr>
          <w:bCs/>
          <w:rtl/>
          <w:lang w:val="uz-Latn-UZ"/>
        </w:rPr>
        <w:t>):</w:t>
      </w:r>
      <w:r w:rsidRPr="005675B2">
        <w:rPr>
          <w:rtl/>
          <w:lang w:val="uz-Latn-UZ"/>
        </w:rPr>
        <w:t xml:space="preserve"> أي إلا هو </w:t>
      </w:r>
      <w:r w:rsidR="000636C2">
        <w:rPr>
          <w:rtl/>
          <w:lang w:val="uz-Latn-UZ"/>
        </w:rPr>
        <w:t>(</w:t>
      </w:r>
      <w:r w:rsidRPr="005675B2">
        <w:rPr>
          <w:rtl/>
          <w:lang w:val="uz-Latn-UZ"/>
        </w:rPr>
        <w:t>دفع شبه التشبيه ص / 113</w:t>
      </w:r>
      <w:r w:rsidR="000636C2">
        <w:rPr>
          <w:rtl/>
          <w:lang w:val="uz-Latn-UZ"/>
        </w:rPr>
        <w:t xml:space="preserve">)، </w:t>
      </w:r>
      <w:r w:rsidRPr="005675B2">
        <w:rPr>
          <w:bCs/>
          <w:rtl/>
          <w:lang w:val="uz-Latn-UZ" w:bidi="ar-KW"/>
        </w:rPr>
        <w:t xml:space="preserve">تأويل الإمام الشافعي رضي الله عنه للفظ </w:t>
      </w:r>
      <w:r w:rsidR="000636C2">
        <w:rPr>
          <w:bCs/>
          <w:rtl/>
          <w:lang w:val="uz-Latn-UZ" w:bidi="ar-KW"/>
        </w:rPr>
        <w:t>(</w:t>
      </w:r>
      <w:r w:rsidRPr="005675B2">
        <w:rPr>
          <w:bCs/>
          <w:rtl/>
          <w:lang w:val="uz-Latn-UZ" w:bidi="ar-KW"/>
        </w:rPr>
        <w:t>الوجه</w:t>
      </w:r>
      <w:r w:rsidR="000636C2">
        <w:rPr>
          <w:bCs/>
          <w:rtl/>
          <w:lang w:val="uz-Latn-UZ" w:bidi="ar-KW"/>
        </w:rPr>
        <w:t>):</w:t>
      </w:r>
      <w:r w:rsidRPr="005675B2">
        <w:rPr>
          <w:rFonts w:hint="cs"/>
          <w:bCs/>
          <w:rtl/>
          <w:lang w:val="uz-Latn-UZ" w:bidi="ar-KW"/>
        </w:rPr>
        <w:t xml:space="preserve"> </w:t>
      </w:r>
      <w:r w:rsidRPr="005675B2">
        <w:rPr>
          <w:rtl/>
          <w:lang w:val="uz-Latn-UZ" w:bidi="ar-KW"/>
        </w:rPr>
        <w:t xml:space="preserve">حكى المزني عن الشافعي في قوله تعالى </w:t>
      </w:r>
      <w:r w:rsidR="000636C2">
        <w:rPr>
          <w:bCs/>
          <w:rtl/>
          <w:lang w:val="uz-Latn-UZ" w:bidi="ar-KW"/>
        </w:rPr>
        <w:t>(</w:t>
      </w:r>
      <w:r w:rsidRPr="005675B2">
        <w:rPr>
          <w:bCs/>
          <w:rtl/>
          <w:lang w:val="uz-Latn-UZ" w:bidi="ar-KW"/>
        </w:rPr>
        <w:t>فثم وجه الله</w:t>
      </w:r>
      <w:r w:rsidR="000636C2">
        <w:rPr>
          <w:bCs/>
          <w:rtl/>
          <w:lang w:val="uz-Latn-UZ" w:bidi="ar-KW"/>
        </w:rPr>
        <w:t>)</w:t>
      </w:r>
      <w:r w:rsidRPr="005675B2">
        <w:rPr>
          <w:rtl/>
          <w:lang w:val="uz-Latn-UZ" w:bidi="ar-KW"/>
        </w:rPr>
        <w:t xml:space="preserve"> قال</w:t>
      </w:r>
      <w:r w:rsidR="000636C2">
        <w:rPr>
          <w:rtl/>
          <w:lang w:val="uz-Latn-UZ" w:bidi="ar-KW"/>
        </w:rPr>
        <w:t>:</w:t>
      </w:r>
      <w:r w:rsidRPr="005675B2">
        <w:rPr>
          <w:rtl/>
          <w:lang w:val="uz-Latn-UZ" w:bidi="ar-KW"/>
        </w:rPr>
        <w:t xml:space="preserve"> يعني والله أعلم فثم الوجه الذي وجهكم الله إليه</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الأسماء والصفات للبيهقي ص/309</w:t>
      </w:r>
      <w:r w:rsidR="000636C2">
        <w:rPr>
          <w:rtl/>
          <w:lang w:val="uz-Latn-UZ" w:bidi="ar-KW"/>
        </w:rPr>
        <w:t xml:space="preserve">)، </w:t>
      </w:r>
      <w:r w:rsidRPr="005675B2">
        <w:rPr>
          <w:bCs/>
          <w:rtl/>
          <w:lang w:val="uz-Latn-UZ"/>
        </w:rPr>
        <w:t xml:space="preserve">تأويل الإمام الطبري للفظ </w:t>
      </w:r>
      <w:r w:rsidR="000636C2">
        <w:rPr>
          <w:bCs/>
          <w:rtl/>
          <w:lang w:val="uz-Latn-UZ"/>
        </w:rPr>
        <w:t>(</w:t>
      </w:r>
      <w:r w:rsidRPr="005675B2">
        <w:rPr>
          <w:bCs/>
          <w:rtl/>
          <w:lang w:val="uz-Latn-UZ"/>
        </w:rPr>
        <w:t>العين</w:t>
      </w:r>
      <w:r w:rsidR="000636C2">
        <w:rPr>
          <w:bCs/>
          <w:rtl/>
          <w:lang w:val="uz-Latn-UZ" w:bidi="ar-KW"/>
        </w:rPr>
        <w:t>)</w:t>
      </w:r>
      <w:r w:rsidR="000636C2">
        <w:rPr>
          <w:rtl/>
          <w:lang w:val="uz-Latn-UZ"/>
        </w:rPr>
        <w:t>:</w:t>
      </w:r>
      <w:r w:rsidRPr="005675B2">
        <w:rPr>
          <w:rFonts w:hint="cs"/>
          <w:rtl/>
          <w:lang w:val="uz-Latn-UZ"/>
        </w:rPr>
        <w:t xml:space="preserve"> </w:t>
      </w:r>
      <w:r w:rsidRPr="005675B2">
        <w:rPr>
          <w:rtl/>
          <w:lang w:val="uz-Latn-UZ"/>
        </w:rPr>
        <w:t xml:space="preserve">قال رحمه الله في تفسير قوله تعالى </w:t>
      </w:r>
      <w:r w:rsidR="000636C2">
        <w:rPr>
          <w:bCs/>
          <w:rtl/>
          <w:lang w:val="uz-Latn-UZ"/>
        </w:rPr>
        <w:t>(</w:t>
      </w:r>
      <w:r w:rsidRPr="005675B2">
        <w:rPr>
          <w:bCs/>
          <w:rtl/>
          <w:lang w:val="uz-Latn-UZ"/>
        </w:rPr>
        <w:t>ولتصنع على عيني</w:t>
      </w:r>
      <w:r w:rsidR="000636C2">
        <w:rPr>
          <w:bCs/>
          <w:rtl/>
          <w:lang w:val="uz-Latn-UZ"/>
        </w:rPr>
        <w:t>)</w:t>
      </w:r>
      <w:r w:rsidRPr="005675B2">
        <w:rPr>
          <w:bCs/>
          <w:rtl/>
          <w:lang w:val="uz-Latn-UZ"/>
        </w:rPr>
        <w:t xml:space="preserve"> </w:t>
      </w:r>
      <w:r w:rsidRPr="005675B2">
        <w:rPr>
          <w:rtl/>
          <w:lang w:val="uz-Latn-UZ"/>
        </w:rPr>
        <w:t xml:space="preserve">بمرأى مني ومحبة وإرادة </w:t>
      </w:r>
      <w:r w:rsidR="000636C2">
        <w:rPr>
          <w:rtl/>
          <w:lang w:val="uz-Latn-UZ"/>
        </w:rPr>
        <w:t>(</w:t>
      </w:r>
      <w:r w:rsidRPr="005675B2">
        <w:rPr>
          <w:rtl/>
          <w:lang w:val="uz-Latn-UZ"/>
        </w:rPr>
        <w:t>16 / 123</w:t>
      </w:r>
      <w:r w:rsidR="000636C2">
        <w:rPr>
          <w:rtl/>
          <w:lang w:val="uz-Latn-UZ"/>
        </w:rPr>
        <w:t>)</w:t>
      </w:r>
      <w:r w:rsidR="000636C2">
        <w:rPr>
          <w:rtl/>
          <w:lang w:val="uz-Latn-UZ" w:bidi="ar-KW"/>
        </w:rPr>
        <w:t>،</w:t>
      </w:r>
      <w:r w:rsidRPr="005675B2">
        <w:rPr>
          <w:rtl/>
          <w:lang w:val="uz-Latn-UZ" w:bidi="ar-KW"/>
        </w:rPr>
        <w:t xml:space="preserve"> </w:t>
      </w:r>
      <w:r w:rsidRPr="005675B2">
        <w:rPr>
          <w:bCs/>
          <w:rtl/>
          <w:lang w:val="uz-Latn-UZ"/>
        </w:rPr>
        <w:t>تأويل الإمام مالك ب</w:t>
      </w:r>
      <w:r w:rsidRPr="005675B2">
        <w:rPr>
          <w:bCs/>
          <w:rtl/>
          <w:lang w:val="uz-Latn-UZ" w:bidi="ar-KW"/>
        </w:rPr>
        <w:t>ن</w:t>
      </w:r>
      <w:r w:rsidRPr="005675B2">
        <w:rPr>
          <w:bCs/>
          <w:rtl/>
          <w:lang w:val="uz-Latn-UZ"/>
        </w:rPr>
        <w:t xml:space="preserve"> أنس رضي الله عنه لحديث النزول</w:t>
      </w:r>
      <w:r w:rsidR="000636C2">
        <w:rPr>
          <w:bCs/>
          <w:rtl/>
          <w:lang w:val="uz-Latn-UZ" w:bidi="ar-KW"/>
        </w:rPr>
        <w:t>:</w:t>
      </w:r>
      <w:r w:rsidRPr="005675B2">
        <w:rPr>
          <w:rFonts w:hint="cs"/>
          <w:bCs/>
          <w:rtl/>
          <w:lang w:val="uz-Latn-UZ" w:bidi="ar-KW"/>
        </w:rPr>
        <w:t xml:space="preserve"> </w:t>
      </w:r>
      <w:r w:rsidRPr="005675B2">
        <w:rPr>
          <w:rtl/>
          <w:lang w:val="uz-Latn-UZ"/>
        </w:rPr>
        <w:t xml:space="preserve">سئل الإمام مالك - رحمه الله - عن نزول الرب عزّ وجلّ، فقال </w:t>
      </w:r>
      <w:r w:rsidR="000636C2">
        <w:rPr>
          <w:rtl/>
          <w:lang w:val="uz-Latn-UZ"/>
        </w:rPr>
        <w:t>(</w:t>
      </w:r>
      <w:r w:rsidRPr="005675B2">
        <w:rPr>
          <w:rtl/>
          <w:lang w:val="uz-Latn-UZ"/>
        </w:rPr>
        <w:t>ينزل أمره - تعالى - كل سَحَر، فأما هو عزّ وجلّ فإنه دائم لا يزول ولا ينتقل سبحانه لا إله إلى هو</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w:t>
      </w:r>
      <w:r w:rsidR="000636C2">
        <w:rPr>
          <w:rtl/>
          <w:lang w:val="uz-Latn-UZ"/>
        </w:rPr>
        <w:t>(</w:t>
      </w:r>
      <w:r w:rsidRPr="005675B2">
        <w:rPr>
          <w:rtl/>
          <w:lang w:val="uz-Latn-UZ"/>
        </w:rPr>
        <w:t>التمهيد 7 / 143، سير أعلام النبلاء 8 / 105، الرسالة الوافية لأبي عمرو الداني ص/136، شرح النووي على صحيح مسلم 6 / 37، الإنصاف لابن السيد البطليوسي ص / 82</w:t>
      </w:r>
      <w:r w:rsidR="000636C2">
        <w:rPr>
          <w:rtl/>
          <w:lang w:val="uz-Latn-UZ"/>
        </w:rPr>
        <w:t>)،</w:t>
      </w:r>
      <w:r w:rsidRPr="005675B2">
        <w:rPr>
          <w:rtl/>
          <w:lang w:val="uz-Latn-UZ"/>
        </w:rPr>
        <w:t xml:space="preserve"> </w:t>
      </w:r>
      <w:r w:rsidRPr="005675B2">
        <w:rPr>
          <w:bCs/>
          <w:rtl/>
          <w:lang w:val="uz-Latn-UZ"/>
        </w:rPr>
        <w:t>تأويل الإمام أحم</w:t>
      </w:r>
      <w:r w:rsidRPr="005675B2">
        <w:rPr>
          <w:bCs/>
          <w:rtl/>
          <w:lang w:val="uz-Latn-UZ" w:bidi="ar-KW"/>
        </w:rPr>
        <w:t>د</w:t>
      </w:r>
      <w:r w:rsidRPr="005675B2">
        <w:rPr>
          <w:bCs/>
          <w:rtl/>
          <w:lang w:val="uz-Latn-UZ"/>
        </w:rPr>
        <w:t xml:space="preserve"> رضي الله عنه مجيء الله تعالى</w:t>
      </w:r>
      <w:r w:rsidR="000636C2">
        <w:rPr>
          <w:rtl/>
          <w:lang w:val="uz-Latn-UZ" w:bidi="ar-KW"/>
        </w:rPr>
        <w:t>:</w:t>
      </w:r>
      <w:r w:rsidRPr="005675B2">
        <w:rPr>
          <w:rFonts w:hint="cs"/>
          <w:rtl/>
          <w:lang w:val="uz-Latn-UZ" w:bidi="ar-KW"/>
        </w:rPr>
        <w:t xml:space="preserve"> </w:t>
      </w:r>
      <w:r w:rsidRPr="005675B2">
        <w:rPr>
          <w:rtl/>
          <w:lang w:val="uz-Latn-UZ"/>
        </w:rPr>
        <w:t xml:space="preserve">جاء في كتاب البداية والنهاية للإمام الحافظ ابن كثير رحمه الله تعالى </w:t>
      </w:r>
      <w:r w:rsidR="000636C2">
        <w:rPr>
          <w:rtl/>
          <w:lang w:val="uz-Latn-UZ"/>
        </w:rPr>
        <w:t>(</w:t>
      </w:r>
      <w:r w:rsidRPr="005675B2">
        <w:rPr>
          <w:rtl/>
          <w:lang w:val="uz-Latn-UZ"/>
        </w:rPr>
        <w:t>10 / 361</w:t>
      </w:r>
      <w:r w:rsidR="000636C2">
        <w:rPr>
          <w:rtl/>
          <w:lang w:val="uz-Latn-UZ"/>
        </w:rPr>
        <w:t>)</w:t>
      </w:r>
      <w:r w:rsidRPr="005675B2">
        <w:rPr>
          <w:rtl/>
          <w:lang w:val="uz-Latn-UZ"/>
        </w:rPr>
        <w:t xml:space="preserve"> ما نصّه</w:t>
      </w:r>
      <w:r w:rsidR="000636C2">
        <w:rPr>
          <w:rtl/>
          <w:lang w:val="uz-Latn-UZ"/>
        </w:rPr>
        <w:t>:</w:t>
      </w:r>
      <w:r w:rsidRPr="005675B2">
        <w:rPr>
          <w:rFonts w:hint="cs"/>
          <w:rtl/>
          <w:lang w:val="uz-Latn-UZ"/>
        </w:rPr>
        <w:t xml:space="preserve"> </w:t>
      </w:r>
      <w:r w:rsidR="000636C2">
        <w:rPr>
          <w:rtl/>
          <w:lang w:val="uz-Latn-UZ" w:bidi="ar-KW"/>
        </w:rPr>
        <w:t>(</w:t>
      </w:r>
      <w:r w:rsidRPr="005675B2">
        <w:rPr>
          <w:rtl/>
          <w:lang w:val="uz-Latn-UZ" w:bidi="ar-KW"/>
        </w:rPr>
        <w:t xml:space="preserve">روى البيهقي عن الحاكم عن عمرو بن السماك عن حنبل أن أحمد بن حنبل تأوّل قول الله تعالى </w:t>
      </w:r>
      <w:r w:rsidR="000636C2">
        <w:rPr>
          <w:bCs/>
          <w:rtl/>
          <w:lang w:val="uz-Latn-UZ" w:bidi="ar-KW"/>
        </w:rPr>
        <w:t>(</w:t>
      </w:r>
      <w:r w:rsidRPr="005675B2">
        <w:rPr>
          <w:bCs/>
          <w:rtl/>
          <w:lang w:val="uz-Latn-UZ" w:bidi="ar-KW"/>
        </w:rPr>
        <w:t>وجاء ربك</w:t>
      </w:r>
      <w:r w:rsidR="000636C2">
        <w:rPr>
          <w:bCs/>
          <w:rtl/>
          <w:lang w:val="uz-Latn-UZ" w:bidi="ar-KW"/>
        </w:rPr>
        <w:t>)</w:t>
      </w:r>
      <w:r w:rsidRPr="005675B2">
        <w:rPr>
          <w:bCs/>
          <w:rtl/>
          <w:lang w:val="uz-Latn-UZ" w:bidi="ar-KW"/>
        </w:rPr>
        <w:t xml:space="preserve"> </w:t>
      </w:r>
      <w:r w:rsidRPr="005675B2">
        <w:rPr>
          <w:rtl/>
          <w:lang w:val="uz-Latn-UZ" w:bidi="ar-KW"/>
        </w:rPr>
        <w:t>أنه جاء ثوابه</w:t>
      </w:r>
      <w:r w:rsidR="000636C2">
        <w:rPr>
          <w:rtl/>
          <w:lang w:val="uz-Latn-UZ" w:bidi="ar-KW"/>
        </w:rPr>
        <w:t>،</w:t>
      </w:r>
      <w:r w:rsidRPr="005675B2">
        <w:rPr>
          <w:rtl/>
          <w:lang w:val="uz-Latn-UZ" w:bidi="ar-KW"/>
        </w:rPr>
        <w:t xml:space="preserve"> ثم قال البيهقي</w:t>
      </w:r>
      <w:r w:rsidR="000636C2">
        <w:rPr>
          <w:rtl/>
          <w:lang w:val="uz-Latn-UZ" w:bidi="ar-KW"/>
        </w:rPr>
        <w:t>:</w:t>
      </w:r>
      <w:r w:rsidRPr="005675B2">
        <w:rPr>
          <w:rtl/>
          <w:lang w:val="uz-Latn-UZ" w:bidi="ar-KW"/>
        </w:rPr>
        <w:t xml:space="preserve"> وهذا إسناد لا غبار عليه</w:t>
      </w:r>
      <w:r w:rsidR="000636C2">
        <w:rPr>
          <w:rtl/>
          <w:lang w:val="uz-Latn-UZ" w:bidi="ar-KW"/>
        </w:rPr>
        <w:t>)</w:t>
      </w:r>
      <w:r w:rsidRPr="005675B2">
        <w:rPr>
          <w:rtl/>
          <w:lang w:val="uz-Latn-UZ" w:bidi="ar-KW"/>
        </w:rPr>
        <w:t xml:space="preserve"> اهـ</w:t>
      </w:r>
      <w:r w:rsidR="000636C2">
        <w:rPr>
          <w:rtl/>
          <w:lang w:val="uz-Latn-UZ" w:bidi="ar-KW"/>
        </w:rPr>
        <w:t xml:space="preserve">، </w:t>
      </w:r>
      <w:r w:rsidRPr="005675B2">
        <w:rPr>
          <w:rtl/>
          <w:lang w:val="uz-Latn-UZ" w:bidi="ar-KW"/>
        </w:rPr>
        <w:t>ونقل الحافظ ابن الجوزي عن القاضي أبي يعلى عن الإمام أحمد في قولـه تعالـى</w:t>
      </w:r>
      <w:r w:rsidR="000636C2">
        <w:rPr>
          <w:rtl/>
          <w:lang w:val="uz-Latn-UZ" w:bidi="ar-KW"/>
        </w:rPr>
        <w:t>:</w:t>
      </w:r>
      <w:r w:rsidRPr="005675B2">
        <w:rPr>
          <w:rtl/>
          <w:lang w:val="uz-Latn-UZ" w:bidi="ar-KW"/>
        </w:rPr>
        <w:t xml:space="preserve"> </w:t>
      </w:r>
      <w:r w:rsidR="000636C2">
        <w:rPr>
          <w:bCs/>
          <w:rtl/>
          <w:lang w:val="uz-Latn-UZ" w:bidi="ar-KW"/>
        </w:rPr>
        <w:t>(</w:t>
      </w:r>
      <w:r w:rsidRPr="005675B2">
        <w:rPr>
          <w:bCs/>
          <w:rtl/>
          <w:lang w:val="uz-Latn-UZ" w:bidi="ar-KW"/>
        </w:rPr>
        <w:t>هل ينظرون إلا أن يأتيهم الله في ظلل من الغمام</w:t>
      </w:r>
      <w:r w:rsidR="000636C2">
        <w:rPr>
          <w:bCs/>
          <w:rtl/>
          <w:lang w:val="uz-Latn-UZ" w:bidi="ar-KW"/>
        </w:rPr>
        <w:t>)</w:t>
      </w:r>
      <w:r w:rsidRPr="005675B2">
        <w:rPr>
          <w:bCs/>
          <w:rtl/>
          <w:lang w:val="uz-Latn-UZ" w:bidi="ar-KW"/>
        </w:rPr>
        <w:t xml:space="preserve"> أنه قال</w:t>
      </w:r>
      <w:r w:rsidR="000636C2">
        <w:rPr>
          <w:bCs/>
          <w:rtl/>
          <w:lang w:val="uz-Latn-UZ" w:bidi="ar-KW"/>
        </w:rPr>
        <w:t>:</w:t>
      </w:r>
      <w:r w:rsidRPr="005675B2">
        <w:rPr>
          <w:bCs/>
          <w:rtl/>
          <w:lang w:val="uz-Latn-UZ" w:bidi="ar-KW"/>
        </w:rPr>
        <w:t xml:space="preserve"> المراد به قدرته وأمره</w:t>
      </w:r>
      <w:r w:rsidR="000636C2">
        <w:rPr>
          <w:bCs/>
          <w:rtl/>
          <w:lang w:val="uz-Latn-UZ" w:bidi="ar-KW"/>
        </w:rPr>
        <w:t>،</w:t>
      </w:r>
      <w:r w:rsidRPr="005675B2">
        <w:rPr>
          <w:bCs/>
          <w:rtl/>
          <w:lang w:val="uz-Latn-UZ" w:bidi="ar-KW"/>
        </w:rPr>
        <w:t xml:space="preserve"> قال</w:t>
      </w:r>
      <w:r w:rsidR="000636C2">
        <w:rPr>
          <w:bCs/>
          <w:rtl/>
          <w:lang w:val="uz-Latn-UZ" w:bidi="ar-KW"/>
        </w:rPr>
        <w:t>:</w:t>
      </w:r>
      <w:r w:rsidRPr="005675B2">
        <w:rPr>
          <w:bCs/>
          <w:rtl/>
          <w:lang w:val="uz-Latn-UZ" w:bidi="ar-KW"/>
        </w:rPr>
        <w:t xml:space="preserve"> وقد بيّنه في قوله تعالى </w:t>
      </w:r>
      <w:r w:rsidR="000636C2">
        <w:rPr>
          <w:bCs/>
          <w:rtl/>
          <w:lang w:val="uz-Latn-UZ" w:bidi="ar-KW"/>
        </w:rPr>
        <w:t>(</w:t>
      </w:r>
      <w:r w:rsidRPr="005675B2">
        <w:rPr>
          <w:bCs/>
          <w:rtl/>
          <w:lang w:val="uz-Latn-UZ" w:bidi="ar-KW"/>
        </w:rPr>
        <w:t>أو يأتى أمر ربك</w:t>
      </w:r>
      <w:r w:rsidR="000636C2">
        <w:rPr>
          <w:bCs/>
          <w:rtl/>
          <w:lang w:val="uz-Latn-UZ" w:bidi="ar-KW"/>
        </w:rPr>
        <w:t>)</w:t>
      </w:r>
      <w:r w:rsidRPr="005675B2">
        <w:rPr>
          <w:bCs/>
          <w:rtl/>
          <w:lang w:val="uz-Latn-UZ" w:bidi="ar-KW"/>
        </w:rPr>
        <w:t xml:space="preserve"> </w:t>
      </w:r>
      <w:r w:rsidRPr="005675B2">
        <w:rPr>
          <w:rtl/>
          <w:lang w:val="uz-Latn-UZ" w:bidi="ar-KW"/>
        </w:rPr>
        <w:t xml:space="preserve">ومثل هذا في القرآن </w:t>
      </w:r>
      <w:r w:rsidR="000636C2">
        <w:rPr>
          <w:bCs/>
          <w:rtl/>
          <w:lang w:val="uz-Latn-UZ" w:bidi="ar-KW"/>
        </w:rPr>
        <w:t>(</w:t>
      </w:r>
      <w:r w:rsidRPr="005675B2">
        <w:rPr>
          <w:bCs/>
          <w:rtl/>
          <w:lang w:val="uz-Latn-UZ" w:bidi="ar-KW"/>
        </w:rPr>
        <w:t>وجاء ربك</w:t>
      </w:r>
      <w:r w:rsidR="000636C2">
        <w:rPr>
          <w:bCs/>
          <w:rtl/>
          <w:lang w:val="uz-Latn-UZ" w:bidi="ar-KW"/>
        </w:rPr>
        <w:t xml:space="preserve">) </w:t>
      </w:r>
      <w:r w:rsidRPr="005675B2">
        <w:rPr>
          <w:rtl/>
          <w:lang w:val="uz-Latn-UZ" w:bidi="ar-KW"/>
        </w:rPr>
        <w:t>قال</w:t>
      </w:r>
      <w:r w:rsidR="000636C2">
        <w:rPr>
          <w:rtl/>
          <w:lang w:val="uz-Latn-UZ" w:bidi="ar-KW"/>
        </w:rPr>
        <w:t>:</w:t>
      </w:r>
      <w:r w:rsidRPr="005675B2">
        <w:rPr>
          <w:rtl/>
          <w:lang w:val="uz-Latn-UZ" w:bidi="ar-KW"/>
        </w:rPr>
        <w:t xml:space="preserve"> إنما هو قدرته</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دفع شبه التشبيه ص/ 141</w:t>
      </w:r>
      <w:r w:rsidR="000636C2">
        <w:rPr>
          <w:rtl/>
          <w:lang w:val="uz-Latn-UZ" w:bidi="ar-KW"/>
        </w:rPr>
        <w:t>)،</w:t>
      </w:r>
      <w:r w:rsidRPr="005675B2">
        <w:rPr>
          <w:rtl/>
          <w:lang w:val="uz-Latn-UZ" w:bidi="ar-KW"/>
        </w:rPr>
        <w:t xml:space="preserve"> </w:t>
      </w:r>
      <w:r w:rsidRPr="005675B2">
        <w:rPr>
          <w:bCs/>
          <w:rtl/>
          <w:lang w:val="uz-Latn-UZ" w:bidi="ar-KW"/>
        </w:rPr>
        <w:t>تأويل الحسن البصري رضي الله عنه</w:t>
      </w:r>
      <w:r w:rsidR="000636C2">
        <w:rPr>
          <w:bCs/>
          <w:rtl/>
          <w:lang w:val="uz-Latn-UZ" w:bidi="ar-KW"/>
        </w:rPr>
        <w:t>:</w:t>
      </w:r>
      <w:r w:rsidRPr="005675B2">
        <w:rPr>
          <w:rFonts w:hint="cs"/>
          <w:bCs/>
          <w:rtl/>
          <w:lang w:val="uz-Latn-UZ" w:bidi="ar-KW"/>
        </w:rPr>
        <w:t xml:space="preserve"> </w:t>
      </w:r>
      <w:r w:rsidRPr="005675B2">
        <w:rPr>
          <w:rtl/>
          <w:lang w:val="uz-Latn-UZ" w:bidi="ar-KW"/>
        </w:rPr>
        <w:t>قال رضي الله تعالى عنه في قوله تعالى</w:t>
      </w:r>
      <w:r w:rsidR="000636C2">
        <w:rPr>
          <w:rtl/>
          <w:lang w:val="uz-Latn-UZ" w:bidi="ar-KW"/>
        </w:rPr>
        <w:t>:</w:t>
      </w:r>
      <w:r w:rsidRPr="005675B2">
        <w:rPr>
          <w:bCs/>
          <w:rtl/>
          <w:lang w:val="uz-Latn-UZ" w:bidi="ar-KW"/>
        </w:rPr>
        <w:t xml:space="preserve"> </w:t>
      </w:r>
      <w:r w:rsidR="000636C2">
        <w:rPr>
          <w:bCs/>
          <w:rtl/>
          <w:lang w:val="uz-Latn-UZ" w:bidi="ar-KW"/>
        </w:rPr>
        <w:t>(</w:t>
      </w:r>
      <w:r w:rsidRPr="005675B2">
        <w:rPr>
          <w:bCs/>
          <w:rtl/>
          <w:lang w:val="uz-Latn-UZ" w:bidi="ar-KW"/>
        </w:rPr>
        <w:t>وجاء ربك</w:t>
      </w:r>
      <w:r w:rsidR="000636C2">
        <w:rPr>
          <w:bCs/>
          <w:rtl/>
          <w:lang w:val="uz-Latn-UZ" w:bidi="ar-KW"/>
        </w:rPr>
        <w:t>):</w:t>
      </w:r>
      <w:r w:rsidRPr="005675B2">
        <w:rPr>
          <w:rtl/>
          <w:lang w:val="uz-Latn-UZ" w:bidi="ar-KW"/>
        </w:rPr>
        <w:t xml:space="preserve"> جاء أمره وقضاؤه</w:t>
      </w:r>
      <w:r w:rsidR="000636C2">
        <w:rPr>
          <w:rtl/>
          <w:lang w:val="uz-Latn-UZ" w:bidi="ar-KW"/>
        </w:rPr>
        <w:t>،</w:t>
      </w:r>
      <w:r w:rsidRPr="005675B2">
        <w:rPr>
          <w:rtl/>
          <w:lang w:val="uz-Latn-UZ" w:bidi="ar-KW"/>
        </w:rPr>
        <w:t xml:space="preserve"> وعن الكلبي</w:t>
      </w:r>
      <w:r w:rsidR="000636C2">
        <w:rPr>
          <w:rtl/>
          <w:lang w:val="uz-Latn-UZ" w:bidi="ar-KW"/>
        </w:rPr>
        <w:t>:</w:t>
      </w:r>
      <w:r w:rsidRPr="005675B2">
        <w:rPr>
          <w:rtl/>
          <w:lang w:val="uz-Latn-UZ" w:bidi="ar-KW"/>
        </w:rPr>
        <w:t xml:space="preserve"> جاء حكمه </w:t>
      </w:r>
      <w:r w:rsidR="000636C2">
        <w:rPr>
          <w:rtl/>
          <w:lang w:val="uz-Latn-UZ"/>
        </w:rPr>
        <w:t>(</w:t>
      </w:r>
      <w:r w:rsidRPr="005675B2">
        <w:rPr>
          <w:rtl/>
          <w:lang w:val="uz-Latn-UZ"/>
        </w:rPr>
        <w:t>تفسير البغوي 4 / 454</w:t>
      </w:r>
      <w:r w:rsidR="000636C2">
        <w:rPr>
          <w:rtl/>
          <w:lang w:val="uz-Latn-UZ"/>
        </w:rPr>
        <w:t>)،</w:t>
      </w:r>
      <w:r w:rsidRPr="005675B2">
        <w:rPr>
          <w:rtl/>
          <w:lang w:val="uz-Latn-UZ"/>
        </w:rPr>
        <w:t xml:space="preserve"> </w:t>
      </w:r>
      <w:r w:rsidRPr="005675B2">
        <w:rPr>
          <w:rtl/>
          <w:lang w:val="uz-Latn-UZ" w:bidi="ar-KW"/>
        </w:rPr>
        <w:t xml:space="preserve">وعنه رضي الله عنه في قوله تعالى </w:t>
      </w:r>
      <w:r w:rsidR="000636C2">
        <w:rPr>
          <w:bCs/>
          <w:rtl/>
          <w:lang w:val="uz-Latn-UZ" w:bidi="ar-KW"/>
        </w:rPr>
        <w:t>(</w:t>
      </w:r>
      <w:r w:rsidRPr="005675B2">
        <w:rPr>
          <w:bCs/>
          <w:rtl/>
          <w:lang w:val="uz-Latn-UZ" w:bidi="ar-KW"/>
        </w:rPr>
        <w:t>أن تقول نفس يا حسرتى على ما فرطت في جنب الله</w:t>
      </w:r>
      <w:r w:rsidR="000636C2">
        <w:rPr>
          <w:bCs/>
          <w:rtl/>
          <w:lang w:val="uz-Latn-UZ" w:bidi="ar-KW"/>
        </w:rPr>
        <w:t>)</w:t>
      </w:r>
      <w:r w:rsidRPr="005675B2">
        <w:rPr>
          <w:bCs/>
          <w:rtl/>
          <w:lang w:val="uz-Latn-UZ" w:bidi="ar-KW"/>
        </w:rPr>
        <w:t xml:space="preserve"> </w:t>
      </w:r>
      <w:r w:rsidRPr="005675B2">
        <w:rPr>
          <w:rtl/>
          <w:lang w:val="uz-Latn-UZ" w:bidi="ar-KW"/>
        </w:rPr>
        <w:t>قال</w:t>
      </w:r>
      <w:r w:rsidR="000636C2">
        <w:rPr>
          <w:rtl/>
          <w:lang w:val="uz-Latn-UZ" w:bidi="ar-KW"/>
        </w:rPr>
        <w:t>:</w:t>
      </w:r>
      <w:r w:rsidRPr="005675B2">
        <w:rPr>
          <w:bCs/>
          <w:rtl/>
          <w:lang w:val="uz-Latn-UZ" w:bidi="ar-KW"/>
        </w:rPr>
        <w:t xml:space="preserve"> </w:t>
      </w:r>
      <w:r w:rsidRPr="005675B2">
        <w:rPr>
          <w:rtl/>
          <w:lang w:val="uz-Latn-UZ" w:bidi="ar-KW"/>
        </w:rPr>
        <w:t>في طاعة الله</w:t>
      </w:r>
      <w:r w:rsidR="000636C2">
        <w:rPr>
          <w:bCs/>
          <w:rtl/>
          <w:lang w:val="uz-Latn-UZ" w:bidi="ar-KW"/>
        </w:rPr>
        <w:t>،</w:t>
      </w:r>
      <w:r w:rsidRPr="005675B2">
        <w:rPr>
          <w:bCs/>
          <w:rtl/>
          <w:lang w:val="uz-Latn-UZ" w:bidi="ar-KW"/>
        </w:rPr>
        <w:t xml:space="preserve"> </w:t>
      </w:r>
      <w:r w:rsidR="000636C2">
        <w:rPr>
          <w:bCs/>
          <w:rtl/>
          <w:lang w:val="uz-Latn-UZ" w:bidi="ar-KW"/>
        </w:rPr>
        <w:t>(</w:t>
      </w:r>
      <w:r w:rsidRPr="005675B2">
        <w:rPr>
          <w:rtl/>
          <w:lang w:val="uz-Latn-UZ" w:bidi="ar-KW"/>
        </w:rPr>
        <w:t>انظر روح المعاني تفسير الآية 56 من سورة الزمر</w:t>
      </w:r>
      <w:r w:rsidR="000636C2">
        <w:rPr>
          <w:bCs/>
          <w:rtl/>
          <w:lang w:val="uz-Latn-UZ" w:bidi="ar-KW"/>
        </w:rPr>
        <w:t>)،</w:t>
      </w:r>
      <w:r w:rsidRPr="005675B2">
        <w:rPr>
          <w:bCs/>
          <w:rtl/>
          <w:lang w:val="uz-Latn-UZ" w:bidi="ar-KW"/>
        </w:rPr>
        <w:t xml:space="preserve"> </w:t>
      </w:r>
      <w:r w:rsidRPr="005675B2">
        <w:rPr>
          <w:bCs/>
          <w:rtl/>
          <w:lang w:val="uz-Latn-UZ"/>
        </w:rPr>
        <w:t>تأويل الإمام البخاري رضي الله عنه للضحك</w:t>
      </w:r>
      <w:r w:rsidR="000636C2">
        <w:rPr>
          <w:rtl/>
          <w:lang w:val="uz-Latn-UZ" w:bidi="ar-KW"/>
        </w:rPr>
        <w:t>:</w:t>
      </w:r>
      <w:r w:rsidRPr="005675B2">
        <w:rPr>
          <w:rFonts w:hint="cs"/>
          <w:rtl/>
          <w:lang w:val="uz-Latn-UZ" w:bidi="ar-KW"/>
        </w:rPr>
        <w:t xml:space="preserve"> </w:t>
      </w:r>
      <w:r w:rsidRPr="005675B2">
        <w:rPr>
          <w:rtl/>
          <w:lang w:val="uz-Latn-UZ"/>
        </w:rPr>
        <w:t xml:space="preserve">قال الإمام البيهقي - رحمه الله تعالى - في كتـاب " الأسمـاء والصفـات " </w:t>
      </w:r>
      <w:r w:rsidR="000636C2">
        <w:rPr>
          <w:rtl/>
          <w:lang w:val="uz-Latn-UZ"/>
        </w:rPr>
        <w:t>(</w:t>
      </w:r>
      <w:r w:rsidRPr="005675B2">
        <w:rPr>
          <w:rtl/>
          <w:lang w:val="uz-Latn-UZ"/>
        </w:rPr>
        <w:t>ص / 470</w:t>
      </w:r>
      <w:r w:rsidR="000636C2">
        <w:rPr>
          <w:rtl/>
          <w:lang w:val="uz-Latn-UZ"/>
        </w:rPr>
        <w:t>):</w:t>
      </w:r>
      <w:r w:rsidRPr="005675B2">
        <w:rPr>
          <w:rtl/>
          <w:lang w:val="uz-Latn-UZ"/>
        </w:rPr>
        <w:t xml:space="preserve"> </w:t>
      </w:r>
      <w:r w:rsidR="000636C2">
        <w:rPr>
          <w:rtl/>
          <w:lang w:val="uz-Latn-UZ"/>
        </w:rPr>
        <w:t>(</w:t>
      </w:r>
      <w:r w:rsidRPr="005675B2">
        <w:rPr>
          <w:rtl/>
          <w:lang w:val="uz-Latn-UZ"/>
        </w:rPr>
        <w:t>باب ما جاء في الضحك .. عن أبي هريرة أن رسول الله صلى عليه وسلم قال</w:t>
      </w:r>
      <w:r w:rsidR="000636C2">
        <w:rPr>
          <w:rtl/>
          <w:lang w:val="uz-Latn-UZ"/>
        </w:rPr>
        <w:t>:</w:t>
      </w:r>
      <w:r w:rsidRPr="005675B2">
        <w:rPr>
          <w:rtl/>
          <w:lang w:val="uz-Latn-UZ"/>
        </w:rPr>
        <w:t xml:space="preserve"> " يضحك الله إلى رجلين يقتل أحدهما الآخر كلاهما يدخل الجنة .. " قال</w:t>
      </w:r>
      <w:r w:rsidR="000636C2">
        <w:rPr>
          <w:rtl/>
          <w:lang w:val="uz-Latn-UZ"/>
        </w:rPr>
        <w:t>:</w:t>
      </w:r>
      <w:r w:rsidRPr="005675B2">
        <w:rPr>
          <w:rtl/>
          <w:lang w:val="uz-Latn-UZ"/>
        </w:rPr>
        <w:t xml:space="preserve"> قال البخاري معنى الضحك الرحمة</w:t>
      </w:r>
      <w:r w:rsidR="000636C2">
        <w:rPr>
          <w:rtl/>
          <w:lang w:val="uz-Latn-UZ"/>
        </w:rPr>
        <w:t>،</w:t>
      </w:r>
      <w:r w:rsidRPr="005675B2">
        <w:rPr>
          <w:rtl/>
          <w:lang w:val="uz-Latn-UZ"/>
        </w:rPr>
        <w:t xml:space="preserve"> قال أبو سليمان – يعني الخطابي - قول أبي عبد الله قريب، وتأويله على معنى الرضى لفعلهما أقرب وأشبه، ومعلوم أن الضحك من ذوي التمييز يدلُّ على الرضى، والبشر والاستهلال منهم دليل قبول الوسيلة، ومقدّمة إنجاح الطَّلِبة، والكرام يوصفون عند المسألة بالبشر وحسن اللقاء، فيكون المعنى في قوله " يضحك الله إلى رجلين " أي يُجزل العطاء لهما لأنه موجَب الضحك ومقتضاه</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قال الحافظ ابن حجر </w:t>
      </w:r>
      <w:r w:rsidR="000636C2">
        <w:rPr>
          <w:rtl/>
          <w:lang w:val="uz-Latn-UZ"/>
        </w:rPr>
        <w:t>(</w:t>
      </w:r>
      <w:r w:rsidRPr="005675B2">
        <w:rPr>
          <w:rtl/>
          <w:lang w:val="uz-Latn-UZ"/>
        </w:rPr>
        <w:t>فتح الباري 6 / 486</w:t>
      </w:r>
      <w:r w:rsidR="000636C2">
        <w:rPr>
          <w:rtl/>
          <w:lang w:val="uz-Latn-UZ"/>
        </w:rPr>
        <w:t>)</w:t>
      </w:r>
      <w:r w:rsidRPr="005675B2">
        <w:rPr>
          <w:rtl/>
          <w:lang w:val="uz-Latn-UZ"/>
        </w:rPr>
        <w:t xml:space="preserve"> مؤكداً مؤيداً لما ذهب إليه أبو سليمان الخطابي والأعلام المنزهون العارفون بالله تعالى</w:t>
      </w:r>
      <w:r w:rsidR="000636C2">
        <w:rPr>
          <w:rtl/>
          <w:lang w:val="uz-Latn-UZ"/>
        </w:rPr>
        <w:t>:</w:t>
      </w:r>
      <w:r w:rsidRPr="005675B2">
        <w:rPr>
          <w:rFonts w:hint="cs"/>
          <w:rtl/>
          <w:lang w:val="uz-Latn-UZ"/>
        </w:rPr>
        <w:t xml:space="preserve"> </w:t>
      </w:r>
      <w:r w:rsidR="000636C2">
        <w:rPr>
          <w:rtl/>
          <w:lang w:val="uz-Latn-UZ"/>
        </w:rPr>
        <w:t>(</w:t>
      </w:r>
      <w:r w:rsidRPr="005675B2">
        <w:rPr>
          <w:rtl/>
          <w:lang w:val="uz-Latn-UZ"/>
        </w:rPr>
        <w:t>قلت ويدلّ على أن المراد بالضحك الإقبال بالرضا تعديته ب - " إلى "، تقول</w:t>
      </w:r>
      <w:r w:rsidR="000636C2">
        <w:rPr>
          <w:rtl/>
          <w:lang w:val="uz-Latn-UZ"/>
        </w:rPr>
        <w:t>:</w:t>
      </w:r>
      <w:r w:rsidRPr="005675B2">
        <w:rPr>
          <w:rtl/>
          <w:lang w:val="uz-Latn-UZ"/>
        </w:rPr>
        <w:t xml:space="preserve"> ضحك فلان إلى فلان</w:t>
      </w:r>
      <w:r w:rsidR="000636C2">
        <w:rPr>
          <w:rtl/>
          <w:lang w:val="uz-Latn-UZ"/>
        </w:rPr>
        <w:t>،</w:t>
      </w:r>
      <w:r w:rsidRPr="005675B2">
        <w:rPr>
          <w:rtl/>
          <w:lang w:val="uz-Latn-UZ"/>
        </w:rPr>
        <w:t xml:space="preserve"> إذا توجّه إليه طلْق الوجه مظهراً للرضا به</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w:t>
      </w:r>
      <w:r w:rsidRPr="005675B2">
        <w:rPr>
          <w:bCs/>
          <w:rtl/>
          <w:lang w:val="uz-Latn-UZ"/>
        </w:rPr>
        <w:t xml:space="preserve">تأويل الإمام البخاري للفظ </w:t>
      </w:r>
      <w:r w:rsidR="000636C2">
        <w:rPr>
          <w:bCs/>
          <w:rtl/>
          <w:lang w:val="uz-Latn-UZ"/>
        </w:rPr>
        <w:t>(</w:t>
      </w:r>
      <w:r w:rsidRPr="005675B2">
        <w:rPr>
          <w:bCs/>
          <w:rtl/>
          <w:lang w:val="uz-Latn-UZ" w:bidi="ar-KW"/>
        </w:rPr>
        <w:t>ال</w:t>
      </w:r>
      <w:r w:rsidRPr="005675B2">
        <w:rPr>
          <w:bCs/>
          <w:rtl/>
          <w:lang w:val="uz-Latn-UZ"/>
        </w:rPr>
        <w:t>وجه</w:t>
      </w:r>
      <w:r w:rsidR="000636C2">
        <w:rPr>
          <w:bCs/>
          <w:rtl/>
          <w:lang w:val="uz-Latn-UZ" w:bidi="ar-KW"/>
        </w:rPr>
        <w:t>):</w:t>
      </w:r>
      <w:r w:rsidRPr="005675B2">
        <w:rPr>
          <w:rFonts w:hint="cs"/>
          <w:rtl/>
          <w:lang w:val="uz-Latn-UZ" w:bidi="ar-KW"/>
        </w:rPr>
        <w:t xml:space="preserve"> </w:t>
      </w:r>
      <w:r w:rsidRPr="005675B2">
        <w:rPr>
          <w:rtl/>
          <w:lang w:val="uz-Latn-UZ"/>
        </w:rPr>
        <w:t>قال الإمام البخاري - رحمه الله - في تفسير قوله تعالى</w:t>
      </w:r>
      <w:r w:rsidR="000636C2">
        <w:rPr>
          <w:rtl/>
          <w:lang w:val="uz-Latn-UZ"/>
        </w:rPr>
        <w:t xml:space="preserve">: </w:t>
      </w:r>
      <w:r w:rsidR="000636C2">
        <w:rPr>
          <w:bCs/>
          <w:rtl/>
          <w:lang w:val="uz-Latn-UZ"/>
        </w:rPr>
        <w:t>(</w:t>
      </w:r>
      <w:r w:rsidRPr="005675B2">
        <w:rPr>
          <w:bCs/>
          <w:rtl/>
          <w:lang w:val="uz-Latn-UZ"/>
        </w:rPr>
        <w:t>كلّ شـئ هالك إلا وجهه</w:t>
      </w:r>
      <w:r w:rsidR="000636C2">
        <w:rPr>
          <w:bCs/>
          <w:rtl/>
          <w:lang w:val="uz-Latn-UZ"/>
        </w:rPr>
        <w:t>)</w:t>
      </w:r>
      <w:r w:rsidRPr="005675B2">
        <w:rPr>
          <w:bCs/>
        </w:rPr>
        <w:t xml:space="preserve"> </w:t>
      </w:r>
      <w:r w:rsidRPr="005675B2">
        <w:rPr>
          <w:rtl/>
          <w:lang w:val="uz-Latn-UZ"/>
        </w:rPr>
        <w:t>إلا ملكه</w:t>
      </w:r>
      <w:r w:rsidR="000636C2">
        <w:rPr>
          <w:rtl/>
          <w:lang w:val="uz-Latn-UZ"/>
        </w:rPr>
        <w:t>،</w:t>
      </w:r>
      <w:r w:rsidRPr="005675B2">
        <w:rPr>
          <w:rtl/>
          <w:lang w:val="uz-Latn-UZ"/>
        </w:rPr>
        <w:t xml:space="preserve"> ويقـال</w:t>
      </w:r>
      <w:r w:rsidR="000636C2">
        <w:rPr>
          <w:rtl/>
          <w:lang w:val="uz-Latn-UZ"/>
        </w:rPr>
        <w:t>:</w:t>
      </w:r>
      <w:r w:rsidRPr="005675B2">
        <w:rPr>
          <w:rtl/>
          <w:lang w:val="uz-Latn-UZ"/>
        </w:rPr>
        <w:t xml:space="preserve"> إلا ما أريـد به وجـه الله </w:t>
      </w:r>
      <w:r w:rsidR="000636C2">
        <w:rPr>
          <w:rtl/>
          <w:lang w:val="uz-Latn-UZ"/>
        </w:rPr>
        <w:t>(</w:t>
      </w:r>
      <w:r w:rsidRPr="005675B2">
        <w:rPr>
          <w:rtl/>
          <w:lang w:val="uz-Latn-UZ"/>
        </w:rPr>
        <w:t>الصحيـح كتـاب التفسيـر سـورة القصص، فتح البـاري 8</w:t>
      </w:r>
      <w:r w:rsidRPr="005675B2">
        <w:rPr>
          <w:rtl/>
          <w:lang w:val="uz-Latn-UZ" w:bidi="ar-KW"/>
        </w:rPr>
        <w:t xml:space="preserve"> </w:t>
      </w:r>
      <w:r w:rsidRPr="005675B2">
        <w:rPr>
          <w:rtl/>
          <w:lang w:val="uz-Latn-UZ"/>
        </w:rPr>
        <w:t>/ 364</w:t>
      </w:r>
      <w:r w:rsidR="000636C2">
        <w:rPr>
          <w:rtl/>
          <w:lang w:val="uz-Latn-UZ"/>
        </w:rPr>
        <w:t>)</w:t>
      </w:r>
      <w:r w:rsidRPr="005675B2">
        <w:rPr>
          <w:rtl/>
          <w:lang w:val="uz-Latn-UZ" w:bidi="ar-KW"/>
        </w:rPr>
        <w:t xml:space="preserve"> اهـ</w:t>
      </w:r>
      <w:r w:rsidR="000636C2">
        <w:rPr>
          <w:rtl/>
          <w:lang w:val="uz-Latn-UZ" w:bidi="ar-KW"/>
        </w:rPr>
        <w:t xml:space="preserve">، </w:t>
      </w:r>
      <w:r w:rsidRPr="005675B2">
        <w:rPr>
          <w:rtl/>
          <w:lang w:val="uz-Latn-UZ"/>
        </w:rPr>
        <w:t xml:space="preserve">وقد مرّ معنا نقلُ إجماع الأمة على منهج التأويل حيث قال الحافظ أبو الحسن علي بن القطان الفاسي رحمه الله تعالى </w:t>
      </w:r>
      <w:r w:rsidR="000636C2">
        <w:rPr>
          <w:rtl/>
          <w:lang w:val="uz-Latn-UZ"/>
        </w:rPr>
        <w:t>(</w:t>
      </w:r>
      <w:r w:rsidRPr="005675B2">
        <w:rPr>
          <w:rtl/>
          <w:lang w:val="uz-Latn-UZ"/>
        </w:rPr>
        <w:t>الإقناع في مسائل الإجماع 1 / 32 – 33</w:t>
      </w:r>
      <w:r w:rsidR="000636C2">
        <w:rPr>
          <w:rtl/>
          <w:lang w:val="uz-Latn-UZ"/>
        </w:rPr>
        <w:t>)</w:t>
      </w:r>
      <w:r w:rsidRPr="005675B2">
        <w:rPr>
          <w:rtl/>
          <w:lang w:val="uz-Latn-UZ" w:bidi="ar-KW"/>
        </w:rPr>
        <w:t xml:space="preserve"> </w:t>
      </w:r>
      <w:r w:rsidR="000636C2">
        <w:rPr>
          <w:rtl/>
          <w:lang w:val="uz-Latn-UZ" w:bidi="ar-KW"/>
        </w:rPr>
        <w:t>(</w:t>
      </w:r>
      <w:r w:rsidRPr="005675B2">
        <w:rPr>
          <w:rtl/>
          <w:lang w:val="uz-Latn-UZ" w:bidi="ar-KW"/>
        </w:rPr>
        <w:t xml:space="preserve">وأجمعوا أنه تعالى يجيء يوم القيامة والملك صفاً صفاً لعرض الأمم وحسابها وعقابها وثوابها، فيغفر لمن يشاء من المؤمنين ويعذب منهم من يشاء، كما قال تعالى، </w:t>
      </w:r>
      <w:r w:rsidRPr="005675B2">
        <w:rPr>
          <w:bCs/>
          <w:rtl/>
          <w:lang w:val="uz-Latn-UZ" w:bidi="ar-KW"/>
        </w:rPr>
        <w:t>وليس مجيئه بحركة ولا انتقال</w:t>
      </w:r>
      <w:r w:rsidR="000636C2">
        <w:rPr>
          <w:bCs/>
          <w:rtl/>
          <w:lang w:val="uz-Latn-UZ" w:bidi="ar-KW"/>
        </w:rPr>
        <w:t>،</w:t>
      </w:r>
      <w:r w:rsidRPr="005675B2">
        <w:rPr>
          <w:bCs/>
          <w:rtl/>
          <w:lang w:val="uz-Latn-UZ" w:bidi="ar-KW"/>
        </w:rPr>
        <w:t xml:space="preserve"> </w:t>
      </w:r>
      <w:r w:rsidRPr="005675B2">
        <w:rPr>
          <w:rtl/>
          <w:lang w:val="uz-Latn-UZ"/>
        </w:rPr>
        <w:t xml:space="preserve">وأجمعوا أنه تعالى يرضى عن الطائعين له، </w:t>
      </w:r>
      <w:r w:rsidRPr="005675B2">
        <w:rPr>
          <w:bCs/>
          <w:rtl/>
          <w:lang w:val="uz-Latn-UZ"/>
        </w:rPr>
        <w:t>وأن رضاه عنهم إرادته نعيمهم</w:t>
      </w:r>
      <w:r w:rsidR="000636C2">
        <w:rPr>
          <w:rtl/>
          <w:lang w:val="uz-Latn-UZ"/>
        </w:rPr>
        <w:t>،</w:t>
      </w:r>
      <w:r w:rsidRPr="005675B2">
        <w:rPr>
          <w:rtl/>
          <w:lang w:val="uz-Latn-UZ"/>
        </w:rPr>
        <w:t xml:space="preserve"> وأجمعوا أنه يحب التوابين ويسخط على الكافريـن ويغضب عليهم، </w:t>
      </w:r>
      <w:r w:rsidRPr="005675B2">
        <w:rPr>
          <w:bCs/>
          <w:rtl/>
          <w:lang w:val="uz-Latn-UZ"/>
        </w:rPr>
        <w:t>وأن غضبه إرادته لعذابهم، وأنه لا يقوم لغضبه شيء</w:t>
      </w:r>
      <w:r w:rsidR="000636C2">
        <w:rPr>
          <w:bCs/>
          <w:rtl/>
          <w:lang w:val="uz-Latn-UZ"/>
        </w:rPr>
        <w:t>)</w:t>
      </w:r>
      <w:r w:rsidRPr="005675B2">
        <w:rPr>
          <w:rtl/>
          <w:lang w:val="uz-Latn-UZ"/>
        </w:rPr>
        <w:t xml:space="preserve"> اهـ</w:t>
      </w:r>
      <w:r w:rsidR="000636C2">
        <w:rPr>
          <w:rtl/>
          <w:lang w:val="uz-Latn-UZ"/>
        </w:rPr>
        <w:t>،</w:t>
      </w:r>
      <w:r w:rsidRPr="005675B2">
        <w:rPr>
          <w:rtl/>
          <w:lang w:val="uz-Latn-UZ"/>
        </w:rPr>
        <w:t xml:space="preserve"> وإجماع الأمة على صرف لفظ المجيء عن ظاهره المحال في حق الله تعالى وهو الحركة والانتقال إجماع على التفويض، وإجماعهم على حمل لفظ الرضا على إرادة الإحسـان والنعيم، ولفظ الغضب على إرادة العقاب والانتقام إجماع على التأويل، وبهذا يتأكد ما ذكرناه سابقاً أن هذين المذهبين التفويض والتأويل هما المذهبان المعتبران اللذان ارتضتهما الأمة وعوّلت عليهما، وما نقلناه من تأويلات سلفنا الصالح غيض من فيض وزهرة من روض، ومن أراد الاستزادة فليرجع إلى كتب التراث من تفسير وحديث وأصول وغيرها، ليقف على ما يثلج صدر كل موحد منزه</w:t>
      </w:r>
      <w:r w:rsidR="000636C2">
        <w:rPr>
          <w:rtl/>
          <w:lang w:val="uz-Latn-UZ"/>
        </w:rPr>
        <w:t>،</w:t>
      </w:r>
      <w:r w:rsidRPr="005675B2">
        <w:rPr>
          <w:rtl/>
          <w:lang w:val="uz-Latn-UZ"/>
        </w:rPr>
        <w:t xml:space="preserve"> </w:t>
      </w:r>
    </w:p>
    <w:p w14:paraId="42D75B60" w14:textId="3DEDCC3E" w:rsidR="009C32A0" w:rsidRPr="005675B2" w:rsidRDefault="000636C2" w:rsidP="000636C2">
      <w:pPr>
        <w:widowControl w:val="0"/>
        <w:spacing w:before="80" w:after="240"/>
        <w:rPr>
          <w:rtl/>
          <w:lang w:val="uz-Latn-UZ" w:bidi="ar-KW"/>
        </w:rPr>
      </w:pPr>
      <w:r>
        <w:rPr>
          <w:bCs/>
          <w:rtl/>
          <w:lang w:val="uz-Latn-UZ"/>
        </w:rPr>
        <w:t>(</w:t>
      </w:r>
      <w:r w:rsidR="009C32A0">
        <w:rPr>
          <w:bCs/>
          <w:rtl/>
          <w:lang w:val="uz-Latn-UZ"/>
        </w:rPr>
        <w:t>تنبيه</w:t>
      </w:r>
      <w:r>
        <w:rPr>
          <w:bCs/>
          <w:rtl/>
          <w:lang w:val="uz-Latn-UZ"/>
        </w:rPr>
        <w:t>)</w:t>
      </w:r>
      <w:r>
        <w:rPr>
          <w:rFonts w:hint="cs"/>
          <w:bCs/>
          <w:rtl/>
          <w:lang w:bidi="ar-KW"/>
        </w:rPr>
        <w:t>:</w:t>
      </w:r>
      <w:r w:rsidR="009C32A0" w:rsidRPr="005675B2">
        <w:rPr>
          <w:rFonts w:hint="cs"/>
          <w:bCs/>
          <w:rtl/>
          <w:lang w:bidi="ar-KW"/>
        </w:rPr>
        <w:t xml:space="preserve"> </w:t>
      </w:r>
      <w:r w:rsidR="009C32A0" w:rsidRPr="005675B2">
        <w:rPr>
          <w:bCs/>
          <w:rtl/>
          <w:lang w:val="uz-Latn-UZ"/>
        </w:rPr>
        <w:t>شبهة تتردد على ألسنة المثبتين لظواهر نصوص المتشابه</w:t>
      </w:r>
      <w:r w:rsidR="009C32A0" w:rsidRPr="005675B2">
        <w:rPr>
          <w:rtl/>
          <w:lang w:val="uz-Latn-UZ"/>
        </w:rPr>
        <w:t>، وهي</w:t>
      </w:r>
      <w:r>
        <w:rPr>
          <w:rtl/>
          <w:lang w:val="uz-Latn-UZ"/>
        </w:rPr>
        <w:t>:</w:t>
      </w:r>
      <w:r w:rsidR="009C32A0" w:rsidRPr="005675B2">
        <w:rPr>
          <w:rFonts w:hint="cs"/>
          <w:rtl/>
          <w:lang w:val="uz-Latn-UZ"/>
        </w:rPr>
        <w:t xml:space="preserve"> </w:t>
      </w:r>
      <w:r w:rsidR="009C32A0" w:rsidRPr="005675B2">
        <w:rPr>
          <w:rtl/>
          <w:lang w:val="uz-Latn-UZ"/>
        </w:rPr>
        <w:t>إثبات المعاني الإجمالية لهذه النصوص لا ينفي إثبات الصفة الواردة في النص، مثال ذلك قول الله تعالى</w:t>
      </w:r>
      <w:r>
        <w:rPr>
          <w:bCs/>
          <w:rtl/>
          <w:lang w:val="uz-Latn-UZ"/>
        </w:rPr>
        <w:t>(</w:t>
      </w:r>
      <w:r w:rsidR="009C32A0" w:rsidRPr="005675B2">
        <w:rPr>
          <w:bCs/>
          <w:rtl/>
          <w:lang w:val="uz-Latn-UZ"/>
        </w:rPr>
        <w:t>بل يداه مبسوطتان</w:t>
      </w:r>
      <w:r>
        <w:rPr>
          <w:bCs/>
          <w:rtl/>
          <w:lang w:val="uz-Latn-UZ"/>
        </w:rPr>
        <w:t xml:space="preserve">) </w:t>
      </w:r>
      <w:r w:rsidR="009C32A0" w:rsidRPr="005675B2">
        <w:rPr>
          <w:rtl/>
          <w:lang w:val="uz-Latn-UZ"/>
        </w:rPr>
        <w:t>يقولون</w:t>
      </w:r>
      <w:r>
        <w:rPr>
          <w:rtl/>
          <w:lang w:val="uz-Latn-UZ"/>
        </w:rPr>
        <w:t>:</w:t>
      </w:r>
      <w:r w:rsidR="009C32A0" w:rsidRPr="005675B2">
        <w:rPr>
          <w:rtl/>
          <w:lang w:val="uz-Latn-UZ"/>
        </w:rPr>
        <w:t xml:space="preserve"> نحن لا ننكر أن النص يفيد إثبات الجود والكرم له تعالى ونفي البخل عنه، فإن معنى بسط اليد مشهور عند العرب، بيد أن هذا لا ينفي إثبات صفة اليد لله تعالى</w:t>
      </w:r>
      <w:r>
        <w:rPr>
          <w:rtl/>
          <w:lang w:val="uz-Latn-UZ"/>
        </w:rPr>
        <w:t>،</w:t>
      </w:r>
      <w:r w:rsidR="009C32A0" w:rsidRPr="005675B2">
        <w:rPr>
          <w:rtl/>
          <w:lang w:val="uz-Latn-UZ"/>
        </w:rPr>
        <w:t xml:space="preserve"> وقس على هذا جميع النصوص الواردة في الصفات</w:t>
      </w:r>
      <w:r>
        <w:rPr>
          <w:rtl/>
          <w:lang w:val="uz-Latn-UZ"/>
        </w:rPr>
        <w:t>،</w:t>
      </w:r>
      <w:r w:rsidR="009C32A0" w:rsidRPr="005675B2">
        <w:rPr>
          <w:rtl/>
          <w:lang w:val="uz-Latn-UZ"/>
        </w:rPr>
        <w:t xml:space="preserve"> </w:t>
      </w:r>
      <w:r w:rsidR="009C32A0" w:rsidRPr="005675B2">
        <w:rPr>
          <w:bCs/>
          <w:rtl/>
          <w:lang w:val="uz-Latn-UZ" w:bidi="ar-KW"/>
        </w:rPr>
        <w:t>هذا تقرير هذه الشبهة</w:t>
      </w:r>
      <w:r>
        <w:rPr>
          <w:bCs/>
          <w:rtl/>
          <w:lang w:val="uz-Latn-UZ" w:bidi="ar-KW"/>
        </w:rPr>
        <w:t>،</w:t>
      </w:r>
      <w:r w:rsidR="009C32A0" w:rsidRPr="005675B2">
        <w:rPr>
          <w:bCs/>
          <w:rtl/>
          <w:lang w:val="uz-Latn-UZ" w:bidi="ar-KW"/>
        </w:rPr>
        <w:t xml:space="preserve"> وفي جوابها نقول</w:t>
      </w:r>
      <w:r>
        <w:rPr>
          <w:bCs/>
          <w:rtl/>
          <w:lang w:val="uz-Latn-UZ" w:bidi="ar-KW"/>
        </w:rPr>
        <w:t>:</w:t>
      </w:r>
      <w:r w:rsidR="009C32A0" w:rsidRPr="005675B2">
        <w:rPr>
          <w:rFonts w:hint="cs"/>
          <w:bCs/>
          <w:rtl/>
          <w:lang w:val="uz-Latn-UZ" w:bidi="ar-KW"/>
        </w:rPr>
        <w:t xml:space="preserve"> </w:t>
      </w:r>
      <w:r w:rsidR="009C32A0" w:rsidRPr="005675B2">
        <w:rPr>
          <w:rtl/>
          <w:lang w:val="uz-Latn-UZ"/>
        </w:rPr>
        <w:t>إن أريد بإثبات الصفات إثباتها على ما جاءت دون تفسير ولا تعيين معنى وإنما يكتفي بتلاوتها والسكوت عليهـا، وذلك - قطعاً - بعد صرفها عن ظاهرها المحال في حق الله تعالى ولا يقال بالذات أو حقيقة، فذلك حق لا ريب فيه، وهو ذاته مذهب السلف الصالح، وهو لا ينافي - كما مر معنا - مذهب الخلف، وشرح هذا على المثـال الذي ضربناه أن يقال</w:t>
      </w:r>
      <w:r>
        <w:rPr>
          <w:rtl/>
          <w:lang w:val="uz-Latn-UZ"/>
        </w:rPr>
        <w:t>:</w:t>
      </w:r>
      <w:r w:rsidR="009C32A0" w:rsidRPr="005675B2">
        <w:rPr>
          <w:rtl/>
          <w:lang w:val="uz-Latn-UZ"/>
        </w:rPr>
        <w:t xml:space="preserve"> جاء في النص أن لله تعالى يدين، إذاً نثبت لله تعالى يدين ليستا بجارحتين، ثم نسكت، ونفوض العلم بالمراد إلى الله تعالى، فهذا مسلك لا اختلاف في صحته، وهو بعينه مسلك السلف الصالح، أما إن أريد بالإثبات حملُها على ظاهر اللفظ المحال وعلى الحقيقة اللغوية المعهودة فهو باطل قطعاً، ولقد نقلنا عن علماء الأمة ما يدحضه وينفيه فلا نعيده</w:t>
      </w:r>
      <w:r>
        <w:rPr>
          <w:rtl/>
          <w:lang w:val="uz-Latn-UZ"/>
        </w:rPr>
        <w:t xml:space="preserve">، </w:t>
      </w:r>
      <w:r w:rsidR="009C32A0" w:rsidRPr="005675B2">
        <w:rPr>
          <w:rtl/>
          <w:lang w:val="uz-Latn-UZ"/>
        </w:rPr>
        <w:t>على أننا نقول</w:t>
      </w:r>
      <w:r>
        <w:rPr>
          <w:rtl/>
          <w:lang w:val="uz-Latn-UZ"/>
        </w:rPr>
        <w:t>:</w:t>
      </w:r>
      <w:r w:rsidR="009C32A0" w:rsidRPr="005675B2">
        <w:rPr>
          <w:rtl/>
          <w:lang w:val="uz-Latn-UZ"/>
        </w:rPr>
        <w:t xml:space="preserve"> ليس كل ما يضاف إلى الله تعالى يراد به إثبات صفة لله تعالى، إذ قد تكون الإضافة من باب المشاكلة والمقابلة كالاستهزاء والمكر والخداع وما جرى هذا المجرى، فلا يثبت بما كان من هذا القبيل من الألفاظ صفة لله تعالى، كأن يقال لله مكر يليق به أو استهزاء يليق به، تعالى الله عن ذلك علوّاً كبيراً، ومن ذلك أيضاً ما كان صفة نقص كالملل والنسيان والمرض والتعجب والتردّد ونحو ذلك، فكل هذا وأمثاله الله تعالى منزه عنه بالإجماع، فلا يوصف الله تعالى بشيء من ذلك، ومنه أيضاً ما كان مشهوراً في معنى مجازي كلفظ الجنب والأصبع ونحوه، فهذا وبابه لا خلاف في حمله على ما اشتهر فيه</w:t>
      </w:r>
      <w:r>
        <w:rPr>
          <w:rtl/>
          <w:lang w:val="uz-Latn-UZ"/>
        </w:rPr>
        <w:t xml:space="preserve">، </w:t>
      </w:r>
      <w:r w:rsidR="009C32A0" w:rsidRPr="005675B2">
        <w:rPr>
          <w:rtl/>
          <w:lang w:val="uz-Latn-UZ"/>
        </w:rPr>
        <w:t xml:space="preserve">نقل الحافظ ابن حجر عن ابن دقيق العيد </w:t>
      </w:r>
      <w:r>
        <w:rPr>
          <w:rtl/>
          <w:lang w:val="uz-Latn-UZ"/>
        </w:rPr>
        <w:t>(</w:t>
      </w:r>
      <w:r w:rsidR="009C32A0" w:rsidRPr="005675B2">
        <w:rPr>
          <w:rtl/>
          <w:lang w:val="uz-Latn-UZ"/>
        </w:rPr>
        <w:t>فتح الباري 13 / 395</w:t>
      </w:r>
      <w:r>
        <w:rPr>
          <w:rtl/>
          <w:lang w:val="uz-Latn-UZ"/>
        </w:rPr>
        <w:t>)</w:t>
      </w:r>
      <w:r w:rsidR="009C32A0" w:rsidRPr="005675B2">
        <w:rPr>
          <w:rtl/>
          <w:lang w:val="uz-Latn-UZ"/>
        </w:rPr>
        <w:t xml:space="preserve"> ما نصّه</w:t>
      </w:r>
      <w:r>
        <w:rPr>
          <w:rtl/>
          <w:lang w:val="uz-Latn-UZ"/>
        </w:rPr>
        <w:t>:</w:t>
      </w:r>
      <w:r w:rsidR="009C32A0" w:rsidRPr="005675B2">
        <w:rPr>
          <w:rFonts w:hint="cs"/>
          <w:rtl/>
          <w:lang w:val="uz-Latn-UZ"/>
        </w:rPr>
        <w:t xml:space="preserve"> </w:t>
      </w:r>
      <w:r>
        <w:rPr>
          <w:rtl/>
          <w:lang w:val="uz-Latn-UZ"/>
        </w:rPr>
        <w:t>(</w:t>
      </w:r>
      <w:r w:rsidR="009C32A0" w:rsidRPr="005675B2">
        <w:rPr>
          <w:rtl/>
          <w:lang w:val="uz-Latn-UZ"/>
        </w:rPr>
        <w:t xml:space="preserve">نقول في الصفات المشكلة أنه حق وصدق على المعنى الذي أراده الله، ومن تأوّلها نظرنا فإن كان تأويله قريباً على مقتضى لسان العرب لم ننكره عليه، وإن كان بعيداً توقفنا عنه ورجعنا إلى التصديـق مع التنزيه، وما كان منها معناه ظاهراً مفهوماً من تخاطب العرب حملناه عليه، مثل قوله تعالى </w:t>
      </w:r>
      <w:r>
        <w:rPr>
          <w:bCs/>
          <w:rtl/>
          <w:lang w:val="uz-Latn-UZ"/>
        </w:rPr>
        <w:t>(</w:t>
      </w:r>
      <w:r w:rsidR="009C32A0" w:rsidRPr="005675B2">
        <w:rPr>
          <w:bCs/>
          <w:rtl/>
          <w:lang w:val="uz-Latn-UZ"/>
        </w:rPr>
        <w:t>على ما فرّطت في جنب الله</w:t>
      </w:r>
      <w:r>
        <w:rPr>
          <w:bCs/>
          <w:rtl/>
          <w:lang w:val="uz-Latn-UZ"/>
        </w:rPr>
        <w:t>)</w:t>
      </w:r>
      <w:r w:rsidR="009C32A0" w:rsidRPr="005675B2">
        <w:rPr>
          <w:rtl/>
          <w:lang w:val="uz-Latn-UZ"/>
        </w:rPr>
        <w:t xml:space="preserve"> فإن المراد به في استعمالهم الشائع حق الله فلا يتوقف في حمله عليه، وكذا قوله</w:t>
      </w:r>
      <w:r>
        <w:rPr>
          <w:rtl/>
          <w:lang w:val="uz-Latn-UZ"/>
        </w:rPr>
        <w:t xml:space="preserve"> </w:t>
      </w:r>
      <w:r w:rsidR="009C32A0" w:rsidRPr="005675B2">
        <w:rPr>
          <w:bCs/>
          <w:rtl/>
          <w:lang w:val="uz-Latn-UZ"/>
        </w:rPr>
        <w:t xml:space="preserve">"إن قلب ابن آدم بين أصبعين من أصابع الرحمن " </w:t>
      </w:r>
      <w:r w:rsidR="009C32A0" w:rsidRPr="005675B2">
        <w:rPr>
          <w:rtl/>
          <w:lang w:val="uz-Latn-UZ"/>
        </w:rPr>
        <w:t xml:space="preserve">فإن المراد به إرادة قلب ابن آدم مصرفة بقدرة الله وما يوقعه فيه، وكذا قوله تعالى </w:t>
      </w:r>
      <w:r>
        <w:rPr>
          <w:bCs/>
          <w:rtl/>
          <w:lang w:val="uz-Latn-UZ"/>
        </w:rPr>
        <w:t>(</w:t>
      </w:r>
      <w:r w:rsidR="009C32A0" w:rsidRPr="005675B2">
        <w:rPr>
          <w:bCs/>
          <w:rtl/>
          <w:lang w:val="uz-Latn-UZ"/>
        </w:rPr>
        <w:t>فأتى الله بنيانهم من القواعد</w:t>
      </w:r>
      <w:r>
        <w:rPr>
          <w:bCs/>
          <w:rtl/>
          <w:lang w:val="uz-Latn-UZ"/>
        </w:rPr>
        <w:t>)</w:t>
      </w:r>
      <w:r w:rsidR="009C32A0" w:rsidRPr="005675B2">
        <w:rPr>
          <w:bCs/>
          <w:rtl/>
          <w:lang w:val="uz-Latn-UZ"/>
        </w:rPr>
        <w:t xml:space="preserve"> معنـاه خرب الله بنيانهـم، وقوله </w:t>
      </w:r>
      <w:r>
        <w:rPr>
          <w:bCs/>
          <w:rtl/>
          <w:lang w:val="uz-Latn-UZ"/>
        </w:rPr>
        <w:t>(</w:t>
      </w:r>
      <w:r w:rsidR="009C32A0" w:rsidRPr="005675B2">
        <w:rPr>
          <w:bCs/>
          <w:rtl/>
          <w:lang w:val="uz-Latn-UZ"/>
        </w:rPr>
        <w:t>إنما نطعمكم لوجه الله</w:t>
      </w:r>
      <w:r>
        <w:rPr>
          <w:bCs/>
          <w:rtl/>
          <w:lang w:val="uz-Latn-UZ"/>
        </w:rPr>
        <w:t>)</w:t>
      </w:r>
      <w:r w:rsidR="009C32A0" w:rsidRPr="005675B2">
        <w:rPr>
          <w:bCs/>
          <w:rtl/>
          <w:lang w:val="uz-Latn-UZ"/>
        </w:rPr>
        <w:t xml:space="preserve"> </w:t>
      </w:r>
      <w:r w:rsidR="009C32A0" w:rsidRPr="005675B2">
        <w:rPr>
          <w:rtl/>
          <w:lang w:val="uz-Latn-UZ"/>
        </w:rPr>
        <w:t>معنـاه لأجـل الله، وقس على ذلـك، وهو تفصيـل بالغ قلّ من تيقظ له</w:t>
      </w:r>
      <w:r>
        <w:rPr>
          <w:rtl/>
          <w:lang w:val="uz-Latn-UZ"/>
        </w:rPr>
        <w:t>)</w:t>
      </w:r>
      <w:r w:rsidR="009C32A0" w:rsidRPr="005675B2">
        <w:rPr>
          <w:rtl/>
          <w:lang w:val="uz-Latn-UZ"/>
        </w:rPr>
        <w:t xml:space="preserve"> اهـ</w:t>
      </w:r>
      <w:r>
        <w:rPr>
          <w:rtl/>
          <w:lang w:val="uz-Latn-UZ"/>
        </w:rPr>
        <w:t xml:space="preserve">، </w:t>
      </w:r>
      <w:r w:rsidR="009C32A0" w:rsidRPr="005675B2">
        <w:rPr>
          <w:rtl/>
          <w:lang w:val="uz-Latn-UZ" w:bidi="ar-KW"/>
        </w:rPr>
        <w:t xml:space="preserve">وقال الشيخ علي الطنطاوي رحمه الله تعالى </w:t>
      </w:r>
      <w:r>
        <w:rPr>
          <w:rtl/>
          <w:lang w:val="uz-Latn-UZ" w:bidi="ar-KW"/>
        </w:rPr>
        <w:t>(</w:t>
      </w:r>
      <w:r w:rsidR="009C32A0" w:rsidRPr="005675B2">
        <w:rPr>
          <w:rtl/>
          <w:lang w:val="uz-Latn-UZ" w:bidi="ar-KW"/>
        </w:rPr>
        <w:t>تعريف عام بدين الإسلام ص/82</w:t>
      </w:r>
      <w:r>
        <w:rPr>
          <w:rtl/>
          <w:lang w:val="uz-Latn-UZ" w:bidi="ar-KW"/>
        </w:rPr>
        <w:t>):</w:t>
      </w:r>
      <w:r w:rsidR="009C32A0" w:rsidRPr="005675B2">
        <w:rPr>
          <w:rFonts w:hint="cs"/>
          <w:rtl/>
          <w:lang w:val="uz-Latn-UZ" w:bidi="ar-KW"/>
        </w:rPr>
        <w:t xml:space="preserve"> </w:t>
      </w:r>
      <w:r>
        <w:rPr>
          <w:rtl/>
          <w:lang w:val="uz-Latn-UZ" w:bidi="ar-KW"/>
        </w:rPr>
        <w:t>(</w:t>
      </w:r>
      <w:r w:rsidR="009C32A0" w:rsidRPr="005675B2">
        <w:rPr>
          <w:rtl/>
          <w:lang w:val="uz-Latn-UZ" w:bidi="ar-KW"/>
        </w:rPr>
        <w:t>إذا كانت اللغات تعجز عن الإحاطة بالمشاعر الإنسانية وتضيق عنها، فهي عن أن تحيط بصفات الله أعجز وأضيق، فلا يجوز إذن أن تفهم الكلمات الواردة في آيات الصفات بالمعنى " القاموسي"، ولا يجوز أن نقول</w:t>
      </w:r>
      <w:r>
        <w:rPr>
          <w:rtl/>
          <w:lang w:val="uz-Latn-UZ" w:bidi="ar-KW"/>
        </w:rPr>
        <w:t>:</w:t>
      </w:r>
      <w:r w:rsidR="009C32A0" w:rsidRPr="005675B2">
        <w:rPr>
          <w:rtl/>
          <w:lang w:val="uz-Latn-UZ" w:bidi="ar-KW"/>
        </w:rPr>
        <w:t xml:space="preserve"> إن لله يداً كأيدينا لقوله تعالى</w:t>
      </w:r>
      <w:r>
        <w:rPr>
          <w:rtl/>
          <w:lang w:val="uz-Latn-UZ" w:bidi="ar-KW"/>
        </w:rPr>
        <w:t>:</w:t>
      </w:r>
      <w:r w:rsidR="009C32A0" w:rsidRPr="005675B2">
        <w:rPr>
          <w:rtl/>
          <w:lang w:val="uz-Latn-UZ" w:bidi="ar-KW"/>
        </w:rPr>
        <w:t xml:space="preserve"> </w:t>
      </w:r>
      <w:r>
        <w:rPr>
          <w:bCs/>
          <w:rtl/>
          <w:lang w:val="uz-Latn-UZ" w:bidi="ar-KW"/>
        </w:rPr>
        <w:t>(</w:t>
      </w:r>
      <w:r w:rsidR="009C32A0" w:rsidRPr="005675B2">
        <w:rPr>
          <w:bCs/>
          <w:rtl/>
          <w:lang w:val="uz-Latn-UZ" w:bidi="ar-KW"/>
        </w:rPr>
        <w:t>يد الله فوق أيديهم</w:t>
      </w:r>
      <w:r>
        <w:rPr>
          <w:bCs/>
          <w:rtl/>
          <w:lang w:val="uz-Latn-UZ" w:bidi="ar-KW"/>
        </w:rPr>
        <w:t>)</w:t>
      </w:r>
      <w:r w:rsidR="009C32A0" w:rsidRPr="005675B2">
        <w:rPr>
          <w:rtl/>
          <w:lang w:val="uz-Latn-UZ" w:bidi="ar-KW"/>
        </w:rPr>
        <w:t>ولأن معنى اليد في " القاموس " يدل على ذلك</w:t>
      </w:r>
      <w:r>
        <w:rPr>
          <w:rtl/>
          <w:lang w:val="uz-Latn-UZ" w:bidi="ar-KW"/>
        </w:rPr>
        <w:t>،</w:t>
      </w:r>
      <w:r w:rsidR="009C32A0" w:rsidRPr="005675B2">
        <w:rPr>
          <w:rtl/>
          <w:lang w:val="uz-Latn-UZ" w:bidi="ar-KW"/>
        </w:rPr>
        <w:t xml:space="preserve"> هذا هو الأساس في فهم آيات الصفات، لقوله تعالى</w:t>
      </w:r>
      <w:r>
        <w:rPr>
          <w:bCs/>
          <w:rtl/>
          <w:lang w:val="uz-Latn-UZ" w:bidi="ar-KW"/>
        </w:rPr>
        <w:t>(</w:t>
      </w:r>
      <w:r w:rsidR="009C32A0" w:rsidRPr="005675B2">
        <w:rPr>
          <w:bCs/>
          <w:rtl/>
          <w:lang w:val="uz-Latn-UZ" w:bidi="ar-KW"/>
        </w:rPr>
        <w:t>ليس كمثله شـئ</w:t>
      </w:r>
      <w:r>
        <w:rPr>
          <w:bCs/>
          <w:rtl/>
          <w:lang w:val="uz-Latn-UZ" w:bidi="ar-KW"/>
        </w:rPr>
        <w:t>)</w:t>
      </w:r>
      <w:r w:rsidR="009C32A0" w:rsidRPr="005675B2">
        <w:rPr>
          <w:rtl/>
          <w:lang w:val="uz-Latn-UZ" w:bidi="ar-KW"/>
        </w:rPr>
        <w:t xml:space="preserve"> ولأن الخالق لا يشبه المخلوق</w:t>
      </w:r>
      <w:r>
        <w:rPr>
          <w:rtl/>
          <w:lang w:val="uz-Latn-UZ" w:bidi="ar-KW"/>
        </w:rPr>
        <w:t xml:space="preserve">، </w:t>
      </w:r>
      <w:r w:rsidR="009C32A0" w:rsidRPr="005675B2">
        <w:rPr>
          <w:rtl/>
          <w:lang w:val="uz-Latn-UZ" w:bidi="ar-KW"/>
        </w:rPr>
        <w:t>ولا يجوز كذلك أن ننفي عنها كل معنى، وأن نعطلها من الدلالة</w:t>
      </w:r>
      <w:r>
        <w:rPr>
          <w:rtl/>
          <w:lang w:val="uz-Latn-UZ" w:bidi="ar-KW"/>
        </w:rPr>
        <w:t>،</w:t>
      </w:r>
      <w:r w:rsidR="009C32A0" w:rsidRPr="005675B2">
        <w:rPr>
          <w:rtl/>
          <w:lang w:val="uz-Latn-UZ" w:bidi="ar-KW"/>
        </w:rPr>
        <w:t xml:space="preserve"> فالله لم ينزل القرآن ليعطل عن معانيه، ولم يجعله ألفاظاً جوفاء لا تدل على شيء</w:t>
      </w:r>
      <w:r>
        <w:rPr>
          <w:rtl/>
          <w:lang w:val="uz-Latn-UZ" w:bidi="ar-KW"/>
        </w:rPr>
        <w:t>،</w:t>
      </w:r>
      <w:r w:rsidR="009C32A0" w:rsidRPr="005675B2">
        <w:rPr>
          <w:rtl/>
          <w:lang w:val="uz-Latn-UZ" w:bidi="ar-KW"/>
        </w:rPr>
        <w:t xml:space="preserve"> </w:t>
      </w:r>
    </w:p>
    <w:p w14:paraId="5AD93C6D" w14:textId="1ED63451" w:rsidR="009C32A0" w:rsidRPr="005675B2" w:rsidRDefault="009C32A0" w:rsidP="000636C2">
      <w:pPr>
        <w:widowControl w:val="0"/>
        <w:spacing w:before="80" w:after="240"/>
        <w:rPr>
          <w:rtl/>
          <w:lang w:val="uz-Latn-UZ" w:bidi="ar-KW"/>
        </w:rPr>
      </w:pPr>
      <w:r w:rsidRPr="005675B2">
        <w:rPr>
          <w:bCs/>
          <w:rtl/>
          <w:lang w:val="uz-Latn-UZ" w:bidi="ar-KW"/>
        </w:rPr>
        <w:t>فكيف إذن نفهم آيات الصفات</w:t>
      </w:r>
      <w:r w:rsidR="000636C2">
        <w:rPr>
          <w:rtl/>
          <w:lang w:val="uz-Latn-UZ" w:bidi="ar-KW"/>
        </w:rPr>
        <w:t>؟</w:t>
      </w:r>
      <w:r w:rsidR="000636C2">
        <w:rPr>
          <w:rFonts w:hint="cs"/>
          <w:rtl/>
          <w:lang w:val="uz-Latn-UZ" w:bidi="ar-KW"/>
        </w:rPr>
        <w:t xml:space="preserve"> </w:t>
      </w:r>
      <w:r w:rsidRPr="005675B2">
        <w:rPr>
          <w:rtl/>
          <w:lang w:val="uz-Latn-UZ" w:bidi="ar-KW"/>
        </w:rPr>
        <w:t>لقد وجدت أن هذه الآيات على ثلاثة أشكال</w:t>
      </w:r>
      <w:r w:rsidR="000636C2">
        <w:rPr>
          <w:rtl/>
          <w:lang w:val="uz-Latn-UZ" w:bidi="ar-KW"/>
        </w:rPr>
        <w:t>:</w:t>
      </w:r>
      <w:r w:rsidRPr="005675B2">
        <w:rPr>
          <w:rtl/>
          <w:lang w:val="uz-Latn-UZ" w:bidi="ar-KW"/>
        </w:rPr>
        <w:t xml:space="preserve"> </w:t>
      </w:r>
      <w:r w:rsidRPr="005675B2">
        <w:rPr>
          <w:rFonts w:hint="cs"/>
          <w:rtl/>
          <w:lang w:val="uz-Latn-UZ" w:bidi="ar-KW"/>
        </w:rPr>
        <w:t xml:space="preserve">1 - </w:t>
      </w:r>
      <w:r w:rsidRPr="005675B2">
        <w:rPr>
          <w:rtl/>
          <w:lang w:val="uz-Latn-UZ" w:bidi="ar-KW"/>
        </w:rPr>
        <w:t xml:space="preserve">آيات وردت على سبيل الإخبار من الله كقوله </w:t>
      </w:r>
      <w:r w:rsidR="000636C2">
        <w:rPr>
          <w:rtl/>
          <w:lang w:val="uz-Latn-UZ" w:bidi="ar-KW"/>
        </w:rPr>
        <w:t>(</w:t>
      </w:r>
      <w:r w:rsidRPr="005675B2">
        <w:rPr>
          <w:rtl/>
          <w:lang w:val="uz-Latn-UZ" w:bidi="ar-KW"/>
        </w:rPr>
        <w:t>الرحمن على العرش استوي</w:t>
      </w:r>
      <w:r w:rsidR="000636C2">
        <w:rPr>
          <w:rtl/>
          <w:lang w:val="uz-Latn-UZ" w:bidi="ar-KW"/>
        </w:rPr>
        <w:t>)</w:t>
      </w:r>
      <w:r w:rsidRPr="005675B2">
        <w:rPr>
          <w:rtl/>
          <w:lang w:val="uz-Latn-UZ" w:bidi="ar-KW"/>
        </w:rPr>
        <w:t xml:space="preserve"> فنحن لا نقول</w:t>
      </w:r>
      <w:r w:rsidR="000636C2">
        <w:rPr>
          <w:rtl/>
          <w:lang w:val="uz-Latn-UZ" w:bidi="ar-KW"/>
        </w:rPr>
        <w:t>:</w:t>
      </w:r>
      <w:r w:rsidRPr="005675B2">
        <w:rPr>
          <w:rtl/>
          <w:lang w:val="uz-Latn-UZ" w:bidi="ar-KW"/>
        </w:rPr>
        <w:t xml:space="preserve"> إنه ما استوى،فنكون قد نفينا ما أثبته الله، ولا نقول</w:t>
      </w:r>
      <w:r w:rsidR="000636C2">
        <w:rPr>
          <w:rtl/>
          <w:lang w:val="uz-Latn-UZ" w:bidi="ar-KW"/>
        </w:rPr>
        <w:t>:</w:t>
      </w:r>
      <w:r w:rsidRPr="005675B2">
        <w:rPr>
          <w:rtl/>
          <w:lang w:val="uz-Latn-UZ" w:bidi="ar-KW"/>
        </w:rPr>
        <w:t xml:space="preserve"> إنه استوى على العرش كما يستوي القاعد على الكرسي، فنكون قد شبهنا الخالق بالمخلوق، ولكن نؤمن بأن هذا هو كلام الله، وأن لله مراداً منه لم نفهم حقيقته وتفصيله، لأنه لم يبين لنا مفصلاً، ولأن العقل البشري يعجز عن الوصول إلى ذلك بنفسه، ولا نخوض فيه بل نتبع فيه طريق السلف، والسلف لم يبحثوا فيه أصلاً، ولم يقولوا " حقيقة " ولم يقولوا "مجازاً "</w:t>
      </w:r>
      <w:r w:rsidR="000636C2">
        <w:rPr>
          <w:rtl/>
          <w:lang w:val="uz-Latn-UZ" w:bidi="ar-KW"/>
        </w:rPr>
        <w:t xml:space="preserve">، </w:t>
      </w:r>
      <w:r w:rsidRPr="005675B2">
        <w:rPr>
          <w:rFonts w:hint="cs"/>
          <w:rtl/>
          <w:lang w:val="uz-Latn-UZ" w:bidi="ar-KW"/>
        </w:rPr>
        <w:t xml:space="preserve">2 - </w:t>
      </w:r>
      <w:r w:rsidRPr="005675B2">
        <w:rPr>
          <w:rtl/>
          <w:lang w:val="uz-Latn-UZ" w:bidi="ar-KW"/>
        </w:rPr>
        <w:t>آيات وردت على الأسلوب المعروف عند علماء البلاغة بالمشاكلة ..</w:t>
      </w:r>
      <w:r w:rsidR="000636C2">
        <w:rPr>
          <w:rtl/>
          <w:lang w:val="uz-Latn-UZ" w:bidi="ar-KW"/>
        </w:rPr>
        <w:t>،</w:t>
      </w:r>
      <w:r w:rsidRPr="005675B2">
        <w:rPr>
          <w:rtl/>
          <w:lang w:val="uz-Latn-UZ" w:bidi="ar-KW"/>
        </w:rPr>
        <w:t xml:space="preserve"> والآيات الواردة على هذا الأسلوب كثيرة، كقوله تعالى</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نسوا الله فنسيهم</w:t>
      </w:r>
      <w:r w:rsidR="000636C2">
        <w:rPr>
          <w:rtl/>
          <w:lang w:val="uz-Latn-UZ" w:bidi="ar-KW"/>
        </w:rPr>
        <w:t>)</w:t>
      </w:r>
      <w:r w:rsidRPr="005675B2">
        <w:rPr>
          <w:rtl/>
          <w:lang w:val="uz-Latn-UZ" w:bidi="ar-KW"/>
        </w:rPr>
        <w:t xml:space="preserve"> .. ومن أمثالها آية</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ومكروا ومكر الله</w:t>
      </w:r>
      <w:r w:rsidR="000636C2">
        <w:rPr>
          <w:rtl/>
          <w:lang w:val="uz-Latn-UZ" w:bidi="ar-KW"/>
        </w:rPr>
        <w:t>)</w:t>
      </w:r>
      <w:r w:rsidRPr="005675B2">
        <w:rPr>
          <w:rtl/>
          <w:lang w:val="uz-Latn-UZ" w:bidi="ar-KW"/>
        </w:rPr>
        <w:t xml:space="preserve"> وآية</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يخادعون الله وهو خادعهم</w:t>
      </w:r>
      <w:r w:rsidR="000636C2">
        <w:rPr>
          <w:rtl/>
          <w:lang w:val="uz-Latn-UZ" w:bidi="ar-KW"/>
        </w:rPr>
        <w:t>)</w:t>
      </w:r>
      <w:r w:rsidR="000636C2">
        <w:rPr>
          <w:rFonts w:hint="cs"/>
          <w:rtl/>
          <w:lang w:val="uz-Latn-UZ" w:bidi="ar-KW"/>
        </w:rPr>
        <w:t>،</w:t>
      </w:r>
      <w:r w:rsidRPr="005675B2">
        <w:rPr>
          <w:rFonts w:hint="cs"/>
          <w:rtl/>
          <w:lang w:val="uz-Latn-UZ" w:bidi="ar-KW"/>
        </w:rPr>
        <w:t xml:space="preserve"> 3 - </w:t>
      </w:r>
      <w:r w:rsidRPr="005675B2">
        <w:rPr>
          <w:rtl/>
          <w:lang w:val="uz-Latn-UZ" w:bidi="ar-KW"/>
        </w:rPr>
        <w:t>آيات دلّت على المراد منها آيات أخرى، كقوله تعالى</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وقالت اليهود يد الله مغلولة غلّت أيديهم ولعنوا بما قالوا بل يداه مبسوطتان ينفق كيف يشاء</w:t>
      </w:r>
      <w:r w:rsidR="000636C2">
        <w:rPr>
          <w:rtl/>
          <w:lang w:val="uz-Latn-UZ" w:bidi="ar-KW"/>
        </w:rPr>
        <w:t>)</w:t>
      </w:r>
      <w:r w:rsidRPr="005675B2">
        <w:rPr>
          <w:rtl/>
          <w:lang w:val="uz-Latn-UZ" w:bidi="ar-KW"/>
        </w:rPr>
        <w:t xml:space="preserve"> تدل على المراد منها آية</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ولا تجعل يدك مغلولة إلى عنقك ولا تبسطها كل البسط</w:t>
      </w:r>
      <w:r w:rsidR="000636C2">
        <w:rPr>
          <w:rtl/>
          <w:lang w:val="uz-Latn-UZ" w:bidi="ar-KW"/>
        </w:rPr>
        <w:t>)</w:t>
      </w:r>
      <w:r w:rsidRPr="005675B2">
        <w:rPr>
          <w:rtl/>
          <w:lang w:val="uz-Latn-UZ" w:bidi="ar-KW"/>
        </w:rPr>
        <w:t xml:space="preserve"> ويفهم منها أن بسط اليد يراد به الكرم والجود ولا يستلزم ذلك " بل يستحيل " أن يكون لله تعالى يدان حقيقيتان كأيدي الناس وقد جاء في القرآن قوله</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بين يدي رحمته</w:t>
      </w:r>
      <w:r w:rsidR="000636C2">
        <w:rPr>
          <w:rtl/>
          <w:lang w:val="uz-Latn-UZ" w:bidi="ar-KW"/>
        </w:rPr>
        <w:t>)</w:t>
      </w:r>
      <w:r w:rsidRPr="005675B2">
        <w:rPr>
          <w:rtl/>
          <w:lang w:val="uz-Latn-UZ" w:bidi="ar-KW"/>
        </w:rPr>
        <w:t xml:space="preserve"> و</w:t>
      </w:r>
      <w:r w:rsidR="000636C2">
        <w:rPr>
          <w:rtl/>
          <w:lang w:val="uz-Latn-UZ" w:bidi="ar-KW"/>
        </w:rPr>
        <w:t>(</w:t>
      </w:r>
      <w:r w:rsidRPr="005675B2">
        <w:rPr>
          <w:rtl/>
          <w:lang w:val="uz-Latn-UZ" w:bidi="ar-KW"/>
        </w:rPr>
        <w:t>بين يدى عذاب شديد</w:t>
      </w:r>
      <w:r w:rsidR="000636C2">
        <w:rPr>
          <w:rtl/>
          <w:lang w:val="uz-Latn-UZ" w:bidi="ar-KW"/>
        </w:rPr>
        <w:t>)</w:t>
      </w:r>
      <w:r w:rsidRPr="005675B2">
        <w:rPr>
          <w:rtl/>
          <w:lang w:val="uz-Latn-UZ" w:bidi="ar-KW"/>
        </w:rPr>
        <w:t xml:space="preserve"> والقرآن </w:t>
      </w:r>
      <w:r w:rsidR="000636C2">
        <w:rPr>
          <w:rtl/>
          <w:lang w:val="uz-Latn-UZ" w:bidi="ar-KW"/>
        </w:rPr>
        <w:t>(</w:t>
      </w:r>
      <w:r w:rsidRPr="005675B2">
        <w:rPr>
          <w:rtl/>
          <w:lang w:val="uz-Latn-UZ" w:bidi="ar-KW"/>
        </w:rPr>
        <w:t>لا يأتيه الباطل بين يديه</w:t>
      </w:r>
      <w:r w:rsidR="000636C2">
        <w:rPr>
          <w:rtl/>
          <w:lang w:val="uz-Latn-UZ" w:bidi="ar-KW"/>
        </w:rPr>
        <w:t>)</w:t>
      </w:r>
      <w:r w:rsidRPr="005675B2">
        <w:rPr>
          <w:rtl/>
          <w:lang w:val="uz-Latn-UZ" w:bidi="ar-KW"/>
        </w:rPr>
        <w:t xml:space="preserve"> وليس للرحمة ولا للعذاب ولا للقرآن يدان حقيقيتان</w:t>
      </w:r>
      <w:r w:rsidR="000636C2">
        <w:rPr>
          <w:rtl/>
          <w:lang w:val="uz-Latn-UZ" w:bidi="ar-KW"/>
        </w:rPr>
        <w:t>)</w:t>
      </w:r>
      <w:r w:rsidRPr="005675B2">
        <w:rPr>
          <w:rtl/>
          <w:lang w:val="uz-Latn-UZ" w:bidi="ar-KW"/>
        </w:rPr>
        <w:t xml:space="preserve"> اهـ</w:t>
      </w:r>
      <w:r w:rsidR="000636C2">
        <w:rPr>
          <w:rtl/>
          <w:lang w:val="uz-Latn-UZ" w:bidi="ar-KW"/>
        </w:rPr>
        <w:t>،</w:t>
      </w:r>
      <w:r w:rsidRPr="005675B2">
        <w:rPr>
          <w:rtl/>
          <w:lang w:val="uz-Latn-UZ" w:bidi="ar-KW"/>
        </w:rPr>
        <w:t xml:space="preserve"> </w:t>
      </w:r>
    </w:p>
    <w:p w14:paraId="5AF01789" w14:textId="3FE2D662" w:rsidR="009C32A0" w:rsidRPr="005675B2" w:rsidRDefault="009C32A0" w:rsidP="000636C2">
      <w:pPr>
        <w:widowControl w:val="0"/>
        <w:spacing w:before="80" w:after="240"/>
        <w:rPr>
          <w:rtl/>
          <w:lang w:val="uz-Latn-UZ" w:bidi="ar-KW"/>
        </w:rPr>
      </w:pPr>
      <w:r w:rsidRPr="005675B2">
        <w:rPr>
          <w:bCs/>
          <w:rtl/>
          <w:lang w:val="uz-Latn-UZ" w:bidi="ar-KW"/>
        </w:rPr>
        <w:t>ومما هو جدير بال</w:t>
      </w:r>
      <w:r w:rsidR="000636C2">
        <w:rPr>
          <w:bCs/>
          <w:rtl/>
          <w:lang w:val="uz-Latn-UZ" w:bidi="ar-KW"/>
        </w:rPr>
        <w:t>(</w:t>
      </w:r>
      <w:r>
        <w:rPr>
          <w:bCs/>
          <w:rtl/>
          <w:lang w:val="uz-Latn-UZ" w:bidi="ar-KW"/>
        </w:rPr>
        <w:t>تنبيه</w:t>
      </w:r>
      <w:r w:rsidR="000636C2">
        <w:rPr>
          <w:bCs/>
          <w:rtl/>
          <w:lang w:val="uz-Latn-UZ" w:bidi="ar-KW"/>
        </w:rPr>
        <w:t>)</w:t>
      </w:r>
      <w:r w:rsidRPr="005675B2">
        <w:rPr>
          <w:bCs/>
          <w:rtl/>
          <w:lang w:val="uz-Latn-UZ" w:bidi="ar-KW"/>
        </w:rPr>
        <w:t xml:space="preserve"> عليه والتحذير منه ذلك المنهج الغريب والمسلك الشاذ عن أصول المنهج العلمي</w:t>
      </w:r>
      <w:r w:rsidRPr="005675B2">
        <w:rPr>
          <w:rtl/>
          <w:lang w:val="uz-Latn-UZ" w:bidi="ar-KW"/>
        </w:rPr>
        <w:t xml:space="preserve"> لا سيما في مجـال العقيدة وأبواب الصفات التي نيطت بالقطعي واليقيني من الأدلة، ذلك المنهج الذي طفق أصحابه يثبتون صفات لله تعالى بأحاديث وآثار لا تصلح أن تكون دليلاً في جزئيات فروع الفقه فضلاً عن أصول الديانات وما يتعلق منها بذات الله تعالى وصفاته، وهؤلاء متناقضون في أحكامهم أشد التناقض وأصرحه، فبينما هم يتساهلون هنا في جانب الإثبات، ويثبتون لله تعالى الصفات بأحاديث واهية وأخبار ضعيفة، تراهم يتشددون في جانب الفروع الفقهية، بل أبواب الترغيب والترهيب وأبواب فضائل الأعمال - هذه الأبواب التي تساهل العلماء في قبول الأحاديث فيها بالشروط المعروفة - وينكرون على الناس العمل بالأحاديث الضعيفة في هذه الأبواب، ثم يثبتون لله تعالى صفات بمثل هذه الأحاديث التي أنكروها، بل أضعف منها وأوهى، فيتشدّدون في مواطن التسهيل ويتساهلون في المواطن التي يجب التشدد والتيقن فيها مثل العقائد، هذا مع افتراضنا أن مضمون هذه الأحاديث والآثار التي يثبتون بها لله تعالى الصفات مما لا يحيله العقل والنقل، فكيف والأمر على النقيض من ذلك ومضمونها وظواهرها مما قطعت العقول الصريحة والنقول الصحيحة باستحالته وتنزه الله تعالى عنه، لا شك أن البلية في هذه الحال تكون أعظم والخطر أجسم</w:t>
      </w:r>
      <w:r w:rsidR="000636C2">
        <w:rPr>
          <w:rtl/>
          <w:lang w:val="uz-Latn-UZ" w:bidi="ar-KW"/>
        </w:rPr>
        <w:t>،</w:t>
      </w:r>
      <w:r w:rsidRPr="005675B2">
        <w:rPr>
          <w:rtl/>
          <w:lang w:val="uz-Latn-UZ" w:bidi="ar-KW"/>
        </w:rPr>
        <w:t xml:space="preserve"> </w:t>
      </w:r>
      <w:r w:rsidRPr="005675B2">
        <w:rPr>
          <w:bCs/>
          <w:rtl/>
          <w:lang w:val="uz-Latn-UZ"/>
        </w:rPr>
        <w:t xml:space="preserve">ولقد نقلنا قبل عن الإمام الأبي في شرحه على صحيح مسلم </w:t>
      </w:r>
      <w:r w:rsidR="000636C2">
        <w:rPr>
          <w:bCs/>
          <w:rtl/>
          <w:lang w:val="uz-Latn-UZ"/>
        </w:rPr>
        <w:t>(</w:t>
      </w:r>
      <w:r w:rsidRPr="005675B2">
        <w:rPr>
          <w:bCs/>
          <w:rtl/>
          <w:lang w:val="uz-Latn-UZ"/>
        </w:rPr>
        <w:t>7 / 54</w:t>
      </w:r>
      <w:r w:rsidR="000636C2">
        <w:rPr>
          <w:bCs/>
          <w:rtl/>
          <w:lang w:val="uz-Latn-UZ"/>
        </w:rPr>
        <w:t>)</w:t>
      </w:r>
      <w:r w:rsidRPr="005675B2">
        <w:rPr>
          <w:bCs/>
          <w:rtl/>
          <w:lang w:val="uz-Latn-UZ"/>
        </w:rPr>
        <w:t xml:space="preserve"> قاعدة ذهبية في أبواب الصفات، لا بأس بإعادتها لتستقر في الأذهان والعقول، قال رحمه الله تعالى</w:t>
      </w:r>
      <w:r w:rsidR="000636C2">
        <w:rPr>
          <w:bCs/>
          <w:rtl/>
          <w:lang w:val="uz-Latn-UZ"/>
        </w:rPr>
        <w:t>:</w:t>
      </w:r>
      <w:r w:rsidRPr="005675B2">
        <w:rPr>
          <w:rFonts w:hint="cs"/>
          <w:bCs/>
          <w:rtl/>
          <w:lang w:val="uz-Latn-UZ"/>
        </w:rPr>
        <w:t xml:space="preserve"> </w:t>
      </w:r>
      <w:r w:rsidR="000636C2">
        <w:rPr>
          <w:bCs/>
          <w:rtl/>
          <w:lang w:val="uz-Latn-UZ"/>
        </w:rPr>
        <w:t>(</w:t>
      </w:r>
      <w:r w:rsidRPr="005675B2">
        <w:rPr>
          <w:bCs/>
          <w:rtl/>
          <w:lang w:val="uz-Latn-UZ"/>
        </w:rPr>
        <w:t>القاعدة التي يجب اعتبارها أن ما يستحيل نسبته للذات أو الصفات يستحيل أن يرد متواتراً في نص لا يحتمل التأويل، وغاية المتواتر أن يرد فيما دلالته على المحال دلالة ظاهرة، والظاهر يقبل التأويل، فإن ورد يجب صرف اللفظ عن ظاهره المستحيل، ثم اختلف فوقف أكثر السلف عن التأويل، وقالوا نؤمن به على ما هو عند الله سبحانه في نفس الأمر، ونكِلُ علم ذلك إلى الله سبحانه، وقال قوم بل الأولى التأويل .. وإن ورد خبر واحد نصّاً في محال قطع بكذب راويه، وإن كان محتملاً للتأويل يتصرف فيه كما سبق</w:t>
      </w:r>
      <w:r w:rsidR="000636C2">
        <w:rPr>
          <w:bCs/>
          <w:rtl/>
          <w:lang w:val="uz-Latn-UZ"/>
        </w:rPr>
        <w:t>)</w:t>
      </w:r>
      <w:r w:rsidRPr="005675B2">
        <w:rPr>
          <w:bCs/>
          <w:rtl/>
          <w:lang w:val="uz-Latn-UZ"/>
        </w:rPr>
        <w:t xml:space="preserve"> اهـ</w:t>
      </w:r>
      <w:r w:rsidR="000636C2">
        <w:rPr>
          <w:bCs/>
          <w:rtl/>
          <w:lang w:val="uz-Latn-UZ"/>
        </w:rPr>
        <w:t xml:space="preserve">، </w:t>
      </w:r>
      <w:r w:rsidRPr="005675B2">
        <w:rPr>
          <w:rtl/>
          <w:lang w:val="uz-Latn-UZ"/>
        </w:rPr>
        <w:t>ومضمون هذه القاعـدة مما اجتمعت عليه عقول أعلام الأمة وأئمـة المسلميـن والعارفين بالله، وهذا مما يدل يقيناً على خطأ هؤلاء المجازفين</w:t>
      </w:r>
      <w:r w:rsidR="000636C2">
        <w:rPr>
          <w:rtl/>
          <w:lang w:val="uz-Latn-UZ"/>
        </w:rPr>
        <w:t xml:space="preserve">، </w:t>
      </w:r>
      <w:r w:rsidRPr="005675B2">
        <w:rPr>
          <w:rtl/>
          <w:lang w:val="uz-Latn-UZ"/>
        </w:rPr>
        <w:t xml:space="preserve">قال الحافظ ابن الجوزي - رحمه الله تعالى - </w:t>
      </w:r>
      <w:r w:rsidR="000636C2">
        <w:rPr>
          <w:rtl/>
          <w:lang w:val="uz-Latn-UZ"/>
        </w:rPr>
        <w:t>(</w:t>
      </w:r>
      <w:r w:rsidRPr="005675B2">
        <w:rPr>
          <w:rtl/>
          <w:lang w:val="uz-Latn-UZ"/>
        </w:rPr>
        <w:t>دفع شبه التشبيه 155</w:t>
      </w:r>
      <w:r w:rsidR="000636C2">
        <w:rPr>
          <w:rtl/>
          <w:lang w:val="uz-Latn-UZ"/>
        </w:rPr>
        <w:t>):</w:t>
      </w:r>
      <w:r w:rsidRPr="005675B2">
        <w:rPr>
          <w:rFonts w:hint="cs"/>
          <w:rtl/>
          <w:lang w:val="uz-Latn-UZ"/>
        </w:rPr>
        <w:t xml:space="preserve"> </w:t>
      </w:r>
      <w:r w:rsidR="000636C2">
        <w:rPr>
          <w:rtl/>
          <w:lang w:val="uz-Latn-UZ"/>
        </w:rPr>
        <w:t>(</w:t>
      </w:r>
      <w:r w:rsidRPr="005675B2">
        <w:rPr>
          <w:rtl/>
          <w:lang w:val="uz-Latn-UZ"/>
        </w:rPr>
        <w:t>لا تنفع ثقة الرواة إذا كان المتن مستحيلاً، وصار هذا كما لو أخبرنا جماعة من المعدّلين</w:t>
      </w:r>
      <w:r w:rsidR="000636C2">
        <w:rPr>
          <w:rtl/>
          <w:lang w:val="uz-Latn-UZ"/>
        </w:rPr>
        <w:t>:</w:t>
      </w:r>
      <w:r w:rsidRPr="005675B2">
        <w:rPr>
          <w:rtl/>
          <w:lang w:val="uz-Latn-UZ"/>
        </w:rPr>
        <w:t xml:space="preserve"> بأن جمل البزاز دخل في خرم إبرة الخياط، فإنه لا حكم لصدق الرواة مع استحالة خبرهم</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rPr>
        <w:t>وبهذا نختم هذا الباب، ونمسك القلم عن الإسهاب، لننتقل إلى باب آخر من الحديث نثبت فيه كون الأشاعرة والماتريدية غالب الأمة المحمدية، وعلى الله التكلان</w:t>
      </w:r>
      <w:r w:rsidR="000636C2">
        <w:rPr>
          <w:rtl/>
          <w:lang w:val="uz-Latn-UZ"/>
        </w:rPr>
        <w:t>،</w:t>
      </w:r>
      <w:r w:rsidRPr="005675B2">
        <w:rPr>
          <w:rtl/>
          <w:lang w:val="uz-Latn-UZ"/>
        </w:rPr>
        <w:t xml:space="preserve"> </w:t>
      </w:r>
    </w:p>
    <w:p w14:paraId="47C3B8DD" w14:textId="77777777" w:rsidR="009C32A0" w:rsidRPr="005675B2" w:rsidRDefault="009C32A0" w:rsidP="000636C2">
      <w:pPr>
        <w:widowControl w:val="0"/>
        <w:spacing w:before="80" w:after="240"/>
        <w:jc w:val="center"/>
        <w:rPr>
          <w:b/>
          <w:bCs/>
          <w:rtl/>
          <w:lang w:val="uz-Latn-UZ"/>
        </w:rPr>
      </w:pPr>
      <w:r w:rsidRPr="005675B2">
        <w:rPr>
          <w:bCs/>
          <w:rtl/>
          <w:lang w:val="uz-Latn-UZ" w:bidi="ar-KW"/>
        </w:rPr>
        <w:t>* * * * *</w:t>
      </w:r>
    </w:p>
    <w:p w14:paraId="3A97C4D0" w14:textId="3EC47B21" w:rsidR="009C32A0" w:rsidRPr="005675B2" w:rsidRDefault="009C32A0" w:rsidP="000636C2">
      <w:pPr>
        <w:widowControl w:val="0"/>
        <w:spacing w:before="80" w:after="240"/>
        <w:rPr>
          <w:rtl/>
          <w:lang w:val="uz-Latn-UZ"/>
        </w:rPr>
      </w:pPr>
      <w:r w:rsidRPr="005675B2">
        <w:rPr>
          <w:bCs/>
          <w:rtl/>
          <w:lang w:val="uz-Latn-UZ"/>
        </w:rPr>
        <w:t>الأشاعرة والماتريدية هم غالب الأمة</w:t>
      </w:r>
      <w:r w:rsidR="000636C2">
        <w:rPr>
          <w:rFonts w:hint="cs"/>
          <w:bCs/>
          <w:rtl/>
          <w:lang w:val="uz-Latn-UZ" w:bidi="ar-KW"/>
        </w:rPr>
        <w:t xml:space="preserve">: </w:t>
      </w:r>
      <w:r w:rsidRPr="005675B2">
        <w:rPr>
          <w:rtl/>
          <w:lang w:val="uz-Latn-UZ" w:bidi="ar-KW"/>
        </w:rPr>
        <w:t>علماء الأمة هم نجوم السماء، يهتدي بهم من أطبقت عليه ظلمات الحيرة والتبست عليه معالم الطرق، فإذا رأى أمامه أكابر الذين شهدت لهم الأمة بالفضل وتلقاهم الخاصة والعامة بالقبول علم حينئذ أن هذا المنهج والطريق الذي سلكه هؤلاء منهج هدى وصراط مستقيم</w:t>
      </w:r>
      <w:r w:rsidR="000636C2">
        <w:rPr>
          <w:rtl/>
          <w:lang w:val="uz-Latn-UZ" w:bidi="ar-KW"/>
        </w:rPr>
        <w:t xml:space="preserve">، </w:t>
      </w:r>
      <w:r w:rsidRPr="005675B2">
        <w:rPr>
          <w:rtl/>
          <w:lang w:val="uz-Latn-UZ"/>
        </w:rPr>
        <w:t>ومذهب الأشاعرة ومن وافقهم من أهل السنة هو المذهب الذي عليه سواد الأمة وأكابر أهل الفضل فيها كما نقلنا من أقوال علماء المسلمين، وما ذاك إلا لأنه الامتداد الطبيعي لما كان عليه الصحابة والتابعون وتابعوهم، فلم يبق علم من العلوم لم يكن لهم الريادة فيه، ولا تركوا باباً للمعرفة لم يلجوه، فكان لهم في كل علم من علوم الشريعة وغيرها القدح المعلى والجبين الأجلى</w:t>
      </w:r>
      <w:r w:rsidR="000636C2">
        <w:rPr>
          <w:rtl/>
          <w:lang w:val="uz-Latn-UZ"/>
        </w:rPr>
        <w:t>،</w:t>
      </w:r>
      <w:r w:rsidRPr="005675B2">
        <w:rPr>
          <w:rtl/>
          <w:lang w:val="uz-Latn-UZ"/>
        </w:rPr>
        <w:t xml:space="preserve"> </w:t>
      </w:r>
    </w:p>
    <w:p w14:paraId="6B6620D3" w14:textId="77777777" w:rsidR="009C32A0" w:rsidRPr="005675B2" w:rsidRDefault="009C32A0" w:rsidP="000636C2">
      <w:pPr>
        <w:widowControl w:val="0"/>
        <w:spacing w:before="80" w:after="240"/>
        <w:jc w:val="center"/>
        <w:rPr>
          <w:b/>
          <w:bCs/>
          <w:rtl/>
          <w:lang w:val="uz-Latn-UZ"/>
        </w:rPr>
      </w:pPr>
      <w:r w:rsidRPr="005675B2">
        <w:rPr>
          <w:rtl/>
          <w:lang w:val="uz-Latn-UZ"/>
        </w:rPr>
        <w:t>* * * * *</w:t>
      </w:r>
    </w:p>
    <w:p w14:paraId="48062082" w14:textId="49CE1E9D" w:rsidR="009C32A0" w:rsidRPr="005675B2" w:rsidRDefault="009C32A0" w:rsidP="000636C2">
      <w:pPr>
        <w:widowControl w:val="0"/>
        <w:tabs>
          <w:tab w:val="num" w:pos="386"/>
        </w:tabs>
        <w:spacing w:before="80" w:after="240"/>
        <w:rPr>
          <w:rtl/>
          <w:lang w:val="uz-Latn-UZ" w:bidi="ar-KW"/>
        </w:rPr>
      </w:pPr>
      <w:r w:rsidRPr="005675B2">
        <w:rPr>
          <w:bCs/>
          <w:rtl/>
          <w:lang w:val="uz-Latn-UZ"/>
        </w:rPr>
        <w:t>أكابر مفسرى الأمة من الأشاعرة والماتريدية</w:t>
      </w:r>
      <w:r w:rsidR="000636C2">
        <w:rPr>
          <w:rFonts w:hint="cs"/>
          <w:bCs/>
          <w:rtl/>
          <w:lang w:val="uz-Latn-UZ" w:bidi="ar-KW"/>
        </w:rPr>
        <w:t xml:space="preserve">: </w:t>
      </w:r>
      <w:r w:rsidRPr="005675B2">
        <w:rPr>
          <w:rtl/>
          <w:lang w:val="uz-Latn-UZ" w:bidi="ar-KW"/>
        </w:rPr>
        <w:t>ومن هذه العلوم التي كان لأهل السنة فضل التقدم والتبريز فيها علم تفسير كتاب الله تعالى والعلوم المتعلقة به كالقراءات والغريب والمشكل ونحوها، وإلمامة عجلى بثلة من أعلام هذا الباب تقفك على هذه الحقيقة</w:t>
      </w:r>
      <w:r w:rsidR="000636C2">
        <w:rPr>
          <w:rtl/>
          <w:lang w:val="uz-Latn-UZ" w:bidi="ar-KW"/>
        </w:rPr>
        <w:t xml:space="preserve">، </w:t>
      </w:r>
      <w:r w:rsidRPr="005675B2">
        <w:rPr>
          <w:rtl/>
          <w:lang w:val="uz-Latn-UZ"/>
        </w:rPr>
        <w:t>الإمام الفذ المفسر والمحدث العلامة القرطبي رحمه الله تعالى، صاحب تفسير الجامع لأحكام القرآن، وقد سارت بتفسيره العظيم الشأن الركبان، حكى في تفسيره مذاهب السلف كلها، قال عنه الداوودي في الطبقات " هو من أجل التفاسير وأعظمها نفعاً "</w:t>
      </w:r>
      <w:r w:rsidR="000636C2">
        <w:rPr>
          <w:rtl/>
          <w:lang w:val="uz-Latn-UZ"/>
        </w:rPr>
        <w:t>،</w:t>
      </w:r>
      <w:r w:rsidRPr="005675B2">
        <w:rPr>
          <w:rtl/>
          <w:lang w:val="uz-Latn-UZ"/>
        </w:rPr>
        <w:t xml:space="preserve"> </w:t>
      </w:r>
      <w:r w:rsidRPr="005675B2">
        <w:rPr>
          <w:rtl/>
          <w:lang w:bidi="ar-KW"/>
        </w:rPr>
        <w:t xml:space="preserve">الإمام الحافظ المفسر أبو الفداء إسماعيل بن كثير رحمه الله تعالى، صاحب التفسير العظيم والبداية والنهاية وغيرها، فقد نُـقِـلَ عنه أنه صَـرَّحَ بأنه أشعري كما في الدرر الكامنة 1/58، والدارس في تاريخ المدارس للنعيمي 2/89، أضف إلى ذلك أنه ولي مشيخة دار الحديث الأشرفية التي كان شرط واقفها أن لا يلي مشيختها إلا أشعري، وزدْ عليه ما في تفسيره من التنزيه والتقديس والتشديد على من يقول بظواهر المتشابه كما مـرَّ من قوله عند تفسيره لقوله تعالى من سـورة الأعراف </w:t>
      </w:r>
      <w:r w:rsidR="000636C2">
        <w:rPr>
          <w:bCs/>
          <w:rtl/>
          <w:lang w:bidi="ar-KW"/>
        </w:rPr>
        <w:t>(</w:t>
      </w:r>
      <w:r w:rsidRPr="005675B2">
        <w:rPr>
          <w:bCs/>
          <w:rtl/>
          <w:lang w:bidi="ar-KW"/>
        </w:rPr>
        <w:t>ثمّ استوي على العرش</w:t>
      </w:r>
      <w:r w:rsidR="000636C2">
        <w:rPr>
          <w:bCs/>
          <w:rtl/>
          <w:lang w:bidi="ar-KW"/>
        </w:rPr>
        <w:t>)</w:t>
      </w:r>
      <w:r w:rsidRPr="005675B2">
        <w:rPr>
          <w:bCs/>
          <w:rtl/>
          <w:lang w:bidi="ar-KW"/>
        </w:rPr>
        <w:t xml:space="preserve"> </w:t>
      </w:r>
      <w:r w:rsidR="000636C2">
        <w:rPr>
          <w:bCs/>
          <w:rtl/>
          <w:lang w:bidi="ar-KW"/>
        </w:rPr>
        <w:t>(</w:t>
      </w:r>
      <w:r w:rsidRPr="005675B2">
        <w:rPr>
          <w:rtl/>
          <w:lang w:bidi="ar-KW"/>
        </w:rPr>
        <w:t xml:space="preserve">تفسيره </w:t>
      </w:r>
      <w:r w:rsidRPr="005675B2">
        <w:rPr>
          <w:bCs/>
          <w:rtl/>
          <w:lang w:val="uz-Latn-UZ" w:bidi="ar-KW"/>
        </w:rPr>
        <w:t>2/220</w:t>
      </w:r>
      <w:r w:rsidR="000636C2">
        <w:rPr>
          <w:bCs/>
          <w:rtl/>
          <w:lang w:val="uz-Latn-UZ" w:bidi="ar-KW"/>
        </w:rPr>
        <w:t>)</w:t>
      </w:r>
      <w:r w:rsidRPr="005675B2">
        <w:rPr>
          <w:bCs/>
          <w:rtl/>
          <w:lang w:val="uz-Latn-UZ" w:bidi="ar-KW"/>
        </w:rPr>
        <w:t xml:space="preserve"> </w:t>
      </w:r>
      <w:r w:rsidRPr="005675B2">
        <w:rPr>
          <w:rtl/>
          <w:lang w:val="uz-Latn-UZ" w:bidi="ar-KW"/>
        </w:rPr>
        <w:t>إلى غير ذلك من الأمثلة الظاهرة الجلية في كونه من أهل السنة الأشاعـرة</w:t>
      </w:r>
      <w:r w:rsidR="000636C2">
        <w:rPr>
          <w:rtl/>
          <w:lang w:val="uz-Latn-UZ" w:bidi="ar-KW"/>
        </w:rPr>
        <w:t xml:space="preserve">، </w:t>
      </w:r>
      <w:r w:rsidRPr="005675B2">
        <w:rPr>
          <w:rtl/>
          <w:lang w:val="uz-Latn-UZ"/>
        </w:rPr>
        <w:t xml:space="preserve">الإمام المفسر الكبير قدوة المفسرين ابن عطية الأندلسي رحمه الله تعالى صاحب تفسير المحرر الوجيز، ألّف كتابه في التفسير فأحسن فيه وأبدع، كان رحمه الله من أفاضل أهل السنة والجماعة ومن أكابر أهل الفضل، قال أبو حيان الأندلسي فيه </w:t>
      </w:r>
      <w:r w:rsidR="000636C2">
        <w:rPr>
          <w:rtl/>
          <w:lang w:val="uz-Latn-UZ"/>
        </w:rPr>
        <w:t>(</w:t>
      </w:r>
      <w:r w:rsidRPr="005675B2">
        <w:rPr>
          <w:rtl/>
          <w:lang w:val="uz-Latn-UZ"/>
        </w:rPr>
        <w:t>في مقدمة البحر المحيط</w:t>
      </w:r>
      <w:r w:rsidR="000636C2">
        <w:rPr>
          <w:rtl/>
          <w:lang w:val="uz-Latn-UZ"/>
        </w:rPr>
        <w:t>)</w:t>
      </w:r>
      <w:r w:rsidR="000636C2">
        <w:rPr>
          <w:rtl/>
          <w:lang w:val="uz-Latn-UZ" w:bidi="ar-KW"/>
        </w:rPr>
        <w:t>:</w:t>
      </w:r>
      <w:r w:rsidRPr="005675B2">
        <w:rPr>
          <w:rtl/>
          <w:lang w:val="uz-Latn-UZ" w:bidi="ar-KW"/>
        </w:rPr>
        <w:t xml:space="preserve"> " هو أجلّ من صنف في علم التفسير وأفضل من تعرض للتنقيح فيه والتحرير "</w:t>
      </w:r>
      <w:r w:rsidR="000636C2">
        <w:rPr>
          <w:rFonts w:hint="cs"/>
          <w:rtl/>
          <w:lang w:val="uz-Latn-UZ"/>
        </w:rPr>
        <w:t xml:space="preserve">، </w:t>
      </w:r>
      <w:r w:rsidRPr="005675B2">
        <w:rPr>
          <w:rtl/>
          <w:lang w:val="uz-Latn-UZ"/>
        </w:rPr>
        <w:t>الإمام أبو حيان الأندلسي رحمه الله تعالى صاحب البحر المحيط والنهر الماد من البحر، الحجة الثبت اللغوي، وهو غني عن التعريف به والتنويه بذكره</w:t>
      </w:r>
      <w:r w:rsidR="000636C2">
        <w:rPr>
          <w:rtl/>
          <w:lang w:val="uz-Latn-UZ"/>
        </w:rPr>
        <w:t xml:space="preserve">، </w:t>
      </w:r>
      <w:r w:rsidRPr="005675B2">
        <w:rPr>
          <w:rtl/>
          <w:lang w:val="uz-Latn-UZ"/>
        </w:rPr>
        <w:t>الإمام المقدم فخر الدين الرازي رحمه الله تعالى صاحب تفسير مفاتيح الغيب، المفسر، المتكلم، إمام وقته، وفريد عصره، كان شجاً في حلوق المبتدعة، وسيفاً مصلتاً على أهل الزيغ والإلحاد</w:t>
      </w:r>
      <w:r w:rsidR="000636C2">
        <w:rPr>
          <w:rtl/>
          <w:lang w:val="uz-Latn-UZ"/>
        </w:rPr>
        <w:t>،</w:t>
      </w:r>
      <w:r w:rsidRPr="005675B2">
        <w:rPr>
          <w:rtl/>
          <w:lang w:val="uz-Latn-UZ"/>
        </w:rPr>
        <w:t xml:space="preserve"> الإمام المفسر الحافظ البغوي محي السنة رحمه الله تعالى صاحب كتاب شرح السنة، وتفسيـره مملوء بما يدل على اعتقاد أهل السنة، وزاخر بالتأويل السني لنصوص المتشابه</w:t>
      </w:r>
      <w:r w:rsidR="000636C2">
        <w:rPr>
          <w:rtl/>
          <w:lang w:val="uz-Latn-UZ"/>
        </w:rPr>
        <w:t xml:space="preserve">، </w:t>
      </w:r>
      <w:r w:rsidRPr="005675B2">
        <w:rPr>
          <w:rtl/>
          <w:lang w:val="uz-Latn-UZ"/>
        </w:rPr>
        <w:t xml:space="preserve">الإمام المفسر أبو الليث السمرقندي رحمه الله تعالى، صاحب تفسير بحر العلوم، وكتاب </w:t>
      </w:r>
      <w:r w:rsidR="000636C2">
        <w:rPr>
          <w:rtl/>
          <w:lang w:val="uz-Latn-UZ"/>
        </w:rPr>
        <w:t>(</w:t>
      </w:r>
      <w:r>
        <w:rPr>
          <w:rtl/>
          <w:lang w:val="uz-Latn-UZ"/>
        </w:rPr>
        <w:t>تنبيه</w:t>
      </w:r>
      <w:r w:rsidR="000636C2">
        <w:rPr>
          <w:rtl/>
          <w:lang w:val="uz-Latn-UZ"/>
        </w:rPr>
        <w:t>)</w:t>
      </w:r>
      <w:r w:rsidRPr="005675B2">
        <w:rPr>
          <w:rtl/>
          <w:lang w:val="uz-Latn-UZ"/>
        </w:rPr>
        <w:t xml:space="preserve"> الغافلين وبستان العارفين، وقد اشتهر بلقب إمام الهدى</w:t>
      </w:r>
      <w:r w:rsidR="000636C2">
        <w:rPr>
          <w:rtl/>
          <w:lang w:val="uz-Latn-UZ"/>
        </w:rPr>
        <w:t>،</w:t>
      </w:r>
      <w:r w:rsidRPr="005675B2">
        <w:rPr>
          <w:rtl/>
          <w:lang w:val="uz-Latn-UZ"/>
        </w:rPr>
        <w:t xml:space="preserve"> الإمام المفسر الواحدي أبو الحسن على النيسابوري أستاذ عصره في النحو والتفسير، كان سنياً أشعرياً من أهل السنة والجماعة، صاحب المؤلفات النافعة والإشارات الرائعة، وله كتاب أسباب النزول، وهو من أشهر الكتب في بابه</w:t>
      </w:r>
      <w:r w:rsidR="000636C2">
        <w:rPr>
          <w:rtl/>
          <w:lang w:val="uz-Latn-UZ"/>
        </w:rPr>
        <w:t>،</w:t>
      </w:r>
      <w:r w:rsidRPr="005675B2">
        <w:rPr>
          <w:rtl/>
          <w:lang w:val="uz-Latn-UZ"/>
        </w:rPr>
        <w:t xml:space="preserve"> الإمام المفسر أبو الثناء شهاب الدين الآلوسي الحسيني الحسني رحمه الله تعالى، خاتمة المفسريـن ونخبة المحدثيـن كما وصفه الشيـخ بهجة البيطار وقال عنه أيضاً </w:t>
      </w:r>
      <w:r w:rsidR="000636C2">
        <w:rPr>
          <w:rtl/>
          <w:lang w:val="uz-Latn-UZ"/>
        </w:rPr>
        <w:t>(</w:t>
      </w:r>
      <w:r w:rsidRPr="005675B2">
        <w:rPr>
          <w:rtl/>
          <w:lang w:val="uz-Latn-UZ"/>
        </w:rPr>
        <w:t>حلية البشر 3 / 1450</w:t>
      </w:r>
      <w:r w:rsidR="000636C2">
        <w:rPr>
          <w:rtl/>
          <w:lang w:val="uz-Latn-UZ"/>
        </w:rPr>
        <w:t>):</w:t>
      </w:r>
      <w:r w:rsidRPr="005675B2">
        <w:rPr>
          <w:rtl/>
          <w:lang w:val="uz-Latn-UZ"/>
        </w:rPr>
        <w:t xml:space="preserve"> " كـان رضي الله عنه أحد أفراد الدنيا يقول الحق ولا يحيد عن الصدق، متمسكاً بالسنن، متجنباً للفتن</w:t>
      </w:r>
      <w:r w:rsidR="000636C2">
        <w:rPr>
          <w:rtl/>
          <w:lang w:val="uz-Latn-UZ"/>
        </w:rPr>
        <w:t xml:space="preserve">، </w:t>
      </w:r>
      <w:r w:rsidRPr="005675B2">
        <w:rPr>
          <w:rtl/>
          <w:lang w:val="uz-Latn-UZ"/>
        </w:rPr>
        <w:t>الإمام المفسر السمين الحلبي رحمه الله تعالى صاحب تفسير الدر المصون</w:t>
      </w:r>
      <w:r w:rsidR="000636C2">
        <w:rPr>
          <w:rtl/>
          <w:lang w:val="uz-Latn-UZ"/>
        </w:rPr>
        <w:t>،</w:t>
      </w:r>
      <w:r w:rsidRPr="005675B2">
        <w:rPr>
          <w:rtl/>
          <w:lang w:val="uz-Latn-UZ"/>
        </w:rPr>
        <w:t xml:space="preserve"> </w:t>
      </w:r>
      <w:r w:rsidRPr="005675B2">
        <w:rPr>
          <w:rtl/>
          <w:lang w:val="uz-Latn-UZ" w:bidi="ar-KW"/>
        </w:rPr>
        <w:t>الإمام الحافظ المفسر جلال الدين السيوطي رحمه الله تعالى صاحب الدر المنثور في التفسير بالمأثور</w:t>
      </w:r>
      <w:r w:rsidR="000636C2">
        <w:rPr>
          <w:rtl/>
          <w:lang w:val="uz-Latn-UZ" w:bidi="ar-KW"/>
        </w:rPr>
        <w:t>،</w:t>
      </w:r>
      <w:r w:rsidRPr="005675B2">
        <w:rPr>
          <w:rtl/>
          <w:lang w:val="uz-Latn-UZ" w:bidi="ar-KW"/>
        </w:rPr>
        <w:t xml:space="preserve"> </w:t>
      </w:r>
      <w:r w:rsidRPr="005675B2">
        <w:rPr>
          <w:rtl/>
          <w:lang w:val="uz-Latn-UZ"/>
        </w:rPr>
        <w:t>الإمام الخطيب الشربينى رحمه الله تعالى صاحب تفسير السراج المنير</w:t>
      </w:r>
      <w:r w:rsidR="000636C2">
        <w:rPr>
          <w:rtl/>
          <w:lang w:val="uz-Latn-UZ"/>
        </w:rPr>
        <w:t>،</w:t>
      </w:r>
      <w:r w:rsidRPr="005675B2">
        <w:rPr>
          <w:rtl/>
          <w:lang w:val="uz-Latn-UZ"/>
        </w:rPr>
        <w:t xml:space="preserve"> وغير هؤلاء ممن لو أطلنا النفس بذكرهم لخرجنا عن المقصود، كلهم كانوا من أهل السنة الأشاعرة والماتريدية</w:t>
      </w:r>
      <w:r w:rsidR="000636C2">
        <w:rPr>
          <w:rtl/>
          <w:lang w:val="uz-Latn-UZ"/>
        </w:rPr>
        <w:t xml:space="preserve">، </w:t>
      </w:r>
      <w:r w:rsidR="000636C2">
        <w:rPr>
          <w:rFonts w:hint="cs"/>
          <w:rtl/>
          <w:lang w:val="uz-Latn-UZ"/>
        </w:rPr>
        <w:t>(</w:t>
      </w:r>
      <w:r w:rsidR="000636C2">
        <w:rPr>
          <w:bCs/>
          <w:rtl/>
          <w:lang w:val="uz-Latn-UZ"/>
        </w:rPr>
        <w:t>(</w:t>
      </w:r>
      <w:r>
        <w:rPr>
          <w:bCs/>
          <w:rtl/>
          <w:lang w:val="uz-Latn-UZ"/>
        </w:rPr>
        <w:t>تنبيه</w:t>
      </w:r>
      <w:r w:rsidR="000636C2">
        <w:rPr>
          <w:bCs/>
          <w:rtl/>
          <w:lang w:val="uz-Latn-UZ"/>
        </w:rPr>
        <w:t>)</w:t>
      </w:r>
      <w:r w:rsidR="000636C2">
        <w:rPr>
          <w:rFonts w:hint="cs"/>
          <w:bCs/>
          <w:rtl/>
          <w:lang w:val="uz-Latn-UZ" w:bidi="ar-KW"/>
        </w:rPr>
        <w:t xml:space="preserve">): </w:t>
      </w:r>
      <w:r w:rsidRPr="005675B2">
        <w:rPr>
          <w:rtl/>
          <w:lang w:val="uz-Latn-UZ"/>
        </w:rPr>
        <w:t>اقتصرنا على ذكر من جاء بعد زمن الإمام الأشعري وسار على هديه، ولم نذكر في مقدمة المفسرين شيخهم وإمامهم في هذا العلم، نعني الحافظ المفسر محمد بن جرير الطبري رحمه الله تعالى، وكان معاصراً للإمام الأشعري وتوفي قبله، فلا يبعد أن يكون وقف على شيء من تصانيف الإمام أبي الحسن على كثرتها واستفاد منها، لا سيما وهما في بلد واحد، ومن أنعم النظر في تفسير الإمام الطبري لا يستبعد ذلك، فقد صحَّ عنه رحمه الله تعالى بعض التأويل لبعض آيات المتشابه، ونقل بعض تأويلات السلف من الصحابة والتابعين مؤيداً لها كما مرَّ في مبحث تأويلات السلف، بل نزيد ونقول إنه لا يبعد أن يكون انتسب إليه فيما لم يصلنا من كتبه، فقد ذكرت كتب التاريخ أنه قد انتهض لنصرة طريقة الإمام أبي الحسن والإمام أبي منصور جميع أهل السنة في العالم الإسلامي</w:t>
      </w:r>
      <w:r w:rsidR="000636C2">
        <w:rPr>
          <w:rtl/>
          <w:lang w:val="uz-Latn-UZ"/>
        </w:rPr>
        <w:t>،</w:t>
      </w:r>
      <w:r w:rsidRPr="005675B2">
        <w:rPr>
          <w:rtl/>
          <w:lang w:val="uz-Latn-UZ"/>
        </w:rPr>
        <w:t xml:space="preserve"> </w:t>
      </w:r>
      <w:r w:rsidRPr="005675B2">
        <w:rPr>
          <w:rtl/>
          <w:lang w:val="uz-Latn-UZ" w:bidi="ar-KW"/>
        </w:rPr>
        <w:t>ولو افترضنا أن الإمام الطبري لم ينتسب إلى الإمام أبي الحسن، فإنه يكفينا أن يكون موافقاً له في الاعتقاد بتنزيه الباري سبحانه وتقديسه، وهذا القدر كافٍ في عدِّ الإمام الطبري ضمن من ذكرنا من المفسرين، بل هو على رأسهم، إذ المقصود اعتقاد معتقد أهل السنة والجماعة سواء انتسب إلى الأشعري أم لم ينتسب</w:t>
      </w:r>
      <w:r w:rsidR="000636C2">
        <w:rPr>
          <w:rtl/>
          <w:lang w:val="uz-Latn-UZ" w:bidi="ar-KW"/>
        </w:rPr>
        <w:t>،</w:t>
      </w:r>
      <w:r w:rsidRPr="005675B2">
        <w:rPr>
          <w:rtl/>
          <w:lang w:val="uz-Latn-UZ" w:bidi="ar-KW"/>
        </w:rPr>
        <w:t xml:space="preserve"> </w:t>
      </w:r>
      <w:r w:rsidRPr="005675B2">
        <w:rPr>
          <w:bCs/>
          <w:rtl/>
          <w:lang w:val="uz-Latn-UZ"/>
        </w:rPr>
        <w:t>ومن المفسرين المتأخرين والمعاصرين</w:t>
      </w:r>
      <w:r w:rsidR="000636C2">
        <w:rPr>
          <w:bCs/>
          <w:rtl/>
          <w:lang w:val="uz-Latn-UZ"/>
        </w:rPr>
        <w:t>:</w:t>
      </w:r>
      <w:r w:rsidR="000636C2">
        <w:rPr>
          <w:rFonts w:hint="cs"/>
          <w:bCs/>
          <w:rtl/>
          <w:lang w:val="uz-Latn-UZ" w:bidi="ar-KW"/>
        </w:rPr>
        <w:t xml:space="preserve"> </w:t>
      </w:r>
      <w:r w:rsidRPr="005675B2">
        <w:rPr>
          <w:rtl/>
          <w:lang w:val="uz-Latn-UZ"/>
        </w:rPr>
        <w:t>الأستاذ الداعية سيد قطب رحمه الله تعالى صاحب الكتاب العظيم " في ظلال القرآن "</w:t>
      </w:r>
      <w:r w:rsidR="000636C2">
        <w:rPr>
          <w:rtl/>
          <w:lang w:val="uz-Latn-UZ"/>
        </w:rPr>
        <w:t>،</w:t>
      </w:r>
      <w:r w:rsidRPr="005675B2">
        <w:rPr>
          <w:rtl/>
          <w:lang w:val="uz-Latn-UZ"/>
        </w:rPr>
        <w:t xml:space="preserve"> الشيخ العلامة الطاهر بن عاشور صاحب التفسير العظيم</w:t>
      </w:r>
      <w:r w:rsidR="000636C2">
        <w:rPr>
          <w:rtl/>
          <w:lang w:val="uz-Latn-UZ"/>
        </w:rPr>
        <w:t xml:space="preserve"> </w:t>
      </w:r>
      <w:r w:rsidRPr="005675B2">
        <w:rPr>
          <w:rtl/>
          <w:lang w:val="uz-Latn-UZ"/>
        </w:rPr>
        <w:t>" التحرير والتنوير "</w:t>
      </w:r>
      <w:r w:rsidR="000636C2">
        <w:rPr>
          <w:rtl/>
          <w:lang w:val="uz-Latn-UZ"/>
        </w:rPr>
        <w:t>،</w:t>
      </w:r>
      <w:r w:rsidRPr="005675B2">
        <w:rPr>
          <w:rtl/>
          <w:lang w:val="uz-Latn-UZ"/>
        </w:rPr>
        <w:t xml:space="preserve"> الأستاذ الداعية الشيخ سعيد حوى رحمه الله تعالى صاحب كتاب " الأساس في التفسير"</w:t>
      </w:r>
      <w:r w:rsidR="000636C2">
        <w:rPr>
          <w:rtl/>
          <w:lang w:val="uz-Latn-UZ"/>
        </w:rPr>
        <w:t>،</w:t>
      </w:r>
      <w:r w:rsidRPr="005675B2">
        <w:rPr>
          <w:rtl/>
          <w:lang w:val="uz-Latn-UZ"/>
        </w:rPr>
        <w:t xml:space="preserve"> الشيخ العلامة محمد متولي الشعراوي رحمه الله تعالى الذي ارتبط اسمه بالقرآن حتى إذا ما ذكر القرآن ذكر الشيخ، وإذا ذكر الشيخ ذكر القرآن</w:t>
      </w:r>
      <w:r w:rsidR="000636C2">
        <w:rPr>
          <w:rtl/>
          <w:lang w:val="uz-Latn-UZ"/>
        </w:rPr>
        <w:t>،</w:t>
      </w:r>
      <w:r w:rsidRPr="005675B2">
        <w:rPr>
          <w:rtl/>
          <w:lang w:val="uz-Latn-UZ"/>
        </w:rPr>
        <w:t xml:space="preserve"> </w:t>
      </w:r>
      <w:r w:rsidRPr="005675B2">
        <w:rPr>
          <w:rtl/>
          <w:lang w:val="uz-Latn-UZ" w:bidi="ar-KW"/>
        </w:rPr>
        <w:t>والشيخ الدكتور وهبة الزحيلي حفظه الله تعالى ورعاه صاحب التفسير المنير والفقه الإسلامي وغيرها من الكتب النافعة</w:t>
      </w:r>
      <w:r w:rsidR="000636C2">
        <w:rPr>
          <w:rtl/>
          <w:lang w:val="uz-Latn-UZ" w:bidi="ar-KW"/>
        </w:rPr>
        <w:t>،</w:t>
      </w:r>
      <w:r w:rsidRPr="005675B2">
        <w:rPr>
          <w:rtl/>
          <w:lang w:val="uz-Latn-UZ" w:bidi="ar-KW"/>
        </w:rPr>
        <w:t xml:space="preserve"> </w:t>
      </w:r>
    </w:p>
    <w:p w14:paraId="2E19FDC2" w14:textId="77777777" w:rsidR="009C32A0" w:rsidRPr="005675B2" w:rsidRDefault="009C32A0" w:rsidP="000636C2">
      <w:pPr>
        <w:widowControl w:val="0"/>
        <w:spacing w:before="80" w:after="240"/>
        <w:jc w:val="center"/>
        <w:rPr>
          <w:rtl/>
          <w:lang w:val="uz-Latn-UZ" w:bidi="ar-KW"/>
        </w:rPr>
      </w:pPr>
      <w:r w:rsidRPr="005675B2">
        <w:rPr>
          <w:rtl/>
          <w:lang w:val="uz-Latn-UZ" w:bidi="ar-KW"/>
        </w:rPr>
        <w:t>* * * * *</w:t>
      </w:r>
    </w:p>
    <w:p w14:paraId="3628CFD9" w14:textId="6DEE20C5" w:rsidR="009C32A0" w:rsidRPr="005675B2" w:rsidRDefault="009C32A0" w:rsidP="000636C2">
      <w:pPr>
        <w:widowControl w:val="0"/>
        <w:spacing w:before="80" w:after="240"/>
        <w:rPr>
          <w:lang w:val="uz-Latn-UZ"/>
        </w:rPr>
      </w:pPr>
      <w:r w:rsidRPr="005675B2">
        <w:rPr>
          <w:bCs/>
          <w:rtl/>
          <w:lang w:val="uz-Latn-UZ"/>
        </w:rPr>
        <w:t>أكابر محدثي الأمة وحفاظها من الأشاعرة والماتريدية</w:t>
      </w:r>
      <w:r w:rsidR="000636C2">
        <w:rPr>
          <w:rFonts w:hint="cs"/>
          <w:bCs/>
          <w:rtl/>
          <w:lang w:val="uz-Latn-UZ" w:bidi="ar-KW"/>
        </w:rPr>
        <w:t xml:space="preserve">: </w:t>
      </w:r>
      <w:r w:rsidRPr="005675B2">
        <w:rPr>
          <w:rtl/>
          <w:lang w:val="uz-Latn-UZ"/>
        </w:rPr>
        <w:t>منهم على سبيل المثال</w:t>
      </w:r>
      <w:r w:rsidR="000636C2">
        <w:rPr>
          <w:rtl/>
          <w:lang w:val="uz-Latn-UZ"/>
        </w:rPr>
        <w:t>:</w:t>
      </w:r>
      <w:r w:rsidR="000636C2">
        <w:rPr>
          <w:rFonts w:hint="cs"/>
          <w:rtl/>
          <w:lang w:val="uz-Latn-UZ" w:bidi="ar-KW"/>
        </w:rPr>
        <w:t xml:space="preserve"> </w:t>
      </w:r>
      <w:r w:rsidRPr="005675B2">
        <w:rPr>
          <w:rtl/>
          <w:lang w:val="uz-Latn-UZ" w:bidi="ar-KW"/>
        </w:rPr>
        <w:t>الإمام الحافظ أبو الحسن الدارقطني رحمه الله تعالى إمام وقته والذي لم يرَ مثل نفسـه، وقصته مع الإمام الباقلاني تغني عن الإطالة في إثبات اتباعه لمذهب الأشعري</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انظر تبيين كذب المفتري 255، السير 17/558، أثناء ترجمة الحافظ أبي ذر الهروي، وتذكرة الحفاظ 3/1104</w:t>
      </w:r>
      <w:r w:rsidR="000636C2">
        <w:rPr>
          <w:rtl/>
          <w:lang w:val="uz-Latn-UZ" w:bidi="ar-KW"/>
        </w:rPr>
        <w:t xml:space="preserve">)، </w:t>
      </w:r>
      <w:r w:rsidRPr="005675B2">
        <w:rPr>
          <w:rtl/>
          <w:lang w:val="uz-Latn-UZ" w:bidi="ar-KW"/>
        </w:rPr>
        <w:t xml:space="preserve">الحافظ أبو نعيم الأصبهاني رحمه الله تعالى، صاحب حلية الأولياء، كان من الطبقة الثانية من أتباع الإمام الأشعري، أي من طبقة الإمام الباقلاني والأستاذ أبي إسحاق الإسفراييني والحاكم وابن فورك رحم الله الجميع </w:t>
      </w:r>
      <w:r w:rsidR="000636C2">
        <w:rPr>
          <w:rtl/>
          <w:lang w:val="uz-Latn-UZ" w:bidi="ar-KW"/>
        </w:rPr>
        <w:t>(</w:t>
      </w:r>
      <w:r w:rsidRPr="005675B2">
        <w:rPr>
          <w:rtl/>
          <w:lang w:val="uz-Latn-UZ" w:bidi="ar-KW"/>
        </w:rPr>
        <w:t>تبيين كذب المفتري 246، الطبقات الكبرى للتاج السبكي 3/370</w:t>
      </w:r>
      <w:r w:rsidR="000636C2">
        <w:rPr>
          <w:rtl/>
          <w:lang w:val="uz-Latn-UZ" w:bidi="ar-KW"/>
        </w:rPr>
        <w:t>)،</w:t>
      </w:r>
      <w:r w:rsidRPr="005675B2">
        <w:rPr>
          <w:rtl/>
          <w:lang w:val="uz-Latn-UZ" w:bidi="ar-KW"/>
        </w:rPr>
        <w:t xml:space="preserve"> الحافظ أبو ذر الهروي عبد بن أحمد رحمه الله تعالى، عدّه الحافظ ابن عساكر في الطبقة الثالثة ممن أخذ عن أصحاب أصحاب الأشعري </w:t>
      </w:r>
      <w:r w:rsidR="000636C2">
        <w:rPr>
          <w:rtl/>
          <w:lang w:val="uz-Latn-UZ" w:bidi="ar-KW"/>
        </w:rPr>
        <w:t>(</w:t>
      </w:r>
      <w:r w:rsidRPr="005675B2">
        <w:rPr>
          <w:rtl/>
          <w:lang w:val="uz-Latn-UZ" w:bidi="ar-KW"/>
        </w:rPr>
        <w:t>انظر المصادر السابقة، والطبقات الكبرى للتاج السبكي 3/370</w:t>
      </w:r>
      <w:r w:rsidR="000636C2">
        <w:rPr>
          <w:rtl/>
          <w:lang w:val="uz-Latn-UZ" w:bidi="ar-KW"/>
        </w:rPr>
        <w:t>)،</w:t>
      </w:r>
      <w:r w:rsidRPr="005675B2">
        <w:rPr>
          <w:rtl/>
          <w:lang w:val="uz-Latn-UZ" w:bidi="ar-KW"/>
        </w:rPr>
        <w:t xml:space="preserve"> الحافظ أبو طاهر السلفي رحمه الله تعالى، ذكره التاج السبكي في الخامسة</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الطبقات 3/372</w:t>
      </w:r>
      <w:r w:rsidR="000636C2">
        <w:rPr>
          <w:rtl/>
          <w:lang w:val="uz-Latn-UZ" w:bidi="ar-KW"/>
        </w:rPr>
        <w:t>)</w:t>
      </w:r>
      <w:r w:rsidR="000636C2">
        <w:rPr>
          <w:rFonts w:hint="cs"/>
          <w:rtl/>
          <w:lang w:val="uz-Latn-UZ" w:bidi="ar-KW"/>
        </w:rPr>
        <w:t xml:space="preserve">، </w:t>
      </w:r>
      <w:r w:rsidRPr="005675B2">
        <w:rPr>
          <w:rtl/>
          <w:lang w:val="uz-Latn-UZ"/>
        </w:rPr>
        <w:t>الحافظ الحاكم النيسابوري رحمه الله تعالى صاحب المستدرك على الصحيحين، وإمام أهل الحديث في عصره، وشهرته تغني عن التعريف به، اتفق العلماء على أنه من أعلم الأئمة الذين حفظ الله بهم هذا الدين</w:t>
      </w:r>
      <w:r w:rsidR="000636C2">
        <w:rPr>
          <w:rtl/>
          <w:lang w:val="uz-Latn-UZ"/>
        </w:rPr>
        <w:t>،</w:t>
      </w:r>
      <w:r w:rsidRPr="005675B2">
        <w:rPr>
          <w:rtl/>
          <w:lang w:val="uz-Latn-UZ"/>
        </w:rPr>
        <w:t xml:space="preserve"> ذكره الحافظ ابن عساكر في الطبقة الثانية، أي من أصحاب أصحاب الإمام</w:t>
      </w:r>
      <w:r w:rsidR="000636C2">
        <w:rPr>
          <w:rtl/>
          <w:lang w:val="uz-Latn-UZ"/>
        </w:rPr>
        <w:t>،</w:t>
      </w:r>
      <w:r w:rsidRPr="005675B2">
        <w:rPr>
          <w:rtl/>
          <w:lang w:val="uz-Latn-UZ"/>
        </w:rPr>
        <w:t xml:space="preserve"> </w:t>
      </w:r>
      <w:r w:rsidR="000636C2">
        <w:rPr>
          <w:rtl/>
          <w:lang w:val="uz-Latn-UZ" w:bidi="ar-KW"/>
        </w:rPr>
        <w:t>(</w:t>
      </w:r>
      <w:r w:rsidRPr="005675B2">
        <w:rPr>
          <w:rtl/>
          <w:lang w:val="uz-Latn-UZ" w:bidi="ar-KW"/>
        </w:rPr>
        <w:t>تبيين كذب المفتري ص/227</w:t>
      </w:r>
      <w:r w:rsidR="000636C2">
        <w:rPr>
          <w:rtl/>
          <w:lang w:val="uz-Latn-UZ" w:bidi="ar-KW"/>
        </w:rPr>
        <w:t>)،</w:t>
      </w:r>
      <w:r w:rsidRPr="005675B2">
        <w:rPr>
          <w:rtl/>
          <w:lang w:val="uz-Latn-UZ" w:bidi="ar-KW"/>
        </w:rPr>
        <w:t xml:space="preserve"> </w:t>
      </w:r>
      <w:r w:rsidRPr="005675B2">
        <w:rPr>
          <w:rtl/>
          <w:lang w:val="uz-Latn-UZ"/>
        </w:rPr>
        <w:t>الحافظ ابن حبان البستي رحمه الله تعالى صاحب الصحيح وكتاب الثقات وغيرها، الإمام الثبت القدوة إمام عصره ومقدم أوانه</w:t>
      </w:r>
      <w:r w:rsidR="000636C2">
        <w:rPr>
          <w:rtl/>
          <w:lang w:val="uz-Latn-UZ"/>
        </w:rPr>
        <w:t>،</w:t>
      </w:r>
      <w:r w:rsidRPr="005675B2">
        <w:rPr>
          <w:rtl/>
          <w:lang w:val="uz-Latn-UZ"/>
        </w:rPr>
        <w:t xml:space="preserve"> </w:t>
      </w:r>
      <w:r w:rsidRPr="005675B2">
        <w:rPr>
          <w:rtl/>
          <w:lang w:val="uz-Latn-UZ" w:bidi="ar-KW"/>
        </w:rPr>
        <w:t>الحافظ أبو سعد ابن السمعاني رحمه الله تعالى، صاحب كتاب الأنساب</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الطبقات 3/372</w:t>
      </w:r>
      <w:r w:rsidR="000636C2">
        <w:rPr>
          <w:rtl/>
          <w:lang w:val="uz-Latn-UZ" w:bidi="ar-KW"/>
        </w:rPr>
        <w:t>)</w:t>
      </w:r>
      <w:r w:rsidR="000636C2">
        <w:rPr>
          <w:rFonts w:hint="cs"/>
          <w:rtl/>
          <w:lang w:val="uz-Latn-UZ"/>
        </w:rPr>
        <w:t xml:space="preserve">، </w:t>
      </w:r>
      <w:r w:rsidRPr="005675B2">
        <w:rPr>
          <w:rtl/>
          <w:lang w:val="uz-Latn-UZ"/>
        </w:rPr>
        <w:t>الإمام الحافظ أبو بكر البيهقي رحمه الله تعالى صاحب التصانيف التي طار صيتها في الدنيا والمؤلفات المرضية عند المؤيدين والمخالفين</w:t>
      </w:r>
      <w:r w:rsidR="000636C2">
        <w:rPr>
          <w:rtl/>
          <w:lang w:val="uz-Latn-UZ"/>
        </w:rPr>
        <w:t>،</w:t>
      </w:r>
      <w:r w:rsidRPr="005675B2">
        <w:rPr>
          <w:rtl/>
          <w:lang w:val="uz-Latn-UZ"/>
        </w:rPr>
        <w:t xml:space="preserve"> </w:t>
      </w:r>
    </w:p>
    <w:p w14:paraId="56BA7F8A" w14:textId="472585FC" w:rsidR="009C32A0" w:rsidRPr="005675B2" w:rsidRDefault="009C32A0" w:rsidP="009C32A0">
      <w:pPr>
        <w:widowControl w:val="0"/>
        <w:numPr>
          <w:ilvl w:val="0"/>
          <w:numId w:val="12"/>
        </w:numPr>
        <w:tabs>
          <w:tab w:val="num" w:pos="386"/>
        </w:tabs>
        <w:spacing w:before="80" w:after="240" w:line="276" w:lineRule="auto"/>
        <w:ind w:left="0" w:firstLine="0"/>
        <w:rPr>
          <w:lang w:val="uz-Latn-UZ"/>
        </w:rPr>
      </w:pPr>
      <w:r w:rsidRPr="005675B2">
        <w:rPr>
          <w:rtl/>
          <w:lang w:val="uz-Latn-UZ"/>
        </w:rPr>
        <w:t>الإمام الحافظ ابن عساكر رحمه الله تعالى صاحب كتاب تاريخ مدينة دمشق الذي لم يترك فيه شاردة ولا واردة إلا أحصاها</w:t>
      </w:r>
      <w:r w:rsidR="000636C2">
        <w:rPr>
          <w:rtl/>
          <w:lang w:val="uz-Latn-UZ"/>
        </w:rPr>
        <w:t>،</w:t>
      </w:r>
      <w:r w:rsidRPr="005675B2">
        <w:rPr>
          <w:rtl/>
          <w:lang w:val="uz-Latn-UZ"/>
        </w:rPr>
        <w:t xml:space="preserve"> </w:t>
      </w:r>
      <w:r w:rsidRPr="005675B2">
        <w:rPr>
          <w:rtl/>
          <w:lang w:val="uz-Latn-UZ" w:bidi="ar-KW"/>
        </w:rPr>
        <w:t>الإمام الحافظ الخطيب البغدادي رحمه الله تعالى، ذكره الحافظ ابن عساكر أول الطبقة الرابعة</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التبيين ص / 268</w:t>
      </w:r>
      <w:r w:rsidR="000636C2">
        <w:rPr>
          <w:rtl/>
          <w:lang w:val="uz-Latn-UZ" w:bidi="ar-KW"/>
        </w:rPr>
        <w:t>)،</w:t>
      </w:r>
      <w:r w:rsidRPr="005675B2">
        <w:rPr>
          <w:rtl/>
          <w:lang w:val="uz-Latn-UZ" w:bidi="ar-KW"/>
        </w:rPr>
        <w:t xml:space="preserve"> </w:t>
      </w:r>
      <w:r w:rsidRPr="005675B2">
        <w:rPr>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000636C2">
        <w:rPr>
          <w:rtl/>
          <w:lang w:val="uz-Latn-UZ"/>
        </w:rPr>
        <w:t>،</w:t>
      </w:r>
      <w:r w:rsidRPr="005675B2">
        <w:rPr>
          <w:rtl/>
          <w:lang w:val="uz-Latn-UZ"/>
        </w:rPr>
        <w:t xml:space="preserve"> الإمام المحقق بقية الحفاظ صلاح الدين خليل بن كيكلدى العلائي الذي لم يخلف بعده في الحديث مثله، ولم يكن في عصره من يدانيه في علم الحديث</w:t>
      </w:r>
      <w:r w:rsidR="000636C2">
        <w:rPr>
          <w:rtl/>
          <w:lang w:val="uz-Latn-UZ"/>
        </w:rPr>
        <w:t>،</w:t>
      </w:r>
      <w:r w:rsidRPr="005675B2">
        <w:rPr>
          <w:rtl/>
          <w:lang w:val="uz-Latn-UZ"/>
        </w:rPr>
        <w:t xml:space="preserve"> </w:t>
      </w:r>
      <w:r w:rsidRPr="005675B2">
        <w:rPr>
          <w:rtl/>
          <w:lang w:val="uz-Latn-UZ" w:bidi="ar-KW"/>
        </w:rPr>
        <w:t>شيخ الإسلام الإمام الحافظ أبو عمرو بن الصلاح رحمه الله تعالى وهو أول من ولي مشيخة دار الحديث الأشرفية التي كان لا يليها إلا أشعري</w:t>
      </w:r>
      <w:r w:rsidR="000636C2">
        <w:rPr>
          <w:rtl/>
          <w:lang w:val="uz-Latn-UZ" w:bidi="ar-KW"/>
        </w:rPr>
        <w:t xml:space="preserve">، </w:t>
      </w:r>
      <w:r w:rsidRPr="005675B2">
        <w:rPr>
          <w:rtl/>
          <w:lang w:val="uz-Latn-UZ"/>
        </w:rPr>
        <w:t>الإمام الحافظ ابن أبي جمرة الأندلسي مسند أهل المغرب رحمه الله تعالى ورضي عنه، صاحب كتاب بهجة النفوس في شرح مئة حديث من صحيح البخاري</w:t>
      </w:r>
      <w:r w:rsidR="000636C2">
        <w:rPr>
          <w:rtl/>
          <w:lang w:val="uz-Latn-UZ"/>
        </w:rPr>
        <w:t>،</w:t>
      </w:r>
      <w:r w:rsidRPr="005675B2">
        <w:rPr>
          <w:rtl/>
          <w:lang w:val="uz-Latn-UZ"/>
        </w:rPr>
        <w:t xml:space="preserve"> </w:t>
      </w:r>
      <w:r w:rsidRPr="005675B2">
        <w:rPr>
          <w:spacing w:val="6"/>
          <w:rtl/>
          <w:lang w:val="uz-Latn-UZ"/>
        </w:rPr>
        <w:t>الإمام الحافظ الكرماني شمس الدين محمد بن يوسف رحمه الله ورضي عنه، صاحب الشرح المشهور على صحيح البخاري</w:t>
      </w:r>
      <w:r w:rsidR="000636C2">
        <w:rPr>
          <w:spacing w:val="6"/>
          <w:rtl/>
          <w:lang w:val="uz-Latn-UZ"/>
        </w:rPr>
        <w:t>،</w:t>
      </w:r>
      <w:r w:rsidRPr="005675B2">
        <w:rPr>
          <w:spacing w:val="6"/>
          <w:rtl/>
          <w:lang w:val="uz-Latn-UZ"/>
        </w:rPr>
        <w:t xml:space="preserve"> </w:t>
      </w:r>
      <w:r w:rsidRPr="005675B2">
        <w:rPr>
          <w:rtl/>
          <w:lang w:val="uz-Latn-UZ"/>
        </w:rPr>
        <w:t>الإمام الحافظ المنذري رحمه الله تعالى صاحب الترغيب والترهيب</w:t>
      </w:r>
      <w:r w:rsidR="000636C2">
        <w:rPr>
          <w:rtl/>
          <w:lang w:val="uz-Latn-UZ"/>
        </w:rPr>
        <w:t>،</w:t>
      </w:r>
      <w:r w:rsidRPr="005675B2">
        <w:rPr>
          <w:rtl/>
          <w:lang w:val="uz-Latn-UZ"/>
        </w:rPr>
        <w:t xml:space="preserve"> الإمام الحافظ الأبي رحمه الله تعالى شارح صحيح مسلم</w:t>
      </w:r>
      <w:r w:rsidR="000636C2">
        <w:rPr>
          <w:rtl/>
          <w:lang w:val="uz-Latn-UZ"/>
        </w:rPr>
        <w:t>،</w:t>
      </w:r>
      <w:r w:rsidRPr="005675B2">
        <w:rPr>
          <w:rtl/>
          <w:lang w:val="uz-Latn-UZ"/>
        </w:rPr>
        <w:t xml:space="preserve"> الإمام الحافظ ابن حجر العسقلاني رحمه الله تعالى صاحب أعظم شرح على صحيح البخاري المسمّى ب - " فتح الباري " والذي قيل فيه</w:t>
      </w:r>
      <w:r w:rsidR="000636C2">
        <w:rPr>
          <w:rtl/>
          <w:lang w:val="uz-Latn-UZ"/>
        </w:rPr>
        <w:t>:</w:t>
      </w:r>
      <w:r w:rsidRPr="005675B2">
        <w:rPr>
          <w:rtl/>
          <w:lang w:val="uz-Latn-UZ"/>
        </w:rPr>
        <w:t xml:space="preserve"> لا هجرة بعد الفتح</w:t>
      </w:r>
      <w:r w:rsidR="000636C2">
        <w:rPr>
          <w:rtl/>
          <w:lang w:val="uz-Latn-UZ"/>
        </w:rPr>
        <w:t>،</w:t>
      </w:r>
      <w:r w:rsidRPr="005675B2">
        <w:rPr>
          <w:rtl/>
          <w:lang w:val="uz-Latn-UZ"/>
        </w:rPr>
        <w:t xml:space="preserve"> </w:t>
      </w:r>
      <w:r w:rsidRPr="005675B2">
        <w:rPr>
          <w:rtl/>
          <w:lang w:val="uz-Latn-UZ" w:bidi="ar-KW"/>
        </w:rPr>
        <w:t>الإمام الحافظ السخاوي رحمه الله تعالى</w:t>
      </w:r>
      <w:r w:rsidR="000636C2">
        <w:rPr>
          <w:rtl/>
          <w:lang w:val="uz-Latn-UZ" w:bidi="ar-KW"/>
        </w:rPr>
        <w:t>،</w:t>
      </w:r>
      <w:r w:rsidRPr="005675B2">
        <w:rPr>
          <w:rtl/>
          <w:lang w:val="uz-Latn-UZ" w:bidi="ar-KW"/>
        </w:rPr>
        <w:t xml:space="preserve"> الإمام الحافظ السيوطي رحمه الله تعالى</w:t>
      </w:r>
      <w:r w:rsidR="000636C2">
        <w:rPr>
          <w:rtl/>
          <w:lang w:val="uz-Latn-UZ" w:bidi="ar-KW"/>
        </w:rPr>
        <w:t>،</w:t>
      </w:r>
      <w:r w:rsidRPr="005675B2">
        <w:rPr>
          <w:rtl/>
          <w:lang w:val="uz-Latn-UZ" w:bidi="ar-KW"/>
        </w:rPr>
        <w:t xml:space="preserve"> </w:t>
      </w:r>
      <w:r w:rsidRPr="005675B2">
        <w:rPr>
          <w:rtl/>
          <w:lang w:val="uz-Latn-UZ"/>
        </w:rPr>
        <w:t>الإمام القسطلاني رحمه الله تعالى شارح الصحيح</w:t>
      </w:r>
      <w:r w:rsidR="000636C2">
        <w:rPr>
          <w:rtl/>
          <w:lang w:val="uz-Latn-UZ"/>
        </w:rPr>
        <w:t>،</w:t>
      </w:r>
      <w:r w:rsidRPr="005675B2">
        <w:rPr>
          <w:rtl/>
          <w:lang w:val="uz-Latn-UZ"/>
        </w:rPr>
        <w:t xml:space="preserve"> الإمام الحافظ المناوي رحمه الله تعالى</w:t>
      </w:r>
      <w:r w:rsidR="000636C2">
        <w:rPr>
          <w:rtl/>
          <w:lang w:val="uz-Latn-UZ"/>
        </w:rPr>
        <w:t>،</w:t>
      </w:r>
      <w:r w:rsidRPr="005675B2">
        <w:rPr>
          <w:rtl/>
          <w:lang w:val="uz-Latn-UZ"/>
        </w:rPr>
        <w:t xml:space="preserve"> وغيرهم وغيرهم من أئمة الحديث وحفاظ الأمة، كانوا من أهل السنة الأشاعرة والماتريدية</w:t>
      </w:r>
      <w:r w:rsidR="000636C2">
        <w:rPr>
          <w:rtl/>
          <w:lang w:val="uz-Latn-UZ"/>
        </w:rPr>
        <w:t>،</w:t>
      </w:r>
      <w:r w:rsidRPr="005675B2">
        <w:rPr>
          <w:rtl/>
          <w:lang w:val="uz-Latn-UZ"/>
        </w:rPr>
        <w:t xml:space="preserve"> </w:t>
      </w:r>
    </w:p>
    <w:p w14:paraId="4BBBA474" w14:textId="77777777" w:rsidR="009C32A0" w:rsidRPr="005675B2" w:rsidRDefault="009C32A0" w:rsidP="000636C2">
      <w:pPr>
        <w:widowControl w:val="0"/>
        <w:spacing w:before="80" w:after="240"/>
        <w:jc w:val="center"/>
        <w:rPr>
          <w:rtl/>
          <w:lang w:val="uz-Latn-UZ"/>
        </w:rPr>
      </w:pPr>
      <w:r w:rsidRPr="005675B2">
        <w:rPr>
          <w:rtl/>
          <w:lang w:val="uz-Latn-UZ"/>
        </w:rPr>
        <w:t>* * * * *</w:t>
      </w:r>
    </w:p>
    <w:p w14:paraId="78A0CF61" w14:textId="22EF2412" w:rsidR="009C32A0" w:rsidRPr="005675B2" w:rsidRDefault="009C32A0" w:rsidP="000636C2">
      <w:pPr>
        <w:widowControl w:val="0"/>
        <w:spacing w:before="80" w:after="240"/>
        <w:rPr>
          <w:rtl/>
          <w:lang w:val="uz-Latn-UZ" w:bidi="ar-KW"/>
        </w:rPr>
      </w:pPr>
      <w:r w:rsidRPr="005675B2">
        <w:rPr>
          <w:bCs/>
          <w:rtl/>
          <w:lang w:val="uz-Latn-UZ"/>
        </w:rPr>
        <w:t>أكابر فقهاء الأمة من الأشاعرة والماتريدية</w:t>
      </w:r>
      <w:r w:rsidR="000636C2">
        <w:rPr>
          <w:rFonts w:hint="cs"/>
          <w:bCs/>
          <w:rtl/>
          <w:lang w:val="uz-Latn-UZ" w:bidi="ar-KW"/>
        </w:rPr>
        <w:t xml:space="preserve">: </w:t>
      </w:r>
      <w:r w:rsidRPr="005675B2">
        <w:rPr>
          <w:rtl/>
          <w:lang w:val="uz-Latn-UZ"/>
        </w:rPr>
        <w:t xml:space="preserve">قال الحافظ ابن عساكر - رحمه الله تعالى - </w:t>
      </w:r>
      <w:r w:rsidR="000636C2">
        <w:rPr>
          <w:rtl/>
          <w:lang w:val="uz-Latn-UZ"/>
        </w:rPr>
        <w:t>(</w:t>
      </w:r>
      <w:r w:rsidRPr="005675B2">
        <w:rPr>
          <w:rtl/>
          <w:lang w:val="uz-Latn-UZ"/>
        </w:rPr>
        <w:t>تبيين كذب المفتري ص/ 410</w:t>
      </w:r>
      <w:r w:rsidR="000636C2">
        <w:rPr>
          <w:rtl/>
          <w:lang w:val="uz-Latn-UZ"/>
        </w:rPr>
        <w:t>):</w:t>
      </w:r>
      <w:r w:rsidRPr="005675B2">
        <w:rPr>
          <w:rFonts w:hint="cs"/>
          <w:rtl/>
          <w:lang w:val="uz-Latn-UZ"/>
        </w:rPr>
        <w:t xml:space="preserve"> </w:t>
      </w:r>
      <w:r w:rsidR="000636C2">
        <w:rPr>
          <w:rtl/>
          <w:lang w:val="uz-Latn-UZ"/>
        </w:rPr>
        <w:t>(</w:t>
      </w:r>
      <w:r w:rsidRPr="005675B2">
        <w:rPr>
          <w:rtl/>
          <w:lang w:val="uz-Latn-UZ"/>
        </w:rPr>
        <w:t xml:space="preserve">وأكثر العلماء في جميع الأقطار عليه – يعني مذهب الأشعري – وأئمة الأمصار في سائر الأعصار يدعون إليه .. </w:t>
      </w:r>
      <w:r w:rsidRPr="005675B2">
        <w:rPr>
          <w:bCs/>
          <w:rtl/>
          <w:lang w:val="uz-Latn-UZ"/>
        </w:rPr>
        <w:t>وهل من الفقهاء من الحنفية والمالكية والشافعية إلا موافق له أو</w:t>
      </w:r>
      <w:r w:rsidRPr="005675B2">
        <w:rPr>
          <w:rtl/>
          <w:lang w:val="uz-Latn-UZ"/>
        </w:rPr>
        <w:t xml:space="preserve"> </w:t>
      </w:r>
      <w:r w:rsidRPr="005675B2">
        <w:rPr>
          <w:bCs/>
          <w:rtl/>
          <w:lang w:val="uz-Latn-UZ"/>
        </w:rPr>
        <w:t>منتسب إليه أو راضٍ بحميد سعيه في دين الله أو مثنٍ بكثرة العلم عليه</w:t>
      </w:r>
      <w:r w:rsidR="000636C2">
        <w:rPr>
          <w:bCs/>
          <w:rtl/>
          <w:lang w:val="uz-Latn-UZ"/>
        </w:rPr>
        <w:t>)</w:t>
      </w:r>
      <w:r w:rsidRPr="005675B2">
        <w:rPr>
          <w:rtl/>
          <w:lang w:val="uz-Latn-UZ"/>
        </w:rPr>
        <w:t xml:space="preserve"> اهـ</w:t>
      </w:r>
      <w:r w:rsidR="000636C2">
        <w:rPr>
          <w:rtl/>
          <w:lang w:val="uz-Latn-UZ"/>
        </w:rPr>
        <w:t xml:space="preserve">، </w:t>
      </w:r>
      <w:r w:rsidRPr="005675B2">
        <w:rPr>
          <w:rtl/>
          <w:lang w:val="uz-Latn-UZ" w:bidi="ar-KW"/>
        </w:rPr>
        <w:t xml:space="preserve">وقال الإمام ابن السبكي رحمه الله تعالى </w:t>
      </w:r>
      <w:r w:rsidR="000636C2">
        <w:rPr>
          <w:rtl/>
          <w:lang w:val="uz-Latn-UZ" w:bidi="ar-KW"/>
        </w:rPr>
        <w:t>(</w:t>
      </w:r>
      <w:r w:rsidRPr="005675B2">
        <w:rPr>
          <w:rtl/>
          <w:lang w:val="uz-Latn-UZ" w:bidi="ar-KW"/>
        </w:rPr>
        <w:t>الطبقات 3/365</w:t>
      </w:r>
      <w:r w:rsidR="000636C2">
        <w:rPr>
          <w:rtl/>
          <w:lang w:val="uz-Latn-UZ" w:bidi="ar-KW"/>
        </w:rPr>
        <w:t>):</w:t>
      </w:r>
      <w:r w:rsidRPr="005675B2">
        <w:rPr>
          <w:rtl/>
          <w:lang w:val="uz-Latn-UZ" w:bidi="ar-KW"/>
        </w:rPr>
        <w:t xml:space="preserve"> </w:t>
      </w:r>
      <w:r w:rsidR="000636C2">
        <w:rPr>
          <w:rtl/>
          <w:lang w:val="uz-Latn-UZ" w:bidi="ar-KW"/>
        </w:rPr>
        <w:t>(</w:t>
      </w:r>
      <w:r w:rsidRPr="005675B2">
        <w:rPr>
          <w:rtl/>
          <w:lang w:val="uz-Latn-UZ" w:bidi="ar-KW"/>
        </w:rPr>
        <w:t>وقد ذكر شيخ الإسلام عز الدين ابن عبد السلام أن عقيدته - يعني الأشعري - اجتمع عليها الشافعية والمالكية والحنفية وفضلاء الحنابلة، ووافقه على ذلك من أهل عصره شيخ المالكية في زمانه أبو عمرو بن الحاجب، وشيخ الحنفية جمال الدين الحصيري</w:t>
      </w:r>
      <w:r w:rsidR="000636C2">
        <w:rPr>
          <w:rtl/>
          <w:lang w:val="uz-Latn-UZ" w:bidi="ar-KW"/>
        </w:rPr>
        <w:t>)</w:t>
      </w:r>
      <w:r w:rsidRPr="005675B2">
        <w:rPr>
          <w:rtl/>
          <w:lang w:val="uz-Latn-UZ" w:bidi="ar-KW"/>
        </w:rPr>
        <w:t xml:space="preserve"> اهـ</w:t>
      </w:r>
      <w:r w:rsidR="000636C2">
        <w:rPr>
          <w:rtl/>
          <w:lang w:val="uz-Latn-UZ" w:bidi="ar-KW"/>
        </w:rPr>
        <w:t>،</w:t>
      </w:r>
      <w:r w:rsidRPr="005675B2">
        <w:rPr>
          <w:rtl/>
          <w:lang w:val="uz-Latn-UZ" w:bidi="ar-KW"/>
        </w:rPr>
        <w:t xml:space="preserve"> </w:t>
      </w:r>
      <w:r w:rsidRPr="005675B2">
        <w:rPr>
          <w:rtl/>
          <w:lang w:val="uz-Latn-UZ"/>
        </w:rPr>
        <w:t xml:space="preserve">وقال الإمام أبو المظفر الإسفراييني - رحمه الله تعالى - </w:t>
      </w:r>
      <w:r w:rsidR="000636C2">
        <w:rPr>
          <w:rtl/>
          <w:lang w:val="uz-Latn-UZ"/>
        </w:rPr>
        <w:t>(</w:t>
      </w:r>
      <w:r w:rsidRPr="005675B2">
        <w:rPr>
          <w:rtl/>
          <w:lang w:val="uz-Latn-UZ"/>
        </w:rPr>
        <w:t>التبصير في الدين ص / 189</w:t>
      </w:r>
      <w:r w:rsidR="000636C2">
        <w:rPr>
          <w:rtl/>
          <w:lang w:val="uz-Latn-UZ"/>
        </w:rPr>
        <w:t>):</w:t>
      </w:r>
      <w:r w:rsidRPr="005675B2">
        <w:rPr>
          <w:rFonts w:hint="cs"/>
          <w:rtl/>
          <w:lang w:val="uz-Latn-UZ"/>
        </w:rPr>
        <w:t xml:space="preserve"> </w:t>
      </w:r>
      <w:r w:rsidR="000636C2">
        <w:rPr>
          <w:rtl/>
          <w:lang w:val="uz-Latn-UZ"/>
        </w:rPr>
        <w:t>(</w:t>
      </w:r>
      <w:r w:rsidRPr="005675B2">
        <w:rPr>
          <w:rtl/>
          <w:lang w:val="uz-Latn-UZ"/>
        </w:rPr>
        <w:t>علوم الفقه ويختص بالتبحر فيه أصحاب الحديث وأصحاب الرأي</w:t>
      </w:r>
      <w:r w:rsidR="000636C2">
        <w:rPr>
          <w:rtl/>
          <w:lang w:val="uz-Latn-UZ"/>
        </w:rPr>
        <w:t>)</w:t>
      </w:r>
      <w:r w:rsidRPr="005675B2">
        <w:rPr>
          <w:rtl/>
          <w:lang w:val="uz-Latn-UZ"/>
        </w:rPr>
        <w:t xml:space="preserve"> اهـ</w:t>
      </w:r>
      <w:r w:rsidR="000636C2">
        <w:rPr>
          <w:rtl/>
          <w:lang w:val="uz-Latn-UZ"/>
        </w:rPr>
        <w:t>،</w:t>
      </w:r>
      <w:r w:rsidRPr="005675B2">
        <w:rPr>
          <w:rFonts w:hint="cs"/>
          <w:rtl/>
          <w:lang w:val="uz-Latn-UZ"/>
        </w:rPr>
        <w:t xml:space="preserve"> </w:t>
      </w:r>
      <w:r w:rsidRPr="005675B2">
        <w:rPr>
          <w:rtl/>
          <w:lang w:val="uz-Latn-UZ"/>
        </w:rPr>
        <w:t xml:space="preserve">وقول هؤلاء الأعلام يغنينا عن الإفاضة بذكر أسماء العلماء الذين فاقوا نجوم السماء عدّا وسَمَوْا عليها جدّا </w:t>
      </w:r>
    </w:p>
    <w:p w14:paraId="4C40A2E4" w14:textId="124F288B" w:rsidR="009C32A0" w:rsidRPr="005675B2" w:rsidRDefault="009C32A0" w:rsidP="000636C2">
      <w:pPr>
        <w:widowControl w:val="0"/>
        <w:spacing w:before="80" w:after="240"/>
        <w:rPr>
          <w:rtl/>
          <w:lang w:val="uz-Latn-UZ" w:bidi="ar-KW"/>
        </w:rPr>
      </w:pPr>
      <w:r w:rsidRPr="005675B2">
        <w:rPr>
          <w:bCs/>
          <w:rtl/>
          <w:lang w:val="uz-Latn-UZ"/>
        </w:rPr>
        <w:t>أعلام الأمة في اللغة والأدب من الأشاعرة والماتريدية</w:t>
      </w:r>
      <w:r w:rsidR="000636C2">
        <w:rPr>
          <w:rFonts w:hint="cs"/>
          <w:bCs/>
          <w:rtl/>
          <w:lang w:val="uz-Latn-UZ" w:bidi="ar-KW"/>
        </w:rPr>
        <w:t xml:space="preserve">: </w:t>
      </w:r>
      <w:r w:rsidRPr="005675B2">
        <w:rPr>
          <w:rtl/>
          <w:lang w:val="uz-Latn-UZ"/>
        </w:rPr>
        <w:t xml:space="preserve">قال الإمام أبو المظفر الإسفراييني - رحـمه الله تعالى - </w:t>
      </w:r>
      <w:r w:rsidR="000636C2">
        <w:rPr>
          <w:rtl/>
          <w:lang w:val="uz-Latn-UZ"/>
        </w:rPr>
        <w:t>(</w:t>
      </w:r>
      <w:r w:rsidRPr="005675B2">
        <w:rPr>
          <w:rtl/>
          <w:lang w:val="uz-Latn-UZ"/>
        </w:rPr>
        <w:t>المصدر السابق [بتصرف يسير] وانظر الفرق بين الفرق ص/183، ص / 240، واتحاف السادة المتقين 2/102</w:t>
      </w:r>
      <w:r w:rsidR="000636C2">
        <w:rPr>
          <w:rtl/>
          <w:lang w:val="uz-Latn-UZ"/>
        </w:rPr>
        <w:t>)</w:t>
      </w:r>
      <w:r w:rsidR="000636C2">
        <w:rPr>
          <w:rtl/>
          <w:lang w:val="uz-Latn-UZ" w:bidi="ar-KW"/>
        </w:rPr>
        <w:t>:</w:t>
      </w:r>
      <w:r w:rsidR="000636C2">
        <w:rPr>
          <w:rFonts w:hint="cs"/>
          <w:rtl/>
          <w:lang w:val="uz-Latn-UZ"/>
        </w:rPr>
        <w:t xml:space="preserve"> </w:t>
      </w:r>
      <w:r w:rsidR="000636C2">
        <w:rPr>
          <w:rtl/>
          <w:lang w:val="uz-Latn-UZ"/>
        </w:rPr>
        <w:t>(</w:t>
      </w:r>
      <w:r w:rsidRPr="005675B2">
        <w:rPr>
          <w:rtl/>
          <w:lang w:val="uz-Latn-UZ"/>
        </w:rPr>
        <w:t>وجملة الأئمة في النحو واللغة من أهل البصرة والكوفة في دولة الإسلام كانوا من أهل السنة والجماعة وأصحاب الحديث والرأي ..</w:t>
      </w:r>
      <w:r w:rsidR="000636C2">
        <w:rPr>
          <w:rtl/>
          <w:lang w:val="uz-Latn-UZ"/>
        </w:rPr>
        <w:t>،</w:t>
      </w:r>
      <w:r w:rsidRPr="005675B2">
        <w:rPr>
          <w:rtl/>
          <w:lang w:val="uz-Latn-UZ"/>
        </w:rPr>
        <w:t xml:space="preserve"> وكذلك لم يكن في أئمة الأدب أحد إلا وله إنكار على أهل البدعة شديد وبُعدٌ من بدعهم بعيد، مثل الخليل بن أحمد ويونس بن حبيب وسيبويه والأخفش والزجّاج والمبرد وأبي حاتم السجستاني وابن دريد والأزهري وابن فارس والفارابي، وكذلك من كان من أئمة النحو واللغة مثل الكسائي والفراء والأصعمي وأبي زيد الأنصاري وأبي عبيدة وأبي عمرو الشيباني وأبي عبيد القاسم بن سلام، وما منهم أحد إلا وله في تصانيفه تعصّبٌ لأهل السنة والجماعة ورَدٌّ على أهل الإلحاد والبدعة، ولم يقرّ واحد في شيء من الأعصار من أسلاف أهل الأدب بشيء من بدع أهل الأهواء ..</w:t>
      </w:r>
      <w:r w:rsidR="000636C2">
        <w:rPr>
          <w:rtl/>
          <w:lang w:val="uz-Latn-UZ"/>
        </w:rPr>
        <w:t>،</w:t>
      </w:r>
      <w:r w:rsidRPr="005675B2">
        <w:rPr>
          <w:rtl/>
          <w:lang w:val="uz-Latn-UZ"/>
        </w:rPr>
        <w:t xml:space="preserve"> ومن كان متدنساً بشيء من ذلك لم يَجُزْ الاعتماد عليه في رواية أصول اللغة وفي نقل معـاني النحو، ولا في تأويـل شيء من الأخبـار، ولا في تفسيـر آية من كتاب الله تعالى</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rPr>
        <w:t>هؤلاء هم المتقدمون من أئمة اللغة والأدب والنحو، ثم جاء من بعدهم وساروا على نفس الطريق السويّ في الاعتقاد لم يبدلوا ولم يغيروا مثل الإمام ابن الأنباري وابن سيده صاحب كتاب المخصص في اللغة وابن منظور صاحب كتاب لسان العرب والجوهري صاحب الصحاح والمجد الفيروزآباذي صاحب كتاب القاموس المحيط والمرتضى الزبيدي صاحب كتاب تاج العروس، ومن النحويين محمد بن مالك صاحب الألفية المشهورة في النحو وشارحها ابن عقيل وابن هشام المصري وغيرهم ممن لا غَناء لمتعلم أو متأدب عن كتبهم ومصنفاتهم، وكلهم كانوا على عقيدة أهل السنة والجماعة من الأشاعرة والماتريدية ومن وافقهم</w:t>
      </w:r>
      <w:r w:rsidR="000636C2">
        <w:rPr>
          <w:rtl/>
          <w:lang w:val="uz-Latn-UZ"/>
        </w:rPr>
        <w:t>،</w:t>
      </w:r>
      <w:r w:rsidRPr="005675B2">
        <w:rPr>
          <w:rtl/>
          <w:lang w:val="uz-Latn-UZ"/>
        </w:rPr>
        <w:t xml:space="preserve"> </w:t>
      </w:r>
    </w:p>
    <w:p w14:paraId="66B5D8F8" w14:textId="77777777" w:rsidR="009C32A0" w:rsidRPr="005675B2" w:rsidRDefault="009C32A0" w:rsidP="000636C2">
      <w:pPr>
        <w:widowControl w:val="0"/>
        <w:spacing w:before="80" w:after="240"/>
        <w:jc w:val="center"/>
        <w:rPr>
          <w:b/>
          <w:bCs/>
          <w:rtl/>
          <w:lang w:val="uz-Latn-UZ"/>
        </w:rPr>
      </w:pPr>
      <w:r w:rsidRPr="005675B2">
        <w:rPr>
          <w:bCs/>
          <w:rtl/>
          <w:lang w:val="uz-Latn-UZ"/>
        </w:rPr>
        <w:t>* * * * *</w:t>
      </w:r>
    </w:p>
    <w:p w14:paraId="6951A19F" w14:textId="619A8EC6" w:rsidR="009C32A0" w:rsidRPr="005675B2" w:rsidRDefault="009C32A0" w:rsidP="000636C2">
      <w:pPr>
        <w:widowControl w:val="0"/>
        <w:spacing w:before="80" w:after="240"/>
        <w:rPr>
          <w:rtl/>
          <w:lang w:val="uz-Latn-UZ" w:bidi="ar-KW"/>
        </w:rPr>
      </w:pPr>
      <w:r w:rsidRPr="005675B2">
        <w:rPr>
          <w:bCs/>
          <w:rtl/>
          <w:lang w:val="uz-Latn-UZ"/>
        </w:rPr>
        <w:t>كتّاب سيرة المصطفى صلى الله عليه وسلم من الأشاعرة والماتريدية</w:t>
      </w:r>
      <w:r w:rsidR="000636C2">
        <w:rPr>
          <w:rFonts w:hint="cs"/>
          <w:bCs/>
          <w:rtl/>
          <w:lang w:val="uz-Latn-UZ" w:bidi="ar-KW"/>
        </w:rPr>
        <w:t xml:space="preserve">: </w:t>
      </w:r>
      <w:r w:rsidRPr="005675B2">
        <w:rPr>
          <w:rtl/>
          <w:lang w:val="uz-Latn-UZ"/>
        </w:rPr>
        <w:t xml:space="preserve">قال الإمام أبو المظفر الإسفراييني - رحمه الله تعالى – </w:t>
      </w:r>
      <w:r w:rsidR="000636C2">
        <w:rPr>
          <w:rtl/>
          <w:lang w:val="uz-Latn-UZ" w:bidi="ar-KW"/>
        </w:rPr>
        <w:t>(</w:t>
      </w:r>
      <w:r w:rsidRPr="005675B2">
        <w:rPr>
          <w:rtl/>
          <w:lang w:val="uz-Latn-UZ" w:bidi="ar-KW"/>
        </w:rPr>
        <w:t>المصدر السابق</w:t>
      </w:r>
      <w:r w:rsidR="000636C2">
        <w:rPr>
          <w:rtl/>
          <w:lang w:val="uz-Latn-UZ" w:bidi="ar-KW"/>
        </w:rPr>
        <w:t>):</w:t>
      </w:r>
      <w:r w:rsidRPr="005675B2">
        <w:rPr>
          <w:rFonts w:hint="cs"/>
          <w:rtl/>
          <w:lang w:val="uz-Latn-UZ"/>
        </w:rPr>
        <w:t xml:space="preserve"> </w:t>
      </w:r>
      <w:r w:rsidR="000636C2">
        <w:rPr>
          <w:rtl/>
          <w:lang w:val="uz-Latn-UZ"/>
        </w:rPr>
        <w:t>(</w:t>
      </w:r>
      <w:r w:rsidRPr="005675B2">
        <w:rPr>
          <w:rtl/>
          <w:lang w:val="uz-Latn-UZ"/>
        </w:rPr>
        <w:t>علوم المغازي والسير والتواريخ والتفرقة بين السقيم والمستقيم، ليس لأهل البدعة من هو رأس في شيء من هذه العلوم فهي مختصة بأهل السنة والجماعة</w:t>
      </w:r>
      <w:r w:rsidR="000636C2">
        <w:rPr>
          <w:rtl/>
          <w:lang w:val="uz-Latn-UZ"/>
        </w:rPr>
        <w:t>)</w:t>
      </w:r>
      <w:r w:rsidRPr="005675B2">
        <w:rPr>
          <w:rtl/>
          <w:lang w:val="uz-Latn-UZ"/>
        </w:rPr>
        <w:t xml:space="preserve"> اهـ</w:t>
      </w:r>
      <w:r w:rsidR="000636C2">
        <w:rPr>
          <w:rtl/>
          <w:lang w:val="uz-Latn-UZ"/>
        </w:rPr>
        <w:t xml:space="preserve">، </w:t>
      </w:r>
      <w:r w:rsidRPr="005675B2">
        <w:rPr>
          <w:rtl/>
          <w:lang w:val="uz-Latn-UZ"/>
        </w:rPr>
        <w:t>وممن صنّف في السير والمغازي من الأشاعرة والماتريدية فبلغت مصنفاته ما بلغ الليل والنهار</w:t>
      </w:r>
      <w:r w:rsidR="000636C2">
        <w:rPr>
          <w:rtl/>
          <w:lang w:val="uz-Latn-UZ"/>
        </w:rPr>
        <w:t>:</w:t>
      </w:r>
      <w:r w:rsidRPr="005675B2">
        <w:rPr>
          <w:rFonts w:hint="cs"/>
          <w:rtl/>
          <w:lang w:val="uz-Latn-UZ"/>
        </w:rPr>
        <w:t xml:space="preserve"> </w:t>
      </w:r>
      <w:r w:rsidRPr="005675B2">
        <w:rPr>
          <w:rtl/>
          <w:lang w:val="uz-Latn-UZ"/>
        </w:rPr>
        <w:t>الإمام البيهقي رحمه الله تعالى صاحب دلائل النبوة</w:t>
      </w:r>
      <w:r w:rsidR="000636C2">
        <w:rPr>
          <w:rtl/>
          <w:lang w:val="uz-Latn-UZ"/>
        </w:rPr>
        <w:t>،</w:t>
      </w:r>
      <w:r w:rsidRPr="005675B2">
        <w:rPr>
          <w:rtl/>
          <w:lang w:val="uz-Latn-UZ"/>
        </w:rPr>
        <w:t xml:space="preserve"> الإمام أبو نعيم الأصبهاني رحمه الله تعالى صاحب دلائل النبوة أيضاً</w:t>
      </w:r>
      <w:r w:rsidR="000636C2">
        <w:rPr>
          <w:rtl/>
          <w:lang w:val="uz-Latn-UZ"/>
        </w:rPr>
        <w:t xml:space="preserve">، </w:t>
      </w:r>
      <w:r w:rsidRPr="005675B2">
        <w:rPr>
          <w:rtl/>
          <w:lang w:val="uz-Latn-UZ"/>
        </w:rPr>
        <w:t>القاضي عياض رحمه الله تعالى صاحب الشفا في شمائل وأحوال المصطفى</w:t>
      </w:r>
      <w:r w:rsidR="000636C2">
        <w:rPr>
          <w:rtl/>
          <w:lang w:val="uz-Latn-UZ"/>
        </w:rPr>
        <w:t xml:space="preserve"> </w:t>
      </w:r>
      <w:r w:rsidRPr="005675B2">
        <w:rPr>
          <w:rtl/>
          <w:lang w:val="uz-Latn-UZ"/>
        </w:rPr>
        <w:t>الذي ليس له نظير</w:t>
      </w:r>
      <w:r w:rsidR="000636C2">
        <w:rPr>
          <w:rtl/>
          <w:lang w:val="uz-Latn-UZ"/>
        </w:rPr>
        <w:t xml:space="preserve">، </w:t>
      </w:r>
      <w:r w:rsidRPr="005675B2">
        <w:rPr>
          <w:rtl/>
          <w:lang w:val="uz-Latn-UZ" w:bidi="ar-KW"/>
        </w:rPr>
        <w:t>الإمام ابن الجوزي رحمه الله تعالى صاحب الوفا بأحوال المصطفى</w:t>
      </w:r>
      <w:r w:rsidR="000636C2">
        <w:rPr>
          <w:rtl/>
          <w:lang w:val="uz-Latn-UZ" w:bidi="ar-KW"/>
        </w:rPr>
        <w:t>،</w:t>
      </w:r>
      <w:r w:rsidRPr="005675B2">
        <w:rPr>
          <w:rtl/>
          <w:lang w:val="uz-Latn-UZ" w:bidi="ar-KW"/>
        </w:rPr>
        <w:t xml:space="preserve"> </w:t>
      </w:r>
      <w:r w:rsidRPr="005675B2">
        <w:rPr>
          <w:rtl/>
          <w:lang w:val="uz-Latn-UZ"/>
        </w:rPr>
        <w:t>الإمام الحلبي رحمه الله تعالى صاحب السيرة الحلبية المسماة بإنسان العيون</w:t>
      </w:r>
      <w:r w:rsidR="000636C2">
        <w:rPr>
          <w:rtl/>
          <w:lang w:val="uz-Latn-UZ"/>
        </w:rPr>
        <w:t xml:space="preserve">، </w:t>
      </w:r>
      <w:r w:rsidRPr="005675B2">
        <w:rPr>
          <w:rtl/>
          <w:lang w:val="uz-Latn-UZ"/>
        </w:rPr>
        <w:t>الإمام السهيلي رحمه الله تعالى صاحب الروض الأنف</w:t>
      </w:r>
      <w:r w:rsidR="000636C2">
        <w:rPr>
          <w:rtl/>
          <w:lang w:val="uz-Latn-UZ"/>
        </w:rPr>
        <w:t xml:space="preserve">، </w:t>
      </w:r>
      <w:r w:rsidRPr="005675B2">
        <w:rPr>
          <w:rtl/>
          <w:lang w:val="uz-Latn-UZ" w:bidi="ar-KW"/>
        </w:rPr>
        <w:t>الإمام القسطلاني رحمه الله تعالى صاحب المواهب اللدنية</w:t>
      </w:r>
      <w:r w:rsidR="000636C2">
        <w:rPr>
          <w:rtl/>
          <w:lang w:val="uz-Latn-UZ" w:bidi="ar-KW"/>
        </w:rPr>
        <w:t>،</w:t>
      </w:r>
      <w:r w:rsidRPr="005675B2">
        <w:rPr>
          <w:rtl/>
          <w:lang w:val="uz-Latn-UZ" w:bidi="ar-KW"/>
        </w:rPr>
        <w:t xml:space="preserve"> </w:t>
      </w:r>
      <w:r w:rsidRPr="005675B2">
        <w:rPr>
          <w:rtl/>
          <w:lang w:val="uz-Latn-UZ"/>
        </w:rPr>
        <w:t>الإمام الصالحي الدمشقي رحمه الله تعالى صاحب سبل الهدى والرشاد</w:t>
      </w:r>
      <w:r w:rsidR="000636C2">
        <w:rPr>
          <w:rtl/>
          <w:lang w:val="uz-Latn-UZ"/>
        </w:rPr>
        <w:t xml:space="preserve">، </w:t>
      </w:r>
      <w:r w:rsidRPr="005675B2">
        <w:rPr>
          <w:rtl/>
          <w:lang w:val="uz-Latn-UZ"/>
        </w:rPr>
        <w:t>الإمام المؤرخ المقريزي رحمه الله تعالى صاحب كتاب إمتاع الأسماع</w:t>
      </w:r>
      <w:r w:rsidR="000636C2">
        <w:rPr>
          <w:rtl/>
          <w:lang w:val="uz-Latn-UZ"/>
        </w:rPr>
        <w:t xml:space="preserve">، </w:t>
      </w:r>
      <w:r w:rsidRPr="005675B2">
        <w:rPr>
          <w:rtl/>
          <w:lang w:val="uz-Latn-UZ"/>
        </w:rPr>
        <w:t>ومصنفات هؤلاء الأئمة هي أهم المراجع التي عليها المعتمد في سيرة المصطفى</w:t>
      </w:r>
      <w:r w:rsidR="000636C2">
        <w:rPr>
          <w:rtl/>
          <w:lang w:val="uz-Latn-UZ"/>
        </w:rPr>
        <w:t>،</w:t>
      </w:r>
      <w:r w:rsidRPr="005675B2">
        <w:rPr>
          <w:rtl/>
          <w:lang w:val="uz-Latn-UZ"/>
        </w:rPr>
        <w:t xml:space="preserve"> وكلهم على عقيدة الأشاعرة والماتريدية وعلى ما كان عليه المتقدمون من كتاب السيرة الأوائل مثل ابن إسحاق والواقدي وابن سعد وابن هشام وغيرهم من أكابر العلماء في السيرة والمغازي</w:t>
      </w:r>
      <w:r w:rsidR="000636C2">
        <w:rPr>
          <w:rtl/>
          <w:lang w:val="uz-Latn-UZ"/>
        </w:rPr>
        <w:t xml:space="preserve">، </w:t>
      </w:r>
      <w:r w:rsidRPr="005675B2">
        <w:rPr>
          <w:rtl/>
          <w:lang w:val="uz-Latn-UZ"/>
        </w:rPr>
        <w:t>وكذلك من صنف في التواريخ من الأئمة غالبهم من الأشاعرة والماتريدية مثل الإمام الحافظ ابن عساكر في كتابه الفذ تاريخ مدينة دمشق والإمام ابن الجوزي في كتابه المنتظم والإمام الخطيب البغدادي في كتابه تاريخ بغداد وابن خلدون وابن الأثير، وكذلك من صنّف في تراجم الأعلام مثل الإمام الصفدي في كتابه الوافي في الوفيات الذي اختصره في كتابه أعيان العصر، وقبله الإمام الباخرزي صاحب كتاب دمية القصر، وابن شاكر الكتبي صاحب كتاب فوات الوفيات وقاضي القضاة ابن خلكان الشافعي صاحب كتاب وفيات الأعيان، وكُتَّاب تراجم طبقات علماء المذاهب الفقهية وأصحاب كتب التراجم التي وضعت حسب القرون مثل الدرر الكامنة وإنباء الغمر كلاهما للحافظ ابن حجر والضوء اللامع للحافظ السخاوي، ومرآة الزمان لسبط ابن الجوزي، ومرآة الجنان لليافعي وخلاصة الأثر للمحبّي وسلك الدرر للمرادي والكواكب السائرة للغزي، وغيرهم الكثير</w:t>
      </w:r>
      <w:r w:rsidR="000636C2">
        <w:rPr>
          <w:rtl/>
          <w:lang w:val="uz-Latn-UZ"/>
        </w:rPr>
        <w:t xml:space="preserve">، </w:t>
      </w:r>
      <w:r w:rsidRPr="005675B2">
        <w:rPr>
          <w:rtl/>
          <w:lang w:val="uz-Latn-UZ" w:bidi="ar-KW"/>
        </w:rPr>
        <w:t>ومما يلحق بما مرّ وهو قريب منه، ما صُنّف في الأنساب والأماكن والبلدان مثل كتاب الأنساب للإمام السمعاني ومعجم البلدان لياقوت الحموي ومعجم ما استعجم للبكري وغير ذلك كثير جداً، كل أولئك كانوا إما أشاعرة أو ماتريدية</w:t>
      </w:r>
      <w:r w:rsidR="000636C2">
        <w:rPr>
          <w:rtl/>
          <w:lang w:val="uz-Latn-UZ" w:bidi="ar-KW"/>
        </w:rPr>
        <w:t>،</w:t>
      </w:r>
      <w:r w:rsidRPr="005675B2">
        <w:rPr>
          <w:rtl/>
          <w:lang w:val="uz-Latn-UZ" w:bidi="ar-KW"/>
        </w:rPr>
        <w:t xml:space="preserve"> </w:t>
      </w:r>
      <w:r w:rsidRPr="005675B2">
        <w:rPr>
          <w:rtl/>
          <w:lang w:val="uz-Latn-UZ"/>
        </w:rPr>
        <w:t>ونحن في كل هذا إنما نقتصر على من كان معروفاً بين الناس وإلا فالأمر لا يدخل تحت الجهد والطاقة، وهؤلاء الذين ذكرناهم وعدّدنا مصنفاتهم سواء في القرآن وعلومه أو الحديث أو الفقه والأصول أو علوم العربية أو التواريخ والمغازي والسير وغير ذلك، هم عبارة عن مراجع المكتبة الإسلامية التي لا غناء لكاتب أو باحث في أي فن عنها</w:t>
      </w:r>
      <w:r w:rsidR="000636C2">
        <w:rPr>
          <w:rtl/>
          <w:lang w:val="uz-Latn-UZ"/>
        </w:rPr>
        <w:t xml:space="preserve">، </w:t>
      </w:r>
      <w:r w:rsidRPr="005675B2">
        <w:rPr>
          <w:rtl/>
          <w:lang w:val="uz-Latn-UZ" w:bidi="ar-KW"/>
        </w:rPr>
        <w:t>وعلى الجملة فإن التاريخ على مدى أدواره كلها منذ منتصف القرن الرابع هو خير شاهد على أن مذهب الأشاعرة والماتريدية ومن وافقهم من أهل السنـة بجمـيع طوائفهم هو المذهب الغالب السائد، فأينما ارتحلت في مشارق العالم الإسلامي ومغاربه، شماله وجنوبه فرايات أهل السنة أعلى ما تراه، ومهما بالغت بالرجوع في أحقاب الزمن لن تجد مذهبهم إلا غالباً على كل ما سواه، وذلك لحديث المصطفى</w:t>
      </w:r>
      <w:r w:rsidR="000636C2">
        <w:rPr>
          <w:rtl/>
          <w:lang w:val="uz-Latn-UZ" w:bidi="ar-KW"/>
        </w:rPr>
        <w:t xml:space="preserve"> </w:t>
      </w:r>
      <w:r w:rsidRPr="005675B2">
        <w:rPr>
          <w:rtl/>
          <w:lang w:val="uz-Latn-UZ"/>
        </w:rPr>
        <w:t>"لا تجتمع أمتي على ضلالة "</w:t>
      </w:r>
      <w:r w:rsidR="000636C2">
        <w:rPr>
          <w:rtl/>
          <w:lang w:val="uz-Latn-UZ"/>
        </w:rPr>
        <w:t xml:space="preserve">، </w:t>
      </w:r>
      <w:r w:rsidRPr="005675B2">
        <w:rPr>
          <w:rtl/>
          <w:lang w:val="uz-Latn-UZ" w:bidi="ar-KW"/>
        </w:rPr>
        <w:t>أضف إلى ذلك، تلك الصروح الشامخة والمراكزالعلمية التي كانت تنشر النور في جميع أصقاع العالم الإنساني،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الماتريدية، ومن قبلها المدارس الإسلامية التي قامت في حواضر الإسلام قديماً، مثل المدارس النظامية نسبة للوزير نظام الملك، وهي كثيرة، حتى قيل بأنه لا تخلو مدينة من مدن العراق وخراسان من أحدها، وهي من أهم الأسباب في انتشار المذهب السني، ومن أشهرها نظامية بغداد التي كانت أكبر جامعة في الدنـيا يومئـذ</w:t>
      </w:r>
      <w:r w:rsidRPr="005675B2">
        <w:rPr>
          <w:rFonts w:hint="cs"/>
          <w:rtl/>
          <w:lang w:val="uz-Latn-UZ" w:bidi="ar-KW"/>
        </w:rPr>
        <w:t xml:space="preserve"> </w:t>
      </w:r>
      <w:r w:rsidR="000636C2">
        <w:rPr>
          <w:rFonts w:hint="cs"/>
          <w:sz w:val="24"/>
          <w:szCs w:val="24"/>
          <w:rtl/>
          <w:lang w:val="uz-Latn-UZ" w:bidi="ar-KW"/>
        </w:rPr>
        <w:t>[</w:t>
      </w:r>
      <w:r w:rsidRPr="005675B2">
        <w:rPr>
          <w:sz w:val="24"/>
          <w:szCs w:val="24"/>
          <w:rtl/>
          <w:lang w:val="uz-Latn-UZ"/>
        </w:rPr>
        <w:t>كما يصفها الأستاذ الشيخ علي الطنطاوي رحمه الله تعالى. الفتاوى 2/253</w:t>
      </w:r>
      <w:r w:rsidR="000636C2">
        <w:rPr>
          <w:rFonts w:hint="cs"/>
          <w:sz w:val="24"/>
          <w:szCs w:val="24"/>
          <w:rtl/>
          <w:lang w:val="uz-Latn-UZ"/>
        </w:rPr>
        <w:t>]</w:t>
      </w:r>
      <w:r w:rsidRPr="005675B2">
        <w:rPr>
          <w:rFonts w:hint="cs"/>
          <w:sz w:val="24"/>
          <w:szCs w:val="24"/>
          <w:rtl/>
          <w:lang w:val="uz-Latn-UZ"/>
        </w:rPr>
        <w:t xml:space="preserve"> </w:t>
      </w:r>
      <w:r w:rsidRPr="005675B2">
        <w:rPr>
          <w:rtl/>
          <w:lang w:val="uz-Latn-UZ" w:bidi="ar-KW"/>
        </w:rPr>
        <w:t>ولي مشيختها الإمام</w:t>
      </w:r>
      <w:r w:rsidRPr="005675B2">
        <w:rPr>
          <w:rFonts w:hint="cs"/>
          <w:rtl/>
          <w:lang w:val="uz-Latn-UZ" w:bidi="ar-KW"/>
        </w:rPr>
        <w:t xml:space="preserve"> </w:t>
      </w:r>
      <w:r w:rsidRPr="005675B2">
        <w:rPr>
          <w:rtl/>
          <w:lang w:val="uz-Latn-UZ" w:bidi="ar-KW"/>
        </w:rPr>
        <w:t xml:space="preserve">أبوإسحاق الشيرازي رحمه الله تعالى، وممن وليها أيضاً الإمام الغزالي رحمه الله تعالى، ونظامية نيسابور التي ولي مشيختها الإمام الجويني رحمه الله تعالى وبعده الإمام الغزالي أيضاً، ومن تلك الصروح العلمية التي كان لها أكبر الأثر في التاريخ الإسلامي والحركة العلمية في العالم الإسلامي أجمع مدرسة دار الحديث الأشرفية التي كان شرط واقفها أن لا يلي مشيختها إلا أشعري </w:t>
      </w:r>
      <w:r w:rsidR="000636C2">
        <w:rPr>
          <w:rtl/>
          <w:lang w:val="uz-Latn-UZ" w:bidi="ar-KW"/>
        </w:rPr>
        <w:t>(</w:t>
      </w:r>
      <w:r w:rsidRPr="005675B2">
        <w:rPr>
          <w:rtl/>
          <w:lang w:val="uz-Latn-UZ" w:bidi="ar-KW"/>
        </w:rPr>
        <w:t>انظر طبقات ابن السبكي 10/200، 398</w:t>
      </w:r>
      <w:r w:rsidR="000636C2">
        <w:rPr>
          <w:rtl/>
          <w:lang w:val="uz-Latn-UZ" w:bidi="ar-KW"/>
        </w:rPr>
        <w:t>)</w:t>
      </w:r>
      <w:r w:rsidRPr="005675B2">
        <w:rPr>
          <w:rtl/>
          <w:lang w:val="uz-Latn-UZ" w:bidi="ar-KW"/>
        </w:rPr>
        <w:t xml:space="preserve">، وكان أول من استلم مشيختها الحافظ أبو عمرو بن الصلاح رحمه الله تعالى، ثم تعاقب الأئمة بعده، فمنهم الإمام الرباني الحافظ يحيى بن شرف النووي رحمه الله تعالى والحافظ جمال الدين المزي والحافظ التقي السبكي والحافظ ابن كثير وغيرهم، والذين تخرجوا فيها من العلماء لا يُحصَـوْن كثرة، وهكذا استمرّت هذه المدرسة بإخراج العلماء والأئمة والحفاظ والفقهاء والمقرئين قرونـاً طويـلة،" وبقيت كذلك حتى القرن الحادي عشر الهجري، ثم بدأ يدب إليها الضعف وذلك تبعاً لما كان يمرّ به العالم الإسلامي من تفكك وخور، ثم هيأ الله لها عالمين جليلين استطاعا بجهودهما أن يعودا بالمدرسة إلى سابق عهدها، فاستؤنفت فيها حلقات العلم وقراءة الحديث وروايته منذ عام 1272هـ، كان ذلك بجهود الشيخ يوسف المغربي ودعم الأمير عبد القادر الجزائري الذي افتتح المدرسة بقراءة صحيح البخـاري، وكأن عملـهما ذاك كان تمهيداً لبروز مجدد القرن الرابع عشر الهجري المحدث الأكبر محمد بدر الدين الحسني الذي تسلم مشيختها وأعاد لها عزها ومجدها وفخرها، فمن دار الحديث وعلى يدي شيخها المحدث الأكبر تخرج علماء الشام والبلدات الشامية، وما من عالم بدمشق في عصرنا الحاضر أو طالب علم إلا وهو تلميذ له أو تلميذ لتلاميذه " </w:t>
      </w:r>
      <w:r w:rsidR="000636C2">
        <w:rPr>
          <w:rtl/>
          <w:lang w:val="uz-Latn-UZ" w:bidi="ar-KW"/>
        </w:rPr>
        <w:t>(</w:t>
      </w:r>
      <w:r w:rsidRPr="005675B2">
        <w:rPr>
          <w:rtl/>
          <w:lang w:val="uz-Latn-UZ" w:bidi="ar-KW"/>
        </w:rPr>
        <w:t>من كتاب دار الحديث الأشرفية بدمشق للدكتور محمد مطيع حافظ، بتصرف يسير</w:t>
      </w:r>
      <w:r w:rsidR="000636C2">
        <w:rPr>
          <w:rtl/>
          <w:lang w:val="uz-Latn-UZ" w:bidi="ar-KW"/>
        </w:rPr>
        <w:t xml:space="preserve">)، </w:t>
      </w:r>
      <w:r w:rsidRPr="005675B2">
        <w:rPr>
          <w:rtl/>
          <w:lang w:val="uz-Latn-UZ"/>
        </w:rPr>
        <w:t>ومما يستشهد به لإثبات فضل السادة الأشاعرة والماتريدية ما جاء في الحديث من الدعاء والثناء على الجيش الذي يفتح القسطنطينية وأمير ذلك الجيش وهو من الإشارات الباهرة لرسول الله صلى الله عليه وسلم، فقد روى البخاري في التاريخ الكبير والصغير وأحمد في مسنده والبزار وابن خزيمة والطبراني والحاكم وصححه وأقره عليه الذهبي عن النبي</w:t>
      </w:r>
      <w:r w:rsidR="000636C2">
        <w:rPr>
          <w:rtl/>
          <w:lang w:val="uz-Latn-UZ"/>
        </w:rPr>
        <w:t xml:space="preserve"> </w:t>
      </w:r>
      <w:r w:rsidRPr="005675B2">
        <w:rPr>
          <w:rtl/>
          <w:lang w:val="uz-Latn-UZ" w:bidi="ar-KW"/>
        </w:rPr>
        <w:t>قال " لتفتحن القسطنطينية فلنعم الأمير أميرها ولنعم الجيش ذلك الجيش "</w:t>
      </w:r>
      <w:r w:rsidR="000636C2">
        <w:rPr>
          <w:rtl/>
          <w:lang w:val="uz-Latn-UZ" w:bidi="ar-KW"/>
        </w:rPr>
        <w:t>،</w:t>
      </w:r>
      <w:r w:rsidRPr="005675B2">
        <w:rPr>
          <w:rtl/>
          <w:lang w:val="uz-Latn-UZ" w:bidi="ar-KW"/>
        </w:rPr>
        <w:t xml:space="preserve"> </w:t>
      </w:r>
      <w:r w:rsidRPr="005675B2">
        <w:rPr>
          <w:rtl/>
          <w:lang w:val="uz-Latn-UZ"/>
        </w:rPr>
        <w:t>وهذا الحديث حدا بكثير من المسلمين منذ زمن الصحابة إلى الذين بعدهم والذين بعدهم أن يحاولوا الكرة بعد الكرة فتح القسطنطينية، وما ذلك إلا ليحظوا بهذا الشرف السامي والثناء العظيم العاطر من المصطفى</w:t>
      </w:r>
      <w:r w:rsidR="000636C2">
        <w:rPr>
          <w:rtl/>
          <w:lang w:val="uz-Latn-UZ"/>
        </w:rPr>
        <w:t>،</w:t>
      </w:r>
      <w:r w:rsidRPr="005675B2">
        <w:rPr>
          <w:rtl/>
          <w:lang w:val="uz-Latn-UZ"/>
        </w:rPr>
        <w:t xml:space="preserve"> فذخر الله هذا الشرف وهذه المنقبة للسلطان العثماني محمد الفاتح رحمه الله تعالى ولجيشه المقدام الجسور</w:t>
      </w:r>
      <w:r w:rsidR="000636C2">
        <w:rPr>
          <w:rtl/>
          <w:lang w:val="uz-Latn-UZ"/>
        </w:rPr>
        <w:t xml:space="preserve">، </w:t>
      </w:r>
      <w:r w:rsidRPr="005675B2">
        <w:rPr>
          <w:rtl/>
          <w:lang w:val="uz-Latn-UZ"/>
        </w:rPr>
        <w:t>وفتحت القسطنطينية وفاز الفاتح وجيشه بثناء رسول الله</w:t>
      </w:r>
      <w:r w:rsidR="000636C2">
        <w:rPr>
          <w:rtl/>
          <w:lang w:val="uz-Latn-UZ"/>
        </w:rPr>
        <w:t>،</w:t>
      </w:r>
      <w:r w:rsidRPr="005675B2">
        <w:rPr>
          <w:rtl/>
          <w:lang w:val="uz-Latn-UZ"/>
        </w:rPr>
        <w:t xml:space="preserve"> ومما لا يخفى على شادٍ في التاريخ أن محمداً الفاتح والعثمانيين جميعاً كانوا أحنافاً في الفروع، ماتريدية في الاعتقاد</w:t>
      </w:r>
      <w:r w:rsidR="000636C2">
        <w:rPr>
          <w:rtl/>
          <w:lang w:val="uz-Latn-UZ"/>
        </w:rPr>
        <w:t xml:space="preserve">، </w:t>
      </w:r>
      <w:r w:rsidRPr="005675B2">
        <w:rPr>
          <w:rtl/>
          <w:lang w:val="uz-Latn-UZ"/>
        </w:rPr>
        <w:t>والسؤال الذي يرد هنا</w:t>
      </w:r>
      <w:r w:rsidR="000636C2">
        <w:rPr>
          <w:rtl/>
          <w:lang w:val="uz-Latn-UZ"/>
        </w:rPr>
        <w:t>:</w:t>
      </w:r>
      <w:r w:rsidRPr="005675B2">
        <w:rPr>
          <w:rtl/>
          <w:lang w:val="uz-Latn-UZ"/>
        </w:rPr>
        <w:t xml:space="preserve"> أيكون ثناء رسول الله</w:t>
      </w:r>
      <w:r w:rsidR="000636C2">
        <w:rPr>
          <w:rtl/>
          <w:lang w:val="uz-Latn-UZ"/>
        </w:rPr>
        <w:t xml:space="preserve"> </w:t>
      </w:r>
      <w:r w:rsidRPr="005675B2">
        <w:rPr>
          <w:rtl/>
          <w:lang w:val="uz-Latn-UZ"/>
        </w:rPr>
        <w:t>على مبتدع وضال</w:t>
      </w:r>
      <w:r w:rsidR="000636C2">
        <w:rPr>
          <w:rtl/>
          <w:lang w:val="uz-Latn-UZ"/>
        </w:rPr>
        <w:t>؟!</w:t>
      </w:r>
      <w:r w:rsidRPr="005675B2">
        <w:rPr>
          <w:rFonts w:hint="cs"/>
          <w:rtl/>
          <w:lang w:val="uz-Latn-UZ"/>
        </w:rPr>
        <w:t xml:space="preserve"> </w:t>
      </w:r>
      <w:r w:rsidRPr="005675B2">
        <w:rPr>
          <w:rtl/>
          <w:lang w:val="uz-Latn-UZ" w:bidi="ar-KW"/>
        </w:rPr>
        <w:t>أيصح أن يكون هذا الثناء العاطر على فاتح القسطنطينية من نصيب منحرف في الاعتقاد</w:t>
      </w:r>
      <w:r w:rsidR="000636C2">
        <w:rPr>
          <w:rtl/>
          <w:lang w:val="uz-Latn-UZ" w:bidi="ar-KW"/>
        </w:rPr>
        <w:t>؟!،</w:t>
      </w:r>
      <w:r w:rsidRPr="005675B2">
        <w:rPr>
          <w:rtl/>
          <w:lang w:val="uz-Latn-UZ" w:bidi="ar-KW"/>
        </w:rPr>
        <w:t xml:space="preserve"> </w:t>
      </w:r>
      <w:r w:rsidRPr="005675B2">
        <w:rPr>
          <w:rtl/>
          <w:lang w:val="uz-Latn-UZ"/>
        </w:rPr>
        <w:t>ومن قبل الفاتح من سلاطين الأمة وفاتحيها يأتي السلطان المجاهد الشهيد نور الدين محمود رحمه الله تعالى ورضي عنه</w:t>
      </w:r>
      <w:r w:rsidR="000636C2">
        <w:rPr>
          <w:rtl/>
          <w:lang w:val="uz-Latn-UZ"/>
        </w:rPr>
        <w:t xml:space="preserve">، </w:t>
      </w:r>
      <w:r w:rsidRPr="005675B2">
        <w:rPr>
          <w:rtl/>
          <w:lang w:val="uz-Latn-UZ"/>
        </w:rPr>
        <w:t>والسلطان المجاهد صلاح الدين الأيوبي رحمه الله وهو الذي حظي بشرف تطهير المسجد الأقصى من الصليبيين</w:t>
      </w:r>
      <w:r w:rsidR="000636C2">
        <w:rPr>
          <w:rtl/>
          <w:lang w:val="uz-Latn-UZ"/>
        </w:rPr>
        <w:t>،</w:t>
      </w:r>
      <w:r w:rsidRPr="005675B2">
        <w:rPr>
          <w:rtl/>
          <w:lang w:val="uz-Latn-UZ"/>
        </w:rPr>
        <w:t xml:space="preserve"> والملك المظفر التقي قطز رحمه الله تعالى، الذي حظي بشرف دحر التتار عن بلاد الإسلام</w:t>
      </w:r>
      <w:r w:rsidR="000636C2">
        <w:rPr>
          <w:rtl/>
          <w:lang w:val="uz-Latn-UZ"/>
        </w:rPr>
        <w:t xml:space="preserve">، </w:t>
      </w:r>
      <w:r w:rsidRPr="005675B2">
        <w:rPr>
          <w:rtl/>
          <w:lang w:val="uz-Latn-UZ"/>
        </w:rPr>
        <w:t>ومن متأخري الأبطال والمجاهدين الذين يفخر أهل السنة والجماعة بهم الأسد الهصور عمر المختار رحمه الله تعالى وهو أحد أعلام وأتباع الحركة السنوسية المباركة، والعلامة المجاهد الصوفي الناسك بديع الزمان النُّورْسي رحمه الله تعالى محيي الإسلام في تركيا بعد أن كادت تودي به رياح اللادينية، والبطل المجاهد عز الدين القسام رحمه الله تعالى وهو من أعلام العلماء النساك المتصوفة والمجاهدين، والبطل المجاهد عبد القادر الجزائري رحمه الله تعالى</w:t>
      </w:r>
      <w:r w:rsidR="000636C2">
        <w:rPr>
          <w:rtl/>
          <w:lang w:val="uz-Latn-UZ"/>
        </w:rPr>
        <w:t xml:space="preserve">، </w:t>
      </w:r>
      <w:r w:rsidRPr="005675B2">
        <w:rPr>
          <w:rtl/>
          <w:lang w:val="uz-Latn-UZ"/>
        </w:rPr>
        <w:t>وغير هؤلاء الكثير ممن لا يحصيهم إلا خالقهم ولقد اكتفينا بمن اشتهر بين الخواص والعوام على السواء فمفاخر أهل السنة لا تدخل تحت الحصر وأنَّى لنا بكيل ماء البحر أو عدِّ نجوم السماء، وإنما ذكرنا هذا استئناساً لا استشهاداً، إذ بما ذكرناه سابقاً من الحجج والبراهين كفاية وبلاغ</w:t>
      </w:r>
      <w:r w:rsidR="000636C2">
        <w:rPr>
          <w:rtl/>
          <w:lang w:val="uz-Latn-UZ"/>
        </w:rPr>
        <w:t>،</w:t>
      </w:r>
      <w:r w:rsidRPr="005675B2">
        <w:rPr>
          <w:rtl/>
          <w:lang w:val="uz-Latn-UZ"/>
        </w:rPr>
        <w:t xml:space="preserve"> ورحم الله الإمام عبد القاهر البغدادي إذ يقول </w:t>
      </w:r>
      <w:r w:rsidR="000636C2">
        <w:rPr>
          <w:rtl/>
          <w:lang w:val="uz-Latn-UZ"/>
        </w:rPr>
        <w:t>(</w:t>
      </w:r>
      <w:r w:rsidRPr="005675B2">
        <w:rPr>
          <w:rtl/>
          <w:lang w:val="uz-Latn-UZ"/>
        </w:rPr>
        <w:t>الفرق بين الفرق ص/ 283</w:t>
      </w:r>
      <w:r w:rsidR="000636C2">
        <w:rPr>
          <w:rtl/>
          <w:lang w:val="uz-Latn-UZ"/>
        </w:rPr>
        <w:t>):</w:t>
      </w:r>
      <w:r w:rsidRPr="005675B2">
        <w:rPr>
          <w:rFonts w:hint="cs"/>
          <w:rtl/>
          <w:lang w:val="uz-Latn-UZ"/>
        </w:rPr>
        <w:t xml:space="preserve"> </w:t>
      </w:r>
      <w:r w:rsidR="000636C2">
        <w:rPr>
          <w:rtl/>
          <w:lang w:val="uz-Latn-UZ"/>
        </w:rPr>
        <w:t>(</w:t>
      </w:r>
      <w:r w:rsidRPr="005675B2">
        <w:rPr>
          <w:rtl/>
          <w:lang w:val="uz-Latn-UZ"/>
        </w:rPr>
        <w:t>لا خصلة من الخصال التي تعدّ في المفاخر لأهل الإسلام من المعارف والعلوم وأنـواع الاجتهـادات إلا ولأهل السنة والجمـاعة في ميدانهـا القدح المعلى والسهـم الأوفر</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ورحم الله الإمام العلامـة عبد الله بن علـوي الحـداد حيث قال </w:t>
      </w:r>
      <w:r w:rsidR="000636C2">
        <w:rPr>
          <w:rtl/>
          <w:lang w:val="uz-Latn-UZ"/>
        </w:rPr>
        <w:t>(</w:t>
      </w:r>
      <w:r w:rsidRPr="005675B2">
        <w:rPr>
          <w:rtl/>
          <w:lang w:val="uz-Latn-UZ"/>
        </w:rPr>
        <w:t>نيل المرام شرح عقيدة الإسلام ص / 8</w:t>
      </w:r>
      <w:r w:rsidR="000636C2">
        <w:rPr>
          <w:rtl/>
          <w:lang w:val="uz-Latn-UZ"/>
        </w:rPr>
        <w:t>):</w:t>
      </w:r>
      <w:r w:rsidRPr="005675B2">
        <w:rPr>
          <w:rFonts w:hint="cs"/>
          <w:rtl/>
          <w:lang w:val="uz-Latn-UZ"/>
        </w:rPr>
        <w:t xml:space="preserve"> </w:t>
      </w:r>
      <w:r w:rsidR="000636C2">
        <w:rPr>
          <w:rtl/>
          <w:lang w:val="uz-Latn-UZ"/>
        </w:rPr>
        <w:t>(</w:t>
      </w:r>
      <w:r w:rsidRPr="005675B2">
        <w:rPr>
          <w:rtl/>
          <w:lang w:val="uz-Latn-UZ"/>
        </w:rPr>
        <w:t>اعلم أن مذهب الأشاعرة في الاعتقاد هو ما كان عليه جماهير أمة الإسلام علماؤها ودهماؤها، إذ المنتسبون إليهم والسالكون طريقهم كانوا أئمة أهل العلوم قاطبة على مرّ الأيام والسنين، وهم أئمة علم التوحيد والكلام والتفسير والقراءة والفقه وأصوله والحديث وفنونه والتصوف واللغة والتاريخ</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w:t>
      </w:r>
      <w:r w:rsidRPr="005675B2">
        <w:rPr>
          <w:rtl/>
          <w:lang w:val="uz-Latn-UZ" w:bidi="ar-KW"/>
        </w:rPr>
        <w:t>ولنا الحق أن نتساءل بعد كل ما مر وما قيل</w:t>
      </w:r>
      <w:r w:rsidR="000636C2">
        <w:rPr>
          <w:rtl/>
          <w:lang w:val="uz-Latn-UZ" w:bidi="ar-KW"/>
        </w:rPr>
        <w:t>:</w:t>
      </w:r>
      <w:r w:rsidRPr="005675B2">
        <w:rPr>
          <w:rtl/>
          <w:lang w:val="uz-Latn-UZ" w:bidi="ar-KW"/>
        </w:rPr>
        <w:t xml:space="preserve"> ما الهدف من القدح بأعلام المسلمين وإسقاط الهيبة والتوقير من قلوب الأجيال المسلمة لهم</w:t>
      </w:r>
      <w:r w:rsidR="000636C2">
        <w:rPr>
          <w:rtl/>
          <w:lang w:val="uz-Latn-UZ" w:bidi="ar-KW"/>
        </w:rPr>
        <w:t>؟</w:t>
      </w:r>
      <w:r w:rsidR="000636C2">
        <w:rPr>
          <w:rtl/>
          <w:lang w:val="uz-Latn-UZ"/>
        </w:rPr>
        <w:t>!</w:t>
      </w:r>
      <w:r w:rsidRPr="005675B2">
        <w:rPr>
          <w:rtl/>
          <w:lang w:val="uz-Latn-UZ"/>
        </w:rPr>
        <w:t>!</w:t>
      </w:r>
      <w:r w:rsidRPr="005675B2">
        <w:rPr>
          <w:rFonts w:hint="cs"/>
          <w:rtl/>
          <w:lang w:val="uz-Latn-UZ"/>
        </w:rPr>
        <w:t xml:space="preserve"> </w:t>
      </w:r>
      <w:r w:rsidRPr="005675B2">
        <w:rPr>
          <w:rtl/>
          <w:lang w:val="uz-Latn-UZ"/>
        </w:rPr>
        <w:t>لماذا يصر البعض على تحطيم صروح الدين من خلال تحطيم أعلامه ورموزه</w:t>
      </w:r>
      <w:r w:rsidR="000636C2">
        <w:rPr>
          <w:rtl/>
          <w:lang w:val="uz-Latn-UZ"/>
        </w:rPr>
        <w:t>؟!</w:t>
      </w:r>
      <w:r w:rsidRPr="005675B2">
        <w:rPr>
          <w:rFonts w:hint="cs"/>
          <w:rtl/>
          <w:lang w:val="uz-Latn-UZ"/>
        </w:rPr>
        <w:t xml:space="preserve"> </w:t>
      </w:r>
      <w:r w:rsidRPr="005675B2">
        <w:rPr>
          <w:rtl/>
          <w:lang w:val="uz-Latn-UZ"/>
        </w:rPr>
        <w:t>ترى ألا يمكن أن يقام مجد للمتأخرين إلا على أنقاض شرف الأولين</w:t>
      </w:r>
      <w:r w:rsidR="000636C2">
        <w:rPr>
          <w:rtl/>
          <w:lang w:val="uz-Latn-UZ"/>
        </w:rPr>
        <w:t>؟!</w:t>
      </w:r>
      <w:r w:rsidRPr="005675B2">
        <w:rPr>
          <w:rFonts w:hint="cs"/>
          <w:rtl/>
          <w:lang w:val="uz-Latn-UZ" w:bidi="ar-KW"/>
        </w:rPr>
        <w:t xml:space="preserve"> </w:t>
      </w:r>
      <w:r w:rsidRPr="005675B2">
        <w:rPr>
          <w:rtl/>
          <w:lang w:val="uz-Latn-UZ" w:bidi="ar-KW"/>
        </w:rPr>
        <w:t xml:space="preserve">أم أنه حق فينا قول رسول الله صلَّى الله عليه وسلم </w:t>
      </w:r>
      <w:r w:rsidR="000636C2">
        <w:rPr>
          <w:rtl/>
          <w:lang w:val="uz-Latn-UZ" w:bidi="ar-KW"/>
        </w:rPr>
        <w:t>(</w:t>
      </w:r>
      <w:r w:rsidRPr="005675B2">
        <w:rPr>
          <w:rtl/>
          <w:lang w:val="uz-Latn-UZ" w:bidi="ar-KW"/>
        </w:rPr>
        <w:t>لا تقوم الساعة حتى يلعن آخر هذه الأمة أولها</w:t>
      </w:r>
      <w:r w:rsidR="000636C2">
        <w:rPr>
          <w:rtl/>
          <w:lang w:val="uz-Latn-UZ" w:bidi="ar-KW"/>
        </w:rPr>
        <w:t>)؟!</w:t>
      </w:r>
      <w:r w:rsidRPr="005675B2">
        <w:rPr>
          <w:rtl/>
          <w:lang w:val="uz-Latn-UZ" w:bidi="ar-KW"/>
        </w:rPr>
        <w:t>!</w:t>
      </w:r>
    </w:p>
    <w:p w14:paraId="7BB23071" w14:textId="137FE153" w:rsidR="009C32A0" w:rsidRPr="005675B2" w:rsidRDefault="009C32A0" w:rsidP="000636C2">
      <w:pPr>
        <w:widowControl w:val="0"/>
        <w:spacing w:before="80" w:after="240"/>
        <w:rPr>
          <w:rtl/>
          <w:lang w:bidi="ar-KW"/>
        </w:rPr>
      </w:pPr>
      <w:r w:rsidRPr="005675B2">
        <w:rPr>
          <w:bCs/>
          <w:rtl/>
          <w:lang w:val="uz-Latn-UZ" w:bidi="ar-KW"/>
        </w:rPr>
        <w:t>جهود أهل السنة في الذود عن الدين والرد على المبتدعين</w:t>
      </w:r>
      <w:r w:rsidR="000636C2">
        <w:rPr>
          <w:rFonts w:hint="cs"/>
          <w:bCs/>
          <w:rtl/>
          <w:lang w:val="uz-Latn-UZ" w:bidi="ar-KW"/>
        </w:rPr>
        <w:t>:</w:t>
      </w:r>
      <w:r w:rsidRPr="005675B2">
        <w:rPr>
          <w:rFonts w:hint="cs"/>
          <w:bCs/>
          <w:rtl/>
          <w:lang w:val="uz-Latn-UZ" w:bidi="ar-KW"/>
        </w:rPr>
        <w:t xml:space="preserve"> </w:t>
      </w:r>
      <w:r w:rsidRPr="005675B2">
        <w:rPr>
          <w:rtl/>
          <w:lang w:val="uz-Latn-UZ" w:bidi="ar-KW"/>
        </w:rPr>
        <w:t>نظرة عابرة إلى كتب التراجم والتواريخ والسير والعلوم الأخرى الشرعية وغيرها كفيلة بإقناع من تجرد للحقيقة وأزاح عن عينيه غشـاوة التقليد والتعصّب بفضل الأشاعرة والماتريدية</w:t>
      </w:r>
      <w:r w:rsidR="000636C2">
        <w:rPr>
          <w:rtl/>
          <w:lang w:val="uz-Latn-UZ" w:bidi="ar-KW"/>
        </w:rPr>
        <w:t>،</w:t>
      </w:r>
      <w:r w:rsidRPr="005675B2">
        <w:rPr>
          <w:rtl/>
          <w:lang w:val="uz-Latn-UZ" w:bidi="ar-KW"/>
        </w:rPr>
        <w:t xml:space="preserve"> </w:t>
      </w:r>
      <w:r w:rsidRPr="005675B2">
        <w:rPr>
          <w:rtl/>
          <w:lang w:val="uz-Latn-UZ"/>
        </w:rPr>
        <w:t>فأوّل ما يلحظه المطّلع على كتب التراث هذا الجهد الهائل الجبّار الذي بذله أعلام المسلمين وأئمة الدين من الأشاعرة والماتريدية في نصرة الإسلام وتوطيد عقائده والذود عن حرماته وتحصين ثغوره، ونشر العلم في مشارق الأرض ومغاربها</w:t>
      </w:r>
      <w:r w:rsidR="000636C2">
        <w:rPr>
          <w:rtl/>
          <w:lang w:val="uz-Latn-UZ"/>
        </w:rPr>
        <w:t>،</w:t>
      </w:r>
      <w:r w:rsidRPr="005675B2">
        <w:rPr>
          <w:rtl/>
          <w:lang w:val="uz-Latn-UZ"/>
        </w:rPr>
        <w:t xml:space="preserve"> جهود هي عند المنصف غرّة في جبين الدهر، وإكليل غار على ناصية التاريخ</w:t>
      </w:r>
      <w:r w:rsidR="000636C2">
        <w:rPr>
          <w:rtl/>
          <w:lang w:val="uz-Latn-UZ"/>
        </w:rPr>
        <w:t xml:space="preserve">، </w:t>
      </w:r>
      <w:r w:rsidRPr="005675B2">
        <w:rPr>
          <w:rtl/>
          <w:lang w:val="uz-Latn-UZ" w:bidi="ar-KW"/>
        </w:rPr>
        <w:t>وحريٌّ بنا في هذا البحث الذي أردنا به نصرة الحقّ وإظهار فضائل أهل الفضل أن ننوّه بهذه الجهود المباركة ونذكر طرفاً منها، ليطّلع القارئ على ما تقرُّ به عينه من تاريخ أمته المشرق والمشرّف</w:t>
      </w:r>
      <w:r w:rsidR="000636C2">
        <w:rPr>
          <w:rtl/>
          <w:lang w:val="uz-Latn-UZ" w:bidi="ar-KW"/>
        </w:rPr>
        <w:t xml:space="preserve">، </w:t>
      </w:r>
      <w:r w:rsidRPr="005675B2">
        <w:rPr>
          <w:rtl/>
          <w:lang w:val="uz-Latn-UZ"/>
        </w:rPr>
        <w:t xml:space="preserve">من ذلك ما جاء في كتاب " الفرق بين الفرق " </w:t>
      </w:r>
      <w:r w:rsidR="000636C2">
        <w:rPr>
          <w:rtl/>
          <w:lang w:val="uz-Latn-UZ"/>
        </w:rPr>
        <w:t>(</w:t>
      </w:r>
      <w:r w:rsidRPr="005675B2">
        <w:rPr>
          <w:rtl/>
          <w:lang w:val="uz-Latn-UZ"/>
        </w:rPr>
        <w:t>ص / 283</w:t>
      </w:r>
      <w:r w:rsidR="000636C2">
        <w:rPr>
          <w:rtl/>
          <w:lang w:val="uz-Latn-UZ"/>
        </w:rPr>
        <w:t>)</w:t>
      </w:r>
      <w:r w:rsidRPr="005675B2">
        <w:rPr>
          <w:rtl/>
          <w:lang w:val="uz-Latn-UZ"/>
        </w:rPr>
        <w:t xml:space="preserve"> للإمام الفذ الفرد عبد القاهر البغدادي قال رحمه الله تعالى</w:t>
      </w:r>
      <w:r w:rsidR="000636C2">
        <w:rPr>
          <w:rtl/>
          <w:lang w:val="uz-Latn-UZ"/>
        </w:rPr>
        <w:t>:</w:t>
      </w:r>
      <w:r w:rsidR="000636C2">
        <w:rPr>
          <w:rFonts w:hint="cs"/>
          <w:rtl/>
          <w:lang w:val="uz-Latn-UZ"/>
        </w:rPr>
        <w:t xml:space="preserve"> </w:t>
      </w:r>
      <w:r w:rsidR="000636C2">
        <w:rPr>
          <w:rtl/>
          <w:lang w:val="uz-Latn-UZ"/>
        </w:rPr>
        <w:t>(</w:t>
      </w:r>
      <w:r w:rsidRPr="005675B2">
        <w:rPr>
          <w:rtl/>
          <w:lang w:val="uz-Latn-UZ"/>
        </w:rPr>
        <w:t>اعلم أنه لا خصلة من الخصال التي تُعدُّ في المفاخر لأهل الإسلام من المعارف والعلوم وأنواع الاجتهادات إلا ولأهل السنة والجماعة في ميدانها القدح المعلّى والسهم الأوفر</w:t>
      </w:r>
      <w:r w:rsidR="000636C2">
        <w:rPr>
          <w:rtl/>
          <w:lang w:val="uz-Latn-UZ"/>
        </w:rPr>
        <w:t>،</w:t>
      </w:r>
      <w:r w:rsidRPr="005675B2">
        <w:rPr>
          <w:rtl/>
          <w:lang w:val="uz-Latn-UZ"/>
        </w:rPr>
        <w:t xml:space="preserve"> فدونك أئمة أصول الدين وعلماء الكلام من أهل السنة، فأوّل متكلميهم من الصحابة عليّ بن أبي طالب كرّم الله وجهه .. ثم عبد الله بن عمر .. وأول متكلمي أهل السنة من التابعين عمر بن عبد’العزيز وله رسالة بليغة في الردّ على القدرية</w:t>
      </w:r>
      <w:r w:rsidR="000636C2">
        <w:rPr>
          <w:rtl/>
          <w:lang w:val="uz-Latn-UZ"/>
        </w:rPr>
        <w:t xml:space="preserve">، </w:t>
      </w:r>
      <w:r w:rsidRPr="005675B2">
        <w:rPr>
          <w:rtl/>
          <w:lang w:val="uz-Latn-UZ"/>
        </w:rPr>
        <w:t>ثم زيد بن عليّ زين العابدين ..</w:t>
      </w:r>
      <w:r w:rsidR="000636C2">
        <w:rPr>
          <w:rtl/>
          <w:lang w:val="uz-Latn-UZ"/>
        </w:rPr>
        <w:t>،</w:t>
      </w:r>
      <w:r w:rsidRPr="005675B2">
        <w:rPr>
          <w:rtl/>
          <w:lang w:val="uz-Latn-UZ"/>
        </w:rPr>
        <w:t xml:space="preserve"> ثم الحسن البصري ..</w:t>
      </w:r>
      <w:r w:rsidR="000636C2">
        <w:rPr>
          <w:rtl/>
          <w:lang w:val="uz-Latn-UZ"/>
        </w:rPr>
        <w:t>،</w:t>
      </w:r>
      <w:r w:rsidRPr="005675B2">
        <w:rPr>
          <w:rtl/>
          <w:lang w:val="uz-Latn-UZ"/>
        </w:rPr>
        <w:t xml:space="preserve"> ثم الشعبي ..</w:t>
      </w:r>
      <w:r w:rsidR="000636C2">
        <w:rPr>
          <w:rtl/>
          <w:lang w:val="uz-Latn-UZ"/>
        </w:rPr>
        <w:t>،</w:t>
      </w:r>
      <w:r w:rsidRPr="005675B2">
        <w:rPr>
          <w:rtl/>
          <w:lang w:val="uz-Latn-UZ"/>
        </w:rPr>
        <w:t xml:space="preserve"> ثم الزهري ..</w:t>
      </w:r>
      <w:r w:rsidR="000636C2">
        <w:rPr>
          <w:rtl/>
          <w:lang w:val="uz-Latn-UZ"/>
        </w:rPr>
        <w:t>،</w:t>
      </w:r>
      <w:r w:rsidRPr="005675B2">
        <w:rPr>
          <w:rtl/>
          <w:lang w:val="uz-Latn-UZ"/>
        </w:rPr>
        <w:t xml:space="preserve"> ومن بعد هذه الطبقة جعفر بن محمد الصادق ..</w:t>
      </w:r>
      <w:r w:rsidR="000636C2">
        <w:rPr>
          <w:rtl/>
          <w:lang w:val="uz-Latn-UZ"/>
        </w:rPr>
        <w:t>،</w:t>
      </w:r>
      <w:r w:rsidRPr="005675B2">
        <w:rPr>
          <w:rtl/>
          <w:lang w:val="uz-Latn-UZ"/>
        </w:rPr>
        <w:t xml:space="preserve"> وأوّل متكلميهم من الفقهاء وأرباب المذاهب أبو حنيفة والشافعي ..</w:t>
      </w:r>
      <w:r w:rsidR="000636C2">
        <w:rPr>
          <w:rtl/>
          <w:lang w:val="uz-Latn-UZ"/>
        </w:rPr>
        <w:t>،</w:t>
      </w:r>
      <w:r w:rsidRPr="005675B2">
        <w:rPr>
          <w:rtl/>
          <w:lang w:val="uz-Latn-UZ"/>
        </w:rPr>
        <w:t xml:space="preserve"> وكان أبو العباس بن سريج أبرع الجماعة في هذه العلوم ..</w:t>
      </w:r>
      <w:r w:rsidR="000636C2">
        <w:rPr>
          <w:rtl/>
          <w:lang w:val="uz-Latn-UZ"/>
        </w:rPr>
        <w:t>،</w:t>
      </w:r>
      <w:r w:rsidRPr="005675B2">
        <w:rPr>
          <w:rtl/>
          <w:lang w:val="uz-Latn-UZ"/>
        </w:rPr>
        <w:t xml:space="preserve"> ثم من بعدهم الإمام أبو الحسن الأشعري الذي صار شجاً في حلوق القدرية، ومن تلامذته المشهورين أبو الحسن الباهلي وأبو عبد الله بن مجاهد وهما اللذان أثمرا تلامذة هم إلى اليوم شموس الزمان وأئمة العصر كأبي بكر محمد بن الطيب</w:t>
      </w:r>
      <w:r w:rsidR="000636C2">
        <w:rPr>
          <w:rtl/>
          <w:lang w:val="uz-Latn-UZ"/>
        </w:rPr>
        <w:t xml:space="preserve"> </w:t>
      </w:r>
      <w:r w:rsidRPr="005675B2">
        <w:rPr>
          <w:rtl/>
          <w:lang w:val="uz-Latn-UZ"/>
        </w:rPr>
        <w:t>- الباقـلانـي</w:t>
      </w:r>
      <w:r w:rsidR="000636C2">
        <w:rPr>
          <w:rtl/>
          <w:lang w:val="uz-Latn-UZ"/>
        </w:rPr>
        <w:t xml:space="preserve"> </w:t>
      </w:r>
      <w:r w:rsidRPr="005675B2">
        <w:rPr>
          <w:rtl/>
          <w:lang w:val="uz-Latn-UZ"/>
        </w:rPr>
        <w:t>- وأبي إسحاق إبراهيم بن محمد الإسفراييني، وابن فورك .. وكذلك أئمة الإرشاد والتصوّف كانوا على توالي القرون على هذا المنهج السديد في المعتقد، وكذلك جمهرة أهل النحو واللغة والأدب كانوا على معتقد أهل السنة .. وكذلك أئمة القراءة وحملة التفسير بالرواية من عهد الصحابة إلى عهد محمد بن جرير الطبري وأقرانه ومن بعدهم كانوا كلهم أهل السنة، وكذلك المفسرون بالدراية إلا بعض أفراد من أهل البدعة، وكذلك مشاهير علماء المغازي والسير والتواريخ ونقد الأخبار وحملة الرواية من أهل السنة والجماعة، فيظهر بذلك أن جماع الفضل في العلوم في أهل السنة والجماعة</w:t>
      </w:r>
      <w:r w:rsidR="000636C2">
        <w:rPr>
          <w:rtl/>
          <w:lang w:val="uz-Latn-UZ"/>
        </w:rPr>
        <w:t>،</w:t>
      </w:r>
      <w:r w:rsidRPr="005675B2">
        <w:rPr>
          <w:rtl/>
          <w:lang w:val="uz-Latn-UZ"/>
        </w:rPr>
        <w:t xml:space="preserve"> حشرنا الله سبحانه في زمرتهم</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وقال أيضاً - رحمه الله تعالى - </w:t>
      </w:r>
      <w:r w:rsidR="000636C2">
        <w:rPr>
          <w:rtl/>
          <w:lang w:val="uz-Latn-UZ"/>
        </w:rPr>
        <w:t>(</w:t>
      </w:r>
      <w:r w:rsidRPr="005675B2">
        <w:rPr>
          <w:rtl/>
          <w:lang w:val="uz-Latn-UZ"/>
        </w:rPr>
        <w:t>ص / 240</w:t>
      </w:r>
      <w:r w:rsidR="000636C2">
        <w:rPr>
          <w:rtl/>
          <w:lang w:val="uz-Latn-UZ"/>
        </w:rPr>
        <w:t>):</w:t>
      </w:r>
      <w:r w:rsidRPr="005675B2">
        <w:rPr>
          <w:rFonts w:hint="cs"/>
          <w:rtl/>
          <w:lang w:val="uz-Latn-UZ" w:bidi="ar-KW"/>
        </w:rPr>
        <w:t xml:space="preserve"> </w:t>
      </w:r>
      <w:r w:rsidR="000636C2">
        <w:rPr>
          <w:rtl/>
          <w:lang w:val="uz-Latn-UZ"/>
        </w:rPr>
        <w:t>(</w:t>
      </w:r>
      <w:r w:rsidRPr="005675B2">
        <w:rPr>
          <w:rtl/>
          <w:lang w:val="uz-Latn-UZ"/>
        </w:rPr>
        <w:t>الفصل الأوّل من فصول هذا الباب في بيان أصناف أهل السنة</w:t>
      </w:r>
      <w:r w:rsidR="000636C2">
        <w:rPr>
          <w:rtl/>
          <w:lang w:val="uz-Latn-UZ"/>
        </w:rPr>
        <w:t>،</w:t>
      </w:r>
      <w:r w:rsidRPr="005675B2">
        <w:rPr>
          <w:rtl/>
          <w:lang w:val="uz-Latn-UZ"/>
        </w:rPr>
        <w:t xml:space="preserve"> </w:t>
      </w:r>
      <w:r w:rsidRPr="005675B2">
        <w:rPr>
          <w:bCs/>
          <w:rtl/>
          <w:lang w:val="uz-Latn-UZ"/>
        </w:rPr>
        <w:t>صنف منهم</w:t>
      </w:r>
      <w:r w:rsidR="000636C2">
        <w:rPr>
          <w:bCs/>
          <w:rtl/>
          <w:lang w:val="uz-Latn-UZ"/>
        </w:rPr>
        <w:t>:</w:t>
      </w:r>
      <w:r w:rsidRPr="005675B2">
        <w:rPr>
          <w:rtl/>
          <w:lang w:val="uz-Latn-UZ"/>
        </w:rPr>
        <w:t xml:space="preserve"> أحاطوا علماً بأبواب التوحيد .. وسلكوا في هذا النوع من العلم طرق الصفاتية من المتكلمين الذين تبرءوا من التشبيه والتعطيل .. وسائر أهل الأهواء الضالة</w:t>
      </w:r>
      <w:r w:rsidR="000636C2">
        <w:rPr>
          <w:rtl/>
          <w:lang w:val="uz-Latn-UZ"/>
        </w:rPr>
        <w:t>،</w:t>
      </w:r>
      <w:r w:rsidRPr="005675B2">
        <w:rPr>
          <w:rtl/>
          <w:lang w:val="uz-Latn-UZ"/>
        </w:rPr>
        <w:t xml:space="preserve"> </w:t>
      </w:r>
      <w:r w:rsidRPr="005675B2">
        <w:rPr>
          <w:bCs/>
          <w:rtl/>
          <w:lang w:val="uz-Latn-UZ"/>
        </w:rPr>
        <w:t>والصنف الثاني</w:t>
      </w:r>
      <w:r w:rsidRPr="005675B2">
        <w:rPr>
          <w:rtl/>
          <w:lang w:val="uz-Latn-UZ"/>
        </w:rPr>
        <w:t xml:space="preserve"> منهم</w:t>
      </w:r>
      <w:r w:rsidR="000636C2">
        <w:rPr>
          <w:rtl/>
          <w:lang w:val="uz-Latn-UZ"/>
        </w:rPr>
        <w:t>:</w:t>
      </w:r>
      <w:r w:rsidRPr="005675B2">
        <w:rPr>
          <w:rtl/>
          <w:lang w:val="uz-Latn-UZ"/>
        </w:rPr>
        <w:t xml:space="preserve"> أئمة الفقه من فريقي الرأي والحديث من الذين اعتقدوا في أصول الدين مذاهب الصفاتية في الله وفي صفاته الأزلية .. </w:t>
      </w:r>
      <w:r w:rsidRPr="005675B2">
        <w:rPr>
          <w:bCs/>
          <w:rtl/>
          <w:lang w:val="uz-Latn-UZ"/>
        </w:rPr>
        <w:t>الصنف الثالث</w:t>
      </w:r>
      <w:r w:rsidRPr="005675B2">
        <w:rPr>
          <w:rtl/>
          <w:lang w:val="uz-Latn-UZ"/>
        </w:rPr>
        <w:t xml:space="preserve"> منهم</w:t>
      </w:r>
      <w:r w:rsidR="000636C2">
        <w:rPr>
          <w:rtl/>
          <w:lang w:val="uz-Latn-UZ"/>
        </w:rPr>
        <w:t>:</w:t>
      </w:r>
      <w:r w:rsidRPr="005675B2">
        <w:rPr>
          <w:rtl/>
          <w:lang w:val="uz-Latn-UZ"/>
        </w:rPr>
        <w:t xml:space="preserve"> هم الذين أحاطوا علماً بطرق الأخبار والسنن المأثورة عن النبيّ</w:t>
      </w:r>
      <w:r w:rsidR="000636C2">
        <w:rPr>
          <w:rtl/>
        </w:rPr>
        <w:t xml:space="preserve"> </w:t>
      </w:r>
      <w:r w:rsidRPr="005675B2">
        <w:rPr>
          <w:rtl/>
          <w:lang w:val="uz-Latn-UZ"/>
        </w:rPr>
        <w:t>وميزوا بين الصحيح والسقيم منها، وعرفوا أسباب الجرح والتعديل، ولم يخلطوا علمهم بذلك بشيء من بدع أهل الأهواء الضالة</w:t>
      </w:r>
      <w:r w:rsidR="000636C2">
        <w:rPr>
          <w:rtl/>
          <w:lang w:val="uz-Latn-UZ"/>
        </w:rPr>
        <w:t>،</w:t>
      </w:r>
      <w:r w:rsidRPr="005675B2">
        <w:rPr>
          <w:rtl/>
          <w:lang w:val="uz-Latn-UZ"/>
        </w:rPr>
        <w:t xml:space="preserve"> </w:t>
      </w:r>
      <w:r w:rsidRPr="005675B2">
        <w:rPr>
          <w:bCs/>
          <w:rtl/>
          <w:lang w:val="uz-Latn-UZ"/>
        </w:rPr>
        <w:t>الصنف الرابع</w:t>
      </w:r>
      <w:r w:rsidRPr="005675B2">
        <w:rPr>
          <w:rtl/>
          <w:lang w:val="uz-Latn-UZ"/>
        </w:rPr>
        <w:t xml:space="preserve"> منهم</w:t>
      </w:r>
      <w:r w:rsidR="000636C2">
        <w:rPr>
          <w:rtl/>
          <w:lang w:val="uz-Latn-UZ"/>
        </w:rPr>
        <w:t>:</w:t>
      </w:r>
      <w:r w:rsidRPr="005675B2">
        <w:rPr>
          <w:rtl/>
          <w:lang w:val="uz-Latn-UZ"/>
        </w:rPr>
        <w:t xml:space="preserve"> قوم أحاطوا علماً بأكثر أبواب الأدب والنحو والتصريف، وجَرَوْا على سمت أئمة اللغة كالخليل وأبي عمرو بن العلاء وسيبويه والفرّاء والأخفش والأصمعي والمازني وأبي عبيد وسائر أئمة النحو من الكوفيين والبصريين ..</w:t>
      </w:r>
      <w:r w:rsidR="000636C2">
        <w:rPr>
          <w:rtl/>
          <w:lang w:val="uz-Latn-UZ"/>
        </w:rPr>
        <w:t>،</w:t>
      </w:r>
      <w:r w:rsidRPr="005675B2">
        <w:rPr>
          <w:rtl/>
          <w:lang w:val="uz-Latn-UZ"/>
        </w:rPr>
        <w:t xml:space="preserve"> ومن مال منهم إلى شيء من الأهواء الضالة لم يكن من أهل السنة ولا كان قوله حجّة في اللغة والنحو</w:t>
      </w:r>
      <w:r w:rsidR="000636C2">
        <w:rPr>
          <w:rtl/>
          <w:lang w:val="uz-Latn-UZ"/>
        </w:rPr>
        <w:t>،</w:t>
      </w:r>
      <w:r w:rsidRPr="005675B2">
        <w:rPr>
          <w:rtl/>
          <w:lang w:val="uz-Latn-UZ"/>
        </w:rPr>
        <w:t xml:space="preserve"> </w:t>
      </w:r>
      <w:r w:rsidRPr="005675B2">
        <w:rPr>
          <w:bCs/>
          <w:rtl/>
          <w:lang w:val="uz-Latn-UZ"/>
        </w:rPr>
        <w:t>الصنف الخامس</w:t>
      </w:r>
      <w:r w:rsidRPr="005675B2">
        <w:rPr>
          <w:rtl/>
          <w:lang w:val="uz-Latn-UZ"/>
        </w:rPr>
        <w:t xml:space="preserve"> منهم</w:t>
      </w:r>
      <w:r w:rsidR="000636C2">
        <w:rPr>
          <w:rtl/>
          <w:lang w:val="uz-Latn-UZ"/>
        </w:rPr>
        <w:t>:</w:t>
      </w:r>
      <w:r w:rsidRPr="005675B2">
        <w:rPr>
          <w:rtl/>
          <w:lang w:val="uz-Latn-UZ"/>
        </w:rPr>
        <w:t xml:space="preserve"> هم الذين أحاطوا علماً بوجوه قراءات القرآن وبوجوه تفسير آيات القرآن وتأويلها على وفق مذاهب أهل السنة دون تأويلات أهل الأهواء الضالة</w:t>
      </w:r>
      <w:r w:rsidR="000636C2">
        <w:rPr>
          <w:rtl/>
          <w:lang w:val="uz-Latn-UZ"/>
        </w:rPr>
        <w:t>،</w:t>
      </w:r>
      <w:r w:rsidRPr="005675B2">
        <w:rPr>
          <w:rtl/>
          <w:lang w:val="uz-Latn-UZ"/>
        </w:rPr>
        <w:t xml:space="preserve"> </w:t>
      </w:r>
      <w:r w:rsidRPr="005675B2">
        <w:rPr>
          <w:bCs/>
          <w:rtl/>
          <w:lang w:val="uz-Latn-UZ"/>
        </w:rPr>
        <w:t>الصنف السادس</w:t>
      </w:r>
      <w:r w:rsidRPr="005675B2">
        <w:rPr>
          <w:rtl/>
          <w:lang w:val="uz-Latn-UZ"/>
        </w:rPr>
        <w:t xml:space="preserve"> منهم</w:t>
      </w:r>
      <w:r w:rsidR="000636C2">
        <w:rPr>
          <w:rtl/>
          <w:lang w:val="uz-Latn-UZ"/>
        </w:rPr>
        <w:t>:</w:t>
      </w:r>
      <w:r w:rsidRPr="005675B2">
        <w:rPr>
          <w:rtl/>
          <w:lang w:val="uz-Latn-UZ"/>
        </w:rPr>
        <w:t xml:space="preserve"> الزهاد الصوفية الذين أبصروا فأقصروا واختبروا فاعتبروا ..</w:t>
      </w:r>
      <w:r w:rsidR="000636C2">
        <w:rPr>
          <w:rtl/>
          <w:lang w:val="uz-Latn-UZ"/>
        </w:rPr>
        <w:t>،</w:t>
      </w:r>
      <w:r w:rsidRPr="005675B2">
        <w:rPr>
          <w:rtl/>
          <w:lang w:val="uz-Latn-UZ"/>
        </w:rPr>
        <w:t xml:space="preserve"> وجرى كلامهم في طريق العبارة والإشارة على سمت الحديث دون من يشتري لهو الحديث</w:t>
      </w:r>
      <w:r w:rsidR="000636C2">
        <w:rPr>
          <w:rtl/>
          <w:lang w:val="uz-Latn-UZ"/>
        </w:rPr>
        <w:t>،</w:t>
      </w:r>
      <w:r w:rsidRPr="005675B2">
        <w:rPr>
          <w:rtl/>
          <w:lang w:val="uz-Latn-UZ"/>
        </w:rPr>
        <w:t xml:space="preserve"> </w:t>
      </w:r>
      <w:r w:rsidRPr="005675B2">
        <w:rPr>
          <w:bCs/>
          <w:rtl/>
          <w:lang w:val="uz-Latn-UZ"/>
        </w:rPr>
        <w:t>الصنف السابع</w:t>
      </w:r>
      <w:r w:rsidRPr="005675B2">
        <w:rPr>
          <w:rtl/>
          <w:lang w:val="uz-Latn-UZ"/>
        </w:rPr>
        <w:t xml:space="preserve"> منهم</w:t>
      </w:r>
      <w:r w:rsidR="000636C2">
        <w:rPr>
          <w:rtl/>
          <w:lang w:val="uz-Latn-UZ"/>
        </w:rPr>
        <w:t>:</w:t>
      </w:r>
      <w:r w:rsidRPr="005675B2">
        <w:rPr>
          <w:rtl/>
          <w:lang w:val="uz-Latn-UZ"/>
        </w:rPr>
        <w:t xml:space="preserve"> قوم مرابطون في ثغور المسلمين في وجوه الكفرة يجاهدون أعداء المسلمين ويحمون حمى المسلمين ..</w:t>
      </w:r>
      <w:r w:rsidR="000636C2">
        <w:rPr>
          <w:rtl/>
          <w:lang w:val="uz-Latn-UZ"/>
        </w:rPr>
        <w:t>،</w:t>
      </w:r>
      <w:r w:rsidRPr="005675B2">
        <w:rPr>
          <w:rtl/>
          <w:lang w:val="uz-Latn-UZ"/>
        </w:rPr>
        <w:t xml:space="preserve"> ويظهرون في ثغورهم مذاهب أهل السنة والجماعة</w:t>
      </w:r>
      <w:r w:rsidR="000636C2">
        <w:rPr>
          <w:rtl/>
          <w:lang w:val="uz-Latn-UZ"/>
        </w:rPr>
        <w:t>،</w:t>
      </w:r>
      <w:r w:rsidRPr="005675B2">
        <w:rPr>
          <w:rtl/>
          <w:lang w:val="uz-Latn-UZ"/>
        </w:rPr>
        <w:t xml:space="preserve"> </w:t>
      </w:r>
      <w:r w:rsidRPr="005675B2">
        <w:rPr>
          <w:bCs/>
          <w:rtl/>
          <w:lang w:val="uz-Latn-UZ"/>
        </w:rPr>
        <w:t>والصنف الثامن</w:t>
      </w:r>
      <w:r w:rsidRPr="005675B2">
        <w:rPr>
          <w:rtl/>
          <w:lang w:val="uz-Latn-UZ"/>
        </w:rPr>
        <w:t xml:space="preserve"> منهم</w:t>
      </w:r>
      <w:r w:rsidR="000636C2">
        <w:rPr>
          <w:rtl/>
          <w:lang w:val="uz-Latn-UZ"/>
        </w:rPr>
        <w:t>:</w:t>
      </w:r>
      <w:r w:rsidRPr="005675B2">
        <w:rPr>
          <w:rtl/>
          <w:lang w:val="uz-Latn-UZ"/>
        </w:rPr>
        <w:t xml:space="preserve"> عامّة البلدان التي غلب فيها شعائر أهل السنة، دون عامّة البقاع التي ظهر فيها شعار أهل الأهواء الضالة، وإنما أردنا بهذا الصنف من العامّة، عامّة اعتقدوا تصويب علماء السنة والجماعة، ولم يعتقدوا شيئاً من بدع أهل الأهواء الضالة .. فهؤلاء أصناف أهل السنة والجماعة، ومجموعهم أصحاب الدين القويم والصراط المستقيم</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وقال الإمام الكبير أبو المظفر الإسفراييني - رحمه الله تعالى - </w:t>
      </w:r>
      <w:r w:rsidR="000636C2">
        <w:rPr>
          <w:rtl/>
          <w:lang w:val="uz-Latn-UZ"/>
        </w:rPr>
        <w:t>(</w:t>
      </w:r>
      <w:r w:rsidRPr="005675B2">
        <w:rPr>
          <w:rtl/>
          <w:lang w:val="uz-Latn-UZ"/>
        </w:rPr>
        <w:t>التبصير في الدين ص / 187</w:t>
      </w:r>
      <w:r w:rsidR="000636C2">
        <w:rPr>
          <w:rtl/>
          <w:lang w:val="uz-Latn-UZ"/>
        </w:rPr>
        <w:t>):</w:t>
      </w:r>
      <w:r w:rsidRPr="005675B2">
        <w:rPr>
          <w:rtl/>
          <w:lang w:val="uz-Latn-UZ"/>
        </w:rPr>
        <w:t xml:space="preserve"> </w:t>
      </w:r>
      <w:r w:rsidR="000636C2">
        <w:rPr>
          <w:rtl/>
          <w:lang w:val="uz-Latn-UZ"/>
        </w:rPr>
        <w:t>(</w:t>
      </w:r>
      <w:r w:rsidRPr="005675B2">
        <w:rPr>
          <w:rtl/>
          <w:lang w:val="uz-Latn-UZ"/>
        </w:rPr>
        <w:t>أما العلوم</w:t>
      </w:r>
      <w:r w:rsidR="000636C2">
        <w:rPr>
          <w:rtl/>
          <w:lang w:val="uz-Latn-UZ"/>
        </w:rPr>
        <w:t>:</w:t>
      </w:r>
      <w:r w:rsidRPr="005675B2">
        <w:rPr>
          <w:rFonts w:hint="cs"/>
          <w:rtl/>
          <w:lang w:val="uz-Latn-UZ"/>
        </w:rPr>
        <w:t xml:space="preserve"> </w:t>
      </w:r>
      <w:r w:rsidRPr="005675B2">
        <w:rPr>
          <w:rtl/>
          <w:lang w:val="uz-Latn-UZ"/>
        </w:rPr>
        <w:t>فأوّلها</w:t>
      </w:r>
      <w:r w:rsidR="000636C2">
        <w:rPr>
          <w:rtl/>
          <w:lang w:val="uz-Latn-UZ"/>
        </w:rPr>
        <w:t>:</w:t>
      </w:r>
      <w:r w:rsidRPr="005675B2">
        <w:rPr>
          <w:rtl/>
          <w:lang w:val="uz-Latn-UZ"/>
        </w:rPr>
        <w:t xml:space="preserve"> الرقيّ في مدارج الفضل والأدب الذي هو ترجمان جميع العلوم، ومعرض جميع الفوائد الفاخرة في الدنيا والآخرة، إذ لا سبيل إلى تفسير القرآن وأخبار الرسول</w:t>
      </w:r>
      <w:r w:rsidR="000636C2">
        <w:rPr>
          <w:rtl/>
        </w:rPr>
        <w:t xml:space="preserve"> </w:t>
      </w:r>
      <w:r w:rsidRPr="005675B2">
        <w:rPr>
          <w:rtl/>
          <w:lang w:val="uz-Latn-UZ"/>
        </w:rPr>
        <w:t>إلا بمعرفة الأدب</w:t>
      </w:r>
      <w:r w:rsidR="000636C2">
        <w:rPr>
          <w:rtl/>
          <w:lang w:val="uz-Latn-UZ"/>
        </w:rPr>
        <w:t xml:space="preserve">، </w:t>
      </w:r>
      <w:r w:rsidRPr="005675B2">
        <w:rPr>
          <w:rtl/>
          <w:lang w:val="uz-Latn-UZ"/>
        </w:rPr>
        <w:t>وجميع الأئمة في النحو واللغة من أهل البصرة والكوفة في دولة الإسلام كانوا من أهل السنة والجماعة وأصحاب الحديث والرأي ..</w:t>
      </w:r>
      <w:r w:rsidR="000636C2">
        <w:rPr>
          <w:rtl/>
          <w:lang w:val="uz-Latn-UZ"/>
        </w:rPr>
        <w:t>،</w:t>
      </w:r>
      <w:r w:rsidRPr="005675B2">
        <w:rPr>
          <w:rtl/>
          <w:lang w:val="uz-Latn-UZ"/>
        </w:rPr>
        <w:t xml:space="preserve"> وكذلك لم يكن في أئمة الأدب أحد إلا وله إنكارٌ على أهل البدعة شديد، وبعدٌ من بدعهم بعيد ..</w:t>
      </w:r>
      <w:r w:rsidR="000636C2">
        <w:rPr>
          <w:rtl/>
          <w:lang w:val="uz-Latn-UZ"/>
        </w:rPr>
        <w:t>،</w:t>
      </w:r>
      <w:r w:rsidRPr="005675B2">
        <w:rPr>
          <w:rtl/>
          <w:lang w:val="uz-Latn-UZ"/>
        </w:rPr>
        <w:t xml:space="preserve"> وثانيها</w:t>
      </w:r>
      <w:r w:rsidR="000636C2">
        <w:rPr>
          <w:rtl/>
          <w:lang w:val="uz-Latn-UZ"/>
        </w:rPr>
        <w:t>:</w:t>
      </w:r>
      <w:r w:rsidRPr="005675B2">
        <w:rPr>
          <w:rtl/>
          <w:lang w:val="uz-Latn-UZ"/>
        </w:rPr>
        <w:t xml:space="preserve"> علم تفسير القرآن ..</w:t>
      </w:r>
      <w:r w:rsidR="000636C2">
        <w:rPr>
          <w:rtl/>
          <w:lang w:val="uz-Latn-UZ"/>
        </w:rPr>
        <w:t>،</w:t>
      </w:r>
      <w:r w:rsidRPr="005675B2">
        <w:rPr>
          <w:rtl/>
          <w:lang w:val="uz-Latn-UZ"/>
        </w:rPr>
        <w:t xml:space="preserve"> وثالثها</w:t>
      </w:r>
      <w:r w:rsidR="000636C2">
        <w:rPr>
          <w:rtl/>
          <w:lang w:val="uz-Latn-UZ"/>
        </w:rPr>
        <w:t>:</w:t>
      </w:r>
      <w:r w:rsidRPr="005675B2">
        <w:rPr>
          <w:rtl/>
          <w:lang w:val="uz-Latn-UZ"/>
        </w:rPr>
        <w:t xml:space="preserve"> العلوم المتعلقة بأحاديث المصطفى ..</w:t>
      </w:r>
      <w:r w:rsidR="000636C2">
        <w:rPr>
          <w:rtl/>
          <w:lang w:val="uz-Latn-UZ"/>
        </w:rPr>
        <w:t xml:space="preserve">، </w:t>
      </w:r>
      <w:r w:rsidRPr="005675B2">
        <w:rPr>
          <w:rtl/>
          <w:lang w:val="uz-Latn-UZ"/>
        </w:rPr>
        <w:t>ورابعها</w:t>
      </w:r>
      <w:r w:rsidR="000636C2">
        <w:rPr>
          <w:rtl/>
          <w:lang w:val="uz-Latn-UZ"/>
        </w:rPr>
        <w:t>:</w:t>
      </w:r>
      <w:r w:rsidRPr="005675B2">
        <w:rPr>
          <w:rtl/>
          <w:lang w:val="uz-Latn-UZ"/>
        </w:rPr>
        <w:t xml:space="preserve"> علوم الفقه ويختصّ بالتبحّر فيه أصحاب الحديث وأصحاب الرأي ..</w:t>
      </w:r>
      <w:r w:rsidR="000636C2">
        <w:rPr>
          <w:rtl/>
          <w:lang w:val="uz-Latn-UZ"/>
        </w:rPr>
        <w:t>،</w:t>
      </w:r>
      <w:r w:rsidRPr="005675B2">
        <w:rPr>
          <w:rtl/>
          <w:lang w:val="uz-Latn-UZ"/>
        </w:rPr>
        <w:t xml:space="preserve"> خامسها</w:t>
      </w:r>
      <w:r w:rsidR="000636C2">
        <w:rPr>
          <w:rtl/>
          <w:lang w:val="uz-Latn-UZ"/>
        </w:rPr>
        <w:t>:</w:t>
      </w:r>
      <w:r w:rsidRPr="005675B2">
        <w:rPr>
          <w:rtl/>
          <w:lang w:val="uz-Latn-UZ"/>
        </w:rPr>
        <w:t xml:space="preserve"> علوم المغازي والسير والتواريخ .. وليس لأهل البدعة من هو رأس في شيء من هذه العلوم فهي مختصّة بأهل السنة .. سادسها</w:t>
      </w:r>
      <w:r w:rsidR="000636C2">
        <w:rPr>
          <w:rtl/>
          <w:lang w:val="uz-Latn-UZ"/>
        </w:rPr>
        <w:t>:</w:t>
      </w:r>
      <w:r w:rsidRPr="005675B2">
        <w:rPr>
          <w:rtl/>
          <w:lang w:val="uz-Latn-UZ"/>
        </w:rPr>
        <w:t xml:space="preserve"> علم التصوف والإشارات .. ولم يكن قطّ لأحد من أهل البدعة فيه حظّ ..</w:t>
      </w:r>
      <w:r w:rsidR="000636C2">
        <w:rPr>
          <w:rtl/>
          <w:lang w:val="uz-Latn-UZ"/>
        </w:rPr>
        <w:t xml:space="preserve"> </w:t>
      </w:r>
      <w:r w:rsidRPr="005675B2">
        <w:rPr>
          <w:rtl/>
          <w:lang w:val="uz-Latn-UZ"/>
        </w:rPr>
        <w:t>وسابعها</w:t>
      </w:r>
      <w:r w:rsidR="000636C2">
        <w:rPr>
          <w:rtl/>
          <w:lang w:val="uz-Latn-UZ"/>
        </w:rPr>
        <w:t>:</w:t>
      </w:r>
      <w:r w:rsidRPr="005675B2">
        <w:rPr>
          <w:rtl/>
          <w:lang w:val="uz-Latn-UZ"/>
        </w:rPr>
        <w:t xml:space="preserve"> علم أصول الدين وإن لأهل السنة والجماعة التفرّد بأكثر من ألف تصنيف في أصول الدين ..</w:t>
      </w:r>
      <w:r w:rsidR="000636C2">
        <w:rPr>
          <w:rtl/>
          <w:lang w:val="uz-Latn-UZ"/>
        </w:rPr>
        <w:t xml:space="preserve"> </w:t>
      </w:r>
      <w:r w:rsidRPr="005675B2">
        <w:rPr>
          <w:rtl/>
          <w:lang w:val="uz-Latn-UZ"/>
        </w:rPr>
        <w:t>وأما أنواع الاجتهادات الفعلية التي مدارها على أهل السنة والجماعة في بلاد الإسلام فمشهورة مذكورة ..</w:t>
      </w:r>
      <w:r w:rsidR="000636C2">
        <w:rPr>
          <w:rtl/>
          <w:lang w:val="uz-Latn-UZ"/>
        </w:rPr>
        <w:t>،</w:t>
      </w:r>
      <w:r w:rsidRPr="005675B2">
        <w:rPr>
          <w:rtl/>
          <w:lang w:val="uz-Latn-UZ"/>
        </w:rPr>
        <w:t xml:space="preserve"> ومن آثارهم الاجتهادية سدُّهم ثغور الإسلام والمرابطة بها في أطراف الأرض، مثل ثغور الروم وأرمينية، وانسداد جميعها ببركات أصحاب الحديث، وأما ثغور بلاد الترك فمشتركة بين أهل الحديث والرأي ..</w:t>
      </w:r>
      <w:r w:rsidR="000636C2">
        <w:rPr>
          <w:rtl/>
          <w:lang w:val="uz-Latn-UZ"/>
        </w:rPr>
        <w:t xml:space="preserve">، </w:t>
      </w:r>
      <w:r w:rsidRPr="005675B2">
        <w:rPr>
          <w:rtl/>
          <w:lang w:val="uz-Latn-UZ"/>
        </w:rPr>
        <w:t>فبان لك بما ذكرناه من مساعي أهل السنة والجماعة في العلوم والاجتهادات أنهم أهل الاجتهاد والجهاد ..</w:t>
      </w:r>
      <w:r w:rsidR="000636C2">
        <w:rPr>
          <w:rtl/>
          <w:lang w:val="uz-Latn-UZ"/>
        </w:rPr>
        <w:t>)</w:t>
      </w:r>
      <w:r w:rsidRPr="005675B2">
        <w:rPr>
          <w:rtl/>
          <w:lang w:val="uz-Latn-UZ"/>
        </w:rPr>
        <w:t xml:space="preserve"> اهـ</w:t>
      </w:r>
      <w:r w:rsidR="000636C2">
        <w:rPr>
          <w:rtl/>
          <w:lang w:val="uz-Latn-UZ"/>
        </w:rPr>
        <w:t>،</w:t>
      </w:r>
      <w:r w:rsidRPr="005675B2">
        <w:rPr>
          <w:rtl/>
          <w:lang w:val="uz-Latn-UZ"/>
        </w:rPr>
        <w:t xml:space="preserve"> </w:t>
      </w:r>
      <w:r w:rsidRPr="005675B2">
        <w:rPr>
          <w:rtl/>
        </w:rPr>
        <w:t>هذا هو شأن أهل السنة، وهذا هو قدْرهم، فما الذي ينقمه منهم خصومهم</w:t>
      </w:r>
      <w:r w:rsidR="000636C2">
        <w:rPr>
          <w:rtl/>
        </w:rPr>
        <w:t>؟!</w:t>
      </w:r>
      <w:r w:rsidRPr="005675B2">
        <w:rPr>
          <w:rFonts w:hint="cs"/>
          <w:rtl/>
        </w:rPr>
        <w:t xml:space="preserve"> </w:t>
      </w:r>
      <w:r w:rsidRPr="005675B2">
        <w:rPr>
          <w:rtl/>
        </w:rPr>
        <w:t xml:space="preserve">ولله درُّ الحـافظ ابن عساكر - رحمه الله تعالى - حيث يقول </w:t>
      </w:r>
      <w:r w:rsidR="000636C2">
        <w:rPr>
          <w:rtl/>
        </w:rPr>
        <w:t>(</w:t>
      </w:r>
      <w:r w:rsidRPr="005675B2">
        <w:rPr>
          <w:rtl/>
        </w:rPr>
        <w:t>تبيين كذب المفتري ص / 367</w:t>
      </w:r>
      <w:r w:rsidR="000636C2">
        <w:rPr>
          <w:rtl/>
        </w:rPr>
        <w:t>):</w:t>
      </w:r>
      <w:r w:rsidRPr="005675B2">
        <w:rPr>
          <w:rtl/>
        </w:rPr>
        <w:t xml:space="preserve"> </w:t>
      </w:r>
      <w:r w:rsidR="000636C2">
        <w:rPr>
          <w:rtl/>
        </w:rPr>
        <w:t>(</w:t>
      </w:r>
      <w:r w:rsidRPr="005675B2">
        <w:rPr>
          <w:rtl/>
        </w:rPr>
        <w:t>فيا ليت شعري ماذا الذي تنفر منه القلوب عنهم - يعني الأشاعرة - أم ماذا ينقم أرباب البدع منهم</w:t>
      </w:r>
      <w:r w:rsidR="000636C2">
        <w:rPr>
          <w:rtl/>
        </w:rPr>
        <w:t>؟!</w:t>
      </w:r>
      <w:r w:rsidR="000636C2">
        <w:rPr>
          <w:rFonts w:hint="cs"/>
          <w:rtl/>
        </w:rPr>
        <w:t xml:space="preserve"> </w:t>
      </w:r>
      <w:r w:rsidRPr="005675B2">
        <w:rPr>
          <w:rtl/>
        </w:rPr>
        <w:t>أغزارة العلم، أم رجاحة الفهم، أم اعتقاد التوحيد والتنزيه، أم اجتناب القول بالتجسيم والتشبيه، أم القـول بإثبـات الصفـات، أم تقديس الـرب عن الأعضـاء والأدوات</w:t>
      </w:r>
      <w:r w:rsidR="000636C2">
        <w:rPr>
          <w:rtl/>
        </w:rPr>
        <w:t>؟!)</w:t>
      </w:r>
      <w:r w:rsidRPr="005675B2">
        <w:rPr>
          <w:rtl/>
        </w:rPr>
        <w:t xml:space="preserve"> اهـ</w:t>
      </w:r>
      <w:r w:rsidR="000636C2">
        <w:rPr>
          <w:rtl/>
        </w:rPr>
        <w:t xml:space="preserve">، </w:t>
      </w:r>
      <w:r w:rsidRPr="005675B2">
        <w:rPr>
          <w:rtl/>
        </w:rPr>
        <w:t xml:space="preserve">وحيث يقول أيضاً </w:t>
      </w:r>
      <w:r w:rsidR="000636C2">
        <w:rPr>
          <w:rtl/>
          <w:lang w:val="uz-Latn-UZ"/>
        </w:rPr>
        <w:t>(</w:t>
      </w:r>
      <w:r w:rsidRPr="005675B2">
        <w:rPr>
          <w:rtl/>
          <w:lang w:val="uz-Latn-UZ"/>
        </w:rPr>
        <w:t>ص / 410</w:t>
      </w:r>
      <w:r w:rsidR="000636C2">
        <w:rPr>
          <w:rtl/>
          <w:lang w:val="uz-Latn-UZ"/>
        </w:rPr>
        <w:t>)</w:t>
      </w:r>
      <w:r w:rsidR="000636C2">
        <w:rPr>
          <w:rtl/>
        </w:rPr>
        <w:t>:</w:t>
      </w:r>
      <w:r w:rsidRPr="005675B2">
        <w:rPr>
          <w:rFonts w:hint="cs"/>
          <w:rtl/>
        </w:rPr>
        <w:t xml:space="preserve"> </w:t>
      </w:r>
      <w:r w:rsidR="000636C2">
        <w:rPr>
          <w:rtl/>
        </w:rPr>
        <w:t>(</w:t>
      </w:r>
      <w:r w:rsidRPr="005675B2">
        <w:rPr>
          <w:rtl/>
        </w:rPr>
        <w:t>وأكثر العلماء في جميع الأقطار عليه - يعني مذهب الأشاعرة - وأئمة الأمصار في سائر الأعصار يدعون إليه، ومنتحلوه هم الذين عليهم مدار الأحكام، وإليهم يرجع في معرفة الحلال والحرام، وهم الذين يُفتون الناس في صعاب المسائل، ويعتمد عليهم الخلق في إيضاح المشكلات والنوازل، وهل من الفقهاء من الحنفية والمالكية والشافعية إلا موافق له أو منتسب إليه أو راضٍ بحميد سعيه في دين الله أو مُثنٍ بكثرة العلم عليه</w:t>
      </w:r>
      <w:r w:rsidR="000636C2">
        <w:rPr>
          <w:rtl/>
        </w:rPr>
        <w:t>)</w:t>
      </w:r>
      <w:r w:rsidRPr="005675B2">
        <w:rPr>
          <w:rtl/>
        </w:rPr>
        <w:t xml:space="preserve"> اهـ</w:t>
      </w:r>
      <w:r w:rsidR="000636C2">
        <w:rPr>
          <w:rtl/>
        </w:rPr>
        <w:t xml:space="preserve">، </w:t>
      </w:r>
      <w:r w:rsidRPr="005675B2">
        <w:rPr>
          <w:rtl/>
        </w:rPr>
        <w:t xml:space="preserve">وقال الإمام العلامة المرتضى الزبيدي - رحمه الله تعالى - </w:t>
      </w:r>
      <w:r w:rsidR="000636C2">
        <w:rPr>
          <w:rtl/>
          <w:lang w:val="uz-Latn-UZ"/>
        </w:rPr>
        <w:t>(</w:t>
      </w:r>
      <w:r w:rsidRPr="005675B2">
        <w:rPr>
          <w:rtl/>
          <w:lang w:val="uz-Latn-UZ"/>
        </w:rPr>
        <w:t>إتحاف السادة المتقين 2 / 102</w:t>
      </w:r>
      <w:r w:rsidR="000636C2">
        <w:rPr>
          <w:rtl/>
          <w:lang w:val="uz-Latn-UZ"/>
        </w:rPr>
        <w:t>)</w:t>
      </w:r>
      <w:r w:rsidR="000636C2">
        <w:rPr>
          <w:rtl/>
        </w:rPr>
        <w:t>:</w:t>
      </w:r>
      <w:r w:rsidRPr="005675B2">
        <w:rPr>
          <w:rFonts w:hint="cs"/>
          <w:rtl/>
        </w:rPr>
        <w:t xml:space="preserve"> </w:t>
      </w:r>
      <w:r w:rsidR="000636C2">
        <w:rPr>
          <w:rtl/>
        </w:rPr>
        <w:t>(</w:t>
      </w:r>
      <w:r w:rsidRPr="005675B2">
        <w:rPr>
          <w:rtl/>
        </w:rPr>
        <w:t>اعلم أن أهل ملة الإسلام قد أطلقوا جميعاً القول بأن صانع العالم لا يشبه شيئاً من العالم، وأنه ليس له شبه ولا مثل ولا ضدّ، وأنه سبحانه موجود بلا تشبيه ولا تعطيل، ثم اختلفوا بعد ذلك فيما بينهم، فمنهم من اعتقد في التفصيل ما يوافق اعتقاده في الجملة، ولم ينقض أصول التوحيد على نفسه بشيء من فروعه، وهم المحققون من أهل السنة والجماعة أصحاب الحديث وأهل الرأي الذين تمسّكوا بأصول الدين في التوحيد والنبوّات ولم يخلطوا مذاهبهم بشيء من البدع والضلالات .. وعلى ذلك أئمة الدين جميعهم في الفقه والحديث والاجتهاد في الفتيا والأحكام كمالك والشافعي وأحمد وأبي حنيفة والأوزاعي والثوري وفقهاء المدينة وجميع أئمة الحرمين وأهل الظاهر وكل من يعتبر خلافه في الفقه</w:t>
      </w:r>
      <w:r w:rsidR="000636C2">
        <w:rPr>
          <w:rtl/>
        </w:rPr>
        <w:t xml:space="preserve">، </w:t>
      </w:r>
      <w:r w:rsidRPr="005675B2">
        <w:rPr>
          <w:rtl/>
        </w:rPr>
        <w:t>وبه قال أئمة الصفاتية المثبتة من المتكلمين كعبد الله بن سعيد القطان والحارث بن أسد المحاسبي وعبد العزيز المكي والحسين بن الفضل البجلي وأبي العباس والقلانسي وأبي الحسن الأشعري ومن تبعهم من الموحدين الخارجين عن التشبيه والتعطيل، وإليه ذهب أيضاً أئمة التصوف، كأبي سليمان الداراني وأحمد بن أبي الحواري وسري السقطي وإبراهيم بن أدهم والفضيل بن عياض والجنيد ورُويم والنوري والخراز والخواص ومن جرى مجراهم، دون من انتسب إليهم وهم منه بريئون من الحلولية وغيرهم، وعلى ذلك درج من سلف من أئمة المسلمين في الحديث كالزهري وشعبة وقتادة وابن عيينة وعبد الرحمن بن مهدي ويحيى بن سعيد ويحيي بن معين وعلي بن المدائني وأحمد بن حنبل وإسحاق بن راهويه ويحيى بن يحيى التميمي وجميع الحفاظ لحديث رسول الله صلي الله عليه وسلم الذين نُقل قولهم في الجرح والتعديل، والتمييز بين الصحيح والسقيم من الأخبار والآثار، وكذلك الأئمة الذين أخذت عنهم اللغة والنحو والقراءات وإعراب القرآن، كلهم كانوا على طريقة التوحيد من غير تشبيه ولا تعطيل ..</w:t>
      </w:r>
      <w:r w:rsidR="000636C2">
        <w:rPr>
          <w:rtl/>
        </w:rPr>
        <w:t>)،</w:t>
      </w:r>
      <w:r w:rsidRPr="005675B2">
        <w:rPr>
          <w:rtl/>
        </w:rPr>
        <w:t xml:space="preserve"> وذكر طائفة من أئمة اللغـة والأدب ثـم قال</w:t>
      </w:r>
      <w:r w:rsidR="000636C2">
        <w:rPr>
          <w:rtl/>
        </w:rPr>
        <w:t>:</w:t>
      </w:r>
      <w:r w:rsidRPr="005675B2">
        <w:rPr>
          <w:rtl/>
        </w:rPr>
        <w:t xml:space="preserve"> </w:t>
      </w:r>
      <w:r w:rsidR="000636C2">
        <w:rPr>
          <w:rtl/>
        </w:rPr>
        <w:t>(</w:t>
      </w:r>
      <w:r w:rsidRPr="005675B2">
        <w:rPr>
          <w:rtl/>
        </w:rPr>
        <w:t>وكل من يصحّ اليوم الاحتجاج بقوله في اللغة والنحو والقراءات من أئمة الدين فإنهم كلهم منتسبون إلى ما انتسب إليه أهل السنة والجماعة في التوحيد وإثبات صفـات المـدح لمعبودهم - سبحانه - ونفي التشبيه عنه</w:t>
      </w:r>
      <w:r w:rsidR="000636C2">
        <w:rPr>
          <w:rtl/>
        </w:rPr>
        <w:t>)</w:t>
      </w:r>
      <w:r w:rsidRPr="005675B2">
        <w:rPr>
          <w:rtl/>
        </w:rPr>
        <w:t xml:space="preserve"> اهـ</w:t>
      </w:r>
      <w:r w:rsidR="000636C2">
        <w:rPr>
          <w:rtl/>
        </w:rPr>
        <w:t xml:space="preserve">، </w:t>
      </w:r>
      <w:r w:rsidRPr="005675B2">
        <w:rPr>
          <w:rtl/>
        </w:rPr>
        <w:t xml:space="preserve">وقد ذكرنا قوله قبلُ </w:t>
      </w:r>
      <w:r w:rsidR="000636C2">
        <w:rPr>
          <w:rtl/>
          <w:lang w:val="uz-Latn-UZ" w:bidi="ar-KW"/>
        </w:rPr>
        <w:t>(</w:t>
      </w:r>
      <w:r w:rsidRPr="005675B2">
        <w:rPr>
          <w:rtl/>
          <w:lang w:val="uz-Latn-UZ" w:bidi="ar-KW"/>
        </w:rPr>
        <w:t>الإتحاف 2 / 106</w:t>
      </w:r>
      <w:r w:rsidR="000636C2">
        <w:rPr>
          <w:rtl/>
          <w:lang w:val="uz-Latn-UZ" w:bidi="ar-KW"/>
        </w:rPr>
        <w:t>)</w:t>
      </w:r>
      <w:r w:rsidR="000636C2">
        <w:rPr>
          <w:rtl/>
        </w:rPr>
        <w:t>:</w:t>
      </w:r>
      <w:r w:rsidR="000636C2">
        <w:rPr>
          <w:rFonts w:hint="cs"/>
          <w:rtl/>
          <w:lang w:bidi="ar-KW"/>
        </w:rPr>
        <w:t xml:space="preserve"> </w:t>
      </w:r>
      <w:r w:rsidR="000636C2">
        <w:rPr>
          <w:rtl/>
        </w:rPr>
        <w:t>(</w:t>
      </w:r>
      <w:r w:rsidRPr="005675B2">
        <w:rPr>
          <w:rtl/>
        </w:rPr>
        <w:t>إذا أطلق أهل السنة والجماعة فالمراد بهم الأشاعرة والماتريدية</w:t>
      </w:r>
      <w:r w:rsidR="000636C2">
        <w:rPr>
          <w:rtl/>
        </w:rPr>
        <w:t xml:space="preserve">)، </w:t>
      </w:r>
      <w:r w:rsidRPr="005675B2">
        <w:rPr>
          <w:rtl/>
        </w:rPr>
        <w:t xml:space="preserve">فدلّ قوله الآنف </w:t>
      </w:r>
      <w:r w:rsidR="000636C2">
        <w:rPr>
          <w:rtl/>
        </w:rPr>
        <w:t>(</w:t>
      </w:r>
      <w:r w:rsidRPr="005675B2">
        <w:rPr>
          <w:rtl/>
        </w:rPr>
        <w:t>فإنهم كلهم منتسبون ..</w:t>
      </w:r>
      <w:r w:rsidR="000636C2">
        <w:rPr>
          <w:rtl/>
        </w:rPr>
        <w:t>)</w:t>
      </w:r>
      <w:r w:rsidRPr="005675B2">
        <w:rPr>
          <w:rtl/>
        </w:rPr>
        <w:t xml:space="preserve"> على أنه يعني الأشاعرة والماتريدية ومن وافقهم من طوائف أهل السنة والجماعة</w:t>
      </w:r>
      <w:r w:rsidR="000636C2">
        <w:rPr>
          <w:rtl/>
        </w:rPr>
        <w:t>،</w:t>
      </w:r>
      <w:r w:rsidRPr="005675B2">
        <w:rPr>
          <w:rtl/>
        </w:rPr>
        <w:t xml:space="preserve"> </w:t>
      </w:r>
      <w:r w:rsidRPr="005675B2">
        <w:rPr>
          <w:rtl/>
          <w:lang w:bidi="ar-KW"/>
        </w:rPr>
        <w:t>يتضح بهذا قدْر أهل السنة والجماعة الأشاعرة والماتريدية وأصحاب الحديث ومزيّتهم على من سواهم من أهل الأهواء والزيغ والبدع، ويظهر ما اختصّهم الله تعالى به من الفضل، واجتباهم له من حمل لواء الحق والهدى والإرشاد لعامة الورى</w:t>
      </w:r>
      <w:r w:rsidR="000636C2">
        <w:rPr>
          <w:rtl/>
          <w:lang w:bidi="ar-KW"/>
        </w:rPr>
        <w:t>،</w:t>
      </w:r>
      <w:r w:rsidRPr="005675B2">
        <w:rPr>
          <w:rtl/>
          <w:lang w:bidi="ar-KW"/>
        </w:rPr>
        <w:t xml:space="preserve"> </w:t>
      </w:r>
    </w:p>
    <w:p w14:paraId="7DF95D87" w14:textId="77777777" w:rsidR="009C32A0" w:rsidRPr="005675B2" w:rsidRDefault="009C32A0" w:rsidP="000636C2">
      <w:pPr>
        <w:widowControl w:val="0"/>
        <w:spacing w:before="80" w:after="240"/>
        <w:jc w:val="center"/>
        <w:rPr>
          <w:b/>
          <w:bCs/>
          <w:rtl/>
          <w:lang w:bidi="ar-KW"/>
        </w:rPr>
      </w:pPr>
      <w:r w:rsidRPr="005675B2">
        <w:rPr>
          <w:rtl/>
        </w:rPr>
        <w:t>* * * * *</w:t>
      </w:r>
    </w:p>
    <w:p w14:paraId="6285F542" w14:textId="34ECFCAC" w:rsidR="009C32A0" w:rsidRPr="005675B2" w:rsidRDefault="009C32A0" w:rsidP="000636C2">
      <w:pPr>
        <w:widowControl w:val="0"/>
        <w:spacing w:before="80" w:after="240"/>
        <w:rPr>
          <w:b/>
          <w:bCs/>
          <w:rtl/>
          <w:lang w:bidi="ar-KW"/>
        </w:rPr>
      </w:pPr>
      <w:r w:rsidRPr="005675B2">
        <w:rPr>
          <w:bCs/>
          <w:rtl/>
          <w:lang w:bidi="ar-KW"/>
        </w:rPr>
        <w:t>فتاوى وأقوال العلماء في فضل الأشاعرة</w:t>
      </w:r>
      <w:r w:rsidR="000636C2">
        <w:rPr>
          <w:rFonts w:hint="cs"/>
          <w:bCs/>
          <w:rtl/>
          <w:lang w:bidi="ar-KW"/>
        </w:rPr>
        <w:t>،</w:t>
      </w:r>
      <w:r w:rsidRPr="005675B2">
        <w:rPr>
          <w:rFonts w:hint="cs"/>
          <w:bCs/>
          <w:rtl/>
          <w:lang w:bidi="ar-KW"/>
        </w:rPr>
        <w:t xml:space="preserve"> </w:t>
      </w:r>
      <w:r w:rsidRPr="005675B2">
        <w:rPr>
          <w:bCs/>
          <w:rtl/>
          <w:lang w:bidi="ar-KW"/>
        </w:rPr>
        <w:t>وتغليظهم القول لمن ذمّهم وانتقصهم</w:t>
      </w:r>
      <w:r w:rsidR="000636C2">
        <w:rPr>
          <w:rFonts w:hint="cs"/>
          <w:bCs/>
          <w:rtl/>
          <w:lang w:bidi="ar-KW"/>
        </w:rPr>
        <w:t xml:space="preserve">: </w:t>
      </w:r>
      <w:r w:rsidRPr="005675B2">
        <w:rPr>
          <w:rtl/>
          <w:lang w:bidi="ar-KW"/>
        </w:rPr>
        <w:t>قال الله تعالى</w:t>
      </w:r>
      <w:r w:rsidRPr="005675B2">
        <w:rPr>
          <w:bCs/>
          <w:rtl/>
          <w:lang w:bidi="ar-KW"/>
        </w:rPr>
        <w:t xml:space="preserve"> </w:t>
      </w:r>
      <w:r w:rsidR="000636C2">
        <w:rPr>
          <w:bCs/>
          <w:rtl/>
          <w:lang w:bidi="ar-KW"/>
        </w:rPr>
        <w:t>(</w:t>
      </w:r>
      <w:r w:rsidRPr="005675B2">
        <w:rPr>
          <w:bCs/>
          <w:rtl/>
          <w:lang w:bidi="ar-KW"/>
        </w:rPr>
        <w:t>والّذين يؤذون المؤمنين والمؤمنات بغير ما اكتسبوا فقد احتملوا بهتانا وإثما مبينا</w:t>
      </w:r>
      <w:r w:rsidR="000636C2">
        <w:rPr>
          <w:bCs/>
          <w:rtl/>
          <w:lang w:bidi="ar-KW"/>
        </w:rPr>
        <w:t>)،</w:t>
      </w:r>
      <w:r w:rsidRPr="005675B2">
        <w:rPr>
          <w:rtl/>
          <w:lang w:bidi="ar-KW"/>
        </w:rPr>
        <w:t xml:space="preserve"> وقال تعالى في الحديث القدسي </w:t>
      </w:r>
      <w:r w:rsidR="000636C2">
        <w:rPr>
          <w:bCs/>
          <w:rtl/>
          <w:lang w:bidi="ar-KW"/>
        </w:rPr>
        <w:t>(</w:t>
      </w:r>
      <w:r w:rsidRPr="005675B2">
        <w:rPr>
          <w:bCs/>
          <w:rtl/>
          <w:lang w:bidi="ar-KW"/>
        </w:rPr>
        <w:t>من عادى لي ولياًّ فقد آذنته بالحرب</w:t>
      </w:r>
      <w:r w:rsidR="000636C2">
        <w:rPr>
          <w:rtl/>
          <w:lang w:bidi="ar-KW"/>
        </w:rPr>
        <w:t>)</w:t>
      </w:r>
      <w:r w:rsidRPr="005675B2">
        <w:rPr>
          <w:rtl/>
          <w:lang w:bidi="ar-KW"/>
        </w:rPr>
        <w:t>، والعلماء هم أولياء الله تعالى وخاصته من خلقه، بهم ينتشر الدين ويُذاد عن عقائد الناس وحرماتهم، وموت آلاف من البشر أهون ضرراً من موت عالم</w:t>
      </w:r>
      <w:r w:rsidR="000636C2">
        <w:rPr>
          <w:rtl/>
          <w:lang w:bidi="ar-KW"/>
        </w:rPr>
        <w:t>،</w:t>
      </w:r>
      <w:r w:rsidRPr="005675B2">
        <w:rPr>
          <w:rtl/>
          <w:lang w:bidi="ar-KW"/>
        </w:rPr>
        <w:t xml:space="preserve"> </w:t>
      </w:r>
      <w:r w:rsidRPr="005675B2">
        <w:rPr>
          <w:rtl/>
        </w:rPr>
        <w:t>وحرمة العلماء من حرمة الدين، فمن وقرهم وعرف لهم أقدارهم فالدين يوقر، ومن تطاول عليهم وحقرهم فعلى الدين يتطاول وله يحقر</w:t>
      </w:r>
      <w:r w:rsidR="000636C2">
        <w:rPr>
          <w:rtl/>
        </w:rPr>
        <w:t>،</w:t>
      </w:r>
      <w:r w:rsidRPr="005675B2">
        <w:rPr>
          <w:rtl/>
        </w:rPr>
        <w:t xml:space="preserve"> يقول الله تعالى </w:t>
      </w:r>
      <w:r w:rsidR="000636C2">
        <w:rPr>
          <w:bCs/>
          <w:rtl/>
        </w:rPr>
        <w:t>(</w:t>
      </w:r>
      <w:r w:rsidRPr="005675B2">
        <w:rPr>
          <w:bCs/>
          <w:rtl/>
        </w:rPr>
        <w:t>ومن يعظِّم شعائر الله فإنها من تقوى القلوب</w:t>
      </w:r>
      <w:r w:rsidR="000636C2">
        <w:rPr>
          <w:bCs/>
          <w:rtl/>
        </w:rPr>
        <w:t>)،</w:t>
      </w:r>
      <w:r w:rsidR="000636C2">
        <w:rPr>
          <w:rFonts w:hint="cs"/>
          <w:bCs/>
          <w:rtl/>
        </w:rPr>
        <w:t xml:space="preserve"> </w:t>
      </w:r>
      <w:r w:rsidRPr="005675B2">
        <w:rPr>
          <w:rtl/>
        </w:rPr>
        <w:t>فأي شعيرة من شعائر الإسلام أعظم من رموزه وأعلامه الذين بهم قوام الدين وصلاح العباد والبلاد</w:t>
      </w:r>
      <w:r w:rsidR="000636C2">
        <w:rPr>
          <w:rtl/>
        </w:rPr>
        <w:t>؟!</w:t>
      </w:r>
      <w:r w:rsidRPr="005675B2">
        <w:rPr>
          <w:rFonts w:hint="cs"/>
          <w:rtl/>
        </w:rPr>
        <w:t xml:space="preserve"> </w:t>
      </w:r>
      <w:r w:rsidRPr="005675B2">
        <w:rPr>
          <w:rtl/>
        </w:rPr>
        <w:t>وأي عزيمة أوثق أمراً وأعظم أجراً من تكريمهم وتوقيرهم والاعتراف بفضلهم</w:t>
      </w:r>
      <w:r w:rsidR="000636C2">
        <w:rPr>
          <w:rtl/>
        </w:rPr>
        <w:t>؟!</w:t>
      </w:r>
      <w:r w:rsidRPr="005675B2">
        <w:rPr>
          <w:rFonts w:hint="cs"/>
          <w:rtl/>
        </w:rPr>
        <w:t xml:space="preserve"> </w:t>
      </w:r>
      <w:r w:rsidRPr="005675B2">
        <w:rPr>
          <w:rtl/>
        </w:rPr>
        <w:t>وأي جريمة وعظيمة أشد نكراً وأكبر وزراً من تحقيرهم وازدرائهم والحط من أقدراهم</w:t>
      </w:r>
      <w:r w:rsidR="000636C2">
        <w:rPr>
          <w:rtl/>
        </w:rPr>
        <w:t>؟!</w:t>
      </w:r>
      <w:r w:rsidRPr="005675B2">
        <w:rPr>
          <w:rFonts w:hint="cs"/>
          <w:rtl/>
        </w:rPr>
        <w:t xml:space="preserve"> </w:t>
      </w:r>
      <w:r w:rsidRPr="005675B2">
        <w:rPr>
          <w:rtl/>
        </w:rPr>
        <w:t>والتطاول على العلماء لا سيما المتقدمون منهم من الذنوب التي تكون في آخر الزمان فقد جاء في الحديث أن من أشراط الساعة لعْنَ آخر هذه الأمة أوّلها، إشارة منه</w:t>
      </w:r>
      <w:r w:rsidR="000636C2">
        <w:rPr>
          <w:rtl/>
        </w:rPr>
        <w:t xml:space="preserve"> </w:t>
      </w:r>
      <w:r w:rsidRPr="005675B2">
        <w:rPr>
          <w:rtl/>
        </w:rPr>
        <w:t>إلى فظاعة هذا الصنيع وشناعته حتى إنه أخّر إلى آخر الزمان</w:t>
      </w:r>
      <w:r w:rsidR="000636C2">
        <w:rPr>
          <w:rtl/>
        </w:rPr>
        <w:t>!،</w:t>
      </w:r>
      <w:r w:rsidRPr="005675B2">
        <w:rPr>
          <w:rtl/>
        </w:rPr>
        <w:t xml:space="preserve"> ولقد تضافرت أقوال أئمة الإسلام وتواترت فتاواهم في التشنيع على من تطاول على مقام أعلام الشريعة وعلماء الأمة، وأوجبوا على ولاة أمور المسلمين الضرب على يده وتعزيره ومعاقبته</w:t>
      </w:r>
      <w:r w:rsidR="000636C2">
        <w:rPr>
          <w:rtl/>
        </w:rPr>
        <w:t xml:space="preserve">، </w:t>
      </w:r>
      <w:r w:rsidRPr="005675B2">
        <w:rPr>
          <w:rtl/>
        </w:rPr>
        <w:t xml:space="preserve">من ذلك ما أفتى به قدوة المالكية في عصره الإمام ابن رشد </w:t>
      </w:r>
      <w:r w:rsidR="000636C2">
        <w:rPr>
          <w:rtl/>
        </w:rPr>
        <w:t>(</w:t>
      </w:r>
      <w:r w:rsidRPr="005675B2">
        <w:rPr>
          <w:rtl/>
        </w:rPr>
        <w:t>الجد</w:t>
      </w:r>
      <w:r w:rsidR="000636C2">
        <w:rPr>
          <w:rtl/>
        </w:rPr>
        <w:t>)</w:t>
      </w:r>
      <w:r w:rsidRPr="005675B2">
        <w:rPr>
          <w:rtl/>
        </w:rPr>
        <w:t xml:space="preserve"> رحمه الله تعالى، وهذا نص السؤال</w:t>
      </w:r>
      <w:r w:rsidR="000636C2">
        <w:rPr>
          <w:rtl/>
        </w:rPr>
        <w:t>:</w:t>
      </w:r>
      <w:r w:rsidR="000636C2">
        <w:rPr>
          <w:rFonts w:hint="cs"/>
          <w:rtl/>
          <w:lang w:bidi="ar-KW"/>
        </w:rPr>
        <w:t xml:space="preserve"> </w:t>
      </w:r>
      <w:r w:rsidR="000636C2">
        <w:rPr>
          <w:rtl/>
        </w:rPr>
        <w:t>(</w:t>
      </w:r>
      <w:r w:rsidRPr="005675B2">
        <w:rPr>
          <w:rtl/>
        </w:rPr>
        <w:t>ما يقول الفقيه القاضي الأجل، أبو الوليد - وصل الله توفيقه وتسديده ونهج إلى كل صالحة طريقه - في الشيخ أبي الحسن الأشعري وأبي إسحق الإسفراييني وأبي بكر الباقلاني وأبي بكر بن فورك وأبي المعالي .. ونظرائهم ممن ينتحل علم الكلام ويتكلم في أصول الديانات ويصنف للرد على أهل الأهواء</w:t>
      </w:r>
      <w:r w:rsidR="000636C2">
        <w:rPr>
          <w:rtl/>
        </w:rPr>
        <w:t>؟</w:t>
      </w:r>
      <w:r w:rsidRPr="005675B2">
        <w:rPr>
          <w:rtl/>
        </w:rPr>
        <w:t xml:space="preserve"> وما يقول في قوم يسبونهم وينتقصونهم، ويسبون كل من ينتمي إلى علم الأشعرية، ويكفرونهم ويتبرؤون منهم وينحرفون بالولاية عنهم، ويعتقدون أنهم على ضلالة، وخائضون في جهالة، فماذا يقال لهم ويصنع بهم ويعتقد فيهم</w:t>
      </w:r>
      <w:r w:rsidR="000636C2">
        <w:rPr>
          <w:rtl/>
        </w:rPr>
        <w:t>؟</w:t>
      </w:r>
      <w:r w:rsidRPr="005675B2">
        <w:rPr>
          <w:rtl/>
        </w:rPr>
        <w:t xml:space="preserve"> أيتركون على أهوائهم</w:t>
      </w:r>
      <w:r w:rsidR="000636C2">
        <w:rPr>
          <w:rtl/>
        </w:rPr>
        <w:t>؟</w:t>
      </w:r>
      <w:r w:rsidRPr="005675B2">
        <w:rPr>
          <w:rtl/>
        </w:rPr>
        <w:t xml:space="preserve"> أم يكف عن غلوائهم</w:t>
      </w:r>
      <w:r w:rsidR="000636C2">
        <w:rPr>
          <w:rtl/>
        </w:rPr>
        <w:t xml:space="preserve">؟)، </w:t>
      </w:r>
      <w:r w:rsidRPr="005675B2">
        <w:rPr>
          <w:bCs/>
          <w:rtl/>
        </w:rPr>
        <w:t>فأجاب رحمه الله تعالى بما نصه</w:t>
      </w:r>
      <w:r w:rsidR="000636C2">
        <w:rPr>
          <w:rtl/>
        </w:rPr>
        <w:t>:</w:t>
      </w:r>
      <w:r w:rsidR="000636C2">
        <w:rPr>
          <w:rFonts w:hint="cs"/>
          <w:rtl/>
          <w:lang w:bidi="ar-KW"/>
        </w:rPr>
        <w:t xml:space="preserve"> </w:t>
      </w:r>
      <w:r w:rsidR="000636C2">
        <w:rPr>
          <w:rtl/>
        </w:rPr>
        <w:t>(</w:t>
      </w:r>
      <w:r w:rsidRPr="005675B2">
        <w:rPr>
          <w:rtl/>
        </w:rPr>
        <w:t xml:space="preserve">تصفحت - عصمنا الله وإيـاك - سؤالك هذا ووقفت عليه، وهؤلاء الذين سميت من العلماء أئمة خير وهدى، وممن يجب بهم الاقتداء، لأنهم قاموا بنصر الشريعة، وأبطلوا شبه أهل الزيغ والضلالة، وأوضحوا المشكلات وبينوا ما يجب أن يُدانَ به من المعتقدات، فهم بمعرفتهم بأصول الديانات العلماء على الحقيقة، لعلمهم بالله عزّ وجلّ، وما يجب له وما يجوز عليه وما ينتفي عنه، إذ لا تعلم الفروع إلا بعد معرفة الأصول، فمن الواجب أن يعترف بفضائلهم ويقر لهم بسوابقهم، فهم الذين عنى رسول الله صلى الله عليه وسلم بقوله </w:t>
      </w:r>
      <w:r w:rsidR="000636C2">
        <w:rPr>
          <w:rtl/>
        </w:rPr>
        <w:t>(</w:t>
      </w:r>
      <w:r w:rsidRPr="005675B2">
        <w:rPr>
          <w:bCs/>
          <w:rtl/>
        </w:rPr>
        <w:t>يحمل هذا العلم من كل خلف عدوله ينفون عنه</w:t>
      </w:r>
      <w:r w:rsidRPr="005675B2">
        <w:rPr>
          <w:rtl/>
        </w:rPr>
        <w:t xml:space="preserve"> </w:t>
      </w:r>
      <w:r w:rsidRPr="005675B2">
        <w:rPr>
          <w:bCs/>
          <w:rtl/>
        </w:rPr>
        <w:t>تحريف الغالين وانتحال المبطلين وتأويل الجاهلين</w:t>
      </w:r>
      <w:r w:rsidR="000636C2">
        <w:rPr>
          <w:rtl/>
        </w:rPr>
        <w:t>)</w:t>
      </w:r>
      <w:r w:rsidRPr="005675B2">
        <w:rPr>
          <w:rtl/>
        </w:rPr>
        <w:t xml:space="preserve"> فلا يعتقد أنهم على ضلالة وجهالة إلا غبي جاهل أو مبتدع زائغ عن الحق مائل، ولا يسبهم وينسب إليهم خلاف ما هم عليه إلا فاسق، وقد قال الله عزّ وجلّ</w:t>
      </w:r>
      <w:r w:rsidR="000636C2">
        <w:rPr>
          <w:rtl/>
        </w:rPr>
        <w:t>:</w:t>
      </w:r>
      <w:r w:rsidRPr="005675B2">
        <w:rPr>
          <w:bCs/>
          <w:rtl/>
          <w:lang w:bidi="ar-KW"/>
        </w:rPr>
        <w:t xml:space="preserve"> </w:t>
      </w:r>
      <w:r w:rsidR="000636C2">
        <w:rPr>
          <w:bCs/>
          <w:rtl/>
          <w:lang w:bidi="ar-KW"/>
        </w:rPr>
        <w:t>(</w:t>
      </w:r>
      <w:r w:rsidRPr="005675B2">
        <w:rPr>
          <w:bCs/>
          <w:rtl/>
          <w:lang w:bidi="ar-KW"/>
        </w:rPr>
        <w:t>والّذين يؤذون المؤمنين والمؤمنات بغير ما اكتسبوا فقد احتملوا بهتانا وإثما مبينا</w:t>
      </w:r>
      <w:r w:rsidR="000636C2">
        <w:rPr>
          <w:bCs/>
          <w:rtl/>
          <w:lang w:bidi="ar-KW"/>
        </w:rPr>
        <w:t>)</w:t>
      </w:r>
      <w:r w:rsidRPr="005675B2">
        <w:rPr>
          <w:rtl/>
        </w:rPr>
        <w:t xml:space="preserve"> فيجب أن يبصر الجاهل منهم، ويؤدب الفاسق، ويستتاب المبتدع الزائغ عن الحق إذا كان مستسهلاً ببدعة، فإن تاب وإلا ضرب أبداً حتى يتوب، كما فعل عمر بن الخطاب رضي الله عنه بصبيغ المتهم في اعتقاده، من ضربه إياه حتى قال</w:t>
      </w:r>
      <w:r w:rsidR="000636C2">
        <w:rPr>
          <w:rtl/>
        </w:rPr>
        <w:t>:</w:t>
      </w:r>
      <w:r w:rsidRPr="005675B2">
        <w:rPr>
          <w:rtl/>
        </w:rPr>
        <w:t xml:space="preserve"> يا أمير المؤمنين إن كنت تريد دوائي فقد بلغت مني موضع الداء، وإن كنت تريد قتلي فأجهز علي</w:t>
      </w:r>
      <w:r w:rsidR="000636C2">
        <w:rPr>
          <w:rtl/>
        </w:rPr>
        <w:t>،</w:t>
      </w:r>
      <w:r w:rsidRPr="005675B2">
        <w:rPr>
          <w:rtl/>
        </w:rPr>
        <w:t xml:space="preserve"> فخلى سبيله</w:t>
      </w:r>
      <w:r w:rsidR="000636C2">
        <w:rPr>
          <w:rtl/>
        </w:rPr>
        <w:t>،</w:t>
      </w:r>
      <w:r w:rsidRPr="005675B2">
        <w:rPr>
          <w:rtl/>
        </w:rPr>
        <w:t xml:space="preserve"> والله أسأل العصمة والتوفيق برحمته</w:t>
      </w:r>
      <w:r w:rsidR="000636C2">
        <w:rPr>
          <w:rtl/>
        </w:rPr>
        <w:t>،</w:t>
      </w:r>
      <w:r w:rsidRPr="005675B2">
        <w:rPr>
          <w:rtl/>
        </w:rPr>
        <w:t xml:space="preserve"> قاله محمد بن رشد</w:t>
      </w:r>
      <w:r w:rsidR="000636C2">
        <w:rPr>
          <w:rtl/>
        </w:rPr>
        <w:t>)</w:t>
      </w:r>
      <w:r w:rsidRPr="005675B2">
        <w:rPr>
          <w:rtl/>
        </w:rPr>
        <w:t xml:space="preserve"> </w:t>
      </w:r>
      <w:r w:rsidR="000636C2">
        <w:rPr>
          <w:rtl/>
          <w:lang w:val="uz-Latn-UZ"/>
        </w:rPr>
        <w:t>(</w:t>
      </w:r>
      <w:r w:rsidRPr="005675B2">
        <w:rPr>
          <w:rtl/>
          <w:lang w:val="uz-Latn-UZ"/>
        </w:rPr>
        <w:t>فتاوى ابن رشد 2 / 802</w:t>
      </w:r>
      <w:r w:rsidR="000636C2">
        <w:rPr>
          <w:rtl/>
          <w:lang w:val="uz-Latn-UZ"/>
        </w:rPr>
        <w:t>)</w:t>
      </w:r>
      <w:r w:rsidR="000636C2">
        <w:rPr>
          <w:rtl/>
        </w:rPr>
        <w:t>،</w:t>
      </w:r>
      <w:r w:rsidRPr="005675B2">
        <w:rPr>
          <w:rtl/>
        </w:rPr>
        <w:t xml:space="preserve"> وقال الإمام الكبير أبو المظفر الإسفراييني - رحمه الله تعالى - بعد أن فصّلَ اعتقاد الفرقة الناجية</w:t>
      </w:r>
      <w:r w:rsidR="000636C2">
        <w:rPr>
          <w:rtl/>
        </w:rPr>
        <w:t>:</w:t>
      </w:r>
      <w:r w:rsidR="000636C2">
        <w:rPr>
          <w:rFonts w:hint="cs"/>
          <w:rtl/>
        </w:rPr>
        <w:t xml:space="preserve"> </w:t>
      </w:r>
      <w:r w:rsidR="000636C2">
        <w:rPr>
          <w:rtl/>
        </w:rPr>
        <w:t>(</w:t>
      </w:r>
      <w:r w:rsidRPr="005675B2">
        <w:rPr>
          <w:rtl/>
        </w:rPr>
        <w:t xml:space="preserve">وأن تعلم أن كل من تديّن بهذا الدين الذي وصفناه من اعتقاد الفرقة الناجية فهو على الحق وعلى الصراط المستقيم، </w:t>
      </w:r>
      <w:r w:rsidRPr="005675B2">
        <w:rPr>
          <w:bCs/>
          <w:rtl/>
        </w:rPr>
        <w:t>فمن بدّعَهُ فهو مبتدع ومـن ضلله فهو ضالّ ومـن كفّره فهو كـافر</w:t>
      </w:r>
      <w:r w:rsidR="000636C2">
        <w:rPr>
          <w:bCs/>
          <w:rtl/>
        </w:rPr>
        <w:t>)</w:t>
      </w:r>
      <w:r w:rsidRPr="005675B2">
        <w:rPr>
          <w:rtl/>
        </w:rPr>
        <w:t xml:space="preserve"> اهـ </w:t>
      </w:r>
      <w:r w:rsidR="000636C2">
        <w:rPr>
          <w:rtl/>
          <w:lang w:val="uz-Latn-UZ"/>
        </w:rPr>
        <w:t>(</w:t>
      </w:r>
      <w:r w:rsidRPr="005675B2">
        <w:rPr>
          <w:rtl/>
          <w:lang w:val="uz-Latn-UZ"/>
        </w:rPr>
        <w:t>التبصير في الدين ص / 111</w:t>
      </w:r>
      <w:r w:rsidR="000636C2">
        <w:rPr>
          <w:rtl/>
          <w:lang w:val="uz-Latn-UZ"/>
        </w:rPr>
        <w:t>)،</w:t>
      </w:r>
      <w:r w:rsidRPr="005675B2">
        <w:rPr>
          <w:rtl/>
          <w:lang w:val="uz-Latn-UZ"/>
        </w:rPr>
        <w:t xml:space="preserve"> </w:t>
      </w:r>
      <w:r w:rsidRPr="005675B2">
        <w:rPr>
          <w:rtl/>
        </w:rPr>
        <w:t>وقد شدّدَ الإمام النووي - رحمه الله تعالى - النكير على من انتقص العلماء وعَرضَ لهم بالثلب، فقال</w:t>
      </w:r>
      <w:r w:rsidR="000636C2">
        <w:rPr>
          <w:rtl/>
        </w:rPr>
        <w:t>:</w:t>
      </w:r>
      <w:r w:rsidRPr="005675B2">
        <w:rPr>
          <w:rFonts w:hint="cs"/>
          <w:rtl/>
        </w:rPr>
        <w:t xml:space="preserve"> </w:t>
      </w:r>
      <w:r w:rsidR="000636C2">
        <w:rPr>
          <w:rtl/>
        </w:rPr>
        <w:t>(</w:t>
      </w:r>
      <w:r w:rsidRPr="005675B2">
        <w:rPr>
          <w:rtl/>
        </w:rPr>
        <w:t xml:space="preserve">قال الله تعالى </w:t>
      </w:r>
      <w:r w:rsidR="000636C2">
        <w:rPr>
          <w:bCs/>
          <w:rtl/>
        </w:rPr>
        <w:t>(</w:t>
      </w:r>
      <w:r w:rsidRPr="005675B2">
        <w:rPr>
          <w:bCs/>
          <w:rtl/>
        </w:rPr>
        <w:t>ومن يعظِّم شعائر الله فإنها من تقوى القلوب</w:t>
      </w:r>
      <w:r w:rsidR="000636C2">
        <w:rPr>
          <w:bCs/>
          <w:rtl/>
        </w:rPr>
        <w:t>)</w:t>
      </w:r>
      <w:r w:rsidRPr="005675B2">
        <w:rPr>
          <w:bCs/>
          <w:rtl/>
        </w:rPr>
        <w:t xml:space="preserve"> وقال تعالى </w:t>
      </w:r>
      <w:r w:rsidR="000636C2">
        <w:rPr>
          <w:bCs/>
          <w:rtl/>
        </w:rPr>
        <w:t>(</w:t>
      </w:r>
      <w:r w:rsidRPr="005675B2">
        <w:rPr>
          <w:bCs/>
          <w:rtl/>
        </w:rPr>
        <w:t>ومن يعظِّم حرمات الله فهو خير له عند ربِّه</w:t>
      </w:r>
      <w:r w:rsidR="000636C2">
        <w:rPr>
          <w:bCs/>
          <w:rtl/>
        </w:rPr>
        <w:t>)</w:t>
      </w:r>
      <w:r w:rsidRPr="005675B2">
        <w:rPr>
          <w:bCs/>
          <w:rtl/>
        </w:rPr>
        <w:t xml:space="preserve"> </w:t>
      </w:r>
      <w:r w:rsidRPr="005675B2">
        <w:rPr>
          <w:rtl/>
        </w:rPr>
        <w:t xml:space="preserve">وقـال تعالى </w:t>
      </w:r>
      <w:r w:rsidR="000636C2">
        <w:rPr>
          <w:bCs/>
          <w:rtl/>
        </w:rPr>
        <w:t>(</w:t>
      </w:r>
      <w:r w:rsidRPr="005675B2">
        <w:rPr>
          <w:bCs/>
          <w:rtl/>
        </w:rPr>
        <w:t>واخفض جناحك للمؤمنين</w:t>
      </w:r>
      <w:r w:rsidR="000636C2">
        <w:rPr>
          <w:bCs/>
          <w:rtl/>
        </w:rPr>
        <w:t>)</w:t>
      </w:r>
      <w:r w:rsidRPr="005675B2">
        <w:rPr>
          <w:bCs/>
          <w:rtl/>
        </w:rPr>
        <w:t xml:space="preserve"> وقال تعالى </w:t>
      </w:r>
      <w:r w:rsidR="000636C2">
        <w:rPr>
          <w:bCs/>
          <w:rtl/>
          <w:lang w:bidi="ar-KW"/>
        </w:rPr>
        <w:t>(</w:t>
      </w:r>
      <w:r w:rsidRPr="005675B2">
        <w:rPr>
          <w:bCs/>
          <w:rtl/>
          <w:lang w:bidi="ar-KW"/>
        </w:rPr>
        <w:t>والّذين يؤذون المؤمنين والمؤمنات بغير ما اكتسبوا فقد احتملوا بهتانا وإثما مبينا</w:t>
      </w:r>
      <w:r w:rsidR="000636C2">
        <w:rPr>
          <w:bCs/>
          <w:rtl/>
          <w:lang w:bidi="ar-KW"/>
        </w:rPr>
        <w:t xml:space="preserve">) </w:t>
      </w:r>
      <w:r w:rsidRPr="005675B2">
        <w:rPr>
          <w:rtl/>
        </w:rPr>
        <w:t>وثبت في صحيح البخاري عن أبي هريرة رضي الله عنه عن رسول الله صلي الله عليه وسلم أن الله عزّ وجلّ قال</w:t>
      </w:r>
      <w:r w:rsidRPr="005675B2">
        <w:rPr>
          <w:bCs/>
          <w:rtl/>
        </w:rPr>
        <w:t xml:space="preserve"> </w:t>
      </w:r>
      <w:r w:rsidR="000636C2">
        <w:rPr>
          <w:bCs/>
          <w:rtl/>
        </w:rPr>
        <w:t>(</w:t>
      </w:r>
      <w:r w:rsidRPr="005675B2">
        <w:rPr>
          <w:bCs/>
          <w:rtl/>
        </w:rPr>
        <w:t>من آذى لي وليّاً فقد آذنته بالحرب</w:t>
      </w:r>
      <w:r w:rsidR="000636C2">
        <w:rPr>
          <w:rtl/>
        </w:rPr>
        <w:t>)،</w:t>
      </w:r>
      <w:r w:rsidRPr="005675B2">
        <w:rPr>
          <w:rtl/>
        </w:rPr>
        <w:t xml:space="preserve"> وروى الخطيب البغدادي عن الشافعي وأبي حنيفة رضي الله عنهما قالا </w:t>
      </w:r>
      <w:r w:rsidR="000636C2">
        <w:rPr>
          <w:rtl/>
        </w:rPr>
        <w:t>(</w:t>
      </w:r>
      <w:r w:rsidRPr="005675B2">
        <w:rPr>
          <w:rtl/>
        </w:rPr>
        <w:t>إن لم تكن الفقهاء أولياء الله فليس لله ولي</w:t>
      </w:r>
      <w:r w:rsidR="000636C2">
        <w:rPr>
          <w:rtl/>
        </w:rPr>
        <w:t xml:space="preserve">)، </w:t>
      </w:r>
      <w:r w:rsidRPr="005675B2">
        <w:rPr>
          <w:rtl/>
        </w:rPr>
        <w:t>وفي كلام الشافعي</w:t>
      </w:r>
      <w:r w:rsidR="000636C2">
        <w:rPr>
          <w:rtl/>
        </w:rPr>
        <w:t>:</w:t>
      </w:r>
      <w:r w:rsidRPr="005675B2">
        <w:rPr>
          <w:rtl/>
        </w:rPr>
        <w:t xml:space="preserve"> الفقهاء العاملون</w:t>
      </w:r>
      <w:r w:rsidR="000636C2">
        <w:rPr>
          <w:rtl/>
        </w:rPr>
        <w:t>،</w:t>
      </w:r>
      <w:r w:rsidRPr="005675B2">
        <w:rPr>
          <w:rtl/>
        </w:rPr>
        <w:t xml:space="preserve"> وعن ابن عباس رضي الله عنهما</w:t>
      </w:r>
      <w:r w:rsidR="000636C2">
        <w:rPr>
          <w:rtl/>
        </w:rPr>
        <w:t>:</w:t>
      </w:r>
      <w:r w:rsidRPr="005675B2">
        <w:rPr>
          <w:rtl/>
        </w:rPr>
        <w:t xml:space="preserve"> من آذى فقيهاً فقد آذى رسول الله صلى الله على وسلم، ومن آذى رسول الله</w:t>
      </w:r>
      <w:r w:rsidR="000636C2">
        <w:rPr>
          <w:rtl/>
        </w:rPr>
        <w:t xml:space="preserve"> </w:t>
      </w:r>
      <w:r w:rsidRPr="005675B2">
        <w:rPr>
          <w:rtl/>
        </w:rPr>
        <w:t>فقد آذى الله عز وجل</w:t>
      </w:r>
      <w:r w:rsidR="000636C2">
        <w:rPr>
          <w:rtl/>
        </w:rPr>
        <w:t>،</w:t>
      </w:r>
      <w:r w:rsidRPr="005675B2">
        <w:rPr>
          <w:rtl/>
        </w:rPr>
        <w:t xml:space="preserve"> وفي الصحيح عنه</w:t>
      </w:r>
      <w:r w:rsidR="000636C2">
        <w:rPr>
          <w:rtl/>
        </w:rPr>
        <w:t xml:space="preserve"> </w:t>
      </w:r>
      <w:r w:rsidRPr="005675B2">
        <w:rPr>
          <w:rtl/>
        </w:rPr>
        <w:t xml:space="preserve">" </w:t>
      </w:r>
      <w:r w:rsidRPr="005675B2">
        <w:rPr>
          <w:bCs/>
          <w:rtl/>
        </w:rPr>
        <w:t>من صلى الصبح فهو في ذمّة الله فلا</w:t>
      </w:r>
      <w:r w:rsidRPr="005675B2">
        <w:rPr>
          <w:rtl/>
        </w:rPr>
        <w:t xml:space="preserve"> </w:t>
      </w:r>
      <w:r w:rsidRPr="005675B2">
        <w:rPr>
          <w:bCs/>
          <w:rtl/>
        </w:rPr>
        <w:t>يطلبنّكم الله بشيء من ذمّته</w:t>
      </w:r>
      <w:r w:rsidRPr="005675B2">
        <w:rPr>
          <w:rtl/>
        </w:rPr>
        <w:t>"</w:t>
      </w:r>
      <w:r w:rsidR="000636C2">
        <w:rPr>
          <w:rtl/>
        </w:rPr>
        <w:t>)</w:t>
      </w:r>
      <w:r w:rsidRPr="005675B2">
        <w:rPr>
          <w:rtl/>
        </w:rPr>
        <w:t>ا ه -</w:t>
      </w:r>
      <w:r w:rsidR="000636C2">
        <w:rPr>
          <w:rtl/>
        </w:rPr>
        <w:t>،</w:t>
      </w:r>
      <w:r w:rsidRPr="005675B2">
        <w:rPr>
          <w:rtl/>
        </w:rPr>
        <w:t xml:space="preserve"> </w:t>
      </w:r>
      <w:r w:rsidR="000636C2">
        <w:rPr>
          <w:rtl/>
          <w:lang w:val="uz-Latn-UZ"/>
        </w:rPr>
        <w:t>(</w:t>
      </w:r>
      <w:r w:rsidRPr="005675B2">
        <w:rPr>
          <w:rtl/>
          <w:lang w:val="uz-Latn-UZ"/>
        </w:rPr>
        <w:t>المجموع 1 / 24</w:t>
      </w:r>
      <w:r w:rsidR="000636C2">
        <w:rPr>
          <w:rtl/>
          <w:lang w:val="uz-Latn-UZ"/>
        </w:rPr>
        <w:t>)،</w:t>
      </w:r>
      <w:r w:rsidRPr="005675B2">
        <w:rPr>
          <w:rtl/>
          <w:lang w:val="uz-Latn-UZ"/>
        </w:rPr>
        <w:t xml:space="preserve"> </w:t>
      </w:r>
      <w:r w:rsidRPr="005675B2">
        <w:rPr>
          <w:rtl/>
          <w:lang w:bidi="ar-KW"/>
        </w:rPr>
        <w:t>وإن لم يكن أعلام الأمة وأماثلها من أئمة الدين الأشاعرة والماتريدية أولياء الله فمن تراهم يكونون</w:t>
      </w:r>
      <w:r w:rsidR="000636C2">
        <w:rPr>
          <w:rtl/>
          <w:lang w:bidi="ar-KW"/>
        </w:rPr>
        <w:t>؟!</w:t>
      </w:r>
      <w:r w:rsidRPr="005675B2">
        <w:rPr>
          <w:rFonts w:hint="cs"/>
          <w:rtl/>
          <w:lang w:bidi="ar-KW"/>
        </w:rPr>
        <w:t xml:space="preserve"> </w:t>
      </w:r>
      <w:r w:rsidRPr="005675B2">
        <w:rPr>
          <w:rtl/>
        </w:rPr>
        <w:t>وقال الحافظ ابن عساكر - رحمه الله - تعالى</w:t>
      </w:r>
      <w:r w:rsidR="000636C2">
        <w:rPr>
          <w:rtl/>
        </w:rPr>
        <w:t>:</w:t>
      </w:r>
      <w:r w:rsidRPr="005675B2">
        <w:rPr>
          <w:rFonts w:hint="cs"/>
          <w:rtl/>
        </w:rPr>
        <w:t xml:space="preserve"> </w:t>
      </w:r>
      <w:r w:rsidR="000636C2">
        <w:rPr>
          <w:rtl/>
        </w:rPr>
        <w:t>(</w:t>
      </w:r>
      <w:r w:rsidRPr="005675B2">
        <w:rPr>
          <w:rtl/>
        </w:rPr>
        <w:t xml:space="preserve">اعلم يا أخي وفقني الله وإياك لمرضاته، وجعلنا ممن يخشاه ويتقيه حق تقاته، أن لحوم العلماء مسمومة، وعادة الله في هتك أستار منتقصيهم معلومة، وأن من أطلق لسانه في العلماء بالثلب بلاه الله قبل موته بموت القلب </w:t>
      </w:r>
      <w:r w:rsidR="000636C2">
        <w:rPr>
          <w:bCs/>
          <w:rtl/>
        </w:rPr>
        <w:t>(</w:t>
      </w:r>
      <w:r w:rsidRPr="005675B2">
        <w:rPr>
          <w:bCs/>
          <w:rtl/>
        </w:rPr>
        <w:t>فليحذر الّذين يخالفون عن أمره أن تصيبهم فتنة أو يصيبهم عذاب أليم</w:t>
      </w:r>
      <w:r w:rsidR="000636C2">
        <w:rPr>
          <w:bCs/>
          <w:rtl/>
        </w:rPr>
        <w:t xml:space="preserve">) </w:t>
      </w:r>
      <w:r w:rsidRPr="005675B2">
        <w:rPr>
          <w:rtl/>
        </w:rPr>
        <w:t>اهـ</w:t>
      </w:r>
      <w:r w:rsidR="000636C2">
        <w:rPr>
          <w:rtl/>
        </w:rPr>
        <w:t>،</w:t>
      </w:r>
      <w:r w:rsidRPr="005675B2">
        <w:rPr>
          <w:rtl/>
        </w:rPr>
        <w:t xml:space="preserve"> </w:t>
      </w:r>
      <w:r w:rsidR="000636C2">
        <w:rPr>
          <w:rtl/>
        </w:rPr>
        <w:t>(</w:t>
      </w:r>
      <w:r w:rsidRPr="005675B2">
        <w:rPr>
          <w:rtl/>
        </w:rPr>
        <w:t>تبيين كذب المفتري ص / 425، المجموع 1/24</w:t>
      </w:r>
      <w:r w:rsidR="000636C2">
        <w:rPr>
          <w:rtl/>
        </w:rPr>
        <w:t>)،</w:t>
      </w:r>
      <w:r w:rsidRPr="005675B2">
        <w:rPr>
          <w:rtl/>
        </w:rPr>
        <w:t xml:space="preserve"> وقد سئل الإمام العلامة ابن حجر الهيتمي رحمه الله تعالى</w:t>
      </w:r>
      <w:r w:rsidR="000636C2">
        <w:rPr>
          <w:rtl/>
        </w:rPr>
        <w:t>:</w:t>
      </w:r>
      <w:r w:rsidRPr="005675B2">
        <w:rPr>
          <w:rtl/>
        </w:rPr>
        <w:t xml:space="preserve"> عن الإمام أبي الحسن الأشعري والباقلاني وابن فورك وأبي المعالي إمام الحرمين وأبي الوليد الباجي وغيرهم ممن تكلم في الأصول وسلك مذهب الأشعري في الاعتقاد، وعن حكم من انتقصهم وضللهم</w:t>
      </w:r>
      <w:r w:rsidR="000636C2">
        <w:rPr>
          <w:rtl/>
        </w:rPr>
        <w:t>؟،</w:t>
      </w:r>
      <w:r w:rsidRPr="005675B2">
        <w:rPr>
          <w:rtl/>
        </w:rPr>
        <w:t xml:space="preserve"> فأجاب رحمه الله بعد أن شنّع على من عرض لهم بشتم أو تضليل أو قدح</w:t>
      </w:r>
      <w:r w:rsidR="000636C2">
        <w:rPr>
          <w:rtl/>
        </w:rPr>
        <w:t>:</w:t>
      </w:r>
      <w:r w:rsidRPr="005675B2">
        <w:rPr>
          <w:rFonts w:hint="cs"/>
          <w:rtl/>
          <w:lang w:bidi="ar-KW"/>
        </w:rPr>
        <w:t xml:space="preserve"> </w:t>
      </w:r>
      <w:r w:rsidR="000636C2">
        <w:rPr>
          <w:spacing w:val="6"/>
          <w:rtl/>
        </w:rPr>
        <w:t>(</w:t>
      </w:r>
      <w:r w:rsidRPr="005675B2">
        <w:rPr>
          <w:spacing w:val="6"/>
          <w:rtl/>
        </w:rPr>
        <w:t>بل هم أئمة الدين وفحول علماء المسلمين فيجب الاقتداء بهم لقيامهم بنصرة الشريعة وإيضاح المشكلات وردّ شبه أهل الزيغ، وما يجب من الاعتقادات والديانات لعلمهم بالله وما يجب له وما يستحيل عليه وما يجوز في حقه ..</w:t>
      </w:r>
      <w:r w:rsidR="000636C2">
        <w:rPr>
          <w:spacing w:val="6"/>
          <w:rtl/>
        </w:rPr>
        <w:t>،</w:t>
      </w:r>
      <w:r w:rsidRPr="005675B2">
        <w:rPr>
          <w:spacing w:val="6"/>
          <w:rtl/>
        </w:rPr>
        <w:t xml:space="preserve"> والواجب الاعتراف بفضل أولئك الأئمة المذكورين في السؤال وسابقتهم، وأنهم من جملة المرادين بقوله</w:t>
      </w:r>
      <w:r w:rsidR="000636C2">
        <w:rPr>
          <w:spacing w:val="6"/>
          <w:rtl/>
        </w:rPr>
        <w:t xml:space="preserve"> </w:t>
      </w:r>
      <w:r w:rsidRPr="005675B2">
        <w:rPr>
          <w:bCs/>
          <w:spacing w:val="6"/>
          <w:rtl/>
          <w:lang w:bidi="ar-KW"/>
        </w:rPr>
        <w:t>" يحمل هذا العلم من كل خلف عدوله ينفون عنه تحريف</w:t>
      </w:r>
      <w:r w:rsidRPr="005675B2">
        <w:rPr>
          <w:spacing w:val="6"/>
          <w:rtl/>
          <w:lang w:bidi="ar-KW"/>
        </w:rPr>
        <w:t xml:space="preserve"> </w:t>
      </w:r>
      <w:r w:rsidRPr="005675B2">
        <w:rPr>
          <w:bCs/>
          <w:spacing w:val="6"/>
          <w:rtl/>
          <w:lang w:bidi="ar-KW"/>
        </w:rPr>
        <w:t>الغالين وانتحال المبطلين وتأويل الجاهلين "</w:t>
      </w:r>
      <w:r w:rsidRPr="005675B2">
        <w:rPr>
          <w:spacing w:val="6"/>
          <w:rtl/>
          <w:lang w:bidi="ar-KW"/>
        </w:rPr>
        <w:t xml:space="preserve"> فلا يعتقد ضلالتهم إلا أحمق جاهل أو مبتدع زائغ عن الحق، ولا يسبهم إلا فاسق، فينبغي تبصيـر الجاهل وتأديب الفاسق واستتابة المبتدع</w:t>
      </w:r>
      <w:r w:rsidR="000636C2">
        <w:rPr>
          <w:spacing w:val="6"/>
          <w:rtl/>
          <w:lang w:bidi="ar-KW"/>
        </w:rPr>
        <w:t>)</w:t>
      </w:r>
      <w:r w:rsidRPr="005675B2">
        <w:rPr>
          <w:spacing w:val="6"/>
          <w:rtl/>
          <w:lang w:bidi="ar-KW"/>
        </w:rPr>
        <w:t xml:space="preserve"> اهـ</w:t>
      </w:r>
      <w:r w:rsidR="000636C2">
        <w:rPr>
          <w:spacing w:val="6"/>
          <w:rtl/>
          <w:lang w:bidi="ar-KW"/>
        </w:rPr>
        <w:t>،</w:t>
      </w:r>
      <w:r w:rsidRPr="005675B2">
        <w:rPr>
          <w:spacing w:val="6"/>
          <w:rtl/>
          <w:lang w:val="uz-Latn-UZ" w:bidi="ar-KW"/>
        </w:rPr>
        <w:t xml:space="preserve"> </w:t>
      </w:r>
      <w:r w:rsidR="000636C2">
        <w:rPr>
          <w:spacing w:val="6"/>
          <w:rtl/>
          <w:lang w:val="uz-Latn-UZ"/>
        </w:rPr>
        <w:t>(</w:t>
      </w:r>
      <w:r w:rsidRPr="005675B2">
        <w:rPr>
          <w:spacing w:val="6"/>
          <w:rtl/>
          <w:lang w:val="uz-Latn-UZ"/>
        </w:rPr>
        <w:t>الفتاوى الحديثية ص / 205</w:t>
      </w:r>
      <w:r w:rsidR="000636C2">
        <w:rPr>
          <w:spacing w:val="6"/>
          <w:rtl/>
          <w:lang w:val="uz-Latn-UZ"/>
        </w:rPr>
        <w:t>)</w:t>
      </w:r>
      <w:r w:rsidR="000636C2">
        <w:rPr>
          <w:spacing w:val="6"/>
          <w:rtl/>
        </w:rPr>
        <w:t>،</w:t>
      </w:r>
      <w:r w:rsidRPr="005675B2">
        <w:rPr>
          <w:spacing w:val="6"/>
          <w:rtl/>
        </w:rPr>
        <w:t xml:space="preserve"> </w:t>
      </w:r>
      <w:r w:rsidRPr="005675B2">
        <w:rPr>
          <w:rtl/>
        </w:rPr>
        <w:t>ونقل الحافظ ابن عساكر رحمه الله فتوى للإمام محمد بن علي الدامغاني وافقه عليها الإمام أبو إسحاق الشيرازي إبراهيم بن علي الفيروزباذي والإمام أبو بكر الشاشي في فضل الأشاعرة، ووجوب معاقبة منتقصهم والمُعرِّض بهم</w:t>
      </w:r>
      <w:r w:rsidR="000636C2">
        <w:rPr>
          <w:rtl/>
        </w:rPr>
        <w:t xml:space="preserve">، </w:t>
      </w:r>
      <w:r w:rsidRPr="005675B2">
        <w:rPr>
          <w:rtl/>
        </w:rPr>
        <w:t xml:space="preserve">وهذا نص الاستفتاء والفتوى على ما جاء في كتاب " تبيين كذب المفتري " </w:t>
      </w:r>
      <w:r w:rsidR="000636C2">
        <w:rPr>
          <w:rtl/>
          <w:lang w:val="uz-Latn-UZ"/>
        </w:rPr>
        <w:t>(</w:t>
      </w:r>
      <w:r w:rsidRPr="005675B2">
        <w:rPr>
          <w:rtl/>
          <w:lang w:val="uz-Latn-UZ"/>
        </w:rPr>
        <w:t>ص / 332</w:t>
      </w:r>
      <w:r w:rsidR="000636C2">
        <w:rPr>
          <w:rtl/>
          <w:lang w:val="uz-Latn-UZ"/>
        </w:rPr>
        <w:t>):</w:t>
      </w:r>
      <w:r w:rsidRPr="005675B2">
        <w:rPr>
          <w:rtl/>
          <w:lang w:bidi="ar-KW"/>
        </w:rPr>
        <w:t xml:space="preserve"> </w:t>
      </w:r>
      <w:r w:rsidR="000636C2">
        <w:rPr>
          <w:rtl/>
          <w:lang w:bidi="ar-KW"/>
        </w:rPr>
        <w:t>(</w:t>
      </w:r>
      <w:r w:rsidRPr="005675B2">
        <w:rPr>
          <w:rtl/>
          <w:lang w:bidi="ar-KW"/>
        </w:rPr>
        <w:t>بسم الله الرحمن الرحيم</w:t>
      </w:r>
      <w:r w:rsidR="000636C2">
        <w:rPr>
          <w:rtl/>
          <w:lang w:bidi="ar-KW"/>
        </w:rPr>
        <w:t>،</w:t>
      </w:r>
      <w:r w:rsidRPr="005675B2">
        <w:rPr>
          <w:rtl/>
          <w:lang w:bidi="ar-KW"/>
        </w:rPr>
        <w:t xml:space="preserve"> ما قول السادة الأجلة الأئمة الفقهاء أحسن الله توفيقهم ورضي عنهم في قوم اجتمعوا على لعن فرقة الأشعـري وتكفيرهم، ما الذي يجب عليهم في هذا القول</w:t>
      </w:r>
      <w:r w:rsidR="000636C2">
        <w:rPr>
          <w:rtl/>
          <w:lang w:bidi="ar-KW"/>
        </w:rPr>
        <w:t>؟</w:t>
      </w:r>
      <w:r w:rsidRPr="005675B2">
        <w:rPr>
          <w:rtl/>
          <w:lang w:bidi="ar-KW"/>
        </w:rPr>
        <w:t xml:space="preserve"> أفتونا في ذلك منعّمين مثابين إن شاء الله</w:t>
      </w:r>
      <w:r w:rsidR="000636C2">
        <w:rPr>
          <w:rtl/>
          <w:lang w:bidi="ar-KW"/>
        </w:rPr>
        <w:t>،</w:t>
      </w:r>
      <w:r w:rsidRPr="005675B2">
        <w:rPr>
          <w:rtl/>
          <w:lang w:bidi="ar-KW"/>
        </w:rPr>
        <w:t xml:space="preserve"> </w:t>
      </w:r>
      <w:r w:rsidR="000636C2">
        <w:rPr>
          <w:rtl/>
        </w:rPr>
        <w:t>[</w:t>
      </w:r>
      <w:r>
        <w:rPr>
          <w:rtl/>
        </w:rPr>
        <w:t>الجواب</w:t>
      </w:r>
      <w:r w:rsidR="000636C2">
        <w:rPr>
          <w:rtl/>
        </w:rPr>
        <w:t xml:space="preserve">] </w:t>
      </w:r>
      <w:r w:rsidRPr="005675B2">
        <w:rPr>
          <w:rtl/>
        </w:rPr>
        <w:t>وبالله التوفيق</w:t>
      </w:r>
      <w:r w:rsidR="000636C2">
        <w:rPr>
          <w:rtl/>
        </w:rPr>
        <w:t>:</w:t>
      </w:r>
      <w:r w:rsidRPr="005675B2">
        <w:rPr>
          <w:rtl/>
        </w:rPr>
        <w:t xml:space="preserve"> أن كل من أقدم على لعن فرقة من المسلمين وتكفيرهم فقد ابتدع وارتكب ما لا يجوز الإقدام عليه، وعلى الناظر في الأمور أعزّ الله أنصاره الإنكار عليه وتأديبه بما يرتدع هو وأمثاله عن ارتكاب مثله</w:t>
      </w:r>
      <w:r w:rsidR="000636C2">
        <w:rPr>
          <w:rtl/>
        </w:rPr>
        <w:t>،</w:t>
      </w:r>
      <w:r w:rsidRPr="005675B2">
        <w:rPr>
          <w:rtl/>
        </w:rPr>
        <w:t xml:space="preserve"> </w:t>
      </w:r>
      <w:r w:rsidRPr="005675B2">
        <w:rPr>
          <w:bCs/>
          <w:rtl/>
        </w:rPr>
        <w:t>كتب محمد بن على الدامغاني</w:t>
      </w:r>
      <w:r w:rsidR="000636C2">
        <w:rPr>
          <w:rtl/>
        </w:rPr>
        <w:t>،</w:t>
      </w:r>
      <w:r w:rsidRPr="005675B2">
        <w:rPr>
          <w:rtl/>
        </w:rPr>
        <w:t xml:space="preserve"> وبعده</w:t>
      </w:r>
      <w:r w:rsidR="000636C2">
        <w:rPr>
          <w:rtl/>
        </w:rPr>
        <w:t>:</w:t>
      </w:r>
      <w:r w:rsidRPr="005675B2">
        <w:rPr>
          <w:rFonts w:hint="cs"/>
          <w:rtl/>
        </w:rPr>
        <w:t xml:space="preserve"> </w:t>
      </w:r>
      <w:r w:rsidR="000636C2">
        <w:rPr>
          <w:rtl/>
        </w:rPr>
        <w:t>[</w:t>
      </w:r>
      <w:r>
        <w:rPr>
          <w:rtl/>
        </w:rPr>
        <w:t>الجواب</w:t>
      </w:r>
      <w:r w:rsidR="000636C2">
        <w:rPr>
          <w:rtl/>
        </w:rPr>
        <w:t xml:space="preserve">] </w:t>
      </w:r>
      <w:r w:rsidRPr="005675B2">
        <w:rPr>
          <w:rtl/>
        </w:rPr>
        <w:t>وبالله التوفيق</w:t>
      </w:r>
      <w:r w:rsidR="000636C2">
        <w:rPr>
          <w:rtl/>
        </w:rPr>
        <w:t>:</w:t>
      </w:r>
      <w:r w:rsidRPr="005675B2">
        <w:rPr>
          <w:rtl/>
        </w:rPr>
        <w:t xml:space="preserve"> إن الأشعرية أعيان السنة ونصّار الشريعة، انتصبوا للرّد على المبتدعة ..</w:t>
      </w:r>
      <w:r w:rsidR="000636C2">
        <w:rPr>
          <w:rtl/>
        </w:rPr>
        <w:t>،</w:t>
      </w:r>
      <w:r w:rsidRPr="005675B2">
        <w:rPr>
          <w:rtl/>
        </w:rPr>
        <w:t xml:space="preserve"> فمن طعن فيهم فقد طعن على أهل السنة، وإذا رفع أمر من يفعل ذلك إلى الناظر في أمر المسلمين وجب عليه تأديبه بما يرتدع به كل أحد</w:t>
      </w:r>
      <w:r w:rsidR="000636C2">
        <w:rPr>
          <w:rtl/>
        </w:rPr>
        <w:t>،</w:t>
      </w:r>
      <w:r w:rsidRPr="005675B2">
        <w:rPr>
          <w:rtl/>
        </w:rPr>
        <w:t xml:space="preserve"> </w:t>
      </w:r>
      <w:r w:rsidRPr="005675B2">
        <w:rPr>
          <w:bCs/>
          <w:rtl/>
        </w:rPr>
        <w:t>كتبه إبراهيم بن على الفيروز باذي - أبو إسحاق الشيرازي -</w:t>
      </w:r>
      <w:r w:rsidR="000636C2">
        <w:rPr>
          <w:bCs/>
          <w:rtl/>
        </w:rPr>
        <w:t>،</w:t>
      </w:r>
      <w:r w:rsidRPr="005675B2">
        <w:rPr>
          <w:bCs/>
          <w:rtl/>
        </w:rPr>
        <w:t xml:space="preserve"> </w:t>
      </w:r>
      <w:r w:rsidRPr="005675B2">
        <w:rPr>
          <w:rtl/>
        </w:rPr>
        <w:t>وبعده</w:t>
      </w:r>
      <w:r w:rsidR="000636C2">
        <w:rPr>
          <w:rtl/>
        </w:rPr>
        <w:t>:</w:t>
      </w:r>
      <w:r w:rsidRPr="005675B2">
        <w:rPr>
          <w:rFonts w:hint="cs"/>
          <w:rtl/>
        </w:rPr>
        <w:t xml:space="preserve"> </w:t>
      </w:r>
      <w:r w:rsidRPr="005675B2">
        <w:rPr>
          <w:rtl/>
        </w:rPr>
        <w:t>جوابي مثله</w:t>
      </w:r>
      <w:r w:rsidR="000636C2">
        <w:rPr>
          <w:rtl/>
        </w:rPr>
        <w:t>،</w:t>
      </w:r>
      <w:r w:rsidRPr="005675B2">
        <w:rPr>
          <w:rtl/>
        </w:rPr>
        <w:t xml:space="preserve"> </w:t>
      </w:r>
      <w:r w:rsidRPr="005675B2">
        <w:rPr>
          <w:bCs/>
          <w:rtl/>
        </w:rPr>
        <w:t>كتبه محمد بن أحمد الشاشي</w:t>
      </w:r>
      <w:r w:rsidR="000636C2">
        <w:rPr>
          <w:rtl/>
        </w:rPr>
        <w:t>)،</w:t>
      </w:r>
      <w:r w:rsidRPr="005675B2">
        <w:rPr>
          <w:rtl/>
        </w:rPr>
        <w:t xml:space="preserve"> قال الحافظ ابن عساكر</w:t>
      </w:r>
      <w:r w:rsidR="000636C2">
        <w:rPr>
          <w:rtl/>
        </w:rPr>
        <w:t>:</w:t>
      </w:r>
      <w:r w:rsidRPr="005675B2">
        <w:rPr>
          <w:rtl/>
        </w:rPr>
        <w:t xml:space="preserve"> </w:t>
      </w:r>
      <w:r w:rsidR="000636C2">
        <w:rPr>
          <w:rtl/>
        </w:rPr>
        <w:t>(</w:t>
      </w:r>
      <w:r w:rsidRPr="005675B2">
        <w:rPr>
          <w:rtl/>
        </w:rPr>
        <w:t>فهذه أجوبة هؤلاء الأئمة الذين كانوا في عصرهم علماء الأمة، فأما قاضي القضاة أبو عبد الله الحنيفي الدامغاني فكان يقال له في عصره أبو حنيفة الثاني، وأما الشيخ الإمام أبو إسحاق فقد طبّق ذكر فضله الآفاق، وأما الشيخ الإمام أبو بكر الشاشي فلا يخفى محله على مُنْتهٍ في العلم ولا ناشي، فمن وفقه الله للسداد وعصمه من الشقاق والعناد انتهى إلى ما ذكروا واكتفى بما عنه أخـبروا، والله يعصمنـا من قـول الـزور والبهتان</w:t>
      </w:r>
      <w:r w:rsidR="000636C2">
        <w:rPr>
          <w:rtl/>
        </w:rPr>
        <w:t>)</w:t>
      </w:r>
      <w:r w:rsidRPr="005675B2">
        <w:rPr>
          <w:rtl/>
        </w:rPr>
        <w:t xml:space="preserve"> اهـ</w:t>
      </w:r>
      <w:r w:rsidR="000636C2">
        <w:rPr>
          <w:rtl/>
        </w:rPr>
        <w:t>،</w:t>
      </w:r>
      <w:r w:rsidRPr="005675B2">
        <w:rPr>
          <w:rtl/>
        </w:rPr>
        <w:t xml:space="preserve"> وقـال العلامة السيد محمد بن علوي المـالكي الحسيـني رحمه الله في الأشاعرة والماتريدية </w:t>
      </w:r>
      <w:r w:rsidR="000636C2">
        <w:rPr>
          <w:rtl/>
          <w:lang w:val="uz-Latn-UZ"/>
        </w:rPr>
        <w:t>(</w:t>
      </w:r>
      <w:r w:rsidRPr="005675B2">
        <w:rPr>
          <w:rtl/>
          <w:lang w:val="uz-Latn-UZ"/>
        </w:rPr>
        <w:t>مفاهيم يجب أن تصحح ص / 111</w:t>
      </w:r>
      <w:r w:rsidR="000636C2">
        <w:rPr>
          <w:rtl/>
          <w:lang w:val="uz-Latn-UZ"/>
        </w:rPr>
        <w:t>)</w:t>
      </w:r>
      <w:r w:rsidR="000636C2">
        <w:rPr>
          <w:rtl/>
        </w:rPr>
        <w:t>:</w:t>
      </w:r>
      <w:r w:rsidRPr="005675B2">
        <w:rPr>
          <w:rFonts w:hint="cs"/>
          <w:rtl/>
          <w:lang w:bidi="ar-KW"/>
        </w:rPr>
        <w:t xml:space="preserve"> </w:t>
      </w:r>
      <w:r w:rsidR="000636C2">
        <w:rPr>
          <w:rtl/>
        </w:rPr>
        <w:t>(</w:t>
      </w:r>
      <w:r w:rsidRPr="005675B2">
        <w:rPr>
          <w:rtl/>
        </w:rPr>
        <w:t>هم أئمة وأعلام الهدى من علماء المسلمين الذين ملأ علمهم مشارق الأرض ومغاربها، وأطبق الناس على فضلهم وعلمهم ودينهم، هم جهابذة علماء أهل السنة وأعلام علمائها الأفاضل الذين وقفوا في وجه طغيان المعتزلة .. إنهم طوائف المحدثين والفقهاء والمفسرين من الأئمة الأعلام كشيخ الإسلام أحمد بن حجر العسقلاني شيخ المحدثين بلا مراء .. أشعري العقيدة، وشيخ علماء أهل السنة الإمام النووي .. أشعري العقيدة، وشيخ المفسرين الإمام القرطبي .. أشعري العقيدة، وشيخ الإسلام ابن حجر الهيتمي .. أشعري العقيدة، وشيخ الفقه والحديث الإمام الحجة الثبت زكريا الأنصاري أشعري العقيدة، والإمام أبو بكر الباقلاني والإمام النسفي والإمام الشربيني وأبو حيان النحوي .. والإمام ابن جزي .. الخ كل هؤلاء من أئمة الأشاعرة .. وأي خير يرجى فينا إن رمينا علماءنا الأعلام وسلفنا الصالحين بالزيغ والضلال</w:t>
      </w:r>
      <w:r w:rsidR="000636C2">
        <w:rPr>
          <w:rtl/>
        </w:rPr>
        <w:t>؟</w:t>
      </w:r>
      <w:r w:rsidRPr="005675B2">
        <w:rPr>
          <w:rtl/>
        </w:rPr>
        <w:t xml:space="preserve"> وكيف يفتح الله علينا لنستفيد من علومهم إذا كنا نعتقد فيهم الانحراف والزيغ عن طريق الإسلام</w:t>
      </w:r>
      <w:r w:rsidR="000636C2">
        <w:rPr>
          <w:rtl/>
        </w:rPr>
        <w:t>؟)</w:t>
      </w:r>
      <w:r w:rsidRPr="005675B2">
        <w:rPr>
          <w:rtl/>
        </w:rPr>
        <w:t xml:space="preserve"> اهـ</w:t>
      </w:r>
      <w:r w:rsidR="000636C2">
        <w:rPr>
          <w:rtl/>
        </w:rPr>
        <w:t>،</w:t>
      </w:r>
      <w:r w:rsidRPr="005675B2">
        <w:rPr>
          <w:rtl/>
          <w:lang w:bidi="ar-KW"/>
        </w:rPr>
        <w:t xml:space="preserve"> </w:t>
      </w:r>
    </w:p>
    <w:p w14:paraId="481ED080" w14:textId="2F3E74BA" w:rsidR="009C32A0" w:rsidRPr="005675B2" w:rsidRDefault="009C32A0" w:rsidP="000636C2">
      <w:pPr>
        <w:spacing w:after="240"/>
        <w:rPr>
          <w:b/>
          <w:bCs/>
          <w:rtl/>
          <w:lang w:bidi="ar-KW"/>
        </w:rPr>
      </w:pPr>
      <w:r w:rsidRPr="005675B2">
        <w:rPr>
          <w:bCs/>
          <w:rtl/>
          <w:lang w:bidi="ar-KW"/>
        </w:rPr>
        <w:t>فتوى الهيئة الشرعية للإفتاء في دبي</w:t>
      </w:r>
      <w:r w:rsidR="000636C2">
        <w:rPr>
          <w:rFonts w:hint="cs"/>
          <w:bCs/>
          <w:rtl/>
          <w:lang w:bidi="ar-KW"/>
        </w:rPr>
        <w:t xml:space="preserve">: </w:t>
      </w:r>
      <w:r w:rsidRPr="005675B2">
        <w:rPr>
          <w:rtl/>
          <w:lang w:bidi="ar-KW"/>
        </w:rPr>
        <w:t>هذا جواب سؤال كنا قد بعثنا به إلى الهيئة الشرعية للإفتاء في دبي – الإمارات عن طريق موقعهم الألكترونى</w:t>
      </w:r>
      <w:r w:rsidR="000636C2">
        <w:rPr>
          <w:rFonts w:hint="cs"/>
          <w:rtl/>
          <w:lang w:bidi="ar-KW"/>
        </w:rPr>
        <w:t>،</w:t>
      </w:r>
      <w:r w:rsidRPr="005675B2">
        <w:rPr>
          <w:rFonts w:hint="cs"/>
          <w:rtl/>
          <w:lang w:bidi="ar-KW"/>
        </w:rPr>
        <w:t xml:space="preserve"> </w:t>
      </w:r>
      <w:r w:rsidRPr="005675B2">
        <w:rPr>
          <w:bCs/>
          <w:rtl/>
          <w:lang w:bidi="ar-KW"/>
        </w:rPr>
        <w:t>بسم الله الرحمن الرحيم</w:t>
      </w:r>
      <w:r w:rsidR="000636C2">
        <w:rPr>
          <w:rFonts w:hint="cs"/>
          <w:bCs/>
          <w:rtl/>
          <w:lang w:bidi="ar-KW"/>
        </w:rPr>
        <w:t xml:space="preserve">: </w:t>
      </w:r>
      <w:r w:rsidRPr="005675B2">
        <w:rPr>
          <w:rtl/>
          <w:lang w:bidi="ar-KW"/>
        </w:rPr>
        <w:t>السلام عليكم ورحمة الله وبركاته</w:t>
      </w:r>
      <w:r w:rsidR="000636C2">
        <w:rPr>
          <w:rFonts w:hint="cs"/>
          <w:rtl/>
          <w:lang w:bidi="ar-KW"/>
        </w:rPr>
        <w:t>،</w:t>
      </w:r>
      <w:r w:rsidRPr="005675B2">
        <w:rPr>
          <w:rFonts w:hint="cs"/>
          <w:rtl/>
          <w:lang w:bidi="ar-KW"/>
        </w:rPr>
        <w:t xml:space="preserve"> </w:t>
      </w:r>
      <w:r w:rsidRPr="005675B2">
        <w:rPr>
          <w:rtl/>
          <w:lang w:bidi="ar-KW"/>
        </w:rPr>
        <w:t>شكراً على اتصالكم بنا</w:t>
      </w:r>
      <w:r w:rsidR="000636C2">
        <w:rPr>
          <w:rtl/>
          <w:lang w:bidi="ar-KW"/>
        </w:rPr>
        <w:t>،</w:t>
      </w:r>
      <w:r w:rsidRPr="005675B2">
        <w:rPr>
          <w:rtl/>
          <w:lang w:bidi="ar-KW"/>
        </w:rPr>
        <w:t xml:space="preserve"> وهذا ردٌّ على رسالتكم التي وردت إلينا</w:t>
      </w:r>
      <w:r w:rsidR="000636C2">
        <w:rPr>
          <w:rFonts w:hint="cs"/>
          <w:rtl/>
          <w:lang w:bidi="ar-KW"/>
        </w:rPr>
        <w:t>،</w:t>
      </w:r>
      <w:r w:rsidRPr="005675B2">
        <w:rPr>
          <w:rFonts w:hint="cs"/>
          <w:rtl/>
          <w:lang w:bidi="ar-KW"/>
        </w:rPr>
        <w:t xml:space="preserve"> </w:t>
      </w:r>
      <w:r w:rsidRPr="005675B2">
        <w:rPr>
          <w:rtl/>
          <w:lang w:bidi="ar-KW"/>
        </w:rPr>
        <w:t>السؤال</w:t>
      </w:r>
      <w:r w:rsidR="000636C2">
        <w:rPr>
          <w:rtl/>
          <w:lang w:bidi="ar-KW"/>
        </w:rPr>
        <w:t>:</w:t>
      </w:r>
      <w:r w:rsidRPr="005675B2">
        <w:rPr>
          <w:rFonts w:hint="cs"/>
          <w:rtl/>
          <w:lang w:bidi="ar-KW"/>
        </w:rPr>
        <w:t xml:space="preserve"> </w:t>
      </w:r>
      <w:r w:rsidRPr="005675B2">
        <w:rPr>
          <w:rtl/>
          <w:lang w:bidi="ar-KW"/>
        </w:rPr>
        <w:t>إخواني الأعزاء</w:t>
      </w:r>
      <w:r w:rsidRPr="005675B2">
        <w:rPr>
          <w:rFonts w:hint="cs"/>
          <w:rtl/>
          <w:lang w:bidi="ar-KW"/>
        </w:rPr>
        <w:t xml:space="preserve"> </w:t>
      </w:r>
      <w:r w:rsidRPr="005675B2">
        <w:rPr>
          <w:rtl/>
          <w:lang w:bidi="ar-KW"/>
        </w:rPr>
        <w:t>السلام عليكم ورحمة الله وبركاته</w:t>
      </w:r>
      <w:r w:rsidR="000636C2">
        <w:rPr>
          <w:rFonts w:hint="cs"/>
          <w:rtl/>
          <w:lang w:bidi="ar-KW"/>
        </w:rPr>
        <w:t>:</w:t>
      </w:r>
      <w:r w:rsidRPr="005675B2">
        <w:rPr>
          <w:rFonts w:hint="cs"/>
          <w:rtl/>
          <w:lang w:bidi="ar-KW"/>
        </w:rPr>
        <w:t xml:space="preserve"> </w:t>
      </w:r>
      <w:r w:rsidRPr="005675B2">
        <w:rPr>
          <w:rtl/>
          <w:lang w:bidi="ar-KW"/>
        </w:rPr>
        <w:t>من هم الأشاعرة</w:t>
      </w:r>
      <w:r w:rsidR="000636C2">
        <w:rPr>
          <w:rtl/>
          <w:lang w:bidi="ar-KW"/>
        </w:rPr>
        <w:t>؟</w:t>
      </w:r>
      <w:r w:rsidRPr="005675B2">
        <w:rPr>
          <w:rtl/>
          <w:lang w:bidi="ar-KW"/>
        </w:rPr>
        <w:t xml:space="preserve"> وهل هم من أهل السنة والجماعة</w:t>
      </w:r>
      <w:r w:rsidR="000636C2">
        <w:rPr>
          <w:rtl/>
          <w:lang w:bidi="ar-KW"/>
        </w:rPr>
        <w:t>؟</w:t>
      </w:r>
      <w:r w:rsidRPr="005675B2">
        <w:rPr>
          <w:rtl/>
          <w:lang w:bidi="ar-KW"/>
        </w:rPr>
        <w:t xml:space="preserve"> وما حكم من ينتقصهم ويبدِّعهم ويضلِّلهم</w:t>
      </w:r>
      <w:r w:rsidR="000636C2">
        <w:rPr>
          <w:rtl/>
          <w:lang w:bidi="ar-KW"/>
        </w:rPr>
        <w:t>؟</w:t>
      </w:r>
      <w:r w:rsidRPr="005675B2">
        <w:rPr>
          <w:rFonts w:hint="cs"/>
          <w:rtl/>
          <w:lang w:bidi="ar-KW"/>
        </w:rPr>
        <w:t xml:space="preserve"> </w:t>
      </w:r>
      <w:r w:rsidR="000636C2">
        <w:rPr>
          <w:rtl/>
          <w:lang w:bidi="ar-KW"/>
        </w:rPr>
        <w:t>[</w:t>
      </w:r>
      <w:r>
        <w:rPr>
          <w:rtl/>
          <w:lang w:bidi="ar-KW"/>
        </w:rPr>
        <w:t>الجواب</w:t>
      </w:r>
      <w:r w:rsidR="000636C2">
        <w:rPr>
          <w:rtl/>
          <w:lang w:bidi="ar-KW"/>
        </w:rPr>
        <w:t xml:space="preserve">] </w:t>
      </w:r>
      <w:r w:rsidRPr="005675B2">
        <w:rPr>
          <w:rtl/>
          <w:lang w:bidi="ar-KW"/>
        </w:rPr>
        <w:t>وبالله التوفيق</w:t>
      </w:r>
      <w:r w:rsidR="000636C2">
        <w:rPr>
          <w:rtl/>
          <w:lang w:bidi="ar-KW"/>
        </w:rPr>
        <w:t>:</w:t>
      </w:r>
      <w:r w:rsidR="000636C2">
        <w:rPr>
          <w:rFonts w:hint="cs"/>
          <w:rtl/>
          <w:lang w:bidi="ar-KW"/>
        </w:rPr>
        <w:t xml:space="preserve"> </w:t>
      </w:r>
      <w:r w:rsidRPr="005675B2">
        <w:rPr>
          <w:rtl/>
          <w:lang w:bidi="ar-KW"/>
        </w:rPr>
        <w:t>الأشاعرة هم من أهل السنة والجماعة من أتباع أبى الحسن الأشعرى</w:t>
      </w:r>
      <w:r w:rsidR="000636C2">
        <w:rPr>
          <w:rtl/>
          <w:lang w:bidi="ar-KW"/>
        </w:rPr>
        <w:t>،</w:t>
      </w:r>
      <w:r w:rsidRPr="005675B2">
        <w:rPr>
          <w:rtl/>
          <w:lang w:bidi="ar-KW"/>
        </w:rPr>
        <w:t xml:space="preserve"> الذي سار على منهج الصحابة والتابعين وتابعيهم</w:t>
      </w:r>
      <w:r w:rsidR="000636C2">
        <w:rPr>
          <w:rtl/>
          <w:lang w:bidi="ar-KW"/>
        </w:rPr>
        <w:t>،</w:t>
      </w:r>
      <w:r w:rsidRPr="005675B2">
        <w:rPr>
          <w:rtl/>
          <w:lang w:bidi="ar-KW"/>
        </w:rPr>
        <w:t xml:space="preserve"> أقوالهم المنسوبة إلى السلف والأقوال المنسوبة إلى الخلف</w:t>
      </w:r>
      <w:r w:rsidR="000636C2">
        <w:rPr>
          <w:rtl/>
          <w:lang w:bidi="ar-KW"/>
        </w:rPr>
        <w:t>،</w:t>
      </w:r>
      <w:r w:rsidRPr="005675B2">
        <w:rPr>
          <w:rtl/>
          <w:lang w:bidi="ar-KW"/>
        </w:rPr>
        <w:t xml:space="preserve"> وكل ما ذكر مستند إلى الأدلة والنصوص</w:t>
      </w:r>
      <w:r w:rsidR="000636C2">
        <w:rPr>
          <w:rtl/>
          <w:lang w:bidi="ar-KW"/>
        </w:rPr>
        <w:t>،</w:t>
      </w:r>
      <w:r w:rsidRPr="005675B2">
        <w:rPr>
          <w:rtl/>
          <w:lang w:bidi="ar-KW"/>
        </w:rPr>
        <w:t xml:space="preserve"> سواء إمرار الصفات على ظاهرها أو تأويلها بما يتفق مع الآثار واللغة</w:t>
      </w:r>
      <w:r w:rsidR="000636C2">
        <w:rPr>
          <w:rtl/>
          <w:lang w:bidi="ar-KW"/>
        </w:rPr>
        <w:t>،</w:t>
      </w:r>
      <w:r w:rsidRPr="005675B2">
        <w:rPr>
          <w:rtl/>
          <w:lang w:bidi="ar-KW"/>
        </w:rPr>
        <w:t xml:space="preserve"> فلا يجوز انتقاصهم ولا تبديعهم ولا تضليلهم</w:t>
      </w:r>
      <w:r w:rsidR="000636C2">
        <w:rPr>
          <w:rtl/>
          <w:lang w:bidi="ar-KW"/>
        </w:rPr>
        <w:t>،</w:t>
      </w:r>
      <w:r w:rsidRPr="005675B2">
        <w:rPr>
          <w:rtl/>
          <w:lang w:bidi="ar-KW"/>
        </w:rPr>
        <w:t xml:space="preserve"> ومن انتقصهم فهو الناقص</w:t>
      </w:r>
      <w:r w:rsidR="000636C2">
        <w:rPr>
          <w:rtl/>
          <w:lang w:bidi="ar-KW"/>
        </w:rPr>
        <w:t>،</w:t>
      </w:r>
      <w:r w:rsidRPr="005675B2">
        <w:rPr>
          <w:rtl/>
          <w:lang w:bidi="ar-KW"/>
        </w:rPr>
        <w:t xml:space="preserve"> ومن بدّعهم فهو المبتدع</w:t>
      </w:r>
      <w:r w:rsidR="000636C2">
        <w:rPr>
          <w:rtl/>
          <w:lang w:bidi="ar-KW"/>
        </w:rPr>
        <w:t>،</w:t>
      </w:r>
      <w:r w:rsidRPr="005675B2">
        <w:rPr>
          <w:rtl/>
          <w:lang w:bidi="ar-KW"/>
        </w:rPr>
        <w:t xml:space="preserve"> ومن ضلّلهم فهو الضال</w:t>
      </w:r>
      <w:r w:rsidR="000636C2">
        <w:rPr>
          <w:rtl/>
          <w:lang w:bidi="ar-KW"/>
        </w:rPr>
        <w:t>،</w:t>
      </w:r>
      <w:r w:rsidRPr="005675B2">
        <w:rPr>
          <w:rtl/>
          <w:lang w:bidi="ar-KW"/>
        </w:rPr>
        <w:t xml:space="preserve"> لأن الأمة من خلال قرونها المتتالية تلقَّت أقوالهم بالقَبول واجتهاداتهم بالرضا والإنصاف</w:t>
      </w:r>
      <w:r w:rsidR="000636C2">
        <w:rPr>
          <w:rtl/>
          <w:lang w:bidi="ar-KW"/>
        </w:rPr>
        <w:t>،</w:t>
      </w:r>
      <w:r w:rsidRPr="005675B2">
        <w:rPr>
          <w:rtl/>
          <w:lang w:bidi="ar-KW"/>
        </w:rPr>
        <w:t xml:space="preserve"> والله ولىُّ التوفيق</w:t>
      </w:r>
      <w:r w:rsidR="000636C2">
        <w:rPr>
          <w:rFonts w:hint="cs"/>
          <w:rtl/>
          <w:lang w:bidi="ar-KW"/>
        </w:rPr>
        <w:t>،</w:t>
      </w:r>
      <w:r w:rsidRPr="005675B2">
        <w:rPr>
          <w:rFonts w:hint="cs"/>
          <w:rtl/>
          <w:lang w:bidi="ar-KW"/>
        </w:rPr>
        <w:t xml:space="preserve"> </w:t>
      </w:r>
    </w:p>
    <w:p w14:paraId="61318B13" w14:textId="5D191F61" w:rsidR="009C32A0" w:rsidRPr="005675B2" w:rsidRDefault="009C32A0" w:rsidP="000636C2">
      <w:pPr>
        <w:spacing w:after="240"/>
        <w:rPr>
          <w:rtl/>
          <w:lang w:bidi="ar-KW"/>
        </w:rPr>
      </w:pPr>
      <w:r w:rsidRPr="005675B2">
        <w:rPr>
          <w:bCs/>
          <w:rtl/>
          <w:lang w:bidi="ar-KW"/>
        </w:rPr>
        <w:t>فتوى أ</w:t>
      </w:r>
      <w:r w:rsidR="000636C2">
        <w:rPr>
          <w:bCs/>
          <w:rtl/>
          <w:lang w:bidi="ar-KW"/>
        </w:rPr>
        <w:t>،</w:t>
      </w:r>
      <w:r w:rsidRPr="005675B2">
        <w:rPr>
          <w:bCs/>
          <w:rtl/>
          <w:lang w:bidi="ar-KW"/>
        </w:rPr>
        <w:t xml:space="preserve"> د</w:t>
      </w:r>
      <w:r w:rsidR="000636C2">
        <w:rPr>
          <w:bCs/>
          <w:rtl/>
          <w:lang w:bidi="ar-KW"/>
        </w:rPr>
        <w:t>،</w:t>
      </w:r>
      <w:r w:rsidRPr="005675B2">
        <w:rPr>
          <w:bCs/>
          <w:rtl/>
          <w:lang w:bidi="ar-KW"/>
        </w:rPr>
        <w:t xml:space="preserve"> أحمد الحجى الكردي</w:t>
      </w:r>
      <w:r w:rsidR="000636C2">
        <w:rPr>
          <w:rFonts w:hint="cs"/>
          <w:bCs/>
          <w:rtl/>
          <w:lang w:bidi="ar-KW"/>
        </w:rPr>
        <w:t xml:space="preserve">: </w:t>
      </w:r>
      <w:r w:rsidRPr="005675B2">
        <w:rPr>
          <w:rtl/>
          <w:lang w:bidi="ar-KW"/>
        </w:rPr>
        <w:t>ورد السؤال الآتي على الشيخ في موقعه في الشبكة الالكترونية وكان جوابه الآتي بعد , وهذا نص السؤال</w:t>
      </w:r>
      <w:r w:rsidR="000636C2">
        <w:rPr>
          <w:rtl/>
          <w:lang w:bidi="ar-KW"/>
        </w:rPr>
        <w:t>:</w:t>
      </w:r>
      <w:r w:rsidRPr="005675B2">
        <w:rPr>
          <w:rFonts w:hint="cs"/>
          <w:rtl/>
          <w:lang w:bidi="ar-KW"/>
        </w:rPr>
        <w:t xml:space="preserve"> </w:t>
      </w:r>
      <w:r w:rsidRPr="005675B2">
        <w:rPr>
          <w:rtl/>
          <w:lang w:bidi="ar-KW"/>
        </w:rPr>
        <w:t>السلام عليكم</w:t>
      </w:r>
      <w:r w:rsidR="000636C2">
        <w:rPr>
          <w:rFonts w:hint="cs"/>
          <w:rtl/>
          <w:lang w:bidi="ar-KW"/>
        </w:rPr>
        <w:t>،</w:t>
      </w:r>
      <w:r w:rsidRPr="005675B2">
        <w:rPr>
          <w:rFonts w:hint="cs"/>
          <w:rtl/>
          <w:lang w:bidi="ar-KW"/>
        </w:rPr>
        <w:t xml:space="preserve"> </w:t>
      </w:r>
      <w:r w:rsidRPr="005675B2">
        <w:rPr>
          <w:rtl/>
          <w:lang w:bidi="ar-KW"/>
        </w:rPr>
        <w:t>أود أن تشرحوا لنا أساسيات هذه الفرقة وأيضا شيئا من عقيدتها بالنسبة للأسماء والصفات</w:t>
      </w:r>
      <w:r w:rsidR="000636C2">
        <w:rPr>
          <w:rtl/>
          <w:lang w:bidi="ar-KW"/>
        </w:rPr>
        <w:t>،</w:t>
      </w:r>
      <w:r w:rsidRPr="005675B2">
        <w:rPr>
          <w:rtl/>
          <w:lang w:bidi="ar-KW"/>
        </w:rPr>
        <w:t xml:space="preserve"> نسألكم العفو للإطالة وأرجو ألا تبخلوا علينا بالشرح الوافي</w:t>
      </w:r>
      <w:r w:rsidR="000636C2">
        <w:rPr>
          <w:rtl/>
          <w:lang w:bidi="ar-KW"/>
        </w:rPr>
        <w:t>،</w:t>
      </w:r>
      <w:r w:rsidRPr="005675B2">
        <w:rPr>
          <w:rtl/>
          <w:lang w:bidi="ar-KW"/>
        </w:rPr>
        <w:t xml:space="preserve"> </w:t>
      </w:r>
      <w:r w:rsidR="000636C2">
        <w:rPr>
          <w:bCs/>
          <w:rtl/>
          <w:lang w:bidi="ar-KW"/>
        </w:rPr>
        <w:t>[</w:t>
      </w:r>
      <w:r>
        <w:rPr>
          <w:bCs/>
          <w:rtl/>
          <w:lang w:bidi="ar-KW"/>
        </w:rPr>
        <w:t>الجواب</w:t>
      </w:r>
      <w:r w:rsidR="000636C2">
        <w:rPr>
          <w:bCs/>
          <w:rtl/>
          <w:lang w:bidi="ar-KW"/>
        </w:rPr>
        <w:t>]:</w:t>
      </w:r>
      <w:r w:rsidRPr="005675B2">
        <w:rPr>
          <w:rFonts w:hint="cs"/>
          <w:rtl/>
          <w:lang w:bidi="ar-KW"/>
        </w:rPr>
        <w:t xml:space="preserve"> </w:t>
      </w:r>
      <w:r w:rsidRPr="005675B2">
        <w:rPr>
          <w:bCs/>
          <w:rtl/>
          <w:lang w:bidi="ar-KW"/>
        </w:rPr>
        <w:t>بسم الله الرحمن الرحيم</w:t>
      </w:r>
      <w:r w:rsidR="000636C2">
        <w:rPr>
          <w:rFonts w:hint="cs"/>
          <w:bCs/>
          <w:rtl/>
          <w:lang w:bidi="ar-KW"/>
        </w:rPr>
        <w:t>:</w:t>
      </w:r>
      <w:r w:rsidRPr="005675B2">
        <w:rPr>
          <w:rFonts w:hint="cs"/>
          <w:bCs/>
          <w:rtl/>
          <w:lang w:bidi="ar-KW"/>
        </w:rPr>
        <w:t xml:space="preserve"> </w:t>
      </w:r>
      <w:r w:rsidRPr="005675B2">
        <w:rPr>
          <w:rtl/>
          <w:lang w:bidi="ar-KW"/>
        </w:rPr>
        <w:t>الحمد لله رب العالمين</w:t>
      </w:r>
      <w:r w:rsidR="000636C2">
        <w:rPr>
          <w:rtl/>
          <w:lang w:bidi="ar-KW"/>
        </w:rPr>
        <w:t>،</w:t>
      </w:r>
      <w:r w:rsidRPr="005675B2">
        <w:rPr>
          <w:rtl/>
          <w:lang w:bidi="ar-KW"/>
        </w:rPr>
        <w:t xml:space="preserve"> وأفضل الصلاة وأتم التسليم على سيدنا محمد خاتم الأنبياء والمرسلين</w:t>
      </w:r>
      <w:r w:rsidR="000636C2">
        <w:rPr>
          <w:rtl/>
          <w:lang w:bidi="ar-KW"/>
        </w:rPr>
        <w:t>،</w:t>
      </w:r>
      <w:r w:rsidRPr="005675B2">
        <w:rPr>
          <w:rtl/>
          <w:lang w:bidi="ar-KW"/>
        </w:rPr>
        <w:t xml:space="preserve"> وعلى آله وأصحابه أجمعين</w:t>
      </w:r>
      <w:r w:rsidR="000636C2">
        <w:rPr>
          <w:rtl/>
          <w:lang w:bidi="ar-KW"/>
        </w:rPr>
        <w:t>،</w:t>
      </w:r>
      <w:r w:rsidRPr="005675B2">
        <w:rPr>
          <w:rtl/>
          <w:lang w:bidi="ar-KW"/>
        </w:rPr>
        <w:t xml:space="preserve"> ومن تبع هداهم بإحسان إلى يوم الدين</w:t>
      </w:r>
      <w:r w:rsidR="000636C2">
        <w:rPr>
          <w:rFonts w:hint="cs"/>
          <w:rtl/>
          <w:lang w:bidi="ar-KW"/>
        </w:rPr>
        <w:t>،</w:t>
      </w:r>
      <w:r w:rsidRPr="005675B2">
        <w:rPr>
          <w:rFonts w:hint="cs"/>
          <w:rtl/>
          <w:lang w:bidi="ar-KW"/>
        </w:rPr>
        <w:t xml:space="preserve"> </w:t>
      </w:r>
      <w:r w:rsidRPr="005675B2">
        <w:rPr>
          <w:rtl/>
          <w:lang w:bidi="ar-KW"/>
        </w:rPr>
        <w:t>وبعد ..</w:t>
      </w:r>
      <w:r w:rsidR="000636C2">
        <w:rPr>
          <w:rtl/>
          <w:lang w:bidi="ar-KW"/>
        </w:rPr>
        <w:t>،</w:t>
      </w:r>
      <w:r w:rsidRPr="005675B2">
        <w:rPr>
          <w:rtl/>
          <w:lang w:bidi="ar-KW"/>
        </w:rPr>
        <w:t xml:space="preserve"> فالإمام أبو الحسن الأشعرى هو إمام هذه الفرقة وهى فرقة أهل السنة والجماعة وعليها عامة المسلمين في الكرة الأرضية وأصولها مشروحة في كتب العقيدة الإسلامية المختلفة</w:t>
      </w:r>
      <w:r w:rsidR="000636C2">
        <w:rPr>
          <w:rtl/>
          <w:lang w:bidi="ar-KW"/>
        </w:rPr>
        <w:t>،</w:t>
      </w:r>
      <w:r w:rsidRPr="005675B2">
        <w:rPr>
          <w:rtl/>
          <w:lang w:bidi="ar-KW"/>
        </w:rPr>
        <w:t xml:space="preserve"> ومنها كتاب العقيدة الطحاوية فيستحسن الرجوع إليها لبيان التفاصيل</w:t>
      </w:r>
      <w:r w:rsidR="000636C2">
        <w:rPr>
          <w:rtl/>
          <w:lang w:bidi="ar-KW"/>
        </w:rPr>
        <w:t>،</w:t>
      </w:r>
      <w:r w:rsidRPr="005675B2">
        <w:rPr>
          <w:rtl/>
          <w:lang w:bidi="ar-KW"/>
        </w:rPr>
        <w:t xml:space="preserve"> والله تعالى أعلم</w:t>
      </w:r>
      <w:r w:rsidR="000636C2">
        <w:rPr>
          <w:rFonts w:hint="cs"/>
          <w:rtl/>
          <w:lang w:bidi="ar-KW"/>
        </w:rPr>
        <w:t xml:space="preserve">، </w:t>
      </w:r>
      <w:r w:rsidRPr="005675B2">
        <w:rPr>
          <w:rtl/>
          <w:lang w:bidi="ar-KW"/>
        </w:rPr>
        <w:t>أ</w:t>
      </w:r>
      <w:r w:rsidR="000636C2">
        <w:rPr>
          <w:rtl/>
          <w:lang w:bidi="ar-KW"/>
        </w:rPr>
        <w:t>،</w:t>
      </w:r>
      <w:r w:rsidRPr="005675B2">
        <w:rPr>
          <w:rtl/>
          <w:lang w:bidi="ar-KW"/>
        </w:rPr>
        <w:t xml:space="preserve"> د</w:t>
      </w:r>
      <w:r w:rsidR="000636C2">
        <w:rPr>
          <w:rtl/>
          <w:lang w:bidi="ar-KW"/>
        </w:rPr>
        <w:t>،</w:t>
      </w:r>
      <w:r w:rsidRPr="005675B2">
        <w:rPr>
          <w:rtl/>
          <w:lang w:bidi="ar-KW"/>
        </w:rPr>
        <w:t xml:space="preserve"> أحمد الحجى الكرد</w:t>
      </w:r>
      <w:r w:rsidRPr="005675B2">
        <w:rPr>
          <w:rFonts w:hint="cs"/>
          <w:rtl/>
          <w:lang w:bidi="ar-KW"/>
        </w:rPr>
        <w:t>ي</w:t>
      </w:r>
      <w:r w:rsidR="000636C2">
        <w:rPr>
          <w:rFonts w:hint="cs"/>
          <w:rtl/>
          <w:lang w:bidi="ar-KW"/>
        </w:rPr>
        <w:t xml:space="preserve">، </w:t>
      </w:r>
    </w:p>
    <w:p w14:paraId="44B14A2B" w14:textId="6AB37EAF" w:rsidR="009C32A0" w:rsidRPr="005675B2" w:rsidRDefault="009C32A0" w:rsidP="000636C2">
      <w:pPr>
        <w:spacing w:after="240"/>
        <w:rPr>
          <w:rtl/>
          <w:lang w:bidi="ar-KW"/>
        </w:rPr>
      </w:pPr>
      <w:r w:rsidRPr="005675B2">
        <w:rPr>
          <w:bCs/>
          <w:rtl/>
          <w:lang w:bidi="ar-KW"/>
        </w:rPr>
        <w:t>فتوى مفتى الجمهورية اللبنانية</w:t>
      </w:r>
      <w:r w:rsidR="000636C2">
        <w:rPr>
          <w:rFonts w:hint="cs"/>
          <w:bCs/>
          <w:rtl/>
          <w:lang w:bidi="ar-KW"/>
        </w:rPr>
        <w:t>:</w:t>
      </w:r>
      <w:r w:rsidRPr="005675B2">
        <w:rPr>
          <w:rFonts w:hint="cs"/>
          <w:bCs/>
          <w:rtl/>
          <w:lang w:bidi="ar-KW"/>
        </w:rPr>
        <w:t xml:space="preserve"> </w:t>
      </w:r>
      <w:r w:rsidR="000636C2">
        <w:rPr>
          <w:bCs/>
          <w:rtl/>
          <w:lang w:bidi="ar-KW"/>
        </w:rPr>
        <w:t>(</w:t>
      </w:r>
      <w:r w:rsidRPr="005675B2">
        <w:rPr>
          <w:bCs/>
          <w:rtl/>
          <w:lang w:bidi="ar-KW"/>
        </w:rPr>
        <w:t>ثم جعلناك على شريعة من الأمر فاتّبعها ولا تتَّبع أهواء الذّين لا يعلمون</w:t>
      </w:r>
      <w:r w:rsidR="000636C2">
        <w:rPr>
          <w:bCs/>
          <w:rtl/>
          <w:lang w:bidi="ar-KW"/>
        </w:rPr>
        <w:t>)</w:t>
      </w:r>
      <w:r w:rsidR="000636C2">
        <w:rPr>
          <w:rFonts w:hint="cs"/>
          <w:bCs/>
          <w:rtl/>
          <w:lang w:bidi="ar-KW"/>
        </w:rPr>
        <w:t>:</w:t>
      </w:r>
      <w:r w:rsidRPr="005675B2">
        <w:rPr>
          <w:rFonts w:hint="cs"/>
          <w:bCs/>
          <w:rtl/>
          <w:lang w:bidi="ar-KW"/>
        </w:rPr>
        <w:t xml:space="preserve"> </w:t>
      </w:r>
      <w:r w:rsidRPr="005675B2">
        <w:rPr>
          <w:rtl/>
          <w:lang w:bidi="ar-KW"/>
        </w:rPr>
        <w:t>الحمد لله رب العالمين</w:t>
      </w:r>
      <w:r w:rsidR="000636C2">
        <w:rPr>
          <w:rtl/>
          <w:lang w:bidi="ar-KW"/>
        </w:rPr>
        <w:t>،</w:t>
      </w:r>
      <w:r w:rsidRPr="005675B2">
        <w:rPr>
          <w:rtl/>
          <w:lang w:bidi="ar-KW"/>
        </w:rPr>
        <w:t xml:space="preserve"> والصلاة والسلام على سيدنا ونبينا محمد خاتم الأنبياء والمرسلين</w:t>
      </w:r>
      <w:r w:rsidR="000636C2">
        <w:rPr>
          <w:rtl/>
          <w:lang w:bidi="ar-KW"/>
        </w:rPr>
        <w:t>،</w:t>
      </w:r>
      <w:r w:rsidRPr="005675B2">
        <w:rPr>
          <w:rtl/>
          <w:lang w:bidi="ar-KW"/>
        </w:rPr>
        <w:t xml:space="preserve"> وعلى آله وأصحابه أجمعين</w:t>
      </w:r>
      <w:r w:rsidR="000636C2">
        <w:rPr>
          <w:rtl/>
          <w:lang w:bidi="ar-KW"/>
        </w:rPr>
        <w:t>،</w:t>
      </w:r>
      <w:r w:rsidRPr="005675B2">
        <w:rPr>
          <w:rtl/>
          <w:lang w:bidi="ar-KW"/>
        </w:rPr>
        <w:t xml:space="preserve"> ومن تبعهم بإحسان إلى يوم الدين</w:t>
      </w:r>
      <w:r w:rsidR="000636C2">
        <w:rPr>
          <w:rtl/>
          <w:lang w:bidi="ar-KW"/>
        </w:rPr>
        <w:t>،</w:t>
      </w:r>
      <w:r w:rsidRPr="005675B2">
        <w:rPr>
          <w:rtl/>
          <w:lang w:bidi="ar-KW"/>
        </w:rPr>
        <w:t xml:space="preserve"> وبعد ..</w:t>
      </w:r>
      <w:r w:rsidR="000636C2">
        <w:rPr>
          <w:rtl/>
          <w:lang w:bidi="ar-KW"/>
        </w:rPr>
        <w:t xml:space="preserve"> </w:t>
      </w:r>
      <w:r w:rsidRPr="005675B2">
        <w:rPr>
          <w:rtl/>
          <w:lang w:bidi="ar-KW"/>
        </w:rPr>
        <w:t>فإن الأشاعرة هم أهل السنة والجماعة ينتسبون إلى الإمام أبى الحسن على بن إسماعيل الأشعرى رحمه الله</w:t>
      </w:r>
      <w:r w:rsidR="000636C2">
        <w:rPr>
          <w:rtl/>
          <w:lang w:bidi="ar-KW"/>
        </w:rPr>
        <w:t>،</w:t>
      </w:r>
      <w:r w:rsidRPr="005675B2">
        <w:rPr>
          <w:rtl/>
          <w:lang w:bidi="ar-KW"/>
        </w:rPr>
        <w:t xml:space="preserve"> وُلد سنة ستين ومئتين</w:t>
      </w:r>
      <w:r w:rsidR="000636C2">
        <w:rPr>
          <w:rtl/>
          <w:lang w:bidi="ar-KW"/>
        </w:rPr>
        <w:t xml:space="preserve"> </w:t>
      </w:r>
      <w:r w:rsidRPr="005675B2">
        <w:rPr>
          <w:rtl/>
          <w:lang w:bidi="ar-KW"/>
        </w:rPr>
        <w:t>للهجرة على الأشهر فى مدينة البصرة</w:t>
      </w:r>
      <w:r w:rsidR="000636C2">
        <w:rPr>
          <w:rtl/>
          <w:lang w:bidi="ar-KW"/>
        </w:rPr>
        <w:t>،</w:t>
      </w:r>
      <w:r w:rsidRPr="005675B2">
        <w:rPr>
          <w:rtl/>
          <w:lang w:bidi="ar-KW"/>
        </w:rPr>
        <w:t xml:space="preserve"> وتُوفى فى عام أربعة وعشرين وثلاثمئة للهجرة</w:t>
      </w:r>
      <w:r w:rsidR="000636C2">
        <w:rPr>
          <w:rtl/>
          <w:lang w:bidi="ar-KW"/>
        </w:rPr>
        <w:t>،</w:t>
      </w:r>
      <w:r w:rsidRPr="005675B2">
        <w:rPr>
          <w:rtl/>
          <w:lang w:bidi="ar-KW"/>
        </w:rPr>
        <w:t xml:space="preserve"> والإمام أبو الحسن الأشعرى – رحمه الله تعالى – هو إمام كبير من أئمة أهل السنة والجماعة</w:t>
      </w:r>
      <w:r w:rsidR="000636C2">
        <w:rPr>
          <w:rtl/>
          <w:lang w:bidi="ar-KW"/>
        </w:rPr>
        <w:t>،</w:t>
      </w:r>
      <w:r w:rsidRPr="005675B2">
        <w:rPr>
          <w:rtl/>
          <w:lang w:bidi="ar-KW"/>
        </w:rPr>
        <w:t xml:space="preserve"> وعقيدة الأشاعرة هى عقيدة أهل السنة والجماعة في إثبات وجود الله تعالى وتوحيده</w:t>
      </w:r>
      <w:r w:rsidR="000636C2">
        <w:rPr>
          <w:rtl/>
          <w:lang w:bidi="ar-KW"/>
        </w:rPr>
        <w:t>،</w:t>
      </w:r>
      <w:r w:rsidRPr="005675B2">
        <w:rPr>
          <w:rtl/>
          <w:lang w:bidi="ar-KW"/>
        </w:rPr>
        <w:t xml:space="preserve"> وأنه تعالى ليس كمثله شـئ</w:t>
      </w:r>
      <w:r w:rsidR="000636C2">
        <w:rPr>
          <w:rtl/>
          <w:lang w:bidi="ar-KW"/>
        </w:rPr>
        <w:t>،</w:t>
      </w:r>
      <w:r w:rsidRPr="005675B2">
        <w:rPr>
          <w:rtl/>
          <w:lang w:bidi="ar-KW"/>
        </w:rPr>
        <w:t xml:space="preserve"> لا يشبه شيئاً ولا يشبهه شـئ</w:t>
      </w:r>
      <w:r w:rsidR="000636C2">
        <w:rPr>
          <w:rtl/>
          <w:lang w:bidi="ar-KW"/>
        </w:rPr>
        <w:t>،</w:t>
      </w:r>
      <w:r w:rsidRPr="005675B2">
        <w:rPr>
          <w:rtl/>
          <w:lang w:bidi="ar-KW"/>
        </w:rPr>
        <w:t xml:space="preserve"> وأنه تعالى يتّصف بكل صفات الكمال</w:t>
      </w:r>
      <w:r w:rsidR="000636C2">
        <w:rPr>
          <w:rtl/>
          <w:lang w:bidi="ar-KW"/>
        </w:rPr>
        <w:t>،</w:t>
      </w:r>
      <w:r w:rsidRPr="005675B2">
        <w:rPr>
          <w:rtl/>
          <w:lang w:bidi="ar-KW"/>
        </w:rPr>
        <w:t xml:space="preserve"> ويُنّزه عن كل صفات النقص</w:t>
      </w:r>
      <w:r w:rsidR="000636C2">
        <w:rPr>
          <w:rtl/>
          <w:lang w:bidi="ar-KW"/>
        </w:rPr>
        <w:t>،</w:t>
      </w:r>
      <w:r w:rsidRPr="005675B2">
        <w:rPr>
          <w:rtl/>
          <w:lang w:bidi="ar-KW"/>
        </w:rPr>
        <w:t xml:space="preserve"> والأشاعرة يدحضون آراء المبتدعة كالمعتزلة الذين ينكرون رؤية الله تعالى فى الآخرة</w:t>
      </w:r>
      <w:r w:rsidR="000636C2">
        <w:rPr>
          <w:rtl/>
          <w:lang w:bidi="ar-KW"/>
        </w:rPr>
        <w:t>،</w:t>
      </w:r>
      <w:r w:rsidRPr="005675B2">
        <w:rPr>
          <w:rtl/>
          <w:lang w:bidi="ar-KW"/>
        </w:rPr>
        <w:t xml:space="preserve"> وقد أثبتها الله تعالى فى القرآن الكريم بقوله تعالى </w:t>
      </w:r>
      <w:r w:rsidR="000636C2">
        <w:rPr>
          <w:rtl/>
          <w:lang w:bidi="ar-KW"/>
        </w:rPr>
        <w:t>(</w:t>
      </w:r>
      <w:r w:rsidRPr="005675B2">
        <w:rPr>
          <w:rtl/>
          <w:lang w:bidi="ar-KW"/>
        </w:rPr>
        <w:t>وجوه يومئذٍ ناضرة</w:t>
      </w:r>
      <w:r w:rsidR="000636C2">
        <w:rPr>
          <w:rtl/>
          <w:lang w:bidi="ar-KW"/>
        </w:rPr>
        <w:t>،</w:t>
      </w:r>
      <w:r w:rsidRPr="005675B2">
        <w:rPr>
          <w:rtl/>
          <w:lang w:bidi="ar-KW"/>
        </w:rPr>
        <w:t xml:space="preserve"> إلى ربها ناظرة</w:t>
      </w:r>
      <w:r w:rsidR="000636C2">
        <w:rPr>
          <w:rtl/>
          <w:lang w:bidi="ar-KW"/>
        </w:rPr>
        <w:t>)</w:t>
      </w:r>
      <w:r w:rsidRPr="005675B2">
        <w:rPr>
          <w:rtl/>
          <w:lang w:bidi="ar-KW"/>
        </w:rPr>
        <w:t xml:space="preserve"> سورة القيامة الآية 22</w:t>
      </w:r>
      <w:r w:rsidR="000636C2">
        <w:rPr>
          <w:rtl/>
          <w:lang w:bidi="ar-KW"/>
        </w:rPr>
        <w:t>،</w:t>
      </w:r>
      <w:r w:rsidRPr="005675B2">
        <w:rPr>
          <w:rtl/>
          <w:lang w:bidi="ar-KW"/>
        </w:rPr>
        <w:t xml:space="preserve"> ومن أبرز أئمة الأشاعرة</w:t>
      </w:r>
      <w:r w:rsidR="000636C2">
        <w:rPr>
          <w:rtl/>
          <w:lang w:bidi="ar-KW"/>
        </w:rPr>
        <w:t>:</w:t>
      </w:r>
      <w:r w:rsidRPr="005675B2">
        <w:rPr>
          <w:rtl/>
          <w:lang w:bidi="ar-KW"/>
        </w:rPr>
        <w:t xml:space="preserve"> الإمام الجوينى الشافعي</w:t>
      </w:r>
      <w:r w:rsidR="000636C2">
        <w:rPr>
          <w:rtl/>
          <w:lang w:bidi="ar-KW"/>
        </w:rPr>
        <w:t>،</w:t>
      </w:r>
      <w:r w:rsidRPr="005675B2">
        <w:rPr>
          <w:rtl/>
          <w:lang w:bidi="ar-KW"/>
        </w:rPr>
        <w:t xml:space="preserve"> والإمام الغزالي الشافعي</w:t>
      </w:r>
      <w:r w:rsidR="000636C2">
        <w:rPr>
          <w:rtl/>
          <w:lang w:bidi="ar-KW"/>
        </w:rPr>
        <w:t>،</w:t>
      </w:r>
      <w:r w:rsidRPr="005675B2">
        <w:rPr>
          <w:rtl/>
          <w:lang w:bidi="ar-KW"/>
        </w:rPr>
        <w:t xml:space="preserve"> والإمام اللقانى المالكي</w:t>
      </w:r>
      <w:r w:rsidR="000636C2">
        <w:rPr>
          <w:rtl/>
          <w:lang w:bidi="ar-KW"/>
        </w:rPr>
        <w:t>،</w:t>
      </w:r>
      <w:r w:rsidRPr="005675B2">
        <w:rPr>
          <w:rtl/>
          <w:lang w:bidi="ar-KW"/>
        </w:rPr>
        <w:t xml:space="preserve"> وكثير من المحدثين والفقهاء رضي الله عنهم أجمعين</w:t>
      </w:r>
      <w:r w:rsidR="000636C2">
        <w:rPr>
          <w:rtl/>
          <w:lang w:bidi="ar-KW"/>
        </w:rPr>
        <w:t>،</w:t>
      </w:r>
      <w:r w:rsidRPr="005675B2">
        <w:rPr>
          <w:rtl/>
          <w:lang w:bidi="ar-KW"/>
        </w:rPr>
        <w:t xml:space="preserve"> ومعظم بلاد الشام وغيرها من بلاد المسلمين على عقيدة أهل السنة والجماعة الأشعرية أو الماتريدية</w:t>
      </w:r>
      <w:r w:rsidR="000636C2">
        <w:rPr>
          <w:rtl/>
          <w:lang w:bidi="ar-KW"/>
        </w:rPr>
        <w:t>،</w:t>
      </w:r>
      <w:r w:rsidRPr="005675B2">
        <w:rPr>
          <w:rtl/>
          <w:lang w:bidi="ar-KW"/>
        </w:rPr>
        <w:t xml:space="preserve"> والله تعالى أعلم</w:t>
      </w:r>
      <w:r w:rsidR="000636C2">
        <w:rPr>
          <w:rtl/>
          <w:lang w:bidi="ar-KW"/>
        </w:rPr>
        <w:t>،</w:t>
      </w:r>
      <w:r w:rsidRPr="005675B2">
        <w:rPr>
          <w:rtl/>
          <w:lang w:bidi="ar-KW"/>
        </w:rPr>
        <w:t xml:space="preserve"> وصلّى الله على سيدنا محمد وعلى آله وصحبه وسلَّم تسليما كثيرا</w:t>
      </w:r>
      <w:r w:rsidR="000636C2">
        <w:rPr>
          <w:rtl/>
          <w:lang w:bidi="ar-KW"/>
        </w:rPr>
        <w:t>،</w:t>
      </w:r>
      <w:r w:rsidRPr="005675B2">
        <w:rPr>
          <w:rtl/>
          <w:lang w:bidi="ar-KW"/>
        </w:rPr>
        <w:t xml:space="preserve"> والحمد لله رب العالمين</w:t>
      </w:r>
      <w:r w:rsidR="000636C2">
        <w:rPr>
          <w:rtl/>
          <w:lang w:bidi="ar-KW"/>
        </w:rPr>
        <w:t>،</w:t>
      </w:r>
      <w:r w:rsidRPr="005675B2">
        <w:rPr>
          <w:rtl/>
          <w:lang w:bidi="ar-KW"/>
        </w:rPr>
        <w:t xml:space="preserve"> مفتى الجمهورية اللبنانية</w:t>
      </w:r>
      <w:r w:rsidR="000636C2">
        <w:rPr>
          <w:rFonts w:hint="cs"/>
          <w:rtl/>
          <w:lang w:bidi="ar-KW"/>
        </w:rPr>
        <w:t xml:space="preserve">، </w:t>
      </w:r>
      <w:r w:rsidRPr="005675B2">
        <w:rPr>
          <w:rtl/>
          <w:lang w:bidi="ar-KW"/>
        </w:rPr>
        <w:t>الشيخ محمد رشيد راغب قباني</w:t>
      </w:r>
      <w:r w:rsidR="000636C2">
        <w:rPr>
          <w:rFonts w:hint="cs"/>
          <w:rtl/>
          <w:lang w:bidi="ar-KW"/>
        </w:rPr>
        <w:t>،</w:t>
      </w:r>
      <w:r w:rsidRPr="005675B2">
        <w:rPr>
          <w:rFonts w:hint="cs"/>
          <w:rtl/>
          <w:lang w:bidi="ar-KW"/>
        </w:rPr>
        <w:t xml:space="preserve"> </w:t>
      </w:r>
      <w:r w:rsidRPr="005675B2">
        <w:rPr>
          <w:rtl/>
          <w:lang w:bidi="ar-KW"/>
        </w:rPr>
        <w:t>بيروت 12 صفر 1425 ه -</w:t>
      </w:r>
      <w:r w:rsidR="000636C2">
        <w:rPr>
          <w:rtl/>
          <w:lang w:bidi="ar-KW"/>
        </w:rPr>
        <w:t>،</w:t>
      </w:r>
      <w:r w:rsidRPr="005675B2">
        <w:rPr>
          <w:rFonts w:hint="cs"/>
          <w:rtl/>
          <w:lang w:bidi="ar-KW"/>
        </w:rPr>
        <w:t xml:space="preserve"> </w:t>
      </w:r>
      <w:r w:rsidRPr="005675B2">
        <w:rPr>
          <w:rtl/>
          <w:lang w:bidi="ar-KW"/>
        </w:rPr>
        <w:t>و 22 آذار 2005 م</w:t>
      </w:r>
      <w:r w:rsidR="000636C2">
        <w:rPr>
          <w:rFonts w:hint="cs"/>
          <w:rtl/>
          <w:lang w:bidi="ar-KW"/>
        </w:rPr>
        <w:t>،</w:t>
      </w:r>
      <w:r w:rsidRPr="005675B2">
        <w:rPr>
          <w:rFonts w:hint="cs"/>
          <w:rtl/>
          <w:lang w:bidi="ar-KW"/>
        </w:rPr>
        <w:t xml:space="preserve"> </w:t>
      </w:r>
    </w:p>
    <w:p w14:paraId="60772D89" w14:textId="5F99A752" w:rsidR="009C32A0" w:rsidRPr="005675B2" w:rsidRDefault="009C32A0" w:rsidP="000636C2">
      <w:pPr>
        <w:widowControl w:val="0"/>
        <w:spacing w:before="80" w:after="240"/>
        <w:rPr>
          <w:rtl/>
          <w:lang w:bidi="ar-KW"/>
        </w:rPr>
      </w:pPr>
      <w:r w:rsidRPr="005675B2">
        <w:rPr>
          <w:rtl/>
        </w:rPr>
        <w:t>هذا وكتب علماء الإسلام مزينة بالثناء على الأشاعرة وأهل السنة جميعاً، لا يكاد يخلو من ذلك كتاب، وطافحة بالنكير على من انتقصهم أو عرض لهم بشتم أو سباب، وفي ما نقلنا بلاغ وكفاية لمن أنصف وتجرد، أما المتعسف فلن تغنيه الشمس في كبد السماء دليلاً على النهار</w:t>
      </w:r>
      <w:r w:rsidR="000636C2">
        <w:rPr>
          <w:rtl/>
        </w:rPr>
        <w:t>،</w:t>
      </w:r>
      <w:r w:rsidRPr="005675B2">
        <w:rPr>
          <w:rtl/>
        </w:rPr>
        <w:t xml:space="preserve"> والله المستعان على ما يصفون</w:t>
      </w:r>
      <w:r w:rsidR="000636C2">
        <w:rPr>
          <w:rtl/>
        </w:rPr>
        <w:t>،</w:t>
      </w:r>
      <w:r w:rsidRPr="005675B2">
        <w:rPr>
          <w:rtl/>
        </w:rPr>
        <w:t xml:space="preserve"> </w:t>
      </w:r>
    </w:p>
    <w:p w14:paraId="571AB969" w14:textId="77777777" w:rsidR="009C32A0" w:rsidRPr="005675B2" w:rsidRDefault="009C32A0" w:rsidP="000636C2">
      <w:pPr>
        <w:widowControl w:val="0"/>
        <w:spacing w:before="80" w:after="240"/>
        <w:jc w:val="center"/>
        <w:rPr>
          <w:rtl/>
          <w:lang w:bidi="ar-KW"/>
        </w:rPr>
      </w:pPr>
      <w:r w:rsidRPr="005675B2">
        <w:rPr>
          <w:rtl/>
          <w:lang w:bidi="ar-KW"/>
        </w:rPr>
        <w:t>* * * * *</w:t>
      </w:r>
    </w:p>
    <w:p w14:paraId="3747C66A" w14:textId="22CA6021" w:rsidR="009C32A0" w:rsidRPr="005675B2" w:rsidRDefault="009C32A0" w:rsidP="000636C2">
      <w:pPr>
        <w:widowControl w:val="0"/>
        <w:spacing w:before="80" w:after="240"/>
        <w:rPr>
          <w:b/>
          <w:bCs/>
          <w:rtl/>
          <w:lang w:val="uz-Latn-UZ" w:bidi="ar-KW"/>
        </w:rPr>
      </w:pPr>
      <w:r w:rsidRPr="005675B2">
        <w:rPr>
          <w:bCs/>
          <w:rtl/>
        </w:rPr>
        <w:t>عقيدة أهل السنة والجماعة</w:t>
      </w:r>
      <w:r w:rsidR="000636C2">
        <w:rPr>
          <w:rFonts w:hint="cs"/>
          <w:bCs/>
          <w:rtl/>
          <w:lang w:bidi="ar-KW"/>
        </w:rPr>
        <w:t xml:space="preserve">: </w:t>
      </w:r>
      <w:r w:rsidRPr="005675B2">
        <w:rPr>
          <w:rtl/>
          <w:lang w:bidi="ar-KW"/>
        </w:rPr>
        <w:t>إن المطالع في كتب العقائد لأهل السنة يرى أنهم رحمهم الله قد اقتصروا على إثبات عشرين صفة لله تعالى، وخشية أن يسبق إلى ذهن المسلم أن أهل السنة نفوا ما سوى ذلك من الصفات نقول</w:t>
      </w:r>
      <w:r w:rsidR="000636C2">
        <w:rPr>
          <w:rtl/>
          <w:lang w:bidi="ar-KW"/>
        </w:rPr>
        <w:t>:</w:t>
      </w:r>
      <w:r w:rsidRPr="005675B2">
        <w:rPr>
          <w:rFonts w:hint="cs"/>
          <w:rtl/>
          <w:lang w:bidi="ar-KW"/>
        </w:rPr>
        <w:t xml:space="preserve"> </w:t>
      </w:r>
      <w:r w:rsidRPr="005675B2">
        <w:rPr>
          <w:rtl/>
          <w:lang w:bidi="ar-KW"/>
        </w:rPr>
        <w:t>إن صفات الله تعالى من حيث الإيمان بها تنقسم إلى قسمين، قسم يجب الإيمان به ومعرفته إجمالا، وهو ما قامت عليه الأدلة النقلية والعقلية إجمالاً، وهو جميع الكمالات في نظر العقل مثل العدل والحب والرحمة والانتقام والمغفرة والحكمة وكل ما هو صفة كمال لله تعالى</w:t>
      </w:r>
      <w:r w:rsidR="000636C2">
        <w:rPr>
          <w:rtl/>
          <w:lang w:bidi="ar-KW"/>
        </w:rPr>
        <w:t>،</w:t>
      </w:r>
      <w:r w:rsidRPr="005675B2">
        <w:rPr>
          <w:rtl/>
          <w:lang w:bidi="ar-KW"/>
        </w:rPr>
        <w:t xml:space="preserve"> وقسم يجب معرفته والإيمان به تفصيلاً، وهو ما قامت الأدلة النقلية والعقلية عليه تفصيلاً، وهي العشرون صفة التي يذكرها العلماء في كتبهم لأنها أمهات مهمات الصفات، وكل ما يرد من صفات أخرى فهو داخل في هذه الصفات </w:t>
      </w:r>
      <w:r w:rsidR="000636C2">
        <w:rPr>
          <w:rtl/>
          <w:lang w:bidi="ar-KW"/>
        </w:rPr>
        <w:t>(</w:t>
      </w:r>
      <w:r w:rsidRPr="005675B2">
        <w:rPr>
          <w:rtl/>
          <w:lang w:bidi="ar-KW"/>
        </w:rPr>
        <w:t>أركان الإيمان للشيخ وهبي غاوجي، أركان الإسلام له أيضا 1/41 بتصرف</w:t>
      </w:r>
      <w:r w:rsidR="000636C2">
        <w:rPr>
          <w:rtl/>
          <w:lang w:bidi="ar-KW"/>
        </w:rPr>
        <w:t>)</w:t>
      </w:r>
      <w:r w:rsidR="000636C2">
        <w:rPr>
          <w:rFonts w:hint="cs"/>
          <w:rtl/>
          <w:lang w:bidi="ar-KW"/>
        </w:rPr>
        <w:t xml:space="preserve">، </w:t>
      </w:r>
      <w:r w:rsidRPr="005675B2">
        <w:rPr>
          <w:rtl/>
          <w:lang w:bidi="ar-KW"/>
        </w:rPr>
        <w:t xml:space="preserve">قال الشيخ الدكتور محمد سعيد رمضان البوطي حفظه الله </w:t>
      </w:r>
      <w:r w:rsidR="000636C2">
        <w:rPr>
          <w:rtl/>
          <w:lang w:bidi="ar-KW"/>
        </w:rPr>
        <w:t>(</w:t>
      </w:r>
      <w:r w:rsidRPr="005675B2">
        <w:rPr>
          <w:rtl/>
          <w:lang w:bidi="ar-KW"/>
        </w:rPr>
        <w:t>كبرى اليقينيات ص 108</w:t>
      </w:r>
      <w:r w:rsidR="000636C2">
        <w:rPr>
          <w:rtl/>
          <w:lang w:bidi="ar-KW"/>
        </w:rPr>
        <w:t>):</w:t>
      </w:r>
      <w:r w:rsidRPr="005675B2">
        <w:rPr>
          <w:rFonts w:hint="cs"/>
          <w:rtl/>
          <w:lang w:bidi="ar-KW"/>
        </w:rPr>
        <w:t xml:space="preserve"> </w:t>
      </w:r>
      <w:r w:rsidR="000636C2">
        <w:rPr>
          <w:rtl/>
          <w:lang w:bidi="ar-KW"/>
        </w:rPr>
        <w:t>(</w:t>
      </w:r>
      <w:r w:rsidRPr="005675B2">
        <w:rPr>
          <w:rtl/>
          <w:lang w:bidi="ar-KW"/>
        </w:rPr>
        <w:t>يجب أن تعلم في كلمة جامعة مجملة أن الله عز وجل متصف بكل صفات الكمال ومنزه عن جميع صفات النقصان إذ إن ألوهيته تستلزم اتصافه بالكمال المطلق لزوماً بيناً بالمعنى الأخص</w:t>
      </w:r>
      <w:r w:rsidR="000636C2">
        <w:rPr>
          <w:rtl/>
          <w:lang w:bidi="ar-KW"/>
        </w:rPr>
        <w:t xml:space="preserve">، </w:t>
      </w:r>
      <w:r w:rsidRPr="005675B2">
        <w:rPr>
          <w:rtl/>
          <w:lang w:bidi="ar-KW"/>
        </w:rPr>
        <w:t>ثم إن علينا بعد ذلك أن نقف على تفصيل أهم هذه الصفات، ونبين معناها وما تستلزمه من أمور ومعتقدات</w:t>
      </w:r>
      <w:r w:rsidR="000636C2">
        <w:rPr>
          <w:rtl/>
          <w:lang w:bidi="ar-KW"/>
        </w:rPr>
        <w:t>،</w:t>
      </w:r>
      <w:r w:rsidRPr="005675B2">
        <w:rPr>
          <w:rtl/>
          <w:lang w:bidi="ar-KW"/>
        </w:rPr>
        <w:t xml:space="preserve"> وقد وصف الله تعالى نفسه في كتابه الكريم بصفات كثيرة مختلفة إلا أن جزئيات هذه الصفات كلها تلتقي ضمن عشرين صفة رئيسية ثبتت بدلالة الكتاب وبالبراهين القاطعة</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وجاء في شرح جوهرة التوحيد </w:t>
      </w:r>
      <w:r w:rsidR="000636C2">
        <w:rPr>
          <w:rtl/>
          <w:lang w:bidi="ar-KW"/>
        </w:rPr>
        <w:t>(</w:t>
      </w:r>
      <w:r w:rsidRPr="005675B2">
        <w:rPr>
          <w:rtl/>
          <w:lang w:bidi="ar-KW"/>
        </w:rPr>
        <w:t>للشيخين الفاضلين عبدالكريم تتان ومحمد أديب الكيلاني 1/274</w:t>
      </w:r>
      <w:r w:rsidR="000636C2">
        <w:rPr>
          <w:rtl/>
          <w:lang w:bidi="ar-KW"/>
        </w:rPr>
        <w:t>):</w:t>
      </w:r>
      <w:r w:rsidRPr="005675B2">
        <w:rPr>
          <w:rFonts w:hint="cs"/>
          <w:rtl/>
          <w:lang w:bidi="ar-KW"/>
        </w:rPr>
        <w:t xml:space="preserve"> </w:t>
      </w:r>
      <w:r w:rsidR="000636C2">
        <w:rPr>
          <w:rtl/>
          <w:lang w:bidi="ar-KW"/>
        </w:rPr>
        <w:t>(</w:t>
      </w:r>
      <w:r w:rsidRPr="005675B2">
        <w:rPr>
          <w:rtl/>
          <w:lang w:bidi="ar-KW"/>
        </w:rPr>
        <w:t>وقبل الكلام على " وجوب الوجود " نبين أنه يجب لله تعالى</w:t>
      </w:r>
      <w:r w:rsidR="000636C2">
        <w:rPr>
          <w:rtl/>
          <w:lang w:bidi="ar-KW"/>
        </w:rPr>
        <w:t xml:space="preserve"> </w:t>
      </w:r>
      <w:r w:rsidRPr="005675B2">
        <w:rPr>
          <w:rtl/>
          <w:lang w:bidi="ar-KW"/>
        </w:rPr>
        <w:t>- على الإجمال - كل كمال، وينزه عن كل نقصان، ويجوز في حقه فعل كل ممكن وتركه، وعلى التفصيل يجب لله تعالى عشرون صفة قسمها العلماء - ابتغاء التعرف إليها على أنها أمهات ما يجب لله تعالى- إلى أربعة أقسام ..</w:t>
      </w:r>
      <w:r w:rsidR="000636C2">
        <w:rPr>
          <w:rtl/>
          <w:lang w:bidi="ar-KW"/>
        </w:rPr>
        <w:t>)</w:t>
      </w:r>
      <w:r w:rsidRPr="005675B2">
        <w:rPr>
          <w:rtl/>
          <w:lang w:bidi="ar-KW"/>
        </w:rPr>
        <w:t xml:space="preserve"> اهـ</w:t>
      </w:r>
      <w:r w:rsidR="000636C2">
        <w:rPr>
          <w:rtl/>
          <w:lang w:bidi="ar-KW"/>
        </w:rPr>
        <w:t xml:space="preserve">، </w:t>
      </w:r>
      <w:r w:rsidRPr="005675B2">
        <w:rPr>
          <w:rtl/>
          <w:lang w:bidi="ar-KW"/>
        </w:rPr>
        <w:t xml:space="preserve">وقال الإمام العلامة الهدهدي </w:t>
      </w:r>
      <w:r w:rsidR="000636C2">
        <w:rPr>
          <w:rtl/>
          <w:lang w:bidi="ar-KW"/>
        </w:rPr>
        <w:t>(</w:t>
      </w:r>
      <w:r w:rsidRPr="005675B2">
        <w:rPr>
          <w:rtl/>
          <w:lang w:bidi="ar-KW"/>
        </w:rPr>
        <w:t>شرح السنوسية الصغرى ص45، 46</w:t>
      </w:r>
      <w:r w:rsidR="000636C2">
        <w:rPr>
          <w:rtl/>
          <w:lang w:bidi="ar-KW"/>
        </w:rPr>
        <w:t>)</w:t>
      </w:r>
      <w:r w:rsidRPr="005675B2">
        <w:rPr>
          <w:rtl/>
          <w:lang w:bidi="ar-KW"/>
        </w:rPr>
        <w:t xml:space="preserve"> عند قول المصنف </w:t>
      </w:r>
      <w:r w:rsidR="000636C2">
        <w:rPr>
          <w:rtl/>
          <w:lang w:bidi="ar-KW"/>
        </w:rPr>
        <w:t>(</w:t>
      </w:r>
      <w:r w:rsidRPr="005675B2">
        <w:rPr>
          <w:rtl/>
          <w:lang w:bidi="ar-KW"/>
        </w:rPr>
        <w:t>فممّا يجب لمولانا جل وعز عشرون صفة</w:t>
      </w:r>
      <w:r w:rsidR="000636C2">
        <w:rPr>
          <w:rtl/>
          <w:lang w:bidi="ar-KW"/>
        </w:rPr>
        <w:t>)،</w:t>
      </w:r>
      <w:r w:rsidRPr="005675B2">
        <w:rPr>
          <w:rtl/>
          <w:lang w:bidi="ar-KW"/>
        </w:rPr>
        <w:t xml:space="preserve"> قال في شرح ذلك</w:t>
      </w:r>
      <w:r w:rsidR="000636C2">
        <w:rPr>
          <w:rtl/>
          <w:lang w:bidi="ar-KW"/>
        </w:rPr>
        <w:t>:</w:t>
      </w:r>
      <w:r w:rsidRPr="005675B2">
        <w:rPr>
          <w:rtl/>
          <w:lang w:bidi="ar-KW"/>
        </w:rPr>
        <w:t xml:space="preserve"> </w:t>
      </w:r>
      <w:r w:rsidR="000636C2">
        <w:rPr>
          <w:rtl/>
          <w:lang w:bidi="ar-KW"/>
        </w:rPr>
        <w:t>(</w:t>
      </w:r>
      <w:r w:rsidRPr="005675B2">
        <w:rPr>
          <w:rtl/>
          <w:lang w:bidi="ar-KW"/>
        </w:rPr>
        <w:t>من بمعنى بعض فهي للتبعيض أي من بعض ما يجب، لأن صفات مولانا جل وعز الواجبة له لا تنحصر في هذه العشرين، إذ كمالاته لا نهاية لها، ولم يكلفنا الله إلا بمعرفة ما نصب لنا عليه دليلاً وهي هذه العشرون، وتفضل علينا بإسقاط التكليف بما لم ينصب لنا عليه دليلاً</w:t>
      </w:r>
      <w:r w:rsidR="000636C2">
        <w:rPr>
          <w:rtl/>
          <w:lang w:bidi="ar-KW"/>
        </w:rPr>
        <w:t>)</w:t>
      </w:r>
      <w:r w:rsidRPr="005675B2">
        <w:rPr>
          <w:rtl/>
          <w:lang w:bidi="ar-KW"/>
        </w:rPr>
        <w:t xml:space="preserve"> اهـ</w:t>
      </w:r>
      <w:r w:rsidR="000636C2">
        <w:rPr>
          <w:rtl/>
          <w:lang w:bidi="ar-KW"/>
        </w:rPr>
        <w:t xml:space="preserve">، </w:t>
      </w:r>
      <w:r w:rsidRPr="005675B2">
        <w:rPr>
          <w:rtl/>
          <w:lang w:bidi="ar-KW"/>
        </w:rPr>
        <w:t>وبالجملة، فأقوال ونصوص العلماء في ذلك كثيرة، وبما نقلناه كفاية لبيان المقصود، فإن أهل السنة الأشاعرة والماتريدية لم يكونوا معطلين للصفات ولا مشبهين لله تعالى بالمخلوقات، وإنما هم مثبتون لله تعالى كل ما ثبت نقلاً وعقلاً من الكمالات ومنزهون له سبحانه عن سمات النقص والآفات</w:t>
      </w:r>
      <w:r w:rsidR="000636C2">
        <w:rPr>
          <w:rtl/>
          <w:lang w:bidi="ar-KW"/>
        </w:rPr>
        <w:t xml:space="preserve">، </w:t>
      </w:r>
      <w:r w:rsidRPr="005675B2">
        <w:rPr>
          <w:rtl/>
          <w:lang w:bidi="ar-KW"/>
        </w:rPr>
        <w:t>وإليك - وفقنا الله وإياك لهداهـ مجمل عقيدة أهل السنة الأشاعرة لكي تعلم صفاء هذا العقـيدة وتمسكها بالمأثور عن رسول الله</w:t>
      </w:r>
      <w:r w:rsidR="000636C2">
        <w:rPr>
          <w:rtl/>
          <w:lang w:bidi="ar-KW"/>
        </w:rPr>
        <w:t xml:space="preserve"> </w:t>
      </w:r>
      <w:r w:rsidRPr="005675B2">
        <w:rPr>
          <w:rtl/>
        </w:rPr>
        <w:t>وعن صحابته رضوان الله عليهم</w:t>
      </w:r>
      <w:r w:rsidR="000636C2">
        <w:rPr>
          <w:rtl/>
        </w:rPr>
        <w:t>:</w:t>
      </w:r>
      <w:r w:rsidRPr="005675B2">
        <w:rPr>
          <w:rFonts w:hint="cs"/>
          <w:rtl/>
        </w:rPr>
        <w:t xml:space="preserve"> </w:t>
      </w:r>
      <w:r w:rsidR="000636C2">
        <w:rPr>
          <w:rtl/>
          <w:lang w:bidi="ar-KW"/>
        </w:rPr>
        <w:t>(</w:t>
      </w:r>
      <w:r w:rsidRPr="005675B2">
        <w:rPr>
          <w:rtl/>
          <w:lang w:bidi="ar-KW"/>
        </w:rPr>
        <w:t>الحمد لله المبدئ المعيد، الفعال لما يريد، ذي العرش المجيد والبطش الشديد، الهادي صفوة العبيد إلى المنهج الرشيد والمسلك السديد، المنعم عليهم بعد شهادة التوحيد بحراسة عقائدهم عن ظلمات التشكيك والترديد، السالك بهم إلى اتباع رسوله المصطفى واقتفاء صحبه الأكرمين المكرمين بالتأييد والتسديد، المتجلي لهم في ذاته وأفعاله بمحاسن أوصافه التي لا يدركها إلا من ألقي السمع وهو شهيد، المعرّفِ إياهم أنه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ولا يزال موصوفاً بنعوت الجلال، لا يقضى عليه بالانقضاء والانفصال بتصرم الآباد وانقراض الآجال، بل هو الأول والآخر والظاهر والباطن وهو بكل شيء عليم</w:t>
      </w:r>
      <w:r w:rsidR="000636C2">
        <w:rPr>
          <w:rtl/>
          <w:lang w:bidi="ar-KW"/>
        </w:rPr>
        <w:t xml:space="preserve">، </w:t>
      </w:r>
      <w:r w:rsidRPr="005675B2">
        <w:rPr>
          <w:rtl/>
          <w:lang w:bidi="ar-KW"/>
        </w:rPr>
        <w:t xml:space="preserve">وأنه تعالى ليس بجسم مصور، ولا جوهر محدود مقدر، وأنه تعالى لا يماثل الأجسام ولا يقبل الانقسام، وأنه تعالى ليس بجوهر ولا تحله الجواهر، ولا بعرض ولا تحله الأعراض، بل لا يماثل موجوداً ولا يماثله موجود، </w:t>
      </w:r>
      <w:r w:rsidR="000636C2">
        <w:rPr>
          <w:bCs/>
          <w:rtl/>
          <w:lang w:bidi="ar-KW"/>
        </w:rPr>
        <w:t>(</w:t>
      </w:r>
      <w:r w:rsidRPr="005675B2">
        <w:rPr>
          <w:bCs/>
          <w:rtl/>
          <w:lang w:bidi="ar-KW"/>
        </w:rPr>
        <w:t>ليس كمثله شئ</w:t>
      </w:r>
      <w:r w:rsidR="000636C2">
        <w:rPr>
          <w:bCs/>
          <w:rtl/>
          <w:lang w:bidi="ar-KW"/>
        </w:rPr>
        <w:t xml:space="preserve">) </w:t>
      </w:r>
      <w:r w:rsidRPr="005675B2">
        <w:rPr>
          <w:rtl/>
          <w:lang w:bidi="ar-KW"/>
        </w:rPr>
        <w:t>ولا هو مثل شيء، وأنه لا يحده المقدار ولا تحويه الأقطار، ولا تحيط به الجهات ولا تكتنفه الأرضون والسموات</w:t>
      </w:r>
      <w:r w:rsidR="000636C2">
        <w:rPr>
          <w:rtl/>
          <w:lang w:bidi="ar-KW"/>
        </w:rPr>
        <w:t xml:space="preserve">، </w:t>
      </w:r>
      <w:r w:rsidRPr="005675B2">
        <w:rPr>
          <w:rtl/>
          <w:lang w:bidi="ar-KW"/>
        </w:rPr>
        <w:t>وأنه تعالى مستو على عرشه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سبحانه رفيع الدرجات عن العرش والسماء كما أنه رفيع الدرجات عن الأرض والثرى، وهو مع ذلك قريب من كل موجود وهو أقرب إلى العبد من حبل الوريد، وهو على كل شيء شهيد، إذ لا يماثل قربه قرب الأجسام كما لا تماثل ذاته ذات الأجسام،وأنه تعالى لا يحل في شي ولا يحل فيه شيء، تعالى عن أن يحويه مكان وتقدس عن أن يحده زمان، بل كان قبل أن خلق الزمان والمكان، وهو الآن على ما عليه كان</w:t>
      </w:r>
      <w:r w:rsidR="000636C2">
        <w:rPr>
          <w:rtl/>
          <w:lang w:bidi="ar-KW"/>
        </w:rPr>
        <w:t xml:space="preserve">، </w:t>
      </w:r>
      <w:r w:rsidRPr="005675B2">
        <w:rPr>
          <w:rtl/>
        </w:rPr>
        <w:t>وأنه تعالى بائن عن خلقه بصفاته، ليس في ذاته سواه، ولا في سواه ذاته، وأنه مقدس عن التغير والانتقال، لاتحله الحوادث ولا تعتريه العوارض، بل لا يزال في نعوت جلاله منزهاً عن الزوال، وفي صفات كماله مستغنياً عن زيادة الاستكمال</w:t>
      </w:r>
      <w:r w:rsidR="000636C2">
        <w:rPr>
          <w:rtl/>
        </w:rPr>
        <w:t xml:space="preserve">، </w:t>
      </w:r>
      <w:r w:rsidRPr="005675B2">
        <w:rPr>
          <w:rtl/>
          <w:lang w:bidi="ar-KW"/>
        </w:rPr>
        <w:t>وأنه تعالى في ذاته معلوم الوجود بالعقول، مرئي الذات بالأبصار نعمة منه ولطفاً بالأبرار في دار القرار، وإتماماً منه للنعيم بالنظر إلى وجهه الكريم</w:t>
      </w:r>
      <w:r w:rsidR="000636C2">
        <w:rPr>
          <w:rtl/>
          <w:lang w:bidi="ar-KW"/>
        </w:rPr>
        <w:t xml:space="preserve">، </w:t>
      </w:r>
      <w:r w:rsidRPr="005675B2">
        <w:rPr>
          <w:rtl/>
          <w:lang w:bidi="ar-KW"/>
        </w:rPr>
        <w:t>وأنه تعالى حي قادر جبار قاهر، لا يعتريه قصور ولا عجز ولا تأخذه سنة ولا نوم وأنه ذو الملك والملكوت والعزة والجبروت له السلطان والقهر والخلق والأمر، وأنه المنفرد بالخلق والاختراع المتوحد بالإيجاد والإبداع، خلق الخلق وأعمالهم، وقدر أرزاقهم وآجالهم، لا يشذ عن قبضته مقدور، ولا يعزب عن قدرته تصاريف الأمور، لا تحصى مقدوراته ولا تتناهى معلوماته</w:t>
      </w:r>
      <w:r w:rsidR="000636C2">
        <w:rPr>
          <w:rtl/>
          <w:lang w:bidi="ar-KW"/>
        </w:rPr>
        <w:t xml:space="preserve">، </w:t>
      </w:r>
      <w:r w:rsidRPr="005675B2">
        <w:rPr>
          <w:rtl/>
          <w:lang w:bidi="ar-KW"/>
        </w:rPr>
        <w:t>وأنه تعالى عالم بجميع المعلومات، محيط بما يجري من تخوم الأرضين إلى أعلى السمـاوات، فلا يعزب عن علمه مثقال ذرة في الأرض ولا في السماء، مطلع على هواجس الضمائر وحركات الخواطر وخفيات السرائر بعلم أزلي قديم لم يزل موصوفاً به في أزل الآزال، لا بعلم متجدد حاصل في ذاته بالحلول والانتقال</w:t>
      </w:r>
      <w:r w:rsidR="000636C2">
        <w:rPr>
          <w:rtl/>
          <w:lang w:bidi="ar-KW"/>
        </w:rPr>
        <w:t xml:space="preserve">، </w:t>
      </w:r>
      <w:r w:rsidRPr="005675B2">
        <w:rPr>
          <w:rtl/>
          <w:lang w:bidi="ar-KW"/>
        </w:rPr>
        <w:t>وأنه تعالى مريد للكائنات مدبر للحادثات، لا يجري في الملك قليل أو كثير صغير أو كبير خير أو شر نفع أو ضر إيمان أو كفر عرفان أو نكر فوز أو خسران زيادة أو نقصان طاعة أو عصيان إلا بقضائه وقدره وحكمته ومشيئته فما شاء كان وما لم يشأ لم يكن</w:t>
      </w:r>
      <w:r w:rsidR="000636C2">
        <w:rPr>
          <w:rtl/>
          <w:lang w:bidi="ar-KW"/>
        </w:rPr>
        <w:t xml:space="preserve">، </w:t>
      </w:r>
      <w:r w:rsidRPr="005675B2">
        <w:rPr>
          <w:rtl/>
          <w:lang w:bidi="ar-KW"/>
        </w:rPr>
        <w:t>وأن إرادته قائمة بذاته في جملة صفاته، لم يزل موصوفاً بها، مريداً في أزله لوجود الأشياء في أوقاتها التي قدرها، فوجدت في أوقاتها كما أراده في أزله من غير تقدم ولا تأخر، بل وقعت على وفق علمه وإرادته من غير تبدل ولا تغير، دبّر الأمور لا بترتيب أفكار ولا تربص زمان، فلذلك لم يشغله شأن عن شأن</w:t>
      </w:r>
      <w:r w:rsidR="000636C2">
        <w:rPr>
          <w:rtl/>
          <w:lang w:bidi="ar-KW"/>
        </w:rPr>
        <w:t xml:space="preserve">، </w:t>
      </w:r>
      <w:r w:rsidRPr="005675B2">
        <w:rPr>
          <w:rtl/>
          <w:lang w:bidi="ar-KW"/>
        </w:rPr>
        <w:t>وأنه تعالى سميع بصير، يسمع ويرى ولا يعزب عن سمعه مسموع وإن خفي ولا يغيب عن رؤيته مرئي وإن دق، ولا يحجب سمعه بُعد، ولا يدفع رؤيته ظلام، يرى من غير حدقة وأجفان، ويسمع من غير أصمِخةٍ وآذان، كما يعلم من غير قلب، ويبطش بغير جارحة، ويخلق بغير آلة، إذ لا تشبه صفاته صفات الخلق كما لا تشبه ذاته ذوات الخلق</w:t>
      </w:r>
      <w:r w:rsidR="000636C2">
        <w:rPr>
          <w:rtl/>
          <w:lang w:bidi="ar-KW"/>
        </w:rPr>
        <w:t xml:space="preserve">، </w:t>
      </w:r>
      <w:r w:rsidRPr="005675B2">
        <w:rPr>
          <w:rtl/>
          <w:lang w:bidi="ar-KW"/>
        </w:rPr>
        <w:t>وأنه تعالى متكلم آمرٌ ناهٍ واعدٌ متوعدٌ بكلام أزلي قديم قائم بذاته لا يشبه كلام الخلق، فليس بصوت يحدث من انسلال هواء أو اصطكاك أجرام، ولا بحرف ينقطع بإطباق شفة أو تحريك لسان</w:t>
      </w:r>
      <w:r w:rsidR="000636C2">
        <w:rPr>
          <w:rtl/>
          <w:lang w:bidi="ar-KW"/>
        </w:rPr>
        <w:t xml:space="preserve">، </w:t>
      </w:r>
      <w:r w:rsidRPr="005675B2">
        <w:rPr>
          <w:rtl/>
          <w:lang w:bidi="ar-KW"/>
        </w:rPr>
        <w:t>وأن القرآن والتوراة والإنجيل والزبور كتبه المنزلة على رسله عليهم السلام، وأن القرآن مقروء بالألسنة مكتوب في المصاحف محفوظ في القلوب، وأنه مع ذلك قديم قائم بذات الله تعالى لا يقبل الانفصال والافتراق بالانتقال إلى القلوب والأوراق</w:t>
      </w:r>
      <w:r w:rsidR="000636C2">
        <w:rPr>
          <w:rtl/>
          <w:lang w:bidi="ar-KW"/>
        </w:rPr>
        <w:t xml:space="preserve">، </w:t>
      </w:r>
      <w:r w:rsidRPr="005675B2">
        <w:rPr>
          <w:rtl/>
          <w:lang w:bidi="ar-KW"/>
        </w:rPr>
        <w:t>وأن موسى</w:t>
      </w:r>
      <w:r w:rsidR="000636C2">
        <w:rPr>
          <w:rtl/>
          <w:lang w:bidi="ar-KW"/>
        </w:rPr>
        <w:t xml:space="preserve"> </w:t>
      </w:r>
      <w:r w:rsidRPr="005675B2">
        <w:rPr>
          <w:rtl/>
        </w:rPr>
        <w:t>سمع كلام الله تعالى بغير صوت ولا حرف، كما يرى الأبرار ذات الله تعالى في الآخرة من غير جوهر ولا عرض</w:t>
      </w:r>
      <w:r w:rsidR="000636C2">
        <w:rPr>
          <w:rtl/>
        </w:rPr>
        <w:t xml:space="preserve">، </w:t>
      </w:r>
      <w:r w:rsidRPr="005675B2">
        <w:rPr>
          <w:rtl/>
          <w:lang w:bidi="ar-KW"/>
        </w:rPr>
        <w:t>وإذا كانت له هذه الصفات كان حياً عالماً قادراً مريداً سميعاً بصيراً متكلماً بالحياة والقدرة والعلم والإرادة والسمع والبصر والكلام لا بمجرد الذات</w:t>
      </w:r>
      <w:r w:rsidR="000636C2">
        <w:rPr>
          <w:rtl/>
          <w:lang w:bidi="ar-KW"/>
        </w:rPr>
        <w:t xml:space="preserve">، </w:t>
      </w:r>
      <w:r w:rsidRPr="005675B2">
        <w:rPr>
          <w:rtl/>
          <w:lang w:bidi="ar-KW"/>
        </w:rPr>
        <w:t>وأنه تعالى لا موجود سواه إلا وهو حادث بفعله وفائض من عدله على أحسن الوجوه وأكملها وأتمها وأعدلها، وأنه حكيم في أفعاله عادل في أقضيته لا يقاس عدله بعدل العباد، إذ العبد يتصور منه الظلم بتصرفه في ملك غيره، ولا يتصور الظلم من الله تعالى فإنه لا يصادف لغيره ملكاً حتى يكون تصرفه فيه ظلماً</w:t>
      </w:r>
      <w:r w:rsidR="000636C2">
        <w:rPr>
          <w:rtl/>
          <w:lang w:bidi="ar-KW"/>
        </w:rPr>
        <w:t xml:space="preserve">، </w:t>
      </w:r>
      <w:r w:rsidRPr="005675B2">
        <w:rPr>
          <w:rtl/>
          <w:lang w:bidi="ar-KW"/>
        </w:rPr>
        <w:t>فكل ما سواه من إنس وجن وملك وشيطان وسماء وأرض وحيوان ونبات وجماد وجوهر وعرض ومدرك ومحسوس، حادث اخترعه بقدرته بعد العدم اختراعاً وأنشأه إنشاءً بعد أن لم يكن شيئاً</w:t>
      </w:r>
      <w:r w:rsidR="000636C2">
        <w:rPr>
          <w:rtl/>
          <w:lang w:bidi="ar-KW"/>
        </w:rPr>
        <w:t>،</w:t>
      </w:r>
      <w:r w:rsidRPr="005675B2">
        <w:rPr>
          <w:rtl/>
          <w:lang w:bidi="ar-KW"/>
        </w:rPr>
        <w:t xml:space="preserve"> إذ كان موجوداً وحده ولم يكن معه غيره فأحدث الخلق بعد ذلك إظهاراً لقدرته وتحقيقاً لما سبق من إرادته، ولما حقّ في الأزل من كلمته لا لافتقاره إليه وحاجته</w:t>
      </w:r>
      <w:r w:rsidR="000636C2">
        <w:rPr>
          <w:rtl/>
          <w:lang w:bidi="ar-KW"/>
        </w:rPr>
        <w:t xml:space="preserve">، </w:t>
      </w:r>
      <w:r w:rsidRPr="005675B2">
        <w:rPr>
          <w:rtl/>
          <w:lang w:bidi="ar-KW"/>
        </w:rPr>
        <w:t>وأنه متفضل بالخلق والاختراع والتكليف لا عن وجوب، ومتطول بالإنعام والإصلاح لا عن لزوم، فله الفضل والإحسان والنعمة والامتنان، إذ كان قادراً على أن يَصُبَّ على عباده أنواع العذاب ويبتليهم بضروب الآلام والأوصاب، ولو فعل ذلك لكان منه عدلاً ولم يكن منه قبيحاً ولا ظلماً</w:t>
      </w:r>
      <w:r w:rsidR="000636C2">
        <w:rPr>
          <w:rtl/>
          <w:lang w:bidi="ar-KW"/>
        </w:rPr>
        <w:t xml:space="preserve">، </w:t>
      </w:r>
      <w:r w:rsidRPr="005675B2">
        <w:rPr>
          <w:rtl/>
          <w:lang w:bidi="ar-KW"/>
        </w:rPr>
        <w:t>وأنه تعالى يثيب عباده المؤمنين على الطاعات بحكم الكرم والوعد لا بحكم الاستحقاق واللزوم له، إذ لا يجب عليه لأحد فعل ولا يتصور منه ظلم ولا يجب لأحد عليه حق</w:t>
      </w:r>
      <w:r w:rsidR="000636C2">
        <w:rPr>
          <w:rtl/>
          <w:lang w:bidi="ar-KW"/>
        </w:rPr>
        <w:t xml:space="preserve">، </w:t>
      </w:r>
      <w:r w:rsidRPr="005675B2">
        <w:rPr>
          <w:rtl/>
          <w:lang w:bidi="ar-KW"/>
        </w:rPr>
        <w:t>وأن حقه في الطاعات وجب على الخلق بإيجابه على ألسنة أنبيائه عليهم السلام لا بمجرد العقل، ولكنه بعث الرسل وأظهر صدقهم بالمعجزات الظاهرة فبلغوا أمره ونهيه ووعده ووعيده فوجب على الخلق تصديقهم فيما جاءوا به</w:t>
      </w:r>
      <w:r w:rsidR="000636C2">
        <w:rPr>
          <w:rtl/>
          <w:lang w:bidi="ar-KW"/>
        </w:rPr>
        <w:t xml:space="preserve">، </w:t>
      </w:r>
      <w:r w:rsidRPr="005675B2">
        <w:rPr>
          <w:rtl/>
          <w:lang w:bidi="ar-KW"/>
        </w:rPr>
        <w:t>وأنه تعالى بعث النبي الأمي القرشيّ محمداً صلى الله عليه وسلم برسالته إلى كافة العرب والعجم والجن والإنس فنسخ بشريعته الشرائع إلا ما قرره منها، وفضّله على سائر الأنبياء وجعله سيد البشر، وألزم الخلق تصديقه في جميع ما أخبر من أمور الدنيا والآخرة</w:t>
      </w:r>
      <w:r w:rsidR="000636C2">
        <w:rPr>
          <w:rtl/>
          <w:lang w:bidi="ar-KW"/>
        </w:rPr>
        <w:t xml:space="preserve">، </w:t>
      </w:r>
      <w:r w:rsidRPr="005675B2">
        <w:rPr>
          <w:rtl/>
          <w:lang w:bidi="ar-KW"/>
        </w:rPr>
        <w:t>وأنه لا يقبل إيمان عبد حتى يؤمن بما أخبر به بعد الموت</w:t>
      </w:r>
      <w:r w:rsidR="000636C2">
        <w:rPr>
          <w:rtl/>
          <w:lang w:bidi="ar-KW"/>
        </w:rPr>
        <w:t xml:space="preserve">، </w:t>
      </w:r>
      <w:r w:rsidRPr="005675B2">
        <w:rPr>
          <w:rtl/>
          <w:lang w:bidi="ar-KW"/>
        </w:rPr>
        <w:t>وأوله</w:t>
      </w:r>
      <w:r w:rsidR="000636C2">
        <w:rPr>
          <w:rtl/>
          <w:lang w:bidi="ar-KW"/>
        </w:rPr>
        <w:t>:</w:t>
      </w:r>
      <w:r w:rsidRPr="005675B2">
        <w:rPr>
          <w:rtl/>
          <w:lang w:bidi="ar-KW"/>
        </w:rPr>
        <w:t xml:space="preserve"> سؤال منكر ونكير، وهما شخصان مهيبان هائلان يقعدان العبد في قبره سوياً ذا روح وجسد فيسألانه عن التوحيد والرسالة ويقولان له</w:t>
      </w:r>
      <w:r w:rsidR="000636C2">
        <w:rPr>
          <w:rtl/>
          <w:lang w:bidi="ar-KW"/>
        </w:rPr>
        <w:t>:</w:t>
      </w:r>
      <w:r w:rsidRPr="005675B2">
        <w:rPr>
          <w:rtl/>
          <w:lang w:bidi="ar-KW"/>
        </w:rPr>
        <w:t xml:space="preserve"> من ربك وما دينك ومن نبيك، وهما فتّانا القبر</w:t>
      </w:r>
      <w:r w:rsidR="000636C2">
        <w:rPr>
          <w:rtl/>
          <w:lang w:bidi="ar-KW"/>
        </w:rPr>
        <w:t>،</w:t>
      </w:r>
      <w:r w:rsidRPr="005675B2">
        <w:rPr>
          <w:rtl/>
          <w:lang w:bidi="ar-KW"/>
        </w:rPr>
        <w:t xml:space="preserve"> وأن يؤمن بعذاب القبر ونعيمه وأنه حق وعدل على الجسم والروح على ما يشاء</w:t>
      </w:r>
      <w:r w:rsidR="000636C2">
        <w:rPr>
          <w:rtl/>
          <w:lang w:bidi="ar-KW"/>
        </w:rPr>
        <w:t xml:space="preserve">، </w:t>
      </w:r>
      <w:r w:rsidRPr="005675B2">
        <w:rPr>
          <w:rtl/>
          <w:lang w:bidi="ar-KW"/>
        </w:rPr>
        <w:t>وأن يؤمن بالميزان ذي الكفتين واللسان، توزن به الأعمال بقدرة الله تعالى، وأن يؤمن بأن الصراط حق وهو جسر ممدود على متن جهنم أحد من السيف وأدق من الشعرة تزل عليه أقدام الكافرين بحكم الله تعالى، وتثبت عليه أقدام المؤمنين بفضل الله</w:t>
      </w:r>
      <w:r w:rsidR="000636C2">
        <w:rPr>
          <w:rtl/>
          <w:lang w:bidi="ar-KW"/>
        </w:rPr>
        <w:t xml:space="preserve">، </w:t>
      </w:r>
      <w:r w:rsidRPr="005675B2">
        <w:rPr>
          <w:rtl/>
        </w:rPr>
        <w:t>وأن يؤمن بالحوض المورود حوض نبينا محمد صلي الله عليه وسلم يشرب منه المؤمنون قبل دخول الجنة وبعد جواز الصراط، من شرب منه شربة لم يظمأ بعدها أبداً</w:t>
      </w:r>
      <w:r w:rsidR="000636C2">
        <w:rPr>
          <w:rtl/>
        </w:rPr>
        <w:t xml:space="preserve">، </w:t>
      </w:r>
      <w:r w:rsidRPr="005675B2">
        <w:rPr>
          <w:rtl/>
        </w:rPr>
        <w:t>وأن يؤمن بالحساب وتفاوت الناس فيه إلى مناقش في الحساب وإلى مسامح فيه وإلى من يدخل الجنة بغير حساب وهم المقربون، فيسأل الله تعالى من شاء من الأنبياء عن تبليغ الرسالة، ومن شاء من الكفار عن تكذيب المرسلين</w:t>
      </w:r>
      <w:r w:rsidR="000636C2">
        <w:rPr>
          <w:rtl/>
        </w:rPr>
        <w:t>،</w:t>
      </w:r>
      <w:r w:rsidRPr="005675B2">
        <w:rPr>
          <w:rtl/>
        </w:rPr>
        <w:t xml:space="preserve"> ويسأل المبتدعة عن السنة ويسأل المسلمين عن الأعمال</w:t>
      </w:r>
      <w:r w:rsidR="000636C2">
        <w:rPr>
          <w:rtl/>
        </w:rPr>
        <w:t xml:space="preserve">، </w:t>
      </w:r>
      <w:r w:rsidRPr="005675B2">
        <w:rPr>
          <w:rtl/>
        </w:rPr>
        <w:t>وأن يؤمن بإخراج الموحدين من النار بعد الانتقام حتى لا يبقى في جهنم موحد بفضل الله تعالى، فلا يخلد في النار موحد</w:t>
      </w:r>
      <w:r w:rsidR="000636C2">
        <w:rPr>
          <w:rtl/>
        </w:rPr>
        <w:t xml:space="preserve">، </w:t>
      </w:r>
      <w:r w:rsidRPr="005675B2">
        <w:rPr>
          <w:rtl/>
        </w:rPr>
        <w:t>وأن يؤمن بشفاعة الأنبياء ثم العلماء ثم الشهداء ثم سائر المؤمنين كل على حسب جاهه ومنزلته عند الله تعالى</w:t>
      </w:r>
      <w:r w:rsidR="000636C2">
        <w:rPr>
          <w:rtl/>
        </w:rPr>
        <w:t xml:space="preserve">، </w:t>
      </w:r>
      <w:r w:rsidRPr="005675B2">
        <w:rPr>
          <w:rtl/>
        </w:rPr>
        <w:t>وأن يعتقد فضل الصحابة رضي الله عنهم وترتيبهم وأن أفضل الناس بعد النبي</w:t>
      </w:r>
      <w:r w:rsidR="000636C2">
        <w:rPr>
          <w:rtl/>
        </w:rPr>
        <w:t>:</w:t>
      </w:r>
      <w:r w:rsidRPr="005675B2">
        <w:rPr>
          <w:rtl/>
        </w:rPr>
        <w:t xml:space="preserve"> أبو بكر ثم عمر ثم عثمان ثم علي رضي الله عنهم</w:t>
      </w:r>
      <w:r w:rsidR="000636C2">
        <w:rPr>
          <w:rtl/>
        </w:rPr>
        <w:t xml:space="preserve">، </w:t>
      </w:r>
      <w:r w:rsidRPr="005675B2">
        <w:rPr>
          <w:rtl/>
        </w:rPr>
        <w:t>وأن يحسن الظن بجميع الصحابة ويثني عليهم كما أثنى الله عز وجل ورسوله</w:t>
      </w:r>
      <w:r w:rsidR="000636C2">
        <w:rPr>
          <w:rtl/>
        </w:rPr>
        <w:t xml:space="preserve"> </w:t>
      </w:r>
      <w:r w:rsidRPr="005675B2">
        <w:rPr>
          <w:rtl/>
        </w:rPr>
        <w:t>عليهم أجمعين</w:t>
      </w:r>
      <w:r w:rsidR="000636C2">
        <w:rPr>
          <w:rtl/>
        </w:rPr>
        <w:t xml:space="preserve">، </w:t>
      </w:r>
      <w:r w:rsidRPr="005675B2">
        <w:rPr>
          <w:rtl/>
        </w:rPr>
        <w:t>فكل ذلك مما وردت به الأخبار وشهدت به الآثار فمن اعتقد جميع ذلك موقناً به كان من أهل الحق وعصابة السنة وفارق رهط الضلال وحزب البدعة</w:t>
      </w:r>
      <w:r w:rsidR="000636C2">
        <w:rPr>
          <w:rtl/>
        </w:rPr>
        <w:t xml:space="preserve">، </w:t>
      </w:r>
      <w:r w:rsidRPr="005675B2">
        <w:rPr>
          <w:rtl/>
        </w:rPr>
        <w:t>فنسأل الله كمال اليقين وحسن الثبات في الدين لنا ولكافة المسلمين برحمته إنه أرحم الراحمين وصلى الله على سيدنا محمد وعلى كل عبد مصطفى</w:t>
      </w:r>
      <w:r w:rsidR="000636C2">
        <w:rPr>
          <w:rtl/>
        </w:rPr>
        <w:t>)</w:t>
      </w:r>
      <w:r w:rsidRPr="005675B2">
        <w:rPr>
          <w:rFonts w:hint="cs"/>
          <w:bCs/>
          <w:rtl/>
        </w:rPr>
        <w:t xml:space="preserve"> </w:t>
      </w:r>
      <w:r w:rsidR="000636C2">
        <w:rPr>
          <w:rFonts w:hint="cs"/>
          <w:bCs/>
          <w:sz w:val="24"/>
          <w:szCs w:val="24"/>
          <w:rtl/>
        </w:rPr>
        <w:t>[</w:t>
      </w:r>
      <w:r w:rsidRPr="005675B2">
        <w:rPr>
          <w:sz w:val="24"/>
          <w:szCs w:val="24"/>
          <w:rtl/>
        </w:rPr>
        <w:t>من كتاب قواعد العقائد – لحجة الإسلام أبي حامد الغزالي رحمه الله تعالى بتصرف يسير</w:t>
      </w:r>
      <w:r w:rsidR="000636C2">
        <w:rPr>
          <w:bCs/>
          <w:sz w:val="24"/>
          <w:szCs w:val="24"/>
          <w:rtl/>
        </w:rPr>
        <w:t>]</w:t>
      </w:r>
      <w:r w:rsidR="000636C2">
        <w:rPr>
          <w:rFonts w:hint="cs"/>
          <w:bCs/>
          <w:sz w:val="24"/>
          <w:szCs w:val="24"/>
          <w:rtl/>
        </w:rPr>
        <w:t>،</w:t>
      </w:r>
      <w:r w:rsidRPr="005675B2">
        <w:rPr>
          <w:bCs/>
          <w:rtl/>
        </w:rPr>
        <w:t xml:space="preserve"> </w:t>
      </w:r>
      <w:r w:rsidRPr="005675B2">
        <w:rPr>
          <w:rtl/>
          <w:lang w:bidi="ar-KW"/>
        </w:rPr>
        <w:t xml:space="preserve">قال الإمام العارف بالله الحبيب عبدالله بن علوي الحداد رضي الله تعالـى عنـه ونفعنـا بـه في هذه العقيدة حاثّاً على الأخذ والتمسك بها </w:t>
      </w:r>
      <w:r w:rsidR="000636C2">
        <w:rPr>
          <w:rtl/>
          <w:lang w:bidi="ar-KW"/>
        </w:rPr>
        <w:t>(</w:t>
      </w:r>
      <w:r w:rsidRPr="005675B2">
        <w:rPr>
          <w:rtl/>
          <w:lang w:bidi="ar-KW"/>
        </w:rPr>
        <w:t>رسالة المعاونة والمظاهرة ص/68</w:t>
      </w:r>
      <w:r w:rsidR="000636C2">
        <w:rPr>
          <w:rtl/>
          <w:lang w:bidi="ar-KW"/>
        </w:rPr>
        <w:t>):</w:t>
      </w:r>
      <w:r w:rsidRPr="005675B2">
        <w:rPr>
          <w:rFonts w:hint="cs"/>
          <w:rtl/>
          <w:lang w:bidi="ar-KW"/>
        </w:rPr>
        <w:t xml:space="preserve"> </w:t>
      </w:r>
      <w:r w:rsidR="000636C2">
        <w:rPr>
          <w:rtl/>
          <w:lang w:bidi="ar-KW"/>
        </w:rPr>
        <w:t>(</w:t>
      </w:r>
      <w:r w:rsidRPr="005675B2">
        <w:rPr>
          <w:rtl/>
          <w:lang w:bidi="ar-KW"/>
        </w:rPr>
        <w:t>وينبغي لكل مؤمن أن يحصِّن معتقده بحفظ عقيدة من عقائد الأئمة المجمع على جلالتهم ورسوخهم في العلم، ولا أحسب مبتغي ذلك يصادف عقيدة جامعة واضحة بعيدة عن الشُّبه، سالمة من الأشياء الموهمة مثل عقيدة الإمام الغزالي رضي الله عنه التي أوردها في الفصل الأول من كتاب العقائد من الإحياء، فعليك بها</w:t>
      </w:r>
      <w:r w:rsidR="000636C2">
        <w:rPr>
          <w:rtl/>
          <w:lang w:bidi="ar-KW"/>
        </w:rPr>
        <w:t>)</w:t>
      </w:r>
      <w:r w:rsidRPr="005675B2">
        <w:rPr>
          <w:rtl/>
          <w:lang w:bidi="ar-KW"/>
        </w:rPr>
        <w:t xml:space="preserve"> اهـ</w:t>
      </w:r>
      <w:r w:rsidR="000636C2">
        <w:rPr>
          <w:rtl/>
          <w:lang w:bidi="ar-KW"/>
        </w:rPr>
        <w:t xml:space="preserve">، </w:t>
      </w:r>
      <w:r w:rsidRPr="005675B2">
        <w:rPr>
          <w:rtl/>
        </w:rPr>
        <w:t xml:space="preserve">قال الإمام عبد القاهر البغدادي - رحمه الله تعالى - بعد أن فصّل هذه العقيدة </w:t>
      </w:r>
      <w:r w:rsidR="000636C2">
        <w:rPr>
          <w:rtl/>
          <w:lang w:bidi="ar-KW"/>
        </w:rPr>
        <w:t>(</w:t>
      </w:r>
      <w:r w:rsidRPr="005675B2">
        <w:rPr>
          <w:rtl/>
          <w:lang w:bidi="ar-KW"/>
        </w:rPr>
        <w:t>الفـرق بـين الفرق ص/ 20</w:t>
      </w:r>
      <w:r w:rsidR="000636C2">
        <w:rPr>
          <w:rtl/>
          <w:lang w:bidi="ar-KW"/>
        </w:rPr>
        <w:t>):</w:t>
      </w:r>
      <w:r w:rsidRPr="005675B2">
        <w:rPr>
          <w:rFonts w:hint="cs"/>
          <w:rtl/>
        </w:rPr>
        <w:t xml:space="preserve"> </w:t>
      </w:r>
      <w:r w:rsidR="000636C2">
        <w:rPr>
          <w:rtl/>
        </w:rPr>
        <w:t>(</w:t>
      </w:r>
      <w:r w:rsidRPr="005675B2">
        <w:rPr>
          <w:bCs/>
          <w:rtl/>
        </w:rPr>
        <w:t>فمن قال بهذه الجهة التي ذكرناها ولم يخلط إيمانه بشيء من بدع سائر أهل الأهواء فهو من جملة الفرقة الناجية إن ختم له بها</w:t>
      </w:r>
      <w:r w:rsidR="000636C2">
        <w:rPr>
          <w:rtl/>
        </w:rPr>
        <w:t>)</w:t>
      </w:r>
      <w:r w:rsidRPr="005675B2">
        <w:rPr>
          <w:rtl/>
        </w:rPr>
        <w:t xml:space="preserve"> اهـ</w:t>
      </w:r>
      <w:r w:rsidR="000636C2">
        <w:rPr>
          <w:rtl/>
        </w:rPr>
        <w:t xml:space="preserve">، </w:t>
      </w:r>
      <w:r w:rsidRPr="005675B2">
        <w:rPr>
          <w:rtl/>
        </w:rPr>
        <w:t xml:space="preserve">وقال الإمام أبو المظفر الاسفراييني - رحمه الله تعالى - </w:t>
      </w:r>
      <w:r w:rsidR="000636C2">
        <w:rPr>
          <w:rtl/>
          <w:lang w:bidi="ar-KW"/>
        </w:rPr>
        <w:t>(</w:t>
      </w:r>
      <w:r w:rsidRPr="005675B2">
        <w:rPr>
          <w:rtl/>
          <w:lang w:bidi="ar-KW"/>
        </w:rPr>
        <w:t>التبصير في الدين ص / 180</w:t>
      </w:r>
      <w:r w:rsidR="000636C2">
        <w:rPr>
          <w:rtl/>
          <w:lang w:bidi="ar-KW"/>
        </w:rPr>
        <w:t>):</w:t>
      </w:r>
      <w:r w:rsidRPr="005675B2">
        <w:rPr>
          <w:rFonts w:hint="cs"/>
          <w:rtl/>
          <w:lang w:bidi="ar-KW"/>
        </w:rPr>
        <w:t xml:space="preserve"> </w:t>
      </w:r>
      <w:r w:rsidR="000636C2">
        <w:rPr>
          <w:rtl/>
        </w:rPr>
        <w:t>(</w:t>
      </w:r>
      <w:r w:rsidRPr="005675B2">
        <w:rPr>
          <w:rtl/>
        </w:rPr>
        <w:t>وأن تعلم أن كل من تديّن بهذا الدين الذي وصفناه من اعتقاد الفرقة الناجية فهو على الحق وعلى الصراط المستقيم، فمن بدعه فهو مبتدع، ومن ضلله فهو ضال ومن كفره فهو كافر، لأن من اعتقد أن الإيمان كفر وأن الهداية ضلالة وأن السنة بدعة كان اعتقاده كفراً وضلالةً وبدعةً</w:t>
      </w:r>
      <w:r w:rsidR="000636C2">
        <w:rPr>
          <w:rtl/>
        </w:rPr>
        <w:t>)</w:t>
      </w:r>
      <w:r w:rsidRPr="005675B2">
        <w:rPr>
          <w:rtl/>
        </w:rPr>
        <w:t xml:space="preserve"> اهـ</w:t>
      </w:r>
      <w:r w:rsidR="000636C2">
        <w:rPr>
          <w:rtl/>
        </w:rPr>
        <w:t xml:space="preserve">، </w:t>
      </w:r>
      <w:r w:rsidRPr="005675B2">
        <w:rPr>
          <w:rtl/>
        </w:rPr>
        <w:t>جعلنا الله تعالى من المتمسكين بهذه العقيدة العاملين بمقتضاها وختم لنا بها آمين</w:t>
      </w:r>
      <w:r w:rsidR="000636C2">
        <w:rPr>
          <w:rtl/>
        </w:rPr>
        <w:t xml:space="preserve">، </w:t>
      </w:r>
    </w:p>
    <w:p w14:paraId="57939F1B" w14:textId="65D582D9" w:rsidR="009C32A0" w:rsidRPr="005675B2" w:rsidRDefault="009C32A0" w:rsidP="000636C2">
      <w:pPr>
        <w:widowControl w:val="0"/>
        <w:spacing w:before="80" w:after="240"/>
        <w:rPr>
          <w:rtl/>
          <w:lang w:val="uz-Latn-UZ" w:bidi="ar-KW"/>
        </w:rPr>
      </w:pPr>
      <w:r w:rsidRPr="005675B2">
        <w:rPr>
          <w:bCs/>
          <w:rtl/>
          <w:lang w:val="uz-Latn-UZ" w:bidi="ar-KW"/>
        </w:rPr>
        <w:t>الخاتمة</w:t>
      </w:r>
      <w:r w:rsidR="000636C2">
        <w:rPr>
          <w:rFonts w:hint="cs"/>
          <w:bCs/>
          <w:rtl/>
          <w:lang w:val="uz-Latn-UZ" w:bidi="ar-KW"/>
        </w:rPr>
        <w:t>:</w:t>
      </w:r>
      <w:r w:rsidRPr="005675B2">
        <w:rPr>
          <w:rFonts w:hint="cs"/>
          <w:bCs/>
          <w:rtl/>
          <w:lang w:val="uz-Latn-UZ" w:bidi="ar-KW"/>
        </w:rPr>
        <w:t xml:space="preserve"> </w:t>
      </w:r>
      <w:r w:rsidRPr="005675B2">
        <w:rPr>
          <w:rtl/>
          <w:lang w:val="uz-Latn-UZ" w:bidi="ar-KW"/>
        </w:rPr>
        <w:t>هذه خاتمة تطوافنا في هذا الموضوع الذي كثر السؤال عنه، وعمّ الجهل به، على الرغم من أهميته وخطورته، موضوع غشّى على وجه الحقيقة فيه الجهل أحياناً، والتعصب أحياناً أخرى، فكانت النتيجة هذا الظلم الواقع على جل الأمة وجِلّتها</w:t>
      </w:r>
      <w:r w:rsidR="000636C2">
        <w:rPr>
          <w:rtl/>
          <w:lang w:val="uz-Latn-UZ" w:bidi="ar-KW"/>
        </w:rPr>
        <w:t xml:space="preserve">، </w:t>
      </w:r>
      <w:r w:rsidRPr="005675B2">
        <w:rPr>
          <w:rtl/>
          <w:lang w:val="uz-Latn-UZ" w:bidi="ar-KW"/>
        </w:rPr>
        <w:t>لقد كنا نظن أن لن يتجاوز هذا البحث ورقات قليلة، ففوجئنا به وقد أوفى على المئة صفحة، إذ كلما أنجزنا الحديث عن مسألة جرّنا الحديث إلى مسألة أخرى لا تقلّ أهمية عن أختها التي سبقتها</w:t>
      </w:r>
      <w:r w:rsidR="000636C2">
        <w:rPr>
          <w:rtl/>
          <w:lang w:val="uz-Latn-UZ" w:bidi="ar-KW"/>
        </w:rPr>
        <w:t xml:space="preserve">، </w:t>
      </w:r>
      <w:r w:rsidRPr="005675B2">
        <w:rPr>
          <w:rtl/>
          <w:lang w:val="uz-Latn-UZ" w:bidi="ar-KW"/>
        </w:rPr>
        <w:t>على أننا نرجوا أن نكون غطينا جوانب الموضوع بسطاً ومناقشة، وأعطيناه ما يستحق من الإيضاح والبيان، إذ هو بشتى قضاياه ومسائله بالغ الأهمية والخطورة والدقة، ولولا أن خاض به البعض فأساءوا</w:t>
      </w:r>
      <w:r w:rsidR="000636C2">
        <w:rPr>
          <w:rtl/>
          <w:lang w:val="uz-Latn-UZ" w:bidi="ar-KW"/>
        </w:rPr>
        <w:t xml:space="preserve"> </w:t>
      </w:r>
      <w:r w:rsidRPr="005675B2">
        <w:rPr>
          <w:rtl/>
          <w:lang w:val="uz-Latn-UZ" w:bidi="ar-KW"/>
        </w:rPr>
        <w:t>- هداهم الله</w:t>
      </w:r>
      <w:r w:rsidR="000636C2">
        <w:rPr>
          <w:rtl/>
          <w:lang w:val="uz-Latn-UZ" w:bidi="ar-KW"/>
        </w:rPr>
        <w:t xml:space="preserve"> </w:t>
      </w:r>
      <w:r w:rsidRPr="005675B2">
        <w:rPr>
          <w:rtl/>
          <w:lang w:val="uz-Latn-UZ" w:bidi="ar-KW"/>
        </w:rPr>
        <w:t>- وبلبلوا أفكار الأجيال المسلمة الناشئة، وألقوا إلى أذهانهم تضليلَ علماء الإسلام من الأشاعرة والماتريدية وانحرافَهم عن طريق السلف، نقول لولا هذا ما ولجنا هذا الباب، ولتركناه موصداً، ولكن ما حيلتنا وقد فتح البعض هذا الباب على مصراعيه، وانطلقوا</w:t>
      </w:r>
      <w:r w:rsidR="000636C2">
        <w:rPr>
          <w:rtl/>
          <w:lang w:val="uz-Latn-UZ" w:bidi="ar-KW"/>
        </w:rPr>
        <w:t xml:space="preserve"> </w:t>
      </w:r>
      <w:r w:rsidRPr="005675B2">
        <w:rPr>
          <w:rtl/>
          <w:lang w:val="uz-Latn-UZ" w:bidi="ar-KW"/>
        </w:rPr>
        <w:t>- دون تثبت ولا بينة ولا علم</w:t>
      </w:r>
      <w:r w:rsidR="000636C2">
        <w:rPr>
          <w:rtl/>
          <w:lang w:val="uz-Latn-UZ" w:bidi="ar-KW"/>
        </w:rPr>
        <w:t xml:space="preserve"> </w:t>
      </w:r>
      <w:r w:rsidRPr="005675B2">
        <w:rPr>
          <w:rtl/>
          <w:lang w:val="uz-Latn-UZ" w:bidi="ar-KW"/>
        </w:rPr>
        <w:t>- يضللون ويبدعون، ولا حول ولا قوة إلا بالله</w:t>
      </w:r>
      <w:r w:rsidR="000636C2">
        <w:rPr>
          <w:rtl/>
          <w:lang w:val="uz-Latn-UZ" w:bidi="ar-KW"/>
        </w:rPr>
        <w:t xml:space="preserve">، </w:t>
      </w:r>
      <w:r w:rsidRPr="005675B2">
        <w:rPr>
          <w:rtl/>
          <w:lang w:val="uz-Latn-UZ" w:bidi="ar-KW"/>
        </w:rPr>
        <w:t>لقد حاولنا جهدنا في هذا البحث</w:t>
      </w:r>
      <w:r w:rsidR="000636C2">
        <w:rPr>
          <w:rtl/>
          <w:lang w:val="uz-Latn-UZ" w:bidi="ar-KW"/>
        </w:rPr>
        <w:t xml:space="preserve"> </w:t>
      </w:r>
      <w:r w:rsidRPr="005675B2">
        <w:rPr>
          <w:rtl/>
          <w:lang w:val="uz-Latn-UZ" w:bidi="ar-KW"/>
        </w:rPr>
        <w:t>- وكما هي سمة بحوثنا</w:t>
      </w:r>
      <w:r w:rsidR="000636C2">
        <w:rPr>
          <w:rtl/>
          <w:lang w:val="uz-Latn-UZ" w:bidi="ar-KW"/>
        </w:rPr>
        <w:t xml:space="preserve"> </w:t>
      </w:r>
      <w:r w:rsidRPr="005675B2">
        <w:rPr>
          <w:rtl/>
          <w:lang w:val="uz-Latn-UZ" w:bidi="ar-KW"/>
        </w:rPr>
        <w:t>- أن لا نورد قناعاتنا الشخصية، وحرصنا على الاكتفاء بالنقل عن علماء الأمة وساداتها وأكابرها، فهؤلاء الأئمة هم الذين كانوا يخاطبون القارئ في هذا البحث من خلال نقولاتهم ونصوصهم التي جمعناها فيه، وهذا الذي نقلناهـ على كثرته إذ بلغت المصادر التي نقلنا منها زهاء المئة- ما هو في الحقيقة والواقع إلا نزر يسير لا يذكر من أقوال الأئمة والعلماء، ولقد اكتفينا بمن هو معروف بين العامة، ولو أردنا الاستقصاء</w:t>
      </w:r>
      <w:r w:rsidR="000636C2">
        <w:rPr>
          <w:rtl/>
          <w:lang w:val="uz-Latn-UZ" w:bidi="ar-KW"/>
        </w:rPr>
        <w:t xml:space="preserve"> </w:t>
      </w:r>
      <w:r w:rsidRPr="005675B2">
        <w:rPr>
          <w:rtl/>
          <w:lang w:val="uz-Latn-UZ" w:bidi="ar-KW"/>
        </w:rPr>
        <w:t>- وأنّى لنا به</w:t>
      </w:r>
      <w:r w:rsidR="000636C2">
        <w:rPr>
          <w:rtl/>
          <w:lang w:val="uz-Latn-UZ" w:bidi="ar-KW"/>
        </w:rPr>
        <w:t xml:space="preserve"> </w:t>
      </w:r>
      <w:r w:rsidRPr="005675B2">
        <w:rPr>
          <w:rtl/>
          <w:lang w:val="uz-Latn-UZ" w:bidi="ar-KW"/>
        </w:rPr>
        <w:t>- لضاق الزمان والمكان، ووالله ما نقول ذلك تخرّصاً وميناً، كلا، بل هي حقيقة يشهد بها التاريخ وتُقِرُّ بها الدنيا</w:t>
      </w:r>
      <w:r w:rsidR="000636C2">
        <w:rPr>
          <w:rtl/>
          <w:lang w:val="uz-Latn-UZ" w:bidi="ar-KW"/>
        </w:rPr>
        <w:t xml:space="preserve">، </w:t>
      </w:r>
      <w:r w:rsidRPr="005675B2">
        <w:rPr>
          <w:rtl/>
          <w:lang w:val="uz-Latn-UZ" w:bidi="ar-KW"/>
        </w:rPr>
        <w:t>على أية حال صار هذا البحث الآن في عهدة القارئ، وهو المعنيّ باكتشاف الجهد المبذول فيه، وهو المعنيّ أيضا بوزن الحقيقة التي اعتضدت بالبراهين والحجج العقلية والنقلية، ونخلص الآن إلى أهم النتائج التي خرجنا بها في هذا البحث، وهي</w:t>
      </w:r>
      <w:r w:rsidR="000636C2">
        <w:rPr>
          <w:rtl/>
          <w:lang w:val="uz-Latn-UZ" w:bidi="ar-KW"/>
        </w:rPr>
        <w:t>:</w:t>
      </w:r>
    </w:p>
    <w:p w14:paraId="554BBD67" w14:textId="76DEBAA5" w:rsidR="009C32A0" w:rsidRPr="005675B2" w:rsidRDefault="009C32A0" w:rsidP="009C32A0">
      <w:pPr>
        <w:widowControl w:val="0"/>
        <w:numPr>
          <w:ilvl w:val="0"/>
          <w:numId w:val="14"/>
        </w:numPr>
        <w:spacing w:before="80" w:after="240" w:line="276" w:lineRule="auto"/>
        <w:ind w:left="0" w:firstLine="0"/>
        <w:rPr>
          <w:rtl/>
          <w:lang w:val="uz-Latn-UZ" w:bidi="ar-KW"/>
        </w:rPr>
      </w:pPr>
      <w:r w:rsidRPr="005675B2">
        <w:rPr>
          <w:rtl/>
          <w:lang w:val="uz-Latn-UZ" w:bidi="ar-KW"/>
        </w:rPr>
        <w:t>الأشاعرة والماتريدية هم أتباع الإمامين العظيمين أبي الحسن الأشعري وأبي منصورالماتريدي، إمامي أهل السنة والجماعة رضي الله عنهما، وهما لم يبتدعا طريقاً غير طريق السلف الصالح، ولم ينشئا مذهباً جديداً، بل هما مقرران لمذاهب السلف مدافعان عنها، مؤيدان لها بالأدلة العقلية، فالانتساب لهما إنما هو من حيث كونهما شَهَرَا طريقة السلف، فهما بمنزلة الأئمة الأربعة في الفروع الفقهية، إذ كما أن المنتسب إلى أحد الأربعة هو في حقيقة الأمر متبع للسلف غير مخالف لهم، فالمتبع لأحد هذين الإمامين</w:t>
      </w:r>
      <w:r w:rsidR="000636C2">
        <w:rPr>
          <w:rtl/>
          <w:lang w:val="uz-Latn-UZ" w:bidi="ar-KW"/>
        </w:rPr>
        <w:t xml:space="preserve"> </w:t>
      </w:r>
      <w:r w:rsidRPr="005675B2">
        <w:rPr>
          <w:rtl/>
          <w:lang w:val="uz-Latn-UZ" w:bidi="ar-KW"/>
        </w:rPr>
        <w:t>- أيضاً</w:t>
      </w:r>
      <w:r w:rsidR="000636C2">
        <w:rPr>
          <w:rtl/>
          <w:lang w:val="uz-Latn-UZ" w:bidi="ar-KW"/>
        </w:rPr>
        <w:t xml:space="preserve"> </w:t>
      </w:r>
      <w:r w:rsidRPr="005675B2">
        <w:rPr>
          <w:rtl/>
          <w:lang w:val="uz-Latn-UZ" w:bidi="ar-KW"/>
        </w:rPr>
        <w:t>- متبع للسلف غير مفارق لهم في المنهج</w:t>
      </w:r>
      <w:r w:rsidR="000636C2">
        <w:rPr>
          <w:rtl/>
          <w:lang w:val="uz-Latn-UZ" w:bidi="ar-KW"/>
        </w:rPr>
        <w:t>،</w:t>
      </w:r>
      <w:r w:rsidRPr="005675B2">
        <w:rPr>
          <w:rtl/>
          <w:lang w:val="uz-Latn-UZ" w:bidi="ar-KW"/>
        </w:rPr>
        <w:t xml:space="preserve"> </w:t>
      </w:r>
    </w:p>
    <w:p w14:paraId="55ADF627" w14:textId="79A3674B" w:rsidR="009C32A0" w:rsidRPr="005675B2" w:rsidRDefault="009C32A0" w:rsidP="009C32A0">
      <w:pPr>
        <w:widowControl w:val="0"/>
        <w:numPr>
          <w:ilvl w:val="0"/>
          <w:numId w:val="14"/>
        </w:numPr>
        <w:spacing w:before="80" w:after="240" w:line="276" w:lineRule="auto"/>
        <w:ind w:left="0" w:firstLine="0"/>
        <w:rPr>
          <w:rtl/>
          <w:lang w:val="uz-Latn-UZ" w:bidi="ar-KW"/>
        </w:rPr>
      </w:pPr>
      <w:r w:rsidRPr="005675B2">
        <w:rPr>
          <w:rtl/>
          <w:lang w:val="uz-Latn-UZ" w:bidi="ar-KW"/>
        </w:rPr>
        <w:t>أهل السنة والجماعة مصطلح يراد به عند العلماء الأشاعرة والماتريدية وأصحاب الحديث، فإن هؤلاء هم السواد الأعظم والكثرة الغالبة التي عمّت جميع الأدوار التاريخية ومعظم مساحة الدولة الإسلامية منذ أوائل القرن الرابع إلى يوم الناس هذا، وكانوا قبل ذلك يُسَـمَّون بالمثبتة، لكونهم أثبتوا الصفات التي نفاها المعتزلة، ثم سُمُّوا أهل السنة بعد ظهور إمامي أهل السنة الأشعري والماتريدي لكونهما نصروا السنة وقمعوا البدعة</w:t>
      </w:r>
      <w:r w:rsidR="000636C2">
        <w:rPr>
          <w:rtl/>
          <w:lang w:val="uz-Latn-UZ" w:bidi="ar-KW"/>
        </w:rPr>
        <w:t>،</w:t>
      </w:r>
      <w:r w:rsidRPr="005675B2">
        <w:rPr>
          <w:rtl/>
          <w:lang w:val="uz-Latn-UZ" w:bidi="ar-KW"/>
        </w:rPr>
        <w:t xml:space="preserve"> </w:t>
      </w:r>
    </w:p>
    <w:p w14:paraId="0DC918ED" w14:textId="0A456A76"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ليس في المتشابه من نصوص الصفات إلا مذهبان صحيحان للعلماء، هما مذهب التفويض الذي ذهب إليه جمهور السلف، ومذهب التأويل الذي قال به جماعات من السلف وجمهور الخلف، وليس بعد هذين المذهبين إلا الجنوح نحو التعطيل أو التشبيه</w:t>
      </w:r>
      <w:r w:rsidR="000636C2">
        <w:rPr>
          <w:rtl/>
          <w:lang w:val="uz-Latn-UZ" w:bidi="ar-KW"/>
        </w:rPr>
        <w:t>،</w:t>
      </w:r>
      <w:r w:rsidRPr="005675B2">
        <w:rPr>
          <w:rtl/>
          <w:lang w:val="uz-Latn-UZ" w:bidi="ar-KW"/>
        </w:rPr>
        <w:t xml:space="preserve"> </w:t>
      </w:r>
    </w:p>
    <w:p w14:paraId="76CDFF01" w14:textId="5C9FFF14"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لا خلاف بين مذهب التفويض والتأويل، إذ كلاهما مبني على تنزيه الله تعالى عن ظواهر المتشابهات وحقائقها اللغوية المستحيلة في حقه تعالى، والاختلاف بين المسلكين داخل في دائرة الاختلاف الجائز الذي لا يستلزم تضليلاً ولا تبديعاً، فكلا المسلكين منقول عن سلف الأمة</w:t>
      </w:r>
      <w:r w:rsidR="000636C2">
        <w:rPr>
          <w:rtl/>
          <w:lang w:val="uz-Latn-UZ" w:bidi="ar-KW"/>
        </w:rPr>
        <w:t>،</w:t>
      </w:r>
      <w:r w:rsidRPr="005675B2">
        <w:rPr>
          <w:rtl/>
          <w:lang w:val="uz-Latn-UZ" w:bidi="ar-KW"/>
        </w:rPr>
        <w:t xml:space="preserve"> </w:t>
      </w:r>
    </w:p>
    <w:p w14:paraId="57BCD16F" w14:textId="68B09284"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التأويل بشروطه التي بينها العلماء شعار سُنّي لاسبيل إلى فهم كتاب الله تعالى وسنة نبيّه صلى الله عليه وسلم فهماً صحيحاً إلا بالأخذ به، فهو أمر لا محيد عنه، وكل من ينكره مضطر إليه في بعض النصوص</w:t>
      </w:r>
      <w:r w:rsidR="000636C2">
        <w:rPr>
          <w:rtl/>
          <w:lang w:val="uz-Latn-UZ" w:bidi="ar-KW"/>
        </w:rPr>
        <w:t>،</w:t>
      </w:r>
      <w:r w:rsidRPr="005675B2">
        <w:rPr>
          <w:rtl/>
          <w:lang w:val="uz-Latn-UZ" w:bidi="ar-KW"/>
        </w:rPr>
        <w:t xml:space="preserve"> </w:t>
      </w:r>
    </w:p>
    <w:p w14:paraId="01BB63C6" w14:textId="4C43F1C4"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التأويل السُنّي ليس تعطيلاً أو طريقاً إلى التعطيل، والذي يتهم الخلف من الأمة بالتعطيل من أجل أخذهم بالتأويل هو في حقيقة الأمر متهم لسلف الأمة الصالح بهذه التهمة، لأن جماعات من السلف قالوا بالتأويل، وقد نقلنا طرفاً من أقوالهم وتأويلاتهم ونصوص العلماء في ذلك في ثنايا البحث</w:t>
      </w:r>
      <w:r w:rsidR="000636C2">
        <w:rPr>
          <w:rtl/>
          <w:lang w:val="uz-Latn-UZ" w:bidi="ar-KW"/>
        </w:rPr>
        <w:t>،</w:t>
      </w:r>
      <w:r w:rsidRPr="005675B2">
        <w:rPr>
          <w:rtl/>
          <w:lang w:val="uz-Latn-UZ" w:bidi="ar-KW"/>
        </w:rPr>
        <w:t xml:space="preserve"> </w:t>
      </w:r>
    </w:p>
    <w:p w14:paraId="0CEF4B3F" w14:textId="197C0A83"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بحسب الأشاعرة والماتريدية من شهود الإثبات التي تشهد بفضلهم وفضائلهم ومناقبهم وسابقتهم الحسنة في الدين ما تزخر به المكتبة الإسلامية من المعارف والعلوم والمفاخر التي هي بمنزلة الدرّة اليتيمة في تاج المعارف الإنسانية، ومن أنصف ونظر نظرة سريعة خاطفة إلى المكتبة الإسلامية بشتى أقسامها من القرآن وعلومه والحديث وفنونه والفقه وفروعه وأصوله والسير والمغازي والتواريخ واللغة والأدب وغير ذلك من المعارف التي يضيق عن تفصيلها المقام، نقول من أنصف ونظر هذه النظرة السريعة إلى ما ذكرنا خرج بيقين لا يشوبه ريب بفضل علماء الأمة من الأشاعرة والماتريدية، وتبين له بجلاء ذلك الجهد الهائل الجبار الذي بذله هؤلاء الأعلام في الذود عن الدين والدفاع عن الإسلام والمسلمين</w:t>
      </w:r>
      <w:r w:rsidR="000636C2">
        <w:rPr>
          <w:rtl/>
          <w:lang w:val="uz-Latn-UZ" w:bidi="ar-KW"/>
        </w:rPr>
        <w:t>،</w:t>
      </w:r>
      <w:r w:rsidRPr="005675B2">
        <w:rPr>
          <w:rtl/>
          <w:lang w:val="uz-Latn-UZ" w:bidi="ar-KW"/>
        </w:rPr>
        <w:t xml:space="preserve"> </w:t>
      </w:r>
    </w:p>
    <w:p w14:paraId="532658B9" w14:textId="50AA7C65" w:rsidR="009C32A0" w:rsidRPr="005675B2" w:rsidRDefault="009C32A0" w:rsidP="009C32A0">
      <w:pPr>
        <w:widowControl w:val="0"/>
        <w:numPr>
          <w:ilvl w:val="0"/>
          <w:numId w:val="14"/>
        </w:numPr>
        <w:spacing w:before="80" w:after="240" w:line="276" w:lineRule="auto"/>
        <w:ind w:left="0" w:firstLine="0"/>
        <w:rPr>
          <w:lang w:val="uz-Latn-UZ" w:bidi="ar-KW"/>
        </w:rPr>
      </w:pPr>
      <w:r w:rsidRPr="005675B2">
        <w:rPr>
          <w:rtl/>
          <w:lang w:val="uz-Latn-UZ" w:bidi="ar-KW"/>
        </w:rPr>
        <w:t>لقد تواترت فتاوى علماء الأمة في جميع العصور بالثناء على الأشاعرة والماتريدية، والتنويه بفضلهم وشرفهم، كما تضافرت أقوالهم بالنكير على من عرض لهم بالانتقاص والثلب، وشنّعوا عليه غاية التشنيع، وطالبوا بتعزيره وتأديبه</w:t>
      </w:r>
      <w:r w:rsidR="000636C2">
        <w:rPr>
          <w:rtl/>
          <w:lang w:val="uz-Latn-UZ" w:bidi="ar-KW"/>
        </w:rPr>
        <w:t>،</w:t>
      </w:r>
      <w:r w:rsidRPr="005675B2">
        <w:rPr>
          <w:rtl/>
          <w:lang w:val="uz-Latn-UZ" w:bidi="ar-KW"/>
        </w:rPr>
        <w:t xml:space="preserve"> </w:t>
      </w:r>
    </w:p>
    <w:p w14:paraId="0126A1D2" w14:textId="77777777" w:rsidR="009C32A0" w:rsidRPr="005675B2" w:rsidRDefault="009C32A0" w:rsidP="000636C2">
      <w:pPr>
        <w:widowControl w:val="0"/>
        <w:spacing w:before="80" w:after="240"/>
        <w:jc w:val="center"/>
        <w:rPr>
          <w:lang w:val="uz-Latn-UZ" w:bidi="ar-KW"/>
        </w:rPr>
      </w:pPr>
      <w:r w:rsidRPr="005675B2">
        <w:rPr>
          <w:rtl/>
          <w:lang w:val="uz-Latn-UZ" w:bidi="ar-KW"/>
        </w:rPr>
        <w:t>* * * * *</w:t>
      </w:r>
    </w:p>
    <w:p w14:paraId="421A99B4" w14:textId="77A89033" w:rsidR="009C32A0" w:rsidRPr="005675B2" w:rsidRDefault="009C32A0" w:rsidP="000636C2">
      <w:pPr>
        <w:widowControl w:val="0"/>
        <w:spacing w:before="80" w:after="240"/>
        <w:rPr>
          <w:rtl/>
          <w:lang w:val="uz-Latn-UZ" w:bidi="ar-KW"/>
        </w:rPr>
      </w:pPr>
      <w:r w:rsidRPr="005675B2">
        <w:rPr>
          <w:rtl/>
          <w:lang w:val="uz-Latn-UZ" w:bidi="ar-KW"/>
        </w:rPr>
        <w:t>هذا إجمال لنتائج البحث مما قد فصلناه هناك مؤيداً بالحجة والبرهان، ومدعماً بالعقل والنقل، ومصطَحباً بأقوال أكابر الأمة وفضلائها</w:t>
      </w:r>
      <w:r w:rsidR="000636C2">
        <w:rPr>
          <w:rtl/>
          <w:lang w:val="uz-Latn-UZ" w:bidi="ar-KW"/>
        </w:rPr>
        <w:t xml:space="preserve">، </w:t>
      </w:r>
      <w:r w:rsidRPr="005675B2">
        <w:rPr>
          <w:rtl/>
          <w:lang w:val="uz-Latn-UZ" w:bidi="ar-KW"/>
        </w:rPr>
        <w:t>على أننا - وإن أتينا بما أتينا به من حجج وبراهين - لا نكاد نخلص من متعنت مكابر، ومستسر بالإنكار ومجاهر، ممن كبّلوا عقولهم بالتقليد، وأغمضوا أعينهم عن الحقيقة، فهؤلاء ومن جرى مجراهم - وإن كان يعزّ علينا عنتهم وإعراضهم - لا نملك لهم إلا الدعاء بالهداية، ثم الصفح الجميل</w:t>
      </w:r>
      <w:r w:rsidR="000636C2">
        <w:rPr>
          <w:rtl/>
          <w:lang w:val="uz-Latn-UZ" w:bidi="ar-KW"/>
        </w:rPr>
        <w:t xml:space="preserve">، </w:t>
      </w:r>
      <w:r w:rsidRPr="005675B2">
        <w:rPr>
          <w:rtl/>
          <w:lang w:val="uz-Latn-UZ" w:bidi="ar-KW"/>
        </w:rPr>
        <w:t>ولكننا نيمم شطر تلك العقول المسلمة الواعية، المتعطشة للحق، المتجردة من أجل الوصول إليه، المقدرة لسلفها الصالح وأعلام الأمة، المدركة لخطورة المرحلة التاريخية التي يمرّ بها العالم الإسلامي، والمدركة أيضاً لأهمية الوحدة الإسلامية لا سيما في هذا الوقت الذي تكالبت على الأمة فيه العداوات وتداعت من كل أصقاع الأرض، فهذه العقول سيجد هذا البحث</w:t>
      </w:r>
      <w:r w:rsidR="000636C2">
        <w:rPr>
          <w:rtl/>
          <w:lang w:val="uz-Latn-UZ" w:bidi="ar-KW"/>
        </w:rPr>
        <w:t xml:space="preserve"> </w:t>
      </w:r>
      <w:r w:rsidRPr="005675B2">
        <w:rPr>
          <w:rtl/>
          <w:lang w:val="uz-Latn-UZ" w:bidi="ar-KW"/>
        </w:rPr>
        <w:t>- إن شاء الله تعالى</w:t>
      </w:r>
      <w:r w:rsidR="000636C2">
        <w:rPr>
          <w:rtl/>
          <w:lang w:val="uz-Latn-UZ" w:bidi="ar-KW"/>
        </w:rPr>
        <w:t xml:space="preserve"> </w:t>
      </w:r>
      <w:r w:rsidRPr="005675B2">
        <w:rPr>
          <w:rtl/>
          <w:lang w:val="uz-Latn-UZ" w:bidi="ar-KW"/>
        </w:rPr>
        <w:t>- طريقه إليها، وسيؤتي ثماره الطيبة فيها</w:t>
      </w:r>
      <w:r w:rsidR="000636C2">
        <w:rPr>
          <w:rtl/>
          <w:lang w:val="uz-Latn-UZ" w:bidi="ar-KW"/>
        </w:rPr>
        <w:t>،</w:t>
      </w:r>
      <w:r w:rsidRPr="005675B2">
        <w:rPr>
          <w:rtl/>
          <w:lang w:val="uz-Latn-UZ" w:bidi="ar-KW"/>
        </w:rPr>
        <w:t xml:space="preserve"> ثم نقول لمن لا يتفق معنا تعالوا إلى كلمة سواء بيننا وبينكم</w:t>
      </w:r>
      <w:r w:rsidR="000636C2">
        <w:rPr>
          <w:rtl/>
          <w:lang w:val="uz-Latn-UZ" w:bidi="ar-KW"/>
        </w:rPr>
        <w:t>:</w:t>
      </w:r>
      <w:r w:rsidRPr="005675B2">
        <w:rPr>
          <w:rFonts w:hint="cs"/>
          <w:rtl/>
          <w:lang w:val="uz-Latn-UZ" w:bidi="ar-KW"/>
        </w:rPr>
        <w:t xml:space="preserve"> </w:t>
      </w:r>
      <w:r w:rsidRPr="005675B2">
        <w:rPr>
          <w:rtl/>
          <w:lang w:val="uz-Latn-UZ" w:bidi="ar-KW"/>
        </w:rPr>
        <w:t>ألاّ نقول في الله تعالى وصفاته وأفعاله إلا ما ثبت بطريق القطع واليقين، ولا نزيد على ما ثبت، فلا نقول بذاته أو على الحقيقة أو على الظاهر أو ما شابه ذلك مما لم يَرِدْ به نصٌّ صحيح أو نفاه عقل صريح</w:t>
      </w:r>
      <w:r w:rsidR="000636C2">
        <w:rPr>
          <w:rtl/>
          <w:lang w:val="uz-Latn-UZ" w:bidi="ar-KW"/>
        </w:rPr>
        <w:t>،</w:t>
      </w:r>
      <w:r w:rsidRPr="005675B2">
        <w:rPr>
          <w:rtl/>
          <w:lang w:val="uz-Latn-UZ" w:bidi="ar-KW"/>
        </w:rPr>
        <w:t xml:space="preserve"> </w:t>
      </w:r>
      <w:r w:rsidR="000636C2">
        <w:rPr>
          <w:rFonts w:hint="cs"/>
          <w:rtl/>
          <w:lang w:val="uz-Latn-UZ" w:bidi="ar-KW"/>
        </w:rPr>
        <w:t>[</w:t>
      </w:r>
      <w:r w:rsidRPr="005675B2">
        <w:rPr>
          <w:rFonts w:hint="cs"/>
          <w:rtl/>
          <w:lang w:val="uz-Latn-UZ" w:bidi="ar-KW"/>
        </w:rPr>
        <w:t>و</w:t>
      </w:r>
      <w:r w:rsidR="000636C2">
        <w:rPr>
          <w:rFonts w:hint="cs"/>
          <w:rtl/>
          <w:lang w:val="uz-Latn-UZ" w:bidi="ar-KW"/>
        </w:rPr>
        <w:t>]</w:t>
      </w:r>
      <w:r w:rsidRPr="005675B2">
        <w:rPr>
          <w:rFonts w:hint="cs"/>
          <w:rtl/>
          <w:lang w:val="uz-Latn-UZ" w:bidi="ar-KW"/>
        </w:rPr>
        <w:t xml:space="preserve"> </w:t>
      </w:r>
      <w:r w:rsidRPr="005675B2">
        <w:rPr>
          <w:rtl/>
          <w:lang w:val="uz-Latn-UZ" w:bidi="ar-KW"/>
        </w:rPr>
        <w:t>ألاّ نضلل أعلام الأمة وعلماءها، فنهدمَ بهذا الفعل تلك الصروح العالية الشمّاء من الفضيلة في أذهان الأجيال المسلمة، ونجرأَهم على ذلك</w:t>
      </w:r>
      <w:r w:rsidR="000636C2">
        <w:rPr>
          <w:rtl/>
          <w:lang w:val="uz-Latn-UZ" w:bidi="ar-KW"/>
        </w:rPr>
        <w:t>،</w:t>
      </w:r>
      <w:r w:rsidRPr="005675B2">
        <w:rPr>
          <w:rtl/>
          <w:lang w:val="uz-Latn-UZ" w:bidi="ar-KW"/>
        </w:rPr>
        <w:t xml:space="preserve"> </w:t>
      </w:r>
      <w:r w:rsidR="000636C2">
        <w:rPr>
          <w:rFonts w:hint="cs"/>
          <w:rtl/>
          <w:lang w:val="uz-Latn-UZ" w:bidi="ar-KW"/>
        </w:rPr>
        <w:t>[</w:t>
      </w:r>
      <w:r w:rsidRPr="005675B2">
        <w:rPr>
          <w:rFonts w:hint="cs"/>
          <w:rtl/>
          <w:lang w:val="uz-Latn-UZ" w:bidi="ar-KW"/>
        </w:rPr>
        <w:t>و</w:t>
      </w:r>
      <w:r w:rsidR="000636C2">
        <w:rPr>
          <w:rFonts w:hint="cs"/>
          <w:rtl/>
          <w:lang w:val="uz-Latn-UZ" w:bidi="ar-KW"/>
        </w:rPr>
        <w:t>]</w:t>
      </w:r>
      <w:r w:rsidRPr="005675B2">
        <w:rPr>
          <w:rFonts w:hint="cs"/>
          <w:rtl/>
          <w:lang w:val="uz-Latn-UZ" w:bidi="ar-KW"/>
        </w:rPr>
        <w:t xml:space="preserve"> </w:t>
      </w:r>
      <w:r w:rsidRPr="005675B2">
        <w:rPr>
          <w:rtl/>
          <w:lang w:val="uz-Latn-UZ" w:bidi="ar-KW"/>
        </w:rPr>
        <w:t>ألاّ نصنف المسلمين - إذا خالفونا في ما لا بأس بالاختلاف فيه - إلى ضُلاّل ومبتدعين وفسّاق، جهلاً في الدين وجرأة على الله تعالى ورسوله</w:t>
      </w:r>
      <w:r w:rsidR="000636C2">
        <w:rPr>
          <w:rtl/>
          <w:lang w:val="uz-Latn-UZ" w:bidi="ar-KW"/>
        </w:rPr>
        <w:t>،</w:t>
      </w:r>
      <w:r w:rsidRPr="005675B2">
        <w:rPr>
          <w:rtl/>
          <w:lang w:val="uz-Latn-UZ" w:bidi="ar-KW"/>
        </w:rPr>
        <w:t xml:space="preserve"> </w:t>
      </w:r>
    </w:p>
    <w:p w14:paraId="118772E0" w14:textId="161A7BAE" w:rsidR="009C32A0" w:rsidRPr="005675B2" w:rsidRDefault="009C32A0" w:rsidP="000636C2">
      <w:pPr>
        <w:widowControl w:val="0"/>
        <w:spacing w:before="80" w:after="240"/>
        <w:rPr>
          <w:rtl/>
          <w:lang w:bidi="ar-KW"/>
        </w:rPr>
      </w:pPr>
      <w:r w:rsidRPr="005675B2">
        <w:rPr>
          <w:bCs/>
          <w:rtl/>
          <w:lang w:val="uz-Latn-UZ" w:bidi="ar-KW"/>
        </w:rPr>
        <w:t>وأخيراً</w:t>
      </w:r>
      <w:r w:rsidRPr="005675B2">
        <w:rPr>
          <w:rtl/>
          <w:lang w:val="uz-Latn-UZ" w:bidi="ar-KW"/>
        </w:rPr>
        <w:t xml:space="preserve"> .. فإننا نجأر إلى الله تعالى بأن يوحّد كلمة المسلمين، ويزيل أسباب الشقاق المزروعة بينهم، ويهدينا وإخواننا جميعاً إلى ما يحبه ويرضاه، ويجمعنا معهم في صف واحد، ونقول</w:t>
      </w:r>
      <w:r w:rsidR="000636C2">
        <w:rPr>
          <w:rtl/>
          <w:lang w:val="uz-Latn-UZ" w:bidi="ar-KW"/>
        </w:rPr>
        <w:t>:</w:t>
      </w:r>
      <w:r w:rsidRPr="005675B2">
        <w:rPr>
          <w:rtl/>
          <w:lang w:val="uz-Latn-UZ" w:bidi="ar-KW"/>
        </w:rPr>
        <w:t xml:space="preserve"> فلْـنُوجّه أنظارنا إلى موجبات الوحدة والوفاق التي متعنا الله تعالى بها، ضاربين صفحاً عن كل ما من شأنه أن يعكر صفو ذلك، واضعين نصب أعيننا قول الحق تبارك وتعالى </w:t>
      </w:r>
      <w:r w:rsidR="000636C2">
        <w:rPr>
          <w:bCs/>
          <w:rtl/>
          <w:lang w:val="uz-Latn-UZ" w:bidi="ar-KW"/>
        </w:rPr>
        <w:t>(</w:t>
      </w:r>
      <w:r w:rsidRPr="005675B2">
        <w:rPr>
          <w:bCs/>
          <w:rtl/>
          <w:lang w:val="uz-Latn-UZ" w:bidi="ar-KW"/>
        </w:rPr>
        <w:t>ولا تنازعوا فتفشلوا وتذهب ريحكم</w:t>
      </w:r>
      <w:r w:rsidR="000636C2">
        <w:rPr>
          <w:bCs/>
          <w:rtl/>
          <w:lang w:val="uz-Latn-UZ" w:bidi="ar-KW"/>
        </w:rPr>
        <w:t>)،</w:t>
      </w:r>
      <w:r w:rsidRPr="005675B2">
        <w:rPr>
          <w:bCs/>
          <w:rtl/>
          <w:lang w:val="uz-Latn-UZ" w:bidi="ar-KW"/>
        </w:rPr>
        <w:t xml:space="preserve"> </w:t>
      </w:r>
      <w:r w:rsidRPr="005675B2">
        <w:rPr>
          <w:rtl/>
          <w:lang w:val="uz-Latn-UZ" w:bidi="ar-KW"/>
        </w:rPr>
        <w:t>وآخر دعوانا أن الحمد لله رب العالمين</w:t>
      </w:r>
      <w:r w:rsidR="000636C2">
        <w:rPr>
          <w:rFonts w:hint="cs"/>
          <w:rtl/>
          <w:lang w:val="uz-Latn-UZ" w:bidi="ar-KW"/>
        </w:rPr>
        <w:t xml:space="preserve">، </w:t>
      </w:r>
      <w:r w:rsidRPr="005675B2">
        <w:rPr>
          <w:rtl/>
          <w:lang w:val="uz-Latn-UZ" w:bidi="ar-KW"/>
        </w:rPr>
        <w:t>وصلى الله على عبده ورسوله محمـد</w:t>
      </w:r>
      <w:r w:rsidR="000636C2">
        <w:rPr>
          <w:rFonts w:hint="cs"/>
          <w:rtl/>
          <w:lang w:val="uz-Latn-UZ" w:bidi="ar-KW"/>
        </w:rPr>
        <w:t xml:space="preserve">، </w:t>
      </w:r>
      <w:r w:rsidRPr="005675B2">
        <w:rPr>
          <w:rtl/>
          <w:lang w:val="uz-Latn-UZ" w:bidi="ar-KW"/>
        </w:rPr>
        <w:t>وعلى آله وصحبه وسلم</w:t>
      </w:r>
      <w:r w:rsidR="000636C2">
        <w:rPr>
          <w:rFonts w:hint="cs"/>
          <w:rtl/>
          <w:lang w:val="uz-Latn-UZ" w:bidi="ar-KW"/>
        </w:rPr>
        <w:t>،</w:t>
      </w:r>
      <w:r w:rsidRPr="005675B2">
        <w:rPr>
          <w:rFonts w:hint="cs"/>
          <w:rtl/>
          <w:lang w:val="uz-Latn-UZ" w:bidi="ar-KW"/>
        </w:rPr>
        <w:t xml:space="preserve"> </w:t>
      </w:r>
      <w:r w:rsidRPr="005675B2">
        <w:rPr>
          <w:rtl/>
          <w:lang w:bidi="ar-KW"/>
        </w:rPr>
        <w:t>تم بحمد الله</w:t>
      </w:r>
    </w:p>
    <w:p w14:paraId="144EAA35" w14:textId="77777777" w:rsidR="009C32A0" w:rsidRPr="005675B2" w:rsidRDefault="009C32A0" w:rsidP="000636C2">
      <w:pPr>
        <w:widowControl w:val="0"/>
        <w:spacing w:before="120" w:after="240"/>
        <w:jc w:val="center"/>
        <w:rPr>
          <w:rtl/>
          <w:lang w:val="uz-Latn-UZ" w:bidi="ar-KW"/>
        </w:rPr>
      </w:pPr>
      <w:r>
        <w:rPr>
          <w:rFonts w:hint="cs"/>
          <w:rtl/>
          <w:lang w:val="uz-Latn-UZ" w:bidi="ar-KW"/>
        </w:rPr>
        <w:t>***</w:t>
      </w:r>
    </w:p>
    <w:p w14:paraId="28E47AE3" w14:textId="77777777" w:rsidR="009C32A0" w:rsidRPr="005675B2" w:rsidRDefault="009C32A0" w:rsidP="000636C2">
      <w:pPr>
        <w:spacing w:after="240"/>
        <w:rPr>
          <w:rtl/>
        </w:rPr>
      </w:pPr>
    </w:p>
    <w:p w14:paraId="604B22D1" w14:textId="77777777" w:rsidR="009C32A0" w:rsidRDefault="009C32A0" w:rsidP="000636C2">
      <w:pPr>
        <w:spacing w:after="240"/>
        <w:rPr>
          <w:rtl/>
        </w:rPr>
      </w:pPr>
    </w:p>
    <w:p w14:paraId="3D838949" w14:textId="77777777" w:rsidR="009C32A0" w:rsidRDefault="009C32A0" w:rsidP="000636C2">
      <w:pPr>
        <w:spacing w:after="240"/>
        <w:rPr>
          <w:rtl/>
        </w:rPr>
      </w:pPr>
    </w:p>
    <w:p w14:paraId="7A369BCB" w14:textId="77777777" w:rsidR="009C32A0" w:rsidRDefault="009C32A0" w:rsidP="000636C2">
      <w:pPr>
        <w:spacing w:after="240"/>
        <w:rPr>
          <w:rtl/>
        </w:rPr>
      </w:pPr>
    </w:p>
    <w:p w14:paraId="1C03B8A1" w14:textId="77777777" w:rsidR="009C32A0" w:rsidRDefault="009C32A0" w:rsidP="000636C2">
      <w:pPr>
        <w:spacing w:after="240"/>
        <w:rPr>
          <w:rtl/>
        </w:rPr>
      </w:pPr>
    </w:p>
    <w:p w14:paraId="55CEB1F5" w14:textId="77777777" w:rsidR="009C32A0" w:rsidRDefault="009C32A0" w:rsidP="000636C2">
      <w:pPr>
        <w:spacing w:after="240"/>
        <w:rPr>
          <w:rtl/>
        </w:rPr>
      </w:pPr>
    </w:p>
    <w:p w14:paraId="758DEA0E" w14:textId="77777777" w:rsidR="009C32A0" w:rsidRPr="005675B2" w:rsidRDefault="009C32A0" w:rsidP="000636C2">
      <w:pPr>
        <w:spacing w:after="240"/>
        <w:rPr>
          <w:rtl/>
        </w:rPr>
      </w:pPr>
    </w:p>
    <w:p w14:paraId="6059040F" w14:textId="77777777" w:rsidR="009C32A0" w:rsidRPr="005675B2" w:rsidRDefault="009C32A0" w:rsidP="000636C2">
      <w:pPr>
        <w:spacing w:after="240"/>
        <w:rPr>
          <w:rtl/>
        </w:rPr>
      </w:pPr>
    </w:p>
    <w:p w14:paraId="51FD9FB8" w14:textId="77777777" w:rsidR="009C32A0" w:rsidRPr="005675B2" w:rsidRDefault="009C32A0" w:rsidP="000636C2">
      <w:pPr>
        <w:spacing w:after="240"/>
        <w:rPr>
          <w:rtl/>
        </w:rPr>
      </w:pPr>
    </w:p>
    <w:p w14:paraId="09E541BE" w14:textId="77777777" w:rsidR="009C32A0" w:rsidRPr="005675B2" w:rsidRDefault="009C32A0" w:rsidP="000636C2">
      <w:pPr>
        <w:spacing w:after="240"/>
        <w:rPr>
          <w:rtl/>
        </w:rPr>
      </w:pPr>
    </w:p>
    <w:p w14:paraId="3B17DF14" w14:textId="77777777" w:rsidR="009C32A0" w:rsidRPr="005675B2" w:rsidRDefault="009C32A0" w:rsidP="000636C2">
      <w:pPr>
        <w:spacing w:after="240"/>
      </w:pPr>
    </w:p>
    <w:p w14:paraId="5D6A657F" w14:textId="1BF638FA" w:rsidR="009C32A0" w:rsidRPr="00EE70CF" w:rsidRDefault="009C32A0" w:rsidP="00EE70CF">
      <w:pPr>
        <w:pStyle w:val="1"/>
        <w:rPr>
          <w:u w:val="none"/>
          <w:rtl/>
          <w:lang w:bidi="ar-KW"/>
        </w:rPr>
      </w:pPr>
      <w:r w:rsidRPr="00EE70CF">
        <w:rPr>
          <w:rFonts w:hint="cs"/>
          <w:u w:val="none"/>
          <w:rtl/>
          <w:lang w:bidi="ar-KW"/>
        </w:rPr>
        <w:t>الملحق الثالث</w:t>
      </w:r>
      <w:r w:rsidR="00627D1B" w:rsidRPr="00EE70CF">
        <w:rPr>
          <w:rFonts w:hint="cs"/>
          <w:u w:val="none"/>
          <w:rtl/>
          <w:lang w:bidi="ar-KW"/>
        </w:rPr>
        <w:t xml:space="preserve"> </w:t>
      </w:r>
      <w:r w:rsidRPr="00EE70CF">
        <w:rPr>
          <w:u w:val="none"/>
          <w:rtl/>
          <w:lang w:bidi="ar-KW"/>
        </w:rPr>
        <w:t>عقائد الأشاعرة في حوارٍ هادئٍ مع ُبهاتِ المناوئين للشيخ صلاح الدين الإدلبي</w:t>
      </w:r>
    </w:p>
    <w:p w14:paraId="7266C58F" w14:textId="77777777" w:rsidR="009C32A0" w:rsidRPr="005675B2" w:rsidRDefault="009C32A0" w:rsidP="000636C2">
      <w:pPr>
        <w:rPr>
          <w:rtl/>
          <w:lang w:bidi="ar-KW"/>
        </w:rPr>
      </w:pPr>
    </w:p>
    <w:p w14:paraId="6BB5E23A" w14:textId="0BC359A1" w:rsidR="009C32A0" w:rsidRPr="005675B2" w:rsidRDefault="009C32A0" w:rsidP="000636C2">
      <w:pPr>
        <w:rPr>
          <w:b/>
          <w:rtl/>
        </w:rPr>
      </w:pPr>
      <w:r w:rsidRPr="005675B2">
        <w:rPr>
          <w:rFonts w:hint="cs"/>
          <w:bCs/>
          <w:rtl/>
        </w:rPr>
        <w:t>هذه رسالة علمية جليلة القدر بما حوت من بيان راسخ لما عليه المذهب الأشعري من تحقيق وبيان وتدقيق في إظهار عقائد أهل السنّة والجماعة التي تجمع بين العقل والنقل</w:t>
      </w:r>
      <w:r w:rsidR="000636C2">
        <w:rPr>
          <w:rFonts w:hint="cs"/>
          <w:rtl/>
        </w:rPr>
        <w:t>،</w:t>
      </w:r>
      <w:r w:rsidRPr="005675B2">
        <w:rPr>
          <w:rFonts w:hint="cs"/>
          <w:rtl/>
        </w:rPr>
        <w:t xml:space="preserve"> وبين الدقة والرسوخ في العلم الناتج عن جمع الأدلة ورد متشابهها إلى أمهاتها من المحكم</w:t>
      </w:r>
      <w:r w:rsidR="000636C2">
        <w:rPr>
          <w:rFonts w:hint="cs"/>
          <w:rtl/>
        </w:rPr>
        <w:t>،</w:t>
      </w:r>
      <w:r w:rsidRPr="005675B2">
        <w:rPr>
          <w:rFonts w:hint="cs"/>
          <w:rtl/>
        </w:rPr>
        <w:t xml:space="preserve"> فجزى الله مؤلفها خير الجزاء</w:t>
      </w:r>
      <w:r w:rsidR="000636C2">
        <w:rPr>
          <w:rFonts w:hint="cs"/>
          <w:rtl/>
        </w:rPr>
        <w:t>،</w:t>
      </w:r>
      <w:r w:rsidRPr="005675B2">
        <w:rPr>
          <w:rFonts w:hint="cs"/>
          <w:rtl/>
        </w:rPr>
        <w:t>بما ساهم به من إظهار للحق وبيان لمعتقد أهل السنّة والجماعة أهل التنزيه والتقديس مع التمسك بالنقل والعقل مع التوسط والاعتدال الشرعي الذي جاء به شرع الإسلام وسار عليه سواد علماء أمة الإسلام الأعظم</w:t>
      </w:r>
      <w:r w:rsidR="000636C2">
        <w:rPr>
          <w:rFonts w:hint="cs"/>
          <w:rtl/>
        </w:rPr>
        <w:t>،</w:t>
      </w:r>
      <w:r w:rsidRPr="005675B2">
        <w:rPr>
          <w:rFonts w:hint="cs"/>
          <w:rtl/>
        </w:rPr>
        <w:t xml:space="preserve"> </w:t>
      </w:r>
    </w:p>
    <w:p w14:paraId="3BB4BED6" w14:textId="4F8B4B13" w:rsidR="009C32A0" w:rsidRPr="005675B2" w:rsidRDefault="009C32A0" w:rsidP="000636C2">
      <w:pPr>
        <w:rPr>
          <w:b/>
          <w:rtl/>
        </w:rPr>
      </w:pPr>
      <w:r w:rsidRPr="005675B2">
        <w:rPr>
          <w:rFonts w:hint="cs"/>
          <w:bCs/>
          <w:rtl/>
        </w:rPr>
        <w:t>رؤوس الموضوعات المهمة في الرسالة</w:t>
      </w:r>
      <w:r w:rsidR="000636C2">
        <w:rPr>
          <w:rFonts w:hint="cs"/>
          <w:rtl/>
        </w:rPr>
        <w:t xml:space="preserve">: </w:t>
      </w:r>
      <w:r w:rsidRPr="005675B2">
        <w:rPr>
          <w:rFonts w:hint="cs"/>
          <w:rtl/>
        </w:rPr>
        <w:t>مقدمة المؤلف</w:t>
      </w:r>
      <w:r w:rsidR="000636C2">
        <w:rPr>
          <w:rFonts w:hint="cs"/>
          <w:rtl/>
        </w:rPr>
        <w:t>،</w:t>
      </w:r>
      <w:r w:rsidRPr="005675B2">
        <w:rPr>
          <w:rFonts w:hint="cs"/>
          <w:rtl/>
        </w:rPr>
        <w:t xml:space="preserve"> الأشاعرة أكبر فرقة إسلامية</w:t>
      </w:r>
      <w:r w:rsidR="000636C2">
        <w:rPr>
          <w:rFonts w:hint="cs"/>
          <w:rtl/>
        </w:rPr>
        <w:t>،</w:t>
      </w:r>
      <w:r w:rsidRPr="005675B2">
        <w:rPr>
          <w:rFonts w:hint="cs"/>
          <w:rtl/>
        </w:rPr>
        <w:t xml:space="preserve"> الموضوع الأول</w:t>
      </w:r>
      <w:r w:rsidR="000636C2">
        <w:rPr>
          <w:rFonts w:hint="cs"/>
          <w:rtl/>
        </w:rPr>
        <w:t>:</w:t>
      </w:r>
      <w:r w:rsidRPr="005675B2">
        <w:rPr>
          <w:rFonts w:hint="cs"/>
          <w:rtl/>
        </w:rPr>
        <w:t xml:space="preserve"> مصدر التلقي</w:t>
      </w:r>
      <w:r w:rsidR="000636C2">
        <w:rPr>
          <w:rFonts w:hint="cs"/>
          <w:rtl/>
        </w:rPr>
        <w:t>،</w:t>
      </w:r>
      <w:r w:rsidRPr="005675B2">
        <w:rPr>
          <w:rFonts w:hint="cs"/>
          <w:rtl/>
        </w:rPr>
        <w:t xml:space="preserve"> الموضوع الثاني</w:t>
      </w:r>
      <w:r w:rsidR="000636C2">
        <w:rPr>
          <w:rFonts w:hint="cs"/>
          <w:rtl/>
        </w:rPr>
        <w:t xml:space="preserve">: </w:t>
      </w:r>
      <w:r w:rsidRPr="005675B2">
        <w:rPr>
          <w:rFonts w:hint="cs"/>
          <w:rtl/>
        </w:rPr>
        <w:t>إثبات وجود الله</w:t>
      </w:r>
      <w:r w:rsidR="000636C2">
        <w:rPr>
          <w:rFonts w:hint="cs"/>
          <w:rtl/>
        </w:rPr>
        <w:t>،</w:t>
      </w:r>
      <w:r w:rsidRPr="005675B2">
        <w:rPr>
          <w:rFonts w:hint="cs"/>
          <w:rtl/>
        </w:rPr>
        <w:t xml:space="preserve"> الموضوع الثالث</w:t>
      </w:r>
      <w:r w:rsidR="000636C2">
        <w:rPr>
          <w:rFonts w:hint="cs"/>
          <w:rtl/>
        </w:rPr>
        <w:t>:</w:t>
      </w:r>
      <w:r w:rsidRPr="005675B2">
        <w:rPr>
          <w:rFonts w:hint="cs"/>
          <w:rtl/>
        </w:rPr>
        <w:t xml:space="preserve"> التوحيد</w:t>
      </w:r>
      <w:r w:rsidR="000636C2">
        <w:rPr>
          <w:rFonts w:hint="cs"/>
          <w:rtl/>
        </w:rPr>
        <w:t>،</w:t>
      </w:r>
      <w:r w:rsidRPr="005675B2">
        <w:rPr>
          <w:rFonts w:hint="cs"/>
          <w:rtl/>
        </w:rPr>
        <w:t xml:space="preserve"> الموضوع الرابع</w:t>
      </w:r>
      <w:r w:rsidR="000636C2">
        <w:rPr>
          <w:rFonts w:hint="cs"/>
          <w:rtl/>
        </w:rPr>
        <w:t xml:space="preserve">: </w:t>
      </w:r>
      <w:r w:rsidRPr="005675B2">
        <w:rPr>
          <w:rFonts w:hint="cs"/>
          <w:rtl/>
        </w:rPr>
        <w:t>الإيمان</w:t>
      </w:r>
      <w:r w:rsidR="000636C2">
        <w:rPr>
          <w:rFonts w:hint="cs"/>
          <w:rtl/>
        </w:rPr>
        <w:t>،</w:t>
      </w:r>
      <w:r w:rsidRPr="005675B2">
        <w:rPr>
          <w:rFonts w:hint="cs"/>
          <w:rtl/>
        </w:rPr>
        <w:t xml:space="preserve"> الموضوع الخامس</w:t>
      </w:r>
      <w:r w:rsidR="000636C2">
        <w:rPr>
          <w:rFonts w:hint="cs"/>
          <w:rtl/>
        </w:rPr>
        <w:t>:</w:t>
      </w:r>
      <w:r w:rsidRPr="005675B2">
        <w:rPr>
          <w:rFonts w:hint="cs"/>
          <w:rtl/>
        </w:rPr>
        <w:t xml:space="preserve"> القرآن</w:t>
      </w:r>
      <w:r w:rsidR="000636C2">
        <w:rPr>
          <w:rFonts w:hint="cs"/>
          <w:rtl/>
        </w:rPr>
        <w:t>،</w:t>
      </w:r>
      <w:r w:rsidRPr="005675B2">
        <w:rPr>
          <w:rFonts w:hint="cs"/>
          <w:rtl/>
        </w:rPr>
        <w:t xml:space="preserve"> الموضوع السادس</w:t>
      </w:r>
      <w:r w:rsidR="000636C2">
        <w:rPr>
          <w:rFonts w:hint="cs"/>
          <w:rtl/>
        </w:rPr>
        <w:t xml:space="preserve">: </w:t>
      </w:r>
      <w:r w:rsidRPr="005675B2">
        <w:rPr>
          <w:rFonts w:hint="cs"/>
          <w:rtl/>
        </w:rPr>
        <w:t>القدر</w:t>
      </w:r>
      <w:r w:rsidR="000636C2">
        <w:rPr>
          <w:rFonts w:hint="cs"/>
          <w:rtl/>
        </w:rPr>
        <w:t>،</w:t>
      </w:r>
      <w:r w:rsidRPr="005675B2">
        <w:rPr>
          <w:rFonts w:hint="cs"/>
          <w:rtl/>
        </w:rPr>
        <w:t xml:space="preserve"> الموضوع السابع</w:t>
      </w:r>
      <w:r w:rsidR="000636C2">
        <w:rPr>
          <w:rFonts w:hint="cs"/>
          <w:rtl/>
        </w:rPr>
        <w:t>:</w:t>
      </w:r>
      <w:r w:rsidRPr="005675B2">
        <w:rPr>
          <w:rFonts w:hint="cs"/>
          <w:rtl/>
        </w:rPr>
        <w:t xml:space="preserve"> السببية وأفعال المخلوقات</w:t>
      </w:r>
      <w:r w:rsidR="000636C2">
        <w:rPr>
          <w:rFonts w:hint="cs"/>
          <w:rtl/>
        </w:rPr>
        <w:t>،</w:t>
      </w:r>
      <w:r w:rsidRPr="005675B2">
        <w:rPr>
          <w:rFonts w:hint="cs"/>
          <w:rtl/>
        </w:rPr>
        <w:t xml:space="preserve"> الموضوع الثامن</w:t>
      </w:r>
      <w:r w:rsidR="000636C2">
        <w:rPr>
          <w:rFonts w:hint="cs"/>
          <w:rtl/>
        </w:rPr>
        <w:t xml:space="preserve">: </w:t>
      </w:r>
      <w:r w:rsidRPr="005675B2">
        <w:rPr>
          <w:rFonts w:hint="cs"/>
          <w:rtl/>
        </w:rPr>
        <w:t>الحكمة الغائية</w:t>
      </w:r>
      <w:r w:rsidR="000636C2">
        <w:rPr>
          <w:rFonts w:hint="cs"/>
          <w:rtl/>
        </w:rPr>
        <w:t>،</w:t>
      </w:r>
      <w:r w:rsidRPr="005675B2">
        <w:rPr>
          <w:rFonts w:hint="cs"/>
          <w:rtl/>
        </w:rPr>
        <w:t xml:space="preserve"> الموضوع التاسع</w:t>
      </w:r>
      <w:r w:rsidR="000636C2">
        <w:rPr>
          <w:rFonts w:hint="cs"/>
          <w:rtl/>
        </w:rPr>
        <w:t xml:space="preserve">: </w:t>
      </w:r>
      <w:r w:rsidRPr="005675B2">
        <w:rPr>
          <w:rFonts w:hint="cs"/>
          <w:rtl/>
        </w:rPr>
        <w:t>النبوات</w:t>
      </w:r>
      <w:r w:rsidR="000636C2">
        <w:rPr>
          <w:rFonts w:hint="cs"/>
          <w:rtl/>
        </w:rPr>
        <w:t>،</w:t>
      </w:r>
      <w:r w:rsidRPr="005675B2">
        <w:rPr>
          <w:rFonts w:hint="cs"/>
          <w:rtl/>
        </w:rPr>
        <w:t xml:space="preserve"> الموضوع العاشر</w:t>
      </w:r>
      <w:r w:rsidR="000636C2">
        <w:rPr>
          <w:rFonts w:hint="cs"/>
          <w:rtl/>
        </w:rPr>
        <w:t xml:space="preserve">: </w:t>
      </w:r>
      <w:r w:rsidRPr="005675B2">
        <w:rPr>
          <w:rFonts w:hint="cs"/>
          <w:rtl/>
        </w:rPr>
        <w:t>التحسين والتقبيح</w:t>
      </w:r>
      <w:r w:rsidR="000636C2">
        <w:rPr>
          <w:rFonts w:hint="cs"/>
          <w:rtl/>
        </w:rPr>
        <w:t>،</w:t>
      </w:r>
      <w:r w:rsidRPr="005675B2">
        <w:rPr>
          <w:rFonts w:hint="cs"/>
          <w:rtl/>
        </w:rPr>
        <w:t xml:space="preserve"> الموضوع الحادي عشر</w:t>
      </w:r>
      <w:r w:rsidR="000636C2">
        <w:rPr>
          <w:rFonts w:hint="cs"/>
          <w:rtl/>
        </w:rPr>
        <w:t xml:space="preserve">: </w:t>
      </w:r>
      <w:r w:rsidRPr="005675B2">
        <w:rPr>
          <w:rFonts w:hint="cs"/>
          <w:rtl/>
        </w:rPr>
        <w:t>التأويل</w:t>
      </w:r>
      <w:r w:rsidR="000636C2">
        <w:rPr>
          <w:rFonts w:hint="cs"/>
          <w:rtl/>
        </w:rPr>
        <w:t>،</w:t>
      </w:r>
      <w:r w:rsidRPr="005675B2">
        <w:rPr>
          <w:rFonts w:hint="cs"/>
          <w:rtl/>
        </w:rPr>
        <w:t xml:space="preserve"> الموضوع الثاني عشر</w:t>
      </w:r>
      <w:r w:rsidR="000636C2">
        <w:rPr>
          <w:rFonts w:hint="cs"/>
          <w:rtl/>
        </w:rPr>
        <w:t xml:space="preserve">: </w:t>
      </w:r>
      <w:r w:rsidRPr="005675B2">
        <w:rPr>
          <w:rFonts w:hint="cs"/>
          <w:rtl/>
        </w:rPr>
        <w:t>السمعيات</w:t>
      </w:r>
      <w:r w:rsidR="000636C2">
        <w:rPr>
          <w:rFonts w:hint="cs"/>
          <w:rtl/>
        </w:rPr>
        <w:t>،</w:t>
      </w:r>
      <w:r w:rsidRPr="005675B2">
        <w:rPr>
          <w:rFonts w:hint="cs"/>
          <w:rtl/>
        </w:rPr>
        <w:t xml:space="preserve"> الموضوع الثالث عشر</w:t>
      </w:r>
      <w:r w:rsidR="000636C2">
        <w:rPr>
          <w:rFonts w:hint="cs"/>
          <w:rtl/>
        </w:rPr>
        <w:t xml:space="preserve">: </w:t>
      </w:r>
      <w:r w:rsidRPr="005675B2">
        <w:rPr>
          <w:rFonts w:hint="cs"/>
          <w:rtl/>
        </w:rPr>
        <w:t>التكفير</w:t>
      </w:r>
      <w:r w:rsidR="000636C2">
        <w:rPr>
          <w:rFonts w:hint="cs"/>
          <w:rtl/>
        </w:rPr>
        <w:t>،</w:t>
      </w:r>
      <w:r w:rsidRPr="005675B2">
        <w:rPr>
          <w:rFonts w:hint="cs"/>
          <w:rtl/>
        </w:rPr>
        <w:t xml:space="preserve"> الموضوع الرابع عشر</w:t>
      </w:r>
      <w:r w:rsidR="000636C2">
        <w:rPr>
          <w:rFonts w:hint="cs"/>
          <w:rtl/>
        </w:rPr>
        <w:t xml:space="preserve">: </w:t>
      </w:r>
      <w:r w:rsidRPr="005675B2">
        <w:rPr>
          <w:rFonts w:hint="cs"/>
          <w:rtl/>
        </w:rPr>
        <w:t>الصحابة والإمامة</w:t>
      </w:r>
      <w:r w:rsidR="000636C2">
        <w:rPr>
          <w:rFonts w:hint="cs"/>
          <w:rtl/>
        </w:rPr>
        <w:t>،</w:t>
      </w:r>
      <w:r w:rsidRPr="005675B2">
        <w:rPr>
          <w:rFonts w:hint="cs"/>
          <w:rtl/>
        </w:rPr>
        <w:t xml:space="preserve"> الموضوع الخامس عشر</w:t>
      </w:r>
      <w:r w:rsidR="000636C2">
        <w:rPr>
          <w:rFonts w:hint="cs"/>
          <w:rtl/>
        </w:rPr>
        <w:t xml:space="preserve">: </w:t>
      </w:r>
      <w:r w:rsidRPr="005675B2">
        <w:rPr>
          <w:rFonts w:hint="cs"/>
          <w:rtl/>
        </w:rPr>
        <w:t>الصفات</w:t>
      </w:r>
      <w:r w:rsidR="000636C2">
        <w:rPr>
          <w:rFonts w:hint="cs"/>
          <w:rtl/>
        </w:rPr>
        <w:t>،</w:t>
      </w:r>
      <w:r w:rsidRPr="005675B2">
        <w:rPr>
          <w:rFonts w:hint="cs"/>
          <w:rtl/>
        </w:rPr>
        <w:t xml:space="preserve"> تتمات البحث</w:t>
      </w:r>
      <w:r w:rsidR="000636C2">
        <w:rPr>
          <w:rFonts w:hint="cs"/>
          <w:rtl/>
        </w:rPr>
        <w:t>،</w:t>
      </w:r>
      <w:r w:rsidRPr="005675B2">
        <w:rPr>
          <w:rFonts w:hint="cs"/>
          <w:rtl/>
        </w:rPr>
        <w:t xml:space="preserve"> </w:t>
      </w:r>
      <w:r w:rsidRPr="005675B2">
        <w:rPr>
          <w:rtl/>
        </w:rPr>
        <w:t>ملحق في تلخيص عقائد الأشاعرة</w:t>
      </w:r>
      <w:r w:rsidRPr="005675B2">
        <w:rPr>
          <w:rFonts w:hint="cs"/>
          <w:rtl/>
        </w:rPr>
        <w:t xml:space="preserve"> </w:t>
      </w:r>
    </w:p>
    <w:p w14:paraId="2009E3A6" w14:textId="77777777" w:rsidR="009C32A0" w:rsidRPr="005675B2" w:rsidRDefault="009C32A0" w:rsidP="000636C2">
      <w:pPr>
        <w:jc w:val="center"/>
        <w:rPr>
          <w:b/>
          <w:rtl/>
        </w:rPr>
      </w:pPr>
      <w:r>
        <w:rPr>
          <w:rFonts w:hint="cs"/>
          <w:rtl/>
        </w:rPr>
        <w:t>***</w:t>
      </w:r>
    </w:p>
    <w:p w14:paraId="366F0ADB" w14:textId="743754C4" w:rsidR="009C32A0" w:rsidRPr="005675B2" w:rsidRDefault="000636C2" w:rsidP="000636C2">
      <w:pPr>
        <w:jc w:val="center"/>
        <w:rPr>
          <w:b/>
          <w:rtl/>
        </w:rPr>
      </w:pPr>
      <w:r>
        <w:rPr>
          <w:rFonts w:hint="cs"/>
          <w:bCs/>
          <w:rtl/>
        </w:rPr>
        <w:t>[</w:t>
      </w:r>
      <w:r w:rsidR="009C32A0" w:rsidRPr="005675B2">
        <w:rPr>
          <w:bCs/>
          <w:rtl/>
        </w:rPr>
        <w:t>مقدمة المؤلف</w:t>
      </w:r>
      <w:r>
        <w:rPr>
          <w:rFonts w:hint="cs"/>
          <w:bCs/>
          <w:rtl/>
        </w:rPr>
        <w:t>]</w:t>
      </w:r>
    </w:p>
    <w:p w14:paraId="5D004C33" w14:textId="64D55C43" w:rsidR="009C32A0" w:rsidRPr="005675B2" w:rsidRDefault="009C32A0" w:rsidP="000636C2">
      <w:pPr>
        <w:rPr>
          <w:b/>
          <w:rtl/>
        </w:rPr>
      </w:pPr>
      <w:r w:rsidRPr="005675B2">
        <w:rPr>
          <w:rFonts w:hint="cs"/>
          <w:rtl/>
        </w:rPr>
        <w:t>قال حفظه الله تعالى</w:t>
      </w:r>
      <w:r w:rsidR="000636C2">
        <w:rPr>
          <w:rFonts w:hint="cs"/>
          <w:rtl/>
        </w:rPr>
        <w:t>:</w:t>
      </w:r>
      <w:r w:rsidRPr="005675B2">
        <w:rPr>
          <w:rFonts w:hint="cs"/>
          <w:rtl/>
        </w:rPr>
        <w:t xml:space="preserve"> [</w:t>
      </w:r>
      <w:r w:rsidR="000636C2">
        <w:rPr>
          <w:rFonts w:hint="cs"/>
          <w:rtl/>
        </w:rPr>
        <w:t>[</w:t>
      </w:r>
      <w:r w:rsidRPr="005675B2">
        <w:rPr>
          <w:rFonts w:hint="cs"/>
          <w:rtl/>
        </w:rPr>
        <w:t>بسم الله الرحمن الرحيم</w:t>
      </w:r>
      <w:r w:rsidR="000636C2">
        <w:rPr>
          <w:rFonts w:hint="cs"/>
          <w:rtl/>
        </w:rPr>
        <w:t>، (</w:t>
      </w:r>
      <w:r w:rsidRPr="005675B2">
        <w:rPr>
          <w:rFonts w:hint="cs"/>
          <w:rtl/>
        </w:rPr>
        <w:t>إِنْ أُرِيدُ إِلاَّ الإِصْلاَحَ مَا اسْتَطَعْتُ وَمَا تَوْفِيقِي إِلاَّ بِاللّهِ عَلَيْهِ تَوَكَّلْتُ وَإِلَيْهِ أُنِيبُ</w:t>
      </w:r>
      <w:r w:rsidR="000636C2">
        <w:rPr>
          <w:rFonts w:hint="cs"/>
          <w:rtl/>
        </w:rPr>
        <w:t>)،</w:t>
      </w:r>
      <w:r w:rsidRPr="005675B2">
        <w:rPr>
          <w:rFonts w:hint="cs"/>
          <w:rtl/>
          <w:lang w:bidi="ar-QA"/>
        </w:rPr>
        <w:t xml:space="preserve"> </w:t>
      </w:r>
      <w:r w:rsidRPr="005675B2">
        <w:rPr>
          <w:rFonts w:hint="cs"/>
          <w:rtl/>
        </w:rPr>
        <w:t>الحمد لله رب العالمين</w:t>
      </w:r>
      <w:r w:rsidR="000636C2">
        <w:rPr>
          <w:rFonts w:hint="cs"/>
          <w:rtl/>
        </w:rPr>
        <w:t>،</w:t>
      </w:r>
      <w:r w:rsidRPr="005675B2">
        <w:rPr>
          <w:rFonts w:hint="cs"/>
          <w:rtl/>
        </w:rPr>
        <w:t xml:space="preserve"> القائل في كتابه المبين</w:t>
      </w:r>
      <w:r w:rsidR="000636C2">
        <w:rPr>
          <w:rFonts w:hint="cs"/>
          <w:rtl/>
        </w:rPr>
        <w:t>:</w:t>
      </w:r>
      <w:r w:rsidRPr="005675B2">
        <w:rPr>
          <w:rFonts w:hint="cs"/>
          <w:rtl/>
        </w:rPr>
        <w:t xml:space="preserve"> </w:t>
      </w:r>
      <w:r w:rsidR="000636C2">
        <w:rPr>
          <w:rFonts w:hint="cs"/>
          <w:rtl/>
        </w:rPr>
        <w:t>[</w:t>
      </w:r>
      <w:r w:rsidRPr="005675B2">
        <w:rPr>
          <w:rFonts w:hint="cs"/>
          <w:rtl/>
        </w:rPr>
        <w:t>فَتَبَيَّنُوا أَنْ تُصِيبُوا قَوْماً بِجَهَالَةٍ فَتُصْبِحُوا عَلَى مَا فَعَلْتُمْ نَادِمِينَ</w:t>
      </w:r>
      <w:r w:rsidR="000636C2">
        <w:rPr>
          <w:rFonts w:hint="cs"/>
          <w:rtl/>
        </w:rPr>
        <w:t>]</w:t>
      </w:r>
      <w:r w:rsidRPr="005675B2">
        <w:rPr>
          <w:rFonts w:hint="cs"/>
          <w:rtl/>
        </w:rPr>
        <w:t xml:space="preserve"> [</w:t>
      </w:r>
      <w:r w:rsidRPr="005675B2">
        <w:rPr>
          <w:rFonts w:hint="cs"/>
          <w:sz w:val="24"/>
          <w:szCs w:val="24"/>
          <w:rtl/>
        </w:rPr>
        <w:t>من الآية 6 من سورة الحجرات</w:t>
      </w:r>
      <w:r w:rsidR="000636C2">
        <w:rPr>
          <w:rFonts w:hint="cs"/>
          <w:sz w:val="24"/>
          <w:szCs w:val="24"/>
          <w:rtl/>
        </w:rPr>
        <w:t>]</w:t>
      </w:r>
      <w:r w:rsidR="000636C2">
        <w:rPr>
          <w:rFonts w:hint="cs"/>
          <w:rtl/>
        </w:rPr>
        <w:t>،</w:t>
      </w:r>
      <w:r w:rsidRPr="005675B2">
        <w:rPr>
          <w:rFonts w:hint="cs"/>
          <w:rtl/>
        </w:rPr>
        <w:t xml:space="preserve"> والصلاة والسلام على المبعوث رحمة للعالمين</w:t>
      </w:r>
      <w:r w:rsidR="000636C2">
        <w:rPr>
          <w:rFonts w:hint="cs"/>
          <w:rtl/>
        </w:rPr>
        <w:t>،</w:t>
      </w:r>
      <w:r w:rsidRPr="005675B2">
        <w:rPr>
          <w:rFonts w:hint="cs"/>
          <w:rtl/>
        </w:rPr>
        <w:t xml:space="preserve"> القائل لأمته</w:t>
      </w:r>
      <w:r w:rsidR="000636C2">
        <w:rPr>
          <w:rFonts w:hint="cs"/>
          <w:rtl/>
        </w:rPr>
        <w:t>:</w:t>
      </w:r>
      <w:r w:rsidRPr="005675B2">
        <w:rPr>
          <w:rFonts w:hint="cs"/>
          <w:rtl/>
        </w:rPr>
        <w:t xml:space="preserve"> </w:t>
      </w:r>
      <w:r w:rsidR="000636C2">
        <w:rPr>
          <w:rFonts w:hint="cs"/>
          <w:rtl/>
        </w:rPr>
        <w:t>[</w:t>
      </w:r>
      <w:r w:rsidRPr="005675B2">
        <w:rPr>
          <w:rFonts w:hint="cs"/>
          <w:rtl/>
        </w:rPr>
        <w:t>إياكم والظنَّ</w:t>
      </w:r>
      <w:r w:rsidR="000636C2">
        <w:rPr>
          <w:rFonts w:hint="cs"/>
          <w:rtl/>
        </w:rPr>
        <w:t>،</w:t>
      </w:r>
      <w:r w:rsidRPr="005675B2">
        <w:rPr>
          <w:rFonts w:hint="cs"/>
          <w:rtl/>
        </w:rPr>
        <w:t xml:space="preserve"> فإن الظنَّ أكذب الحديث</w:t>
      </w:r>
      <w:r w:rsidR="000636C2">
        <w:rPr>
          <w:rFonts w:hint="cs"/>
          <w:rtl/>
        </w:rPr>
        <w:t>،</w:t>
      </w:r>
      <w:r w:rsidRPr="005675B2">
        <w:rPr>
          <w:rFonts w:hint="cs"/>
          <w:rtl/>
        </w:rPr>
        <w:t xml:space="preserve"> ولا تحسسوا</w:t>
      </w:r>
      <w:r w:rsidR="000636C2">
        <w:rPr>
          <w:rFonts w:hint="cs"/>
          <w:rtl/>
        </w:rPr>
        <w:t>،</w:t>
      </w:r>
      <w:r w:rsidRPr="005675B2">
        <w:rPr>
          <w:rFonts w:hint="cs"/>
          <w:rtl/>
        </w:rPr>
        <w:t xml:space="preserve"> ولا تجسسوا</w:t>
      </w:r>
      <w:r w:rsidR="000636C2">
        <w:rPr>
          <w:rFonts w:hint="cs"/>
          <w:rtl/>
        </w:rPr>
        <w:t>،</w:t>
      </w:r>
      <w:r w:rsidRPr="005675B2">
        <w:rPr>
          <w:rFonts w:hint="cs"/>
          <w:rtl/>
        </w:rPr>
        <w:t xml:space="preserve"> ولا تنافسوا</w:t>
      </w:r>
      <w:r w:rsidR="000636C2">
        <w:rPr>
          <w:rFonts w:hint="cs"/>
          <w:rtl/>
        </w:rPr>
        <w:t>،</w:t>
      </w:r>
      <w:r w:rsidRPr="005675B2">
        <w:rPr>
          <w:rFonts w:hint="cs"/>
          <w:rtl/>
        </w:rPr>
        <w:t xml:space="preserve"> ولا تحاسدوا</w:t>
      </w:r>
      <w:r w:rsidR="000636C2">
        <w:rPr>
          <w:rFonts w:hint="cs"/>
          <w:rtl/>
        </w:rPr>
        <w:t>،</w:t>
      </w:r>
      <w:r w:rsidRPr="005675B2">
        <w:rPr>
          <w:rFonts w:hint="cs"/>
          <w:rtl/>
        </w:rPr>
        <w:t xml:space="preserve"> ولا تباغضوا</w:t>
      </w:r>
      <w:r w:rsidR="000636C2">
        <w:rPr>
          <w:rFonts w:hint="cs"/>
          <w:rtl/>
        </w:rPr>
        <w:t>،</w:t>
      </w:r>
      <w:r w:rsidRPr="005675B2">
        <w:rPr>
          <w:rFonts w:hint="cs"/>
          <w:rtl/>
        </w:rPr>
        <w:t xml:space="preserve"> ولا تدابروا</w:t>
      </w:r>
      <w:r w:rsidR="000636C2">
        <w:rPr>
          <w:rFonts w:hint="cs"/>
          <w:rtl/>
        </w:rPr>
        <w:t>،</w:t>
      </w:r>
      <w:r w:rsidRPr="005675B2">
        <w:rPr>
          <w:rFonts w:hint="cs"/>
          <w:rtl/>
        </w:rPr>
        <w:t xml:space="preserve"> وكونوا عباد الله إخواناً كما أمركم</w:t>
      </w:r>
      <w:r w:rsidR="000636C2">
        <w:rPr>
          <w:rFonts w:hint="cs"/>
          <w:rtl/>
        </w:rPr>
        <w:t>،</w:t>
      </w:r>
      <w:r w:rsidRPr="005675B2">
        <w:rPr>
          <w:rFonts w:hint="cs"/>
          <w:rtl/>
        </w:rPr>
        <w:t xml:space="preserve"> المسلم أخو المسلم</w:t>
      </w:r>
      <w:r w:rsidR="000636C2">
        <w:rPr>
          <w:rFonts w:hint="cs"/>
          <w:rtl/>
        </w:rPr>
        <w:t>،</w:t>
      </w:r>
      <w:r w:rsidRPr="005675B2">
        <w:rPr>
          <w:rFonts w:hint="cs"/>
          <w:rtl/>
        </w:rPr>
        <w:t xml:space="preserve"> لا يظلمه</w:t>
      </w:r>
      <w:r w:rsidR="000636C2">
        <w:rPr>
          <w:rFonts w:hint="cs"/>
          <w:rtl/>
        </w:rPr>
        <w:t>،</w:t>
      </w:r>
      <w:r w:rsidRPr="005675B2">
        <w:rPr>
          <w:rFonts w:hint="cs"/>
          <w:rtl/>
        </w:rPr>
        <w:t xml:space="preserve"> ولا يخذله</w:t>
      </w:r>
      <w:r w:rsidR="000636C2">
        <w:rPr>
          <w:rFonts w:hint="cs"/>
          <w:rtl/>
        </w:rPr>
        <w:t>،</w:t>
      </w:r>
      <w:r w:rsidRPr="005675B2">
        <w:rPr>
          <w:rFonts w:hint="cs"/>
          <w:rtl/>
        </w:rPr>
        <w:t xml:space="preserve"> ولا يحقره</w:t>
      </w:r>
      <w:r w:rsidR="000636C2">
        <w:rPr>
          <w:rFonts w:hint="cs"/>
          <w:rtl/>
        </w:rPr>
        <w:t>،</w:t>
      </w:r>
      <w:r w:rsidRPr="005675B2">
        <w:rPr>
          <w:rFonts w:hint="cs"/>
          <w:rtl/>
        </w:rPr>
        <w:t xml:space="preserve"> التقوى ههنا</w:t>
      </w:r>
      <w:r w:rsidR="000636C2">
        <w:rPr>
          <w:rFonts w:hint="cs"/>
          <w:rtl/>
        </w:rPr>
        <w:t>،</w:t>
      </w:r>
      <w:r w:rsidRPr="005675B2">
        <w:rPr>
          <w:rFonts w:hint="cs"/>
          <w:rtl/>
        </w:rPr>
        <w:t xml:space="preserve"> التقوى ههنا</w:t>
      </w:r>
      <w:r w:rsidR="000636C2">
        <w:rPr>
          <w:rFonts w:hint="cs"/>
          <w:rtl/>
        </w:rPr>
        <w:t>،</w:t>
      </w:r>
      <w:r w:rsidRPr="005675B2">
        <w:rPr>
          <w:rFonts w:hint="cs"/>
          <w:rtl/>
        </w:rPr>
        <w:t xml:space="preserve"> التقوى ههنا</w:t>
      </w:r>
      <w:r w:rsidR="000636C2">
        <w:rPr>
          <w:rFonts w:hint="cs"/>
          <w:rtl/>
        </w:rPr>
        <w:t>]</w:t>
      </w:r>
      <w:r w:rsidRPr="005675B2">
        <w:rPr>
          <w:rFonts w:hint="cs"/>
          <w:rtl/>
        </w:rPr>
        <w:t xml:space="preserve"> وأشار إلى صدره </w:t>
      </w:r>
      <w:r w:rsidR="000636C2">
        <w:rPr>
          <w:rFonts w:hint="cs"/>
          <w:rtl/>
        </w:rPr>
        <w:t>[</w:t>
      </w:r>
      <w:r w:rsidRPr="005675B2">
        <w:rPr>
          <w:rFonts w:hint="cs"/>
          <w:rtl/>
        </w:rPr>
        <w:t>بحسب امرئ من الشر أن يحقر أخاه المسلم</w:t>
      </w:r>
      <w:r w:rsidR="000636C2">
        <w:rPr>
          <w:rFonts w:hint="cs"/>
          <w:rtl/>
        </w:rPr>
        <w:t>،</w:t>
      </w:r>
      <w:r w:rsidRPr="005675B2">
        <w:rPr>
          <w:rFonts w:hint="cs"/>
          <w:rtl/>
        </w:rPr>
        <w:t xml:space="preserve"> كل المسلم على المسلم حرام</w:t>
      </w:r>
      <w:r w:rsidR="000636C2">
        <w:rPr>
          <w:rFonts w:hint="cs"/>
          <w:rtl/>
        </w:rPr>
        <w:t>،</w:t>
      </w:r>
      <w:r w:rsidRPr="005675B2">
        <w:rPr>
          <w:rFonts w:hint="cs"/>
          <w:rtl/>
        </w:rPr>
        <w:t xml:space="preserve"> دمه وعرضه وماله</w:t>
      </w:r>
      <w:r w:rsidR="000636C2">
        <w:rPr>
          <w:rFonts w:hint="cs"/>
          <w:rtl/>
        </w:rPr>
        <w:t>][</w:t>
      </w:r>
      <w:r w:rsidRPr="005675B2">
        <w:rPr>
          <w:rFonts w:hint="cs"/>
          <w:sz w:val="24"/>
          <w:szCs w:val="24"/>
          <w:rtl/>
        </w:rPr>
        <w:t>رواه مالك والبخاري</w:t>
      </w:r>
      <w:r w:rsidR="000636C2">
        <w:rPr>
          <w:rFonts w:hint="cs"/>
          <w:sz w:val="24"/>
          <w:szCs w:val="24"/>
          <w:rtl/>
        </w:rPr>
        <w:t>،</w:t>
      </w:r>
      <w:r w:rsidRPr="005675B2">
        <w:rPr>
          <w:rFonts w:hint="cs"/>
          <w:sz w:val="24"/>
          <w:szCs w:val="24"/>
          <w:rtl/>
        </w:rPr>
        <w:t xml:space="preserve"> ومسلم</w:t>
      </w:r>
      <w:r w:rsidR="000636C2">
        <w:rPr>
          <w:rFonts w:hint="cs"/>
          <w:sz w:val="24"/>
          <w:szCs w:val="24"/>
          <w:rtl/>
        </w:rPr>
        <w:t>،</w:t>
      </w:r>
      <w:r w:rsidRPr="005675B2">
        <w:rPr>
          <w:rFonts w:hint="cs"/>
          <w:sz w:val="24"/>
          <w:szCs w:val="24"/>
          <w:rtl/>
        </w:rPr>
        <w:t xml:space="preserve"> واللفظ له</w:t>
      </w:r>
      <w:r w:rsidR="000636C2">
        <w:rPr>
          <w:rFonts w:hint="cs"/>
          <w:sz w:val="24"/>
          <w:szCs w:val="24"/>
          <w:rtl/>
        </w:rPr>
        <w:t>]</w:t>
      </w:r>
      <w:r w:rsidRPr="005675B2">
        <w:rPr>
          <w:rFonts w:hint="cs"/>
          <w:rtl/>
        </w:rPr>
        <w:t xml:space="preserve"> </w:t>
      </w:r>
      <w:r w:rsidR="000636C2">
        <w:rPr>
          <w:rFonts w:hint="cs"/>
          <w:rtl/>
        </w:rPr>
        <w:t>[</w:t>
      </w:r>
      <w:r w:rsidRPr="005675B2">
        <w:rPr>
          <w:rFonts w:hint="cs"/>
          <w:sz w:val="24"/>
          <w:szCs w:val="24"/>
          <w:rtl/>
        </w:rPr>
        <w:t>رواه مالك والبخاري</w:t>
      </w:r>
      <w:r w:rsidR="000636C2">
        <w:rPr>
          <w:rFonts w:hint="cs"/>
          <w:sz w:val="24"/>
          <w:szCs w:val="24"/>
          <w:rtl/>
        </w:rPr>
        <w:t>،</w:t>
      </w:r>
      <w:r w:rsidRPr="005675B2">
        <w:rPr>
          <w:rFonts w:hint="cs"/>
          <w:sz w:val="24"/>
          <w:szCs w:val="24"/>
          <w:rtl/>
        </w:rPr>
        <w:t xml:space="preserve"> ومسلم</w:t>
      </w:r>
      <w:r w:rsidR="000636C2">
        <w:rPr>
          <w:rFonts w:hint="cs"/>
          <w:sz w:val="24"/>
          <w:szCs w:val="24"/>
          <w:rtl/>
        </w:rPr>
        <w:t>،</w:t>
      </w:r>
      <w:r w:rsidRPr="005675B2">
        <w:rPr>
          <w:rFonts w:hint="cs"/>
          <w:sz w:val="24"/>
          <w:szCs w:val="24"/>
          <w:rtl/>
        </w:rPr>
        <w:t xml:space="preserve"> واللفظ له</w:t>
      </w:r>
      <w:r w:rsidR="000636C2">
        <w:rPr>
          <w:rFonts w:hint="cs"/>
          <w:sz w:val="24"/>
          <w:szCs w:val="24"/>
          <w:rtl/>
        </w:rPr>
        <w:t>]</w:t>
      </w:r>
      <w:r w:rsidR="000636C2">
        <w:rPr>
          <w:rFonts w:hint="cs"/>
          <w:rtl/>
        </w:rPr>
        <w:t>،</w:t>
      </w:r>
      <w:r w:rsidRPr="005675B2">
        <w:rPr>
          <w:rFonts w:hint="cs"/>
          <w:rtl/>
        </w:rPr>
        <w:t xml:space="preserve"> وبعد</w:t>
      </w:r>
      <w:r w:rsidR="000636C2">
        <w:rPr>
          <w:rFonts w:hint="cs"/>
          <w:rtl/>
        </w:rPr>
        <w:t>،</w:t>
      </w:r>
      <w:r w:rsidRPr="005675B2">
        <w:rPr>
          <w:rFonts w:hint="cs"/>
          <w:rtl/>
        </w:rPr>
        <w:t xml:space="preserve"> فقد كتب أحد الباحثين كتاباً يبين فيه</w:t>
      </w:r>
      <w:r w:rsidR="000636C2">
        <w:rPr>
          <w:rFonts w:hint="cs"/>
          <w:rtl/>
        </w:rPr>
        <w:t xml:space="preserve"> </w:t>
      </w:r>
      <w:r w:rsidRPr="005675B2">
        <w:rPr>
          <w:rFonts w:hint="cs"/>
          <w:rtl/>
        </w:rPr>
        <w:t>- حسب دعوأهـ منهج الأشاعرة في العقيدة</w:t>
      </w:r>
      <w:r w:rsidR="000636C2">
        <w:rPr>
          <w:rFonts w:hint="cs"/>
          <w:rtl/>
        </w:rPr>
        <w:t>،</w:t>
      </w:r>
      <w:r w:rsidRPr="005675B2">
        <w:rPr>
          <w:rFonts w:hint="cs"/>
          <w:rtl/>
        </w:rPr>
        <w:t xml:space="preserve"> أخرجهم فيه من دائرة </w:t>
      </w:r>
      <w:r w:rsidR="000636C2">
        <w:rPr>
          <w:rFonts w:hint="cs"/>
          <w:rtl/>
        </w:rPr>
        <w:t>[</w:t>
      </w:r>
      <w:r w:rsidRPr="005675B2">
        <w:rPr>
          <w:rFonts w:hint="cs"/>
          <w:rtl/>
        </w:rPr>
        <w:t>السُّنة</w:t>
      </w:r>
      <w:r w:rsidR="000636C2">
        <w:rPr>
          <w:rFonts w:hint="cs"/>
          <w:rtl/>
        </w:rPr>
        <w:t>]،</w:t>
      </w:r>
      <w:r w:rsidRPr="005675B2">
        <w:rPr>
          <w:rFonts w:hint="cs"/>
          <w:rtl/>
        </w:rPr>
        <w:t xml:space="preserve"> وعدهم طائفة من أهل </w:t>
      </w:r>
      <w:r w:rsidR="000636C2">
        <w:rPr>
          <w:rFonts w:hint="cs"/>
          <w:rtl/>
        </w:rPr>
        <w:t>[</w:t>
      </w:r>
      <w:r w:rsidRPr="005675B2">
        <w:rPr>
          <w:rFonts w:hint="cs"/>
          <w:rtl/>
        </w:rPr>
        <w:t>البدع</w:t>
      </w:r>
      <w:r w:rsidR="000636C2">
        <w:rPr>
          <w:rFonts w:hint="cs"/>
          <w:rtl/>
        </w:rPr>
        <w:t>]،</w:t>
      </w:r>
      <w:r w:rsidRPr="005675B2">
        <w:rPr>
          <w:rFonts w:hint="cs"/>
          <w:rtl/>
        </w:rPr>
        <w:t xml:space="preserve"> وعمّق التباغض والتدابر بين المسلمين، يرى نفسه متقرباً بذلك إلى الله تعالى</w:t>
      </w:r>
      <w:r w:rsidR="000636C2">
        <w:rPr>
          <w:rFonts w:hint="cs"/>
          <w:rtl/>
        </w:rPr>
        <w:t>،</w:t>
      </w:r>
      <w:r w:rsidRPr="005675B2">
        <w:rPr>
          <w:rFonts w:hint="cs"/>
          <w:rtl/>
        </w:rPr>
        <w:t xml:space="preserve"> حيث إنه</w:t>
      </w:r>
      <w:r w:rsidR="000636C2">
        <w:rPr>
          <w:rFonts w:hint="cs"/>
          <w:rtl/>
        </w:rPr>
        <w:t xml:space="preserve"> </w:t>
      </w:r>
      <w:r w:rsidRPr="005675B2">
        <w:rPr>
          <w:rFonts w:hint="cs"/>
          <w:rtl/>
        </w:rPr>
        <w:t>- في ظن نفسه</w:t>
      </w:r>
      <w:r w:rsidR="000636C2">
        <w:rPr>
          <w:rFonts w:hint="cs"/>
          <w:rtl/>
        </w:rPr>
        <w:t xml:space="preserve"> </w:t>
      </w:r>
      <w:r w:rsidRPr="005675B2">
        <w:rPr>
          <w:rFonts w:hint="cs"/>
          <w:rtl/>
        </w:rPr>
        <w:t>- يبين حقيقة مذهب الأشاعرة</w:t>
      </w:r>
      <w:r w:rsidR="000636C2">
        <w:rPr>
          <w:rFonts w:hint="cs"/>
          <w:rtl/>
        </w:rPr>
        <w:t>،</w:t>
      </w:r>
      <w:r w:rsidRPr="005675B2">
        <w:rPr>
          <w:rFonts w:hint="cs"/>
          <w:rtl/>
        </w:rPr>
        <w:t xml:space="preserve"> ويقوم بواجب نصرة الكتاب والسنة ؛ إذ يكشف ضلالهم وانحرافهم</w:t>
      </w:r>
      <w:r w:rsidR="000636C2">
        <w:rPr>
          <w:rFonts w:hint="cs"/>
          <w:rtl/>
        </w:rPr>
        <w:t>،</w:t>
      </w:r>
      <w:r w:rsidRPr="005675B2">
        <w:rPr>
          <w:rFonts w:hint="cs"/>
          <w:rtl/>
        </w:rPr>
        <w:t xml:space="preserve"> ويقول</w:t>
      </w:r>
      <w:r w:rsidR="000636C2">
        <w:rPr>
          <w:rFonts w:hint="cs"/>
          <w:rtl/>
        </w:rPr>
        <w:t>:</w:t>
      </w:r>
      <w:r w:rsidRPr="005675B2">
        <w:rPr>
          <w:rFonts w:hint="cs"/>
          <w:rtl/>
        </w:rPr>
        <w:t xml:space="preserve"> إنه من المتخصصين في علم العقيدة</w:t>
      </w:r>
      <w:r w:rsidR="000636C2">
        <w:rPr>
          <w:rFonts w:hint="cs"/>
          <w:rtl/>
        </w:rPr>
        <w:t>،</w:t>
      </w:r>
      <w:r w:rsidRPr="005675B2">
        <w:rPr>
          <w:rFonts w:hint="cs"/>
          <w:rtl/>
        </w:rPr>
        <w:t xml:space="preserve"> المؤسس على الكتاب والسنة</w:t>
      </w:r>
      <w:r w:rsidR="000636C2">
        <w:rPr>
          <w:rFonts w:hint="cs"/>
          <w:rtl/>
        </w:rPr>
        <w:t>،</w:t>
      </w:r>
      <w:r w:rsidRPr="005675B2">
        <w:rPr>
          <w:rFonts w:hint="cs"/>
          <w:rtl/>
        </w:rPr>
        <w:t xml:space="preserve"> ومذهب السلف الصالحين</w:t>
      </w:r>
      <w:r w:rsidR="000636C2">
        <w:rPr>
          <w:rFonts w:hint="cs"/>
          <w:rtl/>
        </w:rPr>
        <w:t>،</w:t>
      </w:r>
      <w:r w:rsidRPr="005675B2">
        <w:rPr>
          <w:rFonts w:hint="cs"/>
          <w:rtl/>
        </w:rPr>
        <w:t xml:space="preserve"> ولقد كان الباحث</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 متجنياً - في بحثه هذا</w:t>
      </w:r>
      <w:r w:rsidR="000636C2">
        <w:rPr>
          <w:rFonts w:hint="cs"/>
          <w:rtl/>
        </w:rPr>
        <w:t xml:space="preserve"> </w:t>
      </w:r>
      <w:r w:rsidRPr="005675B2">
        <w:rPr>
          <w:rFonts w:hint="cs"/>
          <w:rtl/>
        </w:rPr>
        <w:t>- على الأشاعرة</w:t>
      </w:r>
      <w:r w:rsidR="000636C2">
        <w:rPr>
          <w:rFonts w:hint="cs"/>
          <w:rtl/>
        </w:rPr>
        <w:t>،</w:t>
      </w:r>
      <w:r w:rsidRPr="005675B2">
        <w:rPr>
          <w:rFonts w:hint="cs"/>
          <w:rtl/>
        </w:rPr>
        <w:t xml:space="preserve"> بعيداً عن الروح العلمية</w:t>
      </w:r>
      <w:r w:rsidR="000636C2">
        <w:rPr>
          <w:rFonts w:hint="cs"/>
          <w:rtl/>
        </w:rPr>
        <w:t>،</w:t>
      </w:r>
      <w:r w:rsidRPr="005675B2">
        <w:rPr>
          <w:rFonts w:hint="cs"/>
          <w:rtl/>
        </w:rPr>
        <w:t xml:space="preserve"> ومن مظاهر ذلك</w:t>
      </w:r>
      <w:r w:rsidR="000636C2">
        <w:rPr>
          <w:rFonts w:hint="cs"/>
          <w:rtl/>
        </w:rPr>
        <w:t>:</w:t>
      </w:r>
      <w:r w:rsidRPr="005675B2">
        <w:rPr>
          <w:rFonts w:hint="cs"/>
          <w:rtl/>
        </w:rPr>
        <w:t xml:space="preserve"> أنه ينسب أقوالاً كثيرة للأشاعرة وهم لم يقولوا بها</w:t>
      </w:r>
      <w:r w:rsidR="000636C2">
        <w:rPr>
          <w:rFonts w:hint="cs"/>
          <w:rtl/>
        </w:rPr>
        <w:t>،</w:t>
      </w:r>
      <w:r w:rsidRPr="005675B2">
        <w:rPr>
          <w:rFonts w:hint="cs"/>
          <w:rtl/>
        </w:rPr>
        <w:t xml:space="preserve"> ولا يذكر نصوص كلامهم من كتبهم</w:t>
      </w:r>
      <w:r w:rsidR="000636C2">
        <w:rPr>
          <w:rFonts w:hint="cs"/>
          <w:rtl/>
        </w:rPr>
        <w:t>،</w:t>
      </w:r>
      <w:r w:rsidRPr="005675B2">
        <w:rPr>
          <w:rFonts w:hint="cs"/>
          <w:rtl/>
        </w:rPr>
        <w:t xml:space="preserve"> ولا تتعدى النصوص التي نقلها عنهم عدد أصابع اليد الواحدة</w:t>
      </w:r>
      <w:r w:rsidR="000636C2">
        <w:rPr>
          <w:rFonts w:hint="cs"/>
          <w:rtl/>
        </w:rPr>
        <w:t>،</w:t>
      </w:r>
      <w:r w:rsidRPr="005675B2">
        <w:rPr>
          <w:rFonts w:hint="cs"/>
          <w:rtl/>
        </w:rPr>
        <w:t xml:space="preserve"> وينبغي لمن يرد على آخر أن يذكر قول المردود عليه بنصه</w:t>
      </w:r>
      <w:r w:rsidR="000636C2">
        <w:rPr>
          <w:rFonts w:hint="cs"/>
          <w:rtl/>
        </w:rPr>
        <w:t>،</w:t>
      </w:r>
      <w:r w:rsidRPr="005675B2">
        <w:rPr>
          <w:rFonts w:hint="cs"/>
          <w:rtl/>
        </w:rPr>
        <w:t xml:space="preserve"> ليرى القارئ ما إذا كان صاحب الرد قد نقل كلام المردود عليه من كتبه</w:t>
      </w:r>
      <w:r w:rsidR="000636C2">
        <w:rPr>
          <w:rFonts w:hint="cs"/>
          <w:rtl/>
        </w:rPr>
        <w:t>،</w:t>
      </w:r>
      <w:r w:rsidRPr="005675B2">
        <w:rPr>
          <w:rFonts w:hint="cs"/>
          <w:rtl/>
        </w:rPr>
        <w:t xml:space="preserve"> أومن كتب أهل مذهبه</w:t>
      </w:r>
      <w:r w:rsidR="000636C2">
        <w:rPr>
          <w:rFonts w:hint="cs"/>
          <w:rtl/>
        </w:rPr>
        <w:t>،</w:t>
      </w:r>
      <w:r w:rsidRPr="005675B2">
        <w:rPr>
          <w:rFonts w:hint="cs"/>
          <w:rtl/>
        </w:rPr>
        <w:t xml:space="preserve"> أومن كتب خصومه أحياناً</w:t>
      </w:r>
      <w:r w:rsidR="000636C2">
        <w:rPr>
          <w:rFonts w:hint="cs"/>
          <w:rtl/>
        </w:rPr>
        <w:t xml:space="preserve">! </w:t>
      </w:r>
      <w:r w:rsidRPr="005675B2">
        <w:rPr>
          <w:rFonts w:hint="cs"/>
          <w:rtl/>
        </w:rPr>
        <w:t>- كما فعل الباحث سامحه الله ـ، وليرى القارئ ما إذا كان صاحب الرد قد فهم كلام المردود عليه بدقة</w:t>
      </w:r>
      <w:r w:rsidR="000636C2">
        <w:rPr>
          <w:rFonts w:hint="cs"/>
          <w:rtl/>
        </w:rPr>
        <w:t xml:space="preserve"> </w:t>
      </w:r>
      <w:r w:rsidRPr="005675B2">
        <w:rPr>
          <w:rFonts w:hint="cs"/>
          <w:rtl/>
        </w:rPr>
        <w:t>- في حالة النقل من كتبه</w:t>
      </w:r>
      <w:r w:rsidR="000636C2">
        <w:rPr>
          <w:rFonts w:hint="cs"/>
          <w:rtl/>
        </w:rPr>
        <w:t xml:space="preserve"> </w:t>
      </w:r>
      <w:r w:rsidRPr="005675B2">
        <w:rPr>
          <w:rFonts w:hint="cs"/>
          <w:rtl/>
        </w:rPr>
        <w:t>- أو لا</w:t>
      </w:r>
      <w:r w:rsidR="000636C2">
        <w:rPr>
          <w:rFonts w:hint="cs"/>
          <w:rtl/>
        </w:rPr>
        <w:t>؟،</w:t>
      </w:r>
      <w:r w:rsidRPr="005675B2">
        <w:rPr>
          <w:rFonts w:hint="cs"/>
          <w:rtl/>
        </w:rPr>
        <w:t xml:space="preserve"> وأنه لا يذكر أدلة الأشاعرة من الكتاب والسنة على أقوالهم</w:t>
      </w:r>
      <w:r w:rsidR="000636C2">
        <w:rPr>
          <w:rFonts w:hint="cs"/>
          <w:rtl/>
        </w:rPr>
        <w:t>،</w:t>
      </w:r>
      <w:r w:rsidRPr="005675B2">
        <w:rPr>
          <w:rFonts w:hint="cs"/>
          <w:rtl/>
        </w:rPr>
        <w:t xml:space="preserve"> ليظهرهم على أنهم على غير الكتاب والسنة</w:t>
      </w:r>
      <w:r w:rsidR="000636C2">
        <w:rPr>
          <w:rFonts w:hint="cs"/>
          <w:rtl/>
        </w:rPr>
        <w:t>،</w:t>
      </w:r>
      <w:r w:rsidRPr="005675B2">
        <w:rPr>
          <w:rFonts w:hint="cs"/>
          <w:rtl/>
        </w:rPr>
        <w:t xml:space="preserve"> وربما كان لهم في المسألة أدلة من الكتاب والسنة وكلام الصحابة فلا يذكرها ويغفلها تماماً</w:t>
      </w:r>
      <w:r w:rsidR="000636C2">
        <w:rPr>
          <w:rFonts w:hint="cs"/>
          <w:rtl/>
        </w:rPr>
        <w:t>،</w:t>
      </w:r>
      <w:r w:rsidRPr="005675B2">
        <w:rPr>
          <w:rFonts w:hint="cs"/>
          <w:rtl/>
        </w:rPr>
        <w:t xml:space="preserve"> ولكن حيث إن المسألة لغوية وقد استأنسوا فيها ببيت من الشعر لشاعر غير مسلم ؛ فإن الباحث يذكر البيت الشعري</w:t>
      </w:r>
      <w:r w:rsidR="000636C2">
        <w:rPr>
          <w:rFonts w:hint="cs"/>
          <w:rtl/>
        </w:rPr>
        <w:t xml:space="preserve"> </w:t>
      </w:r>
      <w:r w:rsidRPr="005675B2">
        <w:rPr>
          <w:rFonts w:hint="cs"/>
          <w:rtl/>
        </w:rPr>
        <w:t>- مع إغفال الأدلة من الكتاب والسنة وكلام الصحابة تماماً</w:t>
      </w:r>
      <w:r w:rsidR="000636C2">
        <w:rPr>
          <w:rFonts w:hint="cs"/>
          <w:rtl/>
        </w:rPr>
        <w:t xml:space="preserve"> </w:t>
      </w:r>
      <w:r w:rsidRPr="005675B2">
        <w:rPr>
          <w:rFonts w:hint="cs"/>
          <w:rtl/>
        </w:rPr>
        <w:t>- ويقول</w:t>
      </w:r>
      <w:r w:rsidR="000636C2">
        <w:rPr>
          <w:rFonts w:hint="cs"/>
          <w:rtl/>
        </w:rPr>
        <w:t>: [</w:t>
      </w:r>
      <w:r w:rsidRPr="005675B2">
        <w:rPr>
          <w:rFonts w:hint="cs"/>
          <w:rtl/>
        </w:rPr>
        <w:t>واستدلوا بالبيت المنسوب للأخطل النصراني</w:t>
      </w:r>
      <w:r w:rsidR="000636C2">
        <w:rPr>
          <w:rFonts w:hint="cs"/>
          <w:rtl/>
        </w:rPr>
        <w:t>:</w:t>
      </w:r>
      <w:r w:rsidRPr="005675B2">
        <w:rPr>
          <w:rFonts w:hint="cs"/>
          <w:rtl/>
        </w:rPr>
        <w:t xml:space="preserve"> إن الكلام لفي الفؤاد وإنما جعل اللسان على الفؤاد دليلاً</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ثم أسسوا مذهبهم وبنوه في أخطر الأصول والقضايا</w:t>
      </w:r>
      <w:r w:rsidR="000636C2">
        <w:rPr>
          <w:rFonts w:hint="cs"/>
          <w:rtl/>
        </w:rPr>
        <w:t>،</w:t>
      </w:r>
      <w:r w:rsidRPr="005675B2">
        <w:rPr>
          <w:rFonts w:hint="cs"/>
          <w:rtl/>
        </w:rPr>
        <w:t xml:space="preserve"> الإيمان</w:t>
      </w:r>
      <w:r w:rsidR="000636C2">
        <w:rPr>
          <w:rFonts w:hint="cs"/>
          <w:rtl/>
        </w:rPr>
        <w:t>،</w:t>
      </w:r>
      <w:r w:rsidRPr="005675B2">
        <w:rPr>
          <w:rFonts w:hint="cs"/>
          <w:rtl/>
        </w:rPr>
        <w:t xml:space="preserve"> القرآن</w:t>
      </w:r>
      <w:r w:rsidR="000636C2">
        <w:rPr>
          <w:rFonts w:hint="cs"/>
          <w:rtl/>
        </w:rPr>
        <w:t>،</w:t>
      </w:r>
      <w:r w:rsidRPr="005675B2">
        <w:rPr>
          <w:rFonts w:hint="cs"/>
          <w:rtl/>
        </w:rPr>
        <w:t xml:space="preserve"> العلو، على بيتين غير ثابتين عن شاعر نصراني ..</w:t>
      </w:r>
      <w:r w:rsidR="000636C2">
        <w:rPr>
          <w:rFonts w:hint="cs"/>
          <w:rtl/>
        </w:rPr>
        <w:t>،]،</w:t>
      </w:r>
      <w:r w:rsidRPr="005675B2">
        <w:rPr>
          <w:rFonts w:hint="cs"/>
          <w:rtl/>
        </w:rPr>
        <w:t xml:space="preserve"> وأنه يكتفي بسرد ما قاله الأشاعرة وما نسب إليهم مع التنفير والتسفيه دون أن يذكر الأدلة على إبطال تلك الأقوال</w:t>
      </w:r>
      <w:r w:rsidR="000636C2">
        <w:rPr>
          <w:rFonts w:hint="cs"/>
          <w:rtl/>
        </w:rPr>
        <w:t>،</w:t>
      </w:r>
      <w:r w:rsidRPr="005675B2">
        <w:rPr>
          <w:rFonts w:hint="cs"/>
          <w:rtl/>
        </w:rPr>
        <w:t xml:space="preserve"> وأنه لم يحدد المراد ببعض المصطلحات التي يستخدمها في بحثه والتي قد تكون مثار خلاف</w:t>
      </w:r>
      <w:r w:rsidR="000636C2">
        <w:rPr>
          <w:rFonts w:hint="cs"/>
          <w:rtl/>
        </w:rPr>
        <w:t>،</w:t>
      </w:r>
      <w:r w:rsidRPr="005675B2">
        <w:rPr>
          <w:rFonts w:hint="cs"/>
          <w:rtl/>
        </w:rPr>
        <w:t xml:space="preserve"> فكلمة </w:t>
      </w:r>
      <w:r w:rsidR="000636C2">
        <w:rPr>
          <w:rFonts w:hint="cs"/>
          <w:rtl/>
        </w:rPr>
        <w:t>[</w:t>
      </w:r>
      <w:r w:rsidRPr="005675B2">
        <w:rPr>
          <w:rFonts w:hint="cs"/>
          <w:rtl/>
        </w:rPr>
        <w:t>السلف</w:t>
      </w:r>
      <w:r w:rsidR="000636C2">
        <w:rPr>
          <w:rFonts w:hint="cs"/>
          <w:rtl/>
        </w:rPr>
        <w:t>]</w:t>
      </w:r>
      <w:r w:rsidRPr="005675B2">
        <w:rPr>
          <w:rFonts w:hint="cs"/>
          <w:rtl/>
        </w:rPr>
        <w:t xml:space="preserve"> عندما يعزو إليهم بعض الأقوال فإنه لم يحدد مراده بها</w:t>
      </w:r>
      <w:r w:rsidR="000636C2">
        <w:rPr>
          <w:rFonts w:hint="cs"/>
          <w:rtl/>
        </w:rPr>
        <w:t>،</w:t>
      </w:r>
      <w:r w:rsidRPr="005675B2">
        <w:rPr>
          <w:rFonts w:hint="cs"/>
          <w:rtl/>
        </w:rPr>
        <w:t xml:space="preserve"> فهل السلف هم الصحابة</w:t>
      </w:r>
      <w:r w:rsidR="000636C2">
        <w:rPr>
          <w:rFonts w:hint="cs"/>
          <w:rtl/>
        </w:rPr>
        <w:t>؟</w:t>
      </w:r>
      <w:r w:rsidRPr="005675B2">
        <w:rPr>
          <w:rFonts w:hint="cs"/>
          <w:rtl/>
        </w:rPr>
        <w:t xml:space="preserve"> أو الصحابة والتابعون</w:t>
      </w:r>
      <w:r w:rsidR="000636C2">
        <w:rPr>
          <w:rFonts w:hint="cs"/>
          <w:rtl/>
        </w:rPr>
        <w:t>؟</w:t>
      </w:r>
      <w:r w:rsidRPr="005675B2">
        <w:rPr>
          <w:rFonts w:hint="cs"/>
          <w:rtl/>
        </w:rPr>
        <w:t xml:space="preserve"> أو الصحابة والتابعون وأتباع التابعين</w:t>
      </w:r>
      <w:r w:rsidR="000636C2">
        <w:rPr>
          <w:rFonts w:hint="cs"/>
          <w:rtl/>
        </w:rPr>
        <w:t>؟</w:t>
      </w:r>
      <w:r w:rsidRPr="005675B2">
        <w:rPr>
          <w:rFonts w:hint="cs"/>
          <w:rtl/>
        </w:rPr>
        <w:t xml:space="preserve"> وهل يدخل معهم من جاء بعد تلك القرون الثلاثة كالإمام أحمد والبخاري والترمذي وابن حبان والبيهقي رحمهم الله تعالى</w:t>
      </w:r>
      <w:r w:rsidR="000636C2">
        <w:rPr>
          <w:rFonts w:hint="cs"/>
          <w:rtl/>
        </w:rPr>
        <w:t>؟؟</w:t>
      </w:r>
      <w:r w:rsidRPr="005675B2">
        <w:rPr>
          <w:rFonts w:hint="cs"/>
          <w:rtl/>
        </w:rPr>
        <w:t xml:space="preserve"> وهل يدخل معهم عثمان بن سعيد الدارمي والآجري والبربهاري وابن بطة واللالكائي رحمهم الله تعالى</w:t>
      </w:r>
      <w:r w:rsidR="000636C2">
        <w:rPr>
          <w:rFonts w:hint="cs"/>
          <w:rtl/>
        </w:rPr>
        <w:t>؟</w:t>
      </w:r>
      <w:r w:rsidRPr="005675B2">
        <w:rPr>
          <w:rFonts w:hint="cs"/>
          <w:rtl/>
        </w:rPr>
        <w:t xml:space="preserve"> وهل أقوال هؤلاء يُحتج بها أو يحتج لها</w:t>
      </w:r>
      <w:r w:rsidR="000636C2">
        <w:rPr>
          <w:rFonts w:hint="cs"/>
          <w:rtl/>
        </w:rPr>
        <w:t>؟</w:t>
      </w:r>
      <w:r w:rsidRPr="005675B2">
        <w:rPr>
          <w:rFonts w:hint="cs"/>
          <w:rtl/>
        </w:rPr>
        <w:t xml:space="preserve"> أي هل هي صحيحة قطعاً حيث لا يتطرق إليها الخطأ فيحتج بها على من خالفهم فيها من أهل العلم</w:t>
      </w:r>
      <w:r w:rsidR="000636C2">
        <w:rPr>
          <w:rFonts w:hint="cs"/>
          <w:rtl/>
        </w:rPr>
        <w:t>؟</w:t>
      </w:r>
      <w:r w:rsidRPr="005675B2">
        <w:rPr>
          <w:rFonts w:hint="cs"/>
          <w:rtl/>
        </w:rPr>
        <w:t xml:space="preserve"> أو هي محتملة للصواب والخطأ محتاجة</w:t>
      </w:r>
      <w:r w:rsidR="000636C2">
        <w:rPr>
          <w:rFonts w:hint="cs"/>
          <w:rtl/>
        </w:rPr>
        <w:t xml:space="preserve"> </w:t>
      </w:r>
      <w:r w:rsidRPr="005675B2">
        <w:rPr>
          <w:rFonts w:hint="cs"/>
          <w:rtl/>
        </w:rPr>
        <w:t>- حتى في حال صوابها</w:t>
      </w:r>
      <w:r w:rsidR="000636C2">
        <w:rPr>
          <w:rFonts w:hint="cs"/>
          <w:rtl/>
        </w:rPr>
        <w:t xml:space="preserve"> </w:t>
      </w:r>
      <w:r w:rsidRPr="005675B2">
        <w:rPr>
          <w:rFonts w:hint="cs"/>
          <w:rtl/>
        </w:rPr>
        <w:t>- إلى ذكر الأدلة من الكتاب والسنة فيحتج إذاً لها لا بها</w:t>
      </w:r>
      <w:r w:rsidR="000636C2">
        <w:rPr>
          <w:rFonts w:hint="cs"/>
          <w:rtl/>
        </w:rPr>
        <w:t>؟،</w:t>
      </w:r>
      <w:r w:rsidRPr="005675B2">
        <w:rPr>
          <w:rFonts w:hint="cs"/>
          <w:rtl/>
        </w:rPr>
        <w:t xml:space="preserve"> وكلمة </w:t>
      </w:r>
      <w:r w:rsidR="000636C2">
        <w:rPr>
          <w:rFonts w:hint="cs"/>
          <w:rtl/>
        </w:rPr>
        <w:t>[</w:t>
      </w:r>
      <w:r w:rsidRPr="005675B2">
        <w:rPr>
          <w:rFonts w:hint="cs"/>
          <w:rtl/>
        </w:rPr>
        <w:t>أهل السنة</w:t>
      </w:r>
      <w:r w:rsidR="000636C2">
        <w:rPr>
          <w:rFonts w:hint="cs"/>
          <w:rtl/>
        </w:rPr>
        <w:t>]</w:t>
      </w:r>
      <w:r w:rsidRPr="005675B2">
        <w:rPr>
          <w:rFonts w:hint="cs"/>
          <w:rtl/>
        </w:rPr>
        <w:t xml:space="preserve"> لم يحدد مراده بها</w:t>
      </w:r>
      <w:r w:rsidR="000636C2">
        <w:rPr>
          <w:rFonts w:hint="cs"/>
          <w:rtl/>
        </w:rPr>
        <w:t>،</w:t>
      </w:r>
      <w:r w:rsidRPr="005675B2">
        <w:rPr>
          <w:rFonts w:hint="cs"/>
          <w:rtl/>
        </w:rPr>
        <w:t xml:space="preserve"> ويبدوأن المراد بها عنده ابن تيمية وابن القيم ومن وافق فهمه فهمهما</w:t>
      </w:r>
      <w:r w:rsidR="000636C2">
        <w:rPr>
          <w:rFonts w:hint="cs"/>
          <w:rtl/>
        </w:rPr>
        <w:t>،</w:t>
      </w:r>
      <w:r w:rsidRPr="005675B2">
        <w:rPr>
          <w:rFonts w:hint="cs"/>
          <w:rtl/>
        </w:rPr>
        <w:t xml:space="preserve"> وإلا فهو ليس من أهل السنة مهما بذل من جهد واعتناء بالسنة النبوية رواية ودراية وفهماً</w:t>
      </w:r>
      <w:r w:rsidR="000636C2">
        <w:rPr>
          <w:rFonts w:hint="cs"/>
          <w:rtl/>
        </w:rPr>
        <w:t>!</w:t>
      </w:r>
      <w:r w:rsidRPr="005675B2">
        <w:rPr>
          <w:rFonts w:hint="cs"/>
          <w:rtl/>
        </w:rPr>
        <w:t>!</w:t>
      </w:r>
      <w:r w:rsidR="000636C2">
        <w:rPr>
          <w:rFonts w:hint="cs"/>
          <w:rtl/>
        </w:rPr>
        <w:t>،</w:t>
      </w:r>
      <w:r w:rsidRPr="005675B2">
        <w:rPr>
          <w:rFonts w:hint="cs"/>
          <w:rtl/>
        </w:rPr>
        <w:t xml:space="preserve"> وأخيراً فقبل ذكر الأدلة والاحتجاج فكنت أود لو أن الباحث كان منصفاً ودقيقاً في تصوير مذهب الأشاعرة</w:t>
      </w:r>
      <w:r w:rsidR="000636C2">
        <w:rPr>
          <w:rFonts w:hint="cs"/>
          <w:rtl/>
        </w:rPr>
        <w:t>،</w:t>
      </w:r>
      <w:r w:rsidRPr="005675B2">
        <w:rPr>
          <w:rFonts w:hint="cs"/>
          <w:rtl/>
        </w:rPr>
        <w:t xml:space="preserve"> بحيث يلخص مذهبهم كما هو في كتبهم</w:t>
      </w:r>
      <w:r w:rsidR="000636C2">
        <w:rPr>
          <w:rFonts w:hint="cs"/>
          <w:rtl/>
        </w:rPr>
        <w:t>،</w:t>
      </w:r>
      <w:r w:rsidRPr="005675B2">
        <w:rPr>
          <w:rFonts w:hint="cs"/>
          <w:rtl/>
        </w:rPr>
        <w:t xml:space="preserve"> لا كما هو في كتب مخالفيهم</w:t>
      </w:r>
      <w:r w:rsidR="000636C2">
        <w:rPr>
          <w:rFonts w:hint="cs"/>
          <w:rtl/>
        </w:rPr>
        <w:t>،</w:t>
      </w:r>
      <w:r w:rsidRPr="005675B2">
        <w:rPr>
          <w:rFonts w:hint="cs"/>
          <w:rtl/>
        </w:rPr>
        <w:t xml:space="preserve"> ثم يبين</w:t>
      </w:r>
      <w:r w:rsidR="000636C2">
        <w:rPr>
          <w:rFonts w:hint="cs"/>
          <w:rtl/>
        </w:rPr>
        <w:t xml:space="preserve"> </w:t>
      </w:r>
      <w:r w:rsidRPr="005675B2">
        <w:rPr>
          <w:rFonts w:hint="cs"/>
          <w:rtl/>
        </w:rPr>
        <w:t>- بالأدلة</w:t>
      </w:r>
      <w:r w:rsidR="000636C2">
        <w:rPr>
          <w:rFonts w:hint="cs"/>
          <w:rtl/>
        </w:rPr>
        <w:t xml:space="preserve"> </w:t>
      </w:r>
      <w:r w:rsidRPr="005675B2">
        <w:rPr>
          <w:rFonts w:hint="cs"/>
          <w:rtl/>
        </w:rPr>
        <w:t>- ما الذي في كتبهم وفي كتب مخالفيهم من صواب ومن خطأ</w:t>
      </w:r>
      <w:r w:rsidR="000636C2">
        <w:rPr>
          <w:rFonts w:hint="cs"/>
          <w:rtl/>
        </w:rPr>
        <w:t>،</w:t>
      </w:r>
      <w:r w:rsidRPr="005675B2">
        <w:rPr>
          <w:rFonts w:hint="cs"/>
          <w:rtl/>
        </w:rPr>
        <w:t xml:space="preserve"> ويحسن هنا أن أورد ما كتبه ابن تيمية رحمه الله ناقداً وناصحاً لأحد العلماء</w:t>
      </w:r>
      <w:r w:rsidR="000636C2">
        <w:rPr>
          <w:rFonts w:hint="cs"/>
          <w:rtl/>
        </w:rPr>
        <w:t>،</w:t>
      </w:r>
      <w:r w:rsidRPr="005675B2">
        <w:rPr>
          <w:rFonts w:hint="cs"/>
          <w:rtl/>
        </w:rPr>
        <w:t xml:space="preserve"> وأنا أوجهه للباحث لعله يستفيد منه</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فإنه دائماً يقول قال أهل الحق</w:t>
      </w:r>
      <w:r w:rsidR="000636C2">
        <w:rPr>
          <w:rFonts w:hint="cs"/>
          <w:rtl/>
        </w:rPr>
        <w:t>،</w:t>
      </w:r>
      <w:r w:rsidRPr="005675B2">
        <w:rPr>
          <w:rFonts w:hint="cs"/>
          <w:rtl/>
        </w:rPr>
        <w:t xml:space="preserve"> وإنما يعني أصحابه</w:t>
      </w:r>
      <w:r w:rsidR="000636C2">
        <w:rPr>
          <w:rFonts w:hint="cs"/>
          <w:rtl/>
        </w:rPr>
        <w:t>،</w:t>
      </w:r>
      <w:r w:rsidRPr="005675B2">
        <w:rPr>
          <w:rFonts w:hint="cs"/>
          <w:rtl/>
        </w:rPr>
        <w:t xml:space="preserve"> وهذه دعوى يمكن كل أحد أن يقول لأصحابه مثلها</w:t>
      </w:r>
      <w:r w:rsidR="000636C2">
        <w:rPr>
          <w:rFonts w:hint="cs"/>
          <w:rtl/>
        </w:rPr>
        <w:t>،</w:t>
      </w:r>
      <w:r w:rsidRPr="005675B2">
        <w:rPr>
          <w:rFonts w:hint="cs"/>
          <w:rtl/>
        </w:rPr>
        <w:t xml:space="preserve"> فإن أهل الحق الذين لا ريب فيهم هم المؤمنون الذين لا يجتمعون على ضلالة</w:t>
      </w:r>
      <w:r w:rsidR="000636C2">
        <w:rPr>
          <w:rFonts w:hint="cs"/>
          <w:rtl/>
        </w:rPr>
        <w:t>،</w:t>
      </w:r>
      <w:r w:rsidRPr="005675B2">
        <w:rPr>
          <w:rFonts w:hint="cs"/>
          <w:rtl/>
        </w:rPr>
        <w:t xml:space="preserve"> فأما أن يفرد الإنسان طائفة منتسبة إلى متبوع من الأمة ويسميها أهل الحق ويُشْعِرَ بأن كل من خالفها في شيء فهو من أهل الباطل</w:t>
      </w:r>
      <w:r w:rsidR="000636C2">
        <w:rPr>
          <w:rFonts w:hint="cs"/>
          <w:rtl/>
        </w:rPr>
        <w:t>:</w:t>
      </w:r>
      <w:r w:rsidRPr="005675B2">
        <w:rPr>
          <w:rFonts w:hint="cs"/>
          <w:rtl/>
        </w:rPr>
        <w:t xml:space="preserve"> فهذا حال أهل الأهواء والبدع ..</w:t>
      </w:r>
      <w:r w:rsidR="000636C2">
        <w:rPr>
          <w:rFonts w:hint="cs"/>
          <w:rtl/>
        </w:rPr>
        <w:t>،</w:t>
      </w:r>
      <w:r w:rsidRPr="005675B2">
        <w:rPr>
          <w:rFonts w:hint="cs"/>
          <w:rtl/>
        </w:rPr>
        <w:t xml:space="preserve"> فليس الحق لازماً لشخص بعينه دائراً معه حيث دار لا يفارقه قط إلا لرسول الله صلى الله عليه وسلم</w:t>
      </w:r>
      <w:r w:rsidR="000636C2">
        <w:rPr>
          <w:rFonts w:hint="cs"/>
          <w:rtl/>
        </w:rPr>
        <w:t>]</w:t>
      </w:r>
      <w:r w:rsidRPr="005675B2">
        <w:rPr>
          <w:rFonts w:hint="cs"/>
          <w:rtl/>
        </w:rPr>
        <w:t xml:space="preserve"> [</w:t>
      </w:r>
      <w:r w:rsidRPr="005675B2">
        <w:rPr>
          <w:rFonts w:hint="cs"/>
          <w:sz w:val="24"/>
          <w:szCs w:val="24"/>
          <w:rtl/>
        </w:rPr>
        <w:t>التسعينية لابن تيمية</w:t>
      </w:r>
      <w:r w:rsidR="000636C2">
        <w:rPr>
          <w:rFonts w:hint="cs"/>
          <w:sz w:val="24"/>
          <w:szCs w:val="24"/>
          <w:rtl/>
        </w:rPr>
        <w:t>:</w:t>
      </w:r>
      <w:r w:rsidRPr="005675B2">
        <w:rPr>
          <w:rFonts w:hint="cs"/>
          <w:sz w:val="24"/>
          <w:szCs w:val="24"/>
          <w:rtl/>
        </w:rPr>
        <w:t xml:space="preserve"> ص 245</w:t>
      </w:r>
      <w:r w:rsidR="000636C2">
        <w:rPr>
          <w:rFonts w:hint="cs"/>
          <w:sz w:val="24"/>
          <w:szCs w:val="24"/>
          <w:rtl/>
        </w:rPr>
        <w:t>]</w:t>
      </w:r>
      <w:r w:rsidR="000636C2">
        <w:rPr>
          <w:rFonts w:hint="cs"/>
          <w:rtl/>
        </w:rPr>
        <w:t>،</w:t>
      </w:r>
      <w:r w:rsidRPr="005675B2">
        <w:rPr>
          <w:rFonts w:hint="cs"/>
          <w:rtl/>
        </w:rPr>
        <w:t xml:space="preserve"> فإن قلت أين الدليل على أن الباحث متجن على الأشاعرة</w:t>
      </w:r>
      <w:r w:rsidR="000636C2">
        <w:rPr>
          <w:rFonts w:hint="cs"/>
          <w:rtl/>
        </w:rPr>
        <w:t>؟</w:t>
      </w:r>
      <w:r w:rsidRPr="005675B2">
        <w:rPr>
          <w:rFonts w:hint="cs"/>
          <w:rtl/>
        </w:rPr>
        <w:t xml:space="preserve"> ف</w:t>
      </w:r>
      <w:r w:rsidR="000636C2">
        <w:rPr>
          <w:rFonts w:hint="cs"/>
          <w:rtl/>
        </w:rPr>
        <w:t>[</w:t>
      </w:r>
      <w:r>
        <w:rPr>
          <w:rFonts w:hint="cs"/>
          <w:rtl/>
        </w:rPr>
        <w:t>الجواب</w:t>
      </w:r>
      <w:r w:rsidR="000636C2">
        <w:rPr>
          <w:rFonts w:hint="cs"/>
          <w:rtl/>
        </w:rPr>
        <w:t xml:space="preserve">] </w:t>
      </w:r>
      <w:r w:rsidRPr="005675B2">
        <w:rPr>
          <w:rFonts w:hint="cs"/>
          <w:rtl/>
        </w:rPr>
        <w:t>الواضح البين</w:t>
      </w:r>
      <w:r w:rsidR="000636C2">
        <w:rPr>
          <w:rFonts w:hint="cs"/>
          <w:rtl/>
        </w:rPr>
        <w:t xml:space="preserve"> </w:t>
      </w:r>
      <w:r w:rsidRPr="005675B2">
        <w:rPr>
          <w:rFonts w:hint="cs"/>
          <w:rtl/>
        </w:rPr>
        <w:t>- بإذن الله تعالى</w:t>
      </w:r>
      <w:r w:rsidR="000636C2">
        <w:rPr>
          <w:rFonts w:hint="cs"/>
          <w:rtl/>
        </w:rPr>
        <w:t xml:space="preserve"> </w:t>
      </w:r>
      <w:r w:rsidRPr="005675B2">
        <w:rPr>
          <w:rFonts w:hint="cs"/>
          <w:rtl/>
        </w:rPr>
        <w:t>- ستجده في قراءتك لهذا الكتاب</w:t>
      </w:r>
      <w:r w:rsidR="000636C2">
        <w:rPr>
          <w:rFonts w:hint="cs"/>
          <w:rtl/>
        </w:rPr>
        <w:t>،</w:t>
      </w:r>
      <w:r w:rsidRPr="005675B2">
        <w:rPr>
          <w:rFonts w:hint="cs"/>
          <w:rtl/>
        </w:rPr>
        <w:t xml:space="preserve"> وأحب أن أبادر إلى القول بأنني لست أشعرياً مقلداً</w:t>
      </w:r>
      <w:r w:rsidR="000636C2">
        <w:rPr>
          <w:rFonts w:hint="cs"/>
          <w:rtl/>
        </w:rPr>
        <w:t>،</w:t>
      </w:r>
      <w:r w:rsidRPr="005675B2">
        <w:rPr>
          <w:rFonts w:hint="cs"/>
          <w:rtl/>
        </w:rPr>
        <w:t xml:space="preserve"> والحمد لله الذي أنعم علي بمحبة الكتاب والسنة والتعلق بهما منذ نعومة الأظفار</w:t>
      </w:r>
      <w:r w:rsidR="000636C2">
        <w:rPr>
          <w:rFonts w:hint="cs"/>
          <w:rtl/>
        </w:rPr>
        <w:t>،</w:t>
      </w:r>
      <w:r w:rsidRPr="005675B2">
        <w:rPr>
          <w:rFonts w:hint="cs"/>
          <w:rtl/>
        </w:rPr>
        <w:t xml:space="preserve"> مع محبة الاتباع على بصيرة والنفور من التقليد الأعمى</w:t>
      </w:r>
      <w:r w:rsidR="000636C2">
        <w:rPr>
          <w:rFonts w:hint="cs"/>
          <w:rtl/>
        </w:rPr>
        <w:t>،</w:t>
      </w:r>
      <w:r w:rsidRPr="005675B2">
        <w:rPr>
          <w:rFonts w:hint="cs"/>
          <w:rtl/>
        </w:rPr>
        <w:t xml:space="preserve"> وعليه فإنني إذا قرأت في كتب الأشاعرة</w:t>
      </w:r>
      <w:r w:rsidR="000636C2">
        <w:rPr>
          <w:rFonts w:hint="cs"/>
          <w:rtl/>
        </w:rPr>
        <w:t xml:space="preserve"> </w:t>
      </w:r>
      <w:r w:rsidRPr="005675B2">
        <w:rPr>
          <w:rFonts w:hint="cs"/>
          <w:rtl/>
        </w:rPr>
        <w:t>- رحمهم الله تعالى</w:t>
      </w:r>
      <w:r w:rsidR="000636C2">
        <w:rPr>
          <w:rFonts w:hint="cs"/>
          <w:rtl/>
        </w:rPr>
        <w:t xml:space="preserve"> </w:t>
      </w:r>
      <w:r w:rsidRPr="005675B2">
        <w:rPr>
          <w:rFonts w:hint="cs"/>
          <w:rtl/>
        </w:rPr>
        <w:t>- أو في كتب غيرهم فإني أقبل منها ما أجد له دليلاً يدل على تثبيته وتأييده</w:t>
      </w:r>
      <w:r w:rsidR="000636C2">
        <w:rPr>
          <w:rFonts w:hint="cs"/>
          <w:rtl/>
        </w:rPr>
        <w:t>،</w:t>
      </w:r>
      <w:r w:rsidRPr="005675B2">
        <w:rPr>
          <w:rFonts w:hint="cs"/>
          <w:rtl/>
        </w:rPr>
        <w:t xml:space="preserve"> وأرفض منها ما أجد دليلاً على بطلانه</w:t>
      </w:r>
      <w:r w:rsidR="000636C2">
        <w:rPr>
          <w:rFonts w:hint="cs"/>
          <w:rtl/>
        </w:rPr>
        <w:t>،</w:t>
      </w:r>
      <w:r w:rsidRPr="005675B2">
        <w:rPr>
          <w:rFonts w:hint="cs"/>
          <w:rtl/>
        </w:rPr>
        <w:t xml:space="preserve"> وأتوقف فيما لا أجد ما يؤيد قبوله أو يؤكد بطلانه</w:t>
      </w:r>
      <w:r w:rsidR="000636C2">
        <w:rPr>
          <w:rFonts w:hint="cs"/>
          <w:rtl/>
        </w:rPr>
        <w:t>،</w:t>
      </w:r>
      <w:r w:rsidRPr="005675B2">
        <w:rPr>
          <w:rFonts w:hint="cs"/>
          <w:rtl/>
        </w:rPr>
        <w:t xml:space="preserve"> وأسأل الله تبارك وتعالى أن ينـزل شآبيب رحمته ومغفرته ورضوانه على روح شيخي الذي سمعته يقول</w:t>
      </w:r>
      <w:r w:rsidR="000636C2">
        <w:rPr>
          <w:rFonts w:hint="cs"/>
          <w:rtl/>
        </w:rPr>
        <w:t>:</w:t>
      </w:r>
      <w:r w:rsidRPr="005675B2">
        <w:rPr>
          <w:rFonts w:hint="cs"/>
          <w:rtl/>
        </w:rPr>
        <w:t xml:space="preserve"> </w:t>
      </w:r>
      <w:r w:rsidR="000636C2">
        <w:rPr>
          <w:rFonts w:hint="cs"/>
          <w:rtl/>
        </w:rPr>
        <w:t>[</w:t>
      </w:r>
      <w:r w:rsidRPr="005675B2">
        <w:rPr>
          <w:rFonts w:hint="cs"/>
          <w:rtl/>
        </w:rPr>
        <w:t>لا تقلِّد في العقيدة</w:t>
      </w:r>
      <w:r w:rsidR="000636C2">
        <w:rPr>
          <w:rFonts w:hint="cs"/>
          <w:rtl/>
        </w:rPr>
        <w:t>]،</w:t>
      </w:r>
      <w:r w:rsidRPr="005675B2">
        <w:rPr>
          <w:rFonts w:hint="cs"/>
          <w:rtl/>
        </w:rPr>
        <w:t xml:space="preserve"> أقول إنني لست أشعرياً مقلداً بمعنى أنني لا ألتزم بكل ما في كتب الأشاعرة</w:t>
      </w:r>
      <w:r w:rsidR="000636C2">
        <w:rPr>
          <w:rFonts w:hint="cs"/>
          <w:rtl/>
        </w:rPr>
        <w:t>،</w:t>
      </w:r>
      <w:r w:rsidRPr="005675B2">
        <w:rPr>
          <w:rFonts w:hint="cs"/>
          <w:rtl/>
        </w:rPr>
        <w:t xml:space="preserve"> وإن كنت أرى أن معظم ما قالوه صواب</w:t>
      </w:r>
      <w:r w:rsidR="000636C2">
        <w:rPr>
          <w:rFonts w:hint="cs"/>
          <w:rtl/>
        </w:rPr>
        <w:t>،</w:t>
      </w:r>
      <w:r w:rsidRPr="005675B2">
        <w:rPr>
          <w:rFonts w:hint="cs"/>
          <w:rtl/>
        </w:rPr>
        <w:t xml:space="preserve"> ومن مآخذي على الأشاعرة إجمالاً دخولهم في الفلسفة وتبنيهم طرقها ومناهجها</w:t>
      </w:r>
      <w:r w:rsidR="000636C2">
        <w:rPr>
          <w:rFonts w:hint="cs"/>
          <w:rtl/>
        </w:rPr>
        <w:t>،</w:t>
      </w:r>
      <w:r w:rsidRPr="005675B2">
        <w:rPr>
          <w:rFonts w:hint="cs"/>
          <w:rtl/>
        </w:rPr>
        <w:t xml:space="preserve"> دون التنبه إلى عقم تلك الطرق والمناهج</w:t>
      </w:r>
      <w:r w:rsidR="000636C2">
        <w:rPr>
          <w:rFonts w:hint="cs"/>
          <w:rtl/>
        </w:rPr>
        <w:t>،</w:t>
      </w:r>
      <w:r w:rsidRPr="005675B2">
        <w:rPr>
          <w:rFonts w:hint="cs"/>
          <w:rtl/>
        </w:rPr>
        <w:t xml:space="preserve"> فنحن أمة أغنانا الله تعالى بالطرق القرآنية في إثبات العقائد</w:t>
      </w:r>
      <w:r w:rsidR="000636C2">
        <w:rPr>
          <w:rFonts w:hint="cs"/>
          <w:rtl/>
        </w:rPr>
        <w:t>،</w:t>
      </w:r>
      <w:r w:rsidRPr="005675B2">
        <w:rPr>
          <w:rFonts w:hint="cs"/>
          <w:rtl/>
        </w:rPr>
        <w:t xml:space="preserve"> ولا حاجة لنا إلى غيرها</w:t>
      </w:r>
      <w:r w:rsidR="000636C2">
        <w:rPr>
          <w:rFonts w:hint="cs"/>
          <w:rtl/>
        </w:rPr>
        <w:t>،</w:t>
      </w:r>
      <w:r w:rsidRPr="005675B2">
        <w:rPr>
          <w:rFonts w:hint="cs"/>
          <w:rtl/>
        </w:rPr>
        <w:t xml:space="preserve"> ومن كان من هذا في شك فلينظر</w:t>
      </w:r>
      <w:r w:rsidR="000636C2">
        <w:rPr>
          <w:rFonts w:hint="cs"/>
          <w:rtl/>
        </w:rPr>
        <w:t xml:space="preserve"> </w:t>
      </w:r>
      <w:r w:rsidRPr="005675B2">
        <w:rPr>
          <w:rFonts w:hint="cs"/>
          <w:rtl/>
        </w:rPr>
        <w:t>- على سبيل المثال</w:t>
      </w:r>
      <w:r w:rsidR="000636C2">
        <w:rPr>
          <w:rFonts w:hint="cs"/>
          <w:rtl/>
        </w:rPr>
        <w:t xml:space="preserve"> </w:t>
      </w:r>
      <w:r w:rsidRPr="005675B2">
        <w:rPr>
          <w:rFonts w:hint="cs"/>
          <w:rtl/>
        </w:rPr>
        <w:t>- في الشامل لإمام الحرمين والمطالب العالية للإمام فخر الدين الرازي</w:t>
      </w:r>
      <w:r w:rsidR="000636C2">
        <w:rPr>
          <w:rFonts w:hint="cs"/>
          <w:rtl/>
        </w:rPr>
        <w:t xml:space="preserve"> </w:t>
      </w:r>
      <w:r w:rsidRPr="005675B2">
        <w:rPr>
          <w:rFonts w:hint="cs"/>
          <w:rtl/>
        </w:rPr>
        <w:t>- رحمهما الله وغفر لهما</w:t>
      </w:r>
      <w:r w:rsidR="000636C2">
        <w:rPr>
          <w:rFonts w:hint="cs"/>
          <w:rtl/>
        </w:rPr>
        <w:t xml:space="preserve"> </w:t>
      </w:r>
      <w:r w:rsidRPr="005675B2">
        <w:rPr>
          <w:rFonts w:hint="cs"/>
          <w:rtl/>
        </w:rPr>
        <w:t>-</w:t>
      </w:r>
      <w:r w:rsidR="000636C2">
        <w:rPr>
          <w:rFonts w:hint="cs"/>
          <w:rtl/>
        </w:rPr>
        <w:t>،</w:t>
      </w:r>
      <w:r w:rsidRPr="005675B2">
        <w:rPr>
          <w:rFonts w:hint="cs"/>
          <w:rtl/>
        </w:rPr>
        <w:t xml:space="preserve"> فإنه يرى فيهما الإغراق الشديد في الطرق الفلسفية العقيمة التي لا تعطي اليقين</w:t>
      </w:r>
      <w:r w:rsidR="000636C2">
        <w:rPr>
          <w:rFonts w:hint="cs"/>
          <w:rtl/>
        </w:rPr>
        <w:t>،</w:t>
      </w:r>
      <w:r w:rsidRPr="005675B2">
        <w:rPr>
          <w:rFonts w:hint="cs"/>
          <w:rtl/>
        </w:rPr>
        <w:t xml:space="preserve"> ولا توصل إلى الهداية</w:t>
      </w:r>
      <w:r w:rsidR="000636C2">
        <w:rPr>
          <w:rFonts w:hint="cs"/>
          <w:rtl/>
        </w:rPr>
        <w:t>،</w:t>
      </w:r>
      <w:r w:rsidRPr="005675B2">
        <w:rPr>
          <w:rFonts w:hint="cs"/>
          <w:rtl/>
        </w:rPr>
        <w:t xml:space="preserve"> أما مذهب الأشاعرة الذي يتصوّره الباحث فمعظم تلك التصورات مغايرة لما في كتب الأشاعرة</w:t>
      </w:r>
      <w:r w:rsidR="000636C2">
        <w:rPr>
          <w:rFonts w:hint="cs"/>
          <w:rtl/>
        </w:rPr>
        <w:t>،</w:t>
      </w:r>
      <w:r w:rsidRPr="005675B2">
        <w:rPr>
          <w:rFonts w:hint="cs"/>
          <w:rtl/>
        </w:rPr>
        <w:t xml:space="preserve"> فإن يكن ذلك مذهباً لبعضهم فإني أبرأ</w:t>
      </w:r>
      <w:r w:rsidR="000636C2">
        <w:rPr>
          <w:rFonts w:hint="cs"/>
          <w:rtl/>
        </w:rPr>
        <w:t xml:space="preserve"> </w:t>
      </w:r>
      <w:r w:rsidRPr="005675B2">
        <w:rPr>
          <w:rFonts w:hint="cs"/>
          <w:rtl/>
        </w:rPr>
        <w:t>إلى الله منه</w:t>
      </w:r>
      <w:r w:rsidR="000636C2">
        <w:rPr>
          <w:rFonts w:hint="cs"/>
          <w:rtl/>
        </w:rPr>
        <w:t>،</w:t>
      </w:r>
      <w:r w:rsidRPr="005675B2">
        <w:rPr>
          <w:rFonts w:hint="cs"/>
          <w:rtl/>
        </w:rPr>
        <w:t xml:space="preserve"> هذا وإني أرى من الواجب علي أن أسهم ببيان بعض ما وقع في كلام الباحث</w:t>
      </w:r>
      <w:r w:rsidR="000636C2">
        <w:rPr>
          <w:rFonts w:hint="cs"/>
          <w:rtl/>
        </w:rPr>
        <w:t>،</w:t>
      </w:r>
      <w:r w:rsidRPr="005675B2">
        <w:rPr>
          <w:rFonts w:hint="cs"/>
          <w:rtl/>
        </w:rPr>
        <w:t xml:space="preserve"> تجلية للحق</w:t>
      </w:r>
      <w:r w:rsidR="000636C2">
        <w:rPr>
          <w:rFonts w:hint="cs"/>
          <w:rtl/>
        </w:rPr>
        <w:t>،</w:t>
      </w:r>
      <w:r w:rsidRPr="005675B2">
        <w:rPr>
          <w:rFonts w:hint="cs"/>
          <w:rtl/>
        </w:rPr>
        <w:t xml:space="preserve"> وإبراء للذمة</w:t>
      </w:r>
      <w:r w:rsidR="000636C2">
        <w:rPr>
          <w:rFonts w:hint="cs"/>
          <w:rtl/>
        </w:rPr>
        <w:t>،</w:t>
      </w:r>
      <w:r w:rsidRPr="005675B2">
        <w:rPr>
          <w:rFonts w:hint="cs"/>
          <w:rtl/>
        </w:rPr>
        <w:t xml:space="preserve"> سائلاً المولى</w:t>
      </w:r>
      <w:r w:rsidR="000636C2">
        <w:rPr>
          <w:rFonts w:hint="cs"/>
          <w:rtl/>
        </w:rPr>
        <w:t xml:space="preserve"> </w:t>
      </w:r>
      <w:r w:rsidRPr="005675B2">
        <w:rPr>
          <w:rFonts w:hint="cs"/>
          <w:rtl/>
        </w:rPr>
        <w:t>- تعالى</w:t>
      </w:r>
      <w:r w:rsidR="000636C2">
        <w:rPr>
          <w:rFonts w:hint="cs"/>
          <w:rtl/>
        </w:rPr>
        <w:t xml:space="preserve"> </w:t>
      </w:r>
      <w:r w:rsidRPr="005675B2">
        <w:rPr>
          <w:rFonts w:hint="cs"/>
          <w:rtl/>
        </w:rPr>
        <w:t>- أن يجنبني الزلل</w:t>
      </w:r>
      <w:r w:rsidR="000636C2">
        <w:rPr>
          <w:rFonts w:hint="cs"/>
          <w:rtl/>
        </w:rPr>
        <w:t>،</w:t>
      </w:r>
      <w:r w:rsidRPr="005675B2">
        <w:rPr>
          <w:rFonts w:hint="cs"/>
          <w:rtl/>
        </w:rPr>
        <w:t xml:space="preserve"> وأن يلهمني السداد</w:t>
      </w:r>
      <w:r w:rsidR="000636C2">
        <w:rPr>
          <w:rFonts w:hint="cs"/>
          <w:rtl/>
        </w:rPr>
        <w:t>،</w:t>
      </w:r>
      <w:r w:rsidRPr="005675B2">
        <w:rPr>
          <w:rFonts w:hint="cs"/>
          <w:rtl/>
        </w:rPr>
        <w:t xml:space="preserve"> بفضله ومنّه وتوفيقه</w:t>
      </w:r>
      <w:r w:rsidR="000636C2">
        <w:rPr>
          <w:rFonts w:hint="cs"/>
          <w:rtl/>
        </w:rPr>
        <w:t>،</w:t>
      </w:r>
      <w:r w:rsidRPr="005675B2">
        <w:rPr>
          <w:rFonts w:hint="cs"/>
          <w:rtl/>
        </w:rPr>
        <w:t xml:space="preserve"> فما كان في هذا البيان من صواب فبمحض توفيق الله تعالى</w:t>
      </w:r>
      <w:r w:rsidR="000636C2">
        <w:rPr>
          <w:rFonts w:hint="cs"/>
          <w:rtl/>
        </w:rPr>
        <w:t>،</w:t>
      </w:r>
      <w:r w:rsidRPr="005675B2">
        <w:rPr>
          <w:rFonts w:hint="cs"/>
          <w:rtl/>
        </w:rPr>
        <w:t xml:space="preserve"> وله الفضل والمنّة</w:t>
      </w:r>
      <w:r w:rsidR="000636C2">
        <w:rPr>
          <w:rFonts w:hint="cs"/>
          <w:rtl/>
        </w:rPr>
        <w:t>،</w:t>
      </w:r>
      <w:r w:rsidRPr="005675B2">
        <w:rPr>
          <w:rFonts w:hint="cs"/>
          <w:rtl/>
        </w:rPr>
        <w:t xml:space="preserve"> وما كان فيه من خطأ فمن عجزي وتقصيري</w:t>
      </w:r>
      <w:r w:rsidR="000636C2">
        <w:rPr>
          <w:rFonts w:hint="cs"/>
          <w:rtl/>
        </w:rPr>
        <w:t>،</w:t>
      </w:r>
      <w:r w:rsidRPr="005675B2">
        <w:rPr>
          <w:rFonts w:hint="cs"/>
          <w:rtl/>
        </w:rPr>
        <w:t xml:space="preserve"> وأستغفر الله منه</w:t>
      </w:r>
      <w:r w:rsidR="000636C2">
        <w:rPr>
          <w:rFonts w:hint="cs"/>
          <w:rtl/>
        </w:rPr>
        <w:t>،</w:t>
      </w:r>
      <w:r w:rsidRPr="005675B2">
        <w:rPr>
          <w:rFonts w:hint="cs"/>
          <w:rtl/>
        </w:rPr>
        <w:t xml:space="preserve"> وهذا أوان الشروع في المقصود</w:t>
      </w:r>
      <w:r w:rsidR="000636C2">
        <w:rPr>
          <w:rFonts w:hint="cs"/>
          <w:rtl/>
        </w:rPr>
        <w:t>:</w:t>
      </w:r>
    </w:p>
    <w:p w14:paraId="6F7815CB" w14:textId="77777777" w:rsidR="009C32A0" w:rsidRPr="005675B2" w:rsidRDefault="009C32A0" w:rsidP="000636C2">
      <w:pPr>
        <w:jc w:val="center"/>
        <w:rPr>
          <w:b/>
          <w:rtl/>
        </w:rPr>
      </w:pPr>
      <w:r w:rsidRPr="005675B2">
        <w:rPr>
          <w:rFonts w:hint="cs"/>
          <w:rtl/>
        </w:rPr>
        <w:t>***</w:t>
      </w:r>
    </w:p>
    <w:p w14:paraId="6CE901B5" w14:textId="50CD31D1" w:rsidR="009C32A0" w:rsidRPr="005675B2" w:rsidRDefault="000636C2" w:rsidP="000636C2">
      <w:pPr>
        <w:jc w:val="center"/>
        <w:rPr>
          <w:bCs/>
        </w:rPr>
      </w:pPr>
      <w:r>
        <w:rPr>
          <w:rFonts w:hint="cs"/>
          <w:bCs/>
          <w:rtl/>
        </w:rPr>
        <w:t>[</w:t>
      </w:r>
      <w:r w:rsidR="009C32A0" w:rsidRPr="005675B2">
        <w:rPr>
          <w:bCs/>
          <w:rtl/>
        </w:rPr>
        <w:t>الأشاعرة أكبر فرقة إسلامية</w:t>
      </w:r>
      <w:r>
        <w:rPr>
          <w:rFonts w:hint="cs"/>
          <w:bCs/>
          <w:rtl/>
        </w:rPr>
        <w:t>]</w:t>
      </w:r>
    </w:p>
    <w:p w14:paraId="41F36B6C" w14:textId="2EE12D09" w:rsidR="009C32A0" w:rsidRPr="005675B2" w:rsidRDefault="009C32A0" w:rsidP="000636C2">
      <w:pPr>
        <w:rPr>
          <w:b/>
          <w:rtl/>
        </w:rPr>
      </w:pPr>
      <w:r w:rsidRPr="005675B2">
        <w:rPr>
          <w:rFonts w:hint="cs"/>
          <w:b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فالأشاعرة .. هي أكبر فرق المرجئة الغلاة</w:t>
      </w:r>
      <w:r w:rsidR="000636C2">
        <w:rPr>
          <w:rFonts w:hint="cs"/>
          <w:rtl/>
        </w:rPr>
        <w:t>،</w:t>
      </w:r>
      <w:r w:rsidRPr="005675B2">
        <w:rPr>
          <w:rFonts w:hint="cs"/>
          <w:rtl/>
        </w:rPr>
        <w:t xml:space="preserve"> ولن أستعجل نتائج بحثي</w:t>
      </w:r>
      <w:r w:rsidR="000636C2">
        <w:rPr>
          <w:rFonts w:hint="cs"/>
          <w:rtl/>
        </w:rPr>
        <w:t>،</w:t>
      </w:r>
      <w:r w:rsidRPr="005675B2">
        <w:rPr>
          <w:rFonts w:hint="cs"/>
          <w:rtl/>
        </w:rPr>
        <w:t xml:space="preserve"> ولكن حسبي أن أدّعي دعوى وأطرحها للمناقشة وأقبل - بكل سرور</w:t>
      </w:r>
      <w:r w:rsidR="000636C2">
        <w:rPr>
          <w:rFonts w:hint="cs"/>
          <w:rtl/>
        </w:rPr>
        <w:t xml:space="preserve"> </w:t>
      </w:r>
      <w:r w:rsidRPr="005675B2">
        <w:rPr>
          <w:rFonts w:hint="cs"/>
          <w:rtl/>
        </w:rPr>
        <w:t>- من يدلي بوجهة نظره فيها</w:t>
      </w:r>
      <w:r w:rsidR="000636C2">
        <w:rPr>
          <w:rFonts w:hint="cs"/>
          <w:rtl/>
        </w:rPr>
        <w:t>]،</w:t>
      </w:r>
    </w:p>
    <w:p w14:paraId="326CF304" w14:textId="6AE8E828" w:rsidR="009C32A0" w:rsidRPr="005675B2" w:rsidRDefault="009C32A0" w:rsidP="000636C2">
      <w:pPr>
        <w:rPr>
          <w:b/>
          <w:rtl/>
        </w:rPr>
      </w:pPr>
      <w:r w:rsidRPr="005675B2">
        <w:rPr>
          <w:rFonts w:hint="cs"/>
          <w:bCs/>
          <w:rtl/>
        </w:rPr>
        <w:t>أقول</w:t>
      </w:r>
      <w:r w:rsidR="000636C2">
        <w:rPr>
          <w:rFonts w:hint="cs"/>
          <w:rtl/>
        </w:rPr>
        <w:t>:</w:t>
      </w:r>
      <w:r w:rsidRPr="005675B2">
        <w:rPr>
          <w:rFonts w:hint="cs"/>
          <w:rtl/>
        </w:rPr>
        <w:t xml:space="preserve"> 1</w:t>
      </w:r>
      <w:r w:rsidR="000636C2">
        <w:rPr>
          <w:rFonts w:hint="cs"/>
          <w:rtl/>
        </w:rPr>
        <w:t xml:space="preserve"> </w:t>
      </w:r>
      <w:r w:rsidRPr="005675B2">
        <w:rPr>
          <w:rFonts w:hint="cs"/>
          <w:rtl/>
        </w:rPr>
        <w:t>- لقد أحسن الباحث إذ قدم بحثه بأنه دعوى</w:t>
      </w:r>
      <w:r w:rsidR="000636C2">
        <w:rPr>
          <w:rFonts w:hint="cs"/>
          <w:rtl/>
        </w:rPr>
        <w:t>،</w:t>
      </w:r>
      <w:r w:rsidRPr="005675B2">
        <w:rPr>
          <w:rFonts w:hint="cs"/>
          <w:rtl/>
        </w:rPr>
        <w:t xml:space="preserve"> وأنه يطرحها للمناقشة</w:t>
      </w:r>
      <w:r w:rsidR="000636C2">
        <w:rPr>
          <w:rFonts w:hint="cs"/>
          <w:rtl/>
        </w:rPr>
        <w:t>،</w:t>
      </w:r>
      <w:r w:rsidRPr="005675B2">
        <w:rPr>
          <w:rFonts w:hint="cs"/>
          <w:rtl/>
        </w:rPr>
        <w:t xml:space="preserve"> وأنه يقبل</w:t>
      </w:r>
      <w:r w:rsidR="000636C2">
        <w:rPr>
          <w:rFonts w:hint="cs"/>
          <w:rtl/>
        </w:rPr>
        <w:t xml:space="preserve"> </w:t>
      </w:r>
      <w:r w:rsidRPr="005675B2">
        <w:rPr>
          <w:rFonts w:hint="cs"/>
          <w:rtl/>
        </w:rPr>
        <w:t>- بكل سرور</w:t>
      </w:r>
      <w:r w:rsidR="000636C2">
        <w:rPr>
          <w:rFonts w:hint="cs"/>
          <w:rtl/>
        </w:rPr>
        <w:t xml:space="preserve"> </w:t>
      </w:r>
      <w:r w:rsidRPr="005675B2">
        <w:rPr>
          <w:rFonts w:hint="cs"/>
          <w:rtl/>
        </w:rPr>
        <w:t>- من يدلي بوجهة نظره فيها</w:t>
      </w:r>
      <w:r w:rsidR="000636C2">
        <w:rPr>
          <w:rFonts w:hint="cs"/>
          <w:rtl/>
        </w:rPr>
        <w:t>،</w:t>
      </w:r>
      <w:r w:rsidRPr="005675B2">
        <w:rPr>
          <w:rFonts w:hint="cs"/>
          <w:rtl/>
        </w:rPr>
        <w:t xml:space="preserve"> لكن يؤخذ عليه أنه كثيراً ما يذكر الدعوى ولا يأتي بالبينة</w:t>
      </w:r>
      <w:r w:rsidR="000636C2">
        <w:rPr>
          <w:rFonts w:hint="cs"/>
          <w:rtl/>
        </w:rPr>
        <w:t>،</w:t>
      </w:r>
      <w:r w:rsidRPr="005675B2">
        <w:rPr>
          <w:rFonts w:hint="cs"/>
          <w:rtl/>
        </w:rPr>
        <w:t xml:space="preserve"> كيف وقد جاء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البينة على المدعي واليمين على من أنكر</w:t>
      </w:r>
      <w:r w:rsidR="000636C2">
        <w:rPr>
          <w:rFonts w:hint="cs"/>
          <w:rtl/>
        </w:rPr>
        <w:t>]</w:t>
      </w:r>
      <w:r w:rsidRPr="005675B2">
        <w:rPr>
          <w:rFonts w:hint="cs"/>
          <w:rtl/>
        </w:rPr>
        <w:t xml:space="preserve"> [</w:t>
      </w:r>
      <w:r w:rsidRPr="005675B2">
        <w:rPr>
          <w:rFonts w:hint="cs"/>
          <w:sz w:val="24"/>
          <w:szCs w:val="24"/>
          <w:rtl/>
        </w:rPr>
        <w:t>عزاه ابن حجر إلى البيهقي بإسناد صحيح</w:t>
      </w:r>
      <w:r w:rsidR="000636C2">
        <w:rPr>
          <w:rFonts w:hint="cs"/>
          <w:sz w:val="24"/>
          <w:szCs w:val="24"/>
          <w:rtl/>
        </w:rPr>
        <w:t>،</w:t>
      </w:r>
      <w:r w:rsidRPr="005675B2">
        <w:rPr>
          <w:rFonts w:hint="cs"/>
          <w:sz w:val="24"/>
          <w:szCs w:val="24"/>
          <w:rtl/>
        </w:rPr>
        <w:t xml:space="preserve"> وحسنه النووي . انظر: بلوغ المرام لابن حجر: باب الدعاوى والبينات . الأذكار للنووي: الأحاديث التي عليها مدار الإسلام</w:t>
      </w:r>
      <w:r w:rsidR="000636C2">
        <w:rPr>
          <w:rFonts w:hint="cs"/>
          <w:sz w:val="24"/>
          <w:szCs w:val="24"/>
          <w:rtl/>
        </w:rPr>
        <w:t>،</w:t>
      </w:r>
      <w:r w:rsidRPr="005675B2">
        <w:rPr>
          <w:rFonts w:hint="cs"/>
          <w:sz w:val="24"/>
          <w:szCs w:val="24"/>
          <w:rtl/>
        </w:rPr>
        <w:t xml:space="preserve"> ح 16</w:t>
      </w:r>
      <w:r w:rsidR="000636C2">
        <w:rPr>
          <w:rFonts w:hint="cs"/>
          <w:sz w:val="24"/>
          <w:szCs w:val="24"/>
          <w:rtl/>
        </w:rPr>
        <w:t>،</w:t>
      </w:r>
      <w:r w:rsidRPr="005675B2">
        <w:rPr>
          <w:rFonts w:hint="cs"/>
          <w:sz w:val="24"/>
          <w:szCs w:val="24"/>
          <w:rtl/>
        </w:rPr>
        <w:t xml:space="preserve"> في خاتمة الكتاب</w:t>
      </w:r>
      <w:r w:rsidR="000636C2">
        <w:rPr>
          <w:rFonts w:hint="cs"/>
          <w:sz w:val="24"/>
          <w:szCs w:val="24"/>
          <w:rtl/>
        </w:rPr>
        <w:t>]</w:t>
      </w:r>
      <w:r w:rsidR="000636C2">
        <w:rPr>
          <w:rFonts w:hint="cs"/>
          <w:rtl/>
        </w:rPr>
        <w:t>؟</w:t>
      </w:r>
      <w:r w:rsidRPr="005675B2">
        <w:rPr>
          <w:rFonts w:hint="cs"/>
          <w:rtl/>
        </w:rPr>
        <w:t xml:space="preserve"> 2</w:t>
      </w:r>
      <w:r w:rsidR="000636C2">
        <w:rPr>
          <w:rFonts w:hint="cs"/>
          <w:rtl/>
        </w:rPr>
        <w:t xml:space="preserve"> </w:t>
      </w:r>
      <w:r w:rsidRPr="005675B2">
        <w:rPr>
          <w:rFonts w:hint="cs"/>
          <w:rtl/>
        </w:rPr>
        <w:t xml:space="preserve">- لقد وقع الباحث هنا في تناقض واضح إذ يقول </w:t>
      </w:r>
      <w:r w:rsidR="000636C2">
        <w:rPr>
          <w:rFonts w:hint="cs"/>
          <w:rtl/>
        </w:rPr>
        <w:t>[</w:t>
      </w:r>
      <w:r w:rsidRPr="005675B2">
        <w:rPr>
          <w:rFonts w:hint="cs"/>
          <w:rtl/>
        </w:rPr>
        <w:t>هي أكبر فرق المرجئة الغلاة</w:t>
      </w:r>
      <w:r w:rsidR="000636C2">
        <w:rPr>
          <w:rFonts w:hint="cs"/>
          <w:rtl/>
        </w:rPr>
        <w:t>،</w:t>
      </w:r>
      <w:r w:rsidRPr="005675B2">
        <w:rPr>
          <w:rFonts w:hint="cs"/>
          <w:rtl/>
        </w:rPr>
        <w:t xml:space="preserve"> ولن أستعجل نتائج بحثي ..</w:t>
      </w:r>
      <w:r w:rsidR="000636C2">
        <w:rPr>
          <w:rFonts w:hint="cs"/>
          <w:rtl/>
        </w:rPr>
        <w:t>]،</w:t>
      </w:r>
      <w:r w:rsidRPr="005675B2">
        <w:rPr>
          <w:rFonts w:hint="cs"/>
          <w:rtl/>
        </w:rPr>
        <w:t xml:space="preserve"> أفليس قوله عن الأشاعرة </w:t>
      </w:r>
      <w:r w:rsidR="000636C2">
        <w:rPr>
          <w:rFonts w:hint="cs"/>
          <w:rtl/>
        </w:rPr>
        <w:t>[</w:t>
      </w:r>
      <w:r w:rsidRPr="005675B2">
        <w:rPr>
          <w:rFonts w:hint="cs"/>
          <w:rtl/>
        </w:rPr>
        <w:t>هي أكبر فرق المرجئة الغلاة</w:t>
      </w:r>
      <w:r w:rsidR="000636C2">
        <w:rPr>
          <w:rFonts w:hint="cs"/>
          <w:rtl/>
        </w:rPr>
        <w:t>]</w:t>
      </w:r>
      <w:r w:rsidRPr="005675B2">
        <w:rPr>
          <w:rFonts w:hint="cs"/>
          <w:rtl/>
        </w:rPr>
        <w:t xml:space="preserve"> قبل البدء بالبحث هو من استعجال النتائج</w:t>
      </w:r>
      <w:r w:rsidR="000636C2">
        <w:rPr>
          <w:rFonts w:hint="cs"/>
          <w:rtl/>
        </w:rPr>
        <w:t>؟،</w:t>
      </w:r>
      <w:r w:rsidRPr="005675B2">
        <w:rPr>
          <w:rFonts w:hint="cs"/>
          <w:rtl/>
        </w:rPr>
        <w:t xml:space="preserve"> 3</w:t>
      </w:r>
      <w:r w:rsidR="000636C2">
        <w:rPr>
          <w:rFonts w:hint="cs"/>
          <w:rtl/>
        </w:rPr>
        <w:t xml:space="preserve"> </w:t>
      </w:r>
      <w:r w:rsidRPr="005675B2">
        <w:rPr>
          <w:rFonts w:hint="cs"/>
          <w:rtl/>
        </w:rPr>
        <w:t>- اتهام الأشاعرة بأنهم من المرجئة بل من المرجئة الغلاة</w:t>
      </w:r>
      <w:r w:rsidR="000636C2">
        <w:rPr>
          <w:rFonts w:hint="cs"/>
          <w:rtl/>
        </w:rPr>
        <w:t>:</w:t>
      </w:r>
      <w:r w:rsidRPr="005675B2">
        <w:rPr>
          <w:rFonts w:hint="cs"/>
          <w:rtl/>
        </w:rPr>
        <w:t xml:space="preserve"> قول عظيم</w:t>
      </w:r>
      <w:r w:rsidR="000636C2">
        <w:rPr>
          <w:rFonts w:hint="cs"/>
          <w:rtl/>
        </w:rPr>
        <w:t>،</w:t>
      </w:r>
      <w:r w:rsidRPr="005675B2">
        <w:rPr>
          <w:rFonts w:hint="cs"/>
          <w:rtl/>
        </w:rPr>
        <w:t xml:space="preserve"> وبهتان جسيم</w:t>
      </w:r>
      <w:r w:rsidR="000636C2">
        <w:rPr>
          <w:rFonts w:hint="cs"/>
          <w:rtl/>
        </w:rPr>
        <w:t>،</w:t>
      </w:r>
      <w:r w:rsidRPr="005675B2">
        <w:rPr>
          <w:rFonts w:hint="cs"/>
          <w:rtl/>
        </w:rPr>
        <w:t xml:space="preserve"> ما الذي يقوله المرجئة</w:t>
      </w:r>
      <w:r w:rsidR="000636C2">
        <w:rPr>
          <w:rFonts w:hint="cs"/>
          <w:rtl/>
        </w:rPr>
        <w:t>؟</w:t>
      </w:r>
      <w:r w:rsidRPr="005675B2">
        <w:rPr>
          <w:rFonts w:hint="cs"/>
          <w:rtl/>
        </w:rPr>
        <w:t xml:space="preserve"> وما الذي يميزهم عما سواهم من الفرق</w:t>
      </w:r>
      <w:r w:rsidR="000636C2">
        <w:rPr>
          <w:rFonts w:hint="cs"/>
          <w:rtl/>
        </w:rPr>
        <w:t>؟</w:t>
      </w:r>
      <w:r w:rsidRPr="005675B2">
        <w:rPr>
          <w:rFonts w:hint="cs"/>
          <w:rtl/>
        </w:rPr>
        <w:t xml:space="preserve"> قال ابن أبي العز</w:t>
      </w:r>
      <w:r w:rsidR="000636C2">
        <w:rPr>
          <w:rFonts w:hint="cs"/>
          <w:rtl/>
        </w:rPr>
        <w:t>:</w:t>
      </w:r>
      <w:r w:rsidRPr="005675B2">
        <w:rPr>
          <w:rFonts w:hint="cs"/>
          <w:rtl/>
        </w:rPr>
        <w:t xml:space="preserve"> </w:t>
      </w:r>
      <w:r w:rsidR="000636C2">
        <w:rPr>
          <w:rFonts w:hint="cs"/>
          <w:rtl/>
        </w:rPr>
        <w:t>[</w:t>
      </w:r>
      <w:r w:rsidRPr="005675B2">
        <w:rPr>
          <w:rFonts w:hint="cs"/>
          <w:rtl/>
        </w:rPr>
        <w:t>المرجئة يقولون لا يضر مع الإيمان ذنب كما لا ينفع مع الكفر طاعة</w:t>
      </w:r>
      <w:r w:rsidR="000636C2">
        <w:rPr>
          <w:rFonts w:hint="cs"/>
          <w:rtl/>
        </w:rPr>
        <w:t>]</w:t>
      </w:r>
      <w:r w:rsidRPr="005675B2">
        <w:rPr>
          <w:rFonts w:hint="cs"/>
          <w:rtl/>
        </w:rPr>
        <w:t xml:space="preserve"> [</w:t>
      </w:r>
      <w:r w:rsidRPr="005675B2">
        <w:rPr>
          <w:rFonts w:hint="cs"/>
          <w:sz w:val="24"/>
          <w:szCs w:val="24"/>
          <w:rtl/>
        </w:rPr>
        <w:t>شرح العقيدة الطحاوية: 2 / 434</w:t>
      </w:r>
      <w:r w:rsidR="000636C2">
        <w:rPr>
          <w:rFonts w:hint="cs"/>
          <w:sz w:val="24"/>
          <w:szCs w:val="24"/>
          <w:rtl/>
        </w:rPr>
        <w:t>،</w:t>
      </w:r>
      <w:r w:rsidRPr="005675B2">
        <w:rPr>
          <w:rFonts w:hint="cs"/>
          <w:sz w:val="24"/>
          <w:szCs w:val="24"/>
          <w:rtl/>
        </w:rPr>
        <w:t xml:space="preserve"> 444</w:t>
      </w:r>
      <w:r w:rsidR="000636C2">
        <w:rPr>
          <w:rFonts w:hint="cs"/>
          <w:sz w:val="24"/>
          <w:szCs w:val="24"/>
          <w:rtl/>
        </w:rPr>
        <w:t>]</w:t>
      </w:r>
      <w:r w:rsidR="000636C2">
        <w:rPr>
          <w:rFonts w:hint="cs"/>
          <w:rtl/>
        </w:rPr>
        <w:t>،</w:t>
      </w:r>
      <w:r w:rsidRPr="005675B2">
        <w:rPr>
          <w:rFonts w:hint="cs"/>
          <w:rtl/>
        </w:rPr>
        <w:t xml:space="preserve"> فهل وجدت أيها الباحث</w:t>
      </w:r>
      <w:r w:rsidR="000636C2">
        <w:rPr>
          <w:rFonts w:hint="cs"/>
          <w:rtl/>
        </w:rPr>
        <w:t xml:space="preserve"> </w:t>
      </w:r>
      <w:r w:rsidRPr="005675B2">
        <w:rPr>
          <w:rFonts w:hint="cs"/>
          <w:rtl/>
        </w:rPr>
        <w:t>- سامحك الله وغفر لك</w:t>
      </w:r>
      <w:r w:rsidR="000636C2">
        <w:rPr>
          <w:rFonts w:hint="cs"/>
          <w:rtl/>
        </w:rPr>
        <w:t xml:space="preserve"> </w:t>
      </w:r>
      <w:r w:rsidRPr="005675B2">
        <w:rPr>
          <w:rFonts w:hint="cs"/>
          <w:rtl/>
        </w:rPr>
        <w:t>- أن الأشاعرة يقولون لا يضرُّ مع الإيمان ذنب</w:t>
      </w:r>
      <w:r w:rsidR="000636C2">
        <w:rPr>
          <w:rFonts w:hint="cs"/>
          <w:rtl/>
        </w:rPr>
        <w:t>؟</w:t>
      </w:r>
      <w:r w:rsidRPr="005675B2">
        <w:rPr>
          <w:rFonts w:hint="cs"/>
          <w:rtl/>
        </w:rPr>
        <w:t xml:space="preserve"> بل هل وجدت هذا منقولاً عن واحد من الأشاعرة</w:t>
      </w:r>
      <w:r w:rsidR="000636C2">
        <w:rPr>
          <w:rFonts w:hint="cs"/>
          <w:rtl/>
        </w:rPr>
        <w:t>؟،</w:t>
      </w:r>
      <w:r w:rsidRPr="005675B2">
        <w:rPr>
          <w:rFonts w:hint="cs"/>
          <w:rtl/>
        </w:rPr>
        <w:t xml:space="preserve"> هذا ما لا يقوله أشعري قط</w:t>
      </w:r>
      <w:r w:rsidR="000636C2">
        <w:rPr>
          <w:rFonts w:hint="cs"/>
          <w:rtl/>
        </w:rPr>
        <w:t>،</w:t>
      </w:r>
      <w:r w:rsidRPr="005675B2">
        <w:rPr>
          <w:rFonts w:hint="cs"/>
          <w:rtl/>
        </w:rPr>
        <w:t xml:space="preserve"> أرجوك أن تستعدَّ للجواب عند أحكم الحاكمين</w:t>
      </w:r>
      <w:r w:rsidR="000636C2">
        <w:rPr>
          <w:rFonts w:hint="cs"/>
          <w:rtl/>
        </w:rPr>
        <w:t>،</w:t>
      </w:r>
      <w:r w:rsidRPr="005675B2">
        <w:rPr>
          <w:rFonts w:hint="cs"/>
          <w:rtl/>
        </w:rPr>
        <w:t xml:space="preserve"> </w:t>
      </w:r>
      <w:r w:rsidR="000636C2">
        <w:rPr>
          <w:rFonts w:hint="cs"/>
          <w:rtl/>
        </w:rPr>
        <w:t>[</w:t>
      </w:r>
      <w:r w:rsidRPr="005675B2">
        <w:rPr>
          <w:rFonts w:hint="cs"/>
          <w:rtl/>
        </w:rPr>
        <w:t>يَوْمَ يَقُومُ النَّاسُ لِرَبِّ الْعَالَمِينَ</w:t>
      </w:r>
      <w:r w:rsidR="000636C2">
        <w:rPr>
          <w:rFonts w:hint="cs"/>
          <w:rtl/>
        </w:rPr>
        <w:t xml:space="preserve">] </w:t>
      </w:r>
      <w:r w:rsidRPr="005675B2">
        <w:rPr>
          <w:rFonts w:hint="cs"/>
          <w:rtl/>
        </w:rPr>
        <w:t>[</w:t>
      </w:r>
      <w:r w:rsidRPr="005675B2">
        <w:rPr>
          <w:rFonts w:hint="cs"/>
          <w:sz w:val="24"/>
          <w:szCs w:val="24"/>
          <w:rtl/>
        </w:rPr>
        <w:t>الآية 6 من سورة المطففين</w:t>
      </w:r>
      <w:r w:rsidR="000636C2">
        <w:rPr>
          <w:rFonts w:hint="cs"/>
          <w:sz w:val="24"/>
          <w:szCs w:val="24"/>
          <w:rtl/>
        </w:rPr>
        <w:t>]</w:t>
      </w:r>
      <w:r w:rsidR="000636C2">
        <w:rPr>
          <w:rFonts w:hint="cs"/>
          <w:rtl/>
        </w:rPr>
        <w:t>،</w:t>
      </w:r>
    </w:p>
    <w:p w14:paraId="18B39FB2" w14:textId="4429D306" w:rsidR="009C32A0" w:rsidRPr="005675B2" w:rsidRDefault="009C32A0" w:rsidP="000636C2">
      <w:pPr>
        <w:rPr>
          <w:b/>
          <w:rtl/>
        </w:rPr>
      </w:pPr>
      <w:r w:rsidRPr="005675B2">
        <w:rPr>
          <w:rFonts w:hint="cs"/>
          <w:b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إنها مسألة مذهب بدعي له وجوده الواقعي الضخم في الفكر الإسلامي</w:t>
      </w:r>
      <w:r w:rsidR="000636C2">
        <w:rPr>
          <w:rFonts w:hint="cs"/>
          <w:rtl/>
        </w:rPr>
        <w:t>،</w:t>
      </w:r>
      <w:r w:rsidRPr="005675B2">
        <w:rPr>
          <w:rFonts w:hint="cs"/>
          <w:rtl/>
        </w:rPr>
        <w:t xml:space="preserve"> حيث تمتلئ به كثير من كتب التفسير وشروح الحديث وكتب اللغة والبلاغة والأصول فضلاً عن كتب العقائد ..</w:t>
      </w:r>
      <w:r w:rsidR="000636C2">
        <w:rPr>
          <w:rFonts w:hint="cs"/>
          <w:rtl/>
        </w:rPr>
        <w:t>،</w:t>
      </w:r>
      <w:r w:rsidRPr="005675B2">
        <w:rPr>
          <w:rFonts w:hint="cs"/>
          <w:rtl/>
        </w:rPr>
        <w:t xml:space="preserve"> وقد ظهرت في الآونة الأخيرة محاولات ضخمة متواصلة لترميمه وتحديثه</w:t>
      </w:r>
      <w:r w:rsidR="000636C2">
        <w:rPr>
          <w:rFonts w:hint="cs"/>
          <w:rtl/>
        </w:rPr>
        <w:t>،</w:t>
      </w:r>
      <w:r w:rsidRPr="005675B2">
        <w:rPr>
          <w:rFonts w:hint="cs"/>
          <w:rtl/>
        </w:rPr>
        <w:t xml:space="preserve"> تشرف عليها هيئات رسمية كبرى</w:t>
      </w:r>
      <w:r w:rsidR="000636C2">
        <w:rPr>
          <w:rFonts w:hint="cs"/>
          <w:rtl/>
        </w:rPr>
        <w:t>،</w:t>
      </w:r>
      <w:r w:rsidRPr="005675B2">
        <w:rPr>
          <w:rFonts w:hint="cs"/>
          <w:rtl/>
        </w:rPr>
        <w:t xml:space="preserve"> ويغذوها المستشرقون بما ينبشونه من تراثه ويخرجون من مخطوطاته</w:t>
      </w:r>
      <w:r w:rsidR="000636C2">
        <w:rPr>
          <w:rFonts w:hint="cs"/>
          <w:rtl/>
        </w:rPr>
        <w:t>]،</w:t>
      </w:r>
    </w:p>
    <w:p w14:paraId="3E022ED4" w14:textId="1587F1A8" w:rsidR="009C32A0" w:rsidRPr="005675B2" w:rsidRDefault="009C32A0" w:rsidP="000636C2">
      <w:pPr>
        <w:rPr>
          <w:b/>
          <w:rtl/>
        </w:rPr>
      </w:pPr>
      <w:r w:rsidRPr="005675B2">
        <w:rPr>
          <w:rFonts w:hint="cs"/>
          <w:bCs/>
          <w:rtl/>
        </w:rPr>
        <w:t>أقول</w:t>
      </w:r>
      <w:r w:rsidR="000636C2">
        <w:rPr>
          <w:rFonts w:hint="cs"/>
          <w:rtl/>
        </w:rPr>
        <w:t xml:space="preserve">: </w:t>
      </w:r>
      <w:r w:rsidRPr="005675B2">
        <w:rPr>
          <w:rFonts w:hint="cs"/>
          <w:rtl/>
        </w:rPr>
        <w:t>1</w:t>
      </w:r>
      <w:r w:rsidR="000636C2">
        <w:rPr>
          <w:rFonts w:hint="cs"/>
          <w:rtl/>
        </w:rPr>
        <w:t xml:space="preserve"> </w:t>
      </w:r>
      <w:r w:rsidRPr="005675B2">
        <w:rPr>
          <w:rFonts w:hint="cs"/>
          <w:rtl/>
        </w:rPr>
        <w:t xml:space="preserve">- قول الباحث عن المذهب الأشعري </w:t>
      </w:r>
      <w:r w:rsidR="000636C2">
        <w:rPr>
          <w:rFonts w:hint="cs"/>
          <w:rtl/>
        </w:rPr>
        <w:t>[</w:t>
      </w:r>
      <w:r w:rsidRPr="005675B2">
        <w:rPr>
          <w:rFonts w:hint="cs"/>
          <w:rtl/>
        </w:rPr>
        <w:t>له وجوده الواقعي الضخم في الفكر الإسلامي</w:t>
      </w:r>
      <w:r w:rsidR="000636C2">
        <w:rPr>
          <w:rFonts w:hint="cs"/>
          <w:rtl/>
        </w:rPr>
        <w:t>]</w:t>
      </w:r>
      <w:r w:rsidRPr="005675B2">
        <w:rPr>
          <w:rFonts w:hint="cs"/>
          <w:rtl/>
        </w:rPr>
        <w:t xml:space="preserve"> فهذا صحيح</w:t>
      </w:r>
      <w:r w:rsidR="000636C2">
        <w:rPr>
          <w:rFonts w:hint="cs"/>
          <w:rtl/>
        </w:rPr>
        <w:t>،</w:t>
      </w:r>
      <w:r w:rsidRPr="005675B2">
        <w:rPr>
          <w:rFonts w:hint="cs"/>
          <w:rtl/>
        </w:rPr>
        <w:t xml:space="preserve"> لكن قوله عنه </w:t>
      </w:r>
      <w:r w:rsidR="000636C2">
        <w:rPr>
          <w:rFonts w:hint="cs"/>
          <w:rtl/>
        </w:rPr>
        <w:t>[</w:t>
      </w:r>
      <w:r w:rsidRPr="005675B2">
        <w:rPr>
          <w:rFonts w:hint="cs"/>
          <w:rtl/>
        </w:rPr>
        <w:t>مذهب بدعي</w:t>
      </w:r>
      <w:r w:rsidR="000636C2">
        <w:rPr>
          <w:rFonts w:hint="cs"/>
          <w:rtl/>
        </w:rPr>
        <w:t>]</w:t>
      </w:r>
      <w:r w:rsidRPr="005675B2">
        <w:rPr>
          <w:rFonts w:hint="cs"/>
          <w:rtl/>
        </w:rPr>
        <w:t xml:space="preserve"> فهذا يحتاج إلى أدلة</w:t>
      </w:r>
      <w:r w:rsidR="000636C2">
        <w:rPr>
          <w:rFonts w:hint="cs"/>
          <w:rtl/>
        </w:rPr>
        <w:t>،</w:t>
      </w:r>
      <w:r w:rsidRPr="005675B2">
        <w:rPr>
          <w:rFonts w:hint="cs"/>
          <w:rtl/>
        </w:rPr>
        <w:t xml:space="preserve"> فهلا أبرزت أدلتك</w:t>
      </w:r>
      <w:r w:rsidR="000636C2">
        <w:rPr>
          <w:rFonts w:hint="cs"/>
          <w:rtl/>
        </w:rPr>
        <w:t xml:space="preserve"> </w:t>
      </w:r>
      <w:r w:rsidRPr="005675B2">
        <w:rPr>
          <w:rFonts w:hint="cs"/>
          <w:rtl/>
        </w:rPr>
        <w:t>- أيها الباحث</w:t>
      </w:r>
      <w:r w:rsidR="000636C2">
        <w:rPr>
          <w:rFonts w:hint="cs"/>
          <w:rtl/>
        </w:rPr>
        <w:t xml:space="preserve"> </w:t>
      </w:r>
      <w:r w:rsidRPr="005675B2">
        <w:rPr>
          <w:rFonts w:hint="cs"/>
          <w:rtl/>
        </w:rPr>
        <w:t>- بعد تحديد نقط الابتداع في المذهب الأشعري</w:t>
      </w:r>
      <w:r w:rsidR="000636C2">
        <w:rPr>
          <w:rFonts w:hint="cs"/>
          <w:rtl/>
        </w:rPr>
        <w:t>![</w:t>
      </w:r>
      <w:r w:rsidRPr="005675B2">
        <w:rPr>
          <w:rFonts w:hint="cs"/>
          <w:rtl/>
        </w:rPr>
        <w:t>قُلْ هَاتُوا بُرْهَانَكُمْ إِنْ كُنْتُمْ صَادِقِينَ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البقرة آية (111)</w:t>
      </w:r>
      <w:r w:rsidR="000636C2">
        <w:rPr>
          <w:rFonts w:hint="cs"/>
          <w:sz w:val="24"/>
          <w:szCs w:val="24"/>
          <w:rtl/>
        </w:rPr>
        <w:t>]</w:t>
      </w:r>
      <w:r w:rsidR="000636C2">
        <w:rPr>
          <w:rFonts w:hint="cs"/>
          <w:rtl/>
        </w:rPr>
        <w:t>،</w:t>
      </w:r>
      <w:r w:rsidRPr="005675B2">
        <w:rPr>
          <w:rFonts w:hint="cs"/>
          <w:rtl/>
        </w:rPr>
        <w:t xml:space="preserve"> 2</w:t>
      </w:r>
      <w:r w:rsidR="000636C2">
        <w:rPr>
          <w:rFonts w:hint="cs"/>
          <w:rtl/>
        </w:rPr>
        <w:t xml:space="preserve"> </w:t>
      </w:r>
      <w:r w:rsidRPr="005675B2">
        <w:rPr>
          <w:rFonts w:hint="cs"/>
          <w:rtl/>
        </w:rPr>
        <w:t xml:space="preserve">- قول الباحث عن المذهب الأشعري بأنه </w:t>
      </w:r>
      <w:r w:rsidR="000636C2">
        <w:rPr>
          <w:rFonts w:hint="cs"/>
          <w:rtl/>
        </w:rPr>
        <w:t>[</w:t>
      </w:r>
      <w:r w:rsidRPr="005675B2">
        <w:rPr>
          <w:rFonts w:hint="cs"/>
          <w:rtl/>
        </w:rPr>
        <w:t>قد ظهرت في الآونة الأخيرة محاولات ضخمة متواصلة لترميمه وتحديثه</w:t>
      </w:r>
      <w:r w:rsidR="000636C2">
        <w:rPr>
          <w:rFonts w:hint="cs"/>
          <w:rtl/>
        </w:rPr>
        <w:t>]</w:t>
      </w:r>
      <w:r w:rsidRPr="005675B2">
        <w:rPr>
          <w:rFonts w:hint="cs"/>
          <w:rtl/>
        </w:rPr>
        <w:t xml:space="preserve"> فلا أدري ما المقصود بهذه المحاولات الضخمة</w:t>
      </w:r>
      <w:r w:rsidR="000636C2">
        <w:rPr>
          <w:rFonts w:hint="cs"/>
          <w:rtl/>
        </w:rPr>
        <w:t>؟</w:t>
      </w:r>
      <w:r w:rsidRPr="005675B2">
        <w:rPr>
          <w:rFonts w:hint="cs"/>
          <w:rtl/>
        </w:rPr>
        <w:t xml:space="preserve"> ولا أين هي</w:t>
      </w:r>
      <w:r w:rsidR="000636C2">
        <w:rPr>
          <w:rFonts w:hint="cs"/>
          <w:rtl/>
        </w:rPr>
        <w:t>؟</w:t>
      </w:r>
      <w:r w:rsidRPr="005675B2">
        <w:rPr>
          <w:rFonts w:hint="cs"/>
          <w:rtl/>
        </w:rPr>
        <w:t xml:space="preserve"> وليت الباحث يذكرها</w:t>
      </w:r>
      <w:r w:rsidR="000636C2">
        <w:rPr>
          <w:rFonts w:hint="cs"/>
          <w:rtl/>
        </w:rPr>
        <w:t>!،</w:t>
      </w:r>
      <w:r w:rsidRPr="005675B2">
        <w:rPr>
          <w:rFonts w:hint="cs"/>
          <w:rtl/>
        </w:rPr>
        <w:t xml:space="preserve"> 3</w:t>
      </w:r>
      <w:r w:rsidR="000636C2">
        <w:rPr>
          <w:rFonts w:hint="cs"/>
          <w:rtl/>
        </w:rPr>
        <w:t xml:space="preserve"> </w:t>
      </w:r>
      <w:r w:rsidRPr="005675B2">
        <w:rPr>
          <w:rFonts w:hint="cs"/>
          <w:rtl/>
        </w:rPr>
        <w:t xml:space="preserve">- وقوله </w:t>
      </w:r>
      <w:r w:rsidR="000636C2">
        <w:rPr>
          <w:rFonts w:hint="cs"/>
          <w:rtl/>
        </w:rPr>
        <w:t>[</w:t>
      </w:r>
      <w:r w:rsidRPr="005675B2">
        <w:rPr>
          <w:rFonts w:hint="cs"/>
          <w:rtl/>
        </w:rPr>
        <w:t>ويغذُوها المستشرقون</w:t>
      </w:r>
      <w:r w:rsidR="000636C2">
        <w:rPr>
          <w:rFonts w:hint="cs"/>
          <w:rtl/>
        </w:rPr>
        <w:t>]</w:t>
      </w:r>
      <w:r w:rsidRPr="005675B2">
        <w:rPr>
          <w:rFonts w:hint="cs"/>
          <w:rtl/>
        </w:rPr>
        <w:t xml:space="preserve"> فما أبعده عن الحقيقة</w:t>
      </w:r>
      <w:r w:rsidR="000636C2">
        <w:rPr>
          <w:rFonts w:hint="cs"/>
          <w:rtl/>
        </w:rPr>
        <w:t>!</w:t>
      </w:r>
      <w:r w:rsidRPr="005675B2">
        <w:rPr>
          <w:rFonts w:hint="cs"/>
          <w:rtl/>
        </w:rPr>
        <w:t xml:space="preserve"> فهل أحصى الباحث ما أسهم المستشرقون في نشره من كتب التراث الإسلامي ووجد تركيز المستشرقين على نشر كتب الأشاعرة في العقيدة</w:t>
      </w:r>
      <w:r w:rsidR="000636C2">
        <w:rPr>
          <w:rFonts w:hint="cs"/>
          <w:rtl/>
        </w:rPr>
        <w:t>؟!</w:t>
      </w:r>
      <w:r w:rsidRPr="005675B2">
        <w:rPr>
          <w:rFonts w:hint="cs"/>
          <w:rtl/>
        </w:rPr>
        <w:t xml:space="preserve"> ما أظن الباحث فعل ذلك</w:t>
      </w:r>
      <w:r w:rsidR="000636C2">
        <w:rPr>
          <w:rFonts w:hint="cs"/>
          <w:rtl/>
        </w:rPr>
        <w:t>،</w:t>
      </w:r>
      <w:r w:rsidRPr="005675B2">
        <w:rPr>
          <w:rFonts w:hint="cs"/>
          <w:rtl/>
        </w:rPr>
        <w:t xml:space="preserve"> وما أظنه يتبنى مثل هذا المنهج العلمي</w:t>
      </w:r>
      <w:r w:rsidR="000636C2">
        <w:rPr>
          <w:rFonts w:hint="cs"/>
          <w:rtl/>
        </w:rPr>
        <w:t>،</w:t>
      </w:r>
      <w:r w:rsidRPr="005675B2">
        <w:rPr>
          <w:rFonts w:hint="cs"/>
          <w:rtl/>
        </w:rPr>
        <w:t xml:space="preserve"> المستشرقون يهتمون بكافة فروع المعرفة</w:t>
      </w:r>
      <w:r w:rsidR="000636C2">
        <w:rPr>
          <w:rFonts w:hint="cs"/>
          <w:rtl/>
        </w:rPr>
        <w:t>،</w:t>
      </w:r>
      <w:r w:rsidRPr="005675B2">
        <w:rPr>
          <w:rFonts w:hint="cs"/>
          <w:rtl/>
        </w:rPr>
        <w:t xml:space="preserve"> وقد نشروا</w:t>
      </w:r>
      <w:r w:rsidR="000636C2">
        <w:rPr>
          <w:rFonts w:hint="cs"/>
          <w:rtl/>
        </w:rPr>
        <w:t xml:space="preserve"> </w:t>
      </w:r>
      <w:r w:rsidRPr="005675B2">
        <w:rPr>
          <w:rFonts w:hint="cs"/>
          <w:rtl/>
        </w:rPr>
        <w:t>أو أسهموا في نشر كثير من كتب التراث الإسلامي</w:t>
      </w:r>
      <w:r w:rsidR="000636C2">
        <w:rPr>
          <w:rFonts w:hint="cs"/>
          <w:rtl/>
        </w:rPr>
        <w:t>،</w:t>
      </w:r>
      <w:r w:rsidRPr="005675B2">
        <w:rPr>
          <w:rFonts w:hint="cs"/>
          <w:rtl/>
        </w:rPr>
        <w:t xml:space="preserve"> ومن ذلك قسم من مغازي رسول الله صلى الله عليه وسلم للواقدي</w:t>
      </w:r>
      <w:r w:rsidR="000636C2">
        <w:rPr>
          <w:rFonts w:hint="cs"/>
          <w:rtl/>
        </w:rPr>
        <w:t>،</w:t>
      </w:r>
      <w:r w:rsidRPr="005675B2">
        <w:rPr>
          <w:rFonts w:hint="cs"/>
          <w:rtl/>
        </w:rPr>
        <w:t xml:space="preserve"> والطبقات الكبرى لابن سعد</w:t>
      </w:r>
      <w:r w:rsidR="000636C2">
        <w:rPr>
          <w:rFonts w:hint="cs"/>
          <w:rtl/>
        </w:rPr>
        <w:t>،</w:t>
      </w:r>
      <w:r w:rsidRPr="005675B2">
        <w:rPr>
          <w:rFonts w:hint="cs"/>
          <w:rtl/>
        </w:rPr>
        <w:t xml:space="preserve"> والسيرة النبوية لابن هشام</w:t>
      </w:r>
      <w:r w:rsidR="000636C2">
        <w:rPr>
          <w:rFonts w:hint="cs"/>
          <w:rtl/>
        </w:rPr>
        <w:t>،</w:t>
      </w:r>
      <w:r w:rsidRPr="005675B2">
        <w:rPr>
          <w:rFonts w:hint="cs"/>
          <w:rtl/>
        </w:rPr>
        <w:t xml:space="preserve"> ومناقب عمر بن عبد العزيز لابن الجوزي</w:t>
      </w:r>
      <w:r w:rsidR="000636C2">
        <w:rPr>
          <w:rFonts w:hint="cs"/>
          <w:rtl/>
        </w:rPr>
        <w:t>،</w:t>
      </w:r>
      <w:r w:rsidRPr="005675B2">
        <w:rPr>
          <w:rFonts w:hint="cs"/>
          <w:rtl/>
        </w:rPr>
        <w:t xml:space="preserve"> والكلم الطيب من أذكار النبي صلى الله عليه وسلم لابن تيمية</w:t>
      </w:r>
      <w:r w:rsidR="000636C2">
        <w:rPr>
          <w:rFonts w:hint="cs"/>
          <w:rtl/>
        </w:rPr>
        <w:t>،</w:t>
      </w:r>
      <w:r w:rsidRPr="005675B2">
        <w:rPr>
          <w:rFonts w:hint="cs"/>
          <w:rtl/>
        </w:rPr>
        <w:t xml:space="preserve"> والمعجم المفهرس لألفاظ الحديث النبوي</w:t>
      </w:r>
      <w:r w:rsidR="000636C2">
        <w:rPr>
          <w:rFonts w:hint="cs"/>
          <w:rtl/>
        </w:rPr>
        <w:t>،</w:t>
      </w:r>
      <w:r w:rsidRPr="005675B2">
        <w:rPr>
          <w:rFonts w:hint="cs"/>
          <w:rtl/>
        </w:rPr>
        <w:t xml:space="preserve"> وطبقات الحفاظ للذهبي</w:t>
      </w:r>
      <w:r w:rsidR="000636C2">
        <w:rPr>
          <w:rFonts w:hint="cs"/>
          <w:rtl/>
        </w:rPr>
        <w:t>،</w:t>
      </w:r>
      <w:r w:rsidRPr="005675B2">
        <w:rPr>
          <w:rFonts w:hint="cs"/>
          <w:rtl/>
        </w:rPr>
        <w:t xml:space="preserve"> وبعض كتب القراءات</w:t>
      </w:r>
      <w:r w:rsidR="000636C2">
        <w:rPr>
          <w:rFonts w:hint="cs"/>
          <w:rtl/>
        </w:rPr>
        <w:t>،</w:t>
      </w:r>
      <w:r w:rsidRPr="005675B2">
        <w:rPr>
          <w:rFonts w:hint="cs"/>
          <w:rtl/>
        </w:rPr>
        <w:t xml:space="preserve"> والوقف والابتداء</w:t>
      </w:r>
      <w:r w:rsidR="000636C2">
        <w:rPr>
          <w:rFonts w:hint="cs"/>
          <w:rtl/>
        </w:rPr>
        <w:t>،</w:t>
      </w:r>
      <w:r w:rsidRPr="005675B2">
        <w:rPr>
          <w:rFonts w:hint="cs"/>
          <w:rtl/>
        </w:rPr>
        <w:t xml:space="preserve"> والرسم القرآني</w:t>
      </w:r>
      <w:r w:rsidR="000636C2">
        <w:rPr>
          <w:rFonts w:hint="cs"/>
          <w:rtl/>
        </w:rPr>
        <w:t>،</w:t>
      </w:r>
      <w:r w:rsidRPr="005675B2">
        <w:rPr>
          <w:rFonts w:hint="cs"/>
          <w:rtl/>
        </w:rPr>
        <w:t xml:space="preserve"> وطبقات الفقهاء</w:t>
      </w:r>
      <w:r w:rsidR="000636C2">
        <w:rPr>
          <w:rFonts w:hint="cs"/>
          <w:rtl/>
        </w:rPr>
        <w:t>،</w:t>
      </w:r>
      <w:r w:rsidRPr="005675B2">
        <w:rPr>
          <w:rFonts w:hint="cs"/>
          <w:rtl/>
        </w:rPr>
        <w:t xml:space="preserve"> والأنساب</w:t>
      </w:r>
      <w:r w:rsidR="000636C2">
        <w:rPr>
          <w:rFonts w:hint="cs"/>
          <w:rtl/>
        </w:rPr>
        <w:t>،</w:t>
      </w:r>
      <w:r w:rsidRPr="005675B2">
        <w:rPr>
          <w:rFonts w:hint="cs"/>
          <w:rtl/>
        </w:rPr>
        <w:t xml:space="preserve"> ومصطلح الحديث</w:t>
      </w:r>
      <w:r w:rsidR="000636C2">
        <w:rPr>
          <w:rFonts w:hint="cs"/>
          <w:rtl/>
        </w:rPr>
        <w:t>،</w:t>
      </w:r>
      <w:r w:rsidRPr="005675B2">
        <w:rPr>
          <w:rFonts w:hint="cs"/>
          <w:rtl/>
        </w:rPr>
        <w:t xml:space="preserve"> والجرح والتعديل</w:t>
      </w:r>
      <w:r w:rsidR="000636C2">
        <w:rPr>
          <w:rFonts w:hint="cs"/>
          <w:rtl/>
        </w:rPr>
        <w:t>،</w:t>
      </w:r>
      <w:r w:rsidRPr="005675B2">
        <w:rPr>
          <w:rFonts w:hint="cs"/>
          <w:rtl/>
        </w:rPr>
        <w:t xml:space="preserve"> والنحو، وكثير من كتب الفلسلفة</w:t>
      </w:r>
      <w:r w:rsidR="000636C2">
        <w:rPr>
          <w:rFonts w:hint="cs"/>
          <w:rtl/>
        </w:rPr>
        <w:t>،</w:t>
      </w:r>
      <w:r w:rsidRPr="005675B2">
        <w:rPr>
          <w:rFonts w:hint="cs"/>
          <w:rtl/>
        </w:rPr>
        <w:t xml:space="preserve"> والتصوف</w:t>
      </w:r>
      <w:r w:rsidR="000636C2">
        <w:rPr>
          <w:rFonts w:hint="cs"/>
          <w:rtl/>
        </w:rPr>
        <w:t>،</w:t>
      </w:r>
      <w:r w:rsidRPr="005675B2">
        <w:rPr>
          <w:rFonts w:hint="cs"/>
          <w:rtl/>
        </w:rPr>
        <w:t xml:space="preserve"> وعلم الكلام</w:t>
      </w:r>
      <w:r w:rsidR="000636C2">
        <w:rPr>
          <w:rFonts w:hint="cs"/>
          <w:rtl/>
        </w:rPr>
        <w:t>،</w:t>
      </w:r>
      <w:r w:rsidRPr="005675B2">
        <w:rPr>
          <w:rFonts w:hint="cs"/>
          <w:rtl/>
        </w:rPr>
        <w:t xml:space="preserve"> وكتب الأشاعرة </w:t>
      </w:r>
      <w:r w:rsidR="000636C2">
        <w:rPr>
          <w:rFonts w:hint="cs"/>
          <w:rtl/>
        </w:rPr>
        <w:t>[</w:t>
      </w:r>
      <w:r w:rsidRPr="005675B2">
        <w:rPr>
          <w:rFonts w:hint="cs"/>
          <w:sz w:val="24"/>
          <w:szCs w:val="24"/>
          <w:rtl/>
        </w:rPr>
        <w:t>انظر: إسهامات المستشرقين في نشر التراث للدكتور علي بن إبراهيم النملة</w:t>
      </w:r>
      <w:r w:rsidR="000636C2">
        <w:rPr>
          <w:rFonts w:hint="cs"/>
          <w:sz w:val="24"/>
          <w:szCs w:val="24"/>
          <w:rtl/>
        </w:rPr>
        <w:t>]</w:t>
      </w:r>
      <w:r w:rsidR="000636C2">
        <w:rPr>
          <w:rFonts w:hint="cs"/>
          <w:rtl/>
        </w:rPr>
        <w:t>،</w:t>
      </w:r>
      <w:r w:rsidRPr="005675B2">
        <w:rPr>
          <w:rFonts w:hint="cs"/>
          <w:rtl/>
        </w:rPr>
        <w:t xml:space="preserve"> وقد طبع بعناية المستشرقين أربعة وعشرون جزءاً حتى الآن من كتاب الوافي بالوفيات للصفدي</w:t>
      </w:r>
      <w:r w:rsidR="000636C2">
        <w:rPr>
          <w:rFonts w:hint="cs"/>
          <w:rtl/>
        </w:rPr>
        <w:t>،</w:t>
      </w:r>
      <w:r w:rsidRPr="005675B2">
        <w:rPr>
          <w:rFonts w:hint="cs"/>
          <w:rtl/>
        </w:rPr>
        <w:t xml:space="preserve"> ولم يتم</w:t>
      </w:r>
      <w:r w:rsidR="000636C2">
        <w:rPr>
          <w:rFonts w:hint="cs"/>
          <w:rtl/>
        </w:rPr>
        <w:t>،</w:t>
      </w:r>
      <w:r w:rsidRPr="005675B2">
        <w:rPr>
          <w:rFonts w:hint="cs"/>
          <w:rtl/>
        </w:rPr>
        <w:t xml:space="preserve"> ولا أدري لم ينسى الباحث أن المستشرقين قد طبعوا "الرد على الجهمية" للدارمي في "ليدن"</w:t>
      </w:r>
      <w:r w:rsidR="000636C2">
        <w:rPr>
          <w:rFonts w:hint="cs"/>
          <w:rtl/>
        </w:rPr>
        <w:t>؟!</w:t>
      </w:r>
      <w:r w:rsidRPr="005675B2">
        <w:rPr>
          <w:rFonts w:hint="cs"/>
          <w:rtl/>
        </w:rPr>
        <w:t xml:space="preserve"> وهذا من كتب العقيدة التي أثنى عليها الباحث</w:t>
      </w:r>
      <w:r w:rsidR="000636C2">
        <w:rPr>
          <w:rFonts w:hint="cs"/>
          <w:rtl/>
        </w:rPr>
        <w:t>،</w:t>
      </w:r>
      <w:r w:rsidRPr="005675B2">
        <w:rPr>
          <w:rFonts w:hint="cs"/>
          <w:rtl/>
        </w:rPr>
        <w:t xml:space="preserve"> وجعله قريناً لمؤلفات الإمام أحمد والبخاري وغيرهما</w:t>
      </w:r>
      <w:r w:rsidR="000636C2">
        <w:rPr>
          <w:rFonts w:hint="cs"/>
          <w:rtl/>
        </w:rPr>
        <w:t>،</w:t>
      </w:r>
      <w:r w:rsidRPr="005675B2">
        <w:rPr>
          <w:rFonts w:hint="cs"/>
          <w:rtl/>
        </w:rPr>
        <w:t xml:space="preserve"> فتأمل</w:t>
      </w:r>
      <w:r w:rsidR="000636C2">
        <w:rPr>
          <w:rFonts w:hint="cs"/>
          <w:rtl/>
        </w:rPr>
        <w:t>!،</w:t>
      </w:r>
      <w:r w:rsidRPr="005675B2">
        <w:rPr>
          <w:rFonts w:hint="cs"/>
          <w:rtl/>
        </w:rPr>
        <w:t xml:space="preserve"> فما هذا الربط بين الأشاعرة وبين المستشرقين</w:t>
      </w:r>
      <w:r w:rsidR="000636C2">
        <w:rPr>
          <w:rFonts w:hint="cs"/>
          <w:rtl/>
        </w:rPr>
        <w:t>؟!</w:t>
      </w:r>
      <w:r w:rsidRPr="005675B2">
        <w:rPr>
          <w:rFonts w:hint="cs"/>
          <w:rtl/>
        </w:rPr>
        <w:t xml:space="preserve"> وما دوافعه</w:t>
      </w:r>
      <w:r w:rsidR="000636C2">
        <w:rPr>
          <w:rFonts w:hint="cs"/>
          <w:rtl/>
        </w:rPr>
        <w:t>؟!</w:t>
      </w:r>
      <w:r w:rsidRPr="005675B2">
        <w:rPr>
          <w:rFonts w:hint="cs"/>
          <w:rtl/>
        </w:rPr>
        <w:t xml:space="preserve"> ولمصلحة مَنْ</w:t>
      </w:r>
      <w:r w:rsidR="000636C2">
        <w:rPr>
          <w:rFonts w:hint="cs"/>
          <w:rtl/>
        </w:rPr>
        <w:t>؟،</w:t>
      </w:r>
    </w:p>
    <w:p w14:paraId="74CB5992" w14:textId="5A93F95D"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الأشاعرة هم الذين كفروا وما يزالون يكفرون أتباع السلف</w:t>
      </w:r>
      <w:r w:rsidR="000636C2">
        <w:rPr>
          <w:rFonts w:hint="cs"/>
          <w:rtl/>
        </w:rPr>
        <w:t>،</w:t>
      </w:r>
      <w:r w:rsidRPr="005675B2">
        <w:rPr>
          <w:rFonts w:hint="cs"/>
          <w:rtl/>
        </w:rPr>
        <w:t xml:space="preserve"> بل كفروا كل من قال إن الله تعالى موصوف بالعلو، وحسبك تكفيرهم واضطهادهم لشيخ الإسلام</w:t>
      </w:r>
      <w:r w:rsidR="000636C2">
        <w:rPr>
          <w:rFonts w:hint="cs"/>
          <w:rtl/>
        </w:rPr>
        <w:t>،</w:t>
      </w:r>
      <w:r w:rsidRPr="005675B2">
        <w:rPr>
          <w:rFonts w:hint="cs"/>
          <w:rtl/>
        </w:rPr>
        <w:t xml:space="preserve"> وهو ما لم يفعله أهل السنة بعالم أشعري قط ..</w:t>
      </w:r>
      <w:r w:rsidR="000636C2">
        <w:rPr>
          <w:rFonts w:hint="cs"/>
          <w:rtl/>
        </w:rPr>
        <w:t>،</w:t>
      </w:r>
      <w:r w:rsidRPr="005675B2">
        <w:rPr>
          <w:rFonts w:hint="cs"/>
          <w:rtl/>
        </w:rPr>
        <w:t xml:space="preserve"> ولولا الإطالة لأوردت بعض ما تصرح به كتب عقيدتهم من اتهامه بالزندقة والكفر والضلال</w:t>
      </w:r>
      <w:r w:rsidR="000636C2">
        <w:rPr>
          <w:rFonts w:hint="cs"/>
          <w:rtl/>
        </w:rPr>
        <w:t>،</w:t>
      </w:r>
      <w:r w:rsidRPr="005675B2">
        <w:rPr>
          <w:rFonts w:hint="cs"/>
          <w:rtl/>
        </w:rPr>
        <w:t xml:space="preserve"> وانظر عن القدامى</w:t>
      </w:r>
      <w:r w:rsidR="000636C2">
        <w:rPr>
          <w:rFonts w:hint="cs"/>
          <w:rtl/>
        </w:rPr>
        <w:t>:</w:t>
      </w:r>
      <w:r w:rsidRPr="005675B2">
        <w:rPr>
          <w:rFonts w:hint="cs"/>
          <w:rtl/>
        </w:rPr>
        <w:t xml:space="preserve"> الرد الوافر على من زعم أن ابن تيمية شيخ الإسلام كافر</w:t>
      </w:r>
      <w:r w:rsidR="000636C2">
        <w:rPr>
          <w:rFonts w:hint="cs"/>
          <w:rtl/>
        </w:rPr>
        <w:t>،</w:t>
      </w:r>
      <w:r w:rsidRPr="005675B2">
        <w:rPr>
          <w:rFonts w:hint="cs"/>
          <w:rtl/>
        </w:rPr>
        <w:t xml:space="preserve"> وكتاب الحصني دفع شبه من شبه وتمرد ..</w:t>
      </w:r>
      <w:r w:rsidR="000636C2">
        <w:rPr>
          <w:rFonts w:hint="cs"/>
          <w:rtl/>
        </w:rPr>
        <w:t>،</w:t>
      </w:r>
      <w:r w:rsidRPr="005675B2">
        <w:rPr>
          <w:rFonts w:hint="cs"/>
          <w:rtl/>
        </w:rPr>
        <w:t xml:space="preserve"> ومن ذلك قول صاحب حواشي على شرح الكبرى للسنوسي </w:t>
      </w:r>
      <w:r w:rsidR="000636C2">
        <w:rPr>
          <w:rFonts w:hint="cs"/>
          <w:rtl/>
        </w:rPr>
        <w:t>[</w:t>
      </w:r>
      <w:r w:rsidRPr="005675B2">
        <w:rPr>
          <w:rFonts w:hint="cs"/>
          <w:rtl/>
        </w:rPr>
        <w:t>ابن تيمية أي الحنبلي المشهور زنديق وبغضه للدين وأهله لا يخفى</w:t>
      </w:r>
      <w:r w:rsidR="000636C2">
        <w:rPr>
          <w:rFonts w:hint="cs"/>
          <w:rtl/>
        </w:rPr>
        <w:t>]،</w:t>
      </w:r>
    </w:p>
    <w:p w14:paraId="38383F15" w14:textId="5CFC0DB1"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w:t>
      </w:r>
      <w:r w:rsidR="000636C2">
        <w:rPr>
          <w:rFonts w:hint="cs"/>
          <w:rtl/>
        </w:rPr>
        <w:t xml:space="preserve"> </w:t>
      </w:r>
      <w:r w:rsidRPr="005675B2">
        <w:rPr>
          <w:rFonts w:hint="cs"/>
          <w:rtl/>
        </w:rPr>
        <w:t>- هل كفَّر الأشاعرة أتباع السلف</w:t>
      </w:r>
      <w:r w:rsidR="000636C2">
        <w:rPr>
          <w:rFonts w:hint="cs"/>
          <w:rtl/>
        </w:rPr>
        <w:t xml:space="preserve">؟، </w:t>
      </w:r>
      <w:r w:rsidRPr="005675B2">
        <w:rPr>
          <w:rFonts w:hint="cs"/>
          <w:rtl/>
        </w:rPr>
        <w:t>وهل كفَّر الأشاعرة كل من قال إن الله تعالى موصوف بالعلو</w:t>
      </w:r>
      <w:r w:rsidR="000636C2">
        <w:rPr>
          <w:rFonts w:hint="cs"/>
          <w:rtl/>
        </w:rPr>
        <w:t>؟!</w:t>
      </w:r>
      <w:r w:rsidRPr="005675B2">
        <w:rPr>
          <w:rFonts w:hint="cs"/>
          <w:rtl/>
        </w:rPr>
        <w:t xml:space="preserve"> أين وجد الباحث هذا</w:t>
      </w:r>
      <w:r w:rsidR="000636C2">
        <w:rPr>
          <w:rFonts w:hint="cs"/>
          <w:rtl/>
        </w:rPr>
        <w:t>؟!</w:t>
      </w:r>
      <w:r w:rsidRPr="005675B2">
        <w:rPr>
          <w:rFonts w:hint="cs"/>
          <w:rtl/>
        </w:rPr>
        <w:t xml:space="preserve"> </w:t>
      </w:r>
      <w:r w:rsidR="000636C2">
        <w:rPr>
          <w:rFonts w:hint="cs"/>
          <w:rtl/>
        </w:rPr>
        <w:t>[</w:t>
      </w:r>
      <w:r w:rsidRPr="005675B2">
        <w:rPr>
          <w:rFonts w:hint="cs"/>
          <w:rtl/>
        </w:rPr>
        <w:t>قُلْ هَاتُوا بُرْهَانَكُمْ إِنْ كُنْتُمْ صَادِقِينَ</w:t>
      </w:r>
      <w:r w:rsidR="000636C2">
        <w:rPr>
          <w:rFonts w:hint="cs"/>
          <w:rtl/>
        </w:rPr>
        <w:t>]</w:t>
      </w:r>
      <w:r w:rsidRPr="005675B2">
        <w:rPr>
          <w:rFonts w:hint="cs"/>
          <w:rtl/>
        </w:rPr>
        <w:t xml:space="preserve"> [</w:t>
      </w:r>
      <w:r w:rsidRPr="005675B2">
        <w:rPr>
          <w:rFonts w:hint="cs"/>
          <w:sz w:val="24"/>
          <w:szCs w:val="24"/>
          <w:rtl/>
        </w:rPr>
        <w:t>سورة البقرة آية (111)</w:t>
      </w:r>
      <w:r w:rsidR="000636C2">
        <w:rPr>
          <w:rFonts w:hint="cs"/>
          <w:sz w:val="24"/>
          <w:szCs w:val="24"/>
          <w:rtl/>
        </w:rPr>
        <w:t>]</w:t>
      </w:r>
      <w:r w:rsidR="000636C2">
        <w:rPr>
          <w:rFonts w:hint="cs"/>
          <w:rtl/>
        </w:rPr>
        <w:t>،</w:t>
      </w:r>
      <w:r w:rsidRPr="005675B2">
        <w:rPr>
          <w:rFonts w:hint="cs"/>
          <w:rtl/>
        </w:rPr>
        <w:t xml:space="preserve"> 2</w:t>
      </w:r>
      <w:r w:rsidR="000636C2">
        <w:rPr>
          <w:rFonts w:hint="cs"/>
          <w:rtl/>
        </w:rPr>
        <w:t xml:space="preserve"> </w:t>
      </w:r>
      <w:r w:rsidRPr="005675B2">
        <w:rPr>
          <w:rFonts w:hint="cs"/>
          <w:rtl/>
        </w:rPr>
        <w:t>- هل كفَّر الأشاعرة ابن تيمية</w:t>
      </w:r>
      <w:r w:rsidR="000636C2">
        <w:rPr>
          <w:rFonts w:hint="cs"/>
          <w:rtl/>
        </w:rPr>
        <w:t>؟</w:t>
      </w:r>
      <w:r w:rsidRPr="005675B2">
        <w:rPr>
          <w:rFonts w:hint="cs"/>
          <w:rtl/>
        </w:rPr>
        <w:t xml:space="preserve"> وهل صرحت كتب عقيدتهم باتهامه بالزندقة</w:t>
      </w:r>
      <w:r w:rsidR="000636C2">
        <w:rPr>
          <w:rFonts w:hint="cs"/>
          <w:rtl/>
        </w:rPr>
        <w:t xml:space="preserve">؟ </w:t>
      </w:r>
      <w:r w:rsidRPr="005675B2">
        <w:rPr>
          <w:rFonts w:hint="cs"/>
          <w:rtl/>
        </w:rPr>
        <w:t xml:space="preserve">لقد كفَّر ابنَ تيمية رحمه الله أحدُ فقهاء الحنفية وهو علاء الدين محمد بن محمد بن محمد البخاري المتوفى سنة </w:t>
      </w:r>
      <w:r w:rsidR="000636C2">
        <w:rPr>
          <w:rFonts w:hint="cs"/>
          <w:rtl/>
        </w:rPr>
        <w:t>(</w:t>
      </w:r>
      <w:r w:rsidRPr="005675B2">
        <w:rPr>
          <w:rFonts w:hint="cs"/>
          <w:rtl/>
        </w:rPr>
        <w:t>841 ه -</w:t>
      </w:r>
      <w:r w:rsidR="000636C2">
        <w:rPr>
          <w:rFonts w:hint="cs"/>
          <w:rtl/>
        </w:rPr>
        <w:t>)،</w:t>
      </w:r>
      <w:r w:rsidRPr="005675B2">
        <w:rPr>
          <w:rFonts w:hint="cs"/>
          <w:rtl/>
        </w:rPr>
        <w:t xml:space="preserve"> وكفَّر كلَّ من يطلق عليه لقب شيخ الإسلام</w:t>
      </w:r>
      <w:r w:rsidR="000636C2">
        <w:rPr>
          <w:rFonts w:hint="cs"/>
          <w:rtl/>
        </w:rPr>
        <w:t>،</w:t>
      </w:r>
      <w:r w:rsidRPr="005675B2">
        <w:rPr>
          <w:rFonts w:hint="cs"/>
          <w:rtl/>
        </w:rPr>
        <w:t xml:space="preserve"> ولكن علاء الدين البخاري</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ليس بأشعري ولا يمثل المذهب الأشعري</w:t>
      </w:r>
      <w:r w:rsidR="000636C2">
        <w:rPr>
          <w:rFonts w:hint="cs"/>
          <w:rtl/>
        </w:rPr>
        <w:t>،</w:t>
      </w:r>
      <w:r w:rsidRPr="005675B2">
        <w:rPr>
          <w:rFonts w:hint="cs"/>
          <w:rtl/>
        </w:rPr>
        <w:t xml:space="preserve"> ويكفيك أنه كان ينهى عن النظر في كلام الإمام النووي ويقول هو ظاهري [</w:t>
      </w:r>
      <w:r w:rsidRPr="005675B2">
        <w:rPr>
          <w:rFonts w:hint="cs"/>
          <w:sz w:val="24"/>
          <w:szCs w:val="24"/>
          <w:rtl/>
        </w:rPr>
        <w:t>انظر: الضوء اللامع للسخاوي</w:t>
      </w:r>
      <w:r w:rsidR="000636C2">
        <w:rPr>
          <w:rFonts w:hint="cs"/>
          <w:sz w:val="24"/>
          <w:szCs w:val="24"/>
          <w:rtl/>
        </w:rPr>
        <w:t>:</w:t>
      </w:r>
      <w:r w:rsidRPr="005675B2">
        <w:rPr>
          <w:rFonts w:hint="cs"/>
          <w:sz w:val="24"/>
          <w:szCs w:val="24"/>
          <w:rtl/>
        </w:rPr>
        <w:t xml:space="preserve"> 9 / 294</w:t>
      </w:r>
      <w:r w:rsidR="000636C2">
        <w:rPr>
          <w:rFonts w:hint="cs"/>
          <w:sz w:val="24"/>
          <w:szCs w:val="24"/>
          <w:rtl/>
        </w:rPr>
        <w:t>]</w:t>
      </w:r>
      <w:r w:rsidR="000636C2">
        <w:rPr>
          <w:rFonts w:hint="cs"/>
          <w:rtl/>
        </w:rPr>
        <w:t>،</w:t>
      </w:r>
      <w:r w:rsidRPr="005675B2">
        <w:rPr>
          <w:rFonts w:hint="cs"/>
          <w:rtl/>
        </w:rPr>
        <w:t xml:space="preserve"> ورد عليه ابن ناصر الدين بكتابه الذي سماه "الرد الوافر على من زعم أن ابن تيمية شيخ الإسلام كافر"</w:t>
      </w:r>
      <w:r w:rsidR="000636C2">
        <w:rPr>
          <w:rFonts w:hint="cs"/>
          <w:rtl/>
        </w:rPr>
        <w:t>،</w:t>
      </w:r>
      <w:r w:rsidRPr="005675B2">
        <w:rPr>
          <w:rFonts w:hint="cs"/>
          <w:rtl/>
        </w:rPr>
        <w:t xml:space="preserve"> حيث ذكر فيه أسماء عشرات العلماء من المعاصرين لابن تيمية وغيرهم من الذين سموا ابن تيمية شيخ الإسلام</w:t>
      </w:r>
      <w:r w:rsidR="000636C2">
        <w:rPr>
          <w:rFonts w:hint="cs"/>
          <w:rtl/>
        </w:rPr>
        <w:t>،</w:t>
      </w:r>
      <w:r w:rsidRPr="005675B2">
        <w:rPr>
          <w:rFonts w:hint="cs"/>
          <w:rtl/>
        </w:rPr>
        <w:t xml:space="preserve"> فهل كان أولئك كافرين</w:t>
      </w:r>
      <w:r w:rsidR="000636C2">
        <w:rPr>
          <w:rFonts w:hint="cs"/>
          <w:rtl/>
        </w:rPr>
        <w:t>؟!،</w:t>
      </w:r>
      <w:r w:rsidRPr="005675B2">
        <w:rPr>
          <w:rFonts w:hint="cs"/>
          <w:rtl/>
        </w:rPr>
        <w:t xml:space="preserve"> ومن أولئك المعاصرين لابن تيمية من كان بينهم وبينه خصومة علمية ظاهرة وأطلقوا عليه مع ذلك كلمة شيخ الإسلام</w:t>
      </w:r>
      <w:r w:rsidR="000636C2">
        <w:rPr>
          <w:rFonts w:hint="cs"/>
          <w:rtl/>
        </w:rPr>
        <w:t>،</w:t>
      </w:r>
      <w:r w:rsidRPr="005675B2">
        <w:rPr>
          <w:rFonts w:hint="cs"/>
          <w:rtl/>
        </w:rPr>
        <w:t xml:space="preserve"> وأخص منهم بالذكر عالمين كبيرين من كبار علماء الأشاعرة</w:t>
      </w:r>
      <w:r w:rsidR="000636C2">
        <w:rPr>
          <w:rFonts w:hint="cs"/>
          <w:rtl/>
        </w:rPr>
        <w:t>،</w:t>
      </w:r>
      <w:r w:rsidRPr="005675B2">
        <w:rPr>
          <w:rFonts w:hint="cs"/>
          <w:rtl/>
        </w:rPr>
        <w:t xml:space="preserve"> هما الإمام تقي الدين علي بن عبد الكافي السـبكي المتوفى سـنة</w:t>
      </w:r>
      <w:r w:rsidR="000636C2">
        <w:rPr>
          <w:rFonts w:hint="cs"/>
          <w:rtl/>
        </w:rPr>
        <w:t>(</w:t>
      </w:r>
      <w:r w:rsidRPr="005675B2">
        <w:rPr>
          <w:rFonts w:hint="cs"/>
          <w:rtl/>
        </w:rPr>
        <w:t>756ه -</w:t>
      </w:r>
      <w:r w:rsidR="000636C2">
        <w:rPr>
          <w:rFonts w:hint="cs"/>
          <w:rtl/>
        </w:rPr>
        <w:t>)</w:t>
      </w:r>
      <w:r w:rsidRPr="005675B2">
        <w:rPr>
          <w:rFonts w:hint="cs"/>
          <w:rtl/>
        </w:rPr>
        <w:t xml:space="preserve">، ومحمد بن علي بن عبد الواحد ابن الزملكاني المتوفى سنة </w:t>
      </w:r>
      <w:r w:rsidR="000636C2">
        <w:rPr>
          <w:rFonts w:hint="cs"/>
          <w:rtl/>
        </w:rPr>
        <w:t>(</w:t>
      </w:r>
      <w:r w:rsidRPr="005675B2">
        <w:rPr>
          <w:rFonts w:hint="cs"/>
          <w:rtl/>
        </w:rPr>
        <w:t>727ه -</w:t>
      </w:r>
      <w:r w:rsidR="000636C2">
        <w:rPr>
          <w:rFonts w:hint="cs"/>
          <w:rtl/>
        </w:rPr>
        <w:t>)،</w:t>
      </w:r>
      <w:r w:rsidRPr="005675B2">
        <w:rPr>
          <w:rFonts w:hint="cs"/>
          <w:rtl/>
        </w:rPr>
        <w:t xml:space="preserve"> فهل بعد هذا الإنصاف إنصاف</w:t>
      </w:r>
      <w:r w:rsidR="000636C2">
        <w:rPr>
          <w:rFonts w:hint="cs"/>
          <w:rtl/>
        </w:rPr>
        <w:t xml:space="preserve">؟، </w:t>
      </w:r>
      <w:r w:rsidRPr="005675B2">
        <w:rPr>
          <w:rFonts w:hint="cs"/>
          <w:rtl/>
        </w:rPr>
        <w:t>فأولئك المعاصرون لابن تيمية لم يكفروه</w:t>
      </w:r>
      <w:r w:rsidR="000636C2">
        <w:rPr>
          <w:rFonts w:hint="cs"/>
          <w:rtl/>
        </w:rPr>
        <w:t>،</w:t>
      </w:r>
      <w:r w:rsidRPr="005675B2">
        <w:rPr>
          <w:rFonts w:hint="cs"/>
          <w:rtl/>
        </w:rPr>
        <w:t xml:space="preserve"> بل اعترفوا له بالمكانة العلمية</w:t>
      </w:r>
      <w:r w:rsidR="000636C2">
        <w:rPr>
          <w:rFonts w:hint="cs"/>
          <w:rtl/>
        </w:rPr>
        <w:t>،</w:t>
      </w:r>
      <w:r w:rsidRPr="005675B2">
        <w:rPr>
          <w:rFonts w:hint="cs"/>
          <w:rtl/>
        </w:rPr>
        <w:t xml:space="preserve"> وأطلق كثير منهم عليه لقب شيخ الإسلام </w:t>
      </w:r>
      <w:r w:rsidR="000636C2">
        <w:rPr>
          <w:rFonts w:hint="cs"/>
          <w:rtl/>
        </w:rPr>
        <w:t>[</w:t>
      </w:r>
      <w:r w:rsidRPr="005675B2">
        <w:rPr>
          <w:rFonts w:hint="cs"/>
          <w:sz w:val="24"/>
          <w:szCs w:val="24"/>
          <w:rtl/>
        </w:rPr>
        <w:t>ويضاف إلى العلماء الذين ذكرهم ابن ناصر الدين ممن جاءوا بعده: الحافظ السيوطي وابن عابدين</w:t>
      </w:r>
      <w:r w:rsidR="000636C2">
        <w:rPr>
          <w:rFonts w:hint="cs"/>
          <w:sz w:val="24"/>
          <w:szCs w:val="24"/>
          <w:rtl/>
        </w:rPr>
        <w:t>،</w:t>
      </w:r>
      <w:r w:rsidRPr="005675B2">
        <w:rPr>
          <w:rFonts w:hint="cs"/>
          <w:sz w:val="24"/>
          <w:szCs w:val="24"/>
          <w:rtl/>
        </w:rPr>
        <w:t xml:space="preserve"> كما سيأتي</w:t>
      </w:r>
      <w:r w:rsidR="000636C2">
        <w:rPr>
          <w:rFonts w:hint="cs"/>
          <w:sz w:val="24"/>
          <w:szCs w:val="24"/>
          <w:rtl/>
        </w:rPr>
        <w:t>]</w:t>
      </w:r>
      <w:r w:rsidR="000636C2">
        <w:rPr>
          <w:rFonts w:hint="cs"/>
          <w:rtl/>
        </w:rPr>
        <w:t>،</w:t>
      </w:r>
      <w:r w:rsidRPr="005675B2">
        <w:rPr>
          <w:rFonts w:hint="cs"/>
          <w:rtl/>
        </w:rPr>
        <w:t xml:space="preserve"> ومن العلماء الذين جرت بينهم وبينه خصومة علمية قضاة المذاهب الأربعة</w:t>
      </w:r>
      <w:r w:rsidR="000636C2">
        <w:rPr>
          <w:rFonts w:hint="cs"/>
          <w:rtl/>
        </w:rPr>
        <w:t>،</w:t>
      </w:r>
      <w:r w:rsidRPr="005675B2">
        <w:rPr>
          <w:rFonts w:hint="cs"/>
          <w:rtl/>
        </w:rPr>
        <w:t xml:space="preserve"> ولو كفروه لحكموا باستتابته وبقتله إذا لم يتب</w:t>
      </w:r>
      <w:r w:rsidR="000636C2">
        <w:rPr>
          <w:rFonts w:hint="cs"/>
          <w:rtl/>
        </w:rPr>
        <w:t>،</w:t>
      </w:r>
      <w:r w:rsidRPr="005675B2">
        <w:rPr>
          <w:rFonts w:hint="cs"/>
          <w:rtl/>
        </w:rPr>
        <w:t xml:space="preserve"> ولكن ذلك لم يقع</w:t>
      </w:r>
      <w:r w:rsidR="000636C2">
        <w:rPr>
          <w:rFonts w:hint="cs"/>
          <w:rtl/>
        </w:rPr>
        <w:t>،</w:t>
      </w:r>
      <w:r w:rsidRPr="005675B2">
        <w:rPr>
          <w:rFonts w:hint="cs"/>
          <w:rtl/>
        </w:rPr>
        <w:t xml:space="preserve"> وقد قرظ الحافظ ابن حجر العسقلاني رحمه الله كتاب "الرد الوافر" الذي صنفه ابن ناصر الدين رداً على علاء الدين البخاري</w:t>
      </w:r>
      <w:r w:rsidR="000636C2">
        <w:rPr>
          <w:rFonts w:hint="cs"/>
          <w:rtl/>
        </w:rPr>
        <w:t>،</w:t>
      </w:r>
      <w:r w:rsidRPr="005675B2">
        <w:rPr>
          <w:rFonts w:hint="cs"/>
          <w:rtl/>
        </w:rPr>
        <w:t xml:space="preserve"> وأثنى في تقريظه على الشيخ تقي الدين ابن تيمية</w:t>
      </w:r>
      <w:r w:rsidR="000636C2">
        <w:rPr>
          <w:rFonts w:hint="cs"/>
          <w:rtl/>
        </w:rPr>
        <w:t>،</w:t>
      </w:r>
      <w:r w:rsidRPr="005675B2">
        <w:rPr>
          <w:rFonts w:hint="cs"/>
          <w:rtl/>
        </w:rPr>
        <w:t xml:space="preserve"> وأشار إلى المسائل التي أنكرت عليه</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وشهرة إمامة الشيخ تقي الدين أشهر من الشمس</w:t>
      </w:r>
      <w:r w:rsidR="000636C2">
        <w:rPr>
          <w:rFonts w:hint="cs"/>
          <w:rtl/>
        </w:rPr>
        <w:t>،</w:t>
      </w:r>
      <w:r w:rsidRPr="005675B2">
        <w:rPr>
          <w:rFonts w:hint="cs"/>
          <w:rtl/>
        </w:rPr>
        <w:t xml:space="preserve"> وتلقيبه بشيخ الإسلام في عصره باق إلى الآن على الألسنة الزكية ويستمر غداً كما كان بالأمس</w:t>
      </w:r>
      <w:r w:rsidR="000636C2">
        <w:rPr>
          <w:rFonts w:hint="cs"/>
          <w:rtl/>
        </w:rPr>
        <w:t>،</w:t>
      </w:r>
      <w:r w:rsidRPr="005675B2">
        <w:rPr>
          <w:rFonts w:hint="cs"/>
          <w:rtl/>
        </w:rPr>
        <w:t xml:space="preserve"> ولا ينكر ذلك إلا من جهل مقداره أو تجنب الإنصاف ..</w:t>
      </w:r>
      <w:r w:rsidR="000636C2">
        <w:rPr>
          <w:rFonts w:hint="cs"/>
          <w:rtl/>
        </w:rPr>
        <w:t>،</w:t>
      </w:r>
      <w:r w:rsidRPr="005675B2">
        <w:rPr>
          <w:rFonts w:hint="cs"/>
          <w:rtl/>
        </w:rPr>
        <w:t xml:space="preserve"> ولقد قام على الشيخ تقي الدين جماعة من العلماء مراراً</w:t>
      </w:r>
      <w:r w:rsidR="000636C2">
        <w:rPr>
          <w:rFonts w:hint="cs"/>
          <w:rtl/>
        </w:rPr>
        <w:t xml:space="preserve"> </w:t>
      </w:r>
      <w:r w:rsidRPr="005675B2">
        <w:rPr>
          <w:rFonts w:hint="cs"/>
          <w:rtl/>
        </w:rPr>
        <w:t>بسبب أشياء أنكروها عليه من الأصول والفروع</w:t>
      </w:r>
      <w:r w:rsidR="000636C2">
        <w:rPr>
          <w:rFonts w:hint="cs"/>
          <w:rtl/>
        </w:rPr>
        <w:t>،</w:t>
      </w:r>
      <w:r w:rsidRPr="005675B2">
        <w:rPr>
          <w:rFonts w:hint="cs"/>
          <w:rtl/>
        </w:rPr>
        <w:t xml:space="preserve"> وعقدت له بسبب ذلك عدة مجالس بالقاهرة وبدمشق</w:t>
      </w:r>
      <w:r w:rsidR="000636C2">
        <w:rPr>
          <w:rFonts w:hint="cs"/>
          <w:rtl/>
        </w:rPr>
        <w:t>،</w:t>
      </w:r>
      <w:r w:rsidRPr="005675B2">
        <w:rPr>
          <w:rFonts w:hint="cs"/>
          <w:rtl/>
        </w:rPr>
        <w:t xml:space="preserve"> ولا يُحفظ عن أحد منهم أنه أفتى بزندقته ولا حكم بسفك دمه</w:t>
      </w:r>
      <w:r w:rsidR="000636C2">
        <w:rPr>
          <w:rFonts w:hint="cs"/>
          <w:rtl/>
        </w:rPr>
        <w:t>،</w:t>
      </w:r>
      <w:r w:rsidRPr="005675B2">
        <w:rPr>
          <w:rFonts w:hint="cs"/>
          <w:rtl/>
        </w:rPr>
        <w:t xml:space="preserve"> .. والمسائل التي أُنكرت عليه ما كان يقولها بالتشهي</w:t>
      </w:r>
      <w:r w:rsidR="000636C2">
        <w:rPr>
          <w:rFonts w:hint="cs"/>
          <w:rtl/>
        </w:rPr>
        <w:t>،</w:t>
      </w:r>
      <w:r w:rsidRPr="005675B2">
        <w:rPr>
          <w:rFonts w:hint="cs"/>
          <w:rtl/>
        </w:rPr>
        <w:t xml:space="preserve"> ولا يصرُّ على القول بها بعد قيام الدليل عليه عناداً</w:t>
      </w:r>
      <w:r w:rsidR="000636C2">
        <w:rPr>
          <w:rFonts w:hint="cs"/>
          <w:rtl/>
        </w:rPr>
        <w:t>،</w:t>
      </w:r>
      <w:r w:rsidRPr="005675B2">
        <w:rPr>
          <w:rFonts w:hint="cs"/>
          <w:rtl/>
        </w:rPr>
        <w:t xml:space="preserve"> وهذه تصانيفه طافحة بالرد على من يقول بالتجسيم والتبري منه</w:t>
      </w:r>
      <w:r w:rsidR="000636C2">
        <w:rPr>
          <w:rFonts w:hint="cs"/>
          <w:rtl/>
        </w:rPr>
        <w:t>،</w:t>
      </w:r>
      <w:r w:rsidRPr="005675B2">
        <w:rPr>
          <w:rFonts w:hint="cs"/>
          <w:rtl/>
        </w:rPr>
        <w:t xml:space="preserve"> ومع ذلك فهو بشر يخطئ ويصيب</w:t>
      </w:r>
      <w:r w:rsidR="000636C2">
        <w:rPr>
          <w:rFonts w:hint="cs"/>
          <w:rtl/>
        </w:rPr>
        <w:t>،</w:t>
      </w:r>
      <w:r w:rsidRPr="005675B2">
        <w:rPr>
          <w:rFonts w:hint="cs"/>
          <w:rtl/>
        </w:rPr>
        <w:t xml:space="preserve"> فالذي أصاب فيه</w:t>
      </w:r>
      <w:r w:rsidR="000636C2">
        <w:rPr>
          <w:rFonts w:hint="cs"/>
          <w:rtl/>
        </w:rPr>
        <w:t xml:space="preserve"> </w:t>
      </w:r>
      <w:r w:rsidRPr="005675B2">
        <w:rPr>
          <w:rFonts w:hint="cs"/>
          <w:rtl/>
        </w:rPr>
        <w:t>- وهو الأكثر</w:t>
      </w:r>
      <w:r w:rsidR="000636C2">
        <w:rPr>
          <w:rFonts w:hint="cs"/>
          <w:rtl/>
        </w:rPr>
        <w:t xml:space="preserve"> </w:t>
      </w:r>
      <w:r w:rsidRPr="005675B2">
        <w:rPr>
          <w:rFonts w:hint="cs"/>
          <w:rtl/>
        </w:rPr>
        <w:t>- يستفاد منه ويترحم عليه بسببه</w:t>
      </w:r>
      <w:r w:rsidR="000636C2">
        <w:rPr>
          <w:rFonts w:hint="cs"/>
          <w:rtl/>
        </w:rPr>
        <w:t>،</w:t>
      </w:r>
      <w:r w:rsidRPr="005675B2">
        <w:rPr>
          <w:rFonts w:hint="cs"/>
          <w:rtl/>
        </w:rPr>
        <w:t xml:space="preserve"> والذي أخطأ فيه لا يقلد فيه</w:t>
      </w:r>
      <w:r w:rsidR="000636C2">
        <w:rPr>
          <w:rFonts w:hint="cs"/>
          <w:rtl/>
        </w:rPr>
        <w:t>،</w:t>
      </w:r>
      <w:r w:rsidRPr="005675B2">
        <w:rPr>
          <w:rFonts w:hint="cs"/>
          <w:rtl/>
        </w:rPr>
        <w:t xml:space="preserve"> بل هو معذور</w:t>
      </w:r>
      <w:r w:rsidR="000636C2">
        <w:rPr>
          <w:rFonts w:hint="cs"/>
          <w:rtl/>
        </w:rPr>
        <w:t>،</w:t>
      </w:r>
      <w:r w:rsidRPr="005675B2">
        <w:rPr>
          <w:rFonts w:hint="cs"/>
          <w:rtl/>
        </w:rPr>
        <w:t xml:space="preserve"> لأن أئمة عصره شهدوا له بأن أدوات الاجتهاد اجتمعت فيه</w:t>
      </w:r>
      <w:r w:rsidR="000636C2">
        <w:rPr>
          <w:rFonts w:hint="cs"/>
          <w:rtl/>
        </w:rPr>
        <w:t>،</w:t>
      </w:r>
      <w:r w:rsidRPr="005675B2">
        <w:rPr>
          <w:rFonts w:hint="cs"/>
          <w:rtl/>
        </w:rPr>
        <w:t xml:space="preserve"> ..</w:t>
      </w:r>
      <w:r w:rsidR="000636C2">
        <w:rPr>
          <w:rFonts w:hint="cs"/>
          <w:rtl/>
        </w:rPr>
        <w:t>]،</w:t>
      </w:r>
      <w:r w:rsidRPr="005675B2">
        <w:rPr>
          <w:rFonts w:hint="cs"/>
          <w:rtl/>
        </w:rPr>
        <w:t xml:space="preserve"> 3</w:t>
      </w:r>
      <w:r w:rsidR="000636C2">
        <w:rPr>
          <w:rFonts w:hint="cs"/>
          <w:rtl/>
        </w:rPr>
        <w:t xml:space="preserve"> </w:t>
      </w:r>
      <w:r w:rsidRPr="005675B2">
        <w:rPr>
          <w:rFonts w:hint="cs"/>
          <w:rtl/>
        </w:rPr>
        <w:t xml:space="preserve">- لقد كان الفقيه الشـافعي الشـيخ تقي الدين الحصني أبو بكر بن محمد المتوفى سـنة </w:t>
      </w:r>
      <w:r w:rsidR="000636C2">
        <w:rPr>
          <w:rFonts w:hint="cs"/>
          <w:rtl/>
        </w:rPr>
        <w:t>(</w:t>
      </w:r>
      <w:r w:rsidRPr="005675B2">
        <w:rPr>
          <w:rFonts w:hint="cs"/>
          <w:rtl/>
        </w:rPr>
        <w:t>829ه -</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يحمل على ابن تيمية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ويكفره</w:t>
      </w:r>
      <w:r w:rsidR="000636C2">
        <w:rPr>
          <w:rFonts w:hint="cs"/>
          <w:rtl/>
        </w:rPr>
        <w:t>،</w:t>
      </w:r>
      <w:r w:rsidRPr="005675B2">
        <w:rPr>
          <w:rFonts w:hint="cs"/>
          <w:rtl/>
        </w:rPr>
        <w:t xml:space="preserve"> فما الذي أخذه عليه</w:t>
      </w:r>
      <w:r w:rsidR="000636C2">
        <w:rPr>
          <w:rFonts w:hint="cs"/>
          <w:rtl/>
        </w:rPr>
        <w:t>؟</w:t>
      </w:r>
      <w:r w:rsidRPr="005675B2">
        <w:rPr>
          <w:rFonts w:hint="cs"/>
          <w:rtl/>
        </w:rPr>
        <w:t xml:space="preserve"> وما مستنده في ذلك</w:t>
      </w:r>
      <w:r w:rsidR="000636C2">
        <w:rPr>
          <w:rFonts w:hint="cs"/>
          <w:rtl/>
        </w:rPr>
        <w:t xml:space="preserve">؟ </w:t>
      </w:r>
      <w:r w:rsidRPr="005675B2">
        <w:rPr>
          <w:rFonts w:hint="cs"/>
          <w:rtl/>
        </w:rPr>
        <w:t>قال الحصنيُّ</w:t>
      </w:r>
      <w:r w:rsidR="000636C2">
        <w:rPr>
          <w:rFonts w:hint="cs"/>
          <w:rtl/>
        </w:rPr>
        <w:t>:</w:t>
      </w:r>
      <w:r w:rsidRPr="005675B2">
        <w:rPr>
          <w:rFonts w:hint="cs"/>
          <w:rtl/>
        </w:rPr>
        <w:t xml:space="preserve"> </w:t>
      </w:r>
      <w:r w:rsidR="000636C2">
        <w:rPr>
          <w:rFonts w:hint="cs"/>
          <w:rtl/>
        </w:rPr>
        <w:t>[</w:t>
      </w:r>
      <w:r w:rsidRPr="005675B2">
        <w:rPr>
          <w:rFonts w:hint="cs"/>
          <w:rtl/>
        </w:rPr>
        <w:t>.. فمن ذلك ما أَخبر به أَبو الحسن علُّي الدمشقي في صحن الجامع الأُموي عن أَبيه أنه قال</w:t>
      </w:r>
      <w:r w:rsidR="000636C2">
        <w:rPr>
          <w:rFonts w:hint="cs"/>
          <w:rtl/>
        </w:rPr>
        <w:t>:</w:t>
      </w:r>
      <w:r w:rsidRPr="005675B2">
        <w:rPr>
          <w:rFonts w:hint="cs"/>
          <w:rtl/>
        </w:rPr>
        <w:t xml:space="preserve"> كنا جلوساً في مجلس ابن تيمية</w:t>
      </w:r>
      <w:r w:rsidR="000636C2">
        <w:rPr>
          <w:rFonts w:hint="cs"/>
          <w:rtl/>
        </w:rPr>
        <w:t>،</w:t>
      </w:r>
      <w:r w:rsidRPr="005675B2">
        <w:rPr>
          <w:rFonts w:hint="cs"/>
          <w:rtl/>
        </w:rPr>
        <w:t xml:space="preserve"> فذكّر ووعظ وتعرض لآيات الاستواء ثم قال</w:t>
      </w:r>
      <w:r w:rsidR="000636C2">
        <w:rPr>
          <w:rFonts w:hint="cs"/>
          <w:rtl/>
        </w:rPr>
        <w:t>:</w:t>
      </w:r>
      <w:r w:rsidRPr="005675B2">
        <w:rPr>
          <w:rFonts w:hint="cs"/>
          <w:rtl/>
        </w:rPr>
        <w:t xml:space="preserve"> واستوى الله على عرشه كاستوائي هذا</w:t>
      </w:r>
      <w:r w:rsidR="000636C2">
        <w:rPr>
          <w:rFonts w:hint="cs"/>
          <w:rtl/>
        </w:rPr>
        <w:t>]</w:t>
      </w:r>
      <w:r w:rsidRPr="005675B2">
        <w:rPr>
          <w:rFonts w:hint="cs"/>
          <w:rtl/>
        </w:rPr>
        <w:t xml:space="preserve"> [</w:t>
      </w:r>
      <w:r w:rsidRPr="005675B2">
        <w:rPr>
          <w:rFonts w:hint="cs"/>
          <w:sz w:val="24"/>
          <w:szCs w:val="24"/>
          <w:rtl/>
        </w:rPr>
        <w:t>دفع شبه من شبه وتمرد ونسب ذلك إلى الإمام أحمد للحصني: ص 41</w:t>
      </w:r>
      <w:r w:rsidR="000636C2">
        <w:rPr>
          <w:rFonts w:hint="cs"/>
          <w:sz w:val="24"/>
          <w:szCs w:val="24"/>
          <w:rtl/>
        </w:rPr>
        <w:t>]</w:t>
      </w:r>
      <w:r w:rsidR="000636C2">
        <w:rPr>
          <w:rFonts w:hint="cs"/>
          <w:rtl/>
        </w:rPr>
        <w:t>،</w:t>
      </w:r>
      <w:r w:rsidRPr="005675B2">
        <w:rPr>
          <w:rFonts w:hint="cs"/>
          <w:rtl/>
        </w:rPr>
        <w:t xml:space="preserve"> ونقل الحصني عن تفسير أَبي حيان الأندلسي المسمى بالنهر عند تفسير قول الله تعالى </w:t>
      </w:r>
      <w:r w:rsidR="000636C2">
        <w:rPr>
          <w:rFonts w:hint="cs"/>
          <w:rtl/>
        </w:rPr>
        <w:t>[</w:t>
      </w:r>
      <w:r w:rsidRPr="005675B2">
        <w:rPr>
          <w:rFonts w:hint="cs"/>
          <w:rtl/>
        </w:rPr>
        <w:t>وَسِعَ كُرْسِيُّهُ السَّمَاوَاتِ وَالأَرْضَ</w:t>
      </w:r>
      <w:r w:rsidR="000636C2">
        <w:rPr>
          <w:rFonts w:hint="cs"/>
          <w:rtl/>
        </w:rPr>
        <w:t>]</w:t>
      </w:r>
      <w:r w:rsidRPr="005675B2">
        <w:rPr>
          <w:rFonts w:hint="cs"/>
          <w:rtl/>
        </w:rPr>
        <w:t xml:space="preserve"> [</w:t>
      </w:r>
      <w:r w:rsidRPr="005675B2">
        <w:rPr>
          <w:rFonts w:hint="cs"/>
          <w:sz w:val="24"/>
          <w:szCs w:val="24"/>
          <w:rtl/>
        </w:rPr>
        <w:t>سورة البقرة آية 255</w:t>
      </w:r>
      <w:r w:rsidR="000636C2">
        <w:rPr>
          <w:rFonts w:hint="cs"/>
          <w:sz w:val="24"/>
          <w:szCs w:val="24"/>
          <w:rtl/>
        </w:rPr>
        <w:t>]</w:t>
      </w:r>
      <w:r w:rsidR="000636C2">
        <w:rPr>
          <w:rFonts w:hint="cs"/>
          <w:rtl/>
        </w:rPr>
        <w:t>،</w:t>
      </w:r>
      <w:r w:rsidRPr="005675B2">
        <w:rPr>
          <w:rFonts w:hint="cs"/>
          <w:rtl/>
        </w:rPr>
        <w:t xml:space="preserve"> أَنَّ أَبا حيَّان قرأ في كتاب العرش لابن تيمية وهو بخطِّه أَنه قال فيه</w:t>
      </w:r>
      <w:r w:rsidR="000636C2">
        <w:rPr>
          <w:rFonts w:hint="cs"/>
          <w:rtl/>
        </w:rPr>
        <w:t>:</w:t>
      </w:r>
      <w:r w:rsidRPr="005675B2">
        <w:rPr>
          <w:rFonts w:hint="cs"/>
          <w:rtl/>
        </w:rPr>
        <w:t xml:space="preserve"> </w:t>
      </w:r>
      <w:r w:rsidR="000636C2">
        <w:rPr>
          <w:rFonts w:hint="cs"/>
          <w:rtl/>
        </w:rPr>
        <w:t>[</w:t>
      </w:r>
      <w:r w:rsidRPr="005675B2">
        <w:rPr>
          <w:rFonts w:hint="cs"/>
          <w:rtl/>
        </w:rPr>
        <w:t>إِنَّ الله يجلِس على الكرسي وقد أَخلى مكاناً يُقعد معه فيه رسول الله صلَّى الُله عليهِ وسلَّم</w:t>
      </w:r>
      <w:r w:rsidR="000636C2">
        <w:rPr>
          <w:rFonts w:hint="cs"/>
          <w:rtl/>
        </w:rPr>
        <w:t>]</w:t>
      </w:r>
      <w:r w:rsidRPr="005675B2">
        <w:rPr>
          <w:rFonts w:hint="cs"/>
          <w:rtl/>
        </w:rPr>
        <w:t xml:space="preserve"> [</w:t>
      </w:r>
      <w:r w:rsidRPr="005675B2">
        <w:rPr>
          <w:rFonts w:hint="cs"/>
          <w:sz w:val="24"/>
          <w:szCs w:val="24"/>
          <w:rtl/>
        </w:rPr>
        <w:t>المرجع السابق: ص 47 – 48</w:t>
      </w:r>
      <w:r w:rsidR="000636C2">
        <w:rPr>
          <w:rFonts w:hint="cs"/>
          <w:sz w:val="24"/>
          <w:szCs w:val="24"/>
          <w:rtl/>
        </w:rPr>
        <w:t>]</w:t>
      </w:r>
      <w:r w:rsidR="000636C2">
        <w:rPr>
          <w:rFonts w:hint="cs"/>
          <w:rtl/>
        </w:rPr>
        <w:t>،</w:t>
      </w:r>
      <w:r w:rsidRPr="005675B2">
        <w:rPr>
          <w:rFonts w:hint="cs"/>
          <w:rtl/>
        </w:rPr>
        <w:t xml:space="preserve"> ونقل الحصنيُّ عن ابن تيمية أَنه قال في الكلام على حديث النـزول المشهور</w:t>
      </w:r>
      <w:r w:rsidR="000636C2">
        <w:rPr>
          <w:rFonts w:hint="cs"/>
          <w:rtl/>
        </w:rPr>
        <w:t>:</w:t>
      </w:r>
      <w:r w:rsidRPr="005675B2">
        <w:rPr>
          <w:rFonts w:hint="cs"/>
          <w:rtl/>
        </w:rPr>
        <w:t xml:space="preserve"> </w:t>
      </w:r>
      <w:r w:rsidR="000636C2">
        <w:rPr>
          <w:rFonts w:hint="cs"/>
          <w:rtl/>
        </w:rPr>
        <w:t>[</w:t>
      </w:r>
      <w:r w:rsidRPr="005675B2">
        <w:rPr>
          <w:rFonts w:hint="cs"/>
          <w:rtl/>
        </w:rPr>
        <w:t>إِنَّ الله يَنزل إِلى سماء الدنيا إلى مرجةٍ خضراءَ وفي رجليه نَعلان من ذهب</w:t>
      </w:r>
      <w:r w:rsidR="000636C2">
        <w:rPr>
          <w:rFonts w:hint="cs"/>
          <w:rtl/>
        </w:rPr>
        <w:t>]</w:t>
      </w:r>
      <w:r w:rsidRPr="005675B2">
        <w:rPr>
          <w:rFonts w:hint="cs"/>
          <w:rtl/>
        </w:rPr>
        <w:t xml:space="preserve"> [</w:t>
      </w:r>
      <w:r w:rsidRPr="005675B2">
        <w:rPr>
          <w:rFonts w:hint="cs"/>
          <w:sz w:val="24"/>
          <w:szCs w:val="24"/>
          <w:rtl/>
        </w:rPr>
        <w:t>المرجع السابق: ص 48</w:t>
      </w:r>
      <w:r w:rsidR="000636C2">
        <w:rPr>
          <w:rFonts w:hint="cs"/>
          <w:sz w:val="24"/>
          <w:szCs w:val="24"/>
          <w:rtl/>
        </w:rPr>
        <w:t>]</w:t>
      </w:r>
      <w:r w:rsidR="000636C2">
        <w:rPr>
          <w:rFonts w:hint="cs"/>
          <w:rtl/>
        </w:rPr>
        <w:t>،</w:t>
      </w:r>
      <w:r w:rsidRPr="005675B2">
        <w:rPr>
          <w:rFonts w:hint="cs"/>
          <w:rtl/>
        </w:rPr>
        <w:t xml:space="preserve"> وقال الحصني عن ابن تيمية </w:t>
      </w:r>
      <w:r w:rsidR="000636C2">
        <w:rPr>
          <w:rFonts w:hint="cs"/>
          <w:rtl/>
        </w:rPr>
        <w:t>[</w:t>
      </w:r>
      <w:r w:rsidRPr="005675B2">
        <w:rPr>
          <w:rFonts w:hint="cs"/>
          <w:rtl/>
        </w:rPr>
        <w:t>مع أن كتبه مشحونة بالتشبيه والتجسيم</w:t>
      </w:r>
      <w:r w:rsidR="000636C2">
        <w:rPr>
          <w:rFonts w:hint="cs"/>
          <w:rtl/>
        </w:rPr>
        <w:t>،</w:t>
      </w:r>
      <w:r w:rsidRPr="005675B2">
        <w:rPr>
          <w:rFonts w:hint="cs"/>
          <w:rtl/>
        </w:rPr>
        <w:t xml:space="preserve"> والإشارة إلى الازدراء بالنبي صلى الله عليه وسلم والشيخين</w:t>
      </w:r>
      <w:r w:rsidR="000636C2">
        <w:rPr>
          <w:rFonts w:hint="cs"/>
          <w:rtl/>
        </w:rPr>
        <w:t>،</w:t>
      </w:r>
      <w:r w:rsidRPr="005675B2">
        <w:rPr>
          <w:rFonts w:hint="cs"/>
          <w:rtl/>
        </w:rPr>
        <w:t xml:space="preserve"> وتكفير عبد الله بن عباس رضي الله عنهما وأنه من الملحدين</w:t>
      </w:r>
      <w:r w:rsidR="000636C2">
        <w:rPr>
          <w:rFonts w:hint="cs"/>
          <w:rtl/>
        </w:rPr>
        <w:t>،</w:t>
      </w:r>
      <w:r w:rsidRPr="005675B2">
        <w:rPr>
          <w:rFonts w:hint="cs"/>
          <w:rtl/>
        </w:rPr>
        <w:t xml:space="preserve"> وجعْلِ عبد الله بن عمر رضي الله عنهما من المجرمين وأنه ضال مبتدع</w:t>
      </w:r>
      <w:r w:rsidR="000636C2">
        <w:rPr>
          <w:rFonts w:hint="cs"/>
          <w:rtl/>
        </w:rPr>
        <w:t>،</w:t>
      </w:r>
      <w:r w:rsidRPr="005675B2">
        <w:rPr>
          <w:rFonts w:hint="cs"/>
          <w:rtl/>
        </w:rPr>
        <w:t xml:space="preserve"> ذكر ذلك في كتاب له سماه الصراط المستقيم والرد على أهل الجحيم</w:t>
      </w:r>
      <w:r w:rsidR="000636C2">
        <w:rPr>
          <w:rFonts w:hint="cs"/>
          <w:rtl/>
        </w:rPr>
        <w:t>،</w:t>
      </w:r>
      <w:r w:rsidRPr="005675B2">
        <w:rPr>
          <w:rFonts w:hint="cs"/>
          <w:rtl/>
        </w:rPr>
        <w:t xml:space="preserve"> وقد وقفت في كلامه على المواضع التي كفَّر فيها الأئمةَ الأربعة</w:t>
      </w:r>
      <w:r w:rsidR="000636C2">
        <w:rPr>
          <w:rFonts w:hint="cs"/>
          <w:rtl/>
        </w:rPr>
        <w:t>]</w:t>
      </w:r>
      <w:r w:rsidRPr="005675B2">
        <w:rPr>
          <w:rFonts w:hint="cs"/>
          <w:rtl/>
        </w:rPr>
        <w:t xml:space="preserve"> [</w:t>
      </w:r>
      <w:r w:rsidRPr="005675B2">
        <w:rPr>
          <w:rFonts w:hint="cs"/>
          <w:sz w:val="24"/>
          <w:szCs w:val="24"/>
          <w:rtl/>
        </w:rPr>
        <w:t>المرجع السابق: ص 64</w:t>
      </w:r>
      <w:r w:rsidR="000636C2">
        <w:rPr>
          <w:rFonts w:hint="cs"/>
          <w:sz w:val="24"/>
          <w:szCs w:val="24"/>
          <w:rtl/>
        </w:rPr>
        <w:t>]</w:t>
      </w:r>
      <w:r w:rsidR="000636C2">
        <w:rPr>
          <w:rFonts w:hint="cs"/>
          <w:rtl/>
        </w:rPr>
        <w:t>،</w:t>
      </w:r>
      <w:r w:rsidRPr="005675B2">
        <w:rPr>
          <w:rFonts w:hint="cs"/>
          <w:rtl/>
        </w:rPr>
        <w:t xml:space="preserve"> وقال عنه في موضعٍ آخر</w:t>
      </w:r>
      <w:r w:rsidR="000636C2">
        <w:rPr>
          <w:rFonts w:hint="cs"/>
          <w:rtl/>
        </w:rPr>
        <w:t>:</w:t>
      </w:r>
      <w:r w:rsidRPr="005675B2">
        <w:rPr>
          <w:rFonts w:hint="cs"/>
          <w:rtl/>
        </w:rPr>
        <w:t xml:space="preserve"> </w:t>
      </w:r>
      <w:r w:rsidR="000636C2">
        <w:rPr>
          <w:rFonts w:hint="cs"/>
          <w:rtl/>
        </w:rPr>
        <w:t>[</w:t>
      </w:r>
      <w:r w:rsidRPr="005675B2">
        <w:rPr>
          <w:rFonts w:hint="cs"/>
          <w:rtl/>
        </w:rPr>
        <w:t>وأَما الحلف بالطلاق فإنه لا يوقعه البتةَ ولا يعتبره</w:t>
      </w:r>
      <w:r w:rsidR="000636C2">
        <w:rPr>
          <w:rFonts w:hint="cs"/>
          <w:rtl/>
        </w:rPr>
        <w:t>،</w:t>
      </w:r>
      <w:r w:rsidRPr="005675B2">
        <w:rPr>
          <w:rFonts w:hint="cs"/>
          <w:rtl/>
        </w:rPr>
        <w:t xml:space="preserve"> سواء كان بالتصريح أو الكناية أو التعليق أو التنجيز</w:t>
      </w:r>
      <w:r w:rsidR="000636C2">
        <w:rPr>
          <w:rFonts w:hint="cs"/>
          <w:rtl/>
        </w:rPr>
        <w:t>،</w:t>
      </w:r>
      <w:r w:rsidRPr="005675B2">
        <w:rPr>
          <w:rFonts w:hint="cs"/>
          <w:rtl/>
        </w:rPr>
        <w:t xml:space="preserve"> .. وإشاعته هو وأتباعه أَنَّ الطلاق الثلاث واحدةٌ</w:t>
      </w:r>
      <w:r w:rsidR="000636C2">
        <w:rPr>
          <w:rFonts w:hint="cs"/>
          <w:rtl/>
        </w:rPr>
        <w:t>:</w:t>
      </w:r>
      <w:r w:rsidRPr="005675B2">
        <w:rPr>
          <w:rFonts w:hint="cs"/>
          <w:rtl/>
        </w:rPr>
        <w:t xml:space="preserve"> خزعبلات ومكر</w:t>
      </w:r>
      <w:r w:rsidR="000636C2">
        <w:rPr>
          <w:rFonts w:hint="cs"/>
          <w:rtl/>
        </w:rPr>
        <w:t>،</w:t>
      </w:r>
      <w:r w:rsidRPr="005675B2">
        <w:rPr>
          <w:rFonts w:hint="cs"/>
          <w:rtl/>
        </w:rPr>
        <w:t xml:space="preserve"> وإلا فهو لا يوقع طلاقاً على حالف به ..</w:t>
      </w:r>
      <w:r w:rsidR="000636C2">
        <w:rPr>
          <w:rFonts w:hint="cs"/>
          <w:rtl/>
        </w:rPr>
        <w:t>،</w:t>
      </w:r>
      <w:r w:rsidRPr="005675B2">
        <w:rPr>
          <w:rFonts w:hint="cs"/>
          <w:rtl/>
        </w:rPr>
        <w:t xml:space="preserve"> وإن مسألة الثلاث إنما يذكرونها تستُّراً وخديعة</w:t>
      </w:r>
      <w:r w:rsidR="000636C2">
        <w:rPr>
          <w:rFonts w:hint="cs"/>
          <w:rtl/>
        </w:rPr>
        <w:t>،</w:t>
      </w:r>
      <w:r w:rsidRPr="005675B2">
        <w:rPr>
          <w:rFonts w:hint="cs"/>
          <w:rtl/>
        </w:rPr>
        <w:t xml:space="preserve"> وقد وقفت على مصنف له في ذلك</w:t>
      </w:r>
      <w:r w:rsidR="000636C2">
        <w:rPr>
          <w:rFonts w:hint="cs"/>
          <w:rtl/>
        </w:rPr>
        <w:t>]</w:t>
      </w:r>
      <w:r w:rsidRPr="005675B2">
        <w:rPr>
          <w:rFonts w:hint="cs"/>
          <w:rtl/>
        </w:rPr>
        <w:t xml:space="preserve"> [</w:t>
      </w:r>
      <w:r w:rsidRPr="005675B2">
        <w:rPr>
          <w:rFonts w:hint="cs"/>
          <w:sz w:val="24"/>
          <w:szCs w:val="24"/>
          <w:rtl/>
        </w:rPr>
        <w:t>المرجع السابق: ص 35</w:t>
      </w:r>
      <w:r w:rsidR="000636C2">
        <w:rPr>
          <w:rFonts w:hint="cs"/>
          <w:sz w:val="24"/>
          <w:szCs w:val="24"/>
          <w:rtl/>
        </w:rPr>
        <w:t>]</w:t>
      </w:r>
      <w:r w:rsidR="000636C2">
        <w:rPr>
          <w:rFonts w:hint="cs"/>
          <w:rtl/>
        </w:rPr>
        <w:t>،</w:t>
      </w:r>
      <w:r w:rsidRPr="005675B2">
        <w:rPr>
          <w:rFonts w:hint="cs"/>
          <w:rtl/>
        </w:rPr>
        <w:t xml:space="preserve"> وقال عنه متحدثاً عن سبب إدخاله السجن</w:t>
      </w:r>
      <w:r w:rsidR="000636C2">
        <w:rPr>
          <w:rFonts w:hint="cs"/>
          <w:rtl/>
        </w:rPr>
        <w:t>:</w:t>
      </w:r>
      <w:r w:rsidRPr="005675B2">
        <w:rPr>
          <w:rFonts w:hint="cs"/>
          <w:rtl/>
        </w:rPr>
        <w:t xml:space="preserve"> </w:t>
      </w:r>
      <w:r w:rsidR="000636C2">
        <w:rPr>
          <w:rFonts w:hint="cs"/>
          <w:rtl/>
        </w:rPr>
        <w:t>[</w:t>
      </w:r>
      <w:r w:rsidRPr="005675B2">
        <w:rPr>
          <w:rFonts w:hint="cs"/>
          <w:rtl/>
        </w:rPr>
        <w:t>وكان السبب في اعتقاله وحبسه أَنه قال لا تُشد الرحال إلا إلى ثلاثة مساجد</w:t>
      </w:r>
      <w:r w:rsidR="000636C2">
        <w:rPr>
          <w:rFonts w:hint="cs"/>
          <w:rtl/>
        </w:rPr>
        <w:t>،</w:t>
      </w:r>
      <w:r w:rsidRPr="005675B2">
        <w:rPr>
          <w:rFonts w:hint="cs"/>
          <w:rtl/>
        </w:rPr>
        <w:t xml:space="preserve"> وأَنَّ زيارة قبور الأَنبياء لا تُشد إليها الرواحل كغيرها</w:t>
      </w:r>
      <w:r w:rsidR="000636C2">
        <w:rPr>
          <w:rFonts w:hint="cs"/>
          <w:rtl/>
        </w:rPr>
        <w:t>،</w:t>
      </w:r>
      <w:r w:rsidRPr="005675B2">
        <w:rPr>
          <w:rFonts w:hint="cs"/>
          <w:rtl/>
        </w:rPr>
        <w:t xml:space="preserve"> كقبر إبراهيم الخليل وقبر النبي صلَّى الله عليه وسلم</w:t>
      </w:r>
      <w:r w:rsidR="000636C2">
        <w:rPr>
          <w:rFonts w:hint="cs"/>
          <w:rtl/>
        </w:rPr>
        <w:t>،</w:t>
      </w:r>
      <w:r w:rsidRPr="005675B2">
        <w:rPr>
          <w:rFonts w:hint="cs"/>
          <w:rtl/>
        </w:rPr>
        <w:t xml:space="preserve"> ثم إنَّ الشَّاميين كتبوا فتيا أيضاً في ابن تيمية لكونه أَول من أحدث هذه المسألة التي لا تصدر إلا ممن في قلبه ضغينة لسيد الأَولين والآخرين</w:t>
      </w:r>
      <w:r w:rsidR="000636C2">
        <w:rPr>
          <w:rFonts w:hint="cs"/>
          <w:rtl/>
        </w:rPr>
        <w:t>،</w:t>
      </w:r>
      <w:r w:rsidRPr="005675B2">
        <w:rPr>
          <w:rFonts w:hint="cs"/>
          <w:rtl/>
        </w:rPr>
        <w:t xml:space="preserve"> فكتب عليها الإمام العلامة برهان الدين الفزاري نحو أربعين سطراً بأَشياء</w:t>
      </w:r>
      <w:r w:rsidR="000636C2">
        <w:rPr>
          <w:rFonts w:hint="cs"/>
          <w:rtl/>
        </w:rPr>
        <w:t>،</w:t>
      </w:r>
      <w:r w:rsidRPr="005675B2">
        <w:rPr>
          <w:rFonts w:hint="cs"/>
          <w:rtl/>
        </w:rPr>
        <w:t xml:space="preserve"> وآخر القول أَنه أَفتى بتكفيره</w:t>
      </w:r>
      <w:r w:rsidR="000636C2">
        <w:rPr>
          <w:rFonts w:hint="cs"/>
          <w:rtl/>
        </w:rPr>
        <w:t>،</w:t>
      </w:r>
      <w:r w:rsidRPr="005675B2">
        <w:rPr>
          <w:rFonts w:hint="cs"/>
          <w:rtl/>
        </w:rPr>
        <w:t xml:space="preserve"> ووافقه على ذلك الشيخ شهاب الدين ابن جهبل الشافعي</w:t>
      </w:r>
      <w:r w:rsidR="000636C2">
        <w:rPr>
          <w:rFonts w:hint="cs"/>
          <w:rtl/>
        </w:rPr>
        <w:t>،</w:t>
      </w:r>
      <w:r w:rsidRPr="005675B2">
        <w:rPr>
          <w:rFonts w:hint="cs"/>
          <w:rtl/>
        </w:rPr>
        <w:t xml:space="preserve"> وكتب تحت خطِّه كذلك المالكي</w:t>
      </w:r>
      <w:r w:rsidR="000636C2">
        <w:rPr>
          <w:rFonts w:hint="cs"/>
          <w:rtl/>
        </w:rPr>
        <w:t>،</w:t>
      </w:r>
      <w:r w:rsidRPr="005675B2">
        <w:rPr>
          <w:rFonts w:hint="cs"/>
          <w:rtl/>
        </w:rPr>
        <w:t xml:space="preserve"> وكذلك كتب غيرهم</w:t>
      </w:r>
      <w:r w:rsidR="000636C2">
        <w:rPr>
          <w:rFonts w:hint="cs"/>
          <w:rtl/>
        </w:rPr>
        <w:t>،</w:t>
      </w:r>
      <w:r w:rsidRPr="005675B2">
        <w:rPr>
          <w:rFonts w:hint="cs"/>
          <w:rtl/>
        </w:rPr>
        <w:t xml:space="preserve"> ووقع الاتفاق على تضليله بذلك وتبديعه وزندقته ..</w:t>
      </w:r>
      <w:r w:rsidR="000636C2">
        <w:rPr>
          <w:rFonts w:hint="cs"/>
          <w:rtl/>
        </w:rPr>
        <w:t>،</w:t>
      </w:r>
      <w:r w:rsidRPr="005675B2">
        <w:rPr>
          <w:rFonts w:hint="cs"/>
          <w:rtl/>
        </w:rPr>
        <w:t xml:space="preserve"> فجمع السُّلطان لها القضاة</w:t>
      </w:r>
      <w:r w:rsidR="000636C2">
        <w:rPr>
          <w:rFonts w:hint="cs"/>
          <w:rtl/>
        </w:rPr>
        <w:t>،</w:t>
      </w:r>
      <w:r w:rsidRPr="005675B2">
        <w:rPr>
          <w:rFonts w:hint="cs"/>
          <w:rtl/>
        </w:rPr>
        <w:t xml:space="preserve"> فلما قرئت عليهم أَخذها قاضي القضاة بدرُ الدين ابنُ جماعة وكتب عليها </w:t>
      </w:r>
      <w:r w:rsidR="000636C2">
        <w:rPr>
          <w:rFonts w:hint="cs"/>
          <w:rtl/>
        </w:rPr>
        <w:t>[</w:t>
      </w:r>
      <w:r w:rsidRPr="005675B2">
        <w:rPr>
          <w:rFonts w:hint="cs"/>
          <w:rtl/>
        </w:rPr>
        <w:t>القائل بهذه المقالة ضالٌّ مبتدع</w:t>
      </w:r>
      <w:r w:rsidR="000636C2">
        <w:rPr>
          <w:rFonts w:hint="cs"/>
          <w:rtl/>
        </w:rPr>
        <w:t>]،</w:t>
      </w:r>
      <w:r w:rsidRPr="005675B2">
        <w:rPr>
          <w:rFonts w:hint="cs"/>
          <w:rtl/>
        </w:rPr>
        <w:t xml:space="preserve"> ووافقه على ذلك الحنفيُّ والحنبلُّي</w:t>
      </w:r>
      <w:r w:rsidR="000636C2">
        <w:rPr>
          <w:rFonts w:hint="cs"/>
          <w:rtl/>
        </w:rPr>
        <w:t>،</w:t>
      </w:r>
      <w:r w:rsidRPr="005675B2">
        <w:rPr>
          <w:rFonts w:hint="cs"/>
          <w:rtl/>
        </w:rPr>
        <w:t xml:space="preserve"> فصار كفره مجمعاً عليه</w:t>
      </w:r>
      <w:r w:rsidR="000636C2">
        <w:rPr>
          <w:rFonts w:hint="cs"/>
          <w:rtl/>
        </w:rPr>
        <w:t>]</w:t>
      </w:r>
      <w:r w:rsidRPr="005675B2">
        <w:rPr>
          <w:rFonts w:hint="cs"/>
          <w:rtl/>
        </w:rPr>
        <w:t xml:space="preserve"> [</w:t>
      </w:r>
      <w:r w:rsidRPr="005675B2">
        <w:rPr>
          <w:rFonts w:hint="cs"/>
          <w:sz w:val="24"/>
          <w:szCs w:val="24"/>
          <w:rtl/>
        </w:rPr>
        <w:t>المرجع السابق: ص 45</w:t>
      </w:r>
      <w:r w:rsidR="000636C2">
        <w:rPr>
          <w:rFonts w:hint="cs"/>
          <w:sz w:val="24"/>
          <w:szCs w:val="24"/>
          <w:rtl/>
        </w:rPr>
        <w:t>]</w:t>
      </w:r>
      <w:r w:rsidR="000636C2">
        <w:rPr>
          <w:rFonts w:hint="cs"/>
          <w:rtl/>
        </w:rPr>
        <w:t xml:space="preserve">، </w:t>
      </w:r>
      <w:r w:rsidRPr="005675B2">
        <w:rPr>
          <w:rFonts w:hint="cs"/>
          <w:rtl/>
        </w:rPr>
        <w:t>ذكر الحصني حضور كتاب السُّلطان إلى نائب البلد وأَنَّ فيه</w:t>
      </w:r>
      <w:r w:rsidR="000636C2">
        <w:rPr>
          <w:rFonts w:hint="cs"/>
          <w:rtl/>
        </w:rPr>
        <w:t>:</w:t>
      </w:r>
      <w:r w:rsidRPr="005675B2">
        <w:rPr>
          <w:rFonts w:hint="cs"/>
          <w:rtl/>
        </w:rPr>
        <w:t xml:space="preserve"> </w:t>
      </w:r>
      <w:r w:rsidR="000636C2">
        <w:rPr>
          <w:rFonts w:hint="cs"/>
          <w:rtl/>
        </w:rPr>
        <w:t>[</w:t>
      </w:r>
      <w:r w:rsidRPr="005675B2">
        <w:rPr>
          <w:rFonts w:hint="cs"/>
          <w:rtl/>
        </w:rPr>
        <w:t>ورسْمنا بقراءةِ الفتوى على القضاة والعلماء</w:t>
      </w:r>
      <w:r w:rsidR="000636C2">
        <w:rPr>
          <w:rFonts w:hint="cs"/>
          <w:rtl/>
        </w:rPr>
        <w:t>،</w:t>
      </w:r>
      <w:r w:rsidRPr="005675B2">
        <w:rPr>
          <w:rFonts w:hint="cs"/>
          <w:rtl/>
        </w:rPr>
        <w:t xml:space="preserve"> فذكروا جميعاً من غير خلف أَنَّ الذي أَفتى به ابنُ تيمية في ذلك خطأ مردود عليه</w:t>
      </w:r>
      <w:r w:rsidR="000636C2">
        <w:rPr>
          <w:rFonts w:hint="cs"/>
          <w:rtl/>
        </w:rPr>
        <w:t>،</w:t>
      </w:r>
      <w:r w:rsidRPr="005675B2">
        <w:rPr>
          <w:rFonts w:hint="cs"/>
          <w:rtl/>
        </w:rPr>
        <w:t xml:space="preserve"> وحكموا بزجره وطول سجنه ومنعه من الفتوى مطلقاً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ص 46</w:t>
      </w:r>
      <w:r w:rsidR="000636C2">
        <w:rPr>
          <w:rFonts w:hint="cs"/>
          <w:sz w:val="24"/>
          <w:szCs w:val="24"/>
          <w:rtl/>
        </w:rPr>
        <w:t>]</w:t>
      </w:r>
      <w:r w:rsidR="000636C2">
        <w:rPr>
          <w:rFonts w:hint="cs"/>
          <w:rtl/>
        </w:rPr>
        <w:t>،</w:t>
      </w:r>
      <w:r w:rsidRPr="005675B2">
        <w:rPr>
          <w:rFonts w:hint="cs"/>
          <w:rtl/>
        </w:rPr>
        <w:t xml:space="preserve"> يبدو أَنَّ من أهم مآخذ الحصني على ابن تيمية</w:t>
      </w:r>
      <w:r w:rsidR="000636C2">
        <w:rPr>
          <w:rFonts w:hint="cs"/>
          <w:rtl/>
        </w:rPr>
        <w:t xml:space="preserve"> </w:t>
      </w:r>
      <w:r w:rsidRPr="005675B2">
        <w:rPr>
          <w:rFonts w:hint="cs"/>
          <w:rtl/>
        </w:rPr>
        <w:t>- رحمهما الله</w:t>
      </w:r>
      <w:r w:rsidR="000636C2">
        <w:rPr>
          <w:rFonts w:hint="cs"/>
          <w:rtl/>
        </w:rPr>
        <w:t xml:space="preserve"> </w:t>
      </w:r>
      <w:r w:rsidRPr="005675B2">
        <w:rPr>
          <w:rFonts w:hint="cs"/>
          <w:rtl/>
        </w:rPr>
        <w:t xml:space="preserve">- هو ما بلغه عنه أَنَّه قال </w:t>
      </w:r>
      <w:r w:rsidR="000636C2">
        <w:rPr>
          <w:rFonts w:hint="cs"/>
          <w:rtl/>
        </w:rPr>
        <w:t>[</w:t>
      </w:r>
      <w:r w:rsidRPr="005675B2">
        <w:rPr>
          <w:rFonts w:hint="cs"/>
          <w:rtl/>
        </w:rPr>
        <w:t>واستوى الله على عرشه كاستوائي هذا</w:t>
      </w:r>
      <w:r w:rsidR="000636C2">
        <w:rPr>
          <w:rFonts w:hint="cs"/>
          <w:rtl/>
        </w:rPr>
        <w:t>]!</w:t>
      </w:r>
      <w:r w:rsidRPr="005675B2">
        <w:rPr>
          <w:rFonts w:hint="cs"/>
          <w:rtl/>
        </w:rPr>
        <w:t xml:space="preserve"> ولكن أين السَّند</w:t>
      </w:r>
      <w:r w:rsidR="000636C2">
        <w:rPr>
          <w:rFonts w:hint="cs"/>
          <w:rtl/>
        </w:rPr>
        <w:t>؟</w:t>
      </w:r>
      <w:r w:rsidRPr="005675B2">
        <w:rPr>
          <w:rFonts w:hint="cs"/>
          <w:rtl/>
        </w:rPr>
        <w:t xml:space="preserve"> السند هو أَنَّ هذا أَخبر به أَبو الحسن علُّي الدمشقي عن أَبيه</w:t>
      </w:r>
      <w:r w:rsidR="000636C2">
        <w:rPr>
          <w:rFonts w:hint="cs"/>
          <w:rtl/>
        </w:rPr>
        <w:t>،</w:t>
      </w:r>
      <w:r w:rsidRPr="005675B2">
        <w:rPr>
          <w:rFonts w:hint="cs"/>
          <w:rtl/>
        </w:rPr>
        <w:t xml:space="preserve"> فمَن أبو الحسن علي الدمشقي</w:t>
      </w:r>
      <w:r w:rsidR="000636C2">
        <w:rPr>
          <w:rFonts w:hint="cs"/>
          <w:rtl/>
        </w:rPr>
        <w:t>؟</w:t>
      </w:r>
      <w:r w:rsidRPr="005675B2">
        <w:rPr>
          <w:rFonts w:hint="cs"/>
          <w:rtl/>
        </w:rPr>
        <w:t xml:space="preserve"> ومن أبوه</w:t>
      </w:r>
      <w:r w:rsidR="000636C2">
        <w:rPr>
          <w:rFonts w:hint="cs"/>
          <w:rtl/>
        </w:rPr>
        <w:t>؟</w:t>
      </w:r>
      <w:r w:rsidRPr="005675B2">
        <w:rPr>
          <w:rFonts w:hint="cs"/>
          <w:rtl/>
        </w:rPr>
        <w:t xml:space="preserve"> وهل كان كل واحد منهما عدلاً ضابطاً</w:t>
      </w:r>
      <w:r w:rsidR="000636C2">
        <w:rPr>
          <w:rFonts w:hint="cs"/>
          <w:rtl/>
        </w:rPr>
        <w:t>؟</w:t>
      </w:r>
      <w:r w:rsidRPr="005675B2">
        <w:rPr>
          <w:rFonts w:hint="cs"/>
          <w:rtl/>
        </w:rPr>
        <w:t xml:space="preserve"> أَم إِنهما من المجاهيل الذين يروون المناكير</w:t>
      </w:r>
      <w:r w:rsidR="000636C2">
        <w:rPr>
          <w:rFonts w:hint="cs"/>
          <w:rtl/>
        </w:rPr>
        <w:t>؟!</w:t>
      </w:r>
      <w:r w:rsidRPr="005675B2">
        <w:rPr>
          <w:rFonts w:hint="cs"/>
          <w:rtl/>
        </w:rPr>
        <w:t xml:space="preserve"> يبدو أَنهما</w:t>
      </w:r>
      <w:r w:rsidR="000636C2">
        <w:rPr>
          <w:rFonts w:hint="cs"/>
          <w:rtl/>
        </w:rPr>
        <w:t xml:space="preserve"> </w:t>
      </w:r>
      <w:r w:rsidRPr="005675B2">
        <w:rPr>
          <w:rFonts w:hint="cs"/>
          <w:rtl/>
        </w:rPr>
        <w:t>أَو أَحدهما على الأَقل من النوع الأخير</w:t>
      </w:r>
      <w:r w:rsidR="000636C2">
        <w:rPr>
          <w:rFonts w:hint="cs"/>
          <w:rtl/>
        </w:rPr>
        <w:t>،</w:t>
      </w:r>
      <w:r w:rsidRPr="005675B2">
        <w:rPr>
          <w:rFonts w:hint="cs"/>
          <w:rtl/>
        </w:rPr>
        <w:t xml:space="preserve"> والدليل على ذلك هو أن كتب ابن تيمية رحمه الله مملوءة بالرد على التشبيه والمشبهين</w:t>
      </w:r>
      <w:r w:rsidR="000636C2">
        <w:rPr>
          <w:rFonts w:hint="cs"/>
          <w:rtl/>
        </w:rPr>
        <w:t>،</w:t>
      </w:r>
      <w:r w:rsidRPr="005675B2">
        <w:rPr>
          <w:rFonts w:hint="cs"/>
          <w:rtl/>
        </w:rPr>
        <w:t xml:space="preserve"> فلا شك في أن هذا الخبر مختلَق مكذوب</w:t>
      </w:r>
      <w:r w:rsidR="000636C2">
        <w:rPr>
          <w:rFonts w:hint="cs"/>
          <w:rtl/>
        </w:rPr>
        <w:t>،</w:t>
      </w:r>
      <w:r w:rsidRPr="005675B2">
        <w:rPr>
          <w:rFonts w:hint="cs"/>
          <w:rtl/>
        </w:rPr>
        <w:t xml:space="preserve"> لكن كيف غفل الشيخ تقي الدين الحصني عن نقده سنداً ومتناً</w:t>
      </w:r>
      <w:r w:rsidR="000636C2">
        <w:rPr>
          <w:rFonts w:hint="cs"/>
          <w:rtl/>
        </w:rPr>
        <w:t>؟!</w:t>
      </w:r>
      <w:r w:rsidRPr="005675B2">
        <w:rPr>
          <w:rFonts w:hint="cs"/>
          <w:rtl/>
        </w:rPr>
        <w:t xml:space="preserve"> سامحه الله وغفر له </w:t>
      </w:r>
      <w:r w:rsidR="000636C2">
        <w:rPr>
          <w:rFonts w:hint="cs"/>
          <w:rtl/>
        </w:rPr>
        <w:t>[</w:t>
      </w:r>
      <w:r w:rsidRPr="005675B2">
        <w:rPr>
          <w:rFonts w:hint="cs"/>
          <w:sz w:val="24"/>
          <w:szCs w:val="24"/>
          <w:rtl/>
        </w:rPr>
        <w:t>أقول: وكما وقع للحصني الاعتماد في هذه المسألة على رواية منكرة يرويها مجهول ؛ فقد وقع لابن تيمية مثل ذلك</w:t>
      </w:r>
      <w:r w:rsidR="000636C2">
        <w:rPr>
          <w:rFonts w:hint="cs"/>
          <w:sz w:val="24"/>
          <w:szCs w:val="24"/>
          <w:rtl/>
        </w:rPr>
        <w:t>،</w:t>
      </w:r>
      <w:r w:rsidRPr="005675B2">
        <w:rPr>
          <w:rFonts w:hint="cs"/>
          <w:sz w:val="24"/>
          <w:szCs w:val="24"/>
          <w:rtl/>
        </w:rPr>
        <w:t xml:space="preserve"> وكما وقع الحصنيُ بسبب تلك الرواية في تحميل ابن تيمية وزرها ؛ فقد وقع ابنُ تيمية من قبل بسبب أمثال تلك الرواية في تحميل بعض العلماء الأجلاء أوزار تلك الروايات المنكرة</w:t>
      </w:r>
      <w:r w:rsidR="000636C2">
        <w:rPr>
          <w:rFonts w:hint="cs"/>
          <w:sz w:val="24"/>
          <w:szCs w:val="24"/>
          <w:rtl/>
        </w:rPr>
        <w:t>،</w:t>
      </w:r>
      <w:r w:rsidRPr="005675B2">
        <w:rPr>
          <w:rFonts w:hint="cs"/>
          <w:sz w:val="24"/>
          <w:szCs w:val="24"/>
          <w:rtl/>
        </w:rPr>
        <w:t xml:space="preserve"> مع نقل المطاعن المزورة الملفقة دون أي تمحيص للروايات ولا نقد لا للسند ولا للمتن</w:t>
      </w:r>
      <w:r w:rsidR="000636C2">
        <w:rPr>
          <w:rFonts w:hint="cs"/>
          <w:sz w:val="24"/>
          <w:szCs w:val="24"/>
          <w:rtl/>
        </w:rPr>
        <w:t xml:space="preserve">، </w:t>
      </w:r>
      <w:r w:rsidRPr="005675B2">
        <w:rPr>
          <w:rFonts w:hint="cs"/>
          <w:sz w:val="24"/>
          <w:szCs w:val="24"/>
          <w:rtl/>
        </w:rPr>
        <w:t>ومن ذلك طعنه في الإمام أبي الحسن الأشعري وفي الخسروشاهي:</w:t>
      </w:r>
      <w:r w:rsidR="000636C2">
        <w:rPr>
          <w:rFonts w:hint="cs"/>
          <w:sz w:val="24"/>
          <w:szCs w:val="24"/>
          <w:rtl/>
        </w:rPr>
        <w:t xml:space="preserve"> </w:t>
      </w:r>
      <w:r w:rsidRPr="005675B2">
        <w:rPr>
          <w:rFonts w:hint="cs"/>
          <w:sz w:val="24"/>
          <w:szCs w:val="24"/>
          <w:rtl/>
        </w:rPr>
        <w:t>فأما الأول فهو الإمام المتفق على إمامته ودينه وورعه أبو الحسن علي بن إسماعيل الأشعري المتوفى سنة (324هـ) إمام المذهب الأشعري</w:t>
      </w:r>
      <w:r w:rsidR="000636C2">
        <w:rPr>
          <w:rFonts w:hint="cs"/>
          <w:sz w:val="24"/>
          <w:szCs w:val="24"/>
          <w:rtl/>
        </w:rPr>
        <w:t>،</w:t>
      </w:r>
      <w:r w:rsidRPr="005675B2">
        <w:rPr>
          <w:rFonts w:hint="cs"/>
          <w:sz w:val="24"/>
          <w:szCs w:val="24"/>
          <w:rtl/>
        </w:rPr>
        <w:t xml:space="preserve"> وقد نقل ابن تيمية ما قاله فيه أبوإسماعيل عبد الله بن محمد الأنصاري الهروي – وهو صاحب منازل السائرين الملقب عند بعض الناس بشيخ الإسلام – في كتابه ذم الكلام</w:t>
      </w:r>
      <w:r w:rsidR="000636C2">
        <w:rPr>
          <w:rFonts w:hint="cs"/>
          <w:sz w:val="24"/>
          <w:szCs w:val="24"/>
          <w:rtl/>
        </w:rPr>
        <w:t>،</w:t>
      </w:r>
      <w:r w:rsidRPr="005675B2">
        <w:rPr>
          <w:rFonts w:hint="cs"/>
          <w:sz w:val="24"/>
          <w:szCs w:val="24"/>
          <w:rtl/>
        </w:rPr>
        <w:t xml:space="preserve"> وذلك قوله خلال ذكره للأشاعرة: </w:t>
      </w:r>
      <w:r w:rsidR="000636C2">
        <w:rPr>
          <w:rFonts w:hint="cs"/>
          <w:sz w:val="24"/>
          <w:szCs w:val="24"/>
          <w:rtl/>
        </w:rPr>
        <w:t>(</w:t>
      </w:r>
      <w:r w:rsidRPr="005675B2">
        <w:rPr>
          <w:rFonts w:hint="cs"/>
          <w:sz w:val="24"/>
          <w:szCs w:val="24"/>
          <w:rtl/>
        </w:rPr>
        <w:t>وقد شاع في المسلمين أن رأسهم علي بن إسماعيل الأشعري كان لا يستنجي ولا يتوضأ ولا يصلي</w:t>
      </w:r>
      <w:r w:rsidR="000636C2">
        <w:rPr>
          <w:rFonts w:hint="cs"/>
          <w:sz w:val="24"/>
          <w:szCs w:val="24"/>
          <w:rtl/>
        </w:rPr>
        <w:t xml:space="preserve">)، </w:t>
      </w:r>
      <w:r w:rsidRPr="005675B2">
        <w:rPr>
          <w:rFonts w:hint="cs"/>
          <w:sz w:val="24"/>
          <w:szCs w:val="24"/>
          <w:rtl/>
        </w:rPr>
        <w:t xml:space="preserve">ثم نقل رواية الأنصاري هذا بسنده عن زاهر بن أحمد أنه قال: </w:t>
      </w:r>
      <w:r w:rsidR="000636C2">
        <w:rPr>
          <w:rFonts w:hint="cs"/>
          <w:sz w:val="24"/>
          <w:szCs w:val="24"/>
          <w:rtl/>
        </w:rPr>
        <w:t>(</w:t>
      </w:r>
      <w:r w:rsidRPr="005675B2">
        <w:rPr>
          <w:rFonts w:hint="cs"/>
          <w:sz w:val="24"/>
          <w:szCs w:val="24"/>
          <w:rtl/>
        </w:rPr>
        <w:t>أشهد لمات أبو الحسن الأشعري متحيراً لمسألة تكافؤ الأدلة</w:t>
      </w:r>
      <w:r w:rsidR="000636C2">
        <w:rPr>
          <w:rFonts w:hint="cs"/>
          <w:sz w:val="24"/>
          <w:szCs w:val="24"/>
          <w:rtl/>
        </w:rPr>
        <w:t>)، (</w:t>
      </w:r>
      <w:r w:rsidRPr="005675B2">
        <w:rPr>
          <w:rFonts w:hint="cs"/>
          <w:sz w:val="24"/>
          <w:szCs w:val="24"/>
          <w:rtl/>
        </w:rPr>
        <w:t>التسعينية لابن تيمية: ص 276</w:t>
      </w:r>
      <w:r w:rsidR="000636C2">
        <w:rPr>
          <w:rFonts w:hint="cs"/>
          <w:sz w:val="24"/>
          <w:szCs w:val="24"/>
          <w:rtl/>
        </w:rPr>
        <w:t>،</w:t>
      </w:r>
      <w:r w:rsidRPr="005675B2">
        <w:rPr>
          <w:rFonts w:hint="cs"/>
          <w:sz w:val="24"/>
          <w:szCs w:val="24"/>
          <w:rtl/>
        </w:rPr>
        <w:t xml:space="preserve"> وقد ابتدأ نقله عن الأنصاري في السطر الأخير من ص 274 . وكان قد قال في ص 201: وقد قيل إن الأشعري</w:t>
      </w:r>
      <w:r w:rsidR="000636C2">
        <w:rPr>
          <w:rFonts w:hint="cs"/>
          <w:sz w:val="24"/>
          <w:szCs w:val="24"/>
          <w:rtl/>
        </w:rPr>
        <w:t>]</w:t>
      </w:r>
      <w:r w:rsidR="000636C2">
        <w:rPr>
          <w:rFonts w:hint="cs"/>
          <w:rtl/>
        </w:rPr>
        <w:t>،</w:t>
      </w:r>
      <w:r w:rsidRPr="005675B2">
        <w:rPr>
          <w:rFonts w:hint="cs"/>
          <w:rtl/>
        </w:rPr>
        <w:t xml:space="preserve"> ولابن تيمية</w:t>
      </w:r>
      <w:r w:rsidR="000636C2">
        <w:rPr>
          <w:rFonts w:hint="cs"/>
          <w:rtl/>
        </w:rPr>
        <w:t xml:space="preserve"> </w:t>
      </w:r>
      <w:r w:rsidRPr="005675B2">
        <w:rPr>
          <w:rFonts w:hint="cs"/>
          <w:rtl/>
        </w:rPr>
        <w:t>- سامحه الله وغفر له</w:t>
      </w:r>
      <w:r w:rsidR="000636C2">
        <w:rPr>
          <w:rFonts w:hint="cs"/>
          <w:rtl/>
        </w:rPr>
        <w:t xml:space="preserve"> </w:t>
      </w:r>
      <w:r w:rsidRPr="005675B2">
        <w:rPr>
          <w:rFonts w:hint="cs"/>
          <w:rtl/>
        </w:rPr>
        <w:t>- كلمات توهم التشبيه إيهاماً</w:t>
      </w:r>
      <w:r w:rsidR="000636C2">
        <w:rPr>
          <w:rFonts w:hint="cs"/>
          <w:rtl/>
        </w:rPr>
        <w:t>،</w:t>
      </w:r>
      <w:r w:rsidRPr="005675B2">
        <w:rPr>
          <w:rFonts w:hint="cs"/>
          <w:rtl/>
        </w:rPr>
        <w:t xml:space="preserve"> وليس هو ممن يقول </w:t>
      </w:r>
      <w:r w:rsidR="000636C2">
        <w:rPr>
          <w:rFonts w:hint="cs"/>
          <w:rtl/>
        </w:rPr>
        <w:t>[</w:t>
      </w:r>
      <w:r w:rsidRPr="005675B2">
        <w:rPr>
          <w:rFonts w:hint="cs"/>
          <w:rtl/>
        </w:rPr>
        <w:t>كاستوائي هذا</w:t>
      </w:r>
      <w:r w:rsidR="000636C2">
        <w:rPr>
          <w:rFonts w:hint="cs"/>
          <w:rtl/>
        </w:rPr>
        <w:t>]،</w:t>
      </w:r>
      <w:r w:rsidRPr="005675B2">
        <w:rPr>
          <w:rFonts w:hint="cs"/>
          <w:rtl/>
        </w:rPr>
        <w:t xml:space="preserve"> بل يقول ليس استواؤه كاستواء المخلوقين</w:t>
      </w:r>
      <w:r w:rsidR="000636C2">
        <w:rPr>
          <w:rFonts w:hint="cs"/>
          <w:rtl/>
        </w:rPr>
        <w:t>،</w:t>
      </w:r>
      <w:r w:rsidRPr="005675B2">
        <w:rPr>
          <w:rFonts w:hint="cs"/>
          <w:rtl/>
        </w:rPr>
        <w:t xml:space="preserve"> أَمَّا مسأَلة إِقعاد الله تعالى لنبيِّنا محمدٍ صلَّى الُله عليه وسلَّم معَه على العرش؛ فابن تيمية</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 يقول بها</w:t>
      </w:r>
      <w:r w:rsidR="000636C2">
        <w:rPr>
          <w:rFonts w:hint="cs"/>
          <w:rtl/>
        </w:rPr>
        <w:t>،</w:t>
      </w:r>
      <w:r w:rsidRPr="005675B2">
        <w:rPr>
          <w:rFonts w:hint="cs"/>
          <w:rtl/>
        </w:rPr>
        <w:t xml:space="preserve"> لأَنَّه يذكر الأَثر الوارد في هذا عن مجاهدٍ رحمه الله</w:t>
      </w:r>
      <w:r w:rsidR="000636C2">
        <w:rPr>
          <w:rFonts w:hint="cs"/>
          <w:rtl/>
        </w:rPr>
        <w:t>،</w:t>
      </w:r>
      <w:r w:rsidRPr="005675B2">
        <w:rPr>
          <w:rFonts w:hint="cs"/>
          <w:rtl/>
        </w:rPr>
        <w:t xml:space="preserve"> ولا يتعقبه سنداً ولا متناً</w:t>
      </w:r>
      <w:r w:rsidR="000636C2">
        <w:rPr>
          <w:rFonts w:hint="cs"/>
          <w:rtl/>
        </w:rPr>
        <w:t>،</w:t>
      </w:r>
      <w:r w:rsidRPr="005675B2">
        <w:rPr>
          <w:rFonts w:hint="cs"/>
          <w:rtl/>
        </w:rPr>
        <w:t xml:space="preserve"> ولكنَّه لا يقول إِن الله تعالى قاعدٌ على العرش كقعود المخلوقين</w:t>
      </w:r>
      <w:r w:rsidR="000636C2">
        <w:rPr>
          <w:rFonts w:hint="cs"/>
          <w:rtl/>
        </w:rPr>
        <w:t>،</w:t>
      </w:r>
      <w:r w:rsidRPr="005675B2">
        <w:rPr>
          <w:rFonts w:hint="cs"/>
          <w:rtl/>
        </w:rPr>
        <w:t xml:space="preserve"> ومن المواطن التي ذكره فيها ما نقله من كتاب السُّنة لأَبي بكر ابن أَبي عاصم إِذ قال</w:t>
      </w:r>
      <w:r w:rsidR="000636C2">
        <w:rPr>
          <w:rFonts w:hint="cs"/>
          <w:rtl/>
        </w:rPr>
        <w:t>:</w:t>
      </w:r>
      <w:r w:rsidRPr="005675B2">
        <w:rPr>
          <w:rFonts w:hint="cs"/>
          <w:rtl/>
        </w:rPr>
        <w:t xml:space="preserve"> وقال أَبو بكر</w:t>
      </w:r>
      <w:r w:rsidR="000636C2">
        <w:rPr>
          <w:rFonts w:hint="cs"/>
          <w:rtl/>
        </w:rPr>
        <w:t>:</w:t>
      </w:r>
      <w:r w:rsidRPr="005675B2">
        <w:rPr>
          <w:rFonts w:hint="cs"/>
          <w:rtl/>
        </w:rPr>
        <w:t xml:space="preserve"> حدثنا ابن فضيل عن ليث عن مجاهد </w:t>
      </w:r>
      <w:r w:rsidR="000636C2">
        <w:rPr>
          <w:rFonts w:hint="cs"/>
          <w:rtl/>
        </w:rPr>
        <w:t>[</w:t>
      </w:r>
      <w:r w:rsidRPr="005675B2">
        <w:rPr>
          <w:rFonts w:hint="cs"/>
          <w:rtl/>
        </w:rPr>
        <w:t>عَسَى أَنْ يَبْعَثَكَ رَبُّكَ مَقَاماً مَحْمُوداً</w:t>
      </w:r>
      <w:r w:rsidR="000636C2">
        <w:rPr>
          <w:rFonts w:hint="cs"/>
          <w:rtl/>
        </w:rPr>
        <w:t>]</w:t>
      </w:r>
      <w:r w:rsidRPr="005675B2">
        <w:rPr>
          <w:rFonts w:hint="cs"/>
          <w:rtl/>
        </w:rPr>
        <w:t xml:space="preserve"> [</w:t>
      </w:r>
      <w:r w:rsidR="000636C2">
        <w:rPr>
          <w:rFonts w:hint="cs"/>
          <w:sz w:val="24"/>
          <w:szCs w:val="24"/>
          <w:rtl/>
        </w:rPr>
        <w:t>(</w:t>
      </w:r>
      <w:r w:rsidRPr="005675B2">
        <w:rPr>
          <w:rFonts w:hint="cs"/>
          <w:sz w:val="24"/>
          <w:szCs w:val="24"/>
          <w:rtl/>
        </w:rPr>
        <w:t>الاسراء: من الآية79</w:t>
      </w:r>
      <w:r w:rsidR="000636C2">
        <w:rPr>
          <w:rFonts w:hint="cs"/>
          <w:sz w:val="24"/>
          <w:szCs w:val="24"/>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يُقعده معه على العرش</w:t>
      </w:r>
      <w:r w:rsidR="000636C2">
        <w:rPr>
          <w:rFonts w:hint="cs"/>
          <w:rtl/>
        </w:rPr>
        <w:t>]</w:t>
      </w:r>
      <w:r w:rsidRPr="005675B2">
        <w:rPr>
          <w:rFonts w:hint="cs"/>
          <w:rtl/>
        </w:rPr>
        <w:t xml:space="preserve"> [</w:t>
      </w:r>
      <w:r w:rsidRPr="005675B2">
        <w:rPr>
          <w:rFonts w:hint="cs"/>
          <w:sz w:val="24"/>
          <w:szCs w:val="24"/>
          <w:rtl/>
        </w:rPr>
        <w:t>التسعينية لابن تيمية: ص 73</w:t>
      </w:r>
      <w:r w:rsidR="000636C2">
        <w:rPr>
          <w:rFonts w:hint="cs"/>
          <w:sz w:val="24"/>
          <w:szCs w:val="24"/>
          <w:rtl/>
        </w:rPr>
        <w:t>]</w:t>
      </w:r>
      <w:r w:rsidR="000636C2">
        <w:rPr>
          <w:rFonts w:hint="cs"/>
          <w:rtl/>
        </w:rPr>
        <w:t>،</w:t>
      </w:r>
      <w:r w:rsidRPr="005675B2">
        <w:rPr>
          <w:rFonts w:hint="cs"/>
          <w:rtl/>
        </w:rPr>
        <w:t xml:space="preserve"> ولم يذكر أنَّ ليثاً هذا هو ابن أَبي سُليم</w:t>
      </w:r>
      <w:r w:rsidR="000636C2">
        <w:rPr>
          <w:rFonts w:hint="cs"/>
          <w:rtl/>
        </w:rPr>
        <w:t>،</w:t>
      </w:r>
      <w:r w:rsidRPr="005675B2">
        <w:rPr>
          <w:rFonts w:hint="cs"/>
          <w:rtl/>
        </w:rPr>
        <w:t xml:space="preserve"> وأنَّه كان قد اختلط</w:t>
      </w:r>
      <w:r w:rsidR="000636C2">
        <w:rPr>
          <w:rFonts w:hint="cs"/>
          <w:rtl/>
        </w:rPr>
        <w:t>،</w:t>
      </w:r>
      <w:r w:rsidRPr="005675B2">
        <w:rPr>
          <w:rFonts w:hint="cs"/>
          <w:rtl/>
        </w:rPr>
        <w:t xml:space="preserve"> وأَمَّا القول بأَنَّ كتبَ ابن تيمية مشحونةٌ بالتشبيه والتجسيم فليس فيها تصريح بذلك [</w:t>
      </w:r>
      <w:r w:rsidRPr="005675B2">
        <w:rPr>
          <w:rFonts w:hint="cs"/>
          <w:sz w:val="24"/>
          <w:szCs w:val="24"/>
          <w:rtl/>
        </w:rPr>
        <w:t>ابن تيمية لا يصرح بالتجسيم</w:t>
      </w:r>
      <w:r w:rsidR="000636C2">
        <w:rPr>
          <w:rFonts w:hint="cs"/>
          <w:sz w:val="24"/>
          <w:szCs w:val="24"/>
          <w:rtl/>
        </w:rPr>
        <w:t>،</w:t>
      </w:r>
      <w:r w:rsidRPr="005675B2">
        <w:rPr>
          <w:rFonts w:hint="cs"/>
          <w:sz w:val="24"/>
          <w:szCs w:val="24"/>
          <w:rtl/>
        </w:rPr>
        <w:t xml:space="preserve"> ولكن يميل إليه</w:t>
      </w:r>
      <w:r w:rsidR="000636C2">
        <w:rPr>
          <w:rFonts w:hint="cs"/>
          <w:sz w:val="24"/>
          <w:szCs w:val="24"/>
          <w:rtl/>
        </w:rPr>
        <w:t>،</w:t>
      </w:r>
      <w:r w:rsidRPr="005675B2">
        <w:rPr>
          <w:rFonts w:hint="cs"/>
          <w:sz w:val="24"/>
          <w:szCs w:val="24"/>
          <w:rtl/>
        </w:rPr>
        <w:t xml:space="preserve"> ومن أقواله في ذلك أنه تحدث عن لفظ الجسم فقال: </w:t>
      </w:r>
      <w:r w:rsidR="000636C2">
        <w:rPr>
          <w:rFonts w:hint="cs"/>
          <w:sz w:val="24"/>
          <w:szCs w:val="24"/>
          <w:rtl/>
        </w:rPr>
        <w:t>(</w:t>
      </w:r>
      <w:r w:rsidRPr="005675B2">
        <w:rPr>
          <w:rFonts w:hint="cs"/>
          <w:sz w:val="24"/>
          <w:szCs w:val="24"/>
          <w:rtl/>
        </w:rPr>
        <w:t>وأما الحنبلية فلا يعرف فيهم من يطلق هذا اللفظ</w:t>
      </w:r>
      <w:r w:rsidR="000636C2">
        <w:rPr>
          <w:rFonts w:hint="cs"/>
          <w:sz w:val="24"/>
          <w:szCs w:val="24"/>
          <w:rtl/>
        </w:rPr>
        <w:t>،</w:t>
      </w:r>
      <w:r w:rsidRPr="005675B2">
        <w:rPr>
          <w:rFonts w:hint="cs"/>
          <w:sz w:val="24"/>
          <w:szCs w:val="24"/>
          <w:rtl/>
        </w:rPr>
        <w:t xml:space="preserve"> لكن فيهم من ينفيه</w:t>
      </w:r>
      <w:r w:rsidR="000636C2">
        <w:rPr>
          <w:rFonts w:hint="cs"/>
          <w:sz w:val="24"/>
          <w:szCs w:val="24"/>
          <w:rtl/>
        </w:rPr>
        <w:t>،</w:t>
      </w:r>
      <w:r w:rsidRPr="005675B2">
        <w:rPr>
          <w:rFonts w:hint="cs"/>
          <w:sz w:val="24"/>
          <w:szCs w:val="24"/>
          <w:rtl/>
        </w:rPr>
        <w:t xml:space="preserve"> وفيهم من لا ينفيه ولا يثبته</w:t>
      </w:r>
      <w:r w:rsidR="000636C2">
        <w:rPr>
          <w:rFonts w:hint="cs"/>
          <w:sz w:val="24"/>
          <w:szCs w:val="24"/>
          <w:rtl/>
        </w:rPr>
        <w:t>،</w:t>
      </w:r>
      <w:r w:rsidRPr="005675B2">
        <w:rPr>
          <w:rFonts w:hint="cs"/>
          <w:sz w:val="24"/>
          <w:szCs w:val="24"/>
          <w:rtl/>
        </w:rPr>
        <w:t xml:space="preserve"> وهو الذي كان عليه الإمام أحمد وسائر أئمة السنة</w:t>
      </w:r>
      <w:r w:rsidR="000636C2">
        <w:rPr>
          <w:rFonts w:hint="cs"/>
          <w:sz w:val="24"/>
          <w:szCs w:val="24"/>
          <w:rtl/>
        </w:rPr>
        <w:t>)، (</w:t>
      </w:r>
      <w:r w:rsidRPr="005675B2">
        <w:rPr>
          <w:rFonts w:hint="cs"/>
          <w:sz w:val="24"/>
          <w:szCs w:val="24"/>
          <w:rtl/>
        </w:rPr>
        <w:t>بيان تلبيس الجهمية في تأسيس بدعهم الكلامية لابن تيمية: 2 / 93</w:t>
      </w:r>
      <w:r w:rsidR="000636C2">
        <w:rPr>
          <w:rFonts w:hint="cs"/>
          <w:sz w:val="24"/>
          <w:szCs w:val="24"/>
          <w:rtl/>
        </w:rPr>
        <w:t xml:space="preserve">)، </w:t>
      </w:r>
      <w:r w:rsidRPr="005675B2">
        <w:rPr>
          <w:rFonts w:hint="cs"/>
          <w:sz w:val="24"/>
          <w:szCs w:val="24"/>
          <w:rtl/>
        </w:rPr>
        <w:t>أما أبو الفضل عبد الواحد بن عبد العزيز التميمي الحنبلي المتوفى سنة (410هـ) فينقل عن الإمام أحمد خلاف ذلك</w:t>
      </w:r>
      <w:r w:rsidR="000636C2">
        <w:rPr>
          <w:rFonts w:hint="cs"/>
          <w:sz w:val="24"/>
          <w:szCs w:val="24"/>
          <w:rtl/>
        </w:rPr>
        <w:t>،</w:t>
      </w:r>
      <w:r w:rsidRPr="005675B2">
        <w:rPr>
          <w:rFonts w:hint="cs"/>
          <w:sz w:val="24"/>
          <w:szCs w:val="24"/>
          <w:rtl/>
        </w:rPr>
        <w:t xml:space="preserve"> إذ يقول عنه: </w:t>
      </w:r>
      <w:r w:rsidR="000636C2">
        <w:rPr>
          <w:rFonts w:hint="cs"/>
          <w:sz w:val="24"/>
          <w:szCs w:val="24"/>
          <w:rtl/>
        </w:rPr>
        <w:t>(</w:t>
      </w:r>
      <w:r w:rsidRPr="005675B2">
        <w:rPr>
          <w:rFonts w:hint="cs"/>
          <w:sz w:val="24"/>
          <w:szCs w:val="24"/>
          <w:rtl/>
        </w:rPr>
        <w:t>وأنكر على من يقول بالجسم وقال: إن الأسماء مأخوذة بالشريعة واللغة . وأهل اللغة وضعوا هذا الاسم على كل ذي طول وعرض وسمك وتركيب وصورة وتأليف</w:t>
      </w:r>
      <w:r w:rsidR="000636C2">
        <w:rPr>
          <w:rFonts w:hint="cs"/>
          <w:sz w:val="24"/>
          <w:szCs w:val="24"/>
          <w:rtl/>
        </w:rPr>
        <w:t>،</w:t>
      </w:r>
      <w:r w:rsidRPr="005675B2">
        <w:rPr>
          <w:rFonts w:hint="cs"/>
          <w:sz w:val="24"/>
          <w:szCs w:val="24"/>
          <w:rtl/>
        </w:rPr>
        <w:t xml:space="preserve"> والله تعالى خارج عن ذلك كله</w:t>
      </w:r>
      <w:r w:rsidR="000636C2">
        <w:rPr>
          <w:rFonts w:hint="cs"/>
          <w:sz w:val="24"/>
          <w:szCs w:val="24"/>
          <w:rtl/>
        </w:rPr>
        <w:t>)، (</w:t>
      </w:r>
      <w:r w:rsidRPr="005675B2">
        <w:rPr>
          <w:rFonts w:hint="cs"/>
          <w:sz w:val="24"/>
          <w:szCs w:val="24"/>
          <w:rtl/>
        </w:rPr>
        <w:t>الملحق الذي بآخر طبقات الحنابلة لابن أبي يعلى: 2 / 298</w:t>
      </w:r>
      <w:r w:rsidR="000636C2">
        <w:rPr>
          <w:rFonts w:hint="cs"/>
          <w:sz w:val="24"/>
          <w:szCs w:val="24"/>
          <w:rtl/>
        </w:rPr>
        <w:t xml:space="preserve">)، </w:t>
      </w:r>
      <w:r w:rsidRPr="005675B2">
        <w:rPr>
          <w:rFonts w:hint="cs"/>
          <w:sz w:val="24"/>
          <w:szCs w:val="24"/>
          <w:rtl/>
        </w:rPr>
        <w:t xml:space="preserve">وممن نفى لفظ الجسم عن الله تبارك وتعالى شيخ الحنابلة القاضي أبو يعلى فإنه قال: </w:t>
      </w:r>
      <w:r w:rsidR="000636C2">
        <w:rPr>
          <w:rFonts w:hint="cs"/>
          <w:sz w:val="24"/>
          <w:szCs w:val="24"/>
          <w:rtl/>
        </w:rPr>
        <w:t>(</w:t>
      </w:r>
      <w:r w:rsidRPr="005675B2">
        <w:rPr>
          <w:rFonts w:hint="cs"/>
          <w:sz w:val="24"/>
          <w:szCs w:val="24"/>
          <w:rtl/>
        </w:rPr>
        <w:t>لا يجوز أن يسمى الله جسماً</w:t>
      </w:r>
      <w:r w:rsidR="000636C2">
        <w:rPr>
          <w:rFonts w:hint="cs"/>
          <w:sz w:val="24"/>
          <w:szCs w:val="24"/>
          <w:rtl/>
        </w:rPr>
        <w:t>،</w:t>
      </w:r>
      <w:r w:rsidRPr="005675B2">
        <w:rPr>
          <w:rFonts w:hint="cs"/>
          <w:sz w:val="24"/>
          <w:szCs w:val="24"/>
          <w:rtl/>
        </w:rPr>
        <w:t xml:space="preserve"> فمن اعتقد أن الله سبحانه جسم من الأجسام وأعطاه حقيقة الجسم من التأليف والانتقال فهو كافر</w:t>
      </w:r>
      <w:r w:rsidR="000636C2">
        <w:rPr>
          <w:rFonts w:hint="cs"/>
          <w:sz w:val="24"/>
          <w:szCs w:val="24"/>
          <w:rtl/>
        </w:rPr>
        <w:t>)، (</w:t>
      </w:r>
      <w:r w:rsidRPr="005675B2">
        <w:rPr>
          <w:rFonts w:hint="cs"/>
          <w:sz w:val="24"/>
          <w:szCs w:val="24"/>
          <w:rtl/>
        </w:rPr>
        <w:t>طبقات الحنابلة لابن أبي يعلى: 2 / 212</w:t>
      </w:r>
      <w:r w:rsidR="000636C2">
        <w:rPr>
          <w:rFonts w:hint="cs"/>
          <w:sz w:val="24"/>
          <w:szCs w:val="24"/>
          <w:rtl/>
        </w:rPr>
        <w:t>)،</w:t>
      </w:r>
      <w:r w:rsidRPr="005675B2">
        <w:rPr>
          <w:rFonts w:hint="cs"/>
          <w:rtl/>
        </w:rPr>
        <w:t>]</w:t>
      </w:r>
      <w:r w:rsidR="000636C2">
        <w:rPr>
          <w:rFonts w:hint="cs"/>
          <w:rtl/>
        </w:rPr>
        <w:t>،</w:t>
      </w:r>
      <w:r w:rsidRPr="005675B2">
        <w:rPr>
          <w:rFonts w:hint="cs"/>
          <w:rtl/>
        </w:rPr>
        <w:t xml:space="preserve"> وأما الإشارة إلى الازدراء بالنبي صلى الله عليه وسلم والشيخين وتكفير ابن عباس وتضليل ابن عمر وتبديعه وتكفير الأئمة الأربعة فهذا في واد وابن تيمية رحمه الله في واد آخر</w:t>
      </w:r>
      <w:r w:rsidR="000636C2">
        <w:rPr>
          <w:rFonts w:hint="cs"/>
          <w:rtl/>
        </w:rPr>
        <w:t>،</w:t>
      </w:r>
      <w:r w:rsidRPr="005675B2">
        <w:rPr>
          <w:rFonts w:hint="cs"/>
          <w:rtl/>
        </w:rPr>
        <w:t xml:space="preserve"> وكتبه مشحونة بتعظيم النبي صلى الله عليه وسلم ووجوب محبته وتوقير الصحابة والثناء على الأئمة الأربعة</w:t>
      </w:r>
      <w:r w:rsidR="000636C2">
        <w:rPr>
          <w:rFonts w:hint="cs"/>
          <w:rtl/>
        </w:rPr>
        <w:t>،</w:t>
      </w:r>
      <w:r w:rsidRPr="005675B2">
        <w:rPr>
          <w:rFonts w:hint="cs"/>
          <w:rtl/>
        </w:rPr>
        <w:t xml:space="preserve"> ولا أدري أَين وجد الحصني</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 هذه الطَّامات</w:t>
      </w:r>
      <w:r w:rsidR="000636C2">
        <w:rPr>
          <w:rFonts w:hint="cs"/>
          <w:rtl/>
        </w:rPr>
        <w:t>؟</w:t>
      </w:r>
      <w:r w:rsidRPr="005675B2">
        <w:rPr>
          <w:rFonts w:hint="cs"/>
          <w:rtl/>
        </w:rPr>
        <w:t xml:space="preserve"> وكيف نسبها لكتاب "اقتضاء الصراط المستقيم مخالفة أَصحاب الجحيم"</w:t>
      </w:r>
      <w:r w:rsidR="000636C2">
        <w:rPr>
          <w:rFonts w:hint="cs"/>
          <w:rtl/>
        </w:rPr>
        <w:t>؟؟</w:t>
      </w:r>
      <w:r w:rsidRPr="005675B2">
        <w:rPr>
          <w:rFonts w:hint="cs"/>
          <w:rtl/>
        </w:rPr>
        <w:t xml:space="preserve"> ولا أَستبعد أَن يقوم أَحد الوضاعين بكتابة مثل هذه الافتراءات وينسبها لابن تيمية رحمه الله ويأتي بها إلى الحصني وغيره ليوغر صدورهم على ابن تيمية</w:t>
      </w:r>
      <w:r w:rsidR="000636C2">
        <w:rPr>
          <w:rFonts w:hint="cs"/>
          <w:rtl/>
        </w:rPr>
        <w:t>،</w:t>
      </w:r>
      <w:r w:rsidRPr="005675B2">
        <w:rPr>
          <w:rFonts w:hint="cs"/>
          <w:rtl/>
        </w:rPr>
        <w:t xml:space="preserve"> ولا يغيبن عن بالك الافتراءاتِ الشنيعة الكثيرة التي نسبها ابنُ حزم إلى الباقلانيِّ رحمهما الله تعالى</w:t>
      </w:r>
      <w:r w:rsidR="000636C2">
        <w:rPr>
          <w:rFonts w:hint="cs"/>
          <w:rtl/>
        </w:rPr>
        <w:t>،</w:t>
      </w:r>
      <w:r w:rsidRPr="005675B2">
        <w:rPr>
          <w:rFonts w:hint="cs"/>
          <w:rtl/>
        </w:rPr>
        <w:t xml:space="preserve"> مما تجد كتب الباقلاني مشحونة بنقيضها</w:t>
      </w:r>
      <w:r w:rsidR="000636C2">
        <w:rPr>
          <w:rFonts w:hint="cs"/>
          <w:rtl/>
        </w:rPr>
        <w:t>،</w:t>
      </w:r>
      <w:r w:rsidRPr="005675B2">
        <w:rPr>
          <w:rFonts w:hint="cs"/>
          <w:rtl/>
        </w:rPr>
        <w:t xml:space="preserve"> وهذا يجعلك لا تتردد في أَنها من فعل أَحد الوضَّاعين الأَفاكين</w:t>
      </w:r>
      <w:r w:rsidR="000636C2">
        <w:rPr>
          <w:rFonts w:hint="cs"/>
          <w:rtl/>
        </w:rPr>
        <w:t>،</w:t>
      </w:r>
      <w:r w:rsidRPr="005675B2">
        <w:rPr>
          <w:rFonts w:hint="cs"/>
          <w:rtl/>
        </w:rPr>
        <w:t xml:space="preserve"> وأَما أَنَّ ابن تيمية رحمه الله لا يوقع طلاقاً على حالف به سواء كان بالتصريح أو الكناية أَو التعليق أَو التنجيز وأَنه يشيع مسألة وقوع التطليقات الثلاث واحدة تستراً وخديعة</w:t>
      </w:r>
      <w:r w:rsidR="000636C2">
        <w:rPr>
          <w:rFonts w:hint="cs"/>
          <w:rtl/>
        </w:rPr>
        <w:t>:</w:t>
      </w:r>
      <w:r w:rsidRPr="005675B2">
        <w:rPr>
          <w:rFonts w:hint="cs"/>
          <w:rtl/>
        </w:rPr>
        <w:t xml:space="preserve"> فهذا من أَعجب العجب</w:t>
      </w:r>
      <w:r w:rsidR="000636C2">
        <w:rPr>
          <w:rFonts w:hint="cs"/>
          <w:rtl/>
        </w:rPr>
        <w:t>،</w:t>
      </w:r>
      <w:r w:rsidRPr="005675B2">
        <w:rPr>
          <w:rFonts w:hint="cs"/>
          <w:rtl/>
        </w:rPr>
        <w:t xml:space="preserve"> فابن تيمية يوقع الطلاق الصادر بالتصريح والكناية والتنجيز كما يوقعه سائرُ العلماء</w:t>
      </w:r>
      <w:r w:rsidR="000636C2">
        <w:rPr>
          <w:rFonts w:hint="cs"/>
          <w:rtl/>
        </w:rPr>
        <w:t>،</w:t>
      </w:r>
      <w:r w:rsidRPr="005675B2">
        <w:rPr>
          <w:rFonts w:hint="cs"/>
          <w:rtl/>
        </w:rPr>
        <w:t xml:space="preserve"> وخالفهم في مسألة الطلاق المعلَّق</w:t>
      </w:r>
      <w:r w:rsidR="000636C2">
        <w:rPr>
          <w:rFonts w:hint="cs"/>
          <w:rtl/>
        </w:rPr>
        <w:t>،</w:t>
      </w:r>
      <w:r w:rsidRPr="005675B2">
        <w:rPr>
          <w:rFonts w:hint="cs"/>
          <w:rtl/>
        </w:rPr>
        <w:t xml:space="preserve"> إِذ لا يقول بوقوعه حالةَ وجود المعلَّق عليه مطلقاً</w:t>
      </w:r>
      <w:r w:rsidR="000636C2">
        <w:rPr>
          <w:rFonts w:hint="cs"/>
          <w:rtl/>
        </w:rPr>
        <w:t>،</w:t>
      </w:r>
      <w:r w:rsidRPr="005675B2">
        <w:rPr>
          <w:rFonts w:hint="cs"/>
          <w:rtl/>
        </w:rPr>
        <w:t xml:space="preserve"> بل يستثني ما إِذا كان قصد الحالف به الحثَّ على فعل شيء أَو المنع من فعله</w:t>
      </w:r>
      <w:r w:rsidR="000636C2">
        <w:rPr>
          <w:rFonts w:hint="cs"/>
          <w:rtl/>
        </w:rPr>
        <w:t>،</w:t>
      </w:r>
      <w:r w:rsidRPr="005675B2">
        <w:rPr>
          <w:rFonts w:hint="cs"/>
          <w:rtl/>
        </w:rPr>
        <w:t xml:space="preserve"> كما أَنه لا يقول بوقوع ثلاث تطليقات لمن جمعهن في لفظ واحد</w:t>
      </w:r>
      <w:r w:rsidR="000636C2">
        <w:rPr>
          <w:rFonts w:hint="cs"/>
          <w:rtl/>
        </w:rPr>
        <w:t>،</w:t>
      </w:r>
      <w:r w:rsidRPr="005675B2">
        <w:rPr>
          <w:rFonts w:hint="cs"/>
          <w:rtl/>
        </w:rPr>
        <w:t xml:space="preserve"> ويرى أَن الواقع بذلك تطليقةٌ واحدة فقط</w:t>
      </w:r>
      <w:r w:rsidR="000636C2">
        <w:rPr>
          <w:rFonts w:hint="cs"/>
          <w:rtl/>
        </w:rPr>
        <w:t>،</w:t>
      </w:r>
      <w:r w:rsidRPr="005675B2">
        <w:rPr>
          <w:rFonts w:hint="cs"/>
          <w:rtl/>
        </w:rPr>
        <w:t xml:space="preserve"> فمسألة الرد على ابن تيمية رحمه الله فيما انفرد به من مسائل الطلاق شيء واتهامه بأنه لا يوقع طلاقاً على حالف به شيءٌ آخر</w:t>
      </w:r>
      <w:r w:rsidR="000636C2">
        <w:rPr>
          <w:rFonts w:hint="cs"/>
          <w:rtl/>
        </w:rPr>
        <w:t>!،</w:t>
      </w:r>
      <w:r w:rsidRPr="005675B2">
        <w:rPr>
          <w:rFonts w:hint="cs"/>
          <w:rtl/>
        </w:rPr>
        <w:t xml:space="preserve"> وأَمَّا قول ابن تيمية رحمه الله بتحريم شدِّ الرَّواحل لزيارة قبور الأنبيـاء</w:t>
      </w:r>
      <w:r w:rsidR="000636C2">
        <w:rPr>
          <w:rFonts w:hint="cs"/>
          <w:rtl/>
        </w:rPr>
        <w:t xml:space="preserve"> </w:t>
      </w:r>
      <w:r w:rsidRPr="005675B2">
        <w:rPr>
          <w:rFonts w:hint="cs"/>
          <w:rtl/>
        </w:rPr>
        <w:t>- فضلاً عن غيرهم</w:t>
      </w:r>
      <w:r w:rsidR="000636C2">
        <w:rPr>
          <w:rFonts w:hint="cs"/>
          <w:rtl/>
        </w:rPr>
        <w:t xml:space="preserve"> </w:t>
      </w:r>
      <w:r w:rsidRPr="005675B2">
        <w:rPr>
          <w:rFonts w:hint="cs"/>
          <w:rtl/>
        </w:rPr>
        <w:t>- فهو يقول بهذا</w:t>
      </w:r>
      <w:r w:rsidR="000636C2">
        <w:rPr>
          <w:rFonts w:hint="cs"/>
          <w:rtl/>
        </w:rPr>
        <w:t>،</w:t>
      </w:r>
      <w:r w:rsidRPr="005675B2">
        <w:rPr>
          <w:rFonts w:hint="cs"/>
          <w:rtl/>
        </w:rPr>
        <w:t xml:space="preserve"> لكنَّ القول بأَنه أَول من أَحدث هذه المسألة غيرُ مسلَّمٍ</w:t>
      </w:r>
      <w:r w:rsidR="000636C2">
        <w:rPr>
          <w:rFonts w:hint="cs"/>
          <w:rtl/>
        </w:rPr>
        <w:t>،</w:t>
      </w:r>
      <w:r w:rsidRPr="005675B2">
        <w:rPr>
          <w:rFonts w:hint="cs"/>
          <w:rtl/>
        </w:rPr>
        <w:t xml:space="preserve"> فقد نقل ابن حجر في فتح الباري نحواً من ذلك عن أَبي محمد الجويني والقاضي عياض وغيرهما</w:t>
      </w:r>
      <w:r w:rsidR="000636C2">
        <w:rPr>
          <w:rFonts w:hint="cs"/>
          <w:rtl/>
        </w:rPr>
        <w:t>،</w:t>
      </w:r>
      <w:r w:rsidRPr="005675B2">
        <w:rPr>
          <w:rFonts w:hint="cs"/>
          <w:rtl/>
        </w:rPr>
        <w:t xml:space="preserve"> وأَما القولُ بأنَّ هذه المسألةَ لا تصدر إِلا ممن في قلبه ضغينة لسيد الأولين والآخرين صلَّى الُله عليه وسلَّم فهذا كذلك غير مسلَّم</w:t>
      </w:r>
      <w:r w:rsidR="000636C2">
        <w:rPr>
          <w:rFonts w:hint="cs"/>
          <w:rtl/>
        </w:rPr>
        <w:t>،</w:t>
      </w:r>
      <w:r w:rsidRPr="005675B2">
        <w:rPr>
          <w:rFonts w:hint="cs"/>
          <w:rtl/>
        </w:rPr>
        <w:t xml:space="preserve"> وأين هذا من ذاك</w:t>
      </w:r>
      <w:r w:rsidR="000636C2">
        <w:rPr>
          <w:rFonts w:hint="cs"/>
          <w:rtl/>
        </w:rPr>
        <w:t>؟!</w:t>
      </w:r>
      <w:r w:rsidRPr="005675B2">
        <w:rPr>
          <w:rFonts w:hint="cs"/>
          <w:rtl/>
        </w:rPr>
        <w:t xml:space="preserve"> فقد يحمل بعضُ أَهل العلم حديث النبي صلى الله عليه وسلَّم </w:t>
      </w:r>
      <w:r w:rsidR="000636C2">
        <w:rPr>
          <w:rFonts w:hint="cs"/>
          <w:rtl/>
        </w:rPr>
        <w:t>[</w:t>
      </w:r>
      <w:r w:rsidRPr="005675B2">
        <w:rPr>
          <w:rFonts w:hint="cs"/>
          <w:rtl/>
        </w:rPr>
        <w:t>لا تُشَدُّ الرِّحالُ إِلا إِلى ثَلاثةِ مَساجد</w:t>
      </w:r>
      <w:r w:rsidR="000636C2">
        <w:rPr>
          <w:rFonts w:hint="cs"/>
          <w:rtl/>
        </w:rPr>
        <w:t>]</w:t>
      </w:r>
      <w:r w:rsidRPr="005675B2">
        <w:rPr>
          <w:rFonts w:hint="cs"/>
          <w:rtl/>
        </w:rPr>
        <w:t xml:space="preserve"> على ظاهر العموم</w:t>
      </w:r>
      <w:r w:rsidR="000636C2">
        <w:rPr>
          <w:rFonts w:hint="cs"/>
          <w:rtl/>
        </w:rPr>
        <w:t>،</w:t>
      </w:r>
      <w:r w:rsidRPr="005675B2">
        <w:rPr>
          <w:rFonts w:hint="cs"/>
          <w:rtl/>
        </w:rPr>
        <w:t xml:space="preserve"> ولا يستثني منه إلا ما ورد دليل خاص على إِباحته</w:t>
      </w:r>
      <w:r w:rsidR="000636C2">
        <w:rPr>
          <w:rFonts w:hint="cs"/>
          <w:rtl/>
        </w:rPr>
        <w:t>،</w:t>
      </w:r>
      <w:r w:rsidRPr="005675B2">
        <w:rPr>
          <w:rFonts w:hint="cs"/>
          <w:rtl/>
        </w:rPr>
        <w:t xml:space="preserve"> وهذا المسلك مخالف لقول جمهورِ أَهل العلم</w:t>
      </w:r>
      <w:r w:rsidR="000636C2">
        <w:rPr>
          <w:rFonts w:hint="cs"/>
          <w:rtl/>
        </w:rPr>
        <w:t>،</w:t>
      </w:r>
      <w:r w:rsidRPr="005675B2">
        <w:rPr>
          <w:rFonts w:hint="cs"/>
          <w:rtl/>
        </w:rPr>
        <w:t xml:space="preserve"> وهو اجتهادٌ من قائله</w:t>
      </w:r>
      <w:r w:rsidR="000636C2">
        <w:rPr>
          <w:rFonts w:hint="cs"/>
          <w:rtl/>
        </w:rPr>
        <w:t>،</w:t>
      </w:r>
      <w:r w:rsidRPr="005675B2">
        <w:rPr>
          <w:rFonts w:hint="cs"/>
          <w:rtl/>
        </w:rPr>
        <w:t xml:space="preserve"> لكنه لا ينافي تعظيمَ النبي صلَّى الله عليه وسلَّم وتوقيرَه ومحبَّته</w:t>
      </w:r>
      <w:r w:rsidR="000636C2">
        <w:rPr>
          <w:rFonts w:hint="cs"/>
          <w:rtl/>
        </w:rPr>
        <w:t>،</w:t>
      </w:r>
      <w:r w:rsidRPr="005675B2">
        <w:rPr>
          <w:rFonts w:hint="cs"/>
          <w:rtl/>
        </w:rPr>
        <w:t xml:space="preserve"> وليس من المقبول أَن يقول الحصني إِن برهان الدين الفزاري كتب أَشياء على فتوى ابن تيمية بتحريم شدِّ الرحال لزيارة القبر الشريف وأَنه </w:t>
      </w:r>
      <w:r w:rsidR="000636C2">
        <w:rPr>
          <w:rFonts w:hint="cs"/>
          <w:rtl/>
        </w:rPr>
        <w:t>[</w:t>
      </w:r>
      <w:r w:rsidRPr="005675B2">
        <w:rPr>
          <w:rFonts w:hint="cs"/>
          <w:rtl/>
        </w:rPr>
        <w:t>أَفتى بتكفيره ووافقه ابن جهبل ووقع الاتفاق على تضليله بذلك وتبديعه وزندقته</w:t>
      </w:r>
      <w:r w:rsidR="000636C2">
        <w:rPr>
          <w:rFonts w:hint="cs"/>
          <w:rtl/>
        </w:rPr>
        <w:t>]!</w:t>
      </w:r>
      <w:r w:rsidRPr="005675B2">
        <w:rPr>
          <w:rFonts w:hint="cs"/>
          <w:rtl/>
        </w:rPr>
        <w:t>! فإنه لا يقبل حتى ينقل نصوص كلامهم</w:t>
      </w:r>
      <w:r w:rsidR="000636C2">
        <w:rPr>
          <w:rFonts w:hint="cs"/>
          <w:rtl/>
        </w:rPr>
        <w:t>،</w:t>
      </w:r>
      <w:r w:rsidRPr="005675B2">
        <w:rPr>
          <w:rFonts w:hint="cs"/>
          <w:rtl/>
        </w:rPr>
        <w:t xml:space="preserve"> لأننا وجدناه ينقل نصوصاً ليس فيها تكفير ويفسرها بالتكفير</w:t>
      </w:r>
      <w:r w:rsidR="000636C2">
        <w:rPr>
          <w:rFonts w:hint="cs"/>
          <w:rtl/>
        </w:rPr>
        <w:t>!</w:t>
      </w:r>
      <w:r w:rsidRPr="005675B2">
        <w:rPr>
          <w:rFonts w:hint="cs"/>
          <w:rtl/>
        </w:rPr>
        <w:t xml:space="preserve"> فإنه نقل نصَّ القاضي الشافعي بدر الدين ابن جماعة وأَنه كتب على تلك الفتوى </w:t>
      </w:r>
      <w:r w:rsidR="000636C2">
        <w:rPr>
          <w:rFonts w:hint="cs"/>
          <w:rtl/>
        </w:rPr>
        <w:t>[</w:t>
      </w:r>
      <w:r w:rsidRPr="005675B2">
        <w:rPr>
          <w:rFonts w:hint="cs"/>
          <w:rtl/>
        </w:rPr>
        <w:t>القائل بهذه المقالة ضالٌّ مبتدع</w:t>
      </w:r>
      <w:r w:rsidR="000636C2">
        <w:rPr>
          <w:rFonts w:hint="cs"/>
          <w:rtl/>
        </w:rPr>
        <w:t>]،</w:t>
      </w:r>
      <w:r w:rsidRPr="005675B2">
        <w:rPr>
          <w:rFonts w:hint="cs"/>
          <w:rtl/>
        </w:rPr>
        <w:t xml:space="preserve"> وعقب ذلك النقل بقوله </w:t>
      </w:r>
      <w:r w:rsidR="000636C2">
        <w:rPr>
          <w:rFonts w:hint="cs"/>
          <w:rtl/>
        </w:rPr>
        <w:t>[</w:t>
      </w:r>
      <w:r w:rsidRPr="005675B2">
        <w:rPr>
          <w:rFonts w:hint="cs"/>
          <w:rtl/>
        </w:rPr>
        <w:t>ووافقه على ذلك الحنفي والحنبلي فصار كفره مجمعاً عليه</w:t>
      </w:r>
      <w:r w:rsidR="000636C2">
        <w:rPr>
          <w:rFonts w:hint="cs"/>
          <w:rtl/>
        </w:rPr>
        <w:t>]!،</w:t>
      </w:r>
      <w:r w:rsidRPr="005675B2">
        <w:rPr>
          <w:rFonts w:hint="cs"/>
          <w:rtl/>
        </w:rPr>
        <w:t xml:space="preserve"> ولا أدري كيف يستقيم هذا بعد أَنَّ حكم القاضي بدرُ الدين ابن جماعة بالضلال والابتداع ثم يجعله الحصني تكفيراً ويقول </w:t>
      </w:r>
      <w:r w:rsidR="000636C2">
        <w:rPr>
          <w:rFonts w:hint="cs"/>
          <w:rtl/>
        </w:rPr>
        <w:t>[</w:t>
      </w:r>
      <w:r w:rsidRPr="005675B2">
        <w:rPr>
          <w:rFonts w:hint="cs"/>
          <w:rtl/>
        </w:rPr>
        <w:t>فصار كفره مجمعاً عليه</w:t>
      </w:r>
      <w:r w:rsidR="000636C2">
        <w:rPr>
          <w:rFonts w:hint="cs"/>
          <w:rtl/>
        </w:rPr>
        <w:t>]!،</w:t>
      </w:r>
      <w:r w:rsidRPr="005675B2">
        <w:rPr>
          <w:rFonts w:hint="cs"/>
          <w:rtl/>
        </w:rPr>
        <w:t xml:space="preserve"> ثم إِنَّ الحصني نقل كتاب السُّلطان إِلى نائب البلد وأَنَّ القضاة والعلماء الذين قُرِئت عليهم فتوى ابن تيمية </w:t>
      </w:r>
      <w:r w:rsidR="000636C2">
        <w:rPr>
          <w:rFonts w:hint="cs"/>
          <w:rtl/>
        </w:rPr>
        <w:t>[</w:t>
      </w:r>
      <w:r w:rsidRPr="005675B2">
        <w:rPr>
          <w:rFonts w:hint="cs"/>
          <w:rtl/>
        </w:rPr>
        <w:t>ذكروا أَنَّ الذي أَفتى به في ذلك خطأٌ مردود عليه وحكموا بزجره وطول سجنه ومنعِه من الفتوى</w:t>
      </w:r>
      <w:r w:rsidR="000636C2">
        <w:rPr>
          <w:rFonts w:hint="cs"/>
          <w:rtl/>
        </w:rPr>
        <w:t>]،</w:t>
      </w:r>
      <w:r w:rsidRPr="005675B2">
        <w:rPr>
          <w:rFonts w:hint="cs"/>
          <w:rtl/>
        </w:rPr>
        <w:t xml:space="preserve"> وليس في شيءٍ من ذلك رميه بالكفر أَو الزندقة</w:t>
      </w:r>
      <w:r w:rsidR="000636C2">
        <w:rPr>
          <w:rFonts w:hint="cs"/>
          <w:rtl/>
        </w:rPr>
        <w:t>،</w:t>
      </w:r>
      <w:r w:rsidRPr="005675B2">
        <w:rPr>
          <w:rFonts w:hint="cs"/>
          <w:rtl/>
        </w:rPr>
        <w:t xml:space="preserve"> ويبدو أَن الحصني</w:t>
      </w:r>
      <w:r w:rsidR="000636C2">
        <w:rPr>
          <w:rFonts w:hint="cs"/>
          <w:rtl/>
        </w:rPr>
        <w:t xml:space="preserve"> </w:t>
      </w:r>
      <w:r w:rsidRPr="005675B2">
        <w:rPr>
          <w:rFonts w:hint="cs"/>
          <w:rtl/>
        </w:rPr>
        <w:t>- سامحه الله وغفر له</w:t>
      </w:r>
      <w:r w:rsidR="000636C2">
        <w:rPr>
          <w:rFonts w:hint="cs"/>
          <w:rtl/>
        </w:rPr>
        <w:t xml:space="preserve"> </w:t>
      </w:r>
      <w:r w:rsidRPr="005675B2">
        <w:rPr>
          <w:rFonts w:hint="cs"/>
          <w:rtl/>
        </w:rPr>
        <w:t>- كان قد امتلأ غضباً وسخطاً على ابن تيمية فتضَّخمت أَخطاؤه</w:t>
      </w:r>
      <w:r w:rsidR="000636C2">
        <w:rPr>
          <w:rFonts w:hint="cs"/>
          <w:rtl/>
        </w:rPr>
        <w:t xml:space="preserve"> </w:t>
      </w:r>
      <w:r w:rsidRPr="005675B2">
        <w:rPr>
          <w:rFonts w:hint="cs"/>
          <w:rtl/>
        </w:rPr>
        <w:t>- بالإِضافة إلى المفتريات عليه</w:t>
      </w:r>
      <w:r w:rsidR="000636C2">
        <w:rPr>
          <w:rFonts w:hint="cs"/>
          <w:rtl/>
        </w:rPr>
        <w:t xml:space="preserve"> </w:t>
      </w:r>
      <w:r w:rsidRPr="005675B2">
        <w:rPr>
          <w:rFonts w:hint="cs"/>
          <w:rtl/>
        </w:rPr>
        <w:t>- في قلبه وعقله</w:t>
      </w:r>
      <w:r w:rsidR="000636C2">
        <w:rPr>
          <w:rFonts w:hint="cs"/>
          <w:rtl/>
        </w:rPr>
        <w:t>،</w:t>
      </w:r>
      <w:r w:rsidRPr="005675B2">
        <w:rPr>
          <w:rFonts w:hint="cs"/>
          <w:rtl/>
        </w:rPr>
        <w:t xml:space="preserve"> وأَخرجته عن سمت الاتِّزان</w:t>
      </w:r>
      <w:r w:rsidR="000636C2">
        <w:rPr>
          <w:rFonts w:hint="cs"/>
          <w:rtl/>
        </w:rPr>
        <w:t>،</w:t>
      </w:r>
      <w:r w:rsidRPr="005675B2">
        <w:rPr>
          <w:rFonts w:hint="cs"/>
          <w:rtl/>
        </w:rPr>
        <w:t xml:space="preserve"> فقال ما قال</w:t>
      </w:r>
      <w:r w:rsidR="000636C2">
        <w:rPr>
          <w:rFonts w:hint="cs"/>
          <w:rtl/>
        </w:rPr>
        <w:t>،</w:t>
      </w:r>
      <w:r w:rsidRPr="005675B2">
        <w:rPr>
          <w:rFonts w:hint="cs"/>
          <w:rtl/>
        </w:rPr>
        <w:t xml:space="preserve"> والواجب على المسلم العدلُ في حالة الحبِّ والكره</w:t>
      </w:r>
      <w:r w:rsidR="000636C2">
        <w:rPr>
          <w:rFonts w:hint="cs"/>
          <w:rtl/>
        </w:rPr>
        <w:t>،</w:t>
      </w:r>
      <w:r w:rsidRPr="005675B2">
        <w:rPr>
          <w:rFonts w:hint="cs"/>
          <w:rtl/>
        </w:rPr>
        <w:t xml:space="preserve"> فقد قال الله تعالى </w:t>
      </w:r>
      <w:r w:rsidR="000636C2">
        <w:rPr>
          <w:rFonts w:hint="cs"/>
          <w:rtl/>
        </w:rPr>
        <w:t>[</w:t>
      </w:r>
      <w:r w:rsidRPr="005675B2">
        <w:rPr>
          <w:rFonts w:hint="cs"/>
          <w:rtl/>
        </w:rPr>
        <w:t>وَلا يَجْرِمَنَّكُمْ شَنَآنُ قَوْمٍ عَلَى أَلَّا تَعْدِلُوا اعْدِلُوا هُوَ أَقْرَبُ لِلتَّقْوَى وَاتَّقُوا اللَّهَ إِنَّ اللَّهَ خَبِيرٌ بِمَا تَعْمَلُونَ</w:t>
      </w:r>
      <w:r w:rsidR="000636C2">
        <w:rPr>
          <w:rFonts w:hint="cs"/>
          <w:rtl/>
        </w:rPr>
        <w:t>]</w:t>
      </w:r>
      <w:r w:rsidRPr="005675B2">
        <w:rPr>
          <w:rFonts w:hint="cs"/>
          <w:rtl/>
        </w:rPr>
        <w:t xml:space="preserve"> [</w:t>
      </w:r>
      <w:r w:rsidRPr="005675B2">
        <w:rPr>
          <w:rFonts w:hint="cs"/>
          <w:sz w:val="24"/>
          <w:szCs w:val="24"/>
          <w:rtl/>
        </w:rPr>
        <w:t>سورة الماائدة</w:t>
      </w:r>
      <w:r w:rsidR="000636C2">
        <w:rPr>
          <w:rFonts w:hint="cs"/>
          <w:sz w:val="24"/>
          <w:szCs w:val="24"/>
          <w:rtl/>
        </w:rPr>
        <w:t xml:space="preserve"> </w:t>
      </w:r>
      <w:r w:rsidRPr="005675B2">
        <w:rPr>
          <w:rFonts w:hint="cs"/>
          <w:sz w:val="24"/>
          <w:szCs w:val="24"/>
          <w:rtl/>
        </w:rPr>
        <w:t>آية 8</w:t>
      </w:r>
      <w:r w:rsidR="000636C2">
        <w:rPr>
          <w:rFonts w:hint="cs"/>
          <w:sz w:val="24"/>
          <w:szCs w:val="24"/>
          <w:rtl/>
        </w:rPr>
        <w:t>]</w:t>
      </w:r>
      <w:r w:rsidR="000636C2">
        <w:rPr>
          <w:rFonts w:hint="cs"/>
          <w:rtl/>
        </w:rPr>
        <w:t>،</w:t>
      </w:r>
      <w:r w:rsidRPr="005675B2">
        <w:rPr>
          <w:rFonts w:hint="cs"/>
          <w:rtl/>
        </w:rPr>
        <w:t xml:space="preserve"> لكن إِذا كان قد وقع الحصني في تكفير ابن تيمية كما وقع في ذلك عصريُّه علاء الدين البخاري فإِنَّ جمهور الأشاعرة لم يقعوا في تكفيره</w:t>
      </w:r>
      <w:r w:rsidR="000636C2">
        <w:rPr>
          <w:rFonts w:hint="cs"/>
          <w:rtl/>
        </w:rPr>
        <w:t>،</w:t>
      </w:r>
      <w:r w:rsidRPr="005675B2">
        <w:rPr>
          <w:rFonts w:hint="cs"/>
          <w:rtl/>
        </w:rPr>
        <w:t xml:space="preserve"> ولم يتهموه في دينه</w:t>
      </w:r>
      <w:r w:rsidR="000636C2">
        <w:rPr>
          <w:rFonts w:hint="cs"/>
          <w:rtl/>
        </w:rPr>
        <w:t>،</w:t>
      </w:r>
      <w:r w:rsidRPr="005675B2">
        <w:rPr>
          <w:rFonts w:hint="cs"/>
          <w:rtl/>
        </w:rPr>
        <w:t xml:space="preserve"> وأَثنوا عليه فيما يرون أَنه أَصاب فيه، وانتقدوه فيما يرون أَنه أَخطأ فيه نقداً يتناسب في القوَّة مع شدَّة الخطأ الذي يرون أَنه وقع فيه</w:t>
      </w:r>
      <w:r w:rsidR="000636C2">
        <w:rPr>
          <w:rFonts w:hint="cs"/>
          <w:rtl/>
        </w:rPr>
        <w:t>،</w:t>
      </w:r>
      <w:r w:rsidRPr="005675B2">
        <w:rPr>
          <w:rFonts w:hint="cs"/>
          <w:rtl/>
        </w:rPr>
        <w:t xml:space="preserve"> 4 - أَما ما قاله صاحب الحواشي على شرح الكبرى للسنوسي إِذ قال عن ابن تيمية </w:t>
      </w:r>
      <w:r w:rsidR="000636C2">
        <w:rPr>
          <w:rFonts w:hint="cs"/>
          <w:rtl/>
        </w:rPr>
        <w:t>[</w:t>
      </w:r>
      <w:r w:rsidRPr="005675B2">
        <w:rPr>
          <w:rFonts w:hint="cs"/>
          <w:rtl/>
        </w:rPr>
        <w:t>زنديق وبغضُه للدِّين وأَهلِه لا يخفى</w:t>
      </w:r>
      <w:r w:rsidR="000636C2">
        <w:rPr>
          <w:rFonts w:hint="cs"/>
          <w:rtl/>
        </w:rPr>
        <w:t>]</w:t>
      </w:r>
      <w:r w:rsidRPr="005675B2">
        <w:rPr>
          <w:rFonts w:hint="cs"/>
          <w:rtl/>
        </w:rPr>
        <w:t>؛ فهي كلمة لا تستحق أَن توضع في معرض الحديث عن الأَشاعرة وابن تيمية</w:t>
      </w:r>
      <w:r w:rsidR="000636C2">
        <w:rPr>
          <w:rFonts w:hint="cs"/>
          <w:rtl/>
        </w:rPr>
        <w:t>،</w:t>
      </w:r>
      <w:r w:rsidRPr="005675B2">
        <w:rPr>
          <w:rFonts w:hint="cs"/>
          <w:rtl/>
        </w:rPr>
        <w:t xml:space="preserve"> فمن هو قائلها</w:t>
      </w:r>
      <w:r w:rsidR="000636C2">
        <w:rPr>
          <w:rFonts w:hint="cs"/>
          <w:rtl/>
        </w:rPr>
        <w:t>؟</w:t>
      </w:r>
      <w:r w:rsidRPr="005675B2">
        <w:rPr>
          <w:rFonts w:hint="cs"/>
          <w:rtl/>
        </w:rPr>
        <w:t xml:space="preserve"> وما موقعه بين علماء الأشاعرة</w:t>
      </w:r>
      <w:r w:rsidR="000636C2">
        <w:rPr>
          <w:rFonts w:hint="cs"/>
          <w:rtl/>
        </w:rPr>
        <w:t xml:space="preserve">؟!: </w:t>
      </w:r>
      <w:r w:rsidRPr="005675B2">
        <w:rPr>
          <w:rFonts w:hint="cs"/>
          <w:rtl/>
        </w:rPr>
        <w:t xml:space="preserve">قائلها هو الشيخ إِسماعيل بن موسى بن عثمان الحامدي المتوفى سنة </w:t>
      </w:r>
      <w:r w:rsidR="000636C2">
        <w:rPr>
          <w:rFonts w:hint="cs"/>
          <w:rtl/>
        </w:rPr>
        <w:t>(</w:t>
      </w:r>
      <w:r w:rsidRPr="005675B2">
        <w:rPr>
          <w:rFonts w:hint="cs"/>
          <w:rtl/>
        </w:rPr>
        <w:t>1316ه -</w:t>
      </w:r>
      <w:r w:rsidR="000636C2">
        <w:rPr>
          <w:rFonts w:hint="cs"/>
          <w:rtl/>
        </w:rPr>
        <w:t>)،</w:t>
      </w:r>
      <w:r w:rsidRPr="005675B2">
        <w:rPr>
          <w:rFonts w:hint="cs"/>
          <w:rtl/>
        </w:rPr>
        <w:t xml:space="preserve"> فهو من المتأَخرين جداً</w:t>
      </w:r>
      <w:r w:rsidR="000636C2">
        <w:rPr>
          <w:rFonts w:hint="cs"/>
          <w:rtl/>
        </w:rPr>
        <w:t>،</w:t>
      </w:r>
      <w:r w:rsidRPr="005675B2">
        <w:rPr>
          <w:rFonts w:hint="cs"/>
          <w:rtl/>
        </w:rPr>
        <w:t xml:space="preserve"> فلا يمكن أَن يقرن قوله بكلام المتقدِّمين من الأَشاعرة</w:t>
      </w:r>
      <w:r w:rsidR="000636C2">
        <w:rPr>
          <w:rFonts w:hint="cs"/>
          <w:rtl/>
        </w:rPr>
        <w:t>،</w:t>
      </w:r>
      <w:r w:rsidRPr="005675B2">
        <w:rPr>
          <w:rFonts w:hint="cs"/>
          <w:rtl/>
        </w:rPr>
        <w:t xml:space="preserve"> ولعلَّه قرأَ </w:t>
      </w:r>
      <w:r w:rsidR="000636C2">
        <w:rPr>
          <w:rFonts w:hint="cs"/>
          <w:rtl/>
        </w:rPr>
        <w:t>[</w:t>
      </w:r>
      <w:r w:rsidRPr="005675B2">
        <w:rPr>
          <w:rFonts w:hint="cs"/>
          <w:rtl/>
        </w:rPr>
        <w:t>دفع شُبَه من شبَّه وتمرَّد</w:t>
      </w:r>
      <w:r w:rsidR="000636C2">
        <w:rPr>
          <w:rFonts w:hint="cs"/>
          <w:rtl/>
        </w:rPr>
        <w:t>]</w:t>
      </w:r>
      <w:r w:rsidRPr="005675B2">
        <w:rPr>
          <w:rFonts w:hint="cs"/>
          <w:rtl/>
        </w:rPr>
        <w:t xml:space="preserve"> للحصني فقال ما قال</w:t>
      </w:r>
      <w:r w:rsidR="000636C2">
        <w:rPr>
          <w:rFonts w:hint="cs"/>
          <w:rtl/>
        </w:rPr>
        <w:t>،</w:t>
      </w:r>
      <w:r w:rsidRPr="005675B2">
        <w:rPr>
          <w:rFonts w:hint="cs"/>
          <w:rtl/>
        </w:rPr>
        <w:t xml:space="preserve"> رحمهم الله جميعاً وغفر لنا ولهم</w:t>
      </w:r>
      <w:r w:rsidR="000636C2">
        <w:rPr>
          <w:rFonts w:hint="cs"/>
          <w:rtl/>
        </w:rPr>
        <w:t>،</w:t>
      </w:r>
      <w:r w:rsidRPr="005675B2">
        <w:rPr>
          <w:rFonts w:hint="cs"/>
          <w:rtl/>
        </w:rPr>
        <w:t xml:space="preserve"> 5 - اشتهر عن كثير من العلماء المتأخرين النفورُ الشَّديد من ابن تيمية رحمه الله</w:t>
      </w:r>
      <w:r w:rsidR="000636C2">
        <w:rPr>
          <w:rFonts w:hint="cs"/>
          <w:rtl/>
        </w:rPr>
        <w:t>،</w:t>
      </w:r>
      <w:r w:rsidRPr="005675B2">
        <w:rPr>
          <w:rFonts w:hint="cs"/>
          <w:rtl/>
        </w:rPr>
        <w:t xml:space="preserve"> ومع ذلك فقد قال بعضهم كلماتٍ في حقِّه فيها إِنصاف</w:t>
      </w:r>
      <w:r w:rsidR="000636C2">
        <w:rPr>
          <w:rFonts w:hint="cs"/>
          <w:rtl/>
        </w:rPr>
        <w:t>،</w:t>
      </w:r>
      <w:r w:rsidRPr="005675B2">
        <w:rPr>
          <w:rFonts w:hint="cs"/>
          <w:rtl/>
        </w:rPr>
        <w:t xml:space="preserve"> فأَحببت أَن أَذكر ما وجدته من ذلك</w:t>
      </w:r>
      <w:r w:rsidR="000636C2">
        <w:rPr>
          <w:rFonts w:hint="cs"/>
          <w:rtl/>
        </w:rPr>
        <w:t xml:space="preserve">: </w:t>
      </w:r>
      <w:r w:rsidRPr="005675B2">
        <w:rPr>
          <w:rFonts w:hint="cs"/>
          <w:rtl/>
        </w:rPr>
        <w:t>قال السُّيوطي</w:t>
      </w:r>
      <w:r w:rsidR="000636C2">
        <w:rPr>
          <w:rFonts w:hint="cs"/>
          <w:rtl/>
        </w:rPr>
        <w:t>:</w:t>
      </w:r>
      <w:r w:rsidRPr="005675B2">
        <w:rPr>
          <w:rFonts w:hint="cs"/>
          <w:rtl/>
        </w:rPr>
        <w:t xml:space="preserve"> </w:t>
      </w:r>
      <w:r w:rsidR="000636C2">
        <w:rPr>
          <w:rFonts w:hint="cs"/>
          <w:rtl/>
        </w:rPr>
        <w:t>[</w:t>
      </w:r>
      <w:r w:rsidRPr="005675B2">
        <w:rPr>
          <w:rFonts w:hint="cs"/>
          <w:rtl/>
        </w:rPr>
        <w:t>وقال الشيخ تقي الدين ابن تيمية في كتابه "نصيحة أَهل الإيمان في الردِّ على منطق اليونان" ..</w:t>
      </w:r>
      <w:r w:rsidR="000636C2">
        <w:rPr>
          <w:rFonts w:hint="cs"/>
          <w:rtl/>
        </w:rPr>
        <w:t>]،</w:t>
      </w:r>
      <w:r w:rsidRPr="005675B2">
        <w:rPr>
          <w:rFonts w:hint="cs"/>
          <w:rtl/>
        </w:rPr>
        <w:t xml:space="preserve"> ثم قال في ذكر المجتهدين</w:t>
      </w:r>
      <w:r w:rsidR="000636C2">
        <w:rPr>
          <w:rFonts w:hint="cs"/>
          <w:rtl/>
        </w:rPr>
        <w:t>:</w:t>
      </w:r>
      <w:r w:rsidRPr="005675B2">
        <w:rPr>
          <w:rFonts w:hint="cs"/>
          <w:rtl/>
        </w:rPr>
        <w:t xml:space="preserve"> </w:t>
      </w:r>
      <w:r w:rsidR="000636C2">
        <w:rPr>
          <w:rFonts w:hint="cs"/>
          <w:rtl/>
        </w:rPr>
        <w:t>[</w:t>
      </w:r>
      <w:r w:rsidRPr="005675B2">
        <w:rPr>
          <w:rFonts w:hint="cs"/>
          <w:rtl/>
        </w:rPr>
        <w:t>وفي هذا العصر شيخ الإسلام العلامة تقي الدين ابن تيمية</w:t>
      </w:r>
      <w:r w:rsidR="000636C2">
        <w:rPr>
          <w:rFonts w:hint="cs"/>
          <w:rtl/>
        </w:rPr>
        <w:t>،</w:t>
      </w:r>
      <w:r w:rsidRPr="005675B2">
        <w:rPr>
          <w:rFonts w:hint="cs"/>
          <w:rtl/>
        </w:rPr>
        <w:t xml:space="preserve"> وصفه غيُر واحد بالاجتهاد</w:t>
      </w:r>
      <w:r w:rsidR="000636C2">
        <w:rPr>
          <w:rFonts w:hint="cs"/>
          <w:rtl/>
        </w:rPr>
        <w:t>،</w:t>
      </w:r>
      <w:r w:rsidRPr="005675B2">
        <w:rPr>
          <w:rFonts w:hint="cs"/>
          <w:rtl/>
        </w:rPr>
        <w:t xml:space="preserve"> منهم الشيخ ولُّي الدين العراقي في "فتاويه"</w:t>
      </w:r>
      <w:r w:rsidR="000636C2">
        <w:rPr>
          <w:rFonts w:hint="cs"/>
          <w:rtl/>
        </w:rPr>
        <w:t>]</w:t>
      </w:r>
      <w:r w:rsidRPr="005675B2">
        <w:rPr>
          <w:rStyle w:val="a5"/>
          <w:rFonts w:hint="cs"/>
          <w:b/>
          <w:rtl/>
        </w:rPr>
        <w:t>]</w:t>
      </w:r>
      <w:r w:rsidR="000636C2">
        <w:rPr>
          <w:rFonts w:hint="cs"/>
          <w:rtl/>
        </w:rPr>
        <w:t>[</w:t>
      </w:r>
      <w:r w:rsidRPr="005675B2">
        <w:rPr>
          <w:rFonts w:hint="cs"/>
          <w:sz w:val="24"/>
          <w:szCs w:val="24"/>
          <w:rtl/>
        </w:rPr>
        <w:t>الرد على من أخلد إلى الأرض وجهل أن الاجتهاد في كل عصر فرض للسيوطي: ص 153</w:t>
      </w:r>
      <w:r w:rsidR="000636C2">
        <w:rPr>
          <w:rFonts w:hint="cs"/>
          <w:sz w:val="24"/>
          <w:szCs w:val="24"/>
          <w:rtl/>
        </w:rPr>
        <w:t>،</w:t>
      </w:r>
      <w:r w:rsidRPr="005675B2">
        <w:rPr>
          <w:rFonts w:hint="cs"/>
          <w:sz w:val="24"/>
          <w:szCs w:val="24"/>
          <w:rtl/>
        </w:rPr>
        <w:t xml:space="preserve"> 197</w:t>
      </w:r>
      <w:r w:rsidR="000636C2">
        <w:rPr>
          <w:rFonts w:hint="cs"/>
          <w:sz w:val="24"/>
          <w:szCs w:val="24"/>
          <w:rtl/>
        </w:rPr>
        <w:t>]</w:t>
      </w:r>
      <w:r w:rsidR="000636C2">
        <w:rPr>
          <w:rFonts w:hint="cs"/>
          <w:rtl/>
        </w:rPr>
        <w:t>،</w:t>
      </w:r>
      <w:r w:rsidRPr="005675B2">
        <w:rPr>
          <w:rFonts w:hint="cs"/>
          <w:rtl/>
        </w:rPr>
        <w:t xml:space="preserve"> وقال الفقيه الحنفي الصُّوفي ابن عابدين</w:t>
      </w:r>
      <w:r w:rsidR="000636C2">
        <w:rPr>
          <w:rFonts w:hint="cs"/>
          <w:rtl/>
        </w:rPr>
        <w:t>:</w:t>
      </w:r>
      <w:r w:rsidRPr="005675B2">
        <w:rPr>
          <w:rFonts w:hint="cs"/>
          <w:rtl/>
        </w:rPr>
        <w:t xml:space="preserve"> </w:t>
      </w:r>
      <w:r w:rsidR="000636C2">
        <w:rPr>
          <w:rFonts w:hint="cs"/>
          <w:rtl/>
        </w:rPr>
        <w:t>[</w:t>
      </w:r>
      <w:r w:rsidRPr="005675B2">
        <w:rPr>
          <w:rFonts w:hint="cs"/>
          <w:rtl/>
        </w:rPr>
        <w:t>وقد سبق إِلى نقل ذلك أَيضاً شيخُ الإسلام تقي الدين أحمد ابنُ تيمية الحنبلُّي في كتابه "الصَّارم المسلول"</w:t>
      </w:r>
      <w:r w:rsidR="000636C2">
        <w:rPr>
          <w:rFonts w:hint="cs"/>
          <w:rtl/>
        </w:rPr>
        <w:t>]</w:t>
      </w:r>
      <w:r w:rsidRPr="005675B2">
        <w:rPr>
          <w:rFonts w:hint="cs"/>
          <w:rtl/>
        </w:rPr>
        <w:t xml:space="preserve"> [</w:t>
      </w:r>
      <w:r w:rsidRPr="005675B2">
        <w:rPr>
          <w:rFonts w:hint="cs"/>
          <w:sz w:val="24"/>
          <w:szCs w:val="24"/>
          <w:rtl/>
        </w:rPr>
        <w:t>رد المحتار حاشية الدر المختار لابن عابدين: 3 / 300</w:t>
      </w:r>
      <w:r w:rsidR="000636C2">
        <w:rPr>
          <w:rFonts w:hint="cs"/>
          <w:sz w:val="24"/>
          <w:szCs w:val="24"/>
          <w:rtl/>
        </w:rPr>
        <w:t>]</w:t>
      </w:r>
      <w:r w:rsidR="000636C2">
        <w:rPr>
          <w:rFonts w:hint="cs"/>
          <w:rtl/>
        </w:rPr>
        <w:t>،</w:t>
      </w:r>
      <w:r w:rsidRPr="005675B2">
        <w:rPr>
          <w:rFonts w:hint="cs"/>
          <w:rtl/>
        </w:rPr>
        <w:t xml:space="preserve"> وقال أَحد مشايخ الطريقة الصُّوفية الرفاعية المشهور بالصيَّادي في جملة وصاياه لأَتباع الطريقة</w:t>
      </w:r>
      <w:r w:rsidR="000636C2">
        <w:rPr>
          <w:rFonts w:hint="cs"/>
          <w:rtl/>
        </w:rPr>
        <w:t>:</w:t>
      </w:r>
      <w:r w:rsidRPr="005675B2">
        <w:rPr>
          <w:rFonts w:hint="cs"/>
          <w:rtl/>
        </w:rPr>
        <w:t xml:space="preserve"> </w:t>
      </w:r>
      <w:r w:rsidR="000636C2">
        <w:rPr>
          <w:rFonts w:hint="cs"/>
          <w:rtl/>
        </w:rPr>
        <w:t>[</w:t>
      </w:r>
      <w:r w:rsidRPr="005675B2">
        <w:rPr>
          <w:rFonts w:hint="cs"/>
          <w:rtl/>
        </w:rPr>
        <w:t xml:space="preserve">المادة </w:t>
      </w:r>
      <w:r w:rsidR="000636C2">
        <w:rPr>
          <w:rFonts w:hint="cs"/>
          <w:rtl/>
        </w:rPr>
        <w:t>(</w:t>
      </w:r>
      <w:r w:rsidRPr="005675B2">
        <w:rPr>
          <w:rFonts w:hint="cs"/>
          <w:rtl/>
        </w:rPr>
        <w:t>122</w:t>
      </w:r>
      <w:r w:rsidR="000636C2">
        <w:rPr>
          <w:rFonts w:hint="cs"/>
          <w:rtl/>
        </w:rPr>
        <w:t>):</w:t>
      </w:r>
      <w:r w:rsidRPr="005675B2">
        <w:rPr>
          <w:rFonts w:hint="cs"/>
          <w:rtl/>
        </w:rPr>
        <w:t xml:space="preserve"> محبَّة العلماء العاملين الذين يريدون إِعلاء كلمة الله تعالى ولو أغلظوا على خدَّام الطرُق العلية في دروسهم ومؤلفاتهم</w:t>
      </w:r>
      <w:r w:rsidR="000636C2">
        <w:rPr>
          <w:rFonts w:hint="cs"/>
          <w:rtl/>
        </w:rPr>
        <w:t>،</w:t>
      </w:r>
      <w:r w:rsidRPr="005675B2">
        <w:rPr>
          <w:rFonts w:hint="cs"/>
          <w:rtl/>
        </w:rPr>
        <w:t xml:space="preserve"> إِن علمت أَنَّ ذلك لله تعالى</w:t>
      </w:r>
      <w:r w:rsidR="000636C2">
        <w:rPr>
          <w:rFonts w:hint="cs"/>
          <w:rtl/>
        </w:rPr>
        <w:t>،</w:t>
      </w:r>
      <w:r w:rsidRPr="005675B2">
        <w:rPr>
          <w:rFonts w:hint="cs"/>
          <w:rtl/>
        </w:rPr>
        <w:t xml:space="preserve"> لا لغرضٍ نفساني</w:t>
      </w:r>
      <w:r w:rsidR="000636C2">
        <w:rPr>
          <w:rFonts w:hint="cs"/>
          <w:rtl/>
        </w:rPr>
        <w:t>،</w:t>
      </w:r>
      <w:r w:rsidRPr="005675B2">
        <w:rPr>
          <w:rFonts w:hint="cs"/>
          <w:rtl/>
        </w:rPr>
        <w:t xml:space="preserve"> ولو خامر بعض كلمات البعض منهم شدة وغلظة وتخلل ذلك الغلط</w:t>
      </w:r>
      <w:r w:rsidR="000636C2">
        <w:rPr>
          <w:rFonts w:hint="cs"/>
          <w:rtl/>
        </w:rPr>
        <w:t>،</w:t>
      </w:r>
      <w:r w:rsidRPr="005675B2">
        <w:rPr>
          <w:rFonts w:hint="cs"/>
          <w:rtl/>
        </w:rPr>
        <w:t xml:space="preserve"> ككلمات الشيخ ابن تيمية رحمه الله تعالى وأَمثالِه</w:t>
      </w:r>
      <w:r w:rsidR="000636C2">
        <w:rPr>
          <w:rFonts w:hint="cs"/>
          <w:rtl/>
        </w:rPr>
        <w:t>]</w:t>
      </w:r>
      <w:r w:rsidRPr="005675B2">
        <w:rPr>
          <w:rFonts w:hint="cs"/>
          <w:rtl/>
        </w:rPr>
        <w:t xml:space="preserve"> [</w:t>
      </w:r>
      <w:r w:rsidRPr="005675B2">
        <w:rPr>
          <w:rFonts w:hint="cs"/>
          <w:sz w:val="24"/>
          <w:szCs w:val="24"/>
          <w:rtl/>
        </w:rPr>
        <w:t>فذلكة الحقيقة للصيادي: ص 45</w:t>
      </w:r>
      <w:r w:rsidR="000636C2">
        <w:rPr>
          <w:rFonts w:hint="cs"/>
          <w:sz w:val="24"/>
          <w:szCs w:val="24"/>
          <w:rtl/>
        </w:rPr>
        <w:t>]</w:t>
      </w:r>
      <w:r w:rsidR="000636C2">
        <w:rPr>
          <w:rFonts w:hint="cs"/>
          <w:rtl/>
        </w:rPr>
        <w:t>،</w:t>
      </w:r>
      <w:r w:rsidRPr="005675B2">
        <w:rPr>
          <w:rFonts w:hint="cs"/>
          <w:rtl/>
        </w:rPr>
        <w:t xml:space="preserve"> ومواقف الشيخ ابن تيمية رحمه الله تعالى من أَتباع الطريقة الرِّفاعية مع النقد القاسي والتجريح الشديد معلومةٌ ومشهورةٌ</w:t>
      </w:r>
      <w:r w:rsidR="000636C2">
        <w:rPr>
          <w:rFonts w:hint="cs"/>
          <w:rtl/>
        </w:rPr>
        <w:t>،</w:t>
      </w:r>
      <w:r w:rsidRPr="005675B2">
        <w:rPr>
          <w:rFonts w:hint="cs"/>
          <w:rtl/>
        </w:rPr>
        <w:t xml:space="preserve"> إِلا أَنه لا يتكلَّم في شيخ الطريقة الرِّفاعية السَّيدِ أَحمدَ الرِّفاعيِّ رحمه الله تعالى بشيءٍ</w:t>
      </w:r>
      <w:r w:rsidR="000636C2">
        <w:rPr>
          <w:rFonts w:hint="cs"/>
          <w:rtl/>
        </w:rPr>
        <w:t>،</w:t>
      </w:r>
      <w:r w:rsidRPr="005675B2">
        <w:rPr>
          <w:rFonts w:hint="cs"/>
          <w:rtl/>
        </w:rPr>
        <w:t xml:space="preserve"> وقال الشيخ يوسف النبهاني من كبار الصوفيين ببيروت في القرن الرابع عشر الهجري</w:t>
      </w:r>
      <w:r w:rsidR="000636C2">
        <w:rPr>
          <w:rFonts w:hint="cs"/>
          <w:rtl/>
        </w:rPr>
        <w:t>:</w:t>
      </w:r>
      <w:r w:rsidRPr="005675B2">
        <w:rPr>
          <w:rFonts w:hint="cs"/>
          <w:rtl/>
        </w:rPr>
        <w:t xml:space="preserve"> </w:t>
      </w:r>
      <w:r w:rsidR="000636C2">
        <w:rPr>
          <w:rFonts w:hint="cs"/>
          <w:rtl/>
        </w:rPr>
        <w:t>[</w:t>
      </w:r>
      <w:r w:rsidRPr="005675B2">
        <w:rPr>
          <w:rFonts w:hint="cs"/>
          <w:rtl/>
        </w:rPr>
        <w:t>وابن تيمية هو إِمام كبير</w:t>
      </w:r>
      <w:r w:rsidR="000636C2">
        <w:rPr>
          <w:rFonts w:hint="cs"/>
          <w:rtl/>
        </w:rPr>
        <w:t>،</w:t>
      </w:r>
      <w:r w:rsidRPr="005675B2">
        <w:rPr>
          <w:rFonts w:hint="cs"/>
          <w:rtl/>
        </w:rPr>
        <w:t xml:space="preserve"> وعلَم شهير</w:t>
      </w:r>
      <w:r w:rsidR="000636C2">
        <w:rPr>
          <w:rFonts w:hint="cs"/>
          <w:rtl/>
        </w:rPr>
        <w:t>،</w:t>
      </w:r>
      <w:r w:rsidRPr="005675B2">
        <w:rPr>
          <w:rFonts w:hint="cs"/>
          <w:rtl/>
        </w:rPr>
        <w:t xml:space="preserve"> من أَفراد أَئمة الأُمة المحمدية الذين تفتخر بهم على سائر الأمم</w:t>
      </w:r>
      <w:r w:rsidR="000636C2">
        <w:rPr>
          <w:rFonts w:hint="cs"/>
          <w:rtl/>
        </w:rPr>
        <w:t>،</w:t>
      </w:r>
      <w:r w:rsidRPr="005675B2">
        <w:rPr>
          <w:rFonts w:hint="cs"/>
          <w:rtl/>
        </w:rPr>
        <w:t xml:space="preserve"> ولكنه مع ذلك غيرُ معصوم من الخطأ والزلل</w:t>
      </w:r>
      <w:r w:rsidR="000636C2">
        <w:rPr>
          <w:rFonts w:hint="cs"/>
          <w:rtl/>
        </w:rPr>
        <w:t>،</w:t>
      </w:r>
      <w:r w:rsidRPr="005675B2">
        <w:rPr>
          <w:rFonts w:hint="cs"/>
          <w:rtl/>
        </w:rPr>
        <w:t xml:space="preserve"> فقد أخطأ في مسائلَ قليلةٍ</w:t>
      </w:r>
      <w:r w:rsidR="000636C2">
        <w:rPr>
          <w:rFonts w:hint="cs"/>
          <w:rtl/>
        </w:rPr>
        <w:t xml:space="preserve"> </w:t>
      </w:r>
      <w:r w:rsidRPr="005675B2">
        <w:rPr>
          <w:rFonts w:hint="cs"/>
          <w:rtl/>
        </w:rPr>
        <w:t>- منها هاتان المسألتان</w:t>
      </w:r>
      <w:r w:rsidR="000636C2">
        <w:rPr>
          <w:rFonts w:hint="cs"/>
          <w:rtl/>
        </w:rPr>
        <w:t xml:space="preserve"> </w:t>
      </w:r>
      <w:r w:rsidRPr="005675B2">
        <w:rPr>
          <w:rFonts w:hint="cs"/>
          <w:rtl/>
        </w:rPr>
        <w:t>- خطأ فاحشاً خالف فيه جمهورَ الأُمة من السَّلف والخلف</w:t>
      </w:r>
      <w:r w:rsidR="000636C2">
        <w:rPr>
          <w:rFonts w:hint="cs"/>
          <w:rtl/>
        </w:rPr>
        <w:t>،</w:t>
      </w:r>
      <w:r w:rsidRPr="005675B2">
        <w:rPr>
          <w:rFonts w:hint="cs"/>
          <w:rtl/>
        </w:rPr>
        <w:t xml:space="preserve"> كما بين ذلك كثير من المحققين ..</w:t>
      </w:r>
      <w:r w:rsidR="000636C2">
        <w:rPr>
          <w:rFonts w:hint="cs"/>
          <w:rtl/>
        </w:rPr>
        <w:t>،</w:t>
      </w:r>
      <w:r w:rsidRPr="005675B2">
        <w:rPr>
          <w:rFonts w:hint="cs"/>
          <w:rtl/>
        </w:rPr>
        <w:t xml:space="preserve"> وابن تيمية وإِن أخطأ في هذه المسائل المعدودة فقد أَصاب بمسائل لا تعدُّ ولا تحصر</w:t>
      </w:r>
      <w:r w:rsidR="000636C2">
        <w:rPr>
          <w:rFonts w:hint="cs"/>
          <w:rtl/>
        </w:rPr>
        <w:t>،</w:t>
      </w:r>
      <w:r w:rsidRPr="005675B2">
        <w:rPr>
          <w:rFonts w:hint="cs"/>
          <w:rtl/>
        </w:rPr>
        <w:t xml:space="preserve"> نصرَ بها الدين المبين</w:t>
      </w:r>
      <w:r w:rsidR="000636C2">
        <w:rPr>
          <w:rFonts w:hint="cs"/>
          <w:rtl/>
        </w:rPr>
        <w:t>،</w:t>
      </w:r>
      <w:r w:rsidRPr="005675B2">
        <w:rPr>
          <w:rFonts w:hint="cs"/>
          <w:rtl/>
        </w:rPr>
        <w:t xml:space="preserve"> وخدم بها شريعة سيد المرسلين</w:t>
      </w:r>
      <w:r w:rsidR="000636C2">
        <w:rPr>
          <w:rFonts w:hint="cs"/>
          <w:rtl/>
        </w:rPr>
        <w:t>،</w:t>
      </w:r>
      <w:r w:rsidRPr="005675B2">
        <w:rPr>
          <w:rFonts w:hint="cs"/>
          <w:rtl/>
        </w:rPr>
        <w:t xml:space="preserve"> صلَّى الله عليه وسلَّم</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اعلم أني أَعتقد في ابن تيمية وتلميذيه ابن القيم وابن عبد الهادي أَنهم من أَئمة الدين</w:t>
      </w:r>
      <w:r w:rsidR="000636C2">
        <w:rPr>
          <w:rFonts w:hint="cs"/>
          <w:rtl/>
        </w:rPr>
        <w:t>،</w:t>
      </w:r>
      <w:r w:rsidRPr="005675B2">
        <w:rPr>
          <w:rFonts w:hint="cs"/>
          <w:rtl/>
        </w:rPr>
        <w:t xml:space="preserve"> وأَكابر علماء المسلمين</w:t>
      </w:r>
      <w:r w:rsidR="000636C2">
        <w:rPr>
          <w:rFonts w:hint="cs"/>
          <w:rtl/>
        </w:rPr>
        <w:t>،</w:t>
      </w:r>
      <w:r w:rsidRPr="005675B2">
        <w:rPr>
          <w:rFonts w:hint="cs"/>
          <w:rtl/>
        </w:rPr>
        <w:t xml:space="preserve"> وقد نفعوا الأُمة المحمدية بعلمهم نفعاً عظيماً وإن أساءوا غاية الإساءة في بدعة منع الزيارة والاستغاثة وأَضَروا بها الإسلام والمسلمين أضراراً عظيمة</w:t>
      </w:r>
      <w:r w:rsidR="000636C2">
        <w:rPr>
          <w:rFonts w:hint="cs"/>
          <w:rtl/>
        </w:rPr>
        <w:t>]</w:t>
      </w:r>
      <w:r w:rsidRPr="005675B2">
        <w:rPr>
          <w:rFonts w:hint="cs"/>
          <w:rtl/>
        </w:rPr>
        <w:t xml:space="preserve"> [</w:t>
      </w:r>
      <w:r w:rsidRPr="005675B2">
        <w:rPr>
          <w:rFonts w:hint="cs"/>
          <w:sz w:val="24"/>
          <w:szCs w:val="24"/>
          <w:rtl/>
        </w:rPr>
        <w:t>شواهد الحق في الاستغاثة بسيد الخلق للنبهاني: ص 52</w:t>
      </w:r>
      <w:r w:rsidR="000636C2">
        <w:rPr>
          <w:rFonts w:hint="cs"/>
          <w:sz w:val="24"/>
          <w:szCs w:val="24"/>
          <w:rtl/>
        </w:rPr>
        <w:t>،</w:t>
      </w:r>
      <w:r w:rsidRPr="005675B2">
        <w:rPr>
          <w:rFonts w:hint="cs"/>
          <w:sz w:val="24"/>
          <w:szCs w:val="24"/>
          <w:rtl/>
        </w:rPr>
        <w:t xml:space="preserve"> 62</w:t>
      </w:r>
      <w:r w:rsidR="000636C2">
        <w:rPr>
          <w:rFonts w:hint="cs"/>
          <w:sz w:val="24"/>
          <w:szCs w:val="24"/>
          <w:rtl/>
        </w:rPr>
        <w:t>]</w:t>
      </w:r>
      <w:r w:rsidR="000636C2">
        <w:rPr>
          <w:rFonts w:hint="cs"/>
          <w:rtl/>
        </w:rPr>
        <w:t>،</w:t>
      </w:r>
      <w:r w:rsidRPr="005675B2">
        <w:rPr>
          <w:rFonts w:hint="cs"/>
          <w:rtl/>
        </w:rPr>
        <w:t xml:space="preserve"> فانظر إِلى كلمات هؤلاء العلماء والصُّوفيين وما فيها من إِنصاف</w:t>
      </w:r>
      <w:r w:rsidR="000636C2">
        <w:rPr>
          <w:rFonts w:hint="cs"/>
          <w:rtl/>
        </w:rPr>
        <w:t>،</w:t>
      </w:r>
      <w:r w:rsidRPr="005675B2">
        <w:rPr>
          <w:rFonts w:hint="cs"/>
          <w:rtl/>
        </w:rPr>
        <w:t xml:space="preserve"> على الرغم من تباعد المناهج وتباين المشارب</w:t>
      </w:r>
      <w:r w:rsidR="000636C2">
        <w:rPr>
          <w:rFonts w:hint="cs"/>
          <w:rtl/>
        </w:rPr>
        <w:t>،</w:t>
      </w:r>
      <w:r w:rsidRPr="005675B2">
        <w:rPr>
          <w:rFonts w:hint="cs"/>
          <w:rtl/>
        </w:rPr>
        <w:t xml:space="preserve"> فرحمة الله تعالى ومغفرته لنا ولهم جميعاً إِن شاء الله</w:t>
      </w:r>
      <w:r w:rsidR="000636C2">
        <w:rPr>
          <w:rFonts w:hint="cs"/>
          <w:rtl/>
        </w:rPr>
        <w:t>،</w:t>
      </w:r>
      <w:r w:rsidRPr="005675B2">
        <w:rPr>
          <w:rFonts w:hint="cs"/>
          <w:rtl/>
        </w:rPr>
        <w:t xml:space="preserve"> 6 - هل اضطهد الأَشاعرةُ ابنَ تيمية</w:t>
      </w:r>
      <w:r w:rsidR="000636C2">
        <w:rPr>
          <w:rFonts w:hint="cs"/>
          <w:rtl/>
        </w:rPr>
        <w:t xml:space="preserve">؟: </w:t>
      </w:r>
      <w:r w:rsidRPr="005675B2">
        <w:rPr>
          <w:rFonts w:hint="cs"/>
          <w:rtl/>
        </w:rPr>
        <w:t>لم ير الأَشاعرة في ابن تيمية كفراً ولا زندقةً</w:t>
      </w:r>
      <w:r w:rsidR="000636C2">
        <w:rPr>
          <w:rFonts w:hint="cs"/>
          <w:rtl/>
        </w:rPr>
        <w:t>،</w:t>
      </w:r>
      <w:r w:rsidRPr="005675B2">
        <w:rPr>
          <w:rFonts w:hint="cs"/>
          <w:rtl/>
        </w:rPr>
        <w:t xml:space="preserve"> وبالتالي فإنهم لم يحكموا عليه بالقتل</w:t>
      </w:r>
      <w:r w:rsidR="000636C2">
        <w:rPr>
          <w:rFonts w:hint="cs"/>
          <w:rtl/>
        </w:rPr>
        <w:t>،</w:t>
      </w:r>
      <w:r w:rsidRPr="005675B2">
        <w:rPr>
          <w:rFonts w:hint="cs"/>
          <w:rtl/>
        </w:rPr>
        <w:t xml:space="preserve"> وإنما رأَوا فيه ضلالاً وابتداعاً في بعض المسائل</w:t>
      </w:r>
      <w:r w:rsidR="000636C2">
        <w:rPr>
          <w:rFonts w:hint="cs"/>
          <w:rtl/>
        </w:rPr>
        <w:t>،</w:t>
      </w:r>
      <w:r w:rsidRPr="005675B2">
        <w:rPr>
          <w:rFonts w:hint="cs"/>
          <w:rtl/>
        </w:rPr>
        <w:t xml:space="preserve"> فحكموا بزجره وطول سجنه ومنعه من الفتوى</w:t>
      </w:r>
      <w:r w:rsidR="000636C2">
        <w:rPr>
          <w:rFonts w:hint="cs"/>
          <w:rtl/>
        </w:rPr>
        <w:t>،</w:t>
      </w:r>
      <w:r w:rsidRPr="005675B2">
        <w:rPr>
          <w:rFonts w:hint="cs"/>
          <w:rtl/>
        </w:rPr>
        <w:t xml:space="preserve"> دون أن يوقعوا عليه الضرب أو الجلد</w:t>
      </w:r>
      <w:r w:rsidR="000636C2">
        <w:rPr>
          <w:rFonts w:hint="cs"/>
          <w:rtl/>
        </w:rPr>
        <w:t>،</w:t>
      </w:r>
      <w:r w:rsidRPr="005675B2">
        <w:rPr>
          <w:rFonts w:hint="cs"/>
          <w:rtl/>
        </w:rPr>
        <w:t xml:space="preserve"> وكم أَودُّ لو اكتفوا بإِقامة مجالس المناظرة مهما طالت وتعددت وامتدَّ بها الزمن حتى يظهر الُله الحقَّ في كل مسألة على لسان صاحب الحق فيها</w:t>
      </w:r>
      <w:r w:rsidR="000636C2">
        <w:rPr>
          <w:rFonts w:hint="cs"/>
          <w:rtl/>
        </w:rPr>
        <w:t>،</w:t>
      </w:r>
      <w:r w:rsidRPr="005675B2">
        <w:rPr>
          <w:rFonts w:hint="cs"/>
          <w:rtl/>
        </w:rPr>
        <w:t xml:space="preserve"> </w:t>
      </w:r>
      <w:r w:rsidR="000636C2">
        <w:rPr>
          <w:rFonts w:hint="cs"/>
          <w:rtl/>
        </w:rPr>
        <w:t>[</w:t>
      </w:r>
      <w:r w:rsidRPr="005675B2">
        <w:rPr>
          <w:rFonts w:hint="cs"/>
          <w:rtl/>
        </w:rPr>
        <w:t>لِيَهْلِكَ مَنْ هَلَكَ عَنْ بَيِّنَةٍ وَيَحْيَى مَنْ حَيَّ عَنْ بَيِّنَةٍ وَإِنَّ اللَّهَ لَسَمِيعٌ عَلِيمٌ</w:t>
      </w:r>
      <w:r w:rsidR="000636C2">
        <w:rPr>
          <w:rFonts w:hint="cs"/>
          <w:rtl/>
        </w:rPr>
        <w:t>]</w:t>
      </w:r>
      <w:r w:rsidRPr="005675B2">
        <w:rPr>
          <w:rFonts w:hint="cs"/>
          <w:rtl/>
        </w:rPr>
        <w:t xml:space="preserve"> [</w:t>
      </w:r>
      <w:r w:rsidRPr="005675B2">
        <w:rPr>
          <w:rFonts w:hint="cs"/>
          <w:sz w:val="24"/>
          <w:szCs w:val="24"/>
          <w:rtl/>
        </w:rPr>
        <w:t>سورة الأنفال: الآية 42</w:t>
      </w:r>
      <w:r w:rsidR="000636C2">
        <w:rPr>
          <w:rFonts w:hint="cs"/>
          <w:sz w:val="24"/>
          <w:szCs w:val="24"/>
          <w:rtl/>
        </w:rPr>
        <w:t>]</w:t>
      </w:r>
      <w:r w:rsidR="000636C2">
        <w:rPr>
          <w:rFonts w:hint="cs"/>
          <w:rtl/>
        </w:rPr>
        <w:t>،</w:t>
      </w:r>
      <w:r w:rsidRPr="005675B2">
        <w:rPr>
          <w:rFonts w:hint="cs"/>
          <w:rtl/>
        </w:rPr>
        <w:t xml:space="preserve"> وقبل التسرُّع في الحكم على الأشاعرة في موقفهم من ابن تيمية</w:t>
      </w:r>
      <w:r w:rsidR="000636C2">
        <w:rPr>
          <w:rFonts w:hint="cs"/>
          <w:rtl/>
        </w:rPr>
        <w:t xml:space="preserve"> </w:t>
      </w:r>
      <w:r w:rsidRPr="005675B2">
        <w:rPr>
          <w:rFonts w:hint="cs"/>
          <w:rtl/>
        </w:rPr>
        <w:t>- رحمهم الله وغفر لنا ولهم جميعاً</w:t>
      </w:r>
      <w:r w:rsidR="000636C2">
        <w:rPr>
          <w:rFonts w:hint="cs"/>
          <w:rtl/>
        </w:rPr>
        <w:t xml:space="preserve"> </w:t>
      </w:r>
      <w:r w:rsidRPr="005675B2">
        <w:rPr>
          <w:rFonts w:hint="cs"/>
          <w:rtl/>
        </w:rPr>
        <w:t>- ؛ تصور أن ابن تيمية كان هو القاضي وصاحب الكلمة النافذة عليهم في ذلك الوقت ؛ فهل كان سيكتفي بالحكم عليهم بمثل الذي حكموا هم به عليه</w:t>
      </w:r>
      <w:r w:rsidR="000636C2">
        <w:rPr>
          <w:rFonts w:hint="cs"/>
          <w:rtl/>
        </w:rPr>
        <w:t>؟!</w:t>
      </w:r>
      <w:r w:rsidRPr="005675B2">
        <w:rPr>
          <w:rFonts w:hint="cs"/>
          <w:rtl/>
        </w:rPr>
        <w:t xml:space="preserve"> ما أظنُّ ذلك</w:t>
      </w:r>
      <w:r w:rsidR="000636C2">
        <w:rPr>
          <w:rFonts w:hint="cs"/>
          <w:rtl/>
        </w:rPr>
        <w:t>،</w:t>
      </w:r>
      <w:r w:rsidRPr="005675B2">
        <w:rPr>
          <w:rFonts w:hint="cs"/>
          <w:rtl/>
        </w:rPr>
        <w:t xml:space="preserve"> 7</w:t>
      </w:r>
      <w:r w:rsidR="000636C2">
        <w:rPr>
          <w:rFonts w:hint="cs"/>
          <w:rtl/>
        </w:rPr>
        <w:t xml:space="preserve"> </w:t>
      </w:r>
      <w:r w:rsidRPr="005675B2">
        <w:rPr>
          <w:rFonts w:hint="cs"/>
          <w:rtl/>
        </w:rPr>
        <w:t xml:space="preserve">- من الغريب أن يقول الباحث </w:t>
      </w:r>
      <w:r w:rsidR="000636C2">
        <w:rPr>
          <w:rFonts w:hint="cs"/>
          <w:rtl/>
        </w:rPr>
        <w:t>[</w:t>
      </w:r>
      <w:r w:rsidRPr="005675B2">
        <w:rPr>
          <w:rFonts w:hint="cs"/>
          <w:rtl/>
        </w:rPr>
        <w:t>.. وحسبك تكفيرهم واضطهادهم لشيخ الإسلام</w:t>
      </w:r>
      <w:r w:rsidR="000636C2">
        <w:rPr>
          <w:rFonts w:hint="cs"/>
          <w:rtl/>
        </w:rPr>
        <w:t>،</w:t>
      </w:r>
      <w:r w:rsidRPr="005675B2">
        <w:rPr>
          <w:rFonts w:hint="cs"/>
          <w:rtl/>
        </w:rPr>
        <w:t xml:space="preserve"> وهو ما لم يفعله أَهل السُّنة بعالم أَشعري قط</w:t>
      </w:r>
      <w:r w:rsidR="000636C2">
        <w:rPr>
          <w:rFonts w:hint="cs"/>
          <w:rtl/>
        </w:rPr>
        <w:t>]،</w:t>
      </w:r>
      <w:r w:rsidRPr="005675B2">
        <w:rPr>
          <w:rFonts w:hint="cs"/>
          <w:rtl/>
        </w:rPr>
        <w:t xml:space="preserve"> فهل كان من يسمِّيهم الباحث أَهل السُّنة يكفُّون ألسنتهم عن تكفير أَي عالم أشعري</w:t>
      </w:r>
      <w:r w:rsidR="000636C2">
        <w:rPr>
          <w:rFonts w:hint="cs"/>
          <w:rtl/>
        </w:rPr>
        <w:t>؟!</w:t>
      </w:r>
      <w:r w:rsidRPr="005675B2">
        <w:rPr>
          <w:rFonts w:hint="cs"/>
          <w:rtl/>
        </w:rPr>
        <w:t xml:space="preserve"> ما أظن ذلك</w:t>
      </w:r>
      <w:r w:rsidR="000636C2">
        <w:rPr>
          <w:rFonts w:hint="cs"/>
          <w:rtl/>
        </w:rPr>
        <w:t>،</w:t>
      </w:r>
      <w:r w:rsidRPr="005675B2">
        <w:rPr>
          <w:rFonts w:hint="cs"/>
          <w:rtl/>
        </w:rPr>
        <w:t xml:space="preserve"> وأَكتفي بنقل جزء من كلام ابن تيمية</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ظاهره أَنه يكفِّر خصومه الذين دعوه للحضور من الأمراء والقضاة ومن معهم</w:t>
      </w:r>
      <w:r w:rsidR="000636C2">
        <w:rPr>
          <w:rFonts w:hint="cs"/>
          <w:rtl/>
        </w:rPr>
        <w:t>،</w:t>
      </w:r>
      <w:r w:rsidRPr="005675B2">
        <w:rPr>
          <w:rFonts w:hint="cs"/>
          <w:rtl/>
        </w:rPr>
        <w:t xml:space="preserve"> إِذ يقول</w:t>
      </w:r>
      <w:r w:rsidR="000636C2">
        <w:rPr>
          <w:rFonts w:hint="cs"/>
          <w:rtl/>
        </w:rPr>
        <w:t>:</w:t>
      </w:r>
      <w:r w:rsidRPr="005675B2">
        <w:rPr>
          <w:rFonts w:hint="cs"/>
          <w:rtl/>
        </w:rPr>
        <w:t xml:space="preserve"> </w:t>
      </w:r>
      <w:r w:rsidR="000636C2">
        <w:rPr>
          <w:rFonts w:hint="cs"/>
          <w:rtl/>
        </w:rPr>
        <w:t>[</w:t>
      </w:r>
      <w:r w:rsidRPr="005675B2">
        <w:rPr>
          <w:rFonts w:hint="cs"/>
          <w:rtl/>
        </w:rPr>
        <w:t>فإِنه في آخر شهر رمضان سنة ست وعشرين وسبعمائة جاء أَميران رسولين من عند الملأ المجتمعين من الأمراء والقضاة ومن معهم ..</w:t>
      </w:r>
      <w:r w:rsidR="000636C2">
        <w:rPr>
          <w:rFonts w:hint="cs"/>
          <w:rtl/>
        </w:rPr>
        <w:t>]</w:t>
      </w:r>
      <w:r w:rsidRPr="005675B2">
        <w:rPr>
          <w:rFonts w:hint="cs"/>
          <w:rtl/>
        </w:rPr>
        <w:t xml:space="preserve"> ثم قال </w:t>
      </w:r>
      <w:r w:rsidR="000636C2">
        <w:rPr>
          <w:rFonts w:hint="cs"/>
          <w:rtl/>
        </w:rPr>
        <w:t>[</w:t>
      </w:r>
      <w:r w:rsidRPr="005675B2">
        <w:rPr>
          <w:rFonts w:hint="cs"/>
          <w:rtl/>
        </w:rPr>
        <w:t xml:space="preserve">فأخذا </w:t>
      </w:r>
      <w:r w:rsidR="000636C2">
        <w:rPr>
          <w:rFonts w:hint="cs"/>
          <w:rtl/>
        </w:rPr>
        <w:t>[</w:t>
      </w:r>
      <w:r>
        <w:rPr>
          <w:rFonts w:hint="cs"/>
          <w:rtl/>
        </w:rPr>
        <w:t>الجواب</w:t>
      </w:r>
      <w:r w:rsidR="000636C2">
        <w:rPr>
          <w:rFonts w:hint="cs"/>
          <w:rtl/>
        </w:rPr>
        <w:t xml:space="preserve">] </w:t>
      </w:r>
      <w:r w:rsidRPr="005675B2">
        <w:rPr>
          <w:rFonts w:hint="cs"/>
          <w:rtl/>
        </w:rPr>
        <w:t>وذهبا</w:t>
      </w:r>
      <w:r w:rsidR="000636C2">
        <w:rPr>
          <w:rFonts w:hint="cs"/>
          <w:rtl/>
        </w:rPr>
        <w:t>،</w:t>
      </w:r>
      <w:r w:rsidRPr="005675B2">
        <w:rPr>
          <w:rFonts w:hint="cs"/>
          <w:rtl/>
        </w:rPr>
        <w:t xml:space="preserve"> فأطالا الغيبة</w:t>
      </w:r>
      <w:r w:rsidR="000636C2">
        <w:rPr>
          <w:rFonts w:hint="cs"/>
          <w:rtl/>
        </w:rPr>
        <w:t>،</w:t>
      </w:r>
      <w:r w:rsidRPr="005675B2">
        <w:rPr>
          <w:rFonts w:hint="cs"/>
          <w:rtl/>
        </w:rPr>
        <w:t xml:space="preserve"> ثم رجعا ولم يأتيا بكلام محصل إِلا طلب الحضور</w:t>
      </w:r>
      <w:r w:rsidR="000636C2">
        <w:rPr>
          <w:rFonts w:hint="cs"/>
          <w:rtl/>
        </w:rPr>
        <w:t>،</w:t>
      </w:r>
      <w:r w:rsidRPr="005675B2">
        <w:rPr>
          <w:rFonts w:hint="cs"/>
          <w:rtl/>
        </w:rPr>
        <w:t xml:space="preserve"> فأَغلظت لهم في </w:t>
      </w:r>
      <w:r w:rsidR="000636C2">
        <w:rPr>
          <w:rFonts w:hint="cs"/>
          <w:rtl/>
        </w:rPr>
        <w:t>[</w:t>
      </w:r>
      <w:r>
        <w:rPr>
          <w:rFonts w:hint="cs"/>
          <w:rtl/>
        </w:rPr>
        <w:t>الجواب</w:t>
      </w:r>
      <w:r w:rsidR="000636C2">
        <w:rPr>
          <w:rFonts w:hint="cs"/>
          <w:rtl/>
        </w:rPr>
        <w:t>]،</w:t>
      </w:r>
      <w:r w:rsidRPr="005675B2">
        <w:rPr>
          <w:rFonts w:hint="cs"/>
          <w:rtl/>
        </w:rPr>
        <w:t xml:space="preserve"> وقلت لهم بصوت رفيع</w:t>
      </w:r>
      <w:r w:rsidR="000636C2">
        <w:rPr>
          <w:rFonts w:hint="cs"/>
          <w:rtl/>
        </w:rPr>
        <w:t>:</w:t>
      </w:r>
      <w:r w:rsidRPr="005675B2">
        <w:rPr>
          <w:rFonts w:hint="cs"/>
          <w:rtl/>
        </w:rPr>
        <w:t xml:space="preserve"> يا مبدِّلين</w:t>
      </w:r>
      <w:r w:rsidR="000636C2">
        <w:rPr>
          <w:rFonts w:hint="cs"/>
          <w:rtl/>
        </w:rPr>
        <w:t>،</w:t>
      </w:r>
      <w:r w:rsidRPr="005675B2">
        <w:rPr>
          <w:rFonts w:hint="cs"/>
          <w:rtl/>
        </w:rPr>
        <w:t xml:space="preserve"> يا مرتدين عن الشَّريعة</w:t>
      </w:r>
      <w:r w:rsidR="000636C2">
        <w:rPr>
          <w:rFonts w:hint="cs"/>
          <w:rtl/>
        </w:rPr>
        <w:t>،</w:t>
      </w:r>
      <w:r w:rsidRPr="005675B2">
        <w:rPr>
          <w:rFonts w:hint="cs"/>
          <w:rtl/>
        </w:rPr>
        <w:t xml:space="preserve"> يا زنادقة</w:t>
      </w:r>
      <w:r w:rsidR="000636C2">
        <w:rPr>
          <w:rFonts w:hint="cs"/>
          <w:rtl/>
        </w:rPr>
        <w:t>]</w:t>
      </w:r>
      <w:r w:rsidRPr="005675B2">
        <w:rPr>
          <w:rFonts w:hint="cs"/>
          <w:rtl/>
        </w:rPr>
        <w:t xml:space="preserve"> [</w:t>
      </w:r>
      <w:r w:rsidRPr="005675B2">
        <w:rPr>
          <w:rFonts w:hint="cs"/>
          <w:sz w:val="24"/>
          <w:szCs w:val="24"/>
          <w:rtl/>
        </w:rPr>
        <w:t>التسعينية لابن تيمية: ص 2</w:t>
      </w:r>
      <w:r w:rsidR="000636C2">
        <w:rPr>
          <w:rFonts w:hint="cs"/>
          <w:sz w:val="24"/>
          <w:szCs w:val="24"/>
          <w:rtl/>
        </w:rPr>
        <w:t>،</w:t>
      </w:r>
      <w:r w:rsidRPr="005675B2">
        <w:rPr>
          <w:rFonts w:hint="cs"/>
          <w:sz w:val="24"/>
          <w:szCs w:val="24"/>
          <w:rtl/>
        </w:rPr>
        <w:t xml:space="preserve"> 4</w:t>
      </w:r>
      <w:r w:rsidR="000636C2">
        <w:rPr>
          <w:rFonts w:hint="cs"/>
          <w:sz w:val="24"/>
          <w:szCs w:val="24"/>
          <w:rtl/>
        </w:rPr>
        <w:t>]</w:t>
      </w:r>
      <w:r w:rsidR="000636C2">
        <w:rPr>
          <w:rFonts w:hint="cs"/>
          <w:rtl/>
        </w:rPr>
        <w:t>،</w:t>
      </w:r>
      <w:r w:rsidRPr="005675B2">
        <w:rPr>
          <w:rFonts w:hint="cs"/>
          <w:rtl/>
        </w:rPr>
        <w:t xml:space="preserve"> فمن هم المعنيُّون بأَنهم مبدِّلون ومرتدُّون عن الشريعة وزنادقة</w:t>
      </w:r>
      <w:r w:rsidR="000636C2">
        <w:rPr>
          <w:rFonts w:hint="cs"/>
          <w:rtl/>
        </w:rPr>
        <w:t>؟؟</w:t>
      </w:r>
      <w:r w:rsidRPr="005675B2">
        <w:rPr>
          <w:rFonts w:hint="cs"/>
          <w:rtl/>
        </w:rPr>
        <w:t xml:space="preserve"> الأميران المرسلان من قبل الملأ</w:t>
      </w:r>
      <w:r w:rsidR="000636C2">
        <w:rPr>
          <w:rFonts w:hint="cs"/>
          <w:rtl/>
        </w:rPr>
        <w:t>؟</w:t>
      </w:r>
      <w:r w:rsidRPr="005675B2">
        <w:rPr>
          <w:rFonts w:hint="cs"/>
          <w:rtl/>
        </w:rPr>
        <w:t xml:space="preserve"> أو الملأ الذين أَرسلوا الرسولين من الأمراء والقضاة والعلماء الذين معهم</w:t>
      </w:r>
      <w:r w:rsidR="000636C2">
        <w:rPr>
          <w:rFonts w:hint="cs"/>
          <w:rtl/>
        </w:rPr>
        <w:t xml:space="preserve">؟، </w:t>
      </w:r>
      <w:r w:rsidRPr="005675B2">
        <w:rPr>
          <w:rFonts w:hint="cs"/>
          <w:rtl/>
        </w:rPr>
        <w:t>8</w:t>
      </w:r>
      <w:r w:rsidR="000636C2">
        <w:rPr>
          <w:rFonts w:hint="cs"/>
          <w:rtl/>
        </w:rPr>
        <w:t xml:space="preserve"> </w:t>
      </w:r>
      <w:r w:rsidRPr="005675B2">
        <w:rPr>
          <w:rFonts w:hint="cs"/>
          <w:rtl/>
        </w:rPr>
        <w:t>- وأَما الألفاظ التي ليس فيها تكفير ولكنها من السبِّ الذي يجب على المسلم</w:t>
      </w:r>
      <w:r w:rsidR="000636C2">
        <w:rPr>
          <w:rFonts w:hint="cs"/>
          <w:rtl/>
        </w:rPr>
        <w:t xml:space="preserve"> </w:t>
      </w:r>
      <w:r w:rsidRPr="005675B2">
        <w:rPr>
          <w:rFonts w:hint="cs"/>
          <w:rtl/>
        </w:rPr>
        <w:t>- فضلاً عن العالم</w:t>
      </w:r>
      <w:r w:rsidR="000636C2">
        <w:rPr>
          <w:rFonts w:hint="cs"/>
          <w:rtl/>
        </w:rPr>
        <w:t xml:space="preserve"> </w:t>
      </w:r>
      <w:r w:rsidRPr="005675B2">
        <w:rPr>
          <w:rFonts w:hint="cs"/>
          <w:rtl/>
        </w:rPr>
        <w:t>- أَن ينـزِّه عنه لسانَه وقلمه فاقرأْ هذا المثال</w:t>
      </w:r>
      <w:r w:rsidR="000636C2">
        <w:rPr>
          <w:rFonts w:hint="cs"/>
          <w:rtl/>
        </w:rPr>
        <w:t xml:space="preserve">: </w:t>
      </w:r>
      <w:r w:rsidRPr="005675B2">
        <w:rPr>
          <w:rFonts w:hint="cs"/>
          <w:rtl/>
        </w:rPr>
        <w:t>قال ابن تيمية</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كما يقال الأَشعرية مخانيثُ المعتزلة</w:t>
      </w:r>
      <w:r w:rsidR="000636C2">
        <w:rPr>
          <w:rFonts w:hint="cs"/>
          <w:rtl/>
        </w:rPr>
        <w:t>،</w:t>
      </w:r>
      <w:r w:rsidRPr="005675B2">
        <w:rPr>
          <w:rFonts w:hint="cs"/>
          <w:rtl/>
        </w:rPr>
        <w:t xml:space="preserve"> والمعتزلة مخانيث الفلاسفة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 وإِنما اعتقادهم أَنَّ القرآن غيرُ موجود</w:t>
      </w:r>
      <w:r w:rsidR="000636C2">
        <w:rPr>
          <w:rFonts w:hint="cs"/>
          <w:rtl/>
        </w:rPr>
        <w:t>،</w:t>
      </w:r>
      <w:r w:rsidRPr="005675B2">
        <w:rPr>
          <w:rFonts w:hint="cs"/>
          <w:rtl/>
        </w:rPr>
        <w:t xml:space="preserve"> لفظته الجهمية الذكور بمرَّة والأشعرية الإناث بعشرِ مرات</w:t>
      </w:r>
      <w:r w:rsidR="000636C2">
        <w:rPr>
          <w:rFonts w:hint="cs"/>
          <w:rtl/>
        </w:rPr>
        <w:t>]</w:t>
      </w:r>
      <w:r w:rsidRPr="005675B2">
        <w:rPr>
          <w:rFonts w:hint="cs"/>
          <w:rtl/>
        </w:rPr>
        <w:t xml:space="preserve"> [</w:t>
      </w:r>
      <w:r w:rsidRPr="005675B2">
        <w:rPr>
          <w:rFonts w:hint="cs"/>
          <w:sz w:val="24"/>
          <w:szCs w:val="24"/>
          <w:rtl/>
        </w:rPr>
        <w:t>المصدر السابق: ص 272</w:t>
      </w:r>
      <w:r w:rsidR="000636C2">
        <w:rPr>
          <w:rFonts w:hint="cs"/>
          <w:sz w:val="24"/>
          <w:szCs w:val="24"/>
          <w:rtl/>
        </w:rPr>
        <w:t>،</w:t>
      </w:r>
      <w:r w:rsidRPr="005675B2">
        <w:rPr>
          <w:rFonts w:hint="cs"/>
          <w:sz w:val="24"/>
          <w:szCs w:val="24"/>
          <w:rtl/>
        </w:rPr>
        <w:t xml:space="preserve"> 276</w:t>
      </w:r>
      <w:r w:rsidR="000636C2">
        <w:rPr>
          <w:rFonts w:hint="cs"/>
          <w:sz w:val="24"/>
          <w:szCs w:val="24"/>
          <w:rtl/>
        </w:rPr>
        <w:t>]</w:t>
      </w:r>
      <w:r w:rsidR="000636C2">
        <w:rPr>
          <w:rFonts w:hint="cs"/>
          <w:rtl/>
        </w:rPr>
        <w:t>،</w:t>
      </w:r>
      <w:r w:rsidRPr="005675B2">
        <w:rPr>
          <w:rFonts w:hint="cs"/>
          <w:rtl/>
        </w:rPr>
        <w:t xml:space="preserve"> فهل التلفُّظ بمثل هذا مما يليق بعالم من علماء المسلمين</w:t>
      </w:r>
      <w:r w:rsidR="000636C2">
        <w:rPr>
          <w:rFonts w:hint="cs"/>
          <w:rtl/>
        </w:rPr>
        <w:t xml:space="preserve">؟، </w:t>
      </w:r>
      <w:r w:rsidRPr="005675B2">
        <w:rPr>
          <w:rFonts w:hint="cs"/>
          <w:rtl/>
        </w:rPr>
        <w:t>9</w:t>
      </w:r>
      <w:r w:rsidR="000636C2">
        <w:rPr>
          <w:rFonts w:hint="cs"/>
          <w:rtl/>
        </w:rPr>
        <w:t xml:space="preserve"> </w:t>
      </w:r>
      <w:r w:rsidRPr="005675B2">
        <w:rPr>
          <w:rFonts w:hint="cs"/>
          <w:rtl/>
        </w:rPr>
        <w:t>- هل كان من يسمِّيهم الباحث أَهل السُّنة يكفُّون أَيديهم عن اضطهاد أَي عالم أَشعري</w:t>
      </w:r>
      <w:r w:rsidR="000636C2">
        <w:rPr>
          <w:rFonts w:hint="cs"/>
          <w:rtl/>
        </w:rPr>
        <w:t>؟!</w:t>
      </w:r>
      <w:r w:rsidRPr="005675B2">
        <w:rPr>
          <w:rFonts w:hint="cs"/>
          <w:rtl/>
        </w:rPr>
        <w:t xml:space="preserve"> ما أَظن ذلك</w:t>
      </w:r>
      <w:r w:rsidR="000636C2">
        <w:rPr>
          <w:rFonts w:hint="cs"/>
          <w:rtl/>
        </w:rPr>
        <w:t>،</w:t>
      </w:r>
      <w:r w:rsidRPr="005675B2">
        <w:rPr>
          <w:rFonts w:hint="cs"/>
          <w:rtl/>
        </w:rPr>
        <w:t xml:space="preserve"> وأَكتفي ببعض النقول التي تبين لك شيئاً من حقيقة الأمر</w:t>
      </w:r>
      <w:r w:rsidR="000636C2">
        <w:rPr>
          <w:rFonts w:hint="cs"/>
          <w:rtl/>
        </w:rPr>
        <w:t xml:space="preserve">: </w:t>
      </w:r>
      <w:r w:rsidRPr="005675B2">
        <w:rPr>
          <w:rFonts w:hint="cs"/>
          <w:rtl/>
        </w:rPr>
        <w:t xml:space="preserve">قال ابن أَبي يعلى في ترجـمة الشـريف أبي جعفر عبد الخالق بن عيسى العباسي المتوفى سـنة </w:t>
      </w:r>
      <w:r w:rsidR="000636C2">
        <w:rPr>
          <w:rFonts w:hint="cs"/>
          <w:rtl/>
        </w:rPr>
        <w:t>(</w:t>
      </w:r>
      <w:r w:rsidRPr="005675B2">
        <w:rPr>
          <w:rFonts w:hint="cs"/>
          <w:rtl/>
        </w:rPr>
        <w:t>470 ه -</w:t>
      </w:r>
      <w:r w:rsidR="000636C2">
        <w:rPr>
          <w:rFonts w:hint="cs"/>
          <w:rtl/>
        </w:rPr>
        <w:t>)</w:t>
      </w:r>
      <w:r w:rsidRPr="005675B2">
        <w:rPr>
          <w:rFonts w:hint="cs"/>
          <w:rtl/>
        </w:rPr>
        <w:t xml:space="preserve"> وهو يصف ما جرى بينه وبين أَبي نصر عبد الرحيم ابن أَبي القاسم عبد الكريم بن هوازن القشيري المتوفى سنة </w:t>
      </w:r>
      <w:r w:rsidR="000636C2">
        <w:rPr>
          <w:rFonts w:hint="cs"/>
          <w:rtl/>
        </w:rPr>
        <w:t>(</w:t>
      </w:r>
      <w:r w:rsidRPr="005675B2">
        <w:rPr>
          <w:rFonts w:hint="cs"/>
          <w:rtl/>
        </w:rPr>
        <w:t>514ه -</w:t>
      </w:r>
      <w:r w:rsidR="000636C2">
        <w:rPr>
          <w:rFonts w:hint="cs"/>
          <w:rtl/>
        </w:rPr>
        <w:t>):</w:t>
      </w:r>
      <w:r w:rsidRPr="005675B2">
        <w:rPr>
          <w:rFonts w:hint="cs"/>
          <w:rtl/>
        </w:rPr>
        <w:t xml:space="preserve"> </w:t>
      </w:r>
      <w:r w:rsidR="000636C2">
        <w:rPr>
          <w:rFonts w:hint="cs"/>
          <w:rtl/>
        </w:rPr>
        <w:t>[</w:t>
      </w:r>
      <w:r w:rsidRPr="005675B2">
        <w:rPr>
          <w:rFonts w:hint="cs"/>
          <w:rtl/>
        </w:rPr>
        <w:t>فوصل إلى مدينة السَّلام بالجانب الشرقي ولدُ القشيري</w:t>
      </w:r>
      <w:r w:rsidR="000636C2">
        <w:rPr>
          <w:rFonts w:hint="cs"/>
          <w:rtl/>
        </w:rPr>
        <w:t>،</w:t>
      </w:r>
      <w:r w:rsidRPr="005675B2">
        <w:rPr>
          <w:rFonts w:hint="cs"/>
          <w:rtl/>
        </w:rPr>
        <w:t xml:space="preserve"> وأَظهر على الكرسي مقالةَ الأشعري</w:t>
      </w:r>
      <w:r w:rsidR="000636C2">
        <w:rPr>
          <w:rFonts w:hint="cs"/>
          <w:rtl/>
        </w:rPr>
        <w:t>،</w:t>
      </w:r>
      <w:r w:rsidRPr="005675B2">
        <w:rPr>
          <w:rFonts w:hint="cs"/>
          <w:rtl/>
        </w:rPr>
        <w:t xml:space="preserve"> ولم تكن ظهرت قبل ذلك على رؤوس الأَشهاد</w:t>
      </w:r>
      <w:r w:rsidR="000636C2">
        <w:rPr>
          <w:rFonts w:hint="cs"/>
          <w:rtl/>
        </w:rPr>
        <w:t>،</w:t>
      </w:r>
      <w:r w:rsidRPr="005675B2">
        <w:rPr>
          <w:rFonts w:hint="cs"/>
          <w:rtl/>
        </w:rPr>
        <w:t xml:space="preserve"> لما كان يلحقهم من أَيدي أَصحابنا وقمعهم لهم</w:t>
      </w:r>
      <w:r w:rsidR="000636C2">
        <w:rPr>
          <w:rFonts w:hint="cs"/>
          <w:rtl/>
        </w:rPr>
        <w:t>،</w:t>
      </w:r>
      <w:r w:rsidRPr="005675B2">
        <w:rPr>
          <w:rFonts w:hint="cs"/>
          <w:rtl/>
        </w:rPr>
        <w:t xml:space="preserve"> فعظُم ذلك عليه</w:t>
      </w:r>
      <w:r w:rsidR="000636C2">
        <w:rPr>
          <w:rFonts w:hint="cs"/>
          <w:rtl/>
        </w:rPr>
        <w:t>،</w:t>
      </w:r>
      <w:r w:rsidRPr="005675B2">
        <w:rPr>
          <w:rFonts w:hint="cs"/>
          <w:rtl/>
        </w:rPr>
        <w:t xml:space="preserve"> وأَنكره غايةَ الإنكار ..</w:t>
      </w:r>
      <w:r w:rsidR="000636C2">
        <w:rPr>
          <w:rFonts w:hint="cs"/>
          <w:rtl/>
        </w:rPr>
        <w:t>،</w:t>
      </w:r>
      <w:r w:rsidRPr="005675B2">
        <w:rPr>
          <w:rFonts w:hint="cs"/>
          <w:rtl/>
        </w:rPr>
        <w:t xml:space="preserve"> فاشتدَّ أَزر أَهل السُّنة</w:t>
      </w:r>
      <w:r w:rsidR="000636C2">
        <w:rPr>
          <w:rFonts w:hint="cs"/>
          <w:rtl/>
        </w:rPr>
        <w:t>،</w:t>
      </w:r>
      <w:r w:rsidRPr="005675B2">
        <w:rPr>
          <w:rFonts w:hint="cs"/>
          <w:rtl/>
        </w:rPr>
        <w:t xml:space="preserve"> وقويت كلمتهم</w:t>
      </w:r>
      <w:r w:rsidR="000636C2">
        <w:rPr>
          <w:rFonts w:hint="cs"/>
          <w:rtl/>
        </w:rPr>
        <w:t>،</w:t>
      </w:r>
      <w:r w:rsidRPr="005675B2">
        <w:rPr>
          <w:rFonts w:hint="cs"/>
          <w:rtl/>
        </w:rPr>
        <w:t xml:space="preserve"> وأوقعوا بأَهل هذه البدعة دفعات</w:t>
      </w:r>
      <w:r w:rsidR="000636C2">
        <w:rPr>
          <w:rFonts w:hint="cs"/>
          <w:rtl/>
        </w:rPr>
        <w:t>،</w:t>
      </w:r>
      <w:r w:rsidRPr="005675B2">
        <w:rPr>
          <w:rFonts w:hint="cs"/>
          <w:rtl/>
        </w:rPr>
        <w:t xml:space="preserve"> وكانت الغلبة لطائفتنا طائفة الحقِّ ..</w:t>
      </w:r>
      <w:r w:rsidR="000636C2">
        <w:rPr>
          <w:rFonts w:hint="cs"/>
          <w:rtl/>
        </w:rPr>
        <w:t>،]</w:t>
      </w:r>
      <w:r w:rsidRPr="005675B2">
        <w:rPr>
          <w:rFonts w:hint="cs"/>
          <w:rtl/>
        </w:rPr>
        <w:t xml:space="preserve"> [</w:t>
      </w:r>
      <w:r w:rsidRPr="005675B2">
        <w:rPr>
          <w:rFonts w:hint="cs"/>
          <w:sz w:val="24"/>
          <w:szCs w:val="24"/>
          <w:rtl/>
        </w:rPr>
        <w:t>طبقات الحنابلة لابن أبي يعلى: 2 / 239</w:t>
      </w:r>
      <w:r w:rsidR="000636C2">
        <w:rPr>
          <w:rFonts w:hint="cs"/>
          <w:sz w:val="24"/>
          <w:szCs w:val="24"/>
          <w:rtl/>
        </w:rPr>
        <w:t>]</w:t>
      </w:r>
      <w:r w:rsidRPr="005675B2">
        <w:rPr>
          <w:rFonts w:hint="cs"/>
          <w:rtl/>
        </w:rPr>
        <w:t xml:space="preserve">، وتأَمَّل قول ابن أبي يعلى </w:t>
      </w:r>
      <w:r w:rsidR="000636C2">
        <w:rPr>
          <w:rFonts w:hint="cs"/>
          <w:rtl/>
        </w:rPr>
        <w:t>[</w:t>
      </w:r>
      <w:r w:rsidRPr="005675B2">
        <w:rPr>
          <w:rFonts w:hint="cs"/>
          <w:rtl/>
        </w:rPr>
        <w:t>لما كان يلحقهم من أَيدي أصحابنا وقمعهم لهم</w:t>
      </w:r>
      <w:r w:rsidR="000636C2">
        <w:rPr>
          <w:rFonts w:hint="cs"/>
          <w:rtl/>
        </w:rPr>
        <w:t>]!،</w:t>
      </w:r>
      <w:r w:rsidRPr="005675B2">
        <w:rPr>
          <w:rFonts w:hint="cs"/>
          <w:rtl/>
        </w:rPr>
        <w:t xml:space="preserve"> وابن أبي يعلى كان ممن صحب الشريف أبا جعفر ولازمه خمسَ سنين</w:t>
      </w:r>
      <w:r w:rsidR="000636C2">
        <w:rPr>
          <w:rFonts w:hint="cs"/>
          <w:rtl/>
        </w:rPr>
        <w:t>،</w:t>
      </w:r>
      <w:r w:rsidRPr="005675B2">
        <w:rPr>
          <w:rFonts w:hint="cs"/>
          <w:rtl/>
        </w:rPr>
        <w:t xml:space="preserve"> وقد ذكر ابنُ رجب نحواً من هذه الواقعة</w:t>
      </w:r>
      <w:r w:rsidR="000636C2">
        <w:rPr>
          <w:rFonts w:hint="cs"/>
          <w:rtl/>
        </w:rPr>
        <w:t>،</w:t>
      </w:r>
      <w:r w:rsidRPr="005675B2">
        <w:rPr>
          <w:rFonts w:hint="cs"/>
          <w:rtl/>
        </w:rPr>
        <w:t xml:space="preserve"> وكان مما قال</w:t>
      </w:r>
      <w:r w:rsidR="000636C2">
        <w:rPr>
          <w:rFonts w:hint="cs"/>
          <w:rtl/>
        </w:rPr>
        <w:t>:</w:t>
      </w:r>
      <w:r w:rsidRPr="005675B2">
        <w:rPr>
          <w:rFonts w:hint="cs"/>
          <w:rtl/>
        </w:rPr>
        <w:t xml:space="preserve"> </w:t>
      </w:r>
      <w:r w:rsidR="000636C2">
        <w:rPr>
          <w:rFonts w:hint="cs"/>
          <w:rtl/>
        </w:rPr>
        <w:t>[</w:t>
      </w:r>
      <w:r w:rsidRPr="005675B2">
        <w:rPr>
          <w:rFonts w:hint="cs"/>
          <w:rtl/>
        </w:rPr>
        <w:t>ومضمون ذلك أَنَّ أَبا نصر ابن القشيري ورد بغداد سنة تسع وستين وأَربعمائة</w:t>
      </w:r>
      <w:r w:rsidR="000636C2">
        <w:rPr>
          <w:rFonts w:hint="cs"/>
          <w:rtl/>
        </w:rPr>
        <w:t>،</w:t>
      </w:r>
      <w:r w:rsidRPr="005675B2">
        <w:rPr>
          <w:rFonts w:hint="cs"/>
          <w:rtl/>
        </w:rPr>
        <w:t xml:space="preserve"> وجلس في النِّظامية</w:t>
      </w:r>
      <w:r w:rsidR="000636C2">
        <w:rPr>
          <w:rFonts w:hint="cs"/>
          <w:rtl/>
        </w:rPr>
        <w:t>،</w:t>
      </w:r>
      <w:r w:rsidRPr="005675B2">
        <w:rPr>
          <w:rFonts w:hint="cs"/>
          <w:rtl/>
        </w:rPr>
        <w:t xml:space="preserve"> وأَخذ يذمُّ الحنابلة وينسبهم إِلى التجسيم ..</w:t>
      </w:r>
      <w:r w:rsidR="000636C2">
        <w:rPr>
          <w:rFonts w:hint="cs"/>
          <w:rtl/>
        </w:rPr>
        <w:t>،</w:t>
      </w:r>
      <w:r w:rsidRPr="005675B2">
        <w:rPr>
          <w:rFonts w:hint="cs"/>
          <w:rtl/>
        </w:rPr>
        <w:t xml:space="preserve"> فاتفق جماعة من أَتباعه على الهجوم على الشريف أَبي جعفر في مسجده والإيقاع به</w:t>
      </w:r>
      <w:r w:rsidR="000636C2">
        <w:rPr>
          <w:rFonts w:hint="cs"/>
          <w:rtl/>
        </w:rPr>
        <w:t>،</w:t>
      </w:r>
      <w:r w:rsidRPr="005675B2">
        <w:rPr>
          <w:rFonts w:hint="cs"/>
          <w:rtl/>
        </w:rPr>
        <w:t xml:space="preserve"> فرتب الشريف جماعة أَعدهم لردِّ خصومه إِن وقعت</w:t>
      </w:r>
      <w:r w:rsidR="000636C2">
        <w:rPr>
          <w:rFonts w:hint="cs"/>
          <w:rtl/>
        </w:rPr>
        <w:t>،</w:t>
      </w:r>
      <w:r w:rsidRPr="005675B2">
        <w:rPr>
          <w:rFonts w:hint="cs"/>
          <w:rtl/>
        </w:rPr>
        <w:t xml:space="preserve"> فلما وصل أولئك إِلى باب المسجد رماهم هؤلاء بالآجرِّ</w:t>
      </w:r>
      <w:r w:rsidR="000636C2">
        <w:rPr>
          <w:rFonts w:hint="cs"/>
          <w:rtl/>
        </w:rPr>
        <w:t>،</w:t>
      </w:r>
      <w:r w:rsidRPr="005675B2">
        <w:rPr>
          <w:rFonts w:hint="cs"/>
          <w:rtl/>
        </w:rPr>
        <w:t xml:space="preserve"> فوقعت الفتنة</w:t>
      </w:r>
      <w:r w:rsidR="000636C2">
        <w:rPr>
          <w:rFonts w:hint="cs"/>
          <w:rtl/>
        </w:rPr>
        <w:t>،</w:t>
      </w:r>
      <w:r w:rsidRPr="005675B2">
        <w:rPr>
          <w:rFonts w:hint="cs"/>
          <w:rtl/>
        </w:rPr>
        <w:t xml:space="preserve"> وقُتل من أولئك رجل من العامة وجرح آخرون ..</w:t>
      </w:r>
      <w:r w:rsidR="000636C2">
        <w:rPr>
          <w:rFonts w:hint="cs"/>
          <w:rtl/>
        </w:rPr>
        <w:t>،]</w:t>
      </w:r>
      <w:r w:rsidRPr="005675B2">
        <w:rPr>
          <w:rFonts w:hint="cs"/>
          <w:rtl/>
        </w:rPr>
        <w:t xml:space="preserve"> [</w:t>
      </w:r>
      <w:r w:rsidRPr="005675B2">
        <w:rPr>
          <w:rFonts w:hint="cs"/>
          <w:sz w:val="24"/>
          <w:szCs w:val="24"/>
          <w:rtl/>
        </w:rPr>
        <w:t xml:space="preserve">ذيل طبقات الحنابلة لابن رجب: 1 / 19 – 20 . وذكر ابن الجوزي نحواً من ذلك في المنتظم </w:t>
      </w:r>
      <w:r w:rsidR="000636C2">
        <w:rPr>
          <w:rFonts w:hint="cs"/>
          <w:sz w:val="24"/>
          <w:szCs w:val="24"/>
          <w:rtl/>
        </w:rPr>
        <w:t>(</w:t>
      </w:r>
      <w:r w:rsidRPr="005675B2">
        <w:rPr>
          <w:rFonts w:hint="cs"/>
          <w:sz w:val="24"/>
          <w:szCs w:val="24"/>
          <w:rtl/>
        </w:rPr>
        <w:t>8 / 305</w:t>
      </w:r>
      <w:r w:rsidR="000636C2">
        <w:rPr>
          <w:rFonts w:hint="cs"/>
          <w:sz w:val="24"/>
          <w:szCs w:val="24"/>
          <w:rtl/>
        </w:rPr>
        <w:t>)</w:t>
      </w:r>
      <w:r w:rsidRPr="005675B2">
        <w:rPr>
          <w:rFonts w:hint="cs"/>
          <w:sz w:val="24"/>
          <w:szCs w:val="24"/>
          <w:rtl/>
        </w:rPr>
        <w:t xml:space="preserve"> وأرخ الحادثة في شوال من تلك السنة</w:t>
      </w:r>
      <w:r w:rsidR="000636C2">
        <w:rPr>
          <w:rFonts w:hint="cs"/>
          <w:sz w:val="24"/>
          <w:szCs w:val="24"/>
          <w:rtl/>
        </w:rPr>
        <w:t>]</w:t>
      </w:r>
      <w:r w:rsidR="000636C2">
        <w:rPr>
          <w:rFonts w:hint="cs"/>
          <w:rtl/>
        </w:rPr>
        <w:t>،</w:t>
      </w:r>
      <w:r w:rsidRPr="005675B2">
        <w:rPr>
          <w:rFonts w:hint="cs"/>
          <w:rtl/>
        </w:rPr>
        <w:t xml:space="preserve"> قال الباحث</w:t>
      </w:r>
      <w:r w:rsidR="000636C2">
        <w:rPr>
          <w:rFonts w:hint="cs"/>
          <w:rtl/>
        </w:rPr>
        <w:t>:</w:t>
      </w:r>
      <w:r w:rsidRPr="005675B2">
        <w:rPr>
          <w:rFonts w:hint="cs"/>
          <w:rtl/>
        </w:rPr>
        <w:t xml:space="preserve"> </w:t>
      </w:r>
      <w:r w:rsidR="000636C2">
        <w:rPr>
          <w:rFonts w:hint="cs"/>
          <w:rtl/>
        </w:rPr>
        <w:t>[</w:t>
      </w:r>
      <w:r w:rsidRPr="005675B2">
        <w:rPr>
          <w:rFonts w:hint="cs"/>
          <w:rtl/>
        </w:rPr>
        <w:t>فيا عجباً لهؤلاء القوم</w:t>
      </w:r>
      <w:r w:rsidR="000636C2">
        <w:rPr>
          <w:rFonts w:hint="cs"/>
          <w:rtl/>
        </w:rPr>
        <w:t>،</w:t>
      </w:r>
      <w:r w:rsidRPr="005675B2">
        <w:rPr>
          <w:rFonts w:hint="cs"/>
          <w:rtl/>
        </w:rPr>
        <w:t xml:space="preserve"> يكفِّرونه ثم يدَّعون أَنهم وإياه على مذهب واحد ويشملهم جميعاً اسم السنة والجماعة</w:t>
      </w:r>
      <w:r w:rsidR="000636C2">
        <w:rPr>
          <w:rFonts w:hint="cs"/>
          <w:rtl/>
        </w:rPr>
        <w:t>!</w:t>
      </w:r>
      <w:r w:rsidRPr="005675B2">
        <w:rPr>
          <w:rFonts w:hint="cs"/>
          <w:rtl/>
        </w:rPr>
        <w:t>! ..</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إِن مصطلح أَهل السنة والجماعة يُطلق ويراد به معنيان</w:t>
      </w:r>
      <w:r w:rsidR="000636C2">
        <w:rPr>
          <w:rFonts w:hint="cs"/>
          <w:rtl/>
        </w:rPr>
        <w:t>:</w:t>
      </w:r>
      <w:r w:rsidRPr="005675B2">
        <w:rPr>
          <w:rFonts w:hint="cs"/>
          <w:rtl/>
        </w:rPr>
        <w:t xml:space="preserve"> </w:t>
      </w:r>
      <w:r w:rsidR="000636C2">
        <w:rPr>
          <w:rFonts w:hint="cs"/>
          <w:rtl/>
        </w:rPr>
        <w:t>[</w:t>
      </w:r>
      <w:r w:rsidRPr="005675B2">
        <w:rPr>
          <w:rFonts w:hint="cs"/>
          <w:rtl/>
        </w:rPr>
        <w:t>المعنى الأَعم</w:t>
      </w:r>
      <w:r w:rsidR="000636C2">
        <w:rPr>
          <w:rFonts w:hint="cs"/>
          <w:rtl/>
        </w:rPr>
        <w:t>:</w:t>
      </w:r>
      <w:r w:rsidRPr="005675B2">
        <w:rPr>
          <w:rFonts w:hint="cs"/>
          <w:rtl/>
        </w:rPr>
        <w:t xml:space="preserve"> وهو ما يقابل الشِّيعة ..</w:t>
      </w:r>
      <w:r w:rsidR="000636C2">
        <w:rPr>
          <w:rFonts w:hint="cs"/>
          <w:rtl/>
        </w:rPr>
        <w:t>،</w:t>
      </w:r>
      <w:r w:rsidRPr="005675B2">
        <w:rPr>
          <w:rFonts w:hint="cs"/>
          <w:rtl/>
        </w:rPr>
        <w:t xml:space="preserve"> وهذا المعنى يدخل فيه كل من سوى الشيعة كالأَشاعرة ..</w:t>
      </w:r>
      <w:r w:rsidR="000636C2">
        <w:rPr>
          <w:rFonts w:hint="cs"/>
          <w:rtl/>
        </w:rPr>
        <w:t>،</w:t>
      </w:r>
      <w:r w:rsidRPr="005675B2">
        <w:rPr>
          <w:rFonts w:hint="cs"/>
          <w:rtl/>
        </w:rPr>
        <w:t xml:space="preserve"> </w:t>
      </w:r>
      <w:r w:rsidR="000636C2">
        <w:rPr>
          <w:rFonts w:hint="cs"/>
          <w:rtl/>
        </w:rPr>
        <w:t>[</w:t>
      </w:r>
      <w:r w:rsidRPr="005675B2">
        <w:rPr>
          <w:rFonts w:hint="cs"/>
          <w:rtl/>
        </w:rPr>
        <w:t>المعنى الأَخص</w:t>
      </w:r>
      <w:r w:rsidR="000636C2">
        <w:rPr>
          <w:rFonts w:hint="cs"/>
          <w:rtl/>
        </w:rPr>
        <w:t>:</w:t>
      </w:r>
      <w:r w:rsidRPr="005675B2">
        <w:rPr>
          <w:rFonts w:hint="cs"/>
          <w:rtl/>
        </w:rPr>
        <w:t xml:space="preserve"> وهو ما يقابل المبتدعة وأَهل الأهواء ..</w:t>
      </w:r>
      <w:r w:rsidR="000636C2">
        <w:rPr>
          <w:rFonts w:hint="cs"/>
          <w:rtl/>
        </w:rPr>
        <w:t>،</w:t>
      </w:r>
      <w:r w:rsidRPr="005675B2">
        <w:rPr>
          <w:rFonts w:hint="cs"/>
          <w:rtl/>
        </w:rPr>
        <w:t xml:space="preserve"> وهذا المعنى لا يدخل فيه الأَشاعرة أبداً</w:t>
      </w:r>
      <w:r w:rsidR="000636C2">
        <w:rPr>
          <w:rFonts w:hint="cs"/>
          <w:rtl/>
        </w:rPr>
        <w:t>،</w:t>
      </w:r>
      <w:r w:rsidRPr="005675B2">
        <w:rPr>
          <w:rFonts w:hint="cs"/>
          <w:rtl/>
        </w:rPr>
        <w:t xml:space="preserve"> بل هم خارجون عنه</w:t>
      </w:r>
      <w:r w:rsidR="000636C2">
        <w:rPr>
          <w:rFonts w:hint="cs"/>
          <w:rtl/>
        </w:rPr>
        <w:t>،</w:t>
      </w:r>
      <w:r w:rsidRPr="005675B2">
        <w:rPr>
          <w:rFonts w:hint="cs"/>
          <w:rtl/>
        </w:rPr>
        <w:t xml:space="preserve"> وقد نص الإِمام أحمد وابن المديني على أنَّ من خاض في شيء من علم الكلام لا يعتبر من أَهل السنة وإِن أصاب بكلامه السنة حتى يدعَ الجدل ويسلِّم للنصوص</w:t>
      </w:r>
      <w:r w:rsidR="000636C2">
        <w:rPr>
          <w:rFonts w:hint="cs"/>
          <w:rtl/>
        </w:rPr>
        <w:t>،</w:t>
      </w:r>
      <w:r w:rsidRPr="005675B2">
        <w:rPr>
          <w:rFonts w:hint="cs"/>
          <w:rtl/>
        </w:rPr>
        <w:t xml:space="preserve"> فلم يشترطوا موافقة السُّنة فحسب</w:t>
      </w:r>
      <w:r w:rsidR="000636C2">
        <w:rPr>
          <w:rFonts w:hint="cs"/>
          <w:rtl/>
        </w:rPr>
        <w:t>،</w:t>
      </w:r>
      <w:r w:rsidRPr="005675B2">
        <w:rPr>
          <w:rFonts w:hint="cs"/>
          <w:rtl/>
        </w:rPr>
        <w:t xml:space="preserve"> بل التلقي والاستمداد منها ..</w:t>
      </w:r>
      <w:r w:rsidR="000636C2">
        <w:rPr>
          <w:rFonts w:hint="cs"/>
          <w:rtl/>
        </w:rPr>
        <w:t>،</w:t>
      </w:r>
      <w:r w:rsidRPr="005675B2">
        <w:rPr>
          <w:rFonts w:hint="cs"/>
          <w:rtl/>
        </w:rPr>
        <w:t xml:space="preserve"> والأشاعرة</w:t>
      </w:r>
      <w:r w:rsidR="000636C2">
        <w:rPr>
          <w:rFonts w:hint="cs"/>
          <w:rtl/>
        </w:rPr>
        <w:t xml:space="preserve"> </w:t>
      </w:r>
      <w:r w:rsidRPr="005675B2">
        <w:rPr>
          <w:rFonts w:hint="cs"/>
          <w:rtl/>
        </w:rPr>
        <w:t>- كما سترى</w:t>
      </w:r>
      <w:r w:rsidR="000636C2">
        <w:rPr>
          <w:rFonts w:hint="cs"/>
          <w:rtl/>
        </w:rPr>
        <w:t xml:space="preserve"> </w:t>
      </w:r>
      <w:r w:rsidRPr="005675B2">
        <w:rPr>
          <w:rFonts w:hint="cs"/>
          <w:rtl/>
        </w:rPr>
        <w:t>- تلقَّوا واستمدّوا من غير السُّنة ولم يوافقوها في النتائج</w:t>
      </w:r>
      <w:r w:rsidR="000636C2">
        <w:rPr>
          <w:rFonts w:hint="cs"/>
          <w:rtl/>
        </w:rPr>
        <w:t>،</w:t>
      </w:r>
      <w:r w:rsidRPr="005675B2">
        <w:rPr>
          <w:rFonts w:hint="cs"/>
          <w:rtl/>
        </w:rPr>
        <w:t xml:space="preserve"> فكيف يكونون من أَهلها</w:t>
      </w:r>
      <w:r w:rsidR="000636C2">
        <w:rPr>
          <w:rFonts w:hint="cs"/>
          <w:rtl/>
        </w:rPr>
        <w:t>؟!]،</w:t>
      </w:r>
    </w:p>
    <w:p w14:paraId="60D8EB02" w14:textId="702B50E7"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الباحث يقول كلامَه هذا في معرض حديثه عن الأَشاعرة وابن تيمية</w:t>
      </w:r>
      <w:r w:rsidR="000636C2">
        <w:rPr>
          <w:rFonts w:hint="cs"/>
          <w:rtl/>
        </w:rPr>
        <w:t>،</w:t>
      </w:r>
      <w:r w:rsidRPr="005675B2">
        <w:rPr>
          <w:rFonts w:hint="cs"/>
          <w:rtl/>
        </w:rPr>
        <w:t xml:space="preserve"> فهل قال الأشاعرة إِنهم وابن تيمية على مذهب واحد</w:t>
      </w:r>
      <w:r w:rsidR="000636C2">
        <w:rPr>
          <w:rFonts w:hint="cs"/>
          <w:rtl/>
        </w:rPr>
        <w:t>؟،</w:t>
      </w:r>
      <w:r w:rsidRPr="005675B2">
        <w:rPr>
          <w:rFonts w:hint="cs"/>
          <w:rtl/>
        </w:rPr>
        <w:t xml:space="preserve"> 2 - لا أَدري لمَ يتعجب الباحث فيما لو قال الأَشاعرة إِنهم وابن تيمية يشملهم جميعاً اسم السنة والجماعة وقد بيَّن هو نفسه أَنَّ هذا المصطلح يطلق ويراد به المعنى الأَعم ويُطلق ويراد به المعنى الأَخص</w:t>
      </w:r>
      <w:r w:rsidR="000636C2">
        <w:rPr>
          <w:rFonts w:hint="cs"/>
          <w:rtl/>
        </w:rPr>
        <w:t>؟!</w:t>
      </w:r>
      <w:r w:rsidRPr="005675B2">
        <w:rPr>
          <w:rFonts w:hint="cs"/>
          <w:rtl/>
        </w:rPr>
        <w:t>!</w:t>
      </w:r>
      <w:r w:rsidR="000636C2">
        <w:rPr>
          <w:rFonts w:hint="cs"/>
          <w:rtl/>
        </w:rPr>
        <w:t>،</w:t>
      </w:r>
      <w:r w:rsidRPr="005675B2">
        <w:rPr>
          <w:rFonts w:hint="cs"/>
          <w:rtl/>
        </w:rPr>
        <w:t xml:space="preserve"> فإِن كان الأَشاعرة أَو بعضُهم قد قالوا ذلك فعلاً فلا شك في أَنهم أَرادوا المعنى الأعمَّ الذي يقابل الشِّيعة وسائر الفرق</w:t>
      </w:r>
      <w:r w:rsidR="000636C2">
        <w:rPr>
          <w:rFonts w:hint="cs"/>
          <w:rtl/>
        </w:rPr>
        <w:t>،</w:t>
      </w:r>
      <w:r w:rsidRPr="005675B2">
        <w:rPr>
          <w:rFonts w:hint="cs"/>
          <w:rtl/>
        </w:rPr>
        <w:t xml:space="preserve"> فما وجه التعجب من ذلك</w:t>
      </w:r>
      <w:r w:rsidR="000636C2">
        <w:rPr>
          <w:rFonts w:hint="cs"/>
          <w:rtl/>
        </w:rPr>
        <w:t>؟!</w:t>
      </w:r>
      <w:r w:rsidRPr="005675B2">
        <w:rPr>
          <w:rFonts w:hint="cs"/>
          <w:rtl/>
        </w:rPr>
        <w:t>! بل الباحث نفسه يقبل دخول الأشاعرة تحت اسم السنة والجماعة بهذا المعنى</w:t>
      </w:r>
      <w:r w:rsidR="000636C2">
        <w:rPr>
          <w:rFonts w:hint="cs"/>
          <w:rtl/>
        </w:rPr>
        <w:t>،</w:t>
      </w:r>
      <w:r w:rsidRPr="005675B2">
        <w:rPr>
          <w:rFonts w:hint="cs"/>
          <w:rtl/>
        </w:rPr>
        <w:t xml:space="preserve"> فلم تنكر</w:t>
      </w:r>
      <w:r w:rsidR="000636C2">
        <w:rPr>
          <w:rFonts w:hint="cs"/>
          <w:rtl/>
        </w:rPr>
        <w:t xml:space="preserve"> </w:t>
      </w:r>
      <w:r w:rsidRPr="005675B2">
        <w:rPr>
          <w:rFonts w:hint="cs"/>
          <w:rtl/>
        </w:rPr>
        <w:t>- أيها الباحث</w:t>
      </w:r>
      <w:r w:rsidR="000636C2">
        <w:rPr>
          <w:rFonts w:hint="cs"/>
          <w:rtl/>
        </w:rPr>
        <w:t xml:space="preserve"> </w:t>
      </w:r>
      <w:r w:rsidRPr="005675B2">
        <w:rPr>
          <w:rFonts w:hint="cs"/>
          <w:rtl/>
        </w:rPr>
        <w:t>- على الأشاعرة ولا تنكر على نفسك</w:t>
      </w:r>
      <w:r w:rsidR="000636C2">
        <w:rPr>
          <w:rFonts w:hint="cs"/>
          <w:rtl/>
        </w:rPr>
        <w:t xml:space="preserve">؟، </w:t>
      </w:r>
      <w:r w:rsidRPr="005675B2">
        <w:rPr>
          <w:rFonts w:hint="cs"/>
          <w:rtl/>
        </w:rPr>
        <w:t>3 - يرى الباحث أَنَّ اسم السنة والجماعة بالمعنى الأَخص يقابل المبتدعة وأَهل الأهواء وأَنَّ الأشاعرة لا يدخلون فيه أبداً</w:t>
      </w:r>
      <w:r w:rsidR="000636C2">
        <w:rPr>
          <w:rFonts w:hint="cs"/>
          <w:rtl/>
        </w:rPr>
        <w:t>،</w:t>
      </w:r>
      <w:r w:rsidRPr="005675B2">
        <w:rPr>
          <w:rFonts w:hint="cs"/>
          <w:rtl/>
        </w:rPr>
        <w:t xml:space="preserve"> ويرى الباحث أَن الأشاعرة تلقَّوا واستمدوا من غير السُّنة وأَنهم لم يوافقوها في النتائج</w:t>
      </w:r>
      <w:r w:rsidR="000636C2">
        <w:rPr>
          <w:rFonts w:hint="cs"/>
          <w:rtl/>
        </w:rPr>
        <w:t>،</w:t>
      </w:r>
      <w:r w:rsidRPr="005675B2">
        <w:rPr>
          <w:rFonts w:hint="cs"/>
          <w:rtl/>
        </w:rPr>
        <w:t xml:space="preserve"> وقال</w:t>
      </w:r>
      <w:r w:rsidR="000636C2">
        <w:rPr>
          <w:rFonts w:hint="cs"/>
          <w:rtl/>
        </w:rPr>
        <w:t>:</w:t>
      </w:r>
      <w:r w:rsidRPr="005675B2">
        <w:rPr>
          <w:rFonts w:hint="cs"/>
          <w:rtl/>
        </w:rPr>
        <w:t xml:space="preserve"> فكيف يكونون من أَهلها</w:t>
      </w:r>
      <w:r w:rsidR="000636C2">
        <w:rPr>
          <w:rFonts w:hint="cs"/>
          <w:rtl/>
        </w:rPr>
        <w:t>؟،</w:t>
      </w:r>
      <w:r w:rsidRPr="005675B2">
        <w:rPr>
          <w:rFonts w:hint="cs"/>
          <w:rtl/>
        </w:rPr>
        <w:t xml:space="preserve"> فهل عندك</w:t>
      </w:r>
      <w:r w:rsidR="000636C2">
        <w:rPr>
          <w:rFonts w:hint="cs"/>
          <w:rtl/>
        </w:rPr>
        <w:t xml:space="preserve"> </w:t>
      </w:r>
      <w:r w:rsidRPr="005675B2">
        <w:rPr>
          <w:rFonts w:hint="cs"/>
          <w:rtl/>
        </w:rPr>
        <w:t>- أيها الباحث</w:t>
      </w:r>
      <w:r w:rsidR="000636C2">
        <w:rPr>
          <w:rFonts w:hint="cs"/>
          <w:rtl/>
        </w:rPr>
        <w:t xml:space="preserve"> </w:t>
      </w:r>
      <w:r w:rsidRPr="005675B2">
        <w:rPr>
          <w:rFonts w:hint="cs"/>
          <w:rtl/>
        </w:rPr>
        <w:t>- دليل على هذه الدعاوى</w:t>
      </w:r>
      <w:r w:rsidR="000636C2">
        <w:rPr>
          <w:rFonts w:hint="cs"/>
          <w:rtl/>
        </w:rPr>
        <w:t>؟!</w:t>
      </w:r>
      <w:r w:rsidRPr="005675B2">
        <w:rPr>
          <w:rFonts w:hint="cs"/>
          <w:rtl/>
        </w:rPr>
        <w:t xml:space="preserve"> أَو إِن الدعوى يمكن أَن تُقبل بدون دليل</w:t>
      </w:r>
      <w:r w:rsidR="000636C2">
        <w:rPr>
          <w:rFonts w:hint="cs"/>
          <w:rtl/>
        </w:rPr>
        <w:t>؟،</w:t>
      </w:r>
      <w:r w:rsidRPr="005675B2">
        <w:rPr>
          <w:rFonts w:hint="cs"/>
          <w:rtl/>
        </w:rPr>
        <w:t xml:space="preserve"> وإِذا</w:t>
      </w:r>
      <w:r w:rsidR="000636C2">
        <w:rPr>
          <w:rFonts w:hint="cs"/>
          <w:rtl/>
        </w:rPr>
        <w:t xml:space="preserve"> </w:t>
      </w:r>
      <w:r w:rsidRPr="005675B2">
        <w:rPr>
          <w:rFonts w:hint="cs"/>
          <w:rtl/>
        </w:rPr>
        <w:t>أَردت</w:t>
      </w:r>
      <w:r w:rsidR="000636C2">
        <w:rPr>
          <w:rFonts w:hint="cs"/>
          <w:rtl/>
        </w:rPr>
        <w:t xml:space="preserve"> </w:t>
      </w:r>
      <w:r w:rsidRPr="005675B2">
        <w:rPr>
          <w:rFonts w:hint="cs"/>
          <w:rtl/>
        </w:rPr>
        <w:t>- أَيها القارئ المنصف</w:t>
      </w:r>
      <w:r w:rsidR="000636C2">
        <w:rPr>
          <w:rFonts w:hint="cs"/>
          <w:rtl/>
        </w:rPr>
        <w:t xml:space="preserve"> </w:t>
      </w:r>
      <w:r w:rsidRPr="005675B2">
        <w:rPr>
          <w:rFonts w:hint="cs"/>
          <w:rtl/>
        </w:rPr>
        <w:t>- أَن تعلم ماذا قدَّم الباحث من أَدلة على أَنَّ الأشاعرة تلقوا واستمدوا من غير السُّنة ؛ فاقرأْ ماسطَّره مما سيأتي في الموضوع الأول الذي عنونه بمصدر التلقي</w:t>
      </w:r>
      <w:r w:rsidR="000636C2">
        <w:rPr>
          <w:rFonts w:hint="cs"/>
          <w:rtl/>
        </w:rPr>
        <w:t>،</w:t>
      </w:r>
      <w:r w:rsidRPr="005675B2">
        <w:rPr>
          <w:rFonts w:hint="cs"/>
          <w:rtl/>
        </w:rPr>
        <w:t xml:space="preserve"> وتأمل هل في ذلك دليل على صحة الدعوى</w:t>
      </w:r>
      <w:r w:rsidR="000636C2">
        <w:rPr>
          <w:rFonts w:hint="cs"/>
          <w:rtl/>
        </w:rPr>
        <w:t>؟،</w:t>
      </w:r>
      <w:r w:rsidRPr="005675B2">
        <w:rPr>
          <w:rFonts w:hint="cs"/>
          <w:rtl/>
        </w:rPr>
        <w:t xml:space="preserve"> وإذا أردت أن تعلم ماذا قدم من أدلة على أنهم لم يوافقوا السنة في النتائج فاقرأ وتأمل ما سطره مما سيأتي في المواضيع التي تلي الموضوع الأول</w:t>
      </w:r>
      <w:r w:rsidR="000636C2">
        <w:rPr>
          <w:rFonts w:hint="cs"/>
          <w:rtl/>
        </w:rPr>
        <w:t>،</w:t>
      </w:r>
      <w:r w:rsidRPr="005675B2">
        <w:rPr>
          <w:rFonts w:hint="cs"/>
          <w:rtl/>
        </w:rPr>
        <w:t xml:space="preserve"> 4 - هجوم الباحث على الأشاعرة واتهامهم بأنهم يتلقون ويستمدون</w:t>
      </w:r>
      <w:r w:rsidR="000636C2">
        <w:rPr>
          <w:rFonts w:hint="cs"/>
          <w:rtl/>
        </w:rPr>
        <w:t xml:space="preserve"> </w:t>
      </w:r>
      <w:r w:rsidRPr="005675B2">
        <w:rPr>
          <w:rFonts w:hint="cs"/>
          <w:rtl/>
        </w:rPr>
        <w:t>- في العقيدة</w:t>
      </w:r>
      <w:r w:rsidR="000636C2">
        <w:rPr>
          <w:rFonts w:hint="cs"/>
          <w:rtl/>
        </w:rPr>
        <w:t xml:space="preserve"> </w:t>
      </w:r>
      <w:r w:rsidRPr="005675B2">
        <w:rPr>
          <w:rFonts w:hint="cs"/>
          <w:rtl/>
        </w:rPr>
        <w:t>- من غير السنة وأنهم لم يوافقوها في النتائج مع الثناء الكبير على ابن تيمية</w:t>
      </w:r>
      <w:r w:rsidR="000636C2">
        <w:rPr>
          <w:rFonts w:hint="cs"/>
          <w:rtl/>
        </w:rPr>
        <w:t>:</w:t>
      </w:r>
      <w:r w:rsidRPr="005675B2">
        <w:rPr>
          <w:rFonts w:hint="cs"/>
          <w:rtl/>
        </w:rPr>
        <w:t xml:space="preserve"> يوحي للقارئ بأن ابن تيمية لا يستمد</w:t>
      </w:r>
      <w:r w:rsidR="000636C2">
        <w:rPr>
          <w:rFonts w:hint="cs"/>
          <w:rtl/>
        </w:rPr>
        <w:t xml:space="preserve"> </w:t>
      </w:r>
      <w:r w:rsidRPr="005675B2">
        <w:rPr>
          <w:rFonts w:hint="cs"/>
          <w:rtl/>
        </w:rPr>
        <w:t>- في العقيدة</w:t>
      </w:r>
      <w:r w:rsidR="000636C2">
        <w:rPr>
          <w:rFonts w:hint="cs"/>
          <w:rtl/>
        </w:rPr>
        <w:t xml:space="preserve"> </w:t>
      </w:r>
      <w:r w:rsidRPr="005675B2">
        <w:rPr>
          <w:rFonts w:hint="cs"/>
          <w:rtl/>
        </w:rPr>
        <w:t>- من غير السنة وأنه لم يخالفها في النتائج</w:t>
      </w:r>
      <w:r w:rsidR="000636C2">
        <w:rPr>
          <w:rFonts w:hint="cs"/>
          <w:rtl/>
        </w:rPr>
        <w:t>،</w:t>
      </w:r>
      <w:r w:rsidRPr="005675B2">
        <w:rPr>
          <w:rFonts w:hint="cs"/>
          <w:rtl/>
        </w:rPr>
        <w:t xml:space="preserve"> والمظنون به والمعروف عنه</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أنه شديد الحرص على اتباع السنة</w:t>
      </w:r>
      <w:r w:rsidR="000636C2">
        <w:rPr>
          <w:rFonts w:hint="cs"/>
          <w:rtl/>
        </w:rPr>
        <w:t>،</w:t>
      </w:r>
      <w:r w:rsidRPr="005675B2">
        <w:rPr>
          <w:rFonts w:hint="cs"/>
          <w:rtl/>
        </w:rPr>
        <w:t xml:space="preserve"> ولكن لا بد هنا من وقفة صغيرة</w:t>
      </w:r>
      <w:r w:rsidR="000636C2">
        <w:rPr>
          <w:rFonts w:hint="cs"/>
          <w:rtl/>
        </w:rPr>
        <w:t xml:space="preserve">: </w:t>
      </w:r>
      <w:r w:rsidRPr="005675B2">
        <w:rPr>
          <w:rFonts w:hint="cs"/>
          <w:rtl/>
        </w:rPr>
        <w:t>لم لا يتعامل الباحث مع علماء الأشاعرة وابن تيمية وسائر العلماء ممن قبلهم ومن بعدهم بمنهج واحد</w:t>
      </w:r>
      <w:r w:rsidR="000636C2">
        <w:rPr>
          <w:rFonts w:hint="cs"/>
          <w:rtl/>
        </w:rPr>
        <w:t>؟</w:t>
      </w:r>
      <w:r w:rsidRPr="005675B2">
        <w:rPr>
          <w:rFonts w:hint="cs"/>
          <w:rtl/>
        </w:rPr>
        <w:t xml:space="preserve"> لم لا يزن أقوالهم بغض النظر عن قائلها بميزان واحد</w:t>
      </w:r>
      <w:r w:rsidR="000636C2">
        <w:rPr>
          <w:rFonts w:hint="cs"/>
          <w:rtl/>
        </w:rPr>
        <w:t>؟</w:t>
      </w:r>
      <w:r w:rsidRPr="005675B2">
        <w:rPr>
          <w:rFonts w:hint="cs"/>
          <w:rtl/>
        </w:rPr>
        <w:t xml:space="preserve"> ألا وهو العرض على كتاب الله تعالى وسنة الحبيب المصطفى صلى الله عليه وسلم</w:t>
      </w:r>
      <w:r w:rsidR="000636C2">
        <w:rPr>
          <w:rFonts w:hint="cs"/>
          <w:rtl/>
        </w:rPr>
        <w:t>،</w:t>
      </w:r>
      <w:r w:rsidRPr="005675B2">
        <w:rPr>
          <w:rFonts w:hint="cs"/>
          <w:rtl/>
        </w:rPr>
        <w:t xml:space="preserve"> فما شهدت له النصوص بالقبول فهو المقبول</w:t>
      </w:r>
      <w:r w:rsidR="000636C2">
        <w:rPr>
          <w:rFonts w:hint="cs"/>
          <w:rtl/>
        </w:rPr>
        <w:t>،</w:t>
      </w:r>
      <w:r w:rsidRPr="005675B2">
        <w:rPr>
          <w:rFonts w:hint="cs"/>
          <w:rtl/>
        </w:rPr>
        <w:t xml:space="preserve"> وما شهدت له بالرد فهو المردود</w:t>
      </w:r>
      <w:r w:rsidR="000636C2">
        <w:rPr>
          <w:rFonts w:hint="cs"/>
          <w:rtl/>
        </w:rPr>
        <w:t>،</w:t>
      </w:r>
      <w:r w:rsidRPr="005675B2">
        <w:rPr>
          <w:rFonts w:hint="cs"/>
          <w:rtl/>
        </w:rPr>
        <w:t xml:space="preserve"> وما أجمل كلمة الحافظ ابن حجر</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التي مرت قريباً</w:t>
      </w:r>
      <w:r w:rsidR="000636C2">
        <w:rPr>
          <w:rFonts w:hint="cs"/>
          <w:rtl/>
        </w:rPr>
        <w:t>،</w:t>
      </w:r>
      <w:r w:rsidRPr="005675B2">
        <w:rPr>
          <w:rFonts w:hint="cs"/>
          <w:rtl/>
        </w:rPr>
        <w:t xml:space="preserve"> حيث يقرظ كتاب الرد الوافر لابن ناصر الدين</w:t>
      </w:r>
      <w:r w:rsidR="000636C2">
        <w:rPr>
          <w:rFonts w:hint="cs"/>
          <w:rtl/>
        </w:rPr>
        <w:t>،</w:t>
      </w:r>
      <w:r w:rsidRPr="005675B2">
        <w:rPr>
          <w:rFonts w:hint="cs"/>
          <w:rtl/>
        </w:rPr>
        <w:t xml:space="preserve"> فقد قال بعد الثناء على ابن تيمية والإشارة إلى الأشياء التي أنكرت عليه</w:t>
      </w:r>
      <w:r w:rsidR="000636C2">
        <w:rPr>
          <w:rFonts w:hint="cs"/>
          <w:rtl/>
        </w:rPr>
        <w:t>:</w:t>
      </w:r>
      <w:r w:rsidRPr="005675B2">
        <w:rPr>
          <w:rFonts w:hint="cs"/>
          <w:rtl/>
        </w:rPr>
        <w:t xml:space="preserve"> </w:t>
      </w:r>
      <w:r w:rsidR="000636C2">
        <w:rPr>
          <w:rFonts w:hint="cs"/>
          <w:rtl/>
        </w:rPr>
        <w:t>[</w:t>
      </w:r>
      <w:r w:rsidRPr="005675B2">
        <w:rPr>
          <w:rFonts w:hint="cs"/>
          <w:rtl/>
        </w:rPr>
        <w:t>ومع ذلك فهو بشر يخطئ ويصيب</w:t>
      </w:r>
      <w:r w:rsidR="000636C2">
        <w:rPr>
          <w:rFonts w:hint="cs"/>
          <w:rtl/>
        </w:rPr>
        <w:t>،</w:t>
      </w:r>
      <w:r w:rsidRPr="005675B2">
        <w:rPr>
          <w:rFonts w:hint="cs"/>
          <w:rtl/>
        </w:rPr>
        <w:t xml:space="preserve"> فالذي أصاب فيه وهو الأكثر يستفاد منه ويترحم عليه بسببه</w:t>
      </w:r>
      <w:r w:rsidR="000636C2">
        <w:rPr>
          <w:rFonts w:hint="cs"/>
          <w:rtl/>
        </w:rPr>
        <w:t>،</w:t>
      </w:r>
      <w:r w:rsidRPr="005675B2">
        <w:rPr>
          <w:rFonts w:hint="cs"/>
          <w:rtl/>
        </w:rPr>
        <w:t xml:space="preserve"> والذي أخطأ فيه لا يقلد فيه</w:t>
      </w:r>
      <w:r w:rsidR="000636C2">
        <w:rPr>
          <w:rFonts w:hint="cs"/>
          <w:rtl/>
        </w:rPr>
        <w:t>]،</w:t>
      </w:r>
      <w:r w:rsidRPr="005675B2">
        <w:rPr>
          <w:rFonts w:hint="cs"/>
          <w:rtl/>
        </w:rPr>
        <w:t xml:space="preserve"> وإذا نظرنا بهذا المنظار المنصف فلا بد من أن نقول للباحث</w:t>
      </w:r>
      <w:r w:rsidR="000636C2">
        <w:rPr>
          <w:rFonts w:hint="cs"/>
          <w:rtl/>
        </w:rPr>
        <w:t>:</w:t>
      </w:r>
      <w:r w:rsidRPr="005675B2">
        <w:rPr>
          <w:rFonts w:hint="cs"/>
          <w:rtl/>
        </w:rPr>
        <w:t xml:space="preserve"> إن ابن تيمية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أصاب في أشياء وأخطأ في أشياء</w:t>
      </w:r>
      <w:r w:rsidR="000636C2">
        <w:rPr>
          <w:rFonts w:hint="cs"/>
          <w:rtl/>
        </w:rPr>
        <w:t>،</w:t>
      </w:r>
      <w:r w:rsidRPr="005675B2">
        <w:rPr>
          <w:rFonts w:hint="cs"/>
          <w:rtl/>
        </w:rPr>
        <w:t xml:space="preserve"> ومن المجانبة للإنصاف تقديره لدرجة التقديس</w:t>
      </w:r>
      <w:r w:rsidR="000636C2">
        <w:rPr>
          <w:rFonts w:hint="cs"/>
          <w:rtl/>
        </w:rPr>
        <w:t>،</w:t>
      </w:r>
      <w:r w:rsidRPr="005675B2">
        <w:rPr>
          <w:rFonts w:hint="cs"/>
          <w:rtl/>
        </w:rPr>
        <w:t xml:space="preserve"> ورفعه إلى مرتبة تكاد تصل به إلى العصمة التي لا يستحقها مَن سوى الأنبياء والمرسلين</w:t>
      </w:r>
      <w:r w:rsidR="000636C2">
        <w:rPr>
          <w:rFonts w:hint="cs"/>
          <w:rtl/>
        </w:rPr>
        <w:t>،</w:t>
      </w:r>
      <w:r w:rsidRPr="005675B2">
        <w:rPr>
          <w:rFonts w:hint="cs"/>
          <w:rtl/>
        </w:rPr>
        <w:t xml:space="preserve"> حتى إن أقوال سابقيه ولاحقيه من العلماء توزن</w:t>
      </w:r>
      <w:r w:rsidR="000636C2">
        <w:rPr>
          <w:rFonts w:hint="cs"/>
          <w:rtl/>
        </w:rPr>
        <w:t xml:space="preserve"> </w:t>
      </w:r>
      <w:r w:rsidRPr="005675B2">
        <w:rPr>
          <w:rFonts w:hint="cs"/>
          <w:rtl/>
        </w:rPr>
        <w:t>- عند كثير ممن فُتنوا به لحد التقديس</w:t>
      </w:r>
      <w:r w:rsidR="000636C2">
        <w:rPr>
          <w:rFonts w:hint="cs"/>
          <w:rtl/>
        </w:rPr>
        <w:t xml:space="preserve"> </w:t>
      </w:r>
      <w:r w:rsidRPr="005675B2">
        <w:rPr>
          <w:rFonts w:hint="cs"/>
          <w:rtl/>
        </w:rPr>
        <w:t>- بالعرض على كلامه</w:t>
      </w:r>
      <w:r w:rsidR="000636C2">
        <w:rPr>
          <w:rFonts w:hint="cs"/>
          <w:rtl/>
        </w:rPr>
        <w:t>،</w:t>
      </w:r>
      <w:r w:rsidRPr="005675B2">
        <w:rPr>
          <w:rFonts w:hint="cs"/>
          <w:rtl/>
        </w:rPr>
        <w:t xml:space="preserve"> لا على نصوص الكتاب والسنة وأساليب اللغة وموازين العقول</w:t>
      </w:r>
      <w:r w:rsidR="000636C2">
        <w:rPr>
          <w:rFonts w:hint="cs"/>
          <w:rtl/>
        </w:rPr>
        <w:t>!،</w:t>
      </w:r>
      <w:r w:rsidRPr="005675B2">
        <w:rPr>
          <w:rFonts w:hint="cs"/>
          <w:rtl/>
        </w:rPr>
        <w:t xml:space="preserve"> والذي يتتبع كلام ابن تيمية</w:t>
      </w:r>
      <w:r w:rsidR="000636C2">
        <w:rPr>
          <w:rFonts w:hint="cs"/>
          <w:rtl/>
        </w:rPr>
        <w:t xml:space="preserve"> </w:t>
      </w:r>
      <w:r w:rsidRPr="005675B2">
        <w:rPr>
          <w:rFonts w:hint="cs"/>
          <w:rtl/>
        </w:rPr>
        <w:t>- رحمه الله وغفرله</w:t>
      </w:r>
      <w:r w:rsidR="000636C2">
        <w:rPr>
          <w:rFonts w:hint="cs"/>
          <w:rtl/>
        </w:rPr>
        <w:t xml:space="preserve"> </w:t>
      </w:r>
      <w:r w:rsidRPr="005675B2">
        <w:rPr>
          <w:rFonts w:hint="cs"/>
          <w:rtl/>
        </w:rPr>
        <w:t>- في العقيدة يجد أن فيه خللاً في عدد من المواضع، وهذه إشارات لبعضها</w:t>
      </w:r>
      <w:r w:rsidR="000636C2">
        <w:rPr>
          <w:rFonts w:hint="cs"/>
          <w:rtl/>
        </w:rPr>
        <w:t>:</w:t>
      </w:r>
      <w:r w:rsidRPr="005675B2">
        <w:rPr>
          <w:rFonts w:hint="cs"/>
          <w:rtl/>
        </w:rPr>
        <w:t xml:space="preserve"> أ</w:t>
      </w:r>
      <w:r w:rsidR="000636C2">
        <w:rPr>
          <w:rFonts w:hint="cs"/>
          <w:rtl/>
        </w:rPr>
        <w:t xml:space="preserve"> </w:t>
      </w:r>
      <w:r w:rsidRPr="005675B2">
        <w:rPr>
          <w:rFonts w:hint="cs"/>
          <w:rtl/>
        </w:rPr>
        <w:t xml:space="preserve">- رأى ابنُ تيمية قولَ ابنِ حزمٍ </w:t>
      </w:r>
      <w:r w:rsidR="000636C2">
        <w:rPr>
          <w:rFonts w:hint="cs"/>
          <w:rtl/>
        </w:rPr>
        <w:t>[</w:t>
      </w:r>
      <w:r w:rsidRPr="005675B2">
        <w:rPr>
          <w:rFonts w:hint="cs"/>
          <w:rtl/>
        </w:rPr>
        <w:t>وأن الله تعالى لم يزل وحده ولا شيء غيره معه</w:t>
      </w:r>
      <w:r w:rsidR="000636C2">
        <w:rPr>
          <w:rFonts w:hint="cs"/>
          <w:rtl/>
        </w:rPr>
        <w:t>]</w:t>
      </w:r>
      <w:r w:rsidRPr="005675B2">
        <w:rPr>
          <w:rFonts w:hint="cs"/>
          <w:rtl/>
        </w:rPr>
        <w:t xml:space="preserve"> فعلَّق ابنُ تيمية قائلاً</w:t>
      </w:r>
      <w:r w:rsidR="000636C2">
        <w:rPr>
          <w:rFonts w:hint="cs"/>
          <w:rtl/>
        </w:rPr>
        <w:t>:</w:t>
      </w:r>
      <w:r w:rsidRPr="005675B2">
        <w:rPr>
          <w:rFonts w:hint="cs"/>
          <w:rtl/>
        </w:rPr>
        <w:t xml:space="preserve"> </w:t>
      </w:r>
      <w:r w:rsidR="000636C2">
        <w:rPr>
          <w:rFonts w:hint="cs"/>
          <w:rtl/>
        </w:rPr>
        <w:t>[</w:t>
      </w:r>
      <w:r w:rsidRPr="005675B2">
        <w:rPr>
          <w:rFonts w:hint="cs"/>
          <w:rtl/>
        </w:rPr>
        <w:t>هذه العبارة ليست في كتاب الله</w:t>
      </w:r>
      <w:r w:rsidR="000636C2">
        <w:rPr>
          <w:rFonts w:hint="cs"/>
          <w:rtl/>
        </w:rPr>
        <w:t>،</w:t>
      </w:r>
      <w:r w:rsidRPr="005675B2">
        <w:rPr>
          <w:rFonts w:hint="cs"/>
          <w:rtl/>
        </w:rPr>
        <w:t xml:space="preserve"> ولا تنسب إلى رسول الله صلى الله عليه وسلم ..</w:t>
      </w:r>
      <w:r w:rsidR="000636C2">
        <w:rPr>
          <w:rFonts w:hint="cs"/>
          <w:rtl/>
        </w:rPr>
        <w:t>،</w:t>
      </w:r>
      <w:r w:rsidRPr="005675B2">
        <w:rPr>
          <w:rFonts w:hint="cs"/>
          <w:rtl/>
        </w:rPr>
        <w:t xml:space="preserve"> ولا نعرف هذه العبارة عن الصحابة والتابعين وأئمة المسلمين</w:t>
      </w:r>
      <w:r w:rsidR="000636C2">
        <w:rPr>
          <w:rFonts w:hint="cs"/>
          <w:rtl/>
        </w:rPr>
        <w:t>]</w:t>
      </w:r>
      <w:r w:rsidRPr="005675B2">
        <w:rPr>
          <w:rFonts w:hint="cs"/>
          <w:rtl/>
        </w:rPr>
        <w:t xml:space="preserve"> [</w:t>
      </w:r>
      <w:r w:rsidRPr="005675B2">
        <w:rPr>
          <w:rFonts w:hint="cs"/>
          <w:sz w:val="24"/>
          <w:szCs w:val="24"/>
          <w:rtl/>
        </w:rPr>
        <w:t>نقد مراتب الإجماع لابن تيمية: ص 168 – 170</w:t>
      </w:r>
      <w:r w:rsidR="000636C2">
        <w:rPr>
          <w:rFonts w:hint="cs"/>
          <w:sz w:val="24"/>
          <w:szCs w:val="24"/>
          <w:rtl/>
        </w:rPr>
        <w:t>]</w:t>
      </w:r>
      <w:r w:rsidR="000636C2">
        <w:rPr>
          <w:rFonts w:hint="cs"/>
          <w:rtl/>
        </w:rPr>
        <w:t>،</w:t>
      </w:r>
    </w:p>
    <w:p w14:paraId="7CBC9885" w14:textId="1108C750"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من العجيب الغريب أن يقول ابن تيمية عن هذه العبارة </w:t>
      </w:r>
      <w:r w:rsidR="000636C2">
        <w:rPr>
          <w:rFonts w:hint="cs"/>
          <w:rtl/>
        </w:rPr>
        <w:t>[</w:t>
      </w:r>
      <w:r w:rsidRPr="005675B2">
        <w:rPr>
          <w:rFonts w:hint="cs"/>
          <w:rtl/>
        </w:rPr>
        <w:t>ولا تنسب إلى رسول الله صلى الله عليه وسلم</w:t>
      </w:r>
      <w:r w:rsidR="000636C2">
        <w:rPr>
          <w:rFonts w:hint="cs"/>
          <w:rtl/>
        </w:rPr>
        <w:t>]</w:t>
      </w:r>
      <w:r w:rsidRPr="005675B2">
        <w:rPr>
          <w:rFonts w:hint="cs"/>
          <w:rtl/>
        </w:rPr>
        <w:t xml:space="preserve"> وقد قال صلى الله عليه وسلم </w:t>
      </w:r>
      <w:r w:rsidR="000636C2">
        <w:rPr>
          <w:rFonts w:hint="cs"/>
          <w:rtl/>
        </w:rPr>
        <w:t>[</w:t>
      </w:r>
      <w:r w:rsidRPr="005675B2">
        <w:rPr>
          <w:rFonts w:hint="cs"/>
          <w:rtl/>
        </w:rPr>
        <w:t>كان الله ولم يكن شيء غيره</w:t>
      </w:r>
      <w:r w:rsidR="000636C2">
        <w:rPr>
          <w:rFonts w:hint="cs"/>
          <w:rtl/>
        </w:rPr>
        <w:t>]؟!</w:t>
      </w:r>
      <w:r w:rsidRPr="005675B2">
        <w:rPr>
          <w:rFonts w:hint="cs"/>
          <w:rtl/>
        </w:rPr>
        <w:t xml:space="preserve">! </w:t>
      </w:r>
      <w:r w:rsidR="000636C2">
        <w:rPr>
          <w:rFonts w:hint="cs"/>
          <w:rtl/>
        </w:rPr>
        <w:t>[</w:t>
      </w:r>
      <w:r w:rsidRPr="005675B2">
        <w:rPr>
          <w:rFonts w:hint="cs"/>
          <w:sz w:val="24"/>
          <w:szCs w:val="24"/>
          <w:rtl/>
        </w:rPr>
        <w:t>صحيح البخاري: كتاب بدء الخلق</w:t>
      </w:r>
      <w:r w:rsidR="000636C2">
        <w:rPr>
          <w:rFonts w:hint="cs"/>
          <w:sz w:val="24"/>
          <w:szCs w:val="24"/>
          <w:rtl/>
        </w:rPr>
        <w:t>،</w:t>
      </w:r>
      <w:r w:rsidRPr="005675B2">
        <w:rPr>
          <w:rFonts w:hint="cs"/>
          <w:sz w:val="24"/>
          <w:szCs w:val="24"/>
          <w:rtl/>
        </w:rPr>
        <w:t xml:space="preserve"> باب وهو الذي يبدأ الخلق ثم يعيده</w:t>
      </w:r>
      <w:r w:rsidR="000636C2">
        <w:rPr>
          <w:rFonts w:hint="cs"/>
          <w:sz w:val="24"/>
          <w:szCs w:val="24"/>
          <w:rtl/>
        </w:rPr>
        <w:t>]</w:t>
      </w:r>
      <w:r w:rsidR="000636C2">
        <w:rPr>
          <w:rFonts w:hint="cs"/>
          <w:rtl/>
        </w:rPr>
        <w:t xml:space="preserve">، </w:t>
      </w:r>
      <w:r w:rsidRPr="005675B2">
        <w:rPr>
          <w:rFonts w:hint="cs"/>
          <w:rtl/>
        </w:rPr>
        <w:t xml:space="preserve">ومن العجيب الغريب أن يرجح رواية أخرى من روايات الحديث وهي </w:t>
      </w:r>
      <w:r w:rsidR="000636C2">
        <w:rPr>
          <w:rFonts w:hint="cs"/>
          <w:rtl/>
        </w:rPr>
        <w:t>[</w:t>
      </w:r>
      <w:r w:rsidRPr="005675B2">
        <w:rPr>
          <w:rFonts w:hint="cs"/>
          <w:rtl/>
        </w:rPr>
        <w:t>كان الله ولم يكن شيء قبله</w:t>
      </w:r>
      <w:r w:rsidR="000636C2">
        <w:rPr>
          <w:rFonts w:hint="cs"/>
          <w:rtl/>
        </w:rPr>
        <w:t>]</w:t>
      </w:r>
      <w:r w:rsidRPr="005675B2">
        <w:rPr>
          <w:rFonts w:hint="cs"/>
          <w:rtl/>
        </w:rPr>
        <w:t xml:space="preserve"> [</w:t>
      </w:r>
      <w:r w:rsidRPr="005675B2">
        <w:rPr>
          <w:rFonts w:hint="cs"/>
          <w:sz w:val="24"/>
          <w:szCs w:val="24"/>
          <w:rtl/>
        </w:rPr>
        <w:t>صحيح البخاري: كتاب التوحيد</w:t>
      </w:r>
      <w:r w:rsidR="000636C2">
        <w:rPr>
          <w:rFonts w:hint="cs"/>
          <w:sz w:val="24"/>
          <w:szCs w:val="24"/>
          <w:rtl/>
        </w:rPr>
        <w:t>،</w:t>
      </w:r>
      <w:r w:rsidRPr="005675B2">
        <w:rPr>
          <w:rFonts w:hint="cs"/>
          <w:sz w:val="24"/>
          <w:szCs w:val="24"/>
          <w:rtl/>
        </w:rPr>
        <w:t xml:space="preserve"> باب وكان عرشه على الماء . ولمعرفة رجحان لفظ </w:t>
      </w:r>
      <w:r w:rsidR="000636C2">
        <w:rPr>
          <w:rFonts w:hint="cs"/>
          <w:sz w:val="24"/>
          <w:szCs w:val="24"/>
          <w:rtl/>
        </w:rPr>
        <w:t>(</w:t>
      </w:r>
      <w:r w:rsidRPr="005675B2">
        <w:rPr>
          <w:rFonts w:hint="cs"/>
          <w:sz w:val="24"/>
          <w:szCs w:val="24"/>
          <w:rtl/>
        </w:rPr>
        <w:t>ولم يكن شيء غيره) ارجع لزاماً إلى البحث المعنون بـ</w:t>
      </w:r>
      <w:r w:rsidR="000636C2">
        <w:rPr>
          <w:rFonts w:hint="cs"/>
          <w:sz w:val="24"/>
          <w:szCs w:val="24"/>
          <w:rtl/>
        </w:rPr>
        <w:t>(</w:t>
      </w:r>
      <w:r w:rsidRPr="005675B2">
        <w:rPr>
          <w:rFonts w:hint="cs"/>
          <w:sz w:val="24"/>
          <w:szCs w:val="24"/>
          <w:rtl/>
        </w:rPr>
        <w:t>كان الله ولم يكن شيء غيره ـ رواية ودراية وعقيدة) لكاتب هذا الكتاب صلاح الدين بن أحمد الإدلبي</w:t>
      </w:r>
      <w:r w:rsidR="000636C2">
        <w:rPr>
          <w:rFonts w:hint="cs"/>
          <w:sz w:val="24"/>
          <w:szCs w:val="24"/>
          <w:rtl/>
        </w:rPr>
        <w:t>،</w:t>
      </w:r>
      <w:r w:rsidRPr="005675B2">
        <w:rPr>
          <w:rFonts w:hint="cs"/>
          <w:sz w:val="24"/>
          <w:szCs w:val="24"/>
          <w:rtl/>
        </w:rPr>
        <w:t xml:space="preserve"> طبع دار البشائر بدمشق</w:t>
      </w:r>
      <w:r w:rsidR="000636C2">
        <w:rPr>
          <w:rFonts w:hint="cs"/>
          <w:sz w:val="24"/>
          <w:szCs w:val="24"/>
          <w:rtl/>
        </w:rPr>
        <w:t>]</w:t>
      </w:r>
      <w:r w:rsidRPr="005675B2">
        <w:rPr>
          <w:rFonts w:hint="cs"/>
          <w:rtl/>
        </w:rPr>
        <w:t xml:space="preserve"> على الرواية الأولى معرضاً تمام الإعراض عن منهج أئمة الحديث في الترجيح بين الروايات</w:t>
      </w:r>
      <w:r w:rsidR="000636C2">
        <w:rPr>
          <w:rFonts w:hint="cs"/>
          <w:rtl/>
        </w:rPr>
        <w:t>،</w:t>
      </w:r>
      <w:r w:rsidRPr="005675B2">
        <w:rPr>
          <w:rFonts w:hint="cs"/>
          <w:rtl/>
        </w:rPr>
        <w:t xml:space="preserve"> وطرق هذا الحديث مبثوثة في أكثر من عشرين مصدراً من مصادر السنة النبوية</w:t>
      </w:r>
      <w:r w:rsidR="000636C2">
        <w:rPr>
          <w:rFonts w:hint="cs"/>
          <w:rtl/>
        </w:rPr>
        <w:t>،</w:t>
      </w:r>
      <w:r w:rsidRPr="005675B2">
        <w:rPr>
          <w:rFonts w:hint="cs"/>
          <w:rtl/>
        </w:rPr>
        <w:t xml:space="preserve"> فلم يكلِّف نفسه عناء الرجوع إلى المصادر لجمع الطرق</w:t>
      </w:r>
      <w:r w:rsidR="000636C2">
        <w:rPr>
          <w:rFonts w:hint="cs"/>
          <w:rtl/>
        </w:rPr>
        <w:t>،</w:t>
      </w:r>
      <w:r w:rsidRPr="005675B2">
        <w:rPr>
          <w:rFonts w:hint="cs"/>
          <w:rtl/>
        </w:rPr>
        <w:t xml:space="preserve"> واكتفى بالطريقين المرويين في مصدر واحد</w:t>
      </w:r>
      <w:r w:rsidR="000636C2">
        <w:rPr>
          <w:rFonts w:hint="cs"/>
          <w:rtl/>
        </w:rPr>
        <w:t>،</w:t>
      </w:r>
      <w:r w:rsidRPr="005675B2">
        <w:rPr>
          <w:rFonts w:hint="cs"/>
          <w:rtl/>
        </w:rPr>
        <w:t xml:space="preserve"> وهو صحيح البخاري</w:t>
      </w:r>
      <w:r w:rsidR="000636C2">
        <w:rPr>
          <w:rFonts w:hint="cs"/>
          <w:rtl/>
        </w:rPr>
        <w:t>،</w:t>
      </w:r>
      <w:r w:rsidRPr="005675B2">
        <w:rPr>
          <w:rFonts w:hint="cs"/>
          <w:rtl/>
        </w:rPr>
        <w:t xml:space="preserve"> ولو أنه أنفق من عمره سنوات لجمع طرق هذا الحديث ومعرفة اللفظ الراجح حقاً وهو </w:t>
      </w:r>
      <w:r w:rsidR="000636C2">
        <w:rPr>
          <w:rFonts w:hint="cs"/>
          <w:rtl/>
        </w:rPr>
        <w:t>[</w:t>
      </w:r>
      <w:r w:rsidRPr="005675B2">
        <w:rPr>
          <w:rFonts w:hint="cs"/>
          <w:rtl/>
        </w:rPr>
        <w:t>ولم يكن شيء غيره</w:t>
      </w:r>
      <w:r w:rsidR="000636C2">
        <w:rPr>
          <w:rFonts w:hint="cs"/>
          <w:rtl/>
        </w:rPr>
        <w:t>]</w:t>
      </w:r>
      <w:r w:rsidRPr="005675B2">
        <w:rPr>
          <w:rFonts w:hint="cs"/>
          <w:rtl/>
        </w:rPr>
        <w:t xml:space="preserve"> ؛ لجنب نفسه وأتباعه الوقوع في عدد من البدع الاعتقادية</w:t>
      </w:r>
      <w:r w:rsidR="000636C2">
        <w:rPr>
          <w:rFonts w:hint="cs"/>
          <w:rtl/>
        </w:rPr>
        <w:t>،</w:t>
      </w:r>
      <w:r w:rsidRPr="005675B2">
        <w:rPr>
          <w:rFonts w:hint="cs"/>
          <w:rtl/>
        </w:rPr>
        <w:t xml:space="preserve"> كالقول بالقدم النوعي للعرش وجواز وقوع حوادث لا أول لها [</w:t>
      </w:r>
      <w:r w:rsidRPr="005675B2">
        <w:rPr>
          <w:rFonts w:hint="cs"/>
          <w:sz w:val="24"/>
          <w:szCs w:val="24"/>
          <w:rtl/>
        </w:rPr>
        <w:t>ومن الغريب أن كثيراً من المشتغلين بالعلم يتجهون للبحث والاجتهاد في الفقه وأحاديث الأحكام</w:t>
      </w:r>
      <w:r w:rsidR="000636C2">
        <w:rPr>
          <w:rFonts w:hint="cs"/>
          <w:sz w:val="24"/>
          <w:szCs w:val="24"/>
          <w:rtl/>
        </w:rPr>
        <w:t>،</w:t>
      </w:r>
      <w:r w:rsidRPr="005675B2">
        <w:rPr>
          <w:rFonts w:hint="cs"/>
          <w:sz w:val="24"/>
          <w:szCs w:val="24"/>
          <w:rtl/>
        </w:rPr>
        <w:t xml:space="preserve"> أما في العقائد وأحاديث العقائد فلا تجد عندهم سوى تقليد المشايخ وتعطيل العقول . هذا ولم أجد في كلام ابن تيمية التصريح بالقدم النوعي للعرش</w:t>
      </w:r>
      <w:r w:rsidR="000636C2">
        <w:rPr>
          <w:rFonts w:hint="cs"/>
          <w:sz w:val="24"/>
          <w:szCs w:val="24"/>
          <w:rtl/>
        </w:rPr>
        <w:t>،</w:t>
      </w:r>
      <w:r w:rsidRPr="005675B2">
        <w:rPr>
          <w:rFonts w:hint="cs"/>
          <w:sz w:val="24"/>
          <w:szCs w:val="24"/>
          <w:rtl/>
        </w:rPr>
        <w:t xml:space="preserve"> ولكنه يشير إلى هذا إشارة واضحة</w:t>
      </w:r>
      <w:r w:rsidR="000636C2">
        <w:rPr>
          <w:rFonts w:hint="cs"/>
          <w:sz w:val="24"/>
          <w:szCs w:val="24"/>
          <w:rtl/>
        </w:rPr>
        <w:t>،</w:t>
      </w:r>
      <w:r w:rsidRPr="005675B2">
        <w:rPr>
          <w:rFonts w:hint="cs"/>
          <w:sz w:val="24"/>
          <w:szCs w:val="24"/>
          <w:rtl/>
        </w:rPr>
        <w:t xml:space="preserve"> حيث إنه يرد على من قال إن الله كان ولم يكن شيء غيره</w:t>
      </w:r>
      <w:r w:rsidR="000636C2">
        <w:rPr>
          <w:rFonts w:hint="cs"/>
          <w:sz w:val="24"/>
          <w:szCs w:val="24"/>
          <w:rtl/>
        </w:rPr>
        <w:t>،</w:t>
      </w:r>
      <w:r w:rsidRPr="005675B2">
        <w:rPr>
          <w:rFonts w:hint="cs"/>
          <w:sz w:val="24"/>
          <w:szCs w:val="24"/>
          <w:rtl/>
        </w:rPr>
        <w:t xml:space="preserve"> وينفي صحة الحديث بهذا اللفظ</w:t>
      </w:r>
      <w:r w:rsidR="000636C2">
        <w:rPr>
          <w:rFonts w:hint="cs"/>
          <w:sz w:val="24"/>
          <w:szCs w:val="24"/>
          <w:rtl/>
        </w:rPr>
        <w:t>]</w:t>
      </w:r>
      <w:r w:rsidR="000636C2">
        <w:rPr>
          <w:rFonts w:hint="cs"/>
          <w:rtl/>
        </w:rPr>
        <w:t>،</w:t>
      </w:r>
      <w:r w:rsidRPr="005675B2">
        <w:rPr>
          <w:rFonts w:hint="cs"/>
          <w:rtl/>
        </w:rPr>
        <w:t xml:space="preserve"> ومن العجيب الغريب أن يقول إن هذه العبارة لا تعرف أو لا يعرفها هو عن أئمة المسلمين</w:t>
      </w:r>
      <w:r w:rsidR="000636C2">
        <w:rPr>
          <w:rFonts w:hint="cs"/>
          <w:rtl/>
        </w:rPr>
        <w:t>،</w:t>
      </w:r>
      <w:r w:rsidRPr="005675B2">
        <w:rPr>
          <w:rFonts w:hint="cs"/>
          <w:rtl/>
        </w:rPr>
        <w:t xml:space="preserve"> ومعناها منقول عن عدد من أئمة المسلمين منهم يزيد بن هارون</w:t>
      </w:r>
      <w:r w:rsidR="000636C2">
        <w:rPr>
          <w:rFonts w:hint="cs"/>
          <w:rtl/>
        </w:rPr>
        <w:t xml:space="preserve"> </w:t>
      </w:r>
      <w:r w:rsidRPr="005675B2">
        <w:rPr>
          <w:rFonts w:hint="cs"/>
          <w:rtl/>
        </w:rPr>
        <w:t>- شيخ الإمام أحمد</w:t>
      </w:r>
      <w:r w:rsidR="000636C2">
        <w:rPr>
          <w:rFonts w:hint="cs"/>
          <w:rtl/>
        </w:rPr>
        <w:t xml:space="preserve"> </w:t>
      </w:r>
      <w:r w:rsidRPr="005675B2">
        <w:rPr>
          <w:rFonts w:hint="cs"/>
          <w:rtl/>
        </w:rPr>
        <w:t>-</w:t>
      </w:r>
      <w:r w:rsidR="000636C2">
        <w:rPr>
          <w:rFonts w:hint="cs"/>
          <w:rtl/>
        </w:rPr>
        <w:t>،</w:t>
      </w:r>
      <w:r w:rsidRPr="005675B2">
        <w:rPr>
          <w:rFonts w:hint="cs"/>
          <w:rtl/>
        </w:rPr>
        <w:t xml:space="preserve"> والإمام أحمد</w:t>
      </w:r>
      <w:r w:rsidR="000636C2">
        <w:rPr>
          <w:rFonts w:hint="cs"/>
          <w:rtl/>
        </w:rPr>
        <w:t>،</w:t>
      </w:r>
      <w:r w:rsidRPr="005675B2">
        <w:rPr>
          <w:rFonts w:hint="cs"/>
          <w:rtl/>
        </w:rPr>
        <w:t xml:space="preserve"> وابن جرير الطبري</w:t>
      </w:r>
      <w:r w:rsidR="000636C2">
        <w:rPr>
          <w:rFonts w:hint="cs"/>
          <w:rtl/>
        </w:rPr>
        <w:t>،</w:t>
      </w:r>
      <w:r w:rsidRPr="005675B2">
        <w:rPr>
          <w:rFonts w:hint="cs"/>
          <w:rtl/>
        </w:rPr>
        <w:t xml:space="preserve"> وابن حبان</w:t>
      </w:r>
      <w:r w:rsidR="000636C2">
        <w:rPr>
          <w:rFonts w:hint="cs"/>
          <w:rtl/>
        </w:rPr>
        <w:t>،</w:t>
      </w:r>
      <w:r w:rsidRPr="005675B2">
        <w:rPr>
          <w:rFonts w:hint="cs"/>
          <w:rtl/>
        </w:rPr>
        <w:t xml:space="preserve"> والبيهقي</w:t>
      </w:r>
      <w:r w:rsidR="000636C2">
        <w:rPr>
          <w:rFonts w:hint="cs"/>
          <w:rtl/>
        </w:rPr>
        <w:t>،</w:t>
      </w:r>
      <w:r w:rsidRPr="005675B2">
        <w:rPr>
          <w:rFonts w:hint="cs"/>
          <w:rtl/>
        </w:rPr>
        <w:t xml:space="preserve"> والقاضي أبو يعلى</w:t>
      </w:r>
      <w:r w:rsidR="000636C2">
        <w:rPr>
          <w:rFonts w:hint="cs"/>
          <w:rtl/>
        </w:rPr>
        <w:t>،</w:t>
      </w:r>
      <w:r w:rsidRPr="005675B2">
        <w:rPr>
          <w:rFonts w:hint="cs"/>
          <w:rtl/>
        </w:rPr>
        <w:t xml:space="preserve"> وغيرهم</w:t>
      </w:r>
      <w:r w:rsidR="000636C2">
        <w:rPr>
          <w:rFonts w:hint="cs"/>
          <w:rtl/>
        </w:rPr>
        <w:t>،</w:t>
      </w:r>
      <w:r w:rsidRPr="005675B2">
        <w:rPr>
          <w:rFonts w:hint="cs"/>
          <w:rtl/>
        </w:rPr>
        <w:t xml:space="preserve"> وجاء معناها في الاعتقاد القادري الذي كتب للخليفة العباسي القادر بالله</w:t>
      </w:r>
      <w:r w:rsidR="000636C2">
        <w:rPr>
          <w:rFonts w:hint="cs"/>
          <w:rtl/>
        </w:rPr>
        <w:t>!</w:t>
      </w:r>
      <w:r w:rsidRPr="005675B2">
        <w:rPr>
          <w:rFonts w:hint="cs"/>
          <w:rtl/>
        </w:rPr>
        <w:t xml:space="preserve"> فكيف غفل ابن تيمية عن هذا</w:t>
      </w:r>
      <w:r w:rsidR="000636C2">
        <w:rPr>
          <w:rFonts w:hint="cs"/>
          <w:rtl/>
        </w:rPr>
        <w:t>؟،</w:t>
      </w:r>
      <w:r w:rsidRPr="005675B2">
        <w:rPr>
          <w:rFonts w:hint="cs"/>
          <w:rtl/>
        </w:rPr>
        <w:t xml:space="preserve"> والأعجب أنه هو نفسه ينقل عن الإمام أحمد أنه يقول </w:t>
      </w:r>
      <w:r w:rsidR="000636C2">
        <w:rPr>
          <w:rFonts w:hint="cs"/>
          <w:rtl/>
        </w:rPr>
        <w:t>[</w:t>
      </w:r>
      <w:r w:rsidRPr="005675B2">
        <w:rPr>
          <w:rFonts w:hint="cs"/>
          <w:rtl/>
        </w:rPr>
        <w:t>كان الله ولا شيء</w:t>
      </w:r>
      <w:r w:rsidR="000636C2">
        <w:rPr>
          <w:rFonts w:hint="cs"/>
          <w:rtl/>
        </w:rPr>
        <w:t>]</w:t>
      </w:r>
      <w:r w:rsidRPr="005675B2">
        <w:rPr>
          <w:rFonts w:hint="cs"/>
          <w:rtl/>
        </w:rPr>
        <w:t xml:space="preserve"> [</w:t>
      </w:r>
      <w:r w:rsidRPr="005675B2">
        <w:rPr>
          <w:rFonts w:hint="cs"/>
          <w:sz w:val="24"/>
          <w:szCs w:val="24"/>
          <w:rtl/>
        </w:rPr>
        <w:t>التسعينية لابن تيمية: ص 51 – 52</w:t>
      </w:r>
      <w:r w:rsidR="000636C2">
        <w:rPr>
          <w:rFonts w:hint="cs"/>
          <w:sz w:val="24"/>
          <w:szCs w:val="24"/>
          <w:rtl/>
        </w:rPr>
        <w:t>،</w:t>
      </w:r>
      <w:r w:rsidRPr="005675B2">
        <w:rPr>
          <w:rFonts w:hint="cs"/>
          <w:sz w:val="24"/>
          <w:szCs w:val="24"/>
          <w:rtl/>
        </w:rPr>
        <w:t xml:space="preserve"> 77</w:t>
      </w:r>
      <w:r w:rsidR="000636C2">
        <w:rPr>
          <w:rFonts w:hint="cs"/>
          <w:sz w:val="24"/>
          <w:szCs w:val="24"/>
          <w:rtl/>
        </w:rPr>
        <w:t>،</w:t>
      </w:r>
      <w:r w:rsidRPr="005675B2">
        <w:rPr>
          <w:rFonts w:hint="cs"/>
          <w:sz w:val="24"/>
          <w:szCs w:val="24"/>
          <w:rtl/>
        </w:rPr>
        <w:t xml:space="preserve"> 91 – 92 .</w:t>
      </w:r>
      <w:r w:rsidR="000636C2">
        <w:rPr>
          <w:rFonts w:hint="cs"/>
          <w:sz w:val="24"/>
          <w:szCs w:val="24"/>
          <w:rtl/>
        </w:rPr>
        <w:t>(</w:t>
      </w:r>
      <w:r w:rsidRPr="005675B2">
        <w:rPr>
          <w:rFonts w:hint="cs"/>
          <w:sz w:val="24"/>
          <w:szCs w:val="24"/>
          <w:rtl/>
        </w:rPr>
        <w:t>المجلد الخامس من الفتاوى الكبرى</w:t>
      </w:r>
      <w:r w:rsidR="000636C2">
        <w:rPr>
          <w:rFonts w:hint="cs"/>
          <w:sz w:val="24"/>
          <w:szCs w:val="24"/>
          <w:rtl/>
        </w:rPr>
        <w:t>)،</w:t>
      </w:r>
      <w:r w:rsidRPr="005675B2">
        <w:rPr>
          <w:rFonts w:hint="cs"/>
          <w:rtl/>
        </w:rPr>
        <w:t>]</w:t>
      </w:r>
      <w:r w:rsidR="000636C2">
        <w:rPr>
          <w:rFonts w:hint="cs"/>
          <w:rtl/>
        </w:rPr>
        <w:t>،</w:t>
      </w:r>
      <w:r w:rsidRPr="005675B2">
        <w:rPr>
          <w:rFonts w:hint="cs"/>
          <w:rtl/>
        </w:rPr>
        <w:t xml:space="preserve"> وينقل في معرض الثناء والإقرار قول عمرو بن عثمان المكي رحمه الله</w:t>
      </w:r>
      <w:r w:rsidR="000636C2">
        <w:rPr>
          <w:rFonts w:hint="cs"/>
          <w:rtl/>
        </w:rPr>
        <w:t>:</w:t>
      </w:r>
      <w:r w:rsidRPr="005675B2">
        <w:rPr>
          <w:rFonts w:hint="cs"/>
          <w:rtl/>
        </w:rPr>
        <w:t xml:space="preserve"> </w:t>
      </w:r>
      <w:r w:rsidR="000636C2">
        <w:rPr>
          <w:rFonts w:hint="cs"/>
          <w:rtl/>
        </w:rPr>
        <w:t>[</w:t>
      </w:r>
      <w:r w:rsidRPr="005675B2">
        <w:rPr>
          <w:rFonts w:hint="cs"/>
          <w:rtl/>
        </w:rPr>
        <w:t>الله تعالى واحد لا كالآحاد ..</w:t>
      </w:r>
      <w:r w:rsidR="000636C2">
        <w:rPr>
          <w:rFonts w:hint="cs"/>
          <w:rtl/>
        </w:rPr>
        <w:t>،</w:t>
      </w:r>
      <w:r w:rsidRPr="005675B2">
        <w:rPr>
          <w:rFonts w:hint="cs"/>
          <w:rtl/>
        </w:rPr>
        <w:t xml:space="preserve"> خلصت له الأسماء السنية</w:t>
      </w:r>
      <w:r w:rsidR="000636C2">
        <w:rPr>
          <w:rFonts w:hint="cs"/>
          <w:rtl/>
        </w:rPr>
        <w:t>،</w:t>
      </w:r>
      <w:r w:rsidRPr="005675B2">
        <w:rPr>
          <w:rFonts w:hint="cs"/>
          <w:rtl/>
        </w:rPr>
        <w:t xml:space="preserve"> فكانت واقعة في قديم الأزل بصدق الحقائق ..</w:t>
      </w:r>
      <w:r w:rsidR="000636C2">
        <w:rPr>
          <w:rFonts w:hint="cs"/>
          <w:rtl/>
        </w:rPr>
        <w:t>،</w:t>
      </w:r>
      <w:r w:rsidRPr="005675B2">
        <w:rPr>
          <w:rFonts w:hint="cs"/>
          <w:rtl/>
        </w:rPr>
        <w:t xml:space="preserve"> فكان هادياً سيهدي</w:t>
      </w:r>
      <w:r w:rsidR="000636C2">
        <w:rPr>
          <w:rFonts w:hint="cs"/>
          <w:rtl/>
        </w:rPr>
        <w:t>،</w:t>
      </w:r>
      <w:r w:rsidRPr="005675B2">
        <w:rPr>
          <w:rFonts w:hint="cs"/>
          <w:rtl/>
        </w:rPr>
        <w:t xml:space="preserve"> وخالقاً سيخلق</w:t>
      </w:r>
      <w:r w:rsidR="000636C2">
        <w:rPr>
          <w:rFonts w:hint="cs"/>
          <w:rtl/>
        </w:rPr>
        <w:t>،</w:t>
      </w:r>
      <w:r w:rsidRPr="005675B2">
        <w:rPr>
          <w:rFonts w:hint="cs"/>
          <w:rtl/>
        </w:rPr>
        <w:t xml:space="preserve"> ورازقاً سيرزق</w:t>
      </w:r>
      <w:r w:rsidR="000636C2">
        <w:rPr>
          <w:rFonts w:hint="cs"/>
          <w:rtl/>
        </w:rPr>
        <w:t>،</w:t>
      </w:r>
      <w:r w:rsidRPr="005675B2">
        <w:rPr>
          <w:rFonts w:hint="cs"/>
          <w:rtl/>
        </w:rPr>
        <w:t xml:space="preserve"> وفاعلاً سيفعل</w:t>
      </w:r>
      <w:r w:rsidR="000636C2">
        <w:rPr>
          <w:rFonts w:hint="cs"/>
          <w:rtl/>
        </w:rPr>
        <w:t>]</w:t>
      </w:r>
      <w:r w:rsidRPr="005675B2">
        <w:rPr>
          <w:rFonts w:hint="cs"/>
          <w:rtl/>
        </w:rPr>
        <w:t xml:space="preserve"> </w:t>
      </w:r>
      <w:r w:rsidR="000636C2">
        <w:rPr>
          <w:rFonts w:hint="cs"/>
          <w:rtl/>
        </w:rPr>
        <w:t>[</w:t>
      </w:r>
      <w:r w:rsidRPr="005675B2">
        <w:rPr>
          <w:rFonts w:hint="cs"/>
          <w:sz w:val="24"/>
          <w:szCs w:val="24"/>
          <w:rtl/>
        </w:rPr>
        <w:t>مجموع فتاوى ابن تيمية: 5 / 63 . وعمروبن عثمان المكي ترجمه الذهبي في سير أعلام النبلاء وقال: الإمام الرباني شيخ الصوفية</w:t>
      </w:r>
      <w:r w:rsidR="000636C2">
        <w:rPr>
          <w:rFonts w:hint="cs"/>
          <w:sz w:val="24"/>
          <w:szCs w:val="24"/>
          <w:rtl/>
        </w:rPr>
        <w:t>،</w:t>
      </w:r>
      <w:r w:rsidRPr="005675B2">
        <w:rPr>
          <w:rFonts w:hint="cs"/>
          <w:sz w:val="24"/>
          <w:szCs w:val="24"/>
          <w:rtl/>
        </w:rPr>
        <w:t> ... توفي بعد الثلاثمئة .</w:t>
      </w:r>
      <w:r w:rsidR="000636C2">
        <w:rPr>
          <w:rFonts w:hint="cs"/>
          <w:sz w:val="24"/>
          <w:szCs w:val="24"/>
          <w:rtl/>
        </w:rPr>
        <w:t>)</w:t>
      </w:r>
      <w:r w:rsidRPr="005675B2">
        <w:rPr>
          <w:rFonts w:hint="cs"/>
          <w:sz w:val="24"/>
          <w:szCs w:val="24"/>
          <w:rtl/>
        </w:rPr>
        <w:t xml:space="preserve"> 14 / 57 – 58 (</w:t>
      </w:r>
      <w:r w:rsidR="000636C2">
        <w:rPr>
          <w:rFonts w:hint="cs"/>
          <w:sz w:val="24"/>
          <w:szCs w:val="24"/>
          <w:rtl/>
        </w:rPr>
        <w:t>]</w:t>
      </w:r>
      <w:r w:rsidR="000636C2">
        <w:rPr>
          <w:rFonts w:hint="cs"/>
          <w:rtl/>
        </w:rPr>
        <w:t>،</w:t>
      </w:r>
      <w:r w:rsidRPr="005675B2">
        <w:rPr>
          <w:rFonts w:hint="cs"/>
          <w:rtl/>
        </w:rPr>
        <w:t xml:space="preserve"> وإذا كان الله تعالى مستحقاً في قديم الأزل لاسم </w:t>
      </w:r>
      <w:r w:rsidR="000636C2">
        <w:rPr>
          <w:rFonts w:hint="cs"/>
          <w:rtl/>
        </w:rPr>
        <w:t>[</w:t>
      </w:r>
      <w:r w:rsidRPr="005675B2">
        <w:rPr>
          <w:rFonts w:hint="cs"/>
          <w:rtl/>
        </w:rPr>
        <w:t>الخالق</w:t>
      </w:r>
      <w:r w:rsidR="000636C2">
        <w:rPr>
          <w:rFonts w:hint="cs"/>
          <w:rtl/>
        </w:rPr>
        <w:t>]</w:t>
      </w:r>
      <w:r w:rsidRPr="005675B2">
        <w:rPr>
          <w:rFonts w:hint="cs"/>
          <w:rtl/>
        </w:rPr>
        <w:t xml:space="preserve"> بمعنى القدرة على الخلق عندما يشاء ذلك وبمعنى أنه سيخلق ؛ فهذا يعني أنه كان في الأزل وحده ولم يكن شيء غيره ولم يكن شيء معه</w:t>
      </w:r>
      <w:r w:rsidR="000636C2">
        <w:rPr>
          <w:rFonts w:hint="cs"/>
          <w:rtl/>
        </w:rPr>
        <w:t>،</w:t>
      </w:r>
      <w:r w:rsidRPr="005675B2">
        <w:rPr>
          <w:rFonts w:hint="cs"/>
          <w:rtl/>
        </w:rPr>
        <w:t xml:space="preserve"> فكيف غفل عن هذا</w:t>
      </w:r>
      <w:r w:rsidR="000636C2">
        <w:rPr>
          <w:rFonts w:hint="cs"/>
          <w:rtl/>
        </w:rPr>
        <w:t>؟،</w:t>
      </w:r>
      <w:r w:rsidRPr="005675B2">
        <w:rPr>
          <w:rFonts w:hint="cs"/>
          <w:rtl/>
        </w:rPr>
        <w:t xml:space="preserve"> ب</w:t>
      </w:r>
      <w:r w:rsidR="000636C2">
        <w:rPr>
          <w:rFonts w:hint="cs"/>
          <w:rtl/>
        </w:rPr>
        <w:t xml:space="preserve"> </w:t>
      </w:r>
      <w:r w:rsidRPr="005675B2">
        <w:rPr>
          <w:rFonts w:hint="cs"/>
          <w:rtl/>
        </w:rPr>
        <w:t>- ذكر ابن تيمية رحمه الله حديث الأوعال [</w:t>
      </w:r>
      <w:r w:rsidRPr="005675B2">
        <w:rPr>
          <w:rFonts w:hint="cs"/>
          <w:sz w:val="24"/>
          <w:szCs w:val="24"/>
          <w:rtl/>
        </w:rPr>
        <w:t>الوعل بتسكين العين أو كسرها: تيس الجبل</w:t>
      </w:r>
      <w:r w:rsidR="000636C2">
        <w:rPr>
          <w:rFonts w:hint="cs"/>
          <w:sz w:val="24"/>
          <w:szCs w:val="24"/>
          <w:rtl/>
        </w:rPr>
        <w:t>،</w:t>
      </w:r>
      <w:r w:rsidRPr="005675B2">
        <w:rPr>
          <w:rFonts w:hint="cs"/>
          <w:sz w:val="24"/>
          <w:szCs w:val="24"/>
          <w:rtl/>
        </w:rPr>
        <w:t xml:space="preserve"> والأوعال جمع الوعل</w:t>
      </w:r>
      <w:r w:rsidR="000636C2">
        <w:rPr>
          <w:rFonts w:hint="cs"/>
          <w:sz w:val="24"/>
          <w:szCs w:val="24"/>
          <w:rtl/>
        </w:rPr>
        <w:t>]</w:t>
      </w:r>
      <w:r w:rsidRPr="005675B2">
        <w:rPr>
          <w:rFonts w:hint="cs"/>
          <w:rtl/>
        </w:rPr>
        <w:t xml:space="preserve"> ورد على من حاول الطعن فيه وقال </w:t>
      </w:r>
      <w:r w:rsidR="000636C2">
        <w:rPr>
          <w:rFonts w:hint="cs"/>
          <w:rtl/>
        </w:rPr>
        <w:t>[</w:t>
      </w:r>
      <w:r w:rsidRPr="005675B2">
        <w:rPr>
          <w:rFonts w:hint="cs"/>
          <w:rtl/>
        </w:rPr>
        <w:t>هذا الحديث مع أنه رواه أهل السنن كأبي داود وابن ماجه والترمذي وغيرهم فهو مروي من طريقين مشهورين</w:t>
      </w:r>
      <w:r w:rsidR="000636C2">
        <w:rPr>
          <w:rFonts w:hint="cs"/>
          <w:rtl/>
        </w:rPr>
        <w:t>،</w:t>
      </w:r>
      <w:r w:rsidRPr="005675B2">
        <w:rPr>
          <w:rFonts w:hint="cs"/>
          <w:rtl/>
        </w:rPr>
        <w:t xml:space="preserve"> فالقدح في أحدهما لا يقدح في الآخر</w:t>
      </w:r>
      <w:r w:rsidR="000636C2">
        <w:rPr>
          <w:rFonts w:hint="cs"/>
          <w:rtl/>
        </w:rPr>
        <w:t>]</w:t>
      </w:r>
      <w:r w:rsidRPr="005675B2">
        <w:rPr>
          <w:rFonts w:hint="cs"/>
          <w:rtl/>
        </w:rPr>
        <w:t xml:space="preserve"> [</w:t>
      </w:r>
      <w:r w:rsidRPr="005675B2">
        <w:rPr>
          <w:rFonts w:hint="cs"/>
          <w:sz w:val="24"/>
          <w:szCs w:val="24"/>
          <w:rtl/>
        </w:rPr>
        <w:t>مجموع فتاوى ابن تيمية: 3 / 192</w:t>
      </w:r>
      <w:r w:rsidR="000636C2">
        <w:rPr>
          <w:rFonts w:hint="cs"/>
          <w:sz w:val="24"/>
          <w:szCs w:val="24"/>
          <w:rtl/>
        </w:rPr>
        <w:t>]</w:t>
      </w:r>
      <w:r w:rsidR="000636C2">
        <w:rPr>
          <w:rFonts w:hint="cs"/>
          <w:rtl/>
        </w:rPr>
        <w:t>،</w:t>
      </w:r>
    </w:p>
    <w:p w14:paraId="6A341CA0" w14:textId="142D3A9D"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حديث الأوعال روي من طرق عن سماك بن حرب عن عبد الله بن عَميرة عن الأحنف بن قيس عن العباس بن عبد المطلب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هل تدرون بعد ما بين السماء والأرض</w:t>
      </w:r>
      <w:r w:rsidR="000636C2">
        <w:rPr>
          <w:rFonts w:hint="cs"/>
          <w:rtl/>
        </w:rPr>
        <w:t>؟]،</w:t>
      </w:r>
      <w:r w:rsidRPr="005675B2">
        <w:rPr>
          <w:rFonts w:hint="cs"/>
          <w:rtl/>
        </w:rPr>
        <w:t xml:space="preserve"> فقالوا</w:t>
      </w:r>
      <w:r w:rsidR="000636C2">
        <w:rPr>
          <w:rFonts w:hint="cs"/>
          <w:rtl/>
        </w:rPr>
        <w:t>:</w:t>
      </w:r>
      <w:r w:rsidRPr="005675B2">
        <w:rPr>
          <w:rFonts w:hint="cs"/>
          <w:rtl/>
        </w:rPr>
        <w:t xml:space="preserve"> لا</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إن بعد ما بينهما ..</w:t>
      </w:r>
      <w:r w:rsidR="000636C2">
        <w:rPr>
          <w:rFonts w:hint="cs"/>
          <w:rtl/>
        </w:rPr>
        <w:t>،</w:t>
      </w:r>
      <w:r w:rsidRPr="005675B2">
        <w:rPr>
          <w:rFonts w:hint="cs"/>
          <w:rtl/>
        </w:rPr>
        <w:t xml:space="preserve"> ثم السماء فوقها كذلك ..</w:t>
      </w:r>
      <w:r w:rsidR="000636C2">
        <w:rPr>
          <w:rFonts w:hint="cs"/>
          <w:rtl/>
        </w:rPr>
        <w:t>،</w:t>
      </w:r>
      <w:r w:rsidRPr="005675B2">
        <w:rPr>
          <w:rFonts w:hint="cs"/>
          <w:rtl/>
        </w:rPr>
        <w:t xml:space="preserve"> ثم فوق السابعة بحر ..</w:t>
      </w:r>
      <w:r w:rsidR="000636C2">
        <w:rPr>
          <w:rFonts w:hint="cs"/>
          <w:rtl/>
        </w:rPr>
        <w:t>،</w:t>
      </w:r>
      <w:r w:rsidRPr="005675B2">
        <w:rPr>
          <w:rFonts w:hint="cs"/>
          <w:rtl/>
        </w:rPr>
        <w:t xml:space="preserve"> ثم فوق ذلك ثمانية أوعال بين أظلافهم وركبهم مثل ما بين سماء إلى سماء</w:t>
      </w:r>
      <w:r w:rsidR="000636C2">
        <w:rPr>
          <w:rFonts w:hint="cs"/>
          <w:rtl/>
        </w:rPr>
        <w:t>،</w:t>
      </w:r>
      <w:r w:rsidRPr="005675B2">
        <w:rPr>
          <w:rFonts w:hint="cs"/>
          <w:rtl/>
        </w:rPr>
        <w:t xml:space="preserve"> ثم الله تبارك وتعالى فوق ذلك</w:t>
      </w:r>
      <w:r w:rsidR="000636C2">
        <w:rPr>
          <w:rFonts w:hint="cs"/>
          <w:rtl/>
        </w:rPr>
        <w:t>]،</w:t>
      </w:r>
      <w:r w:rsidRPr="005675B2">
        <w:rPr>
          <w:rFonts w:hint="cs"/>
          <w:rtl/>
        </w:rPr>
        <w:t xml:space="preserve"> وفي غمرة الدفاع عن هذا الحديث المنكر الذي يرتب السموات بعضها فوق بعض ثم يجعل فوقهن بحراً ثم ثمانية أوعال ثم الله تبارك وتعالى وكأنه سبحانه في جهة مكانية ؛ فإن ابن تيمية</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 يدعي أن هذا الحديث مروي من طريقين مشهورين وأن القدح في أحدهما لا يقدح في الآخر</w:t>
      </w:r>
      <w:r w:rsidR="000636C2">
        <w:rPr>
          <w:rFonts w:hint="cs"/>
          <w:rtl/>
        </w:rPr>
        <w:t>!</w:t>
      </w:r>
      <w:r w:rsidRPr="005675B2">
        <w:rPr>
          <w:rFonts w:hint="cs"/>
          <w:rtl/>
        </w:rPr>
        <w:t>!</w:t>
      </w:r>
      <w:r w:rsidR="000636C2">
        <w:rPr>
          <w:rFonts w:hint="cs"/>
          <w:rtl/>
        </w:rPr>
        <w:t>،</w:t>
      </w:r>
      <w:r w:rsidRPr="005675B2">
        <w:rPr>
          <w:rFonts w:hint="cs"/>
          <w:rtl/>
        </w:rPr>
        <w:t xml:space="preserve"> والحديث معروف ومشهور في عدد من المصادر بالسند الذي ذكرته ليس له غيره</w:t>
      </w:r>
      <w:r w:rsidR="000636C2">
        <w:rPr>
          <w:rFonts w:hint="cs"/>
          <w:rtl/>
        </w:rPr>
        <w:t>،</w:t>
      </w:r>
      <w:r w:rsidRPr="005675B2">
        <w:rPr>
          <w:rFonts w:hint="cs"/>
          <w:rtl/>
        </w:rPr>
        <w:t xml:space="preserve"> وهو سند ضعيف بيِّن الضعف</w:t>
      </w:r>
      <w:r w:rsidR="000636C2">
        <w:rPr>
          <w:rFonts w:hint="cs"/>
          <w:rtl/>
        </w:rPr>
        <w:t>،</w:t>
      </w:r>
      <w:r w:rsidRPr="005675B2">
        <w:rPr>
          <w:rFonts w:hint="cs"/>
          <w:rtl/>
        </w:rPr>
        <w:t xml:space="preserve"> فيه سماك بن حرب وعبد الله بن عميرة</w:t>
      </w:r>
      <w:r w:rsidR="000636C2">
        <w:rPr>
          <w:rFonts w:hint="cs"/>
          <w:rtl/>
        </w:rPr>
        <w:t>:</w:t>
      </w:r>
      <w:r w:rsidRPr="005675B2">
        <w:rPr>
          <w:rFonts w:hint="cs"/>
          <w:rtl/>
        </w:rPr>
        <w:t xml:space="preserve"> فأما سماك بن حرب فقد وثقه ابن معين وأبو حاتم</w:t>
      </w:r>
      <w:r w:rsidR="000636C2">
        <w:rPr>
          <w:rFonts w:hint="cs"/>
          <w:rtl/>
        </w:rPr>
        <w:t>،</w:t>
      </w:r>
      <w:r w:rsidRPr="005675B2">
        <w:rPr>
          <w:rFonts w:hint="cs"/>
          <w:rtl/>
        </w:rPr>
        <w:t xml:space="preserve"> لكن ضعفه شعبة وعبد الله بن المبارك وسفيان الثوري وغيرهم</w:t>
      </w:r>
      <w:r w:rsidR="000636C2">
        <w:rPr>
          <w:rFonts w:hint="cs"/>
          <w:rtl/>
        </w:rPr>
        <w:t>،</w:t>
      </w:r>
      <w:r w:rsidRPr="005675B2">
        <w:rPr>
          <w:rFonts w:hint="cs"/>
          <w:rtl/>
        </w:rPr>
        <w:t xml:space="preserve"> وقال أحمد</w:t>
      </w:r>
      <w:r w:rsidR="000636C2">
        <w:rPr>
          <w:rFonts w:hint="cs"/>
          <w:rtl/>
        </w:rPr>
        <w:t>:</w:t>
      </w:r>
      <w:r w:rsidRPr="005675B2">
        <w:rPr>
          <w:rFonts w:hint="cs"/>
          <w:rtl/>
        </w:rPr>
        <w:t xml:space="preserve"> مضطرب الحديث</w:t>
      </w:r>
      <w:r w:rsidR="000636C2">
        <w:rPr>
          <w:rFonts w:hint="cs"/>
          <w:rtl/>
        </w:rPr>
        <w:t>،</w:t>
      </w:r>
      <w:r w:rsidRPr="005675B2">
        <w:rPr>
          <w:rFonts w:hint="cs"/>
          <w:rtl/>
        </w:rPr>
        <w:t xml:space="preserve"> وقال النسائي</w:t>
      </w:r>
      <w:r w:rsidR="000636C2">
        <w:rPr>
          <w:rFonts w:hint="cs"/>
          <w:rtl/>
        </w:rPr>
        <w:t>:</w:t>
      </w:r>
      <w:r w:rsidRPr="005675B2">
        <w:rPr>
          <w:rFonts w:hint="cs"/>
          <w:rtl/>
        </w:rPr>
        <w:t xml:space="preserve"> ليس ممن يعتمد عليه إذا انفرد بالحديث لأنه كان يقبل التلقين</w:t>
      </w:r>
      <w:r w:rsidR="000636C2">
        <w:rPr>
          <w:rFonts w:hint="cs"/>
          <w:rtl/>
        </w:rPr>
        <w:t>،</w:t>
      </w:r>
      <w:r w:rsidRPr="005675B2">
        <w:rPr>
          <w:rFonts w:hint="cs"/>
          <w:rtl/>
        </w:rPr>
        <w:t xml:space="preserve"> وأما عبد الله بن عَميرة فقد ذكره ابن حبان في الثقات</w:t>
      </w:r>
      <w:r w:rsidR="000636C2">
        <w:rPr>
          <w:rFonts w:hint="cs"/>
          <w:rtl/>
        </w:rPr>
        <w:t>،</w:t>
      </w:r>
      <w:r w:rsidRPr="005675B2">
        <w:rPr>
          <w:rFonts w:hint="cs"/>
          <w:rtl/>
        </w:rPr>
        <w:t xml:space="preserve"> وقال الإمام مسلم</w:t>
      </w:r>
      <w:r w:rsidR="000636C2">
        <w:rPr>
          <w:rFonts w:hint="cs"/>
          <w:rtl/>
        </w:rPr>
        <w:t>:</w:t>
      </w:r>
      <w:r w:rsidRPr="005675B2">
        <w:rPr>
          <w:rFonts w:hint="cs"/>
          <w:rtl/>
        </w:rPr>
        <w:t xml:space="preserve"> تفرد سماك بالرواية عنه</w:t>
      </w:r>
      <w:r w:rsidR="000636C2">
        <w:rPr>
          <w:rFonts w:hint="cs"/>
          <w:rtl/>
        </w:rPr>
        <w:t>،</w:t>
      </w:r>
      <w:r w:rsidRPr="005675B2">
        <w:rPr>
          <w:rFonts w:hint="cs"/>
          <w:rtl/>
        </w:rPr>
        <w:t xml:space="preserve"> وقال إبراهيم الحربي</w:t>
      </w:r>
      <w:r w:rsidR="000636C2">
        <w:rPr>
          <w:rFonts w:hint="cs"/>
          <w:rtl/>
        </w:rPr>
        <w:t>:</w:t>
      </w:r>
      <w:r w:rsidRPr="005675B2">
        <w:rPr>
          <w:rFonts w:hint="cs"/>
          <w:rtl/>
        </w:rPr>
        <w:t xml:space="preserve"> لا أعرفه</w:t>
      </w:r>
      <w:r w:rsidR="000636C2">
        <w:rPr>
          <w:rFonts w:hint="cs"/>
          <w:rtl/>
        </w:rPr>
        <w:t>،</w:t>
      </w:r>
      <w:r w:rsidRPr="005675B2">
        <w:rPr>
          <w:rFonts w:hint="cs"/>
          <w:rtl/>
        </w:rPr>
        <w:t xml:space="preserve"> وقال ابن حجر في التقريب</w:t>
      </w:r>
      <w:r w:rsidR="000636C2">
        <w:rPr>
          <w:rFonts w:hint="cs"/>
          <w:rtl/>
        </w:rPr>
        <w:t>:</w:t>
      </w:r>
      <w:r w:rsidRPr="005675B2">
        <w:rPr>
          <w:rFonts w:hint="cs"/>
          <w:rtl/>
        </w:rPr>
        <w:t xml:space="preserve"> مقبول</w:t>
      </w:r>
      <w:r w:rsidR="000636C2">
        <w:rPr>
          <w:rFonts w:hint="cs"/>
          <w:rtl/>
        </w:rPr>
        <w:t>،</w:t>
      </w:r>
      <w:r w:rsidRPr="005675B2">
        <w:rPr>
          <w:rFonts w:hint="cs"/>
          <w:rtl/>
        </w:rPr>
        <w:t xml:space="preserve"> ومراد ابن حجر بقوله هذا أنه يقبل في المتابعات لا فيما انفرد به</w:t>
      </w:r>
      <w:r w:rsidR="000636C2">
        <w:rPr>
          <w:rFonts w:hint="cs"/>
          <w:rtl/>
        </w:rPr>
        <w:t>،</w:t>
      </w:r>
      <w:r w:rsidRPr="005675B2">
        <w:rPr>
          <w:rFonts w:hint="cs"/>
          <w:rtl/>
        </w:rPr>
        <w:t xml:space="preserve"> وذكره في ثقات ابن حبان لا ينفعه لما عرف من تساهل ابن حبان</w:t>
      </w:r>
      <w:r w:rsidR="000636C2">
        <w:rPr>
          <w:rFonts w:hint="cs"/>
          <w:rtl/>
        </w:rPr>
        <w:t>،</w:t>
      </w:r>
      <w:r w:rsidRPr="005675B2">
        <w:rPr>
          <w:rFonts w:hint="cs"/>
          <w:rtl/>
        </w:rPr>
        <w:t xml:space="preserve"> فمثل هذا السند لا يصلح للاحتجاج به في الأحكام فكيف يحتج به في العقائد</w:t>
      </w:r>
      <w:r w:rsidR="000636C2">
        <w:rPr>
          <w:rFonts w:hint="cs"/>
          <w:rtl/>
        </w:rPr>
        <w:t xml:space="preserve">؟، </w:t>
      </w:r>
      <w:r w:rsidRPr="005675B2">
        <w:rPr>
          <w:rFonts w:hint="cs"/>
          <w:rtl/>
        </w:rPr>
        <w:t>ج - - وقف ابن تيمية</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 xml:space="preserve">- على بعض الآثار التي فيها القول عن الله تبارك وتعالى بأنه </w:t>
      </w:r>
      <w:r w:rsidR="000636C2">
        <w:rPr>
          <w:rFonts w:hint="cs"/>
          <w:rtl/>
        </w:rPr>
        <w:t>[</w:t>
      </w:r>
      <w:r w:rsidRPr="005675B2">
        <w:rPr>
          <w:rFonts w:hint="cs"/>
          <w:rtl/>
        </w:rPr>
        <w:t>أبدى عن بعضه</w:t>
      </w:r>
      <w:r w:rsidR="000636C2">
        <w:rPr>
          <w:rFonts w:hint="cs"/>
          <w:rtl/>
        </w:rPr>
        <w:t>]،</w:t>
      </w:r>
      <w:r w:rsidRPr="005675B2">
        <w:rPr>
          <w:rFonts w:hint="cs"/>
          <w:rtl/>
        </w:rPr>
        <w:t xml:space="preserve"> فراح يثبتها ويدافع عنها</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وإن كان الإنكار لأنه لا يقال في صفات الله لفظ البعض ؛ فهذا اللفظ قد نطق به أئمة الصحابة والتابعين وتابعيهم</w:t>
      </w:r>
      <w:r w:rsidR="000636C2">
        <w:rPr>
          <w:rFonts w:hint="cs"/>
          <w:rtl/>
        </w:rPr>
        <w:t>،</w:t>
      </w:r>
      <w:r w:rsidRPr="005675B2">
        <w:rPr>
          <w:rFonts w:hint="cs"/>
          <w:rtl/>
        </w:rPr>
        <w:t xml:space="preserve"> ذاكرين وآثرين</w:t>
      </w:r>
      <w:r w:rsidR="000636C2">
        <w:rPr>
          <w:rFonts w:hint="cs"/>
          <w:rtl/>
        </w:rPr>
        <w:t>]،</w:t>
      </w:r>
      <w:r w:rsidRPr="005675B2">
        <w:rPr>
          <w:rFonts w:hint="cs"/>
          <w:rtl/>
        </w:rPr>
        <w:t xml:space="preserve"> وذكر الأثر الوارد في ذلك من طريق </w:t>
      </w:r>
      <w:r w:rsidR="000636C2">
        <w:rPr>
          <w:rFonts w:hint="cs"/>
          <w:rtl/>
        </w:rPr>
        <w:t>[</w:t>
      </w:r>
      <w:r w:rsidRPr="005675B2">
        <w:rPr>
          <w:rFonts w:hint="cs"/>
          <w:rtl/>
        </w:rPr>
        <w:t>عمرو بن عثمان الكلابي قال</w:t>
      </w:r>
      <w:r w:rsidR="000636C2">
        <w:rPr>
          <w:rFonts w:hint="cs"/>
          <w:rtl/>
        </w:rPr>
        <w:t>:</w:t>
      </w:r>
      <w:r w:rsidRPr="005675B2">
        <w:rPr>
          <w:rFonts w:hint="cs"/>
          <w:rtl/>
        </w:rPr>
        <w:t xml:space="preserve"> حدثنا موسى بن أعين</w:t>
      </w:r>
      <w:r w:rsidR="000636C2">
        <w:rPr>
          <w:rFonts w:hint="cs"/>
          <w:rtl/>
        </w:rPr>
        <w:t>،</w:t>
      </w:r>
      <w:r w:rsidRPr="005675B2">
        <w:rPr>
          <w:rFonts w:hint="cs"/>
          <w:rtl/>
        </w:rPr>
        <w:t xml:space="preserve"> عن الأوزاعي</w:t>
      </w:r>
      <w:r w:rsidR="000636C2">
        <w:rPr>
          <w:rFonts w:hint="cs"/>
          <w:rtl/>
        </w:rPr>
        <w:t>،</w:t>
      </w:r>
      <w:r w:rsidRPr="005675B2">
        <w:rPr>
          <w:rFonts w:hint="cs"/>
          <w:rtl/>
        </w:rPr>
        <w:t xml:space="preserve"> عن يحيى بن أبي كثير</w:t>
      </w:r>
      <w:r w:rsidR="000636C2">
        <w:rPr>
          <w:rFonts w:hint="cs"/>
          <w:rtl/>
        </w:rPr>
        <w:t>،</w:t>
      </w:r>
      <w:r w:rsidRPr="005675B2">
        <w:rPr>
          <w:rFonts w:hint="cs"/>
          <w:rtl/>
        </w:rPr>
        <w:t xml:space="preserve"> عن عكرمة</w:t>
      </w:r>
      <w:r w:rsidR="000636C2">
        <w:rPr>
          <w:rFonts w:hint="cs"/>
          <w:rtl/>
        </w:rPr>
        <w:t>،</w:t>
      </w:r>
      <w:r w:rsidRPr="005675B2">
        <w:rPr>
          <w:rFonts w:hint="cs"/>
          <w:rtl/>
        </w:rPr>
        <w:t xml:space="preserve"> عن ابن عباس أنه قال</w:t>
      </w:r>
      <w:r w:rsidR="000636C2">
        <w:rPr>
          <w:rFonts w:hint="cs"/>
          <w:rtl/>
        </w:rPr>
        <w:t>:</w:t>
      </w:r>
      <w:r w:rsidRPr="005675B2">
        <w:rPr>
          <w:rFonts w:hint="cs"/>
          <w:rtl/>
        </w:rPr>
        <w:t xml:space="preserve"> إذا أراد الله أن يخوف عباده أبدى عن بعضه للأرض</w:t>
      </w:r>
      <w:r w:rsidR="000636C2">
        <w:rPr>
          <w:rFonts w:hint="cs"/>
          <w:rtl/>
        </w:rPr>
        <w:t>،</w:t>
      </w:r>
      <w:r w:rsidRPr="005675B2">
        <w:rPr>
          <w:rFonts w:hint="cs"/>
          <w:rtl/>
        </w:rPr>
        <w:t xml:space="preserve"> فعند ذلك تزلزل</w:t>
      </w:r>
      <w:r w:rsidR="000636C2">
        <w:rPr>
          <w:rFonts w:hint="cs"/>
          <w:rtl/>
        </w:rPr>
        <w:t>،</w:t>
      </w:r>
      <w:r w:rsidRPr="005675B2">
        <w:rPr>
          <w:rFonts w:hint="cs"/>
          <w:rtl/>
        </w:rPr>
        <w:t xml:space="preserve"> وإذا أراد الله أن يدمدم على قوم تجلى لها عز وجل</w:t>
      </w:r>
      <w:r w:rsidR="000636C2">
        <w:rPr>
          <w:rFonts w:hint="cs"/>
          <w:rtl/>
        </w:rPr>
        <w:t>]</w:t>
      </w:r>
      <w:r w:rsidRPr="005675B2">
        <w:rPr>
          <w:rFonts w:hint="cs"/>
          <w:rtl/>
        </w:rPr>
        <w:t xml:space="preserve"> [</w:t>
      </w:r>
      <w:r w:rsidRPr="005675B2">
        <w:rPr>
          <w:rFonts w:hint="cs"/>
          <w:sz w:val="24"/>
          <w:szCs w:val="24"/>
          <w:rtl/>
        </w:rPr>
        <w:t>التسعينية: ص 72 . دمدم عليهم: أهلكهم</w:t>
      </w:r>
      <w:r w:rsidR="000636C2">
        <w:rPr>
          <w:rFonts w:hint="cs"/>
          <w:sz w:val="24"/>
          <w:szCs w:val="24"/>
          <w:rtl/>
        </w:rPr>
        <w:t>]</w:t>
      </w:r>
      <w:r w:rsidR="000636C2">
        <w:rPr>
          <w:rFonts w:hint="cs"/>
          <w:rtl/>
        </w:rPr>
        <w:t>،</w:t>
      </w:r>
      <w:r w:rsidRPr="005675B2">
        <w:rPr>
          <w:rFonts w:hint="cs"/>
          <w:rtl/>
        </w:rPr>
        <w:t xml:space="preserve"> ثم نقل عن عبد الله بن أحمد ابن حنبل أنه قال</w:t>
      </w:r>
      <w:r w:rsidR="000636C2">
        <w:rPr>
          <w:rFonts w:hint="cs"/>
          <w:rtl/>
        </w:rPr>
        <w:t>:</w:t>
      </w:r>
      <w:r w:rsidRPr="005675B2">
        <w:rPr>
          <w:rFonts w:hint="cs"/>
          <w:rtl/>
        </w:rPr>
        <w:t xml:space="preserve"> </w:t>
      </w:r>
      <w:r w:rsidR="000636C2">
        <w:rPr>
          <w:rFonts w:hint="cs"/>
          <w:rtl/>
        </w:rPr>
        <w:t>[</w:t>
      </w:r>
      <w:r w:rsidRPr="005675B2">
        <w:rPr>
          <w:rFonts w:hint="cs"/>
          <w:rtl/>
        </w:rPr>
        <w:t>حدثني أبي قال</w:t>
      </w:r>
      <w:r w:rsidR="000636C2">
        <w:rPr>
          <w:rFonts w:hint="cs"/>
          <w:rtl/>
        </w:rPr>
        <w:t>:</w:t>
      </w:r>
      <w:r w:rsidRPr="005675B2">
        <w:rPr>
          <w:rFonts w:hint="cs"/>
          <w:rtl/>
        </w:rPr>
        <w:t xml:space="preserve"> حدثنا أبو المغيرة الخولاني قال</w:t>
      </w:r>
      <w:r w:rsidR="000636C2">
        <w:rPr>
          <w:rFonts w:hint="cs"/>
          <w:rtl/>
        </w:rPr>
        <w:t>:</w:t>
      </w:r>
      <w:r w:rsidRPr="005675B2">
        <w:rPr>
          <w:rFonts w:hint="cs"/>
          <w:rtl/>
        </w:rPr>
        <w:t xml:space="preserve"> حدثنا الأوزاعي قال</w:t>
      </w:r>
      <w:r w:rsidR="000636C2">
        <w:rPr>
          <w:rFonts w:hint="cs"/>
          <w:rtl/>
        </w:rPr>
        <w:t>:</w:t>
      </w:r>
      <w:r w:rsidRPr="005675B2">
        <w:rPr>
          <w:rFonts w:hint="cs"/>
          <w:rtl/>
        </w:rPr>
        <w:t xml:space="preserve"> حدثني يحيى بن أبي كثير</w:t>
      </w:r>
      <w:r w:rsidR="000636C2">
        <w:rPr>
          <w:rFonts w:hint="cs"/>
          <w:rtl/>
        </w:rPr>
        <w:t>،</w:t>
      </w:r>
      <w:r w:rsidRPr="005675B2">
        <w:rPr>
          <w:rFonts w:hint="cs"/>
          <w:rtl/>
        </w:rPr>
        <w:t xml:space="preserve"> عن عكرمة أنه قال</w:t>
      </w:r>
      <w:r w:rsidR="000636C2">
        <w:rPr>
          <w:rFonts w:hint="cs"/>
          <w:rtl/>
        </w:rPr>
        <w:t>:</w:t>
      </w:r>
      <w:r w:rsidRPr="005675B2">
        <w:rPr>
          <w:rFonts w:hint="cs"/>
          <w:rtl/>
        </w:rPr>
        <w:t xml:space="preserve"> إن الله إذا أراد أن يخوف عباده أبدى عن بعضه إلى الأرض فعند ذلك تزلزل</w:t>
      </w:r>
      <w:r w:rsidR="000636C2">
        <w:rPr>
          <w:rFonts w:hint="cs"/>
          <w:rtl/>
        </w:rPr>
        <w:t>،</w:t>
      </w:r>
      <w:r w:rsidRPr="005675B2">
        <w:rPr>
          <w:rFonts w:hint="cs"/>
          <w:rtl/>
        </w:rPr>
        <w:t xml:space="preserve"> وإذا أراد الله أن يدمر على قوم تجلى لها</w:t>
      </w:r>
      <w:r w:rsidR="000636C2">
        <w:rPr>
          <w:rFonts w:hint="cs"/>
          <w:rtl/>
        </w:rPr>
        <w:t>]،</w:t>
      </w:r>
      <w:r w:rsidRPr="005675B2">
        <w:rPr>
          <w:rFonts w:hint="cs"/>
          <w:rtl/>
        </w:rPr>
        <w:t xml:space="preserve"> ونقل عن القاضي أبي يعلى أنه قال معلقاً على ذلك</w:t>
      </w:r>
      <w:r w:rsidR="000636C2">
        <w:rPr>
          <w:rFonts w:hint="cs"/>
          <w:rtl/>
        </w:rPr>
        <w:t>:</w:t>
      </w:r>
      <w:r w:rsidRPr="005675B2">
        <w:rPr>
          <w:rFonts w:hint="cs"/>
          <w:rtl/>
        </w:rPr>
        <w:t xml:space="preserve"> </w:t>
      </w:r>
      <w:r w:rsidR="000636C2">
        <w:rPr>
          <w:rFonts w:hint="cs"/>
          <w:rtl/>
        </w:rPr>
        <w:t>[</w:t>
      </w:r>
      <w:r w:rsidRPr="005675B2">
        <w:rPr>
          <w:rFonts w:hint="cs"/>
          <w:rtl/>
        </w:rPr>
        <w:t>أما قوله أبدى عن بعضه فهو على ظاهره وأنه راجع إلى الذات</w:t>
      </w:r>
      <w:r w:rsidR="000636C2">
        <w:rPr>
          <w:rFonts w:hint="cs"/>
          <w:rtl/>
        </w:rPr>
        <w:t>،</w:t>
      </w:r>
      <w:r w:rsidRPr="005675B2">
        <w:rPr>
          <w:rFonts w:hint="cs"/>
          <w:rtl/>
        </w:rPr>
        <w:t xml:space="preserve"> إذ ليس في حمله على ظاهره ما يحيل صفاته ولا ما يخرجها عما تستحق ..</w:t>
      </w:r>
      <w:r w:rsidR="000636C2">
        <w:rPr>
          <w:rFonts w:hint="cs"/>
          <w:rtl/>
        </w:rPr>
        <w:t>،</w:t>
      </w:r>
      <w:r w:rsidRPr="005675B2">
        <w:rPr>
          <w:rFonts w:hint="cs"/>
          <w:rtl/>
        </w:rPr>
        <w:t xml:space="preserve"> ولا يمتنع إطلاق هذه الصفة على وجه لا يفضي إلى التجزئة والتبعيض</w:t>
      </w:r>
      <w:r w:rsidR="000636C2">
        <w:rPr>
          <w:rFonts w:hint="cs"/>
          <w:rtl/>
        </w:rPr>
        <w:t>،</w:t>
      </w:r>
      <w:r w:rsidRPr="005675B2">
        <w:rPr>
          <w:rFonts w:hint="cs"/>
          <w:rtl/>
        </w:rPr>
        <w:t xml:space="preserve"> كما أطلقنا تسمية يد ووجه لا على وجه التجزئة والتبعيض</w:t>
      </w:r>
      <w:r w:rsidR="000636C2">
        <w:rPr>
          <w:rFonts w:hint="cs"/>
          <w:rtl/>
        </w:rPr>
        <w:t>]</w:t>
      </w:r>
      <w:r w:rsidRPr="005675B2">
        <w:rPr>
          <w:rFonts w:hint="cs"/>
          <w:rtl/>
        </w:rPr>
        <w:t xml:space="preserve"> [</w:t>
      </w:r>
      <w:r w:rsidRPr="005675B2">
        <w:rPr>
          <w:rFonts w:hint="cs"/>
          <w:sz w:val="24"/>
          <w:szCs w:val="24"/>
          <w:rtl/>
        </w:rPr>
        <w:t>المرجع السابق: ص 76</w:t>
      </w:r>
      <w:r w:rsidR="000636C2">
        <w:rPr>
          <w:rFonts w:hint="cs"/>
          <w:sz w:val="24"/>
          <w:szCs w:val="24"/>
          <w:rtl/>
        </w:rPr>
        <w:t>]</w:t>
      </w:r>
      <w:r w:rsidRPr="005675B2">
        <w:rPr>
          <w:rFonts w:hint="cs"/>
          <w:rtl/>
        </w:rPr>
        <w:t xml:space="preserve"> [</w:t>
      </w:r>
      <w:r w:rsidRPr="005675B2">
        <w:rPr>
          <w:rFonts w:hint="cs"/>
          <w:sz w:val="24"/>
          <w:szCs w:val="24"/>
          <w:rtl/>
        </w:rPr>
        <w:t xml:space="preserve">لعل هذا هو مستند الباحث إذ ينتقد الأشاعرة في الموضوع الثالث الذي هو </w:t>
      </w:r>
      <w:r w:rsidR="000636C2">
        <w:rPr>
          <w:rFonts w:hint="cs"/>
          <w:sz w:val="24"/>
          <w:szCs w:val="24"/>
          <w:rtl/>
        </w:rPr>
        <w:t>(</w:t>
      </w:r>
      <w:r w:rsidRPr="005675B2">
        <w:rPr>
          <w:rFonts w:hint="cs"/>
          <w:sz w:val="24"/>
          <w:szCs w:val="24"/>
          <w:rtl/>
        </w:rPr>
        <w:t>التوحيد) إذ ينفون عن الله تعالى التبعيض والتجزئة</w:t>
      </w:r>
      <w:r w:rsidR="000636C2">
        <w:rPr>
          <w:rFonts w:hint="cs"/>
          <w:sz w:val="24"/>
          <w:szCs w:val="24"/>
          <w:rtl/>
        </w:rPr>
        <w:t>]</w:t>
      </w:r>
      <w:r w:rsidRPr="005675B2">
        <w:rPr>
          <w:rFonts w:hint="cs"/>
          <w:rtl/>
        </w:rPr>
        <w:t>،</w:t>
      </w:r>
    </w:p>
    <w:p w14:paraId="6C3B1F22" w14:textId="6C95D416" w:rsidR="009C32A0" w:rsidRPr="005675B2" w:rsidRDefault="009C32A0" w:rsidP="000636C2">
      <w:pPr>
        <w:rPr>
          <w:b/>
          <w:rtl/>
        </w:rPr>
      </w:pPr>
      <w:r w:rsidRPr="005675B2">
        <w:rPr>
          <w:rFonts w:hint="cs"/>
          <w:bCs/>
          <w:rtl/>
        </w:rPr>
        <w:t>أقول</w:t>
      </w:r>
      <w:r w:rsidR="000636C2">
        <w:rPr>
          <w:rFonts w:hint="cs"/>
          <w:bCs/>
          <w:rtl/>
        </w:rPr>
        <w:t>:</w:t>
      </w:r>
      <w:r w:rsidR="000636C2">
        <w:rPr>
          <w:rFonts w:hint="cs"/>
          <w:rtl/>
        </w:rPr>
        <w:t xml:space="preserve"> </w:t>
      </w:r>
      <w:r w:rsidRPr="005675B2">
        <w:rPr>
          <w:rFonts w:hint="cs"/>
          <w:rtl/>
        </w:rPr>
        <w:t>هل الأثر المنسوب لعكرمة هنا ثابت عنه</w:t>
      </w:r>
      <w:r w:rsidR="000636C2">
        <w:rPr>
          <w:rFonts w:hint="cs"/>
          <w:rtl/>
        </w:rPr>
        <w:t>؟</w:t>
      </w:r>
      <w:r w:rsidRPr="005675B2">
        <w:rPr>
          <w:rFonts w:hint="cs"/>
          <w:rtl/>
        </w:rPr>
        <w:t xml:space="preserve"> إن السند من عبد الله بن أحمد إلى عكرمة رواته ثقات</w:t>
      </w:r>
      <w:r w:rsidR="000636C2">
        <w:rPr>
          <w:rFonts w:hint="cs"/>
          <w:rtl/>
        </w:rPr>
        <w:t>،</w:t>
      </w:r>
      <w:r w:rsidRPr="005675B2">
        <w:rPr>
          <w:rFonts w:hint="cs"/>
          <w:rtl/>
        </w:rPr>
        <w:t xml:space="preserve"> ولكن كتاب السنة لعبد الله بن أحمد غير ثابت عن مؤلفه</w:t>
      </w:r>
      <w:r w:rsidR="000636C2">
        <w:rPr>
          <w:rFonts w:hint="cs"/>
          <w:rtl/>
        </w:rPr>
        <w:t>،</w:t>
      </w:r>
      <w:r w:rsidRPr="005675B2">
        <w:rPr>
          <w:rFonts w:hint="cs"/>
          <w:rtl/>
        </w:rPr>
        <w:t xml:space="preserve"> ولا تصح نسبته إليه</w:t>
      </w:r>
      <w:r w:rsidR="000636C2">
        <w:rPr>
          <w:rFonts w:hint="cs"/>
          <w:rtl/>
        </w:rPr>
        <w:t>،</w:t>
      </w:r>
      <w:r w:rsidRPr="005675B2">
        <w:rPr>
          <w:rFonts w:hint="cs"/>
          <w:rtl/>
        </w:rPr>
        <w:t xml:space="preserve"> لأن في سند النسخة راوياً غير معروف</w:t>
      </w:r>
      <w:r w:rsidR="000636C2">
        <w:rPr>
          <w:rFonts w:hint="cs"/>
          <w:rtl/>
        </w:rPr>
        <w:t>،</w:t>
      </w:r>
      <w:r w:rsidRPr="005675B2">
        <w:rPr>
          <w:rFonts w:hint="cs"/>
          <w:rtl/>
        </w:rPr>
        <w:t xml:space="preserve"> وإذا لم يكن معروفاً أصلاً فكيف يعرف أنه من أهل الصدق أو لا</w:t>
      </w:r>
      <w:r w:rsidR="000636C2">
        <w:rPr>
          <w:rFonts w:hint="cs"/>
          <w:rtl/>
        </w:rPr>
        <w:t>؟،</w:t>
      </w:r>
      <w:r w:rsidRPr="005675B2">
        <w:rPr>
          <w:rFonts w:hint="cs"/>
          <w:rtl/>
        </w:rPr>
        <w:t xml:space="preserve"> فكل النصوص المروية في هذا الكتاب لا يمكن إثباتها منه</w:t>
      </w:r>
      <w:r w:rsidR="000636C2">
        <w:rPr>
          <w:rFonts w:hint="cs"/>
          <w:rtl/>
        </w:rPr>
        <w:t>،</w:t>
      </w:r>
      <w:r w:rsidRPr="005675B2">
        <w:rPr>
          <w:rFonts w:hint="cs"/>
          <w:rtl/>
        </w:rPr>
        <w:t xml:space="preserve"> لأن البناء المبني على أساس ضعيف كله ضعيف</w:t>
      </w:r>
      <w:r w:rsidR="000636C2">
        <w:rPr>
          <w:rFonts w:hint="cs"/>
          <w:rtl/>
        </w:rPr>
        <w:t>،</w:t>
      </w:r>
      <w:r w:rsidRPr="005675B2">
        <w:rPr>
          <w:rFonts w:hint="cs"/>
          <w:rtl/>
        </w:rPr>
        <w:t xml:space="preserve"> وإذا افترضنا جدلاً صحة نسبة هذا القول لعكرمة مولى ابن عباس فهل هو حجة</w:t>
      </w:r>
      <w:r w:rsidR="000636C2">
        <w:rPr>
          <w:rFonts w:hint="cs"/>
          <w:rtl/>
        </w:rPr>
        <w:t>؟!</w:t>
      </w:r>
      <w:r w:rsidRPr="005675B2">
        <w:rPr>
          <w:rFonts w:hint="cs"/>
          <w:rtl/>
        </w:rPr>
        <w:t>! إن قول الصحابي إذا تطرق إليه الاحتمال أنه قاله باجتهاده أو مما تلقاه من غير النبي صلى الله عليه وسلم فليس بحجة في الأحكام</w:t>
      </w:r>
      <w:r w:rsidR="000636C2">
        <w:rPr>
          <w:rFonts w:hint="cs"/>
          <w:rtl/>
        </w:rPr>
        <w:t>،</w:t>
      </w:r>
      <w:r w:rsidRPr="005675B2">
        <w:rPr>
          <w:rFonts w:hint="cs"/>
          <w:rtl/>
        </w:rPr>
        <w:t xml:space="preserve"> فكيف يكون قول التابعي حجة</w:t>
      </w:r>
      <w:r w:rsidR="000636C2">
        <w:rPr>
          <w:rFonts w:hint="cs"/>
          <w:rtl/>
        </w:rPr>
        <w:t>؟!</w:t>
      </w:r>
      <w:r w:rsidRPr="005675B2">
        <w:rPr>
          <w:rFonts w:hint="cs"/>
          <w:rtl/>
        </w:rPr>
        <w:t>! وإذا لم يكن قول التابعي حجة في الأحكام فمن باب أولى في العقائد</w:t>
      </w:r>
      <w:r w:rsidR="000636C2">
        <w:rPr>
          <w:rFonts w:hint="cs"/>
          <w:rtl/>
        </w:rPr>
        <w:t>،</w:t>
      </w:r>
      <w:r w:rsidRPr="005675B2">
        <w:rPr>
          <w:rFonts w:hint="cs"/>
          <w:rtl/>
        </w:rPr>
        <w:t xml:space="preserve"> ومن باب أولى إذا تطرق إليه الاحتمال بأنه تلقاه عن بعض أهل الكتاب</w:t>
      </w:r>
      <w:r w:rsidR="000636C2">
        <w:rPr>
          <w:rFonts w:hint="cs"/>
          <w:rtl/>
        </w:rPr>
        <w:t xml:space="preserve"> </w:t>
      </w:r>
      <w:r w:rsidRPr="005675B2">
        <w:rPr>
          <w:rFonts w:hint="cs"/>
          <w:rtl/>
        </w:rPr>
        <w:t>- كما هنا</w:t>
      </w:r>
      <w:r w:rsidR="000636C2">
        <w:rPr>
          <w:rFonts w:hint="cs"/>
          <w:rtl/>
        </w:rPr>
        <w:t xml:space="preserve"> </w:t>
      </w:r>
      <w:r w:rsidRPr="005675B2">
        <w:rPr>
          <w:rFonts w:hint="cs"/>
          <w:rtl/>
        </w:rPr>
        <w:t>-</w:t>
      </w:r>
      <w:r w:rsidR="000636C2">
        <w:rPr>
          <w:rFonts w:hint="cs"/>
          <w:rtl/>
        </w:rPr>
        <w:t>،</w:t>
      </w:r>
      <w:r w:rsidRPr="005675B2">
        <w:rPr>
          <w:rFonts w:hint="cs"/>
          <w:rtl/>
        </w:rPr>
        <w:t xml:space="preserve"> فتنبه</w:t>
      </w:r>
      <w:r w:rsidR="000636C2">
        <w:rPr>
          <w:rFonts w:hint="cs"/>
          <w:rtl/>
        </w:rPr>
        <w:t>!</w:t>
      </w:r>
      <w:r w:rsidRPr="005675B2">
        <w:rPr>
          <w:rFonts w:hint="cs"/>
          <w:rtl/>
        </w:rPr>
        <w:t>!</w:t>
      </w:r>
      <w:r w:rsidR="000636C2">
        <w:rPr>
          <w:rFonts w:hint="cs"/>
          <w:rtl/>
        </w:rPr>
        <w:t xml:space="preserve">، </w:t>
      </w:r>
      <w:r w:rsidRPr="005675B2">
        <w:rPr>
          <w:rFonts w:hint="cs"/>
          <w:rtl/>
        </w:rPr>
        <w:t>أما الأثر المروي عن ابن عباس رضي الله عنهما ففي سنده عمروبن عثمان الكلابي</w:t>
      </w:r>
      <w:r w:rsidR="000636C2">
        <w:rPr>
          <w:rFonts w:hint="cs"/>
          <w:rtl/>
        </w:rPr>
        <w:t>،</w:t>
      </w:r>
      <w:r w:rsidRPr="005675B2">
        <w:rPr>
          <w:rFonts w:hint="cs"/>
          <w:rtl/>
        </w:rPr>
        <w:t xml:space="preserve"> وهذا قد ذكره ابن حبان في الثقات وقال</w:t>
      </w:r>
      <w:r w:rsidR="000636C2">
        <w:rPr>
          <w:rFonts w:hint="cs"/>
          <w:rtl/>
        </w:rPr>
        <w:t>:</w:t>
      </w:r>
      <w:r w:rsidRPr="005675B2">
        <w:rPr>
          <w:rFonts w:hint="cs"/>
          <w:rtl/>
        </w:rPr>
        <w:t xml:space="preserve"> ربما أخطأ</w:t>
      </w:r>
      <w:r w:rsidR="000636C2">
        <w:rPr>
          <w:rFonts w:hint="cs"/>
          <w:rtl/>
        </w:rPr>
        <w:t>،</w:t>
      </w:r>
      <w:r w:rsidRPr="005675B2">
        <w:rPr>
          <w:rFonts w:hint="cs"/>
          <w:rtl/>
        </w:rPr>
        <w:t xml:space="preserve"> وقال عنه أبو حاتم الرازي</w:t>
      </w:r>
      <w:r w:rsidR="000636C2">
        <w:rPr>
          <w:rFonts w:hint="cs"/>
          <w:rtl/>
        </w:rPr>
        <w:t>:</w:t>
      </w:r>
      <w:r w:rsidRPr="005675B2">
        <w:rPr>
          <w:rFonts w:hint="cs"/>
          <w:rtl/>
        </w:rPr>
        <w:t xml:space="preserve"> كان شيخاً أعمى بالرقة</w:t>
      </w:r>
      <w:r w:rsidR="000636C2">
        <w:rPr>
          <w:rFonts w:hint="cs"/>
          <w:rtl/>
        </w:rPr>
        <w:t>،</w:t>
      </w:r>
      <w:r w:rsidRPr="005675B2">
        <w:rPr>
          <w:rFonts w:hint="cs"/>
          <w:rtl/>
        </w:rPr>
        <w:t xml:space="preserve"> يحدث الناس من حفظه بأحاديث منكرة</w:t>
      </w:r>
      <w:r w:rsidR="000636C2">
        <w:rPr>
          <w:rFonts w:hint="cs"/>
          <w:rtl/>
        </w:rPr>
        <w:t>،</w:t>
      </w:r>
      <w:r w:rsidRPr="005675B2">
        <w:rPr>
          <w:rFonts w:hint="cs"/>
          <w:rtl/>
        </w:rPr>
        <w:t xml:space="preserve"> وضعفه العقيلي والدارقطني</w:t>
      </w:r>
      <w:r w:rsidR="000636C2">
        <w:rPr>
          <w:rFonts w:hint="cs"/>
          <w:rtl/>
        </w:rPr>
        <w:t>،</w:t>
      </w:r>
      <w:r w:rsidRPr="005675B2">
        <w:rPr>
          <w:rFonts w:hint="cs"/>
          <w:rtl/>
        </w:rPr>
        <w:t xml:space="preserve"> وقال النسائي والأزدي</w:t>
      </w:r>
      <w:r w:rsidR="000636C2">
        <w:rPr>
          <w:rFonts w:hint="cs"/>
          <w:rtl/>
        </w:rPr>
        <w:t>:</w:t>
      </w:r>
      <w:r w:rsidRPr="005675B2">
        <w:rPr>
          <w:rFonts w:hint="cs"/>
          <w:rtl/>
        </w:rPr>
        <w:t xml:space="preserve"> متروك الحديث</w:t>
      </w:r>
      <w:r w:rsidR="000636C2">
        <w:rPr>
          <w:rFonts w:hint="cs"/>
          <w:rtl/>
        </w:rPr>
        <w:t>،</w:t>
      </w:r>
      <w:r w:rsidRPr="005675B2">
        <w:rPr>
          <w:rFonts w:hint="cs"/>
          <w:rtl/>
        </w:rPr>
        <w:t xml:space="preserve"> أفمثل هذا يكون حجة</w:t>
      </w:r>
      <w:r w:rsidR="000636C2">
        <w:rPr>
          <w:rFonts w:hint="cs"/>
          <w:rtl/>
        </w:rPr>
        <w:t>؟!</w:t>
      </w:r>
      <w:r w:rsidRPr="005675B2">
        <w:rPr>
          <w:rFonts w:hint="cs"/>
          <w:rtl/>
        </w:rPr>
        <w:t>! وكيف غفل ابن تيمية - سامحه الله</w:t>
      </w:r>
      <w:r w:rsidR="000636C2">
        <w:rPr>
          <w:rFonts w:hint="cs"/>
          <w:rtl/>
        </w:rPr>
        <w:t xml:space="preserve"> </w:t>
      </w:r>
      <w:r w:rsidRPr="005675B2">
        <w:rPr>
          <w:rFonts w:hint="cs"/>
          <w:rtl/>
        </w:rPr>
        <w:t xml:space="preserve">- عن الاشتغال بنقد السند قبل أن يقول </w:t>
      </w:r>
      <w:r w:rsidR="000636C2">
        <w:rPr>
          <w:rFonts w:hint="cs"/>
          <w:rtl/>
        </w:rPr>
        <w:t>[</w:t>
      </w:r>
      <w:r w:rsidRPr="005675B2">
        <w:rPr>
          <w:rFonts w:hint="cs"/>
          <w:rtl/>
        </w:rPr>
        <w:t>فهذا اللفظ قد نطق به أئمة الصحابة ..</w:t>
      </w:r>
      <w:r w:rsidR="000636C2">
        <w:rPr>
          <w:rFonts w:hint="cs"/>
          <w:rtl/>
        </w:rPr>
        <w:t>،</w:t>
      </w:r>
      <w:r w:rsidRPr="005675B2">
        <w:rPr>
          <w:rFonts w:hint="cs"/>
          <w:rtl/>
        </w:rPr>
        <w:t xml:space="preserve"> ذاكرين وآثرين</w:t>
      </w:r>
      <w:r w:rsidR="000636C2">
        <w:rPr>
          <w:rFonts w:hint="cs"/>
          <w:rtl/>
        </w:rPr>
        <w:t>]؟!</w:t>
      </w:r>
      <w:r w:rsidRPr="005675B2">
        <w:rPr>
          <w:rFonts w:hint="cs"/>
          <w:rtl/>
        </w:rPr>
        <w:t xml:space="preserve"> فهل نطقوا به يذكرونه من تلقاء أنفسهم</w:t>
      </w:r>
      <w:r w:rsidR="000636C2">
        <w:rPr>
          <w:rFonts w:hint="cs"/>
          <w:rtl/>
        </w:rPr>
        <w:t>؟!</w:t>
      </w:r>
      <w:r w:rsidRPr="005675B2">
        <w:rPr>
          <w:rFonts w:hint="cs"/>
          <w:rtl/>
        </w:rPr>
        <w:t xml:space="preserve"> أو نطقوا به يأثرونه عن رسول الله صلى الله عليه وسلم</w:t>
      </w:r>
      <w:r w:rsidR="000636C2">
        <w:rPr>
          <w:rFonts w:hint="cs"/>
          <w:rtl/>
        </w:rPr>
        <w:t>؟!</w:t>
      </w:r>
      <w:r w:rsidRPr="005675B2">
        <w:rPr>
          <w:rFonts w:hint="cs"/>
          <w:rtl/>
        </w:rPr>
        <w:t xml:space="preserve"> أو لا هذا ولا ذاك</w:t>
      </w:r>
      <w:r w:rsidR="000636C2">
        <w:rPr>
          <w:rFonts w:hint="cs"/>
          <w:rtl/>
        </w:rPr>
        <w:t xml:space="preserve">؟، </w:t>
      </w:r>
      <w:r w:rsidRPr="005675B2">
        <w:rPr>
          <w:rFonts w:hint="cs"/>
          <w:rtl/>
        </w:rPr>
        <w:t>ومن العجيب الغريب أن ينقل ابن تيمية مع الإقرار قول القاضي أبي يعلى</w:t>
      </w:r>
      <w:r w:rsidR="000636C2">
        <w:rPr>
          <w:rFonts w:hint="cs"/>
          <w:rtl/>
        </w:rPr>
        <w:t xml:space="preserve"> </w:t>
      </w:r>
      <w:r w:rsidRPr="005675B2">
        <w:rPr>
          <w:rFonts w:hint="cs"/>
          <w:rtl/>
        </w:rPr>
        <w:t>- سامحمهما الله</w:t>
      </w:r>
      <w:r w:rsidR="000636C2">
        <w:rPr>
          <w:rFonts w:hint="cs"/>
          <w:rtl/>
        </w:rPr>
        <w:t xml:space="preserve"> </w:t>
      </w:r>
      <w:r w:rsidRPr="005675B2">
        <w:rPr>
          <w:rFonts w:hint="cs"/>
          <w:rtl/>
        </w:rPr>
        <w:t xml:space="preserve">- أن قول القائل عن الله تبارك وتعالى </w:t>
      </w:r>
      <w:r w:rsidR="000636C2">
        <w:rPr>
          <w:rFonts w:hint="cs"/>
          <w:rtl/>
        </w:rPr>
        <w:t>[</w:t>
      </w:r>
      <w:r w:rsidRPr="005675B2">
        <w:rPr>
          <w:rFonts w:hint="cs"/>
          <w:rtl/>
        </w:rPr>
        <w:t>أبدى عن بعضه</w:t>
      </w:r>
      <w:r w:rsidR="000636C2">
        <w:rPr>
          <w:rFonts w:hint="cs"/>
          <w:rtl/>
        </w:rPr>
        <w:t>]</w:t>
      </w:r>
      <w:r w:rsidRPr="005675B2">
        <w:rPr>
          <w:rFonts w:hint="cs"/>
          <w:rtl/>
        </w:rPr>
        <w:t xml:space="preserve"> هو على ظاهره</w:t>
      </w:r>
      <w:r w:rsidR="000636C2">
        <w:rPr>
          <w:rFonts w:hint="cs"/>
          <w:rtl/>
        </w:rPr>
        <w:t>!</w:t>
      </w:r>
      <w:r w:rsidRPr="005675B2">
        <w:rPr>
          <w:rFonts w:hint="cs"/>
          <w:rtl/>
        </w:rPr>
        <w:t xml:space="preserve"> وأنه راجع إلى الذات</w:t>
      </w:r>
      <w:r w:rsidR="000636C2">
        <w:rPr>
          <w:rFonts w:hint="cs"/>
          <w:rtl/>
        </w:rPr>
        <w:t>!</w:t>
      </w:r>
      <w:r w:rsidRPr="005675B2">
        <w:rPr>
          <w:rFonts w:hint="cs"/>
          <w:rtl/>
        </w:rPr>
        <w:t xml:space="preserve"> وأنه لا يمتنع إطلاق هذه الصفة على وجه لا يفضي إلى التجزئة والتبعيض</w:t>
      </w:r>
      <w:r w:rsidR="000636C2">
        <w:rPr>
          <w:rFonts w:hint="cs"/>
          <w:rtl/>
        </w:rPr>
        <w:t>!،</w:t>
      </w:r>
      <w:r w:rsidRPr="005675B2">
        <w:rPr>
          <w:rFonts w:hint="cs"/>
          <w:rtl/>
        </w:rPr>
        <w:t xml:space="preserve"> فهل بعد هذا التناقض</w:t>
      </w:r>
      <w:r w:rsidR="000636C2">
        <w:rPr>
          <w:rFonts w:hint="cs"/>
          <w:rtl/>
        </w:rPr>
        <w:t xml:space="preserve"> </w:t>
      </w:r>
      <w:r w:rsidRPr="005675B2">
        <w:rPr>
          <w:rFonts w:hint="cs"/>
          <w:rtl/>
        </w:rPr>
        <w:t>- يا ذوي الحجى</w:t>
      </w:r>
      <w:r w:rsidR="000636C2">
        <w:rPr>
          <w:rFonts w:hint="cs"/>
          <w:rtl/>
        </w:rPr>
        <w:t xml:space="preserve"> </w:t>
      </w:r>
      <w:r w:rsidRPr="005675B2">
        <w:rPr>
          <w:rFonts w:hint="cs"/>
          <w:rtl/>
        </w:rPr>
        <w:t>- تناقض أظهر منه</w:t>
      </w:r>
      <w:r w:rsidR="000636C2">
        <w:rPr>
          <w:rFonts w:hint="cs"/>
          <w:rtl/>
        </w:rPr>
        <w:t>؟!</w:t>
      </w:r>
      <w:r w:rsidRPr="005675B2">
        <w:rPr>
          <w:rFonts w:hint="cs"/>
          <w:rtl/>
        </w:rPr>
        <w:t xml:space="preserve"> يقولون بإثبات لفظ البعض على الله وأنه راجع إلى الذات وأنه على ظاهره</w:t>
      </w:r>
      <w:r w:rsidR="000636C2">
        <w:rPr>
          <w:rFonts w:hint="cs"/>
          <w:rtl/>
        </w:rPr>
        <w:t>!</w:t>
      </w:r>
      <w:r w:rsidRPr="005675B2">
        <w:rPr>
          <w:rFonts w:hint="cs"/>
          <w:rtl/>
        </w:rPr>
        <w:t xml:space="preserve"> ثم يقولون إن إطلاق هذا على معنى لا يؤدي إلى التبعيض ليس بممتنع</w:t>
      </w:r>
      <w:r w:rsidR="000636C2">
        <w:rPr>
          <w:rFonts w:hint="cs"/>
          <w:rtl/>
        </w:rPr>
        <w:t>!</w:t>
      </w:r>
      <w:r w:rsidRPr="005675B2">
        <w:rPr>
          <w:rFonts w:hint="cs"/>
          <w:rtl/>
        </w:rPr>
        <w:t xml:space="preserve"> فكيف هو </w:t>
      </w:r>
      <w:r w:rsidR="000636C2">
        <w:rPr>
          <w:rFonts w:hint="cs"/>
          <w:rtl/>
        </w:rPr>
        <w:t>[</w:t>
      </w:r>
      <w:r w:rsidRPr="005675B2">
        <w:rPr>
          <w:rFonts w:hint="cs"/>
          <w:rtl/>
        </w:rPr>
        <w:t>بعض</w:t>
      </w:r>
      <w:r w:rsidR="000636C2">
        <w:rPr>
          <w:rFonts w:hint="cs"/>
          <w:rtl/>
        </w:rPr>
        <w:t>]</w:t>
      </w:r>
      <w:r w:rsidRPr="005675B2">
        <w:rPr>
          <w:rFonts w:hint="cs"/>
          <w:rtl/>
        </w:rPr>
        <w:t xml:space="preserve"> وكيف لا يؤدي إلى التبعيض</w:t>
      </w:r>
      <w:r w:rsidR="000636C2">
        <w:rPr>
          <w:rFonts w:hint="cs"/>
          <w:rtl/>
        </w:rPr>
        <w:t>؟،</w:t>
      </w:r>
      <w:r w:rsidRPr="005675B2">
        <w:rPr>
          <w:rFonts w:hint="cs"/>
          <w:rtl/>
        </w:rPr>
        <w:t xml:space="preserve"> ثم يقولون </w:t>
      </w:r>
      <w:r w:rsidR="000636C2">
        <w:rPr>
          <w:rFonts w:hint="cs"/>
          <w:rtl/>
        </w:rPr>
        <w:t>[</w:t>
      </w:r>
      <w:r w:rsidRPr="005675B2">
        <w:rPr>
          <w:rFonts w:hint="cs"/>
          <w:rtl/>
        </w:rPr>
        <w:t>كما أطلقنا تسمية يد</w:t>
      </w:r>
      <w:r w:rsidR="000636C2">
        <w:rPr>
          <w:rFonts w:hint="cs"/>
          <w:rtl/>
        </w:rPr>
        <w:t xml:space="preserve"> </w:t>
      </w:r>
      <w:r w:rsidRPr="005675B2">
        <w:rPr>
          <w:rFonts w:hint="cs"/>
          <w:rtl/>
        </w:rPr>
        <w:t>ووجه</w:t>
      </w:r>
      <w:r w:rsidR="000636C2">
        <w:rPr>
          <w:rFonts w:hint="cs"/>
          <w:rtl/>
        </w:rPr>
        <w:t xml:space="preserve"> </w:t>
      </w:r>
      <w:r w:rsidRPr="005675B2">
        <w:rPr>
          <w:rFonts w:hint="cs"/>
          <w:rtl/>
        </w:rPr>
        <w:t>لا على وجه التجزئة والتبعيض</w:t>
      </w:r>
      <w:r w:rsidR="000636C2">
        <w:rPr>
          <w:rFonts w:hint="cs"/>
          <w:rtl/>
        </w:rPr>
        <w:t>]!</w:t>
      </w:r>
      <w:r w:rsidRPr="005675B2">
        <w:rPr>
          <w:rFonts w:hint="cs"/>
          <w:rtl/>
        </w:rPr>
        <w:t xml:space="preserve"> يخلطون القول في الذات بالقول في الصفات</w:t>
      </w:r>
      <w:r w:rsidR="000636C2">
        <w:rPr>
          <w:rFonts w:hint="cs"/>
          <w:rtl/>
        </w:rPr>
        <w:t>،</w:t>
      </w:r>
      <w:r w:rsidRPr="005675B2">
        <w:rPr>
          <w:rFonts w:hint="cs"/>
          <w:rtl/>
        </w:rPr>
        <w:t xml:space="preserve"> إذ من الممكن أن يقال إن لله تعالى صفات كثيرة</w:t>
      </w:r>
      <w:r w:rsidR="000636C2">
        <w:rPr>
          <w:rFonts w:hint="cs"/>
          <w:rtl/>
        </w:rPr>
        <w:t>،</w:t>
      </w:r>
      <w:r w:rsidRPr="005675B2">
        <w:rPr>
          <w:rFonts w:hint="cs"/>
          <w:rtl/>
        </w:rPr>
        <w:t xml:space="preserve"> وإن العلم والسمع والبصر من صفات الله</w:t>
      </w:r>
      <w:r w:rsidR="000636C2">
        <w:rPr>
          <w:rFonts w:hint="cs"/>
          <w:rtl/>
        </w:rPr>
        <w:t>،</w:t>
      </w:r>
      <w:r w:rsidRPr="005675B2">
        <w:rPr>
          <w:rFonts w:hint="cs"/>
          <w:rtl/>
        </w:rPr>
        <w:t xml:space="preserve"> وهي بعض صفات الله جل وعلا</w:t>
      </w:r>
      <w:r w:rsidR="000636C2">
        <w:rPr>
          <w:rFonts w:hint="cs"/>
          <w:rtl/>
        </w:rPr>
        <w:t>،</w:t>
      </w:r>
      <w:r w:rsidRPr="005675B2">
        <w:rPr>
          <w:rFonts w:hint="cs"/>
          <w:rtl/>
        </w:rPr>
        <w:t xml:space="preserve"> وإن هذا لا يؤدي إلى التجزئة والتبعيض على الله</w:t>
      </w:r>
      <w:r w:rsidR="000636C2">
        <w:rPr>
          <w:rFonts w:hint="cs"/>
          <w:rtl/>
        </w:rPr>
        <w:t>،</w:t>
      </w:r>
      <w:r w:rsidRPr="005675B2">
        <w:rPr>
          <w:rFonts w:hint="cs"/>
          <w:rtl/>
        </w:rPr>
        <w:t xml:space="preserve"> وإذا أثبتنا لله تعالى صفة اليد وصفة الوجه فنقول إنها من صفات الله</w:t>
      </w:r>
      <w:r w:rsidR="000636C2">
        <w:rPr>
          <w:rFonts w:hint="cs"/>
          <w:rtl/>
        </w:rPr>
        <w:t>،</w:t>
      </w:r>
      <w:r w:rsidRPr="005675B2">
        <w:rPr>
          <w:rFonts w:hint="cs"/>
          <w:rtl/>
        </w:rPr>
        <w:t xml:space="preserve"> وإن إثباتها صفات لا يؤدي إلى التجزئة والتبعيض على الله</w:t>
      </w:r>
      <w:r w:rsidR="000636C2">
        <w:rPr>
          <w:rFonts w:hint="cs"/>
          <w:rtl/>
        </w:rPr>
        <w:t>،</w:t>
      </w:r>
      <w:r w:rsidRPr="005675B2">
        <w:rPr>
          <w:rFonts w:hint="cs"/>
          <w:rtl/>
        </w:rPr>
        <w:t xml:space="preserve"> لكن هل من الممكن أن نثبت شيئاً</w:t>
      </w:r>
      <w:r w:rsidR="000636C2">
        <w:rPr>
          <w:rFonts w:hint="cs"/>
          <w:rtl/>
        </w:rPr>
        <w:t xml:space="preserve"> </w:t>
      </w:r>
      <w:r w:rsidRPr="005675B2">
        <w:rPr>
          <w:rFonts w:hint="cs"/>
          <w:rtl/>
        </w:rPr>
        <w:t xml:space="preserve">أو أشياء هي </w:t>
      </w:r>
      <w:r w:rsidR="000636C2">
        <w:rPr>
          <w:rFonts w:hint="cs"/>
          <w:rtl/>
        </w:rPr>
        <w:t>[</w:t>
      </w:r>
      <w:r w:rsidRPr="005675B2">
        <w:rPr>
          <w:rFonts w:hint="cs"/>
          <w:rtl/>
        </w:rPr>
        <w:t>بعض الذات</w:t>
      </w:r>
      <w:r w:rsidR="000636C2">
        <w:rPr>
          <w:rFonts w:hint="cs"/>
          <w:rtl/>
        </w:rPr>
        <w:t>]</w:t>
      </w:r>
      <w:r w:rsidRPr="005675B2">
        <w:rPr>
          <w:rFonts w:hint="cs"/>
          <w:rtl/>
        </w:rPr>
        <w:t xml:space="preserve"> ثم نقول إن هذا لا يؤدي إلى التجزئة والتبعيض على الله</w:t>
      </w:r>
      <w:r w:rsidR="000636C2">
        <w:rPr>
          <w:rFonts w:hint="cs"/>
          <w:rtl/>
        </w:rPr>
        <w:t>؟!</w:t>
      </w:r>
      <w:r w:rsidRPr="005675B2">
        <w:rPr>
          <w:rFonts w:hint="cs"/>
          <w:rtl/>
        </w:rPr>
        <w:t xml:space="preserve"> تعالى الله عن هذا علواً كبيراً</w:t>
      </w:r>
      <w:r w:rsidR="000636C2">
        <w:rPr>
          <w:rFonts w:hint="cs"/>
          <w:rtl/>
        </w:rPr>
        <w:t xml:space="preserve">، </w:t>
      </w:r>
      <w:r w:rsidRPr="005675B2">
        <w:rPr>
          <w:rFonts w:hint="cs"/>
          <w:rtl/>
        </w:rPr>
        <w:t>د</w:t>
      </w:r>
      <w:r w:rsidR="000636C2">
        <w:rPr>
          <w:rFonts w:hint="cs"/>
          <w:rtl/>
        </w:rPr>
        <w:t xml:space="preserve"> </w:t>
      </w:r>
      <w:r w:rsidRPr="005675B2">
        <w:rPr>
          <w:rFonts w:hint="cs"/>
          <w:rtl/>
        </w:rPr>
        <w:t>- ذكر ابن تيمية حديثاً مرفوعاً يوهم ظاهره تأييد هذا المعنى فقال</w:t>
      </w:r>
      <w:r w:rsidR="000636C2">
        <w:rPr>
          <w:rFonts w:hint="cs"/>
          <w:rtl/>
        </w:rPr>
        <w:t>:</w:t>
      </w:r>
      <w:r w:rsidRPr="005675B2">
        <w:rPr>
          <w:rFonts w:hint="cs"/>
          <w:rtl/>
        </w:rPr>
        <w:t xml:space="preserve"> </w:t>
      </w:r>
      <w:r w:rsidR="000636C2">
        <w:rPr>
          <w:rFonts w:hint="cs"/>
          <w:rtl/>
        </w:rPr>
        <w:t>[</w:t>
      </w:r>
      <w:r w:rsidRPr="005675B2">
        <w:rPr>
          <w:rFonts w:hint="cs"/>
          <w:rtl/>
        </w:rPr>
        <w:t>وقد جاء في الأحاديث المرفوعة في تجليه سبحانه للجبل ما رواه الترمذي في جامعه</w:t>
      </w:r>
      <w:r w:rsidR="000636C2">
        <w:rPr>
          <w:rFonts w:hint="cs"/>
          <w:rtl/>
        </w:rPr>
        <w:t>،</w:t>
      </w:r>
      <w:r w:rsidRPr="005675B2">
        <w:rPr>
          <w:rFonts w:hint="cs"/>
          <w:rtl/>
        </w:rPr>
        <w:t xml:space="preserve"> قال</w:t>
      </w:r>
      <w:r w:rsidR="000636C2">
        <w:rPr>
          <w:rFonts w:hint="cs"/>
          <w:rtl/>
        </w:rPr>
        <w:t>:</w:t>
      </w:r>
      <w:r w:rsidRPr="005675B2">
        <w:rPr>
          <w:rFonts w:hint="cs"/>
          <w:rtl/>
        </w:rPr>
        <w:t xml:space="preserve"> حدثنا عبد الله بن عبدالرحمن يعني الدارمي قال</w:t>
      </w:r>
      <w:r w:rsidR="000636C2">
        <w:rPr>
          <w:rFonts w:hint="cs"/>
          <w:rtl/>
        </w:rPr>
        <w:t>:</w:t>
      </w:r>
      <w:r w:rsidRPr="005675B2">
        <w:rPr>
          <w:rFonts w:hint="cs"/>
          <w:rtl/>
        </w:rPr>
        <w:t xml:space="preserve"> أنبأنا سليمان بن حرب قال</w:t>
      </w:r>
      <w:r w:rsidR="000636C2">
        <w:rPr>
          <w:rFonts w:hint="cs"/>
          <w:rtl/>
        </w:rPr>
        <w:t>:</w:t>
      </w:r>
      <w:r w:rsidRPr="005675B2">
        <w:rPr>
          <w:rFonts w:hint="cs"/>
          <w:rtl/>
        </w:rPr>
        <w:t xml:space="preserve"> حدثنا حماد بن سلمة</w:t>
      </w:r>
      <w:r w:rsidR="000636C2">
        <w:rPr>
          <w:rFonts w:hint="cs"/>
          <w:rtl/>
        </w:rPr>
        <w:t>،</w:t>
      </w:r>
      <w:r w:rsidRPr="005675B2">
        <w:rPr>
          <w:rFonts w:hint="cs"/>
          <w:rtl/>
        </w:rPr>
        <w:t xml:space="preserve"> عن ثابت</w:t>
      </w:r>
      <w:r w:rsidR="000636C2">
        <w:rPr>
          <w:rFonts w:hint="cs"/>
          <w:rtl/>
        </w:rPr>
        <w:t>،</w:t>
      </w:r>
      <w:r w:rsidRPr="005675B2">
        <w:rPr>
          <w:rFonts w:hint="cs"/>
          <w:rtl/>
        </w:rPr>
        <w:t xml:space="preserve"> عن أنس أن النبي صلى الله عليه وسلم قرأ هذه الآية فلما تجلى ربه للجبل جعله دكاً</w:t>
      </w:r>
      <w:r w:rsidR="000636C2">
        <w:rPr>
          <w:rFonts w:hint="cs"/>
          <w:rtl/>
        </w:rPr>
        <w:t xml:space="preserve">، </w:t>
      </w:r>
      <w:r w:rsidRPr="005675B2">
        <w:rPr>
          <w:rFonts w:hint="cs"/>
          <w:rtl/>
        </w:rPr>
        <w:t>- قال حماد هكذا</w:t>
      </w:r>
      <w:r w:rsidR="000636C2">
        <w:rPr>
          <w:rFonts w:hint="cs"/>
          <w:rtl/>
        </w:rPr>
        <w:t>،</w:t>
      </w:r>
      <w:r w:rsidRPr="005675B2">
        <w:rPr>
          <w:rFonts w:hint="cs"/>
          <w:rtl/>
        </w:rPr>
        <w:t xml:space="preserve"> وأمسك سليمان بطرف إبهامه على أنملة إصبعه اليمنى</w:t>
      </w:r>
      <w:r w:rsidR="000636C2">
        <w:rPr>
          <w:rFonts w:hint="cs"/>
          <w:rtl/>
        </w:rPr>
        <w:t xml:space="preserve"> </w:t>
      </w:r>
      <w:r w:rsidRPr="005675B2">
        <w:rPr>
          <w:rFonts w:hint="cs"/>
          <w:rtl/>
        </w:rPr>
        <w:t>-</w:t>
      </w:r>
      <w:r w:rsidR="000636C2">
        <w:rPr>
          <w:rFonts w:hint="cs"/>
          <w:rtl/>
        </w:rPr>
        <w:t>،</w:t>
      </w:r>
      <w:r w:rsidRPr="005675B2">
        <w:rPr>
          <w:rFonts w:hint="cs"/>
          <w:rtl/>
        </w:rPr>
        <w:t xml:space="preserve"> قال</w:t>
      </w:r>
      <w:r w:rsidR="000636C2">
        <w:rPr>
          <w:rFonts w:hint="cs"/>
          <w:rtl/>
        </w:rPr>
        <w:t>:</w:t>
      </w:r>
      <w:r w:rsidRPr="005675B2">
        <w:rPr>
          <w:rFonts w:hint="cs"/>
          <w:rtl/>
        </w:rPr>
        <w:t xml:space="preserve"> فساخ الجبل وخرَّ موسى صعقاً</w:t>
      </w:r>
      <w:r w:rsidR="000636C2">
        <w:rPr>
          <w:rFonts w:hint="cs"/>
          <w:rtl/>
        </w:rPr>
        <w:t>]</w:t>
      </w:r>
      <w:r w:rsidRPr="005675B2">
        <w:rPr>
          <w:rFonts w:hint="cs"/>
          <w:rtl/>
        </w:rPr>
        <w:t xml:space="preserve"> [</w:t>
      </w:r>
      <w:r w:rsidRPr="005675B2">
        <w:rPr>
          <w:rFonts w:hint="cs"/>
          <w:sz w:val="24"/>
          <w:szCs w:val="24"/>
          <w:rtl/>
        </w:rPr>
        <w:t>المرجع السابق: ص 72 . والآية في سورة الأعراف: 143 . ساخت قوائمه في الأرض: غاصت في الأرض . وساخت الأرض بهم: انخسفت . وانظر: سنن الترمذي: كتاب التفسير</w:t>
      </w:r>
      <w:r w:rsidR="000636C2">
        <w:rPr>
          <w:rFonts w:hint="cs"/>
          <w:sz w:val="24"/>
          <w:szCs w:val="24"/>
          <w:rtl/>
        </w:rPr>
        <w:t>،</w:t>
      </w:r>
      <w:r w:rsidRPr="005675B2">
        <w:rPr>
          <w:rFonts w:hint="cs"/>
          <w:sz w:val="24"/>
          <w:szCs w:val="24"/>
          <w:rtl/>
        </w:rPr>
        <w:t xml:space="preserve"> تفسير سورة الأعراف</w:t>
      </w:r>
      <w:r w:rsidR="000636C2">
        <w:rPr>
          <w:rFonts w:hint="cs"/>
          <w:sz w:val="24"/>
          <w:szCs w:val="24"/>
          <w:rtl/>
        </w:rPr>
        <w:t>]</w:t>
      </w:r>
      <w:r w:rsidRPr="005675B2">
        <w:rPr>
          <w:rFonts w:hint="cs"/>
          <w:rtl/>
        </w:rPr>
        <w:t>، ثم ذكر من طريقين عن أسباط</w:t>
      </w:r>
      <w:r w:rsidR="000636C2">
        <w:rPr>
          <w:rFonts w:hint="cs"/>
          <w:rtl/>
        </w:rPr>
        <w:t>،</w:t>
      </w:r>
      <w:r w:rsidRPr="005675B2">
        <w:rPr>
          <w:rFonts w:hint="cs"/>
          <w:rtl/>
        </w:rPr>
        <w:t xml:space="preserve"> عن السدِّي</w:t>
      </w:r>
      <w:r w:rsidR="000636C2">
        <w:rPr>
          <w:rFonts w:hint="cs"/>
          <w:rtl/>
        </w:rPr>
        <w:t>،</w:t>
      </w:r>
      <w:r w:rsidRPr="005675B2">
        <w:rPr>
          <w:rFonts w:hint="cs"/>
          <w:rtl/>
        </w:rPr>
        <w:t xml:space="preserve"> عن عكرمة</w:t>
      </w:r>
      <w:r w:rsidR="000636C2">
        <w:rPr>
          <w:rFonts w:hint="cs"/>
          <w:rtl/>
        </w:rPr>
        <w:t>،</w:t>
      </w:r>
      <w:r w:rsidRPr="005675B2">
        <w:rPr>
          <w:rFonts w:hint="cs"/>
          <w:rtl/>
        </w:rPr>
        <w:t xml:space="preserve"> عن ابن عباس أنه قال</w:t>
      </w:r>
      <w:r w:rsidR="000636C2">
        <w:rPr>
          <w:rFonts w:hint="cs"/>
          <w:rtl/>
        </w:rPr>
        <w:t>:</w:t>
      </w:r>
      <w:r w:rsidRPr="005675B2">
        <w:rPr>
          <w:rFonts w:hint="cs"/>
          <w:rtl/>
        </w:rPr>
        <w:t xml:space="preserve"> </w:t>
      </w:r>
      <w:r w:rsidR="000636C2">
        <w:rPr>
          <w:rFonts w:hint="cs"/>
          <w:rtl/>
        </w:rPr>
        <w:t>[</w:t>
      </w:r>
      <w:r w:rsidRPr="005675B2">
        <w:rPr>
          <w:rFonts w:hint="cs"/>
          <w:rtl/>
        </w:rPr>
        <w:t>فلما تجلى ربه للجبل</w:t>
      </w:r>
      <w:r w:rsidR="000636C2">
        <w:rPr>
          <w:rFonts w:hint="cs"/>
          <w:rtl/>
        </w:rPr>
        <w:t>:</w:t>
      </w:r>
      <w:r w:rsidRPr="005675B2">
        <w:rPr>
          <w:rFonts w:hint="cs"/>
          <w:rtl/>
        </w:rPr>
        <w:t xml:space="preserve"> ما تجلى منه إلا مثل الخنصر</w:t>
      </w:r>
      <w:r w:rsidR="000636C2">
        <w:rPr>
          <w:rFonts w:hint="cs"/>
          <w:rtl/>
        </w:rPr>
        <w:t>]</w:t>
      </w:r>
      <w:r w:rsidRPr="005675B2">
        <w:rPr>
          <w:rFonts w:hint="cs"/>
          <w:rtl/>
        </w:rPr>
        <w:t xml:space="preserve"> [</w:t>
      </w:r>
      <w:r w:rsidRPr="005675B2">
        <w:rPr>
          <w:rFonts w:hint="cs"/>
          <w:sz w:val="24"/>
          <w:szCs w:val="24"/>
          <w:rtl/>
        </w:rPr>
        <w:t>المرجع السابق: ص 72 – 73</w:t>
      </w:r>
      <w:r w:rsidR="000636C2">
        <w:rPr>
          <w:rFonts w:hint="cs"/>
          <w:sz w:val="24"/>
          <w:szCs w:val="24"/>
          <w:rtl/>
        </w:rPr>
        <w:t>]</w:t>
      </w:r>
      <w:r w:rsidR="000636C2">
        <w:rPr>
          <w:rFonts w:hint="cs"/>
          <w:rtl/>
        </w:rPr>
        <w:t>،</w:t>
      </w:r>
    </w:p>
    <w:p w14:paraId="3326429B" w14:textId="45E138FE" w:rsidR="009C32A0" w:rsidRPr="005675B2" w:rsidRDefault="009C32A0" w:rsidP="000636C2">
      <w:pPr>
        <w:rPr>
          <w:b/>
          <w:rtl/>
        </w:rPr>
      </w:pPr>
      <w:r w:rsidRPr="005675B2">
        <w:rPr>
          <w:rFonts w:hint="cs"/>
          <w:bCs/>
          <w:rtl/>
        </w:rPr>
        <w:t>أقول</w:t>
      </w:r>
      <w:r w:rsidR="000636C2">
        <w:rPr>
          <w:rFonts w:hint="cs"/>
          <w:bCs/>
          <w:rtl/>
        </w:rPr>
        <w:t>:</w:t>
      </w:r>
      <w:r w:rsidR="000636C2">
        <w:rPr>
          <w:rFonts w:hint="cs"/>
          <w:rtl/>
        </w:rPr>
        <w:t xml:space="preserve"> </w:t>
      </w:r>
      <w:r w:rsidRPr="005675B2">
        <w:rPr>
          <w:rFonts w:hint="cs"/>
          <w:rtl/>
        </w:rPr>
        <w:t xml:space="preserve">من الغريب إيراد ابن تيمية للحديث المرفوع الذي رواه الترمذي في معرض تأييده </w:t>
      </w:r>
      <w:r w:rsidR="000636C2">
        <w:rPr>
          <w:rFonts w:hint="cs"/>
          <w:rtl/>
        </w:rPr>
        <w:t>[</w:t>
      </w:r>
      <w:r w:rsidRPr="005675B2">
        <w:rPr>
          <w:rFonts w:hint="cs"/>
          <w:rtl/>
        </w:rPr>
        <w:t>أن يقال في صفات الله لفظ البعض</w:t>
      </w:r>
      <w:r w:rsidR="000636C2">
        <w:rPr>
          <w:rFonts w:hint="cs"/>
          <w:rtl/>
        </w:rPr>
        <w:t>]!</w:t>
      </w:r>
      <w:r w:rsidRPr="005675B2">
        <w:rPr>
          <w:rFonts w:hint="cs"/>
          <w:rtl/>
        </w:rPr>
        <w:t xml:space="preserve"> ولعل هذا هو مستنده إذ قال</w:t>
      </w:r>
      <w:r w:rsidR="000636C2">
        <w:rPr>
          <w:rFonts w:hint="cs"/>
          <w:rtl/>
        </w:rPr>
        <w:t>:</w:t>
      </w:r>
      <w:r w:rsidRPr="005675B2">
        <w:rPr>
          <w:rFonts w:hint="cs"/>
          <w:rtl/>
        </w:rPr>
        <w:t xml:space="preserve"> </w:t>
      </w:r>
      <w:r w:rsidR="000636C2">
        <w:rPr>
          <w:rFonts w:hint="cs"/>
          <w:rtl/>
        </w:rPr>
        <w:t>[</w:t>
      </w:r>
      <w:r w:rsidRPr="005675B2">
        <w:rPr>
          <w:rFonts w:hint="cs"/>
          <w:rtl/>
        </w:rPr>
        <w:t>وهذا اللفظ قد نطق به أئمة الصحابة ذاكرين وآثرين</w:t>
      </w:r>
      <w:r w:rsidR="000636C2">
        <w:rPr>
          <w:rFonts w:hint="cs"/>
          <w:rtl/>
        </w:rPr>
        <w:t>]!</w:t>
      </w:r>
      <w:r w:rsidRPr="005675B2">
        <w:rPr>
          <w:rFonts w:hint="cs"/>
          <w:rtl/>
        </w:rPr>
        <w:t xml:space="preserve"> والحديث المرفوع ليس فيه في رواية الترمذي أكثر من </w:t>
      </w:r>
      <w:r w:rsidR="000636C2">
        <w:rPr>
          <w:rFonts w:hint="cs"/>
          <w:rtl/>
        </w:rPr>
        <w:t>[</w:t>
      </w:r>
      <w:r w:rsidRPr="005675B2">
        <w:rPr>
          <w:rFonts w:hint="cs"/>
          <w:rtl/>
        </w:rPr>
        <w:t>أن النبي صلى الله عليه وسلم قرأ هذه الآية فلما تجلى ربه للجبل جعله دكاً فقال</w:t>
      </w:r>
      <w:r w:rsidR="000636C2">
        <w:rPr>
          <w:rFonts w:hint="cs"/>
          <w:rtl/>
        </w:rPr>
        <w:t>:</w:t>
      </w:r>
      <w:r w:rsidRPr="005675B2">
        <w:rPr>
          <w:rFonts w:hint="cs"/>
          <w:rtl/>
        </w:rPr>
        <w:t xml:space="preserve"> فساخ الجبل وخرَّ موسى صعقاً</w:t>
      </w:r>
      <w:r w:rsidR="000636C2">
        <w:rPr>
          <w:rFonts w:hint="cs"/>
          <w:rtl/>
        </w:rPr>
        <w:t>]،</w:t>
      </w:r>
      <w:r w:rsidRPr="005675B2">
        <w:rPr>
          <w:rFonts w:hint="cs"/>
          <w:rtl/>
        </w:rPr>
        <w:t xml:space="preserve"> أما الذي قال هكذا ووضع طرف الإبهام على أنملة إصبعه اليمنى فهو حماد بن سلمة</w:t>
      </w:r>
      <w:r w:rsidR="000636C2">
        <w:rPr>
          <w:rFonts w:hint="cs"/>
          <w:rtl/>
        </w:rPr>
        <w:t>،</w:t>
      </w:r>
      <w:r w:rsidRPr="005675B2">
        <w:rPr>
          <w:rFonts w:hint="cs"/>
          <w:rtl/>
        </w:rPr>
        <w:t xml:space="preserve"> وقد فعل الراوي عنه سليمان بن حرب مثلما رآه فعل ليوضح بذلك لمن يروي عنه كيف فعل حماد</w:t>
      </w:r>
      <w:r w:rsidR="000636C2">
        <w:rPr>
          <w:rFonts w:hint="cs"/>
          <w:rtl/>
        </w:rPr>
        <w:t>،</w:t>
      </w:r>
      <w:r w:rsidRPr="005675B2">
        <w:rPr>
          <w:rFonts w:hint="cs"/>
          <w:rtl/>
        </w:rPr>
        <w:t xml:space="preserve"> وليس في هذه الرواية أن النبي صلى الله عليه وسلم قال هكذا</w:t>
      </w:r>
      <w:r w:rsidR="000636C2">
        <w:rPr>
          <w:rFonts w:hint="cs"/>
          <w:rtl/>
        </w:rPr>
        <w:t>،</w:t>
      </w:r>
      <w:r w:rsidRPr="005675B2">
        <w:rPr>
          <w:rFonts w:hint="cs"/>
          <w:rtl/>
        </w:rPr>
        <w:t xml:space="preserve"> ولا أنس بن مالك رضي الله عنه</w:t>
      </w:r>
      <w:r w:rsidR="000636C2">
        <w:rPr>
          <w:rFonts w:hint="cs"/>
          <w:rtl/>
        </w:rPr>
        <w:t>،</w:t>
      </w:r>
      <w:r w:rsidRPr="005675B2">
        <w:rPr>
          <w:rFonts w:hint="cs"/>
          <w:rtl/>
        </w:rPr>
        <w:t xml:space="preserve"> ولا ثابتاً</w:t>
      </w:r>
      <w:r w:rsidR="000636C2">
        <w:rPr>
          <w:rFonts w:hint="cs"/>
          <w:rtl/>
        </w:rPr>
        <w:t xml:space="preserve"> </w:t>
      </w:r>
      <w:r w:rsidRPr="005675B2">
        <w:rPr>
          <w:rFonts w:hint="cs"/>
          <w:rtl/>
        </w:rPr>
        <w:t>البناني رحمه الله</w:t>
      </w:r>
      <w:r w:rsidR="000636C2">
        <w:rPr>
          <w:rFonts w:hint="cs"/>
          <w:rtl/>
        </w:rPr>
        <w:t>،</w:t>
      </w:r>
      <w:r w:rsidRPr="005675B2">
        <w:rPr>
          <w:rFonts w:hint="cs"/>
          <w:rtl/>
        </w:rPr>
        <w:t xml:space="preserve"> وعلق الترمذي على هذا الحديث</w:t>
      </w:r>
      <w:r w:rsidR="000636C2">
        <w:rPr>
          <w:rFonts w:hint="cs"/>
          <w:rtl/>
        </w:rPr>
        <w:t xml:space="preserve"> </w:t>
      </w:r>
      <w:r w:rsidRPr="005675B2">
        <w:rPr>
          <w:rFonts w:hint="cs"/>
          <w:rtl/>
        </w:rPr>
        <w:t>- رغم صحة إسناده ظاهراً</w:t>
      </w:r>
      <w:r w:rsidR="000636C2">
        <w:rPr>
          <w:rFonts w:hint="cs"/>
          <w:rtl/>
        </w:rPr>
        <w:t xml:space="preserve"> </w:t>
      </w:r>
      <w:r w:rsidRPr="005675B2">
        <w:rPr>
          <w:rFonts w:hint="cs"/>
          <w:rtl/>
        </w:rPr>
        <w:t xml:space="preserve">- بقوله </w:t>
      </w:r>
      <w:r w:rsidR="000636C2">
        <w:rPr>
          <w:rFonts w:hint="cs"/>
          <w:rtl/>
        </w:rPr>
        <w:t>[</w:t>
      </w:r>
      <w:r w:rsidRPr="005675B2">
        <w:rPr>
          <w:rFonts w:hint="cs"/>
          <w:rtl/>
        </w:rPr>
        <w:t>هذا حديث حسن صحيح غريب</w:t>
      </w:r>
      <w:r w:rsidR="000636C2">
        <w:rPr>
          <w:rFonts w:hint="cs"/>
          <w:rtl/>
        </w:rPr>
        <w:t>]،</w:t>
      </w:r>
      <w:r w:rsidRPr="005675B2">
        <w:rPr>
          <w:rFonts w:hint="cs"/>
          <w:rtl/>
        </w:rPr>
        <w:t xml:space="preserve"> ولعله يعني في جمعه بين الصحة والغرابة صحة السند وغرابة المعنى</w:t>
      </w:r>
      <w:r w:rsidR="000636C2">
        <w:rPr>
          <w:rFonts w:hint="cs"/>
          <w:rtl/>
        </w:rPr>
        <w:t xml:space="preserve">، </w:t>
      </w:r>
      <w:r w:rsidRPr="005675B2">
        <w:rPr>
          <w:rFonts w:hint="cs"/>
          <w:rtl/>
        </w:rPr>
        <w:t>فإن قيل</w:t>
      </w:r>
      <w:r w:rsidR="000636C2">
        <w:rPr>
          <w:rFonts w:hint="cs"/>
          <w:rtl/>
        </w:rPr>
        <w:t>:</w:t>
      </w:r>
      <w:r w:rsidRPr="005675B2">
        <w:rPr>
          <w:rFonts w:hint="cs"/>
          <w:rtl/>
        </w:rPr>
        <w:t xml:space="preserve"> لقد روى جماعة من الرواة هذا الحديث عن حماد بن سلمة عن ثابت عن أنس رضي الله عنه</w:t>
      </w:r>
      <w:r w:rsidR="000636C2">
        <w:rPr>
          <w:rFonts w:hint="cs"/>
          <w:rtl/>
        </w:rPr>
        <w:t>،</w:t>
      </w:r>
      <w:r w:rsidRPr="005675B2">
        <w:rPr>
          <w:rFonts w:hint="cs"/>
          <w:rtl/>
        </w:rPr>
        <w:t xml:space="preserve"> وأن الذي وضع الإبهام على طرف الخنصر هو النبي صلى الله عليه وسلم</w:t>
      </w:r>
      <w:r w:rsidR="000636C2">
        <w:rPr>
          <w:rFonts w:hint="cs"/>
          <w:rtl/>
        </w:rPr>
        <w:t>،</w:t>
      </w:r>
      <w:r w:rsidRPr="005675B2">
        <w:rPr>
          <w:rFonts w:hint="cs"/>
          <w:rtl/>
        </w:rPr>
        <w:t xml:space="preserve"> وأن حميداً الطويل قال لثابت لما حدث بهذا الحديث</w:t>
      </w:r>
      <w:r w:rsidR="000636C2">
        <w:rPr>
          <w:rFonts w:hint="cs"/>
          <w:rtl/>
        </w:rPr>
        <w:t>:</w:t>
      </w:r>
      <w:r w:rsidRPr="005675B2">
        <w:rPr>
          <w:rFonts w:hint="cs"/>
          <w:rtl/>
        </w:rPr>
        <w:t xml:space="preserve"> تقول هذا</w:t>
      </w:r>
      <w:r w:rsidR="000636C2">
        <w:rPr>
          <w:rFonts w:hint="cs"/>
          <w:rtl/>
        </w:rPr>
        <w:t>؟،</w:t>
      </w:r>
      <w:r w:rsidRPr="005675B2">
        <w:rPr>
          <w:rFonts w:hint="cs"/>
          <w:rtl/>
        </w:rPr>
        <w:t xml:space="preserve"> فرفع ثابت يده فضرب صدر حميد وقال</w:t>
      </w:r>
      <w:r w:rsidR="000636C2">
        <w:rPr>
          <w:rFonts w:hint="cs"/>
          <w:rtl/>
        </w:rPr>
        <w:t>:</w:t>
      </w:r>
      <w:r w:rsidRPr="005675B2">
        <w:rPr>
          <w:rFonts w:hint="cs"/>
          <w:rtl/>
        </w:rPr>
        <w:t xml:space="preserve"> يقوله رسول الله صلى الله عليه وسلم ويقوله أنس وأنا أكتمه</w:t>
      </w:r>
      <w:r w:rsidR="000636C2">
        <w:rPr>
          <w:rFonts w:hint="cs"/>
          <w:rtl/>
        </w:rPr>
        <w:t>؟!</w:t>
      </w:r>
      <w:r w:rsidRPr="005675B2">
        <w:rPr>
          <w:rFonts w:hint="cs"/>
          <w:rtl/>
        </w:rPr>
        <w:t>!</w:t>
      </w:r>
      <w:r w:rsidR="000636C2">
        <w:rPr>
          <w:rFonts w:hint="cs"/>
          <w:rtl/>
        </w:rPr>
        <w:t>،</w:t>
      </w:r>
      <w:r w:rsidRPr="005675B2">
        <w:rPr>
          <w:rFonts w:hint="cs"/>
          <w:rtl/>
        </w:rPr>
        <w:t xml:space="preserve"> فأقول</w:t>
      </w:r>
      <w:r w:rsidR="000636C2">
        <w:rPr>
          <w:rFonts w:hint="cs"/>
          <w:rtl/>
        </w:rPr>
        <w:t>:</w:t>
      </w:r>
      <w:r w:rsidRPr="005675B2">
        <w:rPr>
          <w:rFonts w:hint="cs"/>
          <w:rtl/>
        </w:rPr>
        <w:t xml:space="preserve"> بلى</w:t>
      </w:r>
      <w:r w:rsidR="000636C2">
        <w:rPr>
          <w:rFonts w:hint="cs"/>
          <w:rtl/>
        </w:rPr>
        <w:t>،</w:t>
      </w:r>
      <w:r w:rsidRPr="005675B2">
        <w:rPr>
          <w:rFonts w:hint="cs"/>
          <w:rtl/>
        </w:rPr>
        <w:t xml:space="preserve"> لقد رواه جماعة عن حماد بن سلمة بهذا</w:t>
      </w:r>
      <w:r w:rsidR="000636C2">
        <w:rPr>
          <w:rFonts w:hint="cs"/>
          <w:rtl/>
        </w:rPr>
        <w:t>،</w:t>
      </w:r>
      <w:r w:rsidRPr="005675B2">
        <w:rPr>
          <w:rFonts w:hint="cs"/>
          <w:rtl/>
        </w:rPr>
        <w:t xml:space="preserve"> ولكن تفرد حماد به يوقع في النفس ريبة</w:t>
      </w:r>
      <w:r w:rsidR="000636C2">
        <w:rPr>
          <w:rFonts w:hint="cs"/>
          <w:rtl/>
        </w:rPr>
        <w:t>،</w:t>
      </w:r>
      <w:r w:rsidRPr="005675B2">
        <w:rPr>
          <w:rFonts w:hint="cs"/>
          <w:rtl/>
        </w:rPr>
        <w:t xml:space="preserve"> سيما وقد قال فيه ابن سعد</w:t>
      </w:r>
      <w:r w:rsidR="000636C2">
        <w:rPr>
          <w:rFonts w:hint="cs"/>
          <w:rtl/>
        </w:rPr>
        <w:t>:</w:t>
      </w:r>
      <w:r w:rsidRPr="005675B2">
        <w:rPr>
          <w:rFonts w:hint="cs"/>
          <w:rtl/>
        </w:rPr>
        <w:t xml:space="preserve"> كان ثقة كثير الحديث وربما حدث بالحديث المنكر</w:t>
      </w:r>
      <w:r w:rsidR="000636C2">
        <w:rPr>
          <w:rFonts w:hint="cs"/>
          <w:rtl/>
        </w:rPr>
        <w:t>،</w:t>
      </w:r>
      <w:r w:rsidRPr="005675B2">
        <w:rPr>
          <w:rFonts w:hint="cs"/>
          <w:rtl/>
        </w:rPr>
        <w:t xml:space="preserve"> وقال ابن معين</w:t>
      </w:r>
      <w:r w:rsidR="000636C2">
        <w:rPr>
          <w:rFonts w:hint="cs"/>
          <w:rtl/>
        </w:rPr>
        <w:t>:</w:t>
      </w:r>
      <w:r w:rsidRPr="005675B2">
        <w:rPr>
          <w:rFonts w:hint="cs"/>
          <w:rtl/>
        </w:rPr>
        <w:t xml:space="preserve"> من سمع من حماد الأصناف ففيها اختلاف ومن سمع منه نسخاً فهو صحيح</w:t>
      </w:r>
      <w:r w:rsidR="000636C2">
        <w:rPr>
          <w:rFonts w:hint="cs"/>
          <w:rtl/>
        </w:rPr>
        <w:t>،</w:t>
      </w:r>
      <w:r w:rsidRPr="005675B2">
        <w:rPr>
          <w:rFonts w:hint="cs"/>
          <w:rtl/>
        </w:rPr>
        <w:t xml:space="preserve"> وقال الإمام أحمد</w:t>
      </w:r>
      <w:r w:rsidR="000636C2">
        <w:rPr>
          <w:rFonts w:hint="cs"/>
          <w:rtl/>
        </w:rPr>
        <w:t>:</w:t>
      </w:r>
      <w:r w:rsidRPr="005675B2">
        <w:rPr>
          <w:rFonts w:hint="cs"/>
          <w:rtl/>
        </w:rPr>
        <w:t xml:space="preserve"> كان يخطئ</w:t>
      </w:r>
      <w:r w:rsidR="000636C2">
        <w:rPr>
          <w:rFonts w:hint="cs"/>
          <w:rtl/>
        </w:rPr>
        <w:t>،</w:t>
      </w:r>
      <w:r w:rsidRPr="005675B2">
        <w:rPr>
          <w:rFonts w:hint="cs"/>
          <w:rtl/>
        </w:rPr>
        <w:t xml:space="preserve"> وأشار بيده أي كثيراً</w:t>
      </w:r>
      <w:r w:rsidR="000636C2">
        <w:rPr>
          <w:rFonts w:hint="cs"/>
          <w:rtl/>
        </w:rPr>
        <w:t>،</w:t>
      </w:r>
      <w:r w:rsidRPr="005675B2">
        <w:rPr>
          <w:rFonts w:hint="cs"/>
          <w:rtl/>
        </w:rPr>
        <w:t xml:space="preserve"> وأقرَّ ابن حبان أنه ممن يخطئ وأنه قد كثر خطؤه</w:t>
      </w:r>
      <w:r w:rsidR="000636C2">
        <w:rPr>
          <w:rFonts w:hint="cs"/>
          <w:rtl/>
        </w:rPr>
        <w:t>،</w:t>
      </w:r>
      <w:r w:rsidRPr="005675B2">
        <w:rPr>
          <w:rFonts w:hint="cs"/>
          <w:rtl/>
        </w:rPr>
        <w:t xml:space="preserve"> وقال الإمام الذهبي</w:t>
      </w:r>
      <w:r w:rsidR="000636C2">
        <w:rPr>
          <w:rFonts w:hint="cs"/>
          <w:rtl/>
        </w:rPr>
        <w:t>:</w:t>
      </w:r>
      <w:r w:rsidRPr="005675B2">
        <w:rPr>
          <w:rFonts w:hint="cs"/>
          <w:rtl/>
        </w:rPr>
        <w:t xml:space="preserve"> إمام ثقة له أوهام وغرائب</w:t>
      </w:r>
      <w:r w:rsidR="000636C2">
        <w:rPr>
          <w:rFonts w:hint="cs"/>
          <w:rtl/>
        </w:rPr>
        <w:t>،</w:t>
      </w:r>
      <w:r w:rsidRPr="005675B2">
        <w:rPr>
          <w:rFonts w:hint="cs"/>
          <w:rtl/>
        </w:rPr>
        <w:t xml:space="preserve"> وإذا كان ذلك كذلك فالأولى أن يتوقف عن رواية ينفرد بها حماد بن سلمة ويستغربها مثل الإمام الترمذي ويدرجها ابن الجوزي في الموضوعات</w:t>
      </w:r>
      <w:r w:rsidR="000636C2">
        <w:rPr>
          <w:rFonts w:hint="cs"/>
          <w:rtl/>
        </w:rPr>
        <w:t xml:space="preserve">، </w:t>
      </w:r>
      <w:r w:rsidRPr="005675B2">
        <w:rPr>
          <w:rFonts w:hint="cs"/>
          <w:rtl/>
        </w:rPr>
        <w:t>ثم إن حماد بن سلمة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قد خولف في هذه الرواية المستغربة سنداً ومتناً</w:t>
      </w:r>
      <w:r w:rsidR="000636C2">
        <w:rPr>
          <w:rFonts w:hint="cs"/>
          <w:rtl/>
        </w:rPr>
        <w:t>،</w:t>
      </w:r>
      <w:r w:rsidRPr="005675B2">
        <w:rPr>
          <w:rFonts w:hint="cs"/>
          <w:rtl/>
        </w:rPr>
        <w:t xml:space="preserve"> فأما في الإسناد فقد جاءت هذه الرواية من طريقين لابأس بهما عن سعيد بن أبي عروبة عن قتادة عن أنس موقوفة لا مرفوعة</w:t>
      </w:r>
      <w:r w:rsidR="000636C2">
        <w:rPr>
          <w:rFonts w:hint="cs"/>
          <w:rtl/>
        </w:rPr>
        <w:t>،</w:t>
      </w:r>
      <w:r w:rsidRPr="005675B2">
        <w:rPr>
          <w:rFonts w:hint="cs"/>
          <w:rtl/>
        </w:rPr>
        <w:t xml:space="preserve"> وأما المتن فقد جاء اللفظ عن أنس رضي الله عنه أنه قال</w:t>
      </w:r>
      <w:r w:rsidR="000636C2">
        <w:rPr>
          <w:rFonts w:hint="cs"/>
          <w:rtl/>
        </w:rPr>
        <w:t>:</w:t>
      </w:r>
      <w:r w:rsidRPr="005675B2">
        <w:rPr>
          <w:rFonts w:hint="cs"/>
          <w:rtl/>
        </w:rPr>
        <w:t xml:space="preserve"> </w:t>
      </w:r>
      <w:r w:rsidR="000636C2">
        <w:rPr>
          <w:rFonts w:hint="cs"/>
          <w:rtl/>
        </w:rPr>
        <w:t>[</w:t>
      </w:r>
      <w:r w:rsidRPr="005675B2">
        <w:rPr>
          <w:rFonts w:hint="cs"/>
          <w:rtl/>
        </w:rPr>
        <w:t>أشار إليه بيده</w:t>
      </w:r>
      <w:r w:rsidR="000636C2">
        <w:rPr>
          <w:rFonts w:hint="cs"/>
          <w:rtl/>
        </w:rPr>
        <w:t>]</w:t>
      </w:r>
      <w:r w:rsidRPr="005675B2">
        <w:rPr>
          <w:rFonts w:hint="cs"/>
          <w:rtl/>
        </w:rPr>
        <w:t xml:space="preserve"> أو قال بأصبعه </w:t>
      </w:r>
      <w:r w:rsidR="000636C2">
        <w:rPr>
          <w:rFonts w:hint="cs"/>
          <w:rtl/>
        </w:rPr>
        <w:t>[</w:t>
      </w:r>
      <w:r w:rsidRPr="005675B2">
        <w:rPr>
          <w:rFonts w:hint="cs"/>
          <w:rtl/>
        </w:rPr>
        <w:t>فتعفر الجبل بعضه على بعض</w:t>
      </w:r>
      <w:r w:rsidR="000636C2">
        <w:rPr>
          <w:rFonts w:hint="cs"/>
          <w:rtl/>
        </w:rPr>
        <w:t>]</w:t>
      </w:r>
      <w:r w:rsidRPr="005675B2">
        <w:rPr>
          <w:rFonts w:hint="cs"/>
          <w:rtl/>
        </w:rPr>
        <w:t xml:space="preserve"> [</w:t>
      </w:r>
      <w:r w:rsidRPr="005675B2">
        <w:rPr>
          <w:rFonts w:hint="cs"/>
          <w:sz w:val="24"/>
          <w:szCs w:val="24"/>
          <w:rtl/>
        </w:rPr>
        <w:t>انظر: السنة لابن أبي عاصم: 1 / 211 . وسعيد بن أبي عروبة من كبار الثقات</w:t>
      </w:r>
      <w:r w:rsidR="000636C2">
        <w:rPr>
          <w:rFonts w:hint="cs"/>
          <w:sz w:val="24"/>
          <w:szCs w:val="24"/>
          <w:rtl/>
        </w:rPr>
        <w:t>،</w:t>
      </w:r>
      <w:r w:rsidRPr="005675B2">
        <w:rPr>
          <w:rFonts w:hint="cs"/>
          <w:sz w:val="24"/>
          <w:szCs w:val="24"/>
          <w:rtl/>
        </w:rPr>
        <w:t xml:space="preserve"> إلا أنه اختلط</w:t>
      </w:r>
      <w:r w:rsidR="000636C2">
        <w:rPr>
          <w:rFonts w:hint="cs"/>
          <w:sz w:val="24"/>
          <w:szCs w:val="24"/>
          <w:rtl/>
        </w:rPr>
        <w:t>،</w:t>
      </w:r>
      <w:r w:rsidRPr="005675B2">
        <w:rPr>
          <w:rFonts w:hint="cs"/>
          <w:sz w:val="24"/>
          <w:szCs w:val="24"/>
          <w:rtl/>
        </w:rPr>
        <w:t xml:space="preserve"> لكن الراوي عنه عبد الأعلى بن عبد الأعلى من الآخذين عنه قبل الاختلاط . والعَفَر: التراب</w:t>
      </w:r>
      <w:r w:rsidR="000636C2">
        <w:rPr>
          <w:rFonts w:hint="cs"/>
          <w:sz w:val="24"/>
          <w:szCs w:val="24"/>
          <w:rtl/>
        </w:rPr>
        <w:t>،</w:t>
      </w:r>
      <w:r w:rsidRPr="005675B2">
        <w:rPr>
          <w:rFonts w:hint="cs"/>
          <w:sz w:val="24"/>
          <w:szCs w:val="24"/>
          <w:rtl/>
        </w:rPr>
        <w:t xml:space="preserve"> ووجه الأرض . وتعفر الجبل: اندك وهوى على وجه الأرض</w:t>
      </w:r>
      <w:r w:rsidR="000636C2">
        <w:rPr>
          <w:rFonts w:hint="cs"/>
          <w:sz w:val="24"/>
          <w:szCs w:val="24"/>
          <w:rtl/>
        </w:rPr>
        <w:t>]</w:t>
      </w:r>
      <w:r w:rsidR="000636C2">
        <w:rPr>
          <w:rFonts w:hint="cs"/>
          <w:rtl/>
        </w:rPr>
        <w:t>،</w:t>
      </w:r>
      <w:r w:rsidRPr="005675B2">
        <w:rPr>
          <w:rFonts w:hint="cs"/>
          <w:rtl/>
        </w:rPr>
        <w:t xml:space="preserve"> وليس فيها تفسير فلما تجلى ربه للجبل بوضع الإبهام على طرف الخنصر</w:t>
      </w:r>
      <w:r w:rsidR="000636C2">
        <w:rPr>
          <w:rFonts w:hint="cs"/>
          <w:rtl/>
        </w:rPr>
        <w:t xml:space="preserve">، </w:t>
      </w:r>
      <w:r w:rsidRPr="005675B2">
        <w:rPr>
          <w:rFonts w:hint="cs"/>
          <w:rtl/>
        </w:rPr>
        <w:t>فلله در الإمام الترمذي الذي اختار من الطرق الكثيرة المروية عن حماد</w:t>
      </w:r>
      <w:r w:rsidR="000636C2">
        <w:rPr>
          <w:rFonts w:hint="cs"/>
          <w:rtl/>
        </w:rPr>
        <w:t>:</w:t>
      </w:r>
      <w:r w:rsidRPr="005675B2">
        <w:rPr>
          <w:rFonts w:hint="cs"/>
          <w:rtl/>
        </w:rPr>
        <w:t xml:space="preserve"> الطريق الذي لا يصرح بنسبة اللفظ الموهم إلى رسول الله صلى الله عليه وسلم ولا إلى الصحابي ولا التابعي</w:t>
      </w:r>
      <w:r w:rsidR="000636C2">
        <w:rPr>
          <w:rFonts w:hint="cs"/>
          <w:rtl/>
        </w:rPr>
        <w:t>،</w:t>
      </w:r>
      <w:r w:rsidRPr="005675B2">
        <w:rPr>
          <w:rFonts w:hint="cs"/>
          <w:rtl/>
        </w:rPr>
        <w:t xml:space="preserve"> ونصَّ مع ذلك على أنه </w:t>
      </w:r>
      <w:r w:rsidR="000636C2">
        <w:rPr>
          <w:rFonts w:hint="cs"/>
          <w:rtl/>
        </w:rPr>
        <w:t>[</w:t>
      </w:r>
      <w:r w:rsidRPr="005675B2">
        <w:rPr>
          <w:rFonts w:hint="cs"/>
          <w:rtl/>
        </w:rPr>
        <w:t>غريب</w:t>
      </w:r>
      <w:r w:rsidR="000636C2">
        <w:rPr>
          <w:rFonts w:hint="cs"/>
          <w:rtl/>
        </w:rPr>
        <w:t xml:space="preserve">]، </w:t>
      </w:r>
      <w:r w:rsidRPr="005675B2">
        <w:rPr>
          <w:rFonts w:hint="cs"/>
          <w:rtl/>
        </w:rPr>
        <w:t>ومما يزيدنا استبصاراً في أن لحماد روايات منكرة في العقائد</w:t>
      </w:r>
      <w:r w:rsidR="000636C2">
        <w:rPr>
          <w:rFonts w:hint="cs"/>
          <w:rtl/>
        </w:rPr>
        <w:t>:</w:t>
      </w:r>
      <w:r w:rsidRPr="005675B2">
        <w:rPr>
          <w:rFonts w:hint="cs"/>
          <w:rtl/>
        </w:rPr>
        <w:t xml:space="preserve"> ما رواه ابن عدي من ثلاثة طرق عنه عن قتادة عن عكرمة عن ابن عباس أنه قال</w:t>
      </w:r>
      <w:r w:rsidR="000636C2">
        <w:rPr>
          <w:rFonts w:hint="cs"/>
          <w:rtl/>
        </w:rPr>
        <w:t>:</w:t>
      </w:r>
      <w:r w:rsidRPr="005675B2">
        <w:rPr>
          <w:rFonts w:hint="cs"/>
          <w:rtl/>
        </w:rPr>
        <w:t xml:space="preserve"> 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رأيت ربي جعداً أمرد عليه حلة خضراء</w:t>
      </w:r>
      <w:r w:rsidR="000636C2">
        <w:rPr>
          <w:rFonts w:hint="cs"/>
          <w:rtl/>
        </w:rPr>
        <w:t>]</w:t>
      </w:r>
      <w:r w:rsidRPr="005675B2">
        <w:rPr>
          <w:rFonts w:hint="cs"/>
          <w:rtl/>
        </w:rPr>
        <w:t xml:space="preserve"> </w:t>
      </w:r>
      <w:r w:rsidR="000636C2">
        <w:rPr>
          <w:rFonts w:hint="cs"/>
          <w:rtl/>
        </w:rPr>
        <w:t>[</w:t>
      </w:r>
      <w:r w:rsidRPr="005675B2">
        <w:rPr>
          <w:rFonts w:hint="cs"/>
          <w:sz w:val="24"/>
          <w:szCs w:val="24"/>
          <w:rtl/>
        </w:rPr>
        <w:t>الكامل لابن عدي: ترجمة حماد بن سلمة . وأحد الطرق الثلاثة عن حماد صحيح</w:t>
      </w:r>
      <w:r w:rsidR="000636C2">
        <w:rPr>
          <w:rFonts w:hint="cs"/>
          <w:sz w:val="24"/>
          <w:szCs w:val="24"/>
          <w:rtl/>
        </w:rPr>
        <w:t>]</w:t>
      </w:r>
      <w:r w:rsidR="000636C2">
        <w:rPr>
          <w:rFonts w:hint="cs"/>
          <w:rtl/>
        </w:rPr>
        <w:t>،</w:t>
      </w:r>
      <w:r w:rsidRPr="005675B2">
        <w:rPr>
          <w:rFonts w:hint="cs"/>
          <w:rtl/>
        </w:rPr>
        <w:t xml:space="preserve"> فتأمل واعجب</w:t>
      </w:r>
      <w:r w:rsidR="000636C2">
        <w:rPr>
          <w:rFonts w:hint="cs"/>
          <w:rtl/>
        </w:rPr>
        <w:t>!،</w:t>
      </w:r>
      <w:r w:rsidRPr="005675B2">
        <w:rPr>
          <w:rFonts w:hint="cs"/>
          <w:rtl/>
        </w:rPr>
        <w:t xml:space="preserve"> أما الأثر الذي ذكره عن ابن عباس أنه قال </w:t>
      </w:r>
      <w:r w:rsidR="000636C2">
        <w:rPr>
          <w:rFonts w:hint="cs"/>
          <w:rtl/>
        </w:rPr>
        <w:t>[</w:t>
      </w:r>
      <w:r w:rsidRPr="005675B2">
        <w:rPr>
          <w:rFonts w:hint="cs"/>
          <w:rtl/>
        </w:rPr>
        <w:t>ما تجلى منه إلا مثل الخنصر</w:t>
      </w:r>
      <w:r w:rsidR="000636C2">
        <w:rPr>
          <w:rFonts w:hint="cs"/>
          <w:rtl/>
        </w:rPr>
        <w:t>]</w:t>
      </w:r>
      <w:r w:rsidRPr="005675B2">
        <w:rPr>
          <w:rFonts w:hint="cs"/>
          <w:rtl/>
        </w:rPr>
        <w:t xml:space="preserve"> فلا يصح عن ابن عباس</w:t>
      </w:r>
      <w:r w:rsidR="000636C2">
        <w:rPr>
          <w:rFonts w:hint="cs"/>
          <w:rtl/>
        </w:rPr>
        <w:t>،</w:t>
      </w:r>
      <w:r w:rsidRPr="005675B2">
        <w:rPr>
          <w:rFonts w:hint="cs"/>
          <w:rtl/>
        </w:rPr>
        <w:t xml:space="preserve"> لأن أسباطاً والسدي فيهما ضعف</w:t>
      </w:r>
      <w:r w:rsidR="000636C2">
        <w:rPr>
          <w:rFonts w:hint="cs"/>
          <w:rtl/>
        </w:rPr>
        <w:t>،</w:t>
      </w:r>
      <w:r w:rsidRPr="005675B2">
        <w:rPr>
          <w:rFonts w:hint="cs"/>
          <w:rtl/>
        </w:rPr>
        <w:t xml:space="preserve"> فأما أسباط بن نصر فقد وثقه ابن معين</w:t>
      </w:r>
      <w:r w:rsidR="000636C2">
        <w:rPr>
          <w:rFonts w:hint="cs"/>
          <w:rtl/>
        </w:rPr>
        <w:t>،</w:t>
      </w:r>
      <w:r w:rsidRPr="005675B2">
        <w:rPr>
          <w:rFonts w:hint="cs"/>
          <w:rtl/>
        </w:rPr>
        <w:t xml:space="preserve"> وقال فيه البخاري</w:t>
      </w:r>
      <w:r w:rsidR="000636C2">
        <w:rPr>
          <w:rFonts w:hint="cs"/>
          <w:rtl/>
        </w:rPr>
        <w:t>:</w:t>
      </w:r>
      <w:r w:rsidRPr="005675B2">
        <w:rPr>
          <w:rFonts w:hint="cs"/>
          <w:rtl/>
        </w:rPr>
        <w:t xml:space="preserve"> صدوق</w:t>
      </w:r>
      <w:r w:rsidR="000636C2">
        <w:rPr>
          <w:rFonts w:hint="cs"/>
          <w:rtl/>
        </w:rPr>
        <w:t>،</w:t>
      </w:r>
      <w:r w:rsidRPr="005675B2">
        <w:rPr>
          <w:rFonts w:hint="cs"/>
          <w:rtl/>
        </w:rPr>
        <w:t xml:space="preserve"> وقال موسى بن هارون</w:t>
      </w:r>
      <w:r w:rsidR="000636C2">
        <w:rPr>
          <w:rFonts w:hint="cs"/>
          <w:rtl/>
        </w:rPr>
        <w:t>:</w:t>
      </w:r>
      <w:r w:rsidRPr="005675B2">
        <w:rPr>
          <w:rFonts w:hint="cs"/>
          <w:rtl/>
        </w:rPr>
        <w:t xml:space="preserve"> لم يكن به بأس</w:t>
      </w:r>
      <w:r w:rsidR="000636C2">
        <w:rPr>
          <w:rFonts w:hint="cs"/>
          <w:rtl/>
        </w:rPr>
        <w:t>،</w:t>
      </w:r>
      <w:r w:rsidRPr="005675B2">
        <w:rPr>
          <w:rFonts w:hint="cs"/>
          <w:rtl/>
        </w:rPr>
        <w:t xml:space="preserve"> وذكره ابن حبان في الثقات</w:t>
      </w:r>
      <w:r w:rsidR="000636C2">
        <w:rPr>
          <w:rFonts w:hint="cs"/>
          <w:rtl/>
        </w:rPr>
        <w:t>،</w:t>
      </w:r>
      <w:r w:rsidRPr="005675B2">
        <w:rPr>
          <w:rFonts w:hint="cs"/>
          <w:rtl/>
        </w:rPr>
        <w:t xml:space="preserve"> لكن سئل أحمد</w:t>
      </w:r>
      <w:r w:rsidR="000636C2">
        <w:rPr>
          <w:rFonts w:hint="cs"/>
          <w:rtl/>
        </w:rPr>
        <w:t>:</w:t>
      </w:r>
      <w:r w:rsidRPr="005675B2">
        <w:rPr>
          <w:rFonts w:hint="cs"/>
          <w:rtl/>
        </w:rPr>
        <w:t xml:space="preserve"> كيف حديثه</w:t>
      </w:r>
      <w:r w:rsidR="000636C2">
        <w:rPr>
          <w:rFonts w:hint="cs"/>
          <w:rtl/>
        </w:rPr>
        <w:t>؟</w:t>
      </w:r>
      <w:r w:rsidRPr="005675B2">
        <w:rPr>
          <w:rFonts w:hint="cs"/>
          <w:rtl/>
        </w:rPr>
        <w:t xml:space="preserve"> فقال</w:t>
      </w:r>
      <w:r w:rsidR="000636C2">
        <w:rPr>
          <w:rFonts w:hint="cs"/>
          <w:rtl/>
        </w:rPr>
        <w:t>:</w:t>
      </w:r>
      <w:r w:rsidRPr="005675B2">
        <w:rPr>
          <w:rFonts w:hint="cs"/>
          <w:rtl/>
        </w:rPr>
        <w:t xml:space="preserve"> ما أدري</w:t>
      </w:r>
      <w:r w:rsidR="000636C2">
        <w:rPr>
          <w:rFonts w:hint="cs"/>
          <w:rtl/>
        </w:rPr>
        <w:t>،</w:t>
      </w:r>
      <w:r w:rsidRPr="005675B2">
        <w:rPr>
          <w:rFonts w:hint="cs"/>
          <w:rtl/>
        </w:rPr>
        <w:t xml:space="preserve"> وكأنه ضعفه</w:t>
      </w:r>
      <w:r w:rsidR="000636C2">
        <w:rPr>
          <w:rFonts w:hint="cs"/>
          <w:rtl/>
        </w:rPr>
        <w:t>،</w:t>
      </w:r>
      <w:r w:rsidRPr="005675B2">
        <w:rPr>
          <w:rFonts w:hint="cs"/>
          <w:rtl/>
        </w:rPr>
        <w:t xml:space="preserve"> وقال أبو حاتم</w:t>
      </w:r>
      <w:r w:rsidR="000636C2">
        <w:rPr>
          <w:rFonts w:hint="cs"/>
          <w:rtl/>
        </w:rPr>
        <w:t>:</w:t>
      </w:r>
      <w:r w:rsidRPr="005675B2">
        <w:rPr>
          <w:rFonts w:hint="cs"/>
          <w:rtl/>
        </w:rPr>
        <w:t xml:space="preserve"> سمعت أبا نعيم يضعفه</w:t>
      </w:r>
      <w:r w:rsidR="000636C2">
        <w:rPr>
          <w:rFonts w:hint="cs"/>
          <w:rtl/>
        </w:rPr>
        <w:t>،</w:t>
      </w:r>
      <w:r w:rsidRPr="005675B2">
        <w:rPr>
          <w:rFonts w:hint="cs"/>
          <w:rtl/>
        </w:rPr>
        <w:t xml:space="preserve"> وقال</w:t>
      </w:r>
      <w:r w:rsidR="000636C2">
        <w:rPr>
          <w:rFonts w:hint="cs"/>
          <w:rtl/>
        </w:rPr>
        <w:t>:</w:t>
      </w:r>
      <w:r w:rsidRPr="005675B2">
        <w:rPr>
          <w:rFonts w:hint="cs"/>
          <w:rtl/>
        </w:rPr>
        <w:t xml:space="preserve"> أحاديثه عامية سقط مقلوب الأسانيد</w:t>
      </w:r>
      <w:r w:rsidR="000636C2">
        <w:rPr>
          <w:rFonts w:hint="cs"/>
          <w:rtl/>
        </w:rPr>
        <w:t>،</w:t>
      </w:r>
      <w:r w:rsidRPr="005675B2">
        <w:rPr>
          <w:rFonts w:hint="cs"/>
          <w:rtl/>
        </w:rPr>
        <w:t xml:space="preserve"> وقال النسائي</w:t>
      </w:r>
      <w:r w:rsidR="000636C2">
        <w:rPr>
          <w:rFonts w:hint="cs"/>
          <w:rtl/>
        </w:rPr>
        <w:t>:</w:t>
      </w:r>
      <w:r w:rsidRPr="005675B2">
        <w:rPr>
          <w:rFonts w:hint="cs"/>
          <w:rtl/>
        </w:rPr>
        <w:t xml:space="preserve"> ليس بالقوي</w:t>
      </w:r>
      <w:r w:rsidR="000636C2">
        <w:rPr>
          <w:rFonts w:hint="cs"/>
          <w:rtl/>
        </w:rPr>
        <w:t>،</w:t>
      </w:r>
      <w:r w:rsidRPr="005675B2">
        <w:rPr>
          <w:rFonts w:hint="cs"/>
          <w:rtl/>
        </w:rPr>
        <w:t xml:space="preserve"> وقال ابن معين في رواية</w:t>
      </w:r>
      <w:r w:rsidR="000636C2">
        <w:rPr>
          <w:rFonts w:hint="cs"/>
          <w:rtl/>
        </w:rPr>
        <w:t>:</w:t>
      </w:r>
      <w:r w:rsidRPr="005675B2">
        <w:rPr>
          <w:rFonts w:hint="cs"/>
          <w:rtl/>
        </w:rPr>
        <w:t xml:space="preserve"> ليس بشيء</w:t>
      </w:r>
      <w:r w:rsidR="000636C2">
        <w:rPr>
          <w:rFonts w:hint="cs"/>
          <w:rtl/>
        </w:rPr>
        <w:t>،</w:t>
      </w:r>
      <w:r w:rsidRPr="005675B2">
        <w:rPr>
          <w:rFonts w:hint="cs"/>
          <w:rtl/>
        </w:rPr>
        <w:t xml:space="preserve"> واشتد إنكار أبي زرعة الرازي على الإمام مسلم أنه أخرج من أحاديث أسباط هذا في صحيحه</w:t>
      </w:r>
      <w:r w:rsidR="000636C2">
        <w:rPr>
          <w:rFonts w:hint="cs"/>
          <w:rtl/>
        </w:rPr>
        <w:t>،</w:t>
      </w:r>
      <w:r w:rsidRPr="005675B2">
        <w:rPr>
          <w:rFonts w:hint="cs"/>
          <w:rtl/>
        </w:rPr>
        <w:t xml:space="preserve"> فلا شك في أنه صدوق</w:t>
      </w:r>
      <w:r w:rsidR="000636C2">
        <w:rPr>
          <w:rFonts w:hint="cs"/>
          <w:rtl/>
        </w:rPr>
        <w:t>،</w:t>
      </w:r>
      <w:r w:rsidRPr="005675B2">
        <w:rPr>
          <w:rFonts w:hint="cs"/>
          <w:rtl/>
        </w:rPr>
        <w:t xml:space="preserve"> كما لا شك في أنه كثير الأوهام</w:t>
      </w:r>
      <w:r w:rsidR="000636C2">
        <w:rPr>
          <w:rFonts w:hint="cs"/>
          <w:rtl/>
        </w:rPr>
        <w:t>،</w:t>
      </w:r>
      <w:r w:rsidRPr="005675B2">
        <w:rPr>
          <w:rFonts w:hint="cs"/>
          <w:rtl/>
        </w:rPr>
        <w:t xml:space="preserve"> وأما إسماعيل بن عبد الرحمن السدي فقد وثقه أحمد والعجلي وغيرهما</w:t>
      </w:r>
      <w:r w:rsidR="000636C2">
        <w:rPr>
          <w:rFonts w:hint="cs"/>
          <w:rtl/>
        </w:rPr>
        <w:t>،</w:t>
      </w:r>
      <w:r w:rsidRPr="005675B2">
        <w:rPr>
          <w:rFonts w:hint="cs"/>
          <w:rtl/>
        </w:rPr>
        <w:t xml:space="preserve"> لكن ضعفه ابن معين والعقيلي</w:t>
      </w:r>
      <w:r w:rsidR="000636C2">
        <w:rPr>
          <w:rFonts w:hint="cs"/>
          <w:rtl/>
        </w:rPr>
        <w:t>،</w:t>
      </w:r>
      <w:r w:rsidRPr="005675B2">
        <w:rPr>
          <w:rFonts w:hint="cs"/>
          <w:rtl/>
        </w:rPr>
        <w:t xml:space="preserve"> وقال أبو زرعة</w:t>
      </w:r>
      <w:r w:rsidR="000636C2">
        <w:rPr>
          <w:rFonts w:hint="cs"/>
          <w:rtl/>
        </w:rPr>
        <w:t>:</w:t>
      </w:r>
      <w:r w:rsidRPr="005675B2">
        <w:rPr>
          <w:rFonts w:hint="cs"/>
          <w:rtl/>
        </w:rPr>
        <w:t xml:space="preserve"> لين</w:t>
      </w:r>
      <w:r w:rsidR="000636C2">
        <w:rPr>
          <w:rFonts w:hint="cs"/>
          <w:rtl/>
        </w:rPr>
        <w:t>،</w:t>
      </w:r>
      <w:r w:rsidRPr="005675B2">
        <w:rPr>
          <w:rFonts w:hint="cs"/>
          <w:rtl/>
        </w:rPr>
        <w:t xml:space="preserve"> وقال أبو حاتم</w:t>
      </w:r>
      <w:r w:rsidR="000636C2">
        <w:rPr>
          <w:rFonts w:hint="cs"/>
          <w:rtl/>
        </w:rPr>
        <w:t>:</w:t>
      </w:r>
      <w:r w:rsidRPr="005675B2">
        <w:rPr>
          <w:rFonts w:hint="cs"/>
          <w:rtl/>
        </w:rPr>
        <w:t xml:space="preserve"> يكتب حديثه</w:t>
      </w:r>
      <w:r w:rsidR="000636C2">
        <w:rPr>
          <w:rFonts w:hint="cs"/>
          <w:rtl/>
        </w:rPr>
        <w:t>،</w:t>
      </w:r>
      <w:r w:rsidRPr="005675B2">
        <w:rPr>
          <w:rFonts w:hint="cs"/>
          <w:rtl/>
        </w:rPr>
        <w:t xml:space="preserve"> فلا شك في أنه صدوق</w:t>
      </w:r>
      <w:r w:rsidR="000636C2">
        <w:rPr>
          <w:rFonts w:hint="cs"/>
          <w:rtl/>
        </w:rPr>
        <w:t>،</w:t>
      </w:r>
      <w:r w:rsidRPr="005675B2">
        <w:rPr>
          <w:rFonts w:hint="cs"/>
          <w:rtl/>
        </w:rPr>
        <w:t xml:space="preserve"> كما لا شك في أن له بعض الأوهام</w:t>
      </w:r>
      <w:r w:rsidR="000636C2">
        <w:rPr>
          <w:rFonts w:hint="cs"/>
          <w:rtl/>
        </w:rPr>
        <w:t>،</w:t>
      </w:r>
      <w:r w:rsidRPr="005675B2">
        <w:rPr>
          <w:rFonts w:hint="cs"/>
          <w:rtl/>
        </w:rPr>
        <w:t xml:space="preserve"> فمثل هذا السند إذا لم تعضده المتابعات فليس حجة في الأحكام</w:t>
      </w:r>
      <w:r w:rsidR="000636C2">
        <w:rPr>
          <w:rFonts w:hint="cs"/>
          <w:rtl/>
        </w:rPr>
        <w:t>،</w:t>
      </w:r>
      <w:r w:rsidRPr="005675B2">
        <w:rPr>
          <w:rFonts w:hint="cs"/>
          <w:rtl/>
        </w:rPr>
        <w:t xml:space="preserve"> فكيف يكون حجة في العقائد</w:t>
      </w:r>
      <w:r w:rsidR="000636C2">
        <w:rPr>
          <w:rFonts w:hint="cs"/>
          <w:rtl/>
        </w:rPr>
        <w:t>؟،</w:t>
      </w:r>
      <w:r w:rsidRPr="005675B2">
        <w:rPr>
          <w:rFonts w:hint="cs"/>
          <w:rtl/>
        </w:rPr>
        <w:t xml:space="preserve"> فاللفظ الذي يوهم التبعيض في حق الله تعالى ليس ثابتاً عن النبي صلى الله عليه وسلم ولا عن أنس ولا عن ابن عباس رضي الله عنهم</w:t>
      </w:r>
      <w:r w:rsidR="000636C2">
        <w:rPr>
          <w:rFonts w:hint="cs"/>
          <w:rtl/>
        </w:rPr>
        <w:t xml:space="preserve">، </w:t>
      </w:r>
      <w:r w:rsidRPr="005675B2">
        <w:rPr>
          <w:rFonts w:hint="cs"/>
          <w:rtl/>
        </w:rPr>
        <w:t>ه - - قال ابن تيمية</w:t>
      </w:r>
      <w:r w:rsidR="000636C2">
        <w:rPr>
          <w:rFonts w:hint="cs"/>
          <w:rtl/>
        </w:rPr>
        <w:t>:</w:t>
      </w:r>
      <w:r w:rsidRPr="005675B2">
        <w:rPr>
          <w:rFonts w:hint="cs"/>
          <w:rtl/>
        </w:rPr>
        <w:t xml:space="preserve"> </w:t>
      </w:r>
      <w:r w:rsidR="000636C2">
        <w:rPr>
          <w:rFonts w:hint="cs"/>
          <w:rtl/>
        </w:rPr>
        <w:t>[</w:t>
      </w:r>
      <w:r w:rsidRPr="005675B2">
        <w:rPr>
          <w:rFonts w:hint="cs"/>
          <w:rtl/>
        </w:rPr>
        <w:t>وروى الثوري وحماد بن سلمة وسفيان بن عيينة</w:t>
      </w:r>
      <w:r w:rsidR="000636C2">
        <w:rPr>
          <w:rFonts w:hint="cs"/>
          <w:rtl/>
        </w:rPr>
        <w:t>،</w:t>
      </w:r>
      <w:r w:rsidRPr="005675B2">
        <w:rPr>
          <w:rFonts w:hint="cs"/>
          <w:rtl/>
        </w:rPr>
        <w:t xml:space="preserve"> بعضهم عن ابن أبي نجيح وبعضهم عن منصور</w:t>
      </w:r>
      <w:r w:rsidR="000636C2">
        <w:rPr>
          <w:rFonts w:hint="cs"/>
          <w:rtl/>
        </w:rPr>
        <w:t>،</w:t>
      </w:r>
      <w:r w:rsidRPr="005675B2">
        <w:rPr>
          <w:rFonts w:hint="cs"/>
          <w:rtl/>
        </w:rPr>
        <w:t xml:space="preserve"> عن مجاهد</w:t>
      </w:r>
      <w:r w:rsidR="000636C2">
        <w:rPr>
          <w:rFonts w:hint="cs"/>
          <w:rtl/>
        </w:rPr>
        <w:t>،</w:t>
      </w:r>
      <w:r w:rsidRPr="005675B2">
        <w:rPr>
          <w:rFonts w:hint="cs"/>
          <w:rtl/>
        </w:rPr>
        <w:t xml:space="preserve"> عن عبيد بن عمير في قوله تعالى في قصة داود وإن له عندنا لزلفى وحسن مآب قال</w:t>
      </w:r>
      <w:r w:rsidR="000636C2">
        <w:rPr>
          <w:rFonts w:hint="cs"/>
          <w:rtl/>
        </w:rPr>
        <w:t>:</w:t>
      </w:r>
      <w:r w:rsidRPr="005675B2">
        <w:rPr>
          <w:rFonts w:hint="cs"/>
          <w:rtl/>
        </w:rPr>
        <w:t xml:space="preserve"> يدنيه حتى يمس بعضه</w:t>
      </w:r>
      <w:r w:rsidR="000636C2">
        <w:rPr>
          <w:rFonts w:hint="cs"/>
          <w:rtl/>
        </w:rPr>
        <w:t>]</w:t>
      </w:r>
      <w:r w:rsidRPr="005675B2">
        <w:rPr>
          <w:rFonts w:hint="cs"/>
          <w:rtl/>
        </w:rPr>
        <w:t xml:space="preserve"> [</w:t>
      </w:r>
      <w:r w:rsidRPr="005675B2">
        <w:rPr>
          <w:rFonts w:hint="cs"/>
          <w:sz w:val="24"/>
          <w:szCs w:val="24"/>
          <w:rtl/>
        </w:rPr>
        <w:t>التسعينية: ص 73 . وروي نحوه عن غيره من التابعين بسند ضعيف . أما السند إلى عبيد بن عمير فصحيح</w:t>
      </w:r>
      <w:r w:rsidR="000636C2">
        <w:rPr>
          <w:rFonts w:hint="cs"/>
          <w:sz w:val="24"/>
          <w:szCs w:val="24"/>
          <w:rtl/>
        </w:rPr>
        <w:t>]</w:t>
      </w:r>
      <w:r w:rsidR="000636C2">
        <w:rPr>
          <w:rFonts w:hint="cs"/>
          <w:rtl/>
        </w:rPr>
        <w:t xml:space="preserve">، </w:t>
      </w:r>
      <w:r w:rsidRPr="005675B2">
        <w:rPr>
          <w:rFonts w:hint="cs"/>
          <w:rtl/>
        </w:rPr>
        <w:t>أقول</w:t>
      </w:r>
      <w:r w:rsidR="000636C2">
        <w:rPr>
          <w:rFonts w:hint="cs"/>
          <w:rtl/>
        </w:rPr>
        <w:t>:</w:t>
      </w:r>
      <w:r w:rsidRPr="005675B2">
        <w:rPr>
          <w:rFonts w:hint="cs"/>
          <w:rtl/>
        </w:rPr>
        <w:t xml:space="preserve"> عبيد بن عمير من التابعين</w:t>
      </w:r>
      <w:r w:rsidR="000636C2">
        <w:rPr>
          <w:rFonts w:hint="cs"/>
          <w:rtl/>
        </w:rPr>
        <w:t>،</w:t>
      </w:r>
      <w:r w:rsidRPr="005675B2">
        <w:rPr>
          <w:rFonts w:hint="cs"/>
          <w:rtl/>
        </w:rPr>
        <w:t xml:space="preserve"> وقول التابعي ليس بحجة في الأحكام</w:t>
      </w:r>
      <w:r w:rsidR="000636C2">
        <w:rPr>
          <w:rFonts w:hint="cs"/>
          <w:rtl/>
        </w:rPr>
        <w:t>،</w:t>
      </w:r>
      <w:r w:rsidRPr="005675B2">
        <w:rPr>
          <w:rFonts w:hint="cs"/>
          <w:rtl/>
        </w:rPr>
        <w:t xml:space="preserve"> فكيف يكون حجة في العقائد</w:t>
      </w:r>
      <w:r w:rsidR="000636C2">
        <w:rPr>
          <w:rFonts w:hint="cs"/>
          <w:rtl/>
        </w:rPr>
        <w:t>؟،</w:t>
      </w:r>
      <w:r w:rsidRPr="005675B2">
        <w:rPr>
          <w:rFonts w:hint="cs"/>
          <w:rtl/>
        </w:rPr>
        <w:t xml:space="preserve"> وربما كان مصدر هذا القول رواية من روايات أهل الكتاب</w:t>
      </w:r>
      <w:r w:rsidR="000636C2">
        <w:rPr>
          <w:rFonts w:hint="cs"/>
          <w:rtl/>
        </w:rPr>
        <w:t>،</w:t>
      </w:r>
      <w:r w:rsidRPr="005675B2">
        <w:rPr>
          <w:rFonts w:hint="cs"/>
          <w:rtl/>
        </w:rPr>
        <w:t xml:space="preserve"> والله أعلم</w:t>
      </w:r>
      <w:r w:rsidR="000636C2">
        <w:rPr>
          <w:rFonts w:hint="cs"/>
          <w:rtl/>
        </w:rPr>
        <w:t xml:space="preserve">، </w:t>
      </w:r>
      <w:r w:rsidRPr="005675B2">
        <w:rPr>
          <w:rFonts w:hint="cs"/>
          <w:rtl/>
        </w:rPr>
        <w:t>و</w:t>
      </w:r>
      <w:r w:rsidR="000636C2">
        <w:rPr>
          <w:rFonts w:hint="cs"/>
          <w:rtl/>
        </w:rPr>
        <w:t xml:space="preserve"> </w:t>
      </w:r>
      <w:r w:rsidRPr="005675B2">
        <w:rPr>
          <w:rFonts w:hint="cs"/>
          <w:rtl/>
        </w:rPr>
        <w:t>- نقل ابن تيمية مع الإقرار أن الإمام أحمد قال</w:t>
      </w:r>
      <w:r w:rsidR="000636C2">
        <w:rPr>
          <w:rFonts w:hint="cs"/>
          <w:rtl/>
        </w:rPr>
        <w:t>:</w:t>
      </w:r>
      <w:r w:rsidRPr="005675B2">
        <w:rPr>
          <w:rFonts w:hint="cs"/>
          <w:rtl/>
        </w:rPr>
        <w:t xml:space="preserve"> </w:t>
      </w:r>
      <w:r w:rsidR="000636C2">
        <w:rPr>
          <w:rFonts w:hint="cs"/>
          <w:rtl/>
        </w:rPr>
        <w:t>[</w:t>
      </w:r>
      <w:r w:rsidRPr="005675B2">
        <w:rPr>
          <w:rFonts w:hint="cs"/>
          <w:rtl/>
        </w:rPr>
        <w:t>وحديث الزهري قال</w:t>
      </w:r>
      <w:r w:rsidR="000636C2">
        <w:rPr>
          <w:rFonts w:hint="cs"/>
          <w:rtl/>
        </w:rPr>
        <w:t>:</w:t>
      </w:r>
      <w:r w:rsidRPr="005675B2">
        <w:rPr>
          <w:rFonts w:hint="cs"/>
          <w:rtl/>
        </w:rPr>
        <w:t xml:space="preserve"> لما سمع موسى كلام ربه قال</w:t>
      </w:r>
      <w:r w:rsidR="000636C2">
        <w:rPr>
          <w:rFonts w:hint="cs"/>
          <w:rtl/>
        </w:rPr>
        <w:t>:</w:t>
      </w:r>
      <w:r w:rsidRPr="005675B2">
        <w:rPr>
          <w:rFonts w:hint="cs"/>
          <w:rtl/>
        </w:rPr>
        <w:t xml:space="preserve"> يا رب هذا الكلام الذي سمعته هو كلامك</w:t>
      </w:r>
      <w:r w:rsidR="000636C2">
        <w:rPr>
          <w:rFonts w:hint="cs"/>
          <w:rtl/>
        </w:rPr>
        <w:t>؟،</w:t>
      </w:r>
      <w:r w:rsidRPr="005675B2">
        <w:rPr>
          <w:rFonts w:hint="cs"/>
          <w:rtl/>
        </w:rPr>
        <w:t xml:space="preserve"> قال</w:t>
      </w:r>
      <w:r w:rsidR="000636C2">
        <w:rPr>
          <w:rFonts w:hint="cs"/>
          <w:rtl/>
        </w:rPr>
        <w:t>:</w:t>
      </w:r>
      <w:r w:rsidRPr="005675B2">
        <w:rPr>
          <w:rFonts w:hint="cs"/>
          <w:rtl/>
        </w:rPr>
        <w:t xml:space="preserve"> نعم</w:t>
      </w:r>
      <w:r w:rsidR="000636C2">
        <w:rPr>
          <w:rFonts w:hint="cs"/>
          <w:rtl/>
        </w:rPr>
        <w:t>،</w:t>
      </w:r>
      <w:r w:rsidRPr="005675B2">
        <w:rPr>
          <w:rFonts w:hint="cs"/>
          <w:rtl/>
        </w:rPr>
        <w:t xml:space="preserve"> يا موسى</w:t>
      </w:r>
      <w:r w:rsidR="000636C2">
        <w:rPr>
          <w:rFonts w:hint="cs"/>
          <w:rtl/>
        </w:rPr>
        <w:t>،</w:t>
      </w:r>
      <w:r w:rsidRPr="005675B2">
        <w:rPr>
          <w:rFonts w:hint="cs"/>
          <w:rtl/>
        </w:rPr>
        <w:t xml:space="preserve"> هو كلامي</w:t>
      </w:r>
      <w:r w:rsidR="000636C2">
        <w:rPr>
          <w:rFonts w:hint="cs"/>
          <w:rtl/>
        </w:rPr>
        <w:t>،</w:t>
      </w:r>
      <w:r w:rsidRPr="005675B2">
        <w:rPr>
          <w:rFonts w:hint="cs"/>
          <w:rtl/>
        </w:rPr>
        <w:t xml:space="preserve"> وإنما كلمتك بقوة عشرة آلاف لسان</w:t>
      </w:r>
      <w:r w:rsidR="000636C2">
        <w:rPr>
          <w:rFonts w:hint="cs"/>
          <w:rtl/>
        </w:rPr>
        <w:t>،</w:t>
      </w:r>
      <w:r w:rsidRPr="005675B2">
        <w:rPr>
          <w:rFonts w:hint="cs"/>
          <w:rtl/>
        </w:rPr>
        <w:t xml:space="preserve"> ولي قوة الألسن كلها</w:t>
      </w:r>
      <w:r w:rsidR="000636C2">
        <w:rPr>
          <w:rFonts w:hint="cs"/>
          <w:rtl/>
        </w:rPr>
        <w:t>،</w:t>
      </w:r>
      <w:r w:rsidRPr="005675B2">
        <w:rPr>
          <w:rFonts w:hint="cs"/>
          <w:rtl/>
        </w:rPr>
        <w:t xml:space="preserve"> وأنا أقوى من ذلك</w:t>
      </w:r>
      <w:r w:rsidR="000636C2">
        <w:rPr>
          <w:rFonts w:hint="cs"/>
          <w:rtl/>
        </w:rPr>
        <w:t>،</w:t>
      </w:r>
      <w:r w:rsidRPr="005675B2">
        <w:rPr>
          <w:rFonts w:hint="cs"/>
          <w:rtl/>
        </w:rPr>
        <w:t xml:space="preserve"> وإنما كلمتك على قدر ما تطيق</w:t>
      </w:r>
      <w:r w:rsidR="000636C2">
        <w:rPr>
          <w:rFonts w:hint="cs"/>
          <w:rtl/>
        </w:rPr>
        <w:t>،</w:t>
      </w:r>
      <w:r w:rsidRPr="005675B2">
        <w:rPr>
          <w:rFonts w:hint="cs"/>
          <w:rtl/>
        </w:rPr>
        <w:t xml:space="preserve"> ولو كلمتك بأكثر من ذلك لمتَّ</w:t>
      </w:r>
      <w:r w:rsidR="000636C2">
        <w:rPr>
          <w:rFonts w:hint="cs"/>
          <w:rtl/>
        </w:rPr>
        <w:t>،</w:t>
      </w:r>
      <w:r w:rsidRPr="005675B2">
        <w:rPr>
          <w:rFonts w:hint="cs"/>
          <w:rtl/>
        </w:rPr>
        <w:t xml:space="preserve"> قال</w:t>
      </w:r>
      <w:r w:rsidR="000636C2">
        <w:rPr>
          <w:rFonts w:hint="cs"/>
          <w:rtl/>
        </w:rPr>
        <w:t>:</w:t>
      </w:r>
      <w:r w:rsidRPr="005675B2">
        <w:rPr>
          <w:rFonts w:hint="cs"/>
          <w:rtl/>
        </w:rPr>
        <w:t xml:space="preserve"> فلما رجع موسى إلى قومه قالوا</w:t>
      </w:r>
      <w:r w:rsidR="000636C2">
        <w:rPr>
          <w:rFonts w:hint="cs"/>
          <w:rtl/>
        </w:rPr>
        <w:t>:</w:t>
      </w:r>
      <w:r w:rsidRPr="005675B2">
        <w:rPr>
          <w:rFonts w:hint="cs"/>
          <w:rtl/>
        </w:rPr>
        <w:t xml:space="preserve"> صف لنا كلام ربك</w:t>
      </w:r>
      <w:r w:rsidR="000636C2">
        <w:rPr>
          <w:rFonts w:hint="cs"/>
          <w:rtl/>
        </w:rPr>
        <w:t>،</w:t>
      </w:r>
      <w:r w:rsidRPr="005675B2">
        <w:rPr>
          <w:rFonts w:hint="cs"/>
          <w:rtl/>
        </w:rPr>
        <w:t xml:space="preserve"> قال</w:t>
      </w:r>
      <w:r w:rsidR="000636C2">
        <w:rPr>
          <w:rFonts w:hint="cs"/>
          <w:rtl/>
        </w:rPr>
        <w:t>:</w:t>
      </w:r>
      <w:r w:rsidRPr="005675B2">
        <w:rPr>
          <w:rFonts w:hint="cs"/>
          <w:rtl/>
        </w:rPr>
        <w:t xml:space="preserve"> سبحان الله</w:t>
      </w:r>
      <w:r w:rsidR="000636C2">
        <w:rPr>
          <w:rFonts w:hint="cs"/>
          <w:rtl/>
        </w:rPr>
        <w:t>،</w:t>
      </w:r>
      <w:r w:rsidRPr="005675B2">
        <w:rPr>
          <w:rFonts w:hint="cs"/>
          <w:rtl/>
        </w:rPr>
        <w:t xml:space="preserve"> وهل أستطيع أن أصفه لكم</w:t>
      </w:r>
      <w:r w:rsidR="000636C2">
        <w:rPr>
          <w:rFonts w:hint="cs"/>
          <w:rtl/>
        </w:rPr>
        <w:t>؟،</w:t>
      </w:r>
      <w:r w:rsidRPr="005675B2">
        <w:rPr>
          <w:rFonts w:hint="cs"/>
          <w:rtl/>
        </w:rPr>
        <w:t xml:space="preserve"> قالوا</w:t>
      </w:r>
      <w:r w:rsidR="000636C2">
        <w:rPr>
          <w:rFonts w:hint="cs"/>
          <w:rtl/>
        </w:rPr>
        <w:t>:</w:t>
      </w:r>
      <w:r w:rsidRPr="005675B2">
        <w:rPr>
          <w:rFonts w:hint="cs"/>
          <w:rtl/>
        </w:rPr>
        <w:t xml:space="preserve"> فشبهه لنا</w:t>
      </w:r>
      <w:r w:rsidR="000636C2">
        <w:rPr>
          <w:rFonts w:hint="cs"/>
          <w:rtl/>
        </w:rPr>
        <w:t>،</w:t>
      </w:r>
      <w:r w:rsidRPr="005675B2">
        <w:rPr>
          <w:rFonts w:hint="cs"/>
          <w:rtl/>
        </w:rPr>
        <w:t xml:space="preserve"> قال</w:t>
      </w:r>
      <w:r w:rsidR="000636C2">
        <w:rPr>
          <w:rFonts w:hint="cs"/>
          <w:rtl/>
        </w:rPr>
        <w:t>:</w:t>
      </w:r>
      <w:r w:rsidRPr="005675B2">
        <w:rPr>
          <w:rFonts w:hint="cs"/>
          <w:rtl/>
        </w:rPr>
        <w:t xml:space="preserve"> أسمعتم الصواعق التي تقبل في أحلى حلاوة سمعتموها</w:t>
      </w:r>
      <w:r w:rsidR="000636C2">
        <w:rPr>
          <w:rFonts w:hint="cs"/>
          <w:rtl/>
        </w:rPr>
        <w:t>؟</w:t>
      </w:r>
      <w:r w:rsidRPr="005675B2">
        <w:rPr>
          <w:rFonts w:hint="cs"/>
          <w:rtl/>
        </w:rPr>
        <w:t xml:space="preserve"> فكأنه مثله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ص 91</w:t>
      </w:r>
      <w:r w:rsidR="000636C2">
        <w:rPr>
          <w:rFonts w:hint="cs"/>
          <w:sz w:val="24"/>
          <w:szCs w:val="24"/>
          <w:rtl/>
        </w:rPr>
        <w:t>،</w:t>
      </w:r>
      <w:r w:rsidRPr="005675B2">
        <w:rPr>
          <w:rFonts w:hint="cs"/>
          <w:sz w:val="24"/>
          <w:szCs w:val="24"/>
          <w:rtl/>
        </w:rPr>
        <w:t xml:space="preserve"> 107 . وهذا النص موجود في كتاب الرد على الجهمية والزنادقة للإمام أحمد: ص 132وفي النفس شيء من صحة نسبة هذه النسخة بتمامها للإمام أحمد</w:t>
      </w:r>
      <w:r w:rsidR="000636C2">
        <w:rPr>
          <w:rFonts w:hint="cs"/>
          <w:sz w:val="24"/>
          <w:szCs w:val="24"/>
          <w:rtl/>
        </w:rPr>
        <w:t>،</w:t>
      </w:r>
      <w:r w:rsidRPr="005675B2">
        <w:rPr>
          <w:rFonts w:hint="cs"/>
          <w:sz w:val="24"/>
          <w:szCs w:val="24"/>
          <w:rtl/>
        </w:rPr>
        <w:t xml:space="preserve"> وفي سندها الخضر بن المثنى</w:t>
      </w:r>
      <w:r w:rsidR="000636C2">
        <w:rPr>
          <w:rFonts w:hint="cs"/>
          <w:sz w:val="24"/>
          <w:szCs w:val="24"/>
          <w:rtl/>
        </w:rPr>
        <w:t>،</w:t>
      </w:r>
      <w:r w:rsidRPr="005675B2">
        <w:rPr>
          <w:rFonts w:hint="cs"/>
          <w:sz w:val="24"/>
          <w:szCs w:val="24"/>
          <w:rtl/>
        </w:rPr>
        <w:t xml:space="preserve"> وقد قال عنه ابن رجب في القواعد</w:t>
      </w:r>
      <w:r w:rsidR="000636C2">
        <w:rPr>
          <w:rFonts w:hint="cs"/>
          <w:sz w:val="24"/>
          <w:szCs w:val="24"/>
          <w:rtl/>
        </w:rPr>
        <w:t>)</w:t>
      </w:r>
      <w:r w:rsidRPr="005675B2">
        <w:rPr>
          <w:rFonts w:hint="cs"/>
          <w:sz w:val="24"/>
          <w:szCs w:val="24"/>
          <w:rtl/>
        </w:rPr>
        <w:t xml:space="preserve"> ص 230 (</w:t>
      </w:r>
      <w:r w:rsidR="000636C2">
        <w:rPr>
          <w:rFonts w:hint="cs"/>
          <w:sz w:val="24"/>
          <w:szCs w:val="24"/>
          <w:rtl/>
        </w:rPr>
        <w:t>:</w:t>
      </w:r>
      <w:r w:rsidRPr="005675B2">
        <w:rPr>
          <w:rFonts w:hint="cs"/>
          <w:sz w:val="24"/>
          <w:szCs w:val="24"/>
          <w:rtl/>
        </w:rPr>
        <w:t xml:space="preserve"> مجهول</w:t>
      </w:r>
      <w:r w:rsidR="000636C2">
        <w:rPr>
          <w:rFonts w:hint="cs"/>
          <w:sz w:val="24"/>
          <w:szCs w:val="24"/>
          <w:rtl/>
        </w:rPr>
        <w:t>،</w:t>
      </w:r>
      <w:r w:rsidRPr="005675B2">
        <w:rPr>
          <w:rFonts w:hint="cs"/>
          <w:sz w:val="24"/>
          <w:szCs w:val="24"/>
          <w:rtl/>
        </w:rPr>
        <w:t xml:space="preserve"> تفرد عن عبد الله بن أحمد برواية المناكير التي لا يتابع عليها . وإذا كان الخلال قد قال إنه كتبها من خط عبد الله بن أحمد فإن الذي دفع إليه النسخة هو الخضر هذا</w:t>
      </w:r>
      <w:r w:rsidR="000636C2">
        <w:rPr>
          <w:rFonts w:hint="cs"/>
          <w:sz w:val="24"/>
          <w:szCs w:val="24"/>
          <w:rtl/>
        </w:rPr>
        <w:t>،</w:t>
      </w:r>
      <w:r w:rsidRPr="005675B2">
        <w:rPr>
          <w:rFonts w:hint="cs"/>
          <w:sz w:val="24"/>
          <w:szCs w:val="24"/>
          <w:rtl/>
        </w:rPr>
        <w:t xml:space="preserve"> فهل حرّف منها شيئاً أو زاد فيها مناكير؟</w:t>
      </w:r>
      <w:r w:rsidR="000636C2">
        <w:rPr>
          <w:rFonts w:hint="cs"/>
          <w:sz w:val="24"/>
          <w:szCs w:val="24"/>
          <w:rtl/>
        </w:rPr>
        <w:t>!</w:t>
      </w:r>
      <w:r w:rsidRPr="005675B2">
        <w:rPr>
          <w:rFonts w:hint="cs"/>
          <w:sz w:val="24"/>
          <w:szCs w:val="24"/>
          <w:rtl/>
        </w:rPr>
        <w:t>! الله أعلم</w:t>
      </w:r>
      <w:r w:rsidR="000636C2">
        <w:rPr>
          <w:rFonts w:hint="cs"/>
          <w:sz w:val="24"/>
          <w:szCs w:val="24"/>
          <w:rtl/>
        </w:rPr>
        <w:t>]</w:t>
      </w:r>
      <w:r w:rsidR="000636C2">
        <w:rPr>
          <w:rFonts w:hint="cs"/>
          <w:rtl/>
        </w:rPr>
        <w:t>،</w:t>
      </w:r>
      <w:r w:rsidRPr="005675B2">
        <w:rPr>
          <w:rFonts w:hint="cs"/>
          <w:rtl/>
        </w:rPr>
        <w:t xml:space="preserve"> وعلق ابن تيمية فقال</w:t>
      </w:r>
      <w:r w:rsidR="000636C2">
        <w:rPr>
          <w:rFonts w:hint="cs"/>
          <w:rtl/>
        </w:rPr>
        <w:t>:</w:t>
      </w:r>
      <w:r w:rsidRPr="005675B2">
        <w:rPr>
          <w:rFonts w:hint="cs"/>
          <w:rtl/>
        </w:rPr>
        <w:t xml:space="preserve"> </w:t>
      </w:r>
      <w:r w:rsidR="000636C2">
        <w:rPr>
          <w:rFonts w:hint="cs"/>
          <w:rtl/>
        </w:rPr>
        <w:t>[</w:t>
      </w:r>
      <w:r w:rsidRPr="005675B2">
        <w:rPr>
          <w:rFonts w:hint="cs"/>
          <w:rtl/>
        </w:rPr>
        <w:t>هو صريح في أنه كلمه بصوت</w:t>
      </w:r>
      <w:r w:rsidR="000636C2">
        <w:rPr>
          <w:rFonts w:hint="cs"/>
          <w:rtl/>
        </w:rPr>
        <w:t>،</w:t>
      </w:r>
      <w:r w:rsidRPr="005675B2">
        <w:rPr>
          <w:rFonts w:hint="cs"/>
          <w:rtl/>
        </w:rPr>
        <w:t xml:space="preserve"> وكان يمكنه أن يتكلم بأقوى من ذلك الصوت وبدون ذلك الصوت</w:t>
      </w:r>
      <w:r w:rsidR="000636C2">
        <w:rPr>
          <w:rFonts w:hint="cs"/>
          <w:rtl/>
        </w:rPr>
        <w:t>]</w:t>
      </w:r>
      <w:r w:rsidRPr="005675B2">
        <w:rPr>
          <w:rFonts w:hint="cs"/>
          <w:rtl/>
        </w:rPr>
        <w:t xml:space="preserve"> [</w:t>
      </w:r>
      <w:r w:rsidRPr="005675B2">
        <w:rPr>
          <w:rFonts w:hint="cs"/>
          <w:sz w:val="24"/>
          <w:szCs w:val="24"/>
          <w:rtl/>
        </w:rPr>
        <w:t>التسعينية: ص 107 . ولعل في هذا النص تصحيفاً</w:t>
      </w:r>
      <w:r w:rsidR="000636C2">
        <w:rPr>
          <w:rFonts w:hint="cs"/>
          <w:sz w:val="24"/>
          <w:szCs w:val="24"/>
          <w:rtl/>
        </w:rPr>
        <w:t>،</w:t>
      </w:r>
      <w:r w:rsidRPr="005675B2">
        <w:rPr>
          <w:rFonts w:hint="cs"/>
          <w:sz w:val="24"/>
          <w:szCs w:val="24"/>
          <w:rtl/>
        </w:rPr>
        <w:t xml:space="preserve"> وربما كان الأصل </w:t>
      </w:r>
      <w:r w:rsidR="000636C2">
        <w:rPr>
          <w:rFonts w:hint="cs"/>
          <w:sz w:val="24"/>
          <w:szCs w:val="24"/>
          <w:rtl/>
        </w:rPr>
        <w:t>(</w:t>
      </w:r>
      <w:r w:rsidRPr="005675B2">
        <w:rPr>
          <w:rFonts w:hint="cs"/>
          <w:sz w:val="24"/>
          <w:szCs w:val="24"/>
          <w:rtl/>
        </w:rPr>
        <w:t>وبأدنى من ذلك الصوت</w:t>
      </w:r>
      <w:r w:rsidR="000636C2">
        <w:rPr>
          <w:rFonts w:hint="cs"/>
          <w:sz w:val="24"/>
          <w:szCs w:val="24"/>
          <w:rtl/>
        </w:rPr>
        <w:t>)،</w:t>
      </w:r>
      <w:r w:rsidRPr="005675B2">
        <w:rPr>
          <w:rFonts w:hint="cs"/>
          <w:rtl/>
        </w:rPr>
        <w:t>]</w:t>
      </w:r>
      <w:r w:rsidR="000636C2">
        <w:rPr>
          <w:rFonts w:hint="cs"/>
          <w:rtl/>
        </w:rPr>
        <w:t>،</w:t>
      </w:r>
    </w:p>
    <w:p w14:paraId="5DD5F379" w14:textId="2ADCB5AD" w:rsidR="009C32A0" w:rsidRPr="005675B2" w:rsidRDefault="009C32A0" w:rsidP="000636C2">
      <w:pPr>
        <w:rPr>
          <w:b/>
          <w:rtl/>
        </w:rPr>
      </w:pPr>
      <w:r w:rsidRPr="005675B2">
        <w:rPr>
          <w:rFonts w:hint="cs"/>
          <w:bCs/>
          <w:rtl/>
        </w:rPr>
        <w:t>أقول</w:t>
      </w:r>
      <w:r w:rsidR="000636C2">
        <w:rPr>
          <w:rFonts w:hint="cs"/>
          <w:rtl/>
        </w:rPr>
        <w:t>:</w:t>
      </w:r>
      <w:r w:rsidRPr="005675B2">
        <w:rPr>
          <w:rFonts w:hint="cs"/>
          <w:rtl/>
        </w:rPr>
        <w:t xml:space="preserve"> لم يبحث ابن تيمية عن إسناد مرسل الزهري قبل اعتماده مصدراً من مصادر العقيدة</w:t>
      </w:r>
      <w:r w:rsidR="000636C2">
        <w:rPr>
          <w:rFonts w:hint="cs"/>
          <w:rtl/>
        </w:rPr>
        <w:t>،</w:t>
      </w:r>
      <w:r w:rsidRPr="005675B2">
        <w:rPr>
          <w:rFonts w:hint="cs"/>
          <w:rtl/>
        </w:rPr>
        <w:t xml:space="preserve"> وقد رواه البيهقي في الأسماء والصفات</w:t>
      </w:r>
      <w:r w:rsidR="000636C2">
        <w:rPr>
          <w:rFonts w:hint="cs"/>
          <w:rtl/>
        </w:rPr>
        <w:t>،</w:t>
      </w:r>
      <w:r w:rsidRPr="005675B2">
        <w:rPr>
          <w:rFonts w:hint="cs"/>
          <w:rtl/>
        </w:rPr>
        <w:t xml:space="preserve"> من طريق عبد الرزاق عن معمر عن الزهري عن أبي بكر بن عبدالرحمن بن الحارث عن جرير بن جابر الخثعمي عن كعب [</w:t>
      </w:r>
      <w:r w:rsidRPr="005675B2">
        <w:rPr>
          <w:rFonts w:hint="cs"/>
          <w:sz w:val="24"/>
          <w:szCs w:val="24"/>
          <w:rtl/>
        </w:rPr>
        <w:t>الأسماء والصفات للبيهقي: ص 349 . وهو في السنة لعبد الله بن أحمد من طرق عن معمر به . وأبو بكر بن عبدالرحمن بن الحارث ثقة</w:t>
      </w:r>
      <w:r w:rsidR="000636C2">
        <w:rPr>
          <w:rFonts w:hint="cs"/>
          <w:sz w:val="24"/>
          <w:szCs w:val="24"/>
          <w:rtl/>
        </w:rPr>
        <w:t>،</w:t>
      </w:r>
      <w:r w:rsidRPr="005675B2">
        <w:rPr>
          <w:rFonts w:hint="cs"/>
          <w:sz w:val="24"/>
          <w:szCs w:val="24"/>
          <w:rtl/>
        </w:rPr>
        <w:t xml:space="preserve"> وجرير بن جابر مجهول</w:t>
      </w:r>
      <w:r w:rsidR="000636C2">
        <w:rPr>
          <w:rFonts w:hint="cs"/>
          <w:sz w:val="24"/>
          <w:szCs w:val="24"/>
          <w:rtl/>
        </w:rPr>
        <w:t>،</w:t>
      </w:r>
      <w:r w:rsidRPr="005675B2">
        <w:rPr>
          <w:rFonts w:hint="cs"/>
          <w:sz w:val="24"/>
          <w:szCs w:val="24"/>
          <w:rtl/>
        </w:rPr>
        <w:t xml:space="preserve"> وكعب هو كعب الأحبار الذي أسلم في خلافة عمر رضي الله عنه</w:t>
      </w:r>
      <w:r w:rsidR="000636C2">
        <w:rPr>
          <w:rFonts w:hint="cs"/>
          <w:sz w:val="24"/>
          <w:szCs w:val="24"/>
          <w:rtl/>
        </w:rPr>
        <w:t>،</w:t>
      </w:r>
      <w:r w:rsidRPr="005675B2">
        <w:rPr>
          <w:rFonts w:hint="cs"/>
          <w:sz w:val="24"/>
          <w:szCs w:val="24"/>
          <w:rtl/>
        </w:rPr>
        <w:t xml:space="preserve"> وهو من مسلمة أهل الكتاب</w:t>
      </w:r>
      <w:r w:rsidR="000636C2">
        <w:rPr>
          <w:rFonts w:hint="cs"/>
          <w:sz w:val="24"/>
          <w:szCs w:val="24"/>
          <w:rtl/>
        </w:rPr>
        <w:t>،</w:t>
      </w:r>
      <w:r w:rsidRPr="005675B2">
        <w:rPr>
          <w:rFonts w:hint="cs"/>
          <w:sz w:val="24"/>
          <w:szCs w:val="24"/>
          <w:rtl/>
        </w:rPr>
        <w:t xml:space="preserve"> إذ كان يهودياً قبل إسلامه</w:t>
      </w:r>
      <w:r w:rsidR="000636C2">
        <w:rPr>
          <w:rFonts w:hint="cs"/>
          <w:sz w:val="24"/>
          <w:szCs w:val="24"/>
          <w:rtl/>
        </w:rPr>
        <w:t>،</w:t>
      </w:r>
      <w:r w:rsidRPr="005675B2">
        <w:rPr>
          <w:rFonts w:hint="cs"/>
          <w:sz w:val="24"/>
          <w:szCs w:val="24"/>
          <w:rtl/>
        </w:rPr>
        <w:t xml:space="preserve"> وكان كثيراً ما ينقل عن صحف أهل الكتاب</w:t>
      </w:r>
      <w:r w:rsidR="000636C2">
        <w:rPr>
          <w:rFonts w:hint="cs"/>
          <w:sz w:val="24"/>
          <w:szCs w:val="24"/>
          <w:rtl/>
        </w:rPr>
        <w:t>]</w:t>
      </w:r>
      <w:r w:rsidR="000636C2">
        <w:rPr>
          <w:rFonts w:hint="cs"/>
          <w:rtl/>
        </w:rPr>
        <w:t>،</w:t>
      </w:r>
      <w:r w:rsidRPr="005675B2">
        <w:rPr>
          <w:rFonts w:hint="cs"/>
          <w:rtl/>
        </w:rPr>
        <w:t xml:space="preserve"> فانظر كيف صارت أقوال كعب الأحبار معتمدة في العقيدة</w:t>
      </w:r>
      <w:r w:rsidR="000636C2">
        <w:rPr>
          <w:rFonts w:hint="cs"/>
          <w:rtl/>
        </w:rPr>
        <w:t xml:space="preserve">!، </w:t>
      </w:r>
      <w:r w:rsidRPr="005675B2">
        <w:rPr>
          <w:rFonts w:hint="cs"/>
          <w:rtl/>
        </w:rPr>
        <w:t>وقد روى البيهقي نحوه من طريقين عن علي بن عاصم أنه قال</w:t>
      </w:r>
      <w:r w:rsidR="000636C2">
        <w:rPr>
          <w:rFonts w:hint="cs"/>
          <w:rtl/>
        </w:rPr>
        <w:t>:</w:t>
      </w:r>
      <w:r w:rsidRPr="005675B2">
        <w:rPr>
          <w:rFonts w:hint="cs"/>
          <w:rtl/>
        </w:rPr>
        <w:t xml:space="preserve"> أخبرنا الفضل بن عيسى قال</w:t>
      </w:r>
      <w:r w:rsidR="000636C2">
        <w:rPr>
          <w:rFonts w:hint="cs"/>
          <w:rtl/>
        </w:rPr>
        <w:t>:</w:t>
      </w:r>
      <w:r w:rsidRPr="005675B2">
        <w:rPr>
          <w:rFonts w:hint="cs"/>
          <w:rtl/>
        </w:rPr>
        <w:t xml:space="preserve"> حدثنا محمد بن المنكدر قال</w:t>
      </w:r>
      <w:r w:rsidR="000636C2">
        <w:rPr>
          <w:rFonts w:hint="cs"/>
          <w:rtl/>
        </w:rPr>
        <w:t>:</w:t>
      </w:r>
      <w:r w:rsidRPr="005675B2">
        <w:rPr>
          <w:rFonts w:hint="cs"/>
          <w:rtl/>
        </w:rPr>
        <w:t xml:space="preserve"> حدثنا جابر بن عبد الله عن رسول الله صلى الله عليه وسلم </w:t>
      </w:r>
      <w:r w:rsidR="000636C2">
        <w:rPr>
          <w:rFonts w:hint="cs"/>
          <w:rtl/>
        </w:rPr>
        <w:t>[</w:t>
      </w:r>
      <w:r w:rsidRPr="005675B2">
        <w:rPr>
          <w:rFonts w:hint="cs"/>
          <w:sz w:val="24"/>
          <w:szCs w:val="24"/>
          <w:rtl/>
        </w:rPr>
        <w:t>الأسماء والصفات للبيهقي: ص 348</w:t>
      </w:r>
      <w:r w:rsidR="000636C2">
        <w:rPr>
          <w:rFonts w:hint="cs"/>
          <w:sz w:val="24"/>
          <w:szCs w:val="24"/>
          <w:rtl/>
        </w:rPr>
        <w:t>]</w:t>
      </w:r>
      <w:r w:rsidRPr="005675B2">
        <w:rPr>
          <w:rFonts w:hint="cs"/>
          <w:rtl/>
        </w:rPr>
        <w:t>، لكن لا بد من النظر في السند أولاً</w:t>
      </w:r>
      <w:r w:rsidR="000636C2">
        <w:rPr>
          <w:rFonts w:hint="cs"/>
          <w:rtl/>
        </w:rPr>
        <w:t>،</w:t>
      </w:r>
      <w:r w:rsidRPr="005675B2">
        <w:rPr>
          <w:rFonts w:hint="cs"/>
          <w:rtl/>
        </w:rPr>
        <w:t xml:space="preserve"> فأما علي بن عاصم فهو الواسطي وهو ضعيف</w:t>
      </w:r>
      <w:r w:rsidR="000636C2">
        <w:rPr>
          <w:rFonts w:hint="cs"/>
          <w:rtl/>
        </w:rPr>
        <w:t>،</w:t>
      </w:r>
      <w:r w:rsidRPr="005675B2">
        <w:rPr>
          <w:rFonts w:hint="cs"/>
          <w:rtl/>
        </w:rPr>
        <w:t xml:space="preserve"> وكان يخطئ ويصرُّ على الخطأ فاتهمه لذلك عدد من الأئمة بالكذب</w:t>
      </w:r>
      <w:r w:rsidR="000636C2">
        <w:rPr>
          <w:rFonts w:hint="cs"/>
          <w:rtl/>
        </w:rPr>
        <w:t>،</w:t>
      </w:r>
      <w:r w:rsidRPr="005675B2">
        <w:rPr>
          <w:rFonts w:hint="cs"/>
          <w:rtl/>
        </w:rPr>
        <w:t xml:space="preserve"> وأما الفضل بن عيسى فهو الرقاشي</w:t>
      </w:r>
      <w:r w:rsidR="000636C2">
        <w:rPr>
          <w:rFonts w:hint="cs"/>
          <w:rtl/>
        </w:rPr>
        <w:t>،</w:t>
      </w:r>
      <w:r w:rsidRPr="005675B2">
        <w:rPr>
          <w:rFonts w:hint="cs"/>
          <w:rtl/>
        </w:rPr>
        <w:t xml:space="preserve"> وقد اتفقوا على تضعيفه</w:t>
      </w:r>
      <w:r w:rsidR="000636C2">
        <w:rPr>
          <w:rFonts w:hint="cs"/>
          <w:rtl/>
        </w:rPr>
        <w:t>،</w:t>
      </w:r>
      <w:r w:rsidRPr="005675B2">
        <w:rPr>
          <w:rFonts w:hint="cs"/>
          <w:rtl/>
        </w:rPr>
        <w:t xml:space="preserve"> وقيل فيه منكر الحديث</w:t>
      </w:r>
      <w:r w:rsidR="000636C2">
        <w:rPr>
          <w:rFonts w:hint="cs"/>
          <w:rtl/>
        </w:rPr>
        <w:t>،</w:t>
      </w:r>
      <w:r w:rsidRPr="005675B2">
        <w:rPr>
          <w:rFonts w:hint="cs"/>
          <w:rtl/>
        </w:rPr>
        <w:t xml:space="preserve"> وقيل فيه ليس بثقة</w:t>
      </w:r>
      <w:r w:rsidR="000636C2">
        <w:rPr>
          <w:rFonts w:hint="cs"/>
          <w:rtl/>
        </w:rPr>
        <w:t>،</w:t>
      </w:r>
      <w:r w:rsidRPr="005675B2">
        <w:rPr>
          <w:rFonts w:hint="cs"/>
          <w:rtl/>
        </w:rPr>
        <w:t xml:space="preserve"> ولعل أصل هذه الرواية هو قول كعب الأحبار</w:t>
      </w:r>
      <w:r w:rsidR="000636C2">
        <w:rPr>
          <w:rFonts w:hint="cs"/>
          <w:rtl/>
        </w:rPr>
        <w:t>،</w:t>
      </w:r>
      <w:r w:rsidRPr="005675B2">
        <w:rPr>
          <w:rFonts w:hint="cs"/>
          <w:rtl/>
        </w:rPr>
        <w:t xml:space="preserve"> فوصل إلى أحد الضعفاء الهلكى</w:t>
      </w:r>
      <w:r w:rsidR="000636C2">
        <w:rPr>
          <w:rFonts w:hint="cs"/>
          <w:rtl/>
        </w:rPr>
        <w:t>،</w:t>
      </w:r>
      <w:r w:rsidRPr="005675B2">
        <w:rPr>
          <w:rFonts w:hint="cs"/>
          <w:rtl/>
        </w:rPr>
        <w:t xml:space="preserve"> فألصقه</w:t>
      </w:r>
      <w:r w:rsidR="000636C2">
        <w:rPr>
          <w:rFonts w:hint="cs"/>
          <w:rtl/>
        </w:rPr>
        <w:t xml:space="preserve"> </w:t>
      </w:r>
      <w:r w:rsidRPr="005675B2">
        <w:rPr>
          <w:rFonts w:hint="cs"/>
          <w:rtl/>
        </w:rPr>
        <w:t>- من باب الخطأ والغفلة</w:t>
      </w:r>
      <w:r w:rsidR="000636C2">
        <w:rPr>
          <w:rFonts w:hint="cs"/>
          <w:rtl/>
        </w:rPr>
        <w:t xml:space="preserve"> </w:t>
      </w:r>
      <w:r w:rsidRPr="005675B2">
        <w:rPr>
          <w:rFonts w:hint="cs"/>
          <w:rtl/>
        </w:rPr>
        <w:t>- بأحد ثقات التابعين عن الصحابي عن رسول الله صلى الله عليه وسلم</w:t>
      </w:r>
      <w:r w:rsidR="000636C2">
        <w:rPr>
          <w:rFonts w:hint="cs"/>
          <w:rtl/>
        </w:rPr>
        <w:t>!</w:t>
      </w:r>
      <w:r w:rsidRPr="005675B2">
        <w:rPr>
          <w:rFonts w:hint="cs"/>
          <w:rtl/>
        </w:rPr>
        <w:t xml:space="preserve"> فتأمل واعجب</w:t>
      </w:r>
      <w:r w:rsidR="000636C2">
        <w:rPr>
          <w:rFonts w:hint="cs"/>
          <w:rtl/>
        </w:rPr>
        <w:t>،</w:t>
      </w:r>
      <w:r w:rsidRPr="005675B2">
        <w:rPr>
          <w:rFonts w:hint="cs"/>
          <w:rtl/>
        </w:rPr>
        <w:t xml:space="preserve"> أما المتن الإسرائيلي المصدر فكله إيحاء بأن كلام الله تعالى وإسماعه لموسى عليه الصلاة والسلام هو بصوت مادي قوي</w:t>
      </w:r>
      <w:r w:rsidR="000636C2">
        <w:rPr>
          <w:rFonts w:hint="cs"/>
          <w:rtl/>
        </w:rPr>
        <w:t>،</w:t>
      </w:r>
      <w:r w:rsidRPr="005675B2">
        <w:rPr>
          <w:rFonts w:hint="cs"/>
          <w:rtl/>
        </w:rPr>
        <w:t xml:space="preserve"> تبلغ قوته قوة عشرة آلاف لسان</w:t>
      </w:r>
      <w:r w:rsidR="000636C2">
        <w:rPr>
          <w:rFonts w:hint="cs"/>
          <w:rtl/>
        </w:rPr>
        <w:t>،</w:t>
      </w:r>
      <w:r w:rsidRPr="005675B2">
        <w:rPr>
          <w:rFonts w:hint="cs"/>
          <w:rtl/>
        </w:rPr>
        <w:t xml:space="preserve"> وأن الله تعالى قادر على أن يتكلم بأقوى من ذلك الصوت</w:t>
      </w:r>
      <w:r w:rsidR="000636C2">
        <w:rPr>
          <w:rFonts w:hint="cs"/>
          <w:rtl/>
        </w:rPr>
        <w:t>،</w:t>
      </w:r>
      <w:r w:rsidRPr="005675B2">
        <w:rPr>
          <w:rFonts w:hint="cs"/>
          <w:rtl/>
        </w:rPr>
        <w:t xml:space="preserve"> وأنه يمكن تشبيهه</w:t>
      </w:r>
      <w:r w:rsidR="000636C2">
        <w:rPr>
          <w:rFonts w:hint="cs"/>
          <w:rtl/>
        </w:rPr>
        <w:t>!،</w:t>
      </w:r>
      <w:r w:rsidRPr="005675B2">
        <w:rPr>
          <w:rFonts w:hint="cs"/>
          <w:rtl/>
        </w:rPr>
        <w:t xml:space="preserve"> وذلك أنه يشبه صوت الصواعق التي تقبل في أحلى حلاوة</w:t>
      </w:r>
      <w:r w:rsidR="000636C2">
        <w:rPr>
          <w:rFonts w:hint="cs"/>
          <w:rtl/>
        </w:rPr>
        <w:t>!،</w:t>
      </w:r>
      <w:r w:rsidRPr="005675B2">
        <w:rPr>
          <w:rFonts w:hint="cs"/>
          <w:rtl/>
        </w:rPr>
        <w:t xml:space="preserve"> وقد صار عند من يستدل به</w:t>
      </w:r>
      <w:r w:rsidR="000636C2">
        <w:rPr>
          <w:rFonts w:hint="cs"/>
          <w:rtl/>
        </w:rPr>
        <w:t xml:space="preserve"> </w:t>
      </w:r>
      <w:r w:rsidRPr="005675B2">
        <w:rPr>
          <w:rFonts w:hint="cs"/>
          <w:rtl/>
        </w:rPr>
        <w:t>- دون التفات إلى معرفة مصدره ونقد سنده</w:t>
      </w:r>
      <w:r w:rsidR="000636C2">
        <w:rPr>
          <w:rFonts w:hint="cs"/>
          <w:rtl/>
        </w:rPr>
        <w:t xml:space="preserve"> </w:t>
      </w:r>
      <w:r w:rsidRPr="005675B2">
        <w:rPr>
          <w:rFonts w:hint="cs"/>
          <w:rtl/>
        </w:rPr>
        <w:t>- حجة في العقيدة</w:t>
      </w:r>
      <w:r w:rsidR="000636C2">
        <w:rPr>
          <w:rFonts w:hint="cs"/>
          <w:rtl/>
        </w:rPr>
        <w:t>،</w:t>
      </w:r>
      <w:r w:rsidRPr="005675B2">
        <w:rPr>
          <w:rFonts w:hint="cs"/>
          <w:rtl/>
        </w:rPr>
        <w:t xml:space="preserve"> إذ هو صريح في أنه كلَّمه بصوت</w:t>
      </w:r>
      <w:r w:rsidR="000636C2">
        <w:rPr>
          <w:rFonts w:hint="cs"/>
          <w:rtl/>
        </w:rPr>
        <w:t>!</w:t>
      </w:r>
      <w:r w:rsidRPr="005675B2">
        <w:rPr>
          <w:rFonts w:hint="cs"/>
          <w:rtl/>
        </w:rPr>
        <w:t xml:space="preserve"> </w:t>
      </w:r>
      <w:r w:rsidR="000636C2">
        <w:rPr>
          <w:rFonts w:hint="cs"/>
          <w:rtl/>
        </w:rPr>
        <w:t>[</w:t>
      </w:r>
      <w:r w:rsidRPr="005675B2">
        <w:rPr>
          <w:rFonts w:hint="cs"/>
          <w:rtl/>
        </w:rPr>
        <w:t>سبحان الله عمَّا يصفون</w:t>
      </w:r>
      <w:r w:rsidR="000636C2">
        <w:rPr>
          <w:rFonts w:hint="cs"/>
          <w:rtl/>
        </w:rPr>
        <w:t xml:space="preserve">]، </w:t>
      </w:r>
      <w:r w:rsidRPr="005675B2">
        <w:rPr>
          <w:rFonts w:hint="cs"/>
          <w:rtl/>
        </w:rPr>
        <w:t>وإمعاناً من ابن تيمية</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في تثبيت معاني الجسمية فيما يتعلق بتكليم الله تعالى لموسى عليه الصلاة والسلام ؛ فإنه يقول في موطن آخر</w:t>
      </w:r>
      <w:r w:rsidR="000636C2">
        <w:rPr>
          <w:rFonts w:hint="cs"/>
          <w:rtl/>
        </w:rPr>
        <w:t>:</w:t>
      </w:r>
      <w:r w:rsidRPr="005675B2">
        <w:rPr>
          <w:rFonts w:hint="cs"/>
          <w:rtl/>
        </w:rPr>
        <w:t xml:space="preserve"> </w:t>
      </w:r>
      <w:r w:rsidR="000636C2">
        <w:rPr>
          <w:rFonts w:hint="cs"/>
          <w:rtl/>
        </w:rPr>
        <w:t>[</w:t>
      </w:r>
      <w:r w:rsidRPr="005675B2">
        <w:rPr>
          <w:rFonts w:hint="cs"/>
          <w:rtl/>
        </w:rPr>
        <w:t>وعلم بالاضطرار من دين أهل الملل والنقل بالتواتر أن الله لما كلم موسى كلَّمه من الشجرة وأنه كان يخرج منها نار محسوسة</w:t>
      </w:r>
      <w:r w:rsidR="000636C2">
        <w:rPr>
          <w:rFonts w:hint="cs"/>
          <w:rtl/>
        </w:rPr>
        <w:t>]</w:t>
      </w:r>
      <w:r w:rsidRPr="005675B2">
        <w:rPr>
          <w:rFonts w:hint="cs"/>
          <w:rtl/>
        </w:rPr>
        <w:t xml:space="preserve"> [</w:t>
      </w:r>
      <w:r w:rsidRPr="005675B2">
        <w:rPr>
          <w:rFonts w:hint="cs"/>
          <w:sz w:val="24"/>
          <w:szCs w:val="24"/>
          <w:rtl/>
        </w:rPr>
        <w:t xml:space="preserve">بغية المرتاد لابن تيمية وهو المنعوت بالسبعينية: ص 80 . </w:t>
      </w:r>
      <w:r w:rsidR="000636C2">
        <w:rPr>
          <w:rFonts w:hint="cs"/>
          <w:sz w:val="24"/>
          <w:szCs w:val="24"/>
          <w:rtl/>
        </w:rPr>
        <w:t>(</w:t>
      </w:r>
      <w:r w:rsidRPr="005675B2">
        <w:rPr>
          <w:rFonts w:hint="cs"/>
          <w:sz w:val="24"/>
          <w:szCs w:val="24"/>
          <w:rtl/>
        </w:rPr>
        <w:t>المجلد الخامس من الفتاوى الكبرى</w:t>
      </w:r>
      <w:r w:rsidR="000636C2">
        <w:rPr>
          <w:rFonts w:hint="cs"/>
          <w:sz w:val="24"/>
          <w:szCs w:val="24"/>
          <w:rtl/>
        </w:rPr>
        <w:t>)،]</w:t>
      </w:r>
      <w:r w:rsidRPr="005675B2">
        <w:rPr>
          <w:rFonts w:hint="cs"/>
          <w:rtl/>
        </w:rPr>
        <w:t xml:space="preserve"> فهل من المعلوم عند المسلمين علماً قطعياً ضرورياً أن الله تعالى لما كلم موسى كلَّمه من الشجرة وأنه كان يخرج منها نار محسوسة</w:t>
      </w:r>
      <w:r w:rsidR="000636C2">
        <w:rPr>
          <w:rFonts w:hint="cs"/>
          <w:rtl/>
        </w:rPr>
        <w:t>؟!</w:t>
      </w:r>
      <w:r w:rsidRPr="005675B2">
        <w:rPr>
          <w:rFonts w:hint="cs"/>
          <w:rtl/>
        </w:rPr>
        <w:t xml:space="preserve"> أو إن المراد بأهل الملل هنا هم اليهود والنصارى</w:t>
      </w:r>
      <w:r w:rsidR="000636C2">
        <w:rPr>
          <w:rFonts w:hint="cs"/>
          <w:rtl/>
        </w:rPr>
        <w:t>؟!</w:t>
      </w:r>
      <w:r w:rsidRPr="005675B2">
        <w:rPr>
          <w:rFonts w:hint="cs"/>
          <w:rtl/>
        </w:rPr>
        <w:t xml:space="preserve"> وهل عند اليهود والنصارى رواية مروية بالتواتر عن أنبيائهم أو إن رواياتهم منقطعة الأسانيد أصلاً</w:t>
      </w:r>
      <w:r w:rsidR="000636C2">
        <w:rPr>
          <w:rFonts w:hint="cs"/>
          <w:rtl/>
        </w:rPr>
        <w:t>؟!</w:t>
      </w:r>
      <w:r w:rsidRPr="005675B2">
        <w:rPr>
          <w:rFonts w:hint="cs"/>
          <w:rtl/>
        </w:rPr>
        <w:t xml:space="preserve"> ومن العجيب الغريب إثبات التواتر لمروياتهم</w:t>
      </w:r>
      <w:r w:rsidR="000636C2">
        <w:rPr>
          <w:rFonts w:hint="cs"/>
          <w:rtl/>
        </w:rPr>
        <w:t xml:space="preserve"> </w:t>
      </w:r>
      <w:r w:rsidRPr="005675B2">
        <w:rPr>
          <w:rFonts w:hint="cs"/>
          <w:rtl/>
        </w:rPr>
        <w:t>- وأنى لها ذلك</w:t>
      </w:r>
      <w:r w:rsidR="000636C2">
        <w:rPr>
          <w:rFonts w:hint="cs"/>
          <w:rtl/>
        </w:rPr>
        <w:t xml:space="preserve"> </w:t>
      </w:r>
      <w:r w:rsidRPr="005675B2">
        <w:rPr>
          <w:rFonts w:hint="cs"/>
          <w:rtl/>
        </w:rPr>
        <w:t>- لتثبيت الاحتجاج بها في العقيدة</w:t>
      </w:r>
      <w:r w:rsidR="000636C2">
        <w:rPr>
          <w:rFonts w:hint="cs"/>
          <w:rtl/>
        </w:rPr>
        <w:t>!</w:t>
      </w:r>
      <w:r w:rsidRPr="005675B2">
        <w:rPr>
          <w:rFonts w:hint="cs"/>
          <w:rtl/>
        </w:rPr>
        <w:t xml:space="preserve"> فتأمل واعجب</w:t>
      </w:r>
      <w:r w:rsidR="000636C2">
        <w:rPr>
          <w:rFonts w:hint="cs"/>
          <w:rtl/>
        </w:rPr>
        <w:t xml:space="preserve">، </w:t>
      </w:r>
      <w:r w:rsidRPr="005675B2">
        <w:rPr>
          <w:rFonts w:hint="cs"/>
          <w:rtl/>
        </w:rPr>
        <w:t>إن الثابت عند أهل الإسلام هو أن الله تعالى كلَّم موسى عليه الصلاة والسلام</w:t>
      </w:r>
      <w:r w:rsidR="000636C2">
        <w:rPr>
          <w:rFonts w:hint="cs"/>
          <w:rtl/>
        </w:rPr>
        <w:t>،</w:t>
      </w:r>
      <w:r w:rsidRPr="005675B2">
        <w:rPr>
          <w:rFonts w:hint="cs"/>
          <w:rtl/>
        </w:rPr>
        <w:t xml:space="preserve"> وأسمعه كلامه</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فَلَمَّا قَضَى مُوسَى الْأَجَلَ وَسَارَ بِأَهْلِهِ آنَسَ مِنْ جَانِبِ الطُّورِ نَاراً قَالَ لِأَهْلِهِ امْكُثُوا إِنِّي آنَسْتُ نَاراً لَعَلِّي آتِيكُمْ مِنْهَا بِخَبَرٍ أَوْ جَذْوَةٍ مِنَ النَّارِ لَعَلَّكُمْ تَصْطَلُونَ * فَلَمَّا أَتَاهَا نُودِيَ مِنْ شَاطِئِ الْوَادِ الْأَيْمَنِ فِي الْبُقْعَةِ الْمُبَارَكَةِ مِنَ الشَّجَرَةِ أَنْ يَا مُوسَى إِنِّي أَنَا اللَّهُ رَبُّ الْعَالَمِين َ* وَأَنْ أَلْقِ عَصَاكَ ..</w:t>
      </w:r>
      <w:r w:rsidR="000636C2">
        <w:rPr>
          <w:rFonts w:hint="cs"/>
          <w:rtl/>
        </w:rPr>
        <w:t>]</w:t>
      </w:r>
      <w:r w:rsidRPr="005675B2">
        <w:rPr>
          <w:rFonts w:hint="cs"/>
          <w:rtl/>
        </w:rPr>
        <w:t xml:space="preserve"> [</w:t>
      </w:r>
      <w:r w:rsidRPr="005675B2">
        <w:rPr>
          <w:rFonts w:hint="cs"/>
          <w:sz w:val="24"/>
          <w:szCs w:val="24"/>
          <w:rtl/>
        </w:rPr>
        <w:t>سورة القصص: الآيات 29 – 31</w:t>
      </w:r>
      <w:r w:rsidR="000636C2">
        <w:rPr>
          <w:rFonts w:hint="cs"/>
          <w:sz w:val="24"/>
          <w:szCs w:val="24"/>
          <w:rtl/>
        </w:rPr>
        <w:t>]</w:t>
      </w:r>
      <w:r w:rsidR="000636C2">
        <w:rPr>
          <w:rFonts w:hint="cs"/>
          <w:rtl/>
        </w:rPr>
        <w:t>،</w:t>
      </w:r>
      <w:r w:rsidRPr="005675B2">
        <w:rPr>
          <w:rFonts w:hint="cs"/>
          <w:rtl/>
        </w:rPr>
        <w:t xml:space="preserve"> فقد ذكر ربنا تعالى أن النداء كان من جهة الشجرة</w:t>
      </w:r>
      <w:r w:rsidR="000636C2">
        <w:rPr>
          <w:rFonts w:hint="cs"/>
          <w:rtl/>
        </w:rPr>
        <w:t>،</w:t>
      </w:r>
      <w:r w:rsidRPr="005675B2">
        <w:rPr>
          <w:rFonts w:hint="cs"/>
          <w:rtl/>
        </w:rPr>
        <w:t xml:space="preserve"> ولم يقل إنه كان بصوت مادي</w:t>
      </w:r>
      <w:r w:rsidR="000636C2">
        <w:rPr>
          <w:rFonts w:hint="cs"/>
          <w:rtl/>
        </w:rPr>
        <w:t>،</w:t>
      </w:r>
      <w:r w:rsidRPr="005675B2">
        <w:rPr>
          <w:rFonts w:hint="cs"/>
          <w:rtl/>
        </w:rPr>
        <w:t xml:space="preserve"> ولم يذكر </w:t>
      </w:r>
      <w:r w:rsidR="000636C2">
        <w:rPr>
          <w:rFonts w:hint="cs"/>
          <w:rtl/>
        </w:rPr>
        <w:t>[</w:t>
      </w:r>
      <w:r w:rsidRPr="005675B2">
        <w:rPr>
          <w:rFonts w:hint="cs"/>
          <w:rtl/>
        </w:rPr>
        <w:t>أنه كان يخرج منها نار محسوسة</w:t>
      </w:r>
      <w:r w:rsidR="000636C2">
        <w:rPr>
          <w:rFonts w:hint="cs"/>
          <w:rtl/>
        </w:rPr>
        <w:t xml:space="preserve">]!، </w:t>
      </w:r>
      <w:r w:rsidRPr="005675B2">
        <w:rPr>
          <w:rFonts w:hint="cs"/>
          <w:rtl/>
        </w:rPr>
        <w:t>والثابت المؤكد هو أن الله تعالى كلمه وناداه وأسمعه كلامه</w:t>
      </w:r>
      <w:r w:rsidR="000636C2">
        <w:rPr>
          <w:rFonts w:hint="cs"/>
          <w:rtl/>
        </w:rPr>
        <w:t>،</w:t>
      </w:r>
      <w:r w:rsidRPr="005675B2">
        <w:rPr>
          <w:rFonts w:hint="cs"/>
          <w:rtl/>
        </w:rPr>
        <w:t xml:space="preserve"> على ما يليق بعظمة الله تعالى</w:t>
      </w:r>
      <w:r w:rsidR="000636C2">
        <w:rPr>
          <w:rFonts w:hint="cs"/>
          <w:rtl/>
        </w:rPr>
        <w:t>،</w:t>
      </w:r>
      <w:r w:rsidRPr="005675B2">
        <w:rPr>
          <w:rFonts w:hint="cs"/>
          <w:rtl/>
        </w:rPr>
        <w:t xml:space="preserve"> لا على ما تصوره روايات أهل الكتاب من أنه كلام بصوت حسي تبلغ قوته قوة عشرة آلاف لسان</w:t>
      </w:r>
      <w:r w:rsidR="000636C2">
        <w:rPr>
          <w:rFonts w:hint="cs"/>
          <w:rtl/>
        </w:rPr>
        <w:t>،</w:t>
      </w:r>
      <w:r w:rsidRPr="005675B2">
        <w:rPr>
          <w:rFonts w:hint="cs"/>
          <w:rtl/>
        </w:rPr>
        <w:t xml:space="preserve"> إذ لو كان كذلك لسمعته زوجته</w:t>
      </w:r>
      <w:r w:rsidR="000636C2">
        <w:rPr>
          <w:rFonts w:hint="cs"/>
          <w:rtl/>
        </w:rPr>
        <w:t>،</w:t>
      </w:r>
      <w:r w:rsidRPr="005675B2">
        <w:rPr>
          <w:rFonts w:hint="cs"/>
          <w:rtl/>
        </w:rPr>
        <w:t xml:space="preserve"> ولو كانت قد شاركت موسى في سماع كلام الله تعالى لما بقيت لموسى هذه الميزة التي تفرد بها</w:t>
      </w:r>
      <w:r w:rsidR="000636C2">
        <w:rPr>
          <w:rFonts w:hint="cs"/>
          <w:rtl/>
        </w:rPr>
        <w:t>،</w:t>
      </w:r>
      <w:r w:rsidRPr="005675B2">
        <w:rPr>
          <w:rFonts w:hint="cs"/>
          <w:rtl/>
        </w:rPr>
        <w:t xml:space="preserve"> والتي ذكرها ربنا تعالى فقال</w:t>
      </w:r>
      <w:r w:rsidR="000636C2">
        <w:rPr>
          <w:rFonts w:hint="cs"/>
          <w:rtl/>
        </w:rPr>
        <w:t>:</w:t>
      </w:r>
      <w:r w:rsidRPr="005675B2">
        <w:rPr>
          <w:rFonts w:hint="cs"/>
          <w:rtl/>
        </w:rPr>
        <w:t xml:space="preserve"> </w:t>
      </w:r>
      <w:r w:rsidR="000636C2">
        <w:rPr>
          <w:rFonts w:hint="cs"/>
          <w:rtl/>
        </w:rPr>
        <w:t>[</w:t>
      </w:r>
      <w:r w:rsidRPr="005675B2">
        <w:rPr>
          <w:rFonts w:hint="cs"/>
          <w:rtl/>
        </w:rPr>
        <w:t>يَا مُوسَى إِنِّي اصْطَفَيْتُكَ عَلَى النَّاسِ بِرِسَالاتِي وَبِكَلامِي</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الأعراف: الآية 143</w:t>
      </w:r>
      <w:r w:rsidR="000636C2">
        <w:rPr>
          <w:rFonts w:hint="cs"/>
          <w:sz w:val="24"/>
          <w:szCs w:val="24"/>
          <w:rtl/>
        </w:rPr>
        <w:t>]</w:t>
      </w:r>
      <w:r w:rsidR="000636C2">
        <w:rPr>
          <w:rFonts w:hint="cs"/>
          <w:rtl/>
        </w:rPr>
        <w:t xml:space="preserve">، </w:t>
      </w:r>
      <w:r w:rsidRPr="005675B2">
        <w:rPr>
          <w:rFonts w:hint="cs"/>
          <w:rtl/>
        </w:rPr>
        <w:t>فلا بد من إثبات ما أثبته الله تعالى</w:t>
      </w:r>
      <w:r w:rsidR="000636C2">
        <w:rPr>
          <w:rFonts w:hint="cs"/>
          <w:rtl/>
        </w:rPr>
        <w:t>،</w:t>
      </w:r>
      <w:r w:rsidRPr="005675B2">
        <w:rPr>
          <w:rFonts w:hint="cs"/>
          <w:rtl/>
        </w:rPr>
        <w:t xml:space="preserve"> مع تفويض العلم بالكيفية له سبحانه</w:t>
      </w:r>
      <w:r w:rsidR="000636C2">
        <w:rPr>
          <w:rFonts w:hint="cs"/>
          <w:rtl/>
        </w:rPr>
        <w:t>،</w:t>
      </w:r>
      <w:r w:rsidRPr="005675B2">
        <w:rPr>
          <w:rFonts w:hint="cs"/>
          <w:rtl/>
        </w:rPr>
        <w:t xml:space="preserve"> ومع نفي مشابهة صفات الخالق لصفات المخلوق</w:t>
      </w:r>
      <w:r w:rsidR="000636C2">
        <w:rPr>
          <w:rFonts w:hint="cs"/>
          <w:rtl/>
        </w:rPr>
        <w:t xml:space="preserve">، </w:t>
      </w:r>
      <w:r w:rsidRPr="005675B2">
        <w:rPr>
          <w:rFonts w:hint="cs"/>
          <w:rtl/>
        </w:rPr>
        <w:t>ز</w:t>
      </w:r>
      <w:r w:rsidR="000636C2">
        <w:rPr>
          <w:rFonts w:hint="cs"/>
          <w:rtl/>
        </w:rPr>
        <w:t xml:space="preserve"> </w:t>
      </w:r>
      <w:r w:rsidRPr="005675B2">
        <w:rPr>
          <w:rFonts w:hint="cs"/>
          <w:rtl/>
        </w:rPr>
        <w:t>- قال ابن تيمية</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وما عليه المشركون وأهل الكتاب من تعظيم بقاع للعبادة غير المساجد</w:t>
      </w:r>
      <w:r w:rsidR="000636C2">
        <w:rPr>
          <w:rFonts w:hint="cs"/>
          <w:rtl/>
        </w:rPr>
        <w:t xml:space="preserve"> </w:t>
      </w:r>
      <w:r w:rsidRPr="005675B2">
        <w:rPr>
          <w:rFonts w:hint="cs"/>
          <w:rtl/>
        </w:rPr>
        <w:t>- كما كانوا في الجاهلية يعظمون حراء ونحوه من البقاع</w:t>
      </w:r>
      <w:r w:rsidR="000636C2">
        <w:rPr>
          <w:rFonts w:hint="cs"/>
          <w:rtl/>
        </w:rPr>
        <w:t>:</w:t>
      </w:r>
      <w:r w:rsidRPr="005675B2">
        <w:rPr>
          <w:rFonts w:hint="cs"/>
          <w:rtl/>
        </w:rPr>
        <w:t xml:space="preserve"> فهو مما جاء الإسلام بمحوه وإزالته ونسخه</w:t>
      </w:r>
      <w:r w:rsidR="000636C2">
        <w:rPr>
          <w:rFonts w:hint="cs"/>
          <w:rtl/>
        </w:rPr>
        <w:t>]</w:t>
      </w:r>
      <w:r w:rsidRPr="005675B2">
        <w:rPr>
          <w:rFonts w:hint="cs"/>
          <w:rtl/>
        </w:rPr>
        <w:t xml:space="preserve"> [</w:t>
      </w:r>
      <w:r w:rsidRPr="005675B2">
        <w:rPr>
          <w:rFonts w:hint="cs"/>
          <w:sz w:val="24"/>
          <w:szCs w:val="24"/>
          <w:rtl/>
        </w:rPr>
        <w:t>اقتضاء الصراط المستقيم مخالفة أصحاب الجحيم لابن تيمية: 2 / 825</w:t>
      </w:r>
      <w:r w:rsidR="000636C2">
        <w:rPr>
          <w:rFonts w:hint="cs"/>
          <w:sz w:val="24"/>
          <w:szCs w:val="24"/>
          <w:rtl/>
        </w:rPr>
        <w:t>،</w:t>
      </w:r>
      <w:r w:rsidRPr="005675B2">
        <w:rPr>
          <w:rFonts w:hint="cs"/>
          <w:sz w:val="24"/>
          <w:szCs w:val="24"/>
          <w:rtl/>
        </w:rPr>
        <w:t xml:space="preserve"> الطبعة الثالثة . ولم يعلق محقق الكتاب بشيء</w:t>
      </w:r>
      <w:r w:rsidR="000636C2">
        <w:rPr>
          <w:rFonts w:hint="cs"/>
          <w:sz w:val="24"/>
          <w:szCs w:val="24"/>
          <w:rtl/>
        </w:rPr>
        <w:t>]</w:t>
      </w:r>
      <w:r w:rsidR="000636C2">
        <w:rPr>
          <w:rFonts w:hint="cs"/>
          <w:rtl/>
        </w:rPr>
        <w:t xml:space="preserve">، </w:t>
      </w:r>
      <w:r w:rsidRPr="005675B2">
        <w:rPr>
          <w:rFonts w:hint="cs"/>
          <w:rtl/>
        </w:rPr>
        <w:t>أقول</w:t>
      </w:r>
      <w:r w:rsidR="000636C2">
        <w:rPr>
          <w:rFonts w:hint="cs"/>
          <w:rtl/>
        </w:rPr>
        <w:t>:</w:t>
      </w:r>
      <w:r w:rsidRPr="005675B2">
        <w:rPr>
          <w:rFonts w:hint="cs"/>
          <w:rtl/>
        </w:rPr>
        <w:t xml:space="preserve"> هل كانوا في الجاهلية يعظمون حراء</w:t>
      </w:r>
      <w:r w:rsidR="000636C2">
        <w:rPr>
          <w:rFonts w:hint="cs"/>
          <w:rtl/>
        </w:rPr>
        <w:t>؟!</w:t>
      </w:r>
      <w:r w:rsidRPr="005675B2">
        <w:rPr>
          <w:rFonts w:hint="cs"/>
          <w:rtl/>
        </w:rPr>
        <w:t xml:space="preserve"> ما هذا</w:t>
      </w:r>
      <w:r w:rsidR="000636C2">
        <w:rPr>
          <w:rFonts w:hint="cs"/>
          <w:rtl/>
        </w:rPr>
        <w:t>؟!</w:t>
      </w:r>
      <w:r w:rsidRPr="005675B2">
        <w:rPr>
          <w:rFonts w:hint="cs"/>
          <w:rtl/>
        </w:rPr>
        <w:t xml:space="preserve"> اللهم غفراً</w:t>
      </w:r>
      <w:r w:rsidR="000636C2">
        <w:rPr>
          <w:rFonts w:hint="cs"/>
          <w:rtl/>
        </w:rPr>
        <w:t>،</w:t>
      </w:r>
    </w:p>
    <w:p w14:paraId="73EA4784" w14:textId="6A7DF9DD" w:rsidR="009C32A0" w:rsidRPr="005675B2" w:rsidRDefault="009C32A0" w:rsidP="000636C2">
      <w:pPr>
        <w:rPr>
          <w:b/>
          <w:rtl/>
        </w:rPr>
      </w:pPr>
      <w:r w:rsidRPr="005675B2">
        <w:rPr>
          <w:rFonts w:hint="cs"/>
          <w:bCs/>
          <w:rtl/>
        </w:rPr>
        <w:t>قال الباحث</w:t>
      </w:r>
      <w:r w:rsidR="000636C2">
        <w:rPr>
          <w:rFonts w:hint="cs"/>
          <w:rtl/>
        </w:rPr>
        <w:t>: [</w:t>
      </w:r>
      <w:r w:rsidRPr="005675B2">
        <w:rPr>
          <w:rFonts w:hint="cs"/>
          <w:rtl/>
        </w:rPr>
        <w:t>وسنأتي بحكمهم عند أئمة المذاهب الأربعة من الفقهاء</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عند المالكية</w:t>
      </w:r>
      <w:r w:rsidR="000636C2">
        <w:rPr>
          <w:rFonts w:hint="cs"/>
          <w:rtl/>
        </w:rPr>
        <w:t>:</w:t>
      </w:r>
      <w:r w:rsidRPr="005675B2">
        <w:rPr>
          <w:rFonts w:hint="cs"/>
          <w:rtl/>
        </w:rPr>
        <w:t xml:space="preserve"> روى حافظ المغرب وعلمها الفذ ابن عبد البر بسنده عن فقيه المالكية بالمشرق ابن خويزمنداد أنه قال</w:t>
      </w:r>
      <w:r w:rsidR="000636C2">
        <w:rPr>
          <w:rFonts w:hint="cs"/>
          <w:rtl/>
        </w:rPr>
        <w:t>:</w:t>
      </w:r>
      <w:r w:rsidRPr="005675B2">
        <w:rPr>
          <w:rFonts w:hint="cs"/>
          <w:rtl/>
        </w:rPr>
        <w:t xml:space="preserve"> </w:t>
      </w:r>
      <w:r w:rsidR="000636C2">
        <w:rPr>
          <w:rFonts w:hint="cs"/>
          <w:rtl/>
        </w:rPr>
        <w:t>[</w:t>
      </w:r>
      <w:r w:rsidRPr="005675B2">
        <w:rPr>
          <w:rFonts w:hint="cs"/>
          <w:rtl/>
        </w:rPr>
        <w:t>أهل الأهواء عند مالك وسائر أصحابنا هم أهل الكلام</w:t>
      </w:r>
      <w:r w:rsidR="000636C2">
        <w:rPr>
          <w:rFonts w:hint="cs"/>
          <w:rtl/>
        </w:rPr>
        <w:t>،</w:t>
      </w:r>
      <w:r w:rsidRPr="005675B2">
        <w:rPr>
          <w:rFonts w:hint="cs"/>
          <w:rtl/>
        </w:rPr>
        <w:t xml:space="preserve"> فكل متكلم فهو من أهل الأهواء والبدع</w:t>
      </w:r>
      <w:r w:rsidR="000636C2">
        <w:rPr>
          <w:rFonts w:hint="cs"/>
          <w:rtl/>
        </w:rPr>
        <w:t>،</w:t>
      </w:r>
      <w:r w:rsidRPr="005675B2">
        <w:rPr>
          <w:rFonts w:hint="cs"/>
          <w:rtl/>
        </w:rPr>
        <w:t xml:space="preserve"> أشعرياً كان أو غير أشعري</w:t>
      </w:r>
      <w:r w:rsidR="000636C2">
        <w:rPr>
          <w:rFonts w:hint="cs"/>
          <w:rtl/>
        </w:rPr>
        <w:t>،</w:t>
      </w:r>
      <w:r w:rsidRPr="005675B2">
        <w:rPr>
          <w:rFonts w:hint="cs"/>
          <w:rtl/>
        </w:rPr>
        <w:t xml:space="preserve"> ولا تقبل له شهادة في الإسلام أبداً</w:t>
      </w:r>
      <w:r w:rsidR="000636C2">
        <w:rPr>
          <w:rFonts w:hint="cs"/>
          <w:rtl/>
        </w:rPr>
        <w:t>،</w:t>
      </w:r>
      <w:r w:rsidRPr="005675B2">
        <w:rPr>
          <w:rFonts w:hint="cs"/>
          <w:rtl/>
        </w:rPr>
        <w:t xml:space="preserve"> ويهجر ويؤدب على بدعته</w:t>
      </w:r>
      <w:r w:rsidR="000636C2">
        <w:rPr>
          <w:rFonts w:hint="cs"/>
          <w:rtl/>
        </w:rPr>
        <w:t>،</w:t>
      </w:r>
      <w:r w:rsidRPr="005675B2">
        <w:rPr>
          <w:rFonts w:hint="cs"/>
          <w:rtl/>
        </w:rPr>
        <w:t xml:space="preserve"> فإن تمادى عليها استتيب منها</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عند الشافعية</w:t>
      </w:r>
      <w:r w:rsidR="000636C2">
        <w:rPr>
          <w:rFonts w:hint="cs"/>
          <w:rtl/>
        </w:rPr>
        <w:t>:</w:t>
      </w:r>
      <w:r w:rsidRPr="005675B2">
        <w:rPr>
          <w:rFonts w:hint="cs"/>
          <w:rtl/>
        </w:rPr>
        <w:t xml:space="preserve"> قال الإمام أبو العباس ابن سريج الملقب بالشافعي الثاني وقد كان معاصراً للأشعري</w:t>
      </w:r>
      <w:r w:rsidR="000636C2">
        <w:rPr>
          <w:rFonts w:hint="cs"/>
          <w:rtl/>
        </w:rPr>
        <w:t>:</w:t>
      </w:r>
      <w:r w:rsidRPr="005675B2">
        <w:rPr>
          <w:rFonts w:hint="cs"/>
          <w:rtl/>
        </w:rPr>
        <w:t xml:space="preserve"> لا نقول بتأويل المعتزلة والأشعرية والجهمية والملحدة</w:t>
      </w:r>
      <w:r w:rsidR="000636C2">
        <w:rPr>
          <w:rFonts w:hint="cs"/>
          <w:rtl/>
        </w:rPr>
        <w:t>،</w:t>
      </w:r>
      <w:r w:rsidRPr="005675B2">
        <w:rPr>
          <w:rFonts w:hint="cs"/>
          <w:rtl/>
        </w:rPr>
        <w:t xml:space="preserve"> وانظر عقيدة ابن سريج في</w:t>
      </w:r>
      <w:r w:rsidR="000636C2">
        <w:rPr>
          <w:rFonts w:hint="cs"/>
          <w:rtl/>
        </w:rPr>
        <w:t>:</w:t>
      </w:r>
      <w:r w:rsidRPr="005675B2">
        <w:rPr>
          <w:rFonts w:hint="cs"/>
          <w:rtl/>
        </w:rPr>
        <w:t xml:space="preserve"> اجتماع الجيوش الإسلامية</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قال الإمام أبو الحسن الكرجي من علماء القرن الخامس الشافعية ما نصه</w:t>
      </w:r>
      <w:r w:rsidR="000636C2">
        <w:rPr>
          <w:rFonts w:hint="cs"/>
          <w:rtl/>
        </w:rPr>
        <w:t>:</w:t>
      </w:r>
      <w:r w:rsidRPr="005675B2">
        <w:rPr>
          <w:rFonts w:hint="cs"/>
          <w:rtl/>
        </w:rPr>
        <w:t xml:space="preserve"> لم يزل الأئمة الشافعية يأنفون ويستنكفون أن ينسبوا إلى الأشعري ..</w:t>
      </w:r>
      <w:r w:rsidR="000636C2">
        <w:rPr>
          <w:rFonts w:hint="cs"/>
          <w:rtl/>
        </w:rPr>
        <w:t>،</w:t>
      </w:r>
      <w:r w:rsidRPr="005675B2">
        <w:rPr>
          <w:rFonts w:hint="cs"/>
          <w:rtl/>
        </w:rPr>
        <w:t xml:space="preserve"> وضرب مثالاً بشيخ الشافعية في عصره الإمام أبي حامد الاسفراييني ..</w:t>
      </w:r>
      <w:r w:rsidR="000636C2">
        <w:rPr>
          <w:rFonts w:hint="cs"/>
          <w:rtl/>
        </w:rPr>
        <w:t>،</w:t>
      </w:r>
      <w:r w:rsidRPr="005675B2">
        <w:rPr>
          <w:rFonts w:hint="cs"/>
          <w:rtl/>
        </w:rPr>
        <w:t xml:space="preserve"> وبه اقتدى الشيخ أبو اسحاق الشيرازي ..</w:t>
      </w:r>
      <w:r w:rsidR="000636C2">
        <w:rPr>
          <w:rFonts w:hint="cs"/>
          <w:rtl/>
        </w:rPr>
        <w:t>،</w:t>
      </w:r>
      <w:r w:rsidRPr="005675B2">
        <w:rPr>
          <w:rFonts w:hint="cs"/>
          <w:rtl/>
        </w:rPr>
        <w:t xml:space="preserve"> انظر</w:t>
      </w:r>
      <w:r w:rsidR="000636C2">
        <w:rPr>
          <w:rFonts w:hint="cs"/>
          <w:rtl/>
        </w:rPr>
        <w:t>:</w:t>
      </w:r>
      <w:r w:rsidRPr="005675B2">
        <w:rPr>
          <w:rFonts w:hint="cs"/>
          <w:rtl/>
        </w:rPr>
        <w:t xml:space="preserve"> "التسعينية" و"شرح الأصفهانية"</w:t>
      </w:r>
      <w:r w:rsidR="000636C2">
        <w:rPr>
          <w:rFonts w:hint="cs"/>
          <w:rtl/>
        </w:rPr>
        <w:t>،</w:t>
      </w:r>
      <w:r w:rsidRPr="005675B2">
        <w:rPr>
          <w:rFonts w:hint="cs"/>
          <w:rtl/>
        </w:rPr>
        <w:t xml:space="preserve"> وانظر عن الكرجي وعقيدته</w:t>
      </w:r>
      <w:r w:rsidR="000636C2">
        <w:rPr>
          <w:rFonts w:hint="cs"/>
          <w:rtl/>
        </w:rPr>
        <w:t>:</w:t>
      </w:r>
      <w:r w:rsidRPr="005675B2">
        <w:rPr>
          <w:rFonts w:hint="cs"/>
          <w:rtl/>
        </w:rPr>
        <w:t xml:space="preserve"> "اجتماع الجيوش الإسلامية"</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وبنحو قوله</w:t>
      </w:r>
      <w:r w:rsidR="000636C2">
        <w:rPr>
          <w:rFonts w:hint="cs"/>
          <w:rtl/>
        </w:rPr>
        <w:t xml:space="preserve"> </w:t>
      </w:r>
      <w:r w:rsidRPr="005675B2">
        <w:rPr>
          <w:rFonts w:hint="cs"/>
          <w:rtl/>
        </w:rPr>
        <w:t>بل أشد منه قال شيخ الإسلام الهروي الأنصاري</w:t>
      </w:r>
      <w:r w:rsidR="000636C2">
        <w:rPr>
          <w:rFonts w:hint="cs"/>
          <w:rtl/>
        </w:rPr>
        <w:t>،</w:t>
      </w:r>
      <w:r w:rsidRPr="005675B2">
        <w:rPr>
          <w:rFonts w:hint="cs"/>
          <w:rtl/>
        </w:rPr>
        <w:t xml:space="preserve"> يلاحظ أن كلاً من الشافعية والحنابلة يدعي الهروي لمذهبهم</w:t>
      </w:r>
      <w:r w:rsidR="000636C2">
        <w:rPr>
          <w:rFonts w:hint="cs"/>
          <w:rtl/>
        </w:rPr>
        <w:t>،</w:t>
      </w:r>
      <w:r w:rsidRPr="005675B2">
        <w:rPr>
          <w:rFonts w:hint="cs"/>
          <w:rtl/>
        </w:rPr>
        <w:t xml:space="preserve"> وقوله فيهم نقله في التسعينية عن كتاب ذم الكلام</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عند الحنفية</w:t>
      </w:r>
      <w:r w:rsidR="000636C2">
        <w:rPr>
          <w:rFonts w:hint="cs"/>
          <w:rtl/>
        </w:rPr>
        <w:t>:</w:t>
      </w:r>
      <w:r w:rsidRPr="005675B2">
        <w:rPr>
          <w:rFonts w:hint="cs"/>
          <w:rtl/>
        </w:rPr>
        <w:t xml:space="preserve"> معلوم أن واضع الطحاوية وشارحها كلاهما حنفيان ..</w:t>
      </w:r>
      <w:r w:rsidR="000636C2">
        <w:rPr>
          <w:rFonts w:hint="cs"/>
          <w:rtl/>
        </w:rPr>
        <w:t>،</w:t>
      </w:r>
      <w:r w:rsidRPr="005675B2">
        <w:rPr>
          <w:rFonts w:hint="cs"/>
          <w:rtl/>
        </w:rPr>
        <w:t xml:space="preserve"> وتلميذ الإمام أبي حنيفة أبو يوسف كفـّر بشراً المريسي ..</w:t>
      </w:r>
      <w:r w:rsidR="000636C2">
        <w:rPr>
          <w:rFonts w:hint="cs"/>
          <w:rtl/>
        </w:rPr>
        <w:t>،</w:t>
      </w:r>
      <w:r w:rsidRPr="005675B2">
        <w:rPr>
          <w:rFonts w:hint="cs"/>
          <w:rtl/>
        </w:rPr>
        <w:t xml:space="preserve"> ومعلوم أن أصول الأشاعرة مستمدة من بشر المريسي</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عند الحنابلة</w:t>
      </w:r>
      <w:r w:rsidR="000636C2">
        <w:rPr>
          <w:rFonts w:hint="cs"/>
          <w:rtl/>
        </w:rPr>
        <w:t>:</w:t>
      </w:r>
      <w:r w:rsidRPr="005675B2">
        <w:rPr>
          <w:rFonts w:hint="cs"/>
          <w:rtl/>
        </w:rPr>
        <w:t xml:space="preserve"> موقف الحنابلة من الأشاعرة أشهر من أن يذكر</w:t>
      </w:r>
      <w:r w:rsidR="000636C2">
        <w:rPr>
          <w:rFonts w:hint="cs"/>
          <w:rtl/>
        </w:rPr>
        <w:t>،</w:t>
      </w:r>
      <w:r w:rsidRPr="005675B2">
        <w:rPr>
          <w:rFonts w:hint="cs"/>
          <w:rtl/>
        </w:rPr>
        <w:t xml:space="preserve"> فمنذ بدّع الإمام أحمد ابن كلاب وأمر بهجره وهو المؤسس الحقيقي للمذهب الأشعري لم يزل الحنابلة معهم في معركة طويلة ..</w:t>
      </w:r>
      <w:r w:rsidR="000636C2">
        <w:rPr>
          <w:rFonts w:hint="cs"/>
          <w:rtl/>
        </w:rPr>
        <w:t>،</w:t>
      </w:r>
      <w:r w:rsidRPr="005675B2">
        <w:rPr>
          <w:rFonts w:hint="cs"/>
          <w:rtl/>
        </w:rPr>
        <w:t xml:space="preserve"> وبسبب انتشار مذهبهم وإجماع علماء الدولة سيما الحنابلة على محاربته أصدر الخليفة القادر منشور الاعتقاد القادري أوضح فيه العقيدة الواجب على الأمة اعتقادها</w:t>
      </w:r>
      <w:r w:rsidR="000636C2">
        <w:rPr>
          <w:rFonts w:hint="cs"/>
          <w:rtl/>
        </w:rPr>
        <w:t>،</w:t>
      </w:r>
      <w:r w:rsidRPr="005675B2">
        <w:rPr>
          <w:rFonts w:hint="cs"/>
          <w:rtl/>
        </w:rPr>
        <w:t xml:space="preserve"> سنة </w:t>
      </w:r>
      <w:r w:rsidR="000636C2">
        <w:rPr>
          <w:rFonts w:hint="cs"/>
          <w:rtl/>
        </w:rPr>
        <w:t>(</w:t>
      </w:r>
      <w:r w:rsidRPr="005675B2">
        <w:rPr>
          <w:rFonts w:hint="cs"/>
          <w:rtl/>
        </w:rPr>
        <w:t>433ه -</w:t>
      </w:r>
      <w:r w:rsidR="000636C2">
        <w:rPr>
          <w:rFonts w:hint="cs"/>
          <w:rtl/>
        </w:rPr>
        <w:t>)]،</w:t>
      </w:r>
    </w:p>
    <w:p w14:paraId="7DC675A1" w14:textId="50C242B4" w:rsidR="009C32A0" w:rsidRPr="005675B2" w:rsidRDefault="009C32A0" w:rsidP="000636C2">
      <w:pPr>
        <w:rPr>
          <w:b/>
          <w:rtl/>
        </w:rPr>
      </w:pPr>
      <w:r w:rsidRPr="005675B2">
        <w:rPr>
          <w:rFonts w:hint="cs"/>
          <w:bCs/>
          <w:rtl/>
        </w:rPr>
        <w:t>أقول</w:t>
      </w:r>
      <w:r w:rsidR="000636C2">
        <w:rPr>
          <w:rFonts w:hint="cs"/>
          <w:rtl/>
        </w:rPr>
        <w:t xml:space="preserve">: </w:t>
      </w:r>
      <w:r w:rsidRPr="005675B2">
        <w:rPr>
          <w:rFonts w:hint="cs"/>
          <w:rtl/>
        </w:rPr>
        <w:t>1 - قول عالم أو عالمين من فقهاء المذهب لا يدل على أنه هو قول فقهاء المذهب</w:t>
      </w:r>
      <w:r w:rsidR="000636C2">
        <w:rPr>
          <w:rFonts w:hint="cs"/>
          <w:rtl/>
        </w:rPr>
        <w:t>،</w:t>
      </w:r>
      <w:r w:rsidRPr="005675B2">
        <w:rPr>
          <w:rFonts w:hint="cs"/>
          <w:rtl/>
        </w:rPr>
        <w:t xml:space="preserve"> حتى ولا غالب فقهاء المذهب</w:t>
      </w:r>
      <w:r w:rsidR="000636C2">
        <w:rPr>
          <w:rFonts w:hint="cs"/>
          <w:rtl/>
        </w:rPr>
        <w:t>،</w:t>
      </w:r>
      <w:r w:rsidRPr="005675B2">
        <w:rPr>
          <w:rFonts w:hint="cs"/>
          <w:rtl/>
        </w:rPr>
        <w:t xml:space="preserve"> فإذا افترضنا أن واحداً من المالكية ونفراً من الشافعية وواحداً من الحنفية قد ذموا الأشاعرة فهل ذمهم إياهم يعني أن هذا هو </w:t>
      </w:r>
      <w:r w:rsidR="000636C2">
        <w:rPr>
          <w:rFonts w:hint="cs"/>
          <w:rtl/>
        </w:rPr>
        <w:t>[</w:t>
      </w:r>
      <w:r w:rsidRPr="005675B2">
        <w:rPr>
          <w:rFonts w:hint="cs"/>
          <w:rtl/>
        </w:rPr>
        <w:t>حكمهم عند أئمة المذاهب الأربعة من الفقهاء</w:t>
      </w:r>
      <w:r w:rsidR="000636C2">
        <w:rPr>
          <w:rFonts w:hint="cs"/>
          <w:rtl/>
        </w:rPr>
        <w:t>]؟!</w:t>
      </w:r>
      <w:r w:rsidRPr="005675B2">
        <w:rPr>
          <w:rFonts w:hint="cs"/>
          <w:rtl/>
        </w:rPr>
        <w:t xml:space="preserve"> هذا لا يقوله عاقل</w:t>
      </w:r>
      <w:r w:rsidR="000636C2">
        <w:rPr>
          <w:rFonts w:hint="cs"/>
          <w:rtl/>
        </w:rPr>
        <w:t xml:space="preserve">، </w:t>
      </w:r>
      <w:r w:rsidRPr="005675B2">
        <w:rPr>
          <w:rFonts w:hint="cs"/>
          <w:rtl/>
        </w:rPr>
        <w:t>2 - المشهور والمعروف عن أكثر فقهاء المذهب المالكي والشافعي أنهم أشاعرة</w:t>
      </w:r>
      <w:r w:rsidR="000636C2">
        <w:rPr>
          <w:rFonts w:hint="cs"/>
          <w:rtl/>
        </w:rPr>
        <w:t>،</w:t>
      </w:r>
      <w:r w:rsidRPr="005675B2">
        <w:rPr>
          <w:rFonts w:hint="cs"/>
          <w:rtl/>
        </w:rPr>
        <w:t xml:space="preserve"> وعن أكثر فقهاء المذهب الحنفي أنهم ماتريدية</w:t>
      </w:r>
      <w:r w:rsidR="000636C2">
        <w:rPr>
          <w:rFonts w:hint="cs"/>
          <w:rtl/>
        </w:rPr>
        <w:t>،</w:t>
      </w:r>
      <w:r w:rsidRPr="005675B2">
        <w:rPr>
          <w:rFonts w:hint="cs"/>
          <w:rtl/>
        </w:rPr>
        <w:t xml:space="preserve"> والماتريدية متفقون مع الأشاعرة في أصول مسائل العقيدة</w:t>
      </w:r>
      <w:r w:rsidR="000636C2">
        <w:rPr>
          <w:rFonts w:hint="cs"/>
          <w:rtl/>
        </w:rPr>
        <w:t>،</w:t>
      </w:r>
      <w:r w:rsidRPr="005675B2">
        <w:rPr>
          <w:rFonts w:hint="cs"/>
          <w:rtl/>
        </w:rPr>
        <w:t xml:space="preserve"> وهذه مسألة خارجة عن موضوع هذا البحث</w:t>
      </w:r>
      <w:r w:rsidR="000636C2">
        <w:rPr>
          <w:rFonts w:hint="cs"/>
          <w:rtl/>
        </w:rPr>
        <w:t>،</w:t>
      </w:r>
      <w:r w:rsidRPr="005675B2">
        <w:rPr>
          <w:rFonts w:hint="cs"/>
          <w:rtl/>
        </w:rPr>
        <w:t xml:space="preserve"> أشير إليها هنا استطراداً</w:t>
      </w:r>
      <w:r w:rsidR="000636C2">
        <w:rPr>
          <w:rFonts w:hint="cs"/>
          <w:rtl/>
        </w:rPr>
        <w:t>،</w:t>
      </w:r>
      <w:r w:rsidRPr="005675B2">
        <w:rPr>
          <w:rFonts w:hint="cs"/>
          <w:rtl/>
        </w:rPr>
        <w:t xml:space="preserve"> فمن أرادها فليطلبها من مظانها</w:t>
      </w:r>
      <w:r w:rsidR="000636C2">
        <w:rPr>
          <w:rFonts w:hint="cs"/>
          <w:rtl/>
        </w:rPr>
        <w:t xml:space="preserve">، </w:t>
      </w:r>
      <w:r w:rsidRPr="005675B2">
        <w:rPr>
          <w:rFonts w:hint="cs"/>
          <w:rtl/>
        </w:rPr>
        <w:t>3 - ذكر الباحث قول ابن خويزمنداد من المالكية العراقيين</w:t>
      </w:r>
      <w:r w:rsidR="000636C2">
        <w:rPr>
          <w:rFonts w:hint="cs"/>
          <w:rtl/>
        </w:rPr>
        <w:t>،</w:t>
      </w:r>
      <w:r w:rsidRPr="005675B2">
        <w:rPr>
          <w:rFonts w:hint="cs"/>
          <w:rtl/>
        </w:rPr>
        <w:t xml:space="preserve"> وهو محمد بن أحمد بن عبدالله</w:t>
      </w:r>
      <w:r w:rsidR="000636C2">
        <w:rPr>
          <w:rFonts w:hint="cs"/>
          <w:rtl/>
        </w:rPr>
        <w:t>،</w:t>
      </w:r>
      <w:r w:rsidRPr="005675B2">
        <w:rPr>
          <w:rFonts w:hint="cs"/>
          <w:rtl/>
        </w:rPr>
        <w:t xml:space="preserve"> وقيل</w:t>
      </w:r>
      <w:r w:rsidR="000636C2">
        <w:rPr>
          <w:rFonts w:hint="cs"/>
          <w:rtl/>
        </w:rPr>
        <w:t>:</w:t>
      </w:r>
      <w:r w:rsidRPr="005675B2">
        <w:rPr>
          <w:rFonts w:hint="cs"/>
          <w:rtl/>
        </w:rPr>
        <w:t xml:space="preserve"> محمد بن أحمد بن علي</w:t>
      </w:r>
      <w:r w:rsidR="000636C2">
        <w:rPr>
          <w:rFonts w:hint="cs"/>
          <w:rtl/>
        </w:rPr>
        <w:t>،</w:t>
      </w:r>
      <w:r w:rsidRPr="005675B2">
        <w:rPr>
          <w:rFonts w:hint="cs"/>
          <w:rtl/>
        </w:rPr>
        <w:t xml:space="preserve"> المتوفى سنة </w:t>
      </w:r>
      <w:r w:rsidR="000636C2">
        <w:rPr>
          <w:rFonts w:hint="cs"/>
          <w:rtl/>
        </w:rPr>
        <w:t>(</w:t>
      </w:r>
      <w:r w:rsidRPr="005675B2">
        <w:rPr>
          <w:rFonts w:hint="cs"/>
          <w:rtl/>
        </w:rPr>
        <w:t>390ه -</w:t>
      </w:r>
      <w:r w:rsidR="000636C2">
        <w:rPr>
          <w:rFonts w:hint="cs"/>
          <w:rtl/>
        </w:rPr>
        <w:t>)</w:t>
      </w:r>
      <w:r w:rsidRPr="005675B2">
        <w:rPr>
          <w:rFonts w:hint="cs"/>
          <w:rtl/>
        </w:rPr>
        <w:t xml:space="preserve"> تقريباً</w:t>
      </w:r>
      <w:r w:rsidR="000636C2">
        <w:rPr>
          <w:rFonts w:hint="cs"/>
          <w:rtl/>
        </w:rPr>
        <w:t>،</w:t>
      </w:r>
      <w:r w:rsidRPr="005675B2">
        <w:rPr>
          <w:rFonts w:hint="cs"/>
          <w:rtl/>
        </w:rPr>
        <w:t xml:space="preserve"> وهذا لا يمثل فقهاء المالكية</w:t>
      </w:r>
      <w:r w:rsidR="000636C2">
        <w:rPr>
          <w:rFonts w:hint="cs"/>
          <w:rtl/>
        </w:rPr>
        <w:t>،</w:t>
      </w:r>
      <w:r w:rsidRPr="005675B2">
        <w:rPr>
          <w:rFonts w:hint="cs"/>
          <w:rtl/>
        </w:rPr>
        <w:t xml:space="preserve"> فقد قال فيه الإمام الباجي</w:t>
      </w:r>
      <w:r w:rsidR="000636C2">
        <w:rPr>
          <w:rFonts w:hint="cs"/>
          <w:rtl/>
        </w:rPr>
        <w:t>:</w:t>
      </w:r>
      <w:r w:rsidRPr="005675B2">
        <w:rPr>
          <w:rFonts w:hint="cs"/>
          <w:rtl/>
        </w:rPr>
        <w:t xml:space="preserve"> </w:t>
      </w:r>
      <w:r w:rsidR="000636C2">
        <w:rPr>
          <w:rFonts w:hint="cs"/>
          <w:rtl/>
        </w:rPr>
        <w:t>[</w:t>
      </w:r>
      <w:r w:rsidRPr="005675B2">
        <w:rPr>
          <w:rFonts w:hint="cs"/>
          <w:rtl/>
        </w:rPr>
        <w:t>لم أسمع له في علماء العراقيين ذكراً</w:t>
      </w:r>
      <w:r w:rsidR="000636C2">
        <w:rPr>
          <w:rFonts w:hint="cs"/>
          <w:rtl/>
        </w:rPr>
        <w:t>،</w:t>
      </w:r>
      <w:r w:rsidRPr="005675B2">
        <w:rPr>
          <w:rFonts w:hint="cs"/>
          <w:rtl/>
        </w:rPr>
        <w:t xml:space="preserve"> وكان يجانب الكلام جملة</w:t>
      </w:r>
      <w:r w:rsidR="000636C2">
        <w:rPr>
          <w:rFonts w:hint="cs"/>
          <w:rtl/>
        </w:rPr>
        <w:t>،</w:t>
      </w:r>
      <w:r w:rsidRPr="005675B2">
        <w:rPr>
          <w:rFonts w:hint="cs"/>
          <w:rtl/>
        </w:rPr>
        <w:t xml:space="preserve"> وينافر أهله</w:t>
      </w:r>
      <w:r w:rsidR="000636C2">
        <w:rPr>
          <w:rFonts w:hint="cs"/>
          <w:rtl/>
        </w:rPr>
        <w:t>،</w:t>
      </w:r>
      <w:r w:rsidRPr="005675B2">
        <w:rPr>
          <w:rFonts w:hint="cs"/>
          <w:rtl/>
        </w:rPr>
        <w:t xml:space="preserve"> حتى يؤدي إلى منافرة المتكلمين من أهل السنة</w:t>
      </w:r>
      <w:r w:rsidR="000636C2">
        <w:rPr>
          <w:rFonts w:hint="cs"/>
          <w:rtl/>
        </w:rPr>
        <w:t>،</w:t>
      </w:r>
      <w:r w:rsidRPr="005675B2">
        <w:rPr>
          <w:rFonts w:hint="cs"/>
          <w:rtl/>
        </w:rPr>
        <w:t xml:space="preserve"> وحكم على أهل الكلام أنهم من أهل الأهواء الذين قال مالك في مناكحتهم وشهادتهم ما قال</w:t>
      </w:r>
      <w:r w:rsidR="000636C2">
        <w:rPr>
          <w:rFonts w:hint="cs"/>
          <w:rtl/>
        </w:rPr>
        <w:t>]،</w:t>
      </w:r>
      <w:r w:rsidRPr="005675B2">
        <w:rPr>
          <w:rFonts w:hint="cs"/>
          <w:rtl/>
        </w:rPr>
        <w:t xml:space="preserve"> وقال فيه القاضي عياض</w:t>
      </w:r>
      <w:r w:rsidR="000636C2">
        <w:rPr>
          <w:rFonts w:hint="cs"/>
          <w:rtl/>
        </w:rPr>
        <w:t>:</w:t>
      </w:r>
      <w:r w:rsidRPr="005675B2">
        <w:rPr>
          <w:rFonts w:hint="cs"/>
          <w:rtl/>
        </w:rPr>
        <w:t xml:space="preserve"> </w:t>
      </w:r>
      <w:r w:rsidR="000636C2">
        <w:rPr>
          <w:rFonts w:hint="cs"/>
          <w:rtl/>
        </w:rPr>
        <w:t>[</w:t>
      </w:r>
      <w:r w:rsidRPr="005675B2">
        <w:rPr>
          <w:rFonts w:hint="cs"/>
          <w:rtl/>
        </w:rPr>
        <w:t>وعنده شواذ عن مالك</w:t>
      </w:r>
      <w:r w:rsidR="000636C2">
        <w:rPr>
          <w:rFonts w:hint="cs"/>
          <w:rtl/>
        </w:rPr>
        <w:t>،</w:t>
      </w:r>
      <w:r w:rsidRPr="005675B2">
        <w:rPr>
          <w:rFonts w:hint="cs"/>
          <w:rtl/>
        </w:rPr>
        <w:t xml:space="preserve"> وله اختيارات لم يعرج عليها حذاق المذهب</w:t>
      </w:r>
      <w:r w:rsidR="000636C2">
        <w:rPr>
          <w:rFonts w:hint="cs"/>
          <w:rtl/>
        </w:rPr>
        <w:t>،</w:t>
      </w:r>
      <w:r w:rsidRPr="005675B2">
        <w:rPr>
          <w:rFonts w:hint="cs"/>
          <w:rtl/>
        </w:rPr>
        <w:t xml:space="preserve"> ولم يكن بالجيد النظر ولا بالقوي الفقه</w:t>
      </w:r>
      <w:r w:rsidR="000636C2">
        <w:rPr>
          <w:rFonts w:hint="cs"/>
          <w:rtl/>
        </w:rPr>
        <w:t>]</w:t>
      </w:r>
      <w:r w:rsidRPr="005675B2">
        <w:rPr>
          <w:rFonts w:hint="cs"/>
          <w:rtl/>
        </w:rPr>
        <w:t xml:space="preserve"> [</w:t>
      </w:r>
      <w:r w:rsidRPr="005675B2">
        <w:rPr>
          <w:rFonts w:hint="cs"/>
          <w:sz w:val="24"/>
          <w:szCs w:val="24"/>
          <w:rtl/>
        </w:rPr>
        <w:t>انظر: ترتيب المدارك للقاضي عياض: 4 / 606 . الديباج المذهب لابن فرحون: 2 / 229 . تاريخ الإسلام للإمام الذهبي: الطبقة 39 – 40: ص 217 . الوافي بالوفيات للصفدي: 2 / 52</w:t>
      </w:r>
      <w:r w:rsidR="000636C2">
        <w:rPr>
          <w:rFonts w:hint="cs"/>
          <w:sz w:val="24"/>
          <w:szCs w:val="24"/>
          <w:rtl/>
        </w:rPr>
        <w:t>]</w:t>
      </w:r>
      <w:r w:rsidR="000636C2">
        <w:rPr>
          <w:rFonts w:hint="cs"/>
          <w:rtl/>
        </w:rPr>
        <w:t>،</w:t>
      </w:r>
      <w:r w:rsidRPr="005675B2">
        <w:rPr>
          <w:rFonts w:hint="cs"/>
          <w:rtl/>
        </w:rPr>
        <w:t xml:space="preserve"> وفـي قول الباجي إشـارة إلى أن الأشـاعرة الذين خاضوا في علم الكلام ليسـوا من أهل الأهواء والكلام المذموم الذين قال فيهم الإمام مالك ما قال</w:t>
      </w:r>
      <w:r w:rsidR="000636C2">
        <w:rPr>
          <w:rFonts w:hint="cs"/>
          <w:rtl/>
        </w:rPr>
        <w:t xml:space="preserve">، </w:t>
      </w:r>
      <w:r w:rsidRPr="005675B2">
        <w:rPr>
          <w:rFonts w:hint="cs"/>
          <w:rtl/>
        </w:rPr>
        <w:t>4 - ذكر الباحث قولاً منسوباً لأبي العباس ابن سريج</w:t>
      </w:r>
      <w:r w:rsidR="000636C2">
        <w:rPr>
          <w:rFonts w:hint="cs"/>
          <w:rtl/>
        </w:rPr>
        <w:t>،</w:t>
      </w:r>
      <w:r w:rsidRPr="005675B2">
        <w:rPr>
          <w:rFonts w:hint="cs"/>
          <w:rtl/>
        </w:rPr>
        <w:t xml:space="preserve"> وهو الفقيه الشافعي الكبير أحمد بن عمر بن سريج</w:t>
      </w:r>
      <w:r w:rsidR="000636C2">
        <w:rPr>
          <w:rFonts w:hint="cs"/>
          <w:rtl/>
        </w:rPr>
        <w:t>،</w:t>
      </w:r>
      <w:r w:rsidRPr="005675B2">
        <w:rPr>
          <w:rFonts w:hint="cs"/>
          <w:rtl/>
        </w:rPr>
        <w:t xml:space="preserve"> المتوفى سنة </w:t>
      </w:r>
      <w:r w:rsidR="000636C2">
        <w:rPr>
          <w:rFonts w:hint="cs"/>
          <w:rtl/>
        </w:rPr>
        <w:t>(</w:t>
      </w:r>
      <w:r w:rsidRPr="005675B2">
        <w:rPr>
          <w:rFonts w:hint="cs"/>
          <w:rtl/>
        </w:rPr>
        <w:t>306ه -</w:t>
      </w:r>
      <w:r w:rsidR="000636C2">
        <w:rPr>
          <w:rFonts w:hint="cs"/>
          <w:rtl/>
        </w:rPr>
        <w:t>)</w:t>
      </w:r>
      <w:r w:rsidRPr="005675B2">
        <w:rPr>
          <w:rFonts w:hint="cs"/>
          <w:rtl/>
        </w:rPr>
        <w:t xml:space="preserve"> [</w:t>
      </w:r>
      <w:r w:rsidRPr="005675B2">
        <w:rPr>
          <w:rFonts w:hint="cs"/>
          <w:sz w:val="24"/>
          <w:szCs w:val="24"/>
          <w:rtl/>
        </w:rPr>
        <w:t>توفي ابن سريج سنة (306هـ) كما في تاريخ بغداد للخطيب البغدادي: 4 /290 . وترجم له الذهبي في سير أعلام النبلاء 14 / 201 – 203</w:t>
      </w:r>
      <w:r w:rsidR="000636C2">
        <w:rPr>
          <w:rFonts w:hint="cs"/>
          <w:sz w:val="24"/>
          <w:szCs w:val="24"/>
          <w:rtl/>
        </w:rPr>
        <w:t>،</w:t>
      </w:r>
      <w:r w:rsidRPr="005675B2">
        <w:rPr>
          <w:rFonts w:hint="cs"/>
          <w:sz w:val="24"/>
          <w:szCs w:val="24"/>
          <w:rtl/>
        </w:rPr>
        <w:t xml:space="preserve"> وفيه ما يشير إلى أنه توفي سنة </w:t>
      </w:r>
      <w:r w:rsidR="000636C2">
        <w:rPr>
          <w:rFonts w:hint="cs"/>
          <w:sz w:val="24"/>
          <w:szCs w:val="24"/>
          <w:rtl/>
        </w:rPr>
        <w:t>(</w:t>
      </w:r>
      <w:r w:rsidRPr="005675B2">
        <w:rPr>
          <w:rFonts w:hint="cs"/>
          <w:sz w:val="24"/>
          <w:szCs w:val="24"/>
          <w:rtl/>
        </w:rPr>
        <w:t>303هـ)</w:t>
      </w:r>
      <w:r w:rsidR="000636C2">
        <w:rPr>
          <w:rFonts w:hint="cs"/>
          <w:sz w:val="24"/>
          <w:szCs w:val="24"/>
          <w:rtl/>
        </w:rPr>
        <w:t>]</w:t>
      </w:r>
      <w:r w:rsidRPr="005675B2">
        <w:rPr>
          <w:rFonts w:hint="cs"/>
          <w:rtl/>
        </w:rPr>
        <w:t>، منقولاً من كتاب "اجتماع الجيوش الإسلامية" لابن القيم رحمه الله</w:t>
      </w:r>
      <w:r w:rsidR="000636C2">
        <w:rPr>
          <w:rFonts w:hint="cs"/>
          <w:rtl/>
        </w:rPr>
        <w:t>،</w:t>
      </w:r>
      <w:r w:rsidRPr="005675B2">
        <w:rPr>
          <w:rFonts w:hint="cs"/>
          <w:rtl/>
        </w:rPr>
        <w:t xml:space="preserve"> والواجب التريث والتثبت عند نقل أي نص يحتج به على أحد من كتاب من يخالفه ويخاصمه</w:t>
      </w:r>
      <w:r w:rsidR="000636C2">
        <w:rPr>
          <w:rFonts w:hint="cs"/>
          <w:rtl/>
        </w:rPr>
        <w:t>،</w:t>
      </w:r>
      <w:r w:rsidRPr="005675B2">
        <w:rPr>
          <w:rFonts w:hint="cs"/>
          <w:rtl/>
        </w:rPr>
        <w:t xml:space="preserve"> أو من يجر بذلك النقل لنفسه نفعاً</w:t>
      </w:r>
      <w:r w:rsidR="000636C2">
        <w:rPr>
          <w:rFonts w:hint="cs"/>
          <w:rtl/>
        </w:rPr>
        <w:t>،</w:t>
      </w:r>
      <w:r w:rsidRPr="005675B2">
        <w:rPr>
          <w:rFonts w:hint="cs"/>
          <w:rtl/>
        </w:rPr>
        <w:t xml:space="preserve"> لا للتهمة بالكذب</w:t>
      </w:r>
      <w:r w:rsidR="000636C2">
        <w:rPr>
          <w:rFonts w:hint="cs"/>
          <w:rtl/>
        </w:rPr>
        <w:t>،</w:t>
      </w:r>
      <w:r w:rsidRPr="005675B2">
        <w:rPr>
          <w:rFonts w:hint="cs"/>
          <w:rtl/>
        </w:rPr>
        <w:t xml:space="preserve"> ولكن للتسرع في قبول ما ينقل دون تمحيص</w:t>
      </w:r>
      <w:r w:rsidR="000636C2">
        <w:rPr>
          <w:rFonts w:hint="cs"/>
          <w:rtl/>
        </w:rPr>
        <w:t>،</w:t>
      </w:r>
      <w:r w:rsidRPr="005675B2">
        <w:rPr>
          <w:rFonts w:hint="cs"/>
          <w:rtl/>
        </w:rPr>
        <w:t xml:space="preserve"> إذ المعاداة والمنافرة قد تحول بين المرء وبين دقة التحري</w:t>
      </w:r>
      <w:r w:rsidR="000636C2">
        <w:rPr>
          <w:rFonts w:hint="cs"/>
          <w:rtl/>
        </w:rPr>
        <w:t>،</w:t>
      </w:r>
      <w:r w:rsidRPr="005675B2">
        <w:rPr>
          <w:rFonts w:hint="cs"/>
          <w:rtl/>
        </w:rPr>
        <w:t xml:space="preserve"> فينسب الناقل متسرعاً عن المنقول عنه ما لم يقله</w:t>
      </w:r>
      <w:r w:rsidR="000636C2">
        <w:rPr>
          <w:rFonts w:hint="cs"/>
          <w:rtl/>
        </w:rPr>
        <w:t>،</w:t>
      </w:r>
      <w:r w:rsidRPr="005675B2">
        <w:rPr>
          <w:rFonts w:hint="cs"/>
          <w:rtl/>
        </w:rPr>
        <w:t xml:space="preserve"> وكذا إذا كان الناقل يجر بذلك النقل لنفسه نفعاً</w:t>
      </w:r>
      <w:r w:rsidR="000636C2">
        <w:rPr>
          <w:rFonts w:hint="cs"/>
          <w:rtl/>
        </w:rPr>
        <w:t>،</w:t>
      </w:r>
      <w:r w:rsidRPr="005675B2">
        <w:rPr>
          <w:rFonts w:hint="cs"/>
          <w:rtl/>
        </w:rPr>
        <w:t xml:space="preserve"> وهنا تحمل الرغبة الباطنة في انتصار الكاتب لقوله وتأييده لمذهبه على التساهل في قبول الرواية عن المنقول عنه</w:t>
      </w:r>
      <w:r w:rsidR="000636C2">
        <w:rPr>
          <w:rFonts w:hint="cs"/>
          <w:rtl/>
        </w:rPr>
        <w:t>،</w:t>
      </w:r>
      <w:r w:rsidRPr="005675B2">
        <w:rPr>
          <w:rFonts w:hint="cs"/>
          <w:rtl/>
        </w:rPr>
        <w:t xml:space="preserve"> دون نقد ولا تمحيص</w:t>
      </w:r>
      <w:r w:rsidR="000636C2">
        <w:rPr>
          <w:rFonts w:hint="cs"/>
          <w:rtl/>
        </w:rPr>
        <w:t xml:space="preserve">، </w:t>
      </w:r>
      <w:r w:rsidRPr="005675B2">
        <w:rPr>
          <w:rFonts w:hint="cs"/>
          <w:rtl/>
        </w:rPr>
        <w:t>ويبدو أن ابن القيم</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قد وقع في ذلك التساهل</w:t>
      </w:r>
      <w:r w:rsidR="000636C2">
        <w:rPr>
          <w:rFonts w:hint="cs"/>
          <w:rtl/>
        </w:rPr>
        <w:t>،</w:t>
      </w:r>
      <w:r w:rsidRPr="005675B2">
        <w:rPr>
          <w:rFonts w:hint="cs"/>
          <w:rtl/>
        </w:rPr>
        <w:t xml:space="preserve"> إذ نقل شيئاً من العقيدة المنسوبة لابن سريج</w:t>
      </w:r>
      <w:r w:rsidR="000636C2">
        <w:rPr>
          <w:rFonts w:hint="cs"/>
          <w:rtl/>
        </w:rPr>
        <w:t>،</w:t>
      </w:r>
      <w:r w:rsidRPr="005675B2">
        <w:rPr>
          <w:rFonts w:hint="cs"/>
          <w:rtl/>
        </w:rPr>
        <w:t xml:space="preserve"> دون أن ينقد الرواية</w:t>
      </w:r>
      <w:r w:rsidR="000636C2">
        <w:rPr>
          <w:rFonts w:hint="cs"/>
          <w:rtl/>
        </w:rPr>
        <w:t>،</w:t>
      </w:r>
      <w:r w:rsidRPr="005675B2">
        <w:rPr>
          <w:rFonts w:hint="cs"/>
          <w:rtl/>
        </w:rPr>
        <w:t xml:space="preserve"> لا سنداً</w:t>
      </w:r>
      <w:r w:rsidR="000636C2">
        <w:rPr>
          <w:rFonts w:hint="cs"/>
          <w:rtl/>
        </w:rPr>
        <w:t>،</w:t>
      </w:r>
      <w:r w:rsidRPr="005675B2">
        <w:rPr>
          <w:rFonts w:hint="cs"/>
          <w:rtl/>
        </w:rPr>
        <w:t xml:space="preserve"> ولا متناً</w:t>
      </w:r>
      <w:r w:rsidR="000636C2">
        <w:rPr>
          <w:rFonts w:hint="cs"/>
          <w:rtl/>
        </w:rPr>
        <w:t xml:space="preserve">، </w:t>
      </w:r>
      <w:r w:rsidRPr="005675B2">
        <w:rPr>
          <w:rFonts w:hint="cs"/>
          <w:rtl/>
        </w:rPr>
        <w:t>فأما السند فهو منقطع</w:t>
      </w:r>
      <w:r w:rsidR="000636C2">
        <w:rPr>
          <w:rFonts w:hint="cs"/>
          <w:rtl/>
        </w:rPr>
        <w:t>،</w:t>
      </w:r>
      <w:r w:rsidRPr="005675B2">
        <w:rPr>
          <w:rFonts w:hint="cs"/>
          <w:rtl/>
        </w:rPr>
        <w:t xml:space="preserve"> لأن الذي ذكرها عن ابن سريج كما قال ابن القيم هو أبو القاسم سعد بن علي بن محمد الزنجاني</w:t>
      </w:r>
      <w:r w:rsidR="000636C2">
        <w:rPr>
          <w:rFonts w:hint="cs"/>
          <w:rtl/>
        </w:rPr>
        <w:t>،</w:t>
      </w:r>
      <w:r w:rsidRPr="005675B2">
        <w:rPr>
          <w:rFonts w:hint="cs"/>
          <w:rtl/>
        </w:rPr>
        <w:t xml:space="preserve"> وهذا قد ولد سـنة </w:t>
      </w:r>
      <w:r w:rsidR="000636C2">
        <w:rPr>
          <w:rFonts w:hint="cs"/>
          <w:rtl/>
        </w:rPr>
        <w:t>(</w:t>
      </w:r>
      <w:r w:rsidRPr="005675B2">
        <w:rPr>
          <w:rFonts w:hint="cs"/>
          <w:rtl/>
        </w:rPr>
        <w:t>380ه -</w:t>
      </w:r>
      <w:r w:rsidR="000636C2">
        <w:rPr>
          <w:rFonts w:hint="cs"/>
          <w:rtl/>
        </w:rPr>
        <w:t>)</w:t>
      </w:r>
      <w:r w:rsidRPr="005675B2">
        <w:rPr>
          <w:rFonts w:hint="cs"/>
          <w:rtl/>
        </w:rPr>
        <w:t xml:space="preserve"> تقريباً</w:t>
      </w:r>
      <w:r w:rsidR="000636C2">
        <w:rPr>
          <w:rFonts w:hint="cs"/>
          <w:rtl/>
        </w:rPr>
        <w:t>،</w:t>
      </w:r>
      <w:r w:rsidRPr="005675B2">
        <w:rPr>
          <w:rFonts w:hint="cs"/>
          <w:rtl/>
        </w:rPr>
        <w:t xml:space="preserve"> وتوفي سـنة </w:t>
      </w:r>
      <w:r w:rsidR="000636C2">
        <w:rPr>
          <w:rFonts w:hint="cs"/>
          <w:rtl/>
        </w:rPr>
        <w:t>(</w:t>
      </w:r>
      <w:r w:rsidRPr="005675B2">
        <w:rPr>
          <w:rFonts w:hint="cs"/>
          <w:rtl/>
        </w:rPr>
        <w:t>471ه -</w:t>
      </w:r>
      <w:r w:rsidR="000636C2">
        <w:rPr>
          <w:rFonts w:hint="cs"/>
          <w:rtl/>
        </w:rPr>
        <w:t>)</w:t>
      </w:r>
      <w:r w:rsidRPr="005675B2">
        <w:rPr>
          <w:rFonts w:hint="cs"/>
          <w:rtl/>
        </w:rPr>
        <w:t xml:space="preserve"> [</w:t>
      </w:r>
      <w:r w:rsidRPr="005675B2">
        <w:rPr>
          <w:rFonts w:hint="cs"/>
          <w:sz w:val="24"/>
          <w:szCs w:val="24"/>
          <w:rtl/>
        </w:rPr>
        <w:t>انظر: سير أعلام النبلاء للذهبي: 18 / 385ـ389 . وذكر سـنة وفاته كذلك الصفدي في الوافي بالوفيات: 15/180</w:t>
      </w:r>
      <w:r w:rsidR="000636C2">
        <w:rPr>
          <w:rFonts w:hint="cs"/>
          <w:sz w:val="24"/>
          <w:szCs w:val="24"/>
          <w:rtl/>
        </w:rPr>
        <w:t>]</w:t>
      </w:r>
      <w:r w:rsidR="000636C2">
        <w:rPr>
          <w:rFonts w:hint="cs"/>
          <w:rtl/>
        </w:rPr>
        <w:t>،</w:t>
      </w:r>
      <w:r w:rsidRPr="005675B2">
        <w:rPr>
          <w:rFonts w:hint="cs"/>
          <w:rtl/>
        </w:rPr>
        <w:t xml:space="preserve"> أي إنه ولد بعد وفاة ابن سريج بخمسة وسبعين عاماً تقريباً</w:t>
      </w:r>
      <w:r w:rsidR="000636C2">
        <w:rPr>
          <w:rFonts w:hint="cs"/>
          <w:rtl/>
        </w:rPr>
        <w:t>،</w:t>
      </w:r>
      <w:r w:rsidRPr="005675B2">
        <w:rPr>
          <w:rFonts w:hint="cs"/>
          <w:rtl/>
        </w:rPr>
        <w:t xml:space="preserve"> ولم يذكر من الذي بلغه إياها</w:t>
      </w:r>
      <w:r w:rsidR="000636C2">
        <w:rPr>
          <w:rFonts w:hint="cs"/>
          <w:rtl/>
        </w:rPr>
        <w:t>،</w:t>
      </w:r>
      <w:r w:rsidRPr="005675B2">
        <w:rPr>
          <w:rFonts w:hint="cs"/>
          <w:rtl/>
        </w:rPr>
        <w:t xml:space="preserve"> وكل سند منقطع فهو ضعيف</w:t>
      </w:r>
      <w:r w:rsidR="000636C2">
        <w:rPr>
          <w:rFonts w:hint="cs"/>
          <w:rtl/>
        </w:rPr>
        <w:t xml:space="preserve">، </w:t>
      </w:r>
      <w:r w:rsidRPr="005675B2">
        <w:rPr>
          <w:rFonts w:hint="cs"/>
          <w:rtl/>
        </w:rPr>
        <w:t xml:space="preserve">وأما المتن فإن من المستبعد جداً أن يتحدث من توفي قبل الأشعري بعشرين عاماً تقريباً عن </w:t>
      </w:r>
      <w:r w:rsidR="000636C2">
        <w:rPr>
          <w:rFonts w:hint="cs"/>
          <w:rtl/>
        </w:rPr>
        <w:t>[</w:t>
      </w:r>
      <w:r w:rsidRPr="005675B2">
        <w:rPr>
          <w:rFonts w:hint="cs"/>
          <w:rtl/>
        </w:rPr>
        <w:t>الأشعرية</w:t>
      </w:r>
      <w:r w:rsidR="000636C2">
        <w:rPr>
          <w:rFonts w:hint="cs"/>
          <w:rtl/>
        </w:rPr>
        <w:t>]</w:t>
      </w:r>
      <w:r w:rsidRPr="005675B2">
        <w:rPr>
          <w:rFonts w:hint="cs"/>
          <w:rtl/>
        </w:rPr>
        <w:t xml:space="preserve"> وكأنهم جماعة معروفة بهذا الانتساب ومتمذهبة به</w:t>
      </w:r>
      <w:r w:rsidR="000636C2">
        <w:rPr>
          <w:rFonts w:hint="cs"/>
          <w:rtl/>
        </w:rPr>
        <w:t>،</w:t>
      </w:r>
      <w:r w:rsidRPr="005675B2">
        <w:rPr>
          <w:rFonts w:hint="cs"/>
          <w:rtl/>
        </w:rPr>
        <w:t xml:space="preserve"> فهل عرف أن تحدث من توفي قبل أبي حنيفة عن </w:t>
      </w:r>
      <w:r w:rsidR="000636C2">
        <w:rPr>
          <w:rFonts w:hint="cs"/>
          <w:rtl/>
        </w:rPr>
        <w:t>[</w:t>
      </w:r>
      <w:r w:rsidRPr="005675B2">
        <w:rPr>
          <w:rFonts w:hint="cs"/>
          <w:rtl/>
        </w:rPr>
        <w:t>الحنفية</w:t>
      </w:r>
      <w:r w:rsidR="000636C2">
        <w:rPr>
          <w:rFonts w:hint="cs"/>
          <w:rtl/>
        </w:rPr>
        <w:t>]؟!</w:t>
      </w:r>
      <w:r w:rsidRPr="005675B2">
        <w:rPr>
          <w:rFonts w:hint="cs"/>
          <w:rtl/>
        </w:rPr>
        <w:t xml:space="preserve">! أو قبل مالك عن </w:t>
      </w:r>
      <w:r w:rsidR="000636C2">
        <w:rPr>
          <w:rFonts w:hint="cs"/>
          <w:rtl/>
        </w:rPr>
        <w:t>[</w:t>
      </w:r>
      <w:r w:rsidRPr="005675B2">
        <w:rPr>
          <w:rFonts w:hint="cs"/>
          <w:rtl/>
        </w:rPr>
        <w:t>المالكية</w:t>
      </w:r>
      <w:r w:rsidR="000636C2">
        <w:rPr>
          <w:rFonts w:hint="cs"/>
          <w:rtl/>
        </w:rPr>
        <w:t>]؟!</w:t>
      </w:r>
      <w:r w:rsidRPr="005675B2">
        <w:rPr>
          <w:rFonts w:hint="cs"/>
          <w:rtl/>
        </w:rPr>
        <w:t xml:space="preserve">! أو قبل الشافعي عن </w:t>
      </w:r>
      <w:r w:rsidR="000636C2">
        <w:rPr>
          <w:rFonts w:hint="cs"/>
          <w:rtl/>
        </w:rPr>
        <w:t>[</w:t>
      </w:r>
      <w:r w:rsidRPr="005675B2">
        <w:rPr>
          <w:rFonts w:hint="cs"/>
          <w:rtl/>
        </w:rPr>
        <w:t>الشافعية</w:t>
      </w:r>
      <w:r w:rsidR="000636C2">
        <w:rPr>
          <w:rFonts w:hint="cs"/>
          <w:rtl/>
        </w:rPr>
        <w:t>]؟!</w:t>
      </w:r>
      <w:r w:rsidRPr="005675B2">
        <w:rPr>
          <w:rFonts w:hint="cs"/>
          <w:rtl/>
        </w:rPr>
        <w:t xml:space="preserve">! أو قبل ابن حنبل عن </w:t>
      </w:r>
      <w:r w:rsidR="000636C2">
        <w:rPr>
          <w:rFonts w:hint="cs"/>
          <w:rtl/>
        </w:rPr>
        <w:t>[</w:t>
      </w:r>
      <w:r w:rsidRPr="005675B2">
        <w:rPr>
          <w:rFonts w:hint="cs"/>
          <w:rtl/>
        </w:rPr>
        <w:t>الحنبلية</w:t>
      </w:r>
      <w:r w:rsidR="000636C2">
        <w:rPr>
          <w:rFonts w:hint="cs"/>
          <w:rtl/>
        </w:rPr>
        <w:t>]؟!</w:t>
      </w:r>
      <w:r w:rsidRPr="005675B2">
        <w:rPr>
          <w:rFonts w:hint="cs"/>
          <w:rtl/>
        </w:rPr>
        <w:t xml:space="preserve">! أو قبل الماتريدي عن </w:t>
      </w:r>
      <w:r w:rsidR="000636C2">
        <w:rPr>
          <w:rFonts w:hint="cs"/>
          <w:rtl/>
        </w:rPr>
        <w:t>[</w:t>
      </w:r>
      <w:r w:rsidRPr="005675B2">
        <w:rPr>
          <w:rFonts w:hint="cs"/>
          <w:rtl/>
        </w:rPr>
        <w:t>الماتريدية</w:t>
      </w:r>
      <w:r w:rsidR="000636C2">
        <w:rPr>
          <w:rFonts w:hint="cs"/>
          <w:rtl/>
        </w:rPr>
        <w:t>]؟!</w:t>
      </w:r>
      <w:r w:rsidRPr="005675B2">
        <w:rPr>
          <w:rFonts w:hint="cs"/>
          <w:rtl/>
        </w:rPr>
        <w:t xml:space="preserve">! أو قبل الرفاعي عن </w:t>
      </w:r>
      <w:r w:rsidR="000636C2">
        <w:rPr>
          <w:rFonts w:hint="cs"/>
          <w:rtl/>
        </w:rPr>
        <w:t>[</w:t>
      </w:r>
      <w:r w:rsidRPr="005675B2">
        <w:rPr>
          <w:rFonts w:hint="cs"/>
          <w:rtl/>
        </w:rPr>
        <w:t>الرفاعية</w:t>
      </w:r>
      <w:r w:rsidR="000636C2">
        <w:rPr>
          <w:rFonts w:hint="cs"/>
          <w:rtl/>
        </w:rPr>
        <w:t>]؟،</w:t>
      </w:r>
      <w:r w:rsidRPr="005675B2">
        <w:rPr>
          <w:rFonts w:hint="cs"/>
          <w:rtl/>
        </w:rPr>
        <w:t xml:space="preserve"> فالظاهر أن كلمة </w:t>
      </w:r>
      <w:r w:rsidR="000636C2">
        <w:rPr>
          <w:rFonts w:hint="cs"/>
          <w:rtl/>
        </w:rPr>
        <w:t>[</w:t>
      </w:r>
      <w:r w:rsidRPr="005675B2">
        <w:rPr>
          <w:rFonts w:hint="cs"/>
          <w:rtl/>
        </w:rPr>
        <w:t>والأشعرية</w:t>
      </w:r>
      <w:r w:rsidR="000636C2">
        <w:rPr>
          <w:rFonts w:hint="cs"/>
          <w:rtl/>
        </w:rPr>
        <w:t>]</w:t>
      </w:r>
      <w:r w:rsidRPr="005675B2">
        <w:rPr>
          <w:rFonts w:hint="cs"/>
          <w:rtl/>
        </w:rPr>
        <w:t xml:space="preserve"> ليست من كلام ابن سريج</w:t>
      </w:r>
      <w:r w:rsidR="000636C2">
        <w:rPr>
          <w:rFonts w:hint="cs"/>
          <w:rtl/>
        </w:rPr>
        <w:t>،</w:t>
      </w:r>
      <w:r w:rsidRPr="005675B2">
        <w:rPr>
          <w:rFonts w:hint="cs"/>
          <w:rtl/>
        </w:rPr>
        <w:t xml:space="preserve"> وإنما هي مقحمة فيه</w:t>
      </w:r>
      <w:r w:rsidR="000636C2">
        <w:rPr>
          <w:rFonts w:hint="cs"/>
          <w:rtl/>
        </w:rPr>
        <w:t xml:space="preserve">، </w:t>
      </w:r>
      <w:r w:rsidRPr="005675B2">
        <w:rPr>
          <w:rFonts w:hint="cs"/>
          <w:rtl/>
        </w:rPr>
        <w:t>5 - ذكر الباحث قولاً منسوباً لأبي الحسن الكرجي</w:t>
      </w:r>
      <w:r w:rsidR="000636C2">
        <w:rPr>
          <w:rFonts w:hint="cs"/>
          <w:rtl/>
        </w:rPr>
        <w:t>،</w:t>
      </w:r>
      <w:r w:rsidRPr="005675B2">
        <w:rPr>
          <w:rFonts w:hint="cs"/>
          <w:rtl/>
        </w:rPr>
        <w:t xml:space="preserve"> وهو الفقيه الشافعي الكبير محمد بن عبد الملك الكرجي</w:t>
      </w:r>
      <w:r w:rsidR="000636C2">
        <w:rPr>
          <w:rFonts w:hint="cs"/>
          <w:rtl/>
        </w:rPr>
        <w:t>،</w:t>
      </w:r>
      <w:r w:rsidRPr="005675B2">
        <w:rPr>
          <w:rFonts w:hint="cs"/>
          <w:rtl/>
        </w:rPr>
        <w:t xml:space="preserve"> المتوفى سنة </w:t>
      </w:r>
      <w:r w:rsidR="000636C2">
        <w:rPr>
          <w:rFonts w:hint="cs"/>
          <w:rtl/>
        </w:rPr>
        <w:t>(</w:t>
      </w:r>
      <w:r w:rsidRPr="005675B2">
        <w:rPr>
          <w:rFonts w:hint="cs"/>
          <w:rtl/>
        </w:rPr>
        <w:t>532ه -</w:t>
      </w:r>
      <w:r w:rsidR="000636C2">
        <w:rPr>
          <w:rFonts w:hint="cs"/>
          <w:rtl/>
        </w:rPr>
        <w:t>)</w:t>
      </w:r>
      <w:r w:rsidRPr="005675B2">
        <w:rPr>
          <w:rFonts w:hint="cs"/>
          <w:rtl/>
        </w:rPr>
        <w:t xml:space="preserve"> [</w:t>
      </w:r>
      <w:r w:rsidRPr="005675B2">
        <w:rPr>
          <w:rFonts w:hint="cs"/>
          <w:sz w:val="24"/>
          <w:szCs w:val="24"/>
          <w:rtl/>
        </w:rPr>
        <w:t>انظر ترجمته في طبقات الشافعية الكبرى للسبكي: 6 / 137 – 147 . وطبقات الفقهاء الشافعية لابن الصلاح: 1 / 215 – 217 . وطبقات الشافعية للإسنوي: 2 / 348 – 349</w:t>
      </w:r>
      <w:r w:rsidR="000636C2">
        <w:rPr>
          <w:rFonts w:hint="cs"/>
          <w:sz w:val="24"/>
          <w:szCs w:val="24"/>
          <w:rtl/>
        </w:rPr>
        <w:t>]</w:t>
      </w:r>
      <w:r w:rsidRPr="005675B2">
        <w:rPr>
          <w:rFonts w:hint="cs"/>
          <w:rtl/>
        </w:rPr>
        <w:t>، منقولاً من كتب ابن تيمية وابن القيم</w:t>
      </w:r>
      <w:r w:rsidR="000636C2">
        <w:rPr>
          <w:rFonts w:hint="cs"/>
          <w:rtl/>
        </w:rPr>
        <w:t>،</w:t>
      </w:r>
      <w:r w:rsidRPr="005675B2">
        <w:rPr>
          <w:rFonts w:hint="cs"/>
          <w:rtl/>
        </w:rPr>
        <w:t xml:space="preserve"> وهما مخالفان ومخاصمان للأشاعرة</w:t>
      </w:r>
      <w:r w:rsidR="000636C2">
        <w:rPr>
          <w:rFonts w:hint="cs"/>
          <w:rtl/>
        </w:rPr>
        <w:t>،</w:t>
      </w:r>
      <w:r w:rsidRPr="005675B2">
        <w:rPr>
          <w:rFonts w:hint="cs"/>
          <w:rtl/>
        </w:rPr>
        <w:t xml:space="preserve"> ويجران بذلك النقل لنفسيهما نفعاً</w:t>
      </w:r>
      <w:r w:rsidR="000636C2">
        <w:rPr>
          <w:rFonts w:hint="cs"/>
          <w:rtl/>
        </w:rPr>
        <w:t>،</w:t>
      </w:r>
      <w:r w:rsidRPr="005675B2">
        <w:rPr>
          <w:rFonts w:hint="cs"/>
          <w:rtl/>
        </w:rPr>
        <w:t xml:space="preserve"> فهذا النقل لا يصح أن يعتمد عليه </w:t>
      </w:r>
      <w:r w:rsidR="000636C2">
        <w:rPr>
          <w:rFonts w:hint="cs"/>
          <w:rtl/>
        </w:rPr>
        <w:t>[</w:t>
      </w:r>
      <w:r w:rsidRPr="005675B2">
        <w:rPr>
          <w:rFonts w:hint="cs"/>
          <w:sz w:val="24"/>
          <w:szCs w:val="24"/>
          <w:rtl/>
        </w:rPr>
        <w:t>انظر: التسعينية لابن تيمية: ص 238</w:t>
      </w:r>
      <w:r w:rsidR="000636C2">
        <w:rPr>
          <w:rFonts w:hint="cs"/>
          <w:sz w:val="24"/>
          <w:szCs w:val="24"/>
          <w:rtl/>
        </w:rPr>
        <w:t>]</w:t>
      </w:r>
      <w:r w:rsidR="000636C2">
        <w:rPr>
          <w:rFonts w:hint="cs"/>
          <w:rtl/>
        </w:rPr>
        <w:t xml:space="preserve">، </w:t>
      </w:r>
      <w:r w:rsidRPr="005675B2">
        <w:rPr>
          <w:rFonts w:hint="cs"/>
          <w:rtl/>
        </w:rPr>
        <w:t>ويبدو أن الكرجي هذا رحمه الله كان قد ابتلي بمن يدس في كلامه في العقيدة ما لم يقله</w:t>
      </w:r>
      <w:r w:rsidR="000636C2">
        <w:rPr>
          <w:rFonts w:hint="cs"/>
          <w:rtl/>
        </w:rPr>
        <w:t>!،</w:t>
      </w:r>
      <w:r w:rsidRPr="005675B2">
        <w:rPr>
          <w:rFonts w:hint="cs"/>
          <w:rtl/>
        </w:rPr>
        <w:t xml:space="preserve"> وما أكثر الذين كانوا يستجيزون مثل ذلك</w:t>
      </w:r>
      <w:r w:rsidR="000636C2">
        <w:rPr>
          <w:rFonts w:hint="cs"/>
          <w:rtl/>
        </w:rPr>
        <w:t xml:space="preserve">!، </w:t>
      </w:r>
      <w:r w:rsidRPr="005675B2">
        <w:rPr>
          <w:rFonts w:hint="cs"/>
          <w:rtl/>
        </w:rPr>
        <w:t>وقد أشار السبكي في "طبقات الشافعية الكبرى" إلى وقوفه على قصيدة تنسب إليه في العقيدة</w:t>
      </w:r>
      <w:r w:rsidR="000636C2">
        <w:rPr>
          <w:rFonts w:hint="cs"/>
          <w:rtl/>
        </w:rPr>
        <w:t>،</w:t>
      </w:r>
      <w:r w:rsidRPr="005675B2">
        <w:rPr>
          <w:rFonts w:hint="cs"/>
          <w:rtl/>
        </w:rPr>
        <w:t xml:space="preserve"> وأبدى شكه في جزء منها على الأقل</w:t>
      </w:r>
      <w:r w:rsidR="000636C2">
        <w:rPr>
          <w:rFonts w:hint="cs"/>
          <w:rtl/>
        </w:rPr>
        <w:t>،</w:t>
      </w:r>
      <w:r w:rsidRPr="005675B2">
        <w:rPr>
          <w:rFonts w:hint="cs"/>
          <w:rtl/>
        </w:rPr>
        <w:t xml:space="preserve"> وهو المشتمل على ما يقتضي التجسيم وعلى مخالفة الأشاعرة والطعن في الإمام أبي الحسن الأشعري رحمه الله</w:t>
      </w:r>
      <w:r w:rsidR="000636C2">
        <w:rPr>
          <w:rFonts w:hint="cs"/>
          <w:rtl/>
        </w:rPr>
        <w:t>،</w:t>
      </w:r>
      <w:r w:rsidRPr="005675B2">
        <w:rPr>
          <w:rFonts w:hint="cs"/>
          <w:rtl/>
        </w:rPr>
        <w:t xml:space="preserve"> ومن أهم الأسباب التي دعته للشك في ذلك الجزء منها هو قول ابن السمعاني</w:t>
      </w:r>
      <w:r w:rsidR="000636C2">
        <w:rPr>
          <w:rFonts w:hint="cs"/>
          <w:rtl/>
        </w:rPr>
        <w:t>:</w:t>
      </w:r>
      <w:r w:rsidRPr="005675B2">
        <w:rPr>
          <w:rFonts w:hint="cs"/>
          <w:rtl/>
        </w:rPr>
        <w:t xml:space="preserve"> </w:t>
      </w:r>
      <w:r w:rsidR="000636C2">
        <w:rPr>
          <w:rFonts w:hint="cs"/>
          <w:rtl/>
        </w:rPr>
        <w:t>[</w:t>
      </w:r>
      <w:r w:rsidRPr="005675B2">
        <w:rPr>
          <w:rFonts w:hint="cs"/>
          <w:rtl/>
        </w:rPr>
        <w:t>وله قصيدة بائية في السُّنة شرح فيها اعتقاده واعتقاد السلف</w:t>
      </w:r>
      <w:r w:rsidR="000636C2">
        <w:rPr>
          <w:rFonts w:hint="cs"/>
          <w:rtl/>
        </w:rPr>
        <w:t>،</w:t>
      </w:r>
      <w:r w:rsidRPr="005675B2">
        <w:rPr>
          <w:rFonts w:hint="cs"/>
          <w:rtl/>
        </w:rPr>
        <w:t xml:space="preserve"> تزيد على مئتي بيت</w:t>
      </w:r>
      <w:r w:rsidR="000636C2">
        <w:rPr>
          <w:rFonts w:hint="cs"/>
          <w:rtl/>
        </w:rPr>
        <w:t>،</w:t>
      </w:r>
      <w:r w:rsidRPr="005675B2">
        <w:rPr>
          <w:rFonts w:hint="cs"/>
          <w:rtl/>
        </w:rPr>
        <w:t xml:space="preserve"> قرأتها عليه في داره بالكرج</w:t>
      </w:r>
      <w:r w:rsidR="000636C2">
        <w:rPr>
          <w:rFonts w:hint="cs"/>
          <w:rtl/>
        </w:rPr>
        <w:t>]،</w:t>
      </w:r>
      <w:r w:rsidRPr="005675B2">
        <w:rPr>
          <w:rFonts w:hint="cs"/>
          <w:rtl/>
        </w:rPr>
        <w:t xml:space="preserve"> وابن السمعاني كان أشعري العقيدة</w:t>
      </w:r>
      <w:r w:rsidR="000636C2">
        <w:rPr>
          <w:rFonts w:hint="cs"/>
          <w:rtl/>
        </w:rPr>
        <w:t>،</w:t>
      </w:r>
      <w:r w:rsidRPr="005675B2">
        <w:rPr>
          <w:rFonts w:hint="cs"/>
          <w:rtl/>
        </w:rPr>
        <w:t xml:space="preserve"> فلو كان فيها ما اشتمل عليه ذلك الجزء لما أثنى عليها</w:t>
      </w:r>
      <w:r w:rsidR="000636C2">
        <w:rPr>
          <w:rFonts w:hint="cs"/>
          <w:rtl/>
        </w:rPr>
        <w:t xml:space="preserve">، </w:t>
      </w:r>
      <w:r w:rsidRPr="005675B2">
        <w:rPr>
          <w:rFonts w:hint="cs"/>
          <w:rtl/>
        </w:rPr>
        <w:t>ومن ذلك عنده كذلك أن بعض أبيات القصيدة شعر مقبول</w:t>
      </w:r>
      <w:r w:rsidR="000636C2">
        <w:rPr>
          <w:rFonts w:hint="cs"/>
          <w:rtl/>
        </w:rPr>
        <w:t>،</w:t>
      </w:r>
      <w:r w:rsidRPr="005675B2">
        <w:rPr>
          <w:rFonts w:hint="cs"/>
          <w:rtl/>
        </w:rPr>
        <w:t xml:space="preserve"> بينما بعضها الآخر في غاية الرداءة</w:t>
      </w:r>
      <w:r w:rsidR="000636C2">
        <w:rPr>
          <w:rFonts w:hint="cs"/>
          <w:rtl/>
        </w:rPr>
        <w:t>،</w:t>
      </w:r>
      <w:r w:rsidRPr="005675B2">
        <w:rPr>
          <w:rFonts w:hint="cs"/>
          <w:rtl/>
        </w:rPr>
        <w:t xml:space="preserve"> وهو الجزء المشتمل على تلك القبائح</w:t>
      </w:r>
      <w:r w:rsidR="000636C2">
        <w:rPr>
          <w:rFonts w:hint="cs"/>
          <w:rtl/>
        </w:rPr>
        <w:t>،</w:t>
      </w:r>
      <w:r w:rsidRPr="005675B2">
        <w:rPr>
          <w:rFonts w:hint="cs"/>
          <w:rtl/>
        </w:rPr>
        <w:t xml:space="preserve"> ثم إن فيها الطعن في الأشعري وأنه لم يك ذا علم ودين</w:t>
      </w:r>
      <w:r w:rsidR="000636C2">
        <w:rPr>
          <w:rFonts w:hint="cs"/>
          <w:rtl/>
        </w:rPr>
        <w:t>!</w:t>
      </w:r>
      <w:r w:rsidRPr="005675B2">
        <w:rPr>
          <w:rFonts w:hint="cs"/>
          <w:rtl/>
        </w:rPr>
        <w:t xml:space="preserve"> والحال هو أنه قد اتفق الجميع على علمه ودينه وزهده وورعه [</w:t>
      </w:r>
      <w:r w:rsidRPr="005675B2">
        <w:rPr>
          <w:rFonts w:hint="cs"/>
          <w:sz w:val="24"/>
          <w:szCs w:val="24"/>
          <w:rtl/>
        </w:rPr>
        <w:t>انظر: طبقات الشافعية الكبرى للسبكي: 6 / 140 – 146</w:t>
      </w:r>
      <w:r w:rsidR="000636C2">
        <w:rPr>
          <w:rFonts w:hint="cs"/>
          <w:sz w:val="24"/>
          <w:szCs w:val="24"/>
          <w:rtl/>
        </w:rPr>
        <w:t>]</w:t>
      </w:r>
      <w:r w:rsidR="000636C2">
        <w:rPr>
          <w:rFonts w:hint="cs"/>
          <w:rtl/>
        </w:rPr>
        <w:t xml:space="preserve">، </w:t>
      </w:r>
      <w:r w:rsidRPr="005675B2">
        <w:rPr>
          <w:rFonts w:hint="cs"/>
          <w:rtl/>
        </w:rPr>
        <w:t>هذا وقد نقل ابن تيمية الكلام المنسوب إلى أبي الحسن الكرجي من الكتاب المسمى ب - "الفصول في الأصول عن الأئمة الفحول إلزاماً لذوي البدع والفضول"</w:t>
      </w:r>
      <w:r w:rsidR="000636C2">
        <w:rPr>
          <w:rFonts w:hint="cs"/>
          <w:rtl/>
        </w:rPr>
        <w:t>،</w:t>
      </w:r>
      <w:r w:rsidRPr="005675B2">
        <w:rPr>
          <w:rFonts w:hint="cs"/>
          <w:rtl/>
        </w:rPr>
        <w:t xml:space="preserve"> ونسب الكتاب للكرجي</w:t>
      </w:r>
      <w:r w:rsidR="000636C2">
        <w:rPr>
          <w:rFonts w:hint="cs"/>
          <w:rtl/>
        </w:rPr>
        <w:t>،</w:t>
      </w:r>
      <w:r w:rsidRPr="005675B2">
        <w:rPr>
          <w:rFonts w:hint="cs"/>
          <w:rtl/>
        </w:rPr>
        <w:t xml:space="preserve"> وقد قال الإسنوي في ترجمة الكرجي في "طبقات الشافعية"</w:t>
      </w:r>
      <w:r w:rsidR="000636C2">
        <w:rPr>
          <w:rFonts w:hint="cs"/>
          <w:rtl/>
        </w:rPr>
        <w:t>:</w:t>
      </w:r>
      <w:r w:rsidRPr="005675B2">
        <w:rPr>
          <w:rFonts w:hint="cs"/>
          <w:rtl/>
        </w:rPr>
        <w:t xml:space="preserve"> </w:t>
      </w:r>
      <w:r w:rsidR="000636C2">
        <w:rPr>
          <w:rFonts w:hint="cs"/>
          <w:rtl/>
        </w:rPr>
        <w:t>[</w:t>
      </w:r>
      <w:r w:rsidRPr="005675B2">
        <w:rPr>
          <w:rFonts w:hint="cs"/>
          <w:rtl/>
        </w:rPr>
        <w:t>وله تصانيف في الفقه والتفسير</w:t>
      </w:r>
      <w:r w:rsidR="000636C2">
        <w:rPr>
          <w:rFonts w:hint="cs"/>
          <w:rtl/>
        </w:rPr>
        <w:t>،</w:t>
      </w:r>
      <w:r w:rsidRPr="005675B2">
        <w:rPr>
          <w:rFonts w:hint="cs"/>
          <w:rtl/>
        </w:rPr>
        <w:t xml:space="preserve"> وله تصنيف يقال له الذرائع في علم الشرائع</w:t>
      </w:r>
      <w:r w:rsidR="000636C2">
        <w:rPr>
          <w:rFonts w:hint="cs"/>
          <w:rtl/>
        </w:rPr>
        <w:t>]،</w:t>
      </w:r>
      <w:r w:rsidRPr="005675B2">
        <w:rPr>
          <w:rFonts w:hint="cs"/>
          <w:rtl/>
        </w:rPr>
        <w:t xml:space="preserve"> ولم يذكر أن له كتاباً في العقيدة أو الأصول</w:t>
      </w:r>
      <w:r w:rsidR="000636C2">
        <w:rPr>
          <w:rFonts w:hint="cs"/>
          <w:rtl/>
        </w:rPr>
        <w:t>،</w:t>
      </w:r>
      <w:r w:rsidRPr="005675B2">
        <w:rPr>
          <w:rFonts w:hint="cs"/>
          <w:rtl/>
        </w:rPr>
        <w:t xml:space="preserve"> فربما كان هذا الكتاب منحولاً مكذوباً</w:t>
      </w:r>
      <w:r w:rsidR="000636C2">
        <w:rPr>
          <w:rFonts w:hint="cs"/>
          <w:rtl/>
        </w:rPr>
        <w:t>،</w:t>
      </w:r>
      <w:r w:rsidRPr="005675B2">
        <w:rPr>
          <w:rFonts w:hint="cs"/>
          <w:rtl/>
        </w:rPr>
        <w:t xml:space="preserve"> أو مقحماً فيه مثل ذلك الطعن في الأشعري والأشاعرة</w:t>
      </w:r>
      <w:r w:rsidR="000636C2">
        <w:rPr>
          <w:rFonts w:hint="cs"/>
          <w:rtl/>
        </w:rPr>
        <w:t xml:space="preserve">، </w:t>
      </w:r>
      <w:r w:rsidRPr="005675B2">
        <w:rPr>
          <w:rFonts w:hint="cs"/>
          <w:rtl/>
        </w:rPr>
        <w:t>وابن تيمية</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ينقل ما يجده في الكتب دون أن يتحقق من صحة نسبة الكتاب إلى المؤلف الذي نسب إليه</w:t>
      </w:r>
      <w:r w:rsidR="000636C2">
        <w:rPr>
          <w:rFonts w:hint="cs"/>
          <w:rtl/>
        </w:rPr>
        <w:t>،</w:t>
      </w:r>
      <w:r w:rsidRPr="005675B2">
        <w:rPr>
          <w:rFonts w:hint="cs"/>
          <w:rtl/>
        </w:rPr>
        <w:t xml:space="preserve"> ولما كانت حاله كذلك ووجدنا ابن السمعاني وابن السـبكي</w:t>
      </w:r>
      <w:r w:rsidR="000636C2">
        <w:rPr>
          <w:rFonts w:hint="cs"/>
          <w:rtl/>
        </w:rPr>
        <w:t xml:space="preserve"> </w:t>
      </w:r>
      <w:r w:rsidRPr="005675B2">
        <w:rPr>
          <w:rFonts w:hint="cs"/>
          <w:rtl/>
        </w:rPr>
        <w:t>- وهما من كبار الأشاعرة</w:t>
      </w:r>
      <w:r w:rsidR="000636C2">
        <w:rPr>
          <w:rFonts w:hint="cs"/>
          <w:rtl/>
        </w:rPr>
        <w:t xml:space="preserve"> </w:t>
      </w:r>
      <w:r w:rsidRPr="005675B2">
        <w:rPr>
          <w:rFonts w:hint="cs"/>
          <w:rtl/>
        </w:rPr>
        <w:t>- يثنيان على الكرجي ؛ تبين لنا أنه لم يثبت من الطعن في الأشاعرة عن الكرجي شيء</w:t>
      </w:r>
      <w:r w:rsidR="000636C2">
        <w:rPr>
          <w:rFonts w:hint="cs"/>
          <w:rtl/>
        </w:rPr>
        <w:t xml:space="preserve">، </w:t>
      </w:r>
      <w:r w:rsidRPr="005675B2">
        <w:rPr>
          <w:rFonts w:hint="cs"/>
          <w:rtl/>
        </w:rPr>
        <w:t>6 - ذكر الباحث ما يدل على نفور الفقيهين الشافعيين الكبيرين أبي حامد الإسفراييني وأبي إسحاق الشيرازي من مذهب الأشاعرة</w:t>
      </w:r>
      <w:r w:rsidR="000636C2">
        <w:rPr>
          <w:rFonts w:hint="cs"/>
          <w:rtl/>
        </w:rPr>
        <w:t>،</w:t>
      </w:r>
      <w:r w:rsidRPr="005675B2">
        <w:rPr>
          <w:rFonts w:hint="cs"/>
          <w:rtl/>
        </w:rPr>
        <w:t xml:space="preserve"> وهذا منقول من كلام ابن تيمية </w:t>
      </w:r>
      <w:r w:rsidR="000636C2">
        <w:rPr>
          <w:rFonts w:hint="cs"/>
          <w:rtl/>
        </w:rPr>
        <w:t>[</w:t>
      </w:r>
      <w:r w:rsidRPr="005675B2">
        <w:rPr>
          <w:rFonts w:hint="cs"/>
          <w:sz w:val="24"/>
          <w:szCs w:val="24"/>
          <w:rtl/>
        </w:rPr>
        <w:t>انظر: التسعينية لابن تيمية: ص 239</w:t>
      </w:r>
      <w:r w:rsidR="000636C2">
        <w:rPr>
          <w:rFonts w:hint="cs"/>
          <w:sz w:val="24"/>
          <w:szCs w:val="24"/>
          <w:rtl/>
        </w:rPr>
        <w:t>]</w:t>
      </w:r>
      <w:r w:rsidR="000636C2">
        <w:rPr>
          <w:rFonts w:hint="cs"/>
          <w:rtl/>
        </w:rPr>
        <w:t>،</w:t>
      </w:r>
      <w:r w:rsidRPr="005675B2">
        <w:rPr>
          <w:rFonts w:hint="cs"/>
          <w:rtl/>
        </w:rPr>
        <w:t xml:space="preserve"> وهو قد نقله عن الكرجي</w:t>
      </w:r>
      <w:r w:rsidR="000636C2">
        <w:rPr>
          <w:rFonts w:hint="cs"/>
          <w:rtl/>
        </w:rPr>
        <w:t>،</w:t>
      </w:r>
      <w:r w:rsidRPr="005675B2">
        <w:rPr>
          <w:rFonts w:hint="cs"/>
          <w:rtl/>
        </w:rPr>
        <w:t xml:space="preserve"> فرجع الأمر إلى ما ذكر في الفقرة السابقة</w:t>
      </w:r>
      <w:r w:rsidR="000636C2">
        <w:rPr>
          <w:rFonts w:hint="cs"/>
          <w:rtl/>
        </w:rPr>
        <w:t xml:space="preserve">، </w:t>
      </w:r>
      <w:r w:rsidRPr="005675B2">
        <w:rPr>
          <w:rFonts w:hint="cs"/>
          <w:rtl/>
        </w:rPr>
        <w:t>ومما يؤكد ما تقدم هو أن أبا إسحاق الشيرازي أشعري العقيدة</w:t>
      </w:r>
      <w:r w:rsidR="000636C2">
        <w:rPr>
          <w:rFonts w:hint="cs"/>
          <w:rtl/>
        </w:rPr>
        <w:t>،</w:t>
      </w:r>
      <w:r w:rsidRPr="005675B2">
        <w:rPr>
          <w:rFonts w:hint="cs"/>
          <w:rtl/>
        </w:rPr>
        <w:t xml:space="preserve"> واقرأ إن شئت معتقده المطبوع في مقدمة شرح اللمع له</w:t>
      </w:r>
      <w:r w:rsidR="000636C2">
        <w:rPr>
          <w:rFonts w:hint="cs"/>
          <w:rtl/>
        </w:rPr>
        <w:t>،</w:t>
      </w:r>
      <w:r w:rsidRPr="005675B2">
        <w:rPr>
          <w:rFonts w:hint="cs"/>
          <w:rtl/>
        </w:rPr>
        <w:t xml:space="preserve"> وفيه قوله في اعتقادات أهل الحق</w:t>
      </w:r>
      <w:r w:rsidR="000636C2">
        <w:rPr>
          <w:rFonts w:hint="cs"/>
          <w:rtl/>
        </w:rPr>
        <w:t>:</w:t>
      </w:r>
      <w:r w:rsidRPr="005675B2">
        <w:rPr>
          <w:rFonts w:hint="cs"/>
          <w:rtl/>
        </w:rPr>
        <w:t xml:space="preserve"> </w:t>
      </w:r>
      <w:r w:rsidR="000636C2">
        <w:rPr>
          <w:rFonts w:hint="cs"/>
          <w:rtl/>
        </w:rPr>
        <w:t>[</w:t>
      </w:r>
      <w:r w:rsidRPr="005675B2">
        <w:rPr>
          <w:rFonts w:hint="cs"/>
          <w:rtl/>
        </w:rPr>
        <w:t>فمن ذلك أنهم يعتقدون أن أول ما يجب على العاقل البالغ</w:t>
      </w:r>
      <w:r w:rsidR="000636C2">
        <w:rPr>
          <w:rFonts w:hint="cs"/>
          <w:rtl/>
        </w:rPr>
        <w:t>:</w:t>
      </w:r>
      <w:r w:rsidRPr="005675B2">
        <w:rPr>
          <w:rFonts w:hint="cs"/>
          <w:rtl/>
        </w:rPr>
        <w:t xml:space="preserve"> القصد إلى النظر والاستدلال المؤديين إلى معرفة الله عز وجل</w:t>
      </w:r>
      <w:r w:rsidR="000636C2">
        <w:rPr>
          <w:rFonts w:hint="cs"/>
          <w:rtl/>
        </w:rPr>
        <w:t>]</w:t>
      </w:r>
      <w:r w:rsidRPr="005675B2">
        <w:rPr>
          <w:rFonts w:hint="cs"/>
          <w:rtl/>
        </w:rPr>
        <w:t xml:space="preserve"> </w:t>
      </w:r>
      <w:r w:rsidR="000636C2">
        <w:rPr>
          <w:rFonts w:hint="cs"/>
          <w:rtl/>
        </w:rPr>
        <w:t>[</w:t>
      </w:r>
      <w:r w:rsidRPr="005675B2">
        <w:rPr>
          <w:rFonts w:hint="cs"/>
          <w:rtl/>
        </w:rPr>
        <w:t>ثم يعتقدون أن التقليد في معرفة الله عز وجل لا يجوز</w:t>
      </w:r>
      <w:r w:rsidR="000636C2">
        <w:rPr>
          <w:rFonts w:hint="cs"/>
          <w:rtl/>
        </w:rPr>
        <w:t>،</w:t>
      </w:r>
      <w:r w:rsidRPr="005675B2">
        <w:rPr>
          <w:rFonts w:hint="cs"/>
          <w:rtl/>
        </w:rPr>
        <w:t xml:space="preserve"> لأن التقليد قبول قول الغير من غير حجة</w:t>
      </w:r>
      <w:r w:rsidR="000636C2">
        <w:rPr>
          <w:rFonts w:hint="cs"/>
          <w:rtl/>
        </w:rPr>
        <w:t>]</w:t>
      </w:r>
      <w:r w:rsidRPr="005675B2">
        <w:rPr>
          <w:rFonts w:hint="cs"/>
          <w:rtl/>
        </w:rPr>
        <w:t xml:space="preserve"> </w:t>
      </w:r>
      <w:r w:rsidR="000636C2">
        <w:rPr>
          <w:rFonts w:hint="cs"/>
          <w:rtl/>
        </w:rPr>
        <w:t>[</w:t>
      </w:r>
      <w:r w:rsidRPr="005675B2">
        <w:rPr>
          <w:rFonts w:hint="cs"/>
          <w:rtl/>
        </w:rPr>
        <w:t>ثم يعتقدون أن الله تعالى ليس بجسم</w:t>
      </w:r>
      <w:r w:rsidR="000636C2">
        <w:rPr>
          <w:rFonts w:hint="cs"/>
          <w:rtl/>
        </w:rPr>
        <w:t>]</w:t>
      </w:r>
      <w:r w:rsidRPr="005675B2">
        <w:rPr>
          <w:rFonts w:hint="cs"/>
          <w:rtl/>
        </w:rPr>
        <w:t xml:space="preserve"> [</w:t>
      </w:r>
      <w:r w:rsidRPr="005675B2">
        <w:rPr>
          <w:rFonts w:hint="cs"/>
          <w:sz w:val="24"/>
          <w:szCs w:val="24"/>
          <w:rtl/>
        </w:rPr>
        <w:t>شرح اللمع مع المقدمة لأبي إسحق الشيرازي: 1/ 92، 93، 95</w:t>
      </w:r>
      <w:r w:rsidR="000636C2">
        <w:rPr>
          <w:rFonts w:hint="cs"/>
          <w:sz w:val="24"/>
          <w:szCs w:val="24"/>
          <w:rtl/>
        </w:rPr>
        <w:t>]</w:t>
      </w:r>
      <w:r w:rsidR="000636C2">
        <w:rPr>
          <w:rFonts w:hint="cs"/>
          <w:rtl/>
        </w:rPr>
        <w:t>،</w:t>
      </w:r>
      <w:r w:rsidRPr="005675B2">
        <w:rPr>
          <w:rFonts w:hint="cs"/>
          <w:rtl/>
        </w:rPr>
        <w:t xml:space="preserve"> وقوله </w:t>
      </w:r>
      <w:r w:rsidR="000636C2">
        <w:rPr>
          <w:rFonts w:hint="cs"/>
          <w:rtl/>
        </w:rPr>
        <w:t>[</w:t>
      </w:r>
      <w:r w:rsidRPr="005675B2">
        <w:rPr>
          <w:rFonts w:hint="cs"/>
          <w:rtl/>
        </w:rPr>
        <w:t>العقل عند أهل الحق لا يوجب ولا يحسن ولا يقبح</w:t>
      </w:r>
      <w:r w:rsidR="000636C2">
        <w:rPr>
          <w:rFonts w:hint="cs"/>
          <w:rtl/>
        </w:rPr>
        <w:t>]</w:t>
      </w:r>
      <w:r w:rsidRPr="005675B2">
        <w:rPr>
          <w:rFonts w:hint="cs"/>
          <w:rtl/>
        </w:rPr>
        <w:t xml:space="preserve"> </w:t>
      </w:r>
      <w:r w:rsidR="000636C2">
        <w:rPr>
          <w:rFonts w:hint="cs"/>
          <w:rtl/>
        </w:rPr>
        <w:t>[</w:t>
      </w:r>
      <w:r w:rsidRPr="005675B2">
        <w:rPr>
          <w:rFonts w:hint="cs"/>
          <w:rtl/>
        </w:rPr>
        <w:t>ولا يقال إن كلام الله لغات مختلفة</w:t>
      </w:r>
      <w:r w:rsidR="000636C2">
        <w:rPr>
          <w:rFonts w:hint="cs"/>
          <w:rtl/>
        </w:rPr>
        <w:t>،</w:t>
      </w:r>
      <w:r w:rsidRPr="005675B2">
        <w:rPr>
          <w:rFonts w:hint="cs"/>
          <w:rtl/>
        </w:rPr>
        <w:t xml:space="preserve"> لأن اللغات صفة المخلوقين</w:t>
      </w:r>
      <w:r w:rsidR="000636C2">
        <w:rPr>
          <w:rFonts w:hint="cs"/>
          <w:rtl/>
        </w:rPr>
        <w:t>]</w:t>
      </w:r>
      <w:r w:rsidRPr="005675B2">
        <w:rPr>
          <w:rFonts w:hint="cs"/>
          <w:rtl/>
        </w:rPr>
        <w:t xml:space="preserve"> [</w:t>
      </w:r>
      <w:r w:rsidRPr="005675B2">
        <w:rPr>
          <w:rFonts w:hint="cs"/>
          <w:sz w:val="24"/>
          <w:szCs w:val="24"/>
          <w:rtl/>
        </w:rPr>
        <w:t>المرجع السابق: 1/ 97</w:t>
      </w:r>
      <w:r w:rsidR="000636C2">
        <w:rPr>
          <w:rFonts w:hint="cs"/>
          <w:sz w:val="24"/>
          <w:szCs w:val="24"/>
          <w:rtl/>
        </w:rPr>
        <w:t>،</w:t>
      </w:r>
      <w:r w:rsidRPr="005675B2">
        <w:rPr>
          <w:rFonts w:hint="cs"/>
          <w:sz w:val="24"/>
          <w:szCs w:val="24"/>
          <w:rtl/>
        </w:rPr>
        <w:t>100</w:t>
      </w:r>
      <w:r w:rsidR="000636C2">
        <w:rPr>
          <w:rFonts w:hint="cs"/>
          <w:sz w:val="24"/>
          <w:szCs w:val="24"/>
          <w:rtl/>
        </w:rPr>
        <w:t>]</w:t>
      </w:r>
      <w:r w:rsidR="000636C2">
        <w:rPr>
          <w:rFonts w:hint="cs"/>
          <w:rtl/>
        </w:rPr>
        <w:t>،</w:t>
      </w:r>
      <w:r w:rsidRPr="005675B2">
        <w:rPr>
          <w:rFonts w:hint="cs"/>
          <w:rtl/>
        </w:rPr>
        <w:t xml:space="preserve"> وقوله </w:t>
      </w:r>
      <w:r w:rsidR="000636C2">
        <w:rPr>
          <w:rFonts w:hint="cs"/>
          <w:rtl/>
        </w:rPr>
        <w:t>[</w:t>
      </w:r>
      <w:r w:rsidRPr="005675B2">
        <w:rPr>
          <w:rFonts w:hint="cs"/>
          <w:rtl/>
        </w:rPr>
        <w:t>ثم يعتقدون أن الله تعالى مستو على العرش ..</w:t>
      </w:r>
      <w:r w:rsidR="000636C2">
        <w:rPr>
          <w:rFonts w:hint="cs"/>
          <w:rtl/>
        </w:rPr>
        <w:t>،</w:t>
      </w:r>
      <w:r w:rsidRPr="005675B2">
        <w:rPr>
          <w:rFonts w:hint="cs"/>
          <w:rtl/>
        </w:rPr>
        <w:t xml:space="preserve"> وأن استواءه ليس باستقرار ولا ملاصقة</w:t>
      </w:r>
      <w:r w:rsidR="000636C2">
        <w:rPr>
          <w:rFonts w:hint="cs"/>
          <w:rtl/>
        </w:rPr>
        <w:t>،</w:t>
      </w:r>
      <w:r w:rsidRPr="005675B2">
        <w:rPr>
          <w:rFonts w:hint="cs"/>
          <w:rtl/>
        </w:rPr>
        <w:t xml:space="preserve"> لأن الاستقرار والملاصقة صفة الأجسام المخلوقة</w:t>
      </w:r>
      <w:r w:rsidR="000636C2">
        <w:rPr>
          <w:rFonts w:hint="cs"/>
          <w:rtl/>
        </w:rPr>
        <w:t>،</w:t>
      </w:r>
      <w:r w:rsidRPr="005675B2">
        <w:rPr>
          <w:rFonts w:hint="cs"/>
          <w:rtl/>
        </w:rPr>
        <w:t xml:space="preserve"> والرب عز وجل قديم أزلي</w:t>
      </w:r>
      <w:r w:rsidR="000636C2">
        <w:rPr>
          <w:rFonts w:hint="cs"/>
          <w:rtl/>
        </w:rPr>
        <w:t>،</w:t>
      </w:r>
      <w:r w:rsidRPr="005675B2">
        <w:rPr>
          <w:rFonts w:hint="cs"/>
          <w:rtl/>
        </w:rPr>
        <w:t xml:space="preserve"> فدل على أنه كان ولا مكان</w:t>
      </w:r>
      <w:r w:rsidR="000636C2">
        <w:rPr>
          <w:rFonts w:hint="cs"/>
          <w:rtl/>
        </w:rPr>
        <w:t>،</w:t>
      </w:r>
      <w:r w:rsidRPr="005675B2">
        <w:rPr>
          <w:rFonts w:hint="cs"/>
          <w:rtl/>
        </w:rPr>
        <w:t xml:space="preserve"> ثم خلق المكان</w:t>
      </w:r>
      <w:r w:rsidR="000636C2">
        <w:rPr>
          <w:rFonts w:hint="cs"/>
          <w:rtl/>
        </w:rPr>
        <w:t>،</w:t>
      </w:r>
      <w:r w:rsidRPr="005675B2">
        <w:rPr>
          <w:rFonts w:hint="cs"/>
          <w:rtl/>
        </w:rPr>
        <w:t xml:space="preserve"> وهو على ما عليه كان</w:t>
      </w:r>
      <w:r w:rsidR="000636C2">
        <w:rPr>
          <w:rFonts w:hint="cs"/>
          <w:rtl/>
        </w:rPr>
        <w:t>]</w:t>
      </w:r>
      <w:r w:rsidRPr="005675B2">
        <w:rPr>
          <w:rFonts w:hint="cs"/>
          <w:rtl/>
        </w:rPr>
        <w:t xml:space="preserve"> [</w:t>
      </w:r>
      <w:r w:rsidRPr="005675B2">
        <w:rPr>
          <w:rFonts w:hint="cs"/>
          <w:sz w:val="24"/>
          <w:szCs w:val="24"/>
          <w:rtl/>
        </w:rPr>
        <w:t>المرجع السابق: 1/ 101</w:t>
      </w:r>
      <w:r w:rsidR="000636C2">
        <w:rPr>
          <w:rFonts w:hint="cs"/>
          <w:sz w:val="24"/>
          <w:szCs w:val="24"/>
          <w:rtl/>
        </w:rPr>
        <w:t>]</w:t>
      </w:r>
      <w:r w:rsidR="000636C2">
        <w:rPr>
          <w:rFonts w:hint="cs"/>
          <w:rtl/>
        </w:rPr>
        <w:t>،</w:t>
      </w:r>
      <w:r w:rsidRPr="005675B2">
        <w:rPr>
          <w:rFonts w:hint="cs"/>
          <w:rtl/>
        </w:rPr>
        <w:t xml:space="preserve"> ثم قال عن المخالفين للأشاعرة</w:t>
      </w:r>
      <w:r w:rsidR="000636C2">
        <w:rPr>
          <w:rFonts w:hint="cs"/>
          <w:rtl/>
        </w:rPr>
        <w:t>:</w:t>
      </w:r>
      <w:r w:rsidRPr="005675B2">
        <w:rPr>
          <w:rFonts w:hint="cs"/>
          <w:rtl/>
        </w:rPr>
        <w:t xml:space="preserve"> </w:t>
      </w:r>
      <w:r w:rsidR="000636C2">
        <w:rPr>
          <w:rFonts w:hint="cs"/>
          <w:rtl/>
        </w:rPr>
        <w:t>[</w:t>
      </w:r>
      <w:r w:rsidRPr="005675B2">
        <w:rPr>
          <w:rFonts w:hint="cs"/>
          <w:rtl/>
        </w:rPr>
        <w:t>فإظهارهم لما هم عليه من التشبيه ولعنة المسلمين وتكفيرهم لا يدل على أنهم على الحق ..</w:t>
      </w:r>
      <w:r w:rsidR="000636C2">
        <w:rPr>
          <w:rFonts w:hint="cs"/>
          <w:rtl/>
        </w:rPr>
        <w:t>،</w:t>
      </w:r>
      <w:r w:rsidRPr="005675B2">
        <w:rPr>
          <w:rFonts w:hint="cs"/>
          <w:rtl/>
        </w:rPr>
        <w:t xml:space="preserve"> ومن شرهم</w:t>
      </w:r>
      <w:r w:rsidR="000636C2">
        <w:rPr>
          <w:rFonts w:hint="cs"/>
          <w:rtl/>
        </w:rPr>
        <w:t>:</w:t>
      </w:r>
      <w:r w:rsidRPr="005675B2">
        <w:rPr>
          <w:rFonts w:hint="cs"/>
          <w:rtl/>
        </w:rPr>
        <w:t xml:space="preserve"> لعنهم لأهل الحق وغيبتهم لهم وتقبيح اسمهم عند العامة وتلقيبهم لهم بالأشعرية</w:t>
      </w:r>
      <w:r w:rsidR="000636C2">
        <w:rPr>
          <w:rFonts w:hint="cs"/>
          <w:rtl/>
        </w:rPr>
        <w:t>]</w:t>
      </w:r>
      <w:r w:rsidRPr="005675B2">
        <w:rPr>
          <w:rFonts w:hint="cs"/>
          <w:rtl/>
        </w:rPr>
        <w:t xml:space="preserve"> [</w:t>
      </w:r>
      <w:r w:rsidRPr="005675B2">
        <w:rPr>
          <w:rFonts w:hint="cs"/>
          <w:sz w:val="24"/>
          <w:szCs w:val="24"/>
          <w:rtl/>
        </w:rPr>
        <w:t>المرجع السابق: 1/ 113</w:t>
      </w:r>
      <w:r w:rsidR="000636C2">
        <w:rPr>
          <w:rFonts w:hint="cs"/>
          <w:sz w:val="24"/>
          <w:szCs w:val="24"/>
          <w:rtl/>
        </w:rPr>
        <w:t>]</w:t>
      </w:r>
      <w:r w:rsidR="000636C2">
        <w:rPr>
          <w:rFonts w:hint="cs"/>
          <w:rtl/>
        </w:rPr>
        <w:t xml:space="preserve">، </w:t>
      </w:r>
      <w:r w:rsidRPr="005675B2">
        <w:rPr>
          <w:rFonts w:hint="cs"/>
          <w:rtl/>
        </w:rPr>
        <w:t>فهذا هو أبو إسحاق الشيرازي</w:t>
      </w:r>
      <w:r w:rsidR="000636C2">
        <w:rPr>
          <w:rFonts w:hint="cs"/>
          <w:rtl/>
        </w:rPr>
        <w:t>،</w:t>
      </w:r>
      <w:r w:rsidRPr="005675B2">
        <w:rPr>
          <w:rFonts w:hint="cs"/>
          <w:rtl/>
        </w:rPr>
        <w:t xml:space="preserve"> أشعري محض</w:t>
      </w:r>
      <w:r w:rsidR="000636C2">
        <w:rPr>
          <w:rFonts w:hint="cs"/>
          <w:rtl/>
        </w:rPr>
        <w:t>،</w:t>
      </w:r>
      <w:r w:rsidRPr="005675B2">
        <w:rPr>
          <w:rFonts w:hint="cs"/>
          <w:rtl/>
        </w:rPr>
        <w:t xml:space="preserve"> وكلامه من صميم مذهب الأشاعرة</w:t>
      </w:r>
      <w:r w:rsidR="000636C2">
        <w:rPr>
          <w:rFonts w:hint="cs"/>
          <w:rtl/>
        </w:rPr>
        <w:t>،</w:t>
      </w:r>
      <w:r w:rsidRPr="005675B2">
        <w:rPr>
          <w:rFonts w:hint="cs"/>
          <w:rtl/>
        </w:rPr>
        <w:t xml:space="preserve"> بخلاف قول الباحث عنه</w:t>
      </w:r>
      <w:r w:rsidR="000636C2">
        <w:rPr>
          <w:rFonts w:hint="cs"/>
          <w:rtl/>
        </w:rPr>
        <w:t>،</w:t>
      </w:r>
      <w:r w:rsidRPr="005675B2">
        <w:rPr>
          <w:rFonts w:hint="cs"/>
          <w:rtl/>
        </w:rPr>
        <w:t xml:space="preserve"> وهذا عاقبة التسرع وعدم التحقيق والاعتماد على ما ينقله المتسرعون</w:t>
      </w:r>
      <w:r w:rsidR="000636C2">
        <w:rPr>
          <w:rFonts w:hint="cs"/>
          <w:rtl/>
        </w:rPr>
        <w:t>،</w:t>
      </w:r>
      <w:r w:rsidRPr="005675B2">
        <w:rPr>
          <w:rFonts w:hint="cs"/>
          <w:rtl/>
        </w:rPr>
        <w:t xml:space="preserve"> فتنبه</w:t>
      </w:r>
      <w:r w:rsidR="000636C2">
        <w:rPr>
          <w:rFonts w:hint="cs"/>
          <w:rtl/>
        </w:rPr>
        <w:t xml:space="preserve">!، </w:t>
      </w:r>
      <w:r w:rsidRPr="005675B2">
        <w:rPr>
          <w:rFonts w:hint="cs"/>
          <w:rtl/>
        </w:rPr>
        <w:t>7 - ثم حشر الباحث مع فقهاء الشافعية الصوفي الحنبلي المدعو بشيخ الإسلام الهروي الأنصاري</w:t>
      </w:r>
      <w:r w:rsidR="000636C2">
        <w:rPr>
          <w:rFonts w:hint="cs"/>
          <w:rtl/>
        </w:rPr>
        <w:t>،</w:t>
      </w:r>
      <w:r w:rsidRPr="005675B2">
        <w:rPr>
          <w:rFonts w:hint="cs"/>
          <w:rtl/>
        </w:rPr>
        <w:t xml:space="preserve"> وأن قوله في الأشاعرة هو بنحو قول الكرجي</w:t>
      </w:r>
      <w:r w:rsidR="000636C2">
        <w:rPr>
          <w:rFonts w:hint="cs"/>
          <w:rtl/>
        </w:rPr>
        <w:t>،</w:t>
      </w:r>
      <w:r w:rsidRPr="005675B2">
        <w:rPr>
          <w:rFonts w:hint="cs"/>
          <w:rtl/>
        </w:rPr>
        <w:t xml:space="preserve"> بل أشد منه</w:t>
      </w:r>
      <w:r w:rsidR="000636C2">
        <w:rPr>
          <w:rFonts w:hint="cs"/>
          <w:rtl/>
        </w:rPr>
        <w:t xml:space="preserve">، </w:t>
      </w:r>
      <w:r w:rsidRPr="005675B2">
        <w:rPr>
          <w:rFonts w:hint="cs"/>
          <w:rtl/>
        </w:rPr>
        <w:t>والهرويُّ هذا هو أبو إسـماعيل عبد الله بن محمد الهروي الأنصـاري</w:t>
      </w:r>
      <w:r w:rsidR="000636C2">
        <w:rPr>
          <w:rFonts w:hint="cs"/>
          <w:rtl/>
        </w:rPr>
        <w:t>،</w:t>
      </w:r>
      <w:r w:rsidRPr="005675B2">
        <w:rPr>
          <w:rFonts w:hint="cs"/>
          <w:rtl/>
        </w:rPr>
        <w:t xml:space="preserve"> المتوفـى سـنة </w:t>
      </w:r>
      <w:r w:rsidR="000636C2">
        <w:rPr>
          <w:rFonts w:hint="cs"/>
          <w:rtl/>
        </w:rPr>
        <w:t>(</w:t>
      </w:r>
      <w:r w:rsidRPr="005675B2">
        <w:rPr>
          <w:rFonts w:hint="cs"/>
          <w:rtl/>
        </w:rPr>
        <w:t>481ه -</w:t>
      </w:r>
      <w:r w:rsidR="000636C2">
        <w:rPr>
          <w:rFonts w:hint="cs"/>
          <w:rtl/>
        </w:rPr>
        <w:t>)،</w:t>
      </w:r>
      <w:r w:rsidRPr="005675B2">
        <w:rPr>
          <w:rFonts w:hint="cs"/>
          <w:rtl/>
        </w:rPr>
        <w:t xml:space="preserve"> وهو حنبلي متعصب</w:t>
      </w:r>
      <w:r w:rsidR="000636C2">
        <w:rPr>
          <w:rFonts w:hint="cs"/>
          <w:rtl/>
        </w:rPr>
        <w:t>،</w:t>
      </w:r>
      <w:r w:rsidRPr="005675B2">
        <w:rPr>
          <w:rFonts w:hint="cs"/>
          <w:rtl/>
        </w:rPr>
        <w:t xml:space="preserve"> بعيد عن المذهب الشافعي والشافعيين</w:t>
      </w:r>
      <w:r w:rsidR="000636C2">
        <w:rPr>
          <w:rFonts w:hint="cs"/>
          <w:rtl/>
        </w:rPr>
        <w:t>،</w:t>
      </w:r>
      <w:r w:rsidRPr="005675B2">
        <w:rPr>
          <w:rFonts w:hint="cs"/>
          <w:rtl/>
        </w:rPr>
        <w:t xml:space="preserve"> فلم يترجم له في طبقات الشافعية السبكيّ</w:t>
      </w:r>
      <w:r w:rsidR="000636C2">
        <w:rPr>
          <w:rFonts w:hint="cs"/>
          <w:rtl/>
        </w:rPr>
        <w:t>،</w:t>
      </w:r>
      <w:r w:rsidRPr="005675B2">
        <w:rPr>
          <w:rFonts w:hint="cs"/>
          <w:rtl/>
        </w:rPr>
        <w:t xml:space="preserve"> ولا ابن الصلاح</w:t>
      </w:r>
      <w:r w:rsidR="000636C2">
        <w:rPr>
          <w:rFonts w:hint="cs"/>
          <w:rtl/>
        </w:rPr>
        <w:t>،</w:t>
      </w:r>
      <w:r w:rsidRPr="005675B2">
        <w:rPr>
          <w:rFonts w:hint="cs"/>
          <w:rtl/>
        </w:rPr>
        <w:t xml:space="preserve"> ولا ابن قاضي شهبة</w:t>
      </w:r>
      <w:r w:rsidR="000636C2">
        <w:rPr>
          <w:rFonts w:hint="cs"/>
          <w:rtl/>
        </w:rPr>
        <w:t>،</w:t>
      </w:r>
      <w:r w:rsidRPr="005675B2">
        <w:rPr>
          <w:rFonts w:hint="cs"/>
          <w:rtl/>
        </w:rPr>
        <w:t xml:space="preserve"> ولا الإسنوي</w:t>
      </w:r>
      <w:r w:rsidR="000636C2">
        <w:rPr>
          <w:rFonts w:hint="cs"/>
          <w:rtl/>
        </w:rPr>
        <w:t>،</w:t>
      </w:r>
      <w:r w:rsidRPr="005675B2">
        <w:rPr>
          <w:rFonts w:hint="cs"/>
          <w:rtl/>
        </w:rPr>
        <w:t xml:space="preserve"> فإدراجه مع فقهاء الشافعية خطأ محض</w:t>
      </w:r>
      <w:r w:rsidR="000636C2">
        <w:rPr>
          <w:rFonts w:hint="cs"/>
          <w:rtl/>
        </w:rPr>
        <w:t>،</w:t>
      </w:r>
      <w:r w:rsidRPr="005675B2">
        <w:rPr>
          <w:rFonts w:hint="cs"/>
          <w:rtl/>
        </w:rPr>
        <w:t xml:space="preserve"> والقول بأن كلاً من الشافعية والحنابلة يدعي الهروي لمذهبهم لا مستند له في الواقع</w:t>
      </w:r>
      <w:r w:rsidR="000636C2">
        <w:rPr>
          <w:rFonts w:hint="cs"/>
          <w:rtl/>
        </w:rPr>
        <w:t>،</w:t>
      </w:r>
      <w:r w:rsidRPr="005675B2">
        <w:rPr>
          <w:rFonts w:hint="cs"/>
          <w:rtl/>
        </w:rPr>
        <w:t xml:space="preserve"> وهذا من باب التسرع والحكم لأدنى اشتباه</w:t>
      </w:r>
      <w:r w:rsidR="000636C2">
        <w:rPr>
          <w:rFonts w:hint="cs"/>
          <w:rtl/>
        </w:rPr>
        <w:t xml:space="preserve">، </w:t>
      </w:r>
      <w:r w:rsidRPr="005675B2">
        <w:rPr>
          <w:rFonts w:hint="cs"/>
          <w:rtl/>
        </w:rPr>
        <w:t>ولعل منشأ الوهم هو أن السبكي ذكره في طبقات الشافعية استطراداً</w:t>
      </w:r>
      <w:r w:rsidR="000636C2">
        <w:rPr>
          <w:rFonts w:hint="cs"/>
          <w:rtl/>
        </w:rPr>
        <w:t>،</w:t>
      </w:r>
      <w:r w:rsidRPr="005675B2">
        <w:rPr>
          <w:rFonts w:hint="cs"/>
          <w:rtl/>
        </w:rPr>
        <w:t xml:space="preserve"> في خلال ترجمته لشيخ الإسلام أبي عثمان إسماعيل بن عبد الرحمن الصابوني رحمه الله</w:t>
      </w:r>
      <w:r w:rsidR="000636C2">
        <w:rPr>
          <w:rFonts w:hint="cs"/>
          <w:rtl/>
        </w:rPr>
        <w:t>،</w:t>
      </w:r>
      <w:r w:rsidRPr="005675B2">
        <w:rPr>
          <w:rFonts w:hint="cs"/>
          <w:rtl/>
        </w:rPr>
        <w:t xml:space="preserve"> إذ يقول</w:t>
      </w:r>
      <w:r w:rsidR="000636C2">
        <w:rPr>
          <w:rFonts w:hint="cs"/>
          <w:rtl/>
        </w:rPr>
        <w:t>:</w:t>
      </w:r>
      <w:r w:rsidRPr="005675B2">
        <w:rPr>
          <w:rFonts w:hint="cs"/>
          <w:rtl/>
        </w:rPr>
        <w:t xml:space="preserve"> </w:t>
      </w:r>
      <w:r w:rsidR="000636C2">
        <w:rPr>
          <w:rFonts w:hint="cs"/>
          <w:rtl/>
        </w:rPr>
        <w:t>[</w:t>
      </w:r>
      <w:r w:rsidRPr="005675B2">
        <w:rPr>
          <w:rFonts w:hint="cs"/>
          <w:rtl/>
        </w:rPr>
        <w:t>وأما المجسمة بمدينة هراة فلما ثارت نفوسهم من هذا اللقب عمدوا</w:t>
      </w:r>
      <w:r w:rsidR="000636C2">
        <w:rPr>
          <w:rFonts w:hint="cs"/>
          <w:rtl/>
        </w:rPr>
        <w:t xml:space="preserve"> </w:t>
      </w:r>
      <w:r w:rsidRPr="005675B2">
        <w:rPr>
          <w:rFonts w:hint="cs"/>
          <w:rtl/>
        </w:rPr>
        <w:t>إلى أبي إسماعيل عبد الله بن محمد الأنصاري صاحب كتاب ذم الكلام فلقبوه بشيخ الإسلام</w:t>
      </w:r>
      <w:r w:rsidR="000636C2">
        <w:rPr>
          <w:rFonts w:hint="cs"/>
          <w:rtl/>
        </w:rPr>
        <w:t>،</w:t>
      </w:r>
      <w:r w:rsidRPr="005675B2">
        <w:rPr>
          <w:rFonts w:hint="cs"/>
          <w:rtl/>
        </w:rPr>
        <w:t xml:space="preserve"> وكان الأنصاري المشار إليه رجلاً كثير العبادة</w:t>
      </w:r>
      <w:r w:rsidR="000636C2">
        <w:rPr>
          <w:rFonts w:hint="cs"/>
          <w:rtl/>
        </w:rPr>
        <w:t>،</w:t>
      </w:r>
      <w:r w:rsidRPr="005675B2">
        <w:rPr>
          <w:rFonts w:hint="cs"/>
          <w:rtl/>
        </w:rPr>
        <w:t xml:space="preserve"> محدثاً</w:t>
      </w:r>
      <w:r w:rsidR="000636C2">
        <w:rPr>
          <w:rFonts w:hint="cs"/>
          <w:rtl/>
        </w:rPr>
        <w:t>،</w:t>
      </w:r>
      <w:r w:rsidRPr="005675B2">
        <w:rPr>
          <w:rFonts w:hint="cs"/>
          <w:rtl/>
        </w:rPr>
        <w:t xml:space="preserve"> إلا أنه يتظاهر بالتجسيم والتشبيه</w:t>
      </w:r>
      <w:r w:rsidR="000636C2">
        <w:rPr>
          <w:rFonts w:hint="cs"/>
          <w:rtl/>
        </w:rPr>
        <w:t>،</w:t>
      </w:r>
      <w:r w:rsidRPr="005675B2">
        <w:rPr>
          <w:rFonts w:hint="cs"/>
          <w:rtl/>
        </w:rPr>
        <w:t xml:space="preserve"> وينال من أهل السنة ..</w:t>
      </w:r>
      <w:r w:rsidR="000636C2">
        <w:rPr>
          <w:rFonts w:hint="cs"/>
          <w:rtl/>
        </w:rPr>
        <w:t>]</w:t>
      </w:r>
      <w:r w:rsidRPr="005675B2">
        <w:rPr>
          <w:rFonts w:hint="cs"/>
          <w:rtl/>
        </w:rPr>
        <w:t xml:space="preserve"> [</w:t>
      </w:r>
      <w:r w:rsidRPr="005675B2">
        <w:rPr>
          <w:rFonts w:hint="cs"/>
          <w:sz w:val="24"/>
          <w:szCs w:val="24"/>
          <w:rtl/>
        </w:rPr>
        <w:t>طبقات الشافعية الكبرى للسبكي: 4 / 272</w:t>
      </w:r>
      <w:r w:rsidR="000636C2">
        <w:rPr>
          <w:rFonts w:hint="cs"/>
          <w:sz w:val="24"/>
          <w:szCs w:val="24"/>
          <w:rtl/>
        </w:rPr>
        <w:t>]</w:t>
      </w:r>
      <w:r w:rsidR="000636C2">
        <w:rPr>
          <w:rFonts w:hint="cs"/>
          <w:rtl/>
        </w:rPr>
        <w:t>،</w:t>
      </w:r>
      <w:r w:rsidRPr="005675B2">
        <w:rPr>
          <w:rFonts w:hint="cs"/>
          <w:rtl/>
        </w:rPr>
        <w:t xml:space="preserve"> أهل السنة في كلام السبكي هم الأشاعرة</w:t>
      </w:r>
      <w:r w:rsidR="000636C2">
        <w:rPr>
          <w:rFonts w:hint="cs"/>
          <w:rtl/>
        </w:rPr>
        <w:t>،</w:t>
      </w:r>
      <w:r w:rsidRPr="005675B2">
        <w:rPr>
          <w:rFonts w:hint="cs"/>
          <w:rtl/>
        </w:rPr>
        <w:t xml:space="preserve"> وأنت ترى أن السبكي لم يذكر له ترجمة في طبقات الشافعية</w:t>
      </w:r>
      <w:r w:rsidR="000636C2">
        <w:rPr>
          <w:rFonts w:hint="cs"/>
          <w:rtl/>
        </w:rPr>
        <w:t>،</w:t>
      </w:r>
      <w:r w:rsidRPr="005675B2">
        <w:rPr>
          <w:rFonts w:hint="cs"/>
          <w:rtl/>
        </w:rPr>
        <w:t xml:space="preserve"> وإنما ذكر هذه النبذة مجرد استطراد</w:t>
      </w:r>
      <w:r w:rsidR="000636C2">
        <w:rPr>
          <w:rFonts w:hint="cs"/>
          <w:rtl/>
        </w:rPr>
        <w:t xml:space="preserve">، </w:t>
      </w:r>
      <w:r w:rsidRPr="005675B2">
        <w:rPr>
          <w:rFonts w:hint="cs"/>
          <w:rtl/>
        </w:rPr>
        <w:t>والهروي هذا عدو لدود للإمام أبي الحسن الأشعري والأشاعرة</w:t>
      </w:r>
      <w:r w:rsidR="000636C2">
        <w:rPr>
          <w:rFonts w:hint="cs"/>
          <w:rtl/>
        </w:rPr>
        <w:t>،</w:t>
      </w:r>
      <w:r w:rsidRPr="005675B2">
        <w:rPr>
          <w:rFonts w:hint="cs"/>
          <w:rtl/>
        </w:rPr>
        <w:t xml:space="preserve"> وينبغي أن لا يغيب عن ذهن القارئ كلام الهروي الذي تقدم نقله من قبل</w:t>
      </w:r>
      <w:r w:rsidR="000636C2">
        <w:rPr>
          <w:rFonts w:hint="cs"/>
          <w:rtl/>
        </w:rPr>
        <w:t>،</w:t>
      </w:r>
      <w:r w:rsidRPr="005675B2">
        <w:rPr>
          <w:rFonts w:hint="cs"/>
          <w:rtl/>
        </w:rPr>
        <w:t xml:space="preserve"> إذ يقول عن الأشاعرة</w:t>
      </w:r>
      <w:r w:rsidR="000636C2">
        <w:rPr>
          <w:rFonts w:hint="cs"/>
          <w:rtl/>
        </w:rPr>
        <w:t>:</w:t>
      </w:r>
      <w:r w:rsidRPr="005675B2">
        <w:rPr>
          <w:rFonts w:hint="cs"/>
          <w:rtl/>
        </w:rPr>
        <w:t xml:space="preserve"> </w:t>
      </w:r>
      <w:r w:rsidR="000636C2">
        <w:rPr>
          <w:rFonts w:hint="cs"/>
          <w:rtl/>
        </w:rPr>
        <w:t>[</w:t>
      </w:r>
      <w:r w:rsidRPr="005675B2">
        <w:rPr>
          <w:rFonts w:hint="cs"/>
          <w:rtl/>
        </w:rPr>
        <w:t>وقد شاع في المسلمين أن رأسهم علي بن إسماعيل الأشعري كان لا يستنجي ولا يتوضأ ولا يصلي</w:t>
      </w:r>
      <w:r w:rsidR="000636C2">
        <w:rPr>
          <w:rFonts w:hint="cs"/>
          <w:rtl/>
        </w:rPr>
        <w:t>]</w:t>
      </w:r>
      <w:r w:rsidRPr="005675B2">
        <w:rPr>
          <w:rFonts w:hint="cs"/>
          <w:rtl/>
        </w:rPr>
        <w:t xml:space="preserve"> [</w:t>
      </w:r>
      <w:r w:rsidRPr="005675B2">
        <w:rPr>
          <w:rFonts w:hint="cs"/>
          <w:sz w:val="24"/>
          <w:szCs w:val="24"/>
          <w:rtl/>
        </w:rPr>
        <w:t>انظر: التسعينية لابن تيمية: 5 / 276</w:t>
      </w:r>
      <w:r w:rsidR="000636C2">
        <w:rPr>
          <w:rFonts w:hint="cs"/>
          <w:sz w:val="24"/>
          <w:szCs w:val="24"/>
          <w:rtl/>
        </w:rPr>
        <w:t>]</w:t>
      </w:r>
      <w:r w:rsidR="000636C2">
        <w:rPr>
          <w:rFonts w:hint="cs"/>
          <w:rtl/>
        </w:rPr>
        <w:t>،</w:t>
      </w:r>
      <w:r w:rsidRPr="005675B2">
        <w:rPr>
          <w:rFonts w:hint="cs"/>
          <w:rtl/>
        </w:rPr>
        <w:t xml:space="preserve"> فالرجل هذا مبلغه من العلم بالتاريخ</w:t>
      </w:r>
      <w:r w:rsidR="000636C2">
        <w:rPr>
          <w:rFonts w:hint="cs"/>
          <w:rtl/>
        </w:rPr>
        <w:t>،</w:t>
      </w:r>
      <w:r w:rsidRPr="005675B2">
        <w:rPr>
          <w:rFonts w:hint="cs"/>
          <w:rtl/>
        </w:rPr>
        <w:t xml:space="preserve"> فلا عجب في أن يكون قوله في الأشاعرة هو بنحو القول المنسوب لأبي الحسن الكرجي بل أشد منه</w:t>
      </w:r>
      <w:r w:rsidR="000636C2">
        <w:rPr>
          <w:rFonts w:hint="cs"/>
          <w:rtl/>
        </w:rPr>
        <w:t xml:space="preserve">!، </w:t>
      </w:r>
      <w:r w:rsidRPr="005675B2">
        <w:rPr>
          <w:rFonts w:hint="cs"/>
          <w:rtl/>
        </w:rPr>
        <w:t>8 - استدل الباحث على مباينة الحنفية للأشاعرة بأنّ واضع الطحاوية وشارحها كليهما حنفيان</w:t>
      </w:r>
      <w:r w:rsidR="000636C2">
        <w:rPr>
          <w:rFonts w:hint="cs"/>
          <w:rtl/>
        </w:rPr>
        <w:t>!</w:t>
      </w:r>
      <w:r w:rsidRPr="005675B2">
        <w:rPr>
          <w:rFonts w:hint="cs"/>
          <w:rtl/>
        </w:rPr>
        <w:t xml:space="preserve"> فهل وجد الباحث في عقائد الأشاعرة ما يخالف ما في العقيدة الطحاوية</w:t>
      </w:r>
      <w:r w:rsidR="000636C2">
        <w:rPr>
          <w:rFonts w:hint="cs"/>
          <w:rtl/>
        </w:rPr>
        <w:t>؟!</w:t>
      </w:r>
      <w:r w:rsidRPr="005675B2">
        <w:rPr>
          <w:rFonts w:hint="cs"/>
          <w:rtl/>
        </w:rPr>
        <w:t xml:space="preserve"> أو إنّ الواقع هو بخلاف ذلك</w:t>
      </w:r>
      <w:r w:rsidR="000636C2">
        <w:rPr>
          <w:rFonts w:hint="cs"/>
          <w:rtl/>
        </w:rPr>
        <w:t>؟!</w:t>
      </w:r>
      <w:r w:rsidRPr="005675B2">
        <w:rPr>
          <w:rFonts w:hint="cs"/>
          <w:rtl/>
        </w:rPr>
        <w:t>!</w:t>
      </w:r>
      <w:r w:rsidR="000636C2">
        <w:rPr>
          <w:rFonts w:hint="cs"/>
          <w:rtl/>
        </w:rPr>
        <w:t xml:space="preserve">، </w:t>
      </w:r>
      <w:r w:rsidRPr="005675B2">
        <w:rPr>
          <w:rFonts w:hint="cs"/>
          <w:rtl/>
        </w:rPr>
        <w:t>لم يذكر الباحث مثالاً واحداً يؤيد قوله</w:t>
      </w:r>
      <w:r w:rsidR="000636C2">
        <w:rPr>
          <w:rFonts w:hint="cs"/>
          <w:rtl/>
        </w:rPr>
        <w:t xml:space="preserve">، </w:t>
      </w:r>
      <w:r w:rsidRPr="005675B2">
        <w:rPr>
          <w:rFonts w:hint="cs"/>
          <w:rtl/>
        </w:rPr>
        <w:t>لكن في العقيدة الطحاوية نصوص تتوافق مع عقائد الأشاعرة وتتعارض مع من يخالفونهم</w:t>
      </w:r>
      <w:r w:rsidR="000636C2">
        <w:rPr>
          <w:rFonts w:hint="cs"/>
          <w:rtl/>
        </w:rPr>
        <w:t>،</w:t>
      </w:r>
      <w:r w:rsidRPr="005675B2">
        <w:rPr>
          <w:rFonts w:hint="cs"/>
          <w:rtl/>
        </w:rPr>
        <w:t xml:space="preserve"> منها</w:t>
      </w:r>
      <w:r w:rsidR="000636C2">
        <w:rPr>
          <w:rFonts w:hint="cs"/>
          <w:rtl/>
        </w:rPr>
        <w:t xml:space="preserve">: </w:t>
      </w:r>
      <w:r w:rsidRPr="005675B2">
        <w:rPr>
          <w:rFonts w:hint="cs"/>
          <w:rtl/>
        </w:rPr>
        <w:t>قال الإمام الطحاوي رحمه الله</w:t>
      </w:r>
      <w:r w:rsidR="000636C2">
        <w:rPr>
          <w:rFonts w:hint="cs"/>
          <w:rtl/>
        </w:rPr>
        <w:t>:</w:t>
      </w:r>
      <w:r w:rsidRPr="005675B2">
        <w:rPr>
          <w:rFonts w:hint="cs"/>
          <w:rtl/>
        </w:rPr>
        <w:t xml:space="preserve"> </w:t>
      </w:r>
      <w:r w:rsidR="000636C2">
        <w:rPr>
          <w:rFonts w:hint="cs"/>
          <w:rtl/>
        </w:rPr>
        <w:t>[</w:t>
      </w:r>
      <w:r w:rsidRPr="005675B2">
        <w:rPr>
          <w:rFonts w:hint="cs"/>
          <w:rtl/>
        </w:rPr>
        <w:t>له معنى الربوبية ولا مربوب</w:t>
      </w:r>
      <w:r w:rsidR="000636C2">
        <w:rPr>
          <w:rFonts w:hint="cs"/>
          <w:rtl/>
        </w:rPr>
        <w:t>،</w:t>
      </w:r>
      <w:r w:rsidRPr="005675B2">
        <w:rPr>
          <w:rFonts w:hint="cs"/>
          <w:rtl/>
        </w:rPr>
        <w:t xml:space="preserve"> ومعنى الخالق ولا مخلوق</w:t>
      </w:r>
      <w:r w:rsidR="000636C2">
        <w:rPr>
          <w:rFonts w:hint="cs"/>
          <w:rtl/>
        </w:rPr>
        <w:t>]</w:t>
      </w:r>
      <w:r w:rsidRPr="005675B2">
        <w:rPr>
          <w:rFonts w:hint="cs"/>
          <w:rtl/>
        </w:rPr>
        <w:t xml:space="preserve"> [</w:t>
      </w:r>
      <w:r w:rsidRPr="005675B2">
        <w:rPr>
          <w:rFonts w:hint="cs"/>
          <w:sz w:val="24"/>
          <w:szCs w:val="24"/>
          <w:rtl/>
        </w:rPr>
        <w:t>العقيدة الطحاوية المطبوعة مع شرح ابن أبي العز بتحقيق الدكتور عبد الله التركي وشعيب الأرناءوط: 1 / 116</w:t>
      </w:r>
      <w:r w:rsidRPr="005675B2">
        <w:rPr>
          <w:rFonts w:hint="cs"/>
          <w:rtl/>
        </w:rPr>
        <w:t>]، وقال</w:t>
      </w:r>
      <w:r w:rsidR="000636C2">
        <w:rPr>
          <w:rFonts w:hint="cs"/>
          <w:rtl/>
        </w:rPr>
        <w:t>:</w:t>
      </w:r>
      <w:r w:rsidRPr="005675B2">
        <w:rPr>
          <w:rFonts w:hint="cs"/>
          <w:rtl/>
        </w:rPr>
        <w:t xml:space="preserve"> </w:t>
      </w:r>
      <w:r w:rsidR="000636C2">
        <w:rPr>
          <w:rFonts w:hint="cs"/>
          <w:rtl/>
        </w:rPr>
        <w:t>[</w:t>
      </w:r>
      <w:r w:rsidRPr="005675B2">
        <w:rPr>
          <w:rFonts w:hint="cs"/>
          <w:rtl/>
        </w:rPr>
        <w:t>تعالى عن الحدود والغايات</w:t>
      </w:r>
      <w:r w:rsidR="000636C2">
        <w:rPr>
          <w:rFonts w:hint="cs"/>
          <w:rtl/>
        </w:rPr>
        <w:t>،</w:t>
      </w:r>
      <w:r w:rsidRPr="005675B2">
        <w:rPr>
          <w:rFonts w:hint="cs"/>
          <w:rtl/>
        </w:rPr>
        <w:t xml:space="preserve"> والأركان والأعضاء والأدوات</w:t>
      </w:r>
      <w:r w:rsidR="000636C2">
        <w:rPr>
          <w:rFonts w:hint="cs"/>
          <w:rtl/>
        </w:rPr>
        <w:t>،</w:t>
      </w:r>
      <w:r w:rsidRPr="005675B2">
        <w:rPr>
          <w:rFonts w:hint="cs"/>
          <w:rtl/>
        </w:rPr>
        <w:t xml:space="preserve"> لا تحويه الجهات الست كسائر المبتدعات</w:t>
      </w:r>
      <w:r w:rsidR="000636C2">
        <w:rPr>
          <w:rFonts w:hint="cs"/>
          <w:rtl/>
        </w:rPr>
        <w:t>]</w:t>
      </w:r>
      <w:r w:rsidRPr="005675B2">
        <w:rPr>
          <w:rFonts w:hint="cs"/>
          <w:rtl/>
        </w:rPr>
        <w:t xml:space="preserve"> [</w:t>
      </w:r>
      <w:r w:rsidRPr="005675B2">
        <w:rPr>
          <w:rFonts w:hint="cs"/>
          <w:sz w:val="24"/>
          <w:szCs w:val="24"/>
          <w:rtl/>
        </w:rPr>
        <w:t>المصدر السابق: 1 / 260</w:t>
      </w:r>
      <w:r w:rsidR="000636C2">
        <w:rPr>
          <w:rFonts w:hint="cs"/>
          <w:sz w:val="24"/>
          <w:szCs w:val="24"/>
          <w:rtl/>
        </w:rPr>
        <w:t>]</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ونسمي أهل قبلتنا مسلمين مؤمنين ما داموا بما جاء به النبي صلى الله عليه وسلم معترفين</w:t>
      </w:r>
      <w:r w:rsidR="000636C2">
        <w:rPr>
          <w:rFonts w:hint="cs"/>
          <w:rtl/>
        </w:rPr>
        <w:t>،</w:t>
      </w:r>
      <w:r w:rsidRPr="005675B2">
        <w:rPr>
          <w:rFonts w:hint="cs"/>
          <w:rtl/>
        </w:rPr>
        <w:t xml:space="preserve"> وله بكل ما قال وأخبر مصدقين</w:t>
      </w:r>
      <w:r w:rsidR="000636C2">
        <w:rPr>
          <w:rFonts w:hint="cs"/>
          <w:rtl/>
        </w:rPr>
        <w:t>]</w:t>
      </w:r>
      <w:r w:rsidRPr="005675B2">
        <w:rPr>
          <w:rFonts w:hint="cs"/>
          <w:rtl/>
        </w:rPr>
        <w:t xml:space="preserve"> [</w:t>
      </w:r>
      <w:r w:rsidRPr="005675B2">
        <w:rPr>
          <w:rFonts w:hint="cs"/>
          <w:sz w:val="24"/>
          <w:szCs w:val="24"/>
          <w:rtl/>
        </w:rPr>
        <w:t>المصدر السابق: 2 / 426</w:t>
      </w:r>
      <w:r w:rsidR="000636C2">
        <w:rPr>
          <w:rFonts w:hint="cs"/>
          <w:sz w:val="24"/>
          <w:szCs w:val="24"/>
          <w:rtl/>
        </w:rPr>
        <w:t>]</w:t>
      </w:r>
      <w:r w:rsidR="000636C2">
        <w:rPr>
          <w:rFonts w:hint="cs"/>
          <w:rtl/>
        </w:rPr>
        <w:t>،</w:t>
      </w:r>
      <w:r w:rsidRPr="005675B2">
        <w:rPr>
          <w:rFonts w:hint="cs"/>
          <w:rtl/>
        </w:rPr>
        <w:t xml:space="preserve"> وقال</w:t>
      </w:r>
      <w:r w:rsidR="000636C2">
        <w:rPr>
          <w:rFonts w:hint="cs"/>
          <w:rtl/>
        </w:rPr>
        <w:t>: [</w:t>
      </w:r>
      <w:r w:rsidRPr="005675B2">
        <w:rPr>
          <w:rFonts w:hint="cs"/>
          <w:rtl/>
        </w:rPr>
        <w:t>وأفعال العباد خلق الله وكسب من العباد</w:t>
      </w:r>
      <w:r w:rsidR="000636C2">
        <w:rPr>
          <w:rFonts w:hint="cs"/>
          <w:rtl/>
        </w:rPr>
        <w:t>]</w:t>
      </w:r>
      <w:r w:rsidRPr="005675B2">
        <w:rPr>
          <w:rFonts w:hint="cs"/>
          <w:rtl/>
        </w:rPr>
        <w:t xml:space="preserve"> [</w:t>
      </w:r>
      <w:r w:rsidRPr="005675B2">
        <w:rPr>
          <w:rFonts w:hint="cs"/>
          <w:sz w:val="24"/>
          <w:szCs w:val="24"/>
          <w:rtl/>
        </w:rPr>
        <w:t>المصدر السابق: 2 / 639</w:t>
      </w:r>
      <w:r w:rsidR="000636C2">
        <w:rPr>
          <w:rFonts w:hint="cs"/>
          <w:sz w:val="24"/>
          <w:szCs w:val="24"/>
          <w:rtl/>
        </w:rPr>
        <w:t>]</w:t>
      </w:r>
      <w:r w:rsidR="000636C2">
        <w:rPr>
          <w:rFonts w:hint="cs"/>
          <w:rtl/>
        </w:rPr>
        <w:t>،</w:t>
      </w:r>
      <w:r w:rsidRPr="005675B2">
        <w:rPr>
          <w:rFonts w:hint="cs"/>
          <w:rtl/>
        </w:rPr>
        <w:t xml:space="preserve"> فهل تعتقد</w:t>
      </w:r>
      <w:r w:rsidR="000636C2">
        <w:rPr>
          <w:rFonts w:hint="cs"/>
          <w:rtl/>
        </w:rPr>
        <w:t xml:space="preserve"> </w:t>
      </w:r>
      <w:r w:rsidRPr="005675B2">
        <w:rPr>
          <w:rFonts w:hint="cs"/>
          <w:rtl/>
        </w:rPr>
        <w:t>- أيها الباحث</w:t>
      </w:r>
      <w:r w:rsidR="000636C2">
        <w:rPr>
          <w:rFonts w:hint="cs"/>
          <w:rtl/>
        </w:rPr>
        <w:t xml:space="preserve"> </w:t>
      </w:r>
      <w:r w:rsidRPr="005675B2">
        <w:rPr>
          <w:rFonts w:hint="cs"/>
          <w:rtl/>
        </w:rPr>
        <w:t>- أنّ الله تعالى كان ولا مربوب ولا مخلوق سواء في ذلك العرش وغيره</w:t>
      </w:r>
      <w:r w:rsidR="000636C2">
        <w:rPr>
          <w:rFonts w:hint="cs"/>
          <w:rtl/>
        </w:rPr>
        <w:t>؟؟</w:t>
      </w:r>
      <w:r w:rsidRPr="005675B2">
        <w:rPr>
          <w:rFonts w:hint="cs"/>
          <w:rtl/>
        </w:rPr>
        <w:t xml:space="preserve"> وهل تعتقد أنّ الله تعالى منـزه عن الحد ومنزه عن الأعضاء ومنزه عن الجهات</w:t>
      </w:r>
      <w:r w:rsidR="000636C2">
        <w:rPr>
          <w:rFonts w:hint="cs"/>
          <w:rtl/>
        </w:rPr>
        <w:t>؟</w:t>
      </w:r>
      <w:r w:rsidRPr="005675B2">
        <w:rPr>
          <w:rFonts w:hint="cs"/>
          <w:rtl/>
        </w:rPr>
        <w:t xml:space="preserve"> وهل المعترفون من أهل القبلة بما جاء به النبي صلى الله عليه وسلم والمصدقون له بكل ما قال وأخبر تسميهم مؤمنين</w:t>
      </w:r>
      <w:r w:rsidR="000636C2">
        <w:rPr>
          <w:rFonts w:hint="cs"/>
          <w:rtl/>
        </w:rPr>
        <w:t>؟؟</w:t>
      </w:r>
      <w:r w:rsidRPr="005675B2">
        <w:rPr>
          <w:rFonts w:hint="cs"/>
          <w:rtl/>
        </w:rPr>
        <w:t xml:space="preserve"> وهل تعتقد أنّ أفعال العباد هي خلق الله وكسب من العباد</w:t>
      </w:r>
      <w:r w:rsidR="000636C2">
        <w:rPr>
          <w:rFonts w:hint="cs"/>
          <w:rtl/>
        </w:rPr>
        <w:t>؟؟،</w:t>
      </w:r>
      <w:r w:rsidRPr="005675B2">
        <w:rPr>
          <w:rFonts w:hint="cs"/>
          <w:rtl/>
        </w:rPr>
        <w:t xml:space="preserve"> هذه من عقائد الطحاوي والأشاعرة</w:t>
      </w:r>
      <w:r w:rsidR="000636C2">
        <w:rPr>
          <w:rFonts w:hint="cs"/>
          <w:rtl/>
        </w:rPr>
        <w:t>،</w:t>
      </w:r>
      <w:r w:rsidRPr="005675B2">
        <w:rPr>
          <w:rFonts w:hint="cs"/>
          <w:rtl/>
        </w:rPr>
        <w:t xml:space="preserve"> فهل أنت - أيها الباحث الذي تشيد بالطحاوية</w:t>
      </w:r>
      <w:r w:rsidR="000636C2">
        <w:rPr>
          <w:rFonts w:hint="cs"/>
          <w:rtl/>
        </w:rPr>
        <w:t xml:space="preserve"> </w:t>
      </w:r>
      <w:r w:rsidRPr="005675B2">
        <w:rPr>
          <w:rFonts w:hint="cs"/>
          <w:rtl/>
        </w:rPr>
        <w:t>- موافق لما جاء في الطحاوية</w:t>
      </w:r>
      <w:r w:rsidR="000636C2">
        <w:rPr>
          <w:rFonts w:hint="cs"/>
          <w:rtl/>
        </w:rPr>
        <w:t>؟!</w:t>
      </w:r>
      <w:r w:rsidRPr="005675B2">
        <w:rPr>
          <w:rFonts w:hint="cs"/>
          <w:rtl/>
        </w:rPr>
        <w:t xml:space="preserve"> أرجو ذلك</w:t>
      </w:r>
      <w:r w:rsidR="000636C2">
        <w:rPr>
          <w:rFonts w:hint="cs"/>
          <w:rtl/>
        </w:rPr>
        <w:t xml:space="preserve">، </w:t>
      </w:r>
      <w:r w:rsidRPr="005675B2">
        <w:rPr>
          <w:rFonts w:hint="cs"/>
          <w:rtl/>
        </w:rPr>
        <w:t>أما ابن أبي العز فقد خرج عما يعتقد معظم علماء المذهب الحنفي</w:t>
      </w:r>
      <w:r w:rsidR="000636C2">
        <w:rPr>
          <w:rFonts w:hint="cs"/>
          <w:rtl/>
        </w:rPr>
        <w:t>،</w:t>
      </w:r>
      <w:r w:rsidRPr="005675B2">
        <w:rPr>
          <w:rFonts w:hint="cs"/>
          <w:rtl/>
        </w:rPr>
        <w:t xml:space="preserve"> وانتقل إلى عقيدة ابن تيمية</w:t>
      </w:r>
      <w:r w:rsidR="000636C2">
        <w:rPr>
          <w:rFonts w:hint="cs"/>
          <w:rtl/>
        </w:rPr>
        <w:t>،</w:t>
      </w:r>
      <w:r w:rsidRPr="005675B2">
        <w:rPr>
          <w:rFonts w:hint="cs"/>
          <w:rtl/>
        </w:rPr>
        <w:t xml:space="preserve"> وملأ شرحه للطحاوية بالاقتباس من كلامه</w:t>
      </w:r>
      <w:r w:rsidR="000636C2">
        <w:rPr>
          <w:rFonts w:hint="cs"/>
          <w:rtl/>
        </w:rPr>
        <w:t>،</w:t>
      </w:r>
      <w:r w:rsidRPr="005675B2">
        <w:rPr>
          <w:rFonts w:hint="cs"/>
          <w:rtl/>
        </w:rPr>
        <w:t xml:space="preserve"> لذا فإنه لا يمثل الحنفية في العقيدة</w:t>
      </w:r>
      <w:r w:rsidR="000636C2">
        <w:rPr>
          <w:rFonts w:hint="cs"/>
          <w:rtl/>
        </w:rPr>
        <w:t xml:space="preserve">، </w:t>
      </w:r>
      <w:r w:rsidRPr="005675B2">
        <w:rPr>
          <w:rFonts w:hint="cs"/>
          <w:rtl/>
        </w:rPr>
        <w:t xml:space="preserve">ولست أدري لم يتجاهل الباحث كتب الإمام أبي منصور الماتريدي والعقائد النسفية للإمام نجم الدين أبي حفص عمر بن محمد النسفي المتوفى سنة </w:t>
      </w:r>
      <w:r w:rsidR="000636C2">
        <w:rPr>
          <w:rFonts w:hint="cs"/>
          <w:rtl/>
        </w:rPr>
        <w:t>(</w:t>
      </w:r>
      <w:r w:rsidRPr="005675B2">
        <w:rPr>
          <w:rFonts w:hint="cs"/>
          <w:rtl/>
        </w:rPr>
        <w:t>537ه -</w:t>
      </w:r>
      <w:r w:rsidR="000636C2">
        <w:rPr>
          <w:rFonts w:hint="cs"/>
          <w:rtl/>
        </w:rPr>
        <w:t>)</w:t>
      </w:r>
      <w:r w:rsidRPr="005675B2">
        <w:rPr>
          <w:rFonts w:hint="cs"/>
          <w:rtl/>
        </w:rPr>
        <w:t xml:space="preserve"> وشروحها وكتب الملا علي القاري</w:t>
      </w:r>
      <w:r w:rsidR="000636C2">
        <w:rPr>
          <w:rFonts w:hint="cs"/>
          <w:rtl/>
        </w:rPr>
        <w:t>؟</w:t>
      </w:r>
      <w:r w:rsidRPr="005675B2">
        <w:rPr>
          <w:rFonts w:hint="cs"/>
          <w:rtl/>
        </w:rPr>
        <w:t xml:space="preserve"> فهذه الكتب تمثل ما يعتقده جمهور فقهاء الحنفية</w:t>
      </w:r>
      <w:r w:rsidR="000636C2">
        <w:rPr>
          <w:rFonts w:hint="cs"/>
          <w:rtl/>
        </w:rPr>
        <w:t>،</w:t>
      </w:r>
      <w:r w:rsidRPr="005675B2">
        <w:rPr>
          <w:rFonts w:hint="cs"/>
          <w:rtl/>
        </w:rPr>
        <w:t xml:space="preserve"> لا شرح الطحاوية لابن أبي العز</w:t>
      </w:r>
      <w:r w:rsidR="000636C2">
        <w:rPr>
          <w:rFonts w:hint="cs"/>
          <w:rtl/>
        </w:rPr>
        <w:t xml:space="preserve">، </w:t>
      </w:r>
      <w:r w:rsidRPr="005675B2">
        <w:rPr>
          <w:rFonts w:hint="cs"/>
          <w:rtl/>
        </w:rPr>
        <w:t>9 - ذكر الباحث أن أبا يوسف تلميذ الإمام أبي حنيفة رحمهما الله كفّر بشراً المريسي</w:t>
      </w:r>
      <w:r w:rsidR="000636C2">
        <w:rPr>
          <w:rFonts w:hint="cs"/>
          <w:rtl/>
        </w:rPr>
        <w:t>،</w:t>
      </w:r>
      <w:r w:rsidRPr="005675B2">
        <w:rPr>
          <w:rFonts w:hint="cs"/>
          <w:rtl/>
        </w:rPr>
        <w:t xml:space="preserve"> ثم قال </w:t>
      </w:r>
      <w:r w:rsidR="000636C2">
        <w:rPr>
          <w:rFonts w:hint="cs"/>
          <w:rtl/>
        </w:rPr>
        <w:t>[</w:t>
      </w:r>
      <w:r w:rsidRPr="005675B2">
        <w:rPr>
          <w:rFonts w:hint="cs"/>
          <w:rtl/>
        </w:rPr>
        <w:t>ومعلوم أن أصول الأشاعرة مستمدة من بشر المريسي</w:t>
      </w:r>
      <w:r w:rsidR="000636C2">
        <w:rPr>
          <w:rFonts w:hint="cs"/>
          <w:rtl/>
        </w:rPr>
        <w:t>]،</w:t>
      </w:r>
      <w:r w:rsidRPr="005675B2">
        <w:rPr>
          <w:rFonts w:hint="cs"/>
          <w:rtl/>
        </w:rPr>
        <w:t xml:space="preserve"> وكأنه يوحي للقارئ بأن الأشاعرة</w:t>
      </w:r>
      <w:r w:rsidR="000636C2">
        <w:rPr>
          <w:rFonts w:hint="cs"/>
          <w:rtl/>
        </w:rPr>
        <w:t xml:space="preserve"> </w:t>
      </w:r>
      <w:r w:rsidRPr="005675B2">
        <w:rPr>
          <w:rFonts w:hint="cs"/>
          <w:rtl/>
        </w:rPr>
        <w:t>- في نظر الإمام أبي يوسف والحنفية</w:t>
      </w:r>
      <w:r w:rsidR="000636C2">
        <w:rPr>
          <w:rFonts w:hint="cs"/>
          <w:rtl/>
        </w:rPr>
        <w:t xml:space="preserve"> </w:t>
      </w:r>
      <w:r w:rsidRPr="005675B2">
        <w:rPr>
          <w:rFonts w:hint="cs"/>
          <w:rtl/>
        </w:rPr>
        <w:t>- قريبون من الكفر إن لم يكونوا كفاراً</w:t>
      </w:r>
      <w:r w:rsidR="000636C2">
        <w:rPr>
          <w:rFonts w:hint="cs"/>
          <w:rtl/>
        </w:rPr>
        <w:t>،</w:t>
      </w:r>
      <w:r w:rsidRPr="005675B2">
        <w:rPr>
          <w:rFonts w:hint="cs"/>
          <w:rtl/>
        </w:rPr>
        <w:t xml:space="preserve"> بسبب أن أصولهم مستمدة من الرجل الذي كفَّره أبو يوسف</w:t>
      </w:r>
      <w:r w:rsidR="000636C2">
        <w:rPr>
          <w:rFonts w:hint="cs"/>
          <w:rtl/>
        </w:rPr>
        <w:t>!،</w:t>
      </w:r>
      <w:r w:rsidRPr="005675B2">
        <w:rPr>
          <w:rFonts w:hint="cs"/>
          <w:rtl/>
        </w:rPr>
        <w:t xml:space="preserve"> ولم يذكر أصلاً واحداً من كلام بشر المريسي وتوافقه مع كلام الأشاعرة ليوضح لنا أنهم أخذوه منه</w:t>
      </w:r>
      <w:r w:rsidR="000636C2">
        <w:rPr>
          <w:rFonts w:hint="cs"/>
          <w:rtl/>
        </w:rPr>
        <w:t xml:space="preserve">!، </w:t>
      </w:r>
      <w:r w:rsidRPr="005675B2">
        <w:rPr>
          <w:rFonts w:hint="cs"/>
          <w:rtl/>
        </w:rPr>
        <w:t>أهذا هو البحث في العقيدة</w:t>
      </w:r>
      <w:r w:rsidR="000636C2">
        <w:rPr>
          <w:rFonts w:hint="cs"/>
          <w:rtl/>
        </w:rPr>
        <w:t>؟!</w:t>
      </w:r>
      <w:r w:rsidRPr="005675B2">
        <w:rPr>
          <w:rFonts w:hint="cs"/>
          <w:rtl/>
        </w:rPr>
        <w:t>! أهذا هو حكم الأشاعرة عند أئمة المذهب الحنفي</w:t>
      </w:r>
      <w:r w:rsidR="000636C2">
        <w:rPr>
          <w:rFonts w:hint="cs"/>
          <w:rtl/>
        </w:rPr>
        <w:t>؟!</w:t>
      </w:r>
      <w:r w:rsidRPr="005675B2">
        <w:rPr>
          <w:rFonts w:hint="cs"/>
          <w:rtl/>
        </w:rPr>
        <w:t>! أهكذا تطلق الأحكام على الأشاعرة دون حجة ولا برهان</w:t>
      </w:r>
      <w:r w:rsidR="000636C2">
        <w:rPr>
          <w:rFonts w:hint="cs"/>
          <w:rtl/>
        </w:rPr>
        <w:t xml:space="preserve">؟!، </w:t>
      </w:r>
      <w:r w:rsidRPr="005675B2">
        <w:rPr>
          <w:rFonts w:hint="cs"/>
          <w:rtl/>
        </w:rPr>
        <w:t>10 - ذكر الباحث أن الإمام أحمد رحمه الله بدّع ابن كُلاًّب وأمر بهجره وأنه هو المؤسس الحقيقي للمذهب الأشعري</w:t>
      </w:r>
      <w:r w:rsidR="000636C2">
        <w:rPr>
          <w:rFonts w:hint="cs"/>
          <w:rtl/>
        </w:rPr>
        <w:t>،</w:t>
      </w:r>
      <w:r w:rsidRPr="005675B2">
        <w:rPr>
          <w:rFonts w:hint="cs"/>
          <w:rtl/>
        </w:rPr>
        <w:t xml:space="preserve"> وكأنه يوحي للقارئ بأن الأشاعرة</w:t>
      </w:r>
      <w:r w:rsidR="000636C2">
        <w:rPr>
          <w:rFonts w:hint="cs"/>
          <w:rtl/>
        </w:rPr>
        <w:t xml:space="preserve"> </w:t>
      </w:r>
      <w:r w:rsidRPr="005675B2">
        <w:rPr>
          <w:rFonts w:hint="cs"/>
          <w:rtl/>
        </w:rPr>
        <w:t>- في نظر الإمام أحمد والحنابلة - مبتدعة يجب هجرهم</w:t>
      </w:r>
      <w:r w:rsidR="000636C2">
        <w:rPr>
          <w:rFonts w:hint="cs"/>
          <w:rtl/>
        </w:rPr>
        <w:t>،</w:t>
      </w:r>
      <w:r w:rsidRPr="005675B2">
        <w:rPr>
          <w:rFonts w:hint="cs"/>
          <w:rtl/>
        </w:rPr>
        <w:t xml:space="preserve"> ولم يذكر المصدر الذي نقل منه حكم الإمام أحمد على ابن كُلاًّب، ولم يأت بدليل على أنه هو المؤسس الحقيقي للمذهب الأشعري</w:t>
      </w:r>
      <w:r w:rsidR="000636C2">
        <w:rPr>
          <w:rFonts w:hint="cs"/>
          <w:rtl/>
        </w:rPr>
        <w:t xml:space="preserve">، </w:t>
      </w:r>
      <w:r w:rsidRPr="005675B2">
        <w:rPr>
          <w:rFonts w:hint="cs"/>
          <w:rtl/>
        </w:rPr>
        <w:t>إذا كان الباحث يريد أن يستدل بهذا على حكم الأشاعرة عند أئمة المذهب الحنبلي وأنه التبديع ووجوب الهجر ؛ فهذا غير كاف</w:t>
      </w:r>
      <w:r w:rsidR="000636C2">
        <w:rPr>
          <w:rFonts w:hint="cs"/>
          <w:rtl/>
        </w:rPr>
        <w:t>،</w:t>
      </w:r>
      <w:r w:rsidRPr="005675B2">
        <w:rPr>
          <w:rFonts w:hint="cs"/>
          <w:rtl/>
        </w:rPr>
        <w:t xml:space="preserve"> لأنه كلام لا يقوم على مصدر ولا دليل</w:t>
      </w:r>
      <w:r w:rsidR="000636C2">
        <w:rPr>
          <w:rFonts w:hint="cs"/>
          <w:rtl/>
        </w:rPr>
        <w:t>،</w:t>
      </w:r>
      <w:r w:rsidRPr="005675B2">
        <w:rPr>
          <w:rFonts w:hint="cs"/>
          <w:rtl/>
        </w:rPr>
        <w:t xml:space="preserve"> وإذا صح ما نقله عن الإمام أحمد في ابن كُلاًّب فهل الإمام أحمد معصوم</w:t>
      </w:r>
      <w:r w:rsidR="000636C2">
        <w:rPr>
          <w:rFonts w:hint="cs"/>
          <w:rtl/>
        </w:rPr>
        <w:t>؟!</w:t>
      </w:r>
      <w:r w:rsidRPr="005675B2">
        <w:rPr>
          <w:rFonts w:hint="cs"/>
          <w:rtl/>
        </w:rPr>
        <w:t>!</w:t>
      </w:r>
      <w:r w:rsidR="000636C2">
        <w:rPr>
          <w:rFonts w:hint="cs"/>
          <w:rtl/>
        </w:rPr>
        <w:t xml:space="preserve">، </w:t>
      </w:r>
      <w:r w:rsidRPr="005675B2">
        <w:rPr>
          <w:rFonts w:hint="cs"/>
          <w:rtl/>
        </w:rPr>
        <w:t>والاختلاف بين الأشاعرة وكثير من الحنابلة في بعض مسائل الاعتقاد أمر معلوم ومشهور</w:t>
      </w:r>
      <w:r w:rsidR="000636C2">
        <w:rPr>
          <w:rFonts w:hint="cs"/>
          <w:rtl/>
        </w:rPr>
        <w:t>،</w:t>
      </w:r>
      <w:r w:rsidRPr="005675B2">
        <w:rPr>
          <w:rFonts w:hint="cs"/>
          <w:rtl/>
        </w:rPr>
        <w:t xml:space="preserve"> وليس ببعيد أن يقول بعض الحنابلة في الأشاعرة ما يقولون</w:t>
      </w:r>
      <w:r w:rsidR="000636C2">
        <w:rPr>
          <w:rFonts w:hint="cs"/>
          <w:rtl/>
        </w:rPr>
        <w:t>،</w:t>
      </w:r>
      <w:r w:rsidRPr="005675B2">
        <w:rPr>
          <w:rFonts w:hint="cs"/>
          <w:rtl/>
        </w:rPr>
        <w:t xml:space="preserve"> فمن أراد إثباته فليجمع الأقوال من مصادرها</w:t>
      </w:r>
      <w:r w:rsidR="000636C2">
        <w:rPr>
          <w:rFonts w:hint="cs"/>
          <w:rtl/>
        </w:rPr>
        <w:t>،</w:t>
      </w:r>
      <w:r w:rsidRPr="005675B2">
        <w:rPr>
          <w:rFonts w:hint="cs"/>
          <w:rtl/>
        </w:rPr>
        <w:t xml:space="preserve"> مع ذكر الإحالات على تلك المصادر</w:t>
      </w:r>
      <w:r w:rsidR="000636C2">
        <w:rPr>
          <w:rFonts w:hint="cs"/>
          <w:rtl/>
        </w:rPr>
        <w:t>،</w:t>
      </w:r>
      <w:r w:rsidRPr="005675B2">
        <w:rPr>
          <w:rFonts w:hint="cs"/>
          <w:rtl/>
        </w:rPr>
        <w:t xml:space="preserve"> لكن مخالفة كثير من الحنابلة لبعض مسائل الاعتقاد التي يقول بها الأشاعرة ليست معياراً للصحة أو عدمها</w:t>
      </w:r>
      <w:r w:rsidR="000636C2">
        <w:rPr>
          <w:rFonts w:hint="cs"/>
          <w:rtl/>
        </w:rPr>
        <w:t>،</w:t>
      </w:r>
      <w:r w:rsidRPr="005675B2">
        <w:rPr>
          <w:rFonts w:hint="cs"/>
          <w:rtl/>
        </w:rPr>
        <w:t xml:space="preserve"> والمعيار هو الكتاب والسنة</w:t>
      </w:r>
      <w:r w:rsidR="000636C2">
        <w:rPr>
          <w:rFonts w:hint="cs"/>
          <w:rtl/>
        </w:rPr>
        <w:t>،</w:t>
      </w:r>
      <w:r w:rsidRPr="005675B2">
        <w:rPr>
          <w:rFonts w:hint="cs"/>
          <w:rtl/>
        </w:rPr>
        <w:t xml:space="preserve"> فهذا هو الذي أمرنا بالرد إليه عند التنازع</w:t>
      </w:r>
      <w:r w:rsidR="000636C2">
        <w:rPr>
          <w:rFonts w:hint="cs"/>
          <w:rtl/>
        </w:rPr>
        <w:t xml:space="preserve">، </w:t>
      </w:r>
      <w:r w:rsidRPr="005675B2">
        <w:rPr>
          <w:rFonts w:hint="cs"/>
          <w:rtl/>
        </w:rPr>
        <w:t>ومن متعصبة الحنابلة أبو إسماعيل الهروي</w:t>
      </w:r>
      <w:r w:rsidR="000636C2">
        <w:rPr>
          <w:rFonts w:hint="cs"/>
          <w:rtl/>
        </w:rPr>
        <w:t>،</w:t>
      </w:r>
      <w:r w:rsidRPr="005675B2">
        <w:rPr>
          <w:rFonts w:hint="cs"/>
          <w:rtl/>
        </w:rPr>
        <w:t xml:space="preserve"> الملقب عند بعضهم بشيخ الإسلام</w:t>
      </w:r>
      <w:r w:rsidR="000636C2">
        <w:rPr>
          <w:rFonts w:hint="cs"/>
          <w:rtl/>
        </w:rPr>
        <w:t>،</w:t>
      </w:r>
      <w:r w:rsidRPr="005675B2">
        <w:rPr>
          <w:rFonts w:hint="cs"/>
          <w:rtl/>
        </w:rPr>
        <w:t xml:space="preserve"> وقد تقدم نقل قوله في الإمام أبي الحسن الأشعري</w:t>
      </w:r>
      <w:r w:rsidR="000636C2">
        <w:rPr>
          <w:rFonts w:hint="cs"/>
          <w:rtl/>
        </w:rPr>
        <w:t>!</w:t>
      </w:r>
      <w:r w:rsidRPr="005675B2">
        <w:rPr>
          <w:rFonts w:hint="cs"/>
          <w:rtl/>
        </w:rPr>
        <w:t xml:space="preserve"> فماذا سيكون قوله في الأشاعرة</w:t>
      </w:r>
      <w:r w:rsidR="000636C2">
        <w:rPr>
          <w:rFonts w:hint="cs"/>
          <w:rtl/>
        </w:rPr>
        <w:t>؟،</w:t>
      </w:r>
      <w:r w:rsidRPr="005675B2">
        <w:rPr>
          <w:rFonts w:hint="cs"/>
          <w:rtl/>
        </w:rPr>
        <w:t xml:space="preserve"> ولو تنبه الباحث إلى أنه لم يكن شافعياً قط لذكره مع الحنابلة</w:t>
      </w:r>
      <w:r w:rsidR="000636C2">
        <w:rPr>
          <w:rFonts w:hint="cs"/>
          <w:rtl/>
        </w:rPr>
        <w:t>،</w:t>
      </w:r>
      <w:r w:rsidRPr="005675B2">
        <w:rPr>
          <w:rFonts w:hint="cs"/>
          <w:rtl/>
        </w:rPr>
        <w:t xml:space="preserve"> لا مع الشافعية</w:t>
      </w:r>
      <w:r w:rsidR="000636C2">
        <w:rPr>
          <w:rFonts w:hint="cs"/>
          <w:rtl/>
        </w:rPr>
        <w:t xml:space="preserve">، </w:t>
      </w:r>
      <w:r w:rsidRPr="005675B2">
        <w:rPr>
          <w:rFonts w:hint="cs"/>
          <w:rtl/>
        </w:rPr>
        <w:t>11 - وههنا أمر في غاية الأهمية والخطورة</w:t>
      </w:r>
      <w:r w:rsidR="000636C2">
        <w:rPr>
          <w:rFonts w:hint="cs"/>
          <w:rtl/>
        </w:rPr>
        <w:t>،</w:t>
      </w:r>
      <w:r w:rsidRPr="005675B2">
        <w:rPr>
          <w:rFonts w:hint="cs"/>
          <w:rtl/>
        </w:rPr>
        <w:t xml:space="preserve"> هو أن الباحث ينظر إلى الإمام أحمد ابن حنبل رحمه الله نظرة تتجاوز ما ينبغي أن يعطاه العالم من التقدير والتبجيل إلى حد بعيد</w:t>
      </w:r>
      <w:r w:rsidR="000636C2">
        <w:rPr>
          <w:rFonts w:hint="cs"/>
          <w:rtl/>
        </w:rPr>
        <w:t>،</w:t>
      </w:r>
      <w:r w:rsidRPr="005675B2">
        <w:rPr>
          <w:rFonts w:hint="cs"/>
          <w:rtl/>
        </w:rPr>
        <w:t xml:space="preserve"> وكأنه يضعه في مقام العصمة والتقديس</w:t>
      </w:r>
      <w:r w:rsidR="000636C2">
        <w:rPr>
          <w:rFonts w:hint="cs"/>
          <w:rtl/>
        </w:rPr>
        <w:t>!،</w:t>
      </w:r>
      <w:r w:rsidRPr="005675B2">
        <w:rPr>
          <w:rFonts w:hint="cs"/>
          <w:rtl/>
        </w:rPr>
        <w:t xml:space="preserve"> فتراه يكتفي بأن يقول </w:t>
      </w:r>
      <w:r w:rsidR="000636C2">
        <w:rPr>
          <w:rFonts w:hint="cs"/>
          <w:rtl/>
        </w:rPr>
        <w:t>[</w:t>
      </w:r>
      <w:r w:rsidRPr="005675B2">
        <w:rPr>
          <w:rFonts w:hint="cs"/>
          <w:rtl/>
        </w:rPr>
        <w:t>بدّع الإمامُ أحمدُ ابنَ</w:t>
      </w:r>
      <w:r w:rsidR="000636C2">
        <w:rPr>
          <w:rFonts w:hint="cs"/>
          <w:rtl/>
        </w:rPr>
        <w:t xml:space="preserve"> </w:t>
      </w:r>
      <w:r w:rsidRPr="005675B2">
        <w:rPr>
          <w:rFonts w:hint="cs"/>
          <w:rtl/>
        </w:rPr>
        <w:t>كُلاًّب وأمر بهجره</w:t>
      </w:r>
      <w:r w:rsidR="000636C2">
        <w:rPr>
          <w:rFonts w:hint="cs"/>
          <w:rtl/>
        </w:rPr>
        <w:t>]،</w:t>
      </w:r>
      <w:r w:rsidRPr="005675B2">
        <w:rPr>
          <w:rFonts w:hint="cs"/>
          <w:rtl/>
        </w:rPr>
        <w:t xml:space="preserve"> ولا داعي عنده بعد هذا إلى النظر في حال ابن كُلاًّب وأقواله في العقيدة وعرضها على الكتاب والسنة ليرى مدى التوافق أو التخالف</w:t>
      </w:r>
      <w:r w:rsidR="000636C2">
        <w:rPr>
          <w:rFonts w:hint="cs"/>
          <w:rtl/>
        </w:rPr>
        <w:t>،</w:t>
      </w:r>
      <w:r w:rsidRPr="005675B2">
        <w:rPr>
          <w:rFonts w:hint="cs"/>
          <w:rtl/>
        </w:rPr>
        <w:t xml:space="preserve"> ولا داعي عنده بعد هذا إلى النظر في أقوال سائر الأئمة في هذا الرجل</w:t>
      </w:r>
      <w:r w:rsidR="000636C2">
        <w:rPr>
          <w:rFonts w:hint="cs"/>
          <w:rtl/>
        </w:rPr>
        <w:t>!،</w:t>
      </w:r>
      <w:r w:rsidRPr="005675B2">
        <w:rPr>
          <w:rFonts w:hint="cs"/>
          <w:rtl/>
        </w:rPr>
        <w:t xml:space="preserve"> والقاعدة المقررة عند أهل السنة هي أن الحجة في قول الله تبارك وتعالى وقول رسوله صلى الله عليه وسلم</w:t>
      </w:r>
      <w:r w:rsidR="000636C2">
        <w:rPr>
          <w:rFonts w:hint="cs"/>
          <w:rtl/>
        </w:rPr>
        <w:t>،</w:t>
      </w:r>
      <w:r w:rsidRPr="005675B2">
        <w:rPr>
          <w:rFonts w:hint="cs"/>
          <w:rtl/>
        </w:rPr>
        <w:t xml:space="preserve"> وبعض الناس يرددون </w:t>
      </w:r>
      <w:r w:rsidR="000636C2">
        <w:rPr>
          <w:rFonts w:hint="cs"/>
          <w:rtl/>
        </w:rPr>
        <w:t>[</w:t>
      </w:r>
      <w:r w:rsidRPr="005675B2">
        <w:rPr>
          <w:rFonts w:hint="cs"/>
          <w:rtl/>
        </w:rPr>
        <w:t>ما منا من أحد إلا ردّ</w:t>
      </w:r>
      <w:r w:rsidR="000636C2">
        <w:rPr>
          <w:rFonts w:hint="cs"/>
          <w:rtl/>
        </w:rPr>
        <w:t xml:space="preserve"> </w:t>
      </w:r>
      <w:r w:rsidRPr="005675B2">
        <w:rPr>
          <w:rFonts w:hint="cs"/>
          <w:rtl/>
        </w:rPr>
        <w:t>ورُدّ عليه إلا صاحب ذلك القبر الشريف صلى الله عليه وسلم</w:t>
      </w:r>
      <w:r w:rsidR="000636C2">
        <w:rPr>
          <w:rFonts w:hint="cs"/>
          <w:rtl/>
        </w:rPr>
        <w:t>]</w:t>
      </w:r>
      <w:r w:rsidRPr="005675B2">
        <w:rPr>
          <w:rFonts w:hint="cs"/>
          <w:rtl/>
        </w:rPr>
        <w:t xml:space="preserve"> بألسنتهم</w:t>
      </w:r>
      <w:r w:rsidR="000636C2">
        <w:rPr>
          <w:rFonts w:hint="cs"/>
          <w:rtl/>
        </w:rPr>
        <w:t>،</w:t>
      </w:r>
      <w:r w:rsidRPr="005675B2">
        <w:rPr>
          <w:rFonts w:hint="cs"/>
          <w:rtl/>
        </w:rPr>
        <w:t xml:space="preserve"> وأما في الواقع والتطبيق فإنهم يضربون بها عرض الحائط</w:t>
      </w:r>
      <w:r w:rsidR="000636C2">
        <w:rPr>
          <w:rFonts w:hint="cs"/>
          <w:rtl/>
        </w:rPr>
        <w:t>،</w:t>
      </w:r>
      <w:r w:rsidRPr="005675B2">
        <w:rPr>
          <w:rFonts w:hint="cs"/>
          <w:rtl/>
        </w:rPr>
        <w:t xml:space="preserve"> وكأنهم رفعوا أئمتهم إلى مقام العصمة</w:t>
      </w:r>
      <w:r w:rsidR="000636C2">
        <w:rPr>
          <w:rFonts w:hint="cs"/>
          <w:rtl/>
        </w:rPr>
        <w:t>،</w:t>
      </w:r>
      <w:r w:rsidRPr="005675B2">
        <w:rPr>
          <w:rFonts w:hint="cs"/>
          <w:rtl/>
        </w:rPr>
        <w:t xml:space="preserve"> فإلى الله المشتكى</w:t>
      </w:r>
      <w:r w:rsidR="000636C2">
        <w:rPr>
          <w:rFonts w:hint="cs"/>
          <w:rtl/>
        </w:rPr>
        <w:t>،</w:t>
      </w:r>
    </w:p>
    <w:p w14:paraId="419BAA3C" w14:textId="157B3C82" w:rsidR="009C32A0" w:rsidRPr="005675B2" w:rsidRDefault="009C32A0" w:rsidP="000636C2">
      <w:pPr>
        <w:rPr>
          <w:b/>
          <w:rtl/>
        </w:rPr>
      </w:pPr>
      <w:r w:rsidRPr="005675B2">
        <w:rPr>
          <w:rFonts w:hint="cs"/>
          <w:rtl/>
        </w:rPr>
        <w:t>12</w:t>
      </w:r>
      <w:r w:rsidR="000636C2">
        <w:rPr>
          <w:rFonts w:hint="cs"/>
          <w:rtl/>
        </w:rPr>
        <w:t xml:space="preserve"> </w:t>
      </w:r>
      <w:r w:rsidRPr="005675B2">
        <w:rPr>
          <w:rFonts w:hint="cs"/>
          <w:rtl/>
        </w:rPr>
        <w:t>- ذكر الباحث أن الخليفة العباسي القادر بالله أصدر منشور الاعتقاد القادري وأوضح فيه العقيدة الواجب على الأمة اعتقادها</w:t>
      </w:r>
      <w:r w:rsidR="000636C2">
        <w:rPr>
          <w:rFonts w:hint="cs"/>
          <w:rtl/>
        </w:rPr>
        <w:t>،</w:t>
      </w:r>
      <w:r w:rsidRPr="005675B2">
        <w:rPr>
          <w:rFonts w:hint="cs"/>
          <w:rtl/>
        </w:rPr>
        <w:t xml:space="preserve"> وذلك بسبب انتشار مذهب الأشاعرة وإجماع علماء الدولة</w:t>
      </w:r>
      <w:r w:rsidR="000636C2">
        <w:rPr>
          <w:rFonts w:hint="cs"/>
          <w:rtl/>
        </w:rPr>
        <w:t xml:space="preserve"> </w:t>
      </w:r>
      <w:r w:rsidRPr="005675B2">
        <w:rPr>
          <w:rFonts w:hint="cs"/>
          <w:rtl/>
        </w:rPr>
        <w:t>- سيما الحنابلة</w:t>
      </w:r>
      <w:r w:rsidR="000636C2">
        <w:rPr>
          <w:rFonts w:hint="cs"/>
          <w:rtl/>
        </w:rPr>
        <w:t xml:space="preserve"> </w:t>
      </w:r>
      <w:r w:rsidRPr="005675B2">
        <w:rPr>
          <w:rFonts w:hint="cs"/>
          <w:rtl/>
        </w:rPr>
        <w:t>- على محاربته</w:t>
      </w:r>
      <w:r w:rsidR="000636C2">
        <w:rPr>
          <w:rFonts w:hint="cs"/>
          <w:rtl/>
        </w:rPr>
        <w:t>!،</w:t>
      </w:r>
      <w:r w:rsidRPr="005675B2">
        <w:rPr>
          <w:rFonts w:hint="cs"/>
          <w:rtl/>
        </w:rPr>
        <w:t xml:space="preserve"> فهل أجمع علماء الدولة في خلافة القادر بالله العباسي على محاربة المذهب الأشعري</w:t>
      </w:r>
      <w:r w:rsidR="000636C2">
        <w:rPr>
          <w:rFonts w:hint="cs"/>
          <w:rtl/>
        </w:rPr>
        <w:t>؟!</w:t>
      </w:r>
      <w:r w:rsidRPr="005675B2">
        <w:rPr>
          <w:rFonts w:hint="cs"/>
          <w:rtl/>
        </w:rPr>
        <w:t xml:space="preserve"> دعوى تحتاج إلى برهان</w:t>
      </w:r>
      <w:r w:rsidR="000636C2">
        <w:rPr>
          <w:rFonts w:hint="cs"/>
          <w:rtl/>
        </w:rPr>
        <w:t xml:space="preserve">، </w:t>
      </w:r>
      <w:r w:rsidRPr="005675B2">
        <w:rPr>
          <w:rFonts w:hint="cs"/>
          <w:rtl/>
        </w:rPr>
        <w:t>ثم هل تعتقد</w:t>
      </w:r>
      <w:r w:rsidR="000636C2">
        <w:rPr>
          <w:rFonts w:hint="cs"/>
          <w:rtl/>
        </w:rPr>
        <w:t xml:space="preserve"> </w:t>
      </w:r>
      <w:r w:rsidRPr="005675B2">
        <w:rPr>
          <w:rFonts w:hint="cs"/>
          <w:rtl/>
        </w:rPr>
        <w:t>- أيها الباحث</w:t>
      </w:r>
      <w:r w:rsidR="000636C2">
        <w:rPr>
          <w:rFonts w:hint="cs"/>
          <w:rtl/>
        </w:rPr>
        <w:t xml:space="preserve"> </w:t>
      </w:r>
      <w:r w:rsidRPr="005675B2">
        <w:rPr>
          <w:rFonts w:hint="cs"/>
          <w:rtl/>
        </w:rPr>
        <w:t>- العقيدة الواردة في الاعتقاد القادري التي تقول بأنه يجب على الأمة اعتقادها</w:t>
      </w:r>
      <w:r w:rsidR="000636C2">
        <w:rPr>
          <w:rFonts w:hint="cs"/>
          <w:rtl/>
        </w:rPr>
        <w:t>؟!</w:t>
      </w:r>
      <w:r w:rsidRPr="005675B2">
        <w:rPr>
          <w:rFonts w:hint="cs"/>
          <w:rtl/>
        </w:rPr>
        <w:t xml:space="preserve"> أو تعتقد العقيدة الواردة في كلام ابن تيمية</w:t>
      </w:r>
      <w:r w:rsidR="000636C2">
        <w:rPr>
          <w:rFonts w:hint="cs"/>
          <w:rtl/>
        </w:rPr>
        <w:t>؟!</w:t>
      </w:r>
      <w:r w:rsidRPr="005675B2">
        <w:rPr>
          <w:rFonts w:hint="cs"/>
          <w:rtl/>
        </w:rPr>
        <w:t xml:space="preserve"> فإن بينهما تناقضاً في مسألة عقدية هي من أهم الأسس التي ينبني عليها عدد من مسائل الاعتقاد</w:t>
      </w:r>
      <w:r w:rsidR="000636C2">
        <w:rPr>
          <w:rFonts w:hint="cs"/>
          <w:rtl/>
        </w:rPr>
        <w:t>،</w:t>
      </w:r>
      <w:r w:rsidRPr="005675B2">
        <w:rPr>
          <w:rFonts w:hint="cs"/>
          <w:rtl/>
        </w:rPr>
        <w:t xml:space="preserve"> فقد جاء في المنشور القادري </w:t>
      </w:r>
      <w:r w:rsidR="000636C2">
        <w:rPr>
          <w:rFonts w:hint="cs"/>
          <w:rtl/>
        </w:rPr>
        <w:t>[</w:t>
      </w:r>
      <w:r w:rsidRPr="005675B2">
        <w:rPr>
          <w:rFonts w:hint="cs"/>
          <w:rtl/>
        </w:rPr>
        <w:t>كان ربنا وحده لا شيء معه</w:t>
      </w:r>
      <w:r w:rsidR="000636C2">
        <w:rPr>
          <w:rFonts w:hint="cs"/>
          <w:rtl/>
        </w:rPr>
        <w:t>]،</w:t>
      </w:r>
      <w:r w:rsidRPr="005675B2">
        <w:rPr>
          <w:rFonts w:hint="cs"/>
          <w:rtl/>
        </w:rPr>
        <w:t xml:space="preserve"> بينما يعتقد ابن تيمية أنه كان الله ولم يكن شيء قبله وينكر أنه كان ولا شيء معه</w:t>
      </w:r>
      <w:r w:rsidR="000636C2">
        <w:rPr>
          <w:rFonts w:hint="cs"/>
          <w:rtl/>
        </w:rPr>
        <w:t>،</w:t>
      </w:r>
      <w:r w:rsidRPr="005675B2">
        <w:rPr>
          <w:rFonts w:hint="cs"/>
          <w:rtl/>
        </w:rPr>
        <w:t xml:space="preserve"> فعلى أية عقيدة أنت</w:t>
      </w:r>
      <w:r w:rsidR="000636C2">
        <w:rPr>
          <w:rFonts w:hint="cs"/>
          <w:rtl/>
        </w:rPr>
        <w:t>؟!</w:t>
      </w:r>
      <w:r w:rsidRPr="005675B2">
        <w:rPr>
          <w:rFonts w:hint="cs"/>
          <w:rtl/>
        </w:rPr>
        <w:t xml:space="preserve"> وما العقيدة الصحيحة التي يجب على المسـلم أن يعتقدها</w:t>
      </w:r>
      <w:r w:rsidR="000636C2">
        <w:rPr>
          <w:rFonts w:hint="cs"/>
          <w:rtl/>
        </w:rPr>
        <w:t>:</w:t>
      </w:r>
      <w:r w:rsidRPr="005675B2">
        <w:rPr>
          <w:rFonts w:hint="cs"/>
          <w:rtl/>
        </w:rPr>
        <w:t xml:space="preserve"> ما ورد في الاعتقـاد القادري أو ما ورد في كتب ابن تيمية</w:t>
      </w:r>
      <w:r w:rsidR="000636C2">
        <w:rPr>
          <w:rFonts w:hint="cs"/>
          <w:rtl/>
        </w:rPr>
        <w:t xml:space="preserve">؟، </w:t>
      </w:r>
      <w:r w:rsidRPr="005675B2">
        <w:rPr>
          <w:rFonts w:hint="cs"/>
          <w:rtl/>
        </w:rPr>
        <w:t xml:space="preserve">وأما قول الباحث </w:t>
      </w:r>
      <w:r w:rsidR="000636C2">
        <w:rPr>
          <w:rFonts w:hint="cs"/>
          <w:rtl/>
        </w:rPr>
        <w:t>[</w:t>
      </w:r>
      <w:r w:rsidRPr="005675B2">
        <w:rPr>
          <w:rFonts w:hint="cs"/>
          <w:rtl/>
        </w:rPr>
        <w:t xml:space="preserve">أصدر الخليفة القادر منشور الاعتقاد القادري .. سنة </w:t>
      </w:r>
      <w:r w:rsidR="000636C2">
        <w:rPr>
          <w:rFonts w:hint="cs"/>
          <w:rtl/>
        </w:rPr>
        <w:t>(</w:t>
      </w:r>
      <w:r w:rsidRPr="005675B2">
        <w:rPr>
          <w:rFonts w:hint="cs"/>
          <w:rtl/>
        </w:rPr>
        <w:t>433ه -</w:t>
      </w:r>
      <w:r w:rsidR="000636C2">
        <w:rPr>
          <w:rFonts w:hint="cs"/>
          <w:rtl/>
        </w:rPr>
        <w:t>)]</w:t>
      </w:r>
      <w:r w:rsidRPr="005675B2">
        <w:rPr>
          <w:rFonts w:hint="cs"/>
          <w:rtl/>
        </w:rPr>
        <w:t xml:space="preserve"> فهو خطأ منشؤه التسرع</w:t>
      </w:r>
      <w:r w:rsidR="000636C2">
        <w:rPr>
          <w:rFonts w:hint="cs"/>
          <w:rtl/>
        </w:rPr>
        <w:t>،</w:t>
      </w:r>
      <w:r w:rsidRPr="005675B2">
        <w:rPr>
          <w:rFonts w:hint="cs"/>
          <w:rtl/>
        </w:rPr>
        <w:t xml:space="preserve"> فإن الخليفة القادر بالله توفي سـنة </w:t>
      </w:r>
      <w:r w:rsidR="000636C2">
        <w:rPr>
          <w:rFonts w:hint="cs"/>
          <w:rtl/>
        </w:rPr>
        <w:t>(</w:t>
      </w:r>
      <w:r w:rsidRPr="005675B2">
        <w:rPr>
          <w:rFonts w:hint="cs"/>
          <w:rtl/>
        </w:rPr>
        <w:t>422ه -</w:t>
      </w:r>
      <w:r w:rsidR="000636C2">
        <w:rPr>
          <w:rFonts w:hint="cs"/>
          <w:rtl/>
        </w:rPr>
        <w:t>)</w:t>
      </w:r>
      <w:r w:rsidRPr="005675B2">
        <w:rPr>
          <w:rFonts w:hint="cs"/>
          <w:rtl/>
        </w:rPr>
        <w:t xml:space="preserve"> والذي وقـع سـنة </w:t>
      </w:r>
      <w:r w:rsidR="000636C2">
        <w:rPr>
          <w:rFonts w:hint="cs"/>
          <w:rtl/>
        </w:rPr>
        <w:t>(</w:t>
      </w:r>
      <w:r w:rsidRPr="005675B2">
        <w:rPr>
          <w:rFonts w:hint="cs"/>
          <w:rtl/>
        </w:rPr>
        <w:t>433ه -</w:t>
      </w:r>
      <w:r w:rsidR="000636C2">
        <w:rPr>
          <w:rFonts w:hint="cs"/>
          <w:rtl/>
        </w:rPr>
        <w:t>)</w:t>
      </w:r>
      <w:r w:rsidRPr="005675B2">
        <w:rPr>
          <w:rFonts w:hint="cs"/>
          <w:rtl/>
        </w:rPr>
        <w:t xml:space="preserve"> هو أن الخليفة القائم بأمر الله أخرج في هذه السَّنَة </w:t>
      </w:r>
      <w:r w:rsidR="000636C2">
        <w:rPr>
          <w:rFonts w:hint="cs"/>
          <w:rtl/>
        </w:rPr>
        <w:t>[</w:t>
      </w:r>
      <w:r w:rsidRPr="005675B2">
        <w:rPr>
          <w:rFonts w:hint="cs"/>
          <w:rtl/>
        </w:rPr>
        <w:t>الاعتقاد القادري</w:t>
      </w:r>
      <w:r w:rsidR="000636C2">
        <w:rPr>
          <w:rFonts w:hint="cs"/>
          <w:rtl/>
        </w:rPr>
        <w:t>]</w:t>
      </w:r>
      <w:r w:rsidRPr="005675B2">
        <w:rPr>
          <w:rFonts w:hint="cs"/>
          <w:rtl/>
        </w:rPr>
        <w:t xml:space="preserve"> الذي كتب لأبيه القادر بالله</w:t>
      </w:r>
      <w:r w:rsidR="000636C2">
        <w:rPr>
          <w:rFonts w:hint="cs"/>
          <w:rtl/>
        </w:rPr>
        <w:t>،</w:t>
      </w:r>
      <w:r w:rsidRPr="005675B2">
        <w:rPr>
          <w:rFonts w:hint="cs"/>
          <w:rtl/>
        </w:rPr>
        <w:t xml:space="preserve"> فقرئ في الديوان</w:t>
      </w:r>
      <w:r w:rsidR="000636C2">
        <w:rPr>
          <w:rFonts w:hint="cs"/>
          <w:rtl/>
        </w:rPr>
        <w:t>،</w:t>
      </w:r>
      <w:r w:rsidRPr="005675B2">
        <w:rPr>
          <w:rFonts w:hint="cs"/>
          <w:rtl/>
        </w:rPr>
        <w:t xml:space="preserve"> فهذا تاريخ قراءته في خلافة القائم</w:t>
      </w:r>
      <w:r w:rsidR="000636C2">
        <w:rPr>
          <w:rFonts w:hint="cs"/>
          <w:rtl/>
        </w:rPr>
        <w:t>،</w:t>
      </w:r>
      <w:r w:rsidRPr="005675B2">
        <w:rPr>
          <w:rFonts w:hint="cs"/>
          <w:rtl/>
        </w:rPr>
        <w:t xml:space="preserve"> لا تاريخ كتابته في خلافة القادر</w:t>
      </w:r>
      <w:r w:rsidR="000636C2">
        <w:rPr>
          <w:rFonts w:hint="cs"/>
          <w:rtl/>
        </w:rPr>
        <w:t>،</w:t>
      </w:r>
    </w:p>
    <w:p w14:paraId="0BDE864F" w14:textId="7649BDA2" w:rsidR="009C32A0" w:rsidRPr="005675B2" w:rsidRDefault="009C32A0" w:rsidP="000636C2">
      <w:pPr>
        <w:rPr>
          <w:b/>
          <w:rtl/>
        </w:rPr>
      </w:pPr>
      <w:r w:rsidRPr="005675B2">
        <w:rPr>
          <w:rFonts w:hint="cs"/>
          <w:bCs/>
          <w:rtl/>
        </w:rPr>
        <w:t>قال الباحث</w:t>
      </w:r>
      <w:r w:rsidR="000636C2">
        <w:rPr>
          <w:rFonts w:hint="cs"/>
          <w:rtl/>
        </w:rPr>
        <w:t>: [</w:t>
      </w:r>
      <w:r w:rsidRPr="005675B2">
        <w:rPr>
          <w:rFonts w:hint="cs"/>
          <w:rtl/>
        </w:rPr>
        <w:t>وليس ذم الأشاعرة وتبديعهم خاصاً بأئمة المذاهب المعتبرين</w:t>
      </w:r>
      <w:r w:rsidR="000636C2">
        <w:rPr>
          <w:rFonts w:hint="cs"/>
          <w:rtl/>
        </w:rPr>
        <w:t>،</w:t>
      </w:r>
      <w:r w:rsidRPr="005675B2">
        <w:rPr>
          <w:rFonts w:hint="cs"/>
          <w:rtl/>
        </w:rPr>
        <w:t xml:space="preserve"> بل هو منقول أيضاً عن أئمة السلوك الذين كانوا أقرب إلى السنة واتباع السلف</w:t>
      </w:r>
      <w:r w:rsidR="000636C2">
        <w:rPr>
          <w:rFonts w:hint="cs"/>
          <w:rtl/>
        </w:rPr>
        <w:t>،</w:t>
      </w:r>
      <w:r w:rsidRPr="005675B2">
        <w:rPr>
          <w:rFonts w:hint="cs"/>
          <w:rtl/>
        </w:rPr>
        <w:t xml:space="preserve"> .. فما ظنك بحكم رجال الجرح والتعديل</w:t>
      </w:r>
      <w:r w:rsidR="000636C2">
        <w:rPr>
          <w:rFonts w:hint="cs"/>
          <w:rtl/>
        </w:rPr>
        <w:t>؟!</w:t>
      </w:r>
      <w:r w:rsidRPr="005675B2">
        <w:rPr>
          <w:rFonts w:hint="cs"/>
          <w:rtl/>
        </w:rPr>
        <w:t xml:space="preserve"> .. وانظر إن شئت ترجمة إمامهم المتأخر الفخر الرازي في الميزان ولسان الميزان</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وقد ترجم الحافظ الذهبي رحمه الله في الميزان وغيره للرازي والآمدي بما هما أهله ..</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على أن ابن حجر قال في آخر ترجمة الرازي</w:t>
      </w:r>
      <w:r w:rsidR="000636C2">
        <w:rPr>
          <w:rFonts w:hint="cs"/>
          <w:rtl/>
        </w:rPr>
        <w:t>:</w:t>
      </w:r>
      <w:r w:rsidRPr="005675B2">
        <w:rPr>
          <w:rFonts w:hint="cs"/>
          <w:rtl/>
        </w:rPr>
        <w:t xml:space="preserve"> أوصى بوصية تدل على أنه حسّن اعتقاده</w:t>
      </w:r>
      <w:r w:rsidR="000636C2">
        <w:rPr>
          <w:rFonts w:hint="cs"/>
          <w:rtl/>
        </w:rPr>
        <w:t>،</w:t>
      </w:r>
      <w:r w:rsidRPr="005675B2">
        <w:rPr>
          <w:rFonts w:hint="cs"/>
          <w:rtl/>
        </w:rPr>
        <w:t xml:space="preserve"> وهذه العبارة التي قد يفهم منها أنها متعاطفة مع الرازي ضد مهاجميه هي شاهد لما نقول</w:t>
      </w:r>
      <w:r w:rsidR="000636C2">
        <w:rPr>
          <w:rFonts w:hint="cs"/>
          <w:rtl/>
        </w:rPr>
        <w:t xml:space="preserve">]، </w:t>
      </w:r>
      <w:r w:rsidRPr="005675B2">
        <w:rPr>
          <w:rFonts w:hint="cs"/>
          <w:rtl/>
        </w:rPr>
        <w:t>أي</w:t>
      </w:r>
      <w:r w:rsidR="000636C2">
        <w:rPr>
          <w:rFonts w:hint="cs"/>
          <w:rtl/>
        </w:rPr>
        <w:t>:</w:t>
      </w:r>
      <w:r w:rsidRPr="005675B2">
        <w:rPr>
          <w:rFonts w:hint="cs"/>
          <w:rtl/>
        </w:rPr>
        <w:t xml:space="preserve"> هي شاهد لقوله</w:t>
      </w:r>
      <w:r w:rsidR="000636C2">
        <w:rPr>
          <w:rFonts w:hint="cs"/>
          <w:rtl/>
        </w:rPr>
        <w:t>:</w:t>
      </w:r>
      <w:r w:rsidRPr="005675B2">
        <w:rPr>
          <w:rFonts w:hint="cs"/>
          <w:rtl/>
        </w:rPr>
        <w:t xml:space="preserve"> إن ابن حجر ليس على مذهب الرازي</w:t>
      </w:r>
      <w:r w:rsidR="000636C2">
        <w:rPr>
          <w:rFonts w:hint="cs"/>
          <w:rtl/>
        </w:rPr>
        <w:t>،</w:t>
      </w:r>
    </w:p>
    <w:p w14:paraId="72D33540" w14:textId="1C080FE0" w:rsidR="009C32A0" w:rsidRPr="005675B2" w:rsidRDefault="009C32A0" w:rsidP="000636C2">
      <w:pPr>
        <w:rPr>
          <w:b/>
          <w:rtl/>
        </w:rPr>
      </w:pPr>
      <w:r w:rsidRPr="005675B2">
        <w:rPr>
          <w:rFonts w:hint="cs"/>
          <w:bCs/>
          <w:rtl/>
        </w:rPr>
        <w:t>أقول</w:t>
      </w:r>
      <w:r w:rsidR="000636C2">
        <w:rPr>
          <w:rFonts w:hint="cs"/>
          <w:rtl/>
        </w:rPr>
        <w:t>:</w:t>
      </w:r>
      <w:r w:rsidRPr="005675B2">
        <w:rPr>
          <w:rFonts w:hint="cs"/>
          <w:rtl/>
        </w:rPr>
        <w:t xml:space="preserve"> 1 - إذا جاء عن بعض أئمة السلوك ذم للأشاعرة فإن هذا لا يعني أن كلهم أو أكثرهم قد ذموا الأشاعرة أو رموهم بالابتداع</w:t>
      </w:r>
      <w:r w:rsidR="000636C2">
        <w:rPr>
          <w:rFonts w:hint="cs"/>
          <w:rtl/>
        </w:rPr>
        <w:t>،</w:t>
      </w:r>
      <w:r w:rsidRPr="005675B2">
        <w:rPr>
          <w:rFonts w:hint="cs"/>
          <w:rtl/>
        </w:rPr>
        <w:t xml:space="preserve"> ويكفي في هذا أن الباحث لم يذكر كلمة واحدة عن واحد من أئمة السلوك في ذلك</w:t>
      </w:r>
      <w:r w:rsidR="000636C2">
        <w:rPr>
          <w:rFonts w:hint="cs"/>
          <w:rtl/>
        </w:rPr>
        <w:t xml:space="preserve">، </w:t>
      </w:r>
      <w:r w:rsidRPr="005675B2">
        <w:rPr>
          <w:rFonts w:hint="cs"/>
          <w:rtl/>
        </w:rPr>
        <w:t>والكلمة التي اقتصر عليها الباحث هي أن السيد عبد القادر الجيلاني رحمه الله لما سئل</w:t>
      </w:r>
      <w:r w:rsidR="000636C2">
        <w:rPr>
          <w:rFonts w:hint="cs"/>
          <w:rtl/>
        </w:rPr>
        <w:t>:</w:t>
      </w:r>
      <w:r w:rsidRPr="005675B2">
        <w:rPr>
          <w:rFonts w:hint="cs"/>
          <w:rtl/>
        </w:rPr>
        <w:t xml:space="preserve"> هل كان لله ولي على غير اعتقاد أحمد ابن حنبل</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ما كان ولا يكون</w:t>
      </w:r>
      <w:r w:rsidR="000636C2">
        <w:rPr>
          <w:rFonts w:hint="cs"/>
          <w:rtl/>
        </w:rPr>
        <w:t>]،</w:t>
      </w:r>
      <w:r w:rsidRPr="005675B2">
        <w:rPr>
          <w:rFonts w:hint="cs"/>
          <w:rtl/>
        </w:rPr>
        <w:t xml:space="preserve"> فهلا ذكر الباحث مسألة واحدة من أصول مسائل الاعتقاد يختلف فيها الأشاعرة مع أحمد ابن حنبل ليثبت أن الأشاعرة مناقضون له وأنهم مذمومون مبدّعون في نظر أئمة السلوك</w:t>
      </w:r>
      <w:r w:rsidR="000636C2">
        <w:rPr>
          <w:rFonts w:hint="cs"/>
          <w:rtl/>
        </w:rPr>
        <w:t xml:space="preserve">!، </w:t>
      </w:r>
      <w:r w:rsidRPr="005675B2">
        <w:rPr>
          <w:rFonts w:hint="cs"/>
          <w:rtl/>
        </w:rPr>
        <w:t>2 - انظر الكلمات الواردة عن أئمة السلوك في الفصل الأول من الرسالة القشيرية لتقف على نبذ من كلامهم في العقيدة</w:t>
      </w:r>
      <w:r w:rsidR="000636C2">
        <w:rPr>
          <w:rFonts w:hint="cs"/>
          <w:rtl/>
        </w:rPr>
        <w:t>،</w:t>
      </w:r>
      <w:r w:rsidRPr="005675B2">
        <w:rPr>
          <w:rFonts w:hint="cs"/>
          <w:rtl/>
        </w:rPr>
        <w:t xml:space="preserve"> فمن ذلك</w:t>
      </w:r>
      <w:r w:rsidR="000636C2">
        <w:rPr>
          <w:rFonts w:hint="cs"/>
          <w:rtl/>
        </w:rPr>
        <w:t>: [</w:t>
      </w:r>
      <w:r w:rsidRPr="005675B2">
        <w:rPr>
          <w:rFonts w:hint="cs"/>
          <w:rtl/>
        </w:rPr>
        <w:t>الله هو الواحد</w:t>
      </w:r>
      <w:r w:rsidR="000636C2">
        <w:rPr>
          <w:rFonts w:hint="cs"/>
          <w:rtl/>
        </w:rPr>
        <w:t>،</w:t>
      </w:r>
      <w:r w:rsidRPr="005675B2">
        <w:rPr>
          <w:rFonts w:hint="cs"/>
          <w:rtl/>
        </w:rPr>
        <w:t xml:space="preserve"> لاحدَّ لذاته</w:t>
      </w:r>
      <w:r w:rsidR="000636C2">
        <w:rPr>
          <w:rFonts w:hint="cs"/>
          <w:rtl/>
        </w:rPr>
        <w:t>،</w:t>
      </w:r>
      <w:r w:rsidRPr="005675B2">
        <w:rPr>
          <w:rFonts w:hint="cs"/>
          <w:rtl/>
        </w:rPr>
        <w:t xml:space="preserve"> ولا حروف لكلامه</w:t>
      </w:r>
      <w:r w:rsidR="000636C2">
        <w:rPr>
          <w:rFonts w:hint="cs"/>
          <w:rtl/>
        </w:rPr>
        <w:t>]، [</w:t>
      </w:r>
      <w:r w:rsidRPr="005675B2">
        <w:rPr>
          <w:rFonts w:hint="cs"/>
          <w:rtl/>
        </w:rPr>
        <w:t>كل ما تصور في خيالك فالله بخلاف ذلك</w:t>
      </w:r>
      <w:r w:rsidR="000636C2">
        <w:rPr>
          <w:rFonts w:hint="cs"/>
          <w:rtl/>
        </w:rPr>
        <w:t>]، [</w:t>
      </w:r>
      <w:r w:rsidRPr="005675B2">
        <w:rPr>
          <w:rFonts w:hint="cs"/>
          <w:rtl/>
        </w:rPr>
        <w:t>الإيمان تصديق القلوب بما وضحه الحق من الغيوب</w:t>
      </w:r>
      <w:r w:rsidR="000636C2">
        <w:rPr>
          <w:rFonts w:hint="cs"/>
          <w:rtl/>
        </w:rPr>
        <w:t>]، [</w:t>
      </w:r>
      <w:r w:rsidRPr="005675B2">
        <w:rPr>
          <w:rFonts w:hint="cs"/>
          <w:rtl/>
        </w:rPr>
        <w:t>كنت أعتقد شيئاً من حديث الجهة</w:t>
      </w:r>
      <w:r w:rsidR="000636C2">
        <w:rPr>
          <w:rFonts w:hint="cs"/>
          <w:rtl/>
        </w:rPr>
        <w:t>،</w:t>
      </w:r>
      <w:r w:rsidRPr="005675B2">
        <w:rPr>
          <w:rFonts w:hint="cs"/>
          <w:rtl/>
        </w:rPr>
        <w:t xml:space="preserve"> فلما جئت بغداد زال ذلك عن قلبي</w:t>
      </w:r>
      <w:r w:rsidR="000636C2">
        <w:rPr>
          <w:rFonts w:hint="cs"/>
          <w:rtl/>
        </w:rPr>
        <w:t>،</w:t>
      </w:r>
      <w:r w:rsidRPr="005675B2">
        <w:rPr>
          <w:rFonts w:hint="cs"/>
          <w:rtl/>
        </w:rPr>
        <w:t xml:space="preserve"> فكتبت إلى أصحابنا بمكة</w:t>
      </w:r>
      <w:r w:rsidR="000636C2">
        <w:rPr>
          <w:rFonts w:hint="cs"/>
          <w:rtl/>
        </w:rPr>
        <w:t>:</w:t>
      </w:r>
      <w:r w:rsidRPr="005675B2">
        <w:rPr>
          <w:rFonts w:hint="cs"/>
          <w:rtl/>
        </w:rPr>
        <w:t xml:space="preserve"> إني أسلمت الآن إسلاماً جديداً</w:t>
      </w:r>
      <w:r w:rsidR="000636C2">
        <w:rPr>
          <w:rFonts w:hint="cs"/>
          <w:rtl/>
        </w:rPr>
        <w:t>]، [</w:t>
      </w:r>
      <w:r w:rsidRPr="005675B2">
        <w:rPr>
          <w:rFonts w:hint="cs"/>
          <w:rtl/>
        </w:rPr>
        <w:t>كل ما صوره الخيال والأفكار فالله سبحانه بخلافه</w:t>
      </w:r>
      <w:r w:rsidR="000636C2">
        <w:rPr>
          <w:rFonts w:hint="cs"/>
          <w:rtl/>
        </w:rPr>
        <w:t>]،</w:t>
      </w:r>
      <w:r w:rsidRPr="005675B2">
        <w:rPr>
          <w:rFonts w:hint="cs"/>
          <w:rtl/>
        </w:rPr>
        <w:t xml:space="preserve"> </w:t>
      </w:r>
      <w:r w:rsidR="000636C2">
        <w:rPr>
          <w:rFonts w:hint="cs"/>
          <w:rtl/>
        </w:rPr>
        <w:t>[</w:t>
      </w:r>
      <w:r w:rsidRPr="005675B2">
        <w:rPr>
          <w:rFonts w:hint="cs"/>
          <w:rtl/>
        </w:rPr>
        <w:t>أثبتَ ذاته</w:t>
      </w:r>
      <w:r w:rsidR="000636C2">
        <w:rPr>
          <w:rFonts w:hint="cs"/>
          <w:rtl/>
        </w:rPr>
        <w:t>،</w:t>
      </w:r>
      <w:r w:rsidRPr="005675B2">
        <w:rPr>
          <w:rFonts w:hint="cs"/>
          <w:rtl/>
        </w:rPr>
        <w:t xml:space="preserve"> ونفى مكانه</w:t>
      </w:r>
      <w:r w:rsidR="000636C2">
        <w:rPr>
          <w:rFonts w:hint="cs"/>
          <w:rtl/>
        </w:rPr>
        <w:t>]، [</w:t>
      </w:r>
      <w:r w:rsidRPr="005675B2">
        <w:rPr>
          <w:rFonts w:hint="cs"/>
          <w:rtl/>
        </w:rPr>
        <w:t>الرحمن لم يزل</w:t>
      </w:r>
      <w:r w:rsidR="000636C2">
        <w:rPr>
          <w:rFonts w:hint="cs"/>
          <w:rtl/>
        </w:rPr>
        <w:t>،</w:t>
      </w:r>
      <w:r w:rsidRPr="005675B2">
        <w:rPr>
          <w:rFonts w:hint="cs"/>
          <w:rtl/>
        </w:rPr>
        <w:t xml:space="preserve"> والعرش محدث</w:t>
      </w:r>
      <w:r w:rsidR="000636C2">
        <w:rPr>
          <w:rFonts w:hint="cs"/>
          <w:rtl/>
        </w:rPr>
        <w:t>]،</w:t>
      </w:r>
      <w:r w:rsidRPr="005675B2">
        <w:rPr>
          <w:rFonts w:hint="cs"/>
          <w:rtl/>
        </w:rPr>
        <w:t xml:space="preserve"> </w:t>
      </w:r>
      <w:r w:rsidR="000636C2">
        <w:rPr>
          <w:rFonts w:hint="cs"/>
          <w:rtl/>
        </w:rPr>
        <w:t>[</w:t>
      </w:r>
      <w:r w:rsidRPr="005675B2">
        <w:rPr>
          <w:rFonts w:hint="cs"/>
          <w:rtl/>
        </w:rPr>
        <w:t>وله يدان هما صفتان يخلق بهما ما يشاء</w:t>
      </w:r>
      <w:r w:rsidR="000636C2">
        <w:rPr>
          <w:rFonts w:hint="cs"/>
          <w:rtl/>
        </w:rPr>
        <w:t>،</w:t>
      </w:r>
      <w:r w:rsidRPr="005675B2">
        <w:rPr>
          <w:rFonts w:hint="cs"/>
          <w:rtl/>
        </w:rPr>
        <w:t xml:space="preserve"> ليس بجسم ولا جوهر ولا عرض</w:t>
      </w:r>
      <w:r w:rsidR="000636C2">
        <w:rPr>
          <w:rFonts w:hint="cs"/>
          <w:rtl/>
        </w:rPr>
        <w:t>،</w:t>
      </w:r>
      <w:r w:rsidRPr="005675B2">
        <w:rPr>
          <w:rFonts w:hint="cs"/>
          <w:rtl/>
        </w:rPr>
        <w:t xml:space="preserve"> لا جهة له ولا مكان</w:t>
      </w:r>
      <w:r w:rsidR="000636C2">
        <w:rPr>
          <w:rFonts w:hint="cs"/>
          <w:rtl/>
        </w:rPr>
        <w:t>،</w:t>
      </w:r>
      <w:r w:rsidRPr="005675B2">
        <w:rPr>
          <w:rFonts w:hint="cs"/>
          <w:rtl/>
        </w:rPr>
        <w:t xml:space="preserve"> ولا يحله حادث</w:t>
      </w:r>
      <w:r w:rsidR="000636C2">
        <w:rPr>
          <w:rFonts w:hint="cs"/>
          <w:rtl/>
        </w:rPr>
        <w:t>،</w:t>
      </w:r>
      <w:r w:rsidRPr="005675B2">
        <w:rPr>
          <w:rFonts w:hint="cs"/>
          <w:rtl/>
        </w:rPr>
        <w:t xml:space="preserve"> ولا يحمله على الفعل باعث</w:t>
      </w:r>
      <w:r w:rsidR="000636C2">
        <w:rPr>
          <w:rFonts w:hint="cs"/>
          <w:rtl/>
        </w:rPr>
        <w:t>،</w:t>
      </w:r>
      <w:r w:rsidRPr="005675B2">
        <w:rPr>
          <w:rFonts w:hint="cs"/>
          <w:rtl/>
        </w:rPr>
        <w:t xml:space="preserve"> ولا يقال أين هو ولا كيف هو</w:t>
      </w:r>
      <w:r w:rsidR="000636C2">
        <w:rPr>
          <w:rFonts w:hint="cs"/>
          <w:rtl/>
        </w:rPr>
        <w:t xml:space="preserve">؟ </w:t>
      </w:r>
      <w:r w:rsidRPr="005675B2">
        <w:rPr>
          <w:rFonts w:hint="cs"/>
          <w:rtl/>
        </w:rPr>
        <w:t>ولا يقال لم فعل ما فعل</w:t>
      </w:r>
      <w:r w:rsidR="000636C2">
        <w:rPr>
          <w:rFonts w:hint="cs"/>
          <w:rtl/>
        </w:rPr>
        <w:t>؟</w:t>
      </w:r>
      <w:r w:rsidRPr="005675B2">
        <w:rPr>
          <w:rFonts w:hint="cs"/>
          <w:rtl/>
        </w:rPr>
        <w:t xml:space="preserve"> إذ لا علة لأفعاله</w:t>
      </w:r>
      <w:r w:rsidR="000636C2">
        <w:rPr>
          <w:rFonts w:hint="cs"/>
          <w:rtl/>
        </w:rPr>
        <w:t>،</w:t>
      </w:r>
      <w:r w:rsidRPr="005675B2">
        <w:rPr>
          <w:rFonts w:hint="cs"/>
          <w:rtl/>
        </w:rPr>
        <w:t xml:space="preserve"> يرى لا عن مقابلة</w:t>
      </w:r>
      <w:r w:rsidR="000636C2">
        <w:rPr>
          <w:rFonts w:hint="cs"/>
          <w:rtl/>
        </w:rPr>
        <w:t>]،</w:t>
      </w:r>
      <w:r w:rsidRPr="005675B2">
        <w:rPr>
          <w:rFonts w:hint="cs"/>
          <w:rtl/>
        </w:rPr>
        <w:t xml:space="preserve"> فهل قائلوا هذا إلا أشاعرة</w:t>
      </w:r>
      <w:r w:rsidR="000636C2">
        <w:rPr>
          <w:rFonts w:hint="cs"/>
          <w:rtl/>
        </w:rPr>
        <w:t>؟!</w:t>
      </w:r>
      <w:r w:rsidRPr="005675B2">
        <w:rPr>
          <w:rFonts w:hint="cs"/>
          <w:rtl/>
        </w:rPr>
        <w:t xml:space="preserve"> أو إن الباحث يرفض هؤلاء بحجة أنهم ليسوا </w:t>
      </w:r>
      <w:r w:rsidR="000636C2">
        <w:rPr>
          <w:rFonts w:hint="cs"/>
          <w:rtl/>
        </w:rPr>
        <w:t>[</w:t>
      </w:r>
      <w:r w:rsidRPr="005675B2">
        <w:rPr>
          <w:rFonts w:hint="cs"/>
          <w:rtl/>
        </w:rPr>
        <w:t>أقرب إلى السنة وأتباع السلف</w:t>
      </w:r>
      <w:r w:rsidR="000636C2">
        <w:rPr>
          <w:rFonts w:hint="cs"/>
          <w:rtl/>
        </w:rPr>
        <w:t>]؟!</w:t>
      </w:r>
      <w:r w:rsidRPr="005675B2">
        <w:rPr>
          <w:rFonts w:hint="cs"/>
          <w:rtl/>
        </w:rPr>
        <w:t xml:space="preserve"> وكأن الحكم لطائفة</w:t>
      </w:r>
      <w:r w:rsidR="000636C2">
        <w:rPr>
          <w:rFonts w:hint="cs"/>
          <w:rtl/>
        </w:rPr>
        <w:t xml:space="preserve"> </w:t>
      </w:r>
      <w:r w:rsidRPr="005675B2">
        <w:rPr>
          <w:rFonts w:hint="cs"/>
          <w:rtl/>
        </w:rPr>
        <w:t>- عنده</w:t>
      </w:r>
      <w:r w:rsidR="000636C2">
        <w:rPr>
          <w:rFonts w:hint="cs"/>
          <w:rtl/>
        </w:rPr>
        <w:t xml:space="preserve"> </w:t>
      </w:r>
      <w:r w:rsidRPr="005675B2">
        <w:rPr>
          <w:rFonts w:hint="cs"/>
          <w:rtl/>
        </w:rPr>
        <w:t>- بالقرب من السنة واتباع السلف هو لمن وافق مشربه دون احتكام إلى الكتاب والسنة وفهم الصحابة واللغة التي نزل بها الكتاب وجاءت بها السنة</w:t>
      </w:r>
      <w:r w:rsidR="000636C2">
        <w:rPr>
          <w:rFonts w:hint="cs"/>
          <w:rtl/>
        </w:rPr>
        <w:t xml:space="preserve">!، </w:t>
      </w:r>
      <w:r w:rsidRPr="005675B2">
        <w:rPr>
          <w:rFonts w:hint="cs"/>
          <w:rtl/>
        </w:rPr>
        <w:t xml:space="preserve">ومن أئمة السلوك السيد أحمد بن علي بن أحمد الرفاعي المتوفى سنة </w:t>
      </w:r>
      <w:r w:rsidR="000636C2">
        <w:rPr>
          <w:rFonts w:hint="cs"/>
          <w:rtl/>
        </w:rPr>
        <w:t>(</w:t>
      </w:r>
      <w:r w:rsidRPr="005675B2">
        <w:rPr>
          <w:rFonts w:hint="cs"/>
          <w:rtl/>
        </w:rPr>
        <w:t>578ه -</w:t>
      </w:r>
      <w:r w:rsidR="000636C2">
        <w:rPr>
          <w:rFonts w:hint="cs"/>
          <w:rtl/>
        </w:rPr>
        <w:t>)</w:t>
      </w:r>
      <w:r w:rsidRPr="005675B2">
        <w:rPr>
          <w:rFonts w:hint="cs"/>
          <w:rtl/>
        </w:rPr>
        <w:t xml:space="preserve"> رحمه الله تعالى</w:t>
      </w:r>
      <w:r w:rsidR="000636C2">
        <w:rPr>
          <w:rFonts w:hint="cs"/>
          <w:rtl/>
        </w:rPr>
        <w:t>،</w:t>
      </w:r>
      <w:r w:rsidRPr="005675B2">
        <w:rPr>
          <w:rFonts w:hint="cs"/>
          <w:rtl/>
        </w:rPr>
        <w:t xml:space="preserve"> وهو الذي وصفه الذهبي في سير أعلام النبلاء </w:t>
      </w:r>
      <w:r w:rsidR="000636C2">
        <w:rPr>
          <w:rFonts w:hint="cs"/>
          <w:rtl/>
        </w:rPr>
        <w:t>[</w:t>
      </w:r>
      <w:r w:rsidRPr="005675B2">
        <w:rPr>
          <w:rFonts w:hint="cs"/>
          <w:rtl/>
        </w:rPr>
        <w:t>21/ 77</w:t>
      </w:r>
      <w:r w:rsidR="000636C2">
        <w:rPr>
          <w:rFonts w:hint="cs"/>
          <w:rtl/>
        </w:rPr>
        <w:t>]</w:t>
      </w:r>
      <w:r w:rsidRPr="005675B2">
        <w:rPr>
          <w:rFonts w:hint="cs"/>
          <w:rtl/>
        </w:rPr>
        <w:t xml:space="preserve"> بالإمام القدوة العابد الزاهد شـيخ العارفين</w:t>
      </w:r>
      <w:r w:rsidR="000636C2">
        <w:rPr>
          <w:rFonts w:hint="cs"/>
          <w:rtl/>
        </w:rPr>
        <w:t>،</w:t>
      </w:r>
      <w:r w:rsidRPr="005675B2">
        <w:rPr>
          <w:rFonts w:hint="cs"/>
          <w:rtl/>
        </w:rPr>
        <w:t xml:space="preserve"> وهو من أكثر الناس حثاً على اتباع السنن النبوية والتمسك بها</w:t>
      </w:r>
      <w:r w:rsidR="000636C2">
        <w:rPr>
          <w:rFonts w:hint="cs"/>
          <w:rtl/>
        </w:rPr>
        <w:t>،</w:t>
      </w:r>
      <w:r w:rsidRPr="005675B2">
        <w:rPr>
          <w:rFonts w:hint="cs"/>
          <w:rtl/>
        </w:rPr>
        <w:t xml:space="preserve"> ومن أكثرهم تحذيراً من ابتداع أهل السلوك المتأخرين وشططهم</w:t>
      </w:r>
      <w:r w:rsidR="000636C2">
        <w:rPr>
          <w:rFonts w:hint="cs"/>
          <w:rtl/>
        </w:rPr>
        <w:t>،</w:t>
      </w:r>
      <w:r w:rsidRPr="005675B2">
        <w:rPr>
          <w:rFonts w:hint="cs"/>
          <w:rtl/>
        </w:rPr>
        <w:t xml:space="preserve"> وهو أشعري المعتقد</w:t>
      </w:r>
      <w:r w:rsidR="000636C2">
        <w:rPr>
          <w:rFonts w:hint="cs"/>
          <w:rtl/>
        </w:rPr>
        <w:t>،</w:t>
      </w:r>
      <w:r w:rsidRPr="005675B2">
        <w:rPr>
          <w:rFonts w:hint="cs"/>
          <w:rtl/>
        </w:rPr>
        <w:t xml:space="preserve"> ومن أقواله عن الله تبارك وتعالى</w:t>
      </w:r>
      <w:r w:rsidR="000636C2">
        <w:rPr>
          <w:rFonts w:hint="cs"/>
          <w:rtl/>
        </w:rPr>
        <w:t>:</w:t>
      </w:r>
      <w:r w:rsidRPr="005675B2">
        <w:rPr>
          <w:rFonts w:hint="cs"/>
          <w:rtl/>
        </w:rPr>
        <w:t xml:space="preserve"> </w:t>
      </w:r>
      <w:r w:rsidR="000636C2">
        <w:rPr>
          <w:rFonts w:hint="cs"/>
          <w:rtl/>
        </w:rPr>
        <w:t>[</w:t>
      </w:r>
      <w:r w:rsidRPr="005675B2">
        <w:rPr>
          <w:rFonts w:hint="cs"/>
          <w:rtl/>
        </w:rPr>
        <w:t>وإنه لمنزه عن الجهة والمكان</w:t>
      </w:r>
      <w:r w:rsidR="000636C2">
        <w:rPr>
          <w:rFonts w:hint="cs"/>
          <w:rtl/>
        </w:rPr>
        <w:t>]</w:t>
      </w:r>
      <w:r w:rsidRPr="005675B2">
        <w:rPr>
          <w:rFonts w:hint="cs"/>
          <w:rtl/>
        </w:rPr>
        <w:t xml:space="preserve"> [</w:t>
      </w:r>
      <w:r w:rsidRPr="005675B2">
        <w:rPr>
          <w:rFonts w:hint="cs"/>
          <w:sz w:val="24"/>
          <w:szCs w:val="24"/>
          <w:rtl/>
        </w:rPr>
        <w:t>أسرار العبادات للسيد أحمد الرفاعي: ص 45</w:t>
      </w:r>
      <w:r w:rsidR="000636C2">
        <w:rPr>
          <w:rFonts w:hint="cs"/>
          <w:sz w:val="24"/>
          <w:szCs w:val="24"/>
          <w:rtl/>
        </w:rPr>
        <w:t>]</w:t>
      </w:r>
      <w:r w:rsidR="000636C2">
        <w:rPr>
          <w:rFonts w:hint="cs"/>
          <w:rtl/>
        </w:rPr>
        <w:t>،</w:t>
      </w:r>
      <w:r w:rsidRPr="005675B2">
        <w:rPr>
          <w:rFonts w:hint="cs"/>
          <w:rtl/>
        </w:rPr>
        <w:t xml:space="preserve"> ومن أقوال أهل طريقته</w:t>
      </w:r>
      <w:r w:rsidR="000636C2">
        <w:rPr>
          <w:rFonts w:hint="cs"/>
          <w:rtl/>
        </w:rPr>
        <w:t>:</w:t>
      </w:r>
      <w:r w:rsidRPr="005675B2">
        <w:rPr>
          <w:rFonts w:hint="cs"/>
          <w:rtl/>
        </w:rPr>
        <w:t xml:space="preserve"> </w:t>
      </w:r>
      <w:r w:rsidR="000636C2">
        <w:rPr>
          <w:rFonts w:hint="cs"/>
          <w:rtl/>
        </w:rPr>
        <w:t>[</w:t>
      </w:r>
      <w:r w:rsidRPr="005675B2">
        <w:rPr>
          <w:rFonts w:hint="cs"/>
          <w:rtl/>
        </w:rPr>
        <w:t>مقدس عن التغيير والانتقال</w:t>
      </w:r>
      <w:r w:rsidR="000636C2">
        <w:rPr>
          <w:rFonts w:hint="cs"/>
          <w:rtl/>
        </w:rPr>
        <w:t>]</w:t>
      </w:r>
      <w:r w:rsidRPr="005675B2">
        <w:rPr>
          <w:rFonts w:hint="cs"/>
          <w:rtl/>
        </w:rPr>
        <w:t xml:space="preserve"> [</w:t>
      </w:r>
      <w:r w:rsidRPr="005675B2">
        <w:rPr>
          <w:rFonts w:hint="cs"/>
          <w:sz w:val="24"/>
          <w:szCs w:val="24"/>
          <w:rtl/>
        </w:rPr>
        <w:t>معراج السالكين للشيخ حسين برهان الدين: ص 67</w:t>
      </w:r>
      <w:r w:rsidR="000636C2">
        <w:rPr>
          <w:rFonts w:hint="cs"/>
          <w:sz w:val="24"/>
          <w:szCs w:val="24"/>
          <w:rtl/>
        </w:rPr>
        <w:t>]</w:t>
      </w:r>
      <w:r w:rsidR="000636C2">
        <w:rPr>
          <w:rFonts w:hint="cs"/>
          <w:rtl/>
        </w:rPr>
        <w:t>،</w:t>
      </w:r>
      <w:r w:rsidRPr="005675B2">
        <w:rPr>
          <w:rFonts w:hint="cs"/>
          <w:rtl/>
        </w:rPr>
        <w:t xml:space="preserve"> ومنها</w:t>
      </w:r>
      <w:r w:rsidR="000636C2">
        <w:rPr>
          <w:rFonts w:hint="cs"/>
          <w:rtl/>
        </w:rPr>
        <w:t>:</w:t>
      </w:r>
      <w:r w:rsidRPr="005675B2">
        <w:rPr>
          <w:rFonts w:hint="cs"/>
          <w:rtl/>
        </w:rPr>
        <w:t xml:space="preserve"> </w:t>
      </w:r>
      <w:r w:rsidR="000636C2">
        <w:rPr>
          <w:rFonts w:hint="cs"/>
          <w:rtl/>
        </w:rPr>
        <w:t>[</w:t>
      </w:r>
      <w:r w:rsidRPr="005675B2">
        <w:rPr>
          <w:rFonts w:hint="cs"/>
          <w:rtl/>
        </w:rPr>
        <w:t>تنـزيه الله تعالى عن الفوقية والجهة والمكان .. كان الله ولا شيء معه</w:t>
      </w:r>
      <w:r w:rsidR="000636C2">
        <w:rPr>
          <w:rFonts w:hint="cs"/>
          <w:rtl/>
        </w:rPr>
        <w:t>،</w:t>
      </w:r>
      <w:r w:rsidRPr="005675B2">
        <w:rPr>
          <w:rFonts w:hint="cs"/>
          <w:rtl/>
        </w:rPr>
        <w:t xml:space="preserve"> وهو الآن على ما عليه كان</w:t>
      </w:r>
      <w:r w:rsidR="000636C2">
        <w:rPr>
          <w:rFonts w:hint="cs"/>
          <w:rtl/>
        </w:rPr>
        <w:t>]</w:t>
      </w:r>
      <w:r w:rsidRPr="005675B2">
        <w:rPr>
          <w:rFonts w:hint="cs"/>
          <w:rtl/>
        </w:rPr>
        <w:t xml:space="preserve"> [</w:t>
      </w:r>
      <w:r w:rsidRPr="005675B2">
        <w:rPr>
          <w:rFonts w:hint="cs"/>
          <w:sz w:val="24"/>
          <w:szCs w:val="24"/>
          <w:rtl/>
        </w:rPr>
        <w:t>فذلكة الحقيقة للصيادي: ص 44</w:t>
      </w:r>
      <w:r w:rsidR="000636C2">
        <w:rPr>
          <w:rFonts w:hint="cs"/>
          <w:sz w:val="24"/>
          <w:szCs w:val="24"/>
          <w:rtl/>
        </w:rPr>
        <w:t>]</w:t>
      </w:r>
      <w:r w:rsidR="000636C2">
        <w:rPr>
          <w:rFonts w:hint="cs"/>
          <w:rtl/>
        </w:rPr>
        <w:t xml:space="preserve">، </w:t>
      </w:r>
      <w:r w:rsidRPr="005675B2">
        <w:rPr>
          <w:rFonts w:hint="cs"/>
          <w:rtl/>
        </w:rPr>
        <w:t>3 - يشير الباحث إلى أن رجال الجرح والتعديل لهم كلام في الأشاعرة</w:t>
      </w:r>
      <w:r w:rsidR="000636C2">
        <w:rPr>
          <w:rFonts w:hint="cs"/>
          <w:rtl/>
        </w:rPr>
        <w:t>،</w:t>
      </w:r>
      <w:r w:rsidRPr="005675B2">
        <w:rPr>
          <w:rFonts w:hint="cs"/>
          <w:rtl/>
        </w:rPr>
        <w:t xml:space="preserve"> أي إن الأشاعرة مجروحون عند علماء الجرح والتعديل .. ويضرب مثلاً بترجمة إمامهم المتأخر فخر الدين الرازي في ميزان الاعتدال للذهبي ولسان الميزان لابن حجر</w:t>
      </w:r>
      <w:r w:rsidR="000636C2">
        <w:rPr>
          <w:rFonts w:hint="cs"/>
          <w:rtl/>
        </w:rPr>
        <w:t xml:space="preserve">، </w:t>
      </w:r>
      <w:r w:rsidRPr="005675B2">
        <w:rPr>
          <w:rFonts w:hint="cs"/>
          <w:rtl/>
        </w:rPr>
        <w:t xml:space="preserve">قال الذهبي في ترجمة فخر الدين الرازي محمد بن عمر المتوفى سنة </w:t>
      </w:r>
      <w:r w:rsidR="000636C2">
        <w:rPr>
          <w:rFonts w:hint="cs"/>
          <w:rtl/>
        </w:rPr>
        <w:t>(</w:t>
      </w:r>
      <w:r w:rsidRPr="005675B2">
        <w:rPr>
          <w:rFonts w:hint="cs"/>
          <w:rtl/>
        </w:rPr>
        <w:t>606ه -</w:t>
      </w:r>
      <w:r w:rsidR="000636C2">
        <w:rPr>
          <w:rFonts w:hint="cs"/>
          <w:rtl/>
        </w:rPr>
        <w:t>):</w:t>
      </w:r>
      <w:r w:rsidRPr="005675B2">
        <w:rPr>
          <w:rFonts w:hint="cs"/>
          <w:rtl/>
        </w:rPr>
        <w:t xml:space="preserve"> </w:t>
      </w:r>
      <w:r w:rsidR="000636C2">
        <w:rPr>
          <w:rFonts w:hint="cs"/>
          <w:rtl/>
        </w:rPr>
        <w:t>[</w:t>
      </w:r>
      <w:r w:rsidRPr="005675B2">
        <w:rPr>
          <w:rFonts w:hint="cs"/>
          <w:rtl/>
        </w:rPr>
        <w:t>رأس في الذكاء والعقليات</w:t>
      </w:r>
      <w:r w:rsidR="000636C2">
        <w:rPr>
          <w:rFonts w:hint="cs"/>
          <w:rtl/>
        </w:rPr>
        <w:t>،</w:t>
      </w:r>
      <w:r w:rsidRPr="005675B2">
        <w:rPr>
          <w:rFonts w:hint="cs"/>
          <w:rtl/>
        </w:rPr>
        <w:t xml:space="preserve"> له كتاب السر المكتوم في مخاطبة النجوم</w:t>
      </w:r>
      <w:r w:rsidR="000636C2">
        <w:rPr>
          <w:rFonts w:hint="cs"/>
          <w:rtl/>
        </w:rPr>
        <w:t>،</w:t>
      </w:r>
      <w:r w:rsidRPr="005675B2">
        <w:rPr>
          <w:rFonts w:hint="cs"/>
          <w:rtl/>
        </w:rPr>
        <w:t xml:space="preserve"> سحر صريح</w:t>
      </w:r>
      <w:r w:rsidR="000636C2">
        <w:rPr>
          <w:rFonts w:hint="cs"/>
          <w:rtl/>
        </w:rPr>
        <w:t>،</w:t>
      </w:r>
      <w:r w:rsidRPr="005675B2">
        <w:rPr>
          <w:rFonts w:hint="cs"/>
          <w:rtl/>
        </w:rPr>
        <w:t xml:space="preserve"> فلعله تاب من تأليفه إن شاء الله</w:t>
      </w:r>
      <w:r w:rsidR="000636C2">
        <w:rPr>
          <w:rFonts w:hint="cs"/>
          <w:rtl/>
        </w:rPr>
        <w:t>،</w:t>
      </w:r>
      <w:r w:rsidRPr="005675B2">
        <w:rPr>
          <w:rFonts w:hint="cs"/>
          <w:rtl/>
        </w:rPr>
        <w:t xml:space="preserve"> وله تشكيكات على مسائل من دعائم الدين تورث حيرة</w:t>
      </w:r>
      <w:r w:rsidR="000636C2">
        <w:rPr>
          <w:rFonts w:hint="cs"/>
          <w:rtl/>
        </w:rPr>
        <w:t>]</w:t>
      </w:r>
      <w:r w:rsidRPr="005675B2">
        <w:rPr>
          <w:rFonts w:hint="cs"/>
          <w:rtl/>
        </w:rPr>
        <w:t xml:space="preserve"> [</w:t>
      </w:r>
      <w:r w:rsidRPr="005675B2">
        <w:rPr>
          <w:rFonts w:hint="cs"/>
          <w:sz w:val="24"/>
          <w:szCs w:val="24"/>
          <w:rtl/>
        </w:rPr>
        <w:t xml:space="preserve">انظر: ميزان الاعتدال للذهبي: 3 / 340 . أما ابن تيمية فيقول عنه: </w:t>
      </w:r>
      <w:r w:rsidR="000636C2">
        <w:rPr>
          <w:rFonts w:hint="cs"/>
          <w:sz w:val="24"/>
          <w:szCs w:val="24"/>
          <w:rtl/>
        </w:rPr>
        <w:t>(</w:t>
      </w:r>
      <w:r w:rsidRPr="005675B2">
        <w:rPr>
          <w:rFonts w:hint="cs"/>
          <w:sz w:val="24"/>
          <w:szCs w:val="24"/>
          <w:rtl/>
        </w:rPr>
        <w:t>وصنّـف في ذلك كتابه المعروف في السحر وعبادة الكواكب والأوثان)) مجموع فتاوى ابن تيمية: 16/ 213 – 214</w:t>
      </w:r>
      <w:r w:rsidR="000636C2">
        <w:rPr>
          <w:rFonts w:hint="cs"/>
          <w:sz w:val="24"/>
          <w:szCs w:val="24"/>
          <w:rtl/>
        </w:rPr>
        <w:t>(</w:t>
      </w:r>
      <w:r w:rsidRPr="005675B2">
        <w:rPr>
          <w:rFonts w:hint="cs"/>
          <w:sz w:val="24"/>
          <w:szCs w:val="24"/>
          <w:rtl/>
        </w:rPr>
        <w:t>. دون تفكر في حال هذا الإمام الكبير وحال هذه الضلالات والكفريات</w:t>
      </w:r>
      <w:r w:rsidR="000636C2">
        <w:rPr>
          <w:rFonts w:hint="cs"/>
          <w:sz w:val="24"/>
          <w:szCs w:val="24"/>
          <w:rtl/>
        </w:rPr>
        <w:t>!</w:t>
      </w:r>
      <w:r w:rsidRPr="005675B2">
        <w:rPr>
          <w:rFonts w:hint="cs"/>
          <w:sz w:val="24"/>
          <w:szCs w:val="24"/>
          <w:rtl/>
        </w:rPr>
        <w:t>!! . إذ هل يصدق عاقل بأن مؤلف التفسير الكبير المسمى بمفاتيح الغيب يكتب مثل هذا الضلال والكفر؟</w:t>
      </w:r>
      <w:r w:rsidR="000636C2">
        <w:rPr>
          <w:rFonts w:hint="cs"/>
          <w:sz w:val="24"/>
          <w:szCs w:val="24"/>
          <w:rtl/>
        </w:rPr>
        <w:t>!</w:t>
      </w:r>
      <w:r w:rsidRPr="005675B2">
        <w:rPr>
          <w:rFonts w:hint="cs"/>
          <w:sz w:val="24"/>
          <w:szCs w:val="24"/>
          <w:rtl/>
        </w:rPr>
        <w:t>!!</w:t>
      </w:r>
      <w:r w:rsidR="000636C2">
        <w:rPr>
          <w:rFonts w:hint="cs"/>
          <w:sz w:val="24"/>
          <w:szCs w:val="24"/>
          <w:rtl/>
        </w:rPr>
        <w:t>]</w:t>
      </w:r>
      <w:r w:rsidR="000636C2">
        <w:rPr>
          <w:rFonts w:hint="cs"/>
          <w:rtl/>
        </w:rPr>
        <w:t xml:space="preserve">، </w:t>
      </w:r>
      <w:r w:rsidRPr="005675B2">
        <w:rPr>
          <w:rFonts w:hint="cs"/>
          <w:rtl/>
        </w:rPr>
        <w:t>وقال ابن حجر</w:t>
      </w:r>
      <w:r w:rsidR="000636C2">
        <w:rPr>
          <w:rFonts w:hint="cs"/>
          <w:rtl/>
        </w:rPr>
        <w:t>:</w:t>
      </w:r>
      <w:r w:rsidRPr="005675B2">
        <w:rPr>
          <w:rFonts w:hint="cs"/>
          <w:rtl/>
        </w:rPr>
        <w:t xml:space="preserve"> </w:t>
      </w:r>
      <w:r w:rsidR="000636C2">
        <w:rPr>
          <w:rFonts w:hint="cs"/>
          <w:rtl/>
        </w:rPr>
        <w:t>[</w:t>
      </w:r>
      <w:r w:rsidRPr="005675B2">
        <w:rPr>
          <w:rFonts w:hint="cs"/>
          <w:rtl/>
        </w:rPr>
        <w:t>وكان يعاب بإيراد الشبه الشديدة ويقصر في حلها</w:t>
      </w:r>
      <w:r w:rsidR="000636C2">
        <w:rPr>
          <w:rFonts w:hint="cs"/>
          <w:rtl/>
        </w:rPr>
        <w:t>،</w:t>
      </w:r>
      <w:r w:rsidRPr="005675B2">
        <w:rPr>
          <w:rFonts w:hint="cs"/>
          <w:rtl/>
        </w:rPr>
        <w:t xml:space="preserve"> حتى قال بعض المغاربة</w:t>
      </w:r>
      <w:r w:rsidR="000636C2">
        <w:rPr>
          <w:rFonts w:hint="cs"/>
          <w:rtl/>
        </w:rPr>
        <w:t>:</w:t>
      </w:r>
      <w:r w:rsidRPr="005675B2">
        <w:rPr>
          <w:rFonts w:hint="cs"/>
          <w:rtl/>
        </w:rPr>
        <w:t xml:space="preserve"> يورد الشبه نقداً ويحلها نسيئة</w:t>
      </w:r>
      <w:r w:rsidR="000636C2">
        <w:rPr>
          <w:rFonts w:hint="cs"/>
          <w:rtl/>
        </w:rPr>
        <w:t>،</w:t>
      </w:r>
      <w:r w:rsidRPr="005675B2">
        <w:rPr>
          <w:rFonts w:hint="cs"/>
          <w:rtl/>
        </w:rPr>
        <w:t xml:space="preserve"> وكان سراج الدين الشرمساحي يقول</w:t>
      </w:r>
      <w:r w:rsidR="000636C2">
        <w:rPr>
          <w:rFonts w:hint="cs"/>
          <w:rtl/>
        </w:rPr>
        <w:t>:</w:t>
      </w:r>
      <w:r w:rsidRPr="005675B2">
        <w:rPr>
          <w:rFonts w:hint="cs"/>
          <w:rtl/>
        </w:rPr>
        <w:t xml:space="preserve"> يورد شبه المخالفين في المذهب والدين على غاية ما يكون من التحقيق</w:t>
      </w:r>
      <w:r w:rsidR="000636C2">
        <w:rPr>
          <w:rFonts w:hint="cs"/>
          <w:rtl/>
        </w:rPr>
        <w:t>،</w:t>
      </w:r>
      <w:r w:rsidRPr="005675B2">
        <w:rPr>
          <w:rFonts w:hint="cs"/>
          <w:rtl/>
        </w:rPr>
        <w:t xml:space="preserve"> ثم يورد مذهب أهل السنة والحق على غاية ما يكون من الوهاء</w:t>
      </w:r>
      <w:r w:rsidR="000636C2">
        <w:rPr>
          <w:rFonts w:hint="cs"/>
          <w:rtl/>
        </w:rPr>
        <w:t>]</w:t>
      </w:r>
      <w:r w:rsidRPr="005675B2">
        <w:rPr>
          <w:rFonts w:hint="cs"/>
          <w:rtl/>
        </w:rPr>
        <w:t xml:space="preserve"> [</w:t>
      </w:r>
      <w:r w:rsidRPr="005675B2">
        <w:rPr>
          <w:rFonts w:hint="cs"/>
          <w:sz w:val="24"/>
          <w:szCs w:val="24"/>
          <w:rtl/>
        </w:rPr>
        <w:t>انظر: لسان الميزان لابن حجر: 4 / 426 – 429</w:t>
      </w:r>
      <w:r w:rsidR="000636C2">
        <w:rPr>
          <w:rFonts w:hint="cs"/>
          <w:sz w:val="24"/>
          <w:szCs w:val="24"/>
          <w:rtl/>
        </w:rPr>
        <w:t>]</w:t>
      </w:r>
      <w:r w:rsidR="000636C2">
        <w:rPr>
          <w:rFonts w:hint="cs"/>
          <w:rtl/>
        </w:rPr>
        <w:t xml:space="preserve">، </w:t>
      </w:r>
      <w:r w:rsidRPr="005675B2">
        <w:rPr>
          <w:rFonts w:hint="cs"/>
          <w:rtl/>
        </w:rPr>
        <w:t>فأما كتاب السر المكتوم في مخاطبة النجوم فقد قال تاج الدين السبكي</w:t>
      </w:r>
      <w:r w:rsidR="000636C2">
        <w:rPr>
          <w:rFonts w:hint="cs"/>
          <w:rtl/>
        </w:rPr>
        <w:t>:</w:t>
      </w:r>
      <w:r w:rsidRPr="005675B2">
        <w:rPr>
          <w:rFonts w:hint="cs"/>
          <w:rtl/>
        </w:rPr>
        <w:t xml:space="preserve"> </w:t>
      </w:r>
      <w:r w:rsidR="000636C2">
        <w:rPr>
          <w:rFonts w:hint="cs"/>
          <w:rtl/>
        </w:rPr>
        <w:t>[</w:t>
      </w:r>
      <w:r w:rsidRPr="005675B2">
        <w:rPr>
          <w:rFonts w:hint="cs"/>
          <w:rtl/>
        </w:rPr>
        <w:t>لم يصح أنه له</w:t>
      </w:r>
      <w:r w:rsidR="000636C2">
        <w:rPr>
          <w:rFonts w:hint="cs"/>
          <w:rtl/>
        </w:rPr>
        <w:t>،</w:t>
      </w:r>
      <w:r w:rsidRPr="005675B2">
        <w:rPr>
          <w:rFonts w:hint="cs"/>
          <w:rtl/>
        </w:rPr>
        <w:t xml:space="preserve"> بل قيل إنه مختلق عليه</w:t>
      </w:r>
      <w:r w:rsidR="000636C2">
        <w:rPr>
          <w:rFonts w:hint="cs"/>
          <w:rtl/>
        </w:rPr>
        <w:t>]</w:t>
      </w:r>
      <w:r w:rsidRPr="005675B2">
        <w:rPr>
          <w:rFonts w:hint="cs"/>
          <w:rtl/>
        </w:rPr>
        <w:t xml:space="preserve"> [</w:t>
      </w:r>
      <w:r w:rsidRPr="005675B2">
        <w:rPr>
          <w:rFonts w:hint="cs"/>
          <w:sz w:val="24"/>
          <w:szCs w:val="24"/>
          <w:rtl/>
        </w:rPr>
        <w:t>طبقات الشافعية الكبرى للسبكي: 8 / 87</w:t>
      </w:r>
      <w:r w:rsidR="000636C2">
        <w:rPr>
          <w:rFonts w:hint="cs"/>
          <w:sz w:val="24"/>
          <w:szCs w:val="24"/>
          <w:rtl/>
        </w:rPr>
        <w:t>]</w:t>
      </w:r>
      <w:r w:rsidR="000636C2">
        <w:rPr>
          <w:rFonts w:hint="cs"/>
          <w:rtl/>
        </w:rPr>
        <w:t xml:space="preserve">، </w:t>
      </w:r>
      <w:r w:rsidRPr="005675B2">
        <w:rPr>
          <w:rFonts w:hint="cs"/>
          <w:rtl/>
        </w:rPr>
        <w:t>وأما مسألة التشكيكات والشبه فقد أشار إليها هو</w:t>
      </w:r>
      <w:r w:rsidR="000636C2">
        <w:rPr>
          <w:rFonts w:hint="cs"/>
          <w:rtl/>
        </w:rPr>
        <w:t xml:space="preserve"> </w:t>
      </w:r>
      <w:r w:rsidRPr="005675B2">
        <w:rPr>
          <w:rFonts w:hint="cs"/>
          <w:rtl/>
        </w:rPr>
        <w:t>- رحمه لله تعالى</w:t>
      </w:r>
      <w:r w:rsidR="000636C2">
        <w:rPr>
          <w:rFonts w:hint="cs"/>
          <w:rtl/>
        </w:rPr>
        <w:t xml:space="preserve"> </w:t>
      </w:r>
      <w:r w:rsidRPr="005675B2">
        <w:rPr>
          <w:rFonts w:hint="cs"/>
          <w:rtl/>
        </w:rPr>
        <w:t>- في وصيته التي أوصى بها حالة الاحتضار</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اعلموا أني كنت رجلاً محباً للعلم</w:t>
      </w:r>
      <w:r w:rsidR="000636C2">
        <w:rPr>
          <w:rFonts w:hint="cs"/>
          <w:rtl/>
        </w:rPr>
        <w:t>،</w:t>
      </w:r>
      <w:r w:rsidRPr="005675B2">
        <w:rPr>
          <w:rFonts w:hint="cs"/>
          <w:rtl/>
        </w:rPr>
        <w:t xml:space="preserve"> فكنت أكتب من كل شيء شيئاً لأقف على كميته وكيفيته</w:t>
      </w:r>
      <w:r w:rsidR="000636C2">
        <w:rPr>
          <w:rFonts w:hint="cs"/>
          <w:rtl/>
        </w:rPr>
        <w:t>،</w:t>
      </w:r>
      <w:r w:rsidRPr="005675B2">
        <w:rPr>
          <w:rFonts w:hint="cs"/>
          <w:rtl/>
        </w:rPr>
        <w:t xml:space="preserve"> سواء كان حقاً أو باطلاً ..</w:t>
      </w:r>
      <w:r w:rsidR="000636C2">
        <w:rPr>
          <w:rFonts w:hint="cs"/>
          <w:rtl/>
        </w:rPr>
        <w:t>،</w:t>
      </w:r>
      <w:r w:rsidRPr="005675B2">
        <w:rPr>
          <w:rFonts w:hint="cs"/>
          <w:rtl/>
        </w:rPr>
        <w:t xml:space="preserve"> ولقد اختبرت الطرق الكلامية والمناهج الفلسفية فما رأيت فيها فائدة تساوي الفائدة التي وجدتها في القرآن</w:t>
      </w:r>
      <w:r w:rsidR="000636C2">
        <w:rPr>
          <w:rFonts w:hint="cs"/>
          <w:rtl/>
        </w:rPr>
        <w:t>،</w:t>
      </w:r>
      <w:r w:rsidRPr="005675B2">
        <w:rPr>
          <w:rFonts w:hint="cs"/>
          <w:rtl/>
        </w:rPr>
        <w:t xml:space="preserve"> لأنه يسعى في تسليم العظمة والجلال لله</w:t>
      </w:r>
      <w:r w:rsidR="000636C2">
        <w:rPr>
          <w:rFonts w:hint="cs"/>
          <w:rtl/>
        </w:rPr>
        <w:t>،</w:t>
      </w:r>
      <w:r w:rsidRPr="005675B2">
        <w:rPr>
          <w:rFonts w:hint="cs"/>
          <w:rtl/>
        </w:rPr>
        <w:t xml:space="preserve"> ويمنع عن التعمق في إيراد المعارضات والمناقضات</w:t>
      </w:r>
      <w:r w:rsidR="000636C2">
        <w:rPr>
          <w:rFonts w:hint="cs"/>
          <w:rtl/>
        </w:rPr>
        <w:t>،</w:t>
      </w:r>
      <w:r w:rsidRPr="005675B2">
        <w:rPr>
          <w:rFonts w:hint="cs"/>
          <w:rtl/>
        </w:rPr>
        <w:t xml:space="preserve"> .. وأما الكتب التي صنفتها واستكثرت فيها من إيراد السؤالات فليذكرني من نظر فيها بصالح دعائه</w:t>
      </w:r>
      <w:r w:rsidR="000636C2">
        <w:rPr>
          <w:rFonts w:hint="cs"/>
          <w:rtl/>
        </w:rPr>
        <w:t>،</w:t>
      </w:r>
      <w:r w:rsidRPr="005675B2">
        <w:rPr>
          <w:rFonts w:hint="cs"/>
          <w:rtl/>
        </w:rPr>
        <w:t xml:space="preserve"> على سبيل التفضل والإنعام</w:t>
      </w:r>
      <w:r w:rsidR="000636C2">
        <w:rPr>
          <w:rFonts w:hint="cs"/>
          <w:rtl/>
        </w:rPr>
        <w:t>،</w:t>
      </w:r>
      <w:r w:rsidRPr="005675B2">
        <w:rPr>
          <w:rFonts w:hint="cs"/>
          <w:rtl/>
        </w:rPr>
        <w:t xml:space="preserve"> وإلا فليحذف القول السيء</w:t>
      </w:r>
      <w:r w:rsidR="000636C2">
        <w:rPr>
          <w:rFonts w:hint="cs"/>
          <w:rtl/>
        </w:rPr>
        <w:t>،</w:t>
      </w:r>
      <w:r w:rsidRPr="005675B2">
        <w:rPr>
          <w:rFonts w:hint="cs"/>
          <w:rtl/>
        </w:rPr>
        <w:t xml:space="preserve"> فإني ما أردت إلا تكثير البحث وشحذ الخاطر</w:t>
      </w:r>
      <w:r w:rsidR="000636C2">
        <w:rPr>
          <w:rFonts w:hint="cs"/>
          <w:rtl/>
        </w:rPr>
        <w:t>]</w:t>
      </w:r>
      <w:r w:rsidRPr="005675B2">
        <w:rPr>
          <w:rFonts w:hint="cs"/>
          <w:rtl/>
        </w:rPr>
        <w:t xml:space="preserve"> [</w:t>
      </w:r>
      <w:r w:rsidRPr="005675B2">
        <w:rPr>
          <w:rFonts w:hint="cs"/>
          <w:sz w:val="24"/>
          <w:szCs w:val="24"/>
          <w:rtl/>
        </w:rPr>
        <w:t>المرجع السابق: 8 / 91 ـ92 . وانظر سير أعلام النبلاء للذهبي: 21 / 500 ـ 501</w:t>
      </w:r>
      <w:r w:rsidR="000636C2">
        <w:rPr>
          <w:rFonts w:hint="cs"/>
          <w:sz w:val="24"/>
          <w:szCs w:val="24"/>
          <w:rtl/>
        </w:rPr>
        <w:t>]</w:t>
      </w:r>
      <w:r w:rsidR="000636C2">
        <w:rPr>
          <w:rFonts w:hint="cs"/>
          <w:rtl/>
        </w:rPr>
        <w:t xml:space="preserve">، </w:t>
      </w:r>
      <w:r w:rsidRPr="005675B2">
        <w:rPr>
          <w:rFonts w:hint="cs"/>
          <w:rtl/>
        </w:rPr>
        <w:t>هذا وقد قال ابن حجر</w:t>
      </w:r>
      <w:r w:rsidR="000636C2">
        <w:rPr>
          <w:rFonts w:hint="cs"/>
          <w:rtl/>
        </w:rPr>
        <w:t>:</w:t>
      </w:r>
      <w:r w:rsidRPr="005675B2">
        <w:rPr>
          <w:rFonts w:hint="cs"/>
          <w:rtl/>
        </w:rPr>
        <w:t xml:space="preserve"> </w:t>
      </w:r>
      <w:r w:rsidR="000636C2">
        <w:rPr>
          <w:rFonts w:hint="cs"/>
          <w:rtl/>
        </w:rPr>
        <w:t>[</w:t>
      </w:r>
      <w:r w:rsidRPr="005675B2">
        <w:rPr>
          <w:rFonts w:hint="cs"/>
          <w:rtl/>
        </w:rPr>
        <w:t>والفخر كان من أئمة الأصول</w:t>
      </w:r>
      <w:r w:rsidR="000636C2">
        <w:rPr>
          <w:rFonts w:hint="cs"/>
          <w:rtl/>
        </w:rPr>
        <w:t>،</w:t>
      </w:r>
      <w:r w:rsidRPr="005675B2">
        <w:rPr>
          <w:rFonts w:hint="cs"/>
          <w:rtl/>
        </w:rPr>
        <w:t xml:space="preserve"> وكتبه في الأصلين شهيرة سائرة</w:t>
      </w:r>
      <w:r w:rsidR="000636C2">
        <w:rPr>
          <w:rFonts w:hint="cs"/>
          <w:rtl/>
        </w:rPr>
        <w:t>،</w:t>
      </w:r>
      <w:r w:rsidRPr="005675B2">
        <w:rPr>
          <w:rFonts w:hint="cs"/>
          <w:rtl/>
        </w:rPr>
        <w:t xml:space="preserve"> وله ما يُـقبل وما يُـرد</w:t>
      </w:r>
      <w:r w:rsidR="000636C2">
        <w:rPr>
          <w:rFonts w:hint="cs"/>
          <w:rtl/>
        </w:rPr>
        <w:t>]</w:t>
      </w:r>
      <w:r w:rsidRPr="005675B2">
        <w:rPr>
          <w:rFonts w:hint="cs"/>
          <w:rtl/>
        </w:rPr>
        <w:t xml:space="preserve"> </w:t>
      </w:r>
      <w:r w:rsidR="000636C2">
        <w:rPr>
          <w:rFonts w:hint="cs"/>
          <w:rtl/>
        </w:rPr>
        <w:t>[</w:t>
      </w:r>
      <w:r w:rsidRPr="005675B2">
        <w:rPr>
          <w:rFonts w:hint="cs"/>
          <w:sz w:val="24"/>
          <w:szCs w:val="24"/>
          <w:rtl/>
        </w:rPr>
        <w:t>لسان الميزان: 4 / 427</w:t>
      </w:r>
      <w:r w:rsidR="000636C2">
        <w:rPr>
          <w:rFonts w:hint="cs"/>
          <w:sz w:val="24"/>
          <w:szCs w:val="24"/>
          <w:rtl/>
        </w:rPr>
        <w:t>]</w:t>
      </w:r>
      <w:r w:rsidR="000636C2">
        <w:rPr>
          <w:rFonts w:hint="cs"/>
          <w:rtl/>
        </w:rPr>
        <w:t>،</w:t>
      </w:r>
      <w:r w:rsidRPr="005675B2">
        <w:rPr>
          <w:rFonts w:hint="cs"/>
          <w:rtl/>
        </w:rPr>
        <w:t xml:space="preserve"> فلله در ابن حجر ما أشد إنصافه</w:t>
      </w:r>
      <w:r w:rsidR="000636C2">
        <w:rPr>
          <w:rFonts w:hint="cs"/>
          <w:rtl/>
        </w:rPr>
        <w:t xml:space="preserve">، </w:t>
      </w:r>
      <w:r w:rsidRPr="005675B2">
        <w:rPr>
          <w:rFonts w:hint="cs"/>
          <w:rtl/>
        </w:rPr>
        <w:t xml:space="preserve">4 - نقل الباحث أن ابن حجر قال في لسان الميزان في آخر ترجمة فخر الدين الرازي </w:t>
      </w:r>
      <w:r w:rsidR="000636C2">
        <w:rPr>
          <w:rFonts w:hint="cs"/>
          <w:rtl/>
        </w:rPr>
        <w:t>[</w:t>
      </w:r>
      <w:r w:rsidRPr="005675B2">
        <w:rPr>
          <w:rFonts w:hint="cs"/>
          <w:rtl/>
        </w:rPr>
        <w:t>أوصى بوصية تدل على أنه حسّن اعتقاده</w:t>
      </w:r>
      <w:r w:rsidR="000636C2">
        <w:rPr>
          <w:rFonts w:hint="cs"/>
          <w:rtl/>
        </w:rPr>
        <w:t>]!،</w:t>
      </w:r>
      <w:r w:rsidRPr="005675B2">
        <w:rPr>
          <w:rFonts w:hint="cs"/>
          <w:rtl/>
        </w:rPr>
        <w:t xml:space="preserve"> وقد وقع في قلبي من هذه الكلمة شيء</w:t>
      </w:r>
      <w:r w:rsidR="000636C2">
        <w:rPr>
          <w:rFonts w:hint="cs"/>
          <w:rtl/>
        </w:rPr>
        <w:t>،</w:t>
      </w:r>
      <w:r w:rsidRPr="005675B2">
        <w:rPr>
          <w:rFonts w:hint="cs"/>
          <w:rtl/>
        </w:rPr>
        <w:t xml:space="preserve"> واستبعدتها جداً</w:t>
      </w:r>
      <w:r w:rsidR="000636C2">
        <w:rPr>
          <w:rFonts w:hint="cs"/>
          <w:rtl/>
        </w:rPr>
        <w:t>،</w:t>
      </w:r>
      <w:r w:rsidRPr="005675B2">
        <w:rPr>
          <w:rFonts w:hint="cs"/>
          <w:rtl/>
        </w:rPr>
        <w:t xml:space="preserve"> لكن ما العمل</w:t>
      </w:r>
      <w:r w:rsidR="000636C2">
        <w:rPr>
          <w:rFonts w:hint="cs"/>
          <w:rtl/>
        </w:rPr>
        <w:t>؟</w:t>
      </w:r>
      <w:r w:rsidRPr="005675B2">
        <w:rPr>
          <w:rFonts w:hint="cs"/>
          <w:rtl/>
        </w:rPr>
        <w:t xml:space="preserve"> وليس أمام الباحث من لسان الميزان إلا هذه الطبعة السقيمة المحرفة المشوهة</w:t>
      </w:r>
      <w:r w:rsidR="000636C2">
        <w:rPr>
          <w:rFonts w:hint="cs"/>
          <w:rtl/>
        </w:rPr>
        <w:t xml:space="preserve">!، </w:t>
      </w:r>
      <w:r w:rsidRPr="005675B2">
        <w:rPr>
          <w:rFonts w:hint="cs"/>
          <w:rtl/>
        </w:rPr>
        <w:t>ثم ظهرت طبعة حسنة قيمة من اللسان</w:t>
      </w:r>
      <w:r w:rsidR="000636C2">
        <w:rPr>
          <w:rFonts w:hint="cs"/>
          <w:rtl/>
        </w:rPr>
        <w:t>،</w:t>
      </w:r>
      <w:r w:rsidRPr="005675B2">
        <w:rPr>
          <w:rFonts w:hint="cs"/>
          <w:rtl/>
        </w:rPr>
        <w:t xml:space="preserve"> محققة على عدة نسخ خطية</w:t>
      </w:r>
      <w:r w:rsidR="000636C2">
        <w:rPr>
          <w:rFonts w:hint="cs"/>
          <w:rtl/>
        </w:rPr>
        <w:t>،</w:t>
      </w:r>
      <w:r w:rsidRPr="005675B2">
        <w:rPr>
          <w:rFonts w:hint="cs"/>
          <w:rtl/>
        </w:rPr>
        <w:t xml:space="preserve"> بعناية الشيخ عبدالفتاح أبو غدة رحمه الله</w:t>
      </w:r>
      <w:r w:rsidR="000636C2">
        <w:rPr>
          <w:rFonts w:hint="cs"/>
          <w:rtl/>
        </w:rPr>
        <w:t>،</w:t>
      </w:r>
      <w:r w:rsidRPr="005675B2">
        <w:rPr>
          <w:rFonts w:hint="cs"/>
          <w:rtl/>
        </w:rPr>
        <w:t xml:space="preserve"> وتبين منها أن تلك الكلمة ليست في شيء من النسخ الخطية</w:t>
      </w:r>
      <w:r w:rsidR="000636C2">
        <w:rPr>
          <w:rFonts w:hint="cs"/>
          <w:rtl/>
        </w:rPr>
        <w:t>،</w:t>
      </w:r>
      <w:r w:rsidRPr="005675B2">
        <w:rPr>
          <w:rFonts w:hint="cs"/>
          <w:rtl/>
        </w:rPr>
        <w:t xml:space="preserve"> وأنها مكتوبة في حاشية إحدى النسخ</w:t>
      </w:r>
      <w:r w:rsidR="000636C2">
        <w:rPr>
          <w:rFonts w:hint="cs"/>
          <w:rtl/>
        </w:rPr>
        <w:t>،</w:t>
      </w:r>
      <w:r w:rsidRPr="005675B2">
        <w:rPr>
          <w:rFonts w:hint="cs"/>
          <w:rtl/>
        </w:rPr>
        <w:t xml:space="preserve"> فبطل إثبات تلك الكلمة عن الحافظ ابن حجر رحمه الله والاستدلال بها والبناء عليها</w:t>
      </w:r>
      <w:r w:rsidR="000636C2">
        <w:rPr>
          <w:rFonts w:hint="cs"/>
          <w:rtl/>
        </w:rPr>
        <w:t xml:space="preserve">، </w:t>
      </w:r>
      <w:r w:rsidRPr="005675B2">
        <w:rPr>
          <w:rFonts w:hint="cs"/>
          <w:rtl/>
        </w:rPr>
        <w:t xml:space="preserve">5 - قال الإمام الذهبي في ترجـمة سـيف الدين الآمـدي علي بن أبي علي المتوفى سـنة </w:t>
      </w:r>
      <w:r w:rsidR="000636C2">
        <w:rPr>
          <w:rFonts w:hint="cs"/>
          <w:rtl/>
        </w:rPr>
        <w:t>(</w:t>
      </w:r>
      <w:r w:rsidRPr="005675B2">
        <w:rPr>
          <w:rFonts w:hint="cs"/>
          <w:rtl/>
        </w:rPr>
        <w:t>632ه -</w:t>
      </w:r>
      <w:r w:rsidR="000636C2">
        <w:rPr>
          <w:rFonts w:hint="cs"/>
          <w:rtl/>
        </w:rPr>
        <w:t>):</w:t>
      </w:r>
      <w:r w:rsidRPr="005675B2">
        <w:rPr>
          <w:rFonts w:hint="cs"/>
          <w:rtl/>
        </w:rPr>
        <w:t xml:space="preserve"> </w:t>
      </w:r>
      <w:r w:rsidR="000636C2">
        <w:rPr>
          <w:rFonts w:hint="cs"/>
          <w:rtl/>
        </w:rPr>
        <w:t>[</w:t>
      </w:r>
      <w:r w:rsidRPr="005675B2">
        <w:rPr>
          <w:rFonts w:hint="cs"/>
          <w:rtl/>
        </w:rPr>
        <w:t>قد نفي من دمشق لسوء اعتقاده</w:t>
      </w:r>
      <w:r w:rsidR="000636C2">
        <w:rPr>
          <w:rFonts w:hint="cs"/>
          <w:rtl/>
        </w:rPr>
        <w:t>،</w:t>
      </w:r>
      <w:r w:rsidRPr="005675B2">
        <w:rPr>
          <w:rFonts w:hint="cs"/>
          <w:rtl/>
        </w:rPr>
        <w:t xml:space="preserve"> وصح عنه أنه كان يترك الصلاة</w:t>
      </w:r>
      <w:r w:rsidR="000636C2">
        <w:rPr>
          <w:rFonts w:hint="cs"/>
          <w:rtl/>
        </w:rPr>
        <w:t>]</w:t>
      </w:r>
      <w:r w:rsidRPr="005675B2">
        <w:rPr>
          <w:rStyle w:val="a5"/>
          <w:rFonts w:hint="cs"/>
          <w:b/>
          <w:rtl/>
        </w:rPr>
        <w:t>]</w:t>
      </w:r>
      <w:r w:rsidR="000636C2">
        <w:rPr>
          <w:rFonts w:hint="cs"/>
          <w:rtl/>
        </w:rPr>
        <w:t>[</w:t>
      </w:r>
      <w:r w:rsidRPr="005675B2">
        <w:rPr>
          <w:rFonts w:hint="cs"/>
          <w:sz w:val="24"/>
          <w:szCs w:val="24"/>
          <w:rtl/>
        </w:rPr>
        <w:t>ميزان الاعتدال: 2 / 259</w:t>
      </w:r>
      <w:r w:rsidR="000636C2">
        <w:rPr>
          <w:rFonts w:hint="cs"/>
          <w:sz w:val="24"/>
          <w:szCs w:val="24"/>
          <w:rtl/>
        </w:rPr>
        <w:t>]</w:t>
      </w:r>
      <w:r w:rsidR="000636C2">
        <w:rPr>
          <w:rFonts w:hint="cs"/>
          <w:rtl/>
        </w:rPr>
        <w:t>،</w:t>
      </w:r>
      <w:r w:rsidRPr="005675B2">
        <w:rPr>
          <w:rFonts w:hint="cs"/>
          <w:rtl/>
        </w:rPr>
        <w:t xml:space="preserve"> وقال عنه ابن حجر</w:t>
      </w:r>
      <w:r w:rsidR="000636C2">
        <w:rPr>
          <w:rFonts w:hint="cs"/>
          <w:rtl/>
        </w:rPr>
        <w:t>:</w:t>
      </w:r>
      <w:r w:rsidRPr="005675B2">
        <w:rPr>
          <w:rFonts w:hint="cs"/>
          <w:rtl/>
        </w:rPr>
        <w:t xml:space="preserve"> </w:t>
      </w:r>
      <w:r w:rsidR="000636C2">
        <w:rPr>
          <w:rFonts w:hint="cs"/>
          <w:rtl/>
        </w:rPr>
        <w:t>[</w:t>
      </w:r>
      <w:r w:rsidRPr="005675B2">
        <w:rPr>
          <w:rFonts w:hint="cs"/>
          <w:rtl/>
        </w:rPr>
        <w:t>تفقه لأحمد ابن حنبل</w:t>
      </w:r>
      <w:r w:rsidR="000636C2">
        <w:rPr>
          <w:rFonts w:hint="cs"/>
          <w:rtl/>
        </w:rPr>
        <w:t>،</w:t>
      </w:r>
      <w:r w:rsidRPr="005675B2">
        <w:rPr>
          <w:rFonts w:hint="cs"/>
          <w:rtl/>
        </w:rPr>
        <w:t xml:space="preserve"> ثم تحول شافعياً</w:t>
      </w:r>
      <w:r w:rsidR="000636C2">
        <w:rPr>
          <w:rFonts w:hint="cs"/>
          <w:rtl/>
        </w:rPr>
        <w:t>،</w:t>
      </w:r>
      <w:r w:rsidRPr="005675B2">
        <w:rPr>
          <w:rFonts w:hint="cs"/>
          <w:rtl/>
        </w:rPr>
        <w:t xml:space="preserve"> .. وكان يظهر منه رقة قلب وسرعة دمعة ..</w:t>
      </w:r>
      <w:r w:rsidR="000636C2">
        <w:rPr>
          <w:rFonts w:hint="cs"/>
          <w:rtl/>
        </w:rPr>
        <w:t>]</w:t>
      </w:r>
      <w:r w:rsidRPr="005675B2">
        <w:rPr>
          <w:rFonts w:hint="cs"/>
          <w:rtl/>
        </w:rPr>
        <w:t xml:space="preserve"> ثم نقل قول القائل </w:t>
      </w:r>
      <w:r w:rsidR="000636C2">
        <w:rPr>
          <w:rFonts w:hint="cs"/>
          <w:rtl/>
        </w:rPr>
        <w:t>[</w:t>
      </w:r>
      <w:r w:rsidRPr="005675B2">
        <w:rPr>
          <w:rFonts w:hint="cs"/>
          <w:rtl/>
        </w:rPr>
        <w:t>شككنا هل يصلي</w:t>
      </w:r>
      <w:r w:rsidR="000636C2">
        <w:rPr>
          <w:rFonts w:hint="cs"/>
          <w:rtl/>
        </w:rPr>
        <w:t>؟</w:t>
      </w:r>
      <w:r w:rsidRPr="005675B2">
        <w:rPr>
          <w:rFonts w:hint="cs"/>
          <w:rtl/>
        </w:rPr>
        <w:t xml:space="preserve"> فتركناه حتى نام</w:t>
      </w:r>
      <w:r w:rsidR="000636C2">
        <w:rPr>
          <w:rFonts w:hint="cs"/>
          <w:rtl/>
        </w:rPr>
        <w:t>،</w:t>
      </w:r>
      <w:r w:rsidRPr="005675B2">
        <w:rPr>
          <w:rFonts w:hint="cs"/>
          <w:rtl/>
        </w:rPr>
        <w:t xml:space="preserve"> وعلمنا على رجله بالحبر</w:t>
      </w:r>
      <w:r w:rsidR="000636C2">
        <w:rPr>
          <w:rFonts w:hint="cs"/>
          <w:rtl/>
        </w:rPr>
        <w:t>،</w:t>
      </w:r>
      <w:r w:rsidRPr="005675B2">
        <w:rPr>
          <w:rFonts w:hint="cs"/>
          <w:rtl/>
        </w:rPr>
        <w:t xml:space="preserve"> فبقيت العلامة نحويومين مكانها</w:t>
      </w:r>
      <w:r w:rsidR="000636C2">
        <w:rPr>
          <w:rFonts w:hint="cs"/>
          <w:rtl/>
        </w:rPr>
        <w:t>]</w:t>
      </w:r>
      <w:r w:rsidRPr="005675B2">
        <w:rPr>
          <w:rFonts w:hint="cs"/>
          <w:rtl/>
        </w:rPr>
        <w:t xml:space="preserve"> </w:t>
      </w:r>
      <w:r w:rsidR="000636C2">
        <w:rPr>
          <w:rFonts w:hint="cs"/>
          <w:rtl/>
        </w:rPr>
        <w:t>[</w:t>
      </w:r>
      <w:r w:rsidRPr="005675B2">
        <w:rPr>
          <w:rFonts w:hint="cs"/>
          <w:sz w:val="24"/>
          <w:szCs w:val="24"/>
          <w:rtl/>
        </w:rPr>
        <w:t>لسان الميزان: 3 / 134 – 135</w:t>
      </w:r>
      <w:r w:rsidR="000636C2">
        <w:rPr>
          <w:rFonts w:hint="cs"/>
          <w:sz w:val="24"/>
          <w:szCs w:val="24"/>
          <w:rtl/>
        </w:rPr>
        <w:t>]</w:t>
      </w:r>
      <w:r w:rsidR="000636C2">
        <w:rPr>
          <w:rFonts w:hint="cs"/>
          <w:rtl/>
        </w:rPr>
        <w:t xml:space="preserve">، </w:t>
      </w:r>
      <w:r w:rsidRPr="005675B2">
        <w:rPr>
          <w:rFonts w:hint="cs"/>
          <w:rtl/>
        </w:rPr>
        <w:t>ترى هل كان الآمدي من علماء الأشاعرة لا يصلي</w:t>
      </w:r>
      <w:r w:rsidR="000636C2">
        <w:rPr>
          <w:rFonts w:hint="cs"/>
          <w:rtl/>
        </w:rPr>
        <w:t>؟!</w:t>
      </w:r>
      <w:r w:rsidRPr="005675B2">
        <w:rPr>
          <w:rFonts w:hint="cs"/>
          <w:rtl/>
        </w:rPr>
        <w:t xml:space="preserve"> وهل نفي لسوء اعتقاده</w:t>
      </w:r>
      <w:r w:rsidR="000636C2">
        <w:rPr>
          <w:rFonts w:hint="cs"/>
          <w:rtl/>
        </w:rPr>
        <w:t xml:space="preserve">؟، </w:t>
      </w:r>
      <w:r w:rsidRPr="005675B2">
        <w:rPr>
          <w:rFonts w:hint="cs"/>
          <w:rtl/>
        </w:rPr>
        <w:t>أما مسألة الصلاة فلعله كان به مرض وكان يتيمم</w:t>
      </w:r>
      <w:r w:rsidR="000636C2">
        <w:rPr>
          <w:rFonts w:hint="cs"/>
          <w:rtl/>
        </w:rPr>
        <w:t>،</w:t>
      </w:r>
      <w:r w:rsidRPr="005675B2">
        <w:rPr>
          <w:rFonts w:hint="cs"/>
          <w:rtl/>
        </w:rPr>
        <w:t xml:space="preserve"> فبقيت علامة الحبر على رجله يومين ما توضأ خلالهما</w:t>
      </w:r>
      <w:r w:rsidR="000636C2">
        <w:rPr>
          <w:rFonts w:hint="cs"/>
          <w:rtl/>
        </w:rPr>
        <w:t>،</w:t>
      </w:r>
      <w:r w:rsidRPr="005675B2">
        <w:rPr>
          <w:rFonts w:hint="cs"/>
          <w:rtl/>
        </w:rPr>
        <w:t xml:space="preserve"> وأما مسألة الاعتقاد فما أكثر ما اختلف الناس في جزئيات مسائل الاعتقاد حتى هجر بعضهم بعضاً</w:t>
      </w:r>
      <w:r w:rsidR="000636C2">
        <w:rPr>
          <w:rFonts w:hint="cs"/>
          <w:rtl/>
        </w:rPr>
        <w:t>،</w:t>
      </w:r>
      <w:r w:rsidRPr="005675B2">
        <w:rPr>
          <w:rFonts w:hint="cs"/>
          <w:rtl/>
        </w:rPr>
        <w:t xml:space="preserve"> وبدّع بعضهم بعضاً</w:t>
      </w:r>
      <w:r w:rsidR="000636C2">
        <w:rPr>
          <w:rFonts w:hint="cs"/>
          <w:rtl/>
        </w:rPr>
        <w:t>،</w:t>
      </w:r>
      <w:r w:rsidRPr="005675B2">
        <w:rPr>
          <w:rFonts w:hint="cs"/>
          <w:rtl/>
        </w:rPr>
        <w:t xml:space="preserve"> وكفّر بعضهم بعضاً</w:t>
      </w:r>
      <w:r w:rsidR="000636C2">
        <w:rPr>
          <w:rFonts w:hint="cs"/>
          <w:rtl/>
        </w:rPr>
        <w:t>،</w:t>
      </w:r>
      <w:r w:rsidRPr="005675B2">
        <w:rPr>
          <w:rFonts w:hint="cs"/>
          <w:rtl/>
        </w:rPr>
        <w:t xml:space="preserve"> وقد قال الحافظ ابن كثير ـرحمه الله</w:t>
      </w:r>
      <w:r w:rsidR="000636C2">
        <w:rPr>
          <w:rFonts w:hint="cs"/>
          <w:rtl/>
        </w:rPr>
        <w:t xml:space="preserve"> </w:t>
      </w:r>
      <w:r w:rsidRPr="005675B2">
        <w:rPr>
          <w:rFonts w:hint="cs"/>
          <w:rtl/>
        </w:rPr>
        <w:t>- في ترجمة الآمدي</w:t>
      </w:r>
      <w:r w:rsidR="000636C2">
        <w:rPr>
          <w:rFonts w:hint="cs"/>
          <w:rtl/>
        </w:rPr>
        <w:t>:</w:t>
      </w:r>
      <w:r w:rsidRPr="005675B2">
        <w:rPr>
          <w:rFonts w:hint="cs"/>
          <w:rtl/>
        </w:rPr>
        <w:t xml:space="preserve"> </w:t>
      </w:r>
      <w:r w:rsidR="000636C2">
        <w:rPr>
          <w:rFonts w:hint="cs"/>
          <w:rtl/>
        </w:rPr>
        <w:t>[</w:t>
      </w:r>
      <w:r w:rsidRPr="005675B2">
        <w:rPr>
          <w:rFonts w:hint="cs"/>
          <w:rtl/>
        </w:rPr>
        <w:t>وكان كثير البكاء رقيق القلب</w:t>
      </w:r>
      <w:r w:rsidR="000636C2">
        <w:rPr>
          <w:rFonts w:hint="cs"/>
          <w:rtl/>
        </w:rPr>
        <w:t>،</w:t>
      </w:r>
      <w:r w:rsidRPr="005675B2">
        <w:rPr>
          <w:rFonts w:hint="cs"/>
          <w:rtl/>
        </w:rPr>
        <w:t xml:space="preserve"> وقد تكلموا فيه بأشياء</w:t>
      </w:r>
      <w:r w:rsidR="000636C2">
        <w:rPr>
          <w:rFonts w:hint="cs"/>
          <w:rtl/>
        </w:rPr>
        <w:t>،</w:t>
      </w:r>
      <w:r w:rsidRPr="005675B2">
        <w:rPr>
          <w:rFonts w:hint="cs"/>
          <w:rtl/>
        </w:rPr>
        <w:t xml:space="preserve"> الله أعلم بصحتها</w:t>
      </w:r>
      <w:r w:rsidR="000636C2">
        <w:rPr>
          <w:rFonts w:hint="cs"/>
          <w:rtl/>
        </w:rPr>
        <w:t>،</w:t>
      </w:r>
      <w:r w:rsidRPr="005675B2">
        <w:rPr>
          <w:rFonts w:hint="cs"/>
          <w:rtl/>
        </w:rPr>
        <w:t xml:space="preserve"> والذي يغلب على الظن أنه ليس لغالبها صحة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البداية والنهاية لابن كثير: 13 / 151 . وفي طبعة أخرى: 13 / 140</w:t>
      </w:r>
      <w:r w:rsidR="000636C2">
        <w:rPr>
          <w:rFonts w:hint="cs"/>
          <w:sz w:val="24"/>
          <w:szCs w:val="24"/>
          <w:rtl/>
        </w:rPr>
        <w:t>]</w:t>
      </w:r>
      <w:r w:rsidR="000636C2">
        <w:rPr>
          <w:rFonts w:hint="cs"/>
          <w:rtl/>
        </w:rPr>
        <w:t xml:space="preserve">، </w:t>
      </w:r>
      <w:r w:rsidRPr="005675B2">
        <w:rPr>
          <w:rFonts w:hint="cs"/>
          <w:rtl/>
        </w:rPr>
        <w:t>6 -</w:t>
      </w:r>
      <w:r w:rsidR="000636C2">
        <w:rPr>
          <w:rFonts w:hint="cs"/>
          <w:rtl/>
        </w:rPr>
        <w:t xml:space="preserve"> </w:t>
      </w:r>
      <w:r w:rsidRPr="005675B2">
        <w:rPr>
          <w:rFonts w:hint="cs"/>
          <w:rtl/>
        </w:rPr>
        <w:t>إذا كانت بعض كتب الجرح والتعديل قد ذكرت بعض علماء الأشاعرة بجرح فهذا ليس دليلاً على تجريح الأشاعرة بإطلاق</w:t>
      </w:r>
      <w:r w:rsidR="000636C2">
        <w:rPr>
          <w:rFonts w:hint="cs"/>
          <w:rtl/>
        </w:rPr>
        <w:t>،</w:t>
      </w:r>
      <w:r w:rsidRPr="005675B2">
        <w:rPr>
          <w:rFonts w:hint="cs"/>
          <w:rtl/>
        </w:rPr>
        <w:t xml:space="preserve"> ولا على تجريح مذهب الأشاعرة</w:t>
      </w:r>
      <w:r w:rsidR="000636C2">
        <w:rPr>
          <w:rFonts w:hint="cs"/>
          <w:rtl/>
        </w:rPr>
        <w:t>،</w:t>
      </w:r>
      <w:r w:rsidRPr="005675B2">
        <w:rPr>
          <w:rFonts w:hint="cs"/>
          <w:rtl/>
        </w:rPr>
        <w:t xml:space="preserve"> إذ لا يخفى على اللبيب العاقل أن في علماء سائر المذاهب مجروحين</w:t>
      </w:r>
      <w:r w:rsidR="000636C2">
        <w:rPr>
          <w:rFonts w:hint="cs"/>
          <w:rtl/>
        </w:rPr>
        <w:t>،</w:t>
      </w:r>
      <w:r w:rsidRPr="005675B2">
        <w:rPr>
          <w:rFonts w:hint="cs"/>
          <w:rtl/>
        </w:rPr>
        <w:t xml:space="preserve"> والعمدة في صحة الأقوال وبطلانها هي مدى قربها أو بعدها من الأدلة</w:t>
      </w:r>
      <w:r w:rsidR="000636C2">
        <w:rPr>
          <w:rFonts w:hint="cs"/>
          <w:rtl/>
        </w:rPr>
        <w:t>،</w:t>
      </w:r>
      <w:r w:rsidRPr="005675B2">
        <w:rPr>
          <w:rFonts w:hint="cs"/>
          <w:rtl/>
        </w:rPr>
        <w:t xml:space="preserve"> بغض النظر عن القائل وما قيل فيه</w:t>
      </w:r>
      <w:r w:rsidR="000636C2">
        <w:rPr>
          <w:rFonts w:hint="cs"/>
          <w:rtl/>
        </w:rPr>
        <w:t xml:space="preserve">، </w:t>
      </w:r>
      <w:r w:rsidRPr="005675B2">
        <w:rPr>
          <w:rFonts w:hint="cs"/>
          <w:rtl/>
        </w:rPr>
        <w:t>ومثل الذي يسعى في توهين مذهب الأشاعرة بما وقف عليه من تراجم لبعضهم في الميزان واللسان</w:t>
      </w:r>
      <w:r w:rsidR="000636C2">
        <w:rPr>
          <w:rFonts w:hint="cs"/>
          <w:rtl/>
        </w:rPr>
        <w:t>:</w:t>
      </w:r>
      <w:r w:rsidRPr="005675B2">
        <w:rPr>
          <w:rFonts w:hint="cs"/>
          <w:rtl/>
        </w:rPr>
        <w:t xml:space="preserve"> كمن يدّعي أن مذهب الحنابلة مذهب بدعي مذموم</w:t>
      </w:r>
      <w:r w:rsidR="000636C2">
        <w:rPr>
          <w:rFonts w:hint="cs"/>
          <w:rtl/>
        </w:rPr>
        <w:t>،</w:t>
      </w:r>
      <w:r w:rsidRPr="005675B2">
        <w:rPr>
          <w:rFonts w:hint="cs"/>
          <w:rtl/>
        </w:rPr>
        <w:t xml:space="preserve"> وأن أهله مجروحون عند علماء الجرح والتعديل</w:t>
      </w:r>
      <w:r w:rsidR="000636C2">
        <w:rPr>
          <w:rFonts w:hint="cs"/>
          <w:rtl/>
        </w:rPr>
        <w:t>،</w:t>
      </w:r>
      <w:r w:rsidRPr="005675B2">
        <w:rPr>
          <w:rFonts w:hint="cs"/>
          <w:rtl/>
        </w:rPr>
        <w:t xml:space="preserve"> مستدلاً بتراجم عدد من فقهاء الحنابلة في الميزان واللسان</w:t>
      </w:r>
      <w:r w:rsidR="000636C2">
        <w:rPr>
          <w:rFonts w:hint="cs"/>
          <w:rtl/>
        </w:rPr>
        <w:t xml:space="preserve">!، </w:t>
      </w:r>
      <w:r w:rsidRPr="005675B2">
        <w:rPr>
          <w:rFonts w:hint="cs"/>
          <w:rtl/>
        </w:rPr>
        <w:t>واقرأ إن شئت فيهما تراجم هؤلاء الحنابلة</w:t>
      </w:r>
      <w:r w:rsidR="000636C2">
        <w:rPr>
          <w:rFonts w:hint="cs"/>
          <w:rtl/>
        </w:rPr>
        <w:t>،</w:t>
      </w:r>
      <w:r w:rsidRPr="005675B2">
        <w:rPr>
          <w:rFonts w:hint="cs"/>
          <w:rtl/>
        </w:rPr>
        <w:t xml:space="preserve"> ولا تنس أن غيرها كثير</w:t>
      </w:r>
      <w:r w:rsidR="000636C2">
        <w:rPr>
          <w:rFonts w:hint="cs"/>
          <w:rtl/>
        </w:rPr>
        <w:t xml:space="preserve">: </w:t>
      </w:r>
      <w:r w:rsidRPr="005675B2">
        <w:rPr>
          <w:rFonts w:hint="cs"/>
          <w:rtl/>
        </w:rPr>
        <w:t>صدقة بن الحسين البغدادي</w:t>
      </w:r>
      <w:r w:rsidR="000636C2">
        <w:rPr>
          <w:rFonts w:hint="cs"/>
          <w:rtl/>
        </w:rPr>
        <w:t>:</w:t>
      </w:r>
      <w:r w:rsidRPr="005675B2">
        <w:rPr>
          <w:rFonts w:hint="cs"/>
          <w:rtl/>
        </w:rPr>
        <w:t xml:space="preserve"> كان يظهر في فلتات لسانه ما يدل على سوء عقيدته مترجم في الميزان واللسان</w:t>
      </w:r>
      <w:r w:rsidR="000636C2">
        <w:rPr>
          <w:rFonts w:hint="cs"/>
          <w:rtl/>
        </w:rPr>
        <w:t xml:space="preserve">، </w:t>
      </w:r>
      <w:r w:rsidRPr="005675B2">
        <w:rPr>
          <w:rFonts w:hint="cs"/>
          <w:rtl/>
        </w:rPr>
        <w:t xml:space="preserve">عبد العزيز بن الحارث أبو الحسن التميمي المتوفى سنة </w:t>
      </w:r>
      <w:r w:rsidR="000636C2">
        <w:rPr>
          <w:rFonts w:hint="cs"/>
          <w:rtl/>
        </w:rPr>
        <w:t>(</w:t>
      </w:r>
      <w:r w:rsidRPr="005675B2">
        <w:rPr>
          <w:rFonts w:hint="cs"/>
          <w:rtl/>
        </w:rPr>
        <w:t>371ه -</w:t>
      </w:r>
      <w:r w:rsidR="000636C2">
        <w:rPr>
          <w:rFonts w:hint="cs"/>
          <w:rtl/>
        </w:rPr>
        <w:t>):</w:t>
      </w:r>
      <w:r w:rsidRPr="005675B2">
        <w:rPr>
          <w:rFonts w:hint="cs"/>
          <w:rtl/>
        </w:rPr>
        <w:t xml:space="preserve"> متهم بالوضع في الحديث مترجم في الميزان واللسان</w:t>
      </w:r>
      <w:r w:rsidR="000636C2">
        <w:rPr>
          <w:rFonts w:hint="cs"/>
          <w:rtl/>
        </w:rPr>
        <w:t xml:space="preserve">، </w:t>
      </w:r>
      <w:r w:rsidRPr="005675B2">
        <w:rPr>
          <w:rFonts w:hint="cs"/>
          <w:rtl/>
        </w:rPr>
        <w:t xml:space="preserve">عبيد الله بن علي البغدادي المشهور بابن المارستانية المتوفى سنة </w:t>
      </w:r>
      <w:r w:rsidR="000636C2">
        <w:rPr>
          <w:rFonts w:hint="cs"/>
          <w:rtl/>
        </w:rPr>
        <w:t>(</w:t>
      </w:r>
      <w:r w:rsidRPr="005675B2">
        <w:rPr>
          <w:rFonts w:hint="cs"/>
          <w:rtl/>
        </w:rPr>
        <w:t>599ه -</w:t>
      </w:r>
      <w:r w:rsidR="000636C2">
        <w:rPr>
          <w:rFonts w:hint="cs"/>
          <w:rtl/>
        </w:rPr>
        <w:t>):</w:t>
      </w:r>
      <w:r w:rsidRPr="005675B2">
        <w:rPr>
          <w:rFonts w:hint="cs"/>
          <w:rtl/>
        </w:rPr>
        <w:t xml:space="preserve"> اتهم بالكذب وتزوير السماع</w:t>
      </w:r>
      <w:r w:rsidR="000636C2">
        <w:rPr>
          <w:rFonts w:hint="cs"/>
          <w:rtl/>
        </w:rPr>
        <w:t>،</w:t>
      </w:r>
      <w:r w:rsidRPr="005675B2">
        <w:rPr>
          <w:rFonts w:hint="cs"/>
          <w:rtl/>
        </w:rPr>
        <w:t xml:space="preserve"> وكان يتفلسف مترجم في الميزان واللسان</w:t>
      </w:r>
      <w:r w:rsidR="000636C2">
        <w:rPr>
          <w:rFonts w:hint="cs"/>
          <w:rtl/>
        </w:rPr>
        <w:t xml:space="preserve">، </w:t>
      </w:r>
      <w:r w:rsidRPr="005675B2">
        <w:rPr>
          <w:rFonts w:hint="cs"/>
          <w:rtl/>
        </w:rPr>
        <w:t xml:space="preserve">عبيد الله بن علي بن أبي خازم بن أبي يعلى الفراء المتوفى سنة </w:t>
      </w:r>
      <w:r w:rsidR="000636C2">
        <w:rPr>
          <w:rFonts w:hint="cs"/>
          <w:rtl/>
        </w:rPr>
        <w:t>(</w:t>
      </w:r>
      <w:r w:rsidRPr="005675B2">
        <w:rPr>
          <w:rFonts w:hint="cs"/>
          <w:rtl/>
        </w:rPr>
        <w:t>580ه -</w:t>
      </w:r>
      <w:r w:rsidR="000636C2">
        <w:rPr>
          <w:rFonts w:hint="cs"/>
          <w:rtl/>
        </w:rPr>
        <w:t>):</w:t>
      </w:r>
      <w:r w:rsidRPr="005675B2">
        <w:rPr>
          <w:rFonts w:hint="cs"/>
          <w:rtl/>
        </w:rPr>
        <w:t xml:space="preserve"> أسقط القاضي ابن الدامغاني شهادته</w:t>
      </w:r>
      <w:r w:rsidR="000636C2">
        <w:rPr>
          <w:rFonts w:hint="cs"/>
          <w:rtl/>
        </w:rPr>
        <w:t>،</w:t>
      </w:r>
      <w:r w:rsidRPr="005675B2">
        <w:rPr>
          <w:rFonts w:hint="cs"/>
          <w:rtl/>
        </w:rPr>
        <w:t xml:space="preserve"> لما كان يرتكبه من الخلاعة وتناول مالا يجوز مترجم في اللسان</w:t>
      </w:r>
      <w:r w:rsidR="000636C2">
        <w:rPr>
          <w:rFonts w:hint="cs"/>
          <w:rtl/>
        </w:rPr>
        <w:t xml:space="preserve">، </w:t>
      </w:r>
      <w:r w:rsidRPr="005675B2">
        <w:rPr>
          <w:rFonts w:hint="cs"/>
          <w:rtl/>
        </w:rPr>
        <w:t xml:space="preserve">عبيد الله بن محمد بن بطة العكبري المتوفى سنة </w:t>
      </w:r>
      <w:r w:rsidR="000636C2">
        <w:rPr>
          <w:rFonts w:hint="cs"/>
          <w:rtl/>
        </w:rPr>
        <w:t>(</w:t>
      </w:r>
      <w:r w:rsidRPr="005675B2">
        <w:rPr>
          <w:rFonts w:hint="cs"/>
          <w:rtl/>
        </w:rPr>
        <w:t>387ه -</w:t>
      </w:r>
      <w:r w:rsidR="000636C2">
        <w:rPr>
          <w:rFonts w:hint="cs"/>
          <w:rtl/>
        </w:rPr>
        <w:t>):</w:t>
      </w:r>
      <w:r w:rsidRPr="005675B2">
        <w:rPr>
          <w:rFonts w:hint="cs"/>
          <w:rtl/>
        </w:rPr>
        <w:t xml:space="preserve"> قال ابن حجر</w:t>
      </w:r>
      <w:r w:rsidR="000636C2">
        <w:rPr>
          <w:rFonts w:hint="cs"/>
          <w:rtl/>
        </w:rPr>
        <w:t>:</w:t>
      </w:r>
      <w:r w:rsidRPr="005675B2">
        <w:rPr>
          <w:rFonts w:hint="cs"/>
          <w:rtl/>
        </w:rPr>
        <w:t xml:space="preserve"> </w:t>
      </w:r>
      <w:r w:rsidR="000636C2">
        <w:rPr>
          <w:rFonts w:hint="cs"/>
          <w:rtl/>
        </w:rPr>
        <w:t>[</w:t>
      </w:r>
      <w:r w:rsidRPr="005675B2">
        <w:rPr>
          <w:rFonts w:hint="cs"/>
          <w:rtl/>
        </w:rPr>
        <w:t>وقد وقفت لابن بطة على أمر استعظمته واقشعر جلدي منه</w:t>
      </w:r>
      <w:r w:rsidR="000636C2">
        <w:rPr>
          <w:rFonts w:hint="cs"/>
          <w:rtl/>
        </w:rPr>
        <w:t>]،</w:t>
      </w:r>
      <w:r w:rsidRPr="005675B2">
        <w:rPr>
          <w:rFonts w:hint="cs"/>
          <w:rtl/>
        </w:rPr>
        <w:t xml:space="preserve"> وبين ذلك إذ ذكر حديث </w:t>
      </w:r>
      <w:r w:rsidR="000636C2">
        <w:rPr>
          <w:rFonts w:hint="cs"/>
          <w:rtl/>
        </w:rPr>
        <w:t>[</w:t>
      </w:r>
      <w:r w:rsidRPr="005675B2">
        <w:rPr>
          <w:rFonts w:hint="cs"/>
          <w:rtl/>
        </w:rPr>
        <w:t>كلم الله تعالى موسى يوم كلمه وعليه جبة صوف وكساء صوف ونعلان من جلد حمار غير ذكي</w:t>
      </w:r>
      <w:r w:rsidR="000636C2">
        <w:rPr>
          <w:rFonts w:hint="cs"/>
          <w:rtl/>
        </w:rPr>
        <w:t>]،</w:t>
      </w:r>
      <w:r w:rsidRPr="005675B2">
        <w:rPr>
          <w:rFonts w:hint="cs"/>
          <w:rtl/>
        </w:rPr>
        <w:t xml:space="preserve"> وأشار إلى ضعف سنده</w:t>
      </w:r>
      <w:r w:rsidR="000636C2">
        <w:rPr>
          <w:rFonts w:hint="cs"/>
          <w:rtl/>
        </w:rPr>
        <w:t>،</w:t>
      </w:r>
      <w:r w:rsidRPr="005675B2">
        <w:rPr>
          <w:rFonts w:hint="cs"/>
          <w:rtl/>
        </w:rPr>
        <w:t xml:space="preserve"> وإلى رواية ابن بطة لهذا الحديث</w:t>
      </w:r>
      <w:r w:rsidR="000636C2">
        <w:rPr>
          <w:rFonts w:hint="cs"/>
          <w:rtl/>
        </w:rPr>
        <w:t>،</w:t>
      </w:r>
      <w:r w:rsidRPr="005675B2">
        <w:rPr>
          <w:rFonts w:hint="cs"/>
          <w:rtl/>
        </w:rPr>
        <w:t xml:space="preserve"> لكن بزيادة منكرة في آخره</w:t>
      </w:r>
      <w:r w:rsidR="000636C2">
        <w:rPr>
          <w:rFonts w:hint="cs"/>
          <w:rtl/>
        </w:rPr>
        <w:t>،</w:t>
      </w:r>
      <w:r w:rsidRPr="005675B2">
        <w:rPr>
          <w:rFonts w:hint="cs"/>
          <w:rtl/>
        </w:rPr>
        <w:t xml:space="preserve"> وهي </w:t>
      </w:r>
      <w:r w:rsidR="000636C2">
        <w:rPr>
          <w:rFonts w:hint="cs"/>
          <w:rtl/>
        </w:rPr>
        <w:t>[</w:t>
      </w:r>
      <w:r w:rsidRPr="005675B2">
        <w:rPr>
          <w:rFonts w:hint="cs"/>
          <w:rtl/>
        </w:rPr>
        <w:t>فقال</w:t>
      </w:r>
      <w:r w:rsidR="000636C2">
        <w:rPr>
          <w:rFonts w:hint="cs"/>
          <w:rtl/>
        </w:rPr>
        <w:t>:</w:t>
      </w:r>
      <w:r w:rsidRPr="005675B2">
        <w:rPr>
          <w:rFonts w:hint="cs"/>
          <w:rtl/>
        </w:rPr>
        <w:t xml:space="preserve"> من ذا العبراني الذي يكلمني من الشجرة</w:t>
      </w:r>
      <w:r w:rsidR="000636C2">
        <w:rPr>
          <w:rFonts w:hint="cs"/>
          <w:rtl/>
        </w:rPr>
        <w:t>؟،</w:t>
      </w:r>
      <w:r w:rsidRPr="005675B2">
        <w:rPr>
          <w:rFonts w:hint="cs"/>
          <w:rtl/>
        </w:rPr>
        <w:t xml:space="preserve"> قال</w:t>
      </w:r>
      <w:r w:rsidR="000636C2">
        <w:rPr>
          <w:rFonts w:hint="cs"/>
          <w:rtl/>
        </w:rPr>
        <w:t>:</w:t>
      </w:r>
      <w:r w:rsidRPr="005675B2">
        <w:rPr>
          <w:rFonts w:hint="cs"/>
          <w:rtl/>
        </w:rPr>
        <w:t xml:space="preserve"> أنا الله</w:t>
      </w:r>
      <w:r w:rsidR="000636C2">
        <w:rPr>
          <w:rFonts w:hint="cs"/>
          <w:rtl/>
        </w:rPr>
        <w:t>]،</w:t>
      </w:r>
      <w:r w:rsidRPr="005675B2">
        <w:rPr>
          <w:rFonts w:hint="cs"/>
          <w:rtl/>
        </w:rPr>
        <w:t xml:space="preserve"> وعلق ابن حجر بقوله</w:t>
      </w:r>
      <w:r w:rsidR="000636C2">
        <w:rPr>
          <w:rFonts w:hint="cs"/>
          <w:rtl/>
        </w:rPr>
        <w:t>:</w:t>
      </w:r>
      <w:r w:rsidRPr="005675B2">
        <w:rPr>
          <w:rFonts w:hint="cs"/>
          <w:rtl/>
        </w:rPr>
        <w:t xml:space="preserve"> </w:t>
      </w:r>
      <w:r w:rsidR="000636C2">
        <w:rPr>
          <w:rFonts w:hint="cs"/>
          <w:rtl/>
        </w:rPr>
        <w:t>[</w:t>
      </w:r>
      <w:r w:rsidRPr="005675B2">
        <w:rPr>
          <w:rFonts w:hint="cs"/>
          <w:rtl/>
        </w:rPr>
        <w:t>وما أدري ما أقول في ابن بطة بعد هذا</w:t>
      </w:r>
      <w:r w:rsidR="000636C2">
        <w:rPr>
          <w:rFonts w:hint="cs"/>
          <w:rtl/>
        </w:rPr>
        <w:t>؟!</w:t>
      </w:r>
      <w:r w:rsidRPr="005675B2">
        <w:rPr>
          <w:rFonts w:hint="cs"/>
          <w:rtl/>
        </w:rPr>
        <w:t xml:space="preserve"> .. والله أعلم بغيبه</w:t>
      </w:r>
      <w:r w:rsidR="000636C2">
        <w:rPr>
          <w:rFonts w:hint="cs"/>
          <w:rtl/>
        </w:rPr>
        <w:t xml:space="preserve">]، </w:t>
      </w:r>
      <w:r w:rsidRPr="005675B2">
        <w:rPr>
          <w:rFonts w:hint="cs"/>
          <w:rtl/>
        </w:rPr>
        <w:t>وهذا يعني أن ابن بطة ربما وضع هذه الزيادة وأدرجها في الحديث</w:t>
      </w:r>
      <w:r w:rsidR="000636C2">
        <w:rPr>
          <w:rFonts w:hint="cs"/>
          <w:rtl/>
        </w:rPr>
        <w:t>،</w:t>
      </w:r>
      <w:r w:rsidRPr="005675B2">
        <w:rPr>
          <w:rFonts w:hint="cs"/>
          <w:rtl/>
        </w:rPr>
        <w:t xml:space="preserve"> وهي موافقة لمشربه الذي فيه ميل للتجسيم والتشبيه</w:t>
      </w:r>
      <w:r w:rsidR="000636C2">
        <w:rPr>
          <w:rFonts w:hint="cs"/>
          <w:rtl/>
        </w:rPr>
        <w:t>،</w:t>
      </w:r>
      <w:r w:rsidRPr="005675B2">
        <w:rPr>
          <w:rFonts w:hint="cs"/>
          <w:rtl/>
        </w:rPr>
        <w:t xml:space="preserve"> وقد روى ابن الجوزي الحنبلي هذا الحديث بهذه الزيادة في الموضوعات</w:t>
      </w:r>
      <w:r w:rsidR="000636C2">
        <w:rPr>
          <w:rFonts w:hint="cs"/>
          <w:rtl/>
        </w:rPr>
        <w:t>،</w:t>
      </w:r>
      <w:r w:rsidRPr="005675B2">
        <w:rPr>
          <w:rFonts w:hint="cs"/>
          <w:rtl/>
        </w:rPr>
        <w:t xml:space="preserve"> وعلق بقوله</w:t>
      </w:r>
      <w:r w:rsidR="000636C2">
        <w:rPr>
          <w:rFonts w:hint="cs"/>
          <w:rtl/>
        </w:rPr>
        <w:t>:</w:t>
      </w:r>
      <w:r w:rsidRPr="005675B2">
        <w:rPr>
          <w:rFonts w:hint="cs"/>
          <w:rtl/>
        </w:rPr>
        <w:t xml:space="preserve"> </w:t>
      </w:r>
      <w:r w:rsidR="000636C2">
        <w:rPr>
          <w:rFonts w:hint="cs"/>
          <w:rtl/>
        </w:rPr>
        <w:t>[</w:t>
      </w:r>
      <w:r w:rsidRPr="005675B2">
        <w:rPr>
          <w:rFonts w:hint="cs"/>
          <w:rtl/>
        </w:rPr>
        <w:t>هذا لا يصح</w:t>
      </w:r>
      <w:r w:rsidR="000636C2">
        <w:rPr>
          <w:rFonts w:hint="cs"/>
          <w:rtl/>
        </w:rPr>
        <w:t>،</w:t>
      </w:r>
      <w:r w:rsidRPr="005675B2">
        <w:rPr>
          <w:rFonts w:hint="cs"/>
          <w:rtl/>
        </w:rPr>
        <w:t xml:space="preserve"> وكلام الله لايشبه كلام المخلوقين</w:t>
      </w:r>
      <w:r w:rsidR="000636C2">
        <w:rPr>
          <w:rFonts w:hint="cs"/>
          <w:rtl/>
        </w:rPr>
        <w:t>]،</w:t>
      </w:r>
      <w:r w:rsidRPr="005675B2">
        <w:rPr>
          <w:rFonts w:hint="cs"/>
          <w:rtl/>
        </w:rPr>
        <w:t xml:space="preserve"> وروى ابن بطة معجم الصحابة للبغوي وهو لم يسمعه منه</w:t>
      </w:r>
      <w:r w:rsidR="000636C2">
        <w:rPr>
          <w:rFonts w:hint="cs"/>
          <w:rtl/>
        </w:rPr>
        <w:t>،</w:t>
      </w:r>
      <w:r w:rsidRPr="005675B2">
        <w:rPr>
          <w:rFonts w:hint="cs"/>
          <w:rtl/>
        </w:rPr>
        <w:t xml:space="preserve"> إنما كان أخذ نسخة وحك اسم صاحبها وكتب عليها اسمه وانظر ترجمة ابن بطة في الميزان واللسان</w:t>
      </w:r>
      <w:r w:rsidR="000636C2">
        <w:rPr>
          <w:rFonts w:hint="cs"/>
          <w:rtl/>
        </w:rPr>
        <w:t xml:space="preserve">، </w:t>
      </w:r>
      <w:r w:rsidRPr="005675B2">
        <w:rPr>
          <w:rFonts w:hint="cs"/>
          <w:rtl/>
        </w:rPr>
        <w:t>الحسن بن أحمد بن عبد الله ابن البناء</w:t>
      </w:r>
      <w:r w:rsidR="000636C2">
        <w:rPr>
          <w:rFonts w:hint="cs"/>
          <w:rtl/>
        </w:rPr>
        <w:t>:</w:t>
      </w:r>
      <w:r w:rsidRPr="005675B2">
        <w:rPr>
          <w:rFonts w:hint="cs"/>
          <w:rtl/>
        </w:rPr>
        <w:t xml:space="preserve"> كان يتصرف في الأصول بالتغيير والحك مترجم في اللسان</w:t>
      </w:r>
      <w:r w:rsidR="000636C2">
        <w:rPr>
          <w:rFonts w:hint="cs"/>
          <w:rtl/>
        </w:rPr>
        <w:t xml:space="preserve">، </w:t>
      </w:r>
      <w:r w:rsidRPr="005675B2">
        <w:rPr>
          <w:rFonts w:hint="cs"/>
          <w:rtl/>
        </w:rPr>
        <w:t>فهل يصح</w:t>
      </w:r>
      <w:r w:rsidR="000636C2">
        <w:rPr>
          <w:rFonts w:hint="cs"/>
          <w:rtl/>
        </w:rPr>
        <w:t xml:space="preserve"> </w:t>
      </w:r>
      <w:r w:rsidRPr="005675B2">
        <w:rPr>
          <w:rFonts w:hint="cs"/>
          <w:rtl/>
        </w:rPr>
        <w:t>- يا ذوي الحجى</w:t>
      </w:r>
      <w:r w:rsidR="000636C2">
        <w:rPr>
          <w:rFonts w:hint="cs"/>
          <w:rtl/>
        </w:rPr>
        <w:t xml:space="preserve"> </w:t>
      </w:r>
      <w:r w:rsidRPr="005675B2">
        <w:rPr>
          <w:rFonts w:hint="cs"/>
          <w:rtl/>
        </w:rPr>
        <w:t>- أن يطعن طاعن في الحنابلة والمذهب الحنبلي بمثل هذه التراجم وغيرها</w:t>
      </w:r>
      <w:r w:rsidR="000636C2">
        <w:rPr>
          <w:rFonts w:hint="cs"/>
          <w:rtl/>
        </w:rPr>
        <w:t>؟!</w:t>
      </w:r>
      <w:r w:rsidRPr="005675B2">
        <w:rPr>
          <w:rFonts w:hint="cs"/>
          <w:rtl/>
        </w:rPr>
        <w:t xml:space="preserve"> حاشاهم من ذلك</w:t>
      </w:r>
      <w:r w:rsidR="000636C2">
        <w:rPr>
          <w:rFonts w:hint="cs"/>
          <w:rtl/>
        </w:rPr>
        <w:t>،</w:t>
      </w:r>
      <w:r w:rsidRPr="005675B2">
        <w:rPr>
          <w:rFonts w:hint="cs"/>
          <w:rtl/>
        </w:rPr>
        <w:t xml:space="preserve"> فتنبه أيها الأخ الباحث وأصلح منهجك</w:t>
      </w:r>
      <w:r w:rsidR="000636C2">
        <w:rPr>
          <w:rFonts w:hint="cs"/>
          <w:rtl/>
        </w:rPr>
        <w:t>،</w:t>
      </w:r>
    </w:p>
    <w:p w14:paraId="2BAECD11" w14:textId="3A1C863F" w:rsidR="009C32A0" w:rsidRPr="005675B2" w:rsidRDefault="009C32A0" w:rsidP="000636C2">
      <w:pPr>
        <w:rPr>
          <w:b/>
          <w:rtl/>
        </w:rPr>
      </w:pPr>
      <w:r w:rsidRPr="005675B2">
        <w:rPr>
          <w:rFonts w:hint="cs"/>
          <w:bCs/>
          <w:rtl/>
        </w:rPr>
        <w:t>قال ال</w:t>
      </w:r>
      <w:r w:rsidRPr="005675B2">
        <w:rPr>
          <w:rFonts w:hint="cs"/>
          <w:rtl/>
        </w:rPr>
        <w:t>باحث</w:t>
      </w:r>
      <w:r w:rsidR="000636C2">
        <w:rPr>
          <w:rFonts w:hint="cs"/>
          <w:rtl/>
        </w:rPr>
        <w:t>: [</w:t>
      </w:r>
      <w:r w:rsidRPr="005675B2">
        <w:rPr>
          <w:rFonts w:hint="cs"/>
          <w:rtl/>
        </w:rPr>
        <w:t>وههنا حقيقة كبرى أثبتها علماء الأشعرية الكبار بأنفسهم</w:t>
      </w:r>
      <w:r w:rsidR="000636C2">
        <w:rPr>
          <w:rFonts w:hint="cs"/>
          <w:rtl/>
        </w:rPr>
        <w:t>،</w:t>
      </w:r>
      <w:r w:rsidRPr="005675B2">
        <w:rPr>
          <w:rFonts w:hint="cs"/>
          <w:rtl/>
        </w:rPr>
        <w:t xml:space="preserve"> كالجويني وابنه أبي المعالي والرازي والغزالي وغيرهم</w:t>
      </w:r>
      <w:r w:rsidR="000636C2">
        <w:rPr>
          <w:rFonts w:hint="cs"/>
          <w:rtl/>
        </w:rPr>
        <w:t>،</w:t>
      </w:r>
      <w:r w:rsidRPr="005675B2">
        <w:rPr>
          <w:rFonts w:hint="cs"/>
          <w:rtl/>
        </w:rPr>
        <w:t xml:space="preserve"> وهي حقيقة إعلان حيرتهم وتوبتهم ورجوعهم إلى مذهب السلف .. وإذا كانوا من أصلهم على عقيدة أهل السنة والجماعة فعن أي شيء رجعوا</w:t>
      </w:r>
      <w:r w:rsidR="000636C2">
        <w:rPr>
          <w:rFonts w:hint="cs"/>
          <w:rtl/>
        </w:rPr>
        <w:t>؟</w:t>
      </w:r>
      <w:r w:rsidRPr="005675B2">
        <w:rPr>
          <w:rFonts w:hint="cs"/>
          <w:rtl/>
        </w:rPr>
        <w:t xml:space="preserve"> ولماذا رجعوا</w:t>
      </w:r>
      <w:r w:rsidR="000636C2">
        <w:rPr>
          <w:rFonts w:hint="cs"/>
          <w:rtl/>
        </w:rPr>
        <w:t>؟</w:t>
      </w:r>
      <w:r w:rsidRPr="005675B2">
        <w:rPr>
          <w:rFonts w:hint="cs"/>
          <w:rtl/>
        </w:rPr>
        <w:t xml:space="preserve"> وإلى أي عقيدة رجعوا</w:t>
      </w:r>
      <w:r w:rsidR="000636C2">
        <w:rPr>
          <w:rFonts w:hint="cs"/>
          <w:rtl/>
        </w:rPr>
        <w:t>؟]،</w:t>
      </w:r>
    </w:p>
    <w:p w14:paraId="6BFDBF8B" w14:textId="319387E5" w:rsidR="009C32A0" w:rsidRPr="005675B2" w:rsidRDefault="009C32A0" w:rsidP="000636C2">
      <w:pPr>
        <w:rPr>
          <w:b/>
          <w:rtl/>
        </w:rPr>
      </w:pPr>
      <w:r w:rsidRPr="005675B2">
        <w:rPr>
          <w:rFonts w:hint="cs"/>
          <w:bCs/>
          <w:rtl/>
        </w:rPr>
        <w:t>أقول</w:t>
      </w:r>
      <w:r w:rsidR="000636C2">
        <w:rPr>
          <w:rFonts w:hint="cs"/>
          <w:rtl/>
        </w:rPr>
        <w:t xml:space="preserve">: </w:t>
      </w:r>
      <w:r w:rsidRPr="005675B2">
        <w:rPr>
          <w:rFonts w:hint="cs"/>
          <w:rtl/>
        </w:rPr>
        <w:t>1 - لم يذكر الباحث نقلاً واحداً عن عالم من علماء الأشاعرة يعلن فيها حيرته</w:t>
      </w:r>
      <w:r w:rsidR="000636C2">
        <w:rPr>
          <w:rFonts w:hint="cs"/>
          <w:rtl/>
        </w:rPr>
        <w:t>!</w:t>
      </w:r>
      <w:r w:rsidRPr="005675B2">
        <w:rPr>
          <w:rFonts w:hint="cs"/>
          <w:rtl/>
        </w:rPr>
        <w:t xml:space="preserve"> أو توبته</w:t>
      </w:r>
      <w:r w:rsidR="000636C2">
        <w:rPr>
          <w:rFonts w:hint="cs"/>
          <w:rtl/>
        </w:rPr>
        <w:t>!</w:t>
      </w:r>
      <w:r w:rsidRPr="005675B2">
        <w:rPr>
          <w:rFonts w:hint="cs"/>
          <w:rtl/>
        </w:rPr>
        <w:t xml:space="preserve"> أو رجوعه عن شيء معين كان يعتقده إلى مذهب السلف</w:t>
      </w:r>
      <w:r w:rsidR="000636C2">
        <w:rPr>
          <w:rFonts w:hint="cs"/>
          <w:rtl/>
        </w:rPr>
        <w:t>!</w:t>
      </w:r>
      <w:r w:rsidRPr="005675B2">
        <w:rPr>
          <w:rFonts w:hint="cs"/>
          <w:rtl/>
        </w:rPr>
        <w:t xml:space="preserve"> فكيف يمكن أن تصح الدعوى</w:t>
      </w:r>
      <w:r w:rsidR="000636C2">
        <w:rPr>
          <w:rFonts w:hint="cs"/>
          <w:rtl/>
        </w:rPr>
        <w:t xml:space="preserve">؟، </w:t>
      </w:r>
      <w:r w:rsidRPr="005675B2">
        <w:rPr>
          <w:rFonts w:hint="cs"/>
          <w:rtl/>
        </w:rPr>
        <w:t>ومن المعلوم أنه لا بد في مثل هذا من نقل الرواية ونقدها سنداً ومتناً قبل ابتناء أي حكم أو استنتاج عليها</w:t>
      </w:r>
      <w:r w:rsidR="000636C2">
        <w:rPr>
          <w:rFonts w:hint="cs"/>
          <w:rtl/>
        </w:rPr>
        <w:t>،</w:t>
      </w:r>
      <w:r w:rsidRPr="005675B2">
        <w:rPr>
          <w:rFonts w:hint="cs"/>
          <w:rtl/>
        </w:rPr>
        <w:t xml:space="preserve"> إذ لا بد من معرفة اتصال السند أو انقطاعه</w:t>
      </w:r>
      <w:r w:rsidR="000636C2">
        <w:rPr>
          <w:rFonts w:hint="cs"/>
          <w:rtl/>
        </w:rPr>
        <w:t>،</w:t>
      </w:r>
      <w:r w:rsidRPr="005675B2">
        <w:rPr>
          <w:rFonts w:hint="cs"/>
          <w:rtl/>
        </w:rPr>
        <w:t xml:space="preserve"> بالإضافة إلى عدالة الرواة الذين وردت أسماؤهم في ذلك السند وضبطهم أو انخرام العدالة أو الضبط فيهم أو في واحد منهم</w:t>
      </w:r>
      <w:r w:rsidR="000636C2">
        <w:rPr>
          <w:rFonts w:hint="cs"/>
          <w:rtl/>
        </w:rPr>
        <w:t>،</w:t>
      </w:r>
      <w:r w:rsidRPr="005675B2">
        <w:rPr>
          <w:rFonts w:hint="cs"/>
          <w:rtl/>
        </w:rPr>
        <w:t xml:space="preserve"> كما لا بد من معرفة انسجام تلك الرواية مع واقع حال الذي رويت عنه</w:t>
      </w:r>
      <w:r w:rsidR="000636C2">
        <w:rPr>
          <w:rFonts w:hint="cs"/>
          <w:rtl/>
        </w:rPr>
        <w:t>،</w:t>
      </w:r>
      <w:r w:rsidRPr="005675B2">
        <w:rPr>
          <w:rFonts w:hint="cs"/>
          <w:rtl/>
        </w:rPr>
        <w:t xml:space="preserve"> وذلك كما تقدم عن الرواية التي تعزو لابن تيمية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xml:space="preserve">- أنه قال </w:t>
      </w:r>
      <w:r w:rsidR="000636C2">
        <w:rPr>
          <w:rFonts w:hint="cs"/>
          <w:rtl/>
        </w:rPr>
        <w:t>[</w:t>
      </w:r>
      <w:r w:rsidRPr="005675B2">
        <w:rPr>
          <w:rFonts w:hint="cs"/>
          <w:rtl/>
        </w:rPr>
        <w:t>واستوى الله على عرشه كاستوائي هذا</w:t>
      </w:r>
      <w:r w:rsidR="000636C2">
        <w:rPr>
          <w:rFonts w:hint="cs"/>
          <w:rtl/>
        </w:rPr>
        <w:t>]،</w:t>
      </w:r>
      <w:r w:rsidRPr="005675B2">
        <w:rPr>
          <w:rFonts w:hint="cs"/>
          <w:rtl/>
        </w:rPr>
        <w:t xml:space="preserve"> فإذا علمنا أن في سندها راوياً مجهولاً كان هذا من وجوه نقد السند</w:t>
      </w:r>
      <w:r w:rsidR="000636C2">
        <w:rPr>
          <w:rFonts w:hint="cs"/>
          <w:rtl/>
        </w:rPr>
        <w:t>،</w:t>
      </w:r>
      <w:r w:rsidRPr="005675B2">
        <w:rPr>
          <w:rFonts w:hint="cs"/>
          <w:rtl/>
        </w:rPr>
        <w:t xml:space="preserve"> وإذا علمنا أن كتب ابن تيمية طافحة بالرد على من يقول مثل هذا القول كان هذا وجهاً من وجوه نقد المتن</w:t>
      </w:r>
      <w:r w:rsidR="000636C2">
        <w:rPr>
          <w:rFonts w:hint="cs"/>
          <w:rtl/>
        </w:rPr>
        <w:t>،</w:t>
      </w:r>
      <w:r w:rsidRPr="005675B2">
        <w:rPr>
          <w:rFonts w:hint="cs"/>
          <w:rtl/>
        </w:rPr>
        <w:t xml:space="preserve"> وبهما أو بأحدهما تسقط الرواية وتنزل من مرتبة القبول إلى الرد</w:t>
      </w:r>
      <w:r w:rsidR="000636C2">
        <w:rPr>
          <w:rFonts w:hint="cs"/>
          <w:rtl/>
        </w:rPr>
        <w:t xml:space="preserve">، </w:t>
      </w:r>
      <w:r w:rsidRPr="005675B2">
        <w:rPr>
          <w:rFonts w:hint="cs"/>
          <w:rtl/>
        </w:rPr>
        <w:t>2 - رويت الحيرة في الدين عن أحد علماء الأشاعرة وهو عبد الحميد بن عيسى الخسروشاهي</w:t>
      </w:r>
      <w:r w:rsidR="000636C2">
        <w:rPr>
          <w:rFonts w:hint="cs"/>
          <w:rtl/>
        </w:rPr>
        <w:t>،</w:t>
      </w:r>
      <w:r w:rsidRPr="005675B2">
        <w:rPr>
          <w:rFonts w:hint="cs"/>
          <w:rtl/>
        </w:rPr>
        <w:t xml:space="preserve"> وقد تقدم نقل الحكاية التي رواها ابن تيمية في ذلك ونقد سندها [</w:t>
      </w:r>
      <w:r w:rsidRPr="005675B2">
        <w:rPr>
          <w:rFonts w:hint="cs"/>
          <w:sz w:val="24"/>
          <w:szCs w:val="24"/>
          <w:rtl/>
        </w:rPr>
        <w:t>انظر ما تقدم من نقل هذه الحكاية ونقد سندها</w:t>
      </w:r>
      <w:r w:rsidR="000636C2">
        <w:rPr>
          <w:rFonts w:hint="cs"/>
          <w:sz w:val="24"/>
          <w:szCs w:val="24"/>
          <w:rtl/>
        </w:rPr>
        <w:t>]</w:t>
      </w:r>
      <w:r w:rsidR="000636C2">
        <w:rPr>
          <w:rFonts w:hint="cs"/>
          <w:rtl/>
        </w:rPr>
        <w:t>،</w:t>
      </w:r>
      <w:r w:rsidRPr="005675B2">
        <w:rPr>
          <w:rFonts w:hint="cs"/>
          <w:rtl/>
        </w:rPr>
        <w:t xml:space="preserve"> مما يدل على أنها مختلقة مكذوبة</w:t>
      </w:r>
      <w:r w:rsidR="000636C2">
        <w:rPr>
          <w:rFonts w:hint="cs"/>
          <w:rtl/>
        </w:rPr>
        <w:t xml:space="preserve">، </w:t>
      </w:r>
      <w:r w:rsidRPr="005675B2">
        <w:rPr>
          <w:rFonts w:hint="cs"/>
          <w:rtl/>
        </w:rPr>
        <w:t>3 - ورويت الحيرة</w:t>
      </w:r>
      <w:r w:rsidR="000636C2">
        <w:rPr>
          <w:rFonts w:hint="cs"/>
          <w:rtl/>
        </w:rPr>
        <w:t xml:space="preserve"> </w:t>
      </w:r>
      <w:r w:rsidRPr="005675B2">
        <w:rPr>
          <w:rFonts w:hint="cs"/>
          <w:rtl/>
        </w:rPr>
        <w:t>- لا في أصل الدين بل في إحدى مسائل الصفات</w:t>
      </w:r>
      <w:r w:rsidR="000636C2">
        <w:rPr>
          <w:rFonts w:hint="cs"/>
          <w:rtl/>
        </w:rPr>
        <w:t xml:space="preserve"> </w:t>
      </w:r>
      <w:r w:rsidRPr="005675B2">
        <w:rPr>
          <w:rFonts w:hint="cs"/>
          <w:rtl/>
        </w:rPr>
        <w:t>- عن إمام الحرمين رحمه الله</w:t>
      </w:r>
      <w:r w:rsidR="000636C2">
        <w:rPr>
          <w:rFonts w:hint="cs"/>
          <w:rtl/>
        </w:rPr>
        <w:t>،</w:t>
      </w:r>
      <w:r w:rsidRPr="005675B2">
        <w:rPr>
          <w:rFonts w:hint="cs"/>
          <w:rtl/>
        </w:rPr>
        <w:t xml:space="preserve"> وهو أبو المعالي عبد الملك بن عبد الله بن يوسـف الجويني</w:t>
      </w:r>
      <w:r w:rsidR="000636C2">
        <w:rPr>
          <w:rFonts w:hint="cs"/>
          <w:rtl/>
        </w:rPr>
        <w:t>،</w:t>
      </w:r>
      <w:r w:rsidRPr="005675B2">
        <w:rPr>
          <w:rFonts w:hint="cs"/>
          <w:rtl/>
        </w:rPr>
        <w:t xml:space="preserve"> المتوفى سـنة </w:t>
      </w:r>
      <w:r w:rsidR="000636C2">
        <w:rPr>
          <w:rFonts w:hint="cs"/>
          <w:rtl/>
        </w:rPr>
        <w:t>(</w:t>
      </w:r>
      <w:r w:rsidRPr="005675B2">
        <w:rPr>
          <w:rFonts w:hint="cs"/>
          <w:rtl/>
        </w:rPr>
        <w:t>478ه -</w:t>
      </w:r>
      <w:r w:rsidR="000636C2">
        <w:rPr>
          <w:rFonts w:hint="cs"/>
          <w:rtl/>
        </w:rPr>
        <w:t xml:space="preserve">)، </w:t>
      </w:r>
      <w:r w:rsidRPr="005675B2">
        <w:rPr>
          <w:rFonts w:hint="cs"/>
          <w:rtl/>
        </w:rPr>
        <w:t xml:space="preserve">وقد رويت الحكاية من طريق الحافظ أبي العلاء العطار الهمذاني الحسن بن أحمد بن الحسن المتوفى سنة </w:t>
      </w:r>
      <w:r w:rsidR="000636C2">
        <w:rPr>
          <w:rFonts w:hint="cs"/>
          <w:rtl/>
        </w:rPr>
        <w:t>(</w:t>
      </w:r>
      <w:r w:rsidRPr="005675B2">
        <w:rPr>
          <w:rFonts w:hint="cs"/>
          <w:rtl/>
        </w:rPr>
        <w:t>569ه -</w:t>
      </w:r>
      <w:r w:rsidR="000636C2">
        <w:rPr>
          <w:rFonts w:hint="cs"/>
          <w:rtl/>
        </w:rPr>
        <w:t>)،</w:t>
      </w:r>
      <w:r w:rsidRPr="005675B2">
        <w:rPr>
          <w:rFonts w:hint="cs"/>
          <w:rtl/>
        </w:rPr>
        <w:t xml:space="preserve"> عن الشيخ الصوفي أبي جعفر الهمذاني محمد بن الحسن بن محمد المتوفى سنة</w:t>
      </w:r>
      <w:r w:rsidR="000636C2">
        <w:rPr>
          <w:rFonts w:hint="cs"/>
          <w:rtl/>
        </w:rPr>
        <w:t xml:space="preserve"> (</w:t>
      </w:r>
      <w:r w:rsidRPr="005675B2">
        <w:rPr>
          <w:rFonts w:hint="cs"/>
          <w:rtl/>
        </w:rPr>
        <w:t>531ه -</w:t>
      </w:r>
      <w:r w:rsidR="000636C2">
        <w:rPr>
          <w:rFonts w:hint="cs"/>
          <w:rtl/>
        </w:rPr>
        <w:t>)،</w:t>
      </w:r>
      <w:r w:rsidRPr="005675B2">
        <w:rPr>
          <w:rFonts w:hint="cs"/>
          <w:rtl/>
        </w:rPr>
        <w:t xml:space="preserve"> أنه قال</w:t>
      </w:r>
      <w:r w:rsidR="000636C2">
        <w:rPr>
          <w:rFonts w:hint="cs"/>
          <w:rtl/>
        </w:rPr>
        <w:t>:</w:t>
      </w:r>
      <w:r w:rsidRPr="005675B2">
        <w:rPr>
          <w:rFonts w:hint="cs"/>
          <w:rtl/>
        </w:rPr>
        <w:t xml:space="preserve"> سمعت أبا المعالي وسئل عن قوله تعالى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w:t>
      </w:r>
      <w:r w:rsidRPr="005675B2">
        <w:rPr>
          <w:rFonts w:hint="cs"/>
          <w:sz w:val="24"/>
          <w:szCs w:val="24"/>
          <w:rtl/>
        </w:rPr>
        <w:t>آية 5 سورة طه</w:t>
      </w:r>
      <w:r w:rsidR="000636C2">
        <w:rPr>
          <w:rFonts w:hint="cs"/>
          <w:sz w:val="24"/>
          <w:szCs w:val="24"/>
          <w:rtl/>
        </w:rPr>
        <w:t>]</w:t>
      </w:r>
      <w:r w:rsidRPr="005675B2">
        <w:rPr>
          <w:rFonts w:hint="cs"/>
          <w:rtl/>
        </w:rPr>
        <w:t>، فقال</w:t>
      </w:r>
      <w:r w:rsidR="000636C2">
        <w:rPr>
          <w:rFonts w:hint="cs"/>
          <w:rtl/>
        </w:rPr>
        <w:t>:</w:t>
      </w:r>
      <w:r w:rsidRPr="005675B2">
        <w:rPr>
          <w:rFonts w:hint="cs"/>
          <w:rtl/>
        </w:rPr>
        <w:t xml:space="preserve"> كان الله ولا عرش</w:t>
      </w:r>
      <w:r w:rsidR="000636C2">
        <w:rPr>
          <w:rFonts w:hint="cs"/>
          <w:rtl/>
        </w:rPr>
        <w:t>،</w:t>
      </w:r>
      <w:r w:rsidRPr="005675B2">
        <w:rPr>
          <w:rFonts w:hint="cs"/>
          <w:rtl/>
        </w:rPr>
        <w:t xml:space="preserve"> وجعل يتخبط</w:t>
      </w:r>
      <w:r w:rsidR="000636C2">
        <w:rPr>
          <w:rFonts w:hint="cs"/>
          <w:rtl/>
        </w:rPr>
        <w:t>،</w:t>
      </w:r>
      <w:r w:rsidRPr="005675B2">
        <w:rPr>
          <w:rFonts w:hint="cs"/>
          <w:rtl/>
        </w:rPr>
        <w:t xml:space="preserve"> فقلت</w:t>
      </w:r>
      <w:r w:rsidR="000636C2">
        <w:rPr>
          <w:rFonts w:hint="cs"/>
          <w:rtl/>
        </w:rPr>
        <w:t>:</w:t>
      </w:r>
      <w:r w:rsidRPr="005675B2">
        <w:rPr>
          <w:rFonts w:hint="cs"/>
          <w:rtl/>
        </w:rPr>
        <w:t xml:space="preserve"> هل عندك للضرورات من حيلة</w:t>
      </w:r>
      <w:r w:rsidR="000636C2">
        <w:rPr>
          <w:rFonts w:hint="cs"/>
          <w:rtl/>
        </w:rPr>
        <w:t>؟،</w:t>
      </w:r>
      <w:r w:rsidRPr="005675B2">
        <w:rPr>
          <w:rFonts w:hint="cs"/>
          <w:rtl/>
        </w:rPr>
        <w:t xml:space="preserve"> فقال</w:t>
      </w:r>
      <w:r w:rsidR="000636C2">
        <w:rPr>
          <w:rFonts w:hint="cs"/>
          <w:rtl/>
        </w:rPr>
        <w:t>:</w:t>
      </w:r>
      <w:r w:rsidRPr="005675B2">
        <w:rPr>
          <w:rFonts w:hint="cs"/>
          <w:rtl/>
        </w:rPr>
        <w:t xml:space="preserve"> ما معنى هذه الإشارة</w:t>
      </w:r>
      <w:r w:rsidR="000636C2">
        <w:rPr>
          <w:rFonts w:hint="cs"/>
          <w:rtl/>
        </w:rPr>
        <w:t>؟،</w:t>
      </w:r>
      <w:r w:rsidRPr="005675B2">
        <w:rPr>
          <w:rFonts w:hint="cs"/>
          <w:rtl/>
        </w:rPr>
        <w:t xml:space="preserve"> قلت</w:t>
      </w:r>
      <w:r w:rsidR="000636C2">
        <w:rPr>
          <w:rFonts w:hint="cs"/>
          <w:rtl/>
        </w:rPr>
        <w:t>:</w:t>
      </w:r>
      <w:r w:rsidRPr="005675B2">
        <w:rPr>
          <w:rFonts w:hint="cs"/>
          <w:rtl/>
        </w:rPr>
        <w:t xml:space="preserve"> ما قال عارف قط يا رباه إلا قبل أن يتحرك لسانه قام من باطنه قصد لا يلتفت يمنة ولا يسرة</w:t>
      </w:r>
      <w:r w:rsidR="000636C2">
        <w:rPr>
          <w:rFonts w:hint="cs"/>
          <w:rtl/>
        </w:rPr>
        <w:t xml:space="preserve"> </w:t>
      </w:r>
      <w:r w:rsidRPr="005675B2">
        <w:rPr>
          <w:rFonts w:hint="cs"/>
          <w:rtl/>
        </w:rPr>
        <w:t>- يقصد الفوق</w:t>
      </w:r>
      <w:r w:rsidR="000636C2">
        <w:rPr>
          <w:rFonts w:hint="cs"/>
          <w:rtl/>
        </w:rPr>
        <w:t xml:space="preserve"> </w:t>
      </w:r>
      <w:r w:rsidRPr="005675B2">
        <w:rPr>
          <w:rFonts w:hint="cs"/>
          <w:rtl/>
        </w:rPr>
        <w:t>- ,</w:t>
      </w:r>
      <w:r w:rsidR="000636C2">
        <w:rPr>
          <w:rFonts w:hint="cs"/>
          <w:rtl/>
        </w:rPr>
        <w:t xml:space="preserve"> </w:t>
      </w:r>
      <w:r w:rsidRPr="005675B2">
        <w:rPr>
          <w:rFonts w:hint="cs"/>
          <w:rtl/>
        </w:rPr>
        <w:t>فهل لهذا القصد الضروري عندك من حيلة فتنبئنا نتخلص من الفوق والتحت</w:t>
      </w:r>
      <w:r w:rsidR="000636C2">
        <w:rPr>
          <w:rFonts w:hint="cs"/>
          <w:rtl/>
        </w:rPr>
        <w:t>؟،</w:t>
      </w:r>
      <w:r w:rsidRPr="005675B2">
        <w:rPr>
          <w:rFonts w:hint="cs"/>
          <w:rtl/>
        </w:rPr>
        <w:t xml:space="preserve"> وبكيت</w:t>
      </w:r>
      <w:r w:rsidR="000636C2">
        <w:rPr>
          <w:rFonts w:hint="cs"/>
          <w:rtl/>
        </w:rPr>
        <w:t>،</w:t>
      </w:r>
      <w:r w:rsidRPr="005675B2">
        <w:rPr>
          <w:rFonts w:hint="cs"/>
          <w:rtl/>
        </w:rPr>
        <w:t xml:space="preserve"> وبكى الخلق</w:t>
      </w:r>
      <w:r w:rsidR="000636C2">
        <w:rPr>
          <w:rFonts w:hint="cs"/>
          <w:rtl/>
        </w:rPr>
        <w:t>،</w:t>
      </w:r>
      <w:r w:rsidRPr="005675B2">
        <w:rPr>
          <w:rFonts w:hint="cs"/>
          <w:rtl/>
        </w:rPr>
        <w:t xml:space="preserve"> فضرب بكمه على السرير</w:t>
      </w:r>
      <w:r w:rsidR="000636C2">
        <w:rPr>
          <w:rFonts w:hint="cs"/>
          <w:rtl/>
        </w:rPr>
        <w:t>،</w:t>
      </w:r>
      <w:r w:rsidRPr="005675B2">
        <w:rPr>
          <w:rFonts w:hint="cs"/>
          <w:rtl/>
        </w:rPr>
        <w:t xml:space="preserve"> وصاح بالحيرة</w:t>
      </w:r>
      <w:r w:rsidR="000636C2">
        <w:rPr>
          <w:rFonts w:hint="cs"/>
          <w:rtl/>
        </w:rPr>
        <w:t>،</w:t>
      </w:r>
      <w:r w:rsidRPr="005675B2">
        <w:rPr>
          <w:rFonts w:hint="cs"/>
          <w:rtl/>
        </w:rPr>
        <w:t xml:space="preserve"> ومزق ما كان عليه</w:t>
      </w:r>
      <w:r w:rsidR="000636C2">
        <w:rPr>
          <w:rFonts w:hint="cs"/>
          <w:rtl/>
        </w:rPr>
        <w:t>،</w:t>
      </w:r>
      <w:r w:rsidRPr="005675B2">
        <w:rPr>
          <w:rFonts w:hint="cs"/>
          <w:rtl/>
        </w:rPr>
        <w:t xml:space="preserve"> وصارت قيامة في المسجد</w:t>
      </w:r>
      <w:r w:rsidR="000636C2">
        <w:rPr>
          <w:rFonts w:hint="cs"/>
          <w:rtl/>
        </w:rPr>
        <w:t>،</w:t>
      </w:r>
      <w:r w:rsidRPr="005675B2">
        <w:rPr>
          <w:rFonts w:hint="cs"/>
          <w:rtl/>
        </w:rPr>
        <w:t xml:space="preserve"> ونزل يقول</w:t>
      </w:r>
      <w:r w:rsidR="000636C2">
        <w:rPr>
          <w:rFonts w:hint="cs"/>
          <w:rtl/>
        </w:rPr>
        <w:t>:</w:t>
      </w:r>
      <w:r w:rsidRPr="005675B2">
        <w:rPr>
          <w:rFonts w:hint="cs"/>
          <w:rtl/>
        </w:rPr>
        <w:t xml:space="preserve"> يا حبيبي</w:t>
      </w:r>
      <w:r w:rsidR="000636C2">
        <w:rPr>
          <w:rFonts w:hint="cs"/>
          <w:rtl/>
        </w:rPr>
        <w:t>،</w:t>
      </w:r>
      <w:r w:rsidRPr="005675B2">
        <w:rPr>
          <w:rFonts w:hint="cs"/>
          <w:rtl/>
        </w:rPr>
        <w:t xml:space="preserve"> الحيرة الحيرة</w:t>
      </w:r>
      <w:r w:rsidR="000636C2">
        <w:rPr>
          <w:rFonts w:hint="cs"/>
          <w:rtl/>
        </w:rPr>
        <w:t>،</w:t>
      </w:r>
      <w:r w:rsidRPr="005675B2">
        <w:rPr>
          <w:rFonts w:hint="cs"/>
          <w:rtl/>
        </w:rPr>
        <w:t xml:space="preserve"> والدهشة الدهشة </w:t>
      </w:r>
      <w:r w:rsidR="000636C2">
        <w:rPr>
          <w:rFonts w:hint="cs"/>
          <w:rtl/>
        </w:rPr>
        <w:t>[</w:t>
      </w:r>
      <w:r w:rsidRPr="005675B2">
        <w:rPr>
          <w:rFonts w:hint="cs"/>
          <w:sz w:val="24"/>
          <w:szCs w:val="24"/>
          <w:rtl/>
        </w:rPr>
        <w:t>سير أعلام النبلاء للذهبي: 18 / 477</w:t>
      </w:r>
      <w:r w:rsidR="000636C2">
        <w:rPr>
          <w:rFonts w:hint="cs"/>
          <w:sz w:val="24"/>
          <w:szCs w:val="24"/>
          <w:rtl/>
        </w:rPr>
        <w:t>،</w:t>
      </w:r>
      <w:r w:rsidRPr="005675B2">
        <w:rPr>
          <w:rFonts w:hint="cs"/>
          <w:sz w:val="24"/>
          <w:szCs w:val="24"/>
          <w:rtl/>
        </w:rPr>
        <w:t xml:space="preserve"> وانظر: 18 / 474 – 475</w:t>
      </w:r>
      <w:r w:rsidR="000636C2">
        <w:rPr>
          <w:rFonts w:hint="cs"/>
          <w:sz w:val="24"/>
          <w:szCs w:val="24"/>
          <w:rtl/>
        </w:rPr>
        <w:t>]</w:t>
      </w:r>
      <w:r w:rsidR="000636C2">
        <w:rPr>
          <w:rFonts w:hint="cs"/>
          <w:rtl/>
        </w:rPr>
        <w:t>،</w:t>
      </w:r>
      <w:r w:rsidRPr="005675B2">
        <w:rPr>
          <w:rFonts w:hint="cs"/>
          <w:rtl/>
        </w:rPr>
        <w:t xml:space="preserve"> وفي الطريق الآخر أنه قال فيما بعد</w:t>
      </w:r>
      <w:r w:rsidR="000636C2">
        <w:rPr>
          <w:rFonts w:hint="cs"/>
          <w:rtl/>
        </w:rPr>
        <w:t>:</w:t>
      </w:r>
      <w:r w:rsidRPr="005675B2">
        <w:rPr>
          <w:rFonts w:hint="cs"/>
          <w:rtl/>
        </w:rPr>
        <w:t xml:space="preserve"> حيرني الهمذاني</w:t>
      </w:r>
      <w:r w:rsidR="000636C2">
        <w:rPr>
          <w:rFonts w:hint="cs"/>
          <w:rtl/>
        </w:rPr>
        <w:t xml:space="preserve">، </w:t>
      </w:r>
      <w:r w:rsidRPr="005675B2">
        <w:rPr>
          <w:rFonts w:hint="cs"/>
          <w:rtl/>
        </w:rPr>
        <w:t>هذا وقد نقد تاج الدين السبكي هذه الحكاية من حيث المتن وقال</w:t>
      </w:r>
      <w:r w:rsidR="000636C2">
        <w:rPr>
          <w:rFonts w:hint="cs"/>
          <w:rtl/>
        </w:rPr>
        <w:t>:</w:t>
      </w:r>
      <w:r w:rsidRPr="005675B2">
        <w:rPr>
          <w:rFonts w:hint="cs"/>
          <w:rtl/>
        </w:rPr>
        <w:t xml:space="preserve"> أو كان الإمام عاجزاً أن يقول له</w:t>
      </w:r>
      <w:r w:rsidR="000636C2">
        <w:rPr>
          <w:rFonts w:hint="cs"/>
          <w:rtl/>
        </w:rPr>
        <w:t>:</w:t>
      </w:r>
      <w:r w:rsidRPr="005675B2">
        <w:rPr>
          <w:rFonts w:hint="cs"/>
          <w:rtl/>
        </w:rPr>
        <w:t xml:space="preserve"> إن العارف لا يحدث نفسه بفوقية الجسمية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بل نقول</w:t>
      </w:r>
      <w:r w:rsidR="000636C2">
        <w:rPr>
          <w:rFonts w:hint="cs"/>
          <w:rtl/>
        </w:rPr>
        <w:t>:</w:t>
      </w:r>
      <w:r w:rsidRPr="005675B2">
        <w:rPr>
          <w:rFonts w:hint="cs"/>
          <w:rtl/>
        </w:rPr>
        <w:t xml:space="preserve"> لا يقول عارف يا رباه إلا وقد غابت عنه الجهات [</w:t>
      </w:r>
      <w:r w:rsidRPr="005675B2">
        <w:rPr>
          <w:rFonts w:hint="cs"/>
          <w:sz w:val="24"/>
          <w:szCs w:val="24"/>
          <w:rtl/>
        </w:rPr>
        <w:t>طبقات الشافعية الكبرى للسبكي: 5 / 190</w:t>
      </w:r>
      <w:r w:rsidR="000636C2">
        <w:rPr>
          <w:rFonts w:hint="cs"/>
          <w:sz w:val="24"/>
          <w:szCs w:val="24"/>
          <w:rtl/>
        </w:rPr>
        <w:t>]</w:t>
      </w:r>
      <w:r w:rsidRPr="005675B2">
        <w:rPr>
          <w:rFonts w:hint="cs"/>
          <w:rtl/>
        </w:rPr>
        <w:t>،</w:t>
      </w:r>
      <w:r w:rsidR="000636C2">
        <w:rPr>
          <w:rFonts w:hint="cs"/>
          <w:rtl/>
        </w:rPr>
        <w:t xml:space="preserve"> </w:t>
      </w:r>
      <w:r w:rsidRPr="005675B2">
        <w:rPr>
          <w:rFonts w:hint="cs"/>
          <w:rtl/>
        </w:rPr>
        <w:t>أي إن الأشاعرة يقولون بعلوِّ الله تعالى وفوقيته</w:t>
      </w:r>
      <w:r w:rsidR="000636C2">
        <w:rPr>
          <w:rFonts w:hint="cs"/>
          <w:rtl/>
        </w:rPr>
        <w:t>،</w:t>
      </w:r>
      <w:r w:rsidRPr="005675B2">
        <w:rPr>
          <w:rFonts w:hint="cs"/>
          <w:rtl/>
        </w:rPr>
        <w:t xml:space="preserve"> لكنها ليست فوقية الأجسام التي يقول بها من يعتقد أن من على رأس الجبل أقرب إلى الله تعالى ممن في قعر الوادي</w:t>
      </w:r>
      <w:r w:rsidR="000636C2">
        <w:rPr>
          <w:rFonts w:hint="cs"/>
          <w:rtl/>
        </w:rPr>
        <w:t>،</w:t>
      </w:r>
      <w:r w:rsidRPr="005675B2">
        <w:rPr>
          <w:rFonts w:hint="cs"/>
          <w:rtl/>
        </w:rPr>
        <w:t xml:space="preserve"> وإذا كان ذلك كذلك ؛ أفكان إمام الحرمين عاجزاً عن أن يجيب هذا السائل بأن هذا القصد القلبي الضروري يتجه إلى الله تبارك وتعالى في علوه وفوقيته المطلقة التي هي ليست فوقية الأجسام والجهات المكانية</w:t>
      </w:r>
      <w:r w:rsidR="000636C2">
        <w:rPr>
          <w:rFonts w:hint="cs"/>
          <w:rtl/>
        </w:rPr>
        <w:t>؟!</w:t>
      </w:r>
      <w:r w:rsidRPr="005675B2">
        <w:rPr>
          <w:rFonts w:hint="cs"/>
          <w:rtl/>
        </w:rPr>
        <w:t xml:space="preserve"> فلا تعارض بين ما أثبته الدليل العقلي والنقلي من أن الله تعالى كان ولا عرش وبين العلوِّ والفوقية المطلقة</w:t>
      </w:r>
      <w:r w:rsidR="000636C2">
        <w:rPr>
          <w:rFonts w:hint="cs"/>
          <w:rtl/>
        </w:rPr>
        <w:t>،</w:t>
      </w:r>
      <w:r w:rsidRPr="005675B2">
        <w:rPr>
          <w:rFonts w:hint="cs"/>
          <w:rtl/>
        </w:rPr>
        <w:t xml:space="preserve"> ولعل جانباً أو جوانب من الخلل قد تطرقت إلى هذه الحكاية</w:t>
      </w:r>
      <w:r w:rsidR="000636C2">
        <w:rPr>
          <w:rFonts w:hint="cs"/>
          <w:rtl/>
        </w:rPr>
        <w:t>،</w:t>
      </w:r>
      <w:r w:rsidRPr="005675B2">
        <w:rPr>
          <w:rFonts w:hint="cs"/>
          <w:rtl/>
        </w:rPr>
        <w:t xml:space="preserve"> والله أعلم بحقيقتها</w:t>
      </w:r>
      <w:r w:rsidR="000636C2">
        <w:rPr>
          <w:rFonts w:hint="cs"/>
          <w:rtl/>
        </w:rPr>
        <w:t xml:space="preserve">، </w:t>
      </w:r>
      <w:r w:rsidRPr="005675B2">
        <w:rPr>
          <w:rFonts w:hint="cs"/>
          <w:rtl/>
        </w:rPr>
        <w:t>4 - ورويت الحيرة في مسألة من أهم مسائل الاعتقاد عن الإمام فخر الدين الرازي رحمه الله</w:t>
      </w:r>
      <w:r w:rsidR="000636C2">
        <w:rPr>
          <w:rFonts w:hint="cs"/>
          <w:rtl/>
        </w:rPr>
        <w:t>،</w:t>
      </w:r>
      <w:r w:rsidRPr="005675B2">
        <w:rPr>
          <w:rFonts w:hint="cs"/>
          <w:rtl/>
        </w:rPr>
        <w:t xml:space="preserve"> وهي مسألة حدوث الأجسام</w:t>
      </w:r>
      <w:r w:rsidR="000636C2">
        <w:rPr>
          <w:rFonts w:hint="cs"/>
          <w:rtl/>
        </w:rPr>
        <w:t>،</w:t>
      </w:r>
      <w:r w:rsidRPr="005675B2">
        <w:rPr>
          <w:rFonts w:hint="cs"/>
          <w:rtl/>
        </w:rPr>
        <w:t xml:space="preserve"> فأهل الإيمان لا يشكون في أن الأجسام حادثة</w:t>
      </w:r>
      <w:r w:rsidR="000636C2">
        <w:rPr>
          <w:rFonts w:hint="cs"/>
          <w:rtl/>
        </w:rPr>
        <w:t>،</w:t>
      </w:r>
      <w:r w:rsidRPr="005675B2">
        <w:rPr>
          <w:rFonts w:hint="cs"/>
          <w:rtl/>
        </w:rPr>
        <w:t xml:space="preserve"> وأن الله تبارك وتعالى هو الذي أحدثها وأوجدها بعد العدم</w:t>
      </w:r>
      <w:r w:rsidR="000636C2">
        <w:rPr>
          <w:rFonts w:hint="cs"/>
          <w:rtl/>
        </w:rPr>
        <w:t>،</w:t>
      </w:r>
      <w:r w:rsidRPr="005675B2">
        <w:rPr>
          <w:rFonts w:hint="cs"/>
          <w:rtl/>
        </w:rPr>
        <w:t xml:space="preserve"> وأن القول بقدمها كفر مخرج من الملة</w:t>
      </w:r>
      <w:r w:rsidR="000636C2">
        <w:rPr>
          <w:rFonts w:hint="cs"/>
          <w:rtl/>
        </w:rPr>
        <w:t>،</w:t>
      </w:r>
      <w:r w:rsidRPr="005675B2">
        <w:rPr>
          <w:rFonts w:hint="cs"/>
          <w:rtl/>
        </w:rPr>
        <w:t xml:space="preserve"> وأن الذي يشك ويرتاب في هذا لأن الأدلة عنده متعادلة من الجانبين</w:t>
      </w:r>
      <w:r w:rsidR="000636C2">
        <w:rPr>
          <w:rFonts w:hint="cs"/>
          <w:rtl/>
        </w:rPr>
        <w:t>:</w:t>
      </w:r>
      <w:r w:rsidRPr="005675B2">
        <w:rPr>
          <w:rFonts w:hint="cs"/>
          <w:rtl/>
        </w:rPr>
        <w:t xml:space="preserve"> هو كافر خارج من الملة</w:t>
      </w:r>
      <w:r w:rsidR="000636C2">
        <w:rPr>
          <w:rFonts w:hint="cs"/>
          <w:rtl/>
        </w:rPr>
        <w:t xml:space="preserve">، </w:t>
      </w:r>
      <w:r w:rsidRPr="005675B2">
        <w:rPr>
          <w:rFonts w:hint="cs"/>
          <w:rtl/>
        </w:rPr>
        <w:t>وقد جاء الاتهام بالتعريض إلى الإمام أبي الحسن الأشعري رحمه الله</w:t>
      </w:r>
      <w:r w:rsidR="000636C2">
        <w:rPr>
          <w:rFonts w:hint="cs"/>
          <w:rtl/>
        </w:rPr>
        <w:t>،</w:t>
      </w:r>
      <w:r w:rsidRPr="005675B2">
        <w:rPr>
          <w:rFonts w:hint="cs"/>
          <w:rtl/>
        </w:rPr>
        <w:t xml:space="preserve"> وبما يشبه التصريح إلى الإمام الرازي رحمه الله</w:t>
      </w:r>
      <w:r w:rsidR="000636C2">
        <w:rPr>
          <w:rFonts w:hint="cs"/>
          <w:rtl/>
        </w:rPr>
        <w:t xml:space="preserve">، </w:t>
      </w:r>
      <w:r w:rsidRPr="005675B2">
        <w:rPr>
          <w:rFonts w:hint="cs"/>
          <w:rtl/>
        </w:rPr>
        <w:t>قال ابن تيمية</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وقد قيل إن الأشعري في آخر عمره أقرَّ بتكافؤ الأدلة</w:t>
      </w:r>
      <w:r w:rsidR="000636C2">
        <w:rPr>
          <w:rFonts w:hint="cs"/>
          <w:rtl/>
        </w:rPr>
        <w:t>،</w:t>
      </w:r>
      <w:r w:rsidRPr="005675B2">
        <w:rPr>
          <w:rFonts w:hint="cs"/>
          <w:rtl/>
        </w:rPr>
        <w:t xml:space="preserve"> واعتبر ذلك بالرازي</w:t>
      </w:r>
      <w:r w:rsidR="000636C2">
        <w:rPr>
          <w:rFonts w:hint="cs"/>
          <w:rtl/>
        </w:rPr>
        <w:t>،</w:t>
      </w:r>
      <w:r w:rsidRPr="005675B2">
        <w:rPr>
          <w:rFonts w:hint="cs"/>
          <w:rtl/>
        </w:rPr>
        <w:t xml:space="preserve"> فإنه في هذه وهي مسألة حدوث الأجسام يذكر أدلة الطائفتين</w:t>
      </w:r>
      <w:r w:rsidR="000636C2">
        <w:rPr>
          <w:rFonts w:hint="cs"/>
          <w:rtl/>
        </w:rPr>
        <w:t>،</w:t>
      </w:r>
      <w:r w:rsidRPr="005675B2">
        <w:rPr>
          <w:rFonts w:hint="cs"/>
          <w:rtl/>
        </w:rPr>
        <w:t xml:space="preserve"> ويصرح في آخر كتبه وآخر عمره وهو كتاب المطالب العالية بتكافؤ الأدلة وأن المسألة من محارات العقول</w:t>
      </w:r>
      <w:r w:rsidR="000636C2">
        <w:rPr>
          <w:rFonts w:hint="cs"/>
          <w:rtl/>
        </w:rPr>
        <w:t>،</w:t>
      </w:r>
      <w:r w:rsidRPr="005675B2">
        <w:rPr>
          <w:rFonts w:hint="cs"/>
          <w:rtl/>
        </w:rPr>
        <w:t xml:space="preserve"> ولهذا كان الغالب على أتباعهم الشك والارتياب في الإسـلام</w:t>
      </w:r>
      <w:r w:rsidR="000636C2">
        <w:rPr>
          <w:rFonts w:hint="cs"/>
          <w:rtl/>
        </w:rPr>
        <w:t>]</w:t>
      </w:r>
      <w:r w:rsidRPr="005675B2">
        <w:rPr>
          <w:rFonts w:hint="cs"/>
          <w:rtl/>
        </w:rPr>
        <w:t xml:space="preserve"> [</w:t>
      </w:r>
      <w:r w:rsidRPr="005675B2">
        <w:rPr>
          <w:rFonts w:hint="cs"/>
          <w:sz w:val="24"/>
          <w:szCs w:val="24"/>
          <w:rtl/>
        </w:rPr>
        <w:t>التسعينية لابن تيمية: ص 201 . وقد تقدم ذكر اتهام الإمام أبي الحسن الأشعري رحمه الله بهذه التهمة والرد عليها</w:t>
      </w:r>
      <w:r w:rsidR="000636C2">
        <w:rPr>
          <w:rFonts w:hint="cs"/>
          <w:sz w:val="24"/>
          <w:szCs w:val="24"/>
          <w:rtl/>
        </w:rPr>
        <w:t>]</w:t>
      </w:r>
      <w:r w:rsidR="000636C2">
        <w:rPr>
          <w:rFonts w:hint="cs"/>
          <w:rtl/>
        </w:rPr>
        <w:t xml:space="preserve">، </w:t>
      </w:r>
      <w:r w:rsidRPr="005675B2">
        <w:rPr>
          <w:rFonts w:hint="cs"/>
          <w:rtl/>
        </w:rPr>
        <w:t>والذي ذكره الإمام فخر الدين الرازي في هذه المسألة في هذا الكتاب هو أنه فصَّل دلائل الفلاسفة فيها</w:t>
      </w:r>
      <w:r w:rsidR="000636C2">
        <w:rPr>
          <w:rFonts w:hint="cs"/>
          <w:rtl/>
        </w:rPr>
        <w:t>،</w:t>
      </w:r>
      <w:r w:rsidRPr="005675B2">
        <w:rPr>
          <w:rFonts w:hint="cs"/>
          <w:rtl/>
        </w:rPr>
        <w:t xml:space="preserve"> واستقصى في تقرير الوجوه المستخرجة من اعتبار حال الفاعلية والمؤثّرية والدلائل المستنبطة من صفة القدرة والإرادة والحركة والسكون وغير ذلك</w:t>
      </w:r>
      <w:r w:rsidR="000636C2">
        <w:rPr>
          <w:rFonts w:hint="cs"/>
          <w:rtl/>
        </w:rPr>
        <w:t>،</w:t>
      </w:r>
      <w:r w:rsidRPr="005675B2">
        <w:rPr>
          <w:rFonts w:hint="cs"/>
          <w:rtl/>
        </w:rPr>
        <w:t xml:space="preserve"> كل ذلك على مذهب أصحاب القدم منهم وعلى مذهب أصحاب الحدوث</w:t>
      </w:r>
      <w:r w:rsidR="000636C2">
        <w:rPr>
          <w:rFonts w:hint="cs"/>
          <w:rtl/>
        </w:rPr>
        <w:t>،</w:t>
      </w:r>
      <w:r w:rsidRPr="005675B2">
        <w:rPr>
          <w:rFonts w:hint="cs"/>
          <w:rtl/>
        </w:rPr>
        <w:t xml:space="preserve"> وختم هذه المباحث بقوله</w:t>
      </w:r>
      <w:r w:rsidR="000636C2">
        <w:rPr>
          <w:rFonts w:hint="cs"/>
          <w:rtl/>
        </w:rPr>
        <w:t>:</w:t>
      </w:r>
      <w:r w:rsidRPr="005675B2">
        <w:rPr>
          <w:rFonts w:hint="cs"/>
          <w:rtl/>
        </w:rPr>
        <w:t xml:space="preserve"> </w:t>
      </w:r>
      <w:r w:rsidR="000636C2">
        <w:rPr>
          <w:rFonts w:hint="cs"/>
          <w:rtl/>
        </w:rPr>
        <w:t>[</w:t>
      </w:r>
      <w:r w:rsidRPr="005675B2">
        <w:rPr>
          <w:rFonts w:hint="cs"/>
          <w:rtl/>
        </w:rPr>
        <w:t>وههنا آخر الكلام في هذا البحث المهيب والمطلوب الهائل</w:t>
      </w:r>
      <w:r w:rsidR="000636C2">
        <w:rPr>
          <w:rFonts w:hint="cs"/>
          <w:rtl/>
        </w:rPr>
        <w:t>]</w:t>
      </w:r>
      <w:r w:rsidRPr="005675B2">
        <w:rPr>
          <w:rFonts w:hint="cs"/>
          <w:rtl/>
        </w:rPr>
        <w:t xml:space="preserve"> [</w:t>
      </w:r>
      <w:r w:rsidRPr="005675B2">
        <w:rPr>
          <w:rFonts w:hint="cs"/>
          <w:sz w:val="24"/>
          <w:szCs w:val="24"/>
          <w:rtl/>
        </w:rPr>
        <w:t>المطالب العالية للرازي: 4 / 322</w:t>
      </w:r>
      <w:r w:rsidR="000636C2">
        <w:rPr>
          <w:rFonts w:hint="cs"/>
          <w:sz w:val="24"/>
          <w:szCs w:val="24"/>
          <w:rtl/>
        </w:rPr>
        <w:t>]</w:t>
      </w:r>
      <w:r w:rsidR="000636C2">
        <w:rPr>
          <w:rFonts w:hint="cs"/>
          <w:rtl/>
        </w:rPr>
        <w:t>،</w:t>
      </w:r>
      <w:r w:rsidRPr="005675B2">
        <w:rPr>
          <w:rFonts w:hint="cs"/>
          <w:rtl/>
        </w:rPr>
        <w:t xml:space="preserve"> ولم يصرح بتكافؤ الأدلة وأن هذه المسألة من محارات العقول</w:t>
      </w:r>
      <w:r w:rsidR="000636C2">
        <w:rPr>
          <w:rFonts w:hint="cs"/>
          <w:rtl/>
        </w:rPr>
        <w:t xml:space="preserve">!، </w:t>
      </w:r>
      <w:r w:rsidRPr="005675B2">
        <w:rPr>
          <w:rFonts w:hint="cs"/>
          <w:rtl/>
        </w:rPr>
        <w:t>وكأنه</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يبين في ذلك الفصل ما عند الفلاسفة من الاستدلال والاستدلال المضاد دون أن يذكر قوله هو، ثم يذكر قوله معرباً ومفصحاً عنه بعد ذلك إذ يقول بعد قليل</w:t>
      </w:r>
      <w:r w:rsidR="000636C2">
        <w:rPr>
          <w:rFonts w:hint="cs"/>
          <w:rtl/>
        </w:rPr>
        <w:t>:</w:t>
      </w:r>
      <w:r w:rsidRPr="005675B2">
        <w:rPr>
          <w:rFonts w:hint="cs"/>
          <w:rtl/>
        </w:rPr>
        <w:t xml:space="preserve"> </w:t>
      </w:r>
      <w:r w:rsidR="000636C2">
        <w:rPr>
          <w:rFonts w:hint="cs"/>
          <w:rtl/>
        </w:rPr>
        <w:t>[</w:t>
      </w:r>
      <w:r w:rsidRPr="005675B2">
        <w:rPr>
          <w:rFonts w:hint="cs"/>
          <w:rtl/>
        </w:rPr>
        <w:t>فإذا تأملنا في السموات وفي الكواكب وفي أحوال العناصر الأربعة وفي أحوال الآثار العلوية والمعادن والنبات والحيوان ولا سيما الإنسان ؛ وجدنا من الحكم القاهرة والدلائل الباهرة ما غرقت العقول فيها وحارت الألباب في وصفها</w:t>
      </w:r>
      <w:r w:rsidR="000636C2">
        <w:rPr>
          <w:rFonts w:hint="cs"/>
          <w:rtl/>
        </w:rPr>
        <w:t>،</w:t>
      </w:r>
      <w:r w:rsidRPr="005675B2">
        <w:rPr>
          <w:rFonts w:hint="cs"/>
          <w:rtl/>
        </w:rPr>
        <w:t xml:space="preserve"> لاجرم كانت هذه الاعتبارات بالدلالة على وجود الفاعل المختار الحكيم الرحيم أولى</w:t>
      </w:r>
      <w:r w:rsidR="000636C2">
        <w:rPr>
          <w:rFonts w:hint="cs"/>
          <w:rtl/>
        </w:rPr>
        <w:t>،</w:t>
      </w:r>
      <w:r w:rsidRPr="005675B2">
        <w:rPr>
          <w:rFonts w:hint="cs"/>
          <w:rtl/>
        </w:rPr>
        <w:t xml:space="preserve"> ومتى ثبت القول بالفاعل المختار فقد ثبت القول بحدوث العالم لا محالة</w:t>
      </w:r>
      <w:r w:rsidR="000636C2">
        <w:rPr>
          <w:rFonts w:hint="cs"/>
          <w:rtl/>
        </w:rPr>
        <w:t>]</w:t>
      </w:r>
      <w:r w:rsidRPr="005675B2">
        <w:rPr>
          <w:rFonts w:hint="cs"/>
          <w:rtl/>
        </w:rPr>
        <w:t xml:space="preserve"> [</w:t>
      </w:r>
      <w:r w:rsidRPr="005675B2">
        <w:rPr>
          <w:rFonts w:hint="cs"/>
          <w:sz w:val="24"/>
          <w:szCs w:val="24"/>
          <w:rtl/>
        </w:rPr>
        <w:t>المرجع السابق: 4 / 327</w:t>
      </w:r>
      <w:r w:rsidR="000636C2">
        <w:rPr>
          <w:rFonts w:hint="cs"/>
          <w:sz w:val="24"/>
          <w:szCs w:val="24"/>
          <w:rtl/>
        </w:rPr>
        <w:t>]</w:t>
      </w:r>
      <w:r w:rsidR="000636C2">
        <w:rPr>
          <w:rFonts w:hint="cs"/>
          <w:rtl/>
        </w:rPr>
        <w:t xml:space="preserve">، </w:t>
      </w:r>
      <w:r w:rsidRPr="005675B2">
        <w:rPr>
          <w:rFonts w:hint="cs"/>
          <w:rtl/>
        </w:rPr>
        <w:t>فهل يصح أن ينسب للإمام فخر الدين الرازي رحمه الله أنه يقول بتكافؤ الأدلة في مسألة حدوث الأجسام وأن هذه المسألة من محارات العقول</w:t>
      </w:r>
      <w:r w:rsidR="000636C2">
        <w:rPr>
          <w:rFonts w:hint="cs"/>
          <w:rtl/>
        </w:rPr>
        <w:t xml:space="preserve">؟، </w:t>
      </w:r>
      <w:r w:rsidRPr="005675B2">
        <w:rPr>
          <w:rFonts w:hint="cs"/>
          <w:rtl/>
        </w:rPr>
        <w:t>5 - أما التوبة والرجوع إلى مذهب السلف فمن المعلوم المشهور أن إمام الأشاعرة أبا الحسن الأشعري رحمه الله كان في أول أمره على مذهب المعتزلة ثم تاب منه ورجع إلى مذهب السلف</w:t>
      </w:r>
      <w:r w:rsidR="000636C2">
        <w:rPr>
          <w:rFonts w:hint="cs"/>
          <w:rtl/>
        </w:rPr>
        <w:t xml:space="preserve">، </w:t>
      </w:r>
      <w:r w:rsidRPr="005675B2">
        <w:rPr>
          <w:rFonts w:hint="cs"/>
          <w:rtl/>
        </w:rPr>
        <w:t>لكن الأشاعرة الذين هم على مذهب أبي الحسن الأشعري لا أعلم أن أحدهم تاب ورجع إلى مذهب السلف من عقيدة كان يعتقدها</w:t>
      </w:r>
      <w:r w:rsidR="000636C2">
        <w:rPr>
          <w:rFonts w:hint="cs"/>
          <w:rtl/>
        </w:rPr>
        <w:t>،</w:t>
      </w:r>
      <w:r w:rsidRPr="005675B2">
        <w:rPr>
          <w:rFonts w:hint="cs"/>
          <w:rtl/>
        </w:rPr>
        <w:t xml:space="preserve"> لأنهم يعتقدون أن عقائدهم هي ما كان يعتقده السلف</w:t>
      </w:r>
      <w:r w:rsidR="000636C2">
        <w:rPr>
          <w:rFonts w:hint="cs"/>
          <w:rtl/>
        </w:rPr>
        <w:t xml:space="preserve">، </w:t>
      </w:r>
      <w:r w:rsidRPr="005675B2">
        <w:rPr>
          <w:rFonts w:hint="cs"/>
          <w:rtl/>
        </w:rPr>
        <w:t xml:space="preserve">6 - أشـار البـاحث إلى أبي محمد الجويني وهو عبد الله بن يوسـف المتوفـى سـنة </w:t>
      </w:r>
      <w:r w:rsidR="000636C2">
        <w:rPr>
          <w:rFonts w:hint="cs"/>
          <w:rtl/>
        </w:rPr>
        <w:t>(</w:t>
      </w:r>
      <w:r w:rsidRPr="005675B2">
        <w:rPr>
          <w:rFonts w:hint="cs"/>
          <w:rtl/>
        </w:rPr>
        <w:t>438ه -</w:t>
      </w:r>
      <w:r w:rsidR="000636C2">
        <w:rPr>
          <w:rFonts w:hint="cs"/>
          <w:rtl/>
        </w:rPr>
        <w:t>)،</w:t>
      </w:r>
      <w:r w:rsidRPr="005675B2">
        <w:rPr>
          <w:rFonts w:hint="cs"/>
          <w:rtl/>
        </w:rPr>
        <w:t xml:space="preserve"> وهو والد إمام الحرمين</w:t>
      </w:r>
      <w:r w:rsidR="000636C2">
        <w:rPr>
          <w:rFonts w:hint="cs"/>
          <w:rtl/>
        </w:rPr>
        <w:t xml:space="preserve">، </w:t>
      </w:r>
      <w:r w:rsidRPr="005675B2">
        <w:rPr>
          <w:rFonts w:hint="cs"/>
          <w:rtl/>
        </w:rPr>
        <w:t>لقد رجع أبو محمد الجويني رحمه الله عن تأويل النصوص الواردة في إثبات الاستواء والفوقية ونحوها إلى ترك التأويل وإلى إمرارها كما جاءت مع تمام التنزيه ونفي سمات الحدوث</w:t>
      </w:r>
      <w:r w:rsidR="000636C2">
        <w:rPr>
          <w:rFonts w:hint="cs"/>
          <w:rtl/>
        </w:rPr>
        <w:t>،</w:t>
      </w:r>
      <w:r w:rsidRPr="005675B2">
        <w:rPr>
          <w:rFonts w:hint="cs"/>
          <w:rtl/>
        </w:rPr>
        <w:t xml:space="preserve"> وكلاهما قولان عند الأشاعرة</w:t>
      </w:r>
      <w:r w:rsidR="000636C2">
        <w:rPr>
          <w:rFonts w:hint="cs"/>
          <w:rtl/>
        </w:rPr>
        <w:t>،</w:t>
      </w:r>
      <w:r w:rsidRPr="005675B2">
        <w:rPr>
          <w:rFonts w:hint="cs"/>
          <w:rtl/>
        </w:rPr>
        <w:t xml:space="preserve"> فلم يخرج بذلك عن كونه أشعرياً</w:t>
      </w:r>
      <w:r w:rsidR="000636C2">
        <w:rPr>
          <w:rFonts w:hint="cs"/>
          <w:rtl/>
        </w:rPr>
        <w:t xml:space="preserve">، </w:t>
      </w:r>
      <w:r w:rsidRPr="005675B2">
        <w:rPr>
          <w:rFonts w:hint="cs"/>
          <w:rtl/>
        </w:rPr>
        <w:t>فهل قال إن الله جسم</w:t>
      </w:r>
      <w:r w:rsidR="000636C2">
        <w:rPr>
          <w:rFonts w:hint="cs"/>
          <w:rtl/>
        </w:rPr>
        <w:t>؟!</w:t>
      </w:r>
      <w:r w:rsidRPr="005675B2">
        <w:rPr>
          <w:rFonts w:hint="cs"/>
          <w:rtl/>
        </w:rPr>
        <w:t xml:space="preserve"> وهل قال إن لله مكاناً</w:t>
      </w:r>
      <w:r w:rsidR="000636C2">
        <w:rPr>
          <w:rFonts w:hint="cs"/>
          <w:rtl/>
        </w:rPr>
        <w:t>؟!</w:t>
      </w:r>
      <w:r w:rsidRPr="005675B2">
        <w:rPr>
          <w:rFonts w:hint="cs"/>
          <w:rtl/>
        </w:rPr>
        <w:t xml:space="preserve"> أو إنه يتحرك وينتقل من مكان إلى مكان</w:t>
      </w:r>
      <w:r w:rsidR="000636C2">
        <w:rPr>
          <w:rFonts w:hint="cs"/>
          <w:rtl/>
        </w:rPr>
        <w:t>؟!</w:t>
      </w:r>
      <w:r w:rsidRPr="005675B2">
        <w:rPr>
          <w:rFonts w:hint="cs"/>
          <w:rtl/>
        </w:rPr>
        <w:t xml:space="preserve"> وهل قال إن فوقية الله تعالى هي فوقية الأجسام</w:t>
      </w:r>
      <w:r w:rsidR="000636C2">
        <w:rPr>
          <w:rFonts w:hint="cs"/>
          <w:rtl/>
        </w:rPr>
        <w:t>؟!</w:t>
      </w:r>
      <w:r w:rsidRPr="005675B2">
        <w:rPr>
          <w:rFonts w:hint="cs"/>
          <w:rtl/>
        </w:rPr>
        <w:t xml:space="preserve"> وهل قال إن الله تعالى إذا أراد أن يخوف عباده أبدى عن بعضه وأن هذا على ظاهره وأنه راجع إلى الذات</w:t>
      </w:r>
      <w:r w:rsidR="000636C2">
        <w:rPr>
          <w:rFonts w:hint="cs"/>
          <w:rtl/>
        </w:rPr>
        <w:t>؟!</w:t>
      </w:r>
      <w:r w:rsidRPr="005675B2">
        <w:rPr>
          <w:rFonts w:hint="cs"/>
          <w:rtl/>
        </w:rPr>
        <w:t xml:space="preserve"> وهل أنكر أن الله تعالى كان ولم يكن شيء غيره</w:t>
      </w:r>
      <w:r w:rsidR="000636C2">
        <w:rPr>
          <w:rFonts w:hint="cs"/>
          <w:rtl/>
        </w:rPr>
        <w:t>؟!</w:t>
      </w:r>
      <w:r w:rsidRPr="005675B2">
        <w:rPr>
          <w:rFonts w:hint="cs"/>
          <w:rtl/>
        </w:rPr>
        <w:t xml:space="preserve"> وهل سكت عن ذلك أو صرح بنقيضه</w:t>
      </w:r>
      <w:r w:rsidR="000636C2">
        <w:rPr>
          <w:rFonts w:hint="cs"/>
          <w:rtl/>
        </w:rPr>
        <w:t xml:space="preserve">؟، </w:t>
      </w:r>
      <w:r w:rsidRPr="005675B2">
        <w:rPr>
          <w:rFonts w:hint="cs"/>
          <w:rtl/>
        </w:rPr>
        <w:t>روي عنه أنه قال رحمه الله</w:t>
      </w:r>
      <w:r w:rsidR="000636C2">
        <w:rPr>
          <w:rFonts w:hint="cs"/>
          <w:rtl/>
        </w:rPr>
        <w:t>:</w:t>
      </w:r>
      <w:r w:rsidRPr="005675B2">
        <w:rPr>
          <w:rFonts w:hint="cs"/>
          <w:rtl/>
        </w:rPr>
        <w:t xml:space="preserve"> </w:t>
      </w:r>
      <w:r w:rsidR="000636C2">
        <w:rPr>
          <w:rFonts w:hint="cs"/>
          <w:rtl/>
        </w:rPr>
        <w:t>[</w:t>
      </w:r>
      <w:r w:rsidRPr="005675B2">
        <w:rPr>
          <w:rFonts w:hint="cs"/>
          <w:rtl/>
        </w:rPr>
        <w:t>الحمد لله الذي كان ولا مكان</w:t>
      </w:r>
      <w:r w:rsidR="000636C2">
        <w:rPr>
          <w:rFonts w:hint="cs"/>
          <w:rtl/>
        </w:rPr>
        <w:t>]</w:t>
      </w:r>
      <w:r w:rsidRPr="005675B2">
        <w:rPr>
          <w:rFonts w:hint="cs"/>
          <w:rtl/>
        </w:rPr>
        <w:t xml:space="preserve"> [</w:t>
      </w:r>
      <w:r w:rsidRPr="005675B2">
        <w:rPr>
          <w:rFonts w:hint="cs"/>
          <w:sz w:val="24"/>
          <w:szCs w:val="24"/>
          <w:rtl/>
        </w:rPr>
        <w:t>مجموعة الرسائل المنيرية: 1 / 174</w:t>
      </w:r>
      <w:r w:rsidR="000636C2">
        <w:rPr>
          <w:rFonts w:hint="cs"/>
          <w:sz w:val="24"/>
          <w:szCs w:val="24"/>
          <w:rtl/>
        </w:rPr>
        <w:t>]</w:t>
      </w:r>
      <w:r w:rsidRPr="005675B2">
        <w:rPr>
          <w:rFonts w:hint="cs"/>
          <w:rtl/>
        </w:rPr>
        <w:t xml:space="preserve">، </w:t>
      </w:r>
      <w:r w:rsidR="000636C2">
        <w:rPr>
          <w:rFonts w:hint="cs"/>
          <w:rtl/>
        </w:rPr>
        <w:t>[</w:t>
      </w:r>
      <w:r w:rsidRPr="005675B2">
        <w:rPr>
          <w:rFonts w:hint="cs"/>
          <w:rtl/>
        </w:rPr>
        <w:t>له العلو والاستواء</w:t>
      </w:r>
      <w:r w:rsidR="000636C2">
        <w:rPr>
          <w:rFonts w:hint="cs"/>
          <w:rtl/>
        </w:rPr>
        <w:t>،</w:t>
      </w:r>
      <w:r w:rsidRPr="005675B2">
        <w:rPr>
          <w:rFonts w:hint="cs"/>
          <w:rtl/>
        </w:rPr>
        <w:t xml:space="preserve"> لا تحصره الأجسام</w:t>
      </w:r>
      <w:r w:rsidR="000636C2">
        <w:rPr>
          <w:rFonts w:hint="cs"/>
          <w:rtl/>
        </w:rPr>
        <w:t>،</w:t>
      </w:r>
      <w:r w:rsidRPr="005675B2">
        <w:rPr>
          <w:rFonts w:hint="cs"/>
          <w:rtl/>
        </w:rPr>
        <w:t xml:space="preserve"> ولا تصوره الأوهام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1 / 175</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فإذا أشرنا إليه تقع الإشارة عليه كما يليق به</w:t>
      </w:r>
      <w:r w:rsidR="000636C2">
        <w:rPr>
          <w:rFonts w:hint="cs"/>
          <w:rtl/>
        </w:rPr>
        <w:t>،</w:t>
      </w:r>
      <w:r w:rsidRPr="005675B2">
        <w:rPr>
          <w:rFonts w:hint="cs"/>
          <w:rtl/>
        </w:rPr>
        <w:t xml:space="preserve"> لا كما نتوهمه في الفوقية المنسوبة إلى الأجسام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1 / 180</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واستواؤه على عرشه معلوم غير مكيف بحركة أو انتقال يليق بالمخلوق</w:t>
      </w:r>
      <w:r w:rsidR="000636C2">
        <w:rPr>
          <w:rFonts w:hint="cs"/>
          <w:rtl/>
        </w:rPr>
        <w:t>،</w:t>
      </w:r>
      <w:r w:rsidRPr="005675B2">
        <w:rPr>
          <w:rFonts w:hint="cs"/>
          <w:rtl/>
        </w:rPr>
        <w:t xml:space="preserve"> بل كما يليق بعظمته</w:t>
      </w:r>
      <w:r w:rsidR="000636C2">
        <w:rPr>
          <w:rFonts w:hint="cs"/>
          <w:rtl/>
        </w:rPr>
        <w:t>]</w:t>
      </w:r>
      <w:r w:rsidRPr="005675B2">
        <w:rPr>
          <w:rFonts w:hint="cs"/>
          <w:rtl/>
        </w:rPr>
        <w:t xml:space="preserve"> [</w:t>
      </w:r>
      <w:r w:rsidRPr="005675B2">
        <w:rPr>
          <w:rFonts w:hint="cs"/>
          <w:sz w:val="24"/>
          <w:szCs w:val="24"/>
          <w:rtl/>
        </w:rPr>
        <w:t>المرجع السابق: 1 / 182</w:t>
      </w:r>
      <w:r w:rsidR="000636C2">
        <w:rPr>
          <w:rFonts w:hint="cs"/>
          <w:sz w:val="24"/>
          <w:szCs w:val="24"/>
          <w:rtl/>
        </w:rPr>
        <w:t>]</w:t>
      </w:r>
      <w:r w:rsidRPr="005675B2">
        <w:rPr>
          <w:rFonts w:hint="cs"/>
          <w:rtl/>
        </w:rPr>
        <w:t xml:space="preserve">، </w:t>
      </w:r>
      <w:r w:rsidR="000636C2">
        <w:rPr>
          <w:rFonts w:hint="cs"/>
          <w:rtl/>
        </w:rPr>
        <w:t>[</w:t>
      </w:r>
      <w:r w:rsidRPr="005675B2">
        <w:rPr>
          <w:rFonts w:hint="cs"/>
          <w:rtl/>
        </w:rPr>
        <w:t>هو سبحانه علي بالذات</w:t>
      </w:r>
      <w:r w:rsidR="000636C2">
        <w:rPr>
          <w:rFonts w:hint="cs"/>
          <w:rtl/>
        </w:rPr>
        <w:t>،</w:t>
      </w:r>
      <w:r w:rsidRPr="005675B2">
        <w:rPr>
          <w:rFonts w:hint="cs"/>
          <w:rtl/>
        </w:rPr>
        <w:t xml:space="preserve"> وهو كما كان قبل خلق الأكوان</w:t>
      </w:r>
      <w:r w:rsidR="000636C2">
        <w:rPr>
          <w:rFonts w:hint="cs"/>
          <w:rtl/>
        </w:rPr>
        <w:t>]</w:t>
      </w:r>
      <w:r w:rsidRPr="005675B2">
        <w:rPr>
          <w:rFonts w:hint="cs"/>
          <w:rtl/>
        </w:rPr>
        <w:t xml:space="preserve"> [</w:t>
      </w:r>
      <w:r w:rsidRPr="005675B2">
        <w:rPr>
          <w:rFonts w:hint="cs"/>
          <w:sz w:val="24"/>
          <w:szCs w:val="24"/>
          <w:rtl/>
        </w:rPr>
        <w:t>المرجع السابق: 1 / 187</w:t>
      </w:r>
      <w:r w:rsidR="000636C2">
        <w:rPr>
          <w:rFonts w:hint="cs"/>
          <w:sz w:val="24"/>
          <w:szCs w:val="24"/>
          <w:rtl/>
        </w:rPr>
        <w:t>]</w:t>
      </w:r>
      <w:r w:rsidR="000636C2">
        <w:rPr>
          <w:rFonts w:hint="cs"/>
          <w:rtl/>
        </w:rPr>
        <w:t xml:space="preserve">، </w:t>
      </w:r>
      <w:r w:rsidRPr="005675B2">
        <w:rPr>
          <w:rFonts w:hint="cs"/>
          <w:rtl/>
        </w:rPr>
        <w:t>فإذا وقع الاتفاق على ترك التأويل وإمرار النصوص كما جاءت لكن مع نفي سمات الحدوث ومشابهة الحوادث والمخلوقات فقد ارتفع الخلاف</w:t>
      </w:r>
      <w:r w:rsidR="000636C2">
        <w:rPr>
          <w:rFonts w:hint="cs"/>
          <w:rtl/>
        </w:rPr>
        <w:t>،</w:t>
      </w:r>
      <w:r w:rsidRPr="005675B2">
        <w:rPr>
          <w:rFonts w:hint="cs"/>
          <w:rtl/>
        </w:rPr>
        <w:t xml:space="preserve"> ولا يبقى اختلاف بعده سوى اختلاف اللفظ والتعبير</w:t>
      </w:r>
      <w:r w:rsidR="000636C2">
        <w:rPr>
          <w:rFonts w:hint="cs"/>
          <w:rtl/>
        </w:rPr>
        <w:t xml:space="preserve">، </w:t>
      </w:r>
      <w:r w:rsidRPr="005675B2">
        <w:rPr>
          <w:rFonts w:hint="cs"/>
          <w:rtl/>
        </w:rPr>
        <w:t>7 - وأشار الباحث إلى ولد أبي محمد الجويني وهو أبو المعالي إمام الحرمين</w:t>
      </w:r>
      <w:r w:rsidR="000636C2">
        <w:rPr>
          <w:rFonts w:hint="cs"/>
          <w:rtl/>
        </w:rPr>
        <w:t>،</w:t>
      </w:r>
      <w:r w:rsidRPr="005675B2">
        <w:rPr>
          <w:rFonts w:hint="cs"/>
          <w:rtl/>
        </w:rPr>
        <w:t xml:space="preserve"> وما قاله يشبه ما روي عن والده رحمهما الله</w:t>
      </w:r>
      <w:r w:rsidR="000636C2">
        <w:rPr>
          <w:rFonts w:hint="cs"/>
          <w:rtl/>
        </w:rPr>
        <w:t xml:space="preserve">، </w:t>
      </w:r>
      <w:r w:rsidRPr="005675B2">
        <w:rPr>
          <w:rFonts w:hint="cs"/>
          <w:rtl/>
        </w:rPr>
        <w:t>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اختلفت مسالك العلماء في الظواهر التي وردت في الكتاب والسنة</w:t>
      </w:r>
      <w:r w:rsidR="000636C2">
        <w:rPr>
          <w:rFonts w:hint="cs"/>
          <w:rtl/>
        </w:rPr>
        <w:t>،</w:t>
      </w:r>
      <w:r w:rsidRPr="005675B2">
        <w:rPr>
          <w:rFonts w:hint="cs"/>
          <w:rtl/>
        </w:rPr>
        <w:t xml:space="preserve"> .. فرأى بعضهم تأويلها ..</w:t>
      </w:r>
      <w:r w:rsidR="000636C2">
        <w:rPr>
          <w:rFonts w:hint="cs"/>
          <w:rtl/>
        </w:rPr>
        <w:t>،</w:t>
      </w:r>
      <w:r w:rsidRPr="005675B2">
        <w:rPr>
          <w:rFonts w:hint="cs"/>
          <w:rtl/>
        </w:rPr>
        <w:t xml:space="preserve"> وذهب أئمة السلف إلى الانكفاف عن التأويل وإجراء الظواهر على مواردها وتفويض معانيها إلى الرب تعالى ..</w:t>
      </w:r>
      <w:r w:rsidR="000636C2">
        <w:rPr>
          <w:rFonts w:hint="cs"/>
          <w:rtl/>
        </w:rPr>
        <w:t>،</w:t>
      </w:r>
      <w:r w:rsidRPr="005675B2">
        <w:rPr>
          <w:rFonts w:hint="cs"/>
          <w:rtl/>
        </w:rPr>
        <w:t xml:space="preserve"> فحق على ذي الدين أن يعتقد تنـزه الباري عن صفات المحدثين ولا يخوض في تأويل المشكلات ويكل معناها إلى الرب</w:t>
      </w:r>
      <w:r w:rsidR="000636C2">
        <w:rPr>
          <w:rFonts w:hint="cs"/>
          <w:rtl/>
        </w:rPr>
        <w:t>]</w:t>
      </w:r>
      <w:r w:rsidRPr="005675B2">
        <w:rPr>
          <w:rFonts w:hint="cs"/>
          <w:rtl/>
        </w:rPr>
        <w:t xml:space="preserve"> [</w:t>
      </w:r>
      <w:r w:rsidRPr="005675B2">
        <w:rPr>
          <w:rFonts w:hint="cs"/>
          <w:sz w:val="24"/>
          <w:szCs w:val="24"/>
          <w:rtl/>
        </w:rPr>
        <w:t>سير أعلام النبلاء للذهبي: 18 / 473</w:t>
      </w:r>
      <w:r w:rsidR="000636C2">
        <w:rPr>
          <w:rFonts w:hint="cs"/>
          <w:sz w:val="24"/>
          <w:szCs w:val="24"/>
          <w:rtl/>
        </w:rPr>
        <w:t>]</w:t>
      </w:r>
      <w:r w:rsidRPr="005675B2">
        <w:rPr>
          <w:rFonts w:hint="cs"/>
          <w:rtl/>
        </w:rPr>
        <w:t xml:space="preserve">، فقف عند قوله </w:t>
      </w:r>
      <w:r w:rsidR="000636C2">
        <w:rPr>
          <w:rFonts w:hint="cs"/>
          <w:rtl/>
        </w:rPr>
        <w:t>[</w:t>
      </w:r>
      <w:r w:rsidRPr="005675B2">
        <w:rPr>
          <w:rFonts w:hint="cs"/>
          <w:rtl/>
        </w:rPr>
        <w:t>وتفويض معانيها</w:t>
      </w:r>
      <w:r w:rsidR="000636C2">
        <w:rPr>
          <w:rFonts w:hint="cs"/>
          <w:rtl/>
        </w:rPr>
        <w:t>]</w:t>
      </w:r>
      <w:r w:rsidRPr="005675B2">
        <w:rPr>
          <w:rFonts w:hint="cs"/>
          <w:rtl/>
        </w:rPr>
        <w:t xml:space="preserve"> وقوله </w:t>
      </w:r>
      <w:r w:rsidR="000636C2">
        <w:rPr>
          <w:rFonts w:hint="cs"/>
          <w:rtl/>
        </w:rPr>
        <w:t>[</w:t>
      </w:r>
      <w:r w:rsidRPr="005675B2">
        <w:rPr>
          <w:rFonts w:hint="cs"/>
          <w:rtl/>
        </w:rPr>
        <w:t>أن يعتقد تنزه الباري عن صفات المحدثين</w:t>
      </w:r>
      <w:r w:rsidR="000636C2">
        <w:rPr>
          <w:rFonts w:hint="cs"/>
          <w:rtl/>
        </w:rPr>
        <w:t xml:space="preserve">]، </w:t>
      </w:r>
      <w:r w:rsidRPr="005675B2">
        <w:rPr>
          <w:rFonts w:hint="cs"/>
          <w:rtl/>
        </w:rPr>
        <w:t xml:space="preserve">ويبدو أنه رجع عن الاستدلالات الكلامية التي مشى على الاشتغال بها وتدوينها في كتابه </w:t>
      </w:r>
      <w:r w:rsidR="000636C2">
        <w:rPr>
          <w:rFonts w:hint="cs"/>
          <w:rtl/>
        </w:rPr>
        <w:t>[</w:t>
      </w:r>
      <w:r w:rsidRPr="005675B2">
        <w:rPr>
          <w:rFonts w:hint="cs"/>
          <w:rtl/>
        </w:rPr>
        <w:t>الشامل</w:t>
      </w:r>
      <w:r w:rsidR="000636C2">
        <w:rPr>
          <w:rFonts w:hint="cs"/>
          <w:rtl/>
        </w:rPr>
        <w:t>]</w:t>
      </w:r>
      <w:r w:rsidRPr="005675B2">
        <w:rPr>
          <w:rFonts w:hint="cs"/>
          <w:rtl/>
        </w:rPr>
        <w:t xml:space="preserve"> ونحوه</w:t>
      </w:r>
      <w:r w:rsidR="000636C2">
        <w:rPr>
          <w:rFonts w:hint="cs"/>
          <w:rtl/>
        </w:rPr>
        <w:t>،</w:t>
      </w:r>
      <w:r w:rsidRPr="005675B2">
        <w:rPr>
          <w:rFonts w:hint="cs"/>
          <w:rtl/>
        </w:rPr>
        <w:t xml:space="preserve"> بعد ما تبين له أن معظمها لا يعطي الجزم واليقين</w:t>
      </w:r>
      <w:r w:rsidR="000636C2">
        <w:rPr>
          <w:rFonts w:hint="cs"/>
          <w:rtl/>
        </w:rPr>
        <w:t>،</w:t>
      </w:r>
      <w:r w:rsidRPr="005675B2">
        <w:rPr>
          <w:rFonts w:hint="cs"/>
          <w:rtl/>
        </w:rPr>
        <w:t xml:space="preserve"> لأنه من باب إجراء العقل في أبعد من مداه وأقصى من مضماره</w:t>
      </w:r>
      <w:r w:rsidR="000636C2">
        <w:rPr>
          <w:rFonts w:hint="cs"/>
          <w:rtl/>
        </w:rPr>
        <w:t xml:space="preserve">، </w:t>
      </w:r>
      <w:r w:rsidRPr="005675B2">
        <w:rPr>
          <w:rFonts w:hint="cs"/>
          <w:rtl/>
        </w:rPr>
        <w:t>ولذا فإنه يقول</w:t>
      </w:r>
      <w:r w:rsidR="000636C2">
        <w:rPr>
          <w:rFonts w:hint="cs"/>
          <w:rtl/>
        </w:rPr>
        <w:t>:</w:t>
      </w:r>
      <w:r w:rsidRPr="005675B2">
        <w:rPr>
          <w:rFonts w:hint="cs"/>
          <w:rtl/>
        </w:rPr>
        <w:t xml:space="preserve"> </w:t>
      </w:r>
      <w:r w:rsidR="000636C2">
        <w:rPr>
          <w:rFonts w:hint="cs"/>
          <w:rtl/>
        </w:rPr>
        <w:t>[</w:t>
      </w:r>
      <w:r w:rsidRPr="005675B2">
        <w:rPr>
          <w:rFonts w:hint="cs"/>
          <w:rtl/>
        </w:rPr>
        <w:t>لو استقبلت من أمري ما استدبرت ما اشتغلت بالكلام</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يا أصحابنا</w:t>
      </w:r>
      <w:r w:rsidR="000636C2">
        <w:rPr>
          <w:rFonts w:hint="cs"/>
          <w:rtl/>
        </w:rPr>
        <w:t>،</w:t>
      </w:r>
      <w:r w:rsidRPr="005675B2">
        <w:rPr>
          <w:rFonts w:hint="cs"/>
          <w:rtl/>
        </w:rPr>
        <w:t xml:space="preserve"> لا تشتغلوا بالكلام</w:t>
      </w:r>
      <w:r w:rsidR="000636C2">
        <w:rPr>
          <w:rFonts w:hint="cs"/>
          <w:rtl/>
        </w:rPr>
        <w:t>،</w:t>
      </w:r>
      <w:r w:rsidRPr="005675B2">
        <w:rPr>
          <w:rFonts w:hint="cs"/>
          <w:rtl/>
        </w:rPr>
        <w:t xml:space="preserve"> فلو عرفت أن الكلام يبلغ بي ما بلغ ما اشتغلت به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18 / 473</w:t>
      </w:r>
      <w:r w:rsidR="000636C2">
        <w:rPr>
          <w:rFonts w:hint="cs"/>
          <w:sz w:val="24"/>
          <w:szCs w:val="24"/>
          <w:rtl/>
        </w:rPr>
        <w:t>،</w:t>
      </w:r>
      <w:r w:rsidRPr="005675B2">
        <w:rPr>
          <w:rFonts w:hint="cs"/>
          <w:sz w:val="24"/>
          <w:szCs w:val="24"/>
          <w:rtl/>
        </w:rPr>
        <w:t xml:space="preserve"> 474</w:t>
      </w:r>
      <w:r w:rsidR="000636C2">
        <w:rPr>
          <w:rFonts w:hint="cs"/>
          <w:sz w:val="24"/>
          <w:szCs w:val="24"/>
          <w:rtl/>
        </w:rPr>
        <w:t>]</w:t>
      </w:r>
      <w:r w:rsidR="000636C2">
        <w:rPr>
          <w:rFonts w:hint="cs"/>
          <w:rtl/>
        </w:rPr>
        <w:t xml:space="preserve">، </w:t>
      </w:r>
      <w:r w:rsidRPr="005675B2">
        <w:rPr>
          <w:rFonts w:hint="cs"/>
          <w:rtl/>
        </w:rPr>
        <w:t>ويقول</w:t>
      </w:r>
      <w:r w:rsidR="000636C2">
        <w:rPr>
          <w:rFonts w:hint="cs"/>
          <w:rtl/>
        </w:rPr>
        <w:t>:</w:t>
      </w:r>
      <w:r w:rsidRPr="005675B2">
        <w:rPr>
          <w:rFonts w:hint="cs"/>
          <w:rtl/>
        </w:rPr>
        <w:t xml:space="preserve"> </w:t>
      </w:r>
      <w:r w:rsidR="000636C2">
        <w:rPr>
          <w:rFonts w:hint="cs"/>
          <w:rtl/>
        </w:rPr>
        <w:t>[</w:t>
      </w:r>
      <w:r w:rsidRPr="005675B2">
        <w:rPr>
          <w:rFonts w:hint="cs"/>
          <w:rtl/>
        </w:rPr>
        <w:t>قرأت خمسين ألفا في خمسين ألفاً، .. وغصت في الذي نهى عنه أهل الاسلام</w:t>
      </w:r>
      <w:r w:rsidR="000636C2">
        <w:rPr>
          <w:rFonts w:hint="cs"/>
          <w:rtl/>
        </w:rPr>
        <w:t>،</w:t>
      </w:r>
      <w:r w:rsidRPr="005675B2">
        <w:rPr>
          <w:rFonts w:hint="cs"/>
          <w:rtl/>
        </w:rPr>
        <w:t xml:space="preserve"> كل ذلك في طلب الحق</w:t>
      </w:r>
      <w:r w:rsidR="000636C2">
        <w:rPr>
          <w:rFonts w:hint="cs"/>
          <w:rtl/>
        </w:rPr>
        <w:t>،</w:t>
      </w:r>
      <w:r w:rsidRPr="005675B2">
        <w:rPr>
          <w:rFonts w:hint="cs"/>
          <w:rtl/>
        </w:rPr>
        <w:t xml:space="preserve"> وكنت أهرب في سالف الدهر من التقليد</w:t>
      </w:r>
      <w:r w:rsidR="000636C2">
        <w:rPr>
          <w:rFonts w:hint="cs"/>
          <w:rtl/>
        </w:rPr>
        <w:t>،</w:t>
      </w:r>
      <w:r w:rsidRPr="005675B2">
        <w:rPr>
          <w:rFonts w:hint="cs"/>
          <w:rtl/>
        </w:rPr>
        <w:t xml:space="preserve"> والآن فقد رجعت إلى كلمة الحق</w:t>
      </w:r>
      <w:r w:rsidR="000636C2">
        <w:rPr>
          <w:rFonts w:hint="cs"/>
          <w:rtl/>
        </w:rPr>
        <w:t>:</w:t>
      </w:r>
      <w:r w:rsidRPr="005675B2">
        <w:rPr>
          <w:rFonts w:hint="cs"/>
          <w:rtl/>
        </w:rPr>
        <w:t xml:space="preserve"> عليكم بدين العجائز</w:t>
      </w:r>
      <w:r w:rsidR="000636C2">
        <w:rPr>
          <w:rFonts w:hint="cs"/>
          <w:rtl/>
        </w:rPr>
        <w:t>،</w:t>
      </w:r>
      <w:r w:rsidRPr="005675B2">
        <w:rPr>
          <w:rFonts w:hint="cs"/>
          <w:rtl/>
        </w:rPr>
        <w:t xml:space="preserve"> فإن لم يدركني الحق بلطيف بره فأموت على دين العجائز ويختمَ عاقبة أمري عند الرحيل على كلمة الاخلاص "لا إله إلا الله" فالويل لابن الجويني</w:t>
      </w:r>
      <w:r w:rsidR="000636C2">
        <w:rPr>
          <w:rFonts w:hint="cs"/>
          <w:rtl/>
        </w:rPr>
        <w:t>]</w:t>
      </w:r>
      <w:r w:rsidRPr="005675B2">
        <w:rPr>
          <w:rFonts w:hint="cs"/>
          <w:rtl/>
        </w:rPr>
        <w:t xml:space="preserve"> [</w:t>
      </w:r>
      <w:r w:rsidRPr="005675B2">
        <w:rPr>
          <w:rFonts w:hint="cs"/>
          <w:sz w:val="24"/>
          <w:szCs w:val="24"/>
          <w:rtl/>
        </w:rPr>
        <w:t>المرجع السابق: 18 / 471 . وهذا يعني أنه كان قد قرأ خمسين ألف ورقة في الفلسفة وعلم الكلام</w:t>
      </w:r>
      <w:r w:rsidR="000636C2">
        <w:rPr>
          <w:rFonts w:hint="cs"/>
          <w:sz w:val="24"/>
          <w:szCs w:val="24"/>
          <w:rtl/>
        </w:rPr>
        <w:t>]</w:t>
      </w:r>
      <w:r w:rsidRPr="005675B2">
        <w:rPr>
          <w:rFonts w:hint="cs"/>
          <w:rtl/>
        </w:rPr>
        <w:t>، وقال في مرضه</w:t>
      </w:r>
      <w:r w:rsidR="000636C2">
        <w:rPr>
          <w:rFonts w:hint="cs"/>
          <w:rtl/>
        </w:rPr>
        <w:t>:</w:t>
      </w:r>
      <w:r w:rsidRPr="005675B2">
        <w:rPr>
          <w:rFonts w:hint="cs"/>
          <w:rtl/>
        </w:rPr>
        <w:t xml:space="preserve"> </w:t>
      </w:r>
      <w:r w:rsidR="000636C2">
        <w:rPr>
          <w:rFonts w:hint="cs"/>
          <w:rtl/>
        </w:rPr>
        <w:t>[</w:t>
      </w:r>
      <w:r w:rsidRPr="005675B2">
        <w:rPr>
          <w:rFonts w:hint="cs"/>
          <w:rtl/>
        </w:rPr>
        <w:t>اشهدوا علي أني قد رجعت عن كل مقالة تخالف السنة وأني أموت على ما يموت عليه عجائز نيسابور</w:t>
      </w:r>
      <w:r w:rsidR="000636C2">
        <w:rPr>
          <w:rFonts w:hint="cs"/>
          <w:rtl/>
        </w:rPr>
        <w:t>]</w:t>
      </w:r>
      <w:r w:rsidRPr="005675B2">
        <w:rPr>
          <w:rFonts w:hint="cs"/>
          <w:rtl/>
        </w:rPr>
        <w:t xml:space="preserve"> [</w:t>
      </w:r>
      <w:r w:rsidRPr="005675B2">
        <w:rPr>
          <w:rFonts w:hint="cs"/>
          <w:sz w:val="24"/>
          <w:szCs w:val="24"/>
          <w:rtl/>
        </w:rPr>
        <w:t xml:space="preserve">المرجع السابق: 18 / 474 . وفي طبقات الشافعية للسبكي </w:t>
      </w:r>
      <w:r w:rsidR="000636C2">
        <w:rPr>
          <w:rFonts w:hint="cs"/>
          <w:sz w:val="24"/>
          <w:szCs w:val="24"/>
          <w:rtl/>
        </w:rPr>
        <w:t>(</w:t>
      </w:r>
      <w:r w:rsidRPr="005675B2">
        <w:rPr>
          <w:rFonts w:hint="cs"/>
          <w:sz w:val="24"/>
          <w:szCs w:val="24"/>
          <w:rtl/>
        </w:rPr>
        <w:t xml:space="preserve">5 / 191) </w:t>
      </w:r>
      <w:r w:rsidR="000636C2">
        <w:rPr>
          <w:rFonts w:hint="cs"/>
          <w:sz w:val="24"/>
          <w:szCs w:val="24"/>
          <w:rtl/>
        </w:rPr>
        <w:t>(</w:t>
      </w:r>
      <w:r w:rsidRPr="005675B2">
        <w:rPr>
          <w:rFonts w:hint="cs"/>
          <w:sz w:val="24"/>
          <w:szCs w:val="24"/>
          <w:rtl/>
        </w:rPr>
        <w:t xml:space="preserve">يخالف فيها السلف) بدل </w:t>
      </w:r>
      <w:r w:rsidR="000636C2">
        <w:rPr>
          <w:rFonts w:hint="cs"/>
          <w:sz w:val="24"/>
          <w:szCs w:val="24"/>
          <w:rtl/>
        </w:rPr>
        <w:t>(</w:t>
      </w:r>
      <w:r w:rsidRPr="005675B2">
        <w:rPr>
          <w:rFonts w:hint="cs"/>
          <w:sz w:val="24"/>
          <w:szCs w:val="24"/>
          <w:rtl/>
        </w:rPr>
        <w:t>تخالف السنة</w:t>
      </w:r>
      <w:r w:rsidRPr="005675B2">
        <w:rPr>
          <w:rFonts w:hint="cs"/>
          <w:rtl/>
        </w:rPr>
        <w:t>]</w:t>
      </w:r>
      <w:r w:rsidR="000636C2">
        <w:rPr>
          <w:rFonts w:hint="cs"/>
          <w:rtl/>
        </w:rPr>
        <w:t xml:space="preserve">، </w:t>
      </w:r>
      <w:r w:rsidRPr="005675B2">
        <w:rPr>
          <w:rFonts w:hint="cs"/>
          <w:rtl/>
        </w:rPr>
        <w:t>فرحمة الله تعالى على هذا الإمام الكبير</w:t>
      </w:r>
      <w:r w:rsidR="000636C2">
        <w:rPr>
          <w:rFonts w:hint="cs"/>
          <w:rtl/>
        </w:rPr>
        <w:t>،</w:t>
      </w:r>
      <w:r w:rsidRPr="005675B2">
        <w:rPr>
          <w:rFonts w:hint="cs"/>
          <w:rtl/>
        </w:rPr>
        <w:t xml:space="preserve"> وليت الأشاعرة من بعده قبلوا نصيحته فتركوا الاستدلالات الكلامية وأقبلوا على مزيد من الاشتغال بالأدلة العقلية والنقلية</w:t>
      </w:r>
      <w:r w:rsidR="000636C2">
        <w:rPr>
          <w:rFonts w:hint="cs"/>
          <w:rtl/>
        </w:rPr>
        <w:t>،</w:t>
      </w:r>
      <w:r w:rsidRPr="005675B2">
        <w:rPr>
          <w:rFonts w:hint="cs"/>
          <w:rtl/>
        </w:rPr>
        <w:t xml:space="preserve"> إذاً لكانوا قد أسدوا لأنفسهم وللمسلمين خيرا كثيراً</w:t>
      </w:r>
      <w:r w:rsidR="000636C2">
        <w:rPr>
          <w:rFonts w:hint="cs"/>
          <w:rtl/>
        </w:rPr>
        <w:t>،</w:t>
      </w:r>
      <w:r w:rsidRPr="005675B2">
        <w:rPr>
          <w:rFonts w:hint="cs"/>
          <w:rtl/>
        </w:rPr>
        <w:t xml:space="preserve"> ولجنبوا الأمة شراً مستطيراً</w:t>
      </w:r>
      <w:r w:rsidR="000636C2">
        <w:rPr>
          <w:rFonts w:hint="cs"/>
          <w:rtl/>
        </w:rPr>
        <w:t xml:space="preserve">، </w:t>
      </w:r>
      <w:r w:rsidRPr="005675B2">
        <w:rPr>
          <w:rFonts w:hint="cs"/>
          <w:rtl/>
        </w:rPr>
        <w:t xml:space="preserve">وأما قوله في مرضه </w:t>
      </w:r>
      <w:r w:rsidR="000636C2">
        <w:rPr>
          <w:rFonts w:hint="cs"/>
          <w:rtl/>
        </w:rPr>
        <w:t>[</w:t>
      </w:r>
      <w:r w:rsidRPr="005675B2">
        <w:rPr>
          <w:rFonts w:hint="cs"/>
          <w:rtl/>
        </w:rPr>
        <w:t>اشهدوا علي أني قد رجعت عن كل مقالة تخالف السنة</w:t>
      </w:r>
      <w:r w:rsidR="000636C2">
        <w:rPr>
          <w:rFonts w:hint="cs"/>
          <w:rtl/>
        </w:rPr>
        <w:t>]</w:t>
      </w:r>
      <w:r w:rsidRPr="005675B2">
        <w:rPr>
          <w:rFonts w:hint="cs"/>
          <w:rtl/>
        </w:rPr>
        <w:t xml:space="preserve"> أو </w:t>
      </w:r>
      <w:r w:rsidR="000636C2">
        <w:rPr>
          <w:rFonts w:hint="cs"/>
          <w:rtl/>
        </w:rPr>
        <w:t>[</w:t>
      </w:r>
      <w:r w:rsidRPr="005675B2">
        <w:rPr>
          <w:rFonts w:hint="cs"/>
          <w:rtl/>
        </w:rPr>
        <w:t>يخالف فيها السلف</w:t>
      </w:r>
      <w:r w:rsidR="000636C2">
        <w:rPr>
          <w:rFonts w:hint="cs"/>
          <w:rtl/>
        </w:rPr>
        <w:t>]:</w:t>
      </w:r>
      <w:r w:rsidRPr="005675B2">
        <w:rPr>
          <w:rFonts w:hint="cs"/>
          <w:rtl/>
        </w:rPr>
        <w:t xml:space="preserve"> فلعل مراده أي إذا رأيتم في كلامي ما يخالف السنة أو قول السلف بيقين فأنا أرجع عنه</w:t>
      </w:r>
      <w:r w:rsidR="000636C2">
        <w:rPr>
          <w:rFonts w:hint="cs"/>
          <w:rtl/>
        </w:rPr>
        <w:t>،</w:t>
      </w:r>
      <w:r w:rsidRPr="005675B2">
        <w:rPr>
          <w:rFonts w:hint="cs"/>
          <w:rtl/>
        </w:rPr>
        <w:t xml:space="preserve"> وخذوا بالسنة وقول السلف ودعوا قولي</w:t>
      </w:r>
      <w:r w:rsidR="000636C2">
        <w:rPr>
          <w:rFonts w:hint="cs"/>
          <w:rtl/>
        </w:rPr>
        <w:t>،</w:t>
      </w:r>
      <w:r w:rsidRPr="005675B2">
        <w:rPr>
          <w:rFonts w:hint="cs"/>
          <w:rtl/>
        </w:rPr>
        <w:t xml:space="preserve"> ومن المستبعد جداً أن يكون مراده أن عنده عقائد مخالفة للسنة أو لِمَا عليه السلف وأنه رجع عنها</w:t>
      </w:r>
      <w:r w:rsidR="000636C2">
        <w:rPr>
          <w:rFonts w:hint="cs"/>
          <w:rtl/>
        </w:rPr>
        <w:t>،</w:t>
      </w:r>
      <w:r w:rsidRPr="005675B2">
        <w:rPr>
          <w:rFonts w:hint="cs"/>
          <w:rtl/>
        </w:rPr>
        <w:t xml:space="preserve"> لأنه لو كان كذلك لبينها للتحذير منها</w:t>
      </w:r>
      <w:r w:rsidR="000636C2">
        <w:rPr>
          <w:rFonts w:hint="cs"/>
          <w:rtl/>
        </w:rPr>
        <w:t>،</w:t>
      </w:r>
      <w:r w:rsidRPr="005675B2">
        <w:rPr>
          <w:rFonts w:hint="cs"/>
          <w:rtl/>
        </w:rPr>
        <w:t xml:space="preserve"> ولما استجاز السكوت عنها بإبهامها</w:t>
      </w:r>
      <w:r w:rsidR="000636C2">
        <w:rPr>
          <w:rFonts w:hint="cs"/>
          <w:rtl/>
        </w:rPr>
        <w:t>،</w:t>
      </w:r>
      <w:r w:rsidRPr="005675B2">
        <w:rPr>
          <w:rFonts w:hint="cs"/>
          <w:rtl/>
        </w:rPr>
        <w:t xml:space="preserve"> فهذا من أولى وأهم ما يوجبه عليه واجب النصح للمسلمين</w:t>
      </w:r>
      <w:r w:rsidR="000636C2">
        <w:rPr>
          <w:rFonts w:hint="cs"/>
          <w:rtl/>
        </w:rPr>
        <w:t xml:space="preserve">، </w:t>
      </w:r>
      <w:r w:rsidRPr="005675B2">
        <w:rPr>
          <w:rFonts w:hint="cs"/>
          <w:rtl/>
        </w:rPr>
        <w:t xml:space="preserve">8 - وأما قول الباحث </w:t>
      </w:r>
      <w:r w:rsidR="000636C2">
        <w:rPr>
          <w:rFonts w:hint="cs"/>
          <w:rtl/>
        </w:rPr>
        <w:t>[</w:t>
      </w:r>
      <w:r w:rsidRPr="005675B2">
        <w:rPr>
          <w:rFonts w:hint="cs"/>
          <w:rtl/>
        </w:rPr>
        <w:t>إذا كانوا من أصلهم على عقيدة أهل السنة والجماعة فعن أي شيء رجعوا</w:t>
      </w:r>
      <w:r w:rsidR="000636C2">
        <w:rPr>
          <w:rFonts w:hint="cs"/>
          <w:rtl/>
        </w:rPr>
        <w:t>؟</w:t>
      </w:r>
      <w:r w:rsidRPr="005675B2">
        <w:rPr>
          <w:rFonts w:hint="cs"/>
          <w:rtl/>
        </w:rPr>
        <w:t xml:space="preserve"> ولماذا رجعوا</w:t>
      </w:r>
      <w:r w:rsidR="000636C2">
        <w:rPr>
          <w:rFonts w:hint="cs"/>
          <w:rtl/>
        </w:rPr>
        <w:t>؟</w:t>
      </w:r>
      <w:r w:rsidRPr="005675B2">
        <w:rPr>
          <w:rFonts w:hint="cs"/>
          <w:rtl/>
        </w:rPr>
        <w:t xml:space="preserve"> وإلى أي عقيدة رجعوا</w:t>
      </w:r>
      <w:r w:rsidR="000636C2">
        <w:rPr>
          <w:rFonts w:hint="cs"/>
          <w:rtl/>
        </w:rPr>
        <w:t>؟]:</w:t>
      </w:r>
      <w:r w:rsidRPr="005675B2">
        <w:rPr>
          <w:rFonts w:hint="cs"/>
          <w:rtl/>
        </w:rPr>
        <w:t xml:space="preserve"> فاعلم أنهم رجعوا عن الاشتغال بعلم الكلام</w:t>
      </w:r>
      <w:r w:rsidR="000636C2">
        <w:rPr>
          <w:rFonts w:hint="cs"/>
          <w:rtl/>
        </w:rPr>
        <w:t>،</w:t>
      </w:r>
      <w:r w:rsidRPr="005675B2">
        <w:rPr>
          <w:rFonts w:hint="cs"/>
          <w:rtl/>
        </w:rPr>
        <w:t xml:space="preserve"> وتحسروا على الوقت الذي أضاعوه فيه</w:t>
      </w:r>
      <w:r w:rsidR="000636C2">
        <w:rPr>
          <w:rFonts w:hint="cs"/>
          <w:rtl/>
        </w:rPr>
        <w:t>،</w:t>
      </w:r>
      <w:r w:rsidRPr="005675B2">
        <w:rPr>
          <w:rFonts w:hint="cs"/>
          <w:rtl/>
        </w:rPr>
        <w:t xml:space="preserve"> ولو أن أحدهم رجع عن عقيدة كان يعتقدها لحذر من العقيدة السابقة وأرشد إلى العقيدة اللاحقة</w:t>
      </w:r>
      <w:r w:rsidR="000636C2">
        <w:rPr>
          <w:rFonts w:hint="cs"/>
          <w:rtl/>
        </w:rPr>
        <w:t>،</w:t>
      </w:r>
      <w:r w:rsidRPr="005675B2">
        <w:rPr>
          <w:rFonts w:hint="cs"/>
          <w:rtl/>
        </w:rPr>
        <w:t xml:space="preserve"> وهذا من أوجب الواجبات</w:t>
      </w:r>
      <w:r w:rsidR="000636C2">
        <w:rPr>
          <w:rFonts w:hint="cs"/>
          <w:rtl/>
        </w:rPr>
        <w:t>،</w:t>
      </w:r>
      <w:r w:rsidRPr="005675B2">
        <w:rPr>
          <w:rFonts w:hint="cs"/>
          <w:rtl/>
        </w:rPr>
        <w:t xml:space="preserve"> وأنت تجد في كلامهم التحذير من علم الكلام والنهي عن الاشتغال به</w:t>
      </w:r>
      <w:r w:rsidR="000636C2">
        <w:rPr>
          <w:rFonts w:hint="cs"/>
          <w:rtl/>
        </w:rPr>
        <w:t>،</w:t>
      </w:r>
      <w:r w:rsidRPr="005675B2">
        <w:rPr>
          <w:rFonts w:hint="cs"/>
          <w:rtl/>
        </w:rPr>
        <w:t xml:space="preserve"> ولا تجد التحذير من عقائد الأشاعرة ولا من الأخذ عن شيوخهم ولا النهي عن قراءة كتبهم</w:t>
      </w:r>
      <w:r w:rsidR="000636C2">
        <w:rPr>
          <w:rFonts w:hint="cs"/>
          <w:rtl/>
        </w:rPr>
        <w:t xml:space="preserve">، </w:t>
      </w:r>
      <w:r w:rsidRPr="005675B2">
        <w:rPr>
          <w:rFonts w:hint="cs"/>
          <w:rtl/>
        </w:rPr>
        <w:t>والذي لا يعرف مذهب الأشاعرة ويعرض عن قراءة كتبهم بتفهم وإمعان ؛ يتخيل أنهم مخالفون للكتاب والسنة</w:t>
      </w:r>
      <w:r w:rsidR="000636C2">
        <w:rPr>
          <w:rFonts w:hint="cs"/>
          <w:rtl/>
        </w:rPr>
        <w:t>،</w:t>
      </w:r>
      <w:r w:rsidRPr="005675B2">
        <w:rPr>
          <w:rFonts w:hint="cs"/>
          <w:rtl/>
        </w:rPr>
        <w:t xml:space="preserve"> وأن كبار أئمتهم قد رجعوا عن عقائد الأشاعرة</w:t>
      </w:r>
      <w:r w:rsidR="000636C2">
        <w:rPr>
          <w:rFonts w:hint="cs"/>
          <w:rtl/>
        </w:rPr>
        <w:t>،</w:t>
      </w:r>
      <w:r w:rsidRPr="005675B2">
        <w:rPr>
          <w:rFonts w:hint="cs"/>
          <w:rtl/>
        </w:rPr>
        <w:t xml:space="preserve"> وهذا خيال من قائله</w:t>
      </w:r>
      <w:r w:rsidR="000636C2">
        <w:rPr>
          <w:rFonts w:hint="cs"/>
          <w:rtl/>
        </w:rPr>
        <w:t>،</w:t>
      </w:r>
      <w:r w:rsidRPr="005675B2">
        <w:rPr>
          <w:rFonts w:hint="cs"/>
          <w:rtl/>
        </w:rPr>
        <w:t xml:space="preserve"> لا يقوم على دليل</w:t>
      </w:r>
      <w:r w:rsidR="000636C2">
        <w:rPr>
          <w:rFonts w:hint="cs"/>
          <w:rtl/>
        </w:rPr>
        <w:t>،</w:t>
      </w:r>
      <w:r w:rsidRPr="005675B2">
        <w:rPr>
          <w:rFonts w:hint="cs"/>
          <w:rtl/>
        </w:rPr>
        <w:t xml:space="preserve"> ولا يستند إلى برهان</w:t>
      </w:r>
      <w:r w:rsidR="000636C2">
        <w:rPr>
          <w:rFonts w:hint="cs"/>
          <w:rtl/>
        </w:rPr>
        <w:t>،</w:t>
      </w:r>
      <w:r w:rsidRPr="005675B2">
        <w:rPr>
          <w:rFonts w:hint="cs"/>
          <w:rtl/>
        </w:rPr>
        <w:t xml:space="preserve"> لأنهم كانوا يرون أولاً وآخراً أن عقائدهم هي القائمة على أسس من الكتاب والسنة</w:t>
      </w:r>
      <w:r w:rsidR="000636C2">
        <w:rPr>
          <w:rFonts w:hint="cs"/>
          <w:rtl/>
        </w:rPr>
        <w:t>،</w:t>
      </w:r>
      <w:r w:rsidRPr="005675B2">
        <w:rPr>
          <w:rFonts w:hint="cs"/>
          <w:rtl/>
        </w:rPr>
        <w:t xml:space="preserve"> وأنها هي التي تربط بين دلالة العقل والنقل على وجه التوافق والتعاضد</w:t>
      </w:r>
      <w:r w:rsidR="000636C2">
        <w:rPr>
          <w:rFonts w:hint="cs"/>
          <w:rtl/>
        </w:rPr>
        <w:t xml:space="preserve">، </w:t>
      </w:r>
      <w:r w:rsidRPr="005675B2">
        <w:rPr>
          <w:rFonts w:hint="cs"/>
          <w:rtl/>
        </w:rPr>
        <w:t>وأرى أن كل هذا لا يغير من الحقيقة شيئاً</w:t>
      </w:r>
      <w:r w:rsidR="000636C2">
        <w:rPr>
          <w:rFonts w:hint="cs"/>
          <w:rtl/>
        </w:rPr>
        <w:t>،</w:t>
      </w:r>
      <w:r w:rsidRPr="005675B2">
        <w:rPr>
          <w:rFonts w:hint="cs"/>
          <w:rtl/>
        </w:rPr>
        <w:t xml:space="preserve"> سواء رجعوا أو لم يرجعوا</w:t>
      </w:r>
      <w:r w:rsidR="000636C2">
        <w:rPr>
          <w:rFonts w:hint="cs"/>
          <w:rtl/>
        </w:rPr>
        <w:t>،</w:t>
      </w:r>
      <w:r w:rsidRPr="005675B2">
        <w:rPr>
          <w:rFonts w:hint="cs"/>
          <w:rtl/>
        </w:rPr>
        <w:t xml:space="preserve"> والذي يريد أن يبحث في عقائد الأشاعرة ؛ فإن الواجب الذي يفرضه عليه المنهج العلمي هو عرض عقائدهم من خلال كتبهم ثم محاكمتها من خلال الأدلة العقلية القطعية والأدلة النقلية الثابتة</w:t>
      </w:r>
      <w:r w:rsidR="000636C2">
        <w:rPr>
          <w:rFonts w:hint="cs"/>
          <w:rtl/>
        </w:rPr>
        <w:t>،</w:t>
      </w:r>
      <w:r w:rsidRPr="005675B2">
        <w:rPr>
          <w:rFonts w:hint="cs"/>
          <w:rtl/>
        </w:rPr>
        <w:t xml:space="preserve"> وأما غير هذا فأخشى أن يكون من التشغيب الذي لا فائدة فيه</w:t>
      </w:r>
      <w:r w:rsidR="000636C2">
        <w:rPr>
          <w:rFonts w:hint="cs"/>
          <w:rtl/>
        </w:rPr>
        <w:t xml:space="preserve">، </w:t>
      </w:r>
      <w:r w:rsidRPr="005675B2">
        <w:rPr>
          <w:rFonts w:hint="cs"/>
          <w:rtl/>
        </w:rPr>
        <w:t>هذا وقد قال ابن تيمية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كلمة لو جعلها الباحث وموافقوه ومخالفوه نصب أعينهم لكفتهم</w:t>
      </w:r>
      <w:r w:rsidR="000636C2">
        <w:rPr>
          <w:rFonts w:hint="cs"/>
          <w:rtl/>
        </w:rPr>
        <w:t>،</w:t>
      </w:r>
      <w:r w:rsidRPr="005675B2">
        <w:rPr>
          <w:rFonts w:hint="cs"/>
          <w:rtl/>
        </w:rPr>
        <w:t xml:space="preserve"> فقد قال</w:t>
      </w:r>
      <w:r w:rsidR="000636C2">
        <w:rPr>
          <w:rFonts w:hint="cs"/>
          <w:rtl/>
        </w:rPr>
        <w:t>:</w:t>
      </w:r>
      <w:r w:rsidRPr="005675B2">
        <w:rPr>
          <w:rFonts w:hint="cs"/>
          <w:rtl/>
        </w:rPr>
        <w:t xml:space="preserve"> </w:t>
      </w:r>
      <w:r w:rsidR="000636C2">
        <w:rPr>
          <w:rFonts w:hint="cs"/>
          <w:rtl/>
        </w:rPr>
        <w:t>[</w:t>
      </w:r>
      <w:r w:rsidRPr="005675B2">
        <w:rPr>
          <w:rFonts w:hint="cs"/>
          <w:rtl/>
        </w:rPr>
        <w:t>ولو قال الإمام أحمد من تلقاء نفسه ما لم يجئ به الرسول صلى الله عليه وسلم لم نقبله</w:t>
      </w:r>
      <w:r w:rsidR="000636C2">
        <w:rPr>
          <w:rFonts w:hint="cs"/>
          <w:rtl/>
        </w:rPr>
        <w:t>]</w:t>
      </w:r>
      <w:r w:rsidRPr="005675B2">
        <w:rPr>
          <w:rFonts w:hint="cs"/>
          <w:rtl/>
        </w:rPr>
        <w:t xml:space="preserve"> [</w:t>
      </w:r>
      <w:r w:rsidRPr="005675B2">
        <w:rPr>
          <w:rFonts w:hint="cs"/>
          <w:sz w:val="24"/>
          <w:szCs w:val="24"/>
          <w:rtl/>
        </w:rPr>
        <w:t>مجموع فتاوى ابن تيمية: 3/ 169</w:t>
      </w:r>
      <w:r w:rsidR="000636C2">
        <w:rPr>
          <w:rFonts w:hint="cs"/>
          <w:sz w:val="24"/>
          <w:szCs w:val="24"/>
          <w:rtl/>
        </w:rPr>
        <w:t>]</w:t>
      </w:r>
      <w:r w:rsidR="000636C2">
        <w:rPr>
          <w:rFonts w:hint="cs"/>
          <w:rtl/>
        </w:rPr>
        <w:t>،</w:t>
      </w:r>
    </w:p>
    <w:p w14:paraId="00AA2472" w14:textId="56392A7C" w:rsidR="009C32A0" w:rsidRPr="005675B2" w:rsidRDefault="009C32A0" w:rsidP="000636C2">
      <w:pPr>
        <w:rPr>
          <w:b/>
          <w:rtl/>
        </w:rPr>
      </w:pPr>
      <w:r w:rsidRPr="005675B2">
        <w:rPr>
          <w:rFonts w:hint="cs"/>
          <w:bCs/>
          <w:rtl/>
        </w:rPr>
        <w:t>قال الباحث</w:t>
      </w:r>
      <w:r w:rsidR="000636C2">
        <w:rPr>
          <w:rFonts w:hint="cs"/>
          <w:rtl/>
        </w:rPr>
        <w:t>: [</w:t>
      </w:r>
      <w:r w:rsidRPr="005675B2">
        <w:rPr>
          <w:rFonts w:hint="cs"/>
          <w:rtl/>
        </w:rPr>
        <w:t>دعوى الأشاعرة أن أكثر أئمة المسلمين على مذهبهم دعوى عارية عن الدليل يكذبها الواقع التاريخي</w:t>
      </w:r>
      <w:r w:rsidR="000636C2">
        <w:rPr>
          <w:rFonts w:hint="cs"/>
          <w:rtl/>
        </w:rPr>
        <w:t>،</w:t>
      </w:r>
      <w:r w:rsidRPr="005675B2">
        <w:rPr>
          <w:rFonts w:hint="cs"/>
          <w:rtl/>
        </w:rPr>
        <w:t xml:space="preserve"> وكُتب الأشاعرة نفسها عند تعريف مذهبي السلف والخلف تقول إن مذهب السلف هو مذهب القرون الثلاثة</w:t>
      </w:r>
      <w:r w:rsidR="000636C2">
        <w:rPr>
          <w:rFonts w:hint="cs"/>
          <w:rtl/>
        </w:rPr>
        <w:t>،</w:t>
      </w:r>
      <w:r w:rsidRPr="005675B2">
        <w:rPr>
          <w:rFonts w:hint="cs"/>
          <w:rtl/>
        </w:rPr>
        <w:t xml:space="preserve"> وبعضها يقول إنه مذهب القرون الخمسة</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الذي يدخل في الإسلام حديثاً هل تستطيع أي فرقة أن تقول إنه معتزلي أو أشعري</w:t>
      </w:r>
      <w:r w:rsidR="000636C2">
        <w:rPr>
          <w:rFonts w:hint="cs"/>
          <w:rtl/>
        </w:rPr>
        <w:t>؟!</w:t>
      </w:r>
      <w:r w:rsidRPr="005675B2">
        <w:rPr>
          <w:rFonts w:hint="cs"/>
          <w:rtl/>
        </w:rPr>
        <w:t xml:space="preserve"> أما نحن فبمجرد إسلامه يصبح واحداً منا</w:t>
      </w:r>
      <w:r w:rsidR="000636C2">
        <w:rPr>
          <w:rFonts w:hint="cs"/>
          <w:rtl/>
        </w:rPr>
        <w:t>]،</w:t>
      </w:r>
    </w:p>
    <w:p w14:paraId="1A44E117" w14:textId="2CAB3AD3" w:rsidR="009C32A0" w:rsidRPr="005675B2" w:rsidRDefault="009C32A0" w:rsidP="000636C2">
      <w:pPr>
        <w:rPr>
          <w:b/>
          <w:rtl/>
        </w:rPr>
      </w:pPr>
      <w:r w:rsidRPr="005675B2">
        <w:rPr>
          <w:rFonts w:hint="cs"/>
          <w:bCs/>
          <w:rtl/>
        </w:rPr>
        <w:t>أقول</w:t>
      </w:r>
      <w:r w:rsidR="000636C2">
        <w:rPr>
          <w:rFonts w:hint="cs"/>
          <w:rtl/>
        </w:rPr>
        <w:t xml:space="preserve">: </w:t>
      </w:r>
      <w:r w:rsidRPr="005675B2">
        <w:rPr>
          <w:rFonts w:hint="cs"/>
          <w:rtl/>
        </w:rPr>
        <w:t>1 - أما دعوى الأشاعرة أن أكثر أئمة المسلمين على مذهبهم فقد قال الإمام تاج الدين السبكي رحمه الله</w:t>
      </w:r>
      <w:r w:rsidR="000636C2">
        <w:rPr>
          <w:rFonts w:hint="cs"/>
          <w:rtl/>
        </w:rPr>
        <w:t>:</w:t>
      </w:r>
      <w:r w:rsidRPr="005675B2">
        <w:rPr>
          <w:rFonts w:hint="cs"/>
          <w:rtl/>
        </w:rPr>
        <w:t xml:space="preserve"> </w:t>
      </w:r>
      <w:r w:rsidR="000636C2">
        <w:rPr>
          <w:rFonts w:hint="cs"/>
          <w:rtl/>
        </w:rPr>
        <w:t>[</w:t>
      </w:r>
      <w:r w:rsidRPr="005675B2">
        <w:rPr>
          <w:rFonts w:hint="cs"/>
          <w:rtl/>
        </w:rPr>
        <w:t>الشافعية والمالكية والحنفية .. أشعريون</w:t>
      </w:r>
      <w:r w:rsidR="000636C2">
        <w:rPr>
          <w:rFonts w:hint="cs"/>
          <w:rtl/>
        </w:rPr>
        <w:t>،</w:t>
      </w:r>
      <w:r w:rsidRPr="005675B2">
        <w:rPr>
          <w:rFonts w:hint="cs"/>
          <w:rtl/>
        </w:rPr>
        <w:t xml:space="preserve"> هذه عبارة ابن عبد السلام شيخ الشافعية</w:t>
      </w:r>
      <w:r w:rsidR="000636C2">
        <w:rPr>
          <w:rFonts w:hint="cs"/>
          <w:rtl/>
        </w:rPr>
        <w:t>،</w:t>
      </w:r>
      <w:r w:rsidRPr="005675B2">
        <w:rPr>
          <w:rFonts w:hint="cs"/>
          <w:rtl/>
        </w:rPr>
        <w:t xml:space="preserve"> وابن الحاجب شيخ المالكية</w:t>
      </w:r>
      <w:r w:rsidR="000636C2">
        <w:rPr>
          <w:rFonts w:hint="cs"/>
          <w:rtl/>
        </w:rPr>
        <w:t>،</w:t>
      </w:r>
      <w:r w:rsidRPr="005675B2">
        <w:rPr>
          <w:rFonts w:hint="cs"/>
          <w:rtl/>
        </w:rPr>
        <w:t xml:space="preserve"> والحصيري شيخ الحنفية</w:t>
      </w:r>
      <w:r w:rsidR="000636C2">
        <w:rPr>
          <w:rFonts w:hint="cs"/>
          <w:rtl/>
        </w:rPr>
        <w:t>]</w:t>
      </w:r>
      <w:r w:rsidRPr="005675B2">
        <w:rPr>
          <w:rFonts w:hint="cs"/>
          <w:rtl/>
        </w:rPr>
        <w:t xml:space="preserve"> [</w:t>
      </w:r>
      <w:r w:rsidRPr="005675B2">
        <w:rPr>
          <w:rFonts w:hint="cs"/>
          <w:sz w:val="24"/>
          <w:szCs w:val="24"/>
          <w:rtl/>
        </w:rPr>
        <w:t>طبقات الشافعية الكبرى للسبكي: 3 / 373 . والحنفية في العقيدة "ماتريديون" وهم لا يختلفون عن الأشاعرة إلا في مسائل قليلة يكاد يكون الخلاف فيها بين الطرفين لفظياً</w:t>
      </w:r>
      <w:r w:rsidRPr="005675B2">
        <w:rPr>
          <w:rFonts w:hint="cs"/>
          <w:rtl/>
        </w:rPr>
        <w:t>]</w:t>
      </w:r>
      <w:r w:rsidR="000636C2">
        <w:rPr>
          <w:rFonts w:hint="cs"/>
          <w:rtl/>
        </w:rPr>
        <w:t>،</w:t>
      </w:r>
      <w:r w:rsidRPr="005675B2">
        <w:rPr>
          <w:rFonts w:hint="cs"/>
          <w:rtl/>
        </w:rPr>
        <w:t xml:space="preserve"> وهؤلاء أدرى بأهل مذاهبهم</w:t>
      </w:r>
      <w:r w:rsidR="000636C2">
        <w:rPr>
          <w:rFonts w:hint="cs"/>
          <w:rtl/>
        </w:rPr>
        <w:t>،</w:t>
      </w:r>
      <w:r w:rsidRPr="005675B2">
        <w:rPr>
          <w:rFonts w:hint="cs"/>
          <w:rtl/>
        </w:rPr>
        <w:t xml:space="preserve"> وفي هذا من الدليل كفاية</w:t>
      </w:r>
      <w:r w:rsidR="000636C2">
        <w:rPr>
          <w:rFonts w:hint="cs"/>
          <w:rtl/>
        </w:rPr>
        <w:t xml:space="preserve">، </w:t>
      </w:r>
      <w:r w:rsidRPr="005675B2">
        <w:rPr>
          <w:rFonts w:hint="cs"/>
          <w:rtl/>
        </w:rPr>
        <w:t xml:space="preserve">والمقصود بكلمة </w:t>
      </w:r>
      <w:r w:rsidR="000636C2">
        <w:rPr>
          <w:rFonts w:hint="cs"/>
          <w:rtl/>
        </w:rPr>
        <w:t>[</w:t>
      </w:r>
      <w:r w:rsidRPr="005675B2">
        <w:rPr>
          <w:rFonts w:hint="cs"/>
          <w:rtl/>
        </w:rPr>
        <w:t>أشعريون</w:t>
      </w:r>
      <w:r w:rsidR="000636C2">
        <w:rPr>
          <w:rFonts w:hint="cs"/>
          <w:rtl/>
        </w:rPr>
        <w:t>]</w:t>
      </w:r>
      <w:r w:rsidRPr="005675B2">
        <w:rPr>
          <w:rFonts w:hint="cs"/>
          <w:rtl/>
        </w:rPr>
        <w:t xml:space="preserve"> هنا هو أنهم في المسائل الكبرى في العقيدة إما أشاعرة وإما موافقون للأشاعرة</w:t>
      </w:r>
      <w:r w:rsidR="000636C2">
        <w:rPr>
          <w:rFonts w:hint="cs"/>
          <w:rtl/>
        </w:rPr>
        <w:t>،</w:t>
      </w:r>
      <w:r w:rsidRPr="005675B2">
        <w:rPr>
          <w:rFonts w:hint="cs"/>
          <w:rtl/>
        </w:rPr>
        <w:t xml:space="preserve"> ومن أهم ذلك أنهم ينفون عن الله تعالى الجسمية ولوازم الجسمية</w:t>
      </w:r>
      <w:r w:rsidR="000636C2">
        <w:rPr>
          <w:rFonts w:hint="cs"/>
          <w:rtl/>
        </w:rPr>
        <w:t xml:space="preserve">، </w:t>
      </w:r>
      <w:r w:rsidRPr="005675B2">
        <w:rPr>
          <w:rFonts w:hint="cs"/>
          <w:rtl/>
        </w:rPr>
        <w:t>2 - أما الحنابلة ففيهم الموافقون لما عليه الجمهور</w:t>
      </w:r>
      <w:r w:rsidR="000636C2">
        <w:rPr>
          <w:rFonts w:hint="cs"/>
          <w:rtl/>
        </w:rPr>
        <w:t>،</w:t>
      </w:r>
      <w:r w:rsidRPr="005675B2">
        <w:rPr>
          <w:rFonts w:hint="cs"/>
          <w:rtl/>
        </w:rPr>
        <w:t xml:space="preserve"> وفيهم المخالفون لهم</w:t>
      </w:r>
      <w:r w:rsidR="000636C2">
        <w:rPr>
          <w:rFonts w:hint="cs"/>
          <w:rtl/>
        </w:rPr>
        <w:t>،</w:t>
      </w:r>
      <w:r w:rsidRPr="005675B2">
        <w:rPr>
          <w:rFonts w:hint="cs"/>
          <w:rtl/>
        </w:rPr>
        <w:t xml:space="preserve"> وإليك ما يقوله الإمام ابن الجوزي الحنبلي المتوفى سنة </w:t>
      </w:r>
      <w:r w:rsidR="000636C2">
        <w:rPr>
          <w:rFonts w:hint="cs"/>
          <w:rtl/>
        </w:rPr>
        <w:t>(</w:t>
      </w:r>
      <w:r w:rsidRPr="005675B2">
        <w:rPr>
          <w:rFonts w:hint="cs"/>
          <w:rtl/>
        </w:rPr>
        <w:t>597ه -</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ورأيت من أصحابنا من تكلم في الأصول بما لا يصلح</w:t>
      </w:r>
      <w:r w:rsidR="000636C2">
        <w:rPr>
          <w:rFonts w:hint="cs"/>
          <w:rtl/>
        </w:rPr>
        <w:t>،</w:t>
      </w:r>
      <w:r w:rsidRPr="005675B2">
        <w:rPr>
          <w:rFonts w:hint="cs"/>
          <w:rtl/>
        </w:rPr>
        <w:t xml:space="preserve"> وانتدب للتصنيف ثلاثة</w:t>
      </w:r>
      <w:r w:rsidR="000636C2">
        <w:rPr>
          <w:rFonts w:hint="cs"/>
          <w:rtl/>
        </w:rPr>
        <w:t>:</w:t>
      </w:r>
      <w:r w:rsidRPr="005675B2">
        <w:rPr>
          <w:rFonts w:hint="cs"/>
          <w:rtl/>
        </w:rPr>
        <w:t xml:space="preserve"> أبو عبد الله ابن حامد</w:t>
      </w:r>
      <w:r w:rsidR="000636C2">
        <w:rPr>
          <w:rFonts w:hint="cs"/>
          <w:rtl/>
        </w:rPr>
        <w:t>،</w:t>
      </w:r>
      <w:r w:rsidRPr="005675B2">
        <w:rPr>
          <w:rFonts w:hint="cs"/>
          <w:rtl/>
        </w:rPr>
        <w:t xml:space="preserve"> وصاحبه القاضي</w:t>
      </w:r>
      <w:r w:rsidR="000636C2">
        <w:rPr>
          <w:rFonts w:hint="cs"/>
          <w:rtl/>
        </w:rPr>
        <w:t>،</w:t>
      </w:r>
      <w:r w:rsidRPr="005675B2">
        <w:rPr>
          <w:rFonts w:hint="cs"/>
          <w:rtl/>
        </w:rPr>
        <w:t xml:space="preserve"> وابن الزاغوني</w:t>
      </w:r>
      <w:r w:rsidR="000636C2">
        <w:rPr>
          <w:rFonts w:hint="cs"/>
          <w:rtl/>
        </w:rPr>
        <w:t>،</w:t>
      </w:r>
      <w:r w:rsidRPr="005675B2">
        <w:rPr>
          <w:rFonts w:hint="cs"/>
          <w:rtl/>
        </w:rPr>
        <w:t xml:space="preserve"> فصنفوا كتباً شانوا بها المذهب</w:t>
      </w:r>
      <w:r w:rsidR="000636C2">
        <w:rPr>
          <w:rFonts w:hint="cs"/>
          <w:rtl/>
        </w:rPr>
        <w:t>،</w:t>
      </w:r>
      <w:r w:rsidRPr="005675B2">
        <w:rPr>
          <w:rFonts w:hint="cs"/>
          <w:rtl/>
        </w:rPr>
        <w:t xml:space="preserve"> ورأيتهم قد نزلوا إلى مرتبة العوام</w:t>
      </w:r>
      <w:r w:rsidR="000636C2">
        <w:rPr>
          <w:rFonts w:hint="cs"/>
          <w:rtl/>
        </w:rPr>
        <w:t>،</w:t>
      </w:r>
      <w:r w:rsidRPr="005675B2">
        <w:rPr>
          <w:rFonts w:hint="cs"/>
          <w:rtl/>
        </w:rPr>
        <w:t xml:space="preserve"> فحملوا الصفات على مقتضى الحس ..</w:t>
      </w:r>
      <w:r w:rsidR="000636C2">
        <w:rPr>
          <w:rFonts w:hint="cs"/>
          <w:rtl/>
        </w:rPr>
        <w:t>،</w:t>
      </w:r>
      <w:r w:rsidRPr="005675B2">
        <w:rPr>
          <w:rFonts w:hint="cs"/>
          <w:rtl/>
        </w:rPr>
        <w:t xml:space="preserve"> ولم يقنعوا بأن يقولوا صفة فعل</w:t>
      </w:r>
      <w:r w:rsidR="000636C2">
        <w:rPr>
          <w:rFonts w:hint="cs"/>
          <w:rtl/>
        </w:rPr>
        <w:t>،</w:t>
      </w:r>
      <w:r w:rsidRPr="005675B2">
        <w:rPr>
          <w:rFonts w:hint="cs"/>
          <w:rtl/>
        </w:rPr>
        <w:t xml:space="preserve"> حتى قالوا صفة ذات ..</w:t>
      </w:r>
      <w:r w:rsidR="000636C2">
        <w:rPr>
          <w:rFonts w:hint="cs"/>
          <w:rtl/>
        </w:rPr>
        <w:t>،</w:t>
      </w:r>
      <w:r w:rsidRPr="005675B2">
        <w:rPr>
          <w:rFonts w:hint="cs"/>
          <w:rtl/>
        </w:rPr>
        <w:t xml:space="preserve"> وقد تبعهم خلق من العوام ..</w:t>
      </w:r>
      <w:r w:rsidR="000636C2">
        <w:rPr>
          <w:rFonts w:hint="cs"/>
          <w:rtl/>
        </w:rPr>
        <w:t>،</w:t>
      </w:r>
      <w:r w:rsidRPr="005675B2">
        <w:rPr>
          <w:rFonts w:hint="cs"/>
          <w:rtl/>
        </w:rPr>
        <w:t xml:space="preserve"> وقد كان أبو محمد التميمي يقول في بعض أئمتكم</w:t>
      </w:r>
      <w:r w:rsidR="000636C2">
        <w:rPr>
          <w:rFonts w:hint="cs"/>
          <w:rtl/>
        </w:rPr>
        <w:t>:</w:t>
      </w:r>
      <w:r w:rsidRPr="005675B2">
        <w:rPr>
          <w:rFonts w:hint="cs"/>
          <w:rtl/>
        </w:rPr>
        <w:t xml:space="preserve"> لقد شان المذهب شيناً قبيحاً لا يغسل إلى يوم القيامة</w:t>
      </w:r>
      <w:r w:rsidR="000636C2">
        <w:rPr>
          <w:rFonts w:hint="cs"/>
          <w:rtl/>
        </w:rPr>
        <w:t>]</w:t>
      </w:r>
      <w:r w:rsidRPr="005675B2">
        <w:rPr>
          <w:rFonts w:hint="cs"/>
          <w:rtl/>
        </w:rPr>
        <w:t xml:space="preserve"> [</w:t>
      </w:r>
      <w:r w:rsidRPr="005675B2">
        <w:rPr>
          <w:rFonts w:hint="cs"/>
          <w:sz w:val="24"/>
          <w:szCs w:val="24"/>
          <w:rtl/>
        </w:rPr>
        <w:t>دفع شبه التشبيه بأكف التنزيه لابن الجوزي: ص 97 ـ102</w:t>
      </w:r>
      <w:r w:rsidR="000636C2">
        <w:rPr>
          <w:rFonts w:hint="cs"/>
          <w:sz w:val="24"/>
          <w:szCs w:val="24"/>
          <w:rtl/>
        </w:rPr>
        <w:t>]</w:t>
      </w:r>
      <w:r w:rsidR="000636C2">
        <w:rPr>
          <w:rFonts w:hint="cs"/>
          <w:rtl/>
        </w:rPr>
        <w:t>،</w:t>
      </w:r>
      <w:r w:rsidRPr="005675B2">
        <w:rPr>
          <w:rFonts w:hint="cs"/>
          <w:rtl/>
        </w:rPr>
        <w:t xml:space="preserve"> والخطاب في قوله </w:t>
      </w:r>
      <w:r w:rsidR="000636C2">
        <w:rPr>
          <w:rFonts w:hint="cs"/>
          <w:rtl/>
        </w:rPr>
        <w:t>[</w:t>
      </w:r>
      <w:r w:rsidRPr="005675B2">
        <w:rPr>
          <w:rFonts w:hint="cs"/>
          <w:rtl/>
        </w:rPr>
        <w:t>بعض أئمتكم</w:t>
      </w:r>
      <w:r w:rsidR="000636C2">
        <w:rPr>
          <w:rFonts w:hint="cs"/>
          <w:rtl/>
        </w:rPr>
        <w:t>]</w:t>
      </w:r>
      <w:r w:rsidRPr="005675B2">
        <w:rPr>
          <w:rFonts w:hint="cs"/>
          <w:rtl/>
        </w:rPr>
        <w:t xml:space="preserve"> أي يا معشر الحنابلة</w:t>
      </w:r>
      <w:r w:rsidR="000636C2">
        <w:rPr>
          <w:rFonts w:hint="cs"/>
          <w:rtl/>
        </w:rPr>
        <w:t>،</w:t>
      </w:r>
      <w:r w:rsidRPr="005675B2">
        <w:rPr>
          <w:rFonts w:hint="cs"/>
          <w:rtl/>
        </w:rPr>
        <w:t xml:space="preserve"> وأبو محمد التميمي هو رزق الله بن عبد الوهاب بن عبد العزيز</w:t>
      </w:r>
      <w:r w:rsidR="000636C2">
        <w:rPr>
          <w:rFonts w:hint="cs"/>
          <w:rtl/>
        </w:rPr>
        <w:t>،</w:t>
      </w:r>
      <w:r w:rsidRPr="005675B2">
        <w:rPr>
          <w:rFonts w:hint="cs"/>
          <w:rtl/>
        </w:rPr>
        <w:t xml:space="preserve"> المتوفى سنة </w:t>
      </w:r>
      <w:r w:rsidR="000636C2">
        <w:rPr>
          <w:rFonts w:hint="cs"/>
          <w:rtl/>
        </w:rPr>
        <w:t>(</w:t>
      </w:r>
      <w:r w:rsidRPr="005675B2">
        <w:rPr>
          <w:rFonts w:hint="cs"/>
          <w:rtl/>
        </w:rPr>
        <w:t>488ه -</w:t>
      </w:r>
      <w:r w:rsidR="000636C2">
        <w:rPr>
          <w:rFonts w:hint="cs"/>
          <w:rtl/>
        </w:rPr>
        <w:t>)،</w:t>
      </w:r>
      <w:r w:rsidRPr="005675B2">
        <w:rPr>
          <w:rFonts w:hint="cs"/>
          <w:rtl/>
        </w:rPr>
        <w:t xml:space="preserve"> وهو من الحنابلة</w:t>
      </w:r>
      <w:r w:rsidR="000636C2">
        <w:rPr>
          <w:rFonts w:hint="cs"/>
          <w:rtl/>
        </w:rPr>
        <w:t>،</w:t>
      </w:r>
      <w:r w:rsidRPr="005675B2">
        <w:rPr>
          <w:rFonts w:hint="cs"/>
          <w:rtl/>
        </w:rPr>
        <w:t xml:space="preserve"> لكنه غير متفق مع ما سطره أبو عبد الله الحسن بن حامد والقاضي أبو يعلى محمد بن الحسين ابن الفراء وعلي بن عبيد الله ابن الزاغوني</w:t>
      </w:r>
      <w:r w:rsidR="000636C2">
        <w:rPr>
          <w:rFonts w:hint="cs"/>
          <w:rtl/>
        </w:rPr>
        <w:t xml:space="preserve">، </w:t>
      </w:r>
      <w:r w:rsidRPr="005675B2">
        <w:rPr>
          <w:rFonts w:hint="cs"/>
          <w:rtl/>
        </w:rPr>
        <w:t>وربما كان من أسباب ابتعاد كثير من الحنابلة عن عقائد جمهور الأمة هو مزيد التعلق بكل ما يعزى للإمام أحمد مع تساهلهم في دراسة أسانيد تلك الأقوال المروية عنه</w:t>
      </w:r>
      <w:r w:rsidR="000636C2">
        <w:rPr>
          <w:rFonts w:hint="cs"/>
          <w:rtl/>
        </w:rPr>
        <w:t>،</w:t>
      </w:r>
      <w:r w:rsidRPr="005675B2">
        <w:rPr>
          <w:rFonts w:hint="cs"/>
          <w:rtl/>
        </w:rPr>
        <w:t xml:space="preserve"> خذ على سبيل المثال الرسالة التي رواها ابن أبي يعلى بسنده عن أحمد بن جعفر بن يعقوب الإصطخري عن الإمام أحمد</w:t>
      </w:r>
      <w:r w:rsidR="000636C2">
        <w:rPr>
          <w:rFonts w:hint="cs"/>
          <w:rtl/>
        </w:rPr>
        <w:t>،</w:t>
      </w:r>
      <w:r w:rsidRPr="005675B2">
        <w:rPr>
          <w:rFonts w:hint="cs"/>
          <w:rtl/>
        </w:rPr>
        <w:t xml:space="preserve"> ففيها عبارات موهمة ينبو عنها القلب ويستنكرها،منها وصف الله جل وعلا بأنه </w:t>
      </w:r>
      <w:r w:rsidR="000636C2">
        <w:rPr>
          <w:rFonts w:hint="cs"/>
          <w:rtl/>
        </w:rPr>
        <w:t>[</w:t>
      </w:r>
      <w:r w:rsidRPr="005675B2">
        <w:rPr>
          <w:rFonts w:hint="cs"/>
          <w:rtl/>
        </w:rPr>
        <w:t>يتحرك</w:t>
      </w:r>
      <w:r w:rsidR="000636C2">
        <w:rPr>
          <w:rFonts w:hint="cs"/>
          <w:rtl/>
        </w:rPr>
        <w:t>]</w:t>
      </w:r>
      <w:r w:rsidRPr="005675B2">
        <w:rPr>
          <w:rFonts w:hint="cs"/>
          <w:rtl/>
        </w:rPr>
        <w:t xml:space="preserve"> [</w:t>
      </w:r>
      <w:r w:rsidRPr="005675B2">
        <w:rPr>
          <w:rFonts w:hint="cs"/>
          <w:sz w:val="24"/>
          <w:szCs w:val="24"/>
          <w:rtl/>
        </w:rPr>
        <w:t>طبقات الحنابلة لابن أبي يعلى: 1 / 29 . وهي كذلك في الطبعة المحققة: 1 / 61 . والمحقق لا يعلق لا على السند ولا على المتن</w:t>
      </w:r>
      <w:r w:rsidR="000636C2">
        <w:rPr>
          <w:rFonts w:hint="cs"/>
          <w:sz w:val="24"/>
          <w:szCs w:val="24"/>
          <w:rtl/>
        </w:rPr>
        <w:t>!</w:t>
      </w:r>
      <w:r w:rsidRPr="005675B2">
        <w:rPr>
          <w:rFonts w:hint="cs"/>
          <w:sz w:val="24"/>
          <w:szCs w:val="24"/>
          <w:rtl/>
        </w:rPr>
        <w:t>!! وقد صار المقصود من التحقيق عند كثيرين إخراج نص المؤلف بالمقابلة على النسخ الخطية بغض النظر عن التحقق من صحة النص</w:t>
      </w:r>
      <w:r w:rsidR="000636C2">
        <w:rPr>
          <w:rFonts w:hint="cs"/>
          <w:sz w:val="24"/>
          <w:szCs w:val="24"/>
          <w:rtl/>
        </w:rPr>
        <w:t>!</w:t>
      </w:r>
      <w:r w:rsidRPr="005675B2">
        <w:rPr>
          <w:rFonts w:hint="cs"/>
          <w:sz w:val="24"/>
          <w:szCs w:val="24"/>
          <w:rtl/>
        </w:rPr>
        <w:t>!! فحسبنا الله ونعم الوكيل</w:t>
      </w:r>
      <w:r w:rsidR="000636C2">
        <w:rPr>
          <w:rFonts w:hint="cs"/>
          <w:sz w:val="24"/>
          <w:szCs w:val="24"/>
          <w:rtl/>
        </w:rPr>
        <w:t>،</w:t>
      </w:r>
      <w:r w:rsidRPr="005675B2">
        <w:rPr>
          <w:rFonts w:hint="cs"/>
          <w:sz w:val="24"/>
          <w:szCs w:val="24"/>
          <w:rtl/>
        </w:rPr>
        <w:t xml:space="preserve"> وإنا لله وإنا إليه راجعون</w:t>
      </w:r>
      <w:r w:rsidR="000636C2">
        <w:rPr>
          <w:rFonts w:hint="cs"/>
          <w:sz w:val="24"/>
          <w:szCs w:val="24"/>
          <w:rtl/>
        </w:rPr>
        <w:t>]</w:t>
      </w:r>
      <w:r w:rsidRPr="005675B2">
        <w:rPr>
          <w:rFonts w:hint="cs"/>
          <w:rtl/>
        </w:rPr>
        <w:t>، والمعلق على الطبعة القديمة لا يعلق بشيء</w:t>
      </w:r>
      <w:r w:rsidR="000636C2">
        <w:rPr>
          <w:rFonts w:hint="cs"/>
          <w:rtl/>
        </w:rPr>
        <w:t>،</w:t>
      </w:r>
      <w:r w:rsidRPr="005675B2">
        <w:rPr>
          <w:rFonts w:hint="cs"/>
          <w:rtl/>
        </w:rPr>
        <w:t xml:space="preserve"> وكذا المعلق على الطبعة الجديدة</w:t>
      </w:r>
      <w:r w:rsidR="000636C2">
        <w:rPr>
          <w:rFonts w:hint="cs"/>
          <w:rtl/>
        </w:rPr>
        <w:t>،</w:t>
      </w:r>
      <w:r w:rsidRPr="005675B2">
        <w:rPr>
          <w:rFonts w:hint="cs"/>
          <w:rtl/>
        </w:rPr>
        <w:t xml:space="preserve"> رغم أن هذا لم يجد ترجمة لبعض رجال السند</w:t>
      </w:r>
      <w:r w:rsidR="000636C2">
        <w:rPr>
          <w:rFonts w:hint="cs"/>
          <w:rtl/>
        </w:rPr>
        <w:t>،</w:t>
      </w:r>
      <w:r w:rsidRPr="005675B2">
        <w:rPr>
          <w:rFonts w:hint="cs"/>
          <w:rtl/>
        </w:rPr>
        <w:t xml:space="preserve"> لكنه لا يهتم بهذا</w:t>
      </w:r>
      <w:r w:rsidR="000636C2">
        <w:rPr>
          <w:rFonts w:hint="cs"/>
          <w:rtl/>
        </w:rPr>
        <w:t>،</w:t>
      </w:r>
      <w:r w:rsidRPr="005675B2">
        <w:rPr>
          <w:rFonts w:hint="cs"/>
          <w:rtl/>
        </w:rPr>
        <w:t xml:space="preserve"> بل لعلك تجد عند بعض الحنابلة في كتب العقيدة أن الله تعالى </w:t>
      </w:r>
      <w:r w:rsidR="000636C2">
        <w:rPr>
          <w:rFonts w:hint="cs"/>
          <w:rtl/>
        </w:rPr>
        <w:t>[</w:t>
      </w:r>
      <w:r w:rsidRPr="005675B2">
        <w:rPr>
          <w:rFonts w:hint="cs"/>
          <w:rtl/>
        </w:rPr>
        <w:t>يتحرك</w:t>
      </w:r>
      <w:r w:rsidR="000636C2">
        <w:rPr>
          <w:rFonts w:hint="cs"/>
          <w:rtl/>
        </w:rPr>
        <w:t>]!،</w:t>
      </w:r>
      <w:r w:rsidRPr="005675B2">
        <w:rPr>
          <w:rFonts w:hint="cs"/>
          <w:rtl/>
        </w:rPr>
        <w:t xml:space="preserve"> وأن هذا هو قول </w:t>
      </w:r>
      <w:r w:rsidR="000636C2">
        <w:rPr>
          <w:rFonts w:hint="cs"/>
          <w:rtl/>
        </w:rPr>
        <w:t>[</w:t>
      </w:r>
      <w:r w:rsidRPr="005675B2">
        <w:rPr>
          <w:rFonts w:hint="cs"/>
          <w:rtl/>
        </w:rPr>
        <w:t>السلف</w:t>
      </w:r>
      <w:r w:rsidR="000636C2">
        <w:rPr>
          <w:rFonts w:hint="cs"/>
          <w:rtl/>
        </w:rPr>
        <w:t>]!،</w:t>
      </w:r>
      <w:r w:rsidRPr="005675B2">
        <w:rPr>
          <w:rFonts w:hint="cs"/>
          <w:rtl/>
        </w:rPr>
        <w:t xml:space="preserve"> وأن من لم يعتقد ذلك فهو </w:t>
      </w:r>
      <w:r w:rsidR="000636C2">
        <w:rPr>
          <w:rFonts w:hint="cs"/>
          <w:rtl/>
        </w:rPr>
        <w:t>[</w:t>
      </w:r>
      <w:r w:rsidRPr="005675B2">
        <w:rPr>
          <w:rFonts w:hint="cs"/>
          <w:rtl/>
        </w:rPr>
        <w:t>جهمي معطل</w:t>
      </w:r>
      <w:r w:rsidR="000636C2">
        <w:rPr>
          <w:rFonts w:hint="cs"/>
          <w:rtl/>
        </w:rPr>
        <w:t>]!</w:t>
      </w:r>
      <w:r w:rsidRPr="005675B2">
        <w:rPr>
          <w:rFonts w:hint="cs"/>
          <w:rtl/>
        </w:rPr>
        <w:t xml:space="preserve"> وكأنهم يجعلون الكلمة التي رويت عن الإمام أحمد جزءاً من عقيدة </w:t>
      </w:r>
      <w:r w:rsidR="000636C2">
        <w:rPr>
          <w:rFonts w:hint="cs"/>
          <w:rtl/>
        </w:rPr>
        <w:t>[</w:t>
      </w:r>
      <w:r w:rsidRPr="005675B2">
        <w:rPr>
          <w:rFonts w:hint="cs"/>
          <w:rtl/>
        </w:rPr>
        <w:t>السلف</w:t>
      </w:r>
      <w:r w:rsidR="000636C2">
        <w:rPr>
          <w:rFonts w:hint="cs"/>
          <w:rtl/>
        </w:rPr>
        <w:t>]</w:t>
      </w:r>
      <w:r w:rsidRPr="005675B2">
        <w:rPr>
          <w:rFonts w:hint="cs"/>
          <w:rtl/>
        </w:rPr>
        <w:t xml:space="preserve"> بمجرد أنها رويت عنه ولو كان في سندها</w:t>
      </w:r>
      <w:r w:rsidR="000636C2">
        <w:rPr>
          <w:rFonts w:hint="cs"/>
          <w:rtl/>
        </w:rPr>
        <w:t xml:space="preserve"> </w:t>
      </w:r>
      <w:r w:rsidRPr="005675B2">
        <w:rPr>
          <w:rFonts w:hint="cs"/>
          <w:rtl/>
        </w:rPr>
        <w:t>إليه راو مجهول</w:t>
      </w:r>
      <w:r w:rsidR="000636C2">
        <w:rPr>
          <w:rFonts w:hint="cs"/>
          <w:rtl/>
        </w:rPr>
        <w:t>!</w:t>
      </w:r>
      <w:r w:rsidRPr="005675B2">
        <w:rPr>
          <w:rFonts w:hint="cs"/>
          <w:rtl/>
        </w:rPr>
        <w:t xml:space="preserve"> فتأمل واعجب</w:t>
      </w:r>
      <w:r w:rsidR="000636C2">
        <w:rPr>
          <w:rFonts w:hint="cs"/>
          <w:rtl/>
        </w:rPr>
        <w:t>،</w:t>
      </w:r>
      <w:r w:rsidRPr="005675B2">
        <w:rPr>
          <w:rFonts w:hint="cs"/>
          <w:rtl/>
        </w:rPr>
        <w:t xml:space="preserve"> هذا مع قولهم إنهم يصفون الله تعالى بما وصف به نفسه أو وصفه به رسوله صلى الله عليه وسلم ويسكتون عما سكت عنه</w:t>
      </w:r>
      <w:r w:rsidR="000636C2">
        <w:rPr>
          <w:rFonts w:hint="cs"/>
          <w:rtl/>
        </w:rPr>
        <w:t>!،</w:t>
      </w:r>
      <w:r w:rsidRPr="005675B2">
        <w:rPr>
          <w:rFonts w:hint="cs"/>
          <w:rtl/>
        </w:rPr>
        <w:t xml:space="preserve"> لكنّ الإمام الذهبي رحمه الله ذكر إحدى الرسائل المنقولة عن أبي عبد الله أحمد ابن حنبل وأثنى عليها</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وأما غيرها من الرسائل المنسوبة إليه كرسالة الإصطخري ففيها نظر</w:t>
      </w:r>
      <w:r w:rsidR="000636C2">
        <w:rPr>
          <w:rFonts w:hint="cs"/>
          <w:rtl/>
        </w:rPr>
        <w:t>]</w:t>
      </w:r>
      <w:r w:rsidRPr="005675B2">
        <w:rPr>
          <w:rFonts w:hint="cs"/>
          <w:rtl/>
        </w:rPr>
        <w:t xml:space="preserve"> [</w:t>
      </w:r>
      <w:r w:rsidRPr="005675B2">
        <w:rPr>
          <w:rFonts w:hint="cs"/>
          <w:sz w:val="24"/>
          <w:szCs w:val="24"/>
          <w:rtl/>
        </w:rPr>
        <w:t>تاريخ الإسلام للذهبي: الطبقة الخامسة والعشرون: ص 136</w:t>
      </w:r>
      <w:r w:rsidR="000636C2">
        <w:rPr>
          <w:rFonts w:hint="cs"/>
          <w:sz w:val="24"/>
          <w:szCs w:val="24"/>
          <w:rtl/>
        </w:rPr>
        <w:t>]</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لا كرسالة الإصطخري</w:t>
      </w:r>
      <w:r w:rsidR="000636C2">
        <w:rPr>
          <w:rFonts w:hint="cs"/>
          <w:rtl/>
        </w:rPr>
        <w:t>،</w:t>
      </w:r>
      <w:r w:rsidRPr="005675B2">
        <w:rPr>
          <w:rFonts w:hint="cs"/>
          <w:rtl/>
        </w:rPr>
        <w:t xml:space="preserve"> ولا كالرد على الجهمية الموضوع على أبي عبد الله</w:t>
      </w:r>
      <w:r w:rsidR="000636C2">
        <w:rPr>
          <w:rFonts w:hint="cs"/>
          <w:rtl/>
        </w:rPr>
        <w:t>]</w:t>
      </w:r>
      <w:r w:rsidRPr="005675B2">
        <w:rPr>
          <w:rFonts w:hint="cs"/>
          <w:rtl/>
        </w:rPr>
        <w:t xml:space="preserve"> [</w:t>
      </w:r>
      <w:r w:rsidRPr="005675B2">
        <w:rPr>
          <w:rFonts w:hint="cs"/>
          <w:sz w:val="24"/>
          <w:szCs w:val="24"/>
          <w:rtl/>
        </w:rPr>
        <w:t>سير أعلام النبلاء للذهبي: 11 / 286</w:t>
      </w:r>
      <w:r w:rsidR="000636C2">
        <w:rPr>
          <w:rFonts w:hint="cs"/>
          <w:sz w:val="24"/>
          <w:szCs w:val="24"/>
          <w:rtl/>
        </w:rPr>
        <w:t>]</w:t>
      </w:r>
      <w:r w:rsidR="000636C2">
        <w:rPr>
          <w:rFonts w:hint="cs"/>
          <w:rtl/>
        </w:rPr>
        <w:t xml:space="preserve">، </w:t>
      </w:r>
      <w:r w:rsidRPr="005675B2">
        <w:rPr>
          <w:rFonts w:hint="cs"/>
          <w:rtl/>
        </w:rPr>
        <w:t>3 - قال أبو ذر الهروي عبد بن أحمد بن محمد</w:t>
      </w:r>
      <w:r w:rsidR="000636C2">
        <w:rPr>
          <w:rFonts w:hint="cs"/>
          <w:rtl/>
        </w:rPr>
        <w:t>،</w:t>
      </w:r>
      <w:r w:rsidRPr="005675B2">
        <w:rPr>
          <w:rFonts w:hint="cs"/>
          <w:rtl/>
        </w:rPr>
        <w:t xml:space="preserve"> المتوفى سنة </w:t>
      </w:r>
      <w:r w:rsidR="000636C2">
        <w:rPr>
          <w:rFonts w:hint="cs"/>
          <w:rtl/>
        </w:rPr>
        <w:t>(</w:t>
      </w:r>
      <w:r w:rsidRPr="005675B2">
        <w:rPr>
          <w:rFonts w:hint="cs"/>
          <w:rtl/>
        </w:rPr>
        <w:t>434ه -</w:t>
      </w:r>
      <w:r w:rsidR="000636C2">
        <w:rPr>
          <w:rFonts w:hint="cs"/>
          <w:rtl/>
        </w:rPr>
        <w:t>)،</w:t>
      </w:r>
      <w:r w:rsidRPr="005675B2">
        <w:rPr>
          <w:rFonts w:hint="cs"/>
          <w:rtl/>
        </w:rPr>
        <w:t xml:space="preserve"> وهو يتحدث عن إمام الأشاعرة في عصره القاضي أبي بكر محمد بن الطيب الباقلاني</w:t>
      </w:r>
      <w:r w:rsidR="000636C2">
        <w:rPr>
          <w:rFonts w:hint="cs"/>
          <w:rtl/>
        </w:rPr>
        <w:t>:</w:t>
      </w:r>
      <w:r w:rsidRPr="005675B2">
        <w:rPr>
          <w:rFonts w:hint="cs"/>
          <w:rtl/>
        </w:rPr>
        <w:t xml:space="preserve"> </w:t>
      </w:r>
      <w:r w:rsidR="000636C2">
        <w:rPr>
          <w:rFonts w:hint="cs"/>
          <w:rtl/>
        </w:rPr>
        <w:t>[</w:t>
      </w:r>
      <w:r w:rsidRPr="005675B2">
        <w:rPr>
          <w:rFonts w:hint="cs"/>
          <w:rtl/>
        </w:rPr>
        <w:t>كل بلد دخلته من بلاد خراسان وغيرها لايشار فيها إلى أحد من أهل السنة</w:t>
      </w:r>
      <w:r w:rsidR="000636C2">
        <w:rPr>
          <w:rFonts w:hint="cs"/>
          <w:rtl/>
        </w:rPr>
        <w:t xml:space="preserve"> </w:t>
      </w:r>
      <w:r w:rsidRPr="005675B2">
        <w:rPr>
          <w:rFonts w:hint="cs"/>
          <w:rtl/>
        </w:rPr>
        <w:t>إلا من كان على مذهبه وطريقه</w:t>
      </w:r>
      <w:r w:rsidR="000636C2">
        <w:rPr>
          <w:rFonts w:hint="cs"/>
          <w:rtl/>
        </w:rPr>
        <w:t>]</w:t>
      </w:r>
      <w:r w:rsidRPr="005675B2">
        <w:rPr>
          <w:rFonts w:hint="cs"/>
          <w:rtl/>
        </w:rPr>
        <w:t xml:space="preserve"> [</w:t>
      </w:r>
      <w:r w:rsidRPr="005675B2">
        <w:rPr>
          <w:rFonts w:hint="cs"/>
          <w:sz w:val="24"/>
          <w:szCs w:val="24"/>
          <w:rtl/>
        </w:rPr>
        <w:t>انظر: سير أعلام النبلاء للذهبي: 17 / 558</w:t>
      </w:r>
      <w:r w:rsidR="000636C2">
        <w:rPr>
          <w:rFonts w:hint="cs"/>
          <w:sz w:val="24"/>
          <w:szCs w:val="24"/>
          <w:rtl/>
        </w:rPr>
        <w:t>،</w:t>
      </w:r>
      <w:r w:rsidRPr="005675B2">
        <w:rPr>
          <w:rFonts w:hint="cs"/>
          <w:sz w:val="24"/>
          <w:szCs w:val="24"/>
          <w:rtl/>
        </w:rPr>
        <w:t xml:space="preserve"> في ترجمة أبي ذر الهروي</w:t>
      </w:r>
      <w:r w:rsidR="000636C2">
        <w:rPr>
          <w:rFonts w:hint="cs"/>
          <w:sz w:val="24"/>
          <w:szCs w:val="24"/>
          <w:rtl/>
        </w:rPr>
        <w:t>]</w:t>
      </w:r>
      <w:r w:rsidR="000636C2">
        <w:rPr>
          <w:rFonts w:hint="cs"/>
          <w:rtl/>
        </w:rPr>
        <w:t xml:space="preserve">، </w:t>
      </w:r>
      <w:r w:rsidRPr="005675B2">
        <w:rPr>
          <w:rFonts w:hint="cs"/>
          <w:rtl/>
        </w:rPr>
        <w:t>وهذه النبذة مع ماسبق عن العز بن عبد السلام شيخ الشافعية وابن الحاجب شيخ المالكية والحصيري شيخ الحنفية كافية إن شاء الله في إثبات دعوى الأشاعرة أن أكثر أئمة المسلمين على مذهبهم</w:t>
      </w:r>
      <w:r w:rsidR="000636C2">
        <w:rPr>
          <w:rFonts w:hint="cs"/>
          <w:rtl/>
        </w:rPr>
        <w:t xml:space="preserve">، </w:t>
      </w:r>
      <w:r w:rsidRPr="005675B2">
        <w:rPr>
          <w:rFonts w:hint="cs"/>
          <w:rtl/>
        </w:rPr>
        <w:t>4 - أما قول الأشاعرة بأن مذهب السلف هو مذهب القرون الثلاثة أو الخمسة فهذا لا يعني أن أولئك كانوا على غير ما عليه الأشاعرة</w:t>
      </w:r>
      <w:r w:rsidR="000636C2">
        <w:rPr>
          <w:rFonts w:hint="cs"/>
          <w:rtl/>
        </w:rPr>
        <w:t>،</w:t>
      </w:r>
      <w:r w:rsidRPr="005675B2">
        <w:rPr>
          <w:rFonts w:hint="cs"/>
          <w:rtl/>
        </w:rPr>
        <w:t xml:space="preserve"> لأن ذلك هو فيما يسمى آيات وأحاديث الصفات</w:t>
      </w:r>
      <w:r w:rsidR="000636C2">
        <w:rPr>
          <w:rFonts w:hint="cs"/>
          <w:rtl/>
        </w:rPr>
        <w:t>،</w:t>
      </w:r>
      <w:r w:rsidRPr="005675B2">
        <w:rPr>
          <w:rFonts w:hint="cs"/>
          <w:rtl/>
        </w:rPr>
        <w:t xml:space="preserve"> وللأشاعرة فيها قولان</w:t>
      </w:r>
      <w:r w:rsidR="000636C2">
        <w:rPr>
          <w:rFonts w:hint="cs"/>
          <w:rtl/>
        </w:rPr>
        <w:t>:</w:t>
      </w:r>
      <w:r w:rsidRPr="005675B2">
        <w:rPr>
          <w:rFonts w:hint="cs"/>
          <w:rtl/>
        </w:rPr>
        <w:t xml:space="preserve"> الأول هو إمرارها كما جاءت بلا كيف ولا معنى وأنها لا تفسر مع نفي سمات الحدوث</w:t>
      </w:r>
      <w:r w:rsidR="000636C2">
        <w:rPr>
          <w:rFonts w:hint="cs"/>
          <w:rtl/>
        </w:rPr>
        <w:t>،</w:t>
      </w:r>
      <w:r w:rsidRPr="005675B2">
        <w:rPr>
          <w:rFonts w:hint="cs"/>
          <w:rtl/>
        </w:rPr>
        <w:t xml:space="preserve"> والثاني هو تأويلها على وجه يدل عليه استعمال العرب لمثل هذا الكلام على نحوذلك الوجه مما يتفق مع تنزيه الباري جل وعلا</w:t>
      </w:r>
      <w:r w:rsidR="000636C2">
        <w:rPr>
          <w:rFonts w:hint="cs"/>
          <w:rtl/>
        </w:rPr>
        <w:t>،</w:t>
      </w:r>
      <w:r w:rsidRPr="005675B2">
        <w:rPr>
          <w:rFonts w:hint="cs"/>
          <w:rtl/>
        </w:rPr>
        <w:t xml:space="preserve"> فإذا كان أهل القرون الخمسة الأولى أو جلهم على القول الأول فالأشاعرة لا ينكرونه</w:t>
      </w:r>
      <w:r w:rsidR="000636C2">
        <w:rPr>
          <w:rFonts w:hint="cs"/>
          <w:rtl/>
        </w:rPr>
        <w:t>،</w:t>
      </w:r>
      <w:r w:rsidRPr="005675B2">
        <w:rPr>
          <w:rFonts w:hint="cs"/>
          <w:rtl/>
        </w:rPr>
        <w:t xml:space="preserve"> بل ويقولون به</w:t>
      </w:r>
      <w:r w:rsidR="000636C2">
        <w:rPr>
          <w:rFonts w:hint="cs"/>
          <w:rtl/>
        </w:rPr>
        <w:t>،</w:t>
      </w:r>
      <w:r w:rsidRPr="005675B2">
        <w:rPr>
          <w:rFonts w:hint="cs"/>
          <w:rtl/>
        </w:rPr>
        <w:t xml:space="preserve"> وهو أحد القولين السائغين عندهم</w:t>
      </w:r>
      <w:r w:rsidR="000636C2">
        <w:rPr>
          <w:rFonts w:hint="cs"/>
          <w:rtl/>
        </w:rPr>
        <w:t>،</w:t>
      </w:r>
      <w:r w:rsidRPr="005675B2">
        <w:rPr>
          <w:rFonts w:hint="cs"/>
          <w:rtl/>
        </w:rPr>
        <w:t xml:space="preserve"> بل هو الأرجح عند كثير من محققيهم</w:t>
      </w:r>
      <w:r w:rsidR="000636C2">
        <w:rPr>
          <w:rFonts w:hint="cs"/>
          <w:rtl/>
        </w:rPr>
        <w:t xml:space="preserve">، </w:t>
      </w:r>
      <w:r w:rsidRPr="005675B2">
        <w:rPr>
          <w:rFonts w:hint="cs"/>
          <w:rtl/>
        </w:rPr>
        <w:t>وشتان بين قولِ السلف وقولِ من يتوهمون أنهم على مذهب السلف</w:t>
      </w:r>
      <w:r w:rsidR="000636C2">
        <w:rPr>
          <w:rFonts w:hint="cs"/>
          <w:rtl/>
        </w:rPr>
        <w:t>،</w:t>
      </w:r>
      <w:r w:rsidRPr="005675B2">
        <w:rPr>
          <w:rFonts w:hint="cs"/>
          <w:rtl/>
        </w:rPr>
        <w:t xml:space="preserve"> فأولئك يقولون مثلاً في حديث </w:t>
      </w:r>
      <w:r w:rsidR="000636C2">
        <w:rPr>
          <w:rFonts w:hint="cs"/>
          <w:rtl/>
        </w:rPr>
        <w:t>[</w:t>
      </w:r>
      <w:r w:rsidRPr="005675B2">
        <w:rPr>
          <w:rFonts w:hint="cs"/>
          <w:rtl/>
        </w:rPr>
        <w:t>ينزل ربنا كل ليلة إلى السماء الدنيا</w:t>
      </w:r>
      <w:r w:rsidR="000636C2">
        <w:rPr>
          <w:rFonts w:hint="cs"/>
          <w:rtl/>
        </w:rPr>
        <w:t>]</w:t>
      </w:r>
      <w:r w:rsidRPr="005675B2">
        <w:rPr>
          <w:rFonts w:hint="cs"/>
          <w:rtl/>
        </w:rPr>
        <w:t xml:space="preserve"> إنه يُروى كما جاء ولا يُفسر</w:t>
      </w:r>
      <w:r w:rsidR="000636C2">
        <w:rPr>
          <w:rFonts w:hint="cs"/>
          <w:rtl/>
        </w:rPr>
        <w:t>،</w:t>
      </w:r>
      <w:r w:rsidRPr="005675B2">
        <w:rPr>
          <w:rFonts w:hint="cs"/>
          <w:rtl/>
        </w:rPr>
        <w:t xml:space="preserve"> وهؤلاء يقولون ينزل ربنا أي يتحرك وينتقل إذا شاء</w:t>
      </w:r>
      <w:r w:rsidR="000636C2">
        <w:rPr>
          <w:rFonts w:hint="cs"/>
          <w:rtl/>
        </w:rPr>
        <w:t>!</w:t>
      </w:r>
      <w:r w:rsidRPr="005675B2">
        <w:rPr>
          <w:rFonts w:hint="cs"/>
          <w:rtl/>
        </w:rPr>
        <w:t xml:space="preserve"> فتعالى الله عما يقولون وعما يفسرون من المتشابه على المعاني الحسية</w:t>
      </w:r>
      <w:r w:rsidR="000636C2">
        <w:rPr>
          <w:rFonts w:hint="cs"/>
          <w:rtl/>
        </w:rPr>
        <w:t xml:space="preserve">، </w:t>
      </w:r>
      <w:r w:rsidRPr="005675B2">
        <w:rPr>
          <w:rFonts w:hint="cs"/>
          <w:rtl/>
        </w:rPr>
        <w:t>5 - وأما قول الباحث إن من يدخل في الإسلام حديثا فبمجرد إسلامه يصبح واحداً منهم فهو قول تغني حكايته عن الاستدلال لرده</w:t>
      </w:r>
      <w:r w:rsidR="000636C2">
        <w:rPr>
          <w:rFonts w:hint="cs"/>
          <w:rtl/>
        </w:rPr>
        <w:t>،</w:t>
      </w:r>
      <w:r w:rsidRPr="005675B2">
        <w:rPr>
          <w:rFonts w:hint="cs"/>
          <w:rtl/>
        </w:rPr>
        <w:t xml:space="preserve"> فهل الذي يدخل في الإسلام حديثاً يعتقد</w:t>
      </w:r>
      <w:r w:rsidR="000636C2">
        <w:rPr>
          <w:rFonts w:hint="cs"/>
          <w:rtl/>
        </w:rPr>
        <w:t xml:space="preserve"> </w:t>
      </w:r>
      <w:r w:rsidRPr="005675B2">
        <w:rPr>
          <w:rFonts w:hint="cs"/>
          <w:rtl/>
        </w:rPr>
        <w:t>- بمجرد دخوله الإسلام وقبل أن يلقى أحداً من المعتزلة أو الأشاعرة أو غيرهم</w:t>
      </w:r>
      <w:r w:rsidR="000636C2">
        <w:rPr>
          <w:rFonts w:hint="cs"/>
          <w:rtl/>
        </w:rPr>
        <w:t xml:space="preserve"> </w:t>
      </w:r>
      <w:r w:rsidRPr="005675B2">
        <w:rPr>
          <w:rFonts w:hint="cs"/>
          <w:rtl/>
        </w:rPr>
        <w:t>- أن من على رأس الجبل أقربُ إلى الله ممن في قعر الوادي</w:t>
      </w:r>
      <w:r w:rsidR="000636C2">
        <w:rPr>
          <w:rFonts w:hint="cs"/>
          <w:rtl/>
        </w:rPr>
        <w:t>،</w:t>
      </w:r>
      <w:r w:rsidRPr="005675B2">
        <w:rPr>
          <w:rFonts w:hint="cs"/>
          <w:rtl/>
        </w:rPr>
        <w:t xml:space="preserve"> وأن الله تعالى يدنى العبد يوم القيامة حتى يمس بعضه</w:t>
      </w:r>
      <w:r w:rsidR="000636C2">
        <w:rPr>
          <w:rFonts w:hint="cs"/>
          <w:rtl/>
        </w:rPr>
        <w:t>،</w:t>
      </w:r>
      <w:r w:rsidRPr="005675B2">
        <w:rPr>
          <w:rFonts w:hint="cs"/>
          <w:rtl/>
        </w:rPr>
        <w:t xml:space="preserve"> وأنه تعالى يتحرك إذا شاء</w:t>
      </w:r>
      <w:r w:rsidR="000636C2">
        <w:rPr>
          <w:rFonts w:hint="cs"/>
          <w:rtl/>
        </w:rPr>
        <w:t>،</w:t>
      </w:r>
      <w:r w:rsidRPr="005675B2">
        <w:rPr>
          <w:rFonts w:hint="cs"/>
          <w:rtl/>
        </w:rPr>
        <w:t xml:space="preserve"> وأنه تعالى قاعد على العرش وقد أخلى مكانا يقعد فيه محمداً صلى الله عليه وسلم معه عليه يوم القيامة</w:t>
      </w:r>
      <w:r w:rsidR="000636C2">
        <w:rPr>
          <w:rFonts w:hint="cs"/>
          <w:rtl/>
        </w:rPr>
        <w:t>؟!</w:t>
      </w:r>
      <w:r w:rsidRPr="005675B2">
        <w:rPr>
          <w:rFonts w:hint="cs"/>
          <w:rtl/>
        </w:rPr>
        <w:t xml:space="preserve"> أو إنه عندما يدخل في الإسلام لايعلم إلا ما يعلمه المعلم فلا هو قبل ذلك من هؤلاء ولا من هؤلاء</w:t>
      </w:r>
      <w:r w:rsidR="000636C2">
        <w:rPr>
          <w:rFonts w:hint="cs"/>
          <w:rtl/>
        </w:rPr>
        <w:t>؟!</w:t>
      </w:r>
      <w:r w:rsidRPr="005675B2">
        <w:rPr>
          <w:rFonts w:hint="cs"/>
          <w:rtl/>
        </w:rPr>
        <w:t xml:space="preserve"> فتنبه</w:t>
      </w:r>
      <w:r w:rsidR="000636C2">
        <w:rPr>
          <w:rFonts w:hint="cs"/>
          <w:rtl/>
        </w:rPr>
        <w:t>،</w:t>
      </w:r>
    </w:p>
    <w:p w14:paraId="5F7BE142" w14:textId="2D2E3CF2"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يجب التنبه إلى التفريق بين متكلمي الأشاعرة كالرازي والآمدي والشهرستاني والبغدادي والإيجي ونحوهم وبين من تأثر بمذهبهم عن حسن نية واجتهاد أو متابعة خاطئة أو ..</w:t>
      </w:r>
      <w:r w:rsidR="000636C2">
        <w:rPr>
          <w:rFonts w:hint="cs"/>
          <w:rtl/>
        </w:rPr>
        <w:t>،</w:t>
      </w:r>
      <w:r w:rsidRPr="005675B2">
        <w:rPr>
          <w:rFonts w:hint="cs"/>
          <w:rtl/>
        </w:rPr>
        <w:t xml:space="preserve"> ومن هذا القسم الحافظ ابن حجر رحمه الله ..</w:t>
      </w:r>
      <w:r w:rsidR="000636C2">
        <w:rPr>
          <w:rFonts w:hint="cs"/>
          <w:rtl/>
        </w:rPr>
        <w:t>،</w:t>
      </w:r>
      <w:r w:rsidRPr="005675B2">
        <w:rPr>
          <w:rFonts w:hint="cs"/>
          <w:rtl/>
        </w:rPr>
        <w:t xml:space="preserve"> والحافظ في الفتح قد نقد الأشاعرة باسمهم الصريح</w:t>
      </w:r>
      <w:r w:rsidR="000636C2">
        <w:rPr>
          <w:rFonts w:hint="cs"/>
          <w:rtl/>
        </w:rPr>
        <w:t>،</w:t>
      </w:r>
      <w:r w:rsidRPr="005675B2">
        <w:rPr>
          <w:rFonts w:hint="cs"/>
          <w:rtl/>
        </w:rPr>
        <w:t xml:space="preserve"> وخالفهم فيما هو من خصائص مذهبهم</w:t>
      </w:r>
      <w:r w:rsidR="000636C2">
        <w:rPr>
          <w:rFonts w:hint="cs"/>
          <w:rtl/>
        </w:rPr>
        <w:t>،</w:t>
      </w:r>
      <w:r w:rsidRPr="005675B2">
        <w:rPr>
          <w:rFonts w:hint="cs"/>
          <w:rtl/>
        </w:rPr>
        <w:t xml:space="preserve"> فمثلا خالفهم في الإيمان</w:t>
      </w:r>
      <w:r w:rsidR="000636C2">
        <w:rPr>
          <w:rFonts w:hint="cs"/>
          <w:rtl/>
        </w:rPr>
        <w:t>،</w:t>
      </w:r>
      <w:r w:rsidRPr="005675B2">
        <w:rPr>
          <w:rFonts w:hint="cs"/>
          <w:rtl/>
        </w:rPr>
        <w:t xml:space="preserve"> ..</w:t>
      </w:r>
      <w:r w:rsidR="000636C2">
        <w:rPr>
          <w:rFonts w:hint="cs"/>
          <w:rtl/>
        </w:rPr>
        <w:t>،</w:t>
      </w:r>
      <w:r w:rsidRPr="005675B2">
        <w:rPr>
          <w:rFonts w:hint="cs"/>
          <w:rtl/>
        </w:rPr>
        <w:t xml:space="preserve"> كما أنه يخالفهم في الاحتجاج بحديث الآحاد في العقيدة</w:t>
      </w:r>
      <w:r w:rsidR="000636C2">
        <w:rPr>
          <w:rFonts w:hint="cs"/>
          <w:rtl/>
        </w:rPr>
        <w:t>،</w:t>
      </w:r>
      <w:r w:rsidRPr="005675B2">
        <w:rPr>
          <w:rFonts w:hint="cs"/>
          <w:rtl/>
        </w:rPr>
        <w:t xml:space="preserve"> .. ولو قيل إن الحافظ رحمه الله كان متذبذباً في عقيدته لكان ذلك أقرب إلى الصواب</w:t>
      </w:r>
      <w:r w:rsidR="000636C2">
        <w:rPr>
          <w:rFonts w:hint="cs"/>
          <w:rtl/>
        </w:rPr>
        <w:t>]،</w:t>
      </w:r>
    </w:p>
    <w:p w14:paraId="2E7D8545" w14:textId="5A8FD8CA"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يؤكد الباحث على التفريق بين الأشاعرة المتكلمين وبين من تأثر بمذهبهم لسبب من الأسباب كالحافظ ابن حجر رحمه الله</w:t>
      </w:r>
      <w:r w:rsidR="000636C2">
        <w:rPr>
          <w:rFonts w:hint="cs"/>
          <w:rtl/>
        </w:rPr>
        <w:t>،</w:t>
      </w:r>
      <w:r w:rsidRPr="005675B2">
        <w:rPr>
          <w:rFonts w:hint="cs"/>
          <w:rtl/>
        </w:rPr>
        <w:t xml:space="preserve"> وعلى أن ابن حجر ليس أشعرياً</w:t>
      </w:r>
      <w:r w:rsidR="000636C2">
        <w:rPr>
          <w:rFonts w:hint="cs"/>
          <w:rtl/>
        </w:rPr>
        <w:t>،</w:t>
      </w:r>
      <w:r w:rsidRPr="005675B2">
        <w:rPr>
          <w:rFonts w:hint="cs"/>
          <w:rtl/>
        </w:rPr>
        <w:t xml:space="preserve"> وأنه قد نقد الأشاعرة باسمهم الصريح</w:t>
      </w:r>
      <w:r w:rsidR="000636C2">
        <w:rPr>
          <w:rFonts w:hint="cs"/>
          <w:rtl/>
        </w:rPr>
        <w:t>،</w:t>
      </w:r>
      <w:r w:rsidRPr="005675B2">
        <w:rPr>
          <w:rFonts w:hint="cs"/>
          <w:rtl/>
        </w:rPr>
        <w:t xml:space="preserve"> وأنه خالفهم فيما هو من خصائص مذهبهم</w:t>
      </w:r>
      <w:r w:rsidR="000636C2">
        <w:rPr>
          <w:rFonts w:hint="cs"/>
          <w:rtl/>
        </w:rPr>
        <w:t>،</w:t>
      </w:r>
      <w:r w:rsidRPr="005675B2">
        <w:rPr>
          <w:rFonts w:hint="cs"/>
          <w:rtl/>
        </w:rPr>
        <w:t xml:space="preserve"> وإذا كان قول الأشاعرة على وفق ما يتصوره ويصوره الباحث وينسبه إليهم ؛ فلا شك في أن ابن حجر ليس أشعرياً</w:t>
      </w:r>
      <w:r w:rsidR="000636C2">
        <w:rPr>
          <w:rFonts w:hint="cs"/>
          <w:rtl/>
        </w:rPr>
        <w:t>،</w:t>
      </w:r>
      <w:r w:rsidRPr="005675B2">
        <w:rPr>
          <w:rFonts w:hint="cs"/>
          <w:rtl/>
        </w:rPr>
        <w:t xml:space="preserve"> ولكن لكي يكون حكم الباحث صحيحاً فإن عليه أن يورد أقوال الأشاعرة من كتبهم وأقوال ابن حجر من كتبه ويبين المناقضة بينهما</w:t>
      </w:r>
      <w:r w:rsidR="000636C2">
        <w:rPr>
          <w:rFonts w:hint="cs"/>
          <w:rtl/>
        </w:rPr>
        <w:t>،</w:t>
      </w:r>
      <w:r w:rsidRPr="005675B2">
        <w:rPr>
          <w:rFonts w:hint="cs"/>
          <w:rtl/>
        </w:rPr>
        <w:t xml:space="preserve"> ولكنه بعيد كل البعد عن هذا وذاك</w:t>
      </w:r>
      <w:r w:rsidR="000636C2">
        <w:rPr>
          <w:rFonts w:hint="cs"/>
          <w:rtl/>
        </w:rPr>
        <w:t>،</w:t>
      </w:r>
      <w:r w:rsidRPr="005675B2">
        <w:rPr>
          <w:rFonts w:hint="cs"/>
          <w:rtl/>
        </w:rPr>
        <w:t xml:space="preserve"> فما قيمة الدعاوى اذا لم تكن مبنية على المنهج العلمي السليم</w:t>
      </w:r>
      <w:r w:rsidR="000636C2">
        <w:rPr>
          <w:rFonts w:hint="cs"/>
          <w:rtl/>
        </w:rPr>
        <w:t>؟!</w:t>
      </w:r>
      <w:r w:rsidRPr="005675B2">
        <w:rPr>
          <w:rFonts w:hint="cs"/>
          <w:rtl/>
        </w:rPr>
        <w:t>!</w:t>
      </w:r>
      <w:r w:rsidR="000636C2">
        <w:rPr>
          <w:rFonts w:hint="cs"/>
          <w:rtl/>
        </w:rPr>
        <w:t xml:space="preserve">، </w:t>
      </w:r>
      <w:r w:rsidRPr="005675B2">
        <w:rPr>
          <w:rFonts w:hint="cs"/>
          <w:rtl/>
        </w:rPr>
        <w:t>2 - إن كان ابن حجر قد نقد الأشاعرة باسمهم الصريح في بعض المسائل فهذا لايكفي دليلاً على أن ابن حجر ليس أشعرياً بإطلاق</w:t>
      </w:r>
      <w:r w:rsidR="000636C2">
        <w:rPr>
          <w:rFonts w:hint="cs"/>
          <w:rtl/>
        </w:rPr>
        <w:t>،</w:t>
      </w:r>
      <w:r w:rsidRPr="005675B2">
        <w:rPr>
          <w:rFonts w:hint="cs"/>
          <w:rtl/>
        </w:rPr>
        <w:t xml:space="preserve"> بل يكون دليلاً على أنه ليس مقلداًً للأشاعرة في كل شيء</w:t>
      </w:r>
      <w:r w:rsidR="000636C2">
        <w:rPr>
          <w:rFonts w:hint="cs"/>
          <w:rtl/>
        </w:rPr>
        <w:t>،</w:t>
      </w:r>
      <w:r w:rsidRPr="005675B2">
        <w:rPr>
          <w:rFonts w:hint="cs"/>
          <w:rtl/>
        </w:rPr>
        <w:t xml:space="preserve"> ولا حرج ولا عيب في هذا لا عليهم ولا عليه</w:t>
      </w:r>
      <w:r w:rsidR="000636C2">
        <w:rPr>
          <w:rFonts w:hint="cs"/>
          <w:rtl/>
        </w:rPr>
        <w:t>،</w:t>
      </w:r>
      <w:r w:rsidRPr="005675B2">
        <w:rPr>
          <w:rFonts w:hint="cs"/>
          <w:rtl/>
        </w:rPr>
        <w:t xml:space="preserve"> بل هذا هو شأن العالم الذي يناقش أقوال سابقيه بما ظهر له من الأدلة</w:t>
      </w:r>
      <w:r w:rsidR="000636C2">
        <w:rPr>
          <w:rFonts w:hint="cs"/>
          <w:rtl/>
        </w:rPr>
        <w:t xml:space="preserve">، </w:t>
      </w:r>
      <w:r w:rsidRPr="005675B2">
        <w:rPr>
          <w:rFonts w:hint="cs"/>
          <w:rtl/>
        </w:rPr>
        <w:t>وكم من فقيه شافعي نقد من سبقه من الفقهاء الشافعيين في بعض المسائل</w:t>
      </w:r>
      <w:r w:rsidR="000636C2">
        <w:rPr>
          <w:rFonts w:hint="cs"/>
          <w:rtl/>
        </w:rPr>
        <w:t>،</w:t>
      </w:r>
      <w:r w:rsidRPr="005675B2">
        <w:rPr>
          <w:rFonts w:hint="cs"/>
          <w:rtl/>
        </w:rPr>
        <w:t xml:space="preserve"> وكم من فقيه حنفي أو مالكي أو حنبلي</w:t>
      </w:r>
      <w:r w:rsidR="000636C2">
        <w:rPr>
          <w:rFonts w:hint="cs"/>
          <w:rtl/>
        </w:rPr>
        <w:t>،</w:t>
      </w:r>
      <w:r w:rsidRPr="005675B2">
        <w:rPr>
          <w:rFonts w:hint="cs"/>
          <w:rtl/>
        </w:rPr>
        <w:t xml:space="preserve"> بل كم من صوفي نقد من سبقه من الصوفيين</w:t>
      </w:r>
      <w:r w:rsidR="000636C2">
        <w:rPr>
          <w:rFonts w:hint="cs"/>
          <w:rtl/>
        </w:rPr>
        <w:t>،</w:t>
      </w:r>
      <w:r w:rsidRPr="005675B2">
        <w:rPr>
          <w:rFonts w:hint="cs"/>
          <w:rtl/>
        </w:rPr>
        <w:t xml:space="preserve"> أفيكون بذلك غير صوفي</w:t>
      </w:r>
      <w:r w:rsidR="000636C2">
        <w:rPr>
          <w:rFonts w:hint="cs"/>
          <w:rtl/>
        </w:rPr>
        <w:t xml:space="preserve">؟، </w:t>
      </w:r>
      <w:r w:rsidRPr="005675B2">
        <w:rPr>
          <w:rFonts w:hint="cs"/>
          <w:rtl/>
        </w:rPr>
        <w:t>هذا ولم يذكر الباحث نص كلام ابن حجر الذي ينقد فيه الأشاعرة باسمهم الصريح ليتبين وجه النقد ومدى ذلك النقد ومن الذي وجه إليه ذلك النقد</w:t>
      </w:r>
      <w:r w:rsidR="000636C2">
        <w:rPr>
          <w:rFonts w:hint="cs"/>
          <w:rtl/>
        </w:rPr>
        <w:t>؟؟</w:t>
      </w:r>
      <w:r w:rsidRPr="005675B2">
        <w:rPr>
          <w:rFonts w:hint="cs"/>
          <w:rtl/>
        </w:rPr>
        <w:t xml:space="preserve"> أهو كل الأشاعرة</w:t>
      </w:r>
      <w:r w:rsidR="000636C2">
        <w:rPr>
          <w:rFonts w:hint="cs"/>
          <w:rtl/>
        </w:rPr>
        <w:t>؟</w:t>
      </w:r>
      <w:r w:rsidRPr="005675B2">
        <w:rPr>
          <w:rFonts w:hint="cs"/>
          <w:rtl/>
        </w:rPr>
        <w:t xml:space="preserve"> أو جمهورهم</w:t>
      </w:r>
      <w:r w:rsidR="000636C2">
        <w:rPr>
          <w:rFonts w:hint="cs"/>
          <w:rtl/>
        </w:rPr>
        <w:t>؟</w:t>
      </w:r>
      <w:r w:rsidRPr="005675B2">
        <w:rPr>
          <w:rFonts w:hint="cs"/>
          <w:rtl/>
        </w:rPr>
        <w:t xml:space="preserve"> أو بعضهم</w:t>
      </w:r>
      <w:r w:rsidR="000636C2">
        <w:rPr>
          <w:rFonts w:hint="cs"/>
          <w:rtl/>
        </w:rPr>
        <w:t>؟!</w:t>
      </w:r>
      <w:r w:rsidRPr="005675B2">
        <w:rPr>
          <w:rFonts w:hint="cs"/>
          <w:rtl/>
        </w:rPr>
        <w:t>! وليته ذكر مثالاً واحداً</w:t>
      </w:r>
      <w:r w:rsidR="000636C2">
        <w:rPr>
          <w:rFonts w:hint="cs"/>
          <w:rtl/>
        </w:rPr>
        <w:t xml:space="preserve"> </w:t>
      </w:r>
      <w:r w:rsidRPr="005675B2">
        <w:rPr>
          <w:rFonts w:hint="cs"/>
          <w:rtl/>
        </w:rPr>
        <w:t>أو مثالين</w:t>
      </w:r>
      <w:r w:rsidR="000636C2">
        <w:rPr>
          <w:rFonts w:hint="cs"/>
          <w:rtl/>
        </w:rPr>
        <w:t>،</w:t>
      </w:r>
      <w:r w:rsidRPr="005675B2">
        <w:rPr>
          <w:rFonts w:hint="cs"/>
          <w:rtl/>
        </w:rPr>
        <w:t xml:space="preserve"> فهذا أقرب إلى المنهج العلمي من الإبهام والإطلاق</w:t>
      </w:r>
      <w:r w:rsidR="000636C2">
        <w:rPr>
          <w:rFonts w:hint="cs"/>
          <w:rtl/>
        </w:rPr>
        <w:t xml:space="preserve">، </w:t>
      </w:r>
      <w:r w:rsidRPr="005675B2">
        <w:rPr>
          <w:rFonts w:hint="cs"/>
          <w:rtl/>
        </w:rPr>
        <w:t>3 - ذكر الباحث أن ابن حجر خالف الأشاعرة فيما هو من خصائص مذهبهم</w:t>
      </w:r>
      <w:r w:rsidR="000636C2">
        <w:rPr>
          <w:rFonts w:hint="cs"/>
          <w:rtl/>
        </w:rPr>
        <w:t>،</w:t>
      </w:r>
      <w:r w:rsidRPr="005675B2">
        <w:rPr>
          <w:rFonts w:hint="cs"/>
          <w:rtl/>
        </w:rPr>
        <w:t xml:space="preserve"> ومن ذلك أنه خالفهم في الإيمان</w:t>
      </w:r>
      <w:r w:rsidR="000636C2">
        <w:rPr>
          <w:rFonts w:hint="cs"/>
          <w:rtl/>
        </w:rPr>
        <w:t>،</w:t>
      </w:r>
      <w:r w:rsidRPr="005675B2">
        <w:rPr>
          <w:rFonts w:hint="cs"/>
          <w:rtl/>
        </w:rPr>
        <w:t xml:space="preserve"> وأحال الباحث إلى الجزء والصفحة من فتح الباري</w:t>
      </w:r>
      <w:r w:rsidR="000636C2">
        <w:rPr>
          <w:rFonts w:hint="cs"/>
          <w:rtl/>
        </w:rPr>
        <w:t>،</w:t>
      </w:r>
      <w:r w:rsidRPr="005675B2">
        <w:rPr>
          <w:rFonts w:hint="cs"/>
          <w:rtl/>
        </w:rPr>
        <w:t xml:space="preserve"> ولكن الموجود في ذلك الموضع لا يخالف ما قاله الأشاعرة</w:t>
      </w:r>
      <w:r w:rsidR="000636C2">
        <w:rPr>
          <w:rFonts w:hint="cs"/>
          <w:rtl/>
        </w:rPr>
        <w:t xml:space="preserve">، </w:t>
      </w:r>
      <w:r w:rsidRPr="005675B2">
        <w:rPr>
          <w:rFonts w:hint="cs"/>
          <w:rtl/>
        </w:rPr>
        <w:t>قال ابن حجر</w:t>
      </w:r>
      <w:r w:rsidR="000636C2">
        <w:rPr>
          <w:rFonts w:hint="cs"/>
          <w:rtl/>
        </w:rPr>
        <w:t>:</w:t>
      </w:r>
      <w:r w:rsidRPr="005675B2">
        <w:rPr>
          <w:rFonts w:hint="cs"/>
          <w:rtl/>
        </w:rPr>
        <w:t xml:space="preserve"> </w:t>
      </w:r>
      <w:r w:rsidR="000636C2">
        <w:rPr>
          <w:rFonts w:hint="cs"/>
          <w:rtl/>
        </w:rPr>
        <w:t>[</w:t>
      </w:r>
      <w:r w:rsidRPr="005675B2">
        <w:rPr>
          <w:rFonts w:hint="cs"/>
          <w:rtl/>
        </w:rPr>
        <w:t>والإيمان لغة التصديق</w:t>
      </w:r>
      <w:r w:rsidR="000636C2">
        <w:rPr>
          <w:rFonts w:hint="cs"/>
          <w:rtl/>
        </w:rPr>
        <w:t>،</w:t>
      </w:r>
      <w:r w:rsidRPr="005675B2">
        <w:rPr>
          <w:rFonts w:hint="cs"/>
          <w:rtl/>
        </w:rPr>
        <w:t xml:space="preserve"> وشرعاً تصديق الرسول فيما جاء به عن ربه</w:t>
      </w:r>
      <w:r w:rsidR="000636C2">
        <w:rPr>
          <w:rFonts w:hint="cs"/>
          <w:rtl/>
        </w:rPr>
        <w:t>،</w:t>
      </w:r>
      <w:r w:rsidRPr="005675B2">
        <w:rPr>
          <w:rFonts w:hint="cs"/>
          <w:rtl/>
        </w:rPr>
        <w:t xml:space="preserve"> وهذا القدر متفق عليه</w:t>
      </w:r>
      <w:r w:rsidR="000636C2">
        <w:rPr>
          <w:rFonts w:hint="cs"/>
          <w:rtl/>
        </w:rPr>
        <w:t>،</w:t>
      </w:r>
      <w:r w:rsidRPr="005675B2">
        <w:rPr>
          <w:rFonts w:hint="cs"/>
          <w:rtl/>
        </w:rPr>
        <w:t xml:space="preserve"> ثم وقع الاختلاف</w:t>
      </w:r>
      <w:r w:rsidR="000636C2">
        <w:rPr>
          <w:rFonts w:hint="cs"/>
          <w:rtl/>
        </w:rPr>
        <w:t>:</w:t>
      </w:r>
      <w:r w:rsidRPr="005675B2">
        <w:rPr>
          <w:rFonts w:hint="cs"/>
          <w:rtl/>
        </w:rPr>
        <w:t xml:space="preserve"> هل يشترط مع ذلك مزيد أمر من جهة إبداء هذا التصديق باللسان المعبر عما في القلب إذ التصديق من أفعال القلوب</w:t>
      </w:r>
      <w:r w:rsidR="000636C2">
        <w:rPr>
          <w:rFonts w:hint="cs"/>
          <w:rtl/>
        </w:rPr>
        <w:t>؟</w:t>
      </w:r>
      <w:r w:rsidRPr="005675B2">
        <w:rPr>
          <w:rFonts w:hint="cs"/>
          <w:rtl/>
        </w:rPr>
        <w:t xml:space="preserve"> أو من جهة العمل بما صدق به من ذلك كفعل المأمورات وترك المنهيات</w:t>
      </w:r>
      <w:r w:rsidR="000636C2">
        <w:rPr>
          <w:rFonts w:hint="cs"/>
          <w:rtl/>
        </w:rPr>
        <w:t>؟</w:t>
      </w:r>
      <w:r w:rsidRPr="005675B2">
        <w:rPr>
          <w:rFonts w:hint="cs"/>
          <w:rtl/>
        </w:rPr>
        <w:t xml:space="preserve"> .. فالسلف قالوا هو اعتقاد بالقلب ونطق باللسان وعمل بالأركان</w:t>
      </w:r>
      <w:r w:rsidR="000636C2">
        <w:rPr>
          <w:rFonts w:hint="cs"/>
          <w:rtl/>
        </w:rPr>
        <w:t>،</w:t>
      </w:r>
      <w:r w:rsidRPr="005675B2">
        <w:rPr>
          <w:rFonts w:hint="cs"/>
          <w:rtl/>
        </w:rPr>
        <w:t xml:space="preserve"> وأرادوا بذلك أن الأعمال شرط في كماله</w:t>
      </w:r>
      <w:r w:rsidR="000636C2">
        <w:rPr>
          <w:rFonts w:hint="cs"/>
          <w:rtl/>
        </w:rPr>
        <w:t>،</w:t>
      </w:r>
      <w:r w:rsidRPr="005675B2">
        <w:rPr>
          <w:rFonts w:hint="cs"/>
          <w:rtl/>
        </w:rPr>
        <w:t xml:space="preserve"> والمرجئة قالوا هو اعتقاد ونطق فقط</w:t>
      </w:r>
      <w:r w:rsidR="000636C2">
        <w:rPr>
          <w:rFonts w:hint="cs"/>
          <w:rtl/>
        </w:rPr>
        <w:t>،</w:t>
      </w:r>
      <w:r w:rsidRPr="005675B2">
        <w:rPr>
          <w:rFonts w:hint="cs"/>
          <w:rtl/>
        </w:rPr>
        <w:t xml:space="preserve"> والكرامية قالوا هو نطق فقط</w:t>
      </w:r>
      <w:r w:rsidR="000636C2">
        <w:rPr>
          <w:rFonts w:hint="cs"/>
          <w:rtl/>
        </w:rPr>
        <w:t>،</w:t>
      </w:r>
      <w:r w:rsidRPr="005675B2">
        <w:rPr>
          <w:rFonts w:hint="cs"/>
          <w:rtl/>
        </w:rPr>
        <w:t xml:space="preserve"> والمعتزلة قالوا هو العمل والنطق والاعتقاد</w:t>
      </w:r>
      <w:r w:rsidR="000636C2">
        <w:rPr>
          <w:rFonts w:hint="cs"/>
          <w:rtl/>
        </w:rPr>
        <w:t>،</w:t>
      </w:r>
      <w:r w:rsidRPr="005675B2">
        <w:rPr>
          <w:rFonts w:hint="cs"/>
          <w:rtl/>
        </w:rPr>
        <w:t xml:space="preserve"> والفارق بينهم وبين السلف أنهم جعلوا الأعمال شرطاً في صحته والسلف جعلوها شرطاً في كماله</w:t>
      </w:r>
      <w:r w:rsidR="000636C2">
        <w:rPr>
          <w:rFonts w:hint="cs"/>
          <w:rtl/>
        </w:rPr>
        <w:t>]</w:t>
      </w:r>
      <w:r w:rsidRPr="005675B2">
        <w:rPr>
          <w:rFonts w:hint="cs"/>
          <w:rtl/>
        </w:rPr>
        <w:t xml:space="preserve"> [</w:t>
      </w:r>
      <w:r w:rsidRPr="005675B2">
        <w:rPr>
          <w:rFonts w:hint="cs"/>
          <w:sz w:val="24"/>
          <w:szCs w:val="24"/>
          <w:rtl/>
        </w:rPr>
        <w:t>فتح الباري: 1 / 46 . طبعة دار الفكر . الباب الأول من كتاب الإيمان</w:t>
      </w:r>
      <w:r w:rsidR="000636C2">
        <w:rPr>
          <w:rFonts w:hint="cs"/>
          <w:sz w:val="24"/>
          <w:szCs w:val="24"/>
          <w:rtl/>
        </w:rPr>
        <w:t>]</w:t>
      </w:r>
      <w:r w:rsidR="000636C2">
        <w:rPr>
          <w:rFonts w:hint="cs"/>
          <w:rtl/>
        </w:rPr>
        <w:t xml:space="preserve">، </w:t>
      </w:r>
      <w:r w:rsidRPr="005675B2">
        <w:rPr>
          <w:rFonts w:hint="cs"/>
          <w:rtl/>
        </w:rPr>
        <w:t>ومما ينبغي ال</w:t>
      </w:r>
      <w:r w:rsidR="000636C2">
        <w:rPr>
          <w:rFonts w:hint="cs"/>
          <w:rtl/>
        </w:rPr>
        <w:t>(</w:t>
      </w:r>
      <w:r>
        <w:rPr>
          <w:rFonts w:hint="cs"/>
          <w:rtl/>
        </w:rPr>
        <w:t>تنبيه</w:t>
      </w:r>
      <w:r w:rsidR="000636C2">
        <w:rPr>
          <w:rFonts w:hint="cs"/>
          <w:rtl/>
        </w:rPr>
        <w:t>)</w:t>
      </w:r>
      <w:r w:rsidRPr="005675B2">
        <w:rPr>
          <w:rFonts w:hint="cs"/>
          <w:rtl/>
        </w:rPr>
        <w:t xml:space="preserve"> عليه</w:t>
      </w:r>
      <w:r w:rsidR="000636C2">
        <w:rPr>
          <w:rFonts w:hint="cs"/>
          <w:rtl/>
        </w:rPr>
        <w:t xml:space="preserve"> </w:t>
      </w:r>
      <w:r w:rsidRPr="005675B2">
        <w:rPr>
          <w:rFonts w:hint="cs"/>
          <w:rtl/>
        </w:rPr>
        <w:t>- وإن كان لا يغيب عن فطنة الفطن</w:t>
      </w:r>
      <w:r w:rsidR="000636C2">
        <w:rPr>
          <w:rFonts w:hint="cs"/>
          <w:rtl/>
        </w:rPr>
        <w:t xml:space="preserve"> </w:t>
      </w:r>
      <w:r w:rsidRPr="005675B2">
        <w:rPr>
          <w:rFonts w:hint="cs"/>
          <w:rtl/>
        </w:rPr>
        <w:t>- هو أن ابن حجر لم يذكر قولاً للأشاعرة في مسالة الإيمان</w:t>
      </w:r>
      <w:r w:rsidR="000636C2">
        <w:rPr>
          <w:rFonts w:hint="cs"/>
          <w:rtl/>
        </w:rPr>
        <w:t>،</w:t>
      </w:r>
      <w:r w:rsidRPr="005675B2">
        <w:rPr>
          <w:rFonts w:hint="cs"/>
          <w:rtl/>
        </w:rPr>
        <w:t xml:space="preserve"> وما ذاك إلا لأنه يعتقد أن قولهم لا يخرج عن قول السلف</w:t>
      </w:r>
      <w:r w:rsidR="000636C2">
        <w:rPr>
          <w:rFonts w:hint="cs"/>
          <w:rtl/>
        </w:rPr>
        <w:t>،</w:t>
      </w:r>
      <w:r w:rsidRPr="005675B2">
        <w:rPr>
          <w:rFonts w:hint="cs"/>
          <w:rtl/>
        </w:rPr>
        <w:t xml:space="preserve"> إذ تفسير الأشاعرة للإيمان بالتصديق والاعتقاد لا يعني أنهم يطرحون قول اللسان وعمل الجوارح</w:t>
      </w:r>
      <w:r w:rsidR="000636C2">
        <w:rPr>
          <w:rFonts w:hint="cs"/>
          <w:rtl/>
        </w:rPr>
        <w:t>،</w:t>
      </w:r>
      <w:r w:rsidRPr="005675B2">
        <w:rPr>
          <w:rFonts w:hint="cs"/>
          <w:rtl/>
        </w:rPr>
        <w:t xml:space="preserve"> وإنما يعني أن الإيمان الذي يخرج به المرء من الكفر إلى الحد الأدنى من الإيمان هو التصديق والاعتقاد</w:t>
      </w:r>
      <w:r w:rsidR="000636C2">
        <w:rPr>
          <w:rFonts w:hint="cs"/>
          <w:rtl/>
        </w:rPr>
        <w:t>،</w:t>
      </w:r>
      <w:r w:rsidRPr="005675B2">
        <w:rPr>
          <w:rFonts w:hint="cs"/>
          <w:rtl/>
        </w:rPr>
        <w:t xml:space="preserve"> وأما القول والعمل فهما من ثمار الإيمان</w:t>
      </w:r>
      <w:r w:rsidR="000636C2">
        <w:rPr>
          <w:rFonts w:hint="cs"/>
          <w:rtl/>
        </w:rPr>
        <w:t>،</w:t>
      </w:r>
      <w:r w:rsidRPr="005675B2">
        <w:rPr>
          <w:rFonts w:hint="cs"/>
          <w:rtl/>
        </w:rPr>
        <w:t xml:space="preserve"> وهما شرط في كمال الإيمان لا في صحته</w:t>
      </w:r>
      <w:r w:rsidR="000636C2">
        <w:rPr>
          <w:rFonts w:hint="cs"/>
          <w:rtl/>
        </w:rPr>
        <w:t xml:space="preserve">، </w:t>
      </w:r>
      <w:r w:rsidRPr="005675B2">
        <w:rPr>
          <w:rFonts w:hint="cs"/>
          <w:rtl/>
        </w:rPr>
        <w:t>فهل خالف ابن حجر الأشاعرة في الإيمان</w:t>
      </w:r>
      <w:r w:rsidR="000636C2">
        <w:rPr>
          <w:rFonts w:hint="cs"/>
          <w:rtl/>
        </w:rPr>
        <w:t>؟!</w:t>
      </w:r>
      <w:r w:rsidRPr="005675B2">
        <w:rPr>
          <w:rFonts w:hint="cs"/>
          <w:rtl/>
        </w:rPr>
        <w:t xml:space="preserve"> فتأمل</w:t>
      </w:r>
      <w:r w:rsidR="000636C2">
        <w:rPr>
          <w:rFonts w:hint="cs"/>
          <w:rtl/>
        </w:rPr>
        <w:t xml:space="preserve"> </w:t>
      </w:r>
      <w:r w:rsidRPr="005675B2">
        <w:rPr>
          <w:rFonts w:hint="cs"/>
          <w:rtl/>
        </w:rPr>
        <w:t>- أيها القارئ المنصف</w:t>
      </w:r>
      <w:r w:rsidR="000636C2">
        <w:rPr>
          <w:rFonts w:hint="cs"/>
          <w:rtl/>
        </w:rPr>
        <w:t xml:space="preserve"> </w:t>
      </w:r>
      <w:r w:rsidRPr="005675B2">
        <w:rPr>
          <w:rFonts w:hint="cs"/>
          <w:rtl/>
        </w:rPr>
        <w:t>- واعجب</w:t>
      </w:r>
      <w:r w:rsidR="000636C2">
        <w:rPr>
          <w:rFonts w:hint="cs"/>
          <w:rtl/>
        </w:rPr>
        <w:t xml:space="preserve">!، </w:t>
      </w:r>
      <w:r w:rsidRPr="005675B2">
        <w:rPr>
          <w:rFonts w:hint="cs"/>
          <w:rtl/>
        </w:rPr>
        <w:t>4 - ذكر الباحث أن ابن حجر يخالف الأشاعرة في الاحتجاج بحديث الآحاد في العقيدة</w:t>
      </w:r>
      <w:r w:rsidR="000636C2">
        <w:rPr>
          <w:rFonts w:hint="cs"/>
          <w:rtl/>
        </w:rPr>
        <w:t>،</w:t>
      </w:r>
      <w:r w:rsidRPr="005675B2">
        <w:rPr>
          <w:rFonts w:hint="cs"/>
          <w:rtl/>
        </w:rPr>
        <w:t xml:space="preserve"> والواقع خلاف ذلك</w:t>
      </w:r>
      <w:r w:rsidR="000636C2">
        <w:rPr>
          <w:rFonts w:hint="cs"/>
          <w:rtl/>
        </w:rPr>
        <w:t>،</w:t>
      </w:r>
      <w:r w:rsidRPr="005675B2">
        <w:rPr>
          <w:rFonts w:hint="cs"/>
          <w:rtl/>
        </w:rPr>
        <w:t xml:space="preserve"> وبيانه أن البخاري رحمه الله قال في صحيحه </w:t>
      </w:r>
      <w:r w:rsidR="000636C2">
        <w:rPr>
          <w:rFonts w:hint="cs"/>
          <w:rtl/>
        </w:rPr>
        <w:t>[</w:t>
      </w:r>
      <w:r w:rsidRPr="005675B2">
        <w:rPr>
          <w:rFonts w:hint="cs"/>
          <w:rtl/>
        </w:rPr>
        <w:t>باب ما جاء في إجازة خبر الواحد الصدوق في الأذان والصلاة والصوم والفرائض والأحكام</w:t>
      </w:r>
      <w:r w:rsidR="000636C2">
        <w:rPr>
          <w:rFonts w:hint="cs"/>
          <w:rtl/>
        </w:rPr>
        <w:t>]،</w:t>
      </w:r>
      <w:r w:rsidRPr="005675B2">
        <w:rPr>
          <w:rFonts w:hint="cs"/>
          <w:rtl/>
        </w:rPr>
        <w:t xml:space="preserve"> فبيّن ابن حجر رحمه الله أن البخاري أتى بلفظة الفرائض بعد الأذان والصلاة والصوم من باب عطف العام على الخاص</w:t>
      </w:r>
      <w:r w:rsidR="000636C2">
        <w:rPr>
          <w:rFonts w:hint="cs"/>
          <w:rtl/>
        </w:rPr>
        <w:t>،</w:t>
      </w:r>
      <w:r w:rsidRPr="005675B2">
        <w:rPr>
          <w:rFonts w:hint="cs"/>
          <w:rtl/>
        </w:rPr>
        <w:t xml:space="preserve"> ثم نقل عن الكرماني أنه قال </w:t>
      </w:r>
      <w:r w:rsidR="000636C2">
        <w:rPr>
          <w:rFonts w:hint="cs"/>
          <w:rtl/>
        </w:rPr>
        <w:t>[</w:t>
      </w:r>
      <w:r w:rsidRPr="005675B2">
        <w:rPr>
          <w:rFonts w:hint="cs"/>
          <w:rtl/>
        </w:rPr>
        <w:t>ليعلم أنما هو في العمليات لا في الاعتقاديات</w:t>
      </w:r>
      <w:r w:rsidR="000636C2">
        <w:rPr>
          <w:rFonts w:hint="cs"/>
          <w:rtl/>
        </w:rPr>
        <w:t>]،</w:t>
      </w:r>
      <w:r w:rsidRPr="005675B2">
        <w:rPr>
          <w:rFonts w:hint="cs"/>
          <w:rtl/>
        </w:rPr>
        <w:t xml:space="preserve"> وأقره على ذلك</w:t>
      </w:r>
      <w:r w:rsidR="000636C2">
        <w:rPr>
          <w:rFonts w:hint="cs"/>
          <w:rtl/>
        </w:rPr>
        <w:t>،</w:t>
      </w:r>
      <w:r w:rsidRPr="005675B2">
        <w:rPr>
          <w:rFonts w:hint="cs"/>
          <w:rtl/>
        </w:rPr>
        <w:t xml:space="preserve"> إذ لم يتعقبه بشيء [</w:t>
      </w:r>
      <w:r w:rsidRPr="005675B2">
        <w:rPr>
          <w:rFonts w:hint="cs"/>
          <w:sz w:val="24"/>
          <w:szCs w:val="24"/>
          <w:rtl/>
        </w:rPr>
        <w:t>فتح الباري: 13 / 231</w:t>
      </w:r>
      <w:r w:rsidR="000636C2">
        <w:rPr>
          <w:rFonts w:hint="cs"/>
          <w:sz w:val="24"/>
          <w:szCs w:val="24"/>
          <w:rtl/>
        </w:rPr>
        <w:t>،</w:t>
      </w:r>
      <w:r w:rsidRPr="005675B2">
        <w:rPr>
          <w:rFonts w:hint="cs"/>
          <w:sz w:val="24"/>
          <w:szCs w:val="24"/>
          <w:rtl/>
        </w:rPr>
        <w:t xml:space="preserve"> 234 . الباب الأول من كتاب أخبار الآحاد</w:t>
      </w:r>
      <w:r w:rsidR="000636C2">
        <w:rPr>
          <w:rFonts w:hint="cs"/>
          <w:sz w:val="24"/>
          <w:szCs w:val="24"/>
          <w:rtl/>
        </w:rPr>
        <w:t>]</w:t>
      </w:r>
      <w:r w:rsidRPr="005675B2">
        <w:rPr>
          <w:rFonts w:hint="cs"/>
          <w:rtl/>
        </w:rPr>
        <w:t>،</w:t>
      </w:r>
      <w:r w:rsidR="000636C2">
        <w:rPr>
          <w:rFonts w:hint="cs"/>
          <w:rtl/>
        </w:rPr>
        <w:t xml:space="preserve"> </w:t>
      </w:r>
      <w:r w:rsidRPr="005675B2">
        <w:rPr>
          <w:rFonts w:hint="cs"/>
          <w:rtl/>
        </w:rPr>
        <w:t>فهل خالف ابن حجر الأشاعرة في أن أحاديث الآحاد حجة في الأحكام والفرائض لا في العقائد</w:t>
      </w:r>
      <w:r w:rsidR="000636C2">
        <w:rPr>
          <w:rFonts w:hint="cs"/>
          <w:rtl/>
        </w:rPr>
        <w:t>؟!</w:t>
      </w:r>
      <w:r w:rsidRPr="005675B2">
        <w:rPr>
          <w:rFonts w:hint="cs"/>
          <w:rtl/>
        </w:rPr>
        <w:t xml:space="preserve"> فتأمل</w:t>
      </w:r>
      <w:r w:rsidR="000636C2">
        <w:rPr>
          <w:rFonts w:hint="cs"/>
          <w:rtl/>
        </w:rPr>
        <w:t xml:space="preserve"> </w:t>
      </w:r>
      <w:r w:rsidRPr="005675B2">
        <w:rPr>
          <w:rFonts w:hint="cs"/>
          <w:rtl/>
        </w:rPr>
        <w:t>- أيها القارىء المنصف</w:t>
      </w:r>
      <w:r w:rsidR="000636C2">
        <w:rPr>
          <w:rFonts w:hint="cs"/>
          <w:rtl/>
        </w:rPr>
        <w:t xml:space="preserve"> </w:t>
      </w:r>
      <w:r w:rsidRPr="005675B2">
        <w:rPr>
          <w:rFonts w:hint="cs"/>
          <w:rtl/>
        </w:rPr>
        <w:t>- واعجب</w:t>
      </w:r>
      <w:r w:rsidR="000636C2">
        <w:rPr>
          <w:rFonts w:hint="cs"/>
          <w:rtl/>
        </w:rPr>
        <w:t xml:space="preserve">!، </w:t>
      </w:r>
      <w:r w:rsidRPr="005675B2">
        <w:rPr>
          <w:rFonts w:hint="cs"/>
          <w:rtl/>
        </w:rPr>
        <w:t>5 - يميل الباحث إلى أن ابن حجر</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كان متذبذباً في عقيدته وأن هذا القول أقرب الى الصواب</w:t>
      </w:r>
      <w:r w:rsidR="000636C2">
        <w:rPr>
          <w:rFonts w:hint="cs"/>
          <w:rtl/>
        </w:rPr>
        <w:t>!،</w:t>
      </w:r>
      <w:r w:rsidRPr="005675B2">
        <w:rPr>
          <w:rFonts w:hint="cs"/>
          <w:rtl/>
        </w:rPr>
        <w:t xml:space="preserve"> يقول الباحث هذا وهو لم يذكر عن ابن حجر كلمة واحدة ومناقضتها لآية قرآنية أو حديث نبوي صحيح</w:t>
      </w:r>
      <w:r w:rsidR="000636C2">
        <w:rPr>
          <w:rFonts w:hint="cs"/>
          <w:rtl/>
        </w:rPr>
        <w:t>،</w:t>
      </w:r>
      <w:r w:rsidRPr="005675B2">
        <w:rPr>
          <w:rFonts w:hint="cs"/>
          <w:rtl/>
        </w:rPr>
        <w:t xml:space="preserve"> فهل هذا هو المنهج العلمي المرتكز على الكتاب والسنة</w:t>
      </w:r>
      <w:r w:rsidR="000636C2">
        <w:rPr>
          <w:rFonts w:hint="cs"/>
          <w:rtl/>
        </w:rPr>
        <w:t>؟!</w:t>
      </w:r>
      <w:r w:rsidRPr="005675B2">
        <w:rPr>
          <w:rFonts w:hint="cs"/>
          <w:rtl/>
        </w:rPr>
        <w:t xml:space="preserve"> ولمصلحة من هذا</w:t>
      </w:r>
      <w:r w:rsidR="000636C2">
        <w:rPr>
          <w:rFonts w:hint="cs"/>
          <w:rtl/>
        </w:rPr>
        <w:t xml:space="preserve">؟، </w:t>
      </w:r>
      <w:r w:rsidRPr="005675B2">
        <w:rPr>
          <w:rFonts w:hint="cs"/>
          <w:rtl/>
        </w:rPr>
        <w:t>6 - بعد أن يصف الباحث ابن حجر</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بأنه كان متذبذبا في عقيدته يصف البربهاري</w:t>
      </w:r>
      <w:r w:rsidR="000636C2">
        <w:rPr>
          <w:rFonts w:hint="cs"/>
          <w:rtl/>
        </w:rPr>
        <w:t xml:space="preserve"> </w:t>
      </w:r>
      <w:r w:rsidRPr="005675B2">
        <w:rPr>
          <w:rFonts w:hint="cs"/>
          <w:rtl/>
        </w:rPr>
        <w:t>- رحمه الله وغفر له</w:t>
      </w:r>
      <w:r w:rsidR="000636C2">
        <w:rPr>
          <w:rFonts w:hint="cs"/>
          <w:rtl/>
        </w:rPr>
        <w:t xml:space="preserve"> </w:t>
      </w:r>
      <w:r w:rsidRPr="005675B2">
        <w:rPr>
          <w:rFonts w:hint="cs"/>
          <w:rtl/>
        </w:rPr>
        <w:t xml:space="preserve">- بأنه </w:t>
      </w:r>
      <w:r w:rsidR="000636C2">
        <w:rPr>
          <w:rFonts w:hint="cs"/>
          <w:rtl/>
        </w:rPr>
        <w:t>[</w:t>
      </w:r>
      <w:r w:rsidRPr="005675B2">
        <w:rPr>
          <w:rFonts w:hint="cs"/>
          <w:rtl/>
        </w:rPr>
        <w:t>إمام السنة في عصره</w:t>
      </w:r>
      <w:r w:rsidR="000636C2">
        <w:rPr>
          <w:rFonts w:hint="cs"/>
          <w:rtl/>
        </w:rPr>
        <w:t xml:space="preserve">]!، </w:t>
      </w:r>
      <w:r w:rsidRPr="005675B2">
        <w:rPr>
          <w:rFonts w:hint="cs"/>
          <w:rtl/>
        </w:rPr>
        <w:t xml:space="preserve">- وهو الحسن بن علي بن خلف المتوفى سنة </w:t>
      </w:r>
      <w:r w:rsidR="000636C2">
        <w:rPr>
          <w:rFonts w:hint="cs"/>
          <w:rtl/>
        </w:rPr>
        <w:t>(</w:t>
      </w:r>
      <w:r w:rsidRPr="005675B2">
        <w:rPr>
          <w:rFonts w:hint="cs"/>
          <w:rtl/>
        </w:rPr>
        <w:t>329ه -</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والبربهاري هذا لم يكن يجلس مجلساً إلا ويذكر فيه أن الله عزَّ وجل يُقعد محمداً صلى الله عليه وسلم معه على العرش </w:t>
      </w:r>
      <w:r w:rsidR="000636C2">
        <w:rPr>
          <w:rFonts w:hint="cs"/>
          <w:rtl/>
        </w:rPr>
        <w:t>[</w:t>
      </w:r>
      <w:r w:rsidRPr="005675B2">
        <w:rPr>
          <w:rFonts w:hint="cs"/>
          <w:sz w:val="24"/>
          <w:szCs w:val="24"/>
          <w:rtl/>
        </w:rPr>
        <w:t>انظر: طبقات الحنابلة لابن أبي يعلى: 2 / 43</w:t>
      </w:r>
      <w:r w:rsidR="000636C2">
        <w:rPr>
          <w:rFonts w:hint="cs"/>
          <w:sz w:val="24"/>
          <w:szCs w:val="24"/>
          <w:rtl/>
        </w:rPr>
        <w:t>]</w:t>
      </w:r>
      <w:r w:rsidR="000636C2">
        <w:rPr>
          <w:rFonts w:hint="cs"/>
          <w:rtl/>
        </w:rPr>
        <w:t xml:space="preserve">!، </w:t>
      </w:r>
      <w:r w:rsidRPr="005675B2">
        <w:rPr>
          <w:rFonts w:hint="cs"/>
          <w:rtl/>
        </w:rPr>
        <w:t>ومما ينبغي أن يعلم أن هذه عقيدة نصرانية ضالة</w:t>
      </w:r>
      <w:r w:rsidR="000636C2">
        <w:rPr>
          <w:rFonts w:hint="cs"/>
          <w:rtl/>
        </w:rPr>
        <w:t>،</w:t>
      </w:r>
      <w:r w:rsidRPr="005675B2">
        <w:rPr>
          <w:rFonts w:hint="cs"/>
          <w:rtl/>
        </w:rPr>
        <w:t xml:space="preserve"> يقول بها النصارى في حق عيسى عليه السلام</w:t>
      </w:r>
      <w:r w:rsidR="000636C2">
        <w:rPr>
          <w:rFonts w:hint="cs"/>
          <w:rtl/>
        </w:rPr>
        <w:t>،</w:t>
      </w:r>
      <w:r w:rsidRPr="005675B2">
        <w:rPr>
          <w:rFonts w:hint="cs"/>
          <w:rtl/>
        </w:rPr>
        <w:t xml:space="preserve"> فتسربت إلى بعض جهلة المسلمين</w:t>
      </w:r>
      <w:r w:rsidR="000636C2">
        <w:rPr>
          <w:rFonts w:hint="cs"/>
          <w:rtl/>
        </w:rPr>
        <w:t>،</w:t>
      </w:r>
      <w:r w:rsidRPr="005675B2">
        <w:rPr>
          <w:rFonts w:hint="cs"/>
          <w:rtl/>
        </w:rPr>
        <w:t xml:space="preserve"> فنقلها إلى محمد صلى الله عليه وسلم</w:t>
      </w:r>
      <w:r w:rsidR="000636C2">
        <w:rPr>
          <w:rFonts w:hint="cs"/>
          <w:rtl/>
        </w:rPr>
        <w:t>،</w:t>
      </w:r>
      <w:r w:rsidRPr="005675B2">
        <w:rPr>
          <w:rFonts w:hint="cs"/>
          <w:rtl/>
        </w:rPr>
        <w:t xml:space="preserve"> وفي الإنجيل المحرف الذي بأيدي النصارى هذا النص</w:t>
      </w:r>
      <w:r w:rsidR="000636C2">
        <w:rPr>
          <w:rFonts w:hint="cs"/>
          <w:rtl/>
        </w:rPr>
        <w:t>:</w:t>
      </w:r>
      <w:r w:rsidRPr="005675B2">
        <w:rPr>
          <w:rFonts w:hint="cs"/>
          <w:rtl/>
        </w:rPr>
        <w:t xml:space="preserve"> </w:t>
      </w:r>
      <w:r w:rsidR="000636C2">
        <w:rPr>
          <w:rFonts w:hint="cs"/>
          <w:rtl/>
        </w:rPr>
        <w:t>[</w:t>
      </w:r>
      <w:r w:rsidRPr="005675B2">
        <w:rPr>
          <w:rFonts w:hint="cs"/>
          <w:rtl/>
        </w:rPr>
        <w:t>وبعدما كلمهم الرب يسوع رفع إلى السماء وجلس عن يمين الله</w:t>
      </w:r>
      <w:r w:rsidR="000636C2">
        <w:rPr>
          <w:rFonts w:hint="cs"/>
          <w:rtl/>
        </w:rPr>
        <w:t>]</w:t>
      </w:r>
      <w:r w:rsidRPr="005675B2">
        <w:rPr>
          <w:rFonts w:hint="cs"/>
          <w:rtl/>
        </w:rPr>
        <w:t xml:space="preserve"> </w:t>
      </w:r>
      <w:r w:rsidR="000636C2">
        <w:rPr>
          <w:rFonts w:hint="cs"/>
          <w:rtl/>
        </w:rPr>
        <w:t>[</w:t>
      </w:r>
      <w:r w:rsidRPr="005675B2">
        <w:rPr>
          <w:rFonts w:hint="cs"/>
          <w:sz w:val="24"/>
          <w:szCs w:val="24"/>
          <w:rtl/>
        </w:rPr>
        <w:t>إنجيل مرقس: 16 / 19</w:t>
      </w:r>
      <w:r w:rsidR="000636C2">
        <w:rPr>
          <w:rFonts w:hint="cs"/>
          <w:sz w:val="24"/>
          <w:szCs w:val="24"/>
          <w:rtl/>
        </w:rPr>
        <w:t>]</w:t>
      </w:r>
      <w:r w:rsidR="000636C2">
        <w:rPr>
          <w:rFonts w:hint="cs"/>
          <w:rtl/>
        </w:rPr>
        <w:t xml:space="preserve">، </w:t>
      </w:r>
      <w:r w:rsidRPr="005675B2">
        <w:rPr>
          <w:rFonts w:hint="cs"/>
          <w:rtl/>
        </w:rPr>
        <w:t>فالبربهاري ومن يقول بقوله هم - في نظر الباحث</w:t>
      </w:r>
      <w:r w:rsidR="000636C2">
        <w:rPr>
          <w:rFonts w:hint="cs"/>
          <w:rtl/>
        </w:rPr>
        <w:t xml:space="preserve"> </w:t>
      </w:r>
      <w:r w:rsidRPr="005675B2">
        <w:rPr>
          <w:rFonts w:hint="cs"/>
          <w:rtl/>
        </w:rPr>
        <w:t>- أئمة السنة</w:t>
      </w:r>
      <w:r w:rsidR="000636C2">
        <w:rPr>
          <w:rFonts w:hint="cs"/>
          <w:rtl/>
        </w:rPr>
        <w:t>!</w:t>
      </w:r>
      <w:r w:rsidRPr="005675B2">
        <w:rPr>
          <w:rFonts w:hint="cs"/>
          <w:rtl/>
        </w:rPr>
        <w:t xml:space="preserve"> وليسوا متذبذبين في العقيدة</w:t>
      </w:r>
      <w:r w:rsidR="000636C2">
        <w:rPr>
          <w:rFonts w:hint="cs"/>
          <w:rtl/>
        </w:rPr>
        <w:t>!</w:t>
      </w:r>
      <w:r w:rsidRPr="005675B2">
        <w:rPr>
          <w:rFonts w:hint="cs"/>
          <w:rtl/>
        </w:rPr>
        <w:t xml:space="preserve"> ولست أدري هل الباحث على عقيدته</w:t>
      </w:r>
      <w:r w:rsidR="000636C2">
        <w:rPr>
          <w:rFonts w:hint="cs"/>
          <w:rtl/>
        </w:rPr>
        <w:t xml:space="preserve">؟، </w:t>
      </w:r>
      <w:r w:rsidRPr="005675B2">
        <w:rPr>
          <w:rFonts w:hint="cs"/>
          <w:rtl/>
        </w:rPr>
        <w:t>والباحث يثني على عثمان بن سعيد الدارمي وماكتب في العقيدة</w:t>
      </w:r>
      <w:r w:rsidR="000636C2">
        <w:rPr>
          <w:rFonts w:hint="cs"/>
          <w:rtl/>
        </w:rPr>
        <w:t>،</w:t>
      </w:r>
      <w:r w:rsidRPr="005675B2">
        <w:rPr>
          <w:rFonts w:hint="cs"/>
          <w:rtl/>
        </w:rPr>
        <w:t xml:space="preserve"> وهو القائل في وصف الله سبحانه</w:t>
      </w:r>
      <w:r w:rsidR="000636C2">
        <w:rPr>
          <w:rFonts w:hint="cs"/>
          <w:rtl/>
        </w:rPr>
        <w:t>:</w:t>
      </w:r>
      <w:r w:rsidRPr="005675B2">
        <w:rPr>
          <w:rFonts w:hint="cs"/>
          <w:rtl/>
        </w:rPr>
        <w:t xml:space="preserve"> </w:t>
      </w:r>
      <w:r w:rsidR="000636C2">
        <w:rPr>
          <w:rFonts w:hint="cs"/>
          <w:rtl/>
        </w:rPr>
        <w:t>[</w:t>
      </w:r>
      <w:r w:rsidRPr="005675B2">
        <w:rPr>
          <w:rFonts w:hint="cs"/>
          <w:rtl/>
        </w:rPr>
        <w:t>ولو قد شاء لاستقرَّ على ظهر بعوضة فاستقلت به بقدرته ولطف ربوبيته فكيف على عرش عظيم أكبر من السموات السبع والأرضين السبع</w:t>
      </w:r>
      <w:r w:rsidR="000636C2">
        <w:rPr>
          <w:rFonts w:hint="cs"/>
          <w:rtl/>
        </w:rPr>
        <w:t>؟!]</w:t>
      </w:r>
      <w:r w:rsidRPr="005675B2">
        <w:rPr>
          <w:rFonts w:hint="cs"/>
          <w:rtl/>
        </w:rPr>
        <w:t xml:space="preserve"> [</w:t>
      </w:r>
      <w:r w:rsidRPr="005675B2">
        <w:rPr>
          <w:rFonts w:hint="cs"/>
          <w:sz w:val="24"/>
          <w:szCs w:val="24"/>
          <w:rtl/>
        </w:rPr>
        <w:t>رد الدارمي على بشر المريسي: ص 85</w:t>
      </w:r>
      <w:r w:rsidR="000636C2">
        <w:rPr>
          <w:rFonts w:hint="cs"/>
          <w:sz w:val="24"/>
          <w:szCs w:val="24"/>
          <w:rtl/>
        </w:rPr>
        <w:t>]</w:t>
      </w:r>
      <w:r w:rsidR="000636C2">
        <w:rPr>
          <w:rFonts w:hint="cs"/>
          <w:rtl/>
        </w:rPr>
        <w:t>،</w:t>
      </w:r>
      <w:r w:rsidRPr="005675B2">
        <w:rPr>
          <w:rFonts w:hint="cs"/>
          <w:rtl/>
        </w:rPr>
        <w:t xml:space="preserve"> وهذا</w:t>
      </w:r>
      <w:r w:rsidR="000636C2">
        <w:rPr>
          <w:rFonts w:hint="cs"/>
          <w:rtl/>
        </w:rPr>
        <w:t xml:space="preserve"> </w:t>
      </w:r>
      <w:r w:rsidRPr="005675B2">
        <w:rPr>
          <w:rFonts w:hint="cs"/>
          <w:rtl/>
        </w:rPr>
        <w:t>- في نظر الباحث</w:t>
      </w:r>
      <w:r w:rsidR="000636C2">
        <w:rPr>
          <w:rFonts w:hint="cs"/>
          <w:rtl/>
        </w:rPr>
        <w:t xml:space="preserve"> </w:t>
      </w:r>
      <w:r w:rsidRPr="005675B2">
        <w:rPr>
          <w:rFonts w:hint="cs"/>
          <w:rtl/>
        </w:rPr>
        <w:t>- من أئمة السنة وليس متذبذباً في عقيدته</w:t>
      </w:r>
      <w:r w:rsidR="000636C2">
        <w:rPr>
          <w:rFonts w:hint="cs"/>
          <w:rtl/>
        </w:rPr>
        <w:t xml:space="preserve">!، </w:t>
      </w:r>
      <w:r w:rsidRPr="005675B2">
        <w:rPr>
          <w:rFonts w:hint="cs"/>
          <w:rtl/>
        </w:rPr>
        <w:t>هذا بعض ما سطره الباحث في مقدمات بحثه</w:t>
      </w:r>
      <w:r w:rsidR="000636C2">
        <w:rPr>
          <w:rFonts w:hint="cs"/>
          <w:rtl/>
        </w:rPr>
        <w:t>،</w:t>
      </w:r>
      <w:r w:rsidRPr="005675B2">
        <w:rPr>
          <w:rFonts w:hint="cs"/>
          <w:rtl/>
        </w:rPr>
        <w:t xml:space="preserve"> وأنتقل معه الآن إلى استعراض بعض ما يقوله في المواضيع الخمسة عشر التي يرى أنها هي أبواب العقيدة</w:t>
      </w:r>
      <w:r w:rsidR="000636C2">
        <w:rPr>
          <w:rFonts w:hint="cs"/>
          <w:rtl/>
        </w:rPr>
        <w:t>،</w:t>
      </w:r>
      <w:r w:rsidRPr="005675B2">
        <w:rPr>
          <w:rFonts w:hint="cs"/>
          <w:rtl/>
        </w:rPr>
        <w:t xml:space="preserve"> وأن مذهب الأشاعرة فيها مخالف لمذهب أهل السنة والجماعة في أربعة عشر موضوعاً منها</w:t>
      </w:r>
      <w:r w:rsidR="000636C2">
        <w:rPr>
          <w:rFonts w:hint="cs"/>
          <w:rtl/>
        </w:rPr>
        <w:t>،</w:t>
      </w:r>
    </w:p>
    <w:p w14:paraId="206E7399" w14:textId="12DBED11" w:rsidR="009C32A0" w:rsidRPr="005675B2" w:rsidRDefault="009C32A0" w:rsidP="000636C2">
      <w:pPr>
        <w:rPr>
          <w:b/>
          <w:rtl/>
        </w:rPr>
      </w:pPr>
      <w:r w:rsidRPr="005675B2">
        <w:rPr>
          <w:rFonts w:hint="cs"/>
          <w:bCs/>
          <w:rtl/>
        </w:rPr>
        <w:t>قال الباحث</w:t>
      </w:r>
      <w:r w:rsidR="000636C2">
        <w:rPr>
          <w:rFonts w:hint="cs"/>
          <w:rtl/>
        </w:rPr>
        <w:t>: [</w:t>
      </w:r>
      <w:r w:rsidRPr="005675B2">
        <w:rPr>
          <w:rFonts w:hint="cs"/>
          <w:rtl/>
        </w:rPr>
        <w:t>رأيت من واجبي أن أسهم بتفصيل مذهب الأشاعرة في كل أبواب العقيدة</w:t>
      </w:r>
      <w:r w:rsidR="000636C2">
        <w:rPr>
          <w:rFonts w:hint="cs"/>
          <w:rtl/>
        </w:rPr>
        <w:t>،</w:t>
      </w:r>
      <w:r w:rsidRPr="005675B2">
        <w:rPr>
          <w:rFonts w:hint="cs"/>
          <w:rtl/>
        </w:rPr>
        <w:t xml:space="preserve"> ليتضح أنهم على منهج فكري مستقل في كل الأبواب والأصول</w:t>
      </w:r>
      <w:r w:rsidR="000636C2">
        <w:rPr>
          <w:rFonts w:hint="cs"/>
          <w:rtl/>
        </w:rPr>
        <w:t>،</w:t>
      </w:r>
      <w:r w:rsidRPr="005675B2">
        <w:rPr>
          <w:rFonts w:hint="cs"/>
          <w:rtl/>
        </w:rPr>
        <w:t xml:space="preserve"> ويختلفون مع أهل السنة والجماعة من أول مصدر التلقي حتى آخر السمعيات، ماعدا قضية واحدة فقط</w:t>
      </w:r>
      <w:r w:rsidR="000636C2">
        <w:rPr>
          <w:rFonts w:hint="cs"/>
          <w:rtl/>
        </w:rPr>
        <w:t xml:space="preserve">]!، </w:t>
      </w:r>
      <w:r w:rsidRPr="005675B2">
        <w:rPr>
          <w:rFonts w:hint="cs"/>
          <w:rtl/>
        </w:rPr>
        <w:t>ثم ذكر الباحث ما فهمه من أقوال الأشاعرة في أبواب العقيدة</w:t>
      </w:r>
      <w:r w:rsidR="000636C2">
        <w:rPr>
          <w:rFonts w:hint="cs"/>
          <w:rtl/>
        </w:rPr>
        <w:t>،</w:t>
      </w:r>
      <w:r w:rsidRPr="005675B2">
        <w:rPr>
          <w:rFonts w:hint="cs"/>
          <w:rtl/>
        </w:rPr>
        <w:t xml:space="preserve"> حيث استعرض خمسة عشر موضوعاً</w:t>
      </w:r>
      <w:r w:rsidR="000636C2">
        <w:rPr>
          <w:rFonts w:hint="cs"/>
          <w:rtl/>
        </w:rPr>
        <w:t>،</w:t>
      </w:r>
      <w:r w:rsidRPr="005675B2">
        <w:rPr>
          <w:rFonts w:hint="cs"/>
          <w:rtl/>
        </w:rPr>
        <w:t xml:space="preserve"> وادعى أن مذهب الأشاعرة مخالف لمذهب أهل السنة فيها مخالفة تامة</w:t>
      </w:r>
      <w:r w:rsidR="000636C2">
        <w:rPr>
          <w:rFonts w:hint="cs"/>
          <w:rtl/>
        </w:rPr>
        <w:t>،</w:t>
      </w:r>
      <w:r w:rsidRPr="005675B2">
        <w:rPr>
          <w:rFonts w:hint="cs"/>
          <w:rtl/>
        </w:rPr>
        <w:t xml:space="preserve"> سوى الموضوع الرابع عشر</w:t>
      </w:r>
      <w:r w:rsidR="000636C2">
        <w:rPr>
          <w:rFonts w:hint="cs"/>
          <w:rtl/>
        </w:rPr>
        <w:t>،</w:t>
      </w:r>
      <w:r w:rsidRPr="005675B2">
        <w:rPr>
          <w:rFonts w:hint="cs"/>
          <w:rtl/>
        </w:rPr>
        <w:t xml:space="preserve"> حيث المخالفة فيه ليست بتامة</w:t>
      </w:r>
      <w:r w:rsidR="000636C2">
        <w:rPr>
          <w:rFonts w:hint="cs"/>
          <w:rtl/>
        </w:rPr>
        <w:t xml:space="preserve">، </w:t>
      </w:r>
      <w:r w:rsidRPr="005675B2">
        <w:rPr>
          <w:rFonts w:hint="cs"/>
          <w:rtl/>
        </w:rPr>
        <w:t>ولا بد من استعراض شيء من كلام الباحث وتبيين بعض ما فيه</w:t>
      </w:r>
      <w:r w:rsidR="000636C2">
        <w:rPr>
          <w:rFonts w:hint="cs"/>
          <w:rtl/>
        </w:rPr>
        <w:t>،</w:t>
      </w:r>
    </w:p>
    <w:p w14:paraId="48556BA7" w14:textId="77777777" w:rsidR="009C32A0" w:rsidRPr="005675B2" w:rsidRDefault="009C32A0" w:rsidP="000636C2">
      <w:pPr>
        <w:jc w:val="center"/>
        <w:rPr>
          <w:b/>
          <w:rtl/>
        </w:rPr>
      </w:pPr>
      <w:r w:rsidRPr="005675B2">
        <w:rPr>
          <w:rFonts w:hint="cs"/>
          <w:rtl/>
        </w:rPr>
        <w:t>***</w:t>
      </w:r>
    </w:p>
    <w:p w14:paraId="100FD2EB" w14:textId="2EE22247" w:rsidR="009C32A0" w:rsidRPr="005675B2" w:rsidRDefault="000636C2" w:rsidP="000636C2">
      <w:pPr>
        <w:jc w:val="center"/>
        <w:rPr>
          <w:b/>
          <w:rtl/>
        </w:rPr>
      </w:pPr>
      <w:r>
        <w:rPr>
          <w:rFonts w:hint="cs"/>
          <w:bCs/>
          <w:rtl/>
        </w:rPr>
        <w:t>[</w:t>
      </w:r>
      <w:r w:rsidR="009C32A0" w:rsidRPr="005675B2">
        <w:rPr>
          <w:rFonts w:hint="cs"/>
          <w:bCs/>
          <w:rtl/>
        </w:rPr>
        <w:t>الموضوع الأول</w:t>
      </w:r>
      <w:r>
        <w:rPr>
          <w:rFonts w:hint="cs"/>
          <w:bCs/>
          <w:rtl/>
        </w:rPr>
        <w:t>:</w:t>
      </w:r>
      <w:r w:rsidR="009C32A0" w:rsidRPr="005675B2">
        <w:rPr>
          <w:rFonts w:hint="cs"/>
          <w:bCs/>
          <w:rtl/>
        </w:rPr>
        <w:t xml:space="preserve"> مصدر التلقي</w:t>
      </w:r>
      <w:r>
        <w:rPr>
          <w:rFonts w:hint="cs"/>
          <w:bCs/>
          <w:rtl/>
        </w:rPr>
        <w:t>]</w:t>
      </w:r>
      <w:r>
        <w:rPr>
          <w:rFonts w:hint="cs"/>
          <w:rtl/>
        </w:rPr>
        <w:t>:</w:t>
      </w:r>
    </w:p>
    <w:p w14:paraId="4A1B2E67" w14:textId="35C64CC7"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مصدر التلقي عند الأشاعرة هو العقل</w:t>
      </w:r>
      <w:r w:rsidR="000636C2">
        <w:rPr>
          <w:rFonts w:hint="cs"/>
          <w:rtl/>
        </w:rPr>
        <w:t>،</w:t>
      </w:r>
      <w:r w:rsidRPr="005675B2">
        <w:rPr>
          <w:rFonts w:hint="cs"/>
          <w:rtl/>
        </w:rPr>
        <w:t xml:space="preserve"> وقد صرح الجويني والرازي والبغدادي والغزالي والآمدي والإيجي وابن فورك والسنوسي وشراح الجوهرة وسائر أئمتهم بتقديم العقل على النقل عند التعارض</w:t>
      </w:r>
      <w:r w:rsidR="000636C2">
        <w:rPr>
          <w:rFonts w:hint="cs"/>
          <w:rtl/>
        </w:rPr>
        <w:t>]،</w:t>
      </w:r>
      <w:r w:rsidRPr="005675B2">
        <w:rPr>
          <w:rFonts w:hint="cs"/>
          <w:rtl/>
        </w:rPr>
        <w:t xml:space="preserve"> والمراد بالنقل</w:t>
      </w:r>
      <w:r w:rsidR="000636C2">
        <w:rPr>
          <w:rFonts w:hint="cs"/>
          <w:rtl/>
        </w:rPr>
        <w:t>:</w:t>
      </w:r>
      <w:r w:rsidRPr="005675B2">
        <w:rPr>
          <w:rFonts w:hint="cs"/>
          <w:rtl/>
        </w:rPr>
        <w:t xml:space="preserve"> نصوص القرآن الكريم والسنة النبوية المشرفة</w:t>
      </w:r>
      <w:r w:rsidR="000636C2">
        <w:rPr>
          <w:rFonts w:hint="cs"/>
          <w:rtl/>
        </w:rPr>
        <w:t>،</w:t>
      </w:r>
    </w:p>
    <w:p w14:paraId="0FD005A1" w14:textId="5A7CF991"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أول كلامه يصرّح بأن مصدر التلقي عند الأشاعرة هو العقل</w:t>
      </w:r>
      <w:r w:rsidR="000636C2">
        <w:rPr>
          <w:rFonts w:hint="cs"/>
          <w:rtl/>
        </w:rPr>
        <w:t>،</w:t>
      </w:r>
      <w:r w:rsidRPr="005675B2">
        <w:rPr>
          <w:rFonts w:hint="cs"/>
          <w:rtl/>
        </w:rPr>
        <w:t xml:space="preserve"> فيدل بظاهره على أن النقل لا يعد عندهم مصدراً للتلقي</w:t>
      </w:r>
      <w:r w:rsidR="000636C2">
        <w:rPr>
          <w:rFonts w:hint="cs"/>
          <w:rtl/>
        </w:rPr>
        <w:t>،</w:t>
      </w:r>
      <w:r w:rsidRPr="005675B2">
        <w:rPr>
          <w:rFonts w:hint="cs"/>
          <w:rtl/>
        </w:rPr>
        <w:t xml:space="preserve"> وآخر كلامه يصرح بأنهم يقدمون العقل على النقل عند التعارض</w:t>
      </w:r>
      <w:r w:rsidR="000636C2">
        <w:rPr>
          <w:rFonts w:hint="cs"/>
          <w:rtl/>
        </w:rPr>
        <w:t>،</w:t>
      </w:r>
      <w:r w:rsidRPr="005675B2">
        <w:rPr>
          <w:rFonts w:hint="cs"/>
          <w:rtl/>
        </w:rPr>
        <w:t xml:space="preserve"> وهذا يدل بظاهره على أن النقل عندهم مصدر من مصادر التلقي إلا أنهم يقدمون العقل عليه</w:t>
      </w:r>
      <w:r w:rsidR="000636C2">
        <w:rPr>
          <w:rFonts w:hint="cs"/>
          <w:rtl/>
        </w:rPr>
        <w:t>،</w:t>
      </w:r>
      <w:r w:rsidRPr="005675B2">
        <w:rPr>
          <w:rFonts w:hint="cs"/>
          <w:rtl/>
        </w:rPr>
        <w:t xml:space="preserve"> وهذا تناقض</w:t>
      </w:r>
      <w:r w:rsidR="000636C2">
        <w:rPr>
          <w:rFonts w:hint="cs"/>
          <w:rtl/>
        </w:rPr>
        <w:t>،</w:t>
      </w:r>
      <w:r w:rsidRPr="005675B2">
        <w:rPr>
          <w:rFonts w:hint="cs"/>
          <w:rtl/>
        </w:rPr>
        <w:t xml:space="preserve"> فكان ينبغي للباحث أن يصون عبارته عن ذلك</w:t>
      </w:r>
      <w:r w:rsidR="000636C2">
        <w:rPr>
          <w:rFonts w:hint="cs"/>
          <w:rtl/>
        </w:rPr>
        <w:t xml:space="preserve">، </w:t>
      </w:r>
      <w:r w:rsidRPr="005675B2">
        <w:rPr>
          <w:rFonts w:hint="cs"/>
          <w:rtl/>
        </w:rPr>
        <w:t>2 - إن مصدر التلقي عند الأشاعرة هو العقل والنقل</w:t>
      </w:r>
      <w:r w:rsidR="000636C2">
        <w:rPr>
          <w:rFonts w:hint="cs"/>
          <w:rtl/>
        </w:rPr>
        <w:t>،</w:t>
      </w:r>
      <w:r w:rsidRPr="005675B2">
        <w:rPr>
          <w:rFonts w:hint="cs"/>
          <w:rtl/>
        </w:rPr>
        <w:t xml:space="preserve"> وكتب العقيدة عندهم تحتج بالأدلة العقلية والأدلة النقلية</w:t>
      </w:r>
      <w:r w:rsidR="000636C2">
        <w:rPr>
          <w:rFonts w:hint="cs"/>
          <w:rtl/>
        </w:rPr>
        <w:t>،</w:t>
      </w:r>
      <w:r w:rsidRPr="005675B2">
        <w:rPr>
          <w:rFonts w:hint="cs"/>
          <w:rtl/>
        </w:rPr>
        <w:t xml:space="preserve"> وانظر على سبيل المثال كتاب الإنصاف للباقلاني</w:t>
      </w:r>
      <w:r w:rsidR="000636C2">
        <w:rPr>
          <w:rFonts w:hint="cs"/>
          <w:rtl/>
        </w:rPr>
        <w:t>،</w:t>
      </w:r>
      <w:r w:rsidRPr="005675B2">
        <w:rPr>
          <w:rFonts w:hint="cs"/>
          <w:rtl/>
        </w:rPr>
        <w:t xml:space="preserve"> فإنه مشحون بالأدلة العقلية والأدلة النقلية الكثيرة كثرة واضحة ظاهرة</w:t>
      </w:r>
      <w:r w:rsidR="000636C2">
        <w:rPr>
          <w:rFonts w:hint="cs"/>
          <w:rtl/>
        </w:rPr>
        <w:t xml:space="preserve">، </w:t>
      </w:r>
      <w:r w:rsidRPr="005675B2">
        <w:rPr>
          <w:rFonts w:hint="cs"/>
          <w:rtl/>
        </w:rPr>
        <w:t>3 - كتبهم تقدم الأدلة العقلية على الأدلة النقلية في مجال الاستدلال في العقائد في باب العقليات</w:t>
      </w:r>
      <w:r w:rsidR="000636C2">
        <w:rPr>
          <w:rFonts w:hint="cs"/>
          <w:rtl/>
        </w:rPr>
        <w:t>،</w:t>
      </w:r>
      <w:r w:rsidRPr="005675B2">
        <w:rPr>
          <w:rFonts w:hint="cs"/>
          <w:rtl/>
        </w:rPr>
        <w:t xml:space="preserve"> وذلك لأن المراد هو الرد على المخالفين، كالدهريين والثنوية وأهل التثليث والمشركين والمجسمة ونحوهم</w:t>
      </w:r>
      <w:r w:rsidR="000636C2">
        <w:rPr>
          <w:rFonts w:hint="cs"/>
          <w:rtl/>
        </w:rPr>
        <w:t>،</w:t>
      </w:r>
      <w:r w:rsidRPr="005675B2">
        <w:rPr>
          <w:rFonts w:hint="cs"/>
          <w:rtl/>
        </w:rPr>
        <w:t xml:space="preserve"> فهل تحتج على هؤلاء بآيات القرآن الكريم قبل أن تقيم الأدلة العقلية على الإيمان بالله تعالى وأن القرآن كلام الله</w:t>
      </w:r>
      <w:r w:rsidR="000636C2">
        <w:rPr>
          <w:rFonts w:hint="cs"/>
          <w:rtl/>
        </w:rPr>
        <w:t>؟!</w:t>
      </w:r>
      <w:r w:rsidRPr="005675B2">
        <w:rPr>
          <w:rFonts w:hint="cs"/>
          <w:rtl/>
        </w:rPr>
        <w:t>!وهل تحتج عليهم بنصوص السنة النبوية قبل أن تقيم الأدلة العقلية على الإيمان بمحمد رسول الله صلى الله عليه وسلم</w:t>
      </w:r>
      <w:r w:rsidR="000636C2">
        <w:rPr>
          <w:rFonts w:hint="cs"/>
          <w:rtl/>
        </w:rPr>
        <w:t xml:space="preserve">؟!، </w:t>
      </w:r>
      <w:r w:rsidRPr="005675B2">
        <w:rPr>
          <w:rFonts w:hint="cs"/>
          <w:rtl/>
        </w:rPr>
        <w:t>4 - الاستدلال في كتب العقيدة عند الأشاعرة يكون بالأدلة العقلية والنقلية على وجه التعاضد</w:t>
      </w:r>
      <w:r w:rsidR="000636C2">
        <w:rPr>
          <w:rFonts w:hint="cs"/>
          <w:rtl/>
        </w:rPr>
        <w:t>،</w:t>
      </w:r>
      <w:r w:rsidRPr="005675B2">
        <w:rPr>
          <w:rFonts w:hint="cs"/>
          <w:rtl/>
        </w:rPr>
        <w:t xml:space="preserve"> فكل منهما يؤيد الآخر</w:t>
      </w:r>
      <w:r w:rsidR="000636C2">
        <w:rPr>
          <w:rFonts w:hint="cs"/>
          <w:rtl/>
        </w:rPr>
        <w:t>،</w:t>
      </w:r>
      <w:r w:rsidRPr="005675B2">
        <w:rPr>
          <w:rFonts w:hint="cs"/>
          <w:rtl/>
        </w:rPr>
        <w:t xml:space="preserve"> فالعقل الصحيح والنقل الثابت الصريح لا يتعارضان</w:t>
      </w:r>
      <w:r w:rsidR="000636C2">
        <w:rPr>
          <w:rFonts w:hint="cs"/>
          <w:rtl/>
        </w:rPr>
        <w:t>،</w:t>
      </w:r>
      <w:r w:rsidRPr="005675B2">
        <w:rPr>
          <w:rFonts w:hint="cs"/>
          <w:rtl/>
        </w:rPr>
        <w:t xml:space="preserve"> ولا تجد في كتبهم ولو مرة واحدة أنهم قالوا لقد تعارض في هذه المسألة الحكم العقلي مع حكم النص النقلي القطعي الثبوت والدلالة</w:t>
      </w:r>
      <w:r w:rsidR="000636C2">
        <w:rPr>
          <w:rFonts w:hint="cs"/>
          <w:rtl/>
        </w:rPr>
        <w:t>،</w:t>
      </w:r>
      <w:r w:rsidRPr="005675B2">
        <w:rPr>
          <w:rFonts w:hint="cs"/>
          <w:rtl/>
        </w:rPr>
        <w:t xml:space="preserve"> فضلا عن أن يقولوا ذلك ويقدموا العقل على النقل</w:t>
      </w:r>
      <w:r w:rsidR="000636C2">
        <w:rPr>
          <w:rFonts w:hint="cs"/>
          <w:rtl/>
        </w:rPr>
        <w:t>،</w:t>
      </w:r>
      <w:r w:rsidRPr="005675B2">
        <w:rPr>
          <w:rFonts w:hint="cs"/>
          <w:rtl/>
        </w:rPr>
        <w:t xml:space="preserve"> ومن ادّعى غير ذلك فليأت بالدليل</w:t>
      </w:r>
      <w:r w:rsidR="000636C2">
        <w:rPr>
          <w:rFonts w:hint="cs"/>
          <w:rtl/>
        </w:rPr>
        <w:t>،</w:t>
      </w:r>
      <w:r w:rsidRPr="005675B2">
        <w:rPr>
          <w:rFonts w:hint="cs"/>
          <w:rtl/>
        </w:rPr>
        <w:t xml:space="preserve"> ولا بد من ال</w:t>
      </w:r>
      <w:r w:rsidR="000636C2">
        <w:rPr>
          <w:rFonts w:hint="cs"/>
          <w:rtl/>
        </w:rPr>
        <w:t>(</w:t>
      </w:r>
      <w:r>
        <w:rPr>
          <w:rFonts w:hint="cs"/>
          <w:rtl/>
        </w:rPr>
        <w:t>تنبيه</w:t>
      </w:r>
      <w:r w:rsidR="000636C2">
        <w:rPr>
          <w:rFonts w:hint="cs"/>
          <w:rtl/>
        </w:rPr>
        <w:t>)</w:t>
      </w:r>
      <w:r w:rsidRPr="005675B2">
        <w:rPr>
          <w:rFonts w:hint="cs"/>
          <w:rtl/>
        </w:rPr>
        <w:t xml:space="preserve"> إلى الفرق الكبير بين </w:t>
      </w:r>
      <w:r w:rsidR="000636C2">
        <w:rPr>
          <w:rFonts w:hint="cs"/>
          <w:rtl/>
        </w:rPr>
        <w:t>[</w:t>
      </w:r>
      <w:r w:rsidRPr="005675B2">
        <w:rPr>
          <w:rFonts w:hint="cs"/>
          <w:rtl/>
        </w:rPr>
        <w:t>حكم النص النقلي</w:t>
      </w:r>
      <w:r w:rsidR="000636C2">
        <w:rPr>
          <w:rFonts w:hint="cs"/>
          <w:rtl/>
        </w:rPr>
        <w:t>]</w:t>
      </w:r>
      <w:r w:rsidRPr="005675B2">
        <w:rPr>
          <w:rFonts w:hint="cs"/>
          <w:rtl/>
        </w:rPr>
        <w:t xml:space="preserve"> وبين </w:t>
      </w:r>
      <w:r w:rsidR="000636C2">
        <w:rPr>
          <w:rFonts w:hint="cs"/>
          <w:rtl/>
        </w:rPr>
        <w:t>[</w:t>
      </w:r>
      <w:r w:rsidRPr="005675B2">
        <w:rPr>
          <w:rFonts w:hint="cs"/>
          <w:rtl/>
        </w:rPr>
        <w:t>ظواهر ألفاظ النص النقلي</w:t>
      </w:r>
      <w:r w:rsidR="000636C2">
        <w:rPr>
          <w:rFonts w:hint="cs"/>
          <w:rtl/>
        </w:rPr>
        <w:t xml:space="preserve">]، </w:t>
      </w:r>
      <w:r w:rsidRPr="005675B2">
        <w:rPr>
          <w:rFonts w:hint="cs"/>
          <w:rtl/>
        </w:rPr>
        <w:t>5</w:t>
      </w:r>
      <w:r w:rsidR="000636C2">
        <w:rPr>
          <w:rFonts w:hint="cs"/>
          <w:rtl/>
        </w:rPr>
        <w:t xml:space="preserve"> </w:t>
      </w:r>
      <w:r w:rsidRPr="005675B2">
        <w:rPr>
          <w:rFonts w:hint="cs"/>
          <w:rtl/>
        </w:rPr>
        <w:t>- ويحسن هنا أن أذكر مثالاً للاستدلال</w:t>
      </w:r>
      <w:r w:rsidR="000636C2">
        <w:rPr>
          <w:rFonts w:hint="cs"/>
          <w:rtl/>
        </w:rPr>
        <w:t xml:space="preserve"> </w:t>
      </w:r>
      <w:r w:rsidRPr="005675B2">
        <w:rPr>
          <w:rFonts w:hint="cs"/>
          <w:rtl/>
        </w:rPr>
        <w:t>- عند الأشاعرة</w:t>
      </w:r>
      <w:r w:rsidR="000636C2">
        <w:rPr>
          <w:rFonts w:hint="cs"/>
          <w:rtl/>
        </w:rPr>
        <w:t xml:space="preserve"> </w:t>
      </w:r>
      <w:r w:rsidRPr="005675B2">
        <w:rPr>
          <w:rFonts w:hint="cs"/>
          <w:rtl/>
        </w:rPr>
        <w:t>- بالأدلة العقلية والنقلية على وجه التعاضد</w:t>
      </w:r>
      <w:r w:rsidR="000636C2">
        <w:rPr>
          <w:rFonts w:hint="cs"/>
          <w:rtl/>
        </w:rPr>
        <w:t>،</w:t>
      </w:r>
      <w:r w:rsidRPr="005675B2">
        <w:rPr>
          <w:rFonts w:hint="cs"/>
          <w:rtl/>
        </w:rPr>
        <w:t xml:space="preserve"> ففي تفسير قول الله تعالى </w:t>
      </w:r>
      <w:r w:rsidR="000636C2">
        <w:rPr>
          <w:rFonts w:hint="cs"/>
          <w:rtl/>
        </w:rPr>
        <w:t>[</w:t>
      </w:r>
      <w:r w:rsidRPr="005675B2">
        <w:rPr>
          <w:rFonts w:hint="cs"/>
          <w:rtl/>
        </w:rPr>
        <w:t>إِنَّ اللَّهَ لا يَخْفَى عَلَيْهِ شَيْءٌ فِي الْأَرْضِ وَلا فِي السَّمَاءِ * هُوَ الَّذِي يُصَوِّرُكُمْ فِي الْأَرْحَامِ كَيْفَ يَشَاءُ لا إِلَهَ إِلَّا هُوَ الْعَزِيزُ الْحَكِيمُ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آل عمران: الآيتان: 5 ـ 6</w:t>
      </w:r>
      <w:r w:rsidR="000636C2">
        <w:rPr>
          <w:rFonts w:hint="cs"/>
          <w:sz w:val="24"/>
          <w:szCs w:val="24"/>
          <w:rtl/>
        </w:rPr>
        <w:t>]</w:t>
      </w:r>
      <w:r w:rsidRPr="005675B2">
        <w:rPr>
          <w:rFonts w:hint="cs"/>
          <w:rtl/>
        </w:rPr>
        <w:t xml:space="preserve"> يقول الإمام فخر الدين الرازي رحمه الله عن هذه الآية</w:t>
      </w:r>
      <w:r w:rsidR="000636C2">
        <w:rPr>
          <w:rFonts w:hint="cs"/>
          <w:rtl/>
        </w:rPr>
        <w:t>:</w:t>
      </w:r>
      <w:r w:rsidRPr="005675B2">
        <w:rPr>
          <w:rFonts w:hint="cs"/>
          <w:rtl/>
        </w:rPr>
        <w:t xml:space="preserve"> إشارة إلى كمال علمه سبحانه</w:t>
      </w:r>
      <w:r w:rsidR="000636C2">
        <w:rPr>
          <w:rFonts w:hint="cs"/>
          <w:rtl/>
        </w:rPr>
        <w:t>،</w:t>
      </w:r>
      <w:r w:rsidRPr="005675B2">
        <w:rPr>
          <w:rFonts w:hint="cs"/>
          <w:rtl/>
        </w:rPr>
        <w:t xml:space="preserve"> والطريقُ إلى إثبات كونه تعالى عالماً لا يجوز أن يكون هو السمعَ</w:t>
      </w:r>
      <w:r w:rsidR="000636C2">
        <w:rPr>
          <w:rFonts w:hint="cs"/>
          <w:rtl/>
        </w:rPr>
        <w:t>،</w:t>
      </w:r>
      <w:r w:rsidRPr="005675B2">
        <w:rPr>
          <w:rFonts w:hint="cs"/>
          <w:rtl/>
        </w:rPr>
        <w:t xml:space="preserve"> لأن معرفة صحة السمع موقوفة على العلم بكونه تعالى عالماً بجميع المعلومات</w:t>
      </w:r>
      <w:r w:rsidR="000636C2">
        <w:rPr>
          <w:rFonts w:hint="cs"/>
          <w:rtl/>
        </w:rPr>
        <w:t>،</w:t>
      </w:r>
      <w:r w:rsidRPr="005675B2">
        <w:rPr>
          <w:rFonts w:hint="cs"/>
          <w:rtl/>
        </w:rPr>
        <w:t xml:space="preserve"> بل الطريق إليه ليس إلا الدليلَ العقليَّ</w:t>
      </w:r>
      <w:r w:rsidR="000636C2">
        <w:rPr>
          <w:rFonts w:hint="cs"/>
          <w:rtl/>
        </w:rPr>
        <w:t>،</w:t>
      </w:r>
      <w:r w:rsidRPr="005675B2">
        <w:rPr>
          <w:rFonts w:hint="cs"/>
          <w:rtl/>
        </w:rPr>
        <w:t xml:space="preserve"> وذلك هو أن نقول</w:t>
      </w:r>
      <w:r w:rsidR="000636C2">
        <w:rPr>
          <w:rFonts w:hint="cs"/>
          <w:rtl/>
        </w:rPr>
        <w:t>:</w:t>
      </w:r>
      <w:r w:rsidRPr="005675B2">
        <w:rPr>
          <w:rFonts w:hint="cs"/>
          <w:rtl/>
        </w:rPr>
        <w:t xml:space="preserve"> إن أفعال الله تعالى محكمة متقنة</w:t>
      </w:r>
      <w:r w:rsidR="000636C2">
        <w:rPr>
          <w:rFonts w:hint="cs"/>
          <w:rtl/>
        </w:rPr>
        <w:t>،</w:t>
      </w:r>
      <w:r w:rsidRPr="005675B2">
        <w:rPr>
          <w:rFonts w:hint="cs"/>
          <w:rtl/>
        </w:rPr>
        <w:t xml:space="preserve"> والفعل المحكم المتقن يدل على كون فاعله عالماً</w:t>
      </w:r>
      <w:r w:rsidR="000636C2">
        <w:rPr>
          <w:rFonts w:hint="cs"/>
          <w:rtl/>
        </w:rPr>
        <w:t>،</w:t>
      </w:r>
      <w:r w:rsidRPr="005675B2">
        <w:rPr>
          <w:rFonts w:hint="cs"/>
          <w:rtl/>
        </w:rPr>
        <w:t xml:space="preserve"> فلما كان دليل كونه تعالى عالماً هو ما ذكرنا ؛ فحين ادعى كونه عالماً بكل المعلومات بقوله </w:t>
      </w:r>
      <w:r w:rsidR="000636C2">
        <w:rPr>
          <w:rFonts w:hint="cs"/>
          <w:rtl/>
        </w:rPr>
        <w:t>[</w:t>
      </w:r>
      <w:r w:rsidRPr="005675B2">
        <w:rPr>
          <w:rFonts w:hint="cs"/>
          <w:rtl/>
        </w:rPr>
        <w:t>إنَّ الله لا يخفى عليه شيء في الأرض ولا في السماء</w:t>
      </w:r>
      <w:r w:rsidR="000636C2">
        <w:rPr>
          <w:rFonts w:hint="cs"/>
          <w:rtl/>
        </w:rPr>
        <w:t>]</w:t>
      </w:r>
      <w:r w:rsidRPr="005675B2">
        <w:rPr>
          <w:rFonts w:hint="cs"/>
          <w:rtl/>
        </w:rPr>
        <w:t xml:space="preserve"> ؛ أتبعه بالدليل العقلي الدال على ذلك</w:t>
      </w:r>
      <w:r w:rsidR="000636C2">
        <w:rPr>
          <w:rFonts w:hint="cs"/>
          <w:rtl/>
        </w:rPr>
        <w:t>،</w:t>
      </w:r>
      <w:r w:rsidRPr="005675B2">
        <w:rPr>
          <w:rFonts w:hint="cs"/>
          <w:rtl/>
        </w:rPr>
        <w:t xml:space="preserve"> وهو أنه هو الذي صور في ظلمات الأرحام هذه البنية العجيبة</w:t>
      </w:r>
      <w:r w:rsidR="000636C2">
        <w:rPr>
          <w:rFonts w:hint="cs"/>
          <w:rtl/>
        </w:rPr>
        <w:t>،</w:t>
      </w:r>
      <w:r w:rsidRPr="005675B2">
        <w:rPr>
          <w:rFonts w:hint="cs"/>
          <w:rtl/>
        </w:rPr>
        <w:t xml:space="preserve"> والتركيب الغريب</w:t>
      </w:r>
      <w:r w:rsidR="000636C2">
        <w:rPr>
          <w:rFonts w:hint="cs"/>
          <w:rtl/>
        </w:rPr>
        <w:t>،</w:t>
      </w:r>
      <w:r w:rsidRPr="005675B2">
        <w:rPr>
          <w:rFonts w:hint="cs"/>
          <w:rtl/>
        </w:rPr>
        <w:t xml:space="preserve"> وركبه من أعضاء مختلفة في الشكل والطبع والصفة</w:t>
      </w:r>
      <w:r w:rsidR="000636C2">
        <w:rPr>
          <w:rFonts w:hint="cs"/>
          <w:rtl/>
        </w:rPr>
        <w:t>،</w:t>
      </w:r>
      <w:r w:rsidRPr="005675B2">
        <w:rPr>
          <w:rFonts w:hint="cs"/>
          <w:rtl/>
        </w:rPr>
        <w:t xml:space="preserve"> فبعضها عظام</w:t>
      </w:r>
      <w:r w:rsidR="000636C2">
        <w:rPr>
          <w:rFonts w:hint="cs"/>
          <w:rtl/>
        </w:rPr>
        <w:t>،</w:t>
      </w:r>
      <w:r w:rsidRPr="005675B2">
        <w:rPr>
          <w:rFonts w:hint="cs"/>
          <w:rtl/>
        </w:rPr>
        <w:t xml:space="preserve"> وبعضها غضاريف</w:t>
      </w:r>
      <w:r w:rsidR="000636C2">
        <w:rPr>
          <w:rFonts w:hint="cs"/>
          <w:rtl/>
        </w:rPr>
        <w:t>،</w:t>
      </w:r>
      <w:r w:rsidRPr="005675B2">
        <w:rPr>
          <w:rFonts w:hint="cs"/>
          <w:rtl/>
        </w:rPr>
        <w:t xml:space="preserve"> وبعضها شرايين</w:t>
      </w:r>
      <w:r w:rsidR="000636C2">
        <w:rPr>
          <w:rFonts w:hint="cs"/>
          <w:rtl/>
        </w:rPr>
        <w:t>،</w:t>
      </w:r>
      <w:r w:rsidRPr="005675B2">
        <w:rPr>
          <w:rFonts w:hint="cs"/>
          <w:rtl/>
        </w:rPr>
        <w:t xml:space="preserve"> وبعضها أوردة</w:t>
      </w:r>
      <w:r w:rsidR="000636C2">
        <w:rPr>
          <w:rFonts w:hint="cs"/>
          <w:rtl/>
        </w:rPr>
        <w:t>،</w:t>
      </w:r>
      <w:r w:rsidRPr="005675B2">
        <w:rPr>
          <w:rFonts w:hint="cs"/>
          <w:rtl/>
        </w:rPr>
        <w:t xml:space="preserve"> وبعضها عضلات</w:t>
      </w:r>
      <w:r w:rsidR="000636C2">
        <w:rPr>
          <w:rFonts w:hint="cs"/>
          <w:rtl/>
        </w:rPr>
        <w:t>،</w:t>
      </w:r>
      <w:r w:rsidRPr="005675B2">
        <w:rPr>
          <w:rFonts w:hint="cs"/>
          <w:rtl/>
        </w:rPr>
        <w:t xml:space="preserve"> ثم إنه ضم بعضها إلى بعض</w:t>
      </w:r>
      <w:r w:rsidR="000636C2">
        <w:rPr>
          <w:rFonts w:hint="cs"/>
          <w:rtl/>
        </w:rPr>
        <w:t>،</w:t>
      </w:r>
      <w:r w:rsidRPr="005675B2">
        <w:rPr>
          <w:rFonts w:hint="cs"/>
          <w:rtl/>
        </w:rPr>
        <w:t xml:space="preserve"> على التركيب الأحسن</w:t>
      </w:r>
      <w:r w:rsidR="000636C2">
        <w:rPr>
          <w:rFonts w:hint="cs"/>
          <w:rtl/>
        </w:rPr>
        <w:t>،</w:t>
      </w:r>
      <w:r w:rsidRPr="005675B2">
        <w:rPr>
          <w:rFonts w:hint="cs"/>
          <w:rtl/>
        </w:rPr>
        <w:t xml:space="preserve"> والتأليف الأكمل</w:t>
      </w:r>
      <w:r w:rsidR="000636C2">
        <w:rPr>
          <w:rFonts w:hint="cs"/>
          <w:rtl/>
        </w:rPr>
        <w:t>،</w:t>
      </w:r>
      <w:r w:rsidRPr="005675B2">
        <w:rPr>
          <w:rFonts w:hint="cs"/>
          <w:rtl/>
        </w:rPr>
        <w:t xml:space="preserve"> وذلك يدل على كمال قدرته</w:t>
      </w:r>
      <w:r w:rsidR="000636C2">
        <w:rPr>
          <w:rFonts w:hint="cs"/>
          <w:rtl/>
        </w:rPr>
        <w:t>،</w:t>
      </w:r>
      <w:r w:rsidRPr="005675B2">
        <w:rPr>
          <w:rFonts w:hint="cs"/>
          <w:rtl/>
        </w:rPr>
        <w:t>… ويدل على كونه عالماً</w:t>
      </w:r>
      <w:r w:rsidR="000636C2">
        <w:rPr>
          <w:rFonts w:hint="cs"/>
          <w:rtl/>
        </w:rPr>
        <w:t>،</w:t>
      </w:r>
      <w:r w:rsidRPr="005675B2">
        <w:rPr>
          <w:rFonts w:hint="cs"/>
          <w:rtl/>
        </w:rPr>
        <w:t xml:space="preserve"> من حيث إن الفعل المحكم لا يصدر إلا عن العالم</w:t>
      </w:r>
      <w:r w:rsidR="000636C2">
        <w:rPr>
          <w:rFonts w:hint="cs"/>
          <w:rtl/>
        </w:rPr>
        <w:t xml:space="preserve"> </w:t>
      </w:r>
      <w:r w:rsidRPr="005675B2">
        <w:rPr>
          <w:rFonts w:hint="cs"/>
          <w:rtl/>
        </w:rPr>
        <w:t>[</w:t>
      </w:r>
      <w:r w:rsidRPr="005675B2">
        <w:rPr>
          <w:rFonts w:hint="cs"/>
          <w:sz w:val="24"/>
          <w:szCs w:val="24"/>
          <w:rtl/>
        </w:rPr>
        <w:t>تفسير الرازي: 7/ 163</w:t>
      </w:r>
      <w:r w:rsidR="000636C2">
        <w:rPr>
          <w:rFonts w:hint="cs"/>
          <w:sz w:val="24"/>
          <w:szCs w:val="24"/>
          <w:rtl/>
        </w:rPr>
        <w:t>]</w:t>
      </w:r>
      <w:r w:rsidRPr="005675B2">
        <w:rPr>
          <w:rFonts w:hint="cs"/>
          <w:rtl/>
        </w:rPr>
        <w:t>،</w:t>
      </w:r>
      <w:r w:rsidR="000636C2">
        <w:rPr>
          <w:rFonts w:hint="cs"/>
          <w:rtl/>
        </w:rPr>
        <w:t xml:space="preserve"> </w:t>
      </w:r>
      <w:r w:rsidRPr="005675B2">
        <w:rPr>
          <w:rFonts w:hint="cs"/>
          <w:rtl/>
        </w:rPr>
        <w:t>6 - إذا وجدنا علماء الأشاعرة يقولون إن العقل مقدم على النقل فما معنى هذا الكلام</w:t>
      </w:r>
      <w:r w:rsidR="000636C2">
        <w:rPr>
          <w:rFonts w:hint="cs"/>
          <w:rtl/>
        </w:rPr>
        <w:t xml:space="preserve">؟ </w:t>
      </w:r>
      <w:r w:rsidRPr="005675B2">
        <w:rPr>
          <w:rFonts w:hint="cs"/>
          <w:rtl/>
        </w:rPr>
        <w:t>هذا يعني أنه إذا افترضنا وقوع تعارض بين قضية عقلية قطعية ونص نقلي فإننا لا نستطيع تقديم النقل</w:t>
      </w:r>
      <w:r w:rsidR="000636C2">
        <w:rPr>
          <w:rFonts w:hint="cs"/>
          <w:rtl/>
        </w:rPr>
        <w:t>،</w:t>
      </w:r>
      <w:r w:rsidRPr="005675B2">
        <w:rPr>
          <w:rFonts w:hint="cs"/>
          <w:rtl/>
        </w:rPr>
        <w:t xml:space="preserve"> لأن النصوص النقلية قد عرفنا أصل صحتها بالأدلة العقلية</w:t>
      </w:r>
      <w:r w:rsidR="000636C2">
        <w:rPr>
          <w:rFonts w:hint="cs"/>
          <w:rtl/>
        </w:rPr>
        <w:t>،</w:t>
      </w:r>
      <w:r w:rsidRPr="005675B2">
        <w:rPr>
          <w:rFonts w:hint="cs"/>
          <w:rtl/>
        </w:rPr>
        <w:t xml:space="preserve"> وتقديم النص النقلي على قضية عقلية قطعية هو طعن بالعقل</w:t>
      </w:r>
      <w:r w:rsidR="000636C2">
        <w:rPr>
          <w:rFonts w:hint="cs"/>
          <w:rtl/>
        </w:rPr>
        <w:t>،</w:t>
      </w:r>
      <w:r w:rsidRPr="005675B2">
        <w:rPr>
          <w:rFonts w:hint="cs"/>
          <w:rtl/>
        </w:rPr>
        <w:t xml:space="preserve"> والطعن بأحكام العقل القطعية طعن بالعقل والنقل معاً</w:t>
      </w:r>
      <w:r w:rsidR="000636C2">
        <w:rPr>
          <w:rFonts w:hint="cs"/>
          <w:rtl/>
        </w:rPr>
        <w:t xml:space="preserve">، </w:t>
      </w:r>
      <w:r w:rsidRPr="005675B2">
        <w:rPr>
          <w:rFonts w:hint="cs"/>
          <w:rtl/>
        </w:rPr>
        <w:t>ولكن هل يعني تقديم العقل إنكار النقل</w:t>
      </w:r>
      <w:r w:rsidR="000636C2">
        <w:rPr>
          <w:rFonts w:hint="cs"/>
          <w:rtl/>
        </w:rPr>
        <w:t>؟؟</w:t>
      </w:r>
      <w:r w:rsidRPr="005675B2">
        <w:rPr>
          <w:rFonts w:hint="cs"/>
          <w:rtl/>
        </w:rPr>
        <w:t xml:space="preserve"> وللجواب لا بد من تقسيم النصوص النقلية من حيث طريق وصولها إلينا ومن حيث قوة الدلالة إلى أربعة أقسـام</w:t>
      </w:r>
      <w:r w:rsidR="000636C2">
        <w:rPr>
          <w:rFonts w:hint="cs"/>
          <w:rtl/>
        </w:rPr>
        <w:t>:</w:t>
      </w:r>
      <w:r w:rsidRPr="005675B2">
        <w:rPr>
          <w:rFonts w:hint="cs"/>
          <w:rtl/>
        </w:rPr>
        <w:t xml:space="preserve"> القسـم الأول</w:t>
      </w:r>
      <w:r w:rsidR="000636C2">
        <w:rPr>
          <w:rFonts w:hint="cs"/>
          <w:rtl/>
        </w:rPr>
        <w:t>:</w:t>
      </w:r>
      <w:r w:rsidRPr="005675B2">
        <w:rPr>
          <w:rFonts w:hint="cs"/>
          <w:rtl/>
        </w:rPr>
        <w:t xml:space="preserve"> قطعي الورود قطعي الدلالة</w:t>
      </w:r>
      <w:r w:rsidR="000636C2">
        <w:rPr>
          <w:rFonts w:hint="cs"/>
          <w:rtl/>
        </w:rPr>
        <w:t>،</w:t>
      </w:r>
      <w:r w:rsidRPr="005675B2">
        <w:rPr>
          <w:rFonts w:hint="cs"/>
          <w:rtl/>
        </w:rPr>
        <w:t xml:space="preserve"> وهو نصوص القرآن الكريم والسنة المتواترة الدالةُ على المعنى المُسـْتَدَلِّ بها عليه دلالة واضحة بيِّنة قطعية</w:t>
      </w:r>
      <w:r w:rsidR="000636C2">
        <w:rPr>
          <w:rFonts w:hint="cs"/>
          <w:rtl/>
        </w:rPr>
        <w:t xml:space="preserve">، </w:t>
      </w:r>
      <w:r w:rsidRPr="005675B2">
        <w:rPr>
          <w:rFonts w:hint="cs"/>
          <w:rtl/>
        </w:rPr>
        <w:t>القسـم الثاني</w:t>
      </w:r>
      <w:r w:rsidR="000636C2">
        <w:rPr>
          <w:rFonts w:hint="cs"/>
          <w:rtl/>
        </w:rPr>
        <w:t>:</w:t>
      </w:r>
      <w:r w:rsidRPr="005675B2">
        <w:rPr>
          <w:rFonts w:hint="cs"/>
          <w:rtl/>
        </w:rPr>
        <w:t xml:space="preserve"> قطعي الورود ظنيُّ الدلالة</w:t>
      </w:r>
      <w:r w:rsidR="000636C2">
        <w:rPr>
          <w:rFonts w:hint="cs"/>
          <w:rtl/>
        </w:rPr>
        <w:t>،</w:t>
      </w:r>
      <w:r w:rsidRPr="005675B2">
        <w:rPr>
          <w:rFonts w:hint="cs"/>
          <w:rtl/>
        </w:rPr>
        <w:t xml:space="preserve"> وهو نصوص القرآن الكريم والسنة المتواترة الدالة على المعنى المستدَل بها عليه دلالة ظهرت ولاحت للمستدِل ولكنها غير قطعية</w:t>
      </w:r>
      <w:r w:rsidR="000636C2">
        <w:rPr>
          <w:rFonts w:hint="cs"/>
          <w:rtl/>
        </w:rPr>
        <w:t xml:space="preserve">، </w:t>
      </w:r>
      <w:r w:rsidRPr="005675B2">
        <w:rPr>
          <w:rFonts w:hint="cs"/>
          <w:rtl/>
        </w:rPr>
        <w:t>القسـم الثالث</w:t>
      </w:r>
      <w:r w:rsidR="000636C2">
        <w:rPr>
          <w:rFonts w:hint="cs"/>
          <w:rtl/>
        </w:rPr>
        <w:t>:</w:t>
      </w:r>
      <w:r w:rsidRPr="005675B2">
        <w:rPr>
          <w:rFonts w:hint="cs"/>
          <w:rtl/>
        </w:rPr>
        <w:t xml:space="preserve"> ظني الورود قطعي الدلالة</w:t>
      </w:r>
      <w:r w:rsidR="000636C2">
        <w:rPr>
          <w:rFonts w:hint="cs"/>
          <w:rtl/>
        </w:rPr>
        <w:t>،</w:t>
      </w:r>
      <w:r w:rsidRPr="005675B2">
        <w:rPr>
          <w:rFonts w:hint="cs"/>
          <w:rtl/>
        </w:rPr>
        <w:t xml:space="preserve"> وهو نصوص السنة التي وصلتنا بطريق آحادي ودلت على المعنى المستدَل بها عليه دلالة واضحة بينة قطعية</w:t>
      </w:r>
      <w:r w:rsidR="000636C2">
        <w:rPr>
          <w:rFonts w:hint="cs"/>
          <w:rtl/>
        </w:rPr>
        <w:t xml:space="preserve">، </w:t>
      </w:r>
      <w:r w:rsidRPr="005675B2">
        <w:rPr>
          <w:rFonts w:hint="cs"/>
          <w:rtl/>
        </w:rPr>
        <w:t>القسـم الرابع</w:t>
      </w:r>
      <w:r w:rsidR="000636C2">
        <w:rPr>
          <w:rFonts w:hint="cs"/>
          <w:rtl/>
        </w:rPr>
        <w:t>:</w:t>
      </w:r>
      <w:r w:rsidRPr="005675B2">
        <w:rPr>
          <w:rFonts w:hint="cs"/>
          <w:rtl/>
        </w:rPr>
        <w:t xml:space="preserve"> ظني الورود ظني الدلالة</w:t>
      </w:r>
      <w:r w:rsidR="000636C2">
        <w:rPr>
          <w:rFonts w:hint="cs"/>
          <w:rtl/>
        </w:rPr>
        <w:t>،</w:t>
      </w:r>
      <w:r w:rsidRPr="005675B2">
        <w:rPr>
          <w:rFonts w:hint="cs"/>
          <w:rtl/>
        </w:rPr>
        <w:t xml:space="preserve"> وهو نصوص السنة التي وصلتنا بطريق آحادي ودلت على المعنى المستدَل بها عليه دلالة ظهرت ولاحت للمستدِل ولكنها غير قطعية</w:t>
      </w:r>
      <w:r w:rsidR="000636C2">
        <w:rPr>
          <w:rFonts w:hint="cs"/>
          <w:rtl/>
        </w:rPr>
        <w:t xml:space="preserve">، </w:t>
      </w:r>
      <w:r w:rsidRPr="005675B2">
        <w:rPr>
          <w:rFonts w:hint="cs"/>
          <w:rtl/>
        </w:rPr>
        <w:t>و</w:t>
      </w:r>
      <w:r w:rsidR="000636C2">
        <w:rPr>
          <w:rFonts w:hint="cs"/>
          <w:rtl/>
        </w:rPr>
        <w:t>[</w:t>
      </w:r>
      <w:r>
        <w:rPr>
          <w:rFonts w:hint="cs"/>
          <w:rtl/>
        </w:rPr>
        <w:t>الجواب</w:t>
      </w:r>
      <w:r w:rsidR="000636C2">
        <w:rPr>
          <w:rFonts w:hint="cs"/>
          <w:rtl/>
        </w:rPr>
        <w:t xml:space="preserve">] </w:t>
      </w:r>
      <w:r w:rsidRPr="005675B2">
        <w:rPr>
          <w:rFonts w:hint="cs"/>
          <w:rtl/>
        </w:rPr>
        <w:t>بعد فهم هذا التقسـيم</w:t>
      </w:r>
      <w:r w:rsidR="000636C2">
        <w:rPr>
          <w:rFonts w:hint="cs"/>
          <w:rtl/>
        </w:rPr>
        <w:t>:</w:t>
      </w:r>
      <w:r w:rsidRPr="005675B2">
        <w:rPr>
          <w:rFonts w:hint="cs"/>
          <w:rtl/>
        </w:rPr>
        <w:t xml:space="preserve"> أنه يستحيل وقوع التعارض بين قضية عقلية قطعية ونص نقلي إذا كان قطعي الورود قطعي الدلالة</w:t>
      </w:r>
      <w:r w:rsidR="000636C2">
        <w:rPr>
          <w:rFonts w:hint="cs"/>
          <w:rtl/>
        </w:rPr>
        <w:t>،</w:t>
      </w:r>
      <w:r w:rsidRPr="005675B2">
        <w:rPr>
          <w:rFonts w:hint="cs"/>
          <w:rtl/>
        </w:rPr>
        <w:t xml:space="preserve"> وهو القسـم الأول</w:t>
      </w:r>
      <w:r w:rsidR="000636C2">
        <w:rPr>
          <w:rFonts w:hint="cs"/>
          <w:rtl/>
        </w:rPr>
        <w:t>،</w:t>
      </w:r>
      <w:r w:rsidRPr="005675B2">
        <w:rPr>
          <w:rFonts w:hint="cs"/>
          <w:rtl/>
        </w:rPr>
        <w:t xml:space="preserve"> لأن الحقائق تتآلف ولا تتخالف</w:t>
      </w:r>
      <w:r w:rsidR="000636C2">
        <w:rPr>
          <w:rFonts w:hint="cs"/>
          <w:rtl/>
        </w:rPr>
        <w:t xml:space="preserve">، </w:t>
      </w:r>
      <w:r w:rsidRPr="005675B2">
        <w:rPr>
          <w:rFonts w:hint="cs"/>
          <w:rtl/>
        </w:rPr>
        <w:t>ويُتصور وقوعُ التعارض بين قضية عقلية قطعية ونص نقلي قطعي الورود ظني الدلالة وهو القسـم الثاني</w:t>
      </w:r>
      <w:r w:rsidR="000636C2">
        <w:rPr>
          <w:rFonts w:hint="cs"/>
          <w:rtl/>
        </w:rPr>
        <w:t>،</w:t>
      </w:r>
      <w:r w:rsidRPr="005675B2">
        <w:rPr>
          <w:rFonts w:hint="cs"/>
          <w:rtl/>
        </w:rPr>
        <w:t xml:space="preserve"> وفي هذه الحالة لا بد من تأويل النص</w:t>
      </w:r>
      <w:r w:rsidR="000636C2">
        <w:rPr>
          <w:rFonts w:hint="cs"/>
          <w:rtl/>
        </w:rPr>
        <w:t>،</w:t>
      </w:r>
      <w:r w:rsidRPr="005675B2">
        <w:rPr>
          <w:rFonts w:hint="cs"/>
          <w:rtl/>
        </w:rPr>
        <w:t xml:space="preserve"> أي تفسيره بما لا يتعارض مع القضايا العقلية القطعية</w:t>
      </w:r>
      <w:r w:rsidR="000636C2">
        <w:rPr>
          <w:rFonts w:hint="cs"/>
          <w:rtl/>
        </w:rPr>
        <w:t>،</w:t>
      </w:r>
      <w:r w:rsidRPr="005675B2">
        <w:rPr>
          <w:rFonts w:hint="cs"/>
          <w:rtl/>
        </w:rPr>
        <w:t xml:space="preserve"> وبيان أن ذلك الظاهر الذي ظهر ولاح للمستدِل غير مراد قطعاً</w:t>
      </w:r>
      <w:r w:rsidR="000636C2">
        <w:rPr>
          <w:rFonts w:hint="cs"/>
          <w:rtl/>
        </w:rPr>
        <w:t xml:space="preserve">، </w:t>
      </w:r>
      <w:r w:rsidRPr="005675B2">
        <w:rPr>
          <w:rFonts w:hint="cs"/>
          <w:rtl/>
        </w:rPr>
        <w:t>ومثال ذلك أن الله الخالق العظيم الذي ليس كمثله شيء يستحيل أن يحل في شيء من مخلوقاته</w:t>
      </w:r>
      <w:r w:rsidR="000636C2">
        <w:rPr>
          <w:rFonts w:hint="cs"/>
          <w:rtl/>
        </w:rPr>
        <w:t>،</w:t>
      </w:r>
      <w:r w:rsidRPr="005675B2">
        <w:rPr>
          <w:rFonts w:hint="cs"/>
          <w:rtl/>
        </w:rPr>
        <w:t xml:space="preserve"> وهذه قضية عقلية قطعية</w:t>
      </w:r>
      <w:r w:rsidR="000636C2">
        <w:rPr>
          <w:rFonts w:hint="cs"/>
          <w:rtl/>
        </w:rPr>
        <w:t>،</w:t>
      </w:r>
      <w:r w:rsidRPr="005675B2">
        <w:rPr>
          <w:rFonts w:hint="cs"/>
          <w:rtl/>
        </w:rPr>
        <w:t xml:space="preserve"> وقد يظهر لبعض من لم يفهموا هذه القضية الاستدلالُ ببعض ما يظهر ويلوح لأذهانهم الكاسدة من نصوص القرآن الكريم</w:t>
      </w:r>
      <w:r w:rsidR="000636C2">
        <w:rPr>
          <w:rFonts w:hint="cs"/>
          <w:rtl/>
        </w:rPr>
        <w:t>،</w:t>
      </w:r>
      <w:r w:rsidRPr="005675B2">
        <w:rPr>
          <w:rFonts w:hint="cs"/>
          <w:rtl/>
        </w:rPr>
        <w:t xml:space="preserve"> فيحتجون مثلا بقوله تعالى </w:t>
      </w:r>
      <w:r w:rsidR="000636C2">
        <w:rPr>
          <w:rFonts w:hint="cs"/>
          <w:rtl/>
        </w:rPr>
        <w:t>[</w:t>
      </w:r>
      <w:r w:rsidRPr="005675B2">
        <w:rPr>
          <w:rFonts w:hint="cs"/>
          <w:rtl/>
        </w:rPr>
        <w:t>وَهُوَ مَعَكُمْ أَيْنَ مَا كُنْتُمْ</w:t>
      </w:r>
      <w:r w:rsidR="000636C2">
        <w:rPr>
          <w:rFonts w:hint="cs"/>
          <w:rtl/>
        </w:rPr>
        <w:t>]</w:t>
      </w:r>
      <w:r w:rsidRPr="005675B2">
        <w:rPr>
          <w:rFonts w:hint="cs"/>
          <w:rtl/>
        </w:rPr>
        <w:t xml:space="preserve"> [</w:t>
      </w:r>
      <w:r w:rsidRPr="005675B2">
        <w:rPr>
          <w:rFonts w:hint="cs"/>
          <w:sz w:val="24"/>
          <w:szCs w:val="24"/>
          <w:rtl/>
        </w:rPr>
        <w:t>سورة الحديد الآية 4</w:t>
      </w:r>
      <w:r w:rsidR="000636C2">
        <w:rPr>
          <w:rFonts w:hint="cs"/>
          <w:sz w:val="24"/>
          <w:szCs w:val="24"/>
          <w:rtl/>
        </w:rPr>
        <w:t>]</w:t>
      </w:r>
      <w:r w:rsidRPr="005675B2">
        <w:rPr>
          <w:rFonts w:hint="cs"/>
          <w:rtl/>
        </w:rPr>
        <w:t xml:space="preserve">وبقوله تعالى </w:t>
      </w:r>
      <w:r w:rsidR="000636C2">
        <w:rPr>
          <w:rFonts w:hint="cs"/>
          <w:rtl/>
        </w:rPr>
        <w:t>[</w:t>
      </w:r>
      <w:r w:rsidRPr="005675B2">
        <w:rPr>
          <w:rFonts w:hint="cs"/>
          <w:rtl/>
        </w:rPr>
        <w:t>وَنَحْنُ أَقْرَبُ إِلَيْهِ مِنْ حَبْلِ الْوَرِيدِ</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ق الآية 16</w:t>
      </w:r>
      <w:r w:rsidR="000636C2">
        <w:rPr>
          <w:rFonts w:hint="cs"/>
          <w:sz w:val="24"/>
          <w:szCs w:val="24"/>
          <w:rtl/>
        </w:rPr>
        <w:t>]</w:t>
      </w:r>
      <w:r w:rsidRPr="005675B2">
        <w:rPr>
          <w:rFonts w:hint="cs"/>
          <w:rtl/>
        </w:rPr>
        <w:t xml:space="preserve"> على مذهب الحلوليين</w:t>
      </w:r>
      <w:r w:rsidR="000636C2">
        <w:rPr>
          <w:rFonts w:hint="cs"/>
          <w:rtl/>
        </w:rPr>
        <w:t>،</w:t>
      </w:r>
      <w:r w:rsidRPr="005675B2">
        <w:rPr>
          <w:rFonts w:hint="cs"/>
          <w:rtl/>
        </w:rPr>
        <w:t xml:space="preserve"> وهنا لا بد من تأويل النص</w:t>
      </w:r>
      <w:r w:rsidR="000636C2">
        <w:rPr>
          <w:rFonts w:hint="cs"/>
          <w:rtl/>
        </w:rPr>
        <w:t>،</w:t>
      </w:r>
      <w:r w:rsidRPr="005675B2">
        <w:rPr>
          <w:rFonts w:hint="cs"/>
          <w:rtl/>
        </w:rPr>
        <w:t xml:space="preserve"> أي تفسيره بما لا يتعارض مع القضايا العقلية القطعية</w:t>
      </w:r>
      <w:r w:rsidR="000636C2">
        <w:rPr>
          <w:rFonts w:hint="cs"/>
          <w:rtl/>
        </w:rPr>
        <w:t>،</w:t>
      </w:r>
      <w:r w:rsidRPr="005675B2">
        <w:rPr>
          <w:rFonts w:hint="cs"/>
          <w:rtl/>
        </w:rPr>
        <w:t xml:space="preserve"> ولا بد من بيان أن ذلك الظاهر غير مراد قطعاً، فيقال مثلا</w:t>
      </w:r>
      <w:r w:rsidR="000636C2">
        <w:rPr>
          <w:rFonts w:hint="cs"/>
          <w:rtl/>
        </w:rPr>
        <w:t>:</w:t>
      </w:r>
      <w:r w:rsidRPr="005675B2">
        <w:rPr>
          <w:rFonts w:hint="cs"/>
          <w:rtl/>
        </w:rPr>
        <w:t xml:space="preserve"> إن معيّة الله تعالى أي كونه مع المخلوقات ليست كمعيّـة المخلوقات بعضهم مع بعض</w:t>
      </w:r>
      <w:r w:rsidR="000636C2">
        <w:rPr>
          <w:rFonts w:hint="cs"/>
          <w:rtl/>
        </w:rPr>
        <w:t>،</w:t>
      </w:r>
      <w:r w:rsidRPr="005675B2">
        <w:rPr>
          <w:rFonts w:hint="cs"/>
          <w:rtl/>
        </w:rPr>
        <w:t xml:space="preserve"> بل الله جل جلاله معهم معية تليق به</w:t>
      </w:r>
      <w:r w:rsidR="000636C2">
        <w:rPr>
          <w:rFonts w:hint="cs"/>
          <w:rtl/>
        </w:rPr>
        <w:t>،</w:t>
      </w:r>
      <w:r w:rsidRPr="005675B2">
        <w:rPr>
          <w:rFonts w:hint="cs"/>
          <w:rtl/>
        </w:rPr>
        <w:t xml:space="preserve"> أو معهم بعلمه مثلا</w:t>
      </w:r>
      <w:r w:rsidR="000636C2">
        <w:rPr>
          <w:rFonts w:hint="cs"/>
          <w:rtl/>
        </w:rPr>
        <w:t>،</w:t>
      </w:r>
      <w:r w:rsidRPr="005675B2">
        <w:rPr>
          <w:rFonts w:hint="cs"/>
          <w:rtl/>
        </w:rPr>
        <w:t xml:space="preserve"> وكذا قرب الله تعالى إلى عبده وكونه أقرب إليه من حبل الوريد ليس كقرب المخلوقات بعضهم من بعض</w:t>
      </w:r>
      <w:r w:rsidR="000636C2">
        <w:rPr>
          <w:rFonts w:hint="cs"/>
          <w:rtl/>
        </w:rPr>
        <w:t>،</w:t>
      </w:r>
      <w:r w:rsidRPr="005675B2">
        <w:rPr>
          <w:rFonts w:hint="cs"/>
          <w:rtl/>
        </w:rPr>
        <w:t xml:space="preserve"> بل الله جل جلاله قريب إلى عبده قرباً يليق به</w:t>
      </w:r>
      <w:r w:rsidR="000636C2">
        <w:rPr>
          <w:rFonts w:hint="cs"/>
          <w:rtl/>
        </w:rPr>
        <w:t>،</w:t>
      </w:r>
      <w:r w:rsidRPr="005675B2">
        <w:rPr>
          <w:rFonts w:hint="cs"/>
          <w:rtl/>
        </w:rPr>
        <w:t xml:space="preserve"> أو قريب إليه بالهيمنة والقدرة مثلاً</w:t>
      </w:r>
      <w:r w:rsidR="000636C2">
        <w:rPr>
          <w:rFonts w:hint="cs"/>
          <w:rtl/>
        </w:rPr>
        <w:t xml:space="preserve">، </w:t>
      </w:r>
      <w:r w:rsidRPr="005675B2">
        <w:rPr>
          <w:rFonts w:hint="cs"/>
          <w:rtl/>
        </w:rPr>
        <w:t>ويُتصور وقوع التعارض بين قضية عقلية قطعية ونص نقلي ظني الورود قطعي الدلالة</w:t>
      </w:r>
      <w:r w:rsidR="000636C2">
        <w:rPr>
          <w:rFonts w:hint="cs"/>
          <w:rtl/>
        </w:rPr>
        <w:t>،</w:t>
      </w:r>
      <w:r w:rsidRPr="005675B2">
        <w:rPr>
          <w:rFonts w:hint="cs"/>
          <w:rtl/>
        </w:rPr>
        <w:t xml:space="preserve"> وهو القسـم الثالث، وإن ورد شـيء من ذلك فلا بد من حمل النص على أنه خطأ من بعض الرواة</w:t>
      </w:r>
      <w:r w:rsidR="000636C2">
        <w:rPr>
          <w:rFonts w:hint="cs"/>
          <w:rtl/>
        </w:rPr>
        <w:t xml:space="preserve">، </w:t>
      </w:r>
      <w:r w:rsidRPr="005675B2">
        <w:rPr>
          <w:rFonts w:hint="cs"/>
          <w:rtl/>
        </w:rPr>
        <w:t>وكذا يتصور وقوع التعارض بين قضية عقلية قطعية ونص نقلي ظني الورود ظني الدلالة</w:t>
      </w:r>
      <w:r w:rsidR="000636C2">
        <w:rPr>
          <w:rFonts w:hint="cs"/>
          <w:rtl/>
        </w:rPr>
        <w:t>،</w:t>
      </w:r>
      <w:r w:rsidRPr="005675B2">
        <w:rPr>
          <w:rFonts w:hint="cs"/>
          <w:rtl/>
        </w:rPr>
        <w:t xml:space="preserve"> وهو القسـم الرابع</w:t>
      </w:r>
      <w:r w:rsidR="000636C2">
        <w:rPr>
          <w:rFonts w:hint="cs"/>
          <w:rtl/>
        </w:rPr>
        <w:t>،</w:t>
      </w:r>
      <w:r w:rsidRPr="005675B2">
        <w:rPr>
          <w:rFonts w:hint="cs"/>
          <w:rtl/>
        </w:rPr>
        <w:t xml:space="preserve"> وإذا ورد شـيء من ذلك فيؤول</w:t>
      </w:r>
      <w:r w:rsidR="000636C2">
        <w:rPr>
          <w:rFonts w:hint="cs"/>
          <w:rtl/>
        </w:rPr>
        <w:t>،</w:t>
      </w:r>
      <w:r w:rsidRPr="005675B2">
        <w:rPr>
          <w:rFonts w:hint="cs"/>
          <w:rtl/>
        </w:rPr>
        <w:t xml:space="preserve"> وقد يحمل على أنه خطأ من بعض الرواة</w:t>
      </w:r>
      <w:r w:rsidR="000636C2">
        <w:rPr>
          <w:rFonts w:hint="cs"/>
          <w:rtl/>
        </w:rPr>
        <w:t xml:space="preserve">، </w:t>
      </w:r>
      <w:r w:rsidRPr="005675B2">
        <w:rPr>
          <w:rFonts w:hint="cs"/>
          <w:rtl/>
        </w:rPr>
        <w:t>7</w:t>
      </w:r>
      <w:r w:rsidR="000636C2">
        <w:rPr>
          <w:rFonts w:hint="cs"/>
          <w:rtl/>
        </w:rPr>
        <w:t xml:space="preserve"> </w:t>
      </w:r>
      <w:r w:rsidRPr="005675B2">
        <w:rPr>
          <w:rFonts w:hint="cs"/>
          <w:rtl/>
        </w:rPr>
        <w:t>- الإيجي هو أحد الذين قالوا بتقديم العقل على النقل من الأشاعرة</w:t>
      </w:r>
      <w:r w:rsidR="000636C2">
        <w:rPr>
          <w:rFonts w:hint="cs"/>
          <w:rtl/>
        </w:rPr>
        <w:t>،</w:t>
      </w:r>
      <w:r w:rsidRPr="005675B2">
        <w:rPr>
          <w:rFonts w:hint="cs"/>
          <w:rtl/>
        </w:rPr>
        <w:t xml:space="preserve"> فما مثال ذلك من كلامه</w:t>
      </w:r>
      <w:r w:rsidR="000636C2">
        <w:rPr>
          <w:rFonts w:hint="cs"/>
          <w:rtl/>
        </w:rPr>
        <w:t xml:space="preserve">؟ </w:t>
      </w:r>
      <w:r w:rsidRPr="005675B2">
        <w:rPr>
          <w:rFonts w:hint="cs"/>
          <w:rtl/>
        </w:rPr>
        <w:t>تحدث الإيجي عن الذين وصفوا الله تعالى بأنه جسم</w:t>
      </w:r>
      <w:r w:rsidR="000636C2">
        <w:rPr>
          <w:rFonts w:hint="cs"/>
          <w:rtl/>
        </w:rPr>
        <w:t>،</w:t>
      </w:r>
      <w:r w:rsidRPr="005675B2">
        <w:rPr>
          <w:rFonts w:hint="cs"/>
          <w:rtl/>
        </w:rPr>
        <w:t xml:space="preserve"> وبين أقوال المجسمين تجسيما حقيقيا</w:t>
      </w:r>
      <w:r w:rsidR="000636C2">
        <w:rPr>
          <w:rFonts w:hint="cs"/>
          <w:rtl/>
        </w:rPr>
        <w:t>،</w:t>
      </w:r>
      <w:r w:rsidRPr="005675B2">
        <w:rPr>
          <w:rFonts w:hint="cs"/>
          <w:rtl/>
        </w:rPr>
        <w:t xml:space="preserve"> وأشار إلى استدلالاتهم وإلى </w:t>
      </w:r>
      <w:r w:rsidR="000636C2">
        <w:rPr>
          <w:rFonts w:hint="cs"/>
          <w:rtl/>
        </w:rPr>
        <w:t>[</w:t>
      </w:r>
      <w:r>
        <w:rPr>
          <w:rFonts w:hint="cs"/>
          <w:rtl/>
        </w:rPr>
        <w:t>الجواب</w:t>
      </w:r>
      <w:r w:rsidR="000636C2">
        <w:rPr>
          <w:rFonts w:hint="cs"/>
          <w:rtl/>
        </w:rPr>
        <w:t xml:space="preserve">] </w:t>
      </w:r>
      <w:r w:rsidRPr="005675B2">
        <w:rPr>
          <w:rFonts w:hint="cs"/>
          <w:rtl/>
        </w:rPr>
        <w:t>عنها</w:t>
      </w:r>
      <w:r w:rsidR="000636C2">
        <w:rPr>
          <w:rFonts w:hint="cs"/>
          <w:rtl/>
        </w:rPr>
        <w:t xml:space="preserve">: </w:t>
      </w:r>
      <w:r w:rsidRPr="005675B2">
        <w:rPr>
          <w:rFonts w:hint="cs"/>
          <w:rtl/>
        </w:rPr>
        <w:t>قال رحمه الله</w:t>
      </w:r>
      <w:r w:rsidR="000636C2">
        <w:rPr>
          <w:rFonts w:hint="cs"/>
          <w:rtl/>
        </w:rPr>
        <w:t>:</w:t>
      </w:r>
      <w:r w:rsidRPr="005675B2">
        <w:rPr>
          <w:rFonts w:hint="cs"/>
          <w:rtl/>
        </w:rPr>
        <w:t xml:space="preserve"> </w:t>
      </w:r>
      <w:r w:rsidR="000636C2">
        <w:rPr>
          <w:rFonts w:hint="cs"/>
          <w:rtl/>
        </w:rPr>
        <w:t>[</w:t>
      </w:r>
      <w:r w:rsidRPr="005675B2">
        <w:rPr>
          <w:rFonts w:hint="cs"/>
          <w:rtl/>
        </w:rPr>
        <w:t>والمجسمة قالوا هو جسم حقيقة</w:t>
      </w:r>
      <w:r w:rsidR="000636C2">
        <w:rPr>
          <w:rFonts w:hint="cs"/>
          <w:rtl/>
        </w:rPr>
        <w:t>،</w:t>
      </w:r>
      <w:r w:rsidRPr="005675B2">
        <w:rPr>
          <w:rFonts w:hint="cs"/>
          <w:rtl/>
        </w:rPr>
        <w:t xml:space="preserve"> فقيل</w:t>
      </w:r>
      <w:r w:rsidR="000636C2">
        <w:rPr>
          <w:rFonts w:hint="cs"/>
          <w:rtl/>
        </w:rPr>
        <w:t>:</w:t>
      </w:r>
      <w:r w:rsidRPr="005675B2">
        <w:rPr>
          <w:rFonts w:hint="cs"/>
          <w:rtl/>
        </w:rPr>
        <w:t xml:space="preserve"> من لحم ودم</w:t>
      </w:r>
      <w:r w:rsidR="000636C2">
        <w:rPr>
          <w:rFonts w:hint="cs"/>
          <w:rtl/>
        </w:rPr>
        <w:t>،</w:t>
      </w:r>
      <w:r w:rsidRPr="005675B2">
        <w:rPr>
          <w:rFonts w:hint="cs"/>
          <w:rtl/>
        </w:rPr>
        <w:t xml:space="preserve"> وقيل</w:t>
      </w:r>
      <w:r w:rsidR="000636C2">
        <w:rPr>
          <w:rFonts w:hint="cs"/>
          <w:rtl/>
        </w:rPr>
        <w:t>:</w:t>
      </w:r>
      <w:r w:rsidRPr="005675B2">
        <w:rPr>
          <w:rFonts w:hint="cs"/>
          <w:rtl/>
        </w:rPr>
        <w:t xml:space="preserve"> نور يتلألأ كالسبيكة البيضاء وطوله سبعة أشبار من شبر نفسه</w:t>
      </w:r>
      <w:r w:rsidR="000636C2">
        <w:rPr>
          <w:rFonts w:hint="cs"/>
          <w:rtl/>
        </w:rPr>
        <w:t>،</w:t>
      </w:r>
      <w:r w:rsidRPr="005675B2">
        <w:rPr>
          <w:rFonts w:hint="cs"/>
          <w:rtl/>
        </w:rPr>
        <w:t xml:space="preserve"> ومنهم من يقول</w:t>
      </w:r>
      <w:r w:rsidR="000636C2">
        <w:rPr>
          <w:rFonts w:hint="cs"/>
          <w:rtl/>
        </w:rPr>
        <w:t>:</w:t>
      </w:r>
      <w:r w:rsidRPr="005675B2">
        <w:rPr>
          <w:rFonts w:hint="cs"/>
          <w:rtl/>
        </w:rPr>
        <w:t xml:space="preserve"> إنه على صورة إنسان</w:t>
      </w:r>
      <w:r w:rsidR="000636C2">
        <w:rPr>
          <w:rFonts w:hint="cs"/>
          <w:rtl/>
        </w:rPr>
        <w:t>،</w:t>
      </w:r>
      <w:r w:rsidRPr="005675B2">
        <w:rPr>
          <w:rFonts w:hint="cs"/>
          <w:rtl/>
        </w:rPr>
        <w:t xml:space="preserve"> فقيل</w:t>
      </w:r>
      <w:r w:rsidR="000636C2">
        <w:rPr>
          <w:rFonts w:hint="cs"/>
          <w:rtl/>
        </w:rPr>
        <w:t>:</w:t>
      </w:r>
      <w:r w:rsidRPr="005675B2">
        <w:rPr>
          <w:rFonts w:hint="cs"/>
          <w:rtl/>
        </w:rPr>
        <w:t xml:space="preserve"> شاب أمرد جعد قطط</w:t>
      </w:r>
      <w:r w:rsidR="000636C2">
        <w:rPr>
          <w:rFonts w:hint="cs"/>
          <w:rtl/>
        </w:rPr>
        <w:t>،</w:t>
      </w:r>
      <w:r w:rsidRPr="005675B2">
        <w:rPr>
          <w:rFonts w:hint="cs"/>
          <w:rtl/>
        </w:rPr>
        <w:t xml:space="preserve"> وقيل</w:t>
      </w:r>
      <w:r w:rsidR="000636C2">
        <w:rPr>
          <w:rFonts w:hint="cs"/>
          <w:rtl/>
        </w:rPr>
        <w:t>:</w:t>
      </w:r>
      <w:r w:rsidRPr="005675B2">
        <w:rPr>
          <w:rFonts w:hint="cs"/>
          <w:rtl/>
        </w:rPr>
        <w:t xml:space="preserve"> شيخ أشمط الرأس واللحية</w:t>
      </w:r>
      <w:r w:rsidR="000636C2">
        <w:rPr>
          <w:rFonts w:hint="cs"/>
          <w:rtl/>
        </w:rPr>
        <w:t>،</w:t>
      </w:r>
      <w:r w:rsidRPr="005675B2">
        <w:rPr>
          <w:rFonts w:hint="cs"/>
          <w:rtl/>
        </w:rPr>
        <w:t xml:space="preserve"> تعالى الله عن قول المبطلين</w:t>
      </w:r>
      <w:r w:rsidR="000636C2">
        <w:rPr>
          <w:rFonts w:hint="cs"/>
          <w:rtl/>
        </w:rPr>
        <w:t>]</w:t>
      </w:r>
      <w:r w:rsidRPr="005675B2">
        <w:rPr>
          <w:rFonts w:hint="cs"/>
          <w:rtl/>
        </w:rPr>
        <w:t xml:space="preserve"> [</w:t>
      </w:r>
      <w:r w:rsidRPr="005675B2">
        <w:rPr>
          <w:rFonts w:hint="cs"/>
          <w:sz w:val="24"/>
          <w:szCs w:val="24"/>
          <w:rtl/>
        </w:rPr>
        <w:t>لمواقف: ص 273</w:t>
      </w:r>
      <w:r w:rsidR="000636C2">
        <w:rPr>
          <w:rFonts w:hint="cs"/>
          <w:sz w:val="24"/>
          <w:szCs w:val="24"/>
          <w:rtl/>
        </w:rPr>
        <w:t>]</w:t>
      </w:r>
      <w:r w:rsidRPr="005675B2">
        <w:rPr>
          <w:rFonts w:hint="cs"/>
          <w:rtl/>
        </w:rPr>
        <w:t>،</w:t>
      </w:r>
      <w:r w:rsidR="000636C2">
        <w:rPr>
          <w:rFonts w:hint="cs"/>
          <w:rtl/>
        </w:rPr>
        <w:t xml:space="preserve"> </w:t>
      </w:r>
      <w:r w:rsidRPr="005675B2">
        <w:rPr>
          <w:rFonts w:hint="cs"/>
          <w:rtl/>
        </w:rPr>
        <w:t>وقال في حديثه عن استدلالات أولئك المبطلين</w:t>
      </w:r>
      <w:r w:rsidR="000636C2">
        <w:rPr>
          <w:rFonts w:hint="cs"/>
          <w:rtl/>
        </w:rPr>
        <w:t>:</w:t>
      </w:r>
      <w:r w:rsidRPr="005675B2">
        <w:rPr>
          <w:rFonts w:hint="cs"/>
          <w:rtl/>
        </w:rPr>
        <w:t xml:space="preserve"> احتجوا بالظواهر الموهمة للتجسيم من الآيات والأحاديث</w:t>
      </w:r>
      <w:r w:rsidR="000636C2">
        <w:rPr>
          <w:rFonts w:hint="cs"/>
          <w:rtl/>
        </w:rPr>
        <w:t>،</w:t>
      </w:r>
      <w:r w:rsidRPr="005675B2">
        <w:rPr>
          <w:rFonts w:hint="cs"/>
          <w:rtl/>
        </w:rPr>
        <w:t xml:space="preserve"> نحوقوله تعالى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w:t>
      </w:r>
      <w:r w:rsidRPr="005675B2">
        <w:rPr>
          <w:rFonts w:hint="cs"/>
          <w:sz w:val="24"/>
          <w:szCs w:val="24"/>
          <w:rtl/>
        </w:rPr>
        <w:t>سورة طه</w:t>
      </w:r>
      <w:r w:rsidR="000636C2">
        <w:rPr>
          <w:rFonts w:hint="cs"/>
          <w:sz w:val="24"/>
          <w:szCs w:val="24"/>
          <w:rtl/>
        </w:rPr>
        <w:t>:</w:t>
      </w:r>
      <w:r w:rsidRPr="005675B2">
        <w:rPr>
          <w:rFonts w:hint="cs"/>
          <w:sz w:val="24"/>
          <w:szCs w:val="24"/>
          <w:rtl/>
        </w:rPr>
        <w:t>5</w:t>
      </w:r>
      <w:r w:rsidRPr="005675B2">
        <w:rPr>
          <w:rFonts w:hint="cs"/>
          <w:rtl/>
        </w:rPr>
        <w:t xml:space="preserve">] </w:t>
      </w:r>
      <w:r w:rsidR="000636C2">
        <w:rPr>
          <w:rFonts w:hint="cs"/>
          <w:rtl/>
        </w:rPr>
        <w:t>[</w:t>
      </w:r>
      <w:r w:rsidRPr="005675B2">
        <w:rPr>
          <w:rFonts w:hint="cs"/>
          <w:rtl/>
        </w:rPr>
        <w:t>وَجَاءَ رَبُّكَ وَالْمَلَكُ صَفّاً صَفّاً</w:t>
      </w:r>
      <w:r w:rsidR="000636C2">
        <w:rPr>
          <w:rFonts w:hint="cs"/>
          <w:rtl/>
        </w:rPr>
        <w:t>][</w:t>
      </w:r>
      <w:r w:rsidRPr="005675B2">
        <w:rPr>
          <w:rFonts w:hint="cs"/>
          <w:sz w:val="24"/>
          <w:szCs w:val="24"/>
          <w:rtl/>
        </w:rPr>
        <w:t>سورة الفجر</w:t>
      </w:r>
      <w:r w:rsidR="000636C2">
        <w:rPr>
          <w:rFonts w:hint="cs"/>
          <w:sz w:val="24"/>
          <w:szCs w:val="24"/>
          <w:rtl/>
        </w:rPr>
        <w:t>،</w:t>
      </w:r>
      <w:r w:rsidRPr="005675B2">
        <w:rPr>
          <w:rFonts w:hint="cs"/>
          <w:sz w:val="24"/>
          <w:szCs w:val="24"/>
          <w:rtl/>
        </w:rPr>
        <w:t xml:space="preserve"> الآية 22</w:t>
      </w:r>
      <w:r w:rsidR="000636C2">
        <w:rPr>
          <w:rFonts w:hint="cs"/>
          <w:sz w:val="24"/>
          <w:szCs w:val="24"/>
          <w:rtl/>
        </w:rPr>
        <w:t>]</w:t>
      </w:r>
      <w:r w:rsidRPr="005675B2">
        <w:rPr>
          <w:rFonts w:hint="cs"/>
          <w:rtl/>
        </w:rPr>
        <w:t xml:space="preserve"> .. وحديث النزول</w:t>
      </w:r>
      <w:r w:rsidR="000636C2">
        <w:rPr>
          <w:rFonts w:hint="cs"/>
          <w:rtl/>
        </w:rPr>
        <w:t>،</w:t>
      </w:r>
      <w:r w:rsidRPr="005675B2">
        <w:rPr>
          <w:rFonts w:hint="cs"/>
          <w:rtl/>
        </w:rPr>
        <w:t xml:space="preserve"> و</w:t>
      </w:r>
      <w:r w:rsidR="000636C2">
        <w:rPr>
          <w:rFonts w:hint="cs"/>
          <w:rtl/>
        </w:rPr>
        <w:t>[</w:t>
      </w:r>
      <w:r>
        <w:rPr>
          <w:rFonts w:hint="cs"/>
          <w:rtl/>
        </w:rPr>
        <w:t>الجواب</w:t>
      </w:r>
      <w:r w:rsidR="000636C2">
        <w:rPr>
          <w:rFonts w:hint="cs"/>
          <w:rtl/>
        </w:rPr>
        <w:t>]:</w:t>
      </w:r>
      <w:r w:rsidRPr="005675B2">
        <w:rPr>
          <w:rFonts w:hint="cs"/>
          <w:rtl/>
        </w:rPr>
        <w:t xml:space="preserve"> أنها ظواهر ظنية لا تعارض اليقينيات</w:t>
      </w:r>
      <w:r w:rsidR="000636C2">
        <w:rPr>
          <w:rFonts w:hint="cs"/>
          <w:rtl/>
        </w:rPr>
        <w:t>،</w:t>
      </w:r>
      <w:r w:rsidRPr="005675B2">
        <w:rPr>
          <w:rFonts w:hint="cs"/>
          <w:rtl/>
        </w:rPr>
        <w:t xml:space="preserve"> ومهما تعارض دليلان وجب العمل بهما ما أمكن، فتؤول الظواهر</w:t>
      </w:r>
      <w:r w:rsidR="000636C2">
        <w:rPr>
          <w:rFonts w:hint="cs"/>
          <w:rtl/>
        </w:rPr>
        <w:t>،</w:t>
      </w:r>
      <w:r w:rsidRPr="005675B2">
        <w:rPr>
          <w:rFonts w:hint="cs"/>
          <w:rtl/>
        </w:rPr>
        <w:t xml:space="preserve"> إما إجمالاً ويفوض تفصيلها إلى الله ..</w:t>
      </w:r>
      <w:r w:rsidR="000636C2">
        <w:rPr>
          <w:rFonts w:hint="cs"/>
          <w:rtl/>
        </w:rPr>
        <w:t>،</w:t>
      </w:r>
      <w:r w:rsidRPr="005675B2">
        <w:rPr>
          <w:rFonts w:hint="cs"/>
          <w:rtl/>
        </w:rPr>
        <w:t xml:space="preserve"> وإما تفصيلاً .. </w:t>
      </w:r>
      <w:r w:rsidR="000636C2">
        <w:rPr>
          <w:rFonts w:hint="cs"/>
          <w:rtl/>
        </w:rPr>
        <w:t>[</w:t>
      </w:r>
      <w:r w:rsidRPr="005675B2">
        <w:rPr>
          <w:rFonts w:hint="cs"/>
          <w:sz w:val="24"/>
          <w:szCs w:val="24"/>
          <w:rtl/>
        </w:rPr>
        <w:t>المواقف: ص 272 ـ 273</w:t>
      </w:r>
      <w:r w:rsidR="000636C2">
        <w:rPr>
          <w:rFonts w:hint="cs"/>
          <w:sz w:val="24"/>
          <w:szCs w:val="24"/>
          <w:rtl/>
        </w:rPr>
        <w:t>]</w:t>
      </w:r>
      <w:r w:rsidRPr="005675B2">
        <w:rPr>
          <w:rFonts w:hint="cs"/>
          <w:rtl/>
        </w:rPr>
        <w:t xml:space="preserve"> فانظر</w:t>
      </w:r>
      <w:r w:rsidR="000636C2">
        <w:rPr>
          <w:rFonts w:hint="cs"/>
          <w:rtl/>
        </w:rPr>
        <w:t xml:space="preserve"> </w:t>
      </w:r>
      <w:r w:rsidRPr="005675B2">
        <w:rPr>
          <w:rFonts w:hint="cs"/>
          <w:rtl/>
        </w:rPr>
        <w:t>- هداك الله ورعاك</w:t>
      </w:r>
      <w:r w:rsidR="000636C2">
        <w:rPr>
          <w:rFonts w:hint="cs"/>
          <w:rtl/>
        </w:rPr>
        <w:t xml:space="preserve"> </w:t>
      </w:r>
      <w:r w:rsidRPr="005675B2">
        <w:rPr>
          <w:rFonts w:hint="cs"/>
          <w:rtl/>
        </w:rPr>
        <w:t>- إلى التعارض بين تنـزيه الله الذي ليس كمثله شيء وبين الظاهر الذي لاح للمجسمة من بعض الآيات والأحاديث</w:t>
      </w:r>
      <w:r w:rsidR="000636C2">
        <w:rPr>
          <w:rFonts w:hint="cs"/>
          <w:rtl/>
        </w:rPr>
        <w:t>،</w:t>
      </w:r>
      <w:r w:rsidRPr="005675B2">
        <w:rPr>
          <w:rFonts w:hint="cs"/>
          <w:rtl/>
        </w:rPr>
        <w:t xml:space="preserve"> وتأمل جواب الإيجي الذي يقول بتقديم العقل على النقل عند التعارض</w:t>
      </w:r>
      <w:r w:rsidR="000636C2">
        <w:rPr>
          <w:rFonts w:hint="cs"/>
          <w:rtl/>
        </w:rPr>
        <w:t>،</w:t>
      </w:r>
      <w:r w:rsidRPr="005675B2">
        <w:rPr>
          <w:rFonts w:hint="cs"/>
          <w:rtl/>
        </w:rPr>
        <w:t xml:space="preserve"> وجوابه يقرر ما يلي</w:t>
      </w:r>
      <w:r w:rsidR="000636C2">
        <w:rPr>
          <w:rFonts w:hint="cs"/>
          <w:rtl/>
        </w:rPr>
        <w:t xml:space="preserve">: </w:t>
      </w:r>
      <w:r w:rsidRPr="005675B2">
        <w:rPr>
          <w:rFonts w:hint="cs"/>
          <w:rtl/>
        </w:rPr>
        <w:t>أ</w:t>
      </w:r>
      <w:r w:rsidR="000636C2">
        <w:rPr>
          <w:rFonts w:hint="cs"/>
          <w:rtl/>
        </w:rPr>
        <w:t xml:space="preserve"> </w:t>
      </w:r>
      <w:r w:rsidRPr="005675B2">
        <w:rPr>
          <w:rFonts w:hint="cs"/>
          <w:rtl/>
        </w:rPr>
        <w:t>- إن ما لاح للمجسمة من الاستدلال بهذه النصوص هو استدلال بما ظهر لهم من معانيها</w:t>
      </w:r>
      <w:r w:rsidR="000636C2">
        <w:rPr>
          <w:rFonts w:hint="cs"/>
          <w:rtl/>
        </w:rPr>
        <w:t>،</w:t>
      </w:r>
      <w:r w:rsidRPr="005675B2">
        <w:rPr>
          <w:rFonts w:hint="cs"/>
          <w:rtl/>
        </w:rPr>
        <w:t xml:space="preserve"> فهو مجرد </w:t>
      </w:r>
      <w:r w:rsidR="000636C2">
        <w:rPr>
          <w:rFonts w:hint="cs"/>
          <w:rtl/>
        </w:rPr>
        <w:t>[</w:t>
      </w:r>
      <w:r w:rsidRPr="005675B2">
        <w:rPr>
          <w:rFonts w:hint="cs"/>
          <w:rtl/>
        </w:rPr>
        <w:t>ظواهر</w:t>
      </w:r>
      <w:r w:rsidR="000636C2">
        <w:rPr>
          <w:rFonts w:hint="cs"/>
          <w:rtl/>
        </w:rPr>
        <w:t>]،</w:t>
      </w:r>
      <w:r w:rsidRPr="005675B2">
        <w:rPr>
          <w:rFonts w:hint="cs"/>
          <w:rtl/>
        </w:rPr>
        <w:t xml:space="preserve"> أي إن ألفاظ النصوص لا تدل على التجسيم دلالة قطعية</w:t>
      </w:r>
      <w:r w:rsidR="000636C2">
        <w:rPr>
          <w:rFonts w:hint="cs"/>
          <w:rtl/>
        </w:rPr>
        <w:t xml:space="preserve">، </w:t>
      </w:r>
      <w:r w:rsidRPr="005675B2">
        <w:rPr>
          <w:rFonts w:hint="cs"/>
          <w:rtl/>
        </w:rPr>
        <w:t>ب</w:t>
      </w:r>
      <w:r w:rsidR="000636C2">
        <w:rPr>
          <w:rFonts w:hint="cs"/>
          <w:rtl/>
        </w:rPr>
        <w:t xml:space="preserve"> </w:t>
      </w:r>
      <w:r w:rsidRPr="005675B2">
        <w:rPr>
          <w:rFonts w:hint="cs"/>
          <w:rtl/>
        </w:rPr>
        <w:t>- تنـزيه الله تعالى عن التجسيم أمر مقطوع به</w:t>
      </w:r>
      <w:r w:rsidR="000636C2">
        <w:rPr>
          <w:rFonts w:hint="cs"/>
          <w:rtl/>
        </w:rPr>
        <w:t xml:space="preserve">، </w:t>
      </w:r>
      <w:r w:rsidRPr="005675B2">
        <w:rPr>
          <w:rFonts w:hint="cs"/>
          <w:rtl/>
        </w:rPr>
        <w:t>ج</w:t>
      </w:r>
      <w:r w:rsidR="000636C2">
        <w:rPr>
          <w:rFonts w:hint="cs"/>
          <w:rtl/>
        </w:rPr>
        <w:t xml:space="preserve"> </w:t>
      </w:r>
      <w:r w:rsidRPr="005675B2">
        <w:rPr>
          <w:rFonts w:hint="cs"/>
          <w:rtl/>
        </w:rPr>
        <w:t>- إذا تعارض دليلان فيجب العمل بكليهما على قدر الإمكان</w:t>
      </w:r>
      <w:r w:rsidR="000636C2">
        <w:rPr>
          <w:rFonts w:hint="cs"/>
          <w:rtl/>
        </w:rPr>
        <w:t xml:space="preserve">، </w:t>
      </w:r>
      <w:r w:rsidRPr="005675B2">
        <w:rPr>
          <w:rFonts w:hint="cs"/>
          <w:rtl/>
        </w:rPr>
        <w:t>د</w:t>
      </w:r>
      <w:r w:rsidR="000636C2">
        <w:rPr>
          <w:rFonts w:hint="cs"/>
          <w:rtl/>
        </w:rPr>
        <w:t xml:space="preserve"> </w:t>
      </w:r>
      <w:r w:rsidRPr="005675B2">
        <w:rPr>
          <w:rFonts w:hint="cs"/>
          <w:rtl/>
        </w:rPr>
        <w:t>- الواجب هنا هو تنزيه الله تعالى عن الجسمية ولوازمها وتأويلُ تلك الظواهر، إما تأويلاً إجماليا بصرف اللفظ عن المعنى المتبادر لمدعي التجسيم وتفويضُ المعنى التفصيلي إلى الله</w:t>
      </w:r>
      <w:r w:rsidR="000636C2">
        <w:rPr>
          <w:rFonts w:hint="cs"/>
          <w:rtl/>
        </w:rPr>
        <w:t>،</w:t>
      </w:r>
      <w:r w:rsidRPr="005675B2">
        <w:rPr>
          <w:rFonts w:hint="cs"/>
          <w:rtl/>
        </w:rPr>
        <w:t xml:space="preserve"> وإما بتأويل النصوص تأويلا تفصيليا بحسب سياق النص</w:t>
      </w:r>
      <w:r w:rsidR="000636C2">
        <w:rPr>
          <w:rFonts w:hint="cs"/>
          <w:rtl/>
        </w:rPr>
        <w:t xml:space="preserve">، </w:t>
      </w:r>
      <w:r w:rsidRPr="005675B2">
        <w:rPr>
          <w:rFonts w:hint="cs"/>
          <w:rtl/>
        </w:rPr>
        <w:t>ولا بد ههنا من تقرير حقيقة هامة</w:t>
      </w:r>
      <w:r w:rsidR="000636C2">
        <w:rPr>
          <w:rFonts w:hint="cs"/>
          <w:rtl/>
        </w:rPr>
        <w:t>:</w:t>
      </w:r>
      <w:r w:rsidRPr="005675B2">
        <w:rPr>
          <w:rFonts w:hint="cs"/>
          <w:rtl/>
        </w:rPr>
        <w:t xml:space="preserve"> وهي أنك قد تختلف مع الإيجي في دلالة ظواهر ألفاظ النصوص</w:t>
      </w:r>
      <w:r w:rsidR="000636C2">
        <w:rPr>
          <w:rFonts w:hint="cs"/>
          <w:rtl/>
        </w:rPr>
        <w:t>،</w:t>
      </w:r>
      <w:r w:rsidRPr="005675B2">
        <w:rPr>
          <w:rFonts w:hint="cs"/>
          <w:rtl/>
        </w:rPr>
        <w:t xml:space="preserve"> وفي التأويل الإجمالي أو التفصيلي</w:t>
      </w:r>
      <w:r w:rsidR="000636C2">
        <w:rPr>
          <w:rFonts w:hint="cs"/>
          <w:rtl/>
        </w:rPr>
        <w:t>،</w:t>
      </w:r>
      <w:r w:rsidRPr="005675B2">
        <w:rPr>
          <w:rFonts w:hint="cs"/>
          <w:rtl/>
        </w:rPr>
        <w:t xml:space="preserve"> ولكنك لا تستطيع بحال من الأحوال أن تقول إنه يقدم العقل على النقل بالمعنى المتبادر إلى الذهن عند هذا الإطلاق</w:t>
      </w:r>
      <w:r w:rsidR="000636C2">
        <w:rPr>
          <w:rFonts w:hint="cs"/>
          <w:rtl/>
        </w:rPr>
        <w:t>،</w:t>
      </w:r>
      <w:r w:rsidRPr="005675B2">
        <w:rPr>
          <w:rFonts w:hint="cs"/>
          <w:rtl/>
        </w:rPr>
        <w:t xml:space="preserve"> كما لا تستطيع بحال من الأحوال أن تقول إن مصدر تلقي العقيدة عنده هو العقل بعيداً عن النقل</w:t>
      </w:r>
      <w:r w:rsidR="000636C2">
        <w:rPr>
          <w:rFonts w:hint="cs"/>
          <w:rtl/>
        </w:rPr>
        <w:t>،</w:t>
      </w:r>
      <w:r w:rsidRPr="005675B2">
        <w:rPr>
          <w:rFonts w:hint="cs"/>
          <w:rtl/>
        </w:rPr>
        <w:t xml:space="preserve"> بل مصدر العقيدة عنده هو العقل المؤيد بالنقل</w:t>
      </w:r>
      <w:r w:rsidR="000636C2">
        <w:rPr>
          <w:rFonts w:hint="cs"/>
          <w:rtl/>
        </w:rPr>
        <w:t>،</w:t>
      </w:r>
      <w:r w:rsidRPr="005675B2">
        <w:rPr>
          <w:rFonts w:hint="cs"/>
          <w:rtl/>
        </w:rPr>
        <w:t xml:space="preserve"> ومن زعم غير ذلك فليأت بالدليل</w:t>
      </w:r>
      <w:r w:rsidR="000636C2">
        <w:rPr>
          <w:rFonts w:hint="cs"/>
          <w:rtl/>
        </w:rPr>
        <w:t xml:space="preserve">، </w:t>
      </w:r>
      <w:r w:rsidRPr="005675B2">
        <w:rPr>
          <w:rFonts w:hint="cs"/>
          <w:rtl/>
        </w:rPr>
        <w:t>8</w:t>
      </w:r>
      <w:r w:rsidR="000636C2">
        <w:rPr>
          <w:rFonts w:hint="cs"/>
          <w:rtl/>
        </w:rPr>
        <w:t xml:space="preserve"> </w:t>
      </w:r>
      <w:r w:rsidRPr="005675B2">
        <w:rPr>
          <w:rFonts w:hint="cs"/>
          <w:rtl/>
        </w:rPr>
        <w:t>- وأخيراً فلا تعجل</w:t>
      </w:r>
      <w:r w:rsidR="000636C2">
        <w:rPr>
          <w:rFonts w:hint="cs"/>
          <w:rtl/>
        </w:rPr>
        <w:t xml:space="preserve"> </w:t>
      </w:r>
      <w:r w:rsidRPr="005675B2">
        <w:rPr>
          <w:rFonts w:hint="cs"/>
          <w:rtl/>
        </w:rPr>
        <w:t>- أيها الأخ الباحث</w:t>
      </w:r>
      <w:r w:rsidR="000636C2">
        <w:rPr>
          <w:rFonts w:hint="cs"/>
          <w:rtl/>
        </w:rPr>
        <w:t>،</w:t>
      </w:r>
      <w:r w:rsidRPr="005675B2">
        <w:rPr>
          <w:rFonts w:hint="cs"/>
          <w:rtl/>
        </w:rPr>
        <w:t xml:space="preserve"> واعلم أن ابن تيمية رحمه الله يقر مبدأ التفريق بين الدليل النقلي الذي لم يعارضه دليل عقلي وبين ما عارضه دليل عقلي أو نقلي آخر</w:t>
      </w:r>
      <w:r w:rsidR="000636C2">
        <w:rPr>
          <w:rFonts w:hint="cs"/>
          <w:rtl/>
        </w:rPr>
        <w:t>،</w:t>
      </w:r>
      <w:r w:rsidRPr="005675B2">
        <w:rPr>
          <w:rFonts w:hint="cs"/>
          <w:rtl/>
        </w:rPr>
        <w:t xml:space="preserve"> واستمع إليه إذ يقول في معرض استدلاله على أمر من أمور العقيدة</w:t>
      </w:r>
      <w:r w:rsidR="000636C2">
        <w:rPr>
          <w:rFonts w:hint="cs"/>
          <w:rtl/>
        </w:rPr>
        <w:t>:</w:t>
      </w:r>
      <w:r w:rsidRPr="005675B2">
        <w:rPr>
          <w:rFonts w:hint="cs"/>
          <w:rtl/>
        </w:rPr>
        <w:t xml:space="preserve"> </w:t>
      </w:r>
      <w:r w:rsidR="000636C2">
        <w:rPr>
          <w:rFonts w:hint="cs"/>
          <w:rtl/>
        </w:rPr>
        <w:t>[</w:t>
      </w:r>
      <w:r w:rsidRPr="005675B2">
        <w:rPr>
          <w:rFonts w:hint="cs"/>
          <w:rtl/>
        </w:rPr>
        <w:t>والسمع قد دل عليه</w:t>
      </w:r>
      <w:r w:rsidR="000636C2">
        <w:rPr>
          <w:rFonts w:hint="cs"/>
          <w:rtl/>
        </w:rPr>
        <w:t>،</w:t>
      </w:r>
      <w:r w:rsidRPr="005675B2">
        <w:rPr>
          <w:rFonts w:hint="cs"/>
          <w:rtl/>
        </w:rPr>
        <w:t xml:space="preserve"> ولم يعارض ذلك معارض عقلي ولا سمعي</w:t>
      </w:r>
      <w:r w:rsidR="000636C2">
        <w:rPr>
          <w:rFonts w:hint="cs"/>
          <w:rtl/>
        </w:rPr>
        <w:t>،</w:t>
      </w:r>
      <w:r w:rsidRPr="005675B2">
        <w:rPr>
          <w:rFonts w:hint="cs"/>
          <w:rtl/>
        </w:rPr>
        <w:t xml:space="preserve"> فيجب إثبات ما أثبته الدليل السالم عن المعارض المقاوم</w:t>
      </w:r>
      <w:r w:rsidR="000636C2">
        <w:rPr>
          <w:rFonts w:hint="cs"/>
          <w:rtl/>
        </w:rPr>
        <w:t>]</w:t>
      </w:r>
      <w:r w:rsidRPr="005675B2">
        <w:rPr>
          <w:rFonts w:hint="cs"/>
          <w:rtl/>
        </w:rPr>
        <w:t> [</w:t>
      </w:r>
      <w:r w:rsidRPr="005675B2">
        <w:rPr>
          <w:rFonts w:hint="cs"/>
          <w:sz w:val="24"/>
          <w:szCs w:val="24"/>
          <w:rtl/>
        </w:rPr>
        <w:t>الرسالة التدمرية: ص 23</w:t>
      </w:r>
      <w:r w:rsidRPr="005675B2">
        <w:rPr>
          <w:rFonts w:hint="cs"/>
          <w:rtl/>
        </w:rPr>
        <w:t>]</w:t>
      </w:r>
      <w:r w:rsidR="000636C2">
        <w:rPr>
          <w:rFonts w:hint="cs"/>
          <w:rtl/>
        </w:rPr>
        <w:t xml:space="preserve">، </w:t>
      </w:r>
      <w:r w:rsidRPr="005675B2">
        <w:rPr>
          <w:rFonts w:hint="cs"/>
          <w:rtl/>
        </w:rPr>
        <w:t>9</w:t>
      </w:r>
      <w:r w:rsidR="000636C2">
        <w:rPr>
          <w:rFonts w:hint="cs"/>
          <w:rtl/>
        </w:rPr>
        <w:t xml:space="preserve"> </w:t>
      </w:r>
      <w:r w:rsidRPr="005675B2">
        <w:rPr>
          <w:rFonts w:hint="cs"/>
          <w:rtl/>
        </w:rPr>
        <w:t>- قال الإمام الغزالي رحمه الله عن علم التوحيد الذي ينظر في ذات الله تعالى وصفاته وأحوال الأنبياء وأحوال يوم القيامة</w:t>
      </w:r>
      <w:r w:rsidR="000636C2">
        <w:rPr>
          <w:rFonts w:hint="cs"/>
          <w:rtl/>
        </w:rPr>
        <w:t>:</w:t>
      </w:r>
      <w:r w:rsidRPr="005675B2">
        <w:rPr>
          <w:rFonts w:hint="cs"/>
          <w:rtl/>
        </w:rPr>
        <w:t xml:space="preserve"> </w:t>
      </w:r>
      <w:r w:rsidR="000636C2">
        <w:rPr>
          <w:rFonts w:hint="cs"/>
          <w:rtl/>
        </w:rPr>
        <w:t>[</w:t>
      </w:r>
      <w:r w:rsidRPr="005675B2">
        <w:rPr>
          <w:rFonts w:hint="cs"/>
          <w:rtl/>
        </w:rPr>
        <w:t>وأهل النظر في هذا العلم يتمسكون أولاً بآيات الله تعالى من القرآن</w:t>
      </w:r>
      <w:r w:rsidR="000636C2">
        <w:rPr>
          <w:rFonts w:hint="cs"/>
          <w:rtl/>
        </w:rPr>
        <w:t>،</w:t>
      </w:r>
      <w:r w:rsidRPr="005675B2">
        <w:rPr>
          <w:rFonts w:hint="cs"/>
          <w:rtl/>
        </w:rPr>
        <w:t xml:space="preserve"> ثم بأخبار الرسول صلى الله عليه وسلم</w:t>
      </w:r>
      <w:r w:rsidR="000636C2">
        <w:rPr>
          <w:rFonts w:hint="cs"/>
          <w:rtl/>
        </w:rPr>
        <w:t>،</w:t>
      </w:r>
      <w:r w:rsidRPr="005675B2">
        <w:rPr>
          <w:rFonts w:hint="cs"/>
          <w:rtl/>
        </w:rPr>
        <w:t xml:space="preserve"> ثم بالدلائل العقلية والبراهين القياسية</w:t>
      </w:r>
      <w:r w:rsidR="000636C2">
        <w:rPr>
          <w:rFonts w:hint="cs"/>
          <w:rtl/>
        </w:rPr>
        <w:t>]</w:t>
      </w:r>
      <w:r w:rsidRPr="005675B2">
        <w:rPr>
          <w:rFonts w:hint="cs"/>
          <w:rtl/>
        </w:rPr>
        <w:t xml:space="preserve"> [</w:t>
      </w:r>
      <w:r w:rsidRPr="005675B2">
        <w:rPr>
          <w:rFonts w:hint="cs"/>
          <w:sz w:val="24"/>
          <w:szCs w:val="24"/>
          <w:rtl/>
        </w:rPr>
        <w:t xml:space="preserve">الرسالة اللدنية للغزالي: ص 106 </w:t>
      </w:r>
      <w:r w:rsidRPr="005675B2">
        <w:rPr>
          <w:sz w:val="24"/>
          <w:szCs w:val="24"/>
        </w:rPr>
        <w:t>–</w:t>
      </w:r>
      <w:r w:rsidRPr="005675B2">
        <w:rPr>
          <w:rFonts w:hint="cs"/>
          <w:sz w:val="24"/>
          <w:szCs w:val="24"/>
          <w:rtl/>
        </w:rPr>
        <w:t xml:space="preserve"> 107 . وهي مطبوعة ضمن ما سمي بالقصور العوالي</w:t>
      </w:r>
      <w:r w:rsidR="000636C2">
        <w:rPr>
          <w:rFonts w:hint="cs"/>
          <w:sz w:val="24"/>
          <w:szCs w:val="24"/>
          <w:rtl/>
        </w:rPr>
        <w:t>،</w:t>
      </w:r>
      <w:r w:rsidRPr="005675B2">
        <w:rPr>
          <w:rFonts w:hint="cs"/>
          <w:sz w:val="24"/>
          <w:szCs w:val="24"/>
          <w:rtl/>
        </w:rPr>
        <w:t xml:space="preserve"> وهي ذات الطبعة التي رجع إليها الباحث في موضوع آخر</w:t>
      </w:r>
      <w:r w:rsidR="000636C2">
        <w:rPr>
          <w:rFonts w:hint="cs"/>
          <w:sz w:val="24"/>
          <w:szCs w:val="24"/>
          <w:rtl/>
        </w:rPr>
        <w:t>،</w:t>
      </w:r>
      <w:r w:rsidRPr="005675B2">
        <w:rPr>
          <w:rFonts w:hint="cs"/>
          <w:sz w:val="24"/>
          <w:szCs w:val="24"/>
          <w:rtl/>
        </w:rPr>
        <w:t xml:space="preserve"> أما في هذا الموضوع فلا أدري لم لم يذكر هذا النص؟ ألأنه لم يقرأ الرسالة كلها فلم يقف عليه؟</w:t>
      </w:r>
      <w:r w:rsidR="000636C2">
        <w:rPr>
          <w:rFonts w:hint="cs"/>
          <w:sz w:val="24"/>
          <w:szCs w:val="24"/>
          <w:rtl/>
        </w:rPr>
        <w:t>!</w:t>
      </w:r>
      <w:r w:rsidRPr="005675B2">
        <w:rPr>
          <w:rFonts w:hint="cs"/>
          <w:sz w:val="24"/>
          <w:szCs w:val="24"/>
          <w:rtl/>
        </w:rPr>
        <w:t xml:space="preserve"> أو لأن هذا النص قد جاء على غير هواه؟</w:t>
      </w:r>
      <w:r w:rsidR="000636C2">
        <w:rPr>
          <w:rFonts w:hint="cs"/>
          <w:sz w:val="24"/>
          <w:szCs w:val="24"/>
          <w:rtl/>
        </w:rPr>
        <w:t>!</w:t>
      </w:r>
      <w:r w:rsidRPr="005675B2">
        <w:rPr>
          <w:rFonts w:hint="cs"/>
          <w:sz w:val="24"/>
          <w:szCs w:val="24"/>
          <w:rtl/>
        </w:rPr>
        <w:t>!!</w:t>
      </w:r>
      <w:r w:rsidR="000636C2">
        <w:rPr>
          <w:rFonts w:hint="cs"/>
          <w:sz w:val="24"/>
          <w:szCs w:val="24"/>
          <w:rtl/>
        </w:rPr>
        <w:t>]</w:t>
      </w:r>
      <w:r w:rsidR="000636C2">
        <w:rPr>
          <w:rFonts w:hint="cs"/>
          <w:rtl/>
        </w:rPr>
        <w:t>،</w:t>
      </w:r>
    </w:p>
    <w:p w14:paraId="3A74ADA8" w14:textId="545AAEEA" w:rsidR="009C32A0" w:rsidRPr="005675B2" w:rsidRDefault="009C32A0" w:rsidP="000636C2">
      <w:pPr>
        <w:rPr>
          <w:b/>
          <w:rtl/>
        </w:rPr>
      </w:pPr>
      <w:r w:rsidRPr="005675B2">
        <w:rPr>
          <w:rFonts w:hint="cs"/>
          <w:rtl/>
        </w:rPr>
        <w:t>قال الباحث</w:t>
      </w:r>
      <w:r w:rsidR="000636C2">
        <w:rPr>
          <w:rFonts w:hint="cs"/>
          <w:rtl/>
        </w:rPr>
        <w:t xml:space="preserve">: </w:t>
      </w:r>
      <w:r w:rsidRPr="005675B2">
        <w:rPr>
          <w:rFonts w:hint="cs"/>
          <w:rtl/>
        </w:rPr>
        <w:t>وضع الرازي في أساس التقديس القانون الكلي للمذهب في ذلك فقال</w:t>
      </w:r>
      <w:r w:rsidR="000636C2">
        <w:rPr>
          <w:rFonts w:hint="cs"/>
          <w:rtl/>
        </w:rPr>
        <w:t>:</w:t>
      </w:r>
      <w:r w:rsidRPr="005675B2">
        <w:rPr>
          <w:rFonts w:hint="cs"/>
          <w:rtl/>
        </w:rPr>
        <w:t xml:space="preserve"> </w:t>
      </w:r>
      <w:r w:rsidR="000636C2">
        <w:rPr>
          <w:rFonts w:hint="cs"/>
          <w:rtl/>
        </w:rPr>
        <w:t>[</w:t>
      </w:r>
      <w:r w:rsidRPr="005675B2">
        <w:rPr>
          <w:rFonts w:hint="cs"/>
          <w:rtl/>
        </w:rPr>
        <w:t>اعلم أن الدلائل القطعية العقلية إذا قامت على ثبوت شيء ثم وجدنا أدلة نقلية يشعر ظاهرها بخلاف ذلك .. لم يبق إلا أن يُقطع بمقتضى الدلائل العقلية القاطعة بأن هذه الدلائل النقلية</w:t>
      </w:r>
      <w:r w:rsidR="000636C2">
        <w:rPr>
          <w:rFonts w:hint="cs"/>
          <w:rtl/>
        </w:rPr>
        <w:t>:</w:t>
      </w:r>
      <w:r w:rsidRPr="005675B2">
        <w:rPr>
          <w:rFonts w:hint="cs"/>
          <w:rtl/>
        </w:rPr>
        <w:t xml:space="preserve"> إما أن يقال إنها غير صحيحة</w:t>
      </w:r>
      <w:r w:rsidR="000636C2">
        <w:rPr>
          <w:rFonts w:hint="cs"/>
          <w:rtl/>
        </w:rPr>
        <w:t>،</w:t>
      </w:r>
      <w:r w:rsidRPr="005675B2">
        <w:rPr>
          <w:rFonts w:hint="cs"/>
          <w:rtl/>
        </w:rPr>
        <w:t xml:space="preserve"> أو يقال</w:t>
      </w:r>
      <w:r w:rsidR="000636C2">
        <w:rPr>
          <w:rFonts w:hint="cs"/>
          <w:rtl/>
        </w:rPr>
        <w:t>:</w:t>
      </w:r>
      <w:r w:rsidRPr="005675B2">
        <w:rPr>
          <w:rFonts w:hint="cs"/>
          <w:rtl/>
        </w:rPr>
        <w:t xml:space="preserve"> إنها صحيحة إلا أن المراد منها غير ظواهرها</w:t>
      </w:r>
      <w:r w:rsidR="000636C2">
        <w:rPr>
          <w:rFonts w:hint="cs"/>
          <w:rtl/>
        </w:rPr>
        <w:t>،</w:t>
      </w:r>
      <w:r w:rsidRPr="005675B2">
        <w:rPr>
          <w:rFonts w:hint="cs"/>
          <w:rtl/>
        </w:rPr>
        <w:t xml:space="preserve"> ثم إن جوزنا التأويل اشتغلنا على سبيل التبرع بذكر تلك التأويلات على التفصيل</w:t>
      </w:r>
      <w:r w:rsidR="000636C2">
        <w:rPr>
          <w:rFonts w:hint="cs"/>
          <w:rtl/>
        </w:rPr>
        <w:t>،</w:t>
      </w:r>
      <w:r w:rsidRPr="005675B2">
        <w:rPr>
          <w:rFonts w:hint="cs"/>
          <w:rtl/>
        </w:rPr>
        <w:t xml:space="preserve"> وإن لم نجوز التأويل فوضنا العلم بها إلى الله تعالى</w:t>
      </w:r>
      <w:r w:rsidR="000636C2">
        <w:rPr>
          <w:rFonts w:hint="cs"/>
          <w:rtl/>
        </w:rPr>
        <w:t xml:space="preserve">]، </w:t>
      </w:r>
      <w:r w:rsidRPr="005675B2">
        <w:rPr>
          <w:rFonts w:hint="cs"/>
          <w:rtl/>
        </w:rPr>
        <w:t xml:space="preserve">وعلق الباحث على قول الرازي </w:t>
      </w:r>
      <w:r w:rsidR="000636C2">
        <w:rPr>
          <w:rFonts w:hint="cs"/>
          <w:rtl/>
        </w:rPr>
        <w:t>[</w:t>
      </w:r>
      <w:r w:rsidRPr="005675B2">
        <w:rPr>
          <w:rFonts w:hint="cs"/>
          <w:rtl/>
        </w:rPr>
        <w:t>إما أن يقال إنها غير صحيحة</w:t>
      </w:r>
      <w:r w:rsidR="000636C2">
        <w:rPr>
          <w:rFonts w:hint="cs"/>
          <w:rtl/>
        </w:rPr>
        <w:t>]</w:t>
      </w:r>
      <w:r w:rsidRPr="005675B2">
        <w:rPr>
          <w:rFonts w:hint="cs"/>
          <w:rtl/>
        </w:rPr>
        <w:t xml:space="preserve"> بقوله</w:t>
      </w:r>
      <w:r w:rsidR="000636C2">
        <w:rPr>
          <w:rFonts w:hint="cs"/>
          <w:rtl/>
        </w:rPr>
        <w:t>:</w:t>
      </w:r>
      <w:r w:rsidRPr="005675B2">
        <w:rPr>
          <w:rFonts w:hint="cs"/>
          <w:rtl/>
        </w:rPr>
        <w:t xml:space="preserve"> </w:t>
      </w:r>
      <w:r w:rsidR="000636C2">
        <w:rPr>
          <w:rFonts w:hint="cs"/>
          <w:rtl/>
        </w:rPr>
        <w:t>[</w:t>
      </w:r>
      <w:r w:rsidRPr="005675B2">
        <w:rPr>
          <w:rFonts w:hint="cs"/>
          <w:rtl/>
        </w:rPr>
        <w:t>يلاحظ أن الدلائل النقلية تشمل نصوص الكتاب والسنة معاً</w:t>
      </w:r>
      <w:r w:rsidR="000636C2">
        <w:rPr>
          <w:rFonts w:hint="cs"/>
          <w:rtl/>
        </w:rPr>
        <w:t>،</w:t>
      </w:r>
      <w:r w:rsidRPr="005675B2">
        <w:rPr>
          <w:rFonts w:hint="cs"/>
          <w:rtl/>
        </w:rPr>
        <w:t xml:space="preserve"> فكيف يقال إنها غير صحيحة دون تفريق بينهما</w:t>
      </w:r>
      <w:r w:rsidR="000636C2">
        <w:rPr>
          <w:rFonts w:hint="cs"/>
          <w:rtl/>
        </w:rPr>
        <w:t>؟</w:t>
      </w:r>
      <w:r w:rsidRPr="005675B2">
        <w:rPr>
          <w:rFonts w:hint="cs"/>
          <w:rtl/>
        </w:rPr>
        <w:t xml:space="preserve"> مع أن مجرد إطلاقها على السنة وحدها في غاية الخطورة</w:t>
      </w:r>
      <w:r w:rsidR="000636C2">
        <w:rPr>
          <w:rFonts w:hint="cs"/>
          <w:rtl/>
        </w:rPr>
        <w:t xml:space="preserve">]، </w:t>
      </w:r>
      <w:r w:rsidRPr="005675B2">
        <w:rPr>
          <w:rFonts w:hint="cs"/>
          <w:rtl/>
        </w:rPr>
        <w:t xml:space="preserve">وعلق على قول الرازي </w:t>
      </w:r>
      <w:r w:rsidR="000636C2">
        <w:rPr>
          <w:rFonts w:hint="cs"/>
          <w:rtl/>
        </w:rPr>
        <w:t>[</w:t>
      </w:r>
      <w:r w:rsidRPr="005675B2">
        <w:rPr>
          <w:rFonts w:hint="cs"/>
          <w:rtl/>
        </w:rPr>
        <w:t>اشتغلنا على سبيل التبرع بذكر تلك التأويلات</w:t>
      </w:r>
      <w:r w:rsidR="000636C2">
        <w:rPr>
          <w:rFonts w:hint="cs"/>
          <w:rtl/>
        </w:rPr>
        <w:t>]</w:t>
      </w:r>
      <w:r w:rsidRPr="005675B2">
        <w:rPr>
          <w:rFonts w:hint="cs"/>
          <w:rtl/>
        </w:rPr>
        <w:t xml:space="preserve"> بقوله</w:t>
      </w:r>
      <w:r w:rsidR="000636C2">
        <w:rPr>
          <w:rFonts w:hint="cs"/>
          <w:rtl/>
        </w:rPr>
        <w:t>:</w:t>
      </w:r>
      <w:r w:rsidRPr="005675B2">
        <w:rPr>
          <w:rFonts w:hint="cs"/>
          <w:rtl/>
        </w:rPr>
        <w:t xml:space="preserve"> </w:t>
      </w:r>
      <w:r w:rsidR="000636C2">
        <w:rPr>
          <w:rFonts w:hint="cs"/>
          <w:rtl/>
        </w:rPr>
        <w:t>[</w:t>
      </w:r>
      <w:r w:rsidRPr="005675B2">
        <w:rPr>
          <w:rFonts w:hint="cs"/>
          <w:rtl/>
        </w:rPr>
        <w:t>هل وصلت قيمة نصوص الوحي إلى حد أن الاشتغال بتأويلها الذي هو تحريف لها يعتبر تبرعا وإحسانا</w:t>
      </w:r>
      <w:r w:rsidR="000636C2">
        <w:rPr>
          <w:rFonts w:hint="cs"/>
          <w:rtl/>
        </w:rPr>
        <w:t>؟!]،</w:t>
      </w:r>
    </w:p>
    <w:p w14:paraId="2936DA67" w14:textId="2BFE013F"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خلاصة كلام الرازي هي</w:t>
      </w:r>
      <w:r w:rsidR="000636C2">
        <w:rPr>
          <w:rFonts w:hint="cs"/>
          <w:rtl/>
        </w:rPr>
        <w:t>:</w:t>
      </w:r>
      <w:r w:rsidRPr="005675B2">
        <w:rPr>
          <w:rFonts w:hint="cs"/>
          <w:rtl/>
        </w:rPr>
        <w:t xml:space="preserve"> الجزم والقطع بما تقتضيه الدلائل العقلية القطعية</w:t>
      </w:r>
      <w:r w:rsidR="000636C2">
        <w:rPr>
          <w:rFonts w:hint="cs"/>
          <w:rtl/>
        </w:rPr>
        <w:t>،</w:t>
      </w:r>
      <w:r w:rsidRPr="005675B2">
        <w:rPr>
          <w:rFonts w:hint="cs"/>
          <w:rtl/>
        </w:rPr>
        <w:t xml:space="preserve"> وتقديمها على الأدلة النقلية التي يشعر ظاهرها بخلاف ذلك</w:t>
      </w:r>
      <w:r w:rsidR="000636C2">
        <w:rPr>
          <w:rFonts w:hint="cs"/>
          <w:rtl/>
        </w:rPr>
        <w:t xml:space="preserve">، </w:t>
      </w:r>
      <w:r w:rsidRPr="005675B2">
        <w:rPr>
          <w:rFonts w:hint="cs"/>
          <w:rtl/>
        </w:rPr>
        <w:t>ولا بد من التمييز بين الدلائل العقلية التي ما تزال تدور بين الأخذ والرد</w:t>
      </w:r>
      <w:r w:rsidR="000636C2">
        <w:rPr>
          <w:rFonts w:hint="cs"/>
          <w:rtl/>
        </w:rPr>
        <w:t>،</w:t>
      </w:r>
      <w:r w:rsidRPr="005675B2">
        <w:rPr>
          <w:rFonts w:hint="cs"/>
          <w:rtl/>
        </w:rPr>
        <w:t xml:space="preserve"> وبين الدلائل العقلية التي تجاوزت تلك المرحلة وبلغت درجة اليقين</w:t>
      </w:r>
      <w:r w:rsidR="000636C2">
        <w:rPr>
          <w:rFonts w:hint="cs"/>
          <w:rtl/>
        </w:rPr>
        <w:t>،</w:t>
      </w:r>
      <w:r w:rsidRPr="005675B2">
        <w:rPr>
          <w:rFonts w:hint="cs"/>
          <w:rtl/>
        </w:rPr>
        <w:t xml:space="preserve"> فالأولى ظنية</w:t>
      </w:r>
      <w:r w:rsidR="000636C2">
        <w:rPr>
          <w:rFonts w:hint="cs"/>
          <w:rtl/>
        </w:rPr>
        <w:t>،</w:t>
      </w:r>
      <w:r w:rsidRPr="005675B2">
        <w:rPr>
          <w:rFonts w:hint="cs"/>
          <w:rtl/>
        </w:rPr>
        <w:t xml:space="preserve"> ولا يتصور عند الأشاعرة بحث اختلافها مع النقل</w:t>
      </w:r>
      <w:r w:rsidR="000636C2">
        <w:rPr>
          <w:rFonts w:hint="cs"/>
          <w:rtl/>
        </w:rPr>
        <w:t>،</w:t>
      </w:r>
      <w:r w:rsidRPr="005675B2">
        <w:rPr>
          <w:rFonts w:hint="cs"/>
          <w:rtl/>
        </w:rPr>
        <w:t xml:space="preserve"> فهي مردودة في باب العقائد ومرفوضة قطعاً</w:t>
      </w:r>
      <w:r w:rsidR="000636C2">
        <w:rPr>
          <w:rFonts w:hint="cs"/>
          <w:rtl/>
        </w:rPr>
        <w:t>،</w:t>
      </w:r>
      <w:r w:rsidRPr="005675B2">
        <w:rPr>
          <w:rFonts w:hint="cs"/>
          <w:rtl/>
        </w:rPr>
        <w:t xml:space="preserve"> والثانية قطعية</w:t>
      </w:r>
      <w:r w:rsidR="000636C2">
        <w:rPr>
          <w:rFonts w:hint="cs"/>
          <w:rtl/>
        </w:rPr>
        <w:t>،</w:t>
      </w:r>
      <w:r w:rsidRPr="005675B2">
        <w:rPr>
          <w:rFonts w:hint="cs"/>
          <w:rtl/>
        </w:rPr>
        <w:t xml:space="preserve"> وهذه هي التي بحثوا في موضوع اتفاقها أو اختلافها مع النقل</w:t>
      </w:r>
      <w:r w:rsidR="000636C2">
        <w:rPr>
          <w:rFonts w:hint="cs"/>
          <w:rtl/>
        </w:rPr>
        <w:t xml:space="preserve">، </w:t>
      </w:r>
      <w:r w:rsidRPr="005675B2">
        <w:rPr>
          <w:rFonts w:hint="cs"/>
          <w:rtl/>
        </w:rPr>
        <w:t>كما لا بد من التمييز بين الأدلة النقلية الظنية الورود</w:t>
      </w:r>
      <w:r w:rsidR="000636C2">
        <w:rPr>
          <w:rFonts w:hint="cs"/>
          <w:rtl/>
        </w:rPr>
        <w:t xml:space="preserve"> </w:t>
      </w:r>
      <w:r w:rsidRPr="005675B2">
        <w:rPr>
          <w:rFonts w:hint="cs"/>
          <w:rtl/>
        </w:rPr>
        <w:t>أو الدلالة</w:t>
      </w:r>
      <w:r w:rsidR="000636C2">
        <w:rPr>
          <w:rFonts w:hint="cs"/>
          <w:rtl/>
        </w:rPr>
        <w:t xml:space="preserve"> </w:t>
      </w:r>
      <w:r w:rsidRPr="005675B2">
        <w:rPr>
          <w:rFonts w:hint="cs"/>
          <w:rtl/>
        </w:rPr>
        <w:t>أو كليهما</w:t>
      </w:r>
      <w:r w:rsidR="000636C2">
        <w:rPr>
          <w:rFonts w:hint="cs"/>
          <w:rtl/>
        </w:rPr>
        <w:t xml:space="preserve"> </w:t>
      </w:r>
      <w:r w:rsidRPr="005675B2">
        <w:rPr>
          <w:rFonts w:hint="cs"/>
          <w:rtl/>
        </w:rPr>
        <w:t>وبين الأدلة النقلية القطعية الورود والدلالة</w:t>
      </w:r>
      <w:r w:rsidR="000636C2">
        <w:rPr>
          <w:rFonts w:hint="cs"/>
          <w:rtl/>
        </w:rPr>
        <w:t>،</w:t>
      </w:r>
      <w:r w:rsidRPr="005675B2">
        <w:rPr>
          <w:rFonts w:hint="cs"/>
          <w:rtl/>
        </w:rPr>
        <w:t xml:space="preserve"> فالأولى ظنية</w:t>
      </w:r>
      <w:r w:rsidR="000636C2">
        <w:rPr>
          <w:rFonts w:hint="cs"/>
          <w:rtl/>
        </w:rPr>
        <w:t>،</w:t>
      </w:r>
      <w:r w:rsidRPr="005675B2">
        <w:rPr>
          <w:rFonts w:hint="cs"/>
          <w:rtl/>
        </w:rPr>
        <w:t xml:space="preserve"> وهذه هي التي بحثوا في موضوع اتفاقها أو اختلافها مع العقل</w:t>
      </w:r>
      <w:r w:rsidR="000636C2">
        <w:rPr>
          <w:rFonts w:hint="cs"/>
          <w:rtl/>
        </w:rPr>
        <w:t>،</w:t>
      </w:r>
      <w:r w:rsidRPr="005675B2">
        <w:rPr>
          <w:rFonts w:hint="cs"/>
          <w:rtl/>
        </w:rPr>
        <w:t xml:space="preserve"> والثانية قطعية</w:t>
      </w:r>
      <w:r w:rsidR="000636C2">
        <w:rPr>
          <w:rFonts w:hint="cs"/>
          <w:rtl/>
        </w:rPr>
        <w:t>،</w:t>
      </w:r>
      <w:r w:rsidRPr="005675B2">
        <w:rPr>
          <w:rFonts w:hint="cs"/>
          <w:rtl/>
        </w:rPr>
        <w:t xml:space="preserve"> ويستحيل عند الأشاعرة أن يكون بعضها مخالفاً لبعض الدلائل العقلية القطعية</w:t>
      </w:r>
      <w:r w:rsidR="000636C2">
        <w:rPr>
          <w:rFonts w:hint="cs"/>
          <w:rtl/>
        </w:rPr>
        <w:t xml:space="preserve">، </w:t>
      </w:r>
      <w:r w:rsidRPr="005675B2">
        <w:rPr>
          <w:rFonts w:hint="cs"/>
          <w:rtl/>
        </w:rPr>
        <w:t>وتأمل في قول الرازي عندما ذكر الدلائل العقلية كيف قيدها بكونها قطعية</w:t>
      </w:r>
      <w:r w:rsidR="000636C2">
        <w:rPr>
          <w:rFonts w:hint="cs"/>
          <w:rtl/>
        </w:rPr>
        <w:t>،</w:t>
      </w:r>
      <w:r w:rsidRPr="005675B2">
        <w:rPr>
          <w:rFonts w:hint="cs"/>
          <w:rtl/>
        </w:rPr>
        <w:t xml:space="preserve"> وعندما ذكر الأدلة النقلية قال</w:t>
      </w:r>
      <w:r w:rsidR="000636C2">
        <w:rPr>
          <w:rFonts w:hint="cs"/>
          <w:rtl/>
        </w:rPr>
        <w:t>:</w:t>
      </w:r>
      <w:r w:rsidRPr="005675B2">
        <w:rPr>
          <w:rFonts w:hint="cs"/>
          <w:rtl/>
        </w:rPr>
        <w:t xml:space="preserve"> </w:t>
      </w:r>
      <w:r w:rsidR="000636C2">
        <w:rPr>
          <w:rFonts w:hint="cs"/>
          <w:rtl/>
        </w:rPr>
        <w:t>[</w:t>
      </w:r>
      <w:r w:rsidRPr="005675B2">
        <w:rPr>
          <w:rFonts w:hint="cs"/>
          <w:rtl/>
        </w:rPr>
        <w:t>يشعر ظاهرها بخلاف ذلك</w:t>
      </w:r>
      <w:r w:rsidR="000636C2">
        <w:rPr>
          <w:rFonts w:hint="cs"/>
          <w:rtl/>
        </w:rPr>
        <w:t xml:space="preserve">]، </w:t>
      </w:r>
      <w:r w:rsidRPr="005675B2">
        <w:rPr>
          <w:rFonts w:hint="cs"/>
          <w:rtl/>
        </w:rPr>
        <w:t>2 - الأدلة النقلية التي تشعر ظواهرها بمخالفة الدلائل العقلية القطعية قد تكون نصوصا من القرآن الكريم أو السنة النبوية</w:t>
      </w:r>
      <w:r w:rsidR="000636C2">
        <w:rPr>
          <w:rFonts w:hint="cs"/>
          <w:rtl/>
        </w:rPr>
        <w:t>،</w:t>
      </w:r>
      <w:r w:rsidRPr="005675B2">
        <w:rPr>
          <w:rFonts w:hint="cs"/>
          <w:rtl/>
        </w:rPr>
        <w:t xml:space="preserve"> وما يعزى إلى النبي صلى الله عليه وسلم قد يكون من المتواتر أو الآحادي</w:t>
      </w:r>
      <w:r w:rsidR="000636C2">
        <w:rPr>
          <w:rFonts w:hint="cs"/>
          <w:rtl/>
        </w:rPr>
        <w:t>،</w:t>
      </w:r>
      <w:r w:rsidRPr="005675B2">
        <w:rPr>
          <w:rFonts w:hint="cs"/>
          <w:rtl/>
        </w:rPr>
        <w:t xml:space="preserve"> والآحادي قد يكون صحيح السند أو ضعيفاً</w:t>
      </w:r>
      <w:r w:rsidR="000636C2">
        <w:rPr>
          <w:rFonts w:hint="cs"/>
          <w:rtl/>
        </w:rPr>
        <w:t xml:space="preserve"> </w:t>
      </w:r>
      <w:r w:rsidRPr="005675B2">
        <w:rPr>
          <w:rFonts w:hint="cs"/>
          <w:rtl/>
        </w:rPr>
        <w:t>أو تالفاً</w:t>
      </w:r>
      <w:r w:rsidR="000636C2">
        <w:rPr>
          <w:rFonts w:hint="cs"/>
          <w:rtl/>
        </w:rPr>
        <w:t xml:space="preserve">، </w:t>
      </w:r>
      <w:r w:rsidRPr="005675B2">
        <w:rPr>
          <w:rFonts w:hint="cs"/>
          <w:rtl/>
        </w:rPr>
        <w:t xml:space="preserve">وقول الرازي عن الدلائل النقلية </w:t>
      </w:r>
      <w:r w:rsidR="000636C2">
        <w:rPr>
          <w:rFonts w:hint="cs"/>
          <w:rtl/>
        </w:rPr>
        <w:t>[</w:t>
      </w:r>
      <w:r w:rsidRPr="005675B2">
        <w:rPr>
          <w:rFonts w:hint="cs"/>
          <w:rtl/>
        </w:rPr>
        <w:t>إما أن يقال إنها غير صحيحة</w:t>
      </w:r>
      <w:r w:rsidR="000636C2">
        <w:rPr>
          <w:rFonts w:hint="cs"/>
          <w:rtl/>
        </w:rPr>
        <w:t>]:</w:t>
      </w:r>
      <w:r w:rsidRPr="005675B2">
        <w:rPr>
          <w:rFonts w:hint="cs"/>
          <w:rtl/>
        </w:rPr>
        <w:t xml:space="preserve"> فهذا لا يتعلق بالقرآن الكريم قطعاً</w:t>
      </w:r>
      <w:r w:rsidR="000636C2">
        <w:rPr>
          <w:rFonts w:hint="cs"/>
          <w:rtl/>
        </w:rPr>
        <w:t>،</w:t>
      </w:r>
      <w:r w:rsidRPr="005675B2">
        <w:rPr>
          <w:rFonts w:hint="cs"/>
          <w:rtl/>
        </w:rPr>
        <w:t xml:space="preserve"> ولا بالسنة المتواترة</w:t>
      </w:r>
      <w:r w:rsidR="000636C2">
        <w:rPr>
          <w:rFonts w:hint="cs"/>
          <w:rtl/>
        </w:rPr>
        <w:t>،</w:t>
      </w:r>
      <w:r w:rsidRPr="005675B2">
        <w:rPr>
          <w:rFonts w:hint="cs"/>
          <w:rtl/>
        </w:rPr>
        <w:t xml:space="preserve"> وكلام الرازي يتعلق بالأحاديث الآحادية</w:t>
      </w:r>
      <w:r w:rsidR="000636C2">
        <w:rPr>
          <w:rFonts w:hint="cs"/>
          <w:rtl/>
        </w:rPr>
        <w:t>،</w:t>
      </w:r>
      <w:r w:rsidRPr="005675B2">
        <w:rPr>
          <w:rFonts w:hint="cs"/>
          <w:rtl/>
        </w:rPr>
        <w:t xml:space="preserve"> سواء أكان سندها صحيحاً عند من صحح السند أو ضعيفاً أو تالفاً</w:t>
      </w:r>
      <w:r w:rsidR="000636C2">
        <w:rPr>
          <w:rFonts w:hint="cs"/>
          <w:rtl/>
        </w:rPr>
        <w:t xml:space="preserve">، </w:t>
      </w:r>
      <w:r w:rsidRPr="005675B2">
        <w:rPr>
          <w:rFonts w:hint="cs"/>
          <w:rtl/>
        </w:rPr>
        <w:t>ثم إنه لا إشكال في أن الضعيف والتالف غير صحيح</w:t>
      </w:r>
      <w:r w:rsidR="000636C2">
        <w:rPr>
          <w:rFonts w:hint="cs"/>
          <w:rtl/>
        </w:rPr>
        <w:t>،</w:t>
      </w:r>
      <w:r w:rsidRPr="005675B2">
        <w:rPr>
          <w:rFonts w:hint="cs"/>
          <w:rtl/>
        </w:rPr>
        <w:t xml:space="preserve"> لكن الآحادي إذا صح سنده فهل يجوز أن يقال إنه ليس بصحيح المتن إذا خالف الأدلة القطعية العقلية</w:t>
      </w:r>
      <w:r w:rsidR="000636C2">
        <w:rPr>
          <w:rFonts w:hint="cs"/>
          <w:rtl/>
        </w:rPr>
        <w:t xml:space="preserve">؟ </w:t>
      </w:r>
      <w:r w:rsidRPr="005675B2">
        <w:rPr>
          <w:rFonts w:hint="cs"/>
          <w:rtl/>
        </w:rPr>
        <w:t>لا بد ههنا من مراعاة أمرين</w:t>
      </w:r>
      <w:r w:rsidR="000636C2">
        <w:rPr>
          <w:rFonts w:hint="cs"/>
          <w:rtl/>
        </w:rPr>
        <w:t>:</w:t>
      </w:r>
      <w:r w:rsidRPr="005675B2">
        <w:rPr>
          <w:rFonts w:hint="cs"/>
          <w:rtl/>
        </w:rPr>
        <w:t xml:space="preserve"> أحدهما النظر فيمن صحح السند</w:t>
      </w:r>
      <w:r w:rsidR="000636C2">
        <w:rPr>
          <w:rFonts w:hint="cs"/>
          <w:rtl/>
        </w:rPr>
        <w:t>،</w:t>
      </w:r>
      <w:r w:rsidRPr="005675B2">
        <w:rPr>
          <w:rFonts w:hint="cs"/>
          <w:rtl/>
        </w:rPr>
        <w:t xml:space="preserve"> فكثير من الذين يحكمون للسند بالصحة يتبين للناقد بعد التبصر في أحكام دراسة الأسانيد أنهم متساهلون في التصحيح</w:t>
      </w:r>
      <w:r w:rsidR="000636C2">
        <w:rPr>
          <w:rFonts w:hint="cs"/>
          <w:rtl/>
        </w:rPr>
        <w:t>،</w:t>
      </w:r>
      <w:r w:rsidRPr="005675B2">
        <w:rPr>
          <w:rFonts w:hint="cs"/>
          <w:rtl/>
        </w:rPr>
        <w:t xml:space="preserve"> ثانيهما النظر في الأدلة العقلية</w:t>
      </w:r>
      <w:r w:rsidR="000636C2">
        <w:rPr>
          <w:rFonts w:hint="cs"/>
          <w:rtl/>
        </w:rPr>
        <w:t>،</w:t>
      </w:r>
      <w:r w:rsidRPr="005675B2">
        <w:rPr>
          <w:rFonts w:hint="cs"/>
          <w:rtl/>
        </w:rPr>
        <w:t xml:space="preserve"> إذ لا بد أن تكون قطعية يقينية</w:t>
      </w:r>
      <w:r w:rsidR="000636C2">
        <w:rPr>
          <w:rFonts w:hint="cs"/>
          <w:rtl/>
        </w:rPr>
        <w:t xml:space="preserve">، </w:t>
      </w:r>
      <w:r w:rsidRPr="005675B2">
        <w:rPr>
          <w:rFonts w:hint="cs"/>
          <w:rtl/>
        </w:rPr>
        <w:t>فإذا أورد أحد العلماء حديثاً في باب العقائد مشيراً إلى صحته أو ساكتاً عنه ومعتمداً عليه ثم تبين ضعف سنده فلا إشكال في رده</w:t>
      </w:r>
      <w:r w:rsidR="000636C2">
        <w:rPr>
          <w:rFonts w:hint="cs"/>
          <w:rtl/>
        </w:rPr>
        <w:t>،</w:t>
      </w:r>
      <w:r w:rsidRPr="005675B2">
        <w:rPr>
          <w:rFonts w:hint="cs"/>
          <w:rtl/>
        </w:rPr>
        <w:t xml:space="preserve"> وأنه لا ينهض للمعارضة بينه وبين الدليل العقلي</w:t>
      </w:r>
      <w:r w:rsidR="000636C2">
        <w:rPr>
          <w:rFonts w:hint="cs"/>
          <w:rtl/>
        </w:rPr>
        <w:t>،</w:t>
      </w:r>
      <w:r w:rsidRPr="005675B2">
        <w:rPr>
          <w:rFonts w:hint="cs"/>
          <w:rtl/>
        </w:rPr>
        <w:t xml:space="preserve"> وإذا كان ما سمي بالدليل العقلي ليس دليلاً عقلياً حقيقياً ولا يعدوكونه ظناً من الظنون ؛ فهذا كذلك لا إشكال في رده</w:t>
      </w:r>
      <w:r w:rsidR="000636C2">
        <w:rPr>
          <w:rFonts w:hint="cs"/>
          <w:rtl/>
        </w:rPr>
        <w:t>،</w:t>
      </w:r>
      <w:r w:rsidRPr="005675B2">
        <w:rPr>
          <w:rFonts w:hint="cs"/>
          <w:rtl/>
        </w:rPr>
        <w:t xml:space="preserve"> وأنه لا ينهض للمعارضة بينه وبين الدليل النقلي</w:t>
      </w:r>
      <w:r w:rsidR="000636C2">
        <w:rPr>
          <w:rFonts w:hint="cs"/>
          <w:rtl/>
        </w:rPr>
        <w:t xml:space="preserve">، </w:t>
      </w:r>
      <w:r w:rsidRPr="005675B2">
        <w:rPr>
          <w:rFonts w:hint="cs"/>
          <w:rtl/>
        </w:rPr>
        <w:t>أما إذا كان سند الحديث صحيحاً وخالف مدلوله دليلاً عقلياً قطعياً فهذا هو ميدان البحث في التعارض الواقع بينهما</w:t>
      </w:r>
      <w:r w:rsidR="000636C2">
        <w:rPr>
          <w:rFonts w:hint="cs"/>
          <w:rtl/>
        </w:rPr>
        <w:t>،</w:t>
      </w:r>
      <w:r w:rsidRPr="005675B2">
        <w:rPr>
          <w:rFonts w:hint="cs"/>
          <w:rtl/>
        </w:rPr>
        <w:t xml:space="preserve"> وهنا يقول الأشاعرة إنه لا بد من تقديم العقل على النقل</w:t>
      </w:r>
      <w:r w:rsidR="000636C2">
        <w:rPr>
          <w:rFonts w:hint="cs"/>
          <w:rtl/>
        </w:rPr>
        <w:t>،</w:t>
      </w:r>
      <w:r w:rsidRPr="005675B2">
        <w:rPr>
          <w:rFonts w:hint="cs"/>
          <w:rtl/>
        </w:rPr>
        <w:t xml:space="preserve"> ولكن الذي ينبغي التأكيد عليه هنا هو أننا إذا تجنبنا منهج التساهل في دراسة الأسانيد فقد لا نجد مثالا لهذه الحالة</w:t>
      </w:r>
      <w:r w:rsidR="000636C2">
        <w:rPr>
          <w:rFonts w:hint="cs"/>
          <w:rtl/>
        </w:rPr>
        <w:t>،</w:t>
      </w:r>
      <w:r w:rsidRPr="005675B2">
        <w:rPr>
          <w:rFonts w:hint="cs"/>
          <w:rtl/>
        </w:rPr>
        <w:t>وإن عثر على شيء من ذلك فلا يعدو كونه من أندر النادر</w:t>
      </w:r>
      <w:r w:rsidR="000636C2">
        <w:rPr>
          <w:rFonts w:hint="cs"/>
          <w:rtl/>
        </w:rPr>
        <w:t xml:space="preserve">، </w:t>
      </w:r>
      <w:r w:rsidRPr="005675B2">
        <w:rPr>
          <w:rFonts w:hint="cs"/>
          <w:rtl/>
        </w:rPr>
        <w:t>3 - واعلم أنَّ هذا لا نزاع فيه عند أهل العلم</w:t>
      </w:r>
      <w:r w:rsidR="000636C2">
        <w:rPr>
          <w:rFonts w:hint="cs"/>
          <w:rtl/>
        </w:rPr>
        <w:t>،</w:t>
      </w:r>
      <w:r w:rsidRPr="005675B2">
        <w:rPr>
          <w:rFonts w:hint="cs"/>
          <w:rtl/>
        </w:rPr>
        <w:t xml:space="preserve"> وابن تيمية</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يقول بهذا</w:t>
      </w:r>
      <w:r w:rsidR="000636C2">
        <w:rPr>
          <w:rFonts w:hint="cs"/>
          <w:rtl/>
        </w:rPr>
        <w:t>،</w:t>
      </w:r>
      <w:r w:rsidRPr="005675B2">
        <w:rPr>
          <w:rFonts w:hint="cs"/>
          <w:rtl/>
        </w:rPr>
        <w:t xml:space="preserve"> واستمع إليه إذ يقول</w:t>
      </w:r>
      <w:r w:rsidR="000636C2">
        <w:rPr>
          <w:rFonts w:hint="cs"/>
          <w:rtl/>
        </w:rPr>
        <w:t>:</w:t>
      </w:r>
      <w:r w:rsidRPr="005675B2">
        <w:rPr>
          <w:rFonts w:hint="cs"/>
          <w:rtl/>
        </w:rPr>
        <w:t xml:space="preserve"> </w:t>
      </w:r>
      <w:r w:rsidR="000636C2">
        <w:rPr>
          <w:rFonts w:hint="cs"/>
          <w:rtl/>
        </w:rPr>
        <w:t>[</w:t>
      </w:r>
      <w:r w:rsidRPr="005675B2">
        <w:rPr>
          <w:rFonts w:hint="cs"/>
          <w:rtl/>
        </w:rPr>
        <w:t>إذا قيل تعارض دليلان سواء كانا سمعيين أو عقليين أو أحدهما سمعياً والآخر عقلياً ؛ فالواجب أن يقال</w:t>
      </w:r>
      <w:r w:rsidR="000636C2">
        <w:rPr>
          <w:rFonts w:hint="cs"/>
          <w:rtl/>
        </w:rPr>
        <w:t>:</w:t>
      </w:r>
      <w:r w:rsidRPr="005675B2">
        <w:rPr>
          <w:rFonts w:hint="cs"/>
          <w:rtl/>
        </w:rPr>
        <w:t xml:space="preserve"> لا يخلو إما أن يكونا قطعيين أو يكونا ظنيين وإما أن يكون أحدهما قطعياً والآخر ظنياً</w:t>
      </w:r>
      <w:r w:rsidR="000636C2">
        <w:rPr>
          <w:rFonts w:hint="cs"/>
          <w:rtl/>
        </w:rPr>
        <w:t>،</w:t>
      </w:r>
      <w:r w:rsidRPr="005675B2">
        <w:rPr>
          <w:rFonts w:hint="cs"/>
          <w:rtl/>
        </w:rPr>
        <w:t xml:space="preserve"> فأما القطعيان فلا يجوز تعارضهما سواء كانا عقليين أو سمعيين أو أحدهما عقلياً والآخر سمعياً</w:t>
      </w:r>
      <w:r w:rsidR="000636C2">
        <w:rPr>
          <w:rFonts w:hint="cs"/>
          <w:rtl/>
        </w:rPr>
        <w:t>،</w:t>
      </w:r>
      <w:r w:rsidRPr="005675B2">
        <w:rPr>
          <w:rFonts w:hint="cs"/>
          <w:rtl/>
        </w:rPr>
        <w:t xml:space="preserve"> وهذا متفق عليه بين العقلاء ..</w:t>
      </w:r>
      <w:r w:rsidR="000636C2">
        <w:rPr>
          <w:rFonts w:hint="cs"/>
          <w:rtl/>
        </w:rPr>
        <w:t>،</w:t>
      </w:r>
      <w:r w:rsidRPr="005675B2">
        <w:rPr>
          <w:rFonts w:hint="cs"/>
          <w:rtl/>
        </w:rPr>
        <w:t xml:space="preserve"> وإن كان أحد الدليلين المتعارضين قطعياً دون الآخر فإنه يجب تقديمه باتفاق العقلاء</w:t>
      </w:r>
      <w:r w:rsidR="000636C2">
        <w:rPr>
          <w:rFonts w:hint="cs"/>
          <w:rtl/>
        </w:rPr>
        <w:t>،</w:t>
      </w:r>
      <w:r w:rsidRPr="005675B2">
        <w:rPr>
          <w:rFonts w:hint="cs"/>
          <w:rtl/>
        </w:rPr>
        <w:t xml:space="preserve"> سواء كان هو السمعيَّ أو العقلي، فإن الظن لا يرفع اليقين</w:t>
      </w:r>
      <w:r w:rsidR="000636C2">
        <w:rPr>
          <w:rFonts w:hint="cs"/>
          <w:rtl/>
        </w:rPr>
        <w:t>،</w:t>
      </w:r>
      <w:r w:rsidRPr="005675B2">
        <w:rPr>
          <w:rFonts w:hint="cs"/>
          <w:rtl/>
        </w:rPr>
        <w:t xml:space="preserve"> وأما إن كانا جميعاً ظنيين فإنه يُصار إلى طلب ترجيح أحدهما، فأيهما ترجح كان هو المُقّدَّمَ سواء كان سمعياً أو عقلياً</w:t>
      </w:r>
      <w:r w:rsidR="000636C2">
        <w:rPr>
          <w:rFonts w:hint="cs"/>
          <w:rtl/>
        </w:rPr>
        <w:t>]</w:t>
      </w:r>
      <w:r w:rsidRPr="005675B2">
        <w:rPr>
          <w:rFonts w:hint="cs"/>
          <w:rtl/>
        </w:rPr>
        <w:t xml:space="preserve"> [</w:t>
      </w:r>
      <w:r w:rsidRPr="005675B2">
        <w:rPr>
          <w:rFonts w:hint="cs"/>
          <w:sz w:val="24"/>
          <w:szCs w:val="24"/>
          <w:rtl/>
        </w:rPr>
        <w:t>درء تعارض العقل والنقل لابن تيمية: 1/79 ط 1</w:t>
      </w:r>
      <w:r w:rsidR="000636C2">
        <w:rPr>
          <w:rFonts w:hint="cs"/>
          <w:sz w:val="24"/>
          <w:szCs w:val="24"/>
          <w:rtl/>
        </w:rPr>
        <w:t>،</w:t>
      </w:r>
      <w:r w:rsidRPr="005675B2">
        <w:rPr>
          <w:rFonts w:hint="cs"/>
          <w:sz w:val="24"/>
          <w:szCs w:val="24"/>
          <w:rtl/>
        </w:rPr>
        <w:t xml:space="preserve"> 1414 هـ</w:t>
      </w:r>
      <w:r w:rsidR="000636C2">
        <w:rPr>
          <w:rFonts w:hint="cs"/>
          <w:sz w:val="24"/>
          <w:szCs w:val="24"/>
          <w:rtl/>
        </w:rPr>
        <w:t>]</w:t>
      </w:r>
      <w:r w:rsidR="000636C2">
        <w:rPr>
          <w:rFonts w:hint="cs"/>
          <w:rtl/>
        </w:rPr>
        <w:t xml:space="preserve">، </w:t>
      </w:r>
      <w:r w:rsidRPr="005675B2">
        <w:rPr>
          <w:rFonts w:hint="cs"/>
          <w:rtl/>
        </w:rPr>
        <w:t>4</w:t>
      </w:r>
      <w:r w:rsidR="000636C2">
        <w:rPr>
          <w:rFonts w:hint="cs"/>
          <w:rtl/>
        </w:rPr>
        <w:t xml:space="preserve"> </w:t>
      </w:r>
      <w:r w:rsidRPr="005675B2">
        <w:rPr>
          <w:rFonts w:hint="cs"/>
          <w:rtl/>
        </w:rPr>
        <w:t>- ظن الباحث أن الدلائل النقلية إذا كانت صحيحة فإنها لا تستحق عند الرازي الاشتغال بتأويلها إلا على سبيل التبرع</w:t>
      </w:r>
      <w:r w:rsidR="000636C2">
        <w:rPr>
          <w:rFonts w:hint="cs"/>
          <w:rtl/>
        </w:rPr>
        <w:t>،</w:t>
      </w:r>
      <w:r w:rsidRPr="005675B2">
        <w:rPr>
          <w:rFonts w:hint="cs"/>
          <w:rtl/>
        </w:rPr>
        <w:t xml:space="preserve"> ولذلك فإنه راح يلمزه بما يعني أنه لا يقدر نصوص الوحي حق قدرها</w:t>
      </w:r>
      <w:r w:rsidR="000636C2">
        <w:rPr>
          <w:rFonts w:hint="cs"/>
          <w:rtl/>
        </w:rPr>
        <w:t>،</w:t>
      </w:r>
      <w:r w:rsidRPr="005675B2">
        <w:rPr>
          <w:rFonts w:hint="cs"/>
          <w:rtl/>
        </w:rPr>
        <w:t xml:space="preserve"> وإنما أُتي الباحث من حيث عدم التأني في تفهم العبارات</w:t>
      </w:r>
      <w:r w:rsidR="000636C2">
        <w:rPr>
          <w:rFonts w:hint="cs"/>
          <w:rtl/>
        </w:rPr>
        <w:t>،</w:t>
      </w:r>
      <w:r w:rsidRPr="005675B2">
        <w:rPr>
          <w:rFonts w:hint="cs"/>
          <w:rtl/>
        </w:rPr>
        <w:t xml:space="preserve"> فإن الرازي لم يقل إن الاشتغال بتأويلها هو من باب التبرع</w:t>
      </w:r>
      <w:r w:rsidR="000636C2">
        <w:rPr>
          <w:rFonts w:hint="cs"/>
          <w:rtl/>
        </w:rPr>
        <w:t>،</w:t>
      </w:r>
      <w:r w:rsidRPr="005675B2">
        <w:rPr>
          <w:rFonts w:hint="cs"/>
          <w:rtl/>
        </w:rPr>
        <w:t xml:space="preserve"> ولكنه ألمح إلى أنه يكفينا مع رد ظواهرها المخالفة للدلائل العقلية القطعية أن نفوض العلم بها إلى الله تعالى</w:t>
      </w:r>
      <w:r w:rsidR="000636C2">
        <w:rPr>
          <w:rFonts w:hint="cs"/>
          <w:rtl/>
        </w:rPr>
        <w:t>،</w:t>
      </w:r>
      <w:r w:rsidRPr="005675B2">
        <w:rPr>
          <w:rFonts w:hint="cs"/>
          <w:rtl/>
        </w:rPr>
        <w:t xml:space="preserve"> وهذا تأويل إجمالي</w:t>
      </w:r>
      <w:r w:rsidR="000636C2">
        <w:rPr>
          <w:rFonts w:hint="cs"/>
          <w:rtl/>
        </w:rPr>
        <w:t>،</w:t>
      </w:r>
      <w:r w:rsidRPr="005675B2">
        <w:rPr>
          <w:rFonts w:hint="cs"/>
          <w:rtl/>
        </w:rPr>
        <w:t xml:space="preserve"> ويمكننا أن نشتغل بذكر التأويلات التفصيلية على سبيل التبرع</w:t>
      </w:r>
      <w:r w:rsidR="000636C2">
        <w:rPr>
          <w:rFonts w:hint="cs"/>
          <w:rtl/>
        </w:rPr>
        <w:t>،</w:t>
      </w:r>
      <w:r w:rsidRPr="005675B2">
        <w:rPr>
          <w:rFonts w:hint="cs"/>
          <w:rtl/>
        </w:rPr>
        <w:t xml:space="preserve"> فلم نسيت أيها الباحث قول الرازي</w:t>
      </w:r>
      <w:r w:rsidR="000636C2">
        <w:rPr>
          <w:rFonts w:hint="cs"/>
          <w:rtl/>
        </w:rPr>
        <w:t>:</w:t>
      </w:r>
      <w:r w:rsidRPr="005675B2">
        <w:rPr>
          <w:rFonts w:hint="cs"/>
          <w:rtl/>
        </w:rPr>
        <w:t xml:space="preserve"> </w:t>
      </w:r>
      <w:r w:rsidR="000636C2">
        <w:rPr>
          <w:rFonts w:hint="cs"/>
          <w:rtl/>
        </w:rPr>
        <w:t>[</w:t>
      </w:r>
      <w:r w:rsidRPr="005675B2">
        <w:rPr>
          <w:rFonts w:hint="cs"/>
          <w:rtl/>
        </w:rPr>
        <w:t>بذكر تلك التأويلات على التفصيل</w:t>
      </w:r>
      <w:r w:rsidR="000636C2">
        <w:rPr>
          <w:rFonts w:hint="cs"/>
          <w:rtl/>
        </w:rPr>
        <w:t xml:space="preserve">؟!]، </w:t>
      </w:r>
      <w:r w:rsidRPr="005675B2">
        <w:rPr>
          <w:rFonts w:hint="cs"/>
          <w:rtl/>
        </w:rPr>
        <w:t>5</w:t>
      </w:r>
      <w:r w:rsidR="000636C2">
        <w:rPr>
          <w:rFonts w:hint="cs"/>
          <w:rtl/>
        </w:rPr>
        <w:t xml:space="preserve"> </w:t>
      </w:r>
      <w:r w:rsidRPr="005675B2">
        <w:rPr>
          <w:rFonts w:hint="cs"/>
          <w:rtl/>
        </w:rPr>
        <w:t>- وقبل أن أغادر مسألة اتهام الأشاعرة بأنهم يقدمون العقل على النقل لا بد من بيان اتفاق الأمة الإسلامية على أصل المسألة</w:t>
      </w:r>
      <w:r w:rsidR="000636C2">
        <w:rPr>
          <w:rFonts w:hint="cs"/>
          <w:rtl/>
        </w:rPr>
        <w:t>،</w:t>
      </w:r>
      <w:r w:rsidRPr="005675B2">
        <w:rPr>
          <w:rFonts w:hint="cs"/>
          <w:rtl/>
        </w:rPr>
        <w:t xml:space="preserve"> فالمسلمون يعتقدون أنه يستحيل قطعاً أن يأتي في كتاب الله تعالى أو في كلام أحد من رسله ما يصادم العقل</w:t>
      </w:r>
      <w:r w:rsidR="000636C2">
        <w:rPr>
          <w:rFonts w:hint="cs"/>
          <w:rtl/>
        </w:rPr>
        <w:t>،</w:t>
      </w:r>
      <w:r w:rsidRPr="005675B2">
        <w:rPr>
          <w:rFonts w:hint="cs"/>
          <w:rtl/>
        </w:rPr>
        <w:t xml:space="preserve"> وقد قال تبارك وتعالى في كتابه الكريم </w:t>
      </w:r>
      <w:r w:rsidR="000636C2">
        <w:rPr>
          <w:rFonts w:hint="cs"/>
          <w:rtl/>
        </w:rPr>
        <w:t>[</w:t>
      </w:r>
      <w:r w:rsidRPr="005675B2">
        <w:rPr>
          <w:rFonts w:hint="cs"/>
          <w:rtl/>
        </w:rPr>
        <w:t>لِقَوْمٍ يَعْقِلُونَ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البقرة: من الآية 164</w:t>
      </w:r>
      <w:r w:rsidR="000636C2">
        <w:rPr>
          <w:rFonts w:hint="cs"/>
          <w:sz w:val="24"/>
          <w:szCs w:val="24"/>
          <w:rtl/>
        </w:rPr>
        <w:t>]</w:t>
      </w:r>
      <w:r w:rsidRPr="005675B2">
        <w:rPr>
          <w:rFonts w:hint="cs"/>
          <w:rtl/>
        </w:rPr>
        <w:t xml:space="preserve">، وقال تعالى </w:t>
      </w:r>
      <w:r w:rsidR="000636C2">
        <w:rPr>
          <w:rFonts w:hint="cs"/>
          <w:rtl/>
        </w:rPr>
        <w:t>[</w:t>
      </w:r>
      <w:r w:rsidRPr="005675B2">
        <w:rPr>
          <w:rFonts w:hint="cs"/>
          <w:rtl/>
        </w:rPr>
        <w:t>إِنَّ فِي خَلْقِ السَّمَاوَاتِ وَالْأَرْضِ وَاخْتِلافِ اللَّيْلِ وَالنَّهَارِ لَآياتٍ لِأُولِي الْأَلْبَابِ</w:t>
      </w:r>
      <w:r w:rsidR="000636C2">
        <w:rPr>
          <w:rFonts w:hint="cs"/>
          <w:rtl/>
        </w:rPr>
        <w:t>]</w:t>
      </w:r>
      <w:r w:rsidRPr="005675B2">
        <w:rPr>
          <w:rFonts w:hint="cs"/>
          <w:rtl/>
        </w:rPr>
        <w:t xml:space="preserve"> [</w:t>
      </w:r>
      <w:r w:rsidRPr="005675B2">
        <w:rPr>
          <w:rFonts w:hint="cs"/>
          <w:sz w:val="24"/>
          <w:szCs w:val="24"/>
          <w:rtl/>
        </w:rPr>
        <w:t>آل عمران آية</w:t>
      </w:r>
      <w:r w:rsidR="000636C2">
        <w:rPr>
          <w:rFonts w:hint="cs"/>
          <w:sz w:val="24"/>
          <w:szCs w:val="24"/>
          <w:rtl/>
        </w:rPr>
        <w:t>:</w:t>
      </w:r>
      <w:r w:rsidRPr="005675B2">
        <w:rPr>
          <w:rFonts w:hint="cs"/>
          <w:sz w:val="24"/>
          <w:szCs w:val="24"/>
          <w:rtl/>
        </w:rPr>
        <w:t>190]</w:t>
      </w:r>
      <w:r w:rsidR="000636C2">
        <w:rPr>
          <w:rFonts w:hint="cs"/>
          <w:rtl/>
        </w:rPr>
        <w:t>،</w:t>
      </w:r>
      <w:r w:rsidRPr="005675B2">
        <w:rPr>
          <w:rFonts w:hint="cs"/>
          <w:rtl/>
        </w:rPr>
        <w:t xml:space="preserve"> ولا يقول بجواز أن يأتي في كلام الله تعالى أو في كلام أحد من رسله ما يصادم العقل إلا من كان على شاكلة النصارى الذين ينادون</w:t>
      </w:r>
      <w:r w:rsidR="000636C2">
        <w:rPr>
          <w:rFonts w:hint="cs"/>
          <w:rtl/>
        </w:rPr>
        <w:t>:</w:t>
      </w:r>
      <w:r w:rsidRPr="005675B2">
        <w:rPr>
          <w:rFonts w:hint="cs"/>
          <w:rtl/>
        </w:rPr>
        <w:t xml:space="preserve"> أطفئ سراج عقلك واتبعني</w:t>
      </w:r>
      <w:r w:rsidR="000636C2">
        <w:rPr>
          <w:rFonts w:hint="cs"/>
          <w:rtl/>
        </w:rPr>
        <w:t xml:space="preserve">، </w:t>
      </w:r>
      <w:r w:rsidRPr="005675B2">
        <w:rPr>
          <w:rFonts w:hint="cs"/>
          <w:rtl/>
        </w:rPr>
        <w:t>واستمع إلى ابن تيمية رحمه الله إذ يقول عن النصارى</w:t>
      </w:r>
      <w:r w:rsidR="000636C2">
        <w:rPr>
          <w:rFonts w:hint="cs"/>
          <w:rtl/>
        </w:rPr>
        <w:t>:</w:t>
      </w:r>
      <w:r w:rsidRPr="005675B2">
        <w:rPr>
          <w:rFonts w:hint="cs"/>
          <w:rtl/>
        </w:rPr>
        <w:t xml:space="preserve"> </w:t>
      </w:r>
      <w:r w:rsidR="000636C2">
        <w:rPr>
          <w:rFonts w:hint="cs"/>
          <w:rtl/>
        </w:rPr>
        <w:t>[</w:t>
      </w:r>
      <w:r w:rsidRPr="005675B2">
        <w:rPr>
          <w:rFonts w:hint="cs"/>
          <w:rtl/>
        </w:rPr>
        <w:t>ولا يميزون بين ما يحيله العقل ويبطله ويعلم أنه ممتنع وبين ما يعجز عنه العقل فلا يعرفه ولا يحكم فيه بنفي ولا إثبات</w:t>
      </w:r>
      <w:r w:rsidR="000636C2">
        <w:rPr>
          <w:rFonts w:hint="cs"/>
          <w:rtl/>
        </w:rPr>
        <w:t>،</w:t>
      </w:r>
      <w:r w:rsidRPr="005675B2">
        <w:rPr>
          <w:rFonts w:hint="cs"/>
          <w:rtl/>
        </w:rPr>
        <w:t xml:space="preserve"> وأن الرسل أخبرت بالنوع الثاني ولا يجوز أن تخبر بالنوع الأول</w:t>
      </w:r>
      <w:r w:rsidR="000636C2">
        <w:rPr>
          <w:rFonts w:hint="cs"/>
          <w:rtl/>
        </w:rPr>
        <w:t>]</w:t>
      </w:r>
      <w:r w:rsidRPr="005675B2">
        <w:rPr>
          <w:rFonts w:hint="cs"/>
          <w:rtl/>
        </w:rPr>
        <w:t xml:space="preserve"> [</w:t>
      </w:r>
      <w:r w:rsidR="000636C2">
        <w:rPr>
          <w:rFonts w:hint="cs"/>
          <w:sz w:val="24"/>
          <w:szCs w:val="24"/>
          <w:rtl/>
        </w:rPr>
        <w:t>[</w:t>
      </w:r>
      <w:r>
        <w:rPr>
          <w:rFonts w:hint="cs"/>
          <w:sz w:val="24"/>
          <w:szCs w:val="24"/>
          <w:rtl/>
        </w:rPr>
        <w:t>الجواب</w:t>
      </w:r>
      <w:r w:rsidR="000636C2">
        <w:rPr>
          <w:rFonts w:hint="cs"/>
          <w:sz w:val="24"/>
          <w:szCs w:val="24"/>
          <w:rtl/>
        </w:rPr>
        <w:t xml:space="preserve">] </w:t>
      </w:r>
      <w:r w:rsidRPr="005675B2">
        <w:rPr>
          <w:rFonts w:hint="cs"/>
          <w:sz w:val="24"/>
          <w:szCs w:val="24"/>
          <w:rtl/>
        </w:rPr>
        <w:t>الصحيح لمن بدل دين المسيح</w:t>
      </w:r>
      <w:r w:rsidR="000636C2">
        <w:rPr>
          <w:rFonts w:hint="cs"/>
          <w:sz w:val="24"/>
          <w:szCs w:val="24"/>
          <w:rtl/>
        </w:rPr>
        <w:t>:</w:t>
      </w:r>
      <w:r w:rsidRPr="005675B2">
        <w:rPr>
          <w:rFonts w:hint="cs"/>
          <w:sz w:val="24"/>
          <w:szCs w:val="24"/>
          <w:rtl/>
        </w:rPr>
        <w:t xml:space="preserve"> 3/185 .</w:t>
      </w:r>
      <w:r w:rsidR="000636C2">
        <w:rPr>
          <w:rFonts w:hint="cs"/>
          <w:sz w:val="24"/>
          <w:szCs w:val="24"/>
          <w:rtl/>
        </w:rPr>
        <w:t>(</w:t>
      </w:r>
      <w:r w:rsidRPr="005675B2">
        <w:rPr>
          <w:rFonts w:hint="cs"/>
          <w:sz w:val="24"/>
          <w:szCs w:val="24"/>
          <w:rtl/>
        </w:rPr>
        <w:t>الطبعة المحققة</w:t>
      </w:r>
      <w:r w:rsidR="000636C2">
        <w:rPr>
          <w:rFonts w:hint="cs"/>
          <w:sz w:val="24"/>
          <w:szCs w:val="24"/>
          <w:rtl/>
        </w:rPr>
        <w:t>،</w:t>
      </w:r>
      <w:r w:rsidRPr="005675B2">
        <w:rPr>
          <w:rFonts w:hint="cs"/>
          <w:sz w:val="24"/>
          <w:szCs w:val="24"/>
          <w:rtl/>
        </w:rPr>
        <w:t xml:space="preserve"> دار العاصمة</w:t>
      </w:r>
      <w:r w:rsidR="000636C2">
        <w:rPr>
          <w:rFonts w:hint="cs"/>
          <w:sz w:val="24"/>
          <w:szCs w:val="24"/>
          <w:rtl/>
        </w:rPr>
        <w:t>،</w:t>
      </w:r>
      <w:r w:rsidRPr="005675B2">
        <w:rPr>
          <w:rFonts w:hint="cs"/>
          <w:sz w:val="24"/>
          <w:szCs w:val="24"/>
          <w:rtl/>
        </w:rPr>
        <w:t xml:space="preserve"> الرياض، ط 1</w:t>
      </w:r>
      <w:r w:rsidR="000636C2">
        <w:rPr>
          <w:rFonts w:hint="cs"/>
          <w:sz w:val="24"/>
          <w:szCs w:val="24"/>
          <w:rtl/>
        </w:rPr>
        <w:t>،</w:t>
      </w:r>
      <w:r w:rsidRPr="005675B2">
        <w:rPr>
          <w:rFonts w:hint="cs"/>
          <w:sz w:val="24"/>
          <w:szCs w:val="24"/>
          <w:rtl/>
        </w:rPr>
        <w:t xml:space="preserve"> 1414 هـ)]</w:t>
      </w:r>
      <w:r w:rsidR="000636C2">
        <w:rPr>
          <w:rFonts w:hint="cs"/>
          <w:rtl/>
        </w:rPr>
        <w:t xml:space="preserve">، </w:t>
      </w:r>
      <w:r w:rsidRPr="005675B2">
        <w:rPr>
          <w:rFonts w:hint="cs"/>
          <w:rtl/>
        </w:rPr>
        <w:t>لكن ما الحكم فيما لو نقل عن أحد من رسل الله صلوات ربي وسلامه عليهم ما يحيله العقل ويبطله ويعلم أنه ممتنع</w:t>
      </w:r>
      <w:r w:rsidR="000636C2">
        <w:rPr>
          <w:rFonts w:hint="cs"/>
          <w:rtl/>
        </w:rPr>
        <w:t>؟</w:t>
      </w:r>
      <w:r w:rsidRPr="005675B2">
        <w:rPr>
          <w:rFonts w:hint="cs"/>
          <w:rtl/>
        </w:rPr>
        <w:t xml:space="preserve"> إما أن النقل غير صحيح فهو مما لا تثبت نسبته إلى الرسول صلى الله عليه وسلم</w:t>
      </w:r>
      <w:r w:rsidR="000636C2">
        <w:rPr>
          <w:rFonts w:hint="cs"/>
          <w:rtl/>
        </w:rPr>
        <w:t>،</w:t>
      </w:r>
      <w:r w:rsidRPr="005675B2">
        <w:rPr>
          <w:rFonts w:hint="cs"/>
          <w:rtl/>
        </w:rPr>
        <w:t xml:space="preserve"> وإما أن يصح النقل ويكونَ للمنقول معنى غير المعنى الذي تبادر إلى ذهن قارئ النص</w:t>
      </w:r>
      <w:r w:rsidR="000636C2">
        <w:rPr>
          <w:rFonts w:hint="cs"/>
          <w:rtl/>
        </w:rPr>
        <w:t>،</w:t>
      </w:r>
      <w:r w:rsidRPr="005675B2">
        <w:rPr>
          <w:rFonts w:hint="cs"/>
          <w:rtl/>
        </w:rPr>
        <w:t xml:space="preserve"> وهنا يكون الواجب عليه هو تأويل النص بصرفه عن ذلك المعنى الذي تبادر إلى ذهنه بادي الرأي إلى معنى سليم لا يصادم العقل</w:t>
      </w:r>
      <w:r w:rsidR="000636C2">
        <w:rPr>
          <w:rFonts w:hint="cs"/>
          <w:rtl/>
        </w:rPr>
        <w:t>،</w:t>
      </w:r>
      <w:r w:rsidRPr="005675B2">
        <w:rPr>
          <w:rFonts w:hint="cs"/>
          <w:rtl/>
        </w:rPr>
        <w:t xml:space="preserve"> وهذا هو ما يعنيه الأشاعرة</w:t>
      </w:r>
      <w:r w:rsidR="000636C2">
        <w:rPr>
          <w:rFonts w:hint="cs"/>
          <w:rtl/>
        </w:rPr>
        <w:t>،</w:t>
      </w:r>
      <w:r w:rsidRPr="005675B2">
        <w:rPr>
          <w:rFonts w:hint="cs"/>
          <w:rtl/>
        </w:rPr>
        <w:t xml:space="preserve"> واستمع إلى ابن تيمية رحمه الله إذ يقول</w:t>
      </w:r>
      <w:r w:rsidR="000636C2">
        <w:rPr>
          <w:rFonts w:hint="cs"/>
          <w:rtl/>
        </w:rPr>
        <w:t>:</w:t>
      </w:r>
      <w:r w:rsidRPr="005675B2">
        <w:rPr>
          <w:rFonts w:hint="cs"/>
          <w:rtl/>
        </w:rPr>
        <w:t xml:space="preserve"> </w:t>
      </w:r>
      <w:r w:rsidR="000636C2">
        <w:rPr>
          <w:rFonts w:hint="cs"/>
          <w:rtl/>
        </w:rPr>
        <w:t>[</w:t>
      </w:r>
      <w:r w:rsidRPr="005675B2">
        <w:rPr>
          <w:rFonts w:hint="cs"/>
          <w:rtl/>
        </w:rPr>
        <w:t>ولو فرض على سبيل التقدير أن العقل الصريح الذي لا يكذب ناقض بعض الأخبار للزم أحد الأمرين</w:t>
      </w:r>
      <w:r w:rsidR="000636C2">
        <w:rPr>
          <w:rFonts w:hint="cs"/>
          <w:rtl/>
        </w:rPr>
        <w:t>:</w:t>
      </w:r>
      <w:r w:rsidRPr="005675B2">
        <w:rPr>
          <w:rFonts w:hint="cs"/>
          <w:rtl/>
        </w:rPr>
        <w:t xml:space="preserve"> إما تكذيب الناقل أو تأويل المنقول</w:t>
      </w:r>
      <w:r w:rsidR="000636C2">
        <w:rPr>
          <w:rFonts w:hint="cs"/>
          <w:rtl/>
        </w:rPr>
        <w:t>،</w:t>
      </w:r>
      <w:r w:rsidRPr="005675B2">
        <w:rPr>
          <w:rFonts w:hint="cs"/>
          <w:rtl/>
        </w:rPr>
        <w:t xml:space="preserve"> لكن</w:t>
      </w:r>
      <w:r w:rsidR="000636C2">
        <w:rPr>
          <w:rFonts w:hint="cs"/>
          <w:rtl/>
        </w:rPr>
        <w:t xml:space="preserve"> </w:t>
      </w:r>
      <w:r w:rsidRPr="005675B2">
        <w:rPr>
          <w:rFonts w:hint="cs"/>
          <w:rtl/>
        </w:rPr>
        <w:t>- ولله الحمد</w:t>
      </w:r>
      <w:r w:rsidR="000636C2">
        <w:rPr>
          <w:rFonts w:hint="cs"/>
          <w:rtl/>
        </w:rPr>
        <w:t xml:space="preserve"> </w:t>
      </w:r>
      <w:r w:rsidRPr="005675B2">
        <w:rPr>
          <w:rFonts w:hint="cs"/>
          <w:rtl/>
        </w:rPr>
        <w:t>- هذا لم يقع</w:t>
      </w:r>
      <w:r w:rsidR="000636C2">
        <w:rPr>
          <w:rFonts w:hint="cs"/>
          <w:rtl/>
        </w:rPr>
        <w:t>،</w:t>
      </w:r>
      <w:r w:rsidRPr="005675B2">
        <w:rPr>
          <w:rFonts w:hint="cs"/>
          <w:rtl/>
        </w:rPr>
        <w:t xml:space="preserve"> ولا ينبغي أن يقع قط</w:t>
      </w:r>
      <w:r w:rsidR="000636C2">
        <w:rPr>
          <w:rFonts w:hint="cs"/>
          <w:rtl/>
        </w:rPr>
        <w:t>]</w:t>
      </w:r>
      <w:r w:rsidRPr="005675B2">
        <w:rPr>
          <w:rFonts w:hint="cs"/>
          <w:rtl/>
        </w:rPr>
        <w:t xml:space="preserve"> [</w:t>
      </w:r>
      <w:r w:rsidRPr="005675B2">
        <w:rPr>
          <w:rFonts w:hint="cs"/>
          <w:sz w:val="24"/>
          <w:szCs w:val="24"/>
          <w:rtl/>
        </w:rPr>
        <w:t>التسعينية لابن تيمية: ص 124</w:t>
      </w:r>
      <w:r w:rsidR="000636C2">
        <w:rPr>
          <w:rFonts w:hint="cs"/>
          <w:sz w:val="24"/>
          <w:szCs w:val="24"/>
          <w:rtl/>
        </w:rPr>
        <w:t>]</w:t>
      </w:r>
      <w:r w:rsidR="000636C2">
        <w:rPr>
          <w:rFonts w:hint="cs"/>
          <w:rtl/>
        </w:rPr>
        <w:t xml:space="preserve">، </w:t>
      </w:r>
      <w:r w:rsidRPr="005675B2">
        <w:rPr>
          <w:rFonts w:hint="cs"/>
          <w:rtl/>
        </w:rPr>
        <w:t>6</w:t>
      </w:r>
      <w:r w:rsidR="000636C2">
        <w:rPr>
          <w:rFonts w:hint="cs"/>
          <w:rtl/>
        </w:rPr>
        <w:t xml:space="preserve"> </w:t>
      </w:r>
      <w:r w:rsidRPr="005675B2">
        <w:rPr>
          <w:rFonts w:hint="cs"/>
          <w:rtl/>
        </w:rPr>
        <w:t>- ومما يثير الاستغراب والدهشة أن ابن تيمية نقل نقلاً غريباً يخالف ما تقدم</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 ذكر الرازي في أول كتابه "نهاية العقول" أن الاستدلال بالسمعيات في المسائل الأصولية لا يمكن بحال ..</w:t>
      </w:r>
      <w:r w:rsidR="000636C2">
        <w:rPr>
          <w:rFonts w:hint="cs"/>
          <w:rtl/>
        </w:rPr>
        <w:t>،</w:t>
      </w:r>
      <w:r w:rsidRPr="005675B2">
        <w:rPr>
          <w:rFonts w:hint="cs"/>
          <w:rtl/>
        </w:rPr>
        <w:t xml:space="preserve"> إذ يجوز أن يكون في نفس الأمر دليل عقلي يناقض ما دل عليه القرآن ولم يخطر ببال المستمع</w:t>
      </w:r>
      <w:r w:rsidR="000636C2">
        <w:rPr>
          <w:rFonts w:hint="cs"/>
          <w:rtl/>
        </w:rPr>
        <w:t>]</w:t>
      </w:r>
      <w:r w:rsidRPr="005675B2">
        <w:rPr>
          <w:rFonts w:hint="cs"/>
          <w:rtl/>
        </w:rPr>
        <w:t xml:space="preserve"> [</w:t>
      </w:r>
      <w:r w:rsidRPr="005675B2">
        <w:rPr>
          <w:rFonts w:hint="cs"/>
          <w:sz w:val="24"/>
          <w:szCs w:val="24"/>
          <w:rtl/>
        </w:rPr>
        <w:t>درء تعارض العقل والنقل لابن تيمية: 1/21</w:t>
      </w:r>
      <w:r w:rsidR="000636C2">
        <w:rPr>
          <w:rFonts w:hint="cs"/>
          <w:sz w:val="24"/>
          <w:szCs w:val="24"/>
          <w:rtl/>
        </w:rPr>
        <w:t>]</w:t>
      </w:r>
      <w:r w:rsidR="000636C2">
        <w:rPr>
          <w:rFonts w:hint="cs"/>
          <w:rtl/>
        </w:rPr>
        <w:t>،</w:t>
      </w:r>
      <w:r w:rsidRPr="005675B2">
        <w:rPr>
          <w:rFonts w:hint="cs"/>
          <w:rtl/>
        </w:rPr>
        <w:t xml:space="preserve"> وهذا ليس موجوداً في كلام الإمام الرازي</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w:t>
      </w:r>
      <w:r w:rsidR="000636C2">
        <w:rPr>
          <w:rFonts w:hint="cs"/>
          <w:rtl/>
        </w:rPr>
        <w:t>،</w:t>
      </w:r>
      <w:r w:rsidRPr="005675B2">
        <w:rPr>
          <w:rFonts w:hint="cs"/>
          <w:rtl/>
        </w:rPr>
        <w:t xml:space="preserve"> إذ لم يجده محقق الكتاب في أول "نهاية العقول"</w:t>
      </w:r>
      <w:r w:rsidR="000636C2">
        <w:rPr>
          <w:rFonts w:hint="cs"/>
          <w:rtl/>
        </w:rPr>
        <w:t>،</w:t>
      </w:r>
      <w:r w:rsidRPr="005675B2">
        <w:rPr>
          <w:rFonts w:hint="cs"/>
          <w:rtl/>
        </w:rPr>
        <w:t xml:space="preserve"> بل ولا بعد تصفحه لكثير من صفحات مخطوطة الكتاب</w:t>
      </w:r>
      <w:r w:rsidR="000636C2">
        <w:rPr>
          <w:rFonts w:hint="cs"/>
          <w:rtl/>
        </w:rPr>
        <w:t>،</w:t>
      </w:r>
      <w:r w:rsidRPr="005675B2">
        <w:rPr>
          <w:rFonts w:hint="cs"/>
          <w:rtl/>
        </w:rPr>
        <w:t xml:space="preserve"> ولعله مما كتبه ابن تيمية من حفظه وهو في حالة انفعالية</w:t>
      </w:r>
      <w:r w:rsidR="000636C2">
        <w:rPr>
          <w:rFonts w:hint="cs"/>
          <w:rtl/>
        </w:rPr>
        <w:t>،</w:t>
      </w:r>
      <w:r w:rsidRPr="005675B2">
        <w:rPr>
          <w:rFonts w:hint="cs"/>
          <w:rtl/>
        </w:rPr>
        <w:t xml:space="preserve"> فوقع في هذا الخطأ الفاحش</w:t>
      </w:r>
      <w:r w:rsidR="000636C2">
        <w:rPr>
          <w:rFonts w:hint="cs"/>
          <w:rtl/>
        </w:rPr>
        <w:t>،</w:t>
      </w:r>
      <w:r w:rsidRPr="005675B2">
        <w:rPr>
          <w:rFonts w:hint="cs"/>
          <w:rtl/>
        </w:rPr>
        <w:t xml:space="preserve"> إذ نسب للإمام الرازي قولاً كفرياً وهو بريء منه</w:t>
      </w:r>
      <w:r w:rsidR="000636C2">
        <w:rPr>
          <w:rFonts w:hint="cs"/>
          <w:rtl/>
        </w:rPr>
        <w:t>؟،</w:t>
      </w:r>
      <w:r w:rsidRPr="005675B2">
        <w:rPr>
          <w:rFonts w:hint="cs"/>
          <w:rtl/>
        </w:rPr>
        <w:t xml:space="preserve"> [</w:t>
      </w:r>
      <w:r w:rsidRPr="005675B2">
        <w:rPr>
          <w:rFonts w:hint="cs"/>
          <w:sz w:val="24"/>
          <w:szCs w:val="24"/>
          <w:rtl/>
        </w:rPr>
        <w:t>ومن العجيب أن محقق الكتاب ـ سامحه الله ـ تابع ابنَ تيمية في نسبة معنى هذا الكلام للإمام الرازي رغم أنه لم يجده في كتابه</w:t>
      </w:r>
      <w:r w:rsidR="000636C2">
        <w:rPr>
          <w:rFonts w:hint="cs"/>
          <w:sz w:val="24"/>
          <w:szCs w:val="24"/>
          <w:rtl/>
        </w:rPr>
        <w:t>]</w:t>
      </w:r>
      <w:r w:rsidR="000636C2">
        <w:rPr>
          <w:rFonts w:hint="cs"/>
          <w:rtl/>
        </w:rPr>
        <w:t>،</w:t>
      </w:r>
    </w:p>
    <w:p w14:paraId="38656920" w14:textId="0A20A6B9" w:rsidR="009C32A0" w:rsidRPr="005675B2" w:rsidRDefault="009C32A0" w:rsidP="000636C2">
      <w:pPr>
        <w:rPr>
          <w:b/>
          <w:rtl/>
        </w:rPr>
      </w:pPr>
      <w:r w:rsidRPr="005675B2">
        <w:rPr>
          <w:rFonts w:hint="cs"/>
          <w:rtl/>
        </w:rPr>
        <w:t>قال الباحث</w:t>
      </w:r>
      <w:r w:rsidR="000636C2">
        <w:rPr>
          <w:rFonts w:hint="cs"/>
          <w:rtl/>
        </w:rPr>
        <w:t xml:space="preserve">: </w:t>
      </w:r>
      <w:r w:rsidRPr="005675B2">
        <w:rPr>
          <w:rFonts w:hint="cs"/>
          <w:rtl/>
        </w:rPr>
        <w:t>يقول السنوسي</w:t>
      </w:r>
      <w:r w:rsidR="000636C2">
        <w:rPr>
          <w:rFonts w:hint="cs"/>
          <w:rtl/>
        </w:rPr>
        <w:t>:</w:t>
      </w:r>
      <w:r w:rsidRPr="005675B2">
        <w:rPr>
          <w:rFonts w:hint="cs"/>
          <w:rtl/>
        </w:rPr>
        <w:t xml:space="preserve"> </w:t>
      </w:r>
      <w:r w:rsidR="000636C2">
        <w:rPr>
          <w:rFonts w:hint="cs"/>
          <w:rtl/>
        </w:rPr>
        <w:t>[</w:t>
      </w:r>
      <w:r w:rsidRPr="005675B2">
        <w:rPr>
          <w:rFonts w:hint="cs"/>
          <w:rtl/>
        </w:rPr>
        <w:t>وقعتْ في الكتاب والسنة ظواهر من اعتقدها على ظاهرها كفر</w:t>
      </w:r>
      <w:r w:rsidR="000636C2">
        <w:rPr>
          <w:rFonts w:hint="cs"/>
          <w:rtl/>
        </w:rPr>
        <w:t>]،</w:t>
      </w:r>
      <w:r w:rsidRPr="005675B2">
        <w:rPr>
          <w:rFonts w:hint="cs"/>
          <w:rtl/>
        </w:rPr>
        <w:t xml:space="preserve"> ويقول السنوسي</w:t>
      </w:r>
      <w:r w:rsidR="000636C2">
        <w:rPr>
          <w:rFonts w:hint="cs"/>
          <w:rtl/>
        </w:rPr>
        <w:t>:</w:t>
      </w:r>
      <w:r w:rsidRPr="005675B2">
        <w:rPr>
          <w:rFonts w:hint="cs"/>
          <w:rtl/>
        </w:rPr>
        <w:t xml:space="preserve"> </w:t>
      </w:r>
      <w:r w:rsidR="000636C2">
        <w:rPr>
          <w:rFonts w:hint="cs"/>
          <w:rtl/>
        </w:rPr>
        <w:t>[</w:t>
      </w:r>
      <w:r w:rsidRPr="005675B2">
        <w:rPr>
          <w:rFonts w:hint="cs"/>
          <w:rtl/>
        </w:rPr>
        <w:t>أصول الكفر ستة .. التمسك في أصول العقائد بمجرد ظواهر الكتاب والسنة من غير عرضها على البراهين العقلية والقواطع الشرعية</w:t>
      </w:r>
      <w:r w:rsidR="000636C2">
        <w:rPr>
          <w:rFonts w:hint="cs"/>
          <w:rtl/>
        </w:rPr>
        <w:t>]،</w:t>
      </w:r>
    </w:p>
    <w:p w14:paraId="257EC3F2" w14:textId="117F915C"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قال الله تعالى في كتابه العظيم</w:t>
      </w:r>
      <w:r w:rsidR="000636C2">
        <w:rPr>
          <w:rFonts w:hint="cs"/>
          <w:rtl/>
        </w:rPr>
        <w:t>:</w:t>
      </w:r>
      <w:r w:rsidRPr="005675B2">
        <w:rPr>
          <w:rFonts w:hint="cs"/>
          <w:rtl/>
        </w:rPr>
        <w:t xml:space="preserve"> </w:t>
      </w:r>
      <w:r w:rsidR="000636C2">
        <w:rPr>
          <w:rFonts w:hint="cs"/>
          <w:rtl/>
        </w:rPr>
        <w:t>[</w:t>
      </w:r>
      <w:r w:rsidRPr="005675B2">
        <w:rPr>
          <w:rFonts w:hint="cs"/>
          <w:rtl/>
        </w:rPr>
        <w:t>فَالْيَوْمَ نَنْسَاهُمْ كَمَا نَسُوا لِقَاءَ يَوْمِهِمْ هَذَا</w:t>
      </w:r>
      <w:r w:rsidR="000636C2">
        <w:rPr>
          <w:rFonts w:hint="cs"/>
          <w:rtl/>
        </w:rPr>
        <w:t>]</w:t>
      </w:r>
      <w:r w:rsidRPr="005675B2">
        <w:rPr>
          <w:rFonts w:hint="cs"/>
          <w:rtl/>
        </w:rPr>
        <w:t xml:space="preserve"> [</w:t>
      </w:r>
      <w:r w:rsidRPr="005675B2">
        <w:rPr>
          <w:rFonts w:hint="cs"/>
          <w:sz w:val="24"/>
          <w:szCs w:val="24"/>
          <w:rtl/>
        </w:rPr>
        <w:t>سورة الأعراف آية 51</w:t>
      </w:r>
      <w:r w:rsidR="000636C2">
        <w:rPr>
          <w:rFonts w:hint="cs"/>
          <w:sz w:val="24"/>
          <w:szCs w:val="24"/>
          <w:rtl/>
        </w:rPr>
        <w:t>]</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w:t>
      </w:r>
      <w:r w:rsidRPr="005675B2">
        <w:rPr>
          <w:rFonts w:hint="cs"/>
          <w:sz w:val="24"/>
          <w:szCs w:val="24"/>
          <w:rtl/>
        </w:rPr>
        <w:t>سورة التوبة آية 67</w:t>
      </w:r>
      <w:r w:rsidR="000636C2">
        <w:rPr>
          <w:rFonts w:hint="cs"/>
          <w:sz w:val="24"/>
          <w:szCs w:val="24"/>
          <w:rtl/>
        </w:rPr>
        <w:t>]</w:t>
      </w:r>
      <w:r w:rsidRPr="005675B2">
        <w:rPr>
          <w:rFonts w:hint="cs"/>
          <w:rtl/>
        </w:rPr>
        <w:t>، وقال تعالى</w:t>
      </w:r>
      <w:r w:rsidR="000636C2">
        <w:rPr>
          <w:rFonts w:hint="cs"/>
          <w:rtl/>
        </w:rPr>
        <w:t>:</w:t>
      </w:r>
      <w:r w:rsidRPr="005675B2">
        <w:rPr>
          <w:rFonts w:hint="cs"/>
          <w:rtl/>
        </w:rPr>
        <w:t xml:space="preserve"> </w:t>
      </w:r>
      <w:r w:rsidR="000636C2">
        <w:rPr>
          <w:rFonts w:hint="cs"/>
          <w:rtl/>
        </w:rPr>
        <w:t>[</w:t>
      </w:r>
      <w:r w:rsidRPr="005675B2">
        <w:rPr>
          <w:rFonts w:hint="cs"/>
          <w:rtl/>
        </w:rPr>
        <w:t>فَذُوقُوا بِمَا نَسِيتُمْ لِقَاءَ يَوْمِكُمْ هَذَا إِنَّا نَسـِينَاكُمْ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السجدة آية 14</w:t>
      </w:r>
      <w:r w:rsidR="000636C2">
        <w:rPr>
          <w:rFonts w:hint="cs"/>
          <w:sz w:val="24"/>
          <w:szCs w:val="24"/>
          <w:rtl/>
        </w:rPr>
        <w:t>]</w:t>
      </w:r>
      <w:r w:rsidR="000636C2">
        <w:rPr>
          <w:rFonts w:hint="cs"/>
          <w:rtl/>
        </w:rPr>
        <w:t>،</w:t>
      </w:r>
      <w:r w:rsidRPr="005675B2">
        <w:rPr>
          <w:rFonts w:hint="cs"/>
          <w:rtl/>
        </w:rPr>
        <w:t xml:space="preserve"> فهل من صفـات الله تعالى النسـيان</w:t>
      </w:r>
      <w:r w:rsidR="000636C2">
        <w:rPr>
          <w:rFonts w:hint="cs"/>
          <w:rtl/>
        </w:rPr>
        <w:t>؟!</w:t>
      </w:r>
      <w:r w:rsidRPr="005675B2">
        <w:rPr>
          <w:rFonts w:hint="cs"/>
          <w:rtl/>
        </w:rPr>
        <w:t xml:space="preserve"> تعـالى اللهُ عن ذلك علواً كبيـراً</w:t>
      </w:r>
      <w:r w:rsidR="000636C2">
        <w:rPr>
          <w:rFonts w:hint="cs"/>
          <w:rtl/>
        </w:rPr>
        <w:t xml:space="preserve">، </w:t>
      </w:r>
      <w:r w:rsidRPr="005675B2">
        <w:rPr>
          <w:rFonts w:hint="cs"/>
          <w:rtl/>
        </w:rPr>
        <w:t>أو ليست هذه النصوص مصروفة عن ظواهرها</w:t>
      </w:r>
      <w:r w:rsidR="000636C2">
        <w:rPr>
          <w:rFonts w:hint="cs"/>
          <w:rtl/>
        </w:rPr>
        <w:t>؟!</w:t>
      </w:r>
      <w:r w:rsidRPr="005675B2">
        <w:rPr>
          <w:rFonts w:hint="cs"/>
          <w:rtl/>
        </w:rPr>
        <w:t xml:space="preserve"> أو ليست واجبة التأويل</w:t>
      </w:r>
      <w:r w:rsidR="000636C2">
        <w:rPr>
          <w:rFonts w:hint="cs"/>
          <w:rtl/>
        </w:rPr>
        <w:t>؟!</w:t>
      </w:r>
      <w:r w:rsidRPr="005675B2">
        <w:rPr>
          <w:rFonts w:hint="cs"/>
          <w:rtl/>
        </w:rPr>
        <w:t xml:space="preserve"> أو ليس الذي يصف ربه تعالى بالنسيان يكون كافراً</w:t>
      </w:r>
      <w:r w:rsidR="000636C2">
        <w:rPr>
          <w:rFonts w:hint="cs"/>
          <w:rtl/>
        </w:rPr>
        <w:t xml:space="preserve">؟، </w:t>
      </w:r>
      <w:r w:rsidRPr="005675B2">
        <w:rPr>
          <w:rFonts w:hint="cs"/>
          <w:rtl/>
        </w:rPr>
        <w:t>هذا ونحوه هو ما يعنيه الأشاعرة من وقوع ظواهر من اعتقدها على ظاهرها فقد كفر</w:t>
      </w:r>
      <w:r w:rsidR="000636C2">
        <w:rPr>
          <w:rFonts w:hint="cs"/>
          <w:rtl/>
        </w:rPr>
        <w:t xml:space="preserve">، </w:t>
      </w:r>
      <w:r w:rsidRPr="005675B2">
        <w:rPr>
          <w:rFonts w:hint="cs"/>
          <w:rtl/>
        </w:rPr>
        <w:t>2</w:t>
      </w:r>
      <w:r w:rsidR="000636C2">
        <w:rPr>
          <w:rFonts w:hint="cs"/>
          <w:rtl/>
        </w:rPr>
        <w:t xml:space="preserve"> </w:t>
      </w:r>
      <w:r w:rsidRPr="005675B2">
        <w:rPr>
          <w:rFonts w:hint="cs"/>
          <w:rtl/>
        </w:rPr>
        <w:t>- وقال الله تبارك وتعالى</w:t>
      </w:r>
      <w:r w:rsidR="000636C2">
        <w:rPr>
          <w:rFonts w:hint="cs"/>
          <w:rtl/>
        </w:rPr>
        <w:t>:</w:t>
      </w:r>
      <w:r w:rsidRPr="005675B2">
        <w:rPr>
          <w:rFonts w:hint="cs"/>
          <w:rtl/>
        </w:rPr>
        <w:t xml:space="preserve"> </w:t>
      </w:r>
      <w:r w:rsidR="000636C2">
        <w:rPr>
          <w:rFonts w:hint="cs"/>
          <w:rtl/>
        </w:rPr>
        <w:t>[</w:t>
      </w:r>
      <w:r w:rsidRPr="005675B2">
        <w:rPr>
          <w:rFonts w:hint="cs"/>
          <w:rtl/>
        </w:rPr>
        <w:t>وَيَتَجَنَّبُهَا الْأَشْقَى * الَّذِي يَصْلَى النَّارَ الْكُبْرَى * ثُمَّ لا يَمُوتُ فِيهَا وَلا يَحْيَى</w:t>
      </w:r>
      <w:r w:rsidR="000636C2">
        <w:rPr>
          <w:rFonts w:hint="cs"/>
          <w:rtl/>
        </w:rPr>
        <w:t>]</w:t>
      </w:r>
      <w:r w:rsidRPr="005675B2">
        <w:rPr>
          <w:rFonts w:hint="cs"/>
          <w:rtl/>
        </w:rPr>
        <w:t xml:space="preserve"> [</w:t>
      </w:r>
      <w:r w:rsidRPr="005675B2">
        <w:rPr>
          <w:rFonts w:hint="cs"/>
          <w:sz w:val="24"/>
          <w:szCs w:val="24"/>
          <w:rtl/>
        </w:rPr>
        <w:t>سورة الأعلى الآيات 11 ـ 13</w:t>
      </w:r>
      <w:r w:rsidR="000636C2">
        <w:rPr>
          <w:rFonts w:hint="cs"/>
          <w:sz w:val="24"/>
          <w:szCs w:val="24"/>
          <w:rtl/>
        </w:rPr>
        <w:t>]</w:t>
      </w:r>
      <w:r w:rsidR="000636C2">
        <w:rPr>
          <w:rFonts w:hint="cs"/>
          <w:rtl/>
        </w:rPr>
        <w:t>،</w:t>
      </w:r>
      <w:r w:rsidRPr="005675B2">
        <w:rPr>
          <w:rFonts w:hint="cs"/>
          <w:rtl/>
        </w:rPr>
        <w:t xml:space="preserve"> وقال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أما أهل النار الذين هم أهلها فإنهم لا يموتون فيها ولا يحيون</w:t>
      </w:r>
      <w:r w:rsidR="000636C2">
        <w:rPr>
          <w:rFonts w:hint="cs"/>
          <w:rtl/>
        </w:rPr>
        <w:t>]،</w:t>
      </w:r>
      <w:r w:rsidRPr="005675B2">
        <w:rPr>
          <w:rFonts w:hint="cs"/>
          <w:rtl/>
        </w:rPr>
        <w:t xml:space="preserve"> فهل يصح نفي صفة الموت وصفة الحياة بإطلاق عن الكافر في جهنم</w:t>
      </w:r>
      <w:r w:rsidR="000636C2">
        <w:rPr>
          <w:rFonts w:hint="cs"/>
          <w:rtl/>
        </w:rPr>
        <w:t>؟</w:t>
      </w:r>
      <w:r w:rsidRPr="005675B2">
        <w:rPr>
          <w:rFonts w:hint="cs"/>
          <w:rtl/>
        </w:rPr>
        <w:t xml:space="preserve"> وهل يصح أن يقال عنه إنه ليس بميت ولا حي</w:t>
      </w:r>
      <w:r w:rsidR="000636C2">
        <w:rPr>
          <w:rFonts w:hint="cs"/>
          <w:rtl/>
        </w:rPr>
        <w:t>؟</w:t>
      </w:r>
      <w:r w:rsidRPr="005675B2">
        <w:rPr>
          <w:rFonts w:hint="cs"/>
          <w:rtl/>
        </w:rPr>
        <w:t xml:space="preserve"> وهل تفهم هذه الآية حسب ظواهر ألفاظها</w:t>
      </w:r>
      <w:r w:rsidR="000636C2">
        <w:rPr>
          <w:rFonts w:hint="cs"/>
          <w:rtl/>
        </w:rPr>
        <w:t>؟</w:t>
      </w:r>
      <w:r w:rsidRPr="005675B2">
        <w:rPr>
          <w:rFonts w:hint="cs"/>
          <w:rtl/>
        </w:rPr>
        <w:t xml:space="preserve"> أم إنك ستفسرها بتقييد الحياة المنفية هنا مستعيناً بالسياق</w:t>
      </w:r>
      <w:r w:rsidR="000636C2">
        <w:rPr>
          <w:rFonts w:hint="cs"/>
          <w:rtl/>
        </w:rPr>
        <w:t>؟</w:t>
      </w:r>
      <w:r w:rsidRPr="005675B2">
        <w:rPr>
          <w:rFonts w:hint="cs"/>
          <w:rtl/>
        </w:rPr>
        <w:t xml:space="preserve"> واستمع إلى الحافظ ابن كثير رحمه الله يفسر الآية الكريمة فيقول</w:t>
      </w:r>
      <w:r w:rsidR="000636C2">
        <w:rPr>
          <w:rFonts w:hint="cs"/>
          <w:rtl/>
        </w:rPr>
        <w:t>:</w:t>
      </w:r>
      <w:r w:rsidRPr="005675B2">
        <w:rPr>
          <w:rFonts w:hint="cs"/>
          <w:rtl/>
        </w:rPr>
        <w:t xml:space="preserve"> </w:t>
      </w:r>
      <w:r w:rsidR="000636C2">
        <w:rPr>
          <w:rFonts w:hint="cs"/>
          <w:rtl/>
        </w:rPr>
        <w:t>[</w:t>
      </w:r>
      <w:r w:rsidRPr="005675B2">
        <w:rPr>
          <w:rFonts w:hint="cs"/>
          <w:rtl/>
        </w:rPr>
        <w:t>أي لا يموت فيستريح ولا يحيا حياة تنفعه</w:t>
      </w:r>
      <w:r w:rsidR="000636C2">
        <w:rPr>
          <w:rFonts w:hint="cs"/>
          <w:rtl/>
        </w:rPr>
        <w:t xml:space="preserve">]، </w:t>
      </w:r>
      <w:r w:rsidRPr="005675B2">
        <w:rPr>
          <w:rFonts w:hint="cs"/>
          <w:rtl/>
        </w:rPr>
        <w:t>3</w:t>
      </w:r>
      <w:r w:rsidR="000636C2">
        <w:rPr>
          <w:rFonts w:hint="cs"/>
          <w:rtl/>
        </w:rPr>
        <w:t xml:space="preserve"> </w:t>
      </w:r>
      <w:r w:rsidRPr="005675B2">
        <w:rPr>
          <w:rFonts w:hint="cs"/>
          <w:rtl/>
        </w:rPr>
        <w:t xml:space="preserve">- وقال الله تبارك وتعالى </w:t>
      </w:r>
      <w:r w:rsidR="000636C2">
        <w:rPr>
          <w:rFonts w:hint="cs"/>
          <w:rtl/>
        </w:rPr>
        <w:t>[</w:t>
      </w:r>
      <w:r w:rsidRPr="005675B2">
        <w:rPr>
          <w:rFonts w:hint="cs"/>
          <w:rtl/>
        </w:rPr>
        <w:t>سَنَفْرُغُ لَكُمْ أَيُّهَا الثَّقَلانِ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الرحمن آية 31</w:t>
      </w:r>
      <w:r w:rsidR="000636C2">
        <w:rPr>
          <w:rFonts w:hint="cs"/>
          <w:sz w:val="24"/>
          <w:szCs w:val="24"/>
          <w:rtl/>
        </w:rPr>
        <w:t>]</w:t>
      </w:r>
      <w:r w:rsidR="000636C2">
        <w:rPr>
          <w:rFonts w:hint="cs"/>
          <w:rtl/>
        </w:rPr>
        <w:t>،</w:t>
      </w:r>
      <w:r w:rsidRPr="005675B2">
        <w:rPr>
          <w:rFonts w:hint="cs"/>
          <w:rtl/>
        </w:rPr>
        <w:t xml:space="preserve"> فهل يصح فهم الآية على أَنَّ الله جل وعلا يكون مشغولاً قبل ذلك ثم يتفرغ لحساب الثقلين</w:t>
      </w:r>
      <w:r w:rsidR="000636C2">
        <w:rPr>
          <w:rFonts w:hint="cs"/>
          <w:rtl/>
        </w:rPr>
        <w:t>،</w:t>
      </w:r>
      <w:r w:rsidRPr="005675B2">
        <w:rPr>
          <w:rFonts w:hint="cs"/>
          <w:rtl/>
        </w:rPr>
        <w:t xml:space="preserve"> أم إنك ستفسرها بأنها وعيدٌ</w:t>
      </w:r>
      <w:r w:rsidR="000636C2">
        <w:rPr>
          <w:rFonts w:hint="cs"/>
          <w:rtl/>
        </w:rPr>
        <w:t xml:space="preserve"> </w:t>
      </w:r>
      <w:r w:rsidRPr="005675B2">
        <w:rPr>
          <w:rFonts w:hint="cs"/>
          <w:rtl/>
        </w:rPr>
        <w:t>بمحاسبتهم وأنه لا يشغله شيء عن شيء</w:t>
      </w:r>
      <w:r w:rsidR="000636C2">
        <w:rPr>
          <w:rFonts w:hint="cs"/>
          <w:rtl/>
        </w:rPr>
        <w:t>؟</w:t>
      </w:r>
      <w:r w:rsidRPr="005675B2">
        <w:rPr>
          <w:rFonts w:hint="cs"/>
          <w:rtl/>
        </w:rPr>
        <w:t xml:space="preserve"> واستمع إلى الحافظ ابن كثير رحمه الله يقول في معرض تفسيره للآية الكريمة</w:t>
      </w:r>
      <w:r w:rsidR="000636C2">
        <w:rPr>
          <w:rFonts w:hint="cs"/>
          <w:rtl/>
        </w:rPr>
        <w:t>:</w:t>
      </w:r>
      <w:r w:rsidRPr="005675B2">
        <w:rPr>
          <w:rFonts w:hint="cs"/>
          <w:rtl/>
        </w:rPr>
        <w:t xml:space="preserve"> </w:t>
      </w:r>
      <w:r w:rsidR="000636C2">
        <w:rPr>
          <w:rFonts w:hint="cs"/>
          <w:rtl/>
        </w:rPr>
        <w:t>[</w:t>
      </w:r>
      <w:r w:rsidRPr="005675B2">
        <w:rPr>
          <w:rFonts w:hint="cs"/>
          <w:rtl/>
        </w:rPr>
        <w:t>وهو معروف في كلام العرب</w:t>
      </w:r>
      <w:r w:rsidR="000636C2">
        <w:rPr>
          <w:rFonts w:hint="cs"/>
          <w:rtl/>
        </w:rPr>
        <w:t>،</w:t>
      </w:r>
      <w:r w:rsidRPr="005675B2">
        <w:rPr>
          <w:rFonts w:hint="cs"/>
          <w:rtl/>
        </w:rPr>
        <w:t xml:space="preserve"> يقال لأتفرغن لك</w:t>
      </w:r>
      <w:r w:rsidR="000636C2">
        <w:rPr>
          <w:rFonts w:hint="cs"/>
          <w:rtl/>
        </w:rPr>
        <w:t>،</w:t>
      </w:r>
      <w:r w:rsidRPr="005675B2">
        <w:rPr>
          <w:rFonts w:hint="cs"/>
          <w:rtl/>
        </w:rPr>
        <w:t xml:space="preserve"> وما به شغل</w:t>
      </w:r>
      <w:r w:rsidR="000636C2">
        <w:rPr>
          <w:rFonts w:hint="cs"/>
          <w:rtl/>
        </w:rPr>
        <w:t>،</w:t>
      </w:r>
      <w:r w:rsidRPr="005675B2">
        <w:rPr>
          <w:rFonts w:hint="cs"/>
          <w:rtl/>
        </w:rPr>
        <w:t xml:space="preserve"> يقول لآخذنك على غرتك</w:t>
      </w:r>
      <w:r w:rsidR="000636C2">
        <w:rPr>
          <w:rFonts w:hint="cs"/>
          <w:rtl/>
        </w:rPr>
        <w:t xml:space="preserve">]، </w:t>
      </w:r>
      <w:r w:rsidRPr="005675B2">
        <w:rPr>
          <w:rFonts w:hint="cs"/>
          <w:rtl/>
        </w:rPr>
        <w:t>4</w:t>
      </w:r>
      <w:r w:rsidR="000636C2">
        <w:rPr>
          <w:rFonts w:hint="cs"/>
          <w:rtl/>
        </w:rPr>
        <w:t xml:space="preserve"> </w:t>
      </w:r>
      <w:r w:rsidRPr="005675B2">
        <w:rPr>
          <w:rFonts w:hint="cs"/>
          <w:rtl/>
        </w:rPr>
        <w:t>- روى الإمام مسلم في صحيحه عن أبي هريرة رضي الله عنه أن رسول الله صلى الله عليه وسلم قال</w:t>
      </w:r>
      <w:r w:rsidR="000636C2">
        <w:rPr>
          <w:rFonts w:hint="cs"/>
          <w:rtl/>
        </w:rPr>
        <w:t>:</w:t>
      </w:r>
      <w:r w:rsidRPr="005675B2">
        <w:rPr>
          <w:rFonts w:hint="cs"/>
          <w:rtl/>
        </w:rPr>
        <w:t xml:space="preserve"> </w:t>
      </w:r>
      <w:r w:rsidR="000636C2">
        <w:rPr>
          <w:rFonts w:hint="cs"/>
          <w:rtl/>
        </w:rPr>
        <w:t>[</w:t>
      </w:r>
      <w:r w:rsidRPr="005675B2">
        <w:rPr>
          <w:rFonts w:hint="cs"/>
          <w:rtl/>
        </w:rPr>
        <w:t>إن الله عز وجل يقول يوم القيامة</w:t>
      </w:r>
      <w:r w:rsidR="000636C2">
        <w:rPr>
          <w:rFonts w:hint="cs"/>
          <w:rtl/>
        </w:rPr>
        <w:t>:</w:t>
      </w:r>
      <w:r w:rsidRPr="005675B2">
        <w:rPr>
          <w:rFonts w:hint="cs"/>
          <w:rtl/>
        </w:rPr>
        <w:t xml:space="preserve"> يا ابن آدم</w:t>
      </w:r>
      <w:r w:rsidR="000636C2">
        <w:rPr>
          <w:rFonts w:hint="cs"/>
          <w:rtl/>
        </w:rPr>
        <w:t>،</w:t>
      </w:r>
      <w:r w:rsidRPr="005675B2">
        <w:rPr>
          <w:rFonts w:hint="cs"/>
          <w:rtl/>
        </w:rPr>
        <w:t xml:space="preserve"> مرضت فلم تعدني</w:t>
      </w:r>
      <w:r w:rsidR="000636C2">
        <w:rPr>
          <w:rFonts w:hint="cs"/>
          <w:rtl/>
        </w:rPr>
        <w:t>؟،</w:t>
      </w:r>
      <w:r w:rsidRPr="005675B2">
        <w:rPr>
          <w:rFonts w:hint="cs"/>
          <w:rtl/>
        </w:rPr>
        <w:t xml:space="preserve"> قال</w:t>
      </w:r>
      <w:r w:rsidR="000636C2">
        <w:rPr>
          <w:rFonts w:hint="cs"/>
          <w:rtl/>
        </w:rPr>
        <w:t>:</w:t>
      </w:r>
      <w:r w:rsidRPr="005675B2">
        <w:rPr>
          <w:rFonts w:hint="cs"/>
          <w:rtl/>
        </w:rPr>
        <w:t xml:space="preserve"> يا رب</w:t>
      </w:r>
      <w:r w:rsidR="000636C2">
        <w:rPr>
          <w:rFonts w:hint="cs"/>
          <w:rtl/>
        </w:rPr>
        <w:t>،</w:t>
      </w:r>
      <w:r w:rsidRPr="005675B2">
        <w:rPr>
          <w:rFonts w:hint="cs"/>
          <w:rtl/>
        </w:rPr>
        <w:t xml:space="preserve"> كيف أعودك وأنت رب العالمين</w:t>
      </w:r>
      <w:r w:rsidR="000636C2">
        <w:rPr>
          <w:rFonts w:hint="cs"/>
          <w:rtl/>
        </w:rPr>
        <w:t>؟،</w:t>
      </w:r>
      <w:r w:rsidRPr="005675B2">
        <w:rPr>
          <w:rFonts w:hint="cs"/>
          <w:rtl/>
        </w:rPr>
        <w:t xml:space="preserve"> قال</w:t>
      </w:r>
      <w:r w:rsidR="000636C2">
        <w:rPr>
          <w:rFonts w:hint="cs"/>
          <w:rtl/>
        </w:rPr>
        <w:t>:</w:t>
      </w:r>
      <w:r w:rsidRPr="005675B2">
        <w:rPr>
          <w:rFonts w:hint="cs"/>
          <w:rtl/>
        </w:rPr>
        <w:t xml:space="preserve"> أما علمت أن عبدي فلاناً مرض فلم تعده</w:t>
      </w:r>
      <w:r w:rsidR="000636C2">
        <w:rPr>
          <w:rFonts w:hint="cs"/>
          <w:rtl/>
        </w:rPr>
        <w:t>؟!</w:t>
      </w:r>
      <w:r w:rsidRPr="005675B2">
        <w:rPr>
          <w:rFonts w:hint="cs"/>
          <w:rtl/>
        </w:rPr>
        <w:t xml:space="preserve"> أما علمت أنك لو عدته لوجدتني عنده</w:t>
      </w:r>
      <w:r w:rsidR="000636C2">
        <w:rPr>
          <w:rFonts w:hint="cs"/>
          <w:rtl/>
        </w:rPr>
        <w:t>؟!</w:t>
      </w:r>
      <w:r w:rsidRPr="005675B2">
        <w:rPr>
          <w:rFonts w:hint="cs"/>
          <w:rtl/>
        </w:rPr>
        <w:t xml:space="preserve"> ..</w:t>
      </w:r>
      <w:r w:rsidR="000636C2">
        <w:rPr>
          <w:rFonts w:hint="cs"/>
          <w:rtl/>
        </w:rPr>
        <w:t>]</w:t>
      </w:r>
      <w:r w:rsidRPr="005675B2">
        <w:rPr>
          <w:rFonts w:hint="cs"/>
          <w:rtl/>
        </w:rPr>
        <w:t xml:space="preserve"> [</w:t>
      </w:r>
      <w:r w:rsidRPr="005675B2">
        <w:rPr>
          <w:rFonts w:hint="cs"/>
          <w:sz w:val="24"/>
          <w:szCs w:val="24"/>
          <w:rtl/>
        </w:rPr>
        <w:t>صحيح مسلم: كتاب البر</w:t>
      </w:r>
      <w:r w:rsidR="000636C2">
        <w:rPr>
          <w:rFonts w:hint="cs"/>
          <w:sz w:val="24"/>
          <w:szCs w:val="24"/>
          <w:rtl/>
        </w:rPr>
        <w:t>،</w:t>
      </w:r>
      <w:r w:rsidRPr="005675B2">
        <w:rPr>
          <w:rFonts w:hint="cs"/>
          <w:sz w:val="24"/>
          <w:szCs w:val="24"/>
          <w:rtl/>
        </w:rPr>
        <w:t xml:space="preserve"> باب فضل عيادة المريض</w:t>
      </w:r>
      <w:r w:rsidR="000636C2">
        <w:rPr>
          <w:rFonts w:hint="cs"/>
          <w:sz w:val="24"/>
          <w:szCs w:val="24"/>
          <w:rtl/>
        </w:rPr>
        <w:t>]</w:t>
      </w:r>
      <w:r w:rsidR="000636C2">
        <w:rPr>
          <w:rFonts w:hint="cs"/>
          <w:rtl/>
        </w:rPr>
        <w:t>،</w:t>
      </w:r>
      <w:r w:rsidRPr="005675B2">
        <w:rPr>
          <w:rFonts w:hint="cs"/>
          <w:rtl/>
        </w:rPr>
        <w:t xml:space="preserve"> فهل من صفات الله تعالى المرض</w:t>
      </w:r>
      <w:r w:rsidR="000636C2">
        <w:rPr>
          <w:rFonts w:hint="cs"/>
          <w:rtl/>
        </w:rPr>
        <w:t>؟!</w:t>
      </w:r>
      <w:r w:rsidRPr="005675B2">
        <w:rPr>
          <w:rFonts w:hint="cs"/>
          <w:rtl/>
        </w:rPr>
        <w:t xml:space="preserve"> وهل يمرض مرضاً يليق به</w:t>
      </w:r>
      <w:r w:rsidR="000636C2">
        <w:rPr>
          <w:rFonts w:hint="cs"/>
          <w:rtl/>
        </w:rPr>
        <w:t>؟!</w:t>
      </w:r>
      <w:r w:rsidRPr="005675B2">
        <w:rPr>
          <w:rFonts w:hint="cs"/>
          <w:rtl/>
        </w:rPr>
        <w:t xml:space="preserve"> تعالى الله عن ذلك علواً كبيراً</w:t>
      </w:r>
      <w:r w:rsidR="000636C2">
        <w:rPr>
          <w:rFonts w:hint="cs"/>
          <w:rtl/>
        </w:rPr>
        <w:t xml:space="preserve">، </w:t>
      </w:r>
      <w:r w:rsidRPr="005675B2">
        <w:rPr>
          <w:rFonts w:hint="cs"/>
          <w:rtl/>
        </w:rPr>
        <w:t>فهذا النص</w:t>
      </w:r>
      <w:r w:rsidR="000636C2">
        <w:rPr>
          <w:rFonts w:hint="cs"/>
          <w:rtl/>
        </w:rPr>
        <w:t xml:space="preserve"> </w:t>
      </w:r>
      <w:r w:rsidRPr="005675B2">
        <w:rPr>
          <w:rFonts w:hint="cs"/>
          <w:rtl/>
        </w:rPr>
        <w:t>- عند الأشاعرة</w:t>
      </w:r>
      <w:r w:rsidR="000636C2">
        <w:rPr>
          <w:rFonts w:hint="cs"/>
          <w:rtl/>
        </w:rPr>
        <w:t xml:space="preserve"> </w:t>
      </w:r>
      <w:r w:rsidRPr="005675B2">
        <w:rPr>
          <w:rFonts w:hint="cs"/>
          <w:rtl/>
        </w:rPr>
        <w:t>- مصروف عن ظاهره المفهوم من الألفاظ</w:t>
      </w:r>
      <w:r w:rsidR="000636C2">
        <w:rPr>
          <w:rFonts w:hint="cs"/>
          <w:rtl/>
        </w:rPr>
        <w:t>،</w:t>
      </w:r>
      <w:r w:rsidRPr="005675B2">
        <w:rPr>
          <w:rFonts w:hint="cs"/>
          <w:rtl/>
        </w:rPr>
        <w:t xml:space="preserve"> ويجب فهمه في ضوء سياقه وتتمته</w:t>
      </w:r>
      <w:r w:rsidR="000636C2">
        <w:rPr>
          <w:rFonts w:hint="cs"/>
          <w:rtl/>
        </w:rPr>
        <w:t>،</w:t>
      </w:r>
      <w:r w:rsidRPr="005675B2">
        <w:rPr>
          <w:rFonts w:hint="cs"/>
          <w:rtl/>
        </w:rPr>
        <w:t xml:space="preserve"> وهي قوله تعالى في الحديث القدسي </w:t>
      </w:r>
      <w:r w:rsidR="000636C2">
        <w:rPr>
          <w:rFonts w:hint="cs"/>
          <w:rtl/>
        </w:rPr>
        <w:t>[</w:t>
      </w:r>
      <w:r w:rsidRPr="005675B2">
        <w:rPr>
          <w:rFonts w:hint="cs"/>
          <w:rtl/>
        </w:rPr>
        <w:t>أما علمت أن عبدي فلاناً مرض فلم تعده</w:t>
      </w:r>
      <w:r w:rsidR="000636C2">
        <w:rPr>
          <w:rFonts w:hint="cs"/>
          <w:rtl/>
        </w:rPr>
        <w:t>؟!</w:t>
      </w:r>
      <w:r w:rsidRPr="005675B2">
        <w:rPr>
          <w:rFonts w:hint="cs"/>
          <w:rtl/>
        </w:rPr>
        <w:t xml:space="preserve"> أما علمت أنك لو عدته لوجدتني عنده</w:t>
      </w:r>
      <w:r w:rsidR="000636C2">
        <w:rPr>
          <w:rFonts w:hint="cs"/>
          <w:rtl/>
        </w:rPr>
        <w:t xml:space="preserve">]، </w:t>
      </w:r>
      <w:r w:rsidRPr="005675B2">
        <w:rPr>
          <w:rFonts w:hint="cs"/>
          <w:rtl/>
        </w:rPr>
        <w:t>ومن الغريب تعليق ابن تيمية رحمه الله على هذا الحديث إذ يقول</w:t>
      </w:r>
      <w:r w:rsidR="000636C2">
        <w:rPr>
          <w:rFonts w:hint="cs"/>
          <w:rtl/>
        </w:rPr>
        <w:t>:</w:t>
      </w:r>
      <w:r w:rsidRPr="005675B2">
        <w:rPr>
          <w:rFonts w:hint="cs"/>
          <w:rtl/>
        </w:rPr>
        <w:t xml:space="preserve"> </w:t>
      </w:r>
      <w:r w:rsidR="000636C2">
        <w:rPr>
          <w:rFonts w:hint="cs"/>
          <w:rtl/>
        </w:rPr>
        <w:t>[</w:t>
      </w:r>
      <w:r w:rsidRPr="005675B2">
        <w:rPr>
          <w:rFonts w:hint="cs"/>
          <w:rtl/>
        </w:rPr>
        <w:t>وهذا صريح في أن الله سبحانه لم يمرض ولم يَجُع</w:t>
      </w:r>
      <w:r w:rsidR="000636C2">
        <w:rPr>
          <w:rFonts w:hint="cs"/>
          <w:rtl/>
        </w:rPr>
        <w:t>،</w:t>
      </w:r>
      <w:r w:rsidRPr="005675B2">
        <w:rPr>
          <w:rFonts w:hint="cs"/>
          <w:rtl/>
        </w:rPr>
        <w:t xml:space="preserve"> ولكن مرض عبده وجاع عبده</w:t>
      </w:r>
      <w:r w:rsidR="000636C2">
        <w:rPr>
          <w:rFonts w:hint="cs"/>
          <w:rtl/>
        </w:rPr>
        <w:t>،</w:t>
      </w:r>
      <w:r w:rsidRPr="005675B2">
        <w:rPr>
          <w:rFonts w:hint="cs"/>
          <w:rtl/>
        </w:rPr>
        <w:t xml:space="preserve"> فجعل جوعَه جوعَه ومرضَه مرضَه</w:t>
      </w:r>
      <w:r w:rsidR="000636C2">
        <w:rPr>
          <w:rFonts w:hint="cs"/>
          <w:rtl/>
        </w:rPr>
        <w:t>،</w:t>
      </w:r>
      <w:r w:rsidRPr="005675B2">
        <w:rPr>
          <w:rFonts w:hint="cs"/>
          <w:rtl/>
        </w:rPr>
        <w:t xml:space="preserve"> مفسراً ذلك بأنك لو أطعمته لوجدت ذلك عندي</w:t>
      </w:r>
      <w:r w:rsidR="000636C2">
        <w:rPr>
          <w:rFonts w:hint="cs"/>
          <w:rtl/>
        </w:rPr>
        <w:t>،</w:t>
      </w:r>
      <w:r w:rsidRPr="005675B2">
        <w:rPr>
          <w:rFonts w:hint="cs"/>
          <w:rtl/>
        </w:rPr>
        <w:t xml:space="preserve"> ولو عدته لوجدتني عنده</w:t>
      </w:r>
      <w:r w:rsidR="000636C2">
        <w:rPr>
          <w:rFonts w:hint="cs"/>
          <w:rtl/>
        </w:rPr>
        <w:t>،</w:t>
      </w:r>
      <w:r w:rsidRPr="005675B2">
        <w:rPr>
          <w:rFonts w:hint="cs"/>
          <w:rtl/>
        </w:rPr>
        <w:t xml:space="preserve"> فلم يبق في الحديث لفظ يحتاج إلى تأويل</w:t>
      </w:r>
      <w:r w:rsidR="000636C2">
        <w:rPr>
          <w:rFonts w:hint="cs"/>
          <w:rtl/>
        </w:rPr>
        <w:t>]</w:t>
      </w:r>
      <w:r w:rsidRPr="005675B2">
        <w:rPr>
          <w:rFonts w:hint="cs"/>
          <w:rtl/>
        </w:rPr>
        <w:t xml:space="preserve"> [</w:t>
      </w:r>
      <w:r w:rsidRPr="005675B2">
        <w:rPr>
          <w:rFonts w:hint="cs"/>
          <w:sz w:val="24"/>
          <w:szCs w:val="24"/>
          <w:rtl/>
        </w:rPr>
        <w:t>الرسالة التدمرية: ص 48</w:t>
      </w:r>
      <w:r w:rsidR="000636C2">
        <w:rPr>
          <w:rFonts w:hint="cs"/>
          <w:sz w:val="24"/>
          <w:szCs w:val="24"/>
          <w:rtl/>
        </w:rPr>
        <w:t>]</w:t>
      </w:r>
      <w:r w:rsidR="000636C2">
        <w:rPr>
          <w:rFonts w:hint="cs"/>
          <w:rtl/>
        </w:rPr>
        <w:t>،</w:t>
      </w:r>
      <w:r w:rsidRPr="005675B2">
        <w:rPr>
          <w:rFonts w:hint="cs"/>
          <w:rtl/>
        </w:rPr>
        <w:t xml:space="preserve"> فقد نفى ابن تيمية رحمه الله المرض عن الله تبارك وتعالى</w:t>
      </w:r>
      <w:r w:rsidR="000636C2">
        <w:rPr>
          <w:rFonts w:hint="cs"/>
          <w:rtl/>
        </w:rPr>
        <w:t>،</w:t>
      </w:r>
      <w:r w:rsidRPr="005675B2">
        <w:rPr>
          <w:rFonts w:hint="cs"/>
          <w:rtl/>
        </w:rPr>
        <w:t xml:space="preserve"> وفسر الحديث على الوجه الصحيح الذي جاء في الحديث نفسه</w:t>
      </w:r>
      <w:r w:rsidR="000636C2">
        <w:rPr>
          <w:rFonts w:hint="cs"/>
          <w:rtl/>
        </w:rPr>
        <w:t>،</w:t>
      </w:r>
      <w:r w:rsidRPr="005675B2">
        <w:rPr>
          <w:rFonts w:hint="cs"/>
          <w:rtl/>
        </w:rPr>
        <w:t xml:space="preserve"> لكنه سمى ذلك تفسيراً</w:t>
      </w:r>
      <w:r w:rsidR="000636C2">
        <w:rPr>
          <w:rFonts w:hint="cs"/>
          <w:rtl/>
        </w:rPr>
        <w:t>،</w:t>
      </w:r>
      <w:r w:rsidRPr="005675B2">
        <w:rPr>
          <w:rFonts w:hint="cs"/>
          <w:rtl/>
        </w:rPr>
        <w:t xml:space="preserve"> وأبى من تسميته تأويلاً</w:t>
      </w:r>
      <w:r w:rsidR="000636C2">
        <w:rPr>
          <w:rFonts w:hint="cs"/>
          <w:rtl/>
        </w:rPr>
        <w:t>،</w:t>
      </w:r>
      <w:r w:rsidRPr="005675B2">
        <w:rPr>
          <w:rFonts w:hint="cs"/>
          <w:rtl/>
        </w:rPr>
        <w:t xml:space="preserve"> وكأن نقطة الخلاف هي في التسمية</w:t>
      </w:r>
      <w:r w:rsidR="000636C2">
        <w:rPr>
          <w:rFonts w:hint="cs"/>
          <w:rtl/>
        </w:rPr>
        <w:t>!</w:t>
      </w:r>
      <w:r w:rsidRPr="005675B2">
        <w:rPr>
          <w:rFonts w:hint="cs"/>
          <w:rtl/>
        </w:rPr>
        <w:t xml:space="preserve"> ويقول لك الأشاعرة</w:t>
      </w:r>
      <w:r w:rsidR="000636C2">
        <w:rPr>
          <w:rFonts w:hint="cs"/>
          <w:rtl/>
        </w:rPr>
        <w:t>:</w:t>
      </w:r>
      <w:r w:rsidRPr="005675B2">
        <w:rPr>
          <w:rFonts w:hint="cs"/>
          <w:rtl/>
        </w:rPr>
        <w:t xml:space="preserve"> سمِّه ما شئت</w:t>
      </w:r>
      <w:r w:rsidR="000636C2">
        <w:rPr>
          <w:rFonts w:hint="cs"/>
          <w:rtl/>
        </w:rPr>
        <w:t>،</w:t>
      </w:r>
      <w:r w:rsidRPr="005675B2">
        <w:rPr>
          <w:rFonts w:hint="cs"/>
          <w:rtl/>
        </w:rPr>
        <w:t xml:space="preserve"> ولكن تفسيرك لكلمة </w:t>
      </w:r>
      <w:r w:rsidR="000636C2">
        <w:rPr>
          <w:rFonts w:hint="cs"/>
          <w:rtl/>
        </w:rPr>
        <w:t>[</w:t>
      </w:r>
      <w:r w:rsidRPr="005675B2">
        <w:rPr>
          <w:rFonts w:hint="cs"/>
          <w:rtl/>
        </w:rPr>
        <w:t>مرضتُ</w:t>
      </w:r>
      <w:r w:rsidR="000636C2">
        <w:rPr>
          <w:rFonts w:hint="cs"/>
          <w:rtl/>
        </w:rPr>
        <w:t>]</w:t>
      </w:r>
      <w:r w:rsidRPr="005675B2">
        <w:rPr>
          <w:rFonts w:hint="cs"/>
          <w:rtl/>
        </w:rPr>
        <w:t xml:space="preserve"> بقولك </w:t>
      </w:r>
      <w:r w:rsidR="000636C2">
        <w:rPr>
          <w:rFonts w:hint="cs"/>
          <w:rtl/>
        </w:rPr>
        <w:t>[</w:t>
      </w:r>
      <w:r w:rsidRPr="005675B2">
        <w:rPr>
          <w:rFonts w:hint="cs"/>
          <w:rtl/>
        </w:rPr>
        <w:t>لم يمرض ولكن مرض عبده</w:t>
      </w:r>
      <w:r w:rsidR="000636C2">
        <w:rPr>
          <w:rFonts w:hint="cs"/>
          <w:rtl/>
        </w:rPr>
        <w:t>]</w:t>
      </w:r>
      <w:r w:rsidRPr="005675B2">
        <w:rPr>
          <w:rFonts w:hint="cs"/>
          <w:rtl/>
        </w:rPr>
        <w:t xml:space="preserve"> هو صرف للمعنى المفهوم من ظاهر لفظة </w:t>
      </w:r>
      <w:r w:rsidR="000636C2">
        <w:rPr>
          <w:rFonts w:hint="cs"/>
          <w:rtl/>
        </w:rPr>
        <w:t>[</w:t>
      </w:r>
      <w:r w:rsidRPr="005675B2">
        <w:rPr>
          <w:rFonts w:hint="cs"/>
          <w:rtl/>
        </w:rPr>
        <w:t>مرضتُ</w:t>
      </w:r>
      <w:r w:rsidR="000636C2">
        <w:rPr>
          <w:rFonts w:hint="cs"/>
          <w:rtl/>
        </w:rPr>
        <w:t>]،</w:t>
      </w:r>
      <w:r w:rsidRPr="005675B2">
        <w:rPr>
          <w:rFonts w:hint="cs"/>
          <w:rtl/>
        </w:rPr>
        <w:t xml:space="preserve"> وحيث إن صرف اللفظ عن المعنى المفهوم من ظاهره إلى معنى آخر لم يكن بالهوى وإنما لدليل دل عليه ؛ فهذا هو الذي نطلق عليه اسم </w:t>
      </w:r>
      <w:r w:rsidR="000636C2">
        <w:rPr>
          <w:rFonts w:hint="cs"/>
          <w:rtl/>
        </w:rPr>
        <w:t>[</w:t>
      </w:r>
      <w:r w:rsidRPr="005675B2">
        <w:rPr>
          <w:rFonts w:hint="cs"/>
          <w:rtl/>
        </w:rPr>
        <w:t>التأويل</w:t>
      </w:r>
      <w:r w:rsidR="000636C2">
        <w:rPr>
          <w:rFonts w:hint="cs"/>
          <w:rtl/>
        </w:rPr>
        <w:t xml:space="preserve">]، </w:t>
      </w:r>
      <w:r w:rsidRPr="005675B2">
        <w:rPr>
          <w:rFonts w:hint="cs"/>
          <w:rtl/>
        </w:rPr>
        <w:t>5</w:t>
      </w:r>
      <w:r w:rsidR="000636C2">
        <w:rPr>
          <w:rFonts w:hint="cs"/>
          <w:rtl/>
        </w:rPr>
        <w:t xml:space="preserve"> </w:t>
      </w:r>
      <w:r w:rsidRPr="005675B2">
        <w:rPr>
          <w:rFonts w:hint="cs"/>
          <w:rtl/>
        </w:rPr>
        <w:t xml:space="preserve">- وقال الله تعالى في الحديث القدسي </w:t>
      </w:r>
      <w:r w:rsidR="000636C2">
        <w:rPr>
          <w:rFonts w:hint="cs"/>
          <w:rtl/>
        </w:rPr>
        <w:t>[</w:t>
      </w:r>
      <w:r w:rsidRPr="005675B2">
        <w:rPr>
          <w:rFonts w:hint="cs"/>
          <w:rtl/>
        </w:rPr>
        <w:t>يا عبادي لو أن أولكم وآخركم وإنسكم وجنكم قاموا في صعيد واحد فسألوني فأعطيت كل واحد مسألته ما نقص ذلك مما عندي إلا كما ينقص المِخيط إذا أدخل البحر</w:t>
      </w:r>
      <w:r w:rsidR="000636C2">
        <w:rPr>
          <w:rFonts w:hint="cs"/>
          <w:rtl/>
        </w:rPr>
        <w:t>]</w:t>
      </w:r>
      <w:r w:rsidRPr="005675B2">
        <w:rPr>
          <w:rFonts w:hint="cs"/>
          <w:rtl/>
        </w:rPr>
        <w:t xml:space="preserve"> [</w:t>
      </w:r>
      <w:r w:rsidRPr="005675B2">
        <w:rPr>
          <w:rFonts w:hint="cs"/>
          <w:sz w:val="24"/>
          <w:szCs w:val="24"/>
          <w:rtl/>
        </w:rPr>
        <w:t>رواه مسلم في كتاب البر والصلة والآداب</w:t>
      </w:r>
      <w:r w:rsidR="000636C2">
        <w:rPr>
          <w:rFonts w:hint="cs"/>
          <w:sz w:val="24"/>
          <w:szCs w:val="24"/>
          <w:rtl/>
        </w:rPr>
        <w:t>،</w:t>
      </w:r>
      <w:r w:rsidRPr="005675B2">
        <w:rPr>
          <w:rFonts w:hint="cs"/>
          <w:sz w:val="24"/>
          <w:szCs w:val="24"/>
          <w:rtl/>
        </w:rPr>
        <w:t xml:space="preserve"> باب تحريم الظلم</w:t>
      </w:r>
      <w:r w:rsidR="000636C2">
        <w:rPr>
          <w:rFonts w:hint="cs"/>
          <w:sz w:val="24"/>
          <w:szCs w:val="24"/>
          <w:rtl/>
        </w:rPr>
        <w:t>]</w:t>
      </w:r>
      <w:r w:rsidR="000636C2">
        <w:rPr>
          <w:rFonts w:hint="cs"/>
          <w:rtl/>
        </w:rPr>
        <w:t>،</w:t>
      </w:r>
      <w:r w:rsidRPr="005675B2">
        <w:rPr>
          <w:rFonts w:hint="cs"/>
          <w:rtl/>
        </w:rPr>
        <w:t xml:space="preserve"> فهل يصح لك أن تفهم من كلمات هذا الحديث الشـريف أن ما عند الله جل وعلا ينقص إذا أعطى كل واحد سؤله بمقدار ما ينقص ماء البحر إذا أدخلت فيه الإبرة</w:t>
      </w:r>
      <w:r w:rsidR="000636C2">
        <w:rPr>
          <w:rFonts w:hint="cs"/>
          <w:rtl/>
        </w:rPr>
        <w:t>؟!</w:t>
      </w:r>
      <w:r w:rsidRPr="005675B2">
        <w:rPr>
          <w:rFonts w:hint="cs"/>
          <w:rtl/>
        </w:rPr>
        <w:t xml:space="preserve"> حتى ولو كان ذلك القدر ضئيلاً جداً</w:t>
      </w:r>
      <w:r w:rsidR="000636C2">
        <w:rPr>
          <w:rFonts w:hint="cs"/>
          <w:rtl/>
        </w:rPr>
        <w:t>؟!</w:t>
      </w:r>
      <w:r w:rsidRPr="005675B2">
        <w:rPr>
          <w:rFonts w:hint="cs"/>
          <w:rtl/>
        </w:rPr>
        <w:t xml:space="preserve"> أو إن الواجب هو أن نفهم هذا الحديث الشـريف حسب سياقه</w:t>
      </w:r>
      <w:r w:rsidR="000636C2">
        <w:rPr>
          <w:rFonts w:hint="cs"/>
          <w:rtl/>
        </w:rPr>
        <w:t>؟!</w:t>
      </w:r>
      <w:r w:rsidRPr="005675B2">
        <w:rPr>
          <w:rFonts w:hint="cs"/>
          <w:rtl/>
        </w:rPr>
        <w:t xml:space="preserve"> بمعنى أن الله تعالى لا ينقص ما عنده أدنى قدر من النقص</w:t>
      </w:r>
      <w:r w:rsidR="000636C2">
        <w:rPr>
          <w:rFonts w:hint="cs"/>
          <w:rtl/>
        </w:rPr>
        <w:t>،</w:t>
      </w:r>
      <w:r w:rsidRPr="005675B2">
        <w:rPr>
          <w:rFonts w:hint="cs"/>
          <w:rtl/>
        </w:rPr>
        <w:t xml:space="preserve"> وأن التشبيه الوارد في الحديث لا يراد به سوى التقريب لبعض أذهان المخاطبين</w:t>
      </w:r>
      <w:r w:rsidR="000636C2">
        <w:rPr>
          <w:rFonts w:hint="cs"/>
          <w:rtl/>
        </w:rPr>
        <w:t xml:space="preserve">، </w:t>
      </w:r>
      <w:r w:rsidRPr="005675B2">
        <w:rPr>
          <w:rFonts w:hint="cs"/>
          <w:rtl/>
        </w:rPr>
        <w:t>6 _ وعلى كل حال فإن الأشاعرة يأخذون بظواهر النصوص ولا يعدلون عنها إلا لدليل يدل على صرف معنى اللفظ</w:t>
      </w:r>
      <w:r w:rsidR="000636C2">
        <w:rPr>
          <w:rFonts w:hint="cs"/>
          <w:rtl/>
        </w:rPr>
        <w:t>،</w:t>
      </w:r>
      <w:r w:rsidRPr="005675B2">
        <w:rPr>
          <w:rFonts w:hint="cs"/>
          <w:rtl/>
        </w:rPr>
        <w:t xml:space="preserve"> وهو ما عبر عنه الإمام البيهقي رحمه الله تعالى إذ قال</w:t>
      </w:r>
      <w:r w:rsidR="000636C2">
        <w:rPr>
          <w:rFonts w:hint="cs"/>
          <w:rtl/>
        </w:rPr>
        <w:t>:</w:t>
      </w:r>
      <w:r w:rsidRPr="005675B2">
        <w:rPr>
          <w:rFonts w:hint="cs"/>
          <w:rtl/>
        </w:rPr>
        <w:t xml:space="preserve"> </w:t>
      </w:r>
      <w:r w:rsidR="000636C2">
        <w:rPr>
          <w:rFonts w:hint="cs"/>
          <w:rtl/>
        </w:rPr>
        <w:t>[</w:t>
      </w:r>
      <w:r w:rsidRPr="005675B2">
        <w:rPr>
          <w:rFonts w:hint="cs"/>
          <w:rtl/>
        </w:rPr>
        <w:t>والقرآن على ظاهره</w:t>
      </w:r>
      <w:r w:rsidR="000636C2">
        <w:rPr>
          <w:rFonts w:hint="cs"/>
          <w:rtl/>
        </w:rPr>
        <w:t>،</w:t>
      </w:r>
      <w:r w:rsidRPr="005675B2">
        <w:rPr>
          <w:rFonts w:hint="cs"/>
          <w:rtl/>
        </w:rPr>
        <w:t xml:space="preserve"> وليس لنا أن نزيله عن ظاهره إلا بحجة</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فلا وجه لترك الظاهر إلا بمثله أو بما هو أقوى منه</w:t>
      </w:r>
      <w:r w:rsidR="000636C2">
        <w:rPr>
          <w:rFonts w:hint="cs"/>
          <w:rtl/>
        </w:rPr>
        <w:t>]</w:t>
      </w:r>
      <w:r w:rsidRPr="005675B2">
        <w:rPr>
          <w:rFonts w:hint="cs"/>
          <w:rtl/>
        </w:rPr>
        <w:t xml:space="preserve"> [</w:t>
      </w:r>
      <w:r w:rsidRPr="005675B2">
        <w:rPr>
          <w:rFonts w:hint="cs"/>
          <w:sz w:val="24"/>
          <w:szCs w:val="24"/>
          <w:rtl/>
        </w:rPr>
        <w:t>الاعتقاد: ص 60</w:t>
      </w:r>
      <w:r w:rsidR="000636C2">
        <w:rPr>
          <w:rFonts w:hint="cs"/>
          <w:sz w:val="24"/>
          <w:szCs w:val="24"/>
          <w:rtl/>
        </w:rPr>
        <w:t>،</w:t>
      </w:r>
      <w:r w:rsidRPr="005675B2">
        <w:rPr>
          <w:rFonts w:hint="cs"/>
          <w:sz w:val="24"/>
          <w:szCs w:val="24"/>
          <w:rtl/>
        </w:rPr>
        <w:t xml:space="preserve"> 133</w:t>
      </w:r>
      <w:r w:rsidR="000636C2">
        <w:rPr>
          <w:rFonts w:hint="cs"/>
          <w:sz w:val="24"/>
          <w:szCs w:val="24"/>
          <w:rtl/>
        </w:rPr>
        <w:t>]</w:t>
      </w:r>
      <w:r w:rsidR="000636C2">
        <w:rPr>
          <w:rFonts w:hint="cs"/>
          <w:rtl/>
        </w:rPr>
        <w:t xml:space="preserve">، </w:t>
      </w:r>
      <w:r w:rsidRPr="005675B2">
        <w:rPr>
          <w:rFonts w:hint="cs"/>
          <w:rtl/>
        </w:rPr>
        <w:t>7</w:t>
      </w:r>
      <w:r w:rsidR="000636C2">
        <w:rPr>
          <w:rFonts w:hint="cs"/>
          <w:rtl/>
        </w:rPr>
        <w:t xml:space="preserve"> </w:t>
      </w:r>
      <w:r w:rsidRPr="005675B2">
        <w:rPr>
          <w:rFonts w:hint="cs"/>
          <w:rtl/>
        </w:rPr>
        <w:t>- وإذا كنت مستغرباً من موقف الأشاعرة حيث يفسرون النص أحياناً على غير ظاهره؛ فانظر في كلام الإمام أحمد ابن حنبل رحمه الله حيث يفعل الشيء ذاته</w:t>
      </w:r>
      <w:r w:rsidR="000636C2">
        <w:rPr>
          <w:rFonts w:hint="cs"/>
          <w:rtl/>
        </w:rPr>
        <w:t>،</w:t>
      </w:r>
      <w:r w:rsidRPr="005675B2">
        <w:rPr>
          <w:rFonts w:hint="cs"/>
          <w:rtl/>
        </w:rPr>
        <w:t xml:space="preserve"> ولكن لا تنس أنهم لا يتركون الظاهر إلا لدليل</w:t>
      </w:r>
      <w:r w:rsidR="000636C2">
        <w:rPr>
          <w:rFonts w:hint="cs"/>
          <w:rtl/>
        </w:rPr>
        <w:t xml:space="preserve">، </w:t>
      </w:r>
      <w:r w:rsidRPr="005675B2">
        <w:rPr>
          <w:rFonts w:hint="cs"/>
          <w:rtl/>
        </w:rPr>
        <w:t>قال عبد الله بن أحمد</w:t>
      </w:r>
      <w:r w:rsidR="000636C2">
        <w:rPr>
          <w:rFonts w:hint="cs"/>
          <w:rtl/>
        </w:rPr>
        <w:t>:</w:t>
      </w:r>
      <w:r w:rsidRPr="005675B2">
        <w:rPr>
          <w:rFonts w:hint="cs"/>
          <w:rtl/>
        </w:rPr>
        <w:t xml:space="preserve"> سألت أبي عن الآية إذا كانت عامة</w:t>
      </w:r>
      <w:r w:rsidR="000636C2">
        <w:rPr>
          <w:rFonts w:hint="cs"/>
          <w:rtl/>
        </w:rPr>
        <w:t>؟</w:t>
      </w:r>
      <w:r w:rsidRPr="005675B2">
        <w:rPr>
          <w:rFonts w:hint="cs"/>
          <w:rtl/>
        </w:rPr>
        <w:t xml:space="preserve"> فقال</w:t>
      </w:r>
      <w:r w:rsidR="000636C2">
        <w:rPr>
          <w:rFonts w:hint="cs"/>
          <w:rtl/>
        </w:rPr>
        <w:t>:</w:t>
      </w:r>
      <w:r w:rsidRPr="005675B2">
        <w:rPr>
          <w:rFonts w:hint="cs"/>
          <w:rtl/>
        </w:rPr>
        <w:t xml:space="preserve"> تفسيرها بالسنة</w:t>
      </w:r>
      <w:r w:rsidR="000636C2">
        <w:rPr>
          <w:rFonts w:hint="cs"/>
          <w:rtl/>
        </w:rPr>
        <w:t>،</w:t>
      </w:r>
      <w:r w:rsidRPr="005675B2">
        <w:rPr>
          <w:rFonts w:hint="cs"/>
          <w:rtl/>
        </w:rPr>
        <w:t xml:space="preserve"> بالحديث</w:t>
      </w:r>
      <w:r w:rsidR="000636C2">
        <w:rPr>
          <w:rFonts w:hint="cs"/>
          <w:rtl/>
        </w:rPr>
        <w:t>،</w:t>
      </w:r>
      <w:r w:rsidRPr="005675B2">
        <w:rPr>
          <w:rFonts w:hint="cs"/>
          <w:rtl/>
        </w:rPr>
        <w:t xml:space="preserve"> إذا كانت الآية ظاهرة فينظر ما جاءت به السنة</w:t>
      </w:r>
      <w:r w:rsidR="000636C2">
        <w:rPr>
          <w:rFonts w:hint="cs"/>
          <w:rtl/>
        </w:rPr>
        <w:t>،</w:t>
      </w:r>
      <w:r w:rsidRPr="005675B2">
        <w:rPr>
          <w:rFonts w:hint="cs"/>
          <w:rtl/>
        </w:rPr>
        <w:t xml:space="preserve"> هي دليل على ظاهر الآية</w:t>
      </w:r>
      <w:r w:rsidR="000636C2">
        <w:rPr>
          <w:rFonts w:hint="cs"/>
          <w:rtl/>
        </w:rPr>
        <w:t>،</w:t>
      </w:r>
      <w:r w:rsidRPr="005675B2">
        <w:rPr>
          <w:rFonts w:hint="cs"/>
          <w:rtl/>
        </w:rPr>
        <w:t xml:space="preserve"> مثل قوله تعالى </w:t>
      </w:r>
      <w:r w:rsidR="000636C2">
        <w:rPr>
          <w:rFonts w:hint="cs"/>
          <w:rtl/>
        </w:rPr>
        <w:t>[</w:t>
      </w:r>
      <w:r w:rsidRPr="005675B2">
        <w:rPr>
          <w:rFonts w:hint="cs"/>
          <w:rtl/>
        </w:rPr>
        <w:t>يُوصِيكُمُ اللَّهُ فِي أَوْلادِكُمْ</w:t>
      </w:r>
      <w:r w:rsidR="000636C2">
        <w:rPr>
          <w:rFonts w:hint="cs"/>
          <w:rtl/>
        </w:rPr>
        <w:t>]</w:t>
      </w:r>
      <w:r w:rsidRPr="005675B2">
        <w:rPr>
          <w:rFonts w:hint="cs"/>
          <w:rtl/>
        </w:rPr>
        <w:t xml:space="preserve"> [</w:t>
      </w:r>
      <w:r w:rsidRPr="005675B2">
        <w:rPr>
          <w:rFonts w:hint="cs"/>
          <w:sz w:val="24"/>
          <w:szCs w:val="24"/>
          <w:rtl/>
        </w:rPr>
        <w:t>سورة النساء آية 11</w:t>
      </w:r>
      <w:r w:rsidR="000636C2">
        <w:rPr>
          <w:rFonts w:hint="cs"/>
          <w:sz w:val="24"/>
          <w:szCs w:val="24"/>
          <w:rtl/>
        </w:rPr>
        <w:t>]</w:t>
      </w:r>
      <w:r w:rsidRPr="005675B2">
        <w:rPr>
          <w:rFonts w:hint="cs"/>
          <w:rtl/>
        </w:rPr>
        <w:t>، فلو كانت الآية على ظاهرها ورث كل من وقع عليه اسم ولد</w:t>
      </w:r>
      <w:r w:rsidR="000636C2">
        <w:rPr>
          <w:rFonts w:hint="cs"/>
          <w:rtl/>
        </w:rPr>
        <w:t>،</w:t>
      </w:r>
      <w:r w:rsidRPr="005675B2">
        <w:rPr>
          <w:rFonts w:hint="cs"/>
          <w:rtl/>
        </w:rPr>
        <w:t xml:space="preserve"> فلما جاءت السنة أن لا يرث مسلم كافراً ولا كافر مسلماً وأنه لا يرث قاتل ولا عبد مكاتب</w:t>
      </w:r>
      <w:r w:rsidR="000636C2">
        <w:rPr>
          <w:rFonts w:hint="cs"/>
          <w:rtl/>
        </w:rPr>
        <w:t>،</w:t>
      </w:r>
      <w:r w:rsidRPr="005675B2">
        <w:rPr>
          <w:rFonts w:hint="cs"/>
          <w:rtl/>
        </w:rPr>
        <w:t xml:space="preserve"> هي دليل على ما أراد الله من ذلك </w:t>
      </w:r>
      <w:r w:rsidR="000636C2">
        <w:rPr>
          <w:rFonts w:hint="cs"/>
          <w:rtl/>
        </w:rPr>
        <w:t>[</w:t>
      </w:r>
      <w:r w:rsidRPr="005675B2">
        <w:rPr>
          <w:rFonts w:hint="cs"/>
          <w:sz w:val="24"/>
          <w:szCs w:val="24"/>
          <w:rtl/>
        </w:rPr>
        <w:t>مسائل الإمام أحمد لولده عبد الله: ص 350</w:t>
      </w:r>
      <w:r w:rsidR="000636C2">
        <w:rPr>
          <w:rFonts w:hint="cs"/>
          <w:sz w:val="24"/>
          <w:szCs w:val="24"/>
          <w:rtl/>
        </w:rPr>
        <w:t>]</w:t>
      </w:r>
      <w:r w:rsidR="000636C2">
        <w:rPr>
          <w:rFonts w:hint="cs"/>
          <w:rtl/>
        </w:rPr>
        <w:t xml:space="preserve">، </w:t>
      </w:r>
      <w:r w:rsidRPr="005675B2">
        <w:rPr>
          <w:rFonts w:hint="cs"/>
          <w:rtl/>
        </w:rPr>
        <w:t>وقال عبد الله بن أحمد</w:t>
      </w:r>
      <w:r w:rsidR="000636C2">
        <w:rPr>
          <w:rFonts w:hint="cs"/>
          <w:rtl/>
        </w:rPr>
        <w:t>:</w:t>
      </w:r>
      <w:r w:rsidRPr="005675B2">
        <w:rPr>
          <w:rFonts w:hint="cs"/>
          <w:rtl/>
        </w:rPr>
        <w:t xml:space="preserve"> سمعت أبي يقول</w:t>
      </w:r>
      <w:r w:rsidR="000636C2">
        <w:rPr>
          <w:rFonts w:hint="cs"/>
          <w:rtl/>
        </w:rPr>
        <w:t>:</w:t>
      </w:r>
      <w:r w:rsidRPr="005675B2">
        <w:rPr>
          <w:rFonts w:hint="cs"/>
          <w:rtl/>
        </w:rPr>
        <w:t xml:space="preserve"> فمن لم يأت بطواف الزيارة ورمي الجمار وما يجب عليه فليس حجه بتام</w:t>
      </w:r>
      <w:r w:rsidR="000636C2">
        <w:rPr>
          <w:rFonts w:hint="cs"/>
          <w:rtl/>
        </w:rPr>
        <w:t>،</w:t>
      </w:r>
      <w:r w:rsidRPr="005675B2">
        <w:rPr>
          <w:rFonts w:hint="cs"/>
          <w:rtl/>
        </w:rPr>
        <w:t xml:space="preserve"> وإنما قوله </w:t>
      </w:r>
      <w:r w:rsidR="000636C2">
        <w:rPr>
          <w:rFonts w:hint="cs"/>
          <w:rtl/>
        </w:rPr>
        <w:t>[</w:t>
      </w:r>
      <w:r w:rsidRPr="005675B2">
        <w:rPr>
          <w:rFonts w:hint="cs"/>
          <w:rtl/>
        </w:rPr>
        <w:t>الحج عرفة</w:t>
      </w:r>
      <w:r w:rsidR="000636C2">
        <w:rPr>
          <w:rFonts w:hint="cs"/>
          <w:rtl/>
        </w:rPr>
        <w:t>]</w:t>
      </w:r>
      <w:r w:rsidRPr="005675B2">
        <w:rPr>
          <w:rFonts w:hint="cs"/>
          <w:rtl/>
        </w:rPr>
        <w:t xml:space="preserve"> إذا جاء بهذه الأشياء يشبه قوله صلى الله عليه وسلم </w:t>
      </w:r>
      <w:r w:rsidR="000636C2">
        <w:rPr>
          <w:rFonts w:hint="cs"/>
          <w:rtl/>
        </w:rPr>
        <w:t>[</w:t>
      </w:r>
      <w:r w:rsidRPr="005675B2">
        <w:rPr>
          <w:rFonts w:hint="cs"/>
          <w:rtl/>
        </w:rPr>
        <w:t>من أدرك ركعة من الصلاة فقد أدركها</w:t>
      </w:r>
      <w:r w:rsidR="000636C2">
        <w:rPr>
          <w:rFonts w:hint="cs"/>
          <w:rtl/>
        </w:rPr>
        <w:t>]،</w:t>
      </w:r>
      <w:r w:rsidRPr="005675B2">
        <w:rPr>
          <w:rFonts w:hint="cs"/>
          <w:rtl/>
        </w:rPr>
        <w:t xml:space="preserve"> فلو كان على ظاهر هذا الكلام كان قد كملت صلاته إذا أدرك ركعة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قال أبي</w:t>
      </w:r>
      <w:r w:rsidR="000636C2">
        <w:rPr>
          <w:rFonts w:hint="cs"/>
          <w:rtl/>
        </w:rPr>
        <w:t>:</w:t>
      </w:r>
      <w:r w:rsidRPr="005675B2">
        <w:rPr>
          <w:rFonts w:hint="cs"/>
          <w:rtl/>
        </w:rPr>
        <w:t xml:space="preserve"> ومن احتج فزعم أن الحج عرفة فلو كان على ظاهر الكلام</w:t>
      </w:r>
      <w:r w:rsidR="000636C2">
        <w:rPr>
          <w:rFonts w:hint="cs"/>
          <w:rtl/>
        </w:rPr>
        <w:t>:</w:t>
      </w:r>
      <w:r w:rsidRPr="005675B2">
        <w:rPr>
          <w:rFonts w:hint="cs"/>
          <w:rtl/>
        </w:rPr>
        <w:t xml:space="preserve"> وقف بعرفة ورجع إلى أهله ووطئ أهله وأصاب الصيد </w:t>
      </w:r>
      <w:r w:rsidR="000636C2">
        <w:rPr>
          <w:rFonts w:hint="cs"/>
          <w:rtl/>
        </w:rPr>
        <w:t>[</w:t>
      </w:r>
      <w:r w:rsidRPr="005675B2">
        <w:rPr>
          <w:rFonts w:hint="cs"/>
          <w:sz w:val="24"/>
          <w:szCs w:val="24"/>
          <w:rtl/>
        </w:rPr>
        <w:t>المصدر السابق: ص 222</w:t>
      </w:r>
      <w:r w:rsidR="000636C2">
        <w:rPr>
          <w:rFonts w:hint="cs"/>
          <w:sz w:val="24"/>
          <w:szCs w:val="24"/>
          <w:rtl/>
        </w:rPr>
        <w:t>،</w:t>
      </w:r>
      <w:r w:rsidRPr="005675B2">
        <w:rPr>
          <w:rFonts w:hint="cs"/>
          <w:sz w:val="24"/>
          <w:szCs w:val="24"/>
          <w:rtl/>
        </w:rPr>
        <w:t xml:space="preserve"> 239</w:t>
      </w:r>
      <w:r w:rsidR="000636C2">
        <w:rPr>
          <w:rFonts w:hint="cs"/>
          <w:sz w:val="24"/>
          <w:szCs w:val="24"/>
          <w:rtl/>
        </w:rPr>
        <w:t>]</w:t>
      </w:r>
      <w:r w:rsidR="000636C2">
        <w:rPr>
          <w:rFonts w:hint="cs"/>
          <w:rtl/>
        </w:rPr>
        <w:t>،</w:t>
      </w:r>
      <w:r w:rsidRPr="005675B2">
        <w:rPr>
          <w:rFonts w:hint="cs"/>
          <w:rtl/>
        </w:rPr>
        <w:t xml:space="preserve"> وقال عبد الله بن أحمد</w:t>
      </w:r>
      <w:r w:rsidR="000636C2">
        <w:rPr>
          <w:rFonts w:hint="cs"/>
          <w:rtl/>
        </w:rPr>
        <w:t>:</w:t>
      </w:r>
      <w:r w:rsidRPr="005675B2">
        <w:rPr>
          <w:rFonts w:hint="cs"/>
          <w:rtl/>
        </w:rPr>
        <w:t xml:space="preserve"> سمعت أبي يقول في حديث أبي هريرة عن النبي صلى الله عليه وسلم </w:t>
      </w:r>
      <w:r w:rsidR="000636C2">
        <w:rPr>
          <w:rFonts w:hint="cs"/>
          <w:rtl/>
        </w:rPr>
        <w:t>[</w:t>
      </w:r>
      <w:r w:rsidRPr="005675B2">
        <w:rPr>
          <w:rFonts w:hint="cs"/>
          <w:rtl/>
        </w:rPr>
        <w:t>أمرت بقرية تأكل القرى</w:t>
      </w:r>
      <w:r w:rsidR="000636C2">
        <w:rPr>
          <w:rFonts w:hint="cs"/>
          <w:rtl/>
        </w:rPr>
        <w:t>]:</w:t>
      </w:r>
      <w:r w:rsidRPr="005675B2">
        <w:rPr>
          <w:rFonts w:hint="cs"/>
          <w:rtl/>
        </w:rPr>
        <w:t xml:space="preserve"> تفسيره - والله أعلم</w:t>
      </w:r>
      <w:r w:rsidR="000636C2">
        <w:rPr>
          <w:rFonts w:hint="cs"/>
          <w:rtl/>
        </w:rPr>
        <w:t xml:space="preserve"> </w:t>
      </w:r>
      <w:r w:rsidRPr="005675B2">
        <w:rPr>
          <w:rFonts w:hint="cs"/>
          <w:rtl/>
        </w:rPr>
        <w:t>- بفتح القرى</w:t>
      </w:r>
      <w:r w:rsidR="000636C2">
        <w:rPr>
          <w:rFonts w:hint="cs"/>
          <w:rtl/>
        </w:rPr>
        <w:t>،</w:t>
      </w:r>
      <w:r w:rsidRPr="005675B2">
        <w:rPr>
          <w:rFonts w:hint="cs"/>
          <w:rtl/>
        </w:rPr>
        <w:t xml:space="preserve"> فتحت مكة بالمدينة</w:t>
      </w:r>
      <w:r w:rsidR="000636C2">
        <w:rPr>
          <w:rFonts w:hint="cs"/>
          <w:rtl/>
        </w:rPr>
        <w:t>،</w:t>
      </w:r>
      <w:r w:rsidRPr="005675B2">
        <w:rPr>
          <w:rFonts w:hint="cs"/>
          <w:rtl/>
        </w:rPr>
        <w:t xml:space="preserve"> وما حول المدينة بها</w:t>
      </w:r>
      <w:r w:rsidR="000636C2">
        <w:rPr>
          <w:rFonts w:hint="cs"/>
          <w:rtl/>
        </w:rPr>
        <w:t>،</w:t>
      </w:r>
      <w:r w:rsidRPr="005675B2">
        <w:rPr>
          <w:rFonts w:hint="cs"/>
          <w:rtl/>
        </w:rPr>
        <w:t xml:space="preserve"> لا أنها تأكلها أكلا إنما تفتح القرى بالمدينة</w:t>
      </w:r>
      <w:r w:rsidR="000636C2">
        <w:rPr>
          <w:rFonts w:hint="cs"/>
          <w:rtl/>
        </w:rPr>
        <w:t xml:space="preserve"> [</w:t>
      </w:r>
      <w:r w:rsidRPr="005675B2">
        <w:rPr>
          <w:rFonts w:hint="cs"/>
          <w:sz w:val="24"/>
          <w:szCs w:val="24"/>
          <w:rtl/>
        </w:rPr>
        <w:t>المصدر السابق: ص 445</w:t>
      </w:r>
      <w:r w:rsidR="000636C2">
        <w:rPr>
          <w:rFonts w:hint="cs"/>
          <w:sz w:val="24"/>
          <w:szCs w:val="24"/>
          <w:rtl/>
        </w:rPr>
        <w:t>]</w:t>
      </w:r>
      <w:r w:rsidR="000636C2">
        <w:rPr>
          <w:rFonts w:hint="cs"/>
          <w:rtl/>
        </w:rPr>
        <w:t xml:space="preserve">، </w:t>
      </w:r>
      <w:r w:rsidRPr="005675B2">
        <w:rPr>
          <w:rFonts w:hint="cs"/>
          <w:rtl/>
        </w:rPr>
        <w:t>وقد أشار الإمام أحمد رحمه الله إلى تفسير عدد من النصوص على غير ظاهرها</w:t>
      </w:r>
      <w:r w:rsidR="000636C2">
        <w:rPr>
          <w:rFonts w:hint="cs"/>
          <w:rtl/>
        </w:rPr>
        <w:t>،</w:t>
      </w:r>
      <w:r w:rsidRPr="005675B2">
        <w:rPr>
          <w:rFonts w:hint="cs"/>
          <w:rtl/>
        </w:rPr>
        <w:t xml:space="preserve"> فمن ذلك حديث </w:t>
      </w:r>
      <w:r w:rsidR="000636C2">
        <w:rPr>
          <w:rFonts w:hint="cs"/>
          <w:rtl/>
        </w:rPr>
        <w:t>[</w:t>
      </w:r>
      <w:r w:rsidRPr="005675B2">
        <w:rPr>
          <w:rFonts w:hint="cs"/>
          <w:rtl/>
        </w:rPr>
        <w:t>من غشَّنا فليس منا</w:t>
      </w:r>
      <w:r w:rsidR="000636C2">
        <w:rPr>
          <w:rFonts w:hint="cs"/>
          <w:rtl/>
        </w:rPr>
        <w:t>]</w:t>
      </w:r>
      <w:r w:rsidRPr="005675B2">
        <w:rPr>
          <w:rFonts w:hint="cs"/>
          <w:rtl/>
        </w:rPr>
        <w:t xml:space="preserve"> وحديث </w:t>
      </w:r>
      <w:r w:rsidR="000636C2">
        <w:rPr>
          <w:rFonts w:hint="cs"/>
          <w:rtl/>
        </w:rPr>
        <w:t>[</w:t>
      </w:r>
      <w:r w:rsidRPr="005675B2">
        <w:rPr>
          <w:rFonts w:hint="cs"/>
          <w:rtl/>
        </w:rPr>
        <w:t>من حمل السلاح علينا فليس منا</w:t>
      </w:r>
      <w:r w:rsidR="000636C2">
        <w:rPr>
          <w:rFonts w:hint="cs"/>
          <w:rtl/>
        </w:rPr>
        <w:t>]،</w:t>
      </w:r>
      <w:r w:rsidRPr="005675B2">
        <w:rPr>
          <w:rFonts w:hint="cs"/>
          <w:rtl/>
        </w:rPr>
        <w:t xml:space="preserve"> قال أحمد</w:t>
      </w:r>
      <w:r w:rsidR="000636C2">
        <w:rPr>
          <w:rFonts w:hint="cs"/>
          <w:rtl/>
        </w:rPr>
        <w:t>:</w:t>
      </w:r>
      <w:r w:rsidRPr="005675B2">
        <w:rPr>
          <w:rFonts w:hint="cs"/>
          <w:rtl/>
        </w:rPr>
        <w:t xml:space="preserve"> على التأكيد والتشديد</w:t>
      </w:r>
      <w:r w:rsidR="000636C2">
        <w:rPr>
          <w:rFonts w:hint="cs"/>
          <w:rtl/>
        </w:rPr>
        <w:t xml:space="preserve"> [</w:t>
      </w:r>
      <w:r w:rsidRPr="005675B2">
        <w:rPr>
          <w:rFonts w:hint="cs"/>
          <w:sz w:val="24"/>
          <w:szCs w:val="24"/>
          <w:rtl/>
        </w:rPr>
        <w:t>السنة للخلال: ص 579</w:t>
      </w:r>
      <w:r w:rsidR="000636C2">
        <w:rPr>
          <w:rFonts w:hint="cs"/>
          <w:sz w:val="24"/>
          <w:szCs w:val="24"/>
          <w:rtl/>
        </w:rPr>
        <w:t>]</w:t>
      </w:r>
      <w:r w:rsidR="000636C2">
        <w:rPr>
          <w:rFonts w:hint="cs"/>
          <w:rtl/>
        </w:rPr>
        <w:t>،</w:t>
      </w:r>
      <w:r w:rsidRPr="005675B2">
        <w:rPr>
          <w:rFonts w:hint="cs"/>
          <w:rtl/>
        </w:rPr>
        <w:t xml:space="preserve"> ومن ذلك حديث </w:t>
      </w:r>
      <w:r w:rsidR="000636C2">
        <w:rPr>
          <w:rFonts w:hint="cs"/>
          <w:rtl/>
        </w:rPr>
        <w:t>[</w:t>
      </w:r>
      <w:r w:rsidRPr="005675B2">
        <w:rPr>
          <w:rFonts w:hint="cs"/>
          <w:rtl/>
        </w:rPr>
        <w:t>ثلاث من كن فيه فهو منافق</w:t>
      </w:r>
      <w:r w:rsidR="000636C2">
        <w:rPr>
          <w:rFonts w:hint="cs"/>
          <w:rtl/>
        </w:rPr>
        <w:t>]،</w:t>
      </w:r>
      <w:r w:rsidRPr="005675B2">
        <w:rPr>
          <w:rFonts w:hint="cs"/>
          <w:rtl/>
        </w:rPr>
        <w:t xml:space="preserve"> قال أحمد</w:t>
      </w:r>
      <w:r w:rsidR="000636C2">
        <w:rPr>
          <w:rFonts w:hint="cs"/>
          <w:rtl/>
        </w:rPr>
        <w:t>:</w:t>
      </w:r>
      <w:r w:rsidRPr="005675B2">
        <w:rPr>
          <w:rFonts w:hint="cs"/>
          <w:rtl/>
        </w:rPr>
        <w:t xml:space="preserve"> هذا على التغليظ [</w:t>
      </w:r>
      <w:r w:rsidRPr="005675B2">
        <w:rPr>
          <w:rFonts w:hint="cs"/>
          <w:sz w:val="24"/>
          <w:szCs w:val="24"/>
          <w:rtl/>
        </w:rPr>
        <w:t>طبقات الحنابلة لابن أبي يعلى: 1/245</w:t>
      </w:r>
      <w:r w:rsidR="000636C2">
        <w:rPr>
          <w:rFonts w:hint="cs"/>
          <w:sz w:val="24"/>
          <w:szCs w:val="24"/>
          <w:rtl/>
        </w:rPr>
        <w:t>،</w:t>
      </w:r>
      <w:r w:rsidRPr="005675B2">
        <w:rPr>
          <w:rFonts w:hint="cs"/>
          <w:sz w:val="24"/>
          <w:szCs w:val="24"/>
          <w:rtl/>
        </w:rPr>
        <w:t xml:space="preserve"> 311</w:t>
      </w:r>
      <w:r w:rsidR="000636C2">
        <w:rPr>
          <w:rFonts w:hint="cs"/>
          <w:sz w:val="24"/>
          <w:szCs w:val="24"/>
          <w:rtl/>
        </w:rPr>
        <w:t>]</w:t>
      </w:r>
      <w:r w:rsidR="000636C2">
        <w:rPr>
          <w:rFonts w:hint="cs"/>
          <w:rtl/>
        </w:rPr>
        <w:t xml:space="preserve">، </w:t>
      </w:r>
      <w:r w:rsidRPr="005675B2">
        <w:rPr>
          <w:rFonts w:hint="cs"/>
          <w:rtl/>
        </w:rPr>
        <w:t>8</w:t>
      </w:r>
      <w:r w:rsidR="000636C2">
        <w:rPr>
          <w:rFonts w:hint="cs"/>
          <w:rtl/>
        </w:rPr>
        <w:t xml:space="preserve"> </w:t>
      </w:r>
      <w:r w:rsidRPr="005675B2">
        <w:rPr>
          <w:rFonts w:hint="cs"/>
          <w:rtl/>
        </w:rPr>
        <w:t>- واستمع إلى الشيخ محمد بن صالح بن عثيمين كيف فهم من بعض الظواهر القرآنية شيئاً</w:t>
      </w:r>
      <w:r w:rsidR="000636C2">
        <w:rPr>
          <w:rFonts w:hint="cs"/>
          <w:rtl/>
        </w:rPr>
        <w:t>،</w:t>
      </w:r>
      <w:r w:rsidRPr="005675B2">
        <w:rPr>
          <w:rFonts w:hint="cs"/>
          <w:rtl/>
        </w:rPr>
        <w:t xml:space="preserve"> ثم خشي أن لا يكون ما فهمه من الآيات الكريمة هو المعنى المراد منها فراح يؤولها</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بقي أن يقال</w:t>
      </w:r>
      <w:r w:rsidR="000636C2">
        <w:rPr>
          <w:rFonts w:hint="cs"/>
          <w:rtl/>
        </w:rPr>
        <w:t>:</w:t>
      </w:r>
      <w:r w:rsidRPr="005675B2">
        <w:rPr>
          <w:rFonts w:hint="cs"/>
          <w:rtl/>
        </w:rPr>
        <w:t xml:space="preserve"> إذا صح ما ذكر من إنزال المركبة الفضائية على سطح القمر فهل بالإمكان إنزال إنسان على سطحه</w:t>
      </w:r>
      <w:r w:rsidR="000636C2">
        <w:rPr>
          <w:rFonts w:hint="cs"/>
          <w:rtl/>
        </w:rPr>
        <w:t>؟</w:t>
      </w:r>
      <w:r w:rsidRPr="005675B2">
        <w:rPr>
          <w:rFonts w:hint="cs"/>
          <w:rtl/>
        </w:rPr>
        <w:t xml:space="preserve"> ف</w:t>
      </w:r>
      <w:r w:rsidR="000636C2">
        <w:rPr>
          <w:rFonts w:hint="cs"/>
          <w:rtl/>
        </w:rPr>
        <w:t>[</w:t>
      </w:r>
      <w:r>
        <w:rPr>
          <w:rFonts w:hint="cs"/>
          <w:rtl/>
        </w:rPr>
        <w:t>الجواب</w:t>
      </w:r>
      <w:r w:rsidR="000636C2">
        <w:rPr>
          <w:rFonts w:hint="cs"/>
          <w:rtl/>
        </w:rPr>
        <w:t xml:space="preserve">] </w:t>
      </w:r>
      <w:r w:rsidRPr="005675B2">
        <w:rPr>
          <w:rFonts w:hint="cs"/>
          <w:rtl/>
        </w:rPr>
        <w:t>أن ظاهر القرآن عدم إمكان ذلك</w:t>
      </w:r>
      <w:r w:rsidR="000636C2">
        <w:rPr>
          <w:rFonts w:hint="cs"/>
          <w:rtl/>
        </w:rPr>
        <w:t>،</w:t>
      </w:r>
      <w:r w:rsidRPr="005675B2">
        <w:rPr>
          <w:rFonts w:hint="cs"/>
          <w:rtl/>
        </w:rPr>
        <w:t xml:space="preserve"> وأن بني آدم لا يحيون إلا في الأرض</w:t>
      </w:r>
      <w:r w:rsidR="000636C2">
        <w:rPr>
          <w:rFonts w:hint="cs"/>
          <w:rtl/>
        </w:rPr>
        <w:t>،</w:t>
      </w:r>
      <w:r w:rsidRPr="005675B2">
        <w:rPr>
          <w:rFonts w:hint="cs"/>
          <w:rtl/>
        </w:rPr>
        <w:t xml:space="preserve"> يقول الله تعالى </w:t>
      </w:r>
      <w:r w:rsidR="000636C2">
        <w:rPr>
          <w:rFonts w:hint="cs"/>
          <w:rtl/>
        </w:rPr>
        <w:t>[</w:t>
      </w:r>
      <w:r w:rsidRPr="005675B2">
        <w:rPr>
          <w:rFonts w:hint="cs"/>
          <w:rtl/>
        </w:rPr>
        <w:t>فِيهَا تَحْيَوْنَ وَفِيهَا تَمُوتُونَ وَمِنْهَا تُخْرَجُونَ</w:t>
      </w:r>
      <w:r w:rsidR="000636C2">
        <w:rPr>
          <w:rFonts w:hint="cs"/>
          <w:rtl/>
        </w:rPr>
        <w:t>]</w:t>
      </w:r>
      <w:r w:rsidRPr="005675B2">
        <w:rPr>
          <w:rFonts w:hint="cs"/>
          <w:rtl/>
        </w:rPr>
        <w:t xml:space="preserve"> [</w:t>
      </w:r>
      <w:r w:rsidRPr="005675B2">
        <w:rPr>
          <w:rFonts w:hint="cs"/>
          <w:sz w:val="24"/>
          <w:szCs w:val="24"/>
          <w:rtl/>
        </w:rPr>
        <w:t>سورة الأعراف آية 25</w:t>
      </w:r>
      <w:r w:rsidR="000636C2">
        <w:rPr>
          <w:rFonts w:hint="cs"/>
          <w:sz w:val="24"/>
          <w:szCs w:val="24"/>
          <w:rtl/>
        </w:rPr>
        <w:t>]</w:t>
      </w:r>
      <w:r w:rsidRPr="005675B2">
        <w:rPr>
          <w:rFonts w:hint="cs"/>
          <w:rtl/>
        </w:rPr>
        <w:t>..</w:t>
      </w:r>
      <w:r w:rsidR="000636C2">
        <w:rPr>
          <w:rFonts w:hint="cs"/>
          <w:rtl/>
        </w:rPr>
        <w:t>،</w:t>
      </w:r>
      <w:r w:rsidRPr="005675B2">
        <w:rPr>
          <w:rFonts w:hint="cs"/>
          <w:rtl/>
        </w:rPr>
        <w:t xml:space="preserve"> ونحو هذه الآية قوله تعالى </w:t>
      </w:r>
      <w:r w:rsidR="000636C2">
        <w:rPr>
          <w:rFonts w:hint="cs"/>
          <w:rtl/>
        </w:rPr>
        <w:t>[</w:t>
      </w:r>
      <w:r w:rsidRPr="005675B2">
        <w:rPr>
          <w:rFonts w:hint="cs"/>
          <w:rtl/>
        </w:rPr>
        <w:t>مِنْهَا خَلَقْنَاكُمْ وَفِيهَا نُعِيدُكُمْ وَمِنْهَا نُخْرِجُكُمْ تَارَةً أُخْرَى</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طه آية 55</w:t>
      </w:r>
      <w:r w:rsidR="000636C2">
        <w:rPr>
          <w:rFonts w:hint="cs"/>
          <w:sz w:val="24"/>
          <w:szCs w:val="24"/>
          <w:rtl/>
        </w:rPr>
        <w:t>]</w:t>
      </w:r>
      <w:r w:rsidRPr="005675B2">
        <w:rPr>
          <w:rFonts w:hint="cs"/>
          <w:rtl/>
        </w:rPr>
        <w:t>.. فالواجب أن نأخذ بهذا الظاهر</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ولو فرض أن أحداً من بني آدم تمكن من النـزول على سطح القمر وثبت ذلك ثبوتاً قطعياً أمكن حمل الآية على أن المراد بالحياة المذكورة</w:t>
      </w:r>
      <w:r w:rsidR="000636C2">
        <w:rPr>
          <w:rFonts w:hint="cs"/>
          <w:rtl/>
        </w:rPr>
        <w:t>:</w:t>
      </w:r>
      <w:r w:rsidRPr="005675B2">
        <w:rPr>
          <w:rFonts w:hint="cs"/>
          <w:rtl/>
        </w:rPr>
        <w:t xml:space="preserve"> الحياة المستقرة الجماعية</w:t>
      </w:r>
      <w:r w:rsidR="000636C2">
        <w:rPr>
          <w:rFonts w:hint="cs"/>
          <w:rtl/>
        </w:rPr>
        <w:t>،</w:t>
      </w:r>
      <w:r w:rsidRPr="005675B2">
        <w:rPr>
          <w:rFonts w:hint="cs"/>
          <w:rtl/>
        </w:rPr>
        <w:t xml:space="preserve"> كحياة الإنسان على الأرض</w:t>
      </w:r>
      <w:r w:rsidR="000636C2">
        <w:rPr>
          <w:rFonts w:hint="cs"/>
          <w:rtl/>
        </w:rPr>
        <w:t>]</w:t>
      </w:r>
      <w:r w:rsidRPr="005675B2">
        <w:rPr>
          <w:rFonts w:hint="cs"/>
          <w:rtl/>
        </w:rPr>
        <w:t xml:space="preserve"> [</w:t>
      </w:r>
      <w:r w:rsidRPr="005675B2">
        <w:rPr>
          <w:rFonts w:hint="cs"/>
          <w:sz w:val="24"/>
          <w:szCs w:val="24"/>
          <w:rtl/>
        </w:rPr>
        <w:t>رسائل في العقيدة: ص 125</w:t>
      </w:r>
      <w:r w:rsidR="000636C2">
        <w:rPr>
          <w:rFonts w:hint="cs"/>
          <w:sz w:val="24"/>
          <w:szCs w:val="24"/>
          <w:rtl/>
        </w:rPr>
        <w:t>،</w:t>
      </w:r>
      <w:r w:rsidRPr="005675B2">
        <w:rPr>
          <w:rFonts w:hint="cs"/>
          <w:sz w:val="24"/>
          <w:szCs w:val="24"/>
          <w:rtl/>
        </w:rPr>
        <w:t xml:space="preserve"> 126</w:t>
      </w:r>
      <w:r w:rsidR="000636C2">
        <w:rPr>
          <w:rFonts w:hint="cs"/>
          <w:sz w:val="24"/>
          <w:szCs w:val="24"/>
          <w:rtl/>
        </w:rPr>
        <w:t>]</w:t>
      </w:r>
      <w:r w:rsidR="000636C2">
        <w:rPr>
          <w:rFonts w:hint="cs"/>
          <w:rtl/>
        </w:rPr>
        <w:t xml:space="preserve">، </w:t>
      </w:r>
      <w:r w:rsidRPr="005675B2">
        <w:rPr>
          <w:rFonts w:hint="cs"/>
          <w:rtl/>
        </w:rPr>
        <w:t>9</w:t>
      </w:r>
      <w:r w:rsidR="000636C2">
        <w:rPr>
          <w:rFonts w:hint="cs"/>
          <w:rtl/>
        </w:rPr>
        <w:t xml:space="preserve"> </w:t>
      </w:r>
      <w:r w:rsidRPr="005675B2">
        <w:rPr>
          <w:rFonts w:hint="cs"/>
          <w:rtl/>
        </w:rPr>
        <w:t>- فإذا وجدنا عند الأشاعرة أن من أصول الكفر التمسكَ في أصول العقائد بمجرد ظواهر الكتاب والسنة من غير عرضها على البراهين العقلية والقواطع الشرعية ؛ فلنعلم أن هذا لصدِّ تخرُّصات الزنادقة الذين يريدون زعزعة عقائد عوام المسـلمين</w:t>
      </w:r>
      <w:r w:rsidR="000636C2">
        <w:rPr>
          <w:rFonts w:hint="cs"/>
          <w:rtl/>
        </w:rPr>
        <w:t>،</w:t>
      </w:r>
      <w:r w:rsidRPr="005675B2">
        <w:rPr>
          <w:rFonts w:hint="cs"/>
          <w:rtl/>
        </w:rPr>
        <w:t xml:space="preserve"> محتجين بمثل قـوله تعالى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التوبة آية 67</w:t>
      </w:r>
      <w:r w:rsidRPr="005675B2">
        <w:rPr>
          <w:rFonts w:hint="cs"/>
          <w:rtl/>
        </w:rPr>
        <w:t>]</w:t>
      </w:r>
      <w:r w:rsidR="000636C2">
        <w:rPr>
          <w:rFonts w:hint="cs"/>
          <w:rtl/>
        </w:rPr>
        <w:t>،</w:t>
      </w:r>
      <w:r w:rsidRPr="005675B2">
        <w:rPr>
          <w:rFonts w:hint="cs"/>
          <w:rtl/>
        </w:rPr>
        <w:t xml:space="preserve"> وبنحو ذلك من النصوص التي يريدون فهمها من ظواهـر الألفاظ المقطوعة عن سـياقها</w:t>
      </w:r>
      <w:r w:rsidR="000636C2">
        <w:rPr>
          <w:rFonts w:hint="cs"/>
          <w:rtl/>
        </w:rPr>
        <w:t>،</w:t>
      </w:r>
      <w:r w:rsidRPr="005675B2">
        <w:rPr>
          <w:rFonts w:hint="cs"/>
          <w:rtl/>
        </w:rPr>
        <w:t xml:space="preserve"> أما فهم النص في ضوء سـياقه بصرفه عما يظهر من معاني مفرداته فهذا أمر متفق عليه</w:t>
      </w:r>
      <w:r w:rsidR="000636C2">
        <w:rPr>
          <w:rFonts w:hint="cs"/>
          <w:rtl/>
        </w:rPr>
        <w:t>،</w:t>
      </w:r>
      <w:r w:rsidRPr="005675B2">
        <w:rPr>
          <w:rFonts w:hint="cs"/>
          <w:rtl/>
        </w:rPr>
        <w:t xml:space="preserve"> ويكفينا في هذا الباب ما تقدم عن الإمـام أحمد ابن حنبل</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10 - ذكر السنوسي في كتابه المقدمات أن </w:t>
      </w:r>
      <w:r w:rsidR="000636C2">
        <w:rPr>
          <w:rFonts w:hint="cs"/>
          <w:rtl/>
        </w:rPr>
        <w:t>[</w:t>
      </w:r>
      <w:r w:rsidRPr="005675B2">
        <w:rPr>
          <w:rFonts w:hint="cs"/>
          <w:rtl/>
        </w:rPr>
        <w:t>من أصول الكفر والبدع التمسك في عقائد الإيمان بمجرد ظواهر الكتاب والسنة من غير تفصيل بين ما يستحيل ظاهره منها وما لا يستحيل</w:t>
      </w:r>
      <w:r w:rsidR="000636C2">
        <w:rPr>
          <w:rFonts w:hint="cs"/>
          <w:rtl/>
        </w:rPr>
        <w:t>]،</w:t>
      </w:r>
      <w:r w:rsidRPr="005675B2">
        <w:rPr>
          <w:rFonts w:hint="cs"/>
          <w:rtl/>
        </w:rPr>
        <w:t xml:space="preserve"> ثم قال في الشرح</w:t>
      </w:r>
      <w:r w:rsidR="000636C2">
        <w:rPr>
          <w:rFonts w:hint="cs"/>
          <w:rtl/>
        </w:rPr>
        <w:t>:</w:t>
      </w:r>
      <w:r w:rsidRPr="005675B2">
        <w:rPr>
          <w:rFonts w:hint="cs"/>
          <w:rtl/>
        </w:rPr>
        <w:t xml:space="preserve"> أما الكفر فكأخذ الثنوية القائلين بألوهية النور والظلمة من قوله تعالى </w:t>
      </w:r>
      <w:r w:rsidR="000636C2">
        <w:rPr>
          <w:rFonts w:hint="cs"/>
          <w:rtl/>
        </w:rPr>
        <w:t>[</w:t>
      </w:r>
      <w:r w:rsidRPr="005675B2">
        <w:rPr>
          <w:rFonts w:hint="cs"/>
          <w:rtl/>
        </w:rPr>
        <w:t>اللَّهُ نُورُ السَّمَاوَاتِ وَالْأَرْضِ</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النور آية 35</w:t>
      </w:r>
      <w:r w:rsidR="000636C2">
        <w:rPr>
          <w:rFonts w:hint="cs"/>
          <w:sz w:val="24"/>
          <w:szCs w:val="24"/>
          <w:rtl/>
        </w:rPr>
        <w:t>]</w:t>
      </w:r>
      <w:r w:rsidRPr="005675B2">
        <w:rPr>
          <w:rFonts w:hint="cs"/>
          <w:rtl/>
        </w:rPr>
        <w:t xml:space="preserve"> وأن النور أحد الإلهين واسمه الله</w:t>
      </w:r>
      <w:r w:rsidR="000636C2">
        <w:rPr>
          <w:rFonts w:hint="cs"/>
          <w:rtl/>
        </w:rPr>
        <w:t>،</w:t>
      </w:r>
      <w:r w:rsidRPr="005675B2">
        <w:rPr>
          <w:rFonts w:hint="cs"/>
          <w:rtl/>
        </w:rPr>
        <w:t xml:space="preserve"> ولم ينظروا إلى استحالة كون النور إلهاً لأنه متغير حادث [</w:t>
      </w:r>
      <w:r w:rsidRPr="005675B2">
        <w:rPr>
          <w:rFonts w:hint="cs"/>
          <w:sz w:val="24"/>
          <w:szCs w:val="24"/>
          <w:rtl/>
        </w:rPr>
        <w:t>شرح المقدمات للسنوسي: ص 45</w:t>
      </w:r>
      <w:r w:rsidR="000636C2">
        <w:rPr>
          <w:rFonts w:hint="cs"/>
          <w:sz w:val="24"/>
          <w:szCs w:val="24"/>
          <w:rtl/>
        </w:rPr>
        <w:t>،</w:t>
      </w:r>
      <w:r w:rsidRPr="005675B2">
        <w:rPr>
          <w:rFonts w:hint="cs"/>
          <w:sz w:val="24"/>
          <w:szCs w:val="24"/>
          <w:rtl/>
        </w:rPr>
        <w:t xml:space="preserve"> 48</w:t>
      </w:r>
      <w:r w:rsidR="000636C2">
        <w:rPr>
          <w:rFonts w:hint="cs"/>
          <w:sz w:val="24"/>
          <w:szCs w:val="24"/>
          <w:rtl/>
        </w:rPr>
        <w:t>]</w:t>
      </w:r>
      <w:r w:rsidR="000636C2">
        <w:rPr>
          <w:rFonts w:hint="cs"/>
          <w:rtl/>
        </w:rPr>
        <w:t xml:space="preserve">، </w:t>
      </w:r>
      <w:r w:rsidRPr="005675B2">
        <w:rPr>
          <w:rFonts w:hint="cs"/>
          <w:rtl/>
        </w:rPr>
        <w:t>فانظر</w:t>
      </w:r>
      <w:r w:rsidR="000636C2">
        <w:rPr>
          <w:rFonts w:hint="cs"/>
          <w:rtl/>
        </w:rPr>
        <w:t xml:space="preserve"> </w:t>
      </w:r>
      <w:r w:rsidRPr="005675B2">
        <w:rPr>
          <w:rFonts w:hint="cs"/>
          <w:rtl/>
        </w:rPr>
        <w:t>- رعاك الله</w:t>
      </w:r>
      <w:r w:rsidR="000636C2">
        <w:rPr>
          <w:rFonts w:hint="cs"/>
          <w:rtl/>
        </w:rPr>
        <w:t xml:space="preserve"> </w:t>
      </w:r>
      <w:r w:rsidRPr="005675B2">
        <w:rPr>
          <w:rFonts w:hint="cs"/>
          <w:rtl/>
        </w:rPr>
        <w:t>- كيف فسَّر السنوسي كلامه وتأمل المثال الذي ذكره</w:t>
      </w:r>
      <w:r w:rsidR="000636C2">
        <w:rPr>
          <w:rFonts w:hint="cs"/>
          <w:rtl/>
        </w:rPr>
        <w:t>،</w:t>
      </w:r>
      <w:r w:rsidRPr="005675B2">
        <w:rPr>
          <w:rFonts w:hint="cs"/>
          <w:rtl/>
        </w:rPr>
        <w:t xml:space="preserve"> والمرء أدرى بمرامي قوله ومقاصد نفسه</w:t>
      </w:r>
      <w:r w:rsidR="000636C2">
        <w:rPr>
          <w:rFonts w:hint="cs"/>
          <w:rtl/>
        </w:rPr>
        <w:t>،</w:t>
      </w:r>
    </w:p>
    <w:p w14:paraId="0B2FF428" w14:textId="7FBF07F1"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صَّرح متكلمو</w:t>
      </w:r>
      <w:r>
        <w:rPr>
          <w:rFonts w:hint="cs"/>
          <w:rtl/>
        </w:rPr>
        <w:t xml:space="preserve"> </w:t>
      </w:r>
      <w:r w:rsidRPr="005675B2">
        <w:rPr>
          <w:rFonts w:hint="cs"/>
          <w:rtl/>
        </w:rPr>
        <w:t>الأشاعرة أن نصوص الكتاب والسنة ظنية الدلالة ولا تفيد اليقين إلا إذا سلمت من عشر عوارض ..</w:t>
      </w:r>
      <w:r w:rsidR="000636C2">
        <w:rPr>
          <w:rFonts w:hint="cs"/>
          <w:rtl/>
        </w:rPr>
        <w:t>]،</w:t>
      </w:r>
    </w:p>
    <w:p w14:paraId="49B662D2" w14:textId="07B76D23"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المعروف عند الأشاعرة وغيرهم أن نصوص الكتاب والسنة بعضها قطعي الدلالة وبعضها ظني الدلالة</w:t>
      </w:r>
      <w:r w:rsidR="000636C2">
        <w:rPr>
          <w:rFonts w:hint="cs"/>
          <w:rtl/>
        </w:rPr>
        <w:t>،</w:t>
      </w:r>
      <w:r w:rsidRPr="005675B2">
        <w:rPr>
          <w:rFonts w:hint="cs"/>
          <w:rtl/>
        </w:rPr>
        <w:t xml:space="preserve"> فنقـلُ الباحث بأنهم صرحوا بأن نصوص الكتاب والسنة ظنية الدلالة غير صحيح بهذا الإطلاق</w:t>
      </w:r>
      <w:r w:rsidR="000636C2">
        <w:rPr>
          <w:rFonts w:hint="cs"/>
          <w:rtl/>
        </w:rPr>
        <w:t xml:space="preserve">، </w:t>
      </w:r>
      <w:r w:rsidRPr="005675B2">
        <w:rPr>
          <w:rFonts w:hint="cs"/>
          <w:rtl/>
        </w:rPr>
        <w:t xml:space="preserve">ومن الآيات القرآنية الكريمة القطعية الدلالة قوله تعالى </w:t>
      </w:r>
      <w:r w:rsidR="000636C2">
        <w:rPr>
          <w:rFonts w:hint="cs"/>
          <w:rtl/>
        </w:rPr>
        <w:t>[</w:t>
      </w:r>
      <w:r w:rsidRPr="005675B2">
        <w:rPr>
          <w:rFonts w:hint="cs"/>
          <w:rtl/>
        </w:rPr>
        <w:t>ذَلِكُمُ اللَّهُ رَبُّكُمْ لا إِلَهَ إِلَّا هُوَ</w:t>
      </w:r>
      <w:r w:rsidR="000636C2">
        <w:rPr>
          <w:rFonts w:hint="cs"/>
          <w:rtl/>
        </w:rPr>
        <w:t xml:space="preserve">] </w:t>
      </w:r>
      <w:r w:rsidRPr="005675B2">
        <w:rPr>
          <w:rFonts w:hint="cs"/>
          <w:rtl/>
        </w:rPr>
        <w:t>[</w:t>
      </w:r>
      <w:r w:rsidRPr="005675B2">
        <w:rPr>
          <w:rFonts w:hint="cs"/>
          <w:sz w:val="24"/>
          <w:szCs w:val="24"/>
          <w:rtl/>
        </w:rPr>
        <w:t>سورة الأنعام آية 102</w:t>
      </w:r>
      <w:r w:rsidR="000636C2">
        <w:rPr>
          <w:rFonts w:hint="cs"/>
          <w:sz w:val="24"/>
          <w:szCs w:val="24"/>
          <w:rtl/>
        </w:rPr>
        <w:t>]</w:t>
      </w:r>
      <w:r w:rsidRPr="005675B2">
        <w:rPr>
          <w:rFonts w:hint="cs"/>
          <w:rtl/>
        </w:rPr>
        <w:t xml:space="preserve">، </w:t>
      </w:r>
      <w:r w:rsidR="000636C2">
        <w:rPr>
          <w:rFonts w:hint="cs"/>
          <w:rtl/>
        </w:rPr>
        <w:t>[</w:t>
      </w:r>
      <w:r w:rsidRPr="005675B2">
        <w:rPr>
          <w:rFonts w:hint="cs"/>
          <w:rtl/>
        </w:rPr>
        <w:t>لَوْ</w:t>
      </w:r>
      <w:r w:rsidR="000636C2">
        <w:rPr>
          <w:rFonts w:hint="cs"/>
          <w:rtl/>
        </w:rPr>
        <w:t xml:space="preserve"> </w:t>
      </w:r>
      <w:r w:rsidRPr="005675B2">
        <w:rPr>
          <w:rFonts w:hint="cs"/>
          <w:rtl/>
        </w:rPr>
        <w:t>كَانَ فِيهِمَا آلِهَةٌ إِلَّا اللَّهُ لَفَسَدَتَا</w:t>
      </w:r>
      <w:r w:rsidR="000636C2">
        <w:rPr>
          <w:rFonts w:hint="cs"/>
          <w:rtl/>
        </w:rPr>
        <w:t>]</w:t>
      </w:r>
      <w:r w:rsidRPr="005675B2">
        <w:rPr>
          <w:rFonts w:hint="cs"/>
          <w:rtl/>
        </w:rPr>
        <w:t xml:space="preserve"> [</w:t>
      </w:r>
      <w:r w:rsidRPr="005675B2">
        <w:rPr>
          <w:rFonts w:hint="cs"/>
          <w:sz w:val="24"/>
          <w:szCs w:val="24"/>
          <w:rtl/>
        </w:rPr>
        <w:t>سورة الأنبياء آية 22</w:t>
      </w:r>
      <w:r w:rsidR="000636C2">
        <w:rPr>
          <w:rFonts w:hint="cs"/>
          <w:sz w:val="24"/>
          <w:szCs w:val="24"/>
          <w:rtl/>
        </w:rPr>
        <w:t>]</w:t>
      </w:r>
      <w:r w:rsidRPr="005675B2">
        <w:rPr>
          <w:rFonts w:hint="cs"/>
          <w:rtl/>
        </w:rPr>
        <w:t xml:space="preserve">، </w:t>
      </w:r>
      <w:r w:rsidR="000636C2">
        <w:rPr>
          <w:rFonts w:hint="cs"/>
          <w:rtl/>
        </w:rPr>
        <w:t>[</w:t>
      </w:r>
      <w:r w:rsidRPr="005675B2">
        <w:rPr>
          <w:rFonts w:hint="cs"/>
          <w:rtl/>
        </w:rPr>
        <w:t>قُلْ لَئِنِ اجْتَمَعَتِ الْأِنْسُ وَالْجِنُّ عَلَى أَنْ يَأْتُوا بِمِثْلِ هَذَا الْقُرْآنِ لا يَأْتُونَ بِمِثْلِهِ وَلَوْ</w:t>
      </w:r>
      <w:r w:rsidR="000636C2">
        <w:rPr>
          <w:rFonts w:hint="cs"/>
          <w:rtl/>
        </w:rPr>
        <w:t xml:space="preserve"> </w:t>
      </w:r>
      <w:r w:rsidRPr="005675B2">
        <w:rPr>
          <w:rFonts w:hint="cs"/>
          <w:rtl/>
        </w:rPr>
        <w:t>كَانَ بَعْضُهُمْ لِبَعْضٍ ظَهِيراً</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الإسراء آية 88</w:t>
      </w:r>
      <w:r w:rsidR="000636C2">
        <w:rPr>
          <w:rFonts w:hint="cs"/>
          <w:sz w:val="24"/>
          <w:szCs w:val="24"/>
          <w:rtl/>
        </w:rPr>
        <w:t>]</w:t>
      </w:r>
      <w:r w:rsidRPr="005675B2">
        <w:rPr>
          <w:rFonts w:hint="cs"/>
          <w:rtl/>
        </w:rPr>
        <w:t xml:space="preserve"> , </w:t>
      </w:r>
      <w:r w:rsidR="000636C2">
        <w:rPr>
          <w:rFonts w:hint="cs"/>
          <w:rtl/>
        </w:rPr>
        <w:t>[</w:t>
      </w:r>
      <w:r w:rsidRPr="005675B2">
        <w:rPr>
          <w:rFonts w:hint="cs"/>
          <w:rtl/>
        </w:rPr>
        <w:t>لَيْسَ كَمِثْلِهِ شَيْءٌ</w:t>
      </w:r>
      <w:r w:rsidR="000636C2">
        <w:rPr>
          <w:rFonts w:hint="cs"/>
          <w:rtl/>
        </w:rPr>
        <w:t>]</w:t>
      </w:r>
      <w:r w:rsidRPr="005675B2">
        <w:rPr>
          <w:rFonts w:hint="cs"/>
          <w:rtl/>
        </w:rPr>
        <w:t xml:space="preserve"> [</w:t>
      </w:r>
      <w:r w:rsidRPr="005675B2">
        <w:rPr>
          <w:rFonts w:hint="cs"/>
          <w:sz w:val="24"/>
          <w:szCs w:val="24"/>
          <w:rtl/>
        </w:rPr>
        <w:t>سورة الشورى آية 11</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قُلْ هُوَ اللَّهُ أَحَدٌ</w:t>
      </w:r>
      <w:r w:rsidR="000636C2">
        <w:rPr>
          <w:rFonts w:hint="cs"/>
          <w:rtl/>
        </w:rPr>
        <w:t>]</w:t>
      </w:r>
      <w:r w:rsidRPr="005675B2">
        <w:rPr>
          <w:rFonts w:hint="cs"/>
          <w:rtl/>
        </w:rPr>
        <w:t xml:space="preserve"> [</w:t>
      </w:r>
      <w:r w:rsidRPr="005675B2">
        <w:rPr>
          <w:rFonts w:hint="cs"/>
          <w:sz w:val="24"/>
          <w:szCs w:val="24"/>
          <w:rtl/>
        </w:rPr>
        <w:t>سورة الإخلاص آية 1</w:t>
      </w:r>
      <w:r w:rsidR="000636C2">
        <w:rPr>
          <w:rFonts w:hint="cs"/>
          <w:sz w:val="24"/>
          <w:szCs w:val="24"/>
          <w:rtl/>
        </w:rPr>
        <w:t>]</w:t>
      </w:r>
      <w:r w:rsidRPr="005675B2">
        <w:rPr>
          <w:rFonts w:hint="cs"/>
          <w:rtl/>
        </w:rPr>
        <w:t>، وغيرها كثير</w:t>
      </w:r>
      <w:r w:rsidR="000636C2">
        <w:rPr>
          <w:rFonts w:hint="cs"/>
          <w:rtl/>
        </w:rPr>
        <w:t>،</w:t>
      </w:r>
      <w:r w:rsidRPr="005675B2">
        <w:rPr>
          <w:rFonts w:hint="cs"/>
          <w:rtl/>
        </w:rPr>
        <w:t xml:space="preserve"> فهل قال أحد من الأشاعرة إن دلالتها ظنية</w:t>
      </w:r>
      <w:r w:rsidR="000636C2">
        <w:rPr>
          <w:rFonts w:hint="cs"/>
          <w:rtl/>
        </w:rPr>
        <w:t>؟!</w:t>
      </w:r>
      <w:r w:rsidRPr="005675B2">
        <w:rPr>
          <w:rFonts w:hint="cs"/>
          <w:rtl/>
        </w:rPr>
        <w:t>!</w:t>
      </w:r>
      <w:r w:rsidR="000636C2">
        <w:rPr>
          <w:rFonts w:hint="cs"/>
          <w:rtl/>
        </w:rPr>
        <w:t xml:space="preserve">، </w:t>
      </w:r>
      <w:r w:rsidRPr="005675B2">
        <w:rPr>
          <w:rFonts w:hint="cs"/>
          <w:rtl/>
        </w:rPr>
        <w:t>2 - عزا الباحث إلى متكلمي الأشاعرة أن نصوص الكتاب والسنة لا تفيد اليقين إلا إذا سلمت من عشرة عوارض</w:t>
      </w:r>
      <w:r w:rsidR="000636C2">
        <w:rPr>
          <w:rFonts w:hint="cs"/>
          <w:rtl/>
        </w:rPr>
        <w:t>،</w:t>
      </w:r>
      <w:r w:rsidRPr="005675B2">
        <w:rPr>
          <w:rFonts w:hint="cs"/>
          <w:rtl/>
        </w:rPr>
        <w:t xml:space="preserve"> ومنها الإضمار والتخصيص والنقل والاشتراك … والمعارض العقلي</w:t>
      </w:r>
      <w:r w:rsidR="000636C2">
        <w:rPr>
          <w:rFonts w:hint="cs"/>
          <w:rtl/>
        </w:rPr>
        <w:t>،</w:t>
      </w:r>
      <w:r w:rsidRPr="005675B2">
        <w:rPr>
          <w:rFonts w:hint="cs"/>
          <w:rtl/>
        </w:rPr>
        <w:t xml:space="preserve"> لا بد من تدبر القول لفهم معناه</w:t>
      </w:r>
      <w:r w:rsidR="000636C2">
        <w:rPr>
          <w:rFonts w:hint="cs"/>
          <w:rtl/>
        </w:rPr>
        <w:t>،</w:t>
      </w:r>
      <w:r w:rsidRPr="005675B2">
        <w:rPr>
          <w:rFonts w:hint="cs"/>
          <w:rtl/>
        </w:rPr>
        <w:t xml:space="preserve"> فما معنى هذا الكلام</w:t>
      </w:r>
      <w:r w:rsidR="000636C2">
        <w:rPr>
          <w:rFonts w:hint="cs"/>
          <w:rtl/>
        </w:rPr>
        <w:t xml:space="preserve">؟ </w:t>
      </w:r>
      <w:r w:rsidRPr="005675B2">
        <w:rPr>
          <w:rFonts w:hint="cs"/>
          <w:rtl/>
        </w:rPr>
        <w:t>معناه أن النصوص لا تفهم بمجرد فهم معاني المفردات والتراكيب، بل هناك شيء آخر لا بد منه</w:t>
      </w:r>
      <w:r w:rsidR="000636C2">
        <w:rPr>
          <w:rFonts w:hint="cs"/>
          <w:rtl/>
        </w:rPr>
        <w:t>،</w:t>
      </w:r>
      <w:r w:rsidRPr="005675B2">
        <w:rPr>
          <w:rFonts w:hint="cs"/>
          <w:rtl/>
        </w:rPr>
        <w:t xml:space="preserve"> وهو فَهم الأساليب</w:t>
      </w:r>
      <w:r w:rsidR="000636C2">
        <w:rPr>
          <w:rFonts w:hint="cs"/>
          <w:rtl/>
        </w:rPr>
        <w:t xml:space="preserve">، </w:t>
      </w:r>
      <w:r w:rsidRPr="005675B2">
        <w:rPr>
          <w:rFonts w:hint="cs"/>
          <w:rtl/>
        </w:rPr>
        <w:t>فمثلا قال الله تعالى في قصة عاد</w:t>
      </w:r>
      <w:r w:rsidR="000636C2">
        <w:rPr>
          <w:rFonts w:hint="cs"/>
          <w:rtl/>
        </w:rPr>
        <w:t>:</w:t>
      </w:r>
      <w:r w:rsidRPr="005675B2">
        <w:rPr>
          <w:rFonts w:hint="cs"/>
          <w:rtl/>
        </w:rPr>
        <w:t xml:space="preserve"> </w:t>
      </w:r>
      <w:r w:rsidR="000636C2">
        <w:rPr>
          <w:rFonts w:hint="cs"/>
          <w:rtl/>
        </w:rPr>
        <w:t>[</w:t>
      </w:r>
      <w:r w:rsidRPr="005675B2">
        <w:rPr>
          <w:rFonts w:hint="cs"/>
          <w:rtl/>
        </w:rPr>
        <w:t>فَلَمَّا رَأَوْهُ عَارِضاً مُسْتَقْبِلَ أَوْدِيَتِهِمْ قَالُوا هَذَا عَارِضٌ مُمْطِرُنَا بَلْ هُوَ مَا اسْتَعْجَلْتُمْ بِهِ رِيحٌ فِيهَا عَذَابٌ أَلِيمٌ * تُدَمِّرُ كُلَّ شَيْءٍ بِأَمْرِ رَبِّهَا فَأَصْبَحُوا لا يُرَى إِلَّا مَسَاكِنُهُمْ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الأحقاف</w:t>
      </w:r>
      <w:r w:rsidR="000636C2">
        <w:rPr>
          <w:rFonts w:hint="cs"/>
          <w:sz w:val="24"/>
          <w:szCs w:val="24"/>
          <w:rtl/>
        </w:rPr>
        <w:t>،</w:t>
      </w:r>
      <w:r w:rsidRPr="005675B2">
        <w:rPr>
          <w:rFonts w:hint="cs"/>
          <w:sz w:val="24"/>
          <w:szCs w:val="24"/>
          <w:rtl/>
        </w:rPr>
        <w:t xml:space="preserve"> الآية 25</w:t>
      </w:r>
      <w:r w:rsidR="000636C2">
        <w:rPr>
          <w:rFonts w:hint="cs"/>
          <w:sz w:val="24"/>
          <w:szCs w:val="24"/>
          <w:rtl/>
        </w:rPr>
        <w:t>]</w:t>
      </w:r>
      <w:r w:rsidRPr="005675B2">
        <w:rPr>
          <w:rFonts w:hint="cs"/>
          <w:rtl/>
        </w:rPr>
        <w:t xml:space="preserve"> فهل دمرت الريح كل شيء</w:t>
      </w:r>
      <w:r w:rsidR="000636C2">
        <w:rPr>
          <w:rFonts w:hint="cs"/>
          <w:rtl/>
        </w:rPr>
        <w:t xml:space="preserve">؟، </w:t>
      </w:r>
      <w:r w:rsidRPr="005675B2">
        <w:rPr>
          <w:rFonts w:hint="cs"/>
          <w:rtl/>
        </w:rPr>
        <w:t>قد يأتي من يدعي أنه يحمل راية الدعوة إلى التمسك بالكتاب والسنة ويقول</w:t>
      </w:r>
      <w:r w:rsidR="000636C2">
        <w:rPr>
          <w:rFonts w:hint="cs"/>
          <w:rtl/>
        </w:rPr>
        <w:t>:</w:t>
      </w:r>
      <w:r w:rsidRPr="005675B2">
        <w:rPr>
          <w:rFonts w:hint="cs"/>
          <w:rtl/>
        </w:rPr>
        <w:t xml:space="preserve"> نعم</w:t>
      </w:r>
      <w:r w:rsidR="000636C2">
        <w:rPr>
          <w:rFonts w:hint="cs"/>
          <w:rtl/>
        </w:rPr>
        <w:t>،</w:t>
      </w:r>
      <w:r w:rsidRPr="005675B2">
        <w:rPr>
          <w:rFonts w:hint="cs"/>
          <w:rtl/>
        </w:rPr>
        <w:t xml:space="preserve"> إن الريح التي أرسلت على عاد حملت إليهم العذاب الأليم</w:t>
      </w:r>
      <w:r w:rsidR="000636C2">
        <w:rPr>
          <w:rFonts w:hint="cs"/>
          <w:rtl/>
        </w:rPr>
        <w:t>،</w:t>
      </w:r>
      <w:r w:rsidRPr="005675B2">
        <w:rPr>
          <w:rFonts w:hint="cs"/>
          <w:rtl/>
        </w:rPr>
        <w:t xml:space="preserve"> ودمرت كل شيء</w:t>
      </w:r>
      <w:r w:rsidR="000636C2">
        <w:rPr>
          <w:rFonts w:hint="cs"/>
          <w:rtl/>
        </w:rPr>
        <w:t>،</w:t>
      </w:r>
      <w:r w:rsidRPr="005675B2">
        <w:rPr>
          <w:rFonts w:hint="cs"/>
          <w:rtl/>
        </w:rPr>
        <w:t xml:space="preserve"> ومن لم يعتقد هذا فهو كافر</w:t>
      </w:r>
      <w:r w:rsidR="000636C2">
        <w:rPr>
          <w:rFonts w:hint="cs"/>
          <w:rtl/>
        </w:rPr>
        <w:t>،</w:t>
      </w:r>
      <w:r w:rsidRPr="005675B2">
        <w:rPr>
          <w:rFonts w:hint="cs"/>
          <w:rtl/>
        </w:rPr>
        <w:t xml:space="preserve"> وأقل ما يقال فيه إنه مبتدع ضال مضل لا يؤمن بأن نصوص الكتاب والسنة تفيد اليقين</w:t>
      </w:r>
      <w:r w:rsidR="000636C2">
        <w:rPr>
          <w:rFonts w:hint="cs"/>
          <w:rtl/>
        </w:rPr>
        <w:t xml:space="preserve">!، </w:t>
      </w:r>
      <w:r w:rsidRPr="005675B2">
        <w:rPr>
          <w:rFonts w:hint="cs"/>
          <w:rtl/>
        </w:rPr>
        <w:t>فيقال له</w:t>
      </w:r>
      <w:r w:rsidR="000636C2">
        <w:rPr>
          <w:rFonts w:hint="cs"/>
          <w:rtl/>
        </w:rPr>
        <w:t>:</w:t>
      </w:r>
      <w:r w:rsidRPr="005675B2">
        <w:rPr>
          <w:rFonts w:hint="cs"/>
          <w:rtl/>
        </w:rPr>
        <w:t xml:space="preserve"> على رسلك - عافاك الله</w:t>
      </w:r>
      <w:r w:rsidR="000636C2">
        <w:rPr>
          <w:rFonts w:hint="cs"/>
          <w:rtl/>
        </w:rPr>
        <w:t xml:space="preserve"> </w:t>
      </w:r>
      <w:r w:rsidRPr="005675B2">
        <w:rPr>
          <w:rFonts w:hint="cs"/>
          <w:rtl/>
        </w:rPr>
        <w:t>- ففي الآية إضمار</w:t>
      </w:r>
      <w:r w:rsidR="000636C2">
        <w:rPr>
          <w:rFonts w:hint="cs"/>
          <w:rtl/>
        </w:rPr>
        <w:t xml:space="preserve">، </w:t>
      </w:r>
      <w:r w:rsidRPr="005675B2">
        <w:rPr>
          <w:rFonts w:hint="cs"/>
          <w:rtl/>
        </w:rPr>
        <w:t>فيقول</w:t>
      </w:r>
      <w:r w:rsidR="000636C2">
        <w:rPr>
          <w:rFonts w:hint="cs"/>
          <w:rtl/>
        </w:rPr>
        <w:t>:</w:t>
      </w:r>
      <w:r w:rsidRPr="005675B2">
        <w:rPr>
          <w:rFonts w:hint="cs"/>
          <w:rtl/>
        </w:rPr>
        <w:t xml:space="preserve"> وما الإضمار</w:t>
      </w:r>
      <w:r w:rsidR="000636C2">
        <w:rPr>
          <w:rFonts w:hint="cs"/>
          <w:rtl/>
        </w:rPr>
        <w:t>؟!،</w:t>
      </w:r>
      <w:r w:rsidRPr="005675B2">
        <w:rPr>
          <w:rFonts w:hint="cs"/>
          <w:rtl/>
        </w:rPr>
        <w:t xml:space="preserve"> لا إضمار في النصوص</w:t>
      </w:r>
      <w:r w:rsidR="000636C2">
        <w:rPr>
          <w:rFonts w:hint="cs"/>
          <w:rtl/>
        </w:rPr>
        <w:t>،</w:t>
      </w:r>
      <w:r w:rsidRPr="005675B2">
        <w:rPr>
          <w:rFonts w:hint="cs"/>
          <w:rtl/>
        </w:rPr>
        <w:t xml:space="preserve"> وعندنا كتاب ربنا وسنة نبينا صلى الله عليه وسلم</w:t>
      </w:r>
      <w:r w:rsidR="000636C2">
        <w:rPr>
          <w:rFonts w:hint="cs"/>
          <w:rtl/>
        </w:rPr>
        <w:t>،</w:t>
      </w:r>
      <w:r w:rsidRPr="005675B2">
        <w:rPr>
          <w:rFonts w:hint="cs"/>
          <w:rtl/>
        </w:rPr>
        <w:t xml:space="preserve"> وفيهما الهدى</w:t>
      </w:r>
      <w:r w:rsidR="000636C2">
        <w:rPr>
          <w:rFonts w:hint="cs"/>
          <w:rtl/>
        </w:rPr>
        <w:t xml:space="preserve">، </w:t>
      </w:r>
      <w:r w:rsidRPr="005675B2">
        <w:rPr>
          <w:rFonts w:hint="cs"/>
          <w:rtl/>
        </w:rPr>
        <w:t>فيقال له</w:t>
      </w:r>
      <w:r w:rsidR="000636C2">
        <w:rPr>
          <w:rFonts w:hint="cs"/>
          <w:rtl/>
        </w:rPr>
        <w:t>:</w:t>
      </w:r>
      <w:r w:rsidRPr="005675B2">
        <w:rPr>
          <w:rFonts w:hint="cs"/>
          <w:rtl/>
        </w:rPr>
        <w:t xml:space="preserve"> بلى</w:t>
      </w:r>
      <w:r w:rsidR="000636C2">
        <w:rPr>
          <w:rFonts w:hint="cs"/>
          <w:rtl/>
        </w:rPr>
        <w:t>،</w:t>
      </w:r>
      <w:r w:rsidRPr="005675B2">
        <w:rPr>
          <w:rFonts w:hint="cs"/>
          <w:rtl/>
        </w:rPr>
        <w:t xml:space="preserve"> إن أصدق الحديث كتاب الله تعالى</w:t>
      </w:r>
      <w:r w:rsidR="000636C2">
        <w:rPr>
          <w:rFonts w:hint="cs"/>
          <w:rtl/>
        </w:rPr>
        <w:t>،</w:t>
      </w:r>
      <w:r w:rsidRPr="005675B2">
        <w:rPr>
          <w:rFonts w:hint="cs"/>
          <w:rtl/>
        </w:rPr>
        <w:t xml:space="preserve"> وخير الهدي هدي نبينا محمد صلى الله عليه وسلم، ولا نرضى عنهما بديلاً</w:t>
      </w:r>
      <w:r w:rsidR="000636C2">
        <w:rPr>
          <w:rFonts w:hint="cs"/>
          <w:rtl/>
        </w:rPr>
        <w:t>،</w:t>
      </w:r>
      <w:r w:rsidRPr="005675B2">
        <w:rPr>
          <w:rFonts w:hint="cs"/>
          <w:rtl/>
        </w:rPr>
        <w:t xml:space="preserve"> ولكن في قوله تعالى </w:t>
      </w:r>
      <w:r w:rsidR="000636C2">
        <w:rPr>
          <w:rFonts w:hint="cs"/>
          <w:rtl/>
        </w:rPr>
        <w:t>[</w:t>
      </w:r>
      <w:r w:rsidRPr="005675B2">
        <w:rPr>
          <w:rFonts w:hint="cs"/>
          <w:rtl/>
        </w:rPr>
        <w:t>تُدَمِّرُ كُلَّ شَيْءٍ</w:t>
      </w:r>
      <w:r w:rsidR="000636C2">
        <w:rPr>
          <w:rFonts w:hint="cs"/>
          <w:rtl/>
        </w:rPr>
        <w:t xml:space="preserve">] </w:t>
      </w:r>
      <w:r w:rsidRPr="005675B2">
        <w:rPr>
          <w:rFonts w:hint="cs"/>
          <w:rtl/>
        </w:rPr>
        <w:t>إضمار</w:t>
      </w:r>
      <w:r w:rsidR="000636C2">
        <w:rPr>
          <w:rFonts w:hint="cs"/>
          <w:rtl/>
        </w:rPr>
        <w:t>،</w:t>
      </w:r>
      <w:r w:rsidRPr="005675B2">
        <w:rPr>
          <w:rFonts w:hint="cs"/>
          <w:rtl/>
        </w:rPr>
        <w:t xml:space="preserve"> والتقدير</w:t>
      </w:r>
      <w:r w:rsidR="000636C2">
        <w:rPr>
          <w:rFonts w:hint="cs"/>
          <w:rtl/>
        </w:rPr>
        <w:t>:</w:t>
      </w:r>
      <w:r w:rsidRPr="005675B2">
        <w:rPr>
          <w:rFonts w:hint="cs"/>
          <w:rtl/>
        </w:rPr>
        <w:t xml:space="preserve"> تدمر كل شيء قابل للتدمير بالريح</w:t>
      </w:r>
      <w:r w:rsidR="000636C2">
        <w:rPr>
          <w:rFonts w:hint="cs"/>
          <w:rtl/>
        </w:rPr>
        <w:t>،</w:t>
      </w:r>
      <w:r w:rsidRPr="005675B2">
        <w:rPr>
          <w:rFonts w:hint="cs"/>
          <w:rtl/>
        </w:rPr>
        <w:t xml:space="preserve"> لا كل شيء على الإطلاق</w:t>
      </w:r>
      <w:r w:rsidR="000636C2">
        <w:rPr>
          <w:rFonts w:hint="cs"/>
          <w:rtl/>
        </w:rPr>
        <w:t xml:space="preserve">، </w:t>
      </w:r>
      <w:r w:rsidRPr="005675B2">
        <w:rPr>
          <w:rFonts w:hint="cs"/>
          <w:rtl/>
        </w:rPr>
        <w:t>فيقول</w:t>
      </w:r>
      <w:r w:rsidR="000636C2">
        <w:rPr>
          <w:rFonts w:hint="cs"/>
          <w:rtl/>
        </w:rPr>
        <w:t>:</w:t>
      </w:r>
      <w:r w:rsidRPr="005675B2">
        <w:rPr>
          <w:rFonts w:hint="cs"/>
          <w:rtl/>
        </w:rPr>
        <w:t xml:space="preserve"> وما الدليل على ذلك</w:t>
      </w:r>
      <w:r w:rsidR="000636C2">
        <w:rPr>
          <w:rFonts w:hint="cs"/>
          <w:rtl/>
        </w:rPr>
        <w:t xml:space="preserve">؟، </w:t>
      </w:r>
      <w:r w:rsidRPr="005675B2">
        <w:rPr>
          <w:rFonts w:hint="cs"/>
          <w:rtl/>
        </w:rPr>
        <w:t>فيقال له</w:t>
      </w:r>
      <w:r w:rsidR="000636C2">
        <w:rPr>
          <w:rFonts w:hint="cs"/>
          <w:rtl/>
        </w:rPr>
        <w:t>:</w:t>
      </w:r>
      <w:r w:rsidRPr="005675B2">
        <w:rPr>
          <w:rFonts w:hint="cs"/>
          <w:rtl/>
        </w:rPr>
        <w:t xml:space="preserve"> إن الريح دمرتهم ودمرت مواشيهم وزروعهم</w:t>
      </w:r>
      <w:r w:rsidR="000636C2">
        <w:rPr>
          <w:rFonts w:hint="cs"/>
          <w:rtl/>
        </w:rPr>
        <w:t>،</w:t>
      </w:r>
      <w:r w:rsidRPr="005675B2">
        <w:rPr>
          <w:rFonts w:hint="cs"/>
          <w:rtl/>
        </w:rPr>
        <w:t xml:space="preserve"> ولم تدمر مساكنهم</w:t>
      </w:r>
      <w:r w:rsidR="000636C2">
        <w:rPr>
          <w:rFonts w:hint="cs"/>
          <w:rtl/>
        </w:rPr>
        <w:t>،</w:t>
      </w:r>
      <w:r w:rsidRPr="005675B2">
        <w:rPr>
          <w:rFonts w:hint="cs"/>
          <w:rtl/>
        </w:rPr>
        <w:t xml:space="preserve"> بدليل قوله تعالى </w:t>
      </w:r>
      <w:r w:rsidR="000636C2">
        <w:rPr>
          <w:rFonts w:hint="cs"/>
          <w:rtl/>
        </w:rPr>
        <w:t>[</w:t>
      </w:r>
      <w:r w:rsidRPr="005675B2">
        <w:rPr>
          <w:rFonts w:hint="cs"/>
          <w:rtl/>
        </w:rPr>
        <w:t>فَأَصْبَحُوا لا يُرَى إِلَّا مَسَاكِنُهُمْ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الآية السابقة</w:t>
      </w:r>
      <w:r w:rsidR="000636C2">
        <w:rPr>
          <w:rFonts w:hint="cs"/>
          <w:sz w:val="24"/>
          <w:szCs w:val="24"/>
          <w:rtl/>
        </w:rPr>
        <w:t>]</w:t>
      </w:r>
      <w:r w:rsidR="000636C2">
        <w:rPr>
          <w:rFonts w:hint="cs"/>
          <w:rtl/>
        </w:rPr>
        <w:t>،</w:t>
      </w:r>
      <w:r w:rsidRPr="005675B2">
        <w:rPr>
          <w:rFonts w:hint="cs"/>
          <w:rtl/>
        </w:rPr>
        <w:t xml:space="preserve"> أي إن المساكن بقيت ولم تدمر</w:t>
      </w:r>
      <w:r w:rsidR="000636C2">
        <w:rPr>
          <w:rFonts w:hint="cs"/>
          <w:rtl/>
        </w:rPr>
        <w:t>،</w:t>
      </w:r>
      <w:r w:rsidRPr="005675B2">
        <w:rPr>
          <w:rFonts w:hint="cs"/>
          <w:rtl/>
        </w:rPr>
        <w:t xml:space="preserve"> فتفكر وتدبر</w:t>
      </w:r>
      <w:r w:rsidR="000636C2">
        <w:rPr>
          <w:rFonts w:hint="cs"/>
          <w:rtl/>
        </w:rPr>
        <w:t xml:space="preserve">، </w:t>
      </w:r>
      <w:r w:rsidRPr="005675B2">
        <w:rPr>
          <w:rFonts w:hint="cs"/>
          <w:rtl/>
        </w:rPr>
        <w:t>3</w:t>
      </w:r>
      <w:r w:rsidR="000636C2">
        <w:rPr>
          <w:rFonts w:hint="cs"/>
          <w:rtl/>
        </w:rPr>
        <w:t xml:space="preserve"> </w:t>
      </w:r>
      <w:r w:rsidRPr="005675B2">
        <w:rPr>
          <w:rFonts w:hint="cs"/>
          <w:rtl/>
        </w:rPr>
        <w:t xml:space="preserve">- هذا وقد أوّل الإمام أحمد رحمه الله قول الله عز وجل </w:t>
      </w:r>
      <w:r w:rsidR="000636C2">
        <w:rPr>
          <w:rFonts w:hint="cs"/>
          <w:rtl/>
        </w:rPr>
        <w:t>[</w:t>
      </w:r>
      <w:r w:rsidRPr="005675B2">
        <w:rPr>
          <w:rFonts w:hint="cs"/>
          <w:rtl/>
        </w:rPr>
        <w:t>كُلُّ شَيْءٍ هَالِكٌ إِلَّا وَجْهَهُ</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القصص آية 88</w:t>
      </w:r>
      <w:r w:rsidR="000636C2">
        <w:rPr>
          <w:rFonts w:hint="cs"/>
          <w:sz w:val="24"/>
          <w:szCs w:val="24"/>
          <w:rtl/>
        </w:rPr>
        <w:t>]</w:t>
      </w:r>
      <w:r w:rsidRPr="005675B2">
        <w:rPr>
          <w:rFonts w:hint="cs"/>
          <w:rtl/>
        </w:rPr>
        <w:t xml:space="preserve"> بقوله</w:t>
      </w:r>
      <w:r w:rsidR="000636C2">
        <w:rPr>
          <w:rFonts w:hint="cs"/>
          <w:rtl/>
        </w:rPr>
        <w:t>:</w:t>
      </w:r>
      <w:r w:rsidRPr="005675B2">
        <w:rPr>
          <w:rFonts w:hint="cs"/>
          <w:rtl/>
        </w:rPr>
        <w:t xml:space="preserve"> كل شيء مما كتب الله عليه الفناء والهلاك هلك</w:t>
      </w:r>
      <w:r w:rsidR="000636C2">
        <w:rPr>
          <w:rFonts w:hint="cs"/>
          <w:rtl/>
        </w:rPr>
        <w:t>،</w:t>
      </w:r>
      <w:r w:rsidRPr="005675B2">
        <w:rPr>
          <w:rFonts w:hint="cs"/>
          <w:rtl/>
        </w:rPr>
        <w:t xml:space="preserve"> والجنة والنار خلقتا للبقاء [</w:t>
      </w:r>
      <w:r w:rsidRPr="005675B2">
        <w:rPr>
          <w:rFonts w:hint="cs"/>
          <w:sz w:val="24"/>
          <w:szCs w:val="24"/>
          <w:rtl/>
        </w:rPr>
        <w:t>طبقات الحنابلة لابن أبي يعلى: 1/28</w:t>
      </w:r>
      <w:r w:rsidR="000636C2">
        <w:rPr>
          <w:rFonts w:hint="cs"/>
          <w:sz w:val="24"/>
          <w:szCs w:val="24"/>
          <w:rtl/>
        </w:rPr>
        <w:t>]</w:t>
      </w:r>
      <w:r w:rsidR="000636C2">
        <w:rPr>
          <w:rFonts w:hint="cs"/>
          <w:rtl/>
        </w:rPr>
        <w:t xml:space="preserve">، </w:t>
      </w:r>
      <w:r w:rsidRPr="005675B2">
        <w:rPr>
          <w:rFonts w:hint="cs"/>
          <w:rtl/>
        </w:rPr>
        <w:t>4</w:t>
      </w:r>
      <w:r w:rsidR="000636C2">
        <w:rPr>
          <w:rFonts w:hint="cs"/>
          <w:rtl/>
        </w:rPr>
        <w:t xml:space="preserve"> </w:t>
      </w:r>
      <w:r w:rsidRPr="005675B2">
        <w:rPr>
          <w:rFonts w:hint="cs"/>
          <w:rtl/>
        </w:rPr>
        <w:t xml:space="preserve">- ولُيعلم أن بعض الأشاعرة قال عن الدلائل النقلية </w:t>
      </w:r>
      <w:r w:rsidR="000636C2">
        <w:rPr>
          <w:rFonts w:hint="cs"/>
          <w:rtl/>
        </w:rPr>
        <w:t>[</w:t>
      </w:r>
      <w:r w:rsidRPr="005675B2">
        <w:rPr>
          <w:rFonts w:hint="cs"/>
          <w:rtl/>
        </w:rPr>
        <w:t>في إفادتها اليقينَ في العقليات نظر</w:t>
      </w:r>
      <w:r w:rsidR="000636C2">
        <w:rPr>
          <w:rFonts w:hint="cs"/>
          <w:rtl/>
        </w:rPr>
        <w:t>]،</w:t>
      </w:r>
      <w:r w:rsidRPr="005675B2">
        <w:rPr>
          <w:rFonts w:hint="cs"/>
          <w:rtl/>
        </w:rPr>
        <w:t xml:space="preserve"> ومعناه أن النصوص - منفردة</w:t>
      </w:r>
      <w:r w:rsidR="000636C2">
        <w:rPr>
          <w:rFonts w:hint="cs"/>
          <w:rtl/>
        </w:rPr>
        <w:t xml:space="preserve"> </w:t>
      </w:r>
      <w:r w:rsidRPr="005675B2">
        <w:rPr>
          <w:rFonts w:hint="cs"/>
          <w:rtl/>
        </w:rPr>
        <w:t>- لا تفيد اليقين في العقليات</w:t>
      </w:r>
      <w:r w:rsidR="000636C2">
        <w:rPr>
          <w:rFonts w:hint="cs"/>
          <w:rtl/>
        </w:rPr>
        <w:t>،</w:t>
      </w:r>
      <w:r w:rsidRPr="005675B2">
        <w:rPr>
          <w:rFonts w:hint="cs"/>
          <w:rtl/>
        </w:rPr>
        <w:t xml:space="preserve"> بل لا بد من تضافرها مع الدلالة العقلية</w:t>
      </w:r>
      <w:r w:rsidR="000636C2">
        <w:rPr>
          <w:rFonts w:hint="cs"/>
          <w:rtl/>
        </w:rPr>
        <w:t xml:space="preserve">، </w:t>
      </w:r>
      <w:r w:rsidRPr="005675B2">
        <w:rPr>
          <w:rFonts w:hint="cs"/>
          <w:rtl/>
        </w:rPr>
        <w:t>5 - ممن رد على القائلين بأن الدلائل النقلية لا تفيد اليقين</w:t>
      </w:r>
      <w:r w:rsidR="000636C2">
        <w:rPr>
          <w:rFonts w:hint="cs"/>
          <w:rtl/>
        </w:rPr>
        <w:t>:</w:t>
      </w:r>
      <w:r w:rsidRPr="005675B2">
        <w:rPr>
          <w:rFonts w:hint="cs"/>
          <w:rtl/>
        </w:rPr>
        <w:t xml:space="preserve"> الإمام الرازي</w:t>
      </w:r>
      <w:r w:rsidR="000636C2">
        <w:rPr>
          <w:rFonts w:hint="cs"/>
          <w:rtl/>
        </w:rPr>
        <w:t>،</w:t>
      </w:r>
      <w:r w:rsidRPr="005675B2">
        <w:rPr>
          <w:rFonts w:hint="cs"/>
          <w:rtl/>
        </w:rPr>
        <w:t xml:space="preserve"> حيث يقول</w:t>
      </w:r>
      <w:r w:rsidR="000636C2">
        <w:rPr>
          <w:rFonts w:hint="cs"/>
          <w:rtl/>
        </w:rPr>
        <w:t>:</w:t>
      </w:r>
      <w:r w:rsidRPr="005675B2">
        <w:rPr>
          <w:rFonts w:hint="cs"/>
          <w:rtl/>
        </w:rPr>
        <w:t xml:space="preserve"> </w:t>
      </w:r>
      <w:r w:rsidR="000636C2">
        <w:rPr>
          <w:rFonts w:hint="cs"/>
          <w:rtl/>
        </w:rPr>
        <w:t>[</w:t>
      </w:r>
      <w:r w:rsidRPr="005675B2">
        <w:rPr>
          <w:rFonts w:hint="cs"/>
          <w:rtl/>
        </w:rPr>
        <w:t>اختلف العقلاء في أن التمسك بالدلائل النقلية هل يفيد اليقين أو لا</w:t>
      </w:r>
      <w:r w:rsidR="000636C2">
        <w:rPr>
          <w:rFonts w:hint="cs"/>
          <w:rtl/>
        </w:rPr>
        <w:t>؟</w:t>
      </w:r>
      <w:r w:rsidRPr="005675B2">
        <w:rPr>
          <w:rFonts w:hint="cs"/>
          <w:rtl/>
        </w:rPr>
        <w:t xml:space="preserve"> فقال قوم</w:t>
      </w:r>
      <w:r w:rsidR="000636C2">
        <w:rPr>
          <w:rFonts w:hint="cs"/>
          <w:rtl/>
        </w:rPr>
        <w:t>:</w:t>
      </w:r>
      <w:r w:rsidRPr="005675B2">
        <w:rPr>
          <w:rFonts w:hint="cs"/>
          <w:rtl/>
        </w:rPr>
        <w:t xml:space="preserve"> إنه لا يفيد اليقين البتة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واعلم أن هذا الكلام على إطلاقه ليس بصحيح</w:t>
      </w:r>
      <w:r w:rsidR="000636C2">
        <w:rPr>
          <w:rFonts w:hint="cs"/>
          <w:rtl/>
        </w:rPr>
        <w:t>،</w:t>
      </w:r>
      <w:r w:rsidRPr="005675B2">
        <w:rPr>
          <w:rFonts w:hint="cs"/>
          <w:rtl/>
        </w:rPr>
        <w:t xml:space="preserve"> لأنه ربما اقترن بالدلائل النقلية أمور عرف وجودها بالأخبار المتواترة وتلك الأمور تنفي هذه الاحتمالات</w:t>
      </w:r>
      <w:r w:rsidR="000636C2">
        <w:rPr>
          <w:rFonts w:hint="cs"/>
          <w:rtl/>
        </w:rPr>
        <w:t>،</w:t>
      </w:r>
      <w:r w:rsidRPr="005675B2">
        <w:rPr>
          <w:rFonts w:hint="cs"/>
          <w:rtl/>
        </w:rPr>
        <w:t xml:space="preserve"> وعلى هذا التقدير تكون الدلائل السمعية المقرونة بتلك القرائن الثابتة بالأخبار المتواترة مفيدة لليقين</w:t>
      </w:r>
      <w:r w:rsidR="000636C2">
        <w:rPr>
          <w:rFonts w:hint="cs"/>
          <w:rtl/>
        </w:rPr>
        <w:t>]</w:t>
      </w:r>
      <w:r w:rsidRPr="005675B2">
        <w:rPr>
          <w:rFonts w:hint="cs"/>
          <w:rtl/>
        </w:rPr>
        <w:t xml:space="preserve"> [</w:t>
      </w:r>
      <w:r w:rsidRPr="005675B2">
        <w:rPr>
          <w:rFonts w:hint="cs"/>
          <w:sz w:val="24"/>
          <w:szCs w:val="24"/>
          <w:rtl/>
        </w:rPr>
        <w:t>كتاب الأربعين: ص 424</w:t>
      </w:r>
      <w:r w:rsidR="000636C2">
        <w:rPr>
          <w:rFonts w:hint="cs"/>
          <w:sz w:val="24"/>
          <w:szCs w:val="24"/>
          <w:rtl/>
        </w:rPr>
        <w:t>،</w:t>
      </w:r>
      <w:r w:rsidRPr="005675B2">
        <w:rPr>
          <w:rFonts w:hint="cs"/>
          <w:sz w:val="24"/>
          <w:szCs w:val="24"/>
          <w:rtl/>
        </w:rPr>
        <w:t xml:space="preserve"> 426</w:t>
      </w:r>
      <w:r w:rsidR="000636C2">
        <w:rPr>
          <w:rFonts w:hint="cs"/>
          <w:sz w:val="24"/>
          <w:szCs w:val="24"/>
          <w:rtl/>
        </w:rPr>
        <w:t>]</w:t>
      </w:r>
      <w:r w:rsidR="000636C2">
        <w:rPr>
          <w:rFonts w:hint="cs"/>
          <w:rtl/>
        </w:rPr>
        <w:t xml:space="preserve">، </w:t>
      </w:r>
      <w:r w:rsidRPr="005675B2">
        <w:rPr>
          <w:rFonts w:hint="cs"/>
          <w:rtl/>
        </w:rPr>
        <w:t>ويقول تاج الدين السبكي الذي وصفه الباحث بالأشعري المتعصب</w:t>
      </w:r>
      <w:r w:rsidR="000636C2">
        <w:rPr>
          <w:rFonts w:hint="cs"/>
          <w:rtl/>
        </w:rPr>
        <w:t>:</w:t>
      </w:r>
      <w:r w:rsidRPr="005675B2">
        <w:rPr>
          <w:rFonts w:hint="cs"/>
          <w:rtl/>
        </w:rPr>
        <w:t xml:space="preserve"> والحق أن الأدلة النقلية قد تفيد اليقين بانضمام تواتر أو غيره [</w:t>
      </w:r>
      <w:r w:rsidRPr="005675B2">
        <w:rPr>
          <w:rFonts w:hint="cs"/>
          <w:sz w:val="24"/>
          <w:szCs w:val="24"/>
          <w:rtl/>
        </w:rPr>
        <w:t>انظر: مجموع مهمات المتون: ص 131</w:t>
      </w:r>
      <w:r w:rsidR="000636C2">
        <w:rPr>
          <w:rFonts w:hint="cs"/>
          <w:sz w:val="24"/>
          <w:szCs w:val="24"/>
          <w:rtl/>
        </w:rPr>
        <w:t>]</w:t>
      </w:r>
      <w:r w:rsidR="000636C2">
        <w:rPr>
          <w:rFonts w:hint="cs"/>
          <w:rtl/>
        </w:rPr>
        <w:t>،</w:t>
      </w:r>
    </w:p>
    <w:p w14:paraId="74F9E648" w14:textId="6B056F51"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موقفهم من السنة خاصة أنه لا يثبت بها عقيدة</w:t>
      </w:r>
      <w:r w:rsidR="000636C2">
        <w:rPr>
          <w:rFonts w:hint="cs"/>
          <w:rtl/>
        </w:rPr>
        <w:t>،</w:t>
      </w:r>
      <w:r w:rsidRPr="005675B2">
        <w:rPr>
          <w:rFonts w:hint="cs"/>
          <w:rtl/>
        </w:rPr>
        <w:t xml:space="preserve"> بل المتواتر منها يجب تأويله</w:t>
      </w:r>
      <w:r w:rsidR="000636C2">
        <w:rPr>
          <w:rFonts w:hint="cs"/>
          <w:rtl/>
        </w:rPr>
        <w:t>،</w:t>
      </w:r>
      <w:r w:rsidRPr="005675B2">
        <w:rPr>
          <w:rFonts w:hint="cs"/>
          <w:rtl/>
        </w:rPr>
        <w:t xml:space="preserve"> وآحادها لا يجب الاشتغال بها حتى على سبيل التأويل</w:t>
      </w:r>
      <w:r w:rsidR="000636C2">
        <w:rPr>
          <w:rFonts w:hint="cs"/>
          <w:rtl/>
        </w:rPr>
        <w:t>،</w:t>
      </w:r>
      <w:r w:rsidRPr="005675B2">
        <w:rPr>
          <w:rFonts w:hint="cs"/>
          <w:rtl/>
        </w:rPr>
        <w:t xml:space="preserve"> حتى إن إمامهم الرازي قطع بأن رواية الصحابة كلهم مظنونة بالنسبة لعدالتهم وحفظهم سواء</w:t>
      </w:r>
      <w:r w:rsidR="000636C2">
        <w:rPr>
          <w:rFonts w:hint="cs"/>
          <w:rtl/>
        </w:rPr>
        <w:t>،</w:t>
      </w:r>
      <w:r w:rsidRPr="005675B2">
        <w:rPr>
          <w:rFonts w:hint="cs"/>
          <w:rtl/>
        </w:rPr>
        <w:t xml:space="preserve"> وأن في الصحيحين أحاديث وضعها الزنادقة ..</w:t>
      </w:r>
      <w:r w:rsidR="000636C2">
        <w:rPr>
          <w:rFonts w:hint="cs"/>
          <w:rtl/>
        </w:rPr>
        <w:t>]،</w:t>
      </w:r>
    </w:p>
    <w:p w14:paraId="320449C0" w14:textId="6DAECAB6"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عزا الباحث إلى الأشاعرة أن السنة النبوية لا تثبت بها عقيدة عندهم</w:t>
      </w:r>
      <w:r w:rsidR="000636C2">
        <w:rPr>
          <w:rFonts w:hint="cs"/>
          <w:rtl/>
        </w:rPr>
        <w:t>،</w:t>
      </w:r>
      <w:r w:rsidRPr="005675B2">
        <w:rPr>
          <w:rFonts w:hint="cs"/>
          <w:rtl/>
        </w:rPr>
        <w:t xml:space="preserve"> وهذه دعوى عارية عن الدليل</w:t>
      </w:r>
      <w:r w:rsidR="000636C2">
        <w:rPr>
          <w:rFonts w:hint="cs"/>
          <w:rtl/>
        </w:rPr>
        <w:t>،</w:t>
      </w:r>
      <w:r w:rsidRPr="005675B2">
        <w:rPr>
          <w:rFonts w:hint="cs"/>
          <w:rtl/>
        </w:rPr>
        <w:t xml:space="preserve"> ومما يؤكد عدم صحتها إثبات الأشاعرة عددا من مسائل العقيدة بالسنة</w:t>
      </w:r>
      <w:r w:rsidR="000636C2">
        <w:rPr>
          <w:rFonts w:hint="cs"/>
          <w:rtl/>
        </w:rPr>
        <w:t>،</w:t>
      </w:r>
      <w:r w:rsidRPr="005675B2">
        <w:rPr>
          <w:rFonts w:hint="cs"/>
          <w:rtl/>
        </w:rPr>
        <w:t xml:space="preserve"> كالإيمان بعذاب القبر</w:t>
      </w:r>
      <w:r w:rsidR="000636C2">
        <w:rPr>
          <w:rFonts w:hint="cs"/>
          <w:rtl/>
        </w:rPr>
        <w:t>،</w:t>
      </w:r>
      <w:r w:rsidRPr="005675B2">
        <w:rPr>
          <w:rFonts w:hint="cs"/>
          <w:rtl/>
        </w:rPr>
        <w:t xml:space="preserve"> والصراط</w:t>
      </w:r>
      <w:r w:rsidR="000636C2">
        <w:rPr>
          <w:rFonts w:hint="cs"/>
          <w:rtl/>
        </w:rPr>
        <w:t>،</w:t>
      </w:r>
      <w:r w:rsidRPr="005675B2">
        <w:rPr>
          <w:rFonts w:hint="cs"/>
          <w:rtl/>
        </w:rPr>
        <w:t xml:space="preserve"> والحوض</w:t>
      </w:r>
      <w:r w:rsidR="000636C2">
        <w:rPr>
          <w:rFonts w:hint="cs"/>
          <w:rtl/>
        </w:rPr>
        <w:t>،</w:t>
      </w:r>
      <w:r w:rsidRPr="005675B2">
        <w:rPr>
          <w:rFonts w:hint="cs"/>
          <w:rtl/>
        </w:rPr>
        <w:t xml:space="preserve"> والشفاعة في أهل الكبائر</w:t>
      </w:r>
      <w:r w:rsidR="000636C2">
        <w:rPr>
          <w:rFonts w:hint="cs"/>
          <w:rtl/>
        </w:rPr>
        <w:t xml:space="preserve">، </w:t>
      </w:r>
      <w:r w:rsidRPr="005675B2">
        <w:rPr>
          <w:rFonts w:hint="cs"/>
          <w:rtl/>
        </w:rPr>
        <w:t>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والصراط ثابت</w:t>
      </w:r>
      <w:r w:rsidR="000636C2">
        <w:rPr>
          <w:rFonts w:hint="cs"/>
          <w:rtl/>
        </w:rPr>
        <w:t>،</w:t>
      </w:r>
      <w:r w:rsidRPr="005675B2">
        <w:rPr>
          <w:rFonts w:hint="cs"/>
          <w:rtl/>
        </w:rPr>
        <w:t xml:space="preserve"> على حسب ما نطق به الحديث</w:t>
      </w:r>
      <w:r w:rsidR="000636C2">
        <w:rPr>
          <w:rFonts w:hint="cs"/>
          <w:rtl/>
        </w:rPr>
        <w:t>،</w:t>
      </w:r>
      <w:r w:rsidRPr="005675B2">
        <w:rPr>
          <w:rFonts w:hint="cs"/>
          <w:rtl/>
        </w:rPr>
        <w:t xml:space="preserve"> وهو جسر ممدود على متن جهنم</w:t>
      </w:r>
      <w:r w:rsidR="000636C2">
        <w:rPr>
          <w:rFonts w:hint="cs"/>
          <w:rtl/>
        </w:rPr>
        <w:t>،</w:t>
      </w:r>
      <w:r w:rsidRPr="005675B2">
        <w:rPr>
          <w:rFonts w:hint="cs"/>
          <w:rtl/>
        </w:rPr>
        <w:t xml:space="preserve"> .. والميزان حق</w:t>
      </w:r>
      <w:r w:rsidR="000636C2">
        <w:rPr>
          <w:rFonts w:hint="cs"/>
          <w:rtl/>
        </w:rPr>
        <w:t>،</w:t>
      </w:r>
      <w:r w:rsidRPr="005675B2">
        <w:rPr>
          <w:rFonts w:hint="cs"/>
          <w:rtl/>
        </w:rPr>
        <w:t xml:space="preserve"> وكذلك الحوض</w:t>
      </w:r>
      <w:r w:rsidR="000636C2">
        <w:rPr>
          <w:rFonts w:hint="cs"/>
          <w:rtl/>
        </w:rPr>
        <w:t>،</w:t>
      </w:r>
      <w:r w:rsidRPr="005675B2">
        <w:rPr>
          <w:rFonts w:hint="cs"/>
          <w:rtl/>
        </w:rPr>
        <w:t xml:space="preserve"> والكتب التي يحاسب عليها الخلائق، ولا تحيل العقول شيئا من ذلك</w:t>
      </w:r>
      <w:r w:rsidR="000636C2">
        <w:rPr>
          <w:rFonts w:hint="cs"/>
          <w:rtl/>
        </w:rPr>
        <w:t>،</w:t>
      </w:r>
      <w:r w:rsidRPr="005675B2">
        <w:rPr>
          <w:rFonts w:hint="cs"/>
          <w:rtl/>
        </w:rPr>
        <w:t xml:space="preserve"> ودلالة السمع ثابتة على قطع في جميع ما ذكرناه</w:t>
      </w:r>
      <w:r w:rsidR="000636C2">
        <w:rPr>
          <w:rFonts w:hint="cs"/>
          <w:rtl/>
        </w:rPr>
        <w:t>]</w:t>
      </w:r>
      <w:r w:rsidRPr="005675B2">
        <w:rPr>
          <w:rFonts w:hint="cs"/>
          <w:rtl/>
        </w:rPr>
        <w:t xml:space="preserve"> [</w:t>
      </w:r>
      <w:r w:rsidRPr="005675B2">
        <w:rPr>
          <w:rFonts w:hint="cs"/>
          <w:sz w:val="24"/>
          <w:szCs w:val="24"/>
          <w:rtl/>
        </w:rPr>
        <w:t>الإرشاد: ص 320</w:t>
      </w:r>
      <w:r w:rsidR="000636C2">
        <w:rPr>
          <w:rFonts w:hint="cs"/>
          <w:sz w:val="24"/>
          <w:szCs w:val="24"/>
          <w:rtl/>
        </w:rPr>
        <w:t>]</w:t>
      </w:r>
      <w:r w:rsidR="000636C2">
        <w:rPr>
          <w:rFonts w:hint="cs"/>
          <w:rtl/>
        </w:rPr>
        <w:t xml:space="preserve">، </w:t>
      </w:r>
      <w:r w:rsidRPr="005675B2">
        <w:rPr>
          <w:rFonts w:hint="cs"/>
          <w:rtl/>
        </w:rPr>
        <w:t>وقال خلال كلامه عن الشفاعة</w:t>
      </w:r>
      <w:r w:rsidR="000636C2">
        <w:rPr>
          <w:rFonts w:hint="cs"/>
          <w:rtl/>
        </w:rPr>
        <w:t>:</w:t>
      </w:r>
      <w:r w:rsidRPr="005675B2">
        <w:rPr>
          <w:rFonts w:hint="cs"/>
          <w:rtl/>
        </w:rPr>
        <w:t xml:space="preserve"> </w:t>
      </w:r>
      <w:r w:rsidR="000636C2">
        <w:rPr>
          <w:rFonts w:hint="cs"/>
          <w:rtl/>
        </w:rPr>
        <w:t>[</w:t>
      </w:r>
      <w:r w:rsidRPr="005675B2">
        <w:rPr>
          <w:rFonts w:hint="cs"/>
          <w:rtl/>
        </w:rPr>
        <w:t>فإذا ثبت جواز التشفيع عقلا فقد شهدت له سنن بلغت الاستفاضة</w:t>
      </w:r>
      <w:r w:rsidR="000636C2">
        <w:rPr>
          <w:rFonts w:hint="cs"/>
          <w:rtl/>
        </w:rPr>
        <w:t>،</w:t>
      </w:r>
      <w:r w:rsidRPr="005675B2">
        <w:rPr>
          <w:rFonts w:hint="cs"/>
          <w:rtl/>
        </w:rPr>
        <w:t>فمن رامها ألفاها منقولة</w:t>
      </w:r>
      <w:r w:rsidR="000636C2">
        <w:rPr>
          <w:rFonts w:hint="cs"/>
          <w:rtl/>
        </w:rPr>
        <w:t>،</w:t>
      </w:r>
      <w:r w:rsidRPr="005675B2">
        <w:rPr>
          <w:rFonts w:hint="cs"/>
          <w:rtl/>
        </w:rPr>
        <w:t xml:space="preserve"> ثم هي مصرحة بالتشفيع في أهل الكبائر ..</w:t>
      </w:r>
      <w:r w:rsidR="000636C2">
        <w:rPr>
          <w:rFonts w:hint="cs"/>
          <w:rtl/>
        </w:rPr>
        <w:t xml:space="preserve"> </w:t>
      </w:r>
      <w:r w:rsidRPr="005675B2">
        <w:rPr>
          <w:rFonts w:hint="cs"/>
          <w:rtl/>
        </w:rPr>
        <w:t>, وفيما ذكرناه ردٌّ على فئة صاروا</w:t>
      </w:r>
      <w:r w:rsidR="000636C2">
        <w:rPr>
          <w:rFonts w:hint="cs"/>
          <w:rtl/>
        </w:rPr>
        <w:t xml:space="preserve"> </w:t>
      </w:r>
      <w:r w:rsidRPr="005675B2">
        <w:rPr>
          <w:rFonts w:hint="cs"/>
          <w:rtl/>
        </w:rPr>
        <w:t>إلى أَن الشفاعة ترفع الدرجات ولا تحط السيئات</w:t>
      </w:r>
      <w:r w:rsidR="000636C2">
        <w:rPr>
          <w:rFonts w:hint="cs"/>
          <w:rtl/>
        </w:rPr>
        <w:t>،</w:t>
      </w:r>
      <w:r w:rsidRPr="005675B2">
        <w:rPr>
          <w:rFonts w:hint="cs"/>
          <w:rtl/>
        </w:rPr>
        <w:t xml:space="preserve"> فإن الأخبار المأثورة شاهدة بتعلق الشفاعة بأصحاب الكبائر</w:t>
      </w:r>
      <w:r w:rsidR="000636C2">
        <w:rPr>
          <w:rFonts w:hint="cs"/>
          <w:rtl/>
        </w:rPr>
        <w:t xml:space="preserve">] </w:t>
      </w:r>
      <w:r w:rsidRPr="005675B2">
        <w:rPr>
          <w:rFonts w:hint="cs"/>
          <w:rtl/>
        </w:rPr>
        <w:t>[</w:t>
      </w:r>
      <w:r w:rsidRPr="005675B2">
        <w:rPr>
          <w:rFonts w:hint="cs"/>
          <w:sz w:val="24"/>
          <w:szCs w:val="24"/>
          <w:rtl/>
        </w:rPr>
        <w:t>الإرشاد: ص 330 – 331</w:t>
      </w:r>
      <w:r w:rsidR="000636C2">
        <w:rPr>
          <w:rFonts w:hint="cs"/>
          <w:sz w:val="24"/>
          <w:szCs w:val="24"/>
          <w:rtl/>
        </w:rPr>
        <w:t>]</w:t>
      </w:r>
      <w:r w:rsidR="000636C2">
        <w:rPr>
          <w:rFonts w:hint="cs"/>
          <w:rtl/>
        </w:rPr>
        <w:t xml:space="preserve">، </w:t>
      </w:r>
      <w:r w:rsidRPr="005675B2">
        <w:rPr>
          <w:rFonts w:hint="cs"/>
          <w:rtl/>
        </w:rPr>
        <w:t>ولكن الأشاعرة يشترطون أن تكون السُّنة متواترة حتى تكون حجة في العقيدة</w:t>
      </w:r>
      <w:r w:rsidR="000636C2">
        <w:rPr>
          <w:rFonts w:hint="cs"/>
          <w:rtl/>
        </w:rPr>
        <w:t>،</w:t>
      </w:r>
      <w:r w:rsidRPr="005675B2">
        <w:rPr>
          <w:rFonts w:hint="cs"/>
          <w:rtl/>
        </w:rPr>
        <w:t xml:space="preserve"> وهذا كاف في عدم صحة قول الباحث </w:t>
      </w:r>
      <w:r w:rsidR="000636C2">
        <w:rPr>
          <w:rFonts w:hint="cs"/>
          <w:rtl/>
        </w:rPr>
        <w:t>[</w:t>
      </w:r>
      <w:r w:rsidRPr="005675B2">
        <w:rPr>
          <w:rFonts w:hint="cs"/>
          <w:rtl/>
        </w:rPr>
        <w:t>بل المتواتر منها يجب تأويله</w:t>
      </w:r>
      <w:r w:rsidR="000636C2">
        <w:rPr>
          <w:rFonts w:hint="cs"/>
          <w:rtl/>
        </w:rPr>
        <w:t xml:space="preserve">]، </w:t>
      </w:r>
      <w:r w:rsidRPr="005675B2">
        <w:rPr>
          <w:rFonts w:hint="cs"/>
          <w:rtl/>
        </w:rPr>
        <w:t>2 - الأحاديث الآحادية لا تثبت بها عقيدة عند الأشاعرة</w:t>
      </w:r>
      <w:r w:rsidR="000636C2">
        <w:rPr>
          <w:rFonts w:hint="cs"/>
          <w:rtl/>
        </w:rPr>
        <w:t>،</w:t>
      </w:r>
      <w:r w:rsidRPr="005675B2">
        <w:rPr>
          <w:rFonts w:hint="cs"/>
          <w:rtl/>
        </w:rPr>
        <w:t xml:space="preserve"> ولكن هذا لم يمنع أن تكون كتب العقيدة عندهم مشتملة على كثير منها</w:t>
      </w:r>
      <w:r w:rsidR="000636C2">
        <w:rPr>
          <w:rFonts w:hint="cs"/>
          <w:rtl/>
        </w:rPr>
        <w:t>،</w:t>
      </w:r>
      <w:r w:rsidRPr="005675B2">
        <w:rPr>
          <w:rFonts w:hint="cs"/>
          <w:rtl/>
        </w:rPr>
        <w:t xml:space="preserve"> وذلك في تفاصيل عقيدة ثبت أصلها بنص متواتر تواترا ً لفظياً أو معنوياً</w:t>
      </w:r>
      <w:r w:rsidR="000636C2">
        <w:rPr>
          <w:rFonts w:hint="cs"/>
          <w:rtl/>
        </w:rPr>
        <w:t xml:space="preserve">، </w:t>
      </w:r>
      <w:r w:rsidRPr="005675B2">
        <w:rPr>
          <w:rFonts w:hint="cs"/>
          <w:rtl/>
        </w:rPr>
        <w:t>والأحاديث الآحادية التي يحتج بها غيرهم يوردونها</w:t>
      </w:r>
      <w:r w:rsidR="000636C2">
        <w:rPr>
          <w:rFonts w:hint="cs"/>
          <w:rtl/>
        </w:rPr>
        <w:t>،</w:t>
      </w:r>
      <w:r w:rsidRPr="005675B2">
        <w:rPr>
          <w:rFonts w:hint="cs"/>
          <w:rtl/>
        </w:rPr>
        <w:t xml:space="preserve"> ويؤولونها إذا علموا صحة سندها أو كان هناك احتمالٌ أنها رويت بسند صحيح</w:t>
      </w:r>
      <w:r w:rsidR="000636C2">
        <w:rPr>
          <w:rFonts w:hint="cs"/>
          <w:rtl/>
        </w:rPr>
        <w:t>،</w:t>
      </w:r>
      <w:r w:rsidRPr="005675B2">
        <w:rPr>
          <w:rFonts w:hint="cs"/>
          <w:rtl/>
        </w:rPr>
        <w:t xml:space="preserve"> وهذا إذا كانت مخالفة لما ثبت لديهم من أصول العقائد</w:t>
      </w:r>
      <w:r w:rsidR="000636C2">
        <w:rPr>
          <w:rFonts w:hint="cs"/>
          <w:rtl/>
        </w:rPr>
        <w:t>،</w:t>
      </w:r>
      <w:r w:rsidRPr="005675B2">
        <w:rPr>
          <w:rFonts w:hint="cs"/>
          <w:rtl/>
        </w:rPr>
        <w:t xml:space="preserve"> أما إذا علموا ضعف الحديث أو نكارته فإنهم يردونه ولا يشتغلون بتأويله</w:t>
      </w:r>
      <w:r w:rsidR="000636C2">
        <w:rPr>
          <w:rFonts w:hint="cs"/>
          <w:rtl/>
        </w:rPr>
        <w:t xml:space="preserve">، </w:t>
      </w:r>
      <w:r w:rsidRPr="005675B2">
        <w:rPr>
          <w:rFonts w:hint="cs"/>
          <w:rtl/>
        </w:rPr>
        <w:t>والأحاديث الآحادية وإن كانت ليست بحجة عندهم في إثبات العقائد إلا أنهم لا يتركونها بالمرة</w:t>
      </w:r>
      <w:r w:rsidR="000636C2">
        <w:rPr>
          <w:rFonts w:hint="cs"/>
          <w:rtl/>
        </w:rPr>
        <w:t>،</w:t>
      </w:r>
      <w:r w:rsidRPr="005675B2">
        <w:rPr>
          <w:rFonts w:hint="cs"/>
          <w:rtl/>
        </w:rPr>
        <w:t xml:space="preserve"> ولو كانت لا تستحق الاشتغال بتأويلها لما ألّف ابن فورك كتاباً مستقلاً في ذلك سمّاه </w:t>
      </w:r>
      <w:r w:rsidR="000636C2">
        <w:rPr>
          <w:rFonts w:hint="cs"/>
          <w:rtl/>
        </w:rPr>
        <w:t>[</w:t>
      </w:r>
      <w:r w:rsidRPr="005675B2">
        <w:rPr>
          <w:rFonts w:hint="cs"/>
          <w:rtl/>
        </w:rPr>
        <w:t>تأويل مشكل الحديث</w:t>
      </w:r>
      <w:r w:rsidR="000636C2">
        <w:rPr>
          <w:rFonts w:hint="cs"/>
          <w:rtl/>
        </w:rPr>
        <w:t xml:space="preserve">]، </w:t>
      </w:r>
      <w:r w:rsidRPr="005675B2">
        <w:rPr>
          <w:rFonts w:hint="cs"/>
          <w:rtl/>
        </w:rPr>
        <w:t>ويوضح هذا المنحى كلام إمام الحرمين إذ يقول عن أدلة قوم هو مخالف لهم فيها</w:t>
      </w:r>
      <w:r w:rsidR="000636C2">
        <w:rPr>
          <w:rFonts w:hint="cs"/>
          <w:rtl/>
        </w:rPr>
        <w:t>:</w:t>
      </w:r>
      <w:r w:rsidRPr="005675B2">
        <w:rPr>
          <w:rFonts w:hint="cs"/>
          <w:rtl/>
        </w:rPr>
        <w:t xml:space="preserve"> </w:t>
      </w:r>
      <w:r w:rsidR="000636C2">
        <w:rPr>
          <w:rFonts w:hint="cs"/>
          <w:rtl/>
        </w:rPr>
        <w:t>[</w:t>
      </w:r>
      <w:r w:rsidRPr="005675B2">
        <w:rPr>
          <w:rFonts w:hint="cs"/>
          <w:rtl/>
        </w:rPr>
        <w:t>وأما الأحاديث التي يتمسكون بها فآحاد لا تفضي إلى العلم</w:t>
      </w:r>
      <w:r w:rsidR="000636C2">
        <w:rPr>
          <w:rFonts w:hint="cs"/>
          <w:rtl/>
        </w:rPr>
        <w:t>،</w:t>
      </w:r>
      <w:r w:rsidRPr="005675B2">
        <w:rPr>
          <w:rFonts w:hint="cs"/>
          <w:rtl/>
        </w:rPr>
        <w:t xml:space="preserve"> ولو أضربنا عن جميعها لكان سائغاً</w:t>
      </w:r>
      <w:r w:rsidR="000636C2">
        <w:rPr>
          <w:rFonts w:hint="cs"/>
          <w:rtl/>
        </w:rPr>
        <w:t>،</w:t>
      </w:r>
      <w:r w:rsidRPr="005675B2">
        <w:rPr>
          <w:rFonts w:hint="cs"/>
          <w:rtl/>
        </w:rPr>
        <w:t xml:space="preserve"> لكنا نومئ إلى تأويل ما دوّن منها في الصحاح</w:t>
      </w:r>
      <w:r w:rsidR="000636C2">
        <w:rPr>
          <w:rFonts w:hint="cs"/>
          <w:rtl/>
        </w:rPr>
        <w:t xml:space="preserve">] </w:t>
      </w:r>
      <w:r w:rsidRPr="005675B2">
        <w:rPr>
          <w:rFonts w:hint="cs"/>
          <w:rtl/>
        </w:rPr>
        <w:t>[</w:t>
      </w:r>
      <w:r w:rsidRPr="005675B2">
        <w:rPr>
          <w:rFonts w:hint="cs"/>
          <w:sz w:val="24"/>
          <w:szCs w:val="24"/>
          <w:rtl/>
        </w:rPr>
        <w:t>الإرشاد: ص 150</w:t>
      </w:r>
      <w:r w:rsidR="000636C2">
        <w:rPr>
          <w:rFonts w:hint="cs"/>
          <w:sz w:val="24"/>
          <w:szCs w:val="24"/>
          <w:rtl/>
        </w:rPr>
        <w:t>]</w:t>
      </w:r>
      <w:r w:rsidR="000636C2">
        <w:rPr>
          <w:rFonts w:hint="cs"/>
          <w:rtl/>
        </w:rPr>
        <w:t xml:space="preserve">، </w:t>
      </w:r>
      <w:r w:rsidRPr="005675B2">
        <w:rPr>
          <w:rFonts w:hint="cs"/>
          <w:rtl/>
        </w:rPr>
        <w:t xml:space="preserve">وقال إمام الحرمين عن استدلال أصحاب الحديث بقوله عليه الصلاة والسلام </w:t>
      </w:r>
      <w:r w:rsidR="000636C2">
        <w:rPr>
          <w:rFonts w:hint="cs"/>
          <w:rtl/>
        </w:rPr>
        <w:t>[</w:t>
      </w:r>
      <w:r w:rsidRPr="005675B2">
        <w:rPr>
          <w:rFonts w:hint="cs"/>
          <w:rtl/>
        </w:rPr>
        <w:t>الإيمان بضع وسبعون شعبة</w:t>
      </w:r>
      <w:r w:rsidR="000636C2">
        <w:rPr>
          <w:rFonts w:hint="cs"/>
          <w:rtl/>
        </w:rPr>
        <w:t>]</w:t>
      </w:r>
      <w:r w:rsidRPr="005675B2">
        <w:rPr>
          <w:rFonts w:hint="cs"/>
          <w:rtl/>
        </w:rPr>
        <w:t xml:space="preserve"> على دخول الأعمال في مسمى الإيمان</w:t>
      </w:r>
      <w:r w:rsidR="000636C2">
        <w:rPr>
          <w:rFonts w:hint="cs"/>
          <w:rtl/>
        </w:rPr>
        <w:t>:</w:t>
      </w:r>
      <w:r w:rsidRPr="005675B2">
        <w:rPr>
          <w:rFonts w:hint="cs"/>
          <w:rtl/>
        </w:rPr>
        <w:t xml:space="preserve"> </w:t>
      </w:r>
      <w:r w:rsidR="000636C2">
        <w:rPr>
          <w:rFonts w:hint="cs"/>
          <w:rtl/>
        </w:rPr>
        <w:t>[</w:t>
      </w:r>
      <w:r w:rsidRPr="005675B2">
        <w:rPr>
          <w:rFonts w:hint="cs"/>
          <w:rtl/>
        </w:rPr>
        <w:t>وأما الحديث فهو من الآحاد</w:t>
      </w:r>
      <w:r w:rsidR="000636C2">
        <w:rPr>
          <w:rFonts w:hint="cs"/>
          <w:rtl/>
        </w:rPr>
        <w:t>،</w:t>
      </w:r>
      <w:r w:rsidRPr="005675B2">
        <w:rPr>
          <w:rFonts w:hint="cs"/>
          <w:rtl/>
        </w:rPr>
        <w:t xml:space="preserve"> ثم هو مؤول</w:t>
      </w:r>
      <w:r w:rsidR="000636C2">
        <w:rPr>
          <w:rFonts w:hint="cs"/>
          <w:rtl/>
        </w:rPr>
        <w:t>،</w:t>
      </w:r>
      <w:r w:rsidRPr="005675B2">
        <w:rPr>
          <w:rFonts w:hint="cs"/>
          <w:rtl/>
        </w:rPr>
        <w:t xml:space="preserve"> والعرب قد تسمي الشيء باسم الشيء إذا دل عليه أو كان منه بسبب</w:t>
      </w:r>
      <w:r w:rsidR="000636C2">
        <w:rPr>
          <w:rFonts w:hint="cs"/>
          <w:rtl/>
        </w:rPr>
        <w:t>]</w:t>
      </w:r>
      <w:r w:rsidRPr="005675B2">
        <w:rPr>
          <w:rFonts w:hint="cs"/>
          <w:rtl/>
        </w:rPr>
        <w:t xml:space="preserve"> [</w:t>
      </w:r>
      <w:r w:rsidRPr="005675B2">
        <w:rPr>
          <w:rFonts w:hint="cs"/>
          <w:sz w:val="24"/>
          <w:szCs w:val="24"/>
          <w:rtl/>
        </w:rPr>
        <w:t>الإرشاد: ص 335</w:t>
      </w:r>
      <w:r w:rsidR="000636C2">
        <w:rPr>
          <w:rFonts w:hint="cs"/>
          <w:sz w:val="24"/>
          <w:szCs w:val="24"/>
          <w:rtl/>
        </w:rPr>
        <w:t>]</w:t>
      </w:r>
      <w:r w:rsidR="000636C2">
        <w:rPr>
          <w:rFonts w:hint="cs"/>
          <w:rtl/>
        </w:rPr>
        <w:t xml:space="preserve">، </w:t>
      </w:r>
      <w:r w:rsidRPr="005675B2">
        <w:rPr>
          <w:rFonts w:hint="cs"/>
          <w:rtl/>
        </w:rPr>
        <w:t xml:space="preserve">وقال إمام الحرمين عن حديث </w:t>
      </w:r>
      <w:r w:rsidR="000636C2">
        <w:rPr>
          <w:rFonts w:hint="cs"/>
          <w:rtl/>
        </w:rPr>
        <w:t>[</w:t>
      </w:r>
      <w:r w:rsidRPr="005675B2">
        <w:rPr>
          <w:rFonts w:hint="cs"/>
          <w:rtl/>
        </w:rPr>
        <w:t>إن الله خلق آدم على صورته</w:t>
      </w:r>
      <w:r w:rsidR="000636C2">
        <w:rPr>
          <w:rFonts w:hint="cs"/>
          <w:rtl/>
        </w:rPr>
        <w:t>]:</w:t>
      </w:r>
      <w:r w:rsidRPr="005675B2">
        <w:rPr>
          <w:rFonts w:hint="cs"/>
          <w:rtl/>
        </w:rPr>
        <w:t xml:space="preserve"> </w:t>
      </w:r>
      <w:r w:rsidR="000636C2">
        <w:rPr>
          <w:rFonts w:hint="cs"/>
          <w:rtl/>
        </w:rPr>
        <w:t>[</w:t>
      </w:r>
      <w:r w:rsidRPr="005675B2">
        <w:rPr>
          <w:rFonts w:hint="cs"/>
          <w:rtl/>
        </w:rPr>
        <w:t>ويمكن صرف الهاء إلى آدم نفسه</w:t>
      </w:r>
      <w:r w:rsidR="000636C2">
        <w:rPr>
          <w:rFonts w:hint="cs"/>
          <w:rtl/>
        </w:rPr>
        <w:t>،</w:t>
      </w:r>
      <w:r w:rsidRPr="005675B2">
        <w:rPr>
          <w:rFonts w:hint="cs"/>
          <w:rtl/>
        </w:rPr>
        <w:t xml:space="preserve"> ومعنى الحديث على ذلك أن الله تعالى خلق آدم بشراً سوياً من غير والد ولا والدة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ومن أحاط بما ذكرناه لم يصعب عليه مدرك تأويل ما يُسأل عنه</w:t>
      </w:r>
      <w:r w:rsidR="000636C2">
        <w:rPr>
          <w:rFonts w:hint="cs"/>
          <w:rtl/>
        </w:rPr>
        <w:t>،</w:t>
      </w:r>
      <w:r w:rsidRPr="005675B2">
        <w:rPr>
          <w:rFonts w:hint="cs"/>
          <w:rtl/>
        </w:rPr>
        <w:t xml:space="preserve"> بعد التثبت وعدم الابتدار إلى تأويل ما يُسأل عنه من مناكير الأخبار</w:t>
      </w:r>
      <w:r w:rsidR="000636C2">
        <w:rPr>
          <w:rFonts w:hint="cs"/>
          <w:rtl/>
        </w:rPr>
        <w:t>]</w:t>
      </w:r>
      <w:r w:rsidRPr="005675B2">
        <w:rPr>
          <w:rFonts w:hint="cs"/>
          <w:rtl/>
        </w:rPr>
        <w:t xml:space="preserve"> [</w:t>
      </w:r>
      <w:r w:rsidRPr="005675B2">
        <w:rPr>
          <w:rFonts w:hint="cs"/>
          <w:sz w:val="24"/>
          <w:szCs w:val="24"/>
          <w:rtl/>
        </w:rPr>
        <w:t>الإرشاد: ص 153</w:t>
      </w:r>
      <w:r w:rsidR="000636C2">
        <w:rPr>
          <w:rFonts w:hint="cs"/>
          <w:sz w:val="24"/>
          <w:szCs w:val="24"/>
          <w:rtl/>
        </w:rPr>
        <w:t>،</w:t>
      </w:r>
      <w:r w:rsidRPr="005675B2">
        <w:rPr>
          <w:rFonts w:hint="cs"/>
          <w:sz w:val="24"/>
          <w:szCs w:val="24"/>
          <w:rtl/>
        </w:rPr>
        <w:t xml:space="preserve"> 315</w:t>
      </w:r>
      <w:r w:rsidR="000636C2">
        <w:rPr>
          <w:rFonts w:hint="cs"/>
          <w:sz w:val="24"/>
          <w:szCs w:val="24"/>
          <w:rtl/>
        </w:rPr>
        <w:t>]</w:t>
      </w:r>
      <w:r w:rsidR="000636C2">
        <w:rPr>
          <w:rFonts w:hint="cs"/>
          <w:rtl/>
        </w:rPr>
        <w:t xml:space="preserve">، </w:t>
      </w:r>
      <w:r w:rsidRPr="005675B2">
        <w:rPr>
          <w:rFonts w:hint="cs"/>
          <w:rtl/>
        </w:rPr>
        <w:t>3 - أما زعْم الباحث بأن الإمام الرازي قطع بأن رواية الصحابة كلهم مظنونة بالنسبة لعدالتهم وحفظهم سواء</w:t>
      </w:r>
      <w:r w:rsidR="000636C2">
        <w:rPr>
          <w:rFonts w:hint="cs"/>
          <w:rtl/>
        </w:rPr>
        <w:t>:</w:t>
      </w:r>
      <w:r w:rsidRPr="005675B2">
        <w:rPr>
          <w:rFonts w:hint="cs"/>
          <w:rtl/>
        </w:rPr>
        <w:t xml:space="preserve"> فهذا محض توهم</w:t>
      </w:r>
      <w:r w:rsidR="000636C2">
        <w:rPr>
          <w:rFonts w:hint="cs"/>
          <w:rtl/>
        </w:rPr>
        <w:t>،</w:t>
      </w:r>
      <w:r w:rsidRPr="005675B2">
        <w:rPr>
          <w:rFonts w:hint="cs"/>
          <w:rtl/>
        </w:rPr>
        <w:t xml:space="preserve"> ولا أدري كيف يقدِم الباحث على مثل هذا</w:t>
      </w:r>
      <w:r w:rsidR="000636C2">
        <w:rPr>
          <w:rFonts w:hint="cs"/>
          <w:rtl/>
        </w:rPr>
        <w:t xml:space="preserve">؟، </w:t>
      </w:r>
      <w:r w:rsidRPr="005675B2">
        <w:rPr>
          <w:rFonts w:hint="cs"/>
          <w:rtl/>
        </w:rPr>
        <w:t>والذي قاله الرازي يختلف تمام الاختلاف عما نسبه الباحث إليه</w:t>
      </w:r>
      <w:r w:rsidR="000636C2">
        <w:rPr>
          <w:rFonts w:hint="cs"/>
          <w:rtl/>
        </w:rPr>
        <w:t>،</w:t>
      </w:r>
      <w:r w:rsidRPr="005675B2">
        <w:rPr>
          <w:rFonts w:hint="cs"/>
          <w:rtl/>
        </w:rPr>
        <w:t xml:space="preserve"> إذ قال</w:t>
      </w:r>
      <w:r w:rsidR="000636C2">
        <w:rPr>
          <w:rFonts w:hint="cs"/>
          <w:rtl/>
        </w:rPr>
        <w:t>:</w:t>
      </w:r>
      <w:r w:rsidRPr="005675B2">
        <w:rPr>
          <w:rFonts w:hint="cs"/>
          <w:rtl/>
        </w:rPr>
        <w:t xml:space="preserve"> </w:t>
      </w:r>
      <w:r w:rsidR="000636C2">
        <w:rPr>
          <w:rFonts w:hint="cs"/>
          <w:rtl/>
        </w:rPr>
        <w:t>[</w:t>
      </w:r>
      <w:r w:rsidRPr="005675B2">
        <w:rPr>
          <w:rFonts w:hint="cs"/>
          <w:rtl/>
        </w:rPr>
        <w:t>أخبار الآحاد مظنونة .. لأنا أجمعنا على أن الرواة ليسوا معصومين .. , وإذا لم يكونوا معصومين كان الخطأ عليهم جائزاً والكذب عليهم جائزاً</w:t>
      </w:r>
      <w:r w:rsidR="000636C2">
        <w:rPr>
          <w:rFonts w:hint="cs"/>
          <w:rtl/>
        </w:rPr>
        <w:t>]،</w:t>
      </w:r>
      <w:r w:rsidRPr="005675B2">
        <w:rPr>
          <w:rFonts w:hint="cs"/>
          <w:rtl/>
        </w:rPr>
        <w:t xml:space="preserve"> ثم قال عن روايات الصحابة</w:t>
      </w:r>
      <w:r w:rsidR="000636C2">
        <w:rPr>
          <w:rFonts w:hint="cs"/>
          <w:rtl/>
        </w:rPr>
        <w:t>:</w:t>
      </w:r>
      <w:r w:rsidRPr="005675B2">
        <w:rPr>
          <w:rFonts w:hint="cs"/>
          <w:rtl/>
        </w:rPr>
        <w:t xml:space="preserve"> </w:t>
      </w:r>
      <w:r w:rsidR="000636C2">
        <w:rPr>
          <w:rFonts w:hint="cs"/>
          <w:rtl/>
        </w:rPr>
        <w:t>[</w:t>
      </w:r>
      <w:r w:rsidRPr="005675B2">
        <w:rPr>
          <w:rFonts w:hint="cs"/>
          <w:rtl/>
        </w:rPr>
        <w:t>لا تفيد القطع واليقين</w:t>
      </w:r>
      <w:r w:rsidR="000636C2">
        <w:rPr>
          <w:rFonts w:hint="cs"/>
          <w:rtl/>
        </w:rPr>
        <w:t>]</w:t>
      </w:r>
      <w:r w:rsidRPr="005675B2">
        <w:rPr>
          <w:rFonts w:hint="cs"/>
          <w:rtl/>
        </w:rPr>
        <w:t xml:space="preserve"> [</w:t>
      </w:r>
      <w:r w:rsidRPr="005675B2">
        <w:rPr>
          <w:rFonts w:hint="cs"/>
          <w:sz w:val="24"/>
          <w:szCs w:val="24"/>
          <w:rtl/>
        </w:rPr>
        <w:t>أساس التقديس: ص 215</w:t>
      </w:r>
      <w:r w:rsidR="000636C2">
        <w:rPr>
          <w:rFonts w:hint="cs"/>
          <w:sz w:val="24"/>
          <w:szCs w:val="24"/>
          <w:rtl/>
        </w:rPr>
        <w:t>،</w:t>
      </w:r>
      <w:r w:rsidRPr="005675B2">
        <w:rPr>
          <w:rFonts w:hint="cs"/>
          <w:sz w:val="24"/>
          <w:szCs w:val="24"/>
          <w:rtl/>
        </w:rPr>
        <w:t xml:space="preserve"> 216</w:t>
      </w:r>
      <w:r w:rsidR="000636C2">
        <w:rPr>
          <w:rFonts w:hint="cs"/>
          <w:sz w:val="24"/>
          <w:szCs w:val="24"/>
          <w:rtl/>
        </w:rPr>
        <w:t>]</w:t>
      </w:r>
      <w:r w:rsidRPr="005675B2">
        <w:rPr>
          <w:rFonts w:hint="cs"/>
          <w:rtl/>
        </w:rPr>
        <w:t>،</w:t>
      </w:r>
      <w:r w:rsidR="000636C2">
        <w:rPr>
          <w:rFonts w:hint="cs"/>
          <w:rtl/>
        </w:rPr>
        <w:t xml:space="preserve"> </w:t>
      </w:r>
      <w:r w:rsidRPr="005675B2">
        <w:rPr>
          <w:rFonts w:hint="cs"/>
          <w:rtl/>
        </w:rPr>
        <w:t>وإنما جعل الرازي روايات الصحابة لا تفيد القطع واليقين لأنها آحادية</w:t>
      </w:r>
      <w:r w:rsidR="000636C2">
        <w:rPr>
          <w:rFonts w:hint="cs"/>
          <w:rtl/>
        </w:rPr>
        <w:t>،</w:t>
      </w:r>
      <w:r w:rsidRPr="005675B2">
        <w:rPr>
          <w:rFonts w:hint="cs"/>
          <w:rtl/>
        </w:rPr>
        <w:t xml:space="preserve"> حيث قال هذا في معرض حديثه عن الروايات الآحادية</w:t>
      </w:r>
      <w:r w:rsidR="000636C2">
        <w:rPr>
          <w:rFonts w:hint="cs"/>
          <w:rtl/>
        </w:rPr>
        <w:t>،</w:t>
      </w:r>
      <w:r w:rsidRPr="005675B2">
        <w:rPr>
          <w:rFonts w:hint="cs"/>
          <w:rtl/>
        </w:rPr>
        <w:t xml:space="preserve"> ولا شك عنده وعند غيره في أنها تفيد القطع واليقين إذا تواترت</w:t>
      </w:r>
      <w:r w:rsidR="000636C2">
        <w:rPr>
          <w:rFonts w:hint="cs"/>
          <w:rtl/>
        </w:rPr>
        <w:t xml:space="preserve">، </w:t>
      </w:r>
      <w:r w:rsidRPr="005675B2">
        <w:rPr>
          <w:rFonts w:hint="cs"/>
          <w:rtl/>
        </w:rPr>
        <w:t>وقول الرازي بعدم عصمة الرواة فهذا مجمع عليه ما دامت الرواية لم تصل حد التواتر</w:t>
      </w:r>
      <w:r w:rsidR="000636C2">
        <w:rPr>
          <w:rFonts w:hint="cs"/>
          <w:rtl/>
        </w:rPr>
        <w:t>،</w:t>
      </w:r>
      <w:r w:rsidRPr="005675B2">
        <w:rPr>
          <w:rFonts w:hint="cs"/>
          <w:rtl/>
        </w:rPr>
        <w:t xml:space="preserve"> ولكن الباحث حمّل النص فوق ما يحتمل</w:t>
      </w:r>
      <w:r w:rsidR="000636C2">
        <w:rPr>
          <w:rFonts w:hint="cs"/>
          <w:rtl/>
        </w:rPr>
        <w:t>،</w:t>
      </w:r>
      <w:r w:rsidRPr="005675B2">
        <w:rPr>
          <w:rFonts w:hint="cs"/>
          <w:rtl/>
        </w:rPr>
        <w:t xml:space="preserve"> وجعله في الصحابة</w:t>
      </w:r>
      <w:r w:rsidR="000636C2">
        <w:rPr>
          <w:rFonts w:hint="cs"/>
          <w:rtl/>
        </w:rPr>
        <w:t>،</w:t>
      </w:r>
      <w:r w:rsidRPr="005675B2">
        <w:rPr>
          <w:rFonts w:hint="cs"/>
          <w:rtl/>
        </w:rPr>
        <w:t xml:space="preserve"> بل في الصحابة كلهم حسب ادعائه</w:t>
      </w:r>
      <w:r w:rsidR="000636C2">
        <w:rPr>
          <w:rFonts w:hint="cs"/>
          <w:rtl/>
        </w:rPr>
        <w:t>،</w:t>
      </w:r>
      <w:r w:rsidRPr="005675B2">
        <w:rPr>
          <w:rFonts w:hint="cs"/>
          <w:rtl/>
        </w:rPr>
        <w:t xml:space="preserve"> لا من حيث حفظهم فقط</w:t>
      </w:r>
      <w:r w:rsidR="000636C2">
        <w:rPr>
          <w:rFonts w:hint="cs"/>
          <w:rtl/>
        </w:rPr>
        <w:t>،</w:t>
      </w:r>
      <w:r w:rsidRPr="005675B2">
        <w:rPr>
          <w:rFonts w:hint="cs"/>
          <w:rtl/>
        </w:rPr>
        <w:t xml:space="preserve"> بل من حيث عدالتهم وحفظهم</w:t>
      </w:r>
      <w:r w:rsidR="000636C2">
        <w:rPr>
          <w:rFonts w:hint="cs"/>
          <w:rtl/>
        </w:rPr>
        <w:t>،</w:t>
      </w:r>
      <w:r w:rsidRPr="005675B2">
        <w:rPr>
          <w:rFonts w:hint="cs"/>
          <w:rtl/>
        </w:rPr>
        <w:t xml:space="preserve"> ليقول بذلك للقارئ</w:t>
      </w:r>
      <w:r w:rsidR="000636C2">
        <w:rPr>
          <w:rFonts w:hint="cs"/>
          <w:rtl/>
        </w:rPr>
        <w:t>:</w:t>
      </w:r>
      <w:r w:rsidRPr="005675B2">
        <w:rPr>
          <w:rFonts w:hint="cs"/>
          <w:rtl/>
        </w:rPr>
        <w:t xml:space="preserve"> إن الرازي يشك في عدالة الصحابة كلهم</w:t>
      </w:r>
      <w:r w:rsidR="000636C2">
        <w:rPr>
          <w:rFonts w:hint="cs"/>
          <w:rtl/>
        </w:rPr>
        <w:t xml:space="preserve">!، </w:t>
      </w:r>
      <w:r w:rsidRPr="005675B2">
        <w:rPr>
          <w:rFonts w:hint="cs"/>
          <w:rtl/>
        </w:rPr>
        <w:t>أهكذا تكون الأمانة العلمية</w:t>
      </w:r>
      <w:r w:rsidR="000636C2">
        <w:rPr>
          <w:rFonts w:hint="cs"/>
          <w:rtl/>
        </w:rPr>
        <w:t>؟!</w:t>
      </w:r>
      <w:r w:rsidRPr="005675B2">
        <w:rPr>
          <w:rFonts w:hint="cs"/>
          <w:rtl/>
        </w:rPr>
        <w:t>!</w:t>
      </w:r>
      <w:r w:rsidR="000636C2">
        <w:rPr>
          <w:rFonts w:hint="cs"/>
          <w:rtl/>
        </w:rPr>
        <w:t xml:space="preserve">، </w:t>
      </w:r>
      <w:r w:rsidRPr="005675B2">
        <w:rPr>
          <w:rFonts w:hint="cs"/>
          <w:rtl/>
        </w:rPr>
        <w:t>4 - أما قول الباحث بأن الإمام الرازي قطع بأن في الصحيحين أحاديث وضعها الزنادقة فالذي وجدته عند الرازي يختلف عن هذا القول</w:t>
      </w:r>
      <w:r w:rsidR="000636C2">
        <w:rPr>
          <w:rFonts w:hint="cs"/>
          <w:rtl/>
        </w:rPr>
        <w:t xml:space="preserve">، </w:t>
      </w:r>
      <w:r w:rsidRPr="005675B2">
        <w:rPr>
          <w:rFonts w:hint="cs"/>
          <w:rtl/>
        </w:rPr>
        <w:t>قال الرازي عن البخاري ومسلم</w:t>
      </w:r>
      <w:r w:rsidR="000636C2">
        <w:rPr>
          <w:rFonts w:hint="cs"/>
          <w:rtl/>
        </w:rPr>
        <w:t>:</w:t>
      </w:r>
      <w:r w:rsidRPr="005675B2">
        <w:rPr>
          <w:rFonts w:hint="cs"/>
          <w:rtl/>
        </w:rPr>
        <w:t xml:space="preserve"> </w:t>
      </w:r>
      <w:r w:rsidR="000636C2">
        <w:rPr>
          <w:rFonts w:hint="cs"/>
          <w:rtl/>
        </w:rPr>
        <w:t>[</w:t>
      </w:r>
      <w:r w:rsidRPr="005675B2">
        <w:rPr>
          <w:rFonts w:hint="cs"/>
          <w:rtl/>
        </w:rPr>
        <w:t>نحسن الظن بهما وبالذين رويا عنهم</w:t>
      </w:r>
      <w:r w:rsidR="000636C2">
        <w:rPr>
          <w:rFonts w:hint="cs"/>
          <w:rtl/>
        </w:rPr>
        <w:t>،</w:t>
      </w:r>
      <w:r w:rsidRPr="005675B2">
        <w:rPr>
          <w:rFonts w:hint="cs"/>
          <w:rtl/>
        </w:rPr>
        <w:t xml:space="preserve"> إلا أنا إذا شاهدنا خبراً مشتملاً على منكر لا يمكن إسناده إلى الرسول صلى الله عليه وسلم قطعنا بأنه من وضع الملاحدة ومن ترويجاتهم على أولئك المحدثين</w:t>
      </w:r>
      <w:r w:rsidR="000636C2">
        <w:rPr>
          <w:rFonts w:hint="cs"/>
          <w:rtl/>
        </w:rPr>
        <w:t>]</w:t>
      </w:r>
      <w:r w:rsidRPr="005675B2">
        <w:rPr>
          <w:rFonts w:hint="cs"/>
          <w:rtl/>
        </w:rPr>
        <w:t xml:space="preserve"> [</w:t>
      </w:r>
      <w:r w:rsidRPr="005675B2">
        <w:rPr>
          <w:rFonts w:hint="cs"/>
          <w:sz w:val="24"/>
          <w:szCs w:val="24"/>
          <w:rtl/>
        </w:rPr>
        <w:t>أساس التقديس: ص 218</w:t>
      </w:r>
      <w:r w:rsidR="000636C2">
        <w:rPr>
          <w:rFonts w:hint="cs"/>
          <w:sz w:val="24"/>
          <w:szCs w:val="24"/>
          <w:rtl/>
        </w:rPr>
        <w:t>]</w:t>
      </w:r>
      <w:r w:rsidR="000636C2">
        <w:rPr>
          <w:rFonts w:hint="cs"/>
          <w:rtl/>
        </w:rPr>
        <w:t xml:space="preserve">، </w:t>
      </w:r>
      <w:r w:rsidRPr="005675B2">
        <w:rPr>
          <w:rFonts w:hint="cs"/>
          <w:rtl/>
        </w:rPr>
        <w:t>والفرق بين الأمرين واضح</w:t>
      </w:r>
      <w:r w:rsidR="000636C2">
        <w:rPr>
          <w:rFonts w:hint="cs"/>
          <w:rtl/>
        </w:rPr>
        <w:t>،</w:t>
      </w:r>
      <w:r w:rsidRPr="005675B2">
        <w:rPr>
          <w:rFonts w:hint="cs"/>
          <w:rtl/>
        </w:rPr>
        <w:t xml:space="preserve"> فالرازي يحسن الظن بالبخاري ومسلم وبالرواة الذين رويا عنهم</w:t>
      </w:r>
      <w:r w:rsidR="000636C2">
        <w:rPr>
          <w:rFonts w:hint="cs"/>
          <w:rtl/>
        </w:rPr>
        <w:t>،</w:t>
      </w:r>
      <w:r w:rsidRPr="005675B2">
        <w:rPr>
          <w:rFonts w:hint="cs"/>
          <w:rtl/>
        </w:rPr>
        <w:t xml:space="preserve"> ثم يضع قضية افتراضية</w:t>
      </w:r>
      <w:r w:rsidR="000636C2">
        <w:rPr>
          <w:rFonts w:hint="cs"/>
          <w:rtl/>
        </w:rPr>
        <w:t>،</w:t>
      </w:r>
      <w:r w:rsidRPr="005675B2">
        <w:rPr>
          <w:rFonts w:hint="cs"/>
          <w:rtl/>
        </w:rPr>
        <w:t xml:space="preserve"> وهي أننا إذا وجدنا خبراً مشتملاً على معنى منكر لا</w:t>
      </w:r>
      <w:r w:rsidR="000636C2">
        <w:rPr>
          <w:rFonts w:hint="cs"/>
          <w:rtl/>
        </w:rPr>
        <w:t xml:space="preserve"> </w:t>
      </w:r>
      <w:r w:rsidRPr="005675B2">
        <w:rPr>
          <w:rFonts w:hint="cs"/>
          <w:rtl/>
        </w:rPr>
        <w:t>يمكن إسناده إلى رسول الله صلى الله عليه وسلم فما موقفنا منه</w:t>
      </w:r>
      <w:r w:rsidR="000636C2">
        <w:rPr>
          <w:rFonts w:hint="cs"/>
          <w:rtl/>
        </w:rPr>
        <w:t>؟</w:t>
      </w:r>
      <w:r w:rsidRPr="005675B2">
        <w:rPr>
          <w:rFonts w:hint="cs"/>
          <w:rtl/>
        </w:rPr>
        <w:t xml:space="preserve"> ويوضح موقفه من ذلك</w:t>
      </w:r>
      <w:r w:rsidR="000636C2">
        <w:rPr>
          <w:rFonts w:hint="cs"/>
          <w:rtl/>
        </w:rPr>
        <w:t>،</w:t>
      </w:r>
      <w:r w:rsidRPr="005675B2">
        <w:rPr>
          <w:rFonts w:hint="cs"/>
          <w:rtl/>
        </w:rPr>
        <w:t xml:space="preserve"> وهو الجزم بأن ذلك الخبر من وضع الملاحدة ومن ترويجاتهم على أولئك المحدثين</w:t>
      </w:r>
      <w:r w:rsidR="000636C2">
        <w:rPr>
          <w:rFonts w:hint="cs"/>
          <w:rtl/>
        </w:rPr>
        <w:t>،</w:t>
      </w:r>
      <w:r w:rsidRPr="005675B2">
        <w:rPr>
          <w:rFonts w:hint="cs"/>
          <w:rtl/>
        </w:rPr>
        <w:t xml:space="preserve"> والذي يقوله الباحث هو أن الرازي يجزم بوجود أحاديث في الصحيحين من وضع الزنادقة</w:t>
      </w:r>
      <w:r w:rsidR="000636C2">
        <w:rPr>
          <w:rFonts w:hint="cs"/>
          <w:rtl/>
        </w:rPr>
        <w:t xml:space="preserve">!، </w:t>
      </w:r>
      <w:r w:rsidRPr="005675B2">
        <w:rPr>
          <w:rFonts w:hint="cs"/>
          <w:rtl/>
        </w:rPr>
        <w:t>وشتان بين الافتراض وبين الجزم بوقوع الأمر</w:t>
      </w:r>
      <w:r w:rsidR="000636C2">
        <w:rPr>
          <w:rFonts w:hint="cs"/>
          <w:rtl/>
        </w:rPr>
        <w:t xml:space="preserve">، </w:t>
      </w:r>
      <w:r w:rsidRPr="005675B2">
        <w:rPr>
          <w:rFonts w:hint="cs"/>
          <w:rtl/>
        </w:rPr>
        <w:t xml:space="preserve">بل إن الإمام الرازي رحمه الله لما استشكل حديثاً من أحاديث الصحيحين وهو </w:t>
      </w:r>
      <w:r w:rsidR="000636C2">
        <w:rPr>
          <w:rFonts w:hint="cs"/>
          <w:rtl/>
        </w:rPr>
        <w:t>[</w:t>
      </w:r>
      <w:r w:rsidRPr="005675B2">
        <w:rPr>
          <w:rFonts w:hint="cs"/>
          <w:rtl/>
        </w:rPr>
        <w:t>إن الله لا يخفى عليكم</w:t>
      </w:r>
      <w:r w:rsidR="000636C2">
        <w:rPr>
          <w:rFonts w:hint="cs"/>
          <w:rtl/>
        </w:rPr>
        <w:t>،</w:t>
      </w:r>
      <w:r w:rsidRPr="005675B2">
        <w:rPr>
          <w:rFonts w:hint="cs"/>
          <w:rtl/>
        </w:rPr>
        <w:t xml:space="preserve"> إن الله ليس بأعور</w:t>
      </w:r>
      <w:r w:rsidR="000636C2">
        <w:rPr>
          <w:rFonts w:hint="cs"/>
          <w:rtl/>
        </w:rPr>
        <w:t>،</w:t>
      </w:r>
      <w:r w:rsidRPr="005675B2">
        <w:rPr>
          <w:rFonts w:hint="cs"/>
          <w:rtl/>
        </w:rPr>
        <w:t xml:space="preserve"> وإن المسيح الدجال أعور عين اليمنى</w:t>
      </w:r>
      <w:r w:rsidR="000636C2">
        <w:rPr>
          <w:rFonts w:hint="cs"/>
          <w:rtl/>
        </w:rPr>
        <w:t>]</w:t>
      </w:r>
      <w:r w:rsidRPr="005675B2">
        <w:rPr>
          <w:rFonts w:hint="cs"/>
          <w:rtl/>
        </w:rPr>
        <w:t xml:space="preserve"> ؛ لم يقل عنه إنه موضوع</w:t>
      </w:r>
      <w:r w:rsidR="000636C2">
        <w:rPr>
          <w:rFonts w:hint="cs"/>
          <w:rtl/>
        </w:rPr>
        <w:t>،</w:t>
      </w:r>
      <w:r w:rsidRPr="005675B2">
        <w:rPr>
          <w:rFonts w:hint="cs"/>
          <w:rtl/>
        </w:rPr>
        <w:t xml:space="preserve"> ولا قال وضعته الزنادقة</w:t>
      </w:r>
      <w:r w:rsidR="000636C2">
        <w:rPr>
          <w:rFonts w:hint="cs"/>
          <w:rtl/>
        </w:rPr>
        <w:t>،</w:t>
      </w:r>
      <w:r w:rsidRPr="005675B2">
        <w:rPr>
          <w:rFonts w:hint="cs"/>
          <w:rtl/>
        </w:rPr>
        <w:t xml:space="preserve"> وحاول أن يجد مخرجاً من هذا الإشكال</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وأما هذا الخبر الذي رويته فمشكل</w:t>
      </w:r>
      <w:r w:rsidR="000636C2">
        <w:rPr>
          <w:rFonts w:hint="cs"/>
          <w:rtl/>
        </w:rPr>
        <w:t>،</w:t>
      </w:r>
      <w:r w:rsidRPr="005675B2">
        <w:rPr>
          <w:rFonts w:hint="cs"/>
          <w:rtl/>
        </w:rPr>
        <w:t xml:space="preserve"> لأن ظاهره يقتضي أن النبي صلى الله عليه وسلم أظهر الفرق بين الإله تعالى وبين الدجال بكون الدجال أعور وكون الله تعالى ليس بأعور</w:t>
      </w:r>
      <w:r w:rsidR="000636C2">
        <w:rPr>
          <w:rFonts w:hint="cs"/>
          <w:rtl/>
        </w:rPr>
        <w:t>،</w:t>
      </w:r>
      <w:r w:rsidRPr="005675B2">
        <w:rPr>
          <w:rFonts w:hint="cs"/>
          <w:rtl/>
        </w:rPr>
        <w:t xml:space="preserve"> وذلك بعيد</w:t>
      </w:r>
      <w:r w:rsidR="000636C2">
        <w:rPr>
          <w:rFonts w:hint="cs"/>
          <w:rtl/>
        </w:rPr>
        <w:t>،</w:t>
      </w:r>
      <w:r w:rsidRPr="005675B2">
        <w:rPr>
          <w:rFonts w:hint="cs"/>
          <w:rtl/>
        </w:rPr>
        <w:t xml:space="preserve"> وخبر الواحد إذا بلغ هذه الدرجة في ضعف المعنى وجب أن يُعتقد أن الكلام كان مسبوقاً بمقدمة لو ذكرت لزال هذا الإشكال</w:t>
      </w:r>
      <w:r w:rsidR="000636C2">
        <w:rPr>
          <w:rFonts w:hint="cs"/>
          <w:rtl/>
        </w:rPr>
        <w:t>]</w:t>
      </w:r>
      <w:r w:rsidRPr="005675B2">
        <w:rPr>
          <w:rFonts w:hint="cs"/>
          <w:rtl/>
        </w:rPr>
        <w:t xml:space="preserve"> [</w:t>
      </w:r>
      <w:r w:rsidRPr="005675B2">
        <w:rPr>
          <w:rFonts w:hint="cs"/>
          <w:sz w:val="24"/>
          <w:szCs w:val="24"/>
          <w:rtl/>
        </w:rPr>
        <w:t>ساس التقديس: ص 158</w:t>
      </w:r>
      <w:r w:rsidR="000636C2">
        <w:rPr>
          <w:rFonts w:hint="cs"/>
          <w:sz w:val="24"/>
          <w:szCs w:val="24"/>
          <w:rtl/>
        </w:rPr>
        <w:t>]</w:t>
      </w:r>
      <w:r w:rsidR="000636C2">
        <w:rPr>
          <w:rFonts w:hint="cs"/>
          <w:rtl/>
        </w:rPr>
        <w:t xml:space="preserve">، </w:t>
      </w:r>
      <w:r w:rsidRPr="005675B2">
        <w:rPr>
          <w:rFonts w:hint="cs"/>
          <w:rtl/>
        </w:rPr>
        <w:t>5 - نسي الباحث أو تناسى أن ابن تيمية رحمه الله قد يتوقف عن الأخذ بالحديث الآحادي في العقيدة بحجة كونه ليس متواتراً</w:t>
      </w:r>
      <w:r w:rsidR="000636C2">
        <w:rPr>
          <w:rFonts w:hint="cs"/>
          <w:rtl/>
        </w:rPr>
        <w:t>،</w:t>
      </w:r>
      <w:r w:rsidRPr="005675B2">
        <w:rPr>
          <w:rFonts w:hint="cs"/>
          <w:rtl/>
        </w:rPr>
        <w:t xml:space="preserve"> واستمع إليه يقول عن حديث </w:t>
      </w:r>
      <w:r w:rsidR="000636C2">
        <w:rPr>
          <w:rFonts w:hint="cs"/>
          <w:rtl/>
        </w:rPr>
        <w:t>[</w:t>
      </w:r>
      <w:r w:rsidRPr="005675B2">
        <w:rPr>
          <w:rFonts w:hint="cs"/>
          <w:rtl/>
        </w:rPr>
        <w:t>كان الله ولم يكن شيء غيره</w:t>
      </w:r>
      <w:r w:rsidR="000636C2">
        <w:rPr>
          <w:rFonts w:hint="cs"/>
          <w:rtl/>
        </w:rPr>
        <w:t>]:</w:t>
      </w:r>
      <w:r w:rsidRPr="005675B2">
        <w:rPr>
          <w:rFonts w:hint="cs"/>
          <w:rtl/>
        </w:rPr>
        <w:t xml:space="preserve"> </w:t>
      </w:r>
      <w:r w:rsidR="000636C2">
        <w:rPr>
          <w:rFonts w:hint="cs"/>
          <w:rtl/>
        </w:rPr>
        <w:t>[</w:t>
      </w:r>
      <w:r w:rsidRPr="005675B2">
        <w:rPr>
          <w:rFonts w:hint="cs"/>
          <w:rtl/>
        </w:rPr>
        <w:t>وهذا الحديث لو كان نصاً فيما ذُكر فليس هو متواتراً</w:t>
      </w:r>
      <w:r w:rsidR="000636C2">
        <w:rPr>
          <w:rFonts w:hint="cs"/>
          <w:rtl/>
        </w:rPr>
        <w:t>]</w:t>
      </w:r>
      <w:r w:rsidRPr="005675B2">
        <w:rPr>
          <w:rFonts w:hint="cs"/>
          <w:rtl/>
        </w:rPr>
        <w:t xml:space="preserve"> [</w:t>
      </w:r>
      <w:r w:rsidRPr="005675B2">
        <w:rPr>
          <w:rFonts w:hint="cs"/>
          <w:sz w:val="24"/>
          <w:szCs w:val="24"/>
          <w:rtl/>
        </w:rPr>
        <w:t>نقد مراتب الإجماع لابن تيمية: ص 170</w:t>
      </w:r>
      <w:r w:rsidR="000636C2">
        <w:rPr>
          <w:rFonts w:hint="cs"/>
          <w:sz w:val="24"/>
          <w:szCs w:val="24"/>
          <w:rtl/>
        </w:rPr>
        <w:t>]</w:t>
      </w:r>
      <w:r w:rsidR="000636C2">
        <w:rPr>
          <w:rFonts w:hint="cs"/>
          <w:rtl/>
        </w:rPr>
        <w:t>،</w:t>
      </w:r>
      <w:r w:rsidRPr="005675B2">
        <w:rPr>
          <w:rFonts w:hint="cs"/>
          <w:rtl/>
        </w:rPr>
        <w:t xml:space="preserve"> وهذا إقرار ضمني من ابن تيمية رحمه الله بما ذهب إليه الجمهور من أن غير المتواتر ليس بحجة مستقلة في العقائد</w:t>
      </w:r>
      <w:r w:rsidR="000636C2">
        <w:rPr>
          <w:rFonts w:hint="cs"/>
          <w:rtl/>
        </w:rPr>
        <w:t>،</w:t>
      </w:r>
      <w:r w:rsidRPr="005675B2">
        <w:rPr>
          <w:rFonts w:hint="cs"/>
          <w:rtl/>
        </w:rPr>
        <w:t xml:space="preserve"> وإلا فلم غمز الحديث بعدم التواتر</w:t>
      </w:r>
      <w:r w:rsidR="000636C2">
        <w:rPr>
          <w:rFonts w:hint="cs"/>
          <w:rtl/>
        </w:rPr>
        <w:t>؟!</w:t>
      </w:r>
      <w:r w:rsidRPr="005675B2">
        <w:rPr>
          <w:rFonts w:hint="cs"/>
          <w:rtl/>
        </w:rPr>
        <w:t>!</w:t>
      </w:r>
      <w:r w:rsidR="000636C2">
        <w:rPr>
          <w:rFonts w:hint="cs"/>
          <w:rtl/>
        </w:rPr>
        <w:t xml:space="preserve">، </w:t>
      </w:r>
      <w:r w:rsidRPr="005675B2">
        <w:rPr>
          <w:rFonts w:hint="cs"/>
          <w:rtl/>
        </w:rPr>
        <w:t>6</w:t>
      </w:r>
      <w:r w:rsidR="000636C2">
        <w:rPr>
          <w:rFonts w:hint="cs"/>
          <w:rtl/>
        </w:rPr>
        <w:t xml:space="preserve"> </w:t>
      </w:r>
      <w:r w:rsidRPr="005675B2">
        <w:rPr>
          <w:rFonts w:hint="cs"/>
          <w:rtl/>
        </w:rPr>
        <w:t>- نسي الباحث أو تناسى أن ابن تيمية - رحمه الله</w:t>
      </w:r>
      <w:r w:rsidR="000636C2">
        <w:rPr>
          <w:rFonts w:hint="cs"/>
          <w:rtl/>
        </w:rPr>
        <w:t xml:space="preserve"> </w:t>
      </w:r>
      <w:r w:rsidRPr="005675B2">
        <w:rPr>
          <w:rFonts w:hint="cs"/>
          <w:rtl/>
        </w:rPr>
        <w:t>- يقول</w:t>
      </w:r>
      <w:r w:rsidR="000636C2">
        <w:rPr>
          <w:rFonts w:hint="cs"/>
          <w:rtl/>
        </w:rPr>
        <w:t>:</w:t>
      </w:r>
      <w:r w:rsidRPr="005675B2">
        <w:rPr>
          <w:rFonts w:hint="cs"/>
          <w:rtl/>
        </w:rPr>
        <w:t xml:space="preserve"> </w:t>
      </w:r>
      <w:r w:rsidR="000636C2">
        <w:rPr>
          <w:rFonts w:hint="cs"/>
          <w:rtl/>
        </w:rPr>
        <w:t>[</w:t>
      </w:r>
      <w:r w:rsidRPr="005675B2">
        <w:rPr>
          <w:rFonts w:hint="cs"/>
          <w:rtl/>
        </w:rPr>
        <w:t>وخبر الواحد لا يفيد العلم إلا بقرائن</w:t>
      </w:r>
      <w:r w:rsidR="000636C2">
        <w:rPr>
          <w:rFonts w:hint="cs"/>
          <w:rtl/>
        </w:rPr>
        <w:t>]</w:t>
      </w:r>
      <w:r w:rsidRPr="005675B2">
        <w:rPr>
          <w:rFonts w:hint="cs"/>
          <w:rtl/>
        </w:rPr>
        <w:t xml:space="preserve"> [</w:t>
      </w:r>
      <w:r w:rsidRPr="005675B2">
        <w:rPr>
          <w:rFonts w:hint="cs"/>
          <w:sz w:val="24"/>
          <w:szCs w:val="24"/>
          <w:rtl/>
        </w:rPr>
        <w:t>منهاج السنة النبوية لابن تيمية: 7/516</w:t>
      </w:r>
      <w:r w:rsidR="000636C2">
        <w:rPr>
          <w:rFonts w:hint="cs"/>
          <w:sz w:val="24"/>
          <w:szCs w:val="24"/>
          <w:rtl/>
        </w:rPr>
        <w:t>،</w:t>
      </w:r>
      <w:r w:rsidRPr="005675B2">
        <w:rPr>
          <w:rFonts w:hint="cs"/>
          <w:sz w:val="24"/>
          <w:szCs w:val="24"/>
          <w:rtl/>
        </w:rPr>
        <w:t xml:space="preserve"> طبعة جامعة الإمام محمد بن سعود الإسلامية</w:t>
      </w:r>
      <w:r w:rsidR="000636C2">
        <w:rPr>
          <w:rFonts w:hint="cs"/>
          <w:sz w:val="24"/>
          <w:szCs w:val="24"/>
          <w:rtl/>
        </w:rPr>
        <w:t>]</w:t>
      </w:r>
      <w:r w:rsidR="000636C2">
        <w:rPr>
          <w:rFonts w:hint="cs"/>
          <w:rtl/>
        </w:rPr>
        <w:t xml:space="preserve">، </w:t>
      </w:r>
      <w:r w:rsidRPr="005675B2">
        <w:rPr>
          <w:rFonts w:hint="cs"/>
          <w:rtl/>
        </w:rPr>
        <w:t>7</w:t>
      </w:r>
      <w:r w:rsidR="000636C2">
        <w:rPr>
          <w:rFonts w:hint="cs"/>
          <w:rtl/>
        </w:rPr>
        <w:t xml:space="preserve"> </w:t>
      </w:r>
      <w:r w:rsidRPr="005675B2">
        <w:rPr>
          <w:rFonts w:hint="cs"/>
          <w:rtl/>
        </w:rPr>
        <w:t>- نسي الباحث أو تناسى أن ابن تيمية رحمه الله يقول</w:t>
      </w:r>
      <w:r w:rsidR="000636C2">
        <w:rPr>
          <w:rFonts w:hint="cs"/>
          <w:rtl/>
        </w:rPr>
        <w:t>:</w:t>
      </w:r>
      <w:r w:rsidRPr="005675B2">
        <w:rPr>
          <w:rFonts w:hint="cs"/>
          <w:rtl/>
        </w:rPr>
        <w:t xml:space="preserve"> </w:t>
      </w:r>
      <w:r w:rsidR="000636C2">
        <w:rPr>
          <w:rFonts w:hint="cs"/>
          <w:rtl/>
        </w:rPr>
        <w:t>[</w:t>
      </w:r>
      <w:r w:rsidRPr="005675B2">
        <w:rPr>
          <w:rFonts w:hint="cs"/>
          <w:rtl/>
        </w:rPr>
        <w:t>والكذب كان قليلاً في السلف</w:t>
      </w:r>
      <w:r w:rsidR="000636C2">
        <w:rPr>
          <w:rFonts w:hint="cs"/>
          <w:rtl/>
        </w:rPr>
        <w:t>،</w:t>
      </w:r>
      <w:r w:rsidRPr="005675B2">
        <w:rPr>
          <w:rFonts w:hint="cs"/>
          <w:rtl/>
        </w:rPr>
        <w:t xml:space="preserve"> أما الصحابة فلم يعرف فيهم - ولله الحمد</w:t>
      </w:r>
      <w:r w:rsidR="000636C2">
        <w:rPr>
          <w:rFonts w:hint="cs"/>
          <w:rtl/>
        </w:rPr>
        <w:t xml:space="preserve"> </w:t>
      </w:r>
      <w:r w:rsidRPr="005675B2">
        <w:rPr>
          <w:rFonts w:hint="cs"/>
          <w:rtl/>
        </w:rPr>
        <w:t>- من تعمد الكذب على النبي صلى الله عليه وسلم ..</w:t>
      </w:r>
      <w:r w:rsidR="000636C2">
        <w:rPr>
          <w:rFonts w:hint="cs"/>
          <w:rtl/>
        </w:rPr>
        <w:t>،</w:t>
      </w:r>
      <w:r w:rsidRPr="005675B2">
        <w:rPr>
          <w:rFonts w:hint="cs"/>
          <w:rtl/>
        </w:rPr>
        <w:t xml:space="preserve"> وأما الغلط فلا يسلم منه أكثر الناس</w:t>
      </w:r>
      <w:r w:rsidR="000636C2">
        <w:rPr>
          <w:rFonts w:hint="cs"/>
          <w:rtl/>
        </w:rPr>
        <w:t>،</w:t>
      </w:r>
      <w:r w:rsidRPr="005675B2">
        <w:rPr>
          <w:rFonts w:hint="cs"/>
          <w:rtl/>
        </w:rPr>
        <w:t xml:space="preserve"> بل في الصحابة من قد يغلط أحياناً وفيمن بعدهم</w:t>
      </w:r>
      <w:r w:rsidR="000636C2">
        <w:rPr>
          <w:rFonts w:hint="cs"/>
          <w:rtl/>
        </w:rPr>
        <w:t>،</w:t>
      </w:r>
      <w:r w:rsidRPr="005675B2">
        <w:rPr>
          <w:rFonts w:hint="cs"/>
          <w:rtl/>
        </w:rPr>
        <w:t xml:space="preserve"> ولهذا كان فيما صُنف في الصحيح أحاديث يُعلم أنها غلط وإن كان جمهور متون الصحيحين مما يُعلم أنه حق</w:t>
      </w:r>
      <w:r w:rsidR="000636C2">
        <w:rPr>
          <w:rFonts w:hint="cs"/>
          <w:rtl/>
        </w:rPr>
        <w:t>]</w:t>
      </w:r>
      <w:r w:rsidRPr="005675B2">
        <w:rPr>
          <w:rFonts w:hint="cs"/>
          <w:rtl/>
        </w:rPr>
        <w:t xml:space="preserve"> [</w:t>
      </w:r>
      <w:r w:rsidRPr="005675B2">
        <w:rPr>
          <w:rFonts w:hint="cs"/>
          <w:sz w:val="24"/>
          <w:szCs w:val="24"/>
          <w:rtl/>
        </w:rPr>
        <w:t xml:space="preserve">مجموع فتاوى ابن تيمية: 1/249 </w:t>
      </w:r>
      <w:r w:rsidRPr="005675B2">
        <w:rPr>
          <w:sz w:val="24"/>
          <w:szCs w:val="24"/>
        </w:rPr>
        <w:t>–</w:t>
      </w:r>
      <w:r w:rsidRPr="005675B2">
        <w:rPr>
          <w:rFonts w:hint="cs"/>
          <w:sz w:val="24"/>
          <w:szCs w:val="24"/>
          <w:rtl/>
        </w:rPr>
        <w:t xml:space="preserve"> 250</w:t>
      </w:r>
      <w:r w:rsidR="000636C2">
        <w:rPr>
          <w:rFonts w:hint="cs"/>
          <w:sz w:val="24"/>
          <w:szCs w:val="24"/>
          <w:rtl/>
        </w:rPr>
        <w:t>]</w:t>
      </w:r>
      <w:r w:rsidR="000636C2">
        <w:rPr>
          <w:rFonts w:hint="cs"/>
          <w:rtl/>
        </w:rPr>
        <w:t>،</w:t>
      </w:r>
      <w:r w:rsidRPr="005675B2">
        <w:rPr>
          <w:rFonts w:hint="cs"/>
          <w:rtl/>
        </w:rPr>
        <w:t xml:space="preserve"> وتأمل قوله </w:t>
      </w:r>
      <w:r w:rsidR="000636C2">
        <w:rPr>
          <w:rFonts w:hint="cs"/>
          <w:rtl/>
        </w:rPr>
        <w:t>[</w:t>
      </w:r>
      <w:r w:rsidRPr="005675B2">
        <w:rPr>
          <w:rFonts w:hint="cs"/>
          <w:rtl/>
        </w:rPr>
        <w:t>جمهور متون الصحيحين</w:t>
      </w:r>
      <w:r w:rsidR="000636C2">
        <w:rPr>
          <w:rFonts w:hint="cs"/>
          <w:rtl/>
        </w:rPr>
        <w:t xml:space="preserve">]، </w:t>
      </w:r>
      <w:r w:rsidRPr="005675B2">
        <w:rPr>
          <w:rFonts w:hint="cs"/>
          <w:rtl/>
        </w:rPr>
        <w:t>فخفف من حملتك على الإمام فخر الدين الرازي</w:t>
      </w:r>
      <w:r w:rsidR="000636C2">
        <w:rPr>
          <w:rFonts w:hint="cs"/>
          <w:rtl/>
        </w:rPr>
        <w:t>،</w:t>
      </w:r>
      <w:r w:rsidRPr="005675B2">
        <w:rPr>
          <w:rFonts w:hint="cs"/>
          <w:rtl/>
        </w:rPr>
        <w:t xml:space="preserve"> وعليك بالعدل ولزوم الإنصاف</w:t>
      </w:r>
      <w:r w:rsidR="000636C2">
        <w:rPr>
          <w:rFonts w:hint="cs"/>
          <w:rtl/>
        </w:rPr>
        <w:t>،</w:t>
      </w:r>
      <w:r w:rsidRPr="005675B2">
        <w:rPr>
          <w:rFonts w:hint="cs"/>
          <w:rtl/>
        </w:rPr>
        <w:t xml:space="preserve"> ولا تكل بمكيالين</w:t>
      </w:r>
      <w:r w:rsidR="000636C2">
        <w:rPr>
          <w:rFonts w:hint="cs"/>
          <w:rtl/>
        </w:rPr>
        <w:t>،</w:t>
      </w:r>
      <w:r w:rsidRPr="005675B2">
        <w:rPr>
          <w:rFonts w:hint="cs"/>
          <w:rtl/>
        </w:rPr>
        <w:t xml:space="preserve"> وتذكر قول الله جل وعلا </w:t>
      </w:r>
      <w:r w:rsidR="000636C2">
        <w:rPr>
          <w:rFonts w:hint="cs"/>
          <w:rtl/>
        </w:rPr>
        <w:t>[</w:t>
      </w:r>
      <w:r w:rsidRPr="005675B2">
        <w:rPr>
          <w:rFonts w:hint="cs"/>
          <w:rtl/>
        </w:rPr>
        <w:t>وَزِنُوا بِالْقِسْطَاسِ الْمُسْتَقِيمِ</w:t>
      </w:r>
      <w:r w:rsidR="000636C2">
        <w:rPr>
          <w:rFonts w:hint="cs"/>
          <w:rtl/>
        </w:rPr>
        <w:t>]</w:t>
      </w:r>
      <w:r w:rsidRPr="005675B2">
        <w:rPr>
          <w:rFonts w:hint="cs"/>
          <w:rtl/>
        </w:rPr>
        <w:t xml:space="preserve"> [</w:t>
      </w:r>
      <w:r w:rsidRPr="005675B2">
        <w:rPr>
          <w:rFonts w:hint="cs"/>
          <w:sz w:val="24"/>
          <w:szCs w:val="24"/>
          <w:rtl/>
        </w:rPr>
        <w:t>سورة الاسراء: من الآية35]</w:t>
      </w:r>
      <w:r w:rsidR="000636C2">
        <w:rPr>
          <w:rFonts w:hint="cs"/>
          <w:rtl/>
        </w:rPr>
        <w:t>،</w:t>
      </w:r>
    </w:p>
    <w:p w14:paraId="698E0C4F" w14:textId="2913AFC2"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تقرأ في كتب عقيدتهم قديمها وحديثها المئة صفحة أو أكثر فلا تجد فيها آية ولا حديثاً</w:t>
      </w:r>
      <w:r w:rsidR="000636C2">
        <w:rPr>
          <w:rFonts w:hint="cs"/>
          <w:rtl/>
        </w:rPr>
        <w:t>،</w:t>
      </w:r>
      <w:r w:rsidRPr="005675B2">
        <w:rPr>
          <w:rFonts w:hint="cs"/>
          <w:rtl/>
        </w:rPr>
        <w:t xml:space="preserve"> لكنك قد تجد في كل فقرة قال الحكماء أوقال المعلم الأول أوقالت الفلاسفة ونحوها</w:t>
      </w:r>
      <w:r w:rsidR="000636C2">
        <w:rPr>
          <w:rFonts w:hint="cs"/>
          <w:rtl/>
        </w:rPr>
        <w:t>]،</w:t>
      </w:r>
    </w:p>
    <w:p w14:paraId="097B306F" w14:textId="77777777" w:rsidR="009C32A0" w:rsidRPr="005675B2" w:rsidRDefault="009C32A0" w:rsidP="000636C2">
      <w:pPr>
        <w:rPr>
          <w:b/>
          <w:rtl/>
        </w:rPr>
      </w:pPr>
    </w:p>
    <w:p w14:paraId="55FDBDDB" w14:textId="7305EE09"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هذا غير صحيح</w:t>
      </w:r>
      <w:r w:rsidR="000636C2">
        <w:rPr>
          <w:rFonts w:hint="cs"/>
          <w:rtl/>
        </w:rPr>
        <w:t>،</w:t>
      </w:r>
      <w:r w:rsidRPr="005675B2">
        <w:rPr>
          <w:rFonts w:hint="cs"/>
          <w:rtl/>
        </w:rPr>
        <w:t xml:space="preserve"> فكتب الباقلاني والمتولي والعز ابن عبد السلام مثلا مشحونة بالآيات والأحاديث</w:t>
      </w:r>
      <w:r w:rsidR="000636C2">
        <w:rPr>
          <w:rFonts w:hint="cs"/>
          <w:rtl/>
        </w:rPr>
        <w:t>،</w:t>
      </w:r>
      <w:r w:rsidRPr="005675B2">
        <w:rPr>
          <w:rFonts w:hint="cs"/>
          <w:rtl/>
        </w:rPr>
        <w:t xml:space="preserve"> وكتب الرازي والآمدي وغيرهما فيها الكثير من الآيات والأحاديث</w:t>
      </w:r>
      <w:r w:rsidR="000636C2">
        <w:rPr>
          <w:rFonts w:hint="cs"/>
          <w:rtl/>
        </w:rPr>
        <w:t>،</w:t>
      </w:r>
      <w:r w:rsidRPr="005675B2">
        <w:rPr>
          <w:rFonts w:hint="cs"/>
          <w:rtl/>
        </w:rPr>
        <w:t xml:space="preserve"> والسبب في التركيز على الأدلة العقلية أكثر من الأدلة النقلية في تلك الكتب هو أنها وضعت لمجادلة المخالفين</w:t>
      </w:r>
      <w:r w:rsidR="000636C2">
        <w:rPr>
          <w:rFonts w:hint="cs"/>
          <w:rtl/>
        </w:rPr>
        <w:t>،</w:t>
      </w:r>
      <w:r w:rsidRPr="005675B2">
        <w:rPr>
          <w:rFonts w:hint="cs"/>
          <w:rtl/>
        </w:rPr>
        <w:t xml:space="preserve"> وهؤلاء لا بد من مقارعتهم بالأدلة العقلية في الدرجة الأولى</w:t>
      </w:r>
      <w:r w:rsidR="000636C2">
        <w:rPr>
          <w:rFonts w:hint="cs"/>
          <w:rtl/>
        </w:rPr>
        <w:t>،</w:t>
      </w:r>
      <w:r w:rsidRPr="005675B2">
        <w:rPr>
          <w:rFonts w:hint="cs"/>
          <w:rtl/>
        </w:rPr>
        <w:t xml:space="preserve"> ولا شك في أن القرآن الكريم مشتمل على أقوى الحجج العقلية</w:t>
      </w:r>
      <w:r w:rsidR="000636C2">
        <w:rPr>
          <w:rFonts w:hint="cs"/>
          <w:rtl/>
        </w:rPr>
        <w:t>،</w:t>
      </w:r>
      <w:r w:rsidRPr="005675B2">
        <w:rPr>
          <w:rFonts w:hint="cs"/>
          <w:rtl/>
        </w:rPr>
        <w:t xml:space="preserve"> والأشاعرة أخذوها وصاغوها صياغة أخرى على الطريقة التي يفهمها الخصوم وناظروهم بها</w:t>
      </w:r>
      <w:r w:rsidR="000636C2">
        <w:rPr>
          <w:rFonts w:hint="cs"/>
          <w:rtl/>
        </w:rPr>
        <w:t xml:space="preserve">، </w:t>
      </w:r>
      <w:r w:rsidRPr="005675B2">
        <w:rPr>
          <w:rFonts w:hint="cs"/>
          <w:rtl/>
        </w:rPr>
        <w:t>أما اشتمال كتب الأشاعرة على نقل أقوال الفلاسفة</w:t>
      </w:r>
      <w:r w:rsidR="000636C2">
        <w:rPr>
          <w:rFonts w:hint="cs"/>
          <w:rtl/>
        </w:rPr>
        <w:t>:</w:t>
      </w:r>
      <w:r w:rsidRPr="005675B2">
        <w:rPr>
          <w:rFonts w:hint="cs"/>
          <w:rtl/>
        </w:rPr>
        <w:t xml:space="preserve"> فما وجدوه مخالفاً للحق ذكروه للرد عليهم</w:t>
      </w:r>
      <w:r w:rsidR="000636C2">
        <w:rPr>
          <w:rFonts w:hint="cs"/>
          <w:rtl/>
        </w:rPr>
        <w:t>،</w:t>
      </w:r>
      <w:r w:rsidRPr="005675B2">
        <w:rPr>
          <w:rFonts w:hint="cs"/>
          <w:rtl/>
        </w:rPr>
        <w:t xml:space="preserve"> وما رأوه موافقاً للحق ذكروه للاستئناس</w:t>
      </w:r>
      <w:r w:rsidR="000636C2">
        <w:rPr>
          <w:rFonts w:hint="cs"/>
          <w:rtl/>
        </w:rPr>
        <w:t xml:space="preserve">، </w:t>
      </w:r>
      <w:r w:rsidRPr="005675B2">
        <w:rPr>
          <w:rFonts w:hint="cs"/>
          <w:rtl/>
        </w:rPr>
        <w:t xml:space="preserve">وإذا أردت أن تعرف أن الباحث يتجنى على كتب الأشاعرة في قوله </w:t>
      </w:r>
      <w:r w:rsidR="000636C2">
        <w:rPr>
          <w:rFonts w:hint="cs"/>
          <w:rtl/>
        </w:rPr>
        <w:t>[</w:t>
      </w:r>
      <w:r w:rsidRPr="005675B2">
        <w:rPr>
          <w:rFonts w:hint="cs"/>
          <w:rtl/>
        </w:rPr>
        <w:t>لا تجد آية ولا حديثاً في المئة صفحة</w:t>
      </w:r>
      <w:r w:rsidR="000636C2">
        <w:rPr>
          <w:rFonts w:hint="cs"/>
          <w:rtl/>
        </w:rPr>
        <w:t>]،</w:t>
      </w:r>
      <w:r w:rsidRPr="005675B2">
        <w:rPr>
          <w:rFonts w:hint="cs"/>
          <w:rtl/>
        </w:rPr>
        <w:t xml:space="preserve"> فارجع إلى كتاب الإنصاف للباقلاني</w:t>
      </w:r>
      <w:r w:rsidR="000636C2">
        <w:rPr>
          <w:rFonts w:hint="cs"/>
          <w:rtl/>
        </w:rPr>
        <w:t>،</w:t>
      </w:r>
      <w:r w:rsidRPr="005675B2">
        <w:rPr>
          <w:rFonts w:hint="cs"/>
          <w:rtl/>
        </w:rPr>
        <w:t xml:space="preserve"> ففيه مئة وسبعون صفحة تقريباً</w:t>
      </w:r>
      <w:r w:rsidR="000636C2">
        <w:rPr>
          <w:rFonts w:hint="cs"/>
          <w:rtl/>
        </w:rPr>
        <w:t>،</w:t>
      </w:r>
      <w:r w:rsidRPr="005675B2">
        <w:rPr>
          <w:rFonts w:hint="cs"/>
          <w:rtl/>
        </w:rPr>
        <w:t xml:space="preserve"> واشتمل على أكثر من أربعمئة آية وأكثر من مئة حديث</w:t>
      </w:r>
      <w:r w:rsidR="000636C2">
        <w:rPr>
          <w:rFonts w:hint="cs"/>
          <w:rtl/>
        </w:rPr>
        <w:t>،</w:t>
      </w:r>
      <w:r w:rsidRPr="005675B2">
        <w:rPr>
          <w:rFonts w:hint="cs"/>
          <w:rtl/>
        </w:rPr>
        <w:t xml:space="preserve"> ولك الحق في أن تتأمل وتتعجب</w:t>
      </w:r>
      <w:r w:rsidR="000636C2">
        <w:rPr>
          <w:rFonts w:hint="cs"/>
          <w:rtl/>
        </w:rPr>
        <w:t xml:space="preserve">!، </w:t>
      </w:r>
      <w:r w:rsidRPr="005675B2">
        <w:rPr>
          <w:rFonts w:hint="cs"/>
          <w:rtl/>
        </w:rPr>
        <w:t>أما المختصرات التي حذفت منها الأدلة فشأنها شـأن المختصرات الفقهية التي حذفت منها الأدلة اكتفاء بما في كتب المتقدمين</w:t>
      </w:r>
      <w:r w:rsidR="000636C2">
        <w:rPr>
          <w:rFonts w:hint="cs"/>
          <w:rtl/>
        </w:rPr>
        <w:t>،</w:t>
      </w:r>
      <w:r w:rsidRPr="005675B2">
        <w:rPr>
          <w:rFonts w:hint="cs"/>
          <w:rtl/>
        </w:rPr>
        <w:t xml:space="preserve"> أفيصح أن يقال إنها ليس لها أدلـة من الكتاب والسـنة</w:t>
      </w:r>
      <w:r w:rsidR="000636C2">
        <w:rPr>
          <w:rFonts w:hint="cs"/>
          <w:rtl/>
        </w:rPr>
        <w:t>؟!</w:t>
      </w:r>
      <w:r w:rsidRPr="005675B2">
        <w:rPr>
          <w:rFonts w:hint="cs"/>
          <w:rtl/>
        </w:rPr>
        <w:t>!</w:t>
      </w:r>
      <w:r w:rsidR="000636C2">
        <w:rPr>
          <w:rFonts w:hint="cs"/>
          <w:rtl/>
        </w:rPr>
        <w:t>،</w:t>
      </w:r>
    </w:p>
    <w:p w14:paraId="026968DB" w14:textId="4E6E3A3B"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مذهب طائفة منهم وهم صوفيتهم كالغزالي والجامي في مصدر التلقي هو تقديم الكشف والذوق على النص</w:t>
      </w:r>
      <w:r w:rsidR="000636C2">
        <w:rPr>
          <w:rFonts w:hint="cs"/>
          <w:rtl/>
        </w:rPr>
        <w:t>،</w:t>
      </w:r>
      <w:r w:rsidRPr="005675B2">
        <w:rPr>
          <w:rFonts w:hint="cs"/>
          <w:rtl/>
        </w:rPr>
        <w:t xml:space="preserve"> وتأويل النص ليوافقه</w:t>
      </w:r>
      <w:r w:rsidR="000636C2">
        <w:rPr>
          <w:rFonts w:hint="cs"/>
          <w:rtl/>
        </w:rPr>
        <w:t>،</w:t>
      </w:r>
      <w:r w:rsidRPr="005675B2">
        <w:rPr>
          <w:rFonts w:hint="cs"/>
          <w:rtl/>
        </w:rPr>
        <w:t xml:space="preserve"> وقد يصححون بعض الأحاديث ويضعفونها حسب هذا الذوق</w:t>
      </w:r>
      <w:r w:rsidR="000636C2">
        <w:rPr>
          <w:rFonts w:hint="cs"/>
          <w:rtl/>
        </w:rPr>
        <w:t>]،</w:t>
      </w:r>
    </w:p>
    <w:p w14:paraId="20E85B6C" w14:textId="09B08A34"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تقديم الكشف والذوق على النص هراء لا يقول به مسلم عاقل</w:t>
      </w:r>
      <w:r w:rsidR="000636C2">
        <w:rPr>
          <w:rFonts w:hint="cs"/>
          <w:rtl/>
        </w:rPr>
        <w:t>،</w:t>
      </w:r>
      <w:r w:rsidRPr="005675B2">
        <w:rPr>
          <w:rFonts w:hint="cs"/>
          <w:rtl/>
        </w:rPr>
        <w:t xml:space="preserve"> لكن هل هذا مما يلحق الأشاعرةَ إثمه</w:t>
      </w:r>
      <w:r w:rsidR="000636C2">
        <w:rPr>
          <w:rFonts w:hint="cs"/>
          <w:rtl/>
        </w:rPr>
        <w:t>؟!</w:t>
      </w:r>
      <w:r w:rsidRPr="005675B2">
        <w:rPr>
          <w:rFonts w:hint="cs"/>
          <w:rtl/>
        </w:rPr>
        <w:t xml:space="preserve"> وهل يصح أن ينسب إلى الأشاعرة</w:t>
      </w:r>
      <w:r w:rsidR="000636C2">
        <w:rPr>
          <w:rFonts w:hint="cs"/>
          <w:rtl/>
        </w:rPr>
        <w:t>؟!</w:t>
      </w:r>
      <w:r w:rsidRPr="005675B2">
        <w:rPr>
          <w:rFonts w:hint="cs"/>
          <w:rtl/>
        </w:rPr>
        <w:t>!</w:t>
      </w:r>
      <w:r w:rsidR="000636C2">
        <w:rPr>
          <w:rFonts w:hint="cs"/>
          <w:rtl/>
        </w:rPr>
        <w:t>،</w:t>
      </w:r>
      <w:r w:rsidRPr="005675B2">
        <w:rPr>
          <w:rFonts w:hint="cs"/>
          <w:rtl/>
        </w:rPr>
        <w:t xml:space="preserve"> هذا في واد</w:t>
      </w:r>
      <w:r w:rsidR="000636C2">
        <w:rPr>
          <w:rFonts w:hint="cs"/>
          <w:rtl/>
        </w:rPr>
        <w:t>،</w:t>
      </w:r>
      <w:r w:rsidRPr="005675B2">
        <w:rPr>
          <w:rFonts w:hint="cs"/>
          <w:rtl/>
        </w:rPr>
        <w:t xml:space="preserve"> والأشاعرة في واد آخر</w:t>
      </w:r>
      <w:r w:rsidR="000636C2">
        <w:rPr>
          <w:rFonts w:hint="cs"/>
          <w:rtl/>
        </w:rPr>
        <w:t xml:space="preserve">، </w:t>
      </w:r>
      <w:r w:rsidRPr="005675B2">
        <w:rPr>
          <w:rFonts w:hint="cs"/>
          <w:rtl/>
        </w:rPr>
        <w:t>ويكفي أن أنقل هنا قول تاج الدين السبكي إذ يقول</w:t>
      </w:r>
      <w:r w:rsidR="000636C2">
        <w:rPr>
          <w:rFonts w:hint="cs"/>
          <w:rtl/>
        </w:rPr>
        <w:t>:</w:t>
      </w:r>
      <w:r w:rsidRPr="005675B2">
        <w:rPr>
          <w:rFonts w:hint="cs"/>
          <w:rtl/>
        </w:rPr>
        <w:t xml:space="preserve"> </w:t>
      </w:r>
      <w:r w:rsidR="000636C2">
        <w:rPr>
          <w:rFonts w:hint="cs"/>
          <w:rtl/>
        </w:rPr>
        <w:t>[</w:t>
      </w:r>
      <w:r w:rsidRPr="005675B2">
        <w:rPr>
          <w:rFonts w:hint="cs"/>
          <w:rtl/>
        </w:rPr>
        <w:t>الإلهام إيقاع شيء في القلب يثلج له الصدر</w:t>
      </w:r>
      <w:r w:rsidR="000636C2">
        <w:rPr>
          <w:rFonts w:hint="cs"/>
          <w:rtl/>
        </w:rPr>
        <w:t>،</w:t>
      </w:r>
      <w:r w:rsidRPr="005675B2">
        <w:rPr>
          <w:rFonts w:hint="cs"/>
          <w:rtl/>
        </w:rPr>
        <w:t xml:space="preserve"> يخص به الله تعالى بعض أصفيائه</w:t>
      </w:r>
      <w:r w:rsidR="000636C2">
        <w:rPr>
          <w:rFonts w:hint="cs"/>
          <w:rtl/>
        </w:rPr>
        <w:t>،</w:t>
      </w:r>
      <w:r w:rsidRPr="005675B2">
        <w:rPr>
          <w:rFonts w:hint="cs"/>
          <w:rtl/>
        </w:rPr>
        <w:t xml:space="preserve"> وليس بحجة</w:t>
      </w:r>
      <w:r w:rsidR="000636C2">
        <w:rPr>
          <w:rFonts w:hint="cs"/>
          <w:rtl/>
        </w:rPr>
        <w:t>،</w:t>
      </w:r>
      <w:r w:rsidRPr="005675B2">
        <w:rPr>
          <w:rFonts w:hint="cs"/>
          <w:rtl/>
        </w:rPr>
        <w:t xml:space="preserve"> لعدم ثقة من ليس معصوماً بخواطره</w:t>
      </w:r>
      <w:r w:rsidR="000636C2">
        <w:rPr>
          <w:rFonts w:hint="cs"/>
          <w:rtl/>
        </w:rPr>
        <w:t>،</w:t>
      </w:r>
      <w:r w:rsidRPr="005675B2">
        <w:rPr>
          <w:rFonts w:hint="cs"/>
          <w:rtl/>
        </w:rPr>
        <w:t xml:space="preserve"> خلافاً لبعض الصوفية</w:t>
      </w:r>
      <w:r w:rsidR="000636C2">
        <w:rPr>
          <w:rFonts w:hint="cs"/>
          <w:rtl/>
        </w:rPr>
        <w:t>]</w:t>
      </w:r>
      <w:r w:rsidRPr="005675B2">
        <w:rPr>
          <w:rFonts w:hint="cs"/>
          <w:rtl/>
        </w:rPr>
        <w:t xml:space="preserve"> [</w:t>
      </w:r>
      <w:r w:rsidRPr="005675B2">
        <w:rPr>
          <w:rFonts w:hint="cs"/>
          <w:sz w:val="24"/>
          <w:szCs w:val="24"/>
          <w:rtl/>
        </w:rPr>
        <w:t>جمع الجوامع: ص 187 من مجموع أمهات المتون</w:t>
      </w:r>
      <w:r w:rsidR="000636C2">
        <w:rPr>
          <w:rFonts w:hint="cs"/>
          <w:sz w:val="24"/>
          <w:szCs w:val="24"/>
          <w:rtl/>
        </w:rPr>
        <w:t>]</w:t>
      </w:r>
      <w:r w:rsidR="000636C2">
        <w:rPr>
          <w:rFonts w:hint="cs"/>
          <w:rtl/>
        </w:rPr>
        <w:t xml:space="preserve">، </w:t>
      </w:r>
      <w:r w:rsidRPr="005675B2">
        <w:rPr>
          <w:rFonts w:hint="cs"/>
          <w:rtl/>
        </w:rPr>
        <w:t>وقد قال الإمام أبو حفص النسفي الماتريدي المذهب</w:t>
      </w:r>
      <w:r w:rsidR="000636C2">
        <w:rPr>
          <w:rFonts w:hint="cs"/>
          <w:rtl/>
        </w:rPr>
        <w:t>:</w:t>
      </w:r>
      <w:r w:rsidRPr="005675B2">
        <w:rPr>
          <w:rFonts w:hint="cs"/>
          <w:rtl/>
        </w:rPr>
        <w:t xml:space="preserve"> </w:t>
      </w:r>
      <w:r w:rsidR="000636C2">
        <w:rPr>
          <w:rFonts w:hint="cs"/>
          <w:rtl/>
        </w:rPr>
        <w:t>[</w:t>
      </w:r>
      <w:r w:rsidRPr="005675B2">
        <w:rPr>
          <w:rFonts w:hint="cs"/>
          <w:rtl/>
        </w:rPr>
        <w:t>والإلهام ليس من أسباب المعرفة بصحة الشيء عند أهل الحق</w:t>
      </w:r>
      <w:r w:rsidR="000636C2">
        <w:rPr>
          <w:rFonts w:hint="cs"/>
          <w:rtl/>
        </w:rPr>
        <w:t>]</w:t>
      </w:r>
      <w:r w:rsidRPr="005675B2">
        <w:rPr>
          <w:rFonts w:hint="cs"/>
          <w:rtl/>
        </w:rPr>
        <w:t xml:space="preserve"> [</w:t>
      </w:r>
      <w:r w:rsidRPr="005675B2">
        <w:rPr>
          <w:rFonts w:hint="cs"/>
          <w:sz w:val="24"/>
          <w:szCs w:val="24"/>
          <w:rtl/>
        </w:rPr>
        <w:t>العقائد النسفية: ص 20</w:t>
      </w:r>
      <w:r w:rsidR="000636C2">
        <w:rPr>
          <w:rFonts w:hint="cs"/>
          <w:sz w:val="24"/>
          <w:szCs w:val="24"/>
          <w:rtl/>
        </w:rPr>
        <w:t>]</w:t>
      </w:r>
      <w:r w:rsidR="000636C2">
        <w:rPr>
          <w:rFonts w:hint="cs"/>
          <w:rtl/>
        </w:rPr>
        <w:t>،</w:t>
      </w:r>
      <w:r w:rsidRPr="005675B2">
        <w:rPr>
          <w:rFonts w:hint="cs"/>
          <w:rtl/>
        </w:rPr>
        <w:t xml:space="preserve"> فالأشاعرة والماتريدية برآء من هذه النحلة وأهلها</w:t>
      </w:r>
      <w:r w:rsidR="000636C2">
        <w:rPr>
          <w:rFonts w:hint="cs"/>
          <w:rtl/>
        </w:rPr>
        <w:t xml:space="preserve">، </w:t>
      </w:r>
      <w:r w:rsidRPr="005675B2">
        <w:rPr>
          <w:rFonts w:hint="cs"/>
          <w:rtl/>
        </w:rPr>
        <w:t>ويبدو أن الباحث</w:t>
      </w:r>
      <w:r w:rsidR="000636C2">
        <w:rPr>
          <w:rFonts w:hint="cs"/>
          <w:rtl/>
        </w:rPr>
        <w:t xml:space="preserve"> </w:t>
      </w:r>
      <w:r w:rsidRPr="005675B2">
        <w:rPr>
          <w:rFonts w:hint="cs"/>
          <w:rtl/>
        </w:rPr>
        <w:t>- غفر الله له</w:t>
      </w:r>
      <w:r w:rsidR="000636C2">
        <w:rPr>
          <w:rFonts w:hint="cs"/>
          <w:rtl/>
        </w:rPr>
        <w:t xml:space="preserve"> </w:t>
      </w:r>
      <w:r w:rsidRPr="005675B2">
        <w:rPr>
          <w:rFonts w:hint="cs"/>
          <w:rtl/>
        </w:rPr>
        <w:t>- لا يفرق بين الأشاعرة والصوفية</w:t>
      </w:r>
      <w:r w:rsidR="000636C2">
        <w:rPr>
          <w:rFonts w:hint="cs"/>
          <w:rtl/>
        </w:rPr>
        <w:t>،</w:t>
      </w:r>
      <w:r w:rsidRPr="005675B2">
        <w:rPr>
          <w:rFonts w:hint="cs"/>
          <w:rtl/>
        </w:rPr>
        <w:t xml:space="preserve"> كما لا يفرق بين الصوفية وبعض الصوفية</w:t>
      </w:r>
      <w:r w:rsidR="000636C2">
        <w:rPr>
          <w:rFonts w:hint="cs"/>
          <w:rtl/>
        </w:rPr>
        <w:t>،</w:t>
      </w:r>
      <w:r w:rsidRPr="005675B2">
        <w:rPr>
          <w:rFonts w:hint="cs"/>
          <w:rtl/>
        </w:rPr>
        <w:t xml:space="preserve"> وأن الكل عنده سواء</w:t>
      </w:r>
      <w:r w:rsidR="000636C2">
        <w:rPr>
          <w:rFonts w:hint="cs"/>
          <w:rtl/>
        </w:rPr>
        <w:t xml:space="preserve">!، </w:t>
      </w:r>
      <w:r w:rsidRPr="005675B2">
        <w:rPr>
          <w:rFonts w:hint="cs"/>
          <w:rtl/>
        </w:rPr>
        <w:t>2</w:t>
      </w:r>
      <w:r w:rsidR="000636C2">
        <w:rPr>
          <w:rFonts w:hint="cs"/>
          <w:rtl/>
        </w:rPr>
        <w:t xml:space="preserve"> </w:t>
      </w:r>
      <w:r w:rsidRPr="005675B2">
        <w:rPr>
          <w:rFonts w:hint="cs"/>
          <w:rtl/>
        </w:rPr>
        <w:t>- من المعلوم أن بعض متأخري الصوفية يصححون بعض الأحاديث بالكشف</w:t>
      </w:r>
      <w:r w:rsidR="000636C2">
        <w:rPr>
          <w:rFonts w:hint="cs"/>
          <w:rtl/>
        </w:rPr>
        <w:t>،</w:t>
      </w:r>
      <w:r w:rsidRPr="005675B2">
        <w:rPr>
          <w:rFonts w:hint="cs"/>
          <w:rtl/>
        </w:rPr>
        <w:t xml:space="preserve"> ولكن لم أسمع أنهم يقدمون الكشف والذوق على النص ويؤولون النص ليوافقه</w:t>
      </w:r>
      <w:r w:rsidR="000636C2">
        <w:rPr>
          <w:rFonts w:hint="cs"/>
          <w:rtl/>
        </w:rPr>
        <w:t>،</w:t>
      </w:r>
      <w:r w:rsidRPr="005675B2">
        <w:rPr>
          <w:rFonts w:hint="cs"/>
          <w:rtl/>
        </w:rPr>
        <w:t xml:space="preserve"> فإن افترضنا وقوع مثل هذا من بعضهم فهو مردود عليه</w:t>
      </w:r>
      <w:r w:rsidR="000636C2">
        <w:rPr>
          <w:rFonts w:hint="cs"/>
          <w:rtl/>
        </w:rPr>
        <w:t>،</w:t>
      </w:r>
      <w:r w:rsidRPr="005675B2">
        <w:rPr>
          <w:rFonts w:hint="cs"/>
          <w:rtl/>
        </w:rPr>
        <w:t xml:space="preserve"> وهو دليل جهله وضلاله</w:t>
      </w:r>
      <w:r w:rsidR="000636C2">
        <w:rPr>
          <w:rFonts w:hint="cs"/>
          <w:rtl/>
        </w:rPr>
        <w:t xml:space="preserve">، </w:t>
      </w:r>
      <w:r w:rsidRPr="005675B2">
        <w:rPr>
          <w:rFonts w:hint="cs"/>
          <w:rtl/>
        </w:rPr>
        <w:t>3</w:t>
      </w:r>
      <w:r w:rsidR="000636C2">
        <w:rPr>
          <w:rFonts w:hint="cs"/>
          <w:rtl/>
        </w:rPr>
        <w:t xml:space="preserve"> </w:t>
      </w:r>
      <w:r w:rsidRPr="005675B2">
        <w:rPr>
          <w:rFonts w:hint="cs"/>
          <w:rtl/>
        </w:rPr>
        <w:t xml:space="preserve">- أختم هذه الفقرة بما قاله الإمـام أبو بكر محمد بن إسـحاق الكلاباذي المتوفى سـنة </w:t>
      </w:r>
      <w:r w:rsidR="000636C2">
        <w:rPr>
          <w:rFonts w:hint="cs"/>
          <w:rtl/>
        </w:rPr>
        <w:t>(</w:t>
      </w:r>
      <w:r w:rsidRPr="005675B2">
        <w:rPr>
          <w:rFonts w:hint="cs"/>
          <w:rtl/>
        </w:rPr>
        <w:t>380ه -</w:t>
      </w:r>
      <w:r w:rsidR="000636C2">
        <w:rPr>
          <w:rFonts w:hint="cs"/>
          <w:rtl/>
        </w:rPr>
        <w:t>)،</w:t>
      </w:r>
      <w:r w:rsidRPr="005675B2">
        <w:rPr>
          <w:rFonts w:hint="cs"/>
          <w:rtl/>
        </w:rPr>
        <w:t xml:space="preserve"> وهو من أعرف الناس بمذاهب الصوفيين ما أجمعوا عليه وما اختلفوا فيه</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أجمعوا أن جميع ما فرض الله تعالى على العباد في كتابه وأوجبه رسول الله صلى الله عليه وسلم</w:t>
      </w:r>
      <w:r w:rsidR="000636C2">
        <w:rPr>
          <w:rFonts w:hint="cs"/>
          <w:rtl/>
        </w:rPr>
        <w:t>:</w:t>
      </w:r>
      <w:r w:rsidRPr="005675B2">
        <w:rPr>
          <w:rFonts w:hint="cs"/>
          <w:rtl/>
        </w:rPr>
        <w:t xml:space="preserve"> فرض واجب وحتم لازم</w:t>
      </w:r>
      <w:r w:rsidR="000636C2">
        <w:rPr>
          <w:rFonts w:hint="cs"/>
          <w:rtl/>
        </w:rPr>
        <w:t>،</w:t>
      </w:r>
      <w:r w:rsidRPr="005675B2">
        <w:rPr>
          <w:rFonts w:hint="cs"/>
          <w:rtl/>
        </w:rPr>
        <w:t xml:space="preserve"> على العقلاء البالغين</w:t>
      </w:r>
      <w:r w:rsidR="000636C2">
        <w:rPr>
          <w:rFonts w:hint="cs"/>
          <w:rtl/>
        </w:rPr>
        <w:t>،</w:t>
      </w:r>
      <w:r w:rsidRPr="005675B2">
        <w:rPr>
          <w:rFonts w:hint="cs"/>
          <w:rtl/>
        </w:rPr>
        <w:t xml:space="preserve"> لا يجوز التخلف عنها</w:t>
      </w:r>
      <w:r w:rsidR="000636C2">
        <w:rPr>
          <w:rFonts w:hint="cs"/>
          <w:rtl/>
        </w:rPr>
        <w:t>،</w:t>
      </w:r>
      <w:r w:rsidRPr="005675B2">
        <w:rPr>
          <w:rFonts w:hint="cs"/>
          <w:rtl/>
        </w:rPr>
        <w:t xml:space="preserve"> ولا يسع التفريطُ فيها بوجه من الوجوه لأحد من الناس من صدّيق وولي وعارف</w:t>
      </w:r>
      <w:r w:rsidR="000636C2">
        <w:rPr>
          <w:rFonts w:hint="cs"/>
          <w:rtl/>
        </w:rPr>
        <w:t xml:space="preserve"> </w:t>
      </w:r>
      <w:r w:rsidRPr="005675B2">
        <w:rPr>
          <w:rFonts w:hint="cs"/>
          <w:rtl/>
        </w:rPr>
        <w:t>وإن بلغ أنهى المراتب</w:t>
      </w:r>
      <w:r w:rsidR="000636C2">
        <w:rPr>
          <w:rFonts w:hint="cs"/>
          <w:rtl/>
        </w:rPr>
        <w:t>،</w:t>
      </w:r>
      <w:r w:rsidRPr="005675B2">
        <w:rPr>
          <w:rFonts w:hint="cs"/>
          <w:rtl/>
        </w:rPr>
        <w:t xml:space="preserve"> وأعلى الدرجات</w:t>
      </w:r>
      <w:r w:rsidR="000636C2">
        <w:rPr>
          <w:rFonts w:hint="cs"/>
          <w:rtl/>
        </w:rPr>
        <w:t>،</w:t>
      </w:r>
      <w:r w:rsidRPr="005675B2">
        <w:rPr>
          <w:rFonts w:hint="cs"/>
          <w:rtl/>
        </w:rPr>
        <w:t xml:space="preserve"> وأشرف المقامات</w:t>
      </w:r>
      <w:r w:rsidR="000636C2">
        <w:rPr>
          <w:rFonts w:hint="cs"/>
          <w:rtl/>
        </w:rPr>
        <w:t>،</w:t>
      </w:r>
      <w:r w:rsidRPr="005675B2">
        <w:rPr>
          <w:rFonts w:hint="cs"/>
          <w:rtl/>
        </w:rPr>
        <w:t xml:space="preserve"> وأرفع المنازل</w:t>
      </w:r>
      <w:r w:rsidR="000636C2">
        <w:rPr>
          <w:rFonts w:hint="cs"/>
          <w:rtl/>
        </w:rPr>
        <w:t>]</w:t>
      </w:r>
      <w:r w:rsidRPr="005675B2">
        <w:rPr>
          <w:rFonts w:hint="cs"/>
          <w:rtl/>
        </w:rPr>
        <w:t xml:space="preserve"> [</w:t>
      </w:r>
      <w:r w:rsidRPr="005675B2">
        <w:rPr>
          <w:rFonts w:hint="cs"/>
          <w:sz w:val="24"/>
          <w:szCs w:val="24"/>
          <w:rtl/>
        </w:rPr>
        <w:t xml:space="preserve">التعرف لمذهب أهل التصوف للكلاباذي: ص 34 </w:t>
      </w:r>
      <w:r w:rsidRPr="005675B2">
        <w:rPr>
          <w:sz w:val="24"/>
          <w:szCs w:val="24"/>
        </w:rPr>
        <w:t>–</w:t>
      </w:r>
      <w:r w:rsidRPr="005675B2">
        <w:rPr>
          <w:rFonts w:hint="cs"/>
          <w:sz w:val="24"/>
          <w:szCs w:val="24"/>
          <w:rtl/>
        </w:rPr>
        <w:t xml:space="preserve"> 35</w:t>
      </w:r>
      <w:r w:rsidR="000636C2">
        <w:rPr>
          <w:rFonts w:hint="cs"/>
          <w:sz w:val="24"/>
          <w:szCs w:val="24"/>
          <w:rtl/>
        </w:rPr>
        <w:t>]</w:t>
      </w:r>
      <w:r w:rsidR="000636C2">
        <w:rPr>
          <w:rFonts w:hint="cs"/>
          <w:rtl/>
        </w:rPr>
        <w:t>،</w:t>
      </w:r>
      <w:r w:rsidRPr="005675B2">
        <w:rPr>
          <w:rFonts w:hint="cs"/>
          <w:rtl/>
        </w:rPr>
        <w:t xml:space="preserve"> وقال في وصف الصوفيين</w:t>
      </w:r>
      <w:r w:rsidR="000636C2">
        <w:rPr>
          <w:rFonts w:hint="cs"/>
          <w:rtl/>
        </w:rPr>
        <w:t>:</w:t>
      </w:r>
      <w:r w:rsidRPr="005675B2">
        <w:rPr>
          <w:rFonts w:hint="cs"/>
          <w:rtl/>
        </w:rPr>
        <w:t xml:space="preserve"> </w:t>
      </w:r>
      <w:r w:rsidR="000636C2">
        <w:rPr>
          <w:rFonts w:hint="cs"/>
          <w:rtl/>
        </w:rPr>
        <w:t>[</w:t>
      </w:r>
      <w:r w:rsidRPr="005675B2">
        <w:rPr>
          <w:rFonts w:hint="cs"/>
          <w:rtl/>
        </w:rPr>
        <w:t>وهم أشفق الناس على خلق الله .. , وأكثرهم طلباً للسنة والآثار</w:t>
      </w:r>
      <w:r w:rsidR="000636C2">
        <w:rPr>
          <w:rFonts w:hint="cs"/>
          <w:rtl/>
        </w:rPr>
        <w:t>،</w:t>
      </w:r>
      <w:r w:rsidRPr="005675B2">
        <w:rPr>
          <w:rFonts w:hint="cs"/>
          <w:rtl/>
        </w:rPr>
        <w:t xml:space="preserve"> وأحرصهم على اتباعها</w:t>
      </w:r>
      <w:r w:rsidR="000636C2">
        <w:rPr>
          <w:rFonts w:hint="cs"/>
          <w:rtl/>
        </w:rPr>
        <w:t>]</w:t>
      </w:r>
      <w:r w:rsidRPr="005675B2">
        <w:rPr>
          <w:rFonts w:hint="cs"/>
          <w:rtl/>
        </w:rPr>
        <w:t xml:space="preserve"> [</w:t>
      </w:r>
      <w:r w:rsidRPr="005675B2">
        <w:rPr>
          <w:rFonts w:hint="cs"/>
          <w:sz w:val="24"/>
          <w:szCs w:val="24"/>
          <w:rtl/>
        </w:rPr>
        <w:t>المصدر السابق: ص 34</w:t>
      </w:r>
      <w:r w:rsidR="000636C2">
        <w:rPr>
          <w:rFonts w:hint="cs"/>
          <w:sz w:val="24"/>
          <w:szCs w:val="24"/>
          <w:rtl/>
        </w:rPr>
        <w:t>]</w:t>
      </w:r>
      <w:r w:rsidR="000636C2">
        <w:rPr>
          <w:rFonts w:hint="cs"/>
          <w:rtl/>
        </w:rPr>
        <w:t>،</w:t>
      </w:r>
      <w:r w:rsidRPr="005675B2">
        <w:rPr>
          <w:rFonts w:hint="cs"/>
          <w:rtl/>
        </w:rPr>
        <w:t xml:space="preserve"> فمن لم يكن أكثر الناس طلباً للسنة والآثار وأحرصهم على اتباعها وادعى أنه من الصوفيين فقوله</w:t>
      </w:r>
      <w:r w:rsidR="000636C2">
        <w:rPr>
          <w:rFonts w:hint="cs"/>
          <w:rtl/>
        </w:rPr>
        <w:t xml:space="preserve"> </w:t>
      </w:r>
      <w:r w:rsidRPr="005675B2">
        <w:rPr>
          <w:rFonts w:hint="cs"/>
          <w:rtl/>
        </w:rPr>
        <w:t>- عند هؤلاء المحققين</w:t>
      </w:r>
      <w:r w:rsidR="000636C2">
        <w:rPr>
          <w:rFonts w:hint="cs"/>
          <w:rtl/>
        </w:rPr>
        <w:t xml:space="preserve"> </w:t>
      </w:r>
      <w:r w:rsidRPr="005675B2">
        <w:rPr>
          <w:rFonts w:hint="cs"/>
          <w:rtl/>
        </w:rPr>
        <w:t>- باطل ودعواه كاذبة</w:t>
      </w:r>
      <w:r w:rsidR="000636C2">
        <w:rPr>
          <w:rFonts w:hint="cs"/>
          <w:rtl/>
        </w:rPr>
        <w:t xml:space="preserve">، </w:t>
      </w:r>
      <w:r w:rsidRPr="005675B2">
        <w:rPr>
          <w:rFonts w:hint="cs"/>
          <w:rtl/>
        </w:rPr>
        <w:t xml:space="preserve">وبما قاله أحـد كبـار الصوفيين وهو الإمـام عبدالكريم بن هو ازن القشيري المتوفى سـنة </w:t>
      </w:r>
      <w:r w:rsidR="000636C2">
        <w:rPr>
          <w:rFonts w:hint="cs"/>
          <w:rtl/>
        </w:rPr>
        <w:t>(</w:t>
      </w:r>
      <w:r w:rsidRPr="005675B2">
        <w:rPr>
          <w:rFonts w:hint="cs"/>
          <w:rtl/>
        </w:rPr>
        <w:t>465ه -</w:t>
      </w:r>
      <w:r w:rsidR="000636C2">
        <w:rPr>
          <w:rFonts w:hint="cs"/>
          <w:rtl/>
        </w:rPr>
        <w:t>)،</w:t>
      </w:r>
      <w:r w:rsidRPr="005675B2">
        <w:rPr>
          <w:rFonts w:hint="cs"/>
          <w:rtl/>
        </w:rPr>
        <w:t xml:space="preserve"> فقد قال رحمه الله في تفسير قوله تعالى </w:t>
      </w:r>
      <w:r w:rsidR="000636C2">
        <w:rPr>
          <w:rFonts w:hint="cs"/>
          <w:rtl/>
        </w:rPr>
        <w:t>[</w:t>
      </w:r>
      <w:r w:rsidRPr="005675B2">
        <w:rPr>
          <w:rFonts w:hint="cs"/>
          <w:rtl/>
        </w:rPr>
        <w:t>اهْدِنَا الصِّرَاطَ الْمُسْتَقِيمَ</w:t>
      </w:r>
      <w:r w:rsidR="000636C2">
        <w:rPr>
          <w:rFonts w:hint="cs"/>
          <w:rtl/>
        </w:rPr>
        <w:t>]:</w:t>
      </w:r>
      <w:r w:rsidRPr="005675B2">
        <w:rPr>
          <w:rFonts w:hint="cs"/>
          <w:rtl/>
        </w:rPr>
        <w:t xml:space="preserve"> </w:t>
      </w:r>
      <w:r w:rsidR="000636C2">
        <w:rPr>
          <w:rFonts w:hint="cs"/>
          <w:rtl/>
        </w:rPr>
        <w:t>[</w:t>
      </w:r>
      <w:r w:rsidRPr="005675B2">
        <w:rPr>
          <w:rFonts w:hint="cs"/>
          <w:rtl/>
        </w:rPr>
        <w:t>الصراط المستقيم ما عليه من الكتاب والسنة دليل</w:t>
      </w:r>
      <w:r w:rsidR="000636C2">
        <w:rPr>
          <w:rFonts w:hint="cs"/>
          <w:rtl/>
        </w:rPr>
        <w:t>،</w:t>
      </w:r>
      <w:r w:rsidRPr="005675B2">
        <w:rPr>
          <w:rFonts w:hint="cs"/>
          <w:rtl/>
        </w:rPr>
        <w:t xml:space="preserve"> وليس للبدعة عليه سلطان ولا إليه سبيل</w:t>
      </w:r>
      <w:r w:rsidR="000636C2">
        <w:rPr>
          <w:rFonts w:hint="cs"/>
          <w:rtl/>
        </w:rPr>
        <w:t>،</w:t>
      </w:r>
      <w:r w:rsidRPr="005675B2">
        <w:rPr>
          <w:rFonts w:hint="cs"/>
          <w:rtl/>
        </w:rPr>
        <w:t xml:space="preserve"> الصراط المستقيم ما شهدت بصحته دلائل التوحيد</w:t>
      </w:r>
      <w:r w:rsidR="000636C2">
        <w:rPr>
          <w:rFonts w:hint="cs"/>
          <w:rtl/>
        </w:rPr>
        <w:t>،</w:t>
      </w:r>
      <w:r w:rsidRPr="005675B2">
        <w:rPr>
          <w:rFonts w:hint="cs"/>
          <w:rtl/>
        </w:rPr>
        <w:t xml:space="preserve"> ونبهت عليه شواهد التحقيق</w:t>
      </w:r>
      <w:r w:rsidR="000636C2">
        <w:rPr>
          <w:rFonts w:hint="cs"/>
          <w:rtl/>
        </w:rPr>
        <w:t>،</w:t>
      </w:r>
      <w:r w:rsidRPr="005675B2">
        <w:rPr>
          <w:rFonts w:hint="cs"/>
          <w:rtl/>
        </w:rPr>
        <w:t xml:space="preserve"> الصراط المستقيم ما درج عليه سلف الأمة</w:t>
      </w:r>
      <w:r w:rsidR="000636C2">
        <w:rPr>
          <w:rFonts w:hint="cs"/>
          <w:rtl/>
        </w:rPr>
        <w:t>،</w:t>
      </w:r>
      <w:r w:rsidRPr="005675B2">
        <w:rPr>
          <w:rFonts w:hint="cs"/>
          <w:rtl/>
        </w:rPr>
        <w:t xml:space="preserve"> ونطقت بصوابه دلائل العبرة</w:t>
      </w:r>
      <w:r w:rsidR="000636C2">
        <w:rPr>
          <w:rFonts w:hint="cs"/>
          <w:rtl/>
        </w:rPr>
        <w:t>]</w:t>
      </w:r>
      <w:r w:rsidRPr="005675B2">
        <w:rPr>
          <w:rFonts w:hint="cs"/>
          <w:rtl/>
        </w:rPr>
        <w:t xml:space="preserve"> [</w:t>
      </w:r>
      <w:r w:rsidRPr="005675B2">
        <w:rPr>
          <w:rFonts w:hint="cs"/>
          <w:sz w:val="24"/>
          <w:szCs w:val="24"/>
          <w:rtl/>
        </w:rPr>
        <w:t>لطائف الإشارات للقشيري: 1/50</w:t>
      </w:r>
      <w:r w:rsidR="000636C2">
        <w:rPr>
          <w:rFonts w:hint="cs"/>
          <w:sz w:val="24"/>
          <w:szCs w:val="24"/>
          <w:rtl/>
        </w:rPr>
        <w:t>]</w:t>
      </w:r>
      <w:r w:rsidR="000636C2">
        <w:rPr>
          <w:rFonts w:hint="cs"/>
          <w:rtl/>
        </w:rPr>
        <w:t xml:space="preserve">، </w:t>
      </w:r>
      <w:r w:rsidRPr="005675B2">
        <w:rPr>
          <w:rFonts w:hint="cs"/>
          <w:rtl/>
        </w:rPr>
        <w:t>ثم بما قاله أحـد كبـار الصوفيين وهو أبو حفص عمر بن محمد</w:t>
      </w:r>
      <w:r w:rsidR="000636C2">
        <w:rPr>
          <w:rFonts w:hint="cs"/>
          <w:rtl/>
        </w:rPr>
        <w:t xml:space="preserve"> </w:t>
      </w:r>
      <w:r w:rsidRPr="005675B2">
        <w:rPr>
          <w:rFonts w:hint="cs"/>
          <w:rtl/>
        </w:rPr>
        <w:t xml:space="preserve">السَّـهرَوَردي المتوفى سنة </w:t>
      </w:r>
      <w:r w:rsidR="000636C2">
        <w:rPr>
          <w:rFonts w:hint="cs"/>
          <w:rtl/>
        </w:rPr>
        <w:t>(</w:t>
      </w:r>
      <w:r w:rsidRPr="005675B2">
        <w:rPr>
          <w:rFonts w:hint="cs"/>
          <w:rtl/>
        </w:rPr>
        <w:t>632ه -</w:t>
      </w:r>
      <w:r w:rsidR="000636C2">
        <w:rPr>
          <w:rFonts w:hint="cs"/>
          <w:rtl/>
        </w:rPr>
        <w:t>)،</w:t>
      </w:r>
      <w:r w:rsidRPr="005675B2">
        <w:rPr>
          <w:rFonts w:hint="cs"/>
          <w:rtl/>
        </w:rPr>
        <w:t xml:space="preserve"> فقد قال</w:t>
      </w:r>
      <w:r w:rsidR="000636C2">
        <w:rPr>
          <w:rFonts w:hint="cs"/>
          <w:rtl/>
        </w:rPr>
        <w:t xml:space="preserve"> </w:t>
      </w:r>
      <w:r w:rsidRPr="005675B2">
        <w:rPr>
          <w:rFonts w:hint="cs"/>
          <w:rtl/>
        </w:rPr>
        <w:t>رحمه الله</w:t>
      </w:r>
      <w:r w:rsidR="000636C2">
        <w:rPr>
          <w:rFonts w:hint="cs"/>
          <w:rtl/>
        </w:rPr>
        <w:t>:</w:t>
      </w:r>
      <w:r w:rsidRPr="005675B2">
        <w:rPr>
          <w:rFonts w:hint="cs"/>
          <w:rtl/>
        </w:rPr>
        <w:t xml:space="preserve"> </w:t>
      </w:r>
      <w:r w:rsidR="000636C2">
        <w:rPr>
          <w:rFonts w:hint="cs"/>
          <w:rtl/>
        </w:rPr>
        <w:t>[</w:t>
      </w:r>
      <w:r w:rsidRPr="005675B2">
        <w:rPr>
          <w:rFonts w:hint="cs"/>
          <w:rtl/>
        </w:rPr>
        <w:t>وكل علم لا يوافق الكتاب والسنة وما هو مستفاد منهما</w:t>
      </w:r>
      <w:r w:rsidR="000636C2">
        <w:rPr>
          <w:rFonts w:hint="cs"/>
          <w:rtl/>
        </w:rPr>
        <w:t xml:space="preserve"> </w:t>
      </w:r>
      <w:r w:rsidRPr="005675B2">
        <w:rPr>
          <w:rFonts w:hint="cs"/>
          <w:rtl/>
        </w:rPr>
        <w:t>أو معين على فهمهما</w:t>
      </w:r>
      <w:r w:rsidR="000636C2">
        <w:rPr>
          <w:rFonts w:hint="cs"/>
          <w:rtl/>
        </w:rPr>
        <w:t xml:space="preserve"> </w:t>
      </w:r>
      <w:r w:rsidRPr="005675B2">
        <w:rPr>
          <w:rFonts w:hint="cs"/>
          <w:rtl/>
        </w:rPr>
        <w:t>أو مستند إليهما</w:t>
      </w:r>
      <w:r w:rsidR="000636C2">
        <w:rPr>
          <w:rFonts w:hint="cs"/>
          <w:rtl/>
        </w:rPr>
        <w:t xml:space="preserve"> </w:t>
      </w:r>
      <w:r w:rsidRPr="005675B2">
        <w:rPr>
          <w:rFonts w:hint="cs"/>
          <w:rtl/>
        </w:rPr>
        <w:t>- كائناً ما كان</w:t>
      </w:r>
      <w:r w:rsidR="000636C2">
        <w:rPr>
          <w:rFonts w:hint="cs"/>
          <w:rtl/>
        </w:rPr>
        <w:t xml:space="preserve"> </w:t>
      </w:r>
      <w:r w:rsidRPr="005675B2">
        <w:rPr>
          <w:rFonts w:hint="cs"/>
          <w:rtl/>
        </w:rPr>
        <w:t>- فهو رذيلة وليس بفضيلة</w:t>
      </w:r>
      <w:r w:rsidR="000636C2">
        <w:rPr>
          <w:rFonts w:hint="cs"/>
          <w:rtl/>
        </w:rPr>
        <w:t>،</w:t>
      </w:r>
      <w:r w:rsidRPr="005675B2">
        <w:rPr>
          <w:rFonts w:hint="cs"/>
          <w:rtl/>
        </w:rPr>
        <w:t xml:space="preserve"> يزداد الإنسان به هواناً ورذالة في الدنيا والآخرة</w:t>
      </w:r>
      <w:r w:rsidR="000636C2">
        <w:rPr>
          <w:rFonts w:hint="cs"/>
          <w:rtl/>
        </w:rPr>
        <w:t>]</w:t>
      </w:r>
      <w:r w:rsidRPr="005675B2">
        <w:rPr>
          <w:rFonts w:hint="cs"/>
          <w:rtl/>
        </w:rPr>
        <w:t xml:space="preserve"> </w:t>
      </w:r>
      <w:r w:rsidR="000636C2">
        <w:rPr>
          <w:rFonts w:hint="cs"/>
          <w:rtl/>
        </w:rPr>
        <w:t>[</w:t>
      </w:r>
      <w:r w:rsidRPr="005675B2">
        <w:rPr>
          <w:rFonts w:hint="cs"/>
          <w:sz w:val="24"/>
          <w:szCs w:val="24"/>
          <w:rtl/>
        </w:rPr>
        <w:t>عوارف المعارف للسهروردي: 1/48 في الباب الثالث من أبواب الكتاب</w:t>
      </w:r>
      <w:r w:rsidR="000636C2">
        <w:rPr>
          <w:rFonts w:hint="cs"/>
          <w:sz w:val="24"/>
          <w:szCs w:val="24"/>
          <w:rtl/>
        </w:rPr>
        <w:t>]</w:t>
      </w:r>
      <w:r w:rsidR="000636C2">
        <w:rPr>
          <w:rFonts w:hint="cs"/>
          <w:rtl/>
        </w:rPr>
        <w:t xml:space="preserve">، </w:t>
      </w:r>
      <w:r w:rsidRPr="005675B2">
        <w:rPr>
          <w:rFonts w:hint="cs"/>
          <w:rtl/>
        </w:rPr>
        <w:t xml:space="preserve">ثم بما قاله أحد كبار أئمة التصوف وهو السيد أحمد الرفاعي المتوفى سنة </w:t>
      </w:r>
      <w:r w:rsidR="000636C2">
        <w:rPr>
          <w:rFonts w:hint="cs"/>
          <w:rtl/>
        </w:rPr>
        <w:t>(</w:t>
      </w:r>
      <w:r w:rsidRPr="005675B2">
        <w:rPr>
          <w:rFonts w:hint="cs"/>
          <w:rtl/>
        </w:rPr>
        <w:t>578 ه -</w:t>
      </w:r>
      <w:r w:rsidR="000636C2">
        <w:rPr>
          <w:rFonts w:hint="cs"/>
          <w:rtl/>
        </w:rPr>
        <w:t>)،</w:t>
      </w:r>
      <w:r w:rsidRPr="005675B2">
        <w:rPr>
          <w:rFonts w:hint="cs"/>
          <w:rtl/>
        </w:rPr>
        <w:t xml:space="preserve"> فقد قال رحمه الله</w:t>
      </w:r>
      <w:r w:rsidR="000636C2">
        <w:rPr>
          <w:rFonts w:hint="cs"/>
          <w:rtl/>
        </w:rPr>
        <w:t>:</w:t>
      </w:r>
      <w:r w:rsidRPr="005675B2">
        <w:rPr>
          <w:rFonts w:hint="cs"/>
          <w:rtl/>
        </w:rPr>
        <w:t xml:space="preserve"> </w:t>
      </w:r>
      <w:r w:rsidR="000636C2">
        <w:rPr>
          <w:rFonts w:hint="cs"/>
          <w:rtl/>
        </w:rPr>
        <w:t>[</w:t>
      </w:r>
      <w:r w:rsidRPr="005675B2">
        <w:rPr>
          <w:rFonts w:hint="cs"/>
          <w:rtl/>
        </w:rPr>
        <w:t>إذا رأيتم واعظاً أو قاصَّاً أو مدرساً فخذوا منه كلام الله تعالى وكلام رسوله صلى الله عليه وسلم وكلام أئمة الدين الذين يحكمون عدلاً ويقولون حقاً</w:t>
      </w:r>
      <w:r w:rsidR="000636C2">
        <w:rPr>
          <w:rFonts w:hint="cs"/>
          <w:rtl/>
        </w:rPr>
        <w:t>،</w:t>
      </w:r>
      <w:r w:rsidRPr="005675B2">
        <w:rPr>
          <w:rFonts w:hint="cs"/>
          <w:rtl/>
        </w:rPr>
        <w:t xml:space="preserve"> واطرحوا ما زاد</w:t>
      </w:r>
      <w:r w:rsidR="000636C2">
        <w:rPr>
          <w:rFonts w:hint="cs"/>
          <w:rtl/>
        </w:rPr>
        <w:t>،</w:t>
      </w:r>
      <w:r w:rsidRPr="005675B2">
        <w:rPr>
          <w:rFonts w:hint="cs"/>
          <w:rtl/>
        </w:rPr>
        <w:t xml:space="preserve"> وإن أتى بما لم يأت به رسول الله صلى الله عليه وسلم فاضربوا به وجهه</w:t>
      </w:r>
      <w:r w:rsidR="000636C2">
        <w:rPr>
          <w:rFonts w:hint="cs"/>
          <w:rtl/>
        </w:rPr>
        <w:t>]</w:t>
      </w:r>
      <w:r w:rsidRPr="005675B2">
        <w:rPr>
          <w:rFonts w:hint="cs"/>
          <w:rtl/>
        </w:rPr>
        <w:t xml:space="preserve"> [</w:t>
      </w:r>
      <w:r w:rsidRPr="005675B2">
        <w:rPr>
          <w:rFonts w:hint="cs"/>
          <w:sz w:val="24"/>
          <w:szCs w:val="24"/>
          <w:rtl/>
        </w:rPr>
        <w:t xml:space="preserve">البرهان المؤيد للسيد أحمد الرفاعي </w:t>
      </w:r>
      <w:r w:rsidR="000636C2">
        <w:rPr>
          <w:rFonts w:hint="cs"/>
          <w:sz w:val="24"/>
          <w:szCs w:val="24"/>
          <w:rtl/>
        </w:rPr>
        <w:t>(</w:t>
      </w:r>
      <w:r w:rsidRPr="005675B2">
        <w:rPr>
          <w:rFonts w:hint="cs"/>
          <w:sz w:val="24"/>
          <w:szCs w:val="24"/>
          <w:rtl/>
        </w:rPr>
        <w:t>بتحقيق محمد حسني مصطفى</w:t>
      </w:r>
      <w:r w:rsidR="000636C2">
        <w:rPr>
          <w:rFonts w:hint="cs"/>
          <w:sz w:val="24"/>
          <w:szCs w:val="24"/>
          <w:rtl/>
        </w:rPr>
        <w:t>)</w:t>
      </w:r>
      <w:r w:rsidRPr="005675B2">
        <w:rPr>
          <w:rFonts w:hint="cs"/>
          <w:sz w:val="24"/>
          <w:szCs w:val="24"/>
          <w:rtl/>
        </w:rPr>
        <w:t>: ص 39</w:t>
      </w:r>
      <w:r w:rsidR="000636C2">
        <w:rPr>
          <w:rFonts w:hint="cs"/>
          <w:sz w:val="24"/>
          <w:szCs w:val="24"/>
          <w:rtl/>
        </w:rPr>
        <w:t>]</w:t>
      </w:r>
      <w:r w:rsidR="000636C2">
        <w:rPr>
          <w:rFonts w:hint="cs"/>
          <w:rtl/>
        </w:rPr>
        <w:t xml:space="preserve">، </w:t>
      </w:r>
      <w:r w:rsidRPr="005675B2">
        <w:rPr>
          <w:rFonts w:hint="cs"/>
          <w:rtl/>
        </w:rPr>
        <w:t>فهذا كلام أهل التحقيق والرسوخ من الصوفيين</w:t>
      </w:r>
      <w:r w:rsidR="000636C2">
        <w:rPr>
          <w:rFonts w:hint="cs"/>
          <w:rtl/>
        </w:rPr>
        <w:t>،</w:t>
      </w:r>
      <w:r w:rsidRPr="005675B2">
        <w:rPr>
          <w:rFonts w:hint="cs"/>
          <w:rtl/>
        </w:rPr>
        <w:t xml:space="preserve"> ومن قال بخلاف هذا فاضربوا به وجهه</w:t>
      </w:r>
      <w:r w:rsidR="000636C2">
        <w:rPr>
          <w:rFonts w:hint="cs"/>
          <w:rtl/>
        </w:rPr>
        <w:t>،</w:t>
      </w:r>
    </w:p>
    <w:p w14:paraId="0D080B1E" w14:textId="77777777" w:rsidR="009C32A0" w:rsidRPr="005675B2" w:rsidRDefault="009C32A0" w:rsidP="000636C2">
      <w:pPr>
        <w:jc w:val="center"/>
        <w:rPr>
          <w:b/>
          <w:rtl/>
        </w:rPr>
      </w:pPr>
      <w:r w:rsidRPr="005675B2">
        <w:rPr>
          <w:rFonts w:hint="cs"/>
          <w:rtl/>
        </w:rPr>
        <w:t>***</w:t>
      </w:r>
    </w:p>
    <w:p w14:paraId="089F2FF4" w14:textId="64FB3998" w:rsidR="009C32A0" w:rsidRPr="005675B2" w:rsidRDefault="000636C2" w:rsidP="000636C2">
      <w:pPr>
        <w:jc w:val="center"/>
        <w:rPr>
          <w:b/>
          <w:rtl/>
        </w:rPr>
      </w:pPr>
      <w:r>
        <w:rPr>
          <w:rFonts w:hint="cs"/>
          <w:bCs/>
          <w:rtl/>
        </w:rPr>
        <w:t>[</w:t>
      </w:r>
      <w:r w:rsidR="009C32A0" w:rsidRPr="005675B2">
        <w:rPr>
          <w:rFonts w:hint="cs"/>
          <w:bCs/>
          <w:rtl/>
        </w:rPr>
        <w:t>الموضوع الثاني</w:t>
      </w:r>
      <w:r>
        <w:rPr>
          <w:rFonts w:hint="cs"/>
          <w:bCs/>
          <w:rtl/>
        </w:rPr>
        <w:t xml:space="preserve">: </w:t>
      </w:r>
      <w:r w:rsidR="009C32A0" w:rsidRPr="005675B2">
        <w:rPr>
          <w:rFonts w:hint="cs"/>
          <w:bCs/>
          <w:rtl/>
        </w:rPr>
        <w:t>إثبات وجود الله</w:t>
      </w:r>
      <w:r>
        <w:rPr>
          <w:rFonts w:hint="cs"/>
          <w:bCs/>
          <w:rtl/>
        </w:rPr>
        <w:t>]</w:t>
      </w:r>
      <w:r>
        <w:rPr>
          <w:rFonts w:hint="cs"/>
          <w:rtl/>
        </w:rPr>
        <w:t>:</w:t>
      </w:r>
    </w:p>
    <w:p w14:paraId="5DFF6401" w14:textId="01B255EA" w:rsidR="009C32A0" w:rsidRPr="005675B2" w:rsidRDefault="009C32A0" w:rsidP="000636C2">
      <w:pPr>
        <w:rPr>
          <w:b/>
          <w:rtl/>
        </w:rPr>
      </w:pPr>
      <w:r w:rsidRPr="005675B2">
        <w:rPr>
          <w:rFonts w:hint="cs"/>
          <w:b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أما الأشاعرة فعندهم دليل يتيم</w:t>
      </w:r>
      <w:r w:rsidR="000636C2">
        <w:rPr>
          <w:rFonts w:hint="cs"/>
          <w:rtl/>
        </w:rPr>
        <w:t>،</w:t>
      </w:r>
      <w:r w:rsidRPr="005675B2">
        <w:rPr>
          <w:rFonts w:hint="cs"/>
          <w:rtl/>
        </w:rPr>
        <w:t xml:space="preserve"> هو دليل الحدوث والقدم</w:t>
      </w:r>
      <w:r w:rsidR="000636C2">
        <w:rPr>
          <w:rFonts w:hint="cs"/>
          <w:rtl/>
        </w:rPr>
        <w:t>،</w:t>
      </w:r>
      <w:r w:rsidRPr="005675B2">
        <w:rPr>
          <w:rFonts w:hint="cs"/>
          <w:rtl/>
        </w:rPr>
        <w:t xml:space="preserve"> وهو الاستدلال على وجود الله بأن الكون حادث وكل حادث فلا بد له من محدث قديم</w:t>
      </w:r>
      <w:r w:rsidR="000636C2">
        <w:rPr>
          <w:rFonts w:hint="cs"/>
          <w:rtl/>
        </w:rPr>
        <w:t>]،</w:t>
      </w:r>
    </w:p>
    <w:p w14:paraId="29AC5554" w14:textId="6A661EDD" w:rsidR="009C32A0" w:rsidRPr="005675B2" w:rsidRDefault="009C32A0" w:rsidP="000636C2">
      <w:pPr>
        <w:rPr>
          <w:b/>
          <w:rtl/>
        </w:rPr>
      </w:pPr>
      <w:r w:rsidRPr="005675B2">
        <w:rPr>
          <w:rFonts w:hint="cs"/>
          <w:bCs/>
          <w:rtl/>
        </w:rPr>
        <w:t>أقول</w:t>
      </w:r>
      <w:r w:rsidR="000636C2">
        <w:rPr>
          <w:rFonts w:hint="cs"/>
          <w:bCs/>
          <w:rtl/>
        </w:rPr>
        <w:t>:</w:t>
      </w:r>
      <w:r w:rsidRPr="005675B2">
        <w:rPr>
          <w:rFonts w:hint="cs"/>
          <w:rtl/>
        </w:rPr>
        <w:t xml:space="preserve"> أوضح الأشاعرة في كتب العقيدة عدداً من الأدلة على وجود الله تعالى</w:t>
      </w:r>
      <w:r w:rsidR="000636C2">
        <w:rPr>
          <w:rFonts w:hint="cs"/>
          <w:rtl/>
        </w:rPr>
        <w:t>،</w:t>
      </w:r>
      <w:r w:rsidRPr="005675B2">
        <w:rPr>
          <w:rFonts w:hint="cs"/>
          <w:rtl/>
        </w:rPr>
        <w:t xml:space="preserve"> وليس ما نقله الباحث عنهم هو الدليلَ الوحيد</w:t>
      </w:r>
      <w:r w:rsidR="000636C2">
        <w:rPr>
          <w:rFonts w:hint="cs"/>
          <w:rtl/>
        </w:rPr>
        <w:t xml:space="preserve">، </w:t>
      </w:r>
      <w:r w:rsidRPr="005675B2">
        <w:rPr>
          <w:rFonts w:hint="cs"/>
          <w:rtl/>
        </w:rPr>
        <w:t>1 - ذكر الباقلاني عددا من الأدلة</w:t>
      </w:r>
      <w:r w:rsidR="000636C2">
        <w:rPr>
          <w:rFonts w:hint="cs"/>
          <w:rtl/>
        </w:rPr>
        <w:t>،</w:t>
      </w:r>
      <w:r w:rsidRPr="005675B2">
        <w:rPr>
          <w:rFonts w:hint="cs"/>
          <w:rtl/>
        </w:rPr>
        <w:t xml:space="preserve"> ومنها قوله</w:t>
      </w:r>
      <w:r w:rsidR="000636C2">
        <w:rPr>
          <w:rFonts w:hint="cs"/>
          <w:rtl/>
        </w:rPr>
        <w:t>:</w:t>
      </w:r>
      <w:r w:rsidRPr="005675B2">
        <w:rPr>
          <w:rFonts w:hint="cs"/>
          <w:rtl/>
        </w:rPr>
        <w:t xml:space="preserve"> </w:t>
      </w:r>
      <w:r w:rsidR="000636C2">
        <w:rPr>
          <w:rFonts w:hint="cs"/>
          <w:rtl/>
        </w:rPr>
        <w:t>[</w:t>
      </w:r>
      <w:r w:rsidRPr="005675B2">
        <w:rPr>
          <w:rFonts w:hint="cs"/>
          <w:rtl/>
        </w:rPr>
        <w:t>فإنا لا نشك في جهل من أخبرنا بكتابة حصلت بنفسها لا من كاتب</w:t>
      </w:r>
      <w:r w:rsidR="000636C2">
        <w:rPr>
          <w:rFonts w:hint="cs"/>
          <w:rtl/>
        </w:rPr>
        <w:t>،</w:t>
      </w:r>
      <w:r w:rsidRPr="005675B2">
        <w:rPr>
          <w:rFonts w:hint="cs"/>
          <w:rtl/>
        </w:rPr>
        <w:t xml:space="preserve"> وصناعة لا من صانع</w:t>
      </w:r>
      <w:r w:rsidR="000636C2">
        <w:rPr>
          <w:rFonts w:hint="cs"/>
          <w:rtl/>
        </w:rPr>
        <w:t>،</w:t>
      </w:r>
      <w:r w:rsidRPr="005675B2">
        <w:rPr>
          <w:rFonts w:hint="cs"/>
          <w:rtl/>
        </w:rPr>
        <w:t xml:space="preserve"> وحياكة لا من ناسج</w:t>
      </w:r>
      <w:r w:rsidR="000636C2">
        <w:rPr>
          <w:rFonts w:hint="cs"/>
          <w:rtl/>
        </w:rPr>
        <w:t>،</w:t>
      </w:r>
      <w:r w:rsidRPr="005675B2">
        <w:rPr>
          <w:rFonts w:hint="cs"/>
          <w:rtl/>
        </w:rPr>
        <w:t xml:space="preserve"> وإذا صح هذا وجب أن تكون صور العالم وحركات الفلك متعلقة بصانع صنعها ومحدث أحدثها</w:t>
      </w:r>
      <w:r w:rsidR="000636C2">
        <w:rPr>
          <w:rFonts w:hint="cs"/>
          <w:rtl/>
        </w:rPr>
        <w:t>،</w:t>
      </w:r>
      <w:r w:rsidRPr="005675B2">
        <w:rPr>
          <w:rFonts w:hint="cs"/>
          <w:rtl/>
        </w:rPr>
        <w:t xml:space="preserve"> إذ كانت ألطف وأعجب صنعاً من سائر ما يتعذر وجوده إلا من صانع</w:t>
      </w:r>
      <w:r w:rsidR="000636C2">
        <w:rPr>
          <w:rFonts w:hint="cs"/>
          <w:rtl/>
        </w:rPr>
        <w:t>]</w:t>
      </w:r>
      <w:r w:rsidRPr="005675B2">
        <w:rPr>
          <w:rFonts w:hint="cs"/>
          <w:rtl/>
        </w:rPr>
        <w:t xml:space="preserve"> [</w:t>
      </w:r>
      <w:r w:rsidRPr="005675B2">
        <w:rPr>
          <w:rFonts w:hint="cs"/>
          <w:sz w:val="24"/>
          <w:szCs w:val="24"/>
          <w:rtl/>
        </w:rPr>
        <w:t>الإنصاف: ص 30 – 32</w:t>
      </w:r>
      <w:r w:rsidR="000636C2">
        <w:rPr>
          <w:rFonts w:hint="cs"/>
          <w:sz w:val="24"/>
          <w:szCs w:val="24"/>
          <w:rtl/>
        </w:rPr>
        <w:t>]</w:t>
      </w:r>
      <w:r w:rsidR="000636C2">
        <w:rPr>
          <w:rFonts w:hint="cs"/>
          <w:rtl/>
        </w:rPr>
        <w:t xml:space="preserve">، </w:t>
      </w:r>
      <w:r w:rsidRPr="005675B2">
        <w:rPr>
          <w:rFonts w:hint="cs"/>
          <w:rtl/>
        </w:rPr>
        <w:t>وقال الباقلاني</w:t>
      </w:r>
      <w:r w:rsidR="000636C2">
        <w:rPr>
          <w:rFonts w:hint="cs"/>
          <w:rtl/>
        </w:rPr>
        <w:t>:</w:t>
      </w:r>
      <w:r w:rsidRPr="005675B2">
        <w:rPr>
          <w:rFonts w:hint="cs"/>
          <w:rtl/>
        </w:rPr>
        <w:t xml:space="preserve"> </w:t>
      </w:r>
      <w:r w:rsidR="000636C2">
        <w:rPr>
          <w:rFonts w:hint="cs"/>
          <w:rtl/>
        </w:rPr>
        <w:t>[</w:t>
      </w:r>
      <w:r w:rsidRPr="005675B2">
        <w:rPr>
          <w:rFonts w:hint="cs"/>
          <w:rtl/>
        </w:rPr>
        <w:t>وإن أردتم بقولكم ما هو</w:t>
      </w:r>
      <w:r w:rsidR="000636C2">
        <w:rPr>
          <w:rFonts w:hint="cs"/>
          <w:rtl/>
        </w:rPr>
        <w:t>:</w:t>
      </w:r>
      <w:r w:rsidRPr="005675B2">
        <w:rPr>
          <w:rFonts w:hint="cs"/>
          <w:rtl/>
        </w:rPr>
        <w:t xml:space="preserve"> ما الدلالة على وجوده</w:t>
      </w:r>
      <w:r w:rsidR="000636C2">
        <w:rPr>
          <w:rFonts w:hint="cs"/>
          <w:rtl/>
        </w:rPr>
        <w:t>؟</w:t>
      </w:r>
      <w:r w:rsidRPr="005675B2">
        <w:rPr>
          <w:rFonts w:hint="cs"/>
          <w:rtl/>
        </w:rPr>
        <w:t xml:space="preserve"> فالدلالة على وجوده جميع ما نراه ونشاهده من محكم فعله وعجيب تدبيره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الإنصاف: ص 192</w:t>
      </w:r>
      <w:r w:rsidR="000636C2">
        <w:rPr>
          <w:rFonts w:hint="cs"/>
          <w:sz w:val="24"/>
          <w:szCs w:val="24"/>
          <w:rtl/>
        </w:rPr>
        <w:t>]</w:t>
      </w:r>
      <w:r w:rsidR="000636C2">
        <w:rPr>
          <w:rFonts w:hint="cs"/>
          <w:rtl/>
        </w:rPr>
        <w:t xml:space="preserve">، </w:t>
      </w:r>
      <w:r w:rsidRPr="005675B2">
        <w:rPr>
          <w:rFonts w:hint="cs"/>
          <w:rtl/>
        </w:rPr>
        <w:t>2 - قال المتولي</w:t>
      </w:r>
      <w:r w:rsidR="000636C2">
        <w:rPr>
          <w:rFonts w:hint="cs"/>
          <w:rtl/>
        </w:rPr>
        <w:t>:</w:t>
      </w:r>
      <w:r w:rsidRPr="005675B2">
        <w:rPr>
          <w:rFonts w:hint="cs"/>
          <w:rtl/>
        </w:rPr>
        <w:t xml:space="preserve"> ومن الدليل على إثبات الصانع أنه لا يتصور في العقول بناء بلا بانٍ وكتابة بلا كاتب</w:t>
      </w:r>
      <w:r w:rsidR="000636C2">
        <w:rPr>
          <w:rFonts w:hint="cs"/>
          <w:rtl/>
        </w:rPr>
        <w:t>،</w:t>
      </w:r>
      <w:r w:rsidRPr="005675B2">
        <w:rPr>
          <w:rFonts w:hint="cs"/>
          <w:rtl/>
        </w:rPr>
        <w:t xml:space="preserve"> فكيف يتصور خلق بلا خالق</w:t>
      </w:r>
      <w:r w:rsidR="000636C2">
        <w:rPr>
          <w:rFonts w:hint="cs"/>
          <w:rtl/>
        </w:rPr>
        <w:t>؟!</w:t>
      </w:r>
      <w:r w:rsidRPr="005675B2">
        <w:rPr>
          <w:rFonts w:hint="cs"/>
          <w:rtl/>
        </w:rPr>
        <w:t xml:space="preserve"> ويتضح ذلك بآيات من كتاب الله تعالى </w:t>
      </w:r>
      <w:r w:rsidR="000636C2">
        <w:rPr>
          <w:rFonts w:hint="cs"/>
          <w:rtl/>
        </w:rPr>
        <w:t>[</w:t>
      </w:r>
      <w:r w:rsidRPr="005675B2">
        <w:rPr>
          <w:rFonts w:hint="cs"/>
          <w:rtl/>
        </w:rPr>
        <w:t>أَفَلا يَنْظُرُونَ إِلَى الْأِبِلِ كَيْفَ خُلِقَتْ</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الغاشية آية 17</w:t>
      </w:r>
      <w:r w:rsidR="000636C2">
        <w:rPr>
          <w:rFonts w:hint="cs"/>
          <w:sz w:val="24"/>
          <w:szCs w:val="24"/>
          <w:rtl/>
        </w:rPr>
        <w:t>]</w:t>
      </w:r>
      <w:r w:rsidRPr="005675B2">
        <w:rPr>
          <w:rFonts w:hint="cs"/>
          <w:rtl/>
        </w:rPr>
        <w:t xml:space="preserve"> , وقوله تعالى </w:t>
      </w:r>
      <w:r w:rsidR="000636C2">
        <w:rPr>
          <w:rFonts w:hint="cs"/>
          <w:rtl/>
        </w:rPr>
        <w:t>[</w:t>
      </w:r>
      <w:r w:rsidRPr="005675B2">
        <w:rPr>
          <w:rFonts w:hint="cs"/>
          <w:rtl/>
        </w:rPr>
        <w:t>وَاللَّهُ خَلَقَكُمْ وَمَا تَعْمَلُونَ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الصافات آية 96</w:t>
      </w:r>
      <w:r w:rsidR="000636C2">
        <w:rPr>
          <w:rFonts w:hint="cs"/>
          <w:sz w:val="24"/>
          <w:szCs w:val="24"/>
          <w:rtl/>
        </w:rPr>
        <w:t>]</w:t>
      </w:r>
      <w:r w:rsidRPr="005675B2">
        <w:rPr>
          <w:rFonts w:hint="cs"/>
          <w:rtl/>
        </w:rPr>
        <w:t xml:space="preserve"> وغير ذلك من الآيات [</w:t>
      </w:r>
      <w:r w:rsidRPr="005675B2">
        <w:rPr>
          <w:rFonts w:hint="cs"/>
          <w:sz w:val="24"/>
          <w:szCs w:val="24"/>
          <w:rtl/>
        </w:rPr>
        <w:t>المغني: ص 9</w:t>
      </w:r>
      <w:r w:rsidR="000636C2">
        <w:rPr>
          <w:rFonts w:hint="cs"/>
          <w:sz w:val="24"/>
          <w:szCs w:val="24"/>
          <w:rtl/>
        </w:rPr>
        <w:t>]</w:t>
      </w:r>
      <w:r w:rsidR="000636C2">
        <w:rPr>
          <w:rFonts w:hint="cs"/>
          <w:rtl/>
        </w:rPr>
        <w:t xml:space="preserve">، </w:t>
      </w:r>
      <w:r w:rsidRPr="005675B2">
        <w:rPr>
          <w:rFonts w:hint="cs"/>
          <w:rtl/>
        </w:rPr>
        <w:t>3 - ذكر الرازي أربعة براهين على وجود الله تعالى من الأدلة العقلية الكلامية ثم قال</w:t>
      </w:r>
      <w:r w:rsidR="000636C2">
        <w:rPr>
          <w:rFonts w:hint="cs"/>
          <w:rtl/>
        </w:rPr>
        <w:t>:</w:t>
      </w:r>
      <w:r w:rsidRPr="005675B2">
        <w:rPr>
          <w:rFonts w:hint="cs"/>
          <w:rtl/>
        </w:rPr>
        <w:t xml:space="preserve"> </w:t>
      </w:r>
      <w:r w:rsidR="000636C2">
        <w:rPr>
          <w:rFonts w:hint="cs"/>
          <w:rtl/>
        </w:rPr>
        <w:t>[</w:t>
      </w:r>
      <w:r w:rsidRPr="005675B2">
        <w:rPr>
          <w:rFonts w:hint="cs"/>
          <w:rtl/>
        </w:rPr>
        <w:t>أما دلائل الآفاق فبعضها سفلية عنصرية</w:t>
      </w:r>
      <w:r w:rsidR="000636C2">
        <w:rPr>
          <w:rFonts w:hint="cs"/>
          <w:rtl/>
        </w:rPr>
        <w:t>،</w:t>
      </w:r>
      <w:r w:rsidRPr="005675B2">
        <w:rPr>
          <w:rFonts w:hint="cs"/>
          <w:rtl/>
        </w:rPr>
        <w:t xml:space="preserve"> ومجامعها الاستدلال بأحوال الحيوان والنبات والمعادن</w:t>
      </w:r>
      <w:r w:rsidR="000636C2">
        <w:rPr>
          <w:rFonts w:hint="cs"/>
          <w:rtl/>
        </w:rPr>
        <w:t>،</w:t>
      </w:r>
      <w:r w:rsidRPr="005675B2">
        <w:rPr>
          <w:rFonts w:hint="cs"/>
          <w:rtl/>
        </w:rPr>
        <w:t xml:space="preserve"> وبعضها علوية فلكية</w:t>
      </w:r>
      <w:r w:rsidR="000636C2">
        <w:rPr>
          <w:rFonts w:hint="cs"/>
          <w:rtl/>
        </w:rPr>
        <w:t>،</w:t>
      </w:r>
      <w:r w:rsidRPr="005675B2">
        <w:rPr>
          <w:rFonts w:hint="cs"/>
          <w:rtl/>
        </w:rPr>
        <w:t xml:space="preserve"> ومجامعها الاستدلال بأحوال الأفلاك والكواكب، والاستقصاء في هذا النوع من الدلائل مذكور في القرآن العظيم</w:t>
      </w:r>
      <w:r w:rsidR="000636C2">
        <w:rPr>
          <w:rFonts w:hint="cs"/>
          <w:rtl/>
        </w:rPr>
        <w:t>،</w:t>
      </w:r>
      <w:r w:rsidRPr="005675B2">
        <w:rPr>
          <w:rFonts w:hint="cs"/>
          <w:rtl/>
        </w:rPr>
        <w:t xml:space="preserve"> مشروح في كتابنا المسمى بأسرار التنزيل وأنوار التأويل</w:t>
      </w:r>
      <w:r w:rsidR="000636C2">
        <w:rPr>
          <w:rFonts w:hint="cs"/>
          <w:rtl/>
        </w:rPr>
        <w:t>]</w:t>
      </w:r>
      <w:r w:rsidRPr="005675B2">
        <w:rPr>
          <w:rFonts w:hint="cs"/>
          <w:rtl/>
        </w:rPr>
        <w:t xml:space="preserve"> [</w:t>
      </w:r>
      <w:r w:rsidRPr="005675B2">
        <w:rPr>
          <w:rFonts w:hint="cs"/>
          <w:sz w:val="24"/>
          <w:szCs w:val="24"/>
          <w:rtl/>
        </w:rPr>
        <w:t>كتاب الأربعين في أصول الدين: ص 92</w:t>
      </w:r>
      <w:r w:rsidR="000636C2">
        <w:rPr>
          <w:rFonts w:hint="cs"/>
          <w:sz w:val="24"/>
          <w:szCs w:val="24"/>
          <w:rtl/>
        </w:rPr>
        <w:t>]</w:t>
      </w:r>
      <w:r w:rsidRPr="005675B2">
        <w:rPr>
          <w:rFonts w:hint="cs"/>
          <w:rtl/>
        </w:rPr>
        <w:t>،</w:t>
      </w:r>
      <w:r w:rsidR="000636C2">
        <w:rPr>
          <w:rFonts w:hint="cs"/>
          <w:rtl/>
        </w:rPr>
        <w:t xml:space="preserve"> </w:t>
      </w:r>
      <w:r w:rsidRPr="005675B2">
        <w:rPr>
          <w:rFonts w:hint="cs"/>
          <w:rtl/>
        </w:rPr>
        <w:t>وفي هذا النص إشارة إلى أن الدلائل على وجود الله تعالى نوعان</w:t>
      </w:r>
      <w:r w:rsidR="000636C2">
        <w:rPr>
          <w:rFonts w:hint="cs"/>
          <w:rtl/>
        </w:rPr>
        <w:t>:</w:t>
      </w:r>
      <w:r w:rsidRPr="005675B2">
        <w:rPr>
          <w:rFonts w:hint="cs"/>
          <w:rtl/>
        </w:rPr>
        <w:t xml:space="preserve"> الأدلة العقلية الكلامية</w:t>
      </w:r>
      <w:r w:rsidR="000636C2">
        <w:rPr>
          <w:rFonts w:hint="cs"/>
          <w:rtl/>
        </w:rPr>
        <w:t>،</w:t>
      </w:r>
      <w:r w:rsidRPr="005675B2">
        <w:rPr>
          <w:rFonts w:hint="cs"/>
          <w:rtl/>
        </w:rPr>
        <w:t xml:space="preserve"> ودلائل الآفاق</w:t>
      </w:r>
      <w:r w:rsidR="000636C2">
        <w:rPr>
          <w:rFonts w:hint="cs"/>
          <w:rtl/>
        </w:rPr>
        <w:t>،</w:t>
      </w:r>
      <w:r w:rsidRPr="005675B2">
        <w:rPr>
          <w:rFonts w:hint="cs"/>
          <w:rtl/>
        </w:rPr>
        <w:t xml:space="preserve"> والأشاعرة يذكرون في كتب العقيدة الأدلة الكلامية على طريقة المتكلمين الفلاسفة</w:t>
      </w:r>
      <w:r w:rsidR="000636C2">
        <w:rPr>
          <w:rFonts w:hint="cs"/>
          <w:rtl/>
        </w:rPr>
        <w:t>،</w:t>
      </w:r>
      <w:r w:rsidRPr="005675B2">
        <w:rPr>
          <w:rFonts w:hint="cs"/>
          <w:rtl/>
        </w:rPr>
        <w:t xml:space="preserve"> لإفحام ملاحدة الفلاسفة بالطرق الفلسفية التي يفهمونها</w:t>
      </w:r>
      <w:r w:rsidR="000636C2">
        <w:rPr>
          <w:rFonts w:hint="cs"/>
          <w:rtl/>
        </w:rPr>
        <w:t>،</w:t>
      </w:r>
      <w:r w:rsidRPr="005675B2">
        <w:rPr>
          <w:rFonts w:hint="cs"/>
          <w:rtl/>
        </w:rPr>
        <w:t xml:space="preserve"> والتي لا يخضعون إلا لها</w:t>
      </w:r>
      <w:r w:rsidR="000636C2">
        <w:rPr>
          <w:rFonts w:hint="cs"/>
          <w:rtl/>
        </w:rPr>
        <w:t>،</w:t>
      </w:r>
      <w:r w:rsidRPr="005675B2">
        <w:rPr>
          <w:rFonts w:hint="cs"/>
          <w:rtl/>
        </w:rPr>
        <w:t xml:space="preserve"> من باب محاربتهم بسلاحهم</w:t>
      </w:r>
      <w:r w:rsidR="000636C2">
        <w:rPr>
          <w:rFonts w:hint="cs"/>
          <w:rtl/>
        </w:rPr>
        <w:t>،</w:t>
      </w:r>
      <w:r w:rsidRPr="005675B2">
        <w:rPr>
          <w:rFonts w:hint="cs"/>
          <w:rtl/>
        </w:rPr>
        <w:t xml:space="preserve"> ولا ينكرون دلائل الآفاق</w:t>
      </w:r>
      <w:r w:rsidR="000636C2">
        <w:rPr>
          <w:rFonts w:hint="cs"/>
          <w:rtl/>
        </w:rPr>
        <w:t>،</w:t>
      </w:r>
      <w:r w:rsidRPr="005675B2">
        <w:rPr>
          <w:rFonts w:hint="cs"/>
          <w:rtl/>
        </w:rPr>
        <w:t xml:space="preserve"> بل يقررونها ويشرحونها في كتب التفسير</w:t>
      </w:r>
      <w:r w:rsidR="000636C2">
        <w:rPr>
          <w:rFonts w:hint="cs"/>
          <w:rtl/>
        </w:rPr>
        <w:t xml:space="preserve">، </w:t>
      </w:r>
      <w:r w:rsidRPr="005675B2">
        <w:rPr>
          <w:rFonts w:hint="cs"/>
          <w:rtl/>
        </w:rPr>
        <w:t>وقال الرازي رحمه الله</w:t>
      </w:r>
      <w:r w:rsidR="000636C2">
        <w:rPr>
          <w:rFonts w:hint="cs"/>
          <w:rtl/>
        </w:rPr>
        <w:t>:</w:t>
      </w:r>
      <w:r w:rsidRPr="005675B2">
        <w:rPr>
          <w:rFonts w:hint="cs"/>
          <w:rtl/>
        </w:rPr>
        <w:t xml:space="preserve"> </w:t>
      </w:r>
      <w:r w:rsidR="000636C2">
        <w:rPr>
          <w:rFonts w:hint="cs"/>
          <w:rtl/>
        </w:rPr>
        <w:t>[</w:t>
      </w:r>
      <w:r w:rsidRPr="005675B2">
        <w:rPr>
          <w:rFonts w:hint="cs"/>
          <w:rtl/>
        </w:rPr>
        <w:t>الناس قد توصلوا إلى إثبات واجب الوجود بطرق ..</w:t>
      </w:r>
      <w:r w:rsidR="000636C2">
        <w:rPr>
          <w:rFonts w:hint="cs"/>
          <w:rtl/>
        </w:rPr>
        <w:t>،</w:t>
      </w:r>
      <w:r w:rsidRPr="005675B2">
        <w:rPr>
          <w:rFonts w:hint="cs"/>
          <w:rtl/>
        </w:rPr>
        <w:t xml:space="preserve"> ومن الناس من اعتمد على الإحكام والإتقان المشاهَدَين في السماوات والأرضين</w:t>
      </w:r>
      <w:r w:rsidR="000636C2">
        <w:rPr>
          <w:rFonts w:hint="cs"/>
          <w:rtl/>
        </w:rPr>
        <w:t>،</w:t>
      </w:r>
      <w:r w:rsidRPr="005675B2">
        <w:rPr>
          <w:rFonts w:hint="cs"/>
          <w:rtl/>
        </w:rPr>
        <w:t xml:space="preserve"> وخاصة في تركيب بدن الإنسان وما فيه من المنافع الجليلة والبدائع الغريبة</w:t>
      </w:r>
      <w:r w:rsidR="000636C2">
        <w:rPr>
          <w:rFonts w:hint="cs"/>
          <w:rtl/>
        </w:rPr>
        <w:t>،</w:t>
      </w:r>
      <w:r w:rsidRPr="005675B2">
        <w:rPr>
          <w:rFonts w:hint="cs"/>
          <w:rtl/>
        </w:rPr>
        <w:t xml:space="preserve"> التي تشهد فطرة كل عاقل بأنها لا تصدر إلا عن تدبير حكيم عليم</w:t>
      </w:r>
      <w:r w:rsidR="000636C2">
        <w:rPr>
          <w:rFonts w:hint="cs"/>
          <w:rtl/>
        </w:rPr>
        <w:t>،</w:t>
      </w:r>
      <w:r w:rsidRPr="005675B2">
        <w:rPr>
          <w:rFonts w:hint="cs"/>
          <w:rtl/>
        </w:rPr>
        <w:t xml:space="preserve"> وهذه الطريقة دالة على الذات وعلى العالِمية</w:t>
      </w:r>
      <w:r w:rsidR="000636C2">
        <w:rPr>
          <w:rFonts w:hint="cs"/>
          <w:rtl/>
        </w:rPr>
        <w:t>،</w:t>
      </w:r>
      <w:r w:rsidRPr="005675B2">
        <w:rPr>
          <w:rFonts w:hint="cs"/>
          <w:rtl/>
        </w:rPr>
        <w:t xml:space="preserve"> وهي طريقة من تأملها ورفض عن نفسه المقالات الباطلة وجد نفسه مضطرة إلى الاعتراف بإثبات المدبر عند مشاهدة خلقة أعضاء الحيوان</w:t>
      </w:r>
      <w:r w:rsidR="000636C2">
        <w:rPr>
          <w:rFonts w:hint="cs"/>
          <w:rtl/>
        </w:rPr>
        <w:t>]</w:t>
      </w:r>
      <w:r w:rsidRPr="005675B2">
        <w:rPr>
          <w:rFonts w:hint="cs"/>
          <w:rtl/>
        </w:rPr>
        <w:t xml:space="preserve"> [</w:t>
      </w:r>
      <w:r w:rsidRPr="005675B2">
        <w:rPr>
          <w:rFonts w:hint="cs"/>
          <w:sz w:val="24"/>
          <w:szCs w:val="24"/>
          <w:rtl/>
        </w:rPr>
        <w:t>المباحث المشرقية في علم الإلهيات والطبيعيات: 2/ 448</w:t>
      </w:r>
      <w:r w:rsidR="000636C2">
        <w:rPr>
          <w:rFonts w:hint="cs"/>
          <w:sz w:val="24"/>
          <w:szCs w:val="24"/>
          <w:rtl/>
        </w:rPr>
        <w:t>،</w:t>
      </w:r>
      <w:r w:rsidRPr="005675B2">
        <w:rPr>
          <w:rFonts w:hint="cs"/>
          <w:sz w:val="24"/>
          <w:szCs w:val="24"/>
          <w:rtl/>
        </w:rPr>
        <w:t xml:space="preserve"> 451</w:t>
      </w:r>
      <w:r w:rsidR="000636C2">
        <w:rPr>
          <w:rFonts w:hint="cs"/>
          <w:sz w:val="24"/>
          <w:szCs w:val="24"/>
          <w:rtl/>
        </w:rPr>
        <w:t>]</w:t>
      </w:r>
      <w:r w:rsidR="000636C2">
        <w:rPr>
          <w:rFonts w:hint="cs"/>
          <w:rtl/>
        </w:rPr>
        <w:t>،</w:t>
      </w:r>
    </w:p>
    <w:p w14:paraId="53523E9F" w14:textId="39BA6DC9" w:rsidR="009C32A0" w:rsidRPr="005675B2" w:rsidRDefault="009C32A0" w:rsidP="000636C2">
      <w:pPr>
        <w:rPr>
          <w:b/>
          <w:rtl/>
        </w:rPr>
      </w:pPr>
      <w:r w:rsidRPr="005675B2">
        <w:rPr>
          <w:rFonts w:hint="cs"/>
          <w:rtl/>
        </w:rPr>
        <w:t>4 - قال الدردير في منظومته في العقيدة</w:t>
      </w:r>
      <w:r w:rsidR="000636C2">
        <w:rPr>
          <w:rFonts w:hint="cs"/>
          <w:rtl/>
        </w:rPr>
        <w:t>:</w:t>
      </w:r>
      <w:r w:rsidRPr="005675B2">
        <w:rPr>
          <w:rFonts w:hint="cs"/>
          <w:rtl/>
        </w:rPr>
        <w:t xml:space="preserve"> </w:t>
      </w:r>
      <w:r w:rsidR="000636C2">
        <w:rPr>
          <w:rFonts w:hint="cs"/>
          <w:rtl/>
        </w:rPr>
        <w:t>(</w:t>
      </w:r>
      <w:r w:rsidRPr="005675B2">
        <w:rPr>
          <w:rFonts w:hint="cs"/>
          <w:rtl/>
        </w:rPr>
        <w:t>فاعلم بأن الوصف بالوجودِ ... من واجبات الواحد المعبودِ ... إذْ ظــاهر بأن كل أثـرِ ... يهـدي إلى مؤثر،فاعتـبر [</w:t>
      </w:r>
      <w:r w:rsidRPr="005675B2">
        <w:rPr>
          <w:rFonts w:hint="cs"/>
          <w:sz w:val="24"/>
          <w:szCs w:val="24"/>
          <w:rtl/>
        </w:rPr>
        <w:t>ص 24 من مجموع أمهات المتون</w:t>
      </w:r>
      <w:r w:rsidR="000636C2">
        <w:rPr>
          <w:rFonts w:hint="cs"/>
          <w:sz w:val="24"/>
          <w:szCs w:val="24"/>
          <w:rtl/>
        </w:rPr>
        <w:t>]</w:t>
      </w:r>
      <w:r w:rsidR="000636C2">
        <w:rPr>
          <w:rFonts w:hint="cs"/>
          <w:rtl/>
        </w:rPr>
        <w:t>)،</w:t>
      </w:r>
      <w:r w:rsidRPr="005675B2">
        <w:rPr>
          <w:rFonts w:hint="cs"/>
          <w:rtl/>
        </w:rPr>
        <w:t xml:space="preserve"> فأنت ترى أن الدردير رحمه الله لم يسلك مسلك اللقاني في الجوهرة</w:t>
      </w:r>
      <w:r w:rsidR="000636C2">
        <w:rPr>
          <w:rFonts w:hint="cs"/>
          <w:rtl/>
        </w:rPr>
        <w:t>،</w:t>
      </w:r>
      <w:r w:rsidRPr="005675B2">
        <w:rPr>
          <w:rFonts w:hint="cs"/>
          <w:rtl/>
        </w:rPr>
        <w:t xml:space="preserve"> الذي ذكر دليل الحدوث والقدم</w:t>
      </w:r>
      <w:r w:rsidR="000636C2">
        <w:rPr>
          <w:rFonts w:hint="cs"/>
          <w:rtl/>
        </w:rPr>
        <w:t xml:space="preserve">، </w:t>
      </w:r>
      <w:r w:rsidRPr="005675B2">
        <w:rPr>
          <w:rFonts w:hint="cs"/>
          <w:rtl/>
        </w:rPr>
        <w:t>5 - واعلم أن الاستدلال على وجود الله تعالى بحدوث الكون لإفهام ملاحدة الفلاسفة وإفحامهم أمر ليس مقصوراً على الأشاعرة وحدهم</w:t>
      </w:r>
      <w:r w:rsidR="000636C2">
        <w:rPr>
          <w:rFonts w:hint="cs"/>
          <w:rtl/>
        </w:rPr>
        <w:t>،</w:t>
      </w:r>
      <w:r w:rsidRPr="005675B2">
        <w:rPr>
          <w:rFonts w:hint="cs"/>
          <w:rtl/>
        </w:rPr>
        <w:t xml:space="preserve"> بل إن ابن تيمية رحمه الله يستخدم الدليل ذاته في مثل هذا الموقف</w:t>
      </w:r>
      <w:r w:rsidR="000636C2">
        <w:rPr>
          <w:rFonts w:hint="cs"/>
          <w:rtl/>
        </w:rPr>
        <w:t>،</w:t>
      </w:r>
      <w:r w:rsidRPr="005675B2">
        <w:rPr>
          <w:rFonts w:hint="cs"/>
          <w:rtl/>
        </w:rPr>
        <w:t xml:space="preserve"> واستمع إليه يقول</w:t>
      </w:r>
      <w:r w:rsidR="000636C2">
        <w:rPr>
          <w:rFonts w:hint="cs"/>
          <w:rtl/>
        </w:rPr>
        <w:t>:</w:t>
      </w:r>
      <w:r w:rsidRPr="005675B2">
        <w:rPr>
          <w:rFonts w:hint="cs"/>
          <w:rtl/>
        </w:rPr>
        <w:t>قد علم بضرورة العقل أنه لا بد من موجود قديم غني عما سواه</w:t>
      </w:r>
      <w:r w:rsidR="000636C2">
        <w:rPr>
          <w:rFonts w:hint="cs"/>
          <w:rtl/>
        </w:rPr>
        <w:t>،</w:t>
      </w:r>
      <w:r w:rsidRPr="005675B2">
        <w:rPr>
          <w:rFonts w:hint="cs"/>
          <w:rtl/>
        </w:rPr>
        <w:t xml:space="preserve"> إذ نحن نشاهد حدوث المحدَثات كالحيوان والمعدن والنبات</w:t>
      </w:r>
      <w:r w:rsidR="000636C2">
        <w:rPr>
          <w:rFonts w:hint="cs"/>
          <w:rtl/>
        </w:rPr>
        <w:t>،</w:t>
      </w:r>
      <w:r w:rsidRPr="005675B2">
        <w:rPr>
          <w:rFonts w:hint="cs"/>
          <w:rtl/>
        </w:rPr>
        <w:t xml:space="preserve"> والحادث ممكن</w:t>
      </w:r>
      <w:r w:rsidR="000636C2">
        <w:rPr>
          <w:rFonts w:hint="cs"/>
          <w:rtl/>
        </w:rPr>
        <w:t>،</w:t>
      </w:r>
      <w:r w:rsidRPr="005675B2">
        <w:rPr>
          <w:rFonts w:hint="cs"/>
          <w:rtl/>
        </w:rPr>
        <w:t xml:space="preserve"> ليس بواجب ولا ممتنع</w:t>
      </w:r>
      <w:r w:rsidR="000636C2">
        <w:rPr>
          <w:rFonts w:hint="cs"/>
          <w:rtl/>
        </w:rPr>
        <w:t>،</w:t>
      </w:r>
      <w:r w:rsidRPr="005675B2">
        <w:rPr>
          <w:rFonts w:hint="cs"/>
          <w:rtl/>
        </w:rPr>
        <w:t xml:space="preserve"> وقد عُلم بالاضطرار أن المحدَثَ لا بد له من محدِث</w:t>
      </w:r>
      <w:r w:rsidR="000636C2">
        <w:rPr>
          <w:rFonts w:hint="cs"/>
          <w:rtl/>
        </w:rPr>
        <w:t>،</w:t>
      </w:r>
      <w:r w:rsidRPr="005675B2">
        <w:rPr>
          <w:rFonts w:hint="cs"/>
          <w:rtl/>
        </w:rPr>
        <w:t xml:space="preserve"> والممكن لا بد له من موجِد</w:t>
      </w:r>
      <w:r w:rsidR="000636C2">
        <w:rPr>
          <w:rFonts w:hint="cs"/>
          <w:rtl/>
        </w:rPr>
        <w:t>،</w:t>
      </w:r>
      <w:r w:rsidRPr="005675B2">
        <w:rPr>
          <w:rFonts w:hint="cs"/>
          <w:rtl/>
        </w:rPr>
        <w:t xml:space="preserve"> كما قال تعالى </w:t>
      </w:r>
      <w:r w:rsidR="000636C2">
        <w:rPr>
          <w:rFonts w:hint="cs"/>
          <w:rtl/>
        </w:rPr>
        <w:t>[</w:t>
      </w:r>
      <w:r w:rsidRPr="005675B2">
        <w:rPr>
          <w:rFonts w:hint="cs"/>
          <w:rtl/>
        </w:rPr>
        <w:t>أَمْ خُلِقُوا مِنْ غَيْرِ شَيْءٍ أَمْ هُمُ الْخَالِقُونَ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الطور 35</w:t>
      </w:r>
      <w:r w:rsidR="000636C2">
        <w:rPr>
          <w:rFonts w:hint="cs"/>
          <w:sz w:val="24"/>
          <w:szCs w:val="24"/>
          <w:rtl/>
        </w:rPr>
        <w:t>]</w:t>
      </w:r>
      <w:r w:rsidR="000636C2">
        <w:rPr>
          <w:rFonts w:hint="cs"/>
          <w:rtl/>
        </w:rPr>
        <w:t>،</w:t>
      </w:r>
      <w:r w:rsidRPr="005675B2">
        <w:rPr>
          <w:rFonts w:hint="cs"/>
          <w:rtl/>
        </w:rPr>
        <w:t xml:space="preserve"> فإذا لم يكونوا خلقوا من غير خالق ولا هم الخالقون لأنفسهم تعين أن لهم خالقاً خلقهم </w:t>
      </w:r>
      <w:r w:rsidR="000636C2">
        <w:rPr>
          <w:rFonts w:hint="cs"/>
          <w:rtl/>
        </w:rPr>
        <w:t>[</w:t>
      </w:r>
      <w:r w:rsidRPr="005675B2">
        <w:rPr>
          <w:rFonts w:hint="cs"/>
          <w:sz w:val="24"/>
          <w:szCs w:val="24"/>
          <w:rtl/>
        </w:rPr>
        <w:t>الرسالة التدمرية: ص 13</w:t>
      </w:r>
      <w:r w:rsidR="000636C2">
        <w:rPr>
          <w:rFonts w:hint="cs"/>
          <w:sz w:val="24"/>
          <w:szCs w:val="24"/>
          <w:rtl/>
        </w:rPr>
        <w:t>]</w:t>
      </w:r>
      <w:r w:rsidR="000636C2">
        <w:rPr>
          <w:rFonts w:hint="cs"/>
          <w:rtl/>
        </w:rPr>
        <w:t xml:space="preserve">، </w:t>
      </w:r>
      <w:r w:rsidRPr="005675B2">
        <w:rPr>
          <w:rFonts w:hint="cs"/>
          <w:rtl/>
        </w:rPr>
        <w:t>وقال قبله شيخ الحنابلة القاضي أبو يعلى</w:t>
      </w:r>
      <w:r w:rsidR="000636C2">
        <w:rPr>
          <w:rFonts w:hint="cs"/>
          <w:rtl/>
        </w:rPr>
        <w:t>:</w:t>
      </w:r>
      <w:r w:rsidRPr="005675B2">
        <w:rPr>
          <w:rFonts w:hint="cs"/>
          <w:rtl/>
        </w:rPr>
        <w:t xml:space="preserve"> </w:t>
      </w:r>
      <w:r w:rsidR="000636C2">
        <w:rPr>
          <w:rFonts w:hint="cs"/>
          <w:rtl/>
        </w:rPr>
        <w:t>[</w:t>
      </w:r>
      <w:r w:rsidRPr="005675B2">
        <w:rPr>
          <w:rFonts w:hint="cs"/>
          <w:rtl/>
        </w:rPr>
        <w:t>وجميع ما في العالم محدثة جواهره وأعراضه وأجسامه</w:t>
      </w:r>
      <w:r w:rsidR="000636C2">
        <w:rPr>
          <w:rFonts w:hint="cs"/>
          <w:rtl/>
        </w:rPr>
        <w:t>،</w:t>
      </w:r>
      <w:r w:rsidRPr="005675B2">
        <w:rPr>
          <w:rFonts w:hint="cs"/>
          <w:rtl/>
        </w:rPr>
        <w:t xml:space="preserve"> ..</w:t>
      </w:r>
      <w:r w:rsidR="000636C2">
        <w:rPr>
          <w:rFonts w:hint="cs"/>
          <w:rtl/>
        </w:rPr>
        <w:t>،</w:t>
      </w:r>
      <w:r w:rsidRPr="005675B2">
        <w:rPr>
          <w:rFonts w:hint="cs"/>
          <w:rtl/>
        </w:rPr>
        <w:t xml:space="preserve"> وإذا ثبت أن جميع ذلك محدَث فلا بد له من محدِث أحدثه وصانع صنعه</w:t>
      </w:r>
      <w:r w:rsidR="000636C2">
        <w:rPr>
          <w:rFonts w:hint="cs"/>
          <w:rtl/>
        </w:rPr>
        <w:t>]</w:t>
      </w:r>
      <w:r w:rsidRPr="005675B2">
        <w:rPr>
          <w:rFonts w:hint="cs"/>
          <w:rtl/>
        </w:rPr>
        <w:t xml:space="preserve"> [</w:t>
      </w:r>
      <w:r w:rsidRPr="005675B2">
        <w:rPr>
          <w:rFonts w:hint="cs"/>
          <w:sz w:val="24"/>
          <w:szCs w:val="24"/>
          <w:rtl/>
        </w:rPr>
        <w:t>المعتمد في أصول الدين للقاضي أبي يعلى: ص 39]</w:t>
      </w:r>
      <w:r w:rsidRPr="005675B2">
        <w:rPr>
          <w:rFonts w:hint="cs"/>
          <w:rtl/>
        </w:rPr>
        <w:t>،</w:t>
      </w:r>
    </w:p>
    <w:p w14:paraId="15394211" w14:textId="125D0EC0"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وأخَص صفات هذا القديم</w:t>
      </w:r>
      <w:r w:rsidR="000636C2">
        <w:rPr>
          <w:rFonts w:hint="cs"/>
          <w:rtl/>
        </w:rPr>
        <w:t xml:space="preserve"> </w:t>
      </w:r>
      <w:r w:rsidRPr="005675B2">
        <w:rPr>
          <w:rFonts w:hint="cs"/>
          <w:rtl/>
        </w:rPr>
        <w:t>- عند الأشاعرة</w:t>
      </w:r>
      <w:r w:rsidR="000636C2">
        <w:rPr>
          <w:rFonts w:hint="cs"/>
          <w:rtl/>
        </w:rPr>
        <w:t xml:space="preserve"> </w:t>
      </w:r>
      <w:r w:rsidRPr="005675B2">
        <w:rPr>
          <w:rFonts w:hint="cs"/>
          <w:rtl/>
        </w:rPr>
        <w:t>- مخالفته للحوادث وعدم حلولها فيه</w:t>
      </w:r>
      <w:r w:rsidR="000636C2">
        <w:rPr>
          <w:rFonts w:hint="cs"/>
          <w:rtl/>
        </w:rPr>
        <w:t>،</w:t>
      </w:r>
      <w:r w:rsidRPr="005675B2">
        <w:rPr>
          <w:rFonts w:hint="cs"/>
          <w:rtl/>
        </w:rPr>
        <w:t xml:space="preserve"> ومن مخالفته للحوادث إثبات أنه ليس جوهراً ولا عرضاً ولا جسماً ولا في جهة ولا في مكان .. وقد رتبوا عليه ..</w:t>
      </w:r>
      <w:r w:rsidR="000636C2">
        <w:rPr>
          <w:rFonts w:hint="cs"/>
          <w:rtl/>
        </w:rPr>
        <w:t>،</w:t>
      </w:r>
      <w:r w:rsidRPr="005675B2">
        <w:rPr>
          <w:rFonts w:hint="cs"/>
          <w:rtl/>
        </w:rPr>
        <w:t xml:space="preserve"> بشبهة نفي حلول الحوادث في القديم ونفي الجوهرية والعَرَضية والجهة والجسمية</w:t>
      </w:r>
      <w:r w:rsidR="000636C2">
        <w:rPr>
          <w:rFonts w:hint="cs"/>
          <w:rtl/>
        </w:rPr>
        <w:t>،</w:t>
      </w:r>
      <w:r w:rsidRPr="005675B2">
        <w:rPr>
          <w:rFonts w:hint="cs"/>
          <w:rtl/>
        </w:rPr>
        <w:t xml:space="preserve"> إلى آخر المصطلحات البدعية</w:t>
      </w:r>
      <w:r w:rsidR="000636C2">
        <w:rPr>
          <w:rFonts w:hint="cs"/>
          <w:rtl/>
        </w:rPr>
        <w:t>]،</w:t>
      </w:r>
    </w:p>
    <w:p w14:paraId="50A833A8" w14:textId="5028F820"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إنّ الله تبارك وتعالى له القِدم المطلق</w:t>
      </w:r>
      <w:r w:rsidR="000636C2">
        <w:rPr>
          <w:rFonts w:hint="cs"/>
          <w:rtl/>
        </w:rPr>
        <w:t>،</w:t>
      </w:r>
      <w:r w:rsidRPr="005675B2">
        <w:rPr>
          <w:rFonts w:hint="cs"/>
          <w:rtl/>
        </w:rPr>
        <w:t xml:space="preserve"> أي لا بداية لوجوده</w:t>
      </w:r>
      <w:r w:rsidR="000636C2">
        <w:rPr>
          <w:rFonts w:hint="cs"/>
          <w:rtl/>
        </w:rPr>
        <w:t>،</w:t>
      </w:r>
      <w:r w:rsidRPr="005675B2">
        <w:rPr>
          <w:rFonts w:hint="cs"/>
          <w:rtl/>
        </w:rPr>
        <w:t xml:space="preserve"> بل هو الأول</w:t>
      </w:r>
      <w:r w:rsidR="000636C2">
        <w:rPr>
          <w:rFonts w:hint="cs"/>
          <w:rtl/>
        </w:rPr>
        <w:t>،</w:t>
      </w:r>
      <w:r w:rsidRPr="005675B2">
        <w:rPr>
          <w:rFonts w:hint="cs"/>
          <w:rtl/>
        </w:rPr>
        <w:t xml:space="preserve"> وما سواه حادث</w:t>
      </w:r>
      <w:r w:rsidR="000636C2">
        <w:rPr>
          <w:rFonts w:hint="cs"/>
          <w:rtl/>
        </w:rPr>
        <w:t>،</w:t>
      </w:r>
      <w:r w:rsidRPr="005675B2">
        <w:rPr>
          <w:rFonts w:hint="cs"/>
          <w:rtl/>
        </w:rPr>
        <w:t xml:space="preserve"> أي له بداية</w:t>
      </w:r>
      <w:r w:rsidR="000636C2">
        <w:rPr>
          <w:rFonts w:hint="cs"/>
          <w:rtl/>
        </w:rPr>
        <w:t>،</w:t>
      </w:r>
      <w:r w:rsidRPr="005675B2">
        <w:rPr>
          <w:rFonts w:hint="cs"/>
          <w:rtl/>
        </w:rPr>
        <w:t xml:space="preserve"> والله تعالى هو الخالق</w:t>
      </w:r>
      <w:r w:rsidR="000636C2">
        <w:rPr>
          <w:rFonts w:hint="cs"/>
          <w:rtl/>
        </w:rPr>
        <w:t>،</w:t>
      </w:r>
      <w:r w:rsidRPr="005675B2">
        <w:rPr>
          <w:rFonts w:hint="cs"/>
          <w:rtl/>
        </w:rPr>
        <w:t xml:space="preserve"> والحوادث كلها مخلوقة</w:t>
      </w:r>
      <w:r w:rsidR="000636C2">
        <w:rPr>
          <w:rFonts w:hint="cs"/>
          <w:rtl/>
        </w:rPr>
        <w:t>،</w:t>
      </w:r>
      <w:r w:rsidRPr="005675B2">
        <w:rPr>
          <w:rFonts w:hint="cs"/>
          <w:rtl/>
        </w:rPr>
        <w:t xml:space="preserve"> والله تعالى لا يحل في شيء من مخلوقاته</w:t>
      </w:r>
      <w:r w:rsidR="000636C2">
        <w:rPr>
          <w:rFonts w:hint="cs"/>
          <w:rtl/>
        </w:rPr>
        <w:t>،</w:t>
      </w:r>
      <w:r w:rsidRPr="005675B2">
        <w:rPr>
          <w:rFonts w:hint="cs"/>
          <w:rtl/>
        </w:rPr>
        <w:t xml:space="preserve"> ولا يحل فيه شيء من مخلوقاته</w:t>
      </w:r>
      <w:r w:rsidR="000636C2">
        <w:rPr>
          <w:rFonts w:hint="cs"/>
          <w:rtl/>
        </w:rPr>
        <w:t>،</w:t>
      </w:r>
      <w:r w:rsidRPr="005675B2">
        <w:rPr>
          <w:rFonts w:hint="cs"/>
          <w:rtl/>
        </w:rPr>
        <w:t xml:space="preserve"> فلا يحل في الحوادث</w:t>
      </w:r>
      <w:r w:rsidR="000636C2">
        <w:rPr>
          <w:rFonts w:hint="cs"/>
          <w:rtl/>
        </w:rPr>
        <w:t>،</w:t>
      </w:r>
      <w:r w:rsidRPr="005675B2">
        <w:rPr>
          <w:rFonts w:hint="cs"/>
          <w:rtl/>
        </w:rPr>
        <w:t xml:space="preserve"> ولا تحل فيه الحوادث</w:t>
      </w:r>
      <w:r w:rsidR="000636C2">
        <w:rPr>
          <w:rFonts w:hint="cs"/>
          <w:rtl/>
        </w:rPr>
        <w:t>،</w:t>
      </w:r>
      <w:r w:rsidRPr="005675B2">
        <w:rPr>
          <w:rFonts w:hint="cs"/>
          <w:rtl/>
        </w:rPr>
        <w:t xml:space="preserve"> ولا أدري لم يضيق صدر الباحث بقول الأشاعرة</w:t>
      </w:r>
      <w:r w:rsidR="000636C2">
        <w:rPr>
          <w:rFonts w:hint="cs"/>
          <w:rtl/>
        </w:rPr>
        <w:t xml:space="preserve"> </w:t>
      </w:r>
      <w:r w:rsidRPr="005675B2">
        <w:rPr>
          <w:rFonts w:hint="cs"/>
          <w:rtl/>
        </w:rPr>
        <w:t>إن الله تعالى لا تحل فيه الحوادث</w:t>
      </w:r>
      <w:r w:rsidR="000636C2">
        <w:rPr>
          <w:rFonts w:hint="cs"/>
          <w:rtl/>
        </w:rPr>
        <w:t xml:space="preserve">؟، </w:t>
      </w:r>
      <w:r w:rsidRPr="005675B2">
        <w:rPr>
          <w:rFonts w:hint="cs"/>
          <w:rtl/>
        </w:rPr>
        <w:t>والحوادث المخلوقة مركبة من الجواهر والأعراض</w:t>
      </w:r>
      <w:r w:rsidR="000636C2">
        <w:rPr>
          <w:rFonts w:hint="cs"/>
          <w:rtl/>
        </w:rPr>
        <w:t>،</w:t>
      </w:r>
      <w:r w:rsidRPr="005675B2">
        <w:rPr>
          <w:rFonts w:hint="cs"/>
          <w:rtl/>
        </w:rPr>
        <w:t xml:space="preserve"> والجوهر</w:t>
      </w:r>
      <w:r w:rsidR="000636C2">
        <w:rPr>
          <w:rFonts w:hint="cs"/>
          <w:rtl/>
        </w:rPr>
        <w:t>:</w:t>
      </w:r>
      <w:r w:rsidRPr="005675B2">
        <w:rPr>
          <w:rFonts w:hint="cs"/>
          <w:rtl/>
        </w:rPr>
        <w:t xml:space="preserve"> هو المتحيز</w:t>
      </w:r>
      <w:r w:rsidR="000636C2">
        <w:rPr>
          <w:rFonts w:hint="cs"/>
          <w:rtl/>
        </w:rPr>
        <w:t>،</w:t>
      </w:r>
      <w:r w:rsidRPr="005675B2">
        <w:rPr>
          <w:rFonts w:hint="cs"/>
          <w:rtl/>
        </w:rPr>
        <w:t xml:space="preserve"> أي له حجم بحيث إنه يأخذ من الفراغ بقدر حجمه</w:t>
      </w:r>
      <w:r w:rsidR="000636C2">
        <w:rPr>
          <w:rFonts w:hint="cs"/>
          <w:rtl/>
        </w:rPr>
        <w:t>،</w:t>
      </w:r>
      <w:r w:rsidRPr="005675B2">
        <w:rPr>
          <w:rFonts w:hint="cs"/>
          <w:rtl/>
        </w:rPr>
        <w:t xml:space="preserve"> والعَرَض</w:t>
      </w:r>
      <w:r w:rsidR="000636C2">
        <w:rPr>
          <w:rFonts w:hint="cs"/>
          <w:rtl/>
        </w:rPr>
        <w:t>:</w:t>
      </w:r>
      <w:r w:rsidRPr="005675B2">
        <w:rPr>
          <w:rFonts w:hint="cs"/>
          <w:rtl/>
        </w:rPr>
        <w:t xml:space="preserve"> هو المعنى القائم بالجوهر</w:t>
      </w:r>
      <w:r w:rsidR="000636C2">
        <w:rPr>
          <w:rFonts w:hint="cs"/>
          <w:rtl/>
        </w:rPr>
        <w:t>،</w:t>
      </w:r>
      <w:r w:rsidRPr="005675B2">
        <w:rPr>
          <w:rFonts w:hint="cs"/>
          <w:rtl/>
        </w:rPr>
        <w:t xml:space="preserve"> كالألوان والطعوم والروائح</w:t>
      </w:r>
      <w:r w:rsidR="000636C2">
        <w:rPr>
          <w:rFonts w:hint="cs"/>
          <w:rtl/>
        </w:rPr>
        <w:t>،</w:t>
      </w:r>
      <w:r w:rsidRPr="005675B2">
        <w:rPr>
          <w:rFonts w:hint="cs"/>
          <w:rtl/>
        </w:rPr>
        <w:t xml:space="preserve"> والجسم</w:t>
      </w:r>
      <w:r w:rsidR="000636C2">
        <w:rPr>
          <w:rFonts w:hint="cs"/>
          <w:rtl/>
        </w:rPr>
        <w:t>:</w:t>
      </w:r>
      <w:r w:rsidRPr="005675B2">
        <w:rPr>
          <w:rFonts w:hint="cs"/>
          <w:rtl/>
        </w:rPr>
        <w:t xml:space="preserve"> هو المتألف من الجواهر </w:t>
      </w:r>
      <w:r w:rsidR="000636C2">
        <w:rPr>
          <w:rFonts w:hint="cs"/>
          <w:rtl/>
        </w:rPr>
        <w:t>[</w:t>
      </w:r>
      <w:r w:rsidRPr="005675B2">
        <w:rPr>
          <w:rFonts w:hint="cs"/>
          <w:sz w:val="24"/>
          <w:szCs w:val="24"/>
          <w:rtl/>
        </w:rPr>
        <w:t>وبنحوهذا يقول شيخ الحنابلة القاضي أيويعلى في كتابه المعتمد في أصول الدين: ص 35 – 36</w:t>
      </w:r>
      <w:r w:rsidR="000636C2">
        <w:rPr>
          <w:rFonts w:hint="cs"/>
          <w:sz w:val="24"/>
          <w:szCs w:val="24"/>
          <w:rtl/>
        </w:rPr>
        <w:t>]</w:t>
      </w:r>
      <w:r w:rsidR="000636C2">
        <w:rPr>
          <w:rFonts w:hint="cs"/>
          <w:rtl/>
        </w:rPr>
        <w:t xml:space="preserve">، </w:t>
      </w:r>
      <w:r w:rsidRPr="005675B2">
        <w:rPr>
          <w:rFonts w:hint="cs"/>
          <w:rtl/>
        </w:rPr>
        <w:t>والله تبارك وتعالى منـزه عن أن يكون جوهراً أو جسماً أو عَرَضاً</w:t>
      </w:r>
      <w:r w:rsidR="000636C2">
        <w:rPr>
          <w:rFonts w:hint="cs"/>
          <w:rtl/>
        </w:rPr>
        <w:t>،</w:t>
      </w:r>
      <w:r w:rsidRPr="005675B2">
        <w:rPr>
          <w:rFonts w:hint="cs"/>
          <w:rtl/>
        </w:rPr>
        <w:t xml:space="preserve"> ولا أدري لم يضيق صدر الباحث بهذا القول إذ ينعته بالمصطلحات البدعية</w:t>
      </w:r>
      <w:r w:rsidR="000636C2">
        <w:rPr>
          <w:rFonts w:hint="cs"/>
          <w:rtl/>
        </w:rPr>
        <w:t xml:space="preserve">؟، </w:t>
      </w:r>
      <w:r w:rsidRPr="005675B2">
        <w:rPr>
          <w:rFonts w:hint="cs"/>
          <w:rtl/>
        </w:rPr>
        <w:t>ولما كان من لوازم الجسمية كون الجسم في مكان وكونه بالنسبة إلى أي جسم آخر في جهة من جهاته</w:t>
      </w:r>
      <w:r w:rsidR="000636C2">
        <w:rPr>
          <w:rFonts w:hint="cs"/>
          <w:rtl/>
        </w:rPr>
        <w:t>،</w:t>
      </w:r>
      <w:r w:rsidRPr="005675B2">
        <w:rPr>
          <w:rFonts w:hint="cs"/>
          <w:rtl/>
        </w:rPr>
        <w:t xml:space="preserve"> فالله تعالى منزه عن التحيز في مكان وعن كونه في أية جهة مكانية من الجهات بالنسبة إلى أي مخلوق من المخلوقات [</w:t>
      </w:r>
      <w:r w:rsidRPr="005675B2">
        <w:rPr>
          <w:rFonts w:hint="cs"/>
          <w:sz w:val="24"/>
          <w:szCs w:val="24"/>
          <w:rtl/>
        </w:rPr>
        <w:t xml:space="preserve">قال شيخ الحنابلة القاضي أبو يعلى: </w:t>
      </w:r>
      <w:r w:rsidR="000636C2">
        <w:rPr>
          <w:rFonts w:hint="cs"/>
          <w:sz w:val="24"/>
          <w:szCs w:val="24"/>
          <w:rtl/>
        </w:rPr>
        <w:t>(</w:t>
      </w:r>
      <w:r w:rsidRPr="005675B2">
        <w:rPr>
          <w:rFonts w:hint="cs"/>
          <w:sz w:val="24"/>
          <w:szCs w:val="24"/>
          <w:rtl/>
        </w:rPr>
        <w:t>ولا يجوز وصفه بأنه في كل مكان</w:t>
      </w:r>
      <w:r w:rsidR="000636C2">
        <w:rPr>
          <w:rFonts w:hint="cs"/>
          <w:sz w:val="24"/>
          <w:szCs w:val="24"/>
          <w:rtl/>
        </w:rPr>
        <w:t>،</w:t>
      </w:r>
      <w:r w:rsidRPr="005675B2">
        <w:rPr>
          <w:rFonts w:hint="cs"/>
          <w:sz w:val="24"/>
          <w:szCs w:val="24"/>
          <w:rtl/>
        </w:rPr>
        <w:t xml:space="preserve"> ولا في مكان</w:t>
      </w:r>
      <w:r w:rsidR="000636C2">
        <w:rPr>
          <w:rFonts w:hint="cs"/>
          <w:sz w:val="24"/>
          <w:szCs w:val="24"/>
          <w:rtl/>
        </w:rPr>
        <w:t>،</w:t>
      </w:r>
      <w:r w:rsidRPr="005675B2">
        <w:rPr>
          <w:rFonts w:hint="cs"/>
          <w:sz w:val="24"/>
          <w:szCs w:val="24"/>
          <w:rtl/>
        </w:rPr>
        <w:t> ... والدلالة على أنه لا يجوز إطلاق القول عليه بأنه في كل مكان هو أن إضافته إلى المكان توجب قدم المكان بقدمه تعالى</w:t>
      </w:r>
      <w:r w:rsidR="000636C2">
        <w:rPr>
          <w:rFonts w:hint="cs"/>
          <w:sz w:val="24"/>
          <w:szCs w:val="24"/>
          <w:rtl/>
        </w:rPr>
        <w:t>،</w:t>
      </w:r>
      <w:r w:rsidRPr="005675B2">
        <w:rPr>
          <w:rFonts w:hint="cs"/>
          <w:sz w:val="24"/>
          <w:szCs w:val="24"/>
          <w:rtl/>
        </w:rPr>
        <w:t> ...</w:t>
      </w:r>
      <w:r w:rsidR="000636C2">
        <w:rPr>
          <w:rFonts w:hint="cs"/>
          <w:sz w:val="24"/>
          <w:szCs w:val="24"/>
          <w:rtl/>
        </w:rPr>
        <w:t xml:space="preserve">)، </w:t>
      </w:r>
      <w:r w:rsidRPr="005675B2">
        <w:rPr>
          <w:rFonts w:hint="cs"/>
          <w:sz w:val="24"/>
          <w:szCs w:val="24"/>
          <w:rtl/>
        </w:rPr>
        <w:t>المعتمد: ص 56 ـ 57</w:t>
      </w:r>
      <w:r w:rsidR="000636C2">
        <w:rPr>
          <w:rFonts w:hint="cs"/>
          <w:sz w:val="24"/>
          <w:szCs w:val="24"/>
          <w:rtl/>
        </w:rPr>
        <w:t>]</w:t>
      </w:r>
      <w:r w:rsidR="000636C2">
        <w:rPr>
          <w:rFonts w:hint="cs"/>
          <w:rtl/>
        </w:rPr>
        <w:t xml:space="preserve">، </w:t>
      </w:r>
      <w:r w:rsidRPr="005675B2">
        <w:rPr>
          <w:rFonts w:hint="cs"/>
          <w:rtl/>
        </w:rPr>
        <w:t>ومما يترتب على إثبات المكان والجهة للموجودات ثبوت المسافة والقرب أو البعد المكاني بينها</w:t>
      </w:r>
      <w:r w:rsidR="000636C2">
        <w:rPr>
          <w:rFonts w:hint="cs"/>
          <w:rtl/>
        </w:rPr>
        <w:t>،</w:t>
      </w:r>
      <w:r w:rsidRPr="005675B2">
        <w:rPr>
          <w:rFonts w:hint="cs"/>
          <w:rtl/>
        </w:rPr>
        <w:t xml:space="preserve"> والله تبارك وتعالى منزه عن ذلك</w:t>
      </w:r>
      <w:r w:rsidR="000636C2">
        <w:rPr>
          <w:rFonts w:hint="cs"/>
          <w:rtl/>
        </w:rPr>
        <w:t xml:space="preserve">، </w:t>
      </w:r>
      <w:r w:rsidRPr="005675B2">
        <w:rPr>
          <w:rFonts w:hint="cs"/>
          <w:rtl/>
        </w:rPr>
        <w:t>وكأن الباحث يضيق صدره بتنـزيه الله تعالى عن المكان والجهة المكانية وثبوتِ المسافة والقربِ والبعدِ المكاني بين الله تعالى وبين المخلوقات</w:t>
      </w:r>
      <w:r w:rsidR="000636C2">
        <w:rPr>
          <w:rFonts w:hint="cs"/>
          <w:rtl/>
        </w:rPr>
        <w:t xml:space="preserve">!، </w:t>
      </w:r>
      <w:r w:rsidRPr="005675B2">
        <w:rPr>
          <w:rFonts w:hint="cs"/>
          <w:rtl/>
        </w:rPr>
        <w:t>فهل إثبات هذا هو من سنة المصطفى صلى الله عليه وسلم وسنة خلفائه الراشدين المهديين</w:t>
      </w:r>
      <w:r w:rsidR="000636C2">
        <w:rPr>
          <w:rFonts w:hint="cs"/>
          <w:rtl/>
        </w:rPr>
        <w:t>؟!،</w:t>
      </w:r>
      <w:r w:rsidRPr="005675B2">
        <w:rPr>
          <w:rFonts w:hint="cs"/>
          <w:rtl/>
        </w:rPr>
        <w:t xml:space="preserve"> أو إنه يريد أن يصل إلى أن من على رأس الجبل أقرب إلى الله ممن في قعر الوادي</w:t>
      </w:r>
      <w:r w:rsidR="000636C2">
        <w:rPr>
          <w:rFonts w:hint="cs"/>
          <w:rtl/>
        </w:rPr>
        <w:t>؟!</w:t>
      </w:r>
      <w:r w:rsidRPr="005675B2">
        <w:rPr>
          <w:rFonts w:hint="cs"/>
          <w:rtl/>
        </w:rPr>
        <w:t>! تعالى الله عما يقولون علواً كبيراً</w:t>
      </w:r>
      <w:r w:rsidR="000636C2">
        <w:rPr>
          <w:rFonts w:hint="cs"/>
          <w:rtl/>
        </w:rPr>
        <w:t>،</w:t>
      </w:r>
    </w:p>
    <w:p w14:paraId="5FD297AF" w14:textId="488A14F3" w:rsidR="009C32A0" w:rsidRPr="005675B2" w:rsidRDefault="009C32A0" w:rsidP="000636C2">
      <w:pPr>
        <w:rPr>
          <w:b/>
          <w:rtl/>
        </w:rPr>
      </w:pPr>
      <w:r w:rsidRPr="005675B2">
        <w:rPr>
          <w:rFonts w:hint="cs"/>
          <w:rtl/>
        </w:rPr>
        <w:t>ثم قال الباحث</w:t>
      </w:r>
      <w:r w:rsidR="000636C2">
        <w:rPr>
          <w:rFonts w:hint="cs"/>
          <w:rtl/>
        </w:rPr>
        <w:t>:</w:t>
      </w:r>
      <w:r w:rsidRPr="005675B2">
        <w:rPr>
          <w:rFonts w:hint="cs"/>
          <w:rtl/>
        </w:rPr>
        <w:t xml:space="preserve"> </w:t>
      </w:r>
      <w:r w:rsidR="000636C2">
        <w:rPr>
          <w:rFonts w:hint="cs"/>
          <w:rtl/>
        </w:rPr>
        <w:t>[</w:t>
      </w:r>
      <w:r w:rsidRPr="005675B2">
        <w:rPr>
          <w:rFonts w:hint="cs"/>
          <w:rtl/>
        </w:rPr>
        <w:t>..</w:t>
      </w:r>
      <w:r w:rsidR="000636C2">
        <w:rPr>
          <w:rFonts w:hint="cs"/>
          <w:rtl/>
        </w:rPr>
        <w:t>،</w:t>
      </w:r>
      <w:r w:rsidRPr="005675B2">
        <w:rPr>
          <w:rFonts w:hint="cs"/>
          <w:rtl/>
        </w:rPr>
        <w:t xml:space="preserve"> مثل إنكارهم لكثير من الصفات</w:t>
      </w:r>
      <w:r w:rsidR="000636C2">
        <w:rPr>
          <w:rFonts w:hint="cs"/>
          <w:rtl/>
        </w:rPr>
        <w:t>،</w:t>
      </w:r>
      <w:r w:rsidRPr="005675B2">
        <w:rPr>
          <w:rFonts w:hint="cs"/>
          <w:rtl/>
        </w:rPr>
        <w:t xml:space="preserve"> كالرضى والغضب والاستواء</w:t>
      </w:r>
      <w:r w:rsidR="000636C2">
        <w:rPr>
          <w:rFonts w:hint="cs"/>
          <w:rtl/>
        </w:rPr>
        <w:t>]،</w:t>
      </w:r>
    </w:p>
    <w:p w14:paraId="2D1204BE" w14:textId="476D76A3"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لم ينكر الأشاعرة رِضَا الله تعالى عمن رضي عنهم ولا غضبه على من غضب عليهم</w:t>
      </w:r>
      <w:r w:rsidR="000636C2">
        <w:rPr>
          <w:rFonts w:hint="cs"/>
          <w:rtl/>
        </w:rPr>
        <w:t>،</w:t>
      </w:r>
      <w:r w:rsidRPr="005675B2">
        <w:rPr>
          <w:rFonts w:hint="cs"/>
          <w:rtl/>
        </w:rPr>
        <w:t xml:space="preserve"> وكيف ينكرون ما ثبت في كتاب الله تعالى وسنة رسوله عليه الصلاة والسلام</w:t>
      </w:r>
      <w:r w:rsidR="000636C2">
        <w:rPr>
          <w:rFonts w:hint="cs"/>
          <w:rtl/>
        </w:rPr>
        <w:t>؟!</w:t>
      </w:r>
      <w:r w:rsidRPr="005675B2">
        <w:rPr>
          <w:rFonts w:hint="cs"/>
          <w:rtl/>
        </w:rPr>
        <w:t>! ومن نسب إليهم إنكار ذلك فهو مخطئ</w:t>
      </w:r>
      <w:r w:rsidR="000636C2">
        <w:rPr>
          <w:rFonts w:hint="cs"/>
          <w:rtl/>
        </w:rPr>
        <w:t>،</w:t>
      </w:r>
      <w:r w:rsidRPr="005675B2">
        <w:rPr>
          <w:rFonts w:hint="cs"/>
          <w:rtl/>
        </w:rPr>
        <w:t xml:space="preserve"> لأن الإنكار نفي الشيء</w:t>
      </w:r>
      <w:r w:rsidR="000636C2">
        <w:rPr>
          <w:rFonts w:hint="cs"/>
          <w:rtl/>
        </w:rPr>
        <w:t>،</w:t>
      </w:r>
      <w:r w:rsidRPr="005675B2">
        <w:rPr>
          <w:rFonts w:hint="cs"/>
          <w:rtl/>
        </w:rPr>
        <w:t xml:space="preserve"> والأشاعرة فسروهما بما يخالف طريقة الباحث</w:t>
      </w:r>
      <w:r w:rsidR="000636C2">
        <w:rPr>
          <w:rFonts w:hint="cs"/>
          <w:rtl/>
        </w:rPr>
        <w:t>،</w:t>
      </w:r>
      <w:r w:rsidRPr="005675B2">
        <w:rPr>
          <w:rFonts w:hint="cs"/>
          <w:rtl/>
        </w:rPr>
        <w:t xml:space="preserve"> فنسب إليهم الإنكار</w:t>
      </w:r>
      <w:r w:rsidR="000636C2">
        <w:rPr>
          <w:rFonts w:hint="cs"/>
          <w:rtl/>
        </w:rPr>
        <w:t xml:space="preserve">!، </w:t>
      </w:r>
      <w:r w:rsidRPr="005675B2">
        <w:rPr>
          <w:rFonts w:hint="cs"/>
          <w:rtl/>
        </w:rPr>
        <w:t>قال الباقلاني</w:t>
      </w:r>
      <w:r w:rsidR="000636C2">
        <w:rPr>
          <w:rFonts w:hint="cs"/>
          <w:rtl/>
        </w:rPr>
        <w:t>:</w:t>
      </w:r>
      <w:r w:rsidRPr="005675B2">
        <w:rPr>
          <w:rFonts w:hint="cs"/>
          <w:rtl/>
        </w:rPr>
        <w:t xml:space="preserve"> </w:t>
      </w:r>
      <w:r w:rsidR="000636C2">
        <w:rPr>
          <w:rFonts w:hint="cs"/>
          <w:rtl/>
        </w:rPr>
        <w:t>[</w:t>
      </w:r>
      <w:r w:rsidRPr="005675B2">
        <w:rPr>
          <w:rFonts w:hint="cs"/>
          <w:rtl/>
        </w:rPr>
        <w:t>وغضبه تعالى على من غضب عليه ورضاه عمن رضي عنه هما إرادته لإثابة المرضيِّ عنه وعقوبةِ المغضوب عليه</w:t>
      </w:r>
      <w:r w:rsidR="000636C2">
        <w:rPr>
          <w:rFonts w:hint="cs"/>
          <w:rtl/>
        </w:rPr>
        <w:t>،</w:t>
      </w:r>
      <w:r w:rsidRPr="005675B2">
        <w:rPr>
          <w:rFonts w:hint="cs"/>
          <w:rtl/>
        </w:rPr>
        <w:t xml:space="preserve"> لا غير ذلك</w:t>
      </w:r>
      <w:r w:rsidR="000636C2">
        <w:rPr>
          <w:rFonts w:hint="cs"/>
          <w:rtl/>
        </w:rPr>
        <w:t>،</w:t>
      </w:r>
      <w:r w:rsidRPr="005675B2">
        <w:rPr>
          <w:rFonts w:hint="cs"/>
          <w:rtl/>
        </w:rPr>
        <w:t xml:space="preserve"> .. وكذلك الحب والبغض والولاية والعداوة هو نفس الإرادة للنفع والإضرار فقط</w:t>
      </w:r>
      <w:r w:rsidR="000636C2">
        <w:rPr>
          <w:rFonts w:hint="cs"/>
          <w:rtl/>
        </w:rPr>
        <w:t>]</w:t>
      </w:r>
      <w:r w:rsidRPr="005675B2">
        <w:rPr>
          <w:rFonts w:hint="cs"/>
          <w:rtl/>
        </w:rPr>
        <w:t xml:space="preserve"> [</w:t>
      </w:r>
      <w:r w:rsidRPr="005675B2">
        <w:rPr>
          <w:rFonts w:hint="cs"/>
          <w:sz w:val="24"/>
          <w:szCs w:val="24"/>
          <w:rtl/>
        </w:rPr>
        <w:t>لتمهيد للباقلاني: ص 27</w:t>
      </w:r>
      <w:r w:rsidR="000636C2">
        <w:rPr>
          <w:rFonts w:hint="cs"/>
          <w:sz w:val="24"/>
          <w:szCs w:val="24"/>
          <w:rtl/>
        </w:rPr>
        <w:t>،</w:t>
      </w:r>
      <w:r w:rsidRPr="005675B2">
        <w:rPr>
          <w:rFonts w:hint="cs"/>
          <w:sz w:val="24"/>
          <w:szCs w:val="24"/>
          <w:rtl/>
        </w:rPr>
        <w:t xml:space="preserve"> 28</w:t>
      </w:r>
      <w:r w:rsidR="000636C2">
        <w:rPr>
          <w:rFonts w:hint="cs"/>
          <w:sz w:val="24"/>
          <w:szCs w:val="24"/>
          <w:rtl/>
        </w:rPr>
        <w:t>]</w:t>
      </w:r>
      <w:r w:rsidR="000636C2">
        <w:rPr>
          <w:rFonts w:hint="cs"/>
          <w:rtl/>
        </w:rPr>
        <w:t>،</w:t>
      </w:r>
      <w:r w:rsidRPr="005675B2">
        <w:rPr>
          <w:rFonts w:hint="cs"/>
          <w:rtl/>
        </w:rPr>
        <w:t xml:space="preserve"> وقال الباقلاني فيما يجب اعتقاده</w:t>
      </w:r>
      <w:r w:rsidR="000636C2">
        <w:rPr>
          <w:rFonts w:hint="cs"/>
          <w:rtl/>
        </w:rPr>
        <w:t>:</w:t>
      </w:r>
      <w:r w:rsidRPr="005675B2">
        <w:rPr>
          <w:rFonts w:hint="cs"/>
          <w:rtl/>
        </w:rPr>
        <w:t xml:space="preserve"> </w:t>
      </w:r>
      <w:r w:rsidR="000636C2">
        <w:rPr>
          <w:rFonts w:hint="cs"/>
          <w:rtl/>
        </w:rPr>
        <w:t>[</w:t>
      </w:r>
      <w:r w:rsidRPr="005675B2">
        <w:rPr>
          <w:rFonts w:hint="cs"/>
          <w:rtl/>
        </w:rPr>
        <w:t>وأنه سبحانه لم يزل مريداً وشائياً</w:t>
      </w:r>
      <w:r w:rsidR="000636C2">
        <w:rPr>
          <w:rFonts w:hint="cs"/>
          <w:rtl/>
        </w:rPr>
        <w:t>،</w:t>
      </w:r>
      <w:r w:rsidRPr="005675B2">
        <w:rPr>
          <w:rFonts w:hint="cs"/>
          <w:rtl/>
        </w:rPr>
        <w:t xml:space="preserve"> ومحباً ومبغضاً</w:t>
      </w:r>
      <w:r w:rsidR="000636C2">
        <w:rPr>
          <w:rFonts w:hint="cs"/>
          <w:rtl/>
        </w:rPr>
        <w:t>،</w:t>
      </w:r>
      <w:r w:rsidRPr="005675B2">
        <w:rPr>
          <w:rFonts w:hint="cs"/>
          <w:rtl/>
        </w:rPr>
        <w:t xml:space="preserve"> وراضياً وساخطاً</w:t>
      </w:r>
      <w:r w:rsidR="000636C2">
        <w:rPr>
          <w:rFonts w:hint="cs"/>
          <w:rtl/>
        </w:rPr>
        <w:t>،</w:t>
      </w:r>
      <w:r w:rsidRPr="005675B2">
        <w:rPr>
          <w:rFonts w:hint="cs"/>
          <w:rtl/>
        </w:rPr>
        <w:t xml:space="preserve"> وموالياً ومعادياً</w:t>
      </w:r>
      <w:r w:rsidR="000636C2">
        <w:rPr>
          <w:rFonts w:hint="cs"/>
          <w:rtl/>
        </w:rPr>
        <w:t>،</w:t>
      </w:r>
      <w:r w:rsidRPr="005675B2">
        <w:rPr>
          <w:rFonts w:hint="cs"/>
          <w:rtl/>
        </w:rPr>
        <w:t xml:space="preserve"> ورحيماً ورحماناً</w:t>
      </w:r>
      <w:r w:rsidR="000636C2">
        <w:rPr>
          <w:rFonts w:hint="cs"/>
          <w:rtl/>
        </w:rPr>
        <w:t>،</w:t>
      </w:r>
      <w:r w:rsidRPr="005675B2">
        <w:rPr>
          <w:rFonts w:hint="cs"/>
          <w:rtl/>
        </w:rPr>
        <w:t xml:space="preserve"> ولأن جميع هذه الصفات راجعة إلى إرادته في عباده ومشيئته</w:t>
      </w:r>
      <w:r w:rsidR="000636C2">
        <w:rPr>
          <w:rFonts w:hint="cs"/>
          <w:rtl/>
        </w:rPr>
        <w:t>،</w:t>
      </w:r>
      <w:r w:rsidRPr="005675B2">
        <w:rPr>
          <w:rFonts w:hint="cs"/>
          <w:rtl/>
        </w:rPr>
        <w:t xml:space="preserve"> لا إلى غضبٍ يغيره</w:t>
      </w:r>
      <w:r w:rsidR="000636C2">
        <w:rPr>
          <w:rFonts w:hint="cs"/>
          <w:rtl/>
        </w:rPr>
        <w:t>،</w:t>
      </w:r>
      <w:r w:rsidRPr="005675B2">
        <w:rPr>
          <w:rFonts w:hint="cs"/>
          <w:rtl/>
        </w:rPr>
        <w:t xml:space="preserve"> ورضى يسكّنه طبعاً له</w:t>
      </w:r>
      <w:r w:rsidR="000636C2">
        <w:rPr>
          <w:rFonts w:hint="cs"/>
          <w:rtl/>
        </w:rPr>
        <w:t>،</w:t>
      </w:r>
      <w:r w:rsidRPr="005675B2">
        <w:rPr>
          <w:rFonts w:hint="cs"/>
          <w:rtl/>
        </w:rPr>
        <w:t xml:space="preserve"> وحَنَقٍ وغيظ يلحقه</w:t>
      </w:r>
      <w:r w:rsidR="000636C2">
        <w:rPr>
          <w:rFonts w:hint="cs"/>
          <w:rtl/>
        </w:rPr>
        <w:t>،</w:t>
      </w:r>
      <w:r w:rsidRPr="005675B2">
        <w:rPr>
          <w:rFonts w:hint="cs"/>
          <w:rtl/>
        </w:rPr>
        <w:t xml:space="preserve"> وحقد يجده</w:t>
      </w:r>
      <w:r w:rsidR="000636C2">
        <w:rPr>
          <w:rFonts w:hint="cs"/>
          <w:rtl/>
        </w:rPr>
        <w:t>،</w:t>
      </w:r>
      <w:r w:rsidRPr="005675B2">
        <w:rPr>
          <w:rFonts w:hint="cs"/>
          <w:rtl/>
        </w:rPr>
        <w:t xml:space="preserve"> إذْ كان سبحانه متعالياً عن الميل والنفور</w:t>
      </w:r>
      <w:r w:rsidR="000636C2">
        <w:rPr>
          <w:rFonts w:hint="cs"/>
          <w:rtl/>
        </w:rPr>
        <w:t>]</w:t>
      </w:r>
      <w:r w:rsidRPr="005675B2">
        <w:rPr>
          <w:rFonts w:hint="cs"/>
          <w:rtl/>
        </w:rPr>
        <w:t xml:space="preserve"> [</w:t>
      </w:r>
      <w:r w:rsidRPr="005675B2">
        <w:rPr>
          <w:rFonts w:hint="cs"/>
          <w:sz w:val="24"/>
          <w:szCs w:val="24"/>
          <w:rtl/>
        </w:rPr>
        <w:t>الإنصاف: ص 24</w:t>
      </w:r>
      <w:r w:rsidR="000636C2">
        <w:rPr>
          <w:rFonts w:hint="cs"/>
          <w:sz w:val="24"/>
          <w:szCs w:val="24"/>
          <w:rtl/>
        </w:rPr>
        <w:t>،</w:t>
      </w:r>
      <w:r w:rsidRPr="005675B2">
        <w:rPr>
          <w:rFonts w:hint="cs"/>
          <w:sz w:val="24"/>
          <w:szCs w:val="24"/>
          <w:rtl/>
        </w:rPr>
        <w:t xml:space="preserve"> وبأوضح من هذا في ص 39</w:t>
      </w:r>
      <w:r w:rsidR="000636C2">
        <w:rPr>
          <w:rFonts w:hint="cs"/>
          <w:sz w:val="24"/>
          <w:szCs w:val="24"/>
          <w:rtl/>
        </w:rPr>
        <w:t>]</w:t>
      </w:r>
      <w:r w:rsidR="000636C2">
        <w:rPr>
          <w:rFonts w:hint="cs"/>
          <w:rtl/>
        </w:rPr>
        <w:t>،</w:t>
      </w:r>
      <w:r w:rsidRPr="005675B2">
        <w:rPr>
          <w:rFonts w:hint="cs"/>
          <w:rtl/>
        </w:rPr>
        <w:t xml:space="preserve"> وقال البيهقي</w:t>
      </w:r>
      <w:r w:rsidR="000636C2">
        <w:rPr>
          <w:rFonts w:hint="cs"/>
          <w:rtl/>
        </w:rPr>
        <w:t>:</w:t>
      </w:r>
      <w:r w:rsidRPr="005675B2">
        <w:rPr>
          <w:rFonts w:hint="cs"/>
          <w:rtl/>
        </w:rPr>
        <w:t xml:space="preserve"> </w:t>
      </w:r>
      <w:r w:rsidR="000636C2">
        <w:rPr>
          <w:rFonts w:hint="cs"/>
          <w:rtl/>
        </w:rPr>
        <w:t>[</w:t>
      </w:r>
      <w:r w:rsidRPr="005675B2">
        <w:rPr>
          <w:rFonts w:hint="cs"/>
          <w:rtl/>
        </w:rPr>
        <w:t>الرضى والسخط عند بعض أصحابنا من صفات الفعل</w:t>
      </w:r>
      <w:r w:rsidR="000636C2">
        <w:rPr>
          <w:rFonts w:hint="cs"/>
          <w:rtl/>
        </w:rPr>
        <w:t>،</w:t>
      </w:r>
      <w:r w:rsidRPr="005675B2">
        <w:rPr>
          <w:rFonts w:hint="cs"/>
          <w:rtl/>
        </w:rPr>
        <w:t xml:space="preserve"> وهما عند أبي الحسن يرجعان إلى الإرادة</w:t>
      </w:r>
      <w:r w:rsidR="000636C2">
        <w:rPr>
          <w:rFonts w:hint="cs"/>
          <w:rtl/>
        </w:rPr>
        <w:t>،</w:t>
      </w:r>
      <w:r w:rsidRPr="005675B2">
        <w:rPr>
          <w:rFonts w:hint="cs"/>
          <w:rtl/>
        </w:rPr>
        <w:t xml:space="preserve"> فالرضا إرادته إكرامَ المؤمنين وإثابتهم على التأبيد</w:t>
      </w:r>
      <w:r w:rsidR="000636C2">
        <w:rPr>
          <w:rFonts w:hint="cs"/>
          <w:rtl/>
        </w:rPr>
        <w:t>،</w:t>
      </w:r>
      <w:r w:rsidRPr="005675B2">
        <w:rPr>
          <w:rFonts w:hint="cs"/>
          <w:rtl/>
        </w:rPr>
        <w:t xml:space="preserve"> والسخط إرادته تعذيبَ الكفار وعقوبتهم على التأبيد</w:t>
      </w:r>
      <w:r w:rsidR="000636C2">
        <w:rPr>
          <w:rFonts w:hint="cs"/>
          <w:rtl/>
        </w:rPr>
        <w:t>،</w:t>
      </w:r>
      <w:r w:rsidRPr="005675B2">
        <w:rPr>
          <w:rFonts w:hint="cs"/>
          <w:rtl/>
        </w:rPr>
        <w:t xml:space="preserve"> وإرادته تعذيب فساق المسلمين إلى ما شاء</w:t>
      </w:r>
      <w:r w:rsidR="000636C2">
        <w:rPr>
          <w:rFonts w:hint="cs"/>
          <w:rtl/>
        </w:rPr>
        <w:t>]</w:t>
      </w:r>
      <w:r w:rsidRPr="005675B2">
        <w:rPr>
          <w:rFonts w:hint="cs"/>
          <w:rtl/>
        </w:rPr>
        <w:t xml:space="preserve"> [</w:t>
      </w:r>
      <w:r w:rsidRPr="005675B2">
        <w:rPr>
          <w:rFonts w:hint="cs"/>
          <w:sz w:val="24"/>
          <w:szCs w:val="24"/>
          <w:rtl/>
        </w:rPr>
        <w:t>الأسماء والصفات: ص 641 . وأبو الحسن هو الإمام أبو الحسن الأشعري رحمه الله</w:t>
      </w:r>
      <w:r w:rsidR="000636C2">
        <w:rPr>
          <w:rFonts w:hint="cs"/>
          <w:sz w:val="24"/>
          <w:szCs w:val="24"/>
          <w:rtl/>
        </w:rPr>
        <w:t>]</w:t>
      </w:r>
      <w:r w:rsidR="000636C2">
        <w:rPr>
          <w:rFonts w:hint="cs"/>
          <w:rtl/>
        </w:rPr>
        <w:t xml:space="preserve">، </w:t>
      </w:r>
      <w:r w:rsidRPr="005675B2">
        <w:rPr>
          <w:rFonts w:hint="cs"/>
          <w:rtl/>
        </w:rPr>
        <w:t>وقال شيخ الحنابلة القاضي أبو يعلي</w:t>
      </w:r>
      <w:r w:rsidR="000636C2">
        <w:rPr>
          <w:rFonts w:hint="cs"/>
          <w:rtl/>
        </w:rPr>
        <w:t>:</w:t>
      </w:r>
      <w:r w:rsidRPr="005675B2">
        <w:rPr>
          <w:rFonts w:hint="cs"/>
          <w:rtl/>
        </w:rPr>
        <w:t xml:space="preserve"> </w:t>
      </w:r>
      <w:r w:rsidR="000636C2">
        <w:rPr>
          <w:rFonts w:hint="cs"/>
          <w:rtl/>
        </w:rPr>
        <w:t>[</w:t>
      </w:r>
      <w:r w:rsidRPr="005675B2">
        <w:rPr>
          <w:rFonts w:hint="cs"/>
          <w:rtl/>
        </w:rPr>
        <w:t>ويجوز وصفه بالغضب والرضى .. وهما إرادته لإثابة المرضيّ عنه وعقوبة المغضوب عليه</w:t>
      </w:r>
      <w:r w:rsidR="000636C2">
        <w:rPr>
          <w:rFonts w:hint="cs"/>
          <w:rtl/>
        </w:rPr>
        <w:t>]</w:t>
      </w:r>
    </w:p>
    <w:p w14:paraId="274CC3A4" w14:textId="77777777" w:rsidR="009C32A0" w:rsidRPr="005675B2" w:rsidRDefault="009C32A0" w:rsidP="000636C2">
      <w:pPr>
        <w:rPr>
          <w:b/>
          <w:rtl/>
        </w:rPr>
      </w:pPr>
    </w:p>
    <w:p w14:paraId="46FA4385" w14:textId="29D19249" w:rsidR="009C32A0" w:rsidRPr="005675B2" w:rsidRDefault="009C32A0" w:rsidP="000636C2">
      <w:pPr>
        <w:rPr>
          <w:b/>
          <w:rtl/>
        </w:rPr>
      </w:pPr>
      <w:r w:rsidRPr="005675B2">
        <w:rPr>
          <w:rFonts w:hint="cs"/>
          <w:rtl/>
        </w:rPr>
        <w:t xml:space="preserve"> [</w:t>
      </w:r>
      <w:r w:rsidRPr="005675B2">
        <w:rPr>
          <w:rFonts w:hint="cs"/>
          <w:sz w:val="24"/>
          <w:szCs w:val="24"/>
          <w:rtl/>
        </w:rPr>
        <w:t>المعتمد في أصول الدين للقاضي أبي يعلى:ص 61]</w:t>
      </w:r>
      <w:r w:rsidR="000636C2">
        <w:rPr>
          <w:rFonts w:hint="cs"/>
          <w:rtl/>
        </w:rPr>
        <w:t xml:space="preserve">، </w:t>
      </w:r>
      <w:r w:rsidRPr="005675B2">
        <w:rPr>
          <w:rFonts w:hint="cs"/>
          <w:rtl/>
        </w:rPr>
        <w:t>2 - لم ينكر الأشاعرة الاستواء</w:t>
      </w:r>
      <w:r w:rsidR="000636C2">
        <w:rPr>
          <w:rFonts w:hint="cs"/>
          <w:rtl/>
        </w:rPr>
        <w:t>،</w:t>
      </w:r>
      <w:r w:rsidRPr="005675B2">
        <w:rPr>
          <w:rFonts w:hint="cs"/>
          <w:rtl/>
        </w:rPr>
        <w:t xml:space="preserve"> وكيف ينكرون ما ثبت في آيات كريمات في كتاب الله تعالى</w:t>
      </w:r>
      <w:r w:rsidR="000636C2">
        <w:rPr>
          <w:rFonts w:hint="cs"/>
          <w:rtl/>
        </w:rPr>
        <w:t>؟!</w:t>
      </w:r>
      <w:r w:rsidRPr="005675B2">
        <w:rPr>
          <w:rFonts w:hint="cs"/>
          <w:rtl/>
        </w:rPr>
        <w:t>!</w:t>
      </w:r>
      <w:r w:rsidR="000636C2">
        <w:rPr>
          <w:rFonts w:hint="cs"/>
          <w:rtl/>
        </w:rPr>
        <w:t xml:space="preserve">، </w:t>
      </w:r>
      <w:r w:rsidRPr="005675B2">
        <w:rPr>
          <w:rFonts w:hint="cs"/>
          <w:rtl/>
        </w:rPr>
        <w:t>لكن لما رأى الباحث أن الأشاعرة يفسرون هذه الآيات الكريمات على غير فهمه نسب إليهم الإنكار</w:t>
      </w:r>
      <w:r w:rsidR="000636C2">
        <w:rPr>
          <w:rFonts w:hint="cs"/>
          <w:rtl/>
        </w:rPr>
        <w:t>،</w:t>
      </w:r>
      <w:r w:rsidRPr="005675B2">
        <w:rPr>
          <w:rFonts w:hint="cs"/>
          <w:rtl/>
        </w:rPr>
        <w:t xml:space="preserve"> وما ذاك إلا لتسرعه في الحكم</w:t>
      </w:r>
      <w:r w:rsidR="000636C2">
        <w:rPr>
          <w:rFonts w:hint="cs"/>
          <w:rtl/>
        </w:rPr>
        <w:t>،</w:t>
      </w:r>
      <w:r w:rsidRPr="005675B2">
        <w:rPr>
          <w:rFonts w:hint="cs"/>
          <w:rtl/>
        </w:rPr>
        <w:t xml:space="preserve"> فالتفسير والتأويل المعتمد على دليل شيء</w:t>
      </w:r>
      <w:r w:rsidR="000636C2">
        <w:rPr>
          <w:rFonts w:hint="cs"/>
          <w:rtl/>
        </w:rPr>
        <w:t>،</w:t>
      </w:r>
      <w:r w:rsidRPr="005675B2">
        <w:rPr>
          <w:rFonts w:hint="cs"/>
          <w:rtl/>
        </w:rPr>
        <w:t xml:space="preserve"> والإنكار شيء آخر</w:t>
      </w:r>
      <w:r w:rsidR="000636C2">
        <w:rPr>
          <w:rFonts w:hint="cs"/>
          <w:rtl/>
        </w:rPr>
        <w:t xml:space="preserve">، </w:t>
      </w:r>
      <w:r w:rsidRPr="005675B2">
        <w:rPr>
          <w:rFonts w:hint="cs"/>
          <w:rtl/>
        </w:rPr>
        <w:t>قال الباقلاني</w:t>
      </w:r>
      <w:r w:rsidR="000636C2">
        <w:rPr>
          <w:rFonts w:hint="cs"/>
          <w:rtl/>
        </w:rPr>
        <w:t>:</w:t>
      </w:r>
      <w:r w:rsidRPr="005675B2">
        <w:rPr>
          <w:rFonts w:hint="cs"/>
          <w:rtl/>
        </w:rPr>
        <w:t>وأن الله جل ثناؤه مستو على العرش ومستول على جميع خلقه</w:t>
      </w:r>
      <w:r w:rsidR="000636C2">
        <w:rPr>
          <w:rFonts w:hint="cs"/>
          <w:rtl/>
        </w:rPr>
        <w:t>،</w:t>
      </w:r>
      <w:r w:rsidRPr="005675B2">
        <w:rPr>
          <w:rFonts w:hint="cs"/>
          <w:rtl/>
        </w:rPr>
        <w:t xml:space="preserve"> كما قال تعالى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طه آية 5</w:t>
      </w:r>
      <w:r w:rsidR="000636C2">
        <w:rPr>
          <w:rFonts w:hint="cs"/>
          <w:sz w:val="24"/>
          <w:szCs w:val="24"/>
          <w:rtl/>
        </w:rPr>
        <w:t>]</w:t>
      </w:r>
      <w:r w:rsidR="000636C2">
        <w:rPr>
          <w:rFonts w:hint="cs"/>
          <w:rtl/>
        </w:rPr>
        <w:t>،</w:t>
      </w:r>
      <w:r w:rsidRPr="005675B2">
        <w:rPr>
          <w:rFonts w:hint="cs"/>
          <w:rtl/>
        </w:rPr>
        <w:t xml:space="preserve"> بغير مماسَّة وكيفية ولا مجاورة [</w:t>
      </w:r>
      <w:r w:rsidRPr="005675B2">
        <w:rPr>
          <w:rFonts w:hint="cs"/>
          <w:sz w:val="24"/>
          <w:szCs w:val="24"/>
          <w:rtl/>
        </w:rPr>
        <w:t>الإنصاف: ص 25</w:t>
      </w:r>
      <w:r w:rsidR="000636C2">
        <w:rPr>
          <w:rFonts w:hint="cs"/>
          <w:sz w:val="24"/>
          <w:szCs w:val="24"/>
          <w:rtl/>
        </w:rPr>
        <w:t>]</w:t>
      </w:r>
      <w:r w:rsidR="000636C2">
        <w:rPr>
          <w:rFonts w:hint="cs"/>
          <w:rtl/>
        </w:rPr>
        <w:t>،</w:t>
      </w:r>
      <w:r w:rsidRPr="005675B2">
        <w:rPr>
          <w:rFonts w:hint="cs"/>
          <w:rtl/>
        </w:rPr>
        <w:t xml:space="preserve"> وقال الغزالي</w:t>
      </w:r>
      <w:r w:rsidR="000636C2">
        <w:rPr>
          <w:rFonts w:hint="cs"/>
          <w:rtl/>
        </w:rPr>
        <w:t>:</w:t>
      </w:r>
      <w:r w:rsidRPr="005675B2">
        <w:rPr>
          <w:rFonts w:hint="cs"/>
          <w:rtl/>
        </w:rPr>
        <w:t xml:space="preserve"> </w:t>
      </w:r>
      <w:r w:rsidR="000636C2">
        <w:rPr>
          <w:rFonts w:hint="cs"/>
          <w:rtl/>
        </w:rPr>
        <w:t>[</w:t>
      </w:r>
      <w:r w:rsidRPr="005675B2">
        <w:rPr>
          <w:rFonts w:hint="cs"/>
          <w:rtl/>
        </w:rPr>
        <w:t>وأنه مستو على العرش</w:t>
      </w:r>
      <w:r w:rsidR="000636C2">
        <w:rPr>
          <w:rFonts w:hint="cs"/>
          <w:rtl/>
        </w:rPr>
        <w:t>،</w:t>
      </w:r>
      <w:r w:rsidRPr="005675B2">
        <w:rPr>
          <w:rFonts w:hint="cs"/>
          <w:rtl/>
        </w:rPr>
        <w:t xml:space="preserve"> على الوجه الذي قاله</w:t>
      </w:r>
      <w:r w:rsidR="000636C2">
        <w:rPr>
          <w:rFonts w:hint="cs"/>
          <w:rtl/>
        </w:rPr>
        <w:t>،</w:t>
      </w:r>
      <w:r w:rsidRPr="005675B2">
        <w:rPr>
          <w:rFonts w:hint="cs"/>
          <w:rtl/>
        </w:rPr>
        <w:t xml:space="preserve"> وبالمعنى الذي أراده</w:t>
      </w:r>
      <w:r w:rsidR="000636C2">
        <w:rPr>
          <w:rFonts w:hint="cs"/>
          <w:rtl/>
        </w:rPr>
        <w:t>،</w:t>
      </w:r>
      <w:r w:rsidRPr="005675B2">
        <w:rPr>
          <w:rFonts w:hint="cs"/>
          <w:rtl/>
        </w:rPr>
        <w:t xml:space="preserve"> استواءً منزهاً عن المماسة والاستقرار والتمكن والحلول والانتقال</w:t>
      </w:r>
      <w:r w:rsidR="000636C2">
        <w:rPr>
          <w:rFonts w:hint="cs"/>
          <w:rtl/>
        </w:rPr>
        <w:t>،</w:t>
      </w:r>
      <w:r w:rsidRPr="005675B2">
        <w:rPr>
          <w:rFonts w:hint="cs"/>
          <w:rtl/>
        </w:rPr>
        <w:t xml:space="preserve"> لا يحمله العرش</w:t>
      </w:r>
      <w:r w:rsidR="000636C2">
        <w:rPr>
          <w:rFonts w:hint="cs"/>
          <w:rtl/>
        </w:rPr>
        <w:t>،</w:t>
      </w:r>
      <w:r w:rsidRPr="005675B2">
        <w:rPr>
          <w:rFonts w:hint="cs"/>
          <w:rtl/>
        </w:rPr>
        <w:t xml:space="preserve"> بل العرش وحملته محمولون بلطف قدرته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تعالى عن أن يحويه مكان</w:t>
      </w:r>
      <w:r w:rsidR="000636C2">
        <w:rPr>
          <w:rFonts w:hint="cs"/>
          <w:rtl/>
        </w:rPr>
        <w:t>،</w:t>
      </w:r>
      <w:r w:rsidRPr="005675B2">
        <w:rPr>
          <w:rFonts w:hint="cs"/>
          <w:rtl/>
        </w:rPr>
        <w:t xml:space="preserve"> كما تقدَّس عن أن يحده زمان</w:t>
      </w:r>
      <w:r w:rsidR="000636C2">
        <w:rPr>
          <w:rFonts w:hint="cs"/>
          <w:rtl/>
        </w:rPr>
        <w:t>،</w:t>
      </w:r>
      <w:r w:rsidRPr="005675B2">
        <w:rPr>
          <w:rFonts w:hint="cs"/>
          <w:rtl/>
        </w:rPr>
        <w:t xml:space="preserve"> بل كان قبل أن خلق الزمان والمكان</w:t>
      </w:r>
      <w:r w:rsidR="000636C2">
        <w:rPr>
          <w:rFonts w:hint="cs"/>
          <w:rtl/>
        </w:rPr>
        <w:t>،</w:t>
      </w:r>
      <w:r w:rsidRPr="005675B2">
        <w:rPr>
          <w:rFonts w:hint="cs"/>
          <w:rtl/>
        </w:rPr>
        <w:t xml:space="preserve"> وهو الآن على ما عليه كان</w:t>
      </w:r>
      <w:r w:rsidR="000636C2">
        <w:rPr>
          <w:rFonts w:hint="cs"/>
          <w:rtl/>
        </w:rPr>
        <w:t>]</w:t>
      </w:r>
      <w:r w:rsidRPr="005675B2">
        <w:rPr>
          <w:rFonts w:hint="cs"/>
          <w:rtl/>
        </w:rPr>
        <w:t xml:space="preserve"> [</w:t>
      </w:r>
      <w:r w:rsidRPr="005675B2">
        <w:rPr>
          <w:rFonts w:hint="cs"/>
          <w:sz w:val="24"/>
          <w:szCs w:val="24"/>
          <w:rtl/>
        </w:rPr>
        <w:t>قواعد العقائد للغزالي: ص 6</w:t>
      </w:r>
      <w:r w:rsidR="000636C2">
        <w:rPr>
          <w:rFonts w:hint="cs"/>
          <w:sz w:val="24"/>
          <w:szCs w:val="24"/>
          <w:rtl/>
        </w:rPr>
        <w:t>،</w:t>
      </w:r>
      <w:r w:rsidRPr="005675B2">
        <w:rPr>
          <w:rFonts w:hint="cs"/>
          <w:sz w:val="24"/>
          <w:szCs w:val="24"/>
          <w:rtl/>
        </w:rPr>
        <w:t xml:space="preserve"> 7</w:t>
      </w:r>
      <w:r w:rsidR="000636C2">
        <w:rPr>
          <w:rFonts w:hint="cs"/>
          <w:sz w:val="24"/>
          <w:szCs w:val="24"/>
          <w:rtl/>
        </w:rPr>
        <w:t>]</w:t>
      </w:r>
      <w:r w:rsidR="000636C2">
        <w:rPr>
          <w:rFonts w:hint="cs"/>
          <w:rtl/>
        </w:rPr>
        <w:t xml:space="preserve">، </w:t>
      </w:r>
      <w:r w:rsidRPr="005675B2">
        <w:rPr>
          <w:rFonts w:hint="cs"/>
          <w:rtl/>
        </w:rPr>
        <w:t>ونحوه قول العز ابن عبد السلام [</w:t>
      </w:r>
      <w:r w:rsidRPr="005675B2">
        <w:rPr>
          <w:rFonts w:hint="cs"/>
          <w:sz w:val="24"/>
          <w:szCs w:val="24"/>
          <w:rtl/>
        </w:rPr>
        <w:t>العقائد للعز ابن عبد السلام: ص 7</w:t>
      </w:r>
      <w:r w:rsidR="000636C2">
        <w:rPr>
          <w:rFonts w:hint="cs"/>
          <w:sz w:val="24"/>
          <w:szCs w:val="24"/>
          <w:rtl/>
        </w:rPr>
        <w:t>،</w:t>
      </w:r>
      <w:r w:rsidRPr="005675B2">
        <w:rPr>
          <w:rFonts w:hint="cs"/>
          <w:sz w:val="24"/>
          <w:szCs w:val="24"/>
          <w:rtl/>
        </w:rPr>
        <w:t xml:space="preserve"> 8</w:t>
      </w:r>
      <w:r w:rsidR="000636C2">
        <w:rPr>
          <w:rFonts w:hint="cs"/>
          <w:sz w:val="24"/>
          <w:szCs w:val="24"/>
          <w:rtl/>
        </w:rPr>
        <w:t>]</w:t>
      </w:r>
      <w:r w:rsidRPr="005675B2">
        <w:rPr>
          <w:rFonts w:hint="cs"/>
          <w:rtl/>
        </w:rPr>
        <w:t>،</w:t>
      </w:r>
      <w:r w:rsidR="000636C2">
        <w:rPr>
          <w:rFonts w:hint="cs"/>
          <w:rtl/>
        </w:rPr>
        <w:t xml:space="preserve"> </w:t>
      </w:r>
      <w:r w:rsidRPr="005675B2">
        <w:rPr>
          <w:rFonts w:hint="cs"/>
          <w:rtl/>
        </w:rPr>
        <w:t>وقد أوَّل بعض الأشاعرة العرش المذكور في آيات الاستواء</w:t>
      </w:r>
      <w:r w:rsidR="000636C2">
        <w:rPr>
          <w:rFonts w:hint="cs"/>
          <w:rtl/>
        </w:rPr>
        <w:t>،</w:t>
      </w:r>
      <w:r w:rsidRPr="005675B2">
        <w:rPr>
          <w:rFonts w:hint="cs"/>
          <w:rtl/>
        </w:rPr>
        <w:t xml:space="preserve"> فقال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والصحيح عندنا تأويل العرش في هذه الآية على معنى الملك</w:t>
      </w:r>
      <w:r w:rsidR="000636C2">
        <w:rPr>
          <w:rFonts w:hint="cs"/>
          <w:rtl/>
        </w:rPr>
        <w:t>،</w:t>
      </w:r>
      <w:r w:rsidRPr="005675B2">
        <w:rPr>
          <w:rFonts w:hint="cs"/>
          <w:rtl/>
        </w:rPr>
        <w:t xml:space="preserve"> كأنه أراد أن الملك ما استوى لأحد غيره</w:t>
      </w:r>
      <w:r w:rsidR="000636C2">
        <w:rPr>
          <w:rFonts w:hint="cs"/>
          <w:rtl/>
        </w:rPr>
        <w:t>]</w:t>
      </w:r>
      <w:r w:rsidRPr="005675B2">
        <w:rPr>
          <w:rFonts w:hint="cs"/>
          <w:rtl/>
        </w:rPr>
        <w:t xml:space="preserve"> [</w:t>
      </w:r>
      <w:r w:rsidRPr="005675B2">
        <w:rPr>
          <w:rFonts w:hint="cs"/>
          <w:sz w:val="24"/>
          <w:szCs w:val="24"/>
          <w:rtl/>
        </w:rPr>
        <w:t>أصول الدين: ص 113</w:t>
      </w:r>
      <w:r w:rsidR="000636C2">
        <w:rPr>
          <w:rFonts w:hint="cs"/>
          <w:sz w:val="24"/>
          <w:szCs w:val="24"/>
          <w:rtl/>
        </w:rPr>
        <w:t>]</w:t>
      </w:r>
      <w:r w:rsidR="000636C2">
        <w:rPr>
          <w:rFonts w:hint="cs"/>
          <w:rtl/>
        </w:rPr>
        <w:t xml:space="preserve">، </w:t>
      </w:r>
      <w:r w:rsidRPr="005675B2">
        <w:rPr>
          <w:rFonts w:hint="cs"/>
          <w:rtl/>
        </w:rPr>
        <w:t>وقال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حَمْلُ الاستواء على القهر والغلبة .. شائع في اللغة</w:t>
      </w:r>
      <w:r w:rsidR="000636C2">
        <w:rPr>
          <w:rFonts w:hint="cs"/>
          <w:rtl/>
        </w:rPr>
        <w:t>،</w:t>
      </w:r>
      <w:r w:rsidRPr="005675B2">
        <w:rPr>
          <w:rFonts w:hint="cs"/>
          <w:rtl/>
        </w:rPr>
        <w:t xml:space="preserve"> إذ العرب تقول استوى فلان على الممالك</w:t>
      </w:r>
      <w:r w:rsidR="000636C2">
        <w:rPr>
          <w:rFonts w:hint="cs"/>
          <w:rtl/>
        </w:rPr>
        <w:t xml:space="preserve"> </w:t>
      </w:r>
      <w:r w:rsidRPr="005675B2">
        <w:rPr>
          <w:rFonts w:hint="cs"/>
          <w:rtl/>
        </w:rPr>
        <w:t>إذا</w:t>
      </w:r>
      <w:r w:rsidR="000636C2">
        <w:rPr>
          <w:rFonts w:hint="cs"/>
          <w:rtl/>
        </w:rPr>
        <w:t xml:space="preserve"> </w:t>
      </w:r>
      <w:r w:rsidRPr="005675B2">
        <w:rPr>
          <w:rFonts w:hint="cs"/>
          <w:rtl/>
        </w:rPr>
        <w:t>احتوى على مقاليد الملك واستعلى على الرقاب</w:t>
      </w:r>
      <w:r w:rsidR="000636C2">
        <w:rPr>
          <w:rFonts w:hint="cs"/>
          <w:rtl/>
        </w:rPr>
        <w:t>،</w:t>
      </w:r>
      <w:r w:rsidRPr="005675B2">
        <w:rPr>
          <w:rFonts w:hint="cs"/>
          <w:rtl/>
        </w:rPr>
        <w:t xml:space="preserve"> وفائدة تخصيص العرش بالذكر أنه أعظم المخلوقات في ظن البرية</w:t>
      </w:r>
      <w:r w:rsidR="000636C2">
        <w:rPr>
          <w:rFonts w:hint="cs"/>
          <w:rtl/>
        </w:rPr>
        <w:t>،</w:t>
      </w:r>
      <w:r w:rsidRPr="005675B2">
        <w:rPr>
          <w:rFonts w:hint="cs"/>
          <w:rtl/>
        </w:rPr>
        <w:t xml:space="preserve"> فنص تعالى عليه </w:t>
      </w:r>
      <w:r w:rsidR="000636C2">
        <w:rPr>
          <w:rFonts w:hint="cs"/>
          <w:rtl/>
        </w:rPr>
        <w:t>(</w:t>
      </w:r>
      <w:r>
        <w:rPr>
          <w:rFonts w:hint="cs"/>
          <w:rtl/>
        </w:rPr>
        <w:t>تنبيه</w:t>
      </w:r>
      <w:r w:rsidR="000636C2">
        <w:rPr>
          <w:rFonts w:hint="cs"/>
          <w:rtl/>
        </w:rPr>
        <w:t>)</w:t>
      </w:r>
      <w:r w:rsidRPr="005675B2">
        <w:rPr>
          <w:rFonts w:hint="cs"/>
          <w:rtl/>
        </w:rPr>
        <w:t>ا بذكره على ما دونه</w:t>
      </w:r>
      <w:r w:rsidR="000636C2">
        <w:rPr>
          <w:rFonts w:hint="cs"/>
          <w:rtl/>
        </w:rPr>
        <w:t>،</w:t>
      </w:r>
      <w:r w:rsidRPr="005675B2">
        <w:rPr>
          <w:rFonts w:hint="cs"/>
          <w:rtl/>
        </w:rPr>
        <w:t xml:space="preserve"> فإن قيل الاستواء بمعنى الغلبة ينبئ عن سبق مكافحة ومحاولة ؛ قلنا</w:t>
      </w:r>
      <w:r w:rsidR="000636C2">
        <w:rPr>
          <w:rFonts w:hint="cs"/>
          <w:rtl/>
        </w:rPr>
        <w:t>:</w:t>
      </w:r>
      <w:r w:rsidRPr="005675B2">
        <w:rPr>
          <w:rFonts w:hint="cs"/>
          <w:rtl/>
        </w:rPr>
        <w:t xml:space="preserve"> هذا باطل</w:t>
      </w:r>
      <w:r w:rsidR="000636C2">
        <w:rPr>
          <w:rFonts w:hint="cs"/>
          <w:rtl/>
        </w:rPr>
        <w:t>،</w:t>
      </w:r>
      <w:r w:rsidRPr="005675B2">
        <w:rPr>
          <w:rFonts w:hint="cs"/>
          <w:rtl/>
        </w:rPr>
        <w:t xml:space="preserve"> إذ لو أنبأ الاستواء عن ذلك لأنبأ عنه القهر</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الإرشاد: ص 59</w:t>
      </w:r>
      <w:r w:rsidR="000636C2">
        <w:rPr>
          <w:rFonts w:hint="cs"/>
          <w:sz w:val="24"/>
          <w:szCs w:val="24"/>
          <w:rtl/>
        </w:rPr>
        <w:t>]</w:t>
      </w:r>
      <w:r w:rsidR="000636C2">
        <w:rPr>
          <w:rFonts w:hint="cs"/>
          <w:rtl/>
        </w:rPr>
        <w:t xml:space="preserve">، </w:t>
      </w:r>
      <w:r w:rsidRPr="005675B2">
        <w:rPr>
          <w:rFonts w:hint="cs"/>
          <w:rtl/>
        </w:rPr>
        <w:t>وهذا يعني أن الله تعالى موصوف بأنه القهار</w:t>
      </w:r>
      <w:r w:rsidR="000636C2">
        <w:rPr>
          <w:rFonts w:hint="cs"/>
          <w:rtl/>
        </w:rPr>
        <w:t>،</w:t>
      </w:r>
      <w:r w:rsidRPr="005675B2">
        <w:rPr>
          <w:rFonts w:hint="cs"/>
          <w:rtl/>
        </w:rPr>
        <w:t xml:space="preserve"> ولا يقتضي ذلك وجود مغالب له كي يَظْهر قهرُه</w:t>
      </w:r>
      <w:r w:rsidR="000636C2">
        <w:rPr>
          <w:rFonts w:hint="cs"/>
          <w:rtl/>
        </w:rPr>
        <w:t xml:space="preserve"> </w:t>
      </w:r>
      <w:r w:rsidRPr="005675B2">
        <w:rPr>
          <w:rFonts w:hint="cs"/>
          <w:rtl/>
        </w:rPr>
        <w:t>إياه</w:t>
      </w:r>
      <w:r w:rsidR="000636C2">
        <w:rPr>
          <w:rFonts w:hint="cs"/>
          <w:rtl/>
        </w:rPr>
        <w:t>،</w:t>
      </w:r>
      <w:r w:rsidRPr="005675B2">
        <w:rPr>
          <w:rFonts w:hint="cs"/>
          <w:rtl/>
        </w:rPr>
        <w:t xml:space="preserve"> فكذلك استواؤه واستعلاؤه على عرش ملكه</w:t>
      </w:r>
      <w:r w:rsidR="000636C2">
        <w:rPr>
          <w:rFonts w:hint="cs"/>
          <w:rtl/>
        </w:rPr>
        <w:t xml:space="preserve">، </w:t>
      </w:r>
      <w:r w:rsidRPr="005675B2">
        <w:rPr>
          <w:rFonts w:hint="cs"/>
          <w:rtl/>
        </w:rPr>
        <w:t>قد تختلف - أيها الباحث</w:t>
      </w:r>
      <w:r w:rsidR="000636C2">
        <w:rPr>
          <w:rFonts w:hint="cs"/>
          <w:rtl/>
        </w:rPr>
        <w:t xml:space="preserve"> </w:t>
      </w:r>
      <w:r w:rsidRPr="005675B2">
        <w:rPr>
          <w:rFonts w:hint="cs"/>
          <w:rtl/>
        </w:rPr>
        <w:t>- مع من أَوَّلَ العرش في آيات الاستواء من الأشاعرة</w:t>
      </w:r>
      <w:r w:rsidR="000636C2">
        <w:rPr>
          <w:rFonts w:hint="cs"/>
          <w:rtl/>
        </w:rPr>
        <w:t>،</w:t>
      </w:r>
      <w:r w:rsidRPr="005675B2">
        <w:rPr>
          <w:rFonts w:hint="cs"/>
          <w:rtl/>
        </w:rPr>
        <w:t xml:space="preserve"> ولكنك لا تستطيع أن تقول إنهم أنكروا العرش أو الاستواء على العرش</w:t>
      </w:r>
      <w:r w:rsidR="000636C2">
        <w:rPr>
          <w:rFonts w:hint="cs"/>
          <w:rtl/>
        </w:rPr>
        <w:t>،</w:t>
      </w:r>
    </w:p>
    <w:p w14:paraId="09FD1019" w14:textId="77777777" w:rsidR="009C32A0" w:rsidRPr="005675B2" w:rsidRDefault="009C32A0" w:rsidP="000636C2">
      <w:pPr>
        <w:jc w:val="center"/>
        <w:rPr>
          <w:b/>
          <w:rtl/>
        </w:rPr>
      </w:pPr>
      <w:r w:rsidRPr="005675B2">
        <w:rPr>
          <w:rFonts w:hint="cs"/>
          <w:rtl/>
        </w:rPr>
        <w:t>***</w:t>
      </w:r>
    </w:p>
    <w:p w14:paraId="4C5F4D32" w14:textId="2B52334C" w:rsidR="009C32A0" w:rsidRPr="005675B2" w:rsidRDefault="000636C2" w:rsidP="000636C2">
      <w:pPr>
        <w:jc w:val="center"/>
        <w:rPr>
          <w:bCs/>
          <w:rtl/>
        </w:rPr>
      </w:pPr>
      <w:r>
        <w:rPr>
          <w:rFonts w:hint="cs"/>
          <w:bCs/>
          <w:rtl/>
        </w:rPr>
        <w:t>[</w:t>
      </w:r>
      <w:r w:rsidR="009C32A0" w:rsidRPr="005675B2">
        <w:rPr>
          <w:rFonts w:hint="cs"/>
          <w:bCs/>
          <w:rtl/>
        </w:rPr>
        <w:t>الموضوع الثالث</w:t>
      </w:r>
      <w:r>
        <w:rPr>
          <w:rFonts w:hint="cs"/>
          <w:bCs/>
          <w:rtl/>
        </w:rPr>
        <w:t>:</w:t>
      </w:r>
      <w:r w:rsidR="009C32A0" w:rsidRPr="005675B2">
        <w:rPr>
          <w:rFonts w:hint="cs"/>
          <w:bCs/>
          <w:rtl/>
        </w:rPr>
        <w:t xml:space="preserve"> التوحيد</w:t>
      </w:r>
      <w:r>
        <w:rPr>
          <w:rFonts w:hint="cs"/>
          <w:bCs/>
          <w:rtl/>
        </w:rPr>
        <w:t>]</w:t>
      </w:r>
    </w:p>
    <w:p w14:paraId="7F216741" w14:textId="2ADCFAEE"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أما الأشاعرة فالتوحيد عندهم هو نفي التثنية أو التعدد ونفي التبعيض والتركيب والتجزئة</w:t>
      </w:r>
      <w:r w:rsidR="000636C2">
        <w:rPr>
          <w:rFonts w:hint="cs"/>
          <w:rtl/>
        </w:rPr>
        <w:t>،</w:t>
      </w:r>
      <w:r w:rsidRPr="005675B2">
        <w:rPr>
          <w:rFonts w:hint="cs"/>
          <w:rtl/>
        </w:rPr>
        <w:t xml:space="preserve"> .. وأنكروا بعض الصفات كالوجه واليد والعين</w:t>
      </w:r>
      <w:r w:rsidR="000636C2">
        <w:rPr>
          <w:rFonts w:hint="cs"/>
          <w:rtl/>
        </w:rPr>
        <w:t>،</w:t>
      </w:r>
      <w:r w:rsidRPr="005675B2">
        <w:rPr>
          <w:rFonts w:hint="cs"/>
          <w:rtl/>
        </w:rPr>
        <w:t xml:space="preserve"> لأنها تدل على التركيب والأجزاء عندهم</w:t>
      </w:r>
      <w:r w:rsidR="000636C2">
        <w:rPr>
          <w:rFonts w:hint="cs"/>
          <w:rtl/>
        </w:rPr>
        <w:t>]،</w:t>
      </w:r>
    </w:p>
    <w:p w14:paraId="3F831EA0" w14:textId="0FA6B807"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الأشاعرة يؤمنون بأن الله تعالى واحد</w:t>
      </w:r>
      <w:r w:rsidR="000636C2">
        <w:rPr>
          <w:rFonts w:hint="cs"/>
          <w:rtl/>
        </w:rPr>
        <w:t>،</w:t>
      </w:r>
      <w:r w:rsidRPr="005675B2">
        <w:rPr>
          <w:rFonts w:hint="cs"/>
          <w:rtl/>
        </w:rPr>
        <w:t xml:space="preserve"> وينفون التثنية والتعدد</w:t>
      </w:r>
      <w:r w:rsidR="000636C2">
        <w:rPr>
          <w:rFonts w:hint="cs"/>
          <w:rtl/>
        </w:rPr>
        <w:t>،</w:t>
      </w:r>
      <w:r w:rsidRPr="005675B2">
        <w:rPr>
          <w:rFonts w:hint="cs"/>
          <w:rtl/>
        </w:rPr>
        <w:t xml:space="preserve"> فذكرك لهذا مع زعمك أنهم يختلفون مع أهل السنة والجماعة من أول مصدر التلقي حتى آخر السمعيات يعني أنك مخالف لهم في ذلك</w:t>
      </w:r>
      <w:r w:rsidR="000636C2">
        <w:rPr>
          <w:rFonts w:hint="cs"/>
          <w:rtl/>
        </w:rPr>
        <w:t>،</w:t>
      </w:r>
      <w:r w:rsidRPr="005675B2">
        <w:rPr>
          <w:rFonts w:hint="cs"/>
          <w:rtl/>
        </w:rPr>
        <w:t xml:space="preserve"> فهل أنت مخالف لهم في ذلك حقيقة</w:t>
      </w:r>
      <w:r w:rsidR="000636C2">
        <w:rPr>
          <w:rFonts w:hint="cs"/>
          <w:rtl/>
        </w:rPr>
        <w:t>؟!</w:t>
      </w:r>
      <w:r w:rsidRPr="005675B2">
        <w:rPr>
          <w:rFonts w:hint="cs"/>
          <w:rtl/>
        </w:rPr>
        <w:t>! ومثله نفي التبعيض والتركيب والتجزئة</w:t>
      </w:r>
      <w:r w:rsidR="000636C2">
        <w:rPr>
          <w:rFonts w:hint="cs"/>
          <w:rtl/>
        </w:rPr>
        <w:t>؟!</w:t>
      </w:r>
      <w:r w:rsidRPr="005675B2">
        <w:rPr>
          <w:rFonts w:hint="cs"/>
          <w:rtl/>
        </w:rPr>
        <w:t xml:space="preserve"> فهل تعتقد</w:t>
      </w:r>
      <w:r w:rsidR="000636C2">
        <w:rPr>
          <w:rFonts w:hint="cs"/>
          <w:rtl/>
        </w:rPr>
        <w:t xml:space="preserve"> </w:t>
      </w:r>
      <w:r w:rsidRPr="005675B2">
        <w:rPr>
          <w:rFonts w:hint="cs"/>
          <w:rtl/>
        </w:rPr>
        <w:t>- أيها الباحث المسكين</w:t>
      </w:r>
      <w:r w:rsidR="000636C2">
        <w:rPr>
          <w:rFonts w:hint="cs"/>
          <w:rtl/>
        </w:rPr>
        <w:t xml:space="preserve"> </w:t>
      </w:r>
      <w:r w:rsidRPr="005675B2">
        <w:rPr>
          <w:rFonts w:hint="cs"/>
          <w:rtl/>
        </w:rPr>
        <w:t>- أن الله تعالى مركب من أجزاء وأبعاض</w:t>
      </w:r>
      <w:r w:rsidR="000636C2">
        <w:rPr>
          <w:rFonts w:hint="cs"/>
          <w:rtl/>
        </w:rPr>
        <w:t>؟!</w:t>
      </w:r>
      <w:r w:rsidRPr="005675B2">
        <w:rPr>
          <w:rFonts w:hint="cs"/>
          <w:rtl/>
        </w:rPr>
        <w:t>! فارجع</w:t>
      </w:r>
      <w:r w:rsidR="000636C2">
        <w:rPr>
          <w:rFonts w:hint="cs"/>
          <w:rtl/>
        </w:rPr>
        <w:t xml:space="preserve"> </w:t>
      </w:r>
      <w:r w:rsidRPr="005675B2">
        <w:rPr>
          <w:rFonts w:hint="cs"/>
          <w:rtl/>
        </w:rPr>
        <w:t>- هداك الله</w:t>
      </w:r>
      <w:r w:rsidR="000636C2">
        <w:rPr>
          <w:rFonts w:hint="cs"/>
          <w:rtl/>
        </w:rPr>
        <w:t xml:space="preserve"> </w:t>
      </w:r>
      <w:r w:rsidRPr="005675B2">
        <w:rPr>
          <w:rFonts w:hint="cs"/>
          <w:rtl/>
        </w:rPr>
        <w:t>- إلى عبارتك فقوّمها</w:t>
      </w:r>
      <w:r w:rsidR="000636C2">
        <w:rPr>
          <w:rFonts w:hint="cs"/>
          <w:rtl/>
        </w:rPr>
        <w:t xml:space="preserve">، </w:t>
      </w:r>
      <w:r w:rsidRPr="005675B2">
        <w:rPr>
          <w:rFonts w:hint="cs"/>
          <w:rtl/>
        </w:rPr>
        <w:t>أما إذا كانت مخالفتك لهم لأنك تظن أنهم أنكروا بعض الصفات فهذا موضوع آخر</w:t>
      </w:r>
      <w:r w:rsidR="000636C2">
        <w:rPr>
          <w:rFonts w:hint="cs"/>
          <w:rtl/>
        </w:rPr>
        <w:t xml:space="preserve">، </w:t>
      </w:r>
      <w:r w:rsidRPr="005675B2">
        <w:rPr>
          <w:rFonts w:hint="cs"/>
          <w:rtl/>
        </w:rPr>
        <w:t>2</w:t>
      </w:r>
      <w:r w:rsidR="000636C2">
        <w:rPr>
          <w:rFonts w:hint="cs"/>
          <w:rtl/>
        </w:rPr>
        <w:t xml:space="preserve"> </w:t>
      </w:r>
      <w:r w:rsidRPr="005675B2">
        <w:rPr>
          <w:rFonts w:hint="cs"/>
          <w:rtl/>
        </w:rPr>
        <w:t>- الأشاعرة ينكرون الوجه واليد والعين الحسيات المشاركات لوصف المخلوق في الجسمية</w:t>
      </w:r>
      <w:r w:rsidR="000636C2">
        <w:rPr>
          <w:rFonts w:hint="cs"/>
          <w:rtl/>
        </w:rPr>
        <w:t>،</w:t>
      </w:r>
      <w:r w:rsidRPr="005675B2">
        <w:rPr>
          <w:rFonts w:hint="cs"/>
          <w:rtl/>
        </w:rPr>
        <w:t xml:space="preserve"> وينكرون على من يتوهم أن الله تعالى مركب منها ومن سواها</w:t>
      </w:r>
      <w:r w:rsidR="000636C2">
        <w:rPr>
          <w:rFonts w:hint="cs"/>
          <w:rtl/>
        </w:rPr>
        <w:t>،</w:t>
      </w:r>
      <w:r w:rsidRPr="005675B2">
        <w:rPr>
          <w:rFonts w:hint="cs"/>
          <w:rtl/>
        </w:rPr>
        <w:t xml:space="preserve"> فالمركَّب لا بد له من مركِّب ركبه</w:t>
      </w:r>
      <w:r w:rsidR="000636C2">
        <w:rPr>
          <w:rFonts w:hint="cs"/>
          <w:rtl/>
        </w:rPr>
        <w:t>،</w:t>
      </w:r>
      <w:r w:rsidRPr="005675B2">
        <w:rPr>
          <w:rFonts w:hint="cs"/>
          <w:rtl/>
        </w:rPr>
        <w:t>كما أن المصوَّر لا بد له من مصوِّر صوره</w:t>
      </w:r>
      <w:r w:rsidR="000636C2">
        <w:rPr>
          <w:rFonts w:hint="cs"/>
          <w:rtl/>
        </w:rPr>
        <w:t>،</w:t>
      </w:r>
      <w:r w:rsidRPr="005675B2">
        <w:rPr>
          <w:rFonts w:hint="cs"/>
          <w:rtl/>
        </w:rPr>
        <w:t xml:space="preserve"> والله تعالى منـزه عن أن يكون مركَّباً مصوَّراً</w:t>
      </w:r>
      <w:r w:rsidR="000636C2">
        <w:rPr>
          <w:rFonts w:hint="cs"/>
          <w:rtl/>
        </w:rPr>
        <w:t>،</w:t>
      </w:r>
      <w:r w:rsidRPr="005675B2">
        <w:rPr>
          <w:rFonts w:hint="cs"/>
          <w:rtl/>
        </w:rPr>
        <w:t xml:space="preserve"> لأن هذه صفة المخلوقات</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فِي أَيِّ صُورَةٍ مَا شَاءَ رَكَّبَكَ</w:t>
      </w:r>
      <w:r w:rsidR="000636C2">
        <w:rPr>
          <w:rFonts w:hint="cs"/>
          <w:rtl/>
        </w:rPr>
        <w:t>]</w:t>
      </w:r>
      <w:r w:rsidRPr="005675B2">
        <w:rPr>
          <w:rFonts w:hint="cs"/>
          <w:rtl/>
        </w:rPr>
        <w:t xml:space="preserve"> [</w:t>
      </w:r>
      <w:r w:rsidRPr="005675B2">
        <w:rPr>
          <w:rFonts w:hint="cs"/>
          <w:sz w:val="24"/>
          <w:szCs w:val="24"/>
          <w:rtl/>
        </w:rPr>
        <w:t>سورة الانفطار آية 8</w:t>
      </w:r>
      <w:r w:rsidR="000636C2">
        <w:rPr>
          <w:rFonts w:hint="cs"/>
          <w:sz w:val="24"/>
          <w:szCs w:val="24"/>
          <w:rtl/>
        </w:rPr>
        <w:t>]</w:t>
      </w:r>
      <w:r w:rsidR="000636C2">
        <w:rPr>
          <w:rFonts w:hint="cs"/>
          <w:rtl/>
        </w:rPr>
        <w:t>،</w:t>
      </w:r>
      <w:r w:rsidRPr="005675B2">
        <w:rPr>
          <w:rFonts w:hint="cs"/>
          <w:rtl/>
        </w:rPr>
        <w:t xml:space="preserve"> وقال سبحانه وتعالى</w:t>
      </w:r>
      <w:r w:rsidR="000636C2">
        <w:rPr>
          <w:rFonts w:hint="cs"/>
          <w:rtl/>
        </w:rPr>
        <w:t>:</w:t>
      </w:r>
      <w:r w:rsidRPr="005675B2">
        <w:rPr>
          <w:rFonts w:hint="cs"/>
          <w:rtl/>
        </w:rPr>
        <w:t xml:space="preserve"> </w:t>
      </w:r>
      <w:r w:rsidR="000636C2">
        <w:rPr>
          <w:rFonts w:hint="cs"/>
          <w:rtl/>
        </w:rPr>
        <w:t>[</w:t>
      </w:r>
      <w:r w:rsidRPr="005675B2">
        <w:rPr>
          <w:rFonts w:hint="cs"/>
          <w:rtl/>
        </w:rPr>
        <w:t>هُوَ اللَّهُ الْخَالِقُ الْبَارِئُ الْمُصَوِّرُ</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الحشر آية 24</w:t>
      </w:r>
      <w:r w:rsidR="000636C2">
        <w:rPr>
          <w:rFonts w:hint="cs"/>
          <w:sz w:val="24"/>
          <w:szCs w:val="24"/>
          <w:rtl/>
        </w:rPr>
        <w:t>]</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w:t>
      </w:r>
      <w:r w:rsidR="000636C2">
        <w:rPr>
          <w:rFonts w:hint="cs"/>
          <w:rtl/>
        </w:rPr>
        <w:t>[</w:t>
      </w:r>
      <w:r w:rsidRPr="005675B2">
        <w:rPr>
          <w:rFonts w:hint="cs"/>
          <w:rtl/>
        </w:rPr>
        <w:t>وَصَوَّرَكُمْ فَأَحْسَنَ صُوَرَكُمْ</w:t>
      </w:r>
      <w:r w:rsidR="000636C2">
        <w:rPr>
          <w:rFonts w:hint="cs"/>
          <w:rtl/>
        </w:rPr>
        <w:t>]</w:t>
      </w:r>
      <w:r w:rsidRPr="005675B2">
        <w:rPr>
          <w:rFonts w:hint="cs"/>
          <w:rtl/>
        </w:rPr>
        <w:t xml:space="preserve"> [</w:t>
      </w:r>
      <w:r w:rsidRPr="005675B2">
        <w:rPr>
          <w:rFonts w:hint="cs"/>
          <w:sz w:val="24"/>
          <w:szCs w:val="24"/>
          <w:rtl/>
        </w:rPr>
        <w:t>بعض آية من سورة غافر آية 64</w:t>
      </w:r>
      <w:r w:rsidR="000636C2">
        <w:rPr>
          <w:rFonts w:hint="cs"/>
          <w:sz w:val="24"/>
          <w:szCs w:val="24"/>
          <w:rtl/>
        </w:rPr>
        <w:t>،</w:t>
      </w:r>
      <w:r w:rsidRPr="005675B2">
        <w:rPr>
          <w:rFonts w:hint="cs"/>
          <w:sz w:val="24"/>
          <w:szCs w:val="24"/>
          <w:rtl/>
        </w:rPr>
        <w:t xml:space="preserve"> وسورة التغابن آية 3</w:t>
      </w:r>
      <w:r w:rsidR="000636C2">
        <w:rPr>
          <w:rFonts w:hint="cs"/>
          <w:sz w:val="24"/>
          <w:szCs w:val="24"/>
          <w:rtl/>
        </w:rPr>
        <w:t>]</w:t>
      </w:r>
      <w:r w:rsidR="000636C2">
        <w:rPr>
          <w:rFonts w:hint="cs"/>
          <w:rtl/>
        </w:rPr>
        <w:t xml:space="preserve">، </w:t>
      </w:r>
      <w:r w:rsidRPr="005675B2">
        <w:rPr>
          <w:rFonts w:hint="cs"/>
          <w:rtl/>
        </w:rPr>
        <w:t>فهل تعتقد - هداك الله</w:t>
      </w:r>
      <w:r w:rsidR="000636C2">
        <w:rPr>
          <w:rFonts w:hint="cs"/>
          <w:rtl/>
        </w:rPr>
        <w:t xml:space="preserve"> </w:t>
      </w:r>
      <w:r w:rsidRPr="005675B2">
        <w:rPr>
          <w:rFonts w:hint="cs"/>
          <w:rtl/>
        </w:rPr>
        <w:t>- أن الله تعالى له وجه ويد وعين حسّيّات وأنها أجزاء من الله تعالى</w:t>
      </w:r>
      <w:r w:rsidR="000636C2">
        <w:rPr>
          <w:rFonts w:hint="cs"/>
          <w:rtl/>
        </w:rPr>
        <w:t>؟،</w:t>
      </w:r>
      <w:r w:rsidRPr="005675B2">
        <w:rPr>
          <w:rFonts w:hint="cs"/>
          <w:rtl/>
        </w:rPr>
        <w:t xml:space="preserve"> أو إنك لا تقول إنها محسوسة ولكن الله تعالى مركب منها ومن سواها</w:t>
      </w:r>
      <w:r w:rsidR="000636C2">
        <w:rPr>
          <w:rFonts w:hint="cs"/>
          <w:rtl/>
        </w:rPr>
        <w:t>؟!</w:t>
      </w:r>
      <w:r w:rsidRPr="005675B2">
        <w:rPr>
          <w:rFonts w:hint="cs"/>
          <w:rtl/>
        </w:rPr>
        <w:t xml:space="preserve"> تعالى الله عن ذلك علواً كبيراً</w:t>
      </w:r>
      <w:r w:rsidR="000636C2">
        <w:rPr>
          <w:rFonts w:hint="cs"/>
          <w:rtl/>
        </w:rPr>
        <w:t xml:space="preserve">، </w:t>
      </w:r>
      <w:r w:rsidRPr="005675B2">
        <w:rPr>
          <w:rFonts w:hint="cs"/>
          <w:rtl/>
        </w:rPr>
        <w:t>إذا كنت تعتقد ذلك فارجع إلى كتاب الله جل ثناؤه ففيه الهدى</w:t>
      </w:r>
      <w:r w:rsidR="000636C2">
        <w:rPr>
          <w:rFonts w:hint="cs"/>
          <w:rtl/>
        </w:rPr>
        <w:t>،</w:t>
      </w:r>
      <w:r w:rsidRPr="005675B2">
        <w:rPr>
          <w:rFonts w:hint="cs"/>
          <w:rtl/>
        </w:rPr>
        <w:t xml:space="preserve"> فقد قال الله تعالى</w:t>
      </w:r>
      <w:r w:rsidR="000636C2">
        <w:rPr>
          <w:rFonts w:hint="cs"/>
          <w:rtl/>
        </w:rPr>
        <w:t>: [</w:t>
      </w:r>
      <w:r w:rsidRPr="005675B2">
        <w:rPr>
          <w:rFonts w:hint="cs"/>
          <w:rtl/>
        </w:rPr>
        <w:t>كُلُّ شَيْءٍ هَالِكٌ إِلَّا وَجْهَهُ</w:t>
      </w:r>
      <w:r w:rsidR="000636C2">
        <w:rPr>
          <w:rFonts w:hint="cs"/>
          <w:rtl/>
        </w:rPr>
        <w:t>]</w:t>
      </w:r>
      <w:r w:rsidRPr="005675B2">
        <w:rPr>
          <w:rFonts w:hint="cs"/>
          <w:rtl/>
        </w:rPr>
        <w:t xml:space="preserve"> [</w:t>
      </w:r>
      <w:r w:rsidRPr="005675B2">
        <w:rPr>
          <w:rFonts w:hint="cs"/>
          <w:sz w:val="24"/>
          <w:szCs w:val="24"/>
          <w:rtl/>
        </w:rPr>
        <w:t>سورة القصص آية</w:t>
      </w:r>
      <w:r w:rsidR="000636C2">
        <w:rPr>
          <w:rFonts w:hint="cs"/>
          <w:sz w:val="24"/>
          <w:szCs w:val="24"/>
          <w:rtl/>
        </w:rPr>
        <w:t xml:space="preserve"> </w:t>
      </w:r>
      <w:r w:rsidRPr="005675B2">
        <w:rPr>
          <w:rFonts w:hint="cs"/>
          <w:sz w:val="24"/>
          <w:szCs w:val="24"/>
          <w:rtl/>
        </w:rPr>
        <w:t>88</w:t>
      </w:r>
      <w:r w:rsidR="000636C2">
        <w:rPr>
          <w:rFonts w:hint="cs"/>
          <w:sz w:val="24"/>
          <w:szCs w:val="24"/>
          <w:rtl/>
        </w:rPr>
        <w:t>]</w:t>
      </w:r>
      <w:r w:rsidRPr="005675B2">
        <w:rPr>
          <w:rFonts w:hint="cs"/>
          <w:rtl/>
        </w:rPr>
        <w:t>، وقال تعالى</w:t>
      </w:r>
      <w:r w:rsidR="000636C2">
        <w:rPr>
          <w:rFonts w:hint="cs"/>
          <w:rtl/>
        </w:rPr>
        <w:t>:</w:t>
      </w:r>
      <w:r w:rsidRPr="005675B2">
        <w:rPr>
          <w:rFonts w:hint="cs"/>
          <w:rtl/>
        </w:rPr>
        <w:t xml:space="preserve"> </w:t>
      </w:r>
      <w:r w:rsidR="000636C2">
        <w:rPr>
          <w:rFonts w:hint="cs"/>
          <w:rtl/>
        </w:rPr>
        <w:t>[</w:t>
      </w:r>
      <w:r w:rsidRPr="005675B2">
        <w:rPr>
          <w:rFonts w:hint="cs"/>
          <w:rtl/>
        </w:rPr>
        <w:t>وَيَبْقَى وَجْهُ رَبِّكَ ذُو الْجَلالِ وَالْأِكْرَامِ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الرحمن آية 27</w:t>
      </w:r>
      <w:r w:rsidR="000636C2">
        <w:rPr>
          <w:rFonts w:hint="cs"/>
          <w:sz w:val="24"/>
          <w:szCs w:val="24"/>
          <w:rtl/>
        </w:rPr>
        <w:t>]</w:t>
      </w:r>
      <w:r w:rsidRPr="005675B2">
        <w:rPr>
          <w:rFonts w:hint="cs"/>
          <w:rtl/>
        </w:rPr>
        <w:t xml:space="preserve"> , فالمخلوقات كلها إلى هلاك وفناء</w:t>
      </w:r>
      <w:r w:rsidR="000636C2">
        <w:rPr>
          <w:rFonts w:hint="cs"/>
          <w:rtl/>
        </w:rPr>
        <w:t>،</w:t>
      </w:r>
      <w:r w:rsidRPr="005675B2">
        <w:rPr>
          <w:rFonts w:hint="cs"/>
          <w:rtl/>
        </w:rPr>
        <w:t xml:space="preserve"> والخالق جل جلاله هو الباقي</w:t>
      </w:r>
      <w:r w:rsidR="000636C2">
        <w:rPr>
          <w:rFonts w:hint="cs"/>
          <w:rtl/>
        </w:rPr>
        <w:t>،</w:t>
      </w:r>
      <w:r w:rsidRPr="005675B2">
        <w:rPr>
          <w:rFonts w:hint="cs"/>
          <w:rtl/>
        </w:rPr>
        <w:t xml:space="preserve"> وهو الذي يفنيها إذا شاء</w:t>
      </w:r>
      <w:r w:rsidR="000636C2">
        <w:rPr>
          <w:rFonts w:hint="cs"/>
          <w:rtl/>
        </w:rPr>
        <w:t>،</w:t>
      </w:r>
      <w:r w:rsidRPr="005675B2">
        <w:rPr>
          <w:rFonts w:hint="cs"/>
          <w:rtl/>
        </w:rPr>
        <w:t xml:space="preserve"> ويعيدها في الوقت الذي يشاء</w:t>
      </w:r>
      <w:r w:rsidR="000636C2">
        <w:rPr>
          <w:rFonts w:hint="cs"/>
          <w:rtl/>
        </w:rPr>
        <w:t>،</w:t>
      </w:r>
      <w:r w:rsidRPr="005675B2">
        <w:rPr>
          <w:rFonts w:hint="cs"/>
          <w:rtl/>
        </w:rPr>
        <w:t xml:space="preserve"> هذا حسب فهم الأشاعرة من كتاب الله وسنة رسوله</w:t>
      </w:r>
      <w:r w:rsidR="000636C2">
        <w:rPr>
          <w:rFonts w:hint="cs"/>
          <w:rtl/>
        </w:rPr>
        <w:t>،</w:t>
      </w:r>
      <w:r w:rsidRPr="005675B2">
        <w:rPr>
          <w:rFonts w:hint="cs"/>
          <w:rtl/>
        </w:rPr>
        <w:t xml:space="preserve"> أما على فهمك فيلزمك أن الله سبحانه وتعالى يهلك ويُفني اليد والعين وسائر الأجزاء إلا الوجه</w:t>
      </w:r>
      <w:r w:rsidR="000636C2">
        <w:rPr>
          <w:rFonts w:hint="cs"/>
          <w:rtl/>
        </w:rPr>
        <w:t>!</w:t>
      </w:r>
      <w:r w:rsidRPr="005675B2">
        <w:rPr>
          <w:rFonts w:hint="cs"/>
          <w:rtl/>
        </w:rPr>
        <w:t xml:space="preserve"> تعالى ربنا وتنزه وتقدس عن أفهام من ينسب له الأجزاء والأبعاض ومن يتوهم على صفات ذاته الهلاك والفناء</w:t>
      </w:r>
      <w:r w:rsidR="000636C2">
        <w:rPr>
          <w:rFonts w:hint="cs"/>
          <w:rtl/>
        </w:rPr>
        <w:t xml:space="preserve">، </w:t>
      </w:r>
      <w:r w:rsidRPr="005675B2">
        <w:rPr>
          <w:rFonts w:hint="cs"/>
          <w:rtl/>
        </w:rPr>
        <w:t>ولا تنـزعج - أيها الباحث المسكين</w:t>
      </w:r>
      <w:r w:rsidR="000636C2">
        <w:rPr>
          <w:rFonts w:hint="cs"/>
          <w:rtl/>
        </w:rPr>
        <w:t xml:space="preserve"> </w:t>
      </w:r>
      <w:r w:rsidRPr="005675B2">
        <w:rPr>
          <w:rFonts w:hint="cs"/>
          <w:rtl/>
        </w:rPr>
        <w:t>- من نفي الأشاعرة الجزئيةَ عن الله عز وجل وردِّهم على أصناف الكفرة الذين يثبتونها</w:t>
      </w:r>
      <w:r w:rsidR="000636C2">
        <w:rPr>
          <w:rFonts w:hint="cs"/>
          <w:rtl/>
        </w:rPr>
        <w:t>،</w:t>
      </w:r>
      <w:r w:rsidRPr="005675B2">
        <w:rPr>
          <w:rFonts w:hint="cs"/>
          <w:rtl/>
        </w:rPr>
        <w:t xml:space="preserve"> وارجع إلى كتاب الله عز وجل لتعلم أن الله تعالى قد رد على من أثبتوها له بقوله </w:t>
      </w:r>
      <w:r w:rsidR="000636C2">
        <w:rPr>
          <w:rFonts w:hint="cs"/>
          <w:rtl/>
        </w:rPr>
        <w:t>[</w:t>
      </w:r>
      <w:r w:rsidRPr="005675B2">
        <w:rPr>
          <w:rFonts w:hint="cs"/>
          <w:rtl/>
        </w:rPr>
        <w:t>وَجَعَلُوا لَهُ مِنْ عِبَادِهِ جُزْءاً إِنَّ الْأِنْسَانَ لَكَفُورٌ مُبِينٌ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الزخرف آية 15</w:t>
      </w:r>
      <w:r w:rsidR="000636C2">
        <w:rPr>
          <w:rFonts w:hint="cs"/>
          <w:sz w:val="24"/>
          <w:szCs w:val="24"/>
          <w:rtl/>
        </w:rPr>
        <w:t>]</w:t>
      </w:r>
      <w:r w:rsidR="000636C2">
        <w:rPr>
          <w:rFonts w:hint="cs"/>
          <w:rtl/>
        </w:rPr>
        <w:t xml:space="preserve">، </w:t>
      </w:r>
      <w:r w:rsidRPr="005675B2">
        <w:rPr>
          <w:rFonts w:hint="cs"/>
          <w:rtl/>
        </w:rPr>
        <w:t>هذا وقد نفى ابن تيمية رحمه الله عن الله تعالى ما نفاه عنه الأشاعرة هنا</w:t>
      </w:r>
      <w:r w:rsidR="000636C2">
        <w:rPr>
          <w:rFonts w:hint="cs"/>
          <w:rtl/>
        </w:rPr>
        <w:t>،</w:t>
      </w:r>
      <w:r w:rsidRPr="005675B2">
        <w:rPr>
          <w:rFonts w:hint="cs"/>
          <w:rtl/>
        </w:rPr>
        <w:t xml:space="preserve"> إذ قال</w:t>
      </w:r>
      <w:r w:rsidR="000636C2">
        <w:rPr>
          <w:rFonts w:hint="cs"/>
          <w:rtl/>
        </w:rPr>
        <w:t>:</w:t>
      </w:r>
      <w:r w:rsidRPr="005675B2">
        <w:rPr>
          <w:rFonts w:hint="cs"/>
          <w:rtl/>
        </w:rPr>
        <w:t xml:space="preserve"> </w:t>
      </w:r>
      <w:r w:rsidR="000636C2">
        <w:rPr>
          <w:rFonts w:hint="cs"/>
          <w:rtl/>
        </w:rPr>
        <w:t>[</w:t>
      </w:r>
      <w:r w:rsidRPr="005675B2">
        <w:rPr>
          <w:rFonts w:hint="cs"/>
          <w:rtl/>
        </w:rPr>
        <w:t>فإن الله سبحانه أحد صمد</w:t>
      </w:r>
      <w:r w:rsidR="000636C2">
        <w:rPr>
          <w:rFonts w:hint="cs"/>
          <w:rtl/>
        </w:rPr>
        <w:t>،</w:t>
      </w:r>
      <w:r w:rsidRPr="005675B2">
        <w:rPr>
          <w:rFonts w:hint="cs"/>
          <w:rtl/>
        </w:rPr>
        <w:t xml:space="preserve"> لم يلد ولم يولد</w:t>
      </w:r>
      <w:r w:rsidR="000636C2">
        <w:rPr>
          <w:rFonts w:hint="cs"/>
          <w:rtl/>
        </w:rPr>
        <w:t>،</w:t>
      </w:r>
      <w:r w:rsidRPr="005675B2">
        <w:rPr>
          <w:rFonts w:hint="cs"/>
          <w:rtl/>
        </w:rPr>
        <w:t xml:space="preserve"> ولم يكن له كفواً أحد</w:t>
      </w:r>
      <w:r w:rsidR="000636C2">
        <w:rPr>
          <w:rFonts w:hint="cs"/>
          <w:rtl/>
        </w:rPr>
        <w:t>،</w:t>
      </w:r>
      <w:r w:rsidRPr="005675B2">
        <w:rPr>
          <w:rFonts w:hint="cs"/>
          <w:rtl/>
        </w:rPr>
        <w:t xml:space="preserve"> فيمتنع عليه أن يتفرق</w:t>
      </w:r>
      <w:r w:rsidR="000636C2">
        <w:rPr>
          <w:rFonts w:hint="cs"/>
          <w:rtl/>
        </w:rPr>
        <w:t xml:space="preserve"> </w:t>
      </w:r>
      <w:r w:rsidRPr="005675B2">
        <w:rPr>
          <w:rFonts w:hint="cs"/>
          <w:rtl/>
        </w:rPr>
        <w:t>أو يتجزأ</w:t>
      </w:r>
      <w:r w:rsidR="000636C2">
        <w:rPr>
          <w:rFonts w:hint="cs"/>
          <w:rtl/>
        </w:rPr>
        <w:t xml:space="preserve"> </w:t>
      </w:r>
      <w:r w:rsidRPr="005675B2">
        <w:rPr>
          <w:rFonts w:hint="cs"/>
          <w:rtl/>
        </w:rPr>
        <w:t>أو يكون قد ركب من أجزاء</w:t>
      </w:r>
      <w:r w:rsidR="000636C2">
        <w:rPr>
          <w:rFonts w:hint="cs"/>
          <w:rtl/>
        </w:rPr>
        <w:t>]</w:t>
      </w:r>
      <w:r w:rsidRPr="005675B2">
        <w:rPr>
          <w:rFonts w:hint="cs"/>
          <w:rtl/>
        </w:rPr>
        <w:t xml:space="preserve"> </w:t>
      </w:r>
      <w:r w:rsidR="000636C2">
        <w:rPr>
          <w:rFonts w:hint="cs"/>
          <w:rtl/>
        </w:rPr>
        <w:t>[</w:t>
      </w:r>
      <w:r w:rsidRPr="005675B2">
        <w:rPr>
          <w:rFonts w:hint="cs"/>
          <w:sz w:val="24"/>
          <w:szCs w:val="24"/>
          <w:rtl/>
        </w:rPr>
        <w:t>الرسالة التدمرية لابن تيمية: ص 119</w:t>
      </w:r>
      <w:r w:rsidR="000636C2">
        <w:rPr>
          <w:rFonts w:hint="cs"/>
          <w:sz w:val="24"/>
          <w:szCs w:val="24"/>
          <w:rtl/>
        </w:rPr>
        <w:t>]</w:t>
      </w:r>
      <w:r w:rsidR="000636C2">
        <w:rPr>
          <w:rFonts w:hint="cs"/>
          <w:rtl/>
        </w:rPr>
        <w:t xml:space="preserve">، </w:t>
      </w:r>
      <w:r w:rsidRPr="005675B2">
        <w:rPr>
          <w:rFonts w:hint="cs"/>
          <w:rtl/>
        </w:rPr>
        <w:t>وقال شيخ الحنابلة القاضي أبو يعلى</w:t>
      </w:r>
      <w:r w:rsidR="000636C2">
        <w:rPr>
          <w:rFonts w:hint="cs"/>
          <w:rtl/>
        </w:rPr>
        <w:t>: [</w:t>
      </w:r>
      <w:r w:rsidRPr="005675B2">
        <w:rPr>
          <w:rFonts w:hint="cs"/>
          <w:rtl/>
        </w:rPr>
        <w:t>فأما وصفه بأنه واحد فإنه يرجع إلى نفي الشريك وأنه لاثاني له</w:t>
      </w:r>
      <w:r w:rsidR="000636C2">
        <w:rPr>
          <w:rFonts w:hint="cs"/>
          <w:rtl/>
        </w:rPr>
        <w:t>،</w:t>
      </w:r>
      <w:r w:rsidRPr="005675B2">
        <w:rPr>
          <w:rFonts w:hint="cs"/>
          <w:rtl/>
        </w:rPr>
        <w:t xml:space="preserve"> وإلى نفي التجزؤ والانقسام عن ذاته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المعتمد في أصول الدين: ص 62</w:t>
      </w:r>
      <w:r w:rsidR="000636C2">
        <w:rPr>
          <w:rFonts w:hint="cs"/>
          <w:sz w:val="24"/>
          <w:szCs w:val="24"/>
          <w:rtl/>
        </w:rPr>
        <w:t>]</w:t>
      </w:r>
      <w:r w:rsidR="000636C2">
        <w:rPr>
          <w:rFonts w:hint="cs"/>
          <w:rtl/>
        </w:rPr>
        <w:t xml:space="preserve">، </w:t>
      </w:r>
      <w:r w:rsidRPr="005675B2">
        <w:rPr>
          <w:rFonts w:hint="cs"/>
          <w:rtl/>
        </w:rPr>
        <w:t>3 - يعرِّض الباحث بالأشاعرة الذين يصفهم بأنهم أنكروا بعض الصفات</w:t>
      </w:r>
      <w:r w:rsidR="000636C2">
        <w:rPr>
          <w:rFonts w:hint="cs"/>
          <w:rtl/>
        </w:rPr>
        <w:t>،</w:t>
      </w:r>
      <w:r w:rsidRPr="005675B2">
        <w:rPr>
          <w:rFonts w:hint="cs"/>
          <w:rtl/>
        </w:rPr>
        <w:t xml:space="preserve"> ومنها اليد والعين</w:t>
      </w:r>
      <w:r w:rsidR="000636C2">
        <w:rPr>
          <w:rFonts w:hint="cs"/>
          <w:rtl/>
        </w:rPr>
        <w:t>،</w:t>
      </w:r>
      <w:r w:rsidRPr="005675B2">
        <w:rPr>
          <w:rFonts w:hint="cs"/>
          <w:rtl/>
        </w:rPr>
        <w:t xml:space="preserve"> مما يعني أنه يثبتها</w:t>
      </w:r>
      <w:r w:rsidR="000636C2">
        <w:rPr>
          <w:rFonts w:hint="cs"/>
          <w:rtl/>
        </w:rPr>
        <w:t xml:space="preserve">، </w:t>
      </w:r>
      <w:r w:rsidRPr="005675B2">
        <w:rPr>
          <w:rFonts w:hint="cs"/>
          <w:rtl/>
        </w:rPr>
        <w:t xml:space="preserve">والله تبارك وتعالى يقول في كتابه الكريم </w:t>
      </w:r>
      <w:r w:rsidR="000636C2">
        <w:rPr>
          <w:rFonts w:hint="cs"/>
          <w:rtl/>
        </w:rPr>
        <w:t>[</w:t>
      </w:r>
      <w:r w:rsidRPr="005675B2">
        <w:rPr>
          <w:rFonts w:hint="cs"/>
          <w:rtl/>
        </w:rPr>
        <w:t>أَوَلَمْ يَرَوْا أَنَّا خَلَقْنَا لَهُمْ مِمَّا عَمِلَتْ أَيْدِينَا أَنْعَاماً فَهُمْ لَهَا مَالِكُونَ</w:t>
      </w:r>
      <w:r w:rsidR="000636C2">
        <w:rPr>
          <w:rFonts w:hint="cs"/>
          <w:rtl/>
        </w:rPr>
        <w:t>]</w:t>
      </w:r>
      <w:r w:rsidRPr="005675B2">
        <w:rPr>
          <w:rFonts w:hint="cs"/>
          <w:rtl/>
        </w:rPr>
        <w:t xml:space="preserve"> [</w:t>
      </w:r>
      <w:r w:rsidRPr="005675B2">
        <w:rPr>
          <w:rFonts w:hint="cs"/>
          <w:sz w:val="24"/>
          <w:szCs w:val="24"/>
          <w:rtl/>
        </w:rPr>
        <w:t>سورة يس آية 71</w:t>
      </w:r>
      <w:r w:rsidR="000636C2">
        <w:rPr>
          <w:rFonts w:hint="cs"/>
          <w:sz w:val="24"/>
          <w:szCs w:val="24"/>
          <w:rtl/>
        </w:rPr>
        <w:t>]</w:t>
      </w:r>
      <w:r w:rsidRPr="005675B2">
        <w:rPr>
          <w:rFonts w:hint="cs"/>
          <w:rtl/>
        </w:rPr>
        <w:t xml:space="preserve">، ويقول تعالى </w:t>
      </w:r>
      <w:r w:rsidR="000636C2">
        <w:rPr>
          <w:rFonts w:hint="cs"/>
          <w:rtl/>
        </w:rPr>
        <w:t>[</w:t>
      </w:r>
      <w:r w:rsidRPr="005675B2">
        <w:rPr>
          <w:rFonts w:hint="cs"/>
          <w:rtl/>
        </w:rPr>
        <w:t>وَاصْبِرْ لِحُكْمِ رَبِّكَ فَإِنَّكَ بِأَعْيُنِنَا</w:t>
      </w:r>
      <w:r w:rsidR="000636C2">
        <w:rPr>
          <w:rFonts w:hint="cs"/>
          <w:rtl/>
        </w:rPr>
        <w:t>]</w:t>
      </w:r>
      <w:r w:rsidRPr="005675B2">
        <w:rPr>
          <w:rFonts w:hint="cs"/>
          <w:rtl/>
        </w:rPr>
        <w:t xml:space="preserve"> [</w:t>
      </w:r>
      <w:r w:rsidRPr="005675B2">
        <w:rPr>
          <w:rFonts w:hint="cs"/>
          <w:sz w:val="24"/>
          <w:szCs w:val="24"/>
          <w:rtl/>
        </w:rPr>
        <w:t>سورة الطور آية 48</w:t>
      </w:r>
      <w:r w:rsidR="000636C2">
        <w:rPr>
          <w:rFonts w:hint="cs"/>
          <w:sz w:val="24"/>
          <w:szCs w:val="24"/>
          <w:rtl/>
        </w:rPr>
        <w:t>]</w:t>
      </w:r>
      <w:r w:rsidR="000636C2">
        <w:rPr>
          <w:rFonts w:hint="cs"/>
          <w:rtl/>
        </w:rPr>
        <w:t>،</w:t>
      </w:r>
      <w:r w:rsidRPr="005675B2">
        <w:rPr>
          <w:rFonts w:hint="cs"/>
          <w:rtl/>
        </w:rPr>
        <w:t xml:space="preserve"> فكيف يثبت الباحث لخالقه جل وعلا اليد ولا يثبت له الأيدي</w:t>
      </w:r>
      <w:r w:rsidR="000636C2">
        <w:rPr>
          <w:rFonts w:hint="cs"/>
          <w:rtl/>
        </w:rPr>
        <w:t>؟!</w:t>
      </w:r>
      <w:r w:rsidRPr="005675B2">
        <w:rPr>
          <w:rFonts w:hint="cs"/>
          <w:rtl/>
        </w:rPr>
        <w:t>! ويثبت له العين ولا يثبت له الأعين</w:t>
      </w:r>
      <w:r w:rsidR="000636C2">
        <w:rPr>
          <w:rFonts w:hint="cs"/>
          <w:rtl/>
        </w:rPr>
        <w:t xml:space="preserve">؟، </w:t>
      </w:r>
      <w:r w:rsidRPr="005675B2">
        <w:rPr>
          <w:rFonts w:hint="cs"/>
          <w:rtl/>
        </w:rPr>
        <w:t>4 - الأشاعرة لا ينكرون الوجه أو اليد أو العين</w:t>
      </w:r>
      <w:r w:rsidR="000636C2">
        <w:rPr>
          <w:rFonts w:hint="cs"/>
          <w:rtl/>
        </w:rPr>
        <w:t>،</w:t>
      </w:r>
      <w:r w:rsidRPr="005675B2">
        <w:rPr>
          <w:rFonts w:hint="cs"/>
          <w:rtl/>
        </w:rPr>
        <w:t xml:space="preserve"> إذ كيف ينكرون ما ثبت في كتاب الله تعالى وسنة رسوله عليه الصلاة والسلام</w:t>
      </w:r>
      <w:r w:rsidR="000636C2">
        <w:rPr>
          <w:rFonts w:hint="cs"/>
          <w:rtl/>
        </w:rPr>
        <w:t>؟!</w:t>
      </w:r>
      <w:r w:rsidRPr="005675B2">
        <w:rPr>
          <w:rFonts w:hint="cs"/>
          <w:rtl/>
        </w:rPr>
        <w:t>!</w:t>
      </w:r>
      <w:r w:rsidR="000636C2">
        <w:rPr>
          <w:rFonts w:hint="cs"/>
          <w:rtl/>
        </w:rPr>
        <w:t>،</w:t>
      </w:r>
      <w:r w:rsidRPr="005675B2">
        <w:rPr>
          <w:rFonts w:hint="cs"/>
          <w:rtl/>
        </w:rPr>
        <w:t xml:space="preserve"> وشتان بين التفسير وبين الإنكار</w:t>
      </w:r>
      <w:r w:rsidR="000636C2">
        <w:rPr>
          <w:rFonts w:hint="cs"/>
          <w:rtl/>
        </w:rPr>
        <w:t>،</w:t>
      </w:r>
      <w:r w:rsidRPr="005675B2">
        <w:rPr>
          <w:rFonts w:hint="cs"/>
          <w:rtl/>
        </w:rPr>
        <w:t xml:space="preserve"> ولهم في تفسيرها قولان</w:t>
      </w:r>
      <w:r w:rsidR="000636C2">
        <w:rPr>
          <w:rFonts w:hint="cs"/>
          <w:rtl/>
        </w:rPr>
        <w:t>:</w:t>
      </w:r>
      <w:r w:rsidRPr="005675B2">
        <w:rPr>
          <w:rFonts w:hint="cs"/>
          <w:rtl/>
        </w:rPr>
        <w:t xml:space="preserve"> قال الباقلاني</w:t>
      </w:r>
      <w:r w:rsidR="000636C2">
        <w:rPr>
          <w:rFonts w:hint="cs"/>
          <w:rtl/>
        </w:rPr>
        <w:t>:</w:t>
      </w:r>
      <w:r w:rsidRPr="005675B2">
        <w:rPr>
          <w:rFonts w:hint="cs"/>
          <w:rtl/>
        </w:rPr>
        <w:t xml:space="preserve"> </w:t>
      </w:r>
      <w:r w:rsidR="000636C2">
        <w:rPr>
          <w:rFonts w:hint="cs"/>
          <w:rtl/>
        </w:rPr>
        <w:t>[</w:t>
      </w:r>
      <w:r w:rsidRPr="005675B2">
        <w:rPr>
          <w:rFonts w:hint="cs"/>
          <w:rtl/>
        </w:rPr>
        <w:t>وأخبر أنه ذو الوجه الباقي .. واليدين اللتين نطق بإثباتهما له القرآن ..</w:t>
      </w:r>
      <w:r w:rsidR="000636C2">
        <w:rPr>
          <w:rFonts w:hint="cs"/>
          <w:rtl/>
        </w:rPr>
        <w:t>،</w:t>
      </w:r>
      <w:r w:rsidRPr="005675B2">
        <w:rPr>
          <w:rFonts w:hint="cs"/>
          <w:rtl/>
        </w:rPr>
        <w:t xml:space="preserve"> وأنهما ليستا بجارحتين ولا ذَوَيْ صورة وهيئة</w:t>
      </w:r>
      <w:r w:rsidR="000636C2">
        <w:rPr>
          <w:rFonts w:hint="cs"/>
          <w:rtl/>
        </w:rPr>
        <w:t>،</w:t>
      </w:r>
      <w:r w:rsidRPr="005675B2">
        <w:rPr>
          <w:rFonts w:hint="cs"/>
          <w:rtl/>
        </w:rPr>
        <w:t xml:space="preserve"> والعينين اللتين أفصح بإثباتهما من صفاته القرآن .. وأن عينه ليست بحاسة من الحواس</w:t>
      </w:r>
      <w:r w:rsidR="000636C2">
        <w:rPr>
          <w:rFonts w:hint="cs"/>
          <w:rtl/>
        </w:rPr>
        <w:t>،</w:t>
      </w:r>
      <w:r w:rsidRPr="005675B2">
        <w:rPr>
          <w:rFonts w:hint="cs"/>
          <w:rtl/>
        </w:rPr>
        <w:t xml:space="preserve"> ولا تشبه الجوارح والأجناس</w:t>
      </w:r>
      <w:r w:rsidR="000636C2">
        <w:rPr>
          <w:rFonts w:hint="cs"/>
          <w:rtl/>
        </w:rPr>
        <w:t>]</w:t>
      </w:r>
      <w:r w:rsidRPr="005675B2">
        <w:rPr>
          <w:rFonts w:hint="cs"/>
          <w:rtl/>
        </w:rPr>
        <w:t xml:space="preserve"> [</w:t>
      </w:r>
      <w:r w:rsidRPr="005675B2">
        <w:rPr>
          <w:rFonts w:hint="cs"/>
          <w:sz w:val="24"/>
          <w:szCs w:val="24"/>
          <w:rtl/>
        </w:rPr>
        <w:t>الإنصاف للباقلاني: ص 24</w:t>
      </w:r>
      <w:r w:rsidR="000636C2">
        <w:rPr>
          <w:rFonts w:hint="cs"/>
          <w:sz w:val="24"/>
          <w:szCs w:val="24"/>
          <w:rtl/>
        </w:rPr>
        <w:t>]</w:t>
      </w:r>
      <w:r w:rsidR="000636C2">
        <w:rPr>
          <w:rFonts w:hint="cs"/>
          <w:rtl/>
        </w:rPr>
        <w:t xml:space="preserve">، </w:t>
      </w:r>
      <w:r w:rsidRPr="005675B2">
        <w:rPr>
          <w:rFonts w:hint="cs"/>
          <w:rtl/>
        </w:rPr>
        <w:t>أما إمام الحرمين فقد نحا منحى آخر</w:t>
      </w:r>
      <w:r w:rsidR="000636C2">
        <w:rPr>
          <w:rFonts w:hint="cs"/>
          <w:rtl/>
        </w:rPr>
        <w:t>،</w:t>
      </w:r>
      <w:r w:rsidRPr="005675B2">
        <w:rPr>
          <w:rFonts w:hint="cs"/>
          <w:rtl/>
        </w:rPr>
        <w:t xml:space="preserve"> حيث يقول</w:t>
      </w:r>
      <w:r w:rsidR="000636C2">
        <w:rPr>
          <w:rFonts w:hint="cs"/>
          <w:rtl/>
        </w:rPr>
        <w:t>:</w:t>
      </w:r>
      <w:r w:rsidRPr="005675B2">
        <w:rPr>
          <w:rFonts w:hint="cs"/>
          <w:rtl/>
        </w:rPr>
        <w:t xml:space="preserve"> </w:t>
      </w:r>
      <w:r w:rsidR="000636C2">
        <w:rPr>
          <w:rFonts w:hint="cs"/>
          <w:rtl/>
        </w:rPr>
        <w:t>[</w:t>
      </w:r>
      <w:r w:rsidRPr="005675B2">
        <w:rPr>
          <w:rFonts w:hint="cs"/>
          <w:rtl/>
        </w:rPr>
        <w:t>ذهب بعض أئمتنا إلى أن اليدين والعين والوجه صفات ثابتة للرب تعالى والسبيلَ إلى إثباتها السمع دون قضية العقل</w:t>
      </w:r>
      <w:r w:rsidR="000636C2">
        <w:rPr>
          <w:rFonts w:hint="cs"/>
          <w:rtl/>
        </w:rPr>
        <w:t>،</w:t>
      </w:r>
      <w:r w:rsidRPr="005675B2">
        <w:rPr>
          <w:rFonts w:hint="cs"/>
          <w:rtl/>
        </w:rPr>
        <w:t xml:space="preserve"> والذي يصح عندنا</w:t>
      </w:r>
      <w:r w:rsidR="000636C2">
        <w:rPr>
          <w:rFonts w:hint="cs"/>
          <w:rtl/>
        </w:rPr>
        <w:t>:</w:t>
      </w:r>
      <w:r w:rsidRPr="005675B2">
        <w:rPr>
          <w:rFonts w:hint="cs"/>
          <w:rtl/>
        </w:rPr>
        <w:t xml:space="preserve"> حمل اليدين على القدرة</w:t>
      </w:r>
      <w:r w:rsidR="000636C2">
        <w:rPr>
          <w:rFonts w:hint="cs"/>
          <w:rtl/>
        </w:rPr>
        <w:t>،</w:t>
      </w:r>
      <w:r w:rsidRPr="005675B2">
        <w:rPr>
          <w:rFonts w:hint="cs"/>
          <w:rtl/>
        </w:rPr>
        <w:t xml:space="preserve"> وحمل العين على البصر</w:t>
      </w:r>
      <w:r w:rsidR="000636C2">
        <w:rPr>
          <w:rFonts w:hint="cs"/>
          <w:rtl/>
        </w:rPr>
        <w:t>،</w:t>
      </w:r>
      <w:r w:rsidRPr="005675B2">
        <w:rPr>
          <w:rFonts w:hint="cs"/>
          <w:rtl/>
        </w:rPr>
        <w:t xml:space="preserve"> وحمل الوجه على الوجود</w:t>
      </w:r>
      <w:r w:rsidR="000636C2">
        <w:rPr>
          <w:rFonts w:hint="cs"/>
          <w:rtl/>
        </w:rPr>
        <w:t>]،</w:t>
      </w:r>
      <w:r w:rsidRPr="005675B2">
        <w:rPr>
          <w:rFonts w:hint="cs"/>
          <w:rtl/>
        </w:rPr>
        <w:t xml:space="preserve"> ثم قال</w:t>
      </w:r>
      <w:r w:rsidR="000636C2">
        <w:rPr>
          <w:rFonts w:hint="cs"/>
          <w:rtl/>
        </w:rPr>
        <w:t>:</w:t>
      </w:r>
      <w:r w:rsidRPr="005675B2">
        <w:rPr>
          <w:rFonts w:hint="cs"/>
          <w:rtl/>
        </w:rPr>
        <w:t xml:space="preserve">وأما قوله تعالى </w:t>
      </w:r>
      <w:r w:rsidR="000636C2">
        <w:rPr>
          <w:rFonts w:hint="cs"/>
          <w:rtl/>
        </w:rPr>
        <w:t>[</w:t>
      </w:r>
      <w:r w:rsidRPr="005675B2">
        <w:rPr>
          <w:rFonts w:hint="cs"/>
          <w:rtl/>
        </w:rPr>
        <w:t>وَيَبْقَى وَجْهُ رَبِّكَ ذُو الْجَلالِ وَالْأِكْرَامِ</w:t>
      </w:r>
      <w:r w:rsidR="000636C2">
        <w:rPr>
          <w:rFonts w:hint="cs"/>
          <w:rtl/>
        </w:rPr>
        <w:t>]</w:t>
      </w:r>
      <w:r w:rsidRPr="005675B2">
        <w:rPr>
          <w:rFonts w:hint="cs"/>
          <w:rtl/>
        </w:rPr>
        <w:t xml:space="preserve"> [</w:t>
      </w:r>
      <w:r w:rsidRPr="005675B2">
        <w:rPr>
          <w:rFonts w:hint="cs"/>
          <w:sz w:val="24"/>
          <w:szCs w:val="24"/>
          <w:rtl/>
        </w:rPr>
        <w:t>سورة الرحمن آية 27</w:t>
      </w:r>
      <w:r w:rsidR="000636C2">
        <w:rPr>
          <w:rFonts w:hint="cs"/>
          <w:sz w:val="24"/>
          <w:szCs w:val="24"/>
          <w:rtl/>
        </w:rPr>
        <w:t>]</w:t>
      </w:r>
      <w:r w:rsidRPr="005675B2">
        <w:rPr>
          <w:rFonts w:hint="cs"/>
          <w:rtl/>
        </w:rPr>
        <w:t xml:space="preserve"> فلا وجه لحمل الوجه على صفة</w:t>
      </w:r>
      <w:r w:rsidR="000636C2">
        <w:rPr>
          <w:rFonts w:hint="cs"/>
          <w:rtl/>
        </w:rPr>
        <w:t>،</w:t>
      </w:r>
      <w:r w:rsidRPr="005675B2">
        <w:rPr>
          <w:rFonts w:hint="cs"/>
          <w:rtl/>
        </w:rPr>
        <w:t xml:space="preserve"> إذ لا تختص بالبقاء بعد فناء الخلق صفة لله تعالى</w:t>
      </w:r>
      <w:r w:rsidR="000636C2">
        <w:rPr>
          <w:rFonts w:hint="cs"/>
          <w:rtl/>
        </w:rPr>
        <w:t>،</w:t>
      </w:r>
      <w:r w:rsidRPr="005675B2">
        <w:rPr>
          <w:rFonts w:hint="cs"/>
          <w:rtl/>
        </w:rPr>
        <w:t xml:space="preserve"> بل هو الباقي بصفاته الواجبة [</w:t>
      </w:r>
      <w:r w:rsidRPr="005675B2">
        <w:rPr>
          <w:rFonts w:hint="cs"/>
          <w:sz w:val="24"/>
          <w:szCs w:val="24"/>
          <w:rtl/>
        </w:rPr>
        <w:t>الإرشاد لإمام الحرمين: ص 146</w:t>
      </w:r>
      <w:r w:rsidR="000636C2">
        <w:rPr>
          <w:rFonts w:hint="cs"/>
          <w:sz w:val="24"/>
          <w:szCs w:val="24"/>
          <w:rtl/>
        </w:rPr>
        <w:t>،</w:t>
      </w:r>
      <w:r w:rsidRPr="005675B2">
        <w:rPr>
          <w:rFonts w:hint="cs"/>
          <w:sz w:val="24"/>
          <w:szCs w:val="24"/>
          <w:rtl/>
        </w:rPr>
        <w:t xml:space="preserve"> 147</w:t>
      </w:r>
      <w:r w:rsidR="000636C2">
        <w:rPr>
          <w:rFonts w:hint="cs"/>
          <w:sz w:val="24"/>
          <w:szCs w:val="24"/>
          <w:rtl/>
        </w:rPr>
        <w:t>]</w:t>
      </w:r>
      <w:r w:rsidR="000636C2">
        <w:rPr>
          <w:rFonts w:hint="cs"/>
          <w:rtl/>
        </w:rPr>
        <w:t>،</w:t>
      </w:r>
    </w:p>
    <w:p w14:paraId="243ABD43" w14:textId="24DFC03C"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أما التوحيد الحقيقي وما يقابله من الشرك ومعرفتُه والتحذيرُ منه فلا ذكر له في كتب عقيدتهم إطلاقاً</w:t>
      </w:r>
      <w:r w:rsidR="000636C2">
        <w:rPr>
          <w:rFonts w:hint="cs"/>
          <w:rtl/>
        </w:rPr>
        <w:t>،</w:t>
      </w:r>
      <w:r w:rsidRPr="005675B2">
        <w:rPr>
          <w:rFonts w:hint="cs"/>
          <w:rtl/>
        </w:rPr>
        <w:t xml:space="preserve"> ولا أدري أين يضعونه</w:t>
      </w:r>
      <w:r w:rsidR="000636C2">
        <w:rPr>
          <w:rFonts w:hint="cs"/>
          <w:rtl/>
        </w:rPr>
        <w:t>؟</w:t>
      </w:r>
      <w:r w:rsidRPr="005675B2">
        <w:rPr>
          <w:rFonts w:hint="cs"/>
          <w:rtl/>
        </w:rPr>
        <w:t xml:space="preserve"> أفي كتب الفروع</w:t>
      </w:r>
      <w:r w:rsidR="000636C2">
        <w:rPr>
          <w:rFonts w:hint="cs"/>
          <w:rtl/>
        </w:rPr>
        <w:t>؟</w:t>
      </w:r>
      <w:r w:rsidRPr="005675B2">
        <w:rPr>
          <w:rFonts w:hint="cs"/>
          <w:rtl/>
        </w:rPr>
        <w:t xml:space="preserve"> فليس فيها</w:t>
      </w:r>
      <w:r w:rsidR="000636C2">
        <w:rPr>
          <w:rFonts w:hint="cs"/>
          <w:rtl/>
        </w:rPr>
        <w:t>،</w:t>
      </w:r>
      <w:r w:rsidRPr="005675B2">
        <w:rPr>
          <w:rFonts w:hint="cs"/>
          <w:rtl/>
        </w:rPr>
        <w:t xml:space="preserve"> أم يتركونه بالمرة</w:t>
      </w:r>
      <w:r w:rsidR="000636C2">
        <w:rPr>
          <w:rFonts w:hint="cs"/>
          <w:rtl/>
        </w:rPr>
        <w:t>؟</w:t>
      </w:r>
      <w:r w:rsidRPr="005675B2">
        <w:rPr>
          <w:rFonts w:hint="cs"/>
          <w:rtl/>
        </w:rPr>
        <w:t xml:space="preserve"> فهذا الذي أجزم به</w:t>
      </w:r>
      <w:r w:rsidR="000636C2">
        <w:rPr>
          <w:rFonts w:hint="cs"/>
          <w:rtl/>
        </w:rPr>
        <w:t>]،</w:t>
      </w:r>
    </w:p>
    <w:p w14:paraId="7C7B84B5" w14:textId="0B3843BE"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1 - أنت لم تطلع على كتبهم كلها</w:t>
      </w:r>
      <w:r w:rsidR="000636C2">
        <w:rPr>
          <w:rFonts w:hint="cs"/>
          <w:rtl/>
        </w:rPr>
        <w:t>،</w:t>
      </w:r>
      <w:r w:rsidRPr="005675B2">
        <w:rPr>
          <w:rFonts w:hint="cs"/>
          <w:rtl/>
        </w:rPr>
        <w:t xml:space="preserve"> فما كان ينبغي لك أن تجزم بالنفي</w:t>
      </w:r>
      <w:r w:rsidR="000636C2">
        <w:rPr>
          <w:rFonts w:hint="cs"/>
          <w:rtl/>
        </w:rPr>
        <w:t>،</w:t>
      </w:r>
      <w:r w:rsidRPr="005675B2">
        <w:rPr>
          <w:rFonts w:hint="cs"/>
          <w:rtl/>
        </w:rPr>
        <w:t xml:space="preserve"> واعلم أن الحالف والجازم يحلف ويجزم في حالة الإثبات على ما يعلمه ثابتاً</w:t>
      </w:r>
      <w:r w:rsidR="000636C2">
        <w:rPr>
          <w:rFonts w:hint="cs"/>
          <w:rtl/>
        </w:rPr>
        <w:t>،</w:t>
      </w:r>
      <w:r w:rsidRPr="005675B2">
        <w:rPr>
          <w:rFonts w:hint="cs"/>
          <w:rtl/>
        </w:rPr>
        <w:t xml:space="preserve"> ويحلف ويجزم في حالة النفي على نفي علمه بالشيء</w:t>
      </w:r>
      <w:r w:rsidR="000636C2">
        <w:rPr>
          <w:rFonts w:hint="cs"/>
          <w:rtl/>
        </w:rPr>
        <w:t>،</w:t>
      </w:r>
      <w:r w:rsidRPr="005675B2">
        <w:rPr>
          <w:rFonts w:hint="cs"/>
          <w:rtl/>
        </w:rPr>
        <w:t xml:space="preserve"> ولا يحلف ولا يجزم في هذه الحالة على البت والقطع</w:t>
      </w:r>
      <w:r w:rsidR="000636C2">
        <w:rPr>
          <w:rFonts w:hint="cs"/>
          <w:rtl/>
        </w:rPr>
        <w:t>،</w:t>
      </w:r>
      <w:r w:rsidRPr="005675B2">
        <w:rPr>
          <w:rFonts w:hint="cs"/>
          <w:rtl/>
        </w:rPr>
        <w:t xml:space="preserve"> فإذا كنت لا تدري هل ذكروا هذه المسألة أو لا</w:t>
      </w:r>
      <w:r w:rsidR="000636C2">
        <w:rPr>
          <w:rFonts w:hint="cs"/>
          <w:rtl/>
        </w:rPr>
        <w:t>؟</w:t>
      </w:r>
      <w:r w:rsidRPr="005675B2">
        <w:rPr>
          <w:rFonts w:hint="cs"/>
          <w:rtl/>
        </w:rPr>
        <w:t xml:space="preserve"> أو لا تدري أين يضعونها</w:t>
      </w:r>
      <w:r w:rsidR="000636C2">
        <w:rPr>
          <w:rFonts w:hint="cs"/>
          <w:rtl/>
        </w:rPr>
        <w:t>؟</w:t>
      </w:r>
      <w:r w:rsidRPr="005675B2">
        <w:rPr>
          <w:rFonts w:hint="cs"/>
          <w:rtl/>
        </w:rPr>
        <w:t xml:space="preserve"> فقل</w:t>
      </w:r>
      <w:r w:rsidR="000636C2">
        <w:rPr>
          <w:rFonts w:hint="cs"/>
          <w:rtl/>
        </w:rPr>
        <w:t>:</w:t>
      </w:r>
      <w:r w:rsidRPr="005675B2">
        <w:rPr>
          <w:rFonts w:hint="cs"/>
          <w:rtl/>
        </w:rPr>
        <w:t xml:space="preserve"> </w:t>
      </w:r>
      <w:r w:rsidR="000636C2">
        <w:rPr>
          <w:rFonts w:hint="cs"/>
          <w:rtl/>
        </w:rPr>
        <w:t>[</w:t>
      </w:r>
      <w:r w:rsidRPr="005675B2">
        <w:rPr>
          <w:rFonts w:hint="cs"/>
          <w:rtl/>
        </w:rPr>
        <w:t>هذا الذي وقفت عليه من كتبهم</w:t>
      </w:r>
      <w:r w:rsidR="000636C2">
        <w:rPr>
          <w:rFonts w:hint="cs"/>
          <w:rtl/>
        </w:rPr>
        <w:t>]</w:t>
      </w:r>
      <w:r w:rsidRPr="005675B2">
        <w:rPr>
          <w:rFonts w:hint="cs"/>
          <w:rtl/>
        </w:rPr>
        <w:t xml:space="preserve">، أو </w:t>
      </w:r>
      <w:r w:rsidR="000636C2">
        <w:rPr>
          <w:rFonts w:hint="cs"/>
          <w:rtl/>
        </w:rPr>
        <w:t>[</w:t>
      </w:r>
      <w:r w:rsidRPr="005675B2">
        <w:rPr>
          <w:rFonts w:hint="cs"/>
          <w:rtl/>
        </w:rPr>
        <w:t>هذا الذي أظنه</w:t>
      </w:r>
      <w:r w:rsidR="000636C2">
        <w:rPr>
          <w:rFonts w:hint="cs"/>
          <w:rtl/>
        </w:rPr>
        <w:t>]،</w:t>
      </w:r>
      <w:r w:rsidRPr="005675B2">
        <w:rPr>
          <w:rFonts w:hint="cs"/>
          <w:rtl/>
        </w:rPr>
        <w:t xml:space="preserve"> ولا تقل </w:t>
      </w:r>
      <w:r w:rsidR="000636C2">
        <w:rPr>
          <w:rFonts w:hint="cs"/>
          <w:rtl/>
        </w:rPr>
        <w:t>[</w:t>
      </w:r>
      <w:r w:rsidRPr="005675B2">
        <w:rPr>
          <w:rFonts w:hint="cs"/>
          <w:rtl/>
        </w:rPr>
        <w:t>هذا الذي أجزم به</w:t>
      </w:r>
      <w:r w:rsidR="000636C2">
        <w:rPr>
          <w:rFonts w:hint="cs"/>
          <w:rtl/>
        </w:rPr>
        <w:t xml:space="preserve">]، </w:t>
      </w:r>
      <w:r w:rsidRPr="005675B2">
        <w:rPr>
          <w:rFonts w:hint="cs"/>
          <w:rtl/>
        </w:rPr>
        <w:t>2 - اعلم أن الأشاعرة مُقِـرُّون بأنه لا خالق ولا رازق ولا معطي ولا مانع إلا الله</w:t>
      </w:r>
      <w:r w:rsidR="000636C2">
        <w:rPr>
          <w:rFonts w:hint="cs"/>
          <w:rtl/>
        </w:rPr>
        <w:t>،</w:t>
      </w:r>
      <w:r w:rsidRPr="005675B2">
        <w:rPr>
          <w:rFonts w:hint="cs"/>
          <w:rtl/>
        </w:rPr>
        <w:t xml:space="preserve"> وبأنه لا يستحق العبادة إلا الله</w:t>
      </w:r>
      <w:r w:rsidR="000636C2">
        <w:rPr>
          <w:rFonts w:hint="cs"/>
          <w:rtl/>
        </w:rPr>
        <w:t>،</w:t>
      </w:r>
      <w:r w:rsidRPr="005675B2">
        <w:rPr>
          <w:rFonts w:hint="cs"/>
          <w:rtl/>
        </w:rPr>
        <w:t xml:space="preserve"> ومن عجائب التسرع وسوء الفهم أن ينسب هذا الباحث المسكين إليهم القول بالشطر الأول دون الثاني</w:t>
      </w:r>
      <w:r w:rsidR="000636C2">
        <w:rPr>
          <w:rFonts w:hint="cs"/>
          <w:rtl/>
        </w:rPr>
        <w:t>،</w:t>
      </w:r>
      <w:r w:rsidRPr="005675B2">
        <w:rPr>
          <w:rFonts w:hint="cs"/>
          <w:rtl/>
        </w:rPr>
        <w:t xml:space="preserve"> لأنه لم يجد أنهم يذكرون انفراد الله تبارك وتعالى باستحقاق العبادة</w:t>
      </w:r>
      <w:r w:rsidR="000636C2">
        <w:rPr>
          <w:rFonts w:hint="cs"/>
          <w:rtl/>
        </w:rPr>
        <w:t>،</w:t>
      </w:r>
      <w:r w:rsidRPr="005675B2">
        <w:rPr>
          <w:rFonts w:hint="cs"/>
          <w:rtl/>
        </w:rPr>
        <w:t xml:space="preserve"> لا في كتب العقيدة ولا في كتب الفروع</w:t>
      </w:r>
      <w:r w:rsidR="000636C2">
        <w:rPr>
          <w:rFonts w:hint="cs"/>
          <w:rtl/>
        </w:rPr>
        <w:t xml:space="preserve">، </w:t>
      </w:r>
      <w:r w:rsidRPr="005675B2">
        <w:rPr>
          <w:rFonts w:hint="cs"/>
          <w:rtl/>
        </w:rPr>
        <w:t>والأشاعرة يؤصلون أصول العقائد الإسلامية في كتب العقيدة</w:t>
      </w:r>
      <w:r w:rsidR="000636C2">
        <w:rPr>
          <w:rFonts w:hint="cs"/>
          <w:rtl/>
        </w:rPr>
        <w:t>،</w:t>
      </w:r>
      <w:r w:rsidRPr="005675B2">
        <w:rPr>
          <w:rFonts w:hint="cs"/>
          <w:rtl/>
        </w:rPr>
        <w:t xml:space="preserve"> ويردون على أصناف الكفار الذين لا يؤمنون بالله تعالى رباً ولا بالإسلام ديناً ولا بمحمد صلى الله عليه وسلم نبياً ورسولاً</w:t>
      </w:r>
      <w:r w:rsidR="000636C2">
        <w:rPr>
          <w:rFonts w:hint="cs"/>
          <w:rtl/>
        </w:rPr>
        <w:t>،</w:t>
      </w:r>
      <w:r w:rsidRPr="005675B2">
        <w:rPr>
          <w:rFonts w:hint="cs"/>
          <w:rtl/>
        </w:rPr>
        <w:t xml:space="preserve"> فإذا</w:t>
      </w:r>
      <w:r w:rsidR="000636C2">
        <w:rPr>
          <w:rFonts w:hint="cs"/>
          <w:rtl/>
        </w:rPr>
        <w:t xml:space="preserve"> </w:t>
      </w:r>
      <w:r w:rsidRPr="005675B2">
        <w:rPr>
          <w:rFonts w:hint="cs"/>
          <w:rtl/>
        </w:rPr>
        <w:t>آمن المرء بالله تعالى وبأن القرآن كلام الله وأن محمداً صلى الله عليه وسلم نبيه ورسوله فمن المعلوم بداهة أن لا يتوجه بالعبادة إلا إلى الخالق جل جلاله</w:t>
      </w:r>
      <w:r w:rsidR="000636C2">
        <w:rPr>
          <w:rFonts w:hint="cs"/>
          <w:rtl/>
        </w:rPr>
        <w:t xml:space="preserve">، </w:t>
      </w:r>
      <w:r w:rsidRPr="005675B2">
        <w:rPr>
          <w:rFonts w:hint="cs"/>
          <w:rtl/>
        </w:rPr>
        <w:t>وارجع إلى كتب التفسير التي كتبها الأشاعرة لتجد أنهم ينصون على انفراد الله تبارك وتعالى باستحقاق العبادة</w:t>
      </w:r>
      <w:r w:rsidR="000636C2">
        <w:rPr>
          <w:rFonts w:hint="cs"/>
          <w:rtl/>
        </w:rPr>
        <w:t>،</w:t>
      </w:r>
      <w:r w:rsidRPr="005675B2">
        <w:rPr>
          <w:rFonts w:hint="cs"/>
          <w:rtl/>
        </w:rPr>
        <w:t xml:space="preserve"> والتحذير من أصناف الشرك</w:t>
      </w:r>
      <w:r w:rsidR="000636C2">
        <w:rPr>
          <w:rFonts w:hint="cs"/>
          <w:rtl/>
        </w:rPr>
        <w:t>،</w:t>
      </w:r>
      <w:r w:rsidRPr="005675B2">
        <w:rPr>
          <w:rFonts w:hint="cs"/>
          <w:rtl/>
        </w:rPr>
        <w:t xml:space="preserve"> وخاصة اتخاذ شريكٍ مع الله تعالى في العبادة</w:t>
      </w:r>
      <w:r w:rsidR="000636C2">
        <w:rPr>
          <w:rFonts w:hint="cs"/>
          <w:rtl/>
        </w:rPr>
        <w:t xml:space="preserve">، </w:t>
      </w:r>
      <w:r w:rsidRPr="005675B2">
        <w:rPr>
          <w:rFonts w:hint="cs"/>
          <w:rtl/>
        </w:rPr>
        <w:t>اقرأ مثلاً قول الإمام الرازي</w:t>
      </w:r>
      <w:r w:rsidR="000636C2">
        <w:rPr>
          <w:rFonts w:hint="cs"/>
          <w:rtl/>
        </w:rPr>
        <w:t>:</w:t>
      </w:r>
      <w:r w:rsidRPr="005675B2">
        <w:rPr>
          <w:rFonts w:hint="cs"/>
          <w:rtl/>
        </w:rPr>
        <w:t xml:space="preserve"> </w:t>
      </w:r>
      <w:r w:rsidR="000636C2">
        <w:rPr>
          <w:rFonts w:hint="cs"/>
          <w:rtl/>
        </w:rPr>
        <w:t>[</w:t>
      </w:r>
      <w:r w:rsidRPr="005675B2">
        <w:rPr>
          <w:rFonts w:hint="cs"/>
          <w:rtl/>
        </w:rPr>
        <w:t>لأنه لا معنى للشرك إلا أن يتخذ الإنسان مع الله معبوداً</w:t>
      </w:r>
      <w:r w:rsidR="000636C2">
        <w:rPr>
          <w:rFonts w:hint="cs"/>
          <w:rtl/>
        </w:rPr>
        <w:t>]</w:t>
      </w:r>
      <w:r w:rsidRPr="005675B2">
        <w:rPr>
          <w:rFonts w:hint="cs"/>
          <w:rtl/>
        </w:rPr>
        <w:t xml:space="preserve"> [</w:t>
      </w:r>
      <w:r w:rsidRPr="005675B2">
        <w:rPr>
          <w:rFonts w:hint="cs"/>
          <w:sz w:val="24"/>
          <w:szCs w:val="24"/>
          <w:rtl/>
        </w:rPr>
        <w:t>تفسير الرازي: 16/33</w:t>
      </w:r>
      <w:r w:rsidR="000636C2">
        <w:rPr>
          <w:rFonts w:hint="cs"/>
          <w:sz w:val="24"/>
          <w:szCs w:val="24"/>
          <w:rtl/>
        </w:rPr>
        <w:t>،</w:t>
      </w:r>
      <w:r w:rsidRPr="005675B2">
        <w:rPr>
          <w:rFonts w:hint="cs"/>
          <w:sz w:val="24"/>
          <w:szCs w:val="24"/>
          <w:rtl/>
        </w:rPr>
        <w:t xml:space="preserve"> الآية 30 من سورة التوبة</w:t>
      </w:r>
      <w:r w:rsidR="000636C2">
        <w:rPr>
          <w:rFonts w:hint="cs"/>
          <w:sz w:val="24"/>
          <w:szCs w:val="24"/>
          <w:rtl/>
        </w:rPr>
        <w:t>]</w:t>
      </w:r>
      <w:r w:rsidR="000636C2">
        <w:rPr>
          <w:rFonts w:hint="cs"/>
          <w:rtl/>
        </w:rPr>
        <w:t xml:space="preserve">، </w:t>
      </w:r>
      <w:r w:rsidRPr="005675B2">
        <w:rPr>
          <w:rFonts w:hint="cs"/>
          <w:rtl/>
        </w:rPr>
        <w:t>واقرأ قوله</w:t>
      </w:r>
      <w:r w:rsidR="000636C2">
        <w:rPr>
          <w:rFonts w:hint="cs"/>
          <w:rtl/>
        </w:rPr>
        <w:t>:</w:t>
      </w:r>
      <w:r w:rsidRPr="005675B2">
        <w:rPr>
          <w:rFonts w:hint="cs"/>
          <w:rtl/>
        </w:rPr>
        <w:t xml:space="preserve"> </w:t>
      </w:r>
      <w:r w:rsidR="000636C2">
        <w:rPr>
          <w:rFonts w:hint="cs"/>
          <w:rtl/>
        </w:rPr>
        <w:t>[</w:t>
      </w:r>
      <w:r w:rsidRPr="005675B2">
        <w:rPr>
          <w:rFonts w:hint="cs"/>
          <w:rtl/>
        </w:rPr>
        <w:t>سُبْحَانَهُ عَمَّا يُشْرِكُونَ</w:t>
      </w:r>
      <w:r w:rsidR="000636C2">
        <w:rPr>
          <w:rFonts w:hint="cs"/>
          <w:rtl/>
        </w:rPr>
        <w:t>:</w:t>
      </w:r>
      <w:r w:rsidRPr="005675B2">
        <w:rPr>
          <w:rFonts w:hint="cs"/>
          <w:rtl/>
        </w:rPr>
        <w:t xml:space="preserve"> أي سبحانه من أن يكون له شريك في الأمر والتكليف</w:t>
      </w:r>
      <w:r w:rsidR="000636C2">
        <w:rPr>
          <w:rFonts w:hint="cs"/>
          <w:rtl/>
        </w:rPr>
        <w:t>،</w:t>
      </w:r>
      <w:r w:rsidRPr="005675B2">
        <w:rPr>
          <w:rFonts w:hint="cs"/>
          <w:rtl/>
        </w:rPr>
        <w:t xml:space="preserve"> وأن يكون له شريك في كونه مسجوداً له ومعبوداً</w:t>
      </w:r>
      <w:r w:rsidR="000636C2">
        <w:rPr>
          <w:rFonts w:hint="cs"/>
          <w:rtl/>
        </w:rPr>
        <w:t>،</w:t>
      </w:r>
      <w:r w:rsidRPr="005675B2">
        <w:rPr>
          <w:rFonts w:hint="cs"/>
          <w:rtl/>
        </w:rPr>
        <w:t xml:space="preserve"> وأن يكون له شريك في وجوب نهاية التعظيم والإجلال</w:t>
      </w:r>
      <w:r w:rsidR="000636C2">
        <w:rPr>
          <w:rFonts w:hint="cs"/>
          <w:rtl/>
        </w:rPr>
        <w:t xml:space="preserve">] </w:t>
      </w:r>
      <w:r w:rsidRPr="005675B2">
        <w:rPr>
          <w:rFonts w:hint="cs"/>
          <w:rtl/>
        </w:rPr>
        <w:t>[</w:t>
      </w:r>
      <w:r w:rsidRPr="005675B2">
        <w:rPr>
          <w:rFonts w:hint="cs"/>
          <w:sz w:val="24"/>
          <w:szCs w:val="24"/>
          <w:rtl/>
        </w:rPr>
        <w:t>المرجع السابق: 16/38</w:t>
      </w:r>
      <w:r w:rsidR="000636C2">
        <w:rPr>
          <w:rFonts w:hint="cs"/>
          <w:sz w:val="24"/>
          <w:szCs w:val="24"/>
          <w:rtl/>
        </w:rPr>
        <w:t>،</w:t>
      </w:r>
      <w:r w:rsidRPr="005675B2">
        <w:rPr>
          <w:rFonts w:hint="cs"/>
          <w:sz w:val="24"/>
          <w:szCs w:val="24"/>
          <w:rtl/>
        </w:rPr>
        <w:t xml:space="preserve"> الآية 31 من سورة التوبة</w:t>
      </w:r>
      <w:r w:rsidR="000636C2">
        <w:rPr>
          <w:rFonts w:hint="cs"/>
          <w:sz w:val="24"/>
          <w:szCs w:val="24"/>
          <w:rtl/>
        </w:rPr>
        <w:t>]</w:t>
      </w:r>
      <w:r w:rsidR="000636C2">
        <w:rPr>
          <w:rFonts w:hint="cs"/>
          <w:rtl/>
        </w:rPr>
        <w:t>،</w:t>
      </w:r>
      <w:r w:rsidRPr="005675B2">
        <w:rPr>
          <w:rFonts w:hint="cs"/>
          <w:rtl/>
        </w:rPr>
        <w:t xml:space="preserve"> واقرأ قوله كذلك .. وهو أن يشتغل الإنسان بعبادة الله تعالى على سبيل الإخلاص ويتبرأ عن عبادة غير الله تعالى بالكلية</w:t>
      </w:r>
      <w:r w:rsidR="000636C2">
        <w:rPr>
          <w:rFonts w:hint="cs"/>
          <w:rtl/>
        </w:rPr>
        <w:t>،</w:t>
      </w:r>
      <w:r w:rsidRPr="005675B2">
        <w:rPr>
          <w:rFonts w:hint="cs"/>
          <w:rtl/>
        </w:rPr>
        <w:t xml:space="preserve"> فأما اشتغاله بعبادة الله تعالى على سبيل الإخلاص فهو المراد من قوله تعالى </w:t>
      </w:r>
      <w:r w:rsidR="000636C2">
        <w:rPr>
          <w:rFonts w:hint="cs"/>
          <w:rtl/>
        </w:rPr>
        <w:t>[</w:t>
      </w:r>
      <w:r w:rsidRPr="005675B2">
        <w:rPr>
          <w:rFonts w:hint="cs"/>
          <w:rtl/>
        </w:rPr>
        <w:t>فَاعْبُدِ اللَّهَ مُخْلِصاً</w:t>
      </w:r>
      <w:r w:rsidR="000636C2">
        <w:rPr>
          <w:rFonts w:hint="cs"/>
          <w:rtl/>
        </w:rPr>
        <w:t>]،</w:t>
      </w:r>
      <w:r w:rsidRPr="005675B2">
        <w:rPr>
          <w:rFonts w:hint="cs"/>
          <w:rtl/>
        </w:rPr>
        <w:t xml:space="preserve"> وأما براءته من عبادة غير الله تعالى فهو المراد بقوله </w:t>
      </w:r>
      <w:r w:rsidR="000636C2">
        <w:rPr>
          <w:rFonts w:hint="cs"/>
          <w:rtl/>
        </w:rPr>
        <w:t>[</w:t>
      </w:r>
      <w:r w:rsidRPr="005675B2">
        <w:rPr>
          <w:rFonts w:hint="cs"/>
          <w:rtl/>
        </w:rPr>
        <w:t>أَلا لِلَّهِ الدِّينُ الْخَالِصُ</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الزمر آية 3</w:t>
      </w:r>
      <w:r w:rsidR="000636C2">
        <w:rPr>
          <w:rFonts w:hint="cs"/>
          <w:sz w:val="24"/>
          <w:szCs w:val="24"/>
          <w:rtl/>
        </w:rPr>
        <w:t>]</w:t>
      </w:r>
      <w:r w:rsidR="000636C2">
        <w:rPr>
          <w:rFonts w:hint="cs"/>
          <w:rtl/>
        </w:rPr>
        <w:t>،</w:t>
      </w:r>
      <w:r w:rsidRPr="005675B2">
        <w:rPr>
          <w:rFonts w:hint="cs"/>
          <w:rtl/>
        </w:rPr>
        <w:t xml:space="preserve"> لأن قوله </w:t>
      </w:r>
      <w:r w:rsidR="000636C2">
        <w:rPr>
          <w:rFonts w:hint="cs"/>
          <w:rtl/>
        </w:rPr>
        <w:t>[</w:t>
      </w:r>
      <w:r w:rsidRPr="005675B2">
        <w:rPr>
          <w:rFonts w:hint="cs"/>
          <w:rtl/>
        </w:rPr>
        <w:t>ألا لله</w:t>
      </w:r>
      <w:r w:rsidR="000636C2">
        <w:rPr>
          <w:rFonts w:hint="cs"/>
          <w:rtl/>
        </w:rPr>
        <w:t>]</w:t>
      </w:r>
      <w:r w:rsidRPr="005675B2">
        <w:rPr>
          <w:rFonts w:hint="cs"/>
          <w:rtl/>
        </w:rPr>
        <w:t xml:space="preserve"> يفيد الحصر [</w:t>
      </w:r>
      <w:r w:rsidRPr="005675B2">
        <w:rPr>
          <w:rFonts w:hint="cs"/>
          <w:sz w:val="24"/>
          <w:szCs w:val="24"/>
          <w:rtl/>
        </w:rPr>
        <w:t>المرجع السابق: 26/239</w:t>
      </w:r>
      <w:r w:rsidR="000636C2">
        <w:rPr>
          <w:rFonts w:hint="cs"/>
          <w:sz w:val="24"/>
          <w:szCs w:val="24"/>
          <w:rtl/>
        </w:rPr>
        <w:t>،</w:t>
      </w:r>
      <w:r w:rsidRPr="005675B2">
        <w:rPr>
          <w:rFonts w:hint="cs"/>
          <w:sz w:val="24"/>
          <w:szCs w:val="24"/>
          <w:rtl/>
        </w:rPr>
        <w:t xml:space="preserve"> الآية 2 من سورة الزمر</w:t>
      </w:r>
      <w:r w:rsidR="000636C2">
        <w:rPr>
          <w:rFonts w:hint="cs"/>
          <w:sz w:val="24"/>
          <w:szCs w:val="24"/>
          <w:rtl/>
        </w:rPr>
        <w:t>]</w:t>
      </w:r>
      <w:r w:rsidR="000636C2">
        <w:rPr>
          <w:rFonts w:hint="cs"/>
          <w:rtl/>
        </w:rPr>
        <w:t xml:space="preserve">، </w:t>
      </w:r>
      <w:r w:rsidRPr="005675B2">
        <w:rPr>
          <w:rFonts w:hint="cs"/>
          <w:rtl/>
        </w:rPr>
        <w:t>وقال الإمام فخر الدين الرازي كذلك</w:t>
      </w:r>
      <w:r w:rsidR="000636C2">
        <w:rPr>
          <w:rFonts w:hint="cs"/>
          <w:rtl/>
        </w:rPr>
        <w:t>:</w:t>
      </w:r>
      <w:r w:rsidRPr="005675B2">
        <w:rPr>
          <w:rFonts w:hint="cs"/>
          <w:rtl/>
        </w:rPr>
        <w:t xml:space="preserve"> قوله </w:t>
      </w:r>
      <w:r w:rsidR="000636C2">
        <w:rPr>
          <w:rFonts w:hint="cs"/>
          <w:rtl/>
        </w:rPr>
        <w:t>[</w:t>
      </w:r>
      <w:r w:rsidRPr="005675B2">
        <w:rPr>
          <w:rFonts w:hint="cs"/>
          <w:rtl/>
        </w:rPr>
        <w:t>إيّـاك نعبد</w:t>
      </w:r>
      <w:r w:rsidR="000636C2">
        <w:rPr>
          <w:rFonts w:hint="cs"/>
          <w:rtl/>
        </w:rPr>
        <w:t>]</w:t>
      </w:r>
      <w:r w:rsidRPr="005675B2">
        <w:rPr>
          <w:rFonts w:hint="cs"/>
          <w:rtl/>
        </w:rPr>
        <w:t xml:space="preserve"> يدل على أنه لا معبود إلا الله</w:t>
      </w:r>
      <w:r w:rsidR="000636C2">
        <w:rPr>
          <w:rFonts w:hint="cs"/>
          <w:rtl/>
        </w:rPr>
        <w:t>،</w:t>
      </w:r>
      <w:r w:rsidRPr="005675B2">
        <w:rPr>
          <w:rFonts w:hint="cs"/>
          <w:rtl/>
        </w:rPr>
        <w:t xml:space="preserve"> ومتى كان الأمر كذلك ثبت أنه لا إله إلا الله</w:t>
      </w:r>
      <w:r w:rsidR="000636C2">
        <w:rPr>
          <w:rFonts w:hint="cs"/>
          <w:rtl/>
        </w:rPr>
        <w:t>،</w:t>
      </w:r>
      <w:r w:rsidRPr="005675B2">
        <w:rPr>
          <w:rFonts w:hint="cs"/>
          <w:rtl/>
        </w:rPr>
        <w:t xml:space="preserve"> فقوله </w:t>
      </w:r>
      <w:r w:rsidR="000636C2">
        <w:rPr>
          <w:rFonts w:hint="cs"/>
          <w:rtl/>
        </w:rPr>
        <w:t>[</w:t>
      </w:r>
      <w:r w:rsidRPr="005675B2">
        <w:rPr>
          <w:rFonts w:hint="cs"/>
          <w:rtl/>
        </w:rPr>
        <w:t>إيّـاك نعبد وإيّـاك نستعين</w:t>
      </w:r>
      <w:r w:rsidR="000636C2">
        <w:rPr>
          <w:rFonts w:hint="cs"/>
          <w:rtl/>
        </w:rPr>
        <w:t>]</w:t>
      </w:r>
      <w:r w:rsidRPr="005675B2">
        <w:rPr>
          <w:rFonts w:hint="cs"/>
          <w:rtl/>
        </w:rPr>
        <w:t xml:space="preserve"> يدل على التوحيد المحض</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كل من اتخذ لله شريكا فإنه لا بد وأن يكون مقدما على عبادة ذلك الشريك من بعض الوجوه</w:t>
      </w:r>
      <w:r w:rsidR="000636C2">
        <w:rPr>
          <w:rFonts w:hint="cs"/>
          <w:rtl/>
        </w:rPr>
        <w:t>،</w:t>
      </w:r>
      <w:r w:rsidRPr="005675B2">
        <w:rPr>
          <w:rFonts w:hint="cs"/>
          <w:rtl/>
        </w:rPr>
        <w:t xml:space="preserve"> إما طلباً لنفعه</w:t>
      </w:r>
      <w:r w:rsidR="000636C2">
        <w:rPr>
          <w:rFonts w:hint="cs"/>
          <w:rtl/>
        </w:rPr>
        <w:t>،</w:t>
      </w:r>
      <w:r w:rsidRPr="005675B2">
        <w:rPr>
          <w:rFonts w:hint="cs"/>
          <w:rtl/>
        </w:rPr>
        <w:t xml:space="preserve"> أو هرباً من ضرره</w:t>
      </w:r>
      <w:r w:rsidR="000636C2">
        <w:rPr>
          <w:rFonts w:hint="cs"/>
          <w:rtl/>
        </w:rPr>
        <w:t>،</w:t>
      </w:r>
      <w:r w:rsidRPr="005675B2">
        <w:rPr>
          <w:rFonts w:hint="cs"/>
          <w:rtl/>
        </w:rPr>
        <w:t xml:space="preserve"> وأما الذين أصروا على التوحيد وأبطلوا القول بالشركاء والأضداد ولم يعبدوا إلا الله ولم يلتفتوا إلى غير الله فكان رجاؤهم من الله</w:t>
      </w:r>
      <w:r w:rsidR="000636C2">
        <w:rPr>
          <w:rFonts w:hint="cs"/>
          <w:rtl/>
        </w:rPr>
        <w:t>،</w:t>
      </w:r>
      <w:r w:rsidRPr="005675B2">
        <w:rPr>
          <w:rFonts w:hint="cs"/>
          <w:rtl/>
        </w:rPr>
        <w:t xml:space="preserve"> وخوفهم من الله</w:t>
      </w:r>
      <w:r w:rsidR="000636C2">
        <w:rPr>
          <w:rFonts w:hint="cs"/>
          <w:rtl/>
        </w:rPr>
        <w:t>،</w:t>
      </w:r>
      <w:r w:rsidRPr="005675B2">
        <w:rPr>
          <w:rFonts w:hint="cs"/>
          <w:rtl/>
        </w:rPr>
        <w:t xml:space="preserve"> ورغبتهم في الله</w:t>
      </w:r>
      <w:r w:rsidR="000636C2">
        <w:rPr>
          <w:rFonts w:hint="cs"/>
          <w:rtl/>
        </w:rPr>
        <w:t>،</w:t>
      </w:r>
      <w:r w:rsidRPr="005675B2">
        <w:rPr>
          <w:rFonts w:hint="cs"/>
          <w:rtl/>
        </w:rPr>
        <w:t xml:space="preserve"> ورهبتهم من الله</w:t>
      </w:r>
      <w:r w:rsidR="000636C2">
        <w:rPr>
          <w:rFonts w:hint="cs"/>
          <w:rtl/>
        </w:rPr>
        <w:t>،</w:t>
      </w:r>
      <w:r w:rsidRPr="005675B2">
        <w:rPr>
          <w:rFonts w:hint="cs"/>
          <w:rtl/>
        </w:rPr>
        <w:t xml:space="preserve"> فلا جرم لم يعبدوا إلا الله</w:t>
      </w:r>
      <w:r w:rsidR="000636C2">
        <w:rPr>
          <w:rFonts w:hint="cs"/>
          <w:rtl/>
        </w:rPr>
        <w:t>،</w:t>
      </w:r>
      <w:r w:rsidRPr="005675B2">
        <w:rPr>
          <w:rFonts w:hint="cs"/>
          <w:rtl/>
        </w:rPr>
        <w:t xml:space="preserve"> ولم يستعينوا إلا بالله</w:t>
      </w:r>
      <w:r w:rsidR="000636C2">
        <w:rPr>
          <w:rFonts w:hint="cs"/>
          <w:rtl/>
        </w:rPr>
        <w:t>]</w:t>
      </w:r>
      <w:r w:rsidRPr="005675B2">
        <w:rPr>
          <w:rFonts w:hint="cs"/>
          <w:rtl/>
        </w:rPr>
        <w:t xml:space="preserve"> </w:t>
      </w:r>
      <w:r w:rsidR="000636C2">
        <w:rPr>
          <w:rFonts w:hint="cs"/>
          <w:rtl/>
        </w:rPr>
        <w:t>[</w:t>
      </w:r>
      <w:r w:rsidRPr="005675B2">
        <w:rPr>
          <w:rFonts w:hint="cs"/>
          <w:sz w:val="24"/>
          <w:szCs w:val="24"/>
          <w:rtl/>
        </w:rPr>
        <w:t>مفاتيح الغيب: 1/ 244</w:t>
      </w:r>
      <w:r w:rsidR="000636C2">
        <w:rPr>
          <w:rFonts w:hint="cs"/>
          <w:sz w:val="24"/>
          <w:szCs w:val="24"/>
          <w:rtl/>
        </w:rPr>
        <w:t>،</w:t>
      </w:r>
      <w:r w:rsidRPr="005675B2">
        <w:rPr>
          <w:rFonts w:hint="cs"/>
          <w:sz w:val="24"/>
          <w:szCs w:val="24"/>
          <w:rtl/>
        </w:rPr>
        <w:t xml:space="preserve"> 245</w:t>
      </w:r>
      <w:r w:rsidR="000636C2">
        <w:rPr>
          <w:rFonts w:hint="cs"/>
          <w:sz w:val="24"/>
          <w:szCs w:val="24"/>
          <w:rtl/>
        </w:rPr>
        <w:t>]</w:t>
      </w:r>
      <w:r w:rsidR="000636C2">
        <w:rPr>
          <w:rFonts w:hint="cs"/>
          <w:rtl/>
        </w:rPr>
        <w:t xml:space="preserve">، </w:t>
      </w:r>
      <w:r w:rsidRPr="005675B2">
        <w:rPr>
          <w:rFonts w:hint="cs"/>
          <w:rtl/>
        </w:rPr>
        <w:t>3 - لو رجعت إلى كتب الباقلاني في العقيدة لأَلْفَيْتَهُ يشرح التوحيد بما يشمل توحيد الألوهية</w:t>
      </w:r>
      <w:r w:rsidR="000636C2">
        <w:rPr>
          <w:rFonts w:hint="cs"/>
          <w:rtl/>
        </w:rPr>
        <w:t>،</w:t>
      </w:r>
      <w:r w:rsidRPr="005675B2">
        <w:rPr>
          <w:rFonts w:hint="cs"/>
          <w:rtl/>
        </w:rPr>
        <w:t xml:space="preserve"> إذ يقول</w:t>
      </w:r>
      <w:r w:rsidR="000636C2">
        <w:rPr>
          <w:rFonts w:hint="cs"/>
          <w:rtl/>
        </w:rPr>
        <w:t>:</w:t>
      </w:r>
      <w:r w:rsidRPr="005675B2">
        <w:rPr>
          <w:rFonts w:hint="cs"/>
          <w:rtl/>
        </w:rPr>
        <w:t xml:space="preserve"> </w:t>
      </w:r>
      <w:r w:rsidR="000636C2">
        <w:rPr>
          <w:rFonts w:hint="cs"/>
          <w:rtl/>
        </w:rPr>
        <w:t>[</w:t>
      </w:r>
      <w:r w:rsidRPr="005675B2">
        <w:rPr>
          <w:rFonts w:hint="cs"/>
          <w:rtl/>
        </w:rPr>
        <w:t>والتوحيد له هو الإقرار بأنه ثابت موجود</w:t>
      </w:r>
      <w:r w:rsidR="000636C2">
        <w:rPr>
          <w:rFonts w:hint="cs"/>
          <w:rtl/>
        </w:rPr>
        <w:t>،</w:t>
      </w:r>
      <w:r w:rsidRPr="005675B2">
        <w:rPr>
          <w:rFonts w:hint="cs"/>
          <w:rtl/>
        </w:rPr>
        <w:t xml:space="preserve"> وإله واحد فرد معبود</w:t>
      </w:r>
      <w:r w:rsidR="000636C2">
        <w:rPr>
          <w:rFonts w:hint="cs"/>
          <w:rtl/>
        </w:rPr>
        <w:t>،</w:t>
      </w:r>
      <w:r w:rsidRPr="005675B2">
        <w:rPr>
          <w:rFonts w:hint="cs"/>
          <w:rtl/>
        </w:rPr>
        <w:t xml:space="preserve"> ليس كمثله شيء</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ويجب أن يُعلم أن صانع العالم جلت قدرته واحد أحد</w:t>
      </w:r>
      <w:r w:rsidR="000636C2">
        <w:rPr>
          <w:rFonts w:hint="cs"/>
          <w:rtl/>
        </w:rPr>
        <w:t>،</w:t>
      </w:r>
      <w:r w:rsidRPr="005675B2">
        <w:rPr>
          <w:rFonts w:hint="cs"/>
          <w:rtl/>
        </w:rPr>
        <w:t xml:space="preserve"> ومعنى ذلك أنه ليس معه إله سواه</w:t>
      </w:r>
      <w:r w:rsidR="000636C2">
        <w:rPr>
          <w:rFonts w:hint="cs"/>
          <w:rtl/>
        </w:rPr>
        <w:t>،</w:t>
      </w:r>
      <w:r w:rsidRPr="005675B2">
        <w:rPr>
          <w:rFonts w:hint="cs"/>
          <w:rtl/>
        </w:rPr>
        <w:t xml:space="preserve"> ولا من يستحق العبادة إلا إياه</w:t>
      </w:r>
      <w:r w:rsidR="000636C2">
        <w:rPr>
          <w:rFonts w:hint="cs"/>
          <w:rtl/>
        </w:rPr>
        <w:t>]</w:t>
      </w:r>
      <w:r w:rsidRPr="005675B2">
        <w:rPr>
          <w:rFonts w:hint="cs"/>
          <w:rtl/>
        </w:rPr>
        <w:t xml:space="preserve"> [</w:t>
      </w:r>
      <w:r w:rsidRPr="005675B2">
        <w:rPr>
          <w:rFonts w:hint="cs"/>
          <w:sz w:val="24"/>
          <w:szCs w:val="24"/>
          <w:rtl/>
        </w:rPr>
        <w:t>الإنصاف: ص 32</w:t>
      </w:r>
      <w:r w:rsidR="000636C2">
        <w:rPr>
          <w:rFonts w:hint="cs"/>
          <w:sz w:val="24"/>
          <w:szCs w:val="24"/>
          <w:rtl/>
        </w:rPr>
        <w:t>،</w:t>
      </w:r>
      <w:r w:rsidRPr="005675B2">
        <w:rPr>
          <w:rFonts w:hint="cs"/>
          <w:sz w:val="24"/>
          <w:szCs w:val="24"/>
          <w:rtl/>
        </w:rPr>
        <w:t xml:space="preserve"> 33</w:t>
      </w:r>
      <w:r w:rsidR="000636C2">
        <w:rPr>
          <w:rFonts w:hint="cs"/>
          <w:sz w:val="24"/>
          <w:szCs w:val="24"/>
          <w:rtl/>
        </w:rPr>
        <w:t>]</w:t>
      </w:r>
      <w:r w:rsidRPr="005675B2">
        <w:rPr>
          <w:rFonts w:hint="cs"/>
          <w:rtl/>
        </w:rPr>
        <w:t>،</w:t>
      </w:r>
      <w:r w:rsidR="000636C2">
        <w:rPr>
          <w:rFonts w:hint="cs"/>
          <w:rtl/>
        </w:rPr>
        <w:t xml:space="preserve"> </w:t>
      </w:r>
      <w:r w:rsidRPr="005675B2">
        <w:rPr>
          <w:rFonts w:hint="cs"/>
          <w:rtl/>
        </w:rPr>
        <w:t>4 - ويقول الإمام النووي رحمه الله عن كلمة لا إله إلا الله</w:t>
      </w:r>
      <w:r w:rsidR="000636C2">
        <w:rPr>
          <w:rFonts w:hint="cs"/>
          <w:rtl/>
        </w:rPr>
        <w:t>:</w:t>
      </w:r>
      <w:r w:rsidRPr="005675B2">
        <w:rPr>
          <w:rFonts w:hint="cs"/>
          <w:rtl/>
        </w:rPr>
        <w:t xml:space="preserve"> </w:t>
      </w:r>
      <w:r w:rsidR="000636C2">
        <w:rPr>
          <w:rFonts w:hint="cs"/>
          <w:rtl/>
        </w:rPr>
        <w:t>[</w:t>
      </w:r>
      <w:r w:rsidRPr="005675B2">
        <w:rPr>
          <w:rFonts w:hint="cs"/>
          <w:rtl/>
        </w:rPr>
        <w:t>وأفضل الأذكار بعد القرآن لا إله إلا الله</w:t>
      </w:r>
      <w:r w:rsidR="000636C2">
        <w:rPr>
          <w:rFonts w:hint="cs"/>
          <w:rtl/>
        </w:rPr>
        <w:t>،</w:t>
      </w:r>
      <w:r w:rsidRPr="005675B2">
        <w:rPr>
          <w:rFonts w:hint="cs"/>
          <w:rtl/>
        </w:rPr>
        <w:t xml:space="preserve"> ومعناها</w:t>
      </w:r>
      <w:r w:rsidR="000636C2">
        <w:rPr>
          <w:rFonts w:hint="cs"/>
          <w:rtl/>
        </w:rPr>
        <w:t>:</w:t>
      </w:r>
      <w:r w:rsidRPr="005675B2">
        <w:rPr>
          <w:rFonts w:hint="cs"/>
          <w:rtl/>
        </w:rPr>
        <w:t xml:space="preserve"> لا معبود بحق في الوجود إلا الله</w:t>
      </w:r>
      <w:r w:rsidR="000636C2">
        <w:rPr>
          <w:rFonts w:hint="cs"/>
          <w:rtl/>
        </w:rPr>
        <w:t>]</w:t>
      </w:r>
      <w:r w:rsidRPr="005675B2">
        <w:rPr>
          <w:rFonts w:hint="cs"/>
          <w:rtl/>
        </w:rPr>
        <w:t xml:space="preserve"> [</w:t>
      </w:r>
      <w:r w:rsidRPr="005675B2">
        <w:rPr>
          <w:rFonts w:hint="cs"/>
          <w:sz w:val="24"/>
          <w:szCs w:val="24"/>
          <w:rtl/>
        </w:rPr>
        <w:t>المقاصد للإمام النووي: ص 9</w:t>
      </w:r>
      <w:r w:rsidR="000636C2">
        <w:rPr>
          <w:rFonts w:hint="cs"/>
          <w:sz w:val="24"/>
          <w:szCs w:val="24"/>
          <w:rtl/>
        </w:rPr>
        <w:t>]</w:t>
      </w:r>
      <w:r w:rsidR="000636C2">
        <w:rPr>
          <w:rFonts w:hint="cs"/>
          <w:rtl/>
        </w:rPr>
        <w:t xml:space="preserve">، </w:t>
      </w:r>
      <w:r w:rsidRPr="005675B2">
        <w:rPr>
          <w:rFonts w:hint="cs"/>
          <w:rtl/>
        </w:rPr>
        <w:t xml:space="preserve">وقال الإمام المفسر أبو عبد الله القرطبي الأشعري العقيدة في مقدمة كتابه </w:t>
      </w:r>
      <w:r w:rsidR="000636C2">
        <w:rPr>
          <w:rFonts w:hint="cs"/>
          <w:rtl/>
        </w:rPr>
        <w:t>[</w:t>
      </w:r>
      <w:r w:rsidRPr="005675B2">
        <w:rPr>
          <w:rFonts w:hint="cs"/>
          <w:rtl/>
        </w:rPr>
        <w:t>التذكرة في أحوال الموتى وأمور الآخرة</w:t>
      </w:r>
      <w:r w:rsidR="000636C2">
        <w:rPr>
          <w:rFonts w:hint="cs"/>
          <w:rtl/>
        </w:rPr>
        <w:t>]،</w:t>
      </w:r>
      <w:r w:rsidRPr="005675B2">
        <w:rPr>
          <w:rFonts w:hint="cs"/>
          <w:rtl/>
        </w:rPr>
        <w:t xml:space="preserve"> قال رحمه الله عن كتابه هذا</w:t>
      </w:r>
      <w:r w:rsidR="000636C2">
        <w:rPr>
          <w:rFonts w:hint="cs"/>
          <w:rtl/>
        </w:rPr>
        <w:t>:</w:t>
      </w:r>
      <w:r w:rsidRPr="005675B2">
        <w:rPr>
          <w:rFonts w:hint="cs"/>
          <w:rtl/>
        </w:rPr>
        <w:t xml:space="preserve"> </w:t>
      </w:r>
      <w:r w:rsidR="000636C2">
        <w:rPr>
          <w:rFonts w:hint="cs"/>
          <w:rtl/>
        </w:rPr>
        <w:t>[</w:t>
      </w:r>
      <w:r w:rsidRPr="005675B2">
        <w:rPr>
          <w:rFonts w:hint="cs"/>
          <w:rtl/>
        </w:rPr>
        <w:t>جعله الله خالصاً لوجهه .. لا رب سواه</w:t>
      </w:r>
      <w:r w:rsidR="000636C2">
        <w:rPr>
          <w:rFonts w:hint="cs"/>
          <w:rtl/>
        </w:rPr>
        <w:t>،</w:t>
      </w:r>
      <w:r w:rsidRPr="005675B2">
        <w:rPr>
          <w:rFonts w:hint="cs"/>
          <w:rtl/>
        </w:rPr>
        <w:t xml:space="preserve"> ولا معبود إلا هو، سبحانه</w:t>
      </w:r>
      <w:r w:rsidR="000636C2">
        <w:rPr>
          <w:rFonts w:hint="cs"/>
          <w:rtl/>
        </w:rPr>
        <w:t xml:space="preserve">]، </w:t>
      </w:r>
      <w:r w:rsidRPr="005675B2">
        <w:rPr>
          <w:rFonts w:hint="cs"/>
          <w:rtl/>
        </w:rPr>
        <w:t>5 - وقال الإمام العز ابن عبد السلام بعد ذكر الصفات الواجبة لله تعالى</w:t>
      </w:r>
      <w:r w:rsidR="000636C2">
        <w:rPr>
          <w:rFonts w:hint="cs"/>
          <w:rtl/>
        </w:rPr>
        <w:t>:</w:t>
      </w:r>
      <w:r w:rsidRPr="005675B2">
        <w:rPr>
          <w:rFonts w:hint="cs"/>
          <w:rtl/>
        </w:rPr>
        <w:t xml:space="preserve"> </w:t>
      </w:r>
      <w:r w:rsidR="000636C2">
        <w:rPr>
          <w:rFonts w:hint="cs"/>
          <w:rtl/>
        </w:rPr>
        <w:t>[</w:t>
      </w:r>
      <w:r w:rsidRPr="005675B2">
        <w:rPr>
          <w:rFonts w:hint="cs"/>
          <w:rtl/>
        </w:rPr>
        <w:t>فإن الألوهية ترجع إلى استحقاق العبودية</w:t>
      </w:r>
      <w:r w:rsidR="000636C2">
        <w:rPr>
          <w:rFonts w:hint="cs"/>
          <w:rtl/>
        </w:rPr>
        <w:t>،</w:t>
      </w:r>
      <w:r w:rsidRPr="005675B2">
        <w:rPr>
          <w:rFonts w:hint="cs"/>
          <w:rtl/>
        </w:rPr>
        <w:t xml:space="preserve"> ولا يستحق العبودية إلا من اتصف بجميع ما ذكرناه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ولا يستحق الإلهية إلا من اتصف بجميع ما قررناه</w:t>
      </w:r>
      <w:r w:rsidR="000636C2">
        <w:rPr>
          <w:rFonts w:hint="cs"/>
          <w:rtl/>
        </w:rPr>
        <w:t>]</w:t>
      </w:r>
      <w:r w:rsidRPr="005675B2">
        <w:rPr>
          <w:rFonts w:hint="cs"/>
          <w:rtl/>
        </w:rPr>
        <w:t xml:space="preserve"> [</w:t>
      </w:r>
      <w:r w:rsidRPr="005675B2">
        <w:rPr>
          <w:rFonts w:hint="cs"/>
          <w:sz w:val="24"/>
          <w:szCs w:val="24"/>
          <w:rtl/>
        </w:rPr>
        <w:t>العقائد للعز ابن عبد السلام: ص 11</w:t>
      </w:r>
      <w:r w:rsidR="000636C2">
        <w:rPr>
          <w:rFonts w:hint="cs"/>
          <w:sz w:val="24"/>
          <w:szCs w:val="24"/>
          <w:rtl/>
        </w:rPr>
        <w:t>،</w:t>
      </w:r>
      <w:r w:rsidRPr="005675B2">
        <w:rPr>
          <w:rFonts w:hint="cs"/>
          <w:sz w:val="24"/>
          <w:szCs w:val="24"/>
          <w:rtl/>
        </w:rPr>
        <w:t xml:space="preserve"> 13</w:t>
      </w:r>
      <w:r w:rsidR="000636C2">
        <w:rPr>
          <w:rFonts w:hint="cs"/>
          <w:sz w:val="24"/>
          <w:szCs w:val="24"/>
          <w:rtl/>
        </w:rPr>
        <w:t>]</w:t>
      </w:r>
      <w:r w:rsidR="000636C2">
        <w:rPr>
          <w:rFonts w:hint="cs"/>
          <w:rtl/>
        </w:rPr>
        <w:t xml:space="preserve">، </w:t>
      </w:r>
      <w:r w:rsidRPr="005675B2">
        <w:rPr>
          <w:rFonts w:hint="cs"/>
          <w:rtl/>
        </w:rPr>
        <w:t>6 - وقال الإمام السنوسي رحمه الله</w:t>
      </w:r>
      <w:r w:rsidR="000636C2">
        <w:rPr>
          <w:rFonts w:hint="cs"/>
          <w:rtl/>
        </w:rPr>
        <w:t>:</w:t>
      </w:r>
      <w:r w:rsidRPr="005675B2">
        <w:rPr>
          <w:rFonts w:hint="cs"/>
          <w:rtl/>
        </w:rPr>
        <w:t xml:space="preserve"> </w:t>
      </w:r>
      <w:r w:rsidR="000636C2">
        <w:rPr>
          <w:rFonts w:hint="cs"/>
          <w:rtl/>
        </w:rPr>
        <w:t>[</w:t>
      </w:r>
      <w:r w:rsidRPr="005675B2">
        <w:rPr>
          <w:rFonts w:hint="cs"/>
          <w:rtl/>
        </w:rPr>
        <w:t>وأنواع الشرك ستة</w:t>
      </w:r>
      <w:r w:rsidR="000636C2">
        <w:rPr>
          <w:rFonts w:hint="cs"/>
          <w:rtl/>
        </w:rPr>
        <w:t>:</w:t>
      </w:r>
      <w:r w:rsidRPr="005675B2">
        <w:rPr>
          <w:rFonts w:hint="cs"/>
          <w:rtl/>
        </w:rPr>
        <w:t xml:space="preserve"> شرك استقلال</w:t>
      </w:r>
      <w:r w:rsidR="000636C2">
        <w:rPr>
          <w:rFonts w:hint="cs"/>
          <w:rtl/>
        </w:rPr>
        <w:t>،</w:t>
      </w:r>
      <w:r w:rsidRPr="005675B2">
        <w:rPr>
          <w:rFonts w:hint="cs"/>
          <w:rtl/>
        </w:rPr>
        <w:t xml:space="preserve"> وهو إثبات إلهين مستقلين</w:t>
      </w:r>
      <w:r w:rsidR="000636C2">
        <w:rPr>
          <w:rFonts w:hint="cs"/>
          <w:rtl/>
        </w:rPr>
        <w:t>،</w:t>
      </w:r>
      <w:r w:rsidRPr="005675B2">
        <w:rPr>
          <w:rFonts w:hint="cs"/>
          <w:rtl/>
        </w:rPr>
        <w:t xml:space="preserve"> كشرك المجوس</w:t>
      </w:r>
      <w:r w:rsidR="000636C2">
        <w:rPr>
          <w:rFonts w:hint="cs"/>
          <w:rtl/>
        </w:rPr>
        <w:t>،</w:t>
      </w:r>
      <w:r w:rsidRPr="005675B2">
        <w:rPr>
          <w:rFonts w:hint="cs"/>
          <w:rtl/>
        </w:rPr>
        <w:t xml:space="preserve"> وشرك تبعيض</w:t>
      </w:r>
      <w:r w:rsidR="000636C2">
        <w:rPr>
          <w:rFonts w:hint="cs"/>
          <w:rtl/>
        </w:rPr>
        <w:t>،</w:t>
      </w:r>
      <w:r w:rsidRPr="005675B2">
        <w:rPr>
          <w:rFonts w:hint="cs"/>
          <w:rtl/>
        </w:rPr>
        <w:t xml:space="preserve"> وهو تركيب إله من آلهة</w:t>
      </w:r>
      <w:r w:rsidR="000636C2">
        <w:rPr>
          <w:rFonts w:hint="cs"/>
          <w:rtl/>
        </w:rPr>
        <w:t>،</w:t>
      </w:r>
      <w:r w:rsidRPr="005675B2">
        <w:rPr>
          <w:rFonts w:hint="cs"/>
          <w:rtl/>
        </w:rPr>
        <w:t xml:space="preserve"> كشرك النصارى</w:t>
      </w:r>
      <w:r w:rsidR="000636C2">
        <w:rPr>
          <w:rFonts w:hint="cs"/>
          <w:rtl/>
        </w:rPr>
        <w:t>،</w:t>
      </w:r>
      <w:r w:rsidRPr="005675B2">
        <w:rPr>
          <w:rFonts w:hint="cs"/>
          <w:rtl/>
        </w:rPr>
        <w:t xml:space="preserve"> وشرك تقريب</w:t>
      </w:r>
      <w:r w:rsidR="000636C2">
        <w:rPr>
          <w:rFonts w:hint="cs"/>
          <w:rtl/>
        </w:rPr>
        <w:t>،</w:t>
      </w:r>
      <w:r w:rsidRPr="005675B2">
        <w:rPr>
          <w:rFonts w:hint="cs"/>
          <w:rtl/>
        </w:rPr>
        <w:t xml:space="preserve"> وهو عبادة غير الله تعالى ليقرب إلى الله تعالى زلفى</w:t>
      </w:r>
      <w:r w:rsidR="000636C2">
        <w:rPr>
          <w:rFonts w:hint="cs"/>
          <w:rtl/>
        </w:rPr>
        <w:t>،</w:t>
      </w:r>
      <w:r w:rsidRPr="005675B2">
        <w:rPr>
          <w:rFonts w:hint="cs"/>
          <w:rtl/>
        </w:rPr>
        <w:t xml:space="preserve"> كشرك متقدمي الجاهلية</w:t>
      </w:r>
      <w:r w:rsidR="000636C2">
        <w:rPr>
          <w:rFonts w:hint="cs"/>
          <w:rtl/>
        </w:rPr>
        <w:t>،</w:t>
      </w:r>
      <w:r w:rsidRPr="005675B2">
        <w:rPr>
          <w:rFonts w:hint="cs"/>
          <w:rtl/>
        </w:rPr>
        <w:t xml:space="preserve"> وشرك تقليد</w:t>
      </w:r>
      <w:r w:rsidR="000636C2">
        <w:rPr>
          <w:rFonts w:hint="cs"/>
          <w:rtl/>
        </w:rPr>
        <w:t>،</w:t>
      </w:r>
      <w:r w:rsidRPr="005675B2">
        <w:rPr>
          <w:rFonts w:hint="cs"/>
          <w:rtl/>
        </w:rPr>
        <w:t xml:space="preserve"> وهو عبادة غير الله تعالى تبعاً للغير</w:t>
      </w:r>
      <w:r w:rsidR="000636C2">
        <w:rPr>
          <w:rFonts w:hint="cs"/>
          <w:rtl/>
        </w:rPr>
        <w:t>،</w:t>
      </w:r>
      <w:r w:rsidRPr="005675B2">
        <w:rPr>
          <w:rFonts w:hint="cs"/>
          <w:rtl/>
        </w:rPr>
        <w:t xml:space="preserve"> كشرك متأخري الجاهلية</w:t>
      </w:r>
      <w:r w:rsidR="000636C2">
        <w:rPr>
          <w:rFonts w:hint="cs"/>
          <w:rtl/>
        </w:rPr>
        <w:t>،</w:t>
      </w:r>
      <w:r w:rsidRPr="005675B2">
        <w:rPr>
          <w:rFonts w:hint="cs"/>
          <w:rtl/>
        </w:rPr>
        <w:t xml:space="preserve"> وشرك الأسباب</w:t>
      </w:r>
      <w:r w:rsidR="000636C2">
        <w:rPr>
          <w:rFonts w:hint="cs"/>
          <w:rtl/>
        </w:rPr>
        <w:t>،</w:t>
      </w:r>
      <w:r w:rsidRPr="005675B2">
        <w:rPr>
          <w:rFonts w:hint="cs"/>
          <w:rtl/>
        </w:rPr>
        <w:t xml:space="preserve"> وهو إسناد التأثير للأسباب العادية</w:t>
      </w:r>
      <w:r w:rsidR="000636C2">
        <w:rPr>
          <w:rFonts w:hint="cs"/>
          <w:rtl/>
        </w:rPr>
        <w:t>،</w:t>
      </w:r>
      <w:r w:rsidRPr="005675B2">
        <w:rPr>
          <w:rFonts w:hint="cs"/>
          <w:rtl/>
        </w:rPr>
        <w:t xml:space="preserve"> كشرك الفلاسفة والطبائعيين ومن تبعهم على ذلك</w:t>
      </w:r>
      <w:r w:rsidR="000636C2">
        <w:rPr>
          <w:rFonts w:hint="cs"/>
          <w:rtl/>
        </w:rPr>
        <w:t>،</w:t>
      </w:r>
      <w:r w:rsidRPr="005675B2">
        <w:rPr>
          <w:rFonts w:hint="cs"/>
          <w:rtl/>
        </w:rPr>
        <w:t xml:space="preserve"> وشرك الأغراض</w:t>
      </w:r>
      <w:r w:rsidR="000636C2">
        <w:rPr>
          <w:rFonts w:hint="cs"/>
          <w:rtl/>
        </w:rPr>
        <w:t>،</w:t>
      </w:r>
      <w:r w:rsidRPr="005675B2">
        <w:rPr>
          <w:rFonts w:hint="cs"/>
          <w:rtl/>
        </w:rPr>
        <w:t xml:space="preserve"> وهو العمل لغير الله تعالى</w:t>
      </w:r>
      <w:r w:rsidR="000636C2">
        <w:rPr>
          <w:rFonts w:hint="cs"/>
          <w:rtl/>
        </w:rPr>
        <w:t>،</w:t>
      </w:r>
      <w:r w:rsidRPr="005675B2">
        <w:rPr>
          <w:rFonts w:hint="cs"/>
          <w:rtl/>
        </w:rPr>
        <w:t xml:space="preserve"> وحكم الأربعة الأُوَل الكفر بإجماع</w:t>
      </w:r>
      <w:r w:rsidR="000636C2">
        <w:rPr>
          <w:rFonts w:hint="cs"/>
          <w:rtl/>
        </w:rPr>
        <w:t>،</w:t>
      </w:r>
      <w:r w:rsidRPr="005675B2">
        <w:rPr>
          <w:rFonts w:hint="cs"/>
          <w:rtl/>
        </w:rPr>
        <w:t>وحكم السادس المعصية</w:t>
      </w:r>
      <w:r w:rsidR="000636C2">
        <w:rPr>
          <w:rFonts w:hint="cs"/>
          <w:rtl/>
        </w:rPr>
        <w:t>،</w:t>
      </w:r>
      <w:r w:rsidRPr="005675B2">
        <w:rPr>
          <w:rFonts w:hint="cs"/>
          <w:rtl/>
        </w:rPr>
        <w:t xml:space="preserve"> وحكم الخامس التفصيل ..</w:t>
      </w:r>
      <w:r w:rsidR="000636C2">
        <w:rPr>
          <w:rFonts w:hint="cs"/>
          <w:rtl/>
        </w:rPr>
        <w:t>]</w:t>
      </w:r>
      <w:r w:rsidRPr="005675B2">
        <w:rPr>
          <w:rFonts w:hint="cs"/>
          <w:rtl/>
        </w:rPr>
        <w:t xml:space="preserve"> [</w:t>
      </w:r>
      <w:r w:rsidRPr="005675B2">
        <w:rPr>
          <w:rFonts w:hint="cs"/>
          <w:sz w:val="24"/>
          <w:szCs w:val="24"/>
          <w:rtl/>
        </w:rPr>
        <w:t>شرح المقدمات للسنوسي: ص 33</w:t>
      </w:r>
      <w:r w:rsidR="000636C2">
        <w:rPr>
          <w:rFonts w:hint="cs"/>
          <w:sz w:val="24"/>
          <w:szCs w:val="24"/>
          <w:rtl/>
        </w:rPr>
        <w:t>،</w:t>
      </w:r>
      <w:r w:rsidRPr="005675B2">
        <w:rPr>
          <w:rFonts w:hint="cs"/>
          <w:sz w:val="24"/>
          <w:szCs w:val="24"/>
          <w:rtl/>
        </w:rPr>
        <w:t xml:space="preserve"> 40</w:t>
      </w:r>
      <w:r w:rsidR="000636C2">
        <w:rPr>
          <w:rFonts w:hint="cs"/>
          <w:sz w:val="24"/>
          <w:szCs w:val="24"/>
          <w:rtl/>
        </w:rPr>
        <w:t>]</w:t>
      </w:r>
      <w:r w:rsidRPr="005675B2">
        <w:rPr>
          <w:rFonts w:hint="cs"/>
          <w:rtl/>
        </w:rPr>
        <w:t>،</w:t>
      </w:r>
      <w:r w:rsidR="000636C2">
        <w:rPr>
          <w:rFonts w:hint="cs"/>
          <w:rtl/>
        </w:rPr>
        <w:t xml:space="preserve"> </w:t>
      </w:r>
      <w:r w:rsidRPr="005675B2">
        <w:rPr>
          <w:rFonts w:hint="cs"/>
          <w:rtl/>
        </w:rPr>
        <w:t>فالنوعان الأولان المذكوران هنا منافيان لتوحيد الربوبية</w:t>
      </w:r>
      <w:r w:rsidR="000636C2">
        <w:rPr>
          <w:rFonts w:hint="cs"/>
          <w:rtl/>
        </w:rPr>
        <w:t>،</w:t>
      </w:r>
      <w:r w:rsidRPr="005675B2">
        <w:rPr>
          <w:rFonts w:hint="cs"/>
          <w:rtl/>
        </w:rPr>
        <w:t xml:space="preserve"> وهما شرك الاستقلال وشرك التبعيض</w:t>
      </w:r>
      <w:r w:rsidR="000636C2">
        <w:rPr>
          <w:rFonts w:hint="cs"/>
          <w:rtl/>
        </w:rPr>
        <w:t>،</w:t>
      </w:r>
      <w:r w:rsidRPr="005675B2">
        <w:rPr>
          <w:rFonts w:hint="cs"/>
          <w:rtl/>
        </w:rPr>
        <w:t xml:space="preserve"> والنوعان التاليان لهما منافيان لتوحيد الألوهية</w:t>
      </w:r>
      <w:r w:rsidR="000636C2">
        <w:rPr>
          <w:rFonts w:hint="cs"/>
          <w:rtl/>
        </w:rPr>
        <w:t>،</w:t>
      </w:r>
      <w:r w:rsidRPr="005675B2">
        <w:rPr>
          <w:rFonts w:hint="cs"/>
          <w:rtl/>
        </w:rPr>
        <w:t xml:space="preserve"> وهما شرك التقريب وشرك التقليد</w:t>
      </w:r>
      <w:r w:rsidR="000636C2">
        <w:rPr>
          <w:rFonts w:hint="cs"/>
          <w:rtl/>
        </w:rPr>
        <w:t>،</w:t>
      </w:r>
      <w:r w:rsidRPr="005675B2">
        <w:rPr>
          <w:rFonts w:hint="cs"/>
          <w:rtl/>
        </w:rPr>
        <w:t xml:space="preserve"> ويقرر السنوسي أن الحكم في هذه الأنواع الأربعة هو الكفر</w:t>
      </w:r>
      <w:r w:rsidR="000636C2">
        <w:rPr>
          <w:rFonts w:hint="cs"/>
          <w:rtl/>
        </w:rPr>
        <w:t>،</w:t>
      </w:r>
      <w:r w:rsidRPr="005675B2">
        <w:rPr>
          <w:rFonts w:hint="cs"/>
          <w:rtl/>
        </w:rPr>
        <w:t xml:space="preserve"> وأن ذلك بالإجماع</w:t>
      </w:r>
      <w:r w:rsidR="000636C2">
        <w:rPr>
          <w:rFonts w:hint="cs"/>
          <w:rtl/>
        </w:rPr>
        <w:t xml:space="preserve">، </w:t>
      </w:r>
      <w:r w:rsidRPr="005675B2">
        <w:rPr>
          <w:rFonts w:hint="cs"/>
          <w:rtl/>
        </w:rPr>
        <w:t>وقال السنوسي</w:t>
      </w:r>
      <w:r w:rsidR="000636C2">
        <w:rPr>
          <w:rFonts w:hint="cs"/>
          <w:rtl/>
        </w:rPr>
        <w:t>:</w:t>
      </w:r>
      <w:r w:rsidRPr="005675B2">
        <w:rPr>
          <w:rFonts w:hint="cs"/>
          <w:rtl/>
        </w:rPr>
        <w:t xml:space="preserve"> </w:t>
      </w:r>
      <w:r w:rsidR="000636C2">
        <w:rPr>
          <w:rFonts w:hint="cs"/>
          <w:rtl/>
        </w:rPr>
        <w:t>[</w:t>
      </w:r>
      <w:r w:rsidRPr="005675B2">
        <w:rPr>
          <w:rFonts w:hint="cs"/>
          <w:rtl/>
        </w:rPr>
        <w:t>وحقيقة الإله هو الواجب الوجود المستحق للعبادة .. والمعنى على هذا لا مستحق للعبودية له موجوداً</w:t>
      </w:r>
      <w:r w:rsidR="000636C2">
        <w:rPr>
          <w:rFonts w:hint="cs"/>
          <w:rtl/>
        </w:rPr>
        <w:t xml:space="preserve"> </w:t>
      </w:r>
      <w:r w:rsidRPr="005675B2">
        <w:rPr>
          <w:rFonts w:hint="cs"/>
          <w:rtl/>
        </w:rPr>
        <w:t>- أو في الوجود</w:t>
      </w:r>
      <w:r w:rsidR="000636C2">
        <w:rPr>
          <w:rFonts w:hint="cs"/>
          <w:rtl/>
        </w:rPr>
        <w:t xml:space="preserve"> </w:t>
      </w:r>
      <w:r w:rsidRPr="005675B2">
        <w:rPr>
          <w:rFonts w:hint="cs"/>
          <w:rtl/>
        </w:rPr>
        <w:t>- إلا الفرد الذي هو خالق العالم جلّ وعلا ..</w:t>
      </w:r>
      <w:r w:rsidR="000636C2">
        <w:rPr>
          <w:rFonts w:hint="cs"/>
          <w:rtl/>
        </w:rPr>
        <w:t>،</w:t>
      </w:r>
      <w:r w:rsidRPr="005675B2">
        <w:rPr>
          <w:rFonts w:hint="cs"/>
          <w:rtl/>
        </w:rPr>
        <w:t xml:space="preserve"> لأنه لا يستحق أن يعبد</w:t>
      </w:r>
      <w:r w:rsidR="000636C2">
        <w:rPr>
          <w:rFonts w:hint="cs"/>
          <w:rtl/>
        </w:rPr>
        <w:t xml:space="preserve"> </w:t>
      </w:r>
      <w:r w:rsidRPr="005675B2">
        <w:rPr>
          <w:rFonts w:hint="cs"/>
          <w:rtl/>
        </w:rPr>
        <w:t>- أي يذل له كل شيء</w:t>
      </w:r>
      <w:r w:rsidR="000636C2">
        <w:rPr>
          <w:rFonts w:hint="cs"/>
          <w:rtl/>
        </w:rPr>
        <w:t xml:space="preserve"> </w:t>
      </w:r>
      <w:r w:rsidRPr="005675B2">
        <w:rPr>
          <w:rFonts w:hint="cs"/>
          <w:rtl/>
        </w:rPr>
        <w:t>- إلا من كان مستغنياً عن كل ما سواه ومفتقراً</w:t>
      </w:r>
      <w:r w:rsidR="000636C2">
        <w:rPr>
          <w:rFonts w:hint="cs"/>
          <w:rtl/>
        </w:rPr>
        <w:t xml:space="preserve"> </w:t>
      </w:r>
      <w:r w:rsidRPr="005675B2">
        <w:rPr>
          <w:rFonts w:hint="cs"/>
          <w:rtl/>
        </w:rPr>
        <w:t>إليه كل ما عداه</w:t>
      </w:r>
      <w:r w:rsidR="000636C2">
        <w:rPr>
          <w:rFonts w:hint="cs"/>
          <w:rtl/>
        </w:rPr>
        <w:t>]</w:t>
      </w:r>
      <w:r w:rsidRPr="005675B2">
        <w:rPr>
          <w:rFonts w:hint="cs"/>
          <w:rtl/>
        </w:rPr>
        <w:t xml:space="preserve"> [</w:t>
      </w:r>
      <w:r w:rsidRPr="005675B2">
        <w:rPr>
          <w:rFonts w:hint="cs"/>
          <w:sz w:val="24"/>
          <w:szCs w:val="24"/>
          <w:rtl/>
        </w:rPr>
        <w:t>شرح أم البراهين للسنوسي: ص 206 – 207</w:t>
      </w:r>
      <w:r w:rsidR="000636C2">
        <w:rPr>
          <w:rFonts w:hint="cs"/>
          <w:sz w:val="24"/>
          <w:szCs w:val="24"/>
          <w:rtl/>
        </w:rPr>
        <w:t>،</w:t>
      </w:r>
      <w:r w:rsidRPr="005675B2">
        <w:rPr>
          <w:rFonts w:hint="cs"/>
          <w:sz w:val="24"/>
          <w:szCs w:val="24"/>
          <w:rtl/>
        </w:rPr>
        <w:t xml:space="preserve"> المطبوع مع حاشية الدسوقي</w:t>
      </w:r>
      <w:r w:rsidR="000636C2">
        <w:rPr>
          <w:rFonts w:hint="cs"/>
          <w:sz w:val="24"/>
          <w:szCs w:val="24"/>
          <w:rtl/>
        </w:rPr>
        <w:t>]</w:t>
      </w:r>
      <w:r w:rsidR="000636C2">
        <w:rPr>
          <w:rFonts w:hint="cs"/>
          <w:rtl/>
        </w:rPr>
        <w:t xml:space="preserve">، </w:t>
      </w:r>
      <w:r w:rsidRPr="005675B2">
        <w:rPr>
          <w:rFonts w:hint="cs"/>
          <w:rtl/>
        </w:rPr>
        <w:t>وقال البيجوري</w:t>
      </w:r>
      <w:r w:rsidR="000636C2">
        <w:rPr>
          <w:rFonts w:hint="cs"/>
          <w:rtl/>
        </w:rPr>
        <w:t>:</w:t>
      </w:r>
      <w:r w:rsidRPr="005675B2">
        <w:rPr>
          <w:rFonts w:hint="cs"/>
          <w:rtl/>
        </w:rPr>
        <w:t xml:space="preserve"> </w:t>
      </w:r>
      <w:r w:rsidR="000636C2">
        <w:rPr>
          <w:rFonts w:hint="cs"/>
          <w:rtl/>
        </w:rPr>
        <w:t>[</w:t>
      </w:r>
      <w:r w:rsidRPr="005675B2">
        <w:rPr>
          <w:rFonts w:hint="cs"/>
          <w:rtl/>
        </w:rPr>
        <w:t>ومعنى الإله</w:t>
      </w:r>
      <w:r w:rsidR="000636C2">
        <w:rPr>
          <w:rFonts w:hint="cs"/>
          <w:rtl/>
        </w:rPr>
        <w:t>:</w:t>
      </w:r>
      <w:r w:rsidRPr="005675B2">
        <w:rPr>
          <w:rFonts w:hint="cs"/>
          <w:rtl/>
        </w:rPr>
        <w:t xml:space="preserve"> المعبود بحق ..</w:t>
      </w:r>
      <w:r w:rsidR="000636C2">
        <w:rPr>
          <w:rFonts w:hint="cs"/>
          <w:rtl/>
        </w:rPr>
        <w:t>،</w:t>
      </w:r>
      <w:r w:rsidRPr="005675B2">
        <w:rPr>
          <w:rFonts w:hint="cs"/>
          <w:rtl/>
        </w:rPr>
        <w:t xml:space="preserve"> وإذا كان معنى الإله ما ذكر كان معنى لا إله إلا الله لا معبود بحق إلا الله</w:t>
      </w:r>
      <w:r w:rsidR="000636C2">
        <w:rPr>
          <w:rFonts w:hint="cs"/>
          <w:rtl/>
        </w:rPr>
        <w:t>]</w:t>
      </w:r>
      <w:r w:rsidRPr="005675B2">
        <w:rPr>
          <w:rFonts w:hint="cs"/>
          <w:rtl/>
        </w:rPr>
        <w:t xml:space="preserve"> [</w:t>
      </w:r>
      <w:r w:rsidRPr="005675B2">
        <w:rPr>
          <w:rFonts w:hint="cs"/>
          <w:sz w:val="24"/>
          <w:szCs w:val="24"/>
          <w:rtl/>
        </w:rPr>
        <w:t>حاشية البيجوري على متن السنوسية: ص 42</w:t>
      </w:r>
      <w:r w:rsidR="000636C2">
        <w:rPr>
          <w:rFonts w:hint="cs"/>
          <w:sz w:val="24"/>
          <w:szCs w:val="24"/>
          <w:rtl/>
        </w:rPr>
        <w:t>]</w:t>
      </w:r>
      <w:r w:rsidR="000636C2">
        <w:rPr>
          <w:rFonts w:hint="cs"/>
          <w:rtl/>
        </w:rPr>
        <w:t xml:space="preserve">، </w:t>
      </w:r>
      <w:r w:rsidRPr="005675B2">
        <w:rPr>
          <w:rFonts w:hint="cs"/>
          <w:rtl/>
        </w:rPr>
        <w:t>7 - فهل يحذر الأشاعرة من الشرك أو لا</w:t>
      </w:r>
      <w:r w:rsidR="000636C2">
        <w:rPr>
          <w:rFonts w:hint="cs"/>
          <w:rtl/>
        </w:rPr>
        <w:t>؟!</w:t>
      </w:r>
      <w:r w:rsidRPr="005675B2">
        <w:rPr>
          <w:rFonts w:hint="cs"/>
          <w:rtl/>
        </w:rPr>
        <w:t xml:space="preserve"> وهل يذكرون التوحيد الحقيقي</w:t>
      </w:r>
      <w:r w:rsidR="000636C2">
        <w:rPr>
          <w:rFonts w:hint="cs"/>
          <w:rtl/>
        </w:rPr>
        <w:t xml:space="preserve"> </w:t>
      </w:r>
      <w:r w:rsidRPr="005675B2">
        <w:rPr>
          <w:rFonts w:hint="cs"/>
          <w:rtl/>
        </w:rPr>
        <w:t>- الذي هو توحيد العبادة وإفراد الله تعالى بالألوهية</w:t>
      </w:r>
      <w:r w:rsidR="000636C2">
        <w:rPr>
          <w:rFonts w:hint="cs"/>
          <w:rtl/>
        </w:rPr>
        <w:t xml:space="preserve"> </w:t>
      </w:r>
      <w:r w:rsidRPr="005675B2">
        <w:rPr>
          <w:rFonts w:hint="cs"/>
          <w:rtl/>
        </w:rPr>
        <w:t>- أو لا</w:t>
      </w:r>
      <w:r w:rsidR="000636C2">
        <w:rPr>
          <w:rFonts w:hint="cs"/>
          <w:rtl/>
        </w:rPr>
        <w:t xml:space="preserve">؟، </w:t>
      </w:r>
      <w:r w:rsidRPr="005675B2">
        <w:rPr>
          <w:rFonts w:hint="cs"/>
          <w:rtl/>
        </w:rPr>
        <w:t>ولعلك تدرك</w:t>
      </w:r>
      <w:r w:rsidR="000636C2">
        <w:rPr>
          <w:rFonts w:hint="cs"/>
          <w:rtl/>
        </w:rPr>
        <w:t xml:space="preserve"> </w:t>
      </w:r>
      <w:r w:rsidRPr="005675B2">
        <w:rPr>
          <w:rFonts w:hint="cs"/>
          <w:rtl/>
        </w:rPr>
        <w:t>- أيها الأخ الباحث</w:t>
      </w:r>
      <w:r w:rsidR="000636C2">
        <w:rPr>
          <w:rFonts w:hint="cs"/>
          <w:rtl/>
        </w:rPr>
        <w:t xml:space="preserve"> </w:t>
      </w:r>
      <w:r w:rsidRPr="005675B2">
        <w:rPr>
          <w:rFonts w:hint="cs"/>
          <w:rtl/>
        </w:rPr>
        <w:t>- بعد الآن أن كتب الأشاعرة ركزت في العقيدة على توحيد الربوبية ودلائله العقلية ولم تترك الحديث عن توحيد الألوهية</w:t>
      </w:r>
      <w:r w:rsidR="000636C2">
        <w:rPr>
          <w:rFonts w:hint="cs"/>
          <w:rtl/>
        </w:rPr>
        <w:t>،</w:t>
      </w:r>
      <w:r w:rsidRPr="005675B2">
        <w:rPr>
          <w:rFonts w:hint="cs"/>
          <w:rtl/>
        </w:rPr>
        <w:t xml:space="preserve"> وأن الأشاعرة برآء من التهمة التي حاولت إلصاقها بهم</w:t>
      </w:r>
      <w:r w:rsidR="000636C2">
        <w:rPr>
          <w:rFonts w:hint="cs"/>
          <w:rtl/>
        </w:rPr>
        <w:t>،</w:t>
      </w:r>
      <w:r w:rsidRPr="005675B2">
        <w:rPr>
          <w:rFonts w:hint="cs"/>
          <w:rtl/>
        </w:rPr>
        <w:t xml:space="preserve"> وهي أن التوحيد الحقيقي لا ذكر له في كتبهم</w:t>
      </w:r>
      <w:r w:rsidR="000636C2">
        <w:rPr>
          <w:rFonts w:hint="cs"/>
          <w:rtl/>
        </w:rPr>
        <w:t>،</w:t>
      </w:r>
      <w:r w:rsidRPr="005675B2">
        <w:rPr>
          <w:rFonts w:hint="cs"/>
          <w:rtl/>
        </w:rPr>
        <w:t xml:space="preserve"> لا في كتب العقيدة</w:t>
      </w:r>
      <w:r w:rsidR="000636C2">
        <w:rPr>
          <w:rFonts w:hint="cs"/>
          <w:rtl/>
        </w:rPr>
        <w:t>،</w:t>
      </w:r>
      <w:r w:rsidRPr="005675B2">
        <w:rPr>
          <w:rFonts w:hint="cs"/>
          <w:rtl/>
        </w:rPr>
        <w:t xml:space="preserve"> ولا في كتب الفروع</w:t>
      </w:r>
      <w:r w:rsidR="000636C2">
        <w:rPr>
          <w:rFonts w:hint="cs"/>
          <w:rtl/>
        </w:rPr>
        <w:t>،</w:t>
      </w:r>
      <w:r w:rsidRPr="005675B2">
        <w:rPr>
          <w:rFonts w:hint="cs"/>
          <w:rtl/>
        </w:rPr>
        <w:t xml:space="preserve"> وأنك تجزم بهذا</w:t>
      </w:r>
      <w:r w:rsidR="000636C2">
        <w:rPr>
          <w:rFonts w:hint="cs"/>
          <w:rtl/>
        </w:rPr>
        <w:t>!،</w:t>
      </w:r>
    </w:p>
    <w:p w14:paraId="299F1E00" w14:textId="1567A428"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وينكر الأشاعرة المعرفة الفطرية</w:t>
      </w:r>
      <w:r w:rsidR="000636C2">
        <w:rPr>
          <w:rFonts w:hint="cs"/>
          <w:rtl/>
        </w:rPr>
        <w:t>،</w:t>
      </w:r>
      <w:r w:rsidRPr="005675B2">
        <w:rPr>
          <w:rFonts w:hint="cs"/>
          <w:rtl/>
        </w:rPr>
        <w:t xml:space="preserve"> ويقولون إن من آمن بالله بغير طريق النظر فإنما هو مقلد</w:t>
      </w:r>
      <w:r w:rsidR="000636C2">
        <w:rPr>
          <w:rFonts w:hint="cs"/>
          <w:rtl/>
        </w:rPr>
        <w:t>،</w:t>
      </w:r>
      <w:r w:rsidRPr="005675B2">
        <w:rPr>
          <w:rFonts w:hint="cs"/>
          <w:rtl/>
        </w:rPr>
        <w:t xml:space="preserve"> ورجح بعضهم كفره</w:t>
      </w:r>
      <w:r w:rsidR="000636C2">
        <w:rPr>
          <w:rFonts w:hint="cs"/>
          <w:rtl/>
        </w:rPr>
        <w:t>،</w:t>
      </w:r>
      <w:r w:rsidRPr="005675B2">
        <w:rPr>
          <w:rFonts w:hint="cs"/>
          <w:rtl/>
        </w:rPr>
        <w:t xml:space="preserve"> واكتفى بعضهم بتعصيته</w:t>
      </w:r>
      <w:r w:rsidR="000636C2">
        <w:rPr>
          <w:rFonts w:hint="cs"/>
          <w:rtl/>
        </w:rPr>
        <w:t>،</w:t>
      </w:r>
      <w:r w:rsidRPr="005675B2">
        <w:rPr>
          <w:rFonts w:hint="cs"/>
          <w:rtl/>
        </w:rPr>
        <w:t xml:space="preserve"> وهذا ما خالفهم فيه الحافظ ابن حجر رحمه الله</w:t>
      </w:r>
      <w:r w:rsidR="000636C2">
        <w:rPr>
          <w:rFonts w:hint="cs"/>
          <w:rtl/>
        </w:rPr>
        <w:t>،</w:t>
      </w:r>
      <w:r w:rsidRPr="005675B2">
        <w:rPr>
          <w:rFonts w:hint="cs"/>
          <w:rtl/>
        </w:rPr>
        <w:t xml:space="preserve"> ونقل أقوالاً كثيرة في الرد عليهم وأن لازم قولهم تكفير العوام</w:t>
      </w:r>
      <w:r w:rsidR="000636C2">
        <w:rPr>
          <w:rFonts w:hint="cs"/>
          <w:rtl/>
        </w:rPr>
        <w:t>،</w:t>
      </w:r>
      <w:r w:rsidRPr="005675B2">
        <w:rPr>
          <w:rFonts w:hint="cs"/>
          <w:rtl/>
        </w:rPr>
        <w:t xml:space="preserve"> بل تكفير الصدر الأول</w:t>
      </w:r>
      <w:r w:rsidR="000636C2">
        <w:rPr>
          <w:rFonts w:hint="cs"/>
          <w:rtl/>
        </w:rPr>
        <w:t>]،</w:t>
      </w:r>
    </w:p>
    <w:p w14:paraId="584E9E6B" w14:textId="07D0B8C4"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1 - لم يذكر الباحث نقلاً واحداً من كتب الأشاعرة يعزز دعواه بأنهم ينكرون المعرفة الفطرية</w:t>
      </w:r>
      <w:r w:rsidR="000636C2">
        <w:rPr>
          <w:rFonts w:hint="cs"/>
          <w:rtl/>
        </w:rPr>
        <w:t xml:space="preserve">!، </w:t>
      </w:r>
      <w:r w:rsidRPr="005675B2">
        <w:rPr>
          <w:rFonts w:hint="cs"/>
          <w:rtl/>
        </w:rPr>
        <w:t xml:space="preserve">2 - إذا كان من المعلوم أن </w:t>
      </w:r>
      <w:r w:rsidR="000636C2">
        <w:rPr>
          <w:rFonts w:hint="cs"/>
          <w:rtl/>
        </w:rPr>
        <w:t>[</w:t>
      </w:r>
      <w:r w:rsidRPr="005675B2">
        <w:rPr>
          <w:rFonts w:hint="cs"/>
          <w:rtl/>
        </w:rPr>
        <w:t>فطر</w:t>
      </w:r>
      <w:r w:rsidR="000636C2">
        <w:rPr>
          <w:rFonts w:hint="cs"/>
          <w:rtl/>
        </w:rPr>
        <w:t>]</w:t>
      </w:r>
      <w:r w:rsidRPr="005675B2">
        <w:rPr>
          <w:rFonts w:hint="cs"/>
          <w:rtl/>
        </w:rPr>
        <w:t xml:space="preserve"> بمعنى خلق</w:t>
      </w:r>
      <w:r w:rsidR="000636C2">
        <w:rPr>
          <w:rFonts w:hint="cs"/>
          <w:rtl/>
        </w:rPr>
        <w:t>،</w:t>
      </w:r>
      <w:r w:rsidRPr="005675B2">
        <w:rPr>
          <w:rFonts w:hint="cs"/>
          <w:rtl/>
        </w:rPr>
        <w:t xml:space="preserve"> وأن الفطرة هي بمعنى الخلقة ؛ فما المراد ب - </w:t>
      </w:r>
      <w:r w:rsidR="000636C2">
        <w:rPr>
          <w:rFonts w:hint="cs"/>
          <w:rtl/>
        </w:rPr>
        <w:t>[</w:t>
      </w:r>
      <w:r w:rsidRPr="005675B2">
        <w:rPr>
          <w:rFonts w:hint="cs"/>
          <w:rtl/>
        </w:rPr>
        <w:t>المعرفة الفطرية</w:t>
      </w:r>
      <w:r w:rsidR="000636C2">
        <w:rPr>
          <w:rFonts w:hint="cs"/>
          <w:rtl/>
        </w:rPr>
        <w:t>]؟!</w:t>
      </w:r>
      <w:r w:rsidRPr="005675B2">
        <w:rPr>
          <w:rFonts w:hint="cs"/>
          <w:rtl/>
        </w:rPr>
        <w:t xml:space="preserve"> لم يفسر الباحث مراده بها</w:t>
      </w:r>
      <w:r w:rsidR="000636C2">
        <w:rPr>
          <w:rFonts w:hint="cs"/>
          <w:rtl/>
        </w:rPr>
        <w:t>،</w:t>
      </w:r>
      <w:r w:rsidRPr="005675B2">
        <w:rPr>
          <w:rFonts w:hint="cs"/>
          <w:rtl/>
        </w:rPr>
        <w:t xml:space="preserve"> فهل يعني الباحث أن كل إنسان إنما خلقه الله تعالى على الإيمان به وبكماله وقدرته وعلمه ووحدانيته وأخرجه من بطن أمه على هذه المعرفة</w:t>
      </w:r>
      <w:r w:rsidR="000636C2">
        <w:rPr>
          <w:rFonts w:hint="cs"/>
          <w:rtl/>
        </w:rPr>
        <w:t>؟</w:t>
      </w:r>
      <w:r w:rsidRPr="005675B2">
        <w:rPr>
          <w:rFonts w:hint="cs"/>
          <w:rtl/>
        </w:rPr>
        <w:t xml:space="preserve"> أو أن الإنسان إنما خلقه الله تعالى وجعل له في قلبه ما يدعوه إلى الإيمان بالله وإلى نبذ العقائد الباطلة</w:t>
      </w:r>
      <w:r w:rsidR="000636C2">
        <w:rPr>
          <w:rFonts w:hint="cs"/>
          <w:rtl/>
        </w:rPr>
        <w:t>؟،</w:t>
      </w:r>
      <w:r w:rsidRPr="005675B2">
        <w:rPr>
          <w:rFonts w:hint="cs"/>
          <w:rtl/>
        </w:rPr>
        <w:t xml:space="preserve"> فإن كان الباحث يعني الاحتمال الأول فهو محجوج بقوله تعالى</w:t>
      </w:r>
      <w:r w:rsidR="000636C2">
        <w:rPr>
          <w:rFonts w:hint="cs"/>
          <w:rtl/>
        </w:rPr>
        <w:t>:</w:t>
      </w:r>
      <w:r w:rsidRPr="005675B2">
        <w:rPr>
          <w:rFonts w:hint="cs"/>
          <w:rtl/>
        </w:rPr>
        <w:t xml:space="preserve"> </w:t>
      </w:r>
      <w:r w:rsidR="000636C2">
        <w:rPr>
          <w:rFonts w:hint="cs"/>
          <w:rtl/>
        </w:rPr>
        <w:t>[</w:t>
      </w:r>
      <w:r w:rsidRPr="005675B2">
        <w:rPr>
          <w:rFonts w:hint="cs"/>
          <w:rtl/>
        </w:rPr>
        <w:t>وَاللَّهُ أَخْرَجَكُمْ مِنْ بُطُونِ أُمَّهَاتِكُمْ لا تَعْلَمُونَ شَيْئاً وَجَعَلَ لَكُمُ السَّمْعَ وَالْأَبْصَارَ وَالْأَفْئِدَةَ لَعَلَّكُمْ تَشْكُرُونَ</w:t>
      </w:r>
      <w:r w:rsidR="000636C2">
        <w:rPr>
          <w:rFonts w:hint="cs"/>
          <w:rtl/>
        </w:rPr>
        <w:t>]</w:t>
      </w:r>
      <w:r w:rsidRPr="005675B2">
        <w:rPr>
          <w:rFonts w:hint="cs"/>
          <w:rtl/>
        </w:rPr>
        <w:t xml:space="preserve"> [</w:t>
      </w:r>
      <w:r w:rsidRPr="005675B2">
        <w:rPr>
          <w:rFonts w:hint="cs"/>
          <w:sz w:val="24"/>
          <w:szCs w:val="24"/>
          <w:rtl/>
        </w:rPr>
        <w:t>سورة النحل الآية 78</w:t>
      </w:r>
      <w:r w:rsidR="000636C2">
        <w:rPr>
          <w:rFonts w:hint="cs"/>
          <w:sz w:val="24"/>
          <w:szCs w:val="24"/>
          <w:rtl/>
        </w:rPr>
        <w:t>]</w:t>
      </w:r>
      <w:r w:rsidR="000636C2">
        <w:rPr>
          <w:rFonts w:hint="cs"/>
          <w:rtl/>
        </w:rPr>
        <w:t xml:space="preserve">، </w:t>
      </w:r>
      <w:r w:rsidRPr="005675B2">
        <w:rPr>
          <w:rFonts w:hint="cs"/>
          <w:rtl/>
        </w:rPr>
        <w:t>ومما يزيد الأمر وضوحاً أن الله تعالى أخبر أنه أخرج الناس من بطون أمهاتهم لا يعلمون شيئاً، ثم ذكر ما امتنّ به عليهم إذ جعل لهم أسباب الوصول إلى العلم من سمع وأبصار وأفئدة</w:t>
      </w:r>
      <w:r w:rsidR="000636C2">
        <w:rPr>
          <w:rFonts w:hint="cs"/>
          <w:rtl/>
        </w:rPr>
        <w:t xml:space="preserve">، </w:t>
      </w:r>
      <w:r w:rsidRPr="005675B2">
        <w:rPr>
          <w:rFonts w:hint="cs"/>
          <w:rtl/>
        </w:rPr>
        <w:t>وإن كان الباحث يعني الاحتمال الثاني فإن الأشاعرة لا ينكرونه</w:t>
      </w:r>
      <w:r w:rsidR="000636C2">
        <w:rPr>
          <w:rFonts w:hint="cs"/>
          <w:rtl/>
        </w:rPr>
        <w:t>،</w:t>
      </w:r>
      <w:r w:rsidRPr="005675B2">
        <w:rPr>
          <w:rFonts w:hint="cs"/>
          <w:rtl/>
        </w:rPr>
        <w:t xml:space="preserve"> ولكن داعية الإيمان في قلب العبد تظل بحاجة إلى الدليل الذي يحدد القضايا الإيمانية ويثبتها</w:t>
      </w:r>
      <w:r w:rsidR="000636C2">
        <w:rPr>
          <w:rFonts w:hint="cs"/>
          <w:rtl/>
        </w:rPr>
        <w:t>،</w:t>
      </w:r>
      <w:r w:rsidRPr="005675B2">
        <w:rPr>
          <w:rFonts w:hint="cs"/>
          <w:rtl/>
        </w:rPr>
        <w:t xml:space="preserve"> ولذا جاء القرآن الكريم مشحوناً بالآيات المشتملة على الأدلة العقلية على وجود الله تعالى وعلمه وقدرته وإرادته وعلى صدق الرسول صلى الله عليه وسلم وتثبيت نبوته وعلى الإيمان باليوم الآخر وغير ذلك</w:t>
      </w:r>
      <w:r w:rsidR="000636C2">
        <w:rPr>
          <w:rFonts w:hint="cs"/>
          <w:rtl/>
        </w:rPr>
        <w:t xml:space="preserve">، </w:t>
      </w:r>
      <w:r w:rsidRPr="005675B2">
        <w:rPr>
          <w:rFonts w:hint="cs"/>
          <w:rtl/>
        </w:rPr>
        <w:t xml:space="preserve">3 - يوجب الأشاعرة على المكلف </w:t>
      </w:r>
      <w:r w:rsidR="000636C2">
        <w:rPr>
          <w:rFonts w:hint="cs"/>
          <w:rtl/>
        </w:rPr>
        <w:t>[</w:t>
      </w:r>
      <w:r w:rsidRPr="005675B2">
        <w:rPr>
          <w:rFonts w:hint="cs"/>
          <w:rtl/>
        </w:rPr>
        <w:t>النظر</w:t>
      </w:r>
      <w:r w:rsidR="000636C2">
        <w:rPr>
          <w:rFonts w:hint="cs"/>
          <w:rtl/>
        </w:rPr>
        <w:t>]</w:t>
      </w:r>
      <w:r w:rsidRPr="005675B2">
        <w:rPr>
          <w:rFonts w:hint="cs"/>
          <w:rtl/>
        </w:rPr>
        <w:t xml:space="preserve"> ويعنون به النظر في الأدلة العقلية والاستدلال بها في قضايا الإيمان الأساسية</w:t>
      </w:r>
      <w:r w:rsidR="000636C2">
        <w:rPr>
          <w:rFonts w:hint="cs"/>
          <w:rtl/>
        </w:rPr>
        <w:t xml:space="preserve">، </w:t>
      </w:r>
      <w:r w:rsidRPr="005675B2">
        <w:rPr>
          <w:rFonts w:hint="cs"/>
          <w:rtl/>
        </w:rPr>
        <w:t>والعجب ممن يعيب عليهم إيجاب النظر غافلاً أو متغافلاً عن أن الله تبارك وتعالى قد أمر به وحث عليه في عدد من الآيات القرآنية الكريمة</w:t>
      </w:r>
      <w:r w:rsidR="000636C2">
        <w:rPr>
          <w:rFonts w:hint="cs"/>
          <w:rtl/>
        </w:rPr>
        <w:t>،</w:t>
      </w:r>
      <w:r w:rsidRPr="005675B2">
        <w:rPr>
          <w:rFonts w:hint="cs"/>
          <w:rtl/>
        </w:rPr>
        <w:t xml:space="preserve"> منها قوله تعالى </w:t>
      </w:r>
      <w:r w:rsidR="000636C2">
        <w:rPr>
          <w:rFonts w:hint="cs"/>
          <w:rtl/>
        </w:rPr>
        <w:t>[</w:t>
      </w:r>
      <w:r w:rsidRPr="005675B2">
        <w:rPr>
          <w:rFonts w:hint="cs"/>
          <w:rtl/>
        </w:rPr>
        <w:t>أَوَلَمْ يَنْظُرُوا فِي مَلَكُوتِ السَّمَاوَاتِ وَالْأَرْضِ وَمَا خَلَقَ اللَّهُ مِنْ شَيْءٍ وَأَنْ عَسَى أَنْ يَكُونَ قَدِ اقْتَرَبَ أَجَلُهُمْ</w:t>
      </w:r>
      <w:r w:rsidR="000636C2">
        <w:rPr>
          <w:rFonts w:hint="cs"/>
          <w:rtl/>
        </w:rPr>
        <w:t>]</w:t>
      </w:r>
      <w:r w:rsidRPr="005675B2">
        <w:rPr>
          <w:rFonts w:hint="cs"/>
          <w:rtl/>
        </w:rPr>
        <w:t xml:space="preserve"> [</w:t>
      </w:r>
      <w:r w:rsidRPr="005675B2">
        <w:rPr>
          <w:rFonts w:hint="cs"/>
          <w:sz w:val="24"/>
          <w:szCs w:val="24"/>
          <w:rtl/>
        </w:rPr>
        <w:t>الآية 185 من سورة الأعراف</w:t>
      </w:r>
      <w:r w:rsidR="000636C2">
        <w:rPr>
          <w:rFonts w:hint="cs"/>
          <w:sz w:val="24"/>
          <w:szCs w:val="24"/>
          <w:rtl/>
        </w:rPr>
        <w:t>]</w:t>
      </w:r>
      <w:r w:rsidRPr="005675B2">
        <w:rPr>
          <w:rFonts w:hint="cs"/>
          <w:rtl/>
        </w:rPr>
        <w:t xml:space="preserve">، وقوله تعالى </w:t>
      </w:r>
      <w:r w:rsidR="000636C2">
        <w:rPr>
          <w:rFonts w:hint="cs"/>
          <w:rtl/>
        </w:rPr>
        <w:t>[</w:t>
      </w:r>
      <w:r w:rsidRPr="005675B2">
        <w:rPr>
          <w:rFonts w:hint="cs"/>
          <w:rtl/>
        </w:rPr>
        <w:t>قُلِ انْظُرُوا مَاذَا فِي السَّمَاوَاتِ وَالْأَرْضِ</w:t>
      </w:r>
      <w:r w:rsidR="000636C2">
        <w:rPr>
          <w:rFonts w:hint="cs"/>
          <w:rtl/>
        </w:rPr>
        <w:t>]</w:t>
      </w:r>
      <w:r w:rsidRPr="005675B2">
        <w:rPr>
          <w:rFonts w:hint="cs"/>
          <w:rtl/>
        </w:rPr>
        <w:t xml:space="preserve"> </w:t>
      </w:r>
      <w:r w:rsidR="000636C2">
        <w:rPr>
          <w:rFonts w:hint="cs"/>
          <w:rtl/>
        </w:rPr>
        <w:t>[</w:t>
      </w:r>
      <w:r w:rsidRPr="005675B2">
        <w:rPr>
          <w:rFonts w:hint="cs"/>
          <w:sz w:val="24"/>
          <w:szCs w:val="24"/>
          <w:rtl/>
        </w:rPr>
        <w:t>الآية 101 من سورة يونس</w:t>
      </w:r>
      <w:r w:rsidR="000636C2">
        <w:rPr>
          <w:rFonts w:hint="cs"/>
          <w:sz w:val="24"/>
          <w:szCs w:val="24"/>
          <w:rtl/>
        </w:rPr>
        <w:t>]</w:t>
      </w:r>
      <w:r w:rsidR="000636C2">
        <w:rPr>
          <w:rFonts w:hint="cs"/>
          <w:rtl/>
        </w:rPr>
        <w:t>،</w:t>
      </w:r>
      <w:r w:rsidRPr="005675B2">
        <w:rPr>
          <w:rFonts w:hint="cs"/>
          <w:rtl/>
        </w:rPr>
        <w:t xml:space="preserve"> وقوله تعالى </w:t>
      </w:r>
      <w:r w:rsidR="000636C2">
        <w:rPr>
          <w:rFonts w:hint="cs"/>
          <w:rtl/>
        </w:rPr>
        <w:t>[</w:t>
      </w:r>
      <w:r w:rsidRPr="005675B2">
        <w:rPr>
          <w:rFonts w:hint="cs"/>
          <w:rtl/>
        </w:rPr>
        <w:t>قُلْ سِيرُوا فِي الْأَرْضِ فَانْظُرُوا كَيْفَ بَدَأَ الْخَلْقَ</w:t>
      </w:r>
      <w:r w:rsidR="000636C2">
        <w:rPr>
          <w:rFonts w:hint="cs"/>
          <w:rtl/>
        </w:rPr>
        <w:t>]</w:t>
      </w:r>
      <w:r w:rsidRPr="005675B2">
        <w:rPr>
          <w:rFonts w:hint="cs"/>
          <w:rtl/>
        </w:rPr>
        <w:t xml:space="preserve"> [</w:t>
      </w:r>
      <w:r w:rsidRPr="005675B2">
        <w:rPr>
          <w:rFonts w:hint="cs"/>
          <w:sz w:val="24"/>
          <w:szCs w:val="24"/>
          <w:rtl/>
        </w:rPr>
        <w:t>الآية 20 من سورة العنكبوت</w:t>
      </w:r>
      <w:r w:rsidR="000636C2">
        <w:rPr>
          <w:rFonts w:hint="cs"/>
          <w:sz w:val="24"/>
          <w:szCs w:val="24"/>
          <w:rtl/>
        </w:rPr>
        <w:t>]</w:t>
      </w:r>
      <w:r w:rsidR="000636C2">
        <w:rPr>
          <w:rFonts w:hint="cs"/>
          <w:rtl/>
        </w:rPr>
        <w:t xml:space="preserve">، </w:t>
      </w:r>
      <w:r w:rsidRPr="005675B2">
        <w:rPr>
          <w:rFonts w:hint="cs"/>
          <w:rtl/>
        </w:rPr>
        <w:t>4 - يذم الأشاعرة التقليد في العقيدة</w:t>
      </w:r>
      <w:r w:rsidR="000636C2">
        <w:rPr>
          <w:rFonts w:hint="cs"/>
          <w:rtl/>
        </w:rPr>
        <w:t>،</w:t>
      </w:r>
      <w:r w:rsidRPr="005675B2">
        <w:rPr>
          <w:rFonts w:hint="cs"/>
          <w:rtl/>
        </w:rPr>
        <w:t xml:space="preserve"> والتقليد محاكاة قول الغير من غير حجة</w:t>
      </w:r>
      <w:r w:rsidR="000636C2">
        <w:rPr>
          <w:rFonts w:hint="cs"/>
          <w:rtl/>
        </w:rPr>
        <w:t>،</w:t>
      </w:r>
      <w:r w:rsidRPr="005675B2">
        <w:rPr>
          <w:rFonts w:hint="cs"/>
          <w:rtl/>
        </w:rPr>
        <w:t xml:space="preserve"> إذ لا يجوز لعاقل ترجيح قول على آخر بغير حجة له على هذا الترجيح</w:t>
      </w:r>
      <w:r w:rsidR="000636C2">
        <w:rPr>
          <w:rFonts w:hint="cs"/>
          <w:rtl/>
        </w:rPr>
        <w:t>،</w:t>
      </w:r>
      <w:r w:rsidRPr="005675B2">
        <w:rPr>
          <w:rFonts w:hint="cs"/>
          <w:rtl/>
        </w:rPr>
        <w:t xml:space="preserve"> والترجيح بغير مرجح باطل</w:t>
      </w:r>
      <w:r w:rsidR="000636C2">
        <w:rPr>
          <w:rFonts w:hint="cs"/>
          <w:rtl/>
        </w:rPr>
        <w:t>،</w:t>
      </w:r>
      <w:r w:rsidRPr="005675B2">
        <w:rPr>
          <w:rFonts w:hint="cs"/>
          <w:rtl/>
        </w:rPr>
        <w:t xml:space="preserve"> وليس هو من شأن العقلاء</w:t>
      </w:r>
      <w:r w:rsidR="000636C2">
        <w:rPr>
          <w:rFonts w:hint="cs"/>
          <w:rtl/>
        </w:rPr>
        <w:t>،</w:t>
      </w:r>
      <w:r w:rsidRPr="005675B2">
        <w:rPr>
          <w:rFonts w:hint="cs"/>
          <w:rtl/>
        </w:rPr>
        <w:t xml:space="preserve"> والمقلد في العقيدة هو دائماً عرضة للانتقال بين الأقوال المتعارضة</w:t>
      </w:r>
      <w:r w:rsidR="000636C2">
        <w:rPr>
          <w:rFonts w:hint="cs"/>
          <w:rtl/>
        </w:rPr>
        <w:t>،</w:t>
      </w:r>
      <w:r w:rsidRPr="005675B2">
        <w:rPr>
          <w:rFonts w:hint="cs"/>
          <w:rtl/>
        </w:rPr>
        <w:t xml:space="preserve"> من إيمان وكفر</w:t>
      </w:r>
      <w:r w:rsidR="000636C2">
        <w:rPr>
          <w:rFonts w:hint="cs"/>
          <w:rtl/>
        </w:rPr>
        <w:t>،</w:t>
      </w:r>
      <w:r w:rsidRPr="005675B2">
        <w:rPr>
          <w:rFonts w:hint="cs"/>
          <w:rtl/>
        </w:rPr>
        <w:t xml:space="preserve"> وسنة وبدعة</w:t>
      </w:r>
      <w:r w:rsidR="000636C2">
        <w:rPr>
          <w:rFonts w:hint="cs"/>
          <w:rtl/>
        </w:rPr>
        <w:t>،</w:t>
      </w:r>
      <w:r w:rsidRPr="005675B2">
        <w:rPr>
          <w:rFonts w:hint="cs"/>
          <w:rtl/>
        </w:rPr>
        <w:t xml:space="preserve"> لأنه لم يبن معتقده على دليل</w:t>
      </w:r>
      <w:r w:rsidR="000636C2">
        <w:rPr>
          <w:rFonts w:hint="cs"/>
          <w:rtl/>
        </w:rPr>
        <w:t xml:space="preserve">، </w:t>
      </w:r>
      <w:r w:rsidRPr="005675B2">
        <w:rPr>
          <w:rFonts w:hint="cs"/>
          <w:rtl/>
        </w:rPr>
        <w:t>والعجب ممن يعيب من يذم التقليد في العقيدة غافلاً أو متغافلاً عن أن الله تبارك وتعالى قد ذم المقلدين في العقائد وحث على اتباع ما تؤيده الحجج والبراهين</w:t>
      </w:r>
      <w:r w:rsidR="000636C2">
        <w:rPr>
          <w:rFonts w:hint="cs"/>
          <w:rtl/>
        </w:rPr>
        <w:t>،</w:t>
      </w:r>
      <w:r w:rsidRPr="005675B2">
        <w:rPr>
          <w:rFonts w:hint="cs"/>
          <w:rtl/>
        </w:rPr>
        <w:t xml:space="preserve"> قال تعالى </w:t>
      </w:r>
      <w:r w:rsidR="000636C2">
        <w:rPr>
          <w:rFonts w:hint="cs"/>
          <w:rtl/>
        </w:rPr>
        <w:t>[</w:t>
      </w:r>
      <w:r w:rsidRPr="005675B2">
        <w:rPr>
          <w:rFonts w:hint="cs"/>
          <w:rtl/>
        </w:rPr>
        <w:t>وَإِذَا قِيلَ لَهُمُ اتَّبِعُوا مَا أَنْزَلَ اللَّهُ قَالُوا بَلْ نَتَّبِعُ مَا أَلْفَيْنَا عَلَيْهِ آبَاءَنَا أَوَلَوْ كَانَ آبَاؤُهُمْ لا يَعْقِلُونَ شَيْئاً وَلا يَهْتَدُونَ</w:t>
      </w:r>
      <w:r w:rsidR="000636C2">
        <w:rPr>
          <w:rFonts w:hint="cs"/>
          <w:rtl/>
        </w:rPr>
        <w:t>؟!]</w:t>
      </w:r>
      <w:r w:rsidRPr="005675B2">
        <w:rPr>
          <w:rFonts w:hint="cs"/>
          <w:rtl/>
        </w:rPr>
        <w:t xml:space="preserve"> [</w:t>
      </w:r>
      <w:r w:rsidRPr="005675B2">
        <w:rPr>
          <w:rFonts w:hint="cs"/>
          <w:sz w:val="24"/>
          <w:szCs w:val="24"/>
          <w:rtl/>
        </w:rPr>
        <w:t>الآية 170 من سورة البقرة</w:t>
      </w:r>
      <w:r w:rsidR="000636C2">
        <w:rPr>
          <w:rFonts w:hint="cs"/>
          <w:sz w:val="24"/>
          <w:szCs w:val="24"/>
          <w:rtl/>
        </w:rPr>
        <w:t>]</w:t>
      </w:r>
      <w:r w:rsidR="000636C2">
        <w:rPr>
          <w:rFonts w:hint="cs"/>
          <w:rtl/>
        </w:rPr>
        <w:t>،</w:t>
      </w:r>
      <w:r w:rsidRPr="005675B2">
        <w:rPr>
          <w:rFonts w:hint="cs"/>
          <w:rtl/>
        </w:rPr>
        <w:t xml:space="preserve"> وقال تعالى </w:t>
      </w:r>
      <w:r w:rsidR="000636C2">
        <w:rPr>
          <w:rFonts w:hint="cs"/>
          <w:rtl/>
        </w:rPr>
        <w:t>[</w:t>
      </w:r>
      <w:r w:rsidRPr="005675B2">
        <w:rPr>
          <w:rFonts w:hint="cs"/>
          <w:rtl/>
        </w:rPr>
        <w:t>وَإِذَا قِيلَ لَهُمْ تَعَالَوْا إِلَى مَا أَنْزَلَ اللَّهُ وَإِلَى الرَّسُولِ قَالُوا حَسْبُنَا مَا وَجَدْنَا عَلَيْهِ آبَاءَنَا أَوَلَوْ كَانَ آبَاؤُهُمْ لا يَعْلَمُونَ شَيْئاً وَلا يَهْتَدُونَ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الآية 104 من سورة المائدة</w:t>
      </w:r>
      <w:r w:rsidR="000636C2">
        <w:rPr>
          <w:rFonts w:hint="cs"/>
          <w:sz w:val="24"/>
          <w:szCs w:val="24"/>
          <w:rtl/>
        </w:rPr>
        <w:t>]</w:t>
      </w:r>
      <w:r w:rsidR="000636C2">
        <w:rPr>
          <w:rFonts w:hint="cs"/>
          <w:rtl/>
        </w:rPr>
        <w:t>،</w:t>
      </w:r>
      <w:r w:rsidRPr="005675B2">
        <w:rPr>
          <w:rFonts w:hint="cs"/>
          <w:rtl/>
        </w:rPr>
        <w:t xml:space="preserve"> وقال تعالى </w:t>
      </w:r>
      <w:r w:rsidR="000636C2">
        <w:rPr>
          <w:rFonts w:hint="cs"/>
          <w:rtl/>
        </w:rPr>
        <w:t>[</w:t>
      </w:r>
      <w:r w:rsidRPr="005675B2">
        <w:rPr>
          <w:rFonts w:hint="cs"/>
          <w:rtl/>
        </w:rPr>
        <w:t>إِنَّهُمْ أَلْفَوْا آبَاءَهُمْ ضَالِّينَ * فَهُمْ عَلَى آثَارِهِمْ يُهْرَعُونَ</w:t>
      </w:r>
      <w:r w:rsidR="000636C2">
        <w:rPr>
          <w:rFonts w:hint="cs"/>
          <w:rtl/>
        </w:rPr>
        <w:t>]</w:t>
      </w:r>
      <w:r w:rsidRPr="005675B2">
        <w:rPr>
          <w:rFonts w:hint="cs"/>
          <w:rtl/>
        </w:rPr>
        <w:t xml:space="preserve"> [</w:t>
      </w:r>
      <w:r w:rsidRPr="005675B2">
        <w:rPr>
          <w:rFonts w:hint="cs"/>
          <w:sz w:val="24"/>
          <w:szCs w:val="24"/>
          <w:rtl/>
        </w:rPr>
        <w:t xml:space="preserve">الآيتان 69 </w:t>
      </w:r>
      <w:r w:rsidRPr="005675B2">
        <w:rPr>
          <w:sz w:val="24"/>
          <w:szCs w:val="24"/>
        </w:rPr>
        <w:t>–</w:t>
      </w:r>
      <w:r w:rsidRPr="005675B2">
        <w:rPr>
          <w:rFonts w:hint="cs"/>
          <w:sz w:val="24"/>
          <w:szCs w:val="24"/>
          <w:rtl/>
        </w:rPr>
        <w:t xml:space="preserve"> 70 من سورة الصافات</w:t>
      </w:r>
      <w:r w:rsidR="000636C2">
        <w:rPr>
          <w:rFonts w:hint="cs"/>
          <w:sz w:val="24"/>
          <w:szCs w:val="24"/>
          <w:rtl/>
        </w:rPr>
        <w:t>]</w:t>
      </w:r>
      <w:r w:rsidR="000636C2">
        <w:rPr>
          <w:rFonts w:hint="cs"/>
          <w:rtl/>
        </w:rPr>
        <w:t>،</w:t>
      </w:r>
      <w:r w:rsidRPr="005675B2">
        <w:rPr>
          <w:rFonts w:hint="cs"/>
          <w:rtl/>
        </w:rPr>
        <w:t xml:space="preserve"> وقال تعالى </w:t>
      </w:r>
      <w:r w:rsidR="000636C2">
        <w:rPr>
          <w:rFonts w:hint="cs"/>
          <w:rtl/>
        </w:rPr>
        <w:t>[</w:t>
      </w:r>
      <w:r w:rsidRPr="005675B2">
        <w:rPr>
          <w:rFonts w:hint="cs"/>
          <w:rtl/>
        </w:rPr>
        <w:t>بَلْ قَالُوا إِنَّا وَجَدْنَا آبَاءَنَا عَلَى أُمَّةٍ وَإِنَّا عَلَى آثَارِهِمْ مُهْتَدُونَ * وَكَذَلِكَ مَا أَرْسَلْنَا مِنْ قَبْلِكَ فِي قَرْيَةٍ مِنْ نَذِيرٍ إِلَّا قَالَ مُتْرَفُوهَا إِنَّا وَجَدْنَا آبَاءَنَا عَلَى أُمَّةٍ وَإِنَّا عَلَى آثَارِهِمْ مُقْتَدُونَ</w:t>
      </w:r>
      <w:r w:rsidR="000636C2">
        <w:rPr>
          <w:rFonts w:hint="cs"/>
          <w:rtl/>
        </w:rPr>
        <w:t>]</w:t>
      </w:r>
      <w:r w:rsidRPr="005675B2">
        <w:rPr>
          <w:rFonts w:hint="cs"/>
          <w:rtl/>
        </w:rPr>
        <w:t xml:space="preserve"> [</w:t>
      </w:r>
      <w:r w:rsidRPr="005675B2">
        <w:rPr>
          <w:rFonts w:hint="cs"/>
          <w:sz w:val="24"/>
          <w:szCs w:val="24"/>
          <w:rtl/>
        </w:rPr>
        <w:t xml:space="preserve">الآيتان 22 </w:t>
      </w:r>
      <w:r w:rsidRPr="005675B2">
        <w:rPr>
          <w:sz w:val="24"/>
          <w:szCs w:val="24"/>
        </w:rPr>
        <w:t>–</w:t>
      </w:r>
      <w:r w:rsidRPr="005675B2">
        <w:rPr>
          <w:rFonts w:hint="cs"/>
          <w:sz w:val="24"/>
          <w:szCs w:val="24"/>
          <w:rtl/>
        </w:rPr>
        <w:t xml:space="preserve"> 23 من سورة الزخرف</w:t>
      </w:r>
      <w:r w:rsidR="000636C2">
        <w:rPr>
          <w:rFonts w:hint="cs"/>
          <w:sz w:val="24"/>
          <w:szCs w:val="24"/>
          <w:rtl/>
        </w:rPr>
        <w:t>]</w:t>
      </w:r>
      <w:r w:rsidR="000636C2">
        <w:rPr>
          <w:rFonts w:hint="cs"/>
          <w:rtl/>
        </w:rPr>
        <w:t xml:space="preserve">، </w:t>
      </w:r>
      <w:r w:rsidRPr="005675B2">
        <w:rPr>
          <w:rFonts w:hint="cs"/>
          <w:rtl/>
        </w:rPr>
        <w:t>5</w:t>
      </w:r>
      <w:r w:rsidR="000636C2">
        <w:rPr>
          <w:rFonts w:hint="cs"/>
          <w:rtl/>
        </w:rPr>
        <w:t xml:space="preserve"> </w:t>
      </w:r>
      <w:r w:rsidRPr="005675B2">
        <w:rPr>
          <w:rFonts w:hint="cs"/>
          <w:rtl/>
        </w:rPr>
        <w:t>- ولا بد من وقفة صغيرة مع أحد فقهاء الحنابلة</w:t>
      </w:r>
      <w:r w:rsidR="000636C2">
        <w:rPr>
          <w:rFonts w:hint="cs"/>
          <w:rtl/>
        </w:rPr>
        <w:t>،</w:t>
      </w:r>
      <w:r w:rsidRPr="005675B2">
        <w:rPr>
          <w:rFonts w:hint="cs"/>
          <w:rtl/>
        </w:rPr>
        <w:t xml:space="preserve"> وهو الحسن بن علي بن خلف البربهاري المتوفى سـنة </w:t>
      </w:r>
      <w:r w:rsidR="000636C2">
        <w:rPr>
          <w:rFonts w:hint="cs"/>
          <w:rtl/>
        </w:rPr>
        <w:t>(</w:t>
      </w:r>
      <w:r w:rsidRPr="005675B2">
        <w:rPr>
          <w:rFonts w:hint="cs"/>
          <w:rtl/>
        </w:rPr>
        <w:t>329ه -</w:t>
      </w:r>
      <w:r w:rsidR="000636C2">
        <w:rPr>
          <w:rFonts w:hint="cs"/>
          <w:rtl/>
        </w:rPr>
        <w:t>)</w:t>
      </w:r>
      <w:r w:rsidRPr="005675B2">
        <w:rPr>
          <w:rFonts w:hint="cs"/>
          <w:rtl/>
        </w:rPr>
        <w:t> ,</w:t>
      </w:r>
      <w:r w:rsidR="000636C2">
        <w:rPr>
          <w:rFonts w:hint="cs"/>
          <w:rtl/>
        </w:rPr>
        <w:t xml:space="preserve"> </w:t>
      </w:r>
      <w:r w:rsidRPr="005675B2">
        <w:rPr>
          <w:rFonts w:hint="cs"/>
          <w:rtl/>
        </w:rPr>
        <w:t>إذ يقول</w:t>
      </w:r>
      <w:r w:rsidR="000636C2">
        <w:rPr>
          <w:rFonts w:hint="cs"/>
          <w:rtl/>
        </w:rPr>
        <w:t>:</w:t>
      </w:r>
      <w:r w:rsidRPr="005675B2">
        <w:rPr>
          <w:rFonts w:hint="cs"/>
          <w:rtl/>
        </w:rPr>
        <w:t xml:space="preserve"> </w:t>
      </w:r>
      <w:r w:rsidR="000636C2">
        <w:rPr>
          <w:rFonts w:hint="cs"/>
          <w:rtl/>
        </w:rPr>
        <w:t>[</w:t>
      </w:r>
      <w:r w:rsidRPr="005675B2">
        <w:rPr>
          <w:rFonts w:hint="cs"/>
          <w:rtl/>
        </w:rPr>
        <w:t>واعلم أن الدين إنما هو التقليد</w:t>
      </w:r>
      <w:r w:rsidR="000636C2">
        <w:rPr>
          <w:rFonts w:hint="cs"/>
          <w:rtl/>
        </w:rPr>
        <w:t>،</w:t>
      </w:r>
      <w:r w:rsidRPr="005675B2">
        <w:rPr>
          <w:rFonts w:hint="cs"/>
          <w:rtl/>
        </w:rPr>
        <w:t xml:space="preserve"> والتقليد لأصحاب رسول الله صلى الله عليه وسلم</w:t>
      </w:r>
      <w:r w:rsidR="000636C2">
        <w:rPr>
          <w:rFonts w:hint="cs"/>
          <w:rtl/>
        </w:rPr>
        <w:t>]،</w:t>
      </w:r>
      <w:r w:rsidRPr="005675B2">
        <w:rPr>
          <w:rFonts w:hint="cs"/>
          <w:rtl/>
        </w:rPr>
        <w:t xml:space="preserve"> ثم يقول</w:t>
      </w:r>
      <w:r w:rsidR="000636C2">
        <w:rPr>
          <w:rFonts w:hint="cs"/>
          <w:rtl/>
        </w:rPr>
        <w:t>:</w:t>
      </w:r>
      <w:r w:rsidRPr="005675B2">
        <w:rPr>
          <w:rFonts w:hint="cs"/>
          <w:rtl/>
        </w:rPr>
        <w:t xml:space="preserve"> </w:t>
      </w:r>
      <w:r w:rsidR="000636C2">
        <w:rPr>
          <w:rFonts w:hint="cs"/>
          <w:rtl/>
        </w:rPr>
        <w:t>[</w:t>
      </w:r>
      <w:r w:rsidRPr="005675B2">
        <w:rPr>
          <w:rFonts w:hint="cs"/>
          <w:rtl/>
        </w:rPr>
        <w:t>وعليك بالآثار وأصحاب الأثر والتقليد</w:t>
      </w:r>
      <w:r w:rsidR="000636C2">
        <w:rPr>
          <w:rFonts w:hint="cs"/>
          <w:rtl/>
        </w:rPr>
        <w:t>،</w:t>
      </w:r>
      <w:r w:rsidRPr="005675B2">
        <w:rPr>
          <w:rFonts w:hint="cs"/>
          <w:rtl/>
        </w:rPr>
        <w:t xml:space="preserve"> فإن الدين إنما هو التقليد</w:t>
      </w:r>
      <w:r w:rsidR="000636C2">
        <w:rPr>
          <w:rFonts w:hint="cs"/>
          <w:rtl/>
        </w:rPr>
        <w:t>،</w:t>
      </w:r>
      <w:r w:rsidRPr="005675B2">
        <w:rPr>
          <w:rFonts w:hint="cs"/>
          <w:rtl/>
        </w:rPr>
        <w:t xml:space="preserve"> يعني للنبي صلى الله عليه وسلم وأصحابه رضوان الله عليهم أجمعين</w:t>
      </w:r>
      <w:r w:rsidR="000636C2">
        <w:rPr>
          <w:rFonts w:hint="cs"/>
          <w:rtl/>
        </w:rPr>
        <w:t>]</w:t>
      </w:r>
      <w:r w:rsidRPr="005675B2">
        <w:rPr>
          <w:rFonts w:hint="cs"/>
          <w:rtl/>
        </w:rPr>
        <w:t xml:space="preserve"> </w:t>
      </w:r>
      <w:r w:rsidR="000636C2">
        <w:rPr>
          <w:rFonts w:hint="cs"/>
          <w:rtl/>
        </w:rPr>
        <w:t>[</w:t>
      </w:r>
      <w:r w:rsidRPr="005675B2">
        <w:rPr>
          <w:rFonts w:hint="cs"/>
          <w:sz w:val="24"/>
          <w:szCs w:val="24"/>
          <w:rtl/>
        </w:rPr>
        <w:t>انظر: طبقات الحنابلة لابن أبي يعلى: 2/ 29</w:t>
      </w:r>
      <w:r w:rsidR="000636C2">
        <w:rPr>
          <w:rFonts w:hint="cs"/>
          <w:sz w:val="24"/>
          <w:szCs w:val="24"/>
          <w:rtl/>
        </w:rPr>
        <w:t>،</w:t>
      </w:r>
      <w:r w:rsidRPr="005675B2">
        <w:rPr>
          <w:rFonts w:hint="cs"/>
          <w:sz w:val="24"/>
          <w:szCs w:val="24"/>
          <w:rtl/>
        </w:rPr>
        <w:t xml:space="preserve"> 39</w:t>
      </w:r>
      <w:r w:rsidR="000636C2">
        <w:rPr>
          <w:rFonts w:hint="cs"/>
          <w:sz w:val="24"/>
          <w:szCs w:val="24"/>
          <w:rtl/>
        </w:rPr>
        <w:t>]</w:t>
      </w:r>
      <w:r w:rsidR="000636C2">
        <w:rPr>
          <w:rFonts w:hint="cs"/>
          <w:rtl/>
        </w:rPr>
        <w:t xml:space="preserve">، </w:t>
      </w:r>
      <w:r w:rsidRPr="005675B2">
        <w:rPr>
          <w:rFonts w:hint="cs"/>
          <w:rtl/>
        </w:rPr>
        <w:t xml:space="preserve">فلا بد من حمل قوله </w:t>
      </w:r>
      <w:r w:rsidR="000636C2">
        <w:rPr>
          <w:rFonts w:hint="cs"/>
          <w:rtl/>
        </w:rPr>
        <w:t>[</w:t>
      </w:r>
      <w:r w:rsidRPr="005675B2">
        <w:rPr>
          <w:rFonts w:hint="cs"/>
          <w:rtl/>
        </w:rPr>
        <w:t>إن الدين إنما هو التقليد</w:t>
      </w:r>
      <w:r w:rsidR="000636C2">
        <w:rPr>
          <w:rFonts w:hint="cs"/>
          <w:rtl/>
        </w:rPr>
        <w:t>]</w:t>
      </w:r>
      <w:r w:rsidRPr="005675B2">
        <w:rPr>
          <w:rFonts w:hint="cs"/>
          <w:rtl/>
        </w:rPr>
        <w:t xml:space="preserve"> - إذا أردنا تصحيح هذا القول</w:t>
      </w:r>
      <w:r w:rsidR="000636C2">
        <w:rPr>
          <w:rFonts w:hint="cs"/>
          <w:rtl/>
        </w:rPr>
        <w:t xml:space="preserve"> </w:t>
      </w:r>
      <w:r w:rsidRPr="005675B2">
        <w:rPr>
          <w:rFonts w:hint="cs"/>
          <w:rtl/>
        </w:rPr>
        <w:t>- على الأحكام الفقهية وفروع العقيدة</w:t>
      </w:r>
      <w:r w:rsidR="000636C2">
        <w:rPr>
          <w:rFonts w:hint="cs"/>
          <w:rtl/>
        </w:rPr>
        <w:t>،</w:t>
      </w:r>
      <w:r w:rsidRPr="005675B2">
        <w:rPr>
          <w:rFonts w:hint="cs"/>
          <w:rtl/>
        </w:rPr>
        <w:t xml:space="preserve"> أما أصول العقيدة فلا بد فيها أولاً من إقامة الحجج والبراهين على وجود الله تعالى وكمالاته وعلى صدق محمد صلى الله عليه وسلم ونبوته وأن القرآن هو كلام الله</w:t>
      </w:r>
      <w:r w:rsidR="000636C2">
        <w:rPr>
          <w:rFonts w:hint="cs"/>
          <w:rtl/>
        </w:rPr>
        <w:t>،</w:t>
      </w:r>
      <w:r w:rsidRPr="005675B2">
        <w:rPr>
          <w:rFonts w:hint="cs"/>
          <w:rtl/>
        </w:rPr>
        <w:t xml:space="preserve"> إذ لا يصح لعاقل أن يقول آمنت بالله تعالى ورسله وكتبه تقليداً</w:t>
      </w:r>
      <w:r w:rsidR="000636C2">
        <w:rPr>
          <w:rFonts w:hint="cs"/>
          <w:rtl/>
        </w:rPr>
        <w:t>،</w:t>
      </w:r>
      <w:r w:rsidRPr="005675B2">
        <w:rPr>
          <w:rFonts w:hint="cs"/>
          <w:rtl/>
        </w:rPr>
        <w:t xml:space="preserve"> بل لا بد له من النظر في نفسه وفي الآفاق حتى يعلم أن الله تعالى هو الحق</w:t>
      </w:r>
      <w:r w:rsidR="000636C2">
        <w:rPr>
          <w:rFonts w:hint="cs"/>
          <w:rtl/>
        </w:rPr>
        <w:t>،</w:t>
      </w:r>
      <w:r w:rsidRPr="005675B2">
        <w:rPr>
          <w:rFonts w:hint="cs"/>
          <w:rtl/>
        </w:rPr>
        <w:t xml:space="preserve"> ولا بد له من النظر في إعجاز القرآن حتى يعلم أنه كلام الله تعالى</w:t>
      </w:r>
      <w:r w:rsidR="000636C2">
        <w:rPr>
          <w:rFonts w:hint="cs"/>
          <w:rtl/>
        </w:rPr>
        <w:t>،</w:t>
      </w:r>
      <w:r w:rsidRPr="005675B2">
        <w:rPr>
          <w:rFonts w:hint="cs"/>
          <w:rtl/>
        </w:rPr>
        <w:t xml:space="preserve"> وفي دلائل النبوة حتى يعلم أن محمداً صلى الله عليه وسلم نبي الله ورسوله أرسله الله بالهدى ودين الحق</w:t>
      </w:r>
      <w:r w:rsidR="000636C2">
        <w:rPr>
          <w:rFonts w:hint="cs"/>
          <w:rtl/>
        </w:rPr>
        <w:t>،</w:t>
      </w:r>
      <w:r w:rsidRPr="005675B2">
        <w:rPr>
          <w:rFonts w:hint="cs"/>
          <w:rtl/>
        </w:rPr>
        <w:t xml:space="preserve"> والأدلة العقلية على ذلك كثيرة ومتنوعة</w:t>
      </w:r>
      <w:r w:rsidR="000636C2">
        <w:rPr>
          <w:rFonts w:hint="cs"/>
          <w:rtl/>
        </w:rPr>
        <w:t>،</w:t>
      </w:r>
      <w:r w:rsidRPr="005675B2">
        <w:rPr>
          <w:rFonts w:hint="cs"/>
          <w:rtl/>
        </w:rPr>
        <w:t xml:space="preserve"> وكل واحد يعتمد منها على ما يستوعبه عقله وفهمه</w:t>
      </w:r>
      <w:r w:rsidR="000636C2">
        <w:rPr>
          <w:rFonts w:hint="cs"/>
          <w:rtl/>
        </w:rPr>
        <w:t xml:space="preserve">، </w:t>
      </w:r>
      <w:r w:rsidRPr="005675B2">
        <w:rPr>
          <w:rFonts w:hint="cs"/>
          <w:rtl/>
        </w:rPr>
        <w:t>أما شيخ الحنابلة القاضي أبو يعلى فيقول</w:t>
      </w:r>
      <w:r w:rsidR="000636C2">
        <w:rPr>
          <w:rFonts w:hint="cs"/>
          <w:rtl/>
        </w:rPr>
        <w:t>:</w:t>
      </w:r>
      <w:r w:rsidRPr="005675B2">
        <w:rPr>
          <w:rFonts w:hint="cs"/>
          <w:rtl/>
        </w:rPr>
        <w:t xml:space="preserve"> </w:t>
      </w:r>
      <w:r w:rsidR="000636C2">
        <w:rPr>
          <w:rFonts w:hint="cs"/>
          <w:rtl/>
        </w:rPr>
        <w:t>[</w:t>
      </w:r>
      <w:r w:rsidRPr="005675B2">
        <w:rPr>
          <w:rFonts w:hint="cs"/>
          <w:rtl/>
        </w:rPr>
        <w:t>وأما التقليد فليس بطريق للعلم أصلاً</w:t>
      </w:r>
      <w:r w:rsidR="000636C2">
        <w:rPr>
          <w:rFonts w:hint="cs"/>
          <w:rtl/>
        </w:rPr>
        <w:t>،</w:t>
      </w:r>
      <w:r w:rsidRPr="005675B2">
        <w:rPr>
          <w:rFonts w:hint="cs"/>
          <w:rtl/>
        </w:rPr>
        <w:t xml:space="preserve"> لأن التقليد هو قبول قول الغير بلا حجة</w:t>
      </w:r>
      <w:r w:rsidR="000636C2">
        <w:rPr>
          <w:rFonts w:hint="cs"/>
          <w:rtl/>
        </w:rPr>
        <w:t>]</w:t>
      </w:r>
      <w:r w:rsidRPr="005675B2">
        <w:rPr>
          <w:rFonts w:hint="cs"/>
          <w:rtl/>
        </w:rPr>
        <w:t xml:space="preserve"> [</w:t>
      </w:r>
      <w:r w:rsidRPr="005675B2">
        <w:rPr>
          <w:rFonts w:hint="cs"/>
          <w:sz w:val="24"/>
          <w:szCs w:val="24"/>
          <w:rtl/>
        </w:rPr>
        <w:t>المعتمد في أصول الدين: ص 31]</w:t>
      </w:r>
      <w:r w:rsidR="000636C2">
        <w:rPr>
          <w:rFonts w:hint="cs"/>
          <w:rtl/>
        </w:rPr>
        <w:t xml:space="preserve">، </w:t>
      </w:r>
      <w:r w:rsidRPr="005675B2">
        <w:rPr>
          <w:rFonts w:hint="cs"/>
          <w:rtl/>
        </w:rPr>
        <w:t>6 - فهم الباحث من أن الأشاعرة يحكمون بالكفر أو العصيان على من آمن بالله بغير طريق النظر والاستدلال أنه يلزم من هذا القول تكفير الصدر الأول أي سلف الأمة وتكفير عوام المسلمين</w:t>
      </w:r>
      <w:r w:rsidR="000636C2">
        <w:rPr>
          <w:rFonts w:hint="cs"/>
          <w:rtl/>
        </w:rPr>
        <w:t>،</w:t>
      </w:r>
      <w:r w:rsidRPr="005675B2">
        <w:rPr>
          <w:rFonts w:hint="cs"/>
          <w:rtl/>
        </w:rPr>
        <w:t xml:space="preserve"> وقوله هذا يتضمن أن السلف من الصحابة والتابعين آمنوا بالله تعالى تقليداً لا عن دليل</w:t>
      </w:r>
      <w:r w:rsidR="000636C2">
        <w:rPr>
          <w:rFonts w:hint="cs"/>
          <w:rtl/>
        </w:rPr>
        <w:t xml:space="preserve">!، </w:t>
      </w:r>
      <w:r w:rsidRPr="005675B2">
        <w:rPr>
          <w:rFonts w:hint="cs"/>
          <w:rtl/>
        </w:rPr>
        <w:t>أهكذا يُتهم سلف هذه الأمة بأنهم آمنوا بالله تقليداً بغير طريق النظر والدليل</w:t>
      </w:r>
      <w:r w:rsidR="000636C2">
        <w:rPr>
          <w:rFonts w:hint="cs"/>
          <w:rtl/>
        </w:rPr>
        <w:t>؟!</w:t>
      </w:r>
      <w:r w:rsidRPr="005675B2">
        <w:rPr>
          <w:rFonts w:hint="cs"/>
          <w:rtl/>
        </w:rPr>
        <w:t>!</w:t>
      </w:r>
      <w:r w:rsidR="000636C2">
        <w:rPr>
          <w:rFonts w:hint="cs"/>
          <w:rtl/>
        </w:rPr>
        <w:t xml:space="preserve"> </w:t>
      </w:r>
      <w:r w:rsidRPr="005675B2">
        <w:rPr>
          <w:rFonts w:hint="cs"/>
          <w:rtl/>
        </w:rPr>
        <w:t>ألم ينظروا في أنفسهم وفي السماء والأرض وما فيهما فيعلموا أن لها خالقاً</w:t>
      </w:r>
      <w:r w:rsidR="000636C2">
        <w:rPr>
          <w:rFonts w:hint="cs"/>
          <w:rtl/>
        </w:rPr>
        <w:t xml:space="preserve">؟! </w:t>
      </w:r>
      <w:r w:rsidRPr="005675B2">
        <w:rPr>
          <w:rFonts w:hint="cs"/>
          <w:rtl/>
        </w:rPr>
        <w:t>ألم ينظروا إلى الإبل والنحل والنمل</w:t>
      </w:r>
      <w:r w:rsidR="000636C2">
        <w:rPr>
          <w:rFonts w:hint="cs"/>
          <w:rtl/>
        </w:rPr>
        <w:t xml:space="preserve">؟! </w:t>
      </w:r>
      <w:r w:rsidRPr="005675B2">
        <w:rPr>
          <w:rFonts w:hint="cs"/>
          <w:rtl/>
        </w:rPr>
        <w:t>ألم ينظروا في إعجاز القرآن</w:t>
      </w:r>
      <w:r w:rsidR="000636C2">
        <w:rPr>
          <w:rFonts w:hint="cs"/>
          <w:rtl/>
        </w:rPr>
        <w:t xml:space="preserve">؟! </w:t>
      </w:r>
      <w:r w:rsidRPr="005675B2">
        <w:rPr>
          <w:rFonts w:hint="cs"/>
          <w:rtl/>
        </w:rPr>
        <w:t>ألم يشاهد الصحابة معجزات رسول الله صلى الله عليه وسلم</w:t>
      </w:r>
      <w:r w:rsidR="000636C2">
        <w:rPr>
          <w:rFonts w:hint="cs"/>
          <w:rtl/>
        </w:rPr>
        <w:t>؟،</w:t>
      </w:r>
      <w:r w:rsidRPr="005675B2">
        <w:rPr>
          <w:rFonts w:hint="cs"/>
          <w:rtl/>
        </w:rPr>
        <w:t xml:space="preserve"> ألم يقرؤوا ويتدبروا ويتفهموا الآيات القرآنية المشتملة على الأدلة والبراهين العقلية على الإيمان بالله تعالى وصدق سيدنا محمد صلى الله عليه وسلم فيما أخبر به عن ربه</w:t>
      </w:r>
      <w:r w:rsidR="000636C2">
        <w:rPr>
          <w:rFonts w:hint="cs"/>
          <w:rtl/>
        </w:rPr>
        <w:t xml:space="preserve">؟، </w:t>
      </w:r>
      <w:r w:rsidRPr="005675B2">
        <w:rPr>
          <w:rFonts w:hint="cs"/>
          <w:rtl/>
        </w:rPr>
        <w:t>7 - يخطئ من يظن أن عوام المسلمين على العموم لا يملكون دليلاً عقلياً على الإيمان بالله</w:t>
      </w:r>
      <w:r w:rsidR="000636C2">
        <w:rPr>
          <w:rFonts w:hint="cs"/>
          <w:rtl/>
        </w:rPr>
        <w:t>،</w:t>
      </w:r>
      <w:r w:rsidRPr="005675B2">
        <w:rPr>
          <w:rFonts w:hint="cs"/>
          <w:rtl/>
        </w:rPr>
        <w:t xml:space="preserve"> إذ لا يشترط في الدليل أن يكون على وفق صياغات الفلاسفة</w:t>
      </w:r>
      <w:r w:rsidR="000636C2">
        <w:rPr>
          <w:rFonts w:hint="cs"/>
          <w:rtl/>
        </w:rPr>
        <w:t>،</w:t>
      </w:r>
      <w:r w:rsidRPr="005675B2">
        <w:rPr>
          <w:rFonts w:hint="cs"/>
          <w:rtl/>
        </w:rPr>
        <w:t xml:space="preserve"> اسمع قول الأعرابي الذي قال</w:t>
      </w:r>
      <w:r w:rsidR="000636C2">
        <w:rPr>
          <w:rFonts w:hint="cs"/>
          <w:rtl/>
        </w:rPr>
        <w:t>:</w:t>
      </w:r>
      <w:r w:rsidRPr="005675B2">
        <w:rPr>
          <w:rFonts w:hint="cs"/>
          <w:rtl/>
        </w:rPr>
        <w:t xml:space="preserve"> </w:t>
      </w:r>
      <w:r w:rsidR="000636C2">
        <w:rPr>
          <w:rFonts w:hint="cs"/>
          <w:rtl/>
        </w:rPr>
        <w:t>[</w:t>
      </w:r>
      <w:r w:rsidRPr="005675B2">
        <w:rPr>
          <w:rFonts w:hint="cs"/>
          <w:rtl/>
        </w:rPr>
        <w:t>البعرة تدل على البعير</w:t>
      </w:r>
      <w:r w:rsidR="000636C2">
        <w:rPr>
          <w:rFonts w:hint="cs"/>
          <w:rtl/>
        </w:rPr>
        <w:t>،</w:t>
      </w:r>
      <w:r w:rsidRPr="005675B2">
        <w:rPr>
          <w:rFonts w:hint="cs"/>
          <w:rtl/>
        </w:rPr>
        <w:t xml:space="preserve"> وأثر الأقدام يدل على المسير</w:t>
      </w:r>
      <w:r w:rsidR="000636C2">
        <w:rPr>
          <w:rFonts w:hint="cs"/>
          <w:rtl/>
        </w:rPr>
        <w:t>،</w:t>
      </w:r>
      <w:r w:rsidRPr="005675B2">
        <w:rPr>
          <w:rFonts w:hint="cs"/>
          <w:rtl/>
        </w:rPr>
        <w:t xml:space="preserve"> أفسماء ذات أبراج</w:t>
      </w:r>
      <w:r w:rsidR="000636C2">
        <w:rPr>
          <w:rFonts w:hint="cs"/>
          <w:rtl/>
        </w:rPr>
        <w:t>،</w:t>
      </w:r>
      <w:r w:rsidRPr="005675B2">
        <w:rPr>
          <w:rFonts w:hint="cs"/>
          <w:rtl/>
        </w:rPr>
        <w:t xml:space="preserve"> وأرض ذات فجاج</w:t>
      </w:r>
      <w:r w:rsidR="000636C2">
        <w:rPr>
          <w:rFonts w:hint="cs"/>
          <w:rtl/>
        </w:rPr>
        <w:t>،</w:t>
      </w:r>
      <w:r w:rsidRPr="005675B2">
        <w:rPr>
          <w:rFonts w:hint="cs"/>
          <w:rtl/>
        </w:rPr>
        <w:t xml:space="preserve"> أفلا تدلان على العليم الخبير</w:t>
      </w:r>
      <w:r w:rsidR="000636C2">
        <w:rPr>
          <w:rFonts w:hint="cs"/>
          <w:rtl/>
        </w:rPr>
        <w:t>؟!]،</w:t>
      </w:r>
      <w:r w:rsidRPr="005675B2">
        <w:rPr>
          <w:rFonts w:hint="cs"/>
          <w:rtl/>
        </w:rPr>
        <w:t xml:space="preserve"> وأي دليل على الله تبارك وتعالى أوضح وأيسر من هذا الدليل</w:t>
      </w:r>
      <w:r w:rsidR="000636C2">
        <w:rPr>
          <w:rFonts w:hint="cs"/>
          <w:rtl/>
        </w:rPr>
        <w:t xml:space="preserve">؟!، </w:t>
      </w:r>
      <w:r w:rsidRPr="005675B2">
        <w:rPr>
          <w:rFonts w:hint="cs"/>
          <w:rtl/>
        </w:rPr>
        <w:t>8 - إذا قال بعض أهل العلم</w:t>
      </w:r>
      <w:r w:rsidR="000636C2">
        <w:rPr>
          <w:rFonts w:hint="cs"/>
          <w:rtl/>
        </w:rPr>
        <w:t xml:space="preserve"> </w:t>
      </w:r>
      <w:r w:rsidRPr="005675B2">
        <w:rPr>
          <w:rFonts w:hint="cs"/>
          <w:rtl/>
        </w:rPr>
        <w:t>- أشعرياً كان أوغير أشعري</w:t>
      </w:r>
      <w:r w:rsidR="000636C2">
        <w:rPr>
          <w:rFonts w:hint="cs"/>
          <w:rtl/>
        </w:rPr>
        <w:t xml:space="preserve"> </w:t>
      </w:r>
      <w:r w:rsidRPr="005675B2">
        <w:rPr>
          <w:rFonts w:hint="cs"/>
          <w:rtl/>
        </w:rPr>
        <w:t>- إن الإيمان لا يصح من المكلف إلا بالنظر والاستدلال حسب طرق المتكلمين الفلسفية ؛ فهذا قول ساقط ومردود على قائله</w:t>
      </w:r>
      <w:r w:rsidR="000636C2">
        <w:rPr>
          <w:rFonts w:hint="cs"/>
          <w:rtl/>
        </w:rPr>
        <w:t>،</w:t>
      </w:r>
      <w:r w:rsidRPr="005675B2">
        <w:rPr>
          <w:rFonts w:hint="cs"/>
          <w:rtl/>
        </w:rPr>
        <w:t xml:space="preserve"> ولكن هل هذا هو قول الأشاعرة أو بعض الأشاعرة</w:t>
      </w:r>
      <w:r w:rsidR="000636C2">
        <w:rPr>
          <w:rFonts w:hint="cs"/>
          <w:rtl/>
        </w:rPr>
        <w:t>؟،</w:t>
      </w:r>
      <w:r w:rsidRPr="005675B2">
        <w:rPr>
          <w:rFonts w:hint="cs"/>
          <w:rtl/>
        </w:rPr>
        <w:t xml:space="preserve"> بل كبار أئمة الأشاعرة يردونه ويبينون فساده</w:t>
      </w:r>
      <w:r w:rsidR="000636C2">
        <w:rPr>
          <w:rFonts w:hint="cs"/>
          <w:rtl/>
        </w:rPr>
        <w:t>،</w:t>
      </w:r>
      <w:r w:rsidRPr="005675B2">
        <w:rPr>
          <w:rFonts w:hint="cs"/>
          <w:rtl/>
        </w:rPr>
        <w:t xml:space="preserve"> ومنهم الإمام الغزالي والإمام أبو المظفر ابن السمعاني وغيرهما رحمهم الله تعالى</w:t>
      </w:r>
      <w:r w:rsidR="000636C2">
        <w:rPr>
          <w:rFonts w:hint="cs"/>
          <w:rtl/>
        </w:rPr>
        <w:t>،</w:t>
      </w:r>
    </w:p>
    <w:p w14:paraId="5B206675" w14:textId="77777777" w:rsidR="009C32A0" w:rsidRPr="005675B2" w:rsidRDefault="009C32A0" w:rsidP="000636C2">
      <w:pPr>
        <w:jc w:val="center"/>
        <w:rPr>
          <w:b/>
          <w:rtl/>
        </w:rPr>
      </w:pPr>
      <w:r w:rsidRPr="005675B2">
        <w:rPr>
          <w:rFonts w:hint="cs"/>
          <w:rtl/>
        </w:rPr>
        <w:t>***</w:t>
      </w:r>
    </w:p>
    <w:p w14:paraId="05076C73" w14:textId="65A011B3" w:rsidR="009C32A0" w:rsidRPr="005675B2" w:rsidRDefault="000636C2" w:rsidP="000636C2">
      <w:pPr>
        <w:jc w:val="center"/>
        <w:rPr>
          <w:bCs/>
          <w:rtl/>
        </w:rPr>
      </w:pPr>
      <w:r>
        <w:rPr>
          <w:rFonts w:hint="cs"/>
          <w:bCs/>
          <w:rtl/>
        </w:rPr>
        <w:t>[</w:t>
      </w:r>
      <w:r w:rsidR="009C32A0" w:rsidRPr="005675B2">
        <w:rPr>
          <w:rFonts w:hint="cs"/>
          <w:bCs/>
          <w:rtl/>
        </w:rPr>
        <w:t>الموضوع الرابع</w:t>
      </w:r>
      <w:r>
        <w:rPr>
          <w:rFonts w:hint="cs"/>
          <w:bCs/>
          <w:rtl/>
        </w:rPr>
        <w:t xml:space="preserve">: </w:t>
      </w:r>
      <w:r w:rsidR="009C32A0" w:rsidRPr="005675B2">
        <w:rPr>
          <w:rFonts w:hint="cs"/>
          <w:bCs/>
          <w:rtl/>
        </w:rPr>
        <w:t>الإيمان</w:t>
      </w:r>
      <w:r>
        <w:rPr>
          <w:rFonts w:hint="cs"/>
          <w:bCs/>
          <w:rtl/>
        </w:rPr>
        <w:t>]</w:t>
      </w:r>
    </w:p>
    <w:p w14:paraId="08D8385F" w14:textId="7DBD90F2"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الأشاعرة في الإيمان مرجئة جهمية</w:t>
      </w:r>
      <w:r w:rsidR="000636C2">
        <w:rPr>
          <w:rFonts w:hint="cs"/>
          <w:rtl/>
        </w:rPr>
        <w:t>،</w:t>
      </w:r>
      <w:r w:rsidRPr="005675B2">
        <w:rPr>
          <w:rFonts w:hint="cs"/>
          <w:rtl/>
        </w:rPr>
        <w:t xml:space="preserve"> أجمعت كتبهم قاطبة على أن الإيمان هو التصديق القلبي</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هم على مذهب جهم بعينه</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فعلى كلامهم لا داعي لحرص النبي صلى الله عليه وسلم أن يقول عمه أبو طالب لا إله إلا الله</w:t>
      </w:r>
      <w:r w:rsidR="000636C2">
        <w:rPr>
          <w:rFonts w:hint="cs"/>
          <w:rtl/>
        </w:rPr>
        <w:t>،</w:t>
      </w:r>
      <w:r w:rsidRPr="005675B2">
        <w:rPr>
          <w:rFonts w:hint="cs"/>
          <w:rtl/>
        </w:rPr>
        <w:t xml:space="preserve"> لأنه لا شك في تصديقه له بقلبه</w:t>
      </w:r>
      <w:r w:rsidR="000636C2">
        <w:rPr>
          <w:rFonts w:hint="cs"/>
          <w:rtl/>
        </w:rPr>
        <w:t>،</w:t>
      </w:r>
      <w:r w:rsidRPr="005675B2">
        <w:rPr>
          <w:rFonts w:hint="cs"/>
          <w:rtl/>
        </w:rPr>
        <w:t xml:space="preserve"> وهو ومن شابهه على مذهبهم من أهل الجنة</w:t>
      </w:r>
      <w:r w:rsidR="000636C2">
        <w:rPr>
          <w:rFonts w:hint="cs"/>
          <w:rtl/>
        </w:rPr>
        <w:t>]،</w:t>
      </w:r>
    </w:p>
    <w:p w14:paraId="69F737A7" w14:textId="54A8746D"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1 - لقد ثبت عن رسول الله صلى الله عليه وسلم أنه فسّـر الإيمان بقوله </w:t>
      </w:r>
      <w:r w:rsidR="000636C2">
        <w:rPr>
          <w:rFonts w:hint="cs"/>
          <w:rtl/>
        </w:rPr>
        <w:t>[</w:t>
      </w:r>
      <w:r w:rsidRPr="005675B2">
        <w:rPr>
          <w:rFonts w:hint="cs"/>
          <w:rtl/>
        </w:rPr>
        <w:t>أن تؤمن بالله وملائكته وكتبه ورسله واليوم الآخر وبالقدر خيره وشره من الله تعالى</w:t>
      </w:r>
      <w:r w:rsidR="000636C2">
        <w:rPr>
          <w:rFonts w:hint="cs"/>
          <w:rtl/>
        </w:rPr>
        <w:t>]</w:t>
      </w:r>
      <w:r w:rsidRPr="005675B2">
        <w:rPr>
          <w:rFonts w:hint="cs"/>
          <w:rtl/>
        </w:rPr>
        <w:t xml:space="preserve"> [</w:t>
      </w:r>
      <w:r w:rsidRPr="005675B2">
        <w:rPr>
          <w:rFonts w:hint="cs"/>
          <w:sz w:val="24"/>
          <w:szCs w:val="24"/>
          <w:rtl/>
        </w:rPr>
        <w:t>رواه مسلم في صحيحه</w:t>
      </w:r>
      <w:r w:rsidR="000636C2">
        <w:rPr>
          <w:rFonts w:hint="cs"/>
          <w:sz w:val="24"/>
          <w:szCs w:val="24"/>
          <w:rtl/>
        </w:rPr>
        <w:t>]</w:t>
      </w:r>
      <w:r w:rsidR="000636C2">
        <w:rPr>
          <w:rFonts w:hint="cs"/>
          <w:rtl/>
        </w:rPr>
        <w:t>،</w:t>
      </w:r>
      <w:r w:rsidRPr="005675B2">
        <w:rPr>
          <w:rFonts w:hint="cs"/>
          <w:rtl/>
        </w:rPr>
        <w:t xml:space="preserve"> أفليس معناه</w:t>
      </w:r>
      <w:r w:rsidR="000636C2">
        <w:rPr>
          <w:rFonts w:hint="cs"/>
          <w:rtl/>
        </w:rPr>
        <w:t>:</w:t>
      </w:r>
      <w:r w:rsidRPr="005675B2">
        <w:rPr>
          <w:rFonts w:hint="cs"/>
          <w:rtl/>
        </w:rPr>
        <w:t xml:space="preserve"> أن تصدق بقلبك بالله تعالى وملائكته وكتبه ورسله واليوم الآخر وبالقدر</w:t>
      </w:r>
      <w:r w:rsidR="000636C2">
        <w:rPr>
          <w:rFonts w:hint="cs"/>
          <w:rtl/>
        </w:rPr>
        <w:t>؟،</w:t>
      </w:r>
      <w:r w:rsidRPr="005675B2">
        <w:rPr>
          <w:rFonts w:hint="cs"/>
          <w:rtl/>
        </w:rPr>
        <w:t xml:space="preserve"> فما الذي يعاب على الأشاعرة إذا فسروا الإيمان بمعنى ما فسره به رسول الله صلى الله عليه وسلم</w:t>
      </w:r>
      <w:r w:rsidR="000636C2">
        <w:rPr>
          <w:rFonts w:hint="cs"/>
          <w:rtl/>
        </w:rPr>
        <w:t>؟،</w:t>
      </w:r>
      <w:r w:rsidRPr="005675B2">
        <w:rPr>
          <w:rFonts w:hint="cs"/>
          <w:rtl/>
        </w:rPr>
        <w:t xml:space="preserve"> وتأمل حديث النبي صلى الله عليه وسلم حيث جعل التلفظ بالشهادتين والصلاة والزكاة والصيام والحج من الإسلام</w:t>
      </w:r>
      <w:r w:rsidR="000636C2">
        <w:rPr>
          <w:rFonts w:hint="cs"/>
          <w:rtl/>
        </w:rPr>
        <w:t>،</w:t>
      </w:r>
      <w:r w:rsidRPr="005675B2">
        <w:rPr>
          <w:rFonts w:hint="cs"/>
          <w:rtl/>
        </w:rPr>
        <w:t xml:space="preserve"> لا من الإيمان</w:t>
      </w:r>
      <w:r w:rsidR="000636C2">
        <w:rPr>
          <w:rFonts w:hint="cs"/>
          <w:rtl/>
        </w:rPr>
        <w:t xml:space="preserve">، </w:t>
      </w:r>
      <w:r w:rsidRPr="005675B2">
        <w:rPr>
          <w:rFonts w:hint="cs"/>
          <w:rtl/>
        </w:rPr>
        <w:t>2</w:t>
      </w:r>
      <w:r w:rsidR="000636C2">
        <w:rPr>
          <w:rFonts w:hint="cs"/>
          <w:rtl/>
        </w:rPr>
        <w:t xml:space="preserve"> </w:t>
      </w:r>
      <w:r w:rsidRPr="005675B2">
        <w:rPr>
          <w:rFonts w:hint="cs"/>
          <w:rtl/>
        </w:rPr>
        <w:t>- ما الذي يريده الباحث من الأشاعرة</w:t>
      </w:r>
      <w:r w:rsidR="000636C2">
        <w:rPr>
          <w:rFonts w:hint="cs"/>
          <w:rtl/>
        </w:rPr>
        <w:t>؟</w:t>
      </w:r>
      <w:r w:rsidRPr="005675B2">
        <w:rPr>
          <w:rFonts w:hint="cs"/>
          <w:rtl/>
        </w:rPr>
        <w:t xml:space="preserve"> كأنه يريد منهم أن يقولوا </w:t>
      </w:r>
      <w:r w:rsidR="000636C2">
        <w:rPr>
          <w:rFonts w:hint="cs"/>
          <w:rtl/>
        </w:rPr>
        <w:t>[</w:t>
      </w:r>
      <w:r w:rsidRPr="005675B2">
        <w:rPr>
          <w:rFonts w:hint="cs"/>
          <w:rtl/>
        </w:rPr>
        <w:t>الإيمان اعتقاد وقول وعمل</w:t>
      </w:r>
      <w:r w:rsidR="000636C2">
        <w:rPr>
          <w:rFonts w:hint="cs"/>
          <w:rtl/>
        </w:rPr>
        <w:t>]،</w:t>
      </w:r>
      <w:r w:rsidRPr="005675B2">
        <w:rPr>
          <w:rFonts w:hint="cs"/>
          <w:rtl/>
        </w:rPr>
        <w:t xml:space="preserve"> وهذا صحيح إذا فُهم بمعنى أن الأعمال الصالحة ثمرات الإيمان</w:t>
      </w:r>
      <w:r w:rsidR="000636C2">
        <w:rPr>
          <w:rFonts w:hint="cs"/>
          <w:rtl/>
        </w:rPr>
        <w:t>،</w:t>
      </w:r>
      <w:r w:rsidRPr="005675B2">
        <w:rPr>
          <w:rFonts w:hint="cs"/>
          <w:rtl/>
        </w:rPr>
        <w:t xml:space="preserve"> لا بمعنى أنها أجزاء من ماهية الإيمان</w:t>
      </w:r>
      <w:r w:rsidR="000636C2">
        <w:rPr>
          <w:rFonts w:hint="cs"/>
          <w:rtl/>
        </w:rPr>
        <w:t>،</w:t>
      </w:r>
      <w:r w:rsidRPr="005675B2">
        <w:rPr>
          <w:rFonts w:hint="cs"/>
          <w:rtl/>
        </w:rPr>
        <w:t xml:space="preserve"> والفرق بينهما هو أننا إذا جعلنا الأعمال ثمرات للإيمان فيكون من قصّر فيها ناقص الإيمان ولا يزول عنه اسم الإيمان بالكلية</w:t>
      </w:r>
      <w:r w:rsidR="000636C2">
        <w:rPr>
          <w:rFonts w:hint="cs"/>
          <w:rtl/>
        </w:rPr>
        <w:t>،</w:t>
      </w:r>
      <w:r w:rsidRPr="005675B2">
        <w:rPr>
          <w:rFonts w:hint="cs"/>
          <w:rtl/>
        </w:rPr>
        <w:t xml:space="preserve"> وإذا جعلناها أجزاء من ماهية الإيمان فيكون من قصّر فيها أو في بعضها قد زال عنه اسم الإيمان بالكلية</w:t>
      </w:r>
      <w:r w:rsidR="000636C2">
        <w:rPr>
          <w:rFonts w:hint="cs"/>
          <w:rtl/>
        </w:rPr>
        <w:t>،</w:t>
      </w:r>
      <w:r w:rsidRPr="005675B2">
        <w:rPr>
          <w:rFonts w:hint="cs"/>
          <w:rtl/>
        </w:rPr>
        <w:t xml:space="preserve"> وهذا لا يستقيم مع الأدلة الشرعية الدالة على أن المؤمن لا يخرج عن دائرة الإيمان بتقصيره في العمل</w:t>
      </w:r>
      <w:r w:rsidR="000636C2">
        <w:rPr>
          <w:rFonts w:hint="cs"/>
          <w:rtl/>
        </w:rPr>
        <w:t>،</w:t>
      </w:r>
      <w:r w:rsidRPr="005675B2">
        <w:rPr>
          <w:rFonts w:hint="cs"/>
          <w:rtl/>
        </w:rPr>
        <w:t xml:space="preserve"> وهذا قول السلف وأهل السنة والجماعة، جمعاً بين الأدلة</w:t>
      </w:r>
      <w:r w:rsidR="000636C2">
        <w:rPr>
          <w:rFonts w:hint="cs"/>
          <w:rtl/>
        </w:rPr>
        <w:t xml:space="preserve">، </w:t>
      </w:r>
      <w:r w:rsidRPr="005675B2">
        <w:rPr>
          <w:rFonts w:hint="cs"/>
          <w:rtl/>
        </w:rPr>
        <w:t>3</w:t>
      </w:r>
      <w:r w:rsidR="000636C2">
        <w:rPr>
          <w:rFonts w:hint="cs"/>
          <w:rtl/>
        </w:rPr>
        <w:t xml:space="preserve"> </w:t>
      </w:r>
      <w:r w:rsidRPr="005675B2">
        <w:rPr>
          <w:rFonts w:hint="cs"/>
          <w:rtl/>
        </w:rPr>
        <w:t xml:space="preserve">- لقد ثبت عن النبي صلى الله عليه وسلم أنه قال </w:t>
      </w:r>
      <w:r w:rsidR="000636C2">
        <w:rPr>
          <w:rFonts w:hint="cs"/>
          <w:rtl/>
        </w:rPr>
        <w:t>[</w:t>
      </w:r>
      <w:r w:rsidRPr="005675B2">
        <w:rPr>
          <w:rFonts w:hint="cs"/>
          <w:rtl/>
        </w:rPr>
        <w:t>الإيمان بضع وسبعون شعبة</w:t>
      </w:r>
      <w:r w:rsidR="000636C2">
        <w:rPr>
          <w:rFonts w:hint="cs"/>
          <w:rtl/>
        </w:rPr>
        <w:t>]</w:t>
      </w:r>
      <w:r w:rsidRPr="005675B2">
        <w:rPr>
          <w:rFonts w:hint="cs"/>
          <w:rtl/>
        </w:rPr>
        <w:t xml:space="preserve"> </w:t>
      </w:r>
      <w:r w:rsidR="000636C2">
        <w:rPr>
          <w:rFonts w:hint="cs"/>
          <w:rtl/>
        </w:rPr>
        <w:t>[</w:t>
      </w:r>
      <w:r w:rsidRPr="005675B2">
        <w:rPr>
          <w:rFonts w:hint="cs"/>
          <w:sz w:val="24"/>
          <w:szCs w:val="24"/>
          <w:rtl/>
        </w:rPr>
        <w:t>رواه مسلم في صحيحه</w:t>
      </w:r>
      <w:r w:rsidR="000636C2">
        <w:rPr>
          <w:rFonts w:hint="cs"/>
          <w:sz w:val="24"/>
          <w:szCs w:val="24"/>
          <w:rtl/>
        </w:rPr>
        <w:t>]</w:t>
      </w:r>
      <w:r w:rsidRPr="005675B2">
        <w:rPr>
          <w:rFonts w:hint="cs"/>
          <w:rtl/>
        </w:rPr>
        <w:t xml:space="preserve"> وأنه قال </w:t>
      </w:r>
      <w:r w:rsidR="000636C2">
        <w:rPr>
          <w:rFonts w:hint="cs"/>
          <w:rtl/>
        </w:rPr>
        <w:t>[</w:t>
      </w:r>
      <w:r w:rsidRPr="005675B2">
        <w:rPr>
          <w:rFonts w:hint="cs"/>
          <w:rtl/>
        </w:rPr>
        <w:t>الطُهور شطر الإيمان</w:t>
      </w:r>
      <w:r w:rsidR="000636C2">
        <w:rPr>
          <w:rFonts w:hint="cs"/>
          <w:rtl/>
        </w:rPr>
        <w:t>]</w:t>
      </w:r>
      <w:r w:rsidRPr="005675B2">
        <w:rPr>
          <w:rFonts w:hint="cs"/>
          <w:rtl/>
        </w:rPr>
        <w:t xml:space="preserve"> [</w:t>
      </w:r>
      <w:r w:rsidRPr="005675B2">
        <w:rPr>
          <w:rFonts w:hint="cs"/>
          <w:sz w:val="24"/>
          <w:szCs w:val="24"/>
          <w:rtl/>
        </w:rPr>
        <w:t>رواه مسلم في صحيحه</w:t>
      </w:r>
      <w:r w:rsidR="000636C2">
        <w:rPr>
          <w:rFonts w:hint="cs"/>
          <w:sz w:val="24"/>
          <w:szCs w:val="24"/>
          <w:rtl/>
        </w:rPr>
        <w:t>]</w:t>
      </w:r>
      <w:r w:rsidR="000636C2">
        <w:rPr>
          <w:rFonts w:hint="cs"/>
          <w:rtl/>
        </w:rPr>
        <w:t>،</w:t>
      </w:r>
      <w:r w:rsidRPr="005675B2">
        <w:rPr>
          <w:rFonts w:hint="cs"/>
          <w:rtl/>
        </w:rPr>
        <w:t xml:space="preserve"> والأشاعرة مقرّون بكل ما ثبت عن النبي صلى الله عليه وسلم وقائلون به</w:t>
      </w:r>
      <w:r w:rsidR="000636C2">
        <w:rPr>
          <w:rFonts w:hint="cs"/>
          <w:rtl/>
        </w:rPr>
        <w:t>،</w:t>
      </w:r>
      <w:r w:rsidRPr="005675B2">
        <w:rPr>
          <w:rFonts w:hint="cs"/>
          <w:rtl/>
        </w:rPr>
        <w:t xml:space="preserve"> ولكن معنى ذلك هو أن تلك الأعمال الصالحة ثمرات متفرعة من الشجرة الإيمانية</w:t>
      </w:r>
      <w:r w:rsidR="000636C2">
        <w:rPr>
          <w:rFonts w:hint="cs"/>
          <w:rtl/>
        </w:rPr>
        <w:t>،</w:t>
      </w:r>
      <w:r w:rsidRPr="005675B2">
        <w:rPr>
          <w:rFonts w:hint="cs"/>
          <w:rtl/>
        </w:rPr>
        <w:t xml:space="preserve"> أي إذا كان أصل الشجرة وجذرها موجوداً ولكنها لم تثمر فهذا لا يعني أن الشجرة لا وجود لها بتاتاً</w:t>
      </w:r>
      <w:r w:rsidR="000636C2">
        <w:rPr>
          <w:rFonts w:hint="cs"/>
          <w:rtl/>
        </w:rPr>
        <w:t>،</w:t>
      </w:r>
      <w:r w:rsidRPr="005675B2">
        <w:rPr>
          <w:rFonts w:hint="cs"/>
          <w:rtl/>
        </w:rPr>
        <w:t xml:space="preserve"> بل لا بد من رعاية ذلك الأصل وتقويته وتغذيته حتى تظهر الثمار</w:t>
      </w:r>
      <w:r w:rsidR="000636C2">
        <w:rPr>
          <w:rFonts w:hint="cs"/>
          <w:rtl/>
        </w:rPr>
        <w:t>،</w:t>
      </w:r>
      <w:r w:rsidRPr="005675B2">
        <w:rPr>
          <w:rFonts w:hint="cs"/>
          <w:rtl/>
        </w:rPr>
        <w:t xml:space="preserve"> قال الله تبارك وتعالى</w:t>
      </w:r>
      <w:r w:rsidR="000636C2">
        <w:rPr>
          <w:rFonts w:hint="cs"/>
          <w:rtl/>
        </w:rPr>
        <w:t>:</w:t>
      </w:r>
      <w:r w:rsidRPr="005675B2">
        <w:rPr>
          <w:rFonts w:hint="cs"/>
          <w:rtl/>
        </w:rPr>
        <w:t xml:space="preserve"> </w:t>
      </w:r>
      <w:r w:rsidR="000636C2">
        <w:rPr>
          <w:rFonts w:hint="cs"/>
          <w:rtl/>
        </w:rPr>
        <w:t>[</w:t>
      </w:r>
      <w:r w:rsidRPr="005675B2">
        <w:rPr>
          <w:rFonts w:hint="cs"/>
          <w:rtl/>
        </w:rPr>
        <w:t>أَلَمْ تَرَ كَيْفَ ضَرَبَ اللَّهُ مَثَلاً كَلِمَةً طَيِّبَةً كَشَجَرَةٍ طَيِّبَةٍ أَصْلُهَا ثَابِتٌ وَفَرْعُهَا فِي السَّمَاءِ * تُؤْتِي أُكُلَهَا كُلَّ حِينٍ بِإِذْنِ رَبِّهَا وَيَضْرِبُ اللَّهُ الْأَمْثَالَ لِلنَّاسِ لَعَلَّهُمْ يَتَذَكَّرُونَ [</w:t>
      </w:r>
      <w:r w:rsidRPr="005675B2">
        <w:rPr>
          <w:rFonts w:hint="cs"/>
          <w:sz w:val="24"/>
          <w:szCs w:val="24"/>
          <w:rtl/>
        </w:rPr>
        <w:t>الآيتان 24 – 25 من سورة إبراهيم</w:t>
      </w:r>
      <w:r w:rsidR="000636C2">
        <w:rPr>
          <w:rFonts w:hint="cs"/>
          <w:sz w:val="24"/>
          <w:szCs w:val="24"/>
          <w:rtl/>
        </w:rPr>
        <w:t>]</w:t>
      </w:r>
      <w:r w:rsidR="000636C2">
        <w:rPr>
          <w:rFonts w:hint="cs"/>
          <w:rtl/>
        </w:rPr>
        <w:t xml:space="preserve">، </w:t>
      </w:r>
      <w:r w:rsidRPr="005675B2">
        <w:rPr>
          <w:rFonts w:hint="cs"/>
          <w:rtl/>
        </w:rPr>
        <w:t>4</w:t>
      </w:r>
      <w:r w:rsidR="000636C2">
        <w:rPr>
          <w:rFonts w:hint="cs"/>
          <w:rtl/>
        </w:rPr>
        <w:t xml:space="preserve"> </w:t>
      </w:r>
      <w:r w:rsidRPr="005675B2">
        <w:rPr>
          <w:rFonts w:hint="cs"/>
          <w:rtl/>
        </w:rPr>
        <w:t>- ذكر الإيجي رحمه الله أن الإيمان بالمعنى الشرعي هو التصديق للرسول صلى الله عليه وسلم فيما عُلم مجيئه به ضرورة</w:t>
      </w:r>
      <w:r w:rsidR="000636C2">
        <w:rPr>
          <w:rFonts w:hint="cs"/>
          <w:rtl/>
        </w:rPr>
        <w:t>،</w:t>
      </w:r>
      <w:r w:rsidRPr="005675B2">
        <w:rPr>
          <w:rFonts w:hint="cs"/>
          <w:rtl/>
        </w:rPr>
        <w:t xml:space="preserve"> ثم ذكر أدلته على ذلك</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الأول</w:t>
      </w:r>
      <w:r w:rsidR="000636C2">
        <w:rPr>
          <w:rFonts w:hint="cs"/>
          <w:rtl/>
        </w:rPr>
        <w:t>:</w:t>
      </w:r>
      <w:r w:rsidRPr="005675B2">
        <w:rPr>
          <w:rFonts w:hint="cs"/>
          <w:rtl/>
        </w:rPr>
        <w:t xml:space="preserve"> الآيات الدالة على محلِّيَّة القلب للإيمان</w:t>
      </w:r>
      <w:r w:rsidR="000636C2">
        <w:rPr>
          <w:rFonts w:hint="cs"/>
          <w:rtl/>
        </w:rPr>
        <w:t>،</w:t>
      </w:r>
      <w:r w:rsidRPr="005675B2">
        <w:rPr>
          <w:rFonts w:hint="cs"/>
          <w:rtl/>
        </w:rPr>
        <w:t xml:space="preserve">نحو </w:t>
      </w:r>
      <w:r w:rsidR="000636C2">
        <w:rPr>
          <w:rFonts w:hint="cs"/>
          <w:rtl/>
        </w:rPr>
        <w:t>[</w:t>
      </w:r>
      <w:r w:rsidRPr="005675B2">
        <w:rPr>
          <w:rFonts w:hint="cs"/>
          <w:rtl/>
        </w:rPr>
        <w:t>أُولَئِكَ كَتَبَ فِي قُلُوبِهِمُ الْأِيمَانَ</w:t>
      </w:r>
      <w:r w:rsidR="000636C2">
        <w:rPr>
          <w:rFonts w:hint="cs"/>
          <w:rtl/>
        </w:rPr>
        <w:t>]</w:t>
      </w:r>
      <w:r w:rsidRPr="005675B2">
        <w:rPr>
          <w:rFonts w:hint="cs"/>
          <w:rtl/>
        </w:rPr>
        <w:t xml:space="preserve"> [</w:t>
      </w:r>
      <w:r w:rsidRPr="005675B2">
        <w:rPr>
          <w:rFonts w:hint="cs"/>
          <w:sz w:val="24"/>
          <w:szCs w:val="24"/>
          <w:rtl/>
        </w:rPr>
        <w:t>سورة المجادلة آية 22</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وَلَمَّا يَدْخُلِ الْأِيمَانُ فِي قُلُوبِكُمْ</w:t>
      </w:r>
      <w:r w:rsidR="000636C2">
        <w:rPr>
          <w:rFonts w:hint="cs"/>
          <w:rtl/>
        </w:rPr>
        <w:t>]</w:t>
      </w:r>
      <w:r w:rsidRPr="005675B2">
        <w:rPr>
          <w:rFonts w:hint="cs"/>
          <w:rtl/>
        </w:rPr>
        <w:t xml:space="preserve"> [</w:t>
      </w:r>
      <w:r w:rsidRPr="005675B2">
        <w:rPr>
          <w:rFonts w:hint="cs"/>
          <w:sz w:val="24"/>
          <w:szCs w:val="24"/>
          <w:rtl/>
        </w:rPr>
        <w:t>سورة الحجرات آية 14</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وَقَلْبُهُ مُطْمَئِنٌّ بِالْأِيمَانِ</w:t>
      </w:r>
      <w:r w:rsidR="000636C2">
        <w:rPr>
          <w:rFonts w:hint="cs"/>
          <w:rtl/>
        </w:rPr>
        <w:t>]</w:t>
      </w:r>
      <w:r w:rsidRPr="005675B2">
        <w:rPr>
          <w:rFonts w:hint="cs"/>
          <w:rtl/>
        </w:rPr>
        <w:t xml:space="preserve"> [</w:t>
      </w:r>
      <w:r w:rsidRPr="005675B2">
        <w:rPr>
          <w:rFonts w:hint="cs"/>
          <w:sz w:val="24"/>
          <w:szCs w:val="24"/>
          <w:rtl/>
        </w:rPr>
        <w:t>سورة النحل آية 6</w:t>
      </w:r>
      <w:r w:rsidR="000636C2">
        <w:rPr>
          <w:rFonts w:hint="cs"/>
          <w:sz w:val="24"/>
          <w:szCs w:val="24"/>
          <w:rtl/>
        </w:rPr>
        <w:t>]</w:t>
      </w:r>
      <w:r w:rsidR="000636C2">
        <w:rPr>
          <w:rFonts w:hint="cs"/>
          <w:rtl/>
        </w:rPr>
        <w:t>،</w:t>
      </w:r>
      <w:r w:rsidRPr="005675B2">
        <w:rPr>
          <w:rFonts w:hint="cs"/>
          <w:rtl/>
        </w:rPr>
        <w:t xml:space="preserve"> الثاني</w:t>
      </w:r>
      <w:r w:rsidR="000636C2">
        <w:rPr>
          <w:rFonts w:hint="cs"/>
          <w:rtl/>
        </w:rPr>
        <w:t>:</w:t>
      </w:r>
      <w:r w:rsidRPr="005675B2">
        <w:rPr>
          <w:rFonts w:hint="cs"/>
          <w:rtl/>
        </w:rPr>
        <w:t xml:space="preserve"> جاء الإيمان مقروناً بالعمل الصالح في غير موضع من الكتاب</w:t>
      </w:r>
      <w:r w:rsidR="000636C2">
        <w:rPr>
          <w:rFonts w:hint="cs"/>
          <w:rtl/>
        </w:rPr>
        <w:t>،</w:t>
      </w:r>
      <w:r w:rsidRPr="005675B2">
        <w:rPr>
          <w:rFonts w:hint="cs"/>
          <w:rtl/>
        </w:rPr>
        <w:t xml:space="preserve"> نحو</w:t>
      </w:r>
      <w:r w:rsidR="000636C2">
        <w:rPr>
          <w:rFonts w:hint="cs"/>
          <w:rtl/>
        </w:rPr>
        <w:t>[</w:t>
      </w:r>
      <w:r w:rsidRPr="005675B2">
        <w:rPr>
          <w:rFonts w:hint="cs"/>
          <w:rtl/>
        </w:rPr>
        <w:t>الَّذِينَ آمَنُوا وَعَمِلُوا الصَّالِحَاتِ</w:t>
      </w:r>
      <w:r w:rsidR="000636C2">
        <w:rPr>
          <w:rFonts w:hint="cs"/>
          <w:rtl/>
        </w:rPr>
        <w:t>]</w:t>
      </w:r>
      <w:r w:rsidRPr="005675B2">
        <w:rPr>
          <w:rFonts w:hint="cs"/>
          <w:rtl/>
        </w:rPr>
        <w:t xml:space="preserve"> [</w:t>
      </w:r>
      <w:r w:rsidRPr="005675B2">
        <w:rPr>
          <w:rFonts w:hint="cs"/>
          <w:sz w:val="24"/>
          <w:szCs w:val="24"/>
          <w:rtl/>
        </w:rPr>
        <w:t>سورة البقرة آية 25</w:t>
      </w:r>
      <w:r w:rsidR="000636C2">
        <w:rPr>
          <w:rFonts w:hint="cs"/>
          <w:sz w:val="24"/>
          <w:szCs w:val="24"/>
          <w:rtl/>
        </w:rPr>
        <w:t>]</w:t>
      </w:r>
      <w:r w:rsidR="000636C2">
        <w:rPr>
          <w:rFonts w:hint="cs"/>
          <w:rtl/>
        </w:rPr>
        <w:t>،</w:t>
      </w:r>
      <w:r w:rsidRPr="005675B2">
        <w:rPr>
          <w:rFonts w:hint="cs"/>
          <w:rtl/>
        </w:rPr>
        <w:t xml:space="preserve"> فدل على التغاير</w:t>
      </w:r>
      <w:r w:rsidR="000636C2">
        <w:rPr>
          <w:rFonts w:hint="cs"/>
          <w:rtl/>
        </w:rPr>
        <w:t>،</w:t>
      </w:r>
      <w:r w:rsidRPr="005675B2">
        <w:rPr>
          <w:rFonts w:hint="cs"/>
          <w:rtl/>
        </w:rPr>
        <w:t xml:space="preserve"> الثالث</w:t>
      </w:r>
      <w:r w:rsidR="000636C2">
        <w:rPr>
          <w:rFonts w:hint="cs"/>
          <w:rtl/>
        </w:rPr>
        <w:t>:</w:t>
      </w:r>
      <w:r w:rsidRPr="005675B2">
        <w:rPr>
          <w:rFonts w:hint="cs"/>
          <w:rtl/>
        </w:rPr>
        <w:t xml:space="preserve"> أنه قُرن بضد العمل الصالح</w:t>
      </w:r>
      <w:r w:rsidR="000636C2">
        <w:rPr>
          <w:rFonts w:hint="cs"/>
          <w:rtl/>
        </w:rPr>
        <w:t>،</w:t>
      </w:r>
      <w:r w:rsidRPr="005675B2">
        <w:rPr>
          <w:rFonts w:hint="cs"/>
          <w:rtl/>
        </w:rPr>
        <w:t xml:space="preserve"> نحو</w:t>
      </w:r>
      <w:r w:rsidR="000636C2">
        <w:rPr>
          <w:rFonts w:hint="cs"/>
          <w:rtl/>
        </w:rPr>
        <w:t>[</w:t>
      </w:r>
      <w:r w:rsidRPr="005675B2">
        <w:rPr>
          <w:rFonts w:hint="cs"/>
          <w:rtl/>
        </w:rPr>
        <w:t>وَإِنْ طَائِفَتَانِ مِنَ الْمُؤْمِنِينَ اقْتَتَلُوا</w:t>
      </w:r>
      <w:r w:rsidR="000636C2">
        <w:rPr>
          <w:rFonts w:hint="cs"/>
          <w:rtl/>
        </w:rPr>
        <w:t>]</w:t>
      </w:r>
      <w:r w:rsidRPr="005675B2">
        <w:rPr>
          <w:rFonts w:hint="cs"/>
          <w:rtl/>
        </w:rPr>
        <w:t xml:space="preserve"> [</w:t>
      </w:r>
      <w:r w:rsidRPr="005675B2">
        <w:rPr>
          <w:rFonts w:hint="cs"/>
          <w:sz w:val="24"/>
          <w:szCs w:val="24"/>
          <w:rtl/>
        </w:rPr>
        <w:t>المواقف للإيجي: ص 385 . والآية سورة الحجرات آية 9</w:t>
      </w:r>
      <w:r w:rsidR="000636C2">
        <w:rPr>
          <w:rFonts w:hint="cs"/>
          <w:sz w:val="24"/>
          <w:szCs w:val="24"/>
          <w:rtl/>
        </w:rPr>
        <w:t>]</w:t>
      </w:r>
      <w:r w:rsidR="000636C2">
        <w:rPr>
          <w:rFonts w:hint="cs"/>
          <w:rtl/>
        </w:rPr>
        <w:t xml:space="preserve">، </w:t>
      </w:r>
      <w:r w:rsidRPr="005675B2">
        <w:rPr>
          <w:rFonts w:hint="cs"/>
          <w:rtl/>
        </w:rPr>
        <w:t>فالإيمان محله القلب</w:t>
      </w:r>
      <w:r w:rsidR="000636C2">
        <w:rPr>
          <w:rFonts w:hint="cs"/>
          <w:rtl/>
        </w:rPr>
        <w:t>،</w:t>
      </w:r>
      <w:r w:rsidRPr="005675B2">
        <w:rPr>
          <w:rFonts w:hint="cs"/>
          <w:rtl/>
        </w:rPr>
        <w:t xml:space="preserve"> ومما يؤكد استدلالَ الإيجي ما جاء عن النبي صلى الله عليه وسلم أنه قال لأحد الصحابة</w:t>
      </w:r>
      <w:r w:rsidR="000636C2">
        <w:rPr>
          <w:rFonts w:hint="cs"/>
          <w:rtl/>
        </w:rPr>
        <w:t>:</w:t>
      </w:r>
      <w:r w:rsidRPr="005675B2">
        <w:rPr>
          <w:rFonts w:hint="cs"/>
          <w:rtl/>
        </w:rPr>
        <w:t xml:space="preserve"> </w:t>
      </w:r>
      <w:r w:rsidR="000636C2">
        <w:rPr>
          <w:rFonts w:hint="cs"/>
          <w:rtl/>
        </w:rPr>
        <w:t>[</w:t>
      </w:r>
      <w:r w:rsidRPr="005675B2">
        <w:rPr>
          <w:rFonts w:hint="cs"/>
          <w:rtl/>
        </w:rPr>
        <w:t>اذهب بنعلي هاتين</w:t>
      </w:r>
      <w:r w:rsidR="000636C2">
        <w:rPr>
          <w:rFonts w:hint="cs"/>
          <w:rtl/>
        </w:rPr>
        <w:t>،</w:t>
      </w:r>
      <w:r w:rsidRPr="005675B2">
        <w:rPr>
          <w:rFonts w:hint="cs"/>
          <w:rtl/>
        </w:rPr>
        <w:t xml:space="preserve"> فمن لقيت من وراء هذا الحائط يشهد أن لا إله إلا الله مستيقناً بها قلبه فبشره بالجنة</w:t>
      </w:r>
      <w:r w:rsidR="000636C2">
        <w:rPr>
          <w:rFonts w:hint="cs"/>
          <w:rtl/>
        </w:rPr>
        <w:t>]</w:t>
      </w:r>
      <w:r w:rsidRPr="005675B2">
        <w:rPr>
          <w:rFonts w:hint="cs"/>
          <w:rtl/>
        </w:rPr>
        <w:t xml:space="preserve"> [</w:t>
      </w:r>
      <w:r w:rsidRPr="005675B2">
        <w:rPr>
          <w:rFonts w:hint="cs"/>
          <w:sz w:val="24"/>
          <w:szCs w:val="24"/>
          <w:rtl/>
        </w:rPr>
        <w:t>رواه البيهقي في الاعتقاد: ص 9</w:t>
      </w:r>
      <w:r w:rsidR="000636C2">
        <w:rPr>
          <w:rFonts w:hint="cs"/>
          <w:sz w:val="24"/>
          <w:szCs w:val="24"/>
          <w:rtl/>
        </w:rPr>
        <w:t>]</w:t>
      </w:r>
      <w:r w:rsidR="000636C2">
        <w:rPr>
          <w:rFonts w:hint="cs"/>
          <w:rtl/>
        </w:rPr>
        <w:t>،</w:t>
      </w:r>
      <w:r w:rsidRPr="005675B2">
        <w:rPr>
          <w:rFonts w:hint="cs"/>
          <w:rtl/>
        </w:rPr>
        <w:t xml:space="preserve"> ثم إن العطف كما يقول علماء العربية يقتضي التغاير</w:t>
      </w:r>
      <w:r w:rsidR="000636C2">
        <w:rPr>
          <w:rFonts w:hint="cs"/>
          <w:rtl/>
        </w:rPr>
        <w:t>،</w:t>
      </w:r>
      <w:r w:rsidRPr="005675B2">
        <w:rPr>
          <w:rFonts w:hint="cs"/>
          <w:rtl/>
        </w:rPr>
        <w:t xml:space="preserve"> فعطف الأعمال الصالحات على الإيمان يدل على أن كلا منهما غير الآخر</w:t>
      </w:r>
      <w:r w:rsidR="000636C2">
        <w:rPr>
          <w:rFonts w:hint="cs"/>
          <w:rtl/>
        </w:rPr>
        <w:t>،</w:t>
      </w:r>
      <w:r w:rsidRPr="005675B2">
        <w:rPr>
          <w:rFonts w:hint="cs"/>
          <w:rtl/>
        </w:rPr>
        <w:t xml:space="preserve"> واقتتال طائفتين من المؤمنين وسفك بعضهم دماء بعض غير جائز ومع ذلك فقد سمى الله تعالى الطائفتين المقتتلتين </w:t>
      </w:r>
      <w:r w:rsidR="000636C2">
        <w:rPr>
          <w:rFonts w:hint="cs"/>
          <w:rtl/>
        </w:rPr>
        <w:t>[</w:t>
      </w:r>
      <w:r w:rsidRPr="005675B2">
        <w:rPr>
          <w:rFonts w:hint="cs"/>
          <w:rtl/>
        </w:rPr>
        <w:t>من المؤمنين</w:t>
      </w:r>
      <w:r w:rsidR="000636C2">
        <w:rPr>
          <w:rFonts w:hint="cs"/>
          <w:rtl/>
        </w:rPr>
        <w:t xml:space="preserve">]، </w:t>
      </w:r>
      <w:r w:rsidRPr="005675B2">
        <w:rPr>
          <w:rFonts w:hint="cs"/>
          <w:rtl/>
        </w:rPr>
        <w:t>5</w:t>
      </w:r>
      <w:r w:rsidR="000636C2">
        <w:rPr>
          <w:rFonts w:hint="cs"/>
          <w:rtl/>
        </w:rPr>
        <w:t xml:space="preserve"> </w:t>
      </w:r>
      <w:r w:rsidRPr="005675B2">
        <w:rPr>
          <w:rFonts w:hint="cs"/>
          <w:rtl/>
        </w:rPr>
        <w:t>- أود أن أضيف هنا نبذة صغيرة لأحد العلماء الماتريديين</w:t>
      </w:r>
      <w:r w:rsidR="000636C2">
        <w:rPr>
          <w:rFonts w:hint="cs"/>
          <w:rtl/>
        </w:rPr>
        <w:t>،</w:t>
      </w:r>
      <w:r w:rsidRPr="005675B2">
        <w:rPr>
          <w:rFonts w:hint="cs"/>
          <w:rtl/>
        </w:rPr>
        <w:t xml:space="preserve"> وهو أبو المعين ميمون بن محمد النسفي المتوفى سنة </w:t>
      </w:r>
      <w:r w:rsidR="000636C2">
        <w:rPr>
          <w:rFonts w:hint="cs"/>
          <w:rtl/>
        </w:rPr>
        <w:t>(</w:t>
      </w:r>
      <w:r w:rsidRPr="005675B2">
        <w:rPr>
          <w:rFonts w:hint="cs"/>
          <w:rtl/>
        </w:rPr>
        <w:t>508ه -</w:t>
      </w:r>
      <w:r w:rsidR="000636C2">
        <w:rPr>
          <w:rFonts w:hint="cs"/>
          <w:rtl/>
        </w:rPr>
        <w:t>)</w:t>
      </w:r>
      <w:r w:rsidRPr="005675B2">
        <w:rPr>
          <w:rFonts w:hint="cs"/>
          <w:rtl/>
        </w:rPr>
        <w:t xml:space="preserve"> رحمه الله تعالى</w:t>
      </w:r>
      <w:r w:rsidR="000636C2">
        <w:rPr>
          <w:rFonts w:hint="cs"/>
          <w:rtl/>
        </w:rPr>
        <w:t>،</w:t>
      </w:r>
      <w:r w:rsidRPr="005675B2">
        <w:rPr>
          <w:rFonts w:hint="cs"/>
          <w:rtl/>
        </w:rPr>
        <w:t xml:space="preserve"> فمعظم المسائل العقدية لا اختلاف فيها بين الأشاعرة والماتريدية</w:t>
      </w:r>
      <w:r w:rsidR="000636C2">
        <w:rPr>
          <w:rFonts w:hint="cs"/>
          <w:rtl/>
        </w:rPr>
        <w:t>،</w:t>
      </w:r>
      <w:r w:rsidRPr="005675B2">
        <w:rPr>
          <w:rFonts w:hint="cs"/>
          <w:rtl/>
        </w:rPr>
        <w:t xml:space="preserve"> قال أبو المعين النسفي في الاستدلال على أن الأعمال الصالحة هي غير الإيمان</w:t>
      </w:r>
      <w:r w:rsidR="000636C2">
        <w:rPr>
          <w:rFonts w:hint="cs"/>
          <w:rtl/>
        </w:rPr>
        <w:t>:</w:t>
      </w:r>
      <w:r w:rsidRPr="005675B2">
        <w:rPr>
          <w:rFonts w:hint="cs"/>
          <w:rtl/>
        </w:rPr>
        <w:t xml:space="preserve">يؤيده أن الله تعالى جعل الإيمان شرطا لقيام الأعمال الصالحة بقوله تعالى </w:t>
      </w:r>
      <w:r w:rsidR="000636C2">
        <w:rPr>
          <w:rFonts w:hint="cs"/>
          <w:rtl/>
        </w:rPr>
        <w:t>[</w:t>
      </w:r>
      <w:r w:rsidRPr="005675B2">
        <w:rPr>
          <w:rFonts w:hint="cs"/>
          <w:rtl/>
        </w:rPr>
        <w:t>فَمَنْ يَعْمَلْ مِنَ الصَّالِحَاتِ وَهُوَ مُؤْمِنٌ فَلا كُفْرَانَ لِسَعْيِهِ</w:t>
      </w:r>
      <w:r w:rsidR="000636C2">
        <w:rPr>
          <w:rFonts w:hint="cs"/>
          <w:rtl/>
        </w:rPr>
        <w:t>]</w:t>
      </w:r>
      <w:r w:rsidRPr="005675B2">
        <w:rPr>
          <w:rFonts w:hint="cs"/>
          <w:rtl/>
        </w:rPr>
        <w:t xml:space="preserve"> [</w:t>
      </w:r>
      <w:r w:rsidRPr="005675B2">
        <w:rPr>
          <w:rFonts w:hint="cs"/>
          <w:sz w:val="24"/>
          <w:szCs w:val="24"/>
          <w:rtl/>
        </w:rPr>
        <w:t>سورة الأنبياء آية 94</w:t>
      </w:r>
      <w:r w:rsidR="000636C2">
        <w:rPr>
          <w:rFonts w:hint="cs"/>
          <w:sz w:val="24"/>
          <w:szCs w:val="24"/>
          <w:rtl/>
        </w:rPr>
        <w:t>]</w:t>
      </w:r>
      <w:r w:rsidR="000636C2">
        <w:rPr>
          <w:rFonts w:hint="cs"/>
          <w:rtl/>
        </w:rPr>
        <w:t>،</w:t>
      </w:r>
      <w:r w:rsidRPr="005675B2">
        <w:rPr>
          <w:rFonts w:hint="cs"/>
          <w:rtl/>
        </w:rPr>
        <w:t xml:space="preserve"> ولو كان الإيمان اسماً لكل عبادة لكان شرطُ الشيء نفسَه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التمهيد في أصول الدين لأبى المعين النسفي: ص 101ـ102</w:t>
      </w:r>
      <w:r w:rsidRPr="005675B2">
        <w:rPr>
          <w:rFonts w:hint="cs"/>
          <w:rtl/>
        </w:rPr>
        <w:t>]</w:t>
      </w:r>
      <w:r w:rsidR="000636C2">
        <w:rPr>
          <w:rFonts w:hint="cs"/>
          <w:rtl/>
        </w:rPr>
        <w:t>،</w:t>
      </w:r>
      <w:r w:rsidRPr="005675B2">
        <w:rPr>
          <w:rFonts w:hint="cs"/>
          <w:rtl/>
        </w:rPr>
        <w:t xml:space="preserve"> فرحمه الله تعالى وأعلى مقامه</w:t>
      </w:r>
      <w:r w:rsidR="000636C2">
        <w:rPr>
          <w:rFonts w:hint="cs"/>
          <w:rtl/>
        </w:rPr>
        <w:t xml:space="preserve">، </w:t>
      </w:r>
      <w:r w:rsidRPr="005675B2">
        <w:rPr>
          <w:rFonts w:hint="cs"/>
          <w:rtl/>
        </w:rPr>
        <w:t>6 - توهم الباحث - سامحه الله</w:t>
      </w:r>
      <w:r w:rsidR="000636C2">
        <w:rPr>
          <w:rFonts w:hint="cs"/>
          <w:rtl/>
        </w:rPr>
        <w:t xml:space="preserve"> </w:t>
      </w:r>
      <w:r w:rsidRPr="005675B2">
        <w:rPr>
          <w:rFonts w:hint="cs"/>
          <w:rtl/>
        </w:rPr>
        <w:t>- أن مذهب الأشاعرة في الإيمان هو مذهـب جهم بعينه</w:t>
      </w:r>
      <w:r w:rsidR="000636C2">
        <w:rPr>
          <w:rFonts w:hint="cs"/>
          <w:rtl/>
        </w:rPr>
        <w:t xml:space="preserve">! </w:t>
      </w:r>
      <w:r w:rsidRPr="005675B2">
        <w:rPr>
          <w:rFonts w:hint="cs"/>
          <w:rtl/>
        </w:rPr>
        <w:t>وزعم</w:t>
      </w:r>
      <w:r w:rsidR="000636C2">
        <w:rPr>
          <w:rFonts w:hint="cs"/>
          <w:rtl/>
        </w:rPr>
        <w:t xml:space="preserve"> </w:t>
      </w:r>
      <w:r w:rsidRPr="005675B2">
        <w:rPr>
          <w:rFonts w:hint="cs"/>
          <w:rtl/>
        </w:rPr>
        <w:t>أنهم</w:t>
      </w:r>
      <w:r w:rsidR="000636C2">
        <w:rPr>
          <w:rFonts w:hint="cs"/>
          <w:rtl/>
        </w:rPr>
        <w:t xml:space="preserve"> </w:t>
      </w:r>
      <w:r w:rsidRPr="005675B2">
        <w:rPr>
          <w:rFonts w:hint="cs"/>
          <w:rtl/>
        </w:rPr>
        <w:t>جهمية</w:t>
      </w:r>
      <w:r w:rsidR="000636C2">
        <w:rPr>
          <w:rFonts w:hint="cs"/>
          <w:rtl/>
        </w:rPr>
        <w:t>!</w:t>
      </w:r>
      <w:r w:rsidRPr="005675B2">
        <w:rPr>
          <w:rFonts w:hint="cs"/>
          <w:rtl/>
        </w:rPr>
        <w:t xml:space="preserve"> وذلك لأنه لم يدرك الفرق الدقيق بين المذهبين</w:t>
      </w:r>
      <w:r w:rsidR="000636C2">
        <w:rPr>
          <w:rFonts w:hint="cs"/>
          <w:rtl/>
        </w:rPr>
        <w:t xml:space="preserve">، </w:t>
      </w:r>
      <w:r w:rsidRPr="005675B2">
        <w:rPr>
          <w:rFonts w:hint="cs"/>
          <w:rtl/>
        </w:rPr>
        <w:t>أما جهم بن صفوان والجهميون فيذمهم الأشاعرة غاية الذم</w:t>
      </w:r>
      <w:r w:rsidR="000636C2">
        <w:rPr>
          <w:rFonts w:hint="cs"/>
          <w:rtl/>
        </w:rPr>
        <w:t>،</w:t>
      </w:r>
      <w:r w:rsidRPr="005675B2">
        <w:rPr>
          <w:rFonts w:hint="cs"/>
          <w:rtl/>
        </w:rPr>
        <w:t xml:space="preserve"> ويرمونهم بالبدعة والضلال والزيغ</w:t>
      </w:r>
      <w:r w:rsidR="000636C2">
        <w:rPr>
          <w:rFonts w:hint="cs"/>
          <w:rtl/>
        </w:rPr>
        <w:t>،</w:t>
      </w:r>
      <w:r w:rsidRPr="005675B2">
        <w:rPr>
          <w:rFonts w:hint="cs"/>
          <w:rtl/>
        </w:rPr>
        <w:t xml:space="preserve"> ويبرؤون إلى الله منهم ومن مذهبهم</w:t>
      </w:r>
      <w:r w:rsidR="000636C2">
        <w:rPr>
          <w:rFonts w:hint="cs"/>
          <w:rtl/>
        </w:rPr>
        <w:t>،</w:t>
      </w:r>
      <w:r w:rsidRPr="005675B2">
        <w:rPr>
          <w:rFonts w:hint="cs"/>
          <w:rtl/>
        </w:rPr>
        <w:t xml:space="preserve"> فما الفرق بين المذهبين</w:t>
      </w:r>
      <w:r w:rsidR="000636C2">
        <w:rPr>
          <w:rFonts w:hint="cs"/>
          <w:rtl/>
        </w:rPr>
        <w:t xml:space="preserve">؟ </w:t>
      </w:r>
      <w:r w:rsidRPr="005675B2">
        <w:rPr>
          <w:rFonts w:hint="cs"/>
          <w:rtl/>
        </w:rPr>
        <w:t>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وزعمت الجهمية أن الإيمان هو المعرفة وحدها</w:t>
      </w:r>
      <w:r w:rsidR="000636C2">
        <w:rPr>
          <w:rFonts w:hint="cs"/>
          <w:rtl/>
        </w:rPr>
        <w:t>]</w:t>
      </w:r>
      <w:r w:rsidRPr="005675B2">
        <w:rPr>
          <w:rFonts w:hint="cs"/>
          <w:rtl/>
        </w:rPr>
        <w:t xml:space="preserve"> [</w:t>
      </w:r>
      <w:r w:rsidRPr="005675B2">
        <w:rPr>
          <w:rFonts w:hint="cs"/>
          <w:sz w:val="24"/>
          <w:szCs w:val="24"/>
          <w:rtl/>
        </w:rPr>
        <w:t>أصول الدين لأبى منصور البغدادي: ص 249</w:t>
      </w:r>
      <w:r w:rsidR="000636C2">
        <w:rPr>
          <w:rFonts w:hint="cs"/>
          <w:sz w:val="24"/>
          <w:szCs w:val="24"/>
          <w:rtl/>
        </w:rPr>
        <w:t>]</w:t>
      </w:r>
      <w:r w:rsidR="000636C2">
        <w:rPr>
          <w:rFonts w:hint="cs"/>
          <w:rtl/>
        </w:rPr>
        <w:t>،</w:t>
      </w:r>
      <w:r w:rsidRPr="005675B2">
        <w:rPr>
          <w:rFonts w:hint="cs"/>
          <w:rtl/>
        </w:rPr>
        <w:t xml:space="preserve"> ونقل الشهرستاني عن جهم أنه قال</w:t>
      </w:r>
      <w:r w:rsidR="000636C2">
        <w:rPr>
          <w:rFonts w:hint="cs"/>
          <w:rtl/>
        </w:rPr>
        <w:t>:</w:t>
      </w:r>
      <w:r w:rsidRPr="005675B2">
        <w:rPr>
          <w:rFonts w:hint="cs"/>
          <w:rtl/>
        </w:rPr>
        <w:t xml:space="preserve"> </w:t>
      </w:r>
      <w:r w:rsidR="000636C2">
        <w:rPr>
          <w:rFonts w:hint="cs"/>
          <w:rtl/>
        </w:rPr>
        <w:t>[</w:t>
      </w:r>
      <w:r w:rsidRPr="005675B2">
        <w:rPr>
          <w:rFonts w:hint="cs"/>
          <w:rtl/>
        </w:rPr>
        <w:t>من أتى بالمعرفة ثم جحد بلسانه لم يكفر بجحده</w:t>
      </w:r>
      <w:r w:rsidR="000636C2">
        <w:rPr>
          <w:rFonts w:hint="cs"/>
          <w:rtl/>
        </w:rPr>
        <w:t>،</w:t>
      </w:r>
      <w:r w:rsidRPr="005675B2">
        <w:rPr>
          <w:rFonts w:hint="cs"/>
          <w:rtl/>
        </w:rPr>
        <w:t xml:space="preserve"> لأن العلم والمعرفة لا يزول بالجحد</w:t>
      </w:r>
      <w:r w:rsidR="000636C2">
        <w:rPr>
          <w:rFonts w:hint="cs"/>
          <w:rtl/>
        </w:rPr>
        <w:t>،</w:t>
      </w:r>
      <w:r w:rsidRPr="005675B2">
        <w:rPr>
          <w:rFonts w:hint="cs"/>
          <w:rtl/>
        </w:rPr>
        <w:t xml:space="preserve"> فهو مؤمن</w:t>
      </w:r>
      <w:r w:rsidR="000636C2">
        <w:rPr>
          <w:rFonts w:hint="cs"/>
          <w:rtl/>
        </w:rPr>
        <w:t>] [</w:t>
      </w:r>
      <w:r w:rsidRPr="005675B2">
        <w:rPr>
          <w:rFonts w:hint="cs"/>
          <w:sz w:val="24"/>
          <w:szCs w:val="24"/>
          <w:rtl/>
        </w:rPr>
        <w:t>الملل والنحل للشهرستاني: 1/ 111</w:t>
      </w:r>
      <w:r w:rsidR="000636C2">
        <w:rPr>
          <w:rFonts w:hint="cs"/>
          <w:sz w:val="24"/>
          <w:szCs w:val="24"/>
          <w:rtl/>
        </w:rPr>
        <w:t>]</w:t>
      </w:r>
      <w:r w:rsidR="000636C2">
        <w:rPr>
          <w:rFonts w:hint="cs"/>
          <w:rtl/>
        </w:rPr>
        <w:t>،</w:t>
      </w:r>
      <w:r w:rsidRPr="005675B2">
        <w:rPr>
          <w:rFonts w:hint="cs"/>
          <w:rtl/>
        </w:rPr>
        <w:t xml:space="preserve"> أي إن بعض الكافرين قد يُسأل عما يعتقده في الله تعالى فيقول إن الله واحد</w:t>
      </w:r>
      <w:r w:rsidR="000636C2">
        <w:rPr>
          <w:rFonts w:hint="cs"/>
          <w:rtl/>
        </w:rPr>
        <w:t>،</w:t>
      </w:r>
      <w:r w:rsidRPr="005675B2">
        <w:rPr>
          <w:rFonts w:hint="cs"/>
          <w:rtl/>
        </w:rPr>
        <w:t xml:space="preserve"> ويُسأل عما يعتقده في محمد صلى الله عليه وسلم فيقول هو نبي</w:t>
      </w:r>
      <w:r w:rsidR="000636C2">
        <w:rPr>
          <w:rFonts w:hint="cs"/>
          <w:rtl/>
        </w:rPr>
        <w:t>،</w:t>
      </w:r>
      <w:r w:rsidRPr="005675B2">
        <w:rPr>
          <w:rFonts w:hint="cs"/>
          <w:rtl/>
        </w:rPr>
        <w:t xml:space="preserve"> ويسأل عن اليوم الآخر يوم الحساب والجزاء فيقول لا بد من يوم للحساب والجزاء</w:t>
      </w:r>
      <w:r w:rsidR="000636C2">
        <w:rPr>
          <w:rFonts w:hint="cs"/>
          <w:rtl/>
        </w:rPr>
        <w:t>،</w:t>
      </w:r>
      <w:r w:rsidRPr="005675B2">
        <w:rPr>
          <w:rFonts w:hint="cs"/>
          <w:rtl/>
        </w:rPr>
        <w:t xml:space="preserve"> وهنا يأتي قول جهم بأن مثل هذا مؤمن ناج وإن كان مقيماً على نصرانيته أو يهوديته أو مجوسيته</w:t>
      </w:r>
      <w:r w:rsidR="000636C2">
        <w:rPr>
          <w:rFonts w:hint="cs"/>
          <w:rtl/>
        </w:rPr>
        <w:t>،</w:t>
      </w:r>
      <w:r w:rsidRPr="005675B2">
        <w:rPr>
          <w:rFonts w:hint="cs"/>
          <w:rtl/>
        </w:rPr>
        <w:t xml:space="preserve"> وأن الإيمان هو المعرفة</w:t>
      </w:r>
      <w:r w:rsidR="000636C2">
        <w:rPr>
          <w:rFonts w:hint="cs"/>
          <w:rtl/>
        </w:rPr>
        <w:t>،</w:t>
      </w:r>
      <w:r w:rsidRPr="005675B2">
        <w:rPr>
          <w:rFonts w:hint="cs"/>
          <w:rtl/>
        </w:rPr>
        <w:t xml:space="preserve"> وأن اسم الإيمان لا يزول عنه لأنه عرف الحق</w:t>
      </w:r>
      <w:r w:rsidR="000636C2">
        <w:rPr>
          <w:rFonts w:hint="cs"/>
          <w:rtl/>
        </w:rPr>
        <w:t xml:space="preserve">، </w:t>
      </w:r>
      <w:r w:rsidRPr="005675B2">
        <w:rPr>
          <w:rFonts w:hint="cs"/>
          <w:rtl/>
        </w:rPr>
        <w:t>أما الأشاعرة فيقولون إن المعرفة وحدها لا تنقل المرء من الكفر إلى الإيمان</w:t>
      </w:r>
      <w:r w:rsidR="000636C2">
        <w:rPr>
          <w:rFonts w:hint="cs"/>
          <w:rtl/>
        </w:rPr>
        <w:t>،</w:t>
      </w:r>
      <w:r w:rsidRPr="005675B2">
        <w:rPr>
          <w:rFonts w:hint="cs"/>
          <w:rtl/>
        </w:rPr>
        <w:t xml:space="preserve"> بل لا بد معها من إذعان النفس وقبولها لهذه المعرفة</w:t>
      </w:r>
      <w:r w:rsidR="000636C2">
        <w:rPr>
          <w:rFonts w:hint="cs"/>
          <w:rtl/>
        </w:rPr>
        <w:t>،</w:t>
      </w:r>
      <w:r w:rsidRPr="005675B2">
        <w:rPr>
          <w:rFonts w:hint="cs"/>
          <w:rtl/>
        </w:rPr>
        <w:t xml:space="preserve"> فإبليس كان يعرف أن الله تعالى هو ربه وخالقه وآمره</w:t>
      </w:r>
      <w:r w:rsidR="000636C2">
        <w:rPr>
          <w:rFonts w:hint="cs"/>
          <w:rtl/>
        </w:rPr>
        <w:t>،</w:t>
      </w:r>
      <w:r w:rsidRPr="005675B2">
        <w:rPr>
          <w:rFonts w:hint="cs"/>
          <w:rtl/>
        </w:rPr>
        <w:t xml:space="preserve"> ولكنه لم يخضع بعقله وقلبه لهذه المعرفة</w:t>
      </w:r>
      <w:r w:rsidR="000636C2">
        <w:rPr>
          <w:rFonts w:hint="cs"/>
          <w:rtl/>
        </w:rPr>
        <w:t>،</w:t>
      </w:r>
      <w:r w:rsidRPr="005675B2">
        <w:rPr>
          <w:rFonts w:hint="cs"/>
          <w:rtl/>
        </w:rPr>
        <w:t xml:space="preserve"> فتمرد واستكبر</w:t>
      </w:r>
      <w:r w:rsidR="000636C2">
        <w:rPr>
          <w:rFonts w:hint="cs"/>
          <w:rtl/>
        </w:rPr>
        <w:t>،</w:t>
      </w:r>
      <w:r w:rsidRPr="005675B2">
        <w:rPr>
          <w:rFonts w:hint="cs"/>
          <w:rtl/>
        </w:rPr>
        <w:t xml:space="preserve"> وهرقل عرف من خلال حواره مع أبى سفيان صدق محمد صلى الله عليه وسلم ونبوته</w:t>
      </w:r>
      <w:r w:rsidR="000636C2">
        <w:rPr>
          <w:rFonts w:hint="cs"/>
          <w:rtl/>
        </w:rPr>
        <w:t>،</w:t>
      </w:r>
      <w:r w:rsidRPr="005675B2">
        <w:rPr>
          <w:rFonts w:hint="cs"/>
          <w:rtl/>
        </w:rPr>
        <w:t xml:space="preserve"> ولكنه لم يذعن الإذعان العقلي والقلبي لهذه المعرفة</w:t>
      </w:r>
      <w:r w:rsidR="000636C2">
        <w:rPr>
          <w:rFonts w:hint="cs"/>
          <w:rtl/>
        </w:rPr>
        <w:t>،</w:t>
      </w:r>
      <w:r w:rsidRPr="005675B2">
        <w:rPr>
          <w:rFonts w:hint="cs"/>
          <w:rtl/>
        </w:rPr>
        <w:t xml:space="preserve"> وكثير من أهل الكتاب تحققوا من خلال ما عندهم من العلم أن محمداً صلى الله عليه وسلم هو النبي الخاتم</w:t>
      </w:r>
      <w:r w:rsidR="000636C2">
        <w:rPr>
          <w:rFonts w:hint="cs"/>
          <w:rtl/>
        </w:rPr>
        <w:t>،</w:t>
      </w:r>
      <w:r w:rsidRPr="005675B2">
        <w:rPr>
          <w:rFonts w:hint="cs"/>
          <w:rtl/>
        </w:rPr>
        <w:t xml:space="preserve"> ولكنهم جحدوا نبوته حسداً وكبراً</w:t>
      </w:r>
      <w:r w:rsidR="000636C2">
        <w:rPr>
          <w:rFonts w:hint="cs"/>
          <w:rtl/>
        </w:rPr>
        <w:t>،</w:t>
      </w:r>
      <w:r w:rsidRPr="005675B2">
        <w:rPr>
          <w:rFonts w:hint="cs"/>
          <w:rtl/>
        </w:rPr>
        <w:t xml:space="preserve"> كما قال تعالى </w:t>
      </w:r>
      <w:r w:rsidR="000636C2">
        <w:rPr>
          <w:rFonts w:hint="cs"/>
          <w:rtl/>
        </w:rPr>
        <w:t>[</w:t>
      </w:r>
      <w:r w:rsidRPr="005675B2">
        <w:rPr>
          <w:rFonts w:hint="cs"/>
          <w:rtl/>
        </w:rPr>
        <w:t>يَعْرِفُونَهُ كَمَا يَعْرِفُونَ أَبْنَاءَهُمْ</w:t>
      </w:r>
      <w:r w:rsidR="000636C2">
        <w:rPr>
          <w:rFonts w:hint="cs"/>
          <w:rtl/>
        </w:rPr>
        <w:t>]</w:t>
      </w:r>
      <w:r w:rsidRPr="005675B2">
        <w:rPr>
          <w:rFonts w:hint="cs"/>
          <w:rtl/>
        </w:rPr>
        <w:t xml:space="preserve"> [</w:t>
      </w:r>
      <w:r w:rsidRPr="005675B2">
        <w:rPr>
          <w:rFonts w:hint="cs"/>
          <w:sz w:val="24"/>
          <w:szCs w:val="24"/>
          <w:rtl/>
        </w:rPr>
        <w:t>ذكرت مرتين في سورة البقرة آية 146</w:t>
      </w:r>
      <w:r w:rsidR="000636C2">
        <w:rPr>
          <w:rFonts w:hint="cs"/>
          <w:sz w:val="24"/>
          <w:szCs w:val="24"/>
          <w:rtl/>
        </w:rPr>
        <w:t>،</w:t>
      </w:r>
      <w:r w:rsidRPr="005675B2">
        <w:rPr>
          <w:rFonts w:hint="cs"/>
          <w:sz w:val="24"/>
          <w:szCs w:val="24"/>
          <w:rtl/>
        </w:rPr>
        <w:t xml:space="preserve"> وسورة الأنعام آية 20</w:t>
      </w:r>
      <w:r w:rsidR="000636C2">
        <w:rPr>
          <w:rFonts w:hint="cs"/>
          <w:sz w:val="24"/>
          <w:szCs w:val="24"/>
          <w:rtl/>
        </w:rPr>
        <w:t>]</w:t>
      </w:r>
      <w:r w:rsidR="000636C2">
        <w:rPr>
          <w:rFonts w:hint="cs"/>
          <w:rtl/>
        </w:rPr>
        <w:t>،</w:t>
      </w:r>
      <w:r w:rsidRPr="005675B2">
        <w:rPr>
          <w:rFonts w:hint="cs"/>
          <w:rtl/>
        </w:rPr>
        <w:t xml:space="preserve"> وكثير من الكافرين يتضح لهم الحق وصدق الرسالة المحمدية فيستنكفون عن الإذعان لها ويصرون على عدم قبولها</w:t>
      </w:r>
      <w:r w:rsidR="000636C2">
        <w:rPr>
          <w:rFonts w:hint="cs"/>
          <w:rtl/>
        </w:rPr>
        <w:t>،</w:t>
      </w:r>
      <w:r w:rsidRPr="005675B2">
        <w:rPr>
          <w:rFonts w:hint="cs"/>
          <w:rtl/>
        </w:rPr>
        <w:t xml:space="preserve"> كما أخبر الله سبحانه وتعالى عنهم بقوله </w:t>
      </w:r>
      <w:r w:rsidR="000636C2">
        <w:rPr>
          <w:rFonts w:hint="cs"/>
          <w:rtl/>
        </w:rPr>
        <w:t>[</w:t>
      </w:r>
      <w:r w:rsidRPr="005675B2">
        <w:rPr>
          <w:rFonts w:hint="cs"/>
          <w:rtl/>
        </w:rPr>
        <w:t>وَجَحَدُوا بِهَا وَاسْتَيْقَنَتْهَا أَنْفُسُهُمْ</w:t>
      </w:r>
      <w:r w:rsidR="000636C2">
        <w:rPr>
          <w:rFonts w:hint="cs"/>
          <w:rtl/>
        </w:rPr>
        <w:t>]</w:t>
      </w:r>
      <w:r w:rsidRPr="005675B2">
        <w:rPr>
          <w:rFonts w:hint="cs"/>
          <w:rtl/>
        </w:rPr>
        <w:t xml:space="preserve"> [</w:t>
      </w:r>
      <w:r w:rsidRPr="005675B2">
        <w:rPr>
          <w:rFonts w:hint="cs"/>
          <w:sz w:val="24"/>
          <w:szCs w:val="24"/>
          <w:rtl/>
        </w:rPr>
        <w:t>سورة النمل آية 14</w:t>
      </w:r>
      <w:r w:rsidR="000636C2">
        <w:rPr>
          <w:rFonts w:hint="cs"/>
          <w:sz w:val="24"/>
          <w:szCs w:val="24"/>
          <w:rtl/>
        </w:rPr>
        <w:t>]</w:t>
      </w:r>
      <w:r w:rsidR="000636C2">
        <w:rPr>
          <w:rFonts w:hint="cs"/>
          <w:rtl/>
        </w:rPr>
        <w:t>،</w:t>
      </w:r>
      <w:r w:rsidRPr="005675B2">
        <w:rPr>
          <w:rFonts w:hint="cs"/>
          <w:rtl/>
        </w:rPr>
        <w:t xml:space="preserve"> فهؤلاء لا تغني عنهم معرفتهم شيئا</w:t>
      </w:r>
      <w:r w:rsidR="000636C2">
        <w:rPr>
          <w:rFonts w:hint="cs"/>
          <w:rtl/>
        </w:rPr>
        <w:t>،</w:t>
      </w:r>
      <w:r w:rsidRPr="005675B2">
        <w:rPr>
          <w:rFonts w:hint="cs"/>
          <w:rtl/>
        </w:rPr>
        <w:t xml:space="preserve"> وليس هؤلاء من المؤمنين</w:t>
      </w:r>
      <w:r w:rsidR="000636C2">
        <w:rPr>
          <w:rFonts w:hint="cs"/>
          <w:rtl/>
        </w:rPr>
        <w:t>،</w:t>
      </w:r>
      <w:r w:rsidRPr="005675B2">
        <w:rPr>
          <w:rFonts w:hint="cs"/>
          <w:rtl/>
        </w:rPr>
        <w:t xml:space="preserve"> وليسوا من الذين تنالهم الشفاعة</w:t>
      </w:r>
      <w:r w:rsidR="000636C2">
        <w:rPr>
          <w:rFonts w:hint="cs"/>
          <w:rtl/>
        </w:rPr>
        <w:t>،</w:t>
      </w:r>
      <w:r w:rsidRPr="005675B2">
        <w:rPr>
          <w:rFonts w:hint="cs"/>
          <w:rtl/>
        </w:rPr>
        <w:t xml:space="preserve"> لأنه ليس في قلوبهم مثقال حبة خردل من الإيمان</w:t>
      </w:r>
      <w:r w:rsidR="000636C2">
        <w:rPr>
          <w:rFonts w:hint="cs"/>
          <w:rtl/>
        </w:rPr>
        <w:t xml:space="preserve">، </w:t>
      </w:r>
      <w:r w:rsidRPr="005675B2">
        <w:rPr>
          <w:rFonts w:hint="cs"/>
          <w:rtl/>
        </w:rPr>
        <w:t>وقال التفتازاني رحمه الله عن التصديق</w:t>
      </w:r>
      <w:r w:rsidR="000636C2">
        <w:rPr>
          <w:rFonts w:hint="cs"/>
          <w:rtl/>
        </w:rPr>
        <w:t>:</w:t>
      </w:r>
      <w:r w:rsidRPr="005675B2">
        <w:rPr>
          <w:rFonts w:hint="cs"/>
          <w:rtl/>
        </w:rPr>
        <w:t xml:space="preserve"> </w:t>
      </w:r>
      <w:r w:rsidR="000636C2">
        <w:rPr>
          <w:rFonts w:hint="cs"/>
          <w:rtl/>
        </w:rPr>
        <w:t>[</w:t>
      </w:r>
      <w:r w:rsidRPr="005675B2">
        <w:rPr>
          <w:rFonts w:hint="cs"/>
          <w:rtl/>
        </w:rPr>
        <w:t>وحقيقته إذعان النفس وقبوله</w:t>
      </w:r>
      <w:r w:rsidR="000636C2">
        <w:rPr>
          <w:rFonts w:hint="cs"/>
          <w:rtl/>
        </w:rPr>
        <w:t>]</w:t>
      </w:r>
      <w:r w:rsidRPr="005675B2">
        <w:rPr>
          <w:rFonts w:hint="cs"/>
          <w:rtl/>
        </w:rPr>
        <w:t xml:space="preserve"> [</w:t>
      </w:r>
      <w:r w:rsidRPr="005675B2">
        <w:rPr>
          <w:rFonts w:hint="cs"/>
          <w:sz w:val="24"/>
          <w:szCs w:val="24"/>
          <w:rtl/>
        </w:rPr>
        <w:t>شرح المقاصد للتفتازاني: ص 200</w:t>
      </w:r>
      <w:r w:rsidR="000636C2">
        <w:rPr>
          <w:rFonts w:hint="cs"/>
          <w:sz w:val="24"/>
          <w:szCs w:val="24"/>
          <w:rtl/>
        </w:rPr>
        <w:t>]</w:t>
      </w:r>
      <w:r w:rsidR="000636C2">
        <w:rPr>
          <w:rFonts w:hint="cs"/>
          <w:rtl/>
        </w:rPr>
        <w:t>،</w:t>
      </w:r>
      <w:r w:rsidRPr="005675B2">
        <w:rPr>
          <w:rFonts w:hint="cs"/>
          <w:rtl/>
        </w:rPr>
        <w:t xml:space="preserve"> وقال البيجوري رحمه الله</w:t>
      </w:r>
      <w:r w:rsidR="000636C2">
        <w:rPr>
          <w:rFonts w:hint="cs"/>
          <w:rtl/>
        </w:rPr>
        <w:t>:</w:t>
      </w:r>
      <w:r w:rsidRPr="005675B2">
        <w:rPr>
          <w:rFonts w:hint="cs"/>
          <w:rtl/>
        </w:rPr>
        <w:t xml:space="preserve"> والمراد بتصديق النبي صلى الله عليه وسلم في ذلك الإذعانُ لما جاء به والقبول له</w:t>
      </w:r>
      <w:r w:rsidR="000636C2">
        <w:rPr>
          <w:rFonts w:hint="cs"/>
          <w:rtl/>
        </w:rPr>
        <w:t>،</w:t>
      </w:r>
      <w:r w:rsidRPr="005675B2">
        <w:rPr>
          <w:rFonts w:hint="cs"/>
          <w:rtl/>
        </w:rPr>
        <w:t xml:space="preserve"> وليس المراد وقوعَ نسبة الصدق إليه في القلب من غير إذعان وقبول حتى يلزم الحكم بإيمان كثير من الكفار الذين كانوا يعرفون حقّيّة نبوته ورسالته صلى الله عليه وسلم</w:t>
      </w:r>
      <w:r w:rsidR="000636C2">
        <w:rPr>
          <w:rFonts w:hint="cs"/>
          <w:rtl/>
        </w:rPr>
        <w:t>،</w:t>
      </w:r>
      <w:r w:rsidRPr="005675B2">
        <w:rPr>
          <w:rFonts w:hint="cs"/>
          <w:rtl/>
        </w:rPr>
        <w:t xml:space="preserve"> ومصداق ذلك قوله تعالى </w:t>
      </w:r>
      <w:r w:rsidR="000636C2">
        <w:rPr>
          <w:rFonts w:hint="cs"/>
          <w:rtl/>
        </w:rPr>
        <w:t>[</w:t>
      </w:r>
      <w:r w:rsidRPr="005675B2">
        <w:rPr>
          <w:rFonts w:hint="cs"/>
          <w:rtl/>
        </w:rPr>
        <w:t>يَعْرِفُونَهُ كَمَا يَعْرِفُونَ أَبْنَاءَهُمْ</w:t>
      </w:r>
      <w:r w:rsidR="000636C2">
        <w:rPr>
          <w:rFonts w:hint="cs"/>
          <w:rtl/>
        </w:rPr>
        <w:t>]</w:t>
      </w:r>
      <w:r w:rsidRPr="005675B2">
        <w:rPr>
          <w:rFonts w:hint="cs"/>
          <w:rtl/>
        </w:rPr>
        <w:t xml:space="preserve"> [</w:t>
      </w:r>
      <w:r w:rsidRPr="005675B2">
        <w:rPr>
          <w:rFonts w:hint="cs"/>
          <w:sz w:val="24"/>
          <w:szCs w:val="24"/>
          <w:rtl/>
        </w:rPr>
        <w:t>حاشية الجوهرة للبيجوري: ص 26</w:t>
      </w:r>
      <w:r w:rsidR="000636C2">
        <w:rPr>
          <w:rFonts w:hint="cs"/>
          <w:sz w:val="24"/>
          <w:szCs w:val="24"/>
          <w:rtl/>
        </w:rPr>
        <w:t>]</w:t>
      </w:r>
      <w:r w:rsidR="000636C2">
        <w:rPr>
          <w:rFonts w:hint="cs"/>
          <w:rtl/>
        </w:rPr>
        <w:t xml:space="preserve">، </w:t>
      </w:r>
      <w:r w:rsidRPr="005675B2">
        <w:rPr>
          <w:rFonts w:hint="cs"/>
          <w:rtl/>
        </w:rPr>
        <w:t>7</w:t>
      </w:r>
      <w:r w:rsidR="000636C2">
        <w:rPr>
          <w:rFonts w:hint="cs"/>
          <w:rtl/>
        </w:rPr>
        <w:t xml:space="preserve"> </w:t>
      </w:r>
      <w:r w:rsidRPr="005675B2">
        <w:rPr>
          <w:rFonts w:hint="cs"/>
          <w:rtl/>
        </w:rPr>
        <w:t>- لقد تجلت الحقيقة لكل ذي بصيرة</w:t>
      </w:r>
      <w:r w:rsidR="000636C2">
        <w:rPr>
          <w:rFonts w:hint="cs"/>
          <w:rtl/>
        </w:rPr>
        <w:t>،</w:t>
      </w:r>
      <w:r w:rsidRPr="005675B2">
        <w:rPr>
          <w:rFonts w:hint="cs"/>
          <w:rtl/>
        </w:rPr>
        <w:t xml:space="preserve"> وتبين أن أبا طالب ومن شابهه لا ينفعه تصديقه للنبي صلى الله عليه وسلم بقلبه ما لم يذعن ويخضع بعقله وقلبه لمعرفته بصدق النبي صلى الله عليه وسلم</w:t>
      </w:r>
      <w:r w:rsidR="000636C2">
        <w:rPr>
          <w:rFonts w:hint="cs"/>
          <w:rtl/>
        </w:rPr>
        <w:t>،</w:t>
      </w:r>
      <w:r w:rsidRPr="005675B2">
        <w:rPr>
          <w:rFonts w:hint="cs"/>
          <w:rtl/>
        </w:rPr>
        <w:t xml:space="preserve"> أي حتى يقبل بعقله وقلبه الدخول في الإسلام</w:t>
      </w:r>
      <w:r w:rsidR="000636C2">
        <w:rPr>
          <w:rFonts w:hint="cs"/>
          <w:rtl/>
        </w:rPr>
        <w:t>،</w:t>
      </w:r>
      <w:r w:rsidRPr="005675B2">
        <w:rPr>
          <w:rFonts w:hint="cs"/>
          <w:rtl/>
        </w:rPr>
        <w:t xml:space="preserve"> ولذلك فقد كان النبي صلى الله عليه وسلم حريصاً على أن يقول عمه أبو طالب الكلمة التي هي عنوان الدخول في الإسلام</w:t>
      </w:r>
      <w:r w:rsidR="000636C2">
        <w:rPr>
          <w:rFonts w:hint="cs"/>
          <w:rtl/>
        </w:rPr>
        <w:t>،</w:t>
      </w:r>
      <w:r w:rsidRPr="005675B2">
        <w:rPr>
          <w:rFonts w:hint="cs"/>
          <w:rtl/>
        </w:rPr>
        <w:t xml:space="preserve"> وعندما يقولها من لا يعرف النفاق والمجاملة فإنه يقولها وهو يعني ما يقول</w:t>
      </w:r>
      <w:r w:rsidR="000636C2">
        <w:rPr>
          <w:rFonts w:hint="cs"/>
          <w:rtl/>
        </w:rPr>
        <w:t>،</w:t>
      </w:r>
      <w:r w:rsidRPr="005675B2">
        <w:rPr>
          <w:rFonts w:hint="cs"/>
          <w:rtl/>
        </w:rPr>
        <w:t xml:space="preserve"> وهذا يعني عملية التحول الواعي من ملة الكفر إلى دين الإسلام</w:t>
      </w:r>
      <w:r w:rsidR="000636C2">
        <w:rPr>
          <w:rFonts w:hint="cs"/>
          <w:rtl/>
        </w:rPr>
        <w:t>،</w:t>
      </w:r>
    </w:p>
    <w:p w14:paraId="4C1EE2C6" w14:textId="77777777" w:rsidR="009C32A0" w:rsidRPr="005675B2" w:rsidRDefault="009C32A0" w:rsidP="000636C2">
      <w:pPr>
        <w:jc w:val="center"/>
        <w:rPr>
          <w:b/>
          <w:rtl/>
        </w:rPr>
      </w:pPr>
      <w:r w:rsidRPr="005675B2">
        <w:rPr>
          <w:rFonts w:hint="cs"/>
          <w:rtl/>
        </w:rPr>
        <w:t>***</w:t>
      </w:r>
    </w:p>
    <w:p w14:paraId="57EEAF5A" w14:textId="11FFFA5B" w:rsidR="009C32A0" w:rsidRPr="005675B2" w:rsidRDefault="000636C2" w:rsidP="000636C2">
      <w:pPr>
        <w:jc w:val="center"/>
        <w:rPr>
          <w:bCs/>
          <w:rtl/>
        </w:rPr>
      </w:pPr>
      <w:r>
        <w:rPr>
          <w:rFonts w:hint="cs"/>
          <w:bCs/>
          <w:rtl/>
        </w:rPr>
        <w:t>[</w:t>
      </w:r>
      <w:r w:rsidR="009C32A0" w:rsidRPr="005675B2">
        <w:rPr>
          <w:rFonts w:hint="cs"/>
          <w:bCs/>
          <w:rtl/>
        </w:rPr>
        <w:t>الموضوع الخامس</w:t>
      </w:r>
      <w:r>
        <w:rPr>
          <w:rFonts w:hint="cs"/>
          <w:bCs/>
          <w:rtl/>
        </w:rPr>
        <w:t>:</w:t>
      </w:r>
      <w:r w:rsidR="009C32A0" w:rsidRPr="005675B2">
        <w:rPr>
          <w:rFonts w:hint="cs"/>
          <w:bCs/>
          <w:rtl/>
        </w:rPr>
        <w:t xml:space="preserve"> القرآن</w:t>
      </w:r>
      <w:r>
        <w:rPr>
          <w:rFonts w:hint="cs"/>
          <w:bCs/>
          <w:rtl/>
        </w:rPr>
        <w:t>]</w:t>
      </w:r>
    </w:p>
    <w:p w14:paraId="7AC9FF56" w14:textId="2C05FC72" w:rsidR="009C32A0" w:rsidRPr="005675B2" w:rsidRDefault="009C32A0" w:rsidP="000636C2">
      <w:pPr>
        <w:rPr>
          <w:b/>
          <w:rtl/>
        </w:rPr>
      </w:pPr>
      <w:r w:rsidRPr="005675B2">
        <w:rPr>
          <w:rFonts w:hint="cs"/>
          <w:bCs/>
          <w:rtl/>
        </w:rPr>
        <w:t>قال الباحث</w:t>
      </w:r>
      <w:r w:rsidR="000636C2">
        <w:rPr>
          <w:rFonts w:hint="cs"/>
          <w:bCs/>
          <w:rtl/>
        </w:rPr>
        <w:t>:</w:t>
      </w:r>
      <w:r w:rsidRPr="005675B2">
        <w:rPr>
          <w:rFonts w:hint="cs"/>
          <w:rtl/>
        </w:rPr>
        <w:t xml:space="preserve"> </w:t>
      </w:r>
      <w:r w:rsidR="000636C2">
        <w:rPr>
          <w:rFonts w:hint="cs"/>
          <w:rtl/>
        </w:rPr>
        <w:t>[</w:t>
      </w:r>
      <w:r w:rsidRPr="005675B2">
        <w:rPr>
          <w:rFonts w:hint="cs"/>
          <w:rtl/>
        </w:rPr>
        <w:t>فمذهب أهل السنة والجماعة أن القرآن كلام الله غير مخلوق</w:t>
      </w:r>
      <w:r w:rsidR="000636C2">
        <w:rPr>
          <w:rFonts w:hint="cs"/>
          <w:rtl/>
        </w:rPr>
        <w:t>،</w:t>
      </w:r>
      <w:r w:rsidRPr="005675B2">
        <w:rPr>
          <w:rFonts w:hint="cs"/>
          <w:rtl/>
        </w:rPr>
        <w:t xml:space="preserve"> وأنه تعالى يتكلم بكلام مسموع تسمعه الملائكة وسمعه جبريل وسمعه موسى عليه السلام ويسمعه الخلائق يوم القيامة</w:t>
      </w:r>
      <w:r w:rsidR="000636C2">
        <w:rPr>
          <w:rFonts w:hint="cs"/>
          <w:rtl/>
        </w:rPr>
        <w:t>،</w:t>
      </w:r>
      <w:r w:rsidRPr="005675B2">
        <w:rPr>
          <w:rFonts w:hint="cs"/>
          <w:rtl/>
        </w:rPr>
        <w:t xml:space="preserve"> ومذهب المعتزلة أنه مخلوق</w:t>
      </w:r>
      <w:r w:rsidR="000636C2">
        <w:rPr>
          <w:rFonts w:hint="cs"/>
          <w:rtl/>
        </w:rPr>
        <w:t>،</w:t>
      </w:r>
      <w:r w:rsidRPr="005675B2">
        <w:rPr>
          <w:rFonts w:hint="cs"/>
          <w:rtl/>
        </w:rPr>
        <w:t xml:space="preserve"> أما مذهب الأشاعرة … فقد فرقوا بين المعنى واللفظ</w:t>
      </w:r>
      <w:r w:rsidR="000636C2">
        <w:rPr>
          <w:rFonts w:hint="cs"/>
          <w:rtl/>
        </w:rPr>
        <w:t>،</w:t>
      </w:r>
      <w:r w:rsidRPr="005675B2">
        <w:rPr>
          <w:rFonts w:hint="cs"/>
          <w:rtl/>
        </w:rPr>
        <w:t xml:space="preserve"> فالكلام الذي يثبتونه لله تعالى هو معنى أزلي أبدي قائم بالنفس ليس بحرف ولا صوت</w:t>
      </w:r>
      <w:r w:rsidR="000636C2">
        <w:rPr>
          <w:rFonts w:hint="cs"/>
          <w:rtl/>
        </w:rPr>
        <w:t>،</w:t>
      </w:r>
      <w:r w:rsidRPr="005675B2">
        <w:rPr>
          <w:rFonts w:hint="cs"/>
          <w:rtl/>
        </w:rPr>
        <w:t xml:space="preserve"> ولا يوصف بالخبر ولا الإنشاء</w:t>
      </w:r>
      <w:r w:rsidR="000636C2">
        <w:rPr>
          <w:rFonts w:hint="cs"/>
          <w:rtl/>
        </w:rPr>
        <w:t>،</w:t>
      </w:r>
      <w:r w:rsidRPr="005675B2">
        <w:rPr>
          <w:rFonts w:hint="cs"/>
          <w:rtl/>
        </w:rPr>
        <w:t xml:space="preserve"> واستدلوا بالبيت المنسوب للأخطل النصراني</w:t>
      </w:r>
      <w:r w:rsidR="000636C2">
        <w:rPr>
          <w:rFonts w:hint="cs"/>
          <w:rtl/>
        </w:rPr>
        <w:t>:</w:t>
      </w:r>
      <w:r w:rsidRPr="005675B2">
        <w:rPr>
          <w:rFonts w:hint="cs"/>
          <w:rtl/>
        </w:rPr>
        <w:t xml:space="preserve"> </w:t>
      </w:r>
      <w:r w:rsidR="000636C2">
        <w:rPr>
          <w:rFonts w:hint="cs"/>
          <w:rtl/>
        </w:rPr>
        <w:t>(</w:t>
      </w:r>
      <w:r w:rsidRPr="005675B2">
        <w:rPr>
          <w:rFonts w:hint="cs"/>
          <w:rtl/>
        </w:rPr>
        <w:t>إن الكلام لفي الفؤاد وإنما</w:t>
      </w:r>
      <w:r w:rsidR="000636C2">
        <w:rPr>
          <w:rFonts w:hint="cs"/>
          <w:rtl/>
        </w:rPr>
        <w:t xml:space="preserve"> </w:t>
      </w:r>
      <w:r w:rsidRPr="005675B2">
        <w:rPr>
          <w:rFonts w:hint="cs"/>
          <w:rtl/>
        </w:rPr>
        <w:t>جُعل اللسان على الفؤاد دليلاً</w:t>
      </w:r>
      <w:r w:rsidR="000636C2">
        <w:rPr>
          <w:rFonts w:hint="cs"/>
          <w:rtl/>
        </w:rPr>
        <w:t>)،</w:t>
      </w:r>
    </w:p>
    <w:p w14:paraId="325578CF" w14:textId="2FF9723E" w:rsidR="009C32A0" w:rsidRPr="005675B2" w:rsidRDefault="009C32A0" w:rsidP="000636C2">
      <w:pPr>
        <w:rPr>
          <w:b/>
          <w:rtl/>
        </w:rPr>
      </w:pPr>
      <w:r w:rsidRPr="005675B2">
        <w:rPr>
          <w:rFonts w:hint="cs"/>
          <w:bCs/>
          <w:rtl/>
        </w:rPr>
        <w:t>أقول</w:t>
      </w:r>
      <w:r w:rsidR="000636C2">
        <w:rPr>
          <w:rFonts w:hint="cs"/>
          <w:rtl/>
        </w:rPr>
        <w:t>:</w:t>
      </w:r>
      <w:r w:rsidRPr="005675B2">
        <w:rPr>
          <w:rFonts w:hint="cs"/>
          <w:rtl/>
        </w:rPr>
        <w:t xml:space="preserve"> 1 - ما نقله الباحث هنا عن أهل السنة والجماعة صحيح</w:t>
      </w:r>
      <w:r w:rsidR="000636C2">
        <w:rPr>
          <w:rFonts w:hint="cs"/>
          <w:rtl/>
        </w:rPr>
        <w:t>،</w:t>
      </w:r>
      <w:r w:rsidRPr="005675B2">
        <w:rPr>
          <w:rFonts w:hint="cs"/>
          <w:rtl/>
        </w:rPr>
        <w:t xml:space="preserve"> والأشاعرة هم من أهل السنة والجماعة</w:t>
      </w:r>
      <w:r w:rsidR="000636C2">
        <w:rPr>
          <w:rFonts w:hint="cs"/>
          <w:rtl/>
        </w:rPr>
        <w:t>،</w:t>
      </w:r>
      <w:r w:rsidRPr="005675B2">
        <w:rPr>
          <w:rFonts w:hint="cs"/>
          <w:rtl/>
        </w:rPr>
        <w:t xml:space="preserve"> وهم قائلون بهذا</w:t>
      </w:r>
      <w:r w:rsidR="000636C2">
        <w:rPr>
          <w:rFonts w:hint="cs"/>
          <w:rtl/>
        </w:rPr>
        <w:t>،</w:t>
      </w:r>
      <w:r w:rsidRPr="005675B2">
        <w:rPr>
          <w:rFonts w:hint="cs"/>
          <w:rtl/>
        </w:rPr>
        <w:t xml:space="preserve"> أي إن مذهبهم هو أن القرآن كلام الله تعالى</w:t>
      </w:r>
      <w:r w:rsidR="000636C2">
        <w:rPr>
          <w:rFonts w:hint="cs"/>
          <w:rtl/>
        </w:rPr>
        <w:t>،</w:t>
      </w:r>
      <w:r w:rsidRPr="005675B2">
        <w:rPr>
          <w:rFonts w:hint="cs"/>
          <w:rtl/>
        </w:rPr>
        <w:t xml:space="preserve"> وأنه غير مخلوق</w:t>
      </w:r>
      <w:r w:rsidR="000636C2">
        <w:rPr>
          <w:rFonts w:hint="cs"/>
          <w:rtl/>
        </w:rPr>
        <w:t>،</w:t>
      </w:r>
      <w:r w:rsidRPr="005675B2">
        <w:rPr>
          <w:rFonts w:hint="cs"/>
          <w:rtl/>
        </w:rPr>
        <w:t xml:space="preserve"> وأن الله تعالى يتكلم بكلام مسموع تسمعه الملائكة وسمعه جبريل وسمعه موسى عليه السلام ويسمعه الخلائق يوم القيامة</w:t>
      </w:r>
      <w:r w:rsidR="000636C2">
        <w:rPr>
          <w:rFonts w:hint="cs"/>
          <w:rtl/>
        </w:rPr>
        <w:t>،</w:t>
      </w:r>
      <w:r w:rsidRPr="005675B2">
        <w:rPr>
          <w:rFonts w:hint="cs"/>
          <w:rtl/>
        </w:rPr>
        <w:t xml:space="preserve"> وهذا مقرر عندهم في كتب التفسير والحديث</w:t>
      </w:r>
      <w:r w:rsidR="000636C2">
        <w:rPr>
          <w:rFonts w:hint="cs"/>
          <w:rtl/>
        </w:rPr>
        <w:t>،</w:t>
      </w:r>
      <w:r w:rsidRPr="005675B2">
        <w:rPr>
          <w:rFonts w:hint="cs"/>
          <w:rtl/>
        </w:rPr>
        <w:t xml:space="preserve"> فمن نسب إلى الأشاعرة غير هذا فليذكر المصدر من كتب الأشاعرة</w:t>
      </w:r>
      <w:r w:rsidR="000636C2">
        <w:rPr>
          <w:rFonts w:hint="cs"/>
          <w:rtl/>
        </w:rPr>
        <w:t xml:space="preserve">، </w:t>
      </w:r>
      <w:r w:rsidRPr="005675B2">
        <w:rPr>
          <w:rFonts w:hint="cs"/>
          <w:rtl/>
        </w:rPr>
        <w:t>2 - كتب الأشاعرة في العقيدة مملوءة بالرد على المعتزلة في قولهم بخلق القرآن</w:t>
      </w:r>
      <w:r w:rsidR="000636C2">
        <w:rPr>
          <w:rFonts w:hint="cs"/>
          <w:rtl/>
        </w:rPr>
        <w:t>،</w:t>
      </w:r>
      <w:r w:rsidRPr="005675B2">
        <w:rPr>
          <w:rFonts w:hint="cs"/>
          <w:rtl/>
        </w:rPr>
        <w:t xml:space="preserve"> وهذا أظهر من أن تنقل فيه النصوص</w:t>
      </w:r>
      <w:r w:rsidR="000636C2">
        <w:rPr>
          <w:rFonts w:hint="cs"/>
          <w:rtl/>
        </w:rPr>
        <w:t xml:space="preserve">، </w:t>
      </w:r>
      <w:r w:rsidRPr="005675B2">
        <w:rPr>
          <w:rFonts w:hint="cs"/>
          <w:rtl/>
        </w:rPr>
        <w:t>3 - عزا الباحث إلى الأشاعرة أن كلام الله تعالى عندهم لا يوصف بالخبر ولا الإنشاء</w:t>
      </w:r>
      <w:r w:rsidR="000636C2">
        <w:rPr>
          <w:rFonts w:hint="cs"/>
          <w:rtl/>
        </w:rPr>
        <w:t>،</w:t>
      </w:r>
      <w:r w:rsidRPr="005675B2">
        <w:rPr>
          <w:rFonts w:hint="cs"/>
          <w:rtl/>
        </w:rPr>
        <w:t xml:space="preserve"> وهذا العزو خطأ</w:t>
      </w:r>
      <w:r w:rsidR="000636C2">
        <w:rPr>
          <w:rFonts w:hint="cs"/>
          <w:rtl/>
        </w:rPr>
        <w:t xml:space="preserve">، </w:t>
      </w:r>
      <w:r w:rsidRPr="005675B2">
        <w:rPr>
          <w:rFonts w:hint="cs"/>
          <w:rtl/>
        </w:rPr>
        <w:t>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كلام الله تعالى صفة له أزلية قائمة به</w:t>
      </w:r>
      <w:r w:rsidR="000636C2">
        <w:rPr>
          <w:rFonts w:hint="cs"/>
          <w:rtl/>
        </w:rPr>
        <w:t>،</w:t>
      </w:r>
      <w:r w:rsidRPr="005675B2">
        <w:rPr>
          <w:rFonts w:hint="cs"/>
          <w:rtl/>
        </w:rPr>
        <w:t xml:space="preserve"> وهي أمره ونهيه وخبره ووعده ووعيده</w:t>
      </w:r>
      <w:r w:rsidR="000636C2">
        <w:rPr>
          <w:rFonts w:hint="cs"/>
          <w:rtl/>
        </w:rPr>
        <w:t>]</w:t>
      </w:r>
      <w:r w:rsidRPr="005675B2">
        <w:rPr>
          <w:rFonts w:hint="cs"/>
          <w:rtl/>
        </w:rPr>
        <w:t> [</w:t>
      </w:r>
      <w:r w:rsidRPr="005675B2">
        <w:rPr>
          <w:rFonts w:hint="cs"/>
          <w:sz w:val="24"/>
          <w:szCs w:val="24"/>
          <w:rtl/>
        </w:rPr>
        <w:t>أصول الدين للبغدادي: ص 106</w:t>
      </w:r>
      <w:r w:rsidRPr="005675B2">
        <w:rPr>
          <w:rFonts w:hint="cs"/>
          <w:rtl/>
        </w:rPr>
        <w:t>] فقد صرح بالخبر</w:t>
      </w:r>
      <w:r w:rsidR="000636C2">
        <w:rPr>
          <w:rFonts w:hint="cs"/>
          <w:rtl/>
        </w:rPr>
        <w:t>،</w:t>
      </w:r>
      <w:r w:rsidRPr="005675B2">
        <w:rPr>
          <w:rFonts w:hint="cs"/>
          <w:rtl/>
        </w:rPr>
        <w:t xml:space="preserve"> وكذا بالأمر والنهي وهما إنشاء</w:t>
      </w:r>
      <w:r w:rsidR="000636C2">
        <w:rPr>
          <w:rFonts w:hint="cs"/>
          <w:rtl/>
        </w:rPr>
        <w:t xml:space="preserve">، </w:t>
      </w:r>
      <w:r w:rsidRPr="005675B2">
        <w:rPr>
          <w:rFonts w:hint="cs"/>
          <w:rtl/>
        </w:rPr>
        <w:t>4 - الكلام الذي يثبته الأشاعرة لله تعالى هو الكلام النفسي القائم بذات الله تعالى</w:t>
      </w:r>
      <w:r w:rsidR="000636C2">
        <w:rPr>
          <w:rFonts w:hint="cs"/>
          <w:rtl/>
        </w:rPr>
        <w:t>،</w:t>
      </w:r>
      <w:r w:rsidRPr="005675B2">
        <w:rPr>
          <w:rFonts w:hint="cs"/>
          <w:rtl/>
        </w:rPr>
        <w:t xml:space="preserve"> لكن ما دليلهم على أن المعنى القائم بالنفس يسمى كلاماً</w:t>
      </w:r>
      <w:r w:rsidR="000636C2">
        <w:rPr>
          <w:rFonts w:hint="cs"/>
          <w:rtl/>
        </w:rPr>
        <w:t xml:space="preserve">؟ </w:t>
      </w:r>
      <w:r w:rsidRPr="005675B2">
        <w:rPr>
          <w:rFonts w:hint="cs"/>
          <w:rtl/>
        </w:rPr>
        <w:t xml:space="preserve">أما الباحث فيقول إنهم استدلوا بالبيت المنسوب للأخطل النصراني </w:t>
      </w:r>
      <w:r w:rsidR="000636C2">
        <w:rPr>
          <w:rFonts w:hint="cs"/>
          <w:rtl/>
        </w:rPr>
        <w:t>[</w:t>
      </w:r>
      <w:r w:rsidRPr="005675B2">
        <w:rPr>
          <w:rFonts w:hint="cs"/>
          <w:rtl/>
        </w:rPr>
        <w:t>إن الكلام لفي الفؤاد ..</w:t>
      </w:r>
      <w:r w:rsidR="000636C2">
        <w:rPr>
          <w:rFonts w:hint="cs"/>
          <w:rtl/>
        </w:rPr>
        <w:t>]</w:t>
      </w:r>
      <w:r w:rsidRPr="005675B2">
        <w:rPr>
          <w:rFonts w:hint="cs"/>
          <w:rtl/>
        </w:rPr>
        <w:t>، ولعل الباحث لا يدري أن هذا البيت ليس هو الدليل عند الأشاعرة</w:t>
      </w:r>
      <w:r w:rsidR="000636C2">
        <w:rPr>
          <w:rFonts w:hint="cs"/>
          <w:rtl/>
        </w:rPr>
        <w:t>،</w:t>
      </w:r>
      <w:r w:rsidRPr="005675B2">
        <w:rPr>
          <w:rFonts w:hint="cs"/>
          <w:rtl/>
        </w:rPr>
        <w:t xml:space="preserve"> ومن ذكره منهم فقد ذكره على سبيل الاستشهاد والاستئناس بالشعر</w:t>
      </w:r>
      <w:r w:rsidR="000636C2">
        <w:rPr>
          <w:rFonts w:hint="cs"/>
          <w:rtl/>
        </w:rPr>
        <w:t>،</w:t>
      </w:r>
      <w:r w:rsidRPr="005675B2">
        <w:rPr>
          <w:rFonts w:hint="cs"/>
          <w:rtl/>
        </w:rPr>
        <w:t xml:space="preserve"> لا على أنه هو الدليل</w:t>
      </w:r>
      <w:r w:rsidR="000636C2">
        <w:rPr>
          <w:rFonts w:hint="cs"/>
          <w:rtl/>
        </w:rPr>
        <w:t xml:space="preserve">، </w:t>
      </w:r>
      <w:r w:rsidRPr="005675B2">
        <w:rPr>
          <w:rFonts w:hint="cs"/>
          <w:rtl/>
        </w:rPr>
        <w:t>أما الدليل عند الأشاعرة فهو ما ذكره الإمام الباقلاني إذ يقول</w:t>
      </w:r>
      <w:r w:rsidR="000636C2">
        <w:rPr>
          <w:rFonts w:hint="cs"/>
          <w:rtl/>
        </w:rPr>
        <w:t>:</w:t>
      </w:r>
      <w:r w:rsidRPr="005675B2">
        <w:rPr>
          <w:rFonts w:hint="cs"/>
          <w:rtl/>
        </w:rPr>
        <w:t xml:space="preserve">ومما يدل على أن حقيقة الكلام هو المعنى القائم بالنفس … قوله تعالى مخبراً عن الكفار </w:t>
      </w:r>
      <w:r w:rsidR="000636C2">
        <w:rPr>
          <w:rFonts w:hint="cs"/>
          <w:rtl/>
        </w:rPr>
        <w:t>[</w:t>
      </w:r>
      <w:r w:rsidRPr="005675B2">
        <w:rPr>
          <w:rFonts w:hint="cs"/>
          <w:rtl/>
        </w:rPr>
        <w:t>وَيَقُولُونَ فِي أَنْفُسِهِمْ لَوْلا يُعَذِّبُنَا اللَّهُ بِمَا نَقُولُ</w:t>
      </w:r>
      <w:r w:rsidR="000636C2">
        <w:rPr>
          <w:rFonts w:hint="cs"/>
          <w:rtl/>
        </w:rPr>
        <w:t>]</w:t>
      </w:r>
      <w:r w:rsidRPr="005675B2">
        <w:rPr>
          <w:rFonts w:hint="cs"/>
          <w:rtl/>
        </w:rPr>
        <w:t xml:space="preserve"> [</w:t>
      </w:r>
      <w:r w:rsidRPr="005675B2">
        <w:rPr>
          <w:rFonts w:hint="cs"/>
          <w:sz w:val="24"/>
          <w:szCs w:val="24"/>
          <w:rtl/>
        </w:rPr>
        <w:t>سورة المجادلة آية 8</w:t>
      </w:r>
      <w:r w:rsidR="000636C2">
        <w:rPr>
          <w:rFonts w:hint="cs"/>
          <w:sz w:val="24"/>
          <w:szCs w:val="24"/>
          <w:rtl/>
        </w:rPr>
        <w:t>]</w:t>
      </w:r>
      <w:r w:rsidR="000636C2">
        <w:rPr>
          <w:rFonts w:hint="cs"/>
          <w:rtl/>
        </w:rPr>
        <w:t>،</w:t>
      </w:r>
      <w:r w:rsidRPr="005675B2">
        <w:rPr>
          <w:rFonts w:hint="cs"/>
          <w:rtl/>
        </w:rPr>
        <w:t xml:space="preserve"> … وقوله صلى الله عليه وسلم </w:t>
      </w:r>
      <w:r w:rsidR="000636C2">
        <w:rPr>
          <w:rFonts w:hint="cs"/>
          <w:rtl/>
        </w:rPr>
        <w:t>[</w:t>
      </w:r>
      <w:r w:rsidRPr="005675B2">
        <w:rPr>
          <w:rFonts w:hint="cs"/>
          <w:rtl/>
        </w:rPr>
        <w:t>يقول الله تبارك وتعالى إذا ذكرني عبدي في نفسه ..</w:t>
      </w:r>
      <w:r w:rsidR="000636C2">
        <w:rPr>
          <w:rFonts w:hint="cs"/>
          <w:rtl/>
        </w:rPr>
        <w:t>]</w:t>
      </w:r>
      <w:r w:rsidRPr="005675B2">
        <w:rPr>
          <w:rFonts w:hint="cs"/>
          <w:rtl/>
        </w:rPr>
        <w:t xml:space="preserve"> [</w:t>
      </w:r>
      <w:r w:rsidRPr="005675B2">
        <w:rPr>
          <w:rFonts w:hint="cs"/>
          <w:sz w:val="24"/>
          <w:szCs w:val="24"/>
          <w:rtl/>
        </w:rPr>
        <w:t>رواه الشيخان</w:t>
      </w:r>
      <w:r w:rsidR="000636C2">
        <w:rPr>
          <w:rFonts w:hint="cs"/>
          <w:sz w:val="24"/>
          <w:szCs w:val="24"/>
          <w:rtl/>
        </w:rPr>
        <w:t>]</w:t>
      </w:r>
      <w:r w:rsidR="000636C2">
        <w:rPr>
          <w:rFonts w:hint="cs"/>
          <w:rtl/>
        </w:rPr>
        <w:t>،</w:t>
      </w:r>
      <w:r w:rsidRPr="005675B2">
        <w:rPr>
          <w:rFonts w:hint="cs"/>
          <w:rtl/>
        </w:rPr>
        <w:t xml:space="preserve"> ويدل على ذلك أيضاً قول عمر رضي الله عنه </w:t>
      </w:r>
      <w:r w:rsidR="000636C2">
        <w:rPr>
          <w:rFonts w:hint="cs"/>
          <w:rtl/>
        </w:rPr>
        <w:t>[</w:t>
      </w:r>
      <w:r w:rsidRPr="005675B2">
        <w:rPr>
          <w:rFonts w:hint="cs"/>
          <w:rtl/>
        </w:rPr>
        <w:t>زوَّرت في نفسي كلاماً فأتى أبو بكر فزاد عليه</w:t>
      </w:r>
      <w:r w:rsidR="000636C2">
        <w:rPr>
          <w:rFonts w:hint="cs"/>
          <w:rtl/>
        </w:rPr>
        <w:t>]</w:t>
      </w:r>
      <w:r w:rsidRPr="005675B2">
        <w:rPr>
          <w:rFonts w:hint="cs"/>
          <w:rtl/>
        </w:rPr>
        <w:t xml:space="preserve"> [</w:t>
      </w:r>
      <w:r w:rsidRPr="005675B2">
        <w:rPr>
          <w:rFonts w:hint="cs"/>
          <w:sz w:val="24"/>
          <w:szCs w:val="24"/>
          <w:rtl/>
        </w:rPr>
        <w:t xml:space="preserve">الإنصاف للباقلاني: ص 109 </w:t>
      </w:r>
      <w:r w:rsidRPr="005675B2">
        <w:rPr>
          <w:sz w:val="24"/>
          <w:szCs w:val="24"/>
        </w:rPr>
        <w:t>–</w:t>
      </w:r>
      <w:r w:rsidRPr="005675B2">
        <w:rPr>
          <w:rFonts w:hint="cs"/>
          <w:sz w:val="24"/>
          <w:szCs w:val="24"/>
          <w:rtl/>
        </w:rPr>
        <w:t xml:space="preserve"> 110 . ومعنى زور في نفسه كلاماً: أي هيأه وزينه</w:t>
      </w:r>
      <w:r w:rsidR="000636C2">
        <w:rPr>
          <w:rFonts w:hint="cs"/>
          <w:sz w:val="24"/>
          <w:szCs w:val="24"/>
          <w:rtl/>
        </w:rPr>
        <w:t>]</w:t>
      </w:r>
      <w:r w:rsidR="000636C2">
        <w:rPr>
          <w:rFonts w:hint="cs"/>
          <w:rtl/>
        </w:rPr>
        <w:t>،</w:t>
      </w:r>
      <w:r w:rsidRPr="005675B2">
        <w:rPr>
          <w:rFonts w:hint="cs"/>
          <w:rtl/>
        </w:rPr>
        <w:t xml:space="preserve"> فالدليل عند الأشاعرة</w:t>
      </w:r>
      <w:r w:rsidR="000636C2">
        <w:rPr>
          <w:rFonts w:hint="cs"/>
          <w:rtl/>
        </w:rPr>
        <w:t xml:space="preserve"> </w:t>
      </w:r>
      <w:r w:rsidRPr="005675B2">
        <w:rPr>
          <w:rFonts w:hint="cs"/>
          <w:rtl/>
        </w:rPr>
        <w:t>- في هذه المسألة اللغوية</w:t>
      </w:r>
      <w:r w:rsidR="000636C2">
        <w:rPr>
          <w:rFonts w:hint="cs"/>
          <w:rtl/>
        </w:rPr>
        <w:t xml:space="preserve"> </w:t>
      </w:r>
      <w:r w:rsidRPr="005675B2">
        <w:rPr>
          <w:rFonts w:hint="cs"/>
          <w:rtl/>
        </w:rPr>
        <w:t>- هو القرآن الكريم والحديث القدسي وكلام أحـد العرب الأقحاح وهو عمر بن الخطاب رضي الله عنه</w:t>
      </w:r>
      <w:r w:rsidR="000636C2">
        <w:rPr>
          <w:rFonts w:hint="cs"/>
          <w:rtl/>
        </w:rPr>
        <w:t>،</w:t>
      </w:r>
      <w:r w:rsidRPr="005675B2">
        <w:rPr>
          <w:rFonts w:hint="cs"/>
          <w:rtl/>
        </w:rPr>
        <w:t xml:space="preserve"> فكيف غفل الباحث عن هذا</w:t>
      </w:r>
      <w:r w:rsidR="000636C2">
        <w:rPr>
          <w:rFonts w:hint="cs"/>
          <w:rtl/>
        </w:rPr>
        <w:t xml:space="preserve">؟، </w:t>
      </w:r>
      <w:r w:rsidRPr="005675B2">
        <w:rPr>
          <w:rFonts w:hint="cs"/>
          <w:rtl/>
        </w:rPr>
        <w:t xml:space="preserve">ومما يمكن أن يستشهد به كذلك قول الشاعر </w:t>
      </w:r>
      <w:r w:rsidR="000636C2">
        <w:rPr>
          <w:rFonts w:hint="cs"/>
          <w:rtl/>
        </w:rPr>
        <w:t>[</w:t>
      </w:r>
      <w:r w:rsidRPr="005675B2">
        <w:rPr>
          <w:rFonts w:hint="cs"/>
          <w:rtl/>
        </w:rPr>
        <w:t>فأيقنت أن الطرف قد قال مرحباً</w:t>
      </w:r>
      <w:r w:rsidR="000636C2">
        <w:rPr>
          <w:rFonts w:hint="cs"/>
          <w:rtl/>
        </w:rPr>
        <w:t xml:space="preserve">]، </w:t>
      </w:r>
      <w:r w:rsidRPr="005675B2">
        <w:rPr>
          <w:rFonts w:hint="cs"/>
          <w:rtl/>
        </w:rPr>
        <w:t>ومما يدل على استعمال القول في الكلام النفسي ما جاء عن أبي بكرة رضي الله عنه أنه قال</w:t>
      </w:r>
      <w:r w:rsidR="000636C2">
        <w:rPr>
          <w:rFonts w:hint="cs"/>
          <w:rtl/>
        </w:rPr>
        <w:t>:</w:t>
      </w:r>
      <w:r w:rsidRPr="005675B2">
        <w:rPr>
          <w:rFonts w:hint="cs"/>
          <w:rtl/>
        </w:rPr>
        <w:t xml:space="preserve"> قال النبي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ألا أنبئكم بأكبر الكبائر</w:t>
      </w:r>
      <w:r w:rsidR="000636C2">
        <w:rPr>
          <w:rFonts w:hint="cs"/>
          <w:rtl/>
        </w:rPr>
        <w:t>؟]،</w:t>
      </w:r>
      <w:r w:rsidRPr="005675B2">
        <w:rPr>
          <w:rFonts w:hint="cs"/>
          <w:rtl/>
        </w:rPr>
        <w:t xml:space="preserve"> قالوا</w:t>
      </w:r>
      <w:r w:rsidR="000636C2">
        <w:rPr>
          <w:rFonts w:hint="cs"/>
          <w:rtl/>
        </w:rPr>
        <w:t>:</w:t>
      </w:r>
      <w:r w:rsidRPr="005675B2">
        <w:rPr>
          <w:rFonts w:hint="cs"/>
          <w:rtl/>
        </w:rPr>
        <w:t xml:space="preserve"> بلى يا رسول الله</w:t>
      </w:r>
      <w:r w:rsidR="000636C2">
        <w:rPr>
          <w:rFonts w:hint="cs"/>
          <w:rtl/>
        </w:rPr>
        <w:t>،</w:t>
      </w:r>
      <w:r w:rsidRPr="005675B2">
        <w:rPr>
          <w:rFonts w:hint="cs"/>
          <w:rtl/>
        </w:rPr>
        <w:t xml:space="preserve"> قال </w:t>
      </w:r>
      <w:r w:rsidR="000636C2">
        <w:rPr>
          <w:rFonts w:hint="cs"/>
          <w:rtl/>
        </w:rPr>
        <w:t>[</w:t>
      </w:r>
      <w:r w:rsidRPr="005675B2">
        <w:rPr>
          <w:rFonts w:hint="cs"/>
          <w:rtl/>
        </w:rPr>
        <w:t>الإشراك بالله وعقوق الوالدين</w:t>
      </w:r>
      <w:r w:rsidR="000636C2">
        <w:rPr>
          <w:rFonts w:hint="cs"/>
          <w:rtl/>
        </w:rPr>
        <w:t>]</w:t>
      </w:r>
      <w:r w:rsidRPr="005675B2">
        <w:rPr>
          <w:rFonts w:hint="cs"/>
          <w:rtl/>
        </w:rPr>
        <w:t xml:space="preserve"> وجلس وكان متكئا فقال </w:t>
      </w:r>
      <w:r w:rsidR="000636C2">
        <w:rPr>
          <w:rFonts w:hint="cs"/>
          <w:rtl/>
        </w:rPr>
        <w:t>[</w:t>
      </w:r>
      <w:r w:rsidRPr="005675B2">
        <w:rPr>
          <w:rFonts w:hint="cs"/>
          <w:rtl/>
        </w:rPr>
        <w:t>ألا وقول الزور</w:t>
      </w:r>
      <w:r w:rsidR="000636C2">
        <w:rPr>
          <w:rFonts w:hint="cs"/>
          <w:rtl/>
        </w:rPr>
        <w:t>]،</w:t>
      </w:r>
      <w:r w:rsidRPr="005675B2">
        <w:rPr>
          <w:rFonts w:hint="cs"/>
          <w:rtl/>
        </w:rPr>
        <w:t xml:space="preserve"> فما زال يكررها حتى قلنا ليته سكت [</w:t>
      </w:r>
      <w:r w:rsidRPr="005675B2">
        <w:rPr>
          <w:rFonts w:hint="cs"/>
          <w:sz w:val="24"/>
          <w:szCs w:val="24"/>
          <w:rtl/>
        </w:rPr>
        <w:t>حيح البخاري: الشهادات</w:t>
      </w:r>
      <w:r w:rsidR="000636C2">
        <w:rPr>
          <w:rFonts w:hint="cs"/>
          <w:sz w:val="24"/>
          <w:szCs w:val="24"/>
          <w:rtl/>
        </w:rPr>
        <w:t>،</w:t>
      </w:r>
      <w:r w:rsidRPr="005675B2">
        <w:rPr>
          <w:rFonts w:hint="cs"/>
          <w:sz w:val="24"/>
          <w:szCs w:val="24"/>
          <w:rtl/>
        </w:rPr>
        <w:t xml:space="preserve"> باب ما قيل في شهادة الزور]</w:t>
      </w:r>
      <w:r w:rsidR="000636C2">
        <w:rPr>
          <w:rFonts w:hint="cs"/>
          <w:rtl/>
        </w:rPr>
        <w:t>،</w:t>
      </w:r>
      <w:r w:rsidRPr="005675B2">
        <w:rPr>
          <w:rFonts w:hint="cs"/>
          <w:rtl/>
        </w:rPr>
        <w:t xml:space="preserve"> والذي يعرف أدب الصحابة مع النبي صلى الله عليه وسلم يجزم بأنهم لم يقولوا </w:t>
      </w:r>
      <w:r w:rsidR="000636C2">
        <w:rPr>
          <w:rFonts w:hint="cs"/>
          <w:rtl/>
        </w:rPr>
        <w:t>[</w:t>
      </w:r>
      <w:r w:rsidRPr="005675B2">
        <w:rPr>
          <w:rFonts w:hint="cs"/>
          <w:rtl/>
        </w:rPr>
        <w:t>ليته سكت</w:t>
      </w:r>
      <w:r w:rsidR="000636C2">
        <w:rPr>
          <w:rFonts w:hint="cs"/>
          <w:rtl/>
        </w:rPr>
        <w:t>]</w:t>
      </w:r>
      <w:r w:rsidRPr="005675B2">
        <w:rPr>
          <w:rFonts w:hint="cs"/>
          <w:rtl/>
        </w:rPr>
        <w:t xml:space="preserve"> بألسنتهم</w:t>
      </w:r>
      <w:r w:rsidR="000636C2">
        <w:rPr>
          <w:rFonts w:hint="cs"/>
          <w:rtl/>
        </w:rPr>
        <w:t>،</w:t>
      </w:r>
      <w:r w:rsidRPr="005675B2">
        <w:rPr>
          <w:rFonts w:hint="cs"/>
          <w:rtl/>
        </w:rPr>
        <w:t xml:space="preserve"> وإنما قالوها في نفوسهم</w:t>
      </w:r>
      <w:r w:rsidR="000636C2">
        <w:rPr>
          <w:rFonts w:hint="cs"/>
          <w:rtl/>
        </w:rPr>
        <w:t>،</w:t>
      </w:r>
      <w:r w:rsidRPr="005675B2">
        <w:rPr>
          <w:rFonts w:hint="cs"/>
          <w:rtl/>
        </w:rPr>
        <w:t xml:space="preserve"> إشفاقاً عليه صلى الله عليه وسلم ورغبة ألا يشق على نفسه بكثرة تكرارها</w:t>
      </w:r>
      <w:r w:rsidR="000636C2">
        <w:rPr>
          <w:rFonts w:hint="cs"/>
          <w:rtl/>
        </w:rPr>
        <w:t>،</w:t>
      </w:r>
      <w:r w:rsidRPr="005675B2">
        <w:rPr>
          <w:rFonts w:hint="cs"/>
          <w:rtl/>
        </w:rPr>
        <w:t xml:space="preserve"> ومن الدليل على ذلك كذلك ما روي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إذا صلى أحدكم فلم يدر زاد أم نقص فليسجد سجدتين وهو قاعد</w:t>
      </w:r>
      <w:r w:rsidR="000636C2">
        <w:rPr>
          <w:rFonts w:hint="cs"/>
          <w:rtl/>
        </w:rPr>
        <w:t>،</w:t>
      </w:r>
      <w:r w:rsidRPr="005675B2">
        <w:rPr>
          <w:rFonts w:hint="cs"/>
          <w:rtl/>
        </w:rPr>
        <w:t xml:space="preserve"> فإذا أتاه الشيطان فقال إنك قد أحدثت فليقل كذبت ..</w:t>
      </w:r>
      <w:r w:rsidR="000636C2">
        <w:rPr>
          <w:rFonts w:hint="cs"/>
          <w:rtl/>
        </w:rPr>
        <w:t>،]</w:t>
      </w:r>
      <w:r w:rsidRPr="005675B2">
        <w:rPr>
          <w:rFonts w:hint="cs"/>
          <w:rtl/>
        </w:rPr>
        <w:t xml:space="preserve"> [</w:t>
      </w:r>
      <w:r w:rsidRPr="005675B2">
        <w:rPr>
          <w:rFonts w:hint="cs"/>
          <w:sz w:val="24"/>
          <w:szCs w:val="24"/>
          <w:rtl/>
        </w:rPr>
        <w:t>سنن أبي داود: 1/ 624</w:t>
      </w:r>
      <w:r w:rsidR="000636C2">
        <w:rPr>
          <w:rFonts w:hint="cs"/>
          <w:sz w:val="24"/>
          <w:szCs w:val="24"/>
          <w:rtl/>
        </w:rPr>
        <w:t>،</w:t>
      </w:r>
      <w:r w:rsidRPr="005675B2">
        <w:rPr>
          <w:rFonts w:hint="cs"/>
          <w:sz w:val="24"/>
          <w:szCs w:val="24"/>
          <w:rtl/>
        </w:rPr>
        <w:t xml:space="preserve"> رقم 1029 . مسند الإمام أحمد: 3/12</w:t>
      </w:r>
      <w:r w:rsidR="000636C2">
        <w:rPr>
          <w:rFonts w:hint="cs"/>
          <w:sz w:val="24"/>
          <w:szCs w:val="24"/>
          <w:rtl/>
        </w:rPr>
        <w:t>،</w:t>
      </w:r>
      <w:r w:rsidRPr="005675B2">
        <w:rPr>
          <w:rFonts w:hint="cs"/>
          <w:sz w:val="24"/>
          <w:szCs w:val="24"/>
          <w:rtl/>
        </w:rPr>
        <w:t xml:space="preserve"> 37</w:t>
      </w:r>
      <w:r w:rsidR="000636C2">
        <w:rPr>
          <w:rFonts w:hint="cs"/>
          <w:sz w:val="24"/>
          <w:szCs w:val="24"/>
          <w:rtl/>
        </w:rPr>
        <w:t>،</w:t>
      </w:r>
      <w:r w:rsidRPr="005675B2">
        <w:rPr>
          <w:rFonts w:hint="cs"/>
          <w:sz w:val="24"/>
          <w:szCs w:val="24"/>
          <w:rtl/>
        </w:rPr>
        <w:t xml:space="preserve"> 50</w:t>
      </w:r>
      <w:r w:rsidR="000636C2">
        <w:rPr>
          <w:rFonts w:hint="cs"/>
          <w:sz w:val="24"/>
          <w:szCs w:val="24"/>
          <w:rtl/>
        </w:rPr>
        <w:t>،</w:t>
      </w:r>
      <w:r w:rsidRPr="005675B2">
        <w:rPr>
          <w:rFonts w:hint="cs"/>
          <w:sz w:val="24"/>
          <w:szCs w:val="24"/>
          <w:rtl/>
        </w:rPr>
        <w:t xml:space="preserve"> 51</w:t>
      </w:r>
      <w:r w:rsidR="000636C2">
        <w:rPr>
          <w:rFonts w:hint="cs"/>
          <w:sz w:val="24"/>
          <w:szCs w:val="24"/>
          <w:rtl/>
        </w:rPr>
        <w:t>،</w:t>
      </w:r>
      <w:r w:rsidRPr="005675B2">
        <w:rPr>
          <w:rFonts w:hint="cs"/>
          <w:sz w:val="24"/>
          <w:szCs w:val="24"/>
          <w:rtl/>
        </w:rPr>
        <w:t xml:space="preserve"> 53</w:t>
      </w:r>
      <w:r w:rsidR="000636C2">
        <w:rPr>
          <w:rFonts w:hint="cs"/>
          <w:sz w:val="24"/>
          <w:szCs w:val="24"/>
          <w:rtl/>
        </w:rPr>
        <w:t>،</w:t>
      </w:r>
      <w:r w:rsidRPr="005675B2">
        <w:rPr>
          <w:rFonts w:hint="cs"/>
          <w:sz w:val="24"/>
          <w:szCs w:val="24"/>
          <w:rtl/>
        </w:rPr>
        <w:t xml:space="preserve"> 54 . المصنف لابن أبي شيبة: 2/ 428 – 429 . المصنف لعبد الرزاق: 1/ 140 . مسند أبي يعلى: 2/ 376</w:t>
      </w:r>
      <w:r w:rsidR="000636C2">
        <w:rPr>
          <w:rFonts w:hint="cs"/>
          <w:sz w:val="24"/>
          <w:szCs w:val="24"/>
          <w:rtl/>
        </w:rPr>
        <w:t>،</w:t>
      </w:r>
      <w:r w:rsidRPr="005675B2">
        <w:rPr>
          <w:rFonts w:hint="cs"/>
          <w:sz w:val="24"/>
          <w:szCs w:val="24"/>
          <w:rtl/>
        </w:rPr>
        <w:t xml:space="preserve"> 436 . صحيح ابن خزيمة: 1/19 . صحيح ابن حبان </w:t>
      </w:r>
      <w:r w:rsidR="000636C2">
        <w:rPr>
          <w:rFonts w:hint="cs"/>
          <w:sz w:val="24"/>
          <w:szCs w:val="24"/>
          <w:rtl/>
        </w:rPr>
        <w:t>(</w:t>
      </w:r>
      <w:r w:rsidRPr="005675B2">
        <w:rPr>
          <w:rFonts w:hint="cs"/>
          <w:sz w:val="24"/>
          <w:szCs w:val="24"/>
          <w:rtl/>
        </w:rPr>
        <w:t>الإحسان</w:t>
      </w:r>
      <w:r w:rsidR="000636C2">
        <w:rPr>
          <w:rFonts w:hint="cs"/>
          <w:sz w:val="24"/>
          <w:szCs w:val="24"/>
          <w:rtl/>
        </w:rPr>
        <w:t>)</w:t>
      </w:r>
      <w:r w:rsidRPr="005675B2">
        <w:rPr>
          <w:rFonts w:hint="cs"/>
          <w:sz w:val="24"/>
          <w:szCs w:val="24"/>
          <w:rtl/>
        </w:rPr>
        <w:t>: 6/388</w:t>
      </w:r>
      <w:r w:rsidR="000636C2">
        <w:rPr>
          <w:rFonts w:hint="cs"/>
          <w:sz w:val="24"/>
          <w:szCs w:val="24"/>
          <w:rtl/>
        </w:rPr>
        <w:t>،</w:t>
      </w:r>
      <w:r w:rsidRPr="005675B2">
        <w:rPr>
          <w:rFonts w:hint="cs"/>
          <w:sz w:val="24"/>
          <w:szCs w:val="24"/>
          <w:rtl/>
        </w:rPr>
        <w:t xml:space="preserve"> 389 . المستدرك للحاكم: 1/134</w:t>
      </w:r>
      <w:r w:rsidR="000636C2">
        <w:rPr>
          <w:rFonts w:hint="cs"/>
          <w:sz w:val="24"/>
          <w:szCs w:val="24"/>
          <w:rtl/>
        </w:rPr>
        <w:t>]</w:t>
      </w:r>
      <w:r w:rsidR="000636C2">
        <w:rPr>
          <w:rFonts w:hint="cs"/>
          <w:rtl/>
        </w:rPr>
        <w:t>،</w:t>
      </w:r>
      <w:r w:rsidRPr="005675B2">
        <w:rPr>
          <w:rFonts w:hint="cs"/>
          <w:rtl/>
        </w:rPr>
        <w:t xml:space="preserve"> وهذا الحديث قد رواه ستة من الثقات عن يحيى بن أبي كثير</w:t>
      </w:r>
      <w:r w:rsidR="000636C2">
        <w:rPr>
          <w:rFonts w:hint="cs"/>
          <w:rtl/>
        </w:rPr>
        <w:t>،</w:t>
      </w:r>
      <w:r w:rsidRPr="005675B2">
        <w:rPr>
          <w:rFonts w:hint="cs"/>
          <w:rtl/>
        </w:rPr>
        <w:t xml:space="preserve"> وهو ثقة</w:t>
      </w:r>
      <w:r w:rsidR="000636C2">
        <w:rPr>
          <w:rFonts w:hint="cs"/>
          <w:rtl/>
        </w:rPr>
        <w:t>،</w:t>
      </w:r>
      <w:r w:rsidRPr="005675B2">
        <w:rPr>
          <w:rFonts w:hint="cs"/>
          <w:rtl/>
        </w:rPr>
        <w:t xml:space="preserve"> عن عياض بن هلال</w:t>
      </w:r>
      <w:r w:rsidR="000636C2">
        <w:rPr>
          <w:rFonts w:hint="cs"/>
          <w:rtl/>
        </w:rPr>
        <w:t>،</w:t>
      </w:r>
      <w:r w:rsidRPr="005675B2">
        <w:rPr>
          <w:rFonts w:hint="cs"/>
          <w:rtl/>
        </w:rPr>
        <w:t xml:space="preserve"> وهو مذكور في الثقات لابن حبان</w:t>
      </w:r>
      <w:r w:rsidR="000636C2">
        <w:rPr>
          <w:rFonts w:hint="cs"/>
          <w:rtl/>
        </w:rPr>
        <w:t>،</w:t>
      </w:r>
      <w:r w:rsidRPr="005675B2">
        <w:rPr>
          <w:rFonts w:hint="cs"/>
          <w:rtl/>
        </w:rPr>
        <w:t xml:space="preserve"> عن أبي سعيد الخدري رضي الله عنه مرفوعاً</w:t>
      </w:r>
      <w:r w:rsidR="000636C2">
        <w:rPr>
          <w:rFonts w:hint="cs"/>
          <w:rtl/>
        </w:rPr>
        <w:t>،</w:t>
      </w:r>
      <w:r w:rsidRPr="005675B2">
        <w:rPr>
          <w:rFonts w:hint="cs"/>
          <w:rtl/>
        </w:rPr>
        <w:t xml:space="preserve"> والسياق يشير إلى أن القول هو في الصلاة</w:t>
      </w:r>
      <w:r w:rsidR="000636C2">
        <w:rPr>
          <w:rFonts w:hint="cs"/>
          <w:rtl/>
        </w:rPr>
        <w:t>،</w:t>
      </w:r>
      <w:r w:rsidRPr="005675B2">
        <w:rPr>
          <w:rFonts w:hint="cs"/>
          <w:rtl/>
        </w:rPr>
        <w:t xml:space="preserve"> وقد صرحت بذلك بعض الطرق عن اثنين من أولئك الستة</w:t>
      </w:r>
      <w:r w:rsidR="000636C2">
        <w:rPr>
          <w:rFonts w:hint="cs"/>
          <w:rtl/>
        </w:rPr>
        <w:t>،</w:t>
      </w:r>
      <w:r w:rsidRPr="005675B2">
        <w:rPr>
          <w:rFonts w:hint="cs"/>
          <w:rtl/>
        </w:rPr>
        <w:t xml:space="preserve"> وربما كان ذلك مما فهمه بعض الرواة من السياق</w:t>
      </w:r>
      <w:r w:rsidR="000636C2">
        <w:rPr>
          <w:rFonts w:hint="cs"/>
          <w:rtl/>
        </w:rPr>
        <w:t>،</w:t>
      </w:r>
      <w:r w:rsidRPr="005675B2">
        <w:rPr>
          <w:rFonts w:hint="cs"/>
          <w:rtl/>
        </w:rPr>
        <w:t xml:space="preserve"> ولا شك في أن المصلي لا يقول بلسانه للشيطان كذبت وهو في الصلاة</w:t>
      </w:r>
      <w:r w:rsidR="000636C2">
        <w:rPr>
          <w:rFonts w:hint="cs"/>
          <w:rtl/>
        </w:rPr>
        <w:t>،</w:t>
      </w:r>
      <w:r w:rsidRPr="005675B2">
        <w:rPr>
          <w:rFonts w:hint="cs"/>
          <w:rtl/>
        </w:rPr>
        <w:t xml:space="preserve"> بل يقولها في نفسه وضميره</w:t>
      </w:r>
      <w:r w:rsidR="000636C2">
        <w:rPr>
          <w:rFonts w:hint="cs"/>
          <w:rtl/>
        </w:rPr>
        <w:t>،</w:t>
      </w:r>
      <w:r w:rsidRPr="005675B2">
        <w:rPr>
          <w:rFonts w:hint="cs"/>
          <w:rtl/>
        </w:rPr>
        <w:t xml:space="preserve"> كما نبه على ذلك ابن خزيمة وابن حبّـان رحمهما الله</w:t>
      </w:r>
      <w:r w:rsidR="000636C2">
        <w:rPr>
          <w:rFonts w:hint="cs"/>
          <w:rtl/>
        </w:rPr>
        <w:t>،</w:t>
      </w:r>
      <w:r w:rsidRPr="005675B2">
        <w:rPr>
          <w:rFonts w:hint="cs"/>
          <w:rtl/>
        </w:rPr>
        <w:t xml:space="preserve"> وانفرد أحد أولئك الرواة الستة بقوله في الرواية </w:t>
      </w:r>
      <w:r w:rsidR="000636C2">
        <w:rPr>
          <w:rFonts w:hint="cs"/>
          <w:rtl/>
        </w:rPr>
        <w:t>[</w:t>
      </w:r>
      <w:r w:rsidRPr="005675B2">
        <w:rPr>
          <w:rFonts w:hint="cs"/>
          <w:rtl/>
        </w:rPr>
        <w:t>فليقل في نفسه</w:t>
      </w:r>
      <w:r w:rsidR="000636C2">
        <w:rPr>
          <w:rFonts w:hint="cs"/>
          <w:rtl/>
        </w:rPr>
        <w:t>]،</w:t>
      </w:r>
      <w:r w:rsidRPr="005675B2">
        <w:rPr>
          <w:rFonts w:hint="cs"/>
          <w:rtl/>
        </w:rPr>
        <w:t xml:space="preserve"> وهذا مما فهمه من معنى الرواية</w:t>
      </w:r>
      <w:r w:rsidR="000636C2">
        <w:rPr>
          <w:rFonts w:hint="cs"/>
          <w:rtl/>
        </w:rPr>
        <w:t>،</w:t>
      </w:r>
      <w:r w:rsidRPr="005675B2">
        <w:rPr>
          <w:rFonts w:hint="cs"/>
          <w:rtl/>
        </w:rPr>
        <w:t xml:space="preserve"> وهذا الجزء من الحديث يحسن إيراده في باب الاحتجاج هنا وإن كان في سنده من انفرد ابن حبان بتوثيقه</w:t>
      </w:r>
      <w:r w:rsidR="000636C2">
        <w:rPr>
          <w:rFonts w:hint="cs"/>
          <w:rtl/>
        </w:rPr>
        <w:t>،</w:t>
      </w:r>
      <w:r w:rsidRPr="005675B2">
        <w:rPr>
          <w:rFonts w:hint="cs"/>
          <w:rtl/>
        </w:rPr>
        <w:t xml:space="preserve"> لأن الاعتماد في الاحتجاج ليس عليه من حيث الانفراد</w:t>
      </w:r>
      <w:r w:rsidR="000636C2">
        <w:rPr>
          <w:rFonts w:hint="cs"/>
          <w:rtl/>
        </w:rPr>
        <w:t>،</w:t>
      </w:r>
      <w:r w:rsidRPr="005675B2">
        <w:rPr>
          <w:rFonts w:hint="cs"/>
          <w:rtl/>
        </w:rPr>
        <w:t xml:space="preserve"> وإنما من حيث المجموع</w:t>
      </w:r>
      <w:r w:rsidR="000636C2">
        <w:rPr>
          <w:rFonts w:hint="cs"/>
          <w:rtl/>
        </w:rPr>
        <w:t>،</w:t>
      </w:r>
      <w:r w:rsidRPr="005675B2">
        <w:rPr>
          <w:rFonts w:hint="cs"/>
          <w:rtl/>
        </w:rPr>
        <w:t xml:space="preserve"> أي من حيث اجتماع عدد من الأدلة يعضد بعضها بعضاً على مدلول واحد</w:t>
      </w:r>
      <w:r w:rsidR="000636C2">
        <w:rPr>
          <w:rFonts w:hint="cs"/>
          <w:rtl/>
        </w:rPr>
        <w:t xml:space="preserve">، </w:t>
      </w:r>
      <w:r w:rsidRPr="005675B2">
        <w:rPr>
          <w:rFonts w:hint="cs"/>
          <w:rtl/>
        </w:rPr>
        <w:t>5 - البيت الشعري الذي ذكر الباحث أن الأشاعرة يستدلون به قد تبين أنهم يستشهدون به ولا يستدلون به</w:t>
      </w:r>
      <w:r w:rsidR="000636C2">
        <w:rPr>
          <w:rFonts w:hint="cs"/>
          <w:rtl/>
        </w:rPr>
        <w:t>،</w:t>
      </w:r>
      <w:r w:rsidRPr="005675B2">
        <w:rPr>
          <w:rFonts w:hint="cs"/>
          <w:rtl/>
        </w:rPr>
        <w:t xml:space="preserve"> ثم إن الباحث يريد أن يغمز الأشاعرة بقوله </w:t>
      </w:r>
      <w:r w:rsidR="000636C2">
        <w:rPr>
          <w:rFonts w:hint="cs"/>
          <w:rtl/>
        </w:rPr>
        <w:t>[</w:t>
      </w:r>
      <w:r w:rsidRPr="005675B2">
        <w:rPr>
          <w:rFonts w:hint="cs"/>
          <w:rtl/>
        </w:rPr>
        <w:t>المنسوب للأخطل النصراني</w:t>
      </w:r>
      <w:r w:rsidR="000636C2">
        <w:rPr>
          <w:rFonts w:hint="cs"/>
          <w:rtl/>
        </w:rPr>
        <w:t>]،</w:t>
      </w:r>
      <w:r w:rsidRPr="005675B2">
        <w:rPr>
          <w:rFonts w:hint="cs"/>
          <w:rtl/>
        </w:rPr>
        <w:t xml:space="preserve"> وكأن الأشاعرة يستدلون بأقوال النصارى في العقيدة</w:t>
      </w:r>
      <w:r w:rsidR="000636C2">
        <w:rPr>
          <w:rFonts w:hint="cs"/>
          <w:rtl/>
        </w:rPr>
        <w:t xml:space="preserve">!، </w:t>
      </w:r>
      <w:r w:rsidRPr="005675B2">
        <w:rPr>
          <w:rFonts w:hint="cs"/>
          <w:rtl/>
        </w:rPr>
        <w:t>والواقع أن من ذكر هذا البيت فإنه يستشهد به في مسألة لغوية</w:t>
      </w:r>
      <w:r w:rsidR="000636C2">
        <w:rPr>
          <w:rFonts w:hint="cs"/>
          <w:rtl/>
        </w:rPr>
        <w:t>،</w:t>
      </w:r>
      <w:r w:rsidRPr="005675B2">
        <w:rPr>
          <w:rFonts w:hint="cs"/>
          <w:rtl/>
        </w:rPr>
        <w:t xml:space="preserve"> لا في مسألة عقائدية</w:t>
      </w:r>
      <w:r w:rsidR="000636C2">
        <w:rPr>
          <w:rFonts w:hint="cs"/>
          <w:rtl/>
        </w:rPr>
        <w:t>،</w:t>
      </w:r>
      <w:r w:rsidRPr="005675B2">
        <w:rPr>
          <w:rFonts w:hint="cs"/>
          <w:rtl/>
        </w:rPr>
        <w:t xml:space="preserve"> فلا يضرك كون قائله من النصارى أو المشركين إذا كان من فصحاء العرب</w:t>
      </w:r>
      <w:r w:rsidR="000636C2">
        <w:rPr>
          <w:rFonts w:hint="cs"/>
          <w:rtl/>
        </w:rPr>
        <w:t xml:space="preserve">، </w:t>
      </w:r>
      <w:r w:rsidRPr="005675B2">
        <w:rPr>
          <w:rFonts w:hint="cs"/>
          <w:rtl/>
        </w:rPr>
        <w:t>وقد كان علماء هذه الأمة منذ الصدر الأول يستشهدون بل ويستدلون في المسائل اللغوية بالشعر الجاهلي الذي قاله العرب الأقحاح المشركون</w:t>
      </w:r>
      <w:r w:rsidR="000636C2">
        <w:rPr>
          <w:rFonts w:hint="cs"/>
          <w:rtl/>
        </w:rPr>
        <w:t>،</w:t>
      </w:r>
      <w:r w:rsidRPr="005675B2">
        <w:rPr>
          <w:rFonts w:hint="cs"/>
          <w:rtl/>
        </w:rPr>
        <w:t xml:space="preserve"> لأن الله تبارك وتعالى أنزل القرآن بلسانهم</w:t>
      </w:r>
      <w:r w:rsidR="000636C2">
        <w:rPr>
          <w:rFonts w:hint="cs"/>
          <w:rtl/>
        </w:rPr>
        <w:t>،</w:t>
      </w:r>
      <w:r w:rsidRPr="005675B2">
        <w:rPr>
          <w:rFonts w:hint="cs"/>
          <w:rtl/>
        </w:rPr>
        <w:t xml:space="preserve"> فلا يفهم القرآن إلا من عرف لسان العرب وأساليبهم</w:t>
      </w:r>
      <w:r w:rsidR="000636C2">
        <w:rPr>
          <w:rFonts w:hint="cs"/>
          <w:rtl/>
        </w:rPr>
        <w:t>،</w:t>
      </w:r>
      <w:r w:rsidRPr="005675B2">
        <w:rPr>
          <w:rFonts w:hint="cs"/>
          <w:rtl/>
        </w:rPr>
        <w:t xml:space="preserve"> 6 - ذكر الباحث عن الأشاعرة أنهم قالوا عن كلام الله تعالى </w:t>
      </w:r>
      <w:r w:rsidR="000636C2">
        <w:rPr>
          <w:rFonts w:hint="cs"/>
          <w:rtl/>
        </w:rPr>
        <w:t>[</w:t>
      </w:r>
      <w:r w:rsidRPr="005675B2">
        <w:rPr>
          <w:rFonts w:hint="cs"/>
          <w:rtl/>
        </w:rPr>
        <w:t>ليس بحرف ولا صوت</w:t>
      </w:r>
      <w:r w:rsidR="000636C2">
        <w:rPr>
          <w:rFonts w:hint="cs"/>
          <w:rtl/>
        </w:rPr>
        <w:t>]</w:t>
      </w:r>
      <w:r w:rsidRPr="005675B2">
        <w:rPr>
          <w:rFonts w:hint="cs"/>
          <w:rtl/>
        </w:rPr>
        <w:t>، وهذا نقل صحيح</w:t>
      </w:r>
      <w:r w:rsidR="000636C2">
        <w:rPr>
          <w:rFonts w:hint="cs"/>
          <w:rtl/>
        </w:rPr>
        <w:t>،</w:t>
      </w:r>
      <w:r w:rsidRPr="005675B2">
        <w:rPr>
          <w:rFonts w:hint="cs"/>
          <w:rtl/>
        </w:rPr>
        <w:t xml:space="preserve"> فكتبهم أطبقت على هذا</w:t>
      </w:r>
      <w:r w:rsidR="000636C2">
        <w:rPr>
          <w:rFonts w:hint="cs"/>
          <w:rtl/>
        </w:rPr>
        <w:t>،</w:t>
      </w:r>
      <w:r w:rsidRPr="005675B2">
        <w:rPr>
          <w:rFonts w:hint="cs"/>
          <w:rtl/>
        </w:rPr>
        <w:t xml:space="preserve"> ولكن ما معناه</w:t>
      </w:r>
      <w:r w:rsidR="000636C2">
        <w:rPr>
          <w:rFonts w:hint="cs"/>
          <w:rtl/>
        </w:rPr>
        <w:t xml:space="preserve">؟ </w:t>
      </w:r>
      <w:r w:rsidRPr="005675B2">
        <w:rPr>
          <w:rFonts w:hint="cs"/>
          <w:rtl/>
        </w:rPr>
        <w:t>معنى هذا أن كلام الله تعالى الذي هو صفة له هو المعنى القائم بذات الله تعالى من الأزل</w:t>
      </w:r>
      <w:r w:rsidR="000636C2">
        <w:rPr>
          <w:rFonts w:hint="cs"/>
          <w:rtl/>
        </w:rPr>
        <w:t>،</w:t>
      </w:r>
      <w:r w:rsidRPr="005675B2">
        <w:rPr>
          <w:rFonts w:hint="cs"/>
          <w:rtl/>
        </w:rPr>
        <w:t xml:space="preserve"> فإذا أراد الله تعالى إسماعَ عبدٍ من عباده كلامَهُ جعل فيه قوة خاصة على سماع كلامه فأسمعه ما يريد إسماعه إياه</w:t>
      </w:r>
      <w:r w:rsidR="000636C2">
        <w:rPr>
          <w:rFonts w:hint="cs"/>
          <w:rtl/>
        </w:rPr>
        <w:t>،</w:t>
      </w:r>
      <w:r w:rsidRPr="005675B2">
        <w:rPr>
          <w:rFonts w:hint="cs"/>
          <w:rtl/>
        </w:rPr>
        <w:t xml:space="preserve"> وإذا بهذا العبد قد فهم عن الله كلامه القديم بلغة يتخاطب بها البشر ذات حروف وأصوات</w:t>
      </w:r>
      <w:r w:rsidR="000636C2">
        <w:rPr>
          <w:rFonts w:hint="cs"/>
          <w:rtl/>
        </w:rPr>
        <w:t>،</w:t>
      </w:r>
      <w:r w:rsidRPr="005675B2">
        <w:rPr>
          <w:rFonts w:hint="cs"/>
          <w:rtl/>
        </w:rPr>
        <w:t xml:space="preserve"> وهذا لا يعني أن الله تعالى يتكلم بلغة مما يتخاطب به البشر</w:t>
      </w:r>
      <w:r w:rsidR="000636C2">
        <w:rPr>
          <w:rFonts w:hint="cs"/>
          <w:rtl/>
        </w:rPr>
        <w:t>،</w:t>
      </w:r>
      <w:r w:rsidRPr="005675B2">
        <w:rPr>
          <w:rFonts w:hint="cs"/>
          <w:rtl/>
        </w:rPr>
        <w:t xml:space="preserve"> ولا أنه يتكلم بصوت له موجات صوتية وحروف لغوية</w:t>
      </w:r>
      <w:r w:rsidR="000636C2">
        <w:rPr>
          <w:rFonts w:hint="cs"/>
          <w:rtl/>
        </w:rPr>
        <w:t>،</w:t>
      </w:r>
      <w:r w:rsidRPr="005675B2">
        <w:rPr>
          <w:rFonts w:hint="cs"/>
          <w:rtl/>
        </w:rPr>
        <w:t xml:space="preserve"> فعندما كلم الله سبحانه وتعالى موسى سمع موسى عليه السلام كلامه</w:t>
      </w:r>
      <w:r w:rsidR="000636C2">
        <w:rPr>
          <w:rFonts w:hint="cs"/>
          <w:rtl/>
        </w:rPr>
        <w:t>،</w:t>
      </w:r>
      <w:r w:rsidRPr="005675B2">
        <w:rPr>
          <w:rFonts w:hint="cs"/>
          <w:rtl/>
        </w:rPr>
        <w:t xml:space="preserve"> ولو أن أناساً كانوا بجانب موسى وقت التكليم لما سمعوا شيئاً</w:t>
      </w:r>
      <w:r w:rsidR="000636C2">
        <w:rPr>
          <w:rFonts w:hint="cs"/>
          <w:rtl/>
        </w:rPr>
        <w:t>،</w:t>
      </w:r>
      <w:r w:rsidRPr="005675B2">
        <w:rPr>
          <w:rFonts w:hint="cs"/>
          <w:rtl/>
        </w:rPr>
        <w:t xml:space="preserve"> لا صوتاً ولا حروفاً</w:t>
      </w:r>
      <w:r w:rsidR="000636C2">
        <w:rPr>
          <w:rFonts w:hint="cs"/>
          <w:rtl/>
        </w:rPr>
        <w:t xml:space="preserve">، </w:t>
      </w:r>
      <w:r w:rsidRPr="005675B2">
        <w:rPr>
          <w:rFonts w:hint="cs"/>
          <w:rtl/>
        </w:rPr>
        <w:t>أما الباحث فكأنه يريد أن يقول</w:t>
      </w:r>
      <w:r w:rsidR="000636C2">
        <w:rPr>
          <w:rFonts w:hint="cs"/>
          <w:rtl/>
        </w:rPr>
        <w:t>:</w:t>
      </w:r>
      <w:r w:rsidRPr="005675B2">
        <w:rPr>
          <w:rFonts w:hint="cs"/>
          <w:rtl/>
        </w:rPr>
        <w:t xml:space="preserve"> إن الله تعالى يتكلم بصوت</w:t>
      </w:r>
      <w:r w:rsidR="000636C2">
        <w:rPr>
          <w:rFonts w:hint="cs"/>
          <w:rtl/>
        </w:rPr>
        <w:t>،</w:t>
      </w:r>
      <w:r w:rsidRPr="005675B2">
        <w:rPr>
          <w:rFonts w:hint="cs"/>
          <w:rtl/>
        </w:rPr>
        <w:t xml:space="preserve"> ولكنه صوت قوي جداً</w:t>
      </w:r>
      <w:r w:rsidR="000636C2">
        <w:rPr>
          <w:rFonts w:hint="cs"/>
          <w:rtl/>
        </w:rPr>
        <w:t>،</w:t>
      </w:r>
      <w:r w:rsidRPr="005675B2">
        <w:rPr>
          <w:rFonts w:hint="cs"/>
          <w:rtl/>
        </w:rPr>
        <w:t xml:space="preserve"> وبلغة عبرية أو سريانية أو عربية أو غيرها</w:t>
      </w:r>
      <w:r w:rsidR="000636C2">
        <w:rPr>
          <w:rFonts w:hint="cs"/>
          <w:rtl/>
        </w:rPr>
        <w:t>،</w:t>
      </w:r>
      <w:r w:rsidRPr="005675B2">
        <w:rPr>
          <w:rFonts w:hint="cs"/>
          <w:rtl/>
        </w:rPr>
        <w:t xml:space="preserve"> وبحروف اللغة التي يتكلم بها</w:t>
      </w:r>
      <w:r w:rsidR="000636C2">
        <w:rPr>
          <w:rFonts w:hint="cs"/>
          <w:rtl/>
        </w:rPr>
        <w:t>!،</w:t>
      </w:r>
      <w:r w:rsidRPr="005675B2">
        <w:rPr>
          <w:rFonts w:hint="cs"/>
          <w:rtl/>
        </w:rPr>
        <w:t xml:space="preserve"> وهذا يعني أنه لو كان أناس بجانب موسى عليه السلام وقت التكليم لسمعوا كلام الله</w:t>
      </w:r>
      <w:r w:rsidR="000636C2">
        <w:rPr>
          <w:rFonts w:hint="cs"/>
          <w:rtl/>
        </w:rPr>
        <w:t>!</w:t>
      </w:r>
      <w:r w:rsidRPr="005675B2">
        <w:rPr>
          <w:rFonts w:hint="cs"/>
          <w:rtl/>
        </w:rPr>
        <w:t xml:space="preserve"> أي لسمعوا صوته القوي الذي يشبه الصواعق وحروفه اللغوية</w:t>
      </w:r>
      <w:r w:rsidR="000636C2">
        <w:rPr>
          <w:rFonts w:hint="cs"/>
          <w:rtl/>
        </w:rPr>
        <w:t>!</w:t>
      </w:r>
      <w:r w:rsidRPr="005675B2">
        <w:rPr>
          <w:rFonts w:hint="cs"/>
          <w:rtl/>
        </w:rPr>
        <w:t xml:space="preserve"> إلا إذا أراد الله تعالى أن يحجب أسماعهم عن سماع ذلك الصوت</w:t>
      </w:r>
      <w:r w:rsidR="000636C2">
        <w:rPr>
          <w:rFonts w:hint="cs"/>
          <w:rtl/>
        </w:rPr>
        <w:t>،</w:t>
      </w:r>
      <w:r w:rsidRPr="005675B2">
        <w:rPr>
          <w:rFonts w:hint="cs"/>
          <w:rtl/>
        </w:rPr>
        <w:t xml:space="preserve"> ولكان للمكالمة وقت كثلاث دقائق أو عشر دقائق مثلاً</w:t>
      </w:r>
      <w:r w:rsidR="000636C2">
        <w:rPr>
          <w:rFonts w:hint="cs"/>
          <w:rtl/>
        </w:rPr>
        <w:t>!</w:t>
      </w:r>
      <w:r w:rsidRPr="005675B2">
        <w:rPr>
          <w:rFonts w:hint="cs"/>
          <w:rtl/>
        </w:rPr>
        <w:t xml:space="preserve"> ولكان لتلك الموجات الصوتية نقطة انطلاق مكانية اتجهت منها</w:t>
      </w:r>
      <w:r w:rsidR="000636C2">
        <w:rPr>
          <w:rFonts w:hint="cs"/>
          <w:rtl/>
        </w:rPr>
        <w:t>!</w:t>
      </w:r>
      <w:r w:rsidRPr="005675B2">
        <w:rPr>
          <w:rFonts w:hint="cs"/>
          <w:rtl/>
        </w:rPr>
        <w:t xml:space="preserve"> تعالى الله عن ذلك علواً كبيراً</w:t>
      </w:r>
      <w:r w:rsidR="000636C2">
        <w:rPr>
          <w:rFonts w:hint="cs"/>
          <w:rtl/>
        </w:rPr>
        <w:t>،</w:t>
      </w:r>
      <w:r w:rsidRPr="005675B2">
        <w:rPr>
          <w:rFonts w:hint="cs"/>
          <w:rtl/>
        </w:rPr>
        <w:t xml:space="preserve"> فإذا قال الباحث إنما كلّم الله تعالى موسى عليه السلام بصوت لا كأصوات المخلوقين</w:t>
      </w:r>
      <w:r w:rsidR="000636C2">
        <w:rPr>
          <w:rFonts w:hint="cs"/>
          <w:rtl/>
        </w:rPr>
        <w:t>،</w:t>
      </w:r>
      <w:r w:rsidRPr="005675B2">
        <w:rPr>
          <w:rFonts w:hint="cs"/>
          <w:rtl/>
        </w:rPr>
        <w:t xml:space="preserve"> فصوته لا يشبه أصواتهم</w:t>
      </w:r>
      <w:r w:rsidR="000636C2">
        <w:rPr>
          <w:rFonts w:hint="cs"/>
          <w:rtl/>
        </w:rPr>
        <w:t>،</w:t>
      </w:r>
      <w:r w:rsidRPr="005675B2">
        <w:rPr>
          <w:rFonts w:hint="cs"/>
          <w:rtl/>
        </w:rPr>
        <w:t xml:space="preserve"> وأصواتهم لا تشبه صوته</w:t>
      </w:r>
      <w:r w:rsidR="000636C2">
        <w:rPr>
          <w:rFonts w:hint="cs"/>
          <w:rtl/>
        </w:rPr>
        <w:t>،</w:t>
      </w:r>
      <w:r w:rsidRPr="005675B2">
        <w:rPr>
          <w:rFonts w:hint="cs"/>
          <w:rtl/>
        </w:rPr>
        <w:t xml:space="preserve"> فهذا يحتمل أحد أمرين</w:t>
      </w:r>
      <w:r w:rsidR="000636C2">
        <w:rPr>
          <w:rFonts w:hint="cs"/>
          <w:rtl/>
        </w:rPr>
        <w:t xml:space="preserve">: </w:t>
      </w:r>
      <w:r w:rsidRPr="005675B2">
        <w:rPr>
          <w:rFonts w:hint="cs"/>
          <w:rtl/>
        </w:rPr>
        <w:t>فإنه إما أن يثبت لله تعالى صوتاً له سِمَات أصوات المخلوقين من الجهة المكانية والفترة الزمنية والموجات الصوتية ويقولَ لكننا لا نستطيع أن نتصوره ولا أن نشبهه بأصوات المخلوقين</w:t>
      </w:r>
      <w:r w:rsidR="000636C2">
        <w:rPr>
          <w:rFonts w:hint="cs"/>
          <w:rtl/>
        </w:rPr>
        <w:t xml:space="preserve">، </w:t>
      </w:r>
      <w:r w:rsidRPr="005675B2">
        <w:rPr>
          <w:rFonts w:hint="cs"/>
          <w:rtl/>
        </w:rPr>
        <w:t xml:space="preserve">وإما أن يقولَ لقد صح عندي حديث عن النبي صلى الله عليه وسلم أن الله تعالى </w:t>
      </w:r>
      <w:r w:rsidR="000636C2">
        <w:rPr>
          <w:rFonts w:hint="cs"/>
          <w:rtl/>
        </w:rPr>
        <w:t>[</w:t>
      </w:r>
      <w:r w:rsidRPr="005675B2">
        <w:rPr>
          <w:rFonts w:hint="cs"/>
          <w:rtl/>
        </w:rPr>
        <w:t>يناديهم بصوت</w:t>
      </w:r>
      <w:r w:rsidR="000636C2">
        <w:rPr>
          <w:rFonts w:hint="cs"/>
          <w:rtl/>
        </w:rPr>
        <w:t>]</w:t>
      </w:r>
      <w:r w:rsidRPr="005675B2">
        <w:rPr>
          <w:rFonts w:hint="cs"/>
          <w:rtl/>
        </w:rPr>
        <w:t xml:space="preserve"> فأنا أقول بإثبات الصوت لكنه صوت لا كالأصوات</w:t>
      </w:r>
      <w:r w:rsidR="000636C2">
        <w:rPr>
          <w:rFonts w:hint="cs"/>
          <w:rtl/>
        </w:rPr>
        <w:t xml:space="preserve">، </w:t>
      </w:r>
      <w:r w:rsidRPr="005675B2">
        <w:rPr>
          <w:rFonts w:hint="cs"/>
          <w:rtl/>
        </w:rPr>
        <w:t>فإن كان الاحتمال الأول فهو من التشبيه وإن لم يكن التشبيه تاماً</w:t>
      </w:r>
      <w:r w:rsidR="000636C2">
        <w:rPr>
          <w:rFonts w:hint="cs"/>
          <w:rtl/>
        </w:rPr>
        <w:t>،</w:t>
      </w:r>
      <w:r w:rsidRPr="005675B2">
        <w:rPr>
          <w:rFonts w:hint="cs"/>
          <w:rtl/>
        </w:rPr>
        <w:t xml:space="preserve"> وهل يشترط أن يشبه المرء صوت خالقه بصوت المخلوقين تشبيهاً تاماً حتى نقول إنه مشبه</w:t>
      </w:r>
      <w:r w:rsidR="000636C2">
        <w:rPr>
          <w:rFonts w:hint="cs"/>
          <w:rtl/>
        </w:rPr>
        <w:t>!،</w:t>
      </w:r>
      <w:r w:rsidRPr="005675B2">
        <w:rPr>
          <w:rFonts w:hint="cs"/>
          <w:rtl/>
        </w:rPr>
        <w:t xml:space="preserve"> هذا ما لا يرضى به عاقل</w:t>
      </w:r>
      <w:r w:rsidR="000636C2">
        <w:rPr>
          <w:rFonts w:hint="cs"/>
          <w:rtl/>
        </w:rPr>
        <w:t>،</w:t>
      </w:r>
      <w:r w:rsidRPr="005675B2">
        <w:rPr>
          <w:rFonts w:hint="cs"/>
          <w:rtl/>
        </w:rPr>
        <w:t xml:space="preserve"> وما أظن الباحث يقول به</w:t>
      </w:r>
      <w:r w:rsidR="000636C2">
        <w:rPr>
          <w:rFonts w:hint="cs"/>
          <w:rtl/>
        </w:rPr>
        <w:t>،</w:t>
      </w:r>
      <w:r w:rsidRPr="005675B2">
        <w:rPr>
          <w:rFonts w:hint="cs"/>
          <w:rtl/>
        </w:rPr>
        <w:t xml:space="preserve"> وإن كان الاحتمال الثاني فلا بد من نفي سمات أوصاف المخلوقات أي سمات الحدوث عن الله تعالى حتى يكون المرء من المنزهين</w:t>
      </w:r>
      <w:r w:rsidR="000636C2">
        <w:rPr>
          <w:rFonts w:hint="cs"/>
          <w:rtl/>
        </w:rPr>
        <w:t>،</w:t>
      </w:r>
      <w:r w:rsidRPr="005675B2">
        <w:rPr>
          <w:rFonts w:hint="cs"/>
          <w:rtl/>
        </w:rPr>
        <w:t xml:space="preserve"> لكن إن كان يثبت ما صح عنده أن النبي صلى الله عليه وسلم أثبته وينفي التشبيه ولا يخطر بباله أي معنى من معاني تشبيه صفات الله بصفات الحادث ؛ فهذا مذهب جرى عليه كثير من أصحاب الحديث</w:t>
      </w:r>
      <w:r w:rsidR="000636C2">
        <w:rPr>
          <w:rFonts w:hint="cs"/>
          <w:rtl/>
        </w:rPr>
        <w:t>،</w:t>
      </w:r>
      <w:r w:rsidRPr="005675B2">
        <w:rPr>
          <w:rFonts w:hint="cs"/>
          <w:rtl/>
        </w:rPr>
        <w:t xml:space="preserve"> ولكن لا يجوز له أن ينكر على من لم يصح عنده الحديث وذهب في هذا ونحوه إلى مذهب آخر</w:t>
      </w:r>
      <w:r w:rsidR="000636C2">
        <w:rPr>
          <w:rFonts w:hint="cs"/>
          <w:rtl/>
        </w:rPr>
        <w:t xml:space="preserve">، </w:t>
      </w:r>
      <w:r w:rsidRPr="005675B2">
        <w:rPr>
          <w:rFonts w:hint="cs"/>
          <w:rtl/>
        </w:rPr>
        <w:t>7</w:t>
      </w:r>
      <w:r w:rsidR="000636C2">
        <w:rPr>
          <w:rFonts w:hint="cs"/>
          <w:rtl/>
        </w:rPr>
        <w:t xml:space="preserve"> </w:t>
      </w:r>
      <w:r w:rsidRPr="005675B2">
        <w:rPr>
          <w:rFonts w:hint="cs"/>
          <w:rtl/>
        </w:rPr>
        <w:t xml:space="preserve">- قال أحـد أئمة الأشـاعرة أبو بكر محمد بن الحسـن ابن فورك المتوفـى سـنة </w:t>
      </w:r>
      <w:r w:rsidR="000636C2">
        <w:rPr>
          <w:rFonts w:hint="cs"/>
          <w:rtl/>
        </w:rPr>
        <w:t>(</w:t>
      </w:r>
      <w:r w:rsidRPr="005675B2">
        <w:rPr>
          <w:rFonts w:hint="cs"/>
          <w:rtl/>
        </w:rPr>
        <w:t>406 ه -</w:t>
      </w:r>
      <w:r w:rsidR="000636C2">
        <w:rPr>
          <w:rFonts w:hint="cs"/>
          <w:rtl/>
        </w:rPr>
        <w:t>):</w:t>
      </w:r>
      <w:r w:rsidRPr="005675B2">
        <w:rPr>
          <w:rFonts w:hint="cs"/>
          <w:rtl/>
        </w:rPr>
        <w:t xml:space="preserve"> </w:t>
      </w:r>
      <w:r w:rsidR="000636C2">
        <w:rPr>
          <w:rFonts w:hint="cs"/>
          <w:rtl/>
        </w:rPr>
        <w:t>[</w:t>
      </w:r>
      <w:r w:rsidRPr="005675B2">
        <w:rPr>
          <w:rFonts w:hint="cs"/>
          <w:rtl/>
        </w:rPr>
        <w:t>إن كلام الله لم يزل ولايزال موجوداً، وإنه يُفهم خلقَه معاني كلامه أولاً فأولاً وشيئاً فشيئاً</w:t>
      </w:r>
      <w:r w:rsidR="000636C2">
        <w:rPr>
          <w:rFonts w:hint="cs"/>
          <w:rtl/>
        </w:rPr>
        <w:t>،</w:t>
      </w:r>
      <w:r w:rsidRPr="005675B2">
        <w:rPr>
          <w:rFonts w:hint="cs"/>
          <w:rtl/>
        </w:rPr>
        <w:t xml:space="preserve"> وإن الذي يتجدد</w:t>
      </w:r>
      <w:r w:rsidR="000636C2">
        <w:rPr>
          <w:rFonts w:hint="cs"/>
          <w:rtl/>
        </w:rPr>
        <w:t>:</w:t>
      </w:r>
      <w:r w:rsidRPr="005675B2">
        <w:rPr>
          <w:rFonts w:hint="cs"/>
          <w:rtl/>
        </w:rPr>
        <w:t xml:space="preserve"> الإسماع والإفهام</w:t>
      </w:r>
      <w:r w:rsidR="000636C2">
        <w:rPr>
          <w:rFonts w:hint="cs"/>
          <w:rtl/>
        </w:rPr>
        <w:t>،</w:t>
      </w:r>
      <w:r w:rsidRPr="005675B2">
        <w:rPr>
          <w:rFonts w:hint="cs"/>
          <w:rtl/>
        </w:rPr>
        <w:t xml:space="preserve"> دون المسموع والمفهوم ..</w:t>
      </w:r>
      <w:r w:rsidR="000636C2">
        <w:rPr>
          <w:rFonts w:hint="cs"/>
          <w:rtl/>
        </w:rPr>
        <w:t>،</w:t>
      </w:r>
      <w:r w:rsidRPr="005675B2">
        <w:rPr>
          <w:rFonts w:hint="cs"/>
          <w:rtl/>
        </w:rPr>
        <w:t xml:space="preserve"> كلامه لايخص الأوقات والأزمان</w:t>
      </w:r>
      <w:r w:rsidR="000636C2">
        <w:rPr>
          <w:rFonts w:hint="cs"/>
          <w:rtl/>
        </w:rPr>
        <w:t>،</w:t>
      </w:r>
      <w:r w:rsidRPr="005675B2">
        <w:rPr>
          <w:rFonts w:hint="cs"/>
          <w:rtl/>
        </w:rPr>
        <w:t xml:space="preserve"> كما أن علمه وسمعه وقدرته لايصح أن يقال فيه شيء من ذلك</w:t>
      </w:r>
      <w:r w:rsidR="000636C2">
        <w:rPr>
          <w:rFonts w:hint="cs"/>
          <w:rtl/>
        </w:rPr>
        <w:t>،</w:t>
      </w:r>
      <w:r w:rsidRPr="005675B2">
        <w:rPr>
          <w:rFonts w:hint="cs"/>
          <w:rtl/>
        </w:rPr>
        <w:t xml:space="preserve"> وإنما يتجدد المعلوم والمقدور بحدوثه شيئاً بعد شيء، دون العلم به والقدرة عليه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واعلم أنه كما ينكر قول من قال إن الله لم يتكلم إلا مرة واحدة؛ كذلك ينكر قول من قال إن الله تكلم مرة بعد أخرى</w:t>
      </w:r>
      <w:r w:rsidR="000636C2">
        <w:rPr>
          <w:rFonts w:hint="cs"/>
          <w:rtl/>
        </w:rPr>
        <w:t>،</w:t>
      </w:r>
      <w:r w:rsidRPr="005675B2">
        <w:rPr>
          <w:rFonts w:hint="cs"/>
          <w:rtl/>
        </w:rPr>
        <w:t xml:space="preserve"> لأن كل ذلك يوجب حدوث الكلام</w:t>
      </w:r>
      <w:r w:rsidR="000636C2">
        <w:rPr>
          <w:rFonts w:hint="cs"/>
          <w:rtl/>
        </w:rPr>
        <w:t>،</w:t>
      </w:r>
      <w:r w:rsidRPr="005675B2">
        <w:rPr>
          <w:rFonts w:hint="cs"/>
          <w:rtl/>
        </w:rPr>
        <w:t xml:space="preserve"> .. فأما كلام الله الذي هو صفة من صفات ذاته غير بائن منه فكلام واحد شيء واحد</w:t>
      </w:r>
      <w:r w:rsidR="000636C2">
        <w:rPr>
          <w:rFonts w:hint="cs"/>
          <w:rtl/>
        </w:rPr>
        <w:t>،</w:t>
      </w:r>
      <w:r w:rsidRPr="005675B2">
        <w:rPr>
          <w:rFonts w:hint="cs"/>
          <w:rtl/>
        </w:rPr>
        <w:t xml:space="preserve"> يفهم منه ويسمع ما لا يحصى ولايعد من الفوائد والمعاني</w:t>
      </w:r>
      <w:r w:rsidR="000636C2">
        <w:rPr>
          <w:rFonts w:hint="cs"/>
          <w:rtl/>
        </w:rPr>
        <w:t>،</w:t>
      </w:r>
      <w:r w:rsidRPr="005675B2">
        <w:rPr>
          <w:rFonts w:hint="cs"/>
          <w:rtl/>
        </w:rPr>
        <w:t xml:space="preserve"> ونظير ذلك ما نقول إن علمه واحد ولكنه يحيط بمعلومات لا تتناهى</w:t>
      </w:r>
      <w:r w:rsidR="000636C2">
        <w:rPr>
          <w:rFonts w:hint="cs"/>
          <w:rtl/>
        </w:rPr>
        <w:t>،</w:t>
      </w:r>
      <w:r w:rsidRPr="005675B2">
        <w:rPr>
          <w:rFonts w:hint="cs"/>
          <w:rtl/>
        </w:rPr>
        <w:t xml:space="preserve"> والذي تقع عليه الكثرة والقلة</w:t>
      </w:r>
      <w:r w:rsidR="000636C2">
        <w:rPr>
          <w:rFonts w:hint="cs"/>
          <w:rtl/>
        </w:rPr>
        <w:t>:</w:t>
      </w:r>
      <w:r w:rsidRPr="005675B2">
        <w:rPr>
          <w:rFonts w:hint="cs"/>
          <w:rtl/>
        </w:rPr>
        <w:t xml:space="preserve"> المعلومات</w:t>
      </w:r>
      <w:r w:rsidR="000636C2">
        <w:rPr>
          <w:rFonts w:hint="cs"/>
          <w:rtl/>
        </w:rPr>
        <w:t>،</w:t>
      </w:r>
      <w:r w:rsidRPr="005675B2">
        <w:rPr>
          <w:rFonts w:hint="cs"/>
          <w:rtl/>
        </w:rPr>
        <w:t xml:space="preserve"> دون العلم</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والصحيح أن يقال</w:t>
      </w:r>
      <w:r w:rsidR="000636C2">
        <w:rPr>
          <w:rFonts w:hint="cs"/>
          <w:rtl/>
        </w:rPr>
        <w:t>:</w:t>
      </w:r>
      <w:r w:rsidRPr="005675B2">
        <w:rPr>
          <w:rFonts w:hint="cs"/>
          <w:rtl/>
        </w:rPr>
        <w:t xml:space="preserve"> إن كلام الله لم يزل ولايزال</w:t>
      </w:r>
      <w:r w:rsidR="000636C2">
        <w:rPr>
          <w:rFonts w:hint="cs"/>
          <w:rtl/>
        </w:rPr>
        <w:t>،</w:t>
      </w:r>
      <w:r w:rsidRPr="005675B2">
        <w:rPr>
          <w:rFonts w:hint="cs"/>
          <w:rtl/>
        </w:rPr>
        <w:t xml:space="preserve"> وأنه مسمعٌ من يشاء من خلقه ومفهمٌ من أراد منهم إفهامه في الوقت الذي يريد أن يسمعه ويفهمه ما يريد من ذلك</w:t>
      </w:r>
      <w:r w:rsidR="000636C2">
        <w:rPr>
          <w:rFonts w:hint="cs"/>
          <w:rtl/>
        </w:rPr>
        <w:t>،</w:t>
      </w:r>
      <w:r w:rsidRPr="005675B2">
        <w:rPr>
          <w:rFonts w:hint="cs"/>
          <w:rtl/>
        </w:rPr>
        <w:t xml:space="preserve"> من غير تجديد قول ولا كلام</w:t>
      </w:r>
      <w:r w:rsidR="000636C2">
        <w:rPr>
          <w:rFonts w:hint="cs"/>
          <w:rtl/>
        </w:rPr>
        <w:t xml:space="preserve">] </w:t>
      </w:r>
      <w:r w:rsidRPr="005675B2">
        <w:rPr>
          <w:rFonts w:hint="cs"/>
          <w:rtl/>
        </w:rPr>
        <w:t>[</w:t>
      </w:r>
      <w:r w:rsidRPr="005675B2">
        <w:rPr>
          <w:rFonts w:hint="cs"/>
          <w:sz w:val="24"/>
          <w:szCs w:val="24"/>
          <w:rtl/>
        </w:rPr>
        <w:t>مشكل الحديث وبيانه لابن فورك: ص 445</w:t>
      </w:r>
      <w:r w:rsidR="000636C2">
        <w:rPr>
          <w:rFonts w:hint="cs"/>
          <w:sz w:val="24"/>
          <w:szCs w:val="24"/>
          <w:rtl/>
        </w:rPr>
        <w:t>،</w:t>
      </w:r>
      <w:r w:rsidRPr="005675B2">
        <w:rPr>
          <w:rFonts w:hint="cs"/>
          <w:sz w:val="24"/>
          <w:szCs w:val="24"/>
          <w:rtl/>
        </w:rPr>
        <w:t xml:space="preserve"> 446</w:t>
      </w:r>
      <w:r w:rsidR="000636C2">
        <w:rPr>
          <w:rFonts w:hint="cs"/>
          <w:sz w:val="24"/>
          <w:szCs w:val="24"/>
          <w:rtl/>
        </w:rPr>
        <w:t>،</w:t>
      </w:r>
      <w:r w:rsidRPr="005675B2">
        <w:rPr>
          <w:rFonts w:hint="cs"/>
          <w:sz w:val="24"/>
          <w:szCs w:val="24"/>
          <w:rtl/>
        </w:rPr>
        <w:t xml:space="preserve"> 449 . بتحيق موسى محمد علي</w:t>
      </w:r>
      <w:r w:rsidR="000636C2">
        <w:rPr>
          <w:rFonts w:hint="cs"/>
          <w:sz w:val="24"/>
          <w:szCs w:val="24"/>
          <w:rtl/>
        </w:rPr>
        <w:t>،</w:t>
      </w:r>
      <w:r w:rsidRPr="005675B2">
        <w:rPr>
          <w:rFonts w:hint="cs"/>
          <w:sz w:val="24"/>
          <w:szCs w:val="24"/>
          <w:rtl/>
        </w:rPr>
        <w:t xml:space="preserve"> عالم الكتب</w:t>
      </w:r>
      <w:r w:rsidR="000636C2">
        <w:rPr>
          <w:rFonts w:hint="cs"/>
          <w:sz w:val="24"/>
          <w:szCs w:val="24"/>
          <w:rtl/>
        </w:rPr>
        <w:t>،</w:t>
      </w:r>
      <w:r w:rsidRPr="005675B2">
        <w:rPr>
          <w:rFonts w:hint="cs"/>
          <w:sz w:val="24"/>
          <w:szCs w:val="24"/>
          <w:rtl/>
        </w:rPr>
        <w:t xml:space="preserve"> بيروت، ط 2، 1405</w:t>
      </w:r>
      <w:r w:rsidR="000636C2">
        <w:rPr>
          <w:rFonts w:hint="cs"/>
          <w:sz w:val="24"/>
          <w:szCs w:val="24"/>
          <w:rtl/>
        </w:rPr>
        <w:t>]</w:t>
      </w:r>
      <w:r w:rsidRPr="005675B2">
        <w:rPr>
          <w:rFonts w:hint="cs"/>
          <w:rtl/>
        </w:rPr>
        <w:t>،</w:t>
      </w:r>
      <w:r w:rsidR="000636C2">
        <w:rPr>
          <w:rFonts w:hint="cs"/>
          <w:rtl/>
        </w:rPr>
        <w:t xml:space="preserve"> </w:t>
      </w:r>
      <w:r w:rsidRPr="005675B2">
        <w:rPr>
          <w:rFonts w:hint="cs"/>
          <w:rtl/>
        </w:rPr>
        <w:t>وقال شيخ الحنابلة القاضي أبو يعلى</w:t>
      </w:r>
      <w:r w:rsidR="000636C2">
        <w:rPr>
          <w:rFonts w:hint="cs"/>
          <w:rtl/>
        </w:rPr>
        <w:t>:</w:t>
      </w:r>
      <w:r w:rsidRPr="005675B2">
        <w:rPr>
          <w:rFonts w:hint="cs"/>
          <w:rtl/>
        </w:rPr>
        <w:t xml:space="preserve"> </w:t>
      </w:r>
      <w:r w:rsidR="000636C2">
        <w:rPr>
          <w:rFonts w:hint="cs"/>
          <w:rtl/>
        </w:rPr>
        <w:t>[</w:t>
      </w:r>
      <w:r w:rsidRPr="005675B2">
        <w:rPr>
          <w:rFonts w:hint="cs"/>
          <w:rtl/>
        </w:rPr>
        <w:t>وهو سبحانه عالم بعلم واحد</w:t>
      </w:r>
      <w:r w:rsidR="000636C2">
        <w:rPr>
          <w:rFonts w:hint="cs"/>
          <w:rtl/>
        </w:rPr>
        <w:t>،</w:t>
      </w:r>
      <w:r w:rsidRPr="005675B2">
        <w:rPr>
          <w:rFonts w:hint="cs"/>
          <w:rtl/>
        </w:rPr>
        <w:t xml:space="preserve"> وقادر بقدرة واحدة</w:t>
      </w:r>
      <w:r w:rsidR="000636C2">
        <w:rPr>
          <w:rFonts w:hint="cs"/>
          <w:rtl/>
        </w:rPr>
        <w:t>،</w:t>
      </w:r>
      <w:r w:rsidRPr="005675B2">
        <w:rPr>
          <w:rFonts w:hint="cs"/>
          <w:rtl/>
        </w:rPr>
        <w:t xml:space="preserve"> وحي بحياة واحدة، ومريد بإرادة واحدة</w:t>
      </w:r>
      <w:r w:rsidR="000636C2">
        <w:rPr>
          <w:rFonts w:hint="cs"/>
          <w:rtl/>
        </w:rPr>
        <w:t>،</w:t>
      </w:r>
      <w:r w:rsidRPr="005675B2">
        <w:rPr>
          <w:rFonts w:hint="cs"/>
          <w:rtl/>
        </w:rPr>
        <w:t xml:space="preserve"> ومتكلم بكلام واحد</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وغير ممتنع أن له كلاماً واحداً بلغات مختلفة يحصل الإفهام لكل واحد بلغته</w:t>
      </w:r>
      <w:r w:rsidR="000636C2">
        <w:rPr>
          <w:rFonts w:hint="cs"/>
          <w:rtl/>
        </w:rPr>
        <w:t>]</w:t>
      </w:r>
      <w:r w:rsidRPr="005675B2">
        <w:rPr>
          <w:rFonts w:hint="cs"/>
          <w:rtl/>
        </w:rPr>
        <w:t> [</w:t>
      </w:r>
      <w:r w:rsidRPr="005675B2">
        <w:rPr>
          <w:rFonts w:hint="cs"/>
          <w:sz w:val="24"/>
          <w:szCs w:val="24"/>
          <w:rtl/>
        </w:rPr>
        <w:t>المعتمد في أصول الدين: ص 49</w:t>
      </w:r>
      <w:r w:rsidR="000636C2">
        <w:rPr>
          <w:rFonts w:hint="cs"/>
          <w:sz w:val="24"/>
          <w:szCs w:val="24"/>
          <w:rtl/>
        </w:rPr>
        <w:t>،</w:t>
      </w:r>
      <w:r w:rsidRPr="005675B2">
        <w:rPr>
          <w:rFonts w:hint="cs"/>
          <w:sz w:val="24"/>
          <w:szCs w:val="24"/>
          <w:rtl/>
        </w:rPr>
        <w:t xml:space="preserve"> 79</w:t>
      </w:r>
      <w:r w:rsidR="000636C2">
        <w:rPr>
          <w:rFonts w:hint="cs"/>
          <w:sz w:val="24"/>
          <w:szCs w:val="24"/>
          <w:rtl/>
        </w:rPr>
        <w:t>]</w:t>
      </w:r>
      <w:r w:rsidR="000636C2">
        <w:rPr>
          <w:rFonts w:hint="cs"/>
          <w:rtl/>
        </w:rPr>
        <w:t xml:space="preserve">، </w:t>
      </w:r>
      <w:r w:rsidRPr="005675B2">
        <w:rPr>
          <w:rFonts w:hint="cs"/>
          <w:rtl/>
        </w:rPr>
        <w:t>ولعل هذا هو ما يشير إليه الإمام أحمد</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إذ يقول</w:t>
      </w:r>
      <w:r w:rsidR="000636C2">
        <w:rPr>
          <w:rFonts w:hint="cs"/>
          <w:rtl/>
        </w:rPr>
        <w:t>:</w:t>
      </w:r>
      <w:r w:rsidRPr="005675B2">
        <w:rPr>
          <w:rFonts w:hint="cs"/>
          <w:rtl/>
        </w:rPr>
        <w:t xml:space="preserve"> وقال الله تبارك وتعالى </w:t>
      </w:r>
      <w:r w:rsidR="000636C2">
        <w:rPr>
          <w:rFonts w:hint="cs"/>
          <w:rtl/>
        </w:rPr>
        <w:t>[</w:t>
      </w:r>
      <w:r w:rsidRPr="005675B2">
        <w:rPr>
          <w:rFonts w:hint="cs"/>
          <w:rtl/>
        </w:rPr>
        <w:t>الرَّحْمَنُ عَلَّمَ الْقُرْآنَ خَلَقَ الْإِنسَانَ عَلَّمَهُ الْبَيَانَ</w:t>
      </w:r>
      <w:r w:rsidR="000636C2">
        <w:rPr>
          <w:rFonts w:hint="cs"/>
          <w:rtl/>
        </w:rPr>
        <w:t>]</w:t>
      </w:r>
      <w:r w:rsidRPr="005675B2">
        <w:rPr>
          <w:rFonts w:hint="cs"/>
          <w:rtl/>
        </w:rPr>
        <w:t xml:space="preserve"> فأخبر تبارك وتعالى أن القرآن من علمه</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وَلَئِنِ اتَّبَعْتَ أَهْوَاءهُم بَعْدَ الَّذِي جَاءكَ مِنَ الْعِلْم</w:t>
      </w:r>
      <w:r w:rsidR="000636C2">
        <w:rPr>
          <w:rFonts w:hint="cs"/>
          <w:rtl/>
        </w:rPr>
        <w:t>]</w:t>
      </w:r>
      <w:r w:rsidRPr="005675B2">
        <w:rPr>
          <w:rFonts w:hint="cs"/>
          <w:rtl/>
        </w:rPr>
        <w:t xml:space="preserve"> .. فالقرآن من علم الله</w:t>
      </w:r>
      <w:r w:rsidR="000636C2">
        <w:rPr>
          <w:rFonts w:hint="cs"/>
          <w:rtl/>
        </w:rPr>
        <w:t>،</w:t>
      </w:r>
      <w:r w:rsidRPr="005675B2">
        <w:rPr>
          <w:rFonts w:hint="cs"/>
          <w:rtl/>
        </w:rPr>
        <w:t xml:space="preserve"> وكذا إذ يقول</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w:t>
      </w:r>
      <w:r w:rsidR="000636C2">
        <w:rPr>
          <w:rFonts w:hint="cs"/>
          <w:rtl/>
        </w:rPr>
        <w:t>:</w:t>
      </w:r>
      <w:r w:rsidRPr="005675B2">
        <w:rPr>
          <w:rFonts w:hint="cs"/>
          <w:rtl/>
        </w:rPr>
        <w:t xml:space="preserve"> فالقرآن من علم الله</w:t>
      </w:r>
      <w:r w:rsidR="000636C2">
        <w:rPr>
          <w:rFonts w:hint="cs"/>
          <w:rtl/>
        </w:rPr>
        <w:t>،</w:t>
      </w:r>
      <w:r w:rsidRPr="005675B2">
        <w:rPr>
          <w:rFonts w:hint="cs"/>
          <w:rtl/>
        </w:rPr>
        <w:t xml:space="preserve"> وعلم الله غير مخلوق</w:t>
      </w:r>
      <w:r w:rsidR="000636C2">
        <w:rPr>
          <w:rFonts w:hint="cs"/>
          <w:rtl/>
        </w:rPr>
        <w:t>،</w:t>
      </w:r>
      <w:r w:rsidRPr="005675B2">
        <w:rPr>
          <w:rFonts w:hint="cs"/>
          <w:rtl/>
        </w:rPr>
        <w:t xml:space="preserve"> [</w:t>
      </w:r>
      <w:r w:rsidRPr="005675B2">
        <w:rPr>
          <w:rFonts w:hint="cs"/>
          <w:sz w:val="24"/>
          <w:szCs w:val="24"/>
          <w:rtl/>
        </w:rPr>
        <w:t>انظر</w:t>
      </w:r>
      <w:r w:rsidR="000636C2">
        <w:rPr>
          <w:rFonts w:hint="cs"/>
          <w:sz w:val="24"/>
          <w:szCs w:val="24"/>
          <w:rtl/>
        </w:rPr>
        <w:t>:</w:t>
      </w:r>
      <w:r w:rsidRPr="005675B2">
        <w:rPr>
          <w:rFonts w:hint="cs"/>
          <w:sz w:val="24"/>
          <w:szCs w:val="24"/>
          <w:rtl/>
        </w:rPr>
        <w:t xml:space="preserve"> "رسالة الإمام أحمد إلى الخليفة المتوكل في مسألة القرآن"</w:t>
      </w:r>
      <w:r w:rsidR="000636C2">
        <w:rPr>
          <w:rFonts w:hint="cs"/>
          <w:sz w:val="24"/>
          <w:szCs w:val="24"/>
          <w:rtl/>
        </w:rPr>
        <w:t>:</w:t>
      </w:r>
      <w:r w:rsidRPr="005675B2">
        <w:rPr>
          <w:rFonts w:hint="cs"/>
          <w:sz w:val="24"/>
          <w:szCs w:val="24"/>
          <w:rtl/>
        </w:rPr>
        <w:t xml:space="preserve"> ص 192 . و"رسالة في أن القرآن غير مخلوق" للإمام إبراهيم بن إسحاق الحربي</w:t>
      </w:r>
      <w:r w:rsidR="000636C2">
        <w:rPr>
          <w:rFonts w:hint="cs"/>
          <w:sz w:val="24"/>
          <w:szCs w:val="24"/>
          <w:rtl/>
        </w:rPr>
        <w:t>:</w:t>
      </w:r>
      <w:r w:rsidRPr="005675B2">
        <w:rPr>
          <w:rFonts w:hint="cs"/>
          <w:sz w:val="24"/>
          <w:szCs w:val="24"/>
          <w:rtl/>
        </w:rPr>
        <w:t xml:space="preserve"> ص 174 . كلتاهما بتحقيق علي بن عبد العزيز الشبل</w:t>
      </w:r>
      <w:r w:rsidR="000636C2">
        <w:rPr>
          <w:rFonts w:hint="cs"/>
          <w:sz w:val="24"/>
          <w:szCs w:val="24"/>
          <w:rtl/>
        </w:rPr>
        <w:t>،</w:t>
      </w:r>
      <w:r w:rsidRPr="005675B2">
        <w:rPr>
          <w:rFonts w:hint="cs"/>
          <w:sz w:val="24"/>
          <w:szCs w:val="24"/>
          <w:rtl/>
        </w:rPr>
        <w:t xml:space="preserve"> ومطبوعتان في مجلة البحوث الإسلامية التي تصدر عن رئاسة إدارة البحوث العلمية والإفتاء بالرياض، العدد (51)، عام 1418هـ]</w:t>
      </w:r>
      <w:r w:rsidRPr="005675B2">
        <w:rPr>
          <w:rFonts w:hint="cs"/>
          <w:rtl/>
        </w:rPr>
        <w:t xml:space="preserve"> وأصرح من ذلك قولـه</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w:t>
      </w:r>
      <w:r w:rsidR="000636C2">
        <w:rPr>
          <w:rFonts w:hint="cs"/>
          <w:rtl/>
        </w:rPr>
        <w:t>:</w:t>
      </w:r>
      <w:r w:rsidRPr="005675B2">
        <w:rPr>
          <w:rFonts w:hint="cs"/>
          <w:rtl/>
        </w:rPr>
        <w:t xml:space="preserve"> إن القرآن من علم الله</w:t>
      </w:r>
      <w:r w:rsidR="000636C2">
        <w:rPr>
          <w:rFonts w:hint="cs"/>
          <w:rtl/>
        </w:rPr>
        <w:t>،</w:t>
      </w:r>
      <w:r w:rsidRPr="005675B2">
        <w:rPr>
          <w:rFonts w:hint="cs"/>
          <w:rtl/>
        </w:rPr>
        <w:t xml:space="preserve"> وكذا قوله</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w:t>
      </w:r>
      <w:r w:rsidR="000636C2">
        <w:rPr>
          <w:rFonts w:hint="cs"/>
          <w:rtl/>
        </w:rPr>
        <w:t>:</w:t>
      </w:r>
      <w:r w:rsidRPr="005675B2">
        <w:rPr>
          <w:rFonts w:hint="cs"/>
          <w:rtl/>
        </w:rPr>
        <w:t xml:space="preserve"> قال لي عبد الرحمن بن إسحاق</w:t>
      </w:r>
      <w:r w:rsidR="000636C2">
        <w:rPr>
          <w:rFonts w:hint="cs"/>
          <w:rtl/>
        </w:rPr>
        <w:t>:</w:t>
      </w:r>
      <w:r w:rsidRPr="005675B2">
        <w:rPr>
          <w:rFonts w:hint="cs"/>
          <w:rtl/>
        </w:rPr>
        <w:t xml:space="preserve"> كان الله ولا قرآن</w:t>
      </w:r>
      <w:r w:rsidR="000636C2">
        <w:rPr>
          <w:rFonts w:hint="cs"/>
          <w:rtl/>
        </w:rPr>
        <w:t>،</w:t>
      </w:r>
      <w:r w:rsidRPr="005675B2">
        <w:rPr>
          <w:rFonts w:hint="cs"/>
          <w:rtl/>
        </w:rPr>
        <w:t xml:space="preserve"> فقلتُ مجيباً له</w:t>
      </w:r>
      <w:r w:rsidR="000636C2">
        <w:rPr>
          <w:rFonts w:hint="cs"/>
          <w:rtl/>
        </w:rPr>
        <w:t>:</w:t>
      </w:r>
      <w:r w:rsidRPr="005675B2">
        <w:rPr>
          <w:rFonts w:hint="cs"/>
          <w:rtl/>
        </w:rPr>
        <w:t xml:space="preserve"> كان الله ولا علم</w:t>
      </w:r>
      <w:r w:rsidR="000636C2">
        <w:rPr>
          <w:rFonts w:hint="cs"/>
          <w:rtl/>
        </w:rPr>
        <w:t>؟،</w:t>
      </w:r>
      <w:r w:rsidRPr="005675B2">
        <w:rPr>
          <w:rFonts w:hint="cs"/>
          <w:rtl/>
        </w:rPr>
        <w:t xml:space="preserve"> فالعلم من الله وله</w:t>
      </w:r>
      <w:r w:rsidR="000636C2">
        <w:rPr>
          <w:rFonts w:hint="cs"/>
          <w:rtl/>
        </w:rPr>
        <w:t>،</w:t>
      </w:r>
      <w:r w:rsidRPr="005675B2">
        <w:rPr>
          <w:rFonts w:hint="cs"/>
          <w:rtl/>
        </w:rPr>
        <w:t xml:space="preserve"> وعلم الله منه</w:t>
      </w:r>
      <w:r w:rsidR="000636C2">
        <w:rPr>
          <w:rFonts w:hint="cs"/>
          <w:rtl/>
        </w:rPr>
        <w:t>،</w:t>
      </w:r>
      <w:r w:rsidRPr="005675B2">
        <w:rPr>
          <w:rFonts w:hint="cs"/>
          <w:rtl/>
        </w:rPr>
        <w:t xml:space="preserve"> والعلم غير مخلوق</w:t>
      </w:r>
      <w:r w:rsidR="000636C2">
        <w:rPr>
          <w:rFonts w:hint="cs"/>
          <w:rtl/>
        </w:rPr>
        <w:t>،</w:t>
      </w:r>
      <w:r w:rsidRPr="005675B2">
        <w:rPr>
          <w:rFonts w:hint="cs"/>
          <w:rtl/>
        </w:rPr>
        <w:t xml:space="preserve"> فمن قال إنه مخلوق فقد كفر بالله</w:t>
      </w:r>
      <w:r w:rsidR="000636C2">
        <w:rPr>
          <w:rFonts w:hint="cs"/>
          <w:rtl/>
        </w:rPr>
        <w:t>،</w:t>
      </w:r>
      <w:r w:rsidRPr="005675B2">
        <w:rPr>
          <w:rFonts w:hint="cs"/>
          <w:rtl/>
        </w:rPr>
        <w:t xml:space="preserve"> </w:t>
      </w:r>
      <w:r w:rsidR="000636C2">
        <w:rPr>
          <w:rFonts w:hint="cs"/>
          <w:rtl/>
        </w:rPr>
        <w:t>[</w:t>
      </w:r>
      <w:r w:rsidRPr="005675B2">
        <w:rPr>
          <w:rFonts w:hint="cs"/>
          <w:sz w:val="24"/>
          <w:szCs w:val="24"/>
          <w:rtl/>
        </w:rPr>
        <w:t>انظر</w:t>
      </w:r>
      <w:r w:rsidR="000636C2">
        <w:rPr>
          <w:rFonts w:hint="cs"/>
          <w:sz w:val="24"/>
          <w:szCs w:val="24"/>
          <w:rtl/>
        </w:rPr>
        <w:t>:</w:t>
      </w:r>
      <w:r w:rsidRPr="005675B2">
        <w:rPr>
          <w:rFonts w:hint="cs"/>
          <w:sz w:val="24"/>
          <w:szCs w:val="24"/>
          <w:rtl/>
        </w:rPr>
        <w:t xml:space="preserve"> التسعينية لابن تيمية</w:t>
      </w:r>
      <w:r w:rsidR="000636C2">
        <w:rPr>
          <w:rFonts w:hint="cs"/>
          <w:sz w:val="24"/>
          <w:szCs w:val="24"/>
          <w:rtl/>
        </w:rPr>
        <w:t>:</w:t>
      </w:r>
      <w:r w:rsidRPr="005675B2">
        <w:rPr>
          <w:rFonts w:hint="cs"/>
          <w:sz w:val="24"/>
          <w:szCs w:val="24"/>
          <w:rtl/>
        </w:rPr>
        <w:t xml:space="preserve"> 5/63</w:t>
      </w:r>
      <w:r w:rsidR="000636C2">
        <w:rPr>
          <w:rFonts w:hint="cs"/>
          <w:sz w:val="24"/>
          <w:szCs w:val="24"/>
          <w:rtl/>
        </w:rPr>
        <w:t>،</w:t>
      </w:r>
      <w:r w:rsidRPr="005675B2">
        <w:rPr>
          <w:rFonts w:hint="cs"/>
          <w:sz w:val="24"/>
          <w:szCs w:val="24"/>
          <w:rtl/>
        </w:rPr>
        <w:t xml:space="preserve"> 64</w:t>
      </w:r>
      <w:r w:rsidR="000636C2">
        <w:rPr>
          <w:rFonts w:hint="cs"/>
          <w:sz w:val="24"/>
          <w:szCs w:val="24"/>
          <w:rtl/>
        </w:rPr>
        <w:t>]</w:t>
      </w:r>
    </w:p>
    <w:p w14:paraId="14086CB3" w14:textId="38770410"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واختلفوا - أي الأشاعرة</w:t>
      </w:r>
      <w:r w:rsidR="000636C2">
        <w:rPr>
          <w:rFonts w:hint="cs"/>
          <w:rtl/>
        </w:rPr>
        <w:t xml:space="preserve"> </w:t>
      </w:r>
      <w:r w:rsidRPr="005675B2">
        <w:rPr>
          <w:rFonts w:hint="cs"/>
          <w:rtl/>
        </w:rPr>
        <w:t>- في القرآن خاصة</w:t>
      </w:r>
      <w:r w:rsidR="000636C2">
        <w:rPr>
          <w:rFonts w:hint="cs"/>
          <w:rtl/>
        </w:rPr>
        <w:t>،</w:t>
      </w:r>
      <w:r w:rsidRPr="005675B2">
        <w:rPr>
          <w:rFonts w:hint="cs"/>
          <w:rtl/>
        </w:rPr>
        <w:t xml:space="preserve"> فقال بعضهم</w:t>
      </w:r>
      <w:r w:rsidR="000636C2">
        <w:rPr>
          <w:rFonts w:hint="cs"/>
          <w:rtl/>
        </w:rPr>
        <w:t>:</w:t>
      </w:r>
      <w:r w:rsidRPr="005675B2">
        <w:rPr>
          <w:rFonts w:hint="cs"/>
          <w:rtl/>
        </w:rPr>
        <w:t xml:space="preserve"> إن الله خلقه أولاً في اللوح المحفوظ ثم أنزله في صحائف إلى سماء الدنيا</w:t>
      </w:r>
      <w:r w:rsidR="000636C2">
        <w:rPr>
          <w:rFonts w:hint="cs"/>
          <w:rtl/>
        </w:rPr>
        <w:t>،</w:t>
      </w:r>
      <w:r w:rsidRPr="005675B2">
        <w:rPr>
          <w:rFonts w:hint="cs"/>
          <w:rtl/>
        </w:rPr>
        <w:t xml:space="preserve"> فكان جبريل يقرأ هذا الكلام المخلوق ويبلغه لمحمد صلى الله عليه وسلم</w:t>
      </w:r>
      <w:r w:rsidR="000636C2">
        <w:rPr>
          <w:rFonts w:hint="cs"/>
          <w:rtl/>
        </w:rPr>
        <w:t>،</w:t>
      </w:r>
      <w:r w:rsidRPr="005675B2">
        <w:rPr>
          <w:rFonts w:hint="cs"/>
          <w:rtl/>
        </w:rPr>
        <w:t xml:space="preserve"> وقال آخرون</w:t>
      </w:r>
      <w:r w:rsidR="000636C2">
        <w:rPr>
          <w:rFonts w:hint="cs"/>
          <w:rtl/>
        </w:rPr>
        <w:t>:</w:t>
      </w:r>
      <w:r w:rsidRPr="005675B2">
        <w:rPr>
          <w:rFonts w:hint="cs"/>
          <w:rtl/>
        </w:rPr>
        <w:t xml:space="preserve"> إن الله أفهم جبريل كلامه النفسي وأفهمه جبريل لمحمد صلى الله عليه وسلم</w:t>
      </w:r>
      <w:r w:rsidR="000636C2">
        <w:rPr>
          <w:rFonts w:hint="cs"/>
          <w:rtl/>
        </w:rPr>
        <w:t>،</w:t>
      </w:r>
      <w:r w:rsidRPr="005675B2">
        <w:rPr>
          <w:rFonts w:hint="cs"/>
          <w:rtl/>
        </w:rPr>
        <w:t xml:space="preserve"> … ثم اختلفوا في الذي عبر عن الكلام النفسي بهذا اللفظ والنظم العربي من هو</w:t>
      </w:r>
      <w:r w:rsidR="000636C2">
        <w:rPr>
          <w:rFonts w:hint="cs"/>
          <w:rtl/>
        </w:rPr>
        <w:t>؟</w:t>
      </w:r>
      <w:r w:rsidRPr="005675B2">
        <w:rPr>
          <w:rFonts w:hint="cs"/>
          <w:rtl/>
        </w:rPr>
        <w:t xml:space="preserve"> فقال بعضهم</w:t>
      </w:r>
      <w:r w:rsidR="000636C2">
        <w:rPr>
          <w:rFonts w:hint="cs"/>
          <w:rtl/>
        </w:rPr>
        <w:t>:</w:t>
      </w:r>
      <w:r w:rsidRPr="005675B2">
        <w:rPr>
          <w:rFonts w:hint="cs"/>
          <w:rtl/>
        </w:rPr>
        <w:t xml:space="preserve"> هو جبريل</w:t>
      </w:r>
      <w:r w:rsidR="000636C2">
        <w:rPr>
          <w:rFonts w:hint="cs"/>
          <w:rtl/>
        </w:rPr>
        <w:t>،</w:t>
      </w:r>
      <w:r w:rsidRPr="005675B2">
        <w:rPr>
          <w:rFonts w:hint="cs"/>
          <w:rtl/>
        </w:rPr>
        <w:t xml:space="preserve"> وقال بعضهم</w:t>
      </w:r>
      <w:r w:rsidR="000636C2">
        <w:rPr>
          <w:rFonts w:hint="cs"/>
          <w:rtl/>
        </w:rPr>
        <w:t>:</w:t>
      </w:r>
      <w:r w:rsidRPr="005675B2">
        <w:rPr>
          <w:rFonts w:hint="cs"/>
          <w:rtl/>
        </w:rPr>
        <w:t xml:space="preserve"> بل هو محمد صلى الله عليه وسلم</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وقد صرح الباقلاني بالأول</w:t>
      </w:r>
      <w:r w:rsidR="000636C2">
        <w:rPr>
          <w:rFonts w:hint="cs"/>
          <w:rtl/>
        </w:rPr>
        <w:t>،</w:t>
      </w:r>
      <w:r w:rsidRPr="005675B2">
        <w:rPr>
          <w:rFonts w:hint="cs"/>
          <w:rtl/>
        </w:rPr>
        <w:t xml:space="preserve"> وتابعه الجويني</w:t>
      </w:r>
      <w:r w:rsidR="000636C2">
        <w:rPr>
          <w:rFonts w:hint="cs"/>
          <w:rtl/>
        </w:rPr>
        <w:t>]،</w:t>
      </w:r>
    </w:p>
    <w:p w14:paraId="223EDE27" w14:textId="582FF027"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w:t>
      </w:r>
      <w:r w:rsidR="000636C2">
        <w:rPr>
          <w:rFonts w:hint="cs"/>
          <w:rtl/>
        </w:rPr>
        <w:t xml:space="preserve"> </w:t>
      </w:r>
      <w:r w:rsidRPr="005675B2">
        <w:rPr>
          <w:rFonts w:hint="cs"/>
          <w:rtl/>
        </w:rPr>
        <w:t xml:space="preserve">- قول الباحث عن </w:t>
      </w:r>
      <w:r w:rsidR="000636C2">
        <w:rPr>
          <w:rFonts w:hint="cs"/>
          <w:rtl/>
        </w:rPr>
        <w:t>[</w:t>
      </w:r>
      <w:r w:rsidRPr="005675B2">
        <w:rPr>
          <w:rFonts w:hint="cs"/>
          <w:rtl/>
        </w:rPr>
        <w:t>بعض</w:t>
      </w:r>
      <w:r w:rsidR="000636C2">
        <w:rPr>
          <w:rFonts w:hint="cs"/>
          <w:rtl/>
        </w:rPr>
        <w:t>]</w:t>
      </w:r>
      <w:r w:rsidRPr="005675B2">
        <w:rPr>
          <w:rFonts w:hint="cs"/>
          <w:rtl/>
        </w:rPr>
        <w:t xml:space="preserve"> الأشاعرة إن الله خلق القرآن أولاً في اللوح المحفوظ ثم أنزله في صحائف إلى سماء الدنيا</w:t>
      </w:r>
      <w:r w:rsidR="000636C2">
        <w:rPr>
          <w:rFonts w:hint="cs"/>
          <w:rtl/>
        </w:rPr>
        <w:t>:</w:t>
      </w:r>
      <w:r w:rsidRPr="005675B2">
        <w:rPr>
          <w:rFonts w:hint="cs"/>
          <w:rtl/>
        </w:rPr>
        <w:t xml:space="preserve"> قول تنقصه الحقيقة</w:t>
      </w:r>
      <w:r w:rsidR="000636C2">
        <w:rPr>
          <w:rFonts w:hint="cs"/>
          <w:rtl/>
        </w:rPr>
        <w:t>،</w:t>
      </w:r>
      <w:r w:rsidRPr="005675B2">
        <w:rPr>
          <w:rFonts w:hint="cs"/>
          <w:rtl/>
        </w:rPr>
        <w:t xml:space="preserve"> لأن الذين قالوا إن الله خلق القرآن أولاً في اللوح المحفوظ هم </w:t>
      </w:r>
      <w:r w:rsidR="000636C2">
        <w:rPr>
          <w:rFonts w:hint="cs"/>
          <w:rtl/>
        </w:rPr>
        <w:t>[</w:t>
      </w:r>
      <w:r w:rsidRPr="005675B2">
        <w:rPr>
          <w:rFonts w:hint="cs"/>
          <w:rtl/>
        </w:rPr>
        <w:t>المعتزلة</w:t>
      </w:r>
      <w:r w:rsidR="000636C2">
        <w:rPr>
          <w:rFonts w:hint="cs"/>
          <w:rtl/>
        </w:rPr>
        <w:t>]،</w:t>
      </w:r>
      <w:r w:rsidRPr="005675B2">
        <w:rPr>
          <w:rFonts w:hint="cs"/>
          <w:rtl/>
        </w:rPr>
        <w:t xml:space="preserve"> لا </w:t>
      </w:r>
      <w:r w:rsidR="000636C2">
        <w:rPr>
          <w:rFonts w:hint="cs"/>
          <w:rtl/>
        </w:rPr>
        <w:t>[</w:t>
      </w:r>
      <w:r w:rsidRPr="005675B2">
        <w:rPr>
          <w:rFonts w:hint="cs"/>
          <w:rtl/>
        </w:rPr>
        <w:t>الأشاعرة</w:t>
      </w:r>
      <w:r w:rsidR="000636C2">
        <w:rPr>
          <w:rFonts w:hint="cs"/>
          <w:rtl/>
        </w:rPr>
        <w:t>]،</w:t>
      </w:r>
      <w:r w:rsidRPr="005675B2">
        <w:rPr>
          <w:rFonts w:hint="cs"/>
          <w:rtl/>
        </w:rPr>
        <w:t xml:space="preserve"> فهل الباحث لا يفرق بينهما</w:t>
      </w:r>
      <w:r w:rsidR="000636C2">
        <w:rPr>
          <w:rFonts w:hint="cs"/>
          <w:rtl/>
        </w:rPr>
        <w:t>؟!</w:t>
      </w:r>
      <w:r w:rsidRPr="005675B2">
        <w:rPr>
          <w:rFonts w:hint="cs"/>
          <w:rtl/>
        </w:rPr>
        <w:t xml:space="preserve"> أم ماذا</w:t>
      </w:r>
      <w:r w:rsidR="000636C2">
        <w:rPr>
          <w:rFonts w:hint="cs"/>
          <w:rtl/>
        </w:rPr>
        <w:t xml:space="preserve">؟، </w:t>
      </w:r>
      <w:r w:rsidRPr="005675B2">
        <w:rPr>
          <w:rFonts w:hint="cs"/>
          <w:rtl/>
        </w:rPr>
        <w:t>2 - قول الباحث عن الأشاعرة إنهم اختلفوا في الذي عبر عن الكلام النفسي بهذا اللفظ والنظم العربي فقال بعضهم هو جبريل وقال بعضهم بل هو محمد صلى الله عليه وسلم</w:t>
      </w:r>
      <w:r w:rsidR="000636C2">
        <w:rPr>
          <w:rFonts w:hint="cs"/>
          <w:rtl/>
        </w:rPr>
        <w:t>:</w:t>
      </w:r>
      <w:r w:rsidRPr="005675B2">
        <w:rPr>
          <w:rFonts w:hint="cs"/>
          <w:rtl/>
        </w:rPr>
        <w:t xml:space="preserve"> هو محض خيال</w:t>
      </w:r>
      <w:r w:rsidR="000636C2">
        <w:rPr>
          <w:rFonts w:hint="cs"/>
          <w:rtl/>
        </w:rPr>
        <w:t>،</w:t>
      </w:r>
      <w:r w:rsidRPr="005675B2">
        <w:rPr>
          <w:rFonts w:hint="cs"/>
          <w:rtl/>
        </w:rPr>
        <w:t xml:space="preserve"> ولهم معه وقفة بين يدي الله تعالى</w:t>
      </w:r>
      <w:r w:rsidR="000636C2">
        <w:rPr>
          <w:rFonts w:hint="cs"/>
          <w:rtl/>
        </w:rPr>
        <w:t>،</w:t>
      </w:r>
      <w:r w:rsidRPr="005675B2">
        <w:rPr>
          <w:rFonts w:hint="cs"/>
          <w:rtl/>
        </w:rPr>
        <w:t xml:space="preserve"> فليته يستعد للجواب</w:t>
      </w:r>
      <w:r w:rsidR="000636C2">
        <w:rPr>
          <w:rFonts w:hint="cs"/>
          <w:rtl/>
        </w:rPr>
        <w:t>،</w:t>
      </w:r>
      <w:r w:rsidRPr="005675B2">
        <w:rPr>
          <w:rFonts w:hint="cs"/>
          <w:rtl/>
        </w:rPr>
        <w:t xml:space="preserve"> والأشاعرة يعتقدون أن القرآن معناه ولفظه من عند الله</w:t>
      </w:r>
      <w:r w:rsidR="000636C2">
        <w:rPr>
          <w:rFonts w:hint="cs"/>
          <w:rtl/>
        </w:rPr>
        <w:t>،</w:t>
      </w:r>
      <w:r w:rsidRPr="005675B2">
        <w:rPr>
          <w:rFonts w:hint="cs"/>
          <w:rtl/>
        </w:rPr>
        <w:t xml:space="preserve"> لا أعلم عندهم في هذا خلافاً</w:t>
      </w:r>
      <w:r w:rsidR="000636C2">
        <w:rPr>
          <w:rFonts w:hint="cs"/>
          <w:rtl/>
        </w:rPr>
        <w:t xml:space="preserve">، </w:t>
      </w:r>
      <w:r w:rsidRPr="005675B2">
        <w:rPr>
          <w:rFonts w:hint="cs"/>
          <w:rtl/>
        </w:rPr>
        <w:t>3 - قد يحتج الباحث بهذا النص الذي قاله البيجوري</w:t>
      </w:r>
      <w:r w:rsidR="000636C2">
        <w:rPr>
          <w:rFonts w:hint="cs"/>
          <w:rtl/>
        </w:rPr>
        <w:t>،</w:t>
      </w:r>
      <w:r w:rsidRPr="005675B2">
        <w:rPr>
          <w:rFonts w:hint="cs"/>
          <w:rtl/>
        </w:rPr>
        <w:t xml:space="preserve"> فقد قال عن القرآن الكريم </w:t>
      </w:r>
      <w:r w:rsidR="000636C2">
        <w:rPr>
          <w:rFonts w:hint="cs"/>
          <w:rtl/>
        </w:rPr>
        <w:t>[</w:t>
      </w:r>
      <w:r w:rsidRPr="005675B2">
        <w:rPr>
          <w:rFonts w:hint="cs"/>
          <w:rtl/>
        </w:rPr>
        <w:t>والراجح أن المنـزلَ اللفظُ والمعنى</w:t>
      </w:r>
      <w:r w:rsidR="000636C2">
        <w:rPr>
          <w:rFonts w:hint="cs"/>
          <w:rtl/>
        </w:rPr>
        <w:t>،</w:t>
      </w:r>
      <w:r w:rsidRPr="005675B2">
        <w:rPr>
          <w:rFonts w:hint="cs"/>
          <w:rtl/>
        </w:rPr>
        <w:t xml:space="preserve"> وقيل المنزل المعنى وعبر عنه جبريل بألفاظ من عنده</w:t>
      </w:r>
      <w:r w:rsidR="000636C2">
        <w:rPr>
          <w:rFonts w:hint="cs"/>
          <w:rtl/>
        </w:rPr>
        <w:t>،</w:t>
      </w:r>
      <w:r w:rsidRPr="005675B2">
        <w:rPr>
          <w:rFonts w:hint="cs"/>
          <w:rtl/>
        </w:rPr>
        <w:t xml:space="preserve"> وقيل المنزل المعنى وعبر عنه النبي صلى الله عليه وسلم بألفاظ من عنده</w:t>
      </w:r>
      <w:r w:rsidR="000636C2">
        <w:rPr>
          <w:rFonts w:hint="cs"/>
          <w:rtl/>
        </w:rPr>
        <w:t>،</w:t>
      </w:r>
      <w:r w:rsidRPr="005675B2">
        <w:rPr>
          <w:rFonts w:hint="cs"/>
          <w:rtl/>
        </w:rPr>
        <w:t xml:space="preserve"> لكن التحقيقَ الأول</w:t>
      </w:r>
      <w:r w:rsidR="000636C2">
        <w:rPr>
          <w:rFonts w:hint="cs"/>
          <w:rtl/>
        </w:rPr>
        <w:t>]</w:t>
      </w:r>
      <w:r w:rsidRPr="005675B2">
        <w:rPr>
          <w:rFonts w:hint="cs"/>
          <w:rtl/>
        </w:rPr>
        <w:t xml:space="preserve"> [</w:t>
      </w:r>
      <w:r w:rsidRPr="005675B2">
        <w:rPr>
          <w:rFonts w:hint="cs"/>
          <w:sz w:val="24"/>
          <w:szCs w:val="24"/>
          <w:rtl/>
        </w:rPr>
        <w:t>حاشية الجوهرة للبيجوري: ص 56</w:t>
      </w:r>
      <w:r w:rsidR="000636C2">
        <w:rPr>
          <w:rFonts w:hint="cs"/>
          <w:sz w:val="24"/>
          <w:szCs w:val="24"/>
          <w:rtl/>
        </w:rPr>
        <w:t>]</w:t>
      </w:r>
      <w:r w:rsidR="000636C2">
        <w:rPr>
          <w:rFonts w:hint="cs"/>
          <w:rtl/>
        </w:rPr>
        <w:t>،</w:t>
      </w:r>
      <w:r w:rsidRPr="005675B2">
        <w:rPr>
          <w:rFonts w:hint="cs"/>
          <w:rtl/>
        </w:rPr>
        <w:t xml:space="preserve"> ولا حجة له فيه</w:t>
      </w:r>
      <w:r w:rsidR="000636C2">
        <w:rPr>
          <w:rFonts w:hint="cs"/>
          <w:rtl/>
        </w:rPr>
        <w:t>،</w:t>
      </w:r>
      <w:r w:rsidRPr="005675B2">
        <w:rPr>
          <w:rFonts w:hint="cs"/>
          <w:rtl/>
        </w:rPr>
        <w:t xml:space="preserve"> لأن البيجوري لم ينسب هذه الأقوال الفاسدة إلى أحد من علماء الأشاعرة</w:t>
      </w:r>
      <w:r w:rsidR="000636C2">
        <w:rPr>
          <w:rFonts w:hint="cs"/>
          <w:rtl/>
        </w:rPr>
        <w:t>،</w:t>
      </w:r>
      <w:r w:rsidRPr="005675B2">
        <w:rPr>
          <w:rFonts w:hint="cs"/>
          <w:rtl/>
        </w:rPr>
        <w:t xml:space="preserve"> والظاهر أن مراده أن يقول إن هذه أقوال بعض أهل الكلام</w:t>
      </w:r>
      <w:r w:rsidR="000636C2">
        <w:rPr>
          <w:rFonts w:hint="cs"/>
          <w:rtl/>
        </w:rPr>
        <w:t>،</w:t>
      </w:r>
      <w:r w:rsidRPr="005675B2">
        <w:rPr>
          <w:rFonts w:hint="cs"/>
          <w:rtl/>
        </w:rPr>
        <w:t xml:space="preserve"> وأنه ينتصر للأشاعرة القائلين بخلاف هذا ويصف مذهبهم بأنه الراجح وأنه التحقيق</w:t>
      </w:r>
      <w:r w:rsidR="000636C2">
        <w:rPr>
          <w:rFonts w:hint="cs"/>
          <w:rtl/>
        </w:rPr>
        <w:t xml:space="preserve">، </w:t>
      </w:r>
      <w:r w:rsidRPr="005675B2">
        <w:rPr>
          <w:rFonts w:hint="cs"/>
          <w:rtl/>
        </w:rPr>
        <w:t>وإذا كان هذا هو قولاً لبعض الأشاعرة من غير أهل التحقيق فعلاً فلم لم يذكر قائله</w:t>
      </w:r>
      <w:r w:rsidR="000636C2">
        <w:rPr>
          <w:rFonts w:hint="cs"/>
          <w:rtl/>
        </w:rPr>
        <w:t>؟!</w:t>
      </w:r>
      <w:r w:rsidRPr="005675B2">
        <w:rPr>
          <w:rFonts w:hint="cs"/>
          <w:rtl/>
        </w:rPr>
        <w:t xml:space="preserve"> وهل عثر عليه الباحث فيما رجع إليه من كتب الأشاعرة</w:t>
      </w:r>
      <w:r w:rsidR="000636C2">
        <w:rPr>
          <w:rFonts w:hint="cs"/>
          <w:rtl/>
        </w:rPr>
        <w:t>!</w:t>
      </w:r>
      <w:r w:rsidRPr="005675B2">
        <w:rPr>
          <w:rFonts w:hint="cs"/>
          <w:rtl/>
        </w:rPr>
        <w:t>!</w:t>
      </w:r>
      <w:r w:rsidR="000636C2">
        <w:rPr>
          <w:rFonts w:hint="cs"/>
          <w:rtl/>
        </w:rPr>
        <w:t xml:space="preserve">، </w:t>
      </w:r>
      <w:r w:rsidRPr="005675B2">
        <w:rPr>
          <w:rFonts w:hint="cs"/>
          <w:rtl/>
        </w:rPr>
        <w:t>4 - قول الباحث إن الباقلاني صرح بأن الذي عبر عن الكلام النفسي بهذا اللفظ والنظم العربي هو جبريل وإن الجويني تابعه على ذلك</w:t>
      </w:r>
      <w:r w:rsidR="000636C2">
        <w:rPr>
          <w:rFonts w:hint="cs"/>
          <w:rtl/>
        </w:rPr>
        <w:t>:</w:t>
      </w:r>
      <w:r w:rsidRPr="005675B2">
        <w:rPr>
          <w:rFonts w:hint="cs"/>
          <w:rtl/>
        </w:rPr>
        <w:t xml:space="preserve"> هو قول مخالف للحقيقة</w:t>
      </w:r>
      <w:r w:rsidR="000636C2">
        <w:rPr>
          <w:rFonts w:hint="cs"/>
          <w:rtl/>
        </w:rPr>
        <w:t>،</w:t>
      </w:r>
      <w:r w:rsidRPr="005675B2">
        <w:rPr>
          <w:rFonts w:hint="cs"/>
          <w:rtl/>
        </w:rPr>
        <w:t xml:space="preserve"> وهو محض خيال وتوهم</w:t>
      </w:r>
      <w:r w:rsidR="000636C2">
        <w:rPr>
          <w:rFonts w:hint="cs"/>
          <w:rtl/>
        </w:rPr>
        <w:t xml:space="preserve">، </w:t>
      </w:r>
      <w:r w:rsidRPr="005675B2">
        <w:rPr>
          <w:rFonts w:hint="cs"/>
          <w:rtl/>
        </w:rPr>
        <w:t>وإليك أيها القارئ المنصف كلام هذين الإمامين المفترى عليهما</w:t>
      </w:r>
      <w:r w:rsidR="000636C2">
        <w:rPr>
          <w:rFonts w:hint="cs"/>
          <w:rtl/>
        </w:rPr>
        <w:t>:</w:t>
      </w:r>
      <w:r w:rsidRPr="005675B2">
        <w:rPr>
          <w:rFonts w:hint="cs"/>
          <w:rtl/>
        </w:rPr>
        <w:t xml:space="preserve"> أما الباقلاني فقد قال</w:t>
      </w:r>
      <w:r w:rsidR="000636C2">
        <w:rPr>
          <w:rFonts w:hint="cs"/>
          <w:rtl/>
        </w:rPr>
        <w:t>:</w:t>
      </w:r>
      <w:r w:rsidRPr="005675B2">
        <w:rPr>
          <w:rFonts w:hint="cs"/>
          <w:rtl/>
        </w:rPr>
        <w:t>فالمنـزِّل هو الله تعالى</w:t>
      </w:r>
      <w:r w:rsidR="000636C2">
        <w:rPr>
          <w:rFonts w:hint="cs"/>
          <w:rtl/>
        </w:rPr>
        <w:t xml:space="preserve">، </w:t>
      </w:r>
      <w:r w:rsidRPr="005675B2">
        <w:rPr>
          <w:rFonts w:hint="cs"/>
          <w:rtl/>
        </w:rPr>
        <w:t>… والمنـزَّل على الوجه الذي بيناه من كونه نزول إعلام وإفهام لا نزول حركة وانتقال</w:t>
      </w:r>
      <w:r w:rsidR="000636C2">
        <w:rPr>
          <w:rFonts w:hint="cs"/>
          <w:rtl/>
        </w:rPr>
        <w:t>:</w:t>
      </w:r>
      <w:r w:rsidRPr="005675B2">
        <w:rPr>
          <w:rFonts w:hint="cs"/>
          <w:rtl/>
        </w:rPr>
        <w:t xml:space="preserve"> كلام الله تعالى القديم الأزلي القائم بذاته</w:t>
      </w:r>
      <w:r w:rsidR="000636C2">
        <w:rPr>
          <w:rFonts w:hint="cs"/>
          <w:rtl/>
        </w:rPr>
        <w:t>،</w:t>
      </w:r>
      <w:r w:rsidRPr="005675B2">
        <w:rPr>
          <w:rFonts w:hint="cs"/>
          <w:rtl/>
        </w:rPr>
        <w:t xml:space="preserve"> … والمنـزَّل عليه</w:t>
      </w:r>
      <w:r w:rsidR="000636C2">
        <w:rPr>
          <w:rFonts w:hint="cs"/>
          <w:rtl/>
        </w:rPr>
        <w:t>:</w:t>
      </w:r>
      <w:r w:rsidRPr="005675B2">
        <w:rPr>
          <w:rFonts w:hint="cs"/>
          <w:rtl/>
        </w:rPr>
        <w:t xml:space="preserve"> قلب النبي صلى الله عليه وسلم</w:t>
      </w:r>
      <w:r w:rsidR="000636C2">
        <w:rPr>
          <w:rFonts w:hint="cs"/>
          <w:rtl/>
        </w:rPr>
        <w:t>،</w:t>
      </w:r>
      <w:r w:rsidRPr="005675B2">
        <w:rPr>
          <w:rFonts w:hint="cs"/>
          <w:rtl/>
        </w:rPr>
        <w:t xml:space="preserve"> … والمنـزَّل به هو اللغة العربية التي تلا بها جبريل ونحن نتلو بها إلى يوم القيامة</w:t>
      </w:r>
      <w:r w:rsidR="000636C2">
        <w:rPr>
          <w:rFonts w:hint="cs"/>
          <w:rtl/>
        </w:rPr>
        <w:t>،</w:t>
      </w:r>
      <w:r w:rsidRPr="005675B2">
        <w:rPr>
          <w:rFonts w:hint="cs"/>
          <w:rtl/>
        </w:rPr>
        <w:t>… والنازل على الحقيقة المنتقل من قطر إلى قطر</w:t>
      </w:r>
      <w:r w:rsidR="000636C2">
        <w:rPr>
          <w:rFonts w:hint="cs"/>
          <w:rtl/>
        </w:rPr>
        <w:t>:</w:t>
      </w:r>
      <w:r w:rsidRPr="005675B2">
        <w:rPr>
          <w:rFonts w:hint="cs"/>
          <w:rtl/>
        </w:rPr>
        <w:t xml:space="preserve"> قول جبريل عليه السلام</w:t>
      </w:r>
      <w:r w:rsidR="000636C2">
        <w:rPr>
          <w:rFonts w:hint="cs"/>
          <w:rtl/>
        </w:rPr>
        <w:t>،</w:t>
      </w:r>
      <w:r w:rsidRPr="005675B2">
        <w:rPr>
          <w:rFonts w:hint="cs"/>
          <w:rtl/>
        </w:rPr>
        <w:t xml:space="preserve"> يدل على هذا قوله تعالى</w:t>
      </w:r>
      <w:r w:rsidR="000636C2">
        <w:rPr>
          <w:rFonts w:hint="cs"/>
          <w:rtl/>
        </w:rPr>
        <w:t>:</w:t>
      </w:r>
      <w:r w:rsidRPr="005675B2">
        <w:rPr>
          <w:rFonts w:hint="cs"/>
          <w:rtl/>
        </w:rPr>
        <w:t xml:space="preserve"> </w:t>
      </w:r>
      <w:r w:rsidR="000636C2">
        <w:rPr>
          <w:rFonts w:hint="cs"/>
          <w:rtl/>
        </w:rPr>
        <w:t>[</w:t>
      </w:r>
      <w:r w:rsidRPr="005675B2">
        <w:rPr>
          <w:rFonts w:hint="cs"/>
          <w:rtl/>
        </w:rPr>
        <w:t>إِنَّهُ لَقَوْلُ رَسُولٍ كَرِيمٍ * وَمَا هُوَ بِقَوْلِ شَاعِرٍ قَلِيلاً مَا تُؤْمِنُونَ * وَلا بِقَوْلِ كَاهِنٍ قَلِيلاً مَا تَذَكَّرُونَ * تَنْزِيلٌ مِنْ رَبِّ الْعَالَمِينَ</w:t>
      </w:r>
      <w:r w:rsidR="000636C2">
        <w:rPr>
          <w:rFonts w:hint="cs"/>
          <w:rtl/>
        </w:rPr>
        <w:t>]</w:t>
      </w:r>
      <w:r w:rsidRPr="005675B2">
        <w:rPr>
          <w:rFonts w:hint="cs"/>
          <w:rtl/>
        </w:rPr>
        <w:t xml:space="preserve"> [</w:t>
      </w:r>
      <w:r w:rsidRPr="005675B2">
        <w:rPr>
          <w:rFonts w:hint="cs"/>
          <w:sz w:val="24"/>
          <w:szCs w:val="24"/>
          <w:rtl/>
        </w:rPr>
        <w:t>سورة الحاقة من آية 40 ـ 34</w:t>
      </w:r>
      <w:r w:rsidR="000636C2">
        <w:rPr>
          <w:rFonts w:hint="cs"/>
          <w:sz w:val="24"/>
          <w:szCs w:val="24"/>
          <w:rtl/>
        </w:rPr>
        <w:t>]</w:t>
      </w:r>
      <w:r w:rsidR="000636C2">
        <w:rPr>
          <w:rFonts w:hint="cs"/>
          <w:rtl/>
        </w:rPr>
        <w:t>،</w:t>
      </w:r>
      <w:r w:rsidRPr="005675B2">
        <w:rPr>
          <w:rFonts w:hint="cs"/>
          <w:rtl/>
        </w:rPr>
        <w:t>… فحصل من هذا أن الله تعالى علّم جبريل عليه السلام القرآن</w:t>
      </w:r>
      <w:r w:rsidR="000636C2">
        <w:rPr>
          <w:rFonts w:hint="cs"/>
          <w:rtl/>
        </w:rPr>
        <w:t>،</w:t>
      </w:r>
      <w:r w:rsidRPr="005675B2">
        <w:rPr>
          <w:rFonts w:hint="cs"/>
          <w:rtl/>
        </w:rPr>
        <w:t>… وعلّمه الله النظم العربي الذي هو قراءته</w:t>
      </w:r>
      <w:r w:rsidR="000636C2">
        <w:rPr>
          <w:rFonts w:hint="cs"/>
          <w:rtl/>
        </w:rPr>
        <w:t>،</w:t>
      </w:r>
      <w:r w:rsidRPr="005675B2">
        <w:rPr>
          <w:rFonts w:hint="cs"/>
          <w:rtl/>
        </w:rPr>
        <w:t xml:space="preserve"> وعلم هو القراءة نبينا صلى الله عليه وسلم</w:t>
      </w:r>
      <w:r w:rsidR="000636C2">
        <w:rPr>
          <w:rFonts w:hint="cs"/>
          <w:rtl/>
        </w:rPr>
        <w:t>،</w:t>
      </w:r>
      <w:r w:rsidRPr="005675B2">
        <w:rPr>
          <w:rFonts w:hint="cs"/>
          <w:rtl/>
        </w:rPr>
        <w:t xml:space="preserve"> وعلم النبي صلى الله عليه وسلم أصحابه [</w:t>
      </w:r>
      <w:r w:rsidRPr="005675B2">
        <w:rPr>
          <w:rFonts w:hint="cs"/>
          <w:sz w:val="24"/>
          <w:szCs w:val="24"/>
          <w:rtl/>
        </w:rPr>
        <w:t xml:space="preserve">الإنصاف للباقلاني: ص 97 </w:t>
      </w:r>
      <w:r w:rsidRPr="005675B2">
        <w:rPr>
          <w:sz w:val="24"/>
          <w:szCs w:val="24"/>
        </w:rPr>
        <w:t>–</w:t>
      </w:r>
      <w:r w:rsidRPr="005675B2">
        <w:rPr>
          <w:rFonts w:hint="cs"/>
          <w:sz w:val="24"/>
          <w:szCs w:val="24"/>
          <w:rtl/>
        </w:rPr>
        <w:t xml:space="preserve"> 98</w:t>
      </w:r>
      <w:r w:rsidR="000636C2">
        <w:rPr>
          <w:rFonts w:hint="cs"/>
          <w:sz w:val="24"/>
          <w:szCs w:val="24"/>
          <w:rtl/>
        </w:rPr>
        <w:t>]</w:t>
      </w:r>
      <w:r w:rsidR="000636C2">
        <w:rPr>
          <w:rFonts w:hint="cs"/>
          <w:rtl/>
        </w:rPr>
        <w:t xml:space="preserve">، </w:t>
      </w:r>
      <w:r w:rsidRPr="005675B2">
        <w:rPr>
          <w:rFonts w:hint="cs"/>
          <w:rtl/>
        </w:rPr>
        <w:t>فأنت ترى أن الباقلاني رحمه الله يصرح بأن الله تعالى علم جبريل عليه السلام القرآن وعلمه النظم العربي الذي هو قراءته</w:t>
      </w:r>
      <w:r w:rsidR="000636C2">
        <w:rPr>
          <w:rFonts w:hint="cs"/>
          <w:rtl/>
        </w:rPr>
        <w:t>،</w:t>
      </w:r>
      <w:r w:rsidRPr="005675B2">
        <w:rPr>
          <w:rFonts w:hint="cs"/>
          <w:rtl/>
        </w:rPr>
        <w:t xml:space="preserve"> فهل النظم العربي للقرآن من عند الله تعالى أو من تعبير جبريل</w:t>
      </w:r>
      <w:r w:rsidR="000636C2">
        <w:rPr>
          <w:rFonts w:hint="cs"/>
          <w:rtl/>
        </w:rPr>
        <w:t xml:space="preserve">؟، </w:t>
      </w:r>
      <w:r w:rsidRPr="005675B2">
        <w:rPr>
          <w:rFonts w:hint="cs"/>
          <w:rtl/>
        </w:rPr>
        <w:t>وأما إمام الحرمين الجويني فقد قال</w:t>
      </w:r>
      <w:r w:rsidR="000636C2">
        <w:rPr>
          <w:rFonts w:hint="cs"/>
          <w:rtl/>
        </w:rPr>
        <w:t>:</w:t>
      </w:r>
      <w:r w:rsidRPr="005675B2">
        <w:rPr>
          <w:rFonts w:hint="cs"/>
          <w:rtl/>
        </w:rPr>
        <w:t xml:space="preserve"> </w:t>
      </w:r>
      <w:r w:rsidR="000636C2">
        <w:rPr>
          <w:rFonts w:hint="cs"/>
          <w:rtl/>
        </w:rPr>
        <w:t>[</w:t>
      </w:r>
      <w:r w:rsidRPr="005675B2">
        <w:rPr>
          <w:rFonts w:hint="cs"/>
          <w:rtl/>
        </w:rPr>
        <w:t>كلام الله تعالى منزَّل</w:t>
      </w:r>
      <w:r w:rsidR="000636C2">
        <w:rPr>
          <w:rFonts w:hint="cs"/>
          <w:rtl/>
        </w:rPr>
        <w:t>،</w:t>
      </w:r>
      <w:r w:rsidRPr="005675B2">
        <w:t>…</w:t>
      </w:r>
      <w:r w:rsidRPr="005675B2">
        <w:rPr>
          <w:rFonts w:hint="cs"/>
          <w:rtl/>
        </w:rPr>
        <w:t xml:space="preserve"> فالمعنيّ بالإنزال أن جبريل صلوات الله عليه أدرك كلام الله تعالى وهو في مقامه فوق سبع سموات</w:t>
      </w:r>
      <w:r w:rsidR="000636C2">
        <w:rPr>
          <w:rFonts w:hint="cs"/>
          <w:rtl/>
        </w:rPr>
        <w:t>،</w:t>
      </w:r>
      <w:r w:rsidRPr="005675B2">
        <w:rPr>
          <w:rFonts w:hint="cs"/>
          <w:rtl/>
        </w:rPr>
        <w:t xml:space="preserve"> ثم نزل إلى الأرض فأفهم الرسول صلى الله عليه وسلم ما فهمه عند سدرة المنتهى</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الإرشاد لإمام الحرمين: ص 130</w:t>
      </w:r>
      <w:r w:rsidR="000636C2">
        <w:rPr>
          <w:rFonts w:hint="cs"/>
          <w:sz w:val="24"/>
          <w:szCs w:val="24"/>
          <w:rtl/>
        </w:rPr>
        <w:t>]</w:t>
      </w:r>
      <w:r w:rsidR="000636C2">
        <w:rPr>
          <w:rFonts w:hint="cs"/>
          <w:rtl/>
        </w:rPr>
        <w:t>،</w:t>
      </w:r>
      <w:r w:rsidRPr="005675B2">
        <w:rPr>
          <w:rFonts w:hint="cs"/>
          <w:rtl/>
        </w:rPr>
        <w:t xml:space="preserve"> فهل قال إمام الحرمين إن الذي عبر عن الكلام النفسي بهذا اللفظ والنظم العربي هو جبريل عليه السلام</w:t>
      </w:r>
      <w:r w:rsidR="000636C2">
        <w:rPr>
          <w:rFonts w:hint="cs"/>
          <w:rtl/>
        </w:rPr>
        <w:t xml:space="preserve">؟، </w:t>
      </w:r>
      <w:r w:rsidRPr="005675B2">
        <w:rPr>
          <w:rFonts w:hint="cs"/>
          <w:rtl/>
        </w:rPr>
        <w:t>5 - قد يقول قائل</w:t>
      </w:r>
      <w:r w:rsidR="000636C2">
        <w:rPr>
          <w:rFonts w:hint="cs"/>
          <w:rtl/>
        </w:rPr>
        <w:t>:</w:t>
      </w:r>
      <w:r w:rsidRPr="005675B2">
        <w:rPr>
          <w:rFonts w:hint="cs"/>
          <w:rtl/>
        </w:rPr>
        <w:t xml:space="preserve"> أليس قول الباقلاني في النص المتقدم </w:t>
      </w:r>
      <w:r w:rsidR="000636C2">
        <w:rPr>
          <w:rFonts w:hint="cs"/>
          <w:rtl/>
        </w:rPr>
        <w:t>[</w:t>
      </w:r>
      <w:r w:rsidRPr="005675B2">
        <w:rPr>
          <w:rFonts w:hint="cs"/>
          <w:rtl/>
        </w:rPr>
        <w:t>والنازل على الحقيقة المنتقل من قطر إلى قطر قول جبريل</w:t>
      </w:r>
      <w:r w:rsidR="000636C2">
        <w:rPr>
          <w:rFonts w:hint="cs"/>
          <w:rtl/>
        </w:rPr>
        <w:t>]</w:t>
      </w:r>
      <w:r w:rsidRPr="005675B2">
        <w:rPr>
          <w:rFonts w:hint="cs"/>
          <w:rtl/>
        </w:rPr>
        <w:t xml:space="preserve"> نصاً واضحاً على أن القرآن المنـزَّل على محمد صلى الله عليه وسلم هو قول جبريل</w:t>
      </w:r>
      <w:r w:rsidR="000636C2">
        <w:rPr>
          <w:rFonts w:hint="cs"/>
          <w:rtl/>
        </w:rPr>
        <w:t xml:space="preserve">؟، </w:t>
      </w:r>
      <w:r w:rsidRPr="005675B2">
        <w:rPr>
          <w:rFonts w:hint="cs"/>
          <w:rtl/>
        </w:rPr>
        <w:t>أقول</w:t>
      </w:r>
      <w:r w:rsidR="000636C2">
        <w:rPr>
          <w:rFonts w:hint="cs"/>
          <w:rtl/>
        </w:rPr>
        <w:t>:</w:t>
      </w:r>
      <w:r w:rsidRPr="005675B2">
        <w:rPr>
          <w:rFonts w:hint="cs"/>
          <w:rtl/>
        </w:rPr>
        <w:t xml:space="preserve"> إذا كان القائل ممن حفظ من كتاب الله قوله تعالى </w:t>
      </w:r>
      <w:r w:rsidR="000636C2">
        <w:rPr>
          <w:rFonts w:hint="cs"/>
          <w:rtl/>
        </w:rPr>
        <w:t>[</w:t>
      </w:r>
      <w:r w:rsidRPr="005675B2">
        <w:rPr>
          <w:rFonts w:hint="cs"/>
          <w:rtl/>
        </w:rPr>
        <w:t>لاَ تَقْرَبُواْ الصَّلاَةَ</w:t>
      </w:r>
      <w:r w:rsidR="000636C2">
        <w:rPr>
          <w:rFonts w:hint="cs"/>
          <w:rtl/>
        </w:rPr>
        <w:t>]</w:t>
      </w:r>
      <w:r w:rsidRPr="005675B2">
        <w:rPr>
          <w:rFonts w:hint="cs"/>
          <w:rtl/>
        </w:rPr>
        <w:t xml:space="preserve"> [</w:t>
      </w:r>
      <w:r w:rsidRPr="005675B2">
        <w:rPr>
          <w:rFonts w:hint="cs"/>
          <w:sz w:val="24"/>
          <w:szCs w:val="24"/>
          <w:rtl/>
        </w:rPr>
        <w:t>سورة النساء آية 43</w:t>
      </w:r>
      <w:r w:rsidR="000636C2">
        <w:rPr>
          <w:rFonts w:hint="cs"/>
          <w:sz w:val="24"/>
          <w:szCs w:val="24"/>
          <w:rtl/>
        </w:rPr>
        <w:t>]</w:t>
      </w:r>
      <w:r w:rsidRPr="005675B2">
        <w:rPr>
          <w:rFonts w:hint="cs"/>
          <w:rtl/>
        </w:rPr>
        <w:t xml:space="preserve"> وقوله تعالى </w:t>
      </w:r>
      <w:r w:rsidR="000636C2">
        <w:rPr>
          <w:rFonts w:hint="cs"/>
          <w:rtl/>
        </w:rPr>
        <w:t>[</w:t>
      </w:r>
      <w:r w:rsidRPr="005675B2">
        <w:rPr>
          <w:rFonts w:hint="cs"/>
          <w:rtl/>
        </w:rPr>
        <w:t>فَوَيْلٌ لِّلْمُصَلِّينَ</w:t>
      </w:r>
      <w:r w:rsidR="000636C2">
        <w:rPr>
          <w:rFonts w:hint="cs"/>
          <w:rtl/>
        </w:rPr>
        <w:t>]</w:t>
      </w:r>
      <w:r w:rsidRPr="005675B2">
        <w:rPr>
          <w:rFonts w:hint="cs"/>
          <w:rtl/>
        </w:rPr>
        <w:t xml:space="preserve"> [</w:t>
      </w:r>
      <w:r w:rsidRPr="005675B2">
        <w:rPr>
          <w:rFonts w:hint="cs"/>
          <w:sz w:val="24"/>
          <w:szCs w:val="24"/>
          <w:rtl/>
        </w:rPr>
        <w:t>سورة الماعون آية 4</w:t>
      </w:r>
      <w:r w:rsidR="000636C2">
        <w:rPr>
          <w:rFonts w:hint="cs"/>
          <w:sz w:val="24"/>
          <w:szCs w:val="24"/>
          <w:rtl/>
        </w:rPr>
        <w:t>]</w:t>
      </w:r>
      <w:r w:rsidRPr="005675B2">
        <w:rPr>
          <w:rFonts w:hint="cs"/>
          <w:rtl/>
        </w:rPr>
        <w:t xml:space="preserve"> مقطوعتين عن السياق ؛ ف</w:t>
      </w:r>
      <w:r w:rsidR="000636C2">
        <w:rPr>
          <w:rFonts w:hint="cs"/>
          <w:rtl/>
        </w:rPr>
        <w:t>[</w:t>
      </w:r>
      <w:r>
        <w:rPr>
          <w:rFonts w:hint="cs"/>
          <w:rtl/>
        </w:rPr>
        <w:t>الجواب</w:t>
      </w:r>
      <w:r w:rsidR="000636C2">
        <w:rPr>
          <w:rFonts w:hint="cs"/>
          <w:rtl/>
        </w:rPr>
        <w:t>]:</w:t>
      </w:r>
      <w:r w:rsidRPr="005675B2">
        <w:rPr>
          <w:rFonts w:hint="cs"/>
          <w:rtl/>
        </w:rPr>
        <w:t xml:space="preserve"> بلى</w:t>
      </w:r>
      <w:r w:rsidR="000636C2">
        <w:rPr>
          <w:rFonts w:hint="cs"/>
          <w:rtl/>
        </w:rPr>
        <w:t xml:space="preserve">، </w:t>
      </w:r>
      <w:r w:rsidRPr="005675B2">
        <w:rPr>
          <w:rFonts w:hint="cs"/>
          <w:rtl/>
        </w:rPr>
        <w:t>وأما إذا كان القائل ممن يرغب في فهم الكلام فأقول</w:t>
      </w:r>
      <w:r w:rsidR="000636C2">
        <w:rPr>
          <w:rFonts w:hint="cs"/>
          <w:rtl/>
        </w:rPr>
        <w:t>:</w:t>
      </w:r>
      <w:r w:rsidRPr="005675B2">
        <w:rPr>
          <w:rFonts w:hint="cs"/>
          <w:rtl/>
        </w:rPr>
        <w:t xml:space="preserve"> اقرأ ذاك النص من أوله قراءة واعية فستجد أن الإمام الباقلاني رحمه الله يقرر نزول القرآن الكريم على قلب النبي صلى الله عليه وسلم</w:t>
      </w:r>
      <w:r w:rsidR="000636C2">
        <w:rPr>
          <w:rFonts w:hint="cs"/>
          <w:rtl/>
        </w:rPr>
        <w:t>،</w:t>
      </w:r>
      <w:r w:rsidRPr="005675B2">
        <w:rPr>
          <w:rFonts w:hint="cs"/>
          <w:rtl/>
        </w:rPr>
        <w:t xml:space="preserve"> وأن الله تعالى هو الذي أنزله</w:t>
      </w:r>
      <w:r w:rsidR="000636C2">
        <w:rPr>
          <w:rFonts w:hint="cs"/>
          <w:rtl/>
        </w:rPr>
        <w:t>،</w:t>
      </w:r>
      <w:r w:rsidRPr="005675B2">
        <w:rPr>
          <w:rFonts w:hint="cs"/>
          <w:rtl/>
        </w:rPr>
        <w:t xml:space="preserve"> وأن النازل أمران</w:t>
      </w:r>
      <w:r w:rsidR="000636C2">
        <w:rPr>
          <w:rFonts w:hint="cs"/>
          <w:rtl/>
        </w:rPr>
        <w:t>:</w:t>
      </w:r>
      <w:r w:rsidRPr="005675B2">
        <w:rPr>
          <w:rFonts w:hint="cs"/>
          <w:rtl/>
        </w:rPr>
        <w:t xml:space="preserve"> أحدهما هو كلام الله القديم الأزلي الذي هو صفة من صفات ذاته</w:t>
      </w:r>
      <w:r w:rsidR="000636C2">
        <w:rPr>
          <w:rFonts w:hint="cs"/>
          <w:rtl/>
        </w:rPr>
        <w:t>،</w:t>
      </w:r>
      <w:r w:rsidRPr="005675B2">
        <w:rPr>
          <w:rFonts w:hint="cs"/>
          <w:rtl/>
        </w:rPr>
        <w:t xml:space="preserve"> وهذا نزوله نزول إعلام وإفهام لا نزول حركة وانتقال</w:t>
      </w:r>
      <w:r w:rsidR="000636C2">
        <w:rPr>
          <w:rFonts w:hint="cs"/>
          <w:rtl/>
        </w:rPr>
        <w:t>،</w:t>
      </w:r>
      <w:r w:rsidRPr="005675B2">
        <w:rPr>
          <w:rFonts w:hint="cs"/>
          <w:rtl/>
        </w:rPr>
        <w:t xml:space="preserve"> والثاني هو النظم العربي بألفاظ القرآن الذي علمه اللهُ جبريلَ وفَهَّمه إياه وهو قراءته</w:t>
      </w:r>
      <w:r w:rsidR="000636C2">
        <w:rPr>
          <w:rFonts w:hint="cs"/>
          <w:rtl/>
        </w:rPr>
        <w:t>،</w:t>
      </w:r>
      <w:r w:rsidRPr="005675B2">
        <w:rPr>
          <w:rFonts w:hint="cs"/>
          <w:rtl/>
        </w:rPr>
        <w:t xml:space="preserve"> وهذا نزوله نزول حركة وانتقال</w:t>
      </w:r>
      <w:r w:rsidR="000636C2">
        <w:rPr>
          <w:rFonts w:hint="cs"/>
          <w:rtl/>
        </w:rPr>
        <w:t>،</w:t>
      </w:r>
      <w:r w:rsidRPr="005675B2">
        <w:rPr>
          <w:rFonts w:hint="cs"/>
          <w:rtl/>
        </w:rPr>
        <w:t xml:space="preserve"> والنازل على حقيقة معنى النزول اللغوية المنتقل من أقطار السماء إلى الأرض هو قراءة جبريل ألفاظَ القرآن وحروفَه</w:t>
      </w:r>
      <w:r w:rsidR="000636C2">
        <w:rPr>
          <w:rFonts w:hint="cs"/>
          <w:rtl/>
        </w:rPr>
        <w:t>،</w:t>
      </w:r>
      <w:r w:rsidRPr="005675B2">
        <w:rPr>
          <w:rFonts w:hint="cs"/>
          <w:rtl/>
        </w:rPr>
        <w:t xml:space="preserve"> أما صفات الله تعالى التي هي صفات ذات فهي قائمة بذات الله تعالى دائمة بدوامه</w:t>
      </w:r>
      <w:r w:rsidR="000636C2">
        <w:rPr>
          <w:rFonts w:hint="cs"/>
          <w:rtl/>
        </w:rPr>
        <w:t>،</w:t>
      </w:r>
      <w:r w:rsidRPr="005675B2">
        <w:rPr>
          <w:rFonts w:hint="cs"/>
          <w:rtl/>
        </w:rPr>
        <w:t xml:space="preserve"> لا تحول ولا تزول</w:t>
      </w:r>
      <w:r w:rsidR="000636C2">
        <w:rPr>
          <w:rFonts w:hint="cs"/>
          <w:rtl/>
        </w:rPr>
        <w:t>،</w:t>
      </w:r>
      <w:r w:rsidRPr="005675B2">
        <w:rPr>
          <w:rFonts w:hint="cs"/>
          <w:rtl/>
        </w:rPr>
        <w:t xml:space="preserve"> ولا تنـزل ولا تنتقل</w:t>
      </w:r>
      <w:r w:rsidR="000636C2">
        <w:rPr>
          <w:rFonts w:hint="cs"/>
          <w:rtl/>
        </w:rPr>
        <w:t>،</w:t>
      </w:r>
    </w:p>
    <w:p w14:paraId="60DD50D0" w14:textId="0F6EDD8D"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 xml:space="preserve">واستدلوا بمثل قوله تعالى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في سورتي الحاقة والانشقاق</w:t>
      </w:r>
      <w:r w:rsidR="000636C2">
        <w:rPr>
          <w:rFonts w:hint="cs"/>
          <w:rtl/>
        </w:rPr>
        <w:t>،</w:t>
      </w:r>
      <w:r w:rsidRPr="005675B2">
        <w:rPr>
          <w:rFonts w:hint="cs"/>
          <w:rtl/>
        </w:rPr>
        <w:t xml:space="preserve"> حيث أضافه في الأولى إلى محمد صلى الله عليه وسلم</w:t>
      </w:r>
      <w:r w:rsidR="000636C2">
        <w:rPr>
          <w:rFonts w:hint="cs"/>
          <w:rtl/>
        </w:rPr>
        <w:t>،</w:t>
      </w:r>
      <w:r w:rsidRPr="005675B2">
        <w:rPr>
          <w:rFonts w:hint="cs"/>
          <w:rtl/>
        </w:rPr>
        <w:t xml:space="preserve"> وفي الأخرى إلى جبريل</w:t>
      </w:r>
      <w:r w:rsidR="000636C2">
        <w:rPr>
          <w:rFonts w:hint="cs"/>
          <w:rtl/>
        </w:rPr>
        <w:t xml:space="preserve">]، </w:t>
      </w:r>
      <w:r w:rsidRPr="005675B2">
        <w:rPr>
          <w:rFonts w:hint="cs"/>
          <w:rtl/>
        </w:rPr>
        <w:t>ثم قال ناقلاً مع الإقرار</w:t>
      </w:r>
      <w:r w:rsidR="000636C2">
        <w:rPr>
          <w:rFonts w:hint="cs"/>
          <w:rtl/>
        </w:rPr>
        <w:t>:</w:t>
      </w:r>
      <w:r w:rsidRPr="005675B2">
        <w:rPr>
          <w:rFonts w:hint="cs"/>
          <w:rtl/>
        </w:rPr>
        <w:t xml:space="preserve"> </w:t>
      </w:r>
      <w:r w:rsidR="000636C2">
        <w:rPr>
          <w:rFonts w:hint="cs"/>
          <w:rtl/>
        </w:rPr>
        <w:t>[</w:t>
      </w:r>
      <w:r w:rsidRPr="005675B2">
        <w:rPr>
          <w:rFonts w:hint="cs"/>
          <w:rtl/>
        </w:rPr>
        <w:t>وفي إضافته تعالى إلى هذا الرسول تارة وإلى هذا تارة دليل على أنه إضافة بلاغ وأداء</w:t>
      </w:r>
      <w:r w:rsidR="000636C2">
        <w:rPr>
          <w:rFonts w:hint="cs"/>
          <w:rtl/>
        </w:rPr>
        <w:t>،</w:t>
      </w:r>
      <w:r w:rsidRPr="005675B2">
        <w:rPr>
          <w:rFonts w:hint="cs"/>
          <w:rtl/>
        </w:rPr>
        <w:t xml:space="preserve"> لا إضافة إحداث لشيء منه وإنشاء</w:t>
      </w:r>
      <w:r w:rsidR="000636C2">
        <w:rPr>
          <w:rFonts w:hint="cs"/>
          <w:rtl/>
        </w:rPr>
        <w:t>،</w:t>
      </w:r>
      <w:r w:rsidRPr="005675B2">
        <w:rPr>
          <w:rFonts w:hint="cs"/>
          <w:rtl/>
        </w:rPr>
        <w:t xml:space="preserve"> كما يقول بعض المبتدعة الأشعرية من أن حروفه ابتداء جبريل أو محمد</w:t>
      </w:r>
      <w:r w:rsidR="000636C2">
        <w:rPr>
          <w:rFonts w:hint="cs"/>
          <w:rtl/>
        </w:rPr>
        <w:t>،</w:t>
      </w:r>
      <w:r w:rsidRPr="005675B2">
        <w:rPr>
          <w:rFonts w:hint="cs"/>
          <w:rtl/>
        </w:rPr>
        <w:t xml:space="preserve"> مضاهاة منهم في نصف قولهم لمن قال </w:t>
      </w:r>
      <w:r w:rsidR="000636C2">
        <w:rPr>
          <w:rFonts w:hint="cs"/>
          <w:rtl/>
        </w:rPr>
        <w:t>[</w:t>
      </w:r>
      <w:r w:rsidRPr="005675B2">
        <w:rPr>
          <w:rFonts w:hint="cs"/>
          <w:rtl/>
        </w:rPr>
        <w:t>إِنْ هَذَا إِلا قَوْلُ الْبَشَرِ</w:t>
      </w:r>
      <w:r w:rsidR="000636C2">
        <w:rPr>
          <w:rFonts w:hint="cs"/>
          <w:rtl/>
        </w:rPr>
        <w:t>]</w:t>
      </w:r>
      <w:r w:rsidRPr="005675B2">
        <w:rPr>
          <w:rFonts w:hint="cs"/>
          <w:rtl/>
        </w:rPr>
        <w:t xml:space="preserve"> من مشركي العرب</w:t>
      </w:r>
      <w:r w:rsidR="000636C2">
        <w:rPr>
          <w:rFonts w:hint="cs"/>
          <w:rtl/>
        </w:rPr>
        <w:t>]،</w:t>
      </w:r>
    </w:p>
    <w:p w14:paraId="257222D1" w14:textId="65003C6A"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لقد سبق في كلام الإمام الباقلاني من أئمة الأشاعرة أن الله تعالى علم جبريلَ القرآن وعلم جبريلُ القراءةَ نبيَّنا صلى الله عليه وسلم</w:t>
      </w:r>
      <w:r w:rsidR="000636C2">
        <w:rPr>
          <w:rFonts w:hint="cs"/>
          <w:rtl/>
        </w:rPr>
        <w:t>،</w:t>
      </w:r>
      <w:r w:rsidRPr="005675B2">
        <w:rPr>
          <w:rFonts w:hint="cs"/>
          <w:rtl/>
        </w:rPr>
        <w:t xml:space="preserve"> أي إن القرآن هو قول الله تعالى</w:t>
      </w:r>
      <w:r w:rsidR="000636C2">
        <w:rPr>
          <w:rFonts w:hint="cs"/>
          <w:rtl/>
        </w:rPr>
        <w:t>،</w:t>
      </w:r>
      <w:r w:rsidRPr="005675B2">
        <w:rPr>
          <w:rFonts w:hint="cs"/>
          <w:rtl/>
        </w:rPr>
        <w:t xml:space="preserve"> لا قول جبريل عليه السلام ولا قول محمد صلى الله عليه وسلم</w:t>
      </w:r>
      <w:r w:rsidR="000636C2">
        <w:rPr>
          <w:rFonts w:hint="cs"/>
          <w:rtl/>
        </w:rPr>
        <w:t>،</w:t>
      </w:r>
      <w:r w:rsidRPr="005675B2">
        <w:rPr>
          <w:rFonts w:hint="cs"/>
          <w:rtl/>
        </w:rPr>
        <w:t xml:space="preserve"> بل هو قراءة جبريل عليه السلام</w:t>
      </w:r>
      <w:r w:rsidR="000636C2">
        <w:rPr>
          <w:rFonts w:hint="cs"/>
          <w:rtl/>
        </w:rPr>
        <w:t>،</w:t>
      </w:r>
      <w:r w:rsidRPr="005675B2">
        <w:rPr>
          <w:rFonts w:hint="cs"/>
          <w:rtl/>
        </w:rPr>
        <w:t xml:space="preserve"> وليس في هذا تفسير لقوله تعالى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بأن جبريل أحدث شيئاً منه وأنشأه</w:t>
      </w:r>
      <w:r w:rsidR="000636C2">
        <w:rPr>
          <w:rFonts w:hint="cs"/>
          <w:rtl/>
        </w:rPr>
        <w:t>،</w:t>
      </w:r>
      <w:r w:rsidRPr="005675B2">
        <w:rPr>
          <w:rFonts w:hint="cs"/>
          <w:rtl/>
        </w:rPr>
        <w:t xml:space="preserve"> ولم يقل أحد من الأشاعرة هذا</w:t>
      </w:r>
      <w:r w:rsidR="000636C2">
        <w:rPr>
          <w:rFonts w:hint="cs"/>
          <w:rtl/>
        </w:rPr>
        <w:t>،</w:t>
      </w:r>
      <w:r w:rsidRPr="005675B2">
        <w:rPr>
          <w:rFonts w:hint="cs"/>
          <w:rtl/>
        </w:rPr>
        <w:t xml:space="preserve"> ولا نسبوا حرفاً واحداً منه أنه ابتدأه جبريل أو محمد صلى الله عليه وسلم</w:t>
      </w:r>
      <w:r w:rsidR="000636C2">
        <w:rPr>
          <w:rFonts w:hint="cs"/>
          <w:rtl/>
        </w:rPr>
        <w:t>،</w:t>
      </w:r>
      <w:r w:rsidRPr="005675B2">
        <w:rPr>
          <w:rFonts w:hint="cs"/>
          <w:rtl/>
        </w:rPr>
        <w:t xml:space="preserve"> وإضافة هذا المعنى الفاسد إلى </w:t>
      </w:r>
      <w:r w:rsidR="000636C2">
        <w:rPr>
          <w:rFonts w:hint="cs"/>
          <w:rtl/>
        </w:rPr>
        <w:t>[</w:t>
      </w:r>
      <w:r w:rsidRPr="005675B2">
        <w:rPr>
          <w:rFonts w:hint="cs"/>
          <w:rtl/>
        </w:rPr>
        <w:t>بعض الأشعرية</w:t>
      </w:r>
      <w:r w:rsidR="000636C2">
        <w:rPr>
          <w:rFonts w:hint="cs"/>
          <w:rtl/>
        </w:rPr>
        <w:t>]</w:t>
      </w:r>
      <w:r w:rsidRPr="005675B2">
        <w:rPr>
          <w:rFonts w:hint="cs"/>
          <w:rtl/>
        </w:rPr>
        <w:t xml:space="preserve"> ليس سوى افتراء وتخرص</w:t>
      </w:r>
      <w:r w:rsidR="000636C2">
        <w:rPr>
          <w:rFonts w:hint="cs"/>
          <w:rtl/>
        </w:rPr>
        <w:t>،</w:t>
      </w:r>
      <w:r w:rsidRPr="005675B2">
        <w:rPr>
          <w:rFonts w:hint="cs"/>
          <w:rtl/>
        </w:rPr>
        <w:t xml:space="preserve"> أو سرحة وهم وتخيل</w:t>
      </w:r>
      <w:r w:rsidR="000636C2">
        <w:rPr>
          <w:rFonts w:hint="cs"/>
          <w:rtl/>
        </w:rPr>
        <w:t>،</w:t>
      </w:r>
      <w:r w:rsidRPr="005675B2">
        <w:rPr>
          <w:rFonts w:hint="cs"/>
          <w:rtl/>
        </w:rPr>
        <w:t xml:space="preserve"> سرت عبر أحد الأفاكين الحاقدين</w:t>
      </w:r>
      <w:r w:rsidR="000636C2">
        <w:rPr>
          <w:rFonts w:hint="cs"/>
          <w:rtl/>
        </w:rPr>
        <w:t>،</w:t>
      </w:r>
      <w:r w:rsidRPr="005675B2">
        <w:rPr>
          <w:rFonts w:hint="cs"/>
          <w:rtl/>
        </w:rPr>
        <w:t xml:space="preserve"> والله حسيبهم</w:t>
      </w:r>
      <w:r w:rsidR="000636C2">
        <w:rPr>
          <w:rFonts w:hint="cs"/>
          <w:rtl/>
        </w:rPr>
        <w:t xml:space="preserve">، </w:t>
      </w:r>
      <w:r w:rsidRPr="005675B2">
        <w:rPr>
          <w:rFonts w:hint="cs"/>
          <w:rtl/>
        </w:rPr>
        <w:t xml:space="preserve">هل يصح لعاقل أن يُشبه الأشاعرة أو بعض الأشاعرة في بعض قولهم بمشركي العرب الذين قالوا عن القرآن الكريم </w:t>
      </w:r>
      <w:r w:rsidR="000636C2">
        <w:rPr>
          <w:rFonts w:hint="cs"/>
          <w:rtl/>
        </w:rPr>
        <w:t>[</w:t>
      </w:r>
      <w:r w:rsidRPr="005675B2">
        <w:rPr>
          <w:rFonts w:hint="cs"/>
          <w:rtl/>
        </w:rPr>
        <w:t>إِنْ هَذَا إِلَّا قَوْلُ الْبَشَرِ</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المدثر آية 25</w:t>
      </w:r>
      <w:r w:rsidR="000636C2">
        <w:rPr>
          <w:rFonts w:hint="cs"/>
          <w:sz w:val="24"/>
          <w:szCs w:val="24"/>
          <w:rtl/>
        </w:rPr>
        <w:t>]</w:t>
      </w:r>
      <w:r w:rsidRPr="005675B2">
        <w:rPr>
          <w:rFonts w:hint="cs"/>
          <w:rtl/>
        </w:rPr>
        <w:t xml:space="preserve"> إلا إذا كان وجه المقارنة نابعاً عن ذلك القول المنسوب لبعضهم على سبيل التخرص أو التخيل</w:t>
      </w:r>
      <w:r w:rsidR="000636C2">
        <w:rPr>
          <w:rFonts w:hint="cs"/>
          <w:rtl/>
        </w:rPr>
        <w:t xml:space="preserve">؟! </w:t>
      </w:r>
      <w:r w:rsidRPr="005675B2">
        <w:rPr>
          <w:rFonts w:hint="cs"/>
          <w:rtl/>
        </w:rPr>
        <w:t xml:space="preserve">ومن تسرع الباحث أنه عزا الآية الكريمة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إلى سورتي الحاقة والانشقاق</w:t>
      </w:r>
      <w:r w:rsidR="000636C2">
        <w:rPr>
          <w:rFonts w:hint="cs"/>
          <w:rtl/>
        </w:rPr>
        <w:t>،</w:t>
      </w:r>
      <w:r w:rsidRPr="005675B2">
        <w:rPr>
          <w:rFonts w:hint="cs"/>
          <w:rtl/>
        </w:rPr>
        <w:t xml:space="preserve"> والصواب أنها في سورتي الحاقة والتكوير</w:t>
      </w:r>
      <w:r w:rsidR="000636C2">
        <w:rPr>
          <w:rFonts w:hint="cs"/>
          <w:rtl/>
        </w:rPr>
        <w:t>،</w:t>
      </w:r>
    </w:p>
    <w:p w14:paraId="26AE6AF1" w14:textId="4ECB45CD"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وعلى القول أن القرآن الذي نقرؤه في المصاحف مخلوق سار الأشاعرة المعاصرون وصرحوا</w:t>
      </w:r>
      <w:r w:rsidR="000636C2">
        <w:rPr>
          <w:rFonts w:hint="cs"/>
          <w:rtl/>
        </w:rPr>
        <w:t>،</w:t>
      </w:r>
      <w:r w:rsidRPr="005675B2">
        <w:rPr>
          <w:rFonts w:hint="cs"/>
          <w:rtl/>
        </w:rPr>
        <w:t xml:space="preserve"> فكشفوا بذلك ما أراد شارح الجوهرة أن يستره حين قال</w:t>
      </w:r>
      <w:r w:rsidR="000636C2">
        <w:rPr>
          <w:rFonts w:hint="cs"/>
          <w:rtl/>
        </w:rPr>
        <w:t>:</w:t>
      </w:r>
      <w:r w:rsidRPr="005675B2">
        <w:rPr>
          <w:rFonts w:hint="cs"/>
          <w:rtl/>
        </w:rPr>
        <w:t xml:space="preserve"> يمتنع أن يقال إن القرآن مخلوق إلا في مقام التعليم</w:t>
      </w:r>
      <w:r w:rsidR="000636C2">
        <w:rPr>
          <w:rFonts w:hint="cs"/>
          <w:rtl/>
        </w:rPr>
        <w:t xml:space="preserve">]، </w:t>
      </w:r>
      <w:r w:rsidRPr="005675B2">
        <w:rPr>
          <w:rFonts w:hint="cs"/>
          <w:rtl/>
        </w:rPr>
        <w:t>وأحال إلى شرح الباجوري على الجوهرة</w:t>
      </w:r>
      <w:r w:rsidR="000636C2">
        <w:rPr>
          <w:rFonts w:hint="cs"/>
          <w:rtl/>
        </w:rPr>
        <w:t>،</w:t>
      </w:r>
    </w:p>
    <w:p w14:paraId="0C49702D" w14:textId="700484B0"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النص المنقول عن شرح الجوهرة فصَله الباحث عن السياق فجاء معبرا ً</w:t>
      </w:r>
      <w:r w:rsidR="000636C2">
        <w:rPr>
          <w:rFonts w:hint="cs"/>
          <w:rtl/>
        </w:rPr>
        <w:t xml:space="preserve"> </w:t>
      </w:r>
      <w:r w:rsidRPr="005675B2">
        <w:rPr>
          <w:rFonts w:hint="cs"/>
          <w:rtl/>
        </w:rPr>
        <w:t>- بصورته المجتزأة</w:t>
      </w:r>
      <w:r w:rsidR="000636C2">
        <w:rPr>
          <w:rFonts w:hint="cs"/>
          <w:rtl/>
        </w:rPr>
        <w:t xml:space="preserve"> </w:t>
      </w:r>
      <w:r w:rsidRPr="005675B2">
        <w:rPr>
          <w:rFonts w:hint="cs"/>
          <w:rtl/>
        </w:rPr>
        <w:t>- عما في نفس الباحث من التوهم</w:t>
      </w:r>
      <w:r w:rsidR="000636C2">
        <w:rPr>
          <w:rFonts w:hint="cs"/>
          <w:rtl/>
        </w:rPr>
        <w:t>،</w:t>
      </w:r>
      <w:r w:rsidRPr="005675B2">
        <w:rPr>
          <w:rFonts w:hint="cs"/>
          <w:rtl/>
        </w:rPr>
        <w:t xml:space="preserve"> لا عما في نفس الشارح</w:t>
      </w:r>
      <w:r w:rsidR="000636C2">
        <w:rPr>
          <w:rFonts w:hint="cs"/>
          <w:rtl/>
        </w:rPr>
        <w:t>،</w:t>
      </w:r>
      <w:r w:rsidRPr="005675B2">
        <w:rPr>
          <w:rFonts w:hint="cs"/>
          <w:rtl/>
        </w:rPr>
        <w:t xml:space="preserve"> وإليك النص في السياق الذي ورد فيه</w:t>
      </w:r>
      <w:r w:rsidR="000636C2">
        <w:rPr>
          <w:rFonts w:hint="cs"/>
          <w:rtl/>
        </w:rPr>
        <w:t xml:space="preserve">: </w:t>
      </w:r>
      <w:r w:rsidRPr="005675B2">
        <w:rPr>
          <w:rFonts w:hint="cs"/>
          <w:rtl/>
        </w:rPr>
        <w:t>قال البيجوري</w:t>
      </w:r>
      <w:r w:rsidR="000636C2">
        <w:rPr>
          <w:rFonts w:hint="cs"/>
          <w:rtl/>
        </w:rPr>
        <w:t>:</w:t>
      </w:r>
      <w:r w:rsidRPr="005675B2">
        <w:rPr>
          <w:rFonts w:hint="cs"/>
          <w:rtl/>
        </w:rPr>
        <w:t xml:space="preserve"> </w:t>
      </w:r>
      <w:r w:rsidR="000636C2">
        <w:rPr>
          <w:rFonts w:hint="cs"/>
          <w:rtl/>
        </w:rPr>
        <w:t>[</w:t>
      </w:r>
      <w:r w:rsidRPr="005675B2">
        <w:rPr>
          <w:rFonts w:hint="cs"/>
          <w:rtl/>
        </w:rPr>
        <w:t>ومذهب أهل السنة أن القرآن بمعنى الكلام النفسي ليس بمخلوق</w:t>
      </w:r>
      <w:r w:rsidR="000636C2">
        <w:rPr>
          <w:rFonts w:hint="cs"/>
          <w:rtl/>
        </w:rPr>
        <w:t>،</w:t>
      </w:r>
      <w:r w:rsidRPr="005675B2">
        <w:rPr>
          <w:rFonts w:hint="cs"/>
          <w:rtl/>
        </w:rPr>
        <w:t xml:space="preserve"> وأما القرآن بمعنى اللفظ الذي نقرؤه فهو مخلوق</w:t>
      </w:r>
      <w:r w:rsidR="000636C2">
        <w:rPr>
          <w:rFonts w:hint="cs"/>
          <w:rtl/>
        </w:rPr>
        <w:t>،</w:t>
      </w:r>
      <w:r w:rsidRPr="005675B2">
        <w:rPr>
          <w:rFonts w:hint="cs"/>
          <w:rtl/>
        </w:rPr>
        <w:t xml:space="preserve"> لكن يمتنع أن يقالَ القرآن مخلوق ويرادَ به اللفظ الذي نقرؤه إلا في مقام التعليم</w:t>
      </w:r>
      <w:r w:rsidR="000636C2">
        <w:rPr>
          <w:rFonts w:hint="cs"/>
          <w:rtl/>
        </w:rPr>
        <w:t>،</w:t>
      </w:r>
      <w:r w:rsidRPr="005675B2">
        <w:rPr>
          <w:rFonts w:hint="cs"/>
          <w:rtl/>
        </w:rPr>
        <w:t xml:space="preserve"> لأنه ربما أوهم أن القرآن بمعنى كلامه تعالى مخلوق</w:t>
      </w:r>
      <w:r w:rsidR="000636C2">
        <w:rPr>
          <w:rFonts w:hint="cs"/>
          <w:rtl/>
        </w:rPr>
        <w:t>]</w:t>
      </w:r>
      <w:r w:rsidRPr="005675B2">
        <w:rPr>
          <w:rFonts w:hint="cs"/>
          <w:rtl/>
        </w:rPr>
        <w:t xml:space="preserve"> [</w:t>
      </w:r>
      <w:r w:rsidRPr="005675B2">
        <w:rPr>
          <w:rFonts w:hint="cs"/>
          <w:sz w:val="24"/>
          <w:szCs w:val="24"/>
          <w:rtl/>
        </w:rPr>
        <w:t>حاشية الجوهرة للبيجوري: ص 55</w:t>
      </w:r>
      <w:r w:rsidR="000636C2">
        <w:rPr>
          <w:rFonts w:hint="cs"/>
          <w:sz w:val="24"/>
          <w:szCs w:val="24"/>
          <w:rtl/>
        </w:rPr>
        <w:t>]</w:t>
      </w:r>
      <w:r w:rsidR="000636C2">
        <w:rPr>
          <w:rFonts w:hint="cs"/>
          <w:rtl/>
        </w:rPr>
        <w:t>،</w:t>
      </w:r>
      <w:r w:rsidRPr="005675B2">
        <w:rPr>
          <w:rFonts w:hint="cs"/>
          <w:rtl/>
        </w:rPr>
        <w:t xml:space="preserve"> ثم قال في الصفحة التالية</w:t>
      </w:r>
      <w:r w:rsidR="000636C2">
        <w:rPr>
          <w:rFonts w:hint="cs"/>
          <w:rtl/>
        </w:rPr>
        <w:t>:</w:t>
      </w:r>
      <w:r w:rsidRPr="005675B2">
        <w:rPr>
          <w:rFonts w:hint="cs"/>
          <w:rtl/>
        </w:rPr>
        <w:t xml:space="preserve"> </w:t>
      </w:r>
      <w:r w:rsidR="000636C2">
        <w:rPr>
          <w:rFonts w:hint="cs"/>
          <w:rtl/>
        </w:rPr>
        <w:t>[</w:t>
      </w:r>
      <w:r w:rsidRPr="005675B2">
        <w:rPr>
          <w:rFonts w:hint="cs"/>
          <w:rtl/>
        </w:rPr>
        <w:t>كل ظاهر من الكتاب والسنة دل على حدوث القرآن فهو محمول على اللفظ المقروء لا على الكلام النفسي</w:t>
      </w:r>
      <w:r w:rsidR="000636C2">
        <w:rPr>
          <w:rFonts w:hint="cs"/>
          <w:rtl/>
        </w:rPr>
        <w:t>،</w:t>
      </w:r>
      <w:r w:rsidRPr="005675B2">
        <w:rPr>
          <w:rFonts w:hint="cs"/>
          <w:rtl/>
        </w:rPr>
        <w:t xml:space="preserve"> لكن يمتنع أن يقال القرآن مخلوق إلا في مقام التعليم</w:t>
      </w:r>
      <w:r w:rsidR="000636C2">
        <w:rPr>
          <w:rFonts w:hint="cs"/>
          <w:rtl/>
        </w:rPr>
        <w:t>،</w:t>
      </w:r>
      <w:r w:rsidRPr="005675B2">
        <w:rPr>
          <w:rFonts w:hint="cs"/>
          <w:rtl/>
        </w:rPr>
        <w:t xml:space="preserve"> كما سبق</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ص 56</w:t>
      </w:r>
      <w:r w:rsidR="000636C2">
        <w:rPr>
          <w:rFonts w:hint="cs"/>
          <w:sz w:val="24"/>
          <w:szCs w:val="24"/>
          <w:rtl/>
        </w:rPr>
        <w:t>]</w:t>
      </w:r>
      <w:r w:rsidR="000636C2">
        <w:rPr>
          <w:rFonts w:hint="cs"/>
          <w:rtl/>
        </w:rPr>
        <w:t>،</w:t>
      </w:r>
      <w:r w:rsidRPr="005675B2">
        <w:rPr>
          <w:rFonts w:hint="cs"/>
          <w:rtl/>
        </w:rPr>
        <w:t xml:space="preserve"> فمذهب الأشاعرة والماتريدية - المعبَّر عنه عند البيجوري بمذهب أهل السنة</w:t>
      </w:r>
      <w:r w:rsidR="000636C2">
        <w:rPr>
          <w:rFonts w:hint="cs"/>
          <w:rtl/>
        </w:rPr>
        <w:t xml:space="preserve"> </w:t>
      </w:r>
      <w:r w:rsidRPr="005675B2">
        <w:rPr>
          <w:rFonts w:hint="cs"/>
          <w:rtl/>
        </w:rPr>
        <w:t>- هو أن القرآن بمعنى الكلام النفسي ليس بمخلوق</w:t>
      </w:r>
      <w:r w:rsidR="000636C2">
        <w:rPr>
          <w:rFonts w:hint="cs"/>
          <w:rtl/>
        </w:rPr>
        <w:t>،</w:t>
      </w:r>
      <w:r w:rsidRPr="005675B2">
        <w:rPr>
          <w:rFonts w:hint="cs"/>
          <w:rtl/>
        </w:rPr>
        <w:t xml:space="preserve"> وأن القرآن بمعنى اللفظ الذي نقرؤه مخلوق</w:t>
      </w:r>
      <w:r w:rsidR="000636C2">
        <w:rPr>
          <w:rFonts w:hint="cs"/>
          <w:rtl/>
        </w:rPr>
        <w:t>،</w:t>
      </w:r>
      <w:r w:rsidRPr="005675B2">
        <w:rPr>
          <w:rFonts w:hint="cs"/>
          <w:rtl/>
        </w:rPr>
        <w:t xml:space="preserve"> وأنه لا يجوز إطلاق القول بهذا ولو على إرادة هذا المعنى إلا في مجالس التعليم</w:t>
      </w:r>
      <w:r w:rsidR="000636C2">
        <w:rPr>
          <w:rFonts w:hint="cs"/>
          <w:rtl/>
        </w:rPr>
        <w:t>،</w:t>
      </w:r>
      <w:r w:rsidRPr="005675B2">
        <w:rPr>
          <w:rFonts w:hint="cs"/>
          <w:rtl/>
        </w:rPr>
        <w:t xml:space="preserve"> لأن غير أهل هذه المجالس لا يدركون الفرق</w:t>
      </w:r>
      <w:r w:rsidR="000636C2">
        <w:rPr>
          <w:rFonts w:hint="cs"/>
          <w:rtl/>
        </w:rPr>
        <w:t>،</w:t>
      </w:r>
    </w:p>
    <w:p w14:paraId="786132E7" w14:textId="77777777" w:rsidR="009C32A0" w:rsidRPr="005675B2" w:rsidRDefault="009C32A0" w:rsidP="000636C2">
      <w:pPr>
        <w:jc w:val="center"/>
        <w:rPr>
          <w:b/>
          <w:rtl/>
        </w:rPr>
      </w:pPr>
      <w:r w:rsidRPr="005675B2">
        <w:rPr>
          <w:rFonts w:hint="cs"/>
          <w:rtl/>
        </w:rPr>
        <w:t>***</w:t>
      </w:r>
    </w:p>
    <w:p w14:paraId="43EACFD7" w14:textId="6C3C142F" w:rsidR="009C32A0" w:rsidRPr="005675B2" w:rsidRDefault="000636C2" w:rsidP="000636C2">
      <w:pPr>
        <w:jc w:val="center"/>
        <w:rPr>
          <w:bCs/>
          <w:rtl/>
        </w:rPr>
      </w:pPr>
      <w:r>
        <w:rPr>
          <w:rFonts w:hint="cs"/>
          <w:bCs/>
          <w:rtl/>
        </w:rPr>
        <w:t>[</w:t>
      </w:r>
      <w:r w:rsidR="009C32A0" w:rsidRPr="005675B2">
        <w:rPr>
          <w:rFonts w:hint="cs"/>
          <w:bCs/>
          <w:rtl/>
        </w:rPr>
        <w:t>الموضوع السادس</w:t>
      </w:r>
      <w:r>
        <w:rPr>
          <w:rFonts w:hint="cs"/>
          <w:bCs/>
          <w:rtl/>
        </w:rPr>
        <w:t xml:space="preserve">: </w:t>
      </w:r>
      <w:r w:rsidR="009C32A0" w:rsidRPr="005675B2">
        <w:rPr>
          <w:rFonts w:hint="cs"/>
          <w:bCs/>
          <w:rtl/>
        </w:rPr>
        <w:t>القدر</w:t>
      </w:r>
      <w:r>
        <w:rPr>
          <w:rFonts w:hint="cs"/>
          <w:bCs/>
          <w:rtl/>
        </w:rPr>
        <w:t>]</w:t>
      </w:r>
    </w:p>
    <w:p w14:paraId="223431C4" w14:textId="6279AC7C"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أراد الأشاعرة هنا أن يوفقوا بين الجبرية والقدرية</w:t>
      </w:r>
      <w:r w:rsidR="000636C2">
        <w:rPr>
          <w:rFonts w:hint="cs"/>
          <w:rtl/>
        </w:rPr>
        <w:t>،</w:t>
      </w:r>
      <w:r w:rsidRPr="005675B2">
        <w:rPr>
          <w:rFonts w:hint="cs"/>
          <w:rtl/>
        </w:rPr>
        <w:t xml:space="preserve"> فجاؤوا بنظرية الكسب</w:t>
      </w:r>
      <w:r w:rsidR="000636C2">
        <w:rPr>
          <w:rFonts w:hint="cs"/>
          <w:rtl/>
        </w:rPr>
        <w:t>،</w:t>
      </w:r>
      <w:r w:rsidRPr="005675B2">
        <w:rPr>
          <w:rFonts w:hint="cs"/>
          <w:rtl/>
        </w:rPr>
        <w:t xml:space="preserve"> وهي في مآلها جبرية خالصة</w:t>
      </w:r>
      <w:r w:rsidR="000636C2">
        <w:rPr>
          <w:rFonts w:hint="cs"/>
          <w:rtl/>
        </w:rPr>
        <w:t>،</w:t>
      </w:r>
      <w:r w:rsidRPr="005675B2">
        <w:rPr>
          <w:rFonts w:hint="cs"/>
          <w:rtl/>
        </w:rPr>
        <w:t xml:space="preserve"> لأنها تنفي أي قدرة للعبد أو تأثير</w:t>
      </w:r>
      <w:r w:rsidR="000636C2">
        <w:rPr>
          <w:rFonts w:hint="cs"/>
          <w:rtl/>
        </w:rPr>
        <w:t>]،</w:t>
      </w:r>
    </w:p>
    <w:p w14:paraId="4765EAB1" w14:textId="744727C0"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1 - يدعي الباحث أن منطلق الأشاعرة هنا هو التوفيق بين مذهب الجبرية والقدرية ولا يذكر لصحة الدعوى دليلاً واحداً</w:t>
      </w:r>
      <w:r w:rsidR="000636C2">
        <w:rPr>
          <w:rFonts w:hint="cs"/>
          <w:rtl/>
        </w:rPr>
        <w:t>،</w:t>
      </w:r>
      <w:r w:rsidRPr="005675B2">
        <w:rPr>
          <w:rFonts w:hint="cs"/>
          <w:rtl/>
        </w:rPr>
        <w:t xml:space="preserve"> فلا وزن لها عند أهل العلم والفهم</w:t>
      </w:r>
      <w:r w:rsidR="000636C2">
        <w:rPr>
          <w:rFonts w:hint="cs"/>
          <w:rtl/>
        </w:rPr>
        <w:t xml:space="preserve">، </w:t>
      </w:r>
      <w:r w:rsidRPr="005675B2">
        <w:rPr>
          <w:rFonts w:hint="cs"/>
          <w:rtl/>
        </w:rPr>
        <w:t>2 - الأشاعرة يردون مذهب الجبريين الذين يزعمون أن الإنسان مجبر على ما يفعله وأن القضاء والقدر لا يترك للإنسان اختياراً</w:t>
      </w:r>
      <w:r w:rsidR="000636C2">
        <w:rPr>
          <w:rFonts w:hint="cs"/>
          <w:rtl/>
        </w:rPr>
        <w:t>،</w:t>
      </w:r>
      <w:r w:rsidRPr="005675B2">
        <w:rPr>
          <w:rFonts w:hint="cs"/>
          <w:rtl/>
        </w:rPr>
        <w:t xml:space="preserve"> ويردون مذهب القدرية الذين يزعمون أن الإنسان يخلق أفعاله الاختيارية بقدرة أودعها الله فيه وينفون القدر</w:t>
      </w:r>
      <w:r w:rsidR="000636C2">
        <w:rPr>
          <w:rFonts w:hint="cs"/>
          <w:rtl/>
        </w:rPr>
        <w:t>،</w:t>
      </w:r>
      <w:r w:rsidRPr="005675B2">
        <w:rPr>
          <w:rFonts w:hint="cs"/>
          <w:rtl/>
        </w:rPr>
        <w:t xml:space="preserve"> لمخالفة هذين المذهبين للآيات القرآنية والأحاديث النبوية</w:t>
      </w:r>
      <w:r w:rsidR="000636C2">
        <w:rPr>
          <w:rFonts w:hint="cs"/>
          <w:rtl/>
        </w:rPr>
        <w:t>،</w:t>
      </w:r>
      <w:r w:rsidRPr="005675B2">
        <w:rPr>
          <w:rFonts w:hint="cs"/>
          <w:rtl/>
        </w:rPr>
        <w:t xml:space="preserve"> ويقول الأشاعرة إن الإنسان ليس مجبراً على ما يفعله</w:t>
      </w:r>
      <w:r w:rsidR="000636C2">
        <w:rPr>
          <w:rFonts w:hint="cs"/>
          <w:rtl/>
        </w:rPr>
        <w:t>،</w:t>
      </w:r>
      <w:r w:rsidRPr="005675B2">
        <w:rPr>
          <w:rFonts w:hint="cs"/>
          <w:rtl/>
        </w:rPr>
        <w:t xml:space="preserve"> وليس خالقاً له</w:t>
      </w:r>
      <w:r w:rsidR="000636C2">
        <w:rPr>
          <w:rFonts w:hint="cs"/>
          <w:rtl/>
        </w:rPr>
        <w:t>،</w:t>
      </w:r>
      <w:r w:rsidRPr="005675B2">
        <w:rPr>
          <w:rFonts w:hint="cs"/>
          <w:rtl/>
        </w:rPr>
        <w:t xml:space="preserve"> وأنه مكتسب لأفعاله الاختيارية</w:t>
      </w:r>
      <w:r w:rsidR="000636C2">
        <w:rPr>
          <w:rFonts w:hint="cs"/>
          <w:rtl/>
        </w:rPr>
        <w:t>،</w:t>
      </w:r>
      <w:r w:rsidRPr="005675B2">
        <w:rPr>
          <w:rFonts w:hint="cs"/>
          <w:rtl/>
        </w:rPr>
        <w:t xml:space="preserve"> وأن سر القدر لا يعلمه إلا الله تعالى</w:t>
      </w:r>
      <w:r w:rsidR="000636C2">
        <w:rPr>
          <w:rFonts w:hint="cs"/>
          <w:rtl/>
        </w:rPr>
        <w:t>،</w:t>
      </w:r>
      <w:r w:rsidRPr="005675B2">
        <w:rPr>
          <w:rFonts w:hint="cs"/>
          <w:rtl/>
        </w:rPr>
        <w:t xml:space="preserve"> وذلك استدلالاً بآيات القرآن الكريم</w:t>
      </w:r>
      <w:r w:rsidR="000636C2">
        <w:rPr>
          <w:rFonts w:hint="cs"/>
          <w:rtl/>
        </w:rPr>
        <w:t>،</w:t>
      </w:r>
      <w:r w:rsidRPr="005675B2">
        <w:rPr>
          <w:rFonts w:hint="cs"/>
          <w:rtl/>
        </w:rPr>
        <w:t xml:space="preserve"> ووقوفاً عند مقتضى النصوص التي لا يستطيع العقل الخوض فيها</w:t>
      </w:r>
      <w:r w:rsidR="000636C2">
        <w:rPr>
          <w:rFonts w:hint="cs"/>
          <w:rtl/>
        </w:rPr>
        <w:t>،</w:t>
      </w:r>
      <w:r w:rsidRPr="005675B2">
        <w:rPr>
          <w:rFonts w:hint="cs"/>
          <w:rtl/>
        </w:rPr>
        <w:t xml:space="preserve"> فقد نهينا عن الخوض في القدر</w:t>
      </w:r>
      <w:r w:rsidR="000636C2">
        <w:rPr>
          <w:rFonts w:hint="cs"/>
          <w:rtl/>
        </w:rPr>
        <w:t xml:space="preserve">، </w:t>
      </w:r>
      <w:r w:rsidRPr="005675B2">
        <w:rPr>
          <w:rFonts w:hint="cs"/>
          <w:rtl/>
        </w:rPr>
        <w:t>قال الإمام الباقلاني رحمه الله</w:t>
      </w:r>
      <w:r w:rsidR="000636C2">
        <w:rPr>
          <w:rFonts w:hint="cs"/>
          <w:rtl/>
        </w:rPr>
        <w:t>:</w:t>
      </w:r>
      <w:r w:rsidRPr="005675B2">
        <w:rPr>
          <w:rFonts w:hint="cs"/>
          <w:rtl/>
        </w:rPr>
        <w:t xml:space="preserve"> ويجب أن يُعلم أن العبد له كسب وليس مجبوراً</w:t>
      </w:r>
      <w:r w:rsidR="000636C2">
        <w:rPr>
          <w:rFonts w:hint="cs"/>
          <w:rtl/>
        </w:rPr>
        <w:t>،</w:t>
      </w:r>
      <w:r w:rsidRPr="005675B2">
        <w:rPr>
          <w:rFonts w:hint="cs"/>
          <w:rtl/>
        </w:rPr>
        <w:t xml:space="preserve"> بل مكتسب لأفعاله من طاعة ومعصية</w:t>
      </w:r>
      <w:r w:rsidR="000636C2">
        <w:rPr>
          <w:rFonts w:hint="cs"/>
          <w:rtl/>
        </w:rPr>
        <w:t>،</w:t>
      </w:r>
      <w:r w:rsidRPr="005675B2">
        <w:rPr>
          <w:rFonts w:hint="cs"/>
          <w:rtl/>
        </w:rPr>
        <w:t xml:space="preserve"> لأنه تعالى قال </w:t>
      </w:r>
      <w:r w:rsidR="000636C2">
        <w:rPr>
          <w:rFonts w:hint="cs"/>
          <w:rtl/>
        </w:rPr>
        <w:t>[</w:t>
      </w:r>
      <w:r w:rsidRPr="005675B2">
        <w:rPr>
          <w:rFonts w:hint="cs"/>
          <w:rtl/>
        </w:rPr>
        <w:t>لَهَا مَا كَسَبَتْ</w:t>
      </w:r>
      <w:r w:rsidR="000636C2">
        <w:rPr>
          <w:rFonts w:hint="cs"/>
          <w:rtl/>
        </w:rPr>
        <w:t>]</w:t>
      </w:r>
      <w:r w:rsidRPr="005675B2">
        <w:rPr>
          <w:rFonts w:hint="cs"/>
          <w:rtl/>
        </w:rPr>
        <w:t xml:space="preserve"> يعني من ثواب طاعة</w:t>
      </w:r>
      <w:r w:rsidR="000636C2">
        <w:rPr>
          <w:rFonts w:hint="cs"/>
          <w:rtl/>
        </w:rPr>
        <w:t>،</w:t>
      </w:r>
      <w:r w:rsidRPr="005675B2">
        <w:rPr>
          <w:rFonts w:hint="cs"/>
          <w:rtl/>
        </w:rPr>
        <w:t xml:space="preserve"> </w:t>
      </w:r>
      <w:r w:rsidR="000636C2">
        <w:rPr>
          <w:rFonts w:hint="cs"/>
          <w:rtl/>
        </w:rPr>
        <w:t>[</w:t>
      </w:r>
      <w:r w:rsidRPr="005675B2">
        <w:rPr>
          <w:rFonts w:hint="cs"/>
          <w:rtl/>
        </w:rPr>
        <w:t>وَعَلَيْهَا مَا اكْتَسَبَت</w:t>
      </w:r>
      <w:r w:rsidR="000636C2">
        <w:rPr>
          <w:rFonts w:hint="cs"/>
          <w:rtl/>
        </w:rPr>
        <w:t>]</w:t>
      </w:r>
      <w:r w:rsidRPr="005675B2">
        <w:rPr>
          <w:rFonts w:hint="cs"/>
          <w:rtl/>
        </w:rPr>
        <w:t xml:space="preserve"> </w:t>
      </w:r>
      <w:r w:rsidR="000636C2">
        <w:rPr>
          <w:rFonts w:hint="cs"/>
          <w:rtl/>
        </w:rPr>
        <w:t>[</w:t>
      </w:r>
      <w:r w:rsidRPr="005675B2">
        <w:rPr>
          <w:rFonts w:hint="cs"/>
          <w:sz w:val="24"/>
          <w:szCs w:val="24"/>
          <w:rtl/>
        </w:rPr>
        <w:t>بعض آية البقرة 286</w:t>
      </w:r>
      <w:r w:rsidR="000636C2">
        <w:rPr>
          <w:rFonts w:hint="cs"/>
          <w:sz w:val="24"/>
          <w:szCs w:val="24"/>
          <w:rtl/>
        </w:rPr>
        <w:t>]</w:t>
      </w:r>
      <w:r w:rsidRPr="005675B2">
        <w:rPr>
          <w:rFonts w:hint="cs"/>
          <w:rtl/>
        </w:rPr>
        <w:t xml:space="preserve"> يعني من عقاب معصية</w:t>
      </w:r>
      <w:r w:rsidR="000636C2">
        <w:rPr>
          <w:rFonts w:hint="cs"/>
          <w:rtl/>
        </w:rPr>
        <w:t>،</w:t>
      </w:r>
      <w:r w:rsidRPr="005675B2">
        <w:rPr>
          <w:rFonts w:hint="cs"/>
          <w:rtl/>
        </w:rPr>
        <w:t xml:space="preserve"> وقولِه </w:t>
      </w:r>
      <w:r w:rsidR="000636C2">
        <w:rPr>
          <w:rFonts w:hint="cs"/>
          <w:rtl/>
        </w:rPr>
        <w:t>[</w:t>
      </w:r>
      <w:r w:rsidRPr="005675B2">
        <w:rPr>
          <w:rFonts w:hint="cs"/>
          <w:rtl/>
        </w:rPr>
        <w:t>بِمَا كَسَبَتْ أَيْدِي النَّاسِ</w:t>
      </w:r>
      <w:r w:rsidR="000636C2">
        <w:rPr>
          <w:rFonts w:hint="cs"/>
          <w:rtl/>
        </w:rPr>
        <w:t>]</w:t>
      </w:r>
      <w:r w:rsidRPr="005675B2">
        <w:rPr>
          <w:rStyle w:val="a5"/>
          <w:rFonts w:hint="cs"/>
          <w:b/>
          <w:rtl/>
        </w:rPr>
        <w:t xml:space="preserve"> .. </w:t>
      </w:r>
      <w:r w:rsidRPr="005675B2">
        <w:rPr>
          <w:rFonts w:hint="cs"/>
          <w:rtl/>
        </w:rPr>
        <w:t>[</w:t>
      </w:r>
      <w:r w:rsidRPr="005675B2">
        <w:rPr>
          <w:rFonts w:hint="cs"/>
          <w:sz w:val="24"/>
          <w:szCs w:val="24"/>
          <w:rtl/>
        </w:rPr>
        <w:t>الإنصاف للباقلاني: ص 45 . والآية من سورة الروم آية 41</w:t>
      </w:r>
      <w:r w:rsidR="000636C2">
        <w:rPr>
          <w:rFonts w:hint="cs"/>
          <w:sz w:val="24"/>
          <w:szCs w:val="24"/>
          <w:rtl/>
        </w:rPr>
        <w:t>]</w:t>
      </w:r>
      <w:r w:rsidR="000636C2">
        <w:rPr>
          <w:rFonts w:hint="cs"/>
          <w:rtl/>
        </w:rPr>
        <w:t xml:space="preserve">، </w:t>
      </w:r>
      <w:r w:rsidRPr="005675B2">
        <w:rPr>
          <w:rFonts w:hint="cs"/>
          <w:rtl/>
        </w:rPr>
        <w:t xml:space="preserve">أفيصح أن يقال عن الأشاعرة الذين يثبتون ما أثبته القرآن إنهم </w:t>
      </w:r>
      <w:r w:rsidR="000636C2">
        <w:rPr>
          <w:rFonts w:hint="cs"/>
          <w:rtl/>
        </w:rPr>
        <w:t>[</w:t>
      </w:r>
      <w:r w:rsidRPr="005675B2">
        <w:rPr>
          <w:rFonts w:hint="cs"/>
          <w:rtl/>
        </w:rPr>
        <w:t>جاءوا بنظرية الكسب</w:t>
      </w:r>
      <w:r w:rsidR="000636C2">
        <w:rPr>
          <w:rFonts w:hint="cs"/>
          <w:rtl/>
        </w:rPr>
        <w:t>]؟!</w:t>
      </w:r>
      <w:r w:rsidRPr="005675B2">
        <w:rPr>
          <w:rFonts w:hint="cs"/>
          <w:rtl/>
        </w:rPr>
        <w:t xml:space="preserve"> وكأنهم أتوا بشيء من عند أنفسهم</w:t>
      </w:r>
      <w:r w:rsidR="000636C2">
        <w:rPr>
          <w:rFonts w:hint="cs"/>
          <w:rtl/>
        </w:rPr>
        <w:t>؟!،</w:t>
      </w:r>
      <w:r w:rsidRPr="005675B2">
        <w:rPr>
          <w:rFonts w:hint="cs"/>
          <w:rtl/>
        </w:rPr>
        <w:t xml:space="preserve"> ولم الابتعاد عن آيات القرآن الكريم</w:t>
      </w:r>
      <w:r w:rsidR="000636C2">
        <w:rPr>
          <w:rFonts w:hint="cs"/>
          <w:rtl/>
        </w:rPr>
        <w:t xml:space="preserve">؟، </w:t>
      </w:r>
      <w:r w:rsidRPr="005675B2">
        <w:rPr>
          <w:rFonts w:hint="cs"/>
          <w:rtl/>
        </w:rPr>
        <w:t>3 - يقول الباحث عما سماه نظرية الكسب عند الأشاعرة إنها تنفي أي قدرة للعبد أو تأثير</w:t>
      </w:r>
      <w:r w:rsidR="000636C2">
        <w:rPr>
          <w:rFonts w:hint="cs"/>
          <w:rtl/>
        </w:rPr>
        <w:t>!</w:t>
      </w:r>
      <w:r w:rsidRPr="005675B2">
        <w:rPr>
          <w:rFonts w:hint="cs"/>
          <w:rtl/>
        </w:rPr>
        <w:t xml:space="preserve"> والمعروف عن الأشاعرة أنهم لا ينفون عن العبد القدرة وينفون التأثير</w:t>
      </w:r>
      <w:r w:rsidR="000636C2">
        <w:rPr>
          <w:rFonts w:hint="cs"/>
          <w:rtl/>
        </w:rPr>
        <w:t>،</w:t>
      </w:r>
      <w:r w:rsidRPr="005675B2">
        <w:rPr>
          <w:rFonts w:hint="cs"/>
          <w:rtl/>
        </w:rPr>
        <w:t xml:space="preserve"> فالله تعالى أعطى العبد إرادة يوجهها باختياره إلى ما يريد فعله وقدرة يفعل بها</w:t>
      </w:r>
      <w:r w:rsidR="000636C2">
        <w:rPr>
          <w:rFonts w:hint="cs"/>
          <w:rtl/>
        </w:rPr>
        <w:t>،</w:t>
      </w:r>
      <w:r w:rsidRPr="005675B2">
        <w:rPr>
          <w:rFonts w:hint="cs"/>
          <w:rtl/>
        </w:rPr>
        <w:t xml:space="preserve"> ولكن العبد لا يخلق الفعل</w:t>
      </w:r>
      <w:r w:rsidR="000636C2">
        <w:rPr>
          <w:rFonts w:hint="cs"/>
          <w:rtl/>
        </w:rPr>
        <w:t>،</w:t>
      </w:r>
      <w:r w:rsidRPr="005675B2">
        <w:rPr>
          <w:rFonts w:hint="cs"/>
          <w:rtl/>
        </w:rPr>
        <w:t xml:space="preserve"> وخالق أفعال العباد هو الله تبارك وتعالى</w:t>
      </w:r>
      <w:r w:rsidR="000636C2">
        <w:rPr>
          <w:rFonts w:hint="cs"/>
          <w:rtl/>
        </w:rPr>
        <w:t>،</w:t>
      </w:r>
      <w:r w:rsidRPr="005675B2">
        <w:rPr>
          <w:rFonts w:hint="cs"/>
          <w:rtl/>
        </w:rPr>
        <w:t xml:space="preserve"> وكأن الباحث لا يتصور قدرة إلا مؤثرة</w:t>
      </w:r>
      <w:r w:rsidR="000636C2">
        <w:rPr>
          <w:rFonts w:hint="cs"/>
          <w:rtl/>
        </w:rPr>
        <w:t>!،</w:t>
      </w:r>
    </w:p>
    <w:p w14:paraId="2BE974E0" w14:textId="77777777" w:rsidR="009C32A0" w:rsidRPr="005675B2" w:rsidRDefault="009C32A0" w:rsidP="000636C2">
      <w:pPr>
        <w:jc w:val="center"/>
        <w:rPr>
          <w:b/>
          <w:rtl/>
        </w:rPr>
      </w:pPr>
      <w:r w:rsidRPr="005675B2">
        <w:rPr>
          <w:rFonts w:hint="cs"/>
          <w:rtl/>
        </w:rPr>
        <w:t>***</w:t>
      </w:r>
    </w:p>
    <w:p w14:paraId="3635706B" w14:textId="3C23ABC0" w:rsidR="009C32A0" w:rsidRPr="005675B2" w:rsidRDefault="000636C2" w:rsidP="000636C2">
      <w:pPr>
        <w:jc w:val="center"/>
        <w:rPr>
          <w:bCs/>
          <w:rtl/>
        </w:rPr>
      </w:pPr>
      <w:r>
        <w:rPr>
          <w:rFonts w:hint="cs"/>
          <w:bCs/>
          <w:rtl/>
        </w:rPr>
        <w:t>[</w:t>
      </w:r>
      <w:r w:rsidR="009C32A0" w:rsidRPr="005675B2">
        <w:rPr>
          <w:rFonts w:hint="cs"/>
          <w:bCs/>
          <w:rtl/>
        </w:rPr>
        <w:t>الموضوع السابع</w:t>
      </w:r>
      <w:r>
        <w:rPr>
          <w:rFonts w:hint="cs"/>
          <w:bCs/>
          <w:rtl/>
        </w:rPr>
        <w:t>:</w:t>
      </w:r>
      <w:r w:rsidR="009C32A0" w:rsidRPr="005675B2">
        <w:rPr>
          <w:rFonts w:hint="cs"/>
          <w:bCs/>
          <w:rtl/>
        </w:rPr>
        <w:t xml:space="preserve"> السببية وأفعال المخلوقات</w:t>
      </w:r>
      <w:r>
        <w:rPr>
          <w:rFonts w:hint="cs"/>
          <w:bCs/>
          <w:rtl/>
        </w:rPr>
        <w:t>]</w:t>
      </w:r>
    </w:p>
    <w:p w14:paraId="3B2697CE" w14:textId="2C6CEE7E" w:rsidR="009C32A0" w:rsidRPr="005675B2" w:rsidRDefault="009C32A0" w:rsidP="000636C2">
      <w:pPr>
        <w:rPr>
          <w:b/>
          <w:rtl/>
        </w:rPr>
      </w:pPr>
      <w:r w:rsidRPr="005675B2">
        <w:rPr>
          <w:rFonts w:hint="cs"/>
          <w:b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ينكر الأشاعرة الربط العادي بإطلاق وأن يكون شيء يؤثر في شيء</w:t>
      </w:r>
      <w:r w:rsidR="000636C2">
        <w:rPr>
          <w:rFonts w:hint="cs"/>
          <w:rtl/>
        </w:rPr>
        <w:t xml:space="preserve">، </w:t>
      </w:r>
      <w:r w:rsidRPr="005675B2">
        <w:t>…</w:t>
      </w:r>
      <w:r w:rsidRPr="005675B2">
        <w:rPr>
          <w:rFonts w:hint="cs"/>
          <w:rtl/>
        </w:rPr>
        <w:t xml:space="preserve"> فلا ارتباط عندهم بين سبب ومسبَّب أصلاً</w:t>
      </w:r>
      <w:r w:rsidR="000636C2">
        <w:rPr>
          <w:rFonts w:hint="cs"/>
          <w:rtl/>
        </w:rPr>
        <w:t xml:space="preserve">]، </w:t>
      </w: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فمثلاً عندهم من قال إن النار تحرق بطبعها أو هي علة الإحراق فهو كافر مشرك</w:t>
      </w:r>
      <w:r w:rsidR="000636C2">
        <w:rPr>
          <w:rFonts w:hint="cs"/>
          <w:rtl/>
        </w:rPr>
        <w:t>،</w:t>
      </w:r>
      <w:r w:rsidRPr="005675B2">
        <w:rPr>
          <w:rFonts w:hint="cs"/>
          <w:rtl/>
        </w:rPr>
        <w:t xml:space="preserve"> لأنه لا فاعل عندهم إلا الله مطلقاً</w:t>
      </w:r>
      <w:r w:rsidR="000636C2">
        <w:rPr>
          <w:rFonts w:hint="cs"/>
          <w:rtl/>
        </w:rPr>
        <w:t>]،</w:t>
      </w:r>
    </w:p>
    <w:p w14:paraId="529A98FE" w14:textId="32A0CE32" w:rsidR="009C32A0" w:rsidRPr="005675B2" w:rsidRDefault="009C32A0" w:rsidP="000636C2">
      <w:pPr>
        <w:rPr>
          <w:b/>
          <w:rtl/>
        </w:rPr>
      </w:pPr>
      <w:r w:rsidRPr="005675B2">
        <w:rPr>
          <w:rFonts w:hint="cs"/>
          <w:bCs/>
          <w:rtl/>
        </w:rPr>
        <w:t>أقول</w:t>
      </w:r>
      <w:r w:rsidR="000636C2">
        <w:rPr>
          <w:rFonts w:hint="cs"/>
          <w:rtl/>
        </w:rPr>
        <w:t xml:space="preserve">: </w:t>
      </w:r>
      <w:r w:rsidRPr="005675B2">
        <w:rPr>
          <w:rFonts w:hint="cs"/>
          <w:rtl/>
        </w:rPr>
        <w:t>1 - الأشاعرة لا ينكرون الربط العادي بإطلاق</w:t>
      </w:r>
      <w:r w:rsidR="000636C2">
        <w:rPr>
          <w:rFonts w:hint="cs"/>
          <w:rtl/>
        </w:rPr>
        <w:t>،</w:t>
      </w:r>
      <w:r w:rsidRPr="005675B2">
        <w:rPr>
          <w:rFonts w:hint="cs"/>
          <w:rtl/>
        </w:rPr>
        <w:t xml:space="preserve"> فمن المشاهد أن النار تحرق ما هو قابل للاحتراق</w:t>
      </w:r>
      <w:r w:rsidR="000636C2">
        <w:rPr>
          <w:rFonts w:hint="cs"/>
          <w:rtl/>
        </w:rPr>
        <w:t>،</w:t>
      </w:r>
      <w:r w:rsidRPr="005675B2">
        <w:rPr>
          <w:rFonts w:hint="cs"/>
          <w:rtl/>
        </w:rPr>
        <w:t xml:space="preserve"> والسكين تقطع ما هو قابل للقطع</w:t>
      </w:r>
      <w:r w:rsidR="000636C2">
        <w:rPr>
          <w:rFonts w:hint="cs"/>
          <w:rtl/>
        </w:rPr>
        <w:t>،</w:t>
      </w:r>
      <w:r w:rsidRPr="005675B2">
        <w:rPr>
          <w:rFonts w:hint="cs"/>
          <w:rtl/>
        </w:rPr>
        <w:t xml:space="preserve"> والطعام يشبع الجائع</w:t>
      </w:r>
      <w:r w:rsidR="000636C2">
        <w:rPr>
          <w:rFonts w:hint="cs"/>
          <w:rtl/>
        </w:rPr>
        <w:t>،</w:t>
      </w:r>
      <w:r w:rsidRPr="005675B2">
        <w:rPr>
          <w:rFonts w:hint="cs"/>
          <w:rtl/>
        </w:rPr>
        <w:t xml:space="preserve"> وذلك حسبما جرت به العادة</w:t>
      </w:r>
      <w:r w:rsidR="000636C2">
        <w:rPr>
          <w:rFonts w:hint="cs"/>
          <w:rtl/>
        </w:rPr>
        <w:t>،</w:t>
      </w:r>
      <w:r w:rsidRPr="005675B2">
        <w:rPr>
          <w:rFonts w:hint="cs"/>
          <w:rtl/>
        </w:rPr>
        <w:t xml:space="preserve"> وهذا أمر مشاهد محسوس لم ينكره أحد </w:t>
      </w:r>
      <w:r w:rsidR="000636C2">
        <w:rPr>
          <w:rFonts w:hint="cs"/>
          <w:rtl/>
        </w:rPr>
        <w:t>[</w:t>
      </w:r>
      <w:r w:rsidRPr="005675B2">
        <w:rPr>
          <w:rFonts w:hint="cs"/>
          <w:rtl/>
        </w:rPr>
        <w:t>بإطلاق</w:t>
      </w:r>
      <w:r w:rsidR="000636C2">
        <w:rPr>
          <w:rFonts w:hint="cs"/>
          <w:rtl/>
        </w:rPr>
        <w:t xml:space="preserve">]، </w:t>
      </w:r>
      <w:r w:rsidRPr="005675B2">
        <w:rPr>
          <w:rFonts w:hint="cs"/>
          <w:rtl/>
        </w:rPr>
        <w:t>2 - الأمر الذي ينكره الأشاعرة هو ادعاء كثير من الفلاسفة بأن النار مؤثرة بذاتها</w:t>
      </w:r>
      <w:r w:rsidR="000636C2">
        <w:rPr>
          <w:rFonts w:hint="cs"/>
          <w:rtl/>
        </w:rPr>
        <w:t>،</w:t>
      </w:r>
      <w:r w:rsidRPr="005675B2">
        <w:rPr>
          <w:rFonts w:hint="cs"/>
          <w:rtl/>
        </w:rPr>
        <w:t xml:space="preserve"> أي إنها تحرق لأنها لا بد أن تكون محرقة</w:t>
      </w:r>
      <w:r w:rsidR="000636C2">
        <w:rPr>
          <w:rFonts w:hint="cs"/>
          <w:rtl/>
        </w:rPr>
        <w:t>،</w:t>
      </w:r>
      <w:r w:rsidRPr="005675B2">
        <w:rPr>
          <w:rFonts w:hint="cs"/>
          <w:rtl/>
        </w:rPr>
        <w:t xml:space="preserve"> ويعتقدون أنها لا يمكن أن تنفك عن صفة الإحراق</w:t>
      </w:r>
      <w:r w:rsidR="000636C2">
        <w:rPr>
          <w:rFonts w:hint="cs"/>
          <w:rtl/>
        </w:rPr>
        <w:t>،</w:t>
      </w:r>
      <w:r w:rsidRPr="005675B2">
        <w:rPr>
          <w:rFonts w:hint="cs"/>
          <w:rtl/>
        </w:rPr>
        <w:t xml:space="preserve"> وبالتالي فإن الله تبارك وتعالى عندهم لا يقدر على أن يجعلها غير محرقة</w:t>
      </w:r>
      <w:r w:rsidR="000636C2">
        <w:rPr>
          <w:rFonts w:hint="cs"/>
          <w:rtl/>
        </w:rPr>
        <w:t>،</w:t>
      </w:r>
      <w:r w:rsidRPr="005675B2">
        <w:rPr>
          <w:rFonts w:hint="cs"/>
          <w:rtl/>
        </w:rPr>
        <w:t xml:space="preserve"> وكذا السكين في القطع</w:t>
      </w:r>
      <w:r w:rsidR="000636C2">
        <w:rPr>
          <w:rFonts w:hint="cs"/>
          <w:rtl/>
        </w:rPr>
        <w:t>،</w:t>
      </w:r>
      <w:r w:rsidRPr="005675B2">
        <w:rPr>
          <w:rFonts w:hint="cs"/>
          <w:rtl/>
        </w:rPr>
        <w:t xml:space="preserve"> والطعام في الإشباع</w:t>
      </w:r>
      <w:r w:rsidR="000636C2">
        <w:rPr>
          <w:rFonts w:hint="cs"/>
          <w:rtl/>
        </w:rPr>
        <w:t>،</w:t>
      </w:r>
      <w:r w:rsidRPr="005675B2">
        <w:rPr>
          <w:rFonts w:hint="cs"/>
          <w:rtl/>
        </w:rPr>
        <w:t xml:space="preserve"> وهكذا…</w:t>
      </w:r>
      <w:r w:rsidR="000636C2">
        <w:rPr>
          <w:rFonts w:hint="cs"/>
          <w:rtl/>
        </w:rPr>
        <w:t>،</w:t>
      </w:r>
      <w:r w:rsidRPr="005675B2">
        <w:rPr>
          <w:rFonts w:hint="cs"/>
          <w:rtl/>
        </w:rPr>
        <w:t xml:space="preserve"> ولذا فإنهم ينكرون المعجزات</w:t>
      </w:r>
      <w:r w:rsidR="000636C2">
        <w:rPr>
          <w:rFonts w:hint="cs"/>
          <w:rtl/>
        </w:rPr>
        <w:t>،</w:t>
      </w:r>
      <w:r w:rsidRPr="005675B2">
        <w:rPr>
          <w:rFonts w:hint="cs"/>
          <w:rtl/>
        </w:rPr>
        <w:t xml:space="preserve"> كعدم إحراق النار لخليل الله إبراهيم عليه السلام</w:t>
      </w:r>
      <w:r w:rsidR="000636C2">
        <w:rPr>
          <w:rFonts w:hint="cs"/>
          <w:rtl/>
        </w:rPr>
        <w:t>،</w:t>
      </w:r>
      <w:r w:rsidRPr="005675B2">
        <w:rPr>
          <w:rFonts w:hint="cs"/>
          <w:rtl/>
        </w:rPr>
        <w:t xml:space="preserve"> وينكرون كل ما يتوهمون أنه مخالف لتأثيرات الأسباب في المسببات</w:t>
      </w:r>
      <w:r w:rsidR="000636C2">
        <w:rPr>
          <w:rFonts w:hint="cs"/>
          <w:rtl/>
        </w:rPr>
        <w:t>،</w:t>
      </w:r>
      <w:r w:rsidRPr="005675B2">
        <w:rPr>
          <w:rFonts w:hint="cs"/>
          <w:rtl/>
        </w:rPr>
        <w:t xml:space="preserve"> كالبعث والنشور</w:t>
      </w:r>
      <w:r w:rsidR="000636C2">
        <w:rPr>
          <w:rFonts w:hint="cs"/>
          <w:rtl/>
        </w:rPr>
        <w:t>،</w:t>
      </w:r>
      <w:r w:rsidRPr="005675B2">
        <w:rPr>
          <w:rFonts w:hint="cs"/>
          <w:rtl/>
        </w:rPr>
        <w:t xml:space="preserve"> وكاستمرار حياة الكفار في جهنم مع عظيم نارها وشدة إحراقها</w:t>
      </w:r>
      <w:r w:rsidR="000636C2">
        <w:rPr>
          <w:rFonts w:hint="cs"/>
          <w:rtl/>
        </w:rPr>
        <w:t>،</w:t>
      </w:r>
      <w:r w:rsidRPr="005675B2">
        <w:rPr>
          <w:rFonts w:hint="cs"/>
          <w:rtl/>
        </w:rPr>
        <w:t xml:space="preserve"> فالأشاعرة لا ينكرون الارتباط بين السبب والمسبَّب أصلاً كما فهمه الباحث</w:t>
      </w:r>
      <w:r w:rsidR="000636C2">
        <w:rPr>
          <w:rFonts w:hint="cs"/>
          <w:rtl/>
        </w:rPr>
        <w:t>،</w:t>
      </w:r>
      <w:r w:rsidRPr="005675B2">
        <w:rPr>
          <w:rFonts w:hint="cs"/>
          <w:rtl/>
        </w:rPr>
        <w:t xml:space="preserve"> ولكن يعتقدون أن الله سبحانه وتعالى هو خالق الأسباب والمسبَّبات</w:t>
      </w:r>
      <w:r w:rsidR="000636C2">
        <w:rPr>
          <w:rFonts w:hint="cs"/>
          <w:rtl/>
        </w:rPr>
        <w:t>،</w:t>
      </w:r>
      <w:r w:rsidRPr="005675B2">
        <w:rPr>
          <w:rFonts w:hint="cs"/>
          <w:rtl/>
        </w:rPr>
        <w:t xml:space="preserve"> وهو يخلق الإحراق عند ملاقاة النار</w:t>
      </w:r>
      <w:r w:rsidR="000636C2">
        <w:rPr>
          <w:rFonts w:hint="cs"/>
          <w:rtl/>
        </w:rPr>
        <w:t>،</w:t>
      </w:r>
      <w:r w:rsidRPr="005675B2">
        <w:rPr>
          <w:rFonts w:hint="cs"/>
          <w:rtl/>
        </w:rPr>
        <w:t xml:space="preserve"> والقطعَ عند إمرار السكين</w:t>
      </w:r>
      <w:r w:rsidR="000636C2">
        <w:rPr>
          <w:rFonts w:hint="cs"/>
          <w:rtl/>
        </w:rPr>
        <w:t>،</w:t>
      </w:r>
      <w:r w:rsidRPr="005675B2">
        <w:rPr>
          <w:rFonts w:hint="cs"/>
          <w:rtl/>
        </w:rPr>
        <w:t xml:space="preserve"> والشبعَ عند تناول الطعام</w:t>
      </w:r>
      <w:r w:rsidR="000636C2">
        <w:rPr>
          <w:rFonts w:hint="cs"/>
          <w:rtl/>
        </w:rPr>
        <w:t>،</w:t>
      </w:r>
      <w:r w:rsidRPr="005675B2">
        <w:rPr>
          <w:rFonts w:hint="cs"/>
          <w:rtl/>
        </w:rPr>
        <w:t xml:space="preserve"> ولو أراد أن لا يخلق تلك المسبَّبات عند وجود تلك الأسباب لفعل ما يشاء ولتخلفت المسبَّبات عن الأسباب</w:t>
      </w:r>
      <w:r w:rsidR="000636C2">
        <w:rPr>
          <w:rFonts w:hint="cs"/>
          <w:rtl/>
        </w:rPr>
        <w:t>،</w:t>
      </w:r>
      <w:r w:rsidRPr="005675B2">
        <w:rPr>
          <w:rFonts w:hint="cs"/>
          <w:rtl/>
        </w:rPr>
        <w:t xml:space="preserve"> فالتأثير من الله تعالى عند وجود السبب</w:t>
      </w:r>
      <w:r w:rsidR="000636C2">
        <w:rPr>
          <w:rFonts w:hint="cs"/>
          <w:rtl/>
        </w:rPr>
        <w:t>،</w:t>
      </w:r>
      <w:r w:rsidRPr="005675B2">
        <w:rPr>
          <w:rFonts w:hint="cs"/>
          <w:rtl/>
        </w:rPr>
        <w:t xml:space="preserve"> لا من السبب ذاته</w:t>
      </w:r>
      <w:r w:rsidR="000636C2">
        <w:rPr>
          <w:rFonts w:hint="cs"/>
          <w:rtl/>
        </w:rPr>
        <w:t>،</w:t>
      </w:r>
      <w:r w:rsidRPr="005675B2">
        <w:rPr>
          <w:rFonts w:hint="cs"/>
          <w:rtl/>
        </w:rPr>
        <w:t xml:space="preserve"> وهذا كالقول في خلق أفعال العباد</w:t>
      </w:r>
      <w:r w:rsidR="000636C2">
        <w:rPr>
          <w:rFonts w:hint="cs"/>
          <w:rtl/>
        </w:rPr>
        <w:t>،</w:t>
      </w:r>
      <w:r w:rsidRPr="005675B2">
        <w:rPr>
          <w:rFonts w:hint="cs"/>
          <w:rtl/>
        </w:rPr>
        <w:t xml:space="preserve"> إذ العبد مكتسب لأفعاله الاختيارية وليس خالقاً لها</w:t>
      </w:r>
      <w:r w:rsidR="000636C2">
        <w:rPr>
          <w:rFonts w:hint="cs"/>
          <w:rtl/>
        </w:rPr>
        <w:t>،</w:t>
      </w:r>
      <w:r w:rsidRPr="005675B2">
        <w:rPr>
          <w:rFonts w:hint="cs"/>
          <w:rtl/>
        </w:rPr>
        <w:t xml:space="preserve"> وخالقها هو الله سبحانه وتعالى</w:t>
      </w:r>
      <w:r w:rsidR="000636C2">
        <w:rPr>
          <w:rFonts w:hint="cs"/>
          <w:rtl/>
        </w:rPr>
        <w:t>،</w:t>
      </w:r>
      <w:r w:rsidRPr="005675B2">
        <w:rPr>
          <w:rFonts w:hint="cs"/>
          <w:rtl/>
        </w:rPr>
        <w:t xml:space="preserve"> قال السنوسي رحمه الله في المقدمات</w:t>
      </w:r>
      <w:r w:rsidR="000636C2">
        <w:rPr>
          <w:rFonts w:hint="cs"/>
          <w:rtl/>
        </w:rPr>
        <w:t>:</w:t>
      </w:r>
      <w:r w:rsidRPr="005675B2">
        <w:rPr>
          <w:rFonts w:hint="cs"/>
          <w:rtl/>
        </w:rPr>
        <w:t xml:space="preserve"> </w:t>
      </w:r>
      <w:r w:rsidR="000636C2">
        <w:rPr>
          <w:rFonts w:hint="cs"/>
          <w:rtl/>
        </w:rPr>
        <w:t>[</w:t>
      </w:r>
      <w:r w:rsidRPr="005675B2">
        <w:rPr>
          <w:rFonts w:hint="cs"/>
          <w:rtl/>
        </w:rPr>
        <w:t>أما الحكم العادي فهو إثبات الربط بين أمر وأمر وجوداً</w:t>
      </w:r>
      <w:r w:rsidR="000636C2">
        <w:rPr>
          <w:rFonts w:hint="cs"/>
          <w:rtl/>
        </w:rPr>
        <w:t xml:space="preserve"> </w:t>
      </w:r>
      <w:r w:rsidRPr="005675B2">
        <w:rPr>
          <w:rFonts w:hint="cs"/>
          <w:rtl/>
        </w:rPr>
        <w:t>أو عدماً بواسطة التكرر</w:t>
      </w:r>
      <w:r w:rsidR="000636C2">
        <w:rPr>
          <w:rFonts w:hint="cs"/>
          <w:rtl/>
        </w:rPr>
        <w:t>،</w:t>
      </w:r>
      <w:r w:rsidRPr="005675B2">
        <w:rPr>
          <w:rFonts w:hint="cs"/>
          <w:rtl/>
        </w:rPr>
        <w:t xml:space="preserve"> مع صحة التخلف وعدم تأثير أحدهما في الآخر البتة</w:t>
      </w:r>
      <w:r w:rsidR="000636C2">
        <w:rPr>
          <w:rFonts w:hint="cs"/>
          <w:rtl/>
        </w:rPr>
        <w:t>]،</w:t>
      </w:r>
      <w:r w:rsidRPr="005675B2">
        <w:rPr>
          <w:rFonts w:hint="cs"/>
          <w:rtl/>
        </w:rPr>
        <w:t xml:space="preserve"> وقال في شرح قوله </w:t>
      </w:r>
      <w:r w:rsidR="000636C2">
        <w:rPr>
          <w:rFonts w:hint="cs"/>
          <w:rtl/>
        </w:rPr>
        <w:t>[</w:t>
      </w:r>
      <w:r w:rsidRPr="005675B2">
        <w:rPr>
          <w:rFonts w:hint="cs"/>
          <w:rtl/>
        </w:rPr>
        <w:t>مع صحة التخلف وعدم تأثير أحدهما في الآخر البتة</w:t>
      </w:r>
      <w:r w:rsidR="000636C2">
        <w:rPr>
          <w:rFonts w:hint="cs"/>
          <w:rtl/>
        </w:rPr>
        <w:t>]:</w:t>
      </w:r>
      <w:r w:rsidRPr="005675B2">
        <w:rPr>
          <w:rFonts w:hint="cs"/>
          <w:rtl/>
        </w:rPr>
        <w:t xml:space="preserve"> </w:t>
      </w:r>
      <w:r w:rsidR="000636C2">
        <w:rPr>
          <w:rFonts w:hint="cs"/>
          <w:rtl/>
        </w:rPr>
        <w:t>[</w:t>
      </w:r>
      <w:r w:rsidRPr="005675B2">
        <w:rPr>
          <w:rFonts w:hint="cs"/>
          <w:rtl/>
        </w:rPr>
        <w:t>لم نذكره لبيان حقيقة الحـكم العادي</w:t>
      </w:r>
      <w:r w:rsidR="000636C2">
        <w:rPr>
          <w:rFonts w:hint="cs"/>
          <w:rtl/>
        </w:rPr>
        <w:t>،</w:t>
      </w:r>
      <w:r w:rsidRPr="005675B2">
        <w:rPr>
          <w:rFonts w:hint="cs"/>
          <w:rtl/>
        </w:rPr>
        <w:t xml:space="preserve"> بل لل</w:t>
      </w:r>
      <w:r w:rsidR="000636C2">
        <w:rPr>
          <w:rFonts w:hint="cs"/>
          <w:rtl/>
        </w:rPr>
        <w:t>(</w:t>
      </w:r>
      <w:r>
        <w:rPr>
          <w:rFonts w:hint="cs"/>
          <w:rtl/>
        </w:rPr>
        <w:t>تنبيه</w:t>
      </w:r>
      <w:r w:rsidR="000636C2">
        <w:rPr>
          <w:rFonts w:hint="cs"/>
          <w:rtl/>
        </w:rPr>
        <w:t>)</w:t>
      </w:r>
      <w:r w:rsidRPr="005675B2">
        <w:rPr>
          <w:rFonts w:hint="cs"/>
          <w:rtl/>
        </w:rPr>
        <w:t xml:space="preserve"> على تحقيق علم ودفع جهالة ابتلي بها الأكثر في الأحـكام العادية</w:t>
      </w:r>
      <w:r w:rsidR="000636C2">
        <w:rPr>
          <w:rFonts w:hint="cs"/>
          <w:rtl/>
        </w:rPr>
        <w:t>،</w:t>
      </w:r>
      <w:r w:rsidRPr="005675B2">
        <w:rPr>
          <w:rFonts w:hint="cs"/>
          <w:rtl/>
        </w:rPr>
        <w:t>… فأنكر بسبب هذه الجهالة البعث وإحياء الميت من القبر والخلود في النار مع استمرار الحياة</w:t>
      </w:r>
      <w:r w:rsidR="000636C2">
        <w:rPr>
          <w:rFonts w:hint="cs"/>
          <w:rtl/>
        </w:rPr>
        <w:t>،</w:t>
      </w:r>
      <w:r w:rsidRPr="005675B2">
        <w:rPr>
          <w:rFonts w:hint="cs"/>
          <w:rtl/>
        </w:rPr>
        <w:t xml:space="preserve"> لأن ذلك كله عندهم على خلاف العادة المستمرة في الشاهد</w:t>
      </w:r>
      <w:r w:rsidR="000636C2">
        <w:rPr>
          <w:rFonts w:hint="cs"/>
          <w:rtl/>
        </w:rPr>
        <w:t>،</w:t>
      </w:r>
      <w:r w:rsidRPr="005675B2">
        <w:rPr>
          <w:rFonts w:hint="cs"/>
          <w:rtl/>
        </w:rPr>
        <w:t xml:space="preserve"> والربطُ المقترن فيها لا يصح فيه التخلف عندهم</w:t>
      </w:r>
      <w:r w:rsidR="000636C2">
        <w:rPr>
          <w:rFonts w:hint="cs"/>
          <w:rtl/>
        </w:rPr>
        <w:t>]</w:t>
      </w:r>
      <w:r w:rsidRPr="005675B2">
        <w:rPr>
          <w:rFonts w:hint="cs"/>
          <w:rtl/>
        </w:rPr>
        <w:t xml:space="preserve"> </w:t>
      </w:r>
      <w:r w:rsidR="000636C2">
        <w:rPr>
          <w:rFonts w:hint="cs"/>
          <w:rtl/>
        </w:rPr>
        <w:t>[</w:t>
      </w:r>
      <w:r w:rsidRPr="005675B2">
        <w:rPr>
          <w:rFonts w:hint="cs"/>
          <w:sz w:val="24"/>
          <w:szCs w:val="24"/>
          <w:rtl/>
        </w:rPr>
        <w:t xml:space="preserve">شرح المقدمات للسنوسي: ص 23 </w:t>
      </w:r>
      <w:r w:rsidRPr="005675B2">
        <w:rPr>
          <w:sz w:val="24"/>
          <w:szCs w:val="24"/>
        </w:rPr>
        <w:t>–</w:t>
      </w:r>
      <w:r w:rsidRPr="005675B2">
        <w:rPr>
          <w:rFonts w:hint="cs"/>
          <w:sz w:val="24"/>
          <w:szCs w:val="24"/>
          <w:rtl/>
        </w:rPr>
        <w:t xml:space="preserve"> 24</w:t>
      </w:r>
      <w:r w:rsidR="000636C2">
        <w:rPr>
          <w:rFonts w:hint="cs"/>
          <w:sz w:val="24"/>
          <w:szCs w:val="24"/>
          <w:rtl/>
        </w:rPr>
        <w:t>]</w:t>
      </w:r>
      <w:r w:rsidR="000636C2">
        <w:rPr>
          <w:rFonts w:hint="cs"/>
          <w:rtl/>
        </w:rPr>
        <w:t>،</w:t>
      </w:r>
      <w:r w:rsidRPr="005675B2">
        <w:rPr>
          <w:rFonts w:hint="cs"/>
          <w:rtl/>
        </w:rPr>
        <w:t xml:space="preserve"> فمن فهم مذهب الأشاعرة وردَّهم على الفلاسفة أدرك أن من يقول بأن النار تحرق بطبعها أو هي علة الإحراق وهو يعني ما يقول فهو كافر مشرك</w:t>
      </w:r>
      <w:r w:rsidR="000636C2">
        <w:rPr>
          <w:rFonts w:hint="cs"/>
          <w:rtl/>
        </w:rPr>
        <w:t xml:space="preserve">، </w:t>
      </w:r>
      <w:r w:rsidRPr="005675B2">
        <w:rPr>
          <w:rFonts w:hint="cs"/>
          <w:rtl/>
        </w:rPr>
        <w:t>3 - قال عز الدين ابن عبد السلام رحمه الله تعالى</w:t>
      </w:r>
      <w:r w:rsidR="000636C2">
        <w:rPr>
          <w:rFonts w:hint="cs"/>
          <w:rtl/>
        </w:rPr>
        <w:t>:</w:t>
      </w:r>
      <w:r w:rsidRPr="005675B2">
        <w:rPr>
          <w:rFonts w:hint="cs"/>
          <w:rtl/>
        </w:rPr>
        <w:t xml:space="preserve"> والعجب أنهم يذمون الأشعري بقوله إن الخبز لا يُشبع والماءَ لا يروي والنارَ لا تحرق</w:t>
      </w:r>
      <w:r w:rsidR="000636C2">
        <w:rPr>
          <w:rFonts w:hint="cs"/>
          <w:rtl/>
        </w:rPr>
        <w:t>،</w:t>
      </w:r>
      <w:r w:rsidRPr="005675B2">
        <w:rPr>
          <w:rFonts w:hint="cs"/>
          <w:rtl/>
        </w:rPr>
        <w:t xml:space="preserve"> وهذا كلام أنزل الله معناه في كتابه</w:t>
      </w:r>
      <w:r w:rsidR="000636C2">
        <w:rPr>
          <w:rFonts w:hint="cs"/>
          <w:rtl/>
        </w:rPr>
        <w:t>،</w:t>
      </w:r>
      <w:r w:rsidRPr="005675B2">
        <w:rPr>
          <w:rFonts w:hint="cs"/>
          <w:rtl/>
        </w:rPr>
        <w:t xml:space="preserve"> فإن الشبع والري والإحراق حوادث انفرد الرب بخلقها</w:t>
      </w:r>
      <w:r w:rsidR="000636C2">
        <w:rPr>
          <w:rFonts w:hint="cs"/>
          <w:rtl/>
        </w:rPr>
        <w:t>،</w:t>
      </w:r>
      <w:r w:rsidRPr="005675B2">
        <w:rPr>
          <w:rFonts w:hint="cs"/>
          <w:rtl/>
        </w:rPr>
        <w:t xml:space="preserve"> فلم يخلق الخبزُ الشبعَ</w:t>
      </w:r>
      <w:r w:rsidR="000636C2">
        <w:rPr>
          <w:rFonts w:hint="cs"/>
          <w:rtl/>
        </w:rPr>
        <w:t>،</w:t>
      </w:r>
      <w:r w:rsidRPr="005675B2">
        <w:rPr>
          <w:rFonts w:hint="cs"/>
          <w:rtl/>
        </w:rPr>
        <w:t xml:space="preserve"> ولم يخلق الماءُ الري</w:t>
      </w:r>
      <w:r w:rsidR="000636C2">
        <w:rPr>
          <w:rFonts w:hint="cs"/>
          <w:rtl/>
        </w:rPr>
        <w:t>،</w:t>
      </w:r>
      <w:r w:rsidRPr="005675B2">
        <w:rPr>
          <w:rFonts w:hint="cs"/>
          <w:rtl/>
        </w:rPr>
        <w:t xml:space="preserve"> ولم تخلق النارُ الإحراق</w:t>
      </w:r>
      <w:r w:rsidR="000636C2">
        <w:rPr>
          <w:rFonts w:hint="cs"/>
          <w:rtl/>
        </w:rPr>
        <w:t>،</w:t>
      </w:r>
      <w:r w:rsidRPr="005675B2">
        <w:rPr>
          <w:rFonts w:hint="cs"/>
          <w:rtl/>
        </w:rPr>
        <w:t xml:space="preserve"> وإن كانت أسباباً في ذلك</w:t>
      </w:r>
      <w:r w:rsidR="000636C2">
        <w:rPr>
          <w:rFonts w:hint="cs"/>
          <w:rtl/>
        </w:rPr>
        <w:t>،</w:t>
      </w:r>
      <w:r w:rsidRPr="005675B2">
        <w:rPr>
          <w:rFonts w:hint="cs"/>
          <w:rtl/>
        </w:rPr>
        <w:t xml:space="preserve"> فالخالق هو المسبِّب دون السبب</w:t>
      </w:r>
      <w:r w:rsidR="000636C2">
        <w:rPr>
          <w:rFonts w:hint="cs"/>
          <w:rtl/>
        </w:rPr>
        <w:t>،</w:t>
      </w:r>
      <w:r w:rsidRPr="005675B2">
        <w:rPr>
          <w:rFonts w:hint="cs"/>
          <w:rtl/>
        </w:rPr>
        <w:t xml:space="preserve"> كما قال تعالى </w:t>
      </w:r>
      <w:r w:rsidR="000636C2">
        <w:rPr>
          <w:rFonts w:hint="cs"/>
          <w:rtl/>
        </w:rPr>
        <w:t>[</w:t>
      </w:r>
      <w:r w:rsidRPr="005675B2">
        <w:rPr>
          <w:rFonts w:hint="cs"/>
          <w:rtl/>
        </w:rPr>
        <w:t>وَمَا رَمَيْتَ إِذْ رَمَيْتَ وَلَكِنَّ اللَّهَ رَمَى</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الأنفال آية 17</w:t>
      </w:r>
      <w:r w:rsidR="000636C2">
        <w:rPr>
          <w:rFonts w:hint="cs"/>
          <w:sz w:val="24"/>
          <w:szCs w:val="24"/>
          <w:rtl/>
        </w:rPr>
        <w:t>]</w:t>
      </w:r>
      <w:r w:rsidRPr="005675B2">
        <w:rPr>
          <w:rFonts w:hint="cs"/>
          <w:rtl/>
        </w:rPr>
        <w:t xml:space="preserve"> … وقد قال تعالى </w:t>
      </w:r>
      <w:r w:rsidR="000636C2">
        <w:rPr>
          <w:rFonts w:hint="cs"/>
          <w:rtl/>
        </w:rPr>
        <w:t>[</w:t>
      </w:r>
      <w:r w:rsidRPr="005675B2">
        <w:rPr>
          <w:rFonts w:hint="cs"/>
          <w:rtl/>
        </w:rPr>
        <w:t>وَأَنَّهُ هُوَ أَضْحَكَ وَأَبْكَى</w:t>
      </w:r>
      <w:r w:rsidR="000636C2">
        <w:rPr>
          <w:rFonts w:hint="cs"/>
          <w:rtl/>
        </w:rPr>
        <w:t>]</w:t>
      </w:r>
      <w:r w:rsidRPr="005675B2">
        <w:rPr>
          <w:rFonts w:hint="cs"/>
          <w:rtl/>
        </w:rPr>
        <w:t xml:space="preserve"> [</w:t>
      </w:r>
      <w:r w:rsidRPr="005675B2">
        <w:rPr>
          <w:rFonts w:hint="cs"/>
          <w:sz w:val="24"/>
          <w:szCs w:val="24"/>
          <w:rtl/>
        </w:rPr>
        <w:t>العقائد للعز ابن عبد السلام: ص 24 . والآية من سورة النجم 43</w:t>
      </w:r>
      <w:r w:rsidR="000636C2">
        <w:rPr>
          <w:rFonts w:hint="cs"/>
          <w:sz w:val="24"/>
          <w:szCs w:val="24"/>
          <w:rtl/>
        </w:rPr>
        <w:t>]</w:t>
      </w:r>
      <w:r w:rsidRPr="005675B2">
        <w:rPr>
          <w:rFonts w:hint="cs"/>
          <w:rtl/>
        </w:rPr>
        <w:t>،</w:t>
      </w:r>
    </w:p>
    <w:p w14:paraId="0FEC3C57" w14:textId="77777777" w:rsidR="009C32A0" w:rsidRPr="005675B2" w:rsidRDefault="009C32A0" w:rsidP="000636C2">
      <w:pPr>
        <w:jc w:val="center"/>
        <w:rPr>
          <w:b/>
          <w:rtl/>
        </w:rPr>
      </w:pPr>
      <w:r w:rsidRPr="005675B2">
        <w:rPr>
          <w:rFonts w:hint="cs"/>
          <w:rtl/>
        </w:rPr>
        <w:t>***</w:t>
      </w:r>
    </w:p>
    <w:p w14:paraId="74D396F1" w14:textId="1D607600" w:rsidR="009C32A0" w:rsidRPr="005675B2" w:rsidRDefault="000636C2" w:rsidP="000636C2">
      <w:pPr>
        <w:jc w:val="center"/>
        <w:rPr>
          <w:bCs/>
          <w:rtl/>
        </w:rPr>
      </w:pPr>
      <w:r>
        <w:rPr>
          <w:rFonts w:hint="cs"/>
          <w:bCs/>
          <w:rtl/>
        </w:rPr>
        <w:t>[</w:t>
      </w:r>
      <w:r w:rsidR="009C32A0" w:rsidRPr="005675B2">
        <w:rPr>
          <w:rFonts w:hint="cs"/>
          <w:bCs/>
          <w:rtl/>
        </w:rPr>
        <w:t>الموضوع الثامن</w:t>
      </w:r>
      <w:r>
        <w:rPr>
          <w:rFonts w:hint="cs"/>
          <w:bCs/>
          <w:rtl/>
        </w:rPr>
        <w:t xml:space="preserve">: </w:t>
      </w:r>
      <w:r w:rsidR="009C32A0" w:rsidRPr="005675B2">
        <w:rPr>
          <w:rFonts w:hint="cs"/>
          <w:bCs/>
          <w:rtl/>
        </w:rPr>
        <w:t>الحكمة الغائية</w:t>
      </w:r>
      <w:r>
        <w:rPr>
          <w:rFonts w:hint="cs"/>
          <w:bCs/>
          <w:rtl/>
        </w:rPr>
        <w:t>]</w:t>
      </w:r>
    </w:p>
    <w:p w14:paraId="7452845F" w14:textId="058E408E"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ينفي الأشاعرة قطعاً أن يكون لشيء من أفعال الله تعالى علة مشتملة على حكمة</w:t>
      </w:r>
      <w:r w:rsidR="000636C2">
        <w:rPr>
          <w:rFonts w:hint="cs"/>
          <w:rtl/>
        </w:rPr>
        <w:t xml:space="preserve">، </w:t>
      </w:r>
      <w:r w:rsidRPr="005675B2">
        <w:t>…</w:t>
      </w:r>
      <w:r w:rsidRPr="005675B2">
        <w:rPr>
          <w:rFonts w:hint="cs"/>
          <w:rtl/>
        </w:rPr>
        <w:t xml:space="preserve"> وجعلوا أفعاله تعالى كلها راجعة إلى محض المشيئة ولا تعلق لصفة أخرى كالحكمة مثلاً بها</w:t>
      </w:r>
      <w:r w:rsidR="000636C2">
        <w:rPr>
          <w:rFonts w:hint="cs"/>
          <w:rtl/>
        </w:rPr>
        <w:t>،</w:t>
      </w:r>
      <w:r w:rsidRPr="005675B2">
        <w:rPr>
          <w:rFonts w:hint="cs"/>
          <w:rtl/>
        </w:rPr>
        <w:t xml:space="preserve"> ورتبوا على هذا أصولاً فاسدة</w:t>
      </w:r>
      <w:r w:rsidR="000636C2">
        <w:rPr>
          <w:rFonts w:hint="cs"/>
          <w:rtl/>
        </w:rPr>
        <w:t>،</w:t>
      </w:r>
      <w:r w:rsidRPr="005675B2">
        <w:rPr>
          <w:rFonts w:hint="cs"/>
          <w:rtl/>
        </w:rPr>
        <w:t xml:space="preserve"> كقولهم بجواز أن يخلد الله في النار أخلص أوليائه ويخلد في الجنة أفجر الكفار</w:t>
      </w:r>
      <w:r w:rsidR="000636C2">
        <w:rPr>
          <w:rFonts w:hint="cs"/>
          <w:rtl/>
        </w:rPr>
        <w:t>،</w:t>
      </w:r>
      <w:r w:rsidRPr="005675B2">
        <w:rPr>
          <w:rFonts w:hint="cs"/>
          <w:rtl/>
        </w:rPr>
        <w:t xml:space="preserve"> وجواز التكليف بما لا يطاق</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ولهذا لم يثبت الأشاعرة الحكمة مع الصفات السبع</w:t>
      </w:r>
      <w:r w:rsidR="000636C2">
        <w:rPr>
          <w:rFonts w:hint="cs"/>
          <w:rtl/>
        </w:rPr>
        <w:t>]،</w:t>
      </w:r>
    </w:p>
    <w:p w14:paraId="1CAD3536" w14:textId="4B0292DA"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الأشاعرة ينفون أن يكون لشيء من أفعال الله تعالى علة</w:t>
      </w:r>
      <w:r w:rsidR="000636C2">
        <w:rPr>
          <w:rFonts w:hint="cs"/>
          <w:rtl/>
        </w:rPr>
        <w:t>،</w:t>
      </w:r>
      <w:r w:rsidRPr="005675B2">
        <w:rPr>
          <w:rFonts w:hint="cs"/>
          <w:rtl/>
        </w:rPr>
        <w:t xml:space="preserve"> بمعنى أن له غرضاً</w:t>
      </w:r>
      <w:r w:rsidR="000636C2">
        <w:rPr>
          <w:rFonts w:hint="cs"/>
          <w:rtl/>
        </w:rPr>
        <w:t>،</w:t>
      </w:r>
      <w:r w:rsidRPr="005675B2">
        <w:rPr>
          <w:rFonts w:hint="cs"/>
          <w:rtl/>
        </w:rPr>
        <w:t xml:space="preserve"> وينفون كذلك أن يكون لشيء من أفعاله حكمة بهذا المعنى</w:t>
      </w:r>
      <w:r w:rsidR="000636C2">
        <w:rPr>
          <w:rFonts w:hint="cs"/>
          <w:rtl/>
        </w:rPr>
        <w:t>،</w:t>
      </w:r>
      <w:r w:rsidRPr="005675B2">
        <w:rPr>
          <w:rFonts w:hint="cs"/>
          <w:rtl/>
        </w:rPr>
        <w:t xml:space="preserve"> كمن يسعى من قيامه بما يفعله إلى تحقيق الغرض الباعث على الفعل</w:t>
      </w:r>
      <w:r w:rsidR="000636C2">
        <w:rPr>
          <w:rFonts w:hint="cs"/>
          <w:rtl/>
        </w:rPr>
        <w:t>،</w:t>
      </w:r>
      <w:r w:rsidRPr="005675B2">
        <w:rPr>
          <w:rFonts w:hint="cs"/>
          <w:rtl/>
        </w:rPr>
        <w:t xml:space="preserve"> فالإنسان يستبد به حبه لشيء فيقدم على أفعال وتصرفات لولا ذلك الحب لما أقدم عليها</w:t>
      </w:r>
      <w:r w:rsidR="000636C2">
        <w:rPr>
          <w:rFonts w:hint="cs"/>
          <w:rtl/>
        </w:rPr>
        <w:t>،</w:t>
      </w:r>
      <w:r w:rsidRPr="005675B2">
        <w:rPr>
          <w:rFonts w:hint="cs"/>
          <w:rtl/>
        </w:rPr>
        <w:t xml:space="preserve"> وكذا الكره والبغض</w:t>
      </w:r>
      <w:r w:rsidR="000636C2">
        <w:rPr>
          <w:rFonts w:hint="cs"/>
          <w:rtl/>
        </w:rPr>
        <w:t>،</w:t>
      </w:r>
      <w:r w:rsidRPr="005675B2">
        <w:rPr>
          <w:rFonts w:hint="cs"/>
          <w:rtl/>
        </w:rPr>
        <w:t xml:space="preserve"> وكذا الفرح أو الحزن أو الغيرة</w:t>
      </w:r>
      <w:r w:rsidR="000636C2">
        <w:rPr>
          <w:rFonts w:hint="cs"/>
          <w:rtl/>
        </w:rPr>
        <w:t>،</w:t>
      </w:r>
      <w:r w:rsidRPr="005675B2">
        <w:rPr>
          <w:rFonts w:hint="cs"/>
          <w:rtl/>
        </w:rPr>
        <w:t xml:space="preserve"> والله تبارك وتعالى منزه عن ذلك</w:t>
      </w:r>
      <w:r w:rsidR="000636C2">
        <w:rPr>
          <w:rFonts w:hint="cs"/>
          <w:rtl/>
        </w:rPr>
        <w:t>،</w:t>
      </w:r>
      <w:r w:rsidRPr="005675B2">
        <w:rPr>
          <w:rFonts w:hint="cs"/>
          <w:rtl/>
        </w:rPr>
        <w:t xml:space="preserve"> ولا يفعل الفعل إلا لإرادته الفعل</w:t>
      </w:r>
      <w:r w:rsidR="000636C2">
        <w:rPr>
          <w:rFonts w:hint="cs"/>
          <w:rtl/>
        </w:rPr>
        <w:t>،</w:t>
      </w:r>
      <w:r w:rsidRPr="005675B2">
        <w:rPr>
          <w:rFonts w:hint="cs"/>
          <w:rtl/>
        </w:rPr>
        <w:t xml:space="preserve"> لا لتحقيق غرض من الأغراض</w:t>
      </w:r>
      <w:r w:rsidR="000636C2">
        <w:rPr>
          <w:rFonts w:hint="cs"/>
          <w:rtl/>
        </w:rPr>
        <w:t>،</w:t>
      </w:r>
      <w:r w:rsidRPr="005675B2">
        <w:rPr>
          <w:rFonts w:hint="cs"/>
          <w:rtl/>
        </w:rPr>
        <w:t xml:space="preserve"> قال عضد الدين الإيجي</w:t>
      </w:r>
      <w:r w:rsidR="000636C2">
        <w:rPr>
          <w:rFonts w:hint="cs"/>
          <w:rtl/>
        </w:rPr>
        <w:t>:</w:t>
      </w:r>
      <w:r w:rsidRPr="005675B2">
        <w:rPr>
          <w:rFonts w:hint="cs"/>
          <w:rtl/>
        </w:rPr>
        <w:t xml:space="preserve"> </w:t>
      </w:r>
      <w:r w:rsidR="000636C2">
        <w:rPr>
          <w:rFonts w:hint="cs"/>
          <w:rtl/>
        </w:rPr>
        <w:t>[</w:t>
      </w:r>
      <w:r w:rsidRPr="005675B2">
        <w:rPr>
          <w:rFonts w:hint="cs"/>
          <w:rtl/>
        </w:rPr>
        <w:t>أفعال الله تعالى ليست معللة بالأغراض</w:t>
      </w:r>
      <w:r w:rsidR="000636C2">
        <w:rPr>
          <w:rFonts w:hint="cs"/>
          <w:rtl/>
        </w:rPr>
        <w:t>]،</w:t>
      </w:r>
      <w:r w:rsidRPr="005675B2">
        <w:rPr>
          <w:rFonts w:hint="cs"/>
          <w:rtl/>
        </w:rPr>
        <w:t xml:space="preserve"> ثم قال رحمه الله</w:t>
      </w:r>
      <w:r w:rsidR="000636C2">
        <w:rPr>
          <w:rFonts w:hint="cs"/>
          <w:rtl/>
        </w:rPr>
        <w:t>:</w:t>
      </w:r>
      <w:r w:rsidRPr="005675B2">
        <w:rPr>
          <w:rFonts w:hint="cs"/>
          <w:rtl/>
        </w:rPr>
        <w:t xml:space="preserve"> </w:t>
      </w:r>
      <w:r w:rsidR="000636C2">
        <w:rPr>
          <w:rFonts w:hint="cs"/>
          <w:rtl/>
        </w:rPr>
        <w:t>[</w:t>
      </w:r>
      <w:r w:rsidRPr="005675B2">
        <w:rPr>
          <w:rFonts w:hint="cs"/>
          <w:rtl/>
        </w:rPr>
        <w:t>لو كان فعله تعالى لغرض لكان ناقصاً لذاته مستكملاً بتحصيل ذلك الغرض</w:t>
      </w:r>
      <w:r w:rsidR="000636C2">
        <w:rPr>
          <w:rFonts w:hint="cs"/>
          <w:rtl/>
        </w:rPr>
        <w:t>] [</w:t>
      </w:r>
      <w:r w:rsidRPr="005675B2">
        <w:rPr>
          <w:rFonts w:hint="cs"/>
          <w:sz w:val="24"/>
          <w:szCs w:val="24"/>
          <w:rtl/>
        </w:rPr>
        <w:t>المواقف للإيجي: ص 331</w:t>
      </w:r>
      <w:r w:rsidR="000636C2">
        <w:rPr>
          <w:rFonts w:hint="cs"/>
          <w:sz w:val="24"/>
          <w:szCs w:val="24"/>
          <w:rtl/>
        </w:rPr>
        <w:t>]</w:t>
      </w:r>
      <w:r w:rsidR="000636C2">
        <w:rPr>
          <w:rFonts w:hint="cs"/>
          <w:rtl/>
        </w:rPr>
        <w:t>،</w:t>
      </w:r>
      <w:r w:rsidRPr="005675B2">
        <w:rPr>
          <w:rFonts w:hint="cs"/>
          <w:rtl/>
        </w:rPr>
        <w:t xml:space="preserve"> وقال السنوسي</w:t>
      </w:r>
      <w:r w:rsidR="000636C2">
        <w:rPr>
          <w:rFonts w:hint="cs"/>
          <w:rtl/>
        </w:rPr>
        <w:t>:</w:t>
      </w:r>
      <w:r w:rsidRPr="005675B2">
        <w:rPr>
          <w:rFonts w:hint="cs"/>
          <w:rtl/>
        </w:rPr>
        <w:t xml:space="preserve"> </w:t>
      </w:r>
      <w:r w:rsidR="000636C2">
        <w:rPr>
          <w:rFonts w:hint="cs"/>
          <w:rtl/>
        </w:rPr>
        <w:t>[</w:t>
      </w:r>
      <w:r w:rsidRPr="005675B2">
        <w:rPr>
          <w:rFonts w:hint="cs"/>
          <w:rtl/>
        </w:rPr>
        <w:t>ويؤخذ منه تنزهه تعالى عن الأغراض في أفعاله وأحكامه</w:t>
      </w:r>
      <w:r w:rsidR="000636C2">
        <w:rPr>
          <w:rFonts w:hint="cs"/>
          <w:rtl/>
        </w:rPr>
        <w:t>،</w:t>
      </w:r>
      <w:r w:rsidRPr="005675B2">
        <w:rPr>
          <w:rFonts w:hint="cs"/>
          <w:rtl/>
        </w:rPr>
        <w:t xml:space="preserve"> وإلا لزم افتقاره إلى ما يحصل غرضه</w:t>
      </w:r>
      <w:r w:rsidR="000636C2">
        <w:rPr>
          <w:rFonts w:hint="cs"/>
          <w:rtl/>
        </w:rPr>
        <w:t>،</w:t>
      </w:r>
      <w:r w:rsidRPr="005675B2">
        <w:rPr>
          <w:rFonts w:hint="cs"/>
          <w:rtl/>
        </w:rPr>
        <w:t xml:space="preserve"> كيف وهو جل وعز الغني عن كل ما سواه</w:t>
      </w:r>
      <w:r w:rsidR="000636C2">
        <w:rPr>
          <w:rFonts w:hint="cs"/>
          <w:rtl/>
        </w:rPr>
        <w:t>؟!</w:t>
      </w:r>
      <w:r w:rsidRPr="005675B2">
        <w:rPr>
          <w:rFonts w:hint="cs"/>
          <w:rtl/>
        </w:rPr>
        <w:t>‍</w:t>
      </w:r>
      <w:r w:rsidR="000636C2">
        <w:rPr>
          <w:rFonts w:hint="cs"/>
          <w:rtl/>
        </w:rPr>
        <w:t>]</w:t>
      </w:r>
      <w:r w:rsidRPr="005675B2">
        <w:rPr>
          <w:rFonts w:hint="cs"/>
          <w:rtl/>
        </w:rPr>
        <w:t xml:space="preserve"> [</w:t>
      </w:r>
      <w:r w:rsidRPr="005675B2">
        <w:rPr>
          <w:rFonts w:hint="cs"/>
          <w:sz w:val="24"/>
          <w:szCs w:val="24"/>
          <w:rtl/>
        </w:rPr>
        <w:t>أم البراهين للسنوسي: ص 8</w:t>
      </w:r>
      <w:r w:rsidR="000636C2">
        <w:rPr>
          <w:rFonts w:hint="cs"/>
          <w:sz w:val="24"/>
          <w:szCs w:val="24"/>
          <w:rtl/>
        </w:rPr>
        <w:t>]</w:t>
      </w:r>
      <w:r w:rsidR="000636C2">
        <w:rPr>
          <w:rFonts w:hint="cs"/>
          <w:rtl/>
        </w:rPr>
        <w:t>،</w:t>
      </w:r>
      <w:r w:rsidRPr="005675B2">
        <w:rPr>
          <w:rFonts w:hint="cs"/>
          <w:rtl/>
        </w:rPr>
        <w:t xml:space="preserve"> وبمثل قولهم يقول شيخ الحنابلة القاضي أبو يعلى</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ولا يجوز أن يفعل الله سبحانه الشيء لغرض ولا لداع</w:t>
      </w:r>
      <w:r w:rsidR="000636C2">
        <w:rPr>
          <w:rFonts w:hint="cs"/>
          <w:rtl/>
        </w:rPr>
        <w:t>]</w:t>
      </w:r>
      <w:r w:rsidRPr="005675B2">
        <w:rPr>
          <w:rFonts w:hint="cs"/>
          <w:rtl/>
        </w:rPr>
        <w:t xml:space="preserve"> [</w:t>
      </w:r>
      <w:r w:rsidRPr="005675B2">
        <w:rPr>
          <w:rFonts w:hint="cs"/>
          <w:sz w:val="24"/>
          <w:szCs w:val="24"/>
          <w:rtl/>
        </w:rPr>
        <w:t>المعتمد في أصول الدين: ص 148</w:t>
      </w:r>
      <w:r w:rsidR="000636C2">
        <w:rPr>
          <w:rFonts w:hint="cs"/>
          <w:sz w:val="24"/>
          <w:szCs w:val="24"/>
          <w:rtl/>
        </w:rPr>
        <w:t>]</w:t>
      </w:r>
      <w:r w:rsidR="000636C2">
        <w:rPr>
          <w:rFonts w:hint="cs"/>
          <w:rtl/>
        </w:rPr>
        <w:t xml:space="preserve">، </w:t>
      </w:r>
      <w:r w:rsidRPr="005675B2">
        <w:rPr>
          <w:rFonts w:hint="cs"/>
          <w:rtl/>
        </w:rPr>
        <w:t>2 - في كلام الباحث تعريض بالأشاعرة كأنهم لا يثبتون لله تعالى صفة الحكمة</w:t>
      </w:r>
      <w:r w:rsidR="000636C2">
        <w:rPr>
          <w:rFonts w:hint="cs"/>
          <w:rtl/>
        </w:rPr>
        <w:t>!</w:t>
      </w:r>
      <w:r w:rsidRPr="005675B2">
        <w:rPr>
          <w:rFonts w:hint="cs"/>
          <w:rtl/>
        </w:rPr>
        <w:t xml:space="preserve"> والواقع هو أن الأشاعرة يثبتون صفة الحكمة لله تعالى في كلامهم</w:t>
      </w:r>
      <w:r w:rsidR="000636C2">
        <w:rPr>
          <w:rFonts w:hint="cs"/>
          <w:rtl/>
        </w:rPr>
        <w:t>،</w:t>
      </w:r>
      <w:r w:rsidRPr="005675B2">
        <w:rPr>
          <w:rFonts w:hint="cs"/>
          <w:rtl/>
        </w:rPr>
        <w:t xml:space="preserve"> لكن لا مع الصفات السبع</w:t>
      </w:r>
      <w:r w:rsidR="000636C2">
        <w:rPr>
          <w:rFonts w:hint="cs"/>
          <w:rtl/>
        </w:rPr>
        <w:t>،</w:t>
      </w:r>
      <w:r w:rsidRPr="005675B2">
        <w:rPr>
          <w:rFonts w:hint="cs"/>
          <w:rtl/>
        </w:rPr>
        <w:t xml:space="preserve"> 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أول الواجبات على المكلف النظر والاستدلال المؤديان إلى المعرفة بالله تعالى وبصفاته وتوحيده وعدله وحكمته</w:t>
      </w:r>
      <w:r w:rsidR="000636C2">
        <w:rPr>
          <w:rFonts w:hint="cs"/>
          <w:rtl/>
        </w:rPr>
        <w:t>]</w:t>
      </w:r>
      <w:r w:rsidRPr="005675B2">
        <w:rPr>
          <w:rFonts w:hint="cs"/>
          <w:rtl/>
        </w:rPr>
        <w:t xml:space="preserve"> [</w:t>
      </w:r>
      <w:r w:rsidRPr="005675B2">
        <w:rPr>
          <w:rFonts w:hint="cs"/>
          <w:sz w:val="24"/>
          <w:szCs w:val="24"/>
          <w:rtl/>
        </w:rPr>
        <w:t>أصول الدين لأبي منصور البغدادي: ص</w:t>
      </w:r>
      <w:r w:rsidR="000636C2">
        <w:rPr>
          <w:rFonts w:hint="cs"/>
          <w:sz w:val="24"/>
          <w:szCs w:val="24"/>
          <w:rtl/>
        </w:rPr>
        <w:t>]</w:t>
      </w:r>
      <w:r w:rsidRPr="005675B2">
        <w:rPr>
          <w:rFonts w:hint="cs"/>
          <w:rtl/>
        </w:rPr>
        <w:t>، وقال البيهقي</w:t>
      </w:r>
      <w:r w:rsidR="000636C2">
        <w:rPr>
          <w:rFonts w:hint="cs"/>
          <w:rtl/>
        </w:rPr>
        <w:t>:</w:t>
      </w:r>
      <w:r w:rsidRPr="005675B2">
        <w:rPr>
          <w:rFonts w:hint="cs"/>
          <w:rtl/>
        </w:rPr>
        <w:t xml:space="preserve"> </w:t>
      </w:r>
      <w:r w:rsidR="000636C2">
        <w:rPr>
          <w:rFonts w:hint="cs"/>
          <w:rtl/>
        </w:rPr>
        <w:t>[</w:t>
      </w:r>
      <w:r w:rsidRPr="005675B2">
        <w:rPr>
          <w:rFonts w:hint="cs"/>
          <w:rtl/>
        </w:rPr>
        <w:t>وفي هذا دلالة واضحة على أن العالم مخلوق بتدبير وتقدير ونظام</w:t>
      </w:r>
      <w:r w:rsidR="000636C2">
        <w:rPr>
          <w:rFonts w:hint="cs"/>
          <w:rtl/>
        </w:rPr>
        <w:t>،</w:t>
      </w:r>
      <w:r w:rsidRPr="005675B2">
        <w:rPr>
          <w:rFonts w:hint="cs"/>
          <w:rtl/>
        </w:rPr>
        <w:t xml:space="preserve"> وأن له صانعاً حكيماً تام القدرة بالغ الحكمة</w:t>
      </w:r>
      <w:r w:rsidR="000636C2">
        <w:rPr>
          <w:rFonts w:hint="cs"/>
          <w:rtl/>
        </w:rPr>
        <w:t>]،</w:t>
      </w:r>
      <w:r w:rsidRPr="005675B2">
        <w:rPr>
          <w:rFonts w:hint="cs"/>
          <w:rtl/>
        </w:rPr>
        <w:t xml:space="preserve"> ثم قال البيهقي عن الله تبارك وتعالى</w:t>
      </w:r>
      <w:r w:rsidR="000636C2">
        <w:rPr>
          <w:rFonts w:hint="cs"/>
          <w:rtl/>
        </w:rPr>
        <w:t>:</w:t>
      </w:r>
      <w:r w:rsidRPr="005675B2">
        <w:rPr>
          <w:rFonts w:hint="cs"/>
          <w:rtl/>
        </w:rPr>
        <w:t xml:space="preserve"> </w:t>
      </w:r>
      <w:r w:rsidR="000636C2">
        <w:rPr>
          <w:rFonts w:hint="cs"/>
          <w:rtl/>
        </w:rPr>
        <w:t>[</w:t>
      </w:r>
      <w:r w:rsidRPr="005675B2">
        <w:rPr>
          <w:rFonts w:hint="cs"/>
          <w:rtl/>
        </w:rPr>
        <w:t>يدبر الأمور بحكمته</w:t>
      </w:r>
      <w:r w:rsidR="000636C2">
        <w:rPr>
          <w:rFonts w:hint="cs"/>
          <w:rtl/>
        </w:rPr>
        <w:t>،</w:t>
      </w:r>
      <w:r w:rsidRPr="005675B2">
        <w:rPr>
          <w:rFonts w:hint="cs"/>
          <w:rtl/>
        </w:rPr>
        <w:t xml:space="preserve"> ويصرفها على مشيئته</w:t>
      </w:r>
      <w:r w:rsidR="000636C2">
        <w:rPr>
          <w:rFonts w:hint="cs"/>
          <w:rtl/>
        </w:rPr>
        <w:t>]</w:t>
      </w:r>
      <w:r w:rsidRPr="005675B2">
        <w:rPr>
          <w:rFonts w:hint="cs"/>
          <w:rtl/>
        </w:rPr>
        <w:t xml:space="preserve"> [</w:t>
      </w:r>
      <w:r w:rsidRPr="005675B2">
        <w:rPr>
          <w:rFonts w:hint="cs"/>
          <w:sz w:val="24"/>
          <w:szCs w:val="24"/>
          <w:rtl/>
        </w:rPr>
        <w:t>الاعتقاد للبيهقي: ص 11</w:t>
      </w:r>
      <w:r w:rsidR="000636C2">
        <w:rPr>
          <w:rFonts w:hint="cs"/>
          <w:sz w:val="24"/>
          <w:szCs w:val="24"/>
          <w:rtl/>
        </w:rPr>
        <w:t>،</w:t>
      </w:r>
      <w:r w:rsidRPr="005675B2">
        <w:rPr>
          <w:rFonts w:hint="cs"/>
          <w:sz w:val="24"/>
          <w:szCs w:val="24"/>
          <w:rtl/>
        </w:rPr>
        <w:t xml:space="preserve"> 30</w:t>
      </w:r>
      <w:r w:rsidR="000636C2">
        <w:rPr>
          <w:rFonts w:hint="cs"/>
          <w:sz w:val="24"/>
          <w:szCs w:val="24"/>
          <w:rtl/>
        </w:rPr>
        <w:t>]</w:t>
      </w:r>
      <w:r w:rsidRPr="005675B2">
        <w:rPr>
          <w:rFonts w:hint="cs"/>
          <w:rtl/>
        </w:rPr>
        <w:t>، وقال أبو المظفر الاسفراييني</w:t>
      </w:r>
      <w:r w:rsidR="000636C2">
        <w:rPr>
          <w:rFonts w:hint="cs"/>
          <w:rtl/>
        </w:rPr>
        <w:t>:</w:t>
      </w:r>
      <w:r w:rsidRPr="005675B2">
        <w:rPr>
          <w:rFonts w:hint="cs"/>
          <w:rtl/>
        </w:rPr>
        <w:t xml:space="preserve"> </w:t>
      </w:r>
      <w:r w:rsidR="000636C2">
        <w:rPr>
          <w:rFonts w:hint="cs"/>
          <w:rtl/>
        </w:rPr>
        <w:t>[</w:t>
      </w:r>
      <w:r w:rsidRPr="005675B2">
        <w:rPr>
          <w:rFonts w:hint="cs"/>
          <w:rtl/>
        </w:rPr>
        <w:t>اعلموا</w:t>
      </w:r>
      <w:r w:rsidR="000636C2">
        <w:rPr>
          <w:rFonts w:hint="cs"/>
          <w:rtl/>
        </w:rPr>
        <w:t xml:space="preserve"> </w:t>
      </w:r>
      <w:r w:rsidRPr="005675B2">
        <w:rPr>
          <w:rFonts w:hint="cs"/>
          <w:rtl/>
        </w:rPr>
        <w:t>- أسعدكم الله</w:t>
      </w:r>
      <w:r w:rsidR="000636C2">
        <w:rPr>
          <w:rFonts w:hint="cs"/>
          <w:rtl/>
        </w:rPr>
        <w:t xml:space="preserve"> </w:t>
      </w:r>
      <w:r w:rsidRPr="005675B2">
        <w:rPr>
          <w:rFonts w:hint="cs"/>
          <w:rtl/>
        </w:rPr>
        <w:t>- أن الله تبارك وتعالى أمر عبده بمعرفته في ذاته وصفاته وعدله وحكمته وكماله في صفته ونفوذ مشيئته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التبصير في الدين لأبي المظفر الاسفراييني: ص 13</w:t>
      </w:r>
      <w:r w:rsidR="000636C2">
        <w:rPr>
          <w:rFonts w:hint="cs"/>
          <w:sz w:val="24"/>
          <w:szCs w:val="24"/>
          <w:rtl/>
        </w:rPr>
        <w:t>]</w:t>
      </w:r>
      <w:r w:rsidR="000636C2">
        <w:rPr>
          <w:rFonts w:hint="cs"/>
          <w:rtl/>
        </w:rPr>
        <w:t>،</w:t>
      </w:r>
      <w:r w:rsidRPr="005675B2">
        <w:rPr>
          <w:rFonts w:hint="cs"/>
          <w:rtl/>
        </w:rPr>
        <w:t xml:space="preserve"> وقال القاضي عياض عن الله تبارك وتعالى</w:t>
      </w:r>
      <w:r w:rsidR="000636C2">
        <w:rPr>
          <w:rFonts w:hint="cs"/>
          <w:rtl/>
        </w:rPr>
        <w:t>:</w:t>
      </w:r>
      <w:r w:rsidRPr="005675B2">
        <w:rPr>
          <w:rFonts w:hint="cs"/>
          <w:rtl/>
        </w:rPr>
        <w:t xml:space="preserve"> </w:t>
      </w:r>
      <w:r w:rsidR="000636C2">
        <w:rPr>
          <w:rFonts w:hint="cs"/>
          <w:rtl/>
        </w:rPr>
        <w:t>[</w:t>
      </w:r>
      <w:r w:rsidRPr="005675B2">
        <w:rPr>
          <w:rFonts w:hint="cs"/>
          <w:rtl/>
        </w:rPr>
        <w:t>بل قضاؤه كله حكمة وعدل</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الإعلام بحدود قواعد الإسلام للقاضي عياض: ص 6</w:t>
      </w:r>
      <w:r w:rsidR="000636C2">
        <w:rPr>
          <w:rFonts w:hint="cs"/>
          <w:sz w:val="24"/>
          <w:szCs w:val="24"/>
          <w:rtl/>
        </w:rPr>
        <w:t>]</w:t>
      </w:r>
      <w:r w:rsidR="000636C2">
        <w:rPr>
          <w:rFonts w:hint="cs"/>
          <w:rtl/>
        </w:rPr>
        <w:t>،</w:t>
      </w:r>
      <w:r w:rsidRPr="005675B2">
        <w:rPr>
          <w:rFonts w:hint="cs"/>
          <w:rtl/>
        </w:rPr>
        <w:t xml:space="preserve"> وقال ابن فورك</w:t>
      </w:r>
      <w:r w:rsidR="000636C2">
        <w:rPr>
          <w:rFonts w:hint="cs"/>
          <w:rtl/>
        </w:rPr>
        <w:t>:</w:t>
      </w:r>
      <w:r w:rsidRPr="005675B2">
        <w:rPr>
          <w:rFonts w:hint="cs"/>
          <w:rtl/>
        </w:rPr>
        <w:t xml:space="preserve"> </w:t>
      </w:r>
      <w:r w:rsidR="000636C2">
        <w:rPr>
          <w:rFonts w:hint="cs"/>
          <w:rtl/>
        </w:rPr>
        <w:t>[</w:t>
      </w:r>
      <w:r w:rsidRPr="005675B2">
        <w:rPr>
          <w:rFonts w:hint="cs"/>
          <w:rtl/>
        </w:rPr>
        <w:t>ودلت بدائعه على حكمته</w:t>
      </w:r>
      <w:r w:rsidR="000636C2">
        <w:rPr>
          <w:rFonts w:hint="cs"/>
          <w:rtl/>
        </w:rPr>
        <w:t>]</w:t>
      </w:r>
      <w:r w:rsidRPr="005675B2">
        <w:rPr>
          <w:rFonts w:hint="cs"/>
          <w:rtl/>
        </w:rPr>
        <w:t xml:space="preserve"> [</w:t>
      </w:r>
      <w:r w:rsidRPr="005675B2">
        <w:rPr>
          <w:rFonts w:hint="cs"/>
          <w:sz w:val="24"/>
          <w:szCs w:val="24"/>
          <w:rtl/>
        </w:rPr>
        <w:t>مشكل الحديث وبيانه لابن فورك: ص 33</w:t>
      </w:r>
      <w:r w:rsidR="000636C2">
        <w:rPr>
          <w:rFonts w:hint="cs"/>
          <w:sz w:val="24"/>
          <w:szCs w:val="24"/>
          <w:rtl/>
        </w:rPr>
        <w:t>]</w:t>
      </w:r>
      <w:r w:rsidRPr="005675B2">
        <w:rPr>
          <w:rFonts w:hint="cs"/>
          <w:rtl/>
        </w:rPr>
        <w:t>، وقال فخر الدين الرازي</w:t>
      </w:r>
      <w:r w:rsidR="000636C2">
        <w:rPr>
          <w:rFonts w:hint="cs"/>
          <w:rtl/>
        </w:rPr>
        <w:t>:</w:t>
      </w:r>
      <w:r w:rsidRPr="005675B2">
        <w:rPr>
          <w:rFonts w:hint="cs"/>
          <w:rtl/>
        </w:rPr>
        <w:t xml:space="preserve"> </w:t>
      </w:r>
      <w:r w:rsidR="000636C2">
        <w:rPr>
          <w:rFonts w:hint="cs"/>
          <w:rtl/>
        </w:rPr>
        <w:t>[</w:t>
      </w:r>
      <w:r w:rsidRPr="005675B2">
        <w:rPr>
          <w:rFonts w:hint="cs"/>
          <w:rtl/>
        </w:rPr>
        <w:t>الخالق المدبر بالحكمة البالغة</w:t>
      </w:r>
      <w:r w:rsidR="000636C2">
        <w:rPr>
          <w:rFonts w:hint="cs"/>
          <w:rtl/>
        </w:rPr>
        <w:t>]</w:t>
      </w:r>
      <w:r w:rsidRPr="005675B2">
        <w:rPr>
          <w:rFonts w:hint="cs"/>
          <w:rtl/>
        </w:rPr>
        <w:t xml:space="preserve"> [</w:t>
      </w:r>
      <w:r w:rsidRPr="005675B2">
        <w:rPr>
          <w:rFonts w:hint="cs"/>
          <w:sz w:val="24"/>
          <w:szCs w:val="24"/>
          <w:rtl/>
        </w:rPr>
        <w:t>مفاتيح الغيب لفخر الدين الرازي: 2/ 108</w:t>
      </w:r>
      <w:r w:rsidR="000636C2">
        <w:rPr>
          <w:rFonts w:hint="cs"/>
          <w:sz w:val="24"/>
          <w:szCs w:val="24"/>
          <w:rtl/>
        </w:rPr>
        <w:t>]</w:t>
      </w:r>
      <w:r w:rsidR="000636C2">
        <w:rPr>
          <w:rFonts w:hint="cs"/>
          <w:rtl/>
        </w:rPr>
        <w:t xml:space="preserve">، </w:t>
      </w:r>
      <w:r w:rsidRPr="005675B2">
        <w:rPr>
          <w:rFonts w:hint="cs"/>
          <w:rtl/>
        </w:rPr>
        <w:t>3 - اعلم</w:t>
      </w:r>
      <w:r w:rsidR="000636C2">
        <w:rPr>
          <w:rFonts w:hint="cs"/>
          <w:rtl/>
        </w:rPr>
        <w:t xml:space="preserve"> </w:t>
      </w:r>
      <w:r w:rsidRPr="005675B2">
        <w:rPr>
          <w:rFonts w:hint="cs"/>
          <w:rtl/>
        </w:rPr>
        <w:t>- أيها المنصف</w:t>
      </w:r>
      <w:r w:rsidR="000636C2">
        <w:rPr>
          <w:rFonts w:hint="cs"/>
          <w:rtl/>
        </w:rPr>
        <w:t xml:space="preserve"> </w:t>
      </w:r>
      <w:r w:rsidRPr="005675B2">
        <w:rPr>
          <w:rFonts w:hint="cs"/>
          <w:rtl/>
        </w:rPr>
        <w:t>- أن بعض الفلاسفة يقولون إن أفعال الله تعالى من خلق وتقدير وإبداع كلها يجب أن تكون حسب الحكمة</w:t>
      </w:r>
      <w:r w:rsidR="000636C2">
        <w:rPr>
          <w:rFonts w:hint="cs"/>
          <w:rtl/>
        </w:rPr>
        <w:t>،</w:t>
      </w:r>
      <w:r w:rsidRPr="005675B2">
        <w:rPr>
          <w:rFonts w:hint="cs"/>
          <w:rtl/>
        </w:rPr>
        <w:t xml:space="preserve"> وهي واقعة على وفق الحكمة</w:t>
      </w:r>
      <w:r w:rsidR="000636C2">
        <w:rPr>
          <w:rFonts w:hint="cs"/>
          <w:rtl/>
        </w:rPr>
        <w:t>،</w:t>
      </w:r>
      <w:r w:rsidRPr="005675B2">
        <w:rPr>
          <w:rFonts w:hint="cs"/>
          <w:rtl/>
        </w:rPr>
        <w:t xml:space="preserve"> ويتصورون أنها لا يمكن أن تكون على غير ما هي عليه</w:t>
      </w:r>
      <w:r w:rsidR="000636C2">
        <w:rPr>
          <w:rFonts w:hint="cs"/>
          <w:rtl/>
        </w:rPr>
        <w:t>،</w:t>
      </w:r>
      <w:r w:rsidRPr="005675B2">
        <w:rPr>
          <w:rFonts w:hint="cs"/>
          <w:rtl/>
        </w:rPr>
        <w:t xml:space="preserve"> وإلا لكانت</w:t>
      </w:r>
      <w:r w:rsidR="000636C2">
        <w:rPr>
          <w:rFonts w:hint="cs"/>
          <w:rtl/>
        </w:rPr>
        <w:t xml:space="preserve"> </w:t>
      </w:r>
      <w:r w:rsidRPr="005675B2">
        <w:rPr>
          <w:rFonts w:hint="cs"/>
          <w:rtl/>
        </w:rPr>
        <w:t>- حسب فهمهم</w:t>
      </w:r>
      <w:r w:rsidR="000636C2">
        <w:rPr>
          <w:rFonts w:hint="cs"/>
          <w:rtl/>
        </w:rPr>
        <w:t xml:space="preserve"> </w:t>
      </w:r>
      <w:r w:rsidRPr="005675B2">
        <w:rPr>
          <w:rFonts w:hint="cs"/>
          <w:rtl/>
        </w:rPr>
        <w:t>- واقعة على خلاف ما تقتضيه الحكمة</w:t>
      </w:r>
      <w:r w:rsidR="000636C2">
        <w:rPr>
          <w:rFonts w:hint="cs"/>
          <w:rtl/>
        </w:rPr>
        <w:t>،</w:t>
      </w:r>
      <w:r w:rsidRPr="005675B2">
        <w:rPr>
          <w:rFonts w:hint="cs"/>
          <w:rtl/>
        </w:rPr>
        <w:t xml:space="preserve"> وهذا هو الذي يرده الأشاعرة</w:t>
      </w:r>
      <w:r w:rsidR="000636C2">
        <w:rPr>
          <w:rFonts w:hint="cs"/>
          <w:rtl/>
        </w:rPr>
        <w:t xml:space="preserve">، </w:t>
      </w:r>
      <w:r w:rsidRPr="005675B2">
        <w:rPr>
          <w:rFonts w:hint="cs"/>
          <w:rtl/>
        </w:rPr>
        <w:t>ويفسر أبو منصور البغدادي فهم الأشاعرة لصفة الحكمة إذ يقول</w:t>
      </w:r>
      <w:r w:rsidR="000636C2">
        <w:rPr>
          <w:rFonts w:hint="cs"/>
          <w:rtl/>
        </w:rPr>
        <w:t>:</w:t>
      </w:r>
      <w:r w:rsidRPr="005675B2">
        <w:rPr>
          <w:rFonts w:hint="cs"/>
          <w:rtl/>
        </w:rPr>
        <w:t xml:space="preserve"> </w:t>
      </w:r>
      <w:r w:rsidR="000636C2">
        <w:rPr>
          <w:rFonts w:hint="cs"/>
          <w:rtl/>
        </w:rPr>
        <w:t>[</w:t>
      </w:r>
      <w:r w:rsidRPr="005675B2">
        <w:rPr>
          <w:rFonts w:hint="cs"/>
          <w:rtl/>
        </w:rPr>
        <w:t>وقال أصحابنا إن الله حكيم في خلق كل خلق</w:t>
      </w:r>
      <w:r w:rsidR="000636C2">
        <w:rPr>
          <w:rFonts w:hint="cs"/>
          <w:rtl/>
        </w:rPr>
        <w:t>،</w:t>
      </w:r>
      <w:r w:rsidRPr="005675B2">
        <w:rPr>
          <w:rFonts w:hint="cs"/>
          <w:rtl/>
        </w:rPr>
        <w:t xml:space="preserve"> ولو لم يخلق الخلق لم يخرج عن الحكمة</w:t>
      </w:r>
      <w:r w:rsidR="000636C2">
        <w:rPr>
          <w:rFonts w:hint="cs"/>
          <w:rtl/>
        </w:rPr>
        <w:t>،</w:t>
      </w:r>
      <w:r w:rsidRPr="005675B2">
        <w:rPr>
          <w:rFonts w:hint="cs"/>
          <w:rtl/>
        </w:rPr>
        <w:t xml:space="preserve"> ولو خلق أضعاف ما خلق جاز</w:t>
      </w:r>
      <w:r w:rsidR="000636C2">
        <w:rPr>
          <w:rFonts w:hint="cs"/>
          <w:rtl/>
        </w:rPr>
        <w:t>،</w:t>
      </w:r>
      <w:r w:rsidRPr="005675B2">
        <w:rPr>
          <w:rFonts w:hint="cs"/>
          <w:rtl/>
        </w:rPr>
        <w:t xml:space="preserve"> ولو خلق الكفرة دون المؤمنين أو خلق المؤمنين دون الكفرة جاز</w:t>
      </w:r>
      <w:r w:rsidR="000636C2">
        <w:rPr>
          <w:rFonts w:hint="cs"/>
          <w:rtl/>
        </w:rPr>
        <w:t>،</w:t>
      </w:r>
      <w:r w:rsidRPr="005675B2">
        <w:rPr>
          <w:rFonts w:hint="cs"/>
          <w:rtl/>
        </w:rPr>
        <w:t xml:space="preserve"> ولو خلق الجمادات دون الأحياء أو الأحياء دون الجمادات جاز</w:t>
      </w:r>
      <w:r w:rsidR="000636C2">
        <w:rPr>
          <w:rFonts w:hint="cs"/>
          <w:rtl/>
        </w:rPr>
        <w:t>،</w:t>
      </w:r>
      <w:r w:rsidRPr="005675B2">
        <w:rPr>
          <w:rFonts w:hint="cs"/>
          <w:rtl/>
        </w:rPr>
        <w:t xml:space="preserve"> ولكانت كل هذه الوجوه منه صواباً وعدلاً وحكمة</w:t>
      </w:r>
      <w:r w:rsidR="000636C2">
        <w:rPr>
          <w:rFonts w:hint="cs"/>
          <w:rtl/>
        </w:rPr>
        <w:t>]</w:t>
      </w:r>
      <w:r w:rsidRPr="005675B2">
        <w:rPr>
          <w:rFonts w:hint="cs"/>
          <w:rtl/>
        </w:rPr>
        <w:t xml:space="preserve"> [</w:t>
      </w:r>
      <w:r w:rsidRPr="005675B2">
        <w:rPr>
          <w:rFonts w:hint="cs"/>
          <w:sz w:val="24"/>
          <w:szCs w:val="24"/>
          <w:rtl/>
        </w:rPr>
        <w:t>أصول الدين لأبي منصور البغدادي: ص 150</w:t>
      </w:r>
      <w:r w:rsidR="000636C2">
        <w:rPr>
          <w:rFonts w:hint="cs"/>
          <w:sz w:val="24"/>
          <w:szCs w:val="24"/>
          <w:rtl/>
        </w:rPr>
        <w:t>]</w:t>
      </w:r>
      <w:r w:rsidR="000636C2">
        <w:rPr>
          <w:rFonts w:hint="cs"/>
          <w:rtl/>
        </w:rPr>
        <w:t>،</w:t>
      </w:r>
      <w:r w:rsidRPr="005675B2">
        <w:rPr>
          <w:rFonts w:hint="cs"/>
          <w:rtl/>
        </w:rPr>
        <w:t xml:space="preserve"> ويقول الآمدي</w:t>
      </w:r>
      <w:r w:rsidR="000636C2">
        <w:rPr>
          <w:rFonts w:hint="cs"/>
          <w:rtl/>
        </w:rPr>
        <w:t>:</w:t>
      </w:r>
      <w:r w:rsidRPr="005675B2">
        <w:rPr>
          <w:rFonts w:hint="cs"/>
          <w:rtl/>
        </w:rPr>
        <w:t xml:space="preserve"> </w:t>
      </w:r>
      <w:r w:rsidR="000636C2">
        <w:rPr>
          <w:rFonts w:hint="cs"/>
          <w:rtl/>
        </w:rPr>
        <w:t>[</w:t>
      </w:r>
      <w:r w:rsidRPr="005675B2">
        <w:rPr>
          <w:rFonts w:hint="cs"/>
          <w:rtl/>
        </w:rPr>
        <w:t>مذهب أهل الحق أن البارئ تعالى خلق العالم وأبدعه</w:t>
      </w:r>
      <w:r w:rsidR="000636C2">
        <w:rPr>
          <w:rFonts w:hint="cs"/>
          <w:rtl/>
        </w:rPr>
        <w:t>،</w:t>
      </w:r>
      <w:r w:rsidRPr="005675B2">
        <w:rPr>
          <w:rFonts w:hint="cs"/>
          <w:rtl/>
        </w:rPr>
        <w:t xml:space="preserve"> لا لغاية يستند الا بداع إليها</w:t>
      </w:r>
      <w:r w:rsidR="000636C2">
        <w:rPr>
          <w:rFonts w:hint="cs"/>
          <w:rtl/>
        </w:rPr>
        <w:t>،</w:t>
      </w:r>
      <w:r w:rsidRPr="005675B2">
        <w:rPr>
          <w:rFonts w:hint="cs"/>
          <w:rtl/>
        </w:rPr>
        <w:t xml:space="preserve"> ولا لحكمة يتوقف الخلق عليها</w:t>
      </w:r>
      <w:r w:rsidR="000636C2">
        <w:rPr>
          <w:rFonts w:hint="cs"/>
          <w:rtl/>
        </w:rPr>
        <w:t xml:space="preserve">، </w:t>
      </w:r>
      <w:r w:rsidRPr="005675B2">
        <w:t>…</w:t>
      </w:r>
      <w:r w:rsidRPr="005675B2">
        <w:rPr>
          <w:rFonts w:hint="cs"/>
          <w:rtl/>
        </w:rPr>
        <w:t xml:space="preserve"> بل الخلق وأنْ لا خلق له جائزان</w:t>
      </w:r>
      <w:r w:rsidR="000636C2">
        <w:rPr>
          <w:rFonts w:hint="cs"/>
          <w:rtl/>
        </w:rPr>
        <w:t>،</w:t>
      </w:r>
      <w:r w:rsidRPr="005675B2">
        <w:rPr>
          <w:rFonts w:hint="cs"/>
          <w:rtl/>
        </w:rPr>
        <w:t xml:space="preserve"> وهما بالنسبة إليه سيان</w:t>
      </w:r>
      <w:r w:rsidR="000636C2">
        <w:rPr>
          <w:rFonts w:hint="cs"/>
          <w:rtl/>
        </w:rPr>
        <w:t>]</w:t>
      </w:r>
      <w:r w:rsidRPr="005675B2">
        <w:rPr>
          <w:rFonts w:hint="cs"/>
          <w:rtl/>
        </w:rPr>
        <w:t xml:space="preserve"> [</w:t>
      </w:r>
      <w:r w:rsidRPr="005675B2">
        <w:rPr>
          <w:rFonts w:hint="cs"/>
          <w:sz w:val="24"/>
          <w:szCs w:val="24"/>
          <w:rtl/>
        </w:rPr>
        <w:t>غاية المرام للآمدي: ص 224</w:t>
      </w:r>
      <w:r w:rsidR="000636C2">
        <w:rPr>
          <w:rFonts w:hint="cs"/>
          <w:sz w:val="24"/>
          <w:szCs w:val="24"/>
          <w:rtl/>
        </w:rPr>
        <w:t>]</w:t>
      </w:r>
      <w:r w:rsidR="000636C2">
        <w:rPr>
          <w:rFonts w:hint="cs"/>
          <w:rtl/>
        </w:rPr>
        <w:t xml:space="preserve">، </w:t>
      </w:r>
      <w:r w:rsidRPr="005675B2">
        <w:rPr>
          <w:rFonts w:hint="cs"/>
          <w:rtl/>
        </w:rPr>
        <w:t>4 - نعم</w:t>
      </w:r>
      <w:r w:rsidR="000636C2">
        <w:rPr>
          <w:rFonts w:hint="cs"/>
          <w:rtl/>
        </w:rPr>
        <w:t>،</w:t>
      </w:r>
      <w:r w:rsidRPr="005675B2">
        <w:rPr>
          <w:rFonts w:hint="cs"/>
          <w:rtl/>
        </w:rPr>
        <w:t xml:space="preserve"> يقول الأشاعرة بجواز أن يخلد الله في النار أخلص أوليائه ويخلد في الجنة أفجر الكفار لو أراد ذلك</w:t>
      </w:r>
      <w:r w:rsidR="000636C2">
        <w:rPr>
          <w:rFonts w:hint="cs"/>
          <w:rtl/>
        </w:rPr>
        <w:t>،</w:t>
      </w:r>
      <w:r w:rsidRPr="005675B2">
        <w:rPr>
          <w:rFonts w:hint="cs"/>
          <w:rtl/>
        </w:rPr>
        <w:t xml:space="preserve"> ويرون أنه لو تعلقت المشيئة الإلهية بذلك لكان هذا من الله</w:t>
      </w:r>
      <w:r w:rsidR="000636C2">
        <w:rPr>
          <w:rFonts w:hint="cs"/>
          <w:rtl/>
        </w:rPr>
        <w:t xml:space="preserve"> </w:t>
      </w:r>
      <w:r w:rsidRPr="005675B2">
        <w:rPr>
          <w:rFonts w:hint="cs"/>
          <w:rtl/>
        </w:rPr>
        <w:t>- تبارك وتعالى</w:t>
      </w:r>
      <w:r w:rsidR="000636C2">
        <w:rPr>
          <w:rFonts w:hint="cs"/>
          <w:rtl/>
        </w:rPr>
        <w:t xml:space="preserve"> </w:t>
      </w:r>
      <w:r w:rsidRPr="005675B2">
        <w:rPr>
          <w:rFonts w:hint="cs"/>
          <w:rtl/>
        </w:rPr>
        <w:t>- عدلاً وحكمة</w:t>
      </w:r>
      <w:r w:rsidR="000636C2">
        <w:rPr>
          <w:rFonts w:hint="cs"/>
          <w:rtl/>
        </w:rPr>
        <w:t>،</w:t>
      </w:r>
      <w:r w:rsidRPr="005675B2">
        <w:rPr>
          <w:rFonts w:hint="cs"/>
          <w:rtl/>
        </w:rPr>
        <w:t xml:space="preserve"> ولكن الله</w:t>
      </w:r>
      <w:r w:rsidR="000636C2">
        <w:rPr>
          <w:rFonts w:hint="cs"/>
          <w:rtl/>
        </w:rPr>
        <w:t xml:space="preserve"> </w:t>
      </w:r>
      <w:r w:rsidRPr="005675B2">
        <w:rPr>
          <w:rFonts w:hint="cs"/>
          <w:rtl/>
        </w:rPr>
        <w:t>- سبحانه وتعالى</w:t>
      </w:r>
      <w:r w:rsidR="000636C2">
        <w:rPr>
          <w:rFonts w:hint="cs"/>
          <w:rtl/>
        </w:rPr>
        <w:t xml:space="preserve"> </w:t>
      </w:r>
      <w:r w:rsidRPr="005675B2">
        <w:rPr>
          <w:rFonts w:hint="cs"/>
          <w:rtl/>
        </w:rPr>
        <w:t>- لا يفعل ذلك فضلاً منه ورحمة وكرماً وامتناناً</w:t>
      </w:r>
      <w:r w:rsidR="000636C2">
        <w:rPr>
          <w:rFonts w:hint="cs"/>
          <w:rtl/>
        </w:rPr>
        <w:t>،</w:t>
      </w:r>
      <w:r w:rsidRPr="005675B2">
        <w:rPr>
          <w:rFonts w:hint="cs"/>
          <w:rtl/>
        </w:rPr>
        <w:t xml:space="preserve"> حيث إنه هو سبحانه كتب على نفسه الرحمة</w:t>
      </w:r>
      <w:r w:rsidR="000636C2">
        <w:rPr>
          <w:rFonts w:hint="cs"/>
          <w:rtl/>
        </w:rPr>
        <w:t>،</w:t>
      </w:r>
      <w:r w:rsidRPr="005675B2">
        <w:rPr>
          <w:rFonts w:hint="cs"/>
          <w:rtl/>
        </w:rPr>
        <w:t xml:space="preserve"> لكن ما دليل الأشاعرة</w:t>
      </w:r>
      <w:r w:rsidR="000636C2">
        <w:rPr>
          <w:rFonts w:hint="cs"/>
          <w:rtl/>
        </w:rPr>
        <w:t>؟!</w:t>
      </w:r>
      <w:r w:rsidRPr="005675B2">
        <w:rPr>
          <w:rFonts w:hint="cs"/>
          <w:rtl/>
        </w:rPr>
        <w:t xml:space="preserve"> وما الذي حملهم على القول بهذا</w:t>
      </w:r>
      <w:r w:rsidR="000636C2">
        <w:rPr>
          <w:rFonts w:hint="cs"/>
          <w:rtl/>
        </w:rPr>
        <w:t>؟!</w:t>
      </w:r>
      <w:r w:rsidRPr="005675B2">
        <w:rPr>
          <w:rFonts w:hint="cs"/>
          <w:rtl/>
        </w:rPr>
        <w:t xml:space="preserve"> لم يكلف الباحث نفسه عناء البحث عن دليل الأشاعرة من آيات الكتاب الكريم والأحاديث النبوية</w:t>
      </w:r>
      <w:r w:rsidR="000636C2">
        <w:rPr>
          <w:rFonts w:hint="cs"/>
          <w:rtl/>
        </w:rPr>
        <w:t>،</w:t>
      </w:r>
      <w:r w:rsidRPr="005675B2">
        <w:rPr>
          <w:rFonts w:hint="cs"/>
          <w:rtl/>
        </w:rPr>
        <w:t xml:space="preserve"> ولم يُشر إلى الحديث الوارد في المسألة</w:t>
      </w:r>
      <w:r w:rsidR="000636C2">
        <w:rPr>
          <w:rFonts w:hint="cs"/>
          <w:rtl/>
        </w:rPr>
        <w:t>،</w:t>
      </w:r>
      <w:r w:rsidRPr="005675B2">
        <w:rPr>
          <w:rFonts w:hint="cs"/>
          <w:rtl/>
        </w:rPr>
        <w:t xml:space="preserve"> رغم دعواه التخصص في علم العقيدة المؤسس على الكتاب والسنة</w:t>
      </w:r>
      <w:r w:rsidR="000636C2">
        <w:rPr>
          <w:rFonts w:hint="cs"/>
          <w:rtl/>
        </w:rPr>
        <w:t>!،</w:t>
      </w:r>
      <w:r w:rsidRPr="005675B2">
        <w:rPr>
          <w:rFonts w:hint="cs"/>
          <w:rtl/>
        </w:rPr>
        <w:t xml:space="preserve"> روي عن زيد بن ثابت رضي الله عنه أنه قال</w:t>
      </w:r>
      <w:r w:rsidR="000636C2">
        <w:rPr>
          <w:rFonts w:hint="cs"/>
          <w:rtl/>
        </w:rPr>
        <w:t>:</w:t>
      </w:r>
      <w:r w:rsidRPr="005675B2">
        <w:rPr>
          <w:rFonts w:hint="cs"/>
          <w:rtl/>
        </w:rPr>
        <w:t xml:space="preserve"> سمعت رسول الله صلى الله عليه وسلم يقول</w:t>
      </w:r>
      <w:r w:rsidR="000636C2">
        <w:rPr>
          <w:rFonts w:hint="cs"/>
          <w:rtl/>
        </w:rPr>
        <w:t>:</w:t>
      </w:r>
      <w:r w:rsidRPr="005675B2">
        <w:rPr>
          <w:rFonts w:hint="cs"/>
          <w:rtl/>
        </w:rPr>
        <w:t xml:space="preserve"> </w:t>
      </w:r>
      <w:r w:rsidR="000636C2">
        <w:rPr>
          <w:rFonts w:hint="cs"/>
          <w:rtl/>
        </w:rPr>
        <w:t>[</w:t>
      </w:r>
      <w:r w:rsidRPr="005675B2">
        <w:rPr>
          <w:rFonts w:hint="cs"/>
          <w:rtl/>
        </w:rPr>
        <w:t>لو أن الله عذّب أهل سماواته وأهل أرضه لعذبهم وهو غير ظالم لهم</w:t>
      </w:r>
      <w:r w:rsidR="000636C2">
        <w:rPr>
          <w:rFonts w:hint="cs"/>
          <w:rtl/>
        </w:rPr>
        <w:t>،</w:t>
      </w:r>
      <w:r w:rsidRPr="005675B2">
        <w:rPr>
          <w:rFonts w:hint="cs"/>
          <w:rtl/>
        </w:rPr>
        <w:t xml:space="preserve"> ولو رحمهم كانت رحمته لهم خيراً من أعمالهم</w:t>
      </w:r>
      <w:r w:rsidR="000636C2">
        <w:rPr>
          <w:rFonts w:hint="cs"/>
          <w:rtl/>
        </w:rPr>
        <w:t>]</w:t>
      </w:r>
      <w:r w:rsidRPr="005675B2">
        <w:rPr>
          <w:rFonts w:hint="cs"/>
          <w:rtl/>
        </w:rPr>
        <w:t xml:space="preserve"> [</w:t>
      </w:r>
      <w:r w:rsidRPr="005675B2">
        <w:rPr>
          <w:rFonts w:hint="cs"/>
          <w:sz w:val="24"/>
          <w:szCs w:val="24"/>
          <w:rtl/>
        </w:rPr>
        <w:t>مسند الإمام أحمد: 5/ 182ـ 183، 185، 189 . سنن أبي داود: 5/ 75 .سنن ابن ماجه</w:t>
      </w:r>
      <w:r w:rsidR="000636C2">
        <w:rPr>
          <w:rFonts w:hint="cs"/>
          <w:sz w:val="24"/>
          <w:szCs w:val="24"/>
          <w:rtl/>
        </w:rPr>
        <w:t>:</w:t>
      </w:r>
      <w:r w:rsidRPr="005675B2">
        <w:rPr>
          <w:rFonts w:hint="cs"/>
          <w:sz w:val="24"/>
          <w:szCs w:val="24"/>
          <w:rtl/>
        </w:rPr>
        <w:t xml:space="preserve"> 1/ 29ـ30 . صحيح ابن حبّان: 2/ 505ـ506 . السنة لابن أبي عاصم: 1/109 . المعجم الكبير للطبراني: 5/ 160</w:t>
      </w:r>
      <w:r w:rsidR="000636C2">
        <w:rPr>
          <w:rFonts w:hint="cs"/>
          <w:sz w:val="24"/>
          <w:szCs w:val="24"/>
          <w:rtl/>
        </w:rPr>
        <w:t>]</w:t>
      </w:r>
      <w:r w:rsidR="000636C2">
        <w:rPr>
          <w:rFonts w:hint="cs"/>
          <w:rtl/>
        </w:rPr>
        <w:t>،</w:t>
      </w:r>
      <w:r w:rsidRPr="005675B2">
        <w:rPr>
          <w:rFonts w:hint="cs"/>
          <w:rtl/>
        </w:rPr>
        <w:t xml:space="preserve"> وهذا الحديث صححه ابن حبان حيث رواه في صحيحه</w:t>
      </w:r>
      <w:r w:rsidR="000636C2">
        <w:rPr>
          <w:rFonts w:hint="cs"/>
          <w:rtl/>
        </w:rPr>
        <w:t>،</w:t>
      </w:r>
      <w:r w:rsidRPr="005675B2">
        <w:rPr>
          <w:rFonts w:hint="cs"/>
          <w:rtl/>
        </w:rPr>
        <w:t xml:space="preserve"> وصححه الألباني [</w:t>
      </w:r>
      <w:r w:rsidRPr="005675B2">
        <w:rPr>
          <w:rFonts w:hint="cs"/>
          <w:sz w:val="24"/>
          <w:szCs w:val="24"/>
          <w:rtl/>
        </w:rPr>
        <w:t>في تعليقه على السنة لابن أبي عاصم</w:t>
      </w:r>
      <w:r w:rsidR="000636C2">
        <w:rPr>
          <w:rFonts w:hint="cs"/>
          <w:sz w:val="24"/>
          <w:szCs w:val="24"/>
          <w:rtl/>
        </w:rPr>
        <w:t>،</w:t>
      </w:r>
      <w:r w:rsidRPr="005675B2">
        <w:rPr>
          <w:rFonts w:hint="cs"/>
          <w:sz w:val="24"/>
          <w:szCs w:val="24"/>
          <w:rtl/>
        </w:rPr>
        <w:t xml:space="preserve"> وفي تعليقه على شرح الطحاوية: ص 509</w:t>
      </w:r>
      <w:r w:rsidR="000636C2">
        <w:rPr>
          <w:rFonts w:hint="cs"/>
          <w:sz w:val="24"/>
          <w:szCs w:val="24"/>
          <w:rtl/>
        </w:rPr>
        <w:t>]</w:t>
      </w:r>
      <w:r w:rsidR="000636C2">
        <w:rPr>
          <w:rFonts w:hint="cs"/>
          <w:rtl/>
        </w:rPr>
        <w:t xml:space="preserve">، </w:t>
      </w:r>
      <w:r w:rsidRPr="005675B2">
        <w:rPr>
          <w:rFonts w:hint="cs"/>
          <w:rtl/>
        </w:rPr>
        <w:t xml:space="preserve">ماذا كان موقف الأشاعرة الذين قال الباحث عنهم </w:t>
      </w:r>
      <w:r w:rsidR="000636C2">
        <w:rPr>
          <w:rFonts w:hint="cs"/>
          <w:rtl/>
        </w:rPr>
        <w:t>[</w:t>
      </w:r>
      <w:r w:rsidRPr="005675B2">
        <w:rPr>
          <w:rFonts w:hint="cs"/>
          <w:rtl/>
        </w:rPr>
        <w:t>موقفهم من السنة أنه لايثبت بها عقيدة بل المتواتر منها يجب تأويله وآحادها لا يجب الاشتغال بها حتى على سبيل التاويل</w:t>
      </w:r>
      <w:r w:rsidR="000636C2">
        <w:rPr>
          <w:rFonts w:hint="cs"/>
          <w:rtl/>
        </w:rPr>
        <w:t>]</w:t>
      </w:r>
      <w:r w:rsidRPr="005675B2">
        <w:rPr>
          <w:rFonts w:hint="cs"/>
          <w:rtl/>
        </w:rPr>
        <w:t xml:space="preserve"> ماذا كان موقفهم من هذا الحديث</w:t>
      </w:r>
      <w:r w:rsidR="000636C2">
        <w:rPr>
          <w:rFonts w:hint="cs"/>
          <w:rtl/>
        </w:rPr>
        <w:t xml:space="preserve">؟، </w:t>
      </w:r>
      <w:r w:rsidRPr="005675B2">
        <w:rPr>
          <w:rFonts w:hint="cs"/>
          <w:rtl/>
        </w:rPr>
        <w:t>لمّا لم يجدوا في هذه المسألة نصا صريحا سوى هذا الحديث ولم يجدوا نصا صريحا آخر معارضا له ؛ كان لا بد لهم من الأخذ به وبناء عقيدتهم في هذه المسألة عليه</w:t>
      </w:r>
      <w:r w:rsidR="000636C2">
        <w:rPr>
          <w:rFonts w:hint="cs"/>
          <w:rtl/>
        </w:rPr>
        <w:t>،</w:t>
      </w:r>
      <w:r w:rsidRPr="005675B2">
        <w:rPr>
          <w:rFonts w:hint="cs"/>
          <w:rtl/>
        </w:rPr>
        <w:t xml:space="preserve"> فهذا الأصل مما ابتنى الأشاعرة عليه قولهم</w:t>
      </w:r>
      <w:r w:rsidR="000636C2">
        <w:rPr>
          <w:rFonts w:hint="cs"/>
          <w:rtl/>
        </w:rPr>
        <w:t>،</w:t>
      </w:r>
      <w:r w:rsidRPr="005675B2">
        <w:rPr>
          <w:rFonts w:hint="cs"/>
          <w:rtl/>
        </w:rPr>
        <w:t xml:space="preserve"> لا ما زعمه الباحث أنهم نفوا الحكمة عن أفعال الله تعالى</w:t>
      </w:r>
      <w:r w:rsidR="000636C2">
        <w:rPr>
          <w:rFonts w:hint="cs"/>
          <w:rtl/>
        </w:rPr>
        <w:t>،</w:t>
      </w:r>
      <w:r w:rsidRPr="005675B2">
        <w:rPr>
          <w:rFonts w:hint="cs"/>
          <w:rtl/>
        </w:rPr>
        <w:t xml:space="preserve"> وأنهم رتبوا على هذا أصولا فاسدة كالذي قالوه هنا</w:t>
      </w:r>
      <w:r w:rsidR="000636C2">
        <w:rPr>
          <w:rFonts w:hint="cs"/>
          <w:rtl/>
        </w:rPr>
        <w:t xml:space="preserve">، </w:t>
      </w:r>
      <w:r w:rsidRPr="005675B2">
        <w:rPr>
          <w:rFonts w:hint="cs"/>
          <w:rtl/>
        </w:rPr>
        <w:t>وبمثل ذلك يقول البربهاري أحد قدماء الحنابلة</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ولو عذّب أهل السماوات والأرض برهم وفاجرهم</w:t>
      </w:r>
      <w:r w:rsidR="000636C2">
        <w:rPr>
          <w:rFonts w:hint="cs"/>
          <w:rtl/>
        </w:rPr>
        <w:t>:</w:t>
      </w:r>
      <w:r w:rsidRPr="005675B2">
        <w:rPr>
          <w:rFonts w:hint="cs"/>
          <w:rtl/>
        </w:rPr>
        <w:t xml:space="preserve"> عذّبهم غير ظالم لهم</w:t>
      </w:r>
      <w:r w:rsidR="000636C2">
        <w:rPr>
          <w:rFonts w:hint="cs"/>
          <w:rtl/>
        </w:rPr>
        <w:t>،</w:t>
      </w:r>
      <w:r w:rsidRPr="005675B2">
        <w:rPr>
          <w:rFonts w:hint="cs"/>
          <w:rtl/>
        </w:rPr>
        <w:t xml:space="preserve"> لايجوز أن يقال لله عزّوجل إنه ظلم، وإنما يظلم من يأخذ ما ليس له</w:t>
      </w:r>
      <w:r w:rsidR="000636C2">
        <w:rPr>
          <w:rFonts w:hint="cs"/>
          <w:rtl/>
        </w:rPr>
        <w:t>،</w:t>
      </w:r>
      <w:r w:rsidRPr="005675B2">
        <w:rPr>
          <w:rFonts w:hint="cs"/>
          <w:rtl/>
        </w:rPr>
        <w:t xml:space="preserve"> والله له الخلق والأمر</w:t>
      </w:r>
      <w:r w:rsidR="000636C2">
        <w:rPr>
          <w:rFonts w:hint="cs"/>
          <w:rtl/>
        </w:rPr>
        <w:t>]</w:t>
      </w:r>
      <w:r w:rsidRPr="005675B2">
        <w:rPr>
          <w:rFonts w:hint="cs"/>
          <w:rtl/>
        </w:rPr>
        <w:t xml:space="preserve"> </w:t>
      </w:r>
      <w:r w:rsidR="000636C2">
        <w:rPr>
          <w:rFonts w:hint="cs"/>
          <w:rtl/>
        </w:rPr>
        <w:t>[</w:t>
      </w:r>
      <w:r w:rsidRPr="005675B2">
        <w:rPr>
          <w:rFonts w:hint="cs"/>
          <w:sz w:val="24"/>
          <w:szCs w:val="24"/>
          <w:rtl/>
        </w:rPr>
        <w:t>انظر: طبقات الحنابلة لابن أبي يعلى: 2/ 25</w:t>
      </w:r>
      <w:r w:rsidR="000636C2">
        <w:rPr>
          <w:rFonts w:hint="cs"/>
          <w:sz w:val="24"/>
          <w:szCs w:val="24"/>
          <w:rtl/>
        </w:rPr>
        <w:t>]</w:t>
      </w:r>
      <w:r w:rsidR="000636C2">
        <w:rPr>
          <w:rFonts w:hint="cs"/>
          <w:rtl/>
        </w:rPr>
        <w:t xml:space="preserve">، </w:t>
      </w:r>
      <w:r w:rsidRPr="005675B2">
        <w:rPr>
          <w:rFonts w:hint="cs"/>
          <w:rtl/>
        </w:rPr>
        <w:t>ويحق لنا أن نتساءل</w:t>
      </w:r>
      <w:r w:rsidR="000636C2">
        <w:rPr>
          <w:rFonts w:hint="cs"/>
          <w:rtl/>
        </w:rPr>
        <w:t>:</w:t>
      </w:r>
      <w:r w:rsidRPr="005675B2">
        <w:rPr>
          <w:rFonts w:hint="cs"/>
          <w:rtl/>
        </w:rPr>
        <w:t xml:space="preserve"> لِمَ لَمْ يذكر الباحث دليلاً للأشاعرة على قولهم وأغفل أية اشارة للحديث الوارد المؤيد لقولهم</w:t>
      </w:r>
      <w:r w:rsidR="000636C2">
        <w:rPr>
          <w:rFonts w:hint="cs"/>
          <w:rtl/>
        </w:rPr>
        <w:t>؟</w:t>
      </w:r>
      <w:r w:rsidRPr="005675B2">
        <w:rPr>
          <w:rFonts w:hint="cs"/>
          <w:rtl/>
        </w:rPr>
        <w:t xml:space="preserve"> ونترك له الإجابة</w:t>
      </w:r>
      <w:r w:rsidR="000636C2">
        <w:rPr>
          <w:rFonts w:hint="cs"/>
          <w:rtl/>
        </w:rPr>
        <w:t>،</w:t>
      </w:r>
      <w:r w:rsidRPr="005675B2">
        <w:rPr>
          <w:rFonts w:hint="cs"/>
          <w:rtl/>
        </w:rPr>
        <w:t xml:space="preserve"> ونقول</w:t>
      </w:r>
      <w:r w:rsidR="000636C2">
        <w:rPr>
          <w:rFonts w:hint="cs"/>
          <w:rtl/>
        </w:rPr>
        <w:t>:</w:t>
      </w:r>
      <w:r w:rsidRPr="005675B2">
        <w:rPr>
          <w:rFonts w:hint="cs"/>
          <w:rtl/>
        </w:rPr>
        <w:t xml:space="preserve"> قد تختلف مع الأشاعرة في تصحيح الحديث أو تضعيفه وفي فهمه على ظاهره أو تأويله</w:t>
      </w:r>
      <w:r w:rsidR="000636C2">
        <w:rPr>
          <w:rFonts w:hint="cs"/>
          <w:rtl/>
        </w:rPr>
        <w:t>،</w:t>
      </w:r>
      <w:r w:rsidRPr="005675B2">
        <w:rPr>
          <w:rFonts w:hint="cs"/>
          <w:rtl/>
        </w:rPr>
        <w:t xml:space="preserve"> فهذا أمر يعود إليك إذا برهنت على ما تذهب إليه بالدليل</w:t>
      </w:r>
      <w:r w:rsidR="000636C2">
        <w:rPr>
          <w:rFonts w:hint="cs"/>
          <w:rtl/>
        </w:rPr>
        <w:t>،</w:t>
      </w:r>
      <w:r w:rsidRPr="005675B2">
        <w:rPr>
          <w:rFonts w:hint="cs"/>
          <w:rtl/>
        </w:rPr>
        <w:t xml:space="preserve"> ولكن هل يصح أن لا تشير إلى دليلهم من السنة النبوية بأدنى إشارة</w:t>
      </w:r>
      <w:r w:rsidR="000636C2">
        <w:rPr>
          <w:rFonts w:hint="cs"/>
          <w:rtl/>
        </w:rPr>
        <w:t xml:space="preserve">؟!، </w:t>
      </w:r>
      <w:r w:rsidRPr="005675B2">
        <w:rPr>
          <w:rFonts w:hint="cs"/>
          <w:rtl/>
        </w:rPr>
        <w:t>ومن العجيب تأويل ابن أبي العز لهذا الحديث تأويلاً غريباًً</w:t>
      </w:r>
      <w:r w:rsidR="000636C2">
        <w:rPr>
          <w:rFonts w:hint="cs"/>
          <w:rtl/>
        </w:rPr>
        <w:t>،</w:t>
      </w:r>
      <w:r w:rsidRPr="005675B2">
        <w:rPr>
          <w:rFonts w:hint="cs"/>
          <w:rtl/>
        </w:rPr>
        <w:t xml:space="preserve"> فقد قال رحمه الله</w:t>
      </w:r>
      <w:r w:rsidR="000636C2">
        <w:rPr>
          <w:rFonts w:hint="cs"/>
          <w:rtl/>
        </w:rPr>
        <w:t>:</w:t>
      </w:r>
      <w:r w:rsidRPr="005675B2">
        <w:rPr>
          <w:rFonts w:hint="cs"/>
          <w:rtl/>
        </w:rPr>
        <w:t xml:space="preserve"> </w:t>
      </w:r>
      <w:r w:rsidR="000636C2">
        <w:rPr>
          <w:rFonts w:hint="cs"/>
          <w:rtl/>
        </w:rPr>
        <w:t>[</w:t>
      </w:r>
      <w:r w:rsidRPr="005675B2">
        <w:rPr>
          <w:rFonts w:hint="cs"/>
          <w:rtl/>
        </w:rPr>
        <w:t>فإن حق الله تعالى على أهل السماوات والأرض أن يطاع فلا يعصى</w:t>
      </w:r>
      <w:r w:rsidR="000636C2">
        <w:rPr>
          <w:rFonts w:hint="cs"/>
          <w:rtl/>
        </w:rPr>
        <w:t>،</w:t>
      </w:r>
      <w:r w:rsidRPr="005675B2">
        <w:rPr>
          <w:rFonts w:hint="cs"/>
          <w:rtl/>
        </w:rPr>
        <w:t xml:space="preserve"> ويذكر فلا ينسى</w:t>
      </w:r>
      <w:r w:rsidR="000636C2">
        <w:rPr>
          <w:rFonts w:hint="cs"/>
          <w:rtl/>
        </w:rPr>
        <w:t>،</w:t>
      </w:r>
      <w:r w:rsidRPr="005675B2">
        <w:rPr>
          <w:rFonts w:hint="cs"/>
          <w:rtl/>
        </w:rPr>
        <w:t xml:space="preserve"> ويشكر فلا يكفر</w:t>
      </w:r>
      <w:r w:rsidR="000636C2">
        <w:rPr>
          <w:rFonts w:hint="cs"/>
          <w:rtl/>
        </w:rPr>
        <w:t>،</w:t>
      </w:r>
      <w:r w:rsidRPr="005675B2">
        <w:rPr>
          <w:rFonts w:hint="cs"/>
          <w:rtl/>
        </w:rPr>
        <w:t xml:space="preserve"> وتكون قوة الحب والإنابة والتوكل والخشية والمراقبة والخوف والرجاء جمعيها متوجهة اليه ..</w:t>
      </w:r>
      <w:r w:rsidR="000636C2">
        <w:rPr>
          <w:rFonts w:hint="cs"/>
          <w:rtl/>
        </w:rPr>
        <w:t>،</w:t>
      </w:r>
      <w:r w:rsidRPr="005675B2">
        <w:rPr>
          <w:rFonts w:hint="cs"/>
          <w:rtl/>
        </w:rPr>
        <w:t xml:space="preserve"> فأين الذي لا تقع منه إرادة تزاحم مراد الله وما يحبه منه</w:t>
      </w:r>
      <w:r w:rsidR="000636C2">
        <w:rPr>
          <w:rFonts w:hint="cs"/>
          <w:rtl/>
        </w:rPr>
        <w:t>؟</w:t>
      </w:r>
      <w:r w:rsidRPr="005675B2">
        <w:rPr>
          <w:rFonts w:hint="cs"/>
          <w:rtl/>
        </w:rPr>
        <w:t xml:space="preserve"> ومن الذي لم يصدر منه خلاف ما خلق له ولو في وقت من الأوقات</w:t>
      </w:r>
      <w:r w:rsidR="000636C2">
        <w:rPr>
          <w:rFonts w:hint="cs"/>
          <w:rtl/>
        </w:rPr>
        <w:t>؟</w:t>
      </w:r>
      <w:r w:rsidRPr="005675B2">
        <w:rPr>
          <w:rFonts w:hint="cs"/>
          <w:rtl/>
        </w:rPr>
        <w:t xml:space="preserve"> فلو وضع الرب سبحانه عدله على أهل سماواته وأرضه لعذبهم بعدله ولم يكن ظالماً لهم</w:t>
      </w:r>
      <w:r w:rsidR="000636C2">
        <w:rPr>
          <w:rFonts w:hint="cs"/>
          <w:rtl/>
        </w:rPr>
        <w:t>]</w:t>
      </w:r>
      <w:r w:rsidRPr="005675B2">
        <w:rPr>
          <w:rFonts w:hint="cs"/>
          <w:rtl/>
        </w:rPr>
        <w:t xml:space="preserve"> </w:t>
      </w:r>
      <w:r w:rsidR="000636C2">
        <w:rPr>
          <w:rFonts w:hint="cs"/>
          <w:rtl/>
        </w:rPr>
        <w:t>[</w:t>
      </w:r>
      <w:r w:rsidRPr="005675B2">
        <w:rPr>
          <w:rFonts w:hint="cs"/>
          <w:sz w:val="24"/>
          <w:szCs w:val="24"/>
          <w:rtl/>
        </w:rPr>
        <w:t>شرح العقيدة الطحاوية لابن أبي العز: 2/662</w:t>
      </w:r>
      <w:r w:rsidR="000636C2">
        <w:rPr>
          <w:rFonts w:hint="cs"/>
          <w:sz w:val="24"/>
          <w:szCs w:val="24"/>
          <w:rtl/>
        </w:rPr>
        <w:t>]</w:t>
      </w:r>
      <w:r w:rsidR="000636C2">
        <w:rPr>
          <w:rFonts w:hint="cs"/>
          <w:rtl/>
        </w:rPr>
        <w:t>،</w:t>
      </w:r>
      <w:r w:rsidRPr="005675B2">
        <w:rPr>
          <w:rFonts w:hint="cs"/>
          <w:rtl/>
        </w:rPr>
        <w:t xml:space="preserve"> فإن كان هذا ممكناً في أهل الأرض فكيف يمكن هذا في أهل السماء الذين قال سبحانه وتعالى فيهم </w:t>
      </w:r>
      <w:r w:rsidR="000636C2">
        <w:rPr>
          <w:rFonts w:hint="cs"/>
          <w:rtl/>
        </w:rPr>
        <w:t>[</w:t>
      </w:r>
      <w:r w:rsidRPr="005675B2">
        <w:rPr>
          <w:rFonts w:hint="cs"/>
          <w:rtl/>
        </w:rPr>
        <w:t>لا يَعْصُونَ اللَّهَ مَا أَمَرَهُمْ وَيَفْعَلُونَ مَا يُؤْمَرُونَ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التحريم آية 6</w:t>
      </w:r>
      <w:r w:rsidR="000636C2">
        <w:rPr>
          <w:rFonts w:hint="cs"/>
          <w:sz w:val="24"/>
          <w:szCs w:val="24"/>
          <w:rtl/>
        </w:rPr>
        <w:t>]</w:t>
      </w:r>
      <w:r w:rsidRPr="005675B2">
        <w:rPr>
          <w:rFonts w:hint="cs"/>
          <w:rtl/>
        </w:rPr>
        <w:t xml:space="preserve"> والذين قال فيهم</w:t>
      </w:r>
      <w:r w:rsidR="000636C2">
        <w:rPr>
          <w:rFonts w:hint="cs"/>
          <w:rtl/>
        </w:rPr>
        <w:t>:</w:t>
      </w:r>
      <w:r w:rsidRPr="005675B2">
        <w:rPr>
          <w:rFonts w:hint="cs"/>
          <w:rtl/>
        </w:rPr>
        <w:t xml:space="preserve"> </w:t>
      </w:r>
      <w:r w:rsidR="000636C2">
        <w:rPr>
          <w:rFonts w:hint="cs"/>
          <w:rtl/>
        </w:rPr>
        <w:t>[</w:t>
      </w:r>
      <w:r w:rsidRPr="005675B2">
        <w:rPr>
          <w:rFonts w:hint="cs"/>
          <w:rtl/>
        </w:rPr>
        <w:t>فَالَّذِينَ عِنْدَ رَبِّكَ يُسَبِّحُونَ لَهُ بِاللَّيْلِ وَالنَّهَارِ وَهُمْ لا يَسْأَمُونَ</w:t>
      </w:r>
      <w:r w:rsidR="000636C2">
        <w:rPr>
          <w:rFonts w:hint="cs"/>
          <w:rtl/>
        </w:rPr>
        <w:t>]؟!</w:t>
      </w:r>
      <w:r w:rsidRPr="005675B2">
        <w:rPr>
          <w:rFonts w:hint="cs"/>
          <w:rtl/>
        </w:rPr>
        <w:t xml:space="preserve"> </w:t>
      </w:r>
      <w:r w:rsidRPr="005675B2">
        <w:rPr>
          <w:rFonts w:hint="cs"/>
          <w:sz w:val="24"/>
          <w:szCs w:val="24"/>
          <w:rtl/>
        </w:rPr>
        <w:t>سورة فصلت آية 38</w:t>
      </w:r>
      <w:r w:rsidR="000636C2">
        <w:rPr>
          <w:rFonts w:hint="cs"/>
          <w:sz w:val="24"/>
          <w:szCs w:val="24"/>
          <w:rtl/>
        </w:rPr>
        <w:t>]</w:t>
      </w:r>
      <w:r w:rsidRPr="005675B2">
        <w:rPr>
          <w:rFonts w:hint="cs"/>
          <w:rtl/>
        </w:rPr>
        <w:t xml:space="preserve">والذين قال فيهم </w:t>
      </w:r>
      <w:r w:rsidR="000636C2">
        <w:rPr>
          <w:rFonts w:hint="cs"/>
          <w:rtl/>
        </w:rPr>
        <w:t>[</w:t>
      </w:r>
      <w:r w:rsidRPr="005675B2">
        <w:rPr>
          <w:rFonts w:hint="cs"/>
          <w:rtl/>
        </w:rPr>
        <w:t>إِنَّ الَّذِينَ عِنْدَ رَبِّكَ لا يَسْتَكْبِرُونَ عَنْ عِبَادَتِهِ وَيُسَبِّحُونَهُ وَلَهُ يَسْجُدُونَ</w:t>
      </w:r>
      <w:r w:rsidR="000636C2">
        <w:rPr>
          <w:rFonts w:hint="cs"/>
          <w:rtl/>
        </w:rPr>
        <w:t>]</w:t>
      </w:r>
      <w:r w:rsidRPr="005675B2">
        <w:rPr>
          <w:rFonts w:hint="cs"/>
          <w:rtl/>
        </w:rPr>
        <w:t xml:space="preserve"> [</w:t>
      </w:r>
      <w:r w:rsidRPr="005675B2">
        <w:rPr>
          <w:rFonts w:hint="cs"/>
          <w:sz w:val="24"/>
          <w:szCs w:val="24"/>
          <w:rtl/>
        </w:rPr>
        <w:t>سورة الأعراف 206</w:t>
      </w:r>
      <w:r w:rsidR="000636C2">
        <w:rPr>
          <w:rFonts w:hint="cs"/>
          <w:sz w:val="24"/>
          <w:szCs w:val="24"/>
          <w:rtl/>
        </w:rPr>
        <w:t>]</w:t>
      </w:r>
      <w:r w:rsidR="000636C2">
        <w:rPr>
          <w:rFonts w:hint="cs"/>
          <w:rtl/>
        </w:rPr>
        <w:t>؟!</w:t>
      </w:r>
      <w:r w:rsidRPr="005675B2">
        <w:rPr>
          <w:rFonts w:hint="cs"/>
          <w:rtl/>
        </w:rPr>
        <w:t xml:space="preserve"> وهل تستطيع أن تفهم الحديث على غير ما فهمه عليه الأشـاعرة والبربهاري</w:t>
      </w:r>
      <w:r w:rsidR="000636C2">
        <w:rPr>
          <w:rFonts w:hint="cs"/>
          <w:rtl/>
        </w:rPr>
        <w:t xml:space="preserve">؟!، </w:t>
      </w:r>
      <w:r w:rsidRPr="005675B2">
        <w:rPr>
          <w:rFonts w:hint="cs"/>
          <w:rtl/>
        </w:rPr>
        <w:t>5 - أما مسألة التكليف بما لا يطاق فهي متفرعة عن التي قبلها</w:t>
      </w:r>
      <w:r w:rsidR="000636C2">
        <w:rPr>
          <w:rFonts w:hint="cs"/>
          <w:rtl/>
        </w:rPr>
        <w:t>،</w:t>
      </w:r>
      <w:r w:rsidRPr="005675B2">
        <w:rPr>
          <w:rFonts w:hint="cs"/>
          <w:rtl/>
        </w:rPr>
        <w:t xml:space="preserve"> فمن قال بجواز تعذيب المطيع وتنعيم العاصي عقلاً فإنه يقول كذلك بجواز تكليف العبد عقلاً بما لا يطاق</w:t>
      </w:r>
      <w:r w:rsidR="000636C2">
        <w:rPr>
          <w:rFonts w:hint="cs"/>
          <w:rtl/>
        </w:rPr>
        <w:t>،</w:t>
      </w:r>
      <w:r w:rsidRPr="005675B2">
        <w:rPr>
          <w:rFonts w:hint="cs"/>
          <w:rtl/>
        </w:rPr>
        <w:t xml:space="preserve"> ويقول إن كل ذلك افتراض عقلي</w:t>
      </w:r>
      <w:r w:rsidR="000636C2">
        <w:rPr>
          <w:rFonts w:hint="cs"/>
          <w:rtl/>
        </w:rPr>
        <w:t>،</w:t>
      </w:r>
      <w:r w:rsidRPr="005675B2">
        <w:rPr>
          <w:rFonts w:hint="cs"/>
          <w:rtl/>
        </w:rPr>
        <w:t xml:space="preserve"> أما في الواقع فإن ذلك لا يكون</w:t>
      </w:r>
      <w:r w:rsidR="000636C2">
        <w:rPr>
          <w:rFonts w:hint="cs"/>
          <w:rtl/>
        </w:rPr>
        <w:t>،</w:t>
      </w:r>
      <w:r w:rsidRPr="005675B2">
        <w:rPr>
          <w:rFonts w:hint="cs"/>
          <w:rtl/>
        </w:rPr>
        <w:t xml:space="preserve"> للأدلة الكثيرة على أن النعيم للمطيعين وأن العذاب للعاصين</w:t>
      </w:r>
      <w:r w:rsidR="000636C2">
        <w:rPr>
          <w:rFonts w:hint="cs"/>
          <w:rtl/>
        </w:rPr>
        <w:t>،</w:t>
      </w:r>
      <w:r w:rsidRPr="005675B2">
        <w:rPr>
          <w:rFonts w:hint="cs"/>
          <w:rtl/>
        </w:rPr>
        <w:t xml:space="preserve"> وأن الله لا يكلف نفساً إلا وسعها</w:t>
      </w:r>
      <w:r w:rsidR="000636C2">
        <w:rPr>
          <w:rFonts w:hint="cs"/>
          <w:rtl/>
        </w:rPr>
        <w:t>،</w:t>
      </w:r>
      <w:r w:rsidRPr="005675B2">
        <w:rPr>
          <w:rFonts w:hint="cs"/>
          <w:rtl/>
        </w:rPr>
        <w:t xml:space="preserve"> فضلاً منه وكرماً</w:t>
      </w:r>
      <w:r w:rsidR="000636C2">
        <w:rPr>
          <w:rFonts w:hint="cs"/>
          <w:rtl/>
        </w:rPr>
        <w:t>،</w:t>
      </w:r>
      <w:r w:rsidRPr="005675B2">
        <w:rPr>
          <w:rFonts w:hint="cs"/>
          <w:rtl/>
        </w:rPr>
        <w:t xml:space="preserve"> فللّـه الحمد والمنة</w:t>
      </w:r>
      <w:r w:rsidR="000636C2">
        <w:rPr>
          <w:rFonts w:hint="cs"/>
          <w:rtl/>
        </w:rPr>
        <w:t>،</w:t>
      </w:r>
    </w:p>
    <w:p w14:paraId="3BDF2678" w14:textId="77777777" w:rsidR="009C32A0" w:rsidRPr="005675B2" w:rsidRDefault="009C32A0" w:rsidP="000636C2">
      <w:pPr>
        <w:jc w:val="center"/>
        <w:rPr>
          <w:b/>
          <w:rtl/>
        </w:rPr>
      </w:pPr>
      <w:r w:rsidRPr="005675B2">
        <w:rPr>
          <w:rFonts w:hint="cs"/>
          <w:rtl/>
        </w:rPr>
        <w:t>***</w:t>
      </w:r>
    </w:p>
    <w:p w14:paraId="7AD398DD" w14:textId="22D34F69" w:rsidR="009C32A0" w:rsidRPr="005675B2" w:rsidRDefault="000636C2" w:rsidP="000636C2">
      <w:pPr>
        <w:jc w:val="center"/>
        <w:rPr>
          <w:bCs/>
          <w:rtl/>
        </w:rPr>
      </w:pPr>
      <w:r>
        <w:rPr>
          <w:rFonts w:hint="cs"/>
          <w:bCs/>
          <w:rtl/>
        </w:rPr>
        <w:t>[</w:t>
      </w:r>
      <w:r w:rsidR="009C32A0" w:rsidRPr="005675B2">
        <w:rPr>
          <w:rFonts w:hint="cs"/>
          <w:bCs/>
          <w:rtl/>
        </w:rPr>
        <w:t>الموضوع التاسع</w:t>
      </w:r>
      <w:r>
        <w:rPr>
          <w:rFonts w:hint="cs"/>
          <w:bCs/>
          <w:rtl/>
        </w:rPr>
        <w:t xml:space="preserve">: </w:t>
      </w:r>
      <w:r w:rsidR="009C32A0" w:rsidRPr="005675B2">
        <w:rPr>
          <w:rFonts w:hint="cs"/>
          <w:bCs/>
          <w:rtl/>
        </w:rPr>
        <w:t>النبوات</w:t>
      </w:r>
      <w:r>
        <w:rPr>
          <w:rFonts w:hint="cs"/>
          <w:bCs/>
          <w:rtl/>
        </w:rPr>
        <w:t>]</w:t>
      </w:r>
    </w:p>
    <w:p w14:paraId="229C5D3C" w14:textId="797C44EB"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يختلف مذهب الأشاعرة عن مذهب أهل السنة والجماعة في النبوات اختلافاً بعيداً</w:t>
      </w:r>
      <w:r w:rsidR="000636C2">
        <w:rPr>
          <w:rFonts w:hint="cs"/>
          <w:rtl/>
        </w:rPr>
        <w:t>،</w:t>
      </w:r>
      <w:r w:rsidRPr="005675B2">
        <w:rPr>
          <w:rFonts w:hint="cs"/>
          <w:rtl/>
        </w:rPr>
        <w:t xml:space="preserve"> فهم يقررون أن إرسال الرسل راجع للمشيئة المحضة</w:t>
      </w:r>
      <w:r w:rsidR="000636C2">
        <w:rPr>
          <w:rFonts w:hint="cs"/>
          <w:rtl/>
        </w:rPr>
        <w:t xml:space="preserve"> </w:t>
      </w:r>
      <w:r w:rsidRPr="005675B2">
        <w:rPr>
          <w:rFonts w:hint="cs"/>
          <w:rtl/>
        </w:rPr>
        <w:t>ـكما في الفقرة السابقة</w:t>
      </w:r>
      <w:r w:rsidR="000636C2">
        <w:rPr>
          <w:rFonts w:hint="cs"/>
          <w:rtl/>
        </w:rPr>
        <w:t xml:space="preserve"> </w:t>
      </w:r>
      <w:r w:rsidRPr="005675B2">
        <w:rPr>
          <w:rFonts w:hint="cs"/>
          <w:rtl/>
        </w:rPr>
        <w:t>-</w:t>
      </w:r>
      <w:r w:rsidR="000636C2">
        <w:rPr>
          <w:rFonts w:hint="cs"/>
          <w:rtl/>
        </w:rPr>
        <w:t>،</w:t>
      </w:r>
      <w:r w:rsidRPr="005675B2">
        <w:rPr>
          <w:rFonts w:hint="cs"/>
          <w:rtl/>
        </w:rPr>
        <w:t xml:space="preserve"> ثم يقررون أنه لا دليل على صدق النبي إلا المعجزة</w:t>
      </w:r>
      <w:r w:rsidR="000636C2">
        <w:rPr>
          <w:rFonts w:hint="cs"/>
          <w:rtl/>
        </w:rPr>
        <w:t xml:space="preserve">، </w:t>
      </w:r>
      <w:r w:rsidRPr="005675B2">
        <w:rPr>
          <w:rFonts w:hint="cs"/>
          <w:rtl/>
        </w:rPr>
        <w:t>… أما في موضوع العصمة فينكرون صدور الذنب عن الأنبياء</w:t>
      </w:r>
      <w:r w:rsidR="000636C2">
        <w:rPr>
          <w:rFonts w:hint="cs"/>
          <w:rtl/>
        </w:rPr>
        <w:t>،</w:t>
      </w:r>
      <w:r w:rsidRPr="005675B2">
        <w:rPr>
          <w:rFonts w:hint="cs"/>
          <w:rtl/>
        </w:rPr>
        <w:t xml:space="preserve"> ويؤولون الآيات والأحاديث الكثيرة تأويلاً متعسِّفاً متكلَّفاً</w:t>
      </w:r>
      <w:r w:rsidR="000636C2">
        <w:rPr>
          <w:rFonts w:hint="cs"/>
          <w:rtl/>
        </w:rPr>
        <w:t xml:space="preserve">]، </w:t>
      </w:r>
      <w:r w:rsidRPr="005675B2">
        <w:rPr>
          <w:rFonts w:hint="cs"/>
          <w:rtl/>
        </w:rPr>
        <w:t>وقال الباحث في هذا المبحث</w:t>
      </w:r>
      <w:r w:rsidR="000636C2">
        <w:rPr>
          <w:rFonts w:hint="cs"/>
          <w:rtl/>
        </w:rPr>
        <w:t>:</w:t>
      </w:r>
      <w:r w:rsidRPr="005675B2">
        <w:rPr>
          <w:rFonts w:hint="cs"/>
          <w:rtl/>
        </w:rPr>
        <w:t xml:space="preserve"> </w:t>
      </w:r>
      <w:r w:rsidR="000636C2">
        <w:rPr>
          <w:rFonts w:hint="cs"/>
          <w:rtl/>
        </w:rPr>
        <w:t>[</w:t>
      </w:r>
      <w:r w:rsidRPr="005675B2">
        <w:rPr>
          <w:rFonts w:hint="cs"/>
          <w:rtl/>
        </w:rPr>
        <w:t>والصوفية منهم كالغزالي يفسرون الوحي تفسيراً قرمطياً فيقولون</w:t>
      </w:r>
      <w:r w:rsidR="000636C2">
        <w:rPr>
          <w:rFonts w:hint="cs"/>
          <w:rtl/>
        </w:rPr>
        <w:t>:</w:t>
      </w:r>
      <w:r w:rsidRPr="005675B2">
        <w:rPr>
          <w:rFonts w:hint="cs"/>
          <w:rtl/>
        </w:rPr>
        <w:t xml:space="preserve"> هو انتقاش العلم الفائض من العقل الكلي في العقل الجزئي</w:t>
      </w:r>
      <w:r w:rsidR="000636C2">
        <w:rPr>
          <w:rFonts w:hint="cs"/>
          <w:rtl/>
        </w:rPr>
        <w:t>]،</w:t>
      </w:r>
    </w:p>
    <w:p w14:paraId="63B17F84" w14:textId="0DFD2DCF"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ليس في كلام الباحث في هذا الموضوع</w:t>
      </w:r>
      <w:r w:rsidR="000636C2">
        <w:rPr>
          <w:rFonts w:hint="cs"/>
          <w:rtl/>
        </w:rPr>
        <w:t xml:space="preserve"> </w:t>
      </w:r>
      <w:r w:rsidRPr="005675B2">
        <w:rPr>
          <w:rFonts w:hint="cs"/>
          <w:rtl/>
        </w:rPr>
        <w:t>- كما في أكثر الموضوعات التي تناولها</w:t>
      </w:r>
      <w:r w:rsidR="000636C2">
        <w:rPr>
          <w:rFonts w:hint="cs"/>
          <w:rtl/>
        </w:rPr>
        <w:t xml:space="preserve"> </w:t>
      </w:r>
      <w:r w:rsidRPr="005675B2">
        <w:rPr>
          <w:rFonts w:hint="cs"/>
          <w:rtl/>
        </w:rPr>
        <w:t>- سوى إشارات لمذهب الأشاعرة</w:t>
      </w:r>
      <w:r w:rsidR="000636C2">
        <w:rPr>
          <w:rFonts w:hint="cs"/>
          <w:rtl/>
        </w:rPr>
        <w:t>،</w:t>
      </w:r>
      <w:r w:rsidRPr="005675B2">
        <w:rPr>
          <w:rFonts w:hint="cs"/>
          <w:rtl/>
        </w:rPr>
        <w:t xml:space="preserve"> مقرونة بالغمز واللمز</w:t>
      </w:r>
      <w:r w:rsidR="000636C2">
        <w:rPr>
          <w:rFonts w:hint="cs"/>
          <w:rtl/>
        </w:rPr>
        <w:t>،</w:t>
      </w:r>
      <w:r w:rsidRPr="005675B2">
        <w:rPr>
          <w:rFonts w:hint="cs"/>
          <w:rtl/>
        </w:rPr>
        <w:t xml:space="preserve"> وأن مذهب الأشاعرة يختلف عن مذهب أهل السنة والجماعة اختلافاً بعيداً</w:t>
      </w:r>
      <w:r w:rsidR="000636C2">
        <w:rPr>
          <w:rFonts w:hint="cs"/>
          <w:rtl/>
        </w:rPr>
        <w:t>،</w:t>
      </w:r>
      <w:r w:rsidRPr="005675B2">
        <w:rPr>
          <w:rFonts w:hint="cs"/>
          <w:rtl/>
        </w:rPr>
        <w:t xml:space="preserve"> دون أية إشارة لمذهب أهل السنة والجماعة في رأي الكاتب</w:t>
      </w:r>
      <w:r w:rsidR="000636C2">
        <w:rPr>
          <w:rFonts w:hint="cs"/>
          <w:rtl/>
        </w:rPr>
        <w:t>،</w:t>
      </w:r>
      <w:r w:rsidRPr="005675B2">
        <w:rPr>
          <w:rFonts w:hint="cs"/>
          <w:rtl/>
        </w:rPr>
        <w:t xml:space="preserve"> ليتبين للقارئ هذا </w:t>
      </w:r>
      <w:r w:rsidR="000636C2">
        <w:rPr>
          <w:rFonts w:hint="cs"/>
          <w:rtl/>
        </w:rPr>
        <w:t>[</w:t>
      </w:r>
      <w:r w:rsidRPr="005675B2">
        <w:rPr>
          <w:rFonts w:hint="cs"/>
          <w:rtl/>
        </w:rPr>
        <w:t>الاختلاف البعيد</w:t>
      </w:r>
      <w:r w:rsidR="000636C2">
        <w:rPr>
          <w:rFonts w:hint="cs"/>
          <w:rtl/>
        </w:rPr>
        <w:t>]،</w:t>
      </w:r>
      <w:r w:rsidRPr="005675B2">
        <w:rPr>
          <w:rFonts w:hint="cs"/>
          <w:rtl/>
        </w:rPr>
        <w:t xml:space="preserve"> ودون أي دليل لما يتصور أنه مذهب أهل السنة والجماعة</w:t>
      </w:r>
      <w:r w:rsidR="000636C2">
        <w:rPr>
          <w:rFonts w:hint="cs"/>
          <w:rtl/>
        </w:rPr>
        <w:t>،</w:t>
      </w:r>
      <w:r w:rsidRPr="005675B2">
        <w:rPr>
          <w:rFonts w:hint="cs"/>
          <w:rtl/>
        </w:rPr>
        <w:t xml:space="preserve"> ودون أي دليل نقلي أو عقلي ينقض ما ذكره عن الأشاعرة</w:t>
      </w:r>
      <w:r w:rsidR="000636C2">
        <w:rPr>
          <w:rFonts w:hint="cs"/>
          <w:rtl/>
        </w:rPr>
        <w:t>!</w:t>
      </w:r>
      <w:r w:rsidRPr="005675B2">
        <w:rPr>
          <w:rFonts w:hint="cs"/>
          <w:rtl/>
        </w:rPr>
        <w:t>!</w:t>
      </w:r>
      <w:r w:rsidR="000636C2">
        <w:rPr>
          <w:rFonts w:hint="cs"/>
          <w:rtl/>
        </w:rPr>
        <w:t xml:space="preserve">، </w:t>
      </w:r>
      <w:r w:rsidRPr="005675B2">
        <w:rPr>
          <w:rFonts w:hint="cs"/>
          <w:rtl/>
        </w:rPr>
        <w:t>2 - نقل الباحث عن الأشاعرة أن إرسال الرسل راجع للمشيئة الإلهية المحضة</w:t>
      </w:r>
      <w:r w:rsidR="000636C2">
        <w:rPr>
          <w:rFonts w:hint="cs"/>
          <w:rtl/>
        </w:rPr>
        <w:t>،</w:t>
      </w:r>
      <w:r w:rsidRPr="005675B2">
        <w:rPr>
          <w:rFonts w:hint="cs"/>
          <w:rtl/>
        </w:rPr>
        <w:t xml:space="preserve"> فما الذي يعاب عليهم في هـذا</w:t>
      </w:r>
      <w:r w:rsidR="000636C2">
        <w:rPr>
          <w:rFonts w:hint="cs"/>
          <w:rtl/>
        </w:rPr>
        <w:t>؟!</w:t>
      </w:r>
      <w:r w:rsidRPr="005675B2">
        <w:rPr>
          <w:rFonts w:hint="cs"/>
          <w:rtl/>
        </w:rPr>
        <w:t xml:space="preserve"> ألا تستحق المسألة أن يكتب فيها كليمات</w:t>
      </w:r>
      <w:r w:rsidR="000636C2">
        <w:rPr>
          <w:rFonts w:hint="cs"/>
          <w:rtl/>
        </w:rPr>
        <w:t xml:space="preserve">؟، </w:t>
      </w:r>
      <w:r w:rsidRPr="005675B2">
        <w:rPr>
          <w:rFonts w:hint="cs"/>
          <w:rtl/>
        </w:rPr>
        <w:t>الأشاعرة لا يرون ما يراه كثير من الفلاسفة أن إرسال الرسل من الحكمة الواجبة على الله تعالى</w:t>
      </w:r>
      <w:r w:rsidR="000636C2">
        <w:rPr>
          <w:rFonts w:hint="cs"/>
          <w:rtl/>
        </w:rPr>
        <w:t>،</w:t>
      </w:r>
      <w:r w:rsidRPr="005675B2">
        <w:rPr>
          <w:rFonts w:hint="cs"/>
          <w:rtl/>
        </w:rPr>
        <w:t xml:space="preserve"> ويقول الآمِدي معبراً عما يذهبون إليه في هذا المقام</w:t>
      </w:r>
      <w:r w:rsidR="000636C2">
        <w:rPr>
          <w:rFonts w:hint="cs"/>
          <w:rtl/>
        </w:rPr>
        <w:t>:</w:t>
      </w:r>
      <w:r w:rsidRPr="005675B2">
        <w:rPr>
          <w:rFonts w:hint="cs"/>
          <w:rtl/>
        </w:rPr>
        <w:t xml:space="preserve"> </w:t>
      </w:r>
      <w:r w:rsidR="000636C2">
        <w:rPr>
          <w:rFonts w:hint="cs"/>
          <w:rtl/>
        </w:rPr>
        <w:t>[</w:t>
      </w:r>
      <w:r w:rsidRPr="005675B2">
        <w:rPr>
          <w:rFonts w:hint="cs"/>
          <w:rtl/>
        </w:rPr>
        <w:t>مذهب أهل الحق أن النبوات ليست واجبة أن تكون ولا ممتنعة أن تكون</w:t>
      </w:r>
      <w:r w:rsidR="000636C2">
        <w:rPr>
          <w:rFonts w:hint="cs"/>
          <w:rtl/>
        </w:rPr>
        <w:t>،</w:t>
      </w:r>
      <w:r w:rsidRPr="005675B2">
        <w:rPr>
          <w:rFonts w:hint="cs"/>
          <w:rtl/>
        </w:rPr>
        <w:t xml:space="preserve"> بل الكون وأنْ لا كون بالنسبة إلى ذاتها وإلى مُرجَّحها سيان</w:t>
      </w:r>
      <w:r w:rsidR="000636C2">
        <w:rPr>
          <w:rFonts w:hint="cs"/>
          <w:rtl/>
        </w:rPr>
        <w:t>،</w:t>
      </w:r>
      <w:r w:rsidRPr="005675B2">
        <w:rPr>
          <w:rFonts w:hint="cs"/>
          <w:rtl/>
        </w:rPr>
        <w:t xml:space="preserve"> وهما بالنظر إليه سيان</w:t>
      </w:r>
      <w:r w:rsidR="000636C2">
        <w:rPr>
          <w:rFonts w:hint="cs"/>
          <w:rtl/>
        </w:rPr>
        <w:t>]</w:t>
      </w:r>
      <w:r w:rsidRPr="005675B2">
        <w:rPr>
          <w:rFonts w:hint="cs"/>
          <w:rtl/>
        </w:rPr>
        <w:t xml:space="preserve"> [</w:t>
      </w:r>
      <w:r w:rsidRPr="005675B2">
        <w:rPr>
          <w:rFonts w:hint="cs"/>
          <w:sz w:val="24"/>
          <w:szCs w:val="24"/>
          <w:rtl/>
        </w:rPr>
        <w:t>غاية المرام للآمدي: ص 318</w:t>
      </w:r>
      <w:r w:rsidR="000636C2">
        <w:rPr>
          <w:rFonts w:hint="cs"/>
          <w:sz w:val="24"/>
          <w:szCs w:val="24"/>
          <w:rtl/>
        </w:rPr>
        <w:t>]</w:t>
      </w:r>
      <w:r w:rsidR="000636C2">
        <w:rPr>
          <w:rFonts w:hint="cs"/>
          <w:rtl/>
        </w:rPr>
        <w:t xml:space="preserve">، </w:t>
      </w:r>
      <w:r w:rsidRPr="005675B2">
        <w:rPr>
          <w:rFonts w:hint="cs"/>
          <w:rtl/>
        </w:rPr>
        <w:t>وهذا لا ينفي أن يكون إرسال الرسل بالإضافة إلى المشيئة المحضة مشتملاً على حكمة</w:t>
      </w:r>
      <w:r w:rsidR="000636C2">
        <w:rPr>
          <w:rFonts w:hint="cs"/>
          <w:rtl/>
        </w:rPr>
        <w:t>،</w:t>
      </w:r>
      <w:r w:rsidRPr="005675B2">
        <w:rPr>
          <w:rFonts w:hint="cs"/>
          <w:rtl/>
        </w:rPr>
        <w:t xml:space="preserve"> وفي هذا يقول الآمدي</w:t>
      </w:r>
      <w:r w:rsidR="000636C2">
        <w:rPr>
          <w:rFonts w:hint="cs"/>
          <w:rtl/>
        </w:rPr>
        <w:t>:</w:t>
      </w:r>
      <w:r w:rsidRPr="005675B2">
        <w:rPr>
          <w:rFonts w:hint="cs"/>
          <w:rtl/>
        </w:rPr>
        <w:t xml:space="preserve"> </w:t>
      </w:r>
      <w:r w:rsidR="000636C2">
        <w:rPr>
          <w:rFonts w:hint="cs"/>
          <w:rtl/>
        </w:rPr>
        <w:t>[</w:t>
      </w:r>
      <w:r w:rsidRPr="005675B2">
        <w:rPr>
          <w:rFonts w:hint="cs"/>
          <w:rtl/>
        </w:rPr>
        <w:t>ما ظهر من حكمة بعثة الرسل والأنبياء وتبليغهم ليس إلا إصلاح الخلق وتقويم نظامهم</w:t>
      </w:r>
      <w:r w:rsidR="000636C2">
        <w:rPr>
          <w:rFonts w:hint="cs"/>
          <w:rtl/>
        </w:rPr>
        <w:t>]</w:t>
      </w:r>
      <w:r w:rsidRPr="005675B2">
        <w:rPr>
          <w:rFonts w:hint="cs"/>
          <w:rtl/>
        </w:rPr>
        <w:t xml:space="preserve"> [</w:t>
      </w:r>
      <w:r w:rsidRPr="005675B2">
        <w:rPr>
          <w:rFonts w:hint="cs"/>
          <w:sz w:val="24"/>
          <w:szCs w:val="24"/>
          <w:rtl/>
        </w:rPr>
        <w:t>المصدر السابق: ص 62</w:t>
      </w:r>
      <w:r w:rsidR="000636C2">
        <w:rPr>
          <w:rFonts w:hint="cs"/>
          <w:sz w:val="24"/>
          <w:szCs w:val="24"/>
          <w:rtl/>
        </w:rPr>
        <w:t>]</w:t>
      </w:r>
      <w:r w:rsidR="000636C2">
        <w:rPr>
          <w:rFonts w:hint="cs"/>
          <w:rtl/>
        </w:rPr>
        <w:t xml:space="preserve">، </w:t>
      </w:r>
      <w:r w:rsidRPr="005675B2">
        <w:rPr>
          <w:rFonts w:hint="cs"/>
          <w:rtl/>
        </w:rPr>
        <w:t>3 - نقل الباحث عن الأشاعرة أنه لا دليل على صدق النبي إلا المعجزة</w:t>
      </w:r>
      <w:r w:rsidR="000636C2">
        <w:rPr>
          <w:rFonts w:hint="cs"/>
          <w:rtl/>
        </w:rPr>
        <w:t>،</w:t>
      </w:r>
      <w:r w:rsidRPr="005675B2">
        <w:rPr>
          <w:rFonts w:hint="cs"/>
          <w:rtl/>
        </w:rPr>
        <w:t xml:space="preserve"> فما الذي يعاب عليهم في هذا</w:t>
      </w:r>
      <w:r w:rsidR="000636C2">
        <w:rPr>
          <w:rFonts w:hint="cs"/>
          <w:rtl/>
        </w:rPr>
        <w:t>؟!</w:t>
      </w:r>
      <w:r w:rsidRPr="005675B2">
        <w:rPr>
          <w:rFonts w:hint="cs"/>
          <w:rtl/>
        </w:rPr>
        <w:t> قد تقول إن بعض الصحابة رضي الله عنهم استدل على صدق رسول الله صلى الله عليه وسلم بغير المعجزة</w:t>
      </w:r>
      <w:r w:rsidR="000636C2">
        <w:rPr>
          <w:rFonts w:hint="cs"/>
          <w:rtl/>
        </w:rPr>
        <w:t>،</w:t>
      </w:r>
      <w:r w:rsidRPr="005675B2">
        <w:rPr>
          <w:rFonts w:hint="cs"/>
          <w:rtl/>
        </w:rPr>
        <w:t xml:space="preserve"> فيقال إنه إذا استدل بما يرجع إلى ما عرف من صفاته التي أخبر بها الأنبياء السابقون مثلاً فهذا يرجع إلى المعجزة</w:t>
      </w:r>
      <w:r w:rsidR="000636C2">
        <w:rPr>
          <w:rFonts w:hint="cs"/>
          <w:rtl/>
        </w:rPr>
        <w:t>،</w:t>
      </w:r>
      <w:r w:rsidRPr="005675B2">
        <w:rPr>
          <w:rFonts w:hint="cs"/>
          <w:rtl/>
        </w:rPr>
        <w:t xml:space="preserve"> وكل ما صلح أن يكون دليلاً على نبوة نبي من الأنبياء فهو معجزة له</w:t>
      </w:r>
      <w:r w:rsidR="000636C2">
        <w:rPr>
          <w:rFonts w:hint="cs"/>
          <w:rtl/>
        </w:rPr>
        <w:t>،</w:t>
      </w:r>
      <w:r w:rsidRPr="005675B2">
        <w:rPr>
          <w:rFonts w:hint="cs"/>
          <w:rtl/>
        </w:rPr>
        <w:t xml:space="preserve"> لأن غيره ممن ليس له مقام النبوة يعجِز أن يكون له مثل ذلك الدليل</w:t>
      </w:r>
      <w:r w:rsidR="000636C2">
        <w:rPr>
          <w:rFonts w:hint="cs"/>
          <w:rtl/>
        </w:rPr>
        <w:t>،</w:t>
      </w:r>
      <w:r w:rsidRPr="005675B2">
        <w:rPr>
          <w:rFonts w:hint="cs"/>
          <w:rtl/>
        </w:rPr>
        <w:t xml:space="preserve"> وبمثل قول الأشاعرة يقول شيخ الحنابلة القاضي أبو يعلى</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وليس في العقل دلالة تدل على صدق المدعي للرسالة على الله سوى المعجز</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المعتمد في أصول الدين: ص 155</w:t>
      </w:r>
      <w:r w:rsidR="000636C2">
        <w:rPr>
          <w:rFonts w:hint="cs"/>
          <w:sz w:val="24"/>
          <w:szCs w:val="24"/>
          <w:rtl/>
        </w:rPr>
        <w:t>]</w:t>
      </w:r>
      <w:r w:rsidR="000636C2">
        <w:rPr>
          <w:rFonts w:hint="cs"/>
          <w:rtl/>
        </w:rPr>
        <w:t xml:space="preserve">، </w:t>
      </w:r>
      <w:r w:rsidRPr="005675B2">
        <w:rPr>
          <w:rFonts w:hint="cs"/>
          <w:rtl/>
        </w:rPr>
        <w:t>4 - نقل الباحث عن الأشاعرة أنهم ينكرون صدور الذنب عن الأنبياء</w:t>
      </w:r>
      <w:r w:rsidR="000636C2">
        <w:rPr>
          <w:rFonts w:hint="cs"/>
          <w:rtl/>
        </w:rPr>
        <w:t>،</w:t>
      </w:r>
      <w:r w:rsidRPr="005675B2">
        <w:rPr>
          <w:rFonts w:hint="cs"/>
          <w:rtl/>
        </w:rPr>
        <w:t xml:space="preserve"> ويؤولون الآيات والأحاديث الواردة في ذلك</w:t>
      </w:r>
      <w:r w:rsidR="000636C2">
        <w:rPr>
          <w:rFonts w:hint="cs"/>
          <w:rtl/>
        </w:rPr>
        <w:t>،</w:t>
      </w:r>
      <w:r w:rsidRPr="005675B2">
        <w:rPr>
          <w:rFonts w:hint="cs"/>
          <w:rtl/>
        </w:rPr>
        <w:t xml:space="preserve"> فما الذي يثلج صدرك وتطمئن إليه نفسك</w:t>
      </w:r>
      <w:r w:rsidR="000636C2">
        <w:rPr>
          <w:rFonts w:hint="cs"/>
          <w:rtl/>
        </w:rPr>
        <w:t>؟!</w:t>
      </w:r>
      <w:r w:rsidRPr="005675B2">
        <w:rPr>
          <w:rFonts w:hint="cs"/>
          <w:rtl/>
        </w:rPr>
        <w:t xml:space="preserve"> أتريد أن تثبت بنصوص الآيات والأحاديث أن الأنبياء تصدر عنهم الذنوب</w:t>
      </w:r>
      <w:r w:rsidR="000636C2">
        <w:rPr>
          <w:rFonts w:hint="cs"/>
          <w:rtl/>
        </w:rPr>
        <w:t>؟!</w:t>
      </w:r>
      <w:r w:rsidRPr="005675B2">
        <w:rPr>
          <w:rFonts w:hint="cs"/>
          <w:rtl/>
        </w:rPr>
        <w:t xml:space="preserve"> وأن تأويل الأشاعرة لتلك النصوص هو تأويل متعسف ومتكلَّف</w:t>
      </w:r>
      <w:r w:rsidR="000636C2">
        <w:rPr>
          <w:rFonts w:hint="cs"/>
          <w:rtl/>
        </w:rPr>
        <w:t>؟!،</w:t>
      </w:r>
      <w:r w:rsidRPr="005675B2">
        <w:rPr>
          <w:rFonts w:hint="cs"/>
          <w:rtl/>
        </w:rPr>
        <w:t xml:space="preserve"> ليتك</w:t>
      </w:r>
      <w:r w:rsidR="000636C2">
        <w:rPr>
          <w:rFonts w:hint="cs"/>
          <w:rtl/>
        </w:rPr>
        <w:t xml:space="preserve"> </w:t>
      </w:r>
      <w:r w:rsidRPr="005675B2">
        <w:rPr>
          <w:rFonts w:hint="cs"/>
          <w:rtl/>
        </w:rPr>
        <w:t>- أيها الباحث المتحمس لمذهبك</w:t>
      </w:r>
      <w:r w:rsidR="000636C2">
        <w:rPr>
          <w:rFonts w:hint="cs"/>
          <w:rtl/>
        </w:rPr>
        <w:t xml:space="preserve"> </w:t>
      </w:r>
      <w:r w:rsidRPr="005675B2">
        <w:rPr>
          <w:rFonts w:hint="cs"/>
          <w:rtl/>
        </w:rPr>
        <w:t>- ذكرت أوضح نص تراه مؤيداً لمذهبك</w:t>
      </w:r>
      <w:r w:rsidR="000636C2">
        <w:rPr>
          <w:rFonts w:hint="cs"/>
          <w:rtl/>
        </w:rPr>
        <w:t>،</w:t>
      </w:r>
      <w:r w:rsidRPr="005675B2">
        <w:rPr>
          <w:rFonts w:hint="cs"/>
          <w:rtl/>
        </w:rPr>
        <w:t xml:space="preserve"> وتأويلاً من تأويلات الأشاعرة هو أشد التأويلات تعسفاً وتكلفاً - في نظرك</w:t>
      </w:r>
      <w:r w:rsidR="000636C2">
        <w:rPr>
          <w:rFonts w:hint="cs"/>
          <w:rtl/>
        </w:rPr>
        <w:t xml:space="preserve"> </w:t>
      </w:r>
      <w:r w:rsidRPr="005675B2">
        <w:rPr>
          <w:rFonts w:hint="cs"/>
          <w:rtl/>
        </w:rPr>
        <w:t>-</w:t>
      </w:r>
      <w:r w:rsidR="000636C2">
        <w:rPr>
          <w:rFonts w:hint="cs"/>
          <w:rtl/>
        </w:rPr>
        <w:t>،</w:t>
      </w:r>
      <w:r w:rsidRPr="005675B2">
        <w:rPr>
          <w:rFonts w:hint="cs"/>
          <w:rtl/>
        </w:rPr>
        <w:t xml:space="preserve"> لينظر فيه الناظرون هل هو من التأويلات المتعسفة المتكلفة</w:t>
      </w:r>
      <w:r w:rsidR="000636C2">
        <w:rPr>
          <w:rFonts w:hint="cs"/>
          <w:rtl/>
        </w:rPr>
        <w:t>؟!</w:t>
      </w:r>
      <w:r w:rsidRPr="005675B2">
        <w:rPr>
          <w:rFonts w:hint="cs"/>
          <w:rtl/>
        </w:rPr>
        <w:t> ليتك - أيها الباحث - تعلم أن القول بصدور الذنب عن الأنبياء هو مذهب اليهود</w:t>
      </w:r>
      <w:r w:rsidR="000636C2">
        <w:rPr>
          <w:rFonts w:hint="cs"/>
          <w:rtl/>
        </w:rPr>
        <w:t>،</w:t>
      </w:r>
      <w:r w:rsidRPr="005675B2">
        <w:rPr>
          <w:rFonts w:hint="cs"/>
          <w:rtl/>
        </w:rPr>
        <w:t xml:space="preserve"> فليتك تنزه مقام أنبياء الله عليهم صلوات الله وسلامه عن اقتراف الذنوب بالمعنى الذي يتصوره عامة الناس</w:t>
      </w:r>
      <w:r w:rsidR="000636C2">
        <w:rPr>
          <w:rFonts w:hint="cs"/>
          <w:rtl/>
        </w:rPr>
        <w:t>،</w:t>
      </w:r>
      <w:r w:rsidRPr="005675B2">
        <w:rPr>
          <w:rFonts w:hint="cs"/>
          <w:rtl/>
        </w:rPr>
        <w:t xml:space="preserve"> وهو حقيقة المعاصي</w:t>
      </w:r>
      <w:r w:rsidR="000636C2">
        <w:rPr>
          <w:rFonts w:hint="cs"/>
          <w:rtl/>
        </w:rPr>
        <w:t>،</w:t>
      </w:r>
      <w:r w:rsidRPr="005675B2">
        <w:rPr>
          <w:rFonts w:hint="cs"/>
          <w:rtl/>
        </w:rPr>
        <w:t xml:space="preserve"> وليتك تعلم أن حسنات الأبرار سيئات المقربين</w:t>
      </w:r>
      <w:r w:rsidR="000636C2">
        <w:rPr>
          <w:rFonts w:hint="cs"/>
          <w:rtl/>
        </w:rPr>
        <w:t xml:space="preserve">!، </w:t>
      </w:r>
      <w:r w:rsidRPr="005675B2">
        <w:rPr>
          <w:rFonts w:hint="cs"/>
          <w:rtl/>
        </w:rPr>
        <w:t>5</w:t>
      </w:r>
      <w:r w:rsidR="000636C2">
        <w:rPr>
          <w:rFonts w:hint="cs"/>
          <w:rtl/>
        </w:rPr>
        <w:t xml:space="preserve"> </w:t>
      </w:r>
      <w:r w:rsidRPr="005675B2">
        <w:rPr>
          <w:rFonts w:hint="cs"/>
          <w:rtl/>
        </w:rPr>
        <w:t>- ذكر الباحث أن الإمام الغزالي يفسر الوحي تفسيراً قرمطياً</w:t>
      </w:r>
      <w:r w:rsidR="000636C2">
        <w:rPr>
          <w:rFonts w:hint="cs"/>
          <w:rtl/>
        </w:rPr>
        <w:t>،</w:t>
      </w:r>
      <w:r w:rsidRPr="005675B2">
        <w:rPr>
          <w:rFonts w:hint="cs"/>
          <w:rtl/>
        </w:rPr>
        <w:t xml:space="preserve"> وذلك بأنه انتقاش العلم الفائض من العقل الكلي في العقل الجزئي</w:t>
      </w:r>
      <w:r w:rsidR="000636C2">
        <w:rPr>
          <w:rFonts w:hint="cs"/>
          <w:rtl/>
        </w:rPr>
        <w:t>،</w:t>
      </w:r>
      <w:r w:rsidRPr="005675B2">
        <w:rPr>
          <w:rFonts w:hint="cs"/>
          <w:rtl/>
        </w:rPr>
        <w:t xml:space="preserve"> ناقلاً من الرسالة اللدنية</w:t>
      </w:r>
      <w:r w:rsidR="000636C2">
        <w:rPr>
          <w:rFonts w:hint="cs"/>
          <w:rtl/>
        </w:rPr>
        <w:t>،</w:t>
      </w:r>
      <w:r w:rsidRPr="005675B2">
        <w:rPr>
          <w:rFonts w:hint="cs"/>
          <w:rtl/>
        </w:rPr>
        <w:t xml:space="preserve"> فما الذي في هذه الرسالة</w:t>
      </w:r>
      <w:r w:rsidR="000636C2">
        <w:rPr>
          <w:rFonts w:hint="cs"/>
          <w:rtl/>
        </w:rPr>
        <w:t>؟</w:t>
      </w:r>
      <w:r w:rsidRPr="005675B2">
        <w:rPr>
          <w:rFonts w:hint="cs"/>
          <w:rtl/>
        </w:rPr>
        <w:t xml:space="preserve"> قال الإمام الغزالي رحمه الله</w:t>
      </w:r>
      <w:r w:rsidR="000636C2">
        <w:rPr>
          <w:rFonts w:hint="cs"/>
          <w:rtl/>
        </w:rPr>
        <w:t>:</w:t>
      </w:r>
      <w:r w:rsidRPr="005675B2">
        <w:rPr>
          <w:rFonts w:hint="cs"/>
          <w:rtl/>
        </w:rPr>
        <w:t xml:space="preserve"> </w:t>
      </w:r>
      <w:r w:rsidR="000636C2">
        <w:rPr>
          <w:rFonts w:hint="cs"/>
          <w:rtl/>
        </w:rPr>
        <w:t>[</w:t>
      </w:r>
      <w:r w:rsidRPr="005675B2">
        <w:rPr>
          <w:rFonts w:hint="cs"/>
          <w:rtl/>
        </w:rPr>
        <w:t>ومن علم الأصول أيضاً علم الأخبار</w:t>
      </w:r>
      <w:r w:rsidR="000636C2">
        <w:rPr>
          <w:rFonts w:hint="cs"/>
          <w:rtl/>
        </w:rPr>
        <w:t>،</w:t>
      </w:r>
      <w:r w:rsidRPr="005675B2">
        <w:rPr>
          <w:rFonts w:hint="cs"/>
          <w:rtl/>
        </w:rPr>
        <w:t xml:space="preserve"> فإن النبي صلى الله عليه وسلم أفصح العرب والعجم</w:t>
      </w:r>
      <w:r w:rsidR="000636C2">
        <w:rPr>
          <w:rFonts w:hint="cs"/>
          <w:rtl/>
        </w:rPr>
        <w:t>،</w:t>
      </w:r>
      <w:r w:rsidRPr="005675B2">
        <w:rPr>
          <w:rFonts w:hint="cs"/>
          <w:rtl/>
        </w:rPr>
        <w:t xml:space="preserve"> وكان معلَّماً يوحى إليه من قِبَلِ الله تعالى</w:t>
      </w:r>
      <w:r w:rsidR="000636C2">
        <w:rPr>
          <w:rFonts w:hint="cs"/>
          <w:rtl/>
        </w:rPr>
        <w:t xml:space="preserve">، </w:t>
      </w:r>
      <w:r w:rsidRPr="005675B2">
        <w:rPr>
          <w:rFonts w:hint="cs"/>
          <w:rtl/>
        </w:rPr>
        <w:t>… فعلمُ أخباره ومعرفة أحاديثه أمر عظيم</w:t>
      </w:r>
      <w:r w:rsidR="000636C2">
        <w:rPr>
          <w:rFonts w:hint="cs"/>
          <w:rtl/>
        </w:rPr>
        <w:t>،</w:t>
      </w:r>
      <w:r w:rsidRPr="005675B2">
        <w:rPr>
          <w:rFonts w:hint="cs"/>
          <w:rtl/>
        </w:rPr>
        <w:t xml:space="preserve"> وخطب جليل</w:t>
      </w:r>
      <w:r w:rsidR="000636C2">
        <w:rPr>
          <w:rFonts w:hint="cs"/>
          <w:rtl/>
        </w:rPr>
        <w:t>،</w:t>
      </w:r>
      <w:r w:rsidRPr="005675B2">
        <w:rPr>
          <w:rFonts w:hint="cs"/>
          <w:rtl/>
        </w:rPr>
        <w:t xml:space="preserve"> لا يقدر أحد أن يحيط بعلم الكلام النبوي إلا أن يهذب نفسه بمتابعة الشارع</w:t>
      </w:r>
      <w:r w:rsidR="000636C2">
        <w:rPr>
          <w:rFonts w:hint="cs"/>
          <w:rtl/>
        </w:rPr>
        <w:t>،</w:t>
      </w:r>
      <w:r w:rsidRPr="005675B2">
        <w:rPr>
          <w:rFonts w:hint="cs"/>
          <w:rtl/>
        </w:rPr>
        <w:t xml:space="preserve"> ويزيل الاعوجاج عن قلبه بتقويم شرع النبي صلى الله عليه وسلم</w:t>
      </w:r>
      <w:r w:rsidR="000636C2">
        <w:rPr>
          <w:rFonts w:hint="cs"/>
          <w:rtl/>
        </w:rPr>
        <w:t>]،</w:t>
      </w:r>
      <w:r w:rsidRPr="005675B2">
        <w:rPr>
          <w:rFonts w:hint="cs"/>
          <w:rtl/>
        </w:rPr>
        <w:t xml:space="preserve"> وبعد أن تكلم الغزالي عن التعليم الإنساني تكلم عن التعليم الرباني فقال</w:t>
      </w:r>
      <w:r w:rsidR="000636C2">
        <w:rPr>
          <w:rFonts w:hint="cs"/>
          <w:rtl/>
        </w:rPr>
        <w:t>:</w:t>
      </w:r>
      <w:r w:rsidRPr="005675B2">
        <w:rPr>
          <w:rFonts w:hint="cs"/>
          <w:rtl/>
        </w:rPr>
        <w:t xml:space="preserve"> وهو على وجهين</w:t>
      </w:r>
      <w:r w:rsidR="000636C2">
        <w:rPr>
          <w:rFonts w:hint="cs"/>
          <w:rtl/>
        </w:rPr>
        <w:t>:</w:t>
      </w:r>
      <w:r w:rsidRPr="005675B2">
        <w:rPr>
          <w:rFonts w:hint="cs"/>
          <w:rtl/>
        </w:rPr>
        <w:t xml:space="preserve"> الأول إلقاء الوحي، وهو أن النفس إذا كملت ذاتها يزول عنها دنس الطبيعة ودرن الحرص والأمل الفانية</w:t>
      </w:r>
      <w:r w:rsidR="000636C2">
        <w:rPr>
          <w:rFonts w:hint="cs"/>
          <w:rtl/>
        </w:rPr>
        <w:t>،</w:t>
      </w:r>
      <w:r w:rsidRPr="005675B2">
        <w:rPr>
          <w:rFonts w:hint="cs"/>
          <w:rtl/>
        </w:rPr>
        <w:t xml:space="preserve"> وتقبل بوجهها على بارئها ومنشئها</w:t>
      </w:r>
      <w:r w:rsidR="000636C2">
        <w:rPr>
          <w:rFonts w:hint="cs"/>
          <w:rtl/>
        </w:rPr>
        <w:t>،</w:t>
      </w:r>
      <w:r w:rsidRPr="005675B2">
        <w:rPr>
          <w:rFonts w:hint="cs"/>
          <w:rtl/>
        </w:rPr>
        <w:t xml:space="preserve"> وتتمسك بجود مبدعها</w:t>
      </w:r>
      <w:r w:rsidR="000636C2">
        <w:rPr>
          <w:rFonts w:hint="cs"/>
          <w:rtl/>
        </w:rPr>
        <w:t>،</w:t>
      </w:r>
      <w:r w:rsidRPr="005675B2">
        <w:rPr>
          <w:rFonts w:hint="cs"/>
          <w:rtl/>
        </w:rPr>
        <w:t xml:space="preserve"> وتعتمد على إفادته وفيض نوره</w:t>
      </w:r>
      <w:r w:rsidR="000636C2">
        <w:rPr>
          <w:rFonts w:hint="cs"/>
          <w:rtl/>
        </w:rPr>
        <w:t>،</w:t>
      </w:r>
      <w:r w:rsidRPr="005675B2">
        <w:rPr>
          <w:rFonts w:hint="cs"/>
          <w:rtl/>
        </w:rPr>
        <w:t xml:space="preserve"> والله تعالى بحسن عنايته يقبل على تلك النفس إقبالاً كلياً</w:t>
      </w:r>
      <w:r w:rsidR="000636C2">
        <w:rPr>
          <w:rFonts w:hint="cs"/>
          <w:rtl/>
        </w:rPr>
        <w:t>،</w:t>
      </w:r>
      <w:r w:rsidRPr="005675B2">
        <w:rPr>
          <w:rFonts w:hint="cs"/>
          <w:rtl/>
        </w:rPr>
        <w:t xml:space="preserve"> وينظر إليها نظراً إلهياً</w:t>
      </w:r>
      <w:r w:rsidR="000636C2">
        <w:rPr>
          <w:rFonts w:hint="cs"/>
          <w:rtl/>
        </w:rPr>
        <w:t>،</w:t>
      </w:r>
      <w:r w:rsidRPr="005675B2">
        <w:rPr>
          <w:rFonts w:hint="cs"/>
          <w:rtl/>
        </w:rPr>
        <w:t xml:space="preserve"> ويتخذ منها لوحاً ومن النفس الكلي قلماً</w:t>
      </w:r>
      <w:r w:rsidR="000636C2">
        <w:rPr>
          <w:rFonts w:hint="cs"/>
          <w:rtl/>
        </w:rPr>
        <w:t>،</w:t>
      </w:r>
      <w:r w:rsidRPr="005675B2">
        <w:rPr>
          <w:rFonts w:hint="cs"/>
          <w:rtl/>
        </w:rPr>
        <w:t xml:space="preserve"> وينقش فيها جميع علومه</w:t>
      </w:r>
      <w:r w:rsidR="000636C2">
        <w:rPr>
          <w:rFonts w:hint="cs"/>
          <w:rtl/>
        </w:rPr>
        <w:t>،</w:t>
      </w:r>
      <w:r w:rsidRPr="005675B2">
        <w:rPr>
          <w:rFonts w:hint="cs"/>
          <w:rtl/>
        </w:rPr>
        <w:t xml:space="preserve">… ومصداق هذا قوله تعالى لنبيه صلى الله عليه وسلم </w:t>
      </w:r>
      <w:r w:rsidR="000636C2">
        <w:rPr>
          <w:rFonts w:hint="cs"/>
          <w:rtl/>
        </w:rPr>
        <w:t>[</w:t>
      </w:r>
      <w:r w:rsidRPr="005675B2">
        <w:rPr>
          <w:rFonts w:hint="cs"/>
          <w:rtl/>
        </w:rPr>
        <w:t>وَعَلَّمَكَ مَا لَمْ تَكُنْ تَعْلَمُ</w:t>
      </w:r>
      <w:r w:rsidR="000636C2">
        <w:rPr>
          <w:rFonts w:hint="cs"/>
          <w:rtl/>
        </w:rPr>
        <w:t>]</w:t>
      </w:r>
      <w:r w:rsidRPr="005675B2">
        <w:rPr>
          <w:rFonts w:hint="cs"/>
          <w:rtl/>
        </w:rPr>
        <w:t xml:space="preserve"> [</w:t>
      </w:r>
      <w:r w:rsidRPr="005675B2">
        <w:rPr>
          <w:rFonts w:hint="cs"/>
          <w:sz w:val="24"/>
          <w:szCs w:val="24"/>
          <w:rtl/>
        </w:rPr>
        <w:t>سورة النساء آية 113</w:t>
      </w:r>
      <w:r w:rsidR="000636C2">
        <w:rPr>
          <w:rFonts w:hint="cs"/>
          <w:sz w:val="24"/>
          <w:szCs w:val="24"/>
          <w:rtl/>
        </w:rPr>
        <w:t>]</w:t>
      </w:r>
      <w:r w:rsidRPr="005675B2">
        <w:rPr>
          <w:rFonts w:hint="cs"/>
          <w:rtl/>
        </w:rPr>
        <w:t>،… فتقرر الأمر عند العقلاء أن العلم الغيبي المتولد عن الوحي أقوى وأكمل من العلوم المكتسبة</w:t>
      </w:r>
      <w:r w:rsidR="000636C2">
        <w:rPr>
          <w:rFonts w:hint="cs"/>
          <w:rtl/>
        </w:rPr>
        <w:t>،</w:t>
      </w:r>
      <w:r w:rsidRPr="005675B2">
        <w:rPr>
          <w:rFonts w:hint="cs"/>
          <w:rtl/>
        </w:rPr>
        <w:t xml:space="preserve"> وصار علم الوحي إرث الأنبياء وحق الرسل</w:t>
      </w:r>
      <w:r w:rsidR="000636C2">
        <w:rPr>
          <w:rFonts w:hint="cs"/>
          <w:rtl/>
        </w:rPr>
        <w:t>،</w:t>
      </w:r>
      <w:r w:rsidRPr="005675B2">
        <w:rPr>
          <w:rFonts w:hint="cs"/>
          <w:rtl/>
        </w:rPr>
        <w:t xml:space="preserve"> وأغلق الله باب الوحي من عهد سيدنا محمد صلى الله عليه وسلم [</w:t>
      </w:r>
      <w:r w:rsidRPr="005675B2">
        <w:rPr>
          <w:rFonts w:hint="cs"/>
          <w:sz w:val="24"/>
          <w:szCs w:val="24"/>
          <w:rtl/>
        </w:rPr>
        <w:t>الرسالة اللدنية للغزالي: ص 114 – 115</w:t>
      </w:r>
      <w:r w:rsidR="000636C2">
        <w:rPr>
          <w:rFonts w:hint="cs"/>
          <w:sz w:val="24"/>
          <w:szCs w:val="24"/>
          <w:rtl/>
        </w:rPr>
        <w:t>]</w:t>
      </w:r>
      <w:r w:rsidR="000636C2">
        <w:rPr>
          <w:rFonts w:hint="cs"/>
          <w:rtl/>
        </w:rPr>
        <w:t>،</w:t>
      </w:r>
      <w:r w:rsidRPr="005675B2">
        <w:rPr>
          <w:rFonts w:hint="cs"/>
          <w:rtl/>
        </w:rPr>
        <w:t xml:space="preserve"> فهل تجد في كلام الغزالي أنه فسر الوحي على غير معنى التعليم الرباني النازل من الله تبارك وتعالى على قلب أنبيائه ورسله عليهم الصلاة والسلام</w:t>
      </w:r>
      <w:r w:rsidR="000636C2">
        <w:rPr>
          <w:rFonts w:hint="cs"/>
          <w:rtl/>
        </w:rPr>
        <w:t>،</w:t>
      </w:r>
      <w:r w:rsidRPr="005675B2">
        <w:rPr>
          <w:rFonts w:hint="cs"/>
          <w:rtl/>
        </w:rPr>
        <w:t xml:space="preserve"> ومنهم سيدنا محمد صلى الله عليه وسلم الذي أغلق الله تعالى باب الوحي من عهده</w:t>
      </w:r>
      <w:r w:rsidR="000636C2">
        <w:rPr>
          <w:rFonts w:hint="cs"/>
          <w:rtl/>
        </w:rPr>
        <w:t>،</w:t>
      </w:r>
      <w:r w:rsidRPr="005675B2">
        <w:rPr>
          <w:rFonts w:hint="cs"/>
          <w:rtl/>
        </w:rPr>
        <w:t xml:space="preserve"> وذلك أخذاً من قوله تعالى </w:t>
      </w:r>
      <w:r w:rsidR="000636C2">
        <w:rPr>
          <w:rFonts w:hint="cs"/>
          <w:rtl/>
        </w:rPr>
        <w:t>[</w:t>
      </w:r>
      <w:r w:rsidRPr="005675B2">
        <w:rPr>
          <w:rFonts w:hint="cs"/>
          <w:rtl/>
        </w:rPr>
        <w:t>وَعَلَّمَكَ مَا لَمْ تَكُنْ تَعْلَمُ</w:t>
      </w:r>
      <w:r w:rsidR="000636C2">
        <w:rPr>
          <w:rFonts w:hint="cs"/>
          <w:rtl/>
        </w:rPr>
        <w:t>]؟!</w:t>
      </w:r>
      <w:r w:rsidRPr="005675B2">
        <w:rPr>
          <w:rFonts w:hint="cs"/>
          <w:rtl/>
        </w:rPr>
        <w:t>!</w:t>
      </w:r>
      <w:r w:rsidR="000636C2">
        <w:rPr>
          <w:rFonts w:hint="cs"/>
          <w:rtl/>
        </w:rPr>
        <w:t>،</w:t>
      </w:r>
      <w:r w:rsidRPr="005675B2">
        <w:rPr>
          <w:rFonts w:hint="cs"/>
          <w:rtl/>
        </w:rPr>
        <w:t xml:space="preserve"> قد تختلف مع الإمام الغزالي رحمه الله في استخدام المصطلحات الفلسفية</w:t>
      </w:r>
      <w:r w:rsidR="000636C2">
        <w:rPr>
          <w:rFonts w:hint="cs"/>
          <w:rtl/>
        </w:rPr>
        <w:t>،</w:t>
      </w:r>
      <w:r w:rsidRPr="005675B2">
        <w:rPr>
          <w:rFonts w:hint="cs"/>
          <w:rtl/>
        </w:rPr>
        <w:t xml:space="preserve"> والحقيقة هي أن في كلامِ الله جل وعلا وكلامِ نبيه صلوات الله وسلامه عليه</w:t>
      </w:r>
      <w:r w:rsidR="000636C2">
        <w:rPr>
          <w:rFonts w:hint="cs"/>
          <w:rtl/>
        </w:rPr>
        <w:t>:</w:t>
      </w:r>
      <w:r w:rsidRPr="005675B2">
        <w:rPr>
          <w:rFonts w:hint="cs"/>
          <w:rtl/>
        </w:rPr>
        <w:t xml:space="preserve"> غُنْيَةً عن ذلك كله</w:t>
      </w:r>
      <w:r w:rsidR="000636C2">
        <w:rPr>
          <w:rFonts w:hint="cs"/>
          <w:rtl/>
        </w:rPr>
        <w:t>،</w:t>
      </w:r>
      <w:r w:rsidRPr="005675B2">
        <w:rPr>
          <w:rFonts w:hint="cs"/>
          <w:rtl/>
        </w:rPr>
        <w:t xml:space="preserve"> ولكنك لا تستطيع أن تنسب إليه ما نسبه إليه الباحث</w:t>
      </w:r>
      <w:r w:rsidR="000636C2">
        <w:rPr>
          <w:rFonts w:hint="cs"/>
          <w:rtl/>
        </w:rPr>
        <w:t>،</w:t>
      </w:r>
      <w:r w:rsidRPr="005675B2">
        <w:rPr>
          <w:rFonts w:hint="cs"/>
          <w:rtl/>
        </w:rPr>
        <w:t xml:space="preserve"> سامحه الله</w:t>
      </w:r>
      <w:r w:rsidR="000636C2">
        <w:rPr>
          <w:rFonts w:hint="cs"/>
          <w:rtl/>
        </w:rPr>
        <w:t>،</w:t>
      </w:r>
    </w:p>
    <w:p w14:paraId="2B75D80D" w14:textId="77777777" w:rsidR="009C32A0" w:rsidRPr="005675B2" w:rsidRDefault="009C32A0" w:rsidP="000636C2">
      <w:pPr>
        <w:jc w:val="center"/>
        <w:rPr>
          <w:b/>
          <w:rtl/>
        </w:rPr>
      </w:pPr>
      <w:r w:rsidRPr="005675B2">
        <w:rPr>
          <w:rFonts w:hint="cs"/>
          <w:rtl/>
        </w:rPr>
        <w:t>***</w:t>
      </w:r>
    </w:p>
    <w:p w14:paraId="62EE302E" w14:textId="72A20766" w:rsidR="009C32A0" w:rsidRPr="005675B2" w:rsidRDefault="000636C2" w:rsidP="000636C2">
      <w:pPr>
        <w:jc w:val="center"/>
        <w:rPr>
          <w:bCs/>
          <w:rtl/>
        </w:rPr>
      </w:pPr>
      <w:r>
        <w:rPr>
          <w:rFonts w:hint="cs"/>
          <w:bCs/>
          <w:rtl/>
        </w:rPr>
        <w:t>[</w:t>
      </w:r>
      <w:r w:rsidR="009C32A0" w:rsidRPr="005675B2">
        <w:rPr>
          <w:rFonts w:hint="cs"/>
          <w:bCs/>
          <w:rtl/>
        </w:rPr>
        <w:t>الموضوع العاشر</w:t>
      </w:r>
      <w:r>
        <w:rPr>
          <w:rFonts w:hint="cs"/>
          <w:bCs/>
          <w:rtl/>
        </w:rPr>
        <w:t xml:space="preserve">: </w:t>
      </w:r>
      <w:r w:rsidR="009C32A0" w:rsidRPr="005675B2">
        <w:rPr>
          <w:rFonts w:hint="cs"/>
          <w:bCs/>
          <w:rtl/>
        </w:rPr>
        <w:t>التحسين والتقبيح</w:t>
      </w:r>
      <w:r>
        <w:rPr>
          <w:rFonts w:hint="cs"/>
          <w:bCs/>
          <w:rtl/>
        </w:rPr>
        <w:t>]</w:t>
      </w:r>
    </w:p>
    <w:p w14:paraId="66BB3D29" w14:textId="40ABCA89"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ينكر الأشاعرة أن يكون للعقل والفطرة أي دور في الحكم على الأشياء بالحسن والقبح</w:t>
      </w:r>
      <w:r w:rsidR="000636C2">
        <w:rPr>
          <w:rFonts w:hint="cs"/>
          <w:rtl/>
        </w:rPr>
        <w:t>،</w:t>
      </w:r>
      <w:r w:rsidRPr="005675B2">
        <w:rPr>
          <w:rFonts w:hint="cs"/>
          <w:rtl/>
        </w:rPr>
        <w:t xml:space="preserve"> ويقولون مرد ذلك إلى الشرع وحده</w:t>
      </w:r>
      <w:r w:rsidR="000636C2">
        <w:rPr>
          <w:rFonts w:hint="cs"/>
          <w:rtl/>
        </w:rPr>
        <w:t>،</w:t>
      </w:r>
      <w:r w:rsidRPr="005675B2">
        <w:rPr>
          <w:rFonts w:hint="cs"/>
          <w:rtl/>
        </w:rPr>
        <w:t xml:space="preserve"> … ومما يترتب عليه من الأصول الفاسدة قولهم إن الشرع قد يأتي بما هو قبيح في العقل</w:t>
      </w:r>
      <w:r w:rsidR="000636C2">
        <w:rPr>
          <w:rFonts w:hint="cs"/>
          <w:rtl/>
        </w:rPr>
        <w:t>،</w:t>
      </w:r>
      <w:r w:rsidRPr="005675B2">
        <w:rPr>
          <w:rFonts w:hint="cs"/>
          <w:rtl/>
        </w:rPr>
        <w:t xml:space="preserve"> … ومثلوا لذلك بذبح الحيوان فإنه إيلام له بلا ذنب</w:t>
      </w:r>
      <w:r w:rsidR="000636C2">
        <w:rPr>
          <w:rFonts w:hint="cs"/>
          <w:rtl/>
        </w:rPr>
        <w:t>]،</w:t>
      </w:r>
    </w:p>
    <w:p w14:paraId="38262FAD" w14:textId="20D9BF67"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 إن ما نسبه الباحث للأشاعرة في التحسين والتقبيح هو غير ما يقولونه</w:t>
      </w:r>
      <w:r w:rsidR="000636C2">
        <w:rPr>
          <w:rFonts w:hint="cs"/>
          <w:rtl/>
        </w:rPr>
        <w:t>،</w:t>
      </w:r>
      <w:r w:rsidRPr="005675B2">
        <w:rPr>
          <w:rFonts w:hint="cs"/>
          <w:rtl/>
        </w:rPr>
        <w:t xml:space="preserve"> إذ هل يُعقل أن ينكر عاقل ما في الصدق والأمانة والعدل والنظافة من الحسن وما في الكذب والخيانة والظلم والقذارة من القبح</w:t>
      </w:r>
      <w:r w:rsidR="000636C2">
        <w:rPr>
          <w:rFonts w:hint="cs"/>
          <w:rtl/>
        </w:rPr>
        <w:t xml:space="preserve">؟!، </w:t>
      </w:r>
      <w:r w:rsidRPr="005675B2">
        <w:rPr>
          <w:rFonts w:hint="cs"/>
          <w:rtl/>
        </w:rPr>
        <w:t>إن كثيراً من الأمور يدرك الإنسان العاقل ما فيها من حسن أو قبح وإن كانت تفصيلاتها الجزئية محل اشتباه</w:t>
      </w:r>
      <w:r w:rsidR="000636C2">
        <w:rPr>
          <w:rFonts w:hint="cs"/>
          <w:rtl/>
        </w:rPr>
        <w:t>،</w:t>
      </w:r>
      <w:r w:rsidRPr="005675B2">
        <w:rPr>
          <w:rFonts w:hint="cs"/>
          <w:rtl/>
        </w:rPr>
        <w:t xml:space="preserve"> بحيث يستعصي على الناس إدراكها بالعقل والفطرة</w:t>
      </w:r>
      <w:r w:rsidR="000636C2">
        <w:rPr>
          <w:rFonts w:hint="cs"/>
          <w:rtl/>
        </w:rPr>
        <w:t xml:space="preserve">، </w:t>
      </w:r>
      <w:r w:rsidRPr="005675B2">
        <w:rPr>
          <w:rFonts w:hint="cs"/>
          <w:rtl/>
        </w:rPr>
        <w:t>إن الأشاعرة يرون أن إدراك الإنسان لحسن شيء أو قبحه لا يترتب عليه إيجاب وثواب أو تحريم وعقاب عند الله تعالى إلا بعد ورود الشرع بالأمر والنهي وهذا ما لم ينتبه إليه الباحث</w:t>
      </w:r>
      <w:r w:rsidR="000636C2">
        <w:rPr>
          <w:rFonts w:hint="cs"/>
          <w:rtl/>
        </w:rPr>
        <w:t xml:space="preserve">، </w:t>
      </w:r>
      <w:r w:rsidRPr="005675B2">
        <w:rPr>
          <w:rFonts w:hint="cs"/>
          <w:rtl/>
        </w:rPr>
        <w:t>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اعلموا أن العقول تدل على صحة الصحيح واستحالة المحال، … فأما الأحكام الشرعية في الوجوب والحظر والإباحة فطريق معرفتها ورود الخبر والأمر من الله تعالى</w:t>
      </w:r>
      <w:r w:rsidR="000636C2">
        <w:rPr>
          <w:rFonts w:hint="cs"/>
          <w:rtl/>
        </w:rPr>
        <w:t>]</w:t>
      </w:r>
      <w:r w:rsidRPr="005675B2">
        <w:rPr>
          <w:rFonts w:hint="cs"/>
          <w:rtl/>
        </w:rPr>
        <w:t xml:space="preserve"> [</w:t>
      </w:r>
      <w:r w:rsidRPr="005675B2">
        <w:rPr>
          <w:rFonts w:hint="cs"/>
          <w:sz w:val="24"/>
          <w:szCs w:val="24"/>
          <w:rtl/>
        </w:rPr>
        <w:t xml:space="preserve">أصول الدين لأبي منصور البغدادي: ص 202 </w:t>
      </w:r>
      <w:r w:rsidRPr="005675B2">
        <w:rPr>
          <w:sz w:val="24"/>
          <w:szCs w:val="24"/>
        </w:rPr>
        <w:t>–</w:t>
      </w:r>
      <w:r w:rsidRPr="005675B2">
        <w:rPr>
          <w:rFonts w:hint="cs"/>
          <w:sz w:val="24"/>
          <w:szCs w:val="24"/>
          <w:rtl/>
        </w:rPr>
        <w:t xml:space="preserve"> 203</w:t>
      </w:r>
      <w:r w:rsidR="000636C2">
        <w:rPr>
          <w:rFonts w:hint="cs"/>
          <w:sz w:val="24"/>
          <w:szCs w:val="24"/>
          <w:rtl/>
        </w:rPr>
        <w:t>]</w:t>
      </w:r>
      <w:r w:rsidR="000636C2">
        <w:rPr>
          <w:rFonts w:hint="cs"/>
          <w:rtl/>
        </w:rPr>
        <w:t xml:space="preserve">، </w:t>
      </w:r>
      <w:r w:rsidRPr="005675B2">
        <w:rPr>
          <w:rFonts w:hint="cs"/>
          <w:rtl/>
        </w:rPr>
        <w:t>وقال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العقل لا يدل على حسن شيء ولا قبحه في حكم التكليف</w:t>
      </w:r>
      <w:r w:rsidR="000636C2">
        <w:rPr>
          <w:rFonts w:hint="cs"/>
          <w:rtl/>
        </w:rPr>
        <w:t>،</w:t>
      </w:r>
      <w:r w:rsidRPr="005675B2">
        <w:rPr>
          <w:rFonts w:hint="cs"/>
          <w:rtl/>
        </w:rPr>
        <w:t xml:space="preserve"> وإنما يُتلقى التحسين والتقبيح من موارد الشرع ومُوجب السمع</w:t>
      </w:r>
      <w:r w:rsidR="000636C2">
        <w:rPr>
          <w:rFonts w:hint="cs"/>
          <w:rtl/>
        </w:rPr>
        <w:t>]</w:t>
      </w:r>
      <w:r w:rsidRPr="005675B2">
        <w:rPr>
          <w:rFonts w:hint="cs"/>
          <w:rtl/>
        </w:rPr>
        <w:t xml:space="preserve"> [</w:t>
      </w:r>
      <w:r w:rsidRPr="005675B2">
        <w:rPr>
          <w:rFonts w:hint="cs"/>
          <w:sz w:val="24"/>
          <w:szCs w:val="24"/>
          <w:rtl/>
        </w:rPr>
        <w:t>الإرشاد لإمام الحرمين: ص 228</w:t>
      </w:r>
      <w:r w:rsidR="000636C2">
        <w:rPr>
          <w:rFonts w:hint="cs"/>
          <w:sz w:val="24"/>
          <w:szCs w:val="24"/>
          <w:rtl/>
        </w:rPr>
        <w:t>]</w:t>
      </w:r>
      <w:r w:rsidR="000636C2">
        <w:rPr>
          <w:rFonts w:hint="cs"/>
          <w:rtl/>
        </w:rPr>
        <w:t xml:space="preserve">، </w:t>
      </w:r>
      <w:r w:rsidRPr="005675B2">
        <w:rPr>
          <w:rFonts w:hint="cs"/>
          <w:rtl/>
        </w:rPr>
        <w:t>وقال فخر الدين الرازي</w:t>
      </w:r>
      <w:r w:rsidR="000636C2">
        <w:rPr>
          <w:rFonts w:hint="cs"/>
          <w:rtl/>
        </w:rPr>
        <w:t>:</w:t>
      </w:r>
      <w:r w:rsidRPr="005675B2">
        <w:rPr>
          <w:rFonts w:hint="cs"/>
          <w:rtl/>
        </w:rPr>
        <w:t xml:space="preserve"> </w:t>
      </w:r>
      <w:r w:rsidR="000636C2">
        <w:rPr>
          <w:rFonts w:hint="cs"/>
          <w:rtl/>
        </w:rPr>
        <w:t>[</w:t>
      </w:r>
      <w:r w:rsidRPr="005675B2">
        <w:rPr>
          <w:rFonts w:hint="cs"/>
          <w:rtl/>
        </w:rPr>
        <w:t>لا نزاع في أنا نعرف بعقولنا كون بعض الأشياء ملائماً لطباعنا وبعضها منافراً لطباعنا</w:t>
      </w:r>
      <w:r w:rsidR="000636C2">
        <w:rPr>
          <w:rFonts w:hint="cs"/>
          <w:rtl/>
        </w:rPr>
        <w:t xml:space="preserve">، </w:t>
      </w:r>
      <w:r w:rsidRPr="005675B2">
        <w:t>…</w:t>
      </w:r>
      <w:r w:rsidRPr="005675B2">
        <w:rPr>
          <w:rFonts w:hint="cs"/>
          <w:rtl/>
        </w:rPr>
        <w:t xml:space="preserve"> وأيضاً نعلم بعقولنا أن العلم صفة كمال والجهلَ صفة نقص</w:t>
      </w:r>
      <w:r w:rsidR="000636C2">
        <w:rPr>
          <w:rFonts w:hint="cs"/>
          <w:rtl/>
        </w:rPr>
        <w:t>،</w:t>
      </w:r>
      <w:r w:rsidRPr="005675B2">
        <w:rPr>
          <w:rFonts w:hint="cs"/>
          <w:rtl/>
        </w:rPr>
        <w:t xml:space="preserve"> إنما النزاع في أن كون بعض الأفعال متعلَّق الذم في الدنيا والعقاب في الآخرة وكون البعض الآخر متعلَّق المدح في الدنيا والثواب في الآخرة</w:t>
      </w:r>
      <w:r w:rsidR="000636C2">
        <w:rPr>
          <w:rFonts w:hint="cs"/>
          <w:rtl/>
        </w:rPr>
        <w:t>:</w:t>
      </w:r>
      <w:r w:rsidRPr="005675B2">
        <w:rPr>
          <w:rFonts w:hint="cs"/>
          <w:rtl/>
        </w:rPr>
        <w:t xml:space="preserve"> هل هو لأجل صفة عائدة إلى الفعل</w:t>
      </w:r>
      <w:r w:rsidR="000636C2">
        <w:rPr>
          <w:rFonts w:hint="cs"/>
          <w:rtl/>
        </w:rPr>
        <w:t>؟</w:t>
      </w:r>
      <w:r w:rsidRPr="005675B2">
        <w:rPr>
          <w:rFonts w:hint="cs"/>
          <w:rtl/>
        </w:rPr>
        <w:t xml:space="preserve"> أو ليس الأمر كذلك بل هو محض حكم الشرع</w:t>
      </w:r>
      <w:r w:rsidR="000636C2">
        <w:rPr>
          <w:rFonts w:hint="cs"/>
          <w:rtl/>
        </w:rPr>
        <w:t>؟]</w:t>
      </w:r>
      <w:r w:rsidRPr="005675B2">
        <w:rPr>
          <w:rFonts w:hint="cs"/>
          <w:rtl/>
        </w:rPr>
        <w:t xml:space="preserve"> [</w:t>
      </w:r>
      <w:r w:rsidRPr="005675B2">
        <w:rPr>
          <w:rFonts w:hint="cs"/>
          <w:sz w:val="24"/>
          <w:szCs w:val="24"/>
          <w:rtl/>
        </w:rPr>
        <w:t>كتاب الأربعين لفخر الدين الرازي: ص 246</w:t>
      </w:r>
      <w:r w:rsidR="000636C2">
        <w:rPr>
          <w:rFonts w:hint="cs"/>
          <w:sz w:val="24"/>
          <w:szCs w:val="24"/>
          <w:rtl/>
        </w:rPr>
        <w:t>]</w:t>
      </w:r>
      <w:r w:rsidR="000636C2">
        <w:rPr>
          <w:rFonts w:hint="cs"/>
          <w:rtl/>
        </w:rPr>
        <w:t xml:space="preserve">، </w:t>
      </w:r>
      <w:r w:rsidRPr="005675B2">
        <w:rPr>
          <w:rFonts w:hint="cs"/>
          <w:rtl/>
        </w:rPr>
        <w:t>وقال التفتازاني</w:t>
      </w:r>
      <w:r w:rsidR="000636C2">
        <w:rPr>
          <w:rFonts w:hint="cs"/>
          <w:rtl/>
        </w:rPr>
        <w:t>:</w:t>
      </w:r>
      <w:r w:rsidRPr="005675B2">
        <w:rPr>
          <w:rFonts w:hint="cs"/>
          <w:rtl/>
        </w:rPr>
        <w:t xml:space="preserve"> </w:t>
      </w:r>
      <w:r w:rsidR="000636C2">
        <w:rPr>
          <w:rFonts w:hint="cs"/>
          <w:rtl/>
        </w:rPr>
        <w:t>[</w:t>
      </w:r>
      <w:r w:rsidRPr="005675B2">
        <w:rPr>
          <w:rFonts w:hint="cs"/>
          <w:rtl/>
        </w:rPr>
        <w:t>وليس النزاع في الحسن والقبح بمعنى صفة الكمال والنقص</w:t>
      </w:r>
      <w:r w:rsidR="000636C2">
        <w:rPr>
          <w:rFonts w:hint="cs"/>
          <w:rtl/>
        </w:rPr>
        <w:t>،</w:t>
      </w:r>
      <w:r w:rsidRPr="005675B2">
        <w:t>…</w:t>
      </w:r>
      <w:r w:rsidRPr="005675B2">
        <w:rPr>
          <w:rFonts w:hint="cs"/>
          <w:rtl/>
        </w:rPr>
        <w:t xml:space="preserve"> وبالجملة كل ما يستحق المدح أو الذم في نظر العقول ومجاري العادات فإن ذلك يدرك بالعقل وردَ الشرعُ أو لا</w:t>
      </w:r>
      <w:r w:rsidR="000636C2">
        <w:rPr>
          <w:rFonts w:hint="cs"/>
          <w:rtl/>
        </w:rPr>
        <w:t>،</w:t>
      </w:r>
      <w:r w:rsidRPr="005675B2">
        <w:rPr>
          <w:rFonts w:hint="cs"/>
          <w:rtl/>
        </w:rPr>
        <w:t xml:space="preserve"> وإنما النزاع في الحسن والقبح عند الله تعالى</w:t>
      </w:r>
      <w:r w:rsidR="000636C2">
        <w:rPr>
          <w:rFonts w:hint="cs"/>
          <w:rtl/>
        </w:rPr>
        <w:t>،</w:t>
      </w:r>
      <w:r w:rsidRPr="005675B2">
        <w:rPr>
          <w:rFonts w:hint="cs"/>
          <w:rtl/>
        </w:rPr>
        <w:t xml:space="preserve"> بمعنى استحقاق فاعله في حكم الله تعالى المدح أو الذم عاجلاً والثواب أو العقاب آجلاً</w:t>
      </w:r>
      <w:r w:rsidR="000636C2">
        <w:rPr>
          <w:rFonts w:hint="cs"/>
          <w:rtl/>
        </w:rPr>
        <w:t>]</w:t>
      </w:r>
      <w:r w:rsidRPr="005675B2">
        <w:rPr>
          <w:rFonts w:hint="cs"/>
          <w:rtl/>
        </w:rPr>
        <w:t xml:space="preserve"> [</w:t>
      </w:r>
      <w:r w:rsidRPr="005675B2">
        <w:rPr>
          <w:rFonts w:hint="cs"/>
          <w:sz w:val="24"/>
          <w:szCs w:val="24"/>
          <w:rtl/>
        </w:rPr>
        <w:t>شرح المقاصد للتفتازاني: 4/282</w:t>
      </w:r>
      <w:r w:rsidR="000636C2">
        <w:rPr>
          <w:rFonts w:hint="cs"/>
          <w:sz w:val="24"/>
          <w:szCs w:val="24"/>
          <w:rtl/>
        </w:rPr>
        <w:t>]</w:t>
      </w:r>
      <w:r w:rsidR="000636C2">
        <w:rPr>
          <w:rFonts w:hint="cs"/>
          <w:rtl/>
        </w:rPr>
        <w:t xml:space="preserve">، </w:t>
      </w:r>
      <w:r w:rsidRPr="005675B2">
        <w:rPr>
          <w:rFonts w:hint="cs"/>
          <w:rtl/>
        </w:rPr>
        <w:t>وقال تاج الدين السبكي في جمع الجوامع في المقدمات</w:t>
      </w:r>
      <w:r w:rsidR="000636C2">
        <w:rPr>
          <w:rFonts w:hint="cs"/>
          <w:rtl/>
        </w:rPr>
        <w:t>:</w:t>
      </w:r>
      <w:r w:rsidRPr="005675B2">
        <w:rPr>
          <w:rFonts w:hint="cs"/>
          <w:rtl/>
        </w:rPr>
        <w:t xml:space="preserve"> </w:t>
      </w:r>
      <w:r w:rsidR="000636C2">
        <w:rPr>
          <w:rFonts w:hint="cs"/>
          <w:rtl/>
        </w:rPr>
        <w:t>[</w:t>
      </w:r>
      <w:r w:rsidRPr="005675B2">
        <w:rPr>
          <w:rFonts w:hint="cs"/>
          <w:rtl/>
        </w:rPr>
        <w:t>والحسن والقبح بمعنى ملاءمة الطبع ومنافرته وصفة الكمال والنقص</w:t>
      </w:r>
      <w:r w:rsidR="000636C2">
        <w:rPr>
          <w:rFonts w:hint="cs"/>
          <w:rtl/>
        </w:rPr>
        <w:t>:</w:t>
      </w:r>
      <w:r w:rsidRPr="005675B2">
        <w:rPr>
          <w:rFonts w:hint="cs"/>
          <w:rtl/>
        </w:rPr>
        <w:t xml:space="preserve"> عقلي</w:t>
      </w:r>
      <w:r w:rsidR="000636C2">
        <w:rPr>
          <w:rFonts w:hint="cs"/>
          <w:rtl/>
        </w:rPr>
        <w:t>،</w:t>
      </w:r>
      <w:r w:rsidRPr="005675B2">
        <w:rPr>
          <w:rFonts w:hint="cs"/>
          <w:rtl/>
        </w:rPr>
        <w:t xml:space="preserve"> وبمعنى ترتب الذم عاجلاً والعقاب آجلاً</w:t>
      </w:r>
      <w:r w:rsidR="000636C2">
        <w:rPr>
          <w:rFonts w:hint="cs"/>
          <w:rtl/>
        </w:rPr>
        <w:t>:</w:t>
      </w:r>
      <w:r w:rsidRPr="005675B2">
        <w:rPr>
          <w:rFonts w:hint="cs"/>
          <w:rtl/>
        </w:rPr>
        <w:t xml:space="preserve"> شرعي</w:t>
      </w:r>
      <w:r w:rsidR="000636C2">
        <w:rPr>
          <w:rFonts w:hint="cs"/>
          <w:rtl/>
        </w:rPr>
        <w:t>،</w:t>
      </w:r>
      <w:r w:rsidRPr="005675B2">
        <w:rPr>
          <w:rFonts w:hint="cs"/>
          <w:rtl/>
        </w:rPr>
        <w:t xml:space="preserve"> خلافاً للمعتزلة</w:t>
      </w:r>
      <w:r w:rsidR="000636C2">
        <w:rPr>
          <w:rFonts w:hint="cs"/>
          <w:rtl/>
        </w:rPr>
        <w:t>]،</w:t>
      </w:r>
      <w:r w:rsidRPr="005675B2">
        <w:rPr>
          <w:rFonts w:hint="cs"/>
          <w:rtl/>
        </w:rPr>
        <w:t xml:space="preserve"> فانظر</w:t>
      </w:r>
      <w:r w:rsidR="000636C2">
        <w:rPr>
          <w:rFonts w:hint="cs"/>
          <w:rtl/>
        </w:rPr>
        <w:t xml:space="preserve"> </w:t>
      </w:r>
      <w:r w:rsidRPr="005675B2">
        <w:rPr>
          <w:rFonts w:hint="cs"/>
          <w:rtl/>
        </w:rPr>
        <w:t>- أيها القارىء المنصف</w:t>
      </w:r>
      <w:r w:rsidR="000636C2">
        <w:rPr>
          <w:rFonts w:hint="cs"/>
          <w:rtl/>
        </w:rPr>
        <w:t xml:space="preserve"> </w:t>
      </w:r>
      <w:r w:rsidRPr="005675B2">
        <w:rPr>
          <w:rFonts w:hint="cs"/>
          <w:rtl/>
        </w:rPr>
        <w:t>- إلى الفرق بين ما يقوله الأشاعرة وبين ما ينسبه الباحث إليهم</w:t>
      </w:r>
      <w:r w:rsidR="000636C2">
        <w:rPr>
          <w:rFonts w:hint="cs"/>
          <w:rtl/>
        </w:rPr>
        <w:t>،</w:t>
      </w:r>
      <w:r w:rsidRPr="005675B2">
        <w:rPr>
          <w:rFonts w:hint="cs"/>
          <w:rtl/>
        </w:rPr>
        <w:t xml:space="preserve"> فإن بينهما بوناً شاسعاً</w:t>
      </w:r>
      <w:r w:rsidR="000636C2">
        <w:rPr>
          <w:rFonts w:hint="cs"/>
          <w:rtl/>
        </w:rPr>
        <w:t xml:space="preserve">، </w:t>
      </w:r>
      <w:r w:rsidRPr="005675B2">
        <w:rPr>
          <w:rFonts w:hint="cs"/>
          <w:rtl/>
        </w:rPr>
        <w:t xml:space="preserve">واعلم أن دليل الأشاعرة هو قول الله تبارك وتعالى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xml:space="preserve"> [</w:t>
      </w:r>
      <w:r w:rsidRPr="005675B2">
        <w:rPr>
          <w:rFonts w:hint="cs"/>
          <w:sz w:val="24"/>
          <w:szCs w:val="24"/>
          <w:rtl/>
        </w:rPr>
        <w:t>سورة الإسراء</w:t>
      </w:r>
      <w:r w:rsidR="000636C2">
        <w:rPr>
          <w:rFonts w:hint="cs"/>
          <w:sz w:val="24"/>
          <w:szCs w:val="24"/>
          <w:rtl/>
        </w:rPr>
        <w:t>،</w:t>
      </w:r>
      <w:r w:rsidRPr="005675B2">
        <w:rPr>
          <w:rFonts w:hint="cs"/>
          <w:sz w:val="24"/>
          <w:szCs w:val="24"/>
          <w:rtl/>
        </w:rPr>
        <w:t xml:space="preserve"> الآية 15</w:t>
      </w:r>
      <w:r w:rsidR="000636C2">
        <w:rPr>
          <w:rFonts w:hint="cs"/>
          <w:sz w:val="24"/>
          <w:szCs w:val="24"/>
          <w:rtl/>
        </w:rPr>
        <w:t>]</w:t>
      </w:r>
      <w:r w:rsidR="000636C2">
        <w:rPr>
          <w:rFonts w:hint="cs"/>
          <w:rtl/>
        </w:rPr>
        <w:t xml:space="preserve">، </w:t>
      </w:r>
      <w:r w:rsidRPr="005675B2">
        <w:rPr>
          <w:rFonts w:hint="cs"/>
          <w:rtl/>
        </w:rPr>
        <w:t>وبمثل قول الأشاعرة يقول شيخ الحنابلة القاضي أبو يعلى، قال رحمه الله</w:t>
      </w:r>
      <w:r w:rsidR="000636C2">
        <w:rPr>
          <w:rFonts w:hint="cs"/>
          <w:rtl/>
        </w:rPr>
        <w:t>:</w:t>
      </w:r>
      <w:r w:rsidRPr="005675B2">
        <w:rPr>
          <w:rFonts w:hint="cs"/>
          <w:rtl/>
        </w:rPr>
        <w:t xml:space="preserve"> </w:t>
      </w:r>
      <w:r w:rsidR="000636C2">
        <w:rPr>
          <w:rFonts w:hint="cs"/>
          <w:rtl/>
        </w:rPr>
        <w:t>[</w:t>
      </w:r>
      <w:r w:rsidRPr="005675B2">
        <w:rPr>
          <w:rFonts w:hint="cs"/>
          <w:rtl/>
        </w:rPr>
        <w:t>ولا مجال للعقل في تحسين شيء من المحسّنات ولاتقبيح شيء من المقبحات .. وإنما يعلم ذلك من جهة الرسل الصادقين من قبل الله تعالى</w:t>
      </w:r>
      <w:r w:rsidR="000636C2">
        <w:rPr>
          <w:rFonts w:hint="cs"/>
          <w:rtl/>
        </w:rPr>
        <w:t>]</w:t>
      </w:r>
      <w:r w:rsidRPr="005675B2">
        <w:rPr>
          <w:rFonts w:hint="cs"/>
          <w:rtl/>
        </w:rPr>
        <w:t xml:space="preserve"> [</w:t>
      </w:r>
      <w:r w:rsidRPr="005675B2">
        <w:rPr>
          <w:rFonts w:hint="cs"/>
          <w:sz w:val="24"/>
          <w:szCs w:val="24"/>
          <w:rtl/>
        </w:rPr>
        <w:t>المعتمد في أصول الدين: ص21]</w:t>
      </w:r>
      <w:r w:rsidRPr="005675B2">
        <w:rPr>
          <w:rFonts w:hint="cs"/>
          <w:rtl/>
        </w:rPr>
        <w:t>،</w:t>
      </w:r>
      <w:r w:rsidR="000636C2">
        <w:rPr>
          <w:rFonts w:hint="cs"/>
          <w:rtl/>
        </w:rPr>
        <w:t xml:space="preserve"> </w:t>
      </w:r>
      <w:r w:rsidRPr="005675B2">
        <w:rPr>
          <w:rFonts w:hint="cs"/>
          <w:rtl/>
        </w:rPr>
        <w:t>2 - نسب الباحث إلى الأشاعرة أن الشرع قد يأتي بما هو قبيح في العقل</w:t>
      </w:r>
      <w:r w:rsidR="000636C2">
        <w:rPr>
          <w:rFonts w:hint="cs"/>
          <w:rtl/>
        </w:rPr>
        <w:t>،</w:t>
      </w:r>
      <w:r w:rsidRPr="005675B2">
        <w:rPr>
          <w:rFonts w:hint="cs"/>
          <w:rtl/>
        </w:rPr>
        <w:t xml:space="preserve"> دون محاولة فهم هذا القول وتفسيره</w:t>
      </w:r>
      <w:r w:rsidR="000636C2">
        <w:rPr>
          <w:rFonts w:hint="cs"/>
          <w:rtl/>
        </w:rPr>
        <w:t>،</w:t>
      </w:r>
      <w:r w:rsidRPr="005675B2">
        <w:rPr>
          <w:rFonts w:hint="cs"/>
          <w:rtl/>
        </w:rPr>
        <w:t xml:space="preserve"> ومرادهم منه أن كثيراً من العقول التي لم تستضىء بنور الكتاب والسنة قد تستنكر كثيراً من الأحكام الشرعية</w:t>
      </w:r>
      <w:r w:rsidR="000636C2">
        <w:rPr>
          <w:rFonts w:hint="cs"/>
          <w:rtl/>
        </w:rPr>
        <w:t>،</w:t>
      </w:r>
      <w:r w:rsidRPr="005675B2">
        <w:rPr>
          <w:rFonts w:hint="cs"/>
          <w:rtl/>
        </w:rPr>
        <w:t xml:space="preserve"> كمشروعية التيمم عند فقد الماء وتحريم الربا وقليل الخمر وذبيحة المشرك</w:t>
      </w:r>
      <w:r w:rsidR="000636C2">
        <w:rPr>
          <w:rFonts w:hint="cs"/>
          <w:rtl/>
        </w:rPr>
        <w:t>،</w:t>
      </w:r>
      <w:r w:rsidRPr="005675B2">
        <w:rPr>
          <w:rFonts w:hint="cs"/>
          <w:rtl/>
        </w:rPr>
        <w:t xml:space="preserve"> وكتحريم الذهب والحرير على الرجال</w:t>
      </w:r>
      <w:r w:rsidR="000636C2">
        <w:rPr>
          <w:rFonts w:hint="cs"/>
          <w:rtl/>
        </w:rPr>
        <w:t>،</w:t>
      </w:r>
      <w:r w:rsidRPr="005675B2">
        <w:rPr>
          <w:rFonts w:hint="cs"/>
          <w:rtl/>
        </w:rPr>
        <w:t>وتحريم صنع التماثيل واتخاذها</w:t>
      </w:r>
      <w:r w:rsidR="000636C2">
        <w:rPr>
          <w:rFonts w:hint="cs"/>
          <w:rtl/>
        </w:rPr>
        <w:t>،</w:t>
      </w:r>
      <w:r w:rsidRPr="005675B2">
        <w:rPr>
          <w:rFonts w:hint="cs"/>
          <w:rtl/>
        </w:rPr>
        <w:t xml:space="preserve"> وكتفضيل الرجل على المرأة في القوامة ووجوب الطاعة والميراث والشهادة وإباحة التعدد</w:t>
      </w:r>
      <w:r w:rsidR="000636C2">
        <w:rPr>
          <w:rFonts w:hint="cs"/>
          <w:rtl/>
        </w:rPr>
        <w:t>،</w:t>
      </w:r>
      <w:r w:rsidRPr="005675B2">
        <w:rPr>
          <w:rFonts w:hint="cs"/>
          <w:rtl/>
        </w:rPr>
        <w:t xml:space="preserve"> وقد تستقبح مجيء مثل هذه الأحكام في الشرع</w:t>
      </w:r>
      <w:r w:rsidR="000636C2">
        <w:rPr>
          <w:rFonts w:hint="cs"/>
          <w:rtl/>
        </w:rPr>
        <w:t>،</w:t>
      </w:r>
      <w:r w:rsidRPr="005675B2">
        <w:rPr>
          <w:rFonts w:hint="cs"/>
          <w:rtl/>
        </w:rPr>
        <w:t xml:space="preserve"> فلا التفات لهذه الأهواء النفسانية</w:t>
      </w:r>
      <w:r w:rsidR="000636C2">
        <w:rPr>
          <w:rFonts w:hint="cs"/>
          <w:rtl/>
        </w:rPr>
        <w:t>،</w:t>
      </w:r>
      <w:r w:rsidRPr="005675B2">
        <w:rPr>
          <w:rFonts w:hint="cs"/>
          <w:rtl/>
        </w:rPr>
        <w:t xml:space="preserve"> والحكم في الشرع هو أن تذعن العقول وتنقاد لحكم الله ورسوله</w:t>
      </w:r>
      <w:r w:rsidR="000636C2">
        <w:rPr>
          <w:rFonts w:hint="cs"/>
          <w:rtl/>
        </w:rPr>
        <w:t>،</w:t>
      </w:r>
      <w:r w:rsidRPr="005675B2">
        <w:rPr>
          <w:rFonts w:hint="cs"/>
          <w:rtl/>
        </w:rPr>
        <w:t xml:space="preserve"> لا أن تلوى أعناق النصوص لتوافق أهواء الناس</w:t>
      </w:r>
      <w:r w:rsidR="000636C2">
        <w:rPr>
          <w:rFonts w:hint="cs"/>
          <w:rtl/>
        </w:rPr>
        <w:t>،</w:t>
      </w:r>
      <w:r w:rsidRPr="005675B2">
        <w:rPr>
          <w:rFonts w:hint="cs"/>
          <w:rtl/>
        </w:rPr>
        <w:t xml:space="preserve"> وهذا بالإجماع</w:t>
      </w:r>
      <w:r w:rsidR="000636C2">
        <w:rPr>
          <w:rFonts w:hint="cs"/>
          <w:rtl/>
        </w:rPr>
        <w:t xml:space="preserve">، </w:t>
      </w:r>
      <w:r w:rsidRPr="005675B2">
        <w:rPr>
          <w:rFonts w:hint="cs"/>
          <w:rtl/>
        </w:rPr>
        <w:t>وليس مراد الأشاعرة أن الأحكام الشرعية أو بعضها قبيحة في حكم العقل</w:t>
      </w:r>
      <w:r w:rsidR="000636C2">
        <w:rPr>
          <w:rFonts w:hint="cs"/>
          <w:rtl/>
        </w:rPr>
        <w:t>،</w:t>
      </w:r>
      <w:r w:rsidRPr="005675B2">
        <w:rPr>
          <w:rFonts w:hint="cs"/>
          <w:rtl/>
        </w:rPr>
        <w:t xml:space="preserve"> بل ذلك في كثير من العقول التي تدور في فلك الأهواء والوساوس</w:t>
      </w:r>
      <w:r w:rsidR="000636C2">
        <w:rPr>
          <w:rFonts w:hint="cs"/>
          <w:rtl/>
        </w:rPr>
        <w:t>،</w:t>
      </w:r>
      <w:r w:rsidRPr="005675B2">
        <w:rPr>
          <w:rFonts w:hint="cs"/>
          <w:rtl/>
        </w:rPr>
        <w:t xml:space="preserve"> أما العقل المنصف المتجرد من الهوى المتلمس لوجوه الحكمة فيستحيل أن يستقبح حكماً ورد في الشرع</w:t>
      </w:r>
      <w:r w:rsidR="000636C2">
        <w:rPr>
          <w:rFonts w:hint="cs"/>
          <w:rtl/>
        </w:rPr>
        <w:t>،</w:t>
      </w:r>
      <w:r w:rsidRPr="005675B2">
        <w:rPr>
          <w:rFonts w:hint="cs"/>
          <w:rtl/>
        </w:rPr>
        <w:t xml:space="preserve"> بل إما أن يظهر له بعض ما فيه من الحسن وإما أن يتوقف لخفاء ذلك عليه واحتجابه عنه</w:t>
      </w:r>
      <w:r w:rsidR="000636C2">
        <w:rPr>
          <w:rFonts w:hint="cs"/>
          <w:rtl/>
        </w:rPr>
        <w:t>،</w:t>
      </w:r>
      <w:r w:rsidRPr="005675B2">
        <w:rPr>
          <w:rFonts w:hint="cs"/>
          <w:rtl/>
        </w:rPr>
        <w:t xml:space="preserve"> أما أن يظهر له فيه خلاف ذلك فهذا - بحمد الله</w:t>
      </w:r>
      <w:r w:rsidR="000636C2">
        <w:rPr>
          <w:rFonts w:hint="cs"/>
          <w:rtl/>
        </w:rPr>
        <w:t xml:space="preserve"> </w:t>
      </w:r>
      <w:r w:rsidRPr="005675B2">
        <w:rPr>
          <w:rFonts w:hint="cs"/>
          <w:rtl/>
        </w:rPr>
        <w:t>- غير موجود</w:t>
      </w:r>
      <w:r w:rsidR="000636C2">
        <w:rPr>
          <w:rFonts w:hint="cs"/>
          <w:rtl/>
        </w:rPr>
        <w:t>،</w:t>
      </w:r>
      <w:r w:rsidRPr="005675B2">
        <w:rPr>
          <w:rFonts w:hint="cs"/>
          <w:rtl/>
        </w:rPr>
        <w:t xml:space="preserve"> بل هو مستحيل</w:t>
      </w:r>
      <w:r w:rsidR="000636C2">
        <w:rPr>
          <w:rFonts w:hint="cs"/>
          <w:rtl/>
        </w:rPr>
        <w:t xml:space="preserve">، </w:t>
      </w:r>
      <w:r w:rsidRPr="005675B2">
        <w:rPr>
          <w:rFonts w:hint="cs"/>
          <w:rtl/>
        </w:rPr>
        <w:t>3 - نسب الباحث إلى الأشاعرة أنهم مثلوا لما جاء في الشرع إباحته وهو قبيح في العقل بذبح الحيوان</w:t>
      </w:r>
      <w:r w:rsidR="000636C2">
        <w:rPr>
          <w:rFonts w:hint="cs"/>
          <w:rtl/>
        </w:rPr>
        <w:t>،</w:t>
      </w:r>
      <w:r w:rsidRPr="005675B2">
        <w:rPr>
          <w:rFonts w:hint="cs"/>
          <w:rtl/>
        </w:rPr>
        <w:t xml:space="preserve"> فإن الذبح إيلام له بلا ذنب</w:t>
      </w:r>
      <w:r w:rsidR="000636C2">
        <w:rPr>
          <w:rFonts w:hint="cs"/>
          <w:rtl/>
        </w:rPr>
        <w:t xml:space="preserve">، </w:t>
      </w:r>
      <w:r w:rsidRPr="005675B2">
        <w:rPr>
          <w:rFonts w:hint="cs"/>
          <w:rtl/>
        </w:rPr>
        <w:t>ولا يصح فهم المثال إلا في ضوء فهم القاعدة المتقدمة</w:t>
      </w:r>
      <w:r w:rsidR="000636C2">
        <w:rPr>
          <w:rFonts w:hint="cs"/>
          <w:rtl/>
        </w:rPr>
        <w:t>،</w:t>
      </w:r>
      <w:r w:rsidRPr="005675B2">
        <w:rPr>
          <w:rFonts w:hint="cs"/>
          <w:rtl/>
        </w:rPr>
        <w:t xml:space="preserve"> وهي أن قبح ما أباح الشرع من ذبح الحيوان للأكل إنما هو في عقول أهل الأهواء والوساوس</w:t>
      </w:r>
      <w:r w:rsidR="000636C2">
        <w:rPr>
          <w:rFonts w:hint="cs"/>
          <w:rtl/>
        </w:rPr>
        <w:t>،</w:t>
      </w:r>
      <w:r w:rsidRPr="005675B2">
        <w:rPr>
          <w:rFonts w:hint="cs"/>
          <w:rtl/>
        </w:rPr>
        <w:t>لا في عقول أهل الإنصاف وتلمس وجوه الحكمة مع التجرد من الهوى</w:t>
      </w:r>
      <w:r w:rsidR="000636C2">
        <w:rPr>
          <w:rFonts w:hint="cs"/>
          <w:rtl/>
        </w:rPr>
        <w:t xml:space="preserve">، </w:t>
      </w:r>
      <w:r w:rsidRPr="005675B2">
        <w:rPr>
          <w:rFonts w:hint="cs"/>
          <w:rtl/>
        </w:rPr>
        <w:t>وأضيف هنا ما قاله إمام الحرمين</w:t>
      </w:r>
      <w:r w:rsidR="000636C2">
        <w:rPr>
          <w:rFonts w:hint="cs"/>
          <w:rtl/>
        </w:rPr>
        <w:t>،</w:t>
      </w:r>
      <w:r w:rsidRPr="005675B2">
        <w:rPr>
          <w:rFonts w:hint="cs"/>
          <w:rtl/>
        </w:rPr>
        <w:t xml:space="preserve"> حيث قال عن الآلام واللذات</w:t>
      </w:r>
      <w:r w:rsidR="000636C2">
        <w:rPr>
          <w:rFonts w:hint="cs"/>
          <w:rtl/>
        </w:rPr>
        <w:t>:</w:t>
      </w:r>
      <w:r w:rsidRPr="005675B2">
        <w:rPr>
          <w:rFonts w:hint="cs"/>
          <w:rtl/>
        </w:rPr>
        <w:t xml:space="preserve"> </w:t>
      </w:r>
      <w:r w:rsidR="000636C2">
        <w:rPr>
          <w:rFonts w:hint="cs"/>
          <w:rtl/>
        </w:rPr>
        <w:t>[</w:t>
      </w:r>
      <w:r w:rsidRPr="005675B2">
        <w:rPr>
          <w:rFonts w:hint="cs"/>
          <w:rtl/>
        </w:rPr>
        <w:t>فإذا وقعت من فعل الله تعالى فهي منه حسن</w:t>
      </w:r>
      <w:r w:rsidR="000636C2">
        <w:rPr>
          <w:rFonts w:hint="cs"/>
          <w:rtl/>
        </w:rPr>
        <w:t xml:space="preserve">، </w:t>
      </w:r>
      <w:r w:rsidRPr="005675B2">
        <w:rPr>
          <w:rFonts w:hint="cs"/>
          <w:rtl/>
        </w:rPr>
        <w:t>… لا يُعترض عليه في حكمه</w:t>
      </w:r>
      <w:r w:rsidR="000636C2">
        <w:rPr>
          <w:rFonts w:hint="cs"/>
          <w:rtl/>
        </w:rPr>
        <w:t>،</w:t>
      </w:r>
      <w:r w:rsidRPr="005675B2">
        <w:rPr>
          <w:rFonts w:hint="cs"/>
          <w:rtl/>
        </w:rPr>
        <w:t xml:space="preserve"> واضطربت الآراء على من لم يلتزم تفويض الأمور إلى الله تعالى</w:t>
      </w:r>
      <w:r w:rsidR="000636C2">
        <w:rPr>
          <w:rFonts w:hint="cs"/>
          <w:rtl/>
        </w:rPr>
        <w:t>]</w:t>
      </w:r>
      <w:r w:rsidRPr="005675B2">
        <w:rPr>
          <w:rFonts w:hint="cs"/>
          <w:rtl/>
        </w:rPr>
        <w:t xml:space="preserve"> [</w:t>
      </w:r>
      <w:r w:rsidRPr="005675B2">
        <w:rPr>
          <w:rFonts w:hint="cs"/>
          <w:sz w:val="24"/>
          <w:szCs w:val="24"/>
          <w:rtl/>
        </w:rPr>
        <w:t>الإرشاد لإمام الحرمين: ص 237 – 238</w:t>
      </w:r>
      <w:r w:rsidR="000636C2">
        <w:rPr>
          <w:rFonts w:hint="cs"/>
          <w:sz w:val="24"/>
          <w:szCs w:val="24"/>
          <w:rtl/>
        </w:rPr>
        <w:t>]</w:t>
      </w:r>
      <w:r w:rsidR="000636C2">
        <w:rPr>
          <w:rFonts w:hint="cs"/>
          <w:rtl/>
        </w:rPr>
        <w:t xml:space="preserve">، </w:t>
      </w:r>
      <w:r w:rsidRPr="005675B2">
        <w:rPr>
          <w:rFonts w:hint="cs"/>
          <w:rtl/>
        </w:rPr>
        <w:t>وقال الشهرستاني</w:t>
      </w:r>
      <w:r w:rsidR="000636C2">
        <w:rPr>
          <w:rFonts w:hint="cs"/>
          <w:rtl/>
        </w:rPr>
        <w:t>:</w:t>
      </w:r>
      <w:r w:rsidRPr="005675B2">
        <w:rPr>
          <w:rFonts w:hint="cs"/>
          <w:rtl/>
        </w:rPr>
        <w:t xml:space="preserve"> </w:t>
      </w:r>
      <w:r w:rsidR="000636C2">
        <w:rPr>
          <w:rFonts w:hint="cs"/>
          <w:rtl/>
        </w:rPr>
        <w:t>[</w:t>
      </w:r>
      <w:r w:rsidRPr="005675B2">
        <w:rPr>
          <w:rFonts w:hint="cs"/>
          <w:rtl/>
        </w:rPr>
        <w:t>مذهب أهل الحق أن العقل لا يدل على حسن الشيء وقبحه في حكم التكليف من الله شرعاً</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فإنا نرى كثيراً من الأفعال تقبح منا ولا تقبح منه</w:t>
      </w:r>
      <w:r w:rsidR="000636C2">
        <w:rPr>
          <w:rFonts w:hint="cs"/>
          <w:rtl/>
        </w:rPr>
        <w:t>،</w:t>
      </w:r>
      <w:r w:rsidRPr="005675B2">
        <w:rPr>
          <w:rFonts w:hint="cs"/>
          <w:rtl/>
        </w:rPr>
        <w:t xml:space="preserve"> كإيلام البريء وإهلاك الحرث والنسل</w:t>
      </w:r>
      <w:r w:rsidR="000636C2">
        <w:rPr>
          <w:rFonts w:hint="cs"/>
          <w:rtl/>
        </w:rPr>
        <w:t xml:space="preserve"> </w:t>
      </w:r>
      <w:r w:rsidRPr="005675B2">
        <w:t>…</w:t>
      </w:r>
      <w:r w:rsidR="000636C2">
        <w:rPr>
          <w:rFonts w:hint="cs"/>
          <w:rtl/>
        </w:rPr>
        <w:t>،</w:t>
      </w:r>
      <w:r w:rsidRPr="005675B2">
        <w:rPr>
          <w:rFonts w:hint="cs"/>
          <w:rtl/>
        </w:rPr>
        <w:t xml:space="preserve"> فإن نفس الإغراق والإهلاك يحسن منه تعالى ولا يقبح</w:t>
      </w:r>
      <w:r w:rsidR="000636C2">
        <w:rPr>
          <w:rFonts w:hint="cs"/>
          <w:rtl/>
        </w:rPr>
        <w:t>،</w:t>
      </w:r>
      <w:r w:rsidRPr="005675B2">
        <w:rPr>
          <w:rFonts w:hint="cs"/>
          <w:rtl/>
        </w:rPr>
        <w:t xml:space="preserve"> وذلك منا قبيح</w:t>
      </w:r>
      <w:r w:rsidR="000636C2">
        <w:rPr>
          <w:rFonts w:hint="cs"/>
          <w:rtl/>
        </w:rPr>
        <w:t>]</w:t>
      </w:r>
      <w:r w:rsidRPr="005675B2">
        <w:rPr>
          <w:rFonts w:hint="cs"/>
          <w:rtl/>
        </w:rPr>
        <w:t xml:space="preserve"> </w:t>
      </w:r>
      <w:r w:rsidR="000636C2">
        <w:rPr>
          <w:rFonts w:hint="cs"/>
          <w:rtl/>
        </w:rPr>
        <w:t>[</w:t>
      </w:r>
      <w:r w:rsidRPr="005675B2">
        <w:rPr>
          <w:rFonts w:hint="cs"/>
          <w:sz w:val="24"/>
          <w:szCs w:val="24"/>
          <w:rtl/>
        </w:rPr>
        <w:t>نهاية الإقدام في علم الكلام للشهرستاني: ص 370</w:t>
      </w:r>
      <w:r w:rsidR="000636C2">
        <w:rPr>
          <w:rFonts w:hint="cs"/>
          <w:sz w:val="24"/>
          <w:szCs w:val="24"/>
          <w:rtl/>
        </w:rPr>
        <w:t>،</w:t>
      </w:r>
      <w:r w:rsidRPr="005675B2">
        <w:rPr>
          <w:rFonts w:hint="cs"/>
          <w:sz w:val="24"/>
          <w:szCs w:val="24"/>
          <w:rtl/>
        </w:rPr>
        <w:t xml:space="preserve"> 379 </w:t>
      </w:r>
      <w:r w:rsidRPr="005675B2">
        <w:rPr>
          <w:sz w:val="24"/>
          <w:szCs w:val="24"/>
        </w:rPr>
        <w:t>–</w:t>
      </w:r>
      <w:r w:rsidRPr="005675B2">
        <w:rPr>
          <w:rFonts w:hint="cs"/>
          <w:sz w:val="24"/>
          <w:szCs w:val="24"/>
          <w:rtl/>
        </w:rPr>
        <w:t xml:space="preserve"> 380</w:t>
      </w:r>
      <w:r w:rsidR="000636C2">
        <w:rPr>
          <w:rFonts w:hint="cs"/>
          <w:sz w:val="24"/>
          <w:szCs w:val="24"/>
          <w:rtl/>
        </w:rPr>
        <w:t>]</w:t>
      </w:r>
      <w:r w:rsidR="000636C2">
        <w:rPr>
          <w:rFonts w:hint="cs"/>
          <w:rtl/>
        </w:rPr>
        <w:t>،</w:t>
      </w:r>
    </w:p>
    <w:p w14:paraId="2BFFDB43" w14:textId="77777777" w:rsidR="009C32A0" w:rsidRPr="005675B2" w:rsidRDefault="009C32A0" w:rsidP="000636C2">
      <w:pPr>
        <w:jc w:val="center"/>
        <w:rPr>
          <w:b/>
          <w:rtl/>
        </w:rPr>
      </w:pPr>
      <w:r w:rsidRPr="005675B2">
        <w:rPr>
          <w:rFonts w:hint="cs"/>
          <w:rtl/>
        </w:rPr>
        <w:t>***</w:t>
      </w:r>
    </w:p>
    <w:p w14:paraId="118B63E6" w14:textId="3D41368D" w:rsidR="009C32A0" w:rsidRPr="005675B2" w:rsidRDefault="000636C2" w:rsidP="000636C2">
      <w:pPr>
        <w:jc w:val="center"/>
        <w:rPr>
          <w:bCs/>
          <w:rtl/>
        </w:rPr>
      </w:pPr>
      <w:r>
        <w:rPr>
          <w:rFonts w:hint="cs"/>
          <w:bCs/>
          <w:rtl/>
        </w:rPr>
        <w:t>[</w:t>
      </w:r>
      <w:r w:rsidR="009C32A0" w:rsidRPr="005675B2">
        <w:rPr>
          <w:rFonts w:hint="cs"/>
          <w:bCs/>
          <w:rtl/>
        </w:rPr>
        <w:t>الموضوع الحادي عشر</w:t>
      </w:r>
      <w:r>
        <w:rPr>
          <w:rFonts w:hint="cs"/>
          <w:bCs/>
          <w:rtl/>
        </w:rPr>
        <w:t xml:space="preserve">: </w:t>
      </w:r>
      <w:r w:rsidR="009C32A0" w:rsidRPr="005675B2">
        <w:rPr>
          <w:rFonts w:hint="cs"/>
          <w:bCs/>
          <w:rtl/>
        </w:rPr>
        <w:t>التأويل</w:t>
      </w:r>
      <w:r>
        <w:rPr>
          <w:rFonts w:hint="cs"/>
          <w:bCs/>
          <w:rtl/>
        </w:rPr>
        <w:t>]</w:t>
      </w:r>
    </w:p>
    <w:p w14:paraId="2B8417C4" w14:textId="344A32DF"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ومعناه المبتدَع</w:t>
      </w:r>
      <w:r w:rsidR="000636C2">
        <w:rPr>
          <w:rFonts w:hint="cs"/>
          <w:rtl/>
        </w:rPr>
        <w:t>:</w:t>
      </w:r>
      <w:r w:rsidRPr="005675B2">
        <w:rPr>
          <w:rFonts w:hint="cs"/>
          <w:rtl/>
        </w:rPr>
        <w:t xml:space="preserve"> صرف اللفظ عن ظاهره الراجح إلى احتمال مرجوح لقرينة</w:t>
      </w:r>
      <w:r w:rsidR="000636C2">
        <w:rPr>
          <w:rFonts w:hint="cs"/>
          <w:rtl/>
        </w:rPr>
        <w:t>،</w:t>
      </w:r>
      <w:r w:rsidRPr="005675B2">
        <w:rPr>
          <w:rFonts w:hint="cs"/>
          <w:rtl/>
        </w:rPr>
        <w:t xml:space="preserve"> فهو بهذا المعنى تحريف للكلام عن مواضعه</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وهو أصل منهجي من أصول الأشاعرة</w:t>
      </w:r>
      <w:r w:rsidR="000636C2">
        <w:rPr>
          <w:rFonts w:hint="cs"/>
          <w:rtl/>
        </w:rPr>
        <w:t xml:space="preserve">، </w:t>
      </w:r>
      <w:r w:rsidRPr="005675B2">
        <w:t>…</w:t>
      </w:r>
      <w:r w:rsidRPr="005675B2">
        <w:rPr>
          <w:rFonts w:hint="cs"/>
          <w:rtl/>
        </w:rPr>
        <w:t xml:space="preserve"> وضرورته لمنهج عقيدتهم أصلها أنه لما تعارضت عندهم الأصول العقلية التي قرروها بعيداً عن الشرع مع النصوص الشرعية وقعوا في مأزق رد الكل أو أخذ الكل</w:t>
      </w:r>
      <w:r w:rsidR="000636C2">
        <w:rPr>
          <w:rFonts w:hint="cs"/>
          <w:rtl/>
        </w:rPr>
        <w:t>،</w:t>
      </w:r>
      <w:r w:rsidRPr="005675B2">
        <w:rPr>
          <w:rFonts w:hint="cs"/>
          <w:rtl/>
        </w:rPr>
        <w:t xml:space="preserve"> فوجدوا في التأويل مهرباً عقلياً من التعارض الذي اختلقته أوهامهم</w:t>
      </w:r>
      <w:r w:rsidR="000636C2">
        <w:rPr>
          <w:rFonts w:hint="cs"/>
          <w:rtl/>
        </w:rPr>
        <w:t>،</w:t>
      </w:r>
      <w:r w:rsidRPr="005675B2">
        <w:rPr>
          <w:rFonts w:hint="cs"/>
          <w:rtl/>
        </w:rPr>
        <w:t xml:space="preserve"> ولهذا قالوا إننا مضطرون للتأويل وإلا أوقعنا القرآن في التناقض</w:t>
      </w:r>
      <w:r w:rsidR="000636C2">
        <w:rPr>
          <w:rFonts w:hint="cs"/>
          <w:rtl/>
        </w:rPr>
        <w:t>]،</w:t>
      </w:r>
      <w:r w:rsidRPr="005675B2">
        <w:rPr>
          <w:rFonts w:hint="cs"/>
          <w:rtl/>
        </w:rPr>
        <w:t xml:space="preserve"> وأضاف قائلاً</w:t>
      </w:r>
      <w:r w:rsidR="000636C2">
        <w:rPr>
          <w:rFonts w:hint="cs"/>
          <w:rtl/>
        </w:rPr>
        <w:t>:</w:t>
      </w:r>
      <w:r w:rsidRPr="005675B2">
        <w:rPr>
          <w:rFonts w:hint="cs"/>
          <w:rtl/>
        </w:rPr>
        <w:t xml:space="preserve"> </w:t>
      </w:r>
      <w:r w:rsidR="000636C2">
        <w:rPr>
          <w:rFonts w:hint="cs"/>
          <w:rtl/>
        </w:rPr>
        <w:t>[</w:t>
      </w:r>
      <w:r w:rsidRPr="005675B2">
        <w:rPr>
          <w:rFonts w:hint="cs"/>
          <w:rtl/>
        </w:rPr>
        <w:t>فأي تناقض في كتاب الله يا مسلمون نضطر معه إلى رد بعضه أو الاعتراف للأعداء بتناقضه</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وهنا لا بد من زيادة التأكيد على أن مذهب السلف لا تأويل فيه لنص من النصوص الشرعية إطلاقاً</w:t>
      </w:r>
      <w:r w:rsidR="000636C2">
        <w:rPr>
          <w:rFonts w:hint="cs"/>
          <w:rtl/>
        </w:rPr>
        <w:t>،</w:t>
      </w:r>
      <w:r w:rsidRPr="005675B2">
        <w:rPr>
          <w:rFonts w:hint="cs"/>
          <w:rtl/>
        </w:rPr>
        <w:t xml:space="preserve"> ولا يوجد نص واحد</w:t>
      </w:r>
      <w:r w:rsidR="000636C2">
        <w:rPr>
          <w:rFonts w:hint="cs"/>
          <w:rtl/>
        </w:rPr>
        <w:t xml:space="preserve"> </w:t>
      </w:r>
      <w:r w:rsidRPr="005675B2">
        <w:rPr>
          <w:rFonts w:hint="cs"/>
          <w:rtl/>
        </w:rPr>
        <w:t>- لا في الصفات ولا غيرها</w:t>
      </w:r>
      <w:r w:rsidR="000636C2">
        <w:rPr>
          <w:rFonts w:hint="cs"/>
          <w:rtl/>
        </w:rPr>
        <w:t xml:space="preserve"> </w:t>
      </w:r>
      <w:r w:rsidRPr="005675B2">
        <w:rPr>
          <w:rFonts w:hint="cs"/>
          <w:rtl/>
        </w:rPr>
        <w:t>- اضطر السلف إلى تأويله</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وإن تعجب فاعجب لهذه اللفظة النابية التي يستعملها الأشاعرة مع النصوص</w:t>
      </w:r>
      <w:r w:rsidR="000636C2">
        <w:rPr>
          <w:rFonts w:hint="cs"/>
          <w:rtl/>
        </w:rPr>
        <w:t>،</w:t>
      </w:r>
      <w:r w:rsidRPr="005675B2">
        <w:rPr>
          <w:rFonts w:hint="cs"/>
          <w:rtl/>
        </w:rPr>
        <w:t xml:space="preserve"> وهي أنها توهم التشبيه ولهذا وجب تأويلها</w:t>
      </w:r>
      <w:r w:rsidR="000636C2">
        <w:rPr>
          <w:rFonts w:hint="cs"/>
          <w:rtl/>
        </w:rPr>
        <w:t>،</w:t>
      </w:r>
      <w:r w:rsidRPr="005675B2">
        <w:rPr>
          <w:rFonts w:hint="cs"/>
          <w:rtl/>
        </w:rPr>
        <w:t xml:space="preserve"> فهل في كتاب الله إيهام</w:t>
      </w:r>
      <w:r w:rsidR="000636C2">
        <w:rPr>
          <w:rFonts w:hint="cs"/>
          <w:rtl/>
        </w:rPr>
        <w:t>؟!</w:t>
      </w:r>
      <w:r w:rsidRPr="005675B2">
        <w:rPr>
          <w:rFonts w:hint="cs"/>
          <w:rtl/>
        </w:rPr>
        <w:t xml:space="preserve"> أم إن العقول الكاسدة تتوهم والعقيدة ليست مجال توهم</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أما دعوى أن الإمام أحمد استثنى ثلاثة أحاديث وقال لا بد من تأويلها فهي فرية عليه افتراها الغزالي في الإحياء وفيصل التفرقة</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فلماذا يكون تأويلُ الأشاعرة لعلو الله</w:t>
      </w:r>
      <w:r w:rsidR="000636C2">
        <w:rPr>
          <w:rFonts w:hint="cs"/>
          <w:rtl/>
        </w:rPr>
        <w:t xml:space="preserve"> </w:t>
      </w:r>
      <w:r w:rsidRPr="005675B2">
        <w:rPr>
          <w:rFonts w:hint="cs"/>
          <w:rtl/>
        </w:rPr>
        <w:t>- الذي تقطع به العقول والفطر والشرائع</w:t>
      </w:r>
      <w:r w:rsidR="000636C2">
        <w:rPr>
          <w:rFonts w:hint="cs"/>
          <w:rtl/>
        </w:rPr>
        <w:t xml:space="preserve"> </w:t>
      </w:r>
      <w:r w:rsidRPr="005675B2">
        <w:rPr>
          <w:rFonts w:hint="cs"/>
          <w:rtl/>
        </w:rPr>
        <w:t>- تنزيهاً وتوحيداً وتأويلُ الباطنية للبعث والحشر كفراً وردة</w:t>
      </w:r>
      <w:r w:rsidR="000636C2">
        <w:rPr>
          <w:rFonts w:hint="cs"/>
          <w:rtl/>
        </w:rPr>
        <w:t>؟!</w:t>
      </w:r>
      <w:r w:rsidRPr="005675B2">
        <w:rPr>
          <w:rFonts w:hint="cs"/>
          <w:rtl/>
        </w:rPr>
        <w:t xml:space="preserve"> أليس كل منهما رداً لظواهر النصوص مع أن نصوص العلو أكثر وأشهر من نصوص الحشر الجسماني</w:t>
      </w:r>
      <w:r w:rsidR="000636C2">
        <w:rPr>
          <w:rFonts w:hint="cs"/>
          <w:rtl/>
        </w:rPr>
        <w:t>؟!]،</w:t>
      </w:r>
    </w:p>
    <w:p w14:paraId="0590904D" w14:textId="6AD9B3BE"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يجيز الأشاعرة صرف اللفظ عن ظاهره الراجح إلى احتمال مرجوح لدليل يقترن باللفظ فيصرفه عن ظاهره</w:t>
      </w:r>
      <w:r w:rsidR="000636C2">
        <w:rPr>
          <w:rFonts w:hint="cs"/>
          <w:rtl/>
        </w:rPr>
        <w:t>،</w:t>
      </w:r>
      <w:r w:rsidRPr="005675B2">
        <w:rPr>
          <w:rFonts w:hint="cs"/>
          <w:rtl/>
        </w:rPr>
        <w:t xml:space="preserve"> وهذا الدليل هو الذي قد يسمى عندهم "قرينة"</w:t>
      </w:r>
      <w:r w:rsidR="000636C2">
        <w:rPr>
          <w:rFonts w:hint="cs"/>
          <w:rtl/>
        </w:rPr>
        <w:t>،</w:t>
      </w:r>
      <w:r w:rsidRPr="005675B2">
        <w:rPr>
          <w:rFonts w:hint="cs"/>
          <w:rtl/>
        </w:rPr>
        <w:t xml:space="preserve"> فأما صرف اللفظ عن ظاهره لغير دليل فلا يجوز</w:t>
      </w:r>
      <w:r w:rsidR="000636C2">
        <w:rPr>
          <w:rFonts w:hint="cs"/>
          <w:rtl/>
        </w:rPr>
        <w:t>،</w:t>
      </w:r>
      <w:r w:rsidRPr="005675B2">
        <w:rPr>
          <w:rFonts w:hint="cs"/>
          <w:rtl/>
        </w:rPr>
        <w:t xml:space="preserve"> وهذا هو الذي يعد تحريفاً</w:t>
      </w:r>
      <w:r w:rsidR="000636C2">
        <w:rPr>
          <w:rFonts w:hint="cs"/>
          <w:rtl/>
        </w:rPr>
        <w:t>،</w:t>
      </w:r>
      <w:r w:rsidRPr="005675B2">
        <w:rPr>
          <w:rFonts w:hint="cs"/>
          <w:rtl/>
        </w:rPr>
        <w:t xml:space="preserve"> أما "التأويل الصحيح" الذي يشهد له دليل بالصحة فلا شك في وجوب قبوله</w:t>
      </w:r>
      <w:r w:rsidR="000636C2">
        <w:rPr>
          <w:rFonts w:hint="cs"/>
          <w:rtl/>
        </w:rPr>
        <w:t>،</w:t>
      </w:r>
      <w:r w:rsidRPr="005675B2">
        <w:rPr>
          <w:rFonts w:hint="cs"/>
          <w:rtl/>
        </w:rPr>
        <w:t xml:space="preserve"> ومن الانحراف أن يطلق عليه لفظة "التحريف"</w:t>
      </w:r>
      <w:r w:rsidR="000636C2">
        <w:rPr>
          <w:rFonts w:hint="cs"/>
          <w:rtl/>
        </w:rPr>
        <w:t>،</w:t>
      </w:r>
      <w:r w:rsidRPr="005675B2">
        <w:rPr>
          <w:rFonts w:hint="cs"/>
          <w:rtl/>
        </w:rPr>
        <w:t xml:space="preserve"> واستمع إلى الإمام الباقلاني وهو يقول في معرض مناقشة المعتزلة والرد عليهم</w:t>
      </w:r>
      <w:r w:rsidR="000636C2">
        <w:rPr>
          <w:rFonts w:hint="cs"/>
          <w:rtl/>
        </w:rPr>
        <w:t>:</w:t>
      </w:r>
      <w:r w:rsidRPr="005675B2">
        <w:rPr>
          <w:rFonts w:hint="cs"/>
          <w:rtl/>
        </w:rPr>
        <w:t xml:space="preserve"> </w:t>
      </w:r>
      <w:r w:rsidR="000636C2">
        <w:rPr>
          <w:rFonts w:hint="cs"/>
          <w:rtl/>
        </w:rPr>
        <w:t>[</w:t>
      </w:r>
      <w:r w:rsidRPr="005675B2">
        <w:rPr>
          <w:rFonts w:hint="cs"/>
          <w:rtl/>
        </w:rPr>
        <w:t>وذلك أن هذا عدول عن الظاهر إلى غيره بغير دليل</w:t>
      </w:r>
      <w:r w:rsidR="000636C2">
        <w:rPr>
          <w:rFonts w:hint="cs"/>
          <w:rtl/>
        </w:rPr>
        <w:t>]</w:t>
      </w:r>
      <w:r w:rsidRPr="005675B2">
        <w:rPr>
          <w:rFonts w:hint="cs"/>
          <w:rtl/>
        </w:rPr>
        <w:t xml:space="preserve"> [</w:t>
      </w:r>
      <w:r w:rsidRPr="005675B2">
        <w:rPr>
          <w:rFonts w:hint="cs"/>
          <w:sz w:val="24"/>
          <w:szCs w:val="24"/>
          <w:rtl/>
        </w:rPr>
        <w:t>الإنصاف للباقلاني: ص 178</w:t>
      </w:r>
      <w:r w:rsidR="000636C2">
        <w:rPr>
          <w:rFonts w:hint="cs"/>
          <w:sz w:val="24"/>
          <w:szCs w:val="24"/>
          <w:rtl/>
        </w:rPr>
        <w:t>]</w:t>
      </w:r>
      <w:r w:rsidR="000636C2">
        <w:rPr>
          <w:rFonts w:hint="cs"/>
          <w:rtl/>
        </w:rPr>
        <w:t>،</w:t>
      </w:r>
      <w:r w:rsidRPr="005675B2">
        <w:rPr>
          <w:rFonts w:hint="cs"/>
          <w:rtl/>
        </w:rPr>
        <w:t xml:space="preserve"> أي</w:t>
      </w:r>
      <w:r w:rsidR="000636C2">
        <w:rPr>
          <w:rFonts w:hint="cs"/>
          <w:rtl/>
        </w:rPr>
        <w:t>:</w:t>
      </w:r>
      <w:r w:rsidRPr="005675B2">
        <w:rPr>
          <w:rFonts w:hint="cs"/>
          <w:rtl/>
        </w:rPr>
        <w:t xml:space="preserve"> فلا يجوز</w:t>
      </w:r>
      <w:r w:rsidR="000636C2">
        <w:rPr>
          <w:rFonts w:hint="cs"/>
          <w:rtl/>
        </w:rPr>
        <w:t>،</w:t>
      </w:r>
      <w:r w:rsidRPr="005675B2">
        <w:rPr>
          <w:rFonts w:hint="cs"/>
          <w:rtl/>
        </w:rPr>
        <w:t xml:space="preserve"> وقال فخر الدين الرازي</w:t>
      </w:r>
      <w:r w:rsidR="000636C2">
        <w:rPr>
          <w:rFonts w:hint="cs"/>
          <w:rtl/>
        </w:rPr>
        <w:t>:</w:t>
      </w:r>
      <w:r w:rsidRPr="005675B2">
        <w:rPr>
          <w:rFonts w:hint="cs"/>
          <w:rtl/>
        </w:rPr>
        <w:t xml:space="preserve"> </w:t>
      </w:r>
      <w:r w:rsidR="000636C2">
        <w:rPr>
          <w:rFonts w:hint="cs"/>
          <w:rtl/>
        </w:rPr>
        <w:t>[</w:t>
      </w:r>
      <w:r w:rsidRPr="005675B2">
        <w:rPr>
          <w:rFonts w:hint="cs"/>
          <w:rtl/>
        </w:rPr>
        <w:t>إذا كان لفظ الآية والخبر ظاهراً في معنى فإنما يجوز لنا ترك ذلك الظاهر بدليل منفصل</w:t>
      </w:r>
      <w:r w:rsidR="000636C2">
        <w:rPr>
          <w:rFonts w:hint="cs"/>
          <w:rtl/>
        </w:rPr>
        <w:t>،</w:t>
      </w:r>
      <w:r w:rsidRPr="005675B2">
        <w:rPr>
          <w:rFonts w:hint="cs"/>
          <w:rtl/>
        </w:rPr>
        <w:t xml:space="preserve"> وإلا لخرج الكلام عن أن يكون مفيداً ولخرج القرآن عن أن يكون حجة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صرف اللفظ عن ظاهره إلى معناه المرجوح لا يجوز إلا عند قيام الدليل القاطع على أن ظاهره محال ممتنع</w:t>
      </w:r>
      <w:r w:rsidR="000636C2">
        <w:rPr>
          <w:rFonts w:hint="cs"/>
          <w:rtl/>
        </w:rPr>
        <w:t>]</w:t>
      </w:r>
      <w:r w:rsidRPr="005675B2">
        <w:rPr>
          <w:rFonts w:hint="cs"/>
          <w:rtl/>
        </w:rPr>
        <w:t xml:space="preserve"> [</w:t>
      </w:r>
      <w:r w:rsidRPr="005675B2">
        <w:rPr>
          <w:rFonts w:hint="cs"/>
          <w:sz w:val="24"/>
          <w:szCs w:val="24"/>
          <w:rtl/>
        </w:rPr>
        <w:t>أساس التقديس للرازي: ص 234</w:t>
      </w:r>
      <w:r w:rsidR="000636C2">
        <w:rPr>
          <w:rFonts w:hint="cs"/>
          <w:sz w:val="24"/>
          <w:szCs w:val="24"/>
          <w:rtl/>
        </w:rPr>
        <w:t>،</w:t>
      </w:r>
      <w:r w:rsidRPr="005675B2">
        <w:rPr>
          <w:rFonts w:hint="cs"/>
          <w:sz w:val="24"/>
          <w:szCs w:val="24"/>
          <w:rtl/>
        </w:rPr>
        <w:t xml:space="preserve"> 235</w:t>
      </w:r>
      <w:r w:rsidR="000636C2">
        <w:rPr>
          <w:rFonts w:hint="cs"/>
          <w:sz w:val="24"/>
          <w:szCs w:val="24"/>
          <w:rtl/>
        </w:rPr>
        <w:t>]</w:t>
      </w:r>
      <w:r w:rsidR="000636C2">
        <w:rPr>
          <w:rFonts w:hint="cs"/>
          <w:rtl/>
        </w:rPr>
        <w:t>،</w:t>
      </w:r>
      <w:r w:rsidRPr="005675B2">
        <w:rPr>
          <w:rFonts w:hint="cs"/>
          <w:rtl/>
        </w:rPr>
        <w:t xml:space="preserve"> وقال تاج الدين السبكي في أوائل مباحث "الكتاب" من جمع الجوامع</w:t>
      </w:r>
      <w:r w:rsidR="000636C2">
        <w:rPr>
          <w:rFonts w:hint="cs"/>
          <w:rtl/>
        </w:rPr>
        <w:t>:</w:t>
      </w:r>
      <w:r w:rsidRPr="005675B2">
        <w:rPr>
          <w:rFonts w:hint="cs"/>
          <w:rtl/>
        </w:rPr>
        <w:t xml:space="preserve"> </w:t>
      </w:r>
      <w:r w:rsidR="000636C2">
        <w:rPr>
          <w:rFonts w:hint="cs"/>
          <w:rtl/>
        </w:rPr>
        <w:t>[</w:t>
      </w:r>
      <w:r w:rsidRPr="005675B2">
        <w:rPr>
          <w:rFonts w:hint="cs"/>
          <w:rtl/>
        </w:rPr>
        <w:t>ولا يجوز ورود … ما يُعنى به غير ظاهره إلا بدليل</w:t>
      </w:r>
      <w:r w:rsidR="000636C2">
        <w:rPr>
          <w:rFonts w:hint="cs"/>
          <w:rtl/>
        </w:rPr>
        <w:t>]،</w:t>
      </w:r>
      <w:r w:rsidRPr="005675B2">
        <w:rPr>
          <w:rFonts w:hint="cs"/>
          <w:rtl/>
        </w:rPr>
        <w:t xml:space="preserve"> ثم قال في مبحث الظاهر والمؤول من مباحث "الكتاب"</w:t>
      </w:r>
      <w:r w:rsidR="000636C2">
        <w:rPr>
          <w:rFonts w:hint="cs"/>
          <w:rtl/>
        </w:rPr>
        <w:t>:</w:t>
      </w:r>
      <w:r w:rsidRPr="005675B2">
        <w:rPr>
          <w:rFonts w:hint="cs"/>
          <w:rtl/>
        </w:rPr>
        <w:t xml:space="preserve"> </w:t>
      </w:r>
      <w:r w:rsidR="000636C2">
        <w:rPr>
          <w:rFonts w:hint="cs"/>
          <w:rtl/>
        </w:rPr>
        <w:t>[</w:t>
      </w:r>
      <w:r w:rsidRPr="005675B2">
        <w:rPr>
          <w:rFonts w:hint="cs"/>
          <w:rtl/>
        </w:rPr>
        <w:t>الظاهر ما دل دلالة ظنية</w:t>
      </w:r>
      <w:r w:rsidR="000636C2">
        <w:rPr>
          <w:rFonts w:hint="cs"/>
          <w:rtl/>
        </w:rPr>
        <w:t>،</w:t>
      </w:r>
      <w:r w:rsidRPr="005675B2">
        <w:rPr>
          <w:rFonts w:hint="cs"/>
          <w:rtl/>
        </w:rPr>
        <w:t xml:space="preserve"> والتأويل حمل الظاهر على المحتمل المرجوح</w:t>
      </w:r>
      <w:r w:rsidR="000636C2">
        <w:rPr>
          <w:rFonts w:hint="cs"/>
          <w:rtl/>
        </w:rPr>
        <w:t>،</w:t>
      </w:r>
      <w:r w:rsidRPr="005675B2">
        <w:rPr>
          <w:rFonts w:hint="cs"/>
          <w:rtl/>
        </w:rPr>
        <w:t xml:space="preserve"> فإن حُمل لدليل</w:t>
      </w:r>
      <w:r w:rsidR="000636C2">
        <w:rPr>
          <w:rFonts w:hint="cs"/>
          <w:rtl/>
        </w:rPr>
        <w:t>:</w:t>
      </w:r>
      <w:r w:rsidRPr="005675B2">
        <w:rPr>
          <w:rFonts w:hint="cs"/>
          <w:rtl/>
        </w:rPr>
        <w:t xml:space="preserve"> فصحيح</w:t>
      </w:r>
      <w:r w:rsidR="000636C2">
        <w:rPr>
          <w:rFonts w:hint="cs"/>
          <w:rtl/>
        </w:rPr>
        <w:t>،</w:t>
      </w:r>
      <w:r w:rsidRPr="005675B2">
        <w:rPr>
          <w:rFonts w:hint="cs"/>
          <w:rtl/>
        </w:rPr>
        <w:t xml:space="preserve"> أو لما يُظن دليلاً</w:t>
      </w:r>
      <w:r w:rsidR="000636C2">
        <w:rPr>
          <w:rFonts w:hint="cs"/>
          <w:rtl/>
        </w:rPr>
        <w:t>:</w:t>
      </w:r>
      <w:r w:rsidRPr="005675B2">
        <w:rPr>
          <w:rFonts w:hint="cs"/>
          <w:rtl/>
        </w:rPr>
        <w:t xml:space="preserve"> ففاسد</w:t>
      </w:r>
      <w:r w:rsidR="000636C2">
        <w:rPr>
          <w:rFonts w:hint="cs"/>
          <w:rtl/>
        </w:rPr>
        <w:t>،</w:t>
      </w:r>
      <w:r w:rsidRPr="005675B2">
        <w:rPr>
          <w:rFonts w:hint="cs"/>
          <w:rtl/>
        </w:rPr>
        <w:t xml:space="preserve"> أو لا لشيء</w:t>
      </w:r>
      <w:r w:rsidR="000636C2">
        <w:rPr>
          <w:rFonts w:hint="cs"/>
          <w:rtl/>
        </w:rPr>
        <w:t>:</w:t>
      </w:r>
      <w:r w:rsidRPr="005675B2">
        <w:rPr>
          <w:rFonts w:hint="cs"/>
          <w:rtl/>
        </w:rPr>
        <w:t xml:space="preserve"> فلعب</w:t>
      </w:r>
      <w:r w:rsidR="000636C2">
        <w:rPr>
          <w:rFonts w:hint="cs"/>
          <w:rtl/>
        </w:rPr>
        <w:t>،</w:t>
      </w:r>
      <w:r w:rsidRPr="005675B2">
        <w:rPr>
          <w:rFonts w:hint="cs"/>
          <w:rtl/>
        </w:rPr>
        <w:t xml:space="preserve"> لا تأويل</w:t>
      </w:r>
      <w:r w:rsidR="000636C2">
        <w:rPr>
          <w:rFonts w:hint="cs"/>
          <w:rtl/>
        </w:rPr>
        <w:t>]</w:t>
      </w:r>
      <w:r w:rsidRPr="005675B2">
        <w:rPr>
          <w:rFonts w:hint="cs"/>
          <w:rtl/>
        </w:rPr>
        <w:t xml:space="preserve"> [</w:t>
      </w:r>
      <w:r w:rsidRPr="005675B2">
        <w:rPr>
          <w:rFonts w:hint="cs"/>
          <w:sz w:val="24"/>
          <w:szCs w:val="24"/>
          <w:rtl/>
        </w:rPr>
        <w:t>جمع الجوامع: ص 131</w:t>
      </w:r>
      <w:r w:rsidR="000636C2">
        <w:rPr>
          <w:rFonts w:hint="cs"/>
          <w:sz w:val="24"/>
          <w:szCs w:val="24"/>
          <w:rtl/>
        </w:rPr>
        <w:t>،</w:t>
      </w:r>
      <w:r w:rsidRPr="005675B2">
        <w:rPr>
          <w:rFonts w:hint="cs"/>
          <w:sz w:val="24"/>
          <w:szCs w:val="24"/>
          <w:rtl/>
        </w:rPr>
        <w:t xml:space="preserve"> 151</w:t>
      </w:r>
      <w:r w:rsidR="000636C2">
        <w:rPr>
          <w:rFonts w:hint="cs"/>
          <w:sz w:val="24"/>
          <w:szCs w:val="24"/>
          <w:rtl/>
        </w:rPr>
        <w:t>]</w:t>
      </w:r>
      <w:r w:rsidR="000636C2">
        <w:rPr>
          <w:rFonts w:hint="cs"/>
          <w:rtl/>
        </w:rPr>
        <w:t xml:space="preserve">، </w:t>
      </w:r>
      <w:r w:rsidRPr="005675B2">
        <w:rPr>
          <w:rFonts w:hint="cs"/>
          <w:rtl/>
        </w:rPr>
        <w:t>فانظر</w:t>
      </w:r>
      <w:r w:rsidR="000636C2">
        <w:rPr>
          <w:rFonts w:hint="cs"/>
          <w:rtl/>
        </w:rPr>
        <w:t xml:space="preserve"> </w:t>
      </w:r>
      <w:r w:rsidRPr="005675B2">
        <w:rPr>
          <w:rFonts w:hint="cs"/>
          <w:rtl/>
        </w:rPr>
        <w:t>- رحمك الله</w:t>
      </w:r>
      <w:r w:rsidR="000636C2">
        <w:rPr>
          <w:rFonts w:hint="cs"/>
          <w:rtl/>
        </w:rPr>
        <w:t xml:space="preserve"> </w:t>
      </w:r>
      <w:r w:rsidRPr="005675B2">
        <w:rPr>
          <w:rFonts w:hint="cs"/>
          <w:rtl/>
        </w:rPr>
        <w:t>- إلى تمسك الأشاعرة بظاهر ما يدل عليه اللفظ</w:t>
      </w:r>
      <w:r w:rsidR="000636C2">
        <w:rPr>
          <w:rFonts w:hint="cs"/>
          <w:rtl/>
        </w:rPr>
        <w:t>،</w:t>
      </w:r>
      <w:r w:rsidRPr="005675B2">
        <w:rPr>
          <w:rFonts w:hint="cs"/>
          <w:rtl/>
        </w:rPr>
        <w:t xml:space="preserve"> وإلى أن الخروج عن ظاهر اللفظ إنما يصح عند قيام الدليل القاطع على أن ظاهره محال ممتنع</w:t>
      </w:r>
      <w:r w:rsidR="000636C2">
        <w:rPr>
          <w:rFonts w:hint="cs"/>
          <w:rtl/>
        </w:rPr>
        <w:t>،</w:t>
      </w:r>
      <w:r w:rsidRPr="005675B2">
        <w:rPr>
          <w:rFonts w:hint="cs"/>
          <w:rtl/>
        </w:rPr>
        <w:t xml:space="preserve"> وهو ما يطلقون عليه "التأويل الصحيح"</w:t>
      </w:r>
      <w:r w:rsidR="000636C2">
        <w:rPr>
          <w:rFonts w:hint="cs"/>
          <w:rtl/>
        </w:rPr>
        <w:t>،</w:t>
      </w:r>
      <w:r w:rsidRPr="005675B2">
        <w:rPr>
          <w:rFonts w:hint="cs"/>
          <w:rtl/>
        </w:rPr>
        <w:t xml:space="preserve"> أما الخروج عن ظاهر اللفظ لما يظنه المرء دليلاً دون أن يكون في حقيقة الأمر دليلاً فهو "التأويل الفاسد"</w:t>
      </w:r>
      <w:r w:rsidR="000636C2">
        <w:rPr>
          <w:rFonts w:hint="cs"/>
          <w:rtl/>
        </w:rPr>
        <w:t>،</w:t>
      </w:r>
      <w:r w:rsidRPr="005675B2">
        <w:rPr>
          <w:rFonts w:hint="cs"/>
          <w:rtl/>
        </w:rPr>
        <w:t xml:space="preserve"> وأما الخروج عن ظاهر اللفظ لا لدليل ولا لشبهة دليل فهذا لعب</w:t>
      </w:r>
      <w:r w:rsidR="000636C2">
        <w:rPr>
          <w:rFonts w:hint="cs"/>
          <w:rtl/>
        </w:rPr>
        <w:t>،</w:t>
      </w:r>
      <w:r w:rsidRPr="005675B2">
        <w:rPr>
          <w:rFonts w:hint="cs"/>
          <w:rtl/>
        </w:rPr>
        <w:t xml:space="preserve"> وليس من التأويل في شيء</w:t>
      </w:r>
      <w:r w:rsidR="000636C2">
        <w:rPr>
          <w:rFonts w:hint="cs"/>
          <w:rtl/>
        </w:rPr>
        <w:t>،</w:t>
      </w:r>
      <w:r w:rsidRPr="005675B2">
        <w:rPr>
          <w:rFonts w:hint="cs"/>
          <w:rtl/>
        </w:rPr>
        <w:t xml:space="preserve"> وهو الذي يجب أن نطلق عليه أنه "تحريف للكلام عن مواضعه"</w:t>
      </w:r>
      <w:r w:rsidR="000636C2">
        <w:rPr>
          <w:rFonts w:hint="cs"/>
          <w:rtl/>
        </w:rPr>
        <w:t>،</w:t>
      </w:r>
      <w:r w:rsidRPr="005675B2">
        <w:rPr>
          <w:rFonts w:hint="cs"/>
          <w:rtl/>
        </w:rPr>
        <w:t xml:space="preserve"> فلا تخلط</w:t>
      </w:r>
      <w:r w:rsidR="000636C2">
        <w:rPr>
          <w:rFonts w:hint="cs"/>
          <w:rtl/>
        </w:rPr>
        <w:t xml:space="preserve"> </w:t>
      </w:r>
      <w:r w:rsidRPr="005675B2">
        <w:rPr>
          <w:rFonts w:hint="cs"/>
          <w:rtl/>
        </w:rPr>
        <w:t>- هداك الله</w:t>
      </w:r>
      <w:r w:rsidR="000636C2">
        <w:rPr>
          <w:rFonts w:hint="cs"/>
          <w:rtl/>
        </w:rPr>
        <w:t xml:space="preserve"> </w:t>
      </w:r>
      <w:r w:rsidRPr="005675B2">
        <w:rPr>
          <w:rFonts w:hint="cs"/>
          <w:rtl/>
        </w:rPr>
        <w:t>- بين التأويل الصحيح وبين غيره من التأويل الفاسد والتحريف</w:t>
      </w:r>
      <w:r w:rsidR="000636C2">
        <w:rPr>
          <w:rFonts w:hint="cs"/>
          <w:rtl/>
        </w:rPr>
        <w:t xml:space="preserve">، </w:t>
      </w:r>
      <w:r w:rsidRPr="005675B2">
        <w:rPr>
          <w:rFonts w:hint="cs"/>
          <w:rtl/>
        </w:rPr>
        <w:t>2</w:t>
      </w:r>
      <w:r w:rsidR="000636C2">
        <w:rPr>
          <w:rFonts w:hint="cs"/>
          <w:rtl/>
        </w:rPr>
        <w:t xml:space="preserve"> </w:t>
      </w:r>
      <w:r w:rsidRPr="005675B2">
        <w:rPr>
          <w:rFonts w:hint="cs"/>
          <w:rtl/>
        </w:rPr>
        <w:t>- وأضرب لك مثالاً على التأويل الصحيح عند الأشاعرة</w:t>
      </w:r>
      <w:r w:rsidR="000636C2">
        <w:rPr>
          <w:rFonts w:hint="cs"/>
          <w:rtl/>
        </w:rPr>
        <w:t>،</w:t>
      </w:r>
      <w:r w:rsidRPr="005675B2">
        <w:rPr>
          <w:rFonts w:hint="cs"/>
          <w:rtl/>
        </w:rPr>
        <w:t xml:space="preserve"> قال الله تعالى في القرآن العظيم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التوبة</w:t>
      </w:r>
      <w:r w:rsidR="000636C2">
        <w:rPr>
          <w:rFonts w:hint="cs"/>
          <w:sz w:val="24"/>
          <w:szCs w:val="24"/>
          <w:rtl/>
        </w:rPr>
        <w:t>،</w:t>
      </w:r>
      <w:r w:rsidRPr="005675B2">
        <w:rPr>
          <w:rFonts w:hint="cs"/>
          <w:sz w:val="24"/>
          <w:szCs w:val="24"/>
          <w:rtl/>
        </w:rPr>
        <w:t xml:space="preserve"> الآية 67</w:t>
      </w:r>
      <w:r w:rsidR="000636C2">
        <w:rPr>
          <w:rFonts w:hint="cs"/>
          <w:sz w:val="24"/>
          <w:szCs w:val="24"/>
          <w:rtl/>
        </w:rPr>
        <w:t>]</w:t>
      </w:r>
      <w:r w:rsidRPr="005675B2">
        <w:rPr>
          <w:rFonts w:hint="cs"/>
          <w:rtl/>
        </w:rPr>
        <w:t>، فتأتي كلمة النسيان في كلام العرب بمعنى الآفة وذهاب العلم</w:t>
      </w:r>
      <w:r w:rsidR="000636C2">
        <w:rPr>
          <w:rFonts w:hint="cs"/>
          <w:rtl/>
        </w:rPr>
        <w:t>،</w:t>
      </w:r>
      <w:r w:rsidRPr="005675B2">
        <w:rPr>
          <w:rFonts w:hint="cs"/>
          <w:rtl/>
        </w:rPr>
        <w:t xml:space="preserve"> وتأتي بمعنى الترك</w:t>
      </w:r>
      <w:r w:rsidR="000636C2">
        <w:rPr>
          <w:rFonts w:hint="cs"/>
          <w:rtl/>
        </w:rPr>
        <w:t>،</w:t>
      </w:r>
      <w:r w:rsidRPr="005675B2">
        <w:rPr>
          <w:rFonts w:hint="cs"/>
          <w:rtl/>
        </w:rPr>
        <w:t xml:space="preserve"> واستعمالها بالمعنى الأول أكثر</w:t>
      </w:r>
      <w:r w:rsidR="000636C2">
        <w:rPr>
          <w:rFonts w:hint="cs"/>
          <w:rtl/>
        </w:rPr>
        <w:t>،</w:t>
      </w:r>
      <w:r w:rsidRPr="005675B2">
        <w:rPr>
          <w:rFonts w:hint="cs"/>
          <w:rtl/>
        </w:rPr>
        <w:t xml:space="preserve"> ولذا كان هو </w:t>
      </w:r>
      <w:r w:rsidR="000636C2">
        <w:rPr>
          <w:rFonts w:hint="cs"/>
          <w:rtl/>
        </w:rPr>
        <w:t>[</w:t>
      </w:r>
      <w:r w:rsidRPr="005675B2">
        <w:rPr>
          <w:rFonts w:hint="cs"/>
          <w:rtl/>
        </w:rPr>
        <w:t>الظاهر الراجح</w:t>
      </w:r>
      <w:r w:rsidR="000636C2">
        <w:rPr>
          <w:rFonts w:hint="cs"/>
          <w:rtl/>
        </w:rPr>
        <w:t>]</w:t>
      </w:r>
      <w:r w:rsidRPr="005675B2">
        <w:rPr>
          <w:rFonts w:hint="cs"/>
          <w:rtl/>
        </w:rPr>
        <w:t xml:space="preserve"> من كلمة النسيان بصفة عامة وكان المعنى الثاني هو </w:t>
      </w:r>
      <w:r w:rsidR="000636C2">
        <w:rPr>
          <w:rFonts w:hint="cs"/>
          <w:rtl/>
        </w:rPr>
        <w:t>[</w:t>
      </w:r>
      <w:r w:rsidRPr="005675B2">
        <w:rPr>
          <w:rFonts w:hint="cs"/>
          <w:rtl/>
        </w:rPr>
        <w:t>الاحتمال المرجوح</w:t>
      </w:r>
      <w:r w:rsidR="000636C2">
        <w:rPr>
          <w:rFonts w:hint="cs"/>
          <w:rtl/>
        </w:rPr>
        <w:t xml:space="preserve">]، </w:t>
      </w:r>
      <w:r w:rsidRPr="005675B2">
        <w:rPr>
          <w:rFonts w:hint="cs"/>
          <w:rtl/>
        </w:rPr>
        <w:t xml:space="preserve">ويتعين في قوله تعالى </w:t>
      </w:r>
      <w:r w:rsidR="000636C2">
        <w:rPr>
          <w:rFonts w:hint="cs"/>
          <w:rtl/>
        </w:rPr>
        <w:t>[</w:t>
      </w:r>
      <w:r w:rsidRPr="005675B2">
        <w:rPr>
          <w:rFonts w:hint="cs"/>
          <w:rtl/>
        </w:rPr>
        <w:t>فَنَسِيَهُمْ</w:t>
      </w:r>
      <w:r w:rsidR="000636C2">
        <w:rPr>
          <w:rFonts w:hint="cs"/>
          <w:rtl/>
        </w:rPr>
        <w:t>]</w:t>
      </w:r>
      <w:r w:rsidRPr="005675B2">
        <w:rPr>
          <w:rFonts w:hint="cs"/>
          <w:rtl/>
        </w:rPr>
        <w:t xml:space="preserve"> العدولُ عن تفسير النسيان بمعنى الآفة وذهاب العلم إلى معنى الترك</w:t>
      </w:r>
      <w:r w:rsidR="000636C2">
        <w:rPr>
          <w:rFonts w:hint="cs"/>
          <w:rtl/>
        </w:rPr>
        <w:t>،</w:t>
      </w:r>
      <w:r w:rsidRPr="005675B2">
        <w:rPr>
          <w:rFonts w:hint="cs"/>
          <w:rtl/>
        </w:rPr>
        <w:t xml:space="preserve"> والقرينة الصارفة استحالة المعنى الأول على الله تعالى عقلاً ونقلاً</w:t>
      </w:r>
      <w:r w:rsidR="000636C2">
        <w:rPr>
          <w:rFonts w:hint="cs"/>
          <w:rtl/>
        </w:rPr>
        <w:t>،</w:t>
      </w:r>
      <w:r w:rsidRPr="005675B2">
        <w:rPr>
          <w:rFonts w:hint="cs"/>
          <w:rtl/>
        </w:rPr>
        <w:t xml:space="preserve"> أما عقلاً فلأنه يستحيل على الله تعالى أن يتصف بصفات النقص من الآفة والعجز</w:t>
      </w:r>
      <w:r w:rsidR="000636C2">
        <w:rPr>
          <w:rFonts w:hint="cs"/>
          <w:rtl/>
        </w:rPr>
        <w:t>،</w:t>
      </w:r>
      <w:r w:rsidRPr="005675B2">
        <w:rPr>
          <w:rFonts w:hint="cs"/>
          <w:rtl/>
        </w:rPr>
        <w:t xml:space="preserve"> وأما نقلاً فلأن الله سبحانه وتعالى يقول </w:t>
      </w:r>
      <w:r w:rsidR="000636C2">
        <w:rPr>
          <w:rFonts w:hint="cs"/>
          <w:rtl/>
        </w:rPr>
        <w:t>[</w:t>
      </w:r>
      <w:r w:rsidRPr="005675B2">
        <w:rPr>
          <w:rFonts w:hint="cs"/>
          <w:rtl/>
        </w:rPr>
        <w:t>وَمَا كَانَ رَبُّكَ نَسِيّاً</w:t>
      </w:r>
      <w:r w:rsidR="000636C2">
        <w:rPr>
          <w:rFonts w:hint="cs"/>
          <w:rtl/>
        </w:rPr>
        <w:t>]</w:t>
      </w:r>
      <w:r w:rsidRPr="005675B2">
        <w:rPr>
          <w:rFonts w:hint="cs"/>
          <w:rtl/>
        </w:rPr>
        <w:t xml:space="preserve"> [</w:t>
      </w:r>
      <w:r w:rsidRPr="005675B2">
        <w:rPr>
          <w:rFonts w:hint="cs"/>
          <w:sz w:val="24"/>
          <w:szCs w:val="24"/>
          <w:rtl/>
        </w:rPr>
        <w:t>سورية مريم</w:t>
      </w:r>
      <w:r w:rsidR="000636C2">
        <w:rPr>
          <w:rFonts w:hint="cs"/>
          <w:sz w:val="24"/>
          <w:szCs w:val="24"/>
          <w:rtl/>
        </w:rPr>
        <w:t>،</w:t>
      </w:r>
      <w:r w:rsidRPr="005675B2">
        <w:rPr>
          <w:rFonts w:hint="cs"/>
          <w:sz w:val="24"/>
          <w:szCs w:val="24"/>
          <w:rtl/>
        </w:rPr>
        <w:t xml:space="preserve"> الآية 64</w:t>
      </w:r>
      <w:r w:rsidR="000636C2">
        <w:rPr>
          <w:rFonts w:hint="cs"/>
          <w:sz w:val="24"/>
          <w:szCs w:val="24"/>
          <w:rtl/>
        </w:rPr>
        <w:t>]</w:t>
      </w:r>
      <w:r w:rsidR="000636C2">
        <w:rPr>
          <w:rFonts w:hint="cs"/>
          <w:rtl/>
        </w:rPr>
        <w:t>،</w:t>
      </w:r>
      <w:r w:rsidRPr="005675B2">
        <w:rPr>
          <w:rFonts w:hint="cs"/>
          <w:rtl/>
        </w:rPr>
        <w:t xml:space="preserve"> ويقول سبحانه وتعالى </w:t>
      </w:r>
      <w:r w:rsidR="000636C2">
        <w:rPr>
          <w:rFonts w:hint="cs"/>
          <w:rtl/>
        </w:rPr>
        <w:t>[</w:t>
      </w:r>
      <w:r w:rsidRPr="005675B2">
        <w:rPr>
          <w:rFonts w:hint="cs"/>
          <w:rtl/>
        </w:rPr>
        <w:t>قَالَ عِلْمُهَا عِنْدَ رَبِّي فِي كِتَابٍ لا يَضِلُّ رَبِّي وَلا يَنْسَى</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طه</w:t>
      </w:r>
      <w:r w:rsidR="000636C2">
        <w:rPr>
          <w:rFonts w:hint="cs"/>
          <w:sz w:val="24"/>
          <w:szCs w:val="24"/>
          <w:rtl/>
        </w:rPr>
        <w:t>،</w:t>
      </w:r>
      <w:r w:rsidRPr="005675B2">
        <w:rPr>
          <w:rFonts w:hint="cs"/>
          <w:sz w:val="24"/>
          <w:szCs w:val="24"/>
          <w:rtl/>
        </w:rPr>
        <w:t xml:space="preserve"> الآية 52</w:t>
      </w:r>
      <w:r w:rsidR="000636C2">
        <w:rPr>
          <w:rFonts w:hint="cs"/>
          <w:sz w:val="24"/>
          <w:szCs w:val="24"/>
          <w:rtl/>
        </w:rPr>
        <w:t>]</w:t>
      </w:r>
      <w:r w:rsidR="000636C2">
        <w:rPr>
          <w:rFonts w:hint="cs"/>
          <w:rtl/>
        </w:rPr>
        <w:t>،</w:t>
      </w:r>
      <w:r w:rsidRPr="005675B2">
        <w:rPr>
          <w:rFonts w:hint="cs"/>
          <w:rtl/>
        </w:rPr>
        <w:t xml:space="preserve"> فإن قلت إن هذا المعنى مفهوم وظاهر من السياق وليس هذا تأويلاً ؛ فيقول لك الأشاعرة</w:t>
      </w:r>
      <w:r w:rsidR="000636C2">
        <w:rPr>
          <w:rFonts w:hint="cs"/>
          <w:rtl/>
        </w:rPr>
        <w:t>:</w:t>
      </w:r>
      <w:r w:rsidRPr="005675B2">
        <w:rPr>
          <w:rFonts w:hint="cs"/>
          <w:rtl/>
        </w:rPr>
        <w:t xml:space="preserve"> نعم</w:t>
      </w:r>
      <w:r w:rsidR="000636C2">
        <w:rPr>
          <w:rFonts w:hint="cs"/>
          <w:rtl/>
        </w:rPr>
        <w:t>،</w:t>
      </w:r>
      <w:r w:rsidRPr="005675B2">
        <w:rPr>
          <w:rFonts w:hint="cs"/>
          <w:rtl/>
        </w:rPr>
        <w:t xml:space="preserve"> إن هذا المعنى هو المفهوم والظاهر من السياق</w:t>
      </w:r>
      <w:r w:rsidR="000636C2">
        <w:rPr>
          <w:rFonts w:hint="cs"/>
          <w:rtl/>
        </w:rPr>
        <w:t>،</w:t>
      </w:r>
      <w:r w:rsidRPr="005675B2">
        <w:rPr>
          <w:rFonts w:hint="cs"/>
          <w:rtl/>
        </w:rPr>
        <w:t xml:space="preserve"> لا من مجرد لفظ بعينه</w:t>
      </w:r>
      <w:r w:rsidR="000636C2">
        <w:rPr>
          <w:rFonts w:hint="cs"/>
          <w:rtl/>
        </w:rPr>
        <w:t>،</w:t>
      </w:r>
      <w:r w:rsidRPr="005675B2">
        <w:rPr>
          <w:rFonts w:hint="cs"/>
          <w:rtl/>
        </w:rPr>
        <w:t xml:space="preserve"> وهذا هو التأويل عندنا</w:t>
      </w:r>
      <w:r w:rsidR="000636C2">
        <w:rPr>
          <w:rFonts w:hint="cs"/>
          <w:rtl/>
        </w:rPr>
        <w:t>،</w:t>
      </w:r>
      <w:r w:rsidRPr="005675B2">
        <w:rPr>
          <w:rFonts w:hint="cs"/>
          <w:rtl/>
        </w:rPr>
        <w:t xml:space="preserve"> وسمه ما شئت</w:t>
      </w:r>
      <w:r w:rsidR="000636C2">
        <w:rPr>
          <w:rFonts w:hint="cs"/>
          <w:rtl/>
        </w:rPr>
        <w:t>،</w:t>
      </w:r>
      <w:r w:rsidRPr="005675B2">
        <w:rPr>
          <w:rFonts w:hint="cs"/>
          <w:rtl/>
        </w:rPr>
        <w:t xml:space="preserve"> ولكنك لا تستطيع أن تنفك عن صرف ذلك اللفظ عن المعنى الأكثر استعمالاً</w:t>
      </w:r>
      <w:r w:rsidR="000636C2">
        <w:rPr>
          <w:rFonts w:hint="cs"/>
          <w:rtl/>
        </w:rPr>
        <w:t>،</w:t>
      </w:r>
      <w:r w:rsidRPr="005675B2">
        <w:rPr>
          <w:rFonts w:hint="cs"/>
          <w:rtl/>
        </w:rPr>
        <w:t xml:space="preserve"> سواء في لغة العرب أو في كتاب الله تعالى</w:t>
      </w:r>
      <w:r w:rsidR="000636C2">
        <w:rPr>
          <w:rFonts w:hint="cs"/>
          <w:rtl/>
        </w:rPr>
        <w:t>،</w:t>
      </w:r>
      <w:r w:rsidRPr="005675B2">
        <w:rPr>
          <w:rFonts w:hint="cs"/>
          <w:rtl/>
        </w:rPr>
        <w:t xml:space="preserve"> ولا تستطيع أن تقول إن لله تعالى نسياناً حقيقياً يليق به</w:t>
      </w:r>
      <w:r w:rsidR="000636C2">
        <w:rPr>
          <w:rFonts w:hint="cs"/>
          <w:rtl/>
        </w:rPr>
        <w:t xml:space="preserve">، </w:t>
      </w:r>
      <w:r w:rsidRPr="005675B2">
        <w:rPr>
          <w:rFonts w:hint="cs"/>
          <w:rtl/>
        </w:rPr>
        <w:t xml:space="preserve">3 - والأوضح من هذا قول الله تعالى في الحديث القدسي للعبد يوم القيامة </w:t>
      </w:r>
      <w:r w:rsidR="000636C2">
        <w:rPr>
          <w:rFonts w:hint="cs"/>
          <w:rtl/>
        </w:rPr>
        <w:t>[</w:t>
      </w:r>
      <w:r w:rsidRPr="005675B2">
        <w:rPr>
          <w:rFonts w:hint="cs"/>
          <w:rtl/>
        </w:rPr>
        <w:t>مرضت فلم تعدني</w:t>
      </w:r>
      <w:r w:rsidR="000636C2">
        <w:rPr>
          <w:rFonts w:hint="cs"/>
          <w:rtl/>
        </w:rPr>
        <w:t>]،</w:t>
      </w:r>
      <w:r w:rsidRPr="005675B2">
        <w:rPr>
          <w:rFonts w:hint="cs"/>
          <w:rtl/>
        </w:rPr>
        <w:t xml:space="preserve"> وليس المراد أن الله تعالى يتصف بالمرض قطعاً</w:t>
      </w:r>
      <w:r w:rsidR="000636C2">
        <w:rPr>
          <w:rFonts w:hint="cs"/>
          <w:rtl/>
        </w:rPr>
        <w:t>،</w:t>
      </w:r>
      <w:r w:rsidRPr="005675B2">
        <w:rPr>
          <w:rFonts w:hint="cs"/>
          <w:rtl/>
        </w:rPr>
        <w:t xml:space="preserve"> والمراد هو أن عبداً من عباد الله تعالى مرض</w:t>
      </w:r>
      <w:r w:rsidR="000636C2">
        <w:rPr>
          <w:rFonts w:hint="cs"/>
          <w:rtl/>
        </w:rPr>
        <w:t>،</w:t>
      </w:r>
      <w:r w:rsidRPr="005675B2">
        <w:rPr>
          <w:rFonts w:hint="cs"/>
          <w:rtl/>
        </w:rPr>
        <w:t xml:space="preserve"> وهو التفسير الذي جاء في الحديث نفسه</w:t>
      </w:r>
      <w:r w:rsidR="000636C2">
        <w:rPr>
          <w:rFonts w:hint="cs"/>
          <w:rtl/>
        </w:rPr>
        <w:t>،</w:t>
      </w:r>
      <w:r w:rsidRPr="005675B2">
        <w:rPr>
          <w:rFonts w:hint="cs"/>
          <w:rtl/>
        </w:rPr>
        <w:t xml:space="preserve"> ويتعين في هذه اللفظة العدول عن تفسيرها بمعنى الآفة</w:t>
      </w:r>
      <w:r w:rsidR="000636C2">
        <w:rPr>
          <w:rFonts w:hint="cs"/>
          <w:rtl/>
        </w:rPr>
        <w:t>،</w:t>
      </w:r>
      <w:r w:rsidRPr="005675B2">
        <w:rPr>
          <w:rFonts w:hint="cs"/>
          <w:rtl/>
        </w:rPr>
        <w:t xml:space="preserve"> لاستحالة هذا المعنى على الله تعالى</w:t>
      </w:r>
      <w:r w:rsidR="000636C2">
        <w:rPr>
          <w:rFonts w:hint="cs"/>
          <w:rtl/>
        </w:rPr>
        <w:t>،</w:t>
      </w:r>
      <w:r w:rsidRPr="005675B2">
        <w:rPr>
          <w:rFonts w:hint="cs"/>
          <w:rtl/>
        </w:rPr>
        <w:t xml:space="preserve"> وهذا هو التأويل عند الأشاعرة</w:t>
      </w:r>
      <w:r w:rsidR="000636C2">
        <w:rPr>
          <w:rFonts w:hint="cs"/>
          <w:rtl/>
        </w:rPr>
        <w:t>،</w:t>
      </w:r>
      <w:r w:rsidRPr="005675B2">
        <w:rPr>
          <w:rFonts w:hint="cs"/>
          <w:rtl/>
        </w:rPr>
        <w:t xml:space="preserve"> ولا تسـتطيع أن تقول إن لله تعالى مرضاً حقيقياً يليق به</w:t>
      </w:r>
      <w:r w:rsidR="000636C2">
        <w:rPr>
          <w:rFonts w:hint="cs"/>
          <w:rtl/>
        </w:rPr>
        <w:t>،</w:t>
      </w:r>
      <w:r w:rsidRPr="005675B2">
        <w:rPr>
          <w:rFonts w:hint="cs"/>
          <w:rtl/>
        </w:rPr>
        <w:t xml:space="preserve"> وقد تقدم هذا مع أمثلة أخرى في الموضوع الأول الذي عنوانه </w:t>
      </w:r>
      <w:r w:rsidR="000636C2">
        <w:rPr>
          <w:rFonts w:hint="cs"/>
          <w:rtl/>
        </w:rPr>
        <w:t>[</w:t>
      </w:r>
      <w:r w:rsidRPr="005675B2">
        <w:rPr>
          <w:rFonts w:hint="cs"/>
          <w:rtl/>
        </w:rPr>
        <w:t>مصدر التلقي</w:t>
      </w:r>
      <w:r w:rsidR="000636C2">
        <w:rPr>
          <w:rFonts w:hint="cs"/>
          <w:rtl/>
        </w:rPr>
        <w:t>]</w:t>
      </w:r>
      <w:r w:rsidRPr="005675B2">
        <w:rPr>
          <w:rFonts w:hint="cs"/>
          <w:rtl/>
        </w:rPr>
        <w:t xml:space="preserve"> فراجعه</w:t>
      </w:r>
      <w:r w:rsidR="000636C2">
        <w:rPr>
          <w:rFonts w:hint="cs"/>
          <w:rtl/>
        </w:rPr>
        <w:t>،</w:t>
      </w:r>
      <w:r w:rsidRPr="005675B2">
        <w:rPr>
          <w:rFonts w:hint="cs"/>
          <w:rtl/>
        </w:rPr>
        <w:t xml:space="preserve"> وتذكر كيف فسر ابن تيمية رحمه الله الحديث بالمعنى الصحيح الوارد في الحديث نفسه</w:t>
      </w:r>
      <w:r w:rsidR="000636C2">
        <w:rPr>
          <w:rFonts w:hint="cs"/>
          <w:rtl/>
        </w:rPr>
        <w:t>،</w:t>
      </w:r>
      <w:r w:rsidRPr="005675B2">
        <w:rPr>
          <w:rFonts w:hint="cs"/>
          <w:rtl/>
        </w:rPr>
        <w:t xml:space="preserve"> بخلاف الظاهر المتبادر من لفظة "مرضتُ"</w:t>
      </w:r>
      <w:r w:rsidR="000636C2">
        <w:rPr>
          <w:rFonts w:hint="cs"/>
          <w:rtl/>
        </w:rPr>
        <w:t>،</w:t>
      </w:r>
      <w:r w:rsidRPr="005675B2">
        <w:rPr>
          <w:rFonts w:hint="cs"/>
          <w:rtl/>
        </w:rPr>
        <w:t xml:space="preserve"> ولكنه يسـمي هذا "تفسيراً" ويأبى تسميته "تأويلاً"</w:t>
      </w:r>
      <w:r w:rsidR="000636C2">
        <w:rPr>
          <w:rFonts w:hint="cs"/>
          <w:rtl/>
        </w:rPr>
        <w:t>!،</w:t>
      </w:r>
      <w:r w:rsidRPr="005675B2">
        <w:rPr>
          <w:rFonts w:hint="cs"/>
          <w:rtl/>
        </w:rPr>
        <w:t xml:space="preserve"> ونحوذلك لفظة التردد الواردة في الحديث القدسي الذي يقول فيه ربنا تبارك وتعالى </w:t>
      </w:r>
      <w:r w:rsidR="000636C2">
        <w:rPr>
          <w:rFonts w:hint="cs"/>
          <w:rtl/>
        </w:rPr>
        <w:t>[</w:t>
      </w:r>
      <w:r w:rsidRPr="005675B2">
        <w:rPr>
          <w:rFonts w:hint="cs"/>
          <w:rtl/>
        </w:rPr>
        <w:t>من عادى لي ولياً فقد آذنته بالحرب …</w:t>
      </w:r>
      <w:r w:rsidR="000636C2">
        <w:rPr>
          <w:rFonts w:hint="cs"/>
          <w:rtl/>
        </w:rPr>
        <w:t>،</w:t>
      </w:r>
      <w:r w:rsidRPr="005675B2">
        <w:rPr>
          <w:rFonts w:hint="cs"/>
          <w:rtl/>
        </w:rPr>
        <w:t xml:space="preserve"> وما ترددت عن شيء أنا فاعله ترددي عن نفس المؤمن</w:t>
      </w:r>
      <w:r w:rsidR="000636C2">
        <w:rPr>
          <w:rFonts w:hint="cs"/>
          <w:rtl/>
        </w:rPr>
        <w:t>،</w:t>
      </w:r>
      <w:r w:rsidRPr="005675B2">
        <w:rPr>
          <w:rFonts w:hint="cs"/>
          <w:rtl/>
        </w:rPr>
        <w:t xml:space="preserve"> يكره الموت وأنا أكره مساءته</w:t>
      </w:r>
      <w:r w:rsidR="000636C2">
        <w:rPr>
          <w:rFonts w:hint="cs"/>
          <w:rtl/>
        </w:rPr>
        <w:t xml:space="preserve">] </w:t>
      </w:r>
      <w:r w:rsidRPr="005675B2">
        <w:rPr>
          <w:rFonts w:hint="cs"/>
          <w:rtl/>
        </w:rPr>
        <w:t>[</w:t>
      </w:r>
      <w:r w:rsidRPr="005675B2">
        <w:rPr>
          <w:rFonts w:hint="cs"/>
          <w:sz w:val="24"/>
          <w:szCs w:val="24"/>
          <w:rtl/>
        </w:rPr>
        <w:t>صحيح البخاري: كتاب الرقاق</w:t>
      </w:r>
      <w:r w:rsidR="000636C2">
        <w:rPr>
          <w:rFonts w:hint="cs"/>
          <w:sz w:val="24"/>
          <w:szCs w:val="24"/>
          <w:rtl/>
        </w:rPr>
        <w:t>،</w:t>
      </w:r>
      <w:r w:rsidRPr="005675B2">
        <w:rPr>
          <w:rFonts w:hint="cs"/>
          <w:sz w:val="24"/>
          <w:szCs w:val="24"/>
          <w:rtl/>
        </w:rPr>
        <w:t xml:space="preserve"> باب التواضع . ومسند الإمام أحمد: 6/256</w:t>
      </w:r>
      <w:r w:rsidR="000636C2">
        <w:rPr>
          <w:rFonts w:hint="cs"/>
          <w:sz w:val="24"/>
          <w:szCs w:val="24"/>
          <w:rtl/>
        </w:rPr>
        <w:t>]</w:t>
      </w:r>
      <w:r w:rsidR="000636C2">
        <w:rPr>
          <w:rFonts w:hint="cs"/>
          <w:rtl/>
        </w:rPr>
        <w:t>،</w:t>
      </w:r>
      <w:r w:rsidRPr="005675B2">
        <w:rPr>
          <w:rFonts w:hint="cs"/>
          <w:rtl/>
        </w:rPr>
        <w:t xml:space="preserve"> فقد نقل ابن حجر في شرح الحديث تأويلَ الخطابي والكلاباذي وابن الجوزي والكرماني لهذه الفقرة الأخيرة</w:t>
      </w:r>
      <w:r w:rsidR="000636C2">
        <w:rPr>
          <w:rFonts w:hint="cs"/>
          <w:rtl/>
        </w:rPr>
        <w:t>،</w:t>
      </w:r>
      <w:r w:rsidRPr="005675B2">
        <w:rPr>
          <w:rFonts w:hint="cs"/>
          <w:rtl/>
        </w:rPr>
        <w:t xml:space="preserve"> وصرْفَهم لها عن ظاهر معنى التردد</w:t>
      </w:r>
      <w:r w:rsidR="000636C2">
        <w:rPr>
          <w:rFonts w:hint="cs"/>
          <w:rtl/>
        </w:rPr>
        <w:t>،</w:t>
      </w:r>
      <w:r w:rsidRPr="005675B2">
        <w:rPr>
          <w:rFonts w:hint="cs"/>
          <w:rtl/>
        </w:rPr>
        <w:t xml:space="preserve"> وذكرَ بعضَ ما قالوه في تأويل لفظ التردد الذي جاء فيها</w:t>
      </w:r>
      <w:r w:rsidR="000636C2">
        <w:rPr>
          <w:rFonts w:hint="cs"/>
          <w:rtl/>
        </w:rPr>
        <w:t>،</w:t>
      </w:r>
      <w:r w:rsidRPr="005675B2">
        <w:rPr>
          <w:rFonts w:hint="cs"/>
          <w:rtl/>
        </w:rPr>
        <w:t xml:space="preserve"> ولا يخفى أن التردد عن الشيء هو الرجوع عنه وإليه كرة بعد أخرى</w:t>
      </w:r>
      <w:r w:rsidR="000636C2">
        <w:rPr>
          <w:rFonts w:hint="cs"/>
          <w:rtl/>
        </w:rPr>
        <w:t>،</w:t>
      </w:r>
      <w:r w:rsidRPr="005675B2">
        <w:rPr>
          <w:rFonts w:hint="cs"/>
          <w:rtl/>
        </w:rPr>
        <w:t xml:space="preserve"> والذي يقع له التردد هو الذي تشتبه عنده وجوه المصلحة بين الفعل والترك</w:t>
      </w:r>
      <w:r w:rsidR="000636C2">
        <w:rPr>
          <w:rFonts w:hint="cs"/>
          <w:rtl/>
        </w:rPr>
        <w:t>،</w:t>
      </w:r>
      <w:r w:rsidRPr="005675B2">
        <w:rPr>
          <w:rFonts w:hint="cs"/>
          <w:rtl/>
        </w:rPr>
        <w:t xml:space="preserve"> ولا شك في أن هذا يستحيل على الله تعالى</w:t>
      </w:r>
      <w:r w:rsidR="000636C2">
        <w:rPr>
          <w:rFonts w:hint="cs"/>
          <w:rtl/>
        </w:rPr>
        <w:t>،</w:t>
      </w:r>
      <w:r w:rsidRPr="005675B2">
        <w:rPr>
          <w:rFonts w:hint="cs"/>
          <w:rtl/>
        </w:rPr>
        <w:t xml:space="preserve"> وهذه الاستحالة هي القرينة على صرف معنى لفظة التردد من هذا المعنى المحال إلى معنى آخر</w:t>
      </w:r>
      <w:r w:rsidR="000636C2">
        <w:rPr>
          <w:rFonts w:hint="cs"/>
          <w:rtl/>
        </w:rPr>
        <w:t>،</w:t>
      </w:r>
      <w:r w:rsidRPr="005675B2">
        <w:rPr>
          <w:rFonts w:hint="cs"/>
          <w:rtl/>
        </w:rPr>
        <w:t xml:space="preserve"> وهو أنه سبحانه وتعالى يفعل ما تشبه صورته صورة فعل المتردد</w:t>
      </w:r>
      <w:r w:rsidR="000636C2">
        <w:rPr>
          <w:rFonts w:hint="cs"/>
          <w:rtl/>
        </w:rPr>
        <w:t>،</w:t>
      </w:r>
      <w:r w:rsidRPr="005675B2">
        <w:rPr>
          <w:rFonts w:hint="cs"/>
          <w:rtl/>
        </w:rPr>
        <w:t xml:space="preserve"> أي إنه عبر عن صفة الفعل بصفة الذات</w:t>
      </w:r>
      <w:r w:rsidR="000636C2">
        <w:rPr>
          <w:rFonts w:hint="cs"/>
          <w:rtl/>
        </w:rPr>
        <w:t>،</w:t>
      </w:r>
      <w:r w:rsidRPr="005675B2">
        <w:rPr>
          <w:rFonts w:hint="cs"/>
          <w:rtl/>
        </w:rPr>
        <w:t xml:space="preserve"> أما ابن أبي العز سامحه الله عند شرح قول الطحاوي ونحب أهل العدل والأمانة فقد ذكر الحديث وقال</w:t>
      </w:r>
      <w:r w:rsidR="000636C2">
        <w:rPr>
          <w:rFonts w:hint="cs"/>
          <w:rtl/>
        </w:rPr>
        <w:t>:</w:t>
      </w:r>
      <w:r w:rsidRPr="005675B2">
        <w:rPr>
          <w:rFonts w:hint="cs"/>
          <w:rtl/>
        </w:rPr>
        <w:t xml:space="preserve"> </w:t>
      </w:r>
      <w:r w:rsidR="000636C2">
        <w:rPr>
          <w:rFonts w:hint="cs"/>
          <w:rtl/>
        </w:rPr>
        <w:t>[</w:t>
      </w:r>
      <w:r w:rsidRPr="005675B2">
        <w:rPr>
          <w:rFonts w:hint="cs"/>
          <w:rtl/>
        </w:rPr>
        <w:t>فبيّن أنه يتردد</w:t>
      </w:r>
      <w:r w:rsidR="000636C2">
        <w:rPr>
          <w:rFonts w:hint="cs"/>
          <w:rtl/>
        </w:rPr>
        <w:t>،</w:t>
      </w:r>
      <w:r w:rsidRPr="005675B2">
        <w:rPr>
          <w:rFonts w:hint="cs"/>
          <w:rtl/>
        </w:rPr>
        <w:t xml:space="preserve"> لأن التردد تعارض إرادتين</w:t>
      </w:r>
      <w:r w:rsidR="000636C2">
        <w:rPr>
          <w:rFonts w:hint="cs"/>
          <w:rtl/>
        </w:rPr>
        <w:t>،</w:t>
      </w:r>
      <w:r w:rsidRPr="005675B2">
        <w:rPr>
          <w:rFonts w:hint="cs"/>
          <w:rtl/>
        </w:rPr>
        <w:t xml:space="preserve"> وهو سبحانه يحب ما يحبه عبده المؤمن ويكره ما يكرهه</w:t>
      </w:r>
      <w:r w:rsidR="000636C2">
        <w:rPr>
          <w:rFonts w:hint="cs"/>
          <w:rtl/>
        </w:rPr>
        <w:t>،</w:t>
      </w:r>
      <w:r w:rsidRPr="005675B2">
        <w:rPr>
          <w:rFonts w:hint="cs"/>
          <w:rtl/>
        </w:rPr>
        <w:t xml:space="preserve"> … وهو سبحانه قضى بالموت فهو يريد كونه</w:t>
      </w:r>
      <w:r w:rsidR="000636C2">
        <w:rPr>
          <w:rFonts w:hint="cs"/>
          <w:rtl/>
        </w:rPr>
        <w:t>،</w:t>
      </w:r>
      <w:r w:rsidRPr="005675B2">
        <w:rPr>
          <w:rFonts w:hint="cs"/>
          <w:rtl/>
        </w:rPr>
        <w:t xml:space="preserve"> فسمى ذلك تردداً ..</w:t>
      </w:r>
      <w:r w:rsidR="000636C2">
        <w:rPr>
          <w:rFonts w:hint="cs"/>
          <w:rtl/>
        </w:rPr>
        <w:t>]،</w:t>
      </w:r>
      <w:r w:rsidRPr="005675B2">
        <w:rPr>
          <w:rFonts w:hint="cs"/>
          <w:rtl/>
        </w:rPr>
        <w:t xml:space="preserve"> أقول</w:t>
      </w:r>
      <w:r w:rsidR="000636C2">
        <w:rPr>
          <w:rFonts w:hint="cs"/>
          <w:rtl/>
        </w:rPr>
        <w:t>:</w:t>
      </w:r>
      <w:r w:rsidRPr="005675B2">
        <w:rPr>
          <w:rFonts w:hint="cs"/>
          <w:rtl/>
        </w:rPr>
        <w:t xml:space="preserve"> فقوله </w:t>
      </w:r>
      <w:r w:rsidR="000636C2">
        <w:rPr>
          <w:rFonts w:hint="cs"/>
          <w:rtl/>
        </w:rPr>
        <w:t>[</w:t>
      </w:r>
      <w:r w:rsidRPr="005675B2">
        <w:rPr>
          <w:rFonts w:hint="cs"/>
          <w:rtl/>
        </w:rPr>
        <w:t>فبين أنه يتردد</w:t>
      </w:r>
      <w:r w:rsidR="000636C2">
        <w:rPr>
          <w:rFonts w:hint="cs"/>
          <w:rtl/>
        </w:rPr>
        <w:t>]</w:t>
      </w:r>
      <w:r w:rsidRPr="005675B2">
        <w:rPr>
          <w:rFonts w:hint="cs"/>
          <w:rtl/>
        </w:rPr>
        <w:t xml:space="preserve"> إثبات لصفة التردد لله جل وعلا</w:t>
      </w:r>
      <w:r w:rsidR="000636C2">
        <w:rPr>
          <w:rFonts w:hint="cs"/>
          <w:rtl/>
        </w:rPr>
        <w:t>،</w:t>
      </w:r>
      <w:r w:rsidRPr="005675B2">
        <w:rPr>
          <w:rFonts w:hint="cs"/>
          <w:rtl/>
        </w:rPr>
        <w:t xml:space="preserve"> وقوله </w:t>
      </w:r>
      <w:r w:rsidR="000636C2">
        <w:rPr>
          <w:rFonts w:hint="cs"/>
          <w:rtl/>
        </w:rPr>
        <w:t>[</w:t>
      </w:r>
      <w:r w:rsidRPr="005675B2">
        <w:rPr>
          <w:rFonts w:hint="cs"/>
          <w:rtl/>
        </w:rPr>
        <w:t>لأن التردد تعارض إرادتين</w:t>
      </w:r>
      <w:r w:rsidR="000636C2">
        <w:rPr>
          <w:rFonts w:hint="cs"/>
          <w:rtl/>
        </w:rPr>
        <w:t>]</w:t>
      </w:r>
      <w:r w:rsidRPr="005675B2">
        <w:rPr>
          <w:rFonts w:hint="cs"/>
          <w:rtl/>
        </w:rPr>
        <w:t xml:space="preserve"> تأكيد لإثبات ذلك</w:t>
      </w:r>
      <w:r w:rsidR="000636C2">
        <w:rPr>
          <w:rFonts w:hint="cs"/>
          <w:rtl/>
        </w:rPr>
        <w:t>،</w:t>
      </w:r>
      <w:r w:rsidRPr="005675B2">
        <w:rPr>
          <w:rFonts w:hint="cs"/>
          <w:rtl/>
        </w:rPr>
        <w:t xml:space="preserve"> أما قوله </w:t>
      </w:r>
      <w:r w:rsidR="000636C2">
        <w:rPr>
          <w:rFonts w:hint="cs"/>
          <w:rtl/>
        </w:rPr>
        <w:t>[</w:t>
      </w:r>
      <w:r w:rsidRPr="005675B2">
        <w:rPr>
          <w:rFonts w:hint="cs"/>
          <w:rtl/>
        </w:rPr>
        <w:t>وهو يحب ما يحب عبده المؤمن ويكره ما يكرهه ..</w:t>
      </w:r>
      <w:r w:rsidR="000636C2">
        <w:rPr>
          <w:rFonts w:hint="cs"/>
          <w:rtl/>
        </w:rPr>
        <w:t>،</w:t>
      </w:r>
      <w:r w:rsidRPr="005675B2">
        <w:rPr>
          <w:rFonts w:hint="cs"/>
          <w:rtl/>
        </w:rPr>
        <w:t xml:space="preserve"> وهو سبحانه قضى بالموت فهو يريد كونه فسمى ذلك تردداً</w:t>
      </w:r>
      <w:r w:rsidR="000636C2">
        <w:rPr>
          <w:rFonts w:hint="cs"/>
          <w:rtl/>
        </w:rPr>
        <w:t>]</w:t>
      </w:r>
      <w:r w:rsidRPr="005675B2">
        <w:rPr>
          <w:rFonts w:hint="cs"/>
          <w:rtl/>
        </w:rPr>
        <w:t xml:space="preserve"> فهذا تفسير للفظة التردد بغير أصل معناها</w:t>
      </w:r>
      <w:r w:rsidR="000636C2">
        <w:rPr>
          <w:rFonts w:hint="cs"/>
          <w:rtl/>
        </w:rPr>
        <w:t>،</w:t>
      </w:r>
      <w:r w:rsidRPr="005675B2">
        <w:rPr>
          <w:rFonts w:hint="cs"/>
          <w:rtl/>
        </w:rPr>
        <w:t xml:space="preserve"> ولذا قال </w:t>
      </w:r>
      <w:r w:rsidR="000636C2">
        <w:rPr>
          <w:rFonts w:hint="cs"/>
          <w:rtl/>
        </w:rPr>
        <w:t>[</w:t>
      </w:r>
      <w:r w:rsidRPr="005675B2">
        <w:rPr>
          <w:rFonts w:hint="cs"/>
          <w:rtl/>
        </w:rPr>
        <w:t>فسمى ذلك تردداً</w:t>
      </w:r>
      <w:r w:rsidR="000636C2">
        <w:rPr>
          <w:rFonts w:hint="cs"/>
          <w:rtl/>
        </w:rPr>
        <w:t>]،</w:t>
      </w:r>
      <w:r w:rsidRPr="005675B2">
        <w:rPr>
          <w:rFonts w:hint="cs"/>
          <w:rtl/>
        </w:rPr>
        <w:t xml:space="preserve"> وهل هذا إلا تأويل</w:t>
      </w:r>
      <w:r w:rsidR="000636C2">
        <w:rPr>
          <w:rFonts w:hint="cs"/>
          <w:rtl/>
        </w:rPr>
        <w:t>؟،</w:t>
      </w:r>
      <w:r w:rsidRPr="005675B2">
        <w:rPr>
          <w:rFonts w:hint="cs"/>
          <w:rtl/>
        </w:rPr>
        <w:t xml:space="preserve"> ومن الغريب أن التردد الوارد في الحديث هو التردد في الفعل</w:t>
      </w:r>
      <w:r w:rsidR="000636C2">
        <w:rPr>
          <w:rFonts w:hint="cs"/>
          <w:rtl/>
        </w:rPr>
        <w:t>،</w:t>
      </w:r>
      <w:r w:rsidRPr="005675B2">
        <w:rPr>
          <w:rFonts w:hint="cs"/>
          <w:rtl/>
        </w:rPr>
        <w:t xml:space="preserve"> إذ يقول سبحانه </w:t>
      </w:r>
      <w:r w:rsidR="000636C2">
        <w:rPr>
          <w:rFonts w:hint="cs"/>
          <w:rtl/>
        </w:rPr>
        <w:t>[</w:t>
      </w:r>
      <w:r w:rsidRPr="005675B2">
        <w:rPr>
          <w:rFonts w:hint="cs"/>
          <w:rtl/>
        </w:rPr>
        <w:t>وما ترددت عن شيء أنا فاعله</w:t>
      </w:r>
      <w:r w:rsidR="000636C2">
        <w:rPr>
          <w:rFonts w:hint="cs"/>
          <w:rtl/>
        </w:rPr>
        <w:t xml:space="preserve"> </w:t>
      </w:r>
      <w:r w:rsidRPr="005675B2">
        <w:rPr>
          <w:rFonts w:hint="cs"/>
          <w:rtl/>
        </w:rPr>
        <w:t>…</w:t>
      </w:r>
      <w:r w:rsidR="000636C2">
        <w:rPr>
          <w:rFonts w:hint="cs"/>
          <w:rtl/>
        </w:rPr>
        <w:t>]،</w:t>
      </w:r>
      <w:r w:rsidRPr="005675B2">
        <w:rPr>
          <w:rFonts w:hint="cs"/>
          <w:rtl/>
        </w:rPr>
        <w:t xml:space="preserve"> فنقله إلى معنى آخر</w:t>
      </w:r>
      <w:r w:rsidR="000636C2">
        <w:rPr>
          <w:rFonts w:hint="cs"/>
          <w:rtl/>
        </w:rPr>
        <w:t>،</w:t>
      </w:r>
      <w:r w:rsidRPr="005675B2">
        <w:rPr>
          <w:rFonts w:hint="cs"/>
          <w:rtl/>
        </w:rPr>
        <w:t xml:space="preserve"> وهو محبة ما يحبه عبده المؤمن وكراهية ما يكرهه</w:t>
      </w:r>
      <w:r w:rsidR="000636C2">
        <w:rPr>
          <w:rFonts w:hint="cs"/>
          <w:rtl/>
        </w:rPr>
        <w:t>،</w:t>
      </w:r>
      <w:r w:rsidRPr="005675B2">
        <w:rPr>
          <w:rFonts w:hint="cs"/>
          <w:rtl/>
        </w:rPr>
        <w:t xml:space="preserve"> ومع ذلك فإن هذا عند بعض الباحثين </w:t>
      </w:r>
      <w:r w:rsidR="000636C2">
        <w:rPr>
          <w:rFonts w:hint="cs"/>
          <w:rtl/>
        </w:rPr>
        <w:t>[</w:t>
      </w:r>
      <w:r w:rsidRPr="005675B2">
        <w:rPr>
          <w:rFonts w:hint="cs"/>
          <w:rtl/>
        </w:rPr>
        <w:t>تفسير</w:t>
      </w:r>
      <w:r w:rsidR="000636C2">
        <w:rPr>
          <w:rFonts w:hint="cs"/>
          <w:rtl/>
        </w:rPr>
        <w:t>]،</w:t>
      </w:r>
      <w:r w:rsidRPr="005675B2">
        <w:rPr>
          <w:rFonts w:hint="cs"/>
          <w:rtl/>
        </w:rPr>
        <w:t xml:space="preserve"> ويأبون من كلمة </w:t>
      </w:r>
      <w:r w:rsidR="000636C2">
        <w:rPr>
          <w:rFonts w:hint="cs"/>
          <w:rtl/>
        </w:rPr>
        <w:t>[</w:t>
      </w:r>
      <w:r w:rsidRPr="005675B2">
        <w:rPr>
          <w:rFonts w:hint="cs"/>
          <w:rtl/>
        </w:rPr>
        <w:t>تأويل</w:t>
      </w:r>
      <w:r w:rsidR="000636C2">
        <w:rPr>
          <w:rFonts w:hint="cs"/>
          <w:rtl/>
        </w:rPr>
        <w:t>]،</w:t>
      </w:r>
      <w:r w:rsidRPr="005675B2">
        <w:rPr>
          <w:rFonts w:hint="cs"/>
          <w:rtl/>
        </w:rPr>
        <w:t xml:space="preserve"> بل وينكرون على من يقول ذلك</w:t>
      </w:r>
      <w:r w:rsidR="000636C2">
        <w:rPr>
          <w:rFonts w:hint="cs"/>
          <w:rtl/>
        </w:rPr>
        <w:t>،</w:t>
      </w:r>
      <w:r w:rsidRPr="005675B2">
        <w:rPr>
          <w:rFonts w:hint="cs"/>
          <w:rtl/>
        </w:rPr>
        <w:t xml:space="preserve"> وكأن المسألة مسألة اختلاف في التسمية</w:t>
      </w:r>
      <w:r w:rsidR="000636C2">
        <w:rPr>
          <w:rFonts w:hint="cs"/>
          <w:rtl/>
        </w:rPr>
        <w:t xml:space="preserve">!، </w:t>
      </w:r>
      <w:r w:rsidRPr="005675B2">
        <w:rPr>
          <w:rFonts w:hint="cs"/>
          <w:rtl/>
        </w:rPr>
        <w:t>4</w:t>
      </w:r>
      <w:r w:rsidR="000636C2">
        <w:rPr>
          <w:rFonts w:hint="cs"/>
          <w:rtl/>
        </w:rPr>
        <w:t xml:space="preserve"> </w:t>
      </w:r>
      <w:r w:rsidRPr="005675B2">
        <w:rPr>
          <w:rFonts w:hint="cs"/>
          <w:rtl/>
        </w:rPr>
        <w:t xml:space="preserve">- قال الله تعالى </w:t>
      </w:r>
      <w:r w:rsidR="000636C2">
        <w:rPr>
          <w:rFonts w:hint="cs"/>
          <w:rtl/>
        </w:rPr>
        <w:t>[</w:t>
      </w:r>
      <w:r w:rsidRPr="005675B2">
        <w:rPr>
          <w:rFonts w:hint="cs"/>
          <w:rtl/>
        </w:rPr>
        <w:t>يَا أَيُّهَا النَّبِيُّ قُلْ لِمَنْ فِي أَيْدِيكُمْ مِنَ الْأَسْرَى</w:t>
      </w:r>
      <w:r w:rsidR="000636C2">
        <w:rPr>
          <w:rFonts w:hint="cs"/>
          <w:rtl/>
        </w:rPr>
        <w:t>]</w:t>
      </w:r>
      <w:r w:rsidRPr="005675B2">
        <w:rPr>
          <w:rFonts w:hint="cs"/>
          <w:rtl/>
        </w:rPr>
        <w:t xml:space="preserve"> [</w:t>
      </w:r>
      <w:r w:rsidRPr="005675B2">
        <w:rPr>
          <w:rFonts w:hint="cs"/>
          <w:sz w:val="24"/>
          <w:szCs w:val="24"/>
          <w:rtl/>
        </w:rPr>
        <w:t>سورة الأنفال</w:t>
      </w:r>
      <w:r w:rsidR="000636C2">
        <w:rPr>
          <w:rFonts w:hint="cs"/>
          <w:sz w:val="24"/>
          <w:szCs w:val="24"/>
          <w:rtl/>
        </w:rPr>
        <w:t>،</w:t>
      </w:r>
      <w:r w:rsidRPr="005675B2">
        <w:rPr>
          <w:rFonts w:hint="cs"/>
          <w:sz w:val="24"/>
          <w:szCs w:val="24"/>
          <w:rtl/>
        </w:rPr>
        <w:t xml:space="preserve"> الآية 70</w:t>
      </w:r>
      <w:r w:rsidR="000636C2">
        <w:rPr>
          <w:rFonts w:hint="cs"/>
          <w:sz w:val="24"/>
          <w:szCs w:val="24"/>
          <w:rtl/>
        </w:rPr>
        <w:t>]</w:t>
      </w:r>
      <w:r w:rsidR="000636C2">
        <w:rPr>
          <w:rFonts w:hint="cs"/>
          <w:rtl/>
        </w:rPr>
        <w:t>،</w:t>
      </w:r>
      <w:r w:rsidRPr="005675B2">
        <w:rPr>
          <w:rFonts w:hint="cs"/>
          <w:rtl/>
        </w:rPr>
        <w:t xml:space="preserve"> فما معنى كون الأسرى في أيدي المؤمنين</w:t>
      </w:r>
      <w:r w:rsidR="000636C2">
        <w:rPr>
          <w:rFonts w:hint="cs"/>
          <w:rtl/>
        </w:rPr>
        <w:t>؟</w:t>
      </w:r>
      <w:r w:rsidRPr="005675B2">
        <w:rPr>
          <w:rFonts w:hint="cs"/>
          <w:rtl/>
        </w:rPr>
        <w:t xml:space="preserve"> وهل إذا طلب من المؤمنين أن يفتحوا أيديهم فإننا نجد الأسرى فيها</w:t>
      </w:r>
      <w:r w:rsidR="000636C2">
        <w:rPr>
          <w:rFonts w:hint="cs"/>
          <w:rtl/>
        </w:rPr>
        <w:t>؟!</w:t>
      </w:r>
      <w:r w:rsidRPr="005675B2">
        <w:rPr>
          <w:rFonts w:hint="cs"/>
          <w:rtl/>
        </w:rPr>
        <w:t xml:space="preserve"> هذا ما يفهم من ظواهر الألفاظ المقطوعة عن السياق</w:t>
      </w:r>
      <w:r w:rsidR="000636C2">
        <w:rPr>
          <w:rFonts w:hint="cs"/>
          <w:rtl/>
        </w:rPr>
        <w:t>،</w:t>
      </w:r>
      <w:r w:rsidRPr="005675B2">
        <w:rPr>
          <w:rFonts w:hint="cs"/>
          <w:rtl/>
        </w:rPr>
        <w:t xml:space="preserve"> وليس هذا هو المراد</w:t>
      </w:r>
      <w:r w:rsidR="000636C2">
        <w:rPr>
          <w:rFonts w:hint="cs"/>
          <w:rtl/>
        </w:rPr>
        <w:t>،</w:t>
      </w:r>
      <w:r w:rsidRPr="005675B2">
        <w:rPr>
          <w:rFonts w:hint="cs"/>
          <w:rtl/>
        </w:rPr>
        <w:t xml:space="preserve"> والمعنى هو أن الأسرى تحت سيطرة المؤمنين</w:t>
      </w:r>
      <w:r w:rsidR="000636C2">
        <w:rPr>
          <w:rFonts w:hint="cs"/>
          <w:rtl/>
        </w:rPr>
        <w:t>،</w:t>
      </w:r>
      <w:r w:rsidRPr="005675B2">
        <w:rPr>
          <w:rFonts w:hint="cs"/>
          <w:rtl/>
        </w:rPr>
        <w:t xml:space="preserve"> وهذا يسميه الأشاعرة </w:t>
      </w:r>
      <w:r w:rsidR="000636C2">
        <w:rPr>
          <w:rFonts w:hint="cs"/>
          <w:rtl/>
        </w:rPr>
        <w:t>[</w:t>
      </w:r>
      <w:r w:rsidRPr="005675B2">
        <w:rPr>
          <w:rFonts w:hint="cs"/>
          <w:rtl/>
        </w:rPr>
        <w:t>تأويلاً</w:t>
      </w:r>
      <w:r w:rsidR="000636C2">
        <w:rPr>
          <w:rFonts w:hint="cs"/>
          <w:rtl/>
        </w:rPr>
        <w:t xml:space="preserve">]، </w:t>
      </w:r>
      <w:r w:rsidRPr="005675B2">
        <w:rPr>
          <w:rFonts w:hint="cs"/>
          <w:rtl/>
        </w:rPr>
        <w:t>5</w:t>
      </w:r>
      <w:r w:rsidR="000636C2">
        <w:rPr>
          <w:rFonts w:hint="cs"/>
          <w:rtl/>
        </w:rPr>
        <w:t xml:space="preserve"> </w:t>
      </w:r>
      <w:r w:rsidRPr="005675B2">
        <w:rPr>
          <w:rFonts w:hint="cs"/>
          <w:rtl/>
        </w:rPr>
        <w:t xml:space="preserve">- قال الله تعالى </w:t>
      </w:r>
      <w:r w:rsidR="000636C2">
        <w:rPr>
          <w:rFonts w:hint="cs"/>
          <w:rtl/>
        </w:rPr>
        <w:t>[</w:t>
      </w:r>
      <w:r w:rsidRPr="005675B2">
        <w:rPr>
          <w:rFonts w:hint="cs"/>
          <w:rtl/>
        </w:rPr>
        <w:t>وَهُوَ الَّذِي يَبْدأُ الْخَلْقَ ثُمَّ يُعِيدُهُ وَهُوَ أَهْوَنُ عَلَيْهِ</w:t>
      </w:r>
      <w:r w:rsidR="000636C2">
        <w:rPr>
          <w:rFonts w:hint="cs"/>
          <w:rtl/>
        </w:rPr>
        <w:t>]</w:t>
      </w:r>
      <w:r w:rsidRPr="005675B2">
        <w:rPr>
          <w:rFonts w:hint="cs"/>
          <w:rtl/>
        </w:rPr>
        <w:t xml:space="preserve"> [</w:t>
      </w:r>
      <w:r w:rsidRPr="005675B2">
        <w:rPr>
          <w:rFonts w:hint="cs"/>
          <w:sz w:val="24"/>
          <w:szCs w:val="24"/>
          <w:rtl/>
        </w:rPr>
        <w:t>سورة الروم</w:t>
      </w:r>
      <w:r w:rsidR="000636C2">
        <w:rPr>
          <w:rFonts w:hint="cs"/>
          <w:sz w:val="24"/>
          <w:szCs w:val="24"/>
          <w:rtl/>
        </w:rPr>
        <w:t>،</w:t>
      </w:r>
      <w:r w:rsidRPr="005675B2">
        <w:rPr>
          <w:rFonts w:hint="cs"/>
          <w:sz w:val="24"/>
          <w:szCs w:val="24"/>
          <w:rtl/>
        </w:rPr>
        <w:t xml:space="preserve"> الآية 27</w:t>
      </w:r>
      <w:r w:rsidR="000636C2">
        <w:rPr>
          <w:rFonts w:hint="cs"/>
          <w:sz w:val="24"/>
          <w:szCs w:val="24"/>
          <w:rtl/>
        </w:rPr>
        <w:t>]</w:t>
      </w:r>
      <w:r w:rsidRPr="005675B2">
        <w:rPr>
          <w:rFonts w:hint="cs"/>
          <w:rtl/>
        </w:rPr>
        <w:t>، فهل يختلف خلق المخلوقات على الله سبحانه وتعالى سهولة وصعوبة حتى تكون الإعادة أهون عليه من الابتداء</w:t>
      </w:r>
      <w:r w:rsidR="000636C2">
        <w:rPr>
          <w:rFonts w:hint="cs"/>
          <w:rtl/>
        </w:rPr>
        <w:t>؟</w:t>
      </w:r>
      <w:r w:rsidRPr="005675B2">
        <w:rPr>
          <w:rFonts w:hint="cs"/>
          <w:rtl/>
        </w:rPr>
        <w:t>‍‍‍‍‍</w:t>
      </w:r>
      <w:r w:rsidR="000636C2">
        <w:rPr>
          <w:rFonts w:hint="cs"/>
          <w:rtl/>
        </w:rPr>
        <w:t>!</w:t>
      </w:r>
      <w:r w:rsidRPr="005675B2">
        <w:rPr>
          <w:rFonts w:hint="cs"/>
          <w:rtl/>
        </w:rPr>
        <w:t xml:space="preserve"> تعالى ربنا عما يقول الظالمون علواً كبيراً</w:t>
      </w:r>
      <w:r w:rsidR="000636C2">
        <w:rPr>
          <w:rFonts w:hint="cs"/>
          <w:rtl/>
        </w:rPr>
        <w:t>،</w:t>
      </w:r>
      <w:r w:rsidRPr="005675B2">
        <w:rPr>
          <w:rFonts w:hint="cs"/>
          <w:rtl/>
        </w:rPr>
        <w:t xml:space="preserve"> وليس هذا هو المراد</w:t>
      </w:r>
      <w:r w:rsidR="000636C2">
        <w:rPr>
          <w:rFonts w:hint="cs"/>
          <w:rtl/>
        </w:rPr>
        <w:t>،</w:t>
      </w:r>
      <w:r w:rsidRPr="005675B2">
        <w:rPr>
          <w:rFonts w:hint="cs"/>
          <w:rtl/>
        </w:rPr>
        <w:t xml:space="preserve"> فالكل عند الله تعالى هين وأيسر من اليسير</w:t>
      </w:r>
      <w:r w:rsidR="000636C2">
        <w:rPr>
          <w:rFonts w:hint="cs"/>
          <w:rtl/>
        </w:rPr>
        <w:t>،</w:t>
      </w:r>
      <w:r w:rsidRPr="005675B2">
        <w:rPr>
          <w:rFonts w:hint="cs"/>
          <w:rtl/>
        </w:rPr>
        <w:t xml:space="preserve"> ولكن كأنه يقول للناس</w:t>
      </w:r>
      <w:r w:rsidR="000636C2">
        <w:rPr>
          <w:rFonts w:hint="cs"/>
          <w:rtl/>
        </w:rPr>
        <w:t>:</w:t>
      </w:r>
      <w:r w:rsidRPr="005675B2">
        <w:rPr>
          <w:rFonts w:hint="cs"/>
          <w:rtl/>
        </w:rPr>
        <w:t xml:space="preserve"> كيف تتعجبون من الإعادة وتنكرونها وهي في عرفكم أهون من الابتداء</w:t>
      </w:r>
      <w:r w:rsidR="000636C2">
        <w:rPr>
          <w:rFonts w:hint="cs"/>
          <w:rtl/>
        </w:rPr>
        <w:t>؟!</w:t>
      </w:r>
      <w:r w:rsidRPr="005675B2">
        <w:rPr>
          <w:rFonts w:hint="cs"/>
          <w:rtl/>
        </w:rPr>
        <w:t>!</w:t>
      </w:r>
      <w:r w:rsidR="000636C2">
        <w:rPr>
          <w:rFonts w:hint="cs"/>
          <w:rtl/>
        </w:rPr>
        <w:t>،</w:t>
      </w:r>
      <w:r w:rsidRPr="005675B2">
        <w:rPr>
          <w:rFonts w:hint="cs"/>
          <w:rtl/>
        </w:rPr>
        <w:t xml:space="preserve"> وهذا يسميه الأشاعرة </w:t>
      </w:r>
      <w:r w:rsidR="000636C2">
        <w:rPr>
          <w:rFonts w:hint="cs"/>
          <w:rtl/>
        </w:rPr>
        <w:t>[</w:t>
      </w:r>
      <w:r w:rsidRPr="005675B2">
        <w:rPr>
          <w:rFonts w:hint="cs"/>
          <w:rtl/>
        </w:rPr>
        <w:t>تأويلاً</w:t>
      </w:r>
      <w:r w:rsidR="000636C2">
        <w:rPr>
          <w:rFonts w:hint="cs"/>
          <w:rtl/>
        </w:rPr>
        <w:t xml:space="preserve">]، </w:t>
      </w:r>
      <w:r w:rsidRPr="005675B2">
        <w:rPr>
          <w:rFonts w:hint="cs"/>
          <w:rtl/>
        </w:rPr>
        <w:t>6</w:t>
      </w:r>
      <w:r w:rsidR="000636C2">
        <w:rPr>
          <w:rFonts w:hint="cs"/>
          <w:rtl/>
        </w:rPr>
        <w:t xml:space="preserve"> </w:t>
      </w:r>
      <w:r w:rsidRPr="005675B2">
        <w:rPr>
          <w:rFonts w:hint="cs"/>
          <w:rtl/>
        </w:rPr>
        <w:t>- 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إخوانكم خولكم</w:t>
      </w:r>
      <w:r w:rsidR="000636C2">
        <w:rPr>
          <w:rFonts w:hint="cs"/>
          <w:rtl/>
        </w:rPr>
        <w:t>،</w:t>
      </w:r>
      <w:r w:rsidRPr="005675B2">
        <w:rPr>
          <w:rFonts w:hint="cs"/>
          <w:rtl/>
        </w:rPr>
        <w:t xml:space="preserve"> جعلهم الله تحت أيديكم</w:t>
      </w:r>
      <w:r w:rsidR="000636C2">
        <w:rPr>
          <w:rFonts w:hint="cs"/>
          <w:rtl/>
        </w:rPr>
        <w:t>،</w:t>
      </w:r>
      <w:r w:rsidRPr="005675B2">
        <w:rPr>
          <w:rFonts w:hint="cs"/>
          <w:rtl/>
        </w:rPr>
        <w:t xml:space="preserve"> فمن كان أخوه تحت يده فليطعمه مما يأكل وَلْيُلْبِسْه مما يلبَس ..</w:t>
      </w:r>
      <w:r w:rsidR="000636C2">
        <w:rPr>
          <w:rFonts w:hint="cs"/>
          <w:rtl/>
        </w:rPr>
        <w:t>،]</w:t>
      </w:r>
      <w:r w:rsidRPr="005675B2">
        <w:rPr>
          <w:rFonts w:hint="cs"/>
          <w:rtl/>
        </w:rPr>
        <w:t xml:space="preserve"> [</w:t>
      </w:r>
      <w:r w:rsidRPr="005675B2">
        <w:rPr>
          <w:rFonts w:hint="cs"/>
          <w:sz w:val="24"/>
          <w:szCs w:val="24"/>
          <w:rtl/>
        </w:rPr>
        <w:t>صحيح البخاري: كتاب الإيمان</w:t>
      </w:r>
      <w:r w:rsidR="000636C2">
        <w:rPr>
          <w:rFonts w:hint="cs"/>
          <w:sz w:val="24"/>
          <w:szCs w:val="24"/>
          <w:rtl/>
        </w:rPr>
        <w:t>،</w:t>
      </w:r>
      <w:r w:rsidRPr="005675B2">
        <w:rPr>
          <w:rFonts w:hint="cs"/>
          <w:sz w:val="24"/>
          <w:szCs w:val="24"/>
          <w:rtl/>
        </w:rPr>
        <w:t xml:space="preserve"> باب المعاصي من أمر الجاهلية</w:t>
      </w:r>
      <w:r w:rsidR="000636C2">
        <w:rPr>
          <w:rFonts w:hint="cs"/>
          <w:sz w:val="24"/>
          <w:szCs w:val="24"/>
          <w:rtl/>
        </w:rPr>
        <w:t>]</w:t>
      </w:r>
      <w:r w:rsidRPr="005675B2">
        <w:rPr>
          <w:rFonts w:hint="cs"/>
          <w:rtl/>
        </w:rPr>
        <w:t xml:space="preserve">، فكيف نفهم قوله صلى الله عليه وسلم </w:t>
      </w:r>
      <w:r w:rsidR="000636C2">
        <w:rPr>
          <w:rFonts w:hint="cs"/>
          <w:rtl/>
        </w:rPr>
        <w:t>[</w:t>
      </w:r>
      <w:r w:rsidRPr="005675B2">
        <w:rPr>
          <w:rFonts w:hint="cs"/>
          <w:rtl/>
        </w:rPr>
        <w:t>تحت أيديكم</w:t>
      </w:r>
      <w:r w:rsidR="000636C2">
        <w:rPr>
          <w:rFonts w:hint="cs"/>
          <w:rtl/>
        </w:rPr>
        <w:t>]؟</w:t>
      </w:r>
      <w:r w:rsidRPr="005675B2">
        <w:rPr>
          <w:rFonts w:hint="cs"/>
          <w:rtl/>
        </w:rPr>
        <w:t xml:space="preserve"> أبظاهر هاتين اللفظتين</w:t>
      </w:r>
      <w:r w:rsidR="000636C2">
        <w:rPr>
          <w:rFonts w:hint="cs"/>
          <w:rtl/>
        </w:rPr>
        <w:t>؟!</w:t>
      </w:r>
      <w:r w:rsidRPr="005675B2">
        <w:rPr>
          <w:rFonts w:hint="cs"/>
          <w:rtl/>
        </w:rPr>
        <w:t xml:space="preserve"> وهل إذا نظرت تحت يد السيد لوجدت جميع عبيده تحت يده</w:t>
      </w:r>
      <w:r w:rsidR="000636C2">
        <w:rPr>
          <w:rFonts w:hint="cs"/>
          <w:rtl/>
        </w:rPr>
        <w:t>؟!</w:t>
      </w:r>
      <w:r w:rsidRPr="005675B2">
        <w:rPr>
          <w:rFonts w:hint="cs"/>
          <w:rtl/>
        </w:rPr>
        <w:t xml:space="preserve"> أو إن المعنى يُؤول بملك السيد للعبد ونفوذ تصرفه فيه</w:t>
      </w:r>
      <w:r w:rsidR="000636C2">
        <w:rPr>
          <w:rFonts w:hint="cs"/>
          <w:rtl/>
        </w:rPr>
        <w:t xml:space="preserve">؟، </w:t>
      </w:r>
      <w:r w:rsidRPr="005675B2">
        <w:rPr>
          <w:rFonts w:hint="cs"/>
          <w:rtl/>
        </w:rPr>
        <w:t>7</w:t>
      </w:r>
      <w:r w:rsidR="000636C2">
        <w:rPr>
          <w:rFonts w:hint="cs"/>
          <w:rtl/>
        </w:rPr>
        <w:t xml:space="preserve"> </w:t>
      </w:r>
      <w:r w:rsidRPr="005675B2">
        <w:rPr>
          <w:rFonts w:hint="cs"/>
          <w:rtl/>
        </w:rPr>
        <w:t>- 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اللهم اغسلني من خطاياي بالماء والثلج والبرد</w:t>
      </w:r>
      <w:r w:rsidR="000636C2">
        <w:rPr>
          <w:rFonts w:hint="cs"/>
          <w:rtl/>
        </w:rPr>
        <w:t>]</w:t>
      </w:r>
      <w:r w:rsidRPr="005675B2">
        <w:rPr>
          <w:rFonts w:hint="cs"/>
          <w:rtl/>
        </w:rPr>
        <w:t xml:space="preserve"> [</w:t>
      </w:r>
      <w:r w:rsidRPr="005675B2">
        <w:rPr>
          <w:rFonts w:hint="cs"/>
          <w:sz w:val="24"/>
          <w:szCs w:val="24"/>
          <w:rtl/>
        </w:rPr>
        <w:t>صحيح مسلم: كتاب المساجد</w:t>
      </w:r>
      <w:r w:rsidR="000636C2">
        <w:rPr>
          <w:rFonts w:hint="cs"/>
          <w:sz w:val="24"/>
          <w:szCs w:val="24"/>
          <w:rtl/>
        </w:rPr>
        <w:t>،</w:t>
      </w:r>
      <w:r w:rsidRPr="005675B2">
        <w:rPr>
          <w:rFonts w:hint="cs"/>
          <w:sz w:val="24"/>
          <w:szCs w:val="24"/>
          <w:rtl/>
        </w:rPr>
        <w:t xml:space="preserve"> رقم الحديث 147</w:t>
      </w:r>
      <w:r w:rsidR="000636C2">
        <w:rPr>
          <w:rFonts w:hint="cs"/>
          <w:sz w:val="24"/>
          <w:szCs w:val="24"/>
          <w:rtl/>
        </w:rPr>
        <w:t>]</w:t>
      </w:r>
      <w:r w:rsidR="000636C2">
        <w:rPr>
          <w:rFonts w:hint="cs"/>
          <w:rtl/>
        </w:rPr>
        <w:t xml:space="preserve">، </w:t>
      </w:r>
      <w:r w:rsidRPr="005675B2">
        <w:rPr>
          <w:rFonts w:hint="cs"/>
          <w:rtl/>
        </w:rPr>
        <w:t>وقال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المؤمن يأكل في مِعىً واحد</w:t>
      </w:r>
      <w:r w:rsidR="000636C2">
        <w:rPr>
          <w:rFonts w:hint="cs"/>
          <w:rtl/>
        </w:rPr>
        <w:t>،</w:t>
      </w:r>
      <w:r w:rsidRPr="005675B2">
        <w:rPr>
          <w:rFonts w:hint="cs"/>
          <w:rtl/>
        </w:rPr>
        <w:t xml:space="preserve"> والكافر يأكل في سبعة أمعاء</w:t>
      </w:r>
      <w:r w:rsidR="000636C2">
        <w:rPr>
          <w:rFonts w:hint="cs"/>
          <w:rtl/>
        </w:rPr>
        <w:t>]</w:t>
      </w:r>
      <w:r w:rsidRPr="005675B2">
        <w:rPr>
          <w:rFonts w:hint="cs"/>
          <w:rtl/>
        </w:rPr>
        <w:t xml:space="preserve"> [</w:t>
      </w:r>
      <w:r w:rsidRPr="005675B2">
        <w:rPr>
          <w:rFonts w:hint="cs"/>
          <w:sz w:val="24"/>
          <w:szCs w:val="24"/>
          <w:rtl/>
        </w:rPr>
        <w:t>صحيح البخاري: كتاب الأطعمة</w:t>
      </w:r>
      <w:r w:rsidR="000636C2">
        <w:rPr>
          <w:rFonts w:hint="cs"/>
          <w:sz w:val="24"/>
          <w:szCs w:val="24"/>
          <w:rtl/>
        </w:rPr>
        <w:t>،</w:t>
      </w:r>
      <w:r w:rsidRPr="005675B2">
        <w:rPr>
          <w:rFonts w:hint="cs"/>
          <w:sz w:val="24"/>
          <w:szCs w:val="24"/>
          <w:rtl/>
        </w:rPr>
        <w:t xml:space="preserve"> باب المؤمن يأكل في معى واحد</w:t>
      </w:r>
      <w:r w:rsidR="000636C2">
        <w:rPr>
          <w:rFonts w:hint="cs"/>
          <w:sz w:val="24"/>
          <w:szCs w:val="24"/>
          <w:rtl/>
        </w:rPr>
        <w:t>]</w:t>
      </w:r>
      <w:r w:rsidR="000636C2">
        <w:rPr>
          <w:rFonts w:hint="cs"/>
          <w:rtl/>
        </w:rPr>
        <w:t>،</w:t>
      </w:r>
      <w:r w:rsidRPr="005675B2">
        <w:rPr>
          <w:rFonts w:hint="cs"/>
          <w:rtl/>
        </w:rPr>
        <w:t xml:space="preserve"> الأمعاء جمع</w:t>
      </w:r>
      <w:r w:rsidR="000636C2">
        <w:rPr>
          <w:rFonts w:hint="cs"/>
          <w:rtl/>
        </w:rPr>
        <w:t>،</w:t>
      </w:r>
      <w:r w:rsidRPr="005675B2">
        <w:rPr>
          <w:rFonts w:hint="cs"/>
          <w:rtl/>
        </w:rPr>
        <w:t xml:space="preserve"> ومفرده مِعىً</w:t>
      </w:r>
      <w:r w:rsidR="000636C2">
        <w:rPr>
          <w:rFonts w:hint="cs"/>
          <w:rtl/>
        </w:rPr>
        <w:t xml:space="preserve">، </w:t>
      </w:r>
      <w:r w:rsidRPr="005675B2">
        <w:rPr>
          <w:rFonts w:hint="cs"/>
          <w:rtl/>
        </w:rPr>
        <w:t>وقال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فعليكم بسنتي وسنة الخلفاء الراشدين المهديين</w:t>
      </w:r>
      <w:r w:rsidR="000636C2">
        <w:rPr>
          <w:rFonts w:hint="cs"/>
          <w:rtl/>
        </w:rPr>
        <w:t>،</w:t>
      </w:r>
      <w:r w:rsidRPr="005675B2">
        <w:rPr>
          <w:rFonts w:hint="cs"/>
          <w:rtl/>
        </w:rPr>
        <w:t xml:space="preserve"> وعضوا عليها بالنواجذ</w:t>
      </w:r>
      <w:r w:rsidR="000636C2">
        <w:rPr>
          <w:rFonts w:hint="cs"/>
          <w:rtl/>
        </w:rPr>
        <w:t>]</w:t>
      </w:r>
      <w:r w:rsidRPr="005675B2">
        <w:rPr>
          <w:rFonts w:hint="cs"/>
          <w:rtl/>
        </w:rPr>
        <w:t xml:space="preserve"> [</w:t>
      </w:r>
      <w:r w:rsidRPr="005675B2">
        <w:rPr>
          <w:rFonts w:hint="cs"/>
          <w:sz w:val="24"/>
          <w:szCs w:val="24"/>
          <w:rtl/>
        </w:rPr>
        <w:t>مسند الإمام أحمد: 4/126</w:t>
      </w:r>
      <w:r w:rsidR="000636C2">
        <w:rPr>
          <w:rFonts w:hint="cs"/>
          <w:sz w:val="24"/>
          <w:szCs w:val="24"/>
          <w:rtl/>
        </w:rPr>
        <w:t>]</w:t>
      </w:r>
      <w:r w:rsidR="000636C2">
        <w:rPr>
          <w:rFonts w:hint="cs"/>
          <w:rtl/>
        </w:rPr>
        <w:t xml:space="preserve">، </w:t>
      </w:r>
      <w:r w:rsidRPr="005675B2">
        <w:rPr>
          <w:rFonts w:hint="cs"/>
          <w:rtl/>
        </w:rPr>
        <w:t>وقال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عليكم بالدلجة فإن الأرض تطوى بالليل</w:t>
      </w:r>
      <w:r w:rsidR="000636C2">
        <w:rPr>
          <w:rFonts w:hint="cs"/>
          <w:rtl/>
        </w:rPr>
        <w:t>]</w:t>
      </w:r>
      <w:r w:rsidRPr="005675B2">
        <w:rPr>
          <w:rFonts w:hint="cs"/>
          <w:rtl/>
        </w:rPr>
        <w:t xml:space="preserve"> [</w:t>
      </w:r>
      <w:r w:rsidRPr="005675B2">
        <w:rPr>
          <w:rFonts w:hint="cs"/>
          <w:sz w:val="24"/>
          <w:szCs w:val="24"/>
          <w:rtl/>
        </w:rPr>
        <w:t>سنن أبي داود: 3/61</w:t>
      </w:r>
      <w:r w:rsidR="000636C2">
        <w:rPr>
          <w:rFonts w:hint="cs"/>
          <w:sz w:val="24"/>
          <w:szCs w:val="24"/>
          <w:rtl/>
        </w:rPr>
        <w:t>،</w:t>
      </w:r>
      <w:r w:rsidRPr="005675B2">
        <w:rPr>
          <w:rFonts w:hint="cs"/>
          <w:sz w:val="24"/>
          <w:szCs w:val="24"/>
          <w:rtl/>
        </w:rPr>
        <w:t xml:space="preserve"> كتاب الجهاد: باب في الدلجة</w:t>
      </w:r>
      <w:r w:rsidR="000636C2">
        <w:rPr>
          <w:rFonts w:hint="cs"/>
          <w:sz w:val="24"/>
          <w:szCs w:val="24"/>
          <w:rtl/>
        </w:rPr>
        <w:t>،</w:t>
      </w:r>
      <w:r w:rsidRPr="005675B2">
        <w:rPr>
          <w:rFonts w:hint="cs"/>
          <w:sz w:val="24"/>
          <w:szCs w:val="24"/>
          <w:rtl/>
        </w:rPr>
        <w:t xml:space="preserve"> أو باب في سرعة السير </w:t>
      </w:r>
      <w:r w:rsidR="000636C2">
        <w:rPr>
          <w:rFonts w:hint="cs"/>
          <w:sz w:val="24"/>
          <w:szCs w:val="24"/>
          <w:rtl/>
        </w:rPr>
        <w:t>(</w:t>
      </w:r>
      <w:r w:rsidRPr="005675B2">
        <w:rPr>
          <w:rFonts w:hint="cs"/>
          <w:sz w:val="24"/>
          <w:szCs w:val="24"/>
          <w:rtl/>
        </w:rPr>
        <w:t>في طبعة أخرى</w:t>
      </w:r>
      <w:r w:rsidR="000636C2">
        <w:rPr>
          <w:rFonts w:hint="cs"/>
          <w:sz w:val="24"/>
          <w:szCs w:val="24"/>
          <w:rtl/>
        </w:rPr>
        <w:t>)،</w:t>
      </w:r>
      <w:r w:rsidRPr="005675B2">
        <w:rPr>
          <w:rFonts w:hint="cs"/>
          <w:rtl/>
        </w:rPr>
        <w:t>]</w:t>
      </w:r>
      <w:r w:rsidR="000636C2">
        <w:rPr>
          <w:rFonts w:hint="cs"/>
          <w:rtl/>
        </w:rPr>
        <w:t xml:space="preserve">، </w:t>
      </w:r>
      <w:r w:rsidRPr="005675B2">
        <w:rPr>
          <w:rFonts w:hint="cs"/>
          <w:rtl/>
        </w:rPr>
        <w:t>وقال أنس رضي الله عنه</w:t>
      </w:r>
      <w:r w:rsidR="000636C2">
        <w:rPr>
          <w:rFonts w:hint="cs"/>
          <w:rtl/>
        </w:rPr>
        <w:t>:</w:t>
      </w:r>
      <w:r w:rsidRPr="005675B2">
        <w:rPr>
          <w:rFonts w:hint="cs"/>
          <w:rtl/>
        </w:rPr>
        <w:t xml:space="preserve"> لما كان اليوم الذي دخل فيه رسول الله صلى الله عليه وسلم المدينة أضاء من المدينة كل شيء</w:t>
      </w:r>
      <w:r w:rsidR="000636C2">
        <w:rPr>
          <w:rFonts w:hint="cs"/>
          <w:rtl/>
        </w:rPr>
        <w:t>،</w:t>
      </w:r>
      <w:r w:rsidRPr="005675B2">
        <w:rPr>
          <w:rFonts w:hint="cs"/>
          <w:rtl/>
        </w:rPr>
        <w:t xml:space="preserve"> فلما كان اليوم الذي مات فيه رسول الله صلى الله عليه وسلم أظلم من المدينة كل شيء [</w:t>
      </w:r>
      <w:r w:rsidRPr="005675B2">
        <w:rPr>
          <w:rFonts w:hint="cs"/>
          <w:sz w:val="24"/>
          <w:szCs w:val="24"/>
          <w:rtl/>
        </w:rPr>
        <w:t>مسند الإمام أحمد: 3/221</w:t>
      </w:r>
      <w:r w:rsidR="000636C2">
        <w:rPr>
          <w:rFonts w:hint="cs"/>
          <w:sz w:val="24"/>
          <w:szCs w:val="24"/>
          <w:rtl/>
        </w:rPr>
        <w:t>،</w:t>
      </w:r>
      <w:r w:rsidRPr="005675B2">
        <w:rPr>
          <w:rFonts w:hint="cs"/>
          <w:sz w:val="24"/>
          <w:szCs w:val="24"/>
          <w:rtl/>
        </w:rPr>
        <w:t xml:space="preserve"> 268</w:t>
      </w:r>
      <w:r w:rsidR="000636C2">
        <w:rPr>
          <w:rFonts w:hint="cs"/>
          <w:sz w:val="24"/>
          <w:szCs w:val="24"/>
          <w:rtl/>
        </w:rPr>
        <w:t>]</w:t>
      </w:r>
      <w:r w:rsidR="000636C2">
        <w:rPr>
          <w:rFonts w:hint="cs"/>
          <w:rtl/>
        </w:rPr>
        <w:t xml:space="preserve">، </w:t>
      </w:r>
      <w:r w:rsidRPr="005675B2">
        <w:rPr>
          <w:rFonts w:hint="cs"/>
          <w:rtl/>
        </w:rPr>
        <w:t>فهل تفهم - أيها العاقل المستبصر</w:t>
      </w:r>
      <w:r w:rsidR="000636C2">
        <w:rPr>
          <w:rFonts w:hint="cs"/>
          <w:rtl/>
        </w:rPr>
        <w:t xml:space="preserve"> </w:t>
      </w:r>
      <w:r w:rsidRPr="005675B2">
        <w:rPr>
          <w:rFonts w:hint="cs"/>
          <w:rtl/>
        </w:rPr>
        <w:t>- من ظواهر الألفاظ أن الخطيئة تغسل بالماء والثلج والبرد</w:t>
      </w:r>
      <w:r w:rsidR="000636C2">
        <w:rPr>
          <w:rFonts w:hint="cs"/>
          <w:rtl/>
        </w:rPr>
        <w:t>؟!</w:t>
      </w:r>
      <w:r w:rsidRPr="005675B2">
        <w:rPr>
          <w:rFonts w:hint="cs"/>
          <w:rtl/>
        </w:rPr>
        <w:t xml:space="preserve"> وأن الكافر يأكل في سبعة أمعاء بينما المؤمن يأكل في معى واحد</w:t>
      </w:r>
      <w:r w:rsidR="000636C2">
        <w:rPr>
          <w:rFonts w:hint="cs"/>
          <w:rtl/>
        </w:rPr>
        <w:t>؟!</w:t>
      </w:r>
      <w:r w:rsidRPr="005675B2">
        <w:rPr>
          <w:rFonts w:hint="cs"/>
          <w:rtl/>
        </w:rPr>
        <w:t xml:space="preserve"> وهل تعض على السنة النبوية بنواجذك التي تعض بها على اللقمة</w:t>
      </w:r>
      <w:r w:rsidR="000636C2">
        <w:rPr>
          <w:rFonts w:hint="cs"/>
          <w:rtl/>
        </w:rPr>
        <w:t>؟!</w:t>
      </w:r>
      <w:r w:rsidRPr="005675B2">
        <w:rPr>
          <w:rFonts w:hint="cs"/>
          <w:rtl/>
        </w:rPr>
        <w:t xml:space="preserve"> وهل أضاءت المدينة المنورة يوم دخوله صلى الله عليه وسلم إليها إضاءة النهار وأظلمت يوم وفاته ظلام الليل</w:t>
      </w:r>
      <w:r w:rsidR="000636C2">
        <w:rPr>
          <w:rFonts w:hint="cs"/>
          <w:rtl/>
        </w:rPr>
        <w:t>؟،</w:t>
      </w:r>
      <w:r w:rsidRPr="005675B2">
        <w:rPr>
          <w:rFonts w:hint="cs"/>
          <w:rtl/>
        </w:rPr>
        <w:t xml:space="preserve"> فإذا فهمت النصوص بغير ظواهر الألفاظ المقطوعة عن السياق فهذا هو </w:t>
      </w:r>
      <w:r w:rsidR="000636C2">
        <w:rPr>
          <w:rFonts w:hint="cs"/>
          <w:rtl/>
        </w:rPr>
        <w:t>[</w:t>
      </w:r>
      <w:r w:rsidRPr="005675B2">
        <w:rPr>
          <w:rFonts w:hint="cs"/>
          <w:rtl/>
        </w:rPr>
        <w:t>التأويل</w:t>
      </w:r>
      <w:r w:rsidR="000636C2">
        <w:rPr>
          <w:rFonts w:hint="cs"/>
          <w:rtl/>
        </w:rPr>
        <w:t>]</w:t>
      </w:r>
      <w:r w:rsidRPr="005675B2">
        <w:rPr>
          <w:rFonts w:hint="cs"/>
          <w:rtl/>
        </w:rPr>
        <w:t xml:space="preserve"> عند الأشاعرة</w:t>
      </w:r>
      <w:r w:rsidR="000636C2">
        <w:rPr>
          <w:rFonts w:hint="cs"/>
          <w:rtl/>
        </w:rPr>
        <w:t xml:space="preserve">، </w:t>
      </w:r>
      <w:r w:rsidRPr="005675B2">
        <w:rPr>
          <w:rFonts w:hint="cs"/>
          <w:rtl/>
        </w:rPr>
        <w:t>8</w:t>
      </w:r>
      <w:r w:rsidR="000636C2">
        <w:rPr>
          <w:rFonts w:hint="cs"/>
          <w:rtl/>
        </w:rPr>
        <w:t xml:space="preserve"> </w:t>
      </w:r>
      <w:r w:rsidRPr="005675B2">
        <w:rPr>
          <w:rFonts w:hint="cs"/>
          <w:rtl/>
        </w:rPr>
        <w:t>- قال رسول الله صلى عليه وسلم</w:t>
      </w:r>
      <w:r w:rsidR="000636C2">
        <w:rPr>
          <w:rFonts w:hint="cs"/>
          <w:rtl/>
        </w:rPr>
        <w:t>:</w:t>
      </w:r>
      <w:r w:rsidRPr="005675B2">
        <w:rPr>
          <w:rFonts w:hint="cs"/>
          <w:rtl/>
        </w:rPr>
        <w:t xml:space="preserve"> </w:t>
      </w:r>
      <w:r w:rsidR="000636C2">
        <w:rPr>
          <w:rFonts w:hint="cs"/>
          <w:rtl/>
        </w:rPr>
        <w:t>[</w:t>
      </w:r>
      <w:r w:rsidRPr="005675B2">
        <w:rPr>
          <w:rFonts w:hint="cs"/>
          <w:rtl/>
        </w:rPr>
        <w:t>عليكم بما تطيقون</w:t>
      </w:r>
      <w:r w:rsidR="000636C2">
        <w:rPr>
          <w:rFonts w:hint="cs"/>
          <w:rtl/>
        </w:rPr>
        <w:t>،</w:t>
      </w:r>
      <w:r w:rsidRPr="005675B2">
        <w:rPr>
          <w:rFonts w:hint="cs"/>
          <w:rtl/>
        </w:rPr>
        <w:t xml:space="preserve"> فو الله لا يمل الله حتى تملوا</w:t>
      </w:r>
      <w:r w:rsidR="000636C2">
        <w:rPr>
          <w:rFonts w:hint="cs"/>
          <w:rtl/>
        </w:rPr>
        <w:t>]</w:t>
      </w:r>
      <w:r w:rsidRPr="005675B2">
        <w:rPr>
          <w:rFonts w:hint="cs"/>
          <w:rtl/>
        </w:rPr>
        <w:t xml:space="preserve"> [</w:t>
      </w:r>
      <w:r w:rsidRPr="005675B2">
        <w:rPr>
          <w:rFonts w:hint="cs"/>
          <w:sz w:val="24"/>
          <w:szCs w:val="24"/>
          <w:rtl/>
        </w:rPr>
        <w:t>صحيح البخاري: كتاب الإيمان</w:t>
      </w:r>
      <w:r w:rsidR="000636C2">
        <w:rPr>
          <w:rFonts w:hint="cs"/>
          <w:sz w:val="24"/>
          <w:szCs w:val="24"/>
          <w:rtl/>
        </w:rPr>
        <w:t>،</w:t>
      </w:r>
      <w:r w:rsidRPr="005675B2">
        <w:rPr>
          <w:rFonts w:hint="cs"/>
          <w:sz w:val="24"/>
          <w:szCs w:val="24"/>
          <w:rtl/>
        </w:rPr>
        <w:t xml:space="preserve"> باب أحب الدين إلى الله أدومه</w:t>
      </w:r>
      <w:r w:rsidR="000636C2">
        <w:rPr>
          <w:rFonts w:hint="cs"/>
          <w:sz w:val="24"/>
          <w:szCs w:val="24"/>
          <w:rtl/>
        </w:rPr>
        <w:t>]</w:t>
      </w:r>
      <w:r w:rsidR="000636C2">
        <w:rPr>
          <w:rFonts w:hint="cs"/>
          <w:rtl/>
        </w:rPr>
        <w:t xml:space="preserve">، </w:t>
      </w:r>
      <w:r w:rsidRPr="005675B2">
        <w:rPr>
          <w:rFonts w:hint="cs"/>
          <w:rtl/>
        </w:rPr>
        <w:t>فهل الله سبحانه وتعالى يَمَلُّ</w:t>
      </w:r>
      <w:r w:rsidR="000636C2">
        <w:rPr>
          <w:rFonts w:hint="cs"/>
          <w:rtl/>
        </w:rPr>
        <w:t>؟</w:t>
      </w:r>
      <w:r w:rsidRPr="005675B2">
        <w:rPr>
          <w:rFonts w:hint="cs"/>
          <w:rtl/>
        </w:rPr>
        <w:t xml:space="preserve"> نعوذ بالله من أن يقول قائل إن الله يدركه الملل</w:t>
      </w:r>
      <w:r w:rsidR="000636C2">
        <w:rPr>
          <w:rFonts w:hint="cs"/>
          <w:rtl/>
        </w:rPr>
        <w:t>!</w:t>
      </w:r>
      <w:r w:rsidRPr="005675B2">
        <w:rPr>
          <w:rFonts w:hint="cs"/>
          <w:rtl/>
        </w:rPr>
        <w:t xml:space="preserve"> فالملل من صفات المخلوقين</w:t>
      </w:r>
      <w:r w:rsidR="000636C2">
        <w:rPr>
          <w:rFonts w:hint="cs"/>
          <w:rtl/>
        </w:rPr>
        <w:t>،</w:t>
      </w:r>
      <w:r w:rsidRPr="005675B2">
        <w:rPr>
          <w:rFonts w:hint="cs"/>
          <w:rtl/>
        </w:rPr>
        <w:t xml:space="preserve"> وجل ربنا وتقدس عن أن يوصف بما يختص به المخلوق من صفة</w:t>
      </w:r>
      <w:r w:rsidR="000636C2">
        <w:rPr>
          <w:rFonts w:hint="cs"/>
          <w:rtl/>
        </w:rPr>
        <w:t xml:space="preserve">، </w:t>
      </w:r>
      <w:r w:rsidRPr="005675B2">
        <w:rPr>
          <w:rFonts w:hint="cs"/>
          <w:rtl/>
        </w:rPr>
        <w:t>قال الحافظ ابن حجر رحمه الله تعالى</w:t>
      </w:r>
      <w:r w:rsidR="000636C2">
        <w:rPr>
          <w:rFonts w:hint="cs"/>
          <w:rtl/>
        </w:rPr>
        <w:t>:</w:t>
      </w:r>
      <w:r w:rsidRPr="005675B2">
        <w:rPr>
          <w:rFonts w:hint="cs"/>
          <w:rtl/>
        </w:rPr>
        <w:t xml:space="preserve"> والملال</w:t>
      </w:r>
      <w:r w:rsidR="000636C2">
        <w:rPr>
          <w:rFonts w:hint="cs"/>
          <w:rtl/>
        </w:rPr>
        <w:t>:</w:t>
      </w:r>
      <w:r w:rsidRPr="005675B2">
        <w:rPr>
          <w:rFonts w:hint="cs"/>
          <w:rtl/>
        </w:rPr>
        <w:t xml:space="preserve"> استثقال الشيء ونفور النفس عنه بعد محبته</w:t>
      </w:r>
      <w:r w:rsidR="000636C2">
        <w:rPr>
          <w:rFonts w:hint="cs"/>
          <w:rtl/>
        </w:rPr>
        <w:t>،</w:t>
      </w:r>
      <w:r w:rsidRPr="005675B2">
        <w:rPr>
          <w:rFonts w:hint="cs"/>
          <w:rtl/>
        </w:rPr>
        <w:t xml:space="preserve"> وهو محال على الله تعالى باتفاق</w:t>
      </w:r>
      <w:r w:rsidR="000636C2">
        <w:rPr>
          <w:rFonts w:hint="cs"/>
          <w:rtl/>
        </w:rPr>
        <w:t>،</w:t>
      </w:r>
      <w:r w:rsidRPr="005675B2">
        <w:rPr>
          <w:rFonts w:hint="cs"/>
          <w:rtl/>
        </w:rPr>
        <w:t xml:space="preserve"> ونقل عن الإسماعيلي وجماعة من المحققين أنه إنما أطلق هذا على جهة المقابلة اللفظية مجازاً</w:t>
      </w:r>
      <w:r w:rsidR="000636C2">
        <w:rPr>
          <w:rFonts w:hint="cs"/>
          <w:rtl/>
        </w:rPr>
        <w:t>،</w:t>
      </w:r>
      <w:r w:rsidRPr="005675B2">
        <w:rPr>
          <w:rFonts w:hint="cs"/>
          <w:rtl/>
        </w:rPr>
        <w:t xml:space="preserve"> ثم نقل عن القرطبي أنه قال</w:t>
      </w:r>
      <w:r w:rsidR="000636C2">
        <w:rPr>
          <w:rFonts w:hint="cs"/>
          <w:rtl/>
        </w:rPr>
        <w:t>:</w:t>
      </w:r>
      <w:r w:rsidRPr="005675B2">
        <w:rPr>
          <w:rFonts w:hint="cs"/>
          <w:rtl/>
        </w:rPr>
        <w:t xml:space="preserve"> وجه مجازه أنه تعالى لما كان يقطع ثوابه عمن يقطع العمل ملالاً عبر عن ذلك بالملال من باب تسمية الشيء باسم سببه [</w:t>
      </w:r>
      <w:r w:rsidRPr="005675B2">
        <w:rPr>
          <w:rFonts w:hint="cs"/>
          <w:sz w:val="24"/>
          <w:szCs w:val="24"/>
          <w:rtl/>
        </w:rPr>
        <w:t>فتح الباري: 1/102</w:t>
      </w:r>
      <w:r w:rsidR="000636C2">
        <w:rPr>
          <w:rFonts w:hint="cs"/>
          <w:sz w:val="24"/>
          <w:szCs w:val="24"/>
          <w:rtl/>
        </w:rPr>
        <w:t>]</w:t>
      </w:r>
      <w:r w:rsidR="000636C2">
        <w:rPr>
          <w:rFonts w:hint="cs"/>
          <w:rtl/>
        </w:rPr>
        <w:t xml:space="preserve">، </w:t>
      </w:r>
      <w:r w:rsidRPr="005675B2">
        <w:rPr>
          <w:rFonts w:hint="cs"/>
          <w:rtl/>
        </w:rPr>
        <w:t>ونعوذ بالله من أن يقول قائل إن للهِ مللاً يليق به لا يشبه ملل المخلوقين</w:t>
      </w:r>
      <w:r w:rsidR="000636C2">
        <w:rPr>
          <w:rFonts w:hint="cs"/>
          <w:rtl/>
        </w:rPr>
        <w:t>،</w:t>
      </w:r>
      <w:r w:rsidRPr="005675B2">
        <w:rPr>
          <w:rFonts w:hint="cs"/>
          <w:rtl/>
        </w:rPr>
        <w:t xml:space="preserve"> متذرعاً بأنه يثبت لله تبارك وتعالى ما أثبته له رسوله صلى الله عليه وسلم مع نفي التشبيه</w:t>
      </w:r>
      <w:r w:rsidR="000636C2">
        <w:rPr>
          <w:rFonts w:hint="cs"/>
          <w:rtl/>
        </w:rPr>
        <w:t>!</w:t>
      </w:r>
      <w:r w:rsidRPr="005675B2">
        <w:rPr>
          <w:rFonts w:hint="cs"/>
          <w:rtl/>
        </w:rPr>
        <w:t xml:space="preserve"> فهل يوصف الله تبارك وتعالى بصفة نقص ثم يقال </w:t>
      </w:r>
      <w:r w:rsidR="000636C2">
        <w:rPr>
          <w:rFonts w:hint="cs"/>
          <w:rtl/>
        </w:rPr>
        <w:t>[</w:t>
      </w:r>
      <w:r w:rsidRPr="005675B2">
        <w:rPr>
          <w:rFonts w:hint="cs"/>
          <w:rtl/>
        </w:rPr>
        <w:t>مع نفي التشبيه</w:t>
      </w:r>
      <w:r w:rsidR="000636C2">
        <w:rPr>
          <w:rFonts w:hint="cs"/>
          <w:rtl/>
        </w:rPr>
        <w:t xml:space="preserve">]؟، </w:t>
      </w:r>
      <w:r w:rsidRPr="005675B2">
        <w:rPr>
          <w:rFonts w:hint="cs"/>
          <w:rtl/>
        </w:rPr>
        <w:t>9</w:t>
      </w:r>
      <w:r w:rsidR="000636C2">
        <w:rPr>
          <w:rFonts w:hint="cs"/>
          <w:rtl/>
        </w:rPr>
        <w:t xml:space="preserve"> </w:t>
      </w:r>
      <w:r w:rsidRPr="005675B2">
        <w:rPr>
          <w:rFonts w:hint="cs"/>
          <w:rtl/>
        </w:rPr>
        <w:t>- روى البخاري من طريق مسروق بن الأجدع عن عائشة رضي الله عنها أن بعض أزواج النبي صلى الله عليه وسلم قلن للنبي صلى الله عليه وسلم</w:t>
      </w:r>
      <w:r w:rsidR="000636C2">
        <w:rPr>
          <w:rFonts w:hint="cs"/>
          <w:rtl/>
        </w:rPr>
        <w:t>:</w:t>
      </w:r>
      <w:r w:rsidRPr="005675B2">
        <w:rPr>
          <w:rFonts w:hint="cs"/>
          <w:rtl/>
        </w:rPr>
        <w:t xml:space="preserve"> أينا أسرع بك لُحُوقاً</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أطولكن يداً</w:t>
      </w:r>
      <w:r w:rsidR="000636C2">
        <w:rPr>
          <w:rFonts w:hint="cs"/>
          <w:rtl/>
        </w:rPr>
        <w:t>]،</w:t>
      </w:r>
      <w:r w:rsidRPr="005675B2">
        <w:rPr>
          <w:rFonts w:hint="cs"/>
          <w:rtl/>
        </w:rPr>
        <w:t xml:space="preserve"> فأخذوا قصبة يذرعونها</w:t>
      </w:r>
      <w:r w:rsidR="000636C2">
        <w:rPr>
          <w:rFonts w:hint="cs"/>
          <w:rtl/>
        </w:rPr>
        <w:t>،</w:t>
      </w:r>
      <w:r w:rsidRPr="005675B2">
        <w:rPr>
          <w:rFonts w:hint="cs"/>
          <w:rtl/>
        </w:rPr>
        <w:t xml:space="preserve"> فكانت</w:t>
      </w:r>
      <w:r w:rsidR="000636C2">
        <w:rPr>
          <w:rFonts w:hint="cs"/>
          <w:rtl/>
        </w:rPr>
        <w:t xml:space="preserve"> </w:t>
      </w:r>
      <w:r w:rsidRPr="005675B2">
        <w:rPr>
          <w:rFonts w:hint="cs"/>
          <w:rtl/>
        </w:rPr>
        <w:t>…</w:t>
      </w:r>
      <w:r w:rsidR="000636C2">
        <w:rPr>
          <w:rFonts w:hint="cs"/>
          <w:rtl/>
        </w:rPr>
        <w:t xml:space="preserve"> </w:t>
      </w:r>
      <w:r w:rsidRPr="005675B2">
        <w:rPr>
          <w:rFonts w:hint="cs"/>
          <w:rtl/>
        </w:rPr>
        <w:t>أطولَهن يداً</w:t>
      </w:r>
      <w:r w:rsidR="000636C2">
        <w:rPr>
          <w:rFonts w:hint="cs"/>
          <w:rtl/>
        </w:rPr>
        <w:t>،</w:t>
      </w:r>
      <w:r w:rsidRPr="005675B2">
        <w:rPr>
          <w:rFonts w:hint="cs"/>
          <w:rtl/>
        </w:rPr>
        <w:t xml:space="preserve"> فعلمنا بعدُ أنما كانت طولَ يدها الصدقة</w:t>
      </w:r>
      <w:r w:rsidR="000636C2">
        <w:rPr>
          <w:rFonts w:hint="cs"/>
          <w:rtl/>
        </w:rPr>
        <w:t>،</w:t>
      </w:r>
      <w:r w:rsidRPr="005675B2">
        <w:rPr>
          <w:rFonts w:hint="cs"/>
          <w:rtl/>
        </w:rPr>
        <w:t xml:space="preserve"> وكانت أسرعَنا لحوقاً به</w:t>
      </w:r>
      <w:r w:rsidR="000636C2">
        <w:rPr>
          <w:rFonts w:hint="cs"/>
          <w:rtl/>
        </w:rPr>
        <w:t>،</w:t>
      </w:r>
      <w:r w:rsidRPr="005675B2">
        <w:rPr>
          <w:rFonts w:hint="cs"/>
          <w:rtl/>
        </w:rPr>
        <w:t xml:space="preserve"> وكانت تحب الصـدقة</w:t>
      </w:r>
      <w:r w:rsidR="000636C2">
        <w:rPr>
          <w:rFonts w:hint="cs"/>
          <w:rtl/>
        </w:rPr>
        <w:t xml:space="preserve"> [</w:t>
      </w:r>
      <w:r w:rsidRPr="005675B2">
        <w:rPr>
          <w:rFonts w:hint="cs"/>
          <w:sz w:val="24"/>
          <w:szCs w:val="24"/>
          <w:rtl/>
        </w:rPr>
        <w:t>صحيح البخاري: كتاب الزكاة</w:t>
      </w:r>
      <w:r w:rsidR="000636C2">
        <w:rPr>
          <w:rFonts w:hint="cs"/>
          <w:sz w:val="24"/>
          <w:szCs w:val="24"/>
          <w:rtl/>
        </w:rPr>
        <w:t>،</w:t>
      </w:r>
      <w:r w:rsidRPr="005675B2">
        <w:rPr>
          <w:rFonts w:hint="cs"/>
          <w:sz w:val="24"/>
          <w:szCs w:val="24"/>
          <w:rtl/>
        </w:rPr>
        <w:t xml:space="preserve"> باب فضل صدقة الشحيح الصحيح. وانظر الحديث في طبعة فتح الباري: 3/285 </w:t>
      </w:r>
      <w:r w:rsidRPr="005675B2">
        <w:rPr>
          <w:sz w:val="24"/>
          <w:szCs w:val="24"/>
        </w:rPr>
        <w:t>–</w:t>
      </w:r>
      <w:r w:rsidRPr="005675B2">
        <w:rPr>
          <w:rFonts w:hint="cs"/>
          <w:sz w:val="24"/>
          <w:szCs w:val="24"/>
          <w:rtl/>
        </w:rPr>
        <w:t xml:space="preserve"> 286</w:t>
      </w:r>
      <w:r w:rsidR="000636C2">
        <w:rPr>
          <w:rFonts w:hint="cs"/>
          <w:sz w:val="24"/>
          <w:szCs w:val="24"/>
          <w:rtl/>
        </w:rPr>
        <w:t>]</w:t>
      </w:r>
      <w:r w:rsidR="000636C2">
        <w:rPr>
          <w:rFonts w:hint="cs"/>
          <w:rtl/>
        </w:rPr>
        <w:t xml:space="preserve">، </w:t>
      </w:r>
      <w:r w:rsidRPr="005675B2">
        <w:rPr>
          <w:rFonts w:hint="cs"/>
          <w:rtl/>
        </w:rPr>
        <w:t>وروى مسلم من طريق عائشة بنت طلحة عن عائشة أم المؤمنين أنها قالت</w:t>
      </w:r>
      <w:r w:rsidR="000636C2">
        <w:rPr>
          <w:rFonts w:hint="cs"/>
          <w:rtl/>
        </w:rPr>
        <w:t>:</w:t>
      </w:r>
      <w:r w:rsidRPr="005675B2">
        <w:rPr>
          <w:rFonts w:hint="cs"/>
          <w:rtl/>
        </w:rPr>
        <w:t xml:space="preserve"> قال 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أسرعكن لَحَاقاً بي أطولكن يداً</w:t>
      </w:r>
      <w:r w:rsidR="000636C2">
        <w:rPr>
          <w:rFonts w:hint="cs"/>
          <w:rtl/>
        </w:rPr>
        <w:t>]،</w:t>
      </w:r>
      <w:r w:rsidRPr="005675B2">
        <w:rPr>
          <w:rFonts w:hint="cs"/>
          <w:rtl/>
        </w:rPr>
        <w:t xml:space="preserve"> قالت</w:t>
      </w:r>
      <w:r w:rsidR="000636C2">
        <w:rPr>
          <w:rFonts w:hint="cs"/>
          <w:rtl/>
        </w:rPr>
        <w:t>:</w:t>
      </w:r>
      <w:r w:rsidRPr="005675B2">
        <w:rPr>
          <w:rFonts w:hint="cs"/>
          <w:rtl/>
        </w:rPr>
        <w:t xml:space="preserve"> فكن يتطاولن أيتهن أطول يداً</w:t>
      </w:r>
      <w:r w:rsidR="000636C2">
        <w:rPr>
          <w:rFonts w:hint="cs"/>
          <w:rtl/>
        </w:rPr>
        <w:t>،</w:t>
      </w:r>
      <w:r w:rsidRPr="005675B2">
        <w:rPr>
          <w:rFonts w:hint="cs"/>
          <w:rtl/>
        </w:rPr>
        <w:t xml:space="preserve"> قالت</w:t>
      </w:r>
      <w:r w:rsidR="000636C2">
        <w:rPr>
          <w:rFonts w:hint="cs"/>
          <w:rtl/>
        </w:rPr>
        <w:t>:</w:t>
      </w:r>
      <w:r w:rsidRPr="005675B2">
        <w:rPr>
          <w:rFonts w:hint="cs"/>
          <w:rtl/>
        </w:rPr>
        <w:t xml:space="preserve"> فكانت أطولنا يداً زينب</w:t>
      </w:r>
      <w:r w:rsidR="000636C2">
        <w:rPr>
          <w:rFonts w:hint="cs"/>
          <w:rtl/>
        </w:rPr>
        <w:t>،</w:t>
      </w:r>
      <w:r w:rsidRPr="005675B2">
        <w:rPr>
          <w:rFonts w:hint="cs"/>
          <w:rtl/>
        </w:rPr>
        <w:t xml:space="preserve"> لأنها كانت تعمل بيدها وتصَّدَّق </w:t>
      </w:r>
      <w:r w:rsidR="000636C2">
        <w:rPr>
          <w:rFonts w:hint="cs"/>
          <w:rtl/>
        </w:rPr>
        <w:t>[</w:t>
      </w:r>
      <w:r w:rsidRPr="005675B2">
        <w:rPr>
          <w:rFonts w:hint="cs"/>
          <w:sz w:val="24"/>
          <w:szCs w:val="24"/>
          <w:rtl/>
        </w:rPr>
        <w:t>صحيح مسلم: فضائل الصحابة</w:t>
      </w:r>
      <w:r w:rsidR="000636C2">
        <w:rPr>
          <w:rFonts w:hint="cs"/>
          <w:sz w:val="24"/>
          <w:szCs w:val="24"/>
          <w:rtl/>
        </w:rPr>
        <w:t>،</w:t>
      </w:r>
      <w:r w:rsidRPr="005675B2">
        <w:rPr>
          <w:rFonts w:hint="cs"/>
          <w:sz w:val="24"/>
          <w:szCs w:val="24"/>
          <w:rtl/>
        </w:rPr>
        <w:t xml:space="preserve"> من فضائل زينب: 4/1907</w:t>
      </w:r>
      <w:r w:rsidR="000636C2">
        <w:rPr>
          <w:rFonts w:hint="cs"/>
          <w:sz w:val="24"/>
          <w:szCs w:val="24"/>
          <w:rtl/>
        </w:rPr>
        <w:t>]</w:t>
      </w:r>
      <w:r w:rsidR="000636C2">
        <w:rPr>
          <w:rFonts w:hint="cs"/>
          <w:rtl/>
        </w:rPr>
        <w:t xml:space="preserve">، </w:t>
      </w:r>
      <w:r w:rsidRPr="005675B2">
        <w:rPr>
          <w:rFonts w:hint="cs"/>
          <w:rtl/>
        </w:rPr>
        <w:t>وروى الحاكم من طريق عمرة بنت عبد الرحمن عن عائشة أنها قالت</w:t>
      </w:r>
      <w:r w:rsidR="000636C2">
        <w:rPr>
          <w:rFonts w:hint="cs"/>
          <w:rtl/>
        </w:rPr>
        <w:t>:</w:t>
      </w:r>
      <w:r w:rsidRPr="005675B2">
        <w:rPr>
          <w:rFonts w:hint="cs"/>
          <w:rtl/>
        </w:rPr>
        <w:t xml:space="preserve"> قال رسول الله صلى الله عليه وسلم لأزواجه</w:t>
      </w:r>
      <w:r w:rsidR="000636C2">
        <w:rPr>
          <w:rFonts w:hint="cs"/>
          <w:rtl/>
        </w:rPr>
        <w:t>:</w:t>
      </w:r>
      <w:r w:rsidRPr="005675B2">
        <w:rPr>
          <w:rFonts w:hint="cs"/>
          <w:rtl/>
        </w:rPr>
        <w:t xml:space="preserve"> </w:t>
      </w:r>
      <w:r w:rsidR="000636C2">
        <w:rPr>
          <w:rFonts w:hint="cs"/>
          <w:rtl/>
        </w:rPr>
        <w:t>[</w:t>
      </w:r>
      <w:r w:rsidRPr="005675B2">
        <w:rPr>
          <w:rFonts w:hint="cs"/>
          <w:rtl/>
        </w:rPr>
        <w:t>أسرعكن لحوقاً بي أطولكن يداً</w:t>
      </w:r>
      <w:r w:rsidR="000636C2">
        <w:rPr>
          <w:rFonts w:hint="cs"/>
          <w:rtl/>
        </w:rPr>
        <w:t>]،</w:t>
      </w:r>
      <w:r w:rsidRPr="005675B2">
        <w:rPr>
          <w:rFonts w:hint="cs"/>
          <w:rtl/>
        </w:rPr>
        <w:t xml:space="preserve"> قالت عائشة</w:t>
      </w:r>
      <w:r w:rsidR="000636C2">
        <w:rPr>
          <w:rFonts w:hint="cs"/>
          <w:rtl/>
        </w:rPr>
        <w:t>:</w:t>
      </w:r>
      <w:r w:rsidRPr="005675B2">
        <w:rPr>
          <w:rFonts w:hint="cs"/>
          <w:rtl/>
        </w:rPr>
        <w:t xml:space="preserve"> فكنا إذا اجتمعنا في بيت إحدانا بعد وفاة رسول الله صلى الله عليه وسلم نمد أيدينا في الجدار</w:t>
      </w:r>
      <w:r w:rsidR="000636C2">
        <w:rPr>
          <w:rFonts w:hint="cs"/>
          <w:rtl/>
        </w:rPr>
        <w:t>،</w:t>
      </w:r>
      <w:r w:rsidRPr="005675B2">
        <w:rPr>
          <w:rFonts w:hint="cs"/>
          <w:rtl/>
        </w:rPr>
        <w:t xml:space="preserve"> نتطاول</w:t>
      </w:r>
      <w:r w:rsidR="000636C2">
        <w:rPr>
          <w:rFonts w:hint="cs"/>
          <w:rtl/>
        </w:rPr>
        <w:t>،</w:t>
      </w:r>
      <w:r w:rsidRPr="005675B2">
        <w:rPr>
          <w:rFonts w:hint="cs"/>
          <w:rtl/>
        </w:rPr>
        <w:t xml:space="preserve"> فلم نزل نفعل ذلك حتى توفيت زينب بنت جحش</w:t>
      </w:r>
      <w:r w:rsidR="000636C2">
        <w:rPr>
          <w:rFonts w:hint="cs"/>
          <w:rtl/>
        </w:rPr>
        <w:t>،</w:t>
      </w:r>
      <w:r w:rsidRPr="005675B2">
        <w:rPr>
          <w:rFonts w:hint="cs"/>
          <w:rtl/>
        </w:rPr>
        <w:t xml:space="preserve"> وكانت امرأة قصيرة</w:t>
      </w:r>
      <w:r w:rsidR="000636C2">
        <w:rPr>
          <w:rFonts w:hint="cs"/>
          <w:rtl/>
        </w:rPr>
        <w:t>،</w:t>
      </w:r>
      <w:r w:rsidRPr="005675B2">
        <w:rPr>
          <w:rFonts w:hint="cs"/>
          <w:rtl/>
        </w:rPr>
        <w:t xml:space="preserve"> ولم تكن أطولنا</w:t>
      </w:r>
      <w:r w:rsidR="000636C2">
        <w:rPr>
          <w:rFonts w:hint="cs"/>
          <w:rtl/>
        </w:rPr>
        <w:t>،</w:t>
      </w:r>
      <w:r w:rsidRPr="005675B2">
        <w:rPr>
          <w:rFonts w:hint="cs"/>
          <w:rtl/>
        </w:rPr>
        <w:t xml:space="preserve"> فعرفنا حينئذٍ أن النبي صلى الله عليه وسلم إنما أراد بطول اليد الصدقة</w:t>
      </w:r>
      <w:r w:rsidR="000636C2">
        <w:rPr>
          <w:rFonts w:hint="cs"/>
          <w:rtl/>
        </w:rPr>
        <w:t xml:space="preserve"> </w:t>
      </w:r>
      <w:r w:rsidRPr="005675B2">
        <w:rPr>
          <w:rFonts w:hint="cs"/>
          <w:rtl/>
        </w:rPr>
        <w:t>[</w:t>
      </w:r>
      <w:r w:rsidRPr="005675B2">
        <w:rPr>
          <w:rFonts w:hint="cs"/>
          <w:sz w:val="24"/>
          <w:szCs w:val="24"/>
          <w:rtl/>
        </w:rPr>
        <w:t>المستدرك للحاكم: 4/25 . طبقات ابن سعد: 8/108 بنحوه</w:t>
      </w:r>
      <w:r w:rsidR="000636C2">
        <w:rPr>
          <w:rFonts w:hint="cs"/>
          <w:sz w:val="24"/>
          <w:szCs w:val="24"/>
          <w:rtl/>
        </w:rPr>
        <w:t>]</w:t>
      </w:r>
      <w:r w:rsidR="000636C2">
        <w:rPr>
          <w:rFonts w:hint="cs"/>
          <w:rtl/>
        </w:rPr>
        <w:t xml:space="preserve">، </w:t>
      </w:r>
      <w:r w:rsidRPr="005675B2">
        <w:rPr>
          <w:rFonts w:hint="cs"/>
          <w:rtl/>
        </w:rPr>
        <w:t xml:space="preserve">المعنى الظاهر من قوله صلى الله عليه وسلم </w:t>
      </w:r>
      <w:r w:rsidR="000636C2">
        <w:rPr>
          <w:rFonts w:hint="cs"/>
          <w:rtl/>
        </w:rPr>
        <w:t>[</w:t>
      </w:r>
      <w:r w:rsidRPr="005675B2">
        <w:rPr>
          <w:rFonts w:hint="cs"/>
          <w:rtl/>
        </w:rPr>
        <w:t>أسرعكن لحوقاً بي أطولكن يداً</w:t>
      </w:r>
      <w:r w:rsidR="000636C2">
        <w:rPr>
          <w:rFonts w:hint="cs"/>
          <w:rtl/>
        </w:rPr>
        <w:t>]</w:t>
      </w:r>
      <w:r w:rsidRPr="005675B2">
        <w:rPr>
          <w:rFonts w:hint="cs"/>
          <w:rtl/>
        </w:rPr>
        <w:t xml:space="preserve"> أن الزوجة التي أعطاها الله تعالى بسطة في الجسم وطول اليد هي أسرع لحاقاً برسول الله صلى الله عليه وسلم بعد وفاته</w:t>
      </w:r>
      <w:r w:rsidR="000636C2">
        <w:rPr>
          <w:rFonts w:hint="cs"/>
          <w:rtl/>
        </w:rPr>
        <w:t>،</w:t>
      </w:r>
      <w:r w:rsidRPr="005675B2">
        <w:rPr>
          <w:rFonts w:hint="cs"/>
          <w:rtl/>
        </w:rPr>
        <w:t xml:space="preserve"> فكانت أمهات المؤمنين يذرعن أيديهن بقصبة</w:t>
      </w:r>
      <w:r w:rsidR="000636C2">
        <w:rPr>
          <w:rFonts w:hint="cs"/>
          <w:rtl/>
        </w:rPr>
        <w:t>،</w:t>
      </w:r>
      <w:r w:rsidRPr="005675B2">
        <w:rPr>
          <w:rFonts w:hint="cs"/>
          <w:rtl/>
        </w:rPr>
        <w:t xml:space="preserve"> أو يمددن أيديهن في الجدار</w:t>
      </w:r>
      <w:r w:rsidR="000636C2">
        <w:rPr>
          <w:rFonts w:hint="cs"/>
          <w:rtl/>
        </w:rPr>
        <w:t>،</w:t>
      </w:r>
      <w:r w:rsidRPr="005675B2">
        <w:rPr>
          <w:rFonts w:hint="cs"/>
          <w:rtl/>
        </w:rPr>
        <w:t xml:space="preserve"> ليعلمن من منهن هي الأطول يداً</w:t>
      </w:r>
      <w:r w:rsidR="000636C2">
        <w:rPr>
          <w:rFonts w:hint="cs"/>
          <w:rtl/>
        </w:rPr>
        <w:t>؟</w:t>
      </w:r>
      <w:r w:rsidRPr="005675B2">
        <w:rPr>
          <w:rFonts w:hint="cs"/>
          <w:rtl/>
        </w:rPr>
        <w:t xml:space="preserve"> وبالتالي من منهن هي الأسرع لحاقاً بالحبيب المصطفى صلى الله عليه وسلم</w:t>
      </w:r>
      <w:r w:rsidR="000636C2">
        <w:rPr>
          <w:rFonts w:hint="cs"/>
          <w:rtl/>
        </w:rPr>
        <w:t xml:space="preserve">؟، </w:t>
      </w:r>
      <w:r w:rsidRPr="005675B2">
        <w:rPr>
          <w:rFonts w:hint="cs"/>
          <w:rtl/>
        </w:rPr>
        <w:t>أليس هذا هو ما يدل عليه الحديث حسب ألفاظه</w:t>
      </w:r>
      <w:r w:rsidR="000636C2">
        <w:rPr>
          <w:rFonts w:hint="cs"/>
          <w:rtl/>
        </w:rPr>
        <w:t>؟!</w:t>
      </w:r>
      <w:r w:rsidRPr="005675B2">
        <w:rPr>
          <w:rFonts w:hint="cs"/>
          <w:rtl/>
        </w:rPr>
        <w:t xml:space="preserve"> أليس هذا هو ما فهمته أمهات المؤمنين من الحديث</w:t>
      </w:r>
      <w:r w:rsidR="000636C2">
        <w:rPr>
          <w:rFonts w:hint="cs"/>
          <w:rtl/>
        </w:rPr>
        <w:t xml:space="preserve">؟، </w:t>
      </w:r>
      <w:r w:rsidRPr="005675B2">
        <w:rPr>
          <w:rFonts w:hint="cs"/>
          <w:rtl/>
        </w:rPr>
        <w:t>ثم لما توفيت زينب بنت جحش قبل غيرها وكانت الأسرعَ لحاقاً به صلى الله عليه وسلم؛ تبين لسائر أمهات المؤمنين أن المراد من الحديث ليس هو المعنى الذي تبادر إلى أفهامهن</w:t>
      </w:r>
      <w:r w:rsidR="000636C2">
        <w:rPr>
          <w:rFonts w:hint="cs"/>
          <w:rtl/>
        </w:rPr>
        <w:t>،</w:t>
      </w:r>
      <w:r w:rsidRPr="005675B2">
        <w:rPr>
          <w:rFonts w:hint="cs"/>
          <w:rtl/>
        </w:rPr>
        <w:t xml:space="preserve"> فزينب امرأة قصيرة</w:t>
      </w:r>
      <w:r w:rsidR="000636C2">
        <w:rPr>
          <w:rFonts w:hint="cs"/>
          <w:rtl/>
        </w:rPr>
        <w:t>،</w:t>
      </w:r>
      <w:r w:rsidRPr="005675B2">
        <w:rPr>
          <w:rFonts w:hint="cs"/>
          <w:rtl/>
        </w:rPr>
        <w:t xml:space="preserve"> ولم تكن أطولهن يداً</w:t>
      </w:r>
      <w:r w:rsidR="000636C2">
        <w:rPr>
          <w:rFonts w:hint="cs"/>
          <w:rtl/>
        </w:rPr>
        <w:t>،</w:t>
      </w:r>
      <w:r w:rsidRPr="005675B2">
        <w:rPr>
          <w:rFonts w:hint="cs"/>
          <w:rtl/>
        </w:rPr>
        <w:t xml:space="preserve"> إلا أنها كانت تحب الصدقة كثيراً</w:t>
      </w:r>
      <w:r w:rsidR="000636C2">
        <w:rPr>
          <w:rFonts w:hint="cs"/>
          <w:rtl/>
        </w:rPr>
        <w:t>،</w:t>
      </w:r>
      <w:r w:rsidRPr="005675B2">
        <w:rPr>
          <w:rFonts w:hint="cs"/>
          <w:rtl/>
        </w:rPr>
        <w:t xml:space="preserve"> وكانت امرأة صَناَعاً</w:t>
      </w:r>
      <w:r w:rsidR="000636C2">
        <w:rPr>
          <w:rFonts w:hint="cs"/>
          <w:rtl/>
        </w:rPr>
        <w:t>،</w:t>
      </w:r>
      <w:r w:rsidRPr="005675B2">
        <w:rPr>
          <w:rFonts w:hint="cs"/>
          <w:rtl/>
        </w:rPr>
        <w:t xml:space="preserve"> فكانت تعمل بيدها وتتصدق</w:t>
      </w:r>
      <w:r w:rsidR="000636C2">
        <w:rPr>
          <w:rFonts w:hint="cs"/>
          <w:rtl/>
        </w:rPr>
        <w:t>،</w:t>
      </w:r>
      <w:r w:rsidRPr="005675B2">
        <w:rPr>
          <w:rFonts w:hint="cs"/>
          <w:rtl/>
        </w:rPr>
        <w:t xml:space="preserve"> فعلمن رضي الله عنهن أن المراد من طول اليد في الحديث كثرة الصدقة</w:t>
      </w:r>
      <w:r w:rsidR="000636C2">
        <w:rPr>
          <w:rFonts w:hint="cs"/>
          <w:rtl/>
        </w:rPr>
        <w:t xml:space="preserve">، </w:t>
      </w:r>
      <w:r w:rsidRPr="005675B2">
        <w:rPr>
          <w:rFonts w:hint="cs"/>
          <w:rtl/>
        </w:rPr>
        <w:t>فهل يمكن أن يأتي نص ويكونَ معناه المراد منه هو غير المعنى الظاهر</w:t>
      </w:r>
      <w:r w:rsidR="000636C2">
        <w:rPr>
          <w:rFonts w:hint="cs"/>
          <w:rtl/>
        </w:rPr>
        <w:t>؟</w:t>
      </w:r>
      <w:r w:rsidRPr="005675B2">
        <w:rPr>
          <w:rFonts w:hint="cs"/>
          <w:rtl/>
        </w:rPr>
        <w:t xml:space="preserve"> أترك </w:t>
      </w:r>
      <w:r w:rsidR="000636C2">
        <w:rPr>
          <w:rFonts w:hint="cs"/>
          <w:rtl/>
        </w:rPr>
        <w:t>[</w:t>
      </w:r>
      <w:r>
        <w:rPr>
          <w:rFonts w:hint="cs"/>
          <w:rtl/>
        </w:rPr>
        <w:t>الجواب</w:t>
      </w:r>
      <w:r w:rsidR="000636C2">
        <w:rPr>
          <w:rFonts w:hint="cs"/>
          <w:rtl/>
        </w:rPr>
        <w:t xml:space="preserve">] </w:t>
      </w:r>
      <w:r w:rsidRPr="005675B2">
        <w:rPr>
          <w:rFonts w:hint="cs"/>
          <w:rtl/>
        </w:rPr>
        <w:t>لأرباب الحِجَى</w:t>
      </w:r>
      <w:r w:rsidR="000636C2">
        <w:rPr>
          <w:rFonts w:hint="cs"/>
          <w:rtl/>
        </w:rPr>
        <w:t xml:space="preserve">، </w:t>
      </w:r>
      <w:r w:rsidRPr="005675B2">
        <w:rPr>
          <w:rFonts w:hint="cs"/>
          <w:rtl/>
        </w:rPr>
        <w:t>10</w:t>
      </w:r>
      <w:r w:rsidR="000636C2">
        <w:rPr>
          <w:rFonts w:hint="cs"/>
          <w:rtl/>
        </w:rPr>
        <w:t xml:space="preserve"> </w:t>
      </w:r>
      <w:r w:rsidRPr="005675B2">
        <w:rPr>
          <w:rFonts w:hint="cs"/>
          <w:rtl/>
        </w:rPr>
        <w:t>- يتهم الباحث الأشاعرة بأنهم قرروا الأصول العقلية بعيداً عن الشرع ولم يذكر مثالاً واحداً على ذلك</w:t>
      </w:r>
      <w:r w:rsidR="000636C2">
        <w:rPr>
          <w:rFonts w:hint="cs"/>
          <w:rtl/>
        </w:rPr>
        <w:t>،</w:t>
      </w:r>
      <w:r w:rsidRPr="005675B2">
        <w:rPr>
          <w:rFonts w:hint="cs"/>
          <w:rtl/>
        </w:rPr>
        <w:t xml:space="preserve"> ولم يأت بدليل على صحة قوله</w:t>
      </w:r>
      <w:r w:rsidR="000636C2">
        <w:rPr>
          <w:rFonts w:hint="cs"/>
          <w:rtl/>
        </w:rPr>
        <w:t>،</w:t>
      </w:r>
      <w:r w:rsidRPr="005675B2">
        <w:rPr>
          <w:rFonts w:hint="cs"/>
          <w:rtl/>
        </w:rPr>
        <w:t xml:space="preserve"> فلا يمكن أن يقبل هذا منه</w:t>
      </w:r>
      <w:r w:rsidR="000636C2">
        <w:rPr>
          <w:rFonts w:hint="cs"/>
          <w:rtl/>
        </w:rPr>
        <w:t>،</w:t>
      </w:r>
      <w:r w:rsidRPr="005675B2">
        <w:rPr>
          <w:rFonts w:hint="cs"/>
          <w:rtl/>
        </w:rPr>
        <w:t xml:space="preserve"> ولولا المطالبة بالدليل لادعى من شاء ما شاء</w:t>
      </w:r>
      <w:r w:rsidR="000636C2">
        <w:rPr>
          <w:rFonts w:hint="cs"/>
          <w:rtl/>
        </w:rPr>
        <w:t xml:space="preserve">، </w:t>
      </w:r>
      <w:r w:rsidRPr="005675B2">
        <w:rPr>
          <w:rFonts w:hint="cs"/>
          <w:rtl/>
        </w:rPr>
        <w:t>11</w:t>
      </w:r>
      <w:r w:rsidR="000636C2">
        <w:rPr>
          <w:rFonts w:hint="cs"/>
          <w:rtl/>
        </w:rPr>
        <w:t xml:space="preserve"> </w:t>
      </w:r>
      <w:r w:rsidRPr="005675B2">
        <w:rPr>
          <w:rFonts w:hint="cs"/>
          <w:rtl/>
        </w:rPr>
        <w:t>- يتوهم الباحث أن التأويل ضروري لمذهب الأشاعرة</w:t>
      </w:r>
      <w:r w:rsidR="000636C2">
        <w:rPr>
          <w:rFonts w:hint="cs"/>
          <w:rtl/>
        </w:rPr>
        <w:t>،</w:t>
      </w:r>
      <w:r w:rsidRPr="005675B2">
        <w:rPr>
          <w:rFonts w:hint="cs"/>
          <w:rtl/>
        </w:rPr>
        <w:t xml:space="preserve"> حيث إنه مهرب عقلي من التناقض الذي اختلقته أوهامهم بين الأصول العقلية والنصوص الشرعية</w:t>
      </w:r>
      <w:r w:rsidR="000636C2">
        <w:rPr>
          <w:rFonts w:hint="cs"/>
          <w:rtl/>
        </w:rPr>
        <w:t>!</w:t>
      </w:r>
      <w:r w:rsidRPr="005675B2">
        <w:rPr>
          <w:rFonts w:hint="cs"/>
          <w:rtl/>
        </w:rPr>
        <w:t xml:space="preserve"> وليس كذلك</w:t>
      </w:r>
      <w:r w:rsidR="000636C2">
        <w:rPr>
          <w:rFonts w:hint="cs"/>
          <w:rtl/>
        </w:rPr>
        <w:t xml:space="preserve">، </w:t>
      </w:r>
      <w:r w:rsidRPr="005675B2">
        <w:rPr>
          <w:rFonts w:hint="cs"/>
          <w:rtl/>
        </w:rPr>
        <w:t>بل فهم النصوص الشرعية بدون تأويل الظواهر التي ليست مرادة للشارع</w:t>
      </w:r>
      <w:r w:rsidR="000636C2">
        <w:rPr>
          <w:rFonts w:hint="cs"/>
          <w:rtl/>
        </w:rPr>
        <w:t>:</w:t>
      </w:r>
      <w:r w:rsidRPr="005675B2">
        <w:rPr>
          <w:rFonts w:hint="cs"/>
          <w:rtl/>
        </w:rPr>
        <w:t xml:space="preserve"> أمر مستحيل</w:t>
      </w:r>
      <w:r w:rsidR="000636C2">
        <w:rPr>
          <w:rFonts w:hint="cs"/>
          <w:rtl/>
        </w:rPr>
        <w:t xml:space="preserve">، </w:t>
      </w:r>
      <w:r w:rsidRPr="005675B2">
        <w:rPr>
          <w:rFonts w:hint="cs"/>
          <w:rtl/>
        </w:rPr>
        <w:t xml:space="preserve">مثال ذلك قوله تعالى </w:t>
      </w:r>
      <w:r w:rsidR="000636C2">
        <w:rPr>
          <w:rFonts w:hint="cs"/>
          <w:rtl/>
        </w:rPr>
        <w:t>[</w:t>
      </w:r>
      <w:r w:rsidRPr="005675B2">
        <w:rPr>
          <w:rFonts w:hint="cs"/>
          <w:rtl/>
        </w:rPr>
        <w:t>فَلَمْ تَقْتُلُوهُمْ وَلَـكِنَّ اللّهَ قَتَلَهُمْ وَمَا رَمَيْتَ إِذْ رَمَيْتَ وَلَـكِنَّ اللّهَ رَمَى</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الأنفال</w:t>
      </w:r>
      <w:r w:rsidR="000636C2">
        <w:rPr>
          <w:rFonts w:hint="cs"/>
          <w:sz w:val="24"/>
          <w:szCs w:val="24"/>
          <w:rtl/>
        </w:rPr>
        <w:t>،</w:t>
      </w:r>
      <w:r w:rsidRPr="005675B2">
        <w:rPr>
          <w:rFonts w:hint="cs"/>
          <w:sz w:val="24"/>
          <w:szCs w:val="24"/>
          <w:rtl/>
        </w:rPr>
        <w:t xml:space="preserve"> الآية 17</w:t>
      </w:r>
      <w:r w:rsidR="000636C2">
        <w:rPr>
          <w:rFonts w:hint="cs"/>
          <w:sz w:val="24"/>
          <w:szCs w:val="24"/>
          <w:rtl/>
        </w:rPr>
        <w:t>]</w:t>
      </w:r>
      <w:r w:rsidR="000636C2">
        <w:rPr>
          <w:rFonts w:hint="cs"/>
          <w:rtl/>
        </w:rPr>
        <w:t>،</w:t>
      </w:r>
      <w:r w:rsidRPr="005675B2">
        <w:rPr>
          <w:rFonts w:hint="cs"/>
          <w:rtl/>
        </w:rPr>
        <w:t xml:space="preserve"> فقد نفى ربنا تبارك وتعالى بقوله </w:t>
      </w:r>
      <w:r w:rsidR="000636C2">
        <w:rPr>
          <w:rFonts w:hint="cs"/>
          <w:rtl/>
        </w:rPr>
        <w:t>[</w:t>
      </w:r>
      <w:r w:rsidRPr="005675B2">
        <w:rPr>
          <w:rFonts w:hint="cs"/>
          <w:rtl/>
        </w:rPr>
        <w:t>فَلَمْ تَقْتُلُوهُمْ</w:t>
      </w:r>
      <w:r w:rsidR="000636C2">
        <w:rPr>
          <w:rFonts w:hint="cs"/>
          <w:rtl/>
        </w:rPr>
        <w:t>]</w:t>
      </w:r>
      <w:r w:rsidRPr="005675B2">
        <w:rPr>
          <w:rFonts w:hint="cs"/>
          <w:rtl/>
        </w:rPr>
        <w:t xml:space="preserve"> أن يكون المؤمنون قتلوا قتلى المشركين يوم بدر</w:t>
      </w:r>
      <w:r w:rsidR="000636C2">
        <w:rPr>
          <w:rFonts w:hint="cs"/>
          <w:rtl/>
        </w:rPr>
        <w:t>،</w:t>
      </w:r>
      <w:r w:rsidRPr="005675B2">
        <w:rPr>
          <w:rFonts w:hint="cs"/>
          <w:rtl/>
        </w:rPr>
        <w:t xml:space="preserve"> والظاهر المشاهد أنهم قتلوهم</w:t>
      </w:r>
      <w:r w:rsidR="000636C2">
        <w:rPr>
          <w:rFonts w:hint="cs"/>
          <w:rtl/>
        </w:rPr>
        <w:t>،</w:t>
      </w:r>
      <w:r w:rsidRPr="005675B2">
        <w:rPr>
          <w:rFonts w:hint="cs"/>
          <w:rtl/>
        </w:rPr>
        <w:t xml:space="preserve"> فهل قتلوهم أو لم يقتلوهم</w:t>
      </w:r>
      <w:r w:rsidR="000636C2">
        <w:rPr>
          <w:rFonts w:hint="cs"/>
          <w:rtl/>
        </w:rPr>
        <w:t xml:space="preserve">؟، </w:t>
      </w:r>
      <w:r w:rsidRPr="005675B2">
        <w:rPr>
          <w:rFonts w:hint="cs"/>
          <w:rtl/>
        </w:rPr>
        <w:t>إن قلت لم يقتلوهم خالفت الواقع المشاهد والظاهر المحسوس</w:t>
      </w:r>
      <w:r w:rsidR="000636C2">
        <w:rPr>
          <w:rFonts w:hint="cs"/>
          <w:rtl/>
        </w:rPr>
        <w:t>،</w:t>
      </w:r>
      <w:r w:rsidRPr="005675B2">
        <w:rPr>
          <w:rFonts w:hint="cs"/>
          <w:rtl/>
        </w:rPr>
        <w:t xml:space="preserve"> وهو أنهم قتلوهم</w:t>
      </w:r>
      <w:r w:rsidR="000636C2">
        <w:rPr>
          <w:rFonts w:hint="cs"/>
          <w:rtl/>
        </w:rPr>
        <w:t>،</w:t>
      </w:r>
      <w:r w:rsidRPr="005675B2">
        <w:rPr>
          <w:rFonts w:hint="cs"/>
          <w:rtl/>
        </w:rPr>
        <w:t xml:space="preserve"> وإن قلت قتلوهم خالفت ظاهر ألفاظ الآية الكريمة الذي أفاد أنهم لم يقتلوهم ولكن الله تعالى هو الذي قتلهم</w:t>
      </w:r>
      <w:r w:rsidR="000636C2">
        <w:rPr>
          <w:rFonts w:hint="cs"/>
          <w:rtl/>
        </w:rPr>
        <w:t xml:space="preserve">، </w:t>
      </w:r>
      <w:r w:rsidRPr="005675B2">
        <w:rPr>
          <w:rFonts w:hint="cs"/>
          <w:rtl/>
        </w:rPr>
        <w:t xml:space="preserve">وقد نفى ربنا تبارك وتعالى بقوله </w:t>
      </w:r>
      <w:r w:rsidR="000636C2">
        <w:rPr>
          <w:rFonts w:hint="cs"/>
          <w:rtl/>
        </w:rPr>
        <w:t>[</w:t>
      </w:r>
      <w:r w:rsidRPr="005675B2">
        <w:rPr>
          <w:rFonts w:hint="cs"/>
          <w:rtl/>
        </w:rPr>
        <w:t>وَمَا رَمَيْتَ</w:t>
      </w:r>
      <w:r w:rsidR="000636C2">
        <w:rPr>
          <w:rFonts w:hint="cs"/>
          <w:rtl/>
        </w:rPr>
        <w:t>]</w:t>
      </w:r>
      <w:r w:rsidRPr="005675B2">
        <w:rPr>
          <w:rFonts w:hint="cs"/>
          <w:rtl/>
        </w:rPr>
        <w:t xml:space="preserve"> أن يكون النبي صلى الله عليه وسلم رمى</w:t>
      </w:r>
      <w:r w:rsidR="000636C2">
        <w:rPr>
          <w:rFonts w:hint="cs"/>
          <w:rtl/>
        </w:rPr>
        <w:t>،</w:t>
      </w:r>
      <w:r w:rsidRPr="005675B2">
        <w:rPr>
          <w:rFonts w:hint="cs"/>
          <w:rtl/>
        </w:rPr>
        <w:t xml:space="preserve"> وأثبت بقوله </w:t>
      </w:r>
      <w:r w:rsidR="000636C2">
        <w:rPr>
          <w:rFonts w:hint="cs"/>
          <w:rtl/>
        </w:rPr>
        <w:t>[</w:t>
      </w:r>
      <w:r w:rsidRPr="005675B2">
        <w:rPr>
          <w:rFonts w:hint="cs"/>
          <w:rtl/>
        </w:rPr>
        <w:t>إِذْ رَمَيْتَ</w:t>
      </w:r>
      <w:r w:rsidR="000636C2">
        <w:rPr>
          <w:rFonts w:hint="cs"/>
          <w:rtl/>
        </w:rPr>
        <w:t>]</w:t>
      </w:r>
      <w:r w:rsidRPr="005675B2">
        <w:rPr>
          <w:rFonts w:hint="cs"/>
          <w:rtl/>
        </w:rPr>
        <w:t xml:space="preserve"> أنه رمى</w:t>
      </w:r>
      <w:r w:rsidR="000636C2">
        <w:rPr>
          <w:rFonts w:hint="cs"/>
          <w:rtl/>
        </w:rPr>
        <w:t>،</w:t>
      </w:r>
      <w:r w:rsidRPr="005675B2">
        <w:rPr>
          <w:rFonts w:hint="cs"/>
          <w:rtl/>
        </w:rPr>
        <w:t xml:space="preserve"> فهاتان كلمتان فيهما نفي ثم إثبات</w:t>
      </w:r>
      <w:r w:rsidR="000636C2">
        <w:rPr>
          <w:rFonts w:hint="cs"/>
          <w:rtl/>
        </w:rPr>
        <w:t>،</w:t>
      </w:r>
      <w:r w:rsidRPr="005675B2">
        <w:rPr>
          <w:rFonts w:hint="cs"/>
          <w:rtl/>
        </w:rPr>
        <w:t xml:space="preserve"> فإن قلت إنه لم يرم خالفت الواقع المشاهد</w:t>
      </w:r>
      <w:r w:rsidR="000636C2">
        <w:rPr>
          <w:rFonts w:hint="cs"/>
          <w:rtl/>
        </w:rPr>
        <w:t>،</w:t>
      </w:r>
      <w:r w:rsidRPr="005675B2">
        <w:rPr>
          <w:rFonts w:hint="cs"/>
          <w:rtl/>
        </w:rPr>
        <w:t xml:space="preserve"> وهو أنه صلى الله عليه وسلم أخذ قبضة من التراب فرمى بها في وجوه المشركين</w:t>
      </w:r>
      <w:r w:rsidR="000636C2">
        <w:rPr>
          <w:rFonts w:hint="cs"/>
          <w:rtl/>
        </w:rPr>
        <w:t>،</w:t>
      </w:r>
      <w:r w:rsidRPr="005675B2">
        <w:rPr>
          <w:rFonts w:hint="cs"/>
          <w:rtl/>
        </w:rPr>
        <w:t xml:space="preserve"> وخالفت ما أثبته الله تعالى قي قوله </w:t>
      </w:r>
      <w:r w:rsidR="000636C2">
        <w:rPr>
          <w:rFonts w:hint="cs"/>
          <w:rtl/>
        </w:rPr>
        <w:t>[</w:t>
      </w:r>
      <w:r w:rsidRPr="005675B2">
        <w:rPr>
          <w:rFonts w:hint="cs"/>
          <w:rtl/>
        </w:rPr>
        <w:t>إِذْ رَمَيْتَ</w:t>
      </w:r>
      <w:r w:rsidR="000636C2">
        <w:rPr>
          <w:rFonts w:hint="cs"/>
          <w:rtl/>
        </w:rPr>
        <w:t>]،</w:t>
      </w:r>
      <w:r w:rsidRPr="005675B2">
        <w:rPr>
          <w:rFonts w:hint="cs"/>
          <w:rtl/>
        </w:rPr>
        <w:t xml:space="preserve"> وإن قلت إنه رمى خالفت ظاهر قوله تعالى </w:t>
      </w:r>
      <w:r w:rsidR="000636C2">
        <w:rPr>
          <w:rFonts w:hint="cs"/>
          <w:rtl/>
        </w:rPr>
        <w:t>[</w:t>
      </w:r>
      <w:r w:rsidRPr="005675B2">
        <w:rPr>
          <w:rFonts w:hint="cs"/>
          <w:rtl/>
        </w:rPr>
        <w:t>وَمَا رَمَيْتَ</w:t>
      </w:r>
      <w:r w:rsidR="000636C2">
        <w:rPr>
          <w:rFonts w:hint="cs"/>
          <w:rtl/>
        </w:rPr>
        <w:t xml:space="preserve">]، </w:t>
      </w:r>
      <w:r w:rsidRPr="005675B2">
        <w:rPr>
          <w:rFonts w:hint="cs"/>
          <w:rtl/>
        </w:rPr>
        <w:t>وهنا تجد نفسك أنك لا تستطيع أن تفسر الآية الكريمة حسب ظواهر الألفاظ</w:t>
      </w:r>
      <w:r w:rsidR="000636C2">
        <w:rPr>
          <w:rFonts w:hint="cs"/>
          <w:rtl/>
        </w:rPr>
        <w:t>،</w:t>
      </w:r>
      <w:r w:rsidRPr="005675B2">
        <w:rPr>
          <w:rFonts w:hint="cs"/>
          <w:rtl/>
        </w:rPr>
        <w:t xml:space="preserve"> وأنه يجب فهمها حسب السياق</w:t>
      </w:r>
      <w:r w:rsidR="000636C2">
        <w:rPr>
          <w:rFonts w:hint="cs"/>
          <w:rtl/>
        </w:rPr>
        <w:t>،</w:t>
      </w:r>
      <w:r w:rsidRPr="005675B2">
        <w:rPr>
          <w:rFonts w:hint="cs"/>
          <w:rtl/>
        </w:rPr>
        <w:t xml:space="preserve"> ولذا فقد قال ابن كثير رحمه الله في تفسير قوله تعالى </w:t>
      </w:r>
      <w:r w:rsidR="000636C2">
        <w:rPr>
          <w:rFonts w:hint="cs"/>
          <w:rtl/>
        </w:rPr>
        <w:t>[</w:t>
      </w:r>
      <w:r w:rsidRPr="005675B2">
        <w:rPr>
          <w:rFonts w:hint="cs"/>
          <w:rtl/>
        </w:rPr>
        <w:t>فَلَمْ تَقْتُلُوهُمْ وَلَكِنَّ اللَّهَ قَتَلَهُمْ</w:t>
      </w:r>
      <w:r w:rsidR="000636C2">
        <w:rPr>
          <w:rFonts w:hint="cs"/>
          <w:rtl/>
        </w:rPr>
        <w:t>]:</w:t>
      </w:r>
      <w:r w:rsidRPr="005675B2">
        <w:rPr>
          <w:rFonts w:hint="cs"/>
          <w:rtl/>
        </w:rPr>
        <w:t xml:space="preserve"> أي ليس بحولكم وقوتكم قتلتم أعداءكم</w:t>
      </w:r>
      <w:r w:rsidR="000636C2">
        <w:rPr>
          <w:rFonts w:hint="cs"/>
          <w:rtl/>
        </w:rPr>
        <w:t xml:space="preserve"> </w:t>
      </w:r>
      <w:r w:rsidRPr="005675B2">
        <w:rPr>
          <w:rFonts w:hint="cs"/>
          <w:rtl/>
        </w:rPr>
        <w:t>… بل هو الذي أظفركم بهم ونصركم عليهم</w:t>
      </w:r>
      <w:r w:rsidR="000636C2">
        <w:rPr>
          <w:rFonts w:hint="cs"/>
          <w:rtl/>
        </w:rPr>
        <w:t>،</w:t>
      </w:r>
      <w:r w:rsidRPr="005675B2">
        <w:rPr>
          <w:rFonts w:hint="cs"/>
          <w:rtl/>
        </w:rPr>
        <w:t xml:space="preserve"> وقال في تفسيرقوله تعالى </w:t>
      </w:r>
      <w:r w:rsidR="000636C2">
        <w:rPr>
          <w:rFonts w:hint="cs"/>
          <w:rtl/>
        </w:rPr>
        <w:t>[</w:t>
      </w:r>
      <w:r w:rsidRPr="005675B2">
        <w:rPr>
          <w:rFonts w:hint="cs"/>
          <w:rtl/>
        </w:rPr>
        <w:t>وَمَا رَمَيْتَ</w:t>
      </w:r>
      <w:r w:rsidR="000636C2">
        <w:rPr>
          <w:rFonts w:hint="cs"/>
          <w:rtl/>
        </w:rPr>
        <w:t>]:</w:t>
      </w:r>
      <w:r w:rsidRPr="005675B2">
        <w:rPr>
          <w:rFonts w:hint="cs"/>
          <w:rtl/>
        </w:rPr>
        <w:t xml:space="preserve"> أي هو الذي بلّغ ذلك إليهم وكَبَتَهم بها لا أنت [</w:t>
      </w:r>
      <w:r w:rsidRPr="005675B2">
        <w:rPr>
          <w:rFonts w:hint="cs"/>
          <w:sz w:val="24"/>
          <w:szCs w:val="24"/>
          <w:rtl/>
        </w:rPr>
        <w:t>تفسير القرآن العظيم لابن كثير</w:t>
      </w:r>
      <w:r w:rsidR="000636C2">
        <w:rPr>
          <w:rFonts w:hint="cs"/>
          <w:sz w:val="24"/>
          <w:szCs w:val="24"/>
          <w:rtl/>
        </w:rPr>
        <w:t>:</w:t>
      </w:r>
      <w:r w:rsidRPr="005675B2">
        <w:rPr>
          <w:rFonts w:hint="cs"/>
          <w:sz w:val="24"/>
          <w:szCs w:val="24"/>
          <w:rtl/>
        </w:rPr>
        <w:t xml:space="preserve"> تفسير سورة الأنفال</w:t>
      </w:r>
      <w:r w:rsidR="000636C2">
        <w:rPr>
          <w:rFonts w:hint="cs"/>
          <w:sz w:val="24"/>
          <w:szCs w:val="24"/>
          <w:rtl/>
        </w:rPr>
        <w:t>،</w:t>
      </w:r>
      <w:r w:rsidRPr="005675B2">
        <w:rPr>
          <w:rFonts w:hint="cs"/>
          <w:sz w:val="24"/>
          <w:szCs w:val="24"/>
          <w:rtl/>
        </w:rPr>
        <w:t xml:space="preserve"> الآية</w:t>
      </w:r>
      <w:r w:rsidR="000636C2">
        <w:rPr>
          <w:rFonts w:hint="cs"/>
          <w:sz w:val="24"/>
          <w:szCs w:val="24"/>
          <w:rtl/>
        </w:rPr>
        <w:t>:</w:t>
      </w:r>
      <w:r w:rsidRPr="005675B2">
        <w:rPr>
          <w:rFonts w:hint="cs"/>
          <w:sz w:val="24"/>
          <w:szCs w:val="24"/>
          <w:rtl/>
        </w:rPr>
        <w:t xml:space="preserve"> 17</w:t>
      </w:r>
      <w:r w:rsidR="000636C2">
        <w:rPr>
          <w:rFonts w:hint="cs"/>
          <w:sz w:val="24"/>
          <w:szCs w:val="24"/>
          <w:rtl/>
        </w:rPr>
        <w:t>]</w:t>
      </w:r>
      <w:r w:rsidR="000636C2">
        <w:rPr>
          <w:rFonts w:hint="cs"/>
          <w:rtl/>
        </w:rPr>
        <w:t xml:space="preserve">، </w:t>
      </w:r>
      <w:r w:rsidRPr="005675B2">
        <w:rPr>
          <w:rFonts w:hint="cs"/>
          <w:rtl/>
        </w:rPr>
        <w:t>فالتأويل عند الأشاعرة ليس مهرباً عقلياً من التعارض بين الأصول العقلية والنصوص الشرعية أو ظواهرها إذا فُهمت النصوص في ظل السياق الذي وردت فيه</w:t>
      </w:r>
      <w:r w:rsidR="000636C2">
        <w:rPr>
          <w:rFonts w:hint="cs"/>
          <w:rtl/>
        </w:rPr>
        <w:t>،</w:t>
      </w:r>
      <w:r w:rsidRPr="005675B2">
        <w:rPr>
          <w:rFonts w:hint="cs"/>
          <w:rtl/>
        </w:rPr>
        <w:t xml:space="preserve"> حسب المعهود من أساليب العرب في كلامهم ومخاطباتهم</w:t>
      </w:r>
      <w:r w:rsidR="000636C2">
        <w:rPr>
          <w:rFonts w:hint="cs"/>
          <w:rtl/>
        </w:rPr>
        <w:t>،</w:t>
      </w:r>
      <w:r w:rsidRPr="005675B2">
        <w:rPr>
          <w:rFonts w:hint="cs"/>
          <w:rtl/>
        </w:rPr>
        <w:t xml:space="preserve"> ولكنه لدرء التعارض بين الأحكام العقلية القطعية وظواهر بعض ألفاظ النصوص إذا فُهمت تلك الألفاظ مبتورة عن السياق الذي وردت فيه</w:t>
      </w:r>
      <w:r w:rsidR="000636C2">
        <w:rPr>
          <w:rFonts w:hint="cs"/>
          <w:rtl/>
        </w:rPr>
        <w:t>،</w:t>
      </w:r>
      <w:r w:rsidRPr="005675B2">
        <w:rPr>
          <w:rFonts w:hint="cs"/>
          <w:rtl/>
        </w:rPr>
        <w:t xml:space="preserve"> وعن المعاني والصور البلاغية التي اشتملت عليها النصوص</w:t>
      </w:r>
      <w:r w:rsidR="000636C2">
        <w:rPr>
          <w:rFonts w:hint="cs"/>
          <w:rtl/>
        </w:rPr>
        <w:t xml:space="preserve">، </w:t>
      </w:r>
      <w:r w:rsidRPr="005675B2">
        <w:rPr>
          <w:rFonts w:hint="cs"/>
          <w:rtl/>
        </w:rPr>
        <w:t xml:space="preserve">فالاحتجاج بقوله تعالى </w:t>
      </w:r>
      <w:r w:rsidR="000636C2">
        <w:rPr>
          <w:rFonts w:hint="cs"/>
          <w:rtl/>
        </w:rPr>
        <w:t>[</w:t>
      </w:r>
      <w:r w:rsidRPr="005675B2">
        <w:rPr>
          <w:rFonts w:hint="cs"/>
          <w:rtl/>
        </w:rPr>
        <w:t>فَنَسِيَهُمْ</w:t>
      </w:r>
      <w:r w:rsidR="000636C2">
        <w:rPr>
          <w:rFonts w:hint="cs"/>
          <w:rtl/>
        </w:rPr>
        <w:t>]</w:t>
      </w:r>
      <w:r w:rsidRPr="005675B2">
        <w:rPr>
          <w:rFonts w:hint="cs"/>
          <w:rtl/>
        </w:rPr>
        <w:t xml:space="preserve"> على أن لله نسياناً يليق به</w:t>
      </w:r>
      <w:r w:rsidR="000636C2">
        <w:rPr>
          <w:rFonts w:hint="cs"/>
          <w:rtl/>
        </w:rPr>
        <w:t>:</w:t>
      </w:r>
      <w:r w:rsidRPr="005675B2">
        <w:rPr>
          <w:rFonts w:hint="cs"/>
          <w:rtl/>
        </w:rPr>
        <w:t xml:space="preserve"> مرفوض</w:t>
      </w:r>
      <w:r w:rsidR="000636C2">
        <w:rPr>
          <w:rFonts w:hint="cs"/>
          <w:rtl/>
        </w:rPr>
        <w:t>،</w:t>
      </w:r>
      <w:r w:rsidRPr="005675B2">
        <w:rPr>
          <w:rFonts w:hint="cs"/>
          <w:rtl/>
        </w:rPr>
        <w:t xml:space="preserve"> والاحتجاج بقوله تعالى في الحديث القدسي </w:t>
      </w:r>
      <w:r w:rsidR="000636C2">
        <w:rPr>
          <w:rFonts w:hint="cs"/>
          <w:rtl/>
        </w:rPr>
        <w:t>[</w:t>
      </w:r>
      <w:r w:rsidRPr="005675B2">
        <w:rPr>
          <w:rFonts w:hint="cs"/>
          <w:rtl/>
        </w:rPr>
        <w:t>مرضتُ</w:t>
      </w:r>
      <w:r w:rsidR="000636C2">
        <w:rPr>
          <w:rFonts w:hint="cs"/>
          <w:rtl/>
        </w:rPr>
        <w:t>]</w:t>
      </w:r>
      <w:r w:rsidRPr="005675B2">
        <w:rPr>
          <w:rFonts w:hint="cs"/>
          <w:rtl/>
        </w:rPr>
        <w:t xml:space="preserve"> على أن لله مرضاً يليق به</w:t>
      </w:r>
      <w:r w:rsidR="000636C2">
        <w:rPr>
          <w:rFonts w:hint="cs"/>
          <w:rtl/>
        </w:rPr>
        <w:t>:</w:t>
      </w:r>
      <w:r w:rsidRPr="005675B2">
        <w:rPr>
          <w:rFonts w:hint="cs"/>
          <w:rtl/>
        </w:rPr>
        <w:t xml:space="preserve"> مرفوض</w:t>
      </w:r>
      <w:r w:rsidR="000636C2">
        <w:rPr>
          <w:rFonts w:hint="cs"/>
          <w:rtl/>
        </w:rPr>
        <w:t>،</w:t>
      </w:r>
      <w:r w:rsidRPr="005675B2">
        <w:rPr>
          <w:rFonts w:hint="cs"/>
          <w:rtl/>
        </w:rPr>
        <w:t xml:space="preserve"> والاحتجاج بقوله تعالى في الحديث القدسي </w:t>
      </w:r>
      <w:r w:rsidR="000636C2">
        <w:rPr>
          <w:rFonts w:hint="cs"/>
          <w:rtl/>
        </w:rPr>
        <w:t>[</w:t>
      </w:r>
      <w:r w:rsidRPr="005675B2">
        <w:rPr>
          <w:rFonts w:hint="cs"/>
          <w:rtl/>
        </w:rPr>
        <w:t>وإن تقرب إلي ذراعاً تقربت منه باعاً وإن أتاني يمشي أتيته هرولة</w:t>
      </w:r>
      <w:r w:rsidR="000636C2">
        <w:rPr>
          <w:rFonts w:hint="cs"/>
          <w:rtl/>
        </w:rPr>
        <w:t>]</w:t>
      </w:r>
      <w:r w:rsidRPr="005675B2">
        <w:rPr>
          <w:rFonts w:hint="cs"/>
          <w:rtl/>
        </w:rPr>
        <w:t xml:space="preserve"> على قرب المسافة</w:t>
      </w:r>
      <w:r w:rsidR="000636C2">
        <w:rPr>
          <w:rFonts w:hint="cs"/>
          <w:rtl/>
        </w:rPr>
        <w:t>:</w:t>
      </w:r>
      <w:r w:rsidRPr="005675B2">
        <w:rPr>
          <w:rFonts w:hint="cs"/>
          <w:rtl/>
        </w:rPr>
        <w:t xml:space="preserve"> مرفوض</w:t>
      </w:r>
      <w:r w:rsidR="000636C2">
        <w:rPr>
          <w:rFonts w:hint="cs"/>
          <w:rtl/>
        </w:rPr>
        <w:t>،</w:t>
      </w:r>
      <w:r w:rsidRPr="005675B2">
        <w:rPr>
          <w:rFonts w:hint="cs"/>
          <w:rtl/>
        </w:rPr>
        <w:t xml:space="preserve"> وكذا الاحتجاج به على أن لله مشياً وهرولة يليقان به</w:t>
      </w:r>
      <w:r w:rsidR="000636C2">
        <w:rPr>
          <w:rFonts w:hint="cs"/>
          <w:rtl/>
        </w:rPr>
        <w:t>:</w:t>
      </w:r>
      <w:r w:rsidRPr="005675B2">
        <w:rPr>
          <w:rFonts w:hint="cs"/>
          <w:rtl/>
        </w:rPr>
        <w:t xml:space="preserve"> مرفوض</w:t>
      </w:r>
      <w:r w:rsidR="000636C2">
        <w:rPr>
          <w:rFonts w:hint="cs"/>
          <w:rtl/>
        </w:rPr>
        <w:t>،</w:t>
      </w:r>
      <w:r w:rsidRPr="005675B2">
        <w:rPr>
          <w:rFonts w:hint="cs"/>
          <w:rtl/>
        </w:rPr>
        <w:t xml:space="preserve"> وذلك لأن الظواهر من الألفاظ المبتورة عن سياقها ليس هو المراد من النصوص</w:t>
      </w:r>
      <w:r w:rsidR="000636C2">
        <w:rPr>
          <w:rFonts w:hint="cs"/>
          <w:rtl/>
        </w:rPr>
        <w:t>،</w:t>
      </w:r>
      <w:r w:rsidRPr="005675B2">
        <w:rPr>
          <w:rFonts w:hint="cs"/>
          <w:rtl/>
        </w:rPr>
        <w:t xml:space="preserve"> بل المراد من النصوص هو ما يظهر من معانيها في ظل سياقاتها</w:t>
      </w:r>
      <w:r w:rsidR="000636C2">
        <w:rPr>
          <w:rFonts w:hint="cs"/>
          <w:rtl/>
        </w:rPr>
        <w:t>،</w:t>
      </w:r>
      <w:r w:rsidRPr="005675B2">
        <w:rPr>
          <w:rFonts w:hint="cs"/>
          <w:rtl/>
        </w:rPr>
        <w:t xml:space="preserve"> وفي ظل الصور البلاغية التي اشتملت عليها</w:t>
      </w:r>
      <w:r w:rsidR="000636C2">
        <w:rPr>
          <w:rFonts w:hint="cs"/>
          <w:rtl/>
        </w:rPr>
        <w:t>،</w:t>
      </w:r>
      <w:r w:rsidRPr="005675B2">
        <w:rPr>
          <w:rFonts w:hint="cs"/>
          <w:rtl/>
        </w:rPr>
        <w:t xml:space="preserve"> والذي يؤول هو ظواهر الألفاظ المبتورة عن السياق</w:t>
      </w:r>
      <w:r w:rsidR="000636C2">
        <w:rPr>
          <w:rFonts w:hint="cs"/>
          <w:rtl/>
        </w:rPr>
        <w:t>،</w:t>
      </w:r>
      <w:r w:rsidRPr="005675B2">
        <w:rPr>
          <w:rFonts w:hint="cs"/>
          <w:rtl/>
        </w:rPr>
        <w:t xml:space="preserve"> وذلك لأنها تتناقض مع النصوص الثابتة المُحْكَمة</w:t>
      </w:r>
      <w:r w:rsidR="000636C2">
        <w:rPr>
          <w:rFonts w:hint="cs"/>
          <w:rtl/>
        </w:rPr>
        <w:t>،</w:t>
      </w:r>
      <w:r w:rsidRPr="005675B2">
        <w:rPr>
          <w:rFonts w:hint="cs"/>
          <w:rtl/>
        </w:rPr>
        <w:t xml:space="preserve"> والأحكام العقلية القطعية</w:t>
      </w:r>
      <w:r w:rsidR="000636C2">
        <w:rPr>
          <w:rFonts w:hint="cs"/>
          <w:rtl/>
        </w:rPr>
        <w:t xml:space="preserve">، </w:t>
      </w:r>
      <w:r w:rsidRPr="005675B2">
        <w:rPr>
          <w:rFonts w:hint="cs"/>
          <w:rtl/>
        </w:rPr>
        <w:t>12</w:t>
      </w:r>
      <w:r w:rsidR="000636C2">
        <w:rPr>
          <w:rFonts w:hint="cs"/>
          <w:rtl/>
        </w:rPr>
        <w:t xml:space="preserve"> </w:t>
      </w:r>
      <w:r w:rsidRPr="005675B2">
        <w:rPr>
          <w:rFonts w:hint="cs"/>
          <w:rtl/>
        </w:rPr>
        <w:t xml:space="preserve">- قال الله تعالى </w:t>
      </w:r>
      <w:r w:rsidR="000636C2">
        <w:rPr>
          <w:rFonts w:hint="cs"/>
          <w:rtl/>
        </w:rPr>
        <w:t>[</w:t>
      </w:r>
      <w:r w:rsidRPr="005675B2">
        <w:rPr>
          <w:rFonts w:hint="cs"/>
          <w:rtl/>
        </w:rPr>
        <w:t>وَلَوْ رَدُّوهُ إِلَى الرَّسُولِ وَإِلَى أُولِي الْأَمْرِ مِنْهُمْ لَعَلِمَهُ الَّذِينَ يَسْتَنْبِطُونَهُ مِنْهُمْ</w:t>
      </w:r>
      <w:r w:rsidR="000636C2">
        <w:rPr>
          <w:rFonts w:hint="cs"/>
          <w:rtl/>
        </w:rPr>
        <w:t>]</w:t>
      </w:r>
      <w:r w:rsidRPr="005675B2">
        <w:rPr>
          <w:rFonts w:hint="cs"/>
          <w:rtl/>
        </w:rPr>
        <w:t xml:space="preserve"> [</w:t>
      </w:r>
      <w:r w:rsidRPr="005675B2">
        <w:rPr>
          <w:rFonts w:hint="cs"/>
          <w:sz w:val="24"/>
          <w:szCs w:val="24"/>
          <w:rtl/>
        </w:rPr>
        <w:t>سورة النساء</w:t>
      </w:r>
      <w:r w:rsidR="000636C2">
        <w:rPr>
          <w:rFonts w:hint="cs"/>
          <w:sz w:val="24"/>
          <w:szCs w:val="24"/>
          <w:rtl/>
        </w:rPr>
        <w:t>،</w:t>
      </w:r>
      <w:r w:rsidRPr="005675B2">
        <w:rPr>
          <w:rFonts w:hint="cs"/>
          <w:sz w:val="24"/>
          <w:szCs w:val="24"/>
          <w:rtl/>
        </w:rPr>
        <w:t xml:space="preserve"> الآية 83</w:t>
      </w:r>
      <w:r w:rsidR="000636C2">
        <w:rPr>
          <w:rFonts w:hint="cs"/>
          <w:sz w:val="24"/>
          <w:szCs w:val="24"/>
          <w:rtl/>
        </w:rPr>
        <w:t>]</w:t>
      </w:r>
      <w:r w:rsidR="000636C2">
        <w:rPr>
          <w:rFonts w:hint="cs"/>
          <w:rtl/>
        </w:rPr>
        <w:t>،</w:t>
      </w:r>
      <w:r w:rsidRPr="005675B2">
        <w:rPr>
          <w:rFonts w:hint="cs"/>
          <w:rtl/>
        </w:rPr>
        <w:t xml:space="preserve"> أي يستخرجونه</w:t>
      </w:r>
      <w:r w:rsidR="000636C2">
        <w:rPr>
          <w:rFonts w:hint="cs"/>
          <w:rtl/>
        </w:rPr>
        <w:t>،</w:t>
      </w:r>
      <w:r w:rsidRPr="005675B2">
        <w:rPr>
          <w:rFonts w:hint="cs"/>
          <w:rtl/>
        </w:rPr>
        <w:t xml:space="preserve"> وإنباط الماء هو استخراجه من باطن الأرض</w:t>
      </w:r>
      <w:r w:rsidR="000636C2">
        <w:rPr>
          <w:rFonts w:hint="cs"/>
          <w:rtl/>
        </w:rPr>
        <w:t>،</w:t>
      </w:r>
      <w:r w:rsidRPr="005675B2">
        <w:rPr>
          <w:rFonts w:hint="cs"/>
          <w:rtl/>
        </w:rPr>
        <w:t xml:space="preserve"> فكأنه لا بد من الغوص في أعماق المعاني لاستخراج المعنى المراد</w:t>
      </w:r>
      <w:r w:rsidR="000636C2">
        <w:rPr>
          <w:rFonts w:hint="cs"/>
          <w:rtl/>
        </w:rPr>
        <w:t>،</w:t>
      </w:r>
      <w:r w:rsidRPr="005675B2">
        <w:rPr>
          <w:rFonts w:hint="cs"/>
          <w:rtl/>
        </w:rPr>
        <w:t>ومن هنا كان تفاوت العلماء في دقة الاستنباط والوقوف على المعنى المراد</w:t>
      </w:r>
      <w:r w:rsidR="000636C2">
        <w:rPr>
          <w:rFonts w:hint="cs"/>
          <w:rtl/>
        </w:rPr>
        <w:t xml:space="preserve">، </w:t>
      </w:r>
      <w:r w:rsidRPr="005675B2">
        <w:rPr>
          <w:rFonts w:hint="cs"/>
          <w:rtl/>
        </w:rPr>
        <w:t>وتدبر حيث لم يقل الله تعالى لَعَلِمَهُ الذين يسمعونه منهم</w:t>
      </w:r>
      <w:r w:rsidR="000636C2">
        <w:rPr>
          <w:rFonts w:hint="cs"/>
          <w:rtl/>
        </w:rPr>
        <w:t>،</w:t>
      </w:r>
      <w:r w:rsidRPr="005675B2">
        <w:rPr>
          <w:rFonts w:hint="cs"/>
          <w:rtl/>
        </w:rPr>
        <w:t xml:space="preserve"> وإنما قال </w:t>
      </w:r>
      <w:r w:rsidR="000636C2">
        <w:rPr>
          <w:rFonts w:hint="cs"/>
          <w:rtl/>
        </w:rPr>
        <w:t>[</w:t>
      </w:r>
      <w:r w:rsidRPr="005675B2">
        <w:rPr>
          <w:rFonts w:hint="cs"/>
          <w:rtl/>
        </w:rPr>
        <w:t>لَعَلِمَهُ الَّذِينَ يَسْتَنْبِطُونَهُ مِنْهُمْ</w:t>
      </w:r>
      <w:r w:rsidR="000636C2">
        <w:rPr>
          <w:rFonts w:hint="cs"/>
          <w:rtl/>
        </w:rPr>
        <w:t xml:space="preserve">]، </w:t>
      </w:r>
      <w:r w:rsidRPr="005675B2">
        <w:rPr>
          <w:rFonts w:hint="cs"/>
          <w:rtl/>
        </w:rPr>
        <w:t>13</w:t>
      </w:r>
      <w:r w:rsidR="000636C2">
        <w:rPr>
          <w:rFonts w:hint="cs"/>
          <w:rtl/>
        </w:rPr>
        <w:t xml:space="preserve"> </w:t>
      </w:r>
      <w:r w:rsidRPr="005675B2">
        <w:rPr>
          <w:rFonts w:hint="cs"/>
          <w:rtl/>
        </w:rPr>
        <w:t>- القرآن الكريم ليس فيه تناقض</w:t>
      </w:r>
      <w:r w:rsidR="000636C2">
        <w:rPr>
          <w:rFonts w:hint="cs"/>
          <w:rtl/>
        </w:rPr>
        <w:t>،</w:t>
      </w:r>
      <w:r w:rsidRPr="005675B2">
        <w:rPr>
          <w:rFonts w:hint="cs"/>
          <w:rtl/>
        </w:rPr>
        <w:t xml:space="preserve"> والله تبارك وتعالى يقول</w:t>
      </w:r>
      <w:r w:rsidR="000636C2">
        <w:rPr>
          <w:rFonts w:hint="cs"/>
          <w:rtl/>
        </w:rPr>
        <w:t>:</w:t>
      </w:r>
      <w:r w:rsidRPr="005675B2">
        <w:rPr>
          <w:rFonts w:hint="cs"/>
          <w:rtl/>
        </w:rPr>
        <w:t xml:space="preserve"> </w:t>
      </w:r>
      <w:r w:rsidR="000636C2">
        <w:rPr>
          <w:rFonts w:hint="cs"/>
          <w:rtl/>
        </w:rPr>
        <w:t>[</w:t>
      </w:r>
      <w:r w:rsidRPr="005675B2">
        <w:rPr>
          <w:rFonts w:hint="cs"/>
          <w:rtl/>
        </w:rPr>
        <w:t>أَفَلا يَتَدَبَّرُونَ الْقُرْآنَ وَلَوْ كَانَ مِنْ عِنْدِ غَيْرِ اللَّهِ لَوَجَدُوا فِيهِ اخْتِلافاً كَثِيراً</w:t>
      </w:r>
      <w:r w:rsidR="000636C2">
        <w:rPr>
          <w:rFonts w:hint="cs"/>
          <w:rtl/>
        </w:rPr>
        <w:t>]</w:t>
      </w:r>
      <w:r w:rsidRPr="005675B2">
        <w:rPr>
          <w:rFonts w:hint="cs"/>
          <w:rtl/>
        </w:rPr>
        <w:t xml:space="preserve"> [</w:t>
      </w:r>
      <w:r w:rsidRPr="005675B2">
        <w:rPr>
          <w:rFonts w:hint="cs"/>
          <w:sz w:val="24"/>
          <w:szCs w:val="24"/>
          <w:rtl/>
        </w:rPr>
        <w:t>سورة النساء</w:t>
      </w:r>
      <w:r w:rsidR="000636C2">
        <w:rPr>
          <w:rFonts w:hint="cs"/>
          <w:sz w:val="24"/>
          <w:szCs w:val="24"/>
          <w:rtl/>
        </w:rPr>
        <w:t>،</w:t>
      </w:r>
      <w:r w:rsidRPr="005675B2">
        <w:rPr>
          <w:rFonts w:hint="cs"/>
          <w:sz w:val="24"/>
          <w:szCs w:val="24"/>
          <w:rtl/>
        </w:rPr>
        <w:t xml:space="preserve"> الآية 82</w:t>
      </w:r>
      <w:r w:rsidR="000636C2">
        <w:rPr>
          <w:rFonts w:hint="cs"/>
          <w:sz w:val="24"/>
          <w:szCs w:val="24"/>
          <w:rtl/>
        </w:rPr>
        <w:t>]</w:t>
      </w:r>
      <w:r w:rsidR="000636C2">
        <w:rPr>
          <w:rFonts w:hint="cs"/>
          <w:rtl/>
        </w:rPr>
        <w:t xml:space="preserve">، </w:t>
      </w:r>
      <w:r w:rsidRPr="005675B2">
        <w:rPr>
          <w:rFonts w:hint="cs"/>
          <w:rtl/>
        </w:rPr>
        <w:t>والذي ينفي صحة التأويل بإطلاق يلزم من قوله هذا أن يكون في القرآن تناقض</w:t>
      </w:r>
      <w:r w:rsidR="000636C2">
        <w:rPr>
          <w:rFonts w:hint="cs"/>
          <w:rtl/>
        </w:rPr>
        <w:t>،</w:t>
      </w:r>
      <w:r w:rsidRPr="005675B2">
        <w:rPr>
          <w:rFonts w:hint="cs"/>
          <w:rtl/>
        </w:rPr>
        <w:t xml:space="preserve"> كما في الآية السابقة</w:t>
      </w:r>
      <w:r w:rsidR="000636C2">
        <w:rPr>
          <w:rFonts w:hint="cs"/>
          <w:rtl/>
        </w:rPr>
        <w:t>:</w:t>
      </w:r>
      <w:r w:rsidRPr="005675B2">
        <w:rPr>
          <w:rFonts w:hint="cs"/>
          <w:rtl/>
        </w:rPr>
        <w:t xml:space="preserve"> </w:t>
      </w:r>
      <w:r w:rsidR="000636C2">
        <w:rPr>
          <w:rFonts w:hint="cs"/>
          <w:rtl/>
        </w:rPr>
        <w:t>[</w:t>
      </w:r>
      <w:r w:rsidRPr="005675B2">
        <w:rPr>
          <w:rFonts w:hint="cs"/>
          <w:rtl/>
        </w:rPr>
        <w:t>وَمَا رَمَيْتَ إِذْ رَمَيْتَ</w:t>
      </w:r>
      <w:r w:rsidR="000636C2">
        <w:rPr>
          <w:rFonts w:hint="cs"/>
          <w:rtl/>
        </w:rPr>
        <w:t>]،</w:t>
      </w:r>
      <w:r w:rsidRPr="005675B2">
        <w:rPr>
          <w:rFonts w:hint="cs"/>
          <w:rtl/>
        </w:rPr>
        <w:t xml:space="preserve"> فتعّين على من يقول بنفي التناقض عن القرآن أن يفهمه بطريقة </w:t>
      </w:r>
      <w:r w:rsidR="000636C2">
        <w:rPr>
          <w:rFonts w:hint="cs"/>
          <w:rtl/>
        </w:rPr>
        <w:t>[</w:t>
      </w:r>
      <w:r w:rsidRPr="005675B2">
        <w:rPr>
          <w:rFonts w:hint="cs"/>
          <w:rtl/>
        </w:rPr>
        <w:t>التأويل الصحيح</w:t>
      </w:r>
      <w:r w:rsidR="000636C2">
        <w:rPr>
          <w:rFonts w:hint="cs"/>
          <w:rtl/>
        </w:rPr>
        <w:t>]،</w:t>
      </w:r>
      <w:r w:rsidRPr="005675B2">
        <w:rPr>
          <w:rFonts w:hint="cs"/>
          <w:rtl/>
        </w:rPr>
        <w:t xml:space="preserve"> لا بدعوى نفاة التأويل</w:t>
      </w:r>
      <w:r w:rsidR="000636C2">
        <w:rPr>
          <w:rFonts w:hint="cs"/>
          <w:rtl/>
        </w:rPr>
        <w:t xml:space="preserve">، </w:t>
      </w:r>
      <w:r w:rsidRPr="005675B2">
        <w:rPr>
          <w:rFonts w:hint="cs"/>
          <w:rtl/>
        </w:rPr>
        <w:t>14</w:t>
      </w:r>
      <w:r w:rsidR="000636C2">
        <w:rPr>
          <w:rFonts w:hint="cs"/>
          <w:rtl/>
        </w:rPr>
        <w:t xml:space="preserve"> </w:t>
      </w:r>
      <w:r w:rsidRPr="005675B2">
        <w:rPr>
          <w:rFonts w:hint="cs"/>
          <w:rtl/>
        </w:rPr>
        <w:t>- ادّعى الباحث أن مذهب السلف لا تأويل فيه لنص من النصوص الشرعية إطلاقاً</w:t>
      </w:r>
      <w:r w:rsidR="000636C2">
        <w:rPr>
          <w:rFonts w:hint="cs"/>
          <w:rtl/>
        </w:rPr>
        <w:t>،</w:t>
      </w:r>
      <w:r w:rsidRPr="005675B2">
        <w:rPr>
          <w:rFonts w:hint="cs"/>
          <w:rtl/>
        </w:rPr>
        <w:t xml:space="preserve"> وهذا تسرع في النفي</w:t>
      </w:r>
      <w:r w:rsidR="000636C2">
        <w:rPr>
          <w:rFonts w:hint="cs"/>
          <w:rtl/>
        </w:rPr>
        <w:t>،</w:t>
      </w:r>
      <w:r w:rsidRPr="005675B2">
        <w:rPr>
          <w:rFonts w:hint="cs"/>
          <w:rtl/>
        </w:rPr>
        <w:t xml:space="preserve"> وهو كلام منقوض</w:t>
      </w:r>
      <w:r w:rsidR="000636C2">
        <w:rPr>
          <w:rFonts w:hint="cs"/>
          <w:rtl/>
        </w:rPr>
        <w:t xml:space="preserve">، </w:t>
      </w:r>
      <w:r w:rsidRPr="005675B2">
        <w:rPr>
          <w:rFonts w:hint="cs"/>
          <w:rtl/>
        </w:rPr>
        <w:t>فمما ينقضه ما رواه البخاري رحمه الله عن ابن عمر رضي الله عنهما أنه قال</w:t>
      </w:r>
      <w:r w:rsidR="000636C2">
        <w:rPr>
          <w:rFonts w:hint="cs"/>
          <w:rtl/>
        </w:rPr>
        <w:t>:</w:t>
      </w:r>
      <w:r w:rsidRPr="005675B2">
        <w:rPr>
          <w:rFonts w:hint="cs"/>
          <w:rtl/>
        </w:rPr>
        <w:t xml:space="preserve"> قال النبي صلى الله عليه وسلم يوم الأحزاب</w:t>
      </w:r>
      <w:r w:rsidR="000636C2">
        <w:rPr>
          <w:rFonts w:hint="cs"/>
          <w:rtl/>
        </w:rPr>
        <w:t>:</w:t>
      </w:r>
      <w:r w:rsidRPr="005675B2">
        <w:rPr>
          <w:rFonts w:hint="cs"/>
          <w:rtl/>
        </w:rPr>
        <w:t xml:space="preserve"> </w:t>
      </w:r>
      <w:r w:rsidR="000636C2">
        <w:rPr>
          <w:rFonts w:hint="cs"/>
          <w:rtl/>
        </w:rPr>
        <w:t>[</w:t>
      </w:r>
      <w:r w:rsidRPr="005675B2">
        <w:rPr>
          <w:rFonts w:hint="cs"/>
          <w:rtl/>
        </w:rPr>
        <w:t>لا يصلين أحد العصر إلا في بني قريظة</w:t>
      </w:r>
      <w:r w:rsidR="000636C2">
        <w:rPr>
          <w:rFonts w:hint="cs"/>
          <w:rtl/>
        </w:rPr>
        <w:t>]،</w:t>
      </w:r>
      <w:r w:rsidRPr="005675B2">
        <w:rPr>
          <w:rFonts w:hint="cs"/>
          <w:rtl/>
        </w:rPr>
        <w:t xml:space="preserve"> فأدرك بعضهم العصر في الطريق</w:t>
      </w:r>
      <w:r w:rsidR="000636C2">
        <w:rPr>
          <w:rFonts w:hint="cs"/>
          <w:rtl/>
        </w:rPr>
        <w:t>،</w:t>
      </w:r>
      <w:r w:rsidRPr="005675B2">
        <w:rPr>
          <w:rFonts w:hint="cs"/>
          <w:rtl/>
        </w:rPr>
        <w:t xml:space="preserve"> فقال بعضهم</w:t>
      </w:r>
      <w:r w:rsidR="000636C2">
        <w:rPr>
          <w:rFonts w:hint="cs"/>
          <w:rtl/>
        </w:rPr>
        <w:t>:</w:t>
      </w:r>
      <w:r w:rsidRPr="005675B2">
        <w:rPr>
          <w:rFonts w:hint="cs"/>
          <w:rtl/>
        </w:rPr>
        <w:t xml:space="preserve"> لا نصلي حتى نأتيها</w:t>
      </w:r>
      <w:r w:rsidR="000636C2">
        <w:rPr>
          <w:rFonts w:hint="cs"/>
          <w:rtl/>
        </w:rPr>
        <w:t>،</w:t>
      </w:r>
      <w:r w:rsidRPr="005675B2">
        <w:rPr>
          <w:rFonts w:hint="cs"/>
          <w:rtl/>
        </w:rPr>
        <w:t xml:space="preserve"> وقال بعضهم</w:t>
      </w:r>
      <w:r w:rsidR="000636C2">
        <w:rPr>
          <w:rFonts w:hint="cs"/>
          <w:rtl/>
        </w:rPr>
        <w:t>:</w:t>
      </w:r>
      <w:r w:rsidRPr="005675B2">
        <w:rPr>
          <w:rFonts w:hint="cs"/>
          <w:rtl/>
        </w:rPr>
        <w:t xml:space="preserve"> بل نصلي</w:t>
      </w:r>
      <w:r w:rsidR="000636C2">
        <w:rPr>
          <w:rFonts w:hint="cs"/>
          <w:rtl/>
        </w:rPr>
        <w:t>،</w:t>
      </w:r>
      <w:r w:rsidRPr="005675B2">
        <w:rPr>
          <w:rFonts w:hint="cs"/>
          <w:rtl/>
        </w:rPr>
        <w:t xml:space="preserve"> لم يرد منا ذلك</w:t>
      </w:r>
      <w:r w:rsidR="000636C2">
        <w:rPr>
          <w:rFonts w:hint="cs"/>
          <w:rtl/>
        </w:rPr>
        <w:t>،</w:t>
      </w:r>
      <w:r w:rsidRPr="005675B2">
        <w:rPr>
          <w:rFonts w:hint="cs"/>
          <w:rtl/>
        </w:rPr>
        <w:t xml:space="preserve"> فُذِكر ذلك للنبي صلى الله عليه وسلم</w:t>
      </w:r>
      <w:r w:rsidR="000636C2">
        <w:rPr>
          <w:rFonts w:hint="cs"/>
          <w:rtl/>
        </w:rPr>
        <w:t>،</w:t>
      </w:r>
      <w:r w:rsidRPr="005675B2">
        <w:rPr>
          <w:rFonts w:hint="cs"/>
          <w:rtl/>
        </w:rPr>
        <w:t xml:space="preserve"> فلم يعنّف واحداً منهم [</w:t>
      </w:r>
      <w:r w:rsidRPr="005675B2">
        <w:rPr>
          <w:rFonts w:hint="cs"/>
          <w:sz w:val="24"/>
          <w:szCs w:val="24"/>
          <w:rtl/>
        </w:rPr>
        <w:t>صحيح البخاري: كتاب المغازي</w:t>
      </w:r>
      <w:r w:rsidR="000636C2">
        <w:rPr>
          <w:rFonts w:hint="cs"/>
          <w:sz w:val="24"/>
          <w:szCs w:val="24"/>
          <w:rtl/>
        </w:rPr>
        <w:t>،</w:t>
      </w:r>
      <w:r w:rsidRPr="005675B2">
        <w:rPr>
          <w:rFonts w:hint="cs"/>
          <w:sz w:val="24"/>
          <w:szCs w:val="24"/>
          <w:rtl/>
        </w:rPr>
        <w:t xml:space="preserve"> باب مرجع النبي صلى الله وسلم من الأحزاب ومخرجه إلى بني قريظة</w:t>
      </w:r>
      <w:r w:rsidR="000636C2">
        <w:rPr>
          <w:rFonts w:hint="cs"/>
          <w:sz w:val="24"/>
          <w:szCs w:val="24"/>
          <w:rtl/>
        </w:rPr>
        <w:t>]</w:t>
      </w:r>
      <w:r w:rsidR="000636C2">
        <w:rPr>
          <w:rFonts w:hint="cs"/>
          <w:rtl/>
        </w:rPr>
        <w:t>،</w:t>
      </w:r>
      <w:r w:rsidRPr="005675B2">
        <w:rPr>
          <w:rFonts w:hint="cs"/>
          <w:rtl/>
        </w:rPr>
        <w:t xml:space="preserve"> فقد أخذت الطائفة الأولى بظاهر النص الذي ينهى عن صلاة العصر ذلك اليوم إلا في بني قريظة</w:t>
      </w:r>
      <w:r w:rsidR="000636C2">
        <w:rPr>
          <w:rFonts w:hint="cs"/>
          <w:rtl/>
        </w:rPr>
        <w:t>،</w:t>
      </w:r>
      <w:r w:rsidRPr="005675B2">
        <w:rPr>
          <w:rFonts w:hint="cs"/>
          <w:rtl/>
        </w:rPr>
        <w:t xml:space="preserve"> وأولت الطائفة الثانية النهي بما يخرج النص عن ظاهره</w:t>
      </w:r>
      <w:r w:rsidR="000636C2">
        <w:rPr>
          <w:rFonts w:hint="cs"/>
          <w:rtl/>
        </w:rPr>
        <w:t>،</w:t>
      </w:r>
      <w:r w:rsidRPr="005675B2">
        <w:rPr>
          <w:rFonts w:hint="cs"/>
          <w:rtl/>
        </w:rPr>
        <w:t xml:space="preserve"> وقالوا </w:t>
      </w:r>
      <w:r w:rsidR="000636C2">
        <w:rPr>
          <w:rFonts w:hint="cs"/>
          <w:rtl/>
        </w:rPr>
        <w:t>[</w:t>
      </w:r>
      <w:r w:rsidRPr="005675B2">
        <w:rPr>
          <w:rFonts w:hint="cs"/>
          <w:rtl/>
        </w:rPr>
        <w:t>لم يرد منا ذلك</w:t>
      </w:r>
      <w:r w:rsidR="000636C2">
        <w:rPr>
          <w:rFonts w:hint="cs"/>
          <w:rtl/>
        </w:rPr>
        <w:t>]،</w:t>
      </w:r>
      <w:r w:rsidRPr="005675B2">
        <w:rPr>
          <w:rFonts w:hint="cs"/>
          <w:rtl/>
        </w:rPr>
        <w:t xml:space="preserve"> وكأنهم تأولوه على معنى الإسراع في التوجه إلى بني قريظة</w:t>
      </w:r>
      <w:r w:rsidR="000636C2">
        <w:rPr>
          <w:rFonts w:hint="cs"/>
          <w:rtl/>
        </w:rPr>
        <w:t>،</w:t>
      </w:r>
      <w:r w:rsidRPr="005675B2">
        <w:rPr>
          <w:rFonts w:hint="cs"/>
          <w:rtl/>
        </w:rPr>
        <w:t xml:space="preserve"> فهل كان صرفهم للنص عن ظاهره إلا </w:t>
      </w:r>
      <w:r w:rsidR="000636C2">
        <w:rPr>
          <w:rFonts w:hint="cs"/>
          <w:rtl/>
        </w:rPr>
        <w:t>[</w:t>
      </w:r>
      <w:r w:rsidRPr="005675B2">
        <w:rPr>
          <w:rFonts w:hint="cs"/>
          <w:rtl/>
        </w:rPr>
        <w:t>تأويلاً</w:t>
      </w:r>
      <w:r w:rsidR="000636C2">
        <w:rPr>
          <w:rFonts w:hint="cs"/>
          <w:rtl/>
        </w:rPr>
        <w:t>]؟</w:t>
      </w:r>
      <w:r w:rsidRPr="005675B2">
        <w:rPr>
          <w:rFonts w:hint="cs"/>
          <w:rtl/>
        </w:rPr>
        <w:t xml:space="preserve"> ‍‍وانظر كيف كانت قرينة الحال الدالة على معنى الإسراع كافية في جعل ذلك التأويل من باب </w:t>
      </w:r>
      <w:r w:rsidR="000636C2">
        <w:rPr>
          <w:rFonts w:hint="cs"/>
          <w:rtl/>
        </w:rPr>
        <w:t>[</w:t>
      </w:r>
      <w:r w:rsidRPr="005675B2">
        <w:rPr>
          <w:rFonts w:hint="cs"/>
          <w:rtl/>
        </w:rPr>
        <w:t>التأويل الصحيح</w:t>
      </w:r>
      <w:r w:rsidR="000636C2">
        <w:rPr>
          <w:rFonts w:hint="cs"/>
          <w:rtl/>
        </w:rPr>
        <w:t>]،</w:t>
      </w:r>
      <w:r w:rsidRPr="005675B2">
        <w:rPr>
          <w:rFonts w:hint="cs"/>
          <w:rtl/>
        </w:rPr>
        <w:t xml:space="preserve"> وانظر كيف أقر النبي صلى الله عليه وسلم كلتا الطائفتين ولم يعنف واحدة منهما</w:t>
      </w:r>
      <w:r w:rsidR="000636C2">
        <w:rPr>
          <w:rFonts w:hint="cs"/>
          <w:rtl/>
        </w:rPr>
        <w:t xml:space="preserve">، </w:t>
      </w:r>
      <w:r w:rsidRPr="005675B2">
        <w:rPr>
          <w:rFonts w:hint="cs"/>
          <w:rtl/>
        </w:rPr>
        <w:t>ومما ينقضه ما رواه هناد بن السري رحمه الله</w:t>
      </w:r>
      <w:r w:rsidR="000636C2">
        <w:rPr>
          <w:rFonts w:hint="cs"/>
          <w:rtl/>
        </w:rPr>
        <w:t>،</w:t>
      </w:r>
      <w:r w:rsidRPr="005675B2">
        <w:rPr>
          <w:rFonts w:hint="cs"/>
          <w:rtl/>
        </w:rPr>
        <w:t xml:space="preserve"> قال</w:t>
      </w:r>
      <w:r w:rsidR="000636C2">
        <w:rPr>
          <w:rFonts w:hint="cs"/>
          <w:rtl/>
        </w:rPr>
        <w:t>:</w:t>
      </w:r>
      <w:r w:rsidRPr="005675B2">
        <w:rPr>
          <w:rFonts w:hint="cs"/>
          <w:rtl/>
        </w:rPr>
        <w:t xml:space="preserve"> حدثنا وكيع</w:t>
      </w:r>
      <w:r w:rsidR="000636C2">
        <w:rPr>
          <w:rFonts w:hint="cs"/>
          <w:rtl/>
        </w:rPr>
        <w:t>،</w:t>
      </w:r>
      <w:r w:rsidRPr="005675B2">
        <w:rPr>
          <w:rFonts w:hint="cs"/>
          <w:rtl/>
        </w:rPr>
        <w:t xml:space="preserve"> عن سفيان</w:t>
      </w:r>
      <w:r w:rsidR="000636C2">
        <w:rPr>
          <w:rFonts w:hint="cs"/>
          <w:rtl/>
        </w:rPr>
        <w:t>،</w:t>
      </w:r>
      <w:r w:rsidRPr="005675B2">
        <w:rPr>
          <w:rFonts w:hint="cs"/>
          <w:rtl/>
        </w:rPr>
        <w:t xml:space="preserve"> عن ابن أبي َنجيح</w:t>
      </w:r>
      <w:r w:rsidR="000636C2">
        <w:rPr>
          <w:rFonts w:hint="cs"/>
          <w:rtl/>
        </w:rPr>
        <w:t>،</w:t>
      </w:r>
      <w:r w:rsidRPr="005675B2">
        <w:rPr>
          <w:rFonts w:hint="cs"/>
          <w:rtl/>
        </w:rPr>
        <w:t xml:space="preserve"> عن مجاهد أنه قال في تفسير قوله تعالى </w:t>
      </w:r>
      <w:r w:rsidR="000636C2">
        <w:rPr>
          <w:rFonts w:hint="cs"/>
          <w:rtl/>
        </w:rPr>
        <w:t>[</w:t>
      </w:r>
      <w:r w:rsidRPr="005675B2">
        <w:rPr>
          <w:rFonts w:hint="cs"/>
          <w:rtl/>
        </w:rPr>
        <w:t>وَلَهُمْ رِزْقُهُمْ فِيهَا بُكْرَةً وَعَشِيّاً</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مريم آية 62</w:t>
      </w:r>
      <w:r w:rsidR="000636C2">
        <w:rPr>
          <w:rFonts w:hint="cs"/>
          <w:sz w:val="24"/>
          <w:szCs w:val="24"/>
          <w:rtl/>
        </w:rPr>
        <w:t>]</w:t>
      </w:r>
      <w:r w:rsidR="000636C2">
        <w:rPr>
          <w:rFonts w:hint="cs"/>
          <w:rtl/>
        </w:rPr>
        <w:t>:</w:t>
      </w:r>
      <w:r w:rsidRPr="005675B2">
        <w:rPr>
          <w:rFonts w:hint="cs"/>
          <w:rtl/>
        </w:rPr>
        <w:t xml:space="preserve"> </w:t>
      </w:r>
      <w:r w:rsidR="000636C2">
        <w:rPr>
          <w:rFonts w:hint="cs"/>
          <w:rtl/>
        </w:rPr>
        <w:t>[</w:t>
      </w:r>
      <w:r w:rsidRPr="005675B2">
        <w:rPr>
          <w:rFonts w:hint="cs"/>
          <w:rtl/>
        </w:rPr>
        <w:t>ليس فيها بكرة ولا عشي</w:t>
      </w:r>
      <w:r w:rsidR="000636C2">
        <w:rPr>
          <w:rFonts w:hint="cs"/>
          <w:rtl/>
        </w:rPr>
        <w:t>،</w:t>
      </w:r>
      <w:r w:rsidRPr="005675B2">
        <w:rPr>
          <w:rFonts w:hint="cs"/>
          <w:rtl/>
        </w:rPr>
        <w:t>ولكن يؤتون به على الذي يحبون من البكرة والعشي</w:t>
      </w:r>
      <w:r w:rsidR="000636C2">
        <w:rPr>
          <w:rFonts w:hint="cs"/>
          <w:rtl/>
        </w:rPr>
        <w:t>]</w:t>
      </w:r>
      <w:r w:rsidRPr="005675B2">
        <w:rPr>
          <w:rFonts w:hint="cs"/>
          <w:rtl/>
        </w:rPr>
        <w:t xml:space="preserve"> [</w:t>
      </w:r>
      <w:r w:rsidRPr="005675B2">
        <w:rPr>
          <w:rFonts w:hint="cs"/>
          <w:sz w:val="24"/>
          <w:szCs w:val="24"/>
          <w:rtl/>
        </w:rPr>
        <w:t>الزهد لهناد: 1/72</w:t>
      </w:r>
      <w:r w:rsidR="000636C2">
        <w:rPr>
          <w:rFonts w:hint="cs"/>
          <w:sz w:val="24"/>
          <w:szCs w:val="24"/>
          <w:rtl/>
        </w:rPr>
        <w:t>،</w:t>
      </w:r>
      <w:r w:rsidRPr="005675B2">
        <w:rPr>
          <w:rFonts w:hint="cs"/>
          <w:sz w:val="24"/>
          <w:szCs w:val="24"/>
          <w:rtl/>
        </w:rPr>
        <w:t xml:space="preserve"> ورواه ابن جرير </w:t>
      </w:r>
      <w:r w:rsidR="000636C2">
        <w:rPr>
          <w:rFonts w:hint="cs"/>
          <w:sz w:val="24"/>
          <w:szCs w:val="24"/>
          <w:rtl/>
        </w:rPr>
        <w:t>(</w:t>
      </w:r>
      <w:r w:rsidRPr="005675B2">
        <w:rPr>
          <w:rFonts w:hint="cs"/>
          <w:sz w:val="24"/>
          <w:szCs w:val="24"/>
          <w:rtl/>
        </w:rPr>
        <w:t>16/102</w:t>
      </w:r>
      <w:r w:rsidR="000636C2">
        <w:rPr>
          <w:rFonts w:hint="cs"/>
          <w:sz w:val="24"/>
          <w:szCs w:val="24"/>
          <w:rtl/>
        </w:rPr>
        <w:t>)</w:t>
      </w:r>
      <w:r w:rsidRPr="005675B2">
        <w:rPr>
          <w:rFonts w:hint="cs"/>
          <w:sz w:val="24"/>
          <w:szCs w:val="24"/>
          <w:rtl/>
        </w:rPr>
        <w:t xml:space="preserve"> من وجه آخر عن سفيان الثوري به نحوه . والآية هي في سورة مريم</w:t>
      </w:r>
      <w:r w:rsidR="000636C2">
        <w:rPr>
          <w:rFonts w:hint="cs"/>
          <w:sz w:val="24"/>
          <w:szCs w:val="24"/>
          <w:rtl/>
        </w:rPr>
        <w:t>،</w:t>
      </w:r>
      <w:r w:rsidRPr="005675B2">
        <w:rPr>
          <w:rFonts w:hint="cs"/>
          <w:sz w:val="24"/>
          <w:szCs w:val="24"/>
          <w:rtl/>
        </w:rPr>
        <w:t xml:space="preserve"> الآية 62 . وإسناد هذا الأثر صحيح . وانظر: الدر المنثور للسيوطي: 4/278 . وروى ابن جرير نحوهذا المعنى عن جماعة من السلف</w:t>
      </w:r>
      <w:r w:rsidR="000636C2">
        <w:rPr>
          <w:rFonts w:hint="cs"/>
          <w:sz w:val="24"/>
          <w:szCs w:val="24"/>
          <w:rtl/>
        </w:rPr>
        <w:t>]</w:t>
      </w:r>
      <w:r w:rsidR="000636C2">
        <w:rPr>
          <w:rFonts w:hint="cs"/>
          <w:rtl/>
        </w:rPr>
        <w:t>،</w:t>
      </w:r>
      <w:r w:rsidRPr="005675B2">
        <w:rPr>
          <w:rFonts w:hint="cs"/>
          <w:rtl/>
        </w:rPr>
        <w:t xml:space="preserve"> ومجاهد هو أحد أئمة التابعين وأحد الآخذين عن ابن عباس رضي الله عنهما</w:t>
      </w:r>
      <w:r w:rsidR="000636C2">
        <w:rPr>
          <w:rFonts w:hint="cs"/>
          <w:rtl/>
        </w:rPr>
        <w:t>،</w:t>
      </w:r>
      <w:r w:rsidRPr="005675B2">
        <w:rPr>
          <w:rFonts w:hint="cs"/>
          <w:rtl/>
        </w:rPr>
        <w:t xml:space="preserve"> ولم ينفرد بهذا التأويل</w:t>
      </w:r>
      <w:r w:rsidR="000636C2">
        <w:rPr>
          <w:rFonts w:hint="cs"/>
          <w:rtl/>
        </w:rPr>
        <w:t xml:space="preserve">، </w:t>
      </w:r>
      <w:r w:rsidRPr="005675B2">
        <w:rPr>
          <w:rFonts w:hint="cs"/>
          <w:rtl/>
        </w:rPr>
        <w:t>15</w:t>
      </w:r>
      <w:r w:rsidR="000636C2">
        <w:rPr>
          <w:rFonts w:hint="cs"/>
          <w:rtl/>
        </w:rPr>
        <w:t xml:space="preserve"> </w:t>
      </w:r>
      <w:r w:rsidRPr="005675B2">
        <w:rPr>
          <w:rFonts w:hint="cs"/>
          <w:rtl/>
        </w:rPr>
        <w:t>- العلماء الذين ورد عنهم التأويل جماعة كبيرة</w:t>
      </w:r>
      <w:r w:rsidR="000636C2">
        <w:rPr>
          <w:rFonts w:hint="cs"/>
          <w:rtl/>
        </w:rPr>
        <w:t>،</w:t>
      </w:r>
      <w:r w:rsidRPr="005675B2">
        <w:rPr>
          <w:rFonts w:hint="cs"/>
          <w:rtl/>
        </w:rPr>
        <w:t xml:space="preserve"> ومنهم الشافعي وأحمد والبخاري رحمهم الله</w:t>
      </w:r>
      <w:r w:rsidR="000636C2">
        <w:rPr>
          <w:rFonts w:hint="cs"/>
          <w:rtl/>
        </w:rPr>
        <w:t>،</w:t>
      </w:r>
      <w:r w:rsidRPr="005675B2">
        <w:rPr>
          <w:rFonts w:hint="cs"/>
          <w:rtl/>
        </w:rPr>
        <w:t xml:space="preserve"> ولا يستطيع أحد أن يتهمهم بأنهم على غير طريقة السلف</w:t>
      </w:r>
      <w:r w:rsidR="000636C2">
        <w:rPr>
          <w:rFonts w:hint="cs"/>
          <w:rtl/>
        </w:rPr>
        <w:t xml:space="preserve">، </w:t>
      </w:r>
      <w:r w:rsidRPr="005675B2">
        <w:rPr>
          <w:rFonts w:hint="cs"/>
          <w:rtl/>
        </w:rPr>
        <w:t>قال الشافعي عن القرآن</w:t>
      </w:r>
      <w:r w:rsidR="000636C2">
        <w:rPr>
          <w:rFonts w:hint="cs"/>
          <w:rtl/>
        </w:rPr>
        <w:t>:</w:t>
      </w:r>
      <w:r w:rsidRPr="005675B2">
        <w:rPr>
          <w:rFonts w:hint="cs"/>
          <w:rtl/>
        </w:rPr>
        <w:t xml:space="preserve"> وأن منه ظاهراً يُعرف في سياقه أنه يراد به غير ظاهره</w:t>
      </w:r>
      <w:r w:rsidR="000636C2">
        <w:rPr>
          <w:rFonts w:hint="cs"/>
          <w:rtl/>
        </w:rPr>
        <w:t xml:space="preserve"> </w:t>
      </w:r>
      <w:r w:rsidRPr="005675B2">
        <w:rPr>
          <w:rFonts w:hint="cs"/>
          <w:rtl/>
        </w:rPr>
        <w:t>[</w:t>
      </w:r>
      <w:r w:rsidRPr="005675B2">
        <w:rPr>
          <w:rFonts w:hint="cs"/>
          <w:sz w:val="24"/>
          <w:szCs w:val="24"/>
          <w:rtl/>
        </w:rPr>
        <w:t>الرسالة للإمام الشافعي: ص 52</w:t>
      </w:r>
      <w:r w:rsidR="000636C2">
        <w:rPr>
          <w:rFonts w:hint="cs"/>
          <w:sz w:val="24"/>
          <w:szCs w:val="24"/>
          <w:rtl/>
        </w:rPr>
        <w:t>]</w:t>
      </w:r>
      <w:r w:rsidR="000636C2">
        <w:rPr>
          <w:rFonts w:hint="cs"/>
          <w:rtl/>
        </w:rPr>
        <w:t xml:space="preserve">، </w:t>
      </w:r>
      <w:r w:rsidRPr="005675B2">
        <w:rPr>
          <w:rFonts w:hint="cs"/>
          <w:rtl/>
        </w:rPr>
        <w:t>وسيأتي قريباً عن الإمام أحمد إن شاء الله تعالى أنه أوّل بعض النصوص</w:t>
      </w:r>
      <w:r w:rsidR="000636C2">
        <w:rPr>
          <w:rFonts w:hint="cs"/>
          <w:rtl/>
        </w:rPr>
        <w:t xml:space="preserve">، </w:t>
      </w:r>
      <w:r w:rsidRPr="005675B2">
        <w:rPr>
          <w:rFonts w:hint="cs"/>
          <w:rtl/>
        </w:rPr>
        <w:t xml:space="preserve">ونقل عن الحافظ الثقة حماد بن زيد المتوفى سنة </w:t>
      </w:r>
      <w:r w:rsidR="000636C2">
        <w:rPr>
          <w:rFonts w:hint="cs"/>
          <w:rtl/>
        </w:rPr>
        <w:t>(</w:t>
      </w:r>
      <w:r w:rsidRPr="005675B2">
        <w:rPr>
          <w:rFonts w:hint="cs"/>
          <w:rtl/>
        </w:rPr>
        <w:t>179ه -</w:t>
      </w:r>
      <w:r w:rsidR="000636C2">
        <w:rPr>
          <w:rFonts w:hint="cs"/>
          <w:rtl/>
        </w:rPr>
        <w:t>)</w:t>
      </w:r>
      <w:r w:rsidRPr="005675B2">
        <w:rPr>
          <w:rFonts w:hint="cs"/>
          <w:rtl/>
        </w:rPr>
        <w:t xml:space="preserve"> رحمه الله أنه فسر حديث </w:t>
      </w:r>
      <w:r w:rsidR="000636C2">
        <w:rPr>
          <w:rFonts w:hint="cs"/>
          <w:rtl/>
        </w:rPr>
        <w:t>[</w:t>
      </w:r>
      <w:r w:rsidRPr="005675B2">
        <w:rPr>
          <w:rFonts w:hint="cs"/>
          <w:rtl/>
        </w:rPr>
        <w:t>ينزل الله تعالى كل ليلة إلى سماء الدنيا …</w:t>
      </w:r>
      <w:r w:rsidR="000636C2">
        <w:rPr>
          <w:rFonts w:hint="cs"/>
          <w:rtl/>
        </w:rPr>
        <w:t>]</w:t>
      </w:r>
      <w:r w:rsidRPr="005675B2">
        <w:rPr>
          <w:rFonts w:hint="cs"/>
          <w:rtl/>
        </w:rPr>
        <w:t xml:space="preserve"> بقوله</w:t>
      </w:r>
      <w:r w:rsidR="000636C2">
        <w:rPr>
          <w:rFonts w:hint="cs"/>
          <w:rtl/>
        </w:rPr>
        <w:t>:</w:t>
      </w:r>
      <w:r w:rsidRPr="005675B2">
        <w:rPr>
          <w:rFonts w:hint="cs"/>
          <w:rtl/>
        </w:rPr>
        <w:t xml:space="preserve"> نزوله إقباله [</w:t>
      </w:r>
      <w:r w:rsidRPr="005675B2">
        <w:rPr>
          <w:rFonts w:hint="cs"/>
          <w:sz w:val="24"/>
          <w:szCs w:val="24"/>
          <w:rtl/>
        </w:rPr>
        <w:t>الأسماء والصفات للبيهقي: ص 572</w:t>
      </w:r>
      <w:r w:rsidR="000636C2">
        <w:rPr>
          <w:rFonts w:hint="cs"/>
          <w:sz w:val="24"/>
          <w:szCs w:val="24"/>
          <w:rtl/>
        </w:rPr>
        <w:t>،</w:t>
      </w:r>
      <w:r w:rsidRPr="005675B2">
        <w:rPr>
          <w:rFonts w:hint="cs"/>
          <w:sz w:val="24"/>
          <w:szCs w:val="24"/>
          <w:rtl/>
        </w:rPr>
        <w:t xml:space="preserve"> باب هل ينظرون إلا أن يأتيهم الله</w:t>
      </w:r>
      <w:r w:rsidR="000636C2">
        <w:rPr>
          <w:rFonts w:hint="cs"/>
          <w:sz w:val="24"/>
          <w:szCs w:val="24"/>
          <w:rtl/>
        </w:rPr>
        <w:t>]</w:t>
      </w:r>
      <w:r w:rsidR="000636C2">
        <w:rPr>
          <w:rFonts w:hint="cs"/>
          <w:rtl/>
        </w:rPr>
        <w:t xml:space="preserve">، </w:t>
      </w:r>
      <w:r w:rsidRPr="005675B2">
        <w:rPr>
          <w:rFonts w:hint="cs"/>
          <w:rtl/>
        </w:rPr>
        <w:t>وأما البخاري فقد قال</w:t>
      </w:r>
      <w:r w:rsidR="000636C2">
        <w:rPr>
          <w:rFonts w:hint="cs"/>
          <w:rtl/>
        </w:rPr>
        <w:t>:</w:t>
      </w:r>
      <w:r w:rsidRPr="005675B2">
        <w:rPr>
          <w:rFonts w:hint="cs"/>
          <w:rtl/>
        </w:rPr>
        <w:t xml:space="preserve"> وقال بعضهم إن أكثر مغاليط الناس من هذه الأوجه الذين لم يعرفوا المجاز من التحقيق</w:t>
      </w:r>
      <w:r w:rsidR="000636C2">
        <w:rPr>
          <w:rFonts w:hint="cs"/>
          <w:rtl/>
        </w:rPr>
        <w:t>،</w:t>
      </w:r>
      <w:r w:rsidRPr="005675B2">
        <w:rPr>
          <w:rFonts w:hint="cs"/>
          <w:rtl/>
        </w:rPr>
        <w:t xml:space="preserve"> … فأما بيان المجاز من التحقيق فمثل قول النبي صلى الله عليه وسلم للفرس </w:t>
      </w:r>
      <w:r w:rsidR="000636C2">
        <w:rPr>
          <w:rFonts w:hint="cs"/>
          <w:rtl/>
        </w:rPr>
        <w:t>[</w:t>
      </w:r>
      <w:r w:rsidRPr="005675B2">
        <w:rPr>
          <w:rFonts w:hint="cs"/>
          <w:rtl/>
        </w:rPr>
        <w:t>وجدته بحراً</w:t>
      </w:r>
      <w:r w:rsidR="000636C2">
        <w:rPr>
          <w:rFonts w:hint="cs"/>
          <w:rtl/>
        </w:rPr>
        <w:t>]،</w:t>
      </w:r>
      <w:r w:rsidRPr="005675B2">
        <w:rPr>
          <w:rFonts w:hint="cs"/>
          <w:rtl/>
        </w:rPr>
        <w:t xml:space="preserve"> وهو الذي يجوز فيما بين الناس</w:t>
      </w:r>
      <w:r w:rsidR="000636C2">
        <w:rPr>
          <w:rFonts w:hint="cs"/>
          <w:rtl/>
        </w:rPr>
        <w:t>،</w:t>
      </w:r>
      <w:r w:rsidRPr="005675B2">
        <w:rPr>
          <w:rFonts w:hint="cs"/>
          <w:rtl/>
        </w:rPr>
        <w:t xml:space="preserve"> وتحقيقه أن مشيه حسن [</w:t>
      </w:r>
      <w:r w:rsidRPr="005675B2">
        <w:rPr>
          <w:rFonts w:hint="cs"/>
          <w:sz w:val="24"/>
          <w:szCs w:val="24"/>
          <w:rtl/>
        </w:rPr>
        <w:t>خلق أفعال العباد والرد على الجهمية للبخاري: ص 109</w:t>
      </w:r>
      <w:r w:rsidR="000636C2">
        <w:rPr>
          <w:rFonts w:hint="cs"/>
          <w:sz w:val="24"/>
          <w:szCs w:val="24"/>
          <w:rtl/>
        </w:rPr>
        <w:t>]</w:t>
      </w:r>
      <w:r w:rsidR="000636C2">
        <w:rPr>
          <w:rFonts w:hint="cs"/>
          <w:rtl/>
        </w:rPr>
        <w:t xml:space="preserve">، </w:t>
      </w:r>
      <w:r w:rsidRPr="005675B2">
        <w:rPr>
          <w:rFonts w:hint="cs"/>
          <w:rtl/>
        </w:rPr>
        <w:t xml:space="preserve">كما أوَّلَ الضحك الوارد في قوله صلى الله عليه وسلم </w:t>
      </w:r>
      <w:r w:rsidR="000636C2">
        <w:rPr>
          <w:rFonts w:hint="cs"/>
          <w:rtl/>
        </w:rPr>
        <w:t>[</w:t>
      </w:r>
      <w:r w:rsidRPr="005675B2">
        <w:rPr>
          <w:rFonts w:hint="cs"/>
          <w:rtl/>
        </w:rPr>
        <w:t>فيضحك الله تبارك وتعالى منه</w:t>
      </w:r>
      <w:r w:rsidR="000636C2">
        <w:rPr>
          <w:rFonts w:hint="cs"/>
          <w:rtl/>
        </w:rPr>
        <w:t>]</w:t>
      </w:r>
      <w:r w:rsidRPr="005675B2">
        <w:rPr>
          <w:rFonts w:hint="cs"/>
          <w:rtl/>
        </w:rPr>
        <w:t xml:space="preserve"> فقال</w:t>
      </w:r>
      <w:r w:rsidR="000636C2">
        <w:rPr>
          <w:rFonts w:hint="cs"/>
          <w:rtl/>
        </w:rPr>
        <w:t>:</w:t>
      </w:r>
      <w:r w:rsidRPr="005675B2">
        <w:rPr>
          <w:rFonts w:hint="cs"/>
          <w:rtl/>
        </w:rPr>
        <w:t xml:space="preserve"> معنى الضحك فيه الرحمة </w:t>
      </w:r>
      <w:r w:rsidR="000636C2">
        <w:rPr>
          <w:rFonts w:hint="cs"/>
          <w:rtl/>
        </w:rPr>
        <w:t>[</w:t>
      </w:r>
      <w:r w:rsidRPr="005675B2">
        <w:rPr>
          <w:rFonts w:hint="cs"/>
          <w:sz w:val="24"/>
          <w:szCs w:val="24"/>
          <w:rtl/>
        </w:rPr>
        <w:t>انظر: الأسماء والصفات للبيهقي: ص 378</w:t>
      </w:r>
      <w:r w:rsidR="000636C2">
        <w:rPr>
          <w:rFonts w:hint="cs"/>
          <w:sz w:val="24"/>
          <w:szCs w:val="24"/>
          <w:rtl/>
        </w:rPr>
        <w:t>،</w:t>
      </w:r>
      <w:r w:rsidRPr="005675B2">
        <w:rPr>
          <w:rFonts w:hint="cs"/>
          <w:sz w:val="24"/>
          <w:szCs w:val="24"/>
          <w:rtl/>
        </w:rPr>
        <w:t xml:space="preserve"> باب ما ذكر في الصورة</w:t>
      </w:r>
      <w:r w:rsidR="000636C2">
        <w:rPr>
          <w:rFonts w:hint="cs"/>
          <w:sz w:val="24"/>
          <w:szCs w:val="24"/>
          <w:rtl/>
        </w:rPr>
        <w:t>]</w:t>
      </w:r>
      <w:r w:rsidR="000636C2">
        <w:rPr>
          <w:rFonts w:hint="cs"/>
          <w:rtl/>
        </w:rPr>
        <w:t xml:space="preserve">، </w:t>
      </w:r>
      <w:r w:rsidRPr="005675B2">
        <w:rPr>
          <w:rFonts w:hint="cs"/>
          <w:rtl/>
        </w:rPr>
        <w:t>وقد بين الإمام الشافعي رحمة الله عليه في النص المنقول آنفاً أن في القرآن الكريم ما له ظاهر ويراد به غير ظاهره</w:t>
      </w:r>
      <w:r w:rsidR="000636C2">
        <w:rPr>
          <w:rFonts w:hint="cs"/>
          <w:rtl/>
        </w:rPr>
        <w:t>،</w:t>
      </w:r>
      <w:r w:rsidRPr="005675B2">
        <w:rPr>
          <w:rFonts w:hint="cs"/>
          <w:rtl/>
        </w:rPr>
        <w:t xml:space="preserve"> وأن معرفة المراد تكون بالنظر في السياق</w:t>
      </w:r>
      <w:r w:rsidR="000636C2">
        <w:rPr>
          <w:rFonts w:hint="cs"/>
          <w:rtl/>
        </w:rPr>
        <w:t>،</w:t>
      </w:r>
      <w:r w:rsidRPr="005675B2">
        <w:rPr>
          <w:rFonts w:hint="cs"/>
          <w:rtl/>
        </w:rPr>
        <w:t xml:space="preserve"> وهذا يسميه الأشاعرة </w:t>
      </w:r>
      <w:r w:rsidR="000636C2">
        <w:rPr>
          <w:rFonts w:hint="cs"/>
          <w:rtl/>
        </w:rPr>
        <w:t>[</w:t>
      </w:r>
      <w:r w:rsidRPr="005675B2">
        <w:rPr>
          <w:rFonts w:hint="cs"/>
          <w:rtl/>
        </w:rPr>
        <w:t>تأويلاً</w:t>
      </w:r>
      <w:r w:rsidR="000636C2">
        <w:rPr>
          <w:rFonts w:hint="cs"/>
          <w:rtl/>
        </w:rPr>
        <w:t xml:space="preserve">]، </w:t>
      </w:r>
      <w:r w:rsidRPr="005675B2">
        <w:rPr>
          <w:rFonts w:hint="cs"/>
          <w:rtl/>
        </w:rPr>
        <w:t xml:space="preserve">وتفريق الإمام البخاري بين مجاز القول وتحقيقه وتفسيره للحديث بما يخرجه عن المعنى الظاهر من لفظة البحر هو نوع من </w:t>
      </w:r>
      <w:r w:rsidR="000636C2">
        <w:rPr>
          <w:rFonts w:hint="cs"/>
          <w:rtl/>
        </w:rPr>
        <w:t>[</w:t>
      </w:r>
      <w:r w:rsidRPr="005675B2">
        <w:rPr>
          <w:rFonts w:hint="cs"/>
          <w:rtl/>
        </w:rPr>
        <w:t>التأويل</w:t>
      </w:r>
      <w:r w:rsidR="000636C2">
        <w:rPr>
          <w:rFonts w:hint="cs"/>
          <w:rtl/>
        </w:rPr>
        <w:t xml:space="preserve">]، </w:t>
      </w:r>
      <w:r w:rsidRPr="005675B2">
        <w:rPr>
          <w:rFonts w:hint="cs"/>
          <w:rtl/>
        </w:rPr>
        <w:t>16</w:t>
      </w:r>
      <w:r w:rsidR="000636C2">
        <w:rPr>
          <w:rFonts w:hint="cs"/>
          <w:rtl/>
        </w:rPr>
        <w:t xml:space="preserve"> </w:t>
      </w:r>
      <w:r w:rsidRPr="005675B2">
        <w:rPr>
          <w:rFonts w:hint="cs"/>
          <w:rtl/>
        </w:rPr>
        <w:t>- ومن الغريب أن ابن تيمية رحمه الله لا يستنكر التأويل في بعض المواطن</w:t>
      </w:r>
      <w:r w:rsidR="000636C2">
        <w:rPr>
          <w:rFonts w:hint="cs"/>
          <w:rtl/>
        </w:rPr>
        <w:t>،</w:t>
      </w:r>
      <w:r w:rsidRPr="005675B2">
        <w:rPr>
          <w:rFonts w:hint="cs"/>
          <w:rtl/>
        </w:rPr>
        <w:t xml:space="preserve"> فقد قال</w:t>
      </w:r>
      <w:r w:rsidR="000636C2">
        <w:rPr>
          <w:rFonts w:hint="cs"/>
          <w:rtl/>
        </w:rPr>
        <w:t>:</w:t>
      </w:r>
      <w:r w:rsidRPr="005675B2">
        <w:rPr>
          <w:rFonts w:hint="cs"/>
          <w:rtl/>
        </w:rPr>
        <w:t xml:space="preserve"> ووصفَ الله تعالى نفسه ببسط اليدين فقال </w:t>
      </w:r>
      <w:r w:rsidR="000636C2">
        <w:rPr>
          <w:rFonts w:hint="cs"/>
          <w:rtl/>
        </w:rPr>
        <w:t>[</w:t>
      </w:r>
      <w:r w:rsidRPr="005675B2">
        <w:rPr>
          <w:rFonts w:hint="cs"/>
          <w:rtl/>
        </w:rPr>
        <w:t>بَلْ يَدَاهُ مَبْسُوطَتَانِ</w:t>
      </w:r>
      <w:r w:rsidR="000636C2">
        <w:rPr>
          <w:rFonts w:hint="cs"/>
          <w:rtl/>
        </w:rPr>
        <w:t>]</w:t>
      </w:r>
      <w:r w:rsidRPr="005675B2">
        <w:rPr>
          <w:rFonts w:hint="cs"/>
          <w:rtl/>
        </w:rPr>
        <w:t xml:space="preserve"> [</w:t>
      </w:r>
      <w:r w:rsidRPr="005675B2">
        <w:rPr>
          <w:rFonts w:hint="cs"/>
          <w:sz w:val="24"/>
          <w:szCs w:val="24"/>
          <w:rtl/>
        </w:rPr>
        <w:t>سورة المائدة آية 64</w:t>
      </w:r>
      <w:r w:rsidR="000636C2">
        <w:rPr>
          <w:rFonts w:hint="cs"/>
          <w:sz w:val="24"/>
          <w:szCs w:val="24"/>
          <w:rtl/>
        </w:rPr>
        <w:t>]</w:t>
      </w:r>
      <w:r w:rsidRPr="005675B2">
        <w:rPr>
          <w:rFonts w:hint="cs"/>
          <w:rtl/>
        </w:rPr>
        <w:t xml:space="preserve">، ووصفَ بعض خلقه ببسط اليد في قوله </w:t>
      </w:r>
      <w:r w:rsidR="000636C2">
        <w:rPr>
          <w:rFonts w:hint="cs"/>
          <w:rtl/>
        </w:rPr>
        <w:t>[</w:t>
      </w:r>
      <w:r w:rsidRPr="005675B2">
        <w:rPr>
          <w:rFonts w:hint="cs"/>
          <w:rtl/>
        </w:rPr>
        <w:t>وَلاَ تَبْسُطْهَا كُلَّ الْبَسْطِ</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الإسراء آية 29</w:t>
      </w:r>
      <w:r w:rsidR="000636C2">
        <w:rPr>
          <w:rFonts w:hint="cs"/>
          <w:sz w:val="24"/>
          <w:szCs w:val="24"/>
          <w:rtl/>
        </w:rPr>
        <w:t>]</w:t>
      </w:r>
      <w:r w:rsidR="000636C2">
        <w:rPr>
          <w:rFonts w:hint="cs"/>
          <w:rtl/>
        </w:rPr>
        <w:t>،</w:t>
      </w:r>
      <w:r w:rsidRPr="005675B2">
        <w:rPr>
          <w:rFonts w:hint="cs"/>
          <w:rtl/>
        </w:rPr>
        <w:t xml:space="preserve"> … وإذا كان المراد بالبسط الإعطاء والجود فليس إعطاء الله كإعطاء خلقه ولا جوده كجودهم</w:t>
      </w:r>
      <w:r w:rsidR="000636C2">
        <w:rPr>
          <w:rFonts w:hint="cs"/>
          <w:rtl/>
        </w:rPr>
        <w:t xml:space="preserve">، </w:t>
      </w:r>
      <w:r w:rsidRPr="005675B2">
        <w:rPr>
          <w:rFonts w:hint="cs"/>
          <w:rtl/>
        </w:rPr>
        <w:t>أقول</w:t>
      </w:r>
      <w:r w:rsidR="000636C2">
        <w:rPr>
          <w:rFonts w:hint="cs"/>
          <w:rtl/>
        </w:rPr>
        <w:t>:</w:t>
      </w:r>
      <w:r w:rsidRPr="005675B2">
        <w:rPr>
          <w:rFonts w:hint="cs"/>
          <w:rtl/>
        </w:rPr>
        <w:t xml:space="preserve"> وإذا جاز تفسير بسط اليدين بالإعطاء والجود فهذا هو </w:t>
      </w:r>
      <w:r w:rsidR="000636C2">
        <w:rPr>
          <w:rFonts w:hint="cs"/>
          <w:rtl/>
        </w:rPr>
        <w:t>[</w:t>
      </w:r>
      <w:r w:rsidRPr="005675B2">
        <w:rPr>
          <w:rFonts w:hint="cs"/>
          <w:rtl/>
        </w:rPr>
        <w:t>التأويل</w:t>
      </w:r>
      <w:r w:rsidR="000636C2">
        <w:rPr>
          <w:rFonts w:hint="cs"/>
          <w:rtl/>
        </w:rPr>
        <w:t>]</w:t>
      </w:r>
      <w:r w:rsidRPr="005675B2">
        <w:rPr>
          <w:rFonts w:hint="cs"/>
          <w:rtl/>
        </w:rPr>
        <w:t xml:space="preserve"> عند الأشاعرة</w:t>
      </w:r>
      <w:r w:rsidR="000636C2">
        <w:rPr>
          <w:rFonts w:hint="cs"/>
          <w:rtl/>
        </w:rPr>
        <w:t xml:space="preserve">، </w:t>
      </w:r>
      <w:r w:rsidRPr="005675B2">
        <w:rPr>
          <w:rFonts w:hint="cs"/>
          <w:rtl/>
        </w:rPr>
        <w:t>17</w:t>
      </w:r>
      <w:r w:rsidR="000636C2">
        <w:rPr>
          <w:rFonts w:hint="cs"/>
          <w:rtl/>
        </w:rPr>
        <w:t xml:space="preserve"> </w:t>
      </w:r>
      <w:r w:rsidRPr="005675B2">
        <w:rPr>
          <w:rFonts w:hint="cs"/>
          <w:rtl/>
        </w:rPr>
        <w:t xml:space="preserve">- إذا وجدنا الأشاعرة أو بعض الأشاعرة يقولون عن بعض النصوص </w:t>
      </w:r>
      <w:r w:rsidR="000636C2">
        <w:rPr>
          <w:rFonts w:hint="cs"/>
          <w:rtl/>
        </w:rPr>
        <w:t>[</w:t>
      </w:r>
      <w:r w:rsidRPr="005675B2">
        <w:rPr>
          <w:rFonts w:hint="cs"/>
          <w:rtl/>
        </w:rPr>
        <w:t>إنها توهم التشبيه ولهذا وجب تأويلها</w:t>
      </w:r>
      <w:r w:rsidR="000636C2">
        <w:rPr>
          <w:rFonts w:hint="cs"/>
          <w:rtl/>
        </w:rPr>
        <w:t>]</w:t>
      </w:r>
      <w:r w:rsidRPr="005675B2">
        <w:rPr>
          <w:rFonts w:hint="cs"/>
          <w:rtl/>
        </w:rPr>
        <w:t xml:space="preserve"> ؛ فينبغي أن لا نتسرع بحمل هذا الكلام على معنى لم يقصدوه</w:t>
      </w:r>
      <w:r w:rsidR="000636C2">
        <w:rPr>
          <w:rFonts w:hint="cs"/>
          <w:rtl/>
        </w:rPr>
        <w:t>،</w:t>
      </w:r>
      <w:r w:rsidRPr="005675B2">
        <w:rPr>
          <w:rFonts w:hint="cs"/>
          <w:rtl/>
        </w:rPr>
        <w:t xml:space="preserve"> والإقذاع لهم بالقول عما لم يعتقدوه</w:t>
      </w:r>
      <w:r w:rsidR="000636C2">
        <w:rPr>
          <w:rFonts w:hint="cs"/>
          <w:rtl/>
        </w:rPr>
        <w:t>،</w:t>
      </w:r>
      <w:r w:rsidRPr="005675B2">
        <w:rPr>
          <w:rFonts w:hint="cs"/>
          <w:rtl/>
        </w:rPr>
        <w:t xml:space="preserve"> بل الواجب هو تفهمه في ضوء سائر كلامهم ومرامهم</w:t>
      </w:r>
      <w:r w:rsidR="000636C2">
        <w:rPr>
          <w:rFonts w:hint="cs"/>
          <w:rtl/>
        </w:rPr>
        <w:t xml:space="preserve">، </w:t>
      </w:r>
      <w:r w:rsidRPr="005675B2">
        <w:rPr>
          <w:rFonts w:hint="cs"/>
          <w:rtl/>
        </w:rPr>
        <w:t>ومعناه هو أن تلك النصوص إذا فسرت حسب معاني الألفاظ مقطوعة عن سياقها فإنها توهم التشبيه</w:t>
      </w:r>
      <w:r w:rsidR="000636C2">
        <w:rPr>
          <w:rFonts w:hint="cs"/>
          <w:rtl/>
        </w:rPr>
        <w:t>،</w:t>
      </w:r>
      <w:r w:rsidRPr="005675B2">
        <w:rPr>
          <w:rFonts w:hint="cs"/>
          <w:rtl/>
        </w:rPr>
        <w:t xml:space="preserve"> وخاصة في أذهان الداخلين في الإسلام من غير العرب الذين قد تترجم لهم النصوص ترجمة حرفية</w:t>
      </w:r>
      <w:r w:rsidR="000636C2">
        <w:rPr>
          <w:rFonts w:hint="cs"/>
          <w:rtl/>
        </w:rPr>
        <w:t>،</w:t>
      </w:r>
      <w:r w:rsidRPr="005675B2">
        <w:rPr>
          <w:rFonts w:hint="cs"/>
          <w:rtl/>
        </w:rPr>
        <w:t xml:space="preserve"> أو</w:t>
      </w:r>
      <w:r w:rsidR="000636C2">
        <w:rPr>
          <w:rFonts w:hint="cs"/>
          <w:rtl/>
        </w:rPr>
        <w:t xml:space="preserve"> </w:t>
      </w:r>
      <w:r w:rsidRPr="005675B2">
        <w:rPr>
          <w:rFonts w:hint="cs"/>
          <w:rtl/>
        </w:rPr>
        <w:t>في أذهان من سار على هذه الطريقة في الفهم</w:t>
      </w:r>
      <w:r w:rsidR="000636C2">
        <w:rPr>
          <w:rFonts w:hint="cs"/>
          <w:rtl/>
        </w:rPr>
        <w:t>،</w:t>
      </w:r>
      <w:r w:rsidRPr="005675B2">
        <w:rPr>
          <w:rFonts w:hint="cs"/>
          <w:rtl/>
        </w:rPr>
        <w:t xml:space="preserve"> ولذا فإنها تفسر حسب أساليب العرب البلغاء في البيان</w:t>
      </w:r>
      <w:r w:rsidR="000636C2">
        <w:rPr>
          <w:rFonts w:hint="cs"/>
          <w:rtl/>
        </w:rPr>
        <w:t>،</w:t>
      </w:r>
      <w:r w:rsidRPr="005675B2">
        <w:rPr>
          <w:rFonts w:hint="cs"/>
          <w:rtl/>
        </w:rPr>
        <w:t xml:space="preserve"> وبما يتفق مع الحقائق العقلية القطعية والنصوص المُحْكمة الشرعية</w:t>
      </w:r>
      <w:r w:rsidR="000636C2">
        <w:rPr>
          <w:rFonts w:hint="cs"/>
          <w:rtl/>
        </w:rPr>
        <w:t>،</w:t>
      </w:r>
      <w:r w:rsidRPr="005675B2">
        <w:rPr>
          <w:rFonts w:hint="cs"/>
          <w:rtl/>
        </w:rPr>
        <w:t xml:space="preserve"> لا حسب تجميع معاني المفردات</w:t>
      </w:r>
      <w:r w:rsidR="000636C2">
        <w:rPr>
          <w:rFonts w:hint="cs"/>
          <w:rtl/>
        </w:rPr>
        <w:t xml:space="preserve">، </w:t>
      </w:r>
      <w:r w:rsidRPr="005675B2">
        <w:rPr>
          <w:rFonts w:hint="cs"/>
          <w:rtl/>
        </w:rPr>
        <w:t>18</w:t>
      </w:r>
      <w:r w:rsidR="000636C2">
        <w:rPr>
          <w:rFonts w:hint="cs"/>
          <w:rtl/>
        </w:rPr>
        <w:t xml:space="preserve"> </w:t>
      </w:r>
      <w:r w:rsidRPr="005675B2">
        <w:rPr>
          <w:rFonts w:hint="cs"/>
          <w:rtl/>
        </w:rPr>
        <w:t>- زعم الباحث أن أبا حامد الغزالي رحمه الله افترى على الإمام أحمد رحمه الله</w:t>
      </w:r>
      <w:r w:rsidR="000636C2">
        <w:rPr>
          <w:rFonts w:hint="cs"/>
          <w:rtl/>
        </w:rPr>
        <w:t>،</w:t>
      </w:r>
      <w:r w:rsidRPr="005675B2">
        <w:rPr>
          <w:rFonts w:hint="cs"/>
          <w:rtl/>
        </w:rPr>
        <w:t xml:space="preserve"> إذ ادّعى أن الإمام أحمد استثنى ثلاثة أحاديث وقال لا بد من تأويلها</w:t>
      </w:r>
      <w:r w:rsidR="000636C2">
        <w:rPr>
          <w:rFonts w:hint="cs"/>
          <w:rtl/>
        </w:rPr>
        <w:t>،</w:t>
      </w:r>
      <w:r w:rsidRPr="005675B2">
        <w:rPr>
          <w:rFonts w:hint="cs"/>
          <w:rtl/>
        </w:rPr>
        <w:t xml:space="preserve"> وهو زعم ينقصه الدليل</w:t>
      </w:r>
      <w:r w:rsidR="000636C2">
        <w:rPr>
          <w:rFonts w:hint="cs"/>
          <w:rtl/>
        </w:rPr>
        <w:t>،</w:t>
      </w:r>
      <w:r w:rsidRPr="005675B2">
        <w:rPr>
          <w:rFonts w:hint="cs"/>
          <w:rtl/>
        </w:rPr>
        <w:t xml:space="preserve"> بل وينقضه الدليل</w:t>
      </w:r>
      <w:r w:rsidR="000636C2">
        <w:rPr>
          <w:rFonts w:hint="cs"/>
          <w:rtl/>
        </w:rPr>
        <w:t xml:space="preserve">، </w:t>
      </w:r>
      <w:r w:rsidRPr="005675B2">
        <w:rPr>
          <w:rFonts w:hint="cs"/>
          <w:rtl/>
        </w:rPr>
        <w:t>والذي ينقضه هو أن الإمام أحمد رحمه الله تعالى قد ثبت عنه أنه أول بعض النصوص</w:t>
      </w:r>
      <w:r w:rsidR="000636C2">
        <w:rPr>
          <w:rFonts w:hint="cs"/>
          <w:rtl/>
        </w:rPr>
        <w:t>:</w:t>
      </w:r>
      <w:r w:rsidRPr="005675B2">
        <w:rPr>
          <w:rFonts w:hint="cs"/>
          <w:rtl/>
        </w:rPr>
        <w:t xml:space="preserve"> فمن ذلك ما رواه البيهقي عن الحاكم عن أبي عمرو ابن السماك عن حنبل أن أحمد ابن حنبل تأول قول الله تعالى </w:t>
      </w:r>
      <w:r w:rsidR="000636C2">
        <w:rPr>
          <w:rFonts w:hint="cs"/>
          <w:rtl/>
        </w:rPr>
        <w:t>[</w:t>
      </w:r>
      <w:r w:rsidRPr="005675B2">
        <w:rPr>
          <w:rFonts w:hint="cs"/>
          <w:rtl/>
        </w:rPr>
        <w:t>وَجَاءَ رَبُّكَ</w:t>
      </w:r>
      <w:r w:rsidR="000636C2">
        <w:rPr>
          <w:rFonts w:hint="cs"/>
          <w:rtl/>
        </w:rPr>
        <w:t>] [</w:t>
      </w:r>
      <w:r w:rsidRPr="005675B2">
        <w:rPr>
          <w:rFonts w:hint="cs"/>
          <w:sz w:val="24"/>
          <w:szCs w:val="24"/>
          <w:rtl/>
        </w:rPr>
        <w:t>سورة الفجر آية 22</w:t>
      </w:r>
      <w:r w:rsidR="000636C2">
        <w:rPr>
          <w:rFonts w:hint="cs"/>
          <w:sz w:val="24"/>
          <w:szCs w:val="24"/>
          <w:rtl/>
        </w:rPr>
        <w:t>]</w:t>
      </w:r>
      <w:r w:rsidRPr="005675B2">
        <w:rPr>
          <w:rFonts w:hint="cs"/>
          <w:rtl/>
        </w:rPr>
        <w:t xml:space="preserve"> أنه جاء ثوابه</w:t>
      </w:r>
      <w:r w:rsidR="000636C2">
        <w:rPr>
          <w:rFonts w:hint="cs"/>
          <w:rtl/>
        </w:rPr>
        <w:t>،</w:t>
      </w:r>
      <w:r w:rsidRPr="005675B2">
        <w:rPr>
          <w:rFonts w:hint="cs"/>
          <w:rtl/>
        </w:rPr>
        <w:t xml:space="preserve"> ثم قال البيهقي</w:t>
      </w:r>
      <w:r w:rsidR="000636C2">
        <w:rPr>
          <w:rFonts w:hint="cs"/>
          <w:rtl/>
        </w:rPr>
        <w:t>:</w:t>
      </w:r>
      <w:r w:rsidRPr="005675B2">
        <w:rPr>
          <w:rFonts w:hint="cs"/>
          <w:rtl/>
        </w:rPr>
        <w:t xml:space="preserve"> وهذا إسناد لا غبار عليه</w:t>
      </w:r>
      <w:r w:rsidR="000636C2">
        <w:rPr>
          <w:rFonts w:hint="cs"/>
          <w:rtl/>
        </w:rPr>
        <w:t xml:space="preserve"> </w:t>
      </w:r>
      <w:r w:rsidRPr="005675B2">
        <w:rPr>
          <w:rFonts w:hint="cs"/>
          <w:rtl/>
        </w:rPr>
        <w:t>[</w:t>
      </w:r>
      <w:r w:rsidRPr="005675B2">
        <w:rPr>
          <w:rFonts w:hint="cs"/>
          <w:sz w:val="24"/>
          <w:szCs w:val="24"/>
          <w:rtl/>
        </w:rPr>
        <w:t>انظر: البداية والنهاية لابن كثير: 10/370</w:t>
      </w:r>
      <w:r w:rsidR="000636C2">
        <w:rPr>
          <w:rFonts w:hint="cs"/>
          <w:sz w:val="24"/>
          <w:szCs w:val="24"/>
          <w:rtl/>
        </w:rPr>
        <w:t>،</w:t>
      </w:r>
      <w:r w:rsidRPr="005675B2">
        <w:rPr>
          <w:rFonts w:hint="cs"/>
          <w:sz w:val="24"/>
          <w:szCs w:val="24"/>
          <w:rtl/>
        </w:rPr>
        <w:t xml:space="preserve"> في ترجمة الإمام أحمد . أبو عمرو ابن السماك: هو عثمان بن أحمد ابن عبد الله</w:t>
      </w:r>
      <w:r w:rsidR="000636C2">
        <w:rPr>
          <w:rFonts w:hint="cs"/>
          <w:sz w:val="24"/>
          <w:szCs w:val="24"/>
          <w:rtl/>
        </w:rPr>
        <w:t>،</w:t>
      </w:r>
      <w:r w:rsidRPr="005675B2">
        <w:rPr>
          <w:rFonts w:hint="cs"/>
          <w:sz w:val="24"/>
          <w:szCs w:val="24"/>
          <w:rtl/>
        </w:rPr>
        <w:t xml:space="preserve"> سمع من حنبل وغيره</w:t>
      </w:r>
      <w:r w:rsidR="000636C2">
        <w:rPr>
          <w:rFonts w:hint="cs"/>
          <w:sz w:val="24"/>
          <w:szCs w:val="24"/>
          <w:rtl/>
        </w:rPr>
        <w:t>،</w:t>
      </w:r>
      <w:r w:rsidRPr="005675B2">
        <w:rPr>
          <w:rFonts w:hint="cs"/>
          <w:sz w:val="24"/>
          <w:szCs w:val="24"/>
          <w:rtl/>
        </w:rPr>
        <w:t xml:space="preserve"> وسمع منه الحاكم وغيره</w:t>
      </w:r>
      <w:r w:rsidR="000636C2">
        <w:rPr>
          <w:rFonts w:hint="cs"/>
          <w:sz w:val="24"/>
          <w:szCs w:val="24"/>
          <w:rtl/>
        </w:rPr>
        <w:t>،</w:t>
      </w:r>
      <w:r w:rsidRPr="005675B2">
        <w:rPr>
          <w:rFonts w:hint="cs"/>
          <w:sz w:val="24"/>
          <w:szCs w:val="24"/>
          <w:rtl/>
        </w:rPr>
        <w:t xml:space="preserve"> توفي سنة (344هـ)</w:t>
      </w:r>
      <w:r w:rsidR="000636C2">
        <w:rPr>
          <w:rFonts w:hint="cs"/>
          <w:sz w:val="24"/>
          <w:szCs w:val="24"/>
          <w:rtl/>
        </w:rPr>
        <w:t>،</w:t>
      </w:r>
      <w:r w:rsidRPr="005675B2">
        <w:rPr>
          <w:rFonts w:hint="cs"/>
          <w:sz w:val="24"/>
          <w:szCs w:val="24"/>
          <w:rtl/>
        </w:rPr>
        <w:t xml:space="preserve"> وهو ثقة . </w:t>
      </w:r>
      <w:r w:rsidR="000636C2">
        <w:rPr>
          <w:rFonts w:hint="cs"/>
          <w:sz w:val="24"/>
          <w:szCs w:val="24"/>
          <w:rtl/>
        </w:rPr>
        <w:t>(</w:t>
      </w:r>
      <w:r w:rsidRPr="005675B2">
        <w:rPr>
          <w:rFonts w:hint="cs"/>
          <w:sz w:val="24"/>
          <w:szCs w:val="24"/>
          <w:rtl/>
        </w:rPr>
        <w:t>سير أعلام النبلاء: 15/444 – 445</w:t>
      </w:r>
      <w:r w:rsidR="000636C2">
        <w:rPr>
          <w:rFonts w:hint="cs"/>
          <w:sz w:val="24"/>
          <w:szCs w:val="24"/>
          <w:rtl/>
        </w:rPr>
        <w:t xml:space="preserve">)، </w:t>
      </w:r>
      <w:r w:rsidRPr="005675B2">
        <w:rPr>
          <w:rFonts w:hint="cs"/>
          <w:sz w:val="24"/>
          <w:szCs w:val="24"/>
          <w:rtl/>
        </w:rPr>
        <w:t>حنبل بن إسحاق بن حنبل: هو ابن عم الإمام أحمد</w:t>
      </w:r>
      <w:r w:rsidR="000636C2">
        <w:rPr>
          <w:rFonts w:hint="cs"/>
          <w:sz w:val="24"/>
          <w:szCs w:val="24"/>
          <w:rtl/>
        </w:rPr>
        <w:t>،</w:t>
      </w:r>
      <w:r w:rsidRPr="005675B2">
        <w:rPr>
          <w:rFonts w:hint="cs"/>
          <w:sz w:val="24"/>
          <w:szCs w:val="24"/>
          <w:rtl/>
        </w:rPr>
        <w:t xml:space="preserve"> ومن خاصة أصحابه</w:t>
      </w:r>
      <w:r w:rsidR="000636C2">
        <w:rPr>
          <w:rFonts w:hint="cs"/>
          <w:sz w:val="24"/>
          <w:szCs w:val="24"/>
          <w:rtl/>
        </w:rPr>
        <w:t>،</w:t>
      </w:r>
      <w:r w:rsidRPr="005675B2">
        <w:rPr>
          <w:rFonts w:hint="cs"/>
          <w:sz w:val="24"/>
          <w:szCs w:val="24"/>
          <w:rtl/>
        </w:rPr>
        <w:t xml:space="preserve"> توفي سنة (273هـ)، وهو ثقة . </w:t>
      </w:r>
      <w:r w:rsidR="000636C2">
        <w:rPr>
          <w:rFonts w:hint="cs"/>
          <w:sz w:val="24"/>
          <w:szCs w:val="24"/>
          <w:rtl/>
        </w:rPr>
        <w:t>(</w:t>
      </w:r>
      <w:r w:rsidRPr="005675B2">
        <w:rPr>
          <w:rFonts w:hint="cs"/>
          <w:sz w:val="24"/>
          <w:szCs w:val="24"/>
          <w:rtl/>
        </w:rPr>
        <w:t>سير أعلام النبلاء: 13/51 – 52</w:t>
      </w:r>
      <w:r w:rsidR="000636C2">
        <w:rPr>
          <w:rFonts w:hint="cs"/>
          <w:sz w:val="24"/>
          <w:szCs w:val="24"/>
          <w:rtl/>
        </w:rPr>
        <w:t>)،]</w:t>
      </w:r>
      <w:r w:rsidR="000636C2">
        <w:rPr>
          <w:rFonts w:hint="cs"/>
          <w:rtl/>
        </w:rPr>
        <w:t xml:space="preserve">، </w:t>
      </w:r>
      <w:r w:rsidRPr="005675B2">
        <w:rPr>
          <w:rFonts w:hint="cs"/>
          <w:rtl/>
        </w:rPr>
        <w:t xml:space="preserve">ومن ذلك ما روي عنه أنه أوّل الحديث النبوي الذي فيه </w:t>
      </w:r>
      <w:r w:rsidR="000636C2">
        <w:rPr>
          <w:rFonts w:hint="cs"/>
          <w:rtl/>
        </w:rPr>
        <w:t>[</w:t>
      </w:r>
      <w:r w:rsidRPr="005675B2">
        <w:rPr>
          <w:rFonts w:hint="cs"/>
          <w:rtl/>
        </w:rPr>
        <w:t>تجيء يوم القيامة سورة البقرة</w:t>
      </w:r>
      <w:r w:rsidR="000636C2">
        <w:rPr>
          <w:rFonts w:hint="cs"/>
          <w:rtl/>
        </w:rPr>
        <w:t>]</w:t>
      </w:r>
      <w:r w:rsidRPr="005675B2">
        <w:rPr>
          <w:rFonts w:hint="cs"/>
          <w:rtl/>
        </w:rPr>
        <w:t xml:space="preserve"> فقال</w:t>
      </w:r>
      <w:r w:rsidR="000636C2">
        <w:rPr>
          <w:rFonts w:hint="cs"/>
          <w:rtl/>
        </w:rPr>
        <w:t>:</w:t>
      </w:r>
      <w:r w:rsidRPr="005675B2">
        <w:rPr>
          <w:rFonts w:hint="cs"/>
          <w:rtl/>
        </w:rPr>
        <w:t xml:space="preserve"> إنما هو الثـواب</w:t>
      </w:r>
      <w:r w:rsidR="000636C2">
        <w:rPr>
          <w:rFonts w:hint="cs"/>
          <w:rtl/>
        </w:rPr>
        <w:t xml:space="preserve"> </w:t>
      </w:r>
      <w:r w:rsidRPr="005675B2">
        <w:rPr>
          <w:rFonts w:hint="cs"/>
          <w:rtl/>
        </w:rPr>
        <w:t>[</w:t>
      </w:r>
      <w:r w:rsidRPr="005675B2">
        <w:rPr>
          <w:rFonts w:hint="cs"/>
          <w:sz w:val="24"/>
          <w:szCs w:val="24"/>
          <w:rtl/>
        </w:rPr>
        <w:t xml:space="preserve">عزاه الكوثري في تعليقه على </w:t>
      </w:r>
      <w:r w:rsidR="000636C2">
        <w:rPr>
          <w:rFonts w:hint="cs"/>
          <w:sz w:val="24"/>
          <w:szCs w:val="24"/>
          <w:rtl/>
        </w:rPr>
        <w:t>(</w:t>
      </w:r>
      <w:r w:rsidRPr="005675B2">
        <w:rPr>
          <w:rFonts w:hint="cs"/>
          <w:sz w:val="24"/>
          <w:szCs w:val="24"/>
          <w:rtl/>
        </w:rPr>
        <w:t xml:space="preserve">دفع شبه من شبه وتمرد) للخلال بسنده عن حنبل بن إسحاق عن ابن عمه الإمام أحمد . والمطبوع من كتاب </w:t>
      </w:r>
      <w:r w:rsidR="000636C2">
        <w:rPr>
          <w:rFonts w:hint="cs"/>
          <w:sz w:val="24"/>
          <w:szCs w:val="24"/>
          <w:rtl/>
        </w:rPr>
        <w:t>(</w:t>
      </w:r>
      <w:r w:rsidRPr="005675B2">
        <w:rPr>
          <w:rFonts w:hint="cs"/>
          <w:sz w:val="24"/>
          <w:szCs w:val="24"/>
          <w:rtl/>
        </w:rPr>
        <w:t>السنة) للخلال هو شطره</w:t>
      </w:r>
      <w:r w:rsidR="000636C2">
        <w:rPr>
          <w:rFonts w:hint="cs"/>
          <w:sz w:val="24"/>
          <w:szCs w:val="24"/>
          <w:rtl/>
        </w:rPr>
        <w:t>،</w:t>
      </w:r>
      <w:r w:rsidRPr="005675B2">
        <w:rPr>
          <w:rFonts w:hint="cs"/>
          <w:sz w:val="24"/>
          <w:szCs w:val="24"/>
          <w:rtl/>
        </w:rPr>
        <w:t xml:space="preserve"> ولم أجد فيه هذه الحكاية عن أحمد</w:t>
      </w:r>
      <w:r w:rsidR="000636C2">
        <w:rPr>
          <w:rFonts w:hint="cs"/>
          <w:sz w:val="24"/>
          <w:szCs w:val="24"/>
          <w:rtl/>
        </w:rPr>
        <w:t>،</w:t>
      </w:r>
      <w:r w:rsidRPr="005675B2">
        <w:rPr>
          <w:rFonts w:hint="cs"/>
          <w:sz w:val="24"/>
          <w:szCs w:val="24"/>
          <w:rtl/>
        </w:rPr>
        <w:t xml:space="preserve"> فلعلها في الشطر المخطوط</w:t>
      </w:r>
      <w:r w:rsidR="000636C2">
        <w:rPr>
          <w:rFonts w:hint="cs"/>
          <w:sz w:val="24"/>
          <w:szCs w:val="24"/>
          <w:rtl/>
        </w:rPr>
        <w:t>]</w:t>
      </w:r>
      <w:r w:rsidR="000636C2">
        <w:rPr>
          <w:rFonts w:hint="cs"/>
          <w:rtl/>
        </w:rPr>
        <w:t xml:space="preserve">، </w:t>
      </w:r>
      <w:r w:rsidRPr="005675B2">
        <w:rPr>
          <w:rFonts w:hint="cs"/>
          <w:rtl/>
        </w:rPr>
        <w:t xml:space="preserve">ومن ذلك ما روي عنه في تفسير قوله تعالى </w:t>
      </w:r>
      <w:r w:rsidR="000636C2">
        <w:rPr>
          <w:rFonts w:hint="cs"/>
          <w:rtl/>
        </w:rPr>
        <w:t>[</w:t>
      </w:r>
      <w:r w:rsidRPr="005675B2">
        <w:rPr>
          <w:rFonts w:hint="cs"/>
          <w:rtl/>
        </w:rPr>
        <w:t>إِلَّا أَنْ يَأْتِيَهُمُ اللَّه</w:t>
      </w:r>
      <w:r w:rsidR="000636C2">
        <w:rPr>
          <w:rFonts w:hint="cs"/>
          <w:rtl/>
        </w:rPr>
        <w:t>]</w:t>
      </w:r>
      <w:r w:rsidRPr="005675B2">
        <w:rPr>
          <w:rFonts w:hint="cs"/>
          <w:rtl/>
        </w:rPr>
        <w:t xml:space="preserve"> [</w:t>
      </w:r>
      <w:r w:rsidRPr="005675B2">
        <w:rPr>
          <w:rFonts w:hint="cs"/>
          <w:sz w:val="24"/>
          <w:szCs w:val="24"/>
          <w:rtl/>
        </w:rPr>
        <w:t>سورة البقرة آية 210</w:t>
      </w:r>
      <w:r w:rsidR="000636C2">
        <w:rPr>
          <w:rFonts w:hint="cs"/>
          <w:sz w:val="24"/>
          <w:szCs w:val="24"/>
          <w:rtl/>
        </w:rPr>
        <w:t>]</w:t>
      </w:r>
      <w:r w:rsidR="000636C2">
        <w:rPr>
          <w:rFonts w:hint="cs"/>
          <w:rtl/>
        </w:rPr>
        <w:t>،</w:t>
      </w:r>
      <w:r w:rsidRPr="005675B2">
        <w:rPr>
          <w:rFonts w:hint="cs"/>
          <w:rtl/>
        </w:rPr>
        <w:t xml:space="preserve"> قال</w:t>
      </w:r>
      <w:r w:rsidR="000636C2">
        <w:rPr>
          <w:rFonts w:hint="cs"/>
          <w:rtl/>
        </w:rPr>
        <w:t>:</w:t>
      </w:r>
      <w:r w:rsidRPr="005675B2">
        <w:rPr>
          <w:rFonts w:hint="cs"/>
          <w:rtl/>
        </w:rPr>
        <w:t xml:space="preserve"> المراد به قدرته وأمره</w:t>
      </w:r>
      <w:r w:rsidR="000636C2">
        <w:rPr>
          <w:rFonts w:hint="cs"/>
          <w:rtl/>
        </w:rPr>
        <w:t xml:space="preserve"> </w:t>
      </w:r>
      <w:r w:rsidRPr="005675B2">
        <w:rPr>
          <w:rFonts w:hint="cs"/>
          <w:rtl/>
        </w:rPr>
        <w:t>[</w:t>
      </w:r>
      <w:r w:rsidRPr="005675B2">
        <w:rPr>
          <w:rFonts w:hint="cs"/>
          <w:sz w:val="24"/>
          <w:szCs w:val="24"/>
          <w:rtl/>
        </w:rPr>
        <w:t>عزاه الكوثري في تعليقه على الأسماء والصفات للقاضي أبي يعلى عن الإمام أحمد: ص 563 . والنص الأول المنقول عنه بسند صحيح يغني عما بعده حتى يتم التثبت من النصين الآخرين وإسناديهما</w:t>
      </w:r>
      <w:r w:rsidR="000636C2">
        <w:rPr>
          <w:rFonts w:hint="cs"/>
          <w:sz w:val="24"/>
          <w:szCs w:val="24"/>
          <w:rtl/>
        </w:rPr>
        <w:t>]</w:t>
      </w:r>
      <w:r w:rsidR="000636C2">
        <w:rPr>
          <w:rFonts w:hint="cs"/>
          <w:rtl/>
        </w:rPr>
        <w:t>،</w:t>
      </w:r>
      <w:r w:rsidRPr="005675B2">
        <w:rPr>
          <w:rFonts w:hint="cs"/>
          <w:rtl/>
        </w:rPr>
        <w:t xml:space="preserve"> ومن ذلك قوله في حديث </w:t>
      </w:r>
      <w:r w:rsidR="000636C2">
        <w:rPr>
          <w:rFonts w:hint="cs"/>
          <w:rtl/>
        </w:rPr>
        <w:t>[</w:t>
      </w:r>
      <w:r w:rsidRPr="005675B2">
        <w:rPr>
          <w:rFonts w:hint="cs"/>
          <w:rtl/>
        </w:rPr>
        <w:t>إن القرآن يجيء في صورة الشاب الشاحب فيأتي صاحبه فيقول هل تعرفني</w:t>
      </w:r>
      <w:r w:rsidR="000636C2">
        <w:rPr>
          <w:rFonts w:hint="cs"/>
          <w:rtl/>
        </w:rPr>
        <w:t>؟</w:t>
      </w:r>
      <w:r w:rsidRPr="005675B2">
        <w:rPr>
          <w:rFonts w:hint="cs"/>
          <w:rtl/>
        </w:rPr>
        <w:t xml:space="preserve"> ..</w:t>
      </w:r>
      <w:r w:rsidR="000636C2">
        <w:rPr>
          <w:rFonts w:hint="cs"/>
          <w:rtl/>
        </w:rPr>
        <w:t>]،</w:t>
      </w:r>
      <w:r w:rsidRPr="005675B2">
        <w:rPr>
          <w:rFonts w:hint="cs"/>
          <w:rtl/>
        </w:rPr>
        <w:t xml:space="preserve"> قال الإمام أحمد</w:t>
      </w:r>
      <w:r w:rsidR="000636C2">
        <w:rPr>
          <w:rFonts w:hint="cs"/>
          <w:rtl/>
        </w:rPr>
        <w:t>:</w:t>
      </w:r>
      <w:r w:rsidRPr="005675B2">
        <w:rPr>
          <w:rFonts w:hint="cs"/>
          <w:rtl/>
        </w:rPr>
        <w:t xml:space="preserve"> </w:t>
      </w:r>
      <w:r w:rsidR="000636C2">
        <w:rPr>
          <w:rFonts w:hint="cs"/>
          <w:rtl/>
        </w:rPr>
        <w:t>[</w:t>
      </w:r>
      <w:r w:rsidRPr="005675B2">
        <w:rPr>
          <w:rFonts w:hint="cs"/>
          <w:rtl/>
        </w:rPr>
        <w:t>كلام الله لا يجيء</w:t>
      </w:r>
      <w:r w:rsidR="000636C2">
        <w:rPr>
          <w:rFonts w:hint="cs"/>
          <w:rtl/>
        </w:rPr>
        <w:t>،</w:t>
      </w:r>
      <w:r w:rsidRPr="005675B2">
        <w:rPr>
          <w:rFonts w:hint="cs"/>
          <w:rtl/>
        </w:rPr>
        <w:t xml:space="preserve"> ولا يتغير من حال إلى حال</w:t>
      </w:r>
      <w:r w:rsidR="000636C2">
        <w:rPr>
          <w:rFonts w:hint="cs"/>
          <w:rtl/>
        </w:rPr>
        <w:t>،</w:t>
      </w:r>
      <w:r w:rsidRPr="005675B2">
        <w:rPr>
          <w:rFonts w:hint="cs"/>
          <w:rtl/>
        </w:rPr>
        <w:t xml:space="preserve"> وإنما معنى أن القرآن يجيء إنما يجيء ثواب القرآن</w:t>
      </w:r>
      <w:r w:rsidR="000636C2">
        <w:rPr>
          <w:rFonts w:hint="cs"/>
          <w:rtl/>
        </w:rPr>
        <w:t>]</w:t>
      </w:r>
      <w:r w:rsidRPr="005675B2">
        <w:rPr>
          <w:rFonts w:hint="cs"/>
          <w:rtl/>
        </w:rPr>
        <w:t xml:space="preserve"> [</w:t>
      </w:r>
      <w:r w:rsidRPr="005675B2">
        <w:rPr>
          <w:rFonts w:hint="cs"/>
          <w:sz w:val="24"/>
          <w:szCs w:val="24"/>
          <w:rtl/>
        </w:rPr>
        <w:t>الرد على الجهمية والزنادقة المنسوب للإمام أحمد: ص 145]</w:t>
      </w:r>
      <w:r w:rsidR="000636C2">
        <w:rPr>
          <w:rFonts w:hint="cs"/>
          <w:rtl/>
        </w:rPr>
        <w:t>،</w:t>
      </w:r>
      <w:r w:rsidRPr="005675B2">
        <w:rPr>
          <w:rFonts w:hint="cs"/>
          <w:rtl/>
        </w:rPr>
        <w:t xml:space="preserve"> وهذا إن ثبتت نسبته إليه</w:t>
      </w:r>
      <w:r w:rsidR="000636C2">
        <w:rPr>
          <w:rFonts w:hint="cs"/>
          <w:rtl/>
        </w:rPr>
        <w:t xml:space="preserve">، </w:t>
      </w:r>
      <w:r w:rsidRPr="005675B2">
        <w:rPr>
          <w:rFonts w:hint="cs"/>
          <w:rtl/>
        </w:rPr>
        <w:t>19</w:t>
      </w:r>
      <w:r w:rsidR="000636C2">
        <w:rPr>
          <w:rFonts w:hint="cs"/>
          <w:rtl/>
        </w:rPr>
        <w:t xml:space="preserve"> </w:t>
      </w:r>
      <w:r w:rsidRPr="005675B2">
        <w:rPr>
          <w:rFonts w:hint="cs"/>
          <w:rtl/>
        </w:rPr>
        <w:t>- يتساءل الباحث لم يكون تأويل الأشاعرة لعلو الله تبارك وتعالى تنـزيهاً وتوحيداً وتأويل الباطنية للبعث والحشر كفراً وردة</w:t>
      </w:r>
      <w:r w:rsidR="000636C2">
        <w:rPr>
          <w:rFonts w:hint="cs"/>
          <w:rtl/>
        </w:rPr>
        <w:t xml:space="preserve">؟ </w:t>
      </w:r>
      <w:r w:rsidRPr="005675B2">
        <w:rPr>
          <w:rFonts w:hint="cs"/>
          <w:rtl/>
        </w:rPr>
        <w:t xml:space="preserve">لقد أثبت الله تبارك وتعالى العلو لنفسه فقال </w:t>
      </w:r>
      <w:r w:rsidR="000636C2">
        <w:rPr>
          <w:rFonts w:hint="cs"/>
          <w:rtl/>
        </w:rPr>
        <w:t>[</w:t>
      </w:r>
      <w:r w:rsidRPr="005675B2">
        <w:rPr>
          <w:rFonts w:hint="cs"/>
          <w:rtl/>
        </w:rPr>
        <w:t>وَهُوَ الْعَلِيُّ الْعَظِيمُ</w:t>
      </w:r>
      <w:r w:rsidR="000636C2">
        <w:rPr>
          <w:rFonts w:hint="cs"/>
          <w:rtl/>
        </w:rPr>
        <w:t>]</w:t>
      </w:r>
      <w:r w:rsidRPr="005675B2">
        <w:rPr>
          <w:rFonts w:hint="cs"/>
          <w:rtl/>
        </w:rPr>
        <w:t xml:space="preserve"> [</w:t>
      </w:r>
      <w:r w:rsidRPr="005675B2">
        <w:rPr>
          <w:rFonts w:hint="cs"/>
          <w:sz w:val="24"/>
          <w:szCs w:val="24"/>
          <w:rtl/>
        </w:rPr>
        <w:t>مرتين في سورة البقرة آية 255</w:t>
      </w:r>
      <w:r w:rsidR="000636C2">
        <w:rPr>
          <w:rFonts w:hint="cs"/>
          <w:sz w:val="24"/>
          <w:szCs w:val="24"/>
          <w:rtl/>
        </w:rPr>
        <w:t>،</w:t>
      </w:r>
      <w:r w:rsidRPr="005675B2">
        <w:rPr>
          <w:rFonts w:hint="cs"/>
          <w:sz w:val="24"/>
          <w:szCs w:val="24"/>
          <w:rtl/>
        </w:rPr>
        <w:t xml:space="preserve"> وفي سورة الشورى آية 4</w:t>
      </w:r>
      <w:r w:rsidR="000636C2">
        <w:rPr>
          <w:rFonts w:hint="cs"/>
          <w:sz w:val="24"/>
          <w:szCs w:val="24"/>
          <w:rtl/>
        </w:rPr>
        <w:t>]</w:t>
      </w:r>
      <w:r w:rsidRPr="005675B2">
        <w:rPr>
          <w:rFonts w:hint="cs"/>
          <w:rtl/>
        </w:rPr>
        <w:t>، فأثبت الأشاعرة له العلو المطلق</w:t>
      </w:r>
      <w:r w:rsidR="000636C2">
        <w:rPr>
          <w:rFonts w:hint="cs"/>
          <w:rtl/>
        </w:rPr>
        <w:t>،</w:t>
      </w:r>
      <w:r w:rsidRPr="005675B2">
        <w:rPr>
          <w:rFonts w:hint="cs"/>
          <w:rtl/>
        </w:rPr>
        <w:t xml:space="preserve"> أي ليس فوقه فيما يجب له من صفات الكمال أحد</w:t>
      </w:r>
      <w:r w:rsidR="000636C2">
        <w:rPr>
          <w:rFonts w:hint="cs"/>
          <w:rtl/>
        </w:rPr>
        <w:t>،</w:t>
      </w:r>
      <w:r w:rsidRPr="005675B2">
        <w:rPr>
          <w:rFonts w:hint="cs"/>
          <w:rtl/>
        </w:rPr>
        <w:t xml:space="preserve"> بل ولا يشاركه في ذلك أحد</w:t>
      </w:r>
      <w:r w:rsidR="000636C2">
        <w:rPr>
          <w:rFonts w:hint="cs"/>
          <w:rtl/>
        </w:rPr>
        <w:t>،</w:t>
      </w:r>
      <w:r w:rsidRPr="005675B2">
        <w:rPr>
          <w:rFonts w:hint="cs"/>
          <w:rtl/>
        </w:rPr>
        <w:t xml:space="preserve"> وينفون تفسير العلو بما يشبه علو جسم على جسم وكلَّ اللوازم المترتبة عليه</w:t>
      </w:r>
      <w:r w:rsidR="000636C2">
        <w:rPr>
          <w:rFonts w:hint="cs"/>
          <w:rtl/>
        </w:rPr>
        <w:t>،</w:t>
      </w:r>
      <w:r w:rsidRPr="005675B2">
        <w:rPr>
          <w:rFonts w:hint="cs"/>
          <w:rtl/>
        </w:rPr>
        <w:t xml:space="preserve"> كقول القائل إن من على رأس الجبل أقرب إلى الله ممن في بطن الوادي</w:t>
      </w:r>
      <w:r w:rsidR="000636C2">
        <w:rPr>
          <w:rFonts w:hint="cs"/>
          <w:rtl/>
        </w:rPr>
        <w:t>،</w:t>
      </w:r>
      <w:r w:rsidRPr="005675B2">
        <w:rPr>
          <w:rFonts w:hint="cs"/>
          <w:rtl/>
        </w:rPr>
        <w:t xml:space="preserve"> أي وكلما صعد الإنسان إلى الأعلى صعودَ أجسام ومسافات صار أقرب</w:t>
      </w:r>
      <w:r w:rsidR="000636C2">
        <w:rPr>
          <w:rFonts w:hint="cs"/>
          <w:rtl/>
        </w:rPr>
        <w:t>،</w:t>
      </w:r>
      <w:r w:rsidRPr="005675B2">
        <w:rPr>
          <w:rFonts w:hint="cs"/>
          <w:rtl/>
        </w:rPr>
        <w:t xml:space="preserve"> وهذا التصور عن العلو هو الذي حكاه ربنا تبارك وتعالى عن فرعون بقوله</w:t>
      </w:r>
      <w:r w:rsidR="000636C2">
        <w:rPr>
          <w:rFonts w:hint="cs"/>
          <w:rtl/>
        </w:rPr>
        <w:t>:</w:t>
      </w:r>
      <w:r w:rsidRPr="005675B2">
        <w:rPr>
          <w:rFonts w:hint="cs"/>
          <w:rtl/>
        </w:rPr>
        <w:t xml:space="preserve"> </w:t>
      </w:r>
      <w:r w:rsidR="000636C2">
        <w:rPr>
          <w:rFonts w:hint="cs"/>
          <w:rtl/>
        </w:rPr>
        <w:t>[</w:t>
      </w:r>
      <w:r w:rsidRPr="005675B2">
        <w:rPr>
          <w:rFonts w:hint="cs"/>
          <w:rtl/>
        </w:rPr>
        <w:t>وَقَالَ فِرْعَوْنُ يَا هَامَانُ ابْنِ لِي صَرْحاً لَعَلِّي أَبْلُغُ الْأَسْبَابَ * أَسْبَابَ السَّمَاوَاتِ فَأَطَّلِعَ إِلَى إِلَهِ مُوسَى</w:t>
      </w:r>
      <w:r w:rsidR="000636C2">
        <w:rPr>
          <w:rFonts w:hint="cs"/>
          <w:rtl/>
        </w:rPr>
        <w:t>]</w:t>
      </w:r>
      <w:r w:rsidRPr="005675B2">
        <w:rPr>
          <w:rFonts w:hint="cs"/>
          <w:rtl/>
        </w:rPr>
        <w:t xml:space="preserve"> [</w:t>
      </w:r>
      <w:r w:rsidRPr="005675B2">
        <w:rPr>
          <w:rFonts w:hint="cs"/>
          <w:sz w:val="24"/>
          <w:szCs w:val="24"/>
          <w:rtl/>
        </w:rPr>
        <w:t>سورة غافر الآيتان 36ـ37</w:t>
      </w:r>
      <w:r w:rsidR="000636C2">
        <w:rPr>
          <w:rFonts w:hint="cs"/>
          <w:sz w:val="24"/>
          <w:szCs w:val="24"/>
          <w:rtl/>
        </w:rPr>
        <w:t>]</w:t>
      </w:r>
      <w:r w:rsidR="000636C2">
        <w:rPr>
          <w:rFonts w:hint="cs"/>
          <w:rtl/>
        </w:rPr>
        <w:t>،</w:t>
      </w:r>
      <w:r w:rsidRPr="005675B2">
        <w:rPr>
          <w:rFonts w:hint="cs"/>
          <w:rtl/>
        </w:rPr>
        <w:t xml:space="preserve"> فالجمع بين النصوص جعل الأشاعرة يؤولون العلوَّ بما ليس من جنس علو جسم على جسم</w:t>
      </w:r>
      <w:r w:rsidR="000636C2">
        <w:rPr>
          <w:rFonts w:hint="cs"/>
          <w:rtl/>
        </w:rPr>
        <w:t>،</w:t>
      </w:r>
      <w:r w:rsidRPr="005675B2">
        <w:rPr>
          <w:rFonts w:hint="cs"/>
          <w:rtl/>
        </w:rPr>
        <w:t xml:space="preserve"> ثم إن العقل ينفي مماثلة الله تعالى للمخلوقين في الصفات</w:t>
      </w:r>
      <w:r w:rsidR="000636C2">
        <w:rPr>
          <w:rFonts w:hint="cs"/>
          <w:rtl/>
        </w:rPr>
        <w:t>،</w:t>
      </w:r>
      <w:r w:rsidRPr="005675B2">
        <w:rPr>
          <w:rFonts w:hint="cs"/>
          <w:rtl/>
        </w:rPr>
        <w:t xml:space="preserve"> كما ينفي المماثلة في الذات</w:t>
      </w:r>
      <w:r w:rsidR="000636C2">
        <w:rPr>
          <w:rFonts w:hint="cs"/>
          <w:rtl/>
        </w:rPr>
        <w:t>،</w:t>
      </w:r>
      <w:r w:rsidRPr="005675B2">
        <w:rPr>
          <w:rFonts w:hint="cs"/>
          <w:rtl/>
        </w:rPr>
        <w:t xml:space="preserve"> ويعترف بعد ذلك بعجزه عن إدراك حقيقة الذات والصفات</w:t>
      </w:r>
      <w:r w:rsidR="000636C2">
        <w:rPr>
          <w:rFonts w:hint="cs"/>
          <w:rtl/>
        </w:rPr>
        <w:t>،</w:t>
      </w:r>
      <w:r w:rsidRPr="005675B2">
        <w:rPr>
          <w:rFonts w:hint="cs"/>
          <w:rtl/>
        </w:rPr>
        <w:t xml:space="preserve"> فالله تعالى هو العلي كما ينبغي له سبحانه</w:t>
      </w:r>
      <w:r w:rsidR="000636C2">
        <w:rPr>
          <w:rFonts w:hint="cs"/>
          <w:rtl/>
        </w:rPr>
        <w:t xml:space="preserve">، </w:t>
      </w:r>
      <w:r w:rsidRPr="005675B2">
        <w:rPr>
          <w:rFonts w:hint="cs"/>
          <w:rtl/>
        </w:rPr>
        <w:t>أما تأويل الباطنية للبعث والحشر فهو ادعاؤهم أن الإنسان إذا مات فلا يمكن أن يعاد مرة أخرى</w:t>
      </w:r>
      <w:r w:rsidR="000636C2">
        <w:rPr>
          <w:rFonts w:hint="cs"/>
          <w:rtl/>
        </w:rPr>
        <w:t>،</w:t>
      </w:r>
      <w:r w:rsidRPr="005675B2">
        <w:rPr>
          <w:rFonts w:hint="cs"/>
          <w:rtl/>
        </w:rPr>
        <w:t xml:space="preserve"> أي فلا بعث ولا حشر ولا حساب ولا جزاء</w:t>
      </w:r>
      <w:r w:rsidR="000636C2">
        <w:rPr>
          <w:rFonts w:hint="cs"/>
          <w:rtl/>
        </w:rPr>
        <w:t>،</w:t>
      </w:r>
      <w:r w:rsidRPr="005675B2">
        <w:rPr>
          <w:rFonts w:hint="cs"/>
          <w:rtl/>
        </w:rPr>
        <w:t xml:space="preserve"> ويقولون إن المراد من نصوص الوحي المشتملة على ذلك إنما يراد بها تصورات الإنسان بأنه يحاسب على أفعاله</w:t>
      </w:r>
      <w:r w:rsidR="000636C2">
        <w:rPr>
          <w:rFonts w:hint="cs"/>
          <w:rtl/>
        </w:rPr>
        <w:t>،</w:t>
      </w:r>
      <w:r w:rsidRPr="005675B2">
        <w:rPr>
          <w:rFonts w:hint="cs"/>
          <w:rtl/>
        </w:rPr>
        <w:t xml:space="preserve"> وأن نعيم الجنة هو مشاعر الفرح والسرور بما قدم من إحسان</w:t>
      </w:r>
      <w:r w:rsidR="000636C2">
        <w:rPr>
          <w:rFonts w:hint="cs"/>
          <w:rtl/>
        </w:rPr>
        <w:t>،</w:t>
      </w:r>
      <w:r w:rsidRPr="005675B2">
        <w:rPr>
          <w:rFonts w:hint="cs"/>
          <w:rtl/>
        </w:rPr>
        <w:t xml:space="preserve"> وأن عذاب جهنم هو مشاعر الحزن والغم بما قدم من إساءة</w:t>
      </w:r>
      <w:r w:rsidR="000636C2">
        <w:rPr>
          <w:rFonts w:hint="cs"/>
          <w:rtl/>
        </w:rPr>
        <w:t>!</w:t>
      </w:r>
      <w:r w:rsidRPr="005675B2">
        <w:rPr>
          <w:rFonts w:hint="cs"/>
          <w:rtl/>
        </w:rPr>
        <w:t xml:space="preserve"> فهل أولوا نصوص الوحي المشتملة على ذلك للجمع بينها وبين نصوص أخرى</w:t>
      </w:r>
      <w:r w:rsidR="000636C2">
        <w:rPr>
          <w:rFonts w:hint="cs"/>
          <w:rtl/>
        </w:rPr>
        <w:t>؟!</w:t>
      </w:r>
      <w:r w:rsidRPr="005675B2">
        <w:rPr>
          <w:rFonts w:hint="cs"/>
          <w:rtl/>
        </w:rPr>
        <w:t xml:space="preserve"> أو أولوا تلك النصوص لدلالة عقلية على استحالة وقوعها</w:t>
      </w:r>
      <w:r w:rsidR="000636C2">
        <w:rPr>
          <w:rFonts w:hint="cs"/>
          <w:rtl/>
        </w:rPr>
        <w:t>؟!</w:t>
      </w:r>
      <w:r w:rsidRPr="005675B2">
        <w:rPr>
          <w:rFonts w:hint="cs"/>
          <w:rtl/>
        </w:rPr>
        <w:t xml:space="preserve"> لا شيء عندهم لا في هذا ولا ذاك</w:t>
      </w:r>
      <w:r w:rsidR="000636C2">
        <w:rPr>
          <w:rFonts w:hint="cs"/>
          <w:rtl/>
        </w:rPr>
        <w:t>،</w:t>
      </w:r>
      <w:r w:rsidRPr="005675B2">
        <w:rPr>
          <w:rFonts w:hint="cs"/>
          <w:rtl/>
        </w:rPr>
        <w:t xml:space="preserve"> وليس بأيديهم سوى العناد والاستكبار</w:t>
      </w:r>
      <w:r w:rsidR="000636C2">
        <w:rPr>
          <w:rFonts w:hint="cs"/>
          <w:rtl/>
        </w:rPr>
        <w:t>،</w:t>
      </w:r>
      <w:r w:rsidRPr="005675B2">
        <w:rPr>
          <w:rFonts w:hint="cs"/>
          <w:rtl/>
        </w:rPr>
        <w:t xml:space="preserve"> ومقابلة دلالات النصوص الجلية بالإنكار</w:t>
      </w:r>
      <w:r w:rsidR="000636C2">
        <w:rPr>
          <w:rFonts w:hint="cs"/>
          <w:rtl/>
        </w:rPr>
        <w:t>،</w:t>
      </w:r>
      <w:r w:rsidRPr="005675B2">
        <w:rPr>
          <w:rFonts w:hint="cs"/>
          <w:rtl/>
        </w:rPr>
        <w:t xml:space="preserve"> بل الدلائل العقلية تدل قطعاً على جواز وقوع المعاد والحشر والجزاء</w:t>
      </w:r>
      <w:r w:rsidR="000636C2">
        <w:rPr>
          <w:rFonts w:hint="cs"/>
          <w:rtl/>
        </w:rPr>
        <w:t>،</w:t>
      </w:r>
      <w:r w:rsidRPr="005675B2">
        <w:rPr>
          <w:rFonts w:hint="cs"/>
          <w:rtl/>
        </w:rPr>
        <w:t xml:space="preserve"> وهو ما أكدته نصوص الوحي القطعية</w:t>
      </w:r>
      <w:r w:rsidR="000636C2">
        <w:rPr>
          <w:rFonts w:hint="cs"/>
          <w:rtl/>
        </w:rPr>
        <w:t>،</w:t>
      </w:r>
      <w:r w:rsidRPr="005675B2">
        <w:rPr>
          <w:rFonts w:hint="cs"/>
          <w:rtl/>
        </w:rPr>
        <w:t xml:space="preserve"> فهو جائز الوقوع من حيث الدليل العقلي قبل ورود النصوص</w:t>
      </w:r>
      <w:r w:rsidR="000636C2">
        <w:rPr>
          <w:rFonts w:hint="cs"/>
          <w:rtl/>
        </w:rPr>
        <w:t>،</w:t>
      </w:r>
      <w:r w:rsidRPr="005675B2">
        <w:rPr>
          <w:rFonts w:hint="cs"/>
          <w:rtl/>
        </w:rPr>
        <w:t xml:space="preserve"> وثابت وواقع جزماً وقطعاً بعد ورود نصوص الوحي التي أثبتت وقوعه بنصوص لا تحتمل التأويل</w:t>
      </w:r>
      <w:r w:rsidR="000636C2">
        <w:rPr>
          <w:rFonts w:hint="cs"/>
          <w:rtl/>
        </w:rPr>
        <w:t>،</w:t>
      </w:r>
      <w:r w:rsidRPr="005675B2">
        <w:rPr>
          <w:rFonts w:hint="cs"/>
          <w:rtl/>
        </w:rPr>
        <w:t xml:space="preserve"> فليس تأويل الباطنية إلا </w:t>
      </w:r>
      <w:r w:rsidR="000636C2">
        <w:rPr>
          <w:rFonts w:hint="cs"/>
          <w:rtl/>
        </w:rPr>
        <w:t>[</w:t>
      </w:r>
      <w:r w:rsidRPr="005675B2">
        <w:rPr>
          <w:rFonts w:hint="cs"/>
          <w:rtl/>
        </w:rPr>
        <w:t>تأويلاً فاسداً</w:t>
      </w:r>
      <w:r w:rsidR="000636C2">
        <w:rPr>
          <w:rFonts w:hint="cs"/>
          <w:rtl/>
        </w:rPr>
        <w:t>]</w:t>
      </w:r>
      <w:r w:rsidRPr="005675B2">
        <w:rPr>
          <w:rFonts w:hint="cs"/>
          <w:rtl/>
        </w:rPr>
        <w:t xml:space="preserve"> لا يستند إلى دليل أو قرينة</w:t>
      </w:r>
      <w:r w:rsidR="000636C2">
        <w:rPr>
          <w:rFonts w:hint="cs"/>
          <w:rtl/>
        </w:rPr>
        <w:t>،</w:t>
      </w:r>
      <w:r w:rsidRPr="005675B2">
        <w:rPr>
          <w:rFonts w:hint="cs"/>
          <w:rtl/>
        </w:rPr>
        <w:t xml:space="preserve"> بل ولا شبهة دليل</w:t>
      </w:r>
      <w:r w:rsidR="000636C2">
        <w:rPr>
          <w:rFonts w:hint="cs"/>
          <w:rtl/>
        </w:rPr>
        <w:t xml:space="preserve">، </w:t>
      </w:r>
      <w:r w:rsidRPr="005675B2">
        <w:rPr>
          <w:rFonts w:hint="cs"/>
          <w:rtl/>
        </w:rPr>
        <w:t>فكيف يصح تشبيه هذا التأويل الفاسد بذلك التأويل الصحيح</w:t>
      </w:r>
      <w:r w:rsidR="000636C2">
        <w:rPr>
          <w:rFonts w:hint="cs"/>
          <w:rtl/>
        </w:rPr>
        <w:t xml:space="preserve">؟، </w:t>
      </w:r>
      <w:r w:rsidRPr="005675B2">
        <w:rPr>
          <w:rFonts w:hint="cs"/>
          <w:rtl/>
        </w:rPr>
        <w:t>20</w:t>
      </w:r>
      <w:r w:rsidR="000636C2">
        <w:rPr>
          <w:rFonts w:hint="cs"/>
          <w:rtl/>
        </w:rPr>
        <w:t xml:space="preserve"> </w:t>
      </w:r>
      <w:r w:rsidRPr="005675B2">
        <w:rPr>
          <w:rFonts w:hint="cs"/>
          <w:rtl/>
        </w:rPr>
        <w:t>- هنالك شبهة في موضوع التأويل أثارها ابن تيمية رحمه الله وطالما رددها بعض من جاؤوا بعده</w:t>
      </w:r>
      <w:r w:rsidR="000636C2">
        <w:rPr>
          <w:rFonts w:hint="cs"/>
          <w:rtl/>
        </w:rPr>
        <w:t>،</w:t>
      </w:r>
      <w:r w:rsidRPr="005675B2">
        <w:rPr>
          <w:rFonts w:hint="cs"/>
          <w:rtl/>
        </w:rPr>
        <w:t xml:space="preserve"> تلك هي قوله</w:t>
      </w:r>
      <w:r w:rsidR="000636C2">
        <w:rPr>
          <w:rFonts w:hint="cs"/>
          <w:rtl/>
        </w:rPr>
        <w:t>:</w:t>
      </w:r>
      <w:r w:rsidRPr="005675B2">
        <w:rPr>
          <w:rFonts w:hint="cs"/>
          <w:rtl/>
        </w:rPr>
        <w:t xml:space="preserve"> </w:t>
      </w:r>
      <w:r w:rsidR="000636C2">
        <w:rPr>
          <w:rFonts w:hint="cs"/>
          <w:rtl/>
        </w:rPr>
        <w:t>[</w:t>
      </w:r>
      <w:r w:rsidRPr="005675B2">
        <w:rPr>
          <w:rFonts w:hint="cs"/>
          <w:rtl/>
        </w:rPr>
        <w:t>واللهُ سبحانه وتعالى أعلم وأحكم من أن يكون كلامه الذي وصف به نفسه لا يظهر منه إلا ما هو كفر أو ضلال</w:t>
      </w:r>
      <w:r w:rsidR="000636C2">
        <w:rPr>
          <w:rFonts w:hint="cs"/>
          <w:rtl/>
        </w:rPr>
        <w:t>]</w:t>
      </w:r>
      <w:r w:rsidRPr="005675B2">
        <w:rPr>
          <w:rFonts w:hint="cs"/>
          <w:rtl/>
        </w:rPr>
        <w:t xml:space="preserve"> [</w:t>
      </w:r>
      <w:r w:rsidRPr="005675B2">
        <w:rPr>
          <w:rFonts w:hint="cs"/>
          <w:sz w:val="24"/>
          <w:szCs w:val="24"/>
          <w:rtl/>
        </w:rPr>
        <w:t>الرسالة التدمرية لابن تيمية: ص 47</w:t>
      </w:r>
      <w:r w:rsidR="000636C2">
        <w:rPr>
          <w:rFonts w:hint="cs"/>
          <w:sz w:val="24"/>
          <w:szCs w:val="24"/>
          <w:rtl/>
        </w:rPr>
        <w:t>]</w:t>
      </w:r>
      <w:r w:rsidR="000636C2">
        <w:rPr>
          <w:rFonts w:hint="cs"/>
          <w:rtl/>
        </w:rPr>
        <w:t xml:space="preserve">، </w:t>
      </w:r>
      <w:r w:rsidRPr="005675B2">
        <w:rPr>
          <w:rFonts w:hint="cs"/>
          <w:rtl/>
        </w:rPr>
        <w:t xml:space="preserve">وقد تقدم ما فيه </w:t>
      </w:r>
      <w:r w:rsidR="000636C2">
        <w:rPr>
          <w:rFonts w:hint="cs"/>
          <w:rtl/>
        </w:rPr>
        <w:t>[</w:t>
      </w:r>
      <w:r>
        <w:rPr>
          <w:rFonts w:hint="cs"/>
          <w:rtl/>
        </w:rPr>
        <w:t>الجواب</w:t>
      </w:r>
      <w:r w:rsidR="000636C2">
        <w:rPr>
          <w:rFonts w:hint="cs"/>
          <w:rtl/>
        </w:rPr>
        <w:t>]،</w:t>
      </w:r>
      <w:r w:rsidRPr="005675B2">
        <w:rPr>
          <w:rFonts w:hint="cs"/>
          <w:rtl/>
        </w:rPr>
        <w:t xml:space="preserve"> وخلاصته أن كلام الله تعالى الذي وصف به نفسه يستحيل أن يكون ظاهره ما هو كفر أو ضلال إذا فُهم في ظل السياق الذي ورد فيه</w:t>
      </w:r>
      <w:r w:rsidR="000636C2">
        <w:rPr>
          <w:rFonts w:hint="cs"/>
          <w:rtl/>
        </w:rPr>
        <w:t>،</w:t>
      </w:r>
      <w:r w:rsidRPr="005675B2">
        <w:rPr>
          <w:rFonts w:hint="cs"/>
          <w:rtl/>
        </w:rPr>
        <w:t xml:space="preserve"> حسب المعهود من أساليب العرب في كلامهم ومخاطباتهم</w:t>
      </w:r>
      <w:r w:rsidR="000636C2">
        <w:rPr>
          <w:rFonts w:hint="cs"/>
          <w:rtl/>
        </w:rPr>
        <w:t>،</w:t>
      </w:r>
      <w:r w:rsidRPr="005675B2">
        <w:rPr>
          <w:rFonts w:hint="cs"/>
          <w:rtl/>
        </w:rPr>
        <w:t xml:space="preserve"> وأنه لا يكون ظاهره كذلك إلا إذا أخذت المعاني من الألفاظ المبتورة عن السياق</w:t>
      </w:r>
      <w:r w:rsidR="000636C2">
        <w:rPr>
          <w:rFonts w:hint="cs"/>
          <w:rtl/>
        </w:rPr>
        <w:t>،</w:t>
      </w:r>
      <w:r w:rsidRPr="005675B2">
        <w:rPr>
          <w:rFonts w:hint="cs"/>
          <w:rtl/>
        </w:rPr>
        <w:t xml:space="preserve"> بعيداً عن المعهود من أساليب العرب</w:t>
      </w:r>
      <w:r w:rsidR="000636C2">
        <w:rPr>
          <w:rFonts w:hint="cs"/>
          <w:rtl/>
        </w:rPr>
        <w:t xml:space="preserve">، </w:t>
      </w:r>
      <w:r w:rsidRPr="005675B2">
        <w:rPr>
          <w:rFonts w:hint="cs"/>
          <w:rtl/>
        </w:rPr>
        <w:t>هذا وقد أطلت في موضوع التأويل بعض الإطالة لمزيد إيضاحه وتجليته</w:t>
      </w:r>
      <w:r w:rsidR="000636C2">
        <w:rPr>
          <w:rFonts w:hint="cs"/>
          <w:rtl/>
        </w:rPr>
        <w:t>،</w:t>
      </w:r>
      <w:r w:rsidRPr="005675B2">
        <w:rPr>
          <w:rFonts w:hint="cs"/>
          <w:rtl/>
        </w:rPr>
        <w:t xml:space="preserve"> ولأن فهمه</w:t>
      </w:r>
      <w:r w:rsidR="000636C2">
        <w:rPr>
          <w:rFonts w:hint="cs"/>
          <w:rtl/>
        </w:rPr>
        <w:t xml:space="preserve"> </w:t>
      </w:r>
      <w:r w:rsidRPr="005675B2">
        <w:rPr>
          <w:rFonts w:hint="cs"/>
          <w:rtl/>
        </w:rPr>
        <w:t>- بوضوح</w:t>
      </w:r>
      <w:r w:rsidR="000636C2">
        <w:rPr>
          <w:rFonts w:hint="cs"/>
          <w:rtl/>
        </w:rPr>
        <w:t xml:space="preserve"> </w:t>
      </w:r>
      <w:r w:rsidRPr="005675B2">
        <w:rPr>
          <w:rFonts w:hint="cs"/>
          <w:rtl/>
        </w:rPr>
        <w:t>- يعين في فهم عدد من الموضوعات الأخرى</w:t>
      </w:r>
      <w:r w:rsidR="000636C2">
        <w:rPr>
          <w:rFonts w:hint="cs"/>
          <w:rtl/>
        </w:rPr>
        <w:t xml:space="preserve">، </w:t>
      </w:r>
      <w:r w:rsidRPr="005675B2">
        <w:rPr>
          <w:rFonts w:hint="cs"/>
          <w:rtl/>
        </w:rPr>
        <w:t>ولعل من المفيد أن أنقل هنا قول ابن تيمية رحمه الله عن التأويل المذموم الباطل</w:t>
      </w:r>
      <w:r w:rsidR="000636C2">
        <w:rPr>
          <w:rFonts w:hint="cs"/>
          <w:rtl/>
        </w:rPr>
        <w:t>،</w:t>
      </w:r>
      <w:r w:rsidRPr="005675B2">
        <w:rPr>
          <w:rFonts w:hint="cs"/>
          <w:rtl/>
        </w:rPr>
        <w:t xml:space="preserve"> فقد قال</w:t>
      </w:r>
      <w:r w:rsidR="000636C2">
        <w:rPr>
          <w:rFonts w:hint="cs"/>
          <w:rtl/>
        </w:rPr>
        <w:t>:</w:t>
      </w:r>
      <w:r w:rsidRPr="005675B2">
        <w:rPr>
          <w:rFonts w:hint="cs"/>
          <w:rtl/>
        </w:rPr>
        <w:t xml:space="preserve"> </w:t>
      </w:r>
      <w:r w:rsidR="000636C2">
        <w:rPr>
          <w:rFonts w:hint="cs"/>
          <w:rtl/>
        </w:rPr>
        <w:t>[</w:t>
      </w:r>
      <w:r w:rsidRPr="005675B2">
        <w:rPr>
          <w:rFonts w:hint="cs"/>
          <w:rtl/>
        </w:rPr>
        <w:t>وأما التأويل المذموم والباطل فهو تأويل أهل التحريف والبدع الذين يتأولونه على غير تأويله ويدّعون صرف اللفظ عن مدلوله إلى غير مدلوله بغير دليل يوجب ذلك</w:t>
      </w:r>
      <w:r w:rsidR="000636C2">
        <w:rPr>
          <w:rFonts w:hint="cs"/>
          <w:rtl/>
        </w:rPr>
        <w:t>]</w:t>
      </w:r>
      <w:r w:rsidRPr="005675B2">
        <w:rPr>
          <w:rFonts w:hint="cs"/>
          <w:rtl/>
        </w:rPr>
        <w:t xml:space="preserve"> [</w:t>
      </w:r>
      <w:r w:rsidRPr="005675B2">
        <w:rPr>
          <w:rFonts w:hint="cs"/>
          <w:sz w:val="24"/>
          <w:szCs w:val="24"/>
          <w:rtl/>
        </w:rPr>
        <w:t>الرسالة التدمرية: ص 71</w:t>
      </w:r>
      <w:r w:rsidR="000636C2">
        <w:rPr>
          <w:rFonts w:hint="cs"/>
          <w:sz w:val="24"/>
          <w:szCs w:val="24"/>
          <w:rtl/>
        </w:rPr>
        <w:t>]</w:t>
      </w:r>
      <w:r w:rsidR="000636C2">
        <w:rPr>
          <w:rFonts w:hint="cs"/>
          <w:rtl/>
        </w:rPr>
        <w:t>،</w:t>
      </w:r>
      <w:r w:rsidRPr="005675B2">
        <w:rPr>
          <w:rFonts w:hint="cs"/>
          <w:rtl/>
        </w:rPr>
        <w:t xml:space="preserve"> فعليك ايها الباحث أن تعض على قوله هذا بنواجذك</w:t>
      </w:r>
      <w:r w:rsidR="000636C2">
        <w:rPr>
          <w:rFonts w:hint="cs"/>
          <w:rtl/>
        </w:rPr>
        <w:t>،</w:t>
      </w:r>
      <w:r w:rsidRPr="005675B2">
        <w:rPr>
          <w:rFonts w:hint="cs"/>
          <w:rtl/>
        </w:rPr>
        <w:t xml:space="preserve">وتدبر قوله </w:t>
      </w:r>
      <w:r w:rsidR="000636C2">
        <w:rPr>
          <w:rFonts w:hint="cs"/>
          <w:rtl/>
        </w:rPr>
        <w:t>[</w:t>
      </w:r>
      <w:r w:rsidRPr="005675B2">
        <w:rPr>
          <w:rFonts w:hint="cs"/>
          <w:rtl/>
        </w:rPr>
        <w:t>بغير دليل يوجب ذلك</w:t>
      </w:r>
      <w:r w:rsidR="000636C2">
        <w:rPr>
          <w:rFonts w:hint="cs"/>
          <w:rtl/>
        </w:rPr>
        <w:t xml:space="preserve">]، </w:t>
      </w:r>
      <w:r w:rsidRPr="005675B2">
        <w:rPr>
          <w:rFonts w:hint="cs"/>
          <w:rtl/>
        </w:rPr>
        <w:t>21</w:t>
      </w:r>
      <w:r w:rsidR="000636C2">
        <w:rPr>
          <w:rFonts w:hint="cs"/>
          <w:rtl/>
        </w:rPr>
        <w:t xml:space="preserve"> </w:t>
      </w:r>
      <w:r w:rsidRPr="005675B2">
        <w:rPr>
          <w:rFonts w:hint="cs"/>
          <w:rtl/>
        </w:rPr>
        <w:t>- استخدم ابن تيمية التأويل مع بعض النصوص الواردة عند أهل الكتاب</w:t>
      </w:r>
      <w:r w:rsidR="000636C2">
        <w:rPr>
          <w:rFonts w:hint="cs"/>
          <w:rtl/>
        </w:rPr>
        <w:t>،</w:t>
      </w:r>
      <w:r w:rsidRPr="005675B2">
        <w:rPr>
          <w:rFonts w:hint="cs"/>
          <w:rtl/>
        </w:rPr>
        <w:t xml:space="preserve"> فقد قال في معرض مناقشته للنصارى القائلين إن عيسى هو ابن الله</w:t>
      </w:r>
      <w:r w:rsidR="000636C2">
        <w:rPr>
          <w:rFonts w:hint="cs"/>
          <w:rtl/>
        </w:rPr>
        <w:t>:</w:t>
      </w:r>
      <w:r w:rsidRPr="005675B2">
        <w:rPr>
          <w:rFonts w:hint="cs"/>
          <w:rtl/>
        </w:rPr>
        <w:t xml:space="preserve"> </w:t>
      </w:r>
      <w:r w:rsidR="000636C2">
        <w:rPr>
          <w:rFonts w:hint="cs"/>
          <w:rtl/>
        </w:rPr>
        <w:t>[</w:t>
      </w:r>
      <w:r w:rsidRPr="005675B2">
        <w:rPr>
          <w:rFonts w:hint="cs"/>
          <w:rtl/>
        </w:rPr>
        <w:t>لفظ الابن يعبر به عمن هو ولد الولادة المعروفة ويعبر به عمن كان هو سبباً في وجوده</w:t>
      </w:r>
      <w:r w:rsidR="000636C2">
        <w:rPr>
          <w:rFonts w:hint="cs"/>
          <w:rtl/>
        </w:rPr>
        <w:t>،</w:t>
      </w:r>
      <w:r w:rsidRPr="005675B2">
        <w:rPr>
          <w:rFonts w:hint="cs"/>
          <w:rtl/>
        </w:rPr>
        <w:t xml:space="preserve"> كما يقال ابن السبيل لمن ولدته الطريق</w:t>
      </w:r>
      <w:r w:rsidR="000636C2">
        <w:rPr>
          <w:rFonts w:hint="cs"/>
          <w:rtl/>
        </w:rPr>
        <w:t>،</w:t>
      </w:r>
      <w:r w:rsidRPr="005675B2">
        <w:rPr>
          <w:rFonts w:hint="cs"/>
          <w:rtl/>
        </w:rPr>
        <w:t xml:space="preserve"> فإنه لما جاء من جهة الطريق جعل كأنه ولده</w:t>
      </w:r>
      <w:r w:rsidR="000636C2">
        <w:rPr>
          <w:rFonts w:hint="cs"/>
          <w:rtl/>
        </w:rPr>
        <w:t>،</w:t>
      </w:r>
      <w:r w:rsidRPr="005675B2">
        <w:rPr>
          <w:rFonts w:hint="cs"/>
          <w:rtl/>
        </w:rPr>
        <w:t xml:space="preserve"> ويقال لبعض الطير ابن الماء</w:t>
      </w:r>
      <w:r w:rsidR="000636C2">
        <w:rPr>
          <w:rFonts w:hint="cs"/>
          <w:rtl/>
        </w:rPr>
        <w:t>،</w:t>
      </w:r>
      <w:r w:rsidRPr="005675B2">
        <w:rPr>
          <w:rFonts w:hint="cs"/>
          <w:rtl/>
        </w:rPr>
        <w:t xml:space="preserve"> لأنه يجيء من جهة الماء</w:t>
      </w:r>
      <w:r w:rsidR="000636C2">
        <w:rPr>
          <w:rFonts w:hint="cs"/>
          <w:rtl/>
        </w:rPr>
        <w:t>،</w:t>
      </w:r>
      <w:r w:rsidRPr="005675B2">
        <w:rPr>
          <w:rFonts w:hint="cs"/>
          <w:rtl/>
        </w:rPr>
        <w:t xml:space="preserve"> ويقال كونوا من أبناء الآخرة ولا تكونوا من أبناء الدنيا ..</w:t>
      </w:r>
      <w:r w:rsidR="000636C2">
        <w:rPr>
          <w:rFonts w:hint="cs"/>
          <w:rtl/>
        </w:rPr>
        <w:t>،</w:t>
      </w:r>
      <w:r w:rsidRPr="005675B2">
        <w:rPr>
          <w:rFonts w:hint="cs"/>
          <w:rtl/>
        </w:rPr>
        <w:t xml:space="preserve"> وهذا اللفظ موجود في الكتب التي بأيدي أهل الكتاب في حق الصالحين الذين يحبهم الله</w:t>
      </w:r>
      <w:r w:rsidR="000636C2">
        <w:rPr>
          <w:rFonts w:hint="cs"/>
          <w:rtl/>
        </w:rPr>
        <w:t>،</w:t>
      </w:r>
      <w:r w:rsidRPr="005675B2">
        <w:rPr>
          <w:rFonts w:hint="cs"/>
          <w:rtl/>
        </w:rPr>
        <w:t xml:space="preserve"> كما ذكروا أن المسيح قال أبي وأبيكم وإلهي وإلهكم</w:t>
      </w:r>
      <w:r w:rsidR="000636C2">
        <w:rPr>
          <w:rFonts w:hint="cs"/>
          <w:rtl/>
        </w:rPr>
        <w:t>،</w:t>
      </w:r>
      <w:r w:rsidRPr="005675B2">
        <w:rPr>
          <w:rFonts w:hint="cs"/>
          <w:rtl/>
        </w:rPr>
        <w:t xml:space="preserve"> وفي التوراة أن الله قال ليعقوب أنت ابني بكري</w:t>
      </w:r>
      <w:r w:rsidR="000636C2">
        <w:rPr>
          <w:rFonts w:hint="cs"/>
          <w:rtl/>
        </w:rPr>
        <w:t>،</w:t>
      </w:r>
      <w:r w:rsidRPr="005675B2">
        <w:rPr>
          <w:rFonts w:hint="cs"/>
          <w:rtl/>
        </w:rPr>
        <w:t xml:space="preserve"> ونحوذلك مما يراد به إذا كان صحيحاً معنى صحيح</w:t>
      </w:r>
      <w:r w:rsidR="000636C2">
        <w:rPr>
          <w:rFonts w:hint="cs"/>
          <w:rtl/>
        </w:rPr>
        <w:t>،</w:t>
      </w:r>
      <w:r w:rsidRPr="005675B2">
        <w:rPr>
          <w:rFonts w:hint="cs"/>
          <w:rtl/>
        </w:rPr>
        <w:t xml:space="preserve"> وهو المحبة له والاصطفاء</w:t>
      </w:r>
      <w:r w:rsidR="000636C2">
        <w:rPr>
          <w:rFonts w:hint="cs"/>
          <w:rtl/>
        </w:rPr>
        <w:t>،</w:t>
      </w:r>
      <w:r w:rsidRPr="005675B2">
        <w:rPr>
          <w:rFonts w:hint="cs"/>
          <w:rtl/>
        </w:rPr>
        <w:t xml:space="preserve"> وكان المعنى مفهوماً عند الأنبياء عليهم السلام ومن يخاطبونه</w:t>
      </w:r>
      <w:r w:rsidR="000636C2">
        <w:rPr>
          <w:rFonts w:hint="cs"/>
          <w:rtl/>
        </w:rPr>
        <w:t>،</w:t>
      </w:r>
      <w:r w:rsidRPr="005675B2">
        <w:rPr>
          <w:rFonts w:hint="cs"/>
          <w:rtl/>
        </w:rPr>
        <w:t xml:space="preserve"> وهو من الألفاظ المتشابهة</w:t>
      </w:r>
      <w:r w:rsidR="000636C2">
        <w:rPr>
          <w:rFonts w:hint="cs"/>
          <w:rtl/>
        </w:rPr>
        <w:t>،</w:t>
      </w:r>
      <w:r w:rsidRPr="005675B2">
        <w:rPr>
          <w:rFonts w:hint="cs"/>
          <w:rtl/>
        </w:rPr>
        <w:t xml:space="preserve"> فصار كثير من اتباعهم يريدون به المعنى الباطل</w:t>
      </w:r>
      <w:r w:rsidR="000636C2">
        <w:rPr>
          <w:rFonts w:hint="cs"/>
          <w:rtl/>
        </w:rPr>
        <w:t>]</w:t>
      </w:r>
      <w:r w:rsidRPr="005675B2">
        <w:rPr>
          <w:rFonts w:hint="cs"/>
          <w:rtl/>
        </w:rPr>
        <w:t xml:space="preserve"> [</w:t>
      </w:r>
      <w:r w:rsidRPr="005675B2">
        <w:rPr>
          <w:rFonts w:hint="cs"/>
          <w:sz w:val="24"/>
          <w:szCs w:val="24"/>
          <w:rtl/>
        </w:rPr>
        <w:t>لجواب الصحيح لمن بدّل دين المسيح: 2/ 346</w:t>
      </w:r>
      <w:r w:rsidR="000636C2">
        <w:rPr>
          <w:rFonts w:hint="cs"/>
          <w:sz w:val="24"/>
          <w:szCs w:val="24"/>
          <w:rtl/>
        </w:rPr>
        <w:t>،</w:t>
      </w:r>
      <w:r w:rsidRPr="005675B2">
        <w:rPr>
          <w:rFonts w:hint="cs"/>
          <w:sz w:val="24"/>
          <w:szCs w:val="24"/>
          <w:rtl/>
        </w:rPr>
        <w:t xml:space="preserve"> مطبعة المدني بالقاهرة</w:t>
      </w:r>
      <w:r w:rsidR="000636C2">
        <w:rPr>
          <w:rFonts w:hint="cs"/>
          <w:sz w:val="24"/>
          <w:szCs w:val="24"/>
          <w:rtl/>
        </w:rPr>
        <w:t>،</w:t>
      </w:r>
      <w:r w:rsidRPr="005675B2">
        <w:rPr>
          <w:rFonts w:hint="cs"/>
          <w:sz w:val="24"/>
          <w:szCs w:val="24"/>
          <w:rtl/>
        </w:rPr>
        <w:t xml:space="preserve"> 1383 هـ/ 1964 م</w:t>
      </w:r>
      <w:r w:rsidR="000636C2">
        <w:rPr>
          <w:rFonts w:hint="cs"/>
          <w:sz w:val="24"/>
          <w:szCs w:val="24"/>
          <w:rtl/>
        </w:rPr>
        <w:t>]</w:t>
      </w:r>
      <w:r w:rsidR="000636C2">
        <w:rPr>
          <w:rFonts w:hint="cs"/>
          <w:rtl/>
        </w:rPr>
        <w:t>،</w:t>
      </w:r>
      <w:r w:rsidRPr="005675B2">
        <w:rPr>
          <w:rFonts w:hint="cs"/>
          <w:rtl/>
        </w:rPr>
        <w:t xml:space="preserve"> فتدبر قوله </w:t>
      </w:r>
      <w:r w:rsidR="000636C2">
        <w:rPr>
          <w:rFonts w:hint="cs"/>
          <w:rtl/>
        </w:rPr>
        <w:t>[</w:t>
      </w:r>
      <w:r w:rsidRPr="005675B2">
        <w:rPr>
          <w:rFonts w:hint="cs"/>
          <w:rtl/>
        </w:rPr>
        <w:t>ونحوذلك مما يراد به إذا كان صحيحاً معنى صحيح</w:t>
      </w:r>
      <w:r w:rsidR="000636C2">
        <w:rPr>
          <w:rFonts w:hint="cs"/>
          <w:rtl/>
        </w:rPr>
        <w:t>،</w:t>
      </w:r>
      <w:r w:rsidRPr="005675B2">
        <w:rPr>
          <w:rFonts w:hint="cs"/>
          <w:rtl/>
        </w:rPr>
        <w:t xml:space="preserve"> وهو المحبة والاصطفاء</w:t>
      </w:r>
      <w:r w:rsidR="000636C2">
        <w:rPr>
          <w:rFonts w:hint="cs"/>
          <w:rtl/>
        </w:rPr>
        <w:t xml:space="preserve">]، </w:t>
      </w:r>
      <w:r w:rsidRPr="005675B2">
        <w:rPr>
          <w:rFonts w:hint="cs"/>
          <w:rtl/>
        </w:rPr>
        <w:t xml:space="preserve">وتفسير كلمة </w:t>
      </w:r>
      <w:r w:rsidR="000636C2">
        <w:rPr>
          <w:rFonts w:hint="cs"/>
          <w:rtl/>
        </w:rPr>
        <w:t>[</w:t>
      </w:r>
      <w:r w:rsidRPr="005675B2">
        <w:rPr>
          <w:rFonts w:hint="cs"/>
          <w:rtl/>
        </w:rPr>
        <w:t>الابن</w:t>
      </w:r>
      <w:r w:rsidR="000636C2">
        <w:rPr>
          <w:rFonts w:hint="cs"/>
          <w:rtl/>
        </w:rPr>
        <w:t>]</w:t>
      </w:r>
      <w:r w:rsidRPr="005675B2">
        <w:rPr>
          <w:rFonts w:hint="cs"/>
          <w:rtl/>
        </w:rPr>
        <w:t xml:space="preserve"> على معنى المحبة والاصطفاء </w:t>
      </w:r>
      <w:r w:rsidR="000636C2">
        <w:rPr>
          <w:rFonts w:hint="cs"/>
          <w:rtl/>
        </w:rPr>
        <w:t>[</w:t>
      </w:r>
      <w:r w:rsidRPr="005675B2">
        <w:rPr>
          <w:rFonts w:hint="cs"/>
          <w:rtl/>
        </w:rPr>
        <w:t>تأويل</w:t>
      </w:r>
      <w:r w:rsidR="000636C2">
        <w:rPr>
          <w:rFonts w:hint="cs"/>
          <w:rtl/>
        </w:rPr>
        <w:t>]،</w:t>
      </w:r>
      <w:r w:rsidRPr="005675B2">
        <w:rPr>
          <w:rFonts w:hint="cs"/>
          <w:rtl/>
        </w:rPr>
        <w:t xml:space="preserve"> لأن المعنى الظاهر منها هو معنى البنوة المعروف في قولك فلان بن فلان</w:t>
      </w:r>
      <w:r w:rsidR="000636C2">
        <w:rPr>
          <w:rFonts w:hint="cs"/>
          <w:rtl/>
        </w:rPr>
        <w:t>،</w:t>
      </w:r>
      <w:r w:rsidRPr="005675B2">
        <w:rPr>
          <w:rFonts w:hint="cs"/>
          <w:rtl/>
        </w:rPr>
        <w:t xml:space="preserve"> وليست المعاني الأخرى التي يحمل عليها ابن السبيل وابن الماء وأبناء الآخرة مساوية في الظهور لمعنى البنوة المعروف</w:t>
      </w:r>
      <w:r w:rsidR="000636C2">
        <w:rPr>
          <w:rFonts w:hint="cs"/>
          <w:rtl/>
        </w:rPr>
        <w:t>،</w:t>
      </w:r>
      <w:r w:rsidRPr="005675B2">
        <w:rPr>
          <w:rFonts w:hint="cs"/>
          <w:rtl/>
        </w:rPr>
        <w:t xml:space="preserve"> بل ولا مقاربة له</w:t>
      </w:r>
      <w:r w:rsidR="000636C2">
        <w:rPr>
          <w:rFonts w:hint="cs"/>
          <w:rtl/>
        </w:rPr>
        <w:t>،</w:t>
      </w:r>
      <w:r w:rsidRPr="005675B2">
        <w:rPr>
          <w:rFonts w:hint="cs"/>
          <w:rtl/>
        </w:rPr>
        <w:t xml:space="preserve"> بل لا تجيء أصلاً في نحوقولك فلان بن فلان</w:t>
      </w:r>
      <w:r w:rsidR="000636C2">
        <w:rPr>
          <w:rFonts w:hint="cs"/>
          <w:rtl/>
        </w:rPr>
        <w:t>،</w:t>
      </w:r>
      <w:r w:rsidRPr="005675B2">
        <w:rPr>
          <w:rFonts w:hint="cs"/>
          <w:rtl/>
        </w:rPr>
        <w:t xml:space="preserve"> فاعجب ممن يجعل لفظة الابن من المتشابه أو المشترك</w:t>
      </w:r>
      <w:r w:rsidR="000636C2">
        <w:rPr>
          <w:rFonts w:hint="cs"/>
          <w:rtl/>
        </w:rPr>
        <w:t xml:space="preserve">، </w:t>
      </w:r>
      <w:r w:rsidRPr="005675B2">
        <w:rPr>
          <w:rFonts w:hint="cs"/>
          <w:rtl/>
        </w:rPr>
        <w:t xml:space="preserve">وإذا كان تفسير </w:t>
      </w:r>
      <w:r w:rsidR="000636C2">
        <w:rPr>
          <w:rFonts w:hint="cs"/>
          <w:rtl/>
        </w:rPr>
        <w:t>[</w:t>
      </w:r>
      <w:r w:rsidRPr="005675B2">
        <w:rPr>
          <w:rFonts w:hint="cs"/>
          <w:rtl/>
        </w:rPr>
        <w:t>أنت ابني بكري</w:t>
      </w:r>
      <w:r w:rsidR="000636C2">
        <w:rPr>
          <w:rFonts w:hint="cs"/>
          <w:rtl/>
        </w:rPr>
        <w:t>]</w:t>
      </w:r>
      <w:r w:rsidRPr="005675B2">
        <w:rPr>
          <w:rFonts w:hint="cs"/>
          <w:rtl/>
        </w:rPr>
        <w:t xml:space="preserve"> على معنى المحبة والاصطفاء سائغاً ؛ وإذا كان تأكيد المعنى بقوله عنه إنه الابن البكر لا يمنع من ذلك التفسير ؛ ففي هذا دلالة على إن إتْباع اللفظ بما يؤكده ليس بمانع</w:t>
      </w:r>
      <w:r w:rsidR="000636C2">
        <w:rPr>
          <w:rFonts w:hint="cs"/>
          <w:rtl/>
        </w:rPr>
        <w:t xml:space="preserve"> </w:t>
      </w:r>
      <w:r w:rsidRPr="005675B2">
        <w:rPr>
          <w:rFonts w:hint="cs"/>
          <w:rtl/>
        </w:rPr>
        <w:t>- عند ابن تيمية رحمه الله</w:t>
      </w:r>
      <w:r w:rsidR="000636C2">
        <w:rPr>
          <w:rFonts w:hint="cs"/>
          <w:rtl/>
        </w:rPr>
        <w:t xml:space="preserve"> </w:t>
      </w:r>
      <w:r w:rsidRPr="005675B2">
        <w:rPr>
          <w:rFonts w:hint="cs"/>
          <w:rtl/>
        </w:rPr>
        <w:t>- من مثل ذلك التفسير الذي يصرف المعنى الظاهر إلى غيره لدليل</w:t>
      </w:r>
      <w:r w:rsidR="000636C2">
        <w:rPr>
          <w:rFonts w:hint="cs"/>
          <w:rtl/>
        </w:rPr>
        <w:t xml:space="preserve">، </w:t>
      </w:r>
      <w:r w:rsidRPr="005675B2">
        <w:rPr>
          <w:rFonts w:hint="cs"/>
          <w:rtl/>
        </w:rPr>
        <w:t xml:space="preserve">هذا ولم يتعرض ابن تيمية لتفسير كلمة </w:t>
      </w:r>
      <w:r w:rsidR="000636C2">
        <w:rPr>
          <w:rFonts w:hint="cs"/>
          <w:rtl/>
        </w:rPr>
        <w:t>[</w:t>
      </w:r>
      <w:r w:rsidRPr="005675B2">
        <w:rPr>
          <w:rFonts w:hint="cs"/>
          <w:rtl/>
        </w:rPr>
        <w:t>أبي وأبيكم</w:t>
      </w:r>
      <w:r w:rsidR="000636C2">
        <w:rPr>
          <w:rFonts w:hint="cs"/>
          <w:rtl/>
        </w:rPr>
        <w:t>]</w:t>
      </w:r>
      <w:r w:rsidRPr="005675B2">
        <w:rPr>
          <w:rFonts w:hint="cs"/>
          <w:rtl/>
        </w:rPr>
        <w:t xml:space="preserve"> في النص الذي نقله عن أهل الكتاب كما فعل مع لفظة </w:t>
      </w:r>
      <w:r w:rsidR="000636C2">
        <w:rPr>
          <w:rFonts w:hint="cs"/>
          <w:rtl/>
        </w:rPr>
        <w:t>[</w:t>
      </w:r>
      <w:r w:rsidRPr="005675B2">
        <w:rPr>
          <w:rFonts w:hint="cs"/>
          <w:rtl/>
        </w:rPr>
        <w:t>الابن</w:t>
      </w:r>
      <w:r w:rsidR="000636C2">
        <w:rPr>
          <w:rFonts w:hint="cs"/>
          <w:rtl/>
        </w:rPr>
        <w:t>]،</w:t>
      </w:r>
      <w:r w:rsidRPr="005675B2">
        <w:rPr>
          <w:rFonts w:hint="cs"/>
          <w:rtl/>
        </w:rPr>
        <w:t xml:space="preserve"> وهل يستطيع أن يفسرها بغير صرفها عن معناها الظاهر من معنى الأبوة لاستحالته على الله تعالى</w:t>
      </w:r>
      <w:r w:rsidR="000636C2">
        <w:rPr>
          <w:rFonts w:hint="cs"/>
          <w:rtl/>
        </w:rPr>
        <w:t>؟!</w:t>
      </w:r>
      <w:r w:rsidRPr="005675B2">
        <w:rPr>
          <w:rFonts w:hint="cs"/>
          <w:rtl/>
        </w:rPr>
        <w:t xml:space="preserve">! وهل هذا إلا </w:t>
      </w:r>
      <w:r w:rsidR="000636C2">
        <w:rPr>
          <w:rFonts w:hint="cs"/>
          <w:rtl/>
        </w:rPr>
        <w:t>[</w:t>
      </w:r>
      <w:r w:rsidRPr="005675B2">
        <w:rPr>
          <w:rFonts w:hint="cs"/>
          <w:rtl/>
        </w:rPr>
        <w:t>تأويل</w:t>
      </w:r>
      <w:r w:rsidR="000636C2">
        <w:rPr>
          <w:rFonts w:hint="cs"/>
          <w:rtl/>
        </w:rPr>
        <w:t>]؟!</w:t>
      </w:r>
      <w:r w:rsidRPr="005675B2">
        <w:rPr>
          <w:rFonts w:hint="cs"/>
          <w:rtl/>
        </w:rPr>
        <w:t>!</w:t>
      </w:r>
      <w:r w:rsidR="000636C2">
        <w:rPr>
          <w:rFonts w:hint="cs"/>
          <w:rtl/>
        </w:rPr>
        <w:t>،</w:t>
      </w:r>
    </w:p>
    <w:p w14:paraId="15FC8223" w14:textId="77777777" w:rsidR="009C32A0" w:rsidRPr="005675B2" w:rsidRDefault="009C32A0" w:rsidP="000636C2">
      <w:pPr>
        <w:jc w:val="center"/>
        <w:rPr>
          <w:b/>
          <w:rtl/>
        </w:rPr>
      </w:pPr>
      <w:r w:rsidRPr="005675B2">
        <w:rPr>
          <w:rFonts w:hint="cs"/>
          <w:rtl/>
        </w:rPr>
        <w:t>***</w:t>
      </w:r>
    </w:p>
    <w:p w14:paraId="131939FB" w14:textId="2D3A0CCB" w:rsidR="009C32A0" w:rsidRPr="005675B2" w:rsidRDefault="000636C2" w:rsidP="000636C2">
      <w:pPr>
        <w:jc w:val="center"/>
        <w:rPr>
          <w:bCs/>
          <w:rtl/>
        </w:rPr>
      </w:pPr>
      <w:r>
        <w:rPr>
          <w:rFonts w:hint="cs"/>
          <w:bCs/>
          <w:rtl/>
        </w:rPr>
        <w:t>[</w:t>
      </w:r>
      <w:r w:rsidR="009C32A0" w:rsidRPr="005675B2">
        <w:rPr>
          <w:rFonts w:hint="cs"/>
          <w:bCs/>
          <w:rtl/>
        </w:rPr>
        <w:t>الموضوع الثاني عشر</w:t>
      </w:r>
      <w:r>
        <w:rPr>
          <w:rFonts w:hint="cs"/>
          <w:bCs/>
          <w:rtl/>
        </w:rPr>
        <w:t xml:space="preserve">: </w:t>
      </w:r>
      <w:r w:rsidR="009C32A0" w:rsidRPr="005675B2">
        <w:rPr>
          <w:rFonts w:hint="cs"/>
          <w:bCs/>
          <w:rtl/>
        </w:rPr>
        <w:t>السمعيات</w:t>
      </w:r>
      <w:r>
        <w:rPr>
          <w:rFonts w:hint="cs"/>
          <w:bCs/>
          <w:rtl/>
        </w:rPr>
        <w:t>]</w:t>
      </w:r>
    </w:p>
    <w:p w14:paraId="49D20DAD" w14:textId="33869756"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يقسم الأشاعرة أصول العقيدة بحسب مصدر التلقي إلى ثلاثة أقسام</w:t>
      </w:r>
      <w:r w:rsidR="000636C2">
        <w:rPr>
          <w:rFonts w:hint="cs"/>
          <w:rtl/>
        </w:rPr>
        <w:t>:</w:t>
      </w:r>
      <w:r w:rsidRPr="005675B2">
        <w:rPr>
          <w:rFonts w:hint="cs"/>
          <w:rtl/>
        </w:rPr>
        <w:t xml:space="preserve"> قسم مصدره العقل وحده</w:t>
      </w:r>
      <w:r w:rsidR="000636C2">
        <w:rPr>
          <w:rFonts w:hint="cs"/>
          <w:rtl/>
        </w:rPr>
        <w:t>،</w:t>
      </w:r>
      <w:r w:rsidRPr="005675B2">
        <w:rPr>
          <w:rFonts w:hint="cs"/>
          <w:rtl/>
        </w:rPr>
        <w:t xml:space="preserve"> وهو معظم الأبواب</w:t>
      </w:r>
      <w:r w:rsidR="000636C2">
        <w:rPr>
          <w:rFonts w:hint="cs"/>
          <w:rtl/>
        </w:rPr>
        <w:t>،</w:t>
      </w:r>
      <w:r w:rsidRPr="005675B2">
        <w:rPr>
          <w:rFonts w:hint="cs"/>
          <w:rtl/>
        </w:rPr>
        <w:t xml:space="preserve"> ومنه باب الصفات</w:t>
      </w:r>
      <w:r w:rsidR="000636C2">
        <w:rPr>
          <w:rFonts w:hint="cs"/>
          <w:rtl/>
        </w:rPr>
        <w:t>،</w:t>
      </w:r>
      <w:r w:rsidRPr="005675B2">
        <w:rPr>
          <w:rFonts w:hint="cs"/>
          <w:rtl/>
        </w:rPr>
        <w:t xml:space="preserve"> </w:t>
      </w:r>
      <w:r w:rsidRPr="005675B2">
        <w:t>…</w:t>
      </w:r>
      <w:r w:rsidRPr="005675B2">
        <w:rPr>
          <w:rFonts w:hint="cs"/>
          <w:rtl/>
        </w:rPr>
        <w:t xml:space="preserve"> وهذا القسم هو ما يحكم العقل بوجوبه دون توقف على الوحي عندهم</w:t>
      </w:r>
      <w:r w:rsidR="000636C2">
        <w:rPr>
          <w:rFonts w:hint="cs"/>
          <w:rtl/>
        </w:rPr>
        <w:t>،</w:t>
      </w:r>
      <w:r w:rsidRPr="005675B2">
        <w:rPr>
          <w:rFonts w:hint="cs"/>
          <w:rtl/>
        </w:rPr>
        <w:t xml:space="preserve"> وقسم مصدره العقل والنقل معاً</w:t>
      </w:r>
      <w:r w:rsidR="000636C2">
        <w:rPr>
          <w:rFonts w:hint="cs"/>
          <w:rtl/>
        </w:rPr>
        <w:t>،</w:t>
      </w:r>
      <w:r w:rsidRPr="005675B2">
        <w:rPr>
          <w:rFonts w:hint="cs"/>
          <w:rtl/>
        </w:rPr>
        <w:t xml:space="preserve"> كالرؤية</w:t>
      </w:r>
      <w:r w:rsidR="000636C2">
        <w:rPr>
          <w:rFonts w:hint="cs"/>
          <w:rtl/>
        </w:rPr>
        <w:t>،</w:t>
      </w:r>
      <w:r w:rsidRPr="005675B2">
        <w:rPr>
          <w:rFonts w:hint="cs"/>
          <w:rtl/>
        </w:rPr>
        <w:t xml:space="preserve"> </w:t>
      </w:r>
      <w:r w:rsidRPr="005675B2">
        <w:t>…</w:t>
      </w:r>
      <w:r w:rsidRPr="005675B2">
        <w:rPr>
          <w:rFonts w:hint="cs"/>
          <w:rtl/>
        </w:rPr>
        <w:t xml:space="preserve"> وهذا القسم هو ما يحكم العقل بجوازه استقلالاً أو بمعاضدة الوحي</w:t>
      </w:r>
      <w:r w:rsidR="000636C2">
        <w:rPr>
          <w:rFonts w:hint="cs"/>
          <w:rtl/>
        </w:rPr>
        <w:t xml:space="preserve">، </w:t>
      </w:r>
      <w:r w:rsidRPr="005675B2">
        <w:rPr>
          <w:rFonts w:hint="cs"/>
          <w:rtl/>
        </w:rPr>
        <w:t>وقسم مصدره النقل وحده</w:t>
      </w:r>
      <w:r w:rsidR="000636C2">
        <w:rPr>
          <w:rFonts w:hint="cs"/>
          <w:rtl/>
        </w:rPr>
        <w:t>،</w:t>
      </w:r>
      <w:r w:rsidRPr="005675B2">
        <w:rPr>
          <w:rFonts w:hint="cs"/>
          <w:rtl/>
        </w:rPr>
        <w:t xml:space="preserve"> وهو السمعيات</w:t>
      </w:r>
      <w:r w:rsidR="000636C2">
        <w:rPr>
          <w:rFonts w:hint="cs"/>
          <w:rtl/>
        </w:rPr>
        <w:t>،</w:t>
      </w:r>
      <w:r w:rsidRPr="005675B2">
        <w:rPr>
          <w:rFonts w:hint="cs"/>
          <w:rtl/>
        </w:rPr>
        <w:t xml:space="preserve"> أي المغيبات من أمور الآخرة</w:t>
      </w:r>
      <w:r w:rsidR="000636C2">
        <w:rPr>
          <w:rFonts w:hint="cs"/>
          <w:rtl/>
        </w:rPr>
        <w:t>،</w:t>
      </w:r>
      <w:r w:rsidRPr="005675B2">
        <w:rPr>
          <w:rFonts w:hint="cs"/>
          <w:rtl/>
        </w:rPr>
        <w:t xml:space="preserve"> كعذاب القبر والصراط والميزان</w:t>
      </w:r>
      <w:r w:rsidR="000636C2">
        <w:rPr>
          <w:rFonts w:hint="cs"/>
          <w:rtl/>
        </w:rPr>
        <w:t>،</w:t>
      </w:r>
      <w:r w:rsidRPr="005675B2">
        <w:rPr>
          <w:rFonts w:hint="cs"/>
          <w:rtl/>
        </w:rPr>
        <w:t xml:space="preserve"> وهو عندهم ما لا يحكم العقل باستحالته لكن لو لم يرد به الوحي لم يستطع العقل إدراكه منفرداً</w:t>
      </w:r>
      <w:r w:rsidR="000636C2">
        <w:rPr>
          <w:rFonts w:hint="cs"/>
          <w:rtl/>
        </w:rPr>
        <w:t>،</w:t>
      </w:r>
      <w:r w:rsidRPr="005675B2">
        <w:rPr>
          <w:rFonts w:hint="cs"/>
          <w:rtl/>
        </w:rPr>
        <w:t xml:space="preserve"> </w:t>
      </w:r>
      <w:r w:rsidRPr="005675B2">
        <w:t>…</w:t>
      </w:r>
      <w:r w:rsidRPr="005675B2">
        <w:rPr>
          <w:rFonts w:hint="cs"/>
          <w:rtl/>
        </w:rPr>
        <w:t xml:space="preserve"> فهذه الأمور الغيبية نتفق معهم على إثباتها</w:t>
      </w:r>
      <w:r w:rsidR="000636C2">
        <w:rPr>
          <w:rFonts w:hint="cs"/>
          <w:rtl/>
        </w:rPr>
        <w:t>،</w:t>
      </w:r>
      <w:r w:rsidRPr="005675B2">
        <w:rPr>
          <w:rFonts w:hint="cs"/>
          <w:rtl/>
        </w:rPr>
        <w:t xml:space="preserve"> لكننا نخالفهم في المأخذ والمصدر</w:t>
      </w:r>
      <w:r w:rsidR="000636C2">
        <w:rPr>
          <w:rFonts w:hint="cs"/>
          <w:rtl/>
        </w:rPr>
        <w:t>،</w:t>
      </w:r>
      <w:r w:rsidRPr="005675B2">
        <w:rPr>
          <w:rFonts w:hint="cs"/>
          <w:rtl/>
        </w:rPr>
        <w:t xml:space="preserve"> فهم يقولون عند ذكر أي أمر منها نؤمن به لأن العقل لا يحكم باستحالته ولأن الشرع جاء به</w:t>
      </w:r>
      <w:r w:rsidR="000636C2">
        <w:rPr>
          <w:rFonts w:hint="cs"/>
          <w:rtl/>
        </w:rPr>
        <w:t>،</w:t>
      </w:r>
      <w:r w:rsidRPr="005675B2">
        <w:rPr>
          <w:rFonts w:hint="cs"/>
          <w:rtl/>
        </w:rPr>
        <w:t xml:space="preserve"> ويكررون ذلك دائماً</w:t>
      </w:r>
      <w:r w:rsidR="000636C2">
        <w:rPr>
          <w:rFonts w:hint="cs"/>
          <w:rtl/>
        </w:rPr>
        <w:t>،</w:t>
      </w:r>
      <w:r w:rsidRPr="005675B2">
        <w:rPr>
          <w:rFonts w:hint="cs"/>
          <w:rtl/>
        </w:rPr>
        <w:t xml:space="preserve"> أما في مذهب أهل السنة والجماعة فلا منافاة بين العقل والنقل أصلاً</w:t>
      </w:r>
      <w:r w:rsidR="000636C2">
        <w:rPr>
          <w:rFonts w:hint="cs"/>
          <w:rtl/>
        </w:rPr>
        <w:t>]،</w:t>
      </w:r>
      <w:r w:rsidRPr="005675B2">
        <w:rPr>
          <w:rFonts w:hint="cs"/>
          <w:rtl/>
        </w:rPr>
        <w:t xml:space="preserve"> ثم قال الباحث</w:t>
      </w:r>
      <w:r w:rsidR="000636C2">
        <w:rPr>
          <w:rFonts w:hint="cs"/>
          <w:rtl/>
        </w:rPr>
        <w:t>:</w:t>
      </w:r>
      <w:r w:rsidRPr="005675B2">
        <w:rPr>
          <w:rFonts w:hint="cs"/>
          <w:rtl/>
        </w:rPr>
        <w:t xml:space="preserve"> </w:t>
      </w:r>
      <w:r w:rsidR="000636C2">
        <w:rPr>
          <w:rFonts w:hint="cs"/>
          <w:rtl/>
        </w:rPr>
        <w:t>[</w:t>
      </w:r>
      <w:r w:rsidRPr="005675B2">
        <w:rPr>
          <w:rFonts w:hint="cs"/>
          <w:rtl/>
        </w:rPr>
        <w:t>وليس هناك أصل من أصول العقيدة يستقل العقل بإثباته أبداً</w:t>
      </w:r>
      <w:r w:rsidR="000636C2">
        <w:rPr>
          <w:rFonts w:hint="cs"/>
          <w:rtl/>
        </w:rPr>
        <w:t>،</w:t>
      </w:r>
      <w:r w:rsidRPr="005675B2">
        <w:rPr>
          <w:rFonts w:hint="cs"/>
          <w:rtl/>
        </w:rPr>
        <w:t xml:space="preserve"> كما أنه ليس هناك أصل منها لا يستطيع العقل إثباته أبداً</w:t>
      </w:r>
      <w:r w:rsidR="000636C2">
        <w:rPr>
          <w:rFonts w:hint="cs"/>
          <w:rtl/>
        </w:rPr>
        <w:t>]،</w:t>
      </w:r>
    </w:p>
    <w:p w14:paraId="1A63883B" w14:textId="4AE6719D"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1 - نسب الباحث إلى الأشاعرة أن القسم الأول من أقسام أصول العقيدة</w:t>
      </w:r>
      <w:r w:rsidR="000636C2">
        <w:rPr>
          <w:rFonts w:hint="cs"/>
          <w:rtl/>
        </w:rPr>
        <w:t xml:space="preserve"> </w:t>
      </w:r>
      <w:r w:rsidRPr="005675B2">
        <w:rPr>
          <w:rFonts w:hint="cs"/>
          <w:rtl/>
        </w:rPr>
        <w:t>- وهو ما يشمل صفات الله تعالى ومعظم أبواب الاعتقاد</w:t>
      </w:r>
      <w:r w:rsidR="000636C2">
        <w:rPr>
          <w:rFonts w:hint="cs"/>
          <w:rtl/>
        </w:rPr>
        <w:t xml:space="preserve"> </w:t>
      </w:r>
      <w:r w:rsidRPr="005675B2">
        <w:rPr>
          <w:rFonts w:hint="cs"/>
          <w:rtl/>
        </w:rPr>
        <w:t>- مصدره عندهم العقل وحده</w:t>
      </w:r>
      <w:r w:rsidR="000636C2">
        <w:rPr>
          <w:rFonts w:hint="cs"/>
          <w:rtl/>
        </w:rPr>
        <w:t>!</w:t>
      </w:r>
      <w:r w:rsidRPr="005675B2">
        <w:rPr>
          <w:rFonts w:hint="cs"/>
          <w:rtl/>
        </w:rPr>
        <w:t xml:space="preserve"> وكأنه يوحي للقارئ أن تلك الأبواب من أصول العقيدة تُتلقى - عند الأشاعرة</w:t>
      </w:r>
      <w:r w:rsidR="000636C2">
        <w:rPr>
          <w:rFonts w:hint="cs"/>
          <w:rtl/>
        </w:rPr>
        <w:t xml:space="preserve"> </w:t>
      </w:r>
      <w:r w:rsidRPr="005675B2">
        <w:rPr>
          <w:rFonts w:hint="cs"/>
          <w:rtl/>
        </w:rPr>
        <w:t>- من العقل دون النقل</w:t>
      </w:r>
      <w:r w:rsidR="000636C2">
        <w:rPr>
          <w:rFonts w:hint="cs"/>
          <w:rtl/>
        </w:rPr>
        <w:t>!،</w:t>
      </w:r>
      <w:r w:rsidRPr="005675B2">
        <w:rPr>
          <w:rFonts w:hint="cs"/>
          <w:rtl/>
        </w:rPr>
        <w:t xml:space="preserve"> وهذا ليس بصحيح</w:t>
      </w:r>
      <w:r w:rsidR="000636C2">
        <w:rPr>
          <w:rFonts w:hint="cs"/>
          <w:rtl/>
        </w:rPr>
        <w:t xml:space="preserve">، </w:t>
      </w:r>
      <w:r w:rsidRPr="005675B2">
        <w:rPr>
          <w:rFonts w:hint="cs"/>
          <w:rtl/>
        </w:rPr>
        <w:t>قال الإمام البيهقي رحمه الله</w:t>
      </w:r>
      <w:r w:rsidR="000636C2">
        <w:rPr>
          <w:rFonts w:hint="cs"/>
          <w:rtl/>
        </w:rPr>
        <w:t>:[</w:t>
      </w:r>
      <w:r w:rsidRPr="005675B2">
        <w:rPr>
          <w:rFonts w:hint="cs"/>
          <w:rtl/>
        </w:rPr>
        <w:t>فصفات ذاته ما يستحقه فيما لم يزل ولا يزال</w:t>
      </w:r>
      <w:r w:rsidR="000636C2">
        <w:rPr>
          <w:rFonts w:hint="cs"/>
          <w:rtl/>
        </w:rPr>
        <w:t>،</w:t>
      </w:r>
      <w:r w:rsidRPr="005675B2">
        <w:rPr>
          <w:rFonts w:hint="cs"/>
          <w:rtl/>
        </w:rPr>
        <w:t xml:space="preserve"> وهي على قسمين</w:t>
      </w:r>
      <w:r w:rsidR="000636C2">
        <w:rPr>
          <w:rFonts w:hint="cs"/>
          <w:rtl/>
        </w:rPr>
        <w:t>،</w:t>
      </w:r>
      <w:r w:rsidRPr="005675B2">
        <w:rPr>
          <w:rFonts w:hint="cs"/>
          <w:rtl/>
        </w:rPr>
        <w:t xml:space="preserve"> أحدهما عقلي، والآخرسمعي، فالعقلي ما كان طريق إثباته أدلة العقول مع ورود السمع به ..</w:t>
      </w:r>
      <w:r w:rsidR="000636C2">
        <w:rPr>
          <w:rFonts w:hint="cs"/>
          <w:rtl/>
        </w:rPr>
        <w:t>،</w:t>
      </w:r>
      <w:r w:rsidRPr="005675B2">
        <w:rPr>
          <w:rFonts w:hint="cs"/>
          <w:rtl/>
        </w:rPr>
        <w:t xml:space="preserve"> وأما السمعي فهو ما كان طريق إثباته الكتاب والسنة فقط</w:t>
      </w:r>
      <w:r w:rsidR="000636C2">
        <w:rPr>
          <w:rFonts w:hint="cs"/>
          <w:rtl/>
        </w:rPr>
        <w:t>]</w:t>
      </w:r>
      <w:r w:rsidRPr="005675B2">
        <w:rPr>
          <w:rFonts w:hint="cs"/>
          <w:rtl/>
        </w:rPr>
        <w:t xml:space="preserve"> [</w:t>
      </w:r>
      <w:r w:rsidRPr="005675B2">
        <w:rPr>
          <w:rFonts w:hint="cs"/>
          <w:sz w:val="24"/>
          <w:szCs w:val="24"/>
          <w:rtl/>
        </w:rPr>
        <w:t>لاعتقاد للبيهقي: ص 31</w:t>
      </w:r>
      <w:r w:rsidR="000636C2">
        <w:rPr>
          <w:rFonts w:hint="cs"/>
          <w:sz w:val="24"/>
          <w:szCs w:val="24"/>
          <w:rtl/>
        </w:rPr>
        <w:t>]</w:t>
      </w:r>
      <w:r w:rsidR="000636C2">
        <w:rPr>
          <w:rFonts w:hint="cs"/>
          <w:rtl/>
        </w:rPr>
        <w:t xml:space="preserve">، </w:t>
      </w:r>
      <w:r w:rsidRPr="005675B2">
        <w:rPr>
          <w:rFonts w:hint="cs"/>
          <w:rtl/>
        </w:rPr>
        <w:t>أفيظن عاقل عنده مُسكة من عقل أن الأدلة على وجود الله تعالى وحياته وعلمه وإرادته وقدرته وسمعه وبصره هي أدلة عقلية فقط وليست عقلية ونقلية</w:t>
      </w:r>
      <w:r w:rsidR="000636C2">
        <w:rPr>
          <w:rFonts w:hint="cs"/>
          <w:rtl/>
        </w:rPr>
        <w:t>؟!</w:t>
      </w:r>
      <w:r w:rsidRPr="005675B2">
        <w:rPr>
          <w:rFonts w:hint="cs"/>
          <w:rtl/>
        </w:rPr>
        <w:t xml:space="preserve"> فالعقل يدل على ذلك وآيات القرآن تدل عليه</w:t>
      </w:r>
      <w:r w:rsidR="000636C2">
        <w:rPr>
          <w:rFonts w:hint="cs"/>
          <w:rtl/>
        </w:rPr>
        <w:t>،</w:t>
      </w:r>
      <w:r w:rsidRPr="005675B2">
        <w:rPr>
          <w:rFonts w:hint="cs"/>
          <w:rtl/>
        </w:rPr>
        <w:t xml:space="preserve"> والدلائل متضافرة على إثبات تلك العقائد</w:t>
      </w:r>
      <w:r w:rsidR="000636C2">
        <w:rPr>
          <w:rFonts w:hint="cs"/>
          <w:rtl/>
        </w:rPr>
        <w:t>،</w:t>
      </w:r>
      <w:r w:rsidRPr="005675B2">
        <w:rPr>
          <w:rFonts w:hint="cs"/>
          <w:rtl/>
        </w:rPr>
        <w:t xml:space="preserve"> ولا يشك في هذا عاقل متدبر</w:t>
      </w:r>
      <w:r w:rsidR="000636C2">
        <w:rPr>
          <w:rFonts w:hint="cs"/>
          <w:rtl/>
        </w:rPr>
        <w:t>،</w:t>
      </w:r>
      <w:r w:rsidRPr="005675B2">
        <w:rPr>
          <w:rFonts w:hint="cs"/>
          <w:rtl/>
        </w:rPr>
        <w:t xml:space="preserve"> والأشاعرة لا يقولون بخلافه</w:t>
      </w:r>
      <w:r w:rsidR="000636C2">
        <w:rPr>
          <w:rFonts w:hint="cs"/>
          <w:rtl/>
        </w:rPr>
        <w:t xml:space="preserve">، </w:t>
      </w:r>
      <w:r w:rsidRPr="005675B2">
        <w:rPr>
          <w:rFonts w:hint="cs"/>
          <w:rtl/>
        </w:rPr>
        <w:t>لكن ما الذي يقوله الأشاعرة في هذا</w:t>
      </w:r>
      <w:r w:rsidR="000636C2">
        <w:rPr>
          <w:rFonts w:hint="cs"/>
          <w:rtl/>
        </w:rPr>
        <w:t>؟</w:t>
      </w:r>
      <w:r w:rsidRPr="005675B2">
        <w:rPr>
          <w:rFonts w:hint="cs"/>
          <w:rtl/>
        </w:rPr>
        <w:t xml:space="preserve"> لنأخذ على سبيل المثال ما يقوله إمام الحرمين</w:t>
      </w:r>
      <w:r w:rsidR="000636C2">
        <w:rPr>
          <w:rFonts w:hint="cs"/>
          <w:rtl/>
        </w:rPr>
        <w:t>:</w:t>
      </w:r>
      <w:r w:rsidRPr="005675B2">
        <w:rPr>
          <w:rFonts w:hint="cs"/>
          <w:rtl/>
        </w:rPr>
        <w:t xml:space="preserve"> 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أصول العقائد تنقسم إلى ما يُدرك عقلاً ولا يسوغ تقدير إدراكه سمعاً</w:t>
      </w:r>
      <w:r w:rsidR="000636C2">
        <w:rPr>
          <w:rFonts w:hint="cs"/>
          <w:rtl/>
        </w:rPr>
        <w:t>،</w:t>
      </w:r>
      <w:r w:rsidRPr="005675B2">
        <w:rPr>
          <w:rFonts w:hint="cs"/>
          <w:rtl/>
        </w:rPr>
        <w:t xml:space="preserve"> وإلى ما يُدرك سمعاً ولا يتقدر إدراكه عقلاً</w:t>
      </w:r>
      <w:r w:rsidR="000636C2">
        <w:rPr>
          <w:rFonts w:hint="cs"/>
          <w:rtl/>
        </w:rPr>
        <w:t>،</w:t>
      </w:r>
      <w:r w:rsidRPr="005675B2">
        <w:rPr>
          <w:rFonts w:hint="cs"/>
          <w:rtl/>
        </w:rPr>
        <w:t xml:space="preserve"> وإلى ما يجوز إدراكه سمعاً وعقلاً</w:t>
      </w:r>
      <w:r w:rsidR="000636C2">
        <w:rPr>
          <w:rFonts w:hint="cs"/>
          <w:rtl/>
        </w:rPr>
        <w:t>،</w:t>
      </w:r>
      <w:r w:rsidRPr="005675B2">
        <w:rPr>
          <w:rFonts w:hint="cs"/>
          <w:rtl/>
        </w:rPr>
        <w:t xml:space="preserve"> فأما ما لا يدرك إلا عقلاً فكل قاعدة في الدين تتقدم على العلم بكلام الله تعالى ووجوبِ اتصافه بكونه صدقاً</w:t>
      </w:r>
      <w:r w:rsidR="000636C2">
        <w:rPr>
          <w:rFonts w:hint="cs"/>
          <w:rtl/>
        </w:rPr>
        <w:t>،</w:t>
      </w:r>
      <w:r w:rsidRPr="005675B2">
        <w:rPr>
          <w:rFonts w:hint="cs"/>
          <w:rtl/>
        </w:rPr>
        <w:t xml:space="preserve"> إذ السمعيات تستند إلى كلام الله تعالى</w:t>
      </w:r>
      <w:r w:rsidR="000636C2">
        <w:rPr>
          <w:rFonts w:hint="cs"/>
          <w:rtl/>
        </w:rPr>
        <w:t>،</w:t>
      </w:r>
      <w:r w:rsidRPr="005675B2">
        <w:rPr>
          <w:rFonts w:hint="cs"/>
          <w:rtl/>
        </w:rPr>
        <w:t xml:space="preserve"> وما يسبق ثبوتُه في الترتيب ثبوتَ الكلام وجوباً فيستحيل أن يكون مدركه السمع</w:t>
      </w:r>
      <w:r w:rsidR="000636C2">
        <w:rPr>
          <w:rFonts w:hint="cs"/>
          <w:rtl/>
        </w:rPr>
        <w:t>]</w:t>
      </w:r>
      <w:r w:rsidRPr="005675B2">
        <w:rPr>
          <w:rFonts w:hint="cs"/>
          <w:rtl/>
        </w:rPr>
        <w:t xml:space="preserve"> [</w:t>
      </w:r>
      <w:r w:rsidRPr="005675B2">
        <w:rPr>
          <w:rFonts w:hint="cs"/>
          <w:sz w:val="24"/>
          <w:szCs w:val="24"/>
          <w:rtl/>
        </w:rPr>
        <w:t>الإرشاد لإمام الحرمين: ص 301 . ولعل صواب العبارة في القسم الثالث هكذا " وإلى ما يجوز تقدير إدراكه سمعاً وعقلاً"]</w:t>
      </w:r>
      <w:r w:rsidR="000636C2">
        <w:rPr>
          <w:rFonts w:hint="cs"/>
          <w:rtl/>
        </w:rPr>
        <w:t xml:space="preserve">، </w:t>
      </w:r>
      <w:r w:rsidRPr="005675B2">
        <w:rPr>
          <w:rFonts w:hint="cs"/>
          <w:rtl/>
        </w:rPr>
        <w:t>لقد بيّن إمام الحرمين رحمه الله أن القسم الأول من أقسام أصول العقيدة عند الأشاعرة هو ما يدرك عقلاً ولا يسوغ تقدير إدراكه سمعاً</w:t>
      </w:r>
      <w:r w:rsidR="000636C2">
        <w:rPr>
          <w:rFonts w:hint="cs"/>
          <w:rtl/>
        </w:rPr>
        <w:t>،</w:t>
      </w:r>
      <w:r w:rsidRPr="005675B2">
        <w:rPr>
          <w:rFonts w:hint="cs"/>
          <w:rtl/>
        </w:rPr>
        <w:t xml:space="preserve"> يعني أنه يستدل عليه بالأدلة العقلية التي يحتج بها على المخالف</w:t>
      </w:r>
      <w:r w:rsidR="000636C2">
        <w:rPr>
          <w:rFonts w:hint="cs"/>
          <w:rtl/>
        </w:rPr>
        <w:t>،</w:t>
      </w:r>
      <w:r w:rsidRPr="005675B2">
        <w:rPr>
          <w:rFonts w:hint="cs"/>
          <w:rtl/>
        </w:rPr>
        <w:t xml:space="preserve"> ولا يصح أن نقدر أنه يستدل عليه بالأدلة السمعية</w:t>
      </w:r>
      <w:r w:rsidR="000636C2">
        <w:rPr>
          <w:rFonts w:hint="cs"/>
          <w:rtl/>
        </w:rPr>
        <w:t>،</w:t>
      </w:r>
      <w:r w:rsidRPr="005675B2">
        <w:rPr>
          <w:rFonts w:hint="cs"/>
          <w:rtl/>
        </w:rPr>
        <w:t xml:space="preserve"> ولم يقل </w:t>
      </w:r>
      <w:r w:rsidR="000636C2">
        <w:rPr>
          <w:rFonts w:hint="cs"/>
          <w:rtl/>
        </w:rPr>
        <w:t>[</w:t>
      </w:r>
      <w:r w:rsidRPr="005675B2">
        <w:rPr>
          <w:rFonts w:hint="cs"/>
          <w:rtl/>
        </w:rPr>
        <w:t>هو ما يدرك عقلاً ولا يدرك سمعاً</w:t>
      </w:r>
      <w:r w:rsidR="000636C2">
        <w:rPr>
          <w:rFonts w:hint="cs"/>
          <w:rtl/>
        </w:rPr>
        <w:t>]،</w:t>
      </w:r>
      <w:r w:rsidRPr="005675B2">
        <w:rPr>
          <w:rFonts w:hint="cs"/>
          <w:rtl/>
        </w:rPr>
        <w:t xml:space="preserve"> وبينهما فرق واضح</w:t>
      </w:r>
      <w:r w:rsidR="000636C2">
        <w:rPr>
          <w:rFonts w:hint="cs"/>
          <w:rtl/>
        </w:rPr>
        <w:t xml:space="preserve">، </w:t>
      </w:r>
      <w:r w:rsidRPr="005675B2">
        <w:rPr>
          <w:rFonts w:hint="cs"/>
          <w:rtl/>
        </w:rPr>
        <w:t>تصور إنساناً عطل عقله فلم يجد دليلاً على الله تبارك وتعالى وصفات كماله</w:t>
      </w:r>
      <w:r w:rsidR="000636C2">
        <w:rPr>
          <w:rFonts w:hint="cs"/>
          <w:rtl/>
        </w:rPr>
        <w:t>،</w:t>
      </w:r>
      <w:r w:rsidRPr="005675B2">
        <w:rPr>
          <w:rFonts w:hint="cs"/>
          <w:rtl/>
        </w:rPr>
        <w:t xml:space="preserve"> ولم يجد دليلاً على أن القرآن كلام الله</w:t>
      </w:r>
      <w:r w:rsidR="000636C2">
        <w:rPr>
          <w:rFonts w:hint="cs"/>
          <w:rtl/>
        </w:rPr>
        <w:t>،</w:t>
      </w:r>
      <w:r w:rsidRPr="005675B2">
        <w:rPr>
          <w:rFonts w:hint="cs"/>
          <w:rtl/>
        </w:rPr>
        <w:t xml:space="preserve"> ثم أقر بوجود الله وبصفاته وبأن القرآن كلام الله لأنه وجد ذلك في القرآن</w:t>
      </w:r>
      <w:r w:rsidR="000636C2">
        <w:rPr>
          <w:rFonts w:hint="cs"/>
          <w:rtl/>
        </w:rPr>
        <w:t>،</w:t>
      </w:r>
      <w:r w:rsidRPr="005675B2">
        <w:rPr>
          <w:rFonts w:hint="cs"/>
          <w:rtl/>
        </w:rPr>
        <w:t xml:space="preserve"> أفيسمى مثل هذا مؤمناً متمسكاً بدليل</w:t>
      </w:r>
      <w:r w:rsidR="000636C2">
        <w:rPr>
          <w:rFonts w:hint="cs"/>
          <w:rtl/>
        </w:rPr>
        <w:t>؟!</w:t>
      </w:r>
      <w:r w:rsidRPr="005675B2">
        <w:rPr>
          <w:rFonts w:hint="cs"/>
          <w:rtl/>
        </w:rPr>
        <w:t xml:space="preserve"> أليست تلك الأصول الاعتقادية مما يجب أن يكون مدركها العقل</w:t>
      </w:r>
      <w:r w:rsidR="000636C2">
        <w:rPr>
          <w:rFonts w:hint="cs"/>
          <w:rtl/>
        </w:rPr>
        <w:t>؟!</w:t>
      </w:r>
      <w:r w:rsidRPr="005675B2">
        <w:rPr>
          <w:rFonts w:hint="cs"/>
          <w:rtl/>
        </w:rPr>
        <w:t xml:space="preserve"> فإذا أثبتها العاقل المتدبر بالدلائل العقلية فإنه يستشهد عليها بعد ذلك بالدلائل السمعية القرآنية</w:t>
      </w:r>
      <w:r w:rsidR="000636C2">
        <w:rPr>
          <w:rFonts w:hint="cs"/>
          <w:rtl/>
        </w:rPr>
        <w:t>،</w:t>
      </w:r>
      <w:r w:rsidRPr="005675B2">
        <w:rPr>
          <w:rFonts w:hint="cs"/>
          <w:rtl/>
        </w:rPr>
        <w:t xml:space="preserve"> وهذا معنى قول إمام الحرمين </w:t>
      </w:r>
      <w:r w:rsidR="000636C2">
        <w:rPr>
          <w:rFonts w:hint="cs"/>
          <w:rtl/>
        </w:rPr>
        <w:t>[</w:t>
      </w:r>
      <w:r w:rsidRPr="005675B2">
        <w:rPr>
          <w:rFonts w:hint="cs"/>
          <w:rtl/>
        </w:rPr>
        <w:t>وما يسبق ثبوتُه في الترتيب ثبوتَ الكلام وجوباً فيستحيل أن يكون مدركه السمع</w:t>
      </w:r>
      <w:r w:rsidR="000636C2">
        <w:rPr>
          <w:rFonts w:hint="cs"/>
          <w:rtl/>
        </w:rPr>
        <w:t xml:space="preserve">]، </w:t>
      </w:r>
      <w:r w:rsidRPr="005675B2">
        <w:rPr>
          <w:rFonts w:hint="cs"/>
          <w:rtl/>
        </w:rPr>
        <w:t>2 - نسب الباحث إلى الأشاعرة أن هذا القسم الأول هو ما يحكم العقل بوجوبه دون توقف على الوحي عندهم</w:t>
      </w:r>
      <w:r w:rsidR="000636C2">
        <w:rPr>
          <w:rFonts w:hint="cs"/>
          <w:rtl/>
        </w:rPr>
        <w:t>،</w:t>
      </w:r>
      <w:r w:rsidRPr="005675B2">
        <w:rPr>
          <w:rFonts w:hint="cs"/>
          <w:rtl/>
        </w:rPr>
        <w:t xml:space="preserve"> فما أدري وجه الغرابة في هذا</w:t>
      </w:r>
      <w:r w:rsidR="000636C2">
        <w:rPr>
          <w:rFonts w:hint="cs"/>
          <w:rtl/>
        </w:rPr>
        <w:t>؟</w:t>
      </w:r>
      <w:r w:rsidRPr="005675B2">
        <w:rPr>
          <w:rFonts w:hint="cs"/>
          <w:rtl/>
        </w:rPr>
        <w:t xml:space="preserve"> ألا يحكم العقل السليم بأن الله تعالى واجب الوجود وأنه العليم الحكيم السميع البصيرالذي ليس كمثله شيء بالأدلة العقلية قبل ورود الأدلة السمعية بذلك</w:t>
      </w:r>
      <w:r w:rsidR="000636C2">
        <w:rPr>
          <w:rFonts w:hint="cs"/>
          <w:rtl/>
        </w:rPr>
        <w:t xml:space="preserve">؟، </w:t>
      </w:r>
      <w:r w:rsidRPr="005675B2">
        <w:rPr>
          <w:rFonts w:hint="cs"/>
          <w:rtl/>
        </w:rPr>
        <w:t>وإلى نحوهذا يشير كلام ابن تيمية رحمه الله إذ يقول</w:t>
      </w:r>
      <w:r w:rsidR="000636C2">
        <w:rPr>
          <w:rFonts w:hint="cs"/>
          <w:rtl/>
        </w:rPr>
        <w:t>:</w:t>
      </w:r>
      <w:r w:rsidRPr="005675B2">
        <w:rPr>
          <w:rFonts w:hint="cs"/>
          <w:rtl/>
        </w:rPr>
        <w:t xml:space="preserve"> </w:t>
      </w:r>
      <w:r w:rsidR="000636C2">
        <w:rPr>
          <w:rFonts w:hint="cs"/>
          <w:rtl/>
        </w:rPr>
        <w:t>[</w:t>
      </w:r>
      <w:r w:rsidRPr="005675B2">
        <w:rPr>
          <w:rFonts w:hint="cs"/>
          <w:rtl/>
        </w:rPr>
        <w:t>فلا بد في آخر الأمر من أن يثبت موجوداً واجباً قديماً</w:t>
      </w:r>
      <w:r w:rsidR="000636C2">
        <w:rPr>
          <w:rFonts w:hint="cs"/>
          <w:rtl/>
        </w:rPr>
        <w:t>،</w:t>
      </w:r>
      <w:r w:rsidRPr="005675B2">
        <w:rPr>
          <w:rFonts w:hint="cs"/>
          <w:rtl/>
        </w:rPr>
        <w:t xml:space="preserve"> متصفاً بصفات تميزه عن غيره</w:t>
      </w:r>
      <w:r w:rsidR="000636C2">
        <w:rPr>
          <w:rFonts w:hint="cs"/>
          <w:rtl/>
        </w:rPr>
        <w:t>،</w:t>
      </w:r>
      <w:r w:rsidRPr="005675B2">
        <w:rPr>
          <w:rFonts w:hint="cs"/>
          <w:rtl/>
        </w:rPr>
        <w:t xml:space="preserve"> ولا يكون فيها مماثلاً لخلقه</w:t>
      </w:r>
      <w:r w:rsidR="000636C2">
        <w:rPr>
          <w:rFonts w:hint="cs"/>
          <w:rtl/>
        </w:rPr>
        <w:t>]</w:t>
      </w:r>
      <w:r w:rsidRPr="005675B2">
        <w:rPr>
          <w:rFonts w:hint="cs"/>
          <w:rtl/>
        </w:rPr>
        <w:t xml:space="preserve"> [</w:t>
      </w:r>
      <w:r w:rsidRPr="005675B2">
        <w:rPr>
          <w:rFonts w:hint="cs"/>
          <w:sz w:val="24"/>
          <w:szCs w:val="24"/>
          <w:rtl/>
        </w:rPr>
        <w:t>الرسالة التدمرية لابن تيمية: ص 28</w:t>
      </w:r>
      <w:r w:rsidR="000636C2">
        <w:rPr>
          <w:rFonts w:hint="cs"/>
          <w:sz w:val="24"/>
          <w:szCs w:val="24"/>
          <w:rtl/>
        </w:rPr>
        <w:t>]</w:t>
      </w:r>
      <w:r w:rsidR="000636C2">
        <w:rPr>
          <w:rFonts w:hint="cs"/>
          <w:rtl/>
        </w:rPr>
        <w:t xml:space="preserve">، </w:t>
      </w:r>
      <w:r w:rsidRPr="005675B2">
        <w:rPr>
          <w:rFonts w:hint="cs"/>
          <w:rtl/>
        </w:rPr>
        <w:t>3 - نسب الباحث إلى الأشاعرة أن من القسم الذي مصدره العقل والنقل معاً مسألة الرؤية</w:t>
      </w:r>
      <w:r w:rsidR="000636C2">
        <w:rPr>
          <w:rFonts w:hint="cs"/>
          <w:rtl/>
        </w:rPr>
        <w:t>،</w:t>
      </w:r>
      <w:r w:rsidRPr="005675B2">
        <w:rPr>
          <w:rFonts w:hint="cs"/>
          <w:rtl/>
        </w:rPr>
        <w:t xml:space="preserve"> أي رؤية المؤمنين ربَّهم تبارك وتعالى في الآخرة</w:t>
      </w:r>
      <w:r w:rsidR="000636C2">
        <w:rPr>
          <w:rFonts w:hint="cs"/>
          <w:rtl/>
        </w:rPr>
        <w:t>،</w:t>
      </w:r>
      <w:r w:rsidRPr="005675B2">
        <w:rPr>
          <w:rFonts w:hint="cs"/>
          <w:rtl/>
        </w:rPr>
        <w:t xml:space="preserve"> فهل يُستدل على الرؤية بالأدلة العقلية</w:t>
      </w:r>
      <w:r w:rsidR="000636C2">
        <w:rPr>
          <w:rFonts w:hint="cs"/>
          <w:rtl/>
        </w:rPr>
        <w:t xml:space="preserve">؟، </w:t>
      </w:r>
      <w:r w:rsidRPr="005675B2">
        <w:rPr>
          <w:rFonts w:hint="cs"/>
          <w:rtl/>
        </w:rPr>
        <w:t>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وأما ما يجوز إدراكه عقلاً وسمعاً فهو…</w:t>
      </w:r>
      <w:r w:rsidR="000636C2">
        <w:rPr>
          <w:rFonts w:hint="cs"/>
          <w:rtl/>
        </w:rPr>
        <w:t>،</w:t>
      </w:r>
      <w:r w:rsidRPr="005675B2">
        <w:rPr>
          <w:rFonts w:hint="cs"/>
          <w:rtl/>
        </w:rPr>
        <w:t xml:space="preserve"> ونظير هذا القسم إثبات جواز الرؤية</w:t>
      </w:r>
      <w:r w:rsidR="000636C2">
        <w:rPr>
          <w:rFonts w:hint="cs"/>
          <w:rtl/>
        </w:rPr>
        <w:t>،</w:t>
      </w:r>
      <w:r w:rsidRPr="005675B2">
        <w:rPr>
          <w:rFonts w:hint="cs"/>
          <w:rtl/>
        </w:rPr>
        <w:t>… فأما كون الرؤية ووقوعها فطريق ثبوتها الوعد الصدق والقول الحق</w:t>
      </w:r>
      <w:r w:rsidR="000636C2">
        <w:rPr>
          <w:rFonts w:hint="cs"/>
          <w:rtl/>
        </w:rPr>
        <w:t>]</w:t>
      </w:r>
      <w:r w:rsidRPr="005675B2">
        <w:rPr>
          <w:rFonts w:hint="cs"/>
          <w:rtl/>
        </w:rPr>
        <w:t xml:space="preserve"> [</w:t>
      </w:r>
      <w:r w:rsidRPr="005675B2">
        <w:rPr>
          <w:rFonts w:hint="cs"/>
          <w:sz w:val="24"/>
          <w:szCs w:val="24"/>
          <w:rtl/>
        </w:rPr>
        <w:t>الإرشاد لإمام الحرمين: ص 301 – 302</w:t>
      </w:r>
      <w:r w:rsidR="000636C2">
        <w:rPr>
          <w:rFonts w:hint="cs"/>
          <w:sz w:val="24"/>
          <w:szCs w:val="24"/>
          <w:rtl/>
        </w:rPr>
        <w:t>]</w:t>
      </w:r>
      <w:r w:rsidR="000636C2">
        <w:rPr>
          <w:rFonts w:hint="cs"/>
          <w:rtl/>
        </w:rPr>
        <w:t xml:space="preserve">، </w:t>
      </w:r>
      <w:r w:rsidRPr="005675B2">
        <w:rPr>
          <w:rFonts w:hint="cs"/>
          <w:rtl/>
        </w:rPr>
        <w:t>أي</w:t>
      </w:r>
      <w:r w:rsidR="000636C2">
        <w:rPr>
          <w:rFonts w:hint="cs"/>
          <w:rtl/>
        </w:rPr>
        <w:t>:</w:t>
      </w:r>
      <w:r w:rsidRPr="005675B2">
        <w:rPr>
          <w:rFonts w:hint="cs"/>
          <w:rtl/>
        </w:rPr>
        <w:t xml:space="preserve"> فأما إثبات جواز الرؤية فهو</w:t>
      </w:r>
      <w:r w:rsidR="000636C2">
        <w:rPr>
          <w:rFonts w:hint="cs"/>
          <w:rtl/>
        </w:rPr>
        <w:t xml:space="preserve"> </w:t>
      </w:r>
      <w:r w:rsidRPr="005675B2">
        <w:rPr>
          <w:rFonts w:hint="cs"/>
          <w:rtl/>
        </w:rPr>
        <w:t>- عند الأشاعرة</w:t>
      </w:r>
      <w:r w:rsidR="000636C2">
        <w:rPr>
          <w:rFonts w:hint="cs"/>
          <w:rtl/>
        </w:rPr>
        <w:t xml:space="preserve"> </w:t>
      </w:r>
      <w:r w:rsidRPr="005675B2">
        <w:rPr>
          <w:rFonts w:hint="cs"/>
          <w:rtl/>
        </w:rPr>
        <w:t>- بالعقل والنقل</w:t>
      </w:r>
      <w:r w:rsidR="000636C2">
        <w:rPr>
          <w:rFonts w:hint="cs"/>
          <w:rtl/>
        </w:rPr>
        <w:t>،</w:t>
      </w:r>
      <w:r w:rsidRPr="005675B2">
        <w:rPr>
          <w:rFonts w:hint="cs"/>
          <w:rtl/>
        </w:rPr>
        <w:t xml:space="preserve"> وإما إثبات وقوع الرؤية وتحققها في الآخرة فهو بالنقل</w:t>
      </w:r>
      <w:r w:rsidR="000636C2">
        <w:rPr>
          <w:rFonts w:hint="cs"/>
          <w:rtl/>
        </w:rPr>
        <w:t>،</w:t>
      </w:r>
      <w:r w:rsidRPr="005675B2">
        <w:rPr>
          <w:rFonts w:hint="cs"/>
          <w:rtl/>
        </w:rPr>
        <w:t xml:space="preserve"> لأن العقل لا يحكم بوجوب كون الرؤية واستحالة عدمها</w:t>
      </w:r>
      <w:r w:rsidR="000636C2">
        <w:rPr>
          <w:rFonts w:hint="cs"/>
          <w:rtl/>
        </w:rPr>
        <w:t>،</w:t>
      </w:r>
      <w:r w:rsidRPr="005675B2">
        <w:rPr>
          <w:rFonts w:hint="cs"/>
          <w:rtl/>
        </w:rPr>
        <w:t xml:space="preserve"> فالمسألة في شقها الأول عقلية وسمعية</w:t>
      </w:r>
      <w:r w:rsidR="000636C2">
        <w:rPr>
          <w:rFonts w:hint="cs"/>
          <w:rtl/>
        </w:rPr>
        <w:t>،</w:t>
      </w:r>
      <w:r w:rsidRPr="005675B2">
        <w:rPr>
          <w:rFonts w:hint="cs"/>
          <w:rtl/>
        </w:rPr>
        <w:t xml:space="preserve"> وفي شقها الثاني سمعية</w:t>
      </w:r>
      <w:r w:rsidR="000636C2">
        <w:rPr>
          <w:rFonts w:hint="cs"/>
          <w:rtl/>
        </w:rPr>
        <w:t>،</w:t>
      </w:r>
      <w:r w:rsidRPr="005675B2">
        <w:rPr>
          <w:rFonts w:hint="cs"/>
          <w:rtl/>
        </w:rPr>
        <w:t xml:space="preserve"> والباحث - سامحه الله</w:t>
      </w:r>
      <w:r w:rsidR="000636C2">
        <w:rPr>
          <w:rFonts w:hint="cs"/>
          <w:rtl/>
        </w:rPr>
        <w:t xml:space="preserve"> </w:t>
      </w:r>
      <w:r w:rsidRPr="005675B2">
        <w:rPr>
          <w:rFonts w:hint="cs"/>
          <w:rtl/>
        </w:rPr>
        <w:t>- لا ينتبه لمثل هذه الفروق</w:t>
      </w:r>
      <w:r w:rsidR="000636C2">
        <w:rPr>
          <w:rFonts w:hint="cs"/>
          <w:rtl/>
        </w:rPr>
        <w:t xml:space="preserve">، </w:t>
      </w:r>
      <w:r w:rsidRPr="005675B2">
        <w:rPr>
          <w:rFonts w:hint="cs"/>
          <w:rtl/>
        </w:rPr>
        <w:t>وإلى نحو هذا يشير كلام ابن تيمية رحمه الله إذ يقول</w:t>
      </w:r>
      <w:r w:rsidR="000636C2">
        <w:rPr>
          <w:rFonts w:hint="cs"/>
          <w:rtl/>
        </w:rPr>
        <w:t>:</w:t>
      </w:r>
      <w:r w:rsidRPr="005675B2">
        <w:rPr>
          <w:rFonts w:hint="cs"/>
          <w:rtl/>
        </w:rPr>
        <w:t xml:space="preserve"> </w:t>
      </w:r>
      <w:r w:rsidR="000636C2">
        <w:rPr>
          <w:rFonts w:hint="cs"/>
          <w:rtl/>
        </w:rPr>
        <w:t>[</w:t>
      </w:r>
      <w:r w:rsidRPr="005675B2">
        <w:rPr>
          <w:rFonts w:hint="cs"/>
          <w:rtl/>
        </w:rPr>
        <w:t>وكذلك إمكان الرؤية يثبت بالعقل</w:t>
      </w:r>
      <w:r w:rsidR="000636C2">
        <w:rPr>
          <w:rFonts w:hint="cs"/>
          <w:rtl/>
        </w:rPr>
        <w:t>]</w:t>
      </w:r>
      <w:r w:rsidRPr="005675B2">
        <w:rPr>
          <w:rFonts w:hint="cs"/>
          <w:rtl/>
        </w:rPr>
        <w:t xml:space="preserve"> [</w:t>
      </w:r>
      <w:r w:rsidRPr="005675B2">
        <w:rPr>
          <w:rFonts w:hint="cs"/>
          <w:sz w:val="24"/>
          <w:szCs w:val="24"/>
          <w:rtl/>
        </w:rPr>
        <w:t>الرسالة التدمرية: ص 96</w:t>
      </w:r>
      <w:r w:rsidR="000636C2">
        <w:rPr>
          <w:rFonts w:hint="cs"/>
          <w:sz w:val="24"/>
          <w:szCs w:val="24"/>
          <w:rtl/>
        </w:rPr>
        <w:t>]</w:t>
      </w:r>
      <w:r w:rsidR="000636C2">
        <w:rPr>
          <w:rFonts w:hint="cs"/>
          <w:rtl/>
        </w:rPr>
        <w:t>،</w:t>
      </w:r>
      <w:r w:rsidRPr="005675B2">
        <w:rPr>
          <w:rFonts w:hint="cs"/>
          <w:rtl/>
        </w:rPr>
        <w:t xml:space="preserve"> أي</w:t>
      </w:r>
      <w:r w:rsidR="000636C2">
        <w:rPr>
          <w:rFonts w:hint="cs"/>
          <w:rtl/>
        </w:rPr>
        <w:t>:</w:t>
      </w:r>
      <w:r w:rsidRPr="005675B2">
        <w:rPr>
          <w:rFonts w:hint="cs"/>
          <w:rtl/>
        </w:rPr>
        <w:t xml:space="preserve"> فالرؤية - من حيث هي ممكنة غير مستحيلة</w:t>
      </w:r>
      <w:r w:rsidR="000636C2">
        <w:rPr>
          <w:rFonts w:hint="cs"/>
          <w:rtl/>
        </w:rPr>
        <w:t xml:space="preserve"> </w:t>
      </w:r>
      <w:r w:rsidRPr="005675B2">
        <w:rPr>
          <w:rFonts w:hint="cs"/>
          <w:rtl/>
        </w:rPr>
        <w:t>- فهذا يكون إثباته بالدليل العقلي</w:t>
      </w:r>
      <w:r w:rsidR="000636C2">
        <w:rPr>
          <w:rFonts w:hint="cs"/>
          <w:rtl/>
        </w:rPr>
        <w:t>،</w:t>
      </w:r>
      <w:r w:rsidRPr="005675B2">
        <w:rPr>
          <w:rFonts w:hint="cs"/>
          <w:rtl/>
        </w:rPr>
        <w:t xml:space="preserve"> أما حصول الرؤية ووقوعها للمؤمنين فهذا لا يكون إثباته بالدليل العقلي</w:t>
      </w:r>
      <w:r w:rsidR="000636C2">
        <w:rPr>
          <w:rFonts w:hint="cs"/>
          <w:rtl/>
        </w:rPr>
        <w:t>،</w:t>
      </w:r>
      <w:r w:rsidRPr="005675B2">
        <w:rPr>
          <w:rFonts w:hint="cs"/>
          <w:rtl/>
        </w:rPr>
        <w:t xml:space="preserve"> بل بالأدلة السمعية</w:t>
      </w:r>
      <w:r w:rsidR="000636C2">
        <w:rPr>
          <w:rFonts w:hint="cs"/>
          <w:rtl/>
        </w:rPr>
        <w:t xml:space="preserve">، </w:t>
      </w:r>
      <w:r w:rsidRPr="005675B2">
        <w:rPr>
          <w:rFonts w:hint="cs"/>
          <w:rtl/>
        </w:rPr>
        <w:t>4 - يتفق الباحث مع الأشاعرة على إثبات تلك الأمور الغيبية</w:t>
      </w:r>
      <w:r w:rsidR="000636C2">
        <w:rPr>
          <w:rFonts w:hint="cs"/>
          <w:rtl/>
        </w:rPr>
        <w:t>،</w:t>
      </w:r>
      <w:r w:rsidRPr="005675B2">
        <w:rPr>
          <w:rFonts w:hint="cs"/>
          <w:rtl/>
        </w:rPr>
        <w:t xml:space="preserve"> أي السمعيات التي ثبتت بالنقل</w:t>
      </w:r>
      <w:r w:rsidR="000636C2">
        <w:rPr>
          <w:rFonts w:hint="cs"/>
          <w:rtl/>
        </w:rPr>
        <w:t>،</w:t>
      </w:r>
      <w:r w:rsidRPr="005675B2">
        <w:rPr>
          <w:rFonts w:hint="cs"/>
          <w:rtl/>
        </w:rPr>
        <w:t xml:space="preserve"> كعذاب القبر والصراط والميزان</w:t>
      </w:r>
      <w:r w:rsidR="000636C2">
        <w:rPr>
          <w:rFonts w:hint="cs"/>
          <w:rtl/>
        </w:rPr>
        <w:t>،</w:t>
      </w:r>
      <w:r w:rsidRPr="005675B2">
        <w:rPr>
          <w:rFonts w:hint="cs"/>
          <w:rtl/>
        </w:rPr>
        <w:t xml:space="preserve"> لكنه يخالفهم - على ما يقول</w:t>
      </w:r>
      <w:r w:rsidR="000636C2">
        <w:rPr>
          <w:rFonts w:hint="cs"/>
          <w:rtl/>
        </w:rPr>
        <w:t xml:space="preserve"> </w:t>
      </w:r>
      <w:r w:rsidRPr="005675B2">
        <w:rPr>
          <w:rFonts w:hint="cs"/>
          <w:rtl/>
        </w:rPr>
        <w:t>- في المأخذ والمصدر</w:t>
      </w:r>
      <w:r w:rsidR="000636C2">
        <w:rPr>
          <w:rFonts w:hint="cs"/>
          <w:rtl/>
        </w:rPr>
        <w:t>،</w:t>
      </w:r>
      <w:r w:rsidRPr="005675B2">
        <w:rPr>
          <w:rFonts w:hint="cs"/>
          <w:rtl/>
        </w:rPr>
        <w:t xml:space="preserve"> ونقل عنهم أنهم يقولون عند ذكر أي أمر منها نؤمن به لأن العقل لا يحكم باستحالته ولأن الشرع جاء به</w:t>
      </w:r>
      <w:r w:rsidR="000636C2">
        <w:rPr>
          <w:rFonts w:hint="cs"/>
          <w:rtl/>
        </w:rPr>
        <w:t>،</w:t>
      </w:r>
      <w:r w:rsidRPr="005675B2">
        <w:rPr>
          <w:rFonts w:hint="cs"/>
          <w:rtl/>
        </w:rPr>
        <w:t xml:space="preserve"> أما في مذهبه</w:t>
      </w:r>
      <w:r w:rsidR="000636C2">
        <w:rPr>
          <w:rFonts w:hint="cs"/>
          <w:rtl/>
        </w:rPr>
        <w:t xml:space="preserve"> </w:t>
      </w:r>
      <w:r w:rsidRPr="005675B2">
        <w:rPr>
          <w:rFonts w:hint="cs"/>
          <w:rtl/>
        </w:rPr>
        <w:t>- الذي ينقله عن أهل السنة والجماعة</w:t>
      </w:r>
      <w:r w:rsidR="000636C2">
        <w:rPr>
          <w:rFonts w:hint="cs"/>
          <w:rtl/>
        </w:rPr>
        <w:t xml:space="preserve"> </w:t>
      </w:r>
      <w:r w:rsidRPr="005675B2">
        <w:rPr>
          <w:rFonts w:hint="cs"/>
          <w:rtl/>
        </w:rPr>
        <w:t>- فيقول إنه لا منافاة بين العقل والنقل أصلاً</w:t>
      </w:r>
      <w:r w:rsidR="000636C2">
        <w:rPr>
          <w:rFonts w:hint="cs"/>
          <w:rtl/>
        </w:rPr>
        <w:t>،</w:t>
      </w:r>
      <w:r w:rsidRPr="005675B2">
        <w:rPr>
          <w:rFonts w:hint="cs"/>
          <w:rtl/>
        </w:rPr>
        <w:t xml:space="preserve"> فما الفرق بين المذهبين</w:t>
      </w:r>
      <w:r w:rsidR="000636C2">
        <w:rPr>
          <w:rFonts w:hint="cs"/>
          <w:rtl/>
        </w:rPr>
        <w:t xml:space="preserve">؟، </w:t>
      </w:r>
      <w:r w:rsidRPr="005675B2">
        <w:rPr>
          <w:rFonts w:hint="cs"/>
          <w:rtl/>
        </w:rPr>
        <w:t>لم يقل الأشاعرة بوجود منافاة بين ما يحكم به العقل على سبيل القطع وبين ما يجيء به الشرع من طريق الجزم واليقين</w:t>
      </w:r>
      <w:r w:rsidR="000636C2">
        <w:rPr>
          <w:rFonts w:hint="cs"/>
          <w:rtl/>
        </w:rPr>
        <w:t>،</w:t>
      </w:r>
      <w:r w:rsidRPr="005675B2">
        <w:rPr>
          <w:rFonts w:hint="cs"/>
          <w:rtl/>
        </w:rPr>
        <w:t xml:space="preserve"> وقولهم عند ذكر أي أمر منها </w:t>
      </w:r>
      <w:r w:rsidR="000636C2">
        <w:rPr>
          <w:rFonts w:hint="cs"/>
          <w:rtl/>
        </w:rPr>
        <w:t>[</w:t>
      </w:r>
      <w:r w:rsidRPr="005675B2">
        <w:rPr>
          <w:rFonts w:hint="cs"/>
          <w:rtl/>
        </w:rPr>
        <w:t>نؤمن به لأن العقل لا يحكم باستحالته</w:t>
      </w:r>
      <w:r w:rsidR="000636C2">
        <w:rPr>
          <w:rFonts w:hint="cs"/>
          <w:rtl/>
        </w:rPr>
        <w:t>]</w:t>
      </w:r>
      <w:r w:rsidRPr="005675B2">
        <w:rPr>
          <w:rFonts w:hint="cs"/>
          <w:rtl/>
        </w:rPr>
        <w:t xml:space="preserve"> هو تمهيد بين يدي قولهم </w:t>
      </w:r>
      <w:r w:rsidR="000636C2">
        <w:rPr>
          <w:rFonts w:hint="cs"/>
          <w:rtl/>
        </w:rPr>
        <w:t>[</w:t>
      </w:r>
      <w:r w:rsidRPr="005675B2">
        <w:rPr>
          <w:rFonts w:hint="cs"/>
          <w:rtl/>
        </w:rPr>
        <w:t>ولأن الشرع جاء به</w:t>
      </w:r>
      <w:r w:rsidR="000636C2">
        <w:rPr>
          <w:rFonts w:hint="cs"/>
          <w:rtl/>
        </w:rPr>
        <w:t>]،</w:t>
      </w:r>
      <w:r w:rsidRPr="005675B2">
        <w:rPr>
          <w:rFonts w:hint="cs"/>
          <w:rtl/>
        </w:rPr>
        <w:t xml:space="preserve"> وفي هذا </w:t>
      </w:r>
      <w:r w:rsidR="000636C2">
        <w:rPr>
          <w:rFonts w:hint="cs"/>
          <w:rtl/>
        </w:rPr>
        <w:t>(</w:t>
      </w:r>
      <w:r>
        <w:rPr>
          <w:rFonts w:hint="cs"/>
          <w:rtl/>
        </w:rPr>
        <w:t>تنبيه</w:t>
      </w:r>
      <w:r w:rsidR="000636C2">
        <w:rPr>
          <w:rFonts w:hint="cs"/>
          <w:rtl/>
        </w:rPr>
        <w:t>)</w:t>
      </w:r>
      <w:r w:rsidRPr="005675B2">
        <w:rPr>
          <w:rFonts w:hint="cs"/>
          <w:rtl/>
        </w:rPr>
        <w:t xml:space="preserve"> على أنه لو كان مما يستحيل عقلاً لكان مستحيلاً شرعاً</w:t>
      </w:r>
      <w:r w:rsidR="000636C2">
        <w:rPr>
          <w:rFonts w:hint="cs"/>
          <w:rtl/>
        </w:rPr>
        <w:t>،</w:t>
      </w:r>
      <w:r w:rsidRPr="005675B2">
        <w:rPr>
          <w:rFonts w:hint="cs"/>
          <w:rtl/>
        </w:rPr>
        <w:t xml:space="preserve"> أما إذا افترضنا مجيئه في نص شرعي فلا بد من التأكد من هذا النص</w:t>
      </w:r>
      <w:r w:rsidR="000636C2">
        <w:rPr>
          <w:rFonts w:hint="cs"/>
          <w:rtl/>
        </w:rPr>
        <w:t>،</w:t>
      </w:r>
      <w:r w:rsidRPr="005675B2">
        <w:rPr>
          <w:rFonts w:hint="cs"/>
          <w:rtl/>
        </w:rPr>
        <w:t xml:space="preserve"> من حيث الثبوت ومن حيث الدلالة</w:t>
      </w:r>
      <w:r w:rsidR="000636C2">
        <w:rPr>
          <w:rFonts w:hint="cs"/>
          <w:rtl/>
        </w:rPr>
        <w:t>،</w:t>
      </w:r>
      <w:r w:rsidRPr="005675B2">
        <w:rPr>
          <w:rFonts w:hint="cs"/>
          <w:rtl/>
        </w:rPr>
        <w:t xml:space="preserve"> ولا بد أن يكون في هذه الحالة إما غير قطعي الثبوت وإما غير قطعي الدلالة</w:t>
      </w:r>
      <w:r w:rsidR="000636C2">
        <w:rPr>
          <w:rFonts w:hint="cs"/>
          <w:rtl/>
        </w:rPr>
        <w:t>،</w:t>
      </w:r>
      <w:r w:rsidRPr="005675B2">
        <w:rPr>
          <w:rFonts w:hint="cs"/>
          <w:rtl/>
        </w:rPr>
        <w:t xml:space="preserve"> فالمستحيل عقلاً مستحيل نقلاً</w:t>
      </w:r>
      <w:r w:rsidR="000636C2">
        <w:rPr>
          <w:rFonts w:hint="cs"/>
          <w:rtl/>
        </w:rPr>
        <w:t>،</w:t>
      </w:r>
      <w:r w:rsidRPr="005675B2">
        <w:rPr>
          <w:rFonts w:hint="cs"/>
          <w:rtl/>
        </w:rPr>
        <w:t xml:space="preserve"> وهذا أمر لا خلاف فيه</w:t>
      </w:r>
      <w:r w:rsidR="000636C2">
        <w:rPr>
          <w:rFonts w:hint="cs"/>
          <w:rtl/>
        </w:rPr>
        <w:t>،</w:t>
      </w:r>
      <w:r w:rsidRPr="005675B2">
        <w:rPr>
          <w:rFonts w:hint="cs"/>
          <w:rtl/>
        </w:rPr>
        <w:t xml:space="preserve"> وكثير من الناس لا يدركون مواطن الاتفاق ومواطن الاختلاف</w:t>
      </w:r>
      <w:r w:rsidR="000636C2">
        <w:rPr>
          <w:rFonts w:hint="cs"/>
          <w:rtl/>
        </w:rPr>
        <w:t xml:space="preserve">، </w:t>
      </w:r>
      <w:r w:rsidRPr="005675B2">
        <w:rPr>
          <w:rFonts w:hint="cs"/>
          <w:rtl/>
        </w:rPr>
        <w:t>وليت الذي يذكر في هذا اختلافاً يذكر لنا مثالاً واحداً عن أمر ثبت في الشرع ولم يثبته الأشاعرة بدعوى أن العقل يحكم باستحالته</w:t>
      </w:r>
      <w:r w:rsidR="000636C2">
        <w:rPr>
          <w:rFonts w:hint="cs"/>
          <w:rtl/>
        </w:rPr>
        <w:t xml:space="preserve">!، </w:t>
      </w:r>
      <w:r w:rsidRPr="005675B2">
        <w:rPr>
          <w:rFonts w:hint="cs"/>
          <w:rtl/>
        </w:rPr>
        <w:t>وإلى نحو مما تقدم يشير كلام ابن تيمية رحمه الله إذ يقول للمعتزلي عن أمر يناقشه فيه</w:t>
      </w:r>
      <w:r w:rsidR="000636C2">
        <w:rPr>
          <w:rFonts w:hint="cs"/>
          <w:rtl/>
        </w:rPr>
        <w:t>:</w:t>
      </w:r>
      <w:r w:rsidRPr="005675B2">
        <w:rPr>
          <w:rFonts w:hint="cs"/>
          <w:rtl/>
        </w:rPr>
        <w:t xml:space="preserve"> </w:t>
      </w:r>
      <w:r w:rsidR="000636C2">
        <w:rPr>
          <w:rFonts w:hint="cs"/>
          <w:rtl/>
        </w:rPr>
        <w:t>[</w:t>
      </w:r>
      <w:r w:rsidRPr="005675B2">
        <w:rPr>
          <w:rFonts w:hint="cs"/>
          <w:rtl/>
        </w:rPr>
        <w:t>وليس لك أن تنفيه بغير دليل</w:t>
      </w:r>
      <w:r w:rsidR="000636C2">
        <w:rPr>
          <w:rFonts w:hint="cs"/>
          <w:rtl/>
        </w:rPr>
        <w:t>،</w:t>
      </w:r>
      <w:r w:rsidRPr="005675B2">
        <w:rPr>
          <w:rFonts w:hint="cs"/>
          <w:rtl/>
        </w:rPr>
        <w:t xml:space="preserve"> لأن النافي عليه الدليل كما على المثبت</w:t>
      </w:r>
      <w:r w:rsidR="000636C2">
        <w:rPr>
          <w:rFonts w:hint="cs"/>
          <w:rtl/>
        </w:rPr>
        <w:t>،</w:t>
      </w:r>
      <w:r w:rsidRPr="005675B2">
        <w:rPr>
          <w:rFonts w:hint="cs"/>
          <w:rtl/>
        </w:rPr>
        <w:t xml:space="preserve"> والسمع قد دل عليه</w:t>
      </w:r>
      <w:r w:rsidR="000636C2">
        <w:rPr>
          <w:rFonts w:hint="cs"/>
          <w:rtl/>
        </w:rPr>
        <w:t>،</w:t>
      </w:r>
      <w:r w:rsidRPr="005675B2">
        <w:rPr>
          <w:rFonts w:hint="cs"/>
          <w:rtl/>
        </w:rPr>
        <w:t xml:space="preserve"> ولم يعارض ذلك معارض عقلي ولا سمعي</w:t>
      </w:r>
      <w:r w:rsidR="000636C2">
        <w:rPr>
          <w:rFonts w:hint="cs"/>
          <w:rtl/>
        </w:rPr>
        <w:t>،</w:t>
      </w:r>
      <w:r w:rsidRPr="005675B2">
        <w:rPr>
          <w:rFonts w:hint="cs"/>
          <w:rtl/>
        </w:rPr>
        <w:t xml:space="preserve"> فيجب إثبات ما أثبته الدليل السالم عن المعارض المقاوم</w:t>
      </w:r>
      <w:r w:rsidR="000636C2">
        <w:rPr>
          <w:rFonts w:hint="cs"/>
          <w:rtl/>
        </w:rPr>
        <w:t>]</w:t>
      </w:r>
      <w:r w:rsidRPr="005675B2">
        <w:rPr>
          <w:rFonts w:hint="cs"/>
          <w:rtl/>
        </w:rPr>
        <w:t xml:space="preserve"> [</w:t>
      </w:r>
      <w:r w:rsidRPr="005675B2">
        <w:rPr>
          <w:rFonts w:hint="cs"/>
          <w:sz w:val="24"/>
          <w:szCs w:val="24"/>
          <w:rtl/>
        </w:rPr>
        <w:t>الرسالة التدمرية: ص 23</w:t>
      </w:r>
      <w:r w:rsidR="000636C2">
        <w:rPr>
          <w:rFonts w:hint="cs"/>
          <w:sz w:val="24"/>
          <w:szCs w:val="24"/>
          <w:rtl/>
        </w:rPr>
        <w:t>]</w:t>
      </w:r>
      <w:r w:rsidR="000636C2">
        <w:rPr>
          <w:rFonts w:hint="cs"/>
          <w:rtl/>
        </w:rPr>
        <w:t xml:space="preserve">، </w:t>
      </w:r>
      <w:r w:rsidRPr="005675B2">
        <w:rPr>
          <w:rFonts w:hint="cs"/>
          <w:rtl/>
        </w:rPr>
        <w:t xml:space="preserve">فلم تعيب أيها الباحث على الأشاعرة أنهم يقولون عند ذكر أي أمر من الأمور السمعية </w:t>
      </w:r>
      <w:r w:rsidR="000636C2">
        <w:rPr>
          <w:rFonts w:hint="cs"/>
          <w:rtl/>
        </w:rPr>
        <w:t>[</w:t>
      </w:r>
      <w:r w:rsidRPr="005675B2">
        <w:rPr>
          <w:rFonts w:hint="cs"/>
          <w:rtl/>
        </w:rPr>
        <w:t>نؤمن به لأن العقل لا يحكم باستحالته ولأن الشرع جاء به</w:t>
      </w:r>
      <w:r w:rsidR="000636C2">
        <w:rPr>
          <w:rFonts w:hint="cs"/>
          <w:rtl/>
        </w:rPr>
        <w:t>]</w:t>
      </w:r>
      <w:r w:rsidRPr="005675B2">
        <w:rPr>
          <w:rFonts w:hint="cs"/>
          <w:rtl/>
        </w:rPr>
        <w:t xml:space="preserve"> ولا تعيب ذلك على ابن تيمية وقد قال </w:t>
      </w:r>
      <w:r w:rsidR="000636C2">
        <w:rPr>
          <w:rFonts w:hint="cs"/>
          <w:rtl/>
        </w:rPr>
        <w:t>[</w:t>
      </w:r>
      <w:r w:rsidRPr="005675B2">
        <w:rPr>
          <w:rFonts w:hint="cs"/>
          <w:rtl/>
        </w:rPr>
        <w:t>والسمع قد دل عليه ولم يعارض ذلك معارض عقلي ولا سمعي</w:t>
      </w:r>
      <w:r w:rsidR="000636C2">
        <w:rPr>
          <w:rFonts w:hint="cs"/>
          <w:rtl/>
        </w:rPr>
        <w:t>]</w:t>
      </w:r>
      <w:r w:rsidRPr="005675B2">
        <w:rPr>
          <w:rFonts w:hint="cs"/>
          <w:rtl/>
        </w:rPr>
        <w:t xml:space="preserve"> والمعنى واحد</w:t>
      </w:r>
      <w:r w:rsidR="000636C2">
        <w:rPr>
          <w:rFonts w:hint="cs"/>
          <w:rtl/>
        </w:rPr>
        <w:t xml:space="preserve">؟، </w:t>
      </w:r>
      <w:r w:rsidRPr="005675B2">
        <w:rPr>
          <w:rFonts w:hint="cs"/>
          <w:rtl/>
        </w:rPr>
        <w:t xml:space="preserve">5 - أما قول الباحث </w:t>
      </w:r>
      <w:r w:rsidR="000636C2">
        <w:rPr>
          <w:rFonts w:hint="cs"/>
          <w:rtl/>
        </w:rPr>
        <w:t>[</w:t>
      </w:r>
      <w:r w:rsidRPr="005675B2">
        <w:rPr>
          <w:rFonts w:hint="cs"/>
          <w:rtl/>
        </w:rPr>
        <w:t>وليس هناك أصل من أصول العقيدة يستقل العقل بإثباته أبداً</w:t>
      </w:r>
      <w:r w:rsidR="000636C2">
        <w:rPr>
          <w:rFonts w:hint="cs"/>
          <w:rtl/>
        </w:rPr>
        <w:t>]</w:t>
      </w:r>
      <w:r w:rsidRPr="005675B2">
        <w:rPr>
          <w:rFonts w:hint="cs"/>
          <w:rtl/>
        </w:rPr>
        <w:t xml:space="preserve"> فهذه دعوى مخالفة للواقع</w:t>
      </w:r>
      <w:r w:rsidR="000636C2">
        <w:rPr>
          <w:rFonts w:hint="cs"/>
          <w:rtl/>
        </w:rPr>
        <w:t>،</w:t>
      </w:r>
      <w:r w:rsidRPr="005675B2">
        <w:rPr>
          <w:rFonts w:hint="cs"/>
          <w:rtl/>
        </w:rPr>
        <w:t xml:space="preserve"> لأن الإيمان بوجود الله تعالى وعلمه وقدرته وإرادته يمكن أن يستقل العقل بإثباته</w:t>
      </w:r>
      <w:r w:rsidR="000636C2">
        <w:rPr>
          <w:rFonts w:hint="cs"/>
          <w:rtl/>
        </w:rPr>
        <w:t>،</w:t>
      </w:r>
      <w:r w:rsidRPr="005675B2">
        <w:rPr>
          <w:rFonts w:hint="cs"/>
          <w:rtl/>
        </w:rPr>
        <w:t xml:space="preserve"> وكثير من الفلاسفة آمنوا بذلك بالأدلة العقلية</w:t>
      </w:r>
      <w:r w:rsidR="000636C2">
        <w:rPr>
          <w:rFonts w:hint="cs"/>
          <w:rtl/>
        </w:rPr>
        <w:t>،</w:t>
      </w:r>
      <w:r w:rsidRPr="005675B2">
        <w:rPr>
          <w:rFonts w:hint="cs"/>
          <w:rtl/>
        </w:rPr>
        <w:t xml:space="preserve"> أما إذا كان مراد الباحث أنه ليس هناك أصل من أصول العقيدة يثبته العقل ولا يثبته الدليل السمعي فكان الواجب عليه البيان</w:t>
      </w:r>
      <w:r w:rsidR="000636C2">
        <w:rPr>
          <w:rFonts w:hint="cs"/>
          <w:rtl/>
        </w:rPr>
        <w:t xml:space="preserve">، </w:t>
      </w:r>
      <w:r w:rsidRPr="005675B2">
        <w:rPr>
          <w:rFonts w:hint="cs"/>
          <w:rtl/>
        </w:rPr>
        <w:t xml:space="preserve">وأما قوله </w:t>
      </w:r>
      <w:r w:rsidR="000636C2">
        <w:rPr>
          <w:rFonts w:hint="cs"/>
          <w:rtl/>
        </w:rPr>
        <w:t>[</w:t>
      </w:r>
      <w:r w:rsidRPr="005675B2">
        <w:rPr>
          <w:rFonts w:hint="cs"/>
          <w:rtl/>
        </w:rPr>
        <w:t>كما أنه ليس هناك أصل منها لا يستطيع العقل إثباته أبداً</w:t>
      </w:r>
      <w:r w:rsidR="000636C2">
        <w:rPr>
          <w:rFonts w:hint="cs"/>
          <w:rtl/>
        </w:rPr>
        <w:t>]</w:t>
      </w:r>
      <w:r w:rsidRPr="005675B2">
        <w:rPr>
          <w:rFonts w:hint="cs"/>
          <w:rtl/>
        </w:rPr>
        <w:t xml:space="preserve"> فهذه كذلك دعوى مخالفة للواقع</w:t>
      </w:r>
      <w:r w:rsidR="000636C2">
        <w:rPr>
          <w:rFonts w:hint="cs"/>
          <w:rtl/>
        </w:rPr>
        <w:t>،</w:t>
      </w:r>
      <w:r w:rsidRPr="005675B2">
        <w:rPr>
          <w:rFonts w:hint="cs"/>
          <w:rtl/>
        </w:rPr>
        <w:t xml:space="preserve"> لأن الإيمان بالملائكة من أصول الإيمان ولا يستطيع العقل إثباته</w:t>
      </w:r>
      <w:r w:rsidR="000636C2">
        <w:rPr>
          <w:rFonts w:hint="cs"/>
          <w:rtl/>
        </w:rPr>
        <w:t>،</w:t>
      </w:r>
      <w:r w:rsidRPr="005675B2">
        <w:rPr>
          <w:rFonts w:hint="cs"/>
          <w:rtl/>
        </w:rPr>
        <w:t xml:space="preserve"> إنما هو ثابت بالأدلة النقلية السمعية</w:t>
      </w:r>
      <w:r w:rsidR="000636C2">
        <w:rPr>
          <w:rFonts w:hint="cs"/>
          <w:rtl/>
        </w:rPr>
        <w:t xml:space="preserve">، </w:t>
      </w:r>
      <w:r w:rsidRPr="005675B2">
        <w:rPr>
          <w:rFonts w:hint="cs"/>
          <w:rtl/>
        </w:rPr>
        <w:t>هذا وفي كلام ابن تيمية رحمه الله ما يشير إلى أن المعاد - بما يشمل البعث والجزاء</w:t>
      </w:r>
      <w:r w:rsidR="000636C2">
        <w:rPr>
          <w:rFonts w:hint="cs"/>
          <w:rtl/>
        </w:rPr>
        <w:t xml:space="preserve"> </w:t>
      </w:r>
      <w:r w:rsidRPr="005675B2">
        <w:rPr>
          <w:rFonts w:hint="cs"/>
          <w:rtl/>
        </w:rPr>
        <w:t>- يكون إثبات وقوعه وتحققه بالأدلة السمعية دون العقلية</w:t>
      </w:r>
      <w:r w:rsidR="000636C2">
        <w:rPr>
          <w:rFonts w:hint="cs"/>
          <w:rtl/>
        </w:rPr>
        <w:t>،</w:t>
      </w:r>
      <w:r w:rsidRPr="005675B2">
        <w:rPr>
          <w:rFonts w:hint="cs"/>
          <w:rtl/>
        </w:rPr>
        <w:t xml:space="preserve"> أما إمكان وقوعه فهذا مما يستدل عليه بهما معاً</w:t>
      </w:r>
      <w:r w:rsidR="000636C2">
        <w:rPr>
          <w:rFonts w:hint="cs"/>
          <w:rtl/>
        </w:rPr>
        <w:t>،</w:t>
      </w:r>
      <w:r w:rsidRPr="005675B2">
        <w:rPr>
          <w:rFonts w:hint="cs"/>
          <w:rtl/>
        </w:rPr>
        <w:t xml:space="preserve"> وذلك إذ يقول</w:t>
      </w:r>
      <w:r w:rsidR="000636C2">
        <w:rPr>
          <w:rFonts w:hint="cs"/>
          <w:rtl/>
        </w:rPr>
        <w:t>:</w:t>
      </w:r>
      <w:r w:rsidRPr="005675B2">
        <w:rPr>
          <w:rFonts w:hint="cs"/>
          <w:rtl/>
        </w:rPr>
        <w:t xml:space="preserve"> </w:t>
      </w:r>
      <w:r w:rsidR="000636C2">
        <w:rPr>
          <w:rFonts w:hint="cs"/>
          <w:rtl/>
        </w:rPr>
        <w:t>[</w:t>
      </w:r>
      <w:r w:rsidRPr="005675B2">
        <w:rPr>
          <w:rFonts w:hint="cs"/>
          <w:rtl/>
        </w:rPr>
        <w:t>إن كثيراً مما دل عليه السمع يعلم بالعقل أيضاً ..</w:t>
      </w:r>
      <w:r w:rsidR="000636C2">
        <w:rPr>
          <w:rFonts w:hint="cs"/>
          <w:rtl/>
        </w:rPr>
        <w:t>،</w:t>
      </w:r>
      <w:r w:rsidRPr="005675B2">
        <w:rPr>
          <w:rFonts w:hint="cs"/>
          <w:rtl/>
        </w:rPr>
        <w:t xml:space="preserve"> فإنه سبحانه وتعالى بين من الآيات الدالة عليه وعلى وحدانيته وقدرته وعلمه وغير ذلك ما أرشد العباد إليه ودلهم عليه</w:t>
      </w:r>
      <w:r w:rsidR="000636C2">
        <w:rPr>
          <w:rFonts w:hint="cs"/>
          <w:rtl/>
        </w:rPr>
        <w:t>،</w:t>
      </w:r>
      <w:r w:rsidRPr="005675B2">
        <w:rPr>
          <w:rFonts w:hint="cs"/>
          <w:rtl/>
        </w:rPr>
        <w:t xml:space="preserve"> كما بين أيضاً ما دل على نبوة أنبيائه وما دل على المعاد وإمكانه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ص 93</w:t>
      </w:r>
      <w:r w:rsidR="000636C2">
        <w:rPr>
          <w:rFonts w:hint="cs"/>
          <w:sz w:val="24"/>
          <w:szCs w:val="24"/>
          <w:rtl/>
        </w:rPr>
        <w:t>]</w:t>
      </w:r>
      <w:r w:rsidR="000636C2">
        <w:rPr>
          <w:rFonts w:hint="cs"/>
          <w:rtl/>
        </w:rPr>
        <w:t xml:space="preserve">، </w:t>
      </w:r>
      <w:r w:rsidRPr="005675B2">
        <w:rPr>
          <w:rFonts w:hint="cs"/>
          <w:rtl/>
        </w:rPr>
        <w:t>وإذا كان الباحث يرى أن مسألة الاستواء على العرش من أصول العقيدة فإن ابن تيمية رحمه الله يرى أن إثباتها لا يكون بالعقل مع النقل</w:t>
      </w:r>
      <w:r w:rsidR="000636C2">
        <w:rPr>
          <w:rFonts w:hint="cs"/>
          <w:rtl/>
        </w:rPr>
        <w:t>،</w:t>
      </w:r>
      <w:r w:rsidRPr="005675B2">
        <w:rPr>
          <w:rFonts w:hint="cs"/>
          <w:rtl/>
        </w:rPr>
        <w:t xml:space="preserve"> وذلك إذ يقول</w:t>
      </w:r>
      <w:r w:rsidR="000636C2">
        <w:rPr>
          <w:rFonts w:hint="cs"/>
          <w:rtl/>
        </w:rPr>
        <w:t>:</w:t>
      </w:r>
      <w:r w:rsidRPr="005675B2">
        <w:rPr>
          <w:rFonts w:hint="cs"/>
          <w:rtl/>
        </w:rPr>
        <w:t xml:space="preserve"> </w:t>
      </w:r>
      <w:r w:rsidR="000636C2">
        <w:rPr>
          <w:rFonts w:hint="cs"/>
          <w:rtl/>
        </w:rPr>
        <w:t>[</w:t>
      </w:r>
      <w:r w:rsidRPr="005675B2">
        <w:rPr>
          <w:rFonts w:hint="cs"/>
          <w:rtl/>
        </w:rPr>
        <w:t>وأما الاستواء على العرش فطريق العلم به هو السمع</w:t>
      </w:r>
      <w:r w:rsidR="000636C2">
        <w:rPr>
          <w:rFonts w:hint="cs"/>
          <w:rtl/>
        </w:rPr>
        <w:t>]</w:t>
      </w:r>
      <w:r w:rsidRPr="005675B2">
        <w:rPr>
          <w:rFonts w:hint="cs"/>
          <w:rtl/>
        </w:rPr>
        <w:t xml:space="preserve"> [</w:t>
      </w:r>
      <w:r w:rsidRPr="005675B2">
        <w:rPr>
          <w:rFonts w:hint="cs"/>
          <w:sz w:val="24"/>
          <w:szCs w:val="24"/>
          <w:rtl/>
        </w:rPr>
        <w:t>المرجع السابق: ص 53</w:t>
      </w:r>
      <w:r w:rsidR="000636C2">
        <w:rPr>
          <w:rFonts w:hint="cs"/>
          <w:sz w:val="24"/>
          <w:szCs w:val="24"/>
          <w:rtl/>
        </w:rPr>
        <w:t>]</w:t>
      </w:r>
      <w:r w:rsidR="000636C2">
        <w:rPr>
          <w:rFonts w:hint="cs"/>
          <w:rtl/>
        </w:rPr>
        <w:t xml:space="preserve">، </w:t>
      </w:r>
      <w:r w:rsidRPr="005675B2">
        <w:rPr>
          <w:rFonts w:hint="cs"/>
          <w:rtl/>
        </w:rPr>
        <w:t>فكيف يصح ادّعاء الباحث بأنه ليس هناك أصل من أصول العقيدة لا يستطيع العقل إثباته أبداً</w:t>
      </w:r>
      <w:r w:rsidR="000636C2">
        <w:rPr>
          <w:rFonts w:hint="cs"/>
          <w:rtl/>
        </w:rPr>
        <w:t>؟!</w:t>
      </w:r>
      <w:r w:rsidRPr="005675B2">
        <w:rPr>
          <w:rFonts w:hint="cs"/>
          <w:rtl/>
        </w:rPr>
        <w:t>!</w:t>
      </w:r>
      <w:r w:rsidR="000636C2">
        <w:rPr>
          <w:rFonts w:hint="cs"/>
          <w:rtl/>
        </w:rPr>
        <w:t>،</w:t>
      </w:r>
    </w:p>
    <w:p w14:paraId="776E05DD" w14:textId="77777777" w:rsidR="009C32A0" w:rsidRPr="005675B2" w:rsidRDefault="009C32A0" w:rsidP="000636C2">
      <w:pPr>
        <w:jc w:val="center"/>
        <w:rPr>
          <w:b/>
          <w:rtl/>
        </w:rPr>
      </w:pPr>
      <w:r w:rsidRPr="005675B2">
        <w:rPr>
          <w:rFonts w:hint="cs"/>
          <w:rtl/>
        </w:rPr>
        <w:t>***</w:t>
      </w:r>
    </w:p>
    <w:p w14:paraId="52E3E599" w14:textId="1EF8056B" w:rsidR="009C32A0" w:rsidRPr="005675B2" w:rsidRDefault="000636C2" w:rsidP="000636C2">
      <w:pPr>
        <w:jc w:val="center"/>
        <w:rPr>
          <w:bCs/>
          <w:rtl/>
        </w:rPr>
      </w:pPr>
      <w:r>
        <w:rPr>
          <w:rFonts w:hint="cs"/>
          <w:bCs/>
          <w:rtl/>
        </w:rPr>
        <w:t>[</w:t>
      </w:r>
      <w:r w:rsidR="009C32A0" w:rsidRPr="005675B2">
        <w:rPr>
          <w:rFonts w:hint="cs"/>
          <w:bCs/>
          <w:rtl/>
        </w:rPr>
        <w:t>الموضوع الثالث عشر</w:t>
      </w:r>
      <w:r>
        <w:rPr>
          <w:rFonts w:hint="cs"/>
          <w:bCs/>
          <w:rtl/>
        </w:rPr>
        <w:t xml:space="preserve">: </w:t>
      </w:r>
      <w:r w:rsidR="009C32A0" w:rsidRPr="005675B2">
        <w:rPr>
          <w:rFonts w:hint="cs"/>
          <w:bCs/>
          <w:rtl/>
        </w:rPr>
        <w:t>التكفير</w:t>
      </w:r>
      <w:r>
        <w:rPr>
          <w:rFonts w:hint="cs"/>
          <w:bCs/>
          <w:rtl/>
        </w:rPr>
        <w:t>]</w:t>
      </w:r>
    </w:p>
    <w:p w14:paraId="0BEBF13B" w14:textId="142748F0"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أما الأشاعرة فهم مضطربون اضطراباً كبيراً</w:t>
      </w:r>
      <w:r w:rsidR="000636C2">
        <w:rPr>
          <w:rFonts w:hint="cs"/>
          <w:rtl/>
        </w:rPr>
        <w:t>،</w:t>
      </w:r>
      <w:r w:rsidRPr="005675B2">
        <w:rPr>
          <w:rFonts w:hint="cs"/>
          <w:rtl/>
        </w:rPr>
        <w:t xml:space="preserve"> فتارة يقولون نحن لا نكفر أحداً</w:t>
      </w:r>
      <w:r w:rsidR="000636C2">
        <w:rPr>
          <w:rFonts w:hint="cs"/>
          <w:rtl/>
        </w:rPr>
        <w:t>،</w:t>
      </w:r>
      <w:r w:rsidRPr="005675B2">
        <w:rPr>
          <w:rFonts w:hint="cs"/>
          <w:rtl/>
        </w:rPr>
        <w:t xml:space="preserve"> وتارة يقولون نحن لا نكفر إلا من كفرنا</w:t>
      </w:r>
      <w:r w:rsidR="000636C2">
        <w:rPr>
          <w:rFonts w:hint="cs"/>
          <w:rtl/>
        </w:rPr>
        <w:t>،</w:t>
      </w:r>
      <w:r w:rsidRPr="005675B2">
        <w:rPr>
          <w:rFonts w:hint="cs"/>
          <w:rtl/>
        </w:rPr>
        <w:t xml:space="preserve"> وتارة يكفرون بأمور لا تستوجب أكثر من التفسيق أو التبديع</w:t>
      </w:r>
      <w:r w:rsidR="000636C2">
        <w:rPr>
          <w:rFonts w:hint="cs"/>
          <w:rtl/>
        </w:rPr>
        <w:t>،</w:t>
      </w:r>
      <w:r w:rsidRPr="005675B2">
        <w:rPr>
          <w:rFonts w:hint="cs"/>
          <w:rtl/>
        </w:rPr>
        <w:t xml:space="preserve"> وتارة يكفرون بأمور لا توجب مجرد التفسيق</w:t>
      </w:r>
      <w:r w:rsidR="000636C2">
        <w:rPr>
          <w:rFonts w:hint="cs"/>
          <w:rtl/>
        </w:rPr>
        <w:t>،</w:t>
      </w:r>
      <w:r w:rsidRPr="005675B2">
        <w:rPr>
          <w:rFonts w:hint="cs"/>
          <w:rtl/>
        </w:rPr>
        <w:t xml:space="preserve"> وتارة يكفرون بأمور هي نفسها شرعية ويجب على كل مسلم أن يعتقدها</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فأما قولهم لا نكفر أحداً فباطل قطعاً</w:t>
      </w:r>
      <w:r w:rsidR="000636C2">
        <w:rPr>
          <w:rFonts w:hint="cs"/>
          <w:rtl/>
        </w:rPr>
        <w:t>،</w:t>
      </w:r>
      <w:r w:rsidRPr="005675B2">
        <w:rPr>
          <w:rFonts w:hint="cs"/>
          <w:rtl/>
        </w:rPr>
        <w:t xml:space="preserve"> </w:t>
      </w:r>
      <w:r w:rsidRPr="005675B2">
        <w:t>…</w:t>
      </w:r>
      <w:r w:rsidR="000636C2">
        <w:rPr>
          <w:rtl/>
        </w:rPr>
        <w:t>،</w:t>
      </w:r>
      <w:r w:rsidRPr="005675B2">
        <w:rPr>
          <w:rFonts w:hint="cs"/>
          <w:rtl/>
        </w:rPr>
        <w:t xml:space="preserve"> وأما قولهم لا نكفر إلا من كفرنا فباطل كذلك</w:t>
      </w:r>
      <w:r w:rsidR="000636C2">
        <w:rPr>
          <w:rFonts w:hint="cs"/>
          <w:rtl/>
        </w:rPr>
        <w:t>،</w:t>
      </w:r>
      <w:r w:rsidRPr="005675B2">
        <w:t>…</w:t>
      </w:r>
      <w:r w:rsidRPr="005675B2">
        <w:rPr>
          <w:rFonts w:hint="cs"/>
          <w:rtl/>
        </w:rPr>
        <w:t xml:space="preserve"> وأما تكفير من لا يستحق سوى التبديع فمثل تصريحهم في أغلب كتبهم بتكفير من قال إن الله جسم لا كالأجسام</w:t>
      </w:r>
      <w:r w:rsidR="000636C2">
        <w:rPr>
          <w:rFonts w:hint="cs"/>
          <w:rtl/>
        </w:rPr>
        <w:t>،</w:t>
      </w:r>
      <w:r w:rsidRPr="005675B2">
        <w:rPr>
          <w:rFonts w:hint="cs"/>
          <w:rtl/>
        </w:rPr>
        <w:t>… وأما تكفير من لا يستحق حتى مجرد الفسق أو المعصية فكتكفيرهم من قال إن النار علة الإحراق</w:t>
      </w:r>
      <w:r w:rsidR="000636C2">
        <w:rPr>
          <w:rFonts w:hint="cs"/>
          <w:rtl/>
        </w:rPr>
        <w:t>،</w:t>
      </w:r>
      <w:r w:rsidRPr="005675B2">
        <w:rPr>
          <w:rFonts w:hint="cs"/>
          <w:rtl/>
        </w:rPr>
        <w:t>… وأما التكفير بما هو حق في نفسه يجب اعتقاده فنحوتكفيرهم لمن يثبت علو الله ومن لم يؤمن بالله على طريقة أهل الكلام</w:t>
      </w:r>
      <w:r w:rsidR="000636C2">
        <w:rPr>
          <w:rFonts w:hint="cs"/>
          <w:rtl/>
        </w:rPr>
        <w:t>]،</w:t>
      </w:r>
    </w:p>
    <w:p w14:paraId="75922552" w14:textId="4B0EC23F"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الأشاعرة يرون أن الكفر نقيض الإيمان</w:t>
      </w:r>
      <w:r w:rsidR="000636C2">
        <w:rPr>
          <w:rFonts w:hint="cs"/>
          <w:rtl/>
        </w:rPr>
        <w:t>،</w:t>
      </w:r>
      <w:r w:rsidRPr="005675B2">
        <w:rPr>
          <w:rFonts w:hint="cs"/>
          <w:rtl/>
        </w:rPr>
        <w:t xml:space="preserve"> وإذا كان الإيمان عندهم هو تصديق سيدنا محمد صلى الله عليه وسلم فيما جاء به مع إذعان النفس لذلك وقبولها إياه ؛ فيكون الكفر عندهم هو عدم تصديقه صلى الله عليه وسلم في أمر مما جاء به</w:t>
      </w:r>
      <w:r w:rsidR="000636C2">
        <w:rPr>
          <w:rFonts w:hint="cs"/>
          <w:rtl/>
        </w:rPr>
        <w:t>،</w:t>
      </w:r>
      <w:r w:rsidRPr="005675B2">
        <w:rPr>
          <w:rFonts w:hint="cs"/>
          <w:rtl/>
        </w:rPr>
        <w:t xml:space="preserve"> ولا بد أن يكون قد علم مجيئه به ضرورة</w:t>
      </w:r>
      <w:r w:rsidR="000636C2">
        <w:rPr>
          <w:rFonts w:hint="cs"/>
          <w:rtl/>
        </w:rPr>
        <w:t>،</w:t>
      </w:r>
      <w:r w:rsidRPr="005675B2">
        <w:rPr>
          <w:rFonts w:hint="cs"/>
          <w:rtl/>
        </w:rPr>
        <w:t xml:space="preserve"> أي علم ذلك بطريق قطعي وذاع واشتهر اشتهاراً يقطع العذر</w:t>
      </w:r>
      <w:r w:rsidR="000636C2">
        <w:rPr>
          <w:rFonts w:hint="cs"/>
          <w:rtl/>
        </w:rPr>
        <w:t xml:space="preserve">، </w:t>
      </w:r>
      <w:r w:rsidRPr="005675B2">
        <w:rPr>
          <w:rFonts w:hint="cs"/>
          <w:rtl/>
        </w:rPr>
        <w:t xml:space="preserve">ومن نصـوص الأشـاعرة في كـتب العقيدة قول عضد الدين الإيجي المتوفـى سـنة </w:t>
      </w:r>
      <w:r w:rsidR="000636C2">
        <w:rPr>
          <w:rFonts w:hint="cs"/>
          <w:rtl/>
        </w:rPr>
        <w:t>(</w:t>
      </w:r>
      <w:r w:rsidRPr="005675B2">
        <w:rPr>
          <w:rFonts w:hint="cs"/>
          <w:rtl/>
        </w:rPr>
        <w:t>756 ه -</w:t>
      </w:r>
      <w:r w:rsidR="000636C2">
        <w:rPr>
          <w:rFonts w:hint="cs"/>
          <w:rtl/>
        </w:rPr>
        <w:t>):</w:t>
      </w:r>
      <w:r w:rsidRPr="005675B2">
        <w:rPr>
          <w:rFonts w:hint="cs"/>
          <w:rtl/>
        </w:rPr>
        <w:t xml:space="preserve"> </w:t>
      </w:r>
      <w:r w:rsidR="000636C2">
        <w:rPr>
          <w:rFonts w:hint="cs"/>
          <w:rtl/>
        </w:rPr>
        <w:t>[</w:t>
      </w:r>
      <w:r w:rsidRPr="005675B2">
        <w:rPr>
          <w:rFonts w:hint="cs"/>
          <w:rtl/>
        </w:rPr>
        <w:t>ولا يكفر أحد من أهل القبلة إلا بما فيه نفي الصانع القادر المختار العليم</w:t>
      </w:r>
      <w:r w:rsidR="000636C2">
        <w:rPr>
          <w:rFonts w:hint="cs"/>
          <w:rtl/>
        </w:rPr>
        <w:t>،</w:t>
      </w:r>
      <w:r w:rsidRPr="005675B2">
        <w:rPr>
          <w:rFonts w:hint="cs"/>
          <w:rtl/>
        </w:rPr>
        <w:t xml:space="preserve"> أو بما فيه شرك</w:t>
      </w:r>
      <w:r w:rsidR="000636C2">
        <w:rPr>
          <w:rFonts w:hint="cs"/>
          <w:rtl/>
        </w:rPr>
        <w:t>،</w:t>
      </w:r>
      <w:r w:rsidRPr="005675B2">
        <w:rPr>
          <w:rFonts w:hint="cs"/>
          <w:rtl/>
        </w:rPr>
        <w:t xml:space="preserve"> أو إنكار النبوة</w:t>
      </w:r>
      <w:r w:rsidR="000636C2">
        <w:rPr>
          <w:rFonts w:hint="cs"/>
          <w:rtl/>
        </w:rPr>
        <w:t>،</w:t>
      </w:r>
      <w:r w:rsidRPr="005675B2">
        <w:rPr>
          <w:rFonts w:hint="cs"/>
          <w:rtl/>
        </w:rPr>
        <w:t xml:space="preserve"> أو إنكار ما علم مجيء محمد صلى الله عليه وسلم به ضرورة</w:t>
      </w:r>
      <w:r w:rsidR="000636C2">
        <w:rPr>
          <w:rFonts w:hint="cs"/>
          <w:rtl/>
        </w:rPr>
        <w:t>،</w:t>
      </w:r>
      <w:r w:rsidRPr="005675B2">
        <w:rPr>
          <w:rFonts w:hint="cs"/>
          <w:rtl/>
        </w:rPr>
        <w:t xml:space="preserve"> أو إنكار أمر مجمع عليه قطعاً</w:t>
      </w:r>
      <w:r w:rsidR="000636C2">
        <w:rPr>
          <w:rFonts w:hint="cs"/>
          <w:rtl/>
        </w:rPr>
        <w:t>،</w:t>
      </w:r>
      <w:r w:rsidRPr="005675B2">
        <w:rPr>
          <w:rFonts w:hint="cs"/>
          <w:rtl/>
        </w:rPr>
        <w:t xml:space="preserve"> أو استحلال المحرمات</w:t>
      </w:r>
      <w:r w:rsidR="000636C2">
        <w:rPr>
          <w:rFonts w:hint="cs"/>
          <w:rtl/>
        </w:rPr>
        <w:t>،</w:t>
      </w:r>
      <w:r w:rsidRPr="005675B2">
        <w:rPr>
          <w:rFonts w:hint="cs"/>
          <w:rtl/>
        </w:rPr>
        <w:t xml:space="preserve"> وأما غير ذلك فالقائل به مبتدع وليس بكافر</w:t>
      </w:r>
      <w:r w:rsidR="000636C2">
        <w:rPr>
          <w:rFonts w:hint="cs"/>
          <w:rtl/>
        </w:rPr>
        <w:t>،</w:t>
      </w:r>
      <w:r w:rsidRPr="005675B2">
        <w:rPr>
          <w:rFonts w:hint="cs"/>
          <w:rtl/>
        </w:rPr>
        <w:t xml:space="preserve"> ومنه التجسيم</w:t>
      </w:r>
      <w:r w:rsidR="000636C2">
        <w:rPr>
          <w:rFonts w:hint="cs"/>
          <w:rtl/>
        </w:rPr>
        <w:t xml:space="preserve">] </w:t>
      </w:r>
      <w:r w:rsidRPr="005675B2">
        <w:rPr>
          <w:rFonts w:hint="cs"/>
          <w:rtl/>
        </w:rPr>
        <w:t>[</w:t>
      </w:r>
      <w:r w:rsidRPr="005675B2">
        <w:rPr>
          <w:rFonts w:hint="cs"/>
          <w:sz w:val="24"/>
          <w:szCs w:val="24"/>
          <w:rtl/>
        </w:rPr>
        <w:t>العقائد العضدية:2/291ـ293. مطبوع مع شرح الدواني</w:t>
      </w:r>
      <w:r w:rsidR="000636C2">
        <w:rPr>
          <w:rFonts w:hint="cs"/>
          <w:sz w:val="24"/>
          <w:szCs w:val="24"/>
          <w:rtl/>
        </w:rPr>
        <w:t>]</w:t>
      </w:r>
      <w:r w:rsidR="000636C2">
        <w:rPr>
          <w:rFonts w:hint="cs"/>
          <w:rtl/>
        </w:rPr>
        <w:t xml:space="preserve">، </w:t>
      </w:r>
      <w:r w:rsidRPr="005675B2">
        <w:rPr>
          <w:rFonts w:hint="cs"/>
          <w:rtl/>
        </w:rPr>
        <w:t xml:space="preserve">2 - لم يقل الأشاعرة </w:t>
      </w:r>
      <w:r w:rsidR="000636C2">
        <w:rPr>
          <w:rFonts w:hint="cs"/>
          <w:rtl/>
        </w:rPr>
        <w:t>[</w:t>
      </w:r>
      <w:r w:rsidRPr="005675B2">
        <w:rPr>
          <w:rFonts w:hint="cs"/>
          <w:rtl/>
        </w:rPr>
        <w:t>لا نكفر أحدا ً</w:t>
      </w:r>
      <w:r w:rsidR="000636C2">
        <w:rPr>
          <w:rFonts w:hint="cs"/>
          <w:rtl/>
        </w:rPr>
        <w:t>]</w:t>
      </w:r>
      <w:r w:rsidRPr="005675B2">
        <w:rPr>
          <w:rFonts w:hint="cs"/>
          <w:rtl/>
        </w:rPr>
        <w:t>، وهل يُظن بمسلم أن لا يكفر من لا يؤمن بالله ورسله واليوم الآخر</w:t>
      </w:r>
      <w:r w:rsidR="000636C2">
        <w:rPr>
          <w:rFonts w:hint="cs"/>
          <w:rtl/>
        </w:rPr>
        <w:t>؟!</w:t>
      </w:r>
      <w:r w:rsidRPr="005675B2">
        <w:rPr>
          <w:rFonts w:hint="cs"/>
          <w:rtl/>
        </w:rPr>
        <w:t xml:space="preserve"> وهل يُظن بمسلم أن لا يكفر من يؤمن بالله ويعبد مع الله غيره</w:t>
      </w:r>
      <w:r w:rsidR="000636C2">
        <w:rPr>
          <w:rFonts w:hint="cs"/>
          <w:rtl/>
        </w:rPr>
        <w:t>؟!</w:t>
      </w:r>
      <w:r w:rsidRPr="005675B2">
        <w:rPr>
          <w:rFonts w:hint="cs"/>
          <w:rtl/>
        </w:rPr>
        <w:t xml:space="preserve"> وهل يُظن بمسلم أن لا يكفر من يؤمن بالله ويتخذ آيات الله هزواً</w:t>
      </w:r>
      <w:r w:rsidR="000636C2">
        <w:rPr>
          <w:rFonts w:hint="cs"/>
          <w:rtl/>
        </w:rPr>
        <w:t>؟!</w:t>
      </w:r>
      <w:r w:rsidRPr="005675B2">
        <w:rPr>
          <w:rFonts w:hint="cs"/>
          <w:rtl/>
        </w:rPr>
        <w:t xml:space="preserve"> ولكن الباحث يريد أن يلصق التهم الباطلة بمن يخاصمهم ثم يبين بطلانها فيثبت لنفسه الانتصار في المعارك المتوهَّمة</w:t>
      </w:r>
      <w:r w:rsidR="000636C2">
        <w:rPr>
          <w:rFonts w:hint="cs"/>
          <w:rtl/>
        </w:rPr>
        <w:t>،</w:t>
      </w:r>
      <w:r w:rsidRPr="005675B2">
        <w:rPr>
          <w:rFonts w:hint="cs"/>
          <w:rtl/>
        </w:rPr>
        <w:t xml:space="preserve"> والذي وقفت عليه من كلام الأشاعرة هو غير هذا</w:t>
      </w:r>
      <w:r w:rsidR="000636C2">
        <w:rPr>
          <w:rFonts w:hint="cs"/>
          <w:rtl/>
        </w:rPr>
        <w:t>،</w:t>
      </w:r>
      <w:r w:rsidRPr="005675B2">
        <w:rPr>
          <w:rFonts w:hint="cs"/>
          <w:rtl/>
        </w:rPr>
        <w:t xml:space="preserve"> فقد قال تاج الدين السبكي في مبحث الاجتهاد من جمع الجوامع</w:t>
      </w:r>
      <w:r w:rsidR="000636C2">
        <w:rPr>
          <w:rFonts w:hint="cs"/>
          <w:rtl/>
        </w:rPr>
        <w:t>:</w:t>
      </w:r>
      <w:r w:rsidRPr="005675B2">
        <w:rPr>
          <w:rFonts w:hint="cs"/>
          <w:rtl/>
        </w:rPr>
        <w:t xml:space="preserve"> </w:t>
      </w:r>
      <w:r w:rsidR="000636C2">
        <w:rPr>
          <w:rFonts w:hint="cs"/>
          <w:rtl/>
        </w:rPr>
        <w:t>[</w:t>
      </w:r>
      <w:r w:rsidRPr="005675B2">
        <w:rPr>
          <w:rFonts w:hint="cs"/>
          <w:rtl/>
        </w:rPr>
        <w:t>ولا نكفر أحداً من أهل القبلة</w:t>
      </w:r>
      <w:r w:rsidR="000636C2">
        <w:rPr>
          <w:rFonts w:hint="cs"/>
          <w:rtl/>
        </w:rPr>
        <w:t>]</w:t>
      </w:r>
      <w:r w:rsidRPr="005675B2">
        <w:rPr>
          <w:rFonts w:hint="cs"/>
          <w:rtl/>
        </w:rPr>
        <w:t xml:space="preserve"> [</w:t>
      </w:r>
      <w:r w:rsidRPr="005675B2">
        <w:rPr>
          <w:rFonts w:hint="cs"/>
          <w:sz w:val="24"/>
          <w:szCs w:val="24"/>
          <w:rtl/>
        </w:rPr>
        <w:t>جمع الجوامع: ص 199</w:t>
      </w:r>
      <w:r w:rsidR="000636C2">
        <w:rPr>
          <w:rFonts w:hint="cs"/>
          <w:sz w:val="24"/>
          <w:szCs w:val="24"/>
          <w:rtl/>
        </w:rPr>
        <w:t>]</w:t>
      </w:r>
      <w:r w:rsidR="000636C2">
        <w:rPr>
          <w:rFonts w:hint="cs"/>
          <w:rtl/>
        </w:rPr>
        <w:t>،</w:t>
      </w:r>
      <w:r w:rsidRPr="005675B2">
        <w:rPr>
          <w:rFonts w:hint="cs"/>
          <w:rtl/>
        </w:rPr>
        <w:t xml:space="preserve"> وقال عضد الدين الإيجي</w:t>
      </w:r>
      <w:r w:rsidR="000636C2">
        <w:rPr>
          <w:rFonts w:hint="cs"/>
          <w:rtl/>
        </w:rPr>
        <w:t>:</w:t>
      </w:r>
      <w:r w:rsidRPr="005675B2">
        <w:rPr>
          <w:rFonts w:hint="cs"/>
          <w:rtl/>
        </w:rPr>
        <w:t xml:space="preserve"> </w:t>
      </w:r>
      <w:r w:rsidR="000636C2">
        <w:rPr>
          <w:rFonts w:hint="cs"/>
          <w:rtl/>
        </w:rPr>
        <w:t>[</w:t>
      </w:r>
      <w:r w:rsidRPr="005675B2">
        <w:rPr>
          <w:rFonts w:hint="cs"/>
          <w:rtl/>
        </w:rPr>
        <w:t>جمهور المتكلمين والفقهاء على أنه لا يُكفر أحد من أهل القبلة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المواقف للإيجي: ص 392</w:t>
      </w:r>
      <w:r w:rsidR="000636C2">
        <w:rPr>
          <w:rFonts w:hint="cs"/>
          <w:sz w:val="24"/>
          <w:szCs w:val="24"/>
          <w:rtl/>
        </w:rPr>
        <w:t>]</w:t>
      </w:r>
      <w:r w:rsidR="000636C2">
        <w:rPr>
          <w:rFonts w:hint="cs"/>
          <w:rtl/>
        </w:rPr>
        <w:t xml:space="preserve">، </w:t>
      </w:r>
      <w:r w:rsidRPr="005675B2">
        <w:rPr>
          <w:rFonts w:hint="cs"/>
          <w:rtl/>
        </w:rPr>
        <w:t xml:space="preserve">3 - قول بعض الأشاعرة </w:t>
      </w:r>
      <w:r w:rsidR="000636C2">
        <w:rPr>
          <w:rFonts w:hint="cs"/>
          <w:rtl/>
        </w:rPr>
        <w:t>[</w:t>
      </w:r>
      <w:r w:rsidRPr="005675B2">
        <w:rPr>
          <w:rFonts w:hint="cs"/>
          <w:rtl/>
        </w:rPr>
        <w:t>لا نكفر إلا من كفَّرنا</w:t>
      </w:r>
      <w:r w:rsidR="000636C2">
        <w:rPr>
          <w:rFonts w:hint="cs"/>
          <w:rtl/>
        </w:rPr>
        <w:t>]</w:t>
      </w:r>
      <w:r w:rsidRPr="005675B2">
        <w:rPr>
          <w:rFonts w:hint="cs"/>
          <w:rtl/>
        </w:rPr>
        <w:t xml:space="preserve"> هو قول لا يمثل رأي الأشاعرة ولا جمهورهم</w:t>
      </w:r>
      <w:r w:rsidR="000636C2">
        <w:rPr>
          <w:rFonts w:hint="cs"/>
          <w:rtl/>
        </w:rPr>
        <w:t>،</w:t>
      </w:r>
      <w:r w:rsidRPr="005675B2">
        <w:rPr>
          <w:rFonts w:hint="cs"/>
          <w:rtl/>
        </w:rPr>
        <w:t xml:space="preserve"> إنما قاله الأستاذ أبو منصور البغدادي</w:t>
      </w:r>
      <w:r w:rsidR="000636C2">
        <w:rPr>
          <w:rFonts w:hint="cs"/>
          <w:rtl/>
        </w:rPr>
        <w:t>،</w:t>
      </w:r>
      <w:r w:rsidRPr="005675B2">
        <w:rPr>
          <w:rFonts w:hint="cs"/>
          <w:rtl/>
        </w:rPr>
        <w:t xml:space="preserve"> ولم يعزه الإيجي لغيره</w:t>
      </w:r>
      <w:r w:rsidR="000636C2">
        <w:rPr>
          <w:rFonts w:hint="cs"/>
          <w:rtl/>
        </w:rPr>
        <w:t>،</w:t>
      </w:r>
      <w:r w:rsidRPr="005675B2">
        <w:rPr>
          <w:rFonts w:hint="cs"/>
          <w:rtl/>
        </w:rPr>
        <w:t xml:space="preserve"> ولا أدري إن كان قد تابعه عليه أحد [</w:t>
      </w:r>
      <w:r w:rsidRPr="005675B2">
        <w:rPr>
          <w:rFonts w:hint="cs"/>
          <w:sz w:val="24"/>
          <w:szCs w:val="24"/>
          <w:rtl/>
        </w:rPr>
        <w:t>انظر: المرجع السابق</w:t>
      </w:r>
      <w:r w:rsidR="000636C2">
        <w:rPr>
          <w:rFonts w:hint="cs"/>
          <w:sz w:val="24"/>
          <w:szCs w:val="24"/>
          <w:rtl/>
        </w:rPr>
        <w:t>]</w:t>
      </w:r>
      <w:r w:rsidR="000636C2">
        <w:rPr>
          <w:rFonts w:hint="cs"/>
          <w:rtl/>
        </w:rPr>
        <w:t xml:space="preserve">، </w:t>
      </w:r>
      <w:r w:rsidRPr="005675B2">
        <w:rPr>
          <w:rFonts w:hint="cs"/>
          <w:rtl/>
        </w:rPr>
        <w:t>وإنما لم يكفر جمهور المتكلمين والفقهاء من يكفرهم لأنه قد يكون متأولاً أخطأ في تأويله</w:t>
      </w:r>
      <w:r w:rsidR="000636C2">
        <w:rPr>
          <w:rFonts w:hint="cs"/>
          <w:rtl/>
        </w:rPr>
        <w:t>،</w:t>
      </w:r>
      <w:r w:rsidRPr="005675B2">
        <w:rPr>
          <w:rFonts w:hint="cs"/>
          <w:rtl/>
        </w:rPr>
        <w:t xml:space="preserve"> أي لا من باب تسمية الإيمان كفراً</w:t>
      </w:r>
      <w:r w:rsidR="000636C2">
        <w:rPr>
          <w:rFonts w:hint="cs"/>
          <w:rtl/>
        </w:rPr>
        <w:t>،</w:t>
      </w:r>
      <w:r w:rsidRPr="005675B2">
        <w:rPr>
          <w:rFonts w:hint="cs"/>
          <w:rtl/>
        </w:rPr>
        <w:t xml:space="preserve"> ولذا لم يكفر سيدنا علي رضي الله عنه الخوارج الذين كفروه</w:t>
      </w:r>
      <w:r w:rsidR="000636C2">
        <w:rPr>
          <w:rFonts w:hint="cs"/>
          <w:rtl/>
        </w:rPr>
        <w:t>،</w:t>
      </w:r>
      <w:r w:rsidRPr="005675B2">
        <w:rPr>
          <w:rFonts w:hint="cs"/>
          <w:rtl/>
        </w:rPr>
        <w:t xml:space="preserve"> وجمهور العلماء على وفق قوله رضي الله عنه في هذا</w:t>
      </w:r>
      <w:r w:rsidR="000636C2">
        <w:rPr>
          <w:rFonts w:hint="cs"/>
          <w:rtl/>
        </w:rPr>
        <w:t xml:space="preserve">، </w:t>
      </w:r>
      <w:r w:rsidRPr="005675B2">
        <w:rPr>
          <w:rFonts w:hint="cs"/>
          <w:rtl/>
        </w:rPr>
        <w:t>4 - لم يصرح الأشاعرة في أغلب كتبهم بتكفير من قال إن الله جسم لا كالأجسام</w:t>
      </w:r>
      <w:r w:rsidR="000636C2">
        <w:rPr>
          <w:rFonts w:hint="cs"/>
          <w:rtl/>
        </w:rPr>
        <w:t>،</w:t>
      </w:r>
      <w:r w:rsidRPr="005675B2">
        <w:rPr>
          <w:rFonts w:hint="cs"/>
          <w:rtl/>
        </w:rPr>
        <w:t xml:space="preserve"> كما ادعاه الباحث</w:t>
      </w:r>
      <w:r w:rsidR="000636C2">
        <w:rPr>
          <w:rFonts w:hint="cs"/>
          <w:rtl/>
        </w:rPr>
        <w:t>،</w:t>
      </w:r>
      <w:r w:rsidRPr="005675B2">
        <w:rPr>
          <w:rFonts w:hint="cs"/>
          <w:rtl/>
        </w:rPr>
        <w:t xml:space="preserve"> وإنما صرحوا بنقيض ذلك تماماً</w:t>
      </w:r>
      <w:r w:rsidR="000636C2">
        <w:rPr>
          <w:rFonts w:hint="cs"/>
          <w:rtl/>
        </w:rPr>
        <w:t xml:space="preserve">، </w:t>
      </w:r>
      <w:r w:rsidRPr="005675B2">
        <w:rPr>
          <w:rFonts w:hint="cs"/>
          <w:rtl/>
        </w:rPr>
        <w:t>قال عضد الدين الإيجي بعد ذكره عدداً من المكفرات</w:t>
      </w:r>
      <w:r w:rsidR="000636C2">
        <w:rPr>
          <w:rFonts w:hint="cs"/>
          <w:rtl/>
        </w:rPr>
        <w:t>:</w:t>
      </w:r>
      <w:r w:rsidRPr="005675B2">
        <w:rPr>
          <w:rFonts w:hint="cs"/>
          <w:rtl/>
        </w:rPr>
        <w:t xml:space="preserve"> </w:t>
      </w:r>
      <w:r w:rsidR="000636C2">
        <w:rPr>
          <w:rFonts w:hint="cs"/>
          <w:rtl/>
        </w:rPr>
        <w:t>[</w:t>
      </w:r>
      <w:r w:rsidRPr="005675B2">
        <w:rPr>
          <w:rFonts w:hint="cs"/>
          <w:rtl/>
        </w:rPr>
        <w:t>وأما غير ذلك فالقائل به مبتدع وليس بكافر</w:t>
      </w:r>
      <w:r w:rsidR="000636C2">
        <w:rPr>
          <w:rFonts w:hint="cs"/>
          <w:rtl/>
        </w:rPr>
        <w:t>،</w:t>
      </w:r>
      <w:r w:rsidRPr="005675B2">
        <w:rPr>
          <w:rFonts w:hint="cs"/>
          <w:rtl/>
        </w:rPr>
        <w:t xml:space="preserve"> ومنه التجسيم</w:t>
      </w:r>
      <w:r w:rsidR="000636C2">
        <w:rPr>
          <w:rFonts w:hint="cs"/>
          <w:rtl/>
        </w:rPr>
        <w:t>]،</w:t>
      </w:r>
      <w:r w:rsidRPr="005675B2">
        <w:rPr>
          <w:rFonts w:hint="cs"/>
          <w:rtl/>
        </w:rPr>
        <w:t xml:space="preserve"> وقد بين الجلال الدواني في شرحه أن التجسيم مع البلكفة غيرمكفر</w:t>
      </w:r>
      <w:r w:rsidR="000636C2">
        <w:rPr>
          <w:rFonts w:hint="cs"/>
          <w:rtl/>
        </w:rPr>
        <w:t>،</w:t>
      </w:r>
      <w:r w:rsidRPr="005675B2">
        <w:rPr>
          <w:rFonts w:hint="cs"/>
          <w:rtl/>
        </w:rPr>
        <w:t xml:space="preserve"> بخلاف التجسيم من غير البلكفة</w:t>
      </w:r>
      <w:r w:rsidR="000636C2">
        <w:rPr>
          <w:rFonts w:hint="cs"/>
          <w:rtl/>
        </w:rPr>
        <w:t>،</w:t>
      </w:r>
      <w:r w:rsidRPr="005675B2">
        <w:rPr>
          <w:rFonts w:hint="cs"/>
          <w:rtl/>
        </w:rPr>
        <w:t xml:space="preserve"> وهذه الكلمة تعني قول القائل </w:t>
      </w:r>
      <w:r w:rsidR="000636C2">
        <w:rPr>
          <w:rFonts w:hint="cs"/>
          <w:rtl/>
        </w:rPr>
        <w:t>[</w:t>
      </w:r>
      <w:r w:rsidRPr="005675B2">
        <w:rPr>
          <w:rFonts w:hint="cs"/>
          <w:rtl/>
        </w:rPr>
        <w:t>بلا كيف</w:t>
      </w:r>
      <w:r w:rsidR="000636C2">
        <w:rPr>
          <w:rFonts w:hint="cs"/>
          <w:rtl/>
        </w:rPr>
        <w:t>]</w:t>
      </w:r>
      <w:r w:rsidRPr="005675B2">
        <w:rPr>
          <w:rFonts w:hint="cs"/>
          <w:rtl/>
        </w:rPr>
        <w:t xml:space="preserve"> [</w:t>
      </w:r>
      <w:r w:rsidRPr="005675B2">
        <w:rPr>
          <w:rFonts w:hint="cs"/>
          <w:sz w:val="24"/>
          <w:szCs w:val="24"/>
          <w:rtl/>
        </w:rPr>
        <w:t>العقائد العضدية لعضد الدين الإيجي وشرحها للدواني:2/293</w:t>
      </w:r>
      <w:r w:rsidR="000636C2">
        <w:rPr>
          <w:rFonts w:hint="cs"/>
          <w:sz w:val="24"/>
          <w:szCs w:val="24"/>
          <w:rtl/>
        </w:rPr>
        <w:t>]</w:t>
      </w:r>
      <w:r w:rsidR="000636C2">
        <w:rPr>
          <w:rFonts w:hint="cs"/>
          <w:rtl/>
        </w:rPr>
        <w:t xml:space="preserve">، </w:t>
      </w:r>
      <w:r w:rsidRPr="005675B2">
        <w:rPr>
          <w:rFonts w:hint="cs"/>
          <w:rtl/>
        </w:rPr>
        <w:t>أشار الزركشي إلى أن للإمام الأشعري رحمه الله قولين في تكفير المخطئين في الأصول والمجسمة</w:t>
      </w:r>
      <w:r w:rsidR="000636C2">
        <w:rPr>
          <w:rFonts w:hint="cs"/>
          <w:rtl/>
        </w:rPr>
        <w:t>،</w:t>
      </w:r>
      <w:r w:rsidRPr="005675B2">
        <w:rPr>
          <w:rFonts w:hint="cs"/>
          <w:rtl/>
        </w:rPr>
        <w:t xml:space="preserve"> وأنه رجع عند موته عن تكفير أهل القبلة</w:t>
      </w:r>
      <w:r w:rsidR="000636C2">
        <w:rPr>
          <w:rFonts w:hint="cs"/>
          <w:rtl/>
        </w:rPr>
        <w:t>،</w:t>
      </w:r>
      <w:r w:rsidRPr="005675B2">
        <w:rPr>
          <w:rFonts w:hint="cs"/>
          <w:rtl/>
        </w:rPr>
        <w:t xml:space="preserve"> وأن ترك التكفير هو اختيار القاضي الباقلاني وإمام الحرمين وابن القشيري وابن عبد السلام</w:t>
      </w:r>
      <w:r w:rsidR="000636C2">
        <w:rPr>
          <w:rFonts w:hint="cs"/>
          <w:rtl/>
        </w:rPr>
        <w:t xml:space="preserve"> </w:t>
      </w:r>
      <w:r w:rsidRPr="005675B2">
        <w:rPr>
          <w:rFonts w:hint="cs"/>
          <w:rtl/>
        </w:rPr>
        <w:t>[</w:t>
      </w:r>
      <w:r w:rsidRPr="005675B2">
        <w:rPr>
          <w:rFonts w:hint="cs"/>
          <w:sz w:val="24"/>
          <w:szCs w:val="24"/>
          <w:rtl/>
        </w:rPr>
        <w:t>انظر: البحر المحيط للزركشي:6/239]</w:t>
      </w:r>
      <w:r w:rsidR="000636C2">
        <w:rPr>
          <w:rFonts w:hint="cs"/>
          <w:rtl/>
        </w:rPr>
        <w:t>،</w:t>
      </w:r>
      <w:r w:rsidRPr="005675B2">
        <w:rPr>
          <w:rFonts w:hint="cs"/>
          <w:rtl/>
        </w:rPr>
        <w:t xml:space="preserve"> قال ابن حجر الهيتمي الشافعي</w:t>
      </w:r>
      <w:r w:rsidR="000636C2">
        <w:rPr>
          <w:rFonts w:hint="cs"/>
          <w:rtl/>
        </w:rPr>
        <w:t>:</w:t>
      </w:r>
      <w:r w:rsidRPr="005675B2">
        <w:rPr>
          <w:rFonts w:hint="cs"/>
          <w:rtl/>
        </w:rPr>
        <w:t xml:space="preserve"> والمشهور من المذهب كما قاله جمع متأخرون أن المجسمة لا يكفرون</w:t>
      </w:r>
      <w:r w:rsidR="000636C2">
        <w:rPr>
          <w:rFonts w:hint="cs"/>
          <w:rtl/>
        </w:rPr>
        <w:t>،</w:t>
      </w:r>
      <w:r w:rsidRPr="005675B2">
        <w:rPr>
          <w:rFonts w:hint="cs"/>
          <w:rtl/>
        </w:rPr>
        <w:t xml:space="preserve"> لكن أطلق في المجموع تكفيرهم</w:t>
      </w:r>
      <w:r w:rsidR="000636C2">
        <w:rPr>
          <w:rFonts w:hint="cs"/>
          <w:rtl/>
        </w:rPr>
        <w:t>،</w:t>
      </w:r>
      <w:r w:rsidRPr="005675B2">
        <w:rPr>
          <w:rFonts w:hint="cs"/>
          <w:rtl/>
        </w:rPr>
        <w:t xml:space="preserve"> وينبغي حمل الأول على ما إذا قالوا جسم لا كالأجسام</w:t>
      </w:r>
      <w:r w:rsidR="000636C2">
        <w:rPr>
          <w:rFonts w:hint="cs"/>
          <w:rtl/>
        </w:rPr>
        <w:t>،</w:t>
      </w:r>
      <w:r w:rsidRPr="005675B2">
        <w:rPr>
          <w:rFonts w:hint="cs"/>
          <w:rtl/>
        </w:rPr>
        <w:t xml:space="preserve"> والثاني على ما إذا قالوا جسم كالأجسام</w:t>
      </w:r>
      <w:r w:rsidR="000636C2">
        <w:rPr>
          <w:rFonts w:hint="cs"/>
          <w:rtl/>
        </w:rPr>
        <w:t xml:space="preserve"> </w:t>
      </w:r>
      <w:r w:rsidRPr="005675B2">
        <w:rPr>
          <w:rFonts w:hint="cs"/>
          <w:rtl/>
        </w:rPr>
        <w:t>[</w:t>
      </w:r>
      <w:r w:rsidRPr="005675B2">
        <w:rPr>
          <w:rFonts w:hint="cs"/>
          <w:sz w:val="24"/>
          <w:szCs w:val="24"/>
          <w:rtl/>
        </w:rPr>
        <w:t xml:space="preserve">الإعلام بقواطع الإسلام: 2/358. </w:t>
      </w:r>
      <w:r w:rsidR="000636C2">
        <w:rPr>
          <w:rFonts w:hint="cs"/>
          <w:sz w:val="24"/>
          <w:szCs w:val="24"/>
          <w:rtl/>
        </w:rPr>
        <w:t>(</w:t>
      </w:r>
      <w:r w:rsidRPr="005675B2">
        <w:rPr>
          <w:rFonts w:hint="cs"/>
          <w:sz w:val="24"/>
          <w:szCs w:val="24"/>
          <w:rtl/>
        </w:rPr>
        <w:t>المطبوع في آخر كتاب الزواجر</w:t>
      </w:r>
      <w:r w:rsidR="000636C2">
        <w:rPr>
          <w:rFonts w:hint="cs"/>
          <w:sz w:val="24"/>
          <w:szCs w:val="24"/>
          <w:rtl/>
        </w:rPr>
        <w:t>)،</w:t>
      </w:r>
      <w:r w:rsidRPr="005675B2">
        <w:rPr>
          <w:rFonts w:hint="cs"/>
          <w:rtl/>
        </w:rPr>
        <w:t>]</w:t>
      </w:r>
      <w:r w:rsidR="000636C2">
        <w:rPr>
          <w:rFonts w:hint="cs"/>
          <w:rtl/>
        </w:rPr>
        <w:t xml:space="preserve">، </w:t>
      </w:r>
      <w:r w:rsidRPr="005675B2">
        <w:rPr>
          <w:rFonts w:hint="cs"/>
          <w:rtl/>
        </w:rPr>
        <w:t>فالذي يقول إن الله جسم لا كالأجسام فإن الأشاعرة يحكمون بتبديعه وتفسيقه لا بتكفيره</w:t>
      </w:r>
      <w:r w:rsidR="000636C2">
        <w:rPr>
          <w:rFonts w:hint="cs"/>
          <w:rtl/>
        </w:rPr>
        <w:t>،</w:t>
      </w:r>
      <w:r w:rsidRPr="005675B2">
        <w:rPr>
          <w:rFonts w:hint="cs"/>
          <w:rtl/>
        </w:rPr>
        <w:t xml:space="preserve"> أما الذي يقول بالجسمية وخصائص الجسمية فهذا الذي يكفرونه</w:t>
      </w:r>
      <w:r w:rsidR="000636C2">
        <w:rPr>
          <w:rFonts w:hint="cs"/>
          <w:rtl/>
        </w:rPr>
        <w:t>،</w:t>
      </w:r>
      <w:r w:rsidRPr="005675B2">
        <w:rPr>
          <w:rFonts w:hint="cs"/>
          <w:rtl/>
        </w:rPr>
        <w:t xml:space="preserve"> فقد قال الباقلاني في معرض حديثه عن مثل هذا</w:t>
      </w:r>
      <w:r w:rsidR="000636C2">
        <w:rPr>
          <w:rFonts w:hint="cs"/>
          <w:rtl/>
        </w:rPr>
        <w:t>:</w:t>
      </w:r>
      <w:r w:rsidRPr="005675B2">
        <w:rPr>
          <w:rFonts w:hint="cs"/>
          <w:rtl/>
        </w:rPr>
        <w:t xml:space="preserve"> </w:t>
      </w:r>
      <w:r w:rsidR="000636C2">
        <w:rPr>
          <w:rFonts w:hint="cs"/>
          <w:rtl/>
        </w:rPr>
        <w:t>[</w:t>
      </w:r>
      <w:r w:rsidRPr="005675B2">
        <w:rPr>
          <w:rFonts w:hint="cs"/>
          <w:rtl/>
        </w:rPr>
        <w:t>قلنا</w:t>
      </w:r>
      <w:r w:rsidR="000636C2">
        <w:rPr>
          <w:rFonts w:hint="cs"/>
          <w:rtl/>
        </w:rPr>
        <w:t>:</w:t>
      </w:r>
      <w:r w:rsidRPr="005675B2">
        <w:rPr>
          <w:rFonts w:hint="cs"/>
          <w:rtl/>
        </w:rPr>
        <w:t xml:space="preserve"> أفتقولون إن الله تعالى جسم وجوهر وعرض</w:t>
      </w:r>
      <w:r w:rsidR="000636C2">
        <w:rPr>
          <w:rFonts w:hint="cs"/>
          <w:rtl/>
        </w:rPr>
        <w:t>؟،</w:t>
      </w:r>
      <w:r w:rsidRPr="005675B2">
        <w:rPr>
          <w:rFonts w:hint="cs"/>
          <w:rtl/>
        </w:rPr>
        <w:t xml:space="preserve"> فإن قالوا نعم فقد أقروا بصريح الكفر للتشبيه</w:t>
      </w:r>
      <w:r w:rsidR="000636C2">
        <w:rPr>
          <w:rFonts w:hint="cs"/>
          <w:rtl/>
        </w:rPr>
        <w:t>]</w:t>
      </w:r>
      <w:r w:rsidRPr="005675B2">
        <w:rPr>
          <w:rFonts w:hint="cs"/>
          <w:rtl/>
        </w:rPr>
        <w:t xml:space="preserve"> [</w:t>
      </w:r>
      <w:r w:rsidRPr="005675B2">
        <w:rPr>
          <w:rFonts w:hint="cs"/>
          <w:sz w:val="24"/>
          <w:szCs w:val="24"/>
          <w:rtl/>
        </w:rPr>
        <w:t>الإنصاف للباقلاني: ص 136</w:t>
      </w:r>
      <w:r w:rsidR="000636C2">
        <w:rPr>
          <w:rFonts w:hint="cs"/>
          <w:sz w:val="24"/>
          <w:szCs w:val="24"/>
          <w:rtl/>
        </w:rPr>
        <w:t>]</w:t>
      </w:r>
      <w:r w:rsidR="000636C2">
        <w:rPr>
          <w:rFonts w:hint="cs"/>
          <w:rtl/>
        </w:rPr>
        <w:t>،</w:t>
      </w:r>
      <w:r w:rsidRPr="005675B2">
        <w:rPr>
          <w:rFonts w:hint="cs"/>
          <w:rtl/>
        </w:rPr>
        <w:t xml:space="preserve"> وقال فخر الدين الرازي</w:t>
      </w:r>
      <w:r w:rsidR="000636C2">
        <w:rPr>
          <w:rFonts w:hint="cs"/>
          <w:rtl/>
        </w:rPr>
        <w:t>:</w:t>
      </w:r>
      <w:r w:rsidRPr="005675B2">
        <w:rPr>
          <w:rFonts w:hint="cs"/>
          <w:rtl/>
        </w:rPr>
        <w:t xml:space="preserve"> من يثبت كونه تعالى جسماً متحيزاً مختصاً بجهة معينة هل يحكم بكفره أو لا</w:t>
      </w:r>
      <w:r w:rsidR="000636C2">
        <w:rPr>
          <w:rFonts w:hint="cs"/>
          <w:rtl/>
        </w:rPr>
        <w:t>؟</w:t>
      </w:r>
      <w:r w:rsidRPr="005675B2">
        <w:rPr>
          <w:rFonts w:hint="cs"/>
          <w:rtl/>
        </w:rPr>
        <w:t xml:space="preserve"> للعلماء فيه قولان</w:t>
      </w:r>
      <w:r w:rsidR="000636C2">
        <w:rPr>
          <w:rFonts w:hint="cs"/>
          <w:rtl/>
        </w:rPr>
        <w:t>:</w:t>
      </w:r>
      <w:r w:rsidRPr="005675B2">
        <w:rPr>
          <w:rFonts w:hint="cs"/>
          <w:rtl/>
        </w:rPr>
        <w:t xml:space="preserve"> أحدهما أنه كافر</w:t>
      </w:r>
      <w:r w:rsidR="000636C2">
        <w:rPr>
          <w:rFonts w:hint="cs"/>
          <w:rtl/>
        </w:rPr>
        <w:t>،</w:t>
      </w:r>
      <w:r w:rsidRPr="005675B2">
        <w:rPr>
          <w:rFonts w:hint="cs"/>
          <w:rtl/>
        </w:rPr>
        <w:t xml:space="preserve"> وهو الأظهر</w:t>
      </w:r>
      <w:r w:rsidR="000636C2">
        <w:rPr>
          <w:rFonts w:hint="cs"/>
          <w:rtl/>
        </w:rPr>
        <w:t xml:space="preserve"> </w:t>
      </w:r>
      <w:r w:rsidRPr="005675B2">
        <w:rPr>
          <w:rFonts w:hint="cs"/>
          <w:rtl/>
        </w:rPr>
        <w:t>[</w:t>
      </w:r>
      <w:r w:rsidRPr="005675B2">
        <w:rPr>
          <w:rFonts w:hint="cs"/>
          <w:sz w:val="24"/>
          <w:szCs w:val="24"/>
          <w:rtl/>
        </w:rPr>
        <w:t>أساس التقديس: ص257]</w:t>
      </w:r>
      <w:r w:rsidR="000636C2">
        <w:rPr>
          <w:rFonts w:hint="cs"/>
          <w:rtl/>
        </w:rPr>
        <w:t xml:space="preserve">، </w:t>
      </w:r>
      <w:r w:rsidRPr="005675B2">
        <w:rPr>
          <w:rFonts w:hint="cs"/>
          <w:rtl/>
        </w:rPr>
        <w:t>5 - لو كان الباحث يعرف من الذين كفرهم الأشاعرة بقولهم إن النار علة الإحراق لما قال إن قولهم هذا لا يستحق مجرد الفسق أو المعصية</w:t>
      </w:r>
      <w:r w:rsidR="000636C2">
        <w:rPr>
          <w:rFonts w:hint="cs"/>
          <w:rtl/>
        </w:rPr>
        <w:t>،</w:t>
      </w:r>
      <w:r w:rsidRPr="005675B2">
        <w:rPr>
          <w:rFonts w:hint="cs"/>
          <w:rtl/>
        </w:rPr>
        <w:t xml:space="preserve"> وقد بينت من قبل أن الأشاعرة لا ينكرون ارتباط المسبَّبات بالأسباب</w:t>
      </w:r>
      <w:r w:rsidR="000636C2">
        <w:rPr>
          <w:rFonts w:hint="cs"/>
          <w:rtl/>
        </w:rPr>
        <w:t>،</w:t>
      </w:r>
      <w:r w:rsidRPr="005675B2">
        <w:rPr>
          <w:rFonts w:hint="cs"/>
          <w:rtl/>
        </w:rPr>
        <w:t xml:space="preserve"> ولكنهم ينكرون قول من يقولون إن النار هي علة الإحراق بذاتها</w:t>
      </w:r>
      <w:r w:rsidR="000636C2">
        <w:rPr>
          <w:rFonts w:hint="cs"/>
          <w:rtl/>
        </w:rPr>
        <w:t>،</w:t>
      </w:r>
      <w:r w:rsidRPr="005675B2">
        <w:rPr>
          <w:rFonts w:hint="cs"/>
          <w:rtl/>
        </w:rPr>
        <w:t xml:space="preserve"> لأنها لا بد عند أولئك المتفلسفين أن تكون محرقة</w:t>
      </w:r>
      <w:r w:rsidR="000636C2">
        <w:rPr>
          <w:rFonts w:hint="cs"/>
          <w:rtl/>
        </w:rPr>
        <w:t>،</w:t>
      </w:r>
      <w:r w:rsidRPr="005675B2">
        <w:rPr>
          <w:rFonts w:hint="cs"/>
          <w:rtl/>
        </w:rPr>
        <w:t xml:space="preserve"> ويعتقدون أنها لا يمكن أن تنفك عن صفة الإحراق</w:t>
      </w:r>
      <w:r w:rsidR="000636C2">
        <w:rPr>
          <w:rFonts w:hint="cs"/>
          <w:rtl/>
        </w:rPr>
        <w:t>،</w:t>
      </w:r>
      <w:r w:rsidRPr="005675B2">
        <w:rPr>
          <w:rFonts w:hint="cs"/>
          <w:rtl/>
        </w:rPr>
        <w:t xml:space="preserve"> وأن الله تعالى لا يقدر على أن ينزع منها صفة الإحراق</w:t>
      </w:r>
      <w:r w:rsidR="000636C2">
        <w:rPr>
          <w:rFonts w:hint="cs"/>
          <w:rtl/>
        </w:rPr>
        <w:t>،</w:t>
      </w:r>
      <w:r w:rsidRPr="005675B2">
        <w:rPr>
          <w:rFonts w:hint="cs"/>
          <w:rtl/>
        </w:rPr>
        <w:t xml:space="preserve"> ولو عرف الباحث ما يقوله أولئك المتفلسفون لما تردد لحظة واحدة في تكفيرهم</w:t>
      </w:r>
      <w:r w:rsidR="000636C2">
        <w:rPr>
          <w:rFonts w:hint="cs"/>
          <w:rtl/>
        </w:rPr>
        <w:t>،</w:t>
      </w:r>
      <w:r w:rsidRPr="005675B2">
        <w:rPr>
          <w:rFonts w:hint="cs"/>
          <w:rtl/>
        </w:rPr>
        <w:t xml:space="preserve"> لا مجرد الحكم عليهم بالفسق والمعصية</w:t>
      </w:r>
      <w:r w:rsidR="000636C2">
        <w:rPr>
          <w:rFonts w:hint="cs"/>
          <w:rtl/>
        </w:rPr>
        <w:t>،</w:t>
      </w:r>
      <w:r w:rsidRPr="005675B2">
        <w:rPr>
          <w:rFonts w:hint="cs"/>
          <w:rtl/>
        </w:rPr>
        <w:t xml:space="preserve"> فضلاً عن تبرئتهم منهما</w:t>
      </w:r>
      <w:r w:rsidR="000636C2">
        <w:rPr>
          <w:rFonts w:hint="cs"/>
          <w:rtl/>
        </w:rPr>
        <w:t xml:space="preserve">، </w:t>
      </w:r>
      <w:r w:rsidRPr="005675B2">
        <w:rPr>
          <w:rFonts w:hint="cs"/>
          <w:rtl/>
        </w:rPr>
        <w:t>6 - لم يكفرالأشاعرة من يثبت علو الله تعالى</w:t>
      </w:r>
      <w:r w:rsidR="000636C2">
        <w:rPr>
          <w:rFonts w:hint="cs"/>
          <w:rtl/>
        </w:rPr>
        <w:t>،</w:t>
      </w:r>
      <w:r w:rsidRPr="005675B2">
        <w:rPr>
          <w:rFonts w:hint="cs"/>
          <w:rtl/>
        </w:rPr>
        <w:t xml:space="preserve"> كما توهمه عليهم الباحث سامحه الله</w:t>
      </w:r>
      <w:r w:rsidR="000636C2">
        <w:rPr>
          <w:rFonts w:hint="cs"/>
          <w:rtl/>
        </w:rPr>
        <w:t>،</w:t>
      </w:r>
      <w:r w:rsidRPr="005675B2">
        <w:rPr>
          <w:rFonts w:hint="cs"/>
          <w:rtl/>
        </w:rPr>
        <w:t xml:space="preserve"> وليته يأتي بنصوصهم من كتبهم</w:t>
      </w:r>
      <w:r w:rsidR="000636C2">
        <w:rPr>
          <w:rFonts w:hint="cs"/>
          <w:rtl/>
        </w:rPr>
        <w:t xml:space="preserve">!، </w:t>
      </w:r>
      <w:r w:rsidRPr="005675B2">
        <w:rPr>
          <w:rFonts w:hint="cs"/>
          <w:rtl/>
        </w:rPr>
        <w:t>إن الأشاعرة يثبتون لله تبارك وتعالى الأسماء الحسنى كما أثبتها لنفسه</w:t>
      </w:r>
      <w:r w:rsidR="000636C2">
        <w:rPr>
          <w:rFonts w:hint="cs"/>
          <w:rtl/>
        </w:rPr>
        <w:t>،</w:t>
      </w:r>
      <w:r w:rsidRPr="005675B2">
        <w:rPr>
          <w:rFonts w:hint="cs"/>
          <w:rtl/>
        </w:rPr>
        <w:t xml:space="preserve"> ومنها اسمه </w:t>
      </w:r>
      <w:r w:rsidR="000636C2">
        <w:rPr>
          <w:rFonts w:hint="cs"/>
          <w:rtl/>
        </w:rPr>
        <w:t>[</w:t>
      </w:r>
      <w:r w:rsidRPr="005675B2">
        <w:rPr>
          <w:rFonts w:hint="cs"/>
          <w:rtl/>
        </w:rPr>
        <w:t>العلي</w:t>
      </w:r>
      <w:r w:rsidR="000636C2">
        <w:rPr>
          <w:rFonts w:hint="cs"/>
          <w:rtl/>
        </w:rPr>
        <w:t>]</w:t>
      </w:r>
      <w:r w:rsidRPr="005675B2">
        <w:rPr>
          <w:rFonts w:hint="cs"/>
          <w:rtl/>
        </w:rPr>
        <w:t xml:space="preserve"> الذي ورد في القرآن الكريم</w:t>
      </w:r>
      <w:r w:rsidR="000636C2">
        <w:rPr>
          <w:rFonts w:hint="cs"/>
          <w:rtl/>
        </w:rPr>
        <w:t>،</w:t>
      </w:r>
      <w:r w:rsidRPr="005675B2">
        <w:rPr>
          <w:rFonts w:hint="cs"/>
          <w:rtl/>
        </w:rPr>
        <w:t xml:space="preserve"> فالذي لا يثبت لله تبارك وتعالى أنه العلي هو الذي يكفر</w:t>
      </w:r>
      <w:r w:rsidR="000636C2">
        <w:rPr>
          <w:rFonts w:hint="cs"/>
          <w:rtl/>
        </w:rPr>
        <w:t xml:space="preserve">، </w:t>
      </w:r>
      <w:r w:rsidRPr="005675B2">
        <w:rPr>
          <w:rFonts w:hint="cs"/>
          <w:rtl/>
        </w:rPr>
        <w:t>ولكن الذي يهرب منه الباحث تمام الهروب ولا يخطر بباله أن يعرج عليه هو تفسير العلو، فإن المجسمة يفسرونه تفسيراً مادياً</w:t>
      </w:r>
      <w:r w:rsidR="000636C2">
        <w:rPr>
          <w:rFonts w:hint="cs"/>
          <w:rtl/>
        </w:rPr>
        <w:t>،</w:t>
      </w:r>
      <w:r w:rsidRPr="005675B2">
        <w:rPr>
          <w:rFonts w:hint="cs"/>
          <w:rtl/>
        </w:rPr>
        <w:t xml:space="preserve"> بمعنى أن الله تعالى في مكان</w:t>
      </w:r>
      <w:r w:rsidR="000636C2">
        <w:rPr>
          <w:rFonts w:hint="cs"/>
          <w:rtl/>
        </w:rPr>
        <w:t>،</w:t>
      </w:r>
      <w:r w:rsidRPr="005675B2">
        <w:rPr>
          <w:rFonts w:hint="cs"/>
          <w:rtl/>
        </w:rPr>
        <w:t xml:space="preserve"> وأن بيننا وبينه مسافة</w:t>
      </w:r>
      <w:r w:rsidR="000636C2">
        <w:rPr>
          <w:rFonts w:hint="cs"/>
          <w:rtl/>
        </w:rPr>
        <w:t>،</w:t>
      </w:r>
      <w:r w:rsidRPr="005675B2">
        <w:rPr>
          <w:rFonts w:hint="cs"/>
          <w:rtl/>
        </w:rPr>
        <w:t xml:space="preserve"> وأن من يقف على الجبل أقرب إلى الله تعالى ممن يقف في الوادي</w:t>
      </w:r>
      <w:r w:rsidR="000636C2">
        <w:rPr>
          <w:rFonts w:hint="cs"/>
          <w:rtl/>
        </w:rPr>
        <w:t>،</w:t>
      </w:r>
      <w:r w:rsidRPr="005675B2">
        <w:rPr>
          <w:rFonts w:hint="cs"/>
          <w:rtl/>
        </w:rPr>
        <w:t xml:space="preserve"> وهذا هو الذي ينكره الأشاعرة</w:t>
      </w:r>
      <w:r w:rsidR="000636C2">
        <w:rPr>
          <w:rFonts w:hint="cs"/>
          <w:rtl/>
        </w:rPr>
        <w:t>،</w:t>
      </w:r>
      <w:r w:rsidRPr="005675B2">
        <w:rPr>
          <w:rFonts w:hint="cs"/>
          <w:rtl/>
        </w:rPr>
        <w:t xml:space="preserve"> ويصفون قائله بالبدعة والفسق والضلال</w:t>
      </w:r>
      <w:r w:rsidR="000636C2">
        <w:rPr>
          <w:rFonts w:hint="cs"/>
          <w:rtl/>
        </w:rPr>
        <w:t>،</w:t>
      </w:r>
      <w:r w:rsidRPr="005675B2">
        <w:rPr>
          <w:rFonts w:hint="cs"/>
          <w:rtl/>
        </w:rPr>
        <w:t xml:space="preserve"> واختلفوا في تكفيره [</w:t>
      </w:r>
      <w:r w:rsidRPr="005675B2">
        <w:rPr>
          <w:rFonts w:hint="cs"/>
          <w:sz w:val="24"/>
          <w:szCs w:val="24"/>
          <w:rtl/>
        </w:rPr>
        <w:t>انظر: ما قاله فخر الدين الرازي في أساس التقديس: ص 257</w:t>
      </w:r>
      <w:r w:rsidR="000636C2">
        <w:rPr>
          <w:rFonts w:hint="cs"/>
          <w:sz w:val="24"/>
          <w:szCs w:val="24"/>
          <w:rtl/>
        </w:rPr>
        <w:t>]</w:t>
      </w:r>
      <w:r w:rsidR="000636C2">
        <w:rPr>
          <w:rFonts w:hint="cs"/>
          <w:rtl/>
        </w:rPr>
        <w:t xml:space="preserve">، </w:t>
      </w:r>
      <w:r w:rsidRPr="005675B2">
        <w:rPr>
          <w:rFonts w:hint="cs"/>
          <w:rtl/>
        </w:rPr>
        <w:t>وشتان بين من يصف الله تعالى بالعلو المنزه عن مشابهة علو المخلوقات من حد وجهة وتحيز ومسافة وبين من يصفه سبحانه بالعلو مع إثبات مشابهة علو المخلوقات</w:t>
      </w:r>
      <w:r w:rsidR="000636C2">
        <w:rPr>
          <w:rFonts w:hint="cs"/>
          <w:rtl/>
        </w:rPr>
        <w:t xml:space="preserve">، </w:t>
      </w:r>
      <w:r w:rsidRPr="005675B2">
        <w:rPr>
          <w:rFonts w:hint="cs"/>
          <w:rtl/>
        </w:rPr>
        <w:t>7 - وأما من نسب للأشاعرة أنهم يكفرون من لم يؤمن بالله على طريقة أهل الكلام فهذا ما ينسب إلى بعضهم</w:t>
      </w:r>
      <w:r w:rsidR="000636C2">
        <w:rPr>
          <w:rFonts w:hint="cs"/>
          <w:rtl/>
        </w:rPr>
        <w:t>،</w:t>
      </w:r>
      <w:r w:rsidRPr="005675B2">
        <w:rPr>
          <w:rFonts w:hint="cs"/>
          <w:rtl/>
        </w:rPr>
        <w:t xml:space="preserve"> ولكن المحققين منهم يردّونه</w:t>
      </w:r>
      <w:r w:rsidR="000636C2">
        <w:rPr>
          <w:rFonts w:hint="cs"/>
          <w:rtl/>
        </w:rPr>
        <w:t>،</w:t>
      </w:r>
      <w:r w:rsidRPr="005675B2">
        <w:rPr>
          <w:rFonts w:hint="cs"/>
          <w:rtl/>
        </w:rPr>
        <w:t xml:space="preserve"> ويكفرون من لم يؤمن بالله إيماناً مستنداً إلى دليل</w:t>
      </w:r>
      <w:r w:rsidR="000636C2">
        <w:rPr>
          <w:rFonts w:hint="cs"/>
          <w:rtl/>
        </w:rPr>
        <w:t>،</w:t>
      </w:r>
      <w:r w:rsidRPr="005675B2">
        <w:rPr>
          <w:rFonts w:hint="cs"/>
          <w:rtl/>
        </w:rPr>
        <w:t xml:space="preserve"> لا بشرط استناده إلى دليل على طريقة أهل الكلام</w:t>
      </w:r>
      <w:r w:rsidR="000636C2">
        <w:rPr>
          <w:rFonts w:hint="cs"/>
          <w:rtl/>
        </w:rPr>
        <w:t>،</w:t>
      </w:r>
      <w:r w:rsidRPr="005675B2">
        <w:rPr>
          <w:rFonts w:hint="cs"/>
          <w:rtl/>
        </w:rPr>
        <w:t xml:space="preserve"> وإلا لما ذكر الباقلاني والمتولي والرازي والدردير من الأدلة على وجود الله تبارك وتعالى ما ليس على الطرق الكلامية</w:t>
      </w:r>
      <w:r w:rsidR="000636C2">
        <w:rPr>
          <w:rFonts w:hint="cs"/>
          <w:rtl/>
        </w:rPr>
        <w:t>،</w:t>
      </w:r>
      <w:r w:rsidRPr="005675B2">
        <w:rPr>
          <w:rFonts w:hint="cs"/>
          <w:rtl/>
        </w:rPr>
        <w:t xml:space="preserve"> كما تقدم</w:t>
      </w:r>
      <w:r w:rsidR="000636C2">
        <w:rPr>
          <w:rFonts w:hint="cs"/>
          <w:rtl/>
        </w:rPr>
        <w:t>،</w:t>
      </w:r>
    </w:p>
    <w:p w14:paraId="02AEA02C" w14:textId="77777777" w:rsidR="009C32A0" w:rsidRPr="005675B2" w:rsidRDefault="009C32A0" w:rsidP="000636C2">
      <w:pPr>
        <w:jc w:val="center"/>
        <w:rPr>
          <w:b/>
          <w:rtl/>
        </w:rPr>
      </w:pPr>
      <w:r w:rsidRPr="005675B2">
        <w:rPr>
          <w:rFonts w:hint="cs"/>
          <w:rtl/>
        </w:rPr>
        <w:t>***</w:t>
      </w:r>
    </w:p>
    <w:p w14:paraId="00436253" w14:textId="1436DFE8" w:rsidR="009C32A0" w:rsidRPr="005675B2" w:rsidRDefault="000636C2" w:rsidP="000636C2">
      <w:pPr>
        <w:jc w:val="center"/>
        <w:rPr>
          <w:bCs/>
          <w:rtl/>
        </w:rPr>
      </w:pPr>
      <w:r>
        <w:rPr>
          <w:rFonts w:hint="cs"/>
          <w:bCs/>
          <w:rtl/>
        </w:rPr>
        <w:t>[</w:t>
      </w:r>
      <w:r w:rsidR="009C32A0" w:rsidRPr="005675B2">
        <w:rPr>
          <w:rFonts w:hint="cs"/>
          <w:bCs/>
          <w:rtl/>
        </w:rPr>
        <w:t>الموضوع الرابع عشر</w:t>
      </w:r>
      <w:r>
        <w:rPr>
          <w:rFonts w:hint="cs"/>
          <w:bCs/>
          <w:rtl/>
        </w:rPr>
        <w:t xml:space="preserve">: </w:t>
      </w:r>
      <w:r w:rsidR="009C32A0" w:rsidRPr="005675B2">
        <w:rPr>
          <w:rFonts w:hint="cs"/>
          <w:bCs/>
          <w:rtl/>
        </w:rPr>
        <w:t>الصحابة والإمامة</w:t>
      </w:r>
      <w:r>
        <w:rPr>
          <w:rFonts w:hint="cs"/>
          <w:bCs/>
          <w:rtl/>
        </w:rPr>
        <w:t>]</w:t>
      </w:r>
    </w:p>
    <w:p w14:paraId="341FAF52" w14:textId="341E8828"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من خلال استعراضي لأكثر أمهات كتب الأشاعرة وجدت أن موضوع الصحابة هو الموضوع الوحيد الذي يتفقون فيه مع أهل السنة والجماعة</w:t>
      </w:r>
      <w:r w:rsidR="000636C2">
        <w:rPr>
          <w:rFonts w:hint="cs"/>
          <w:rtl/>
        </w:rPr>
        <w:t>،</w:t>
      </w:r>
      <w:r w:rsidRPr="005675B2">
        <w:rPr>
          <w:rFonts w:hint="cs"/>
          <w:rtl/>
        </w:rPr>
        <w:t xml:space="preserve"> وقريب منه موضوع الإمامة</w:t>
      </w:r>
      <w:r w:rsidR="000636C2">
        <w:rPr>
          <w:rFonts w:hint="cs"/>
          <w:rtl/>
        </w:rPr>
        <w:t>،</w:t>
      </w:r>
      <w:r w:rsidRPr="005675B2">
        <w:rPr>
          <w:rFonts w:hint="cs"/>
          <w:rtl/>
        </w:rPr>
        <w:t xml:space="preserve"> ولا يعني هذا الاتفاقَ التام</w:t>
      </w:r>
      <w:r w:rsidR="000636C2">
        <w:rPr>
          <w:rFonts w:hint="cs"/>
          <w:rtl/>
        </w:rPr>
        <w:t>،</w:t>
      </w:r>
      <w:r w:rsidRPr="005675B2">
        <w:rPr>
          <w:rFonts w:hint="cs"/>
          <w:rtl/>
        </w:rPr>
        <w:t xml:space="preserve"> بل هم مخالفون في تفصيلات كثيرة</w:t>
      </w:r>
      <w:r w:rsidR="000636C2">
        <w:rPr>
          <w:rFonts w:hint="cs"/>
          <w:rtl/>
        </w:rPr>
        <w:t>،</w:t>
      </w:r>
      <w:r w:rsidRPr="005675B2">
        <w:rPr>
          <w:rFonts w:hint="cs"/>
          <w:rtl/>
        </w:rPr>
        <w:t xml:space="preserve"> لكنها ليست داخلة في بحثنا هنا</w:t>
      </w:r>
      <w:r w:rsidR="000636C2">
        <w:rPr>
          <w:rFonts w:hint="cs"/>
          <w:rtl/>
        </w:rPr>
        <w:t>،</w:t>
      </w:r>
      <w:r w:rsidRPr="005675B2">
        <w:rPr>
          <w:rFonts w:hint="cs"/>
          <w:rtl/>
        </w:rPr>
        <w:t xml:space="preserve"> لأن غرضنا</w:t>
      </w:r>
      <w:r w:rsidR="000636C2">
        <w:rPr>
          <w:rFonts w:hint="cs"/>
          <w:rtl/>
        </w:rPr>
        <w:t xml:space="preserve"> </w:t>
      </w:r>
      <w:r w:rsidRPr="005675B2">
        <w:rPr>
          <w:rFonts w:hint="cs"/>
          <w:rtl/>
        </w:rPr>
        <w:t>- كما في سائر الفقرات</w:t>
      </w:r>
      <w:r w:rsidR="000636C2">
        <w:rPr>
          <w:rFonts w:hint="cs"/>
          <w:rtl/>
        </w:rPr>
        <w:t xml:space="preserve"> </w:t>
      </w:r>
      <w:r w:rsidRPr="005675B2">
        <w:rPr>
          <w:rFonts w:hint="cs"/>
          <w:rtl/>
        </w:rPr>
        <w:t>- إنما هو المنهج والأصول</w:t>
      </w:r>
      <w:r w:rsidR="000636C2">
        <w:rPr>
          <w:rFonts w:hint="cs"/>
          <w:rtl/>
        </w:rPr>
        <w:t>]،</w:t>
      </w:r>
    </w:p>
    <w:p w14:paraId="3E95AADC" w14:textId="5F9C0B7F"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كان ينبغي للباحث أن يذكر أهم النقط التي يتفق فيها الأشاعرة مع من يسميهم </w:t>
      </w:r>
      <w:r w:rsidR="000636C2">
        <w:rPr>
          <w:rFonts w:hint="cs"/>
          <w:rtl/>
        </w:rPr>
        <w:t>[</w:t>
      </w:r>
      <w:r w:rsidRPr="005675B2">
        <w:rPr>
          <w:rFonts w:hint="cs"/>
          <w:rtl/>
        </w:rPr>
        <w:t>أهل السنة والجماعة</w:t>
      </w:r>
      <w:r w:rsidR="000636C2">
        <w:rPr>
          <w:rFonts w:hint="cs"/>
          <w:rtl/>
        </w:rPr>
        <w:t>]</w:t>
      </w:r>
      <w:r w:rsidRPr="005675B2">
        <w:rPr>
          <w:rFonts w:hint="cs"/>
          <w:rtl/>
        </w:rPr>
        <w:t xml:space="preserve"> في موضوع الصحابة والإمامة</w:t>
      </w:r>
      <w:r w:rsidR="000636C2">
        <w:rPr>
          <w:rFonts w:hint="cs"/>
          <w:rtl/>
        </w:rPr>
        <w:t>،</w:t>
      </w:r>
      <w:r w:rsidRPr="005675B2">
        <w:rPr>
          <w:rFonts w:hint="cs"/>
          <w:rtl/>
        </w:rPr>
        <w:t xml:space="preserve"> ثم أهم النقط من تلك التفصيلات الكثيرة التي يرى أنهم مخالفون فيها</w:t>
      </w:r>
      <w:r w:rsidR="000636C2">
        <w:rPr>
          <w:rFonts w:hint="cs"/>
          <w:rtl/>
        </w:rPr>
        <w:t>،</w:t>
      </w:r>
      <w:r w:rsidRPr="005675B2">
        <w:rPr>
          <w:rFonts w:hint="cs"/>
          <w:rtl/>
        </w:rPr>
        <w:t xml:space="preserve"> أو أن يكتفي بمثال واحد أو مثالين على الأقل</w:t>
      </w:r>
      <w:r w:rsidR="000636C2">
        <w:rPr>
          <w:rFonts w:hint="cs"/>
          <w:rtl/>
        </w:rPr>
        <w:t>،</w:t>
      </w:r>
      <w:r w:rsidRPr="005675B2">
        <w:rPr>
          <w:rFonts w:hint="cs"/>
          <w:rtl/>
        </w:rPr>
        <w:t xml:space="preserve"> لتتضح معالم الاتفاق والافتراق</w:t>
      </w:r>
      <w:r w:rsidR="000636C2">
        <w:rPr>
          <w:rFonts w:hint="cs"/>
          <w:rtl/>
        </w:rPr>
        <w:t>،</w:t>
      </w:r>
      <w:r w:rsidRPr="005675B2">
        <w:rPr>
          <w:rFonts w:hint="cs"/>
          <w:rtl/>
        </w:rPr>
        <w:t xml:space="preserve"> وكذا معالم المنهج الذي سلكوه فأدى بهم إلى ذلك</w:t>
      </w:r>
      <w:r w:rsidR="000636C2">
        <w:rPr>
          <w:rFonts w:hint="cs"/>
          <w:rtl/>
        </w:rPr>
        <w:t>،</w:t>
      </w:r>
    </w:p>
    <w:p w14:paraId="0EC88DD8" w14:textId="77777777" w:rsidR="009C32A0" w:rsidRPr="005675B2" w:rsidRDefault="009C32A0" w:rsidP="000636C2">
      <w:pPr>
        <w:jc w:val="center"/>
        <w:rPr>
          <w:b/>
          <w:rtl/>
        </w:rPr>
      </w:pPr>
      <w:r w:rsidRPr="005675B2">
        <w:rPr>
          <w:rFonts w:hint="cs"/>
          <w:rtl/>
        </w:rPr>
        <w:t>***</w:t>
      </w:r>
    </w:p>
    <w:p w14:paraId="3EF65BBB" w14:textId="554FAB3F" w:rsidR="009C32A0" w:rsidRPr="005675B2" w:rsidRDefault="000636C2" w:rsidP="000636C2">
      <w:pPr>
        <w:jc w:val="center"/>
        <w:rPr>
          <w:bCs/>
          <w:rtl/>
        </w:rPr>
      </w:pPr>
      <w:r>
        <w:rPr>
          <w:rFonts w:hint="cs"/>
          <w:bCs/>
          <w:rtl/>
        </w:rPr>
        <w:t>[</w:t>
      </w:r>
      <w:r w:rsidR="009C32A0" w:rsidRPr="005675B2">
        <w:rPr>
          <w:rFonts w:hint="cs"/>
          <w:bCs/>
          <w:rtl/>
        </w:rPr>
        <w:t>الموضوع الخامس عشر</w:t>
      </w:r>
      <w:r>
        <w:rPr>
          <w:rFonts w:hint="cs"/>
          <w:bCs/>
          <w:rtl/>
        </w:rPr>
        <w:t xml:space="preserve">: </w:t>
      </w:r>
      <w:r w:rsidR="009C32A0" w:rsidRPr="005675B2">
        <w:rPr>
          <w:rFonts w:hint="cs"/>
          <w:bCs/>
          <w:rtl/>
        </w:rPr>
        <w:t>الصفات</w:t>
      </w:r>
      <w:r>
        <w:rPr>
          <w:rFonts w:hint="cs"/>
          <w:bCs/>
          <w:rtl/>
        </w:rPr>
        <w:t>]</w:t>
      </w:r>
    </w:p>
    <w:p w14:paraId="0C29DA9F" w14:textId="77113751"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وتناقضهم وتحكمهم فيها أشهر وأكثر</w:t>
      </w:r>
      <w:r w:rsidR="000636C2">
        <w:rPr>
          <w:rFonts w:hint="cs"/>
          <w:rtl/>
        </w:rPr>
        <w:t>،</w:t>
      </w:r>
      <w:r w:rsidRPr="005675B2">
        <w:rPr>
          <w:rFonts w:hint="cs"/>
          <w:rtl/>
        </w:rPr>
        <w:t xml:space="preserve"> وكل مذهبهم في الصفات مركب من بدع سابقة</w:t>
      </w:r>
      <w:r w:rsidR="000636C2">
        <w:rPr>
          <w:rFonts w:hint="cs"/>
          <w:rtl/>
        </w:rPr>
        <w:t>،</w:t>
      </w:r>
      <w:r w:rsidRPr="005675B2">
        <w:rPr>
          <w:rFonts w:hint="cs"/>
          <w:rtl/>
        </w:rPr>
        <w:t xml:space="preserve"> وأضافوا إليه بدعاً أحدثوها</w:t>
      </w:r>
      <w:r w:rsidR="000636C2">
        <w:rPr>
          <w:rFonts w:hint="cs"/>
          <w:rtl/>
        </w:rPr>
        <w:t>،</w:t>
      </w:r>
      <w:r w:rsidRPr="005675B2">
        <w:rPr>
          <w:rFonts w:hint="cs"/>
          <w:rtl/>
        </w:rPr>
        <w:t xml:space="preserve"> فأصبح غاية في التلفيق المتنافر</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أما مخالفتهم في الصفات فمعروفة</w:t>
      </w:r>
      <w:r w:rsidR="000636C2">
        <w:rPr>
          <w:rFonts w:hint="cs"/>
          <w:rtl/>
        </w:rPr>
        <w:t>،</w:t>
      </w:r>
      <w:r w:rsidRPr="005675B2">
        <w:rPr>
          <w:rFonts w:hint="cs"/>
          <w:rtl/>
        </w:rPr>
        <w:t xml:space="preserve"> وإن كان كثير من أسس نظرياتهم فيها يحتاج لتجلية ونسف</w:t>
      </w:r>
      <w:r w:rsidR="000636C2">
        <w:rPr>
          <w:rFonts w:hint="cs"/>
          <w:rtl/>
        </w:rPr>
        <w:t>،</w:t>
      </w:r>
      <w:r w:rsidRPr="005675B2">
        <w:rPr>
          <w:rFonts w:hint="cs"/>
          <w:rtl/>
        </w:rPr>
        <w:t xml:space="preserve"> ولعل هذا ما يكون في الرد المتكامل بإذن الله</w:t>
      </w:r>
      <w:r w:rsidR="000636C2">
        <w:rPr>
          <w:rFonts w:hint="cs"/>
          <w:rtl/>
        </w:rPr>
        <w:t>]،</w:t>
      </w:r>
    </w:p>
    <w:p w14:paraId="3CB4B664" w14:textId="6A07F344"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إذا كان الباحث قد فضل أن يرجئ مبحث مخالفة الأشاعرة لمن يسميهم </w:t>
      </w:r>
      <w:r w:rsidR="000636C2">
        <w:rPr>
          <w:rFonts w:hint="cs"/>
          <w:rtl/>
        </w:rPr>
        <w:t>[</w:t>
      </w:r>
      <w:r w:rsidRPr="005675B2">
        <w:rPr>
          <w:rFonts w:hint="cs"/>
          <w:rtl/>
        </w:rPr>
        <w:t>أهل السنة والجماعة</w:t>
      </w:r>
      <w:r w:rsidR="000636C2">
        <w:rPr>
          <w:rFonts w:hint="cs"/>
          <w:rtl/>
        </w:rPr>
        <w:t>]</w:t>
      </w:r>
      <w:r w:rsidRPr="005675B2">
        <w:rPr>
          <w:rFonts w:hint="cs"/>
          <w:rtl/>
        </w:rPr>
        <w:t xml:space="preserve"> في موضوع صفات الله تعالى إلى أن يكتب الرد المتكامل ؛ فكان ينبغي له أن يذكر مثالاً واحداً أو مثالين من تناقضهم وتحكمهم</w:t>
      </w:r>
      <w:r w:rsidR="000636C2">
        <w:rPr>
          <w:rFonts w:hint="cs"/>
          <w:rtl/>
        </w:rPr>
        <w:t xml:space="preserve"> </w:t>
      </w:r>
      <w:r w:rsidRPr="005675B2">
        <w:rPr>
          <w:rFonts w:hint="cs"/>
          <w:rtl/>
        </w:rPr>
        <w:t>- حسب دعوأهـ في هذا الموضوع</w:t>
      </w:r>
      <w:r w:rsidR="000636C2">
        <w:rPr>
          <w:rFonts w:hint="cs"/>
          <w:rtl/>
        </w:rPr>
        <w:t>،</w:t>
      </w:r>
      <w:r w:rsidRPr="005675B2">
        <w:rPr>
          <w:rFonts w:hint="cs"/>
          <w:rtl/>
        </w:rPr>
        <w:t xml:space="preserve"> وكذا من البدع السابقة والبدع التي أحدثوها</w:t>
      </w:r>
      <w:r w:rsidR="000636C2">
        <w:rPr>
          <w:rFonts w:hint="cs"/>
          <w:rtl/>
        </w:rPr>
        <w:t>،</w:t>
      </w:r>
      <w:r w:rsidRPr="005675B2">
        <w:rPr>
          <w:rFonts w:hint="cs"/>
          <w:rtl/>
        </w:rPr>
        <w:t xml:space="preserve"> ليعرف القارئ لمحة عن هذا المذهب الذي يدعي الباحث أنه أصبح غاية في التلفيق المتنافر</w:t>
      </w:r>
      <w:r w:rsidR="000636C2">
        <w:rPr>
          <w:rFonts w:hint="cs"/>
          <w:rtl/>
        </w:rPr>
        <w:t>،</w:t>
      </w:r>
      <w:r w:rsidRPr="005675B2">
        <w:rPr>
          <w:rFonts w:hint="cs"/>
          <w:rtl/>
        </w:rPr>
        <w:t xml:space="preserve"> ولكنه لم يفعل</w:t>
      </w:r>
      <w:r w:rsidR="000636C2">
        <w:rPr>
          <w:rFonts w:hint="cs"/>
          <w:rtl/>
        </w:rPr>
        <w:t>،</w:t>
      </w:r>
      <w:r w:rsidRPr="005675B2">
        <w:rPr>
          <w:rFonts w:hint="cs"/>
          <w:rtl/>
        </w:rPr>
        <w:t xml:space="preserve"> واكتفى باكتيال التهم دون الإدلاء بالبينة</w:t>
      </w:r>
      <w:r w:rsidR="000636C2">
        <w:rPr>
          <w:rFonts w:hint="cs"/>
          <w:rtl/>
        </w:rPr>
        <w:t>!،</w:t>
      </w:r>
      <w:r w:rsidRPr="005675B2">
        <w:rPr>
          <w:rFonts w:hint="cs"/>
          <w:rtl/>
        </w:rPr>
        <w:t xml:space="preserve"> فهل هذا منهج مقبول في بحث علمي تترتب عليه مواقف خطيرة في لملمة صفوف الأمة أوتمزيقها وتشتيتها</w:t>
      </w:r>
      <w:r w:rsidR="000636C2">
        <w:rPr>
          <w:rFonts w:hint="cs"/>
          <w:rtl/>
        </w:rPr>
        <w:t>؟!</w:t>
      </w:r>
      <w:r w:rsidRPr="005675B2">
        <w:rPr>
          <w:rFonts w:hint="cs"/>
          <w:rtl/>
        </w:rPr>
        <w:t>!</w:t>
      </w:r>
      <w:r w:rsidR="000636C2">
        <w:rPr>
          <w:rFonts w:hint="cs"/>
          <w:rtl/>
        </w:rPr>
        <w:t>،</w:t>
      </w:r>
    </w:p>
    <w:p w14:paraId="7BC5EFBE" w14:textId="77777777" w:rsidR="009C32A0" w:rsidRPr="005675B2" w:rsidRDefault="009C32A0" w:rsidP="000636C2">
      <w:pPr>
        <w:jc w:val="center"/>
        <w:rPr>
          <w:b/>
          <w:rtl/>
        </w:rPr>
      </w:pPr>
      <w:r w:rsidRPr="005675B2">
        <w:rPr>
          <w:rFonts w:hint="cs"/>
          <w:rtl/>
        </w:rPr>
        <w:t>***</w:t>
      </w:r>
    </w:p>
    <w:p w14:paraId="738B4EEC" w14:textId="78B7F70A" w:rsidR="009C32A0" w:rsidRPr="005675B2" w:rsidRDefault="000636C2" w:rsidP="000636C2">
      <w:pPr>
        <w:jc w:val="center"/>
        <w:rPr>
          <w:bCs/>
          <w:rtl/>
        </w:rPr>
      </w:pPr>
      <w:r>
        <w:rPr>
          <w:rFonts w:hint="cs"/>
          <w:bCs/>
          <w:rtl/>
        </w:rPr>
        <w:t>[</w:t>
      </w:r>
      <w:r w:rsidR="009C32A0" w:rsidRPr="005675B2">
        <w:rPr>
          <w:rFonts w:hint="cs"/>
          <w:bCs/>
          <w:rtl/>
        </w:rPr>
        <w:t>تتمات البحث</w:t>
      </w:r>
      <w:r>
        <w:rPr>
          <w:rFonts w:hint="cs"/>
          <w:bCs/>
          <w:rtl/>
        </w:rPr>
        <w:t>]</w:t>
      </w:r>
    </w:p>
    <w:p w14:paraId="425F9A29" w14:textId="0CAC09A4" w:rsidR="009C32A0" w:rsidRPr="005675B2" w:rsidRDefault="009C32A0" w:rsidP="000636C2">
      <w:pPr>
        <w:rPr>
          <w:b/>
          <w:rtl/>
        </w:rPr>
      </w:pPr>
      <w:r w:rsidRPr="005675B2">
        <w:rPr>
          <w:rFonts w:hint="cs"/>
          <w:rtl/>
        </w:rPr>
        <w:t>بعد أن ذكر الباحث المواضيع الخمسة عشر المتقدمة ذيلها بتتمات فيها ما هو مُعَاد وفيها ما هو جديد</w:t>
      </w:r>
      <w:r w:rsidR="000636C2">
        <w:rPr>
          <w:rFonts w:hint="cs"/>
          <w:rtl/>
        </w:rPr>
        <w:t>،</w:t>
      </w:r>
      <w:r w:rsidRPr="005675B2">
        <w:rPr>
          <w:rFonts w:hint="cs"/>
          <w:rtl/>
        </w:rPr>
        <w:t xml:space="preserve"> فأما المعاد وما تقدمت الإشارة إليه فيكتفى فيه بما تقدم</w:t>
      </w:r>
      <w:r w:rsidR="000636C2">
        <w:rPr>
          <w:rFonts w:hint="cs"/>
          <w:rtl/>
        </w:rPr>
        <w:t>،</w:t>
      </w:r>
      <w:r w:rsidRPr="005675B2">
        <w:rPr>
          <w:rFonts w:hint="cs"/>
          <w:rtl/>
        </w:rPr>
        <w:t xml:space="preserve"> وأما الجديد فلا بد من استعراض نبذ منه ليتبين للقارئ المنصف ما فيها</w:t>
      </w:r>
      <w:r w:rsidR="000636C2">
        <w:rPr>
          <w:rFonts w:hint="cs"/>
          <w:rtl/>
        </w:rPr>
        <w:t>،</w:t>
      </w:r>
    </w:p>
    <w:p w14:paraId="68A9FC6C" w14:textId="5B4737EC"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فارق منهجي ونموذجي</w:t>
      </w:r>
      <w:r w:rsidR="000636C2">
        <w:rPr>
          <w:rFonts w:hint="cs"/>
          <w:rtl/>
        </w:rPr>
        <w:t>:</w:t>
      </w:r>
      <w:r w:rsidRPr="005675B2">
        <w:rPr>
          <w:rFonts w:hint="cs"/>
          <w:rtl/>
        </w:rPr>
        <w:t xml:space="preserve"> التناقض ومكابرة العقل</w:t>
      </w:r>
      <w:r w:rsidR="000636C2">
        <w:rPr>
          <w:rFonts w:hint="cs"/>
          <w:rtl/>
        </w:rPr>
        <w:t>:</w:t>
      </w:r>
      <w:r w:rsidRPr="005675B2">
        <w:rPr>
          <w:rFonts w:hint="cs"/>
          <w:rtl/>
        </w:rPr>
        <w:t xml:space="preserve"> ليس هناك مذهب أكثر تناقضاً من مذهب الأشاعرة</w:t>
      </w:r>
      <w:r w:rsidR="000636C2">
        <w:rPr>
          <w:rFonts w:hint="cs"/>
          <w:rtl/>
        </w:rPr>
        <w:t>،</w:t>
      </w:r>
      <w:r w:rsidRPr="005675B2">
        <w:rPr>
          <w:rFonts w:hint="cs"/>
          <w:rtl/>
        </w:rPr>
        <w:t xml:space="preserve"> اللهم إلا مذهب الرافضة</w:t>
      </w:r>
      <w:r w:rsidR="000636C2">
        <w:rPr>
          <w:rFonts w:hint="cs"/>
          <w:rtl/>
        </w:rPr>
        <w:t>،</w:t>
      </w:r>
      <w:r w:rsidRPr="005675B2">
        <w:rPr>
          <w:rFonts w:hint="cs"/>
          <w:rtl/>
        </w:rPr>
        <w:t xml:space="preserve"> … ويرجع معظم تناقضهم إلى كونهم لم يسلموا للوحي تسليماً كاملاً ويعرفوا للعقل منزلته الحقيقية وحدوده الشرعية</w:t>
      </w:r>
      <w:r w:rsidR="000636C2">
        <w:rPr>
          <w:rFonts w:hint="cs"/>
          <w:rtl/>
        </w:rPr>
        <w:t>،</w:t>
      </w:r>
      <w:r w:rsidRPr="005675B2">
        <w:rPr>
          <w:rFonts w:hint="cs"/>
          <w:rtl/>
        </w:rPr>
        <w:t xml:space="preserve"> ولم يلتزموا بالعقل التزاماً واضحاً …</w:t>
      </w:r>
      <w:r w:rsidR="000636C2">
        <w:rPr>
          <w:rFonts w:hint="cs"/>
          <w:rtl/>
        </w:rPr>
        <w:t>،</w:t>
      </w:r>
      <w:r w:rsidRPr="005675B2">
        <w:rPr>
          <w:rFonts w:hint="cs"/>
          <w:rtl/>
        </w:rPr>
        <w:t xml:space="preserve"> بل خلطوا وركبوا</w:t>
      </w:r>
      <w:r w:rsidR="000636C2">
        <w:rPr>
          <w:rFonts w:hint="cs"/>
          <w:rtl/>
        </w:rPr>
        <w:t>،</w:t>
      </w:r>
      <w:r w:rsidRPr="005675B2">
        <w:rPr>
          <w:rFonts w:hint="cs"/>
          <w:rtl/>
        </w:rPr>
        <w:t xml:space="preserve"> فتناقضوا واضطربوا</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وإليك أمثلة سريعة للتناقض ومكابرة العقل</w:t>
      </w:r>
      <w:r w:rsidR="000636C2">
        <w:rPr>
          <w:rFonts w:hint="cs"/>
          <w:rtl/>
        </w:rPr>
        <w:t>:</w:t>
      </w:r>
      <w:r w:rsidRPr="005675B2">
        <w:rPr>
          <w:rFonts w:hint="cs"/>
          <w:rtl/>
        </w:rPr>
        <w:t xml:space="preserve"> قالوا إنه يجوز أن يرى الأعمى بالمشرق البقة بالأندلس</w:t>
      </w:r>
      <w:r w:rsidR="000636C2">
        <w:rPr>
          <w:rFonts w:hint="cs"/>
          <w:rtl/>
        </w:rPr>
        <w:t>،</w:t>
      </w:r>
      <w:r w:rsidRPr="005675B2">
        <w:rPr>
          <w:rFonts w:hint="cs"/>
          <w:rtl/>
        </w:rPr>
        <w:t xml:space="preserve"> قالوا إن الجهة مستحيلة في حق الله ثم قالوا بإثبات الرؤية</w:t>
      </w:r>
      <w:r w:rsidR="000636C2">
        <w:rPr>
          <w:rFonts w:hint="cs"/>
          <w:rtl/>
        </w:rPr>
        <w:t>،</w:t>
      </w:r>
      <w:r w:rsidRPr="005675B2">
        <w:rPr>
          <w:rFonts w:hint="cs"/>
          <w:rtl/>
        </w:rPr>
        <w:t xml:space="preserve"> </w:t>
      </w:r>
      <w:r w:rsidRPr="005675B2">
        <w:t>…</w:t>
      </w:r>
      <w:r w:rsidRPr="005675B2">
        <w:rPr>
          <w:rFonts w:hint="cs"/>
          <w:rtl/>
        </w:rPr>
        <w:t xml:space="preserve"> قالوا إن الله لا داخل العالم ولا خارجه ولا فوقه ولا تحته ولا عن يمينه ولا عن شماله</w:t>
      </w:r>
      <w:r w:rsidR="000636C2">
        <w:rPr>
          <w:rFonts w:hint="cs"/>
          <w:rtl/>
        </w:rPr>
        <w:t>،</w:t>
      </w:r>
      <w:r w:rsidRPr="005675B2">
        <w:rPr>
          <w:rFonts w:hint="cs"/>
          <w:rtl/>
        </w:rPr>
        <w:t xml:space="preserve"> </w:t>
      </w:r>
      <w:r w:rsidRPr="005675B2">
        <w:t>…</w:t>
      </w:r>
      <w:r w:rsidRPr="005675B2">
        <w:rPr>
          <w:rFonts w:hint="cs"/>
          <w:rtl/>
        </w:rPr>
        <w:t xml:space="preserve"> جزموا بأن من لم يبلغه الشرع غير مؤاخذ بإطلاق وردوا</w:t>
      </w:r>
      <w:r w:rsidR="000636C2">
        <w:rPr>
          <w:rFonts w:hint="cs"/>
          <w:rtl/>
        </w:rPr>
        <w:t xml:space="preserve"> </w:t>
      </w:r>
      <w:r w:rsidRPr="005675B2">
        <w:rPr>
          <w:rFonts w:hint="cs"/>
          <w:rtl/>
        </w:rPr>
        <w:t>أو أولوا النصوص في ذلك</w:t>
      </w:r>
      <w:r w:rsidR="000636C2">
        <w:rPr>
          <w:rFonts w:hint="cs"/>
          <w:rtl/>
        </w:rPr>
        <w:t>،</w:t>
      </w:r>
      <w:r w:rsidRPr="005675B2">
        <w:rPr>
          <w:rFonts w:hint="cs"/>
          <w:rtl/>
        </w:rPr>
        <w:t xml:space="preserve"> ثم قالوا إن على كل مكلف وإن كان مولوداً من أبوين مسلمين في ديار الإسلام وهو يظهر الإسلام عليه إذا بلغ سن التكليف أن ينظر في حدوث العالم ووجود الله …</w:t>
      </w:r>
      <w:r w:rsidR="000636C2">
        <w:rPr>
          <w:rFonts w:hint="cs"/>
          <w:rtl/>
        </w:rPr>
        <w:t>]،</w:t>
      </w:r>
    </w:p>
    <w:p w14:paraId="5C4599CB" w14:textId="25515BFE"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1</w:t>
      </w:r>
      <w:r w:rsidR="000636C2">
        <w:rPr>
          <w:rFonts w:hint="cs"/>
          <w:rtl/>
        </w:rPr>
        <w:t xml:space="preserve"> </w:t>
      </w:r>
      <w:r w:rsidRPr="005675B2">
        <w:rPr>
          <w:rFonts w:hint="cs"/>
          <w:rtl/>
        </w:rPr>
        <w:t>- يَتَّهِمُ الباحث الأشاعرة بالتناقض ومكابرة العقل</w:t>
      </w:r>
      <w:r w:rsidR="000636C2">
        <w:rPr>
          <w:rFonts w:hint="cs"/>
          <w:rtl/>
        </w:rPr>
        <w:t>،</w:t>
      </w:r>
      <w:r w:rsidRPr="005675B2">
        <w:rPr>
          <w:rFonts w:hint="cs"/>
          <w:rtl/>
        </w:rPr>
        <w:t xml:space="preserve"> ويستطيع أن يتهم أي واحد مذهب مخالفيه بذلك</w:t>
      </w:r>
      <w:r w:rsidR="000636C2">
        <w:rPr>
          <w:rFonts w:hint="cs"/>
          <w:rtl/>
        </w:rPr>
        <w:t>،</w:t>
      </w:r>
      <w:r w:rsidRPr="005675B2">
        <w:rPr>
          <w:rFonts w:hint="cs"/>
          <w:rtl/>
        </w:rPr>
        <w:t xml:space="preserve"> واكتيال التهم دون تدقيق النظر وتمحيص الأدلة سبيل الغوغاء</w:t>
      </w:r>
      <w:r w:rsidR="000636C2">
        <w:rPr>
          <w:rFonts w:hint="cs"/>
          <w:rtl/>
        </w:rPr>
        <w:t xml:space="preserve">، </w:t>
      </w:r>
      <w:r w:rsidRPr="005675B2">
        <w:rPr>
          <w:rFonts w:hint="cs"/>
          <w:rtl/>
        </w:rPr>
        <w:t>والعاقل ينظر فيما عنده وعند مخالفيه من أدلة ويزنها بالموازين العلمية الدقيقة قبل أن يقدم على الاتهام</w:t>
      </w:r>
      <w:r w:rsidR="000636C2">
        <w:rPr>
          <w:rFonts w:hint="cs"/>
          <w:rtl/>
        </w:rPr>
        <w:t xml:space="preserve">، </w:t>
      </w:r>
      <w:r w:rsidRPr="005675B2">
        <w:rPr>
          <w:rFonts w:hint="cs"/>
          <w:rtl/>
        </w:rPr>
        <w:t>والباحث الذي يطلق قلمه باتهام الأشاعرة ما أجد عنده من الصبر ما يحمله على نقل نصوص مخالفيه قبل أن يشن الحملات الشعواء</w:t>
      </w:r>
      <w:r w:rsidR="000636C2">
        <w:rPr>
          <w:rFonts w:hint="cs"/>
          <w:rtl/>
        </w:rPr>
        <w:t>،</w:t>
      </w:r>
      <w:r w:rsidRPr="005675B2">
        <w:rPr>
          <w:rFonts w:hint="cs"/>
          <w:rtl/>
        </w:rPr>
        <w:t xml:space="preserve"> فليته يقرأ ما قاله مخالفوه بتأن وصبر</w:t>
      </w:r>
      <w:r w:rsidR="000636C2">
        <w:rPr>
          <w:rFonts w:hint="cs"/>
          <w:rtl/>
        </w:rPr>
        <w:t>،</w:t>
      </w:r>
      <w:r w:rsidRPr="005675B2">
        <w:rPr>
          <w:rFonts w:hint="cs"/>
          <w:rtl/>
        </w:rPr>
        <w:t xml:space="preserve"> وليته ينظر في أدلتهم وأدلة أهل مذهبه بتجرد ونزاهة</w:t>
      </w:r>
      <w:r w:rsidR="000636C2">
        <w:rPr>
          <w:rFonts w:hint="cs"/>
          <w:rtl/>
        </w:rPr>
        <w:t>،</w:t>
      </w:r>
      <w:r w:rsidRPr="005675B2">
        <w:rPr>
          <w:rFonts w:hint="cs"/>
          <w:rtl/>
        </w:rPr>
        <w:t xml:space="preserve"> وبعد ذلك فليسطر ما يشاء</w:t>
      </w:r>
      <w:r w:rsidR="000636C2">
        <w:rPr>
          <w:rFonts w:hint="cs"/>
          <w:rtl/>
        </w:rPr>
        <w:t xml:space="preserve">، </w:t>
      </w:r>
      <w:r w:rsidRPr="005675B2">
        <w:rPr>
          <w:rFonts w:hint="cs"/>
          <w:rtl/>
        </w:rPr>
        <w:t>2 - يَتَّهِمُ الباحث الأشاعرة بأنهم لم يسلموا للوحي تسليماً كاملاً ويعرفوا للعقل منزلته الحقيقية وحدوده الشرعية</w:t>
      </w:r>
      <w:r w:rsidR="000636C2">
        <w:rPr>
          <w:rFonts w:hint="cs"/>
          <w:rtl/>
        </w:rPr>
        <w:t>،</w:t>
      </w:r>
      <w:r w:rsidRPr="005675B2">
        <w:rPr>
          <w:rFonts w:hint="cs"/>
          <w:rtl/>
        </w:rPr>
        <w:t xml:space="preserve"> وهذه عنده مرتبة أهل مذهبه</w:t>
      </w:r>
      <w:r w:rsidR="000636C2">
        <w:rPr>
          <w:rFonts w:hint="cs"/>
          <w:rtl/>
        </w:rPr>
        <w:t>،</w:t>
      </w:r>
      <w:r w:rsidRPr="005675B2">
        <w:rPr>
          <w:rFonts w:hint="cs"/>
          <w:rtl/>
        </w:rPr>
        <w:t xml:space="preserve"> ولم يلتزموا بالعقل التزاماً واضحاً</w:t>
      </w:r>
      <w:r w:rsidR="000636C2">
        <w:rPr>
          <w:rFonts w:hint="cs"/>
          <w:rtl/>
        </w:rPr>
        <w:t>،</w:t>
      </w:r>
      <w:r w:rsidRPr="005675B2">
        <w:rPr>
          <w:rFonts w:hint="cs"/>
          <w:rtl/>
        </w:rPr>
        <w:t xml:space="preserve"> وهذه عنده مرتبة المعتزلة والفلاسفة</w:t>
      </w:r>
      <w:r w:rsidR="000636C2">
        <w:rPr>
          <w:rFonts w:hint="cs"/>
          <w:rtl/>
        </w:rPr>
        <w:t>،</w:t>
      </w:r>
      <w:r w:rsidRPr="005675B2">
        <w:rPr>
          <w:rFonts w:hint="cs"/>
          <w:rtl/>
        </w:rPr>
        <w:t xml:space="preserve"> وهو يرى أنهم خلطوا وركبوا من ههنا وههنا</w:t>
      </w:r>
      <w:r w:rsidR="000636C2">
        <w:rPr>
          <w:rFonts w:hint="cs"/>
          <w:rtl/>
        </w:rPr>
        <w:t>،</w:t>
      </w:r>
      <w:r w:rsidRPr="005675B2">
        <w:rPr>
          <w:rFonts w:hint="cs"/>
          <w:rtl/>
        </w:rPr>
        <w:t xml:space="preserve"> فتناقضوا واضطربوا</w:t>
      </w:r>
      <w:r w:rsidR="000636C2">
        <w:rPr>
          <w:rFonts w:hint="cs"/>
          <w:rtl/>
        </w:rPr>
        <w:t xml:space="preserve">!، </w:t>
      </w:r>
      <w:r w:rsidRPr="005675B2">
        <w:rPr>
          <w:rFonts w:hint="cs"/>
          <w:rtl/>
        </w:rPr>
        <w:t>والقول في هذا كالقول في سابقه</w:t>
      </w:r>
      <w:r w:rsidR="000636C2">
        <w:rPr>
          <w:rFonts w:hint="cs"/>
          <w:rtl/>
        </w:rPr>
        <w:t xml:space="preserve">، </w:t>
      </w:r>
      <w:r w:rsidRPr="005675B2">
        <w:rPr>
          <w:rFonts w:hint="cs"/>
          <w:rtl/>
        </w:rPr>
        <w:t>3 - نقل الباحث عن الأشاعرة قولهم بجواز أن يرى الأعمى وهو بالمشرق البقة وهي بالأندلس</w:t>
      </w:r>
      <w:r w:rsidR="000636C2">
        <w:rPr>
          <w:rFonts w:hint="cs"/>
          <w:rtl/>
        </w:rPr>
        <w:t>،</w:t>
      </w:r>
      <w:r w:rsidRPr="005675B2">
        <w:rPr>
          <w:rFonts w:hint="cs"/>
          <w:rtl/>
        </w:rPr>
        <w:t xml:space="preserve"> ولم يذكر المصدر كما هي عادته</w:t>
      </w:r>
      <w:r w:rsidR="000636C2">
        <w:rPr>
          <w:rFonts w:hint="cs"/>
          <w:rtl/>
        </w:rPr>
        <w:t xml:space="preserve">، </w:t>
      </w:r>
      <w:r w:rsidRPr="005675B2">
        <w:rPr>
          <w:rFonts w:hint="cs"/>
          <w:rtl/>
        </w:rPr>
        <w:t>إذا كان الأشاعرة قد قالوا ذلك فينبغي أن نتأمل المسألة وننظر فيها</w:t>
      </w:r>
      <w:r w:rsidR="000636C2">
        <w:rPr>
          <w:rFonts w:hint="cs"/>
          <w:rtl/>
        </w:rPr>
        <w:t>:</w:t>
      </w:r>
      <w:r w:rsidRPr="005675B2">
        <w:rPr>
          <w:rFonts w:hint="cs"/>
          <w:rtl/>
        </w:rPr>
        <w:t xml:space="preserve"> فهذه قضية</w:t>
      </w:r>
      <w:r w:rsidR="000636C2">
        <w:rPr>
          <w:rFonts w:hint="cs"/>
          <w:rtl/>
        </w:rPr>
        <w:t>،</w:t>
      </w:r>
      <w:r w:rsidRPr="005675B2">
        <w:rPr>
          <w:rFonts w:hint="cs"/>
          <w:rtl/>
        </w:rPr>
        <w:t xml:space="preserve"> والعقل يحكم بالوجوب أو الجواز أو الاستحالة</w:t>
      </w:r>
      <w:r w:rsidR="000636C2">
        <w:rPr>
          <w:rFonts w:hint="cs"/>
          <w:rtl/>
        </w:rPr>
        <w:t>،</w:t>
      </w:r>
      <w:r w:rsidRPr="005675B2">
        <w:rPr>
          <w:rFonts w:hint="cs"/>
          <w:rtl/>
        </w:rPr>
        <w:t xml:space="preserve"> ولاشك في أن حكمه فيها هو الجواز</w:t>
      </w:r>
      <w:r w:rsidR="000636C2">
        <w:rPr>
          <w:rFonts w:hint="cs"/>
          <w:rtl/>
        </w:rPr>
        <w:t>،</w:t>
      </w:r>
      <w:r w:rsidRPr="005675B2">
        <w:rPr>
          <w:rFonts w:hint="cs"/>
          <w:rtl/>
        </w:rPr>
        <w:t xml:space="preserve"> أي إنها ليست واجبة عقلاً</w:t>
      </w:r>
      <w:r w:rsidR="000636C2">
        <w:rPr>
          <w:rFonts w:hint="cs"/>
          <w:rtl/>
        </w:rPr>
        <w:t>،</w:t>
      </w:r>
      <w:r w:rsidRPr="005675B2">
        <w:rPr>
          <w:rFonts w:hint="cs"/>
          <w:rtl/>
        </w:rPr>
        <w:t xml:space="preserve"> وهذا بدهي</w:t>
      </w:r>
      <w:r w:rsidR="000636C2">
        <w:rPr>
          <w:rFonts w:hint="cs"/>
          <w:rtl/>
        </w:rPr>
        <w:t>،</w:t>
      </w:r>
      <w:r w:rsidRPr="005675B2">
        <w:rPr>
          <w:rFonts w:hint="cs"/>
          <w:rtl/>
        </w:rPr>
        <w:t xml:space="preserve"> وليست مستحيلة عقلاً</w:t>
      </w:r>
      <w:r w:rsidR="000636C2">
        <w:rPr>
          <w:rFonts w:hint="cs"/>
          <w:rtl/>
        </w:rPr>
        <w:t>،</w:t>
      </w:r>
      <w:r w:rsidRPr="005675B2">
        <w:rPr>
          <w:rFonts w:hint="cs"/>
          <w:rtl/>
        </w:rPr>
        <w:t xml:space="preserve"> إذ العقل يتصور وقوعها دون أن يلزم من ذلك مناقضة لإحدى القضايا العقلية اليقينية</w:t>
      </w:r>
      <w:r w:rsidR="000636C2">
        <w:rPr>
          <w:rFonts w:hint="cs"/>
          <w:rtl/>
        </w:rPr>
        <w:t>،</w:t>
      </w:r>
      <w:r w:rsidRPr="005675B2">
        <w:rPr>
          <w:rFonts w:hint="cs"/>
          <w:rtl/>
        </w:rPr>
        <w:t xml:space="preserve"> فهي جائزة الوقوع عقلاً</w:t>
      </w:r>
      <w:r w:rsidR="000636C2">
        <w:rPr>
          <w:rFonts w:hint="cs"/>
          <w:rtl/>
        </w:rPr>
        <w:t>،</w:t>
      </w:r>
      <w:r w:rsidRPr="005675B2">
        <w:rPr>
          <w:rFonts w:hint="cs"/>
          <w:rtl/>
        </w:rPr>
        <w:t xml:space="preserve"> ولكن يحكم العقل الإنساني إذا لم يسبق له أن علم وجود ذلك في الواقع بأن هذا مستحيل عادة</w:t>
      </w:r>
      <w:r w:rsidR="000636C2">
        <w:rPr>
          <w:rFonts w:hint="cs"/>
          <w:rtl/>
        </w:rPr>
        <w:t>،</w:t>
      </w:r>
      <w:r w:rsidRPr="005675B2">
        <w:rPr>
          <w:rFonts w:hint="cs"/>
          <w:rtl/>
        </w:rPr>
        <w:t xml:space="preserve"> وشتان بين أن تقول هذا مستحيل عقلاً أو مستحيل عادة</w:t>
      </w:r>
      <w:r w:rsidR="000636C2">
        <w:rPr>
          <w:rFonts w:hint="cs"/>
          <w:rtl/>
        </w:rPr>
        <w:t>،</w:t>
      </w:r>
      <w:r w:rsidRPr="005675B2">
        <w:rPr>
          <w:rFonts w:hint="cs"/>
          <w:rtl/>
        </w:rPr>
        <w:t xml:space="preserve"> ولكن المتسرعين لا يفقهون</w:t>
      </w:r>
      <w:r w:rsidR="000636C2">
        <w:rPr>
          <w:rFonts w:hint="cs"/>
          <w:rtl/>
        </w:rPr>
        <w:t xml:space="preserve">، </w:t>
      </w:r>
      <w:r w:rsidRPr="005675B2">
        <w:rPr>
          <w:rFonts w:hint="cs"/>
          <w:rtl/>
        </w:rPr>
        <w:t>لو وصفت لإنسان جهاز الهاتف أو الهاتف الجوال قبل أن يكون قد عرفه أو سمع به فما الذي يمكن أن يقول</w:t>
      </w:r>
      <w:r w:rsidR="000636C2">
        <w:rPr>
          <w:rFonts w:hint="cs"/>
          <w:rtl/>
        </w:rPr>
        <w:t>؟</w:t>
      </w:r>
      <w:r w:rsidRPr="005675B2">
        <w:rPr>
          <w:rFonts w:hint="cs"/>
          <w:rtl/>
        </w:rPr>
        <w:t xml:space="preserve"> إذا كان من أهل العلم كأن يكون أشعرياً مثلاً فإنه يقول هذا جائز عقلاً مستحيل عادة</w:t>
      </w:r>
      <w:r w:rsidR="000636C2">
        <w:rPr>
          <w:rFonts w:hint="cs"/>
          <w:rtl/>
        </w:rPr>
        <w:t>،</w:t>
      </w:r>
      <w:r w:rsidRPr="005675B2">
        <w:rPr>
          <w:rFonts w:hint="cs"/>
          <w:rtl/>
        </w:rPr>
        <w:t xml:space="preserve"> وإذا كان من المتسرعين فإنه يقول هذا مستحيل والعقل لا يصدق بذلك</w:t>
      </w:r>
      <w:r w:rsidR="000636C2">
        <w:rPr>
          <w:rFonts w:hint="cs"/>
          <w:rtl/>
        </w:rPr>
        <w:t>،</w:t>
      </w:r>
      <w:r w:rsidRPr="005675B2">
        <w:rPr>
          <w:rFonts w:hint="cs"/>
          <w:rtl/>
        </w:rPr>
        <w:t xml:space="preserve"> ثم إذا عرف الجهاز وتحقق من فوائد استخدامه تبين له أنه لا يفهم الأحكام العقلية</w:t>
      </w:r>
      <w:r w:rsidR="000636C2">
        <w:rPr>
          <w:rFonts w:hint="cs"/>
          <w:rtl/>
        </w:rPr>
        <w:t xml:space="preserve">، </w:t>
      </w:r>
      <w:r w:rsidRPr="005675B2">
        <w:rPr>
          <w:rFonts w:hint="cs"/>
          <w:rtl/>
        </w:rPr>
        <w:t>ورؤية رجل أعمى وهو بالمشرق لبقة أو فراشة تطير في الأندلس جائز عقلاً</w:t>
      </w:r>
      <w:r w:rsidR="000636C2">
        <w:rPr>
          <w:rFonts w:hint="cs"/>
          <w:rtl/>
        </w:rPr>
        <w:t>،</w:t>
      </w:r>
      <w:r w:rsidRPr="005675B2">
        <w:rPr>
          <w:rFonts w:hint="cs"/>
          <w:rtl/>
        </w:rPr>
        <w:t xml:space="preserve"> فقد يكشف الله تعالى له عنها ويريه إياها</w:t>
      </w:r>
      <w:r w:rsidR="000636C2">
        <w:rPr>
          <w:rFonts w:hint="cs"/>
          <w:rtl/>
        </w:rPr>
        <w:t>،</w:t>
      </w:r>
      <w:r w:rsidRPr="005675B2">
        <w:rPr>
          <w:rFonts w:hint="cs"/>
          <w:rtl/>
        </w:rPr>
        <w:t xml:space="preserve"> والله تعالى قادر على أن يخلق فيه إبصاراً فيراها</w:t>
      </w:r>
      <w:r w:rsidR="000636C2">
        <w:rPr>
          <w:rFonts w:hint="cs"/>
          <w:rtl/>
        </w:rPr>
        <w:t>،</w:t>
      </w:r>
      <w:r w:rsidRPr="005675B2">
        <w:rPr>
          <w:rFonts w:hint="cs"/>
          <w:rtl/>
        </w:rPr>
        <w:t xml:space="preserve"> وكل ما يمكن أن تتعلق به القدرة الإلهية فهو جائز غير مستحيل</w:t>
      </w:r>
      <w:r w:rsidR="000636C2">
        <w:rPr>
          <w:rFonts w:hint="cs"/>
          <w:rtl/>
        </w:rPr>
        <w:t>،</w:t>
      </w:r>
      <w:r w:rsidRPr="005675B2">
        <w:rPr>
          <w:rFonts w:hint="cs"/>
          <w:rtl/>
        </w:rPr>
        <w:t xml:space="preserve"> لأن القدرة الإلهية تتعلق بالممكنات لا بالمستحيلات</w:t>
      </w:r>
      <w:r w:rsidR="000636C2">
        <w:rPr>
          <w:rFonts w:hint="cs"/>
          <w:rtl/>
        </w:rPr>
        <w:t xml:space="preserve">، </w:t>
      </w:r>
      <w:r w:rsidRPr="005675B2">
        <w:rPr>
          <w:rFonts w:hint="cs"/>
          <w:rtl/>
        </w:rPr>
        <w:t>4 - الأشاعرة يقولون باستحالة الجهة على الله تعالى ويقولون برؤية المؤمنين ربهم في الآخرة</w:t>
      </w:r>
      <w:r w:rsidR="000636C2">
        <w:rPr>
          <w:rFonts w:hint="cs"/>
          <w:rtl/>
        </w:rPr>
        <w:t>،</w:t>
      </w:r>
      <w:r w:rsidRPr="005675B2">
        <w:rPr>
          <w:rFonts w:hint="cs"/>
          <w:rtl/>
        </w:rPr>
        <w:t xml:space="preserve"> وقد يظن بعض المتسرعين أن في هذا تناقضاً</w:t>
      </w:r>
      <w:r w:rsidR="000636C2">
        <w:rPr>
          <w:rFonts w:hint="cs"/>
          <w:rtl/>
        </w:rPr>
        <w:t>،</w:t>
      </w:r>
      <w:r w:rsidRPr="005675B2">
        <w:rPr>
          <w:rFonts w:hint="cs"/>
          <w:rtl/>
        </w:rPr>
        <w:t xml:space="preserve"> وما ذاك إلا لتوهمهم أن الله تعالى جسم</w:t>
      </w:r>
      <w:r w:rsidR="000636C2">
        <w:rPr>
          <w:rFonts w:hint="cs"/>
          <w:rtl/>
        </w:rPr>
        <w:t>،</w:t>
      </w:r>
      <w:r w:rsidRPr="005675B2">
        <w:rPr>
          <w:rFonts w:hint="cs"/>
          <w:rtl/>
        </w:rPr>
        <w:t xml:space="preserve"> ومن المستحيل أن لا يكون الجسم في جهة من الجهات الست بالنسبة إلى جسم آخر</w:t>
      </w:r>
      <w:r w:rsidR="000636C2">
        <w:rPr>
          <w:rFonts w:hint="cs"/>
          <w:rtl/>
        </w:rPr>
        <w:t>،</w:t>
      </w:r>
      <w:r w:rsidRPr="005675B2">
        <w:rPr>
          <w:rFonts w:hint="cs"/>
          <w:rtl/>
        </w:rPr>
        <w:t xml:space="preserve"> وأن يُرى الجسم لا في جهة</w:t>
      </w:r>
      <w:r w:rsidR="000636C2">
        <w:rPr>
          <w:rFonts w:hint="cs"/>
          <w:rtl/>
        </w:rPr>
        <w:t>،</w:t>
      </w:r>
      <w:r w:rsidRPr="005675B2">
        <w:rPr>
          <w:rFonts w:hint="cs"/>
          <w:rtl/>
        </w:rPr>
        <w:t xml:space="preserve"> لكن إذا علمنا أن الله تعالى منزه عن الجسمية ومنزه عن المكان أيقنا باستحالة الجهة عليه سبحانه وتعالى</w:t>
      </w:r>
      <w:r w:rsidR="000636C2">
        <w:rPr>
          <w:rFonts w:hint="cs"/>
          <w:rtl/>
        </w:rPr>
        <w:t>،</w:t>
      </w:r>
      <w:r w:rsidRPr="005675B2">
        <w:rPr>
          <w:rFonts w:hint="cs"/>
          <w:rtl/>
        </w:rPr>
        <w:t xml:space="preserve"> ومن الدليل على ذلك</w:t>
      </w:r>
      <w:r w:rsidR="000636C2">
        <w:rPr>
          <w:rFonts w:hint="cs"/>
          <w:rtl/>
        </w:rPr>
        <w:t>:</w:t>
      </w:r>
      <w:r w:rsidRPr="005675B2">
        <w:rPr>
          <w:rFonts w:hint="cs"/>
          <w:rtl/>
        </w:rPr>
        <w:t xml:space="preserve"> الحديث الصحيح الثابت عن النبي صلى الله عليه وسلم</w:t>
      </w:r>
      <w:r w:rsidR="000636C2">
        <w:rPr>
          <w:rFonts w:hint="cs"/>
          <w:rtl/>
        </w:rPr>
        <w:t>،</w:t>
      </w:r>
      <w:r w:rsidRPr="005675B2">
        <w:rPr>
          <w:rFonts w:hint="cs"/>
          <w:rtl/>
        </w:rPr>
        <w:t xml:space="preserve"> وهو قوله </w:t>
      </w:r>
      <w:r w:rsidR="000636C2">
        <w:rPr>
          <w:rFonts w:hint="cs"/>
          <w:rtl/>
        </w:rPr>
        <w:t>[</w:t>
      </w:r>
      <w:r w:rsidRPr="005675B2">
        <w:rPr>
          <w:rFonts w:hint="cs"/>
          <w:rtl/>
        </w:rPr>
        <w:t>كان الله ولم يكن شيء غيره</w:t>
      </w:r>
      <w:r w:rsidR="000636C2">
        <w:rPr>
          <w:rFonts w:hint="cs"/>
          <w:rtl/>
        </w:rPr>
        <w:t>]،</w:t>
      </w:r>
      <w:r w:rsidRPr="005675B2">
        <w:rPr>
          <w:rFonts w:hint="cs"/>
          <w:rtl/>
        </w:rPr>
        <w:t xml:space="preserve"> فقد كان الله جل وعلا ولا عرش ولا مخلوق</w:t>
      </w:r>
      <w:r w:rsidR="000636C2">
        <w:rPr>
          <w:rFonts w:hint="cs"/>
          <w:rtl/>
        </w:rPr>
        <w:t>،</w:t>
      </w:r>
      <w:r w:rsidRPr="005675B2">
        <w:rPr>
          <w:rFonts w:hint="cs"/>
          <w:rtl/>
        </w:rPr>
        <w:t xml:space="preserve"> كان قبل أن يخلق شيئاً من المخلوقات</w:t>
      </w:r>
      <w:r w:rsidR="000636C2">
        <w:rPr>
          <w:rFonts w:hint="cs"/>
          <w:rtl/>
        </w:rPr>
        <w:t>،</w:t>
      </w:r>
      <w:r w:rsidRPr="005675B2">
        <w:rPr>
          <w:rFonts w:hint="cs"/>
          <w:rtl/>
        </w:rPr>
        <w:t xml:space="preserve"> ولا يقال كيف</w:t>
      </w:r>
      <w:r w:rsidR="000636C2">
        <w:rPr>
          <w:rFonts w:hint="cs"/>
          <w:rtl/>
        </w:rPr>
        <w:t>؟،</w:t>
      </w:r>
      <w:r w:rsidRPr="005675B2">
        <w:rPr>
          <w:rFonts w:hint="cs"/>
          <w:rtl/>
        </w:rPr>
        <w:t xml:space="preserve"> ثم خلق العرش واستوى عليه كما أخبر استواء يليق به</w:t>
      </w:r>
      <w:r w:rsidR="000636C2">
        <w:rPr>
          <w:rFonts w:hint="cs"/>
          <w:rtl/>
        </w:rPr>
        <w:t>،</w:t>
      </w:r>
      <w:r w:rsidRPr="005675B2">
        <w:rPr>
          <w:rFonts w:hint="cs"/>
          <w:rtl/>
        </w:rPr>
        <w:t xml:space="preserve"> ولا يقال كيف</w:t>
      </w:r>
      <w:r w:rsidR="000636C2">
        <w:rPr>
          <w:rFonts w:hint="cs"/>
          <w:rtl/>
        </w:rPr>
        <w:t>؟،</w:t>
      </w:r>
      <w:r w:rsidRPr="005675B2">
        <w:rPr>
          <w:rFonts w:hint="cs"/>
          <w:rtl/>
        </w:rPr>
        <w:t xml:space="preserve"> وإذا كان منزهاً عن المكان وعن الجهة فإنه يُرى كما أخبر لكن لا في جهة</w:t>
      </w:r>
      <w:r w:rsidR="000636C2">
        <w:rPr>
          <w:rFonts w:hint="cs"/>
          <w:rtl/>
        </w:rPr>
        <w:t xml:space="preserve">، </w:t>
      </w:r>
      <w:r w:rsidRPr="005675B2">
        <w:rPr>
          <w:rFonts w:hint="cs"/>
          <w:rtl/>
        </w:rPr>
        <w:t>وعقل الإنسان محدود ولا يمكن أن يحيط معرفة بالله</w:t>
      </w:r>
      <w:r w:rsidR="000636C2">
        <w:rPr>
          <w:rFonts w:hint="cs"/>
          <w:rtl/>
        </w:rPr>
        <w:t>،</w:t>
      </w:r>
      <w:r w:rsidRPr="005675B2">
        <w:rPr>
          <w:rFonts w:hint="cs"/>
          <w:rtl/>
        </w:rPr>
        <w:t xml:space="preserve"> فأنى للعقل القاصر المخلوق أن يحيط بالخالق</w:t>
      </w:r>
      <w:r w:rsidR="000636C2">
        <w:rPr>
          <w:rFonts w:hint="cs"/>
          <w:rtl/>
        </w:rPr>
        <w:t>؟!،</w:t>
      </w:r>
      <w:r w:rsidRPr="005675B2">
        <w:rPr>
          <w:rFonts w:hint="cs"/>
          <w:rtl/>
        </w:rPr>
        <w:t xml:space="preserve"> والأشاعرة الذين يتهمهم الباحث بأنهم لم يعرفوا للعقل منزلته الحقيقية وحدوده الشرعية هم الذين عرفوا حدود العقل</w:t>
      </w:r>
      <w:r w:rsidR="000636C2">
        <w:rPr>
          <w:rFonts w:hint="cs"/>
          <w:rtl/>
        </w:rPr>
        <w:t>،</w:t>
      </w:r>
      <w:r w:rsidRPr="005675B2">
        <w:rPr>
          <w:rFonts w:hint="cs"/>
          <w:rtl/>
        </w:rPr>
        <w:t xml:space="preserve"> وكبحوا جماحه عن الانطلاق أكثر من مداه</w:t>
      </w:r>
      <w:r w:rsidR="000636C2">
        <w:rPr>
          <w:rFonts w:hint="cs"/>
          <w:rtl/>
        </w:rPr>
        <w:t>،</w:t>
      </w:r>
      <w:r w:rsidRPr="005675B2">
        <w:rPr>
          <w:rFonts w:hint="cs"/>
          <w:rtl/>
        </w:rPr>
        <w:t xml:space="preserve"> فلم يسمحوا للعقول أن تقترب من التفكير في الله جل وعلا</w:t>
      </w:r>
      <w:r w:rsidR="000636C2">
        <w:rPr>
          <w:rFonts w:hint="cs"/>
          <w:rtl/>
        </w:rPr>
        <w:t>،</w:t>
      </w:r>
      <w:r w:rsidRPr="005675B2">
        <w:rPr>
          <w:rFonts w:hint="cs"/>
          <w:rtl/>
        </w:rPr>
        <w:t xml:space="preserve"> ووقفوا مع قوله جل شأنه </w:t>
      </w:r>
      <w:r w:rsidR="000636C2">
        <w:rPr>
          <w:rFonts w:hint="cs"/>
          <w:rtl/>
        </w:rPr>
        <w:t>[</w:t>
      </w:r>
      <w:r w:rsidRPr="005675B2">
        <w:rPr>
          <w:rFonts w:hint="cs"/>
          <w:rtl/>
        </w:rPr>
        <w:t>وَيُحَذِّرُكُمُ اللَّهُ نَفْسَهُ</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آل عمران</w:t>
      </w:r>
      <w:r w:rsidR="000636C2">
        <w:rPr>
          <w:rFonts w:hint="cs"/>
          <w:sz w:val="24"/>
          <w:szCs w:val="24"/>
          <w:rtl/>
        </w:rPr>
        <w:t>،</w:t>
      </w:r>
      <w:r w:rsidRPr="005675B2">
        <w:rPr>
          <w:rFonts w:hint="cs"/>
          <w:sz w:val="24"/>
          <w:szCs w:val="24"/>
          <w:rtl/>
        </w:rPr>
        <w:t xml:space="preserve"> الآية 28</w:t>
      </w:r>
      <w:r w:rsidR="000636C2">
        <w:rPr>
          <w:rFonts w:hint="cs"/>
          <w:sz w:val="24"/>
          <w:szCs w:val="24"/>
          <w:rtl/>
        </w:rPr>
        <w:t>،</w:t>
      </w:r>
      <w:r w:rsidRPr="005675B2">
        <w:rPr>
          <w:rFonts w:hint="cs"/>
          <w:sz w:val="24"/>
          <w:szCs w:val="24"/>
          <w:rtl/>
        </w:rPr>
        <w:t xml:space="preserve"> 30</w:t>
      </w:r>
      <w:r w:rsidR="000636C2">
        <w:rPr>
          <w:rFonts w:hint="cs"/>
          <w:sz w:val="24"/>
          <w:szCs w:val="24"/>
          <w:rtl/>
        </w:rPr>
        <w:t>]</w:t>
      </w:r>
      <w:r w:rsidR="000636C2">
        <w:rPr>
          <w:rFonts w:hint="cs"/>
          <w:rtl/>
        </w:rPr>
        <w:t>،</w:t>
      </w:r>
      <w:r w:rsidRPr="005675B2">
        <w:rPr>
          <w:rFonts w:hint="cs"/>
          <w:rtl/>
        </w:rPr>
        <w:t xml:space="preserve"> ولو قال الأشاعرة بالجسمية ونفوا الجهة لكان في هذا تناقض</w:t>
      </w:r>
      <w:r w:rsidR="000636C2">
        <w:rPr>
          <w:rFonts w:hint="cs"/>
          <w:rtl/>
        </w:rPr>
        <w:t>،</w:t>
      </w:r>
      <w:r w:rsidRPr="005675B2">
        <w:rPr>
          <w:rFonts w:hint="cs"/>
          <w:rtl/>
        </w:rPr>
        <w:t xml:space="preserve"> ولو قالوا بالجسمية وأثبتوا الرؤية لا في جهة لكان في هذا تناقض</w:t>
      </w:r>
      <w:r w:rsidR="000636C2">
        <w:rPr>
          <w:rFonts w:hint="cs"/>
          <w:rtl/>
        </w:rPr>
        <w:t>،</w:t>
      </w:r>
      <w:r w:rsidRPr="005675B2">
        <w:rPr>
          <w:rFonts w:hint="cs"/>
          <w:rtl/>
        </w:rPr>
        <w:t xml:space="preserve"> لكن حيث إنهم نزهوا المولى تعالى عن الجسمية فأين التناقض</w:t>
      </w:r>
      <w:r w:rsidR="000636C2">
        <w:rPr>
          <w:rFonts w:hint="cs"/>
          <w:rtl/>
        </w:rPr>
        <w:t xml:space="preserve">؟، </w:t>
      </w:r>
      <w:r w:rsidRPr="005675B2">
        <w:rPr>
          <w:rFonts w:hint="cs"/>
          <w:rtl/>
        </w:rPr>
        <w:t>5 - الأشاعرة يقولون إن الله تعالى موجود وهو لا داخل العالم ولا خارجه</w:t>
      </w:r>
      <w:r w:rsidR="000636C2">
        <w:rPr>
          <w:rFonts w:hint="cs"/>
          <w:rtl/>
        </w:rPr>
        <w:t>،</w:t>
      </w:r>
      <w:r w:rsidRPr="005675B2">
        <w:rPr>
          <w:rFonts w:hint="cs"/>
          <w:rtl/>
        </w:rPr>
        <w:t xml:space="preserve"> ولا فوقه ولا تحته</w:t>
      </w:r>
      <w:r w:rsidR="000636C2">
        <w:rPr>
          <w:rFonts w:hint="cs"/>
          <w:rtl/>
        </w:rPr>
        <w:t>،</w:t>
      </w:r>
      <w:r w:rsidRPr="005675B2">
        <w:rPr>
          <w:rFonts w:hint="cs"/>
          <w:rtl/>
        </w:rPr>
        <w:t xml:space="preserve"> ولا عن يمينه ولا عن شماله</w:t>
      </w:r>
      <w:r w:rsidR="000636C2">
        <w:rPr>
          <w:rFonts w:hint="cs"/>
          <w:rtl/>
        </w:rPr>
        <w:t>،</w:t>
      </w:r>
      <w:r w:rsidRPr="005675B2">
        <w:rPr>
          <w:rFonts w:hint="cs"/>
          <w:rtl/>
        </w:rPr>
        <w:t xml:space="preserve"> لأنه منَّـزه عن الجسمية</w:t>
      </w:r>
      <w:r w:rsidR="000636C2">
        <w:rPr>
          <w:rFonts w:hint="cs"/>
          <w:rtl/>
        </w:rPr>
        <w:t>،</w:t>
      </w:r>
      <w:r w:rsidRPr="005675B2">
        <w:rPr>
          <w:rFonts w:hint="cs"/>
          <w:rtl/>
        </w:rPr>
        <w:t xml:space="preserve"> فأين التناقض</w:t>
      </w:r>
      <w:r w:rsidR="000636C2">
        <w:rPr>
          <w:rFonts w:hint="cs"/>
          <w:rtl/>
        </w:rPr>
        <w:t>؟!</w:t>
      </w:r>
      <w:r w:rsidRPr="005675B2">
        <w:rPr>
          <w:rFonts w:hint="cs"/>
          <w:rtl/>
        </w:rPr>
        <w:t> لو قلت إنه جسم ونفيت عنه أن يكون فوق أو تحت أو أمام أو خلف أو عن يمين أو شمال لكان هذا تناقضاً</w:t>
      </w:r>
      <w:r w:rsidR="000636C2">
        <w:rPr>
          <w:rFonts w:hint="cs"/>
          <w:rtl/>
        </w:rPr>
        <w:t>،</w:t>
      </w:r>
      <w:r w:rsidRPr="005675B2">
        <w:rPr>
          <w:rFonts w:hint="cs"/>
          <w:rtl/>
        </w:rPr>
        <w:t xml:space="preserve"> فالجسم لا بد أن يكون في إحدى الجهات الست بالنسبة إلى أي جسم آخر</w:t>
      </w:r>
      <w:r w:rsidR="000636C2">
        <w:rPr>
          <w:rFonts w:hint="cs"/>
          <w:rtl/>
        </w:rPr>
        <w:t>،</w:t>
      </w:r>
      <w:r w:rsidRPr="005675B2">
        <w:rPr>
          <w:rFonts w:hint="cs"/>
          <w:rtl/>
        </w:rPr>
        <w:t xml:space="preserve"> أما الله جل وعلا فهو منزه عن الجسمية</w:t>
      </w:r>
      <w:r w:rsidR="000636C2">
        <w:rPr>
          <w:rFonts w:hint="cs"/>
          <w:rtl/>
        </w:rPr>
        <w:t>،</w:t>
      </w:r>
      <w:r w:rsidRPr="005675B2">
        <w:rPr>
          <w:rFonts w:hint="cs"/>
          <w:rtl/>
        </w:rPr>
        <w:t xml:space="preserve"> فلا بد أن يكون منزهاً عن الجهات .. ورحمة الله تعالى على الإمام الطحاوي الذي قال في العقيدة عن الله تبارك وتعالى </w:t>
      </w:r>
      <w:r w:rsidR="000636C2">
        <w:rPr>
          <w:rFonts w:hint="cs"/>
          <w:rtl/>
        </w:rPr>
        <w:t>[</w:t>
      </w:r>
      <w:r w:rsidRPr="005675B2">
        <w:rPr>
          <w:rFonts w:hint="cs"/>
          <w:rtl/>
        </w:rPr>
        <w:t>لا تحويه الجهات الست كسائر المبتدعات</w:t>
      </w:r>
      <w:r w:rsidR="000636C2">
        <w:rPr>
          <w:rFonts w:hint="cs"/>
          <w:rtl/>
        </w:rPr>
        <w:t>]،</w:t>
      </w:r>
      <w:r w:rsidRPr="005675B2">
        <w:rPr>
          <w:rFonts w:hint="cs"/>
          <w:rtl/>
        </w:rPr>
        <w:t xml:space="preserve"> وبنحو قول الأشاعرة جاء كلام شيخ الحنابلة القاضي أبي يعلى مؤكداً لما ذهبوا إليه</w:t>
      </w:r>
      <w:r w:rsidR="000636C2">
        <w:rPr>
          <w:rFonts w:hint="cs"/>
          <w:rtl/>
        </w:rPr>
        <w:t>،</w:t>
      </w:r>
      <w:r w:rsidRPr="005675B2">
        <w:rPr>
          <w:rFonts w:hint="cs"/>
          <w:rtl/>
        </w:rPr>
        <w:t xml:space="preserve"> وذلك إذ يقول في حق الله تعالى</w:t>
      </w:r>
      <w:r w:rsidR="000636C2">
        <w:rPr>
          <w:rFonts w:hint="cs"/>
          <w:rtl/>
        </w:rPr>
        <w:t>:</w:t>
      </w:r>
      <w:r w:rsidRPr="005675B2">
        <w:rPr>
          <w:rFonts w:hint="cs"/>
          <w:rtl/>
        </w:rPr>
        <w:t xml:space="preserve"> </w:t>
      </w:r>
      <w:r w:rsidR="000636C2">
        <w:rPr>
          <w:rFonts w:hint="cs"/>
          <w:rtl/>
        </w:rPr>
        <w:t>[</w:t>
      </w:r>
      <w:r w:rsidRPr="005675B2">
        <w:rPr>
          <w:rFonts w:hint="cs"/>
          <w:rtl/>
        </w:rPr>
        <w:t>كما جازت رؤيته لا في جهة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المعتمد في أصول الدين للقاضي أبي يعلى: ص 55</w:t>
      </w:r>
      <w:r w:rsidR="000636C2">
        <w:rPr>
          <w:rFonts w:hint="cs"/>
          <w:sz w:val="24"/>
          <w:szCs w:val="24"/>
          <w:rtl/>
        </w:rPr>
        <w:t>]</w:t>
      </w:r>
      <w:r w:rsidR="000636C2">
        <w:rPr>
          <w:rFonts w:hint="cs"/>
          <w:rtl/>
        </w:rPr>
        <w:t>،</w:t>
      </w:r>
      <w:r w:rsidRPr="005675B2">
        <w:rPr>
          <w:rFonts w:hint="cs"/>
          <w:rtl/>
        </w:rPr>
        <w:t xml:space="preserve"> ويقول الإمام البيهقي رحمه الله</w:t>
      </w:r>
      <w:r w:rsidR="000636C2">
        <w:rPr>
          <w:rFonts w:hint="cs"/>
          <w:rtl/>
        </w:rPr>
        <w:t>:</w:t>
      </w:r>
      <w:r w:rsidRPr="005675B2">
        <w:rPr>
          <w:rFonts w:hint="cs"/>
          <w:rtl/>
        </w:rPr>
        <w:t xml:space="preserve"> </w:t>
      </w:r>
      <w:r w:rsidR="000636C2">
        <w:rPr>
          <w:rFonts w:hint="cs"/>
          <w:rtl/>
        </w:rPr>
        <w:t>[</w:t>
      </w:r>
      <w:r w:rsidRPr="005675B2">
        <w:rPr>
          <w:rFonts w:hint="cs"/>
          <w:rtl/>
        </w:rPr>
        <w:t>فإنه عز وجل يرى لا في جهة</w:t>
      </w:r>
      <w:r w:rsidR="000636C2">
        <w:rPr>
          <w:rFonts w:hint="cs"/>
          <w:rtl/>
        </w:rPr>
        <w:t xml:space="preserve">] </w:t>
      </w:r>
      <w:r w:rsidRPr="005675B2">
        <w:rPr>
          <w:rFonts w:hint="cs"/>
          <w:rtl/>
        </w:rPr>
        <w:t>[</w:t>
      </w:r>
      <w:r w:rsidRPr="005675B2">
        <w:rPr>
          <w:rFonts w:hint="cs"/>
          <w:sz w:val="24"/>
          <w:szCs w:val="24"/>
          <w:rtl/>
        </w:rPr>
        <w:t>الاعتقاد للإمام البيهقي: ص 64</w:t>
      </w:r>
      <w:r w:rsidR="000636C2">
        <w:rPr>
          <w:rFonts w:hint="cs"/>
          <w:sz w:val="24"/>
          <w:szCs w:val="24"/>
          <w:rtl/>
        </w:rPr>
        <w:t>]</w:t>
      </w:r>
      <w:r w:rsidR="000636C2">
        <w:rPr>
          <w:rFonts w:hint="cs"/>
          <w:rtl/>
        </w:rPr>
        <w:t xml:space="preserve">، </w:t>
      </w:r>
      <w:r w:rsidRPr="005675B2">
        <w:rPr>
          <w:rFonts w:hint="cs"/>
          <w:rtl/>
        </w:rPr>
        <w:t>6 - قول الأشاعرة بأن من لم يبلغه الشرع غير مؤاخذ مع قولهم إن على كل مكلف وإن كان مولوداً من أبوين مسلمين أن يؤمن بالله تعالى إيماناً مبنياً على دليل</w:t>
      </w:r>
      <w:r w:rsidR="000636C2">
        <w:rPr>
          <w:rFonts w:hint="cs"/>
          <w:rtl/>
        </w:rPr>
        <w:t>:</w:t>
      </w:r>
      <w:r w:rsidRPr="005675B2">
        <w:rPr>
          <w:rFonts w:hint="cs"/>
          <w:rtl/>
        </w:rPr>
        <w:t xml:space="preserve"> ليس فيه تناقض</w:t>
      </w:r>
      <w:r w:rsidR="000636C2">
        <w:rPr>
          <w:rFonts w:hint="cs"/>
          <w:rtl/>
        </w:rPr>
        <w:t>،</w:t>
      </w:r>
      <w:r w:rsidRPr="005675B2">
        <w:rPr>
          <w:rFonts w:hint="cs"/>
          <w:rtl/>
        </w:rPr>
        <w:t xml:space="preserve"> فأما من لم يبلغه الشرع فغير مؤاخذ</w:t>
      </w:r>
      <w:r w:rsidR="000636C2">
        <w:rPr>
          <w:rFonts w:hint="cs"/>
          <w:rtl/>
        </w:rPr>
        <w:t>،</w:t>
      </w:r>
      <w:r w:rsidRPr="005675B2">
        <w:rPr>
          <w:rFonts w:hint="cs"/>
          <w:rtl/>
        </w:rPr>
        <w:t xml:space="preserve"> لقول الله تعالى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الإسراء</w:t>
      </w:r>
      <w:r w:rsidR="000636C2">
        <w:rPr>
          <w:rFonts w:hint="cs"/>
          <w:sz w:val="24"/>
          <w:szCs w:val="24"/>
          <w:rtl/>
        </w:rPr>
        <w:t>،</w:t>
      </w:r>
      <w:r w:rsidRPr="005675B2">
        <w:rPr>
          <w:rFonts w:hint="cs"/>
          <w:sz w:val="24"/>
          <w:szCs w:val="24"/>
          <w:rtl/>
        </w:rPr>
        <w:t xml:space="preserve"> الآية 15</w:t>
      </w:r>
      <w:r w:rsidR="000636C2">
        <w:rPr>
          <w:rFonts w:hint="cs"/>
          <w:sz w:val="24"/>
          <w:szCs w:val="24"/>
          <w:rtl/>
        </w:rPr>
        <w:t>]</w:t>
      </w:r>
      <w:r w:rsidR="000636C2">
        <w:rPr>
          <w:rFonts w:hint="cs"/>
          <w:rtl/>
        </w:rPr>
        <w:t>،</w:t>
      </w:r>
      <w:r w:rsidRPr="005675B2">
        <w:rPr>
          <w:rFonts w:hint="cs"/>
          <w:rtl/>
        </w:rPr>
        <w:t xml:space="preserve"> ولقوله تعالى </w:t>
      </w:r>
      <w:r w:rsidR="000636C2">
        <w:rPr>
          <w:rFonts w:hint="cs"/>
          <w:rtl/>
        </w:rPr>
        <w:t>[</w:t>
      </w:r>
      <w:r w:rsidRPr="005675B2">
        <w:rPr>
          <w:rFonts w:hint="cs"/>
          <w:rtl/>
        </w:rPr>
        <w:t>رُسُلاً مُبَشِّرِينَ وَمُنْذِرِينَ لِئَلا يَكُونَ لِلنَّاسِ عَلَى اللَّهِ حُجَّةٌ بَعْدَ الرُّسُلِ</w:t>
      </w:r>
      <w:r w:rsidR="000636C2">
        <w:rPr>
          <w:rFonts w:hint="cs"/>
          <w:rtl/>
        </w:rPr>
        <w:t>]</w:t>
      </w:r>
      <w:r w:rsidRPr="005675B2">
        <w:rPr>
          <w:rFonts w:hint="cs"/>
          <w:rtl/>
        </w:rPr>
        <w:t xml:space="preserve"> [</w:t>
      </w:r>
      <w:r w:rsidRPr="005675B2">
        <w:rPr>
          <w:rFonts w:hint="cs"/>
          <w:sz w:val="24"/>
          <w:szCs w:val="24"/>
          <w:rtl/>
        </w:rPr>
        <w:t>سورة النساء</w:t>
      </w:r>
      <w:r w:rsidR="000636C2">
        <w:rPr>
          <w:rFonts w:hint="cs"/>
          <w:sz w:val="24"/>
          <w:szCs w:val="24"/>
          <w:rtl/>
        </w:rPr>
        <w:t>،</w:t>
      </w:r>
      <w:r w:rsidRPr="005675B2">
        <w:rPr>
          <w:rFonts w:hint="cs"/>
          <w:sz w:val="24"/>
          <w:szCs w:val="24"/>
          <w:rtl/>
        </w:rPr>
        <w:t xml:space="preserve"> الآية 165</w:t>
      </w:r>
      <w:r w:rsidR="000636C2">
        <w:rPr>
          <w:rFonts w:hint="cs"/>
          <w:sz w:val="24"/>
          <w:szCs w:val="24"/>
          <w:rtl/>
        </w:rPr>
        <w:t>]</w:t>
      </w:r>
      <w:r w:rsidRPr="005675B2">
        <w:rPr>
          <w:rFonts w:hint="cs"/>
          <w:rtl/>
        </w:rPr>
        <w:t>، وأما وجوب الإيمان على كل مكلف إيماناً مبنياً على دليل فلأن الله تعالى ذم التقليد في العقائد</w:t>
      </w:r>
      <w:r w:rsidR="000636C2">
        <w:rPr>
          <w:rFonts w:hint="cs"/>
          <w:rtl/>
        </w:rPr>
        <w:t>،</w:t>
      </w:r>
      <w:r w:rsidRPr="005675B2">
        <w:rPr>
          <w:rFonts w:hint="cs"/>
          <w:rtl/>
        </w:rPr>
        <w:t xml:space="preserve"> فقال سبحانه </w:t>
      </w:r>
      <w:r w:rsidR="000636C2">
        <w:rPr>
          <w:rFonts w:hint="cs"/>
          <w:rtl/>
        </w:rPr>
        <w:t>[</w:t>
      </w:r>
      <w:r w:rsidRPr="005675B2">
        <w:rPr>
          <w:rFonts w:hint="cs"/>
          <w:rtl/>
        </w:rPr>
        <w:t>بَلْ قَالُوا إِنَّا وَجَدْنَا آبَاءَنَا عَلَى أُمَّةٍ وَإِنَّا عَلَى آثَارِهِمْ مُهْتَدُونَ</w:t>
      </w:r>
      <w:r w:rsidR="000636C2">
        <w:rPr>
          <w:rFonts w:hint="cs"/>
          <w:rtl/>
        </w:rPr>
        <w:t>]</w:t>
      </w:r>
      <w:r w:rsidRPr="005675B2">
        <w:rPr>
          <w:rFonts w:hint="cs"/>
          <w:rtl/>
        </w:rPr>
        <w:t xml:space="preserve"> [</w:t>
      </w:r>
      <w:r w:rsidRPr="005675B2">
        <w:rPr>
          <w:rFonts w:hint="cs"/>
          <w:sz w:val="24"/>
          <w:szCs w:val="24"/>
          <w:rtl/>
        </w:rPr>
        <w:t>سورة الزخرف</w:t>
      </w:r>
      <w:r w:rsidR="000636C2">
        <w:rPr>
          <w:rFonts w:hint="cs"/>
          <w:sz w:val="24"/>
          <w:szCs w:val="24"/>
          <w:rtl/>
        </w:rPr>
        <w:t>،</w:t>
      </w:r>
      <w:r w:rsidRPr="005675B2">
        <w:rPr>
          <w:rFonts w:hint="cs"/>
          <w:sz w:val="24"/>
          <w:szCs w:val="24"/>
          <w:rtl/>
        </w:rPr>
        <w:t xml:space="preserve"> الآية 22</w:t>
      </w:r>
      <w:r w:rsidR="000636C2">
        <w:rPr>
          <w:rFonts w:hint="cs"/>
          <w:sz w:val="24"/>
          <w:szCs w:val="24"/>
          <w:rtl/>
        </w:rPr>
        <w:t>]</w:t>
      </w:r>
      <w:r w:rsidR="000636C2">
        <w:rPr>
          <w:rFonts w:hint="cs"/>
          <w:rtl/>
        </w:rPr>
        <w:t>،</w:t>
      </w:r>
      <w:r w:rsidRPr="005675B2">
        <w:rPr>
          <w:rFonts w:hint="cs"/>
          <w:rtl/>
        </w:rPr>
        <w:t xml:space="preserve"> فهل يذكر الله تعالى التقليد في العقائد في معرض الذم ويعيبه على أمم من المقلدين ثم يقبله من غيرهم</w:t>
      </w:r>
      <w:r w:rsidR="000636C2">
        <w:rPr>
          <w:rFonts w:hint="cs"/>
          <w:rtl/>
        </w:rPr>
        <w:t>؟!</w:t>
      </w:r>
      <w:r w:rsidRPr="005675B2">
        <w:rPr>
          <w:rFonts w:hint="cs"/>
          <w:rtl/>
        </w:rPr>
        <w:t>! هذا محال</w:t>
      </w:r>
      <w:r w:rsidR="000636C2">
        <w:rPr>
          <w:rFonts w:hint="cs"/>
          <w:rtl/>
        </w:rPr>
        <w:t>،</w:t>
      </w:r>
      <w:r w:rsidRPr="005675B2">
        <w:rPr>
          <w:rFonts w:hint="cs"/>
          <w:rtl/>
        </w:rPr>
        <w:t xml:space="preserve"> ولكن الدليل على الله تعالى ليس محصوراً في الاستدلال على حدوث العالم وأن لكل محدَث محدِثاً أحدثه</w:t>
      </w:r>
      <w:r w:rsidR="000636C2">
        <w:rPr>
          <w:rFonts w:hint="cs"/>
          <w:rtl/>
        </w:rPr>
        <w:t>،</w:t>
      </w:r>
      <w:r w:rsidRPr="005675B2">
        <w:rPr>
          <w:rFonts w:hint="cs"/>
          <w:rtl/>
        </w:rPr>
        <w:t xml:space="preserve"> بل الأدلة على الله سبحانه وتعالى كثيرة</w:t>
      </w:r>
      <w:r w:rsidR="000636C2">
        <w:rPr>
          <w:rFonts w:hint="cs"/>
          <w:rtl/>
        </w:rPr>
        <w:t>،</w:t>
      </w:r>
      <w:r w:rsidRPr="005675B2">
        <w:rPr>
          <w:rFonts w:hint="cs"/>
          <w:rtl/>
        </w:rPr>
        <w:t xml:space="preserve"> مبثوثة في الآفاق والأنفس</w:t>
      </w:r>
      <w:r w:rsidR="000636C2">
        <w:rPr>
          <w:rFonts w:hint="cs"/>
          <w:rtl/>
        </w:rPr>
        <w:t>،</w:t>
      </w:r>
      <w:r w:rsidRPr="005675B2">
        <w:rPr>
          <w:rFonts w:hint="cs"/>
          <w:rtl/>
        </w:rPr>
        <w:t xml:space="preserve"> كما ذكره محققو الأشاعرة</w:t>
      </w:r>
      <w:r w:rsidR="000636C2">
        <w:rPr>
          <w:rFonts w:hint="cs"/>
          <w:rtl/>
        </w:rPr>
        <w:t>،</w:t>
      </w:r>
    </w:p>
    <w:p w14:paraId="7529E36C" w14:textId="7A6A263A"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w:t>
      </w:r>
      <w:r w:rsidR="000636C2">
        <w:rPr>
          <w:rFonts w:hint="cs"/>
          <w:rtl/>
        </w:rPr>
        <w:t>[</w:t>
      </w:r>
      <w:r w:rsidRPr="005675B2">
        <w:rPr>
          <w:rFonts w:hint="cs"/>
          <w:rtl/>
        </w:rPr>
        <w:t>وهناك قضية بالغة الخطورة</w:t>
      </w:r>
      <w:r w:rsidR="000636C2">
        <w:rPr>
          <w:rFonts w:hint="cs"/>
          <w:rtl/>
        </w:rPr>
        <w:t>،</w:t>
      </w:r>
      <w:r w:rsidRPr="005675B2">
        <w:rPr>
          <w:rFonts w:hint="cs"/>
          <w:rtl/>
        </w:rPr>
        <w:t xml:space="preserve"> لا سيما في هذا العصر</w:t>
      </w:r>
      <w:r w:rsidR="000636C2">
        <w:rPr>
          <w:rFonts w:hint="cs"/>
          <w:rtl/>
        </w:rPr>
        <w:t>،</w:t>
      </w:r>
      <w:r w:rsidRPr="005675B2">
        <w:rPr>
          <w:rFonts w:hint="cs"/>
          <w:rtl/>
        </w:rPr>
        <w:t xml:space="preserve"> وهي الأخطاء العلمية عن الكون التي تمتلئ بها كتب الأشاعرة</w:t>
      </w:r>
      <w:r w:rsidR="000636C2">
        <w:rPr>
          <w:rFonts w:hint="cs"/>
          <w:rtl/>
        </w:rPr>
        <w:t>،</w:t>
      </w:r>
      <w:r w:rsidRPr="005675B2">
        <w:rPr>
          <w:rFonts w:hint="cs"/>
          <w:rtl/>
        </w:rPr>
        <w:t xml:space="preserve"> </w:t>
      </w:r>
      <w:r w:rsidRPr="005675B2">
        <w:t>…</w:t>
      </w:r>
      <w:r w:rsidRPr="005675B2">
        <w:rPr>
          <w:rFonts w:hint="cs"/>
          <w:rtl/>
        </w:rPr>
        <w:t xml:space="preserve"> ومن ذلك قول البغدادي إن أهل السنة أجمعوا على وقوف الأرض وسكونها</w:t>
      </w:r>
      <w:r w:rsidR="000636C2">
        <w:rPr>
          <w:rFonts w:hint="cs"/>
          <w:rtl/>
        </w:rPr>
        <w:t>،</w:t>
      </w:r>
      <w:r w:rsidRPr="005675B2">
        <w:rPr>
          <w:rFonts w:hint="cs"/>
          <w:rtl/>
        </w:rPr>
        <w:t xml:space="preserve"> </w:t>
      </w:r>
      <w:r w:rsidRPr="005675B2">
        <w:t>…</w:t>
      </w:r>
      <w:r w:rsidRPr="005675B2">
        <w:rPr>
          <w:rFonts w:hint="cs"/>
          <w:rtl/>
        </w:rPr>
        <w:t xml:space="preserve"> ومثله صاحب المواقف الذي أكد أنها مبسوطة وأن القول بأنها كرة من زعم الفلاسفة</w:t>
      </w:r>
      <w:r w:rsidR="000636C2">
        <w:rPr>
          <w:rFonts w:hint="cs"/>
          <w:rtl/>
        </w:rPr>
        <w:t>]،</w:t>
      </w:r>
    </w:p>
    <w:p w14:paraId="6306AEE7" w14:textId="2B460642"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نعم</w:t>
      </w:r>
      <w:r w:rsidR="000636C2">
        <w:rPr>
          <w:rFonts w:hint="cs"/>
          <w:rtl/>
        </w:rPr>
        <w:t>،</w:t>
      </w:r>
      <w:r w:rsidRPr="005675B2">
        <w:rPr>
          <w:rFonts w:hint="cs"/>
          <w:rtl/>
        </w:rPr>
        <w:t xml:space="preserve"> لقد قال أبو منصور البغدادي بوقوف الأرض وسكونها</w:t>
      </w:r>
      <w:r w:rsidR="000636C2">
        <w:rPr>
          <w:rFonts w:hint="cs"/>
          <w:rtl/>
        </w:rPr>
        <w:t>،</w:t>
      </w:r>
      <w:r w:rsidRPr="005675B2">
        <w:rPr>
          <w:rFonts w:hint="cs"/>
          <w:rtl/>
        </w:rPr>
        <w:t xml:space="preserve"> وقال عدد من العلماء نحواً من هذا</w:t>
      </w:r>
      <w:r w:rsidR="000636C2">
        <w:rPr>
          <w:rFonts w:hint="cs"/>
          <w:rtl/>
        </w:rPr>
        <w:t>،</w:t>
      </w:r>
      <w:r w:rsidRPr="005675B2">
        <w:rPr>
          <w:rFonts w:hint="cs"/>
          <w:rtl/>
        </w:rPr>
        <w:t xml:space="preserve"> منهم الإيجي وغيره</w:t>
      </w:r>
      <w:r w:rsidR="000636C2">
        <w:rPr>
          <w:rFonts w:hint="cs"/>
          <w:rtl/>
        </w:rPr>
        <w:t>،</w:t>
      </w:r>
      <w:r w:rsidRPr="005675B2">
        <w:rPr>
          <w:rFonts w:hint="cs"/>
          <w:rtl/>
        </w:rPr>
        <w:t xml:space="preserve"> وأضاف أبو منصور البغدادي أن أهل السنة أجمعوا على هذا</w:t>
      </w:r>
      <w:r w:rsidR="000636C2">
        <w:rPr>
          <w:rFonts w:hint="cs"/>
          <w:rtl/>
        </w:rPr>
        <w:t>!،</w:t>
      </w:r>
      <w:r w:rsidRPr="005675B2">
        <w:rPr>
          <w:rFonts w:hint="cs"/>
          <w:rtl/>
        </w:rPr>
        <w:t xml:space="preserve"> وهذا خطأ جسيم</w:t>
      </w:r>
      <w:r w:rsidR="000636C2">
        <w:rPr>
          <w:rFonts w:hint="cs"/>
          <w:rtl/>
        </w:rPr>
        <w:t>،</w:t>
      </w:r>
      <w:r w:rsidRPr="005675B2">
        <w:rPr>
          <w:rFonts w:hint="cs"/>
          <w:rtl/>
        </w:rPr>
        <w:t xml:space="preserve"> وتسرع كبير</w:t>
      </w:r>
      <w:r w:rsidR="000636C2">
        <w:rPr>
          <w:rFonts w:hint="cs"/>
          <w:rtl/>
        </w:rPr>
        <w:t>،</w:t>
      </w:r>
      <w:r w:rsidRPr="005675B2">
        <w:rPr>
          <w:rFonts w:hint="cs"/>
          <w:rtl/>
        </w:rPr>
        <w:t xml:space="preserve"> ولكن هل كل العلماء قالوا ذلك</w:t>
      </w:r>
      <w:r w:rsidR="000636C2">
        <w:rPr>
          <w:rFonts w:hint="cs"/>
          <w:rtl/>
        </w:rPr>
        <w:t>؟،</w:t>
      </w:r>
      <w:r w:rsidRPr="005675B2">
        <w:rPr>
          <w:rFonts w:hint="cs"/>
          <w:rtl/>
        </w:rPr>
        <w:t xml:space="preserve"> قال ياقوت الحموي في هذه المسألة</w:t>
      </w:r>
      <w:r w:rsidR="000636C2">
        <w:rPr>
          <w:rFonts w:hint="cs"/>
          <w:rtl/>
        </w:rPr>
        <w:t>:</w:t>
      </w:r>
      <w:r w:rsidRPr="005675B2">
        <w:rPr>
          <w:rFonts w:hint="cs"/>
          <w:rtl/>
        </w:rPr>
        <w:t xml:space="preserve"> </w:t>
      </w:r>
      <w:r w:rsidR="000636C2">
        <w:rPr>
          <w:rFonts w:hint="cs"/>
          <w:rtl/>
        </w:rPr>
        <w:t>[</w:t>
      </w:r>
      <w:r w:rsidRPr="005675B2">
        <w:rPr>
          <w:rFonts w:hint="cs"/>
          <w:rtl/>
        </w:rPr>
        <w:t>وأما المتكلمون فمختلفون أيضاً</w:t>
      </w:r>
      <w:r w:rsidR="000636C2">
        <w:rPr>
          <w:rFonts w:hint="cs"/>
          <w:rtl/>
        </w:rPr>
        <w:t>،</w:t>
      </w:r>
      <w:r w:rsidRPr="005675B2">
        <w:t>…</w:t>
      </w:r>
      <w:r w:rsidRPr="005675B2">
        <w:rPr>
          <w:rFonts w:hint="cs"/>
          <w:rtl/>
        </w:rPr>
        <w:t xml:space="preserve"> والذي عليه جماهيرهم أن الأرض مدورة كتدوير الكرة</w:t>
      </w:r>
      <w:r w:rsidR="000636C2">
        <w:rPr>
          <w:rFonts w:hint="cs"/>
          <w:rtl/>
        </w:rPr>
        <w:t>]</w:t>
      </w:r>
      <w:r w:rsidRPr="005675B2">
        <w:rPr>
          <w:rFonts w:hint="cs"/>
          <w:rtl/>
        </w:rPr>
        <w:t xml:space="preserve"> </w:t>
      </w:r>
      <w:r w:rsidR="000636C2">
        <w:rPr>
          <w:rFonts w:hint="cs"/>
          <w:rtl/>
        </w:rPr>
        <w:t>[</w:t>
      </w:r>
      <w:r w:rsidRPr="005675B2">
        <w:rPr>
          <w:rFonts w:hint="cs"/>
          <w:sz w:val="24"/>
          <w:szCs w:val="24"/>
          <w:rtl/>
        </w:rPr>
        <w:t>معجم البلدان لياقوت الحموي: 1/ 16ـ17 . استقبال القبلة وتحديد سمتها في المناطق البعيدة عنها لصلاح الدين ابن أحمد الإدلبي: ص 10ـ11</w:t>
      </w:r>
      <w:r w:rsidR="000636C2">
        <w:rPr>
          <w:rFonts w:hint="cs"/>
          <w:sz w:val="24"/>
          <w:szCs w:val="24"/>
          <w:rtl/>
        </w:rPr>
        <w:t>]</w:t>
      </w:r>
      <w:r w:rsidR="000636C2">
        <w:rPr>
          <w:rFonts w:hint="cs"/>
          <w:rtl/>
        </w:rPr>
        <w:t>،</w:t>
      </w:r>
      <w:r w:rsidRPr="005675B2">
        <w:rPr>
          <w:rFonts w:hint="cs"/>
          <w:rtl/>
        </w:rPr>
        <w:t xml:space="preserve"> إذا أخطأ الأشاعرة في عدد من المسائل المتعلقة بالكون فقد أصابوا في مسائل أخرى كثيرة</w:t>
      </w:r>
      <w:r w:rsidR="000636C2">
        <w:rPr>
          <w:rFonts w:hint="cs"/>
          <w:rtl/>
        </w:rPr>
        <w:t>،</w:t>
      </w:r>
      <w:r w:rsidRPr="005675B2">
        <w:rPr>
          <w:rFonts w:hint="cs"/>
          <w:rtl/>
        </w:rPr>
        <w:t xml:space="preserve"> وإذا كنت في معرض تقويم فكر الأشاعرة في المسائل العلمية الكونية فليس من العدل التحدث عن جانب الخطأ دون الإشارة إلى جانب الصواب</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w:t>
      </w:r>
      <w:r w:rsidR="000636C2">
        <w:rPr>
          <w:rFonts w:hint="cs"/>
          <w:rtl/>
        </w:rPr>
        <w:t>[</w:t>
      </w:r>
      <w:r w:rsidRPr="005675B2">
        <w:rPr>
          <w:rFonts w:hint="cs"/>
          <w:rtl/>
        </w:rPr>
        <w:t>وَلا يَجْرِمَنَّكُمْ شَنَآنُ قَوْمٍ عَلَى أَلَّا تَعْدِلُوا اعْدِلُوا هُوَ أَقْرَبُ لِلتَّقْوَى</w:t>
      </w:r>
      <w:r w:rsidR="000636C2">
        <w:rPr>
          <w:rFonts w:hint="cs"/>
          <w:rtl/>
        </w:rPr>
        <w:t>]</w:t>
      </w:r>
      <w:r w:rsidRPr="005675B2">
        <w:rPr>
          <w:rFonts w:hint="cs"/>
          <w:rtl/>
        </w:rPr>
        <w:t xml:space="preserve"> [</w:t>
      </w:r>
      <w:r w:rsidRPr="005675B2">
        <w:rPr>
          <w:rFonts w:hint="cs"/>
          <w:sz w:val="24"/>
          <w:szCs w:val="24"/>
          <w:rtl/>
        </w:rPr>
        <w:t>سورة المائدة</w:t>
      </w:r>
      <w:r w:rsidR="000636C2">
        <w:rPr>
          <w:rFonts w:hint="cs"/>
          <w:sz w:val="24"/>
          <w:szCs w:val="24"/>
          <w:rtl/>
        </w:rPr>
        <w:t>،</w:t>
      </w:r>
      <w:r w:rsidRPr="005675B2">
        <w:rPr>
          <w:rFonts w:hint="cs"/>
          <w:sz w:val="24"/>
          <w:szCs w:val="24"/>
          <w:rtl/>
        </w:rPr>
        <w:t xml:space="preserve"> الآية 8</w:t>
      </w:r>
      <w:r w:rsidR="000636C2">
        <w:rPr>
          <w:rFonts w:hint="cs"/>
          <w:sz w:val="24"/>
          <w:szCs w:val="24"/>
          <w:rtl/>
        </w:rPr>
        <w:t>]</w:t>
      </w:r>
      <w:r w:rsidR="000636C2">
        <w:rPr>
          <w:rFonts w:hint="cs"/>
          <w:rtl/>
        </w:rPr>
        <w:t>،</w:t>
      </w:r>
      <w:r w:rsidRPr="005675B2">
        <w:rPr>
          <w:rFonts w:hint="cs"/>
          <w:rtl/>
        </w:rPr>
        <w:t xml:space="preserve"> إذا كان الأشاعرة قد أخطؤوا في عدد من المسائل العلمية الكونية ؛ فليسوا وحدهم الذين وقعوا في هذا</w:t>
      </w:r>
      <w:r w:rsidR="000636C2">
        <w:rPr>
          <w:rFonts w:hint="cs"/>
          <w:rtl/>
        </w:rPr>
        <w:t>،</w:t>
      </w:r>
      <w:r w:rsidRPr="005675B2">
        <w:rPr>
          <w:rFonts w:hint="cs"/>
          <w:rtl/>
        </w:rPr>
        <w:t xml:space="preserve"> قال ابن تيمية</w:t>
      </w:r>
      <w:r w:rsidR="000636C2">
        <w:rPr>
          <w:rFonts w:hint="cs"/>
          <w:rtl/>
        </w:rPr>
        <w:t xml:space="preserve"> </w:t>
      </w:r>
      <w:r w:rsidRPr="005675B2">
        <w:rPr>
          <w:rFonts w:hint="cs"/>
          <w:rtl/>
        </w:rPr>
        <w:t>- سامحه الله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والكيمياء باطلة محرمة</w:t>
      </w:r>
      <w:r w:rsidR="000636C2">
        <w:rPr>
          <w:rFonts w:hint="cs"/>
          <w:rtl/>
        </w:rPr>
        <w:t>،</w:t>
      </w:r>
      <w:r w:rsidRPr="005675B2">
        <w:rPr>
          <w:rFonts w:hint="cs"/>
          <w:rtl/>
        </w:rPr>
        <w:t xml:space="preserve"> وتحريمها أشد من تحريم الربا</w:t>
      </w:r>
      <w:r w:rsidR="000636C2">
        <w:rPr>
          <w:rFonts w:hint="cs"/>
          <w:rtl/>
        </w:rPr>
        <w:t>،</w:t>
      </w:r>
      <w:r w:rsidRPr="005675B2">
        <w:rPr>
          <w:rFonts w:hint="cs"/>
          <w:rtl/>
        </w:rPr>
        <w:t xml:space="preserve"> ولا يجوز بيع الكتب التي تشتمل على معرفة صناعتها</w:t>
      </w:r>
      <w:r w:rsidR="000636C2">
        <w:rPr>
          <w:rFonts w:hint="cs"/>
          <w:rtl/>
        </w:rPr>
        <w:t>،</w:t>
      </w:r>
      <w:r w:rsidRPr="005675B2">
        <w:rPr>
          <w:rFonts w:hint="cs"/>
          <w:rtl/>
        </w:rPr>
        <w:t xml:space="preserve"> وأفتى بعض ولاة الأمور بإتلافها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الاختيارات الفقهية من فتاوى ابن تيمية للبعلي: ص 226</w:t>
      </w:r>
      <w:r w:rsidR="000636C2">
        <w:rPr>
          <w:rFonts w:hint="cs"/>
          <w:sz w:val="24"/>
          <w:szCs w:val="24"/>
          <w:rtl/>
        </w:rPr>
        <w:t>]</w:t>
      </w:r>
      <w:r w:rsidRPr="005675B2">
        <w:rPr>
          <w:rFonts w:hint="cs"/>
          <w:rtl/>
        </w:rPr>
        <w:t>، وقال البربهاري</w:t>
      </w:r>
      <w:r w:rsidR="000636C2">
        <w:rPr>
          <w:rFonts w:hint="cs"/>
          <w:rtl/>
        </w:rPr>
        <w:t>:</w:t>
      </w:r>
      <w:r w:rsidRPr="005675B2">
        <w:rPr>
          <w:rFonts w:hint="cs"/>
          <w:rtl/>
        </w:rPr>
        <w:t xml:space="preserve"> </w:t>
      </w:r>
      <w:r w:rsidR="000636C2">
        <w:rPr>
          <w:rFonts w:hint="cs"/>
          <w:rtl/>
        </w:rPr>
        <w:t>[</w:t>
      </w:r>
      <w:r w:rsidRPr="005675B2">
        <w:rPr>
          <w:rFonts w:hint="cs"/>
          <w:rtl/>
        </w:rPr>
        <w:t>وأَقِلَّ من النظر في النجوم إلا بما تستعين به على مواقيت الصلاة</w:t>
      </w:r>
      <w:r w:rsidR="000636C2">
        <w:rPr>
          <w:rFonts w:hint="cs"/>
          <w:rtl/>
        </w:rPr>
        <w:t>،</w:t>
      </w:r>
      <w:r w:rsidRPr="005675B2">
        <w:rPr>
          <w:rFonts w:hint="cs"/>
          <w:rtl/>
        </w:rPr>
        <w:t xml:space="preserve"> والْهُ عما سوى ذلك</w:t>
      </w:r>
      <w:r w:rsidR="000636C2">
        <w:rPr>
          <w:rFonts w:hint="cs"/>
          <w:rtl/>
        </w:rPr>
        <w:t>،</w:t>
      </w:r>
      <w:r w:rsidRPr="005675B2">
        <w:rPr>
          <w:rFonts w:hint="cs"/>
          <w:rtl/>
        </w:rPr>
        <w:t xml:space="preserve"> فإنه يدعو إلى الزندقة</w:t>
      </w:r>
      <w:r w:rsidR="000636C2">
        <w:rPr>
          <w:rFonts w:hint="cs"/>
          <w:rtl/>
        </w:rPr>
        <w:t>]</w:t>
      </w:r>
      <w:r w:rsidRPr="005675B2">
        <w:rPr>
          <w:rFonts w:hint="cs"/>
          <w:rtl/>
        </w:rPr>
        <w:t xml:space="preserve"> [</w:t>
      </w:r>
      <w:r w:rsidRPr="005675B2">
        <w:rPr>
          <w:rFonts w:hint="cs"/>
          <w:sz w:val="24"/>
          <w:szCs w:val="24"/>
          <w:rtl/>
        </w:rPr>
        <w:t>انظر: طبقات الحنابلة لابن أبي يعلى: 2/34</w:t>
      </w:r>
      <w:r w:rsidR="000636C2">
        <w:rPr>
          <w:rFonts w:hint="cs"/>
          <w:sz w:val="24"/>
          <w:szCs w:val="24"/>
          <w:rtl/>
        </w:rPr>
        <w:t>]</w:t>
      </w:r>
      <w:r w:rsidR="000636C2">
        <w:rPr>
          <w:rFonts w:hint="cs"/>
          <w:rtl/>
        </w:rPr>
        <w:t xml:space="preserve">، </w:t>
      </w:r>
      <w:r w:rsidRPr="005675B2">
        <w:rPr>
          <w:rFonts w:hint="cs"/>
          <w:rtl/>
        </w:rPr>
        <w:t>أليست الدعوة إلى ترك الكيمياء وإتلاف كتبها وإلى الإقلال من النظر في النجوم هي من أسباب تخلف المسلمين</w:t>
      </w:r>
      <w:r w:rsidR="000636C2">
        <w:rPr>
          <w:rFonts w:hint="cs"/>
          <w:rtl/>
        </w:rPr>
        <w:t>؟!</w:t>
      </w:r>
      <w:r w:rsidRPr="005675B2">
        <w:rPr>
          <w:rFonts w:hint="cs"/>
          <w:rtl/>
        </w:rPr>
        <w:t xml:space="preserve"> وإذا كانت كتب هذين العلمين قد خلطت الحق بالباطل فهل الواجب الاشتغال بها مع التمييز أو تركها وإهمالها</w:t>
      </w:r>
      <w:r w:rsidR="000636C2">
        <w:rPr>
          <w:rFonts w:hint="cs"/>
          <w:rtl/>
        </w:rPr>
        <w:t xml:space="preserve">؟، </w:t>
      </w:r>
      <w:r w:rsidRPr="005675B2">
        <w:rPr>
          <w:rFonts w:hint="cs"/>
          <w:rtl/>
        </w:rPr>
        <w:t>4 - إذا كان الأشاعرة قد تكلموا في المسائل العلمية الكونية وأخطؤوا في بعضها فإن هذا ليس دليلاً لتخطئتهم في مسائل العقيدة</w:t>
      </w:r>
      <w:r w:rsidR="000636C2">
        <w:rPr>
          <w:rFonts w:hint="cs"/>
          <w:rtl/>
        </w:rPr>
        <w:t>،</w:t>
      </w:r>
      <w:r w:rsidRPr="005675B2">
        <w:rPr>
          <w:rFonts w:hint="cs"/>
          <w:rtl/>
        </w:rPr>
        <w:t xml:space="preserve"> والميزان هو كتاب الله وسنة رسوله صلى الله عليه وسلم</w:t>
      </w:r>
      <w:r w:rsidR="000636C2">
        <w:rPr>
          <w:rFonts w:hint="cs"/>
          <w:rtl/>
        </w:rPr>
        <w:t>،</w:t>
      </w:r>
      <w:r w:rsidRPr="005675B2">
        <w:rPr>
          <w:rFonts w:hint="cs"/>
          <w:rtl/>
        </w:rPr>
        <w:t xml:space="preserve"> فمن وجد لهم قولاً بخلاف هذين الأصلين فليبرزه وليضرب به عرض الحائط</w:t>
      </w:r>
      <w:r w:rsidR="000636C2">
        <w:rPr>
          <w:rFonts w:hint="cs"/>
          <w:rtl/>
        </w:rPr>
        <w:t>،</w:t>
      </w:r>
      <w:r w:rsidRPr="005675B2">
        <w:rPr>
          <w:rFonts w:hint="cs"/>
          <w:rtl/>
        </w:rPr>
        <w:t xml:space="preserve"> وإلا فترك المشاغبة من سبيل أهل السلامة</w:t>
      </w:r>
      <w:r w:rsidR="000636C2">
        <w:rPr>
          <w:rFonts w:hint="cs"/>
          <w:rtl/>
        </w:rPr>
        <w:t>،</w:t>
      </w:r>
    </w:p>
    <w:p w14:paraId="1270B9C0" w14:textId="64CDA953"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وكل من قال إن الإيمان هو المعرفة أو التصديق فهو مرجئ</w:t>
      </w:r>
      <w:r w:rsidR="000636C2">
        <w:rPr>
          <w:rFonts w:hint="cs"/>
          <w:rtl/>
        </w:rPr>
        <w:t>،</w:t>
      </w:r>
      <w:r w:rsidRPr="005675B2">
        <w:rPr>
          <w:rFonts w:hint="cs"/>
          <w:rtl/>
        </w:rPr>
        <w:t xml:space="preserve"> … إذا كانت المرجئة الخالصة أي التي لم تخلط بالإرجاء شيئاً من البدع في الصفات أو غيرها ليست هي أهل السنة والجماعة ولا منهم ؛ فكيف يكون حال الأشاعرة الذين جاؤوا بالإرجاء كاملاً وزادوا عليه بدعاً أخرى</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إذا كانت الجبرية الخالصة ليست هي أهل السنة والجماعة ولا منهم ؛ فكيف يكون حال الأشاعرة الذين جاؤوا</w:t>
      </w:r>
      <w:r w:rsidR="000636C2">
        <w:rPr>
          <w:rFonts w:hint="cs"/>
          <w:rtl/>
        </w:rPr>
        <w:t xml:space="preserve"> </w:t>
      </w:r>
      <w:r w:rsidRPr="005675B2">
        <w:rPr>
          <w:rFonts w:hint="cs"/>
          <w:rtl/>
        </w:rPr>
        <w:t>بالكسب - الذي اعـترف كثير منهم بأنه جبر وإن لم يكن جبراً فهو بدعة على أي حال</w:t>
      </w:r>
      <w:r w:rsidR="000636C2">
        <w:rPr>
          <w:rFonts w:hint="cs"/>
          <w:rtl/>
        </w:rPr>
        <w:t xml:space="preserve"> </w:t>
      </w:r>
      <w:r w:rsidRPr="005675B2">
        <w:rPr>
          <w:rFonts w:hint="cs"/>
          <w:rtl/>
        </w:rPr>
        <w:t>- وزادوا علـيه</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أضف إلى هذا أن كل ذم للصوفية فللأشاعرة منه نصيب</w:t>
      </w:r>
      <w:r w:rsidR="000636C2">
        <w:rPr>
          <w:rFonts w:hint="cs"/>
          <w:rtl/>
        </w:rPr>
        <w:t>،</w:t>
      </w:r>
      <w:r w:rsidRPr="005675B2">
        <w:rPr>
          <w:rFonts w:hint="cs"/>
          <w:rtl/>
        </w:rPr>
        <w:t xml:space="preserve"> لأن أكثر أئمة الصوفية المنحرفين كالغزالي وابن القشيري كانوا أشاعرة</w:t>
      </w:r>
      <w:r w:rsidR="000636C2">
        <w:rPr>
          <w:rFonts w:hint="cs"/>
          <w:rtl/>
        </w:rPr>
        <w:t>]،</w:t>
      </w:r>
    </w:p>
    <w:p w14:paraId="0992A876" w14:textId="00514435"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w:t>
      </w:r>
      <w:r w:rsidR="000636C2">
        <w:rPr>
          <w:rFonts w:hint="cs"/>
          <w:rtl/>
        </w:rPr>
        <w:t xml:space="preserve"> </w:t>
      </w:r>
      <w:r w:rsidRPr="005675B2">
        <w:rPr>
          <w:rFonts w:hint="cs"/>
          <w:rtl/>
        </w:rPr>
        <w:t>- وضع الباحث قاعدة ثم ذهب يحكم على الأشاعرة من خلالها</w:t>
      </w:r>
      <w:r w:rsidR="000636C2">
        <w:rPr>
          <w:rFonts w:hint="cs"/>
          <w:rtl/>
        </w:rPr>
        <w:t>!</w:t>
      </w:r>
      <w:r w:rsidRPr="005675B2">
        <w:rPr>
          <w:rFonts w:hint="cs"/>
          <w:rtl/>
        </w:rPr>
        <w:t xml:space="preserve"> لقد قال إن كل من يقول بأن الإيمان هو المعرفة أو التصديق فهو مرجئ</w:t>
      </w:r>
      <w:r w:rsidR="000636C2">
        <w:rPr>
          <w:rFonts w:hint="cs"/>
          <w:rtl/>
        </w:rPr>
        <w:t>،</w:t>
      </w:r>
      <w:r w:rsidRPr="005675B2">
        <w:rPr>
          <w:rFonts w:hint="cs"/>
          <w:rtl/>
        </w:rPr>
        <w:t xml:space="preserve"> أي مبتدع خارج عن السنة</w:t>
      </w:r>
      <w:r w:rsidR="000636C2">
        <w:rPr>
          <w:rFonts w:hint="cs"/>
          <w:rtl/>
        </w:rPr>
        <w:t>،</w:t>
      </w:r>
      <w:r w:rsidRPr="005675B2">
        <w:rPr>
          <w:rFonts w:hint="cs"/>
          <w:rtl/>
        </w:rPr>
        <w:t xml:space="preserve"> والأشاعرة يقولون بأن الإيمان هو التصديق</w:t>
      </w:r>
      <w:r w:rsidR="000636C2">
        <w:rPr>
          <w:rFonts w:hint="cs"/>
          <w:rtl/>
        </w:rPr>
        <w:t>،</w:t>
      </w:r>
      <w:r w:rsidRPr="005675B2">
        <w:rPr>
          <w:rFonts w:hint="cs"/>
          <w:rtl/>
        </w:rPr>
        <w:t xml:space="preserve"> فهم</w:t>
      </w:r>
      <w:r w:rsidR="000636C2">
        <w:rPr>
          <w:rFonts w:hint="cs"/>
          <w:rtl/>
        </w:rPr>
        <w:t xml:space="preserve"> </w:t>
      </w:r>
      <w:r w:rsidRPr="005675B2">
        <w:rPr>
          <w:rFonts w:hint="cs"/>
          <w:rtl/>
        </w:rPr>
        <w:t>- عنده</w:t>
      </w:r>
      <w:r w:rsidR="000636C2">
        <w:rPr>
          <w:rFonts w:hint="cs"/>
          <w:rtl/>
        </w:rPr>
        <w:t xml:space="preserve"> </w:t>
      </w:r>
      <w:r w:rsidRPr="005675B2">
        <w:rPr>
          <w:rFonts w:hint="cs"/>
          <w:rtl/>
        </w:rPr>
        <w:t>- من المبتدعة وليسـوا من أهل السنة والجماعة</w:t>
      </w:r>
      <w:r w:rsidR="000636C2">
        <w:rPr>
          <w:rFonts w:hint="cs"/>
          <w:rtl/>
        </w:rPr>
        <w:t xml:space="preserve">!، </w:t>
      </w:r>
      <w:r w:rsidRPr="005675B2">
        <w:rPr>
          <w:rFonts w:hint="cs"/>
          <w:rtl/>
        </w:rPr>
        <w:t>لقد جاء في الحديث الذي رواه البخاري عن ابن عباس أن النبي صلى الله عليه وسلم قال لمعاذ حيث بعثه على اليمن</w:t>
      </w:r>
      <w:r w:rsidR="000636C2">
        <w:rPr>
          <w:rFonts w:hint="cs"/>
          <w:rtl/>
        </w:rPr>
        <w:t>:</w:t>
      </w:r>
      <w:r w:rsidRPr="005675B2">
        <w:rPr>
          <w:rFonts w:hint="cs"/>
          <w:rtl/>
        </w:rPr>
        <w:t xml:space="preserve"> </w:t>
      </w:r>
      <w:r w:rsidR="000636C2">
        <w:rPr>
          <w:rFonts w:hint="cs"/>
          <w:rtl/>
        </w:rPr>
        <w:t>[</w:t>
      </w:r>
      <w:r w:rsidRPr="005675B2">
        <w:rPr>
          <w:rFonts w:hint="cs"/>
          <w:rtl/>
        </w:rPr>
        <w:t>… فليكن أول ما تدعوهم إليه عبادة الله</w:t>
      </w:r>
      <w:r w:rsidR="000636C2">
        <w:rPr>
          <w:rFonts w:hint="cs"/>
          <w:rtl/>
        </w:rPr>
        <w:t>،</w:t>
      </w:r>
      <w:r w:rsidRPr="005675B2">
        <w:rPr>
          <w:rFonts w:hint="cs"/>
          <w:rtl/>
        </w:rPr>
        <w:t xml:space="preserve"> فإذا عرفوا الله فأخبرهم أن الله قد فرض عليهم خمـس</w:t>
      </w:r>
      <w:r w:rsidR="000636C2">
        <w:rPr>
          <w:rFonts w:hint="cs"/>
          <w:rtl/>
        </w:rPr>
        <w:t xml:space="preserve"> </w:t>
      </w:r>
      <w:r w:rsidRPr="005675B2">
        <w:rPr>
          <w:rFonts w:hint="cs"/>
          <w:rtl/>
        </w:rPr>
        <w:t>صلوات …</w:t>
      </w:r>
      <w:r w:rsidR="000636C2">
        <w:rPr>
          <w:rFonts w:hint="cs"/>
          <w:rtl/>
        </w:rPr>
        <w:t>]</w:t>
      </w:r>
      <w:r w:rsidRPr="005675B2">
        <w:rPr>
          <w:rFonts w:hint="cs"/>
          <w:rtl/>
        </w:rPr>
        <w:t xml:space="preserve"> [</w:t>
      </w:r>
      <w:r w:rsidRPr="005675B2">
        <w:rPr>
          <w:rFonts w:hint="cs"/>
          <w:sz w:val="24"/>
          <w:szCs w:val="24"/>
          <w:rtl/>
        </w:rPr>
        <w:t>صحيح البخاري: كتاب الزكاة</w:t>
      </w:r>
      <w:r w:rsidR="000636C2">
        <w:rPr>
          <w:rFonts w:hint="cs"/>
          <w:sz w:val="24"/>
          <w:szCs w:val="24"/>
          <w:rtl/>
        </w:rPr>
        <w:t>،</w:t>
      </w:r>
      <w:r w:rsidRPr="005675B2">
        <w:rPr>
          <w:rFonts w:hint="cs"/>
          <w:sz w:val="24"/>
          <w:szCs w:val="24"/>
          <w:rtl/>
        </w:rPr>
        <w:t xml:space="preserve"> باب لا تؤخذ كرائم أموال الناس في الصدقة . وبنحوه في كتاب التوحيد</w:t>
      </w:r>
      <w:r w:rsidR="000636C2">
        <w:rPr>
          <w:rFonts w:hint="cs"/>
          <w:sz w:val="24"/>
          <w:szCs w:val="24"/>
          <w:rtl/>
        </w:rPr>
        <w:t>،</w:t>
      </w:r>
      <w:r w:rsidRPr="005675B2">
        <w:rPr>
          <w:rFonts w:hint="cs"/>
          <w:sz w:val="24"/>
          <w:szCs w:val="24"/>
          <w:rtl/>
        </w:rPr>
        <w:t xml:space="preserve"> الباب الأول</w:t>
      </w:r>
      <w:r w:rsidR="000636C2">
        <w:rPr>
          <w:rFonts w:hint="cs"/>
          <w:sz w:val="24"/>
          <w:szCs w:val="24"/>
          <w:rtl/>
        </w:rPr>
        <w:t>]</w:t>
      </w:r>
      <w:r w:rsidR="000636C2">
        <w:rPr>
          <w:rFonts w:hint="cs"/>
          <w:rtl/>
        </w:rPr>
        <w:t>،</w:t>
      </w:r>
      <w:r w:rsidRPr="005675B2">
        <w:rPr>
          <w:rFonts w:hint="cs"/>
          <w:rtl/>
        </w:rPr>
        <w:t xml:space="preserve"> وهذا يدل على أن الإيمان والمعرفة شيء واحد</w:t>
      </w:r>
      <w:r w:rsidR="000636C2">
        <w:rPr>
          <w:rFonts w:hint="cs"/>
          <w:rtl/>
        </w:rPr>
        <w:t>،</w:t>
      </w:r>
      <w:r w:rsidRPr="005675B2">
        <w:rPr>
          <w:rFonts w:hint="cs"/>
          <w:rtl/>
        </w:rPr>
        <w:t xml:space="preserve"> ولذا عبر بأحدهما عن الآخر</w:t>
      </w:r>
      <w:r w:rsidR="000636C2">
        <w:rPr>
          <w:rFonts w:hint="cs"/>
          <w:rtl/>
        </w:rPr>
        <w:t>،</w:t>
      </w:r>
      <w:r w:rsidRPr="005675B2">
        <w:rPr>
          <w:rFonts w:hint="cs"/>
          <w:rtl/>
        </w:rPr>
        <w:t xml:space="preserve"> لكن ينبغي أن يعلم أن الحديث جاء بلفظين هذا أحدهما</w:t>
      </w:r>
      <w:r w:rsidR="000636C2">
        <w:rPr>
          <w:rFonts w:hint="cs"/>
          <w:rtl/>
        </w:rPr>
        <w:t>،</w:t>
      </w:r>
      <w:r w:rsidRPr="005675B2">
        <w:rPr>
          <w:rFonts w:hint="cs"/>
          <w:rtl/>
        </w:rPr>
        <w:t xml:space="preserve"> وأما الآخر فهو قوله </w:t>
      </w:r>
      <w:r w:rsidR="000636C2">
        <w:rPr>
          <w:rFonts w:hint="cs"/>
          <w:rtl/>
        </w:rPr>
        <w:t>[</w:t>
      </w:r>
      <w:r w:rsidRPr="005675B2">
        <w:rPr>
          <w:rFonts w:hint="cs"/>
          <w:rtl/>
        </w:rPr>
        <w:t>ادعهم إلى شهادة أن لا إله إلا الله وأني رسول الله</w:t>
      </w:r>
      <w:r w:rsidR="000636C2">
        <w:rPr>
          <w:rFonts w:hint="cs"/>
          <w:rtl/>
        </w:rPr>
        <w:t>،</w:t>
      </w:r>
      <w:r w:rsidRPr="005675B2">
        <w:rPr>
          <w:rFonts w:hint="cs"/>
          <w:rtl/>
        </w:rPr>
        <w:t xml:space="preserve"> فإن هم أطاعوا لذلك …</w:t>
      </w:r>
      <w:r w:rsidR="000636C2">
        <w:rPr>
          <w:rFonts w:hint="cs"/>
          <w:rtl/>
        </w:rPr>
        <w:t>]</w:t>
      </w:r>
      <w:r w:rsidRPr="005675B2">
        <w:rPr>
          <w:rFonts w:hint="cs"/>
          <w:rtl/>
        </w:rPr>
        <w:t xml:space="preserve"> </w:t>
      </w:r>
      <w:r w:rsidR="000636C2">
        <w:rPr>
          <w:rFonts w:hint="cs"/>
          <w:rtl/>
        </w:rPr>
        <w:t>[</w:t>
      </w:r>
      <w:r w:rsidRPr="005675B2">
        <w:rPr>
          <w:rFonts w:hint="cs"/>
          <w:sz w:val="24"/>
          <w:szCs w:val="24"/>
          <w:rtl/>
        </w:rPr>
        <w:t>صحيح البخاري: كتاب الزكاة</w:t>
      </w:r>
      <w:r w:rsidR="000636C2">
        <w:rPr>
          <w:rFonts w:hint="cs"/>
          <w:sz w:val="24"/>
          <w:szCs w:val="24"/>
          <w:rtl/>
        </w:rPr>
        <w:t>،</w:t>
      </w:r>
      <w:r w:rsidRPr="005675B2">
        <w:rPr>
          <w:rFonts w:hint="cs"/>
          <w:sz w:val="24"/>
          <w:szCs w:val="24"/>
          <w:rtl/>
        </w:rPr>
        <w:t xml:space="preserve"> باب 1</w:t>
      </w:r>
      <w:r w:rsidR="000636C2">
        <w:rPr>
          <w:rFonts w:hint="cs"/>
          <w:sz w:val="24"/>
          <w:szCs w:val="24"/>
          <w:rtl/>
        </w:rPr>
        <w:t>،</w:t>
      </w:r>
      <w:r w:rsidRPr="005675B2">
        <w:rPr>
          <w:rFonts w:hint="cs"/>
          <w:sz w:val="24"/>
          <w:szCs w:val="24"/>
          <w:rtl/>
        </w:rPr>
        <w:t xml:space="preserve"> 63 . كتاب المغازي: باب 60</w:t>
      </w:r>
      <w:r w:rsidR="000636C2">
        <w:rPr>
          <w:rFonts w:hint="cs"/>
          <w:sz w:val="24"/>
          <w:szCs w:val="24"/>
          <w:rtl/>
        </w:rPr>
        <w:t>]</w:t>
      </w:r>
      <w:r w:rsidR="000636C2">
        <w:rPr>
          <w:rFonts w:hint="cs"/>
          <w:rtl/>
        </w:rPr>
        <w:t>،</w:t>
      </w:r>
      <w:r w:rsidRPr="005675B2">
        <w:rPr>
          <w:rFonts w:hint="cs"/>
          <w:rtl/>
        </w:rPr>
        <w:t xml:space="preserve"> فإذا كان اللفظ الأول هو المحفوظ تم به الاستدلال</w:t>
      </w:r>
      <w:r w:rsidR="000636C2">
        <w:rPr>
          <w:rFonts w:hint="cs"/>
          <w:rtl/>
        </w:rPr>
        <w:t>،</w:t>
      </w:r>
      <w:r w:rsidRPr="005675B2">
        <w:rPr>
          <w:rFonts w:hint="cs"/>
          <w:rtl/>
        </w:rPr>
        <w:t xml:space="preserve"> وإذا كان من باب الرواية بالمعنى ففيه بعض الدلالة</w:t>
      </w:r>
      <w:r w:rsidR="000636C2">
        <w:rPr>
          <w:rFonts w:hint="cs"/>
          <w:rtl/>
        </w:rPr>
        <w:t>،</w:t>
      </w:r>
      <w:r w:rsidRPr="005675B2">
        <w:rPr>
          <w:rFonts w:hint="cs"/>
          <w:rtl/>
        </w:rPr>
        <w:t xml:space="preserve"> من حيث إنه ورد على ألسنة الرواة الثقات التعبيرُ بمعرفة الله تعالى عن الاستجابة لمعنى الشهادتين وقبول الإيمان</w:t>
      </w:r>
      <w:r w:rsidR="000636C2">
        <w:rPr>
          <w:rFonts w:hint="cs"/>
          <w:rtl/>
        </w:rPr>
        <w:t xml:space="preserve">، </w:t>
      </w:r>
      <w:r w:rsidRPr="005675B2">
        <w:rPr>
          <w:rFonts w:hint="cs"/>
          <w:rtl/>
        </w:rPr>
        <w:t>فكيف جاء التعبير عن الإيمان هنا بالمعرفة والاكتفاء في الإيـمان بالمعرفة هو قول الجهمية</w:t>
      </w:r>
      <w:r w:rsidR="000636C2">
        <w:rPr>
          <w:rFonts w:hint="cs"/>
          <w:rtl/>
        </w:rPr>
        <w:t>؟!</w:t>
      </w:r>
      <w:r w:rsidRPr="005675B2">
        <w:rPr>
          <w:rFonts w:hint="cs"/>
          <w:rtl/>
        </w:rPr>
        <w:t>!</w:t>
      </w:r>
      <w:r w:rsidR="000636C2">
        <w:rPr>
          <w:rFonts w:hint="cs"/>
          <w:rtl/>
        </w:rPr>
        <w:t xml:space="preserve">، </w:t>
      </w:r>
      <w:r w:rsidRPr="005675B2">
        <w:rPr>
          <w:rFonts w:hint="cs"/>
          <w:rtl/>
        </w:rPr>
        <w:t>لا بد من التذكير بأن المعرفة تطلق ويراد بها أحد شيئين</w:t>
      </w:r>
      <w:r w:rsidR="000636C2">
        <w:rPr>
          <w:rFonts w:hint="cs"/>
          <w:rtl/>
        </w:rPr>
        <w:t>:</w:t>
      </w:r>
      <w:r w:rsidRPr="005675B2">
        <w:rPr>
          <w:rFonts w:hint="cs"/>
          <w:rtl/>
        </w:rPr>
        <w:t xml:space="preserve"> الأول</w:t>
      </w:r>
      <w:r w:rsidR="000636C2">
        <w:rPr>
          <w:rFonts w:hint="cs"/>
          <w:rtl/>
        </w:rPr>
        <w:t>:</w:t>
      </w:r>
      <w:r w:rsidRPr="005675B2">
        <w:rPr>
          <w:rFonts w:hint="cs"/>
          <w:rtl/>
        </w:rPr>
        <w:t xml:space="preserve"> مجرد المعرفة الذهنية</w:t>
      </w:r>
      <w:r w:rsidR="000636C2">
        <w:rPr>
          <w:rFonts w:hint="cs"/>
          <w:rtl/>
        </w:rPr>
        <w:t>،</w:t>
      </w:r>
      <w:r w:rsidRPr="005675B2">
        <w:rPr>
          <w:rFonts w:hint="cs"/>
          <w:rtl/>
        </w:rPr>
        <w:t xml:space="preserve"> كمعرفة كثير من الكفار بأن الله تعالى حق وأن محمداً صلى الله عليه وسلم حق وأن الآخرة حق مع الإصرار على الكفر</w:t>
      </w:r>
      <w:r w:rsidR="000636C2">
        <w:rPr>
          <w:rFonts w:hint="cs"/>
          <w:rtl/>
        </w:rPr>
        <w:t>،</w:t>
      </w:r>
      <w:r w:rsidRPr="005675B2">
        <w:rPr>
          <w:rFonts w:hint="cs"/>
          <w:rtl/>
        </w:rPr>
        <w:t xml:space="preserve"> من باب </w:t>
      </w:r>
      <w:r w:rsidR="000636C2">
        <w:rPr>
          <w:rFonts w:hint="cs"/>
          <w:rtl/>
        </w:rPr>
        <w:t>[</w:t>
      </w:r>
      <w:r w:rsidRPr="005675B2">
        <w:rPr>
          <w:rFonts w:hint="cs"/>
          <w:rtl/>
        </w:rPr>
        <w:t>وَجَحَدُوا بِهَا وَاسْتَيْقَنَتْهَا أَنْفُسُهُمْ</w:t>
      </w:r>
      <w:r w:rsidR="000636C2">
        <w:rPr>
          <w:rFonts w:hint="cs"/>
          <w:rtl/>
        </w:rPr>
        <w:t>]</w:t>
      </w:r>
      <w:r w:rsidRPr="005675B2">
        <w:rPr>
          <w:rFonts w:hint="cs"/>
          <w:rtl/>
        </w:rPr>
        <w:t xml:space="preserve"> [</w:t>
      </w:r>
      <w:r w:rsidRPr="005675B2">
        <w:rPr>
          <w:rFonts w:hint="cs"/>
          <w:sz w:val="24"/>
          <w:szCs w:val="24"/>
          <w:rtl/>
        </w:rPr>
        <w:t>سورة النمل آية 14</w:t>
      </w:r>
      <w:r w:rsidR="000636C2">
        <w:rPr>
          <w:rFonts w:hint="cs"/>
          <w:sz w:val="24"/>
          <w:szCs w:val="24"/>
          <w:rtl/>
        </w:rPr>
        <w:t>]</w:t>
      </w:r>
      <w:r w:rsidR="000636C2">
        <w:rPr>
          <w:rFonts w:hint="cs"/>
          <w:rtl/>
        </w:rPr>
        <w:t>،</w:t>
      </w:r>
      <w:r w:rsidRPr="005675B2">
        <w:rPr>
          <w:rFonts w:hint="cs"/>
          <w:rtl/>
        </w:rPr>
        <w:t xml:space="preserve"> والاكتفاء بمثل هذه المعرفة هو قول الجهمية الذين شنّع عليهم العلماء كافة من الأشاعرة وغيرهم</w:t>
      </w:r>
      <w:r w:rsidR="000636C2">
        <w:rPr>
          <w:rFonts w:hint="cs"/>
          <w:rtl/>
        </w:rPr>
        <w:t xml:space="preserve">، </w:t>
      </w:r>
      <w:r w:rsidRPr="005675B2">
        <w:rPr>
          <w:rFonts w:hint="cs"/>
          <w:rtl/>
        </w:rPr>
        <w:t>الثاني</w:t>
      </w:r>
      <w:r w:rsidR="000636C2">
        <w:rPr>
          <w:rFonts w:hint="cs"/>
          <w:rtl/>
        </w:rPr>
        <w:t>:</w:t>
      </w:r>
      <w:r w:rsidRPr="005675B2">
        <w:rPr>
          <w:rFonts w:hint="cs"/>
          <w:rtl/>
        </w:rPr>
        <w:t xml:space="preserve"> المعرفة مع إذعان النفس لهذه المعرفة</w:t>
      </w:r>
      <w:r w:rsidR="000636C2">
        <w:rPr>
          <w:rFonts w:hint="cs"/>
          <w:rtl/>
        </w:rPr>
        <w:t>،</w:t>
      </w:r>
      <w:r w:rsidRPr="005675B2">
        <w:rPr>
          <w:rFonts w:hint="cs"/>
          <w:rtl/>
        </w:rPr>
        <w:t xml:space="preserve"> أي القبول والاستجابة العقلية والقلبية لهذه المعرفة</w:t>
      </w:r>
      <w:r w:rsidR="000636C2">
        <w:rPr>
          <w:rFonts w:hint="cs"/>
          <w:rtl/>
        </w:rPr>
        <w:t>،</w:t>
      </w:r>
      <w:r w:rsidRPr="005675B2">
        <w:rPr>
          <w:rFonts w:hint="cs"/>
          <w:rtl/>
        </w:rPr>
        <w:t xml:space="preserve"> مما يعني عملية التحول الواعي من الكفر إلى الإيمان</w:t>
      </w:r>
      <w:r w:rsidR="000636C2">
        <w:rPr>
          <w:rFonts w:hint="cs"/>
          <w:rtl/>
        </w:rPr>
        <w:t>،</w:t>
      </w:r>
      <w:r w:rsidRPr="005675B2">
        <w:rPr>
          <w:rFonts w:hint="cs"/>
          <w:rtl/>
        </w:rPr>
        <w:t xml:space="preserve"> وهذا هو الحد الأدنى من الإيمان عند الأشاعرة</w:t>
      </w:r>
      <w:r w:rsidR="000636C2">
        <w:rPr>
          <w:rFonts w:hint="cs"/>
          <w:rtl/>
        </w:rPr>
        <w:t>،</w:t>
      </w:r>
      <w:r w:rsidRPr="005675B2">
        <w:rPr>
          <w:rFonts w:hint="cs"/>
          <w:rtl/>
        </w:rPr>
        <w:t xml:space="preserve"> وإذا عرّفوا الإيمان عرّفوه بالتصديق مع إذعان النفس</w:t>
      </w:r>
      <w:r w:rsidR="000636C2">
        <w:rPr>
          <w:rFonts w:hint="cs"/>
          <w:rtl/>
        </w:rPr>
        <w:t xml:space="preserve">، </w:t>
      </w:r>
      <w:r w:rsidRPr="005675B2">
        <w:rPr>
          <w:rFonts w:hint="cs"/>
          <w:rtl/>
        </w:rPr>
        <w:t>والفرق بين المعنيين شاسع جداً</w:t>
      </w:r>
      <w:r w:rsidR="000636C2">
        <w:rPr>
          <w:rFonts w:hint="cs"/>
          <w:rtl/>
        </w:rPr>
        <w:t>،</w:t>
      </w:r>
      <w:r w:rsidRPr="005675B2">
        <w:rPr>
          <w:rFonts w:hint="cs"/>
          <w:rtl/>
        </w:rPr>
        <w:t xml:space="preserve"> والقائلون بالمعنى الأول هم الذين ألزمهم العلماء بأنه ينبغي</w:t>
      </w:r>
      <w:r w:rsidR="000636C2">
        <w:rPr>
          <w:rFonts w:hint="cs"/>
          <w:rtl/>
        </w:rPr>
        <w:t xml:space="preserve"> </w:t>
      </w:r>
      <w:r w:rsidRPr="005675B2">
        <w:rPr>
          <w:rFonts w:hint="cs"/>
          <w:rtl/>
        </w:rPr>
        <w:t>- على قولهم الفاسد</w:t>
      </w:r>
      <w:r w:rsidR="000636C2">
        <w:rPr>
          <w:rFonts w:hint="cs"/>
          <w:rtl/>
        </w:rPr>
        <w:t xml:space="preserve"> </w:t>
      </w:r>
      <w:r w:rsidRPr="005675B2">
        <w:rPr>
          <w:rFonts w:hint="cs"/>
          <w:rtl/>
        </w:rPr>
        <w:t>- أن يشهدوا لإبليس بالإيمان وأنه لا داعي لحرص النبي صلى الله عليه وسلم على إيمان عمه أبي طالب وهو في الاحتضار</w:t>
      </w:r>
      <w:r w:rsidR="000636C2">
        <w:rPr>
          <w:rFonts w:hint="cs"/>
          <w:rtl/>
        </w:rPr>
        <w:t>،</w:t>
      </w:r>
      <w:r w:rsidRPr="005675B2">
        <w:rPr>
          <w:rFonts w:hint="cs"/>
          <w:rtl/>
        </w:rPr>
        <w:t xml:space="preserve"> ومن لم يفهم الفرق ظن أن الأشاعرة جهمية</w:t>
      </w:r>
      <w:r w:rsidR="000636C2">
        <w:rPr>
          <w:rFonts w:hint="cs"/>
          <w:rtl/>
        </w:rPr>
        <w:t>!</w:t>
      </w:r>
      <w:r w:rsidRPr="005675B2">
        <w:rPr>
          <w:rFonts w:hint="cs"/>
          <w:rtl/>
        </w:rPr>
        <w:t xml:space="preserve"> وأن تلك الإلزامات تتوجه إلى مذهبهم كذلك</w:t>
      </w:r>
      <w:r w:rsidR="000636C2">
        <w:rPr>
          <w:rFonts w:hint="cs"/>
          <w:rtl/>
        </w:rPr>
        <w:t xml:space="preserve">!، </w:t>
      </w:r>
      <w:r w:rsidRPr="005675B2">
        <w:rPr>
          <w:rFonts w:hint="cs"/>
          <w:rtl/>
        </w:rPr>
        <w:t>فبين الأشاعرة والجهمية من البعد كما بين المشرق والمغرب</w:t>
      </w:r>
      <w:r w:rsidR="000636C2">
        <w:rPr>
          <w:rFonts w:hint="cs"/>
          <w:rtl/>
        </w:rPr>
        <w:t>،</w:t>
      </w:r>
      <w:r w:rsidRPr="005675B2">
        <w:rPr>
          <w:rFonts w:hint="cs"/>
          <w:rtl/>
        </w:rPr>
        <w:t xml:space="preserve"> فتنبه</w:t>
      </w:r>
      <w:r w:rsidR="000636C2">
        <w:rPr>
          <w:rFonts w:hint="cs"/>
          <w:rtl/>
        </w:rPr>
        <w:t>!،</w:t>
      </w:r>
      <w:r w:rsidRPr="005675B2">
        <w:rPr>
          <w:rFonts w:hint="cs"/>
          <w:rtl/>
        </w:rPr>
        <w:t xml:space="preserve"> وارجع إلى قول الإمام الطحاوي إذ يقول</w:t>
      </w:r>
      <w:r w:rsidR="000636C2">
        <w:rPr>
          <w:rFonts w:hint="cs"/>
          <w:rtl/>
        </w:rPr>
        <w:t>:</w:t>
      </w:r>
      <w:r w:rsidRPr="005675B2">
        <w:rPr>
          <w:rFonts w:hint="cs"/>
          <w:rtl/>
        </w:rPr>
        <w:t xml:space="preserve"> </w:t>
      </w:r>
      <w:r w:rsidR="000636C2">
        <w:rPr>
          <w:rFonts w:hint="cs"/>
          <w:rtl/>
        </w:rPr>
        <w:t>[</w:t>
      </w:r>
      <w:r w:rsidRPr="005675B2">
        <w:rPr>
          <w:rFonts w:hint="cs"/>
          <w:rtl/>
        </w:rPr>
        <w:t>ونسمي أهل قبلتنا مسلمين مؤمنين ماداموا بما جاء به النبي صلى الله عليه وسلم معترفين وله بكل ما قال وأخبر مصدقين</w:t>
      </w:r>
      <w:r w:rsidR="000636C2">
        <w:rPr>
          <w:rFonts w:hint="cs"/>
          <w:rtl/>
        </w:rPr>
        <w:t>]،</w:t>
      </w:r>
      <w:r w:rsidRPr="005675B2">
        <w:rPr>
          <w:rFonts w:hint="cs"/>
          <w:rtl/>
        </w:rPr>
        <w:t xml:space="preserve"> 2</w:t>
      </w:r>
      <w:r w:rsidR="000636C2">
        <w:rPr>
          <w:rFonts w:hint="cs"/>
          <w:rtl/>
        </w:rPr>
        <w:t xml:space="preserve"> </w:t>
      </w:r>
      <w:r w:rsidRPr="005675B2">
        <w:rPr>
          <w:rFonts w:hint="cs"/>
          <w:rtl/>
        </w:rPr>
        <w:t>- يرى الباحث أن الأشاعرة جاءوا بنظرية الكسب وأنها جبرية خالصة</w:t>
      </w:r>
      <w:r w:rsidR="000636C2">
        <w:rPr>
          <w:rFonts w:hint="cs"/>
          <w:rtl/>
        </w:rPr>
        <w:t>،</w:t>
      </w:r>
      <w:r w:rsidRPr="005675B2">
        <w:rPr>
          <w:rFonts w:hint="cs"/>
          <w:rtl/>
        </w:rPr>
        <w:t xml:space="preserve"> وإن لم تكن كذلك فهي بدعة على أي حال</w:t>
      </w:r>
      <w:r w:rsidR="000636C2">
        <w:rPr>
          <w:rFonts w:hint="cs"/>
          <w:rtl/>
        </w:rPr>
        <w:t xml:space="preserve">، </w:t>
      </w:r>
      <w:r w:rsidRPr="005675B2">
        <w:rPr>
          <w:rFonts w:hint="cs"/>
          <w:rtl/>
        </w:rPr>
        <w:t>ونظرية الكسب هي القول بأن العبد مكتسب لأفعاله لكنه غير خالق للفعل</w:t>
      </w:r>
      <w:r w:rsidR="000636C2">
        <w:rPr>
          <w:rFonts w:hint="cs"/>
          <w:rtl/>
        </w:rPr>
        <w:t>،</w:t>
      </w:r>
      <w:r w:rsidRPr="005675B2">
        <w:rPr>
          <w:rFonts w:hint="cs"/>
          <w:rtl/>
        </w:rPr>
        <w:t xml:space="preserve"> وهذا ما ذكره ربنا تعالى في آيات كثيرة من كتابه الكريم</w:t>
      </w:r>
      <w:r w:rsidR="000636C2">
        <w:rPr>
          <w:rFonts w:hint="cs"/>
          <w:rtl/>
        </w:rPr>
        <w:t>،</w:t>
      </w:r>
      <w:r w:rsidRPr="005675B2">
        <w:rPr>
          <w:rFonts w:hint="cs"/>
          <w:rtl/>
        </w:rPr>
        <w:t xml:space="preserve"> منها قوله عز وجل </w:t>
      </w:r>
      <w:r w:rsidR="000636C2">
        <w:rPr>
          <w:rFonts w:hint="cs"/>
          <w:rtl/>
        </w:rPr>
        <w:t>[</w:t>
      </w:r>
      <w:r w:rsidRPr="005675B2">
        <w:rPr>
          <w:rFonts w:hint="cs"/>
          <w:rtl/>
        </w:rPr>
        <w:t>لا يُكَلِّفُ اللَّهُ نَفْساً إِلَّا وُسْعَهَا لَهَا مَا كَسَبَتْ وَعَلَيْهَا مَا اكْتَسَبَتْ</w:t>
      </w:r>
      <w:r w:rsidR="000636C2">
        <w:rPr>
          <w:rFonts w:hint="cs"/>
          <w:rtl/>
        </w:rPr>
        <w:t>]</w:t>
      </w:r>
      <w:r w:rsidRPr="005675B2">
        <w:rPr>
          <w:rFonts w:hint="cs"/>
          <w:rtl/>
        </w:rPr>
        <w:t xml:space="preserve"> [</w:t>
      </w:r>
      <w:r w:rsidRPr="005675B2">
        <w:rPr>
          <w:rFonts w:hint="cs"/>
          <w:sz w:val="24"/>
          <w:szCs w:val="24"/>
          <w:rtl/>
        </w:rPr>
        <w:t>سورة البقرة</w:t>
      </w:r>
      <w:r w:rsidR="000636C2">
        <w:rPr>
          <w:rFonts w:hint="cs"/>
          <w:sz w:val="24"/>
          <w:szCs w:val="24"/>
          <w:rtl/>
        </w:rPr>
        <w:t>،</w:t>
      </w:r>
      <w:r w:rsidRPr="005675B2">
        <w:rPr>
          <w:rFonts w:hint="cs"/>
          <w:sz w:val="24"/>
          <w:szCs w:val="24"/>
          <w:rtl/>
        </w:rPr>
        <w:t xml:space="preserve"> الآية 286</w:t>
      </w:r>
      <w:r w:rsidR="000636C2">
        <w:rPr>
          <w:rFonts w:hint="cs"/>
          <w:sz w:val="24"/>
          <w:szCs w:val="24"/>
          <w:rtl/>
        </w:rPr>
        <w:t>]</w:t>
      </w:r>
      <w:r w:rsidR="000636C2">
        <w:rPr>
          <w:rFonts w:hint="cs"/>
          <w:rtl/>
        </w:rPr>
        <w:t xml:space="preserve">، </w:t>
      </w:r>
      <w:r w:rsidRPr="005675B2">
        <w:rPr>
          <w:rFonts w:hint="cs"/>
          <w:rtl/>
        </w:rPr>
        <w:t xml:space="preserve">وأبرأ إلى الله تعالى ممن يقول عن الكسب </w:t>
      </w:r>
      <w:r w:rsidR="000636C2">
        <w:rPr>
          <w:rFonts w:hint="cs"/>
          <w:rtl/>
        </w:rPr>
        <w:t>[</w:t>
      </w:r>
      <w:r w:rsidRPr="005675B2">
        <w:rPr>
          <w:rFonts w:hint="cs"/>
          <w:rtl/>
        </w:rPr>
        <w:t>هو بدعة على أي حال</w:t>
      </w:r>
      <w:r w:rsidR="000636C2">
        <w:rPr>
          <w:rFonts w:hint="cs"/>
          <w:rtl/>
        </w:rPr>
        <w:t>]،</w:t>
      </w:r>
      <w:r w:rsidRPr="005675B2">
        <w:rPr>
          <w:rFonts w:hint="cs"/>
          <w:rtl/>
        </w:rPr>
        <w:t xml:space="preserve"> وأسأل الله تعالى أن يرزقنا الأدب مع كلامه</w:t>
      </w:r>
      <w:r w:rsidR="000636C2">
        <w:rPr>
          <w:rFonts w:hint="cs"/>
          <w:rtl/>
        </w:rPr>
        <w:t>،</w:t>
      </w:r>
      <w:r w:rsidRPr="005675B2">
        <w:rPr>
          <w:rFonts w:hint="cs"/>
          <w:rtl/>
        </w:rPr>
        <w:t xml:space="preserve"> وأن يلهم الباحث التوبة والاستغفار</w:t>
      </w:r>
      <w:r w:rsidR="000636C2">
        <w:rPr>
          <w:rFonts w:hint="cs"/>
          <w:rtl/>
        </w:rPr>
        <w:t xml:space="preserve">، </w:t>
      </w:r>
      <w:r w:rsidRPr="005675B2">
        <w:rPr>
          <w:rFonts w:hint="cs"/>
          <w:rtl/>
        </w:rPr>
        <w:t>وكأن الباحث</w:t>
      </w:r>
      <w:r w:rsidR="000636C2">
        <w:rPr>
          <w:rFonts w:hint="cs"/>
          <w:rtl/>
        </w:rPr>
        <w:t xml:space="preserve"> </w:t>
      </w:r>
      <w:r w:rsidRPr="005675B2">
        <w:rPr>
          <w:rFonts w:hint="cs"/>
          <w:rtl/>
        </w:rPr>
        <w:t>- في غمرة الهجوم على الأشاعرة</w:t>
      </w:r>
      <w:r w:rsidR="000636C2">
        <w:rPr>
          <w:rFonts w:hint="cs"/>
          <w:rtl/>
        </w:rPr>
        <w:t xml:space="preserve"> </w:t>
      </w:r>
      <w:r w:rsidRPr="005675B2">
        <w:rPr>
          <w:rFonts w:hint="cs"/>
          <w:rtl/>
        </w:rPr>
        <w:t>- يرد عليهم كل ما قالوه دون تأمل ولا روية</w:t>
      </w:r>
      <w:r w:rsidR="000636C2">
        <w:rPr>
          <w:rFonts w:hint="cs"/>
          <w:rtl/>
        </w:rPr>
        <w:t>،</w:t>
      </w:r>
      <w:r w:rsidRPr="005675B2">
        <w:rPr>
          <w:rFonts w:hint="cs"/>
          <w:rtl/>
        </w:rPr>
        <w:t xml:space="preserve"> حتى ولو كان ما قالوه هو عين كلام الله سبحانه</w:t>
      </w:r>
      <w:r w:rsidR="000636C2">
        <w:rPr>
          <w:rFonts w:hint="cs"/>
          <w:rtl/>
        </w:rPr>
        <w:t xml:space="preserve">، </w:t>
      </w:r>
      <w:r w:rsidRPr="005675B2">
        <w:rPr>
          <w:rFonts w:hint="cs"/>
          <w:rtl/>
        </w:rPr>
        <w:t>أما تفسير الكسب من بعض الأشاعرة بأنه جبر فذاك تفسيره هو</w:t>
      </w:r>
      <w:r w:rsidR="000636C2">
        <w:rPr>
          <w:rFonts w:hint="cs"/>
          <w:rtl/>
        </w:rPr>
        <w:t>،</w:t>
      </w:r>
      <w:r w:rsidRPr="005675B2">
        <w:rPr>
          <w:rFonts w:hint="cs"/>
          <w:rtl/>
        </w:rPr>
        <w:t xml:space="preserve"> وهذا لا يلغي ما قاله الأشاعرة بأن أفعال المكلفين هي باكتسابهم وخالق الفعل هو الله جل شأنه</w:t>
      </w:r>
      <w:r w:rsidR="000636C2">
        <w:rPr>
          <w:rFonts w:hint="cs"/>
          <w:rtl/>
        </w:rPr>
        <w:t xml:space="preserve">، </w:t>
      </w:r>
      <w:r w:rsidRPr="005675B2">
        <w:rPr>
          <w:rFonts w:hint="cs"/>
          <w:rtl/>
        </w:rPr>
        <w:t>وارجع إلى قول الإمام الطحاوي إذ يقول</w:t>
      </w:r>
      <w:r w:rsidR="000636C2">
        <w:rPr>
          <w:rFonts w:hint="cs"/>
          <w:rtl/>
        </w:rPr>
        <w:t>:</w:t>
      </w:r>
      <w:r w:rsidRPr="005675B2">
        <w:rPr>
          <w:rFonts w:hint="cs"/>
          <w:rtl/>
        </w:rPr>
        <w:t xml:space="preserve"> </w:t>
      </w:r>
      <w:r w:rsidR="000636C2">
        <w:rPr>
          <w:rFonts w:hint="cs"/>
          <w:rtl/>
        </w:rPr>
        <w:t>[</w:t>
      </w:r>
      <w:r w:rsidRPr="005675B2">
        <w:rPr>
          <w:rFonts w:hint="cs"/>
          <w:rtl/>
        </w:rPr>
        <w:t>وأفعال العباد خلق الله وكسب من العباد</w:t>
      </w:r>
      <w:r w:rsidR="000636C2">
        <w:rPr>
          <w:rFonts w:hint="cs"/>
          <w:rtl/>
        </w:rPr>
        <w:t xml:space="preserve">]، </w:t>
      </w:r>
      <w:r w:rsidRPr="005675B2">
        <w:rPr>
          <w:rFonts w:hint="cs"/>
          <w:rtl/>
        </w:rPr>
        <w:t>3</w:t>
      </w:r>
      <w:r w:rsidR="000636C2">
        <w:rPr>
          <w:rFonts w:hint="cs"/>
          <w:rtl/>
        </w:rPr>
        <w:t xml:space="preserve"> </w:t>
      </w:r>
      <w:r w:rsidRPr="005675B2">
        <w:rPr>
          <w:rFonts w:hint="cs"/>
          <w:rtl/>
        </w:rPr>
        <w:t>- يرى الباحث أن كل ذم للصوفية فللأشاعرة منه نصيب لأن أكثر أئمة الصوفية المنحرفين كانوا أشاعرة</w:t>
      </w:r>
      <w:r w:rsidR="000636C2">
        <w:rPr>
          <w:rFonts w:hint="cs"/>
          <w:rtl/>
        </w:rPr>
        <w:t>،</w:t>
      </w:r>
      <w:r w:rsidRPr="005675B2">
        <w:rPr>
          <w:rFonts w:hint="cs"/>
          <w:rtl/>
        </w:rPr>
        <w:t xml:space="preserve"> وهذا من باب الخلط بين المتناثرات</w:t>
      </w:r>
      <w:r w:rsidR="000636C2">
        <w:rPr>
          <w:rFonts w:hint="cs"/>
          <w:rtl/>
        </w:rPr>
        <w:t xml:space="preserve">، </w:t>
      </w:r>
      <w:r w:rsidRPr="005675B2">
        <w:rPr>
          <w:rFonts w:hint="cs"/>
          <w:rtl/>
        </w:rPr>
        <w:t>هب أن أكثر أئمة الصوفية المنحرفين كانوا أشاعرة فالواجب ذم ما اتصف به أولئك من الانحراف</w:t>
      </w:r>
      <w:r w:rsidR="000636C2">
        <w:rPr>
          <w:rFonts w:hint="cs"/>
          <w:rtl/>
        </w:rPr>
        <w:t>،</w:t>
      </w:r>
      <w:r w:rsidRPr="005675B2">
        <w:rPr>
          <w:rFonts w:hint="cs"/>
          <w:rtl/>
        </w:rPr>
        <w:t xml:space="preserve"> لكن ما ذنب الأشاعرة</w:t>
      </w:r>
      <w:r w:rsidR="000636C2">
        <w:rPr>
          <w:rFonts w:hint="cs"/>
          <w:rtl/>
        </w:rPr>
        <w:t xml:space="preserve">؟، </w:t>
      </w:r>
      <w:r w:rsidRPr="005675B2">
        <w:rPr>
          <w:rFonts w:hint="cs"/>
          <w:rtl/>
        </w:rPr>
        <w:t>وكلامه هذا يشبه قول قائل متخيَّل لو قال</w:t>
      </w:r>
      <w:r w:rsidR="000636C2">
        <w:rPr>
          <w:rFonts w:hint="cs"/>
          <w:rtl/>
        </w:rPr>
        <w:t>:</w:t>
      </w:r>
      <w:r w:rsidRPr="005675B2">
        <w:rPr>
          <w:rFonts w:hint="cs"/>
          <w:rtl/>
        </w:rPr>
        <w:t xml:space="preserve"> إن كل ذم للمعتزلة فللحنفية منه نصيب لأن أكثر أئمة المعتزلة كانوا حنفية</w:t>
      </w:r>
      <w:r w:rsidR="000636C2">
        <w:rPr>
          <w:rFonts w:hint="cs"/>
          <w:rtl/>
        </w:rPr>
        <w:t>،</w:t>
      </w:r>
      <w:r w:rsidRPr="005675B2">
        <w:rPr>
          <w:rFonts w:hint="cs"/>
          <w:rtl/>
        </w:rPr>
        <w:t xml:space="preserve"> أو قال</w:t>
      </w:r>
      <w:r w:rsidR="000636C2">
        <w:rPr>
          <w:rFonts w:hint="cs"/>
          <w:rtl/>
        </w:rPr>
        <w:t>:</w:t>
      </w:r>
      <w:r w:rsidRPr="005675B2">
        <w:rPr>
          <w:rFonts w:hint="cs"/>
          <w:rtl/>
        </w:rPr>
        <w:t xml:space="preserve"> إن كل ذم للكذابين والوضاعين في النصوص الشرعية فللمحدثين منه نصيب لأن أكثر الكذابين والوضاعين في نصوص الشريعة كانوا محدثين</w:t>
      </w:r>
      <w:r w:rsidR="000636C2">
        <w:rPr>
          <w:rFonts w:hint="cs"/>
          <w:rtl/>
        </w:rPr>
        <w:t>،</w:t>
      </w:r>
      <w:r w:rsidRPr="005675B2">
        <w:rPr>
          <w:rFonts w:hint="cs"/>
          <w:rtl/>
        </w:rPr>
        <w:t xml:space="preserve"> أو قال</w:t>
      </w:r>
      <w:r w:rsidR="000636C2">
        <w:rPr>
          <w:rFonts w:hint="cs"/>
          <w:rtl/>
        </w:rPr>
        <w:t>:</w:t>
      </w:r>
      <w:r w:rsidRPr="005675B2">
        <w:rPr>
          <w:rFonts w:hint="cs"/>
          <w:rtl/>
        </w:rPr>
        <w:t xml:space="preserve"> إن كل ذم لرواة الإسرائيليات فللمفسرين منه نصيب لأن أكثر أولئك الرواة كانوا مفسرين</w:t>
      </w:r>
      <w:r w:rsidR="000636C2">
        <w:rPr>
          <w:rFonts w:hint="cs"/>
          <w:rtl/>
        </w:rPr>
        <w:t xml:space="preserve">!، </w:t>
      </w:r>
      <w:r w:rsidRPr="005675B2">
        <w:rPr>
          <w:rFonts w:hint="cs"/>
          <w:rtl/>
        </w:rPr>
        <w:t>ويقال لهذا القائل المُتَخيّـل</w:t>
      </w:r>
      <w:r w:rsidR="000636C2">
        <w:rPr>
          <w:rFonts w:hint="cs"/>
          <w:rtl/>
        </w:rPr>
        <w:t>:</w:t>
      </w:r>
      <w:r w:rsidRPr="005675B2">
        <w:rPr>
          <w:rFonts w:hint="cs"/>
          <w:rtl/>
        </w:rPr>
        <w:t xml:space="preserve"> هل أكثر أئمة المعتزلة كانوا حنفية</w:t>
      </w:r>
      <w:r w:rsidR="000636C2">
        <w:rPr>
          <w:rFonts w:hint="cs"/>
          <w:rtl/>
        </w:rPr>
        <w:t>؟!</w:t>
      </w:r>
      <w:r w:rsidRPr="005675B2">
        <w:rPr>
          <w:rFonts w:hint="cs"/>
          <w:rtl/>
        </w:rPr>
        <w:t xml:space="preserve"> وهل أكثر الكذابين والوضاعين في نصوص الشريعة كانوا محدثين</w:t>
      </w:r>
      <w:r w:rsidR="000636C2">
        <w:rPr>
          <w:rFonts w:hint="cs"/>
          <w:rtl/>
        </w:rPr>
        <w:t>؟!</w:t>
      </w:r>
      <w:r w:rsidRPr="005675B2">
        <w:rPr>
          <w:rFonts w:hint="cs"/>
          <w:rtl/>
        </w:rPr>
        <w:t xml:space="preserve"> وهل أكثر رواة الإسرائيليات كانوا مفسرين</w:t>
      </w:r>
      <w:r w:rsidR="000636C2">
        <w:rPr>
          <w:rFonts w:hint="cs"/>
          <w:rtl/>
        </w:rPr>
        <w:t>؟!</w:t>
      </w:r>
      <w:r w:rsidRPr="005675B2">
        <w:rPr>
          <w:rFonts w:hint="cs"/>
          <w:rtl/>
        </w:rPr>
        <w:t xml:space="preserve"> كما يقال للباحث</w:t>
      </w:r>
      <w:r w:rsidR="000636C2">
        <w:rPr>
          <w:rFonts w:hint="cs"/>
          <w:rtl/>
        </w:rPr>
        <w:t>:</w:t>
      </w:r>
      <w:r w:rsidRPr="005675B2">
        <w:rPr>
          <w:rFonts w:hint="cs"/>
          <w:rtl/>
        </w:rPr>
        <w:t xml:space="preserve"> هل أكثر أئمة الصوفية المنحرفين كانوا أشاعرة</w:t>
      </w:r>
      <w:r w:rsidR="000636C2">
        <w:rPr>
          <w:rFonts w:hint="cs"/>
          <w:rtl/>
        </w:rPr>
        <w:t>؟،</w:t>
      </w:r>
      <w:r w:rsidRPr="005675B2">
        <w:rPr>
          <w:rFonts w:hint="cs"/>
          <w:rtl/>
        </w:rPr>
        <w:t xml:space="preserve"> وإذا كان ذلك كذلك فعليكم بالمنهج القرآني ولا تحملوا أحداً وزر غيره إذا لم يكن هو سبباً فيه</w:t>
      </w:r>
      <w:r w:rsidR="000636C2">
        <w:rPr>
          <w:rFonts w:hint="cs"/>
          <w:rtl/>
        </w:rPr>
        <w:t>،</w:t>
      </w:r>
      <w:r w:rsidRPr="005675B2">
        <w:rPr>
          <w:rFonts w:hint="cs"/>
          <w:rtl/>
        </w:rPr>
        <w:t xml:space="preserve"> قال الله تعالى </w:t>
      </w:r>
      <w:r w:rsidR="000636C2">
        <w:rPr>
          <w:rFonts w:hint="cs"/>
          <w:rtl/>
        </w:rPr>
        <w:t>[</w:t>
      </w:r>
      <w:r w:rsidRPr="005675B2">
        <w:rPr>
          <w:rFonts w:hint="cs"/>
          <w:rtl/>
        </w:rPr>
        <w:t>وَلا تَكْسِبُ كُلُّ نَفْسٍ إِلَّا عَلَيْهَا وَلا تَزِرُ وَازِرَةٌ وِزْرَ أُخْرَى</w:t>
      </w:r>
      <w:r w:rsidR="000636C2">
        <w:rPr>
          <w:rFonts w:hint="cs"/>
          <w:rtl/>
        </w:rPr>
        <w:t>]</w:t>
      </w:r>
      <w:r w:rsidRPr="005675B2">
        <w:rPr>
          <w:rFonts w:hint="cs"/>
          <w:rtl/>
        </w:rPr>
        <w:t xml:space="preserve"> [</w:t>
      </w:r>
      <w:r w:rsidRPr="005675B2">
        <w:rPr>
          <w:rFonts w:hint="cs"/>
          <w:sz w:val="24"/>
          <w:szCs w:val="24"/>
          <w:rtl/>
        </w:rPr>
        <w:t>ة الأنعام</w:t>
      </w:r>
      <w:r w:rsidR="000636C2">
        <w:rPr>
          <w:rFonts w:hint="cs"/>
          <w:sz w:val="24"/>
          <w:szCs w:val="24"/>
          <w:rtl/>
        </w:rPr>
        <w:t>،</w:t>
      </w:r>
      <w:r w:rsidRPr="005675B2">
        <w:rPr>
          <w:rFonts w:hint="cs"/>
          <w:sz w:val="24"/>
          <w:szCs w:val="24"/>
          <w:rtl/>
        </w:rPr>
        <w:t xml:space="preserve"> الآية 164</w:t>
      </w:r>
      <w:r w:rsidR="000636C2">
        <w:rPr>
          <w:rFonts w:hint="cs"/>
          <w:sz w:val="24"/>
          <w:szCs w:val="24"/>
          <w:rtl/>
        </w:rPr>
        <w:t>]</w:t>
      </w:r>
      <w:r w:rsidRPr="005675B2">
        <w:rPr>
          <w:rFonts w:hint="cs"/>
          <w:rtl/>
        </w:rPr>
        <w:t>،</w:t>
      </w:r>
    </w:p>
    <w:p w14:paraId="5A5562B3" w14:textId="48AA1544" w:rsidR="009C32A0" w:rsidRPr="005675B2" w:rsidRDefault="009C32A0" w:rsidP="000636C2">
      <w:pPr>
        <w:rPr>
          <w:b/>
          <w:rtl/>
        </w:rPr>
      </w:pPr>
      <w:r w:rsidRPr="005675B2">
        <w:rPr>
          <w:rFonts w:hint="cs"/>
          <w:rtl/>
        </w:rPr>
        <w:t>قال الباحث</w:t>
      </w:r>
      <w:r w:rsidR="000636C2">
        <w:rPr>
          <w:rFonts w:hint="cs"/>
          <w:rtl/>
        </w:rPr>
        <w:t>: [</w:t>
      </w:r>
      <w:r w:rsidRPr="005675B2">
        <w:rPr>
          <w:rFonts w:hint="cs"/>
          <w:rtl/>
        </w:rPr>
        <w:t>إن هذه العقائد التي أدخلتموها في الإسلام وجعلتموها عقيدة الفرقة الناجية بزعمكم</w:t>
      </w:r>
      <w:r w:rsidR="000636C2">
        <w:rPr>
          <w:rFonts w:hint="cs"/>
          <w:rtl/>
        </w:rPr>
        <w:t>:</w:t>
      </w:r>
      <w:r w:rsidRPr="005675B2">
        <w:rPr>
          <w:rFonts w:hint="cs"/>
          <w:rtl/>
        </w:rPr>
        <w:t xml:space="preserve"> هي ما كان عليه فلاسفة اليونان ومشركو الصابئة وزنادقة أهل الكتاب</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على أن المراء حول الفرقة الناجية ليس جديداً من الأشاعرة</w:t>
      </w:r>
      <w:r w:rsidR="000636C2">
        <w:rPr>
          <w:rFonts w:hint="cs"/>
          <w:rtl/>
        </w:rPr>
        <w:t>،</w:t>
      </w:r>
      <w:r w:rsidRPr="005675B2">
        <w:rPr>
          <w:rFonts w:hint="cs"/>
          <w:rtl/>
        </w:rPr>
        <w:t xml:space="preserve"> فقد عقدوا لشيخ الإسلام ابن تيمية محاكمة كبرى بسبب تأليفه العقيدة الواسطية</w:t>
      </w:r>
      <w:r w:rsidR="000636C2">
        <w:rPr>
          <w:rFonts w:hint="cs"/>
          <w:rtl/>
        </w:rPr>
        <w:t>،</w:t>
      </w:r>
      <w:r w:rsidRPr="005675B2">
        <w:rPr>
          <w:rFonts w:hint="cs"/>
          <w:rtl/>
        </w:rPr>
        <w:t xml:space="preserve"> </w:t>
      </w:r>
      <w:r w:rsidRPr="005675B2">
        <w:t>…</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تبين مما تقدم أن الأشاعرة فرقة من الثنتين وسبعين فرقة وأن حكم هذه الفرق الثنتين وسبعين هو</w:t>
      </w:r>
      <w:r w:rsidR="000636C2">
        <w:rPr>
          <w:rFonts w:hint="cs"/>
          <w:rtl/>
        </w:rPr>
        <w:t>:</w:t>
      </w:r>
      <w:r w:rsidRPr="005675B2">
        <w:rPr>
          <w:rFonts w:hint="cs"/>
          <w:rtl/>
        </w:rPr>
        <w:t xml:space="preserve"> الضلالة والبدعة</w:t>
      </w:r>
      <w:r w:rsidR="000636C2">
        <w:rPr>
          <w:rFonts w:hint="cs"/>
          <w:rtl/>
        </w:rPr>
        <w:t>،</w:t>
      </w:r>
      <w:r w:rsidRPr="005675B2">
        <w:rPr>
          <w:rFonts w:hint="cs"/>
          <w:rtl/>
        </w:rPr>
        <w:t xml:space="preserve"> الوعيد بالنار وعدم النجاة</w:t>
      </w:r>
      <w:r w:rsidR="000636C2">
        <w:rPr>
          <w:rFonts w:hint="cs"/>
          <w:rtl/>
        </w:rPr>
        <w:t xml:space="preserve">، </w:t>
      </w:r>
      <w:r w:rsidRPr="005675B2">
        <w:rPr>
          <w:rFonts w:hint="cs"/>
          <w:rtl/>
        </w:rPr>
        <w:t>… والحاصل أن قولنا إن الأشاعرة فرقة ضالة يعني أنها منحرفة عن طريق الحق ومنهج السنة</w:t>
      </w:r>
      <w:r w:rsidR="000636C2">
        <w:rPr>
          <w:rFonts w:hint="cs"/>
          <w:rtl/>
        </w:rPr>
        <w:t>،</w:t>
      </w:r>
      <w:r w:rsidRPr="005675B2">
        <w:rPr>
          <w:rFonts w:hint="cs"/>
          <w:rtl/>
        </w:rPr>
        <w:t xml:space="preserve"> ولا يعني مطلقاً خروجها عن الملة وأهل القبلة</w:t>
      </w:r>
      <w:r w:rsidR="000636C2">
        <w:rPr>
          <w:rFonts w:hint="cs"/>
          <w:rtl/>
        </w:rPr>
        <w:t>]،</w:t>
      </w:r>
    </w:p>
    <w:p w14:paraId="18B850D6" w14:textId="2766CC69"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يتهم الباحث الأشاعرة بأنهم أدخلوا في الإسلام عقائد وجعلوها عقيدة الفرقة الناجية بزعمهم</w:t>
      </w:r>
      <w:r w:rsidR="000636C2">
        <w:rPr>
          <w:rFonts w:hint="cs"/>
          <w:rtl/>
        </w:rPr>
        <w:t>،</w:t>
      </w:r>
      <w:r w:rsidRPr="005675B2">
        <w:rPr>
          <w:rFonts w:hint="cs"/>
          <w:rtl/>
        </w:rPr>
        <w:t xml:space="preserve"> وبأن تلك العقائد هي ما كان عليه فلاسـفة اليونان ومشركو الصابئة وزنادقة أهل الكتاب</w:t>
      </w:r>
      <w:r w:rsidR="000636C2">
        <w:rPr>
          <w:rFonts w:hint="cs"/>
          <w:rtl/>
        </w:rPr>
        <w:t xml:space="preserve">!، </w:t>
      </w:r>
      <w:r w:rsidRPr="005675B2">
        <w:rPr>
          <w:rFonts w:hint="cs"/>
          <w:rtl/>
        </w:rPr>
        <w:t>يريد الباحث منا</w:t>
      </w:r>
      <w:r w:rsidR="000636C2">
        <w:rPr>
          <w:rFonts w:hint="cs"/>
          <w:rtl/>
        </w:rPr>
        <w:t xml:space="preserve"> </w:t>
      </w:r>
      <w:r w:rsidRPr="005675B2">
        <w:rPr>
          <w:rFonts w:hint="cs"/>
          <w:rtl/>
        </w:rPr>
        <w:t>- معشر القراء</w:t>
      </w:r>
      <w:r w:rsidR="000636C2">
        <w:rPr>
          <w:rFonts w:hint="cs"/>
          <w:rtl/>
        </w:rPr>
        <w:t xml:space="preserve"> </w:t>
      </w:r>
      <w:r w:rsidRPr="005675B2">
        <w:rPr>
          <w:rFonts w:hint="cs"/>
          <w:rtl/>
        </w:rPr>
        <w:t>- أن نصدق ما يقول في خصومه الأشاعرة دون حجة ولا برهان</w:t>
      </w:r>
      <w:r w:rsidR="000636C2">
        <w:rPr>
          <w:rFonts w:hint="cs"/>
          <w:rtl/>
        </w:rPr>
        <w:t>!</w:t>
      </w:r>
      <w:r w:rsidRPr="005675B2">
        <w:rPr>
          <w:rFonts w:hint="cs"/>
          <w:rtl/>
        </w:rPr>
        <w:t xml:space="preserve"> وكأنه يقول</w:t>
      </w:r>
      <w:r w:rsidR="000636C2">
        <w:rPr>
          <w:rFonts w:hint="cs"/>
          <w:rtl/>
        </w:rPr>
        <w:t>:</w:t>
      </w:r>
      <w:r w:rsidRPr="005675B2">
        <w:rPr>
          <w:rFonts w:hint="cs"/>
          <w:rtl/>
        </w:rPr>
        <w:t xml:space="preserve"> لا تفكروا أنتم</w:t>
      </w:r>
      <w:r w:rsidR="000636C2">
        <w:rPr>
          <w:rFonts w:hint="cs"/>
          <w:rtl/>
        </w:rPr>
        <w:t>،</w:t>
      </w:r>
      <w:r w:rsidRPr="005675B2">
        <w:rPr>
          <w:rFonts w:hint="cs"/>
          <w:rtl/>
        </w:rPr>
        <w:t xml:space="preserve"> ولا تشغلوا بالكم</w:t>
      </w:r>
      <w:r w:rsidR="000636C2">
        <w:rPr>
          <w:rFonts w:hint="cs"/>
          <w:rtl/>
        </w:rPr>
        <w:t>،</w:t>
      </w:r>
      <w:r w:rsidRPr="005675B2">
        <w:rPr>
          <w:rFonts w:hint="cs"/>
          <w:rtl/>
        </w:rPr>
        <w:t xml:space="preserve"> فغيركم مستعد للتفكير والبحث</w:t>
      </w:r>
      <w:r w:rsidR="000636C2">
        <w:rPr>
          <w:rFonts w:hint="cs"/>
          <w:rtl/>
        </w:rPr>
        <w:t>،</w:t>
      </w:r>
      <w:r w:rsidRPr="005675B2">
        <w:rPr>
          <w:rFonts w:hint="cs"/>
          <w:rtl/>
        </w:rPr>
        <w:t xml:space="preserve"> ويعطيكم النتائج</w:t>
      </w:r>
      <w:r w:rsidR="000636C2">
        <w:rPr>
          <w:rFonts w:hint="cs"/>
          <w:rtl/>
        </w:rPr>
        <w:t>،</w:t>
      </w:r>
      <w:r w:rsidRPr="005675B2">
        <w:rPr>
          <w:rFonts w:hint="cs"/>
          <w:rtl/>
        </w:rPr>
        <w:t xml:space="preserve"> ولا تطالبوا بالدليل</w:t>
      </w:r>
      <w:r w:rsidR="000636C2">
        <w:rPr>
          <w:rFonts w:hint="cs"/>
          <w:rtl/>
        </w:rPr>
        <w:t>،</w:t>
      </w:r>
      <w:r w:rsidRPr="005675B2">
        <w:rPr>
          <w:rFonts w:hint="cs"/>
          <w:rtl/>
        </w:rPr>
        <w:t xml:space="preserve"> ولا تناقشوا الحجج</w:t>
      </w:r>
      <w:r w:rsidR="000636C2">
        <w:rPr>
          <w:rFonts w:hint="cs"/>
          <w:rtl/>
        </w:rPr>
        <w:t>،</w:t>
      </w:r>
      <w:r w:rsidRPr="005675B2">
        <w:rPr>
          <w:rFonts w:hint="cs"/>
          <w:rtl/>
        </w:rPr>
        <w:t xml:space="preserve"> فالتقليد لا يجوز في الأحكام</w:t>
      </w:r>
      <w:r w:rsidR="000636C2">
        <w:rPr>
          <w:rFonts w:hint="cs"/>
          <w:rtl/>
        </w:rPr>
        <w:t>،</w:t>
      </w:r>
      <w:r w:rsidRPr="005675B2">
        <w:rPr>
          <w:rFonts w:hint="cs"/>
          <w:rtl/>
        </w:rPr>
        <w:t xml:space="preserve"> لكنه جائز في العقيدة</w:t>
      </w:r>
      <w:r w:rsidR="000636C2">
        <w:rPr>
          <w:rFonts w:hint="cs"/>
          <w:rtl/>
        </w:rPr>
        <w:t>،</w:t>
      </w:r>
      <w:r w:rsidRPr="005675B2">
        <w:rPr>
          <w:rFonts w:hint="cs"/>
          <w:rtl/>
        </w:rPr>
        <w:t xml:space="preserve"> فعليكم بتقليد الناطق باسم عقيدة أهل السنة والجماعة</w:t>
      </w:r>
      <w:r w:rsidR="000636C2">
        <w:rPr>
          <w:rFonts w:hint="cs"/>
          <w:rtl/>
        </w:rPr>
        <w:t xml:space="preserve">!، </w:t>
      </w:r>
      <w:r w:rsidRPr="005675B2">
        <w:rPr>
          <w:rFonts w:hint="cs"/>
          <w:rtl/>
        </w:rPr>
        <w:t>ولكن المنهج الذي ارتضاه لنا ربنا جل شأنه هو غير هذا</w:t>
      </w:r>
      <w:r w:rsidR="000636C2">
        <w:rPr>
          <w:rFonts w:hint="cs"/>
          <w:rtl/>
        </w:rPr>
        <w:t>،</w:t>
      </w:r>
      <w:r w:rsidRPr="005675B2">
        <w:rPr>
          <w:rFonts w:hint="cs"/>
          <w:rtl/>
        </w:rPr>
        <w:t xml:space="preserve"> وهو في قوله تعالى </w:t>
      </w:r>
      <w:r w:rsidR="000636C2">
        <w:rPr>
          <w:rFonts w:hint="cs"/>
          <w:rtl/>
        </w:rPr>
        <w:t>[</w:t>
      </w:r>
      <w:r w:rsidRPr="005675B2">
        <w:rPr>
          <w:rFonts w:hint="cs"/>
          <w:rtl/>
        </w:rPr>
        <w:t>قُلْ هَاتُوا بُرْهَانَكُمْ إِنْ كُنْتُمْ صَادِقِينَ</w:t>
      </w:r>
      <w:r w:rsidR="000636C2">
        <w:rPr>
          <w:rFonts w:hint="cs"/>
          <w:rtl/>
        </w:rPr>
        <w:t>]</w:t>
      </w:r>
      <w:r w:rsidRPr="005675B2">
        <w:rPr>
          <w:rFonts w:hint="cs"/>
          <w:rtl/>
        </w:rPr>
        <w:t xml:space="preserve"> [</w:t>
      </w:r>
      <w:r w:rsidRPr="005675B2">
        <w:rPr>
          <w:rFonts w:hint="cs"/>
          <w:sz w:val="24"/>
          <w:szCs w:val="24"/>
          <w:rtl/>
        </w:rPr>
        <w:t>سورة الأنبياء</w:t>
      </w:r>
      <w:r w:rsidR="000636C2">
        <w:rPr>
          <w:rFonts w:hint="cs"/>
          <w:sz w:val="24"/>
          <w:szCs w:val="24"/>
          <w:rtl/>
        </w:rPr>
        <w:t>،</w:t>
      </w:r>
      <w:r w:rsidRPr="005675B2">
        <w:rPr>
          <w:rFonts w:hint="cs"/>
          <w:sz w:val="24"/>
          <w:szCs w:val="24"/>
          <w:rtl/>
        </w:rPr>
        <w:t xml:space="preserve"> الآية 24</w:t>
      </w:r>
      <w:r w:rsidR="000636C2">
        <w:rPr>
          <w:rFonts w:hint="cs"/>
          <w:sz w:val="24"/>
          <w:szCs w:val="24"/>
          <w:rtl/>
        </w:rPr>
        <w:t>]</w:t>
      </w:r>
      <w:r w:rsidR="000636C2">
        <w:rPr>
          <w:rFonts w:hint="cs"/>
          <w:rtl/>
        </w:rPr>
        <w:t>،</w:t>
      </w:r>
      <w:r w:rsidRPr="005675B2">
        <w:rPr>
          <w:rFonts w:hint="cs"/>
          <w:rtl/>
        </w:rPr>
        <w:t xml:space="preserve"> وأقول للباحث</w:t>
      </w:r>
      <w:r w:rsidR="000636C2">
        <w:rPr>
          <w:rFonts w:hint="cs"/>
          <w:rtl/>
        </w:rPr>
        <w:t>:</w:t>
      </w:r>
      <w:r w:rsidRPr="005675B2">
        <w:rPr>
          <w:rFonts w:hint="cs"/>
          <w:rtl/>
        </w:rPr>
        <w:t xml:space="preserve"> لقد قرأت بحثك بدقة وإمعان ونزاهة وتجرد</w:t>
      </w:r>
      <w:r w:rsidR="000636C2">
        <w:rPr>
          <w:rFonts w:hint="cs"/>
          <w:rtl/>
        </w:rPr>
        <w:t>،</w:t>
      </w:r>
      <w:r w:rsidRPr="005675B2">
        <w:rPr>
          <w:rFonts w:hint="cs"/>
          <w:rtl/>
        </w:rPr>
        <w:t xml:space="preserve"> فلم أر موضعاً واحداً ذكرت فيه قولاً للأشاعرة من كتبهم وأثبت أنهم في ذلك مخالفون لآية قرآنية أو حديث نبوي</w:t>
      </w:r>
      <w:r w:rsidR="000636C2">
        <w:rPr>
          <w:rFonts w:hint="cs"/>
          <w:rtl/>
        </w:rPr>
        <w:t>،</w:t>
      </w:r>
      <w:r w:rsidRPr="005675B2">
        <w:rPr>
          <w:rFonts w:hint="cs"/>
          <w:rtl/>
        </w:rPr>
        <w:t xml:space="preserve"> وأنهم قد اقتبسوا ذلك مما كان عليه فلاسفة اليونان أو مشركو الصابئة أو زنادقة أهل الكتاب</w:t>
      </w:r>
      <w:r w:rsidR="000636C2">
        <w:rPr>
          <w:rFonts w:hint="cs"/>
          <w:rtl/>
        </w:rPr>
        <w:t xml:space="preserve">، </w:t>
      </w:r>
      <w:r w:rsidRPr="005675B2">
        <w:rPr>
          <w:rFonts w:hint="cs"/>
          <w:rtl/>
        </w:rPr>
        <w:t>فتطبيق المنهج القرآني يوجب عدم قبول كلامك حتى تأتي بالبرهان</w:t>
      </w:r>
      <w:r w:rsidR="000636C2">
        <w:rPr>
          <w:rFonts w:hint="cs"/>
          <w:rtl/>
        </w:rPr>
        <w:t>،</w:t>
      </w:r>
      <w:r w:rsidRPr="005675B2">
        <w:rPr>
          <w:rFonts w:hint="cs"/>
          <w:rtl/>
        </w:rPr>
        <w:t xml:space="preserve"> وقد علمنا الله تعالى أن نقول </w:t>
      </w:r>
      <w:r w:rsidR="000636C2">
        <w:rPr>
          <w:rFonts w:hint="cs"/>
          <w:rtl/>
        </w:rPr>
        <w:t>[</w:t>
      </w:r>
      <w:r w:rsidRPr="005675B2">
        <w:rPr>
          <w:rFonts w:hint="cs"/>
          <w:rtl/>
        </w:rPr>
        <w:t>قُلْ هَلْ عِنْدَكُمْ مِنْ عِلْمٍ فَتُخْرِجُوهُ لَنَا</w:t>
      </w:r>
      <w:r w:rsidR="000636C2">
        <w:rPr>
          <w:rFonts w:hint="cs"/>
          <w:rtl/>
        </w:rPr>
        <w:t>؟!]</w:t>
      </w:r>
      <w:r w:rsidRPr="005675B2">
        <w:rPr>
          <w:rFonts w:hint="cs"/>
          <w:rtl/>
        </w:rPr>
        <w:t xml:space="preserve"> [</w:t>
      </w:r>
      <w:r w:rsidRPr="005675B2">
        <w:rPr>
          <w:rFonts w:hint="cs"/>
          <w:sz w:val="24"/>
          <w:szCs w:val="24"/>
          <w:rtl/>
        </w:rPr>
        <w:t>سورة الأنعام</w:t>
      </w:r>
      <w:r w:rsidR="000636C2">
        <w:rPr>
          <w:rFonts w:hint="cs"/>
          <w:sz w:val="24"/>
          <w:szCs w:val="24"/>
          <w:rtl/>
        </w:rPr>
        <w:t>،</w:t>
      </w:r>
      <w:r w:rsidRPr="005675B2">
        <w:rPr>
          <w:rFonts w:hint="cs"/>
          <w:sz w:val="24"/>
          <w:szCs w:val="24"/>
          <w:rtl/>
        </w:rPr>
        <w:t xml:space="preserve"> الآية 148</w:t>
      </w:r>
      <w:r w:rsidR="000636C2">
        <w:rPr>
          <w:rFonts w:hint="cs"/>
          <w:sz w:val="24"/>
          <w:szCs w:val="24"/>
          <w:rtl/>
        </w:rPr>
        <w:t>]</w:t>
      </w:r>
      <w:r w:rsidR="000636C2">
        <w:rPr>
          <w:rFonts w:hint="cs"/>
          <w:rtl/>
        </w:rPr>
        <w:t xml:space="preserve">، </w:t>
      </w:r>
      <w:r w:rsidRPr="005675B2">
        <w:rPr>
          <w:rFonts w:hint="cs"/>
          <w:rtl/>
        </w:rPr>
        <w:t>2 - يدندن الباحث حول الفرقة الناجية</w:t>
      </w:r>
      <w:r w:rsidR="000636C2">
        <w:rPr>
          <w:rFonts w:hint="cs"/>
          <w:rtl/>
        </w:rPr>
        <w:t>،</w:t>
      </w:r>
      <w:r w:rsidRPr="005675B2">
        <w:rPr>
          <w:rFonts w:hint="cs"/>
          <w:rtl/>
        </w:rPr>
        <w:t xml:space="preserve"> ويقول إنها واحدة</w:t>
      </w:r>
      <w:r w:rsidR="000636C2">
        <w:rPr>
          <w:rFonts w:hint="cs"/>
          <w:rtl/>
        </w:rPr>
        <w:t>،</w:t>
      </w:r>
      <w:r w:rsidRPr="005675B2">
        <w:rPr>
          <w:rFonts w:hint="cs"/>
          <w:rtl/>
        </w:rPr>
        <w:t xml:space="preserve"> لا ثنتان</w:t>
      </w:r>
      <w:r w:rsidR="000636C2">
        <w:rPr>
          <w:rFonts w:hint="cs"/>
          <w:rtl/>
        </w:rPr>
        <w:t>،</w:t>
      </w:r>
      <w:r w:rsidRPr="005675B2">
        <w:rPr>
          <w:rFonts w:hint="cs"/>
          <w:rtl/>
        </w:rPr>
        <w:t xml:space="preserve"> وهذا مما لا خلاف فيه</w:t>
      </w:r>
      <w:r w:rsidR="000636C2">
        <w:rPr>
          <w:rFonts w:hint="cs"/>
          <w:rtl/>
        </w:rPr>
        <w:t>،</w:t>
      </w:r>
      <w:r w:rsidRPr="005675B2">
        <w:rPr>
          <w:rFonts w:hint="cs"/>
          <w:rtl/>
        </w:rPr>
        <w:t xml:space="preserve"> ولكن</w:t>
      </w:r>
      <w:r w:rsidR="000636C2">
        <w:rPr>
          <w:rFonts w:hint="cs"/>
          <w:rtl/>
        </w:rPr>
        <w:t>:</w:t>
      </w:r>
      <w:r w:rsidRPr="005675B2">
        <w:rPr>
          <w:rFonts w:hint="cs"/>
          <w:rtl/>
        </w:rPr>
        <w:t xml:space="preserve"> أي الفرق هي الفرقة الناجية</w:t>
      </w:r>
      <w:r w:rsidR="000636C2">
        <w:rPr>
          <w:rFonts w:hint="cs"/>
          <w:rtl/>
        </w:rPr>
        <w:t xml:space="preserve">؟، </w:t>
      </w:r>
      <w:r w:rsidRPr="005675B2">
        <w:rPr>
          <w:rFonts w:hint="cs"/>
          <w:rtl/>
        </w:rPr>
        <w:t>يستطيع كل إنسان أن يدعي أنه هو وأهل مذهبه هم الفرقة الناجية</w:t>
      </w:r>
      <w:r w:rsidR="000636C2">
        <w:rPr>
          <w:rFonts w:hint="cs"/>
          <w:rtl/>
        </w:rPr>
        <w:t>،</w:t>
      </w:r>
      <w:r w:rsidRPr="005675B2">
        <w:rPr>
          <w:rFonts w:hint="cs"/>
          <w:rtl/>
        </w:rPr>
        <w:t xml:space="preserve"> ولكن</w:t>
      </w:r>
      <w:r w:rsidR="000636C2">
        <w:rPr>
          <w:rFonts w:hint="cs"/>
          <w:rtl/>
        </w:rPr>
        <w:t>:</w:t>
      </w:r>
      <w:r w:rsidRPr="005675B2">
        <w:rPr>
          <w:rFonts w:hint="cs"/>
          <w:rtl/>
        </w:rPr>
        <w:t xml:space="preserve"> هل يمكن أن تقبل الدعوى بدون إثبات</w:t>
      </w:r>
      <w:r w:rsidR="000636C2">
        <w:rPr>
          <w:rFonts w:hint="cs"/>
          <w:rtl/>
        </w:rPr>
        <w:t xml:space="preserve">؟، </w:t>
      </w:r>
      <w:r w:rsidRPr="005675B2">
        <w:rPr>
          <w:rFonts w:hint="cs"/>
          <w:rtl/>
        </w:rPr>
        <w:t>الفرقة الناجية تشمل كل من استمسك بالكتاب والسنة وجعلهما الميزان الذي يزن به كل ما سواهما</w:t>
      </w:r>
      <w:r w:rsidR="000636C2">
        <w:rPr>
          <w:rFonts w:hint="cs"/>
          <w:rtl/>
        </w:rPr>
        <w:t>،</w:t>
      </w:r>
      <w:r w:rsidRPr="005675B2">
        <w:rPr>
          <w:rFonts w:hint="cs"/>
          <w:rtl/>
        </w:rPr>
        <w:t xml:space="preserve"> فهما الحجة لأقوال الناس أو عليها</w:t>
      </w:r>
      <w:r w:rsidR="000636C2">
        <w:rPr>
          <w:rFonts w:hint="cs"/>
          <w:rtl/>
        </w:rPr>
        <w:t>،</w:t>
      </w:r>
      <w:r w:rsidRPr="005675B2">
        <w:rPr>
          <w:rFonts w:hint="cs"/>
          <w:rtl/>
        </w:rPr>
        <w:t xml:space="preserve"> أما أقوال الناس فيحتج لها لا بها</w:t>
      </w:r>
      <w:r w:rsidR="000636C2">
        <w:rPr>
          <w:rFonts w:hint="cs"/>
          <w:rtl/>
        </w:rPr>
        <w:t xml:space="preserve">، </w:t>
      </w:r>
      <w:r w:rsidRPr="005675B2">
        <w:rPr>
          <w:rFonts w:hint="cs"/>
          <w:rtl/>
        </w:rPr>
        <w:t>فالحذر الحذر من أن تظن أنك أنت وأهل نحلتك هم الفرقة الناجية دون من سواكم</w:t>
      </w:r>
      <w:r w:rsidR="000636C2">
        <w:rPr>
          <w:rFonts w:hint="cs"/>
          <w:rtl/>
        </w:rPr>
        <w:t>،</w:t>
      </w:r>
      <w:r w:rsidRPr="005675B2">
        <w:rPr>
          <w:rFonts w:hint="cs"/>
          <w:rtl/>
        </w:rPr>
        <w:t xml:space="preserve"> فتقبل قول جماعتك وإن لم يكن معهم دليل</w:t>
      </w:r>
      <w:r w:rsidR="000636C2">
        <w:rPr>
          <w:rFonts w:hint="cs"/>
          <w:rtl/>
        </w:rPr>
        <w:t>،</w:t>
      </w:r>
      <w:r w:rsidRPr="005675B2">
        <w:rPr>
          <w:rFonts w:hint="cs"/>
          <w:rtl/>
        </w:rPr>
        <w:t xml:space="preserve"> وتردَّ قول الآخرين بتمحل ولو كان معهم الدليل</w:t>
      </w:r>
      <w:r w:rsidR="000636C2">
        <w:rPr>
          <w:rFonts w:hint="cs"/>
          <w:rtl/>
        </w:rPr>
        <w:t>،</w:t>
      </w:r>
      <w:r w:rsidRPr="005675B2">
        <w:rPr>
          <w:rFonts w:hint="cs"/>
          <w:rtl/>
        </w:rPr>
        <w:t xml:space="preserve"> فالحق أحقُ أن يُتَّبع</w:t>
      </w:r>
      <w:r w:rsidR="000636C2">
        <w:rPr>
          <w:rFonts w:hint="cs"/>
          <w:rtl/>
        </w:rPr>
        <w:t xml:space="preserve">، </w:t>
      </w:r>
      <w:r w:rsidRPr="005675B2">
        <w:rPr>
          <w:rFonts w:hint="cs"/>
          <w:rtl/>
        </w:rPr>
        <w:t>الذين يتبنى الباحث أقوالهم يرون أنهم على عقيدة الإمام أحمد ابن حنبل</w:t>
      </w:r>
      <w:r w:rsidR="000636C2">
        <w:rPr>
          <w:rFonts w:hint="cs"/>
          <w:rtl/>
        </w:rPr>
        <w:t>،</w:t>
      </w:r>
      <w:r w:rsidRPr="005675B2">
        <w:rPr>
          <w:rFonts w:hint="cs"/>
          <w:rtl/>
        </w:rPr>
        <w:t xml:space="preserve"> ولكنهم لا يستطيعون أن يثبتوا عن أحمد ابن حنبل أنه كان يقول بكل ما يقولون</w:t>
      </w:r>
      <w:r w:rsidR="000636C2">
        <w:rPr>
          <w:rFonts w:hint="cs"/>
          <w:rtl/>
        </w:rPr>
        <w:t>،</w:t>
      </w:r>
      <w:r w:rsidRPr="005675B2">
        <w:rPr>
          <w:rFonts w:hint="cs"/>
          <w:rtl/>
        </w:rPr>
        <w:t xml:space="preserve"> وليس كل الحنابلة موافقين على ما عليه هؤلاء</w:t>
      </w:r>
      <w:r w:rsidR="000636C2">
        <w:rPr>
          <w:rFonts w:hint="cs"/>
          <w:rtl/>
        </w:rPr>
        <w:t>،</w:t>
      </w:r>
      <w:r w:rsidRPr="005675B2">
        <w:rPr>
          <w:rFonts w:hint="cs"/>
          <w:rtl/>
        </w:rPr>
        <w:t xml:space="preserve"> فلعل الأقرب في تسميتهم أن يقال عنهم </w:t>
      </w:r>
      <w:r w:rsidR="000636C2">
        <w:rPr>
          <w:rFonts w:hint="cs"/>
          <w:rtl/>
        </w:rPr>
        <w:t>[</w:t>
      </w:r>
      <w:r w:rsidRPr="005675B2">
        <w:rPr>
          <w:rFonts w:hint="cs"/>
          <w:rtl/>
        </w:rPr>
        <w:t>غلاة الحنابلة</w:t>
      </w:r>
      <w:r w:rsidR="000636C2">
        <w:rPr>
          <w:rFonts w:hint="cs"/>
          <w:rtl/>
        </w:rPr>
        <w:t>]،</w:t>
      </w:r>
      <w:r w:rsidRPr="005675B2">
        <w:rPr>
          <w:rFonts w:hint="cs"/>
          <w:rtl/>
        </w:rPr>
        <w:t xml:space="preserve"> الباحث يقول إن الفرقة الناجية واحدة</w:t>
      </w:r>
      <w:r w:rsidR="000636C2">
        <w:rPr>
          <w:rFonts w:hint="cs"/>
          <w:rtl/>
        </w:rPr>
        <w:t>،</w:t>
      </w:r>
      <w:r w:rsidRPr="005675B2">
        <w:rPr>
          <w:rFonts w:hint="cs"/>
          <w:rtl/>
        </w:rPr>
        <w:t xml:space="preserve"> ويناقش المسألة مع الأشاعرة حول ما إذا كانت تلك الفرقة الناجية هي غلاة الحنابلة أو الأشاعرة</w:t>
      </w:r>
      <w:r w:rsidR="000636C2">
        <w:rPr>
          <w:rFonts w:hint="cs"/>
          <w:rtl/>
        </w:rPr>
        <w:t>،</w:t>
      </w:r>
      <w:r w:rsidRPr="005675B2">
        <w:rPr>
          <w:rFonts w:hint="cs"/>
          <w:rtl/>
        </w:rPr>
        <w:t xml:space="preserve"> وليت الباحث يجمع أقوال كل من الفرقتين</w:t>
      </w:r>
      <w:r w:rsidR="000636C2">
        <w:rPr>
          <w:rFonts w:hint="cs"/>
          <w:rtl/>
        </w:rPr>
        <w:t>،</w:t>
      </w:r>
      <w:r w:rsidRPr="005675B2">
        <w:rPr>
          <w:rFonts w:hint="cs"/>
          <w:rtl/>
        </w:rPr>
        <w:t xml:space="preserve"> مع الدقة في التوثيق وجمع الأدلة وتمحيصها</w:t>
      </w:r>
      <w:r w:rsidR="000636C2">
        <w:rPr>
          <w:rFonts w:hint="cs"/>
          <w:rtl/>
        </w:rPr>
        <w:t>،</w:t>
      </w:r>
      <w:r w:rsidRPr="005675B2">
        <w:rPr>
          <w:rFonts w:hint="cs"/>
          <w:rtl/>
        </w:rPr>
        <w:t xml:space="preserve"> ثم مع الموازنة الموضوعية النـزيهة لا بد أن يظهر الحق</w:t>
      </w:r>
      <w:r w:rsidR="000636C2">
        <w:rPr>
          <w:rFonts w:hint="cs"/>
          <w:rtl/>
        </w:rPr>
        <w:t>،</w:t>
      </w:r>
      <w:r w:rsidRPr="005675B2">
        <w:rPr>
          <w:rFonts w:hint="cs"/>
          <w:rtl/>
        </w:rPr>
        <w:t xml:space="preserve"> ومن يدري</w:t>
      </w:r>
      <w:r w:rsidR="000636C2">
        <w:rPr>
          <w:rFonts w:hint="cs"/>
          <w:rtl/>
        </w:rPr>
        <w:t>؟</w:t>
      </w:r>
      <w:r w:rsidRPr="005675B2">
        <w:rPr>
          <w:rFonts w:hint="cs"/>
          <w:rtl/>
        </w:rPr>
        <w:t xml:space="preserve"> فقد تكون الفرقة الناجية هي القَدْرَ المشترك بينهما وواحدةً لا بعينها فيما زاد على القدر المشترك</w:t>
      </w:r>
      <w:r w:rsidR="000636C2">
        <w:rPr>
          <w:rFonts w:hint="cs"/>
          <w:rtl/>
        </w:rPr>
        <w:t>،</w:t>
      </w:r>
      <w:r w:rsidRPr="005675B2">
        <w:rPr>
          <w:rFonts w:hint="cs"/>
          <w:rtl/>
        </w:rPr>
        <w:t xml:space="preserve"> والتعيين يكون في كل مسألة على حدة</w:t>
      </w:r>
      <w:r w:rsidR="000636C2">
        <w:rPr>
          <w:rFonts w:hint="cs"/>
          <w:rtl/>
        </w:rPr>
        <w:t>،</w:t>
      </w:r>
      <w:r w:rsidRPr="005675B2">
        <w:rPr>
          <w:rFonts w:hint="cs"/>
          <w:rtl/>
        </w:rPr>
        <w:t xml:space="preserve"> حسب نتيجة الموازنة الموضوعية النـزيهة</w:t>
      </w:r>
      <w:r w:rsidR="000636C2">
        <w:rPr>
          <w:rFonts w:hint="cs"/>
          <w:rtl/>
        </w:rPr>
        <w:t>،</w:t>
      </w:r>
      <w:r w:rsidRPr="005675B2">
        <w:rPr>
          <w:rFonts w:hint="cs"/>
          <w:rtl/>
        </w:rPr>
        <w:t xml:space="preserve"> وقد تكون الأخطاء اليسيرة مغفورة في جنب ما عند كل واحد من اليقين والإخلاص مع الرغبة الصادقة في اتباع الكتاب والسنّة</w:t>
      </w:r>
      <w:r w:rsidR="000636C2">
        <w:rPr>
          <w:rFonts w:hint="cs"/>
          <w:rtl/>
        </w:rPr>
        <w:t>،</w:t>
      </w:r>
      <w:r w:rsidRPr="005675B2">
        <w:rPr>
          <w:rFonts w:hint="cs"/>
          <w:rtl/>
        </w:rPr>
        <w:t xml:space="preserve"> ولعل الباحث لا يخالف في المقولة التالية</w:t>
      </w:r>
      <w:r w:rsidR="000636C2">
        <w:rPr>
          <w:rFonts w:hint="cs"/>
          <w:rtl/>
        </w:rPr>
        <w:t>:</w:t>
      </w:r>
      <w:r w:rsidRPr="005675B2">
        <w:rPr>
          <w:rFonts w:hint="cs"/>
          <w:rtl/>
        </w:rPr>
        <w:t xml:space="preserve"> يعرف الرجال بالحق</w:t>
      </w:r>
      <w:r w:rsidR="000636C2">
        <w:rPr>
          <w:rFonts w:hint="cs"/>
          <w:rtl/>
        </w:rPr>
        <w:t>،</w:t>
      </w:r>
      <w:r w:rsidRPr="005675B2">
        <w:rPr>
          <w:rFonts w:hint="cs"/>
          <w:rtl/>
        </w:rPr>
        <w:t xml:space="preserve"> ولا يعرف الحق بالرجال</w:t>
      </w:r>
      <w:r w:rsidR="000636C2">
        <w:rPr>
          <w:rFonts w:hint="cs"/>
          <w:rtl/>
        </w:rPr>
        <w:t>،</w:t>
      </w:r>
      <w:r w:rsidRPr="005675B2">
        <w:rPr>
          <w:rFonts w:hint="cs"/>
          <w:rtl/>
        </w:rPr>
        <w:t xml:space="preserve"> اعرف الحقَّ تعرف أهله</w:t>
      </w:r>
      <w:r w:rsidR="000636C2">
        <w:rPr>
          <w:rFonts w:hint="cs"/>
          <w:rtl/>
        </w:rPr>
        <w:t>،</w:t>
      </w:r>
      <w:r w:rsidRPr="005675B2">
        <w:rPr>
          <w:rFonts w:hint="cs"/>
          <w:rtl/>
        </w:rPr>
        <w:t xml:space="preserve"> 3 - يقول الباحث</w:t>
      </w:r>
      <w:r w:rsidR="000636C2">
        <w:rPr>
          <w:rFonts w:hint="cs"/>
          <w:rtl/>
        </w:rPr>
        <w:t>:</w:t>
      </w:r>
      <w:r w:rsidRPr="005675B2">
        <w:rPr>
          <w:rFonts w:hint="cs"/>
          <w:rtl/>
        </w:rPr>
        <w:t xml:space="preserve"> </w:t>
      </w:r>
      <w:r w:rsidR="000636C2">
        <w:rPr>
          <w:rFonts w:hint="cs"/>
          <w:rtl/>
        </w:rPr>
        <w:t>[</w:t>
      </w:r>
      <w:r w:rsidRPr="005675B2">
        <w:rPr>
          <w:rFonts w:hint="cs"/>
          <w:rtl/>
        </w:rPr>
        <w:t>فقد عقدوا لشيخ الإسلام ابن تيمية محاكمة كبرى بسبب تأليفه العقيدة الواسطية</w:t>
      </w:r>
      <w:r w:rsidR="000636C2">
        <w:rPr>
          <w:rFonts w:hint="cs"/>
          <w:rtl/>
        </w:rPr>
        <w:t>]،</w:t>
      </w:r>
      <w:r w:rsidRPr="005675B2">
        <w:rPr>
          <w:rFonts w:hint="cs"/>
          <w:rtl/>
        </w:rPr>
        <w:t xml:space="preserve"> وهذا تحريف للتاريخ</w:t>
      </w:r>
      <w:r w:rsidR="000636C2">
        <w:rPr>
          <w:rFonts w:hint="cs"/>
          <w:rtl/>
        </w:rPr>
        <w:t xml:space="preserve">، </w:t>
      </w:r>
      <w:r w:rsidRPr="005675B2">
        <w:rPr>
          <w:rFonts w:hint="cs"/>
          <w:rtl/>
        </w:rPr>
        <w:t>اسمع ما قاله ابن تيمية نفسه عن حكاية المناظرة</w:t>
      </w:r>
      <w:r w:rsidR="000636C2">
        <w:rPr>
          <w:rFonts w:hint="cs"/>
          <w:rtl/>
        </w:rPr>
        <w:t>،</w:t>
      </w:r>
      <w:r w:rsidRPr="005675B2">
        <w:rPr>
          <w:rFonts w:hint="cs"/>
          <w:rtl/>
        </w:rPr>
        <w:t xml:space="preserve"> قال رحمه الله</w:t>
      </w:r>
      <w:r w:rsidR="000636C2">
        <w:rPr>
          <w:rFonts w:hint="cs"/>
          <w:rtl/>
        </w:rPr>
        <w:t>:</w:t>
      </w:r>
      <w:r w:rsidRPr="005675B2">
        <w:rPr>
          <w:rFonts w:hint="cs"/>
          <w:rtl/>
        </w:rPr>
        <w:t xml:space="preserve"> </w:t>
      </w:r>
      <w:r w:rsidR="000636C2">
        <w:rPr>
          <w:rFonts w:hint="cs"/>
          <w:rtl/>
        </w:rPr>
        <w:t>[</w:t>
      </w:r>
      <w:r w:rsidRPr="005675B2">
        <w:rPr>
          <w:rFonts w:hint="cs"/>
          <w:rtl/>
        </w:rPr>
        <w:t>أما بعد</w:t>
      </w:r>
      <w:r w:rsidR="000636C2">
        <w:rPr>
          <w:rFonts w:hint="cs"/>
          <w:rtl/>
        </w:rPr>
        <w:t>،</w:t>
      </w:r>
      <w:r w:rsidRPr="005675B2">
        <w:rPr>
          <w:rFonts w:hint="cs"/>
          <w:rtl/>
        </w:rPr>
        <w:t xml:space="preserve"> فقد سئلت غير مرة أن أكتب ما حضرني ذكره مما جرى في المجالس الثلاثة المعقودة للمناظرة في أمر الاعتقاد</w:t>
      </w:r>
      <w:r w:rsidR="000636C2">
        <w:rPr>
          <w:rFonts w:hint="cs"/>
          <w:rtl/>
        </w:rPr>
        <w:t>،</w:t>
      </w:r>
      <w:r w:rsidRPr="005675B2">
        <w:rPr>
          <w:rFonts w:hint="cs"/>
          <w:rtl/>
        </w:rPr>
        <w:t>… فأمر الأمير بجمع القضاة الأربعة قضاة المذاهب الأربعة وغيرهم من نوابهم والمفتين والمشايخ</w:t>
      </w:r>
      <w:r w:rsidR="000636C2">
        <w:rPr>
          <w:rFonts w:hint="cs"/>
          <w:rtl/>
        </w:rPr>
        <w:t>،</w:t>
      </w:r>
      <w:r w:rsidRPr="005675B2">
        <w:rPr>
          <w:rFonts w:hint="cs"/>
          <w:rtl/>
        </w:rPr>
        <w:t>… فقال نريد أن تكتب لنا عقيدتك</w:t>
      </w:r>
      <w:r w:rsidR="000636C2">
        <w:rPr>
          <w:rFonts w:hint="cs"/>
          <w:rtl/>
        </w:rPr>
        <w:t>،</w:t>
      </w:r>
      <w:r w:rsidRPr="005675B2">
        <w:rPr>
          <w:rFonts w:hint="cs"/>
          <w:rtl/>
        </w:rPr>
        <w:t xml:space="preserve"> فقلت اكتبوا…</w:t>
      </w:r>
      <w:r w:rsidR="000636C2">
        <w:rPr>
          <w:rFonts w:hint="cs"/>
          <w:rtl/>
        </w:rPr>
        <w:t>،</w:t>
      </w:r>
      <w:r w:rsidRPr="005675B2">
        <w:rPr>
          <w:rFonts w:hint="cs"/>
          <w:rtl/>
        </w:rPr>
        <w:t xml:space="preserve"> ثم قلت للأمير والحاضرين</w:t>
      </w:r>
      <w:r w:rsidR="000636C2">
        <w:rPr>
          <w:rFonts w:hint="cs"/>
          <w:rtl/>
        </w:rPr>
        <w:t>:</w:t>
      </w:r>
      <w:r w:rsidRPr="005675B2">
        <w:rPr>
          <w:rFonts w:hint="cs"/>
          <w:rtl/>
        </w:rPr>
        <w:t xml:space="preserve"> أنا أعلم أن أقواماً يكذبون علي</w:t>
      </w:r>
      <w:r w:rsidR="000636C2">
        <w:rPr>
          <w:rFonts w:hint="cs"/>
          <w:rtl/>
        </w:rPr>
        <w:t>،</w:t>
      </w:r>
      <w:r w:rsidRPr="005675B2">
        <w:rPr>
          <w:rFonts w:hint="cs"/>
          <w:rtl/>
        </w:rPr>
        <w:t xml:space="preserve"> كما قد كذبوا علي غير مرة</w:t>
      </w:r>
      <w:r w:rsidR="000636C2">
        <w:rPr>
          <w:rFonts w:hint="cs"/>
          <w:rtl/>
        </w:rPr>
        <w:t>،</w:t>
      </w:r>
      <w:r w:rsidRPr="005675B2">
        <w:rPr>
          <w:rFonts w:hint="cs"/>
          <w:rtl/>
        </w:rPr>
        <w:t xml:space="preserve"> وإن أمليت الاعتقاد من حفظي ربما يقولون كتم بعضه أو داهن ودارى</w:t>
      </w:r>
      <w:r w:rsidR="000636C2">
        <w:rPr>
          <w:rFonts w:hint="cs"/>
          <w:rtl/>
        </w:rPr>
        <w:t>،</w:t>
      </w:r>
      <w:r w:rsidRPr="005675B2">
        <w:rPr>
          <w:rFonts w:hint="cs"/>
          <w:rtl/>
        </w:rPr>
        <w:t xml:space="preserve"> فأنا أحضر عقيدة مكتوبة من نحوسبع سنين .. … ثم أرسلت من أحضرها ومعها كراريس بخطي من المنـزل</w:t>
      </w:r>
      <w:r w:rsidR="000636C2">
        <w:rPr>
          <w:rFonts w:hint="cs"/>
          <w:rtl/>
        </w:rPr>
        <w:t>،</w:t>
      </w:r>
      <w:r w:rsidRPr="005675B2">
        <w:rPr>
          <w:rFonts w:hint="cs"/>
          <w:rtl/>
        </w:rPr>
        <w:t xml:space="preserve"> فحضرت العقيدة الواسطية</w:t>
      </w:r>
      <w:r w:rsidR="000636C2">
        <w:rPr>
          <w:rFonts w:hint="cs"/>
          <w:rtl/>
        </w:rPr>
        <w:t>]</w:t>
      </w:r>
      <w:r w:rsidRPr="005675B2">
        <w:rPr>
          <w:rFonts w:hint="cs"/>
          <w:rtl/>
        </w:rPr>
        <w:t xml:space="preserve"> [</w:t>
      </w:r>
      <w:r w:rsidRPr="005675B2">
        <w:rPr>
          <w:rFonts w:hint="cs"/>
          <w:sz w:val="24"/>
          <w:szCs w:val="24"/>
          <w:rtl/>
        </w:rPr>
        <w:t>مجموع فتاوى ابن تيمية: 3/160ـ 164</w:t>
      </w:r>
      <w:r w:rsidR="000636C2">
        <w:rPr>
          <w:rFonts w:hint="cs"/>
          <w:sz w:val="24"/>
          <w:szCs w:val="24"/>
          <w:rtl/>
        </w:rPr>
        <w:t>]</w:t>
      </w:r>
      <w:r w:rsidR="000636C2">
        <w:rPr>
          <w:rFonts w:hint="cs"/>
          <w:rtl/>
        </w:rPr>
        <w:t xml:space="preserve">، </w:t>
      </w:r>
      <w:r w:rsidRPr="005675B2">
        <w:rPr>
          <w:rFonts w:hint="cs"/>
          <w:rtl/>
        </w:rPr>
        <w:t xml:space="preserve">حسب كلام ابن تيمية فإن المجالس عقدت للمناظرة </w:t>
      </w:r>
      <w:r w:rsidR="000636C2">
        <w:rPr>
          <w:rFonts w:hint="cs"/>
          <w:rtl/>
        </w:rPr>
        <w:t>[</w:t>
      </w:r>
      <w:r w:rsidRPr="005675B2">
        <w:rPr>
          <w:rFonts w:hint="cs"/>
          <w:rtl/>
        </w:rPr>
        <w:t>في أمر الاعتقاد</w:t>
      </w:r>
      <w:r w:rsidR="000636C2">
        <w:rPr>
          <w:rFonts w:hint="cs"/>
          <w:rtl/>
        </w:rPr>
        <w:t>]،</w:t>
      </w:r>
      <w:r w:rsidRPr="005675B2">
        <w:rPr>
          <w:rFonts w:hint="cs"/>
          <w:rtl/>
        </w:rPr>
        <w:t xml:space="preserve"> ثم طلب الأمير منه أن يكتب لهم عقيدته</w:t>
      </w:r>
      <w:r w:rsidR="000636C2">
        <w:rPr>
          <w:rFonts w:hint="cs"/>
          <w:rtl/>
        </w:rPr>
        <w:t>،</w:t>
      </w:r>
      <w:r w:rsidRPr="005675B2">
        <w:rPr>
          <w:rFonts w:hint="cs"/>
          <w:rtl/>
        </w:rPr>
        <w:t xml:space="preserve"> ثم إنه هو اقترح إحضار عقيدة مكتوبة من نحو سبع سنين</w:t>
      </w:r>
      <w:r w:rsidR="000636C2">
        <w:rPr>
          <w:rFonts w:hint="cs"/>
          <w:rtl/>
        </w:rPr>
        <w:t>،</w:t>
      </w:r>
      <w:r w:rsidRPr="005675B2">
        <w:rPr>
          <w:rFonts w:hint="cs"/>
          <w:rtl/>
        </w:rPr>
        <w:t xml:space="preserve"> فقبلوا</w:t>
      </w:r>
      <w:r w:rsidR="000636C2">
        <w:rPr>
          <w:rFonts w:hint="cs"/>
          <w:rtl/>
        </w:rPr>
        <w:t>،</w:t>
      </w:r>
      <w:r w:rsidRPr="005675B2">
        <w:rPr>
          <w:rFonts w:hint="cs"/>
          <w:rtl/>
        </w:rPr>
        <w:t xml:space="preserve"> فأرسل إلى المنـزل من أحضر العقيدة الواسطية</w:t>
      </w:r>
      <w:r w:rsidR="000636C2">
        <w:rPr>
          <w:rFonts w:hint="cs"/>
          <w:rtl/>
        </w:rPr>
        <w:t xml:space="preserve">، </w:t>
      </w:r>
      <w:r w:rsidRPr="005675B2">
        <w:rPr>
          <w:rFonts w:hint="cs"/>
          <w:rtl/>
        </w:rPr>
        <w:t xml:space="preserve">أما حسب كلام الباحث فإن تلك المجالس عقدت </w:t>
      </w:r>
      <w:r w:rsidR="000636C2">
        <w:rPr>
          <w:rFonts w:hint="cs"/>
          <w:rtl/>
        </w:rPr>
        <w:t>[</w:t>
      </w:r>
      <w:r w:rsidRPr="005675B2">
        <w:rPr>
          <w:rFonts w:hint="cs"/>
          <w:rtl/>
        </w:rPr>
        <w:t>بسبب تأليفه العقيدة الواسطية</w:t>
      </w:r>
      <w:r w:rsidR="000636C2">
        <w:rPr>
          <w:rFonts w:hint="cs"/>
          <w:rtl/>
        </w:rPr>
        <w:t>]،</w:t>
      </w:r>
      <w:r w:rsidRPr="005675B2">
        <w:rPr>
          <w:rFonts w:hint="cs"/>
          <w:rtl/>
        </w:rPr>
        <w:t xml:space="preserve"> وبين الأمرين فرق كبير</w:t>
      </w:r>
      <w:r w:rsidR="000636C2">
        <w:rPr>
          <w:rFonts w:hint="cs"/>
          <w:rtl/>
        </w:rPr>
        <w:t>،</w:t>
      </w:r>
      <w:r w:rsidRPr="005675B2">
        <w:rPr>
          <w:rFonts w:hint="cs"/>
          <w:rtl/>
        </w:rPr>
        <w:t xml:space="preserve"> فمن نصدق</w:t>
      </w:r>
      <w:r w:rsidR="000636C2">
        <w:rPr>
          <w:rFonts w:hint="cs"/>
          <w:rtl/>
        </w:rPr>
        <w:t xml:space="preserve">؟، </w:t>
      </w:r>
      <w:r w:rsidRPr="005675B2">
        <w:rPr>
          <w:rFonts w:hint="cs"/>
          <w:rtl/>
        </w:rPr>
        <w:t xml:space="preserve">وابن تيمية يقول </w:t>
      </w:r>
      <w:r w:rsidR="000636C2">
        <w:rPr>
          <w:rFonts w:hint="cs"/>
          <w:rtl/>
        </w:rPr>
        <w:t>[</w:t>
      </w:r>
      <w:r w:rsidRPr="005675B2">
        <w:rPr>
          <w:rFonts w:hint="cs"/>
          <w:rtl/>
        </w:rPr>
        <w:t>للمناظرة</w:t>
      </w:r>
      <w:r w:rsidR="000636C2">
        <w:rPr>
          <w:rFonts w:hint="cs"/>
          <w:rtl/>
        </w:rPr>
        <w:t>]،</w:t>
      </w:r>
      <w:r w:rsidRPr="005675B2">
        <w:rPr>
          <w:rFonts w:hint="cs"/>
          <w:rtl/>
        </w:rPr>
        <w:t xml:space="preserve"> والباحث يقول </w:t>
      </w:r>
      <w:r w:rsidR="000636C2">
        <w:rPr>
          <w:rFonts w:hint="cs"/>
          <w:rtl/>
        </w:rPr>
        <w:t>[</w:t>
      </w:r>
      <w:r w:rsidRPr="005675B2">
        <w:rPr>
          <w:rFonts w:hint="cs"/>
          <w:rtl/>
        </w:rPr>
        <w:t>محاكمة</w:t>
      </w:r>
      <w:r w:rsidR="000636C2">
        <w:rPr>
          <w:rFonts w:hint="cs"/>
          <w:rtl/>
        </w:rPr>
        <w:t>]،</w:t>
      </w:r>
      <w:r w:rsidRPr="005675B2">
        <w:rPr>
          <w:rFonts w:hint="cs"/>
          <w:rtl/>
        </w:rPr>
        <w:t xml:space="preserve"> ولو كانت محاكمة لدعي ابن تيمية إلى مجلس القضاء وأحضر الشهود وطلب منه اليمين إذا أنكر الدعوى وكانت شهادة الشـهود غير كافية</w:t>
      </w:r>
      <w:r w:rsidR="000636C2">
        <w:rPr>
          <w:rFonts w:hint="cs"/>
          <w:rtl/>
        </w:rPr>
        <w:t>،</w:t>
      </w:r>
      <w:r w:rsidRPr="005675B2">
        <w:rPr>
          <w:rFonts w:hint="cs"/>
          <w:rtl/>
        </w:rPr>
        <w:t xml:space="preserve"> وكل ذلك لم يكن</w:t>
      </w:r>
      <w:r w:rsidR="000636C2">
        <w:rPr>
          <w:rFonts w:hint="cs"/>
          <w:rtl/>
        </w:rPr>
        <w:t>،</w:t>
      </w:r>
      <w:r w:rsidRPr="005675B2">
        <w:rPr>
          <w:rFonts w:hint="cs"/>
          <w:rtl/>
        </w:rPr>
        <w:t xml:space="preserve"> فهل كانت مجالس مناظرة أو محاكمة</w:t>
      </w:r>
      <w:r w:rsidR="000636C2">
        <w:rPr>
          <w:rFonts w:hint="cs"/>
          <w:rtl/>
        </w:rPr>
        <w:t>؟</w:t>
      </w:r>
      <w:r w:rsidRPr="005675B2">
        <w:rPr>
          <w:rFonts w:hint="cs"/>
          <w:rtl/>
        </w:rPr>
        <w:t xml:space="preserve"> ومن نصدق</w:t>
      </w:r>
      <w:r w:rsidR="000636C2">
        <w:rPr>
          <w:rFonts w:hint="cs"/>
          <w:rtl/>
        </w:rPr>
        <w:t xml:space="preserve">؟، </w:t>
      </w:r>
      <w:r w:rsidRPr="005675B2">
        <w:rPr>
          <w:rFonts w:hint="cs"/>
          <w:rtl/>
        </w:rPr>
        <w:t>ويبدو أن الباحث</w:t>
      </w:r>
      <w:r w:rsidR="000636C2">
        <w:rPr>
          <w:rFonts w:hint="cs"/>
          <w:rtl/>
        </w:rPr>
        <w:t xml:space="preserve"> </w:t>
      </w:r>
      <w:r w:rsidRPr="005675B2">
        <w:rPr>
          <w:rFonts w:hint="cs"/>
          <w:rtl/>
        </w:rPr>
        <w:t>- لتسرعه وانشغاله وضيق وقته</w:t>
      </w:r>
      <w:r w:rsidR="000636C2">
        <w:rPr>
          <w:rFonts w:hint="cs"/>
          <w:rtl/>
        </w:rPr>
        <w:t xml:space="preserve"> </w:t>
      </w:r>
      <w:r w:rsidRPr="005675B2">
        <w:rPr>
          <w:rFonts w:hint="cs"/>
          <w:rtl/>
        </w:rPr>
        <w:t>- غير مؤتمن على نقل كلام أئمته في التاريخ</w:t>
      </w:r>
      <w:r w:rsidR="000636C2">
        <w:rPr>
          <w:rFonts w:hint="cs"/>
          <w:rtl/>
        </w:rPr>
        <w:t>،</w:t>
      </w:r>
      <w:r w:rsidRPr="005675B2">
        <w:rPr>
          <w:rFonts w:hint="cs"/>
          <w:rtl/>
        </w:rPr>
        <w:t xml:space="preserve"> فكيف يؤتمن على نقل كلام خصومه في العقيدة</w:t>
      </w:r>
      <w:r w:rsidR="000636C2">
        <w:rPr>
          <w:rFonts w:hint="cs"/>
          <w:rtl/>
        </w:rPr>
        <w:t xml:space="preserve">؟، </w:t>
      </w:r>
      <w:r w:rsidRPr="005675B2">
        <w:rPr>
          <w:rFonts w:hint="cs"/>
          <w:rtl/>
        </w:rPr>
        <w:t>4 - يقول الباحث</w:t>
      </w:r>
      <w:r w:rsidR="000636C2">
        <w:rPr>
          <w:rFonts w:hint="cs"/>
          <w:rtl/>
        </w:rPr>
        <w:t xml:space="preserve"> </w:t>
      </w:r>
      <w:r w:rsidRPr="005675B2">
        <w:rPr>
          <w:rFonts w:hint="cs"/>
          <w:rtl/>
        </w:rPr>
        <w:t>- بناء على ما تقدم من بحثه</w:t>
      </w:r>
      <w:r w:rsidR="000636C2">
        <w:rPr>
          <w:rFonts w:hint="cs"/>
          <w:rtl/>
        </w:rPr>
        <w:t xml:space="preserve"> </w:t>
      </w:r>
      <w:r w:rsidRPr="005675B2">
        <w:rPr>
          <w:rFonts w:hint="cs"/>
          <w:rtl/>
        </w:rPr>
        <w:t>- إن الأشاعرة فرقة من الفرق الثنتين والسبعين</w:t>
      </w:r>
      <w:r w:rsidR="000636C2">
        <w:rPr>
          <w:rFonts w:hint="cs"/>
          <w:rtl/>
        </w:rPr>
        <w:t>،</w:t>
      </w:r>
      <w:r w:rsidRPr="005675B2">
        <w:rPr>
          <w:rFonts w:hint="cs"/>
          <w:rtl/>
        </w:rPr>
        <w:t xml:space="preserve"> وحكم عليهم بالضلال والابتداع والوعيد بالنار وعدم النجاة</w:t>
      </w:r>
      <w:r w:rsidR="000636C2">
        <w:rPr>
          <w:rFonts w:hint="cs"/>
          <w:rtl/>
        </w:rPr>
        <w:t>،</w:t>
      </w:r>
      <w:r w:rsidRPr="005675B2">
        <w:rPr>
          <w:rFonts w:hint="cs"/>
          <w:rtl/>
        </w:rPr>
        <w:t xml:space="preserve"> لكن لم يحكم عليهم بالكفر والخروج عن الملة الإسلامية</w:t>
      </w:r>
      <w:r w:rsidR="000636C2">
        <w:rPr>
          <w:rFonts w:hint="cs"/>
          <w:rtl/>
        </w:rPr>
        <w:t xml:space="preserve">، </w:t>
      </w:r>
      <w:r w:rsidRPr="005675B2">
        <w:rPr>
          <w:rFonts w:hint="cs"/>
          <w:rtl/>
        </w:rPr>
        <w:t>ولو صح وثبت ما رماهم به من التهم لقلنا له</w:t>
      </w:r>
      <w:r w:rsidR="000636C2">
        <w:rPr>
          <w:rFonts w:hint="cs"/>
          <w:rtl/>
        </w:rPr>
        <w:t>:</w:t>
      </w:r>
      <w:r w:rsidRPr="005675B2">
        <w:rPr>
          <w:rFonts w:hint="cs"/>
          <w:rtl/>
        </w:rPr>
        <w:t xml:space="preserve"> نعم ونحن معك في حكمك هذا</w:t>
      </w:r>
      <w:r w:rsidR="000636C2">
        <w:rPr>
          <w:rFonts w:hint="cs"/>
          <w:rtl/>
        </w:rPr>
        <w:t xml:space="preserve">، </w:t>
      </w:r>
      <w:r w:rsidRPr="005675B2">
        <w:rPr>
          <w:rFonts w:hint="cs"/>
          <w:rtl/>
        </w:rPr>
        <w:t>ولكن حيث إنه لم يأت بنصوص كلامهم من كتبهم ونقل عنهم نقولاً غير موثقة وحمل كلامهم على غير مرادهم فنقول</w:t>
      </w:r>
      <w:r w:rsidR="000636C2">
        <w:rPr>
          <w:rFonts w:hint="cs"/>
          <w:rtl/>
        </w:rPr>
        <w:t>:</w:t>
      </w:r>
      <w:r w:rsidRPr="005675B2">
        <w:rPr>
          <w:rFonts w:hint="cs"/>
          <w:rtl/>
        </w:rPr>
        <w:t xml:space="preserve"> اتق الله</w:t>
      </w:r>
      <w:r w:rsidR="000636C2">
        <w:rPr>
          <w:rFonts w:hint="cs"/>
          <w:rtl/>
        </w:rPr>
        <w:t>،</w:t>
      </w:r>
      <w:r w:rsidRPr="005675B2">
        <w:rPr>
          <w:rFonts w:hint="cs"/>
          <w:rtl/>
        </w:rPr>
        <w:t xml:space="preserve"> وأنت مسؤول أمام الله تعالى عن كل كلمة رميت بها بريئاً</w:t>
      </w:r>
      <w:r w:rsidR="000636C2">
        <w:rPr>
          <w:rFonts w:hint="cs"/>
          <w:rtl/>
        </w:rPr>
        <w:t>،</w:t>
      </w:r>
    </w:p>
    <w:p w14:paraId="7201D31E" w14:textId="77777777" w:rsidR="009C32A0" w:rsidRPr="005675B2" w:rsidRDefault="009C32A0" w:rsidP="000636C2">
      <w:pPr>
        <w:rPr>
          <w:b/>
          <w:rtl/>
        </w:rPr>
      </w:pPr>
      <w:r w:rsidRPr="005675B2">
        <w:rPr>
          <w:rFonts w:hint="cs"/>
          <w:rtl/>
        </w:rPr>
        <w:t>ولنا في التاريخ عبرة</w:t>
      </w:r>
    </w:p>
    <w:p w14:paraId="4B0D1AA3" w14:textId="00F2B0D8" w:rsidR="009C32A0" w:rsidRPr="005675B2" w:rsidRDefault="009C32A0" w:rsidP="000636C2">
      <w:pPr>
        <w:rPr>
          <w:b/>
          <w:rtl/>
        </w:rPr>
      </w:pPr>
      <w:r w:rsidRPr="005675B2">
        <w:rPr>
          <w:rFonts w:hint="cs"/>
          <w:rtl/>
        </w:rPr>
        <w:t>إليك بعض النصوص من التاريخ لعل فيها عبرة</w:t>
      </w:r>
      <w:r w:rsidR="000636C2">
        <w:rPr>
          <w:rFonts w:hint="cs"/>
          <w:rtl/>
        </w:rPr>
        <w:t>:</w:t>
      </w:r>
      <w:r w:rsidRPr="005675B2">
        <w:rPr>
          <w:rFonts w:hint="cs"/>
          <w:rtl/>
        </w:rPr>
        <w:t xml:space="preserve"> قال الإمام ابن الجوزي الحنبلي رحمه الله في أحداث سنة </w:t>
      </w:r>
      <w:r w:rsidR="000636C2">
        <w:rPr>
          <w:rFonts w:hint="cs"/>
          <w:rtl/>
        </w:rPr>
        <w:t>(</w:t>
      </w:r>
      <w:r w:rsidRPr="005675B2">
        <w:rPr>
          <w:rFonts w:hint="cs"/>
          <w:rtl/>
        </w:rPr>
        <w:t>445ه -</w:t>
      </w:r>
      <w:r w:rsidR="000636C2">
        <w:rPr>
          <w:rFonts w:hint="cs"/>
          <w:rtl/>
        </w:rPr>
        <w:t>):</w:t>
      </w:r>
      <w:r w:rsidRPr="005675B2">
        <w:rPr>
          <w:rFonts w:hint="cs"/>
          <w:rtl/>
        </w:rPr>
        <w:t xml:space="preserve"> </w:t>
      </w:r>
      <w:r w:rsidR="000636C2">
        <w:rPr>
          <w:rFonts w:hint="cs"/>
          <w:rtl/>
        </w:rPr>
        <w:t>[</w:t>
      </w:r>
      <w:r w:rsidRPr="005675B2">
        <w:rPr>
          <w:rFonts w:hint="cs"/>
          <w:rtl/>
        </w:rPr>
        <w:t>وفيها أُعلن بنيسابور لعن أبي الحسن الأشعري</w:t>
      </w:r>
      <w:r w:rsidR="000636C2">
        <w:rPr>
          <w:rFonts w:hint="cs"/>
          <w:rtl/>
        </w:rPr>
        <w:t>،</w:t>
      </w:r>
      <w:r w:rsidRPr="005675B2">
        <w:rPr>
          <w:rFonts w:hint="cs"/>
          <w:rtl/>
        </w:rPr>
        <w:t xml:space="preserve"> فضج من ذلك أبو القاسم عبد الكريم بن هوازن القشيري</w:t>
      </w:r>
      <w:r w:rsidR="000636C2">
        <w:rPr>
          <w:rFonts w:hint="cs"/>
          <w:rtl/>
        </w:rPr>
        <w:t>،</w:t>
      </w:r>
      <w:r w:rsidRPr="005675B2">
        <w:rPr>
          <w:rFonts w:hint="cs"/>
          <w:rtl/>
        </w:rPr>
        <w:t xml:space="preserve"> وعمل رسالة سماها "شكاية أهل السنة لما نالهم من المحنة"</w:t>
      </w:r>
      <w:r w:rsidR="000636C2">
        <w:rPr>
          <w:rFonts w:hint="cs"/>
          <w:rtl/>
        </w:rPr>
        <w:t>،</w:t>
      </w:r>
      <w:r w:rsidRPr="005675B2">
        <w:rPr>
          <w:rFonts w:hint="cs"/>
          <w:rtl/>
        </w:rPr>
        <w:t xml:space="preserve"> وقال فيها</w:t>
      </w:r>
      <w:r w:rsidR="000636C2">
        <w:rPr>
          <w:rFonts w:hint="cs"/>
          <w:rtl/>
        </w:rPr>
        <w:t>:</w:t>
      </w:r>
      <w:r w:rsidRPr="005675B2">
        <w:rPr>
          <w:rFonts w:hint="cs"/>
          <w:rtl/>
        </w:rPr>
        <w:t xml:space="preserve"> أيلعن إمام الدين ومحيي السنة</w:t>
      </w:r>
      <w:r w:rsidR="000636C2">
        <w:rPr>
          <w:rFonts w:hint="cs"/>
          <w:rtl/>
        </w:rPr>
        <w:t>؟،</w:t>
      </w:r>
      <w:r w:rsidRPr="005675B2">
        <w:rPr>
          <w:rFonts w:hint="cs"/>
          <w:rtl/>
        </w:rPr>
        <w:t xml:space="preserve"> وكان قد رفع إلى السلطان طغرل بك من مقالات الأشعري شيء</w:t>
      </w:r>
      <w:r w:rsidR="000636C2">
        <w:rPr>
          <w:rFonts w:hint="cs"/>
          <w:rtl/>
        </w:rPr>
        <w:t>،</w:t>
      </w:r>
      <w:r w:rsidRPr="005675B2">
        <w:rPr>
          <w:rFonts w:hint="cs"/>
          <w:rtl/>
        </w:rPr>
        <w:t xml:space="preserve"> فقال أصحاب الأشعري</w:t>
      </w:r>
      <w:r w:rsidR="000636C2">
        <w:rPr>
          <w:rFonts w:hint="cs"/>
          <w:rtl/>
        </w:rPr>
        <w:t>:</w:t>
      </w:r>
      <w:r w:rsidRPr="005675B2">
        <w:rPr>
          <w:rFonts w:hint="cs"/>
          <w:rtl/>
        </w:rPr>
        <w:t xml:space="preserve"> هذا محال</w:t>
      </w:r>
      <w:r w:rsidR="000636C2">
        <w:rPr>
          <w:rFonts w:hint="cs"/>
          <w:rtl/>
        </w:rPr>
        <w:t>،</w:t>
      </w:r>
      <w:r w:rsidRPr="005675B2">
        <w:rPr>
          <w:rFonts w:hint="cs"/>
          <w:rtl/>
        </w:rPr>
        <w:t xml:space="preserve"> وليس بمذهب له</w:t>
      </w:r>
      <w:r w:rsidR="000636C2">
        <w:rPr>
          <w:rFonts w:hint="cs"/>
          <w:rtl/>
        </w:rPr>
        <w:t>]</w:t>
      </w:r>
      <w:r w:rsidRPr="005675B2">
        <w:rPr>
          <w:rFonts w:hint="cs"/>
          <w:rtl/>
        </w:rPr>
        <w:t xml:space="preserve"> [</w:t>
      </w:r>
      <w:r w:rsidRPr="005675B2">
        <w:rPr>
          <w:rFonts w:hint="cs"/>
          <w:sz w:val="24"/>
          <w:szCs w:val="24"/>
          <w:rtl/>
        </w:rPr>
        <w:t>المنتظم في تاريخ الملوك والأمم لابن الجوزي: 8/ 157</w:t>
      </w:r>
      <w:r w:rsidR="000636C2">
        <w:rPr>
          <w:rFonts w:hint="cs"/>
          <w:sz w:val="24"/>
          <w:szCs w:val="24"/>
          <w:rtl/>
        </w:rPr>
        <w:t>]</w:t>
      </w:r>
      <w:r w:rsidR="000636C2">
        <w:rPr>
          <w:rFonts w:hint="cs"/>
          <w:rtl/>
        </w:rPr>
        <w:t xml:space="preserve">، </w:t>
      </w:r>
      <w:r w:rsidRPr="005675B2">
        <w:rPr>
          <w:rFonts w:hint="cs"/>
          <w:rtl/>
        </w:rPr>
        <w:t xml:space="preserve">هذه المحنة التي نالت الأشاعرة كان فيها السلطان حنفياً سـنياً ولكن وزيره كان معتزلياً رافضيا ً </w:t>
      </w:r>
      <w:r w:rsidR="000636C2">
        <w:rPr>
          <w:rFonts w:hint="cs"/>
          <w:rtl/>
        </w:rPr>
        <w:t>[</w:t>
      </w:r>
      <w:r w:rsidRPr="005675B2">
        <w:rPr>
          <w:rFonts w:hint="cs"/>
          <w:sz w:val="24"/>
          <w:szCs w:val="24"/>
          <w:rtl/>
        </w:rPr>
        <w:t>انظر: التسعينية لابن تيمية: ص 279</w:t>
      </w:r>
      <w:r w:rsidR="000636C2">
        <w:rPr>
          <w:rFonts w:hint="cs"/>
          <w:sz w:val="24"/>
          <w:szCs w:val="24"/>
          <w:rtl/>
        </w:rPr>
        <w:t>]</w:t>
      </w:r>
      <w:r w:rsidR="000636C2">
        <w:rPr>
          <w:rFonts w:hint="cs"/>
          <w:rtl/>
        </w:rPr>
        <w:t>،</w:t>
      </w:r>
      <w:r w:rsidRPr="005675B2">
        <w:rPr>
          <w:rFonts w:hint="cs"/>
          <w:rtl/>
        </w:rPr>
        <w:t xml:space="preserve"> وقد استطاع هذا الوزير أن يوغر صدر السلطان بالكذب والتزوير</w:t>
      </w:r>
      <w:r w:rsidR="000636C2">
        <w:rPr>
          <w:rFonts w:hint="cs"/>
          <w:rtl/>
        </w:rPr>
        <w:t>،</w:t>
      </w:r>
      <w:r w:rsidRPr="005675B2">
        <w:rPr>
          <w:rFonts w:hint="cs"/>
          <w:rtl/>
        </w:rPr>
        <w:t xml:space="preserve"> حتى أمر السلطان بلعن المبتدعة</w:t>
      </w:r>
      <w:r w:rsidR="000636C2">
        <w:rPr>
          <w:rFonts w:hint="cs"/>
          <w:rtl/>
        </w:rPr>
        <w:t>،</w:t>
      </w:r>
      <w:r w:rsidRPr="005675B2">
        <w:rPr>
          <w:rFonts w:hint="cs"/>
          <w:rtl/>
        </w:rPr>
        <w:t xml:space="preserve"> فحمل هذا الأمر على لعن المبتدعة ولعن الإمام أبي الحسن الأشعري</w:t>
      </w:r>
      <w:r w:rsidR="000636C2">
        <w:rPr>
          <w:rFonts w:hint="cs"/>
          <w:rtl/>
        </w:rPr>
        <w:t>!</w:t>
      </w:r>
      <w:r w:rsidRPr="005675B2">
        <w:rPr>
          <w:rFonts w:hint="cs"/>
          <w:rtl/>
        </w:rPr>
        <w:t>!</w:t>
      </w:r>
      <w:r w:rsidR="000636C2">
        <w:rPr>
          <w:rFonts w:hint="cs"/>
          <w:rtl/>
        </w:rPr>
        <w:t>،</w:t>
      </w:r>
      <w:r w:rsidRPr="005675B2">
        <w:rPr>
          <w:rFonts w:hint="cs"/>
          <w:rtl/>
        </w:rPr>
        <w:t xml:space="preserve"> والفتنة محنة تعرض ثم تزول</w:t>
      </w:r>
      <w:r w:rsidR="000636C2">
        <w:rPr>
          <w:rFonts w:hint="cs"/>
          <w:rtl/>
        </w:rPr>
        <w:t>،</w:t>
      </w:r>
      <w:r w:rsidRPr="005675B2">
        <w:rPr>
          <w:rFonts w:hint="cs"/>
          <w:rtl/>
        </w:rPr>
        <w:t xml:space="preserve"> ولكن قف عند قوله </w:t>
      </w:r>
      <w:r w:rsidR="000636C2">
        <w:rPr>
          <w:rFonts w:hint="cs"/>
          <w:rtl/>
        </w:rPr>
        <w:t>[</w:t>
      </w:r>
      <w:r w:rsidRPr="005675B2">
        <w:rPr>
          <w:rFonts w:hint="cs"/>
          <w:rtl/>
        </w:rPr>
        <w:t>فقال أصحاب الأشعري</w:t>
      </w:r>
      <w:r w:rsidR="000636C2">
        <w:rPr>
          <w:rFonts w:hint="cs"/>
          <w:rtl/>
        </w:rPr>
        <w:t>:</w:t>
      </w:r>
      <w:r w:rsidRPr="005675B2">
        <w:rPr>
          <w:rFonts w:hint="cs"/>
          <w:rtl/>
        </w:rPr>
        <w:t xml:space="preserve"> هذا محال</w:t>
      </w:r>
      <w:r w:rsidR="000636C2">
        <w:rPr>
          <w:rFonts w:hint="cs"/>
          <w:rtl/>
        </w:rPr>
        <w:t>،</w:t>
      </w:r>
      <w:r w:rsidRPr="005675B2">
        <w:rPr>
          <w:rFonts w:hint="cs"/>
          <w:rtl/>
        </w:rPr>
        <w:t xml:space="preserve"> وليس بمذهب له</w:t>
      </w:r>
      <w:r w:rsidR="000636C2">
        <w:rPr>
          <w:rFonts w:hint="cs"/>
          <w:rtl/>
        </w:rPr>
        <w:t>]،</w:t>
      </w:r>
      <w:r w:rsidRPr="005675B2">
        <w:rPr>
          <w:rFonts w:hint="cs"/>
          <w:rtl/>
        </w:rPr>
        <w:t xml:space="preserve"> وكان الواجب التحقق من نسبة الأقوال المزعومة إلى الإمام أبي الحسن الأشعري</w:t>
      </w:r>
      <w:r w:rsidR="000636C2">
        <w:rPr>
          <w:rFonts w:hint="cs"/>
          <w:rtl/>
        </w:rPr>
        <w:t>،</w:t>
      </w:r>
      <w:r w:rsidRPr="005675B2">
        <w:rPr>
          <w:rFonts w:hint="cs"/>
          <w:rtl/>
        </w:rPr>
        <w:t xml:space="preserve"> ولكن أين التبُّين</w:t>
      </w:r>
      <w:r w:rsidR="000636C2">
        <w:rPr>
          <w:rFonts w:hint="cs"/>
          <w:rtl/>
        </w:rPr>
        <w:t>؟!</w:t>
      </w:r>
      <w:r w:rsidRPr="005675B2">
        <w:rPr>
          <w:rFonts w:hint="cs"/>
          <w:rtl/>
        </w:rPr>
        <w:t xml:space="preserve"> وأين التثبت</w:t>
      </w:r>
      <w:r w:rsidR="000636C2">
        <w:rPr>
          <w:rFonts w:hint="cs"/>
          <w:rtl/>
        </w:rPr>
        <w:t>؟!،</w:t>
      </w:r>
      <w:r w:rsidRPr="005675B2">
        <w:rPr>
          <w:rFonts w:hint="cs"/>
          <w:rtl/>
        </w:rPr>
        <w:t xml:space="preserve"> ومنه تعلم أنهم نسبوا إليه من القول ما هو مستحيل وليس من مذهبه</w:t>
      </w:r>
      <w:r w:rsidR="000636C2">
        <w:rPr>
          <w:rFonts w:hint="cs"/>
          <w:rtl/>
        </w:rPr>
        <w:t>،</w:t>
      </w:r>
      <w:r w:rsidRPr="005675B2">
        <w:rPr>
          <w:rFonts w:hint="cs"/>
          <w:rtl/>
        </w:rPr>
        <w:t xml:space="preserve"> وأصحاب المذهب أدرى بمذهب إمامهم</w:t>
      </w:r>
      <w:r w:rsidR="000636C2">
        <w:rPr>
          <w:rFonts w:hint="cs"/>
          <w:rtl/>
        </w:rPr>
        <w:t>،</w:t>
      </w:r>
      <w:r w:rsidRPr="005675B2">
        <w:rPr>
          <w:rFonts w:hint="cs"/>
          <w:rtl/>
        </w:rPr>
        <w:t xml:space="preserve"> ولكن أهل الشغب يهمهم الشغب لا التثبت</w:t>
      </w:r>
      <w:r w:rsidR="000636C2">
        <w:rPr>
          <w:rFonts w:hint="cs"/>
          <w:rtl/>
        </w:rPr>
        <w:t>،</w:t>
      </w:r>
      <w:r w:rsidRPr="005675B2">
        <w:rPr>
          <w:rFonts w:hint="cs"/>
          <w:rtl/>
        </w:rPr>
        <w:t xml:space="preserve"> فهل تعيدون الكرة</w:t>
      </w:r>
      <w:r w:rsidR="000636C2">
        <w:rPr>
          <w:rFonts w:hint="cs"/>
          <w:rtl/>
        </w:rPr>
        <w:t>؟!</w:t>
      </w:r>
      <w:r w:rsidRPr="005675B2">
        <w:rPr>
          <w:rFonts w:hint="cs"/>
          <w:rtl/>
        </w:rPr>
        <w:t xml:space="preserve"> أو تأخذون العبرة</w:t>
      </w:r>
      <w:r w:rsidR="000636C2">
        <w:rPr>
          <w:rFonts w:hint="cs"/>
          <w:rtl/>
        </w:rPr>
        <w:t xml:space="preserve">؟، </w:t>
      </w:r>
      <w:r w:rsidRPr="005675B2">
        <w:rPr>
          <w:rFonts w:hint="cs"/>
          <w:rtl/>
        </w:rPr>
        <w:t xml:space="preserve">قال ابن الجوزي في أحداث سنة </w:t>
      </w:r>
      <w:r w:rsidR="000636C2">
        <w:rPr>
          <w:rFonts w:hint="cs"/>
          <w:rtl/>
        </w:rPr>
        <w:t>(</w:t>
      </w:r>
      <w:r w:rsidRPr="005675B2">
        <w:rPr>
          <w:rFonts w:hint="cs"/>
          <w:rtl/>
        </w:rPr>
        <w:t>455ه -</w:t>
      </w:r>
      <w:r w:rsidR="000636C2">
        <w:rPr>
          <w:rFonts w:hint="cs"/>
          <w:rtl/>
        </w:rPr>
        <w:t>)</w:t>
      </w:r>
      <w:r w:rsidRPr="005675B2">
        <w:rPr>
          <w:rFonts w:hint="cs"/>
          <w:rtl/>
        </w:rPr>
        <w:t xml:space="preserve"> وهو يتحدث عن أهل الفساد</w:t>
      </w:r>
      <w:r w:rsidR="000636C2">
        <w:rPr>
          <w:rFonts w:hint="cs"/>
          <w:rtl/>
        </w:rPr>
        <w:t>:</w:t>
      </w:r>
      <w:r w:rsidRPr="005675B2">
        <w:rPr>
          <w:rFonts w:hint="cs"/>
          <w:rtl/>
        </w:rPr>
        <w:t xml:space="preserve"> </w:t>
      </w:r>
      <w:r w:rsidR="000636C2">
        <w:rPr>
          <w:rFonts w:hint="cs"/>
          <w:rtl/>
        </w:rPr>
        <w:t>[</w:t>
      </w:r>
      <w:r w:rsidRPr="005675B2">
        <w:rPr>
          <w:rFonts w:hint="cs"/>
          <w:rtl/>
        </w:rPr>
        <w:t>وكانوا يتعرضون لحُرَم الناس</w:t>
      </w:r>
      <w:r w:rsidR="000636C2">
        <w:rPr>
          <w:rFonts w:hint="cs"/>
          <w:rtl/>
        </w:rPr>
        <w:t>،</w:t>
      </w:r>
      <w:r w:rsidRPr="005675B2">
        <w:rPr>
          <w:rFonts w:hint="cs"/>
          <w:rtl/>
        </w:rPr>
        <w:t xml:space="preserve"> حتى إن قوماً من الأتراك صعدوا إلى جامات حمام ففتحوها وطالعوا النساء</w:t>
      </w:r>
      <w:r w:rsidR="000636C2">
        <w:rPr>
          <w:rFonts w:hint="cs"/>
          <w:rtl/>
        </w:rPr>
        <w:t>،</w:t>
      </w:r>
      <w:r w:rsidRPr="005675B2">
        <w:rPr>
          <w:rFonts w:hint="cs"/>
          <w:rtl/>
        </w:rPr>
        <w:t xml:space="preserve"> ثم نزلوا فهجموا عليهن</w:t>
      </w:r>
      <w:r w:rsidR="000636C2">
        <w:rPr>
          <w:rFonts w:hint="cs"/>
          <w:rtl/>
        </w:rPr>
        <w:t>،</w:t>
      </w:r>
      <w:r w:rsidRPr="005675B2">
        <w:rPr>
          <w:rFonts w:hint="cs"/>
          <w:rtl/>
        </w:rPr>
        <w:t xml:space="preserve"> فأخذوا من أرادوا منهن</w:t>
      </w:r>
      <w:r w:rsidR="000636C2">
        <w:rPr>
          <w:rFonts w:hint="cs"/>
          <w:rtl/>
        </w:rPr>
        <w:t>،</w:t>
      </w:r>
      <w:r w:rsidRPr="005675B2">
        <w:rPr>
          <w:rFonts w:hint="cs"/>
          <w:rtl/>
        </w:rPr>
        <w:t xml:space="preserve"> وخرج الباقيات عراة إلى الطريق</w:t>
      </w:r>
      <w:r w:rsidR="000636C2">
        <w:rPr>
          <w:rFonts w:hint="cs"/>
          <w:rtl/>
        </w:rPr>
        <w:t>،</w:t>
      </w:r>
      <w:r w:rsidRPr="005675B2">
        <w:rPr>
          <w:rFonts w:hint="cs"/>
          <w:rtl/>
        </w:rPr>
        <w:t xml:space="preserve"> فاجتمع الناس وخلصوهن من أيديهم</w:t>
      </w:r>
      <w:r w:rsidR="000636C2">
        <w:rPr>
          <w:rFonts w:hint="cs"/>
          <w:rtl/>
        </w:rPr>
        <w:t>،</w:t>
      </w:r>
      <w:r w:rsidRPr="005675B2">
        <w:rPr>
          <w:rFonts w:hint="cs"/>
          <w:rtl/>
        </w:rPr>
        <w:t xml:space="preserve"> فعلوا هذا بحمامين</w:t>
      </w:r>
      <w:r w:rsidR="000636C2">
        <w:rPr>
          <w:rFonts w:hint="cs"/>
          <w:rtl/>
        </w:rPr>
        <w:t>]</w:t>
      </w:r>
      <w:r w:rsidRPr="005675B2">
        <w:rPr>
          <w:rFonts w:hint="cs"/>
          <w:rtl/>
        </w:rPr>
        <w:t xml:space="preserve"> [</w:t>
      </w:r>
      <w:r w:rsidRPr="005675B2">
        <w:rPr>
          <w:rFonts w:hint="cs"/>
          <w:sz w:val="24"/>
          <w:szCs w:val="24"/>
          <w:rtl/>
        </w:rPr>
        <w:t>المنتظم لابن الجوزي: 8/ 228 – 229 . طالعوا النساء: يقصد بها الاطلاع عليهن والنظر إليهن . عراة: المقصود بها هنا عاريات</w:t>
      </w:r>
      <w:r w:rsidR="000636C2">
        <w:rPr>
          <w:rFonts w:hint="cs"/>
          <w:sz w:val="24"/>
          <w:szCs w:val="24"/>
          <w:rtl/>
        </w:rPr>
        <w:t>]</w:t>
      </w:r>
      <w:r w:rsidR="000636C2">
        <w:rPr>
          <w:rFonts w:hint="cs"/>
          <w:rtl/>
        </w:rPr>
        <w:t xml:space="preserve">، </w:t>
      </w:r>
      <w:r w:rsidRPr="005675B2">
        <w:rPr>
          <w:rFonts w:hint="cs"/>
          <w:rtl/>
        </w:rPr>
        <w:t xml:space="preserve">هكذا يفعل أهل الفساد بعاصمة الخلافة الإسلامية بغداد سنة </w:t>
      </w:r>
      <w:r w:rsidR="000636C2">
        <w:rPr>
          <w:rFonts w:hint="cs"/>
          <w:rtl/>
        </w:rPr>
        <w:t>(</w:t>
      </w:r>
      <w:r w:rsidRPr="005675B2">
        <w:rPr>
          <w:rFonts w:hint="cs"/>
          <w:rtl/>
        </w:rPr>
        <w:t>455ه -</w:t>
      </w:r>
      <w:r w:rsidR="000636C2">
        <w:rPr>
          <w:rFonts w:hint="cs"/>
          <w:rtl/>
        </w:rPr>
        <w:t>)،</w:t>
      </w:r>
      <w:r w:rsidRPr="005675B2">
        <w:rPr>
          <w:rFonts w:hint="cs"/>
          <w:rtl/>
        </w:rPr>
        <w:t xml:space="preserve"> وعلماء المسلمين منشغلون بالاختلافات العقدية والفقهية</w:t>
      </w:r>
      <w:r w:rsidR="000636C2">
        <w:rPr>
          <w:rFonts w:hint="cs"/>
          <w:rtl/>
        </w:rPr>
        <w:t>!</w:t>
      </w:r>
      <w:r w:rsidRPr="005675B2">
        <w:rPr>
          <w:rFonts w:hint="cs"/>
          <w:rtl/>
        </w:rPr>
        <w:t xml:space="preserve"> فإلى الله المشتكى</w:t>
      </w:r>
      <w:r w:rsidR="000636C2">
        <w:rPr>
          <w:rFonts w:hint="cs"/>
          <w:rtl/>
        </w:rPr>
        <w:t>،</w:t>
      </w:r>
      <w:r w:rsidRPr="005675B2">
        <w:rPr>
          <w:rFonts w:hint="cs"/>
          <w:rtl/>
        </w:rPr>
        <w:t xml:space="preserve"> ولو كانت اختلافات حقيقية في مسائل أصول الاعتقاد لسهل علينا تصور المشكلة</w:t>
      </w:r>
      <w:r w:rsidR="000636C2">
        <w:rPr>
          <w:rFonts w:hint="cs"/>
          <w:rtl/>
        </w:rPr>
        <w:t>،</w:t>
      </w:r>
      <w:r w:rsidRPr="005675B2">
        <w:rPr>
          <w:rFonts w:hint="cs"/>
          <w:rtl/>
        </w:rPr>
        <w:t xml:space="preserve"> ولكنها إما اختلافات لفظية وإما في مسائل فرعية</w:t>
      </w:r>
      <w:r w:rsidR="000636C2">
        <w:rPr>
          <w:rFonts w:hint="cs"/>
          <w:rtl/>
        </w:rPr>
        <w:t>،</w:t>
      </w:r>
      <w:r w:rsidRPr="005675B2">
        <w:rPr>
          <w:rFonts w:hint="cs"/>
          <w:rtl/>
        </w:rPr>
        <w:t xml:space="preserve"> قال الحافظ ابن رجب الحنبلي في ترجمة الشريف أبي جعفر العباسي الحنبلي</w:t>
      </w:r>
      <w:r w:rsidR="000636C2">
        <w:rPr>
          <w:rFonts w:hint="cs"/>
          <w:rtl/>
        </w:rPr>
        <w:t>:</w:t>
      </w:r>
      <w:r w:rsidRPr="005675B2">
        <w:rPr>
          <w:rFonts w:hint="cs"/>
          <w:rtl/>
        </w:rPr>
        <w:t xml:space="preserve"> </w:t>
      </w:r>
      <w:r w:rsidR="000636C2">
        <w:rPr>
          <w:rFonts w:hint="cs"/>
          <w:rtl/>
        </w:rPr>
        <w:t>[</w:t>
      </w:r>
      <w:r w:rsidRPr="005675B2">
        <w:rPr>
          <w:rFonts w:hint="cs"/>
          <w:rtl/>
        </w:rPr>
        <w:t>وفي سنة أربع وستين وأربعمئة اجتمع الشريف أبو جعفر ومعه الحنابلة في جامع القصر وأدخلوا معهم أبا إسحاق الشيرازي وأصحابه</w:t>
      </w:r>
      <w:r w:rsidR="000636C2">
        <w:rPr>
          <w:rFonts w:hint="cs"/>
          <w:rtl/>
        </w:rPr>
        <w:t>،</w:t>
      </w:r>
      <w:r w:rsidRPr="005675B2">
        <w:rPr>
          <w:rFonts w:hint="cs"/>
          <w:rtl/>
        </w:rPr>
        <w:t xml:space="preserve"> وطلبوا من الدولة قلعَ المواخير وتتبع المفسدين والمفسدات ومن يبيع النبيذ وضربَ دراهم تقع بها المعاملة عوض القراضة</w:t>
      </w:r>
      <w:r w:rsidR="000636C2">
        <w:rPr>
          <w:rFonts w:hint="cs"/>
          <w:rtl/>
        </w:rPr>
        <w:t>،</w:t>
      </w:r>
      <w:r w:rsidRPr="005675B2">
        <w:rPr>
          <w:rFonts w:hint="cs"/>
          <w:rtl/>
        </w:rPr>
        <w:t xml:space="preserve"> فتقدم الخليفة بذلك</w:t>
      </w:r>
      <w:r w:rsidR="000636C2">
        <w:rPr>
          <w:rFonts w:hint="cs"/>
          <w:rtl/>
        </w:rPr>
        <w:t>،</w:t>
      </w:r>
      <w:r w:rsidRPr="005675B2">
        <w:rPr>
          <w:rFonts w:hint="cs"/>
          <w:rtl/>
        </w:rPr>
        <w:t xml:space="preserve"> فهرب المفسدات</w:t>
      </w:r>
      <w:r w:rsidR="000636C2">
        <w:rPr>
          <w:rFonts w:hint="cs"/>
          <w:rtl/>
        </w:rPr>
        <w:t>،</w:t>
      </w:r>
      <w:r w:rsidRPr="005675B2">
        <w:rPr>
          <w:rFonts w:hint="cs"/>
          <w:rtl/>
        </w:rPr>
        <w:t xml:space="preserve"> وكبست الدور</w:t>
      </w:r>
      <w:r w:rsidR="000636C2">
        <w:rPr>
          <w:rFonts w:hint="cs"/>
          <w:rtl/>
        </w:rPr>
        <w:t>،</w:t>
      </w:r>
      <w:r w:rsidRPr="005675B2">
        <w:rPr>
          <w:rFonts w:hint="cs"/>
          <w:rtl/>
        </w:rPr>
        <w:t xml:space="preserve"> وأريقت الأنبذة</w:t>
      </w:r>
      <w:r w:rsidR="000636C2">
        <w:rPr>
          <w:rFonts w:hint="cs"/>
          <w:rtl/>
        </w:rPr>
        <w:t>،</w:t>
      </w:r>
      <w:r w:rsidRPr="005675B2">
        <w:rPr>
          <w:rFonts w:hint="cs"/>
          <w:rtl/>
        </w:rPr>
        <w:t xml:space="preserve"> ووعدوا بقلع المواخير …</w:t>
      </w:r>
      <w:r w:rsidR="000636C2">
        <w:rPr>
          <w:rFonts w:hint="cs"/>
          <w:rtl/>
        </w:rPr>
        <w:t>]</w:t>
      </w:r>
      <w:r w:rsidRPr="005675B2">
        <w:rPr>
          <w:rFonts w:hint="cs"/>
          <w:rtl/>
        </w:rPr>
        <w:t xml:space="preserve"> [</w:t>
      </w:r>
      <w:r w:rsidRPr="005675B2">
        <w:rPr>
          <w:rFonts w:hint="cs"/>
          <w:sz w:val="24"/>
          <w:szCs w:val="24"/>
          <w:rtl/>
        </w:rPr>
        <w:t>ذيل طبقات الحنابلة لابن رجب: 1/ 18 . وبنحوه في المنتظم لابن الجوزي: 8/ 272 . والمواخير: جمع الماخور. وهو</w:t>
      </w:r>
      <w:r w:rsidR="000636C2">
        <w:rPr>
          <w:rFonts w:hint="cs"/>
          <w:sz w:val="24"/>
          <w:szCs w:val="24"/>
          <w:rtl/>
        </w:rPr>
        <w:t xml:space="preserve"> </w:t>
      </w:r>
      <w:r w:rsidRPr="005675B2">
        <w:rPr>
          <w:rFonts w:hint="cs"/>
          <w:sz w:val="24"/>
          <w:szCs w:val="24"/>
          <w:rtl/>
        </w:rPr>
        <w:t>بيت الريبة ومجمع أهل الفسق والفساد</w:t>
      </w:r>
      <w:r w:rsidR="000636C2">
        <w:rPr>
          <w:rFonts w:hint="cs"/>
          <w:sz w:val="24"/>
          <w:szCs w:val="24"/>
          <w:rtl/>
        </w:rPr>
        <w:t>]</w:t>
      </w:r>
      <w:r w:rsidR="000636C2">
        <w:rPr>
          <w:rFonts w:hint="cs"/>
          <w:rtl/>
        </w:rPr>
        <w:t xml:space="preserve">، </w:t>
      </w:r>
      <w:r w:rsidRPr="005675B2">
        <w:rPr>
          <w:rFonts w:hint="cs"/>
          <w:rtl/>
        </w:rPr>
        <w:t>يلاحظ هنا أن العلماء من الحنابلة والأشاعرة اجتمعوا في جامع قصر الخليفة</w:t>
      </w:r>
      <w:r w:rsidR="000636C2">
        <w:rPr>
          <w:rFonts w:hint="cs"/>
          <w:rtl/>
        </w:rPr>
        <w:t>،</w:t>
      </w:r>
      <w:r w:rsidRPr="005675B2">
        <w:rPr>
          <w:rFonts w:hint="cs"/>
          <w:rtl/>
        </w:rPr>
        <w:t xml:space="preserve"> وتقدموا بمطالبهم من الدولة</w:t>
      </w:r>
      <w:r w:rsidR="000636C2">
        <w:rPr>
          <w:rFonts w:hint="cs"/>
          <w:rtl/>
        </w:rPr>
        <w:t>،</w:t>
      </w:r>
      <w:r w:rsidRPr="005675B2">
        <w:rPr>
          <w:rFonts w:hint="cs"/>
          <w:rtl/>
        </w:rPr>
        <w:t xml:space="preserve"> وذلك لإزالة مظاهر الفساد التي بدأت تتغلغل في كيان المجتمع الإسلامي</w:t>
      </w:r>
      <w:r w:rsidR="000636C2">
        <w:rPr>
          <w:rFonts w:hint="cs"/>
          <w:rtl/>
        </w:rPr>
        <w:t>،</w:t>
      </w:r>
      <w:r w:rsidRPr="005675B2">
        <w:rPr>
          <w:rFonts w:hint="cs"/>
          <w:rtl/>
        </w:rPr>
        <w:t xml:space="preserve"> وعندما أعطى الخليفة أوامره هربت المفسدات</w:t>
      </w:r>
      <w:r w:rsidR="000636C2">
        <w:rPr>
          <w:rFonts w:hint="cs"/>
          <w:rtl/>
        </w:rPr>
        <w:t>،</w:t>
      </w:r>
      <w:r w:rsidRPr="005675B2">
        <w:rPr>
          <w:rFonts w:hint="cs"/>
          <w:rtl/>
        </w:rPr>
        <w:t xml:space="preserve"> وبدأت الحملة لتفتيش الدور المشتبه بها</w:t>
      </w:r>
      <w:r w:rsidR="000636C2">
        <w:rPr>
          <w:rFonts w:hint="cs"/>
          <w:rtl/>
        </w:rPr>
        <w:t>،</w:t>
      </w:r>
      <w:r w:rsidRPr="005675B2">
        <w:rPr>
          <w:rFonts w:hint="cs"/>
          <w:rtl/>
        </w:rPr>
        <w:t xml:space="preserve"> وإراقة الأنبذة المسكرة</w:t>
      </w:r>
      <w:r w:rsidR="000636C2">
        <w:rPr>
          <w:rFonts w:hint="cs"/>
          <w:rtl/>
        </w:rPr>
        <w:t>،</w:t>
      </w:r>
      <w:r w:rsidRPr="005675B2">
        <w:rPr>
          <w:rFonts w:hint="cs"/>
          <w:rtl/>
        </w:rPr>
        <w:t xml:space="preserve"> ووعدت الدولة بإزالة بيوت الريبة التي يجتمع فيها أهل الفسـق والفساد … هكذا كان لاجتماع كلمة العلماء - على اختلاف مشاربهم</w:t>
      </w:r>
      <w:r w:rsidR="000636C2">
        <w:rPr>
          <w:rFonts w:hint="cs"/>
          <w:rtl/>
        </w:rPr>
        <w:t xml:space="preserve"> </w:t>
      </w:r>
      <w:r w:rsidRPr="005675B2">
        <w:rPr>
          <w:rFonts w:hint="cs"/>
          <w:rtl/>
        </w:rPr>
        <w:t>- شأن وأي شأن</w:t>
      </w:r>
      <w:r w:rsidR="000636C2">
        <w:rPr>
          <w:rFonts w:hint="cs"/>
          <w:rtl/>
        </w:rPr>
        <w:t xml:space="preserve">!، </w:t>
      </w:r>
      <w:r w:rsidRPr="005675B2">
        <w:rPr>
          <w:rFonts w:hint="cs"/>
          <w:rtl/>
        </w:rPr>
        <w:t>ويبدوا أن الحنابلة كان لهم الحظ الأكبر في الإقدام على هذا التجمع</w:t>
      </w:r>
      <w:r w:rsidR="000636C2">
        <w:rPr>
          <w:rFonts w:hint="cs"/>
          <w:rtl/>
        </w:rPr>
        <w:t>،</w:t>
      </w:r>
      <w:r w:rsidRPr="005675B2">
        <w:rPr>
          <w:rFonts w:hint="cs"/>
          <w:rtl/>
        </w:rPr>
        <w:t xml:space="preserve"> فمقدَّمهم الشريف أبو جعفر من أسرة الخليفة</w:t>
      </w:r>
      <w:r w:rsidR="000636C2">
        <w:rPr>
          <w:rFonts w:hint="cs"/>
          <w:rtl/>
        </w:rPr>
        <w:t>،</w:t>
      </w:r>
      <w:r w:rsidRPr="005675B2">
        <w:rPr>
          <w:rFonts w:hint="cs"/>
          <w:rtl/>
        </w:rPr>
        <w:t xml:space="preserve"> وهذا يعطيه وجاهة زيادة على المرتبة العلمية التي كان يحظى بها</w:t>
      </w:r>
      <w:r w:rsidR="000636C2">
        <w:rPr>
          <w:rFonts w:hint="cs"/>
          <w:rtl/>
        </w:rPr>
        <w:t>،</w:t>
      </w:r>
      <w:r w:rsidRPr="005675B2">
        <w:rPr>
          <w:rFonts w:hint="cs"/>
          <w:rtl/>
        </w:rPr>
        <w:t xml:space="preserve"> وكأن الرواية الحنبلية تشير إلى نوع من التعطف والتكرم على الأشاعرة</w:t>
      </w:r>
      <w:r w:rsidR="000636C2">
        <w:rPr>
          <w:rFonts w:hint="cs"/>
          <w:rtl/>
        </w:rPr>
        <w:t xml:space="preserve"> </w:t>
      </w:r>
      <w:r w:rsidRPr="005675B2">
        <w:rPr>
          <w:rFonts w:hint="cs"/>
          <w:rtl/>
        </w:rPr>
        <w:t>- الذين هم أبو إسحاق الشيرازي وأصحابه</w:t>
      </w:r>
      <w:r w:rsidR="000636C2">
        <w:rPr>
          <w:rFonts w:hint="cs"/>
          <w:rtl/>
        </w:rPr>
        <w:t xml:space="preserve"> </w:t>
      </w:r>
      <w:r w:rsidRPr="005675B2">
        <w:rPr>
          <w:rFonts w:hint="cs"/>
          <w:rtl/>
        </w:rPr>
        <w:t>- إذ أدخلهم الحنابلة معهم</w:t>
      </w:r>
      <w:r w:rsidR="000636C2">
        <w:rPr>
          <w:rFonts w:hint="cs"/>
          <w:rtl/>
        </w:rPr>
        <w:t>،</w:t>
      </w:r>
      <w:r w:rsidRPr="005675B2">
        <w:rPr>
          <w:rFonts w:hint="cs"/>
          <w:rtl/>
        </w:rPr>
        <w:t xml:space="preserve"> كما تقول الرواية</w:t>
      </w:r>
      <w:r w:rsidR="000636C2">
        <w:rPr>
          <w:rFonts w:hint="cs"/>
          <w:rtl/>
        </w:rPr>
        <w:t>،</w:t>
      </w:r>
      <w:r w:rsidRPr="005675B2">
        <w:rPr>
          <w:rFonts w:hint="cs"/>
          <w:rtl/>
        </w:rPr>
        <w:t xml:space="preserve"> وهذا ليس مهماً</w:t>
      </w:r>
      <w:r w:rsidR="000636C2">
        <w:rPr>
          <w:rFonts w:hint="cs"/>
          <w:rtl/>
        </w:rPr>
        <w:t>،</w:t>
      </w:r>
      <w:r w:rsidRPr="005675B2">
        <w:rPr>
          <w:rFonts w:hint="cs"/>
          <w:rtl/>
        </w:rPr>
        <w:t xml:space="preserve"> إنما المهم هو جمع الكلمة لتحقيق مصالح الأمة</w:t>
      </w:r>
      <w:r w:rsidR="000636C2">
        <w:rPr>
          <w:rFonts w:hint="cs"/>
          <w:rtl/>
        </w:rPr>
        <w:t xml:space="preserve">، </w:t>
      </w:r>
      <w:r w:rsidRPr="005675B2">
        <w:rPr>
          <w:rFonts w:hint="cs"/>
          <w:rtl/>
        </w:rPr>
        <w:t>وليت الحرص على مصالح الأمة لا يقف عند هذا الحد</w:t>
      </w:r>
      <w:r w:rsidR="000636C2">
        <w:rPr>
          <w:rFonts w:hint="cs"/>
          <w:rtl/>
        </w:rPr>
        <w:t>،</w:t>
      </w:r>
      <w:r w:rsidRPr="005675B2">
        <w:rPr>
          <w:rFonts w:hint="cs"/>
          <w:rtl/>
        </w:rPr>
        <w:t xml:space="preserve"> بل يتخطاه إلى عقد مجالس للحوار والمناظرة الجادة المخلصة</w:t>
      </w:r>
      <w:r w:rsidR="000636C2">
        <w:rPr>
          <w:rFonts w:hint="cs"/>
          <w:rtl/>
        </w:rPr>
        <w:t>،</w:t>
      </w:r>
      <w:r w:rsidRPr="005675B2">
        <w:rPr>
          <w:rFonts w:hint="cs"/>
          <w:rtl/>
        </w:rPr>
        <w:t xml:space="preserve"> بعيداً عن الرغبة في الغلبة وحب الظهور</w:t>
      </w:r>
      <w:r w:rsidR="000636C2">
        <w:rPr>
          <w:rFonts w:hint="cs"/>
          <w:rtl/>
        </w:rPr>
        <w:t>،</w:t>
      </w:r>
      <w:r w:rsidRPr="005675B2">
        <w:rPr>
          <w:rFonts w:hint="cs"/>
          <w:rtl/>
        </w:rPr>
        <w:t xml:space="preserve"> فإن حب الظهور يقصم الظهور</w:t>
      </w:r>
      <w:r w:rsidR="000636C2">
        <w:rPr>
          <w:rFonts w:hint="cs"/>
          <w:rtl/>
        </w:rPr>
        <w:t xml:space="preserve">، </w:t>
      </w:r>
      <w:r w:rsidRPr="005675B2">
        <w:rPr>
          <w:rFonts w:hint="cs"/>
          <w:rtl/>
        </w:rPr>
        <w:t>ولكن هل من قبول لهذه الفكرة</w:t>
      </w:r>
      <w:r w:rsidR="000636C2">
        <w:rPr>
          <w:rFonts w:hint="cs"/>
          <w:rtl/>
        </w:rPr>
        <w:t>؟!</w:t>
      </w:r>
      <w:r w:rsidRPr="005675B2">
        <w:rPr>
          <w:rFonts w:hint="cs"/>
          <w:rtl/>
        </w:rPr>
        <w:t>! ومن المؤسف أن بعض من تصدروا للعلم يحاربها</w:t>
      </w:r>
      <w:r w:rsidR="000636C2">
        <w:rPr>
          <w:rFonts w:hint="cs"/>
          <w:rtl/>
        </w:rPr>
        <w:t>،</w:t>
      </w:r>
      <w:r w:rsidRPr="005675B2">
        <w:rPr>
          <w:rFonts w:hint="cs"/>
          <w:rtl/>
        </w:rPr>
        <w:t xml:space="preserve"> فالحسن بن علي البربهاري المتوفى سنة </w:t>
      </w:r>
      <w:r w:rsidR="000636C2">
        <w:rPr>
          <w:rFonts w:hint="cs"/>
          <w:rtl/>
        </w:rPr>
        <w:t>(</w:t>
      </w:r>
      <w:r w:rsidRPr="005675B2">
        <w:rPr>
          <w:rFonts w:hint="cs"/>
          <w:rtl/>
        </w:rPr>
        <w:t>329ه -</w:t>
      </w:r>
      <w:r w:rsidR="000636C2">
        <w:rPr>
          <w:rFonts w:hint="cs"/>
          <w:rtl/>
        </w:rPr>
        <w:t>)</w:t>
      </w:r>
      <w:r w:rsidRPr="005675B2">
        <w:rPr>
          <w:rFonts w:hint="cs"/>
          <w:rtl/>
        </w:rPr>
        <w:t xml:space="preserve"> يقول في شرح السنة</w:t>
      </w:r>
      <w:r w:rsidR="000636C2">
        <w:rPr>
          <w:rFonts w:hint="cs"/>
          <w:rtl/>
        </w:rPr>
        <w:t>:</w:t>
      </w:r>
      <w:r w:rsidRPr="005675B2">
        <w:rPr>
          <w:rFonts w:hint="cs"/>
          <w:rtl/>
        </w:rPr>
        <w:t xml:space="preserve"> </w:t>
      </w:r>
      <w:r w:rsidR="000636C2">
        <w:rPr>
          <w:rFonts w:hint="cs"/>
          <w:rtl/>
        </w:rPr>
        <w:t>[</w:t>
      </w:r>
      <w:r w:rsidRPr="005675B2">
        <w:rPr>
          <w:rFonts w:hint="cs"/>
          <w:rtl/>
        </w:rPr>
        <w:t>فاحذر الكلام وأصحاب الكلام والجدال والمراء والقياس والمناظرة في الدين</w:t>
      </w:r>
      <w:r w:rsidR="000636C2">
        <w:rPr>
          <w:rFonts w:hint="cs"/>
          <w:rtl/>
        </w:rPr>
        <w:t>]</w:t>
      </w:r>
      <w:r w:rsidRPr="005675B2">
        <w:rPr>
          <w:rFonts w:hint="cs"/>
          <w:rtl/>
        </w:rPr>
        <w:t xml:space="preserve"> [</w:t>
      </w:r>
      <w:r w:rsidRPr="005675B2">
        <w:rPr>
          <w:rFonts w:hint="cs"/>
          <w:sz w:val="24"/>
          <w:szCs w:val="24"/>
          <w:rtl/>
        </w:rPr>
        <w:t>انظر: طبقات الحنابلة لابن أبي يعلى: 2/ 38</w:t>
      </w:r>
      <w:r w:rsidR="000636C2">
        <w:rPr>
          <w:rFonts w:hint="cs"/>
          <w:sz w:val="24"/>
          <w:szCs w:val="24"/>
          <w:rtl/>
        </w:rPr>
        <w:t>]</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وإذا جاءك الرجل يناظرك فاحذره</w:t>
      </w:r>
      <w:r w:rsidR="000636C2">
        <w:rPr>
          <w:rFonts w:hint="cs"/>
          <w:rtl/>
        </w:rPr>
        <w:t>،</w:t>
      </w:r>
      <w:r w:rsidRPr="005675B2">
        <w:rPr>
          <w:rFonts w:hint="cs"/>
          <w:rtl/>
        </w:rPr>
        <w:t xml:space="preserve"> فإن في المناظرة المراءَ والجدال والمغالبة والخصومة والغضب</w:t>
      </w:r>
      <w:r w:rsidR="000636C2">
        <w:rPr>
          <w:rFonts w:hint="cs"/>
          <w:rtl/>
        </w:rPr>
        <w:t>،</w:t>
      </w:r>
      <w:r w:rsidRPr="005675B2">
        <w:rPr>
          <w:rFonts w:hint="cs"/>
          <w:rtl/>
        </w:rPr>
        <w:t xml:space="preserve"> وقد نُهيت عن جميع هذا</w:t>
      </w:r>
      <w:r w:rsidR="000636C2">
        <w:rPr>
          <w:rFonts w:hint="cs"/>
          <w:rtl/>
        </w:rPr>
        <w:t>،</w:t>
      </w:r>
      <w:r w:rsidRPr="005675B2">
        <w:rPr>
          <w:rFonts w:hint="cs"/>
          <w:rtl/>
        </w:rPr>
        <w:t xml:space="preserve"> وهو يزيل عن طريق الحق</w:t>
      </w:r>
      <w:r w:rsidR="000636C2">
        <w:rPr>
          <w:rFonts w:hint="cs"/>
          <w:rtl/>
        </w:rPr>
        <w:t>]</w:t>
      </w:r>
      <w:r w:rsidRPr="005675B2">
        <w:rPr>
          <w:rFonts w:hint="cs"/>
          <w:rtl/>
        </w:rPr>
        <w:t xml:space="preserve"> [</w:t>
      </w:r>
      <w:r w:rsidRPr="005675B2">
        <w:rPr>
          <w:rFonts w:hint="cs"/>
          <w:sz w:val="24"/>
          <w:szCs w:val="24"/>
          <w:rtl/>
        </w:rPr>
        <w:t>المرجع السابق: 2/ 39</w:t>
      </w:r>
      <w:r w:rsidR="000636C2">
        <w:rPr>
          <w:rFonts w:hint="cs"/>
          <w:sz w:val="24"/>
          <w:szCs w:val="24"/>
          <w:rtl/>
        </w:rPr>
        <w:t>]</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وكان ابن عمر يكره المناظرة ومالك بن أنس ومن فوقه ومن دونه إلى يومنا هذا</w:t>
      </w:r>
      <w:r w:rsidR="000636C2">
        <w:rPr>
          <w:rFonts w:hint="cs"/>
          <w:rtl/>
        </w:rPr>
        <w:t>،</w:t>
      </w:r>
      <w:r w:rsidRPr="005675B2">
        <w:rPr>
          <w:rFonts w:hint="cs"/>
          <w:rtl/>
        </w:rPr>
        <w:t xml:space="preserve"> وقول الله عز وجل أكبر من قول الخلق</w:t>
      </w:r>
      <w:r w:rsidR="000636C2">
        <w:rPr>
          <w:rFonts w:hint="cs"/>
          <w:rtl/>
        </w:rPr>
        <w:t>،</w:t>
      </w:r>
      <w:r w:rsidRPr="005675B2">
        <w:rPr>
          <w:rFonts w:hint="cs"/>
          <w:rtl/>
        </w:rPr>
        <w:t xml:space="preserve"> قال الله تعالى </w:t>
      </w:r>
      <w:r w:rsidR="000636C2">
        <w:rPr>
          <w:rFonts w:hint="cs"/>
          <w:rtl/>
        </w:rPr>
        <w:t>[</w:t>
      </w:r>
      <w:r w:rsidRPr="005675B2">
        <w:rPr>
          <w:rFonts w:hint="cs"/>
          <w:rtl/>
        </w:rPr>
        <w:t>مَا يُجَادِلُ فِي آيَاتِ اللَّهِ إِلَّا الَّذِينَ كَفَرُوا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المرجع السابق: 2/ 40 . والآية هي في سورة غافر</w:t>
      </w:r>
      <w:r w:rsidR="000636C2">
        <w:rPr>
          <w:rFonts w:hint="cs"/>
          <w:sz w:val="24"/>
          <w:szCs w:val="24"/>
          <w:rtl/>
        </w:rPr>
        <w:t>،</w:t>
      </w:r>
      <w:r w:rsidRPr="005675B2">
        <w:rPr>
          <w:rFonts w:hint="cs"/>
          <w:sz w:val="24"/>
          <w:szCs w:val="24"/>
          <w:rtl/>
        </w:rPr>
        <w:t xml:space="preserve"> الآية 4</w:t>
      </w:r>
      <w:r w:rsidR="000636C2">
        <w:rPr>
          <w:rFonts w:hint="cs"/>
          <w:sz w:val="24"/>
          <w:szCs w:val="24"/>
          <w:rtl/>
        </w:rPr>
        <w:t>]</w:t>
      </w:r>
      <w:r w:rsidR="000636C2">
        <w:rPr>
          <w:rFonts w:hint="cs"/>
          <w:rtl/>
        </w:rPr>
        <w:t xml:space="preserve">، </w:t>
      </w:r>
      <w:r w:rsidRPr="005675B2">
        <w:rPr>
          <w:rFonts w:hint="cs"/>
          <w:rtl/>
        </w:rPr>
        <w:t>هكذا يتصور البربهاري المناظرة وكأنها لا يمكن أن تكون إلا هكذا</w:t>
      </w:r>
      <w:r w:rsidR="000636C2">
        <w:rPr>
          <w:rFonts w:hint="cs"/>
          <w:rtl/>
        </w:rPr>
        <w:t>،</w:t>
      </w:r>
      <w:r w:rsidRPr="005675B2">
        <w:rPr>
          <w:rFonts w:hint="cs"/>
          <w:rtl/>
        </w:rPr>
        <w:t xml:space="preserve"> ويختم الكلام بأن قول الله عز وجل أكبر من قول الخلق</w:t>
      </w:r>
      <w:r w:rsidR="000636C2">
        <w:rPr>
          <w:rFonts w:hint="cs"/>
          <w:rtl/>
        </w:rPr>
        <w:t>،</w:t>
      </w:r>
      <w:r w:rsidRPr="005675B2">
        <w:rPr>
          <w:rFonts w:hint="cs"/>
          <w:rtl/>
        </w:rPr>
        <w:t xml:space="preserve"> ويستشهد بقوله تعالى </w:t>
      </w:r>
      <w:r w:rsidR="000636C2">
        <w:rPr>
          <w:rFonts w:hint="cs"/>
          <w:rtl/>
        </w:rPr>
        <w:t>[</w:t>
      </w:r>
      <w:r w:rsidRPr="005675B2">
        <w:rPr>
          <w:rFonts w:hint="cs"/>
          <w:rtl/>
        </w:rPr>
        <w:t>مَا يُجَادِلُ فِي آيَاتِ اللَّهِ إِلَّا الَّذِينَ كَفَرُوا</w:t>
      </w:r>
      <w:r w:rsidR="000636C2">
        <w:rPr>
          <w:rFonts w:hint="cs"/>
          <w:rtl/>
        </w:rPr>
        <w:t>]</w:t>
      </w:r>
      <w:r w:rsidRPr="005675B2">
        <w:rPr>
          <w:rFonts w:hint="cs"/>
          <w:rtl/>
        </w:rPr>
        <w:t xml:space="preserve"> ليحقق بذلك الانتصار لفكرته</w:t>
      </w:r>
      <w:r w:rsidR="000636C2">
        <w:rPr>
          <w:rFonts w:hint="cs"/>
          <w:rtl/>
        </w:rPr>
        <w:t>!</w:t>
      </w:r>
      <w:r w:rsidRPr="005675B2">
        <w:rPr>
          <w:rFonts w:hint="cs"/>
          <w:rtl/>
        </w:rPr>
        <w:t>!</w:t>
      </w:r>
      <w:r w:rsidR="000636C2">
        <w:rPr>
          <w:rFonts w:hint="cs"/>
          <w:rtl/>
        </w:rPr>
        <w:t xml:space="preserve">، </w:t>
      </w:r>
      <w:r w:rsidRPr="005675B2">
        <w:rPr>
          <w:rFonts w:hint="cs"/>
          <w:rtl/>
        </w:rPr>
        <w:t>ولعله لم ينتبه إلى أن المراد فيها هو المجادلة بالباطل والمكابرة في دفع الحق</w:t>
      </w:r>
      <w:r w:rsidR="000636C2">
        <w:rPr>
          <w:rFonts w:hint="cs"/>
          <w:rtl/>
        </w:rPr>
        <w:t>،</w:t>
      </w:r>
      <w:r w:rsidRPr="005675B2">
        <w:rPr>
          <w:rFonts w:hint="cs"/>
          <w:rtl/>
        </w:rPr>
        <w:t xml:space="preserve"> ونسي أن للجدال وجهاً آخر</w:t>
      </w:r>
      <w:r w:rsidR="000636C2">
        <w:rPr>
          <w:rFonts w:hint="cs"/>
          <w:rtl/>
        </w:rPr>
        <w:t>،</w:t>
      </w:r>
      <w:r w:rsidRPr="005675B2">
        <w:rPr>
          <w:rFonts w:hint="cs"/>
          <w:rtl/>
        </w:rPr>
        <w:t xml:space="preserve"> وهو المذكور في قوله تعالى </w:t>
      </w:r>
      <w:r w:rsidR="000636C2">
        <w:rPr>
          <w:rFonts w:hint="cs"/>
          <w:rtl/>
        </w:rPr>
        <w:t>[</w:t>
      </w:r>
      <w:r w:rsidRPr="005675B2">
        <w:rPr>
          <w:rFonts w:hint="cs"/>
          <w:rtl/>
        </w:rPr>
        <w:t>قَالُوا يَا نُوحُ قَدْ جَادَلْتَنَا فَأَكْثَرْتَ جِدَالَنَا</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هود</w:t>
      </w:r>
      <w:r w:rsidR="000636C2">
        <w:rPr>
          <w:rFonts w:hint="cs"/>
          <w:sz w:val="24"/>
          <w:szCs w:val="24"/>
          <w:rtl/>
        </w:rPr>
        <w:t>،</w:t>
      </w:r>
      <w:r w:rsidRPr="005675B2">
        <w:rPr>
          <w:rFonts w:hint="cs"/>
          <w:sz w:val="24"/>
          <w:szCs w:val="24"/>
          <w:rtl/>
        </w:rPr>
        <w:t xml:space="preserve"> الآية 32</w:t>
      </w:r>
      <w:r w:rsidR="000636C2">
        <w:rPr>
          <w:rFonts w:hint="cs"/>
          <w:sz w:val="24"/>
          <w:szCs w:val="24"/>
          <w:rtl/>
        </w:rPr>
        <w:t>]</w:t>
      </w:r>
      <w:r w:rsidRPr="005675B2">
        <w:rPr>
          <w:rFonts w:hint="cs"/>
          <w:rtl/>
        </w:rPr>
        <w:t xml:space="preserve"> وقوله تعالى </w:t>
      </w:r>
      <w:r w:rsidR="000636C2">
        <w:rPr>
          <w:rFonts w:hint="cs"/>
          <w:rtl/>
        </w:rPr>
        <w:t>[</w:t>
      </w:r>
      <w:r w:rsidRPr="005675B2">
        <w:rPr>
          <w:rFonts w:hint="cs"/>
          <w:rtl/>
        </w:rPr>
        <w:t>وَجَادِلْهُمْ بِالَّتِي هِيَ أَحْسَنُ</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النحل</w:t>
      </w:r>
      <w:r w:rsidR="000636C2">
        <w:rPr>
          <w:rFonts w:hint="cs"/>
          <w:sz w:val="24"/>
          <w:szCs w:val="24"/>
          <w:rtl/>
        </w:rPr>
        <w:t>،</w:t>
      </w:r>
      <w:r w:rsidRPr="005675B2">
        <w:rPr>
          <w:rFonts w:hint="cs"/>
          <w:sz w:val="24"/>
          <w:szCs w:val="24"/>
          <w:rtl/>
        </w:rPr>
        <w:t xml:space="preserve"> الآية 125</w:t>
      </w:r>
      <w:r w:rsidR="000636C2">
        <w:rPr>
          <w:rFonts w:hint="cs"/>
          <w:sz w:val="24"/>
          <w:szCs w:val="24"/>
          <w:rtl/>
        </w:rPr>
        <w:t>]</w:t>
      </w:r>
      <w:r w:rsidR="000636C2">
        <w:rPr>
          <w:rFonts w:hint="cs"/>
          <w:rtl/>
        </w:rPr>
        <w:t>،</w:t>
      </w:r>
      <w:r w:rsidRPr="005675B2">
        <w:rPr>
          <w:rFonts w:hint="cs"/>
          <w:rtl/>
        </w:rPr>
        <w:t xml:space="preserve"> فالمجادلة بقصد إظهار الحق وإيصاله إلى طالبيه وكذا المجادلة بقصد الوصول للحق محمودة ليست بمذمومة</w:t>
      </w:r>
      <w:r w:rsidR="000636C2">
        <w:rPr>
          <w:rFonts w:hint="cs"/>
          <w:rtl/>
        </w:rPr>
        <w:t>،</w:t>
      </w:r>
      <w:r w:rsidRPr="005675B2">
        <w:rPr>
          <w:rFonts w:hint="cs"/>
          <w:rtl/>
        </w:rPr>
        <w:t xml:space="preserve"> قال ابن الجوزي في أحداث سنة </w:t>
      </w:r>
      <w:r w:rsidR="000636C2">
        <w:rPr>
          <w:rFonts w:hint="cs"/>
          <w:rtl/>
        </w:rPr>
        <w:t>(</w:t>
      </w:r>
      <w:r w:rsidRPr="005675B2">
        <w:rPr>
          <w:rFonts w:hint="cs"/>
          <w:rtl/>
        </w:rPr>
        <w:t>469ه -</w:t>
      </w:r>
      <w:r w:rsidR="000636C2">
        <w:rPr>
          <w:rFonts w:hint="cs"/>
          <w:rtl/>
        </w:rPr>
        <w:t>):</w:t>
      </w:r>
      <w:r w:rsidRPr="005675B2">
        <w:rPr>
          <w:rFonts w:hint="cs"/>
          <w:rtl/>
        </w:rPr>
        <w:t xml:space="preserve"> </w:t>
      </w:r>
      <w:r w:rsidR="000636C2">
        <w:rPr>
          <w:rFonts w:hint="cs"/>
          <w:rtl/>
        </w:rPr>
        <w:t>[</w:t>
      </w:r>
      <w:r w:rsidRPr="005675B2">
        <w:rPr>
          <w:rFonts w:hint="cs"/>
          <w:rtl/>
        </w:rPr>
        <w:t>وفي شوال وقعت الفتنة بين الحنابلة والأشعرية</w:t>
      </w:r>
      <w:r w:rsidR="000636C2">
        <w:rPr>
          <w:rFonts w:hint="cs"/>
          <w:rtl/>
        </w:rPr>
        <w:t>،</w:t>
      </w:r>
      <w:r w:rsidRPr="005675B2">
        <w:rPr>
          <w:rFonts w:hint="cs"/>
          <w:rtl/>
        </w:rPr>
        <w:t xml:space="preserve"> وكان السبب أنه ورد</w:t>
      </w:r>
      <w:r w:rsidR="000636C2">
        <w:rPr>
          <w:rFonts w:hint="cs"/>
          <w:rtl/>
        </w:rPr>
        <w:t xml:space="preserve"> </w:t>
      </w:r>
      <w:r w:rsidRPr="005675B2">
        <w:rPr>
          <w:rFonts w:hint="cs"/>
          <w:rtl/>
        </w:rPr>
        <w:t>إلى بغداد أبو نصر ابن القشيري</w:t>
      </w:r>
      <w:r w:rsidR="000636C2">
        <w:rPr>
          <w:rFonts w:hint="cs"/>
          <w:rtl/>
        </w:rPr>
        <w:t>،</w:t>
      </w:r>
      <w:r w:rsidRPr="005675B2">
        <w:rPr>
          <w:rFonts w:hint="cs"/>
          <w:rtl/>
        </w:rPr>
        <w:t xml:space="preserve"> وجلس في النظامية</w:t>
      </w:r>
      <w:r w:rsidR="000636C2">
        <w:rPr>
          <w:rFonts w:hint="cs"/>
          <w:rtl/>
        </w:rPr>
        <w:t>،</w:t>
      </w:r>
      <w:r w:rsidRPr="005675B2">
        <w:rPr>
          <w:rFonts w:hint="cs"/>
          <w:rtl/>
        </w:rPr>
        <w:t xml:space="preserve"> وأخذ يذم الحنابلة وينسبهم إلى التجسيم</w:t>
      </w:r>
      <w:r w:rsidR="000636C2">
        <w:rPr>
          <w:rFonts w:hint="cs"/>
          <w:rtl/>
        </w:rPr>
        <w:t>،</w:t>
      </w:r>
      <w:r w:rsidRPr="005675B2">
        <w:rPr>
          <w:rFonts w:hint="cs"/>
          <w:rtl/>
        </w:rPr>
        <w:t>… ومال أبو إسحاق الشيرازي إلى نصرة القشيري</w:t>
      </w:r>
      <w:r w:rsidR="000636C2">
        <w:rPr>
          <w:rFonts w:hint="cs"/>
          <w:rtl/>
        </w:rPr>
        <w:t>]،</w:t>
      </w:r>
      <w:r w:rsidRPr="005675B2">
        <w:rPr>
          <w:rFonts w:hint="cs"/>
          <w:rtl/>
        </w:rPr>
        <w:t xml:space="preserve"> وأتابع نقل ما حدث من كلام ابن رجب</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وكتب إلى نظام الملك الوزير يشكو الحنابلة</w:t>
      </w:r>
      <w:r w:rsidR="000636C2">
        <w:rPr>
          <w:rFonts w:hint="cs"/>
          <w:rtl/>
        </w:rPr>
        <w:t>،</w:t>
      </w:r>
      <w:r w:rsidRPr="005675B2">
        <w:rPr>
          <w:rFonts w:hint="cs"/>
          <w:rtl/>
        </w:rPr>
        <w:t xml:space="preserve"> ويسأله المعونة</w:t>
      </w:r>
      <w:r w:rsidR="000636C2">
        <w:rPr>
          <w:rFonts w:hint="cs"/>
          <w:rtl/>
        </w:rPr>
        <w:t>،</w:t>
      </w:r>
      <w:r w:rsidRPr="005675B2">
        <w:rPr>
          <w:rFonts w:hint="cs"/>
          <w:rtl/>
        </w:rPr>
        <w:t xml:space="preserve"> فاتفق جماعة من أتباعه على الهجوم على الشريف أبي جعفر في مسجده والإيقاع به</w:t>
      </w:r>
      <w:r w:rsidR="000636C2">
        <w:rPr>
          <w:rFonts w:hint="cs"/>
          <w:rtl/>
        </w:rPr>
        <w:t>،</w:t>
      </w:r>
      <w:r w:rsidRPr="005675B2">
        <w:rPr>
          <w:rFonts w:hint="cs"/>
          <w:rtl/>
        </w:rPr>
        <w:t xml:space="preserve"> فرتب الشريف جماعة أعدهم لرد خصومة إن وقعت</w:t>
      </w:r>
      <w:r w:rsidR="000636C2">
        <w:rPr>
          <w:rFonts w:hint="cs"/>
          <w:rtl/>
        </w:rPr>
        <w:t>،</w:t>
      </w:r>
      <w:r w:rsidRPr="005675B2">
        <w:rPr>
          <w:rFonts w:hint="cs"/>
          <w:rtl/>
        </w:rPr>
        <w:t xml:space="preserve"> فلما وصل أولئك إلى باب المسجد رماهم هؤلاء بالآجر</w:t>
      </w:r>
      <w:r w:rsidR="000636C2">
        <w:rPr>
          <w:rFonts w:hint="cs"/>
          <w:rtl/>
        </w:rPr>
        <w:t>،</w:t>
      </w:r>
      <w:r w:rsidRPr="005675B2">
        <w:rPr>
          <w:rFonts w:hint="cs"/>
          <w:rtl/>
        </w:rPr>
        <w:t xml:space="preserve"> فوقعت الفتنة</w:t>
      </w:r>
      <w:r w:rsidR="000636C2">
        <w:rPr>
          <w:rFonts w:hint="cs"/>
          <w:rtl/>
        </w:rPr>
        <w:t>،</w:t>
      </w:r>
      <w:r w:rsidRPr="005675B2">
        <w:rPr>
          <w:rFonts w:hint="cs"/>
          <w:rtl/>
        </w:rPr>
        <w:t xml:space="preserve"> وقتل من أولئك رجل من العامة وجرح آخرون</w:t>
      </w:r>
      <w:r w:rsidR="000636C2">
        <w:rPr>
          <w:rFonts w:hint="cs"/>
          <w:rtl/>
        </w:rPr>
        <w:t>،</w:t>
      </w:r>
      <w:r w:rsidRPr="005675B2">
        <w:rPr>
          <w:rFonts w:hint="cs"/>
          <w:rtl/>
        </w:rPr>
        <w:t xml:space="preserve"> …</w:t>
      </w:r>
      <w:r w:rsidR="000636C2">
        <w:rPr>
          <w:rFonts w:hint="cs"/>
          <w:rtl/>
        </w:rPr>
        <w:t>]</w:t>
      </w:r>
      <w:r w:rsidRPr="005675B2">
        <w:rPr>
          <w:rStyle w:val="a5"/>
          <w:rFonts w:hint="cs"/>
          <w:b/>
          <w:rtl/>
        </w:rPr>
        <w:t xml:space="preserve"> </w:t>
      </w:r>
      <w:r w:rsidR="000636C2">
        <w:rPr>
          <w:rFonts w:hint="cs"/>
          <w:rtl/>
        </w:rPr>
        <w:t>[</w:t>
      </w:r>
      <w:r w:rsidRPr="005675B2">
        <w:rPr>
          <w:rFonts w:hint="cs"/>
          <w:sz w:val="24"/>
          <w:szCs w:val="24"/>
          <w:rtl/>
        </w:rPr>
        <w:t>المنتظم لابن الجوزي</w:t>
      </w:r>
      <w:r w:rsidR="000636C2">
        <w:rPr>
          <w:rFonts w:hint="cs"/>
          <w:sz w:val="24"/>
          <w:szCs w:val="24"/>
          <w:rtl/>
        </w:rPr>
        <w:t>:</w:t>
      </w:r>
      <w:r w:rsidRPr="005675B2">
        <w:rPr>
          <w:rFonts w:hint="cs"/>
          <w:sz w:val="24"/>
          <w:szCs w:val="24"/>
          <w:rtl/>
        </w:rPr>
        <w:t xml:space="preserve"> 8/ 305 . ذيل طبقات الحنابلة لابن رجب</w:t>
      </w:r>
      <w:r w:rsidR="000636C2">
        <w:rPr>
          <w:rFonts w:hint="cs"/>
          <w:sz w:val="24"/>
          <w:szCs w:val="24"/>
          <w:rtl/>
        </w:rPr>
        <w:t>:</w:t>
      </w:r>
      <w:r w:rsidRPr="005675B2">
        <w:rPr>
          <w:rFonts w:hint="cs"/>
          <w:sz w:val="24"/>
          <w:szCs w:val="24"/>
          <w:rtl/>
        </w:rPr>
        <w:t xml:space="preserve"> 1/ 19 – 20</w:t>
      </w:r>
      <w:r w:rsidR="000636C2">
        <w:rPr>
          <w:rFonts w:hint="cs"/>
          <w:sz w:val="24"/>
          <w:szCs w:val="24"/>
          <w:rtl/>
        </w:rPr>
        <w:t>]</w:t>
      </w:r>
      <w:r w:rsidRPr="005675B2">
        <w:rPr>
          <w:rFonts w:hint="cs"/>
          <w:rtl/>
        </w:rPr>
        <w:t>، أرأيت إلى العاقبة السيئة إذا غابت لغة الحوار</w:t>
      </w:r>
      <w:r w:rsidR="000636C2">
        <w:rPr>
          <w:rFonts w:hint="cs"/>
          <w:rtl/>
        </w:rPr>
        <w:t>؟!</w:t>
      </w:r>
      <w:r w:rsidRPr="005675B2">
        <w:rPr>
          <w:rFonts w:hint="cs"/>
          <w:rtl/>
        </w:rPr>
        <w:t xml:space="preserve"> لم يبق إلا التراشق بالاتهام ثم بالآجر ولو أدى إلى قتل رجل وجرح آخرين</w:t>
      </w:r>
      <w:r w:rsidR="000636C2">
        <w:rPr>
          <w:rFonts w:hint="cs"/>
          <w:rtl/>
        </w:rPr>
        <w:t>،</w:t>
      </w:r>
      <w:r w:rsidRPr="005675B2">
        <w:rPr>
          <w:rFonts w:hint="cs"/>
          <w:rtl/>
        </w:rPr>
        <w:t xml:space="preserve"> وفريق يستعين بالخليفة وفريق يستعين بالوزير</w:t>
      </w:r>
      <w:r w:rsidR="000636C2">
        <w:rPr>
          <w:rFonts w:hint="cs"/>
          <w:rtl/>
        </w:rPr>
        <w:t>!</w:t>
      </w:r>
      <w:r w:rsidRPr="005675B2">
        <w:rPr>
          <w:rFonts w:hint="cs"/>
          <w:rtl/>
        </w:rPr>
        <w:t xml:space="preserve"> يفعلون هذا ويظنون أنهم بذلك ينصرون الدين والسنة</w:t>
      </w:r>
      <w:r w:rsidR="000636C2">
        <w:rPr>
          <w:rFonts w:hint="cs"/>
          <w:rtl/>
        </w:rPr>
        <w:t>،</w:t>
      </w:r>
      <w:r w:rsidRPr="005675B2">
        <w:rPr>
          <w:rFonts w:hint="cs"/>
          <w:rtl/>
        </w:rPr>
        <w:t xml:space="preserve"> ويحسبون أنهم يحسنون صنعاً</w:t>
      </w:r>
      <w:r w:rsidR="000636C2">
        <w:rPr>
          <w:rFonts w:hint="cs"/>
          <w:rtl/>
        </w:rPr>
        <w:t xml:space="preserve">!، </w:t>
      </w:r>
      <w:r w:rsidRPr="005675B2">
        <w:rPr>
          <w:rFonts w:hint="cs"/>
          <w:rtl/>
        </w:rPr>
        <w:t xml:space="preserve">قال ابن الجوزي في أحداث سـنة </w:t>
      </w:r>
      <w:r w:rsidR="000636C2">
        <w:rPr>
          <w:rFonts w:hint="cs"/>
          <w:rtl/>
        </w:rPr>
        <w:t>(</w:t>
      </w:r>
      <w:r w:rsidRPr="005675B2">
        <w:rPr>
          <w:rFonts w:hint="cs"/>
          <w:rtl/>
        </w:rPr>
        <w:t>469ه -</w:t>
      </w:r>
      <w:r w:rsidR="000636C2">
        <w:rPr>
          <w:rFonts w:hint="cs"/>
          <w:rtl/>
        </w:rPr>
        <w:t>):</w:t>
      </w:r>
      <w:r w:rsidRPr="005675B2">
        <w:rPr>
          <w:rFonts w:hint="cs"/>
          <w:rtl/>
        </w:rPr>
        <w:t xml:space="preserve"> </w:t>
      </w:r>
      <w:r w:rsidR="000636C2">
        <w:rPr>
          <w:rFonts w:hint="cs"/>
          <w:rtl/>
        </w:rPr>
        <w:t>[</w:t>
      </w:r>
      <w:r w:rsidRPr="005675B2">
        <w:rPr>
          <w:rFonts w:hint="cs"/>
          <w:rtl/>
        </w:rPr>
        <w:t>وفي يوم الأربعـاء لعشر بقين من ذي القعدة أزيلت المواخير ودور الفسق ببغداد ونقضت</w:t>
      </w:r>
      <w:r w:rsidR="000636C2">
        <w:rPr>
          <w:rFonts w:hint="cs"/>
          <w:rtl/>
        </w:rPr>
        <w:t>،</w:t>
      </w:r>
      <w:r w:rsidRPr="005675B2">
        <w:rPr>
          <w:rFonts w:hint="cs"/>
          <w:rtl/>
        </w:rPr>
        <w:t xml:space="preserve"> وهرب الفواسق</w:t>
      </w:r>
      <w:r w:rsidR="000636C2">
        <w:rPr>
          <w:rFonts w:hint="cs"/>
          <w:rtl/>
        </w:rPr>
        <w:t>،</w:t>
      </w:r>
      <w:r w:rsidRPr="005675B2">
        <w:rPr>
          <w:rFonts w:hint="cs"/>
          <w:rtl/>
        </w:rPr>
        <w:t xml:space="preserve"> وذلك لخطاب جرى من الخليفة…</w:t>
      </w:r>
      <w:r w:rsidR="000636C2">
        <w:rPr>
          <w:rFonts w:hint="cs"/>
          <w:rtl/>
        </w:rPr>
        <w:t>]</w:t>
      </w:r>
      <w:r w:rsidRPr="005675B2">
        <w:rPr>
          <w:rFonts w:hint="cs"/>
          <w:rtl/>
        </w:rPr>
        <w:t xml:space="preserve"> [</w:t>
      </w:r>
      <w:r w:rsidRPr="005675B2">
        <w:rPr>
          <w:rFonts w:hint="cs"/>
          <w:sz w:val="24"/>
          <w:szCs w:val="24"/>
          <w:rtl/>
        </w:rPr>
        <w:t>المنتظم لابن الجوزي</w:t>
      </w:r>
      <w:r w:rsidR="000636C2">
        <w:rPr>
          <w:rFonts w:hint="cs"/>
          <w:sz w:val="24"/>
          <w:szCs w:val="24"/>
          <w:rtl/>
        </w:rPr>
        <w:t>:</w:t>
      </w:r>
      <w:r w:rsidRPr="005675B2">
        <w:rPr>
          <w:rFonts w:hint="cs"/>
          <w:sz w:val="24"/>
          <w:szCs w:val="24"/>
          <w:rtl/>
        </w:rPr>
        <w:t xml:space="preserve"> 8/ 306</w:t>
      </w:r>
      <w:r w:rsidR="000636C2">
        <w:rPr>
          <w:rFonts w:hint="cs"/>
          <w:sz w:val="24"/>
          <w:szCs w:val="24"/>
          <w:rtl/>
        </w:rPr>
        <w:t>]</w:t>
      </w:r>
      <w:r w:rsidR="000636C2">
        <w:rPr>
          <w:rFonts w:hint="cs"/>
          <w:rtl/>
        </w:rPr>
        <w:t xml:space="preserve">، </w:t>
      </w:r>
      <w:r w:rsidRPr="005675B2">
        <w:rPr>
          <w:rFonts w:hint="cs"/>
          <w:rtl/>
        </w:rPr>
        <w:t>هنا نجد الدولة تتابع تنفيـذ الوعد الذي قطعته على نفسها بإزالة المواخير ودور الفسق قبل خمس سنوات</w:t>
      </w:r>
      <w:r w:rsidR="000636C2">
        <w:rPr>
          <w:rFonts w:hint="cs"/>
          <w:rtl/>
        </w:rPr>
        <w:t>،</w:t>
      </w:r>
      <w:r w:rsidRPr="005675B2">
        <w:rPr>
          <w:rFonts w:hint="cs"/>
          <w:rtl/>
        </w:rPr>
        <w:t xml:space="preserve"> وذلك بناء على مطالب العلماء المجتمعين من كلا الفريقين الحنابلة والأشاعرة</w:t>
      </w:r>
      <w:r w:rsidR="000636C2">
        <w:rPr>
          <w:rFonts w:hint="cs"/>
          <w:rtl/>
        </w:rPr>
        <w:t xml:space="preserve">، </w:t>
      </w:r>
      <w:r w:rsidRPr="005675B2">
        <w:rPr>
          <w:rFonts w:hint="cs"/>
          <w:rtl/>
        </w:rPr>
        <w:t>ترى هل العلماء اليوم قادرون على نبذ الفرقة والعمل لما فيه مصلحة الأمة</w:t>
      </w:r>
      <w:r w:rsidR="000636C2">
        <w:rPr>
          <w:rFonts w:hint="cs"/>
          <w:rtl/>
        </w:rPr>
        <w:t>؟!</w:t>
      </w:r>
      <w:r w:rsidRPr="005675B2">
        <w:rPr>
          <w:rFonts w:hint="cs"/>
          <w:rtl/>
        </w:rPr>
        <w:t xml:space="preserve"> سيقولون لا يمكن أن نترك الدعوة للعقيدة التي نرى أنها هي العقيدة السليمة</w:t>
      </w:r>
      <w:r w:rsidR="000636C2">
        <w:rPr>
          <w:rFonts w:hint="cs"/>
          <w:rtl/>
        </w:rPr>
        <w:t>،</w:t>
      </w:r>
      <w:r w:rsidRPr="005675B2">
        <w:rPr>
          <w:rFonts w:hint="cs"/>
          <w:rtl/>
        </w:rPr>
        <w:t xml:space="preserve"> فأقول</w:t>
      </w:r>
      <w:r w:rsidR="000636C2">
        <w:rPr>
          <w:rFonts w:hint="cs"/>
          <w:rtl/>
        </w:rPr>
        <w:t>:</w:t>
      </w:r>
      <w:r w:rsidRPr="005675B2">
        <w:rPr>
          <w:rFonts w:hint="cs"/>
          <w:rtl/>
        </w:rPr>
        <w:t xml:space="preserve"> الميدان واسع</w:t>
      </w:r>
      <w:r w:rsidR="000636C2">
        <w:rPr>
          <w:rFonts w:hint="cs"/>
          <w:rtl/>
        </w:rPr>
        <w:t>،</w:t>
      </w:r>
      <w:r w:rsidRPr="005675B2">
        <w:rPr>
          <w:rFonts w:hint="cs"/>
          <w:rtl/>
        </w:rPr>
        <w:t xml:space="preserve"> والطريق طويل</w:t>
      </w:r>
      <w:r w:rsidR="000636C2">
        <w:rPr>
          <w:rFonts w:hint="cs"/>
          <w:rtl/>
        </w:rPr>
        <w:t>،</w:t>
      </w:r>
      <w:r w:rsidRPr="005675B2">
        <w:rPr>
          <w:rFonts w:hint="cs"/>
          <w:rtl/>
        </w:rPr>
        <w:t xml:space="preserve"> والحاجة إلى نور هداية الإسلام شديدة</w:t>
      </w:r>
      <w:r w:rsidR="000636C2">
        <w:rPr>
          <w:rFonts w:hint="cs"/>
          <w:rtl/>
        </w:rPr>
        <w:t>،</w:t>
      </w:r>
      <w:r w:rsidRPr="005675B2">
        <w:rPr>
          <w:rFonts w:hint="cs"/>
          <w:rtl/>
        </w:rPr>
        <w:t xml:space="preserve"> وحبذا لو عمل الجميع مع التركيز على الأسس والقواسم المشتركة</w:t>
      </w:r>
      <w:r w:rsidR="000636C2">
        <w:rPr>
          <w:rFonts w:hint="cs"/>
          <w:rtl/>
        </w:rPr>
        <w:t>،</w:t>
      </w:r>
      <w:r w:rsidRPr="005675B2">
        <w:rPr>
          <w:rFonts w:hint="cs"/>
          <w:rtl/>
        </w:rPr>
        <w:t xml:space="preserve"> مع عدم قطع الحوار والمناظرة حول بقية المسائل</w:t>
      </w:r>
      <w:r w:rsidR="000636C2">
        <w:rPr>
          <w:rFonts w:hint="cs"/>
          <w:rtl/>
        </w:rPr>
        <w:t>،</w:t>
      </w:r>
      <w:r w:rsidRPr="005675B2">
        <w:rPr>
          <w:rFonts w:hint="cs"/>
          <w:rtl/>
        </w:rPr>
        <w:t xml:space="preserve"> وإذا صحت النوايا وصدقت العزائم في التوجه إلى الله تعالى وطلب الهداية منه ؛ فإن الله تعالى سيهدينا إلى الصراط المستقيم</w:t>
      </w:r>
      <w:r w:rsidR="000636C2">
        <w:rPr>
          <w:rFonts w:hint="cs"/>
          <w:rtl/>
        </w:rPr>
        <w:t>،</w:t>
      </w:r>
      <w:r w:rsidRPr="005675B2">
        <w:rPr>
          <w:rFonts w:hint="cs"/>
          <w:rtl/>
        </w:rPr>
        <w:t xml:space="preserve"> صراط الذين أنعم الله عليهم</w:t>
      </w:r>
      <w:r w:rsidR="000636C2">
        <w:rPr>
          <w:rFonts w:hint="cs"/>
          <w:rtl/>
        </w:rPr>
        <w:t>،</w:t>
      </w:r>
      <w:r w:rsidRPr="005675B2">
        <w:rPr>
          <w:rFonts w:hint="cs"/>
          <w:rtl/>
        </w:rPr>
        <w:t xml:space="preserve"> وهو القائل في محكم كتابه </w:t>
      </w:r>
      <w:r w:rsidR="000636C2">
        <w:rPr>
          <w:rFonts w:hint="cs"/>
          <w:rtl/>
        </w:rPr>
        <w:t>[</w:t>
      </w:r>
      <w:r w:rsidRPr="005675B2">
        <w:rPr>
          <w:rFonts w:hint="cs"/>
          <w:rtl/>
        </w:rPr>
        <w:t>وَالَّذِينَ جَاهَدُوا فِينَا لَنَهْدِيَنَّهُمْ سُبُلَنَا وَإِنَّ اللَّهَ لَمَعَ الْمُحْسِنِينَ</w:t>
      </w:r>
      <w:r w:rsidR="000636C2">
        <w:rPr>
          <w:rFonts w:hint="cs"/>
          <w:rtl/>
        </w:rPr>
        <w:t>]</w:t>
      </w:r>
      <w:r w:rsidRPr="005675B2">
        <w:rPr>
          <w:rFonts w:hint="cs"/>
          <w:rtl/>
        </w:rPr>
        <w:t xml:space="preserve"> [</w:t>
      </w:r>
      <w:r w:rsidRPr="005675B2">
        <w:rPr>
          <w:rFonts w:hint="cs"/>
          <w:sz w:val="24"/>
          <w:szCs w:val="24"/>
          <w:rtl/>
        </w:rPr>
        <w:t>سورة العنكبوت</w:t>
      </w:r>
      <w:r w:rsidR="000636C2">
        <w:rPr>
          <w:rFonts w:hint="cs"/>
          <w:sz w:val="24"/>
          <w:szCs w:val="24"/>
          <w:rtl/>
        </w:rPr>
        <w:t>،</w:t>
      </w:r>
      <w:r w:rsidRPr="005675B2">
        <w:rPr>
          <w:rFonts w:hint="cs"/>
          <w:sz w:val="24"/>
          <w:szCs w:val="24"/>
          <w:rtl/>
        </w:rPr>
        <w:t xml:space="preserve"> الآية 69</w:t>
      </w:r>
      <w:r w:rsidR="000636C2">
        <w:rPr>
          <w:rFonts w:hint="cs"/>
          <w:sz w:val="24"/>
          <w:szCs w:val="24"/>
          <w:rtl/>
        </w:rPr>
        <w:t>]</w:t>
      </w:r>
      <w:r w:rsidR="000636C2">
        <w:rPr>
          <w:rFonts w:hint="cs"/>
          <w:rtl/>
        </w:rPr>
        <w:t>،</w:t>
      </w:r>
      <w:r w:rsidRPr="005675B2">
        <w:rPr>
          <w:rFonts w:hint="cs"/>
          <w:rtl/>
        </w:rPr>
        <w:t xml:space="preserve"> اللهم اجعلنا من عبادك المحسنين يا رب العالمين</w:t>
      </w:r>
      <w:r w:rsidR="000636C2">
        <w:rPr>
          <w:rFonts w:hint="cs"/>
          <w:rtl/>
        </w:rPr>
        <w:t>،</w:t>
      </w:r>
    </w:p>
    <w:p w14:paraId="50C3B90E" w14:textId="54A6B23C" w:rsidR="009C32A0" w:rsidRPr="005675B2" w:rsidRDefault="009C32A0" w:rsidP="000636C2">
      <w:pPr>
        <w:rPr>
          <w:b/>
          <w:rtl/>
        </w:rPr>
      </w:pPr>
      <w:r w:rsidRPr="005675B2">
        <w:rPr>
          <w:rFonts w:hint="cs"/>
          <w:rtl/>
        </w:rPr>
        <w:t>مناقشة الباحث في بعض ما قاله في كتاب آخر حول حقيقـة الإيمـان</w:t>
      </w:r>
      <w:r w:rsidR="000636C2">
        <w:rPr>
          <w:rFonts w:hint="cs"/>
          <w:rtl/>
        </w:rPr>
        <w:t>:</w:t>
      </w:r>
      <w:r w:rsidRPr="005675B2">
        <w:rPr>
          <w:rFonts w:hint="cs"/>
          <w:rtl/>
        </w:rPr>
        <w:t xml:space="preserve"> للباحث كلام في أحد كتبه يتصل بأبحاث هذا الكتاب اتصالاً وثيقاً</w:t>
      </w:r>
      <w:r w:rsidR="000636C2">
        <w:rPr>
          <w:rFonts w:hint="cs"/>
          <w:rtl/>
        </w:rPr>
        <w:t>،</w:t>
      </w:r>
      <w:r w:rsidRPr="005675B2">
        <w:rPr>
          <w:rFonts w:hint="cs"/>
          <w:rtl/>
        </w:rPr>
        <w:t xml:space="preserve"> فأود أن أورد منه نبذاً يسيرة مع التعليق عليها بعون الله</w:t>
      </w:r>
      <w:r w:rsidR="000636C2">
        <w:rPr>
          <w:rFonts w:hint="cs"/>
          <w:rtl/>
        </w:rPr>
        <w:t>:</w:t>
      </w:r>
      <w:r w:rsidRPr="005675B2">
        <w:rPr>
          <w:rFonts w:hint="cs"/>
          <w:rtl/>
        </w:rPr>
        <w:t xml:space="preserve"> وقبل ذلك أقول</w:t>
      </w:r>
      <w:r w:rsidR="000636C2">
        <w:rPr>
          <w:rFonts w:hint="cs"/>
          <w:rtl/>
        </w:rPr>
        <w:t>:</w:t>
      </w:r>
      <w:r w:rsidRPr="005675B2">
        <w:rPr>
          <w:rFonts w:hint="cs"/>
          <w:rtl/>
        </w:rPr>
        <w:t xml:space="preserve"> من المعلوم</w:t>
      </w:r>
      <w:r w:rsidR="000636C2">
        <w:rPr>
          <w:rFonts w:hint="cs"/>
          <w:rtl/>
        </w:rPr>
        <w:t xml:space="preserve"> </w:t>
      </w:r>
      <w:r w:rsidRPr="005675B2">
        <w:rPr>
          <w:rFonts w:hint="cs"/>
          <w:rtl/>
        </w:rPr>
        <w:t>- أولاً</w:t>
      </w:r>
      <w:r w:rsidR="000636C2">
        <w:rPr>
          <w:rFonts w:hint="cs"/>
          <w:rtl/>
        </w:rPr>
        <w:t xml:space="preserve"> </w:t>
      </w:r>
      <w:r w:rsidRPr="005675B2">
        <w:rPr>
          <w:rFonts w:hint="cs"/>
          <w:rtl/>
        </w:rPr>
        <w:t>- أن الأشاعرة يقولون بأن الإيمان هو التصديق وأن الإسلام هو العمل</w:t>
      </w:r>
      <w:r w:rsidR="000636C2">
        <w:rPr>
          <w:rFonts w:hint="cs"/>
          <w:rtl/>
        </w:rPr>
        <w:t>،</w:t>
      </w:r>
      <w:r w:rsidRPr="005675B2">
        <w:rPr>
          <w:rFonts w:hint="cs"/>
          <w:rtl/>
        </w:rPr>
        <w:t xml:space="preserve"> فمحل الإيمان القلب</w:t>
      </w:r>
      <w:r w:rsidR="000636C2">
        <w:rPr>
          <w:rFonts w:hint="cs"/>
          <w:rtl/>
        </w:rPr>
        <w:t>،</w:t>
      </w:r>
      <w:r w:rsidRPr="005675B2">
        <w:rPr>
          <w:rFonts w:hint="cs"/>
          <w:rtl/>
        </w:rPr>
        <w:t xml:space="preserve"> ومحل الإسلام الجوارح</w:t>
      </w:r>
      <w:r w:rsidR="000636C2">
        <w:rPr>
          <w:rFonts w:hint="cs"/>
          <w:rtl/>
        </w:rPr>
        <w:t>،</w:t>
      </w:r>
      <w:r w:rsidRPr="005675B2">
        <w:rPr>
          <w:rFonts w:hint="cs"/>
          <w:rtl/>
        </w:rPr>
        <w:t xml:space="preserve"> بناء على حديث جبريل الذي سأل فيه رسولَ الله صلى الله عليه وسلم عن الإيمان والإسلام والإحسان وعلى عدد من نصوص القرآن والسنة</w:t>
      </w:r>
      <w:r w:rsidR="000636C2">
        <w:rPr>
          <w:rFonts w:hint="cs"/>
          <w:rtl/>
        </w:rPr>
        <w:t>،</w:t>
      </w:r>
      <w:r w:rsidRPr="005675B2">
        <w:rPr>
          <w:rFonts w:hint="cs"/>
          <w:rtl/>
        </w:rPr>
        <w:t xml:space="preserve"> وعليه فالعمل ليس جزءاً من الإيمان عندهم</w:t>
      </w:r>
      <w:r w:rsidR="000636C2">
        <w:rPr>
          <w:rFonts w:hint="cs"/>
          <w:rtl/>
        </w:rPr>
        <w:t>،</w:t>
      </w:r>
      <w:r w:rsidRPr="005675B2">
        <w:rPr>
          <w:rFonts w:hint="cs"/>
          <w:rtl/>
        </w:rPr>
        <w:t xml:space="preserve"> وذلك إذا أريد بالإيمان</w:t>
      </w:r>
      <w:r w:rsidR="000636C2">
        <w:rPr>
          <w:rFonts w:hint="cs"/>
          <w:rtl/>
        </w:rPr>
        <w:t>:</w:t>
      </w:r>
      <w:r w:rsidRPr="005675B2">
        <w:rPr>
          <w:rFonts w:hint="cs"/>
          <w:rtl/>
        </w:rPr>
        <w:t xml:space="preserve"> الحد الأدنى الذي ينقل العبد من الكفر إلى الإيمان</w:t>
      </w:r>
      <w:r w:rsidR="000636C2">
        <w:rPr>
          <w:rFonts w:hint="cs"/>
          <w:rtl/>
        </w:rPr>
        <w:t>،</w:t>
      </w:r>
      <w:r w:rsidRPr="005675B2">
        <w:rPr>
          <w:rFonts w:hint="cs"/>
          <w:rtl/>
        </w:rPr>
        <w:t xml:space="preserve"> ومن حصل ذلك الحد الأدنى فهو ممن لا يخلدون في النار وهو ممن تنالهم شفاعة أرحم الراحمين جل وعلا وإن لم يعمل خيراً قط</w:t>
      </w:r>
      <w:r w:rsidR="000636C2">
        <w:rPr>
          <w:rFonts w:hint="cs"/>
          <w:rtl/>
        </w:rPr>
        <w:t>،</w:t>
      </w:r>
      <w:r w:rsidRPr="005675B2">
        <w:rPr>
          <w:rFonts w:hint="cs"/>
          <w:rtl/>
        </w:rPr>
        <w:t xml:space="preserve"> وأما ما فوق الحد الأدنى من الإيمان فلا يكون إلا مع العمل الصالح</w:t>
      </w:r>
      <w:r w:rsidR="000636C2">
        <w:rPr>
          <w:rFonts w:hint="cs"/>
          <w:rtl/>
        </w:rPr>
        <w:t>،</w:t>
      </w:r>
      <w:r w:rsidRPr="005675B2">
        <w:rPr>
          <w:rFonts w:hint="cs"/>
          <w:rtl/>
        </w:rPr>
        <w:t xml:space="preserve"> لا لأن العمل جزء من الإيمان</w:t>
      </w:r>
      <w:r w:rsidR="000636C2">
        <w:rPr>
          <w:rFonts w:hint="cs"/>
          <w:rtl/>
        </w:rPr>
        <w:t>،</w:t>
      </w:r>
      <w:r w:rsidRPr="005675B2">
        <w:rPr>
          <w:rFonts w:hint="cs"/>
          <w:rtl/>
        </w:rPr>
        <w:t xml:space="preserve"> بل لأنه ثمرته</w:t>
      </w:r>
      <w:r w:rsidR="000636C2">
        <w:rPr>
          <w:rFonts w:hint="cs"/>
          <w:rtl/>
        </w:rPr>
        <w:t>،</w:t>
      </w:r>
      <w:r w:rsidRPr="005675B2">
        <w:rPr>
          <w:rFonts w:hint="cs"/>
          <w:rtl/>
        </w:rPr>
        <w:t xml:space="preserve"> فكلما كان الإيمان في القلب أقوى كانت الثمرة أكثر وأطيب</w:t>
      </w:r>
      <w:r w:rsidR="000636C2">
        <w:rPr>
          <w:rFonts w:hint="cs"/>
          <w:rtl/>
        </w:rPr>
        <w:t>،</w:t>
      </w:r>
      <w:r w:rsidRPr="005675B2">
        <w:rPr>
          <w:rFonts w:hint="cs"/>
          <w:rtl/>
        </w:rPr>
        <w:t xml:space="preserve"> أما الباحث فيرى أن الإيـمان لا بد فيه من العمل ولو قليلاً</w:t>
      </w:r>
      <w:r w:rsidR="000636C2">
        <w:rPr>
          <w:rFonts w:hint="cs"/>
          <w:rtl/>
        </w:rPr>
        <w:t>،</w:t>
      </w:r>
      <w:r w:rsidRPr="005675B2">
        <w:rPr>
          <w:rFonts w:hint="cs"/>
          <w:rtl/>
        </w:rPr>
        <w:t xml:space="preserve"> فمحل الإيمان عنده القلب والجوارح</w:t>
      </w:r>
      <w:r w:rsidR="000636C2">
        <w:rPr>
          <w:rFonts w:hint="cs"/>
          <w:rtl/>
        </w:rPr>
        <w:t>،</w:t>
      </w:r>
      <w:r w:rsidRPr="005675B2">
        <w:rPr>
          <w:rFonts w:hint="cs"/>
          <w:rtl/>
        </w:rPr>
        <w:t xml:space="preserve"> كما أن العمل جزء من الإيمان حتى ولو أريد بالإيمان الحد الأدنى</w:t>
      </w:r>
      <w:r w:rsidR="000636C2">
        <w:rPr>
          <w:rFonts w:hint="cs"/>
          <w:rtl/>
        </w:rPr>
        <w:t>،</w:t>
      </w:r>
      <w:r w:rsidRPr="005675B2">
        <w:rPr>
          <w:rFonts w:hint="cs"/>
          <w:rtl/>
        </w:rPr>
        <w:t xml:space="preserve"> وعليه فإن العبد لا يحصل الحد الأدنى من الإيمان</w:t>
      </w:r>
      <w:r w:rsidR="000636C2">
        <w:rPr>
          <w:rFonts w:hint="cs"/>
          <w:rtl/>
        </w:rPr>
        <w:t xml:space="preserve"> </w:t>
      </w:r>
      <w:r w:rsidRPr="005675B2">
        <w:rPr>
          <w:rFonts w:hint="cs"/>
          <w:rtl/>
        </w:rPr>
        <w:t>- لينقذ نفسه من الخلود في النار وليدخل فيمن تنالهم شفاعة أرحم الراحمين</w:t>
      </w:r>
      <w:r w:rsidR="000636C2">
        <w:rPr>
          <w:rFonts w:hint="cs"/>
          <w:rtl/>
        </w:rPr>
        <w:t xml:space="preserve"> </w:t>
      </w:r>
      <w:r w:rsidRPr="005675B2">
        <w:rPr>
          <w:rFonts w:hint="cs"/>
          <w:rtl/>
        </w:rPr>
        <w:t>- إلا بالعقيدة السليمة مع شيء من عمل الخير</w:t>
      </w:r>
      <w:r w:rsidR="000636C2">
        <w:rPr>
          <w:rFonts w:hint="cs"/>
          <w:rtl/>
        </w:rPr>
        <w:t>،</w:t>
      </w:r>
      <w:r w:rsidRPr="005675B2">
        <w:rPr>
          <w:rFonts w:hint="cs"/>
          <w:rtl/>
        </w:rPr>
        <w:t xml:space="preserve"> وأقلّه أن يكون من أهل السـجود</w:t>
      </w:r>
      <w:r w:rsidR="000636C2">
        <w:rPr>
          <w:rFonts w:hint="cs"/>
          <w:rtl/>
        </w:rPr>
        <w:t>،</w:t>
      </w:r>
      <w:r w:rsidRPr="005675B2">
        <w:rPr>
          <w:rFonts w:hint="cs"/>
          <w:rtl/>
        </w:rPr>
        <w:t xml:space="preserve"> أما من جـاء بالعقيدة السليمة دون أن يكون معها شـيء من العمل الصالح فلا يمكن أن يُتصور خروجه من النار ولا دخوله في شفاعة أرحم الراحمين</w:t>
      </w:r>
      <w:r w:rsidR="000636C2">
        <w:rPr>
          <w:rFonts w:hint="cs"/>
          <w:rtl/>
        </w:rPr>
        <w:t>،</w:t>
      </w:r>
      <w:r w:rsidRPr="005675B2">
        <w:rPr>
          <w:rFonts w:hint="cs"/>
          <w:rtl/>
        </w:rPr>
        <w:t xml:space="preserve"> إلا في بعض الحالات الخاصة كبعض سـكان الجزر النائية ممن لم يصلهم من الإسـلام إلا اسمه</w:t>
      </w:r>
      <w:r w:rsidR="000636C2">
        <w:rPr>
          <w:rFonts w:hint="cs"/>
          <w:rtl/>
        </w:rPr>
        <w:t>،</w:t>
      </w:r>
      <w:r w:rsidRPr="005675B2">
        <w:rPr>
          <w:rFonts w:hint="cs"/>
          <w:rtl/>
        </w:rPr>
        <w:t xml:space="preserve"> وكبعض شـرار الناس آخر الزمان عندما يَدْرُسُ الإسـلام كما يدرس وَشْيُ الثوبِ ولا يبقى في الأرض من القرآن آية [</w:t>
      </w:r>
      <w:r w:rsidRPr="005675B2">
        <w:rPr>
          <w:rFonts w:hint="cs"/>
          <w:sz w:val="24"/>
          <w:szCs w:val="24"/>
          <w:rtl/>
        </w:rPr>
        <w:t>دَرَسَ يَدْرس دَرساً ودروساً: بلي وذهب أثره . الوَشي: نقش الثوب</w:t>
      </w:r>
      <w:r w:rsidR="000636C2">
        <w:rPr>
          <w:rFonts w:hint="cs"/>
          <w:sz w:val="24"/>
          <w:szCs w:val="24"/>
          <w:rtl/>
        </w:rPr>
        <w:t>]</w:t>
      </w:r>
      <w:r w:rsidR="000636C2">
        <w:rPr>
          <w:rFonts w:hint="cs"/>
          <w:rtl/>
        </w:rPr>
        <w:t>،</w:t>
      </w:r>
      <w:r w:rsidRPr="005675B2">
        <w:rPr>
          <w:rFonts w:hint="cs"/>
          <w:rtl/>
        </w:rPr>
        <w:t xml:space="preserve"> أما في الحالة العامة فلا يتصور عنده أن يدخل الجنة من أتى بالتوحيد ولم يعمل خيراً قط</w:t>
      </w:r>
      <w:r w:rsidR="000636C2">
        <w:rPr>
          <w:rFonts w:hint="cs"/>
          <w:rtl/>
        </w:rPr>
        <w:t xml:space="preserve">، </w:t>
      </w:r>
      <w:r w:rsidRPr="005675B2">
        <w:rPr>
          <w:rFonts w:hint="cs"/>
          <w:rtl/>
        </w:rPr>
        <w:t>لعلي بهذا العرض أكون قد لخصت مذهب الأشاعرة ومذهب الباحث في أن جنس العمل هل هو ركن من أركان الإيمان أو لا</w:t>
      </w:r>
      <w:r w:rsidR="000636C2">
        <w:rPr>
          <w:rFonts w:hint="cs"/>
          <w:rtl/>
        </w:rPr>
        <w:t>؟،</w:t>
      </w:r>
      <w:r w:rsidRPr="005675B2">
        <w:rPr>
          <w:rFonts w:hint="cs"/>
          <w:rtl/>
        </w:rPr>
        <w:t xml:space="preserve"> ليكون هذا مدخلاً إلى متابعة الباحث في الاستدلال لمذهبه والرد على استدلال الآخرين</w:t>
      </w:r>
      <w:r w:rsidR="000636C2">
        <w:rPr>
          <w:rFonts w:hint="cs"/>
          <w:rtl/>
        </w:rPr>
        <w:t>،</w:t>
      </w:r>
    </w:p>
    <w:p w14:paraId="7F9F1FC1" w14:textId="06DCB54B" w:rsidR="009C32A0" w:rsidRPr="005675B2" w:rsidRDefault="009C32A0" w:rsidP="000636C2">
      <w:pPr>
        <w:rPr>
          <w:b/>
          <w:rtl/>
        </w:rPr>
      </w:pPr>
      <w:r w:rsidRPr="005675B2">
        <w:rPr>
          <w:rFonts w:hint="cs"/>
          <w:rtl/>
        </w:rPr>
        <w:t>قال الباحث</w:t>
      </w:r>
      <w:r w:rsidR="000636C2">
        <w:rPr>
          <w:rFonts w:hint="cs"/>
          <w:rtl/>
        </w:rPr>
        <w:t>:</w:t>
      </w:r>
      <w:r w:rsidRPr="005675B2">
        <w:rPr>
          <w:rFonts w:hint="cs"/>
          <w:rtl/>
        </w:rPr>
        <w:t xml:space="preserve"> وأصرح لفظ استدلت به المرجئة</w:t>
      </w:r>
      <w:r w:rsidR="000636C2">
        <w:rPr>
          <w:rFonts w:hint="cs"/>
          <w:rtl/>
        </w:rPr>
        <w:t>:</w:t>
      </w:r>
      <w:r w:rsidRPr="005675B2">
        <w:rPr>
          <w:rFonts w:hint="cs"/>
          <w:rtl/>
        </w:rPr>
        <w:t xml:space="preserve"> في إحدى روايات أبي سعيد الخدري وهي </w:t>
      </w:r>
      <w:r w:rsidR="000636C2">
        <w:rPr>
          <w:rFonts w:hint="cs"/>
          <w:rtl/>
        </w:rPr>
        <w:t>[</w:t>
      </w:r>
      <w:r w:rsidRPr="005675B2">
        <w:rPr>
          <w:rFonts w:hint="cs"/>
          <w:rtl/>
        </w:rPr>
        <w:t>فيقول الله عز وجل شفعت الملائكة وشفع النبيون وشفع المؤمنون ولم يبق إلا أرحم الراحمين</w:t>
      </w:r>
      <w:r w:rsidR="000636C2">
        <w:rPr>
          <w:rFonts w:hint="cs"/>
          <w:rtl/>
        </w:rPr>
        <w:t>،</w:t>
      </w:r>
      <w:r w:rsidRPr="005675B2">
        <w:rPr>
          <w:rFonts w:hint="cs"/>
          <w:rtl/>
        </w:rPr>
        <w:t xml:space="preserve"> فيقبض قبضة من النار</w:t>
      </w:r>
      <w:r w:rsidR="000636C2">
        <w:rPr>
          <w:rFonts w:hint="cs"/>
          <w:rtl/>
        </w:rPr>
        <w:t>،</w:t>
      </w:r>
      <w:r w:rsidRPr="005675B2">
        <w:rPr>
          <w:rFonts w:hint="cs"/>
          <w:rtl/>
        </w:rPr>
        <w:t xml:space="preserve"> فيخرج منها قوماً لم يعملوا خيراً قط</w:t>
      </w:r>
      <w:r w:rsidR="000636C2">
        <w:rPr>
          <w:rFonts w:hint="cs"/>
          <w:rtl/>
        </w:rPr>
        <w:t>،</w:t>
      </w:r>
      <w:r w:rsidRPr="005675B2">
        <w:rPr>
          <w:rFonts w:hint="cs"/>
          <w:rtl/>
        </w:rPr>
        <w:t xml:space="preserve"> قد عادوا حُمَماً</w:t>
      </w:r>
      <w:r w:rsidR="000636C2">
        <w:rPr>
          <w:rFonts w:hint="cs"/>
          <w:rtl/>
        </w:rPr>
        <w:t>،</w:t>
      </w:r>
      <w:r w:rsidRPr="005675B2">
        <w:rPr>
          <w:rFonts w:hint="cs"/>
          <w:rtl/>
        </w:rPr>
        <w:t xml:space="preserve"> فيلقيهم في نهر في أفواه الجنة يقال له نهر الحياة</w:t>
      </w:r>
      <w:r w:rsidR="000636C2">
        <w:rPr>
          <w:rFonts w:hint="cs"/>
          <w:rtl/>
        </w:rPr>
        <w:t>،</w:t>
      </w:r>
      <w:r w:rsidRPr="005675B2">
        <w:rPr>
          <w:rFonts w:hint="cs"/>
          <w:rtl/>
        </w:rPr>
        <w:t xml:space="preserve"> فيخرجون كما تخرج الحِبة في حميل السيل</w:t>
      </w:r>
      <w:r w:rsidR="000636C2">
        <w:rPr>
          <w:rFonts w:hint="cs"/>
          <w:rtl/>
        </w:rPr>
        <w:t>،</w:t>
      </w:r>
      <w:r w:rsidRPr="005675B2">
        <w:rPr>
          <w:rFonts w:hint="cs"/>
          <w:rtl/>
        </w:rPr>
        <w:t xml:space="preserve"> فيخرجون كاللؤلؤ في رقابهم الخواتم</w:t>
      </w:r>
      <w:r w:rsidR="000636C2">
        <w:rPr>
          <w:rFonts w:hint="cs"/>
          <w:rtl/>
        </w:rPr>
        <w:t>،</w:t>
      </w:r>
      <w:r w:rsidRPr="005675B2">
        <w:rPr>
          <w:rFonts w:hint="cs"/>
          <w:rtl/>
        </w:rPr>
        <w:t xml:space="preserve"> يعرفهم أهل الجنة</w:t>
      </w:r>
      <w:r w:rsidR="000636C2">
        <w:rPr>
          <w:rFonts w:hint="cs"/>
          <w:rtl/>
        </w:rPr>
        <w:t>،</w:t>
      </w:r>
      <w:r w:rsidRPr="005675B2">
        <w:rPr>
          <w:rFonts w:hint="cs"/>
          <w:rtl/>
        </w:rPr>
        <w:t xml:space="preserve"> هؤلاء عتقاء الله الذين أدخلهم الله الجنة بغير عمل عملوه ولا خير قدموه</w:t>
      </w:r>
      <w:r w:rsidR="000636C2">
        <w:rPr>
          <w:rFonts w:hint="cs"/>
          <w:rtl/>
        </w:rPr>
        <w:t>]،</w:t>
      </w:r>
      <w:r w:rsidRPr="005675B2">
        <w:rPr>
          <w:rFonts w:hint="cs"/>
          <w:rtl/>
        </w:rPr>
        <w:t xml:space="preserve"> وهذه إحدى روايات صحيح مسلم للحديث ..</w:t>
      </w:r>
      <w:r w:rsidR="000636C2">
        <w:rPr>
          <w:rFonts w:hint="cs"/>
          <w:rtl/>
        </w:rPr>
        <w:t>،</w:t>
      </w:r>
      <w:r w:rsidRPr="005675B2">
        <w:rPr>
          <w:rFonts w:hint="cs"/>
          <w:rtl/>
        </w:rPr>
        <w:t xml:space="preserve"> ووجه الاستدلال منه</w:t>
      </w:r>
      <w:r w:rsidR="000636C2">
        <w:rPr>
          <w:rFonts w:hint="cs"/>
          <w:rtl/>
        </w:rPr>
        <w:t>:</w:t>
      </w:r>
      <w:r w:rsidRPr="005675B2">
        <w:rPr>
          <w:rFonts w:hint="cs"/>
          <w:rtl/>
        </w:rPr>
        <w:t xml:space="preserve"> أنه أخرج من النار قوماً جاؤوا بتصديق مجرد لا عمل معه </w:t>
      </w:r>
      <w:r w:rsidR="000636C2">
        <w:rPr>
          <w:rFonts w:hint="cs"/>
          <w:rtl/>
        </w:rPr>
        <w:t>[</w:t>
      </w:r>
      <w:r w:rsidRPr="005675B2">
        <w:rPr>
          <w:rFonts w:hint="cs"/>
          <w:sz w:val="24"/>
          <w:szCs w:val="24"/>
          <w:rtl/>
        </w:rPr>
        <w:t>الحمم: الفحم . واحدته: حُمَمَة</w:t>
      </w:r>
      <w:r w:rsidR="000636C2">
        <w:rPr>
          <w:rFonts w:hint="cs"/>
          <w:sz w:val="24"/>
          <w:szCs w:val="24"/>
          <w:rtl/>
        </w:rPr>
        <w:t>]</w:t>
      </w:r>
      <w:r w:rsidR="000636C2">
        <w:rPr>
          <w:rFonts w:hint="cs"/>
          <w:rtl/>
        </w:rPr>
        <w:t>،</w:t>
      </w:r>
      <w:r w:rsidRPr="005675B2">
        <w:rPr>
          <w:rFonts w:hint="cs"/>
          <w:rtl/>
        </w:rPr>
        <w:t xml:space="preserve"> ثم قال</w:t>
      </w:r>
      <w:r w:rsidR="000636C2">
        <w:rPr>
          <w:rFonts w:hint="cs"/>
          <w:rtl/>
        </w:rPr>
        <w:t>:</w:t>
      </w:r>
      <w:r w:rsidRPr="005675B2">
        <w:rPr>
          <w:rFonts w:hint="cs"/>
          <w:rtl/>
        </w:rPr>
        <w:t>إن أكثر روايات هذا الحديث ليس فيها هذه الزيادة</w:t>
      </w:r>
      <w:r w:rsidR="000636C2">
        <w:rPr>
          <w:rFonts w:hint="cs"/>
          <w:rtl/>
        </w:rPr>
        <w:t>،</w:t>
      </w:r>
      <w:r w:rsidRPr="005675B2">
        <w:rPr>
          <w:rFonts w:hint="cs"/>
          <w:rtl/>
        </w:rPr>
        <w:t xml:space="preserve"> بل هي مصرحة بأن الجهنميين هم من أهل الصلاة ومن العاملين ..</w:t>
      </w:r>
      <w:r w:rsidR="000636C2">
        <w:rPr>
          <w:rFonts w:hint="cs"/>
          <w:rtl/>
        </w:rPr>
        <w:t>،</w:t>
      </w:r>
      <w:r w:rsidRPr="005675B2">
        <w:rPr>
          <w:rFonts w:hint="cs"/>
          <w:rtl/>
        </w:rPr>
        <w:t xml:space="preserve"> فمثلاً رواية أبي هريرة عند البخاري هذا نصها </w:t>
      </w:r>
      <w:r w:rsidR="000636C2">
        <w:rPr>
          <w:rFonts w:hint="cs"/>
          <w:rtl/>
        </w:rPr>
        <w:t>[</w:t>
      </w:r>
      <w:r w:rsidRPr="005675B2">
        <w:rPr>
          <w:rFonts w:hint="cs"/>
          <w:rtl/>
        </w:rPr>
        <w:t>حتى إذا فرغ الله من القضاء بين العباد وأراد أن يخرج برحمته من أراد من أهل النار ؛ أمر الملائكة أن يخرجوا من النار من كان لا يشرك بالله شيئاً ..</w:t>
      </w:r>
      <w:r w:rsidR="000636C2">
        <w:rPr>
          <w:rFonts w:hint="cs"/>
          <w:rtl/>
        </w:rPr>
        <w:t>،</w:t>
      </w:r>
      <w:r w:rsidRPr="005675B2">
        <w:rPr>
          <w:rFonts w:hint="cs"/>
          <w:rtl/>
        </w:rPr>
        <w:t xml:space="preserve"> فيعرفونهم بأثر السجود ..</w:t>
      </w:r>
      <w:r w:rsidR="000636C2">
        <w:rPr>
          <w:rFonts w:hint="cs"/>
          <w:rtl/>
        </w:rPr>
        <w:t>،</w:t>
      </w:r>
      <w:r w:rsidRPr="005675B2">
        <w:rPr>
          <w:rFonts w:hint="cs"/>
          <w:rtl/>
        </w:rPr>
        <w:t xml:space="preserve"> فيخرجون من النار قد امتحشوا</w:t>
      </w:r>
      <w:r w:rsidR="000636C2">
        <w:rPr>
          <w:rFonts w:hint="cs"/>
          <w:rtl/>
        </w:rPr>
        <w:t>،</w:t>
      </w:r>
      <w:r w:rsidRPr="005675B2">
        <w:rPr>
          <w:rFonts w:hint="cs"/>
          <w:rtl/>
        </w:rPr>
        <w:t xml:space="preserve"> فيصب عليهم ماء الحياة</w:t>
      </w:r>
      <w:r w:rsidR="000636C2">
        <w:rPr>
          <w:rFonts w:hint="cs"/>
          <w:rtl/>
        </w:rPr>
        <w:t>،</w:t>
      </w:r>
      <w:r w:rsidRPr="005675B2">
        <w:rPr>
          <w:rFonts w:hint="cs"/>
          <w:rtl/>
        </w:rPr>
        <w:t xml:space="preserve"> فينبتون تحته كما تنبت الحبة في حميل السيل</w:t>
      </w:r>
      <w:r w:rsidR="000636C2">
        <w:rPr>
          <w:rFonts w:hint="cs"/>
          <w:rtl/>
        </w:rPr>
        <w:t>]،</w:t>
      </w:r>
      <w:r w:rsidRPr="005675B2">
        <w:rPr>
          <w:rFonts w:hint="cs"/>
          <w:rtl/>
        </w:rPr>
        <w:t xml:space="preserve"> وأبو سعيد الخدري جالس مع أبي هريرة لا يغير عليه شيئاً من حديثه .. [</w:t>
      </w:r>
      <w:r w:rsidRPr="005675B2">
        <w:rPr>
          <w:rFonts w:hint="cs"/>
          <w:sz w:val="24"/>
          <w:szCs w:val="24"/>
          <w:rtl/>
        </w:rPr>
        <w:t>محشت النار جلده: أحرقته</w:t>
      </w:r>
      <w:r w:rsidR="000636C2">
        <w:rPr>
          <w:rFonts w:hint="cs"/>
          <w:sz w:val="24"/>
          <w:szCs w:val="24"/>
          <w:rtl/>
        </w:rPr>
        <w:t>]</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ومما يقويه أن رواية عطاء بن يسار عن أبي سعيد الخدري عند البخاري لم يرد فيها قوله </w:t>
      </w:r>
      <w:r w:rsidR="000636C2">
        <w:rPr>
          <w:rFonts w:hint="cs"/>
          <w:rtl/>
        </w:rPr>
        <w:t>[</w:t>
      </w:r>
      <w:r w:rsidRPr="005675B2">
        <w:rPr>
          <w:rFonts w:hint="cs"/>
          <w:rtl/>
        </w:rPr>
        <w:t>لم يعملوا خيراً قط</w:t>
      </w:r>
      <w:r w:rsidR="000636C2">
        <w:rPr>
          <w:rFonts w:hint="cs"/>
          <w:rtl/>
        </w:rPr>
        <w:t>]</w:t>
      </w:r>
      <w:r w:rsidRPr="005675B2">
        <w:rPr>
          <w:rFonts w:hint="cs"/>
          <w:rtl/>
        </w:rPr>
        <w:t> ..</w:t>
      </w:r>
      <w:r w:rsidR="000636C2">
        <w:rPr>
          <w:rFonts w:hint="cs"/>
          <w:rtl/>
        </w:rPr>
        <w:t>،</w:t>
      </w:r>
      <w:r w:rsidRPr="005675B2">
        <w:rPr>
          <w:rFonts w:hint="cs"/>
          <w:rtl/>
        </w:rPr>
        <w:t xml:space="preserve"> وفيها </w:t>
      </w:r>
      <w:r w:rsidR="000636C2">
        <w:rPr>
          <w:rFonts w:hint="cs"/>
          <w:rtl/>
        </w:rPr>
        <w:t>[</w:t>
      </w:r>
      <w:r w:rsidRPr="005675B2">
        <w:rPr>
          <w:rFonts w:hint="cs"/>
          <w:rtl/>
        </w:rPr>
        <w:t>فيقول أهل الجنة هؤلاء عتقاء الرحمن أدخلهم الجنة بغير عمل عملوه</w:t>
      </w:r>
      <w:r w:rsidR="000636C2">
        <w:rPr>
          <w:rFonts w:hint="cs"/>
          <w:rtl/>
        </w:rPr>
        <w:t>،</w:t>
      </w:r>
      <w:r w:rsidRPr="005675B2">
        <w:rPr>
          <w:rFonts w:hint="cs"/>
          <w:rtl/>
        </w:rPr>
        <w:t xml:space="preserve"> ولا خير قدموه</w:t>
      </w:r>
      <w:r w:rsidR="000636C2">
        <w:rPr>
          <w:rFonts w:hint="cs"/>
          <w:rtl/>
        </w:rPr>
        <w:t>]،</w:t>
      </w:r>
      <w:r w:rsidRPr="005675B2">
        <w:rPr>
          <w:rFonts w:hint="cs"/>
          <w:rtl/>
        </w:rPr>
        <w:t xml:space="preserve"> وأهل الجنة يقولون حسب ظاهر ما يعلمون ..</w:t>
      </w:r>
      <w:r w:rsidR="000636C2">
        <w:rPr>
          <w:rFonts w:hint="cs"/>
          <w:rtl/>
        </w:rPr>
        <w:t>،</w:t>
      </w:r>
      <w:r w:rsidRPr="005675B2">
        <w:rPr>
          <w:rFonts w:hint="cs"/>
          <w:rtl/>
        </w:rPr>
        <w:t xml:space="preserve"> ثم يأتي علام الغيوب سبحانه فيخرج أقواماً من أهل الإيمان لم يكن أحد يعلم عنهم إيماناً</w:t>
      </w:r>
      <w:r w:rsidR="000636C2">
        <w:rPr>
          <w:rFonts w:hint="cs"/>
          <w:rtl/>
        </w:rPr>
        <w:t xml:space="preserve">، </w:t>
      </w:r>
      <w:r w:rsidRPr="005675B2">
        <w:rPr>
          <w:rFonts w:hint="cs"/>
          <w:rtl/>
        </w:rPr>
        <w:t>ثم قال</w:t>
      </w:r>
      <w:r w:rsidR="000636C2">
        <w:rPr>
          <w:rFonts w:hint="cs"/>
          <w:rtl/>
        </w:rPr>
        <w:t>:</w:t>
      </w:r>
      <w:r w:rsidRPr="005675B2">
        <w:rPr>
          <w:rFonts w:hint="cs"/>
          <w:rtl/>
        </w:rPr>
        <w:t xml:space="preserve"> </w:t>
      </w:r>
      <w:r w:rsidR="000636C2">
        <w:rPr>
          <w:rFonts w:hint="cs"/>
          <w:rtl/>
        </w:rPr>
        <w:t>[</w:t>
      </w:r>
      <w:r w:rsidRPr="005675B2">
        <w:rPr>
          <w:rFonts w:hint="cs"/>
          <w:rtl/>
        </w:rPr>
        <w:t>وعليه</w:t>
      </w:r>
      <w:r w:rsidR="000636C2">
        <w:rPr>
          <w:rFonts w:hint="cs"/>
          <w:rtl/>
        </w:rPr>
        <w:t>،</w:t>
      </w:r>
      <w:r w:rsidRPr="005675B2">
        <w:rPr>
          <w:rFonts w:hint="cs"/>
          <w:rtl/>
        </w:rPr>
        <w:t xml:space="preserve"> فإن لم نقل إن تلك الرواية غير محفوظة ؛ نقول لا بد من توجيهها وتخريجها بما يتفق والأصول والنصوص الأخرى</w:t>
      </w:r>
      <w:r w:rsidR="000636C2">
        <w:rPr>
          <w:rFonts w:hint="cs"/>
          <w:rtl/>
        </w:rPr>
        <w:t>،</w:t>
      </w:r>
      <w:r w:rsidRPr="005675B2">
        <w:rPr>
          <w:rFonts w:hint="cs"/>
          <w:rtl/>
        </w:rPr>
        <w:t xml:space="preserve"> ومن ذلك ما قاله الإمام أبو بكر ابن خزيمة رحمه الله</w:t>
      </w:r>
      <w:r w:rsidR="000636C2">
        <w:rPr>
          <w:rFonts w:hint="cs"/>
          <w:rtl/>
        </w:rPr>
        <w:t>،</w:t>
      </w:r>
      <w:r w:rsidRPr="005675B2">
        <w:rPr>
          <w:rFonts w:hint="cs"/>
          <w:rtl/>
        </w:rPr>
        <w:t xml:space="preserve"> قال</w:t>
      </w:r>
      <w:r w:rsidR="000636C2">
        <w:rPr>
          <w:rFonts w:hint="cs"/>
          <w:rtl/>
        </w:rPr>
        <w:t>:</w:t>
      </w:r>
      <w:r w:rsidRPr="005675B2">
        <w:rPr>
          <w:rFonts w:hint="cs"/>
          <w:rtl/>
        </w:rPr>
        <w:t xml:space="preserve"> هذه اللفظة لم يعملوا خيراً قط من الجنس الذي تقول العرب بنفي الاسم عن الشيء لنقصه عن الكمال والتمام</w:t>
      </w:r>
      <w:r w:rsidR="000636C2">
        <w:rPr>
          <w:rFonts w:hint="cs"/>
          <w:rtl/>
        </w:rPr>
        <w:t>،</w:t>
      </w:r>
      <w:r w:rsidRPr="005675B2">
        <w:rPr>
          <w:rFonts w:hint="cs"/>
          <w:rtl/>
        </w:rPr>
        <w:t xml:space="preserve"> فمعنى هذه اللفظة على هذا الأصل لم يعملوا خيراً قط على التمام والكمال</w:t>
      </w:r>
      <w:r w:rsidR="000636C2">
        <w:rPr>
          <w:rFonts w:hint="cs"/>
          <w:rtl/>
        </w:rPr>
        <w:t>]،</w:t>
      </w:r>
    </w:p>
    <w:p w14:paraId="16922EDE" w14:textId="2F55BE95" w:rsidR="009C32A0" w:rsidRPr="005675B2" w:rsidRDefault="009C32A0" w:rsidP="000636C2">
      <w:pPr>
        <w:rPr>
          <w:b/>
          <w:rtl/>
        </w:rPr>
      </w:pPr>
      <w:r w:rsidRPr="005675B2">
        <w:rPr>
          <w:rFonts w:hint="cs"/>
          <w:rtl/>
        </w:rPr>
        <w:t>كلام الباحث هذا يتضمن مسائل</w:t>
      </w:r>
      <w:r w:rsidR="000636C2">
        <w:rPr>
          <w:rFonts w:hint="cs"/>
          <w:rtl/>
        </w:rPr>
        <w:t>:</w:t>
      </w:r>
      <w:r w:rsidRPr="005675B2">
        <w:rPr>
          <w:rFonts w:hint="cs"/>
          <w:rtl/>
        </w:rPr>
        <w:t xml:space="preserve"> </w:t>
      </w:r>
      <w:r w:rsidR="000636C2">
        <w:rPr>
          <w:rFonts w:hint="cs"/>
          <w:rtl/>
        </w:rPr>
        <w:t>(</w:t>
      </w:r>
      <w:r w:rsidRPr="005675B2">
        <w:rPr>
          <w:rFonts w:hint="cs"/>
          <w:rtl/>
        </w:rPr>
        <w:t>المسالة الأولى</w:t>
      </w:r>
      <w:r w:rsidR="000636C2">
        <w:rPr>
          <w:rFonts w:hint="cs"/>
          <w:rtl/>
        </w:rPr>
        <w:t>):</w:t>
      </w:r>
      <w:r w:rsidRPr="005675B2">
        <w:rPr>
          <w:rFonts w:hint="cs"/>
          <w:rtl/>
        </w:rPr>
        <w:t xml:space="preserve"> استدلال الباحث على أن الإيمان لا بد فيه من العمل ولو قليلاً</w:t>
      </w:r>
      <w:r w:rsidR="000636C2">
        <w:rPr>
          <w:rFonts w:hint="cs"/>
          <w:rtl/>
        </w:rPr>
        <w:t>،</w:t>
      </w:r>
      <w:r w:rsidRPr="005675B2">
        <w:rPr>
          <w:rFonts w:hint="cs"/>
          <w:rtl/>
        </w:rPr>
        <w:t xml:space="preserve"> استدل الباحث بما رواه البخاري عن أبي هريرة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حتى إذا فرغ الله من القضاء بين العباد وأراد أن يخرج برحمته من أراد من أهل النار أمر الملائكة أن يخرجوا من النار من كان لا يشرك بالله شيئاً ..</w:t>
      </w:r>
      <w:r w:rsidR="000636C2">
        <w:rPr>
          <w:rFonts w:hint="cs"/>
          <w:rtl/>
        </w:rPr>
        <w:t>،</w:t>
      </w:r>
      <w:r w:rsidRPr="005675B2">
        <w:rPr>
          <w:rFonts w:hint="cs"/>
          <w:rtl/>
        </w:rPr>
        <w:t xml:space="preserve"> فيعرفونهم بأثر السجود</w:t>
      </w:r>
      <w:r w:rsidR="000636C2">
        <w:rPr>
          <w:rFonts w:hint="cs"/>
          <w:rtl/>
        </w:rPr>
        <w:t>]</w:t>
      </w:r>
      <w:r w:rsidRPr="005675B2">
        <w:rPr>
          <w:rFonts w:hint="cs"/>
          <w:rtl/>
        </w:rPr>
        <w:t xml:space="preserve"> وأبو سعيد الخدري جالس مع أبي هريرة لا يغير عليه شيئاً من حديثه</w:t>
      </w:r>
      <w:r w:rsidR="000636C2">
        <w:rPr>
          <w:rFonts w:hint="cs"/>
          <w:rtl/>
        </w:rPr>
        <w:t>،</w:t>
      </w:r>
      <w:r w:rsidRPr="005675B2">
        <w:rPr>
          <w:rFonts w:hint="cs"/>
          <w:rtl/>
        </w:rPr>
        <w:t xml:space="preserve"> فلما كان في آخر الحديث عند أبي هريرة أن الله تعالى يقول للعبد </w:t>
      </w:r>
      <w:r w:rsidR="000636C2">
        <w:rPr>
          <w:rFonts w:hint="cs"/>
          <w:rtl/>
        </w:rPr>
        <w:t>[</w:t>
      </w:r>
      <w:r w:rsidRPr="005675B2">
        <w:rPr>
          <w:rFonts w:hint="cs"/>
          <w:rtl/>
        </w:rPr>
        <w:t>هذا لك ومثله معه</w:t>
      </w:r>
      <w:r w:rsidR="000636C2">
        <w:rPr>
          <w:rFonts w:hint="cs"/>
          <w:rtl/>
        </w:rPr>
        <w:t>]</w:t>
      </w:r>
      <w:r w:rsidRPr="005675B2">
        <w:rPr>
          <w:rFonts w:hint="cs"/>
          <w:rtl/>
        </w:rPr>
        <w:t xml:space="preserve"> بين أبو سعيد أنه سمع من النبي صلى الله عليه وسلم قوله </w:t>
      </w:r>
      <w:r w:rsidR="000636C2">
        <w:rPr>
          <w:rFonts w:hint="cs"/>
          <w:rtl/>
        </w:rPr>
        <w:t>[</w:t>
      </w:r>
      <w:r w:rsidRPr="005675B2">
        <w:rPr>
          <w:rFonts w:hint="cs"/>
          <w:rtl/>
        </w:rPr>
        <w:t>هذا لك وعشرة امثاله</w:t>
      </w:r>
      <w:r w:rsidR="000636C2">
        <w:rPr>
          <w:rFonts w:hint="cs"/>
          <w:rtl/>
        </w:rPr>
        <w:t>]</w:t>
      </w:r>
      <w:r w:rsidRPr="005675B2">
        <w:rPr>
          <w:rFonts w:hint="cs"/>
          <w:rtl/>
        </w:rPr>
        <w:t xml:space="preserve"> [</w:t>
      </w:r>
      <w:r w:rsidRPr="005675B2">
        <w:rPr>
          <w:rFonts w:hint="cs"/>
          <w:sz w:val="24"/>
          <w:szCs w:val="24"/>
          <w:rtl/>
        </w:rPr>
        <w:t>صحيح البخاري</w:t>
      </w:r>
      <w:r w:rsidR="000636C2">
        <w:rPr>
          <w:rFonts w:hint="cs"/>
          <w:sz w:val="24"/>
          <w:szCs w:val="24"/>
          <w:rtl/>
        </w:rPr>
        <w:t>:</w:t>
      </w:r>
      <w:r w:rsidRPr="005675B2">
        <w:rPr>
          <w:rFonts w:hint="cs"/>
          <w:sz w:val="24"/>
          <w:szCs w:val="24"/>
          <w:rtl/>
        </w:rPr>
        <w:t xml:space="preserve"> كتاب التوحيد</w:t>
      </w:r>
      <w:r w:rsidR="000636C2">
        <w:rPr>
          <w:rFonts w:hint="cs"/>
          <w:sz w:val="24"/>
          <w:szCs w:val="24"/>
          <w:rtl/>
        </w:rPr>
        <w:t>،</w:t>
      </w:r>
      <w:r w:rsidRPr="005675B2">
        <w:rPr>
          <w:rFonts w:hint="cs"/>
          <w:sz w:val="24"/>
          <w:szCs w:val="24"/>
          <w:rtl/>
        </w:rPr>
        <w:t xml:space="preserve"> باب قول الله تعالى </w:t>
      </w:r>
      <w:r w:rsidR="000636C2">
        <w:rPr>
          <w:rFonts w:hint="cs"/>
          <w:sz w:val="24"/>
          <w:szCs w:val="24"/>
          <w:rtl/>
        </w:rPr>
        <w:t>(</w:t>
      </w:r>
      <w:r w:rsidRPr="005675B2">
        <w:rPr>
          <w:rFonts w:hint="cs"/>
          <w:sz w:val="24"/>
          <w:szCs w:val="24"/>
          <w:rtl/>
        </w:rPr>
        <w:t>وجوه يومئذ ناضرة</w:t>
      </w:r>
      <w:r w:rsidR="000636C2">
        <w:rPr>
          <w:rFonts w:hint="cs"/>
          <w:sz w:val="24"/>
          <w:szCs w:val="24"/>
          <w:rtl/>
        </w:rPr>
        <w:t>)،</w:t>
      </w:r>
      <w:r w:rsidRPr="005675B2">
        <w:rPr>
          <w:rFonts w:hint="cs"/>
          <w:rtl/>
        </w:rPr>
        <w:t>]</w:t>
      </w:r>
      <w:r w:rsidR="000636C2">
        <w:rPr>
          <w:rFonts w:hint="cs"/>
          <w:rtl/>
        </w:rPr>
        <w:t>،</w:t>
      </w:r>
    </w:p>
    <w:p w14:paraId="011CC8F4" w14:textId="5B99663A"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حديث أبي هريرة فيه اختصار</w:t>
      </w:r>
      <w:r w:rsidR="000636C2">
        <w:rPr>
          <w:rFonts w:hint="cs"/>
          <w:rtl/>
        </w:rPr>
        <w:t>،</w:t>
      </w:r>
      <w:r w:rsidRPr="005675B2">
        <w:rPr>
          <w:rFonts w:hint="cs"/>
          <w:rtl/>
        </w:rPr>
        <w:t xml:space="preserve"> إذ جمع إخراج عصاة المؤمنين من النار وجعلهم كأنهم صنف واحد</w:t>
      </w:r>
      <w:r w:rsidR="000636C2">
        <w:rPr>
          <w:rFonts w:hint="cs"/>
          <w:rtl/>
        </w:rPr>
        <w:t>،</w:t>
      </w:r>
      <w:r w:rsidRPr="005675B2">
        <w:rPr>
          <w:rFonts w:hint="cs"/>
          <w:rtl/>
        </w:rPr>
        <w:t xml:space="preserve"> وقد جاءت الرواية عن جماعة من الصحابة بتفصيل إخراج العصاة من النار وأنهم يخرجون منها على أربع مراحل</w:t>
      </w:r>
      <w:r w:rsidR="000636C2">
        <w:rPr>
          <w:rFonts w:hint="cs"/>
          <w:rtl/>
        </w:rPr>
        <w:t>،</w:t>
      </w:r>
      <w:r w:rsidRPr="005675B2">
        <w:rPr>
          <w:rFonts w:hint="cs"/>
          <w:rtl/>
        </w:rPr>
        <w:t xml:space="preserve"> وأن أهل المرحلة الرابعة لا يقبل الله تعالى فيهم شفاعة أحد من خلقه</w:t>
      </w:r>
      <w:r w:rsidR="000636C2">
        <w:rPr>
          <w:rFonts w:hint="cs"/>
          <w:rtl/>
        </w:rPr>
        <w:t>،</w:t>
      </w:r>
      <w:r w:rsidRPr="005675B2">
        <w:rPr>
          <w:rFonts w:hint="cs"/>
          <w:rtl/>
        </w:rPr>
        <w:t xml:space="preserve"> ويخرجهم جل وعلا بشفاعته ورحمته</w:t>
      </w:r>
      <w:r w:rsidR="000636C2">
        <w:rPr>
          <w:rFonts w:hint="cs"/>
          <w:rtl/>
        </w:rPr>
        <w:t>،</w:t>
      </w:r>
      <w:r w:rsidRPr="005675B2">
        <w:rPr>
          <w:rFonts w:hint="cs"/>
          <w:rtl/>
        </w:rPr>
        <w:t xml:space="preserve"> وبنحو هذا جاءت الرواية عن أبي سعيد الخدري [</w:t>
      </w:r>
      <w:r w:rsidRPr="005675B2">
        <w:rPr>
          <w:rFonts w:hint="cs"/>
          <w:sz w:val="24"/>
          <w:szCs w:val="24"/>
          <w:rtl/>
        </w:rPr>
        <w:t>المصدر السابق . وصحيح مسلم</w:t>
      </w:r>
      <w:r w:rsidR="000636C2">
        <w:rPr>
          <w:rFonts w:hint="cs"/>
          <w:sz w:val="24"/>
          <w:szCs w:val="24"/>
          <w:rtl/>
        </w:rPr>
        <w:t>:</w:t>
      </w:r>
      <w:r w:rsidRPr="005675B2">
        <w:rPr>
          <w:rFonts w:hint="cs"/>
          <w:sz w:val="24"/>
          <w:szCs w:val="24"/>
          <w:rtl/>
        </w:rPr>
        <w:t xml:space="preserve"> كتاب الإيمان</w:t>
      </w:r>
      <w:r w:rsidR="000636C2">
        <w:rPr>
          <w:rFonts w:hint="cs"/>
          <w:sz w:val="24"/>
          <w:szCs w:val="24"/>
          <w:rtl/>
        </w:rPr>
        <w:t>،</w:t>
      </w:r>
      <w:r w:rsidRPr="005675B2">
        <w:rPr>
          <w:rFonts w:hint="cs"/>
          <w:sz w:val="24"/>
          <w:szCs w:val="24"/>
          <w:rtl/>
        </w:rPr>
        <w:t xml:space="preserve"> باب معرفة طريق الرؤية، 1/170ـ171</w:t>
      </w:r>
      <w:r w:rsidR="000636C2">
        <w:rPr>
          <w:rFonts w:hint="cs"/>
          <w:sz w:val="24"/>
          <w:szCs w:val="24"/>
          <w:rtl/>
        </w:rPr>
        <w:t>]</w:t>
      </w:r>
      <w:r w:rsidR="000636C2">
        <w:rPr>
          <w:rFonts w:hint="cs"/>
          <w:rtl/>
        </w:rPr>
        <w:t>،</w:t>
      </w:r>
      <w:r w:rsidRPr="005675B2">
        <w:rPr>
          <w:rFonts w:hint="cs"/>
          <w:rtl/>
        </w:rPr>
        <w:t xml:space="preserve"> وأنس بن مالك [</w:t>
      </w:r>
      <w:r w:rsidRPr="005675B2">
        <w:rPr>
          <w:rFonts w:hint="cs"/>
          <w:sz w:val="24"/>
          <w:szCs w:val="24"/>
          <w:rtl/>
        </w:rPr>
        <w:t>صحيح البخاري</w:t>
      </w:r>
      <w:r w:rsidR="000636C2">
        <w:rPr>
          <w:rFonts w:hint="cs"/>
          <w:sz w:val="24"/>
          <w:szCs w:val="24"/>
          <w:rtl/>
        </w:rPr>
        <w:t>:</w:t>
      </w:r>
      <w:r w:rsidRPr="005675B2">
        <w:rPr>
          <w:rFonts w:hint="cs"/>
          <w:sz w:val="24"/>
          <w:szCs w:val="24"/>
          <w:rtl/>
        </w:rPr>
        <w:t xml:space="preserve"> كتاب التوحيد</w:t>
      </w:r>
      <w:r w:rsidR="000636C2">
        <w:rPr>
          <w:rFonts w:hint="cs"/>
          <w:sz w:val="24"/>
          <w:szCs w:val="24"/>
          <w:rtl/>
        </w:rPr>
        <w:t>،</w:t>
      </w:r>
      <w:r w:rsidRPr="005675B2">
        <w:rPr>
          <w:rFonts w:hint="cs"/>
          <w:sz w:val="24"/>
          <w:szCs w:val="24"/>
          <w:rtl/>
        </w:rPr>
        <w:t xml:space="preserve"> باب كلام الرب عز وجل مع الأنبياء</w:t>
      </w:r>
      <w:r w:rsidR="000636C2">
        <w:rPr>
          <w:rFonts w:hint="cs"/>
          <w:sz w:val="24"/>
          <w:szCs w:val="24"/>
          <w:rtl/>
        </w:rPr>
        <w:t>]</w:t>
      </w:r>
      <w:r w:rsidR="000636C2">
        <w:rPr>
          <w:rFonts w:hint="cs"/>
          <w:rtl/>
        </w:rPr>
        <w:t>،</w:t>
      </w:r>
      <w:r w:rsidRPr="005675B2">
        <w:rPr>
          <w:rFonts w:hint="cs"/>
          <w:rtl/>
        </w:rPr>
        <w:t xml:space="preserve"> وجابر بن عبد الله </w:t>
      </w:r>
      <w:r w:rsidR="000636C2">
        <w:rPr>
          <w:rFonts w:hint="cs"/>
          <w:rtl/>
        </w:rPr>
        <w:t>[</w:t>
      </w:r>
      <w:r w:rsidRPr="005675B2">
        <w:rPr>
          <w:rFonts w:hint="cs"/>
          <w:sz w:val="24"/>
          <w:szCs w:val="24"/>
          <w:rtl/>
        </w:rPr>
        <w:t>مسند الإمام أحمد</w:t>
      </w:r>
      <w:r w:rsidR="000636C2">
        <w:rPr>
          <w:rFonts w:hint="cs"/>
          <w:sz w:val="24"/>
          <w:szCs w:val="24"/>
          <w:rtl/>
        </w:rPr>
        <w:t>:</w:t>
      </w:r>
      <w:r w:rsidRPr="005675B2">
        <w:rPr>
          <w:rFonts w:hint="cs"/>
          <w:sz w:val="24"/>
          <w:szCs w:val="24"/>
          <w:rtl/>
        </w:rPr>
        <w:t xml:space="preserve"> 3/325ـ326 . صحيح ابن حبان</w:t>
      </w:r>
      <w:r w:rsidR="000636C2">
        <w:rPr>
          <w:rFonts w:hint="cs"/>
          <w:sz w:val="24"/>
          <w:szCs w:val="24"/>
          <w:rtl/>
        </w:rPr>
        <w:t>:</w:t>
      </w:r>
      <w:r w:rsidRPr="005675B2">
        <w:rPr>
          <w:rFonts w:hint="cs"/>
          <w:sz w:val="24"/>
          <w:szCs w:val="24"/>
          <w:rtl/>
        </w:rPr>
        <w:t xml:space="preserve"> رقم 183 من كتاب الإحسان بترتيب صحيح ابن حبان</w:t>
      </w:r>
      <w:r w:rsidR="000636C2">
        <w:rPr>
          <w:rFonts w:hint="cs"/>
          <w:sz w:val="24"/>
          <w:szCs w:val="24"/>
          <w:rtl/>
        </w:rPr>
        <w:t>]</w:t>
      </w:r>
      <w:r w:rsidRPr="005675B2">
        <w:rPr>
          <w:rFonts w:hint="cs"/>
          <w:rtl/>
        </w:rPr>
        <w:t xml:space="preserve"> رضي الله عنهم</w:t>
      </w:r>
      <w:r w:rsidR="000636C2">
        <w:rPr>
          <w:rFonts w:hint="cs"/>
          <w:rtl/>
        </w:rPr>
        <w:t xml:space="preserve">، </w:t>
      </w:r>
      <w:r w:rsidRPr="005675B2">
        <w:rPr>
          <w:rFonts w:hint="cs"/>
          <w:rtl/>
        </w:rPr>
        <w:t xml:space="preserve">وإذا ثبت أن إخراج العصاة من النار يكون على أربع مراحل فكيف يصح الاحتجاج بقوله صلى الله عليه وسلم في الرواية المختصرة </w:t>
      </w:r>
      <w:r w:rsidR="000636C2">
        <w:rPr>
          <w:rFonts w:hint="cs"/>
          <w:rtl/>
        </w:rPr>
        <w:t>[</w:t>
      </w:r>
      <w:r w:rsidRPr="005675B2">
        <w:rPr>
          <w:rFonts w:hint="cs"/>
          <w:rtl/>
        </w:rPr>
        <w:t>فيعرفونهم بأثر السجود</w:t>
      </w:r>
      <w:r w:rsidR="000636C2">
        <w:rPr>
          <w:rFonts w:hint="cs"/>
          <w:rtl/>
        </w:rPr>
        <w:t>]</w:t>
      </w:r>
      <w:r w:rsidRPr="005675B2">
        <w:rPr>
          <w:rFonts w:hint="cs"/>
          <w:rtl/>
        </w:rPr>
        <w:t xml:space="preserve"> على أن أهل كل تلك المراحل هم من أهل السجود</w:t>
      </w:r>
      <w:r w:rsidR="000636C2">
        <w:rPr>
          <w:rFonts w:hint="cs"/>
          <w:rtl/>
        </w:rPr>
        <w:t>؟!</w:t>
      </w:r>
      <w:r w:rsidRPr="005675B2">
        <w:rPr>
          <w:rFonts w:hint="cs"/>
          <w:rtl/>
        </w:rPr>
        <w:t xml:space="preserve"> وذلك لاحتمال أن يكون أهل المراحل الثلاث الأول عندهم شيء من العمل دون أهل المرحلة الأخيرة</w:t>
      </w:r>
      <w:r w:rsidR="000636C2">
        <w:rPr>
          <w:rFonts w:hint="cs"/>
          <w:rtl/>
        </w:rPr>
        <w:t>،</w:t>
      </w:r>
      <w:r w:rsidRPr="005675B2">
        <w:rPr>
          <w:rFonts w:hint="cs"/>
          <w:rtl/>
        </w:rPr>
        <w:t xml:space="preserve"> بل هذا هو الصواب الذي لا محيد عنه</w:t>
      </w:r>
      <w:r w:rsidR="000636C2">
        <w:rPr>
          <w:rFonts w:hint="cs"/>
          <w:rtl/>
        </w:rPr>
        <w:t>،</w:t>
      </w:r>
      <w:r w:rsidRPr="005675B2">
        <w:rPr>
          <w:rFonts w:hint="cs"/>
          <w:rtl/>
        </w:rPr>
        <w:t xml:space="preserve"> لما سـيأتي في حديث أبي سعيد</w:t>
      </w:r>
      <w:r w:rsidR="000636C2">
        <w:rPr>
          <w:rFonts w:hint="cs"/>
          <w:rtl/>
        </w:rPr>
        <w:t xml:space="preserve">، </w:t>
      </w:r>
      <w:r w:rsidRPr="005675B2">
        <w:rPr>
          <w:rFonts w:hint="cs"/>
          <w:rtl/>
        </w:rPr>
        <w:t>2 –</w:t>
      </w:r>
      <w:r w:rsidR="000636C2">
        <w:rPr>
          <w:rFonts w:hint="cs"/>
          <w:rtl/>
        </w:rPr>
        <w:t xml:space="preserve"> </w:t>
      </w:r>
      <w:r w:rsidRPr="005675B2">
        <w:rPr>
          <w:rFonts w:hint="cs"/>
          <w:rtl/>
        </w:rPr>
        <w:t>في حديث أبي سعيد الخدري رد صريح على ما ادعاه الباحث</w:t>
      </w:r>
      <w:r w:rsidR="000636C2">
        <w:rPr>
          <w:rFonts w:hint="cs"/>
          <w:rtl/>
        </w:rPr>
        <w:t>،</w:t>
      </w:r>
      <w:r w:rsidRPr="005675B2">
        <w:rPr>
          <w:rFonts w:hint="cs"/>
          <w:rtl/>
        </w:rPr>
        <w:t xml:space="preserve"> وفي حديث أنس بن مالك إيماء الى ذلك</w:t>
      </w:r>
      <w:r w:rsidR="000636C2">
        <w:rPr>
          <w:rFonts w:hint="cs"/>
          <w:rtl/>
        </w:rPr>
        <w:t xml:space="preserve">، </w:t>
      </w:r>
      <w:r w:rsidRPr="005675B2">
        <w:rPr>
          <w:rFonts w:hint="cs"/>
          <w:rtl/>
        </w:rPr>
        <w:t>فأما حديث أبي سعيد فهو في شفاعة المؤمنين للعصاة</w:t>
      </w:r>
      <w:r w:rsidR="000636C2">
        <w:rPr>
          <w:rFonts w:hint="cs"/>
          <w:rtl/>
        </w:rPr>
        <w:t>،</w:t>
      </w:r>
      <w:r w:rsidRPr="005675B2">
        <w:rPr>
          <w:rFonts w:hint="cs"/>
          <w:rtl/>
        </w:rPr>
        <w:t xml:space="preserve"> وفيه في رواية البخاري</w:t>
      </w:r>
      <w:r w:rsidR="000636C2">
        <w:rPr>
          <w:rFonts w:hint="cs"/>
          <w:rtl/>
        </w:rPr>
        <w:t>:</w:t>
      </w:r>
      <w:r w:rsidRPr="005675B2">
        <w:rPr>
          <w:rFonts w:hint="cs"/>
          <w:rtl/>
        </w:rPr>
        <w:t xml:space="preserve"> </w:t>
      </w:r>
      <w:r w:rsidR="000636C2">
        <w:rPr>
          <w:rFonts w:hint="cs"/>
          <w:rtl/>
        </w:rPr>
        <w:t>[</w:t>
      </w:r>
      <w:r w:rsidRPr="005675B2">
        <w:rPr>
          <w:rFonts w:hint="cs"/>
          <w:rtl/>
        </w:rPr>
        <w:t>.. يقولون</w:t>
      </w:r>
      <w:r w:rsidR="000636C2">
        <w:rPr>
          <w:rFonts w:hint="cs"/>
          <w:rtl/>
        </w:rPr>
        <w:t>:</w:t>
      </w:r>
      <w:r w:rsidRPr="005675B2">
        <w:rPr>
          <w:rFonts w:hint="cs"/>
          <w:rtl/>
        </w:rPr>
        <w:t xml:space="preserve"> ربنا</w:t>
      </w:r>
      <w:r w:rsidR="000636C2">
        <w:rPr>
          <w:rFonts w:hint="cs"/>
          <w:rtl/>
        </w:rPr>
        <w:t>،</w:t>
      </w:r>
      <w:r w:rsidRPr="005675B2">
        <w:rPr>
          <w:rFonts w:hint="cs"/>
          <w:rtl/>
        </w:rPr>
        <w:t xml:space="preserve"> إخواننا كانوا يصلون معنا ويصومون معنا ويعملون معنا</w:t>
      </w:r>
      <w:r w:rsidR="000636C2">
        <w:rPr>
          <w:rFonts w:hint="cs"/>
          <w:rtl/>
        </w:rPr>
        <w:t>؟!،</w:t>
      </w:r>
      <w:r w:rsidRPr="005675B2">
        <w:rPr>
          <w:rFonts w:hint="cs"/>
          <w:rtl/>
        </w:rPr>
        <w:t xml:space="preserve"> فيقول الله تعالى</w:t>
      </w:r>
      <w:r w:rsidR="000636C2">
        <w:rPr>
          <w:rFonts w:hint="cs"/>
          <w:rtl/>
        </w:rPr>
        <w:t>:</w:t>
      </w:r>
      <w:r w:rsidRPr="005675B2">
        <w:rPr>
          <w:rFonts w:hint="cs"/>
          <w:rtl/>
        </w:rPr>
        <w:t xml:space="preserve"> اذهبوا فمن وجدتم في قلبه مثقال دينار من إيمان فأخرجوه</w:t>
      </w:r>
      <w:r w:rsidR="000636C2">
        <w:rPr>
          <w:rFonts w:hint="cs"/>
          <w:rtl/>
        </w:rPr>
        <w:t>،</w:t>
      </w:r>
      <w:r w:rsidRPr="005675B2">
        <w:rPr>
          <w:rFonts w:hint="cs"/>
          <w:rtl/>
        </w:rPr>
        <w:t xml:space="preserve"> فيخرجون من عرفوا</w:t>
      </w:r>
      <w:r w:rsidR="000636C2">
        <w:rPr>
          <w:rFonts w:hint="cs"/>
          <w:rtl/>
        </w:rPr>
        <w:t>،</w:t>
      </w:r>
      <w:r w:rsidRPr="005675B2">
        <w:rPr>
          <w:rFonts w:hint="cs"/>
          <w:rtl/>
        </w:rPr>
        <w:t xml:space="preserve"> ثم يعودون، فيقول</w:t>
      </w:r>
      <w:r w:rsidR="000636C2">
        <w:rPr>
          <w:rFonts w:hint="cs"/>
          <w:rtl/>
        </w:rPr>
        <w:t>:</w:t>
      </w:r>
      <w:r w:rsidRPr="005675B2">
        <w:rPr>
          <w:rFonts w:hint="cs"/>
          <w:rtl/>
        </w:rPr>
        <w:t xml:space="preserve"> اذهبوا فمن وجدتم في قلبه مثقال نصف دينار فأخرجوه</w:t>
      </w:r>
      <w:r w:rsidR="000636C2">
        <w:rPr>
          <w:rFonts w:hint="cs"/>
          <w:rtl/>
        </w:rPr>
        <w:t>،</w:t>
      </w:r>
      <w:r w:rsidRPr="005675B2">
        <w:rPr>
          <w:rFonts w:hint="cs"/>
          <w:rtl/>
        </w:rPr>
        <w:t xml:space="preserve"> فيخرجون من عرفوا</w:t>
      </w:r>
      <w:r w:rsidR="000636C2">
        <w:rPr>
          <w:rFonts w:hint="cs"/>
          <w:rtl/>
        </w:rPr>
        <w:t>،</w:t>
      </w:r>
      <w:r w:rsidRPr="005675B2">
        <w:rPr>
          <w:rFonts w:hint="cs"/>
          <w:rtl/>
        </w:rPr>
        <w:t xml:space="preserve"> ثم يعودون</w:t>
      </w:r>
      <w:r w:rsidR="000636C2">
        <w:rPr>
          <w:rFonts w:hint="cs"/>
          <w:rtl/>
        </w:rPr>
        <w:t>،</w:t>
      </w:r>
      <w:r w:rsidRPr="005675B2">
        <w:rPr>
          <w:rFonts w:hint="cs"/>
          <w:rtl/>
        </w:rPr>
        <w:t xml:space="preserve"> فيقـول</w:t>
      </w:r>
      <w:r w:rsidR="000636C2">
        <w:rPr>
          <w:rFonts w:hint="cs"/>
          <w:rtl/>
        </w:rPr>
        <w:t>:</w:t>
      </w:r>
      <w:r w:rsidRPr="005675B2">
        <w:rPr>
          <w:rFonts w:hint="cs"/>
          <w:rtl/>
        </w:rPr>
        <w:t xml:space="preserve"> اذهبوا فمن وجدتم في قلبه مثقال ذرة من إيمان فاخرجوه</w:t>
      </w:r>
      <w:r w:rsidR="000636C2">
        <w:rPr>
          <w:rFonts w:hint="cs"/>
          <w:rtl/>
        </w:rPr>
        <w:t>،</w:t>
      </w:r>
      <w:r w:rsidRPr="005675B2">
        <w:rPr>
          <w:rFonts w:hint="cs"/>
          <w:rtl/>
        </w:rPr>
        <w:t xml:space="preserve"> فيخرجون من عرفوا..</w:t>
      </w:r>
      <w:r w:rsidR="000636C2">
        <w:rPr>
          <w:rFonts w:hint="cs"/>
          <w:rtl/>
        </w:rPr>
        <w:t>،</w:t>
      </w:r>
      <w:r w:rsidRPr="005675B2">
        <w:rPr>
          <w:rFonts w:hint="cs"/>
          <w:rtl/>
        </w:rPr>
        <w:t xml:space="preserve"> فيقول الجبار</w:t>
      </w:r>
      <w:r w:rsidR="000636C2">
        <w:rPr>
          <w:rFonts w:hint="cs"/>
          <w:rtl/>
        </w:rPr>
        <w:t>:</w:t>
      </w:r>
      <w:r w:rsidRPr="005675B2">
        <w:rPr>
          <w:rFonts w:hint="cs"/>
          <w:rtl/>
        </w:rPr>
        <w:t xml:space="preserve"> بقيت شفاعتي</w:t>
      </w:r>
      <w:r w:rsidR="000636C2">
        <w:rPr>
          <w:rFonts w:hint="cs"/>
          <w:rtl/>
        </w:rPr>
        <w:t>،</w:t>
      </w:r>
      <w:r w:rsidRPr="005675B2">
        <w:rPr>
          <w:rFonts w:hint="cs"/>
          <w:rtl/>
        </w:rPr>
        <w:t xml:space="preserve"> فيقبض قبضة من النار فيخرج أقواماً..</w:t>
      </w:r>
      <w:r w:rsidR="000636C2">
        <w:rPr>
          <w:rFonts w:hint="cs"/>
          <w:rtl/>
        </w:rPr>
        <w:t>،</w:t>
      </w:r>
      <w:r w:rsidRPr="005675B2">
        <w:rPr>
          <w:rFonts w:hint="cs"/>
          <w:rtl/>
        </w:rPr>
        <w:t xml:space="preserve"> فيقول أهل الجنة</w:t>
      </w:r>
      <w:r w:rsidR="000636C2">
        <w:rPr>
          <w:rFonts w:hint="cs"/>
          <w:rtl/>
        </w:rPr>
        <w:t>:</w:t>
      </w:r>
      <w:r w:rsidRPr="005675B2">
        <w:rPr>
          <w:rFonts w:hint="cs"/>
          <w:rtl/>
        </w:rPr>
        <w:t xml:space="preserve"> هؤلاء عتقاء الرحمن</w:t>
      </w:r>
      <w:r w:rsidR="000636C2">
        <w:rPr>
          <w:rFonts w:hint="cs"/>
          <w:rtl/>
        </w:rPr>
        <w:t>،</w:t>
      </w:r>
      <w:r w:rsidRPr="005675B2">
        <w:rPr>
          <w:rFonts w:hint="cs"/>
          <w:rtl/>
        </w:rPr>
        <w:t xml:space="preserve"> أدخلهم الجنة بغير عمل عملوه ولا خير قدموه</w:t>
      </w:r>
      <w:r w:rsidR="000636C2">
        <w:rPr>
          <w:rFonts w:hint="cs"/>
          <w:rtl/>
        </w:rPr>
        <w:t>]،</w:t>
      </w:r>
      <w:r w:rsidRPr="005675B2">
        <w:rPr>
          <w:rFonts w:hint="cs"/>
          <w:rtl/>
        </w:rPr>
        <w:t xml:space="preserve"> وفيه في رواية صحيح مسلم زيادة عند ذكر أهل المرتبة الرابعة</w:t>
      </w:r>
      <w:r w:rsidR="000636C2">
        <w:rPr>
          <w:rFonts w:hint="cs"/>
          <w:rtl/>
        </w:rPr>
        <w:t>،</w:t>
      </w:r>
      <w:r w:rsidRPr="005675B2">
        <w:rPr>
          <w:rFonts w:hint="cs"/>
          <w:rtl/>
        </w:rPr>
        <w:t xml:space="preserve"> وهي </w:t>
      </w:r>
      <w:r w:rsidR="000636C2">
        <w:rPr>
          <w:rFonts w:hint="cs"/>
          <w:rtl/>
        </w:rPr>
        <w:t>[</w:t>
      </w:r>
      <w:r w:rsidRPr="005675B2">
        <w:rPr>
          <w:rFonts w:hint="cs"/>
          <w:rtl/>
        </w:rPr>
        <w:t>فيخرج منها قوماً لم يعملوا خيراً قط</w:t>
      </w:r>
      <w:r w:rsidR="000636C2">
        <w:rPr>
          <w:rFonts w:hint="cs"/>
          <w:rtl/>
        </w:rPr>
        <w:t xml:space="preserve">]، </w:t>
      </w:r>
      <w:r w:rsidRPr="005675B2">
        <w:rPr>
          <w:rFonts w:hint="cs"/>
          <w:rtl/>
        </w:rPr>
        <w:t>وأما حديث أنس رضي الله عنه فهو في شفاعة النبي صلى الله عليه وسلم</w:t>
      </w:r>
      <w:r w:rsidR="000636C2">
        <w:rPr>
          <w:rFonts w:hint="cs"/>
          <w:rtl/>
        </w:rPr>
        <w:t>،</w:t>
      </w:r>
      <w:r w:rsidRPr="005675B2">
        <w:rPr>
          <w:rFonts w:hint="cs"/>
          <w:rtl/>
        </w:rPr>
        <w:t xml:space="preserve"> وفيه</w:t>
      </w:r>
      <w:r w:rsidR="000636C2">
        <w:rPr>
          <w:rFonts w:hint="cs"/>
          <w:rtl/>
        </w:rPr>
        <w:t>:</w:t>
      </w:r>
      <w:r w:rsidRPr="005675B2">
        <w:rPr>
          <w:rFonts w:hint="cs"/>
          <w:rtl/>
        </w:rPr>
        <w:t xml:space="preserve"> </w:t>
      </w:r>
      <w:r w:rsidR="000636C2">
        <w:rPr>
          <w:rFonts w:hint="cs"/>
          <w:rtl/>
        </w:rPr>
        <w:t>[</w:t>
      </w:r>
      <w:r w:rsidRPr="005675B2">
        <w:rPr>
          <w:rFonts w:hint="cs"/>
          <w:rtl/>
        </w:rPr>
        <w:t>.. فأقول</w:t>
      </w:r>
      <w:r w:rsidR="000636C2">
        <w:rPr>
          <w:rFonts w:hint="cs"/>
          <w:rtl/>
        </w:rPr>
        <w:t>:</w:t>
      </w:r>
      <w:r w:rsidRPr="005675B2">
        <w:rPr>
          <w:rFonts w:hint="cs"/>
          <w:rtl/>
        </w:rPr>
        <w:t xml:space="preserve"> يا رب أمتي أمتي</w:t>
      </w:r>
      <w:r w:rsidR="000636C2">
        <w:rPr>
          <w:rFonts w:hint="cs"/>
          <w:rtl/>
        </w:rPr>
        <w:t>،</w:t>
      </w:r>
      <w:r w:rsidRPr="005675B2">
        <w:rPr>
          <w:rFonts w:hint="cs"/>
          <w:rtl/>
        </w:rPr>
        <w:t xml:space="preserve"> فيقال</w:t>
      </w:r>
      <w:r w:rsidR="000636C2">
        <w:rPr>
          <w:rFonts w:hint="cs"/>
          <w:rtl/>
        </w:rPr>
        <w:t>:</w:t>
      </w:r>
      <w:r w:rsidRPr="005675B2">
        <w:rPr>
          <w:rFonts w:hint="cs"/>
          <w:rtl/>
        </w:rPr>
        <w:t xml:space="preserve"> انطلق فأخرج منها من كان في قلبه مثقال شعيرة من إيمان</w:t>
      </w:r>
      <w:r w:rsidR="000636C2">
        <w:rPr>
          <w:rFonts w:hint="cs"/>
          <w:rtl/>
        </w:rPr>
        <w:t>،</w:t>
      </w:r>
      <w:r w:rsidRPr="005675B2">
        <w:rPr>
          <w:rFonts w:hint="cs"/>
          <w:rtl/>
        </w:rPr>
        <w:t xml:space="preserve"> فأنطلق</w:t>
      </w:r>
      <w:r w:rsidR="000636C2">
        <w:rPr>
          <w:rFonts w:hint="cs"/>
          <w:rtl/>
        </w:rPr>
        <w:t>،</w:t>
      </w:r>
      <w:r w:rsidRPr="005675B2">
        <w:rPr>
          <w:rFonts w:hint="cs"/>
          <w:rtl/>
        </w:rPr>
        <w:t xml:space="preserve"> فأفعل</w:t>
      </w:r>
      <w:r w:rsidR="000636C2">
        <w:rPr>
          <w:rFonts w:hint="cs"/>
          <w:rtl/>
        </w:rPr>
        <w:t>،</w:t>
      </w:r>
      <w:r w:rsidRPr="005675B2">
        <w:rPr>
          <w:rFonts w:hint="cs"/>
          <w:rtl/>
        </w:rPr>
        <w:t xml:space="preserve"> ثم أعود .. فيقال</w:t>
      </w:r>
      <w:r w:rsidR="000636C2">
        <w:rPr>
          <w:rFonts w:hint="cs"/>
          <w:rtl/>
        </w:rPr>
        <w:t>:</w:t>
      </w:r>
      <w:r w:rsidRPr="005675B2">
        <w:rPr>
          <w:rFonts w:hint="cs"/>
          <w:rtl/>
        </w:rPr>
        <w:t xml:space="preserve"> انطلق فأخرج منها من كان في قلبه مثقال ذرة أو خردلة من إيمان</w:t>
      </w:r>
      <w:r w:rsidR="000636C2">
        <w:rPr>
          <w:rFonts w:hint="cs"/>
          <w:rtl/>
        </w:rPr>
        <w:t>،</w:t>
      </w:r>
      <w:r w:rsidRPr="005675B2">
        <w:rPr>
          <w:rFonts w:hint="cs"/>
          <w:rtl/>
        </w:rPr>
        <w:t xml:space="preserve"> فأنطلق</w:t>
      </w:r>
      <w:r w:rsidR="000636C2">
        <w:rPr>
          <w:rFonts w:hint="cs"/>
          <w:rtl/>
        </w:rPr>
        <w:t>،</w:t>
      </w:r>
      <w:r w:rsidRPr="005675B2">
        <w:rPr>
          <w:rFonts w:hint="cs"/>
          <w:rtl/>
        </w:rPr>
        <w:t xml:space="preserve"> فأفعل</w:t>
      </w:r>
      <w:r w:rsidR="000636C2">
        <w:rPr>
          <w:rFonts w:hint="cs"/>
          <w:rtl/>
        </w:rPr>
        <w:t>،</w:t>
      </w:r>
      <w:r w:rsidRPr="005675B2">
        <w:rPr>
          <w:rFonts w:hint="cs"/>
          <w:rtl/>
        </w:rPr>
        <w:t xml:space="preserve"> ثم أعود .. فيقال</w:t>
      </w:r>
      <w:r w:rsidR="000636C2">
        <w:rPr>
          <w:rFonts w:hint="cs"/>
          <w:rtl/>
        </w:rPr>
        <w:t>:</w:t>
      </w:r>
      <w:r w:rsidRPr="005675B2">
        <w:rPr>
          <w:rFonts w:hint="cs"/>
          <w:rtl/>
        </w:rPr>
        <w:t xml:space="preserve"> انطلق فأخرج من كان في قلبه أدنى أدنى أدنى مثقال حبة خردل من إيمان فأخرجه من النار</w:t>
      </w:r>
      <w:r w:rsidR="000636C2">
        <w:rPr>
          <w:rFonts w:hint="cs"/>
          <w:rtl/>
        </w:rPr>
        <w:t>،</w:t>
      </w:r>
      <w:r w:rsidRPr="005675B2">
        <w:rPr>
          <w:rFonts w:hint="cs"/>
          <w:rtl/>
        </w:rPr>
        <w:t xml:space="preserve"> ثم أعود الرابعة .. فأقول</w:t>
      </w:r>
      <w:r w:rsidR="000636C2">
        <w:rPr>
          <w:rFonts w:hint="cs"/>
          <w:rtl/>
        </w:rPr>
        <w:t>:</w:t>
      </w:r>
      <w:r w:rsidRPr="005675B2">
        <w:rPr>
          <w:rFonts w:hint="cs"/>
          <w:rtl/>
        </w:rPr>
        <w:t xml:space="preserve"> يا رب ائذن لي فيمن قال لا إله إلا الله</w:t>
      </w:r>
      <w:r w:rsidR="000636C2">
        <w:rPr>
          <w:rFonts w:hint="cs"/>
          <w:rtl/>
        </w:rPr>
        <w:t>،</w:t>
      </w:r>
      <w:r w:rsidRPr="005675B2">
        <w:rPr>
          <w:rFonts w:hint="cs"/>
          <w:rtl/>
        </w:rPr>
        <w:t xml:space="preserve"> فيقول</w:t>
      </w:r>
      <w:r w:rsidR="000636C2">
        <w:rPr>
          <w:rFonts w:hint="cs"/>
          <w:rtl/>
        </w:rPr>
        <w:t>:</w:t>
      </w:r>
      <w:r w:rsidRPr="005675B2">
        <w:rPr>
          <w:rFonts w:hint="cs"/>
          <w:rtl/>
        </w:rPr>
        <w:t xml:space="preserve"> وعزتي وجلالي وكبريائي وعظمتي لأخرجن منها من قال لا إله إلا الله</w:t>
      </w:r>
      <w:r w:rsidR="000636C2">
        <w:rPr>
          <w:rFonts w:hint="cs"/>
          <w:rtl/>
        </w:rPr>
        <w:t>]،</w:t>
      </w:r>
      <w:r w:rsidRPr="005675B2">
        <w:rPr>
          <w:rFonts w:hint="cs"/>
          <w:rtl/>
        </w:rPr>
        <w:t xml:space="preserve"> ولا شك في أن المراد من قول لا إله إلا الله هنا</w:t>
      </w:r>
      <w:r w:rsidR="000636C2">
        <w:rPr>
          <w:rFonts w:hint="cs"/>
          <w:rtl/>
        </w:rPr>
        <w:t>:</w:t>
      </w:r>
      <w:r w:rsidRPr="005675B2">
        <w:rPr>
          <w:rFonts w:hint="cs"/>
          <w:rtl/>
        </w:rPr>
        <w:t xml:space="preserve"> قول لا إله إلا الله محمد رسول الله</w:t>
      </w:r>
      <w:r w:rsidR="000636C2">
        <w:rPr>
          <w:rFonts w:hint="cs"/>
          <w:rtl/>
        </w:rPr>
        <w:t>،</w:t>
      </w:r>
      <w:r w:rsidRPr="005675B2">
        <w:rPr>
          <w:rFonts w:hint="cs"/>
          <w:rtl/>
        </w:rPr>
        <w:t xml:space="preserve"> لأن من المعروف أنها لا تقبل إلا بقرينتها</w:t>
      </w:r>
      <w:r w:rsidR="000636C2">
        <w:rPr>
          <w:rFonts w:hint="cs"/>
          <w:rtl/>
        </w:rPr>
        <w:t>،</w:t>
      </w:r>
      <w:r w:rsidRPr="005675B2">
        <w:rPr>
          <w:rFonts w:hint="cs"/>
          <w:rtl/>
        </w:rPr>
        <w:t xml:space="preserve"> فقد يكون الاقتصار على الشق الأول منها جاء من باب الاختصار من قِبَلِ أحد الرواة</w:t>
      </w:r>
      <w:r w:rsidR="000636C2">
        <w:rPr>
          <w:rFonts w:hint="cs"/>
          <w:rtl/>
        </w:rPr>
        <w:t xml:space="preserve">، </w:t>
      </w:r>
      <w:r w:rsidRPr="005675B2">
        <w:rPr>
          <w:rFonts w:hint="cs"/>
          <w:rtl/>
        </w:rPr>
        <w:t>وأما حديث جابر فهو في شفاعة الرسل عليهم الصلاة والسلام</w:t>
      </w:r>
      <w:r w:rsidR="000636C2">
        <w:rPr>
          <w:rFonts w:hint="cs"/>
          <w:rtl/>
        </w:rPr>
        <w:t>،</w:t>
      </w:r>
      <w:r w:rsidRPr="005675B2">
        <w:rPr>
          <w:rFonts w:hint="cs"/>
          <w:rtl/>
        </w:rPr>
        <w:t xml:space="preserve"> وفيه في مسند أحمد بعد ذكر الشفاعة في أهل المراحل الثلاث الأُوَلِ</w:t>
      </w:r>
      <w:r w:rsidR="000636C2">
        <w:rPr>
          <w:rFonts w:hint="cs"/>
          <w:rtl/>
        </w:rPr>
        <w:t>:</w:t>
      </w:r>
      <w:r w:rsidRPr="005675B2">
        <w:rPr>
          <w:rFonts w:hint="cs"/>
          <w:rtl/>
        </w:rPr>
        <w:t xml:space="preserve"> </w:t>
      </w:r>
      <w:r w:rsidR="000636C2">
        <w:rPr>
          <w:rFonts w:hint="cs"/>
          <w:rtl/>
        </w:rPr>
        <w:t>[</w:t>
      </w:r>
      <w:r w:rsidRPr="005675B2">
        <w:rPr>
          <w:rFonts w:hint="cs"/>
          <w:rtl/>
        </w:rPr>
        <w:t>ثم يقول الله</w:t>
      </w:r>
      <w:r w:rsidR="000636C2">
        <w:rPr>
          <w:rFonts w:hint="cs"/>
          <w:rtl/>
        </w:rPr>
        <w:t>:</w:t>
      </w:r>
      <w:r w:rsidRPr="005675B2">
        <w:rPr>
          <w:rFonts w:hint="cs"/>
          <w:rtl/>
        </w:rPr>
        <w:t xml:space="preserve"> أنا الآن أُخرج بعلمي ورحمتي</w:t>
      </w:r>
      <w:r w:rsidR="000636C2">
        <w:rPr>
          <w:rFonts w:hint="cs"/>
          <w:rtl/>
        </w:rPr>
        <w:t>،</w:t>
      </w:r>
      <w:r w:rsidRPr="005675B2">
        <w:rPr>
          <w:rFonts w:hint="cs"/>
          <w:rtl/>
        </w:rPr>
        <w:t xml:space="preserve"> فيخرج أضعاف ما أخرجوا وأضعافه</w:t>
      </w:r>
      <w:r w:rsidR="000636C2">
        <w:rPr>
          <w:rFonts w:hint="cs"/>
          <w:rtl/>
        </w:rPr>
        <w:t>،</w:t>
      </w:r>
      <w:r w:rsidRPr="005675B2">
        <w:rPr>
          <w:rFonts w:hint="cs"/>
          <w:rtl/>
        </w:rPr>
        <w:t xml:space="preserve"> فيكتب في رقابهم عتقاء الله</w:t>
      </w:r>
      <w:r w:rsidR="000636C2">
        <w:rPr>
          <w:rFonts w:hint="cs"/>
          <w:rtl/>
        </w:rPr>
        <w:t>،</w:t>
      </w:r>
      <w:r w:rsidRPr="005675B2">
        <w:rPr>
          <w:rFonts w:hint="cs"/>
          <w:rtl/>
        </w:rPr>
        <w:t xml:space="preserve"> ثم يدخلون الجنة فيسمون فيها الجهنميين</w:t>
      </w:r>
      <w:r w:rsidR="000636C2">
        <w:rPr>
          <w:rFonts w:hint="cs"/>
          <w:rtl/>
        </w:rPr>
        <w:t>]،</w:t>
      </w:r>
      <w:r w:rsidRPr="005675B2">
        <w:rPr>
          <w:rFonts w:hint="cs"/>
          <w:rtl/>
        </w:rPr>
        <w:t xml:space="preserve"> وجاء في صحيح ابن حبان بلفظ </w:t>
      </w:r>
      <w:r w:rsidR="000636C2">
        <w:rPr>
          <w:rFonts w:hint="cs"/>
          <w:rtl/>
        </w:rPr>
        <w:t>[</w:t>
      </w:r>
      <w:r w:rsidRPr="005675B2">
        <w:rPr>
          <w:rFonts w:hint="cs"/>
          <w:rtl/>
        </w:rPr>
        <w:t>أنا الان أخرج بنعمتي وبرحمتي</w:t>
      </w:r>
      <w:r w:rsidR="000636C2">
        <w:rPr>
          <w:rFonts w:hint="cs"/>
          <w:rtl/>
        </w:rPr>
        <w:t>]،</w:t>
      </w:r>
      <w:r w:rsidRPr="005675B2">
        <w:rPr>
          <w:rFonts w:hint="cs"/>
          <w:rtl/>
        </w:rPr>
        <w:t xml:space="preserve"> لكن سقط من رواية ابن حبان ذكر أهل المرحلة الأولى</w:t>
      </w:r>
      <w:r w:rsidR="000636C2">
        <w:rPr>
          <w:rFonts w:hint="cs"/>
          <w:rtl/>
        </w:rPr>
        <w:t xml:space="preserve">، </w:t>
      </w:r>
      <w:r w:rsidRPr="005675B2">
        <w:rPr>
          <w:rFonts w:hint="cs"/>
          <w:rtl/>
        </w:rPr>
        <w:t>فأنت ترى أنَّ أهل المراحل الثلاث الأُوَلِ</w:t>
      </w:r>
      <w:r w:rsidR="000636C2">
        <w:rPr>
          <w:rFonts w:hint="cs"/>
          <w:rtl/>
        </w:rPr>
        <w:t xml:space="preserve"> </w:t>
      </w:r>
      <w:r w:rsidRPr="005675B2">
        <w:rPr>
          <w:rFonts w:hint="cs"/>
          <w:rtl/>
        </w:rPr>
        <w:t>كان في قلوبهم شيء من الإيمان زيادة على قول لا إله إلا الله</w:t>
      </w:r>
      <w:r w:rsidR="000636C2">
        <w:rPr>
          <w:rFonts w:hint="cs"/>
          <w:rtl/>
        </w:rPr>
        <w:t>،</w:t>
      </w:r>
      <w:r w:rsidRPr="005675B2">
        <w:rPr>
          <w:rFonts w:hint="cs"/>
          <w:rtl/>
        </w:rPr>
        <w:t xml:space="preserve"> وذلك المقدار لا بد أن يثمر عملاً</w:t>
      </w:r>
      <w:r w:rsidR="000636C2">
        <w:rPr>
          <w:rFonts w:hint="cs"/>
          <w:rtl/>
        </w:rPr>
        <w:t>،</w:t>
      </w:r>
      <w:r w:rsidRPr="005675B2">
        <w:rPr>
          <w:rFonts w:hint="cs"/>
          <w:rtl/>
        </w:rPr>
        <w:t xml:space="preserve"> وأهل المرحلة الأولى كانوا يصلون ويصومون ويعملون</w:t>
      </w:r>
      <w:r w:rsidR="000636C2">
        <w:rPr>
          <w:rFonts w:hint="cs"/>
          <w:rtl/>
        </w:rPr>
        <w:t>،</w:t>
      </w:r>
      <w:r w:rsidRPr="005675B2">
        <w:rPr>
          <w:rFonts w:hint="cs"/>
          <w:rtl/>
        </w:rPr>
        <w:t xml:space="preserve"> ولا شك في أنَّ من بعدهم دونهم</w:t>
      </w:r>
      <w:r w:rsidR="000636C2">
        <w:rPr>
          <w:rFonts w:hint="cs"/>
          <w:rtl/>
        </w:rPr>
        <w:t>،</w:t>
      </w:r>
      <w:r w:rsidRPr="005675B2">
        <w:rPr>
          <w:rFonts w:hint="cs"/>
          <w:rtl/>
        </w:rPr>
        <w:t xml:space="preserve"> أما أهل المرتبة الرابعة فليس عندهم زيادةٌ على قول لا إله إلا الله</w:t>
      </w:r>
      <w:r w:rsidR="000636C2">
        <w:rPr>
          <w:rFonts w:hint="cs"/>
          <w:rtl/>
        </w:rPr>
        <w:t>،</w:t>
      </w:r>
      <w:r w:rsidRPr="005675B2">
        <w:rPr>
          <w:rFonts w:hint="cs"/>
          <w:rtl/>
        </w:rPr>
        <w:t xml:space="preserve"> فيقول فيهم أهل الجنة عندما يدخلهم الله الجنة </w:t>
      </w:r>
      <w:r w:rsidR="000636C2">
        <w:rPr>
          <w:rFonts w:hint="cs"/>
          <w:rtl/>
        </w:rPr>
        <w:t>[</w:t>
      </w:r>
      <w:r w:rsidRPr="005675B2">
        <w:rPr>
          <w:rFonts w:hint="cs"/>
          <w:rtl/>
        </w:rPr>
        <w:t>هؤلاء عتقاء الرحمن أدخلهم الجنة بغير عمل عملوه ولا خير قدموه</w:t>
      </w:r>
      <w:r w:rsidR="000636C2">
        <w:rPr>
          <w:rFonts w:hint="cs"/>
          <w:rtl/>
        </w:rPr>
        <w:t>]،</w:t>
      </w:r>
      <w:r w:rsidRPr="005675B2">
        <w:rPr>
          <w:rFonts w:hint="cs"/>
          <w:rtl/>
        </w:rPr>
        <w:t xml:space="preserve"> وهذا نص في موضع النزاع</w:t>
      </w:r>
      <w:r w:rsidR="000636C2">
        <w:rPr>
          <w:rFonts w:hint="cs"/>
          <w:rtl/>
        </w:rPr>
        <w:t>،</w:t>
      </w:r>
      <w:r w:rsidRPr="005675B2">
        <w:rPr>
          <w:rFonts w:hint="cs"/>
          <w:rtl/>
        </w:rPr>
        <w:t xml:space="preserve"> أي في أنهم أُدخلوا الجنة بغير عمل عملوه ولا خير قدموه</w:t>
      </w:r>
      <w:r w:rsidR="000636C2">
        <w:rPr>
          <w:rFonts w:hint="cs"/>
          <w:rtl/>
        </w:rPr>
        <w:t>،</w:t>
      </w:r>
      <w:r w:rsidRPr="005675B2">
        <w:rPr>
          <w:rFonts w:hint="cs"/>
          <w:rtl/>
        </w:rPr>
        <w:t xml:space="preserve"> فلا ينبغي لمسلم أن يحيد عنه</w:t>
      </w:r>
      <w:r w:rsidR="000636C2">
        <w:rPr>
          <w:rFonts w:hint="cs"/>
          <w:rtl/>
        </w:rPr>
        <w:t xml:space="preserve">، </w:t>
      </w:r>
      <w:r w:rsidRPr="005675B2">
        <w:rPr>
          <w:rFonts w:hint="cs"/>
          <w:rtl/>
        </w:rPr>
        <w:t>وأما الزيادة التي في حديث أبي سعيد الخدري رضي الله عنه في صحيح مسلم ففيها ما هو أصرح في المقصود وأبلغ في الدلالة</w:t>
      </w:r>
      <w:r w:rsidR="000636C2">
        <w:rPr>
          <w:rFonts w:hint="cs"/>
          <w:rtl/>
        </w:rPr>
        <w:t>،</w:t>
      </w:r>
      <w:r w:rsidRPr="005675B2">
        <w:rPr>
          <w:rFonts w:hint="cs"/>
          <w:rtl/>
        </w:rPr>
        <w:t xml:space="preserve"> وذلك قوله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فيخرج منها قوماً لم يعملوا خيراً قط</w:t>
      </w:r>
      <w:r w:rsidR="000636C2">
        <w:rPr>
          <w:rFonts w:hint="cs"/>
          <w:rtl/>
        </w:rPr>
        <w:t>]،</w:t>
      </w:r>
    </w:p>
    <w:p w14:paraId="4855E4FF" w14:textId="13749745" w:rsidR="009C32A0" w:rsidRPr="005675B2" w:rsidRDefault="000636C2" w:rsidP="000636C2">
      <w:pPr>
        <w:rPr>
          <w:b/>
          <w:rtl/>
        </w:rPr>
      </w:pPr>
      <w:r>
        <w:rPr>
          <w:rFonts w:hint="cs"/>
          <w:rtl/>
        </w:rPr>
        <w:t>[</w:t>
      </w:r>
      <w:r w:rsidR="009C32A0" w:rsidRPr="005675B2">
        <w:rPr>
          <w:rFonts w:hint="cs"/>
          <w:rtl/>
        </w:rPr>
        <w:t>المسالة الثانية</w:t>
      </w:r>
      <w:r>
        <w:rPr>
          <w:rFonts w:hint="cs"/>
          <w:rtl/>
        </w:rPr>
        <w:t>]:</w:t>
      </w:r>
      <w:r w:rsidR="009C32A0" w:rsidRPr="005675B2">
        <w:rPr>
          <w:rFonts w:hint="cs"/>
          <w:rtl/>
        </w:rPr>
        <w:t xml:space="preserve"> لجوء الباحث إلى التشكيك في ثبوت قوله صلى الله عليه وسلم </w:t>
      </w:r>
      <w:r>
        <w:rPr>
          <w:rFonts w:hint="cs"/>
          <w:rtl/>
        </w:rPr>
        <w:t>[</w:t>
      </w:r>
      <w:r w:rsidR="009C32A0" w:rsidRPr="005675B2">
        <w:rPr>
          <w:rFonts w:hint="cs"/>
          <w:rtl/>
        </w:rPr>
        <w:t>فيخرج منها قوماً لم يعملوا خيراً قط</w:t>
      </w:r>
      <w:r>
        <w:rPr>
          <w:rFonts w:hint="cs"/>
          <w:rtl/>
        </w:rPr>
        <w:t>]،</w:t>
      </w:r>
      <w:r w:rsidR="009C32A0" w:rsidRPr="005675B2">
        <w:rPr>
          <w:rFonts w:hint="cs"/>
          <w:rtl/>
        </w:rPr>
        <w:t xml:space="preserve"> يميل الباحث إلى الشك في ثبوت هذه الزيادة الواردة في صحيح مسلم من طريق حفص بن ميسرة عن زيد بن أسلم عن عطاء بن يسار عن أبي سعيد الخدري</w:t>
      </w:r>
      <w:r>
        <w:rPr>
          <w:rFonts w:hint="cs"/>
          <w:rtl/>
        </w:rPr>
        <w:t>،</w:t>
      </w:r>
      <w:r w:rsidR="009C32A0" w:rsidRPr="005675B2">
        <w:rPr>
          <w:rFonts w:hint="cs"/>
          <w:rtl/>
        </w:rPr>
        <w:t xml:space="preserve"> بدعوى أنها غير محفوظة</w:t>
      </w:r>
      <w:r>
        <w:rPr>
          <w:rFonts w:hint="cs"/>
          <w:rtl/>
        </w:rPr>
        <w:t>،</w:t>
      </w:r>
      <w:r w:rsidR="009C32A0" w:rsidRPr="005675B2">
        <w:rPr>
          <w:rFonts w:hint="cs"/>
          <w:rtl/>
        </w:rPr>
        <w:t xml:space="preserve"> فيقول</w:t>
      </w:r>
      <w:r>
        <w:rPr>
          <w:rFonts w:hint="cs"/>
          <w:rtl/>
        </w:rPr>
        <w:t>:</w:t>
      </w:r>
      <w:r w:rsidR="009C32A0" w:rsidRPr="005675B2">
        <w:rPr>
          <w:rFonts w:hint="cs"/>
          <w:rtl/>
        </w:rPr>
        <w:t xml:space="preserve"> </w:t>
      </w:r>
      <w:r>
        <w:rPr>
          <w:rFonts w:hint="cs"/>
          <w:rtl/>
        </w:rPr>
        <w:t>[</w:t>
      </w:r>
      <w:r w:rsidR="009C32A0" w:rsidRPr="005675B2">
        <w:rPr>
          <w:rFonts w:hint="cs"/>
          <w:rtl/>
        </w:rPr>
        <w:t>إن أكثر روايات هذا الحديث ليس فيها هذه الزيادة ..</w:t>
      </w:r>
      <w:r>
        <w:rPr>
          <w:rFonts w:hint="cs"/>
          <w:rtl/>
        </w:rPr>
        <w:t>،</w:t>
      </w:r>
      <w:r w:rsidR="009C32A0" w:rsidRPr="005675B2">
        <w:rPr>
          <w:rFonts w:hint="cs"/>
          <w:rtl/>
        </w:rPr>
        <w:t xml:space="preserve"> رواية عطاء بن يسار عن أبي سعيد الخدري عند البخاري لم يرد فيها قوله (</w:t>
      </w:r>
      <w:r>
        <w:rPr>
          <w:rFonts w:hint="cs"/>
          <w:rtl/>
        </w:rPr>
        <w:t>(</w:t>
      </w:r>
      <w:r w:rsidR="009C32A0" w:rsidRPr="005675B2">
        <w:rPr>
          <w:rFonts w:hint="cs"/>
          <w:rtl/>
        </w:rPr>
        <w:t>لم يعملوا خيراً قط</w:t>
      </w:r>
      <w:r>
        <w:rPr>
          <w:rFonts w:hint="cs"/>
          <w:rtl/>
        </w:rPr>
        <w:t>)</w:t>
      </w:r>
      <w:r w:rsidR="009C32A0" w:rsidRPr="005675B2">
        <w:rPr>
          <w:rFonts w:hint="cs"/>
          <w:rtl/>
        </w:rPr>
        <w:t>)</w:t>
      </w:r>
      <w:r>
        <w:rPr>
          <w:rFonts w:hint="cs"/>
          <w:rtl/>
        </w:rPr>
        <w:t>]،</w:t>
      </w:r>
    </w:p>
    <w:p w14:paraId="223EF8DC" w14:textId="6A16DC15" w:rsidR="009C32A0" w:rsidRPr="005675B2" w:rsidRDefault="009C32A0" w:rsidP="000636C2">
      <w:pPr>
        <w:rPr>
          <w:b/>
          <w:rtl/>
          <w:lang w:bidi="ar-AE"/>
        </w:rPr>
      </w:pPr>
      <w:r w:rsidRPr="005675B2">
        <w:rPr>
          <w:rFonts w:hint="cs"/>
          <w:rtl/>
        </w:rPr>
        <w:t>أقول</w:t>
      </w:r>
      <w:r w:rsidR="000636C2">
        <w:rPr>
          <w:rFonts w:hint="cs"/>
          <w:rtl/>
        </w:rPr>
        <w:t>:</w:t>
      </w:r>
      <w:r w:rsidRPr="005675B2">
        <w:rPr>
          <w:rFonts w:hint="cs"/>
          <w:rtl/>
        </w:rPr>
        <w:t xml:space="preserve"> 1</w:t>
      </w:r>
      <w:r w:rsidR="000636C2">
        <w:rPr>
          <w:rFonts w:hint="cs"/>
          <w:rtl/>
        </w:rPr>
        <w:t xml:space="preserve"> </w:t>
      </w:r>
      <w:r w:rsidRPr="005675B2">
        <w:rPr>
          <w:rFonts w:hint="cs"/>
          <w:rtl/>
        </w:rPr>
        <w:t>- لو كان علماء الأشاعرة هم الذين ارتابوا في صحة جزء من حديث رواه مسلم في صحيحه لكان هذا منسجماً مع موقفهم من الأحاديث الآحادية</w:t>
      </w:r>
      <w:r w:rsidR="000636C2">
        <w:rPr>
          <w:rFonts w:hint="cs"/>
          <w:rtl/>
        </w:rPr>
        <w:t>،</w:t>
      </w:r>
      <w:r w:rsidRPr="005675B2">
        <w:rPr>
          <w:rFonts w:hint="cs"/>
          <w:rtl/>
        </w:rPr>
        <w:t xml:space="preserve"> وهو أنها لا يحتج بها في العقيدة حتى ولو كانت في الصحيحين ما لم تصل حد التواتر</w:t>
      </w:r>
      <w:r w:rsidR="000636C2">
        <w:rPr>
          <w:rFonts w:hint="cs"/>
          <w:rtl/>
        </w:rPr>
        <w:t>،</w:t>
      </w:r>
      <w:r w:rsidRPr="005675B2">
        <w:rPr>
          <w:rFonts w:hint="cs"/>
          <w:rtl/>
        </w:rPr>
        <w:t xml:space="preserve"> لكن ماذا نقول إذا كان الذي ارتاب في صحته هو الباحث الذي سبق أن شن حملة شعواء على الأشاعرة لموقفهم من حجية أحاديث الآحاد في العقيدة وموقفهم من أحاديث الصحيحين</w:t>
      </w:r>
      <w:r w:rsidR="000636C2">
        <w:rPr>
          <w:rFonts w:hint="cs"/>
          <w:rtl/>
        </w:rPr>
        <w:t xml:space="preserve">؟، </w:t>
      </w:r>
      <w:r w:rsidRPr="005675B2">
        <w:rPr>
          <w:rFonts w:hint="cs"/>
          <w:rtl/>
        </w:rPr>
        <w:t>هل يجوز للباحث أن يشن تلك الحملة على الأشاعرة لموقفهم من أحاديث الآحاد وأحاديث الصحيحين عندما كان في الجانب النظري ثم هو نفسه يرتاب في صحة جزء من حديث رواه مسلم عندما دخل في الجانب العملي</w:t>
      </w:r>
      <w:r w:rsidR="000636C2">
        <w:rPr>
          <w:rFonts w:hint="cs"/>
          <w:rtl/>
        </w:rPr>
        <w:t>؟!</w:t>
      </w:r>
      <w:r w:rsidRPr="005675B2">
        <w:rPr>
          <w:rFonts w:hint="cs"/>
          <w:rtl/>
        </w:rPr>
        <w:t xml:space="preserve"> ما هذا التناقض</w:t>
      </w:r>
      <w:r w:rsidR="000636C2">
        <w:rPr>
          <w:rFonts w:hint="cs"/>
          <w:rtl/>
        </w:rPr>
        <w:t>؟!</w:t>
      </w:r>
      <w:r w:rsidRPr="005675B2">
        <w:rPr>
          <w:rFonts w:hint="cs"/>
          <w:rtl/>
        </w:rPr>
        <w:t xml:space="preserve"> [</w:t>
      </w:r>
      <w:r w:rsidRPr="005675B2">
        <w:rPr>
          <w:rFonts w:hint="cs"/>
          <w:sz w:val="24"/>
          <w:szCs w:val="24"/>
          <w:rtl/>
        </w:rPr>
        <w:t>وهذا يذكرنا بما فعله ابن تيمية</w:t>
      </w:r>
      <w:r w:rsidR="000636C2">
        <w:rPr>
          <w:rFonts w:hint="cs"/>
          <w:sz w:val="24"/>
          <w:szCs w:val="24"/>
          <w:rtl/>
        </w:rPr>
        <w:t xml:space="preserve"> </w:t>
      </w:r>
      <w:r w:rsidRPr="005675B2">
        <w:rPr>
          <w:rFonts w:hint="cs"/>
          <w:sz w:val="24"/>
          <w:szCs w:val="24"/>
          <w:rtl/>
        </w:rPr>
        <w:t>ـ رحمه الله ـ</w:t>
      </w:r>
      <w:r w:rsidR="000636C2">
        <w:rPr>
          <w:rFonts w:hint="cs"/>
          <w:sz w:val="24"/>
          <w:szCs w:val="24"/>
          <w:rtl/>
        </w:rPr>
        <w:t xml:space="preserve"> </w:t>
      </w:r>
      <w:r w:rsidRPr="005675B2">
        <w:rPr>
          <w:rFonts w:hint="cs"/>
          <w:sz w:val="24"/>
          <w:szCs w:val="24"/>
          <w:rtl/>
        </w:rPr>
        <w:t>من قبل</w:t>
      </w:r>
      <w:r w:rsidR="000636C2">
        <w:rPr>
          <w:rFonts w:hint="cs"/>
          <w:sz w:val="24"/>
          <w:szCs w:val="24"/>
          <w:rtl/>
        </w:rPr>
        <w:t>،</w:t>
      </w:r>
      <w:r w:rsidRPr="005675B2">
        <w:rPr>
          <w:rFonts w:hint="cs"/>
          <w:sz w:val="24"/>
          <w:szCs w:val="24"/>
          <w:rtl/>
        </w:rPr>
        <w:t xml:space="preserve"> إذ إن له مثل هذا الهجوم على الأشاعرة لموقفهم ذاك وعدم احتجاجهم بغير المتواتر في العقيدة</w:t>
      </w:r>
      <w:r w:rsidR="000636C2">
        <w:rPr>
          <w:rFonts w:hint="cs"/>
          <w:sz w:val="24"/>
          <w:szCs w:val="24"/>
          <w:rtl/>
        </w:rPr>
        <w:t>،</w:t>
      </w:r>
      <w:r w:rsidRPr="005675B2">
        <w:rPr>
          <w:rFonts w:hint="cs"/>
          <w:sz w:val="24"/>
          <w:szCs w:val="24"/>
          <w:rtl/>
        </w:rPr>
        <w:t xml:space="preserve"> لكنه لما اصطدم معتقده بالحديث الصحيح الذي رواه البخاري </w:t>
      </w:r>
      <w:r w:rsidR="000636C2">
        <w:rPr>
          <w:rFonts w:hint="cs"/>
          <w:sz w:val="24"/>
          <w:szCs w:val="24"/>
          <w:rtl/>
        </w:rPr>
        <w:t>(</w:t>
      </w:r>
      <w:r w:rsidRPr="005675B2">
        <w:rPr>
          <w:rFonts w:hint="cs"/>
          <w:sz w:val="24"/>
          <w:szCs w:val="24"/>
          <w:rtl/>
        </w:rPr>
        <w:t>كان الله ولم يكن شيء غيره) ؛ فإنه عمد إلى غمزه بأنه ليس متواتراً</w:t>
      </w:r>
      <w:r w:rsidR="000636C2">
        <w:rPr>
          <w:rFonts w:hint="cs"/>
          <w:sz w:val="24"/>
          <w:szCs w:val="24"/>
          <w:rtl/>
        </w:rPr>
        <w:t>!</w:t>
      </w:r>
      <w:r w:rsidRPr="005675B2">
        <w:rPr>
          <w:rFonts w:hint="cs"/>
          <w:sz w:val="24"/>
          <w:szCs w:val="24"/>
          <w:rtl/>
        </w:rPr>
        <w:t>!!]</w:t>
      </w:r>
      <w:r w:rsidRPr="005675B2">
        <w:rPr>
          <w:rFonts w:hint="cs"/>
          <w:rtl/>
        </w:rPr>
        <w:t>،</w:t>
      </w:r>
      <w:r w:rsidR="000636C2">
        <w:rPr>
          <w:rFonts w:hint="cs"/>
          <w:rtl/>
        </w:rPr>
        <w:t xml:space="preserve"> </w:t>
      </w:r>
      <w:r w:rsidRPr="005675B2">
        <w:rPr>
          <w:rFonts w:hint="cs"/>
          <w:rtl/>
        </w:rPr>
        <w:t>2</w:t>
      </w:r>
      <w:r w:rsidR="000636C2">
        <w:rPr>
          <w:rFonts w:hint="cs"/>
          <w:rtl/>
        </w:rPr>
        <w:t xml:space="preserve"> </w:t>
      </w:r>
      <w:r w:rsidRPr="005675B2">
        <w:rPr>
          <w:rFonts w:hint="cs"/>
          <w:rtl/>
        </w:rPr>
        <w:t xml:space="preserve">- مجيء الرواية في صحيح مسلم بلفظ </w:t>
      </w:r>
      <w:r w:rsidR="000636C2">
        <w:rPr>
          <w:rFonts w:hint="cs"/>
          <w:rtl/>
        </w:rPr>
        <w:t>[</w:t>
      </w:r>
      <w:r w:rsidRPr="005675B2">
        <w:rPr>
          <w:rFonts w:hint="cs"/>
          <w:rtl/>
        </w:rPr>
        <w:t>فيخرج منها قوماً لم يعملوا خيراً قط</w:t>
      </w:r>
      <w:r w:rsidR="000636C2">
        <w:rPr>
          <w:rFonts w:hint="cs"/>
          <w:rtl/>
        </w:rPr>
        <w:t>]</w:t>
      </w:r>
      <w:r w:rsidRPr="005675B2">
        <w:rPr>
          <w:rFonts w:hint="cs"/>
          <w:rtl/>
        </w:rPr>
        <w:t xml:space="preserve"> دون أن تأتي هذه الجملة في صحيح البخاري</w:t>
      </w:r>
      <w:r w:rsidR="000636C2">
        <w:rPr>
          <w:rFonts w:hint="cs"/>
          <w:rtl/>
        </w:rPr>
        <w:t>:</w:t>
      </w:r>
      <w:r w:rsidRPr="005675B2">
        <w:rPr>
          <w:rFonts w:hint="cs"/>
          <w:rtl/>
        </w:rPr>
        <w:t xml:space="preserve"> </w:t>
      </w:r>
      <w:r w:rsidRPr="005675B2">
        <w:rPr>
          <w:rFonts w:hint="cs"/>
          <w:rtl/>
          <w:lang w:bidi="ar-AE"/>
        </w:rPr>
        <w:t>لا يصلح أن يكون مطعنا</w:t>
      </w:r>
      <w:r w:rsidRPr="005675B2">
        <w:rPr>
          <w:rFonts w:hint="cs"/>
          <w:rtl/>
        </w:rPr>
        <w:t>ً</w:t>
      </w:r>
      <w:r w:rsidRPr="005675B2">
        <w:rPr>
          <w:rFonts w:hint="cs"/>
          <w:rtl/>
          <w:lang w:bidi="ar-AE"/>
        </w:rPr>
        <w:t xml:space="preserve"> في هذه الزيادة التي انفرد بها مسلم دون البخاري</w:t>
      </w:r>
      <w:r w:rsidR="000636C2">
        <w:rPr>
          <w:rFonts w:hint="cs"/>
          <w:rtl/>
          <w:lang w:bidi="ar-AE"/>
        </w:rPr>
        <w:t>،</w:t>
      </w:r>
      <w:r w:rsidRPr="005675B2">
        <w:rPr>
          <w:rFonts w:hint="cs"/>
          <w:rtl/>
          <w:lang w:bidi="ar-AE"/>
        </w:rPr>
        <w:t xml:space="preserve"> فرواية البخاري التي لم تأتِ فيها الزيادة هي من طريق سعيد بن أبي هلال عن زيد بن أسلم عن عطاء بن يسار عن أبي سعيد الخدري</w:t>
      </w:r>
      <w:r w:rsidR="000636C2">
        <w:rPr>
          <w:rFonts w:hint="cs"/>
          <w:rtl/>
          <w:lang w:bidi="ar-AE"/>
        </w:rPr>
        <w:t>،</w:t>
      </w:r>
      <w:r w:rsidRPr="005675B2">
        <w:rPr>
          <w:rFonts w:hint="cs"/>
          <w:rtl/>
          <w:lang w:bidi="ar-AE"/>
        </w:rPr>
        <w:t xml:space="preserve"> أما الرواية المشتملة على الزيادة فقد رواها مسلم من طريق حفص بن ميسرة عن زيد بن أسلم عن عطاء بن يسار عن أبي سعيد</w:t>
      </w:r>
      <w:r w:rsidR="000636C2">
        <w:rPr>
          <w:rFonts w:hint="cs"/>
          <w:rtl/>
          <w:lang w:bidi="ar-AE"/>
        </w:rPr>
        <w:t>،</w:t>
      </w:r>
      <w:r w:rsidRPr="005675B2">
        <w:rPr>
          <w:rFonts w:hint="cs"/>
          <w:rtl/>
          <w:lang w:bidi="ar-AE"/>
        </w:rPr>
        <w:t xml:space="preserve"> ورواها الإمام أحمد من طريق معمر عن زيد بن أسلم </w:t>
      </w:r>
      <w:r w:rsidRPr="005675B2">
        <w:rPr>
          <w:rFonts w:hint="cs"/>
          <w:rtl/>
        </w:rPr>
        <w:t>[</w:t>
      </w:r>
      <w:r w:rsidRPr="005675B2">
        <w:rPr>
          <w:rFonts w:hint="cs"/>
          <w:sz w:val="24"/>
          <w:szCs w:val="24"/>
          <w:rtl/>
        </w:rPr>
        <w:t>مسند الإمام أحمد: 3/ 94 – 95</w:t>
      </w:r>
      <w:r w:rsidR="000636C2">
        <w:rPr>
          <w:rFonts w:hint="cs"/>
          <w:sz w:val="24"/>
          <w:szCs w:val="24"/>
          <w:rtl/>
        </w:rPr>
        <w:t>]</w:t>
      </w:r>
      <w:r w:rsidR="000636C2">
        <w:rPr>
          <w:rFonts w:hint="cs"/>
          <w:rtl/>
        </w:rPr>
        <w:t>،</w:t>
      </w:r>
      <w:r w:rsidRPr="005675B2">
        <w:rPr>
          <w:rFonts w:hint="cs"/>
          <w:rtl/>
          <w:lang w:bidi="ar-AE"/>
        </w:rPr>
        <w:t xml:space="preserve"> ورواها ابن خزيمة من طريق هشام بن سعد عن زيد بن أسلم [</w:t>
      </w:r>
      <w:r w:rsidRPr="005675B2">
        <w:rPr>
          <w:rFonts w:hint="cs"/>
          <w:sz w:val="24"/>
          <w:szCs w:val="24"/>
          <w:rtl/>
        </w:rPr>
        <w:t>التوحيد لابن خزيمة: ص 307 – 309</w:t>
      </w:r>
      <w:r w:rsidR="000636C2">
        <w:rPr>
          <w:rFonts w:hint="cs"/>
          <w:sz w:val="24"/>
          <w:szCs w:val="24"/>
          <w:rtl/>
        </w:rPr>
        <w:t>]</w:t>
      </w:r>
      <w:r w:rsidRPr="005675B2">
        <w:rPr>
          <w:rFonts w:hint="cs"/>
          <w:rtl/>
          <w:lang w:bidi="ar-AE"/>
        </w:rPr>
        <w:t>، فقد رواها ثلاثة من الرواة عن زيد بن أسلم فلا يضرهم أن راوياً آخر خالفهم ولم يذكرها</w:t>
      </w:r>
      <w:r w:rsidR="000636C2">
        <w:rPr>
          <w:rFonts w:hint="cs"/>
          <w:rtl/>
          <w:lang w:bidi="ar-AE"/>
        </w:rPr>
        <w:t>،</w:t>
      </w:r>
      <w:r w:rsidRPr="005675B2">
        <w:rPr>
          <w:rFonts w:hint="cs"/>
          <w:rtl/>
          <w:lang w:bidi="ar-AE"/>
        </w:rPr>
        <w:t xml:space="preserve"> فأين كان الباحث عن هذا</w:t>
      </w:r>
      <w:r w:rsidR="000636C2">
        <w:rPr>
          <w:rFonts w:hint="cs"/>
          <w:rtl/>
          <w:lang w:bidi="ar-AE"/>
        </w:rPr>
        <w:t>؟!</w:t>
      </w:r>
      <w:r w:rsidRPr="005675B2">
        <w:rPr>
          <w:rFonts w:hint="cs"/>
          <w:rtl/>
          <w:lang w:bidi="ar-AE"/>
        </w:rPr>
        <w:t xml:space="preserve"> وإذا كان يرى أنه متخصص في العقيدة المبنية على الكتاب والسنة ؛ فليته استعان بمن يرشده إلى معرفة طريق الترجيح بين الروايات</w:t>
      </w:r>
      <w:r w:rsidR="000636C2">
        <w:rPr>
          <w:rFonts w:hint="cs"/>
          <w:rtl/>
          <w:lang w:bidi="ar-AE"/>
        </w:rPr>
        <w:t>،</w:t>
      </w:r>
      <w:r w:rsidRPr="005675B2">
        <w:rPr>
          <w:rFonts w:hint="cs"/>
          <w:rtl/>
          <w:lang w:bidi="ar-AE"/>
        </w:rPr>
        <w:t xml:space="preserve"> ليعلم أن الزيادة التي اجتمع على روايتها ثلاثة لا مناص من الحكم لها بالثبوت والرجحان</w:t>
      </w:r>
      <w:r w:rsidR="000636C2">
        <w:rPr>
          <w:rFonts w:hint="cs"/>
          <w:rtl/>
          <w:lang w:bidi="ar-AE"/>
        </w:rPr>
        <w:t xml:space="preserve">، </w:t>
      </w:r>
      <w:r w:rsidRPr="005675B2">
        <w:rPr>
          <w:rFonts w:hint="cs"/>
          <w:rtl/>
        </w:rPr>
        <w:t>3</w:t>
      </w:r>
      <w:r w:rsidR="000636C2">
        <w:rPr>
          <w:rFonts w:hint="cs"/>
          <w:rtl/>
        </w:rPr>
        <w:t xml:space="preserve"> </w:t>
      </w:r>
      <w:r w:rsidRPr="005675B2">
        <w:rPr>
          <w:rFonts w:hint="cs"/>
          <w:rtl/>
        </w:rPr>
        <w:t xml:space="preserve">- </w:t>
      </w:r>
      <w:r w:rsidRPr="005675B2">
        <w:rPr>
          <w:rFonts w:hint="cs"/>
          <w:rtl/>
          <w:lang w:bidi="ar-AE"/>
        </w:rPr>
        <w:t xml:space="preserve">ومما يؤكد ثبوت </w:t>
      </w:r>
      <w:r w:rsidRPr="005675B2">
        <w:rPr>
          <w:rFonts w:hint="cs"/>
          <w:rtl/>
        </w:rPr>
        <w:t xml:space="preserve">هذه </w:t>
      </w:r>
      <w:r w:rsidRPr="005675B2">
        <w:rPr>
          <w:rFonts w:hint="cs"/>
          <w:rtl/>
          <w:lang w:bidi="ar-AE"/>
        </w:rPr>
        <w:t xml:space="preserve">الكلمة عن النبي صلى الله عليه وسلم وهي </w:t>
      </w:r>
      <w:r w:rsidR="000636C2">
        <w:rPr>
          <w:rFonts w:hint="cs"/>
          <w:rtl/>
          <w:lang w:bidi="ar-AE"/>
        </w:rPr>
        <w:t>[</w:t>
      </w:r>
      <w:r w:rsidRPr="005675B2">
        <w:rPr>
          <w:rFonts w:hint="cs"/>
          <w:rtl/>
          <w:lang w:bidi="ar-AE"/>
        </w:rPr>
        <w:t>فيخرج منها قوما</w:t>
      </w:r>
      <w:r w:rsidRPr="005675B2">
        <w:rPr>
          <w:rFonts w:hint="cs"/>
          <w:rtl/>
        </w:rPr>
        <w:t>ً</w:t>
      </w:r>
      <w:r w:rsidRPr="005675B2">
        <w:rPr>
          <w:rFonts w:hint="cs"/>
          <w:rtl/>
          <w:lang w:bidi="ar-AE"/>
        </w:rPr>
        <w:t xml:space="preserve"> لم يعملوا خيرا</w:t>
      </w:r>
      <w:r w:rsidRPr="005675B2">
        <w:rPr>
          <w:rFonts w:hint="cs"/>
          <w:rtl/>
        </w:rPr>
        <w:t>ً</w:t>
      </w:r>
      <w:r w:rsidRPr="005675B2">
        <w:rPr>
          <w:rFonts w:hint="cs"/>
          <w:rtl/>
          <w:lang w:bidi="ar-AE"/>
        </w:rPr>
        <w:t xml:space="preserve"> قط</w:t>
      </w:r>
      <w:r w:rsidR="000636C2">
        <w:rPr>
          <w:rFonts w:hint="cs"/>
          <w:rtl/>
          <w:lang w:bidi="ar-AE"/>
        </w:rPr>
        <w:t>]:</w:t>
      </w:r>
      <w:r w:rsidRPr="005675B2">
        <w:rPr>
          <w:rFonts w:hint="cs"/>
          <w:rtl/>
          <w:lang w:bidi="ar-AE"/>
        </w:rPr>
        <w:t xml:space="preserve"> هو أنها جاءت عنه صلى الله عليه وسلم في حديث الرجل الذي أوصى بنيه عند موته أن يحرقوه ويذروه فسأله ربه لم فعلت ذلك فقال من خشيتك فغفر له</w:t>
      </w:r>
      <w:r w:rsidR="000636C2">
        <w:rPr>
          <w:rFonts w:hint="cs"/>
          <w:rtl/>
          <w:lang w:bidi="ar-AE"/>
        </w:rPr>
        <w:t>،</w:t>
      </w:r>
      <w:r w:rsidRPr="005675B2">
        <w:rPr>
          <w:rFonts w:hint="cs"/>
          <w:rtl/>
          <w:lang w:bidi="ar-AE"/>
        </w:rPr>
        <w:t xml:space="preserve"> ففي قلبه إيمان وخشية ولم يعمل خيرا</w:t>
      </w:r>
      <w:r w:rsidRPr="005675B2">
        <w:rPr>
          <w:rFonts w:hint="cs"/>
          <w:rtl/>
        </w:rPr>
        <w:t>ً</w:t>
      </w:r>
      <w:r w:rsidRPr="005675B2">
        <w:rPr>
          <w:rFonts w:hint="cs"/>
          <w:rtl/>
          <w:lang w:bidi="ar-AE"/>
        </w:rPr>
        <w:t xml:space="preserve"> قط فنالته المغفرة</w:t>
      </w:r>
      <w:r w:rsidR="000636C2">
        <w:rPr>
          <w:rFonts w:hint="cs"/>
          <w:rtl/>
          <w:lang w:bidi="ar-AE"/>
        </w:rPr>
        <w:t>،</w:t>
      </w:r>
      <w:r w:rsidRPr="005675B2">
        <w:rPr>
          <w:rFonts w:hint="cs"/>
          <w:rtl/>
          <w:lang w:bidi="ar-AE"/>
        </w:rPr>
        <w:t xml:space="preserve"> وقد روي هذا الحديث عن النبي صلى الله عليه وسلم من رواية عبد الله بن مسعود وأبي هريرة وأبي سعيد الخدري ومعاوية بن حيدة وأبي بكر الصديق رضي الله عنهم</w:t>
      </w:r>
      <w:r w:rsidR="000636C2">
        <w:rPr>
          <w:rFonts w:hint="cs"/>
          <w:rtl/>
          <w:lang w:bidi="ar-AE"/>
        </w:rPr>
        <w:t>،</w:t>
      </w:r>
      <w:r w:rsidRPr="005675B2">
        <w:rPr>
          <w:rFonts w:hint="cs"/>
          <w:rtl/>
          <w:lang w:bidi="ar-AE"/>
        </w:rPr>
        <w:t xml:space="preserve"> فأما حديث ابن مسعود فرواه الإمام أحمد عنه أن رجلا</w:t>
      </w:r>
      <w:r w:rsidRPr="005675B2">
        <w:rPr>
          <w:rFonts w:hint="cs"/>
          <w:rtl/>
        </w:rPr>
        <w:t>ً</w:t>
      </w:r>
      <w:r w:rsidRPr="005675B2">
        <w:rPr>
          <w:rFonts w:hint="cs"/>
          <w:rtl/>
          <w:lang w:bidi="ar-AE"/>
        </w:rPr>
        <w:t xml:space="preserve"> لم يعمل من الخير شيئاً قط إلا التوحيد</w:t>
      </w:r>
      <w:r w:rsidR="000636C2">
        <w:rPr>
          <w:rFonts w:hint="cs"/>
          <w:rtl/>
          <w:lang w:bidi="ar-AE"/>
        </w:rPr>
        <w:t>،</w:t>
      </w:r>
      <w:r w:rsidRPr="005675B2">
        <w:rPr>
          <w:rFonts w:hint="cs"/>
          <w:rtl/>
          <w:lang w:bidi="ar-AE"/>
        </w:rPr>
        <w:t xml:space="preserve"> فلما حضرته الوفاة قال لأهله إذا أنا مت ..</w:t>
      </w:r>
      <w:r w:rsidR="000636C2">
        <w:rPr>
          <w:rFonts w:hint="cs"/>
          <w:rtl/>
          <w:lang w:bidi="ar-AE"/>
        </w:rPr>
        <w:t>[</w:t>
      </w:r>
      <w:r w:rsidRPr="005675B2">
        <w:rPr>
          <w:rFonts w:hint="cs"/>
          <w:sz w:val="24"/>
          <w:szCs w:val="24"/>
          <w:rtl/>
        </w:rPr>
        <w:t>مسند الإمام احمد: 1/398 . قال المعلق في الطبعة المحققة: هذا بإسناد حسن</w:t>
      </w:r>
      <w:r w:rsidR="000636C2">
        <w:rPr>
          <w:rFonts w:hint="cs"/>
          <w:sz w:val="24"/>
          <w:szCs w:val="24"/>
          <w:rtl/>
        </w:rPr>
        <w:t>]</w:t>
      </w:r>
      <w:r w:rsidR="000636C2">
        <w:rPr>
          <w:rFonts w:hint="cs"/>
          <w:rtl/>
          <w:lang w:bidi="ar-AE"/>
        </w:rPr>
        <w:t>،</w:t>
      </w:r>
      <w:r w:rsidRPr="005675B2">
        <w:rPr>
          <w:rFonts w:hint="cs"/>
          <w:rtl/>
        </w:rPr>
        <w:t xml:space="preserve"> وأما حديث أبي هريرة فرواه الأعرج عنه بلفظ </w:t>
      </w:r>
      <w:r w:rsidR="000636C2">
        <w:rPr>
          <w:rFonts w:hint="cs"/>
          <w:rtl/>
        </w:rPr>
        <w:t>[</w:t>
      </w:r>
      <w:r w:rsidRPr="005675B2">
        <w:rPr>
          <w:rFonts w:hint="cs"/>
          <w:rtl/>
        </w:rPr>
        <w:t>قال رجل لم يعمل حسنة قط</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الموطأ للإمام مالك: 1/240 . صحيح مسلم: 4/2109 . صحيح البخاري: التوحيد</w:t>
      </w:r>
      <w:r w:rsidR="000636C2">
        <w:rPr>
          <w:rFonts w:hint="cs"/>
          <w:sz w:val="24"/>
          <w:szCs w:val="24"/>
          <w:rtl/>
        </w:rPr>
        <w:t>،</w:t>
      </w:r>
      <w:r w:rsidRPr="005675B2">
        <w:rPr>
          <w:rFonts w:hint="cs"/>
          <w:sz w:val="24"/>
          <w:szCs w:val="24"/>
          <w:rtl/>
        </w:rPr>
        <w:t xml:space="preserve"> باب قوله تعالى يريدون أن يبدلوا كلام الله</w:t>
      </w:r>
      <w:r w:rsidR="000636C2">
        <w:rPr>
          <w:rFonts w:hint="cs"/>
          <w:sz w:val="24"/>
          <w:szCs w:val="24"/>
          <w:rtl/>
        </w:rPr>
        <w:t>،</w:t>
      </w:r>
      <w:r w:rsidRPr="005675B2">
        <w:rPr>
          <w:rFonts w:hint="cs"/>
          <w:sz w:val="24"/>
          <w:szCs w:val="24"/>
          <w:rtl/>
        </w:rPr>
        <w:t xml:space="preserve"> واللفظ عند البخاري </w:t>
      </w:r>
      <w:r w:rsidR="000636C2">
        <w:rPr>
          <w:rFonts w:hint="cs"/>
          <w:sz w:val="24"/>
          <w:szCs w:val="24"/>
          <w:rtl/>
        </w:rPr>
        <w:t>(</w:t>
      </w:r>
      <w:r w:rsidRPr="005675B2">
        <w:rPr>
          <w:rFonts w:hint="cs"/>
          <w:sz w:val="24"/>
          <w:szCs w:val="24"/>
          <w:rtl/>
        </w:rPr>
        <w:t>لم يعمل خيراً قط</w:t>
      </w:r>
      <w:r w:rsidR="000636C2">
        <w:rPr>
          <w:rFonts w:hint="cs"/>
          <w:sz w:val="24"/>
          <w:szCs w:val="24"/>
          <w:rtl/>
        </w:rPr>
        <w:t>)،</w:t>
      </w:r>
      <w:r w:rsidRPr="005675B2">
        <w:rPr>
          <w:rFonts w:hint="cs"/>
          <w:rtl/>
        </w:rPr>
        <w:t>]</w:t>
      </w:r>
      <w:r w:rsidRPr="005675B2">
        <w:rPr>
          <w:rFonts w:hint="cs"/>
          <w:rtl/>
          <w:lang w:bidi="ar-AE"/>
        </w:rPr>
        <w:t>،</w:t>
      </w:r>
      <w:r w:rsidRPr="005675B2">
        <w:rPr>
          <w:rFonts w:hint="cs"/>
          <w:rtl/>
        </w:rPr>
        <w:t xml:space="preserve"> ورواه حميد بن عبد الرحمن عنه بلفظ </w:t>
      </w:r>
      <w:r w:rsidR="000636C2">
        <w:rPr>
          <w:rFonts w:hint="cs"/>
          <w:rtl/>
        </w:rPr>
        <w:t>[</w:t>
      </w:r>
      <w:r w:rsidRPr="005675B2">
        <w:rPr>
          <w:rFonts w:hint="cs"/>
          <w:rtl/>
        </w:rPr>
        <w:t>كان رجل يسرف على نفسه</w:t>
      </w:r>
      <w:r w:rsidR="000636C2">
        <w:rPr>
          <w:rFonts w:hint="cs"/>
          <w:rtl/>
        </w:rPr>
        <w:t>]</w:t>
      </w:r>
      <w:r w:rsidRPr="005675B2">
        <w:rPr>
          <w:rFonts w:hint="cs"/>
          <w:rtl/>
        </w:rPr>
        <w:t xml:space="preserve"> </w:t>
      </w:r>
      <w:r w:rsidR="000636C2">
        <w:rPr>
          <w:rFonts w:hint="cs"/>
          <w:rtl/>
        </w:rPr>
        <w:t>[</w:t>
      </w:r>
      <w:r w:rsidRPr="005675B2">
        <w:rPr>
          <w:rFonts w:hint="cs"/>
          <w:sz w:val="24"/>
          <w:szCs w:val="24"/>
          <w:rtl/>
        </w:rPr>
        <w:t>صحيح البخاري: أحاديث الأنبياء</w:t>
      </w:r>
      <w:r w:rsidR="000636C2">
        <w:rPr>
          <w:rFonts w:hint="cs"/>
          <w:sz w:val="24"/>
          <w:szCs w:val="24"/>
          <w:rtl/>
        </w:rPr>
        <w:t>،</w:t>
      </w:r>
      <w:r w:rsidRPr="005675B2">
        <w:rPr>
          <w:rFonts w:hint="cs"/>
          <w:sz w:val="24"/>
          <w:szCs w:val="24"/>
          <w:rtl/>
        </w:rPr>
        <w:t xml:space="preserve"> باب ما ذكر عن بني إسرائيل</w:t>
      </w:r>
      <w:r w:rsidR="000636C2">
        <w:rPr>
          <w:rFonts w:hint="cs"/>
          <w:sz w:val="24"/>
          <w:szCs w:val="24"/>
          <w:rtl/>
        </w:rPr>
        <w:t>،</w:t>
      </w:r>
      <w:r w:rsidRPr="005675B2">
        <w:rPr>
          <w:rFonts w:hint="cs"/>
          <w:sz w:val="24"/>
          <w:szCs w:val="24"/>
          <w:rtl/>
        </w:rPr>
        <w:t xml:space="preserve"> بعد باب حديث الغار</w:t>
      </w:r>
      <w:r w:rsidR="000636C2">
        <w:rPr>
          <w:rFonts w:hint="cs"/>
          <w:sz w:val="24"/>
          <w:szCs w:val="24"/>
          <w:rtl/>
        </w:rPr>
        <w:t>]</w:t>
      </w:r>
      <w:r w:rsidR="000636C2">
        <w:rPr>
          <w:rFonts w:hint="cs"/>
          <w:rtl/>
        </w:rPr>
        <w:t>،</w:t>
      </w:r>
      <w:r w:rsidRPr="005675B2">
        <w:rPr>
          <w:rFonts w:hint="cs"/>
          <w:rtl/>
          <w:lang w:bidi="ar-AE"/>
        </w:rPr>
        <w:t xml:space="preserve"> ورواه أبو رافع عنه بلفظ </w:t>
      </w:r>
      <w:r w:rsidR="000636C2">
        <w:rPr>
          <w:rFonts w:hint="cs"/>
          <w:rtl/>
          <w:lang w:bidi="ar-AE"/>
        </w:rPr>
        <w:t>[</w:t>
      </w:r>
      <w:r w:rsidRPr="005675B2">
        <w:rPr>
          <w:rFonts w:hint="cs"/>
          <w:rtl/>
          <w:lang w:bidi="ar-AE"/>
        </w:rPr>
        <w:t>كان رجل ممن كان قبلكم لم يعمل خيراً قط إلا التوحيد فلما احتضر قال لأهله</w:t>
      </w:r>
      <w:r w:rsidR="000636C2">
        <w:rPr>
          <w:rFonts w:hint="cs"/>
          <w:rtl/>
          <w:lang w:bidi="ar-AE"/>
        </w:rPr>
        <w:t>]</w:t>
      </w:r>
      <w:r w:rsidRPr="005675B2">
        <w:rPr>
          <w:rFonts w:hint="cs"/>
          <w:rtl/>
          <w:lang w:bidi="ar-AE"/>
        </w:rPr>
        <w:t xml:space="preserve"> [</w:t>
      </w:r>
      <w:r w:rsidRPr="005675B2">
        <w:rPr>
          <w:rFonts w:hint="cs"/>
          <w:sz w:val="24"/>
          <w:szCs w:val="24"/>
          <w:rtl/>
        </w:rPr>
        <w:t>مسند الإمام أحمد: 2/ 304 . وفي المحققة: هذا بإسناد متصل صحيح</w:t>
      </w:r>
      <w:r w:rsidR="000636C2">
        <w:rPr>
          <w:rFonts w:hint="cs"/>
          <w:sz w:val="24"/>
          <w:szCs w:val="24"/>
          <w:rtl/>
        </w:rPr>
        <w:t>]</w:t>
      </w:r>
      <w:r w:rsidRPr="005675B2">
        <w:rPr>
          <w:rFonts w:hint="cs"/>
          <w:rtl/>
          <w:lang w:bidi="ar-AE"/>
        </w:rPr>
        <w:t xml:space="preserve">، </w:t>
      </w:r>
      <w:r w:rsidRPr="005675B2">
        <w:rPr>
          <w:rFonts w:hint="cs"/>
          <w:rtl/>
        </w:rPr>
        <w:t>وأما حديث أبي سعيد فرواه سليمان التيمي عن قتادة عن عقبة بن عبد الغافر عن أبي سعيد</w:t>
      </w:r>
      <w:r w:rsidR="000636C2">
        <w:rPr>
          <w:rFonts w:hint="cs"/>
          <w:rtl/>
        </w:rPr>
        <w:t>،</w:t>
      </w:r>
      <w:r w:rsidRPr="005675B2">
        <w:rPr>
          <w:rFonts w:hint="cs"/>
          <w:rtl/>
        </w:rPr>
        <w:t xml:space="preserve"> وفيه أن الرجل قال إنه لم يبتئرْ عند الله خيراً</w:t>
      </w:r>
      <w:r w:rsidR="000636C2">
        <w:rPr>
          <w:rFonts w:hint="cs"/>
          <w:rtl/>
        </w:rPr>
        <w:t>،</w:t>
      </w:r>
      <w:r w:rsidRPr="005675B2">
        <w:rPr>
          <w:rFonts w:hint="cs"/>
          <w:rtl/>
        </w:rPr>
        <w:t xml:space="preserve"> أي لم يدخر عند الله خيرًا </w:t>
      </w:r>
      <w:r w:rsidR="000636C2">
        <w:rPr>
          <w:rFonts w:hint="cs"/>
          <w:rtl/>
        </w:rPr>
        <w:t>[</w:t>
      </w:r>
      <w:r w:rsidRPr="005675B2">
        <w:rPr>
          <w:rFonts w:hint="cs"/>
          <w:sz w:val="24"/>
          <w:szCs w:val="24"/>
          <w:rtl/>
        </w:rPr>
        <w:t>صحيح البخاري</w:t>
      </w:r>
      <w:r w:rsidR="000636C2">
        <w:rPr>
          <w:rFonts w:hint="cs"/>
          <w:sz w:val="24"/>
          <w:szCs w:val="24"/>
          <w:rtl/>
        </w:rPr>
        <w:t>:</w:t>
      </w:r>
      <w:r w:rsidRPr="005675B2">
        <w:rPr>
          <w:rFonts w:hint="cs"/>
          <w:sz w:val="24"/>
          <w:szCs w:val="24"/>
          <w:rtl/>
        </w:rPr>
        <w:t xml:space="preserve"> كتاب الرقاق</w:t>
      </w:r>
      <w:r w:rsidR="000636C2">
        <w:rPr>
          <w:rFonts w:hint="cs"/>
          <w:sz w:val="24"/>
          <w:szCs w:val="24"/>
          <w:rtl/>
        </w:rPr>
        <w:t>،</w:t>
      </w:r>
      <w:r w:rsidRPr="005675B2">
        <w:rPr>
          <w:rFonts w:hint="cs"/>
          <w:sz w:val="24"/>
          <w:szCs w:val="24"/>
          <w:rtl/>
        </w:rPr>
        <w:t xml:space="preserve"> باب الخوف من الله</w:t>
      </w:r>
      <w:r w:rsidR="000636C2">
        <w:rPr>
          <w:rFonts w:hint="cs"/>
          <w:sz w:val="24"/>
          <w:szCs w:val="24"/>
          <w:rtl/>
        </w:rPr>
        <w:t>،</w:t>
      </w:r>
      <w:r w:rsidRPr="005675B2">
        <w:rPr>
          <w:rFonts w:hint="cs"/>
          <w:sz w:val="24"/>
          <w:szCs w:val="24"/>
          <w:rtl/>
        </w:rPr>
        <w:t xml:space="preserve"> وكتـاب التوحيد</w:t>
      </w:r>
      <w:r w:rsidR="000636C2">
        <w:rPr>
          <w:rFonts w:hint="cs"/>
          <w:sz w:val="24"/>
          <w:szCs w:val="24"/>
          <w:rtl/>
        </w:rPr>
        <w:t>،</w:t>
      </w:r>
      <w:r w:rsidRPr="005675B2">
        <w:rPr>
          <w:rFonts w:hint="cs"/>
          <w:sz w:val="24"/>
          <w:szCs w:val="24"/>
          <w:rtl/>
        </w:rPr>
        <w:t xml:space="preserve"> باب قولـه تعالى </w:t>
      </w:r>
      <w:r w:rsidR="000636C2">
        <w:rPr>
          <w:rFonts w:hint="cs"/>
          <w:sz w:val="24"/>
          <w:szCs w:val="24"/>
          <w:rtl/>
        </w:rPr>
        <w:t>(</w:t>
      </w:r>
      <w:r w:rsidRPr="005675B2">
        <w:rPr>
          <w:rFonts w:hint="cs"/>
          <w:sz w:val="24"/>
          <w:szCs w:val="24"/>
          <w:rtl/>
        </w:rPr>
        <w:t>يريدون أن يبدلوا كلام الله</w:t>
      </w:r>
      <w:r w:rsidR="000636C2">
        <w:rPr>
          <w:rFonts w:hint="cs"/>
          <w:sz w:val="24"/>
          <w:szCs w:val="24"/>
          <w:rtl/>
        </w:rPr>
        <w:t>]</w:t>
      </w:r>
      <w:r w:rsidR="000636C2">
        <w:rPr>
          <w:rFonts w:hint="cs"/>
          <w:rtl/>
        </w:rPr>
        <w:t>،</w:t>
      </w:r>
      <w:r w:rsidRPr="005675B2">
        <w:rPr>
          <w:rFonts w:hint="cs"/>
          <w:rtl/>
        </w:rPr>
        <w:t xml:space="preserve"> ورواه أبو عوانة الوضاح بن عبد الله عن قتادة</w:t>
      </w:r>
      <w:r w:rsidR="000636C2">
        <w:rPr>
          <w:rFonts w:hint="cs"/>
          <w:rtl/>
        </w:rPr>
        <w:t>،</w:t>
      </w:r>
      <w:r w:rsidRPr="005675B2">
        <w:rPr>
          <w:rFonts w:hint="cs"/>
          <w:rtl/>
        </w:rPr>
        <w:t xml:space="preserve"> وفيه أن الرجل قال </w:t>
      </w:r>
      <w:r w:rsidR="000636C2">
        <w:rPr>
          <w:rFonts w:hint="cs"/>
          <w:rtl/>
        </w:rPr>
        <w:t>[</w:t>
      </w:r>
      <w:r w:rsidRPr="005675B2">
        <w:rPr>
          <w:rFonts w:hint="cs"/>
          <w:rtl/>
        </w:rPr>
        <w:t>فإني لم أعمل خيراً قط</w:t>
      </w:r>
      <w:r w:rsidR="000636C2">
        <w:rPr>
          <w:rFonts w:hint="cs"/>
          <w:rtl/>
        </w:rPr>
        <w:t>]</w:t>
      </w:r>
      <w:r w:rsidRPr="005675B2">
        <w:rPr>
          <w:rFonts w:hint="cs"/>
          <w:rtl/>
        </w:rPr>
        <w:t xml:space="preserve"> </w:t>
      </w:r>
      <w:r w:rsidR="000636C2">
        <w:rPr>
          <w:rFonts w:hint="cs"/>
          <w:rtl/>
        </w:rPr>
        <w:t>[</w:t>
      </w:r>
      <w:r w:rsidRPr="005675B2">
        <w:rPr>
          <w:rFonts w:hint="cs"/>
          <w:sz w:val="24"/>
          <w:szCs w:val="24"/>
          <w:rtl/>
        </w:rPr>
        <w:t>صحيح البخاري: أحاديث الانبياء</w:t>
      </w:r>
      <w:r w:rsidR="000636C2">
        <w:rPr>
          <w:rFonts w:hint="cs"/>
          <w:sz w:val="24"/>
          <w:szCs w:val="24"/>
          <w:rtl/>
        </w:rPr>
        <w:t>،</w:t>
      </w:r>
      <w:r w:rsidRPr="005675B2">
        <w:rPr>
          <w:rFonts w:hint="cs"/>
          <w:sz w:val="24"/>
          <w:szCs w:val="24"/>
          <w:rtl/>
        </w:rPr>
        <w:t xml:space="preserve"> باب ما ذكر عن بني إسرائيل</w:t>
      </w:r>
      <w:r w:rsidR="000636C2">
        <w:rPr>
          <w:rFonts w:hint="cs"/>
          <w:sz w:val="24"/>
          <w:szCs w:val="24"/>
          <w:rtl/>
        </w:rPr>
        <w:t>،</w:t>
      </w:r>
      <w:r w:rsidRPr="005675B2">
        <w:rPr>
          <w:rFonts w:hint="cs"/>
          <w:sz w:val="24"/>
          <w:szCs w:val="24"/>
          <w:rtl/>
        </w:rPr>
        <w:t xml:space="preserve"> بعد باب حديث الغار</w:t>
      </w:r>
      <w:r w:rsidR="000636C2">
        <w:rPr>
          <w:rFonts w:hint="cs"/>
          <w:sz w:val="24"/>
          <w:szCs w:val="24"/>
          <w:rtl/>
        </w:rPr>
        <w:t>]</w:t>
      </w:r>
      <w:r w:rsidRPr="005675B2">
        <w:rPr>
          <w:rFonts w:hint="cs"/>
          <w:rtl/>
        </w:rPr>
        <w:t xml:space="preserve">، ورواه عطية العوفي عن أبي سعيد بلفظ </w:t>
      </w:r>
      <w:r w:rsidR="000636C2">
        <w:rPr>
          <w:rFonts w:hint="cs"/>
          <w:rtl/>
        </w:rPr>
        <w:t>[</w:t>
      </w:r>
      <w:r w:rsidRPr="005675B2">
        <w:rPr>
          <w:rFonts w:hint="cs"/>
          <w:rtl/>
        </w:rPr>
        <w:t>لقد دخل رجل الجنة ما عمل خيراً قط قال لأهله حين حضره الموت</w:t>
      </w:r>
      <w:r w:rsidR="000636C2">
        <w:rPr>
          <w:rFonts w:hint="cs"/>
          <w:rtl/>
        </w:rPr>
        <w:t>]</w:t>
      </w:r>
      <w:r w:rsidRPr="005675B2">
        <w:rPr>
          <w:rFonts w:hint="cs"/>
          <w:rtl/>
        </w:rPr>
        <w:t xml:space="preserve"> </w:t>
      </w:r>
      <w:r w:rsidRPr="005675B2">
        <w:rPr>
          <w:rFonts w:hint="cs"/>
          <w:rtl/>
          <w:lang w:bidi="ar-AE"/>
        </w:rPr>
        <w:t>[</w:t>
      </w:r>
      <w:r w:rsidRPr="005675B2">
        <w:rPr>
          <w:rFonts w:hint="cs"/>
          <w:sz w:val="24"/>
          <w:szCs w:val="24"/>
          <w:rtl/>
        </w:rPr>
        <w:t>مسند الإمام أحمد: 3/ 13 . وعطية العوفي ضعيف</w:t>
      </w:r>
      <w:r w:rsidR="000636C2">
        <w:rPr>
          <w:rFonts w:hint="cs"/>
          <w:sz w:val="24"/>
          <w:szCs w:val="24"/>
          <w:rtl/>
        </w:rPr>
        <w:t>]</w:t>
      </w:r>
      <w:r w:rsidR="000636C2">
        <w:rPr>
          <w:rFonts w:hint="cs"/>
          <w:rtl/>
          <w:lang w:bidi="ar-AE"/>
        </w:rPr>
        <w:t>،</w:t>
      </w:r>
      <w:r w:rsidRPr="005675B2">
        <w:rPr>
          <w:rFonts w:hint="cs"/>
          <w:rtl/>
          <w:lang w:bidi="ar-AE"/>
        </w:rPr>
        <w:t xml:space="preserve"> </w:t>
      </w:r>
      <w:r w:rsidRPr="005675B2">
        <w:rPr>
          <w:rFonts w:hint="cs"/>
          <w:rtl/>
        </w:rPr>
        <w:t>و</w:t>
      </w:r>
      <w:r w:rsidRPr="005675B2">
        <w:rPr>
          <w:rFonts w:hint="cs"/>
          <w:rtl/>
          <w:lang w:bidi="ar-AE"/>
        </w:rPr>
        <w:t>الروايتان الأُولَيَان في الصحيح</w:t>
      </w:r>
      <w:r w:rsidR="000636C2">
        <w:rPr>
          <w:rFonts w:hint="cs"/>
          <w:rtl/>
          <w:lang w:bidi="ar-AE"/>
        </w:rPr>
        <w:t>،</w:t>
      </w:r>
      <w:r w:rsidRPr="005675B2">
        <w:rPr>
          <w:rFonts w:hint="cs"/>
          <w:rtl/>
          <w:lang w:bidi="ar-AE"/>
        </w:rPr>
        <w:t xml:space="preserve"> وفي رواية عطية العوفي عن أبي سعيد متابعة وتأكيد لرواية عقبة بن عب</w:t>
      </w:r>
      <w:r w:rsidRPr="005675B2">
        <w:rPr>
          <w:rFonts w:hint="cs"/>
          <w:rtl/>
        </w:rPr>
        <w:t>د الغافر عنه</w:t>
      </w:r>
      <w:r w:rsidR="000636C2">
        <w:rPr>
          <w:rFonts w:hint="cs"/>
          <w:rtl/>
        </w:rPr>
        <w:t>،</w:t>
      </w:r>
      <w:r w:rsidRPr="005675B2">
        <w:rPr>
          <w:rFonts w:hint="cs"/>
          <w:rtl/>
        </w:rPr>
        <w:t xml:space="preserve"> </w:t>
      </w:r>
      <w:r w:rsidRPr="005675B2">
        <w:rPr>
          <w:rFonts w:hint="cs"/>
          <w:rtl/>
          <w:lang w:bidi="ar-AE"/>
        </w:rPr>
        <w:t>وأما حديث معاوية بن حيدة فقد جاء عنه بلفظ</w:t>
      </w:r>
      <w:r w:rsidR="000636C2">
        <w:rPr>
          <w:rFonts w:hint="cs"/>
          <w:rtl/>
          <w:lang w:bidi="ar-AE"/>
        </w:rPr>
        <w:t>:</w:t>
      </w:r>
      <w:r w:rsidRPr="005675B2">
        <w:rPr>
          <w:rFonts w:hint="cs"/>
          <w:rtl/>
          <w:lang w:bidi="ar-AE"/>
        </w:rPr>
        <w:t xml:space="preserve"> </w:t>
      </w:r>
      <w:r w:rsidR="000636C2">
        <w:rPr>
          <w:rFonts w:hint="cs"/>
          <w:rtl/>
          <w:lang w:bidi="ar-AE"/>
        </w:rPr>
        <w:t>[</w:t>
      </w:r>
      <w:r w:rsidRPr="005675B2">
        <w:rPr>
          <w:rFonts w:hint="cs"/>
          <w:rtl/>
          <w:lang w:bidi="ar-AE"/>
        </w:rPr>
        <w:t>كان عبد من عباد الله</w:t>
      </w:r>
      <w:r w:rsidR="000636C2">
        <w:rPr>
          <w:rFonts w:hint="cs"/>
          <w:rtl/>
          <w:lang w:bidi="ar-AE"/>
        </w:rPr>
        <w:t>،</w:t>
      </w:r>
      <w:r w:rsidRPr="005675B2">
        <w:rPr>
          <w:rFonts w:hint="cs"/>
          <w:rtl/>
          <w:lang w:bidi="ar-AE"/>
        </w:rPr>
        <w:t xml:space="preserve"> وكان لا يدين لله دينا</w:t>
      </w:r>
      <w:r w:rsidRPr="005675B2">
        <w:rPr>
          <w:rFonts w:hint="cs"/>
          <w:rtl/>
        </w:rPr>
        <w:t>ً</w:t>
      </w:r>
      <w:r w:rsidR="000636C2">
        <w:rPr>
          <w:rFonts w:hint="cs"/>
          <w:rtl/>
          <w:lang w:bidi="ar-AE"/>
        </w:rPr>
        <w:t>،</w:t>
      </w:r>
      <w:r w:rsidRPr="005675B2">
        <w:rPr>
          <w:rFonts w:hint="cs"/>
          <w:rtl/>
          <w:lang w:bidi="ar-AE"/>
        </w:rPr>
        <w:t xml:space="preserve"> .. فعلم أنه لم يبتئر عند الله خيراً</w:t>
      </w:r>
      <w:r w:rsidR="000636C2">
        <w:rPr>
          <w:rFonts w:hint="cs"/>
          <w:rtl/>
          <w:lang w:bidi="ar-AE"/>
        </w:rPr>
        <w:t>]</w:t>
      </w:r>
      <w:r w:rsidRPr="005675B2">
        <w:rPr>
          <w:rFonts w:hint="cs"/>
          <w:rtl/>
          <w:lang w:bidi="ar-AE"/>
        </w:rPr>
        <w:t xml:space="preserve"> [</w:t>
      </w:r>
      <w:r w:rsidRPr="005675B2">
        <w:rPr>
          <w:rFonts w:hint="cs"/>
          <w:sz w:val="24"/>
          <w:szCs w:val="24"/>
          <w:rtl/>
        </w:rPr>
        <w:t>سنن الدارمي: رقاق</w:t>
      </w:r>
      <w:r w:rsidR="000636C2">
        <w:rPr>
          <w:rFonts w:hint="cs"/>
          <w:sz w:val="24"/>
          <w:szCs w:val="24"/>
          <w:rtl/>
        </w:rPr>
        <w:t>،</w:t>
      </w:r>
      <w:r w:rsidRPr="005675B2">
        <w:rPr>
          <w:rFonts w:hint="cs"/>
          <w:sz w:val="24"/>
          <w:szCs w:val="24"/>
          <w:rtl/>
        </w:rPr>
        <w:t xml:space="preserve"> باب فيمن قال</w:t>
      </w:r>
      <w:r w:rsidR="000636C2">
        <w:rPr>
          <w:rFonts w:hint="cs"/>
          <w:sz w:val="24"/>
          <w:szCs w:val="24"/>
          <w:rtl/>
        </w:rPr>
        <w:t>:</w:t>
      </w:r>
      <w:r w:rsidRPr="005675B2">
        <w:rPr>
          <w:rFonts w:hint="cs"/>
          <w:sz w:val="24"/>
          <w:szCs w:val="24"/>
          <w:rtl/>
        </w:rPr>
        <w:t xml:space="preserve"> إذا مت فأحرقوني</w:t>
      </w:r>
      <w:r w:rsidR="000636C2">
        <w:rPr>
          <w:rFonts w:hint="cs"/>
          <w:sz w:val="24"/>
          <w:szCs w:val="24"/>
          <w:rtl/>
        </w:rPr>
        <w:t>]</w:t>
      </w:r>
      <w:r w:rsidRPr="005675B2">
        <w:rPr>
          <w:rFonts w:hint="cs"/>
          <w:rtl/>
          <w:lang w:bidi="ar-AE"/>
        </w:rPr>
        <w:t xml:space="preserve">، وأما حديث أبي بكر ففيه </w:t>
      </w:r>
      <w:r w:rsidR="000636C2">
        <w:rPr>
          <w:rFonts w:hint="cs"/>
          <w:rtl/>
          <w:lang w:bidi="ar-AE"/>
        </w:rPr>
        <w:t>[</w:t>
      </w:r>
      <w:r w:rsidRPr="005675B2">
        <w:rPr>
          <w:rFonts w:hint="cs"/>
          <w:rtl/>
          <w:lang w:bidi="ar-AE"/>
        </w:rPr>
        <w:t>فيقول له</w:t>
      </w:r>
      <w:r w:rsidR="000636C2">
        <w:rPr>
          <w:rFonts w:hint="cs"/>
          <w:rtl/>
          <w:lang w:bidi="ar-AE"/>
        </w:rPr>
        <w:t>:</w:t>
      </w:r>
      <w:r w:rsidRPr="005675B2">
        <w:rPr>
          <w:rFonts w:hint="cs"/>
          <w:rtl/>
          <w:lang w:bidi="ar-AE"/>
        </w:rPr>
        <w:t xml:space="preserve"> هل عملت خيرا</w:t>
      </w:r>
      <w:r w:rsidRPr="005675B2">
        <w:rPr>
          <w:rFonts w:hint="cs"/>
          <w:rtl/>
        </w:rPr>
        <w:t>ً</w:t>
      </w:r>
      <w:r w:rsidRPr="005675B2">
        <w:rPr>
          <w:rFonts w:hint="cs"/>
          <w:rtl/>
          <w:lang w:bidi="ar-AE"/>
        </w:rPr>
        <w:t xml:space="preserve"> قط</w:t>
      </w:r>
      <w:r w:rsidR="000636C2">
        <w:rPr>
          <w:rFonts w:hint="cs"/>
          <w:rtl/>
          <w:lang w:bidi="ar-AE"/>
        </w:rPr>
        <w:t>؟</w:t>
      </w:r>
      <w:r w:rsidRPr="005675B2">
        <w:rPr>
          <w:rFonts w:hint="cs"/>
          <w:rtl/>
          <w:lang w:bidi="ar-AE"/>
        </w:rPr>
        <w:t xml:space="preserve"> فيقول</w:t>
      </w:r>
      <w:r w:rsidR="000636C2">
        <w:rPr>
          <w:rFonts w:hint="cs"/>
          <w:rtl/>
          <w:lang w:bidi="ar-AE"/>
        </w:rPr>
        <w:t>:</w:t>
      </w:r>
      <w:r w:rsidRPr="005675B2">
        <w:rPr>
          <w:rFonts w:hint="cs"/>
          <w:rtl/>
          <w:lang w:bidi="ar-AE"/>
        </w:rPr>
        <w:t xml:space="preserve"> لا</w:t>
      </w:r>
      <w:r w:rsidR="000636C2">
        <w:rPr>
          <w:rFonts w:hint="cs"/>
          <w:rtl/>
          <w:lang w:bidi="ar-AE"/>
        </w:rPr>
        <w:t>،</w:t>
      </w:r>
      <w:r w:rsidRPr="005675B2">
        <w:rPr>
          <w:rFonts w:hint="cs"/>
          <w:rtl/>
          <w:lang w:bidi="ar-AE"/>
        </w:rPr>
        <w:t xml:space="preserve"> غير أني قد أمرت ولدي إذا مت فأحرقوني</w:t>
      </w:r>
      <w:r w:rsidR="000636C2">
        <w:rPr>
          <w:rFonts w:hint="cs"/>
          <w:rtl/>
          <w:lang w:bidi="ar-AE"/>
        </w:rPr>
        <w:t>]</w:t>
      </w:r>
      <w:r w:rsidRPr="005675B2">
        <w:rPr>
          <w:rFonts w:hint="cs"/>
          <w:rtl/>
          <w:lang w:bidi="ar-AE"/>
        </w:rPr>
        <w:t xml:space="preserve"> </w:t>
      </w:r>
      <w:r w:rsidRPr="005675B2">
        <w:rPr>
          <w:rFonts w:hint="cs"/>
          <w:rtl/>
        </w:rPr>
        <w:t>[</w:t>
      </w:r>
      <w:r w:rsidRPr="005675B2">
        <w:rPr>
          <w:rFonts w:hint="cs"/>
          <w:sz w:val="24"/>
          <w:szCs w:val="24"/>
          <w:rtl/>
        </w:rPr>
        <w:t>مسند الإمام أحمد: 1/ 5</w:t>
      </w:r>
      <w:r w:rsidR="000636C2">
        <w:rPr>
          <w:rFonts w:hint="cs"/>
          <w:sz w:val="24"/>
          <w:szCs w:val="24"/>
          <w:rtl/>
        </w:rPr>
        <w:t>]</w:t>
      </w:r>
      <w:r w:rsidRPr="005675B2">
        <w:rPr>
          <w:rFonts w:hint="cs"/>
          <w:rtl/>
        </w:rPr>
        <w:t>،</w:t>
      </w:r>
      <w:r w:rsidRPr="005675B2">
        <w:rPr>
          <w:rFonts w:hint="cs"/>
          <w:rtl/>
          <w:lang w:bidi="ar-AE"/>
        </w:rPr>
        <w:t xml:space="preserve"> وهو من رواية والان عن حذيفة بن اليمان عن أبي بكر</w:t>
      </w:r>
      <w:r w:rsidR="000636C2">
        <w:rPr>
          <w:rFonts w:hint="cs"/>
          <w:rtl/>
          <w:lang w:bidi="ar-AE"/>
        </w:rPr>
        <w:t>،</w:t>
      </w:r>
      <w:r w:rsidRPr="005675B2">
        <w:rPr>
          <w:rFonts w:hint="cs"/>
          <w:rtl/>
          <w:lang w:bidi="ar-AE"/>
        </w:rPr>
        <w:t xml:space="preserve"> ولكن الذي في الصحيح من طريق ربعي عن حذيفة بلفظ </w:t>
      </w:r>
      <w:r w:rsidR="000636C2">
        <w:rPr>
          <w:rFonts w:hint="cs"/>
          <w:rtl/>
          <w:lang w:bidi="ar-AE"/>
        </w:rPr>
        <w:t>[</w:t>
      </w:r>
      <w:r w:rsidRPr="005675B2">
        <w:rPr>
          <w:rFonts w:hint="cs"/>
          <w:rtl/>
          <w:lang w:bidi="ar-AE"/>
        </w:rPr>
        <w:t>كان رجل ممن كان قبلكم يسيء الظن بعمله فقال لأهله</w:t>
      </w:r>
      <w:r w:rsidR="000636C2">
        <w:rPr>
          <w:rFonts w:hint="cs"/>
          <w:rtl/>
          <w:lang w:bidi="ar-AE"/>
        </w:rPr>
        <w:t>]</w:t>
      </w:r>
      <w:r w:rsidRPr="005675B2">
        <w:rPr>
          <w:rFonts w:hint="cs"/>
          <w:rtl/>
          <w:lang w:bidi="ar-AE"/>
        </w:rPr>
        <w:t xml:space="preserve"> </w:t>
      </w:r>
      <w:r w:rsidRPr="005675B2">
        <w:rPr>
          <w:rFonts w:hint="cs"/>
          <w:rtl/>
        </w:rPr>
        <w:t>[</w:t>
      </w:r>
      <w:r w:rsidRPr="005675B2">
        <w:rPr>
          <w:rFonts w:hint="cs"/>
          <w:sz w:val="24"/>
          <w:szCs w:val="24"/>
          <w:rtl/>
        </w:rPr>
        <w:t>صحيح البخاري: رقاق</w:t>
      </w:r>
      <w:r w:rsidR="000636C2">
        <w:rPr>
          <w:rFonts w:hint="cs"/>
          <w:sz w:val="24"/>
          <w:szCs w:val="24"/>
          <w:rtl/>
        </w:rPr>
        <w:t>،</w:t>
      </w:r>
      <w:r w:rsidRPr="005675B2">
        <w:rPr>
          <w:rFonts w:hint="cs"/>
          <w:sz w:val="24"/>
          <w:szCs w:val="24"/>
          <w:rtl/>
        </w:rPr>
        <w:t xml:space="preserve"> باب الخوف من الله . سنن النسائي: 4/113</w:t>
      </w:r>
      <w:r w:rsidR="000636C2">
        <w:rPr>
          <w:rFonts w:hint="cs"/>
          <w:sz w:val="24"/>
          <w:szCs w:val="24"/>
          <w:rtl/>
        </w:rPr>
        <w:t>]</w:t>
      </w:r>
      <w:r w:rsidR="000636C2">
        <w:rPr>
          <w:rFonts w:hint="cs"/>
          <w:rtl/>
          <w:lang w:bidi="ar-AE"/>
        </w:rPr>
        <w:t>،</w:t>
      </w:r>
      <w:r w:rsidRPr="005675B2">
        <w:rPr>
          <w:rFonts w:hint="cs"/>
          <w:rtl/>
          <w:lang w:bidi="ar-AE"/>
        </w:rPr>
        <w:t xml:space="preserve"> وما في الصحيح أولى</w:t>
      </w:r>
      <w:r w:rsidR="000636C2">
        <w:rPr>
          <w:rFonts w:hint="cs"/>
          <w:rtl/>
          <w:lang w:bidi="ar-AE"/>
        </w:rPr>
        <w:t>،</w:t>
      </w:r>
      <w:r w:rsidRPr="005675B2">
        <w:rPr>
          <w:rFonts w:hint="cs"/>
          <w:rtl/>
          <w:lang w:bidi="ar-AE"/>
        </w:rPr>
        <w:t xml:space="preserve"> فالاعتماد على الروايات السابقة</w:t>
      </w:r>
      <w:r w:rsidR="000636C2">
        <w:rPr>
          <w:rFonts w:hint="cs"/>
          <w:rtl/>
          <w:lang w:bidi="ar-AE"/>
        </w:rPr>
        <w:t>،</w:t>
      </w:r>
      <w:r w:rsidRPr="005675B2">
        <w:rPr>
          <w:rFonts w:hint="cs"/>
          <w:rtl/>
          <w:lang w:bidi="ar-AE"/>
        </w:rPr>
        <w:t xml:space="preserve"> فهل يبقى بعد هذا مجال للتشكيك في صحة الرواية الدالة على أن الله تعالى يخرج من النار قوما</w:t>
      </w:r>
      <w:r w:rsidRPr="005675B2">
        <w:rPr>
          <w:rFonts w:hint="cs"/>
          <w:rtl/>
        </w:rPr>
        <w:t>ً</w:t>
      </w:r>
      <w:r w:rsidRPr="005675B2">
        <w:rPr>
          <w:rFonts w:hint="cs"/>
          <w:rtl/>
          <w:lang w:bidi="ar-AE"/>
        </w:rPr>
        <w:t xml:space="preserve"> لم يعملواً خيرا</w:t>
      </w:r>
      <w:r w:rsidRPr="005675B2">
        <w:rPr>
          <w:rFonts w:hint="cs"/>
          <w:rtl/>
        </w:rPr>
        <w:t>ً</w:t>
      </w:r>
      <w:r w:rsidRPr="005675B2">
        <w:rPr>
          <w:rFonts w:hint="cs"/>
          <w:rtl/>
          <w:lang w:bidi="ar-AE"/>
        </w:rPr>
        <w:t xml:space="preserve"> قط فتنالهم المغفرة</w:t>
      </w:r>
      <w:r w:rsidR="000636C2">
        <w:rPr>
          <w:rFonts w:hint="cs"/>
          <w:rtl/>
          <w:lang w:bidi="ar-AE"/>
        </w:rPr>
        <w:t>؟!</w:t>
      </w:r>
    </w:p>
    <w:p w14:paraId="64DDD647" w14:textId="1DACA480" w:rsidR="009C32A0" w:rsidRPr="005675B2" w:rsidRDefault="009C32A0" w:rsidP="000636C2">
      <w:pPr>
        <w:rPr>
          <w:b/>
          <w:rtl/>
        </w:rPr>
      </w:pPr>
      <w:r w:rsidRPr="005675B2">
        <w:rPr>
          <w:rFonts w:hint="cs"/>
          <w:rtl/>
        </w:rPr>
        <w:t>إشكال وجواب</w:t>
      </w:r>
      <w:r w:rsidR="000636C2">
        <w:rPr>
          <w:rFonts w:hint="cs"/>
          <w:rtl/>
        </w:rPr>
        <w:t>:</w:t>
      </w:r>
      <w:r w:rsidRPr="005675B2">
        <w:rPr>
          <w:rFonts w:hint="cs"/>
          <w:rtl/>
        </w:rPr>
        <w:t xml:space="preserve"> يوجد في إحدى الروايات عن أنس في ذكر الذين يخرجون من النار لفظة تؤيد ما قاله الباحث</w:t>
      </w:r>
      <w:r w:rsidR="000636C2">
        <w:rPr>
          <w:rFonts w:hint="cs"/>
          <w:rtl/>
        </w:rPr>
        <w:t>،</w:t>
      </w:r>
      <w:r w:rsidRPr="005675B2">
        <w:rPr>
          <w:rFonts w:hint="cs"/>
          <w:rtl/>
        </w:rPr>
        <w:t xml:space="preserve"> وهي أن النبي صلى الله عليه وسلم قال عن أهل المرتبة الرابعة </w:t>
      </w:r>
      <w:r w:rsidR="000636C2">
        <w:rPr>
          <w:rFonts w:hint="cs"/>
          <w:rtl/>
        </w:rPr>
        <w:t>[</w:t>
      </w:r>
      <w:r w:rsidRPr="005675B2">
        <w:rPr>
          <w:rFonts w:hint="cs"/>
          <w:rtl/>
        </w:rPr>
        <w:t>فيقول أهل النار ما أغنى عنكم أنكم كنتم تعبدون الله عز وجل لا تشركون به شيئاً</w:t>
      </w:r>
      <w:r w:rsidR="000636C2">
        <w:rPr>
          <w:rFonts w:hint="cs"/>
          <w:rtl/>
        </w:rPr>
        <w:t>،</w:t>
      </w:r>
      <w:r w:rsidRPr="005675B2">
        <w:rPr>
          <w:rFonts w:hint="cs"/>
          <w:rtl/>
        </w:rPr>
        <w:t xml:space="preserve"> فيقول الجبار عز وجل فبعزتي لأعتقنهم من النار</w:t>
      </w:r>
      <w:r w:rsidR="000636C2">
        <w:rPr>
          <w:rFonts w:hint="cs"/>
          <w:rtl/>
        </w:rPr>
        <w:t>]</w:t>
      </w:r>
      <w:r w:rsidRPr="005675B2">
        <w:rPr>
          <w:rFonts w:hint="cs"/>
          <w:rtl/>
        </w:rPr>
        <w:t xml:space="preserve"> [</w:t>
      </w:r>
      <w:r w:rsidRPr="005675B2">
        <w:rPr>
          <w:rFonts w:hint="cs"/>
          <w:sz w:val="24"/>
          <w:szCs w:val="24"/>
          <w:rtl/>
        </w:rPr>
        <w:t>مسند الإمام أحمد: 3/ 144 . التوحيد لابن خزيمة: ص 297 – 298</w:t>
      </w:r>
      <w:r w:rsidR="000636C2">
        <w:rPr>
          <w:rFonts w:hint="cs"/>
          <w:sz w:val="24"/>
          <w:szCs w:val="24"/>
          <w:rtl/>
        </w:rPr>
        <w:t>]</w:t>
      </w:r>
      <w:r w:rsidR="000636C2">
        <w:rPr>
          <w:rFonts w:hint="cs"/>
          <w:rtl/>
        </w:rPr>
        <w:t>،</w:t>
      </w:r>
      <w:r w:rsidRPr="005675B2">
        <w:rPr>
          <w:rFonts w:hint="cs"/>
          <w:rtl/>
        </w:rPr>
        <w:t xml:space="preserve"> ففي هذه الرواية زيادة على رواية الصحيحين</w:t>
      </w:r>
      <w:r w:rsidR="000636C2">
        <w:rPr>
          <w:rFonts w:hint="cs"/>
          <w:rtl/>
        </w:rPr>
        <w:t>،</w:t>
      </w:r>
      <w:r w:rsidRPr="005675B2">
        <w:rPr>
          <w:rFonts w:hint="cs"/>
          <w:rtl/>
        </w:rPr>
        <w:t xml:space="preserve"> إذ تثبت أنهم كانوا يعبدون الله عز وجل</w:t>
      </w:r>
      <w:r w:rsidR="000636C2">
        <w:rPr>
          <w:rFonts w:hint="cs"/>
          <w:rtl/>
        </w:rPr>
        <w:t>،</w:t>
      </w:r>
      <w:r w:rsidRPr="005675B2">
        <w:rPr>
          <w:rFonts w:hint="cs"/>
          <w:rtl/>
        </w:rPr>
        <w:t xml:space="preserve"> فما حكم هذه الزيادة</w:t>
      </w:r>
      <w:r w:rsidR="000636C2">
        <w:rPr>
          <w:rFonts w:hint="cs"/>
          <w:rtl/>
        </w:rPr>
        <w:t>؟،</w:t>
      </w:r>
    </w:p>
    <w:p w14:paraId="2D725123" w14:textId="21BC7A08"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هذه الزيادة ضعيفة لأن الذي رواها عن أنس هو عمرو بن أبي عمرو مولى المطلب بن عبد الله</w:t>
      </w:r>
      <w:r w:rsidR="000636C2">
        <w:rPr>
          <w:rFonts w:hint="cs"/>
          <w:rtl/>
        </w:rPr>
        <w:t>،</w:t>
      </w:r>
      <w:r w:rsidRPr="005675B2">
        <w:rPr>
          <w:rFonts w:hint="cs"/>
          <w:rtl/>
        </w:rPr>
        <w:t xml:space="preserve"> ولا يحتج به بإطلاق</w:t>
      </w:r>
      <w:r w:rsidR="000636C2">
        <w:rPr>
          <w:rFonts w:hint="cs"/>
          <w:rtl/>
        </w:rPr>
        <w:t>،</w:t>
      </w:r>
      <w:r w:rsidRPr="005675B2">
        <w:rPr>
          <w:rFonts w:hint="cs"/>
          <w:rtl/>
        </w:rPr>
        <w:t xml:space="preserve"> فقد وثقه أبو زرعة</w:t>
      </w:r>
      <w:r w:rsidR="000636C2">
        <w:rPr>
          <w:rFonts w:hint="cs"/>
          <w:rtl/>
        </w:rPr>
        <w:t>،</w:t>
      </w:r>
      <w:r w:rsidRPr="005675B2">
        <w:rPr>
          <w:rFonts w:hint="cs"/>
          <w:rtl/>
        </w:rPr>
        <w:t xml:space="preserve"> ووثقه العجلي وأنكر عليه حديث البهيمة</w:t>
      </w:r>
      <w:r w:rsidR="000636C2">
        <w:rPr>
          <w:rFonts w:hint="cs"/>
          <w:rtl/>
        </w:rPr>
        <w:t>،</w:t>
      </w:r>
      <w:r w:rsidRPr="005675B2">
        <w:rPr>
          <w:rFonts w:hint="cs"/>
          <w:rtl/>
        </w:rPr>
        <w:t xml:space="preserve"> وقال أحمد وأبو حاتم</w:t>
      </w:r>
      <w:r w:rsidR="000636C2">
        <w:rPr>
          <w:rFonts w:hint="cs"/>
          <w:rtl/>
        </w:rPr>
        <w:t>:</w:t>
      </w:r>
      <w:r w:rsidRPr="005675B2">
        <w:rPr>
          <w:rFonts w:hint="cs"/>
          <w:rtl/>
        </w:rPr>
        <w:t xml:space="preserve"> ليس به بأس</w:t>
      </w:r>
      <w:r w:rsidR="000636C2">
        <w:rPr>
          <w:rFonts w:hint="cs"/>
          <w:rtl/>
        </w:rPr>
        <w:t>،</w:t>
      </w:r>
      <w:r w:rsidRPr="005675B2">
        <w:rPr>
          <w:rFonts w:hint="cs"/>
          <w:rtl/>
        </w:rPr>
        <w:t xml:space="preserve"> وذكره ابن حبان في الثقات وقال</w:t>
      </w:r>
      <w:r w:rsidR="000636C2">
        <w:rPr>
          <w:rFonts w:hint="cs"/>
          <w:rtl/>
        </w:rPr>
        <w:t>:</w:t>
      </w:r>
      <w:r w:rsidRPr="005675B2">
        <w:rPr>
          <w:rFonts w:hint="cs"/>
          <w:rtl/>
        </w:rPr>
        <w:t xml:space="preserve"> ربما</w:t>
      </w:r>
      <w:r w:rsidR="000636C2">
        <w:rPr>
          <w:rFonts w:hint="cs"/>
          <w:rtl/>
        </w:rPr>
        <w:t xml:space="preserve"> </w:t>
      </w:r>
      <w:r w:rsidRPr="005675B2">
        <w:rPr>
          <w:rFonts w:hint="cs"/>
          <w:rtl/>
        </w:rPr>
        <w:t>أخطأ</w:t>
      </w:r>
      <w:r w:rsidR="000636C2">
        <w:rPr>
          <w:rFonts w:hint="cs"/>
          <w:rtl/>
        </w:rPr>
        <w:t>،</w:t>
      </w:r>
      <w:r w:rsidRPr="005675B2">
        <w:rPr>
          <w:rFonts w:hint="cs"/>
          <w:rtl/>
        </w:rPr>
        <w:t xml:space="preserve"> وقال الساجي</w:t>
      </w:r>
      <w:r w:rsidR="000636C2">
        <w:rPr>
          <w:rFonts w:hint="cs"/>
          <w:rtl/>
        </w:rPr>
        <w:t>:</w:t>
      </w:r>
      <w:r w:rsidRPr="005675B2">
        <w:rPr>
          <w:rFonts w:hint="cs"/>
          <w:rtl/>
        </w:rPr>
        <w:t xml:space="preserve"> صدوق إلا أنه يهم</w:t>
      </w:r>
      <w:r w:rsidR="000636C2">
        <w:rPr>
          <w:rFonts w:hint="cs"/>
          <w:rtl/>
        </w:rPr>
        <w:t>،</w:t>
      </w:r>
      <w:r w:rsidRPr="005675B2">
        <w:rPr>
          <w:rFonts w:hint="cs"/>
          <w:rtl/>
        </w:rPr>
        <w:t xml:space="preserve"> وليَّنه أبو داود والطحاوي</w:t>
      </w:r>
      <w:r w:rsidR="000636C2">
        <w:rPr>
          <w:rFonts w:hint="cs"/>
          <w:rtl/>
        </w:rPr>
        <w:t>،</w:t>
      </w:r>
      <w:r w:rsidRPr="005675B2">
        <w:rPr>
          <w:rFonts w:hint="cs"/>
          <w:rtl/>
        </w:rPr>
        <w:t xml:space="preserve"> وضعفه ابن معين والنسائي والدارقطني</w:t>
      </w:r>
      <w:r w:rsidR="000636C2">
        <w:rPr>
          <w:rFonts w:hint="cs"/>
          <w:rtl/>
        </w:rPr>
        <w:t>،</w:t>
      </w:r>
      <w:r w:rsidRPr="005675B2">
        <w:rPr>
          <w:rFonts w:hint="cs"/>
          <w:rtl/>
        </w:rPr>
        <w:t xml:space="preserve"> وأشار عثمان الدارمي إلى تضعيفه من أجل حديث رواه في الأطعمة </w:t>
      </w:r>
      <w:r w:rsidR="000636C2">
        <w:rPr>
          <w:rFonts w:hint="cs"/>
          <w:rtl/>
        </w:rPr>
        <w:t>[</w:t>
      </w:r>
      <w:r w:rsidRPr="005675B2">
        <w:rPr>
          <w:rFonts w:hint="cs"/>
          <w:sz w:val="24"/>
          <w:szCs w:val="24"/>
          <w:rtl/>
        </w:rPr>
        <w:t>تهذيب التهذيب لابن حجر: 8/82 – 84 . سؤالات الحاكم للدارقطني: رقم 523</w:t>
      </w:r>
      <w:r w:rsidR="000636C2">
        <w:rPr>
          <w:rFonts w:hint="cs"/>
          <w:sz w:val="24"/>
          <w:szCs w:val="24"/>
          <w:rtl/>
        </w:rPr>
        <w:t>]</w:t>
      </w:r>
      <w:r w:rsidR="000636C2">
        <w:rPr>
          <w:rFonts w:hint="cs"/>
          <w:rtl/>
        </w:rPr>
        <w:t>،</w:t>
      </w:r>
      <w:r w:rsidRPr="005675B2">
        <w:rPr>
          <w:rFonts w:hint="cs"/>
          <w:rtl/>
        </w:rPr>
        <w:t xml:space="preserve"> فهذا الراوي قد يخطئ ويوهم</w:t>
      </w:r>
      <w:r w:rsidR="000636C2">
        <w:rPr>
          <w:rFonts w:hint="cs"/>
          <w:rtl/>
        </w:rPr>
        <w:t>،</w:t>
      </w:r>
      <w:r w:rsidRPr="005675B2">
        <w:rPr>
          <w:rFonts w:hint="cs"/>
          <w:rtl/>
        </w:rPr>
        <w:t xml:space="preserve"> فلا ترقى اللفظة التي تفرد بها مثل هذا الراوي لمرتبة الاحتجاج</w:t>
      </w:r>
      <w:r w:rsidR="000636C2">
        <w:rPr>
          <w:rFonts w:hint="cs"/>
          <w:rtl/>
        </w:rPr>
        <w:t>،</w:t>
      </w:r>
      <w:r w:rsidRPr="005675B2">
        <w:rPr>
          <w:rFonts w:hint="cs"/>
          <w:rtl/>
        </w:rPr>
        <w:t xml:space="preserve"> لأنها قد تكون من أوهامه</w:t>
      </w:r>
      <w:r w:rsidR="000636C2">
        <w:rPr>
          <w:rFonts w:hint="cs"/>
          <w:rtl/>
        </w:rPr>
        <w:t>،</w:t>
      </w:r>
      <w:r w:rsidRPr="005675B2">
        <w:rPr>
          <w:rFonts w:hint="cs"/>
          <w:rtl/>
        </w:rPr>
        <w:t xml:space="preserve"> وأما الحكم عليها بالنكارة فمن أجل مخالفتها لما ثبت في الصحيحين من حديث أبي سعيد الخدري عن النبي صلى الله عليه وسلم</w:t>
      </w:r>
      <w:r w:rsidR="000636C2">
        <w:rPr>
          <w:rFonts w:hint="cs"/>
          <w:rtl/>
        </w:rPr>
        <w:t>،</w:t>
      </w:r>
      <w:r w:rsidRPr="005675B2">
        <w:rPr>
          <w:rFonts w:hint="cs"/>
          <w:rtl/>
        </w:rPr>
        <w:t xml:space="preserve"> إذ في رواية عمرو هذا أنهم كانوا يعبدون الله</w:t>
      </w:r>
      <w:r w:rsidR="000636C2">
        <w:rPr>
          <w:rFonts w:hint="cs"/>
          <w:rtl/>
        </w:rPr>
        <w:t>،</w:t>
      </w:r>
      <w:r w:rsidRPr="005675B2">
        <w:rPr>
          <w:rFonts w:hint="cs"/>
          <w:rtl/>
        </w:rPr>
        <w:t xml:space="preserve"> وفي الصحيحين أنهم أدخلوا الجنة بغير عمل عملوه</w:t>
      </w:r>
      <w:r w:rsidR="000636C2">
        <w:rPr>
          <w:rFonts w:hint="cs"/>
          <w:rtl/>
        </w:rPr>
        <w:t>،</w:t>
      </w:r>
      <w:r w:rsidRPr="005675B2">
        <w:rPr>
          <w:rFonts w:hint="cs"/>
          <w:rtl/>
        </w:rPr>
        <w:t xml:space="preserve"> وفي صحيح مسلم أنهم لم يعملوا خيراً قط</w:t>
      </w:r>
      <w:r w:rsidR="000636C2">
        <w:rPr>
          <w:rFonts w:hint="cs"/>
          <w:rtl/>
        </w:rPr>
        <w:t>،</w:t>
      </w:r>
      <w:r w:rsidRPr="005675B2">
        <w:rPr>
          <w:rFonts w:hint="cs"/>
          <w:rtl/>
        </w:rPr>
        <w:t xml:space="preserve"> فلعل الصواب في تلك اللفظة </w:t>
      </w:r>
      <w:r w:rsidR="000636C2">
        <w:rPr>
          <w:rFonts w:hint="cs"/>
          <w:rtl/>
        </w:rPr>
        <w:t>[</w:t>
      </w:r>
      <w:r w:rsidRPr="005675B2">
        <w:rPr>
          <w:rFonts w:hint="cs"/>
          <w:rtl/>
        </w:rPr>
        <w:t>أنكم كنتم توحدون الله</w:t>
      </w:r>
      <w:r w:rsidR="000636C2">
        <w:rPr>
          <w:rFonts w:hint="cs"/>
          <w:rtl/>
        </w:rPr>
        <w:t>]،</w:t>
      </w:r>
      <w:r w:rsidRPr="005675B2">
        <w:rPr>
          <w:rFonts w:hint="cs"/>
          <w:rtl/>
        </w:rPr>
        <w:t xml:space="preserve"> فرواها عمرو بن ابي عمرو على سـبيل الوهم فقال </w:t>
      </w:r>
      <w:r w:rsidR="000636C2">
        <w:rPr>
          <w:rFonts w:hint="cs"/>
          <w:rtl/>
        </w:rPr>
        <w:t>[</w:t>
      </w:r>
      <w:r w:rsidRPr="005675B2">
        <w:rPr>
          <w:rFonts w:hint="cs"/>
          <w:rtl/>
        </w:rPr>
        <w:t>أنكم كنتم تعبدون الله</w:t>
      </w:r>
      <w:r w:rsidR="000636C2">
        <w:rPr>
          <w:rFonts w:hint="cs"/>
          <w:rtl/>
        </w:rPr>
        <w:t>]،</w:t>
      </w:r>
      <w:r w:rsidRPr="005675B2">
        <w:rPr>
          <w:rFonts w:hint="cs"/>
          <w:rtl/>
        </w:rPr>
        <w:t xml:space="preserve"> فتنبه</w:t>
      </w:r>
      <w:r w:rsidR="000636C2">
        <w:rPr>
          <w:rFonts w:hint="cs"/>
          <w:rtl/>
        </w:rPr>
        <w:t>،</w:t>
      </w:r>
    </w:p>
    <w:p w14:paraId="159F8269" w14:textId="61A5ECE8" w:rsidR="009C32A0" w:rsidRPr="005675B2" w:rsidRDefault="000636C2" w:rsidP="000636C2">
      <w:pPr>
        <w:rPr>
          <w:b/>
          <w:rtl/>
        </w:rPr>
      </w:pPr>
      <w:r>
        <w:rPr>
          <w:rFonts w:hint="cs"/>
          <w:rtl/>
        </w:rPr>
        <w:t>[</w:t>
      </w:r>
      <w:r w:rsidR="009C32A0" w:rsidRPr="005675B2">
        <w:rPr>
          <w:rFonts w:hint="cs"/>
          <w:rtl/>
        </w:rPr>
        <w:t>المسألة الثالثة</w:t>
      </w:r>
      <w:r>
        <w:rPr>
          <w:rFonts w:hint="cs"/>
          <w:rtl/>
        </w:rPr>
        <w:t xml:space="preserve">]: </w:t>
      </w:r>
      <w:r w:rsidR="009C32A0" w:rsidRPr="005675B2">
        <w:rPr>
          <w:rFonts w:hint="cs"/>
          <w:rtl/>
        </w:rPr>
        <w:t xml:space="preserve">لجوء الباحث إلى تقليد من أوَّل قوله </w:t>
      </w:r>
      <w:r w:rsidR="009C32A0" w:rsidRPr="005675B2">
        <w:rPr>
          <w:rFonts w:hint="cs"/>
          <w:rtl/>
          <w:lang w:eastAsia="ar-AE"/>
        </w:rPr>
        <w:t>صلى الله عليه وسلم</w:t>
      </w:r>
      <w:r w:rsidR="009C32A0" w:rsidRPr="005675B2">
        <w:rPr>
          <w:rFonts w:hint="cs"/>
          <w:rtl/>
        </w:rPr>
        <w:t xml:space="preserve"> </w:t>
      </w:r>
      <w:r>
        <w:rPr>
          <w:rFonts w:hint="cs"/>
          <w:rtl/>
        </w:rPr>
        <w:t>[</w:t>
      </w:r>
      <w:r w:rsidR="009C32A0" w:rsidRPr="005675B2">
        <w:rPr>
          <w:rFonts w:hint="cs"/>
          <w:rtl/>
        </w:rPr>
        <w:t>فيخرج منها قوماً لم يعملوا خيراً قط</w:t>
      </w:r>
      <w:r>
        <w:rPr>
          <w:rFonts w:hint="cs"/>
          <w:rtl/>
        </w:rPr>
        <w:t>]:</w:t>
      </w:r>
      <w:r w:rsidR="009C32A0" w:rsidRPr="005675B2">
        <w:rPr>
          <w:rFonts w:hint="cs"/>
          <w:rtl/>
        </w:rPr>
        <w:t xml:space="preserve"> من الغريب أن يلجأ الباحث - على القول بأن تلك الرواية محفوظة</w:t>
      </w:r>
      <w:r>
        <w:rPr>
          <w:rFonts w:hint="cs"/>
          <w:rtl/>
        </w:rPr>
        <w:t xml:space="preserve"> </w:t>
      </w:r>
      <w:r w:rsidR="009C32A0" w:rsidRPr="005675B2">
        <w:rPr>
          <w:rFonts w:hint="cs"/>
          <w:rtl/>
        </w:rPr>
        <w:t>- إلى التأويل</w:t>
      </w:r>
      <w:r>
        <w:rPr>
          <w:rFonts w:hint="cs"/>
          <w:rtl/>
        </w:rPr>
        <w:t>!،</w:t>
      </w:r>
      <w:r w:rsidR="009C32A0" w:rsidRPr="005675B2">
        <w:rPr>
          <w:rFonts w:hint="cs"/>
          <w:rtl/>
        </w:rPr>
        <w:t xml:space="preserve"> لكنه يسميه بغير اسمه فيقول </w:t>
      </w:r>
      <w:r>
        <w:rPr>
          <w:rFonts w:hint="cs"/>
          <w:rtl/>
        </w:rPr>
        <w:t>[</w:t>
      </w:r>
      <w:r w:rsidR="009C32A0" w:rsidRPr="005675B2">
        <w:rPr>
          <w:rFonts w:hint="cs"/>
          <w:rtl/>
        </w:rPr>
        <w:t>لا بد من توجيه تلك الرواية وتخريجها بما يتفق والأصول والنصوص الأخرى</w:t>
      </w:r>
      <w:r>
        <w:rPr>
          <w:rFonts w:hint="cs"/>
          <w:rtl/>
        </w:rPr>
        <w:t>]!،</w:t>
      </w:r>
    </w:p>
    <w:p w14:paraId="235AAFB1" w14:textId="2A632662"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1 - لو كان علماء الأشاعرة هم الذين لجؤوا إلى تأويل الرواية لقرينة دلت على جواز تأويلها لكان هذا منسجماً مع موقفهم من التأويل</w:t>
      </w:r>
      <w:r w:rsidR="000636C2">
        <w:rPr>
          <w:rFonts w:hint="cs"/>
          <w:rtl/>
        </w:rPr>
        <w:t>،</w:t>
      </w:r>
      <w:r w:rsidRPr="005675B2">
        <w:rPr>
          <w:rFonts w:hint="cs"/>
          <w:rtl/>
        </w:rPr>
        <w:t xml:space="preserve"> وهو جوازه لوجود قرينة تدل عليه</w:t>
      </w:r>
      <w:r w:rsidR="000636C2">
        <w:rPr>
          <w:rFonts w:hint="cs"/>
          <w:rtl/>
        </w:rPr>
        <w:t>،</w:t>
      </w:r>
      <w:r w:rsidRPr="005675B2">
        <w:rPr>
          <w:rFonts w:hint="cs"/>
          <w:rtl/>
        </w:rPr>
        <w:t xml:space="preserve"> لكن ماذا نقول إذا كان الذي لجأ</w:t>
      </w:r>
      <w:r w:rsidR="000636C2">
        <w:rPr>
          <w:rFonts w:hint="cs"/>
          <w:rtl/>
        </w:rPr>
        <w:t xml:space="preserve"> </w:t>
      </w:r>
      <w:r w:rsidRPr="005675B2">
        <w:rPr>
          <w:rFonts w:hint="cs"/>
          <w:rtl/>
        </w:rPr>
        <w:t>إليه هو الباحث الذي سبق أن شنّ حملة شعواء على الأشاعرة لموقفهم من التأويل</w:t>
      </w:r>
      <w:r w:rsidR="000636C2">
        <w:rPr>
          <w:rFonts w:hint="cs"/>
          <w:rtl/>
        </w:rPr>
        <w:t>؟!</w:t>
      </w:r>
      <w:r w:rsidRPr="005675B2">
        <w:rPr>
          <w:rFonts w:hint="cs"/>
          <w:rtl/>
        </w:rPr>
        <w:t xml:space="preserve"> ولم هذا التناقض</w:t>
      </w:r>
      <w:r w:rsidR="000636C2">
        <w:rPr>
          <w:rFonts w:hint="cs"/>
          <w:rtl/>
        </w:rPr>
        <w:t>؟،</w:t>
      </w:r>
      <w:r w:rsidRPr="005675B2">
        <w:rPr>
          <w:rFonts w:hint="cs"/>
          <w:rtl/>
        </w:rPr>
        <w:t xml:space="preserve"> 2 - ما هذا التأويل الذي استجازه الباحث تحت مسمى </w:t>
      </w:r>
      <w:r w:rsidR="000636C2">
        <w:rPr>
          <w:rFonts w:hint="cs"/>
          <w:rtl/>
        </w:rPr>
        <w:t>[</w:t>
      </w:r>
      <w:r w:rsidRPr="005675B2">
        <w:rPr>
          <w:rFonts w:hint="cs"/>
          <w:rtl/>
        </w:rPr>
        <w:t>توجيه الرواية وتخريجها بما يتفق والأصول والنصوص الأخرى</w:t>
      </w:r>
      <w:r w:rsidR="000636C2">
        <w:rPr>
          <w:rFonts w:hint="cs"/>
          <w:rtl/>
        </w:rPr>
        <w:t xml:space="preserve">]؟، </w:t>
      </w:r>
      <w:r w:rsidRPr="005675B2">
        <w:rPr>
          <w:rFonts w:hint="cs"/>
          <w:rtl/>
        </w:rPr>
        <w:t>اتكأ في ذلك على كلام ابن خزيمة رحمه الله</w:t>
      </w:r>
      <w:r w:rsidR="000636C2">
        <w:rPr>
          <w:rFonts w:hint="cs"/>
          <w:rtl/>
        </w:rPr>
        <w:t>،</w:t>
      </w:r>
      <w:r w:rsidRPr="005675B2">
        <w:rPr>
          <w:rFonts w:hint="cs"/>
          <w:rtl/>
        </w:rPr>
        <w:t xml:space="preserve"> وهو أن قوله صلى الله عليه وسلم </w:t>
      </w:r>
      <w:r w:rsidR="000636C2">
        <w:rPr>
          <w:rFonts w:hint="cs"/>
          <w:rtl/>
        </w:rPr>
        <w:t>[</w:t>
      </w:r>
      <w:r w:rsidRPr="005675B2">
        <w:rPr>
          <w:rFonts w:hint="cs"/>
          <w:rtl/>
        </w:rPr>
        <w:t>فيخرج منها قوماً لم يعملوا خيراً قط</w:t>
      </w:r>
      <w:r w:rsidR="000636C2">
        <w:rPr>
          <w:rFonts w:hint="cs"/>
          <w:rtl/>
        </w:rPr>
        <w:t>]:</w:t>
      </w:r>
      <w:r w:rsidRPr="005675B2">
        <w:rPr>
          <w:rFonts w:hint="cs"/>
          <w:rtl/>
        </w:rPr>
        <w:t xml:space="preserve"> ليس المراد منه أن أولئك الذين أخرجوا من النار لم يعملوا خيراً قط</w:t>
      </w:r>
      <w:r w:rsidR="000636C2">
        <w:rPr>
          <w:rFonts w:hint="cs"/>
          <w:rtl/>
        </w:rPr>
        <w:t>،</w:t>
      </w:r>
      <w:r w:rsidRPr="005675B2">
        <w:rPr>
          <w:rFonts w:hint="cs"/>
          <w:rtl/>
        </w:rPr>
        <w:t xml:space="preserve"> وإنما المراد أنهم لم يعملوا خيراً قط على التمام والكمال</w:t>
      </w:r>
      <w:r w:rsidR="000636C2">
        <w:rPr>
          <w:rFonts w:hint="cs"/>
          <w:rtl/>
        </w:rPr>
        <w:t>!،</w:t>
      </w:r>
      <w:r w:rsidRPr="005675B2">
        <w:rPr>
          <w:rFonts w:hint="cs"/>
          <w:rtl/>
        </w:rPr>
        <w:t xml:space="preserve"> ترى</w:t>
      </w:r>
      <w:r w:rsidR="000636C2">
        <w:rPr>
          <w:rFonts w:hint="cs"/>
          <w:rtl/>
        </w:rPr>
        <w:t>؟!</w:t>
      </w:r>
      <w:r w:rsidRPr="005675B2">
        <w:rPr>
          <w:rFonts w:hint="cs"/>
          <w:rtl/>
        </w:rPr>
        <w:t xml:space="preserve"> هل يأتي شيء على صيغة النفي ويؤكد بلفظة </w:t>
      </w:r>
      <w:r w:rsidR="000636C2">
        <w:rPr>
          <w:rFonts w:hint="cs"/>
          <w:rtl/>
        </w:rPr>
        <w:t>[</w:t>
      </w:r>
      <w:r w:rsidRPr="005675B2">
        <w:rPr>
          <w:rFonts w:hint="cs"/>
          <w:rtl/>
        </w:rPr>
        <w:t>قط</w:t>
      </w:r>
      <w:r w:rsidR="000636C2">
        <w:rPr>
          <w:rFonts w:hint="cs"/>
          <w:rtl/>
        </w:rPr>
        <w:t>]</w:t>
      </w:r>
      <w:r w:rsidRPr="005675B2">
        <w:rPr>
          <w:rFonts w:hint="cs"/>
          <w:rtl/>
        </w:rPr>
        <w:t xml:space="preserve"> ثم يقال إن المراد من النفي نفي التمام والكمال</w:t>
      </w:r>
      <w:r w:rsidR="000636C2">
        <w:rPr>
          <w:rFonts w:hint="cs"/>
          <w:rtl/>
        </w:rPr>
        <w:t>؟!</w:t>
      </w:r>
      <w:r w:rsidRPr="005675B2">
        <w:rPr>
          <w:rFonts w:hint="cs"/>
          <w:rtl/>
        </w:rPr>
        <w:t xml:space="preserve"> أرى أن هذا مما تنبو عنه اللغة، والله أعلم</w:t>
      </w:r>
      <w:r w:rsidR="000636C2">
        <w:rPr>
          <w:rFonts w:hint="cs"/>
          <w:rtl/>
        </w:rPr>
        <w:t>،</w:t>
      </w:r>
      <w:r w:rsidRPr="005675B2">
        <w:rPr>
          <w:rFonts w:hint="cs"/>
          <w:rtl/>
        </w:rPr>
        <w:t xml:space="preserve"> والأصل في مثل هذا النفي نفي الحقيقة</w:t>
      </w:r>
      <w:r w:rsidR="000636C2">
        <w:rPr>
          <w:rFonts w:hint="cs"/>
          <w:rtl/>
        </w:rPr>
        <w:t>،</w:t>
      </w:r>
      <w:r w:rsidRPr="005675B2">
        <w:rPr>
          <w:rFonts w:hint="cs"/>
          <w:rtl/>
        </w:rPr>
        <w:t xml:space="preserve"> ولا يعدل عن الأصل إلا لحجة ظاهرة</w:t>
      </w:r>
      <w:r w:rsidR="000636C2">
        <w:rPr>
          <w:rFonts w:hint="cs"/>
          <w:rtl/>
        </w:rPr>
        <w:t>،</w:t>
      </w:r>
      <w:r w:rsidRPr="005675B2">
        <w:rPr>
          <w:rFonts w:hint="cs"/>
          <w:rtl/>
        </w:rPr>
        <w:t xml:space="preserve"> فمن رام هذا</w:t>
      </w:r>
      <w:r w:rsidR="000636C2">
        <w:rPr>
          <w:rFonts w:hint="cs"/>
          <w:rtl/>
        </w:rPr>
        <w:t xml:space="preserve"> </w:t>
      </w:r>
      <w:r w:rsidRPr="005675B2">
        <w:rPr>
          <w:rFonts w:hint="cs"/>
          <w:rtl/>
        </w:rPr>
        <w:t>العدول فليأت بشاهد لغوي من الشواهد العدول على مثل هذا الاستعمال</w:t>
      </w:r>
      <w:r w:rsidR="000636C2">
        <w:rPr>
          <w:rFonts w:hint="cs"/>
          <w:rtl/>
        </w:rPr>
        <w:t>،</w:t>
      </w:r>
      <w:r w:rsidRPr="005675B2">
        <w:rPr>
          <w:rFonts w:hint="cs"/>
          <w:rtl/>
        </w:rPr>
        <w:t xml:space="preserve"> وإلا فالتمسك بالأصل هو الأصل</w:t>
      </w:r>
      <w:r w:rsidR="000636C2">
        <w:rPr>
          <w:rFonts w:hint="cs"/>
          <w:rtl/>
        </w:rPr>
        <w:t xml:space="preserve">، </w:t>
      </w:r>
      <w:r w:rsidRPr="005675B2">
        <w:rPr>
          <w:rFonts w:hint="cs"/>
          <w:rtl/>
        </w:rPr>
        <w:t xml:space="preserve">3 - الباحث مطالب بأن يأتي بقرينة تؤيد قوله في نقض استدلال الأشاعرة على مذهبهم بحديث </w:t>
      </w:r>
      <w:r w:rsidR="000636C2">
        <w:rPr>
          <w:rFonts w:hint="cs"/>
          <w:rtl/>
        </w:rPr>
        <w:t>[</w:t>
      </w:r>
      <w:r w:rsidRPr="005675B2">
        <w:rPr>
          <w:rFonts w:hint="cs"/>
          <w:rtl/>
        </w:rPr>
        <w:t>فيخرج منها قوماً لم يعملوا خيراً قط</w:t>
      </w:r>
      <w:r w:rsidR="000636C2">
        <w:rPr>
          <w:rFonts w:hint="cs"/>
          <w:rtl/>
        </w:rPr>
        <w:t>]،</w:t>
      </w:r>
      <w:r w:rsidRPr="005675B2">
        <w:rPr>
          <w:rFonts w:hint="cs"/>
          <w:rtl/>
        </w:rPr>
        <w:t xml:space="preserve"> وتؤيد تأويله لهذه الجملة بعد أن تأكد ثبوتها عن النبي صلى الله عليه وسلم</w:t>
      </w:r>
      <w:r w:rsidR="000636C2">
        <w:rPr>
          <w:rFonts w:hint="cs"/>
          <w:rtl/>
        </w:rPr>
        <w:t>،</w:t>
      </w:r>
      <w:r w:rsidRPr="005675B2">
        <w:rPr>
          <w:rFonts w:hint="cs"/>
          <w:rtl/>
        </w:rPr>
        <w:t xml:space="preserve"> لأن قوله يخالف الظاهر</w:t>
      </w:r>
      <w:r w:rsidR="000636C2">
        <w:rPr>
          <w:rFonts w:hint="cs"/>
          <w:rtl/>
        </w:rPr>
        <w:t>،</w:t>
      </w:r>
      <w:r w:rsidRPr="005675B2">
        <w:rPr>
          <w:rFonts w:hint="cs"/>
          <w:rtl/>
        </w:rPr>
        <w:t xml:space="preserve"> ومن كان قوله يخالف الظاهر فهو المدعي</w:t>
      </w:r>
      <w:r w:rsidR="000636C2">
        <w:rPr>
          <w:rFonts w:hint="cs"/>
          <w:rtl/>
        </w:rPr>
        <w:t>،</w:t>
      </w:r>
      <w:r w:rsidRPr="005675B2">
        <w:rPr>
          <w:rFonts w:hint="cs"/>
          <w:rtl/>
        </w:rPr>
        <w:t xml:space="preserve"> و</w:t>
      </w:r>
      <w:r w:rsidR="000636C2">
        <w:rPr>
          <w:rFonts w:hint="cs"/>
          <w:rtl/>
        </w:rPr>
        <w:t>[</w:t>
      </w:r>
      <w:r w:rsidRPr="005675B2">
        <w:rPr>
          <w:rFonts w:hint="cs"/>
          <w:rtl/>
        </w:rPr>
        <w:t>البينة على المدعي</w:t>
      </w:r>
      <w:r w:rsidR="000636C2">
        <w:rPr>
          <w:rFonts w:hint="cs"/>
          <w:rtl/>
        </w:rPr>
        <w:t>]،</w:t>
      </w:r>
      <w:r w:rsidRPr="005675B2">
        <w:rPr>
          <w:rFonts w:hint="cs"/>
          <w:rtl/>
        </w:rPr>
        <w:t xml:space="preserve"> وربما يأتي مخالفوه - على سبيل التبرع</w:t>
      </w:r>
      <w:r w:rsidR="000636C2">
        <w:rPr>
          <w:rFonts w:hint="cs"/>
          <w:rtl/>
        </w:rPr>
        <w:t xml:space="preserve"> </w:t>
      </w:r>
      <w:r w:rsidRPr="005675B2">
        <w:rPr>
          <w:rFonts w:hint="cs"/>
          <w:rtl/>
        </w:rPr>
        <w:t>- بقرينة تؤيد قولهم</w:t>
      </w:r>
      <w:r w:rsidR="000636C2">
        <w:rPr>
          <w:rFonts w:hint="cs"/>
          <w:rtl/>
        </w:rPr>
        <w:t xml:space="preserve">، </w:t>
      </w:r>
      <w:r w:rsidRPr="005675B2">
        <w:rPr>
          <w:rFonts w:hint="cs"/>
          <w:rtl/>
        </w:rPr>
        <w:t>4 - إن استدلال الأشاعرة هو المؤيد بالقرائن الدالة على صحته</w:t>
      </w:r>
      <w:r w:rsidR="000636C2">
        <w:rPr>
          <w:rFonts w:hint="cs"/>
          <w:rtl/>
        </w:rPr>
        <w:t>:</w:t>
      </w:r>
      <w:r w:rsidRPr="005675B2">
        <w:rPr>
          <w:rFonts w:hint="cs"/>
          <w:rtl/>
        </w:rPr>
        <w:t xml:space="preserve"> فمنها الحديث الوارد في الصحيحين عن أنس بن مالك في استشفاع الناس يوم القيامة بالأنبياء</w:t>
      </w:r>
      <w:r w:rsidR="000636C2">
        <w:rPr>
          <w:rFonts w:hint="cs"/>
          <w:rtl/>
        </w:rPr>
        <w:t>،</w:t>
      </w:r>
      <w:r w:rsidRPr="005675B2">
        <w:rPr>
          <w:rFonts w:hint="cs"/>
          <w:rtl/>
        </w:rPr>
        <w:t xml:space="preserve"> وفيه أن الله تعالى يأذن لمحمد صلى الله عليه وسلم ويلهمه محامد يحمده بها</w:t>
      </w:r>
      <w:r w:rsidR="000636C2">
        <w:rPr>
          <w:rFonts w:hint="cs"/>
          <w:rtl/>
        </w:rPr>
        <w:t>،</w:t>
      </w:r>
      <w:r w:rsidRPr="005675B2">
        <w:rPr>
          <w:rFonts w:hint="cs"/>
          <w:rtl/>
        </w:rPr>
        <w:t xml:space="preserve"> قال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فيقال</w:t>
      </w:r>
      <w:r w:rsidR="000636C2">
        <w:rPr>
          <w:rFonts w:hint="cs"/>
          <w:rtl/>
        </w:rPr>
        <w:t>:</w:t>
      </w:r>
      <w:r w:rsidRPr="005675B2">
        <w:rPr>
          <w:rFonts w:hint="cs"/>
          <w:rtl/>
        </w:rPr>
        <w:t xml:space="preserve"> يا محمد ارفع رأسك</w:t>
      </w:r>
      <w:r w:rsidR="000636C2">
        <w:rPr>
          <w:rFonts w:hint="cs"/>
          <w:rtl/>
        </w:rPr>
        <w:t>،</w:t>
      </w:r>
      <w:r w:rsidRPr="005675B2">
        <w:rPr>
          <w:rFonts w:hint="cs"/>
          <w:rtl/>
        </w:rPr>
        <w:t xml:space="preserve"> وقل يسمع لك</w:t>
      </w:r>
      <w:r w:rsidR="000636C2">
        <w:rPr>
          <w:rFonts w:hint="cs"/>
          <w:rtl/>
        </w:rPr>
        <w:t>،</w:t>
      </w:r>
      <w:r w:rsidRPr="005675B2">
        <w:rPr>
          <w:rFonts w:hint="cs"/>
          <w:rtl/>
        </w:rPr>
        <w:t xml:space="preserve"> وسل تعط</w:t>
      </w:r>
      <w:r w:rsidR="000636C2">
        <w:rPr>
          <w:rFonts w:hint="cs"/>
          <w:rtl/>
        </w:rPr>
        <w:t>،</w:t>
      </w:r>
      <w:r w:rsidRPr="005675B2">
        <w:rPr>
          <w:rFonts w:hint="cs"/>
          <w:rtl/>
        </w:rPr>
        <w:t xml:space="preserve"> واشفع تشفع</w:t>
      </w:r>
      <w:r w:rsidR="000636C2">
        <w:rPr>
          <w:rFonts w:hint="cs"/>
          <w:rtl/>
        </w:rPr>
        <w:t>،</w:t>
      </w:r>
      <w:r w:rsidRPr="005675B2">
        <w:rPr>
          <w:rFonts w:hint="cs"/>
          <w:rtl/>
        </w:rPr>
        <w:t xml:space="preserve"> فأقول</w:t>
      </w:r>
      <w:r w:rsidR="000636C2">
        <w:rPr>
          <w:rFonts w:hint="cs"/>
          <w:rtl/>
        </w:rPr>
        <w:t>:</w:t>
      </w:r>
      <w:r w:rsidRPr="005675B2">
        <w:rPr>
          <w:rFonts w:hint="cs"/>
          <w:rtl/>
        </w:rPr>
        <w:t xml:space="preserve"> يا رب أمتي أمتي</w:t>
      </w:r>
      <w:r w:rsidR="000636C2">
        <w:rPr>
          <w:rFonts w:hint="cs"/>
          <w:rtl/>
        </w:rPr>
        <w:t>،</w:t>
      </w:r>
      <w:r w:rsidRPr="005675B2">
        <w:rPr>
          <w:rFonts w:hint="cs"/>
          <w:rtl/>
        </w:rPr>
        <w:t xml:space="preserve"> فيقال</w:t>
      </w:r>
      <w:r w:rsidR="000636C2">
        <w:rPr>
          <w:rFonts w:hint="cs"/>
          <w:rtl/>
        </w:rPr>
        <w:t>:</w:t>
      </w:r>
      <w:r w:rsidRPr="005675B2">
        <w:rPr>
          <w:rFonts w:hint="cs"/>
          <w:rtl/>
        </w:rPr>
        <w:t xml:space="preserve"> انطلق فأخرج منها من كان في قلبه مثقال شعيرة من إيمان ..</w:t>
      </w:r>
      <w:r w:rsidR="000636C2">
        <w:rPr>
          <w:rFonts w:hint="cs"/>
          <w:rtl/>
        </w:rPr>
        <w:t>،</w:t>
      </w:r>
      <w:r w:rsidRPr="005675B2">
        <w:rPr>
          <w:rFonts w:hint="cs"/>
          <w:rtl/>
        </w:rPr>
        <w:t xml:space="preserve"> انطلق فأخرج منها من كان في قلبه مثقال ذرة أو خردلة من إيمان ..</w:t>
      </w:r>
      <w:r w:rsidR="000636C2">
        <w:rPr>
          <w:rFonts w:hint="cs"/>
          <w:rtl/>
        </w:rPr>
        <w:t>،</w:t>
      </w:r>
      <w:r w:rsidRPr="005675B2">
        <w:rPr>
          <w:rFonts w:hint="cs"/>
          <w:rtl/>
        </w:rPr>
        <w:t xml:space="preserve"> انطلق فأخرج منها من كان في قلبه أدنى أدنى أدنى مثقال حبة خردل من إيمان</w:t>
      </w:r>
      <w:r w:rsidR="000636C2">
        <w:rPr>
          <w:rFonts w:hint="cs"/>
          <w:rtl/>
        </w:rPr>
        <w:t>،</w:t>
      </w:r>
      <w:r w:rsidRPr="005675B2">
        <w:rPr>
          <w:rFonts w:hint="cs"/>
          <w:rtl/>
        </w:rPr>
        <w:t xml:space="preserve"> .. ثم أعود الرابعة فأحمده بتلك المحامد ..</w:t>
      </w:r>
      <w:r w:rsidR="000636C2">
        <w:rPr>
          <w:rFonts w:hint="cs"/>
          <w:rtl/>
        </w:rPr>
        <w:t>،</w:t>
      </w:r>
      <w:r w:rsidRPr="005675B2">
        <w:rPr>
          <w:rFonts w:hint="cs"/>
          <w:rtl/>
        </w:rPr>
        <w:t xml:space="preserve"> فأقول</w:t>
      </w:r>
      <w:r w:rsidR="000636C2">
        <w:rPr>
          <w:rFonts w:hint="cs"/>
          <w:rtl/>
        </w:rPr>
        <w:t>:</w:t>
      </w:r>
      <w:r w:rsidRPr="005675B2">
        <w:rPr>
          <w:rFonts w:hint="cs"/>
          <w:rtl/>
        </w:rPr>
        <w:t xml:space="preserve"> يا رب ائذن لي فيمن قال لا إله إلا الله</w:t>
      </w:r>
      <w:r w:rsidR="000636C2">
        <w:rPr>
          <w:rFonts w:hint="cs"/>
          <w:rtl/>
        </w:rPr>
        <w:t>،</w:t>
      </w:r>
      <w:r w:rsidRPr="005675B2">
        <w:rPr>
          <w:rFonts w:hint="cs"/>
          <w:rtl/>
        </w:rPr>
        <w:t xml:space="preserve"> فيقول</w:t>
      </w:r>
      <w:r w:rsidR="000636C2">
        <w:rPr>
          <w:rFonts w:hint="cs"/>
          <w:rtl/>
        </w:rPr>
        <w:t>:</w:t>
      </w:r>
      <w:r w:rsidRPr="005675B2">
        <w:rPr>
          <w:rFonts w:hint="cs"/>
          <w:rtl/>
        </w:rPr>
        <w:t xml:space="preserve"> وعزتي وجلالي وكبريائي وعظمتي</w:t>
      </w:r>
      <w:r w:rsidR="000636C2">
        <w:rPr>
          <w:rFonts w:hint="cs"/>
          <w:rtl/>
        </w:rPr>
        <w:t>،</w:t>
      </w:r>
      <w:r w:rsidRPr="005675B2">
        <w:rPr>
          <w:rFonts w:hint="cs"/>
          <w:rtl/>
        </w:rPr>
        <w:t xml:space="preserve"> لأخرجن منها من قال لا إله إلا الله</w:t>
      </w:r>
      <w:r w:rsidR="000636C2">
        <w:rPr>
          <w:rFonts w:hint="cs"/>
          <w:rtl/>
        </w:rPr>
        <w:t>]</w:t>
      </w:r>
      <w:r w:rsidRPr="005675B2">
        <w:rPr>
          <w:rFonts w:hint="cs"/>
          <w:rtl/>
        </w:rPr>
        <w:t xml:space="preserve"> [</w:t>
      </w:r>
      <w:r w:rsidRPr="005675B2">
        <w:rPr>
          <w:rFonts w:hint="cs"/>
          <w:sz w:val="24"/>
          <w:szCs w:val="24"/>
          <w:rtl/>
        </w:rPr>
        <w:t>صحيح البخاري: توحيد</w:t>
      </w:r>
      <w:r w:rsidR="000636C2">
        <w:rPr>
          <w:rFonts w:hint="cs"/>
          <w:sz w:val="24"/>
          <w:szCs w:val="24"/>
          <w:rtl/>
        </w:rPr>
        <w:t>،</w:t>
      </w:r>
      <w:r w:rsidRPr="005675B2">
        <w:rPr>
          <w:rFonts w:hint="cs"/>
          <w:sz w:val="24"/>
          <w:szCs w:val="24"/>
          <w:rtl/>
        </w:rPr>
        <w:t xml:space="preserve"> باب كلام الرب مع الأنبياء . صحيح مسلم: 1/ 182 – 184 . التوحيد لابن خزيمة: ص 299 – 300 . الإيمان لابن منده: 2/ 841 – 843</w:t>
      </w:r>
      <w:r w:rsidR="000636C2">
        <w:rPr>
          <w:rFonts w:hint="cs"/>
          <w:sz w:val="24"/>
          <w:szCs w:val="24"/>
          <w:rtl/>
        </w:rPr>
        <w:t>]</w:t>
      </w:r>
      <w:r w:rsidR="000636C2">
        <w:rPr>
          <w:rFonts w:hint="cs"/>
          <w:rtl/>
        </w:rPr>
        <w:t>،</w:t>
      </w:r>
      <w:r w:rsidRPr="005675B2">
        <w:rPr>
          <w:rFonts w:hint="cs"/>
          <w:rtl/>
        </w:rPr>
        <w:t xml:space="preserve"> وغني عن البيان أن المراد من قول لا إله إلا الله أن تكون مع قرينتها وهي </w:t>
      </w:r>
      <w:r w:rsidR="000636C2">
        <w:rPr>
          <w:rFonts w:hint="cs"/>
          <w:rtl/>
        </w:rPr>
        <w:t>[</w:t>
      </w:r>
      <w:r w:rsidRPr="005675B2">
        <w:rPr>
          <w:rFonts w:hint="cs"/>
          <w:rtl/>
        </w:rPr>
        <w:t>محمد رسول الله</w:t>
      </w:r>
      <w:r w:rsidR="000636C2">
        <w:rPr>
          <w:rFonts w:hint="cs"/>
          <w:rtl/>
        </w:rPr>
        <w:t>]،</w:t>
      </w:r>
      <w:r w:rsidRPr="005675B2">
        <w:rPr>
          <w:rFonts w:hint="cs"/>
          <w:rtl/>
        </w:rPr>
        <w:t xml:space="preserve"> صلى الله عليه وسلم</w:t>
      </w:r>
      <w:r w:rsidR="000636C2">
        <w:rPr>
          <w:rFonts w:hint="cs"/>
          <w:rtl/>
        </w:rPr>
        <w:t xml:space="preserve">، </w:t>
      </w:r>
      <w:r w:rsidRPr="005675B2">
        <w:rPr>
          <w:rFonts w:hint="cs"/>
          <w:rtl/>
        </w:rPr>
        <w:t>ووجه الاستدلال هو أنه بمقدار ما يكون في القلب من إيمان يظهر على الجوارح من العمل الصالح وآثار العمل الصالح</w:t>
      </w:r>
      <w:r w:rsidR="000636C2">
        <w:rPr>
          <w:rFonts w:hint="cs"/>
          <w:rtl/>
        </w:rPr>
        <w:t>،</w:t>
      </w:r>
      <w:r w:rsidRPr="005675B2">
        <w:rPr>
          <w:rFonts w:hint="cs"/>
          <w:rtl/>
        </w:rPr>
        <w:t xml:space="preserve"> والنبي صلى الله عليه وسلم عندما يخرج من النار من في قلبه مثقال شعيرة من إيمان أو أقل ؛ فإنه لا بد أن يعرفهم بآثار العمل الصالح المنبثق عن ذلك القدر من الإيمان</w:t>
      </w:r>
      <w:r w:rsidR="000636C2">
        <w:rPr>
          <w:rFonts w:hint="cs"/>
          <w:rtl/>
        </w:rPr>
        <w:t>،</w:t>
      </w:r>
      <w:r w:rsidRPr="005675B2">
        <w:rPr>
          <w:rFonts w:hint="cs"/>
          <w:rtl/>
        </w:rPr>
        <w:t xml:space="preserve"> لأنه لا يعلم ما في القلوب إلا علام الغيوب</w:t>
      </w:r>
      <w:r w:rsidR="000636C2">
        <w:rPr>
          <w:rFonts w:hint="cs"/>
          <w:rtl/>
        </w:rPr>
        <w:t>،</w:t>
      </w:r>
      <w:r w:rsidRPr="005675B2">
        <w:rPr>
          <w:rFonts w:hint="cs"/>
          <w:rtl/>
        </w:rPr>
        <w:t xml:space="preserve"> لكن ما الذي يمكن أن يكون من الإيمان عند أهل المرتبة الرابعة زيادة على قول لا إله إلا الله</w:t>
      </w:r>
      <w:r w:rsidR="000636C2">
        <w:rPr>
          <w:rFonts w:hint="cs"/>
          <w:rtl/>
        </w:rPr>
        <w:t>؟</w:t>
      </w:r>
      <w:r w:rsidRPr="005675B2">
        <w:rPr>
          <w:rFonts w:hint="cs"/>
          <w:rtl/>
        </w:rPr>
        <w:t xml:space="preserve"> لا شيء</w:t>
      </w:r>
      <w:r w:rsidR="000636C2">
        <w:rPr>
          <w:rFonts w:hint="cs"/>
          <w:rtl/>
        </w:rPr>
        <w:t>،</w:t>
      </w:r>
      <w:r w:rsidRPr="005675B2">
        <w:rPr>
          <w:rFonts w:hint="cs"/>
          <w:rtl/>
        </w:rPr>
        <w:t xml:space="preserve"> لأنه لو كان عندهم شيء لذكره</w:t>
      </w:r>
      <w:r w:rsidR="000636C2">
        <w:rPr>
          <w:rFonts w:hint="cs"/>
          <w:rtl/>
        </w:rPr>
        <w:t>،</w:t>
      </w:r>
      <w:r w:rsidRPr="005675B2">
        <w:rPr>
          <w:rFonts w:hint="cs"/>
          <w:rtl/>
        </w:rPr>
        <w:t xml:space="preserve"> فأولئك ليس عندهم سوى كلمة التوحيد </w:t>
      </w:r>
      <w:r w:rsidR="000636C2">
        <w:rPr>
          <w:rFonts w:hint="cs"/>
          <w:rtl/>
        </w:rPr>
        <w:t>[</w:t>
      </w:r>
      <w:r w:rsidRPr="005675B2">
        <w:rPr>
          <w:rFonts w:hint="cs"/>
          <w:rtl/>
        </w:rPr>
        <w:t>لا إله إلا الله محمد رسول الله</w:t>
      </w:r>
      <w:r w:rsidR="000636C2">
        <w:rPr>
          <w:rFonts w:hint="cs"/>
          <w:rtl/>
        </w:rPr>
        <w:t>]،</w:t>
      </w:r>
      <w:r w:rsidRPr="005675B2">
        <w:rPr>
          <w:rFonts w:hint="cs"/>
          <w:rtl/>
        </w:rPr>
        <w:t xml:space="preserve"> وليس فوقها من الإيمان شيء بحيث يثمر من العمل ولو أي شيء</w:t>
      </w:r>
      <w:r w:rsidR="000636C2">
        <w:rPr>
          <w:rFonts w:hint="cs"/>
          <w:rtl/>
        </w:rPr>
        <w:t>،</w:t>
      </w:r>
      <w:r w:rsidRPr="005675B2">
        <w:rPr>
          <w:rFonts w:hint="cs"/>
          <w:rtl/>
        </w:rPr>
        <w:t xml:space="preserve"> ولذا فهؤلاء لا يخرجون من النار إلا بشفاعة أرحم الراحمين</w:t>
      </w:r>
      <w:r w:rsidR="000636C2">
        <w:rPr>
          <w:rFonts w:hint="cs"/>
          <w:rtl/>
        </w:rPr>
        <w:t xml:space="preserve">، </w:t>
      </w:r>
      <w:r w:rsidRPr="005675B2">
        <w:rPr>
          <w:rFonts w:hint="cs"/>
          <w:rtl/>
        </w:rPr>
        <w:t>وهكذا يكون هذا الحديث شاهداً لحديث أبي سعيد الخدري الذي رواه مسلم وغيره</w:t>
      </w:r>
      <w:r w:rsidR="000636C2">
        <w:rPr>
          <w:rFonts w:hint="cs"/>
          <w:rtl/>
        </w:rPr>
        <w:t>،</w:t>
      </w:r>
      <w:r w:rsidRPr="005675B2">
        <w:rPr>
          <w:rFonts w:hint="cs"/>
          <w:rtl/>
        </w:rPr>
        <w:t xml:space="preserve"> والذي فيه أن الله تعالى يخرج من النار قوماً لم يعملوا خيراً قط</w:t>
      </w:r>
      <w:r w:rsidR="000636C2">
        <w:rPr>
          <w:rFonts w:hint="cs"/>
          <w:rtl/>
        </w:rPr>
        <w:t xml:space="preserve">، </w:t>
      </w:r>
      <w:r w:rsidRPr="005675B2">
        <w:rPr>
          <w:rFonts w:hint="cs"/>
          <w:rtl/>
        </w:rPr>
        <w:t>ومنها ما روي في مسند أحمد وغيره بسند صحيح عن عبدالله بن عمرو بن العاص رضي الله عنهما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إن الله عز وجل يستخلص رجلاً من أمتي على رؤوس الخلائق يوم القيامة</w:t>
      </w:r>
      <w:r w:rsidR="000636C2">
        <w:rPr>
          <w:rFonts w:hint="cs"/>
          <w:rtl/>
        </w:rPr>
        <w:t>،</w:t>
      </w:r>
      <w:r w:rsidRPr="005675B2">
        <w:rPr>
          <w:rFonts w:hint="cs"/>
          <w:rtl/>
        </w:rPr>
        <w:t xml:space="preserve"> فينشر عليه تسعة وتسعين سجلاً</w:t>
      </w:r>
      <w:r w:rsidR="000636C2">
        <w:rPr>
          <w:rFonts w:hint="cs"/>
          <w:rtl/>
        </w:rPr>
        <w:t>،</w:t>
      </w:r>
      <w:r w:rsidRPr="005675B2">
        <w:rPr>
          <w:rFonts w:hint="cs"/>
          <w:rtl/>
        </w:rPr>
        <w:t xml:space="preserve"> كل سجل مد البصر</w:t>
      </w:r>
      <w:r w:rsidR="000636C2">
        <w:rPr>
          <w:rFonts w:hint="cs"/>
          <w:rtl/>
        </w:rPr>
        <w:t>،</w:t>
      </w:r>
      <w:r w:rsidRPr="005675B2">
        <w:rPr>
          <w:rFonts w:hint="cs"/>
          <w:rtl/>
        </w:rPr>
        <w:t xml:space="preserve"> ثم يقول له</w:t>
      </w:r>
      <w:r w:rsidR="000636C2">
        <w:rPr>
          <w:rFonts w:hint="cs"/>
          <w:rtl/>
        </w:rPr>
        <w:t>:</w:t>
      </w:r>
      <w:r w:rsidRPr="005675B2">
        <w:rPr>
          <w:rFonts w:hint="cs"/>
          <w:rtl/>
        </w:rPr>
        <w:t xml:space="preserve"> أتنكر من هذا شيئاً</w:t>
      </w:r>
      <w:r w:rsidR="000636C2">
        <w:rPr>
          <w:rFonts w:hint="cs"/>
          <w:rtl/>
        </w:rPr>
        <w:t>؟!</w:t>
      </w:r>
      <w:r w:rsidRPr="005675B2">
        <w:rPr>
          <w:rFonts w:hint="cs"/>
          <w:rtl/>
        </w:rPr>
        <w:t xml:space="preserve"> أظَلَمَتْك كَتَبَتي الحافظون</w:t>
      </w:r>
      <w:r w:rsidR="000636C2">
        <w:rPr>
          <w:rFonts w:hint="cs"/>
          <w:rtl/>
        </w:rPr>
        <w:t>؟،</w:t>
      </w:r>
      <w:r w:rsidRPr="005675B2">
        <w:rPr>
          <w:rFonts w:hint="cs"/>
          <w:rtl/>
        </w:rPr>
        <w:t xml:space="preserve"> قال</w:t>
      </w:r>
      <w:r w:rsidR="000636C2">
        <w:rPr>
          <w:rFonts w:hint="cs"/>
          <w:rtl/>
        </w:rPr>
        <w:t>:</w:t>
      </w:r>
      <w:r w:rsidRPr="005675B2">
        <w:rPr>
          <w:rFonts w:hint="cs"/>
          <w:rtl/>
        </w:rPr>
        <w:t xml:space="preserve"> لا يا رب</w:t>
      </w:r>
      <w:r w:rsidR="000636C2">
        <w:rPr>
          <w:rFonts w:hint="cs"/>
          <w:rtl/>
        </w:rPr>
        <w:t>،</w:t>
      </w:r>
      <w:r w:rsidRPr="005675B2">
        <w:rPr>
          <w:rFonts w:hint="cs"/>
          <w:rtl/>
        </w:rPr>
        <w:t xml:space="preserve"> فيقول</w:t>
      </w:r>
      <w:r w:rsidR="000636C2">
        <w:rPr>
          <w:rFonts w:hint="cs"/>
          <w:rtl/>
        </w:rPr>
        <w:t>:</w:t>
      </w:r>
      <w:r w:rsidRPr="005675B2">
        <w:rPr>
          <w:rFonts w:hint="cs"/>
          <w:rtl/>
        </w:rPr>
        <w:t xml:space="preserve"> ألك عذر أو حسنة</w:t>
      </w:r>
      <w:r w:rsidR="000636C2">
        <w:rPr>
          <w:rFonts w:hint="cs"/>
          <w:rtl/>
        </w:rPr>
        <w:t>؟،</w:t>
      </w:r>
      <w:r w:rsidRPr="005675B2">
        <w:rPr>
          <w:rFonts w:hint="cs"/>
          <w:rtl/>
        </w:rPr>
        <w:t xml:space="preserve"> فيبهت الرجل</w:t>
      </w:r>
      <w:r w:rsidR="000636C2">
        <w:rPr>
          <w:rFonts w:hint="cs"/>
          <w:rtl/>
        </w:rPr>
        <w:t>،</w:t>
      </w:r>
      <w:r w:rsidRPr="005675B2">
        <w:rPr>
          <w:rFonts w:hint="cs"/>
          <w:rtl/>
        </w:rPr>
        <w:t xml:space="preserve"> فيقول</w:t>
      </w:r>
      <w:r w:rsidR="000636C2">
        <w:rPr>
          <w:rFonts w:hint="cs"/>
          <w:rtl/>
        </w:rPr>
        <w:t>:</w:t>
      </w:r>
      <w:r w:rsidRPr="005675B2">
        <w:rPr>
          <w:rFonts w:hint="cs"/>
          <w:rtl/>
        </w:rPr>
        <w:t xml:space="preserve"> لا يا رب</w:t>
      </w:r>
      <w:r w:rsidR="000636C2">
        <w:rPr>
          <w:rFonts w:hint="cs"/>
          <w:rtl/>
        </w:rPr>
        <w:t>،</w:t>
      </w:r>
      <w:r w:rsidRPr="005675B2">
        <w:rPr>
          <w:rFonts w:hint="cs"/>
          <w:rtl/>
        </w:rPr>
        <w:t xml:space="preserve"> فيقول</w:t>
      </w:r>
      <w:r w:rsidR="000636C2">
        <w:rPr>
          <w:rFonts w:hint="cs"/>
          <w:rtl/>
        </w:rPr>
        <w:t>:</w:t>
      </w:r>
      <w:r w:rsidRPr="005675B2">
        <w:rPr>
          <w:rFonts w:hint="cs"/>
          <w:rtl/>
        </w:rPr>
        <w:t xml:space="preserve"> بلى إن لك عندنا حسنة واحدة</w:t>
      </w:r>
      <w:r w:rsidR="000636C2">
        <w:rPr>
          <w:rFonts w:hint="cs"/>
          <w:rtl/>
        </w:rPr>
        <w:t>،</w:t>
      </w:r>
      <w:r w:rsidRPr="005675B2">
        <w:rPr>
          <w:rFonts w:hint="cs"/>
          <w:rtl/>
        </w:rPr>
        <w:t xml:space="preserve"> لا ظلم اليوم عليك</w:t>
      </w:r>
      <w:r w:rsidR="000636C2">
        <w:rPr>
          <w:rFonts w:hint="cs"/>
          <w:rtl/>
        </w:rPr>
        <w:t>،</w:t>
      </w:r>
      <w:r w:rsidRPr="005675B2">
        <w:rPr>
          <w:rFonts w:hint="cs"/>
          <w:rtl/>
        </w:rPr>
        <w:t xml:space="preserve"> فتخرج له بطاقة فيها أشهد أن لا إله إلا الله وأن محمداً عبده ورسوله</w:t>
      </w:r>
      <w:r w:rsidR="000636C2">
        <w:rPr>
          <w:rFonts w:hint="cs"/>
          <w:rtl/>
        </w:rPr>
        <w:t>،</w:t>
      </w:r>
      <w:r w:rsidRPr="005675B2">
        <w:rPr>
          <w:rFonts w:hint="cs"/>
          <w:rtl/>
        </w:rPr>
        <w:t xml:space="preserve"> فيقول</w:t>
      </w:r>
      <w:r w:rsidR="000636C2">
        <w:rPr>
          <w:rFonts w:hint="cs"/>
          <w:rtl/>
        </w:rPr>
        <w:t>:</w:t>
      </w:r>
      <w:r w:rsidRPr="005675B2">
        <w:rPr>
          <w:rFonts w:hint="cs"/>
          <w:rtl/>
        </w:rPr>
        <w:t xml:space="preserve"> أحضروه</w:t>
      </w:r>
      <w:r w:rsidR="000636C2">
        <w:rPr>
          <w:rFonts w:hint="cs"/>
          <w:rtl/>
        </w:rPr>
        <w:t>،</w:t>
      </w:r>
      <w:r w:rsidRPr="005675B2">
        <w:rPr>
          <w:rFonts w:hint="cs"/>
          <w:rtl/>
        </w:rPr>
        <w:t xml:space="preserve"> فيقول</w:t>
      </w:r>
      <w:r w:rsidR="000636C2">
        <w:rPr>
          <w:rFonts w:hint="cs"/>
          <w:rtl/>
        </w:rPr>
        <w:t>:</w:t>
      </w:r>
      <w:r w:rsidRPr="005675B2">
        <w:rPr>
          <w:rFonts w:hint="cs"/>
          <w:rtl/>
        </w:rPr>
        <w:t xml:space="preserve"> يا رب ما هذه البطاقة مع هذه السجلات</w:t>
      </w:r>
      <w:r w:rsidR="000636C2">
        <w:rPr>
          <w:rFonts w:hint="cs"/>
          <w:rtl/>
        </w:rPr>
        <w:t>؟،</w:t>
      </w:r>
      <w:r w:rsidRPr="005675B2">
        <w:rPr>
          <w:rFonts w:hint="cs"/>
          <w:rtl/>
        </w:rPr>
        <w:t xml:space="preserve"> فيقال</w:t>
      </w:r>
      <w:r w:rsidR="000636C2">
        <w:rPr>
          <w:rFonts w:hint="cs"/>
          <w:rtl/>
        </w:rPr>
        <w:t>:</w:t>
      </w:r>
      <w:r w:rsidRPr="005675B2">
        <w:rPr>
          <w:rFonts w:hint="cs"/>
          <w:rtl/>
        </w:rPr>
        <w:t xml:space="preserve"> إنك لا تظلم</w:t>
      </w:r>
      <w:r w:rsidR="000636C2">
        <w:rPr>
          <w:rFonts w:hint="cs"/>
          <w:rtl/>
        </w:rPr>
        <w:t>،</w:t>
      </w:r>
      <w:r w:rsidRPr="005675B2">
        <w:rPr>
          <w:rFonts w:hint="cs"/>
          <w:rtl/>
        </w:rPr>
        <w:t xml:space="preserve"> فتوضع السجلات في كفة</w:t>
      </w:r>
      <w:r w:rsidR="000636C2">
        <w:rPr>
          <w:rFonts w:hint="cs"/>
          <w:rtl/>
        </w:rPr>
        <w:t>،</w:t>
      </w:r>
      <w:r w:rsidRPr="005675B2">
        <w:rPr>
          <w:rFonts w:hint="cs"/>
          <w:rtl/>
        </w:rPr>
        <w:t xml:space="preserve"> فطاشت السجلات وثقلت البطاقة</w:t>
      </w:r>
      <w:r w:rsidR="000636C2">
        <w:rPr>
          <w:rFonts w:hint="cs"/>
          <w:rtl/>
        </w:rPr>
        <w:t>،</w:t>
      </w:r>
      <w:r w:rsidRPr="005675B2">
        <w:rPr>
          <w:rFonts w:hint="cs"/>
          <w:rtl/>
        </w:rPr>
        <w:t xml:space="preserve"> ولا يثقل شيء بسم الله الرحمن الرحيم</w:t>
      </w:r>
      <w:r w:rsidR="000636C2">
        <w:rPr>
          <w:rFonts w:hint="cs"/>
          <w:rtl/>
        </w:rPr>
        <w:t>]،</w:t>
      </w:r>
      <w:r w:rsidRPr="005675B2">
        <w:rPr>
          <w:rFonts w:hint="cs"/>
          <w:rtl/>
        </w:rPr>
        <w:t xml:space="preserve"> وفي رواية الترمذي </w:t>
      </w:r>
      <w:r w:rsidR="000636C2">
        <w:rPr>
          <w:rFonts w:hint="cs"/>
          <w:rtl/>
        </w:rPr>
        <w:t>[</w:t>
      </w:r>
      <w:r w:rsidRPr="005675B2">
        <w:rPr>
          <w:rFonts w:hint="cs"/>
          <w:rtl/>
        </w:rPr>
        <w:t>فلا يثقل مع اسم الله شيء</w:t>
      </w:r>
      <w:r w:rsidR="000636C2">
        <w:rPr>
          <w:rFonts w:hint="cs"/>
          <w:rtl/>
        </w:rPr>
        <w:t>]</w:t>
      </w:r>
      <w:r w:rsidRPr="005675B2">
        <w:rPr>
          <w:rFonts w:hint="cs"/>
          <w:rtl/>
        </w:rPr>
        <w:t xml:space="preserve"> [</w:t>
      </w:r>
      <w:r w:rsidRPr="005675B2">
        <w:rPr>
          <w:rFonts w:hint="cs"/>
          <w:sz w:val="24"/>
          <w:szCs w:val="24"/>
          <w:rtl/>
        </w:rPr>
        <w:t>مسند الإمام أحمد: 2/ 213 . سنن الترمذي: رقم 2639 . صحيح ابن حبان: رقم 225 . سنن ابن ماجه: رقم 4300 . المستدرك للحاكم: 1/ 529</w:t>
      </w:r>
      <w:r w:rsidR="000636C2">
        <w:rPr>
          <w:rFonts w:hint="cs"/>
          <w:sz w:val="24"/>
          <w:szCs w:val="24"/>
          <w:rtl/>
        </w:rPr>
        <w:t>]</w:t>
      </w:r>
      <w:r w:rsidR="000636C2">
        <w:rPr>
          <w:rFonts w:hint="cs"/>
          <w:rtl/>
        </w:rPr>
        <w:t>،</w:t>
      </w:r>
      <w:r w:rsidRPr="005675B2">
        <w:rPr>
          <w:rFonts w:hint="cs"/>
          <w:rtl/>
        </w:rPr>
        <w:t xml:space="preserve"> وهذا الرجل عندما يسأل عما إذا كان له حسنة يجيب بالنفي</w:t>
      </w:r>
      <w:r w:rsidR="000636C2">
        <w:rPr>
          <w:rFonts w:hint="cs"/>
          <w:rtl/>
        </w:rPr>
        <w:t>،</w:t>
      </w:r>
      <w:r w:rsidRPr="005675B2">
        <w:rPr>
          <w:rFonts w:hint="cs"/>
          <w:rtl/>
        </w:rPr>
        <w:t xml:space="preserve"> فدل هذا على أنه لم يعمل حسنة قط</w:t>
      </w:r>
      <w:r w:rsidR="000636C2">
        <w:rPr>
          <w:rFonts w:hint="cs"/>
          <w:rtl/>
        </w:rPr>
        <w:t>،</w:t>
      </w:r>
      <w:r w:rsidRPr="005675B2">
        <w:rPr>
          <w:rFonts w:hint="cs"/>
          <w:rtl/>
        </w:rPr>
        <w:t xml:space="preserve"> وقد يقول قائل</w:t>
      </w:r>
      <w:r w:rsidR="000636C2">
        <w:rPr>
          <w:rFonts w:hint="cs"/>
          <w:rtl/>
        </w:rPr>
        <w:t>:</w:t>
      </w:r>
      <w:r w:rsidRPr="005675B2">
        <w:rPr>
          <w:rFonts w:hint="cs"/>
          <w:rtl/>
        </w:rPr>
        <w:t xml:space="preserve"> لعله من أهل الصلاة إلا أنه لم يتمكن من الإدلاء بهذه الحجة لشدة هول الموقف</w:t>
      </w:r>
      <w:r w:rsidR="000636C2">
        <w:rPr>
          <w:rFonts w:hint="cs"/>
          <w:rtl/>
        </w:rPr>
        <w:t>،</w:t>
      </w:r>
      <w:r w:rsidRPr="005675B2">
        <w:rPr>
          <w:rFonts w:hint="cs"/>
          <w:rtl/>
        </w:rPr>
        <w:t xml:space="preserve"> فقد جاء في هذا الطريق </w:t>
      </w:r>
      <w:r w:rsidR="000636C2">
        <w:rPr>
          <w:rFonts w:hint="cs"/>
          <w:rtl/>
        </w:rPr>
        <w:t>[</w:t>
      </w:r>
      <w:r w:rsidRPr="005675B2">
        <w:rPr>
          <w:rFonts w:hint="cs"/>
          <w:rtl/>
        </w:rPr>
        <w:t>فيبهت الرجل</w:t>
      </w:r>
      <w:r w:rsidR="000636C2">
        <w:rPr>
          <w:rFonts w:hint="cs"/>
          <w:rtl/>
        </w:rPr>
        <w:t>]،</w:t>
      </w:r>
      <w:r w:rsidRPr="005675B2">
        <w:rPr>
          <w:rFonts w:hint="cs"/>
          <w:rtl/>
        </w:rPr>
        <w:t xml:space="preserve"> وجاء في طريقين آخرين </w:t>
      </w:r>
      <w:r w:rsidR="000636C2">
        <w:rPr>
          <w:rFonts w:hint="cs"/>
          <w:rtl/>
        </w:rPr>
        <w:t>[</w:t>
      </w:r>
      <w:r w:rsidRPr="005675B2">
        <w:rPr>
          <w:rFonts w:hint="cs"/>
          <w:rtl/>
        </w:rPr>
        <w:t>فيهاب الرجل</w:t>
      </w:r>
      <w:r w:rsidR="000636C2">
        <w:rPr>
          <w:rFonts w:hint="cs"/>
          <w:rtl/>
        </w:rPr>
        <w:t>]،</w:t>
      </w:r>
      <w:r w:rsidRPr="005675B2">
        <w:rPr>
          <w:rFonts w:hint="cs"/>
          <w:rtl/>
        </w:rPr>
        <w:t xml:space="preserve"> فأقول</w:t>
      </w:r>
      <w:r w:rsidR="000636C2">
        <w:rPr>
          <w:rFonts w:hint="cs"/>
          <w:rtl/>
        </w:rPr>
        <w:t>:</w:t>
      </w:r>
      <w:r w:rsidRPr="005675B2">
        <w:rPr>
          <w:rFonts w:hint="cs"/>
          <w:rtl/>
        </w:rPr>
        <w:t xml:space="preserve"> ليس كذلك</w:t>
      </w:r>
      <w:r w:rsidR="000636C2">
        <w:rPr>
          <w:rFonts w:hint="cs"/>
          <w:rtl/>
        </w:rPr>
        <w:t>،</w:t>
      </w:r>
      <w:r w:rsidRPr="005675B2">
        <w:rPr>
          <w:rFonts w:hint="cs"/>
          <w:rtl/>
        </w:rPr>
        <w:t xml:space="preserve"> لأنه لو كان من أهل الصلاة لوضعت الصلاة في الميزان مع قول لا إله إلا الله في مقابلة السجلات المملوءة بالسيئات</w:t>
      </w:r>
      <w:r w:rsidR="000636C2">
        <w:rPr>
          <w:rFonts w:hint="cs"/>
          <w:rtl/>
        </w:rPr>
        <w:t>،</w:t>
      </w:r>
      <w:r w:rsidRPr="005675B2">
        <w:rPr>
          <w:rFonts w:hint="cs"/>
          <w:rtl/>
        </w:rPr>
        <w:t xml:space="preserve"> ففي هذا الحديث دلالة على أن من جاء بكلمة التوحيد ولم يعمل معها حسنة فإن عاقبته النجاة</w:t>
      </w:r>
      <w:r w:rsidR="000636C2">
        <w:rPr>
          <w:rFonts w:hint="cs"/>
          <w:rtl/>
        </w:rPr>
        <w:t xml:space="preserve">، </w:t>
      </w:r>
      <w:r w:rsidRPr="005675B2">
        <w:rPr>
          <w:rFonts w:hint="cs"/>
          <w:rtl/>
        </w:rPr>
        <w:t>وهذا شاهد آخر لحديث أبي سعيد الخدري الذي يريد الباحث توهينه</w:t>
      </w:r>
      <w:r w:rsidR="000636C2">
        <w:rPr>
          <w:rFonts w:hint="cs"/>
          <w:rtl/>
        </w:rPr>
        <w:t>،</w:t>
      </w:r>
    </w:p>
    <w:p w14:paraId="6912DFF5" w14:textId="5AA4120A" w:rsidR="009C32A0" w:rsidRPr="005675B2" w:rsidRDefault="000636C2" w:rsidP="000636C2">
      <w:pPr>
        <w:rPr>
          <w:b/>
          <w:rtl/>
        </w:rPr>
      </w:pPr>
      <w:r>
        <w:rPr>
          <w:rFonts w:hint="cs"/>
          <w:rtl/>
        </w:rPr>
        <w:t>[</w:t>
      </w:r>
      <w:r w:rsidR="009C32A0" w:rsidRPr="005675B2">
        <w:rPr>
          <w:rFonts w:hint="cs"/>
          <w:rtl/>
        </w:rPr>
        <w:t>المسألة الرابعة</w:t>
      </w:r>
      <w:r>
        <w:rPr>
          <w:rFonts w:hint="cs"/>
          <w:rtl/>
        </w:rPr>
        <w:t>]:</w:t>
      </w:r>
      <w:r w:rsidR="009C32A0" w:rsidRPr="005675B2">
        <w:rPr>
          <w:rFonts w:hint="cs"/>
          <w:rtl/>
        </w:rPr>
        <w:t xml:space="preserve"> الأصول العقدية والنصوص النبوية التي دعت الباحث إلى الشك أو التأويل لرواية</w:t>
      </w:r>
      <w:r>
        <w:rPr>
          <w:rFonts w:hint="cs"/>
          <w:rtl/>
        </w:rPr>
        <w:t>، [</w:t>
      </w:r>
      <w:r w:rsidR="009C32A0" w:rsidRPr="005675B2">
        <w:rPr>
          <w:rFonts w:hint="cs"/>
          <w:rtl/>
        </w:rPr>
        <w:t>فيخرج منها قوماً لم يعملوا خيراً قط</w:t>
      </w:r>
      <w:r>
        <w:rPr>
          <w:rFonts w:hint="cs"/>
          <w:rtl/>
        </w:rPr>
        <w:t>]،</w:t>
      </w:r>
    </w:p>
    <w:p w14:paraId="14269EDC" w14:textId="132E1113" w:rsidR="009C32A0" w:rsidRPr="005675B2" w:rsidRDefault="009C32A0" w:rsidP="000636C2">
      <w:pPr>
        <w:rPr>
          <w:b/>
          <w:rtl/>
        </w:rPr>
      </w:pPr>
      <w:r w:rsidRPr="005675B2">
        <w:rPr>
          <w:rFonts w:hint="cs"/>
          <w:rtl/>
        </w:rPr>
        <w:t>يقول الباحث</w:t>
      </w:r>
      <w:r w:rsidR="000636C2">
        <w:rPr>
          <w:rFonts w:hint="cs"/>
          <w:rtl/>
        </w:rPr>
        <w:t>:</w:t>
      </w:r>
      <w:r w:rsidRPr="005675B2">
        <w:rPr>
          <w:rFonts w:hint="cs"/>
          <w:rtl/>
        </w:rPr>
        <w:t xml:space="preserve"> </w:t>
      </w:r>
      <w:r w:rsidR="000636C2">
        <w:rPr>
          <w:rFonts w:hint="cs"/>
          <w:rtl/>
        </w:rPr>
        <w:t>[</w:t>
      </w:r>
      <w:r w:rsidRPr="005675B2">
        <w:rPr>
          <w:rFonts w:hint="cs"/>
          <w:rtl/>
        </w:rPr>
        <w:t>فإن لم نقل إن تلك الرواية غير محفوظة ؛ نقول لا بد من توجيهها وتخريجها بما يتفق والأصول والنصوص الأخرى</w:t>
      </w:r>
      <w:r w:rsidR="000636C2">
        <w:rPr>
          <w:rFonts w:hint="cs"/>
          <w:rtl/>
        </w:rPr>
        <w:t xml:space="preserve">]، </w:t>
      </w:r>
      <w:r w:rsidRPr="005675B2">
        <w:rPr>
          <w:rFonts w:hint="cs"/>
          <w:rtl/>
        </w:rPr>
        <w:t>ويقول</w:t>
      </w:r>
      <w:r w:rsidR="000636C2">
        <w:rPr>
          <w:rFonts w:hint="cs"/>
          <w:rtl/>
        </w:rPr>
        <w:t>:</w:t>
      </w:r>
      <w:r w:rsidRPr="005675B2">
        <w:rPr>
          <w:rFonts w:hint="cs"/>
          <w:rtl/>
        </w:rPr>
        <w:t xml:space="preserve"> </w:t>
      </w:r>
      <w:r w:rsidR="000636C2">
        <w:rPr>
          <w:rFonts w:hint="cs"/>
          <w:rtl/>
        </w:rPr>
        <w:t>[</w:t>
      </w:r>
      <w:r w:rsidRPr="005675B2">
        <w:rPr>
          <w:rFonts w:hint="cs"/>
          <w:rtl/>
        </w:rPr>
        <w:t>أكثر روايات هذا الحديث ليس فيها هذه الزيادة ..</w:t>
      </w:r>
      <w:r w:rsidR="000636C2">
        <w:rPr>
          <w:rFonts w:hint="cs"/>
          <w:rtl/>
        </w:rPr>
        <w:t>،</w:t>
      </w:r>
      <w:r w:rsidRPr="005675B2">
        <w:rPr>
          <w:rFonts w:hint="cs"/>
          <w:rtl/>
        </w:rPr>
        <w:t xml:space="preserve"> فإذا ضممنا هذه الروايات إلى النصوص الصريحة في تكفير تارك الصلاة لم تنهض تلك الزيادة على معارضتها</w:t>
      </w:r>
      <w:r w:rsidR="000636C2">
        <w:rPr>
          <w:rFonts w:hint="cs"/>
          <w:rtl/>
        </w:rPr>
        <w:t xml:space="preserve">]، </w:t>
      </w:r>
      <w:r w:rsidRPr="005675B2">
        <w:rPr>
          <w:rFonts w:hint="cs"/>
          <w:rtl/>
        </w:rPr>
        <w:t>ويقول</w:t>
      </w:r>
      <w:r w:rsidR="000636C2">
        <w:rPr>
          <w:rFonts w:hint="cs"/>
          <w:rtl/>
        </w:rPr>
        <w:t>:[</w:t>
      </w:r>
      <w:r w:rsidRPr="005675B2">
        <w:rPr>
          <w:rFonts w:hint="cs"/>
          <w:rtl/>
        </w:rPr>
        <w:t>الروايات التي لم تذكر فيها هذه الزيادة أرجح</w:t>
      </w:r>
      <w:r w:rsidR="000636C2">
        <w:rPr>
          <w:rFonts w:hint="cs"/>
          <w:rtl/>
        </w:rPr>
        <w:t>،</w:t>
      </w:r>
      <w:r w:rsidRPr="005675B2">
        <w:rPr>
          <w:rFonts w:hint="cs"/>
          <w:rtl/>
        </w:rPr>
        <w:t xml:space="preserve"> من حيث كثرتها وموافقتها للأصول القطعية في أنه لن يدخل الجنة إلا مؤمن وأن الإيمان قول وعمل</w:t>
      </w:r>
      <w:r w:rsidR="000636C2">
        <w:rPr>
          <w:rFonts w:hint="cs"/>
          <w:rtl/>
        </w:rPr>
        <w:t xml:space="preserve">]، </w:t>
      </w:r>
      <w:r w:rsidRPr="005675B2">
        <w:rPr>
          <w:rFonts w:hint="cs"/>
          <w:rtl/>
        </w:rPr>
        <w:t>ويقول</w:t>
      </w:r>
      <w:r w:rsidR="000636C2">
        <w:rPr>
          <w:rFonts w:hint="cs"/>
          <w:rtl/>
        </w:rPr>
        <w:t>:</w:t>
      </w:r>
      <w:r w:rsidRPr="005675B2">
        <w:rPr>
          <w:rFonts w:hint="cs"/>
          <w:rtl/>
        </w:rPr>
        <w:t xml:space="preserve"> </w:t>
      </w:r>
      <w:r w:rsidR="000636C2">
        <w:rPr>
          <w:rFonts w:hint="cs"/>
          <w:rtl/>
        </w:rPr>
        <w:t>[</w:t>
      </w:r>
      <w:r w:rsidRPr="005675B2">
        <w:rPr>
          <w:rFonts w:hint="cs"/>
          <w:rtl/>
        </w:rPr>
        <w:t>الإجماع على تكفير الممتنع عن الصلاة ثابت عن الصحابة</w:t>
      </w:r>
      <w:r w:rsidR="000636C2">
        <w:rPr>
          <w:rFonts w:hint="cs"/>
          <w:rtl/>
        </w:rPr>
        <w:t xml:space="preserve">]، </w:t>
      </w:r>
      <w:r w:rsidRPr="005675B2">
        <w:rPr>
          <w:rFonts w:hint="cs"/>
          <w:rtl/>
        </w:rPr>
        <w:t>ويقول</w:t>
      </w:r>
      <w:r w:rsidR="000636C2">
        <w:rPr>
          <w:rFonts w:hint="cs"/>
          <w:rtl/>
        </w:rPr>
        <w:t>:[</w:t>
      </w:r>
      <w:r w:rsidRPr="005675B2">
        <w:rPr>
          <w:rFonts w:hint="cs"/>
          <w:rtl/>
        </w:rPr>
        <w:t>.. ولا نعارض بها ما ندركه ونعلمه من الأدلة البينة على قتل الممتنع عن الصلاة كفراً وإجراء أحكام المرتد عليه</w:t>
      </w:r>
      <w:r w:rsidR="000636C2">
        <w:rPr>
          <w:rFonts w:hint="cs"/>
          <w:rtl/>
        </w:rPr>
        <w:t>،</w:t>
      </w:r>
      <w:r w:rsidRPr="005675B2">
        <w:rPr>
          <w:rFonts w:hint="cs"/>
          <w:rtl/>
        </w:rPr>
        <w:t xml:space="preserve"> فإن هذا قد قام دليله وأمرنا بتنفيذه</w:t>
      </w:r>
      <w:r w:rsidR="000636C2">
        <w:rPr>
          <w:rFonts w:hint="cs"/>
          <w:rtl/>
        </w:rPr>
        <w:t>]،</w:t>
      </w:r>
    </w:p>
    <w:p w14:paraId="28A92422" w14:textId="2F3635EE"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ذكر الباحث من الأصول القطعية أصلين</w:t>
      </w:r>
      <w:r w:rsidR="000636C2">
        <w:rPr>
          <w:rFonts w:hint="cs"/>
          <w:rtl/>
        </w:rPr>
        <w:t>:</w:t>
      </w:r>
      <w:r w:rsidRPr="005675B2">
        <w:rPr>
          <w:rFonts w:hint="cs"/>
          <w:rtl/>
        </w:rPr>
        <w:t xml:space="preserve"> أحدهما أنه لن يدخل الجنة إلا مؤمن</w:t>
      </w:r>
      <w:r w:rsidR="000636C2">
        <w:rPr>
          <w:rFonts w:hint="cs"/>
          <w:rtl/>
        </w:rPr>
        <w:t>،</w:t>
      </w:r>
      <w:r w:rsidRPr="005675B2">
        <w:rPr>
          <w:rFonts w:hint="cs"/>
          <w:rtl/>
        </w:rPr>
        <w:t xml:space="preserve"> والثاني أن الإيمان قول وعمل</w:t>
      </w:r>
      <w:r w:rsidR="000636C2">
        <w:rPr>
          <w:rFonts w:hint="cs"/>
          <w:rtl/>
        </w:rPr>
        <w:t xml:space="preserve">، </w:t>
      </w:r>
      <w:r w:rsidRPr="005675B2">
        <w:rPr>
          <w:rFonts w:hint="cs"/>
          <w:rtl/>
        </w:rPr>
        <w:t>فأما الأول فهو متفق عليه</w:t>
      </w:r>
      <w:r w:rsidR="000636C2">
        <w:rPr>
          <w:rFonts w:hint="cs"/>
          <w:rtl/>
        </w:rPr>
        <w:t xml:space="preserve">، </w:t>
      </w:r>
      <w:r w:rsidRPr="005675B2">
        <w:rPr>
          <w:rFonts w:hint="cs"/>
          <w:rtl/>
        </w:rPr>
        <w:t>وأما الثاني فإن نصوص الكتاب والسنة منها ما جعل الإيمان مقصوراً على الاعتقاد دون القول والعمل</w:t>
      </w:r>
      <w:r w:rsidR="000636C2">
        <w:rPr>
          <w:rFonts w:hint="cs"/>
          <w:rtl/>
        </w:rPr>
        <w:t>،</w:t>
      </w:r>
      <w:r w:rsidRPr="005675B2">
        <w:rPr>
          <w:rFonts w:hint="cs"/>
          <w:rtl/>
        </w:rPr>
        <w:t xml:space="preserve"> كحديث جبريل الذي جعل فيه النبي صلى الله عليه وسلم الإيمان أن تؤمن بالله وملائكته وكتبه ورسله واليوم الآخر والقدر</w:t>
      </w:r>
      <w:r w:rsidR="000636C2">
        <w:rPr>
          <w:rFonts w:hint="cs"/>
          <w:rtl/>
        </w:rPr>
        <w:t>،</w:t>
      </w:r>
      <w:r w:rsidRPr="005675B2">
        <w:rPr>
          <w:rFonts w:hint="cs"/>
          <w:rtl/>
        </w:rPr>
        <w:t xml:space="preserve"> وجعل القول والعمل كالشهادتين وإقامة الصلاة وإيتاء الزكاة من الإسلام لا من الإيمان</w:t>
      </w:r>
      <w:r w:rsidR="000636C2">
        <w:rPr>
          <w:rFonts w:hint="cs"/>
          <w:rtl/>
        </w:rPr>
        <w:t>،</w:t>
      </w:r>
      <w:r w:rsidRPr="005675B2">
        <w:rPr>
          <w:rFonts w:hint="cs"/>
          <w:rtl/>
        </w:rPr>
        <w:t xml:space="preserve"> ومنها ما جعل الكل من الإيمان</w:t>
      </w:r>
      <w:r w:rsidR="000636C2">
        <w:rPr>
          <w:rFonts w:hint="cs"/>
          <w:rtl/>
        </w:rPr>
        <w:t>،</w:t>
      </w:r>
      <w:r w:rsidRPr="005675B2">
        <w:rPr>
          <w:rFonts w:hint="cs"/>
          <w:rtl/>
        </w:rPr>
        <w:t xml:space="preserve"> كحديث </w:t>
      </w:r>
      <w:r w:rsidR="000636C2">
        <w:rPr>
          <w:rFonts w:hint="cs"/>
          <w:rtl/>
        </w:rPr>
        <w:t>[</w:t>
      </w:r>
      <w:r w:rsidRPr="005675B2">
        <w:rPr>
          <w:rFonts w:hint="cs"/>
          <w:rtl/>
        </w:rPr>
        <w:t>الإيمان بضع وسبعون شعبة</w:t>
      </w:r>
      <w:r w:rsidR="000636C2">
        <w:rPr>
          <w:rFonts w:hint="cs"/>
          <w:rtl/>
        </w:rPr>
        <w:t>]</w:t>
      </w:r>
      <w:r w:rsidRPr="005675B2">
        <w:rPr>
          <w:rFonts w:hint="cs"/>
          <w:rtl/>
        </w:rPr>
        <w:t xml:space="preserve"> [</w:t>
      </w:r>
      <w:r w:rsidRPr="005675B2">
        <w:rPr>
          <w:rFonts w:hint="cs"/>
          <w:sz w:val="24"/>
          <w:szCs w:val="24"/>
          <w:rtl/>
        </w:rPr>
        <w:t>رواه مسلم في كتاب الإيمان من صحيحيه</w:t>
      </w:r>
      <w:r w:rsidR="000636C2">
        <w:rPr>
          <w:rFonts w:hint="cs"/>
          <w:sz w:val="24"/>
          <w:szCs w:val="24"/>
          <w:rtl/>
        </w:rPr>
        <w:t>]</w:t>
      </w:r>
      <w:r w:rsidRPr="005675B2">
        <w:rPr>
          <w:rFonts w:hint="cs"/>
          <w:rtl/>
        </w:rPr>
        <w:t>، وإطلاق القول بأن الإيمان قول وعمل فيه إعمال لبعض النصوص وإهدار لبعضها الآخر</w:t>
      </w:r>
      <w:r w:rsidR="000636C2">
        <w:rPr>
          <w:rFonts w:hint="cs"/>
          <w:rtl/>
        </w:rPr>
        <w:t>،</w:t>
      </w:r>
      <w:r w:rsidRPr="005675B2">
        <w:rPr>
          <w:rFonts w:hint="cs"/>
          <w:rtl/>
        </w:rPr>
        <w:t xml:space="preserve"> أما الذين عملوا بالنصوص الثابتة كلها فحملوا حديث جبريل وما في معناه على أن الإيمان هو الاعتقاد</w:t>
      </w:r>
      <w:r w:rsidR="000636C2">
        <w:rPr>
          <w:rFonts w:hint="cs"/>
          <w:rtl/>
        </w:rPr>
        <w:t>،</w:t>
      </w:r>
      <w:r w:rsidRPr="005675B2">
        <w:rPr>
          <w:rFonts w:hint="cs"/>
          <w:rtl/>
        </w:rPr>
        <w:t xml:space="preserve"> وأن الإسلام هو القول والعمل</w:t>
      </w:r>
      <w:r w:rsidR="000636C2">
        <w:rPr>
          <w:rFonts w:hint="cs"/>
          <w:rtl/>
        </w:rPr>
        <w:t>،</w:t>
      </w:r>
      <w:r w:rsidRPr="005675B2">
        <w:rPr>
          <w:rFonts w:hint="cs"/>
          <w:rtl/>
        </w:rPr>
        <w:t xml:space="preserve"> وحملوا حديث </w:t>
      </w:r>
      <w:r w:rsidR="000636C2">
        <w:rPr>
          <w:rFonts w:hint="cs"/>
          <w:rtl/>
        </w:rPr>
        <w:t>[</w:t>
      </w:r>
      <w:r w:rsidRPr="005675B2">
        <w:rPr>
          <w:rFonts w:hint="cs"/>
          <w:rtl/>
        </w:rPr>
        <w:t>الإيمان بضع وسبعون شعبة</w:t>
      </w:r>
      <w:r w:rsidR="000636C2">
        <w:rPr>
          <w:rFonts w:hint="cs"/>
          <w:rtl/>
        </w:rPr>
        <w:t>]</w:t>
      </w:r>
      <w:r w:rsidRPr="005675B2">
        <w:rPr>
          <w:rFonts w:hint="cs"/>
          <w:rtl/>
        </w:rPr>
        <w:t xml:space="preserve"> وما في معناه على أن الإيمان يشمل الاعتقاد من حيث إنه هو حقيقة الإيمان، ويشمل الأقوال والأعمال من حيث إنها ثمرة للإيمان</w:t>
      </w:r>
      <w:r w:rsidR="000636C2">
        <w:rPr>
          <w:rFonts w:hint="cs"/>
          <w:rtl/>
        </w:rPr>
        <w:t>،</w:t>
      </w:r>
      <w:r w:rsidRPr="005675B2">
        <w:rPr>
          <w:rFonts w:hint="cs"/>
          <w:rtl/>
        </w:rPr>
        <w:t xml:space="preserve"> وبذا يتم الجمع بين النصوص</w:t>
      </w:r>
      <w:r w:rsidR="000636C2">
        <w:rPr>
          <w:rFonts w:hint="cs"/>
          <w:rtl/>
        </w:rPr>
        <w:t>،</w:t>
      </w:r>
      <w:r w:rsidRPr="005675B2">
        <w:rPr>
          <w:rFonts w:hint="cs"/>
          <w:rtl/>
        </w:rPr>
        <w:t xml:space="preserve"> وعلى هذا فمن قال من السلف </w:t>
      </w:r>
      <w:r w:rsidR="000636C2">
        <w:rPr>
          <w:rFonts w:hint="cs"/>
          <w:rtl/>
        </w:rPr>
        <w:t>[</w:t>
      </w:r>
      <w:r w:rsidRPr="005675B2">
        <w:rPr>
          <w:rFonts w:hint="cs"/>
          <w:rtl/>
        </w:rPr>
        <w:t>الإيمان قول وعمل</w:t>
      </w:r>
      <w:r w:rsidR="000636C2">
        <w:rPr>
          <w:rFonts w:hint="cs"/>
          <w:rtl/>
        </w:rPr>
        <w:t>،</w:t>
      </w:r>
      <w:r w:rsidRPr="005675B2">
        <w:rPr>
          <w:rFonts w:hint="cs"/>
          <w:rtl/>
        </w:rPr>
        <w:t xml:space="preserve"> يزيد وينقص</w:t>
      </w:r>
      <w:r w:rsidR="000636C2">
        <w:rPr>
          <w:rFonts w:hint="cs"/>
          <w:rtl/>
        </w:rPr>
        <w:t>]</w:t>
      </w:r>
      <w:r w:rsidRPr="005675B2">
        <w:rPr>
          <w:rFonts w:hint="cs"/>
          <w:rtl/>
        </w:rPr>
        <w:t xml:space="preserve"> فهو صحيح</w:t>
      </w:r>
      <w:r w:rsidR="000636C2">
        <w:rPr>
          <w:rFonts w:hint="cs"/>
          <w:rtl/>
        </w:rPr>
        <w:t>،</w:t>
      </w:r>
      <w:r w:rsidRPr="005675B2">
        <w:rPr>
          <w:rFonts w:hint="cs"/>
          <w:rtl/>
        </w:rPr>
        <w:t xml:space="preserve"> وذلك بالنظر إلى درجات الإيمان من أدناها إلى أعلاها</w:t>
      </w:r>
      <w:r w:rsidR="000636C2">
        <w:rPr>
          <w:rFonts w:hint="cs"/>
          <w:rtl/>
        </w:rPr>
        <w:t>،</w:t>
      </w:r>
      <w:r w:rsidRPr="005675B2">
        <w:rPr>
          <w:rFonts w:hint="cs"/>
          <w:rtl/>
        </w:rPr>
        <w:t xml:space="preserve"> فكلما قوي الإيمان وارتقى مثقال ذرة عن الدرجة الدنيا فإنه لا بد أن يثمر من الكلم الطيب والعمل الصالح</w:t>
      </w:r>
      <w:r w:rsidR="000636C2">
        <w:rPr>
          <w:rFonts w:hint="cs"/>
          <w:rtl/>
        </w:rPr>
        <w:t>،</w:t>
      </w:r>
      <w:r w:rsidRPr="005675B2">
        <w:rPr>
          <w:rFonts w:hint="cs"/>
          <w:rtl/>
        </w:rPr>
        <w:t xml:space="preserve"> وبهذا يكون الإيمان شاملاً للقول والعمل</w:t>
      </w:r>
      <w:r w:rsidR="000636C2">
        <w:rPr>
          <w:rFonts w:hint="cs"/>
          <w:rtl/>
        </w:rPr>
        <w:t>،</w:t>
      </w:r>
      <w:r w:rsidRPr="005675B2">
        <w:rPr>
          <w:rFonts w:hint="cs"/>
          <w:rtl/>
        </w:rPr>
        <w:t xml:space="preserve"> ويزيد بزيادة المحبة والإخلاص والتوكل والخوف والرجاء وبطاعة الله تعالى</w:t>
      </w:r>
      <w:r w:rsidR="000636C2">
        <w:rPr>
          <w:rFonts w:hint="cs"/>
          <w:rtl/>
        </w:rPr>
        <w:t>،</w:t>
      </w:r>
      <w:r w:rsidRPr="005675B2">
        <w:rPr>
          <w:rFonts w:hint="cs"/>
          <w:rtl/>
        </w:rPr>
        <w:t xml:space="preserve"> وينقص بنقصانها وبمعصية الله تعالى</w:t>
      </w:r>
      <w:r w:rsidR="000636C2">
        <w:rPr>
          <w:rFonts w:hint="cs"/>
          <w:rtl/>
        </w:rPr>
        <w:t>،</w:t>
      </w:r>
      <w:r w:rsidRPr="005675B2">
        <w:rPr>
          <w:rFonts w:hint="cs"/>
          <w:rtl/>
        </w:rPr>
        <w:t xml:space="preserve"> وهذا كله ثابت في النصوص الكثيرة المستفيضة في الكتاب والسنة</w:t>
      </w:r>
      <w:r w:rsidR="000636C2">
        <w:rPr>
          <w:rFonts w:hint="cs"/>
          <w:rtl/>
        </w:rPr>
        <w:t>،</w:t>
      </w:r>
      <w:r w:rsidRPr="005675B2">
        <w:rPr>
          <w:rFonts w:hint="cs"/>
          <w:rtl/>
        </w:rPr>
        <w:t xml:space="preserve"> وهو قول أهل السنة من السلف فمن بعدهم</w:t>
      </w:r>
      <w:r w:rsidR="000636C2">
        <w:rPr>
          <w:rFonts w:hint="cs"/>
          <w:rtl/>
        </w:rPr>
        <w:t>،</w:t>
      </w:r>
      <w:r w:rsidRPr="005675B2">
        <w:rPr>
          <w:rFonts w:hint="cs"/>
          <w:rtl/>
        </w:rPr>
        <w:t xml:space="preserve"> ومنهم الأشاعرة والماتريدية وأهل الحديث</w:t>
      </w:r>
      <w:r w:rsidR="000636C2">
        <w:rPr>
          <w:rFonts w:hint="cs"/>
          <w:rtl/>
        </w:rPr>
        <w:t xml:space="preserve">، </w:t>
      </w:r>
      <w:r w:rsidRPr="005675B2">
        <w:rPr>
          <w:rFonts w:hint="cs"/>
          <w:rtl/>
        </w:rPr>
        <w:t xml:space="preserve">ومن قال </w:t>
      </w:r>
      <w:r w:rsidR="000636C2">
        <w:rPr>
          <w:rFonts w:hint="cs"/>
          <w:rtl/>
        </w:rPr>
        <w:t>[</w:t>
      </w:r>
      <w:r w:rsidRPr="005675B2">
        <w:rPr>
          <w:rFonts w:hint="cs"/>
          <w:rtl/>
        </w:rPr>
        <w:t>الإيمان التصديق</w:t>
      </w:r>
      <w:r w:rsidR="000636C2">
        <w:rPr>
          <w:rFonts w:hint="cs"/>
          <w:rtl/>
        </w:rPr>
        <w:t>،</w:t>
      </w:r>
      <w:r w:rsidRPr="005675B2">
        <w:rPr>
          <w:rFonts w:hint="cs"/>
          <w:rtl/>
        </w:rPr>
        <w:t xml:space="preserve"> وهو لا يزيد ولا ينقص</w:t>
      </w:r>
      <w:r w:rsidR="000636C2">
        <w:rPr>
          <w:rFonts w:hint="cs"/>
          <w:rtl/>
        </w:rPr>
        <w:t>]</w:t>
      </w:r>
      <w:r w:rsidRPr="005675B2">
        <w:rPr>
          <w:rFonts w:hint="cs"/>
          <w:rtl/>
        </w:rPr>
        <w:t xml:space="preserve"> فهو صحيح كذلك</w:t>
      </w:r>
      <w:r w:rsidR="000636C2">
        <w:rPr>
          <w:rFonts w:hint="cs"/>
          <w:rtl/>
        </w:rPr>
        <w:t>،</w:t>
      </w:r>
      <w:r w:rsidRPr="005675B2">
        <w:rPr>
          <w:rFonts w:hint="cs"/>
          <w:rtl/>
        </w:rPr>
        <w:t xml:space="preserve"> وذلك بالنظر إلى الدرجة الدنيا من درجات الإيمان التي هي التصديق وإذعان النفس</w:t>
      </w:r>
      <w:r w:rsidR="000636C2">
        <w:rPr>
          <w:rFonts w:hint="cs"/>
          <w:rtl/>
        </w:rPr>
        <w:t>،</w:t>
      </w:r>
      <w:r w:rsidRPr="005675B2">
        <w:rPr>
          <w:rFonts w:hint="cs"/>
          <w:rtl/>
        </w:rPr>
        <w:t xml:space="preserve"> وليس فيه بهذا المعنى زيادة عن الدرجة الدنيا مثقال ذرة بحيث يثمر شيئاً من الأقوال والأعمال الصالحة</w:t>
      </w:r>
      <w:r w:rsidR="000636C2">
        <w:rPr>
          <w:rFonts w:hint="cs"/>
          <w:rtl/>
        </w:rPr>
        <w:t>،</w:t>
      </w:r>
      <w:r w:rsidRPr="005675B2">
        <w:rPr>
          <w:rFonts w:hint="cs"/>
          <w:rtl/>
        </w:rPr>
        <w:t xml:space="preserve"> ولهذا فإنه ليس شاملاً للقول والعمل</w:t>
      </w:r>
      <w:r w:rsidR="000636C2">
        <w:rPr>
          <w:rFonts w:hint="cs"/>
          <w:rtl/>
        </w:rPr>
        <w:t>،</w:t>
      </w:r>
      <w:r w:rsidRPr="005675B2">
        <w:rPr>
          <w:rFonts w:hint="cs"/>
          <w:rtl/>
        </w:rPr>
        <w:t xml:space="preserve"> وهذا الجزء الذي ينقل المرء من دائرة الكفر إلى دائرة الإيمان غير قابل للزيادة والنقصان</w:t>
      </w:r>
      <w:r w:rsidR="000636C2">
        <w:rPr>
          <w:rFonts w:hint="cs"/>
          <w:rtl/>
        </w:rPr>
        <w:t>،</w:t>
      </w:r>
      <w:r w:rsidRPr="005675B2">
        <w:rPr>
          <w:rFonts w:hint="cs"/>
          <w:rtl/>
        </w:rPr>
        <w:t xml:space="preserve"> لأن القدر الزائد على هذا الجزء ليس هو الذي ينقل من الكفر إلى الإيمان</w:t>
      </w:r>
      <w:r w:rsidR="000636C2">
        <w:rPr>
          <w:rFonts w:hint="cs"/>
          <w:rtl/>
        </w:rPr>
        <w:t>،</w:t>
      </w:r>
      <w:r w:rsidRPr="005675B2">
        <w:rPr>
          <w:rFonts w:hint="cs"/>
          <w:rtl/>
        </w:rPr>
        <w:t xml:space="preserve"> بل هو ارتقاء في درجات الإيمان نفسه</w:t>
      </w:r>
      <w:r w:rsidR="000636C2">
        <w:rPr>
          <w:rFonts w:hint="cs"/>
          <w:rtl/>
        </w:rPr>
        <w:t>،</w:t>
      </w:r>
      <w:r w:rsidRPr="005675B2">
        <w:rPr>
          <w:rFonts w:hint="cs"/>
          <w:rtl/>
        </w:rPr>
        <w:t xml:space="preserve"> وهذا معنى أنه لا يزيد</w:t>
      </w:r>
      <w:r w:rsidR="000636C2">
        <w:rPr>
          <w:rFonts w:hint="cs"/>
          <w:rtl/>
        </w:rPr>
        <w:t>،</w:t>
      </w:r>
      <w:r w:rsidRPr="005675B2">
        <w:rPr>
          <w:rFonts w:hint="cs"/>
          <w:rtl/>
        </w:rPr>
        <w:t xml:space="preserve"> ولو نقص ذلك الجزء الذي هو الحد الأدنى لما نقل المرء من الكفر إلى الإيمان</w:t>
      </w:r>
      <w:r w:rsidR="000636C2">
        <w:rPr>
          <w:rFonts w:hint="cs"/>
          <w:rtl/>
        </w:rPr>
        <w:t>،</w:t>
      </w:r>
      <w:r w:rsidRPr="005675B2">
        <w:rPr>
          <w:rFonts w:hint="cs"/>
          <w:rtl/>
        </w:rPr>
        <w:t xml:space="preserve"> وهذا معنى أنه لا ينقص</w:t>
      </w:r>
      <w:r w:rsidR="000636C2">
        <w:rPr>
          <w:rFonts w:hint="cs"/>
          <w:rtl/>
        </w:rPr>
        <w:t>،</w:t>
      </w:r>
      <w:r w:rsidRPr="005675B2">
        <w:rPr>
          <w:rFonts w:hint="cs"/>
          <w:rtl/>
        </w:rPr>
        <w:t xml:space="preserve"> وأصحاب هذه الدرجة هم أهل المرتبة الرابعة في الشفاعة</w:t>
      </w:r>
      <w:r w:rsidR="000636C2">
        <w:rPr>
          <w:rFonts w:hint="cs"/>
          <w:rtl/>
        </w:rPr>
        <w:t>،</w:t>
      </w:r>
      <w:r w:rsidRPr="005675B2">
        <w:rPr>
          <w:rFonts w:hint="cs"/>
          <w:rtl/>
        </w:rPr>
        <w:t xml:space="preserve"> أي الذين يدخلون النار ولا يخرجون منها إلا في آخر المراتب بشفاعة أرحم الراحمين جل شأنه</w:t>
      </w:r>
      <w:r w:rsidR="000636C2">
        <w:rPr>
          <w:rFonts w:hint="cs"/>
          <w:rtl/>
        </w:rPr>
        <w:t>،</w:t>
      </w:r>
      <w:r w:rsidRPr="005675B2">
        <w:rPr>
          <w:rFonts w:hint="cs"/>
          <w:rtl/>
        </w:rPr>
        <w:t xml:space="preserve"> وهذا هو معنى ما تذكره كثير من كتب العقيدة عند الأشاعرة والماتريدية</w:t>
      </w:r>
      <w:r w:rsidR="000636C2">
        <w:rPr>
          <w:rFonts w:hint="cs"/>
          <w:rtl/>
        </w:rPr>
        <w:t>،</w:t>
      </w:r>
      <w:r w:rsidRPr="005675B2">
        <w:rPr>
          <w:rFonts w:hint="cs"/>
          <w:rtl/>
        </w:rPr>
        <w:t xml:space="preserve"> وهو لا يخالف قول السلف في قليل ولا كثير عند من يدرس كتب العلماء ومصطلحاتها بتُؤَدة وأناة</w:t>
      </w:r>
      <w:r w:rsidR="000636C2">
        <w:rPr>
          <w:rFonts w:hint="cs"/>
          <w:rtl/>
        </w:rPr>
        <w:t xml:space="preserve">، </w:t>
      </w:r>
      <w:r w:rsidRPr="005675B2">
        <w:rPr>
          <w:rFonts w:hint="cs"/>
          <w:rtl/>
        </w:rPr>
        <w:t>والأشاعرة والماتريدية بعيدون عن بدعة التجهم بعد المشرق عن المغرب</w:t>
      </w:r>
      <w:r w:rsidR="000636C2">
        <w:rPr>
          <w:rFonts w:hint="cs"/>
          <w:rtl/>
        </w:rPr>
        <w:t>،</w:t>
      </w:r>
      <w:r w:rsidRPr="005675B2">
        <w:rPr>
          <w:rFonts w:hint="cs"/>
          <w:rtl/>
        </w:rPr>
        <w:t xml:space="preserve"> وكذا عن بدعة الإرجاء</w:t>
      </w:r>
      <w:r w:rsidR="000636C2">
        <w:rPr>
          <w:rFonts w:hint="cs"/>
          <w:rtl/>
        </w:rPr>
        <w:t>،</w:t>
      </w:r>
      <w:r w:rsidRPr="005675B2">
        <w:rPr>
          <w:rFonts w:hint="cs"/>
          <w:rtl/>
        </w:rPr>
        <w:t xml:space="preserve"> والباحث نفسه يقول </w:t>
      </w:r>
      <w:r w:rsidR="000636C2">
        <w:rPr>
          <w:rFonts w:hint="cs"/>
          <w:rtl/>
        </w:rPr>
        <w:t>[</w:t>
      </w:r>
      <w:r w:rsidRPr="005675B2">
        <w:rPr>
          <w:rFonts w:hint="cs"/>
          <w:rtl/>
        </w:rPr>
        <w:t>فالمرجئة تقول إن الإيمان شيء واحد لا يزيد ولا ينقص</w:t>
      </w:r>
      <w:r w:rsidR="000636C2">
        <w:rPr>
          <w:rFonts w:hint="cs"/>
          <w:rtl/>
        </w:rPr>
        <w:t>،</w:t>
      </w:r>
      <w:r w:rsidRPr="005675B2">
        <w:rPr>
          <w:rFonts w:hint="cs"/>
          <w:rtl/>
        </w:rPr>
        <w:t xml:space="preserve"> وإن الإنسان يكون كامل الإيمان وإن لم يعمل خيراً قط</w:t>
      </w:r>
      <w:r w:rsidR="000636C2">
        <w:rPr>
          <w:rFonts w:hint="cs"/>
          <w:rtl/>
        </w:rPr>
        <w:t>]،</w:t>
      </w:r>
      <w:r w:rsidRPr="005675B2">
        <w:rPr>
          <w:rFonts w:hint="cs"/>
          <w:rtl/>
        </w:rPr>
        <w:t xml:space="preserve"> والأشاعرة والماتريدية قاطبة لا يقولون عمن لم يعمل خيراً قط إنه كامل الإيمان</w:t>
      </w:r>
      <w:r w:rsidR="000636C2">
        <w:rPr>
          <w:rFonts w:hint="cs"/>
          <w:rtl/>
        </w:rPr>
        <w:t>،</w:t>
      </w:r>
      <w:r w:rsidRPr="005675B2">
        <w:rPr>
          <w:rFonts w:hint="cs"/>
          <w:rtl/>
        </w:rPr>
        <w:t xml:space="preserve"> بل هو في أدنى درجات الإيمان</w:t>
      </w:r>
      <w:r w:rsidR="000636C2">
        <w:rPr>
          <w:rFonts w:hint="cs"/>
          <w:rtl/>
        </w:rPr>
        <w:t>،</w:t>
      </w:r>
      <w:r w:rsidRPr="005675B2">
        <w:rPr>
          <w:rFonts w:hint="cs"/>
          <w:rtl/>
        </w:rPr>
        <w:t xml:space="preserve"> فكيف يصح اتهام الأشاعرة بأنهم مرجئة</w:t>
      </w:r>
      <w:r w:rsidR="000636C2">
        <w:rPr>
          <w:rFonts w:hint="cs"/>
          <w:rtl/>
        </w:rPr>
        <w:t xml:space="preserve">؟، </w:t>
      </w:r>
      <w:r w:rsidRPr="005675B2">
        <w:rPr>
          <w:rFonts w:hint="cs"/>
          <w:rtl/>
        </w:rPr>
        <w:t>وبعد هذه الجولة من الاستدلال</w:t>
      </w:r>
      <w:r w:rsidR="000636C2">
        <w:rPr>
          <w:rFonts w:hint="cs"/>
          <w:rtl/>
        </w:rPr>
        <w:t xml:space="preserve"> </w:t>
      </w:r>
      <w:r w:rsidRPr="005675B2">
        <w:rPr>
          <w:rFonts w:hint="cs"/>
          <w:rtl/>
        </w:rPr>
        <w:t>- والتي قد يصعب على بعض الناس فهمها واستيعابها</w:t>
      </w:r>
      <w:r w:rsidR="000636C2">
        <w:rPr>
          <w:rFonts w:hint="cs"/>
          <w:rtl/>
        </w:rPr>
        <w:t xml:space="preserve"> </w:t>
      </w:r>
      <w:r w:rsidRPr="005675B2">
        <w:rPr>
          <w:rFonts w:hint="cs"/>
          <w:rtl/>
        </w:rPr>
        <w:t>- أعود بهم إلى ما يرونه الأسهل</w:t>
      </w:r>
      <w:r w:rsidR="000636C2">
        <w:rPr>
          <w:rFonts w:hint="cs"/>
          <w:rtl/>
        </w:rPr>
        <w:t>،</w:t>
      </w:r>
      <w:r w:rsidRPr="005675B2">
        <w:rPr>
          <w:rFonts w:hint="cs"/>
          <w:rtl/>
        </w:rPr>
        <w:t xml:space="preserve"> وهو قول ابن أبي العز شارح الطحاوية</w:t>
      </w:r>
      <w:r w:rsidR="000636C2">
        <w:rPr>
          <w:rFonts w:hint="cs"/>
          <w:rtl/>
        </w:rPr>
        <w:t>،</w:t>
      </w:r>
      <w:r w:rsidRPr="005675B2">
        <w:rPr>
          <w:rFonts w:hint="cs"/>
          <w:rtl/>
        </w:rPr>
        <w:t xml:space="preserve"> إذ يعُد من قال </w:t>
      </w:r>
      <w:r w:rsidR="000636C2">
        <w:rPr>
          <w:rFonts w:hint="cs"/>
          <w:rtl/>
        </w:rPr>
        <w:t>[</w:t>
      </w:r>
      <w:r w:rsidRPr="005675B2">
        <w:rPr>
          <w:rFonts w:hint="cs"/>
          <w:rtl/>
        </w:rPr>
        <w:t>إن الإيمان قول وعمل يزيد وينقص</w:t>
      </w:r>
      <w:r w:rsidR="000636C2">
        <w:rPr>
          <w:rFonts w:hint="cs"/>
          <w:rtl/>
        </w:rPr>
        <w:t>]</w:t>
      </w:r>
      <w:r w:rsidRPr="005675B2">
        <w:rPr>
          <w:rFonts w:hint="cs"/>
          <w:rtl/>
        </w:rPr>
        <w:t xml:space="preserve"> ومن قال </w:t>
      </w:r>
      <w:r w:rsidR="000636C2">
        <w:rPr>
          <w:rFonts w:hint="cs"/>
          <w:rtl/>
        </w:rPr>
        <w:t>[</w:t>
      </w:r>
      <w:r w:rsidRPr="005675B2">
        <w:rPr>
          <w:rFonts w:hint="cs"/>
          <w:rtl/>
        </w:rPr>
        <w:t>إن الإيمان هو التصديق ولا يدخل العمل في مسمى الإيمان</w:t>
      </w:r>
      <w:r w:rsidR="000636C2">
        <w:rPr>
          <w:rFonts w:hint="cs"/>
          <w:rtl/>
        </w:rPr>
        <w:t>]</w:t>
      </w:r>
      <w:r w:rsidRPr="005675B2">
        <w:rPr>
          <w:rFonts w:hint="cs"/>
          <w:rtl/>
        </w:rPr>
        <w:t xml:space="preserve"> كليهما من أهل السنة</w:t>
      </w:r>
      <w:r w:rsidR="000636C2">
        <w:rPr>
          <w:rFonts w:hint="cs"/>
          <w:rtl/>
        </w:rPr>
        <w:t>،</w:t>
      </w:r>
      <w:r w:rsidRPr="005675B2">
        <w:rPr>
          <w:rFonts w:hint="cs"/>
          <w:rtl/>
        </w:rPr>
        <w:t xml:space="preserve"> فاستمع إليه</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بعد سرد عدد من الأحاديث النبوية التي فيها وصف بعض الذنوب بالكفر</w:t>
      </w:r>
      <w:r w:rsidR="000636C2">
        <w:rPr>
          <w:rFonts w:hint="cs"/>
          <w:rtl/>
        </w:rPr>
        <w:t>،</w:t>
      </w:r>
      <w:r w:rsidRPr="005675B2">
        <w:rPr>
          <w:rFonts w:hint="cs"/>
          <w:rtl/>
        </w:rPr>
        <w:t xml:space="preserve"> وبعد التصريح باتفاق أهل السنة على أن مرتكب الكبيرة لا يكفر كفراً ينقل عن الملة</w:t>
      </w:r>
      <w:r w:rsidR="000636C2">
        <w:rPr>
          <w:rFonts w:hint="cs"/>
          <w:rtl/>
        </w:rPr>
        <w:t>،</w:t>
      </w:r>
      <w:r w:rsidRPr="005675B2">
        <w:rPr>
          <w:rFonts w:hint="cs"/>
          <w:rtl/>
        </w:rPr>
        <w:t xml:space="preserve"> إذ يقول</w:t>
      </w:r>
      <w:r w:rsidR="000636C2">
        <w:rPr>
          <w:rFonts w:hint="cs"/>
          <w:rtl/>
        </w:rPr>
        <w:t>:</w:t>
      </w:r>
      <w:r w:rsidRPr="005675B2">
        <w:rPr>
          <w:rFonts w:hint="cs"/>
          <w:rtl/>
        </w:rPr>
        <w:t xml:space="preserve"> </w:t>
      </w:r>
      <w:r w:rsidR="000636C2">
        <w:rPr>
          <w:rFonts w:hint="cs"/>
          <w:rtl/>
        </w:rPr>
        <w:t>[</w:t>
      </w:r>
      <w:r w:rsidRPr="005675B2">
        <w:rPr>
          <w:rFonts w:hint="cs"/>
          <w:rtl/>
        </w:rPr>
        <w:t>ثم بعد هذا الاتفاق بين أهل السنة اختلفوا اختلافاً لفظياً لا يترتب عليه فساد</w:t>
      </w:r>
      <w:r w:rsidR="000636C2">
        <w:rPr>
          <w:rFonts w:hint="cs"/>
          <w:rtl/>
        </w:rPr>
        <w:t>،</w:t>
      </w:r>
      <w:r w:rsidRPr="005675B2">
        <w:rPr>
          <w:rFonts w:hint="cs"/>
          <w:rtl/>
        </w:rPr>
        <w:t xml:space="preserve"> وهو أنه هل يكون الكفر على مراتب كفراً دون كفر</w:t>
      </w:r>
      <w:r w:rsidR="000636C2">
        <w:rPr>
          <w:rFonts w:hint="cs"/>
          <w:rtl/>
        </w:rPr>
        <w:t>؟</w:t>
      </w:r>
      <w:r w:rsidRPr="005675B2">
        <w:rPr>
          <w:rFonts w:hint="cs"/>
          <w:rtl/>
        </w:rPr>
        <w:t xml:space="preserve"> .. من قال إن الإيمان قول وعمل يزيد وينقص قال هو كفر عملي لا اعتقادي ..</w:t>
      </w:r>
      <w:r w:rsidR="000636C2">
        <w:rPr>
          <w:rFonts w:hint="cs"/>
          <w:rtl/>
        </w:rPr>
        <w:t>،</w:t>
      </w:r>
      <w:r w:rsidRPr="005675B2">
        <w:rPr>
          <w:rFonts w:hint="cs"/>
          <w:rtl/>
        </w:rPr>
        <w:t xml:space="preserve"> ومن قال إن الإيمان هو التصديق ولا يدخل العمل في مسمى الإيمان والكفر هو الجحود ولا يزيدان ولا ينقصان قال هو كفر مجازي غير حقيقي</w:t>
      </w:r>
      <w:r w:rsidR="000636C2">
        <w:rPr>
          <w:rFonts w:hint="cs"/>
          <w:rtl/>
        </w:rPr>
        <w:t>]</w:t>
      </w:r>
      <w:r w:rsidRPr="005675B2">
        <w:rPr>
          <w:rFonts w:hint="cs"/>
          <w:rtl/>
        </w:rPr>
        <w:t xml:space="preserve"> [</w:t>
      </w:r>
      <w:r w:rsidRPr="005675B2">
        <w:rPr>
          <w:rFonts w:hint="cs"/>
          <w:sz w:val="24"/>
          <w:szCs w:val="24"/>
          <w:rtl/>
        </w:rPr>
        <w:t>شرح العقيدة الطحاوية لابن أبي العز: 2/ 444 – 445</w:t>
      </w:r>
      <w:r w:rsidR="000636C2">
        <w:rPr>
          <w:rFonts w:hint="cs"/>
          <w:sz w:val="24"/>
          <w:szCs w:val="24"/>
          <w:rtl/>
        </w:rPr>
        <w:t>]</w:t>
      </w:r>
      <w:r w:rsidR="000636C2">
        <w:rPr>
          <w:rFonts w:hint="cs"/>
          <w:rtl/>
        </w:rPr>
        <w:t>،</w:t>
      </w:r>
      <w:r w:rsidRPr="005675B2">
        <w:rPr>
          <w:rFonts w:hint="cs"/>
          <w:rtl/>
        </w:rPr>
        <w:t xml:space="preserve"> فتنبه</w:t>
      </w:r>
      <w:r w:rsidR="000636C2">
        <w:rPr>
          <w:rFonts w:hint="cs"/>
          <w:rtl/>
        </w:rPr>
        <w:t xml:space="preserve">، </w:t>
      </w:r>
      <w:r w:rsidRPr="005675B2">
        <w:rPr>
          <w:rFonts w:hint="cs"/>
          <w:rtl/>
        </w:rPr>
        <w:t>واستمع إلى ابن أبي العز</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يفرق بين قول جهم الضال المبتدع وبين قول أبي منصور الماتريدي من أئمة الهدى</w:t>
      </w:r>
      <w:r w:rsidR="000636C2">
        <w:rPr>
          <w:rFonts w:hint="cs"/>
          <w:rtl/>
        </w:rPr>
        <w:t>،</w:t>
      </w:r>
      <w:r w:rsidRPr="005675B2">
        <w:rPr>
          <w:rFonts w:hint="cs"/>
          <w:rtl/>
        </w:rPr>
        <w:t xml:space="preserve"> إذ يقول</w:t>
      </w:r>
      <w:r w:rsidR="000636C2">
        <w:rPr>
          <w:rFonts w:hint="cs"/>
          <w:rtl/>
        </w:rPr>
        <w:t>:</w:t>
      </w:r>
      <w:r w:rsidRPr="005675B2">
        <w:rPr>
          <w:rFonts w:hint="cs"/>
          <w:rtl/>
        </w:rPr>
        <w:t xml:space="preserve"> </w:t>
      </w:r>
      <w:r w:rsidR="000636C2">
        <w:rPr>
          <w:rFonts w:hint="cs"/>
          <w:rtl/>
        </w:rPr>
        <w:t>[</w:t>
      </w:r>
      <w:r w:rsidRPr="005675B2">
        <w:rPr>
          <w:rFonts w:hint="cs"/>
          <w:rtl/>
        </w:rPr>
        <w:t>وحاصل الكل يرجع إلى أن الإيمان</w:t>
      </w:r>
      <w:r w:rsidR="000636C2">
        <w:rPr>
          <w:rFonts w:hint="cs"/>
          <w:rtl/>
        </w:rPr>
        <w:t>:</w:t>
      </w:r>
      <w:r w:rsidRPr="005675B2">
        <w:rPr>
          <w:rFonts w:hint="cs"/>
          <w:rtl/>
        </w:rPr>
        <w:t xml:space="preserve"> إما أن يكون ما يقوم بالقلب واللسان وسائر الجوارح ..</w:t>
      </w:r>
      <w:r w:rsidR="000636C2">
        <w:rPr>
          <w:rFonts w:hint="cs"/>
          <w:rtl/>
        </w:rPr>
        <w:t>،</w:t>
      </w:r>
      <w:r w:rsidRPr="005675B2">
        <w:rPr>
          <w:rFonts w:hint="cs"/>
          <w:rtl/>
        </w:rPr>
        <w:t xml:space="preserve"> أو ..</w:t>
      </w:r>
      <w:r w:rsidR="000636C2">
        <w:rPr>
          <w:rFonts w:hint="cs"/>
          <w:rtl/>
        </w:rPr>
        <w:t>،</w:t>
      </w:r>
      <w:r w:rsidRPr="005675B2">
        <w:rPr>
          <w:rFonts w:hint="cs"/>
          <w:rtl/>
        </w:rPr>
        <w:t xml:space="preserve"> أو ..</w:t>
      </w:r>
      <w:r w:rsidR="000636C2">
        <w:rPr>
          <w:rFonts w:hint="cs"/>
          <w:rtl/>
        </w:rPr>
        <w:t>،</w:t>
      </w:r>
      <w:r w:rsidRPr="005675B2">
        <w:rPr>
          <w:rFonts w:hint="cs"/>
          <w:rtl/>
        </w:rPr>
        <w:t xml:space="preserve"> أو بالقلب وحده</w:t>
      </w:r>
      <w:r w:rsidR="000636C2">
        <w:rPr>
          <w:rFonts w:hint="cs"/>
          <w:rtl/>
        </w:rPr>
        <w:t>،</w:t>
      </w:r>
      <w:r w:rsidRPr="005675B2">
        <w:rPr>
          <w:rFonts w:hint="cs"/>
          <w:rtl/>
        </w:rPr>
        <w:t xml:space="preserve"> وهو إما المعرفة كما قاله الجهم</w:t>
      </w:r>
      <w:r w:rsidR="000636C2">
        <w:rPr>
          <w:rFonts w:hint="cs"/>
          <w:rtl/>
        </w:rPr>
        <w:t>،</w:t>
      </w:r>
      <w:r w:rsidRPr="005675B2">
        <w:rPr>
          <w:rFonts w:hint="cs"/>
          <w:rtl/>
        </w:rPr>
        <w:t xml:space="preserve"> أو التصديق كما قاله أبو منصور الماتريدي رحمه الله</w:t>
      </w:r>
      <w:r w:rsidR="000636C2">
        <w:rPr>
          <w:rFonts w:hint="cs"/>
          <w:rtl/>
        </w:rPr>
        <w:t>]</w:t>
      </w:r>
      <w:r w:rsidRPr="005675B2">
        <w:rPr>
          <w:rFonts w:hint="cs"/>
          <w:rtl/>
        </w:rPr>
        <w:t xml:space="preserve"> [</w:t>
      </w:r>
      <w:r w:rsidRPr="005675B2">
        <w:rPr>
          <w:rFonts w:hint="cs"/>
          <w:sz w:val="24"/>
          <w:szCs w:val="24"/>
          <w:rtl/>
        </w:rPr>
        <w:t>المصدر السابق: 2/ 462</w:t>
      </w:r>
      <w:r w:rsidR="000636C2">
        <w:rPr>
          <w:rFonts w:hint="cs"/>
          <w:sz w:val="24"/>
          <w:szCs w:val="24"/>
          <w:rtl/>
        </w:rPr>
        <w:t>]</w:t>
      </w:r>
      <w:r w:rsidR="000636C2">
        <w:rPr>
          <w:rFonts w:hint="cs"/>
          <w:rtl/>
        </w:rPr>
        <w:t>،</w:t>
      </w:r>
      <w:r w:rsidRPr="005675B2">
        <w:rPr>
          <w:rFonts w:hint="cs"/>
          <w:rtl/>
        </w:rPr>
        <w:t xml:space="preserve"> فتنبه</w:t>
      </w:r>
      <w:r w:rsidR="000636C2">
        <w:rPr>
          <w:rFonts w:hint="cs"/>
          <w:rtl/>
        </w:rPr>
        <w:t xml:space="preserve">، </w:t>
      </w:r>
      <w:r w:rsidRPr="005675B2">
        <w:rPr>
          <w:rFonts w:hint="cs"/>
          <w:rtl/>
        </w:rPr>
        <w:t>وأما النصوص التي يرى الباحث أن رواية إخراج قوم من النار لم يعملوا خيراً قط لا بد من توجيهها وتخريجها بما يتفق معها</w:t>
      </w:r>
      <w:r w:rsidR="000636C2">
        <w:rPr>
          <w:rFonts w:hint="cs"/>
          <w:rtl/>
        </w:rPr>
        <w:t>:</w:t>
      </w:r>
      <w:r w:rsidRPr="005675B2">
        <w:rPr>
          <w:rFonts w:hint="cs"/>
          <w:rtl/>
        </w:rPr>
        <w:t xml:space="preserve"> فهي ما أشار إليه من النصوص الصريحة في تكفير تارك الصلاة</w:t>
      </w:r>
      <w:r w:rsidR="000636C2">
        <w:rPr>
          <w:rFonts w:hint="cs"/>
          <w:rtl/>
        </w:rPr>
        <w:t>،</w:t>
      </w:r>
      <w:r w:rsidRPr="005675B2">
        <w:rPr>
          <w:rFonts w:hint="cs"/>
          <w:rtl/>
        </w:rPr>
        <w:t xml:space="preserve"> ثم يقول إن الإجماع على تكفير الممتنع عن الصلاة ثابت عن الصحابة</w:t>
      </w:r>
      <w:r w:rsidR="000636C2">
        <w:rPr>
          <w:rFonts w:hint="cs"/>
          <w:rtl/>
        </w:rPr>
        <w:t xml:space="preserve">، </w:t>
      </w:r>
      <w:r w:rsidRPr="005675B2">
        <w:rPr>
          <w:rFonts w:hint="cs"/>
          <w:rtl/>
        </w:rPr>
        <w:t>وأقول</w:t>
      </w:r>
      <w:r w:rsidR="000636C2">
        <w:rPr>
          <w:rFonts w:hint="cs"/>
          <w:rtl/>
        </w:rPr>
        <w:t>:</w:t>
      </w:r>
      <w:r w:rsidRPr="005675B2">
        <w:rPr>
          <w:rFonts w:hint="cs"/>
          <w:rtl/>
        </w:rPr>
        <w:t xml:space="preserve"> قد وردت نصوص في تكفير تارك الصلاة</w:t>
      </w:r>
      <w:r w:rsidR="000636C2">
        <w:rPr>
          <w:rFonts w:hint="cs"/>
          <w:rtl/>
        </w:rPr>
        <w:t>،</w:t>
      </w:r>
      <w:r w:rsidRPr="005675B2">
        <w:rPr>
          <w:rFonts w:hint="cs"/>
          <w:rtl/>
        </w:rPr>
        <w:t xml:space="preserve"> كقوله صلى الله عليه وسلم </w:t>
      </w:r>
      <w:r w:rsidR="000636C2">
        <w:rPr>
          <w:rFonts w:hint="cs"/>
          <w:rtl/>
        </w:rPr>
        <w:t>[</w:t>
      </w:r>
      <w:r w:rsidRPr="005675B2">
        <w:rPr>
          <w:rFonts w:hint="cs"/>
          <w:rtl/>
        </w:rPr>
        <w:t>بين الرجل وبين الكفر ترك الصلاة</w:t>
      </w:r>
      <w:r w:rsidR="000636C2">
        <w:rPr>
          <w:rFonts w:hint="cs"/>
          <w:rtl/>
        </w:rPr>
        <w:t>]،</w:t>
      </w:r>
      <w:r w:rsidRPr="005675B2">
        <w:rPr>
          <w:rFonts w:hint="cs"/>
          <w:rtl/>
        </w:rPr>
        <w:t xml:space="preserve"> رواه أحمد ومسلم من حديث جابر</w:t>
      </w:r>
      <w:r w:rsidR="000636C2">
        <w:rPr>
          <w:rFonts w:hint="cs"/>
          <w:rtl/>
        </w:rPr>
        <w:t>،</w:t>
      </w:r>
      <w:r w:rsidRPr="005675B2">
        <w:rPr>
          <w:rFonts w:hint="cs"/>
          <w:rtl/>
        </w:rPr>
        <w:t xml:space="preserve"> وكقوله </w:t>
      </w:r>
      <w:r w:rsidR="000636C2">
        <w:rPr>
          <w:rFonts w:hint="cs"/>
          <w:rtl/>
        </w:rPr>
        <w:t>[</w:t>
      </w:r>
      <w:r w:rsidRPr="005675B2">
        <w:rPr>
          <w:rFonts w:hint="cs"/>
          <w:rtl/>
        </w:rPr>
        <w:t>العهد الذي بيننا وبينهم الصلاة فمن تركها فقد كفر</w:t>
      </w:r>
      <w:r w:rsidR="000636C2">
        <w:rPr>
          <w:rFonts w:hint="cs"/>
          <w:rtl/>
        </w:rPr>
        <w:t>]،</w:t>
      </w:r>
      <w:r w:rsidRPr="005675B2">
        <w:rPr>
          <w:rFonts w:hint="cs"/>
          <w:rtl/>
        </w:rPr>
        <w:t xml:space="preserve"> رواه أحمد وأبو داود والترمذي والنسائي من حديث بريدة</w:t>
      </w:r>
      <w:r w:rsidR="000636C2">
        <w:rPr>
          <w:rFonts w:hint="cs"/>
          <w:rtl/>
        </w:rPr>
        <w:t>،</w:t>
      </w:r>
      <w:r w:rsidRPr="005675B2">
        <w:rPr>
          <w:rFonts w:hint="cs"/>
          <w:rtl/>
        </w:rPr>
        <w:t xml:space="preserve"> وروى الترمذي عن عبد الله بن شقيق العقيلي رحمه الله أنه قال</w:t>
      </w:r>
      <w:r w:rsidR="000636C2">
        <w:rPr>
          <w:rFonts w:hint="cs"/>
          <w:rtl/>
        </w:rPr>
        <w:t>:</w:t>
      </w:r>
      <w:r w:rsidRPr="005675B2">
        <w:rPr>
          <w:rFonts w:hint="cs"/>
          <w:rtl/>
        </w:rPr>
        <w:t xml:space="preserve"> </w:t>
      </w:r>
      <w:r w:rsidR="000636C2">
        <w:rPr>
          <w:rFonts w:hint="cs"/>
          <w:rtl/>
        </w:rPr>
        <w:t>[</w:t>
      </w:r>
      <w:r w:rsidRPr="005675B2">
        <w:rPr>
          <w:rFonts w:hint="cs"/>
          <w:rtl/>
        </w:rPr>
        <w:t>كان أصحاب محمد صلى الله عليه وسلم لا يرون شيئاً من الأعمال تركه كفر غير الصلاة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الترغيب والترهيب للمنذري: 1/ 378 – 379</w:t>
      </w:r>
      <w:r w:rsidR="000636C2">
        <w:rPr>
          <w:rFonts w:hint="cs"/>
          <w:sz w:val="24"/>
          <w:szCs w:val="24"/>
          <w:rtl/>
        </w:rPr>
        <w:t>]</w:t>
      </w:r>
      <w:r w:rsidR="000636C2">
        <w:rPr>
          <w:rFonts w:hint="cs"/>
          <w:rtl/>
        </w:rPr>
        <w:t>،</w:t>
      </w:r>
      <w:r w:rsidRPr="005675B2">
        <w:rPr>
          <w:rFonts w:hint="cs"/>
          <w:rtl/>
        </w:rPr>
        <w:t xml:space="preserve"> ولكن إذا كان هنالك تعارض ظاهري بين رواية إخراج قوم من النار لم يعملوا خيراً قط وبين أحاديث تكفير تارك الصلاة ؛ فأيهما أولى بمحاولة توجيهه بما يتفق مع الآخر</w:t>
      </w:r>
      <w:r w:rsidR="000636C2">
        <w:rPr>
          <w:rFonts w:hint="cs"/>
          <w:rtl/>
        </w:rPr>
        <w:t xml:space="preserve">؟، </w:t>
      </w:r>
      <w:r w:rsidRPr="005675B2">
        <w:rPr>
          <w:rFonts w:hint="cs"/>
          <w:rtl/>
        </w:rPr>
        <w:t>يرى الباحث أن أحاديث تكفير تارك الصلاة نصوص صريحة وكأنها لا تقبل وجهاً آخر من الفهم وأن رواية إخراج قوم من النار لم يعملوا خيراً قط هي التي لا بد من توجيهها</w:t>
      </w:r>
      <w:r w:rsidR="000636C2">
        <w:rPr>
          <w:rFonts w:hint="cs"/>
          <w:rtl/>
        </w:rPr>
        <w:t xml:space="preserve">!، </w:t>
      </w:r>
      <w:r w:rsidRPr="005675B2">
        <w:rPr>
          <w:rFonts w:hint="cs"/>
          <w:rtl/>
        </w:rPr>
        <w:t>والأقرب أن العكس هو الصواب</w:t>
      </w:r>
      <w:r w:rsidR="000636C2">
        <w:rPr>
          <w:rFonts w:hint="cs"/>
          <w:rtl/>
        </w:rPr>
        <w:t>،</w:t>
      </w:r>
      <w:r w:rsidRPr="005675B2">
        <w:rPr>
          <w:rFonts w:hint="cs"/>
          <w:rtl/>
        </w:rPr>
        <w:t xml:space="preserve"> وذلك للقرائن التالية</w:t>
      </w:r>
      <w:r w:rsidR="000636C2">
        <w:rPr>
          <w:rFonts w:hint="cs"/>
          <w:rtl/>
        </w:rPr>
        <w:t xml:space="preserve">: </w:t>
      </w:r>
      <w:r w:rsidRPr="005675B2">
        <w:rPr>
          <w:rFonts w:hint="cs"/>
          <w:rtl/>
        </w:rPr>
        <w:t>أ</w:t>
      </w:r>
      <w:r w:rsidR="000636C2">
        <w:rPr>
          <w:rFonts w:hint="cs"/>
          <w:rtl/>
        </w:rPr>
        <w:t xml:space="preserve"> </w:t>
      </w:r>
      <w:r w:rsidRPr="005675B2">
        <w:rPr>
          <w:rFonts w:hint="cs"/>
          <w:rtl/>
        </w:rPr>
        <w:t xml:space="preserve">- اشتهر عند السلف قولهم </w:t>
      </w:r>
      <w:r w:rsidR="000636C2">
        <w:rPr>
          <w:rFonts w:hint="cs"/>
          <w:rtl/>
        </w:rPr>
        <w:t>[</w:t>
      </w:r>
      <w:r w:rsidRPr="005675B2">
        <w:rPr>
          <w:rFonts w:hint="cs"/>
          <w:rtl/>
        </w:rPr>
        <w:t>كفر دون كفر</w:t>
      </w:r>
      <w:r w:rsidR="000636C2">
        <w:rPr>
          <w:rFonts w:hint="cs"/>
          <w:rtl/>
        </w:rPr>
        <w:t>]،</w:t>
      </w:r>
      <w:r w:rsidRPr="005675B2">
        <w:rPr>
          <w:rFonts w:hint="cs"/>
          <w:rtl/>
        </w:rPr>
        <w:t xml:space="preserve"> وعلى هذا فتارك الصلاة</w:t>
      </w:r>
      <w:r w:rsidR="000636C2">
        <w:rPr>
          <w:rFonts w:hint="cs"/>
          <w:rtl/>
        </w:rPr>
        <w:t xml:space="preserve"> </w:t>
      </w:r>
      <w:r w:rsidRPr="005675B2">
        <w:rPr>
          <w:rFonts w:hint="cs"/>
          <w:rtl/>
        </w:rPr>
        <w:t>- إذا كان مقراً بوجوبها وحرمتها وكان تركه لها من باب الكسل</w:t>
      </w:r>
      <w:r w:rsidR="000636C2">
        <w:rPr>
          <w:rFonts w:hint="cs"/>
          <w:rtl/>
        </w:rPr>
        <w:t xml:space="preserve"> </w:t>
      </w:r>
      <w:r w:rsidRPr="005675B2">
        <w:rPr>
          <w:rFonts w:hint="cs"/>
          <w:rtl/>
        </w:rPr>
        <w:t>- هو كافر كفراً عملياً</w:t>
      </w:r>
      <w:r w:rsidR="000636C2">
        <w:rPr>
          <w:rFonts w:hint="cs"/>
          <w:rtl/>
        </w:rPr>
        <w:t>،</w:t>
      </w:r>
      <w:r w:rsidRPr="005675B2">
        <w:rPr>
          <w:rFonts w:hint="cs"/>
          <w:rtl/>
        </w:rPr>
        <w:t xml:space="preserve"> لا كفراً اعتقادياً مخرجاً من الملة</w:t>
      </w:r>
      <w:r w:rsidR="000636C2">
        <w:rPr>
          <w:rFonts w:hint="cs"/>
          <w:rtl/>
        </w:rPr>
        <w:t>،</w:t>
      </w:r>
      <w:r w:rsidRPr="005675B2">
        <w:rPr>
          <w:rFonts w:hint="cs"/>
          <w:rtl/>
        </w:rPr>
        <w:t xml:space="preserve"> وهو ما يعبرون عنه بقولهم </w:t>
      </w:r>
      <w:r w:rsidR="000636C2">
        <w:rPr>
          <w:rFonts w:hint="cs"/>
          <w:rtl/>
        </w:rPr>
        <w:t>[</w:t>
      </w:r>
      <w:r w:rsidRPr="005675B2">
        <w:rPr>
          <w:rFonts w:hint="cs"/>
          <w:rtl/>
        </w:rPr>
        <w:t>كفر دون كفر</w:t>
      </w:r>
      <w:r w:rsidR="000636C2">
        <w:rPr>
          <w:rFonts w:hint="cs"/>
          <w:rtl/>
        </w:rPr>
        <w:t>]،</w:t>
      </w:r>
      <w:r w:rsidRPr="005675B2">
        <w:rPr>
          <w:rFonts w:hint="cs"/>
          <w:rtl/>
        </w:rPr>
        <w:t xml:space="preserve"> ويكون إطلاق الصحابة لفظة الكفر على تارك الصلاة كذلك من هذا الباب</w:t>
      </w:r>
      <w:r w:rsidR="000636C2">
        <w:rPr>
          <w:rFonts w:hint="cs"/>
          <w:rtl/>
        </w:rPr>
        <w:t xml:space="preserve">، </w:t>
      </w:r>
      <w:r w:rsidRPr="005675B2">
        <w:rPr>
          <w:rFonts w:hint="cs"/>
          <w:rtl/>
        </w:rPr>
        <w:t>ب</w:t>
      </w:r>
      <w:r w:rsidR="000636C2">
        <w:rPr>
          <w:rFonts w:hint="cs"/>
          <w:rtl/>
        </w:rPr>
        <w:t xml:space="preserve"> </w:t>
      </w:r>
      <w:r w:rsidRPr="005675B2">
        <w:rPr>
          <w:rFonts w:hint="cs"/>
          <w:rtl/>
        </w:rPr>
        <w:t>- جاء عن النبي صلى الله عليه وسلم عدد من الأحاديث فيها إطلاق لفظة الكفر واتفق العلماء على أن المراد بها الكفر العملي لا الكفر الاعتقادي</w:t>
      </w:r>
      <w:r w:rsidR="000636C2">
        <w:rPr>
          <w:rFonts w:hint="cs"/>
          <w:rtl/>
        </w:rPr>
        <w:t>،</w:t>
      </w:r>
      <w:r w:rsidRPr="005675B2">
        <w:rPr>
          <w:rFonts w:hint="cs"/>
          <w:rtl/>
        </w:rPr>
        <w:t xml:space="preserve"> فمنها قوله صلى الله عليه وسلم </w:t>
      </w:r>
      <w:r w:rsidR="000636C2">
        <w:rPr>
          <w:rFonts w:hint="cs"/>
          <w:rtl/>
        </w:rPr>
        <w:t>[</w:t>
      </w:r>
      <w:r w:rsidRPr="005675B2">
        <w:rPr>
          <w:rFonts w:hint="cs"/>
          <w:rtl/>
        </w:rPr>
        <w:t>سباب المسلم فسوق وقتاله كفر</w:t>
      </w:r>
      <w:r w:rsidR="000636C2">
        <w:rPr>
          <w:rFonts w:hint="cs"/>
          <w:rtl/>
        </w:rPr>
        <w:t>]،</w:t>
      </w:r>
      <w:r w:rsidRPr="005675B2">
        <w:rPr>
          <w:rFonts w:hint="cs"/>
          <w:rtl/>
        </w:rPr>
        <w:t xml:space="preserve"> متفق عليه</w:t>
      </w:r>
      <w:r w:rsidR="000636C2">
        <w:rPr>
          <w:rFonts w:hint="cs"/>
          <w:rtl/>
        </w:rPr>
        <w:t>،</w:t>
      </w:r>
      <w:r w:rsidRPr="005675B2">
        <w:rPr>
          <w:rFonts w:hint="cs"/>
          <w:rtl/>
        </w:rPr>
        <w:t xml:space="preserve"> وقوله </w:t>
      </w:r>
      <w:r w:rsidR="000636C2">
        <w:rPr>
          <w:rFonts w:hint="cs"/>
          <w:rtl/>
        </w:rPr>
        <w:t>[</w:t>
      </w:r>
      <w:r w:rsidRPr="005675B2">
        <w:rPr>
          <w:rFonts w:hint="cs"/>
          <w:rtl/>
        </w:rPr>
        <w:t>اثنتان في الناس هما بهم كفر</w:t>
      </w:r>
      <w:r w:rsidR="000636C2">
        <w:rPr>
          <w:rFonts w:hint="cs"/>
          <w:rtl/>
        </w:rPr>
        <w:t>:</w:t>
      </w:r>
      <w:r w:rsidRPr="005675B2">
        <w:rPr>
          <w:rFonts w:hint="cs"/>
          <w:rtl/>
        </w:rPr>
        <w:t xml:space="preserve"> الطعن في النسب</w:t>
      </w:r>
      <w:r w:rsidR="000636C2">
        <w:rPr>
          <w:rFonts w:hint="cs"/>
          <w:rtl/>
        </w:rPr>
        <w:t>،</w:t>
      </w:r>
      <w:r w:rsidRPr="005675B2">
        <w:rPr>
          <w:rFonts w:hint="cs"/>
          <w:rtl/>
        </w:rPr>
        <w:t xml:space="preserve"> والنياحة على الميت</w:t>
      </w:r>
      <w:r w:rsidR="000636C2">
        <w:rPr>
          <w:rFonts w:hint="cs"/>
          <w:rtl/>
        </w:rPr>
        <w:t>]،</w:t>
      </w:r>
      <w:r w:rsidRPr="005675B2">
        <w:rPr>
          <w:rFonts w:hint="cs"/>
          <w:rtl/>
        </w:rPr>
        <w:t xml:space="preserve"> رواه مسلم</w:t>
      </w:r>
      <w:r w:rsidR="000636C2">
        <w:rPr>
          <w:rFonts w:hint="cs"/>
          <w:rtl/>
        </w:rPr>
        <w:t>،</w:t>
      </w:r>
      <w:r w:rsidRPr="005675B2">
        <w:rPr>
          <w:rFonts w:hint="cs"/>
          <w:rtl/>
        </w:rPr>
        <w:t xml:space="preserve"> وقوله </w:t>
      </w:r>
      <w:r w:rsidR="000636C2">
        <w:rPr>
          <w:rFonts w:hint="cs"/>
          <w:rtl/>
        </w:rPr>
        <w:t>[</w:t>
      </w:r>
      <w:r w:rsidRPr="005675B2">
        <w:rPr>
          <w:rFonts w:hint="cs"/>
          <w:rtl/>
        </w:rPr>
        <w:t>لا ترغبوا عن آبائكم</w:t>
      </w:r>
      <w:r w:rsidR="000636C2">
        <w:rPr>
          <w:rFonts w:hint="cs"/>
          <w:rtl/>
        </w:rPr>
        <w:t>،</w:t>
      </w:r>
      <w:r w:rsidRPr="005675B2">
        <w:rPr>
          <w:rFonts w:hint="cs"/>
          <w:rtl/>
        </w:rPr>
        <w:t xml:space="preserve"> فمن رغب عن أبيه فهو كافر</w:t>
      </w:r>
      <w:r w:rsidR="000636C2">
        <w:rPr>
          <w:rFonts w:hint="cs"/>
          <w:rtl/>
        </w:rPr>
        <w:t>]،</w:t>
      </w:r>
      <w:r w:rsidRPr="005675B2">
        <w:rPr>
          <w:rFonts w:hint="cs"/>
          <w:rtl/>
        </w:rPr>
        <w:t xml:space="preserve"> رواه مسلم</w:t>
      </w:r>
      <w:r w:rsidR="000636C2">
        <w:rPr>
          <w:rFonts w:hint="cs"/>
          <w:rtl/>
        </w:rPr>
        <w:t>،</w:t>
      </w:r>
      <w:r w:rsidRPr="005675B2">
        <w:rPr>
          <w:rFonts w:hint="cs"/>
          <w:rtl/>
        </w:rPr>
        <w:t xml:space="preserve"> وقوله </w:t>
      </w:r>
      <w:r w:rsidR="000636C2">
        <w:rPr>
          <w:rFonts w:hint="cs"/>
          <w:rtl/>
        </w:rPr>
        <w:t>[</w:t>
      </w:r>
      <w:r w:rsidRPr="005675B2">
        <w:rPr>
          <w:rFonts w:hint="cs"/>
          <w:rtl/>
        </w:rPr>
        <w:t>أيُّما عبد أبق من مواليه فقد كفر حتى يرجع إليهم</w:t>
      </w:r>
      <w:r w:rsidR="000636C2">
        <w:rPr>
          <w:rFonts w:hint="cs"/>
          <w:rtl/>
        </w:rPr>
        <w:t>]،</w:t>
      </w:r>
      <w:r w:rsidRPr="005675B2">
        <w:rPr>
          <w:rFonts w:hint="cs"/>
          <w:rtl/>
        </w:rPr>
        <w:t xml:space="preserve"> رواه مسلم</w:t>
      </w:r>
      <w:r w:rsidR="000636C2">
        <w:rPr>
          <w:rFonts w:hint="cs"/>
          <w:rtl/>
        </w:rPr>
        <w:t>،</w:t>
      </w:r>
      <w:r w:rsidRPr="005675B2">
        <w:rPr>
          <w:rFonts w:hint="cs"/>
          <w:rtl/>
        </w:rPr>
        <w:t xml:space="preserve"> وقوله </w:t>
      </w:r>
      <w:r w:rsidR="000636C2">
        <w:rPr>
          <w:rFonts w:hint="cs"/>
          <w:rtl/>
        </w:rPr>
        <w:t>[</w:t>
      </w:r>
      <w:r w:rsidRPr="005675B2">
        <w:rPr>
          <w:rFonts w:hint="cs"/>
          <w:rtl/>
        </w:rPr>
        <w:t>من حلف بغير الله فقد كفر</w:t>
      </w:r>
      <w:r w:rsidR="000636C2">
        <w:rPr>
          <w:rFonts w:hint="cs"/>
          <w:rtl/>
        </w:rPr>
        <w:t>]</w:t>
      </w:r>
      <w:r w:rsidRPr="005675B2">
        <w:rPr>
          <w:rFonts w:hint="cs"/>
          <w:rtl/>
        </w:rPr>
        <w:t xml:space="preserve"> أو </w:t>
      </w:r>
      <w:r w:rsidR="000636C2">
        <w:rPr>
          <w:rFonts w:hint="cs"/>
          <w:rtl/>
        </w:rPr>
        <w:t>[</w:t>
      </w:r>
      <w:r w:rsidRPr="005675B2">
        <w:rPr>
          <w:rFonts w:hint="cs"/>
          <w:rtl/>
        </w:rPr>
        <w:t>فقد أشرك</w:t>
      </w:r>
      <w:r w:rsidR="000636C2">
        <w:rPr>
          <w:rFonts w:hint="cs"/>
          <w:rtl/>
        </w:rPr>
        <w:t>]،</w:t>
      </w:r>
      <w:r w:rsidRPr="005675B2">
        <w:rPr>
          <w:rFonts w:hint="cs"/>
          <w:rtl/>
        </w:rPr>
        <w:t xml:space="preserve"> رواه الحاكم وأحمد وأبو داود</w:t>
      </w:r>
      <w:r w:rsidR="000636C2">
        <w:rPr>
          <w:rFonts w:hint="cs"/>
          <w:rtl/>
        </w:rPr>
        <w:t>،</w:t>
      </w:r>
      <w:r w:rsidRPr="005675B2">
        <w:rPr>
          <w:rFonts w:hint="cs"/>
          <w:rtl/>
        </w:rPr>
        <w:t xml:space="preserve"> فمن وقع في شيء من هذا ولم يستحل فإن العلماء متفقون على أنه لم يكفر الكفر المخرج من الملة</w:t>
      </w:r>
      <w:r w:rsidR="000636C2">
        <w:rPr>
          <w:rFonts w:hint="cs"/>
          <w:rtl/>
        </w:rPr>
        <w:t>،</w:t>
      </w:r>
      <w:r w:rsidRPr="005675B2">
        <w:rPr>
          <w:rFonts w:hint="cs"/>
          <w:rtl/>
        </w:rPr>
        <w:t xml:space="preserve"> والأحاديث التي فيها تكفير تارك الصلاة هي كذلك من هذا الباب</w:t>
      </w:r>
      <w:r w:rsidR="000636C2">
        <w:rPr>
          <w:rFonts w:hint="cs"/>
          <w:rtl/>
        </w:rPr>
        <w:t>،</w:t>
      </w:r>
      <w:r w:rsidRPr="005675B2">
        <w:rPr>
          <w:rFonts w:hint="cs"/>
          <w:rtl/>
        </w:rPr>
        <w:t xml:space="preserve"> وقد ذكر ابن أبي العز عدداً من هذه الأحاديث وغيرها وحديث تكفير تارك الصلاة وبيّن اتفاق أهل السنة على أن الحكم بالكفر هنا ليس المراد منه الكفر الذي ينقل عن الملة [</w:t>
      </w:r>
      <w:r w:rsidRPr="005675B2">
        <w:rPr>
          <w:rFonts w:hint="cs"/>
          <w:sz w:val="24"/>
          <w:szCs w:val="24"/>
          <w:rtl/>
        </w:rPr>
        <w:t xml:space="preserve">انظر: شرح العقيدة الطحاوية لابن أبي العز: 2/ 439 – 444 . ومن كلام ابن تيمية رحمه الله قوله </w:t>
      </w:r>
      <w:r w:rsidR="000636C2">
        <w:rPr>
          <w:rFonts w:hint="cs"/>
          <w:sz w:val="24"/>
          <w:szCs w:val="24"/>
          <w:rtl/>
        </w:rPr>
        <w:t>(</w:t>
      </w:r>
      <w:r w:rsidRPr="005675B2">
        <w:rPr>
          <w:rFonts w:hint="cs"/>
          <w:sz w:val="24"/>
          <w:szCs w:val="24"/>
          <w:rtl/>
        </w:rPr>
        <w:t>ومن مات وكان لا يزكي ولا يصلي إلا في رمضان ينبغي لأهل العلم والدين أن يَدَعُواالصلاة عليه</w:t>
      </w:r>
      <w:r w:rsidR="000636C2">
        <w:rPr>
          <w:rFonts w:hint="cs"/>
          <w:sz w:val="24"/>
          <w:szCs w:val="24"/>
          <w:rtl/>
        </w:rPr>
        <w:t>،</w:t>
      </w:r>
      <w:r w:rsidRPr="005675B2">
        <w:rPr>
          <w:rFonts w:hint="cs"/>
          <w:sz w:val="24"/>
          <w:szCs w:val="24"/>
          <w:rtl/>
        </w:rPr>
        <w:t xml:space="preserve"> عقوبة ونكالاً لأمثاله</w:t>
      </w:r>
      <w:r w:rsidR="000636C2">
        <w:rPr>
          <w:rFonts w:hint="cs"/>
          <w:sz w:val="24"/>
          <w:szCs w:val="24"/>
          <w:rtl/>
        </w:rPr>
        <w:t>،</w:t>
      </w:r>
      <w:r w:rsidRPr="005675B2">
        <w:rPr>
          <w:rFonts w:hint="cs"/>
          <w:sz w:val="24"/>
          <w:szCs w:val="24"/>
          <w:rtl/>
        </w:rPr>
        <w:t> ... ولا بد أن يصلي عليه بعض الناس)</w:t>
      </w:r>
      <w:r w:rsidR="000636C2">
        <w:rPr>
          <w:rFonts w:hint="cs"/>
          <w:sz w:val="24"/>
          <w:szCs w:val="24"/>
          <w:rtl/>
        </w:rPr>
        <w:t>،</w:t>
      </w:r>
      <w:r w:rsidRPr="005675B2">
        <w:rPr>
          <w:rFonts w:hint="cs"/>
          <w:sz w:val="24"/>
          <w:szCs w:val="24"/>
          <w:rtl/>
        </w:rPr>
        <w:t xml:space="preserve"> وقوله </w:t>
      </w:r>
      <w:r w:rsidR="000636C2">
        <w:rPr>
          <w:rFonts w:hint="cs"/>
          <w:sz w:val="24"/>
          <w:szCs w:val="24"/>
          <w:rtl/>
        </w:rPr>
        <w:t>(</w:t>
      </w:r>
      <w:r w:rsidRPr="005675B2">
        <w:rPr>
          <w:rFonts w:hint="cs"/>
          <w:sz w:val="24"/>
          <w:szCs w:val="24"/>
          <w:rtl/>
        </w:rPr>
        <w:t>فمن لا يصلي من أهل الحاجات لا يعطى شيئاً من الزكاة حتى يتوب ويلتزم أداء الصلاة في أوقاتها)</w:t>
      </w:r>
      <w:r w:rsidR="000636C2">
        <w:rPr>
          <w:rFonts w:hint="cs"/>
          <w:sz w:val="24"/>
          <w:szCs w:val="24"/>
          <w:rtl/>
        </w:rPr>
        <w:t>،</w:t>
      </w:r>
      <w:r w:rsidRPr="005675B2">
        <w:rPr>
          <w:rFonts w:hint="cs"/>
          <w:sz w:val="24"/>
          <w:szCs w:val="24"/>
          <w:rtl/>
        </w:rPr>
        <w:t xml:space="preserve"> وقوله </w:t>
      </w:r>
      <w:r w:rsidR="000636C2">
        <w:rPr>
          <w:rFonts w:hint="cs"/>
          <w:sz w:val="24"/>
          <w:szCs w:val="24"/>
          <w:rtl/>
        </w:rPr>
        <w:t>(</w:t>
      </w:r>
      <w:r w:rsidRPr="005675B2">
        <w:rPr>
          <w:rFonts w:hint="cs"/>
          <w:sz w:val="24"/>
          <w:szCs w:val="24"/>
          <w:rtl/>
        </w:rPr>
        <w:t>ولا يستريب أحد فيمن صلى محدثاً أو إلى غير القبلة أو بعد الوقت أو بلا قراءة أنها كبيرة))</w:t>
      </w:r>
      <w:r w:rsidR="000636C2">
        <w:rPr>
          <w:rFonts w:hint="cs"/>
          <w:sz w:val="24"/>
          <w:szCs w:val="24"/>
          <w:rtl/>
        </w:rPr>
        <w:t xml:space="preserve">، </w:t>
      </w:r>
      <w:r w:rsidRPr="005675B2">
        <w:rPr>
          <w:rFonts w:hint="cs"/>
          <w:sz w:val="24"/>
          <w:szCs w:val="24"/>
          <w:rtl/>
        </w:rPr>
        <w:t xml:space="preserve">وقف عند قوله </w:t>
      </w:r>
      <w:r w:rsidR="000636C2">
        <w:rPr>
          <w:rFonts w:hint="cs"/>
          <w:sz w:val="24"/>
          <w:szCs w:val="24"/>
          <w:rtl/>
        </w:rPr>
        <w:t>(</w:t>
      </w:r>
      <w:r w:rsidRPr="005675B2">
        <w:rPr>
          <w:rFonts w:hint="cs"/>
          <w:sz w:val="24"/>
          <w:szCs w:val="24"/>
          <w:rtl/>
        </w:rPr>
        <w:t xml:space="preserve">حتى يتوب) وقوله </w:t>
      </w:r>
      <w:r w:rsidR="000636C2">
        <w:rPr>
          <w:rFonts w:hint="cs"/>
          <w:sz w:val="24"/>
          <w:szCs w:val="24"/>
          <w:rtl/>
        </w:rPr>
        <w:t>(</w:t>
      </w:r>
      <w:r w:rsidRPr="005675B2">
        <w:rPr>
          <w:rFonts w:hint="cs"/>
          <w:sz w:val="24"/>
          <w:szCs w:val="24"/>
          <w:rtl/>
        </w:rPr>
        <w:t>أنها كبيرة)</w:t>
      </w:r>
      <w:r w:rsidR="000636C2">
        <w:rPr>
          <w:rFonts w:hint="cs"/>
          <w:sz w:val="24"/>
          <w:szCs w:val="24"/>
          <w:rtl/>
        </w:rPr>
        <w:t>،</w:t>
      </w:r>
      <w:r w:rsidRPr="005675B2">
        <w:rPr>
          <w:rFonts w:hint="cs"/>
          <w:sz w:val="24"/>
          <w:szCs w:val="24"/>
          <w:rtl/>
        </w:rPr>
        <w:t xml:space="preserve"> ولو كان يراه كافراًً لقال </w:t>
      </w:r>
      <w:r w:rsidR="000636C2">
        <w:rPr>
          <w:rFonts w:hint="cs"/>
          <w:sz w:val="24"/>
          <w:szCs w:val="24"/>
          <w:rtl/>
        </w:rPr>
        <w:t>(</w:t>
      </w:r>
      <w:r w:rsidRPr="005675B2">
        <w:rPr>
          <w:rFonts w:hint="cs"/>
          <w:sz w:val="24"/>
          <w:szCs w:val="24"/>
          <w:rtl/>
        </w:rPr>
        <w:t xml:space="preserve">حتى يعود إلى الإسلام) ولقال </w:t>
      </w:r>
      <w:r w:rsidR="000636C2">
        <w:rPr>
          <w:rFonts w:hint="cs"/>
          <w:sz w:val="24"/>
          <w:szCs w:val="24"/>
          <w:rtl/>
        </w:rPr>
        <w:t>(</w:t>
      </w:r>
      <w:r w:rsidRPr="005675B2">
        <w:rPr>
          <w:rFonts w:hint="cs"/>
          <w:sz w:val="24"/>
          <w:szCs w:val="24"/>
          <w:rtl/>
        </w:rPr>
        <w:t>أنها كفر)</w:t>
      </w:r>
      <w:r w:rsidR="000636C2">
        <w:rPr>
          <w:rFonts w:hint="cs"/>
          <w:sz w:val="24"/>
          <w:szCs w:val="24"/>
          <w:rtl/>
        </w:rPr>
        <w:t>،</w:t>
      </w:r>
      <w:r w:rsidRPr="005675B2">
        <w:rPr>
          <w:rFonts w:hint="cs"/>
          <w:sz w:val="24"/>
          <w:szCs w:val="24"/>
          <w:rtl/>
        </w:rPr>
        <w:t xml:space="preserve"> وعلى كل حال فالنقل الذي قبل هذين أصرح منهما . </w:t>
      </w:r>
      <w:r w:rsidR="000636C2">
        <w:rPr>
          <w:rFonts w:hint="cs"/>
          <w:sz w:val="24"/>
          <w:szCs w:val="24"/>
          <w:rtl/>
        </w:rPr>
        <w:t>(</w:t>
      </w:r>
      <w:r w:rsidRPr="005675B2">
        <w:rPr>
          <w:rFonts w:hint="cs"/>
          <w:sz w:val="24"/>
          <w:szCs w:val="24"/>
          <w:rtl/>
        </w:rPr>
        <w:t>الاختيارات الفقهية من فتاوى ابن تيمية لابن اللحام البعلي: ص 159 – 160</w:t>
      </w:r>
      <w:r w:rsidR="000636C2">
        <w:rPr>
          <w:rFonts w:hint="cs"/>
          <w:sz w:val="24"/>
          <w:szCs w:val="24"/>
          <w:rtl/>
        </w:rPr>
        <w:t>،</w:t>
      </w:r>
      <w:r w:rsidRPr="005675B2">
        <w:rPr>
          <w:rFonts w:hint="cs"/>
          <w:sz w:val="24"/>
          <w:szCs w:val="24"/>
          <w:rtl/>
        </w:rPr>
        <w:t xml:space="preserve"> 185</w:t>
      </w:r>
      <w:r w:rsidR="000636C2">
        <w:rPr>
          <w:rFonts w:hint="cs"/>
          <w:sz w:val="24"/>
          <w:szCs w:val="24"/>
          <w:rtl/>
        </w:rPr>
        <w:t>،</w:t>
      </w:r>
      <w:r w:rsidRPr="005675B2">
        <w:rPr>
          <w:rFonts w:hint="cs"/>
          <w:sz w:val="24"/>
          <w:szCs w:val="24"/>
          <w:rtl/>
        </w:rPr>
        <w:t xml:space="preserve"> 612</w:t>
      </w:r>
      <w:r w:rsidR="000636C2">
        <w:rPr>
          <w:rFonts w:hint="cs"/>
          <w:sz w:val="24"/>
          <w:szCs w:val="24"/>
          <w:rtl/>
        </w:rPr>
        <w:t>)،]</w:t>
      </w:r>
      <w:r w:rsidR="000636C2">
        <w:rPr>
          <w:rFonts w:hint="cs"/>
          <w:rtl/>
        </w:rPr>
        <w:t xml:space="preserve">، </w:t>
      </w:r>
      <w:r w:rsidRPr="005675B2">
        <w:rPr>
          <w:rFonts w:hint="cs"/>
          <w:rtl/>
        </w:rPr>
        <w:t>ج</w:t>
      </w:r>
      <w:r w:rsidR="000636C2">
        <w:rPr>
          <w:rFonts w:hint="cs"/>
          <w:rtl/>
        </w:rPr>
        <w:t xml:space="preserve"> </w:t>
      </w:r>
      <w:r w:rsidRPr="005675B2">
        <w:rPr>
          <w:rFonts w:hint="cs"/>
          <w:rtl/>
        </w:rPr>
        <w:t>- جاء عن عبادة بن الصامت رضي الله عنه عن النبي صلى الله عليه وسلم أنه قال</w:t>
      </w:r>
      <w:r w:rsidR="000636C2">
        <w:rPr>
          <w:rFonts w:hint="cs"/>
          <w:rtl/>
        </w:rPr>
        <w:t>:</w:t>
      </w:r>
      <w:r w:rsidRPr="005675B2">
        <w:rPr>
          <w:rFonts w:hint="cs"/>
          <w:rtl/>
        </w:rPr>
        <w:t xml:space="preserve"> </w:t>
      </w:r>
      <w:r w:rsidR="000636C2">
        <w:rPr>
          <w:rFonts w:hint="cs"/>
          <w:rtl/>
        </w:rPr>
        <w:t>[</w:t>
      </w:r>
      <w:r w:rsidRPr="005675B2">
        <w:rPr>
          <w:rFonts w:hint="cs"/>
          <w:rtl/>
        </w:rPr>
        <w:t>خمس صلوات افترضهن الله على عباده</w:t>
      </w:r>
      <w:r w:rsidR="000636C2">
        <w:rPr>
          <w:rFonts w:hint="cs"/>
          <w:rtl/>
        </w:rPr>
        <w:t>،</w:t>
      </w:r>
      <w:r w:rsidRPr="005675B2">
        <w:rPr>
          <w:rFonts w:hint="cs"/>
          <w:rtl/>
        </w:rPr>
        <w:t xml:space="preserve"> من أحسن وضوءهن وصلاتهن لوقتهن</w:t>
      </w:r>
      <w:r w:rsidR="000636C2">
        <w:rPr>
          <w:rFonts w:hint="cs"/>
          <w:rtl/>
        </w:rPr>
        <w:t>،</w:t>
      </w:r>
      <w:r w:rsidRPr="005675B2">
        <w:rPr>
          <w:rFonts w:hint="cs"/>
          <w:rtl/>
        </w:rPr>
        <w:t xml:space="preserve"> فأتم ركوعهن وسجودهن وخشوعهن كان له عند الله عهد أن يغفر له</w:t>
      </w:r>
      <w:r w:rsidR="000636C2">
        <w:rPr>
          <w:rFonts w:hint="cs"/>
          <w:rtl/>
        </w:rPr>
        <w:t>،</w:t>
      </w:r>
      <w:r w:rsidRPr="005675B2">
        <w:rPr>
          <w:rFonts w:hint="cs"/>
          <w:rtl/>
        </w:rPr>
        <w:t xml:space="preserve"> ومن لم يفعل فليس له عند الله عهد</w:t>
      </w:r>
      <w:r w:rsidR="000636C2">
        <w:rPr>
          <w:rFonts w:hint="cs"/>
          <w:rtl/>
        </w:rPr>
        <w:t>،</w:t>
      </w:r>
      <w:r w:rsidRPr="005675B2">
        <w:rPr>
          <w:rFonts w:hint="cs"/>
          <w:rtl/>
        </w:rPr>
        <w:t xml:space="preserve"> إن شاء غفر له وإن شاء عذبه</w:t>
      </w:r>
      <w:r w:rsidR="000636C2">
        <w:rPr>
          <w:rFonts w:hint="cs"/>
          <w:rtl/>
        </w:rPr>
        <w:t>]،</w:t>
      </w:r>
      <w:r w:rsidRPr="005675B2">
        <w:rPr>
          <w:rFonts w:hint="cs"/>
          <w:rtl/>
        </w:rPr>
        <w:t xml:space="preserve"> وفي الطريق الآخر عنه</w:t>
      </w:r>
      <w:r w:rsidR="000636C2">
        <w:rPr>
          <w:rFonts w:hint="cs"/>
          <w:rtl/>
        </w:rPr>
        <w:t>:</w:t>
      </w:r>
      <w:r w:rsidRPr="005675B2">
        <w:rPr>
          <w:rFonts w:hint="cs"/>
          <w:rtl/>
        </w:rPr>
        <w:t xml:space="preserve"> </w:t>
      </w:r>
      <w:r w:rsidR="000636C2">
        <w:rPr>
          <w:rFonts w:hint="cs"/>
          <w:rtl/>
        </w:rPr>
        <w:t>[</w:t>
      </w:r>
      <w:r w:rsidRPr="005675B2">
        <w:rPr>
          <w:rFonts w:hint="cs"/>
          <w:rtl/>
        </w:rPr>
        <w:t>خمس صلوات افترضهن الله على عباده</w:t>
      </w:r>
      <w:r w:rsidR="000636C2">
        <w:rPr>
          <w:rFonts w:hint="cs"/>
          <w:rtl/>
        </w:rPr>
        <w:t>،</w:t>
      </w:r>
      <w:r w:rsidRPr="005675B2">
        <w:rPr>
          <w:rFonts w:hint="cs"/>
          <w:rtl/>
        </w:rPr>
        <w:t xml:space="preserve"> فمن لقيه بهن لم يضيع منهن شيئاً لقيه وله عنده عهد يدخله به الجنة</w:t>
      </w:r>
      <w:r w:rsidR="000636C2">
        <w:rPr>
          <w:rFonts w:hint="cs"/>
          <w:rtl/>
        </w:rPr>
        <w:t>،</w:t>
      </w:r>
      <w:r w:rsidRPr="005675B2">
        <w:rPr>
          <w:rFonts w:hint="cs"/>
          <w:rtl/>
        </w:rPr>
        <w:t xml:space="preserve"> ومن لقيه وقد انتقص منهن شيئاً استخفافاً بحقهن لقيه ولا عهد له</w:t>
      </w:r>
      <w:r w:rsidR="000636C2">
        <w:rPr>
          <w:rFonts w:hint="cs"/>
          <w:rtl/>
        </w:rPr>
        <w:t>،</w:t>
      </w:r>
      <w:r w:rsidRPr="005675B2">
        <w:rPr>
          <w:rFonts w:hint="cs"/>
          <w:rtl/>
        </w:rPr>
        <w:t xml:space="preserve"> إن شاء عذبه وإن شاء غفر له</w:t>
      </w:r>
      <w:r w:rsidR="000636C2">
        <w:rPr>
          <w:rFonts w:hint="cs"/>
          <w:rtl/>
        </w:rPr>
        <w:t>]</w:t>
      </w:r>
      <w:r w:rsidRPr="005675B2">
        <w:rPr>
          <w:rFonts w:hint="cs"/>
          <w:rtl/>
        </w:rPr>
        <w:t xml:space="preserve"> [</w:t>
      </w:r>
      <w:r w:rsidRPr="005675B2">
        <w:rPr>
          <w:rFonts w:hint="cs"/>
          <w:sz w:val="24"/>
          <w:szCs w:val="24"/>
          <w:rtl/>
        </w:rPr>
        <w:t>الطريق الأول في مسند الإمام أحمد: 5/317</w:t>
      </w:r>
      <w:r w:rsidR="000636C2">
        <w:rPr>
          <w:rFonts w:hint="cs"/>
          <w:sz w:val="24"/>
          <w:szCs w:val="24"/>
          <w:rtl/>
        </w:rPr>
        <w:t>،</w:t>
      </w:r>
      <w:r w:rsidRPr="005675B2">
        <w:rPr>
          <w:rFonts w:hint="cs"/>
          <w:sz w:val="24"/>
          <w:szCs w:val="24"/>
          <w:rtl/>
        </w:rPr>
        <w:t xml:space="preserve"> وهو من طريق عطاء بن يسار عن أبي عبد الله الصنابجي عبد الرحمن بن عسيلة عن عبادة</w:t>
      </w:r>
      <w:r w:rsidR="000636C2">
        <w:rPr>
          <w:rFonts w:hint="cs"/>
          <w:sz w:val="24"/>
          <w:szCs w:val="24"/>
          <w:rtl/>
        </w:rPr>
        <w:t>،</w:t>
      </w:r>
      <w:r w:rsidRPr="005675B2">
        <w:rPr>
          <w:rFonts w:hint="cs"/>
          <w:sz w:val="24"/>
          <w:szCs w:val="24"/>
          <w:rtl/>
        </w:rPr>
        <w:t xml:space="preserve"> والسند صحيح . والطريق الآخر هو من رواية محمد بن يحيى بن حبان عن عبد الله بن محيريز عن أبي رفيع المخدجي عن عبادة</w:t>
      </w:r>
      <w:r w:rsidR="000636C2">
        <w:rPr>
          <w:rFonts w:hint="cs"/>
          <w:sz w:val="24"/>
          <w:szCs w:val="24"/>
          <w:rtl/>
        </w:rPr>
        <w:t>،</w:t>
      </w:r>
      <w:r w:rsidRPr="005675B2">
        <w:rPr>
          <w:rFonts w:hint="cs"/>
          <w:sz w:val="24"/>
          <w:szCs w:val="24"/>
          <w:rtl/>
        </w:rPr>
        <w:t xml:space="preserve"> ورجاله ثقات إلا أن الراوي عن عبادة لم أجد سوى أن ذكره ابن حبان في الثقات</w:t>
      </w:r>
      <w:r w:rsidR="000636C2">
        <w:rPr>
          <w:rFonts w:hint="cs"/>
          <w:sz w:val="24"/>
          <w:szCs w:val="24"/>
          <w:rtl/>
        </w:rPr>
        <w:t>،</w:t>
      </w:r>
      <w:r w:rsidRPr="005675B2">
        <w:rPr>
          <w:rFonts w:hint="cs"/>
          <w:sz w:val="24"/>
          <w:szCs w:val="24"/>
          <w:rtl/>
        </w:rPr>
        <w:t xml:space="preserve"> وقبله الإمام مالك فأخرج عنه هذا الحديث في الموطأ . انظر: الموطأ للإمام مالك: 1/123 . المسند للإمام أحمد: 5/315</w:t>
      </w:r>
      <w:r w:rsidR="000636C2">
        <w:rPr>
          <w:rFonts w:hint="cs"/>
          <w:sz w:val="24"/>
          <w:szCs w:val="24"/>
          <w:rtl/>
        </w:rPr>
        <w:t>،</w:t>
      </w:r>
      <w:r w:rsidRPr="005675B2">
        <w:rPr>
          <w:rFonts w:hint="cs"/>
          <w:sz w:val="24"/>
          <w:szCs w:val="24"/>
          <w:rtl/>
        </w:rPr>
        <w:t xml:space="preserve"> 319</w:t>
      </w:r>
      <w:r w:rsidR="000636C2">
        <w:rPr>
          <w:rFonts w:hint="cs"/>
          <w:sz w:val="24"/>
          <w:szCs w:val="24"/>
          <w:rtl/>
        </w:rPr>
        <w:t>،</w:t>
      </w:r>
      <w:r w:rsidRPr="005675B2">
        <w:rPr>
          <w:rFonts w:hint="cs"/>
          <w:sz w:val="24"/>
          <w:szCs w:val="24"/>
          <w:rtl/>
        </w:rPr>
        <w:t xml:space="preserve"> 322 . سنن أبي داود: 2/ 62 . سنن النسائي: 1/230 . سنن ابن ماجه: 1/449 . وروي الحديث بنحوه بإسناد آخر عن أبي قتادة الأنصاري مرفوعاً في: سنن ابن ماجه</w:t>
      </w:r>
      <w:r w:rsidR="000636C2">
        <w:rPr>
          <w:rFonts w:hint="cs"/>
          <w:sz w:val="24"/>
          <w:szCs w:val="24"/>
          <w:rtl/>
        </w:rPr>
        <w:t>:</w:t>
      </w:r>
      <w:r w:rsidRPr="005675B2">
        <w:rPr>
          <w:rFonts w:hint="cs"/>
          <w:sz w:val="24"/>
          <w:szCs w:val="24"/>
          <w:rtl/>
        </w:rPr>
        <w:t xml:space="preserve"> 1/450</w:t>
      </w:r>
      <w:r w:rsidR="000636C2">
        <w:rPr>
          <w:rFonts w:hint="cs"/>
          <w:sz w:val="24"/>
          <w:szCs w:val="24"/>
          <w:rtl/>
        </w:rPr>
        <w:t>،</w:t>
      </w:r>
      <w:r w:rsidRPr="005675B2">
        <w:rPr>
          <w:rFonts w:hint="cs"/>
          <w:sz w:val="24"/>
          <w:szCs w:val="24"/>
          <w:rtl/>
        </w:rPr>
        <w:t xml:space="preserve"> ولكن إسناده ضعيف . ويغني عنه حديث عبادة بن الصامت</w:t>
      </w:r>
      <w:r w:rsidR="000636C2">
        <w:rPr>
          <w:rFonts w:hint="cs"/>
          <w:sz w:val="24"/>
          <w:szCs w:val="24"/>
          <w:rtl/>
        </w:rPr>
        <w:t>]</w:t>
      </w:r>
      <w:r w:rsidR="000636C2">
        <w:rPr>
          <w:rFonts w:hint="cs"/>
          <w:rtl/>
        </w:rPr>
        <w:t>،</w:t>
      </w:r>
      <w:r w:rsidRPr="005675B2">
        <w:rPr>
          <w:rFonts w:hint="cs"/>
          <w:rtl/>
        </w:rPr>
        <w:t xml:space="preserve"> وليس انتقاص هذا المقصر في الصلاة مما يرجع إلى نقص في السنن والآداب والخشوع</w:t>
      </w:r>
      <w:r w:rsidR="000636C2">
        <w:rPr>
          <w:rFonts w:hint="cs"/>
          <w:rtl/>
        </w:rPr>
        <w:t>،</w:t>
      </w:r>
      <w:r w:rsidRPr="005675B2">
        <w:rPr>
          <w:rFonts w:hint="cs"/>
          <w:rtl/>
        </w:rPr>
        <w:t xml:space="preserve"> ولكنه نقص في الفرائض التي يستحق عليها العذاب في الآخرة</w:t>
      </w:r>
      <w:r w:rsidR="000636C2">
        <w:rPr>
          <w:rFonts w:hint="cs"/>
          <w:rtl/>
        </w:rPr>
        <w:t>،</w:t>
      </w:r>
      <w:r w:rsidRPr="005675B2">
        <w:rPr>
          <w:rFonts w:hint="cs"/>
          <w:rtl/>
        </w:rPr>
        <w:t xml:space="preserve"> ومع ذلك فهو داخل تحت المشيئة</w:t>
      </w:r>
      <w:r w:rsidR="000636C2">
        <w:rPr>
          <w:rFonts w:hint="cs"/>
          <w:rtl/>
        </w:rPr>
        <w:t>،</w:t>
      </w:r>
      <w:r w:rsidRPr="005675B2">
        <w:rPr>
          <w:rFonts w:hint="cs"/>
          <w:rtl/>
        </w:rPr>
        <w:t xml:space="preserve"> ولو كان تارك الصلاة كافراً - والإخلال بالفرائض فيها كالترك</w:t>
      </w:r>
      <w:r w:rsidR="000636C2">
        <w:rPr>
          <w:rFonts w:hint="cs"/>
          <w:rtl/>
        </w:rPr>
        <w:t xml:space="preserve"> </w:t>
      </w:r>
      <w:r w:rsidRPr="005675B2">
        <w:rPr>
          <w:rFonts w:hint="cs"/>
          <w:rtl/>
        </w:rPr>
        <w:t>- لما أدخله تحت المشيئة</w:t>
      </w:r>
      <w:r w:rsidR="000636C2">
        <w:rPr>
          <w:rFonts w:hint="cs"/>
          <w:rtl/>
        </w:rPr>
        <w:t>،</w:t>
      </w:r>
    </w:p>
    <w:p w14:paraId="7BDBE764" w14:textId="49714678" w:rsidR="009C32A0" w:rsidRPr="005675B2" w:rsidRDefault="000636C2" w:rsidP="000636C2">
      <w:pPr>
        <w:rPr>
          <w:b/>
          <w:rtl/>
        </w:rPr>
      </w:pPr>
      <w:r>
        <w:rPr>
          <w:rFonts w:hint="cs"/>
          <w:rtl/>
        </w:rPr>
        <w:t>[</w:t>
      </w:r>
      <w:r w:rsidR="009C32A0" w:rsidRPr="005675B2">
        <w:rPr>
          <w:rFonts w:hint="cs"/>
          <w:rtl/>
        </w:rPr>
        <w:t>المسألة الخامسة</w:t>
      </w:r>
      <w:r>
        <w:rPr>
          <w:rFonts w:hint="cs"/>
          <w:rtl/>
        </w:rPr>
        <w:t xml:space="preserve">]: </w:t>
      </w:r>
      <w:r w:rsidR="009C32A0" w:rsidRPr="005675B2">
        <w:rPr>
          <w:rFonts w:hint="cs"/>
          <w:rtl/>
        </w:rPr>
        <w:t xml:space="preserve">قوله </w:t>
      </w:r>
      <w:r w:rsidR="009C32A0" w:rsidRPr="005675B2">
        <w:rPr>
          <w:rFonts w:hint="cs"/>
          <w:rtl/>
          <w:lang w:eastAsia="ar-AE"/>
        </w:rPr>
        <w:t>صلى الله عليه وسلم</w:t>
      </w:r>
      <w:r w:rsidR="009C32A0" w:rsidRPr="005675B2">
        <w:rPr>
          <w:rFonts w:hint="cs"/>
          <w:rtl/>
        </w:rPr>
        <w:t xml:space="preserve"> عن أهل المرحلة الرابعة </w:t>
      </w:r>
      <w:r>
        <w:rPr>
          <w:rFonts w:hint="cs"/>
          <w:rtl/>
        </w:rPr>
        <w:t>[</w:t>
      </w:r>
      <w:r w:rsidR="009C32A0" w:rsidRPr="005675B2">
        <w:rPr>
          <w:rFonts w:hint="cs"/>
          <w:rtl/>
        </w:rPr>
        <w:t>فيقول أهل الجنة</w:t>
      </w:r>
      <w:r>
        <w:rPr>
          <w:rFonts w:hint="cs"/>
          <w:rtl/>
        </w:rPr>
        <w:t>:</w:t>
      </w:r>
      <w:r w:rsidR="009C32A0" w:rsidRPr="005675B2">
        <w:rPr>
          <w:rFonts w:hint="cs"/>
          <w:rtl/>
        </w:rPr>
        <w:t xml:space="preserve"> هؤلاء عتقاء الرحمن أدخلهم الجنة بغير عمل عملوه ولا خير قدموه</w:t>
      </w:r>
      <w:r>
        <w:rPr>
          <w:rFonts w:hint="cs"/>
          <w:rtl/>
        </w:rPr>
        <w:t>]</w:t>
      </w:r>
    </w:p>
    <w:p w14:paraId="3E48ECA0" w14:textId="0A40B149" w:rsidR="009C32A0" w:rsidRPr="005675B2" w:rsidRDefault="009C32A0" w:rsidP="000636C2">
      <w:pPr>
        <w:rPr>
          <w:b/>
          <w:rtl/>
        </w:rPr>
      </w:pPr>
      <w:r w:rsidRPr="005675B2">
        <w:rPr>
          <w:rFonts w:hint="cs"/>
          <w:rtl/>
        </w:rPr>
        <w:t>يريد الباحث أن يرد دلالة هذا الجزء من الحديث الوارد في الصحيحين</w:t>
      </w:r>
      <w:r w:rsidR="000636C2">
        <w:rPr>
          <w:rFonts w:hint="cs"/>
          <w:rtl/>
        </w:rPr>
        <w:t>،</w:t>
      </w:r>
      <w:r w:rsidRPr="005675B2">
        <w:rPr>
          <w:rFonts w:hint="cs"/>
          <w:rtl/>
        </w:rPr>
        <w:t xml:space="preserve"> فيقول</w:t>
      </w:r>
      <w:r w:rsidR="000636C2">
        <w:rPr>
          <w:rFonts w:hint="cs"/>
          <w:rtl/>
        </w:rPr>
        <w:t>:</w:t>
      </w:r>
      <w:r w:rsidRPr="005675B2">
        <w:rPr>
          <w:rFonts w:hint="cs"/>
          <w:rtl/>
        </w:rPr>
        <w:t xml:space="preserve"> </w:t>
      </w:r>
      <w:r w:rsidR="000636C2">
        <w:rPr>
          <w:rFonts w:hint="cs"/>
          <w:rtl/>
        </w:rPr>
        <w:t>[</w:t>
      </w:r>
      <w:r w:rsidRPr="005675B2">
        <w:rPr>
          <w:rFonts w:hint="cs"/>
          <w:rtl/>
        </w:rPr>
        <w:t>وأهل الجنة يقولون حسب ظاهر ما يعلمون</w:t>
      </w:r>
      <w:r w:rsidR="000636C2">
        <w:rPr>
          <w:rFonts w:hint="cs"/>
          <w:rtl/>
        </w:rPr>
        <w:t>،</w:t>
      </w:r>
      <w:r w:rsidRPr="005675B2">
        <w:rPr>
          <w:rFonts w:hint="cs"/>
          <w:rtl/>
        </w:rPr>
        <w:t xml:space="preserve"> ثم يأتي علام الغيوب سبحانه فيخرج أقواماً من أهل الإيمان لم يكن أحد يعلم عنهم إيماناً</w:t>
      </w:r>
      <w:r w:rsidR="000636C2">
        <w:rPr>
          <w:rFonts w:hint="cs"/>
          <w:rtl/>
        </w:rPr>
        <w:t>]،</w:t>
      </w:r>
    </w:p>
    <w:p w14:paraId="0EAA955D" w14:textId="2049A11F"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w:t>
      </w:r>
      <w:r w:rsidRPr="005675B2">
        <w:rPr>
          <w:rFonts w:hint="cs"/>
          <w:rtl/>
          <w:lang w:bidi="ar-AE"/>
        </w:rPr>
        <w:t>ظاهر هذا القول يؤيد مذهب الأشاعرة</w:t>
      </w:r>
      <w:r w:rsidR="000636C2">
        <w:rPr>
          <w:rFonts w:hint="cs"/>
          <w:rtl/>
          <w:lang w:bidi="ar-AE"/>
        </w:rPr>
        <w:t>،</w:t>
      </w:r>
      <w:r w:rsidRPr="005675B2">
        <w:rPr>
          <w:rFonts w:hint="cs"/>
          <w:rtl/>
          <w:lang w:bidi="ar-AE"/>
        </w:rPr>
        <w:t xml:space="preserve"> إلا أن الباحث يرد دلالته حيث إن أهل الجنة يقولون حسب ظاهر ما يعلمون</w:t>
      </w:r>
      <w:r w:rsidR="000636C2">
        <w:rPr>
          <w:rFonts w:hint="cs"/>
          <w:rtl/>
          <w:lang w:bidi="ar-AE"/>
        </w:rPr>
        <w:t>،</w:t>
      </w:r>
      <w:r w:rsidRPr="005675B2">
        <w:rPr>
          <w:rFonts w:hint="cs"/>
          <w:rtl/>
          <w:lang w:bidi="ar-AE"/>
        </w:rPr>
        <w:t xml:space="preserve"> أي فربما كان عند أولئك شيء ضئيل جدا</w:t>
      </w:r>
      <w:r w:rsidRPr="005675B2">
        <w:rPr>
          <w:rFonts w:hint="cs"/>
          <w:rtl/>
        </w:rPr>
        <w:t>ً</w:t>
      </w:r>
      <w:r w:rsidRPr="005675B2">
        <w:rPr>
          <w:rFonts w:hint="cs"/>
          <w:rtl/>
          <w:lang w:bidi="ar-AE"/>
        </w:rPr>
        <w:t xml:space="preserve"> من العمل لم يعلمه أهل الجنة</w:t>
      </w:r>
      <w:r w:rsidR="000636C2">
        <w:rPr>
          <w:rFonts w:hint="cs"/>
          <w:rtl/>
          <w:lang w:bidi="ar-AE"/>
        </w:rPr>
        <w:t>،</w:t>
      </w:r>
      <w:r w:rsidRPr="005675B2">
        <w:rPr>
          <w:rFonts w:hint="cs"/>
          <w:rtl/>
          <w:lang w:bidi="ar-AE"/>
        </w:rPr>
        <w:t xml:space="preserve"> فعلى قوله يكون أهل الجنة قد قالوا قولا</w:t>
      </w:r>
      <w:r w:rsidRPr="005675B2">
        <w:rPr>
          <w:rFonts w:hint="cs"/>
          <w:rtl/>
        </w:rPr>
        <w:t>ً</w:t>
      </w:r>
      <w:r w:rsidRPr="005675B2">
        <w:rPr>
          <w:rFonts w:hint="cs"/>
          <w:rtl/>
          <w:lang w:bidi="ar-AE"/>
        </w:rPr>
        <w:t xml:space="preserve"> وأخطؤوا فيه</w:t>
      </w:r>
      <w:r w:rsidR="000636C2">
        <w:rPr>
          <w:rFonts w:hint="cs"/>
          <w:rtl/>
          <w:lang w:bidi="ar-AE"/>
        </w:rPr>
        <w:t>،</w:t>
      </w:r>
      <w:r w:rsidRPr="005675B2">
        <w:rPr>
          <w:rFonts w:hint="cs"/>
          <w:rtl/>
          <w:lang w:bidi="ar-AE"/>
        </w:rPr>
        <w:t xml:space="preserve"> </w:t>
      </w:r>
      <w:r w:rsidRPr="005675B2">
        <w:rPr>
          <w:rFonts w:hint="cs"/>
          <w:rtl/>
        </w:rPr>
        <w:t>وإذا كان الحال كما يتصور الباحث فَلِمَ نَقَل النبي صلى الله عليه وسلم قولهم الذي أخطؤوا فيه للناس ولم ينبه على الخطأ</w:t>
      </w:r>
      <w:r w:rsidR="000636C2">
        <w:rPr>
          <w:rFonts w:hint="cs"/>
          <w:rtl/>
        </w:rPr>
        <w:t>؟!</w:t>
      </w:r>
      <w:r w:rsidRPr="005675B2">
        <w:rPr>
          <w:rFonts w:hint="cs"/>
          <w:rtl/>
        </w:rPr>
        <w:t xml:space="preserve"> أم إن الباحث يقول إن النبي صلى الله عليه وسلم نقل للأمة قول أهل الجنة الذي أخطؤوا فيه دون أن ينتبه للخطأ </w:t>
      </w:r>
      <w:r w:rsidRPr="005675B2">
        <w:rPr>
          <w:rFonts w:hint="cs"/>
          <w:rtl/>
          <w:lang w:bidi="ar-AE"/>
        </w:rPr>
        <w:t>أو يعرف أنه خطأ</w:t>
      </w:r>
      <w:r w:rsidR="000636C2">
        <w:rPr>
          <w:rFonts w:hint="cs"/>
          <w:rtl/>
          <w:lang w:bidi="ar-AE"/>
        </w:rPr>
        <w:t>؟!</w:t>
      </w:r>
      <w:r w:rsidRPr="005675B2">
        <w:rPr>
          <w:rFonts w:hint="cs"/>
          <w:rtl/>
          <w:lang w:bidi="ar-AE"/>
        </w:rPr>
        <w:t xml:space="preserve"> حاشاه من ذلك</w:t>
      </w:r>
      <w:r w:rsidR="000636C2">
        <w:rPr>
          <w:rFonts w:hint="cs"/>
          <w:rtl/>
        </w:rPr>
        <w:t>،</w:t>
      </w:r>
      <w:r w:rsidRPr="005675B2">
        <w:rPr>
          <w:rFonts w:hint="cs"/>
          <w:rtl/>
        </w:rPr>
        <w:t xml:space="preserve"> </w:t>
      </w:r>
      <w:r w:rsidRPr="005675B2">
        <w:rPr>
          <w:rFonts w:hint="cs"/>
          <w:rtl/>
          <w:lang w:bidi="ar-AE"/>
        </w:rPr>
        <w:t>وإذا كان</w:t>
      </w:r>
      <w:r w:rsidRPr="005675B2">
        <w:rPr>
          <w:rFonts w:hint="cs"/>
          <w:rtl/>
        </w:rPr>
        <w:t xml:space="preserve"> النبي صلى الله عليه وسلم</w:t>
      </w:r>
      <w:r w:rsidR="000636C2">
        <w:rPr>
          <w:rFonts w:hint="cs"/>
          <w:rtl/>
        </w:rPr>
        <w:t xml:space="preserve"> </w:t>
      </w:r>
      <w:r w:rsidRPr="005675B2">
        <w:rPr>
          <w:rFonts w:hint="cs"/>
          <w:rtl/>
          <w:lang w:bidi="ar-AE"/>
        </w:rPr>
        <w:t>- بأبي هو وأمي</w:t>
      </w:r>
      <w:r w:rsidR="000636C2">
        <w:rPr>
          <w:rFonts w:hint="cs"/>
          <w:rtl/>
          <w:lang w:bidi="ar-AE"/>
        </w:rPr>
        <w:t xml:space="preserve"> </w:t>
      </w:r>
      <w:r w:rsidRPr="005675B2">
        <w:rPr>
          <w:rFonts w:hint="cs"/>
          <w:rtl/>
          <w:lang w:bidi="ar-AE"/>
        </w:rPr>
        <w:t>- لم ينتبه للخطأ ولم يعرفه فهل نزل الوحي بتصحيح ذلك الخطأ</w:t>
      </w:r>
      <w:r w:rsidR="000636C2">
        <w:rPr>
          <w:rFonts w:hint="cs"/>
          <w:rtl/>
          <w:lang w:bidi="ar-AE"/>
        </w:rPr>
        <w:t>؟!</w:t>
      </w:r>
      <w:r w:rsidRPr="005675B2">
        <w:rPr>
          <w:rFonts w:hint="cs"/>
          <w:rtl/>
          <w:lang w:bidi="ar-AE"/>
        </w:rPr>
        <w:t xml:space="preserve"> كل ذلك لم يكن</w:t>
      </w:r>
      <w:r w:rsidR="000636C2">
        <w:rPr>
          <w:rFonts w:hint="cs"/>
          <w:rtl/>
          <w:lang w:bidi="ar-AE"/>
        </w:rPr>
        <w:t>،</w:t>
      </w:r>
      <w:r w:rsidRPr="005675B2">
        <w:rPr>
          <w:rFonts w:hint="cs"/>
          <w:rtl/>
          <w:lang w:bidi="ar-AE"/>
        </w:rPr>
        <w:t xml:space="preserve"> فتنبه</w:t>
      </w:r>
      <w:r w:rsidR="000636C2">
        <w:rPr>
          <w:rFonts w:hint="cs"/>
          <w:rtl/>
          <w:lang w:bidi="ar-AE"/>
        </w:rPr>
        <w:t>!،</w:t>
      </w:r>
      <w:r w:rsidRPr="005675B2">
        <w:rPr>
          <w:rFonts w:hint="cs"/>
          <w:rtl/>
          <w:lang w:bidi="ar-AE"/>
        </w:rPr>
        <w:t xml:space="preserve"> فثبت أن القول الذي قاله أهل الجنة صواب لا خطأ فيه</w:t>
      </w:r>
      <w:r w:rsidR="000636C2">
        <w:rPr>
          <w:rFonts w:hint="cs"/>
          <w:rtl/>
          <w:lang w:bidi="ar-AE"/>
        </w:rPr>
        <w:t>،</w:t>
      </w:r>
      <w:r w:rsidRPr="005675B2">
        <w:rPr>
          <w:rFonts w:hint="cs"/>
          <w:rtl/>
          <w:lang w:bidi="ar-AE"/>
        </w:rPr>
        <w:t xml:space="preserve"> اللهم اغفر لنا جميعا</w:t>
      </w:r>
      <w:r w:rsidRPr="005675B2">
        <w:rPr>
          <w:rFonts w:hint="cs"/>
          <w:rtl/>
        </w:rPr>
        <w:t>ً</w:t>
      </w:r>
      <w:r w:rsidR="000636C2">
        <w:rPr>
          <w:rFonts w:hint="cs"/>
          <w:rtl/>
          <w:lang w:bidi="ar-AE"/>
        </w:rPr>
        <w:t>،</w:t>
      </w:r>
      <w:r w:rsidRPr="005675B2">
        <w:rPr>
          <w:rFonts w:hint="cs"/>
          <w:rtl/>
          <w:lang w:bidi="ar-AE"/>
        </w:rPr>
        <w:t xml:space="preserve"> وارزقنا حسن التأدب مع نبيك المصطفى</w:t>
      </w:r>
      <w:r w:rsidR="000636C2">
        <w:rPr>
          <w:rFonts w:hint="cs"/>
          <w:rtl/>
          <w:lang w:bidi="ar-AE"/>
        </w:rPr>
        <w:t>،</w:t>
      </w:r>
      <w:r w:rsidRPr="005675B2">
        <w:rPr>
          <w:rFonts w:hint="cs"/>
          <w:rtl/>
          <w:lang w:bidi="ar-AE"/>
        </w:rPr>
        <w:t xml:space="preserve"> عل</w:t>
      </w:r>
      <w:r w:rsidRPr="005675B2">
        <w:rPr>
          <w:rFonts w:hint="cs"/>
          <w:rtl/>
        </w:rPr>
        <w:t>ي</w:t>
      </w:r>
      <w:r w:rsidRPr="005675B2">
        <w:rPr>
          <w:rFonts w:hint="cs"/>
          <w:rtl/>
          <w:lang w:bidi="ar-AE"/>
        </w:rPr>
        <w:t>ه أفضل الصلاة وأزكى السلام</w:t>
      </w:r>
      <w:r w:rsidR="000636C2">
        <w:rPr>
          <w:rFonts w:hint="cs"/>
          <w:rtl/>
          <w:lang w:bidi="ar-AE"/>
        </w:rPr>
        <w:t>،</w:t>
      </w:r>
    </w:p>
    <w:p w14:paraId="4130BF17" w14:textId="4F2FCEFD" w:rsidR="009C32A0" w:rsidRPr="005675B2" w:rsidRDefault="000636C2" w:rsidP="000636C2">
      <w:pPr>
        <w:rPr>
          <w:b/>
          <w:rtl/>
        </w:rPr>
      </w:pPr>
      <w:r>
        <w:rPr>
          <w:rFonts w:hint="cs"/>
          <w:rtl/>
        </w:rPr>
        <w:t>[</w:t>
      </w:r>
      <w:r w:rsidR="009C32A0" w:rsidRPr="005675B2">
        <w:rPr>
          <w:rFonts w:hint="cs"/>
          <w:rtl/>
        </w:rPr>
        <w:t>المسألة السادسة</w:t>
      </w:r>
      <w:r>
        <w:rPr>
          <w:rFonts w:hint="cs"/>
          <w:rtl/>
        </w:rPr>
        <w:t>]:</w:t>
      </w:r>
      <w:r w:rsidR="009C32A0" w:rsidRPr="005675B2">
        <w:rPr>
          <w:rFonts w:hint="cs"/>
          <w:rtl/>
        </w:rPr>
        <w:t xml:space="preserve"> قول "لا إله إلا الله"</w:t>
      </w:r>
      <w:r>
        <w:rPr>
          <w:rFonts w:hint="cs"/>
          <w:rtl/>
        </w:rPr>
        <w:t>:</w:t>
      </w:r>
      <w:r w:rsidR="009C32A0" w:rsidRPr="005675B2">
        <w:rPr>
          <w:rFonts w:hint="cs"/>
          <w:rtl/>
        </w:rPr>
        <w:t xml:space="preserve"> هل تنجي صاحبها إذا قالها بالقلب دون اللسان</w:t>
      </w:r>
      <w:r>
        <w:rPr>
          <w:rFonts w:hint="cs"/>
          <w:rtl/>
        </w:rPr>
        <w:t xml:space="preserve">؟ </w:t>
      </w:r>
      <w:r w:rsidR="009C32A0" w:rsidRPr="005675B2">
        <w:rPr>
          <w:rFonts w:hint="cs"/>
          <w:rtl/>
        </w:rPr>
        <w:t>وهنا قد يقال</w:t>
      </w:r>
      <w:r>
        <w:rPr>
          <w:rFonts w:hint="cs"/>
          <w:rtl/>
        </w:rPr>
        <w:t>:</w:t>
      </w:r>
      <w:r w:rsidR="009C32A0" w:rsidRPr="005675B2">
        <w:rPr>
          <w:rFonts w:hint="cs"/>
          <w:rtl/>
        </w:rPr>
        <w:t xml:space="preserve"> هل أولئك الذين يخرجون من النار بشفاعة أرحم الراحمين وليس عندهم إلا قول </w:t>
      </w:r>
      <w:r>
        <w:rPr>
          <w:rFonts w:hint="cs"/>
          <w:rtl/>
        </w:rPr>
        <w:t>[</w:t>
      </w:r>
      <w:r w:rsidR="009C32A0" w:rsidRPr="005675B2">
        <w:rPr>
          <w:rFonts w:hint="cs"/>
          <w:rtl/>
        </w:rPr>
        <w:t>لا إله إلا الله</w:t>
      </w:r>
      <w:r>
        <w:rPr>
          <w:rFonts w:hint="cs"/>
          <w:rtl/>
        </w:rPr>
        <w:t>]</w:t>
      </w:r>
      <w:r w:rsidR="009C32A0" w:rsidRPr="005675B2">
        <w:rPr>
          <w:rFonts w:hint="cs"/>
          <w:rtl/>
        </w:rPr>
        <w:t xml:space="preserve"> ؛ هل لا بد أن يكونوا قد قالوها باللسان والقلب أو ربما يكونون قد قالوها بالقلب فقط</w:t>
      </w:r>
      <w:r>
        <w:rPr>
          <w:rFonts w:hint="cs"/>
          <w:rtl/>
        </w:rPr>
        <w:t>؟،</w:t>
      </w:r>
      <w:r w:rsidR="009C32A0" w:rsidRPr="005675B2">
        <w:rPr>
          <w:rFonts w:hint="cs"/>
          <w:rtl/>
        </w:rPr>
        <w:t xml:space="preserve"> الذين يشترطون لصحة الإيمان عقد القلب على التوحيد مع التلفظ بالشهادتين يحملون القول هنا على قول اللسان والقلب</w:t>
      </w:r>
      <w:r>
        <w:rPr>
          <w:rFonts w:hint="cs"/>
          <w:rtl/>
        </w:rPr>
        <w:t>،</w:t>
      </w:r>
      <w:r w:rsidR="009C32A0" w:rsidRPr="005675B2">
        <w:rPr>
          <w:rFonts w:hint="cs"/>
          <w:rtl/>
        </w:rPr>
        <w:t xml:space="preserve"> ويقولون لا بد منه لحصول النجاة من النار ولو في المرحلة الأخيرة</w:t>
      </w:r>
      <w:r>
        <w:rPr>
          <w:rFonts w:hint="cs"/>
          <w:rtl/>
        </w:rPr>
        <w:t>،</w:t>
      </w:r>
      <w:r w:rsidR="009C32A0" w:rsidRPr="005675B2">
        <w:rPr>
          <w:rFonts w:hint="cs"/>
          <w:rtl/>
        </w:rPr>
        <w:t xml:space="preserve"> والذين يشترطون لصحة الإيمان عقد القلب على التوحيد ولا يشترطون التلفظ بالشهادتين يحملون القول هنا على القول باللسان والقلب أو بالقلب فقط</w:t>
      </w:r>
      <w:r>
        <w:rPr>
          <w:rFonts w:hint="cs"/>
          <w:rtl/>
        </w:rPr>
        <w:t>،</w:t>
      </w:r>
      <w:r w:rsidR="009C32A0" w:rsidRPr="005675B2">
        <w:rPr>
          <w:rFonts w:hint="cs"/>
          <w:rtl/>
        </w:rPr>
        <w:t xml:space="preserve"> ويقولون إن من عقد قلبه على عقيدة التوحيد موقناً بها قلبه فإنه ممن تدركه النجاة في المرحلة الأخيرة</w:t>
      </w:r>
      <w:r>
        <w:rPr>
          <w:rFonts w:hint="cs"/>
          <w:rtl/>
        </w:rPr>
        <w:t xml:space="preserve">، </w:t>
      </w:r>
      <w:r w:rsidR="009C32A0" w:rsidRPr="005675B2">
        <w:rPr>
          <w:rFonts w:hint="cs"/>
          <w:rtl/>
        </w:rPr>
        <w:t>وعندهم عدد من الأدلة على صحة ما ذهبوا إليه</w:t>
      </w:r>
      <w:r>
        <w:rPr>
          <w:rFonts w:hint="cs"/>
          <w:rtl/>
        </w:rPr>
        <w:t>:</w:t>
      </w:r>
      <w:r w:rsidR="009C32A0" w:rsidRPr="005675B2">
        <w:rPr>
          <w:rFonts w:hint="cs"/>
          <w:rtl/>
        </w:rPr>
        <w:t xml:space="preserve"> منها ما رواه مسلم وغيره عن عثمان بن عفان أن النبي صلى الله عليه وسلم قال</w:t>
      </w:r>
      <w:r>
        <w:rPr>
          <w:rFonts w:hint="cs"/>
          <w:rtl/>
        </w:rPr>
        <w:t>:</w:t>
      </w:r>
      <w:r w:rsidR="009C32A0" w:rsidRPr="005675B2">
        <w:rPr>
          <w:rFonts w:hint="cs"/>
          <w:rtl/>
        </w:rPr>
        <w:t xml:space="preserve"> </w:t>
      </w:r>
      <w:r>
        <w:rPr>
          <w:rFonts w:hint="cs"/>
          <w:rtl/>
        </w:rPr>
        <w:t>[</w:t>
      </w:r>
      <w:r w:rsidR="009C32A0" w:rsidRPr="005675B2">
        <w:rPr>
          <w:rFonts w:hint="cs"/>
          <w:rtl/>
        </w:rPr>
        <w:t>من مات وهو يعلم أنه لا إله إلا الله دخل الجنة</w:t>
      </w:r>
      <w:r>
        <w:rPr>
          <w:rFonts w:hint="cs"/>
          <w:rtl/>
        </w:rPr>
        <w:t>]</w:t>
      </w:r>
      <w:r w:rsidR="009C32A0" w:rsidRPr="005675B2">
        <w:rPr>
          <w:rFonts w:hint="cs"/>
          <w:rtl/>
        </w:rPr>
        <w:t xml:space="preserve"> [</w:t>
      </w:r>
      <w:r w:rsidR="009C32A0" w:rsidRPr="005675B2">
        <w:rPr>
          <w:rFonts w:hint="cs"/>
          <w:sz w:val="24"/>
          <w:szCs w:val="24"/>
          <w:rtl/>
        </w:rPr>
        <w:t>صحيح مسلم: 1/55 . التوحيد لابن خزيمة: ص 347 – 348</w:t>
      </w:r>
      <w:r>
        <w:rPr>
          <w:rFonts w:hint="cs"/>
          <w:sz w:val="24"/>
          <w:szCs w:val="24"/>
          <w:rtl/>
        </w:rPr>
        <w:t>]</w:t>
      </w:r>
      <w:r>
        <w:rPr>
          <w:rFonts w:hint="cs"/>
          <w:rtl/>
        </w:rPr>
        <w:t xml:space="preserve">، </w:t>
      </w:r>
      <w:r w:rsidR="009C32A0" w:rsidRPr="005675B2">
        <w:rPr>
          <w:rFonts w:hint="cs"/>
          <w:rtl/>
        </w:rPr>
        <w:t>ومنها ما رواه مسلم وغيره عن جابر بن عبد الله أن النبي صلى الله عليه وسلم قال</w:t>
      </w:r>
      <w:r>
        <w:rPr>
          <w:rFonts w:hint="cs"/>
          <w:rtl/>
        </w:rPr>
        <w:t>:</w:t>
      </w:r>
      <w:r w:rsidR="009C32A0" w:rsidRPr="005675B2">
        <w:rPr>
          <w:rFonts w:hint="cs"/>
          <w:rtl/>
        </w:rPr>
        <w:t xml:space="preserve"> </w:t>
      </w:r>
      <w:r>
        <w:rPr>
          <w:rFonts w:hint="cs"/>
          <w:rtl/>
        </w:rPr>
        <w:t>[</w:t>
      </w:r>
      <w:r w:rsidR="009C32A0" w:rsidRPr="005675B2">
        <w:rPr>
          <w:rFonts w:hint="cs"/>
          <w:rtl/>
        </w:rPr>
        <w:t>من مات لا يشرك بالله شيئاً دخل الجنة</w:t>
      </w:r>
      <w:r>
        <w:rPr>
          <w:rFonts w:hint="cs"/>
          <w:rtl/>
        </w:rPr>
        <w:t>]</w:t>
      </w:r>
      <w:r w:rsidR="009C32A0" w:rsidRPr="005675B2">
        <w:rPr>
          <w:rFonts w:hint="cs"/>
          <w:rtl/>
        </w:rPr>
        <w:t xml:space="preserve"> [</w:t>
      </w:r>
      <w:r w:rsidR="009C32A0" w:rsidRPr="005675B2">
        <w:rPr>
          <w:rFonts w:hint="cs"/>
          <w:sz w:val="24"/>
          <w:szCs w:val="24"/>
          <w:rtl/>
        </w:rPr>
        <w:t>صحيح مسلم: 1/ 94. التوحيد لابن خزيمة: ص 360 – 362</w:t>
      </w:r>
      <w:r>
        <w:rPr>
          <w:rFonts w:hint="cs"/>
          <w:sz w:val="24"/>
          <w:szCs w:val="24"/>
          <w:rtl/>
        </w:rPr>
        <w:t>]</w:t>
      </w:r>
      <w:r>
        <w:rPr>
          <w:rFonts w:hint="cs"/>
          <w:rtl/>
        </w:rPr>
        <w:t>،</w:t>
      </w:r>
      <w:r w:rsidR="009C32A0" w:rsidRPr="005675B2">
        <w:rPr>
          <w:rFonts w:hint="cs"/>
          <w:rtl/>
        </w:rPr>
        <w:t xml:space="preserve"> ومنها ما رواه مسلم عن أبي هريرة أن النبي صلى الله عليه وسلم قال</w:t>
      </w:r>
      <w:r>
        <w:rPr>
          <w:rFonts w:hint="cs"/>
          <w:rtl/>
        </w:rPr>
        <w:t>:</w:t>
      </w:r>
      <w:r w:rsidR="009C32A0" w:rsidRPr="005675B2">
        <w:rPr>
          <w:rFonts w:hint="cs"/>
          <w:rtl/>
        </w:rPr>
        <w:t xml:space="preserve"> </w:t>
      </w:r>
      <w:r>
        <w:rPr>
          <w:rFonts w:hint="cs"/>
          <w:rtl/>
        </w:rPr>
        <w:t>[</w:t>
      </w:r>
      <w:r w:rsidR="009C32A0" w:rsidRPr="005675B2">
        <w:rPr>
          <w:rFonts w:hint="cs"/>
          <w:rtl/>
        </w:rPr>
        <w:t>لكل نبي دعوة مستجابة</w:t>
      </w:r>
      <w:r>
        <w:rPr>
          <w:rFonts w:hint="cs"/>
          <w:rtl/>
        </w:rPr>
        <w:t>،</w:t>
      </w:r>
      <w:r w:rsidR="009C32A0" w:rsidRPr="005675B2">
        <w:rPr>
          <w:rFonts w:hint="cs"/>
          <w:rtl/>
        </w:rPr>
        <w:t xml:space="preserve"> فتعجل كل نبي دعوته</w:t>
      </w:r>
      <w:r>
        <w:rPr>
          <w:rFonts w:hint="cs"/>
          <w:rtl/>
        </w:rPr>
        <w:t>،</w:t>
      </w:r>
      <w:r w:rsidR="009C32A0" w:rsidRPr="005675B2">
        <w:rPr>
          <w:rFonts w:hint="cs"/>
          <w:rtl/>
        </w:rPr>
        <w:t xml:space="preserve"> وإني اختبأت دعوتي شفاعة لأمتي يوم القيامة</w:t>
      </w:r>
      <w:r>
        <w:rPr>
          <w:rFonts w:hint="cs"/>
          <w:rtl/>
        </w:rPr>
        <w:t>،</w:t>
      </w:r>
      <w:r w:rsidR="009C32A0" w:rsidRPr="005675B2">
        <w:rPr>
          <w:rFonts w:hint="cs"/>
          <w:rtl/>
        </w:rPr>
        <w:t xml:space="preserve"> فهي نائلة إن شاء الله من مات من أمتي لا يشرك بالله شيئاً</w:t>
      </w:r>
      <w:r>
        <w:rPr>
          <w:rFonts w:hint="cs"/>
          <w:rtl/>
        </w:rPr>
        <w:t>]</w:t>
      </w:r>
      <w:r w:rsidR="009C32A0" w:rsidRPr="005675B2">
        <w:rPr>
          <w:rFonts w:hint="cs"/>
          <w:rtl/>
        </w:rPr>
        <w:t xml:space="preserve"> [</w:t>
      </w:r>
      <w:r w:rsidR="009C32A0" w:rsidRPr="005675B2">
        <w:rPr>
          <w:rFonts w:hint="cs"/>
          <w:sz w:val="24"/>
          <w:szCs w:val="24"/>
          <w:rtl/>
        </w:rPr>
        <w:t>صحيح مسلم: 1/189]</w:t>
      </w:r>
      <w:r>
        <w:rPr>
          <w:rFonts w:hint="cs"/>
          <w:rtl/>
        </w:rPr>
        <w:t>،</w:t>
      </w:r>
      <w:r w:rsidR="009C32A0" w:rsidRPr="005675B2">
        <w:rPr>
          <w:rFonts w:hint="cs"/>
          <w:rtl/>
        </w:rPr>
        <w:t xml:space="preserve"> ومنها ما رواه البخاري وابن خزيمة عن أبي ذر أن النبي صلى الله عليه وسلم قال</w:t>
      </w:r>
      <w:r>
        <w:rPr>
          <w:rFonts w:hint="cs"/>
          <w:rtl/>
        </w:rPr>
        <w:t>:</w:t>
      </w:r>
      <w:r w:rsidR="009C32A0" w:rsidRPr="005675B2">
        <w:rPr>
          <w:rFonts w:hint="cs"/>
          <w:rtl/>
        </w:rPr>
        <w:t xml:space="preserve"> </w:t>
      </w:r>
      <w:r>
        <w:rPr>
          <w:rFonts w:hint="cs"/>
          <w:rtl/>
        </w:rPr>
        <w:t>[</w:t>
      </w:r>
      <w:r w:rsidR="009C32A0" w:rsidRPr="005675B2">
        <w:rPr>
          <w:rFonts w:hint="cs"/>
          <w:rtl/>
        </w:rPr>
        <w:t>عرض لي جبريل فقال بشِّر أمتك أنه من مات لا يشرك بالله شيئاً دخل الجنة</w:t>
      </w:r>
      <w:r>
        <w:rPr>
          <w:rFonts w:hint="cs"/>
          <w:rtl/>
        </w:rPr>
        <w:t>]</w:t>
      </w:r>
      <w:r w:rsidR="009C32A0" w:rsidRPr="005675B2">
        <w:rPr>
          <w:rFonts w:hint="cs"/>
          <w:rtl/>
        </w:rPr>
        <w:t xml:space="preserve"> [</w:t>
      </w:r>
      <w:r w:rsidR="009C32A0" w:rsidRPr="005675B2">
        <w:rPr>
          <w:rFonts w:hint="cs"/>
          <w:sz w:val="24"/>
          <w:szCs w:val="24"/>
          <w:rtl/>
        </w:rPr>
        <w:t>صحيح البخاري: الرقاق</w:t>
      </w:r>
      <w:r>
        <w:rPr>
          <w:rFonts w:hint="cs"/>
          <w:sz w:val="24"/>
          <w:szCs w:val="24"/>
          <w:rtl/>
        </w:rPr>
        <w:t>،</w:t>
      </w:r>
      <w:r w:rsidR="009C32A0" w:rsidRPr="005675B2">
        <w:rPr>
          <w:rFonts w:hint="cs"/>
          <w:sz w:val="24"/>
          <w:szCs w:val="24"/>
          <w:rtl/>
        </w:rPr>
        <w:t xml:space="preserve"> باب المكثرون هم المقلون . التوحيد لابن خزيمة: ص 344</w:t>
      </w:r>
      <w:r>
        <w:rPr>
          <w:rFonts w:hint="cs"/>
          <w:sz w:val="24"/>
          <w:szCs w:val="24"/>
          <w:rtl/>
        </w:rPr>
        <w:t>،</w:t>
      </w:r>
      <w:r w:rsidR="009C32A0" w:rsidRPr="005675B2">
        <w:rPr>
          <w:rFonts w:hint="cs"/>
          <w:sz w:val="24"/>
          <w:szCs w:val="24"/>
          <w:rtl/>
        </w:rPr>
        <w:t xml:space="preserve"> 345</w:t>
      </w:r>
      <w:r>
        <w:rPr>
          <w:rFonts w:hint="cs"/>
          <w:sz w:val="24"/>
          <w:szCs w:val="24"/>
          <w:rtl/>
        </w:rPr>
        <w:t>]</w:t>
      </w:r>
      <w:r>
        <w:rPr>
          <w:rFonts w:hint="cs"/>
          <w:rtl/>
        </w:rPr>
        <w:t xml:space="preserve">، </w:t>
      </w:r>
      <w:r w:rsidR="009C32A0" w:rsidRPr="005675B2">
        <w:rPr>
          <w:rFonts w:hint="cs"/>
          <w:rtl/>
        </w:rPr>
        <w:t>ومنها ما رواه ابن خزيمة عن معاذ بن جبل أنه سمع رسول الله صلى الله عليه وسلم يقول</w:t>
      </w:r>
      <w:r>
        <w:rPr>
          <w:rFonts w:hint="cs"/>
          <w:rtl/>
        </w:rPr>
        <w:t>:</w:t>
      </w:r>
      <w:r w:rsidR="009C32A0" w:rsidRPr="005675B2">
        <w:rPr>
          <w:rFonts w:hint="cs"/>
          <w:rtl/>
        </w:rPr>
        <w:t xml:space="preserve"> </w:t>
      </w:r>
      <w:r>
        <w:rPr>
          <w:rFonts w:hint="cs"/>
          <w:rtl/>
        </w:rPr>
        <w:t>[</w:t>
      </w:r>
      <w:r w:rsidR="009C32A0" w:rsidRPr="005675B2">
        <w:rPr>
          <w:rFonts w:hint="cs"/>
          <w:rtl/>
        </w:rPr>
        <w:t>من مات وهو يوقن بقلبه أن الله حق وأن الساعة قائمة وأن الله يبعث من في القبور دخل الجنة</w:t>
      </w:r>
      <w:r>
        <w:rPr>
          <w:rFonts w:hint="cs"/>
          <w:rtl/>
        </w:rPr>
        <w:t>]</w:t>
      </w:r>
      <w:r w:rsidR="009C32A0" w:rsidRPr="005675B2">
        <w:rPr>
          <w:rFonts w:hint="cs"/>
          <w:rtl/>
        </w:rPr>
        <w:t xml:space="preserve"> أو قال </w:t>
      </w:r>
      <w:r>
        <w:rPr>
          <w:rFonts w:hint="cs"/>
          <w:rtl/>
        </w:rPr>
        <w:t>[</w:t>
      </w:r>
      <w:r w:rsidR="009C32A0" w:rsidRPr="005675B2">
        <w:rPr>
          <w:rFonts w:hint="cs"/>
          <w:rtl/>
        </w:rPr>
        <w:t>نجا من النار</w:t>
      </w:r>
      <w:r>
        <w:rPr>
          <w:rFonts w:hint="cs"/>
          <w:rtl/>
        </w:rPr>
        <w:t>]</w:t>
      </w:r>
      <w:r w:rsidR="009C32A0" w:rsidRPr="005675B2">
        <w:rPr>
          <w:rFonts w:hint="cs"/>
          <w:rtl/>
        </w:rPr>
        <w:t xml:space="preserve"> [</w:t>
      </w:r>
      <w:r w:rsidR="009C32A0" w:rsidRPr="005675B2">
        <w:rPr>
          <w:rFonts w:hint="cs"/>
          <w:sz w:val="24"/>
          <w:szCs w:val="24"/>
          <w:rtl/>
        </w:rPr>
        <w:t>التوحيد لابن خزيمة: ص 349</w:t>
      </w:r>
      <w:r>
        <w:rPr>
          <w:rFonts w:hint="cs"/>
          <w:sz w:val="24"/>
          <w:szCs w:val="24"/>
          <w:rtl/>
        </w:rPr>
        <w:t>]</w:t>
      </w:r>
      <w:r>
        <w:rPr>
          <w:rFonts w:hint="cs"/>
          <w:rtl/>
        </w:rPr>
        <w:t xml:space="preserve">، </w:t>
      </w:r>
      <w:r w:rsidR="009C32A0" w:rsidRPr="005675B2">
        <w:rPr>
          <w:rFonts w:hint="cs"/>
          <w:rtl/>
        </w:rPr>
        <w:t>ومنها ما رواه ابن خزيمة عن عمران بن حصين أن النبي صلى الله عليه وسلم قال</w:t>
      </w:r>
      <w:r>
        <w:rPr>
          <w:rFonts w:hint="cs"/>
          <w:rtl/>
        </w:rPr>
        <w:t>:</w:t>
      </w:r>
      <w:r w:rsidR="009C32A0" w:rsidRPr="005675B2">
        <w:rPr>
          <w:rFonts w:hint="cs"/>
          <w:rtl/>
        </w:rPr>
        <w:t xml:space="preserve"> </w:t>
      </w:r>
      <w:r>
        <w:rPr>
          <w:rFonts w:hint="cs"/>
          <w:rtl/>
        </w:rPr>
        <w:t>[</w:t>
      </w:r>
      <w:r w:rsidR="009C32A0" w:rsidRPr="005675B2">
        <w:rPr>
          <w:rFonts w:hint="cs"/>
          <w:rtl/>
        </w:rPr>
        <w:t>من علم أن الله ربه وأني نبيه صادقاً من قلبه حرم الله لحمه على النار</w:t>
      </w:r>
      <w:r>
        <w:rPr>
          <w:rFonts w:hint="cs"/>
          <w:rtl/>
        </w:rPr>
        <w:t>]</w:t>
      </w:r>
      <w:r w:rsidR="009C32A0" w:rsidRPr="005675B2">
        <w:rPr>
          <w:rFonts w:hint="cs"/>
          <w:rtl/>
        </w:rPr>
        <w:t xml:space="preserve"> [</w:t>
      </w:r>
      <w:r w:rsidR="009C32A0" w:rsidRPr="005675B2">
        <w:rPr>
          <w:rFonts w:hint="cs"/>
          <w:sz w:val="24"/>
          <w:szCs w:val="24"/>
          <w:rtl/>
        </w:rPr>
        <w:t>المصدر السابق: ص 348</w:t>
      </w:r>
      <w:r>
        <w:rPr>
          <w:rFonts w:hint="cs"/>
          <w:sz w:val="24"/>
          <w:szCs w:val="24"/>
          <w:rtl/>
        </w:rPr>
        <w:t>]</w:t>
      </w:r>
      <w:r>
        <w:rPr>
          <w:rFonts w:hint="cs"/>
          <w:rtl/>
        </w:rPr>
        <w:t xml:space="preserve">، </w:t>
      </w:r>
      <w:r w:rsidR="009C32A0" w:rsidRPr="005675B2">
        <w:rPr>
          <w:rFonts w:hint="cs"/>
          <w:rtl/>
        </w:rPr>
        <w:t>فقد أثبت النبي صلى الله عليه وسلم دخول الجنة لمن مات على عقيدة التوحيد ولم يشترط التلفظ بها</w:t>
      </w:r>
      <w:r>
        <w:rPr>
          <w:rFonts w:hint="cs"/>
          <w:rtl/>
        </w:rPr>
        <w:t>،</w:t>
      </w:r>
      <w:r w:rsidR="009C32A0" w:rsidRPr="005675B2">
        <w:rPr>
          <w:rFonts w:hint="cs"/>
          <w:rtl/>
        </w:rPr>
        <w:t xml:space="preserve"> فهل من بنى عقيدته على أحاديث المصطفى صلى الله عليه وسلم يوصف بالابتداع</w:t>
      </w:r>
      <w:r>
        <w:rPr>
          <w:rFonts w:hint="cs"/>
          <w:rtl/>
        </w:rPr>
        <w:t>؟،</w:t>
      </w:r>
      <w:r w:rsidR="009C32A0" w:rsidRPr="005675B2">
        <w:rPr>
          <w:rFonts w:hint="cs"/>
          <w:rtl/>
        </w:rPr>
        <w:t xml:space="preserve"> وإنما أُتي الباحث من حيث إنه لا يدرك الفرق بين عقيدة الجهمية من جانب وبين عقيدة الأشاعرة والماتريدية من جانب آخر</w:t>
      </w:r>
      <w:r>
        <w:rPr>
          <w:rFonts w:hint="cs"/>
          <w:rtl/>
        </w:rPr>
        <w:t>،</w:t>
      </w:r>
      <w:r w:rsidR="009C32A0" w:rsidRPr="005675B2">
        <w:rPr>
          <w:rFonts w:hint="cs"/>
          <w:rtl/>
        </w:rPr>
        <w:t xml:space="preserve"> فالتبس عليه الأمر</w:t>
      </w:r>
      <w:r>
        <w:rPr>
          <w:rFonts w:hint="cs"/>
          <w:rtl/>
        </w:rPr>
        <w:t>،</w:t>
      </w:r>
      <w:r w:rsidR="009C32A0" w:rsidRPr="005675B2">
        <w:rPr>
          <w:rFonts w:hint="cs"/>
          <w:rtl/>
        </w:rPr>
        <w:t xml:space="preserve"> فخلط بين الجهمية الذين هم أهل بدعة وضلال وبين الأشاعرة والماتريدية الذين هم أهل سنة وهداية</w:t>
      </w:r>
      <w:r>
        <w:rPr>
          <w:rFonts w:hint="cs"/>
          <w:rtl/>
        </w:rPr>
        <w:t>،</w:t>
      </w:r>
      <w:r w:rsidR="009C32A0" w:rsidRPr="005675B2">
        <w:rPr>
          <w:rFonts w:hint="cs"/>
          <w:rtl/>
        </w:rPr>
        <w:t xml:space="preserve"> والله المستعان</w:t>
      </w:r>
      <w:r>
        <w:rPr>
          <w:rFonts w:hint="cs"/>
          <w:rtl/>
        </w:rPr>
        <w:t>،</w:t>
      </w:r>
    </w:p>
    <w:p w14:paraId="061FB8F0" w14:textId="17CB4DF8" w:rsidR="009C32A0" w:rsidRPr="005675B2" w:rsidRDefault="009C32A0" w:rsidP="000636C2">
      <w:pPr>
        <w:rPr>
          <w:b/>
          <w:rtl/>
        </w:rPr>
      </w:pPr>
      <w:r w:rsidRPr="005675B2">
        <w:rPr>
          <w:rFonts w:hint="cs"/>
          <w:rtl/>
        </w:rPr>
        <w:t>ويقول الباحث</w:t>
      </w:r>
      <w:r w:rsidR="000636C2">
        <w:rPr>
          <w:rFonts w:hint="cs"/>
          <w:rtl/>
        </w:rPr>
        <w:t>:</w:t>
      </w:r>
      <w:r w:rsidRPr="005675B2">
        <w:rPr>
          <w:rFonts w:hint="cs"/>
          <w:rtl/>
        </w:rPr>
        <w:t xml:space="preserve"> </w:t>
      </w:r>
      <w:r w:rsidR="000636C2">
        <w:rPr>
          <w:rFonts w:hint="cs"/>
          <w:rtl/>
        </w:rPr>
        <w:t>[</w:t>
      </w:r>
      <w:r w:rsidRPr="005675B2">
        <w:rPr>
          <w:rFonts w:hint="cs"/>
          <w:rtl/>
        </w:rPr>
        <w:t>وأما قول بعضهم إن المراد بالقول هنا القول النفسي فمن التأويل الفاسد</w:t>
      </w:r>
      <w:r w:rsidR="000636C2">
        <w:rPr>
          <w:rFonts w:hint="cs"/>
          <w:rtl/>
        </w:rPr>
        <w:t>،</w:t>
      </w:r>
      <w:r w:rsidRPr="005675B2">
        <w:rPr>
          <w:rFonts w:hint="cs"/>
          <w:rtl/>
        </w:rPr>
        <w:t xml:space="preserve"> إذ لا يصح حمل القول على القول النفسي إلا إذا قيد بذلك</w:t>
      </w:r>
      <w:r w:rsidR="000636C2">
        <w:rPr>
          <w:rFonts w:hint="cs"/>
          <w:rtl/>
        </w:rPr>
        <w:t>،</w:t>
      </w:r>
      <w:r w:rsidRPr="005675B2">
        <w:rPr>
          <w:rFonts w:hint="cs"/>
          <w:rtl/>
        </w:rPr>
        <w:t xml:space="preserve"> أما إذا أطلق فهو ممتنع عند جميع العقلاء</w:t>
      </w:r>
      <w:r w:rsidR="000636C2">
        <w:rPr>
          <w:rFonts w:hint="cs"/>
          <w:rtl/>
        </w:rPr>
        <w:t>]،</w:t>
      </w:r>
    </w:p>
    <w:p w14:paraId="0A069207" w14:textId="27DAC605" w:rsidR="009C32A0" w:rsidRPr="005675B2" w:rsidRDefault="009C32A0" w:rsidP="000636C2">
      <w:pPr>
        <w:rPr>
          <w:b/>
          <w:rtl/>
        </w:rPr>
      </w:pPr>
      <w:r w:rsidRPr="005675B2">
        <w:rPr>
          <w:rFonts w:hint="cs"/>
          <w:rtl/>
        </w:rPr>
        <w:t>أقول</w:t>
      </w:r>
      <w:r w:rsidR="000636C2">
        <w:rPr>
          <w:rFonts w:hint="cs"/>
          <w:rtl/>
        </w:rPr>
        <w:t xml:space="preserve">: </w:t>
      </w:r>
      <w:r w:rsidRPr="005675B2">
        <w:rPr>
          <w:rFonts w:hint="cs"/>
          <w:rtl/>
        </w:rPr>
        <w:t>شكا رجل إلى ابن عباس فقال</w:t>
      </w:r>
      <w:r w:rsidR="000636C2">
        <w:rPr>
          <w:rFonts w:hint="cs"/>
          <w:rtl/>
        </w:rPr>
        <w:t>:</w:t>
      </w:r>
      <w:r w:rsidRPr="005675B2">
        <w:rPr>
          <w:rFonts w:hint="cs"/>
          <w:rtl/>
        </w:rPr>
        <w:t xml:space="preserve"> إني أكون في الصلاة فيخيل إلي أن بذكري بللاً</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قاتل الله الشيطان ..</w:t>
      </w:r>
      <w:r w:rsidR="000636C2">
        <w:rPr>
          <w:rFonts w:hint="cs"/>
          <w:rtl/>
        </w:rPr>
        <w:t>،</w:t>
      </w:r>
      <w:r w:rsidRPr="005675B2">
        <w:rPr>
          <w:rFonts w:hint="cs"/>
          <w:rtl/>
        </w:rPr>
        <w:t xml:space="preserve"> فإذا توضأت فانضح فرجك بالماء</w:t>
      </w:r>
      <w:r w:rsidR="000636C2">
        <w:rPr>
          <w:rFonts w:hint="cs"/>
          <w:rtl/>
        </w:rPr>
        <w:t>،</w:t>
      </w:r>
      <w:r w:rsidRPr="005675B2">
        <w:rPr>
          <w:rFonts w:hint="cs"/>
          <w:rtl/>
        </w:rPr>
        <w:t xml:space="preserve"> فإن وجدت قلت هو من الماء</w:t>
      </w:r>
      <w:r w:rsidR="000636C2">
        <w:rPr>
          <w:rFonts w:hint="cs"/>
          <w:rtl/>
        </w:rPr>
        <w:t>]</w:t>
      </w:r>
      <w:r w:rsidRPr="005675B2">
        <w:rPr>
          <w:rFonts w:hint="cs"/>
          <w:rtl/>
        </w:rPr>
        <w:t xml:space="preserve"> [</w:t>
      </w:r>
      <w:r w:rsidRPr="005675B2">
        <w:rPr>
          <w:rFonts w:hint="cs"/>
          <w:sz w:val="24"/>
          <w:szCs w:val="24"/>
          <w:rtl/>
        </w:rPr>
        <w:t>مصنف عبد الرزاق: 1/151 . بسند جيد</w:t>
      </w:r>
      <w:r w:rsidR="000636C2">
        <w:rPr>
          <w:rFonts w:hint="cs"/>
          <w:sz w:val="24"/>
          <w:szCs w:val="24"/>
          <w:rtl/>
        </w:rPr>
        <w:t>]</w:t>
      </w:r>
      <w:r w:rsidR="000636C2">
        <w:rPr>
          <w:rFonts w:hint="cs"/>
          <w:rtl/>
        </w:rPr>
        <w:t>،</w:t>
      </w:r>
      <w:r w:rsidRPr="005675B2">
        <w:rPr>
          <w:rFonts w:hint="cs"/>
          <w:rtl/>
        </w:rPr>
        <w:t xml:space="preserve"> وهذا دليل من أدلة كثيرة على استعمال العرب القول والمراد هو القول النفسي دون أن يقع التقييد بذلك</w:t>
      </w:r>
      <w:r w:rsidR="000636C2">
        <w:rPr>
          <w:rFonts w:hint="cs"/>
          <w:rtl/>
        </w:rPr>
        <w:t>،</w:t>
      </w:r>
      <w:r w:rsidRPr="005675B2">
        <w:rPr>
          <w:rFonts w:hint="cs"/>
          <w:rtl/>
        </w:rPr>
        <w:t xml:space="preserve"> وقفْ عند قول الرجل </w:t>
      </w:r>
      <w:r w:rsidR="000636C2">
        <w:rPr>
          <w:rFonts w:hint="cs"/>
          <w:rtl/>
        </w:rPr>
        <w:t>[</w:t>
      </w:r>
      <w:r w:rsidRPr="005675B2">
        <w:rPr>
          <w:rFonts w:hint="cs"/>
          <w:rtl/>
        </w:rPr>
        <w:t>في الصلاة</w:t>
      </w:r>
      <w:r w:rsidR="000636C2">
        <w:rPr>
          <w:rFonts w:hint="cs"/>
          <w:rtl/>
        </w:rPr>
        <w:t>]</w:t>
      </w:r>
      <w:r w:rsidRPr="005675B2">
        <w:rPr>
          <w:rFonts w:hint="cs"/>
          <w:rtl/>
        </w:rPr>
        <w:t xml:space="preserve"> وقول ابن عباس له </w:t>
      </w:r>
      <w:r w:rsidR="000636C2">
        <w:rPr>
          <w:rFonts w:hint="cs"/>
          <w:rtl/>
        </w:rPr>
        <w:t>[</w:t>
      </w:r>
      <w:r w:rsidRPr="005675B2">
        <w:rPr>
          <w:rFonts w:hint="cs"/>
          <w:rtl/>
        </w:rPr>
        <w:t>قلت هو من الماء</w:t>
      </w:r>
      <w:r w:rsidR="000636C2">
        <w:rPr>
          <w:rFonts w:hint="cs"/>
          <w:rtl/>
        </w:rPr>
        <w:t>]،</w:t>
      </w:r>
      <w:r w:rsidRPr="005675B2">
        <w:rPr>
          <w:rFonts w:hint="cs"/>
          <w:rtl/>
        </w:rPr>
        <w:t xml:space="preserve"> وقد تقدم حديث </w:t>
      </w:r>
      <w:r w:rsidR="000636C2">
        <w:rPr>
          <w:rFonts w:hint="cs"/>
          <w:rtl/>
        </w:rPr>
        <w:t>[</w:t>
      </w:r>
      <w:r w:rsidRPr="005675B2">
        <w:rPr>
          <w:rFonts w:hint="cs"/>
          <w:rtl/>
        </w:rPr>
        <w:t>ألا أنبئكم بأكبر الكبائر</w:t>
      </w:r>
      <w:r w:rsidR="000636C2">
        <w:rPr>
          <w:rFonts w:hint="cs"/>
          <w:rtl/>
        </w:rPr>
        <w:t>؟!</w:t>
      </w:r>
      <w:r w:rsidRPr="005675B2">
        <w:rPr>
          <w:rFonts w:hint="cs"/>
          <w:rtl/>
        </w:rPr>
        <w:t xml:space="preserve"> الإشراك بالله</w:t>
      </w:r>
      <w:r w:rsidR="000636C2">
        <w:rPr>
          <w:rFonts w:hint="cs"/>
          <w:rtl/>
        </w:rPr>
        <w:t>،</w:t>
      </w:r>
      <w:r w:rsidRPr="005675B2">
        <w:rPr>
          <w:rFonts w:hint="cs"/>
          <w:rtl/>
        </w:rPr>
        <w:t xml:space="preserve"> وعقوق الوالدين</w:t>
      </w:r>
      <w:r w:rsidR="000636C2">
        <w:rPr>
          <w:rFonts w:hint="cs"/>
          <w:rtl/>
        </w:rPr>
        <w:t>،</w:t>
      </w:r>
      <w:r w:rsidRPr="005675B2">
        <w:rPr>
          <w:rFonts w:hint="cs"/>
          <w:rtl/>
        </w:rPr>
        <w:t xml:space="preserve"> ألا وقول الزور</w:t>
      </w:r>
      <w:r w:rsidR="000636C2">
        <w:rPr>
          <w:rFonts w:hint="cs"/>
          <w:rtl/>
        </w:rPr>
        <w:t>]</w:t>
      </w:r>
      <w:r w:rsidRPr="005675B2">
        <w:rPr>
          <w:rFonts w:hint="cs"/>
          <w:rtl/>
        </w:rPr>
        <w:t xml:space="preserve"> وقول الراوي </w:t>
      </w:r>
      <w:r w:rsidR="000636C2">
        <w:rPr>
          <w:rFonts w:hint="cs"/>
          <w:rtl/>
        </w:rPr>
        <w:t>[</w:t>
      </w:r>
      <w:r w:rsidRPr="005675B2">
        <w:rPr>
          <w:rFonts w:hint="cs"/>
          <w:rtl/>
        </w:rPr>
        <w:t>فما زال يكررها حتى قلنا ليته سكت</w:t>
      </w:r>
      <w:r w:rsidR="000636C2">
        <w:rPr>
          <w:rFonts w:hint="cs"/>
          <w:rtl/>
        </w:rPr>
        <w:t>]،</w:t>
      </w:r>
      <w:r w:rsidRPr="005675B2">
        <w:rPr>
          <w:rFonts w:hint="cs"/>
          <w:rtl/>
        </w:rPr>
        <w:t xml:space="preserve"> وتقدم حديث </w:t>
      </w:r>
      <w:r w:rsidR="000636C2">
        <w:rPr>
          <w:rFonts w:hint="cs"/>
          <w:rtl/>
        </w:rPr>
        <w:t>[</w:t>
      </w:r>
      <w:r w:rsidRPr="005675B2">
        <w:rPr>
          <w:rFonts w:hint="cs"/>
          <w:rtl/>
        </w:rPr>
        <w:t>فإذا أتاه الشيطان فقال إنك قد أحدثت فليقل كذبت</w:t>
      </w:r>
      <w:r w:rsidR="000636C2">
        <w:rPr>
          <w:rFonts w:hint="cs"/>
          <w:rtl/>
        </w:rPr>
        <w:t xml:space="preserve">]، </w:t>
      </w:r>
      <w:r w:rsidRPr="005675B2">
        <w:rPr>
          <w:rFonts w:hint="cs"/>
          <w:rtl/>
        </w:rPr>
        <w:t>ويبدو أن الباحث من المتسرعين في إطلاق أحكام لغوية دون أن يتتبع النصوص إذا رأى أن ذلك يخدم فكرته</w:t>
      </w:r>
      <w:r w:rsidR="000636C2">
        <w:rPr>
          <w:rFonts w:hint="cs"/>
          <w:rtl/>
        </w:rPr>
        <w:t xml:space="preserve">، </w:t>
      </w:r>
    </w:p>
    <w:p w14:paraId="391CCAEB" w14:textId="77777777" w:rsidR="009C32A0" w:rsidRPr="005675B2" w:rsidRDefault="009C32A0" w:rsidP="000636C2">
      <w:pPr>
        <w:jc w:val="center"/>
        <w:rPr>
          <w:b/>
          <w:rtl/>
        </w:rPr>
      </w:pPr>
      <w:r w:rsidRPr="005675B2">
        <w:rPr>
          <w:rFonts w:hint="cs"/>
          <w:rtl/>
        </w:rPr>
        <w:t>***</w:t>
      </w:r>
    </w:p>
    <w:p w14:paraId="20A171F0" w14:textId="7EB87806" w:rsidR="009C32A0" w:rsidRPr="005675B2" w:rsidRDefault="000636C2" w:rsidP="000636C2">
      <w:pPr>
        <w:jc w:val="center"/>
        <w:rPr>
          <w:bCs/>
          <w:rtl/>
        </w:rPr>
      </w:pPr>
      <w:r>
        <w:rPr>
          <w:rFonts w:hint="cs"/>
          <w:bCs/>
          <w:rtl/>
        </w:rPr>
        <w:t>[</w:t>
      </w:r>
      <w:r w:rsidR="009C32A0" w:rsidRPr="005675B2">
        <w:rPr>
          <w:rFonts w:hint="cs"/>
          <w:bCs/>
          <w:rtl/>
        </w:rPr>
        <w:t>ملحق في تلخيص عقائد الأشاعرة</w:t>
      </w:r>
      <w:r>
        <w:rPr>
          <w:rFonts w:hint="cs"/>
          <w:bCs/>
          <w:rtl/>
        </w:rPr>
        <w:t>]</w:t>
      </w:r>
    </w:p>
    <w:p w14:paraId="6C9CD27C" w14:textId="74F83E18"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مصدر تلقي العقيدة</w:t>
      </w:r>
      <w:r w:rsidR="000636C2">
        <w:rPr>
          <w:rFonts w:hint="cs"/>
          <w:rtl/>
        </w:rPr>
        <w:t xml:space="preserve"> </w:t>
      </w:r>
      <w:r w:rsidRPr="005675B2">
        <w:rPr>
          <w:rFonts w:hint="cs"/>
          <w:rtl/>
        </w:rPr>
        <w:t>- عند الاشاعرة</w:t>
      </w:r>
      <w:r w:rsidR="000636C2">
        <w:rPr>
          <w:rFonts w:hint="cs"/>
          <w:rtl/>
        </w:rPr>
        <w:t xml:space="preserve"> </w:t>
      </w:r>
      <w:r w:rsidRPr="005675B2">
        <w:rPr>
          <w:rFonts w:hint="cs"/>
          <w:rtl/>
        </w:rPr>
        <w:t>- هو القرآن الكريم والسنة المتواترة والدلالة العقلية القطعية</w:t>
      </w:r>
      <w:r w:rsidR="000636C2">
        <w:rPr>
          <w:rFonts w:hint="cs"/>
          <w:rtl/>
        </w:rPr>
        <w:t xml:space="preserve">، </w:t>
      </w:r>
      <w:r w:rsidRPr="005675B2">
        <w:rPr>
          <w:rFonts w:hint="cs"/>
          <w:rtl/>
        </w:rPr>
        <w:t>2</w:t>
      </w:r>
      <w:r w:rsidR="000636C2">
        <w:rPr>
          <w:rFonts w:hint="cs"/>
          <w:rtl/>
        </w:rPr>
        <w:t xml:space="preserve"> </w:t>
      </w:r>
      <w:r w:rsidRPr="005675B2">
        <w:rPr>
          <w:rFonts w:hint="cs"/>
          <w:rtl/>
        </w:rPr>
        <w:t>- القطعيات تتوافق ولا تتعارض</w:t>
      </w:r>
      <w:r w:rsidR="000636C2">
        <w:rPr>
          <w:rFonts w:hint="cs"/>
          <w:rtl/>
        </w:rPr>
        <w:t xml:space="preserve">، </w:t>
      </w:r>
      <w:r w:rsidRPr="005675B2">
        <w:rPr>
          <w:rFonts w:hint="cs"/>
          <w:rtl/>
        </w:rPr>
        <w:t>3</w:t>
      </w:r>
      <w:r w:rsidR="000636C2">
        <w:rPr>
          <w:rFonts w:hint="cs"/>
          <w:rtl/>
        </w:rPr>
        <w:t xml:space="preserve"> </w:t>
      </w:r>
      <w:r w:rsidRPr="005675B2">
        <w:rPr>
          <w:rFonts w:hint="cs"/>
          <w:rtl/>
        </w:rPr>
        <w:t>- الأحاديث الآحادية ليست حجة مستقلة في أصول العقائد</w:t>
      </w:r>
      <w:r w:rsidR="000636C2">
        <w:rPr>
          <w:rFonts w:hint="cs"/>
          <w:rtl/>
        </w:rPr>
        <w:t xml:space="preserve">، </w:t>
      </w:r>
      <w:r w:rsidRPr="005675B2">
        <w:rPr>
          <w:rFonts w:hint="cs"/>
          <w:rtl/>
        </w:rPr>
        <w:t>4</w:t>
      </w:r>
      <w:r w:rsidR="000636C2">
        <w:rPr>
          <w:rFonts w:hint="cs"/>
          <w:rtl/>
        </w:rPr>
        <w:t xml:space="preserve"> </w:t>
      </w:r>
      <w:r w:rsidRPr="005675B2">
        <w:rPr>
          <w:rFonts w:hint="cs"/>
          <w:rtl/>
        </w:rPr>
        <w:t>- ظواهر ألفاظ النصوص المخالفة للنصوص المحكمة أو القواطع العقلية لا يؤخذ بها ويجب تأويلها</w:t>
      </w:r>
      <w:r w:rsidR="000636C2">
        <w:rPr>
          <w:rFonts w:hint="cs"/>
          <w:rtl/>
        </w:rPr>
        <w:t xml:space="preserve">، </w:t>
      </w:r>
      <w:r w:rsidRPr="005675B2">
        <w:rPr>
          <w:rFonts w:hint="cs"/>
          <w:rtl/>
        </w:rPr>
        <w:t>5</w:t>
      </w:r>
      <w:r w:rsidR="000636C2">
        <w:rPr>
          <w:rFonts w:hint="cs"/>
          <w:rtl/>
        </w:rPr>
        <w:t xml:space="preserve"> </w:t>
      </w:r>
      <w:r w:rsidRPr="005675B2">
        <w:rPr>
          <w:rFonts w:hint="cs"/>
          <w:rtl/>
        </w:rPr>
        <w:t>- لا يوصف الله تعالى بما يدل على انه مركب من أجزاء</w:t>
      </w:r>
      <w:r w:rsidR="000636C2">
        <w:rPr>
          <w:rFonts w:hint="cs"/>
          <w:rtl/>
        </w:rPr>
        <w:t>،</w:t>
      </w:r>
      <w:r w:rsidRPr="005675B2">
        <w:rPr>
          <w:rFonts w:hint="cs"/>
          <w:rtl/>
        </w:rPr>
        <w:t xml:space="preserve"> فلا يقال له وجه وعينان ويدان وأصابع وساعد وساق وقدم وجنب وحقو</w:t>
      </w:r>
      <w:r w:rsidR="000636C2">
        <w:rPr>
          <w:rFonts w:hint="cs"/>
          <w:rtl/>
        </w:rPr>
        <w:t xml:space="preserve">، </w:t>
      </w:r>
      <w:r w:rsidRPr="005675B2">
        <w:rPr>
          <w:rFonts w:hint="cs"/>
          <w:rtl/>
        </w:rPr>
        <w:t>6</w:t>
      </w:r>
      <w:r w:rsidR="000636C2">
        <w:rPr>
          <w:rFonts w:hint="cs"/>
          <w:rtl/>
        </w:rPr>
        <w:t xml:space="preserve"> </w:t>
      </w:r>
      <w:r w:rsidRPr="005675B2">
        <w:rPr>
          <w:rFonts w:hint="cs"/>
          <w:rtl/>
        </w:rPr>
        <w:t>- الإيمان هو التصديق العقلي مع الإذعان والقبول، والأعمال الصالحة هي ثمرات للإيمان</w:t>
      </w:r>
      <w:r w:rsidR="000636C2">
        <w:rPr>
          <w:rFonts w:hint="cs"/>
          <w:rtl/>
        </w:rPr>
        <w:t xml:space="preserve">، </w:t>
      </w:r>
      <w:r w:rsidRPr="005675B2">
        <w:rPr>
          <w:rFonts w:hint="cs"/>
          <w:rtl/>
        </w:rPr>
        <w:t>7</w:t>
      </w:r>
      <w:r w:rsidR="000636C2">
        <w:rPr>
          <w:rFonts w:hint="cs"/>
          <w:rtl/>
        </w:rPr>
        <w:t xml:space="preserve"> </w:t>
      </w:r>
      <w:r w:rsidRPr="005675B2">
        <w:rPr>
          <w:rFonts w:hint="cs"/>
          <w:rtl/>
        </w:rPr>
        <w:t>- القرآن كلام الله</w:t>
      </w:r>
      <w:r w:rsidR="000636C2">
        <w:rPr>
          <w:rFonts w:hint="cs"/>
          <w:rtl/>
        </w:rPr>
        <w:t>،</w:t>
      </w:r>
      <w:r w:rsidRPr="005675B2">
        <w:rPr>
          <w:rFonts w:hint="cs"/>
          <w:rtl/>
        </w:rPr>
        <w:t xml:space="preserve"> وهو الكلام النفسي القائم بذات الله تعالى</w:t>
      </w:r>
      <w:r w:rsidR="000636C2">
        <w:rPr>
          <w:rFonts w:hint="cs"/>
          <w:rtl/>
        </w:rPr>
        <w:t>،</w:t>
      </w:r>
      <w:r w:rsidRPr="005675B2">
        <w:rPr>
          <w:rFonts w:hint="cs"/>
          <w:rtl/>
        </w:rPr>
        <w:t xml:space="preserve"> وهو قديم غير مخلوق</w:t>
      </w:r>
      <w:r w:rsidR="000636C2">
        <w:rPr>
          <w:rFonts w:hint="cs"/>
          <w:rtl/>
        </w:rPr>
        <w:t xml:space="preserve">، </w:t>
      </w:r>
      <w:r w:rsidRPr="005675B2">
        <w:rPr>
          <w:rFonts w:hint="cs"/>
          <w:rtl/>
        </w:rPr>
        <w:t>8</w:t>
      </w:r>
      <w:r w:rsidR="000636C2">
        <w:rPr>
          <w:rFonts w:hint="cs"/>
          <w:rtl/>
        </w:rPr>
        <w:t xml:space="preserve"> </w:t>
      </w:r>
      <w:r w:rsidRPr="005675B2">
        <w:rPr>
          <w:rFonts w:hint="cs"/>
          <w:rtl/>
        </w:rPr>
        <w:t>- الطعام لا يشبع بنفسه</w:t>
      </w:r>
      <w:r w:rsidR="000636C2">
        <w:rPr>
          <w:rFonts w:hint="cs"/>
          <w:rtl/>
        </w:rPr>
        <w:t>،</w:t>
      </w:r>
      <w:r w:rsidRPr="005675B2">
        <w:rPr>
          <w:rFonts w:hint="cs"/>
          <w:rtl/>
        </w:rPr>
        <w:t xml:space="preserve"> والنار لا تحرق بنفسها</w:t>
      </w:r>
      <w:r w:rsidR="000636C2">
        <w:rPr>
          <w:rFonts w:hint="cs"/>
          <w:rtl/>
        </w:rPr>
        <w:t>،</w:t>
      </w:r>
      <w:r w:rsidRPr="005675B2">
        <w:rPr>
          <w:rFonts w:hint="cs"/>
          <w:rtl/>
        </w:rPr>
        <w:t xml:space="preserve"> والدواء لا يشفي بنفسه</w:t>
      </w:r>
      <w:r w:rsidR="000636C2">
        <w:rPr>
          <w:rFonts w:hint="cs"/>
          <w:rtl/>
        </w:rPr>
        <w:t>،</w:t>
      </w:r>
      <w:r w:rsidRPr="005675B2">
        <w:rPr>
          <w:rFonts w:hint="cs"/>
          <w:rtl/>
        </w:rPr>
        <w:t xml:space="preserve"> والله تعالى هو الذي يخلق الإشباع والإحراق والشفاء عند هذه الأسباب</w:t>
      </w:r>
      <w:r w:rsidR="000636C2">
        <w:rPr>
          <w:rFonts w:hint="cs"/>
          <w:rtl/>
        </w:rPr>
        <w:t xml:space="preserve">، </w:t>
      </w:r>
      <w:r w:rsidRPr="005675B2">
        <w:rPr>
          <w:rFonts w:hint="cs"/>
          <w:rtl/>
        </w:rPr>
        <w:t>9</w:t>
      </w:r>
      <w:r w:rsidR="000636C2">
        <w:rPr>
          <w:rFonts w:hint="cs"/>
          <w:rtl/>
        </w:rPr>
        <w:t xml:space="preserve"> </w:t>
      </w:r>
      <w:r w:rsidRPr="005675B2">
        <w:rPr>
          <w:rFonts w:hint="cs"/>
          <w:rtl/>
        </w:rPr>
        <w:t>- التكليف والثواب والعقاب مرتبط بالأوامر الإلهية وبعثة الرسل</w:t>
      </w:r>
      <w:r w:rsidR="000636C2">
        <w:rPr>
          <w:rFonts w:hint="cs"/>
          <w:rtl/>
        </w:rPr>
        <w:t>،</w:t>
      </w:r>
      <w:r w:rsidRPr="005675B2">
        <w:rPr>
          <w:rFonts w:hint="cs"/>
          <w:rtl/>
        </w:rPr>
        <w:t xml:space="preserve"> لا بحسن الشيء وقبحه</w:t>
      </w:r>
      <w:r w:rsidR="000636C2">
        <w:rPr>
          <w:rFonts w:hint="cs"/>
          <w:rtl/>
        </w:rPr>
        <w:t xml:space="preserve">، </w:t>
      </w:r>
      <w:r w:rsidRPr="005675B2">
        <w:rPr>
          <w:rFonts w:hint="cs"/>
          <w:rtl/>
        </w:rPr>
        <w:t>10</w:t>
      </w:r>
      <w:r w:rsidR="000636C2">
        <w:rPr>
          <w:rFonts w:hint="cs"/>
          <w:rtl/>
        </w:rPr>
        <w:t xml:space="preserve"> </w:t>
      </w:r>
      <w:r w:rsidRPr="005675B2">
        <w:rPr>
          <w:rFonts w:hint="cs"/>
          <w:rtl/>
        </w:rPr>
        <w:t>- بعض النصوص لا تفهم حسب معاني المفردات بل حسب السياق ومعاني التراكيب</w:t>
      </w:r>
      <w:r w:rsidR="000636C2">
        <w:rPr>
          <w:rFonts w:hint="cs"/>
          <w:rtl/>
        </w:rPr>
        <w:t>،</w:t>
      </w:r>
      <w:r w:rsidRPr="005675B2">
        <w:rPr>
          <w:rFonts w:hint="cs"/>
          <w:rtl/>
        </w:rPr>
        <w:t xml:space="preserve"> وتؤول المعاني المأخوذة من المفردات المقطوعة عن السياق إذا دل دليل على أنها غير مرادة</w:t>
      </w:r>
      <w:r w:rsidR="000636C2">
        <w:rPr>
          <w:rFonts w:hint="cs"/>
          <w:rtl/>
        </w:rPr>
        <w:t xml:space="preserve">، </w:t>
      </w:r>
      <w:r w:rsidRPr="005675B2">
        <w:rPr>
          <w:rFonts w:hint="cs"/>
          <w:rtl/>
        </w:rPr>
        <w:t>11</w:t>
      </w:r>
      <w:r w:rsidR="000636C2">
        <w:rPr>
          <w:rFonts w:hint="cs"/>
          <w:rtl/>
        </w:rPr>
        <w:t xml:space="preserve"> </w:t>
      </w:r>
      <w:r w:rsidRPr="005675B2">
        <w:rPr>
          <w:rFonts w:hint="cs"/>
          <w:rtl/>
        </w:rPr>
        <w:t>- كل ما دل عليه نص قرآني أو نبوي فيجب الإيمان به</w:t>
      </w:r>
      <w:r w:rsidR="000636C2">
        <w:rPr>
          <w:rFonts w:hint="cs"/>
          <w:rtl/>
        </w:rPr>
        <w:t>،</w:t>
      </w:r>
      <w:r w:rsidRPr="005675B2">
        <w:rPr>
          <w:rFonts w:hint="cs"/>
          <w:rtl/>
        </w:rPr>
        <w:t xml:space="preserve"> إلا إذا كان مخالفا لحكم قطعي في الشرع أو العقل</w:t>
      </w:r>
      <w:r w:rsidR="000636C2">
        <w:rPr>
          <w:rFonts w:hint="cs"/>
          <w:rtl/>
        </w:rPr>
        <w:t>،</w:t>
      </w:r>
      <w:r w:rsidRPr="005675B2">
        <w:rPr>
          <w:rFonts w:hint="cs"/>
          <w:rtl/>
        </w:rPr>
        <w:t xml:space="preserve"> وهذا يعني أن ذلك النص يؤول أو يطعن في ثبوته إن كان حديثا آحاديا</w:t>
      </w:r>
      <w:r w:rsidR="000636C2">
        <w:rPr>
          <w:rFonts w:hint="cs"/>
          <w:rtl/>
        </w:rPr>
        <w:t>،</w:t>
      </w:r>
      <w:r w:rsidRPr="005675B2">
        <w:rPr>
          <w:rFonts w:hint="cs"/>
          <w:rtl/>
        </w:rPr>
        <w:t xml:space="preserve"> 12</w:t>
      </w:r>
      <w:r w:rsidR="000636C2">
        <w:rPr>
          <w:rFonts w:hint="cs"/>
          <w:rtl/>
        </w:rPr>
        <w:t xml:space="preserve"> </w:t>
      </w:r>
      <w:r w:rsidRPr="005675B2">
        <w:rPr>
          <w:rFonts w:hint="cs"/>
          <w:rtl/>
        </w:rPr>
        <w:t>- الكفر هو نقيض الإيمان</w:t>
      </w:r>
      <w:r w:rsidR="000636C2">
        <w:rPr>
          <w:rFonts w:hint="cs"/>
          <w:rtl/>
        </w:rPr>
        <w:t>،</w:t>
      </w:r>
      <w:r w:rsidRPr="005675B2">
        <w:rPr>
          <w:rFonts w:hint="cs"/>
          <w:rtl/>
        </w:rPr>
        <w:t xml:space="preserve"> فهو يرجع إلى التكذيب بأي أمر ثبت عن الله تعالى أو رسوله صلى الله عليه وسلم من وجه قطعي</w:t>
      </w:r>
      <w:r w:rsidR="000636C2">
        <w:rPr>
          <w:rFonts w:hint="cs"/>
          <w:rtl/>
        </w:rPr>
        <w:t xml:space="preserve">، </w:t>
      </w:r>
      <w:r w:rsidRPr="005675B2">
        <w:rPr>
          <w:rFonts w:hint="cs"/>
          <w:rtl/>
        </w:rPr>
        <w:t>13</w:t>
      </w:r>
      <w:r w:rsidR="000636C2">
        <w:rPr>
          <w:rFonts w:hint="cs"/>
          <w:rtl/>
        </w:rPr>
        <w:t xml:space="preserve"> </w:t>
      </w:r>
      <w:r w:rsidRPr="005675B2">
        <w:rPr>
          <w:rFonts w:hint="cs"/>
          <w:rtl/>
        </w:rPr>
        <w:t>- أصحاب رسول الله صلى الله عليه وسلم يترضى عنهم ولا يتكلم فيهم بسوء</w:t>
      </w:r>
      <w:r w:rsidR="000636C2">
        <w:rPr>
          <w:rFonts w:hint="cs"/>
          <w:rtl/>
        </w:rPr>
        <w:t xml:space="preserve">، </w:t>
      </w:r>
      <w:r w:rsidRPr="005675B2">
        <w:rPr>
          <w:rFonts w:hint="cs"/>
          <w:rtl/>
        </w:rPr>
        <w:t>14</w:t>
      </w:r>
      <w:r w:rsidR="000636C2">
        <w:rPr>
          <w:rFonts w:hint="cs"/>
          <w:rtl/>
        </w:rPr>
        <w:t xml:space="preserve"> </w:t>
      </w:r>
      <w:r w:rsidRPr="005675B2">
        <w:rPr>
          <w:rFonts w:hint="cs"/>
          <w:rtl/>
        </w:rPr>
        <w:t>- الخليفة بعد رسول الله صلى الله عليه وسلم هو أبو بكر ثم عمر ثم عثمان ثم علي رضي الله عنهم</w:t>
      </w:r>
      <w:r w:rsidR="000636C2">
        <w:rPr>
          <w:rFonts w:hint="cs"/>
          <w:rtl/>
        </w:rPr>
        <w:t>،</w:t>
      </w:r>
      <w:r w:rsidRPr="005675B2">
        <w:rPr>
          <w:rFonts w:hint="cs"/>
          <w:rtl/>
        </w:rPr>
        <w:t xml:space="preserve"> والأئمة من قريش</w:t>
      </w:r>
      <w:r w:rsidR="000636C2">
        <w:rPr>
          <w:rFonts w:hint="cs"/>
          <w:rtl/>
        </w:rPr>
        <w:t xml:space="preserve">، </w:t>
      </w:r>
      <w:r w:rsidRPr="005675B2">
        <w:rPr>
          <w:rFonts w:hint="cs"/>
          <w:rtl/>
        </w:rPr>
        <w:t>15</w:t>
      </w:r>
      <w:r w:rsidR="000636C2">
        <w:rPr>
          <w:rFonts w:hint="cs"/>
          <w:rtl/>
        </w:rPr>
        <w:t xml:space="preserve"> </w:t>
      </w:r>
      <w:r w:rsidRPr="005675B2">
        <w:rPr>
          <w:rFonts w:hint="cs"/>
          <w:rtl/>
        </w:rPr>
        <w:t>- يجب تنزيه الله تعالى عن صفات الحوادث كالمكان والجهة والحركة والانتقال والنزول والصعود الحسيات</w:t>
      </w:r>
      <w:r w:rsidR="000636C2">
        <w:rPr>
          <w:rFonts w:hint="cs"/>
          <w:rtl/>
        </w:rPr>
        <w:t xml:space="preserve">، </w:t>
      </w:r>
      <w:r w:rsidRPr="005675B2">
        <w:rPr>
          <w:rFonts w:hint="cs"/>
          <w:rtl/>
        </w:rPr>
        <w:t>16</w:t>
      </w:r>
      <w:r w:rsidR="000636C2">
        <w:rPr>
          <w:rFonts w:hint="cs"/>
          <w:rtl/>
        </w:rPr>
        <w:t xml:space="preserve"> </w:t>
      </w:r>
      <w:r w:rsidRPr="005675B2">
        <w:rPr>
          <w:rFonts w:hint="cs"/>
          <w:rtl/>
        </w:rPr>
        <w:t>- الله تعالى متفرد في الأزل</w:t>
      </w:r>
      <w:r w:rsidR="000636C2">
        <w:rPr>
          <w:rFonts w:hint="cs"/>
          <w:rtl/>
        </w:rPr>
        <w:t>،</w:t>
      </w:r>
      <w:r w:rsidRPr="005675B2">
        <w:rPr>
          <w:rFonts w:hint="cs"/>
          <w:rtl/>
        </w:rPr>
        <w:t xml:space="preserve"> أي كان الله ولم يكن شيء غيره</w:t>
      </w:r>
      <w:r w:rsidR="000636C2">
        <w:rPr>
          <w:rFonts w:hint="cs"/>
          <w:rtl/>
        </w:rPr>
        <w:t>،</w:t>
      </w:r>
      <w:r w:rsidRPr="005675B2">
        <w:rPr>
          <w:rFonts w:hint="cs"/>
          <w:rtl/>
        </w:rPr>
        <w:t xml:space="preserve"> فلا شيء قبله</w:t>
      </w:r>
      <w:r w:rsidR="000636C2">
        <w:rPr>
          <w:rFonts w:hint="cs"/>
          <w:rtl/>
        </w:rPr>
        <w:t>،</w:t>
      </w:r>
      <w:r w:rsidRPr="005675B2">
        <w:rPr>
          <w:rFonts w:hint="cs"/>
          <w:rtl/>
        </w:rPr>
        <w:t xml:space="preserve"> ولا شيء معه</w:t>
      </w:r>
      <w:r w:rsidR="000636C2">
        <w:rPr>
          <w:rFonts w:hint="cs"/>
          <w:rtl/>
        </w:rPr>
        <w:t>،</w:t>
      </w:r>
      <w:r w:rsidRPr="005675B2">
        <w:rPr>
          <w:rFonts w:hint="cs"/>
          <w:rtl/>
        </w:rPr>
        <w:t xml:space="preserve"> والعرش فما دونه أي كل ما سوى الله تعالى حادث مخلوق</w:t>
      </w:r>
      <w:r w:rsidR="000636C2">
        <w:rPr>
          <w:rFonts w:hint="cs"/>
          <w:rtl/>
        </w:rPr>
        <w:t xml:space="preserve">، </w:t>
      </w:r>
      <w:r w:rsidRPr="005675B2">
        <w:rPr>
          <w:rFonts w:hint="cs"/>
          <w:rtl/>
        </w:rPr>
        <w:t>17</w:t>
      </w:r>
      <w:r w:rsidR="000636C2">
        <w:rPr>
          <w:rFonts w:hint="cs"/>
          <w:rtl/>
        </w:rPr>
        <w:t xml:space="preserve"> </w:t>
      </w:r>
      <w:r w:rsidRPr="005675B2">
        <w:rPr>
          <w:rFonts w:hint="cs"/>
          <w:rtl/>
        </w:rPr>
        <w:t>- يثبتون ما أثبته الله لنفسه وينفون في الوقت ذاته سمات الحدوث</w:t>
      </w:r>
      <w:r w:rsidR="000636C2">
        <w:rPr>
          <w:rFonts w:hint="cs"/>
          <w:rtl/>
        </w:rPr>
        <w:t>،</w:t>
      </w:r>
      <w:r w:rsidRPr="005675B2">
        <w:rPr>
          <w:rFonts w:hint="cs"/>
          <w:rtl/>
        </w:rPr>
        <w:t xml:space="preserve"> فيثبتون له صفة الاستواء ويقولون ليس باستقرار ولا ملاصقة</w:t>
      </w:r>
      <w:r w:rsidR="000636C2">
        <w:rPr>
          <w:rFonts w:hint="cs"/>
          <w:rtl/>
        </w:rPr>
        <w:t xml:space="preserve">، </w:t>
      </w:r>
      <w:r w:rsidRPr="005675B2">
        <w:rPr>
          <w:rFonts w:hint="cs"/>
          <w:rtl/>
        </w:rPr>
        <w:t>18</w:t>
      </w:r>
      <w:r w:rsidR="000636C2">
        <w:rPr>
          <w:rFonts w:hint="cs"/>
          <w:rtl/>
        </w:rPr>
        <w:t xml:space="preserve"> </w:t>
      </w:r>
      <w:r w:rsidRPr="005675B2">
        <w:rPr>
          <w:rFonts w:hint="cs"/>
          <w:rtl/>
        </w:rPr>
        <w:t>- ينزهون الله تعالى عن أن يلحقه تغير أو تبدل</w:t>
      </w:r>
      <w:r w:rsidR="000636C2">
        <w:rPr>
          <w:rFonts w:hint="cs"/>
          <w:rtl/>
        </w:rPr>
        <w:t xml:space="preserve">، </w:t>
      </w:r>
      <w:r w:rsidRPr="005675B2">
        <w:rPr>
          <w:rFonts w:hint="cs"/>
          <w:rtl/>
        </w:rPr>
        <w:t>19</w:t>
      </w:r>
      <w:r w:rsidR="000636C2">
        <w:rPr>
          <w:rFonts w:hint="cs"/>
          <w:rtl/>
        </w:rPr>
        <w:t xml:space="preserve"> </w:t>
      </w:r>
      <w:r w:rsidRPr="005675B2">
        <w:rPr>
          <w:rFonts w:hint="cs"/>
          <w:rtl/>
        </w:rPr>
        <w:t>- القرآن انزله الله تعالى بلغة العرب على وفق طرقهم في استخدام الألفاظ والتراكيب</w:t>
      </w:r>
      <w:r w:rsidR="000636C2">
        <w:rPr>
          <w:rFonts w:hint="cs"/>
          <w:rtl/>
        </w:rPr>
        <w:t>،</w:t>
      </w:r>
      <w:r w:rsidRPr="005675B2">
        <w:rPr>
          <w:rFonts w:hint="cs"/>
          <w:rtl/>
        </w:rPr>
        <w:t xml:space="preserve"> فلا تفهم نصوص القرآن</w:t>
      </w:r>
      <w:r w:rsidR="000636C2">
        <w:rPr>
          <w:rFonts w:hint="cs"/>
          <w:rtl/>
        </w:rPr>
        <w:t xml:space="preserve"> </w:t>
      </w:r>
      <w:r w:rsidRPr="005675B2">
        <w:rPr>
          <w:rFonts w:hint="cs"/>
          <w:rtl/>
        </w:rPr>
        <w:t>- وكذا نصوص السنة</w:t>
      </w:r>
      <w:r w:rsidR="000636C2">
        <w:rPr>
          <w:rFonts w:hint="cs"/>
          <w:rtl/>
        </w:rPr>
        <w:t xml:space="preserve"> </w:t>
      </w:r>
      <w:r w:rsidRPr="005675B2">
        <w:rPr>
          <w:rFonts w:hint="cs"/>
          <w:rtl/>
        </w:rPr>
        <w:t>- إلا على وفق أساليب العرب في البيان</w:t>
      </w:r>
      <w:r w:rsidR="000636C2">
        <w:rPr>
          <w:rFonts w:hint="cs"/>
          <w:rtl/>
        </w:rPr>
        <w:t>،</w:t>
      </w:r>
      <w:r w:rsidRPr="005675B2">
        <w:rPr>
          <w:rFonts w:hint="cs"/>
          <w:rtl/>
        </w:rPr>
        <w:t xml:space="preserve"> </w:t>
      </w:r>
    </w:p>
    <w:p w14:paraId="5743D821" w14:textId="468FC8CF" w:rsidR="009C32A0" w:rsidRPr="005675B2" w:rsidRDefault="009C32A0" w:rsidP="000636C2">
      <w:pPr>
        <w:rPr>
          <w:b/>
          <w:rtl/>
          <w:lang w:bidi="ar-KW"/>
        </w:rPr>
      </w:pPr>
      <w:r w:rsidRPr="005675B2">
        <w:rPr>
          <w:rFonts w:hint="cs"/>
          <w:bCs/>
          <w:rtl/>
        </w:rPr>
        <w:t>الخاتمة</w:t>
      </w:r>
      <w:r w:rsidR="000636C2">
        <w:rPr>
          <w:rFonts w:hint="cs"/>
          <w:rtl/>
        </w:rPr>
        <w:t>:</w:t>
      </w:r>
      <w:r w:rsidRPr="005675B2">
        <w:rPr>
          <w:rFonts w:hint="cs"/>
          <w:rtl/>
        </w:rPr>
        <w:t xml:space="preserve"> </w:t>
      </w:r>
      <w:r w:rsidRPr="005675B2">
        <w:rPr>
          <w:rtl/>
        </w:rPr>
        <w:t>وأقول في الختام</w:t>
      </w:r>
      <w:r w:rsidR="000636C2">
        <w:rPr>
          <w:rtl/>
        </w:rPr>
        <w:t>:</w:t>
      </w:r>
      <w:r w:rsidRPr="005675B2">
        <w:rPr>
          <w:rtl/>
        </w:rPr>
        <w:t xml:space="preserve"> اللهم أرنا الحقَّ حقاً</w:t>
      </w:r>
      <w:r w:rsidR="000636C2">
        <w:rPr>
          <w:rtl/>
        </w:rPr>
        <w:t>،</w:t>
      </w:r>
      <w:r w:rsidRPr="005675B2">
        <w:rPr>
          <w:rtl/>
        </w:rPr>
        <w:t xml:space="preserve"> وارزقنا اتباعه</w:t>
      </w:r>
      <w:r w:rsidR="000636C2">
        <w:rPr>
          <w:rtl/>
        </w:rPr>
        <w:t>،</w:t>
      </w:r>
      <w:r w:rsidRPr="005675B2">
        <w:rPr>
          <w:rtl/>
        </w:rPr>
        <w:t xml:space="preserve"> وحببنا فيه</w:t>
      </w:r>
      <w:r w:rsidR="000636C2">
        <w:rPr>
          <w:rtl/>
        </w:rPr>
        <w:t>،</w:t>
      </w:r>
      <w:r w:rsidRPr="005675B2">
        <w:rPr>
          <w:rtl/>
        </w:rPr>
        <w:t xml:space="preserve"> واجمعنا عليه</w:t>
      </w:r>
      <w:r w:rsidR="000636C2">
        <w:rPr>
          <w:rtl/>
        </w:rPr>
        <w:t>،</w:t>
      </w:r>
      <w:r w:rsidRPr="005675B2">
        <w:rPr>
          <w:rtl/>
        </w:rPr>
        <w:t xml:space="preserve"> وأرنا الباطل باطلاً</w:t>
      </w:r>
      <w:r w:rsidR="000636C2">
        <w:rPr>
          <w:rtl/>
        </w:rPr>
        <w:t>،</w:t>
      </w:r>
      <w:r w:rsidRPr="005675B2">
        <w:rPr>
          <w:rtl/>
        </w:rPr>
        <w:t xml:space="preserve"> وارزقنا اجتنابه</w:t>
      </w:r>
      <w:r w:rsidR="000636C2">
        <w:rPr>
          <w:rtl/>
        </w:rPr>
        <w:t>،</w:t>
      </w:r>
      <w:r w:rsidRPr="005675B2">
        <w:rPr>
          <w:rtl/>
        </w:rPr>
        <w:t xml:space="preserve"> وكرِّهنا فيه</w:t>
      </w:r>
      <w:r w:rsidR="000636C2">
        <w:rPr>
          <w:rtl/>
        </w:rPr>
        <w:t>،</w:t>
      </w:r>
      <w:r w:rsidRPr="005675B2">
        <w:rPr>
          <w:rtl/>
        </w:rPr>
        <w:t xml:space="preserve"> سبحانك اللهم وبحمدك</w:t>
      </w:r>
      <w:r w:rsidR="000636C2">
        <w:rPr>
          <w:rtl/>
        </w:rPr>
        <w:t>،</w:t>
      </w:r>
      <w:r w:rsidRPr="005675B2">
        <w:rPr>
          <w:rtl/>
        </w:rPr>
        <w:t xml:space="preserve"> أشهد أن لا إله إلا أنت وحدك لا شريك لك</w:t>
      </w:r>
      <w:r w:rsidR="000636C2">
        <w:rPr>
          <w:rtl/>
        </w:rPr>
        <w:t>،</w:t>
      </w:r>
      <w:r w:rsidRPr="005675B2">
        <w:rPr>
          <w:rtl/>
        </w:rPr>
        <w:t xml:space="preserve"> أستغفرك وأتوب إليك</w:t>
      </w:r>
      <w:r w:rsidR="000636C2">
        <w:rPr>
          <w:rtl/>
        </w:rPr>
        <w:t>،</w:t>
      </w:r>
      <w:r w:rsidRPr="005675B2">
        <w:rPr>
          <w:rtl/>
        </w:rPr>
        <w:t xml:space="preserve"> والحمد لله رب العالمين</w:t>
      </w:r>
      <w:r w:rsidR="000636C2">
        <w:rPr>
          <w:rtl/>
        </w:rPr>
        <w:t>،</w:t>
      </w:r>
      <w:r w:rsidRPr="005675B2">
        <w:rPr>
          <w:rtl/>
        </w:rPr>
        <w:t xml:space="preserve"> وكتبـه راجي عفو ربـه الكريم</w:t>
      </w:r>
      <w:r w:rsidR="000636C2">
        <w:rPr>
          <w:rtl/>
        </w:rPr>
        <w:t>:</w:t>
      </w:r>
      <w:r w:rsidRPr="005675B2">
        <w:rPr>
          <w:rtl/>
        </w:rPr>
        <w:t xml:space="preserve"> صلاح الدِّين بن أَحمد الإدلبي</w:t>
      </w:r>
      <w:r w:rsidR="000636C2">
        <w:rPr>
          <w:rtl/>
        </w:rPr>
        <w:t>]</w:t>
      </w:r>
      <w:r w:rsidR="000636C2">
        <w:rPr>
          <w:rFonts w:hint="cs"/>
          <w:rtl/>
        </w:rPr>
        <w:t>]</w:t>
      </w:r>
      <w:r w:rsidRPr="005675B2">
        <w:rPr>
          <w:rFonts w:hint="cs"/>
          <w:rtl/>
        </w:rPr>
        <w:t xml:space="preserve"> انتهى</w:t>
      </w:r>
      <w:r w:rsidR="000636C2">
        <w:rPr>
          <w:rFonts w:hint="cs"/>
          <w:rtl/>
        </w:rPr>
        <w:t xml:space="preserve"> </w:t>
      </w:r>
      <w:r w:rsidRPr="005675B2">
        <w:rPr>
          <w:rFonts w:hint="cs"/>
          <w:rtl/>
        </w:rPr>
        <w:t xml:space="preserve">من كتاب </w:t>
      </w:r>
      <w:r w:rsidRPr="005675B2">
        <w:rPr>
          <w:rtl/>
          <w:lang w:bidi="ar-KW"/>
        </w:rPr>
        <w:t>عقائد الأشاعرة في حوارٍ هادئٍ مع شُبهاتِ المناوئين للشيخ صلاح الدين الإدلبي</w:t>
      </w:r>
      <w:r w:rsidR="000636C2">
        <w:rPr>
          <w:rFonts w:hint="cs"/>
          <w:rtl/>
          <w:lang w:bidi="ar-KW"/>
        </w:rPr>
        <w:t>،</w:t>
      </w:r>
    </w:p>
    <w:p w14:paraId="60C75835" w14:textId="77777777" w:rsidR="009C32A0" w:rsidRPr="005675B2" w:rsidRDefault="009C32A0" w:rsidP="000636C2">
      <w:pPr>
        <w:rPr>
          <w:b/>
          <w:rtl/>
          <w:lang w:bidi="ar-KW"/>
        </w:rPr>
      </w:pPr>
    </w:p>
    <w:p w14:paraId="5A8FCA82" w14:textId="77777777" w:rsidR="009C32A0" w:rsidRPr="005675B2" w:rsidRDefault="009C32A0" w:rsidP="000636C2">
      <w:pPr>
        <w:jc w:val="center"/>
        <w:rPr>
          <w:b/>
          <w:rtl/>
        </w:rPr>
      </w:pPr>
      <w:r>
        <w:rPr>
          <w:rFonts w:hint="cs"/>
          <w:rtl/>
        </w:rPr>
        <w:t>***</w:t>
      </w:r>
    </w:p>
    <w:p w14:paraId="5958D496" w14:textId="77777777" w:rsidR="009C32A0" w:rsidRPr="005675B2" w:rsidRDefault="009C32A0" w:rsidP="000636C2">
      <w:pPr>
        <w:rPr>
          <w:b/>
          <w:rtl/>
        </w:rPr>
      </w:pPr>
    </w:p>
    <w:p w14:paraId="3FE065E5" w14:textId="77777777" w:rsidR="009C32A0" w:rsidRPr="005675B2" w:rsidRDefault="009C32A0" w:rsidP="000636C2">
      <w:pPr>
        <w:rPr>
          <w:b/>
          <w:rtl/>
          <w:lang w:bidi="ar-KW"/>
        </w:rPr>
      </w:pPr>
    </w:p>
    <w:p w14:paraId="1EB1CF25" w14:textId="77777777" w:rsidR="009C32A0" w:rsidRDefault="009C32A0" w:rsidP="000636C2">
      <w:pPr>
        <w:jc w:val="center"/>
        <w:rPr>
          <w:rFonts w:cs="Monotype Koufi"/>
          <w:sz w:val="48"/>
          <w:szCs w:val="48"/>
          <w:rtl/>
          <w:lang w:bidi="ar-KW"/>
        </w:rPr>
      </w:pPr>
    </w:p>
    <w:p w14:paraId="266486D3" w14:textId="77777777" w:rsidR="009C32A0" w:rsidRPr="005675B2" w:rsidRDefault="009C32A0" w:rsidP="000636C2">
      <w:pPr>
        <w:jc w:val="center"/>
        <w:rPr>
          <w:rFonts w:cs="Monotype Koufi"/>
          <w:sz w:val="48"/>
          <w:szCs w:val="48"/>
          <w:rtl/>
          <w:lang w:bidi="ar-KW"/>
        </w:rPr>
      </w:pPr>
    </w:p>
    <w:p w14:paraId="799511F5" w14:textId="77777777" w:rsidR="009C32A0" w:rsidRPr="005675B2" w:rsidRDefault="009C32A0" w:rsidP="000636C2">
      <w:pPr>
        <w:jc w:val="center"/>
        <w:rPr>
          <w:rFonts w:cs="Monotype Koufi"/>
          <w:sz w:val="48"/>
          <w:szCs w:val="48"/>
          <w:rtl/>
          <w:lang w:bidi="ar-KW"/>
        </w:rPr>
      </w:pPr>
    </w:p>
    <w:p w14:paraId="2C2EEA76" w14:textId="51C63DDE" w:rsidR="009C32A0" w:rsidRPr="00182D66" w:rsidRDefault="009C32A0" w:rsidP="00182D66">
      <w:pPr>
        <w:pStyle w:val="1"/>
        <w:rPr>
          <w:u w:val="none"/>
          <w:rtl/>
          <w:lang w:bidi="ar-KW"/>
        </w:rPr>
      </w:pPr>
      <w:r w:rsidRPr="00182D66">
        <w:rPr>
          <w:rFonts w:hint="cs"/>
          <w:u w:val="none"/>
          <w:rtl/>
          <w:lang w:bidi="ar-KW"/>
        </w:rPr>
        <w:t>الملحق الرابع</w:t>
      </w:r>
      <w:r w:rsidR="00627D1B" w:rsidRPr="00182D66">
        <w:rPr>
          <w:rFonts w:hint="cs"/>
          <w:u w:val="none"/>
          <w:rtl/>
          <w:lang w:bidi="ar-KW"/>
        </w:rPr>
        <w:t xml:space="preserve"> </w:t>
      </w:r>
      <w:r w:rsidRPr="00182D66">
        <w:rPr>
          <w:rFonts w:hint="cs"/>
          <w:u w:val="none"/>
          <w:rtl/>
          <w:lang w:bidi="ar-KW"/>
        </w:rPr>
        <w:t>منهج الأشاعرة في العقيدة بين الحقائق والأوهام</w:t>
      </w:r>
      <w:r w:rsidR="00627D1B" w:rsidRPr="00182D66">
        <w:rPr>
          <w:rFonts w:hint="cs"/>
          <w:u w:val="none"/>
          <w:rtl/>
          <w:lang w:bidi="ar-KW"/>
        </w:rPr>
        <w:t xml:space="preserve"> </w:t>
      </w:r>
      <w:r w:rsidRPr="00182D66">
        <w:rPr>
          <w:rFonts w:hint="cs"/>
          <w:u w:val="none"/>
          <w:rtl/>
          <w:lang w:bidi="ar-KW"/>
        </w:rPr>
        <w:t>للشيخ محمد صالح الغرسي</w:t>
      </w:r>
    </w:p>
    <w:p w14:paraId="65EA803A" w14:textId="77777777" w:rsidR="009C32A0" w:rsidRPr="005675B2" w:rsidRDefault="009C32A0" w:rsidP="000636C2">
      <w:pPr>
        <w:rPr>
          <w:b/>
          <w:rtl/>
          <w:lang w:bidi="ar-KW"/>
        </w:rPr>
      </w:pPr>
    </w:p>
    <w:p w14:paraId="704622CF" w14:textId="34C9A368" w:rsidR="009C32A0" w:rsidRPr="005675B2" w:rsidRDefault="000636C2" w:rsidP="000636C2">
      <w:pPr>
        <w:rPr>
          <w:b/>
          <w:rtl/>
          <w:lang w:bidi="ar-JO"/>
        </w:rPr>
      </w:pPr>
      <w:r>
        <w:rPr>
          <w:rFonts w:hint="cs"/>
          <w:bCs/>
          <w:rtl/>
        </w:rPr>
        <w:t>[</w:t>
      </w:r>
      <w:r w:rsidR="009C32A0" w:rsidRPr="003D30E8">
        <w:rPr>
          <w:rFonts w:hint="cs"/>
          <w:bCs/>
          <w:rtl/>
        </w:rPr>
        <w:t>مقدمة المؤلف</w:t>
      </w:r>
      <w:r>
        <w:rPr>
          <w:rFonts w:hint="cs"/>
          <w:bCs/>
          <w:rtl/>
        </w:rPr>
        <w:t>]</w:t>
      </w:r>
      <w:r>
        <w:rPr>
          <w:rFonts w:hint="cs"/>
          <w:rtl/>
        </w:rPr>
        <w:t>:</w:t>
      </w:r>
      <w:r w:rsidR="009C32A0" w:rsidRPr="005675B2">
        <w:rPr>
          <w:rFonts w:hint="cs"/>
          <w:rtl/>
        </w:rPr>
        <w:t xml:space="preserve"> بسم الله الرحمن الرحيم</w:t>
      </w:r>
      <w:r>
        <w:rPr>
          <w:rFonts w:hint="cs"/>
          <w:rtl/>
        </w:rPr>
        <w:t>،</w:t>
      </w:r>
      <w:r w:rsidR="009C32A0" w:rsidRPr="005675B2">
        <w:rPr>
          <w:rFonts w:hint="cs"/>
          <w:rtl/>
        </w:rPr>
        <w:t xml:space="preserve"> الحمد لله، والصلاة والسلام على رسوله، وعلى آله وصحبه ومن اهتدى بهداه، أما بعد</w:t>
      </w:r>
      <w:r>
        <w:rPr>
          <w:rFonts w:hint="cs"/>
          <w:rtl/>
        </w:rPr>
        <w:t>:</w:t>
      </w:r>
      <w:r w:rsidR="009C32A0" w:rsidRPr="005675B2">
        <w:rPr>
          <w:rFonts w:hint="cs"/>
          <w:rtl/>
        </w:rPr>
        <w:t xml:space="preserve"> فبينما كنت أُسَرِّح نظري في مكتبة أحد أصحابي في مدينة استانبول إذ بعنوان مكتوب على غلاف كُتَيِّبٍ صغير جلب إنتباهي، وهو</w:t>
      </w:r>
      <w:r>
        <w:rPr>
          <w:rFonts w:hint="cs"/>
          <w:rtl/>
        </w:rPr>
        <w:t xml:space="preserve">: </w:t>
      </w:r>
      <w:r w:rsidR="009C32A0" w:rsidRPr="005675B2">
        <w:rPr>
          <w:rFonts w:hint="cs"/>
          <w:rtl/>
        </w:rPr>
        <w:t>"منهج الأشاعرة في العقيدة" للدكتور سفر الحوالي، فطلبت الكتاب من هذا الأخ « علي رضى آق گون » فأهداه إياي، وبعد عودتى إلى منزلي في مدينة قونيه بفترة أخذت أتصفح الكُتَيِّبَ، فإذا بصاحبه قد حاول أن يثبت به أن مذهب الأشاعرة في العقيدة من ألفه حتى يائه مذهب مبتدع خارج عن مذهب أهل السنة والجماعة</w:t>
      </w:r>
      <w:r>
        <w:rPr>
          <w:rFonts w:hint="cs"/>
          <w:rtl/>
        </w:rPr>
        <w:t xml:space="preserve">، </w:t>
      </w:r>
      <w:r w:rsidR="009C32A0" w:rsidRPr="005675B2">
        <w:rPr>
          <w:rFonts w:hint="cs"/>
          <w:spacing w:val="-8"/>
          <w:rtl/>
        </w:rPr>
        <w:t>فأخذت أقرأه قرائة تدبر وتمعن وتدقيق، فوجدته قد احتوى على أخطاء كثيرة عظيمة، وقد يكون من المبالغة إذا قلت</w:t>
      </w:r>
      <w:r>
        <w:rPr>
          <w:rFonts w:hint="cs"/>
          <w:spacing w:val="-8"/>
          <w:rtl/>
        </w:rPr>
        <w:t>:</w:t>
      </w:r>
      <w:r w:rsidR="009C32A0" w:rsidRPr="005675B2">
        <w:rPr>
          <w:rFonts w:hint="cs"/>
          <w:spacing w:val="-8"/>
          <w:rtl/>
        </w:rPr>
        <w:t xml:space="preserve"> إن مؤلفه لم يخط خطوة إلا وأخطأ خطئا، وقد تَكَثَّفَتْ هذه الأخطاء في صدر الكتاب ووسطه، وأما القسم الأخير منه فمعظمه تكرار، وقسم منه تهويشات، وكيل للتهم الباطلة للأشاعرة، ومحاولة مضنية لإخراج الأشاعرة عن مذهب أهل السنة والجماعة</w:t>
      </w:r>
      <w:r>
        <w:rPr>
          <w:rFonts w:hint="cs"/>
          <w:spacing w:val="-8"/>
          <w:rtl/>
        </w:rPr>
        <w:t xml:space="preserve">، </w:t>
      </w:r>
      <w:r w:rsidR="009C32A0" w:rsidRPr="005675B2">
        <w:rPr>
          <w:rFonts w:hint="cs"/>
          <w:rtl/>
        </w:rPr>
        <w:t>ورأيت أن السبب في تورط الدكتور سفر في هذه الأخطاء العلمية الكثيرة الجسيمة التى تعد بالمئآت في هذا الكتيب الصغير المكون من خمسين صفحة بالتحديد مايلي</w:t>
      </w:r>
      <w:r>
        <w:rPr>
          <w:rFonts w:hint="cs"/>
          <w:rtl/>
        </w:rPr>
        <w:t xml:space="preserve">: </w:t>
      </w:r>
      <w:r w:rsidR="009C32A0" w:rsidRPr="005675B2">
        <w:rPr>
          <w:rFonts w:hint="cs"/>
          <w:rtl/>
        </w:rPr>
        <w:t>أن مذهب الأشاعرة في العقيدة مذهب عميق دقيق المدارك</w:t>
      </w:r>
      <w:r>
        <w:rPr>
          <w:rFonts w:hint="cs"/>
          <w:rtl/>
        </w:rPr>
        <w:t xml:space="preserve">، </w:t>
      </w:r>
      <w:r w:rsidR="009C32A0" w:rsidRPr="005675B2">
        <w:rPr>
          <w:rFonts w:hint="cs"/>
          <w:rtl/>
        </w:rPr>
        <w:t>أن علم الكلام عامة أدق العلوم الإسلامية وأعمقها وأصعبها</w:t>
      </w:r>
      <w:r>
        <w:rPr>
          <w:rFonts w:hint="cs"/>
          <w:rtl/>
        </w:rPr>
        <w:t xml:space="preserve">، </w:t>
      </w:r>
      <w:r w:rsidR="009C32A0" w:rsidRPr="005675B2">
        <w:rPr>
          <w:rFonts w:hint="cs"/>
          <w:rtl/>
        </w:rPr>
        <w:t>أن كتب الأشاعرة الكلامية المطولة من أدق الكتب الإسلامية وأعمقها لا يتيسر فهمها على وجهها</w:t>
      </w:r>
      <w:r>
        <w:rPr>
          <w:rFonts w:hint="cs"/>
          <w:rtl/>
        </w:rPr>
        <w:t xml:space="preserve"> </w:t>
      </w:r>
      <w:r w:rsidR="009C32A0" w:rsidRPr="005675B2">
        <w:rPr>
          <w:rFonts w:hint="cs"/>
          <w:rtl/>
        </w:rPr>
        <w:t>- أو نادرا ما يتيسر - إلا لمن درس هذا العلم على مشايخه المتضلعين منه وتمرس فيه، والدكتور سفر لم يدرسه على أحد من مشايخه، وإنما نظر في هذه الكتب بنفسه متسورا عليها، فخالفه التوفيق في فهمها</w:t>
      </w:r>
      <w:r>
        <w:rPr>
          <w:rFonts w:hint="cs"/>
          <w:rtl/>
        </w:rPr>
        <w:t xml:space="preserve">، </w:t>
      </w:r>
      <w:r w:rsidR="009C32A0" w:rsidRPr="005675B2">
        <w:rPr>
          <w:rFonts w:hint="cs"/>
          <w:rtl/>
        </w:rPr>
        <w:t>أن الدكتور سفر – بمقتضى نشأته العلمية وبيئته العلمية - قد تمكن في قلبه أن مذهب الأشاعرة مذهب مبتدع خارج عن مذهب أهل السنة، فأَدَّى به اعتقاده هذا إلى كراهة المذهب الأشعري وكراهة الأشاعرة، وتقررت عنده أحكام مُسْبَقَة خاطئة عن مذهب الأشاعرة لم يشك هو في صحة هذه الأحكام</w:t>
      </w:r>
      <w:r>
        <w:rPr>
          <w:rFonts w:hint="cs"/>
          <w:rtl/>
        </w:rPr>
        <w:t xml:space="preserve">، </w:t>
      </w:r>
      <w:r w:rsidR="009C32A0" w:rsidRPr="005675B2">
        <w:rPr>
          <w:rFonts w:hint="cs"/>
          <w:rtl/>
        </w:rPr>
        <w:t>فرأى أن من واجبه - وهو يرى نفسه متخصصا في العقيدة - أن ينقُض هذا المذهب المبتدع الذي طبق العالم الإسلامي شرقا وغربا وجنوبا وشمالا، ويأتيَ على بنيانه من القواعد</w:t>
      </w:r>
      <w:r>
        <w:rPr>
          <w:rFonts w:hint="cs"/>
          <w:rtl/>
        </w:rPr>
        <w:t>،</w:t>
      </w:r>
      <w:r w:rsidR="009C32A0" w:rsidRPr="005675B2">
        <w:rPr>
          <w:rFonts w:hint="cs"/>
          <w:rtl/>
        </w:rPr>
        <w:t xml:space="preserve"> فحينما حاول القيام بواجبه هذا بكتابة هذا الكتيب راجع مجموعة كبيرة من كتب الأشاعرة ونظر فيها نظارات، ولكنه لم يراجعها لأجل فهم المذهب على وجهه من هذا الكتب، لأنه - على حسب زعمه - قد فهم المذهب من الخارج ولا حاجة له إلى فهمه ثانيا من هذه الكتب، وإنما راجعها ليتصيد منها الدلائل على ما تقرر عنده من الأحكام المسبقة، فكان هذا سببا ثانيا لعدم فهمها وعدم فهم المذهب على وجهه منها</w:t>
      </w:r>
      <w:r>
        <w:rPr>
          <w:rFonts w:hint="cs"/>
          <w:rtl/>
        </w:rPr>
        <w:t xml:space="preserve">، </w:t>
      </w:r>
      <w:r w:rsidR="009C32A0" w:rsidRPr="005675B2">
        <w:rPr>
          <w:rFonts w:hint="cs"/>
          <w:rtl/>
        </w:rPr>
        <w:t>أن الدكتور لا يعلم بعض الإصطلاحات العلمية الواردة في كتب الأشاعرة كما ستقف عليه في ثنايا الكتاب</w:t>
      </w:r>
      <w:r>
        <w:rPr>
          <w:rFonts w:hint="cs"/>
          <w:rtl/>
        </w:rPr>
        <w:t xml:space="preserve">، </w:t>
      </w:r>
      <w:r w:rsidR="009C32A0" w:rsidRPr="005675B2">
        <w:rPr>
          <w:rFonts w:hint="cs"/>
          <w:spacing w:val="-8"/>
          <w:rtl/>
        </w:rPr>
        <w:t>وهناك مشكلة أخرى عند الدكتور سفر، وهي أن من عادته أن ينسب كل ما يراه حقا إلى السلف، وإلى مذهب أهل السنة والجماعة، بدون أن يتثبت في ذلك، ولعله يرى أن فهمه لأمر ما أنه حق كاف لأن يكون هذا الأمر عقيدة للسلف ولأهل السنة والجماعة، وينطبق على الدكتور ماقاله ابن تيمية في "التسعينية" 245 منتقدا أحد العلماء</w:t>
      </w:r>
      <w:r>
        <w:rPr>
          <w:rFonts w:hint="cs"/>
          <w:spacing w:val="-8"/>
          <w:rtl/>
        </w:rPr>
        <w:t>:</w:t>
      </w:r>
      <w:r w:rsidR="009C32A0" w:rsidRPr="005675B2">
        <w:rPr>
          <w:rFonts w:hint="cs"/>
          <w:spacing w:val="-8"/>
          <w:rtl/>
        </w:rPr>
        <w:t xml:space="preserve"> قال</w:t>
      </w:r>
      <w:r>
        <w:rPr>
          <w:rFonts w:hint="cs"/>
          <w:spacing w:val="-8"/>
          <w:rtl/>
        </w:rPr>
        <w:t>:</w:t>
      </w:r>
      <w:r w:rsidR="009C32A0" w:rsidRPr="005675B2">
        <w:rPr>
          <w:rFonts w:hint="cs"/>
          <w:spacing w:val="-8"/>
          <w:rtl/>
        </w:rPr>
        <w:t xml:space="preserve"> </w:t>
      </w:r>
      <w:r>
        <w:rPr>
          <w:rFonts w:hint="cs"/>
          <w:spacing w:val="-8"/>
          <w:rtl/>
        </w:rPr>
        <w:t>(</w:t>
      </w:r>
      <w:r w:rsidR="009C32A0" w:rsidRPr="005675B2">
        <w:rPr>
          <w:rFonts w:hint="cs"/>
          <w:spacing w:val="-8"/>
          <w:rtl/>
        </w:rPr>
        <w:t>فإنه دائما يقول</w:t>
      </w:r>
      <w:r>
        <w:rPr>
          <w:rFonts w:hint="cs"/>
          <w:spacing w:val="-8"/>
          <w:rtl/>
        </w:rPr>
        <w:t>:</w:t>
      </w:r>
      <w:r w:rsidR="009C32A0" w:rsidRPr="005675B2">
        <w:rPr>
          <w:rFonts w:hint="cs"/>
          <w:spacing w:val="-8"/>
          <w:rtl/>
        </w:rPr>
        <w:t xml:space="preserve"> قال أهل الحق، وإنما يعني أصحابه، وهذه دعوى يمكن كل أحد أن يقول لأصحابه مثلها، فإن أهل الحق الذين لا ريب فيهم هم المؤمنون الذين لا يجتمعون على ضلالة، فأما أن يفرد الإنسان طائفة منتسبة إلى متبوع من الأمة ويسميها أهل الحق، ويشعرَ بأن كل من خالفها في شيء فهو من أهل الباطل، فهذا حال أهل الأهواء والبدع .. فليس الحق لازما لشخص بعينه دائرا معه حيث دار لا يفارقه قط إلا رسول الله صلى الله تعالى عليه وآله وسلم</w:t>
      </w:r>
      <w:r>
        <w:rPr>
          <w:rFonts w:hint="cs"/>
          <w:spacing w:val="-8"/>
          <w:rtl/>
        </w:rPr>
        <w:t>)،</w:t>
      </w:r>
      <w:r w:rsidR="009C32A0" w:rsidRPr="005675B2">
        <w:rPr>
          <w:rFonts w:hint="cs"/>
          <w:spacing w:val="-8"/>
          <w:rtl/>
        </w:rPr>
        <w:t xml:space="preserve"> ومن مشاكل الدكتور أنه يرى مذهب أهل السنة والجماعة محصورا فيما ذهب إليه الإمام أحمد بن حنبل وشيخ الإسلام ابن تيمية، ويرى أنهما دائما على الحق في كل ما ذهبا إليه، وأن كل من خالفهما في العقيدة فهو مخطئ خارج عن أهل السنة، ويجعل كلامهما حجة على الآخرين</w:t>
      </w:r>
      <w:r>
        <w:rPr>
          <w:rFonts w:hint="cs"/>
          <w:spacing w:val="-8"/>
          <w:rtl/>
        </w:rPr>
        <w:t>،</w:t>
      </w:r>
      <w:r w:rsidR="009C32A0" w:rsidRPr="005675B2">
        <w:rPr>
          <w:rFonts w:hint="cs"/>
          <w:spacing w:val="-8"/>
          <w:rtl/>
        </w:rPr>
        <w:t xml:space="preserve"> ونحن</w:t>
      </w:r>
      <w:r>
        <w:rPr>
          <w:rFonts w:hint="cs"/>
          <w:spacing w:val="-8"/>
          <w:rtl/>
        </w:rPr>
        <w:t xml:space="preserve"> </w:t>
      </w:r>
      <w:r w:rsidR="009C32A0" w:rsidRPr="005675B2">
        <w:rPr>
          <w:rFonts w:hint="cs"/>
          <w:spacing w:val="-8"/>
          <w:rtl/>
        </w:rPr>
        <w:t>- على تقديرنا لهذين الإمامين العظيمين - لا نَعُدَّهما إلا إمامين من أئمة المسلمين يصيبان ويخطئان كغيرهما من أئمة المسلمين، وفي المسائل التى خالفا فيها غيرهما من أئمة أهل السنة قد يكونان مصيبين فيها، وقد يكونان مخطئين</w:t>
      </w:r>
      <w:r>
        <w:rPr>
          <w:rFonts w:hint="cs"/>
          <w:spacing w:val="-8"/>
          <w:rtl/>
        </w:rPr>
        <w:t>،</w:t>
      </w:r>
      <w:r w:rsidR="009C32A0" w:rsidRPr="005675B2">
        <w:rPr>
          <w:rFonts w:hint="cs"/>
          <w:spacing w:val="-8"/>
          <w:rtl/>
        </w:rPr>
        <w:t xml:space="preserve"> وليس أحد الطرفين حجة على الطرف الآخر، ولم يجعل الله العصمة لأحد من الناس غير أنبيائه، كما قال الإمام مالك</w:t>
      </w:r>
      <w:r>
        <w:rPr>
          <w:rFonts w:hint="cs"/>
          <w:spacing w:val="-8"/>
          <w:rtl/>
        </w:rPr>
        <w:t>:</w:t>
      </w:r>
      <w:r w:rsidR="009C32A0" w:rsidRPr="005675B2">
        <w:rPr>
          <w:rFonts w:hint="cs"/>
          <w:spacing w:val="-8"/>
          <w:rtl/>
        </w:rPr>
        <w:t xml:space="preserve"> كل أحد مأخوذ من قوله ومتروك إلا صاحب هذا القبر، وأشار إلى قبر رسول الله صلى الله تعالى عليه وآله وسلم</w:t>
      </w:r>
      <w:r>
        <w:rPr>
          <w:rFonts w:hint="cs"/>
          <w:spacing w:val="-8"/>
          <w:rtl/>
        </w:rPr>
        <w:t xml:space="preserve">، </w:t>
      </w:r>
      <w:r w:rsidR="009C32A0" w:rsidRPr="005675B2">
        <w:rPr>
          <w:rFonts w:hint="cs"/>
          <w:rtl/>
        </w:rPr>
        <w:t>ومن التقليل من شأن الإسلام أن يُحْصَر فهمُه الصحيح في رجلين من علمائه</w:t>
      </w:r>
      <w:r>
        <w:rPr>
          <w:rFonts w:hint="cs"/>
          <w:rtl/>
        </w:rPr>
        <w:t>،</w:t>
      </w:r>
      <w:r w:rsidR="009C32A0" w:rsidRPr="005675B2">
        <w:rPr>
          <w:rFonts w:hint="cs"/>
          <w:rtl/>
        </w:rPr>
        <w:t xml:space="preserve"> أو في مجموعة صغيرة من علمائه</w:t>
      </w:r>
      <w:r>
        <w:rPr>
          <w:rFonts w:hint="cs"/>
          <w:rtl/>
        </w:rPr>
        <w:t xml:space="preserve">، </w:t>
      </w:r>
      <w:r w:rsidR="009C32A0" w:rsidRPr="005675B2">
        <w:rPr>
          <w:rFonts w:hint="cs"/>
          <w:rtl/>
        </w:rPr>
        <w:t>ثم إن كثيرا مما أنكره الدكتور على الأشاعرة هو مذهب الإمام أحمد، وكثيرا منه وافق الأشاعرة فيه ابن تيمية كما ستقف عليه في ثنايا الكتاب، ولكن الدكتور لم يعلم ذلك، ولو كان يعلمه لما أنكر هذه الأمور على الأشاعرة</w:t>
      </w:r>
      <w:r>
        <w:rPr>
          <w:rFonts w:hint="cs"/>
          <w:rtl/>
        </w:rPr>
        <w:t xml:space="preserve">، </w:t>
      </w:r>
      <w:r w:rsidR="009C32A0" w:rsidRPr="005675B2">
        <w:rPr>
          <w:rFonts w:hint="cs"/>
          <w:rtl/>
        </w:rPr>
        <w:t>فهذه الأمور هي التى ورطت الدكتور فيما تورط فيه من الأخطاء في هذا الكتيب</w:t>
      </w:r>
      <w:r>
        <w:rPr>
          <w:rFonts w:hint="cs"/>
          <w:rtl/>
        </w:rPr>
        <w:t>،</w:t>
      </w:r>
      <w:r w:rsidR="009C32A0" w:rsidRPr="005675B2">
        <w:rPr>
          <w:rFonts w:hint="cs"/>
          <w:rtl/>
        </w:rPr>
        <w:t xml:space="preserve"> وجعلته يفتعل من الأشاعرة خصما يجادله، وعدوا يجاهده</w:t>
      </w:r>
      <w:r>
        <w:rPr>
          <w:rFonts w:hint="cs"/>
          <w:rtl/>
        </w:rPr>
        <w:t xml:space="preserve">، </w:t>
      </w:r>
      <w:r w:rsidR="009C32A0" w:rsidRPr="005675B2">
        <w:rPr>
          <w:rFonts w:hint="cs"/>
          <w:rtl/>
        </w:rPr>
        <w:t>وهذه الأخطاء منقسمة إلى ثلاثة أقسام</w:t>
      </w:r>
      <w:r>
        <w:rPr>
          <w:rFonts w:hint="cs"/>
          <w:rtl/>
        </w:rPr>
        <w:t>:</w:t>
      </w:r>
      <w:r w:rsidR="009C32A0" w:rsidRPr="005675B2">
        <w:rPr>
          <w:rFonts w:hint="cs"/>
          <w:rtl/>
        </w:rPr>
        <w:t xml:space="preserve"> </w:t>
      </w:r>
      <w:r>
        <w:rPr>
          <w:rFonts w:hint="cs"/>
          <w:rtl/>
        </w:rPr>
        <w:t>(</w:t>
      </w:r>
      <w:r w:rsidR="009C32A0" w:rsidRPr="005675B2">
        <w:rPr>
          <w:rFonts w:hint="cs"/>
          <w:rtl/>
        </w:rPr>
        <w:t>القسم الأول</w:t>
      </w:r>
      <w:r>
        <w:rPr>
          <w:rFonts w:hint="cs"/>
          <w:rtl/>
        </w:rPr>
        <w:t>):</w:t>
      </w:r>
      <w:r w:rsidR="009C32A0" w:rsidRPr="005675B2">
        <w:rPr>
          <w:rFonts w:hint="cs"/>
          <w:rtl/>
        </w:rPr>
        <w:t xml:space="preserve"> خطأ في النسبة، فقد نسب إلى الأشاعرة جملة أمور هم ليسوا بقائلين بها، وبعضها هم قائلون بضدها</w:t>
      </w:r>
      <w:r>
        <w:rPr>
          <w:rFonts w:hint="cs"/>
          <w:rtl/>
        </w:rPr>
        <w:t>! (</w:t>
      </w:r>
      <w:r w:rsidR="009C32A0" w:rsidRPr="005675B2">
        <w:rPr>
          <w:rFonts w:hint="cs"/>
          <w:rtl/>
        </w:rPr>
        <w:t>القسم الثاني</w:t>
      </w:r>
      <w:r>
        <w:rPr>
          <w:rFonts w:hint="cs"/>
          <w:rtl/>
        </w:rPr>
        <w:t>):</w:t>
      </w:r>
      <w:r w:rsidR="009C32A0" w:rsidRPr="005675B2">
        <w:rPr>
          <w:rFonts w:hint="cs"/>
          <w:rtl/>
        </w:rPr>
        <w:t xml:space="preserve"> خطأ في الفهم، فقد نسب إلى الأشاعرة جملة أمور هم قائلون بها ولكن الدكتور لم يقف على مرادهم منها، فحمل هذه الأمور على معان لم يقصدوها منها، وخطّأهم بناء على ذلك</w:t>
      </w:r>
      <w:r>
        <w:rPr>
          <w:rFonts w:hint="cs"/>
          <w:rtl/>
        </w:rPr>
        <w:t>!</w:t>
      </w:r>
      <w:r w:rsidR="009C32A0" w:rsidRPr="005675B2">
        <w:rPr>
          <w:rFonts w:hint="cs"/>
          <w:rtl/>
        </w:rPr>
        <w:t xml:space="preserve"> </w:t>
      </w:r>
      <w:r>
        <w:rPr>
          <w:rFonts w:hint="cs"/>
          <w:rtl/>
        </w:rPr>
        <w:t>(</w:t>
      </w:r>
      <w:r w:rsidR="009C32A0" w:rsidRPr="005675B2">
        <w:rPr>
          <w:rFonts w:hint="cs"/>
          <w:rtl/>
        </w:rPr>
        <w:t>القسم الثالث</w:t>
      </w:r>
      <w:r>
        <w:rPr>
          <w:rFonts w:hint="cs"/>
          <w:rtl/>
        </w:rPr>
        <w:t>):</w:t>
      </w:r>
      <w:r w:rsidR="009C32A0" w:rsidRPr="005675B2">
        <w:rPr>
          <w:rFonts w:hint="cs"/>
          <w:rtl/>
        </w:rPr>
        <w:t xml:space="preserve"> خطأ في الحكم، حيث خطأهم في أمورٍ هم قائلون بها، ولكنه هو المخطئ في حكمه عليهم بالخطأ فيها</w:t>
      </w:r>
      <w:r>
        <w:rPr>
          <w:rFonts w:hint="cs"/>
          <w:rtl/>
        </w:rPr>
        <w:t xml:space="preserve">! </w:t>
      </w:r>
      <w:r w:rsidR="009C32A0" w:rsidRPr="005675B2">
        <w:rPr>
          <w:rFonts w:hint="cs"/>
          <w:rtl/>
        </w:rPr>
        <w:t>فالدكتور سفر في معظم الأحوال قد حكم على مذهب الأشاعرة بدون أن يتصوره، ومن المقرر أن الحكم على الشيء فرع عن تصوره، فتورط فيما تورط فيه من الأخطاء، وصار بتأليفه لهذا الكتيب كما قال الشاعر</w:t>
      </w:r>
      <w:r>
        <w:rPr>
          <w:rFonts w:hint="cs"/>
          <w:rtl/>
        </w:rPr>
        <w:t>:</w:t>
      </w:r>
      <w:r w:rsidR="009C32A0" w:rsidRPr="005675B2">
        <w:rPr>
          <w:rFonts w:hint="cs"/>
          <w:rtl/>
        </w:rPr>
        <w:t xml:space="preserve"> </w:t>
      </w:r>
      <w:r>
        <w:rPr>
          <w:rFonts w:hint="cs"/>
          <w:rtl/>
        </w:rPr>
        <w:t>(</w:t>
      </w:r>
      <w:r w:rsidR="009C32A0" w:rsidRPr="005675B2">
        <w:rPr>
          <w:rFonts w:hint="cs"/>
          <w:rtl/>
        </w:rPr>
        <w:t>كناطح صخرةً يوما ليوهنها</w:t>
      </w:r>
      <w:r>
        <w:rPr>
          <w:rFonts w:hint="cs"/>
          <w:rtl/>
        </w:rPr>
        <w:t>::</w:t>
      </w:r>
      <w:r w:rsidR="009C32A0" w:rsidRPr="005675B2">
        <w:rPr>
          <w:rFonts w:hint="cs"/>
          <w:rtl/>
        </w:rPr>
        <w:t xml:space="preserve"> فلم يضرها وأوهى قرنه الوعل</w:t>
      </w:r>
      <w:r>
        <w:rPr>
          <w:rFonts w:hint="cs"/>
          <w:rtl/>
        </w:rPr>
        <w:t>)،</w:t>
      </w:r>
      <w:r w:rsidR="009C32A0" w:rsidRPr="005675B2">
        <w:rPr>
          <w:rFonts w:hint="cs"/>
          <w:rtl/>
        </w:rPr>
        <w:t xml:space="preserve"> بل كما قال الآخر</w:t>
      </w:r>
      <w:r>
        <w:rPr>
          <w:rFonts w:hint="cs"/>
          <w:rtl/>
        </w:rPr>
        <w:t>:</w:t>
      </w:r>
      <w:r w:rsidR="009C32A0" w:rsidRPr="005675B2">
        <w:rPr>
          <w:rFonts w:hint="cs"/>
          <w:rtl/>
        </w:rPr>
        <w:t xml:space="preserve"> </w:t>
      </w:r>
      <w:r>
        <w:rPr>
          <w:rFonts w:hint="cs"/>
          <w:rtl/>
        </w:rPr>
        <w:t>(</w:t>
      </w:r>
      <w:r w:rsidR="009C32A0" w:rsidRPr="005675B2">
        <w:rPr>
          <w:rFonts w:hint="cs"/>
          <w:rtl/>
        </w:rPr>
        <w:t>يا ناطح الجبل العالي ليكلمه</w:t>
      </w:r>
      <w:r>
        <w:rPr>
          <w:rFonts w:hint="cs"/>
          <w:rtl/>
        </w:rPr>
        <w:t>::</w:t>
      </w:r>
      <w:r w:rsidR="009C32A0" w:rsidRPr="005675B2">
        <w:rPr>
          <w:rFonts w:hint="cs"/>
          <w:rtl/>
        </w:rPr>
        <w:t xml:space="preserve"> أشفق على الرأس لا تشفق على الجبل</w:t>
      </w:r>
      <w:r>
        <w:rPr>
          <w:rFonts w:hint="cs"/>
          <w:rtl/>
        </w:rPr>
        <w:t>)،</w:t>
      </w:r>
      <w:r w:rsidR="009C32A0" w:rsidRPr="005675B2">
        <w:rPr>
          <w:rFonts w:hint="cs"/>
          <w:rtl/>
        </w:rPr>
        <w:t xml:space="preserve"> ونود أن نقرر هنا أمورا</w:t>
      </w:r>
      <w:r>
        <w:rPr>
          <w:rFonts w:hint="cs"/>
          <w:rtl/>
        </w:rPr>
        <w:t xml:space="preserve">: </w:t>
      </w:r>
      <w:r w:rsidR="009C32A0" w:rsidRPr="005675B2">
        <w:rPr>
          <w:rFonts w:hint="cs"/>
          <w:rtl/>
        </w:rPr>
        <w:t>1 - أن الأشاعرة أكبر فرقة إسلامية نافحت عن الإسلام ودافعت عن مبادئه وعقائده ضد غير المسلمين من اليهود والنصارى والثنوية والفلاسفة وغيرهم، وضد أهل البدع من المعتزلة والمرجئة والجهمية والخوارج والرافضة وغيرهم</w:t>
      </w:r>
      <w:r>
        <w:rPr>
          <w:rFonts w:hint="cs"/>
          <w:rtl/>
        </w:rPr>
        <w:t xml:space="preserve">، </w:t>
      </w:r>
      <w:r w:rsidR="009C32A0" w:rsidRPr="005675B2">
        <w:rPr>
          <w:rFonts w:hint="cs"/>
          <w:rtl/>
        </w:rPr>
        <w:t>كما أنهم أكبر فرقة خدمت الإسلام وخدمت العلوم الإسلامية بنشرها، وبتأليف المؤلفات الكثيرة العظيمة في شتى أقسامها وأنواعها</w:t>
      </w:r>
      <w:r>
        <w:rPr>
          <w:rFonts w:hint="cs"/>
          <w:rtl/>
        </w:rPr>
        <w:t>،</w:t>
      </w:r>
      <w:r w:rsidR="009C32A0" w:rsidRPr="005675B2">
        <w:rPr>
          <w:rFonts w:hint="cs"/>
          <w:rtl/>
        </w:rPr>
        <w:t xml:space="preserve"> فهم بمنزلة العمود الفقري من المسلمين ومن أهل السنة</w:t>
      </w:r>
      <w:r>
        <w:rPr>
          <w:rFonts w:hint="cs"/>
          <w:rtl/>
        </w:rPr>
        <w:t>،</w:t>
      </w:r>
      <w:r w:rsidR="009C32A0" w:rsidRPr="005675B2">
        <w:rPr>
          <w:rFonts w:hint="cs"/>
          <w:rtl/>
        </w:rPr>
        <w:t xml:space="preserve"> كما أنهم –بحق - فحول الأمة</w:t>
      </w:r>
      <w:r>
        <w:rPr>
          <w:rFonts w:hint="cs"/>
          <w:rtl/>
        </w:rPr>
        <w:t xml:space="preserve">، </w:t>
      </w:r>
      <w:r w:rsidR="009C32A0" w:rsidRPr="005675B2">
        <w:rPr>
          <w:rFonts w:hint="cs"/>
          <w:rtl/>
        </w:rPr>
        <w:t>وهذا من المقررات التى لا ينبغى أن يتشكك فيها منصف</w:t>
      </w:r>
      <w:r>
        <w:rPr>
          <w:rFonts w:hint="cs"/>
          <w:rtl/>
        </w:rPr>
        <w:t xml:space="preserve">، </w:t>
      </w:r>
      <w:r w:rsidR="009C32A0" w:rsidRPr="005675B2">
        <w:rPr>
          <w:rFonts w:hint="cs"/>
          <w:rtl/>
        </w:rPr>
        <w:t>2 - أن أصول مذهب الأشاعرة في العقيدة موافقة للسنة، ولا يوجد في أصول مذهبهم ما يخالف السنة، وما كان عليه سلف الأمة</w:t>
      </w:r>
      <w:r>
        <w:rPr>
          <w:rFonts w:hint="cs"/>
          <w:rtl/>
        </w:rPr>
        <w:t xml:space="preserve">، </w:t>
      </w:r>
      <w:r w:rsidR="009C32A0" w:rsidRPr="005675B2">
        <w:rPr>
          <w:rFonts w:hint="cs"/>
          <w:rtl/>
        </w:rPr>
        <w:t>وأما غير الأصول من المسائل المتعلقة بالإعتقاد مما هي مجال للإجتهاد التي لا يكفر فيها المخالف ولا يُبَدَّعُ، فهم في هذه المسائل مجتهدون، وأعتقد أنهم في عامة الأحوال مصيبون فيها، ولا أعتقد أنهم مصيبون فيها في جميع الأحوال، أي مصيبون فيها مائة في المائة، فقد يكونون أخطئوا في قسم منها</w:t>
      </w:r>
      <w:r>
        <w:rPr>
          <w:rFonts w:hint="cs"/>
          <w:rtl/>
        </w:rPr>
        <w:t xml:space="preserve">، </w:t>
      </w:r>
      <w:r w:rsidR="009C32A0" w:rsidRPr="005675B2">
        <w:rPr>
          <w:rFonts w:hint="cs"/>
          <w:rtl/>
        </w:rPr>
        <w:t>وقد خالفتُهم في مجموعة من هذه المسائل</w:t>
      </w:r>
      <w:r>
        <w:rPr>
          <w:rFonts w:hint="cs"/>
          <w:rtl/>
        </w:rPr>
        <w:t>:</w:t>
      </w:r>
      <w:r w:rsidR="009C32A0" w:rsidRPr="005675B2">
        <w:rPr>
          <w:rFonts w:hint="cs"/>
          <w:rtl/>
        </w:rPr>
        <w:t xml:space="preserve"> منها مسألة تعليل أفعال الله تعالى وأحكامه حيث ذهبوا إلى أن أفعال الله تعالى وأحكامه غير معللة بالعلل والأغراض لكنها غير خالية عن الحكم والمصالح، فقد اخترت أن أفعال الله تعالى وأحكامه كما أنها غير خالية عن الحكم والمصالح، معللة بالعلل والأغراض أيضا</w:t>
      </w:r>
      <w:r>
        <w:rPr>
          <w:rFonts w:hint="cs"/>
          <w:rtl/>
        </w:rPr>
        <w:t xml:space="preserve">، </w:t>
      </w:r>
      <w:r w:rsidR="009C32A0" w:rsidRPr="005675B2">
        <w:rPr>
          <w:rFonts w:hint="cs"/>
          <w:rtl/>
        </w:rPr>
        <w:t>ومنها مسألة الحسن والقبح حيث نفوا أصل وصف الحسن والقبح من الأفعال قبل ورود الشرع</w:t>
      </w:r>
      <w:r>
        <w:rPr>
          <w:rFonts w:hint="cs"/>
          <w:rtl/>
        </w:rPr>
        <w:t>،</w:t>
      </w:r>
      <w:r w:rsidR="009C32A0" w:rsidRPr="005675B2">
        <w:rPr>
          <w:rFonts w:hint="cs"/>
          <w:rtl/>
        </w:rPr>
        <w:t xml:space="preserve"> وأما الماتريدية فقد ذهبوا إلى وجود وصف الحسن والقبح في الأفعال قبل ورود الشرع، وأما الحكم الشرعي نفسه فغير موجود قبل ورود الشرع، بل هو موقوف على ورود الشرع به، فأخترت مذهب الماتريدية في المسألة</w:t>
      </w:r>
      <w:r>
        <w:rPr>
          <w:rFonts w:hint="cs"/>
          <w:rtl/>
        </w:rPr>
        <w:t xml:space="preserve">، </w:t>
      </w:r>
      <w:r w:rsidR="009C32A0" w:rsidRPr="005675B2">
        <w:rPr>
          <w:rFonts w:hint="cs"/>
          <w:rtl/>
        </w:rPr>
        <w:t>ومنها مسألة الكلام، فإن المختار لدي ما ذهب إليه فريق من المحقيقين من متأخري الأشاعرة من أن كلام الله تعالى قديم بلفظه ومعناه، وأن القديم ليس هو المعنى فقط كما قاله جمهور الأشاعرة</w:t>
      </w:r>
      <w:r>
        <w:rPr>
          <w:rFonts w:hint="cs"/>
          <w:rtl/>
        </w:rPr>
        <w:t xml:space="preserve">، </w:t>
      </w:r>
      <w:r w:rsidR="009C32A0" w:rsidRPr="005675B2">
        <w:rPr>
          <w:rFonts w:hint="cs"/>
          <w:rtl/>
        </w:rPr>
        <w:t>ومنها مسألة أن صفات الله تعالى ليست عينه ولا غيره</w:t>
      </w:r>
      <w:r>
        <w:rPr>
          <w:rFonts w:hint="cs"/>
          <w:rtl/>
        </w:rPr>
        <w:t>،</w:t>
      </w:r>
      <w:r w:rsidR="009C32A0" w:rsidRPr="005675B2">
        <w:rPr>
          <w:rFonts w:hint="cs"/>
          <w:rtl/>
        </w:rPr>
        <w:t xml:space="preserve"> وهذا كلام قد قرره السلف، وقد ظهر لي أن الجمهور الأعظم من متأخري الأشاعرة قد أخطئوا في فهم هذا الكلام، فخالفتُهم في فهم هذا الكلام، وذهبت إلى ما ذهب إليه شيخ الإسلام ابن تيمية والقاضي عضد الدين الإيجي من أن معناه أن صفات الله تعالى ليست عينه بحسب المفهوم، ولا غيره بحسب الهوية أي بحسب الوجود والتحقق</w:t>
      </w:r>
      <w:r>
        <w:rPr>
          <w:rFonts w:hint="cs"/>
          <w:rtl/>
        </w:rPr>
        <w:t xml:space="preserve">، </w:t>
      </w:r>
      <w:r w:rsidR="009C32A0" w:rsidRPr="005675B2">
        <w:rPr>
          <w:rFonts w:hint="cs"/>
          <w:rtl/>
        </w:rPr>
        <w:t>وقد أعددت في كل من هذه المسائل رسالة</w:t>
      </w:r>
      <w:r>
        <w:rPr>
          <w:rFonts w:hint="cs"/>
          <w:rtl/>
        </w:rPr>
        <w:t xml:space="preserve">، </w:t>
      </w:r>
      <w:r w:rsidR="009C32A0" w:rsidRPr="005675B2">
        <w:rPr>
          <w:rFonts w:hint="cs"/>
          <w:rtl/>
        </w:rPr>
        <w:t>3 - أن كتاب الدكتور سفر "منهج الأشاعرة في العقيدة" قد انتشر في العالم الإسلامي، وشرق فيه وغرب</w:t>
      </w:r>
      <w:r>
        <w:rPr>
          <w:rFonts w:hint="cs"/>
          <w:rtl/>
        </w:rPr>
        <w:t>،</w:t>
      </w:r>
      <w:r w:rsidR="009C32A0" w:rsidRPr="005675B2">
        <w:rPr>
          <w:rFonts w:hint="cs"/>
          <w:rtl/>
        </w:rPr>
        <w:t xml:space="preserve"> وأَعْلَمُ أن هناك مؤسسات تعتنى بنشره بهدف نشر عقيدة أهل السنة والجماعة، والتعريف بما خالفها من المذاهب المبتدعة، والتنفير عنها</w:t>
      </w:r>
      <w:r>
        <w:rPr>
          <w:rFonts w:hint="cs"/>
          <w:rtl/>
        </w:rPr>
        <w:t>،</w:t>
      </w:r>
      <w:r w:rsidR="009C32A0" w:rsidRPr="005675B2">
        <w:rPr>
          <w:rFonts w:hint="cs"/>
          <w:rtl/>
        </w:rPr>
        <w:t xml:space="preserve"> ومن هذه المؤسسات مؤسسة "الغرباء" في إستانبول التى يديرها صديقنا الفاضل « عبد الله بن عبد الحميد الأثري »</w:t>
      </w:r>
      <w:r>
        <w:rPr>
          <w:rFonts w:hint="cs"/>
          <w:rtl/>
        </w:rPr>
        <w:t xml:space="preserve">، </w:t>
      </w:r>
      <w:r w:rsidR="009C32A0" w:rsidRPr="005675B2">
        <w:rPr>
          <w:rFonts w:hint="cs"/>
          <w:rtl/>
        </w:rPr>
        <w:t>والمسائل التى تعرض لها الكتاب عند نقده لمذهب الأشاعرة –وكله نقد له - من المسائل الخفية على الجمهور الأعظم من القراء، بل معظم هذه المسائل غير معلومة بوجه دقيق للجمهور الأعظم من العلماء فضلا عن غيرهم من القراء، لأن هذه المسائل من أدق مسائل العلوم وأعوصها، وإنما يعلمها بوجه دقيق قلة من العلماء، وهم المتخصصون في علم الكلام</w:t>
      </w:r>
      <w:r>
        <w:rPr>
          <w:rFonts w:hint="cs"/>
          <w:rtl/>
        </w:rPr>
        <w:t>،</w:t>
      </w:r>
      <w:r w:rsidR="009C32A0" w:rsidRPr="005675B2">
        <w:rPr>
          <w:rFonts w:hint="cs"/>
          <w:rtl/>
        </w:rPr>
        <w:t xml:space="preserve"> ولا أقصد بالتخصص التخصص الرسمي اللقبي، وإنما أقصد به التخصص العلمي الواقعي</w:t>
      </w:r>
      <w:r>
        <w:rPr>
          <w:rFonts w:hint="cs"/>
          <w:rtl/>
        </w:rPr>
        <w:t xml:space="preserve">، </w:t>
      </w:r>
      <w:r w:rsidR="009C32A0" w:rsidRPr="005675B2">
        <w:rPr>
          <w:rFonts w:hint="cs"/>
          <w:rtl/>
        </w:rPr>
        <w:t>فالجمهور الأعظم من القراء لهذا الكتاب –ولا سيما إذا قرأوه عن ثقة بمؤلفه واقتناع بما فيه - كما يحصل عندهم مجموعة كبيرة من الأخطاء الجسيمة عن مذهب أكبر فرقة إسلامية قدمت للإسلام أعظم خدمة، كذلك يتمكن في قلبهم البغض والكراهية لهذه الفرقة ولمذهبها، وتتقرر عندهم الأحكام المسبقة الخاطئة عن هذه الفرقة، وهذا مما يؤدى إلى التفرق والتدابر والتقاطع بين المسلمين عامة وبين علمائهم خاصة في وقت أحوج ما تكون فيه الأمة إلى وحدة الصف وتوحيد الكلمة</w:t>
      </w:r>
      <w:r>
        <w:rPr>
          <w:rFonts w:hint="cs"/>
          <w:rtl/>
        </w:rPr>
        <w:t>،</w:t>
      </w:r>
      <w:r w:rsidR="009C32A0" w:rsidRPr="005675B2">
        <w:rPr>
          <w:rFonts w:hint="cs"/>
          <w:rtl/>
        </w:rPr>
        <w:t xml:space="preserve"> وهذا ممايجب الحيلولة دونه بقدر المستطاع</w:t>
      </w:r>
      <w:r>
        <w:rPr>
          <w:rFonts w:hint="cs"/>
          <w:rtl/>
        </w:rPr>
        <w:t xml:space="preserve">، </w:t>
      </w:r>
      <w:r w:rsidR="009C32A0" w:rsidRPr="005675B2">
        <w:rPr>
          <w:rFonts w:hint="cs"/>
          <w:rtl/>
        </w:rPr>
        <w:t>فمن أجل ما ذكرناه رأيت من واجبي أن أقوم ببيان ما حواه هذا الكتاب من أخطاء بطريقة علمية رصينة بعيدة عن المهاترة وكيل التهم</w:t>
      </w:r>
      <w:r>
        <w:rPr>
          <w:rFonts w:hint="cs"/>
          <w:rtl/>
        </w:rPr>
        <w:t xml:space="preserve">، </w:t>
      </w:r>
      <w:r w:rsidR="009C32A0" w:rsidRPr="005675B2">
        <w:rPr>
          <w:rFonts w:hint="cs"/>
          <w:rtl/>
        </w:rPr>
        <w:t>وأَعِدُّ ما أقوم به من هذا العمل قربة أتقرب بها إلى ربي، ثم خدمة أقدمها للأمة، ولا سيما من تأثر بقرائة مثل هذا الكتاب منهم</w:t>
      </w:r>
      <w:r>
        <w:rPr>
          <w:rFonts w:hint="cs"/>
          <w:rtl/>
        </w:rPr>
        <w:t xml:space="preserve">، </w:t>
      </w:r>
      <w:r w:rsidR="009C32A0" w:rsidRPr="005675B2">
        <w:rPr>
          <w:rFonts w:hint="cs"/>
          <w:rtl/>
        </w:rPr>
        <w:t>ثم أقدم عملي تحفة أهديها لأخينا الفاضل الدكتور سفر، وآمل أن يتقبلها بقبول حسن، لما أعلمه منه من الفضل وطيب النفس</w:t>
      </w:r>
      <w:r>
        <w:rPr>
          <w:rFonts w:hint="cs"/>
          <w:rtl/>
        </w:rPr>
        <w:t>،</w:t>
      </w:r>
      <w:r w:rsidR="009C32A0" w:rsidRPr="005675B2">
        <w:rPr>
          <w:rFonts w:hint="cs"/>
          <w:rtl/>
        </w:rPr>
        <w:t xml:space="preserve"> وقد جاء عن النبي صلى الله تعالى عليه وآله وسلم أنه قال</w:t>
      </w:r>
      <w:r>
        <w:rPr>
          <w:rFonts w:hint="cs"/>
          <w:rtl/>
        </w:rPr>
        <w:t>:</w:t>
      </w:r>
      <w:r w:rsidR="009C32A0" w:rsidRPr="005675B2">
        <w:rPr>
          <w:rFonts w:hint="cs"/>
          <w:rtl/>
        </w:rPr>
        <w:t xml:space="preserve"> </w:t>
      </w:r>
      <w:r>
        <w:rPr>
          <w:rFonts w:hint="cs"/>
          <w:rtl/>
        </w:rPr>
        <w:t>(</w:t>
      </w:r>
      <w:r w:rsidR="009C32A0" w:rsidRPr="005675B2">
        <w:rPr>
          <w:rFonts w:hint="cs"/>
          <w:rtl/>
        </w:rPr>
        <w:t>إذا أراد الله بعبد خيرا بصره بعيوب نفسه</w:t>
      </w:r>
      <w:r>
        <w:rPr>
          <w:rFonts w:hint="cs"/>
          <w:rtl/>
        </w:rPr>
        <w:t>)</w:t>
      </w:r>
      <w:r w:rsidR="009C32A0" w:rsidRPr="005675B2">
        <w:rPr>
          <w:rFonts w:hint="cs"/>
          <w:rtl/>
        </w:rPr>
        <w:t xml:space="preserve"> وروي عن عمر بن الخطاب رضي الله تعالى عنه أنه قال</w:t>
      </w:r>
      <w:r>
        <w:rPr>
          <w:rFonts w:hint="cs"/>
          <w:rtl/>
        </w:rPr>
        <w:t>:</w:t>
      </w:r>
      <w:r w:rsidR="009C32A0" w:rsidRPr="005675B2">
        <w:rPr>
          <w:rFonts w:hint="cs"/>
          <w:rtl/>
        </w:rPr>
        <w:t xml:space="preserve"> </w:t>
      </w:r>
      <w:r>
        <w:rPr>
          <w:rFonts w:hint="cs"/>
          <w:rtl/>
        </w:rPr>
        <w:t>(</w:t>
      </w:r>
      <w:r w:rsidR="009C32A0" w:rsidRPr="005675B2">
        <w:rPr>
          <w:rFonts w:hint="cs"/>
          <w:rtl/>
        </w:rPr>
        <w:t>رحم الله عبدا أهدى إلينا عيوبنا</w:t>
      </w:r>
      <w:r>
        <w:rPr>
          <w:rFonts w:hint="cs"/>
          <w:rtl/>
        </w:rPr>
        <w:t>)</w:t>
      </w:r>
      <w:r w:rsidR="009C32A0" w:rsidRPr="005675B2">
        <w:rPr>
          <w:rFonts w:hint="cs"/>
          <w:rtl/>
        </w:rPr>
        <w:t xml:space="preserve"> وقد قالوا</w:t>
      </w:r>
      <w:r>
        <w:rPr>
          <w:rFonts w:hint="cs"/>
          <w:rtl/>
        </w:rPr>
        <w:t>:</w:t>
      </w:r>
      <w:r w:rsidR="009C32A0" w:rsidRPr="005675B2">
        <w:rPr>
          <w:rFonts w:hint="cs"/>
          <w:rtl/>
        </w:rPr>
        <w:t xml:space="preserve"> </w:t>
      </w:r>
      <w:r>
        <w:rPr>
          <w:rFonts w:hint="cs"/>
          <w:rtl/>
        </w:rPr>
        <w:t>(</w:t>
      </w:r>
      <w:r w:rsidR="009C32A0" w:rsidRPr="005675B2">
        <w:rPr>
          <w:rFonts w:hint="cs"/>
          <w:rtl/>
        </w:rPr>
        <w:t>صَدِيقك من صَدَقَك لا من صدَّقك</w:t>
      </w:r>
      <w:r>
        <w:rPr>
          <w:rFonts w:hint="cs"/>
          <w:rtl/>
        </w:rPr>
        <w:t xml:space="preserve">)، </w:t>
      </w:r>
      <w:r w:rsidR="009C32A0" w:rsidRPr="005675B2">
        <w:rPr>
          <w:rFonts w:hint="cs"/>
          <w:rtl/>
        </w:rPr>
        <w:t>وأنا حَسَنُ الظن بالدكتور سفر، وأعلم أنه رجل فاضل طيب، وأقدره على ما أعلمه منه من الغيرة الشديدة على الإسلام، ومن تضحيته في سبيله بالنفس والنفيس، وعلى ما يقوم به من الريادة في النشاطات والأعمال الإسلامية الجليلة، شكر الله سعيه، وجزاه خير ما يجازي به عباده الصالحين</w:t>
      </w:r>
      <w:r>
        <w:rPr>
          <w:rFonts w:hint="cs"/>
          <w:rtl/>
        </w:rPr>
        <w:t>،</w:t>
      </w:r>
      <w:r w:rsidR="009C32A0" w:rsidRPr="005675B2">
        <w:rPr>
          <w:rFonts w:hint="cs"/>
          <w:rtl/>
        </w:rPr>
        <w:t xml:space="preserve"> وسدد الله خطانا وخطاه، ووفقنا وإياه إلى طيب النية، وصالح العمل، وحسن الختام، ورزقنا الحسنى وزياده</w:t>
      </w:r>
      <w:r>
        <w:rPr>
          <w:rFonts w:hint="cs"/>
          <w:rtl/>
        </w:rPr>
        <w:t>،</w:t>
      </w:r>
      <w:r w:rsidR="009C32A0" w:rsidRPr="005675B2">
        <w:rPr>
          <w:rFonts w:hint="cs"/>
          <w:rtl/>
        </w:rPr>
        <w:t xml:space="preserve"> آمـــين، والحمد لله رب العالمين</w:t>
      </w:r>
      <w:r>
        <w:rPr>
          <w:rFonts w:hint="cs"/>
          <w:rtl/>
        </w:rPr>
        <w:t>،</w:t>
      </w:r>
      <w:r w:rsidR="009C32A0" w:rsidRPr="005675B2">
        <w:rPr>
          <w:rFonts w:hint="cs"/>
          <w:rtl/>
        </w:rPr>
        <w:t xml:space="preserve"> محمد صالح بن أحمد الغرسي</w:t>
      </w:r>
      <w:r>
        <w:rPr>
          <w:rFonts w:hint="cs"/>
          <w:rtl/>
        </w:rPr>
        <w:t>،</w:t>
      </w:r>
    </w:p>
    <w:p w14:paraId="4DB25510" w14:textId="4000F51A" w:rsidR="009C32A0" w:rsidRPr="005675B2" w:rsidRDefault="009C32A0" w:rsidP="000636C2">
      <w:pPr>
        <w:rPr>
          <w:b/>
          <w:rtl/>
          <w:lang w:bidi="ar-JO"/>
        </w:rPr>
      </w:pPr>
      <w:r w:rsidRPr="005675B2">
        <w:rPr>
          <w:rFonts w:hint="cs"/>
          <w:rtl/>
          <w:lang w:bidi="ar-JO"/>
        </w:rPr>
        <w:t>2 - مقدمة الدكتور سفر</w:t>
      </w:r>
      <w:r w:rsidR="000636C2">
        <w:rPr>
          <w:rFonts w:hint="cs"/>
          <w:rtl/>
          <w:lang w:bidi="ar-JO"/>
        </w:rPr>
        <w:t>:</w:t>
      </w:r>
      <w:r w:rsidRPr="005675B2">
        <w:rPr>
          <w:rFonts w:hint="cs"/>
          <w:rtl/>
          <w:lang w:bidi="ar-KW"/>
        </w:rPr>
        <w:t xml:space="preserve"> </w:t>
      </w:r>
      <w:r w:rsidRPr="005675B2">
        <w:rPr>
          <w:rFonts w:hint="cs"/>
          <w:rtl/>
          <w:lang w:bidi="ar-JO"/>
        </w:rPr>
        <w:t>قال الدكتور</w:t>
      </w:r>
      <w:r w:rsidR="000636C2">
        <w:rPr>
          <w:rFonts w:hint="cs"/>
          <w:rtl/>
          <w:lang w:bidi="ar-JO"/>
        </w:rPr>
        <w:t>:</w:t>
      </w:r>
      <w:r w:rsidRPr="005675B2">
        <w:rPr>
          <w:rFonts w:hint="cs"/>
          <w:rtl/>
          <w:lang w:bidi="ar-JO"/>
        </w:rPr>
        <w:t xml:space="preserve"> " الحمد لله، والصلاة والسلام على من لا نبي بعده وبعد فقد اطلعت على ما نشرته مجلة « المجتمع » في الأعداد رقم</w:t>
      </w:r>
      <w:r w:rsidR="000636C2">
        <w:rPr>
          <w:rFonts w:hint="cs"/>
          <w:rtl/>
          <w:lang w:bidi="ar-JO"/>
        </w:rPr>
        <w:t>:</w:t>
      </w:r>
      <w:r w:rsidRPr="005675B2">
        <w:rPr>
          <w:rFonts w:hint="cs"/>
          <w:rtl/>
          <w:lang w:bidi="ar-JO"/>
        </w:rPr>
        <w:t xml:space="preserve"> 627 - 632 والمقالات السابقة لها، وكذلك المقالتان المتضادتان في العدد</w:t>
      </w:r>
      <w:r w:rsidR="000636C2">
        <w:rPr>
          <w:rFonts w:hint="cs"/>
          <w:rtl/>
          <w:lang w:bidi="ar-JO"/>
        </w:rPr>
        <w:t>:</w:t>
      </w:r>
      <w:r w:rsidRPr="005675B2">
        <w:rPr>
          <w:rFonts w:hint="cs"/>
          <w:rtl/>
          <w:lang w:bidi="ar-JO"/>
        </w:rPr>
        <w:t xml:space="preserve"> 646 مما كتبه الشيخان الفوزان والصابوني عن مذهب الأشاعرة، وإذا كان من حق أي قارئ مسلم أن يهتم بالموضوع وأن يدلي برأيه إن كان لديه جديد، فكيف بمن هو متخصص في هذا الموضوع مثلي</w:t>
      </w:r>
      <w:r w:rsidR="000636C2">
        <w:rPr>
          <w:rFonts w:hint="cs"/>
          <w:rtl/>
          <w:lang w:bidi="ar-JO"/>
        </w:rPr>
        <w:t>؟</w:t>
      </w:r>
      <w:r w:rsidRPr="005675B2">
        <w:rPr>
          <w:rFonts w:hint="cs"/>
          <w:rtl/>
          <w:lang w:bidi="ar-JO"/>
        </w:rPr>
        <w:t xml:space="preserve"> ..</w:t>
      </w:r>
      <w:r w:rsidR="000636C2">
        <w:rPr>
          <w:rFonts w:hint="cs"/>
          <w:rtl/>
          <w:lang w:bidi="ar-JO"/>
        </w:rPr>
        <w:t xml:space="preserve"> </w:t>
      </w:r>
      <w:r w:rsidRPr="005675B2">
        <w:rPr>
          <w:rFonts w:hint="cs"/>
          <w:rtl/>
        </w:rPr>
        <w:t>أما الصابوني فلا يؤسفنى أن أقول</w:t>
      </w:r>
      <w:r w:rsidR="000636C2">
        <w:rPr>
          <w:rFonts w:hint="cs"/>
          <w:rtl/>
        </w:rPr>
        <w:t>:</w:t>
      </w:r>
      <w:r w:rsidRPr="005675B2">
        <w:rPr>
          <w:rFonts w:hint="cs"/>
          <w:rtl/>
        </w:rPr>
        <w:t xml:space="preserve"> إن ما كتبه عن عقيدة السلف والأشاعرة يفتقر إلى أساسيات بدائية لكل باحث في العقيدة، كما أن أسلوبه بعيد كثيرا عن المنهج العلمي الموثق وعن الأسلوب المتعقل الرصين}</w:t>
      </w:r>
      <w:r w:rsidR="000636C2">
        <w:rPr>
          <w:rFonts w:hint="cs"/>
          <w:rtl/>
        </w:rPr>
        <w:t xml:space="preserve">، </w:t>
      </w:r>
      <w:r w:rsidRPr="005675B2">
        <w:rPr>
          <w:rFonts w:hint="cs"/>
          <w:rtl/>
          <w:lang w:bidi="ar-JO"/>
        </w:rPr>
        <w:t>أقول</w:t>
      </w:r>
      <w:r w:rsidR="000636C2">
        <w:rPr>
          <w:rFonts w:hint="cs"/>
          <w:rtl/>
          <w:lang w:bidi="ar-JO"/>
        </w:rPr>
        <w:t>:</w:t>
      </w:r>
      <w:r w:rsidRPr="005675B2">
        <w:rPr>
          <w:rFonts w:hint="cs"/>
          <w:rtl/>
          <w:lang w:bidi="ar-JO"/>
        </w:rPr>
        <w:t xml:space="preserve"> سيظهر للقارئ من خلال قراءة تعليقاتنا على الكتاب مدى تخصص الدكتور سفر في الموضوع، والقارئ لتعليقاتنا يتحقق من أن ما قاله الدكتور سفر في حق ما كتبه الصابوني ينطبق على كتابه هذا تمام الانطباق</w:t>
      </w:r>
      <w:r w:rsidR="000636C2">
        <w:rPr>
          <w:rFonts w:hint="cs"/>
          <w:rtl/>
          <w:lang w:bidi="ar-JO"/>
        </w:rPr>
        <w:t>،</w:t>
      </w:r>
    </w:p>
    <w:p w14:paraId="4D761603" w14:textId="1AD72536" w:rsidR="009C32A0" w:rsidRPr="005675B2" w:rsidRDefault="009C32A0" w:rsidP="000636C2">
      <w:pPr>
        <w:rPr>
          <w:b/>
          <w:rtl/>
          <w:lang w:bidi="ar-JO"/>
        </w:rPr>
      </w:pPr>
      <w:r w:rsidRPr="005675B2">
        <w:rPr>
          <w:rFonts w:hint="cs"/>
          <w:rtl/>
          <w:lang w:bidi="ar-JO"/>
        </w:rPr>
        <w:t>3 - حكم الدكتور على الأشاعرة بأنهم من المرجئة الغلاة</w:t>
      </w:r>
      <w:r w:rsidR="000636C2">
        <w:rPr>
          <w:rFonts w:hint="cs"/>
          <w:rtl/>
          <w:lang w:bidi="ar-JO"/>
        </w:rPr>
        <w:t xml:space="preserve">: </w:t>
      </w:r>
      <w:r w:rsidRPr="005675B2">
        <w:rPr>
          <w:rFonts w:hint="cs"/>
          <w:rtl/>
          <w:lang w:bidi="ar-JO"/>
        </w:rPr>
        <w:t>قال الدكتور</w:t>
      </w:r>
      <w:r w:rsidR="000636C2">
        <w:rPr>
          <w:rFonts w:hint="cs"/>
          <w:rtl/>
          <w:lang w:bidi="ar-JO"/>
        </w:rPr>
        <w:t>:</w:t>
      </w:r>
      <w:r w:rsidRPr="005675B2">
        <w:rPr>
          <w:rFonts w:hint="cs"/>
          <w:rtl/>
          <w:lang w:bidi="ar-JO"/>
        </w:rPr>
        <w:t xml:space="preserve"> " فالأشاعرة .. هي أكبر فرق المرجئة الغلاة، ولن أستعجل نتائج بحثي، ولكن حسبي أن أدعي دعوى وأطرحها للمناقشة، وأقبل بكل سرور من يدلي بوجهة نظره فيها}</w:t>
      </w:r>
      <w:r w:rsidR="000636C2">
        <w:rPr>
          <w:rFonts w:hint="cs"/>
          <w:rtl/>
          <w:lang w:bidi="ar-JO"/>
        </w:rPr>
        <w:t xml:space="preserve">، </w:t>
      </w:r>
      <w:r w:rsidRPr="005675B2">
        <w:rPr>
          <w:rFonts w:hint="cs"/>
          <w:rtl/>
          <w:lang w:bidi="ar-JO"/>
        </w:rPr>
        <w:t>أقول</w:t>
      </w:r>
      <w:r w:rsidR="000636C2">
        <w:rPr>
          <w:rFonts w:hint="cs"/>
          <w:rtl/>
          <w:lang w:bidi="ar-JO"/>
        </w:rPr>
        <w:t>:</w:t>
      </w:r>
      <w:r w:rsidRPr="005675B2">
        <w:rPr>
          <w:rFonts w:hint="cs"/>
          <w:rtl/>
          <w:lang w:bidi="ar-JO"/>
        </w:rPr>
        <w:t xml:space="preserve"> قد اشتمل كلام الدكتور هذا على الخطأ والتناقض</w:t>
      </w:r>
      <w:r w:rsidR="000636C2">
        <w:rPr>
          <w:rFonts w:hint="cs"/>
          <w:rtl/>
          <w:lang w:bidi="ar-JO"/>
        </w:rPr>
        <w:t>،</w:t>
      </w:r>
      <w:r w:rsidRPr="005675B2">
        <w:rPr>
          <w:rFonts w:hint="cs"/>
          <w:rtl/>
          <w:lang w:bidi="ar-JO"/>
        </w:rPr>
        <w:t xml:space="preserve"> اماالخطأ</w:t>
      </w:r>
      <w:r w:rsidR="000636C2">
        <w:rPr>
          <w:rFonts w:hint="cs"/>
          <w:rtl/>
          <w:lang w:bidi="ar-JO"/>
        </w:rPr>
        <w:t>:</w:t>
      </w:r>
      <w:r w:rsidRPr="005675B2">
        <w:rPr>
          <w:rFonts w:hint="cs"/>
          <w:rtl/>
          <w:lang w:bidi="ar-JO"/>
        </w:rPr>
        <w:t>فقوله</w:t>
      </w:r>
      <w:r w:rsidR="000636C2">
        <w:rPr>
          <w:rFonts w:hint="cs"/>
          <w:rtl/>
          <w:lang w:bidi="ar-JO"/>
        </w:rPr>
        <w:t>:</w:t>
      </w:r>
      <w:r w:rsidRPr="005675B2">
        <w:rPr>
          <w:rFonts w:hint="cs"/>
          <w:rtl/>
          <w:lang w:bidi="ar-JO"/>
        </w:rPr>
        <w:t xml:space="preserve"> </w:t>
      </w:r>
      <w:r w:rsidR="000636C2">
        <w:rPr>
          <w:rFonts w:hint="cs"/>
          <w:rtl/>
          <w:lang w:bidi="ar-JO"/>
        </w:rPr>
        <w:t>(</w:t>
      </w:r>
      <w:r w:rsidRPr="005675B2">
        <w:rPr>
          <w:rFonts w:hint="cs"/>
          <w:rtl/>
          <w:lang w:bidi="ar-JO"/>
        </w:rPr>
        <w:t>فالأشاعرة .. وهي أكبر فرق المرجئة الغلاة</w:t>
      </w:r>
      <w:r w:rsidR="000636C2">
        <w:rPr>
          <w:rFonts w:hint="cs"/>
          <w:rtl/>
          <w:lang w:bidi="ar-JO"/>
        </w:rPr>
        <w:t>)</w:t>
      </w:r>
      <w:r w:rsidRPr="005675B2">
        <w:rPr>
          <w:rFonts w:hint="cs"/>
          <w:rtl/>
          <w:lang w:bidi="ar-JO"/>
        </w:rPr>
        <w:t>وهذه الدعوى من الدكتور هي الخطأ الأصل الذي تشعب عنه وتفرع عليه عشرات الأخطاء بل مآت الأخطاء التى تورط فيها في هذه الرسالة الصغيرة، ونظرته إلى الأشاعرة التى تفيدها هذه الجملة هي التى ورطته في هذه الأخطاء</w:t>
      </w:r>
      <w:r w:rsidR="000636C2">
        <w:rPr>
          <w:rFonts w:hint="cs"/>
          <w:rtl/>
          <w:lang w:bidi="ar-JO"/>
        </w:rPr>
        <w:t>،</w:t>
      </w:r>
      <w:r w:rsidRPr="005675B2">
        <w:rPr>
          <w:rFonts w:hint="cs"/>
          <w:rtl/>
          <w:lang w:bidi="ar-JO"/>
        </w:rPr>
        <w:t xml:space="preserve"> ومحل الخطأ في كلامه هذا تقييده المرجئة بقيد الغلاة، وعده الأشاعرة أكبر فرق المرجئة الغلاة</w:t>
      </w:r>
      <w:r w:rsidR="000636C2">
        <w:rPr>
          <w:rFonts w:hint="cs"/>
          <w:rtl/>
          <w:lang w:bidi="ar-JO"/>
        </w:rPr>
        <w:t>،</w:t>
      </w:r>
      <w:r w:rsidRPr="005675B2">
        <w:rPr>
          <w:rFonts w:hint="cs"/>
          <w:rtl/>
          <w:lang w:bidi="ar-JO"/>
        </w:rPr>
        <w:t xml:space="preserve"> وذلك أن الإرجاء نوعان</w:t>
      </w:r>
      <w:r w:rsidR="000636C2">
        <w:rPr>
          <w:rFonts w:hint="cs"/>
          <w:rtl/>
          <w:lang w:bidi="ar-JO"/>
        </w:rPr>
        <w:t>:</w:t>
      </w:r>
      <w:r w:rsidRPr="005675B2">
        <w:rPr>
          <w:rFonts w:hint="cs"/>
          <w:rtl/>
          <w:lang w:bidi="ar-JO"/>
        </w:rPr>
        <w:t xml:space="preserve"> إرجاء السنة وإرجاء البدعة، والأشاعرة من مرجئة السنة</w:t>
      </w:r>
      <w:r w:rsidR="000636C2">
        <w:rPr>
          <w:rFonts w:hint="cs"/>
          <w:rtl/>
          <w:lang w:bidi="ar-JO"/>
        </w:rPr>
        <w:t>،</w:t>
      </w:r>
      <w:r w:rsidRPr="005675B2">
        <w:rPr>
          <w:rFonts w:hint="cs"/>
          <w:rtl/>
          <w:lang w:bidi="ar-JO"/>
        </w:rPr>
        <w:t xml:space="preserve"> وهم الذين يرجئون أمر العصاة إلى ربهم إن شاء عفى عنهم، وإن شاء عاقبهم كما هو مذهب أهل السنة، ولعل هذا هو مذهب الدكتور سفر أيضا، وأما مرجئة البدعة فهم الذين يقولون</w:t>
      </w:r>
      <w:r w:rsidR="000636C2">
        <w:rPr>
          <w:rFonts w:hint="cs"/>
          <w:rtl/>
          <w:lang w:bidi="ar-JO"/>
        </w:rPr>
        <w:t>:</w:t>
      </w:r>
      <w:r w:rsidRPr="005675B2">
        <w:rPr>
          <w:rFonts w:hint="cs"/>
          <w:rtl/>
          <w:lang w:bidi="ar-JO"/>
        </w:rPr>
        <w:t xml:space="preserve"> لا يضر مع الإيمان ذنب كما لا ينفع مع الكفر طاعة، وهؤلاء هم المرجئة الغلاة، وقد عدهم الأشاعرة من أهل البدعة، وردوا عليهم مذهبهم هذا، وبينوا زيغه في كتبهم</w:t>
      </w:r>
      <w:r w:rsidR="000636C2">
        <w:rPr>
          <w:rFonts w:hint="cs"/>
          <w:rtl/>
          <w:lang w:bidi="ar-JO"/>
        </w:rPr>
        <w:t>،</w:t>
      </w:r>
      <w:r w:rsidRPr="005675B2">
        <w:rPr>
          <w:rFonts w:hint="cs"/>
          <w:rtl/>
          <w:lang w:bidi="ar-JO"/>
        </w:rPr>
        <w:t xml:space="preserve"> وفي مقابل مرجئة البدعة الخوارج الذين يكفرون العصاة</w:t>
      </w:r>
      <w:r w:rsidR="000636C2">
        <w:rPr>
          <w:rFonts w:hint="cs"/>
          <w:rtl/>
          <w:lang w:bidi="ar-JO"/>
        </w:rPr>
        <w:t>،</w:t>
      </w:r>
      <w:r w:rsidRPr="005675B2">
        <w:rPr>
          <w:rFonts w:hint="cs"/>
          <w:rtl/>
          <w:lang w:bidi="ar-JO"/>
        </w:rPr>
        <w:t xml:space="preserve"> والمعتزلة الذين يثبتون المنزلة بين المنزلتين، أي يرون أن مرتكب الكبيرة ليس مؤمنا ولا كافرا، ويحكمون بخلوده في النار</w:t>
      </w:r>
      <w:r w:rsidR="000636C2">
        <w:rPr>
          <w:rFonts w:hint="cs"/>
          <w:rtl/>
          <w:lang w:bidi="ar-JO"/>
        </w:rPr>
        <w:t>،</w:t>
      </w:r>
      <w:r w:rsidRPr="005675B2">
        <w:rPr>
          <w:rFonts w:hint="cs"/>
          <w:rtl/>
          <w:lang w:bidi="ar-JO"/>
        </w:rPr>
        <w:t xml:space="preserve"> وسيأتى تفصيل مسألة الإرجاء في آخر هذه التعليقات</w:t>
      </w:r>
      <w:r w:rsidR="000636C2">
        <w:rPr>
          <w:rFonts w:hint="cs"/>
          <w:rtl/>
          <w:lang w:bidi="ar-JO"/>
        </w:rPr>
        <w:t>،</w:t>
      </w:r>
      <w:r w:rsidRPr="005675B2">
        <w:rPr>
          <w:rFonts w:hint="cs"/>
          <w:rtl/>
          <w:lang w:bidi="ar-JO"/>
        </w:rPr>
        <w:t xml:space="preserve"> فالأشاعرة هم أكبر فرق مرجئة السنة، وليسوا أكبر فرق المرجئة الغلاة</w:t>
      </w:r>
      <w:r w:rsidR="000636C2">
        <w:rPr>
          <w:rFonts w:hint="cs"/>
          <w:rtl/>
          <w:lang w:bidi="ar-JO"/>
        </w:rPr>
        <w:t xml:space="preserve">، </w:t>
      </w:r>
      <w:r w:rsidRPr="005675B2">
        <w:rPr>
          <w:rFonts w:hint="cs"/>
          <w:rtl/>
          <w:lang w:bidi="ar-JO"/>
        </w:rPr>
        <w:t>واماالتناقض</w:t>
      </w:r>
      <w:r w:rsidR="000636C2">
        <w:rPr>
          <w:rFonts w:hint="cs"/>
          <w:rtl/>
          <w:lang w:bidi="ar-JO"/>
        </w:rPr>
        <w:t>:</w:t>
      </w:r>
      <w:r w:rsidRPr="005675B2">
        <w:rPr>
          <w:rFonts w:hint="cs"/>
          <w:rtl/>
          <w:lang w:bidi="ar-JO"/>
        </w:rPr>
        <w:t xml:space="preserve"> فأن هذا الحكم من الدكتور على الأشاعرة –كما أنه حكم بدون بينة - هو استعجال منه لأهم نتائج بحثه، ومن أجل أن المخطأ لابد أن يناقض نفسه شاء أو أبى</w:t>
      </w:r>
      <w:r w:rsidR="000636C2">
        <w:rPr>
          <w:rFonts w:hint="cs"/>
          <w:rtl/>
          <w:lang w:bidi="ar-JO"/>
        </w:rPr>
        <w:t xml:space="preserve"> </w:t>
      </w:r>
      <w:r w:rsidRPr="005675B2">
        <w:rPr>
          <w:rFonts w:hint="cs"/>
          <w:rtl/>
          <w:lang w:bidi="ar-JO"/>
        </w:rPr>
        <w:t>- كما قالوا -</w:t>
      </w:r>
      <w:r w:rsidR="000636C2">
        <w:rPr>
          <w:rFonts w:hint="cs"/>
          <w:rtl/>
          <w:lang w:bidi="ar-JO"/>
        </w:rPr>
        <w:t>،</w:t>
      </w:r>
      <w:r w:rsidRPr="005675B2">
        <w:rPr>
          <w:rFonts w:hint="cs"/>
          <w:rtl/>
          <w:lang w:bidi="ar-JO"/>
        </w:rPr>
        <w:t xml:space="preserve"> فقد ناقض الدكتور نفسه بقوله</w:t>
      </w:r>
      <w:r w:rsidR="000636C2">
        <w:rPr>
          <w:rFonts w:hint="cs"/>
          <w:rtl/>
          <w:lang w:bidi="ar-JO"/>
        </w:rPr>
        <w:t>:</w:t>
      </w:r>
      <w:r w:rsidRPr="005675B2">
        <w:rPr>
          <w:rFonts w:hint="cs"/>
          <w:rtl/>
          <w:lang w:bidi="ar-JO"/>
        </w:rPr>
        <w:t xml:space="preserve"> ولن أستعجل نتائج بحثى</w:t>
      </w:r>
      <w:r w:rsidR="000636C2">
        <w:rPr>
          <w:rFonts w:hint="cs"/>
          <w:rtl/>
          <w:lang w:bidi="ar-JO"/>
        </w:rPr>
        <w:t xml:space="preserve">، </w:t>
      </w:r>
      <w:r w:rsidRPr="005675B2">
        <w:rPr>
          <w:rFonts w:hint="cs"/>
          <w:rtl/>
          <w:lang w:bidi="ar-JO"/>
        </w:rPr>
        <w:t>وأما قوله</w:t>
      </w:r>
      <w:r w:rsidR="000636C2">
        <w:rPr>
          <w:rFonts w:hint="cs"/>
          <w:rtl/>
          <w:lang w:bidi="ar-JO"/>
        </w:rPr>
        <w:t>:</w:t>
      </w:r>
      <w:r w:rsidRPr="005675B2">
        <w:rPr>
          <w:rFonts w:hint="cs"/>
          <w:rtl/>
          <w:lang w:bidi="ar-JO"/>
        </w:rPr>
        <w:t xml:space="preserve"> {ولكن حسبي أن أدعي دعوى، وأطرحها للمناقشة، وأقبل –بكل سرور - من يدلي بوجهة نظره فيها}</w:t>
      </w:r>
      <w:r w:rsidR="000636C2">
        <w:rPr>
          <w:rFonts w:hint="cs"/>
          <w:rtl/>
          <w:lang w:bidi="ar-JO"/>
        </w:rPr>
        <w:t xml:space="preserve">، </w:t>
      </w:r>
      <w:r w:rsidRPr="005675B2">
        <w:rPr>
          <w:rFonts w:hint="cs"/>
          <w:rtl/>
          <w:lang w:bidi="ar-JO"/>
        </w:rPr>
        <w:t>كلامه هذا إذا أخذناه مقطوعا عن سياقه، كلام جيد يصور ما ينبغى أن يكون عليه العالم المحايد غير المتحيز من عدم التعصب لطرف، وعدم التسرع في الحكم بالخطأ فضلا عن الحكم بالبدعة لطرف آخر</w:t>
      </w:r>
      <w:r w:rsidR="000636C2">
        <w:rPr>
          <w:rFonts w:hint="cs"/>
          <w:rtl/>
          <w:lang w:bidi="ar-JO"/>
        </w:rPr>
        <w:t xml:space="preserve">، </w:t>
      </w:r>
      <w:r w:rsidRPr="005675B2">
        <w:rPr>
          <w:rFonts w:hint="cs"/>
          <w:rtl/>
          <w:lang w:bidi="ar-JO"/>
        </w:rPr>
        <w:t>لكن إيراد الدكتور لهذا الكلام في صدر رسالته هذه غير صحيح لأمرين</w:t>
      </w:r>
      <w:r w:rsidR="000636C2">
        <w:rPr>
          <w:rFonts w:hint="cs"/>
          <w:rtl/>
          <w:lang w:bidi="ar-JO"/>
        </w:rPr>
        <w:t>:</w:t>
      </w:r>
      <w:r w:rsidRPr="005675B2">
        <w:rPr>
          <w:rFonts w:hint="cs"/>
          <w:rtl/>
          <w:lang w:bidi="ar-JO"/>
        </w:rPr>
        <w:t xml:space="preserve"> </w:t>
      </w:r>
      <w:r w:rsidR="000636C2">
        <w:rPr>
          <w:rFonts w:hint="cs"/>
          <w:spacing w:val="-8"/>
          <w:rtl/>
          <w:lang w:bidi="ar-JO"/>
        </w:rPr>
        <w:t>(</w:t>
      </w:r>
      <w:r w:rsidRPr="005675B2">
        <w:rPr>
          <w:rFonts w:hint="cs"/>
          <w:spacing w:val="-8"/>
          <w:rtl/>
          <w:lang w:bidi="ar-JO"/>
        </w:rPr>
        <w:t>الأول</w:t>
      </w:r>
      <w:r w:rsidR="000636C2">
        <w:rPr>
          <w:rFonts w:hint="cs"/>
          <w:spacing w:val="-8"/>
          <w:rtl/>
          <w:lang w:bidi="ar-JO"/>
        </w:rPr>
        <w:t>):</w:t>
      </w:r>
      <w:r w:rsidRPr="005675B2">
        <w:rPr>
          <w:rFonts w:hint="cs"/>
          <w:spacing w:val="-8"/>
          <w:rtl/>
          <w:lang w:bidi="ar-JO"/>
        </w:rPr>
        <w:t xml:space="preserve"> أن الدعاوى لابد أن تكون مدعومة بالبينات، كما قال النبي صلى الله تعالى عليه وآله وسلم</w:t>
      </w:r>
      <w:r w:rsidR="000636C2">
        <w:rPr>
          <w:rFonts w:hint="cs"/>
          <w:spacing w:val="-8"/>
          <w:rtl/>
          <w:lang w:bidi="ar-JO"/>
        </w:rPr>
        <w:t>:</w:t>
      </w:r>
      <w:r w:rsidRPr="005675B2">
        <w:rPr>
          <w:rFonts w:hint="cs"/>
          <w:spacing w:val="-8"/>
          <w:rtl/>
          <w:lang w:bidi="ar-JO"/>
        </w:rPr>
        <w:t xml:space="preserve"> </w:t>
      </w:r>
      <w:r w:rsidR="000636C2">
        <w:rPr>
          <w:rFonts w:hint="cs"/>
          <w:spacing w:val="-8"/>
          <w:rtl/>
          <w:lang w:bidi="ar-JO"/>
        </w:rPr>
        <w:t>(</w:t>
      </w:r>
      <w:r w:rsidRPr="005675B2">
        <w:rPr>
          <w:rFonts w:hint="cs"/>
          <w:spacing w:val="-8"/>
          <w:rtl/>
          <w:lang w:bidi="ar-JO"/>
        </w:rPr>
        <w:t>لو أعطي الناس بدعواهم لادعى ناس دماء أقوام وأموالهم، ولكن البينة على المدعي واليمين على من أنكر</w:t>
      </w:r>
      <w:r w:rsidR="000636C2">
        <w:rPr>
          <w:rFonts w:hint="cs"/>
          <w:spacing w:val="-8"/>
          <w:rtl/>
          <w:lang w:bidi="ar-JO"/>
        </w:rPr>
        <w:t>)</w:t>
      </w:r>
      <w:r w:rsidRPr="005675B2">
        <w:rPr>
          <w:rFonts w:hint="cs"/>
          <w:spacing w:val="-8"/>
          <w:rtl/>
          <w:lang w:bidi="ar-JO"/>
        </w:rPr>
        <w:t xml:space="preserve"> ومعظم دعاوى الدكتور التى ادعاها على الأشاعرة في هذا الكتيب ومنها دعواه هذه أن الأشاعرة أكبر فرق المرجئة الغلاة غير صحيحة لم يقم عليها لابينات ولا شبهات، ولن يستطيع أن يقيم عليها شيئا من ذلك</w:t>
      </w:r>
      <w:r w:rsidR="000636C2">
        <w:rPr>
          <w:rFonts w:hint="cs"/>
          <w:spacing w:val="-8"/>
          <w:rtl/>
          <w:lang w:bidi="ar-JO"/>
        </w:rPr>
        <w:t xml:space="preserve">، </w:t>
      </w:r>
      <w:r w:rsidR="000636C2">
        <w:rPr>
          <w:rFonts w:hint="cs"/>
          <w:rtl/>
          <w:lang w:bidi="ar-JO"/>
        </w:rPr>
        <w:t>(</w:t>
      </w:r>
      <w:r w:rsidRPr="005675B2">
        <w:rPr>
          <w:rFonts w:hint="cs"/>
          <w:rtl/>
          <w:lang w:bidi="ar-JO"/>
        </w:rPr>
        <w:t>الثاني</w:t>
      </w:r>
      <w:r w:rsidR="000636C2">
        <w:rPr>
          <w:rFonts w:hint="cs"/>
          <w:rtl/>
          <w:lang w:bidi="ar-JO"/>
        </w:rPr>
        <w:t>):</w:t>
      </w:r>
      <w:r w:rsidRPr="005675B2">
        <w:rPr>
          <w:rFonts w:hint="cs"/>
          <w:rtl/>
          <w:lang w:bidi="ar-JO"/>
        </w:rPr>
        <w:t xml:space="preserve"> أن كلامه هذا يصور دعواه التى ادعاها على الأشاعرة بأنها دعوى قابلة للمناقشة، وأن المسائل التي خالف فيها الأشاعرة مما يجوز فيها الخطأ والصواب على كل من الأطراف المتنازعة، وليست من المسائل التى يخطأ فيها على سبيل القطع طرف معين، فضلا أن يبدع من أجلها، ومن أجل ذلك يقبل بكل سرور من يدلي بوجهة نظره في هذه الدعوى، لكنه حينما يأتي بدعاويه التى ينسبها إلى من يسميهم بأهل السنة في ثنايا رسالته يوردها على أنها حقائق مسلمة غير قابلة للنقاش، ويورد ما ينسبه إلى الأشاعرة ومنها هذه الدعوى على أنه الخطأ الذي لا يحتمل الصواب، وأنه البدعة المخالفة للسنة</w:t>
      </w:r>
      <w:r w:rsidR="000636C2">
        <w:rPr>
          <w:rFonts w:hint="cs"/>
          <w:rtl/>
          <w:lang w:bidi="ar-JO"/>
        </w:rPr>
        <w:t>،</w:t>
      </w:r>
      <w:r w:rsidRPr="005675B2">
        <w:rPr>
          <w:rFonts w:hint="cs"/>
          <w:rtl/>
          <w:lang w:bidi="ar-JO"/>
        </w:rPr>
        <w:t xml:space="preserve"> فكلام الدكتور هذا مشتمل على الخطأ والتناقض</w:t>
      </w:r>
      <w:r w:rsidR="000636C2">
        <w:rPr>
          <w:rFonts w:hint="cs"/>
          <w:rtl/>
          <w:lang w:bidi="ar-JO"/>
        </w:rPr>
        <w:t>،</w:t>
      </w:r>
      <w:r w:rsidRPr="005675B2">
        <w:rPr>
          <w:rFonts w:hint="cs"/>
          <w:rtl/>
          <w:lang w:bidi="ar-JO"/>
        </w:rPr>
        <w:t xml:space="preserve"> وهو كما أنه مناقض لما سيأتى في ثنايا الكتاب مناقض لسابقه ولاحقه، وهو قوله</w:t>
      </w:r>
      <w:r w:rsidR="000636C2">
        <w:rPr>
          <w:rFonts w:hint="cs"/>
          <w:rtl/>
          <w:lang w:bidi="ar-JO"/>
        </w:rPr>
        <w:t>:</w:t>
      </w:r>
      <w:r w:rsidRPr="005675B2">
        <w:rPr>
          <w:rFonts w:hint="cs"/>
          <w:rtl/>
          <w:lang w:bidi="ar-JO"/>
        </w:rPr>
        <w:t xml:space="preserve"> </w:t>
      </w:r>
      <w:r w:rsidR="000636C2">
        <w:rPr>
          <w:rFonts w:hint="cs"/>
          <w:rtl/>
          <w:lang w:bidi="ar-JO"/>
        </w:rPr>
        <w:t>(</w:t>
      </w:r>
      <w:r w:rsidRPr="005675B2">
        <w:rPr>
          <w:rFonts w:hint="cs"/>
          <w:rtl/>
          <w:lang w:bidi="ar-JO"/>
        </w:rPr>
        <w:t>وليكن معلوما أن هذا الرد الموعود ..</w:t>
      </w:r>
      <w:r w:rsidR="000636C2">
        <w:rPr>
          <w:rFonts w:hint="cs"/>
          <w:rtl/>
          <w:lang w:bidi="ar-JO"/>
        </w:rPr>
        <w:t>)</w:t>
      </w:r>
    </w:p>
    <w:p w14:paraId="46374AB4" w14:textId="743AF49B" w:rsidR="009C32A0" w:rsidRPr="005675B2" w:rsidRDefault="009C32A0" w:rsidP="000636C2">
      <w:pPr>
        <w:rPr>
          <w:b/>
          <w:rtl/>
          <w:lang w:bidi="ar-JO"/>
        </w:rPr>
      </w:pPr>
      <w:r w:rsidRPr="005675B2">
        <w:rPr>
          <w:rFonts w:hint="cs"/>
          <w:rtl/>
          <w:lang w:bidi="ar-JO"/>
        </w:rPr>
        <w:t>4 - الأشاعرة أكبر فرقة إسلامية</w:t>
      </w:r>
      <w:r w:rsidR="000636C2">
        <w:rPr>
          <w:rFonts w:hint="cs"/>
          <w:rtl/>
          <w:lang w:bidi="ar-JO"/>
        </w:rPr>
        <w:t xml:space="preserve">: </w:t>
      </w:r>
      <w:r w:rsidRPr="005675B2">
        <w:rPr>
          <w:rFonts w:hint="cs"/>
          <w:rtl/>
          <w:lang w:bidi="ar-JO"/>
        </w:rPr>
        <w:t>قال الدكتور</w:t>
      </w:r>
      <w:r w:rsidR="000636C2">
        <w:rPr>
          <w:rFonts w:hint="cs"/>
          <w:rtl/>
          <w:lang w:bidi="ar-JO"/>
        </w:rPr>
        <w:t xml:space="preserve">: </w:t>
      </w:r>
      <w:r w:rsidRPr="005675B2">
        <w:rPr>
          <w:rFonts w:hint="cs"/>
          <w:rtl/>
          <w:lang w:bidi="ar-JO"/>
        </w:rPr>
        <w:t>- وقد وعد بكتابة رد مطول على الأشاعرة - "وليكن معلوماً أنَّ هذا الرد الموعود ليس مقصوداً به الصابوني ولا غيره من الأشخاص فالمسألة أكبر من ذلك وأخطر، إنها مسألة مذهبٍ بدعيٍّ له وجوده الواقعي الضخم في الفكر الإسلامي حيث تمتلئ به الكثير من كتب التفسير وشروح الحديث وكتب اللغة والبلاغة والأصول فضلاً عن كتب العقائد والفكر، كما أن له جامعاته الكبرى ومعاهده المنتشرة في أكثر بلاد الإسلام من الفلبين إلى السنغال "</w:t>
      </w:r>
      <w:r w:rsidR="000636C2">
        <w:rPr>
          <w:rFonts w:hint="cs"/>
          <w:rtl/>
          <w:lang w:bidi="ar-JO"/>
        </w:rPr>
        <w:t xml:space="preserve">، </w:t>
      </w:r>
      <w:r w:rsidRPr="005675B2">
        <w:rPr>
          <w:rFonts w:hint="cs"/>
          <w:rtl/>
          <w:lang w:bidi="ar-JO"/>
        </w:rPr>
        <w:t>أقول</w:t>
      </w:r>
      <w:r w:rsidR="000636C2">
        <w:rPr>
          <w:rFonts w:hint="cs"/>
          <w:rtl/>
          <w:lang w:bidi="ar-JO"/>
        </w:rPr>
        <w:t>:</w:t>
      </w:r>
      <w:r w:rsidRPr="005675B2">
        <w:rPr>
          <w:rFonts w:hint="cs"/>
          <w:rtl/>
          <w:lang w:bidi="ar-JO"/>
        </w:rPr>
        <w:t xml:space="preserve"> هذا الكلام اعتراف من الدكتور سفر بأن مذهب الأشاعرة والماتريدية هو مذهب جمهور علماء المسلمين، فجل كتب التفسير والحديث والعقائد والأصول، والبلاغة واللغة كتبها الأشاعرة والماتريدية، والجامعات العريقة تتبع هذا المذهب</w:t>
      </w:r>
      <w:r w:rsidR="000636C2">
        <w:rPr>
          <w:rFonts w:hint="cs"/>
          <w:rtl/>
          <w:lang w:bidi="ar-JO"/>
        </w:rPr>
        <w:t>،</w:t>
      </w:r>
      <w:r w:rsidRPr="005675B2">
        <w:rPr>
          <w:rFonts w:hint="cs"/>
          <w:rtl/>
          <w:lang w:bidi="ar-JO"/>
        </w:rPr>
        <w:t xml:space="preserve"> أنطرح كلَّ هذه الكتب ونترك هؤلاء العلماءَ ونتبع الدكتور سفر</w:t>
      </w:r>
      <w:r w:rsidR="000636C2">
        <w:rPr>
          <w:rFonts w:hint="cs"/>
          <w:rtl/>
          <w:lang w:bidi="ar-JO"/>
        </w:rPr>
        <w:t>؟</w:t>
      </w:r>
      <w:r w:rsidRPr="005675B2">
        <w:rPr>
          <w:rFonts w:hint="cs"/>
          <w:rtl/>
          <w:lang w:bidi="ar-JO"/>
        </w:rPr>
        <w:t xml:space="preserve"> وهل من المعقول أن تكون الأمة المرحومة على ضلال طوال قرون حتى يأتي في القرن الخامس عشر من يصحح لها عقائدها، وقد قال النبي صلى الله عليه وعلى آله وسلم</w:t>
      </w:r>
      <w:r w:rsidR="000636C2">
        <w:rPr>
          <w:rFonts w:hint="cs"/>
          <w:rtl/>
          <w:lang w:bidi="ar-JO"/>
        </w:rPr>
        <w:t>:</w:t>
      </w:r>
      <w:r w:rsidRPr="005675B2">
        <w:rPr>
          <w:rFonts w:hint="cs"/>
          <w:rtl/>
          <w:lang w:bidi="ar-JO"/>
        </w:rPr>
        <w:t xml:space="preserve"> " عليكم بالسواد الأعظم"</w:t>
      </w:r>
      <w:r w:rsidR="000636C2">
        <w:rPr>
          <w:rFonts w:hint="cs"/>
          <w:rtl/>
          <w:lang w:bidi="ar-JO"/>
        </w:rPr>
        <w:t xml:space="preserve">؟ </w:t>
      </w:r>
      <w:r w:rsidRPr="005675B2">
        <w:rPr>
          <w:rFonts w:hint="cs"/>
          <w:rtl/>
          <w:lang w:bidi="ar-JO"/>
        </w:rPr>
        <w:t>ونحن لا نعتقد العصمة للأشعرية ولا لغيرهم، ولكننا نرى مذهبهم ومذهب الماتريدية أقوم المذاهب وأقربها إلى الحق</w:t>
      </w:r>
      <w:r w:rsidR="000636C2">
        <w:rPr>
          <w:rFonts w:hint="cs"/>
          <w:rtl/>
          <w:lang w:bidi="ar-JO"/>
        </w:rPr>
        <w:t xml:space="preserve">، </w:t>
      </w:r>
      <w:r w:rsidRPr="005675B2">
        <w:rPr>
          <w:rFonts w:hint="cs"/>
          <w:rtl/>
          <w:lang w:bidi="ar-JO"/>
        </w:rPr>
        <w:t xml:space="preserve">قال الإمام الحجة المحدث الفقيه الأصولي المتكلم النظار تقي الدين السبكي في مقدمة كتابه </w:t>
      </w:r>
      <w:r w:rsidR="000636C2">
        <w:rPr>
          <w:rFonts w:hint="cs"/>
          <w:rtl/>
          <w:lang w:bidi="ar-JO"/>
        </w:rPr>
        <w:t>(</w:t>
      </w:r>
      <w:r w:rsidRPr="005675B2">
        <w:rPr>
          <w:rFonts w:hint="cs"/>
          <w:rtl/>
          <w:lang w:bidi="ar-JO"/>
        </w:rPr>
        <w:t>السيف الصقيل</w:t>
      </w:r>
      <w:r w:rsidR="000636C2">
        <w:rPr>
          <w:rFonts w:hint="cs"/>
          <w:rtl/>
          <w:lang w:bidi="ar-JO"/>
        </w:rPr>
        <w:t xml:space="preserve">): </w:t>
      </w:r>
      <w:r w:rsidRPr="005675B2">
        <w:rPr>
          <w:rFonts w:hint="cs"/>
          <w:rtl/>
          <w:lang w:bidi="ar-JO"/>
        </w:rPr>
        <w:t>المتكلمون طلبوه - أي العلم الإلهي - بالعقل والنقل معا وافترقوا ثلاث فرق</w:t>
      </w:r>
      <w:r w:rsidR="000636C2">
        <w:rPr>
          <w:rFonts w:hint="cs"/>
          <w:rtl/>
          <w:lang w:bidi="ar-JO"/>
        </w:rPr>
        <w:t xml:space="preserve">: </w:t>
      </w:r>
      <w:r w:rsidRPr="005675B2">
        <w:rPr>
          <w:rFonts w:hint="cs"/>
          <w:rtl/>
          <w:lang w:bidi="ar-JO"/>
        </w:rPr>
        <w:t>إحداها غلب عليها جانب العقل وهم المعتزلة</w:t>
      </w:r>
      <w:r w:rsidR="000636C2">
        <w:rPr>
          <w:rFonts w:hint="cs"/>
          <w:rtl/>
          <w:lang w:bidi="ar-JO"/>
        </w:rPr>
        <w:t xml:space="preserve">، </w:t>
      </w:r>
      <w:r w:rsidRPr="005675B2">
        <w:rPr>
          <w:rFonts w:hint="cs"/>
          <w:rtl/>
          <w:lang w:bidi="ar-JO"/>
        </w:rPr>
        <w:t>والثانية غلب عليها جانب النقل وهم الحشوية</w:t>
      </w:r>
      <w:r w:rsidR="000636C2">
        <w:rPr>
          <w:rFonts w:hint="cs"/>
          <w:rtl/>
          <w:lang w:bidi="ar-JO"/>
        </w:rPr>
        <w:t xml:space="preserve">، </w:t>
      </w:r>
      <w:r w:rsidRPr="005675B2">
        <w:rPr>
          <w:rFonts w:hint="cs"/>
          <w:rtl/>
          <w:lang w:bidi="ar-JO"/>
        </w:rPr>
        <w:t>والثالثة ما غلب عليها أحدهما؛ بل بقي الأمران مرعيين عندهم على حد سواء وهم الأشعرية</w:t>
      </w:r>
      <w:r w:rsidR="000636C2">
        <w:rPr>
          <w:rFonts w:hint="cs"/>
          <w:rtl/>
          <w:lang w:bidi="ar-JO"/>
        </w:rPr>
        <w:t>،</w:t>
      </w:r>
      <w:r w:rsidRPr="005675B2">
        <w:rPr>
          <w:rFonts w:hint="cs"/>
          <w:rtl/>
          <w:lang w:bidi="ar-JO"/>
        </w:rPr>
        <w:t xml:space="preserve"> وجميع الفرق الثلاث في كلامها مخاطرة</w:t>
      </w:r>
      <w:r w:rsidR="000636C2">
        <w:rPr>
          <w:rFonts w:hint="cs"/>
          <w:rtl/>
          <w:lang w:bidi="ar-JO"/>
        </w:rPr>
        <w:t>:</w:t>
      </w:r>
      <w:r w:rsidRPr="005675B2">
        <w:rPr>
          <w:rFonts w:hint="cs"/>
          <w:rtl/>
          <w:lang w:bidi="ar-JO"/>
        </w:rPr>
        <w:t xml:space="preserve"> إما خطأ في بعضه وإما سقوط هيبة، والسالم من ذلك كله ما كان عليه الصحابة والتابعون وعموم الناس الباقون على الفطرة السليمة، ولهذا كان الشافعي رضي الله عنه ينهى عن الاشتغال بعلم الكلام ويأمر بالاشتغال بالفقه فهو طريق السلامة، ولو بقي الناس على ما كانوا عليه في زمن الصحابة كان الأولى للعلماء تجنب النظر في علم الكلام جملة؛ لكن حدثت بدعٌ أوجبت للعلماء النظر فيه لمقاومة المبتدعين ودفع شبههم حذراً من أن تزيغ بها قلوب المهتدين</w:t>
      </w:r>
      <w:r w:rsidR="000636C2">
        <w:rPr>
          <w:rFonts w:hint="cs"/>
          <w:rtl/>
          <w:lang w:bidi="ar-JO"/>
        </w:rPr>
        <w:t xml:space="preserve">، </w:t>
      </w:r>
      <w:r w:rsidRPr="005675B2">
        <w:rPr>
          <w:rFonts w:hint="cs"/>
          <w:rtl/>
          <w:lang w:bidi="ar-JO"/>
        </w:rPr>
        <w:t>والفرقة الأشعرية هم المتوسطون في ذلك، وهم الغالبون من الشافعية والمالكية والحنفية وفضلاء الحنابلة وسائر الناس</w:t>
      </w:r>
      <w:r w:rsidR="000636C2">
        <w:rPr>
          <w:rFonts w:hint="cs"/>
          <w:rtl/>
          <w:lang w:bidi="ar-JO"/>
        </w:rPr>
        <w:t xml:space="preserve">، </w:t>
      </w:r>
      <w:r w:rsidRPr="005675B2">
        <w:rPr>
          <w:rFonts w:hint="cs"/>
          <w:rtl/>
          <w:lang w:bidi="ar-JO"/>
        </w:rPr>
        <w:t>وأما المعتزلة فكانت لهم دولة في أوائل المائة الثالثة ساعدهم بعض الخلفاء ثم انخذلوا وكفى الله شرهم</w:t>
      </w:r>
      <w:r w:rsidR="000636C2">
        <w:rPr>
          <w:rFonts w:hint="cs"/>
          <w:rtl/>
          <w:lang w:bidi="ar-JO"/>
        </w:rPr>
        <w:t xml:space="preserve">، </w:t>
      </w:r>
      <w:r w:rsidRPr="005675B2">
        <w:rPr>
          <w:rFonts w:hint="cs"/>
          <w:rtl/>
          <w:lang w:bidi="ar-JO"/>
        </w:rPr>
        <w:t>وهاتان الطائفتان الأشعرية والمعتزلة هما المتقاومتان، فالأشعرية أعدلها لأنها بنت أصولها على الكتاب والسنة والعقل الصحيح ..</w:t>
      </w:r>
      <w:r w:rsidR="000636C2">
        <w:rPr>
          <w:rFonts w:hint="cs"/>
          <w:rtl/>
          <w:lang w:bidi="ar-JO"/>
        </w:rPr>
        <w:t xml:space="preserve"> </w:t>
      </w:r>
      <w:r w:rsidRPr="005675B2">
        <w:rPr>
          <w:rFonts w:hint="cs"/>
          <w:rtl/>
          <w:lang w:bidi="ar-JO"/>
        </w:rPr>
        <w:t>وأما الحشوية فهي طائفة .. ينتسبون إلى أحمدَ وأحمدُ مبرأ منهم، وسبب نسبتهم إليه انه قام في دفع المعتزلة وثبت في المحنة رضي الله عنه، نقلت عنه كليمات ما فهمها هؤلاء الجهال، فاعتقدوا هذا الإعتقاد السيئ، وصار المتأخر منهم يتبع المتقدم إلا من عصمه الله .. ثمَّ جاء في أواخر المائة السابعة رجل له فضل ذكاء واطلاعٌ ولم يجد شيخاً يهديه، وهو على مذهبهم وهو جسورٌ متجردٌ لتقرير مذهبه، ويجد أموراً بعيدة فبجسارته يلتزمها، فقال بقيام الحوادث بذات الرب سبحانه وتعالى، وأنَّ الله سبحانه ما زال فاعلاً</w:t>
      </w:r>
      <w:r w:rsidR="000636C2">
        <w:rPr>
          <w:rFonts w:hint="cs"/>
          <w:rtl/>
          <w:lang w:bidi="ar-JO"/>
        </w:rPr>
        <w:t>،</w:t>
      </w:r>
      <w:r w:rsidRPr="005675B2">
        <w:rPr>
          <w:rFonts w:hint="cs"/>
          <w:rtl/>
          <w:lang w:bidi="ar-JO"/>
        </w:rPr>
        <w:t xml:space="preserve"> وأنَّ التسلسل ليس بمحالٍ فيما مضى كما هو فيما سيأتي , وشقَّ العصا</w:t>
      </w:r>
      <w:r w:rsidR="000636C2">
        <w:rPr>
          <w:rFonts w:hint="cs"/>
          <w:rtl/>
          <w:lang w:bidi="ar-JO"/>
        </w:rPr>
        <w:t>،</w:t>
      </w:r>
      <w:r w:rsidRPr="005675B2">
        <w:rPr>
          <w:rFonts w:hint="cs"/>
          <w:rtl/>
          <w:lang w:bidi="ar-JO"/>
        </w:rPr>
        <w:t xml:space="preserve"> وشوَّش عقائد المسلمين، وأغرى بينهم .. ثم حدث من أصحابه من يشيع عقائده .. حتى وقفت في هذا الزمان على قصيدةٍ نحو ستة آلاف بيتٍ يذكر ناظمها فيها عقائده وعقائد غيره، ويزعم بجهله أن عقائده عقائد أهل الحديث، فوجدت هذه القصيدة تصنيفاً في علم الكلام الذي نهى العلماء عن النظر فيه لو كان حقاً</w:t>
      </w:r>
      <w:r w:rsidR="000636C2">
        <w:rPr>
          <w:rFonts w:hint="cs"/>
          <w:rtl/>
          <w:lang w:bidi="ar-JO"/>
        </w:rPr>
        <w:t>،</w:t>
      </w:r>
      <w:r w:rsidRPr="005675B2">
        <w:rPr>
          <w:rFonts w:hint="cs"/>
          <w:rtl/>
          <w:lang w:bidi="ar-JO"/>
        </w:rPr>
        <w:t xml:space="preserve"> فكيف وهو تقريرٌ للعقائد الباطلة وبوحٌ بها، وزيادةٌ على ذلك، وهي حملُ العوامِّ على تكفير كل من سواه وسوى طائفته، فهذه ثلاثة أمور هي مجامع ما تضمنته هذه القصيدة .. إلى آخر كلامه</w:t>
      </w:r>
      <w:r w:rsidR="000636C2">
        <w:rPr>
          <w:rFonts w:hint="cs"/>
          <w:rtl/>
          <w:lang w:bidi="ar-JO"/>
        </w:rPr>
        <w:t xml:space="preserve">، </w:t>
      </w:r>
      <w:r w:rsidRPr="005675B2">
        <w:rPr>
          <w:rFonts w:hint="cs"/>
          <w:rtl/>
          <w:lang w:bidi="ar-JO"/>
        </w:rPr>
        <w:t>يقصد السبكي القصيدة النونية لابن القيم، وقد جرى الدكتور سفر في كتابه هذا على منوالها ..</w:t>
      </w:r>
    </w:p>
    <w:p w14:paraId="5239BE85" w14:textId="303FA890" w:rsidR="009C32A0" w:rsidRPr="005675B2" w:rsidRDefault="009C32A0" w:rsidP="000636C2">
      <w:pPr>
        <w:rPr>
          <w:b/>
          <w:spacing w:val="-8"/>
          <w:rtl/>
        </w:rPr>
      </w:pPr>
      <w:r w:rsidRPr="005675B2">
        <w:rPr>
          <w:rFonts w:hint="cs"/>
          <w:rtl/>
          <w:lang w:bidi="ar-JO"/>
        </w:rPr>
        <w:t>5 - الإمام أبو الحسن الأشعري مقرر لمذهب السلف ومدافع عنه</w:t>
      </w:r>
      <w:r w:rsidR="000636C2">
        <w:rPr>
          <w:rFonts w:hint="cs"/>
          <w:rtl/>
          <w:lang w:bidi="ar-JO"/>
        </w:rPr>
        <w:t xml:space="preserve">: </w:t>
      </w:r>
      <w:r w:rsidRPr="005675B2">
        <w:rPr>
          <w:rFonts w:hint="cs"/>
          <w:rtl/>
          <w:lang w:bidi="ar-JO"/>
        </w:rPr>
        <w:t>ونقل الإمام تاج الدين السبكي عن الشيخ أبي عبد الله محمد بن موسى بن عمار المايُرْقي انه قال</w:t>
      </w:r>
      <w:r w:rsidR="000636C2">
        <w:rPr>
          <w:rFonts w:hint="cs"/>
          <w:rtl/>
          <w:lang w:bidi="ar-JO"/>
        </w:rPr>
        <w:t>:</w:t>
      </w:r>
      <w:r w:rsidRPr="005675B2">
        <w:rPr>
          <w:rFonts w:hint="cs"/>
          <w:rtl/>
          <w:lang w:bidi="ar-JO"/>
        </w:rPr>
        <w:t xml:space="preserve"> ولم يكن أبو الحسن أول متكلم بلسان أهل السنة؛ إنما جرى على سنن غيره وعلى نصرة مذهب معروف، فزاد المذهب حجةً وبياناً، ولم يبتدع مقالة اخترعها ولا مذهبا انفرد به .. ليس له في مذهب السلف أكثر من بسطه وشرحه، وتواليفه في نصره .. ثم ذكر المايرقي رسالة الشيخ أبي الحسن القابسي المالكي التى يقول فيها</w:t>
      </w:r>
      <w:r w:rsidR="000636C2">
        <w:rPr>
          <w:rFonts w:hint="cs"/>
          <w:rtl/>
          <w:lang w:bidi="ar-JO"/>
        </w:rPr>
        <w:t>:</w:t>
      </w:r>
      <w:r w:rsidRPr="005675B2">
        <w:rPr>
          <w:rFonts w:hint="cs"/>
          <w:rtl/>
          <w:lang w:bidi="ar-JO"/>
        </w:rPr>
        <w:t xml:space="preserve"> واعلموا أن أبا الحسن الأشعري لم يأت من علم الكلام إلا ما أراد به إيضاح السنن والتثبت عليها، إلى أن يقول القابسي</w:t>
      </w:r>
      <w:r w:rsidR="000636C2">
        <w:rPr>
          <w:rFonts w:hint="cs"/>
          <w:rtl/>
          <w:lang w:bidi="ar-JO"/>
        </w:rPr>
        <w:t>:</w:t>
      </w:r>
      <w:r w:rsidRPr="005675B2">
        <w:rPr>
          <w:rFonts w:hint="cs"/>
          <w:rtl/>
          <w:lang w:bidi="ar-JO"/>
        </w:rPr>
        <w:t xml:space="preserve"> وما أبو الحسن إلا واحد من جملة القائمين في نصرة الحق، ما سمعنا من أهل الإنصاف من يؤخره عن رتبة ذلك، ولا من يؤثر عليه في عصره غيره، ومَن بعده من أهل الحق سلكوا سبيله، إلى أن قال</w:t>
      </w:r>
      <w:r w:rsidR="000636C2">
        <w:rPr>
          <w:rFonts w:hint="cs"/>
          <w:rtl/>
          <w:lang w:bidi="ar-JO"/>
        </w:rPr>
        <w:t>:</w:t>
      </w:r>
      <w:r w:rsidRPr="005675B2">
        <w:rPr>
          <w:rFonts w:hint="cs"/>
          <w:rtl/>
          <w:lang w:bidi="ar-JO"/>
        </w:rPr>
        <w:t xml:space="preserve"> لقد مات الأشعري يوم مات وأهل السنة باكون عليه وأهل البدع مستريحون منه</w:t>
      </w:r>
      <w:r w:rsidR="000636C2">
        <w:rPr>
          <w:rFonts w:hint="cs"/>
          <w:rtl/>
          <w:lang w:bidi="ar-JO"/>
        </w:rPr>
        <w:t xml:space="preserve">، </w:t>
      </w:r>
      <w:r w:rsidRPr="005675B2">
        <w:rPr>
          <w:rFonts w:hint="cs"/>
          <w:rtl/>
          <w:lang w:bidi="ar-JO"/>
        </w:rPr>
        <w:t>وذَكَر قول الشيخ أبي محمد عبد الله بن أبي زيد في جوابه لمن لامه في حب الأشعري</w:t>
      </w:r>
      <w:r w:rsidR="000636C2">
        <w:rPr>
          <w:rFonts w:hint="cs"/>
          <w:rtl/>
          <w:lang w:bidi="ar-JO"/>
        </w:rPr>
        <w:t>:</w:t>
      </w:r>
      <w:r w:rsidRPr="005675B2">
        <w:rPr>
          <w:rFonts w:hint="cs"/>
          <w:rtl/>
          <w:lang w:bidi="ar-JO"/>
        </w:rPr>
        <w:t xml:space="preserve"> ما الأشعري إلا رجل مشهور بالرد على أهل البدع، وعلى القدرية والجهمية، متمسك بالسنن وأطال المايرقي وغيره من المالكية في تقريظ الشيخ أبي الحسن</w:t>
      </w:r>
      <w:r w:rsidR="000636C2">
        <w:rPr>
          <w:rFonts w:hint="cs"/>
          <w:rtl/>
          <w:lang w:bidi="ar-JO"/>
        </w:rPr>
        <w:t>،</w:t>
      </w:r>
      <w:r w:rsidRPr="005675B2">
        <w:rPr>
          <w:rFonts w:hint="cs"/>
          <w:rtl/>
          <w:lang w:bidi="ar-JO"/>
        </w:rPr>
        <w:t xml:space="preserve"> [</w:t>
      </w:r>
      <w:r w:rsidRPr="005675B2">
        <w:rPr>
          <w:rFonts w:hint="cs"/>
          <w:sz w:val="24"/>
          <w:szCs w:val="24"/>
          <w:rtl/>
          <w:lang w:bidi="ar-JO"/>
        </w:rPr>
        <w:t>طبقات الشافعية الكبرى 3/367</w:t>
      </w:r>
      <w:r w:rsidRPr="005675B2">
        <w:rPr>
          <w:rFonts w:hint="cs"/>
          <w:rtl/>
          <w:lang w:bidi="ar-JO"/>
        </w:rPr>
        <w:t xml:space="preserve">] </w:t>
      </w:r>
      <w:r w:rsidRPr="005675B2">
        <w:rPr>
          <w:rFonts w:hint="cs"/>
          <w:spacing w:val="-8"/>
          <w:rtl/>
          <w:lang w:bidi="ar-JO"/>
        </w:rPr>
        <w:t>وقال الإمام الحافظ البيهقي في جملة ما كتبه إلى عميد الملك</w:t>
      </w:r>
      <w:r w:rsidR="000636C2">
        <w:rPr>
          <w:rFonts w:hint="cs"/>
          <w:spacing w:val="-8"/>
          <w:rtl/>
          <w:lang w:bidi="ar-JO"/>
        </w:rPr>
        <w:t>:</w:t>
      </w:r>
      <w:r w:rsidRPr="005675B2">
        <w:rPr>
          <w:rFonts w:hint="cs"/>
          <w:spacing w:val="-8"/>
          <w:rtl/>
          <w:lang w:bidi="ar-JO"/>
        </w:rPr>
        <w:t xml:space="preserve"> إلى أن بلغت النوبة إلى شيخنا أبي الحسن الأشعري</w:t>
      </w:r>
      <w:r w:rsidR="000636C2">
        <w:rPr>
          <w:rFonts w:hint="cs"/>
          <w:spacing w:val="-8"/>
          <w:rtl/>
          <w:lang w:bidi="ar-JO"/>
        </w:rPr>
        <w:t xml:space="preserve"> </w:t>
      </w:r>
      <w:r w:rsidRPr="005675B2">
        <w:rPr>
          <w:rFonts w:hint="cs"/>
          <w:spacing w:val="-8"/>
          <w:rtl/>
          <w:lang w:bidi="ar-JO"/>
        </w:rPr>
        <w:t>- رحمه الله - فلم يحدث في دين الله حدثاً</w:t>
      </w:r>
      <w:r w:rsidR="000636C2">
        <w:rPr>
          <w:rFonts w:hint="cs"/>
          <w:spacing w:val="-8"/>
          <w:rtl/>
          <w:lang w:bidi="ar-JO"/>
        </w:rPr>
        <w:t>،</w:t>
      </w:r>
      <w:r w:rsidRPr="005675B2">
        <w:rPr>
          <w:rFonts w:hint="cs"/>
          <w:spacing w:val="-8"/>
          <w:rtl/>
          <w:lang w:bidi="ar-JO"/>
        </w:rPr>
        <w:t xml:space="preserve"> ولم يأت فيه ببدعةٍ</w:t>
      </w:r>
      <w:r w:rsidR="000636C2">
        <w:rPr>
          <w:rFonts w:hint="cs"/>
          <w:spacing w:val="-8"/>
          <w:rtl/>
          <w:lang w:bidi="ar-JO"/>
        </w:rPr>
        <w:t>،</w:t>
      </w:r>
      <w:r w:rsidRPr="005675B2">
        <w:rPr>
          <w:rFonts w:hint="cs"/>
          <w:spacing w:val="-8"/>
          <w:rtl/>
          <w:lang w:bidi="ar-JO"/>
        </w:rPr>
        <w:t xml:space="preserve"> بل أخذ أقاويل الصحابة والتابعين ومن بعدهم من الأئمة في أصول الدين، فنصرها بزيادة شرحٍ وتبيين</w:t>
      </w:r>
      <w:r w:rsidR="000636C2">
        <w:rPr>
          <w:rFonts w:hint="cs"/>
          <w:spacing w:val="-8"/>
          <w:rtl/>
          <w:lang w:bidi="ar-JO"/>
        </w:rPr>
        <w:t>،</w:t>
      </w:r>
      <w:r w:rsidRPr="005675B2">
        <w:rPr>
          <w:rFonts w:hint="cs"/>
          <w:spacing w:val="-8"/>
          <w:rtl/>
          <w:lang w:bidi="ar-JO"/>
        </w:rPr>
        <w:t xml:space="preserve"> وأن ما قالوا في الأصول وجاء به الشرع صحيحٌ في العقول، خلاف ما زعم أهل الأهواء من أنَّ بعضه لا يستقيم في الآراء</w:t>
      </w:r>
      <w:r w:rsidR="000636C2">
        <w:rPr>
          <w:rFonts w:hint="cs"/>
          <w:spacing w:val="-8"/>
          <w:rtl/>
          <w:lang w:bidi="ar-JO"/>
        </w:rPr>
        <w:t>،</w:t>
      </w:r>
      <w:r w:rsidRPr="005675B2">
        <w:rPr>
          <w:rFonts w:hint="cs"/>
          <w:spacing w:val="-8"/>
          <w:rtl/>
          <w:lang w:bidi="ar-JO"/>
        </w:rPr>
        <w:t xml:space="preserve"> فكان في بيانه .. نصرةُ أقاويل من مضى من الأئمة كأبي حنيفةَ وسفيان الثوري من أهل الكوفة والأوزاعيِّ وغيره من أهل الشام ومن نحا نحوهما من أهل الحجاز وغيرها من سائر البلاد، ومالكٍ والشافعي من أهل الحرمين، وكأحمدَ بن حنبل وغيرِه من أهل الحديث، والليثِ بن سعدٍ وغيره وأبي عبد الله بن إسماعيل البخاري وأبي الحسين مسلم بن الحجاج النيسابوري إمامي أهل الأثر وحفاظ السنن التى عليها مدار الشرع رضي الله تعالى عنهم أجمعين هذا قطعةٌ من رسالة البيهقي نقلها الحافظ ابن عساكر في </w:t>
      </w:r>
      <w:r w:rsidR="000636C2">
        <w:rPr>
          <w:rFonts w:hint="cs"/>
          <w:spacing w:val="-8"/>
          <w:rtl/>
          <w:lang w:bidi="ar-JO"/>
        </w:rPr>
        <w:t>(</w:t>
      </w:r>
      <w:r w:rsidRPr="005675B2">
        <w:rPr>
          <w:rFonts w:hint="cs"/>
          <w:spacing w:val="-8"/>
          <w:rtl/>
          <w:lang w:bidi="ar-JO"/>
        </w:rPr>
        <w:t>تبيين كذب المفتري</w:t>
      </w:r>
      <w:r w:rsidR="000636C2">
        <w:rPr>
          <w:rFonts w:hint="cs"/>
          <w:spacing w:val="-8"/>
          <w:rtl/>
          <w:lang w:bidi="ar-JO"/>
        </w:rPr>
        <w:t>)</w:t>
      </w:r>
      <w:r w:rsidRPr="005675B2">
        <w:rPr>
          <w:rFonts w:hint="cs"/>
          <w:spacing w:val="-8"/>
          <w:rtl/>
          <w:lang w:bidi="ar-JO"/>
        </w:rPr>
        <w:t xml:space="preserve"> [</w:t>
      </w:r>
      <w:r w:rsidRPr="005675B2">
        <w:rPr>
          <w:rFonts w:hint="cs"/>
          <w:sz w:val="24"/>
          <w:szCs w:val="24"/>
          <w:rtl/>
        </w:rPr>
        <w:t>ص103</w:t>
      </w:r>
      <w:r w:rsidRPr="005675B2">
        <w:rPr>
          <w:rFonts w:hint="cs"/>
          <w:spacing w:val="-8"/>
          <w:rtl/>
          <w:lang w:bidi="ar-JO"/>
        </w:rPr>
        <w:t>]،</w:t>
      </w:r>
    </w:p>
    <w:p w14:paraId="0C4EDA13" w14:textId="1ADAE0D7" w:rsidR="009C32A0" w:rsidRPr="005675B2" w:rsidRDefault="009C32A0" w:rsidP="000636C2">
      <w:pPr>
        <w:rPr>
          <w:b/>
          <w:rtl/>
        </w:rPr>
      </w:pPr>
      <w:r w:rsidRPr="005675B2">
        <w:rPr>
          <w:rFonts w:hint="cs"/>
          <w:rtl/>
        </w:rPr>
        <w:t>6 - ربط الدكتور بين مذهب الأشاعرة والإستشراق</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وقد ظهرت في الآونة الأخيرة محاولات ضخمة متواصلة لترميمه </w:t>
      </w:r>
      <w:r w:rsidR="000636C2">
        <w:rPr>
          <w:rFonts w:hint="cs"/>
          <w:rtl/>
        </w:rPr>
        <w:t>(</w:t>
      </w:r>
      <w:r w:rsidRPr="005675B2">
        <w:rPr>
          <w:rFonts w:hint="cs"/>
          <w:rtl/>
        </w:rPr>
        <w:t>أي لترميم مذهب الأشاعرة</w:t>
      </w:r>
      <w:r w:rsidR="000636C2">
        <w:rPr>
          <w:rFonts w:hint="cs"/>
          <w:rtl/>
        </w:rPr>
        <w:t>)</w:t>
      </w:r>
      <w:r w:rsidRPr="005675B2">
        <w:rPr>
          <w:rFonts w:hint="cs"/>
          <w:rtl/>
        </w:rPr>
        <w:t xml:space="preserve"> وتحديثه يشرف عليها هيئات رسمية كبرى، ويغذيها المستشرقون بما ينبشونه من تراثه ويخرجون من مخطوطاته "</w:t>
      </w:r>
      <w:r w:rsidR="000636C2">
        <w:rPr>
          <w:rFonts w:hint="cs"/>
          <w:rtl/>
        </w:rPr>
        <w:t xml:space="preserve">، </w:t>
      </w:r>
      <w:r w:rsidRPr="005675B2">
        <w:rPr>
          <w:rFonts w:hint="cs"/>
          <w:rtl/>
        </w:rPr>
        <w:t>أقول</w:t>
      </w:r>
      <w:r w:rsidR="000636C2">
        <w:rPr>
          <w:rFonts w:hint="cs"/>
          <w:rtl/>
        </w:rPr>
        <w:t>:</w:t>
      </w:r>
      <w:r w:rsidRPr="005675B2">
        <w:rPr>
          <w:rFonts w:hint="cs"/>
          <w:rtl/>
        </w:rPr>
        <w:t xml:space="preserve"> مذهب الأشاعرة لم يقع فيه تصدع وتشقق حتى يحتاج إلى الترميم والتحديث وليت شعري من الذي حاول ترميمه وتحديثه فهلا ذكرهم الدكتور</w:t>
      </w:r>
      <w:r w:rsidR="000636C2">
        <w:rPr>
          <w:rFonts w:hint="cs"/>
          <w:rtl/>
        </w:rPr>
        <w:t>!</w:t>
      </w:r>
      <w:r w:rsidRPr="005675B2">
        <w:rPr>
          <w:rFonts w:hint="cs"/>
          <w:rtl/>
        </w:rPr>
        <w:t>!</w:t>
      </w:r>
      <w:r w:rsidR="000636C2">
        <w:rPr>
          <w:rFonts w:hint="cs"/>
          <w:rtl/>
        </w:rPr>
        <w:t xml:space="preserve">؟ </w:t>
      </w:r>
      <w:r w:rsidRPr="005675B2">
        <w:rPr>
          <w:rFonts w:hint="cs"/>
          <w:rtl/>
        </w:rPr>
        <w:t>واما الربط بين نشر كتب الأشاعرة والإستشراق فمن تهويشات الدكتور، فإن المستشرقين يعتنون بفروع المعرفة كافة، وقد أسهموا في نشر كثير من كتب التراث الإسلامي ومنها بعض كتب الأشاعرة ككتاب "نهاية الاقدام في علم الكلام" لعبد الكريم الشهرستاني، ولا أعلم له ثانيا</w:t>
      </w:r>
      <w:r w:rsidR="000636C2">
        <w:rPr>
          <w:rFonts w:hint="cs"/>
          <w:rtl/>
        </w:rPr>
        <w:t>،</w:t>
      </w:r>
      <w:r w:rsidRPr="005675B2">
        <w:rPr>
          <w:rFonts w:hint="cs"/>
          <w:rtl/>
        </w:rPr>
        <w:t xml:space="preserve"> نعم قد نشر المستشرق كلود سلامة كتاب "تبصرة الأدلة" في أصول الدين لأبي المعين النسفي، وهو على مذهب الماتريدية، كما طبعوا كتاب "الرد على الجهمية" للدارمي، وهو من كتب العقيدة على مذهب الدكتور</w:t>
      </w:r>
      <w:r w:rsidR="000636C2">
        <w:rPr>
          <w:rFonts w:hint="cs"/>
          <w:rtl/>
        </w:rPr>
        <w:t xml:space="preserve">، </w:t>
      </w:r>
      <w:r w:rsidRPr="005675B2">
        <w:rPr>
          <w:rFonts w:hint="cs"/>
          <w:rtl/>
        </w:rPr>
        <w:t>وأما دعوى تركيز المستشرقين على نشر كتب الأشاعرة فغير صحيحة، ولو فرض تركيزهم على نشرها فهذا لا ينقص من قدرها ولا يكون سبة عليها</w:t>
      </w:r>
      <w:r w:rsidR="000636C2">
        <w:rPr>
          <w:rFonts w:hint="cs"/>
          <w:rtl/>
        </w:rPr>
        <w:t>،</w:t>
      </w:r>
    </w:p>
    <w:p w14:paraId="4810B1A4" w14:textId="29CF364F" w:rsidR="009C32A0" w:rsidRPr="005675B2" w:rsidRDefault="009C32A0" w:rsidP="000636C2">
      <w:pPr>
        <w:rPr>
          <w:b/>
          <w:rtl/>
        </w:rPr>
      </w:pPr>
      <w:r w:rsidRPr="005675B2">
        <w:rPr>
          <w:rFonts w:hint="cs"/>
          <w:rtl/>
        </w:rPr>
        <w:t>7 - لم يكفر الأشاعرة إلا من أنكر أمرا مجمعا عليه معلوما من الدين بالضرورة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فالأشاعرة هم الذين كفروا وما يزالون يكفرون أتباع السلف بل كفروا كلَّ من قال إن الله تعالى موصوفٌ بالعلو - كما سيأتي هنا - وحسبك تكفيرهم واضطهادهم لشيخ الإسلام وهو ما لم يفعله أهل السنة بعالم أشعري قط}</w:t>
      </w:r>
      <w:r w:rsidR="000636C2">
        <w:rPr>
          <w:rFonts w:hint="cs"/>
          <w:rtl/>
        </w:rPr>
        <w:t>،</w:t>
      </w:r>
      <w:r w:rsidRPr="005675B2">
        <w:rPr>
          <w:rFonts w:hint="cs"/>
          <w:rtl/>
        </w:rPr>
        <w:t xml:space="preserve"> أقول</w:t>
      </w:r>
      <w:r w:rsidR="000636C2">
        <w:rPr>
          <w:rFonts w:hint="cs"/>
          <w:rtl/>
        </w:rPr>
        <w:t>:</w:t>
      </w:r>
      <w:r w:rsidRPr="005675B2">
        <w:rPr>
          <w:rFonts w:hint="cs"/>
          <w:rtl/>
        </w:rPr>
        <w:t xml:space="preserve"> لم يكفرْ أحدٌ من الأشاعرة أهل الحديث الذين عناهم المؤلف باتباع السلف بل عدُّوهم من جملة أهل السنة</w:t>
      </w:r>
      <w:r w:rsidR="000636C2">
        <w:rPr>
          <w:rFonts w:hint="cs"/>
          <w:rtl/>
        </w:rPr>
        <w:t xml:space="preserve">، </w:t>
      </w:r>
      <w:r w:rsidRPr="005675B2">
        <w:rPr>
          <w:rFonts w:hint="cs"/>
          <w:rtl/>
        </w:rPr>
        <w:t>وأما تكفير كل من قال</w:t>
      </w:r>
      <w:r w:rsidR="000636C2">
        <w:rPr>
          <w:rFonts w:hint="cs"/>
          <w:rtl/>
        </w:rPr>
        <w:t>:</w:t>
      </w:r>
      <w:r w:rsidRPr="005675B2">
        <w:rPr>
          <w:rFonts w:hint="cs"/>
          <w:rtl/>
        </w:rPr>
        <w:t xml:space="preserve"> إن الله تعالى موصوف بالعلو</w:t>
      </w:r>
      <w:r w:rsidR="000636C2">
        <w:rPr>
          <w:rFonts w:hint="cs"/>
          <w:rtl/>
        </w:rPr>
        <w:t>،</w:t>
      </w:r>
      <w:r w:rsidRPr="005675B2">
        <w:rPr>
          <w:rFonts w:hint="cs"/>
          <w:rtl/>
        </w:rPr>
        <w:t xml:space="preserve"> فلم يقل به أحد منهم، كيف وهم لا يذكرون الله إلا ويعقبونه بقولهم</w:t>
      </w:r>
      <w:r w:rsidR="000636C2">
        <w:rPr>
          <w:rFonts w:hint="cs"/>
          <w:rtl/>
        </w:rPr>
        <w:t>:</w:t>
      </w:r>
      <w:r w:rsidRPr="005675B2">
        <w:rPr>
          <w:rFonts w:hint="cs"/>
          <w:rtl/>
        </w:rPr>
        <w:t xml:space="preserve"> </w:t>
      </w:r>
      <w:r w:rsidR="000636C2">
        <w:rPr>
          <w:rFonts w:hint="cs"/>
          <w:rtl/>
        </w:rPr>
        <w:t>(</w:t>
      </w:r>
      <w:r w:rsidRPr="005675B2">
        <w:rPr>
          <w:rFonts w:hint="cs"/>
          <w:rtl/>
        </w:rPr>
        <w:t>تعالى</w:t>
      </w:r>
      <w:r w:rsidR="000636C2">
        <w:rPr>
          <w:rFonts w:hint="cs"/>
          <w:rtl/>
        </w:rPr>
        <w:t>)</w:t>
      </w:r>
      <w:r w:rsidRPr="005675B2">
        <w:rPr>
          <w:rFonts w:hint="cs"/>
          <w:rtl/>
        </w:rPr>
        <w:t>، وقد وصف الله تعالى نفسه في كتابه بأنه العلي</w:t>
      </w:r>
      <w:r w:rsidR="000636C2">
        <w:rPr>
          <w:rFonts w:hint="cs"/>
          <w:rtl/>
        </w:rPr>
        <w:t>!؟</w:t>
      </w:r>
      <w:r w:rsidRPr="005675B2">
        <w:rPr>
          <w:rFonts w:hint="cs"/>
          <w:rtl/>
        </w:rPr>
        <w:t xml:space="preserve"> نعم يكفر الأشاعرة المجسمة إذا قالوا</w:t>
      </w:r>
      <w:r w:rsidR="000636C2">
        <w:rPr>
          <w:rFonts w:hint="cs"/>
          <w:rtl/>
        </w:rPr>
        <w:t>:</w:t>
      </w:r>
      <w:r w:rsidRPr="005675B2">
        <w:rPr>
          <w:rFonts w:hint="cs"/>
          <w:rtl/>
        </w:rPr>
        <w:t xml:space="preserve"> جسم كالأجسام وقد كفر بعضهم الجهوية أيضا، وأين وصف العلو من الجهة والتجسيم</w:t>
      </w:r>
      <w:r w:rsidR="000636C2">
        <w:rPr>
          <w:rFonts w:hint="cs"/>
          <w:rtl/>
        </w:rPr>
        <w:t>!،</w:t>
      </w:r>
      <w:r w:rsidRPr="005675B2">
        <w:rPr>
          <w:rFonts w:hint="cs"/>
          <w:rtl/>
        </w:rPr>
        <w:t xml:space="preserve"> وأما التكفير من بعض المسلمين لبعضهم الآخر فقد صدر من بعض المنسوبين لبعض المذاهب لبعض مخالفيهم عن طريق الاجتهاد المشوب بشيءٍ من التعصب والهوى مع مخالفة ذلك لأصول مذاهبهم من عدم تكفير أهل القبلة، فالمشكلة مشكلة بعض الأفراد، وليست مشكلة المذاهب</w:t>
      </w:r>
      <w:r w:rsidR="000636C2">
        <w:rPr>
          <w:rFonts w:hint="cs"/>
          <w:rtl/>
        </w:rPr>
        <w:t>:</w:t>
      </w:r>
      <w:r w:rsidRPr="005675B2">
        <w:rPr>
          <w:rFonts w:hint="cs"/>
          <w:rtl/>
        </w:rPr>
        <w:t xml:space="preserve"> فلا يجوز نسبة هذه المشكلة إلى المذاهب والفرق الإسلامية عامة</w:t>
      </w:r>
      <w:r w:rsidR="000636C2">
        <w:rPr>
          <w:rFonts w:hint="cs"/>
          <w:rtl/>
        </w:rPr>
        <w:t>،</w:t>
      </w:r>
      <w:r w:rsidRPr="005675B2">
        <w:rPr>
          <w:rFonts w:hint="cs"/>
          <w:rtl/>
        </w:rPr>
        <w:t xml:space="preserve"> ومن هذا القبيل تكفير تقي الدين الحصني وعلاء الدين البخاري لابن تيمية</w:t>
      </w:r>
      <w:r w:rsidR="000636C2">
        <w:rPr>
          <w:rFonts w:hint="cs"/>
          <w:rtl/>
        </w:rPr>
        <w:t>،</w:t>
      </w:r>
      <w:r w:rsidRPr="005675B2">
        <w:rPr>
          <w:rFonts w:hint="cs"/>
          <w:rtl/>
        </w:rPr>
        <w:t xml:space="preserve"> وأما معظم الأشاعرة فمع مخالفتهم له في كثير من المسائل معترفون بفضله وجلالة قدره في العلم والعمل</w:t>
      </w:r>
      <w:r w:rsidR="000636C2">
        <w:rPr>
          <w:rFonts w:hint="cs"/>
          <w:rtl/>
        </w:rPr>
        <w:t>،</w:t>
      </w:r>
      <w:r w:rsidRPr="005675B2">
        <w:rPr>
          <w:rFonts w:hint="cs"/>
          <w:rtl/>
        </w:rPr>
        <w:t xml:space="preserve"> ولعل هذا لا يخفى على الدكتور سفر</w:t>
      </w:r>
      <w:r w:rsidR="000636C2">
        <w:rPr>
          <w:rFonts w:hint="cs"/>
          <w:rtl/>
        </w:rPr>
        <w:t xml:space="preserve">، </w:t>
      </w:r>
      <w:r w:rsidRPr="005675B2">
        <w:rPr>
          <w:rFonts w:hint="cs"/>
          <w:rtl/>
        </w:rPr>
        <w:t>والمقرَّرُ عند الأشعرية أنه لا يكفُرُ إلا من أنكر أمراً مجمعاً عليه معلوماً كونُهُ من الدين بالضرورة</w:t>
      </w:r>
      <w:r w:rsidR="000636C2">
        <w:rPr>
          <w:rFonts w:hint="cs"/>
          <w:rtl/>
        </w:rPr>
        <w:t xml:space="preserve">، </w:t>
      </w:r>
      <w:r w:rsidRPr="005675B2">
        <w:rPr>
          <w:rFonts w:hint="cs"/>
          <w:rtl/>
        </w:rPr>
        <w:t>وأما الإضطهاد لابن تيمية فإن أراد الدكتور به الضرب والجلد فغير صحيح فإن أحدا من علماء الأشاعرة لم يفعل به هذا</w:t>
      </w:r>
      <w:r w:rsidR="000636C2">
        <w:rPr>
          <w:rFonts w:hint="cs"/>
          <w:rtl/>
        </w:rPr>
        <w:t>،</w:t>
      </w:r>
      <w:r w:rsidRPr="005675B2">
        <w:rPr>
          <w:rFonts w:hint="cs"/>
          <w:rtl/>
        </w:rPr>
        <w:t xml:space="preserve"> وإن أراد به الحكم بحبسه فصحيح، فقد حكم عليه المناظرون له في المسائل التى خالف فيها جمهور الأئمة بالزجر وطول السجن والمنع من الفتوى</w:t>
      </w:r>
      <w:r w:rsidR="000636C2">
        <w:rPr>
          <w:rFonts w:hint="cs"/>
          <w:rtl/>
        </w:rPr>
        <w:t xml:space="preserve">، </w:t>
      </w:r>
      <w:r w:rsidRPr="005675B2">
        <w:rPr>
          <w:rFonts w:hint="cs"/>
          <w:rtl/>
        </w:rPr>
        <w:t>وأما حكم الدكتور بأن من سماهم أهل السنة لم يفعلوا بعالم اشعري مثل هذا فغير صحيح، فقد سجل التاريخ ما فعلوه بالإمام ابن جرير الطبري، حبسوه في منزله ومنعوا الناس من الدخول عليه حتى توفي فيه</w:t>
      </w:r>
      <w:r w:rsidR="000636C2">
        <w:rPr>
          <w:rFonts w:hint="cs"/>
          <w:rtl/>
        </w:rPr>
        <w:t>،</w:t>
      </w:r>
      <w:r w:rsidRPr="005675B2">
        <w:rPr>
          <w:rFonts w:hint="cs"/>
          <w:rtl/>
        </w:rPr>
        <w:t xml:space="preserve"> قال الذهبي</w:t>
      </w:r>
      <w:r w:rsidR="000636C2">
        <w:rPr>
          <w:rFonts w:hint="cs"/>
          <w:rtl/>
        </w:rPr>
        <w:t>:</w:t>
      </w:r>
      <w:r w:rsidRPr="005675B2">
        <w:rPr>
          <w:rFonts w:hint="cs"/>
          <w:rtl/>
        </w:rPr>
        <w:t xml:space="preserve"> قال حـسينك بن على النيسابوري</w:t>
      </w:r>
      <w:r w:rsidR="000636C2">
        <w:rPr>
          <w:rFonts w:hint="cs"/>
          <w:rtl/>
        </w:rPr>
        <w:t>:</w:t>
      </w:r>
      <w:r w:rsidRPr="005675B2">
        <w:rPr>
          <w:rFonts w:hint="cs"/>
          <w:rtl/>
        </w:rPr>
        <w:t xml:space="preserve"> أول ما سألني ابن خزيمة قال</w:t>
      </w:r>
      <w:r w:rsidR="000636C2">
        <w:rPr>
          <w:rFonts w:hint="cs"/>
          <w:rtl/>
        </w:rPr>
        <w:t>:</w:t>
      </w:r>
      <w:r w:rsidRPr="005675B2">
        <w:rPr>
          <w:rFonts w:hint="cs"/>
          <w:rtl/>
        </w:rPr>
        <w:t xml:space="preserve"> كتبت عن محمد بن جرير</w:t>
      </w:r>
      <w:r w:rsidR="000636C2">
        <w:rPr>
          <w:rFonts w:hint="cs"/>
          <w:rtl/>
        </w:rPr>
        <w:t>؟</w:t>
      </w:r>
      <w:r w:rsidRPr="005675B2">
        <w:rPr>
          <w:rFonts w:hint="cs"/>
          <w:rtl/>
        </w:rPr>
        <w:t xml:space="preserve"> قلت</w:t>
      </w:r>
      <w:r w:rsidR="000636C2">
        <w:rPr>
          <w:rFonts w:hint="cs"/>
          <w:rtl/>
        </w:rPr>
        <w:t>:</w:t>
      </w:r>
      <w:r w:rsidRPr="005675B2">
        <w:rPr>
          <w:rFonts w:hint="cs"/>
          <w:rtl/>
        </w:rPr>
        <w:t xml:space="preserve"> لا، قال</w:t>
      </w:r>
      <w:r w:rsidR="000636C2">
        <w:rPr>
          <w:rFonts w:hint="cs"/>
          <w:rtl/>
        </w:rPr>
        <w:t>:</w:t>
      </w:r>
      <w:r w:rsidRPr="005675B2">
        <w:rPr>
          <w:rFonts w:hint="cs"/>
          <w:rtl/>
        </w:rPr>
        <w:t xml:space="preserve"> ولم</w:t>
      </w:r>
      <w:r w:rsidR="000636C2">
        <w:rPr>
          <w:rFonts w:hint="cs"/>
          <w:rtl/>
        </w:rPr>
        <w:t>؟</w:t>
      </w:r>
      <w:r w:rsidRPr="005675B2">
        <w:rPr>
          <w:rFonts w:hint="cs"/>
          <w:rtl/>
        </w:rPr>
        <w:t xml:space="preserve"> قلت</w:t>
      </w:r>
      <w:r w:rsidR="000636C2">
        <w:rPr>
          <w:rFonts w:hint="cs"/>
          <w:rtl/>
        </w:rPr>
        <w:t>:</w:t>
      </w:r>
      <w:r w:rsidRPr="005675B2">
        <w:rPr>
          <w:rFonts w:hint="cs"/>
          <w:rtl/>
        </w:rPr>
        <w:t xml:space="preserve"> لأنه كان لا يظهر، وكانت الحنابلة تمنع من الدخول عليه، فقال</w:t>
      </w:r>
      <w:r w:rsidR="000636C2">
        <w:rPr>
          <w:rFonts w:hint="cs"/>
          <w:rtl/>
        </w:rPr>
        <w:t>:</w:t>
      </w:r>
      <w:r w:rsidRPr="005675B2">
        <w:rPr>
          <w:rFonts w:hint="cs"/>
          <w:rtl/>
        </w:rPr>
        <w:t xml:space="preserve"> بئس ما فَعَلََتْ، ليتك لم تكتب عن كل من كتبت عنهم، وسمعت منه، ومثله في "تاريخ بغداد" </w:t>
      </w:r>
      <w:r w:rsidR="000636C2">
        <w:rPr>
          <w:rFonts w:hint="cs"/>
          <w:rtl/>
        </w:rPr>
        <w:t>[</w:t>
      </w:r>
      <w:r w:rsidRPr="005675B2">
        <w:rPr>
          <w:rFonts w:hint="cs"/>
          <w:sz w:val="24"/>
          <w:szCs w:val="24"/>
          <w:rtl/>
        </w:rPr>
        <w:t>تاريخ الإسلام في حوادث سنة 310 تاريخ بغداد 2/162]</w:t>
      </w:r>
      <w:r w:rsidR="000636C2">
        <w:rPr>
          <w:rFonts w:hint="cs"/>
          <w:rtl/>
        </w:rPr>
        <w:t>،</w:t>
      </w:r>
      <w:r w:rsidRPr="005675B2">
        <w:rPr>
          <w:rFonts w:hint="cs"/>
          <w:rtl/>
        </w:rPr>
        <w:t xml:space="preserve"> وابن جريرالطبري وان لم يكن أشعريا بمعنى المتابعة للأشعري لانه معاصرله توفي قبله سنة 310 وتوفي الاشعري سنة 324، لكنه أشعري بمعنى الموافقة للأشعري في العقيدة</w:t>
      </w:r>
      <w:r w:rsidR="000636C2">
        <w:rPr>
          <w:rFonts w:hint="cs"/>
          <w:rtl/>
        </w:rPr>
        <w:t xml:space="preserve">، </w:t>
      </w:r>
      <w:r w:rsidRPr="005675B2">
        <w:rPr>
          <w:rFonts w:hint="cs"/>
          <w:rtl/>
        </w:rPr>
        <w:t>وقد كانوا يؤذون الأشاعرة ويوقعون بهم كلما صارت لهم شوكة</w:t>
      </w:r>
      <w:r w:rsidR="000636C2">
        <w:rPr>
          <w:rFonts w:hint="cs"/>
          <w:rtl/>
        </w:rPr>
        <w:t>،</w:t>
      </w:r>
      <w:r w:rsidRPr="005675B2">
        <w:rPr>
          <w:rFonts w:hint="cs"/>
          <w:rtl/>
        </w:rPr>
        <w:t xml:space="preserve"> ومنه ما حكاه ابن أبي يعلى في طبقات الحنابلة في ترجمة أبي جعفر عبد الخالق بن عيسى قال</w:t>
      </w:r>
      <w:r w:rsidR="000636C2">
        <w:rPr>
          <w:rFonts w:hint="cs"/>
          <w:rtl/>
        </w:rPr>
        <w:t>:</w:t>
      </w:r>
      <w:r w:rsidRPr="005675B2">
        <w:rPr>
          <w:rFonts w:hint="cs"/>
          <w:rtl/>
        </w:rPr>
        <w:t xml:space="preserve"> فوصل إلى مدينة السلام بالجانب الشرقي ولد القشيري، وأظهر على الكرسي مقالة الأشعري، ولم تكن ظهرت قبل ذلك على رؤس الأشهاد لما كان يلحقهم من أيدي أصحابنا وقمعهم .. فاشتد أزر أهل السنة وقويت شوكتهم، وأوقعوا بأهل هذه البدعة دفعات، وكانت الغلبة لطائفتنا طائفة الحق</w:t>
      </w:r>
      <w:r w:rsidR="000636C2">
        <w:rPr>
          <w:rFonts w:hint="cs"/>
          <w:rtl/>
        </w:rPr>
        <w:t>،</w:t>
      </w:r>
      <w:r w:rsidRPr="005675B2">
        <w:rPr>
          <w:rFonts w:hint="cs"/>
          <w:rtl/>
        </w:rPr>
        <w:t xml:space="preserve"> انتهى</w:t>
      </w:r>
      <w:r w:rsidR="000636C2">
        <w:rPr>
          <w:rFonts w:hint="cs"/>
          <w:spacing w:val="-8"/>
          <w:rtl/>
        </w:rPr>
        <w:t>،</w:t>
      </w:r>
      <w:r w:rsidRPr="005675B2">
        <w:rPr>
          <w:rFonts w:hint="cs"/>
          <w:spacing w:val="-8"/>
          <w:rtl/>
        </w:rPr>
        <w:t xml:space="preserve"> </w:t>
      </w:r>
      <w:r w:rsidR="000636C2">
        <w:rPr>
          <w:rFonts w:hint="cs"/>
          <w:spacing w:val="-8"/>
          <w:rtl/>
        </w:rPr>
        <w:t>[</w:t>
      </w:r>
      <w:r w:rsidRPr="005675B2">
        <w:rPr>
          <w:rFonts w:hint="cs"/>
          <w:sz w:val="24"/>
          <w:szCs w:val="24"/>
          <w:rtl/>
        </w:rPr>
        <w:t>طبقات الحنابلة 2/239</w:t>
      </w:r>
      <w:r w:rsidRPr="005675B2">
        <w:rPr>
          <w:rFonts w:hint="cs"/>
          <w:spacing w:val="-8"/>
          <w:rtl/>
        </w:rPr>
        <w:t>]</w:t>
      </w:r>
      <w:r w:rsidR="000636C2">
        <w:rPr>
          <w:rFonts w:hint="cs"/>
          <w:spacing w:val="-8"/>
          <w:rtl/>
        </w:rPr>
        <w:t xml:space="preserve"> </w:t>
      </w:r>
      <w:r w:rsidRPr="005675B2">
        <w:rPr>
          <w:rFonts w:hint="cs"/>
          <w:rtl/>
        </w:rPr>
        <w:t>يقصد ابن أبي يعلى بأهل السنة من سماهم الدكتور بأهل السنة، ويقصد بأهل البدعة الأشاعرة</w:t>
      </w:r>
      <w:r w:rsidR="000636C2">
        <w:rPr>
          <w:rFonts w:hint="cs"/>
          <w:rtl/>
        </w:rPr>
        <w:t xml:space="preserve">، </w:t>
      </w:r>
      <w:r w:rsidRPr="005675B2">
        <w:rPr>
          <w:rFonts w:hint="cs"/>
          <w:rtl/>
        </w:rPr>
        <w:t>وقد كانوا يشاغبون الأشاعرةومن على مذهبهم ويفتعلون الفتن والاضطرابات</w:t>
      </w:r>
      <w:r w:rsidR="000636C2">
        <w:rPr>
          <w:rFonts w:hint="cs"/>
          <w:rtl/>
        </w:rPr>
        <w:t>،</w:t>
      </w:r>
      <w:r w:rsidRPr="005675B2">
        <w:rPr>
          <w:rFonts w:hint="cs"/>
          <w:rtl/>
        </w:rPr>
        <w:t xml:space="preserve"> ومنه ما حكاه ابن كثير في البداية والنهاية في حوادث سنة 317 قال</w:t>
      </w:r>
      <w:r w:rsidR="000636C2">
        <w:rPr>
          <w:rFonts w:hint="cs"/>
          <w:rtl/>
        </w:rPr>
        <w:t>:</w:t>
      </w:r>
      <w:r w:rsidRPr="005675B2">
        <w:rPr>
          <w:rFonts w:hint="cs"/>
          <w:rtl/>
        </w:rPr>
        <w:t xml:space="preserve"> وفيها وقعت فتنة ببغداد بين أصحاب أبي بكر المروزي الحنبلي وبين طائفة من العامة اختلفوا في تفسير قوله تعالى</w:t>
      </w:r>
      <w:r w:rsidR="000636C2">
        <w:rPr>
          <w:rFonts w:hint="cs"/>
          <w:rtl/>
        </w:rPr>
        <w:t>:</w:t>
      </w:r>
      <w:r w:rsidRPr="005675B2">
        <w:rPr>
          <w:rFonts w:hint="cs"/>
          <w:rtl/>
        </w:rPr>
        <w:t xml:space="preserve"> </w:t>
      </w:r>
      <w:r w:rsidR="000636C2">
        <w:rPr>
          <w:rFonts w:hint="cs"/>
          <w:rtl/>
        </w:rPr>
        <w:t>(</w:t>
      </w:r>
      <w:r w:rsidRPr="005675B2">
        <w:rPr>
          <w:rFonts w:hint="cs"/>
          <w:rtl/>
        </w:rPr>
        <w:t>عسي أن يبعثك ربك مقاما محمودا</w:t>
      </w:r>
      <w:r w:rsidR="000636C2">
        <w:rPr>
          <w:rFonts w:hint="cs"/>
          <w:rtl/>
        </w:rPr>
        <w:t>)</w:t>
      </w:r>
      <w:r w:rsidRPr="005675B2">
        <w:rPr>
          <w:rFonts w:hint="cs"/>
          <w:rtl/>
        </w:rPr>
        <w:t xml:space="preserve"> فقالت الحنابلة</w:t>
      </w:r>
      <w:r w:rsidR="000636C2">
        <w:rPr>
          <w:rFonts w:hint="cs"/>
          <w:rtl/>
        </w:rPr>
        <w:t>:</w:t>
      </w:r>
      <w:r w:rsidRPr="005675B2">
        <w:rPr>
          <w:rFonts w:hint="cs"/>
          <w:rtl/>
        </w:rPr>
        <w:t xml:space="preserve"> يجلسه معه على العرش</w:t>
      </w:r>
      <w:r w:rsidR="000636C2">
        <w:rPr>
          <w:rFonts w:hint="cs"/>
          <w:rtl/>
        </w:rPr>
        <w:t>،</w:t>
      </w:r>
      <w:r w:rsidRPr="005675B2">
        <w:rPr>
          <w:rFonts w:hint="cs"/>
          <w:rtl/>
        </w:rPr>
        <w:t xml:space="preserve"> وقال الآخرون</w:t>
      </w:r>
      <w:r w:rsidR="000636C2">
        <w:rPr>
          <w:rFonts w:hint="cs"/>
          <w:rtl/>
        </w:rPr>
        <w:t>:</w:t>
      </w:r>
      <w:r w:rsidRPr="005675B2">
        <w:rPr>
          <w:rFonts w:hint="cs"/>
          <w:rtl/>
        </w:rPr>
        <w:t xml:space="preserve"> المراد بذلك الشفاعة العظمى</w:t>
      </w:r>
      <w:r w:rsidR="000636C2">
        <w:rPr>
          <w:rFonts w:hint="cs"/>
          <w:rtl/>
        </w:rPr>
        <w:t>،</w:t>
      </w:r>
      <w:r w:rsidRPr="005675B2">
        <w:rPr>
          <w:rFonts w:hint="cs"/>
          <w:rtl/>
        </w:rPr>
        <w:t xml:space="preserve"> فاقتتلوا بسبب ذلك ووقع بينهم قتلى فإنا لله وإنا إليه راجعون</w:t>
      </w:r>
      <w:r w:rsidR="000636C2">
        <w:rPr>
          <w:rFonts w:hint="cs"/>
          <w:rtl/>
        </w:rPr>
        <w:t>،</w:t>
      </w:r>
      <w:r w:rsidRPr="005675B2">
        <w:rPr>
          <w:rFonts w:hint="cs"/>
          <w:rtl/>
        </w:rPr>
        <w:t xml:space="preserve"> وقد ثبت في صحيح البخاري أن المراد بذلك مقام الشفاعة العظمى، وهي الشفاعة في فصل القضاء بين العباد</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Pr="005675B2">
        <w:rPr>
          <w:rFonts w:hint="cs"/>
          <w:sz w:val="24"/>
          <w:szCs w:val="24"/>
          <w:rtl/>
        </w:rPr>
        <w:t>البداية والنهاية 11/162</w:t>
      </w:r>
      <w:r w:rsidRPr="005675B2">
        <w:rPr>
          <w:rFonts w:hint="cs"/>
          <w:rtl/>
        </w:rPr>
        <w:t>] والمتتبع للتاريخ يجد الكثير من مشاغباتهم</w:t>
      </w:r>
      <w:r w:rsidR="000636C2">
        <w:rPr>
          <w:rFonts w:hint="cs"/>
          <w:rtl/>
        </w:rPr>
        <w:t>،</w:t>
      </w:r>
      <w:r w:rsidRPr="005675B2">
        <w:rPr>
          <w:rFonts w:hint="cs"/>
          <w:rtl/>
        </w:rPr>
        <w:t xml:space="preserve"> والدكتور يعلم هذا جيدا حيث أشار إليه في ما بعد بقوله</w:t>
      </w:r>
      <w:r w:rsidR="000636C2">
        <w:rPr>
          <w:rFonts w:hint="cs"/>
          <w:rtl/>
        </w:rPr>
        <w:t>:</w:t>
      </w:r>
      <w:r w:rsidRPr="005675B2">
        <w:rPr>
          <w:rFonts w:hint="cs"/>
          <w:rtl/>
        </w:rPr>
        <w:t xml:space="preserve"> ولم يزل الحنابلة معهم </w:t>
      </w:r>
      <w:r w:rsidR="000636C2">
        <w:rPr>
          <w:rFonts w:hint="cs"/>
          <w:rtl/>
        </w:rPr>
        <w:t>(</w:t>
      </w:r>
      <w:r w:rsidRPr="005675B2">
        <w:rPr>
          <w:rFonts w:hint="cs"/>
          <w:rtl/>
        </w:rPr>
        <w:t>أي مع الأشاعرة</w:t>
      </w:r>
      <w:r w:rsidR="000636C2">
        <w:rPr>
          <w:rFonts w:hint="cs"/>
          <w:rtl/>
        </w:rPr>
        <w:t>)</w:t>
      </w:r>
      <w:r w:rsidRPr="005675B2">
        <w:rPr>
          <w:rFonts w:hint="cs"/>
          <w:rtl/>
        </w:rPr>
        <w:t xml:space="preserve"> في معركة طويلة .. إلخ</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إن مصطلح أهل السنة يطلق ويراد به معنيان</w:t>
      </w:r>
      <w:r w:rsidR="000636C2">
        <w:rPr>
          <w:rFonts w:hint="cs"/>
          <w:rtl/>
        </w:rPr>
        <w:t>:</w:t>
      </w:r>
      <w:r w:rsidRPr="005675B2">
        <w:rPr>
          <w:rFonts w:hint="cs"/>
          <w:rtl/>
        </w:rPr>
        <w:t xml:space="preserve"> المعنى الأعم وهو ما يقابل الشيعة فيقال</w:t>
      </w:r>
      <w:r w:rsidR="000636C2">
        <w:rPr>
          <w:rFonts w:hint="cs"/>
          <w:rtl/>
        </w:rPr>
        <w:t>:</w:t>
      </w:r>
      <w:r w:rsidRPr="005675B2">
        <w:rPr>
          <w:rFonts w:hint="cs"/>
          <w:rtl/>
        </w:rPr>
        <w:t xml:space="preserve"> المنتسبون للإسلام قسمان؛ أهل السنة والشيعة، مثلما عنون شيخ الإسلام كتابه في الرد على الرافضي "منهاج السنة" وفيه بين هذين المعنيين، </w:t>
      </w:r>
      <w:r w:rsidR="000636C2">
        <w:rPr>
          <w:rFonts w:hint="cs"/>
          <w:rtl/>
        </w:rPr>
        <w:t>(</w:t>
      </w:r>
      <w:r w:rsidRPr="005675B2">
        <w:rPr>
          <w:rFonts w:hint="cs"/>
          <w:rtl/>
        </w:rPr>
        <w:t>وصرح أن ما ذهبت إليه الطوائف المبتدعة من أهل السنة بالمعنى الأخص</w:t>
      </w:r>
      <w:r w:rsidR="000636C2">
        <w:rPr>
          <w:rFonts w:hint="cs"/>
          <w:rtl/>
        </w:rPr>
        <w:t>)</w:t>
      </w:r>
      <w:r w:rsidRPr="005675B2">
        <w:rPr>
          <w:rFonts w:hint="cs"/>
          <w:rtl/>
        </w:rPr>
        <w:t xml:space="preserve"> وهذا المعنى يدخل فيه كل من سوى الشيعة كالأشاعرة .. الخ كلامه "</w:t>
      </w:r>
      <w:r w:rsidR="000636C2">
        <w:rPr>
          <w:rFonts w:hint="cs"/>
          <w:rtl/>
        </w:rPr>
        <w:t xml:space="preserve">، </w:t>
      </w:r>
      <w:r w:rsidRPr="005675B2">
        <w:rPr>
          <w:rFonts w:hint="cs"/>
          <w:rtl/>
        </w:rPr>
        <w:t>ما بين الهلالين غير مفهوم</w:t>
      </w:r>
      <w:r w:rsidR="000636C2">
        <w:rPr>
          <w:rFonts w:hint="cs"/>
          <w:rtl/>
        </w:rPr>
        <w:t>،</w:t>
      </w:r>
    </w:p>
    <w:p w14:paraId="437BB6E5" w14:textId="1131E408" w:rsidR="009C32A0" w:rsidRPr="005675B2" w:rsidRDefault="009C32A0" w:rsidP="000636C2">
      <w:pPr>
        <w:rPr>
          <w:b/>
          <w:rtl/>
        </w:rPr>
      </w:pPr>
      <w:r w:rsidRPr="005675B2">
        <w:rPr>
          <w:rFonts w:hint="cs"/>
          <w:rtl/>
        </w:rPr>
        <w:t>8 - محاولة الدكتور لإخراج الأشاعرة من أهل السنة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المعنى الأخص</w:t>
      </w:r>
      <w:r w:rsidR="000636C2">
        <w:rPr>
          <w:rFonts w:hint="cs"/>
          <w:rtl/>
        </w:rPr>
        <w:t>:</w:t>
      </w:r>
      <w:r w:rsidRPr="005675B2">
        <w:rPr>
          <w:rFonts w:hint="cs"/>
          <w:rtl/>
        </w:rPr>
        <w:t xml:space="preserve"> وهو ما يقابل المبتدعة وأهل الأهواء .. وهذا المعنى لا يدخل فيه الأشاعرة .. وقد نص الإمام أحمد على أن من خاض في شيء من علم الكلام لا يعتبر من أهل السنة وإن أصاب بكلامه السنة حتى يدع الجدل ويسلم للنصوص ..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خاض في شيء من الكلام كثير من أئمة السلف منهم الإمام الشافعيُّ، فقد كان ضليعاً فيه، وقد ناظر حفصاً الفرد وقطعه، وانظر</w:t>
      </w:r>
      <w:r w:rsidR="000636C2">
        <w:rPr>
          <w:rFonts w:hint="cs"/>
          <w:rtl/>
        </w:rPr>
        <w:t>(</w:t>
      </w:r>
      <w:r w:rsidRPr="005675B2">
        <w:rPr>
          <w:rFonts w:hint="cs"/>
          <w:rtl/>
        </w:rPr>
        <w:t>تبيين كذب المفتري</w:t>
      </w:r>
      <w:r w:rsidR="000636C2">
        <w:rPr>
          <w:rFonts w:hint="cs"/>
          <w:rtl/>
        </w:rPr>
        <w:t>)</w:t>
      </w:r>
      <w:r w:rsidRPr="005675B2">
        <w:rPr>
          <w:rFonts w:hint="cs"/>
          <w:rtl/>
        </w:rPr>
        <w:t xml:space="preserve"> ومنهم الإمام أبو حنيفة فقد جرت له مناظراتٌ مع المبتدعة</w:t>
      </w:r>
      <w:r w:rsidR="000636C2">
        <w:rPr>
          <w:rFonts w:hint="cs"/>
          <w:rtl/>
        </w:rPr>
        <w:t xml:space="preserve">، </w:t>
      </w:r>
      <w:r w:rsidRPr="005675B2">
        <w:rPr>
          <w:rFonts w:hint="cs"/>
          <w:rtl/>
        </w:rPr>
        <w:t>وأما نهيُ السلف</w:t>
      </w:r>
      <w:r w:rsidR="000636C2">
        <w:rPr>
          <w:rFonts w:hint="cs"/>
          <w:rtl/>
        </w:rPr>
        <w:t xml:space="preserve"> </w:t>
      </w:r>
      <w:r w:rsidRPr="005675B2">
        <w:rPr>
          <w:rFonts w:hint="cs"/>
          <w:rtl/>
        </w:rPr>
        <w:t>- ومنهم الشافعي - عن الكلام فمرادهم الاعتمادُ عليه في إثبات العقائد الإسلامية، والإكثارُ منه، والدخولُ فيه لغير المتأهل الذي يخاف عليه الضلال، وهناك أسباب أخرى للنهي ذكرها العلماء</w:t>
      </w:r>
      <w:r w:rsidR="000636C2">
        <w:rPr>
          <w:rFonts w:hint="cs"/>
          <w:rtl/>
        </w:rPr>
        <w:t>،</w:t>
      </w:r>
      <w:r w:rsidRPr="005675B2">
        <w:rPr>
          <w:rFonts w:hint="cs"/>
          <w:rtl/>
        </w:rPr>
        <w:t xml:space="preserve"> وقد كتبنا فيها رسالة</w:t>
      </w:r>
      <w:r w:rsidR="000636C2">
        <w:rPr>
          <w:rFonts w:hint="cs"/>
          <w:rtl/>
        </w:rPr>
        <w:t xml:space="preserve">، </w:t>
      </w:r>
      <w:r w:rsidRPr="005675B2">
        <w:rPr>
          <w:rFonts w:hint="cs"/>
          <w:rtl/>
        </w:rPr>
        <w:t>وهذا النقل الذي نقله الدكتور عن الإمام أحمد إن صح عنه، ليس حجة على غيره ممن خاض في الكلام من أئمة السنة في عصره كالحارث المحاسبي والقلانسي وابن كلاّب والحسين بن علي الكرابيسي لما رءوا من الحاجة إلى ذلك</w:t>
      </w:r>
      <w:r w:rsidR="000636C2">
        <w:rPr>
          <w:rFonts w:hint="cs"/>
          <w:rtl/>
        </w:rPr>
        <w:t>،</w:t>
      </w:r>
      <w:r w:rsidRPr="005675B2">
        <w:rPr>
          <w:rFonts w:hint="cs"/>
          <w:rtl/>
        </w:rPr>
        <w:t xml:space="preserve"> والكلام الذي نهى عنه الإمام أحمد قد خاض فيه كل من ابن تيمية وابن القيم، فعلى الدكتور أن يخرجهما من أهل السنة بالمعنى الأخص كما أخرج منهم الأشاعرة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الأشاعرة</w:t>
      </w:r>
      <w:r w:rsidR="000636C2">
        <w:rPr>
          <w:rFonts w:hint="cs"/>
          <w:rtl/>
        </w:rPr>
        <w:t xml:space="preserve"> </w:t>
      </w:r>
      <w:r w:rsidRPr="005675B2">
        <w:rPr>
          <w:rFonts w:hint="cs"/>
          <w:rtl/>
        </w:rPr>
        <w:t>- كما سترى - تلقوا واستمدوا من غير السنة ولم يوافقوها في النتائج فكيف يكونون من أهلها "</w:t>
      </w:r>
      <w:r w:rsidR="000636C2">
        <w:rPr>
          <w:rFonts w:hint="cs"/>
          <w:rtl/>
        </w:rPr>
        <w:t xml:space="preserve">، </w:t>
      </w:r>
      <w:r w:rsidRPr="005675B2">
        <w:rPr>
          <w:rFonts w:hint="cs"/>
          <w:rtl/>
        </w:rPr>
        <w:t>أقول</w:t>
      </w:r>
      <w:r w:rsidR="000636C2">
        <w:rPr>
          <w:rFonts w:hint="cs"/>
          <w:rtl/>
        </w:rPr>
        <w:t>:</w:t>
      </w:r>
      <w:r w:rsidRPr="005675B2">
        <w:rPr>
          <w:rFonts w:hint="cs"/>
          <w:rtl/>
        </w:rPr>
        <w:t xml:space="preserve"> ليس في أصول مذهبهم ما يخالف السنة، ومن ادعى المخالفة فعليه بالإثبات</w:t>
      </w:r>
      <w:r w:rsidR="000636C2">
        <w:rPr>
          <w:rFonts w:hint="cs"/>
          <w:rtl/>
        </w:rPr>
        <w:t>،</w:t>
      </w:r>
      <w:r w:rsidRPr="005675B2">
        <w:rPr>
          <w:rFonts w:hint="cs"/>
          <w:rtl/>
        </w:rPr>
        <w:t xml:space="preserve"> وقد أثبتنا في تعلقياتنا هذه موافقة مذهبهم للسنة</w:t>
      </w:r>
      <w:r w:rsidR="000636C2">
        <w:rPr>
          <w:rFonts w:hint="cs"/>
          <w:rtl/>
        </w:rPr>
        <w:t>،</w:t>
      </w:r>
      <w:r w:rsidRPr="005675B2">
        <w:rPr>
          <w:rFonts w:hint="cs"/>
          <w:rtl/>
        </w:rPr>
        <w:t xml:space="preserve"> وأنهم لم يستمدوا من غيرها، ولم يخالفوها</w:t>
      </w:r>
      <w:r w:rsidR="000636C2">
        <w:rPr>
          <w:rFonts w:hint="cs"/>
          <w:rtl/>
        </w:rPr>
        <w:t>،</w:t>
      </w:r>
      <w:r w:rsidRPr="005675B2">
        <w:rPr>
          <w:rFonts w:hint="cs"/>
          <w:rtl/>
        </w:rPr>
        <w:t xml:space="preserve"> وسيأتي تفصيل هذا فيما بعد في الكلام على الموضوع الذي عنونه بمصدر التلقي</w:t>
      </w:r>
      <w:r w:rsidR="000636C2">
        <w:rPr>
          <w:rFonts w:hint="cs"/>
          <w:rtl/>
        </w:rPr>
        <w:t>،</w:t>
      </w:r>
    </w:p>
    <w:p w14:paraId="7C24529E" w14:textId="23419718" w:rsidR="009C32A0" w:rsidRPr="005675B2" w:rsidRDefault="009C32A0" w:rsidP="000636C2">
      <w:pPr>
        <w:rPr>
          <w:b/>
          <w:rtl/>
        </w:rPr>
      </w:pPr>
      <w:r w:rsidRPr="005675B2">
        <w:rPr>
          <w:rFonts w:hint="cs"/>
          <w:rtl/>
        </w:rPr>
        <w:t>9 - الجمهور ألأعظم من علماء الأمة على المذهب الأشعري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مؤكدا أن الأشاعرة خارجون عن أهل السنة والجماعة، ومدعيا أن أئمة المذاهب الأربعة وعلماء الجرح والتعديل قد حكموا عليهم بذلك</w:t>
      </w:r>
      <w:r w:rsidR="000636C2">
        <w:rPr>
          <w:rFonts w:hint="cs"/>
          <w:rtl/>
        </w:rPr>
        <w:t>!:</w:t>
      </w:r>
      <w:r w:rsidRPr="005675B2">
        <w:rPr>
          <w:rFonts w:hint="cs"/>
          <w:rtl/>
        </w:rPr>
        <w:t xml:space="preserve"> " وسنأتي بحكمهم - أي الأشاعرة - عند أئمة المذاهب الأربعة، فما بالك بأئمة الجرح والتعديل من أصحاب الحديث .. "</w:t>
      </w:r>
      <w:r w:rsidR="000636C2">
        <w:rPr>
          <w:rFonts w:hint="cs"/>
          <w:rtl/>
        </w:rPr>
        <w:t>،</w:t>
      </w:r>
      <w:r w:rsidRPr="005675B2">
        <w:rPr>
          <w:rFonts w:hint="cs"/>
          <w:rtl/>
        </w:rPr>
        <w:t xml:space="preserve"> أقول</w:t>
      </w:r>
      <w:r w:rsidR="000636C2">
        <w:rPr>
          <w:rFonts w:hint="cs"/>
          <w:rtl/>
        </w:rPr>
        <w:t>:</w:t>
      </w:r>
      <w:r w:rsidRPr="005675B2">
        <w:rPr>
          <w:rFonts w:hint="cs"/>
          <w:rtl/>
        </w:rPr>
        <w:t xml:space="preserve"> الأئمة الأربعة قد توفوا قبل ولادة الأشعري</w:t>
      </w:r>
      <w:r w:rsidR="000636C2">
        <w:rPr>
          <w:rFonts w:hint="cs"/>
          <w:rtl/>
        </w:rPr>
        <w:t>:</w:t>
      </w:r>
      <w:r w:rsidRPr="005675B2">
        <w:rPr>
          <w:rFonts w:hint="cs"/>
          <w:rtl/>
        </w:rPr>
        <w:t xml:space="preserve"> فإنه ولد سنة 260هـ، وآخر الأئمة موتاً هو الإمام أحمد، وقد توفي في سنة 241هـ، وإن أراد المؤلف علماء المذهب الأربعة الكبار من غير الأئمة فمن المقرر أن الجمهور الأعظم منهم أشعرية أو ماتريدية كما تقدم عن الإمام السبكي من أن الأشعرية هم الغالبون من الشافعية والمالكية والحنفية وفضلاء الحنابلة</w:t>
      </w:r>
      <w:r w:rsidR="000636C2">
        <w:rPr>
          <w:rFonts w:hint="cs"/>
          <w:rtl/>
        </w:rPr>
        <w:t xml:space="preserve">، </w:t>
      </w:r>
      <w:r w:rsidRPr="005675B2">
        <w:rPr>
          <w:rFonts w:hint="cs"/>
          <w:rtl/>
        </w:rPr>
        <w:t>وقد اعترف بهذا، المؤلف نفسه في صدر الكتاب، وهو أمرٌ مقررٌ لا ينبغي أن يختلف فيه اثنان، قال الزبيدي</w:t>
      </w:r>
      <w:r w:rsidR="000636C2">
        <w:rPr>
          <w:rFonts w:hint="cs"/>
          <w:rtl/>
        </w:rPr>
        <w:t>:</w:t>
      </w:r>
      <w:r w:rsidRPr="005675B2">
        <w:rPr>
          <w:rFonts w:hint="cs"/>
          <w:rtl/>
        </w:rPr>
        <w:t xml:space="preserve"> وذكر العز بن عبد السلام أن عقيدة الأشعري أجمع عليها الشافعية والمالكية والحنفية وفضلاء الحنابلة ووافقه على ذلك من أهل عصره شيخ المالكية في زمانه أبو عمرو ابن الحاجب وشيخ الحنيفة جمال الدين الحصيري، وأقرَّهُ على ذلك التقيُّ السبكي فيما نقله عنه ولده التاج</w:t>
      </w:r>
      <w:r w:rsidR="000636C2">
        <w:rPr>
          <w:rFonts w:hint="cs"/>
          <w:rtl/>
        </w:rPr>
        <w:t>،</w:t>
      </w:r>
      <w:r w:rsidRPr="005675B2">
        <w:rPr>
          <w:rFonts w:hint="cs"/>
          <w:rtl/>
        </w:rPr>
        <w:t xml:space="preserve"> </w:t>
      </w:r>
      <w:r w:rsidR="000636C2">
        <w:rPr>
          <w:rFonts w:hint="cs"/>
          <w:rtl/>
        </w:rPr>
        <w:t>[</w:t>
      </w:r>
      <w:r w:rsidRPr="005675B2">
        <w:rPr>
          <w:rFonts w:hint="cs"/>
          <w:sz w:val="24"/>
          <w:szCs w:val="24"/>
          <w:rtl/>
        </w:rPr>
        <w:t>اتحاف السادة المتفين2/7. طبقات الشافعية الكبرى 3/365]</w:t>
      </w:r>
      <w:r w:rsidR="000636C2">
        <w:rPr>
          <w:rFonts w:hint="cs"/>
          <w:rtl/>
        </w:rPr>
        <w:t xml:space="preserve"> </w:t>
      </w:r>
      <w:r w:rsidRPr="005675B2">
        <w:rPr>
          <w:rFonts w:hint="cs"/>
          <w:spacing w:val="-8"/>
          <w:rtl/>
        </w:rPr>
        <w:t>قال الدكتور</w:t>
      </w:r>
      <w:r w:rsidR="000636C2">
        <w:rPr>
          <w:rFonts w:hint="cs"/>
          <w:spacing w:val="-8"/>
          <w:rtl/>
        </w:rPr>
        <w:t>:</w:t>
      </w:r>
      <w:r w:rsidRPr="005675B2">
        <w:rPr>
          <w:rFonts w:hint="cs"/>
          <w:spacing w:val="-8"/>
          <w:rtl/>
        </w:rPr>
        <w:t xml:space="preserve"> " عند المالكية</w:t>
      </w:r>
      <w:r w:rsidR="000636C2">
        <w:rPr>
          <w:rFonts w:hint="cs"/>
          <w:spacing w:val="-8"/>
          <w:rtl/>
        </w:rPr>
        <w:t>:</w:t>
      </w:r>
      <w:r w:rsidRPr="005675B2">
        <w:rPr>
          <w:rFonts w:hint="cs"/>
          <w:spacing w:val="-8"/>
          <w:rtl/>
        </w:rPr>
        <w:t xml:space="preserve"> روى حافظ المغرب وعلَمُها الفذ ابن عبد البر بسنده عن فقيه المالكية بالمشرق ابن خويزمنداد أنه قال في كتاب الشهادات شرحا لقول مالك</w:t>
      </w:r>
      <w:r w:rsidR="000636C2">
        <w:rPr>
          <w:rFonts w:hint="cs"/>
          <w:spacing w:val="-8"/>
          <w:rtl/>
        </w:rPr>
        <w:t>:</w:t>
      </w:r>
      <w:r w:rsidRPr="005675B2">
        <w:rPr>
          <w:rFonts w:hint="cs"/>
          <w:spacing w:val="-8"/>
          <w:rtl/>
        </w:rPr>
        <w:t xml:space="preserve"> لا تجوز شهادة أهل البدع والأهواء، قال</w:t>
      </w:r>
      <w:r w:rsidR="000636C2">
        <w:rPr>
          <w:rFonts w:hint="cs"/>
          <w:spacing w:val="-8"/>
          <w:rtl/>
        </w:rPr>
        <w:t>:</w:t>
      </w:r>
      <w:r w:rsidRPr="005675B2">
        <w:rPr>
          <w:rFonts w:hint="cs"/>
          <w:spacing w:val="-8"/>
          <w:rtl/>
        </w:rPr>
        <w:t xml:space="preserve"> " أهل الأهواء عند مالك وسائر أصحابنا هم أهل الكلام فكل متكلم فهو من أهل الأهواء والبدع أشعريا كان أو غير أشعري، ولا تقبل له شهادة في الإسلام أبدا، ويهجر ويؤدب على بدعته، فإنْ تمادى عليها استتيب منها "</w:t>
      </w:r>
      <w:r w:rsidR="000636C2">
        <w:rPr>
          <w:rFonts w:hint="cs"/>
          <w:spacing w:val="-8"/>
          <w:rtl/>
        </w:rPr>
        <w:t xml:space="preserve">، </w:t>
      </w:r>
      <w:r w:rsidRPr="005675B2">
        <w:rPr>
          <w:rFonts w:hint="cs"/>
          <w:rtl/>
        </w:rPr>
        <w:t>أقول</w:t>
      </w:r>
      <w:r w:rsidR="000636C2">
        <w:rPr>
          <w:rFonts w:hint="cs"/>
          <w:rtl/>
        </w:rPr>
        <w:t>:</w:t>
      </w:r>
      <w:r w:rsidRPr="005675B2">
        <w:rPr>
          <w:rFonts w:hint="cs"/>
          <w:rtl/>
        </w:rPr>
        <w:t xml:space="preserve"> ابن خويزمنداد ساقط عند علماء الجرح والتعديل وعند علماء المالكية أيضا، فقد طعن فيه الإمامان الباجيُّ وابن عبد البَرِّ وانظر لسان الميزان [</w:t>
      </w:r>
      <w:r w:rsidRPr="005675B2">
        <w:rPr>
          <w:rFonts w:hint="cs"/>
          <w:sz w:val="24"/>
          <w:szCs w:val="24"/>
          <w:rtl/>
        </w:rPr>
        <w:t>5/ 291 الطبقة الهندية</w:t>
      </w:r>
      <w:r w:rsidRPr="005675B2">
        <w:rPr>
          <w:rFonts w:hint="cs"/>
          <w:rtl/>
        </w:rPr>
        <w:t>]،</w:t>
      </w:r>
      <w:r w:rsidR="000636C2">
        <w:rPr>
          <w:rFonts w:hint="cs"/>
          <w:rtl/>
        </w:rPr>
        <w:t xml:space="preserve"> </w:t>
      </w:r>
      <w:r w:rsidRPr="005675B2">
        <w:rPr>
          <w:rFonts w:hint="cs"/>
          <w:rtl/>
        </w:rPr>
        <w:t>ثم قال الدكتور</w:t>
      </w:r>
      <w:r w:rsidR="000636C2">
        <w:rPr>
          <w:rFonts w:hint="cs"/>
          <w:rtl/>
        </w:rPr>
        <w:t>:</w:t>
      </w:r>
      <w:r w:rsidRPr="005675B2">
        <w:rPr>
          <w:rFonts w:hint="cs"/>
          <w:rtl/>
        </w:rPr>
        <w:t xml:space="preserve"> " عند الشافعية</w:t>
      </w:r>
      <w:r w:rsidR="000636C2">
        <w:rPr>
          <w:rFonts w:hint="cs"/>
          <w:rtl/>
        </w:rPr>
        <w:t>:</w:t>
      </w:r>
      <w:r w:rsidRPr="005675B2">
        <w:rPr>
          <w:rFonts w:hint="cs"/>
          <w:rtl/>
        </w:rPr>
        <w:t xml:space="preserve"> قال الإمام أبو العباس بن سريجٍ الملقبُ بالشافعي الثاني وقد كان معاصراً للأشعريِّ</w:t>
      </w:r>
      <w:r w:rsidR="000636C2">
        <w:rPr>
          <w:rFonts w:hint="cs"/>
          <w:rtl/>
        </w:rPr>
        <w:t>:</w:t>
      </w:r>
      <w:r w:rsidRPr="005675B2">
        <w:rPr>
          <w:rFonts w:hint="cs"/>
          <w:rtl/>
        </w:rPr>
        <w:t xml:space="preserve"> "لا نقول بتأويل المعتزلة والأشعرية والجهمية والملحدة، والمجسمة والمشبهة والكرامية والمكيفة، بل نقبلها بلا تأويل، ونؤمن بها بلا تمثيل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الظاهر أن كلمة الأشعرية مدرجة في كلام ابن سريج، أو الكلام كله منحولٌ عليه، فإنَّ سياق هذا الكلام يقتضي أنه كان على عهد ابن سريج مذهبٌ يسمى مذهب الأشعري، وفرقة تسمى أشعرية، وقد قالوا إن تحول الأشعري عن الاعتزال كان سنة 300ه</w:t>
      </w:r>
      <w:r w:rsidR="000636C2">
        <w:rPr>
          <w:rFonts w:hint="cs"/>
          <w:rtl/>
        </w:rPr>
        <w:t xml:space="preserve"> </w:t>
      </w:r>
      <w:r w:rsidRPr="005675B2">
        <w:rPr>
          <w:rFonts w:hint="cs"/>
          <w:rtl/>
        </w:rPr>
        <w:t>- وكانت وفاة ابن سريج سنة 306ه</w:t>
      </w:r>
      <w:r w:rsidR="000636C2">
        <w:rPr>
          <w:rFonts w:hint="cs"/>
          <w:rtl/>
        </w:rPr>
        <w:t xml:space="preserve"> </w:t>
      </w:r>
      <w:r w:rsidRPr="005675B2">
        <w:rPr>
          <w:rFonts w:hint="cs"/>
          <w:rtl/>
        </w:rPr>
        <w:t>-</w:t>
      </w:r>
      <w:r w:rsidR="000636C2">
        <w:rPr>
          <w:rFonts w:hint="cs"/>
          <w:rtl/>
        </w:rPr>
        <w:t>،</w:t>
      </w:r>
      <w:r w:rsidRPr="005675B2">
        <w:rPr>
          <w:rFonts w:hint="cs"/>
          <w:rtl/>
        </w:rPr>
        <w:t xml:space="preserve"> فكيف تحولت آراء الأشعري في هذه المدة الوجيزة وهي خمس سنين تقريباً إلى مذهب معروف يتناقلها العلماء في مؤلفاتهم</w:t>
      </w:r>
      <w:r w:rsidR="000636C2">
        <w:rPr>
          <w:rFonts w:hint="cs"/>
          <w:rtl/>
        </w:rPr>
        <w:t>؟</w:t>
      </w:r>
      <w:r w:rsidRPr="005675B2">
        <w:rPr>
          <w:rFonts w:hint="cs"/>
          <w:rtl/>
        </w:rPr>
        <w:t xml:space="preserve"> وقد نقل المصنف هذا الكلام عن كتاب</w:t>
      </w:r>
      <w:r w:rsidR="000636C2">
        <w:rPr>
          <w:rFonts w:hint="cs"/>
          <w:rtl/>
        </w:rPr>
        <w:t>(</w:t>
      </w:r>
      <w:r w:rsidRPr="005675B2">
        <w:rPr>
          <w:rFonts w:hint="cs"/>
          <w:rtl/>
        </w:rPr>
        <w:t>اجتماع الجيوش الإسلامية</w:t>
      </w:r>
      <w:r w:rsidR="000636C2">
        <w:rPr>
          <w:rFonts w:hint="cs"/>
          <w:rtl/>
        </w:rPr>
        <w:t>)</w:t>
      </w:r>
      <w:r w:rsidRPr="005675B2">
        <w:rPr>
          <w:rFonts w:hint="cs"/>
          <w:rtl/>
        </w:rPr>
        <w:t xml:space="preserve"> والكلام منقول فيه بسند فيه انقطاع بين الزنجاني وابن سريج</w:t>
      </w:r>
      <w:r w:rsidR="000636C2">
        <w:rPr>
          <w:rFonts w:hint="cs"/>
          <w:rtl/>
        </w:rPr>
        <w:t>،</w:t>
      </w:r>
      <w:r w:rsidRPr="005675B2">
        <w:rPr>
          <w:rFonts w:hint="cs"/>
          <w:rtl/>
        </w:rPr>
        <w:t xml:space="preserve"> فإن ابن سريج توفي سنة </w:t>
      </w:r>
      <w:r w:rsidR="000636C2">
        <w:rPr>
          <w:rFonts w:hint="cs"/>
          <w:rtl/>
        </w:rPr>
        <w:t>(</w:t>
      </w:r>
      <w:r w:rsidRPr="005675B2">
        <w:rPr>
          <w:rFonts w:hint="cs"/>
          <w:rtl/>
        </w:rPr>
        <w:t>306</w:t>
      </w:r>
      <w:r w:rsidR="000636C2">
        <w:rPr>
          <w:rFonts w:hint="cs"/>
          <w:rtl/>
        </w:rPr>
        <w:t>)</w:t>
      </w:r>
      <w:r w:rsidRPr="005675B2">
        <w:rPr>
          <w:rFonts w:hint="cs"/>
          <w:rtl/>
        </w:rPr>
        <w:t xml:space="preserve"> والزنجاني ولد سنة </w:t>
      </w:r>
      <w:r w:rsidR="000636C2">
        <w:rPr>
          <w:rFonts w:hint="cs"/>
          <w:rtl/>
        </w:rPr>
        <w:t>(</w:t>
      </w:r>
      <w:r w:rsidRPr="005675B2">
        <w:rPr>
          <w:rFonts w:hint="cs"/>
          <w:rtl/>
        </w:rPr>
        <w:t>380</w:t>
      </w:r>
      <w:r w:rsidR="000636C2">
        <w:rPr>
          <w:rFonts w:hint="cs"/>
          <w:rtl/>
        </w:rPr>
        <w:t>)</w:t>
      </w:r>
      <w:r w:rsidRPr="005675B2">
        <w:rPr>
          <w:rFonts w:hint="cs"/>
          <w:rtl/>
        </w:rPr>
        <w:t xml:space="preserve"> فبينهما مسافة شاسعة</w:t>
      </w:r>
      <w:r w:rsidR="000636C2">
        <w:rPr>
          <w:rFonts w:hint="cs"/>
          <w:rtl/>
        </w:rPr>
        <w:t>،</w:t>
      </w:r>
      <w:r w:rsidRPr="005675B2">
        <w:rPr>
          <w:rFonts w:hint="cs"/>
          <w:rtl/>
        </w:rPr>
        <w:t xml:space="preserve"> فالرواية عن ابن سريج لم تصح لا متنا ولا سندا</w:t>
      </w:r>
      <w:r w:rsidR="000636C2">
        <w:rPr>
          <w:rFonts w:hint="cs"/>
          <w:rtl/>
        </w:rPr>
        <w:t xml:space="preserve">، </w:t>
      </w:r>
      <w:r w:rsidRPr="005675B2">
        <w:rPr>
          <w:rFonts w:hint="cs"/>
          <w:spacing w:val="-8"/>
          <w:rtl/>
        </w:rPr>
        <w:t>قال الدكتور</w:t>
      </w:r>
      <w:r w:rsidR="000636C2">
        <w:rPr>
          <w:rFonts w:hint="cs"/>
          <w:spacing w:val="-8"/>
          <w:rtl/>
        </w:rPr>
        <w:t>:</w:t>
      </w:r>
      <w:r w:rsidRPr="005675B2">
        <w:rPr>
          <w:rFonts w:hint="cs"/>
          <w:spacing w:val="-8"/>
          <w:rtl/>
        </w:rPr>
        <w:t xml:space="preserve"> " قال الإمام أبو الحسن الكُرجي من علماء القرن الخامس الشافعية ما نصه</w:t>
      </w:r>
      <w:r w:rsidR="000636C2">
        <w:rPr>
          <w:rFonts w:hint="cs"/>
          <w:spacing w:val="-8"/>
          <w:rtl/>
        </w:rPr>
        <w:t>:</w:t>
      </w:r>
      <w:r w:rsidRPr="005675B2">
        <w:rPr>
          <w:rFonts w:hint="cs"/>
          <w:spacing w:val="-8"/>
          <w:rtl/>
        </w:rPr>
        <w:t>" لم يزل الأئمة الشافعية يأنفون ويستنكفون أن يُنْسبوا إلى الأشعري، ويتبرؤون مما بنى الأشعري مذهبَهُ عليه، وينهَوْنَ أصحابهم وأحبابهم عن الحَوْمِ حواليه على ما سمعت من عدةٍ من المشايخ والأئمة</w:t>
      </w:r>
      <w:r w:rsidR="000636C2">
        <w:rPr>
          <w:rFonts w:hint="cs"/>
          <w:spacing w:val="-8"/>
          <w:rtl/>
        </w:rPr>
        <w:t>،</w:t>
      </w:r>
      <w:r w:rsidRPr="005675B2">
        <w:rPr>
          <w:rFonts w:hint="cs"/>
          <w:spacing w:val="-8"/>
          <w:rtl/>
        </w:rPr>
        <w:t xml:space="preserve"> وضرب مثلا بشيخ الشافعية في عصره الإمام أبي حامد الإسفرايئني الملقب « الشافعي الثالث » قائلا</w:t>
      </w:r>
      <w:r w:rsidR="000636C2">
        <w:rPr>
          <w:rFonts w:hint="cs"/>
          <w:spacing w:val="-8"/>
          <w:rtl/>
        </w:rPr>
        <w:t>:</w:t>
      </w:r>
      <w:r w:rsidRPr="005675B2">
        <w:rPr>
          <w:rFonts w:hint="cs"/>
          <w:spacing w:val="-8"/>
          <w:rtl/>
        </w:rPr>
        <w:t xml:space="preserve"> ومعلوم شدة الشيخ على أصحاب الكلام، حتى ميز أصول فقه الشافعي من أصول الأشعري .. وبه اقتدى الشيخ أبو إسحاق الشيرازي "</w:t>
      </w:r>
      <w:r w:rsidR="000636C2">
        <w:rPr>
          <w:rFonts w:hint="cs"/>
          <w:spacing w:val="-8"/>
          <w:rtl/>
        </w:rPr>
        <w:t xml:space="preserve">، </w:t>
      </w:r>
      <w:r w:rsidRPr="005675B2">
        <w:rPr>
          <w:rFonts w:hint="cs"/>
          <w:rtl/>
        </w:rPr>
        <w:t>أقول</w:t>
      </w:r>
      <w:r w:rsidR="000636C2">
        <w:rPr>
          <w:rFonts w:hint="cs"/>
          <w:rtl/>
        </w:rPr>
        <w:t>:</w:t>
      </w:r>
      <w:r w:rsidRPr="005675B2">
        <w:rPr>
          <w:rFonts w:hint="cs"/>
          <w:rtl/>
        </w:rPr>
        <w:t xml:space="preserve"> قال تاج الدين السبكي في طبقات الشافعية الكبرى في ترجمة الكرجي</w:t>
      </w:r>
      <w:r w:rsidR="000636C2">
        <w:rPr>
          <w:rFonts w:hint="cs"/>
          <w:rtl/>
        </w:rPr>
        <w:t>:</w:t>
      </w:r>
      <w:r w:rsidRPr="005675B2">
        <w:rPr>
          <w:rFonts w:hint="cs"/>
          <w:rtl/>
        </w:rPr>
        <w:t xml:space="preserve"> قال ابن السمعاني</w:t>
      </w:r>
      <w:r w:rsidR="000636C2">
        <w:rPr>
          <w:rFonts w:hint="cs"/>
          <w:rtl/>
        </w:rPr>
        <w:t>:</w:t>
      </w:r>
      <w:r w:rsidRPr="005675B2">
        <w:rPr>
          <w:rFonts w:hint="cs"/>
          <w:rtl/>
        </w:rPr>
        <w:t xml:space="preserve"> وله - أي للكرجي - قصيدة بائية في السُنَّةِ شرح فيها اعتقاده واعتقاد السلف تزيد على مائتي بيت قرأتها عليه في داره في الكرج، ثم قال السبكي</w:t>
      </w:r>
      <w:r w:rsidR="000636C2">
        <w:rPr>
          <w:rFonts w:hint="cs"/>
          <w:rtl/>
        </w:rPr>
        <w:t>:</w:t>
      </w:r>
      <w:r w:rsidRPr="005675B2">
        <w:rPr>
          <w:rFonts w:hint="cs"/>
          <w:rtl/>
        </w:rPr>
        <w:t xml:space="preserve"> قلت</w:t>
      </w:r>
      <w:r w:rsidR="000636C2">
        <w:rPr>
          <w:rFonts w:hint="cs"/>
          <w:rtl/>
        </w:rPr>
        <w:t>:</w:t>
      </w:r>
      <w:r w:rsidRPr="005675B2">
        <w:rPr>
          <w:rFonts w:hint="cs"/>
          <w:rtl/>
        </w:rPr>
        <w:t xml:space="preserve"> ثبت لنا بهذا الكلام</w:t>
      </w:r>
      <w:r w:rsidR="000636C2">
        <w:rPr>
          <w:rFonts w:hint="cs"/>
          <w:rtl/>
        </w:rPr>
        <w:t xml:space="preserve"> </w:t>
      </w:r>
      <w:r w:rsidRPr="005675B2">
        <w:rPr>
          <w:rFonts w:hint="cs"/>
          <w:rtl/>
        </w:rPr>
        <w:t>- إن ثبت أنَّ ابن السمعاني قاله - أن لهذا الرجل قصيدة في الاعتقاد وعلى مذهب السلف موافقة للسنة، وابن السمعاني كان أشعري العقيدة، فلا يعترف بأن القصيدة على السنة ومذهب السلف إلا إذا وافقت ما يعتقد انه كذلك وهو رأي الأشعري</w:t>
      </w:r>
      <w:r w:rsidR="000636C2">
        <w:rPr>
          <w:rFonts w:hint="cs"/>
          <w:rtl/>
        </w:rPr>
        <w:t xml:space="preserve">، </w:t>
      </w:r>
      <w:r w:rsidRPr="005675B2">
        <w:rPr>
          <w:rFonts w:hint="cs"/>
          <w:rtl/>
        </w:rPr>
        <w:t>إذا عرفت ذلك فاعلم أنا وقفنا على قصيدة تعزى إلى هذا الشيخ نال فيها من أهل السنة وباح بالتجسيم .. إني ارتبت في أمر هذه القصيدة وصحة نسبتها إلى هذا الرجل، وغلب على ظني أنها مكذوبةٌ عليه كلُّها أو بعضها، ثم أورد السبكي الدلائل على أنَّها مكذوبةٌ فراجع كلامه</w:t>
      </w:r>
      <w:r w:rsidRPr="005675B2">
        <w:rPr>
          <w:rFonts w:hint="cs"/>
          <w:rtl/>
          <w:lang w:bidi="ar-KW"/>
        </w:rPr>
        <w:t xml:space="preserve"> [</w:t>
      </w:r>
      <w:r w:rsidRPr="005675B2">
        <w:rPr>
          <w:rFonts w:hint="cs"/>
          <w:sz w:val="24"/>
          <w:szCs w:val="24"/>
          <w:rtl/>
        </w:rPr>
        <w:t>الطبقات 6/140]</w:t>
      </w:r>
      <w:r w:rsidR="000636C2">
        <w:rPr>
          <w:rFonts w:hint="cs"/>
          <w:rtl/>
          <w:lang w:bidi="ar-KW"/>
        </w:rPr>
        <w:t>،</w:t>
      </w:r>
      <w:r w:rsidRPr="005675B2">
        <w:rPr>
          <w:rFonts w:hint="cs"/>
          <w:rtl/>
        </w:rPr>
        <w:t xml:space="preserve"> فكلام السبكي هذا يدل على أن ما نقله الدكتور عن الكرجي لا يصح نسبته إليه .. وإن صح نسبة القصيدة إليه فالرجل عدوٌّ للأشاعرة لا تقبل شهادته عليهم</w:t>
      </w:r>
      <w:r w:rsidR="000636C2">
        <w:rPr>
          <w:rFonts w:hint="cs"/>
          <w:rtl/>
        </w:rPr>
        <w:t xml:space="preserve">، </w:t>
      </w:r>
      <w:r w:rsidRPr="005675B2">
        <w:rPr>
          <w:rFonts w:hint="cs"/>
          <w:rtl/>
        </w:rPr>
        <w:t>وأما الإمام أبو حامد الإسفرايني فقد قرأت ترجمته في قريب من ثلاثين مصدرا ومرجعا فلم أرَ أحدا أشار إلى عدائه لعلم الكلام وللمتكلمين</w:t>
      </w:r>
      <w:r w:rsidR="000636C2">
        <w:rPr>
          <w:rFonts w:hint="cs"/>
          <w:rtl/>
        </w:rPr>
        <w:t>،</w:t>
      </w:r>
      <w:r w:rsidRPr="005675B2">
        <w:rPr>
          <w:rFonts w:hint="cs"/>
          <w:rtl/>
        </w:rPr>
        <w:t xml:space="preserve"> ولو سلم عدائه للكلام فله رأيه وللمشتغلين بالكلام من قبله ومن بعده لما رأوا من الحاجة إلى ذلك رأيهم، وليس هو حجة على غيره كما أن غيره ليسوا حجة عليه، فلكل رأيه واجتهاده</w:t>
      </w:r>
      <w:r w:rsidR="000636C2">
        <w:rPr>
          <w:rFonts w:hint="cs"/>
          <w:rtl/>
        </w:rPr>
        <w:t xml:space="preserve">، </w:t>
      </w:r>
      <w:r w:rsidRPr="005675B2">
        <w:rPr>
          <w:rFonts w:hint="cs"/>
          <w:rtl/>
        </w:rPr>
        <w:t>وأما أبو إسحاق الشيرازي فأشهر من نار على علم أنه من كبار أئمة الأشاعرة</w:t>
      </w:r>
      <w:r w:rsidR="000636C2">
        <w:rPr>
          <w:rFonts w:hint="cs"/>
          <w:rtl/>
        </w:rPr>
        <w:t>،</w:t>
      </w:r>
      <w:r w:rsidRPr="005675B2">
        <w:rPr>
          <w:rFonts w:hint="cs"/>
          <w:rtl/>
        </w:rPr>
        <w:t xml:space="preserve"> وانظر ترجمته في " تبيين كذب المفترى} لإبن عساكر، واقرأ معتقده في مقدمة "شرح اللمع" له حيث بين معتقده على وفق مذهب الأشعري، ثم عقبه بقوله</w:t>
      </w:r>
      <w:r w:rsidR="000636C2">
        <w:rPr>
          <w:rFonts w:hint="cs"/>
          <w:rtl/>
        </w:rPr>
        <w:t>:</w:t>
      </w:r>
      <w:r w:rsidRPr="005675B2">
        <w:rPr>
          <w:rFonts w:hint="cs"/>
          <w:rtl/>
        </w:rPr>
        <w:t xml:space="preserve"> فمن اعتقد غير ما أشرنا إليه من اعتقاد أهل الحق المنتسبين إلى الإمام أبي الحسن الأشعري فهو كافر [</w:t>
      </w:r>
      <w:r w:rsidRPr="005675B2">
        <w:rPr>
          <w:rFonts w:hint="cs"/>
          <w:sz w:val="24"/>
          <w:szCs w:val="24"/>
          <w:rtl/>
        </w:rPr>
        <w:t>شرح اللمع 1/111</w:t>
      </w:r>
      <w:r w:rsidRPr="005675B2">
        <w:rPr>
          <w:rFonts w:hint="cs"/>
          <w:rtl/>
        </w:rPr>
        <w:t>]،</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وبنحو قوله –أي قول الكرجي - أو أشد منه قال شيخ الإسلام الهروي الأنصاري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الهروي مع أنَّه عدوٌ للأشاعرة فلا تقبل شهادته عليهم، هو غير مرضيٍّ عند الحنابلة</w:t>
      </w:r>
      <w:r w:rsidR="000636C2">
        <w:rPr>
          <w:rFonts w:hint="cs"/>
          <w:rtl/>
        </w:rPr>
        <w:t xml:space="preserve">، </w:t>
      </w:r>
      <w:r w:rsidRPr="005675B2">
        <w:rPr>
          <w:rFonts w:hint="cs"/>
          <w:rtl/>
        </w:rPr>
        <w:t>قال تاج الدين السبكي</w:t>
      </w:r>
      <w:r w:rsidR="000636C2">
        <w:rPr>
          <w:rFonts w:hint="cs"/>
          <w:rtl/>
        </w:rPr>
        <w:t>:</w:t>
      </w:r>
      <w:r w:rsidRPr="005675B2">
        <w:rPr>
          <w:rFonts w:hint="cs"/>
          <w:rtl/>
        </w:rPr>
        <w:t xml:space="preserve"> كان .. ابن تيمية مع ميله إليه يضع من هذا الكتاب</w:t>
      </w:r>
      <w:r w:rsidR="000636C2">
        <w:rPr>
          <w:rFonts w:hint="cs"/>
          <w:rtl/>
        </w:rPr>
        <w:t xml:space="preserve"> </w:t>
      </w:r>
      <w:r w:rsidRPr="005675B2">
        <w:rPr>
          <w:rFonts w:hint="cs"/>
          <w:rtl/>
        </w:rPr>
        <w:t>- أعني منازل السائرين - قال شيخنا الذهبي</w:t>
      </w:r>
      <w:r w:rsidR="000636C2">
        <w:rPr>
          <w:rFonts w:hint="cs"/>
          <w:rtl/>
        </w:rPr>
        <w:t>:</w:t>
      </w:r>
      <w:r w:rsidRPr="005675B2">
        <w:rPr>
          <w:rFonts w:hint="cs"/>
          <w:rtl/>
        </w:rPr>
        <w:t xml:space="preserve"> وكان –يعني إبن تيمية - يرمي أبا إسماعيل بالعظائم بسبب هذا الكتاب ويقول</w:t>
      </w:r>
      <w:r w:rsidR="000636C2">
        <w:rPr>
          <w:rFonts w:hint="cs"/>
          <w:rtl/>
        </w:rPr>
        <w:t>:</w:t>
      </w:r>
      <w:r w:rsidRPr="005675B2">
        <w:rPr>
          <w:rFonts w:hint="cs"/>
          <w:rtl/>
        </w:rPr>
        <w:t xml:space="preserve"> انه مشتمل على الاتحاد</w:t>
      </w:r>
      <w:r w:rsidR="000636C2">
        <w:rPr>
          <w:rFonts w:hint="cs"/>
          <w:rtl/>
        </w:rPr>
        <w:t xml:space="preserve">، </w:t>
      </w:r>
      <w:r w:rsidRPr="005675B2">
        <w:rPr>
          <w:rFonts w:hint="cs"/>
          <w:rtl/>
        </w:rPr>
        <w:t>قال تاج الدين السبكي</w:t>
      </w:r>
      <w:r w:rsidR="000636C2">
        <w:rPr>
          <w:rFonts w:hint="cs"/>
          <w:rtl/>
        </w:rPr>
        <w:t>:</w:t>
      </w:r>
      <w:r w:rsidRPr="005675B2">
        <w:rPr>
          <w:rFonts w:hint="cs"/>
          <w:rtl/>
        </w:rPr>
        <w:t xml:space="preserve"> قلت</w:t>
      </w:r>
      <w:r w:rsidR="000636C2">
        <w:rPr>
          <w:rFonts w:hint="cs"/>
          <w:rtl/>
        </w:rPr>
        <w:t>:</w:t>
      </w:r>
      <w:r w:rsidRPr="005675B2">
        <w:rPr>
          <w:rFonts w:hint="cs"/>
          <w:rtl/>
        </w:rPr>
        <w:t xml:space="preserve"> والأشاعرة يرمونه بالتشبيه، ويقولون</w:t>
      </w:r>
      <w:r w:rsidR="000636C2">
        <w:rPr>
          <w:rFonts w:hint="cs"/>
          <w:rtl/>
        </w:rPr>
        <w:t>:</w:t>
      </w:r>
      <w:r w:rsidRPr="005675B2">
        <w:rPr>
          <w:rFonts w:hint="cs"/>
          <w:rtl/>
        </w:rPr>
        <w:t xml:space="preserve"> إنه كان يلعن شيخ السنة أبا الحسن الأشعري، وأنا لا أعتقد أنه يعتقد الإتحاد، وإنما أعتقد أنه يعتقد التشبيه، وأنه ينال من الأشاعرة، وأن ذلك لجهله بعلم الكلام، وبعقيدة الأشعرية، فقد رأيت أقواما أتوى من ذلك</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sz w:val="24"/>
          <w:szCs w:val="24"/>
          <w:rtl/>
        </w:rPr>
        <w:t>طبقات الشافعية الكبرى 4/272]</w:t>
      </w:r>
      <w:r w:rsidRPr="005675B2">
        <w:rPr>
          <w:rFonts w:hint="cs"/>
          <w:rtl/>
        </w:rPr>
        <w:t xml:space="preserve"> أقول</w:t>
      </w:r>
      <w:r w:rsidR="000636C2">
        <w:rPr>
          <w:rFonts w:hint="cs"/>
          <w:rtl/>
        </w:rPr>
        <w:t>:</w:t>
      </w:r>
      <w:r w:rsidRPr="005675B2">
        <w:rPr>
          <w:rFonts w:hint="cs"/>
          <w:rtl/>
        </w:rPr>
        <w:t xml:space="preserve"> ومن هؤلاء الأقوام الدكتور سفر ومن هو على شاكلته حيث ينسبون إلى الأشعرية ما هم بريئون عنه لعدم معرفتهم بمذهب الأشعرية</w:t>
      </w:r>
      <w:r w:rsidR="000636C2">
        <w:rPr>
          <w:rFonts w:hint="cs"/>
          <w:rtl/>
        </w:rPr>
        <w:t>،</w:t>
      </w:r>
      <w:r w:rsidRPr="005675B2">
        <w:rPr>
          <w:rFonts w:hint="cs"/>
          <w:rtl/>
        </w:rPr>
        <w:t xml:space="preserve"> وانظر إلى إنصاف التاج السبكي حيث نفى عن الهروي تهمة الإلحاد التي نسبها إليه ابن تيمية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الحنفية .. الخ هذه الفقرة من كلامه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احتوت هذه الفقرة من كلام الدكتور على مغالطات واشتملت على الحق والباطل والصواب والخطأ</w:t>
      </w:r>
      <w:r w:rsidR="000636C2">
        <w:rPr>
          <w:rFonts w:hint="cs"/>
          <w:rtl/>
        </w:rPr>
        <w:t>،</w:t>
      </w:r>
      <w:r w:rsidRPr="005675B2">
        <w:rPr>
          <w:rFonts w:hint="cs"/>
          <w:rtl/>
        </w:rPr>
        <w:t xml:space="preserve"> نبينها فيما يلي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معلومٌ أنَّ واضع الطحاوية وشارحها كلاهما حنفيان "</w:t>
      </w:r>
      <w:r w:rsidR="000636C2">
        <w:rPr>
          <w:rFonts w:hint="cs"/>
          <w:rtl/>
        </w:rPr>
        <w:t xml:space="preserve">، </w:t>
      </w:r>
      <w:r w:rsidRPr="005675B2">
        <w:rPr>
          <w:rFonts w:hint="cs"/>
          <w:rtl/>
        </w:rPr>
        <w:t>أقول</w:t>
      </w:r>
      <w:r w:rsidR="000636C2">
        <w:rPr>
          <w:rFonts w:hint="cs"/>
          <w:rtl/>
        </w:rPr>
        <w:t>:</w:t>
      </w:r>
      <w:r w:rsidRPr="005675B2">
        <w:rPr>
          <w:rFonts w:hint="cs"/>
          <w:rtl/>
        </w:rPr>
        <w:t xml:space="preserve"> نعم، واضع الطحاوية حنفيٌّ مقبولٌ</w:t>
      </w:r>
      <w:r w:rsidR="000636C2">
        <w:rPr>
          <w:rFonts w:hint="cs"/>
          <w:rtl/>
        </w:rPr>
        <w:t>،</w:t>
      </w:r>
      <w:r w:rsidRPr="005675B2">
        <w:rPr>
          <w:rFonts w:hint="cs"/>
          <w:rtl/>
        </w:rPr>
        <w:t xml:space="preserve"> وأما الشارحُ فغير مقبول، مُنْتَقَدٌ من أهل مذهبه ومن غيرهم</w:t>
      </w:r>
      <w:r w:rsidR="000636C2">
        <w:rPr>
          <w:rFonts w:hint="cs"/>
          <w:rtl/>
        </w:rPr>
        <w:t>،</w:t>
      </w:r>
      <w:r w:rsidRPr="005675B2">
        <w:rPr>
          <w:rFonts w:hint="cs"/>
          <w:rtl/>
        </w:rPr>
        <w:t xml:space="preserve"> قال فيه علي القاري</w:t>
      </w:r>
      <w:r w:rsidR="000636C2">
        <w:rPr>
          <w:rFonts w:hint="cs"/>
          <w:rtl/>
        </w:rPr>
        <w:t>:</w:t>
      </w:r>
      <w:r w:rsidRPr="005675B2">
        <w:rPr>
          <w:rFonts w:hint="cs"/>
          <w:rtl/>
        </w:rPr>
        <w:t xml:space="preserve"> والحاصل أنَّ الشارح يقول بعلوِّ المكان مع نفي التشبيه، وتبع فيه طائفةً من أهل البدعة .. ومن الغريب أنَّه استدل على مذهبه الباطل برفع الأيدي في الدعاء إلى السماء</w:t>
      </w:r>
      <w:r w:rsidR="000636C2">
        <w:rPr>
          <w:rFonts w:hint="cs"/>
          <w:rtl/>
        </w:rPr>
        <w:t xml:space="preserve">، </w:t>
      </w:r>
      <w:r w:rsidRPr="005675B2">
        <w:rPr>
          <w:rFonts w:hint="cs"/>
          <w:rtl/>
        </w:rPr>
        <w:t>ومن مستشنعاته قدحُهُ في عصمة النبي صلى الله عليه وآله وسلم وقولُهُ بتفضيل الملائكة على الأنبياء، وقد أنكر عليه أهلُ مذهبه وغيرُهم .. وممَّنْ أنكر عليه زين الدين بن رجب، وتقي الدين ابن مفلح وأخوه" [</w:t>
      </w:r>
      <w:r w:rsidRPr="005675B2">
        <w:rPr>
          <w:rFonts w:hint="cs"/>
          <w:sz w:val="24"/>
          <w:szCs w:val="24"/>
          <w:rtl/>
        </w:rPr>
        <w:t>شرح الفقه الأكبر 172 وراجع إنباء الغمر (2/ 96-97)</w:t>
      </w:r>
      <w:r w:rsidRPr="005675B2">
        <w:rPr>
          <w:rFonts w:hint="cs"/>
          <w:sz w:val="24"/>
          <w:szCs w:val="24"/>
        </w:rPr>
        <w:t xml:space="preserve"> </w:t>
      </w:r>
      <w:r w:rsidRPr="005675B2">
        <w:rPr>
          <w:rFonts w:hint="cs"/>
          <w:sz w:val="24"/>
          <w:szCs w:val="24"/>
          <w:rtl/>
        </w:rPr>
        <w:t>للحافظ ابن حجر]</w:t>
      </w:r>
      <w:r w:rsidR="000636C2">
        <w:rPr>
          <w:rFonts w:hint="cs"/>
          <w:rtl/>
        </w:rPr>
        <w:t>،</w:t>
      </w:r>
    </w:p>
    <w:p w14:paraId="18827907" w14:textId="12C182B7" w:rsidR="009C32A0" w:rsidRPr="005675B2" w:rsidRDefault="009C32A0" w:rsidP="000636C2">
      <w:pPr>
        <w:rPr>
          <w:b/>
          <w:rtl/>
        </w:rPr>
      </w:pPr>
      <w:r w:rsidRPr="005675B2">
        <w:rPr>
          <w:rFonts w:hint="cs"/>
          <w:rtl/>
        </w:rPr>
        <w:t>10 - عقيدة الإمام أبي حنيفة والطحاوي موافقتان لمذهب الأشعري</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وكان الإمام الطحاوي معاصراً للأشعري، وكتب هذه العقيدة لبيان معتقد الإمام أبي حنيفة وأصحابه وهي مشابهة لما في الفقه الأكبر عنه، وقد نقلوا عن الإمام أنَّه صرَّح بكفر من قال</w:t>
      </w:r>
      <w:r w:rsidR="000636C2">
        <w:rPr>
          <w:rFonts w:hint="cs"/>
          <w:rtl/>
        </w:rPr>
        <w:t>:</w:t>
      </w:r>
      <w:r w:rsidRPr="005675B2">
        <w:rPr>
          <w:rFonts w:hint="cs"/>
          <w:rtl/>
        </w:rPr>
        <w:t xml:space="preserve"> إنَّ الله ليس على العرش أو توقف فيه , وتلميذه أبو يوسف كفَّر بشراً المريسي، ومعلوم أن الأشاعرة ينفون العلو وينكرون كونه تعالى على العرش، ومعلوم أيضا أن أصولهم مستمدة من بشر المريسي "</w:t>
      </w:r>
      <w:r w:rsidR="000636C2">
        <w:rPr>
          <w:rFonts w:hint="cs"/>
          <w:rtl/>
        </w:rPr>
        <w:t xml:space="preserve">، </w:t>
      </w:r>
      <w:r w:rsidRPr="005675B2">
        <w:rPr>
          <w:rFonts w:hint="cs"/>
          <w:rtl/>
        </w:rPr>
        <w:t>أقول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وكان معاصرا للأشعري</w:t>
      </w:r>
      <w:r w:rsidR="000636C2">
        <w:rPr>
          <w:rFonts w:hint="cs"/>
          <w:rtl/>
        </w:rPr>
        <w:t>):</w:t>
      </w:r>
      <w:r w:rsidRPr="005675B2">
        <w:rPr>
          <w:rFonts w:hint="cs"/>
          <w:rtl/>
        </w:rPr>
        <w:t xml:space="preserve"> صحيحٌ</w:t>
      </w:r>
      <w:r w:rsidR="000636C2">
        <w:rPr>
          <w:rFonts w:hint="cs"/>
          <w:rtl/>
        </w:rPr>
        <w:t xml:space="preserve">، </w:t>
      </w:r>
      <w:r w:rsidRPr="005675B2">
        <w:rPr>
          <w:rFonts w:hint="cs"/>
          <w:rtl/>
        </w:rPr>
        <w:t>وقوله</w:t>
      </w:r>
      <w:r w:rsidR="000636C2">
        <w:rPr>
          <w:rFonts w:hint="cs"/>
          <w:rtl/>
        </w:rPr>
        <w:t>:</w:t>
      </w:r>
      <w:r w:rsidRPr="005675B2">
        <w:rPr>
          <w:rFonts w:hint="cs"/>
          <w:rtl/>
        </w:rPr>
        <w:t xml:space="preserve"> "وكتب هذه العقيدة لبيان معتقد أبي حنيفة وأصحابه"</w:t>
      </w:r>
      <w:r w:rsidR="000636C2">
        <w:rPr>
          <w:rFonts w:hint="cs"/>
          <w:rtl/>
        </w:rPr>
        <w:t>:</w:t>
      </w:r>
      <w:r w:rsidRPr="005675B2">
        <w:rPr>
          <w:rFonts w:hint="cs"/>
          <w:rtl/>
        </w:rPr>
        <w:t xml:space="preserve"> هذا أيضا صحيحٌ</w:t>
      </w:r>
      <w:r w:rsidR="000636C2">
        <w:rPr>
          <w:rFonts w:hint="cs"/>
          <w:rtl/>
        </w:rPr>
        <w:t>،</w:t>
      </w:r>
      <w:r w:rsidRPr="005675B2">
        <w:rPr>
          <w:rFonts w:hint="cs"/>
          <w:rtl/>
        </w:rPr>
        <w:t xml:space="preserve"> لكن سياقه في مساق أنَّ هذه العقيدة مخالفةٌ لعقيدة الأشاعرة وإيهامَه ذلك غيرُ صحيح، فإنَّ هذه العقيدةَ معتمَدَةٌ عند أهل السنة والجماعة من الأشاعرة والماتريدية الحنفية إلا ثلاث مسائل خالف فيها الأشاعرة ووافق فيها الحنيفة</w:t>
      </w:r>
      <w:r w:rsidR="000636C2">
        <w:rPr>
          <w:rFonts w:hint="cs"/>
          <w:rtl/>
        </w:rPr>
        <w:t>،</w:t>
      </w:r>
      <w:r w:rsidRPr="005675B2">
        <w:rPr>
          <w:rFonts w:hint="cs"/>
          <w:rtl/>
        </w:rPr>
        <w:t xml:space="preserve"> ومن المقرر أن مسائل الخلاف بين الأشعرية والماتريدية مسائل فرعية في العقيدة، لا تقتضى التبديع، ومن أجل ذلك لم يبدع أحدهما الآخر</w:t>
      </w:r>
      <w:r w:rsidR="000636C2">
        <w:rPr>
          <w:rFonts w:hint="cs"/>
          <w:rtl/>
        </w:rPr>
        <w:t xml:space="preserve">، </w:t>
      </w:r>
      <w:r w:rsidRPr="005675B2">
        <w:rPr>
          <w:rFonts w:hint="cs"/>
          <w:rtl/>
        </w:rPr>
        <w:t>قال الزبيدي</w:t>
      </w:r>
      <w:r w:rsidR="000636C2">
        <w:rPr>
          <w:rFonts w:hint="cs"/>
          <w:rtl/>
        </w:rPr>
        <w:t>:</w:t>
      </w:r>
      <w:r w:rsidRPr="005675B2">
        <w:rPr>
          <w:rFonts w:hint="cs"/>
          <w:rtl/>
        </w:rPr>
        <w:t xml:space="preserve"> قال التاج السبكي</w:t>
      </w:r>
      <w:r w:rsidR="000636C2">
        <w:rPr>
          <w:rFonts w:hint="cs"/>
          <w:rtl/>
        </w:rPr>
        <w:t>:</w:t>
      </w:r>
      <w:r w:rsidRPr="005675B2">
        <w:rPr>
          <w:rFonts w:hint="cs"/>
          <w:rtl/>
        </w:rPr>
        <w:t xml:space="preserve"> سمعت الشيخ الإمام الوالد يقول</w:t>
      </w:r>
      <w:r w:rsidR="000636C2">
        <w:rPr>
          <w:rFonts w:hint="cs"/>
          <w:rtl/>
        </w:rPr>
        <w:t>:</w:t>
      </w:r>
      <w:r w:rsidRPr="005675B2">
        <w:rPr>
          <w:rFonts w:hint="cs"/>
          <w:rtl/>
        </w:rPr>
        <w:t xml:space="preserve"> ما تضمنته عقيدة الطحاوي هو ما يعتقده الأشعري، لا يخالف إلا في ثلاث مسائل .. وقد تأملت عقيدة أبي جعفر الطحاوي فوجدت الأمر على ما قاله الشيخ الإمام الوالد</w:t>
      </w:r>
      <w:r w:rsidR="000636C2">
        <w:rPr>
          <w:rFonts w:hint="cs"/>
          <w:rtl/>
        </w:rPr>
        <w:t xml:space="preserve">، </w:t>
      </w:r>
      <w:r w:rsidRPr="005675B2">
        <w:rPr>
          <w:rFonts w:hint="cs"/>
          <w:rtl/>
        </w:rPr>
        <w:t>وعقيدة الطحاوي زعم أنها الذي عليها أبو حنيفة وأبو يوسف ومحمد</w:t>
      </w:r>
      <w:r w:rsidR="000636C2">
        <w:rPr>
          <w:rFonts w:hint="cs"/>
          <w:rtl/>
        </w:rPr>
        <w:t>،</w:t>
      </w:r>
      <w:r w:rsidRPr="005675B2">
        <w:rPr>
          <w:rFonts w:hint="cs"/>
          <w:rtl/>
        </w:rPr>
        <w:t xml:space="preserve"> ثم تصفحت كتب الحنيفة فوجدت جميع المسائل التي بيننا وبينهم خلاف فيها ثلاث عشرة مسألة، منها معنوي ست مسائل، والباقي لفظي، وتلك الستة المعنوية لا تقتضي مخالفتهم لنا ولا مخالفتنا لهم تكفيراً ولا تبديعاً، صرح بذلك أبو منصور البغدادي وغيره من أئمتنا وأئمتهم، وهو غنيٌّ عن التعريف لوضوحه .. ثم هذه المسائل الثلاثة عشر لم يثبت جميعها عن الشيخ ولا عن أبي حنيفة - رضي الله عنهما - ولكنَّ الكلام بتقدير الصحة</w:t>
      </w:r>
      <w:r w:rsidR="000636C2">
        <w:rPr>
          <w:rFonts w:hint="cs"/>
          <w:rtl/>
        </w:rPr>
        <w:t>،</w:t>
      </w:r>
      <w:r w:rsidRPr="005675B2">
        <w:rPr>
          <w:rFonts w:hint="cs"/>
          <w:rtl/>
        </w:rPr>
        <w:t xml:space="preserve"> انتهى كلام السبكي </w:t>
      </w:r>
      <w:r w:rsidRPr="005675B2">
        <w:rPr>
          <w:rFonts w:hint="cs"/>
          <w:rtl/>
          <w:lang w:bidi="ar-KW"/>
        </w:rPr>
        <w:t>[</w:t>
      </w:r>
      <w:r w:rsidRPr="005675B2">
        <w:rPr>
          <w:rFonts w:hint="cs"/>
          <w:sz w:val="24"/>
          <w:szCs w:val="24"/>
          <w:rtl/>
        </w:rPr>
        <w:t>اتحاف السادة المتقين 2/78 اطبقات الشافعية الكبرى 3/ 377</w:t>
      </w:r>
      <w:r w:rsidRPr="005675B2">
        <w:rPr>
          <w:rFonts w:hint="cs"/>
          <w:rtl/>
          <w:lang w:bidi="ar-KW"/>
        </w:rPr>
        <w:t>]</w:t>
      </w:r>
      <w:r w:rsidR="000636C2">
        <w:rPr>
          <w:rFonts w:hint="cs"/>
          <w:rtl/>
        </w:rPr>
        <w:t xml:space="preserve">، </w:t>
      </w:r>
      <w:r w:rsidRPr="005675B2">
        <w:rPr>
          <w:rFonts w:hint="cs"/>
          <w:rtl/>
        </w:rPr>
        <w:t>ثم أن عقيدة الطحاوي مخالفة لعقيدة الدكتور في أهم مسائل العقيدة، ومن ذلك قوله في نفي الحدود والجهات</w:t>
      </w:r>
      <w:r w:rsidR="000636C2">
        <w:rPr>
          <w:rFonts w:hint="cs"/>
          <w:rtl/>
        </w:rPr>
        <w:t>:</w:t>
      </w:r>
      <w:r w:rsidRPr="005675B2">
        <w:rPr>
          <w:rFonts w:hint="cs"/>
          <w:rtl/>
        </w:rPr>
        <w:t xml:space="preserve"> "تعالى عن الحدود والغايات والأركان والأعضاء والأدوات لا تحويه الجهات الست كسائر المبتدعات" وقوله</w:t>
      </w:r>
      <w:r w:rsidR="000636C2">
        <w:rPr>
          <w:rFonts w:hint="cs"/>
          <w:rtl/>
        </w:rPr>
        <w:t>:</w:t>
      </w:r>
      <w:r w:rsidRPr="005675B2">
        <w:rPr>
          <w:rFonts w:hint="cs"/>
          <w:rtl/>
        </w:rPr>
        <w:t xml:space="preserve"> "والعرش والكرسي حق، وهو مستغن عن العرش وما دونه، محيطٌ بكلِّ شيء، وبما فوقه" هكذا بلفظ "بما فوقه" وما فوق العرش هو اللوح المحفوظ كما في حديث الصحيحين</w:t>
      </w:r>
      <w:r w:rsidR="000636C2">
        <w:rPr>
          <w:rFonts w:hint="cs"/>
          <w:rtl/>
        </w:rPr>
        <w:t>:</w:t>
      </w:r>
      <w:r w:rsidRPr="005675B2">
        <w:rPr>
          <w:rFonts w:hint="cs"/>
          <w:rtl/>
        </w:rPr>
        <w:t xml:space="preserve"> " إن الله كتب كتابا قبل أن يخلق الخلق، إن رحمتي سبقت غضبي، فهو مكتوبٌ عنده فوق العرش" وقال الطحاوي أيضا</w:t>
      </w:r>
      <w:r w:rsidR="000636C2">
        <w:rPr>
          <w:rFonts w:hint="cs"/>
          <w:rtl/>
        </w:rPr>
        <w:t>:</w:t>
      </w:r>
      <w:r w:rsidRPr="005675B2">
        <w:rPr>
          <w:rFonts w:hint="cs"/>
          <w:rtl/>
        </w:rPr>
        <w:t xml:space="preserve"> "له معنى الربوبية ولا مربوب</w:t>
      </w:r>
      <w:r w:rsidR="000636C2">
        <w:rPr>
          <w:rFonts w:hint="cs"/>
          <w:rtl/>
        </w:rPr>
        <w:t>،</w:t>
      </w:r>
      <w:r w:rsidRPr="005675B2">
        <w:rPr>
          <w:rFonts w:hint="cs"/>
          <w:rtl/>
        </w:rPr>
        <w:t xml:space="preserve"> ومعنى الخالق ولا مخلوق" وهذا مخالف لقول من يقول بالقدم النوعي للعالم، وبتسلسل الحوادث في جانب الماضي</w:t>
      </w:r>
      <w:r w:rsidR="000636C2">
        <w:rPr>
          <w:rFonts w:hint="cs"/>
          <w:rtl/>
        </w:rPr>
        <w:t xml:space="preserve">، </w:t>
      </w:r>
      <w:r w:rsidRPr="005675B2">
        <w:rPr>
          <w:rFonts w:hint="cs"/>
          <w:rtl/>
        </w:rPr>
        <w:t>وقول الدكتور</w:t>
      </w:r>
      <w:r w:rsidR="000636C2">
        <w:rPr>
          <w:rFonts w:hint="cs"/>
          <w:rtl/>
        </w:rPr>
        <w:t>:</w:t>
      </w:r>
      <w:r w:rsidRPr="005675B2">
        <w:rPr>
          <w:rFonts w:hint="cs"/>
          <w:rtl/>
        </w:rPr>
        <w:t xml:space="preserve"> "وهي مشابهة لما في الفقه الأكبر عنه" هذا الكلام مثل الكلام السابق صحيحٌ، ولكن الخطأ في السياق والإيهام، والفقه الأكبر أيضا مشتمل على ما يخالف عقيدة الدكتور منها قوله</w:t>
      </w:r>
      <w:r w:rsidR="000636C2">
        <w:rPr>
          <w:rFonts w:hint="cs"/>
          <w:rtl/>
        </w:rPr>
        <w:t>:</w:t>
      </w:r>
      <w:r w:rsidRPr="005675B2">
        <w:rPr>
          <w:rFonts w:hint="cs"/>
          <w:rtl/>
        </w:rPr>
        <w:t xml:space="preserve"> " ومعنى الشيء إثباته –اي اثبات الله - بلا جسم ولا جوهرٍ ولا عَرَضٍ ولا حدَّ له، ولا ضدَّ له، ولا ندَّ له</w:t>
      </w:r>
      <w:r w:rsidR="000636C2">
        <w:rPr>
          <w:rFonts w:hint="cs"/>
          <w:rtl/>
        </w:rPr>
        <w:t>،</w:t>
      </w:r>
      <w:r w:rsidRPr="005675B2">
        <w:rPr>
          <w:rFonts w:hint="cs"/>
          <w:rtl/>
        </w:rPr>
        <w:t xml:space="preserve"> ولا مثلَ له " ففيه نفي الحد عن الله تعالى الذي هو لازم للاستقرار على العرش</w:t>
      </w:r>
      <w:r w:rsidR="000636C2">
        <w:rPr>
          <w:rFonts w:hint="cs"/>
          <w:rtl/>
        </w:rPr>
        <w:t xml:space="preserve">، </w:t>
      </w:r>
      <w:r w:rsidRPr="005675B2">
        <w:rPr>
          <w:rFonts w:hint="cs"/>
          <w:rtl/>
        </w:rPr>
        <w:t>ومنها قوله</w:t>
      </w:r>
      <w:r w:rsidR="000636C2">
        <w:rPr>
          <w:rFonts w:hint="cs"/>
          <w:rtl/>
        </w:rPr>
        <w:t>:</w:t>
      </w:r>
      <w:r w:rsidRPr="005675B2">
        <w:rPr>
          <w:rFonts w:hint="cs"/>
          <w:rtl/>
        </w:rPr>
        <w:t xml:space="preserve"> " ويتكلم لا ككلامنا، ونحن نتكلم بالآلات والحروف، والله تعالى يتكلم بلا آلة ولا حروف، والحروفُ مخلوقةٌ، وكلامُ الله تعالى غيرُ مخلوق</w:t>
      </w:r>
      <w:r w:rsidR="000636C2">
        <w:rPr>
          <w:rFonts w:hint="cs"/>
          <w:rtl/>
        </w:rPr>
        <w:t>،</w:t>
      </w:r>
      <w:r w:rsidRPr="005675B2">
        <w:rPr>
          <w:rFonts w:hint="cs"/>
          <w:rtl/>
        </w:rPr>
        <w:t xml:space="preserve"> وهذا مخالف لمذهب من قال</w:t>
      </w:r>
      <w:r w:rsidR="000636C2">
        <w:rPr>
          <w:rFonts w:hint="cs"/>
          <w:rtl/>
        </w:rPr>
        <w:t>:</w:t>
      </w:r>
      <w:r w:rsidRPr="005675B2">
        <w:rPr>
          <w:rFonts w:hint="cs"/>
          <w:rtl/>
        </w:rPr>
        <w:t xml:space="preserve"> إن الله تعالى يتكلم بحروف وأصوات</w:t>
      </w:r>
      <w:r w:rsidR="000636C2">
        <w:rPr>
          <w:rFonts w:hint="cs"/>
          <w:rtl/>
        </w:rPr>
        <w:t xml:space="preserve">، </w:t>
      </w:r>
      <w:r w:rsidRPr="005675B2">
        <w:rPr>
          <w:rFonts w:hint="cs"/>
          <w:rtl/>
        </w:rPr>
        <w:t>وقول الدكتور</w:t>
      </w:r>
      <w:r w:rsidR="000636C2">
        <w:rPr>
          <w:rFonts w:hint="cs"/>
          <w:rtl/>
        </w:rPr>
        <w:t>:</w:t>
      </w:r>
      <w:r w:rsidRPr="005675B2">
        <w:rPr>
          <w:rFonts w:hint="cs"/>
          <w:rtl/>
        </w:rPr>
        <w:t xml:space="preserve"> " وقد نقلوا عن الإمام انه صرح بكفر من قال انه الله ليس على العرش أو توفق فيه"</w:t>
      </w:r>
      <w:r w:rsidR="000636C2">
        <w:rPr>
          <w:rFonts w:hint="cs"/>
          <w:rtl/>
        </w:rPr>
        <w:t>،</w:t>
      </w:r>
      <w:r w:rsidRPr="005675B2">
        <w:rPr>
          <w:rFonts w:hint="cs"/>
          <w:rtl/>
        </w:rPr>
        <w:t xml:space="preserve"> أقول</w:t>
      </w:r>
      <w:r w:rsidR="000636C2">
        <w:rPr>
          <w:rFonts w:hint="cs"/>
          <w:rtl/>
        </w:rPr>
        <w:t>:</w:t>
      </w:r>
      <w:r w:rsidRPr="005675B2">
        <w:rPr>
          <w:rFonts w:hint="cs"/>
          <w:rtl/>
        </w:rPr>
        <w:t xml:space="preserve"> الذي روى ذلك عن أبي حنيفة اثنان</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أبو مطيع البلخي، قال الإمام أحمد</w:t>
      </w:r>
      <w:r w:rsidR="000636C2">
        <w:rPr>
          <w:rFonts w:hint="cs"/>
          <w:rtl/>
        </w:rPr>
        <w:t>:</w:t>
      </w:r>
      <w:r w:rsidRPr="005675B2">
        <w:rPr>
          <w:rFonts w:hint="cs"/>
          <w:rtl/>
        </w:rPr>
        <w:t xml:space="preserve"> لا ينبغي أن يُروَى عنه شيءٌ</w:t>
      </w:r>
      <w:r w:rsidR="000636C2">
        <w:rPr>
          <w:rFonts w:hint="cs"/>
          <w:rtl/>
        </w:rPr>
        <w:t>،</w:t>
      </w:r>
      <w:r w:rsidRPr="005675B2">
        <w:rPr>
          <w:rFonts w:hint="cs"/>
          <w:rtl/>
        </w:rPr>
        <w:t xml:space="preserve"> وعن يحيى بن معين</w:t>
      </w:r>
      <w:r w:rsidR="000636C2">
        <w:rPr>
          <w:rFonts w:hint="cs"/>
          <w:rtl/>
        </w:rPr>
        <w:t>:</w:t>
      </w:r>
      <w:r w:rsidRPr="005675B2">
        <w:rPr>
          <w:rFonts w:hint="cs"/>
          <w:rtl/>
        </w:rPr>
        <w:t xml:space="preserve"> ليس بشيء</w:t>
      </w:r>
      <w:r w:rsidR="000636C2">
        <w:rPr>
          <w:rFonts w:hint="cs"/>
          <w:rtl/>
        </w:rPr>
        <w:t>،</w:t>
      </w:r>
      <w:r w:rsidRPr="005675B2">
        <w:rPr>
          <w:rFonts w:hint="cs"/>
          <w:rtl/>
        </w:rPr>
        <w:t xml:space="preserve"> وقال أبو حاتم الرازي</w:t>
      </w:r>
      <w:r w:rsidR="000636C2">
        <w:rPr>
          <w:rFonts w:hint="cs"/>
          <w:rtl/>
        </w:rPr>
        <w:t>:</w:t>
      </w:r>
      <w:r w:rsidRPr="005675B2">
        <w:rPr>
          <w:rFonts w:hint="cs"/>
          <w:rtl/>
        </w:rPr>
        <w:t xml:space="preserve"> كان مُرْجِئاً كذاباً</w:t>
      </w:r>
      <w:r w:rsidR="000636C2">
        <w:rPr>
          <w:rFonts w:hint="cs"/>
          <w:rtl/>
        </w:rPr>
        <w:t>،</w:t>
      </w:r>
      <w:r w:rsidRPr="005675B2">
        <w:rPr>
          <w:rFonts w:hint="cs"/>
          <w:rtl/>
        </w:rPr>
        <w:t xml:space="preserve"> راجع</w:t>
      </w:r>
      <w:r w:rsidR="000636C2">
        <w:rPr>
          <w:rFonts w:hint="cs"/>
          <w:rtl/>
        </w:rPr>
        <w:t>:</w:t>
      </w:r>
      <w:r w:rsidRPr="005675B2">
        <w:rPr>
          <w:rFonts w:hint="cs"/>
          <w:rtl/>
        </w:rPr>
        <w:t xml:space="preserve"> </w:t>
      </w:r>
      <w:r w:rsidR="000636C2">
        <w:rPr>
          <w:rFonts w:hint="cs"/>
          <w:rtl/>
        </w:rPr>
        <w:t>(</w:t>
      </w:r>
      <w:r w:rsidRPr="005675B2">
        <w:rPr>
          <w:rFonts w:hint="cs"/>
          <w:rtl/>
        </w:rPr>
        <w:t>لسان الميزان</w:t>
      </w:r>
      <w:r w:rsidR="000636C2">
        <w:rPr>
          <w:rFonts w:hint="cs"/>
          <w:rtl/>
        </w:rPr>
        <w:t>)</w:t>
      </w:r>
      <w:r w:rsidRPr="005675B2">
        <w:rPr>
          <w:rFonts w:hint="cs"/>
          <w:rtl/>
        </w:rPr>
        <w:t xml:space="preserve"> و</w:t>
      </w:r>
      <w:r w:rsidR="000636C2">
        <w:rPr>
          <w:rFonts w:hint="cs"/>
          <w:rtl/>
        </w:rPr>
        <w:t>(</w:t>
      </w:r>
      <w:r w:rsidRPr="005675B2">
        <w:rPr>
          <w:rFonts w:hint="cs"/>
          <w:rtl/>
        </w:rPr>
        <w:t>ميزان الاعتدال</w:t>
      </w:r>
      <w:r w:rsidR="000636C2">
        <w:rPr>
          <w:rFonts w:hint="cs"/>
          <w:rtl/>
        </w:rPr>
        <w:t>)،</w:t>
      </w:r>
      <w:r w:rsidRPr="005675B2">
        <w:rPr>
          <w:rFonts w:hint="cs"/>
          <w:rtl/>
        </w:rPr>
        <w:t xml:space="preserve"> و</w:t>
      </w:r>
      <w:r w:rsidR="000636C2">
        <w:rPr>
          <w:rFonts w:hint="cs"/>
          <w:rtl/>
        </w:rPr>
        <w:t>(</w:t>
      </w:r>
      <w:r w:rsidRPr="005675B2">
        <w:rPr>
          <w:rFonts w:hint="cs"/>
          <w:rtl/>
        </w:rPr>
        <w:t>الثاني</w:t>
      </w:r>
      <w:r w:rsidR="000636C2">
        <w:rPr>
          <w:rFonts w:hint="cs"/>
          <w:rtl/>
        </w:rPr>
        <w:t>):</w:t>
      </w:r>
      <w:r w:rsidRPr="005675B2">
        <w:rPr>
          <w:rFonts w:hint="cs"/>
          <w:rtl/>
        </w:rPr>
        <w:t xml:space="preserve"> هو نوح الجامع</w:t>
      </w:r>
      <w:r w:rsidR="000636C2">
        <w:rPr>
          <w:rFonts w:hint="cs"/>
          <w:rtl/>
        </w:rPr>
        <w:t>:</w:t>
      </w:r>
      <w:r w:rsidRPr="005675B2">
        <w:rPr>
          <w:rFonts w:hint="cs"/>
          <w:rtl/>
        </w:rPr>
        <w:t xml:space="preserve"> قال العلماء فيه</w:t>
      </w:r>
      <w:r w:rsidR="000636C2">
        <w:rPr>
          <w:rFonts w:hint="cs"/>
          <w:rtl/>
        </w:rPr>
        <w:t>:</w:t>
      </w:r>
      <w:r w:rsidRPr="005675B2">
        <w:rPr>
          <w:rFonts w:hint="cs"/>
          <w:rtl/>
        </w:rPr>
        <w:t xml:space="preserve"> كان جامعاً لكلِّ شيء إلا الصدق وهو وضاع مشهور، راجع "تهذيب التهذيب"</w:t>
      </w:r>
      <w:r w:rsidR="000636C2">
        <w:rPr>
          <w:rFonts w:hint="cs"/>
          <w:rtl/>
        </w:rPr>
        <w:t xml:space="preserve">، </w:t>
      </w:r>
      <w:r w:rsidRPr="005675B2">
        <w:rPr>
          <w:rFonts w:hint="cs"/>
          <w:rtl/>
        </w:rPr>
        <w:t>وقول الدكتور</w:t>
      </w:r>
      <w:r w:rsidR="000636C2">
        <w:rPr>
          <w:rFonts w:hint="cs"/>
          <w:rtl/>
        </w:rPr>
        <w:t>:</w:t>
      </w:r>
      <w:r w:rsidRPr="005675B2">
        <w:rPr>
          <w:rFonts w:hint="cs"/>
          <w:rtl/>
        </w:rPr>
        <w:t xml:space="preserve"> "ومعلوم أن الأشاعرة ينفون العلو وينكرون كونه تعالى على العرش"</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الأشاعرة لا ينفون العلو كما لا ينكرون الاستواء على العرش، نعم ينفون استقراره تعالى على العرش وجلوسه عليه، لأنه لم يرد به كتاب ولا سنة، وقد رده العقل والشرع</w:t>
      </w:r>
      <w:r w:rsidR="000636C2">
        <w:rPr>
          <w:rFonts w:hint="cs"/>
          <w:rtl/>
        </w:rPr>
        <w:t>،</w:t>
      </w:r>
      <w:r w:rsidRPr="005675B2">
        <w:rPr>
          <w:rFonts w:hint="cs"/>
          <w:rtl/>
        </w:rPr>
        <w:t xml:space="preserve"> قال الحافظ العسقلاني</w:t>
      </w:r>
      <w:r w:rsidR="000636C2">
        <w:rPr>
          <w:rFonts w:hint="cs"/>
          <w:rtl/>
        </w:rPr>
        <w:t>:</w:t>
      </w:r>
      <w:r w:rsidRPr="005675B2">
        <w:rPr>
          <w:rFonts w:hint="cs"/>
          <w:rtl/>
        </w:rPr>
        <w:t xml:space="preserve"> </w:t>
      </w:r>
      <w:r w:rsidR="000636C2">
        <w:rPr>
          <w:rFonts w:hint="cs"/>
          <w:rtl/>
        </w:rPr>
        <w:t>(</w:t>
      </w:r>
      <w:r w:rsidRPr="005675B2">
        <w:rPr>
          <w:rFonts w:hint="cs"/>
          <w:rtl/>
        </w:rPr>
        <w:t>ولا يلزم من كون جهتي العلو والسفل محالا على الله أن لا يوصف بالعلو لأن وصفه بالعلو من جهة المعنى، والمستحيل كون ذلك من جهة الحس</w:t>
      </w:r>
      <w:r w:rsidR="000636C2">
        <w:rPr>
          <w:rFonts w:hint="cs"/>
          <w:rtl/>
        </w:rPr>
        <w:t>)</w:t>
      </w:r>
      <w:r w:rsidRPr="005675B2">
        <w:rPr>
          <w:rFonts w:hint="cs"/>
          <w:rtl/>
        </w:rPr>
        <w:t xml:space="preserve"> </w:t>
      </w:r>
      <w:r w:rsidR="000636C2">
        <w:rPr>
          <w:rFonts w:hint="cs"/>
          <w:rtl/>
        </w:rPr>
        <w:t>[</w:t>
      </w:r>
      <w:r w:rsidRPr="005675B2">
        <w:rPr>
          <w:rFonts w:hint="cs"/>
          <w:sz w:val="24"/>
          <w:szCs w:val="24"/>
          <w:rtl/>
        </w:rPr>
        <w:t>فتح الباري 6/ 136]</w:t>
      </w:r>
      <w:r w:rsidRPr="005675B2">
        <w:rPr>
          <w:rFonts w:hint="cs"/>
          <w:rtl/>
        </w:rPr>
        <w:t xml:space="preserve"> وقال الإمام الخطابي ما نصه</w:t>
      </w:r>
      <w:r w:rsidR="000636C2">
        <w:rPr>
          <w:rFonts w:hint="cs"/>
          <w:rtl/>
        </w:rPr>
        <w:t>:</w:t>
      </w:r>
      <w:r w:rsidRPr="005675B2">
        <w:rPr>
          <w:rFonts w:hint="cs"/>
          <w:rtl/>
        </w:rPr>
        <w:t xml:space="preserve"> وليس معنى قول المسلمين إن الله على العرش هو انه تعالى مماس له أو متمكن فيه أو متحيز في جهة من جهاته، لكنه بائن من جميع خلقه، وإنما هو خبر جاء به التوقيف فقلنا به ونفينا عنه التكييف إذ </w:t>
      </w:r>
      <w:r w:rsidR="000636C2">
        <w:rPr>
          <w:rFonts w:hint="cs"/>
          <w:rtl/>
        </w:rPr>
        <w:t>(</w:t>
      </w:r>
      <w:r w:rsidRPr="005675B2">
        <w:rPr>
          <w:rFonts w:hint="cs"/>
          <w:rtl/>
        </w:rPr>
        <w:t>ليس كمثله شيء وهو السميع البصير</w:t>
      </w:r>
      <w:r w:rsidR="000636C2">
        <w:rPr>
          <w:rFonts w:hint="cs"/>
          <w:rtl/>
        </w:rPr>
        <w:t>)</w:t>
      </w:r>
      <w:r w:rsidRPr="005675B2">
        <w:rPr>
          <w:rFonts w:hint="cs"/>
          <w:rtl/>
        </w:rPr>
        <w:t xml:space="preserve"> [</w:t>
      </w:r>
      <w:r w:rsidRPr="005675B2">
        <w:rPr>
          <w:rFonts w:hint="cs"/>
          <w:sz w:val="24"/>
          <w:szCs w:val="24"/>
          <w:rtl/>
        </w:rPr>
        <w:t>اعلام الحديث بشرح البخاري 3/137]</w:t>
      </w:r>
      <w:r w:rsidR="000636C2">
        <w:rPr>
          <w:rFonts w:hint="cs"/>
          <w:rtl/>
        </w:rPr>
        <w:t xml:space="preserve">، </w:t>
      </w:r>
      <w:r w:rsidRPr="005675B2">
        <w:rPr>
          <w:rFonts w:hint="cs"/>
          <w:rtl/>
        </w:rPr>
        <w:t>وقول الدكتور</w:t>
      </w:r>
      <w:r w:rsidR="000636C2">
        <w:rPr>
          <w:rFonts w:hint="cs"/>
          <w:rtl/>
        </w:rPr>
        <w:t>:</w:t>
      </w:r>
      <w:r w:rsidRPr="005675B2">
        <w:rPr>
          <w:rFonts w:hint="cs"/>
          <w:rtl/>
        </w:rPr>
        <w:t xml:space="preserve"> </w:t>
      </w:r>
      <w:r w:rsidR="000636C2">
        <w:rPr>
          <w:rFonts w:hint="cs"/>
          <w:rtl/>
        </w:rPr>
        <w:t>(</w:t>
      </w:r>
      <w:r w:rsidRPr="005675B2">
        <w:rPr>
          <w:rFonts w:hint="cs"/>
          <w:rtl/>
        </w:rPr>
        <w:t>ومعلوم أيضا أن أصولهم مستمدة من بشر المريسي</w:t>
      </w:r>
      <w:r w:rsidR="000636C2">
        <w:rPr>
          <w:rFonts w:hint="cs"/>
          <w:rtl/>
        </w:rPr>
        <w:t xml:space="preserve">)، </w:t>
      </w:r>
      <w:r w:rsidRPr="005675B2">
        <w:rPr>
          <w:rFonts w:hint="cs"/>
          <w:rtl/>
        </w:rPr>
        <w:t>أقول</w:t>
      </w:r>
      <w:r w:rsidR="000636C2">
        <w:rPr>
          <w:rFonts w:hint="cs"/>
          <w:rtl/>
        </w:rPr>
        <w:t>:</w:t>
      </w:r>
      <w:r w:rsidRPr="005675B2">
        <w:rPr>
          <w:rFonts w:hint="cs"/>
          <w:rtl/>
        </w:rPr>
        <w:t xml:space="preserve"> </w:t>
      </w:r>
      <w:r w:rsidR="000636C2">
        <w:rPr>
          <w:rFonts w:hint="cs"/>
          <w:rtl/>
        </w:rPr>
        <w:t>(</w:t>
      </w:r>
      <w:r w:rsidRPr="005675B2">
        <w:rPr>
          <w:rFonts w:hint="cs"/>
          <w:rtl/>
        </w:rPr>
        <w:t>أولا</w:t>
      </w:r>
      <w:r w:rsidR="000636C2">
        <w:rPr>
          <w:rFonts w:hint="cs"/>
          <w:rtl/>
        </w:rPr>
        <w:t>):</w:t>
      </w:r>
      <w:r w:rsidRPr="005675B2">
        <w:rPr>
          <w:rFonts w:hint="cs"/>
          <w:rtl/>
        </w:rPr>
        <w:t xml:space="preserve"> الدعاوى إذا لم يقم عليها</w:t>
      </w:r>
      <w:r w:rsidR="000636C2">
        <w:rPr>
          <w:rFonts w:hint="cs"/>
          <w:rtl/>
        </w:rPr>
        <w:t xml:space="preserve"> </w:t>
      </w:r>
      <w:r w:rsidRPr="005675B2">
        <w:rPr>
          <w:rFonts w:hint="cs"/>
          <w:rtl/>
        </w:rPr>
        <w:t>بينات أصحابها أدعياء</w:t>
      </w:r>
      <w:r w:rsidR="000636C2">
        <w:rPr>
          <w:rFonts w:hint="cs"/>
          <w:rtl/>
        </w:rPr>
        <w:t>،</w:t>
      </w:r>
      <w:r w:rsidRPr="005675B2">
        <w:rPr>
          <w:rFonts w:hint="cs"/>
          <w:rtl/>
        </w:rPr>
        <w:t xml:space="preserve"> وأقول ثانيا كما قال الزبيدي في شرح الإحياء</w:t>
      </w:r>
      <w:r w:rsidR="000636C2">
        <w:rPr>
          <w:rFonts w:hint="cs"/>
          <w:rtl/>
        </w:rPr>
        <w:t>:</w:t>
      </w:r>
      <w:r w:rsidRPr="005675B2">
        <w:rPr>
          <w:rFonts w:hint="cs"/>
          <w:rtl/>
        </w:rPr>
        <w:t xml:space="preserve"> إن كلا من الإمامين أبي الحسن وأبي منصور رضي الله تعالى عنهما وجزاهما الله عن الإسلام خيرا لم يبدعا من عندهما رأيا ولم يشتقا مذهبا، وإنما هما مقرران لمذهب السلف مناضلان عما كان عليه أصحاب رسول الله صلى الله تعلى عليه وآله وسلم، فأحدهما قام بنصرة نصوص مذهب الشافعي وما دلت عليه، والثاني قام بنصرة نصوص مذهب أبي حنيفة وما دلت عليه، وناظر كل منهما ذوي البدع والضلالات حتى انقطعوا وولوا منهزمين، وهذا في الحقيقة أصل الجهاد الحقيقي .. فالانتساب إليهما إنما هو باعتبار أن كلا منهما عقد على طريق السلف نطاقا وتمسك وأقام الحجج والبراهين عليه، فصار المقتدى به في تلك المسائل يسمى أشعريا وماتريدياً</w:t>
      </w:r>
      <w:r w:rsidR="000636C2">
        <w:rPr>
          <w:rFonts w:hint="cs"/>
          <w:rtl/>
        </w:rPr>
        <w:t xml:space="preserve">، </w:t>
      </w:r>
      <w:r w:rsidRPr="005675B2">
        <w:rPr>
          <w:rFonts w:hint="cs"/>
          <w:rtl/>
        </w:rPr>
        <w:t xml:space="preserve">وذكر العز بن عبد السلام أن عقيدة الأشعري أجمع عليها الشافعية والمالكية والحنفية وفضلاء الحنابلة، ووافقه على ذلك من أهل عصره شيخ المالكية في زمانه أبو عمرو بن الحاجب وشيخ الحنيفة جمال الدين الحصري وأقره على ذلك التقي السبكي فيما نقله عنه ولده التاج .. انتهى .. وأصل هذا الكلام لتاج الدين السبكي </w:t>
      </w:r>
      <w:r w:rsidR="000636C2">
        <w:rPr>
          <w:rFonts w:hint="cs"/>
          <w:rtl/>
        </w:rPr>
        <w:t>[</w:t>
      </w:r>
      <w:r w:rsidRPr="005675B2">
        <w:rPr>
          <w:rFonts w:hint="cs"/>
          <w:sz w:val="24"/>
          <w:szCs w:val="24"/>
          <w:rtl/>
        </w:rPr>
        <w:t>انظر الطبقات 3/365</w:t>
      </w:r>
      <w:r w:rsidRPr="005675B2">
        <w:rPr>
          <w:rFonts w:hint="cs"/>
          <w:rtl/>
        </w:rPr>
        <w:t>]</w:t>
      </w:r>
      <w:r w:rsidR="000636C2">
        <w:rPr>
          <w:rFonts w:hint="cs"/>
          <w:rtl/>
        </w:rPr>
        <w:t xml:space="preserve">، </w:t>
      </w:r>
      <w:r w:rsidRPr="005675B2">
        <w:rPr>
          <w:rFonts w:hint="cs"/>
          <w:rtl/>
        </w:rPr>
        <w:t>وقال التاج السبكي</w:t>
      </w:r>
      <w:r w:rsidR="000636C2">
        <w:rPr>
          <w:rFonts w:hint="cs"/>
          <w:rtl/>
        </w:rPr>
        <w:t>:</w:t>
      </w:r>
      <w:r w:rsidRPr="005675B2">
        <w:rPr>
          <w:rFonts w:hint="cs"/>
          <w:rtl/>
        </w:rPr>
        <w:t xml:space="preserve"> وهذه المذاهب الأربعة</w:t>
      </w:r>
      <w:r w:rsidR="000636C2">
        <w:rPr>
          <w:rFonts w:hint="cs"/>
          <w:rtl/>
        </w:rPr>
        <w:t xml:space="preserve"> </w:t>
      </w:r>
      <w:r w:rsidRPr="005675B2">
        <w:rPr>
          <w:rFonts w:hint="cs"/>
          <w:rtl/>
        </w:rPr>
        <w:t>- ولله الحمد - في العقائد واحدة إلا من لحق منها باهل الاعتزال والتجسيم، والا فجمهورهم على الحق</w:t>
      </w:r>
      <w:r w:rsidR="000636C2">
        <w:rPr>
          <w:rFonts w:hint="cs"/>
          <w:rtl/>
        </w:rPr>
        <w:t>،</w:t>
      </w:r>
      <w:r w:rsidRPr="005675B2">
        <w:rPr>
          <w:rFonts w:hint="cs"/>
          <w:rtl/>
        </w:rPr>
        <w:t xml:space="preserve"> يقرون عقيدة أبي جعفر الطحاوي التي تلقاها العلماء سلفا وخلفا بالقبول، ويدينون الله برأي شيخ السنة أبي الحسن الأشعري الذي لم يعارضه إلا مبتدع </w:t>
      </w:r>
      <w:r w:rsidR="000636C2">
        <w:rPr>
          <w:rFonts w:hint="cs"/>
          <w:rtl/>
        </w:rPr>
        <w:t>[</w:t>
      </w:r>
      <w:r w:rsidRPr="005675B2">
        <w:rPr>
          <w:rFonts w:hint="cs"/>
          <w:sz w:val="24"/>
          <w:szCs w:val="24"/>
          <w:rtl/>
        </w:rPr>
        <w:t>معيد النعم ومبيد النقم 35</w:t>
      </w:r>
      <w:r w:rsidRPr="005675B2">
        <w:rPr>
          <w:rFonts w:hint="cs"/>
          <w:rtl/>
        </w:rPr>
        <w:t>]</w:t>
      </w:r>
      <w:r w:rsidR="000636C2">
        <w:rPr>
          <w:rFonts w:hint="cs"/>
          <w:rtl/>
        </w:rPr>
        <w:t>،</w:t>
      </w:r>
      <w:r w:rsidRPr="005675B2">
        <w:rPr>
          <w:rFonts w:hint="cs"/>
          <w:rtl/>
        </w:rPr>
        <w:t xml:space="preserve"> وقال</w:t>
      </w:r>
      <w:r w:rsidR="000636C2">
        <w:rPr>
          <w:rFonts w:hint="cs"/>
          <w:rtl/>
        </w:rPr>
        <w:t>:</w:t>
      </w:r>
      <w:r w:rsidRPr="005675B2">
        <w:rPr>
          <w:rFonts w:hint="cs"/>
          <w:rtl/>
        </w:rPr>
        <w:t xml:space="preserve"> ولقد قلت مرة للشيخ الإمام رحمه الله</w:t>
      </w:r>
      <w:r w:rsidR="000636C2">
        <w:rPr>
          <w:rFonts w:hint="cs"/>
          <w:rtl/>
        </w:rPr>
        <w:t>:</w:t>
      </w:r>
      <w:r w:rsidRPr="005675B2">
        <w:rPr>
          <w:rFonts w:hint="cs"/>
          <w:rtl/>
        </w:rPr>
        <w:t xml:space="preserve"> أنا أعجب من الحافظ ابن عساكر في عده طوائف من أتباع الشيخ، ولم يذكر إلا نزرا يسيرا وعددا قليلا، ولو وَفَّى الإستيعاب حقه لا ستوعب غالب علماء المذاهب الأربعة، فإنهم برأي أبي الحسن يدينون الله تعالى، فقال إنما ذكر من اشتهر بالمناضلة عن أبي الحسن، والا فالأمر كما ذكرت من أن غالب علماء المذاهب معه</w:t>
      </w:r>
      <w:r w:rsidR="000636C2">
        <w:rPr>
          <w:rFonts w:hint="cs"/>
          <w:rtl/>
        </w:rPr>
        <w:t xml:space="preserve">، </w:t>
      </w:r>
      <w:r w:rsidRPr="005675B2">
        <w:rPr>
          <w:rFonts w:hint="cs"/>
          <w:sz w:val="24"/>
          <w:szCs w:val="24"/>
          <w:rtl/>
        </w:rPr>
        <w:t>الطقبات 3-365]</w:t>
      </w:r>
    </w:p>
    <w:p w14:paraId="6069BE4F" w14:textId="42B8A3E1" w:rsidR="009C32A0" w:rsidRPr="005675B2" w:rsidRDefault="009C32A0" w:rsidP="000636C2">
      <w:pPr>
        <w:rPr>
          <w:b/>
          <w:rtl/>
        </w:rPr>
      </w:pPr>
      <w:r w:rsidRPr="005675B2">
        <w:rPr>
          <w:rFonts w:hint="cs"/>
          <w:rtl/>
        </w:rPr>
        <w:t>11 - بيان حال الإمام أبي محمد عبد الله بن كُلاَّب</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الحنابلة</w:t>
      </w:r>
      <w:r w:rsidR="000636C2">
        <w:rPr>
          <w:rFonts w:hint="cs"/>
          <w:rtl/>
        </w:rPr>
        <w:t>:</w:t>
      </w:r>
      <w:r w:rsidRPr="005675B2">
        <w:rPr>
          <w:rFonts w:hint="cs"/>
          <w:rtl/>
        </w:rPr>
        <w:t xml:space="preserve"> موقف الحنابلة من الأشاعرة أشهر من أن يذكر، فمنذ بدع الإمام أحمد ابن كلاب وأمر بهجره وهو المؤسس الحقيقي للمذهب الأشعري - لم يزل الحنابلة منهم في معركة طويلة ..</w:t>
      </w:r>
      <w:r w:rsidR="000636C2">
        <w:rPr>
          <w:rFonts w:hint="cs"/>
          <w:rtl/>
        </w:rPr>
        <w:t xml:space="preserve"> </w:t>
      </w:r>
      <w:r w:rsidRPr="005675B2">
        <w:rPr>
          <w:rFonts w:hint="cs"/>
          <w:rtl/>
        </w:rPr>
        <w:t>"</w:t>
      </w:r>
      <w:r w:rsidR="000636C2">
        <w:rPr>
          <w:rFonts w:hint="cs"/>
          <w:rtl/>
        </w:rPr>
        <w:t xml:space="preserve">، </w:t>
      </w:r>
      <w:r w:rsidRPr="005675B2">
        <w:rPr>
          <w:rFonts w:hint="cs"/>
          <w:spacing w:val="-8"/>
          <w:rtl/>
        </w:rPr>
        <w:t>أقول</w:t>
      </w:r>
      <w:r w:rsidR="000636C2">
        <w:rPr>
          <w:rFonts w:hint="cs"/>
          <w:spacing w:val="-8"/>
          <w:rtl/>
        </w:rPr>
        <w:t>:</w:t>
      </w:r>
      <w:r w:rsidRPr="005675B2">
        <w:rPr>
          <w:rFonts w:hint="cs"/>
          <w:spacing w:val="-8"/>
          <w:rtl/>
        </w:rPr>
        <w:t xml:space="preserve"> ابن كُلاّب</w:t>
      </w:r>
      <w:r w:rsidR="000636C2">
        <w:rPr>
          <w:rFonts w:hint="cs"/>
          <w:spacing w:val="-8"/>
          <w:rtl/>
        </w:rPr>
        <w:t>:</w:t>
      </w:r>
      <w:r w:rsidRPr="005675B2">
        <w:rPr>
          <w:rFonts w:hint="cs"/>
          <w:spacing w:val="-8"/>
          <w:rtl/>
        </w:rPr>
        <w:t xml:space="preserve"> هو عبد الله بن سعيد أبو محمد بن كُلاّب القطان</w:t>
      </w:r>
      <w:r w:rsidR="000636C2">
        <w:rPr>
          <w:rFonts w:hint="cs"/>
          <w:spacing w:val="-8"/>
          <w:rtl/>
        </w:rPr>
        <w:t>:</w:t>
      </w:r>
      <w:r w:rsidRPr="005675B2">
        <w:rPr>
          <w:rFonts w:hint="cs"/>
          <w:spacing w:val="-8"/>
          <w:rtl/>
        </w:rPr>
        <w:t xml:space="preserve"> هو احد الأئمة المتكلمين من أهل السنة قال </w:t>
      </w:r>
      <w:r w:rsidRPr="005675B2">
        <w:rPr>
          <w:rFonts w:hint="cs"/>
          <w:rtl/>
        </w:rPr>
        <w:t>السبكي</w:t>
      </w:r>
      <w:r w:rsidR="000636C2">
        <w:rPr>
          <w:rFonts w:hint="cs"/>
          <w:rtl/>
        </w:rPr>
        <w:t>:</w:t>
      </w:r>
      <w:r w:rsidRPr="005675B2">
        <w:rPr>
          <w:rFonts w:hint="cs"/>
          <w:rtl/>
        </w:rPr>
        <w:t xml:space="preserve"> وابن كُلاّب على كل حال من أهل السنة، ثم نقل عن الإمام ضياء الدين الخطيب والد الإمام فخر الدين الرازي أنه قال</w:t>
      </w:r>
      <w:r w:rsidR="000636C2">
        <w:rPr>
          <w:rFonts w:hint="cs"/>
          <w:rtl/>
        </w:rPr>
        <w:t>:</w:t>
      </w:r>
      <w:r w:rsidRPr="005675B2">
        <w:rPr>
          <w:rFonts w:hint="cs"/>
          <w:rtl/>
        </w:rPr>
        <w:t xml:space="preserve"> ومن متكلمي أهل السنة في أيام المأمون عبد الله بن سعيد التميمي الذي دمر المعتزلة في مجلس المأمون وفضحهم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الطبقات 2/300</w:t>
      </w:r>
      <w:r w:rsidRPr="005675B2">
        <w:rPr>
          <w:rFonts w:hint="cs"/>
          <w:rtl/>
        </w:rPr>
        <w:t>] وقال الذهبي</w:t>
      </w:r>
      <w:r w:rsidR="000636C2">
        <w:rPr>
          <w:rFonts w:hint="cs"/>
          <w:rtl/>
        </w:rPr>
        <w:t>:</w:t>
      </w:r>
      <w:r w:rsidRPr="005675B2">
        <w:rPr>
          <w:rFonts w:hint="cs"/>
          <w:rtl/>
        </w:rPr>
        <w:t xml:space="preserve"> والرجل أقرب المتكلمين إلى السنة، بل هو في مناظريهم</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000636C2">
        <w:rPr>
          <w:rFonts w:hint="cs"/>
          <w:rtl/>
        </w:rPr>
        <w:t>[</w:t>
      </w:r>
      <w:r w:rsidRPr="005675B2">
        <w:rPr>
          <w:rFonts w:hint="cs"/>
          <w:sz w:val="24"/>
          <w:szCs w:val="24"/>
          <w:rtl/>
        </w:rPr>
        <w:t>سير أعلام النبلاء 11/ 175]</w:t>
      </w:r>
      <w:r w:rsidRPr="005675B2">
        <w:rPr>
          <w:rFonts w:hint="cs"/>
          <w:rtl/>
        </w:rPr>
        <w:t xml:space="preserve"> وقال الحافظ</w:t>
      </w:r>
      <w:r w:rsidR="000636C2">
        <w:rPr>
          <w:rFonts w:hint="cs"/>
          <w:rtl/>
        </w:rPr>
        <w:t>:</w:t>
      </w:r>
      <w:r w:rsidRPr="005675B2">
        <w:rPr>
          <w:rFonts w:hint="cs"/>
          <w:rtl/>
        </w:rPr>
        <w:t xml:space="preserve"> وقول ابن نديم إنه من الحشوية، يريد من يكون على طريقة السلف في ترك التأويل للآيات والأحاديث المتعلقة بالصفات، ويقال لهم</w:t>
      </w:r>
      <w:r w:rsidR="000636C2">
        <w:rPr>
          <w:rFonts w:hint="cs"/>
          <w:rtl/>
        </w:rPr>
        <w:t>:</w:t>
      </w:r>
      <w:r w:rsidRPr="005675B2">
        <w:rPr>
          <w:rFonts w:hint="cs"/>
          <w:rtl/>
        </w:rPr>
        <w:t xml:space="preserve"> المفوضة، وعلى طريقته مشى الأشعري في كتابه الإبانة</w:t>
      </w:r>
      <w:r w:rsidR="000636C2">
        <w:rPr>
          <w:rFonts w:hint="cs"/>
          <w:rtl/>
        </w:rPr>
        <w:t>،</w:t>
      </w:r>
      <w:r w:rsidRPr="005675B2">
        <w:rPr>
          <w:rFonts w:hint="cs"/>
          <w:spacing w:val="-8"/>
          <w:rtl/>
        </w:rPr>
        <w:t xml:space="preserve"> </w:t>
      </w:r>
      <w:r w:rsidR="000636C2">
        <w:rPr>
          <w:rFonts w:hint="cs"/>
          <w:spacing w:val="-8"/>
          <w:rtl/>
        </w:rPr>
        <w:t>[</w:t>
      </w:r>
      <w:r w:rsidRPr="005675B2">
        <w:rPr>
          <w:rFonts w:hint="cs"/>
          <w:sz w:val="24"/>
          <w:szCs w:val="24"/>
          <w:rtl/>
        </w:rPr>
        <w:t>لسان الميزان 3/ 291]</w:t>
      </w:r>
      <w:r w:rsidR="000636C2">
        <w:rPr>
          <w:rFonts w:hint="cs"/>
          <w:spacing w:val="-8"/>
          <w:rtl/>
        </w:rPr>
        <w:t xml:space="preserve"> </w:t>
      </w:r>
      <w:r w:rsidRPr="005675B2">
        <w:rPr>
          <w:rFonts w:hint="cs"/>
          <w:rtl/>
        </w:rPr>
        <w:t>ثم إن ابن كُلاّب كان عمدة البخاري في نقل المذاهب الكلامية</w:t>
      </w:r>
      <w:r w:rsidR="000636C2">
        <w:rPr>
          <w:rFonts w:hint="cs"/>
          <w:rtl/>
        </w:rPr>
        <w:t>،</w:t>
      </w:r>
      <w:r w:rsidRPr="005675B2">
        <w:rPr>
          <w:rFonts w:hint="cs"/>
          <w:rtl/>
        </w:rPr>
        <w:t xml:space="preserve"> [</w:t>
      </w:r>
      <w:r w:rsidRPr="005675B2">
        <w:rPr>
          <w:rFonts w:hint="cs"/>
          <w:sz w:val="24"/>
          <w:szCs w:val="24"/>
          <w:rtl/>
        </w:rPr>
        <w:t>انظر فتح الباري 1/ 243]</w:t>
      </w:r>
      <w:r w:rsidRPr="005675B2">
        <w:rPr>
          <w:rFonts w:hint="cs"/>
          <w:rtl/>
        </w:rPr>
        <w:t xml:space="preserve"> وأما الإمام أحمد فقد كان يهجر كل من يخوض في الكلام أو في بعض مسائله</w:t>
      </w:r>
      <w:r w:rsidR="000636C2">
        <w:rPr>
          <w:rFonts w:hint="cs"/>
          <w:rtl/>
        </w:rPr>
        <w:t>:</w:t>
      </w:r>
      <w:r w:rsidRPr="005675B2">
        <w:rPr>
          <w:rFonts w:hint="cs"/>
          <w:rtl/>
        </w:rPr>
        <w:t xml:space="preserve"> فقد هجر الحارث المحاسبي لذلك، وهجر الحسين الكرابيسي وكان من كبار المحدثين لقوله</w:t>
      </w:r>
      <w:r w:rsidR="000636C2">
        <w:rPr>
          <w:rFonts w:hint="cs"/>
          <w:rtl/>
        </w:rPr>
        <w:t>:</w:t>
      </w:r>
      <w:r w:rsidRPr="005675B2">
        <w:rPr>
          <w:rFonts w:hint="cs"/>
          <w:rtl/>
        </w:rPr>
        <w:t xml:space="preserve"> لفظي بالقرآن مخلوق، وكان على رأي الكرابيسي هذا البخاري ومسلم وغيرهما، قال الذهبي</w:t>
      </w:r>
      <w:r w:rsidR="000636C2">
        <w:rPr>
          <w:rFonts w:hint="cs"/>
          <w:rtl/>
        </w:rPr>
        <w:t>:</w:t>
      </w:r>
      <w:r w:rsidRPr="005675B2">
        <w:rPr>
          <w:rFonts w:hint="cs"/>
          <w:rtl/>
        </w:rPr>
        <w:t xml:space="preserve"> لا ريب أن ما ابتدعه الكرابيسي وحرره في مسألة اللفظ وأنه مخلوق هو حق</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Pr="005675B2">
        <w:rPr>
          <w:rFonts w:hint="cs"/>
          <w:sz w:val="24"/>
          <w:szCs w:val="24"/>
          <w:rtl/>
        </w:rPr>
        <w:t>سير أعلام النبلاء 12/ 83</w:t>
      </w:r>
      <w:r w:rsidRPr="005675B2">
        <w:rPr>
          <w:rFonts w:hint="cs"/>
          <w:rtl/>
        </w:rPr>
        <w:t>] وقد خاض في الكلام كثير من أئمة السلف لما رأوا الحاجة إلى ذلك لقمع المتبدعة</w:t>
      </w:r>
      <w:r w:rsidR="000636C2">
        <w:rPr>
          <w:rFonts w:hint="cs"/>
          <w:rtl/>
        </w:rPr>
        <w:t>،</w:t>
      </w:r>
      <w:r w:rsidRPr="005675B2">
        <w:rPr>
          <w:rFonts w:hint="cs"/>
          <w:rtl/>
        </w:rPr>
        <w:t xml:space="preserve"> منهم الإمام أبو حنيفة والإمام الشافعي، وليس كلام الإمام أحمد وموقفه حجة على غيره من أئمة السلف، فلكل اجتهاده وأجره</w:t>
      </w:r>
      <w:r w:rsidR="000636C2">
        <w:rPr>
          <w:rFonts w:hint="cs"/>
          <w:rtl/>
        </w:rPr>
        <w:t xml:space="preserve">، </w:t>
      </w:r>
      <w:r w:rsidRPr="005675B2">
        <w:rPr>
          <w:rFonts w:hint="cs"/>
          <w:rtl/>
        </w:rPr>
        <w:t>وأصل المشكلة عند الدكتور ومن هم على شاكلته أنهم يجعلون الإمام أحمد وابن تيمية من الأئمة المعصومين، ويجعلون كلامهم حجة على كل علماء الأمة وأئمتها، ويحكمون على كل من خالفهم بالخطأ الذي لا يحتمل الصواب، بل يبدعونهم من أجل ذلك</w:t>
      </w:r>
      <w:r w:rsidR="000636C2">
        <w:rPr>
          <w:rFonts w:hint="cs"/>
          <w:rtl/>
        </w:rPr>
        <w:t xml:space="preserve">، </w:t>
      </w:r>
      <w:r w:rsidRPr="005675B2">
        <w:rPr>
          <w:rFonts w:hint="cs"/>
          <w:rtl/>
        </w:rPr>
        <w:t>قال الدكتور عن ابن كُلاّب</w:t>
      </w:r>
      <w:r w:rsidR="000636C2">
        <w:rPr>
          <w:rFonts w:hint="cs"/>
          <w:rtl/>
        </w:rPr>
        <w:t>:</w:t>
      </w:r>
      <w:r w:rsidRPr="005675B2">
        <w:rPr>
          <w:rFonts w:hint="cs"/>
          <w:rtl/>
        </w:rPr>
        <w:t xml:space="preserve"> {وهو المؤسس الحقيقي للمذهب الأشعري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قال الدكتور آنفا</w:t>
      </w:r>
      <w:r w:rsidR="000636C2">
        <w:rPr>
          <w:rFonts w:hint="cs"/>
          <w:rtl/>
        </w:rPr>
        <w:t>:</w:t>
      </w:r>
      <w:r w:rsidRPr="005675B2">
        <w:rPr>
          <w:rFonts w:hint="cs"/>
          <w:rtl/>
        </w:rPr>
        <w:t xml:space="preserve"> إن أصول الأشاعرة مستمدة من بشر المريسي، وهو من أكبر رؤوس المتبدعة، كفره الإمام الشافعي .. ثم قال هنا</w:t>
      </w:r>
      <w:r w:rsidR="000636C2">
        <w:rPr>
          <w:rFonts w:hint="cs"/>
          <w:rtl/>
        </w:rPr>
        <w:t>:</w:t>
      </w:r>
      <w:r w:rsidRPr="005675B2">
        <w:rPr>
          <w:rFonts w:hint="cs"/>
          <w:rtl/>
        </w:rPr>
        <w:t xml:space="preserve"> إن المؤسس الحقيقي لمذهب الأشاعرة هو ابن كلاب وهو أحد رؤوس أهل السنة ومتكلميهم، فأي الكلامين حق</w:t>
      </w:r>
      <w:r w:rsidR="000636C2">
        <w:rPr>
          <w:rFonts w:hint="cs"/>
          <w:rtl/>
        </w:rPr>
        <w:t>!؟</w:t>
      </w:r>
      <w:r w:rsidRPr="005675B2">
        <w:rPr>
          <w:rFonts w:hint="cs"/>
          <w:rtl/>
        </w:rPr>
        <w:t xml:space="preserve"> لا شك أن كلاهما باطلان</w:t>
      </w:r>
      <w:r w:rsidR="000636C2">
        <w:rPr>
          <w:rFonts w:hint="cs"/>
          <w:rtl/>
        </w:rPr>
        <w:t>،</w:t>
      </w:r>
      <w:r w:rsidRPr="005675B2">
        <w:rPr>
          <w:rFonts w:hint="cs"/>
          <w:rtl/>
        </w:rPr>
        <w:t xml:space="preserve"> نعم قد استفاد الأشعري من ابن كلاب وأخذ ببعض آرائه كما هو الدارج في استفادة المتأخر من المتقدم، ولقي بعض أصحابه، وهذا لا يعني أنه المؤسس للمذهب الأشعري، والأشعري مقرر لمذهب السلف ومناضل عنه بالاستدلال له ودفع الشبه عنه</w:t>
      </w:r>
      <w:r w:rsidR="000636C2">
        <w:rPr>
          <w:rFonts w:hint="cs"/>
          <w:rtl/>
        </w:rPr>
        <w:t>،</w:t>
      </w:r>
      <w:r w:rsidRPr="005675B2">
        <w:rPr>
          <w:rFonts w:hint="cs"/>
          <w:rtl/>
        </w:rPr>
        <w:t xml:space="preserve"> ولم يات بشيء جديدفي اصل العقيدة كما ان ابن كلاب ايضالم يات بشيء جديدفي اصل العقيدة</w:t>
      </w:r>
      <w:r w:rsidR="000636C2">
        <w:rPr>
          <w:rFonts w:hint="cs"/>
          <w:rtl/>
        </w:rPr>
        <w:t>،</w:t>
      </w:r>
    </w:p>
    <w:p w14:paraId="53B6C273" w14:textId="7C4BA113" w:rsidR="009C32A0" w:rsidRPr="005675B2" w:rsidRDefault="009C32A0" w:rsidP="000636C2">
      <w:pPr>
        <w:rPr>
          <w:b/>
          <w:rtl/>
        </w:rPr>
      </w:pPr>
      <w:r w:rsidRPr="005675B2">
        <w:rPr>
          <w:rFonts w:hint="cs"/>
          <w:rtl/>
        </w:rPr>
        <w:t>12 - موقف علماء الجرح والتعديل من الأشاعرة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"فما ظنك بحكم رجال الجرح والتعديل ممن يعلم أن مذهب الأشاعرة هو رد خبر الآحاد جملة .. وأن في الصحيحين أحاديث موضوعة أدخلها الزنادقة .. وغيرُها من الطوام ..</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أقول </w:t>
      </w:r>
      <w:r w:rsidR="000636C2">
        <w:rPr>
          <w:rFonts w:hint="cs"/>
          <w:rtl/>
        </w:rPr>
        <w:t>(</w:t>
      </w:r>
      <w:r>
        <w:rPr>
          <w:rFonts w:hint="cs"/>
          <w:rtl/>
        </w:rPr>
        <w:t>أولا</w:t>
      </w:r>
      <w:r w:rsidR="000636C2">
        <w:rPr>
          <w:rFonts w:hint="cs"/>
          <w:rtl/>
        </w:rPr>
        <w:t>):</w:t>
      </w:r>
      <w:r w:rsidRPr="005675B2">
        <w:rPr>
          <w:rFonts w:hint="cs"/>
          <w:rtl/>
        </w:rPr>
        <w:t xml:space="preserve"> إن علم الجرح والتعديل قد تقرر قبل أن يتكون مذهب الأشعري كمذهب عَقَدي، وعلماء الجرح والتعديل قد أفضوا إلى ربهم قبل ذلك، وكل من ألف بعد ذلك في الجرح والتعديل من الحفاظ كالمزي، والذهبي، والعسقلاني، فإنما اعتمدوا كلام السابقين ونقلوه، وإن كان الدكتور أراد برجال الجرح والتعديل هؤلاء المتأخرين من الحفاظ فما منهم من أحد جرح الأشاعرة جملة من حيث هم أشاعرة، نعم قد يكون بعضهم قد جرح بعض الأشاعرة، لكن كلام الدكتور يفيد أن الأشاعرة جملة مجروحون عند رجال الجرح والتعديل، وهذا حكم يعلم الدكتور بطلانه، ثم إنه ما من مذهب إلا وفيه من جرح، فقد جرح الذهبي في "الميزاني" وإبن حجر في "لسان الميزان" مجموعة من فقهاء الحنابلة</w:t>
      </w:r>
      <w:r w:rsidR="000636C2">
        <w:rPr>
          <w:rFonts w:hint="cs"/>
          <w:rtl/>
        </w:rPr>
        <w:t>،</w:t>
      </w:r>
      <w:r w:rsidRPr="005675B2">
        <w:rPr>
          <w:rFonts w:hint="cs"/>
          <w:rtl/>
        </w:rPr>
        <w:t xml:space="preserve"> منهم صدقة بن الحسين البغدادي، وعبد العزيز بن الحارث التميمي، وعبيد الله بن علي البغدادي، وعبيد الله بن محمد ابن بطة العكبري، وانظر مخازيه وفظائعه في "لسان الميزان"</w:t>
      </w:r>
      <w:r w:rsidR="000636C2">
        <w:rPr>
          <w:rFonts w:hint="cs"/>
          <w:rtl/>
        </w:rPr>
        <w:t>،</w:t>
      </w:r>
      <w:r w:rsidRPr="005675B2">
        <w:rPr>
          <w:rFonts w:hint="cs"/>
          <w:rtl/>
        </w:rPr>
        <w:t xml:space="preserve"> فهل يقدم المنصف على الطعن في الحنابلة وفي المذهب الحنبلي بمثل هؤلاء المطعونين منهم</w:t>
      </w:r>
      <w:r w:rsidR="000636C2">
        <w:rPr>
          <w:rFonts w:hint="cs"/>
          <w:rtl/>
        </w:rPr>
        <w:t>؟!</w:t>
      </w:r>
      <w:r w:rsidRPr="005675B2">
        <w:rPr>
          <w:rFonts w:hint="cs"/>
          <w:rtl/>
        </w:rPr>
        <w:t>!</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ليس من مذهب الأشاعرة رد خبر الآحاد، بل مذهبهم أن خبر الواحد ليس بحجة قطعية بحيث يكفر من لا يعتقد مقتضاه، وهو حجة عندهم في الاعتقاد بمعنى انه يؤثم ويبدع مخالفه، ولكن لا يكفر، وهذا الرأي مالا يجوز المحيد عنه</w:t>
      </w:r>
      <w:r w:rsidR="000636C2">
        <w:rPr>
          <w:rFonts w:hint="cs"/>
          <w:rtl/>
        </w:rPr>
        <w:t>،</w:t>
      </w:r>
      <w:r w:rsidRPr="005675B2">
        <w:rPr>
          <w:rFonts w:hint="cs"/>
          <w:rtl/>
        </w:rPr>
        <w:t xml:space="preserve"> وانظر كتبهم الكلامية كيف يستدلون فيها دائما على اثبات العقائد بأخبار الآحاد، ولا سيما في قسم السمعيات منها وسيأتي تحقيق المسألة</w:t>
      </w:r>
      <w:r w:rsidR="000636C2">
        <w:rPr>
          <w:rFonts w:hint="cs"/>
          <w:rtl/>
        </w:rPr>
        <w:t xml:space="preserve">، </w:t>
      </w:r>
      <w:r w:rsidRPr="005675B2">
        <w:rPr>
          <w:rFonts w:hint="cs"/>
          <w:rtl/>
        </w:rPr>
        <w:t>وأما الصحيحان فأشهر من نار على علم أن علماء الأشاعرة يرون وقوع الإجماع على صحة ما فيهما من الأحاديث غير ما انتقد منها، وغير ما وقع فيها التخالف</w:t>
      </w:r>
      <w:r w:rsidR="000636C2">
        <w:rPr>
          <w:rFonts w:hint="cs"/>
          <w:rtl/>
        </w:rPr>
        <w:t xml:space="preserve">، </w:t>
      </w:r>
      <w:r w:rsidRPr="005675B2">
        <w:rPr>
          <w:rFonts w:hint="cs"/>
          <w:rtl/>
        </w:rPr>
        <w:t>ولم يقل أحد من الأشاعرة</w:t>
      </w:r>
      <w:r w:rsidR="000636C2">
        <w:rPr>
          <w:rFonts w:hint="cs"/>
          <w:rtl/>
        </w:rPr>
        <w:t>:</w:t>
      </w:r>
      <w:r w:rsidRPr="005675B2">
        <w:rPr>
          <w:rFonts w:hint="cs"/>
          <w:rtl/>
        </w:rPr>
        <w:t xml:space="preserve"> إن في الصحيحين أحاديث موضوعة أدخلها الزنادقة</w:t>
      </w:r>
      <w:r w:rsidR="000636C2">
        <w:rPr>
          <w:rFonts w:hint="cs"/>
          <w:rtl/>
        </w:rPr>
        <w:t>،</w:t>
      </w:r>
    </w:p>
    <w:p w14:paraId="254EA93E" w14:textId="0247DDAE" w:rsidR="009C32A0" w:rsidRPr="005675B2" w:rsidRDefault="009C32A0" w:rsidP="000636C2">
      <w:pPr>
        <w:rPr>
          <w:b/>
          <w:rtl/>
        </w:rPr>
      </w:pPr>
      <w:r w:rsidRPr="005675B2">
        <w:rPr>
          <w:rFonts w:hint="cs"/>
          <w:rtl/>
        </w:rPr>
        <w:t>13 - علماء السلوك موافقون للأشاعرة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وليس ذم الأشاعرة وتبديعهم خاصة بأئمة المذاهب المعتبرين، بل هو منقول أيضا عن أئمة السلوك .. حتى إن عبد القادر الجيلاني لما سئل هل كان لله ولي على غير اعتقاد أحمد بن حنبل</w:t>
      </w:r>
      <w:r w:rsidR="000636C2">
        <w:rPr>
          <w:rFonts w:hint="cs"/>
          <w:rtl/>
        </w:rPr>
        <w:t>؟</w:t>
      </w:r>
      <w:r w:rsidRPr="005675B2">
        <w:rPr>
          <w:rFonts w:hint="cs"/>
          <w:rtl/>
        </w:rPr>
        <w:t xml:space="preserve"> قال</w:t>
      </w:r>
      <w:r w:rsidR="000636C2">
        <w:rPr>
          <w:rFonts w:hint="cs"/>
          <w:rtl/>
        </w:rPr>
        <w:t>:</w:t>
      </w:r>
      <w:r w:rsidRPr="005675B2">
        <w:rPr>
          <w:rFonts w:hint="cs"/>
          <w:rtl/>
        </w:rPr>
        <w:t xml:space="preserve"> ما كان وما يكون "</w:t>
      </w:r>
      <w:r w:rsidR="000636C2">
        <w:rPr>
          <w:rFonts w:hint="cs"/>
          <w:rtl/>
        </w:rPr>
        <w:t xml:space="preserve">، </w:t>
      </w:r>
      <w:r w:rsidRPr="005675B2">
        <w:rPr>
          <w:rFonts w:hint="cs"/>
          <w:rtl/>
        </w:rPr>
        <w:t>أقول</w:t>
      </w:r>
      <w:r w:rsidR="000636C2">
        <w:rPr>
          <w:rFonts w:hint="cs"/>
          <w:rtl/>
        </w:rPr>
        <w:t>:</w:t>
      </w:r>
      <w:r w:rsidRPr="005675B2">
        <w:rPr>
          <w:rFonts w:hint="cs"/>
          <w:rtl/>
        </w:rPr>
        <w:t xml:space="preserve"> إذا جاء عن بعض أئمة السلوك ذم الأشاعرة فإن هذا لا يعني أن كلهم أو أكثرهم قد ذموا الأشاعرة أو رموهم بالإبتداع، بل من المقررالذي هو أشهر من نار على علم أن معظم أئمة السلوك والتربية إما أشعرية أو ماتريدية، ثم إنه ليست عقيدة الأشعرية مخالفة في الأصول لأصول عقيدة الإمام أحمد، كما يفيده كلام الدكتور</w:t>
      </w:r>
      <w:r w:rsidR="000636C2">
        <w:rPr>
          <w:rFonts w:hint="cs"/>
          <w:rtl/>
        </w:rPr>
        <w:t>،</w:t>
      </w:r>
      <w:r w:rsidRPr="005675B2">
        <w:rPr>
          <w:rFonts w:hint="cs"/>
          <w:rtl/>
        </w:rPr>
        <w:t xml:space="preserve"> نعم هناك اختلاف في مسائل هي من مسائل الاجتهاد وليست من المسائل الأصول في العقيدة</w:t>
      </w:r>
      <w:r w:rsidR="000636C2">
        <w:rPr>
          <w:rFonts w:hint="cs"/>
          <w:rtl/>
        </w:rPr>
        <w:t xml:space="preserve">، </w:t>
      </w:r>
      <w:r w:rsidRPr="005675B2">
        <w:rPr>
          <w:rFonts w:hint="cs"/>
          <w:rtl/>
        </w:rPr>
        <w:t>ومن أراد التحقق من أن عقيدة أئمة السلوك موافقة لمذهب الأشاعرة ومخالفة لما عليه الدكتور من الإعتقاد فليراجع الفصل الأول من الرسالة القشيرية المعقود لبيان معتقدهم في الأصول وإليك نبذة يسيرة من ذلك</w:t>
      </w:r>
      <w:r w:rsidR="000636C2">
        <w:rPr>
          <w:rFonts w:hint="cs"/>
          <w:rtl/>
        </w:rPr>
        <w:t>:</w:t>
      </w:r>
      <w:r w:rsidRPr="005675B2">
        <w:rPr>
          <w:rFonts w:hint="cs"/>
          <w:rtl/>
        </w:rPr>
        <w:t xml:space="preserve"> </w:t>
      </w:r>
      <w:r w:rsidR="000636C2">
        <w:rPr>
          <w:rFonts w:hint="cs"/>
          <w:rtl/>
        </w:rPr>
        <w:t>(</w:t>
      </w:r>
      <w:r w:rsidRPr="005675B2">
        <w:rPr>
          <w:rFonts w:hint="cs"/>
          <w:rtl/>
        </w:rPr>
        <w:t>الله هو الواحد .. لا حد لذاته ولا حروف لكلماته</w:t>
      </w:r>
      <w:r w:rsidR="000636C2">
        <w:rPr>
          <w:rFonts w:hint="cs"/>
          <w:rtl/>
        </w:rPr>
        <w:t>)</w:t>
      </w:r>
      <w:r w:rsidRPr="005675B2">
        <w:rPr>
          <w:rFonts w:hint="cs"/>
          <w:rtl/>
        </w:rPr>
        <w:t xml:space="preserve"> </w:t>
      </w:r>
      <w:r w:rsidR="000636C2">
        <w:rPr>
          <w:rFonts w:hint="cs"/>
          <w:rtl/>
        </w:rPr>
        <w:t>(</w:t>
      </w:r>
      <w:r w:rsidRPr="005675B2">
        <w:rPr>
          <w:rFonts w:hint="cs"/>
          <w:rtl/>
        </w:rPr>
        <w:t>أثبت ذاته ونفى مكانه</w:t>
      </w:r>
      <w:r w:rsidR="000636C2">
        <w:rPr>
          <w:rFonts w:hint="cs"/>
          <w:rtl/>
        </w:rPr>
        <w:t>)</w:t>
      </w:r>
      <w:r w:rsidRPr="005675B2">
        <w:rPr>
          <w:rFonts w:hint="cs"/>
          <w:rtl/>
        </w:rPr>
        <w:t xml:space="preserve"> </w:t>
      </w:r>
      <w:r w:rsidR="000636C2">
        <w:rPr>
          <w:rFonts w:hint="cs"/>
          <w:rtl/>
        </w:rPr>
        <w:t>(</w:t>
      </w:r>
      <w:r w:rsidRPr="005675B2">
        <w:rPr>
          <w:rFonts w:hint="cs"/>
          <w:rtl/>
        </w:rPr>
        <w:t>ليس بجسم ولا جوهر ولا عرض .. لا جهة له ولا مكان .. ولا يحله حادث، ولا يحمله على الفعل باعث .. ولا يقال أين هو، ولا كيف هو .. ولا يقال</w:t>
      </w:r>
      <w:r w:rsidR="000636C2">
        <w:rPr>
          <w:rFonts w:hint="cs"/>
          <w:rtl/>
        </w:rPr>
        <w:t>:</w:t>
      </w:r>
      <w:r w:rsidRPr="005675B2">
        <w:rPr>
          <w:rFonts w:hint="cs"/>
          <w:rtl/>
        </w:rPr>
        <w:t xml:space="preserve"> لم فعل ما فعل</w:t>
      </w:r>
      <w:r w:rsidR="000636C2">
        <w:rPr>
          <w:rFonts w:hint="cs"/>
          <w:rtl/>
        </w:rPr>
        <w:t>؟</w:t>
      </w:r>
      <w:r w:rsidRPr="005675B2">
        <w:rPr>
          <w:rFonts w:hint="cs"/>
          <w:rtl/>
        </w:rPr>
        <w:t xml:space="preserve"> إذ لا علة لأفعاله .. يُرى لا عن مقابلة ..</w:t>
      </w:r>
      <w:r w:rsidR="000636C2">
        <w:rPr>
          <w:rFonts w:hint="cs"/>
          <w:rtl/>
        </w:rPr>
        <w:t>)</w:t>
      </w:r>
      <w:r w:rsidRPr="005675B2">
        <w:rPr>
          <w:rFonts w:hint="cs"/>
          <w:rtl/>
        </w:rPr>
        <w:t>؛ ثم ليراجع عقيدة كل واحد من أئمة السلوك في كتبهم ورسائلهم كي يتحقق مما قلناه من بطلان ما قاله الدكتور</w:t>
      </w:r>
      <w:r w:rsidR="000636C2">
        <w:rPr>
          <w:rFonts w:hint="cs"/>
          <w:rtl/>
        </w:rPr>
        <w:t>،</w:t>
      </w:r>
    </w:p>
    <w:p w14:paraId="55BF85D7" w14:textId="11C72A14" w:rsidR="009C32A0" w:rsidRPr="005675B2" w:rsidRDefault="009C32A0" w:rsidP="000636C2">
      <w:pPr>
        <w:rPr>
          <w:b/>
          <w:rtl/>
        </w:rPr>
      </w:pPr>
      <w:r w:rsidRPr="005675B2">
        <w:rPr>
          <w:rFonts w:hint="cs"/>
          <w:rtl/>
        </w:rPr>
        <w:t>14 - الذي رجع عنه من رجع من الأشاعرة هو منهج الإستدلال لا العقيدة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وههنا حقيقة كبرى أثبتها علماء الأشعرية الكبار بأنفسهم كالجويني وابنه أبي المعالي والرازي والغزالي وغيرهم، وهي حقيقة إعلان حيرتهم وتوبتهم ورجوعهم إلى مذهب السلف</w:t>
      </w:r>
      <w:r w:rsidR="000636C2">
        <w:rPr>
          <w:rFonts w:hint="cs"/>
          <w:rtl/>
        </w:rPr>
        <w:t>،</w:t>
      </w:r>
      <w:r w:rsidRPr="005675B2">
        <w:rPr>
          <w:rFonts w:hint="cs"/>
          <w:rtl/>
        </w:rPr>
        <w:t xml:space="preserve"> وكتب الأشعرية المتعصبة مثل طبقات الشافعية أوردت ذلك في تراجمهم أو بعضه فما دلالة ذلك</w:t>
      </w:r>
      <w:r w:rsidR="000636C2">
        <w:rPr>
          <w:rFonts w:hint="cs"/>
          <w:rtl/>
        </w:rPr>
        <w:t>؟</w:t>
      </w:r>
      <w:r w:rsidRPr="005675B2">
        <w:rPr>
          <w:rFonts w:hint="cs"/>
          <w:rtl/>
        </w:rPr>
        <w:t xml:space="preserve"> إذا كانوا من أصلهم على عقيدة أهل السنة والجماعة فعن أي شيء رجعوا</w:t>
      </w:r>
      <w:r w:rsidR="000636C2">
        <w:rPr>
          <w:rFonts w:hint="cs"/>
          <w:rtl/>
        </w:rPr>
        <w:t>؟</w:t>
      </w:r>
      <w:r w:rsidRPr="005675B2">
        <w:rPr>
          <w:rFonts w:hint="cs"/>
          <w:rtl/>
        </w:rPr>
        <w:t xml:space="preserve"> ولماذا رجعوا</w:t>
      </w:r>
      <w:r w:rsidR="000636C2">
        <w:rPr>
          <w:rFonts w:hint="cs"/>
          <w:rtl/>
        </w:rPr>
        <w:t>؟</w:t>
      </w:r>
      <w:r w:rsidRPr="005675B2">
        <w:rPr>
          <w:rFonts w:hint="cs"/>
          <w:rtl/>
        </w:rPr>
        <w:t xml:space="preserve"> والى أي عقيدة رجعوا</w:t>
      </w:r>
      <w:r w:rsidR="000636C2">
        <w:rPr>
          <w:rFonts w:hint="cs"/>
          <w:rtl/>
        </w:rPr>
        <w:t>؟</w:t>
      </w:r>
      <w:r w:rsidRPr="005675B2">
        <w:rPr>
          <w:rFonts w:hint="cs"/>
          <w:rtl/>
        </w:rPr>
        <w:t xml:space="preserve">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الذي رجع عنه من رجع منهم ليس هو العقيدة، وإنما الذي رجعوا عنه هو منهج الاستدلال من الغلو في الاعتماد على العقل، والجري في ذلك على أساليب الفلاسفة ومناهجهم، وهم أولا دعاهم إلى ذلك ضرورة رد مذاهب المعتزلة والفلاسفة، وبيان زيف أصولهم الباطلة، ورد الشبه التي اتت من قبلهم ليتم الإلزام لهم من باب</w:t>
      </w:r>
      <w:r w:rsidR="000636C2">
        <w:rPr>
          <w:rFonts w:hint="cs"/>
          <w:rtl/>
        </w:rPr>
        <w:t>:(</w:t>
      </w:r>
      <w:r w:rsidRPr="005675B2">
        <w:rPr>
          <w:rFonts w:hint="cs"/>
          <w:rtl/>
        </w:rPr>
        <w:t>من فمك أدينك</w:t>
      </w:r>
      <w:r w:rsidR="000636C2">
        <w:rPr>
          <w:rFonts w:hint="cs"/>
          <w:rtl/>
        </w:rPr>
        <w:t>)</w:t>
      </w:r>
      <w:r w:rsidRPr="005675B2">
        <w:rPr>
          <w:rFonts w:hint="cs"/>
          <w:rtl/>
        </w:rPr>
        <w:t>، ثم استقر هذا المنهج وصار علما يدرس، وليس في أصول عقائد الأشاعرة والماتريدية ما يخالف الكتاب والسنة</w:t>
      </w:r>
      <w:r w:rsidR="000636C2">
        <w:rPr>
          <w:rFonts w:hint="cs"/>
          <w:rtl/>
        </w:rPr>
        <w:t>،</w:t>
      </w:r>
      <w:r w:rsidRPr="005675B2">
        <w:rPr>
          <w:rFonts w:hint="cs"/>
          <w:rtl/>
        </w:rPr>
        <w:t xml:space="preserve"> ولو كان قد رجعوا عن عقائد معينة لكانوا بينوها وحذروا منها، فإن ذلك من آكد الواجبات، ولم يثبت عن أحد منهم شيئ من ذلك</w:t>
      </w:r>
      <w:r w:rsidR="000636C2">
        <w:rPr>
          <w:rFonts w:hint="cs"/>
          <w:rtl/>
        </w:rPr>
        <w:t xml:space="preserve">، </w:t>
      </w:r>
      <w:r w:rsidRPr="005675B2">
        <w:rPr>
          <w:rFonts w:hint="cs"/>
          <w:rtl/>
        </w:rPr>
        <w:t>نعم قد رجع بعض العلماء عن التأويل في الصفات الخبرية إلى التفويض، ومذهب التفويض وإن كان أولى وأسلم إلا أن التأويل بشروطه صحيح، ثم انه لا مناص من التأويل في بعض النصوص</w:t>
      </w:r>
      <w:r w:rsidR="000636C2">
        <w:rPr>
          <w:rFonts w:hint="cs"/>
          <w:rtl/>
        </w:rPr>
        <w:t xml:space="preserve">، </w:t>
      </w:r>
      <w:r w:rsidRPr="005675B2">
        <w:rPr>
          <w:rFonts w:hint="cs"/>
          <w:rtl/>
        </w:rPr>
        <w:t>وهذا ما اضطر الإمام احمد وبعض السلف إلى التأويل في بعضها</w:t>
      </w:r>
      <w:r w:rsidR="000636C2">
        <w:rPr>
          <w:rFonts w:hint="cs"/>
          <w:rtl/>
        </w:rPr>
        <w:t>،</w:t>
      </w:r>
      <w:r w:rsidRPr="005675B2">
        <w:rPr>
          <w:rFonts w:hint="cs"/>
          <w:rtl/>
        </w:rPr>
        <w:t xml:space="preserve"> كما سيأتي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وكتب الأشاعرة نفسها عند تعريف مذهبي السلف والخلف تقول إن مذهب السلف هو مذهب القرون الثلاثة، وبعضها يقول إنه مذهب القرون الخمسة ..</w:t>
      </w:r>
      <w:r w:rsidR="000636C2">
        <w:rPr>
          <w:rFonts w:hint="cs"/>
          <w:rtl/>
        </w:rPr>
        <w:t xml:space="preserve"> </w:t>
      </w:r>
      <w:r w:rsidRPr="005675B2">
        <w:rPr>
          <w:rFonts w:hint="cs"/>
          <w:rtl/>
        </w:rPr>
        <w:t>"</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فرقت كتب الأشاعرة بين مذهب السلف والخلف في مسألة النصوص الواردة في الصفات فقط، وليس للأشاعرة في هذه المسألة مذهب موحد مقرر، فمنهم من رجح التفويض، ومنهم من رجح التأويل، ومنهم من توسط كالعز بن عبد السلام وابن دقيق العيد</w:t>
      </w:r>
      <w:r w:rsidR="000636C2">
        <w:rPr>
          <w:rFonts w:hint="cs"/>
          <w:rtl/>
        </w:rPr>
        <w:t xml:space="preserve">، </w:t>
      </w:r>
      <w:r w:rsidRPr="005675B2">
        <w:rPr>
          <w:rFonts w:hint="cs"/>
          <w:rtl/>
        </w:rPr>
        <w:t>نعم مما لا ينبغي أن يختلف فيه اثنان أن الكثير</w:t>
      </w:r>
      <w:r w:rsidRPr="005675B2">
        <w:rPr>
          <w:rFonts w:hint="cs"/>
          <w:vertAlign w:val="superscript"/>
          <w:rtl/>
        </w:rPr>
        <w:t xml:space="preserve"> </w:t>
      </w:r>
      <w:r w:rsidRPr="005675B2">
        <w:rPr>
          <w:rFonts w:hint="cs"/>
          <w:rtl/>
        </w:rPr>
        <w:t>من المتأخرين من الأشاعرة قد غلوا في باب التأويل ووافقوا في بعض تأويلاتهم المعتزلة</w:t>
      </w:r>
      <w:r w:rsidR="000636C2">
        <w:rPr>
          <w:rFonts w:hint="cs"/>
          <w:rtl/>
        </w:rPr>
        <w:t>،</w:t>
      </w:r>
      <w:r w:rsidRPr="005675B2">
        <w:rPr>
          <w:rFonts w:hint="cs"/>
          <w:rtl/>
        </w:rPr>
        <w:t xml:space="preserve"> وهذا ما يؤخذ عليهم</w:t>
      </w:r>
      <w:r w:rsidR="000636C2">
        <w:rPr>
          <w:rFonts w:hint="cs"/>
          <w:rtl/>
        </w:rPr>
        <w:t>،</w:t>
      </w:r>
    </w:p>
    <w:p w14:paraId="2F7E6C89" w14:textId="420B2B89" w:rsidR="009C32A0" w:rsidRPr="005675B2" w:rsidRDefault="009C32A0" w:rsidP="000636C2">
      <w:pPr>
        <w:rPr>
          <w:b/>
          <w:rtl/>
        </w:rPr>
      </w:pPr>
      <w:r w:rsidRPr="005675B2">
        <w:rPr>
          <w:rFonts w:hint="cs"/>
          <w:rtl/>
        </w:rPr>
        <w:t>15 - علماء الأشاعرة هم السواد الأعظم من علماء الأمة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ولولا ضيق الكلام لسردت قائمة متوازية اذكر فيها كبار الأشاعرة ومن عاصرهم من كبار أهل السنة والجماعة الذين يفوقون أولئك عددا وعلما وفضلا، وحسبك ما جمعه ابن القيم في "اجتماع الجيوش الإسلامية"، والذهبي في "العلو" وقبلهما اللالكائي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أورد الإمام تاج الدين السبكي في كتابه "طبقات الشافعية الكبرى" فصلا عنونه بقوله</w:t>
      </w:r>
      <w:r w:rsidR="000636C2">
        <w:rPr>
          <w:rFonts w:hint="cs"/>
          <w:rtl/>
        </w:rPr>
        <w:t>:</w:t>
      </w:r>
      <w:r w:rsidRPr="005675B2">
        <w:rPr>
          <w:rFonts w:hint="cs"/>
          <w:rtl/>
        </w:rPr>
        <w:t xml:space="preserve"> </w:t>
      </w:r>
      <w:r w:rsidR="000636C2">
        <w:rPr>
          <w:rFonts w:hint="cs"/>
          <w:rtl/>
        </w:rPr>
        <w:t>(</w:t>
      </w:r>
      <w:r w:rsidRPr="005675B2">
        <w:rPr>
          <w:rFonts w:hint="cs"/>
          <w:rtl/>
        </w:rPr>
        <w:t>ذكر بيان أن طريق الشيخ أبي الحسن الأشعري هي التي عليها المعتبرون من علماء الإسلام والمتميزون من المذاهب الأربعة في معرفة الحلال والحرام، والقائمون بنصرة دين سيدنا محمد عليه أفضل الصلاة والسلام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الطبقات 3/373]</w:t>
      </w:r>
      <w:r w:rsidRPr="005675B2">
        <w:rPr>
          <w:rFonts w:hint="cs"/>
          <w:rtl/>
        </w:rPr>
        <w:t xml:space="preserve"> هذا هو عنوان الفصل ثم قال</w:t>
      </w:r>
      <w:r w:rsidR="000636C2">
        <w:rPr>
          <w:rFonts w:hint="cs"/>
          <w:rtl/>
        </w:rPr>
        <w:t>:</w:t>
      </w:r>
      <w:r w:rsidRPr="005675B2">
        <w:rPr>
          <w:rFonts w:hint="cs"/>
          <w:rtl/>
        </w:rPr>
        <w:t xml:space="preserve"> قد قدمنا في تضاعيف الكلام ما يدل على ذلك، وحكينا لك مقالة الشيخ ابن عبد السلام ومن سبقه إلى مثلها وتلاه على قولها حيث ذكروا</w:t>
      </w:r>
      <w:r w:rsidR="000636C2">
        <w:rPr>
          <w:rFonts w:hint="cs"/>
          <w:rtl/>
        </w:rPr>
        <w:t>:</w:t>
      </w:r>
      <w:r w:rsidRPr="005675B2">
        <w:rPr>
          <w:rFonts w:hint="cs"/>
          <w:rtl/>
        </w:rPr>
        <w:t xml:space="preserve"> أن الشافعية والمالكية والحنفية وفضلاء الحنابلة أشعريون</w:t>
      </w:r>
      <w:r w:rsidR="000636C2">
        <w:rPr>
          <w:rFonts w:hint="cs"/>
          <w:rtl/>
        </w:rPr>
        <w:t>،</w:t>
      </w:r>
      <w:r w:rsidRPr="005675B2">
        <w:rPr>
          <w:rFonts w:hint="cs"/>
          <w:rtl/>
        </w:rPr>
        <w:t xml:space="preserve"> هذه عبارة ابن عبد السلام شيخ الشافعية وابن الحاجب شيخ المالكية، والحصيري شيح الحنفية، ثم قال السبكي</w:t>
      </w:r>
      <w:r w:rsidR="000636C2">
        <w:rPr>
          <w:rFonts w:hint="cs"/>
          <w:rtl/>
        </w:rPr>
        <w:t>:</w:t>
      </w:r>
      <w:r w:rsidRPr="005675B2">
        <w:rPr>
          <w:rFonts w:hint="cs"/>
          <w:rtl/>
        </w:rPr>
        <w:t xml:space="preserve"> </w:t>
      </w:r>
      <w:r w:rsidRPr="005675B2">
        <w:rPr>
          <w:rFonts w:hint="cs"/>
          <w:spacing w:val="-8"/>
          <w:rtl/>
        </w:rPr>
        <w:t>ومن كلام ابن عساكر حافظ هذه الأمة الثقة الثبت</w:t>
      </w:r>
      <w:r w:rsidR="000636C2">
        <w:rPr>
          <w:rFonts w:hint="cs"/>
          <w:spacing w:val="-8"/>
          <w:rtl/>
        </w:rPr>
        <w:t>:</w:t>
      </w:r>
      <w:r w:rsidRPr="005675B2">
        <w:rPr>
          <w:rFonts w:hint="cs"/>
          <w:spacing w:val="-8"/>
          <w:rtl/>
        </w:rPr>
        <w:t xml:space="preserve"> هل من الفقهاء الحنفية والمالكية والشافعية إلا موافق للأشعري ومنتسب إليه وراض بحميد سعيه في دين الله، ومثن بكثرة العلم عليه، غير شرذمة قليلة تضمر التشبيه وتعادي كل موحد يعتقد التنزيه، أو تضاهي قول المعتزلة في ذمه</w:t>
      </w:r>
      <w:r w:rsidR="000636C2">
        <w:rPr>
          <w:rFonts w:hint="cs"/>
          <w:spacing w:val="-8"/>
          <w:rtl/>
        </w:rPr>
        <w:t>،</w:t>
      </w:r>
      <w:r w:rsidRPr="005675B2">
        <w:rPr>
          <w:rFonts w:hint="cs"/>
          <w:spacing w:val="-8"/>
          <w:rtl/>
        </w:rPr>
        <w:t xml:space="preserve"> ثم قال السبكي</w:t>
      </w:r>
      <w:r w:rsidR="000636C2">
        <w:rPr>
          <w:rFonts w:hint="cs"/>
          <w:spacing w:val="-8"/>
          <w:rtl/>
        </w:rPr>
        <w:t>:</w:t>
      </w:r>
      <w:r w:rsidRPr="005675B2">
        <w:rPr>
          <w:rFonts w:hint="cs"/>
          <w:spacing w:val="-8"/>
          <w:rtl/>
        </w:rPr>
        <w:t xml:space="preserve"> ونحن نحكي لك هنا مقالات أخر لجماعة من معتبري القول من الفقهاء</w:t>
      </w:r>
      <w:r w:rsidR="000636C2">
        <w:rPr>
          <w:rFonts w:hint="cs"/>
          <w:spacing w:val="-8"/>
          <w:rtl/>
        </w:rPr>
        <w:t>،</w:t>
      </w:r>
      <w:r w:rsidRPr="005675B2">
        <w:rPr>
          <w:rFonts w:hint="cs"/>
          <w:spacing w:val="-8"/>
          <w:rtl/>
        </w:rPr>
        <w:t xml:space="preserve"> ثم أورد السبكي مجموعة من فتاوى علماء المذاهب الأربعة في تأييد المذهب الاشعري، ثم قال السبكي</w:t>
      </w:r>
      <w:r w:rsidR="000636C2">
        <w:rPr>
          <w:rFonts w:hint="cs"/>
          <w:spacing w:val="-8"/>
          <w:rtl/>
        </w:rPr>
        <w:t>:</w:t>
      </w:r>
      <w:r w:rsidRPr="005675B2">
        <w:rPr>
          <w:rFonts w:hint="cs"/>
          <w:spacing w:val="-8"/>
          <w:rtl/>
        </w:rPr>
        <w:t xml:space="preserve"> سمعت الشيخ الإمام </w:t>
      </w:r>
      <w:r w:rsidR="000636C2">
        <w:rPr>
          <w:rFonts w:hint="cs"/>
          <w:spacing w:val="-8"/>
          <w:rtl/>
        </w:rPr>
        <w:t>(</w:t>
      </w:r>
      <w:r w:rsidRPr="005675B2">
        <w:rPr>
          <w:rFonts w:hint="cs"/>
          <w:spacing w:val="-8"/>
          <w:rtl/>
        </w:rPr>
        <w:t>الوالد</w:t>
      </w:r>
      <w:r w:rsidR="000636C2">
        <w:rPr>
          <w:rFonts w:hint="cs"/>
          <w:spacing w:val="-8"/>
          <w:rtl/>
        </w:rPr>
        <w:t>)</w:t>
      </w:r>
      <w:r w:rsidRPr="005675B2">
        <w:rPr>
          <w:rFonts w:hint="cs"/>
          <w:spacing w:val="-8"/>
          <w:rtl/>
        </w:rPr>
        <w:t xml:space="preserve"> رحمه الله يقول</w:t>
      </w:r>
      <w:r w:rsidR="000636C2">
        <w:rPr>
          <w:rFonts w:hint="cs"/>
          <w:spacing w:val="-8"/>
          <w:rtl/>
        </w:rPr>
        <w:t>:</w:t>
      </w:r>
      <w:r w:rsidRPr="005675B2">
        <w:rPr>
          <w:rFonts w:hint="cs"/>
          <w:spacing w:val="-8"/>
          <w:rtl/>
        </w:rPr>
        <w:t xml:space="preserve"> ما تضمنه عقيدة الطحاوي هو ما يعتقده الاشعري لا يخالفه إلا في ثلاث مسائل ثم قال</w:t>
      </w:r>
      <w:r w:rsidR="000636C2">
        <w:rPr>
          <w:rFonts w:hint="cs"/>
          <w:spacing w:val="-8"/>
          <w:rtl/>
        </w:rPr>
        <w:t>:</w:t>
      </w:r>
      <w:r w:rsidRPr="005675B2">
        <w:rPr>
          <w:rFonts w:hint="cs"/>
          <w:spacing w:val="-8"/>
          <w:rtl/>
        </w:rPr>
        <w:t xml:space="preserve"> قلت</w:t>
      </w:r>
      <w:r w:rsidR="000636C2">
        <w:rPr>
          <w:rFonts w:hint="cs"/>
          <w:spacing w:val="-8"/>
          <w:rtl/>
        </w:rPr>
        <w:t>:</w:t>
      </w:r>
      <w:r w:rsidRPr="005675B2">
        <w:rPr>
          <w:rFonts w:hint="cs"/>
          <w:spacing w:val="-8"/>
          <w:rtl/>
        </w:rPr>
        <w:t xml:space="preserve"> أنا اعلم أن المالكية كلهم أشاعرة لا أستثني أحدا، والشافعية غالبهم أشاعرة لا أستثني إلا من لحق منهم بتجسيم أو اعتزال ممن لا يعبأ الله به، والحنفية أكثرهم أشاعرة، أعني يعتقدون عقد الأشعري، لا يخرج منهم إلا من لحق منهم بالمعتزلة، والحنابلة اكثر فضلاء متقدميهم أشاعرة، لم يخرج منهم عن عقيدة الأشعري إلا من لحق بأهل التجسيم، وهم في هذه الفرقة من الحنابلة أكثر من غيرهم، وقد تأملت عقيدة الطحاوي .. إلى آخر ما نقلناه عنه آنفا</w:t>
      </w:r>
      <w:r w:rsidR="000636C2">
        <w:rPr>
          <w:rFonts w:hint="cs"/>
          <w:spacing w:val="-8"/>
          <w:rtl/>
        </w:rPr>
        <w:t>،</w:t>
      </w:r>
      <w:r w:rsidRPr="005675B2">
        <w:rPr>
          <w:rFonts w:hint="cs"/>
          <w:spacing w:val="-8"/>
          <w:rtl/>
        </w:rPr>
        <w:t xml:space="preserve"> [</w:t>
      </w:r>
      <w:r w:rsidRPr="005675B2">
        <w:rPr>
          <w:rFonts w:hint="cs"/>
          <w:sz w:val="24"/>
          <w:szCs w:val="24"/>
          <w:rtl/>
        </w:rPr>
        <w:t>الطبقات 3/377]</w:t>
      </w:r>
      <w:r w:rsidR="000636C2">
        <w:rPr>
          <w:rFonts w:hint="cs"/>
          <w:spacing w:val="-8"/>
          <w:rtl/>
        </w:rPr>
        <w:t xml:space="preserve">، </w:t>
      </w:r>
      <w:r w:rsidRPr="005675B2">
        <w:rPr>
          <w:rFonts w:hint="cs"/>
          <w:rtl/>
        </w:rPr>
        <w:t>أقول</w:t>
      </w:r>
      <w:r w:rsidR="000636C2">
        <w:rPr>
          <w:rFonts w:hint="cs"/>
          <w:rtl/>
        </w:rPr>
        <w:t>:</w:t>
      </w:r>
      <w:r w:rsidRPr="005675B2">
        <w:rPr>
          <w:rFonts w:hint="cs"/>
          <w:rtl/>
        </w:rPr>
        <w:t xml:space="preserve"> وقد ذكر الإمام الحافظ ابن عساكر في كتابه </w:t>
      </w:r>
      <w:r w:rsidR="000636C2">
        <w:rPr>
          <w:rFonts w:hint="cs"/>
          <w:rtl/>
        </w:rPr>
        <w:t>(</w:t>
      </w:r>
      <w:r w:rsidRPr="005675B2">
        <w:rPr>
          <w:rFonts w:hint="cs"/>
          <w:rtl/>
        </w:rPr>
        <w:t>تبيين كذب المفتري فيما نسب إلى الإمام أبي الحسن الأشعري</w:t>
      </w:r>
      <w:r w:rsidR="000636C2">
        <w:rPr>
          <w:rFonts w:hint="cs"/>
          <w:rtl/>
        </w:rPr>
        <w:t>)</w:t>
      </w:r>
      <w:r w:rsidRPr="005675B2">
        <w:rPr>
          <w:rFonts w:hint="cs"/>
          <w:rtl/>
        </w:rPr>
        <w:t xml:space="preserve"> جملة من علماء المذاهب ممن اشتهر بالمناضلة عن الإمام أبي الحسن، وقد أورد أسماءهم تاج الدين السبكي في طبقات الشافعية الكبرى، ثم قال السبكي</w:t>
      </w:r>
      <w:r w:rsidR="000636C2">
        <w:rPr>
          <w:rFonts w:hint="cs"/>
          <w:rtl/>
        </w:rPr>
        <w:t>:</w:t>
      </w:r>
      <w:r w:rsidRPr="005675B2">
        <w:rPr>
          <w:rFonts w:hint="cs"/>
          <w:rtl/>
        </w:rPr>
        <w:t xml:space="preserve"> فهذه جملة من ذكرهم الحافظ في التبيين، وقال </w:t>
      </w:r>
      <w:r w:rsidR="000636C2">
        <w:rPr>
          <w:rFonts w:hint="cs"/>
          <w:rtl/>
        </w:rPr>
        <w:t>(</w:t>
      </w:r>
      <w:r w:rsidRPr="005675B2">
        <w:rPr>
          <w:rFonts w:hint="cs"/>
          <w:rtl/>
        </w:rPr>
        <w:t>الحافظ</w:t>
      </w:r>
      <w:r w:rsidR="000636C2">
        <w:rPr>
          <w:rFonts w:hint="cs"/>
          <w:rtl/>
        </w:rPr>
        <w:t>)</w:t>
      </w:r>
      <w:r w:rsidRPr="005675B2">
        <w:rPr>
          <w:rFonts w:hint="cs"/>
          <w:rtl/>
        </w:rPr>
        <w:t xml:space="preserve"> لولا خوفي من الإملال والإسهاب لتتبعت ذكر جميع الأصحاب، وكما لا يمكنني إحصاء نجوم السماء كذلك لا أتمكن من استقصاء جميع العلماء مع انتشارهم في الأقطار والآفاق من المغرب والشام وخراسان والعراق، ثم قال السبكي</w:t>
      </w:r>
      <w:r w:rsidR="000636C2">
        <w:rPr>
          <w:rFonts w:hint="cs"/>
          <w:rtl/>
        </w:rPr>
        <w:t>:</w:t>
      </w:r>
      <w:r w:rsidRPr="005675B2">
        <w:rPr>
          <w:rFonts w:hint="cs"/>
          <w:rtl/>
        </w:rPr>
        <w:t xml:space="preserve"> ولقد أهمل على سعة حفظه من الأعيان كثيرا وترك ذكر أقوام كان ينبغي حيث ذكر هؤلاء أن يشمر عن ساعد الاجتهاد في ذكرهم تشميرا .. ثم أضاف السبكي جملة من أعيان علماء الأمة ممن فات ابن عساكر ذكره، وممن تأخر عنه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الطبقات 3/371]</w:t>
      </w:r>
      <w:r w:rsidR="000636C2">
        <w:rPr>
          <w:rFonts w:hint="cs"/>
          <w:rtl/>
        </w:rPr>
        <w:t xml:space="preserve"> </w:t>
      </w:r>
      <w:r w:rsidRPr="005675B2">
        <w:rPr>
          <w:rFonts w:hint="cs"/>
          <w:rtl/>
        </w:rPr>
        <w:t>ونقل الذهبي عن الإمام الحافظ أبي ذر الهروي أنه قال في حق إمام الأشاعرة في عصره القاضي أبي بكر الباقلاني</w:t>
      </w:r>
      <w:r w:rsidR="000636C2">
        <w:rPr>
          <w:rFonts w:hint="cs"/>
          <w:rtl/>
        </w:rPr>
        <w:t>:</w:t>
      </w:r>
      <w:r w:rsidRPr="005675B2">
        <w:rPr>
          <w:rFonts w:hint="cs"/>
          <w:rtl/>
        </w:rPr>
        <w:t xml:space="preserve"> "كل بلد دخلته من بلاد خراسان وغيرها لا يشار فيها إلى أحد من أهل السنة إلا من كان على مذهبه وطريقته"</w:t>
      </w:r>
      <w:r w:rsidR="000636C2">
        <w:rPr>
          <w:rFonts w:hint="cs"/>
          <w:rtl/>
        </w:rPr>
        <w:t>،</w:t>
      </w:r>
      <w:r w:rsidRPr="005675B2">
        <w:rPr>
          <w:rFonts w:hint="cs"/>
          <w:rtl/>
        </w:rPr>
        <w:t xml:space="preserve"> </w:t>
      </w:r>
      <w:r w:rsidR="000636C2">
        <w:rPr>
          <w:rFonts w:hint="cs"/>
          <w:rtl/>
        </w:rPr>
        <w:t>[</w:t>
      </w:r>
      <w:r w:rsidRPr="005675B2">
        <w:rPr>
          <w:rFonts w:hint="cs"/>
          <w:sz w:val="24"/>
          <w:szCs w:val="24"/>
          <w:rtl/>
        </w:rPr>
        <w:t>سير أعلام النبلاء 17/558]</w:t>
      </w:r>
      <w:r w:rsidRPr="005675B2">
        <w:rPr>
          <w:rFonts w:hint="cs"/>
          <w:rtl/>
        </w:rPr>
        <w:t xml:space="preserve"> هذه الجملة من كلام أبي ذر وحدها –فضلا عما تقدمها - كافية في إثبات دعوى أن أكثر أئمة المسلمين على مذهب الأشاعرة</w:t>
      </w:r>
      <w:r w:rsidR="000636C2">
        <w:rPr>
          <w:rFonts w:hint="cs"/>
          <w:rtl/>
        </w:rPr>
        <w:t xml:space="preserve">، </w:t>
      </w:r>
      <w:r w:rsidRPr="005675B2">
        <w:rPr>
          <w:rFonts w:hint="cs"/>
          <w:rtl/>
        </w:rPr>
        <w:t>أقول</w:t>
      </w:r>
      <w:r w:rsidR="000636C2">
        <w:rPr>
          <w:rFonts w:hint="cs"/>
          <w:rtl/>
        </w:rPr>
        <w:t>:</w:t>
      </w:r>
      <w:r w:rsidRPr="005675B2">
        <w:rPr>
          <w:rFonts w:hint="cs"/>
          <w:rtl/>
        </w:rPr>
        <w:t xml:space="preserve"> احترز الإمام ابن عبد السلام ومن وافقه بقولهم</w:t>
      </w:r>
      <w:r w:rsidR="000636C2">
        <w:rPr>
          <w:rFonts w:hint="cs"/>
          <w:rtl/>
        </w:rPr>
        <w:t>:</w:t>
      </w:r>
      <w:r w:rsidRPr="005675B2">
        <w:rPr>
          <w:rFonts w:hint="cs"/>
          <w:rtl/>
        </w:rPr>
        <w:t xml:space="preserve"> "إن فضلاء الحنابلة أشعريون" عن أناس من الحنابلة ذهبوا إلى التشبيه وشانوا مذهب الإمام أحمد</w:t>
      </w:r>
      <w:r w:rsidR="000636C2">
        <w:rPr>
          <w:rFonts w:hint="cs"/>
          <w:rtl/>
        </w:rPr>
        <w:t>،</w:t>
      </w:r>
      <w:r w:rsidRPr="005675B2">
        <w:rPr>
          <w:rFonts w:hint="cs"/>
          <w:rtl/>
        </w:rPr>
        <w:t xml:space="preserve"> قال ابن الجوزي</w:t>
      </w:r>
      <w:r w:rsidR="000636C2">
        <w:rPr>
          <w:rFonts w:hint="cs"/>
          <w:rtl/>
        </w:rPr>
        <w:t>:</w:t>
      </w:r>
      <w:r w:rsidRPr="005675B2">
        <w:rPr>
          <w:rFonts w:hint="cs"/>
          <w:rtl/>
        </w:rPr>
        <w:t xml:space="preserve"> "ورأيت من أصحابنا من تكلم في الأصول بما لا يصلح، وانتدب للتصنيف ثلاثة</w:t>
      </w:r>
      <w:r w:rsidR="000636C2">
        <w:rPr>
          <w:rFonts w:hint="cs"/>
          <w:rtl/>
        </w:rPr>
        <w:t>:</w:t>
      </w:r>
      <w:r w:rsidRPr="005675B2">
        <w:rPr>
          <w:rFonts w:hint="cs"/>
          <w:rtl/>
        </w:rPr>
        <w:t xml:space="preserve"> أبو عبد الله بن حامد وصاحبه القاضي وابن الزاغوني، فصنفوا كتبا شانوا بها المذهب، ورأيتهم قد نزلوا إلى مرتبة العوام، فحملوا الصفات على مقتضى الحس .. وأخذوا بالظاهر في الأسماء والصفات .. ولم يقنعوا أن يقولوا</w:t>
      </w:r>
      <w:r w:rsidR="000636C2">
        <w:rPr>
          <w:rFonts w:hint="cs"/>
          <w:rtl/>
        </w:rPr>
        <w:t>:</w:t>
      </w:r>
      <w:r w:rsidRPr="005675B2">
        <w:rPr>
          <w:rFonts w:hint="cs"/>
          <w:rtl/>
        </w:rPr>
        <w:t xml:space="preserve"> صفة فعل، حتى قالوا</w:t>
      </w:r>
      <w:r w:rsidR="000636C2">
        <w:rPr>
          <w:rFonts w:hint="cs"/>
          <w:rtl/>
        </w:rPr>
        <w:t>:</w:t>
      </w:r>
      <w:r w:rsidRPr="005675B2">
        <w:rPr>
          <w:rFonts w:hint="cs"/>
          <w:rtl/>
        </w:rPr>
        <w:t xml:space="preserve"> صفة ذات .. وفد تبعهم خلق من العوام .. وقد كان أبو محمد التميمي يقول في بعض أئمتكم</w:t>
      </w:r>
      <w:r w:rsidR="000636C2">
        <w:rPr>
          <w:rFonts w:hint="cs"/>
          <w:rtl/>
        </w:rPr>
        <w:t>:</w:t>
      </w:r>
      <w:r w:rsidRPr="005675B2">
        <w:rPr>
          <w:rFonts w:hint="cs"/>
          <w:rtl/>
        </w:rPr>
        <w:t xml:space="preserve"> لقد شان المذهب شينا قبيحا لا يغسل إلى يوم القيامة" </w:t>
      </w:r>
      <w:r w:rsidR="000636C2">
        <w:rPr>
          <w:rFonts w:hint="cs"/>
          <w:rtl/>
        </w:rPr>
        <w:t>[</w:t>
      </w:r>
      <w:r w:rsidRPr="005675B2">
        <w:rPr>
          <w:rFonts w:hint="cs"/>
          <w:sz w:val="24"/>
          <w:szCs w:val="24"/>
          <w:rtl/>
        </w:rPr>
        <w:t>دفع شبه التشبيه بأكف التنزيه 97. 102</w:t>
      </w:r>
      <w:r w:rsidRPr="005675B2">
        <w:rPr>
          <w:rFonts w:hint="cs"/>
          <w:rtl/>
        </w:rPr>
        <w:t>] والخطاب في أئمتكم للحنابلة</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إن العلامة المميزة لمذهب أهل السنة هي الموافقة للكتاب والسنة ولما كان عليه سلف الأمة، وليس التسنن بالدعاوي ولابكيل التهم للمخالفين </w:t>
      </w:r>
      <w:r w:rsidR="000636C2">
        <w:rPr>
          <w:rFonts w:hint="cs"/>
          <w:rtl/>
        </w:rPr>
        <w:t>(</w:t>
      </w:r>
      <w:r w:rsidRPr="005675B2">
        <w:rPr>
          <w:rFonts w:hint="cs"/>
          <w:rtl/>
        </w:rPr>
        <w:t>ولو أعطي الناس بدعواهم لا دعى ناس دماء أقوام وأموالهم</w:t>
      </w:r>
      <w:r w:rsidR="000636C2">
        <w:rPr>
          <w:rFonts w:hint="cs"/>
          <w:rtl/>
        </w:rPr>
        <w:t>)</w:t>
      </w:r>
      <w:r w:rsidRPr="005675B2">
        <w:rPr>
          <w:rFonts w:hint="cs"/>
          <w:rtl/>
        </w:rPr>
        <w:t xml:space="preserve"> وأنا أترك الحكم بأن مذهب الأشاعرة هل هو مذهب أهل السنة والجماعة لموافقته للكتاب والسنة ولما كان عليه سلف الأمة، أو بأنه خارج عن مذهب أهل السنة لمخالفته لما ذكر</w:t>
      </w:r>
      <w:r w:rsidR="000636C2">
        <w:rPr>
          <w:rFonts w:hint="cs"/>
          <w:rtl/>
        </w:rPr>
        <w:t>،</w:t>
      </w:r>
      <w:r w:rsidRPr="005675B2">
        <w:rPr>
          <w:rFonts w:hint="cs"/>
          <w:rtl/>
        </w:rPr>
        <w:t xml:space="preserve"> أنا أترك الحكم بذلك لقارئ تعليقاتنا هذه بتدبر وتأمل وتجرد وحياد، فليقرأها القارئ وليحكم بإنصاف</w:t>
      </w:r>
      <w:r w:rsidR="000636C2">
        <w:rPr>
          <w:rFonts w:hint="cs"/>
          <w:rtl/>
        </w:rPr>
        <w:t xml:space="preserve">، </w:t>
      </w:r>
      <w:r w:rsidRPr="005675B2">
        <w:rPr>
          <w:rFonts w:hint="cs"/>
          <w:rtl/>
        </w:rPr>
        <w:t>ولا أدعي أن الأشاعرة معصومون ولا أنهم مصيبون في جميع ما ذهبوا إليه من المسائل التي خالفهم فيها غيرهم، ولكن أدعى أنهم مصيبون فيما هم عليه من أصول العقائد، وأنهم هم الطائفة العظمى من طوائف أهل السنة والجماعة، وأنهم فحول أهل السنة، وأنهم يمثلون العمود الفقري من مذهب أهل السنة والجماعة، وأما المسائل التي وقع الخلاف فيها بينهم وبين غيرهم فهم في عامة أحوالهم على حق</w:t>
      </w:r>
      <w:r w:rsidR="000636C2">
        <w:rPr>
          <w:rFonts w:hint="cs"/>
          <w:rtl/>
        </w:rPr>
        <w:t>،</w:t>
      </w:r>
      <w:r w:rsidRPr="005675B2">
        <w:rPr>
          <w:rFonts w:hint="cs"/>
          <w:rtl/>
        </w:rPr>
        <w:t xml:space="preserve"> وقد يكون الحق مع مخالفيهم، واذا أخطؤا فخطؤهم خطأ اجتهادي هم مأجورون عليه، لأنه ليس خطأ في أصول العقيدة، بل هو خطأ في المسائل التي هي من مجال الاجتهاد من مسائل العقيدة</w:t>
      </w:r>
      <w:r w:rsidR="000636C2">
        <w:rPr>
          <w:rFonts w:hint="cs"/>
          <w:rtl/>
        </w:rPr>
        <w:t>،</w:t>
      </w:r>
    </w:p>
    <w:p w14:paraId="20169F09" w14:textId="1B111C9F" w:rsidR="009C32A0" w:rsidRPr="005675B2" w:rsidRDefault="009C32A0" w:rsidP="000636C2">
      <w:pPr>
        <w:rPr>
          <w:b/>
          <w:rtl/>
        </w:rPr>
      </w:pPr>
      <w:r w:rsidRPr="005675B2">
        <w:rPr>
          <w:rFonts w:hint="cs"/>
          <w:rtl/>
        </w:rPr>
        <w:t>16 - الأصل في عوام المسلمين أنهم غير منسوبين لمذهب من مذاهب العقيدة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أما عوام المسلمين فالأصل فيهم انهم على عقيدة السلف لأنها الفطرة التي يولد عليها الإنسان وينشأ عليها المسلم بلا تلقين ولا تعليم</w:t>
      </w:r>
      <w:r w:rsidR="000636C2">
        <w:rPr>
          <w:rFonts w:hint="cs"/>
          <w:rtl/>
        </w:rPr>
        <w:t>(</w:t>
      </w:r>
      <w:r w:rsidRPr="005675B2">
        <w:rPr>
          <w:rFonts w:hint="cs"/>
          <w:rtl/>
        </w:rPr>
        <w:t>من حيث الأصل</w:t>
      </w:r>
      <w:r w:rsidR="000636C2">
        <w:rPr>
          <w:rFonts w:hint="cs"/>
          <w:rtl/>
        </w:rPr>
        <w:t>)</w:t>
      </w:r>
      <w:r w:rsidRPr="005675B2">
        <w:rPr>
          <w:rFonts w:hint="cs"/>
          <w:rtl/>
        </w:rPr>
        <w:t xml:space="preserve"> فكل من لم يلقنه المبتدعة بدعتهم ويدَرِّسونه كتَبهم فليس من حق أي فرقة أن تدعيه إلا أهل السنة والجماعة</w:t>
      </w:r>
      <w:r w:rsidRPr="005675B2">
        <w:rPr>
          <w:rFonts w:hint="cs"/>
          <w:spacing w:val="-12"/>
          <w:rtl/>
        </w:rPr>
        <w:t xml:space="preserve"> "</w:t>
      </w:r>
      <w:r w:rsidR="000636C2">
        <w:rPr>
          <w:rFonts w:hint="cs"/>
          <w:spacing w:val="-12"/>
          <w:rtl/>
        </w:rPr>
        <w:t>،</w:t>
      </w:r>
      <w:r w:rsidRPr="005675B2">
        <w:rPr>
          <w:rFonts w:hint="cs"/>
          <w:spacing w:val="-12"/>
          <w:rtl/>
        </w:rPr>
        <w:t xml:space="preserve"> </w:t>
      </w:r>
      <w:r w:rsidRPr="005675B2">
        <w:rPr>
          <w:rFonts w:hint="cs"/>
          <w:rtl/>
        </w:rPr>
        <w:t>أقول</w:t>
      </w:r>
      <w:r w:rsidR="000636C2">
        <w:rPr>
          <w:rFonts w:hint="cs"/>
          <w:rtl/>
        </w:rPr>
        <w:t>:</w:t>
      </w:r>
      <w:r w:rsidRPr="005675B2">
        <w:rPr>
          <w:rFonts w:hint="cs"/>
          <w:rtl/>
        </w:rPr>
        <w:t xml:space="preserve"> المراد بالفطرة التي يولد عليها المولود أنه يولد مستعدا للخير أكثر من استعداده لقبول الشر وإلا فالمولود يولد كصفحة بيضاء خاليا عن أي عقيدة، ولا يتقبل أي عقيدة حقا أو باطلا إلا بعد التلقين والتعليم، ولو كان ما قاله المؤلف صحيحا لما بقي حاجة في معرفة العقيدة إلى بعثة الرسل، ولأحيل الناس في تعلم العقائد إلى الصبيان الذين لم يلقنوا بعد شيئا</w:t>
      </w:r>
      <w:r w:rsidR="000636C2">
        <w:rPr>
          <w:rFonts w:hint="cs"/>
          <w:rtl/>
        </w:rPr>
        <w:t xml:space="preserve">، </w:t>
      </w:r>
      <w:r w:rsidRPr="005675B2">
        <w:rPr>
          <w:rFonts w:hint="cs"/>
          <w:rtl/>
        </w:rPr>
        <w:t>ثم إن المكلف بمجرد إسلامه يصبح مسلما، ولا يصبح لا أشعريا ولا ماتريديا ولا سلفيا إلا بالتعليم وبالتلقين وذلك لأن لكل واحدة من هذه الفرق آراء ا خاصة بها، بها تتمايز في ما بينها، عوام المسلمين بعيدون عن معرفتها بمراحل</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وإن شئت المثال على عقيدة العوام فاسأل الملايين من المسلمين شرقا وغربا هل فيهم من يعتقد أن الله لا داخل العالم ولا خارجه ولا فوقه ولا تحته كما تقول الأشاعرة، أم أنهم كلهم مفطورون على انه تعالى فوق المخلوقات</w:t>
      </w:r>
      <w:r w:rsidR="000636C2">
        <w:rPr>
          <w:rFonts w:hint="cs"/>
          <w:rtl/>
        </w:rPr>
        <w:t>،</w:t>
      </w:r>
      <w:r w:rsidRPr="005675B2">
        <w:rPr>
          <w:rFonts w:hint="cs"/>
          <w:rtl/>
        </w:rPr>
        <w:t xml:space="preserve"> وهذه الفطرة تظل ثابتة في قلوبهم حتى وإن وجدوا من يلقنهم في أذهانهم تلك المقولة الموروثة عن فلاسفة اليونان "</w:t>
      </w:r>
      <w:r w:rsidR="000636C2">
        <w:rPr>
          <w:rFonts w:hint="cs"/>
          <w:rtl/>
        </w:rPr>
        <w:t xml:space="preserve">، </w:t>
      </w:r>
      <w:r w:rsidRPr="005675B2">
        <w:rPr>
          <w:rFonts w:hint="cs"/>
          <w:rtl/>
        </w:rPr>
        <w:t>أقول</w:t>
      </w:r>
      <w:r w:rsidR="000636C2">
        <w:rPr>
          <w:rFonts w:hint="cs"/>
          <w:rtl/>
        </w:rPr>
        <w:t>:</w:t>
      </w:r>
      <w:r w:rsidRPr="005675B2">
        <w:rPr>
          <w:rFonts w:hint="cs"/>
          <w:rtl/>
        </w:rPr>
        <w:t xml:space="preserve"> وهل هم مفطورون على أن العالم قديم بالنوع، وعلى جواز تسلسل حوادث لا أول لها في جانب الماضي</w:t>
      </w:r>
      <w:r w:rsidR="000636C2">
        <w:rPr>
          <w:rFonts w:hint="cs"/>
          <w:rtl/>
        </w:rPr>
        <w:t>؟</w:t>
      </w:r>
      <w:r w:rsidRPr="005675B2">
        <w:rPr>
          <w:rFonts w:hint="cs"/>
          <w:rtl/>
        </w:rPr>
        <w:t xml:space="preserve"> وأن لله حدا</w:t>
      </w:r>
      <w:r w:rsidR="000636C2">
        <w:rPr>
          <w:rFonts w:hint="cs"/>
          <w:rtl/>
        </w:rPr>
        <w:t>؟</w:t>
      </w:r>
      <w:r w:rsidRPr="005675B2">
        <w:rPr>
          <w:rFonts w:hint="cs"/>
          <w:rtl/>
        </w:rPr>
        <w:t xml:space="preserve"> وأنه يتحرك</w:t>
      </w:r>
      <w:r w:rsidR="000636C2">
        <w:rPr>
          <w:rFonts w:hint="cs"/>
          <w:rtl/>
        </w:rPr>
        <w:t>؟</w:t>
      </w:r>
      <w:r w:rsidRPr="005675B2">
        <w:rPr>
          <w:rFonts w:hint="cs"/>
          <w:rtl/>
        </w:rPr>
        <w:t xml:space="preserve"> وأن له ثقلا على عرشه</w:t>
      </w:r>
      <w:r w:rsidR="000636C2">
        <w:rPr>
          <w:rFonts w:hint="cs"/>
          <w:rtl/>
        </w:rPr>
        <w:t xml:space="preserve">؟ </w:t>
      </w:r>
      <w:r w:rsidRPr="005675B2">
        <w:rPr>
          <w:rFonts w:hint="cs"/>
          <w:rtl/>
        </w:rPr>
        <w:t>الحقيقة أن ابن تيمية الذي اتخذه المؤلف إماما وحصر معرفة العلم والإسلام على الوجه الصحيح من بين المتأخرين فيه، أنه في مقدمة من تأثر بالفلسفة اليونانية واعتنى بنقل أقوال الفلاسفة في كتبه، وقد انتقده على هذا صاحبه الإمام الذهبي في رسالته "زغل العلم"</w:t>
      </w:r>
      <w:r w:rsidR="000636C2">
        <w:rPr>
          <w:rFonts w:hint="cs"/>
          <w:rtl/>
        </w:rPr>
        <w:t xml:space="preserve">، </w:t>
      </w:r>
      <w:r w:rsidRPr="005675B2">
        <w:rPr>
          <w:rFonts w:hint="cs"/>
          <w:rtl/>
        </w:rPr>
        <w:t>قال</w:t>
      </w:r>
      <w:r w:rsidR="000636C2">
        <w:rPr>
          <w:rFonts w:hint="cs"/>
          <w:rtl/>
        </w:rPr>
        <w:t>:</w:t>
      </w:r>
      <w:r w:rsidRPr="005675B2">
        <w:rPr>
          <w:rFonts w:hint="cs"/>
          <w:rtl/>
        </w:rPr>
        <w:t xml:space="preserve"> وقد رأيت ما آل أمره من الحط عليه والهجر والتضليل والتكفير والتكذيب بحق وبباطل، فقد كان قبل أن يدخل في هذه الصناعة - الفلسفة - منورا مضيئا على محياه سيما السلف، ثم صار مظلما مكسوفا</w:t>
      </w:r>
      <w:r w:rsidR="000636C2">
        <w:rPr>
          <w:rFonts w:hint="cs"/>
          <w:rtl/>
        </w:rPr>
        <w:t>،</w:t>
      </w:r>
      <w:r w:rsidRPr="005675B2">
        <w:rPr>
          <w:rFonts w:hint="cs"/>
          <w:rtl/>
        </w:rPr>
        <w:t xml:space="preserve"> [</w:t>
      </w:r>
      <w:r w:rsidRPr="005675B2">
        <w:rPr>
          <w:rFonts w:hint="cs"/>
          <w:sz w:val="24"/>
          <w:szCs w:val="24"/>
          <w:rtl/>
        </w:rPr>
        <w:t>زغل العلم 42-43]</w:t>
      </w:r>
      <w:r w:rsidRPr="005675B2">
        <w:rPr>
          <w:rFonts w:hint="cs"/>
          <w:rtl/>
        </w:rPr>
        <w:t xml:space="preserve"> وكذلك أنكر عليه هذا الأمر أشد الإنكار معاصره سيد المتأخرين الإمام ابن دقيق العيد</w:t>
      </w:r>
      <w:r w:rsidR="000636C2">
        <w:rPr>
          <w:rFonts w:hint="cs"/>
          <w:rtl/>
        </w:rPr>
        <w:t>،</w:t>
      </w:r>
      <w:r w:rsidRPr="005675B2">
        <w:rPr>
          <w:rFonts w:hint="cs"/>
          <w:rtl/>
        </w:rPr>
        <w:t xml:space="preserve"> قال الحافظ العسقلاني</w:t>
      </w:r>
      <w:r w:rsidR="000636C2">
        <w:rPr>
          <w:rFonts w:hint="cs"/>
          <w:rtl/>
        </w:rPr>
        <w:t>:</w:t>
      </w:r>
      <w:r w:rsidRPr="005675B2">
        <w:rPr>
          <w:rFonts w:hint="cs"/>
          <w:rtl/>
        </w:rPr>
        <w:t xml:space="preserve"> وقد حكي عياض وغيره الإجماع على تكفير من يقول بقدم العالم</w:t>
      </w:r>
      <w:r w:rsidR="000636C2">
        <w:rPr>
          <w:rFonts w:hint="cs"/>
          <w:rtl/>
        </w:rPr>
        <w:t xml:space="preserve">، </w:t>
      </w:r>
      <w:r w:rsidRPr="005675B2">
        <w:rPr>
          <w:rFonts w:hint="cs"/>
          <w:rtl/>
        </w:rPr>
        <w:t>وقال ابن دقيق العيد</w:t>
      </w:r>
      <w:r w:rsidR="000636C2">
        <w:rPr>
          <w:rFonts w:hint="cs"/>
          <w:rtl/>
        </w:rPr>
        <w:t>:</w:t>
      </w:r>
      <w:r w:rsidRPr="005675B2">
        <w:rPr>
          <w:rFonts w:hint="cs"/>
          <w:rtl/>
        </w:rPr>
        <w:t xml:space="preserve"> وقع هنا من يدعي الحذق في المعقولات ويميل إلى الفلسفة فظن أن المخالف في حدوث العالم لا يكفر لأنه من قبيل مخالفة الإجماع، وتمسك بقولنا، إن منكر الإجماع لا يكفر على الإطلاق حتى يثبت النقل بذلك متواترا عن صاحب الشرع</w:t>
      </w:r>
      <w:r w:rsidR="000636C2">
        <w:rPr>
          <w:rFonts w:hint="cs"/>
          <w:rtl/>
        </w:rPr>
        <w:t xml:space="preserve">، </w:t>
      </w:r>
      <w:r w:rsidRPr="005675B2">
        <w:rPr>
          <w:rFonts w:hint="cs"/>
          <w:rtl/>
        </w:rPr>
        <w:t>قال</w:t>
      </w:r>
      <w:r w:rsidR="000636C2">
        <w:rPr>
          <w:rFonts w:hint="cs"/>
          <w:rtl/>
        </w:rPr>
        <w:t>:</w:t>
      </w:r>
      <w:r w:rsidRPr="005675B2">
        <w:rPr>
          <w:rFonts w:hint="cs"/>
          <w:rtl/>
        </w:rPr>
        <w:t xml:space="preserve"> وهو تمسك ساقط إما عن عمى في البصيرة أو تعام؛ لأن حدوث العالم من قبيل ما اجتمع فيه الإجماع، والتواتر بالنقل</w:t>
      </w:r>
      <w:r w:rsidR="000636C2">
        <w:rPr>
          <w:rFonts w:hint="cs"/>
          <w:rtl/>
        </w:rPr>
        <w:t>،</w:t>
      </w:r>
      <w:r w:rsidRPr="005675B2">
        <w:rPr>
          <w:rFonts w:hint="cs"/>
          <w:rtl/>
        </w:rPr>
        <w:t xml:space="preserve"> [</w:t>
      </w:r>
      <w:r w:rsidRPr="005675B2">
        <w:rPr>
          <w:rFonts w:hint="cs"/>
          <w:sz w:val="24"/>
          <w:szCs w:val="24"/>
          <w:rtl/>
        </w:rPr>
        <w:t>فتح الباري 12-202، وأراد ابن دقيق العيد بمن يدعي الحذق في المعقولات ويميل إلى الفلسفة ابن تيمية، وتأمل قول ابن دقيق العيد وهو سيد المتأخرين المعروف بأنه من أشد الناس تحريا في تعبيراته وتثبتا في الحكم على الناس، وانظر تعبيره عن ابن تيمية بمن يدعي الحذق في المعقولات!</w:t>
      </w:r>
      <w:r w:rsidRPr="005675B2">
        <w:rPr>
          <w:rFonts w:hint="cs"/>
          <w:rtl/>
        </w:rPr>
        <w:t>] وأما أن الله تعالى لا داخل العالم ولا خارجه ولا فوقه ولا تحته، فسيأتي الكلام عليه في أواخر الكتاب</w:t>
      </w:r>
      <w:r w:rsidR="000636C2">
        <w:rPr>
          <w:rFonts w:hint="cs"/>
          <w:rtl/>
        </w:rPr>
        <w:t>،</w:t>
      </w:r>
    </w:p>
    <w:p w14:paraId="1EDFD8E4" w14:textId="1D72CCD4" w:rsidR="009C32A0" w:rsidRPr="005675B2" w:rsidRDefault="009C32A0" w:rsidP="000636C2">
      <w:pPr>
        <w:rPr>
          <w:b/>
          <w:rtl/>
        </w:rPr>
      </w:pPr>
      <w:r w:rsidRPr="005675B2">
        <w:rPr>
          <w:rFonts w:hint="cs"/>
          <w:rtl/>
        </w:rPr>
        <w:t>17 - تحريف الدكتور لكلام الرازي</w:t>
      </w:r>
      <w:r w:rsidR="000636C2">
        <w:rPr>
          <w:rFonts w:hint="cs"/>
          <w:rtl/>
        </w:rPr>
        <w:t xml:space="preserve">: </w:t>
      </w:r>
      <w:r w:rsidRPr="005675B2">
        <w:rPr>
          <w:rFonts w:hint="cs"/>
          <w:rtl/>
        </w:rPr>
        <w:t>قال الدكتور في التعليق</w:t>
      </w:r>
      <w:r w:rsidR="000636C2">
        <w:rPr>
          <w:rFonts w:hint="cs"/>
          <w:rtl/>
        </w:rPr>
        <w:t>:</w:t>
      </w:r>
      <w:r w:rsidRPr="005675B2">
        <w:rPr>
          <w:rFonts w:hint="cs"/>
          <w:rtl/>
        </w:rPr>
        <w:t xml:space="preserve"> {فالرازي مثلا مع إنكاره الشديد للعلو في </w:t>
      </w:r>
      <w:r w:rsidR="000636C2">
        <w:rPr>
          <w:rFonts w:hint="cs"/>
          <w:rtl/>
        </w:rPr>
        <w:t>(</w:t>
      </w:r>
      <w:r w:rsidRPr="005675B2">
        <w:rPr>
          <w:rFonts w:hint="cs"/>
          <w:rtl/>
        </w:rPr>
        <w:t>التأسيس والتفسير</w:t>
      </w:r>
      <w:r w:rsidR="000636C2">
        <w:rPr>
          <w:rFonts w:hint="cs"/>
          <w:rtl/>
        </w:rPr>
        <w:t>)</w:t>
      </w:r>
      <w:r w:rsidRPr="005675B2">
        <w:rPr>
          <w:rFonts w:hint="cs"/>
          <w:rtl/>
        </w:rPr>
        <w:t xml:space="preserve"> قال في التفسير</w:t>
      </w:r>
      <w:r w:rsidR="000636C2">
        <w:rPr>
          <w:rFonts w:hint="cs"/>
          <w:rtl/>
        </w:rPr>
        <w:t>:</w:t>
      </w:r>
      <w:r w:rsidRPr="005675B2">
        <w:rPr>
          <w:rFonts w:hint="cs"/>
          <w:rtl/>
        </w:rPr>
        <w:t xml:space="preserve"> إن الله "خسف بقارون فجعل الأرض فوقه ورفع محمدا صلى الله عليه وسلم فجعله قاب قوسين تحته" 1/ 248 ط</w:t>
      </w:r>
      <w:r w:rsidR="000636C2">
        <w:rPr>
          <w:rFonts w:hint="cs"/>
          <w:rtl/>
        </w:rPr>
        <w:t>،</w:t>
      </w:r>
      <w:r w:rsidRPr="005675B2">
        <w:rPr>
          <w:rFonts w:hint="cs"/>
          <w:rtl/>
        </w:rPr>
        <w:t xml:space="preserve"> بيروت "</w:t>
      </w:r>
      <w:r w:rsidR="000636C2">
        <w:rPr>
          <w:rFonts w:hint="cs"/>
          <w:rtl/>
        </w:rPr>
        <w:t xml:space="preserve">، </w:t>
      </w:r>
      <w:r w:rsidRPr="005675B2">
        <w:rPr>
          <w:rFonts w:hint="cs"/>
          <w:rtl/>
        </w:rPr>
        <w:t>أقول</w:t>
      </w:r>
      <w:r w:rsidR="000636C2">
        <w:rPr>
          <w:rFonts w:hint="cs"/>
          <w:rtl/>
        </w:rPr>
        <w:t>:</w:t>
      </w:r>
      <w:r w:rsidRPr="005675B2">
        <w:rPr>
          <w:rFonts w:hint="cs"/>
          <w:rtl/>
        </w:rPr>
        <w:t xml:space="preserve"> عبارة الإمام الرازي هكذا</w:t>
      </w:r>
      <w:r w:rsidR="000636C2">
        <w:rPr>
          <w:rFonts w:hint="cs"/>
          <w:rtl/>
        </w:rPr>
        <w:t>:</w:t>
      </w:r>
      <w:r w:rsidRPr="005675B2">
        <w:rPr>
          <w:rFonts w:hint="cs"/>
          <w:rtl/>
        </w:rPr>
        <w:t xml:space="preserve"> </w:t>
      </w:r>
      <w:r w:rsidR="000636C2">
        <w:rPr>
          <w:rFonts w:hint="cs"/>
          <w:rtl/>
        </w:rPr>
        <w:t>(</w:t>
      </w:r>
      <w:r w:rsidRPr="005675B2">
        <w:rPr>
          <w:rFonts w:hint="cs"/>
          <w:rtl/>
        </w:rPr>
        <w:t>فجعل قاب قوسين تحته</w:t>
      </w:r>
      <w:r w:rsidR="000636C2">
        <w:rPr>
          <w:rFonts w:hint="cs"/>
          <w:rtl/>
        </w:rPr>
        <w:t>)</w:t>
      </w:r>
      <w:r w:rsidRPr="005675B2">
        <w:rPr>
          <w:rFonts w:hint="cs"/>
          <w:rtl/>
        </w:rPr>
        <w:t xml:space="preserve"> فأضاف المؤلف الهاء إلى "جعل" ليتم له ما أراده من رجوع ضمير تحته إلى الله تعالى، حتى يفيد كلام الرازي إثبات الفوقية لله تعالى بالمعنى الذي يعتقده الدكتور سفر، مع أن هذا الضمير عائد إلى محمد صلى الله تعالى عليه وآله وسلم</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وقس على هذا نظرية الكسب والكلام النفسي ونفي التأثير وأشباهها مما سترى في عقائد الأشاعرة "</w:t>
      </w:r>
      <w:r w:rsidR="000636C2">
        <w:rPr>
          <w:rFonts w:hint="cs"/>
          <w:rtl/>
        </w:rPr>
        <w:t xml:space="preserve">، </w:t>
      </w:r>
      <w:r w:rsidRPr="005675B2">
        <w:rPr>
          <w:rFonts w:hint="cs"/>
          <w:rtl/>
        </w:rPr>
        <w:t>أقول</w:t>
      </w:r>
      <w:r w:rsidR="000636C2">
        <w:rPr>
          <w:rFonts w:hint="cs"/>
          <w:rtl/>
        </w:rPr>
        <w:t>:</w:t>
      </w:r>
      <w:r w:rsidRPr="005675B2">
        <w:rPr>
          <w:rFonts w:hint="cs"/>
          <w:rtl/>
        </w:rPr>
        <w:t xml:space="preserve"> مذهب الإمام الأشعري في الكسب هو الموافق لقوله تعالى</w:t>
      </w:r>
      <w:r w:rsidR="000636C2">
        <w:rPr>
          <w:rFonts w:hint="cs"/>
          <w:rtl/>
        </w:rPr>
        <w:t>:</w:t>
      </w:r>
      <w:r w:rsidRPr="005675B2">
        <w:rPr>
          <w:rFonts w:hint="cs"/>
          <w:rtl/>
        </w:rPr>
        <w:t xml:space="preserve"> </w:t>
      </w:r>
      <w:r w:rsidR="000636C2">
        <w:rPr>
          <w:rFonts w:hint="cs"/>
          <w:rtl/>
        </w:rPr>
        <w:t>(</w:t>
      </w:r>
      <w:r w:rsidRPr="005675B2">
        <w:rPr>
          <w:rFonts w:hint="cs"/>
          <w:rtl/>
        </w:rPr>
        <w:t>والله خلقكم وما تعملون</w:t>
      </w:r>
      <w:r w:rsidR="000636C2">
        <w:rPr>
          <w:rFonts w:hint="cs"/>
          <w:rtl/>
        </w:rPr>
        <w:t>)</w:t>
      </w:r>
      <w:r w:rsidRPr="005675B2">
        <w:rPr>
          <w:rFonts w:hint="cs"/>
          <w:rtl/>
        </w:rPr>
        <w:t xml:space="preserve"> وغيرها من الآيات، وقول النبي صلى الله عليه وآله وسلم</w:t>
      </w:r>
      <w:r w:rsidR="000636C2">
        <w:rPr>
          <w:rFonts w:hint="cs"/>
          <w:rtl/>
        </w:rPr>
        <w:t>:</w:t>
      </w:r>
      <w:r w:rsidRPr="005675B2">
        <w:rPr>
          <w:rFonts w:hint="cs"/>
          <w:rtl/>
        </w:rPr>
        <w:t xml:space="preserve"> </w:t>
      </w:r>
      <w:r w:rsidR="000636C2">
        <w:rPr>
          <w:rFonts w:hint="cs"/>
          <w:rtl/>
        </w:rPr>
        <w:t>(</w:t>
      </w:r>
      <w:r w:rsidRPr="005675B2">
        <w:rPr>
          <w:rFonts w:hint="cs"/>
          <w:rtl/>
        </w:rPr>
        <w:t>ما شاء الله كان وما لم يشأ لم يكن</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لا حول ولا قوة إلا بالله</w:t>
      </w:r>
      <w:r w:rsidR="000636C2">
        <w:rPr>
          <w:rFonts w:hint="cs"/>
          <w:rtl/>
        </w:rPr>
        <w:t>)</w:t>
      </w:r>
      <w:r w:rsidRPr="005675B2">
        <w:rPr>
          <w:rFonts w:hint="cs"/>
          <w:rtl/>
        </w:rPr>
        <w:t xml:space="preserve"> وأما الكلام النفسي الذي قال به الأشعري فهو أمر لا يخلوا عنه متكلم سواء كان هو الله أو غيره من المخلوقين، وأما نفي التأثير فهو التوحيد الخالص كما أن مسألة الكسب كذلك</w:t>
      </w:r>
      <w:r w:rsidR="000636C2">
        <w:rPr>
          <w:rFonts w:hint="cs"/>
          <w:rtl/>
        </w:rPr>
        <w:t>،</w:t>
      </w:r>
      <w:r w:rsidRPr="005675B2">
        <w:rPr>
          <w:rFonts w:hint="cs"/>
          <w:rtl/>
        </w:rPr>
        <w:t xml:space="preserve"> وسيأتي الكلام على هذه كلها مفصلا</w:t>
      </w:r>
      <w:r w:rsidR="000636C2">
        <w:rPr>
          <w:rFonts w:hint="cs"/>
          <w:rtl/>
        </w:rPr>
        <w:t>،</w:t>
      </w:r>
    </w:p>
    <w:p w14:paraId="0C905449" w14:textId="531CFDB5" w:rsidR="009C32A0" w:rsidRPr="005675B2" w:rsidRDefault="009C32A0" w:rsidP="000636C2">
      <w:pPr>
        <w:rPr>
          <w:b/>
          <w:spacing w:val="-8"/>
          <w:rtl/>
        </w:rPr>
      </w:pPr>
      <w:r w:rsidRPr="005675B2">
        <w:rPr>
          <w:rFonts w:hint="cs"/>
          <w:rtl/>
        </w:rPr>
        <w:t>18 - بيان حال الرازي والآمدي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وقد ترجم الحافظ الذهبي - رحمه الله - في الميزان وغيره للرازي وللآمدي بما هم أهله، ثم جاء ابن السبكي - ذلك الأشعري المتعصب - فتعقبه وعنف عليه ظلما "</w:t>
      </w:r>
      <w:r w:rsidR="000636C2">
        <w:rPr>
          <w:rFonts w:hint="cs"/>
          <w:rtl/>
        </w:rPr>
        <w:t>،</w:t>
      </w:r>
      <w:r w:rsidRPr="005675B2">
        <w:rPr>
          <w:rFonts w:hint="cs"/>
          <w:rtl/>
        </w:rPr>
        <w:t xml:space="preserve"> </w:t>
      </w:r>
      <w:r w:rsidRPr="005675B2">
        <w:rPr>
          <w:rFonts w:hint="cs"/>
          <w:spacing w:val="-8"/>
          <w:rtl/>
        </w:rPr>
        <w:t>أقول</w:t>
      </w:r>
      <w:r w:rsidR="000636C2">
        <w:rPr>
          <w:rFonts w:hint="cs"/>
          <w:spacing w:val="-8"/>
          <w:rtl/>
        </w:rPr>
        <w:t>:</w:t>
      </w:r>
      <w:r w:rsidRPr="005675B2">
        <w:rPr>
          <w:rFonts w:hint="cs"/>
          <w:spacing w:val="-8"/>
          <w:rtl/>
        </w:rPr>
        <w:t xml:space="preserve"> انقل لك قطعة من تعقب السبكي، وأترك لك الحكم في انه هل كان ظالما في تعقبه أو كان عادلا، قال السبكي</w:t>
      </w:r>
      <w:r w:rsidR="000636C2">
        <w:rPr>
          <w:rFonts w:hint="cs"/>
          <w:spacing w:val="-8"/>
          <w:rtl/>
        </w:rPr>
        <w:t>:</w:t>
      </w:r>
      <w:r w:rsidRPr="005675B2">
        <w:rPr>
          <w:rFonts w:hint="cs"/>
          <w:spacing w:val="-8"/>
          <w:rtl/>
        </w:rPr>
        <w:t xml:space="preserve"> وأعلم أن شيخنا الذهبي ذكر الإمام في كتاب الميزان في الضعفاء، وكتبت أنا على كتابه حاشية مضمونها أنه ليس لذكره في هذا الكتاب معنى، ولا يجوز من وجوه عدة، أعلاها أنه ثقة حبر من أحبار الأمة، وأدناها أنه لا رواية له فذكره في كتب الرواة مجرد فضول وتعصب وتحامل تقشعر منه الجلود .. إلى آخر كلامه في ترجمة الرازي</w:t>
      </w:r>
      <w:r w:rsidR="000636C2">
        <w:rPr>
          <w:rFonts w:hint="cs"/>
          <w:spacing w:val="-8"/>
          <w:rtl/>
        </w:rPr>
        <w:t>،</w:t>
      </w:r>
      <w:r w:rsidRPr="005675B2">
        <w:rPr>
          <w:rFonts w:hint="cs"/>
          <w:spacing w:val="-8"/>
          <w:rtl/>
        </w:rPr>
        <w:t xml:space="preserve"> [</w:t>
      </w:r>
      <w:r w:rsidRPr="005675B2">
        <w:rPr>
          <w:rFonts w:hint="cs"/>
          <w:sz w:val="24"/>
          <w:szCs w:val="24"/>
          <w:rtl/>
        </w:rPr>
        <w:t>أنظر الطبقات الكبرى 8/88]</w:t>
      </w:r>
      <w:r w:rsidRPr="005675B2">
        <w:rPr>
          <w:rFonts w:hint="cs"/>
          <w:spacing w:val="-8"/>
          <w:rtl/>
        </w:rPr>
        <w:t xml:space="preserve"> ثم قال الدكتور مواصلا الكلام على الرازي والآمدي</w:t>
      </w:r>
      <w:r w:rsidR="000636C2">
        <w:rPr>
          <w:rFonts w:hint="cs"/>
          <w:spacing w:val="-8"/>
          <w:rtl/>
        </w:rPr>
        <w:t>:</w:t>
      </w:r>
      <w:r w:rsidRPr="005675B2">
        <w:rPr>
          <w:rFonts w:hint="cs"/>
          <w:spacing w:val="-8"/>
          <w:rtl/>
        </w:rPr>
        <w:t xml:space="preserve"> {فماذا كان موقف ابن حجر</w:t>
      </w:r>
      <w:r w:rsidR="000636C2">
        <w:rPr>
          <w:rFonts w:hint="cs"/>
          <w:spacing w:val="-8"/>
          <w:rtl/>
        </w:rPr>
        <w:t>؟</w:t>
      </w:r>
      <w:r w:rsidRPr="005675B2">
        <w:rPr>
          <w:rFonts w:hint="cs"/>
          <w:spacing w:val="-8"/>
          <w:rtl/>
        </w:rPr>
        <w:t xml:space="preserve"> لأن موقفه هو الذي يحدد انتماءه لفكر هؤلاء القوم أو عدمه إن الذي يقرأ ترجمتيهما في اللسان لا يمكن أن يقول</w:t>
      </w:r>
      <w:r w:rsidR="000636C2">
        <w:rPr>
          <w:rFonts w:hint="cs"/>
          <w:spacing w:val="-8"/>
          <w:rtl/>
        </w:rPr>
        <w:t>:</w:t>
      </w:r>
      <w:r w:rsidRPr="005675B2">
        <w:rPr>
          <w:rFonts w:hint="cs"/>
          <w:spacing w:val="-8"/>
          <w:rtl/>
        </w:rPr>
        <w:t xml:space="preserve"> إن ابن حجر على مذهبهما أبدا، كيف وقد أورد نقولا كثيرة موثقة عن ضلالهماو وشنائعهما التي لا يقرها أي مسلم فضلا عمن هو في علم الحافظ وفضله "</w:t>
      </w:r>
      <w:r w:rsidR="000636C2">
        <w:rPr>
          <w:rFonts w:hint="cs"/>
          <w:spacing w:val="-8"/>
          <w:rtl/>
        </w:rPr>
        <w:t xml:space="preserve">، </w:t>
      </w:r>
      <w:r w:rsidRPr="005675B2">
        <w:rPr>
          <w:rFonts w:hint="cs"/>
          <w:spacing w:val="-8"/>
          <w:rtl/>
        </w:rPr>
        <w:t xml:space="preserve">أقول </w:t>
      </w:r>
      <w:r w:rsidR="000636C2">
        <w:rPr>
          <w:rFonts w:hint="cs"/>
          <w:spacing w:val="-8"/>
          <w:rtl/>
        </w:rPr>
        <w:t>(</w:t>
      </w:r>
      <w:r>
        <w:rPr>
          <w:rFonts w:hint="cs"/>
          <w:spacing w:val="-8"/>
          <w:rtl/>
        </w:rPr>
        <w:t>أولا</w:t>
      </w:r>
      <w:r w:rsidR="000636C2">
        <w:rPr>
          <w:rFonts w:hint="cs"/>
          <w:spacing w:val="-8"/>
          <w:rtl/>
        </w:rPr>
        <w:t>):</w:t>
      </w:r>
      <w:r w:rsidRPr="005675B2">
        <w:rPr>
          <w:rFonts w:hint="cs"/>
          <w:spacing w:val="-8"/>
          <w:rtl/>
        </w:rPr>
        <w:t xml:space="preserve"> لا علاقة للمواقف من الأشخاص بتحديد الإنتماء، فكم من سني جرح سنيا وعدل شيعيا</w:t>
      </w:r>
      <w:r w:rsidR="000636C2">
        <w:rPr>
          <w:rFonts w:hint="cs"/>
          <w:spacing w:val="-8"/>
          <w:rtl/>
        </w:rPr>
        <w:t xml:space="preserve">! </w:t>
      </w:r>
      <w:r w:rsidRPr="005675B2">
        <w:rPr>
          <w:rFonts w:hint="cs"/>
          <w:rtl/>
        </w:rPr>
        <w:t>ثم أقول</w:t>
      </w:r>
      <w:r w:rsidR="000636C2">
        <w:rPr>
          <w:rFonts w:hint="cs"/>
          <w:rtl/>
        </w:rPr>
        <w:t>:</w:t>
      </w:r>
      <w:r w:rsidRPr="005675B2">
        <w:rPr>
          <w:rFonts w:hint="cs"/>
          <w:rtl/>
        </w:rPr>
        <w:t xml:space="preserve"> الحافظ ابن حجر العسقلاني قد أنصف الرجلين، ونقل ما قيل فيهما من الممادح والمذام، ولكنه جرى على طريق المؤرخين في سرده لما نقله بدون توثيق، ولم يجر على طريقة المحدثين في التوثيق، فقول المؤلف</w:t>
      </w:r>
      <w:r w:rsidR="000636C2">
        <w:rPr>
          <w:rFonts w:hint="cs"/>
          <w:rtl/>
        </w:rPr>
        <w:t>:</w:t>
      </w:r>
      <w:r w:rsidRPr="005675B2">
        <w:rPr>
          <w:rFonts w:hint="cs"/>
          <w:rtl/>
        </w:rPr>
        <w:t xml:space="preserve"> " وقد أورد نقولا كثيرة موثقة ..</w:t>
      </w:r>
      <w:r w:rsidR="000636C2">
        <w:rPr>
          <w:rFonts w:hint="cs"/>
          <w:rtl/>
        </w:rPr>
        <w:t>،</w:t>
      </w:r>
      <w:r w:rsidRPr="005675B2">
        <w:rPr>
          <w:rFonts w:hint="cs"/>
          <w:rtl/>
        </w:rPr>
        <w:t xml:space="preserve"> " غير صحيح لا سيما وقد نقل أمورا المعروف عن الإمام الرازي خلافها، وقد اقتصر الدكتور على ذكر المذام، وأنا انقل ما أورده الحافظ عنهما من الممادح</w:t>
      </w:r>
      <w:r w:rsidR="000636C2">
        <w:rPr>
          <w:rFonts w:hint="cs"/>
          <w:rtl/>
        </w:rPr>
        <w:t xml:space="preserve">، </w:t>
      </w:r>
      <w:r w:rsidRPr="005675B2">
        <w:rPr>
          <w:rFonts w:hint="cs"/>
          <w:rtl/>
        </w:rPr>
        <w:t>قال عن الرازي</w:t>
      </w:r>
      <w:r w:rsidR="000636C2">
        <w:rPr>
          <w:rFonts w:hint="cs"/>
          <w:rtl/>
        </w:rPr>
        <w:t>:</w:t>
      </w:r>
      <w:r w:rsidRPr="005675B2">
        <w:rPr>
          <w:rFonts w:hint="cs"/>
          <w:rtl/>
        </w:rPr>
        <w:t xml:space="preserve"> الفخر بن الخطيب صاحب التصانيف، رأس في الذكاء والعقليات، ثم نقل نقد التاج السبكي للذهبي وأقره ثم قال</w:t>
      </w:r>
      <w:r w:rsidR="000636C2">
        <w:rPr>
          <w:rFonts w:hint="cs"/>
          <w:rtl/>
        </w:rPr>
        <w:t>:</w:t>
      </w:r>
      <w:r w:rsidRPr="005675B2">
        <w:rPr>
          <w:rFonts w:hint="cs"/>
          <w:rtl/>
        </w:rPr>
        <w:t xml:space="preserve"> وتمهر في عدة علوم، وعقد مجلس الوعظ، وكان إذا وعظ يحصل له وجد زائدة .. قال للسلطان يوما</w:t>
      </w:r>
      <w:r w:rsidR="000636C2">
        <w:rPr>
          <w:rFonts w:hint="cs"/>
          <w:rtl/>
        </w:rPr>
        <w:t>:</w:t>
      </w:r>
      <w:r w:rsidRPr="005675B2">
        <w:rPr>
          <w:rFonts w:hint="cs"/>
          <w:rtl/>
        </w:rPr>
        <w:t xml:space="preserve"> نحن في ظل سيفك، فقال له السلطان</w:t>
      </w:r>
      <w:r w:rsidR="000636C2">
        <w:rPr>
          <w:rFonts w:hint="cs"/>
          <w:rtl/>
        </w:rPr>
        <w:t>:</w:t>
      </w:r>
      <w:r w:rsidRPr="005675B2">
        <w:rPr>
          <w:rFonts w:hint="cs"/>
          <w:rtl/>
        </w:rPr>
        <w:t xml:space="preserve"> ونحن في شمس علمك، وكانت له أوراد من صلاة وصيام لا يخل بها، وكان مع تبحره في الأصول يقول</w:t>
      </w:r>
      <w:r w:rsidR="000636C2">
        <w:rPr>
          <w:rFonts w:hint="cs"/>
          <w:rtl/>
        </w:rPr>
        <w:t>:</w:t>
      </w:r>
      <w:r w:rsidRPr="005675B2">
        <w:rPr>
          <w:rFonts w:hint="cs"/>
          <w:rtl/>
        </w:rPr>
        <w:t xml:space="preserve"> من التزم دين العجائز فهو الفائز</w:t>
      </w:r>
      <w:r w:rsidR="000636C2">
        <w:rPr>
          <w:rFonts w:hint="cs"/>
          <w:rtl/>
        </w:rPr>
        <w:t xml:space="preserve">، </w:t>
      </w:r>
      <w:r w:rsidRPr="005675B2">
        <w:rPr>
          <w:rFonts w:hint="cs"/>
          <w:spacing w:val="-8"/>
          <w:rtl/>
        </w:rPr>
        <w:t>وقال الحافظ عن الآمدي</w:t>
      </w:r>
      <w:r w:rsidR="000636C2">
        <w:rPr>
          <w:rFonts w:hint="cs"/>
          <w:spacing w:val="-8"/>
          <w:rtl/>
        </w:rPr>
        <w:t>:</w:t>
      </w:r>
      <w:r w:rsidRPr="005675B2">
        <w:rPr>
          <w:rFonts w:hint="cs"/>
          <w:spacing w:val="-8"/>
          <w:rtl/>
        </w:rPr>
        <w:t xml:space="preserve"> قال أبو المظفر ابن الجوزي</w:t>
      </w:r>
      <w:r w:rsidR="000636C2">
        <w:rPr>
          <w:rFonts w:hint="cs"/>
          <w:spacing w:val="-8"/>
          <w:rtl/>
        </w:rPr>
        <w:t>:</w:t>
      </w:r>
      <w:r w:rsidRPr="005675B2">
        <w:rPr>
          <w:rFonts w:hint="cs"/>
          <w:spacing w:val="-8"/>
          <w:rtl/>
        </w:rPr>
        <w:t xml:space="preserve"> لم يكن في زمانه من يجاريه في الأصلين وعلم الكلام، وكان يظهر منه رقة قلب وسرعة دمعة، ويقال انه حفظ الوسيط والمستصفى، وحفظ قبل ذلك الهداية لأبي الخطاب إذ كان حنبليا، ويذكر عن ابن عبد السلام قال</w:t>
      </w:r>
      <w:r w:rsidR="000636C2">
        <w:rPr>
          <w:rFonts w:hint="cs"/>
          <w:spacing w:val="-8"/>
          <w:rtl/>
        </w:rPr>
        <w:t>:</w:t>
      </w:r>
      <w:r w:rsidRPr="005675B2">
        <w:rPr>
          <w:rFonts w:hint="cs"/>
          <w:spacing w:val="-8"/>
          <w:rtl/>
        </w:rPr>
        <w:t xml:space="preserve"> ما علمت قواعد البحث إلا من السيف، وما سمعت أحدا يلقي الدرس أحسن منه، وكان إذا غير لفظة من الوسيط كان اللفظ الذي يأتي به أقرب إلى المعنى، قال ولو ورد على الإسلام من يشكك فيه من المتزندقة لتعين الآمدي لمناظرته، ثم أورد الحافظ نقد السبكي للذهبي الذي نقلناه آنفا وأقره</w:t>
      </w:r>
      <w:r w:rsidR="000636C2">
        <w:rPr>
          <w:rFonts w:hint="cs"/>
          <w:spacing w:val="-8"/>
          <w:rtl/>
        </w:rPr>
        <w:t>،</w:t>
      </w:r>
      <w:r w:rsidRPr="005675B2">
        <w:rPr>
          <w:rFonts w:hint="cs"/>
          <w:spacing w:val="-8"/>
          <w:rtl/>
        </w:rPr>
        <w:t xml:space="preserve"> [</w:t>
      </w:r>
      <w:r w:rsidRPr="005675B2">
        <w:rPr>
          <w:rFonts w:hint="cs"/>
          <w:sz w:val="24"/>
          <w:szCs w:val="24"/>
          <w:rtl/>
        </w:rPr>
        <w:t>لسان الميزان 3/134-135]</w:t>
      </w:r>
      <w:r w:rsidRPr="005675B2">
        <w:rPr>
          <w:rFonts w:hint="cs"/>
          <w:spacing w:val="-8"/>
          <w:rtl/>
        </w:rPr>
        <w:t xml:space="preserve"> وقال الحافظ ابن كثير في ترجمة الآمدي</w:t>
      </w:r>
      <w:r w:rsidR="000636C2">
        <w:rPr>
          <w:rFonts w:hint="cs"/>
          <w:spacing w:val="-8"/>
          <w:rtl/>
        </w:rPr>
        <w:t>:</w:t>
      </w:r>
      <w:r w:rsidRPr="005675B2">
        <w:rPr>
          <w:rFonts w:hint="cs"/>
          <w:spacing w:val="-8"/>
          <w:rtl/>
        </w:rPr>
        <w:t xml:space="preserve"> "وكان كثير البكاء رقيق القلب، وقد تكلموا فيه بأشياء ألله أعلم بصحتها، والذي يغلب على الظن أنه ليس لغالبها صحة"</w:t>
      </w:r>
      <w:r w:rsidR="000636C2">
        <w:rPr>
          <w:rFonts w:hint="cs"/>
          <w:spacing w:val="-8"/>
          <w:rtl/>
        </w:rPr>
        <w:t>،</w:t>
      </w:r>
      <w:r w:rsidRPr="005675B2">
        <w:rPr>
          <w:rFonts w:hint="cs"/>
          <w:spacing w:val="-8"/>
          <w:rtl/>
        </w:rPr>
        <w:t xml:space="preserve"> [</w:t>
      </w:r>
      <w:r w:rsidRPr="005675B2">
        <w:rPr>
          <w:rFonts w:hint="cs"/>
          <w:sz w:val="24"/>
          <w:szCs w:val="24"/>
          <w:rtl/>
        </w:rPr>
        <w:t>البداية والنهاية 13/140</w:t>
      </w:r>
      <w:r w:rsidRPr="005675B2">
        <w:rPr>
          <w:rFonts w:hint="cs"/>
          <w:spacing w:val="-8"/>
          <w:rtl/>
        </w:rPr>
        <w:t>]</w:t>
      </w:r>
    </w:p>
    <w:p w14:paraId="17FE2381" w14:textId="5563D948" w:rsidR="009C32A0" w:rsidRPr="005675B2" w:rsidRDefault="009C32A0" w:rsidP="000636C2">
      <w:pPr>
        <w:rPr>
          <w:b/>
          <w:rtl/>
        </w:rPr>
      </w:pPr>
      <w:r w:rsidRPr="005675B2">
        <w:rPr>
          <w:rFonts w:hint="cs"/>
          <w:rtl/>
        </w:rPr>
        <w:t>19 - الكلام على وصية الرازي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على أنه </w:t>
      </w:r>
      <w:r w:rsidR="000636C2">
        <w:rPr>
          <w:rFonts w:hint="cs"/>
          <w:rtl/>
        </w:rPr>
        <w:t>(</w:t>
      </w:r>
      <w:r w:rsidRPr="005675B2">
        <w:rPr>
          <w:rFonts w:hint="cs"/>
          <w:rtl/>
        </w:rPr>
        <w:t>أي الحافظ ابن حجر</w:t>
      </w:r>
      <w:r w:rsidR="000636C2">
        <w:rPr>
          <w:rFonts w:hint="cs"/>
          <w:rtl/>
        </w:rPr>
        <w:t>)</w:t>
      </w:r>
      <w:r w:rsidRPr="005675B2">
        <w:rPr>
          <w:rFonts w:hint="cs"/>
          <w:rtl/>
        </w:rPr>
        <w:t xml:space="preserve"> قال في آخر ترجمة الرازي</w:t>
      </w:r>
      <w:r w:rsidR="000636C2">
        <w:rPr>
          <w:rFonts w:hint="cs"/>
          <w:rtl/>
        </w:rPr>
        <w:t>:</w:t>
      </w:r>
      <w:r w:rsidRPr="005675B2">
        <w:rPr>
          <w:rFonts w:hint="cs"/>
          <w:rtl/>
        </w:rPr>
        <w:t xml:space="preserve"> "أوصى بوصية تدل على حسن إعتقاده" ثم قال الدكتور</w:t>
      </w:r>
      <w:r w:rsidR="000636C2">
        <w:rPr>
          <w:rFonts w:hint="cs"/>
          <w:rtl/>
        </w:rPr>
        <w:t>:</w:t>
      </w:r>
      <w:r w:rsidRPr="005675B2">
        <w:rPr>
          <w:rFonts w:hint="cs"/>
          <w:rtl/>
        </w:rPr>
        <w:t xml:space="preserve"> وهذه العبارة التي قد يفهم منها أنها متعاطفة مع الرازي ضد مهاجميه هي شاهد لما نقول نحن هنا، فإن وصية الرازي التي نقلها ابن السبكي نفسه صريحة في رجوعه إلى مذهب السلف "</w:t>
      </w:r>
      <w:r w:rsidR="000636C2">
        <w:rPr>
          <w:rFonts w:hint="cs"/>
          <w:rtl/>
        </w:rPr>
        <w:t xml:space="preserve">، </w:t>
      </w:r>
      <w:r w:rsidRPr="005675B2">
        <w:rPr>
          <w:rFonts w:hint="cs"/>
          <w:rtl/>
        </w:rPr>
        <w:t>أقول</w:t>
      </w:r>
      <w:r w:rsidR="000636C2">
        <w:rPr>
          <w:rFonts w:hint="cs"/>
          <w:rtl/>
        </w:rPr>
        <w:t>:</w:t>
      </w:r>
      <w:r w:rsidRPr="005675B2">
        <w:rPr>
          <w:rFonts w:hint="cs"/>
          <w:rtl/>
        </w:rPr>
        <w:t xml:space="preserve"> أما الجملة التي نقلها الدكتور عن الحافظ ابن حجر من أنه "أوصى بوصية تدل على حسن إعتقاده" فهي موجودة في الطبعة الهندية من "لسان الميزان"، وهي طبعة سقيمة، وقد حقق الشيخ عبد الفتاح أبو غدة الكتاب وقابله بعدة نسخ خطية ليس فيها هذه الجملة، وإنما هي مكتوبة في هامش إحدى النسخ</w:t>
      </w:r>
      <w:r w:rsidR="000636C2">
        <w:rPr>
          <w:rFonts w:hint="cs"/>
          <w:rtl/>
        </w:rPr>
        <w:t>،</w:t>
      </w:r>
      <w:r w:rsidRPr="005675B2">
        <w:rPr>
          <w:rFonts w:hint="cs"/>
          <w:rtl/>
        </w:rPr>
        <w:t xml:space="preserve"> فبطلت نسبة تلك الجملة الموهمة إلى الحافظ ابن حجر، وبطل ما بناه الدكتور عليها</w:t>
      </w:r>
      <w:r w:rsidR="000636C2">
        <w:rPr>
          <w:rFonts w:hint="cs"/>
          <w:rtl/>
        </w:rPr>
        <w:t>،</w:t>
      </w:r>
      <w:r w:rsidRPr="005675B2">
        <w:rPr>
          <w:rFonts w:hint="cs"/>
          <w:rtl/>
        </w:rPr>
        <w:t xml:space="preserve"> ثم أقول</w:t>
      </w:r>
      <w:r w:rsidR="000636C2">
        <w:rPr>
          <w:rFonts w:hint="cs"/>
          <w:rtl/>
        </w:rPr>
        <w:t>:</w:t>
      </w:r>
      <w:r w:rsidRPr="005675B2">
        <w:rPr>
          <w:rFonts w:hint="cs"/>
          <w:rtl/>
        </w:rPr>
        <w:t xml:space="preserve"> القارئ لوصية الإمام الرازي بتدبر وتمعن يتحقق أن الإمام قد ركز فيها على أمرين</w:t>
      </w:r>
      <w:r w:rsidR="000636C2">
        <w:rPr>
          <w:rFonts w:hint="cs"/>
          <w:rtl/>
        </w:rPr>
        <w:t>: (</w:t>
      </w:r>
      <w:r w:rsidRPr="005675B2">
        <w:rPr>
          <w:rFonts w:hint="cs"/>
          <w:rtl/>
        </w:rPr>
        <w:t>الأول</w:t>
      </w:r>
      <w:r w:rsidR="000636C2">
        <w:rPr>
          <w:rFonts w:hint="cs"/>
          <w:rtl/>
        </w:rPr>
        <w:t>):</w:t>
      </w:r>
      <w:r w:rsidRPr="005675B2">
        <w:rPr>
          <w:rFonts w:hint="cs"/>
          <w:rtl/>
        </w:rPr>
        <w:t xml:space="preserve"> تفضيل طريقة القرآن الكريم وترجيح أسلوبه في تقرير العقائد الإسلامية والاستدلال عليها على الطرق الكلامية والمناهج الفلسفية في ذلك، وهذا الأمر محل إجماع من علماء المسلمين، وأما اشتغال المتكلمين من أهل السنة بالطرق الكلامية والأساليب الفلسفية في الاستدلال على العقائد الإسلامية فكان لأجل ضرورة طارئة وهي ضرورة الرد على المعتزلة والفلاسفة وقمعهم وإبطال أصولهم الباطلة ليتم الإلزام لهم من باب "من فمك أدينك" وهذا التفضيل قد أشار إليه الإمام بقوله</w:t>
      </w:r>
      <w:r w:rsidR="000636C2">
        <w:rPr>
          <w:rFonts w:hint="cs"/>
          <w:rtl/>
        </w:rPr>
        <w:t>:</w:t>
      </w:r>
      <w:r w:rsidRPr="005675B2">
        <w:rPr>
          <w:rFonts w:hint="cs"/>
          <w:rtl/>
        </w:rPr>
        <w:t xml:space="preserve"> ولقد اختبرت الطرق الكلامية والمناهج الفلسفية .. إلى قوله</w:t>
      </w:r>
      <w:r w:rsidR="000636C2">
        <w:rPr>
          <w:rFonts w:hint="cs"/>
          <w:rtl/>
        </w:rPr>
        <w:t>:</w:t>
      </w:r>
      <w:r w:rsidRPr="005675B2">
        <w:rPr>
          <w:rFonts w:hint="cs"/>
          <w:rtl/>
        </w:rPr>
        <w:t xml:space="preserve"> فلهذا أقول ..</w:t>
      </w:r>
      <w:r w:rsidR="000636C2">
        <w:rPr>
          <w:rFonts w:hint="cs"/>
          <w:rtl/>
        </w:rPr>
        <w:t xml:space="preserve"> </w:t>
      </w:r>
      <w:r w:rsidRPr="005675B2">
        <w:rPr>
          <w:rFonts w:hint="cs"/>
          <w:rtl/>
        </w:rPr>
        <w:t>و</w:t>
      </w:r>
      <w:r w:rsidR="000636C2">
        <w:rPr>
          <w:rFonts w:hint="cs"/>
          <w:rtl/>
        </w:rPr>
        <w:t>(</w:t>
      </w:r>
      <w:r w:rsidRPr="005675B2">
        <w:rPr>
          <w:rFonts w:hint="cs"/>
          <w:rtl/>
        </w:rPr>
        <w:t>الثاني</w:t>
      </w:r>
      <w:r w:rsidR="000636C2">
        <w:rPr>
          <w:rFonts w:hint="cs"/>
          <w:rtl/>
        </w:rPr>
        <w:t>):</w:t>
      </w:r>
      <w:r w:rsidRPr="005675B2">
        <w:rPr>
          <w:rFonts w:hint="cs"/>
          <w:rtl/>
        </w:rPr>
        <w:t xml:space="preserve"> أن الحاجة إلى الدفاع عن عقيدة أهل السنة والرد على المخالفين لها من المعتزلة والحشوية وقمعهم كانت قد اضطرته إلى الدخول في مضايق علم الكلام الذي هو أدق العلوم، وإلى تشقيق مسائله وإبداء الوجوه والاحتمالات العقلية فيها، وإلى تقرير مذاهب المخالفين وشبهم على أتم وجه، ثم الكر عليها بالرد والنقض</w:t>
      </w:r>
      <w:r w:rsidR="000636C2">
        <w:rPr>
          <w:rFonts w:hint="cs"/>
          <w:rtl/>
        </w:rPr>
        <w:t>،</w:t>
      </w:r>
      <w:r w:rsidRPr="005675B2">
        <w:rPr>
          <w:rFonts w:hint="cs"/>
          <w:rtl/>
        </w:rPr>
        <w:t xml:space="preserve"> ومن أجل أن علم الكلام من أدق العلوم أو أدقها كانت غوامض مسائله من المزالق والمداحض، وكان الخائض فيه بالطريق المذكورة عرضة للخطأ، وهذا ما كان يعلمه الإمام الرازي جيدا ويلاحظه</w:t>
      </w:r>
      <w:r w:rsidR="000636C2">
        <w:rPr>
          <w:rFonts w:hint="cs"/>
          <w:rtl/>
        </w:rPr>
        <w:t>،</w:t>
      </w:r>
      <w:r w:rsidRPr="005675B2">
        <w:rPr>
          <w:rFonts w:hint="cs"/>
          <w:rtl/>
        </w:rPr>
        <w:t xml:space="preserve"> فالإمام الرازي على طريقة الأئمة المتقين الذين يرجون لله وقارا</w:t>
      </w:r>
      <w:r w:rsidR="000636C2">
        <w:rPr>
          <w:rFonts w:hint="cs"/>
          <w:rtl/>
        </w:rPr>
        <w:t xml:space="preserve"> </w:t>
      </w:r>
      <w:r w:rsidRPr="005675B2">
        <w:rPr>
          <w:rFonts w:hint="cs"/>
          <w:rtl/>
        </w:rPr>
        <w:t>- مع وثوقه بحسن قصده فيما قام به من هذا العمل الذي لا يقوم به إلا أفذاذ العصور ونوابغ الدهور - كان متهما لنفسه، ومجوزا عليها الخطأ في بعض ما تدخل فيه من مضايق المعقول ومداحضه، ومعترفا بالعجز عن المزيد على ذلك، وتائبا إلى الله عما وقع فيه من الخطأ والزلل إن كان قد وقع</w:t>
      </w:r>
      <w:r w:rsidR="000636C2">
        <w:rPr>
          <w:rFonts w:hint="cs"/>
          <w:rtl/>
        </w:rPr>
        <w:t>،</w:t>
      </w:r>
      <w:r w:rsidRPr="005675B2">
        <w:rPr>
          <w:rFonts w:hint="cs"/>
          <w:rtl/>
        </w:rPr>
        <w:t xml:space="preserve"> وهذا ما ذكره الإمام بقوله</w:t>
      </w:r>
      <w:r w:rsidR="000636C2">
        <w:rPr>
          <w:rFonts w:hint="cs"/>
          <w:rtl/>
        </w:rPr>
        <w:t>:</w:t>
      </w:r>
      <w:r w:rsidRPr="005675B2">
        <w:rPr>
          <w:rFonts w:hint="cs"/>
          <w:rtl/>
        </w:rPr>
        <w:t xml:space="preserve"> فكل ما مده قلمي .. إلخ</w:t>
      </w:r>
      <w:r w:rsidR="000636C2">
        <w:rPr>
          <w:rFonts w:hint="cs"/>
          <w:rtl/>
        </w:rPr>
        <w:t xml:space="preserve">، </w:t>
      </w:r>
      <w:r w:rsidRPr="005675B2">
        <w:rPr>
          <w:rFonts w:hint="cs"/>
          <w:rtl/>
        </w:rPr>
        <w:t>فهذا هو الذي تاب عنه الإمام الرازي، وأما انه تاب من عقيدته أو من خطأ معين فليس له في هذه الوصية عين ولا أثر</w:t>
      </w:r>
      <w:r w:rsidR="000636C2">
        <w:rPr>
          <w:rFonts w:hint="cs"/>
          <w:rtl/>
        </w:rPr>
        <w:t xml:space="preserve">، </w:t>
      </w:r>
      <w:r w:rsidRPr="005675B2">
        <w:rPr>
          <w:rFonts w:hint="cs"/>
          <w:rtl/>
        </w:rPr>
        <w:t>وإليكم نص الوصية منقولة من طبقات الشافعية الكبرى لتاج الدين السبكي</w:t>
      </w:r>
      <w:r w:rsidR="000636C2">
        <w:rPr>
          <w:rFonts w:hint="cs"/>
          <w:rtl/>
        </w:rPr>
        <w:t xml:space="preserve">، </w:t>
      </w:r>
      <w:r w:rsidRPr="005675B2">
        <w:rPr>
          <w:rFonts w:hint="cs"/>
          <w:rtl/>
        </w:rPr>
        <w:t>فاعلموا أني كنت رجلا محبا للعلم، فكنت اكتب من كل شيء شيئا لأقف على كميته وكيفيته، سواء كان حقا أو باطلا، إلا أن الذي نُطِقَ به في الكتب المعتبرة أن العالم المخصوص تحت تدبير مدبره المنزه عن مماثلة المتحيزات موصوف بكمال القدرة والعلم والرحمة، ولقد اختبرت الطرق الكلامية والمناهج الفلسفية، فما رأيت فيها فائدة تساوي الفائدة التي وجدتها في القرآن، لأنه يسعى في تسليم العظمة والجلال لله، ويمنع عن التعمق في إيراد المعارضات والمناقضات، وما ذاك إلا للعلم بان العقول البشرية تتلاشى في تلك المضايق العميقة، والمناهج الخفية، فلهذا أقول</w:t>
      </w:r>
      <w:r w:rsidR="000636C2">
        <w:rPr>
          <w:rFonts w:hint="cs"/>
          <w:rtl/>
        </w:rPr>
        <w:t>:</w:t>
      </w:r>
      <w:r w:rsidRPr="005675B2">
        <w:rPr>
          <w:rFonts w:hint="cs"/>
          <w:rtl/>
        </w:rPr>
        <w:t xml:space="preserve"> كل ما ثبت بالدلائل الظاهرة، من وجوب وجوده، ووحدته، وبراءته عن الشركاء، كما في القدم والأزلية، والتدبير، والفعالية، فذلك هو الذي أقول به، وألقى الله به، وأما ما لا ينتهى، الأمر فيه إلى الدقة والغموض، وكل ما ورد في القرآن والصحاح، المتعين للمعنى الواحد، فهو كما قال، والذي لم يكن كذلك أقول</w:t>
      </w:r>
      <w:r w:rsidR="000636C2">
        <w:rPr>
          <w:rFonts w:hint="cs"/>
          <w:rtl/>
        </w:rPr>
        <w:t>:</w:t>
      </w:r>
      <w:r w:rsidRPr="005675B2">
        <w:rPr>
          <w:rFonts w:hint="cs"/>
          <w:rtl/>
        </w:rPr>
        <w:t xml:space="preserve"> ياإ̃له العالمين، إني أرى الخلق مطبقين على أنك أكرم الأكرمين، وأرحم الراحمين، فكل ما مده قلمي، أو خطر ببالي، فأستشهد وأقول، إن علمت مني أني أردت به تحقيق باطل، أو إبطال حق، فافعل بي ما أنا أهله، وإن علمت مني إني ما سعيت إلا في تقديسٍ اعتقدت أنه الحق، وتصورت أنه الصدق، فلتكن رحمتك مع قصدي لامع حاصلي، فذاك جهد المقل، وأنت أكرم من أن تضايق الضعيف الواقع في زلة، فأغثني، وارحمني، واستر زلتي، وامح حوبتي، يا من لا يزيد ملكه عرفان العارفين، ولا يَْنقُصُ ملكُه بخطا المجرمين</w:t>
      </w:r>
      <w:r w:rsidR="000636C2">
        <w:rPr>
          <w:rFonts w:hint="cs"/>
          <w:rtl/>
        </w:rPr>
        <w:t xml:space="preserve">، </w:t>
      </w:r>
      <w:r w:rsidRPr="005675B2">
        <w:rPr>
          <w:rFonts w:hint="cs"/>
          <w:rtl/>
        </w:rPr>
        <w:t>وأقول</w:t>
      </w:r>
      <w:r w:rsidR="000636C2">
        <w:rPr>
          <w:rFonts w:hint="cs"/>
          <w:rtl/>
        </w:rPr>
        <w:t>:</w:t>
      </w:r>
      <w:r w:rsidRPr="005675B2">
        <w:rPr>
          <w:rFonts w:hint="cs"/>
          <w:rtl/>
        </w:rPr>
        <w:t xml:space="preserve"> ديني متابعة الرسول محمد صلى الله عليه وسلم، وكتابي القرآن العظيم، وتعويلي في طلب الدين عليهما، اللهم يا سامع الأصوات ويا مجيب الدعوات، ويا مقيل العثرات، أنا كنت حسن الظن بك، عظيم الرجاء في رحمتك، وأنت قلت</w:t>
      </w:r>
      <w:r w:rsidR="000636C2">
        <w:rPr>
          <w:rFonts w:hint="cs"/>
          <w:rtl/>
        </w:rPr>
        <w:t>:</w:t>
      </w:r>
      <w:r w:rsidRPr="005675B2">
        <w:rPr>
          <w:rFonts w:hint="cs"/>
          <w:rtl/>
        </w:rPr>
        <w:t xml:space="preserve"> " أنا عند ظن عبدي بي" وأنت قلت</w:t>
      </w:r>
      <w:r w:rsidR="000636C2">
        <w:rPr>
          <w:rFonts w:hint="cs"/>
          <w:rtl/>
        </w:rPr>
        <w:t>:</w:t>
      </w:r>
      <w:r w:rsidRPr="005675B2">
        <w:rPr>
          <w:rFonts w:hint="cs"/>
          <w:rtl/>
        </w:rPr>
        <w:t xml:space="preserve"> </w:t>
      </w:r>
      <w:r w:rsidR="000636C2">
        <w:rPr>
          <w:rFonts w:hint="cs"/>
          <w:rtl/>
        </w:rPr>
        <w:t>(</w:t>
      </w:r>
      <w:r w:rsidRPr="005675B2">
        <w:rPr>
          <w:rFonts w:hint="cs"/>
          <w:rtl/>
        </w:rPr>
        <w:t>أمن يجيب المضطر إذا دعاه</w:t>
      </w:r>
      <w:r w:rsidR="000636C2">
        <w:rPr>
          <w:rFonts w:hint="cs"/>
          <w:rtl/>
        </w:rPr>
        <w:t>)</w:t>
      </w:r>
      <w:r w:rsidRPr="005675B2">
        <w:rPr>
          <w:rFonts w:hint="cs"/>
          <w:rtl/>
        </w:rPr>
        <w:t xml:space="preserve"> [</w:t>
      </w:r>
      <w:r w:rsidRPr="005675B2">
        <w:rPr>
          <w:rFonts w:hint="cs"/>
          <w:sz w:val="24"/>
          <w:szCs w:val="24"/>
          <w:rtl/>
        </w:rPr>
        <w:t>النمل 62</w:t>
      </w:r>
      <w:r w:rsidRPr="005675B2">
        <w:rPr>
          <w:rFonts w:hint="cs"/>
          <w:rtl/>
        </w:rPr>
        <w:t>]</w:t>
      </w:r>
      <w:r w:rsidR="000636C2">
        <w:rPr>
          <w:rFonts w:hint="cs"/>
          <w:rtl/>
        </w:rPr>
        <w:t>،</w:t>
      </w:r>
      <w:r w:rsidRPr="005675B2">
        <w:rPr>
          <w:rFonts w:hint="cs"/>
          <w:rtl/>
        </w:rPr>
        <w:t xml:space="preserve"> فهب أني ما جئت بشيء، فأنت الغني الكريم، فلا تخيب رجائي، ولا ترد دعائي، واجعلني آمنا من عذابك، قبل الموت، وبعد الموت، وعند الموت، وسهل عَلَيَّ سكرات الموت، فإنك أرحم الراحمين</w:t>
      </w:r>
      <w:r w:rsidR="000636C2">
        <w:rPr>
          <w:rFonts w:hint="cs"/>
          <w:rtl/>
        </w:rPr>
        <w:t xml:space="preserve">، </w:t>
      </w:r>
      <w:r w:rsidRPr="005675B2">
        <w:rPr>
          <w:rFonts w:hint="cs"/>
          <w:rtl/>
        </w:rPr>
        <w:t>وأما الكتب التي صنفتها، واستكثرت فيها من إيراد السؤالات، فليذكرني من نظر فيها بصالح دعائه، على سبيل التفضل والإنعام، والا فليحذف القول السيء، فإني ما أردت إلا تكثير البحث، وشحذ الخاطر، والاعتماد في الكل على الله</w:t>
      </w:r>
      <w:r w:rsidR="000636C2">
        <w:rPr>
          <w:rFonts w:hint="cs"/>
          <w:rtl/>
        </w:rPr>
        <w:t xml:space="preserve">، </w:t>
      </w:r>
      <w:r w:rsidRPr="005675B2">
        <w:rPr>
          <w:rFonts w:hint="cs"/>
          <w:rtl/>
        </w:rPr>
        <w:t>فهذا نص وصية الإمام الرازي، فانظر أيها المنصف هل فيها غير ما ذكرناه، وهل فيها الرجوع عن عقيدة كان عليها الرازي قبل</w:t>
      </w:r>
      <w:r w:rsidR="000636C2">
        <w:rPr>
          <w:rFonts w:hint="cs"/>
          <w:rtl/>
        </w:rPr>
        <w:t>؟!</w:t>
      </w:r>
      <w:r w:rsidRPr="005675B2">
        <w:rPr>
          <w:rFonts w:hint="cs"/>
          <w:rtl/>
        </w:rPr>
        <w:t>! [</w:t>
      </w:r>
      <w:r w:rsidRPr="005675B2">
        <w:rPr>
          <w:rFonts w:hint="cs"/>
          <w:sz w:val="24"/>
          <w:szCs w:val="24"/>
          <w:rtl/>
        </w:rPr>
        <w:t>الطبقات 8/90-91-92</w:t>
      </w:r>
      <w:r w:rsidRPr="005675B2">
        <w:rPr>
          <w:rFonts w:hint="cs"/>
          <w:rtl/>
        </w:rPr>
        <w:t>]</w:t>
      </w:r>
    </w:p>
    <w:p w14:paraId="0BA4BB12" w14:textId="53DBCCDA" w:rsidR="009C32A0" w:rsidRPr="005675B2" w:rsidRDefault="009C32A0" w:rsidP="000636C2">
      <w:pPr>
        <w:rPr>
          <w:b/>
          <w:rtl/>
        </w:rPr>
      </w:pPr>
      <w:r w:rsidRPr="005675B2">
        <w:rPr>
          <w:rFonts w:hint="cs"/>
          <w:rtl/>
        </w:rPr>
        <w:t>20 - هل انتقد الحافظ ابن حجر الأشاعرة وخالفهم</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والأخرى</w:t>
      </w:r>
      <w:r w:rsidR="000636C2">
        <w:rPr>
          <w:rFonts w:hint="cs"/>
          <w:rtl/>
        </w:rPr>
        <w:t>:</w:t>
      </w:r>
      <w:r w:rsidRPr="005675B2">
        <w:rPr>
          <w:rFonts w:hint="cs"/>
          <w:rtl/>
        </w:rPr>
        <w:t xml:space="preserve"> أن الحافظ في الفتح قد نقد الأشاعرة بإسمهم الصريح وخالفهم فيما هو من خصائص مذهبهم، فمثلا خالفهم في الإيمان، وإن كان تقريره لمذهب السلف فيه يحتاج لتحرير، ونقدهم في مسألة المعرفة وأول واجب على المكلف في أول كتابه وآخره</w:t>
      </w:r>
      <w:r w:rsidR="000636C2">
        <w:rPr>
          <w:rFonts w:hint="cs"/>
          <w:rtl/>
        </w:rPr>
        <w:t xml:space="preserve">، </w:t>
      </w:r>
      <w:r w:rsidRPr="005675B2">
        <w:rPr>
          <w:rFonts w:hint="cs"/>
          <w:rtl/>
        </w:rPr>
        <w:t>وكتب في التعليق "أنظر فتح الباري</w:t>
      </w:r>
      <w:r w:rsidR="000636C2">
        <w:rPr>
          <w:rFonts w:hint="cs"/>
          <w:rtl/>
        </w:rPr>
        <w:t>:</w:t>
      </w:r>
      <w:r w:rsidRPr="005675B2">
        <w:rPr>
          <w:rFonts w:hint="cs"/>
          <w:rtl/>
        </w:rPr>
        <w:t xml:space="preserve"> 1/46، 3/357 - 361، 13/347 - 350" "</w:t>
      </w:r>
      <w:r w:rsidR="000636C2">
        <w:rPr>
          <w:rFonts w:hint="cs"/>
          <w:rtl/>
        </w:rPr>
        <w:t xml:space="preserve">، </w:t>
      </w:r>
      <w:r w:rsidRPr="005675B2">
        <w:rPr>
          <w:rFonts w:hint="cs"/>
          <w:rtl/>
        </w:rPr>
        <w:t>أقول</w:t>
      </w:r>
      <w:r w:rsidR="000636C2">
        <w:rPr>
          <w:rFonts w:hint="cs"/>
          <w:rtl/>
        </w:rPr>
        <w:t>:</w:t>
      </w:r>
      <w:r w:rsidRPr="005675B2">
        <w:rPr>
          <w:rFonts w:hint="cs"/>
          <w:rtl/>
        </w:rPr>
        <w:t xml:space="preserve"> أنا أدعو القراء لقراءة هذه الصفحات من فتح الباري بتمعن كي يتحققوا من مدى صحة دعاوى الدكتور سفر هذه</w:t>
      </w:r>
      <w:r w:rsidR="000636C2">
        <w:rPr>
          <w:rFonts w:hint="cs"/>
          <w:rtl/>
        </w:rPr>
        <w:t>،!</w:t>
      </w:r>
      <w:r w:rsidRPr="005675B2">
        <w:rPr>
          <w:rFonts w:hint="cs"/>
          <w:rtl/>
        </w:rPr>
        <w:t>! ثم إنه أشهر من نار على علم أن الحافظ ابن حجر أشعري العقيدة، ومن أجل ذلك يصرح كثير ممن هم على مذهب الدكتور سفر تارة بأنه ليس على نحلتهم، وتارة بأنه ليس من أهل السنة وتارة بأنه أشعري، وتارة بأنه متمشعر، وتارة بأنه مذبذب، وتارة بأنه متأثر بالأشاعرة عن جهل وسذاجة، وقال قائلهم في معرض ذكر فتح الباري شرح صحيح البخاري</w:t>
      </w:r>
      <w:r w:rsidR="000636C2">
        <w:rPr>
          <w:rFonts w:hint="cs"/>
          <w:rtl/>
        </w:rPr>
        <w:t>:</w:t>
      </w:r>
      <w:r w:rsidRPr="005675B2">
        <w:rPr>
          <w:rFonts w:hint="cs"/>
          <w:rtl/>
        </w:rPr>
        <w:t xml:space="preserve"> </w:t>
      </w:r>
      <w:r w:rsidR="000636C2">
        <w:rPr>
          <w:rFonts w:hint="cs"/>
          <w:rtl/>
        </w:rPr>
        <w:t>(</w:t>
      </w:r>
      <w:r w:rsidRPr="005675B2">
        <w:rPr>
          <w:rFonts w:hint="cs"/>
          <w:rtl/>
        </w:rPr>
        <w:t>يسر الله من أهل السنة من يشرحه</w:t>
      </w:r>
      <w:r w:rsidR="000636C2">
        <w:rPr>
          <w:rFonts w:hint="cs"/>
          <w:rtl/>
        </w:rPr>
        <w:t>)</w:t>
      </w:r>
      <w:r w:rsidRPr="005675B2">
        <w:rPr>
          <w:rFonts w:hint="cs"/>
          <w:rtl/>
        </w:rPr>
        <w:t xml:space="preserve"> وألف آخر كتابا سماه</w:t>
      </w:r>
      <w:r w:rsidR="000636C2">
        <w:rPr>
          <w:rFonts w:hint="cs"/>
          <w:rtl/>
        </w:rPr>
        <w:t>:</w:t>
      </w:r>
      <w:r w:rsidRPr="005675B2">
        <w:rPr>
          <w:rFonts w:hint="cs"/>
          <w:rtl/>
        </w:rPr>
        <w:t xml:space="preserve"> "الأخطاء الأساسية في العقيدة وتوحيد الألوهية من كتاب فتح الباري بشرح صحيح البخاري" تأليف أحمد بن حجر العسقلاني</w:t>
      </w:r>
      <w:r w:rsidR="000636C2">
        <w:rPr>
          <w:rFonts w:hint="cs"/>
          <w:rtl/>
        </w:rPr>
        <w:t>،</w:t>
      </w:r>
      <w:r w:rsidRPr="005675B2">
        <w:rPr>
          <w:rFonts w:hint="cs"/>
          <w:rtl/>
        </w:rPr>
        <w:t xml:space="preserve"> هكذا</w:t>
      </w:r>
      <w:r w:rsidR="000636C2">
        <w:rPr>
          <w:rFonts w:hint="cs"/>
          <w:rtl/>
        </w:rPr>
        <w:t>:</w:t>
      </w:r>
      <w:r w:rsidRPr="005675B2">
        <w:rPr>
          <w:rFonts w:hint="cs"/>
          <w:rtl/>
        </w:rPr>
        <w:t xml:space="preserve"> الأخطاء الأساسية في العقيدة</w:t>
      </w:r>
      <w:r w:rsidR="000636C2">
        <w:rPr>
          <w:rFonts w:hint="cs"/>
          <w:rtl/>
        </w:rPr>
        <w:t xml:space="preserve">، </w:t>
      </w:r>
      <w:r w:rsidRPr="005675B2">
        <w:rPr>
          <w:rFonts w:hint="cs"/>
          <w:rtl/>
        </w:rPr>
        <w:t>والحقيقة التي لا ينبغي أن يختلف فيها اثنان أن الحافظ ابن حجر في عامة أحواله أشعري، ولكنه إمام مجتهد قد يخالف الأشاعرة في بعض المسائل على عادة علماء المذاهب الذين قد يخالفون أئمتها في بعض</w:t>
      </w:r>
      <w:r w:rsidRPr="005675B2">
        <w:rPr>
          <w:rFonts w:hint="cs"/>
          <w:rtl/>
        </w:rPr>
        <w:tab/>
        <w:t>المسائل، ومع ذلك لا يعتبرون خارجين عن المذهب</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كما أنه نقد شيخهم في التأويل " ابن فورك" في تأويلاته التي نقلها عنه في شرح كتاب التوحيد من الفتح، وذم التأويل والمنطق مرجحا منهج القرون الثلاثة الأولى، كما أنه يخالفهم في الاحتجاج بحديث الآحاد في العقيدة وغيرها من الأمور التي لا مجال لتفصيلها هنا "</w:t>
      </w:r>
      <w:r w:rsidR="000636C2">
        <w:rPr>
          <w:rFonts w:hint="cs"/>
          <w:rtl/>
        </w:rPr>
        <w:t>،</w:t>
      </w:r>
    </w:p>
    <w:p w14:paraId="49A965A6" w14:textId="043E60D1" w:rsidR="009C32A0" w:rsidRPr="005675B2" w:rsidRDefault="009C32A0" w:rsidP="000636C2">
      <w:pPr>
        <w:rPr>
          <w:b/>
          <w:rtl/>
        </w:rPr>
      </w:pPr>
      <w:r w:rsidRPr="005675B2">
        <w:rPr>
          <w:rFonts w:hint="cs"/>
          <w:rtl/>
        </w:rPr>
        <w:t>21 - نماذج من التأويل</w:t>
      </w:r>
      <w:r w:rsidR="000636C2">
        <w:rPr>
          <w:rFonts w:hint="cs"/>
          <w:rtl/>
        </w:rPr>
        <w:t xml:space="preserve">: </w:t>
      </w:r>
      <w:r w:rsidRPr="005675B2">
        <w:rPr>
          <w:rFonts w:hint="cs"/>
          <w:rtl/>
        </w:rPr>
        <w:t>أقول</w:t>
      </w:r>
      <w:r w:rsidR="000636C2">
        <w:rPr>
          <w:rFonts w:hint="cs"/>
          <w:rtl/>
        </w:rPr>
        <w:t>:</w:t>
      </w:r>
      <w:r w:rsidRPr="005675B2">
        <w:rPr>
          <w:rFonts w:hint="cs"/>
          <w:rtl/>
        </w:rPr>
        <w:t xml:space="preserve"> أما نقده لابن فورك في تأويلاته، فلا شبهة أن الكثير من متأخري الأشاعرة، قد غلوا في التأويل، ووافقوا المعتزلة في كثير من التأويلات، التي انتقدها عليهم السلف وعدوها من بدعهم</w:t>
      </w:r>
      <w:r w:rsidR="000636C2">
        <w:rPr>
          <w:rFonts w:hint="cs"/>
          <w:rtl/>
        </w:rPr>
        <w:t xml:space="preserve">، </w:t>
      </w:r>
      <w:r w:rsidRPr="005675B2">
        <w:rPr>
          <w:rFonts w:hint="cs"/>
          <w:rtl/>
        </w:rPr>
        <w:t>وأما ذم التأويل مطلقا فلا ينبغي أن يصدر من فاضل، ولم يستطع التخلص منه حتى السلف فاضطروا إلى تأويل جملة من النصوص، وإليك نماذج منها</w:t>
      </w:r>
      <w:r w:rsidR="000636C2">
        <w:rPr>
          <w:rFonts w:hint="cs"/>
          <w:rtl/>
        </w:rPr>
        <w:t>:</w:t>
      </w:r>
      <w:r w:rsidRPr="005675B2">
        <w:rPr>
          <w:rFonts w:hint="cs"/>
          <w:rtl/>
        </w:rPr>
        <w:t xml:space="preserve"> أول ابن عباس رضي الله عنه الساق في قوله تعالى</w:t>
      </w:r>
      <w:r w:rsidR="000636C2">
        <w:rPr>
          <w:rFonts w:hint="cs"/>
          <w:rtl/>
        </w:rPr>
        <w:t>:</w:t>
      </w:r>
      <w:r w:rsidRPr="005675B2">
        <w:rPr>
          <w:rFonts w:hint="cs"/>
          <w:rtl/>
        </w:rPr>
        <w:t xml:space="preserve"> </w:t>
      </w:r>
      <w:r w:rsidR="000636C2">
        <w:rPr>
          <w:rFonts w:hint="cs"/>
          <w:rtl/>
        </w:rPr>
        <w:t>(</w:t>
      </w:r>
      <w:r w:rsidRPr="005675B2">
        <w:rPr>
          <w:rFonts w:hint="cs"/>
          <w:rtl/>
        </w:rPr>
        <w:t>يوم يكشف عن ساق</w:t>
      </w:r>
      <w:r w:rsidR="000636C2">
        <w:rPr>
          <w:rFonts w:hint="cs"/>
          <w:rtl/>
        </w:rPr>
        <w:t>)</w:t>
      </w:r>
      <w:r w:rsidRPr="005675B2">
        <w:rPr>
          <w:rFonts w:hint="cs"/>
          <w:rtl/>
        </w:rPr>
        <w:t xml:space="preserve"> بالشدة، نقله الحافظ في فتح الباري </w:t>
      </w:r>
      <w:r w:rsidR="000636C2">
        <w:rPr>
          <w:rFonts w:hint="cs"/>
          <w:rtl/>
        </w:rPr>
        <w:t>(</w:t>
      </w:r>
      <w:r w:rsidRPr="005675B2">
        <w:rPr>
          <w:rFonts w:hint="cs"/>
          <w:rtl/>
        </w:rPr>
        <w:t>13/ 428</w:t>
      </w:r>
      <w:r w:rsidR="000636C2">
        <w:rPr>
          <w:rFonts w:hint="cs"/>
          <w:rtl/>
        </w:rPr>
        <w:t>)</w:t>
      </w:r>
      <w:r w:rsidRPr="005675B2">
        <w:rPr>
          <w:rFonts w:hint="cs"/>
          <w:rtl/>
        </w:rPr>
        <w:t xml:space="preserve"> وقال الطبري في التفسير</w:t>
      </w:r>
      <w:r w:rsidR="000636C2">
        <w:rPr>
          <w:rFonts w:hint="cs"/>
          <w:rtl/>
        </w:rPr>
        <w:t>(</w:t>
      </w:r>
      <w:r w:rsidRPr="005675B2">
        <w:rPr>
          <w:rFonts w:hint="cs"/>
          <w:rtl/>
        </w:rPr>
        <w:t>29/ 38</w:t>
      </w:r>
      <w:r w:rsidR="000636C2">
        <w:rPr>
          <w:rFonts w:hint="cs"/>
          <w:rtl/>
        </w:rPr>
        <w:t>)</w:t>
      </w:r>
      <w:r w:rsidRPr="005675B2">
        <w:rPr>
          <w:rFonts w:hint="cs"/>
          <w:rtl/>
        </w:rPr>
        <w:t xml:space="preserve"> قال جماعة من الصحابة والتابعين من أهل التأويل</w:t>
      </w:r>
      <w:r w:rsidR="000636C2">
        <w:rPr>
          <w:rFonts w:hint="cs"/>
          <w:rtl/>
        </w:rPr>
        <w:t>:</w:t>
      </w:r>
      <w:r w:rsidRPr="005675B2">
        <w:rPr>
          <w:rFonts w:hint="cs"/>
          <w:rtl/>
        </w:rPr>
        <w:t xml:space="preserve"> يبدو عن أمر شديد</w:t>
      </w:r>
      <w:r w:rsidR="000636C2">
        <w:rPr>
          <w:rFonts w:hint="cs"/>
          <w:rtl/>
        </w:rPr>
        <w:t xml:space="preserve">، </w:t>
      </w:r>
      <w:r w:rsidRPr="005675B2">
        <w:rPr>
          <w:rFonts w:hint="cs"/>
          <w:rtl/>
        </w:rPr>
        <w:t>وأول ابن عباس أيضا الأيدي في قوله تعالى</w:t>
      </w:r>
      <w:r w:rsidR="000636C2">
        <w:rPr>
          <w:rFonts w:hint="cs"/>
          <w:rtl/>
        </w:rPr>
        <w:t>:</w:t>
      </w:r>
      <w:r w:rsidRPr="005675B2">
        <w:rPr>
          <w:rFonts w:hint="cs"/>
          <w:rtl/>
        </w:rPr>
        <w:t xml:space="preserve">" والسماء بنيناها بأيد" بالقوة، ذكره الطبري </w:t>
      </w:r>
      <w:r w:rsidR="000636C2">
        <w:rPr>
          <w:rFonts w:hint="cs"/>
          <w:rtl/>
        </w:rPr>
        <w:t>(</w:t>
      </w:r>
      <w:r w:rsidRPr="005675B2">
        <w:rPr>
          <w:rFonts w:hint="cs"/>
          <w:rtl/>
        </w:rPr>
        <w:t>7/27</w:t>
      </w:r>
      <w:r w:rsidR="000636C2">
        <w:rPr>
          <w:rFonts w:hint="cs"/>
          <w:rtl/>
        </w:rPr>
        <w:t>)</w:t>
      </w:r>
      <w:r w:rsidRPr="005675B2">
        <w:rPr>
          <w:rFonts w:hint="cs"/>
          <w:rtl/>
        </w:rPr>
        <w:t xml:space="preserve"> والأيدي جمع يد</w:t>
      </w:r>
      <w:r w:rsidR="000636C2">
        <w:rPr>
          <w:rFonts w:hint="cs"/>
          <w:rtl/>
        </w:rPr>
        <w:t xml:space="preserve">، </w:t>
      </w:r>
      <w:r w:rsidRPr="005675B2">
        <w:rPr>
          <w:rFonts w:hint="cs"/>
          <w:rtl/>
        </w:rPr>
        <w:t>وأول الإمام أحمد قوله تعالى</w:t>
      </w:r>
      <w:r w:rsidR="000636C2">
        <w:rPr>
          <w:rFonts w:hint="cs"/>
          <w:rtl/>
        </w:rPr>
        <w:t>:</w:t>
      </w:r>
      <w:r w:rsidRPr="005675B2">
        <w:rPr>
          <w:rFonts w:hint="cs"/>
          <w:rtl/>
        </w:rPr>
        <w:t xml:space="preserve"> </w:t>
      </w:r>
      <w:r w:rsidR="000636C2">
        <w:rPr>
          <w:rFonts w:hint="cs"/>
          <w:rtl/>
        </w:rPr>
        <w:t>(</w:t>
      </w:r>
      <w:r w:rsidRPr="005675B2">
        <w:rPr>
          <w:rFonts w:hint="cs"/>
          <w:rtl/>
        </w:rPr>
        <w:t>وجاء ربك</w:t>
      </w:r>
      <w:r w:rsidR="000636C2">
        <w:rPr>
          <w:rFonts w:hint="cs"/>
          <w:rtl/>
        </w:rPr>
        <w:t>)</w:t>
      </w:r>
      <w:r w:rsidRPr="005675B2">
        <w:rPr>
          <w:rFonts w:hint="cs"/>
          <w:rtl/>
        </w:rPr>
        <w:t xml:space="preserve"> بمجيء ثوابه، نقله ابن كثير في البداية والنهاية عن الإمام البيهقي في مناقب الإمام أحمد، وأورد سند البيهقي له، ثم قال</w:t>
      </w:r>
      <w:r w:rsidR="000636C2">
        <w:rPr>
          <w:rFonts w:hint="cs"/>
          <w:rtl/>
        </w:rPr>
        <w:t>:</w:t>
      </w:r>
      <w:r w:rsidRPr="005675B2">
        <w:rPr>
          <w:rFonts w:hint="cs"/>
          <w:rtl/>
        </w:rPr>
        <w:t xml:space="preserve"> قال البيهقي</w:t>
      </w:r>
      <w:r w:rsidR="000636C2">
        <w:rPr>
          <w:rFonts w:hint="cs"/>
          <w:rtl/>
        </w:rPr>
        <w:t>:</w:t>
      </w:r>
      <w:r w:rsidRPr="005675B2">
        <w:rPr>
          <w:rFonts w:hint="cs"/>
          <w:rtl/>
        </w:rPr>
        <w:t xml:space="preserve"> وهذا إسناد لا غبار عليه</w:t>
      </w:r>
      <w:r w:rsidR="000636C2">
        <w:rPr>
          <w:rFonts w:hint="cs"/>
          <w:rtl/>
        </w:rPr>
        <w:t xml:space="preserve">، </w:t>
      </w:r>
      <w:r w:rsidRPr="005675B2">
        <w:rPr>
          <w:rFonts w:hint="cs"/>
          <w:rtl/>
        </w:rPr>
        <w:t>وأول الإمام أحمد قوله تعالى</w:t>
      </w:r>
      <w:r w:rsidR="000636C2">
        <w:rPr>
          <w:rFonts w:hint="cs"/>
          <w:rtl/>
        </w:rPr>
        <w:t>:</w:t>
      </w:r>
      <w:r w:rsidRPr="005675B2">
        <w:rPr>
          <w:rFonts w:hint="cs"/>
          <w:rtl/>
        </w:rPr>
        <w:t xml:space="preserve"> "ما يأتيهم من ذكر من ربهم محدث" فقال</w:t>
      </w:r>
      <w:r w:rsidR="000636C2">
        <w:rPr>
          <w:rFonts w:hint="cs"/>
          <w:rtl/>
        </w:rPr>
        <w:t>:</w:t>
      </w:r>
      <w:r w:rsidRPr="005675B2">
        <w:rPr>
          <w:rFonts w:hint="cs"/>
          <w:rtl/>
        </w:rPr>
        <w:t xml:space="preserve"> يحتمل أن يكون تنزيله إلينا هو المحدث نقله ابن كثير في البداية والنهاية [</w:t>
      </w:r>
      <w:r w:rsidRPr="005675B2">
        <w:rPr>
          <w:rFonts w:hint="cs"/>
          <w:sz w:val="24"/>
          <w:szCs w:val="24"/>
          <w:rtl/>
        </w:rPr>
        <w:t>10/327</w:t>
      </w:r>
      <w:r w:rsidRPr="005675B2">
        <w:rPr>
          <w:rFonts w:hint="cs"/>
          <w:rtl/>
        </w:rPr>
        <w:t>]</w:t>
      </w:r>
      <w:r w:rsidR="000636C2">
        <w:rPr>
          <w:rFonts w:hint="cs"/>
          <w:rtl/>
        </w:rPr>
        <w:t xml:space="preserve">، </w:t>
      </w:r>
      <w:r w:rsidRPr="005675B2">
        <w:rPr>
          <w:rFonts w:hint="cs"/>
          <w:rtl/>
        </w:rPr>
        <w:t>وأول البخاري الضحك الوارد في بعض الأحاديث بالرحمة، ونقل عنه البيهقي في الأسماء والصفات [</w:t>
      </w:r>
      <w:r w:rsidRPr="005675B2">
        <w:rPr>
          <w:rFonts w:hint="cs"/>
          <w:sz w:val="24"/>
          <w:szCs w:val="24"/>
          <w:rtl/>
        </w:rPr>
        <w:t>470</w:t>
      </w:r>
      <w:r w:rsidRPr="005675B2">
        <w:rPr>
          <w:rFonts w:hint="cs"/>
          <w:rtl/>
        </w:rPr>
        <w:t>]</w:t>
      </w:r>
      <w:r w:rsidR="000636C2">
        <w:rPr>
          <w:rFonts w:hint="cs"/>
          <w:rtl/>
        </w:rPr>
        <w:t xml:space="preserve">، </w:t>
      </w:r>
      <w:r w:rsidRPr="005675B2">
        <w:rPr>
          <w:rFonts w:hint="cs"/>
          <w:rtl/>
        </w:rPr>
        <w:t>وإذا منعنا التأويل مطلقا فماذا نقول في قوله تعالى " بيده الملك" والملك بالضم هو السلطنة والسلطنة أمر معنوي لا يمسك باليد ولا يلتصق بها، وليس الكلام مسوقا لإثبات اليد لله تعالى، بل الكلام مسوق لإثبات الملوكية والسلطنة لله، فالكلام بجملته كناية عنها</w:t>
      </w:r>
      <w:r w:rsidR="000636C2">
        <w:rPr>
          <w:rFonts w:hint="cs"/>
          <w:rtl/>
        </w:rPr>
        <w:t xml:space="preserve">، </w:t>
      </w:r>
      <w:r w:rsidRPr="005675B2">
        <w:rPr>
          <w:rFonts w:hint="cs"/>
          <w:rtl/>
        </w:rPr>
        <w:t>وماذا نقول في قول النبي صلى الله عليه وآله وسلم</w:t>
      </w:r>
      <w:r w:rsidR="000636C2">
        <w:rPr>
          <w:rFonts w:hint="cs"/>
          <w:rtl/>
        </w:rPr>
        <w:t>:</w:t>
      </w:r>
      <w:r w:rsidRPr="005675B2">
        <w:rPr>
          <w:rFonts w:hint="cs"/>
          <w:rtl/>
        </w:rPr>
        <w:t>" قلب ابن آدم بين أصبعين من أصابع الرحمن" فهل لله تعالى اصبعان في داخل كل إنسان مكتنفان قلبه</w:t>
      </w:r>
      <w:r w:rsidR="000636C2">
        <w:rPr>
          <w:rFonts w:hint="cs"/>
          <w:rtl/>
        </w:rPr>
        <w:t>؟</w:t>
      </w:r>
      <w:r w:rsidRPr="005675B2">
        <w:rPr>
          <w:rFonts w:hint="cs"/>
          <w:rtl/>
        </w:rPr>
        <w:t xml:space="preserve"> وإنما الكلام كناية عن كون قلب الإنسان طوع إرادته، تعالى وقدرته يقلبه كيف يشاء</w:t>
      </w:r>
      <w:r w:rsidR="000636C2">
        <w:rPr>
          <w:rFonts w:hint="cs"/>
          <w:rtl/>
        </w:rPr>
        <w:t xml:space="preserve">، </w:t>
      </w:r>
      <w:r w:rsidRPr="005675B2">
        <w:rPr>
          <w:rFonts w:hint="cs"/>
          <w:rtl/>
        </w:rPr>
        <w:t>وماذا نقول في قوله تعالى" إنا نسيناكم كما نسيتم لقاء يومكم هذا</w:t>
      </w:r>
      <w:r w:rsidR="000636C2">
        <w:rPr>
          <w:rFonts w:hint="cs"/>
          <w:rtl/>
        </w:rPr>
        <w:t>:</w:t>
      </w:r>
      <w:r w:rsidRPr="005675B2">
        <w:rPr>
          <w:rFonts w:hint="cs"/>
          <w:rtl/>
        </w:rPr>
        <w:t xml:space="preserve"> وقوله صلى الله عليه وسلم</w:t>
      </w:r>
      <w:r w:rsidR="000636C2">
        <w:rPr>
          <w:rFonts w:hint="cs"/>
          <w:rtl/>
        </w:rPr>
        <w:t>:</w:t>
      </w:r>
      <w:r w:rsidRPr="005675B2">
        <w:rPr>
          <w:rFonts w:hint="cs"/>
          <w:rtl/>
        </w:rPr>
        <w:t xml:space="preserve"> " كنت يده التي يبطش بها، ورجله التي يمشي بها"</w:t>
      </w:r>
      <w:r w:rsidR="000636C2">
        <w:rPr>
          <w:rFonts w:hint="cs"/>
          <w:rtl/>
        </w:rPr>
        <w:t xml:space="preserve">، </w:t>
      </w:r>
      <w:r w:rsidRPr="005675B2">
        <w:rPr>
          <w:rFonts w:hint="cs"/>
          <w:rtl/>
        </w:rPr>
        <w:t>ونكتفي بهذه النماذج فإن المقصود التمثيل لا الاستقصاء</w:t>
      </w:r>
      <w:r w:rsidR="000636C2">
        <w:rPr>
          <w:rFonts w:hint="cs"/>
          <w:rtl/>
        </w:rPr>
        <w:t>،</w:t>
      </w:r>
      <w:r w:rsidRPr="005675B2">
        <w:rPr>
          <w:rFonts w:hint="cs"/>
          <w:rtl/>
        </w:rPr>
        <w:t xml:space="preserve"> وسنبسط الكلام على التأويل فيما سيأتي</w:t>
      </w:r>
      <w:r w:rsidR="000636C2">
        <w:rPr>
          <w:rFonts w:hint="cs"/>
          <w:rtl/>
        </w:rPr>
        <w:t xml:space="preserve">، </w:t>
      </w:r>
      <w:r w:rsidRPr="005675B2">
        <w:rPr>
          <w:rFonts w:hint="cs"/>
          <w:rtl/>
        </w:rPr>
        <w:t>واماالاحتجاج بحديث الاحاد في العقيدة فسياتي تحقيقه قريبا</w:t>
      </w:r>
      <w:r w:rsidR="000636C2">
        <w:rPr>
          <w:rFonts w:hint="cs"/>
          <w:rtl/>
        </w:rPr>
        <w:t>،</w:t>
      </w:r>
    </w:p>
    <w:p w14:paraId="02AD6F6B" w14:textId="22B770B8" w:rsidR="009C32A0" w:rsidRPr="005675B2" w:rsidRDefault="009C32A0" w:rsidP="000636C2">
      <w:pPr>
        <w:rPr>
          <w:b/>
          <w:rtl/>
        </w:rPr>
      </w:pPr>
      <w:r w:rsidRPr="005675B2">
        <w:rPr>
          <w:rFonts w:hint="cs"/>
          <w:rtl/>
        </w:rPr>
        <w:t>22 - بيان أن ابن الجوزي والنووي والحافظ العسقلاني موافقون للأشاعرة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وقد كان من الحنابلة من ذهب إلى أبعد من هذا كابن الجوزي وابن عقيل وابن الزاغوني</w:t>
      </w:r>
      <w:r w:rsidR="000636C2">
        <w:rPr>
          <w:rFonts w:hint="cs"/>
          <w:rtl/>
        </w:rPr>
        <w:t xml:space="preserve">، </w:t>
      </w:r>
      <w:r w:rsidRPr="005675B2">
        <w:rPr>
          <w:rFonts w:hint="cs"/>
          <w:rtl/>
        </w:rPr>
        <w:t>ومع ذلك فهؤلاء كانوا أعداء ألداء للأشاعرة، ولا يجوز بحال أن يعتبروا أشاعرة فما بالك بأولئك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الإمام ابن الجوزي موافق للأشاعرة في العقيدة، وأقوى دليل على ذلك كتابه "دفع شبه التشبيه بأكف التنزيه" وليت شعري متى عادى الأشاعرة ولماذا</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وكثيرا ما نجد في كتب الجرح والتعديل - ومنها لسان الميزان للحافظ ابن حجر - قولهم عن الرجل</w:t>
      </w:r>
      <w:r w:rsidR="000636C2">
        <w:rPr>
          <w:rFonts w:hint="cs"/>
          <w:rtl/>
        </w:rPr>
        <w:t>:</w:t>
      </w:r>
      <w:r w:rsidRPr="005675B2">
        <w:rPr>
          <w:rFonts w:hint="cs"/>
          <w:rtl/>
        </w:rPr>
        <w:t xml:space="preserve"> إنه وافق المعتزلة في أشياء من مصنفاته، أو وافق الخوارج في بعض أقوالهم وهكذا، ومع هذا لا يعتبرونه معتزليا أو خارجيا</w:t>
      </w:r>
      <w:r w:rsidR="000636C2">
        <w:rPr>
          <w:rFonts w:hint="cs"/>
          <w:rtl/>
        </w:rPr>
        <w:t>،</w:t>
      </w:r>
      <w:r w:rsidRPr="005675B2">
        <w:rPr>
          <w:rFonts w:hint="cs"/>
          <w:rtl/>
        </w:rPr>
        <w:t xml:space="preserve"> وهذا المنهج إذا طبقناه على الحافظ وعلى النووي وأمثالهما لم يصح اعتبارهم أشاعرة وإنما يقال</w:t>
      </w:r>
      <w:r w:rsidR="000636C2">
        <w:rPr>
          <w:rFonts w:hint="cs"/>
          <w:rtl/>
        </w:rPr>
        <w:t>:</w:t>
      </w:r>
      <w:r w:rsidRPr="005675B2">
        <w:rPr>
          <w:rFonts w:hint="cs"/>
          <w:rtl/>
        </w:rPr>
        <w:t xml:space="preserve"> وافقوا الأشاعرة في أشياء</w:t>
      </w:r>
      <w:r w:rsidR="000636C2">
        <w:rPr>
          <w:rFonts w:hint="cs"/>
          <w:rtl/>
        </w:rPr>
        <w:t>،</w:t>
      </w:r>
      <w:r w:rsidRPr="005675B2">
        <w:rPr>
          <w:rFonts w:hint="cs"/>
          <w:rtl/>
        </w:rPr>
        <w:t xml:space="preserve"> مع ضرورة بيان هذه الأشياء واستدراكها عليهم حتى يمكن الاستفادة من كتبهم بلا توجس في موضوعات العقيدة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الحقيقة التي لا تقبل المراء أن الإمام النووي والإمام الحافظ ابن حجر في عامة أحوالهما أشعريان، ولكنهما إمامان مجتهدان قد يخالفان الأشاعرة في بعض المسائل الاجتهادية المتعلقة بالعقيدة، لا في أصل العقيدة، ولا يخرجان بذلك عن أن يكونا أشعريين، وقد قدمنا الكلام على ابن حجر</w:t>
      </w:r>
      <w:r w:rsidR="000636C2">
        <w:rPr>
          <w:rFonts w:hint="cs"/>
          <w:rtl/>
        </w:rPr>
        <w:t xml:space="preserve">، </w:t>
      </w:r>
      <w:r w:rsidRPr="005675B2">
        <w:rPr>
          <w:rFonts w:hint="cs"/>
          <w:rtl/>
        </w:rPr>
        <w:t>وأما النووي فكتبه المباركة التي وضع الله لها القبول شاهدة على ذلك، وأظن أن الذين يريدون أن يخرجوه من الأشعرية لا يصدقون ذلك في قرار نفوسهم، ومثله في ذلك الحافظ العسقلاني، فالنووي يقرر دائما أن في الصفات الخبرية مذهبين، وقد أكثر من هذا التقرير في شرح مسلم، وهذا ما دعى بعض المعارضين لاتجاه النووي الأشعري أن كتب هذا الشرح وحذف منه ما تكلم به النووي على أحاديث الصفات</w:t>
      </w:r>
      <w:r w:rsidR="000636C2">
        <w:rPr>
          <w:rFonts w:hint="cs"/>
          <w:rtl/>
        </w:rPr>
        <w:t>،</w:t>
      </w:r>
      <w:r w:rsidRPr="005675B2">
        <w:rPr>
          <w:rFonts w:hint="cs"/>
          <w:rtl/>
        </w:rPr>
        <w:t xml:space="preserve"> قاله تاج الدين السبكي في الطبقات الكبرى</w:t>
      </w:r>
      <w:r w:rsidR="000636C2">
        <w:rPr>
          <w:rFonts w:hint="cs"/>
          <w:rtl/>
        </w:rPr>
        <w:t>:</w:t>
      </w:r>
      <w:r w:rsidRPr="005675B2">
        <w:rPr>
          <w:rFonts w:hint="cs"/>
          <w:rtl/>
        </w:rPr>
        <w:t xml:space="preserve"> [</w:t>
      </w:r>
      <w:r w:rsidRPr="005675B2">
        <w:rPr>
          <w:rFonts w:hint="cs"/>
          <w:sz w:val="24"/>
          <w:szCs w:val="24"/>
          <w:rtl/>
        </w:rPr>
        <w:t>2/ 19]</w:t>
      </w:r>
      <w:r w:rsidRPr="005675B2">
        <w:rPr>
          <w:rFonts w:hint="cs"/>
          <w:spacing w:val="-10"/>
          <w:rtl/>
        </w:rPr>
        <w:t xml:space="preserve"> </w:t>
      </w:r>
      <w:r w:rsidRPr="005675B2">
        <w:rPr>
          <w:rFonts w:hint="cs"/>
          <w:rtl/>
        </w:rPr>
        <w:t>والنووي رحمه الله يقول في كتبه</w:t>
      </w:r>
      <w:r w:rsidR="000636C2">
        <w:rPr>
          <w:rFonts w:hint="cs"/>
          <w:rtl/>
        </w:rPr>
        <w:t>:</w:t>
      </w:r>
      <w:r w:rsidRPr="005675B2">
        <w:rPr>
          <w:rFonts w:hint="cs"/>
          <w:rtl/>
        </w:rPr>
        <w:t xml:space="preserve"> قال أصحابنا المتكلمون كذا، ويكرر هذا التعبير فيها</w:t>
      </w:r>
      <w:r w:rsidR="000636C2">
        <w:rPr>
          <w:rFonts w:hint="cs"/>
          <w:rtl/>
        </w:rPr>
        <w:t>،</w:t>
      </w:r>
      <w:r w:rsidRPr="005675B2">
        <w:rPr>
          <w:rFonts w:hint="cs"/>
          <w:rtl/>
        </w:rPr>
        <w:t xml:space="preserve"> ويقصد بهم الأشاعرة</w:t>
      </w:r>
      <w:r w:rsidR="000636C2">
        <w:rPr>
          <w:rFonts w:hint="cs"/>
          <w:rtl/>
        </w:rPr>
        <w:t>،</w:t>
      </w:r>
      <w:r w:rsidRPr="005675B2">
        <w:rPr>
          <w:rFonts w:hint="cs"/>
          <w:rtl/>
        </w:rPr>
        <w:t xml:space="preserve"> فالنووي يعد نفسه من الأشاعرة، وأما الدكتور سفر فيحاول إخراجه منهم</w:t>
      </w:r>
      <w:r w:rsidR="000636C2">
        <w:rPr>
          <w:rFonts w:hint="cs"/>
          <w:rtl/>
        </w:rPr>
        <w:t>!</w:t>
      </w:r>
    </w:p>
    <w:p w14:paraId="529814BE" w14:textId="16D344FD" w:rsidR="009C32A0" w:rsidRPr="005675B2" w:rsidRDefault="009C32A0" w:rsidP="000636C2">
      <w:pPr>
        <w:rPr>
          <w:b/>
          <w:rtl/>
        </w:rPr>
      </w:pPr>
      <w:r w:rsidRPr="005675B2">
        <w:rPr>
          <w:rFonts w:hint="cs"/>
          <w:rtl/>
        </w:rPr>
        <w:t>23 - أبو الحسن الأشعري وأبو محمد البربهاري أيهما إمام أهل السنة</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وليكن معلوما أن ابتداء أمر الأشاعرة أنهم توسلوا إلى أهل السنة أن يكفوا عن هجرهم وتبديعهم وتضليلهم، وقالوا</w:t>
      </w:r>
      <w:r w:rsidR="000636C2">
        <w:rPr>
          <w:rFonts w:hint="cs"/>
          <w:rtl/>
        </w:rPr>
        <w:t>:</w:t>
      </w:r>
      <w:r w:rsidRPr="005675B2">
        <w:rPr>
          <w:rFonts w:hint="cs"/>
          <w:rtl/>
        </w:rPr>
        <w:t xml:space="preserve"> نحن معكم ندافع عن الدين وننازل الملحدين، فاغتر بهذا بعض علماء أهل السنة وسكتوا عنهم، فتمكن الأشاعرة في الأمة، ثم في النهاية استطالوا على أولئك واستأثروا بهذا الاسم دون أهله، وأصبحوا هم يضللون أهل السنة، ويضطهدونهم، ويلقبونهم بأشنع الألقاب "</w:t>
      </w:r>
      <w:r w:rsidR="000636C2">
        <w:rPr>
          <w:rFonts w:hint="cs"/>
          <w:rtl/>
        </w:rPr>
        <w:t xml:space="preserve">، </w:t>
      </w:r>
      <w:r w:rsidRPr="005675B2">
        <w:rPr>
          <w:rFonts w:hint="cs"/>
          <w:rtl/>
        </w:rPr>
        <w:t>أقول</w:t>
      </w:r>
      <w:r w:rsidR="000636C2">
        <w:rPr>
          <w:rFonts w:hint="cs"/>
          <w:rtl/>
        </w:rPr>
        <w:t>:</w:t>
      </w:r>
      <w:r w:rsidRPr="005675B2">
        <w:rPr>
          <w:rFonts w:hint="cs"/>
          <w:rtl/>
        </w:rPr>
        <w:t xml:space="preserve"> ذكر الدكتور كلامه هذا ثم استدل في التعليق على إثبات دعواه هذه بقوله</w:t>
      </w:r>
      <w:r w:rsidR="000636C2">
        <w:rPr>
          <w:rFonts w:hint="cs"/>
          <w:rtl/>
        </w:rPr>
        <w:t>:</w:t>
      </w:r>
      <w:r w:rsidRPr="005675B2">
        <w:rPr>
          <w:rFonts w:hint="cs"/>
          <w:rtl/>
        </w:rPr>
        <w:t xml:space="preserve"> "انظر سير أعلام النبلاء 15/ 90 مقابلة الأشعري لإمام السنة في عصره البربهاري" هذا هو كلام الدكتور سفر</w:t>
      </w:r>
      <w:r w:rsidR="000636C2">
        <w:rPr>
          <w:rFonts w:hint="cs"/>
          <w:rtl/>
        </w:rPr>
        <w:t xml:space="preserve">! </w:t>
      </w:r>
      <w:r w:rsidRPr="005675B2">
        <w:rPr>
          <w:rFonts w:hint="cs"/>
          <w:rtl/>
        </w:rPr>
        <w:t>فانظر يا رعاك الله فإن الدكتور عد البربهاري إمام أهل السنة في عصره، وعد الإمام الأشعري من المهجورين المبدعين المضللين من قبل أهل السنة وعلى رأسهم البربهاري، وجعل مقابلة الأشعري للبربهاري دليلا على ذلك، وعلى أن الأشعري توسل بهذه المقابلة إلى الكف عن هجره وتبديعه وتضليله، هذه أربع دعاوي كلها منظور فيها، فنذكر المقابلة أولا، ثم نبين مذهب البربهاري في العقيدة، ثم نورد عقيدة الإمام أحمد، ثم نعود إلى هذه الدعاوي الأربع ونبين ما هو حظها من الصحة</w:t>
      </w:r>
      <w:r w:rsidR="000636C2">
        <w:rPr>
          <w:rFonts w:hint="cs"/>
          <w:rtl/>
        </w:rPr>
        <w:t xml:space="preserve">، </w:t>
      </w:r>
      <w:r w:rsidRPr="005675B2">
        <w:rPr>
          <w:rFonts w:hint="cs"/>
          <w:rtl/>
        </w:rPr>
        <w:t>أما المقابلة فقد أوردها الذهبي في السير، فقال</w:t>
      </w:r>
      <w:r w:rsidR="000636C2">
        <w:rPr>
          <w:rFonts w:hint="cs"/>
          <w:rtl/>
        </w:rPr>
        <w:t>:</w:t>
      </w:r>
      <w:r w:rsidRPr="005675B2">
        <w:rPr>
          <w:rFonts w:hint="cs"/>
          <w:rtl/>
        </w:rPr>
        <w:t xml:space="preserve"> فقيل</w:t>
      </w:r>
      <w:r w:rsidR="000636C2">
        <w:rPr>
          <w:rFonts w:hint="cs"/>
          <w:rtl/>
        </w:rPr>
        <w:t>:</w:t>
      </w:r>
      <w:r w:rsidRPr="005675B2">
        <w:rPr>
          <w:rFonts w:hint="cs"/>
          <w:rtl/>
        </w:rPr>
        <w:t xml:space="preserve"> إن الأشعري لما قدم بغداد جاء إلى أبي محمد البربهاري، فجعل يقول</w:t>
      </w:r>
      <w:r w:rsidR="000636C2">
        <w:rPr>
          <w:rFonts w:hint="cs"/>
          <w:rtl/>
        </w:rPr>
        <w:t>:</w:t>
      </w:r>
      <w:r w:rsidRPr="005675B2">
        <w:rPr>
          <w:rFonts w:hint="cs"/>
          <w:rtl/>
        </w:rPr>
        <w:t xml:space="preserve"> رددت على الجبائي، رددت على المجوس وعلى النصارى، فقال أبو محمد، لا أدري ما تقول ولا نعرف إلا ما قاله الإمام أحمد، فخرج وصنف "الإب</w:t>
      </w:r>
      <w:r w:rsidRPr="005675B2">
        <w:rPr>
          <w:rFonts w:hint="cs"/>
          <w:rtl/>
          <w:lang w:val="tr-TR"/>
        </w:rPr>
        <w:t>ا</w:t>
      </w:r>
      <w:r w:rsidRPr="005675B2">
        <w:rPr>
          <w:rFonts w:hint="cs"/>
          <w:rtl/>
        </w:rPr>
        <w:t>نة"، فلم يقبل منه، هكذا أورد الذهبي المقابلة بصيغة التضعيف والتمريض حيث قال</w:t>
      </w:r>
      <w:r w:rsidR="000636C2">
        <w:rPr>
          <w:rFonts w:hint="cs"/>
          <w:rtl/>
        </w:rPr>
        <w:t>:</w:t>
      </w:r>
      <w:r w:rsidRPr="005675B2">
        <w:rPr>
          <w:rFonts w:hint="cs"/>
          <w:rtl/>
        </w:rPr>
        <w:t xml:space="preserve"> </w:t>
      </w:r>
      <w:r w:rsidR="000636C2">
        <w:rPr>
          <w:rFonts w:hint="cs"/>
          <w:rtl/>
        </w:rPr>
        <w:t>(</w:t>
      </w:r>
      <w:r w:rsidRPr="005675B2">
        <w:rPr>
          <w:rFonts w:hint="cs"/>
          <w:rtl/>
        </w:rPr>
        <w:t>فقيل</w:t>
      </w:r>
      <w:r w:rsidR="000636C2">
        <w:rPr>
          <w:rFonts w:hint="cs"/>
          <w:rtl/>
        </w:rPr>
        <w:t>:</w:t>
      </w:r>
      <w:r w:rsidRPr="005675B2">
        <w:rPr>
          <w:rFonts w:hint="cs"/>
          <w:rtl/>
        </w:rPr>
        <w:t xml:space="preserve"> إن الأشعري ..</w:t>
      </w:r>
      <w:r w:rsidR="000636C2">
        <w:rPr>
          <w:rFonts w:hint="cs"/>
          <w:rtl/>
        </w:rPr>
        <w:t>)</w:t>
      </w:r>
      <w:r w:rsidRPr="005675B2">
        <w:rPr>
          <w:rFonts w:hint="cs"/>
          <w:rtl/>
        </w:rPr>
        <w:t xml:space="preserve"> ولتضعيف الذهبي وزنه وقيمته، وأورد المقابلة الذهبي في تاريخ الإسلام وابن أبي يعلى في طبقات الحنابلة</w:t>
      </w:r>
      <w:r w:rsidR="000636C2">
        <w:rPr>
          <w:rFonts w:hint="cs"/>
          <w:rtl/>
        </w:rPr>
        <w:t>،</w:t>
      </w:r>
      <w:r w:rsidRPr="005675B2">
        <w:rPr>
          <w:rFonts w:hint="cs"/>
          <w:rtl/>
        </w:rPr>
        <w:t xml:space="preserve"> [</w:t>
      </w:r>
      <w:r w:rsidRPr="005675B2">
        <w:rPr>
          <w:rFonts w:hint="cs"/>
          <w:sz w:val="24"/>
          <w:szCs w:val="24"/>
          <w:rtl/>
        </w:rPr>
        <w:t>تاريخ الإسلام 24/358، طبقات الحنابلة 3/18]</w:t>
      </w:r>
      <w:r w:rsidRPr="005675B2">
        <w:rPr>
          <w:rFonts w:hint="cs"/>
          <w:rtl/>
        </w:rPr>
        <w:t xml:space="preserve"> وأما عقيدة البربهاري فقد كان من الجهوية المجسمة على ما نقل عنه وأكرر فأقول</w:t>
      </w:r>
      <w:r w:rsidR="000636C2">
        <w:rPr>
          <w:rFonts w:hint="cs"/>
          <w:rtl/>
        </w:rPr>
        <w:t>:</w:t>
      </w:r>
      <w:r w:rsidRPr="005675B2">
        <w:rPr>
          <w:rFonts w:hint="cs"/>
          <w:rtl/>
        </w:rPr>
        <w:t xml:space="preserve"> على ما نقل عنه</w:t>
      </w:r>
      <w:r w:rsidR="000636C2">
        <w:rPr>
          <w:rFonts w:hint="cs"/>
          <w:rtl/>
        </w:rPr>
        <w:t xml:space="preserve">، </w:t>
      </w:r>
      <w:r w:rsidRPr="005675B2">
        <w:rPr>
          <w:rFonts w:hint="cs"/>
          <w:rtl/>
        </w:rPr>
        <w:t>قال ابن أبي يعلى</w:t>
      </w:r>
      <w:r w:rsidR="000636C2">
        <w:rPr>
          <w:rFonts w:hint="cs"/>
          <w:rtl/>
        </w:rPr>
        <w:t>:</w:t>
      </w:r>
      <w:r w:rsidRPr="005675B2">
        <w:rPr>
          <w:rFonts w:hint="cs"/>
          <w:rtl/>
        </w:rPr>
        <w:t xml:space="preserve"> "وسمعت أخي أبا القاسم</w:t>
      </w:r>
      <w:r w:rsidR="000636C2">
        <w:rPr>
          <w:rFonts w:hint="cs"/>
          <w:rtl/>
        </w:rPr>
        <w:t xml:space="preserve"> </w:t>
      </w:r>
      <w:r w:rsidRPr="005675B2">
        <w:rPr>
          <w:rFonts w:hint="cs"/>
          <w:rtl/>
        </w:rPr>
        <w:t>- نضر الله وجهه - يقول</w:t>
      </w:r>
      <w:r w:rsidR="000636C2">
        <w:rPr>
          <w:rFonts w:hint="cs"/>
          <w:rtl/>
        </w:rPr>
        <w:t>:</w:t>
      </w:r>
      <w:r w:rsidRPr="005675B2">
        <w:rPr>
          <w:rFonts w:hint="cs"/>
          <w:rtl/>
        </w:rPr>
        <w:t xml:space="preserve"> لم يكن البربهاري يجلس مجلسا إلا ويذكر فيه أن الله عز وجل يقعد محمدا صلى الله عليه وسلم معه على العرش،" </w:t>
      </w:r>
      <w:r w:rsidR="000636C2">
        <w:rPr>
          <w:rFonts w:hint="cs"/>
          <w:rtl/>
        </w:rPr>
        <w:t>[</w:t>
      </w:r>
      <w:r w:rsidRPr="005675B2">
        <w:rPr>
          <w:rFonts w:hint="cs"/>
          <w:sz w:val="24"/>
          <w:szCs w:val="24"/>
          <w:rtl/>
        </w:rPr>
        <w:t>طبقات الحنابلة 2/ 43]</w:t>
      </w:r>
      <w:r w:rsidRPr="005675B2">
        <w:rPr>
          <w:rFonts w:hint="cs"/>
          <w:rtl/>
        </w:rPr>
        <w:t xml:space="preserve"> والقعود والمماسة وصف الأجسام</w:t>
      </w:r>
      <w:r w:rsidR="000636C2">
        <w:rPr>
          <w:rFonts w:hint="cs"/>
          <w:rtl/>
        </w:rPr>
        <w:t xml:space="preserve">، </w:t>
      </w:r>
      <w:r w:rsidRPr="005675B2">
        <w:rPr>
          <w:rFonts w:hint="cs"/>
          <w:rtl/>
        </w:rPr>
        <w:t>وقال ابن الأثير في الكامل تحت عنوان</w:t>
      </w:r>
      <w:r w:rsidR="000636C2">
        <w:rPr>
          <w:rFonts w:hint="cs"/>
          <w:rtl/>
        </w:rPr>
        <w:t>:</w:t>
      </w:r>
      <w:r w:rsidRPr="005675B2">
        <w:rPr>
          <w:rFonts w:hint="cs"/>
          <w:rtl/>
        </w:rPr>
        <w:t xml:space="preserve"> </w:t>
      </w:r>
      <w:r w:rsidR="000636C2">
        <w:rPr>
          <w:rFonts w:hint="cs"/>
          <w:rtl/>
        </w:rPr>
        <w:t>(</w:t>
      </w:r>
      <w:r w:rsidRPr="005675B2">
        <w:rPr>
          <w:rFonts w:hint="cs"/>
          <w:rtl/>
        </w:rPr>
        <w:t>فتنة الحنابلة ببغداد</w:t>
      </w:r>
      <w:r w:rsidR="000636C2">
        <w:rPr>
          <w:rFonts w:hint="cs"/>
          <w:rtl/>
        </w:rPr>
        <w:t>)</w:t>
      </w:r>
      <w:r w:rsidRPr="005675B2">
        <w:rPr>
          <w:rFonts w:hint="cs"/>
          <w:rtl/>
        </w:rPr>
        <w:t xml:space="preserve"> وفيها عظم أمر الحنابلة وقويت شوكتهم، وصاروا يكبسون من دور القواد والعامة .. واستظهروا بالعميان الذين كانوا يأوون المساجد، وكانوا إذا مر بهم شافعي المذهب أغروا به العميان فيضربون بعضهم حتى يكاد يموت، فخرج توقيع الراضي </w:t>
      </w:r>
      <w:r w:rsidR="000636C2">
        <w:rPr>
          <w:rFonts w:hint="cs"/>
          <w:rtl/>
        </w:rPr>
        <w:t>(</w:t>
      </w:r>
      <w:r w:rsidRPr="005675B2">
        <w:rPr>
          <w:rFonts w:hint="cs"/>
          <w:rtl/>
        </w:rPr>
        <w:t>الخليفة العباسي</w:t>
      </w:r>
      <w:r w:rsidR="000636C2">
        <w:rPr>
          <w:rFonts w:hint="cs"/>
          <w:rtl/>
        </w:rPr>
        <w:t>)</w:t>
      </w:r>
      <w:r w:rsidRPr="005675B2">
        <w:rPr>
          <w:rFonts w:hint="cs"/>
          <w:rtl/>
        </w:rPr>
        <w:t xml:space="preserve"> بما يقرأ على الحنابلة ينكر عليهم فعلهم ويوبخهم باعتقاد التشبيه وغيره</w:t>
      </w:r>
      <w:r w:rsidR="000636C2">
        <w:rPr>
          <w:rFonts w:hint="cs"/>
          <w:rtl/>
        </w:rPr>
        <w:t xml:space="preserve">، </w:t>
      </w:r>
      <w:r w:rsidRPr="005675B2">
        <w:rPr>
          <w:rFonts w:hint="cs"/>
          <w:rtl/>
        </w:rPr>
        <w:t xml:space="preserve">فمنه </w:t>
      </w:r>
      <w:r w:rsidR="000636C2">
        <w:rPr>
          <w:rFonts w:hint="cs"/>
          <w:rtl/>
        </w:rPr>
        <w:t>(</w:t>
      </w:r>
      <w:r w:rsidRPr="005675B2">
        <w:rPr>
          <w:rFonts w:hint="cs"/>
          <w:rtl/>
        </w:rPr>
        <w:t>أي من التوقيع</w:t>
      </w:r>
      <w:r w:rsidR="000636C2">
        <w:rPr>
          <w:rFonts w:hint="cs"/>
          <w:rtl/>
        </w:rPr>
        <w:t>)</w:t>
      </w:r>
      <w:r w:rsidRPr="005675B2">
        <w:rPr>
          <w:rFonts w:hint="cs"/>
          <w:rtl/>
        </w:rPr>
        <w:t xml:space="preserve"> تارة إنكم تزعمون أن صورة وجوهكم القبيحة السمجة على مثال رب العالمين، وهيئتكم الرذيلة على هيئته، وتذكرون الكف والأصابع والرجلين، والنعلين المذهبين، والشعر القطط، والصعود إلى السماء، والنزول إلى الدنيا، تعالى الله عما يقول الظالمون والجاحدون علوا كبيرا .. إلى آخر ما ورد في المرسوم من الزيغ والضلال والمخازي والفضائح، </w:t>
      </w:r>
      <w:r w:rsidR="000636C2">
        <w:rPr>
          <w:rFonts w:hint="cs"/>
          <w:rtl/>
        </w:rPr>
        <w:t>[</w:t>
      </w:r>
      <w:r w:rsidRPr="005675B2">
        <w:rPr>
          <w:rFonts w:hint="cs"/>
          <w:sz w:val="24"/>
          <w:szCs w:val="24"/>
          <w:rtl/>
        </w:rPr>
        <w:t>الكامل 6/ 248 في حوادث سنة 323]</w:t>
      </w:r>
      <w:r w:rsidRPr="005675B2">
        <w:rPr>
          <w:rFonts w:hint="cs"/>
          <w:rtl/>
        </w:rPr>
        <w:t xml:space="preserve"> وقد كان هذا المرسوم والتوقيع من الخليفة العباسي ضد أصحاب أبي محمد البربهاري</w:t>
      </w:r>
      <w:r w:rsidR="000636C2">
        <w:rPr>
          <w:rFonts w:hint="cs"/>
          <w:rtl/>
        </w:rPr>
        <w:t xml:space="preserve">، </w:t>
      </w:r>
      <w:r w:rsidRPr="005675B2">
        <w:rPr>
          <w:rFonts w:hint="cs"/>
          <w:rtl/>
        </w:rPr>
        <w:t>ونورد عقيدة الإمام أحمد المتعلقة بالموضوع منقولة من الرسالة المطبوعة في آخر الجزء الثاني من طبقات الحنابلة لإبن أبي يعلى في بيان عقيدة الإمام أحمد وقد جاء في هذه الرسالة ما يلي</w:t>
      </w:r>
      <w:r w:rsidR="000636C2">
        <w:rPr>
          <w:rFonts w:hint="cs"/>
          <w:rtl/>
        </w:rPr>
        <w:t>،</w:t>
      </w:r>
      <w:r w:rsidRPr="005675B2">
        <w:rPr>
          <w:rFonts w:hint="cs"/>
          <w:spacing w:val="-12"/>
          <w:rtl/>
        </w:rPr>
        <w:t xml:space="preserve"> [</w:t>
      </w:r>
      <w:r w:rsidRPr="005675B2">
        <w:rPr>
          <w:rFonts w:hint="cs"/>
          <w:sz w:val="24"/>
          <w:szCs w:val="24"/>
          <w:rtl/>
        </w:rPr>
        <w:t>ص294</w:t>
      </w:r>
      <w:r w:rsidRPr="005675B2">
        <w:rPr>
          <w:rFonts w:hint="cs"/>
          <w:spacing w:val="-12"/>
          <w:rtl/>
        </w:rPr>
        <w:t xml:space="preserve">] </w:t>
      </w:r>
      <w:r w:rsidRPr="005675B2">
        <w:rPr>
          <w:rFonts w:hint="cs"/>
          <w:rtl/>
        </w:rPr>
        <w:t>ومذهب أبي عبد الله أحمد بن حنبل -رضي الله تعالى عنه - أن لله عز وجل وجها لا كالصور المصورة والأعيان المخططة، بل وجه وصفه بقوله</w:t>
      </w:r>
      <w:r w:rsidR="000636C2">
        <w:rPr>
          <w:rFonts w:hint="cs"/>
          <w:rtl/>
        </w:rPr>
        <w:t>:</w:t>
      </w:r>
      <w:r w:rsidRPr="005675B2">
        <w:rPr>
          <w:rFonts w:hint="cs"/>
          <w:rtl/>
        </w:rPr>
        <w:t xml:space="preserve"> </w:t>
      </w:r>
      <w:r w:rsidR="000636C2">
        <w:rPr>
          <w:rFonts w:hint="cs"/>
          <w:rtl/>
        </w:rPr>
        <w:t>(</w:t>
      </w:r>
      <w:r w:rsidRPr="005675B2">
        <w:rPr>
          <w:rFonts w:hint="cs"/>
          <w:rtl/>
        </w:rPr>
        <w:t>كل شيء هالك إلا وجهه</w:t>
      </w:r>
      <w:r w:rsidR="000636C2">
        <w:rPr>
          <w:rFonts w:hint="cs"/>
          <w:rtl/>
        </w:rPr>
        <w:t>)</w:t>
      </w:r>
      <w:r w:rsidRPr="005675B2">
        <w:rPr>
          <w:rFonts w:hint="cs"/>
          <w:rtl/>
        </w:rPr>
        <w:t>، ومن غير معناه فقد ألحد عنه، وذلك عنده وجه في الحقيقة دون المجاز، ووجه الله باق لا يبلى، وصفة له لا تفنى، ومن ادعى أن وجهه نفسه فقد ألحد، ومن غير معناه فقد كفر، وليس معنى وجهه معنى جسد عنده، ولا صورة، ولا تخطيط ومن قال ذلك فقد ابتدع</w:t>
      </w:r>
      <w:r w:rsidR="000636C2">
        <w:rPr>
          <w:rFonts w:hint="cs"/>
          <w:rtl/>
        </w:rPr>
        <w:t xml:space="preserve">، </w:t>
      </w:r>
      <w:r w:rsidRPr="005675B2">
        <w:rPr>
          <w:rFonts w:hint="cs"/>
          <w:rtl/>
        </w:rPr>
        <w:t>وكان يقول</w:t>
      </w:r>
      <w:r w:rsidR="000636C2">
        <w:rPr>
          <w:rFonts w:hint="cs"/>
          <w:rtl/>
        </w:rPr>
        <w:t>:</w:t>
      </w:r>
      <w:r w:rsidRPr="005675B2">
        <w:rPr>
          <w:rFonts w:hint="cs"/>
          <w:rtl/>
        </w:rPr>
        <w:t xml:space="preserve"> إن لله تعالى يدين، وهما صفة لله في ذاته، ليستا بجارحتين، وليستا بمركبتين، ولا جسم، ولا من جنس الأجسام، ولا من جنس المحدود والتركيب، ولا الأبعاض ولا الجوارح، ولا يقاس على ذلك، ولا له مرفق ولا عضد ..</w:t>
      </w:r>
      <w:r w:rsidR="000636C2">
        <w:rPr>
          <w:rFonts w:hint="cs"/>
          <w:rtl/>
        </w:rPr>
        <w:t xml:space="preserve">، </w:t>
      </w:r>
      <w:r w:rsidRPr="005675B2">
        <w:rPr>
          <w:rFonts w:hint="cs"/>
          <w:rtl/>
        </w:rPr>
        <w:t>وفي هذه الرسالة</w:t>
      </w:r>
      <w:r w:rsidR="000636C2">
        <w:rPr>
          <w:rFonts w:hint="cs"/>
          <w:rtl/>
        </w:rPr>
        <w:t>:[</w:t>
      </w:r>
      <w:r w:rsidRPr="005675B2">
        <w:rPr>
          <w:rFonts w:hint="cs"/>
          <w:sz w:val="24"/>
          <w:szCs w:val="24"/>
          <w:rtl/>
        </w:rPr>
        <w:t>صـ296</w:t>
      </w:r>
      <w:r w:rsidRPr="005675B2">
        <w:rPr>
          <w:rFonts w:hint="cs"/>
          <w:rtl/>
        </w:rPr>
        <w:t>] وكان يقول إن الله عز وجل مستو على العرش المجيد</w:t>
      </w:r>
      <w:r w:rsidR="000636C2">
        <w:rPr>
          <w:rFonts w:hint="cs"/>
          <w:rtl/>
        </w:rPr>
        <w:t xml:space="preserve">، </w:t>
      </w:r>
      <w:r w:rsidRPr="005675B2">
        <w:rPr>
          <w:rFonts w:hint="cs"/>
          <w:rtl/>
        </w:rPr>
        <w:t>وحكى جماعة عنه أن الاستواء من صفات الفعل, وحكى جماعة عنه أن كان يقول</w:t>
      </w:r>
      <w:r w:rsidR="000636C2">
        <w:rPr>
          <w:rFonts w:hint="cs"/>
          <w:rtl/>
        </w:rPr>
        <w:t>:</w:t>
      </w:r>
      <w:r w:rsidRPr="005675B2">
        <w:rPr>
          <w:rFonts w:hint="cs"/>
          <w:rtl/>
        </w:rPr>
        <w:t xml:space="preserve"> إن الاستواء من صفات الذات</w:t>
      </w:r>
      <w:r w:rsidR="000636C2">
        <w:rPr>
          <w:rFonts w:hint="cs"/>
          <w:rtl/>
        </w:rPr>
        <w:t xml:space="preserve">، </w:t>
      </w:r>
      <w:r w:rsidRPr="005675B2">
        <w:rPr>
          <w:rFonts w:hint="cs"/>
          <w:rtl/>
        </w:rPr>
        <w:t>وكان يقول في معنى الاستواء هو العلو والإرتفاع، ولم يزل الله عاليا رفيعا قبل أن يخلق عرشه، فهو فوق كل شيء والعالى على كل شيء، وإنما خص الله العرش لمعنى فيه مخالف لسائر الاشياء</w:t>
      </w:r>
      <w:r w:rsidR="000636C2">
        <w:rPr>
          <w:rFonts w:hint="cs"/>
          <w:rtl/>
        </w:rPr>
        <w:t>،</w:t>
      </w:r>
      <w:r w:rsidRPr="005675B2">
        <w:rPr>
          <w:rFonts w:hint="cs"/>
          <w:rtl/>
        </w:rPr>
        <w:t xml:space="preserve"> والعرش أفضل الأشياء وأرفعها</w:t>
      </w:r>
      <w:r w:rsidR="000636C2">
        <w:rPr>
          <w:rFonts w:hint="cs"/>
          <w:rtl/>
        </w:rPr>
        <w:t>،</w:t>
      </w:r>
      <w:r w:rsidRPr="005675B2">
        <w:rPr>
          <w:rFonts w:hint="cs"/>
          <w:rtl/>
        </w:rPr>
        <w:t xml:space="preserve"> فامتدح الله نفسه بأنه على العرش استوى، أى عليه علا</w:t>
      </w:r>
      <w:r w:rsidR="000636C2">
        <w:rPr>
          <w:rFonts w:hint="cs"/>
          <w:rtl/>
        </w:rPr>
        <w:t xml:space="preserve">، </w:t>
      </w:r>
      <w:r w:rsidRPr="005675B2">
        <w:rPr>
          <w:rFonts w:hint="cs"/>
          <w:rtl/>
        </w:rPr>
        <w:t>ولا يجوز أن يقال استوى بمماسة ولا بملاقاة</w:t>
      </w:r>
      <w:r w:rsidR="000636C2">
        <w:rPr>
          <w:rFonts w:hint="cs"/>
          <w:rtl/>
        </w:rPr>
        <w:t>،</w:t>
      </w:r>
      <w:r w:rsidRPr="005675B2">
        <w:rPr>
          <w:rFonts w:hint="cs"/>
          <w:rtl/>
        </w:rPr>
        <w:t xml:space="preserve"> تعالى الله عن ذلك علوا كبيرا</w:t>
      </w:r>
      <w:r w:rsidR="000636C2">
        <w:rPr>
          <w:rFonts w:hint="cs"/>
          <w:rtl/>
        </w:rPr>
        <w:t xml:space="preserve">، </w:t>
      </w:r>
      <w:r w:rsidRPr="005675B2">
        <w:rPr>
          <w:rFonts w:hint="cs"/>
          <w:rtl/>
        </w:rPr>
        <w:t>والله تعالى لم يلحقه تغيير ولا تبديل ولايلحقه الحدود قبل خلق العرش ولابعد خلق العرش</w:t>
      </w:r>
      <w:r w:rsidR="000636C2">
        <w:rPr>
          <w:rFonts w:hint="cs"/>
          <w:rtl/>
        </w:rPr>
        <w:t xml:space="preserve">، </w:t>
      </w:r>
      <w:r w:rsidRPr="005675B2">
        <w:rPr>
          <w:rFonts w:hint="cs"/>
          <w:rtl/>
        </w:rPr>
        <w:t>هذه عقيدة الإمام أحمد كما نقلوها عنه، فقارن بينهما وبين ما نقلوه من عقيدة البربهاري</w:t>
      </w:r>
      <w:r w:rsidR="000636C2">
        <w:rPr>
          <w:rFonts w:hint="cs"/>
          <w:rtl/>
        </w:rPr>
        <w:t xml:space="preserve">، </w:t>
      </w:r>
      <w:r w:rsidRPr="005675B2">
        <w:rPr>
          <w:rFonts w:hint="cs"/>
          <w:rtl/>
        </w:rPr>
        <w:t>هل ترى بين عقيدتيهما إلا الخلاف والتضاد</w:t>
      </w:r>
      <w:r w:rsidR="000636C2">
        <w:rPr>
          <w:rFonts w:hint="cs"/>
          <w:rtl/>
        </w:rPr>
        <w:t>!</w:t>
      </w:r>
      <w:r w:rsidRPr="005675B2">
        <w:rPr>
          <w:rFonts w:hint="cs"/>
          <w:rtl/>
        </w:rPr>
        <w:t xml:space="preserve"> ثم قارن بين عقيدة الإمام أحمد وعقيدة الإمام الأشعري التى ذكرها في كتابه "الإبانة" هل ترى بينهما إلا الوفاق والوءام</w:t>
      </w:r>
      <w:r w:rsidR="000636C2">
        <w:rPr>
          <w:rFonts w:hint="cs"/>
          <w:rtl/>
        </w:rPr>
        <w:t>!</w:t>
      </w:r>
      <w:r w:rsidRPr="005675B2">
        <w:rPr>
          <w:rFonts w:hint="cs"/>
          <w:rtl/>
        </w:rPr>
        <w:t xml:space="preserve"> فأيهما أحق بأن يعد إمام أهل السنة في عصره هل البربهاري المخالف في العقيدة للإمام أحمد، أم الأشعري الموافق له فيها</w:t>
      </w:r>
      <w:r w:rsidR="000636C2">
        <w:rPr>
          <w:rFonts w:hint="cs"/>
          <w:rtl/>
        </w:rPr>
        <w:t>؟</w:t>
      </w:r>
      <w:r w:rsidRPr="005675B2">
        <w:rPr>
          <w:rFonts w:hint="cs"/>
          <w:rtl/>
        </w:rPr>
        <w:t xml:space="preserve"> وأيهما أحق بالتبديع والتضليل</w:t>
      </w:r>
      <w:r w:rsidR="000636C2">
        <w:rPr>
          <w:rFonts w:hint="cs"/>
          <w:rtl/>
        </w:rPr>
        <w:t>!</w:t>
      </w:r>
      <w:r w:rsidRPr="005675B2">
        <w:rPr>
          <w:rFonts w:hint="cs"/>
          <w:rtl/>
        </w:rPr>
        <w:t>!</w:t>
      </w:r>
      <w:r w:rsidR="000636C2">
        <w:rPr>
          <w:rFonts w:hint="cs"/>
          <w:rtl/>
        </w:rPr>
        <w:t xml:space="preserve">؟؟ </w:t>
      </w:r>
      <w:r w:rsidRPr="005675B2">
        <w:rPr>
          <w:rFonts w:hint="cs"/>
          <w:rtl/>
        </w:rPr>
        <w:t>ثم إن المقابلة لم تشمل على شيء من التبديع والتضليل من البربهاري للأشعري، كل ما فيها أن البربهاري كان على طريقة الإمام أحمد في كراهة الدخول في شيء من علم الكلام وحكاية أقوال المخالفين والرد عليهم؛ الأمر الذي كان يقوم به الأشعري ويراه من آكد الواجبات عليه</w:t>
      </w:r>
      <w:r w:rsidR="000636C2">
        <w:rPr>
          <w:rFonts w:hint="cs"/>
          <w:rtl/>
        </w:rPr>
        <w:t>،</w:t>
      </w:r>
      <w:r w:rsidRPr="005675B2">
        <w:rPr>
          <w:rFonts w:hint="cs"/>
          <w:rtl/>
        </w:rPr>
        <w:t xml:space="preserve"> وليس موقف الامام أحمد هذا حجة على غيره من الأئمة، فلكل منهم موقفه واجتهاده وأجره</w:t>
      </w:r>
      <w:r w:rsidR="000636C2">
        <w:rPr>
          <w:rFonts w:hint="cs"/>
          <w:rtl/>
        </w:rPr>
        <w:t>،</w:t>
      </w:r>
      <w:r w:rsidR="000636C2">
        <w:rPr>
          <w:rFonts w:hint="cs"/>
          <w:spacing w:val="-10"/>
          <w:rtl/>
        </w:rPr>
        <w:t xml:space="preserve"> </w:t>
      </w:r>
      <w:r w:rsidRPr="005675B2">
        <w:rPr>
          <w:rFonts w:hint="cs"/>
          <w:rtl/>
        </w:rPr>
        <w:t>ثم إن هذه المقابلة تدل على أن كتاب الإبانة من أوائل ما كتبه الأشعري من كتبه، وأنه كتبها إستدراجا للبربهاري لمذهب الإمام أحمد الذي كان يدعى البربهاري أنه عليه، وليست الإبانة آخر كتاب للإمام الأشعري، ولا من أواخر كتبه كما يقال</w:t>
      </w:r>
      <w:r w:rsidR="000636C2">
        <w:rPr>
          <w:rFonts w:hint="cs"/>
          <w:rtl/>
        </w:rPr>
        <w:t>،</w:t>
      </w:r>
      <w:r w:rsidRPr="005675B2">
        <w:rPr>
          <w:rFonts w:hint="cs"/>
          <w:rtl/>
        </w:rPr>
        <w:t xml:space="preserve"> وكما قال الدكتور</w:t>
      </w:r>
      <w:r w:rsidR="000636C2">
        <w:rPr>
          <w:rFonts w:hint="cs"/>
          <w:rtl/>
        </w:rPr>
        <w:t>،</w:t>
      </w:r>
    </w:p>
    <w:p w14:paraId="2F6091B2" w14:textId="22A74035" w:rsidR="009C32A0" w:rsidRPr="005675B2" w:rsidRDefault="009C32A0" w:rsidP="000636C2">
      <w:pPr>
        <w:rPr>
          <w:b/>
          <w:rtl/>
        </w:rPr>
      </w:pPr>
      <w:r w:rsidRPr="005675B2">
        <w:rPr>
          <w:rFonts w:hint="cs"/>
          <w:rtl/>
        </w:rPr>
        <w:t>24 - بيان بطلان إقعاد الله تعالى لمحمد صلى الله تعالى عليه وآله وسلم على العرش معه</w:t>
      </w:r>
      <w:r w:rsidR="000636C2">
        <w:rPr>
          <w:rFonts w:hint="cs"/>
          <w:rtl/>
        </w:rPr>
        <w:t xml:space="preserve">: </w:t>
      </w:r>
      <w:r w:rsidRPr="005675B2">
        <w:rPr>
          <w:rFonts w:hint="cs"/>
          <w:rtl/>
        </w:rPr>
        <w:t>ونود أن نتعرض لمسألة الاقعاد، فنقول</w:t>
      </w:r>
      <w:r w:rsidR="000636C2">
        <w:rPr>
          <w:rFonts w:hint="cs"/>
          <w:rtl/>
        </w:rPr>
        <w:t>:</w:t>
      </w:r>
      <w:r w:rsidRPr="005675B2">
        <w:rPr>
          <w:rFonts w:hint="cs"/>
          <w:rtl/>
        </w:rPr>
        <w:t xml:space="preserve"> قد روي عن مجاهد أنه فسر المقام المحمود الوارد في قوله تعالى</w:t>
      </w:r>
      <w:r w:rsidR="000636C2">
        <w:rPr>
          <w:rFonts w:hint="cs"/>
          <w:rtl/>
        </w:rPr>
        <w:t>:</w:t>
      </w:r>
      <w:r w:rsidRPr="005675B2">
        <w:rPr>
          <w:rFonts w:hint="cs"/>
          <w:rtl/>
        </w:rPr>
        <w:t xml:space="preserve"> </w:t>
      </w:r>
      <w:r w:rsidR="000636C2">
        <w:rPr>
          <w:rFonts w:hint="cs"/>
          <w:rtl/>
        </w:rPr>
        <w:t>(</w:t>
      </w:r>
      <w:r w:rsidRPr="005675B2">
        <w:rPr>
          <w:rFonts w:hint="cs"/>
          <w:rtl/>
        </w:rPr>
        <w:t>ومن الليل فتهجد به نافلة لك عسى أن يبعثك ربك مقاما محمودا</w:t>
      </w:r>
      <w:r w:rsidR="000636C2">
        <w:rPr>
          <w:rFonts w:hint="cs"/>
          <w:rtl/>
        </w:rPr>
        <w:t>)</w:t>
      </w:r>
      <w:r w:rsidRPr="005675B2">
        <w:rPr>
          <w:rFonts w:hint="cs"/>
          <w:rtl/>
        </w:rPr>
        <w:t xml:space="preserve"> بإقعاد الله تعالى محمدا صلى الله عليه وسلم وآله وسلم على العرش معه، وتبع مجاهدا على هذا بعض الناس منهم ابن تيمية، وانظر مجموع الفتاوى</w:t>
      </w:r>
      <w:r w:rsidRPr="005675B2">
        <w:rPr>
          <w:rFonts w:hint="cs"/>
          <w:rtl/>
          <w:lang w:bidi="ar-KW"/>
        </w:rPr>
        <w:t xml:space="preserve"> [</w:t>
      </w:r>
      <w:r w:rsidRPr="005675B2">
        <w:rPr>
          <w:rFonts w:hint="cs"/>
          <w:sz w:val="24"/>
          <w:szCs w:val="24"/>
          <w:rtl/>
        </w:rPr>
        <w:t>4/ 374</w:t>
      </w:r>
      <w:r w:rsidRPr="005675B2">
        <w:rPr>
          <w:rFonts w:hint="cs"/>
          <w:rtl/>
          <w:lang w:bidi="ar-KW"/>
        </w:rPr>
        <w:t>]</w:t>
      </w:r>
      <w:r w:rsidRPr="005675B2">
        <w:rPr>
          <w:rFonts w:hint="cs"/>
          <w:rtl/>
        </w:rPr>
        <w:t xml:space="preserve"> وأشار إليها ابن القيم في بدائع الفوائد [</w:t>
      </w:r>
      <w:r w:rsidRPr="005675B2">
        <w:rPr>
          <w:rFonts w:hint="cs"/>
          <w:sz w:val="24"/>
          <w:szCs w:val="24"/>
          <w:rtl/>
        </w:rPr>
        <w:t>4/ 39</w:t>
      </w:r>
      <w:r w:rsidRPr="005675B2">
        <w:rPr>
          <w:rFonts w:hint="cs"/>
          <w:rtl/>
        </w:rPr>
        <w:t>]</w:t>
      </w:r>
      <w:r w:rsidR="000636C2">
        <w:rPr>
          <w:rFonts w:hint="cs"/>
          <w:rtl/>
        </w:rPr>
        <w:t xml:space="preserve">، </w:t>
      </w:r>
      <w:r w:rsidRPr="005675B2">
        <w:rPr>
          <w:rFonts w:hint="cs"/>
          <w:rtl/>
        </w:rPr>
        <w:t>قال الكوثري في الكلام على هذا التفسير</w:t>
      </w:r>
      <w:r w:rsidR="000636C2">
        <w:rPr>
          <w:rFonts w:hint="cs"/>
          <w:rtl/>
        </w:rPr>
        <w:t>:</w:t>
      </w:r>
      <w:r w:rsidRPr="005675B2">
        <w:rPr>
          <w:rFonts w:hint="cs"/>
          <w:rtl/>
        </w:rPr>
        <w:t xml:space="preserve"> روي عنه - أي عن مجاهد - بطرق ضعيفة، وتفسيره بالشفاعة متواتر معنى عن النبي صلى الله عليه وآله وسلم - فأنى يناهضه قول التابعي على تقدير ثبوته عنه</w:t>
      </w:r>
      <w:r w:rsidR="000636C2">
        <w:rPr>
          <w:rFonts w:hint="cs"/>
          <w:rtl/>
        </w:rPr>
        <w:t xml:space="preserve">، </w:t>
      </w:r>
      <w:r w:rsidRPr="005675B2">
        <w:rPr>
          <w:rFonts w:hint="cs"/>
          <w:rtl/>
        </w:rPr>
        <w:t>ومن يقول</w:t>
      </w:r>
      <w:r w:rsidR="000636C2">
        <w:rPr>
          <w:rFonts w:hint="cs"/>
          <w:rtl/>
        </w:rPr>
        <w:t>:</w:t>
      </w:r>
      <w:r w:rsidRPr="005675B2">
        <w:rPr>
          <w:rFonts w:hint="cs"/>
          <w:rtl/>
        </w:rPr>
        <w:t xml:space="preserve"> إن الله سبحانه قد أخلى مكانا للنبي صلى الله عليه وسلم وآله في عرشه فيقعده عليه في جنب ذاته فلا شك في زيغه وضلاله واختلال عقله، رغم تقول جماعة البربهارية من الحشوية، وكم آذوا ابن جرير حتى أدخل في تفسيره بعض شيء من ذلك مع أنه القائل</w:t>
      </w:r>
      <w:r w:rsidR="000636C2">
        <w:rPr>
          <w:rFonts w:hint="cs"/>
          <w:rtl/>
        </w:rPr>
        <w:t>:</w:t>
      </w:r>
      <w:r w:rsidRPr="005675B2">
        <w:rPr>
          <w:rFonts w:hint="cs"/>
          <w:rtl/>
        </w:rPr>
        <w:t xml:space="preserve"> </w:t>
      </w:r>
      <w:r w:rsidR="000636C2">
        <w:rPr>
          <w:rFonts w:hint="cs"/>
          <w:rtl/>
        </w:rPr>
        <w:t>(</w:t>
      </w:r>
      <w:r w:rsidRPr="005675B2">
        <w:rPr>
          <w:rFonts w:hint="cs"/>
          <w:rtl/>
        </w:rPr>
        <w:t>سبحان من ليس له أنيس</w:t>
      </w:r>
      <w:r w:rsidR="000636C2">
        <w:rPr>
          <w:rFonts w:hint="cs"/>
          <w:rtl/>
        </w:rPr>
        <w:t>::</w:t>
      </w:r>
      <w:r w:rsidRPr="005675B2">
        <w:rPr>
          <w:rFonts w:hint="cs"/>
          <w:rtl/>
        </w:rPr>
        <w:t xml:space="preserve"> ولا له في عرشه جليس</w:t>
      </w:r>
      <w:r w:rsidR="000636C2">
        <w:rPr>
          <w:rFonts w:hint="cs"/>
          <w:rtl/>
        </w:rPr>
        <w:t xml:space="preserve">)، </w:t>
      </w:r>
      <w:r w:rsidRPr="005675B2">
        <w:rPr>
          <w:rFonts w:hint="cs"/>
          <w:rtl/>
        </w:rPr>
        <w:t>ولو ورد مثل ذلك بسند صحيح لرد وعد أن هذا سند مركب، فكيف وهو لم يرفع إلى النبي صلى الله تعالى وآله وسلم أصلا، بل نسب إلى مجاهد بن جبر</w:t>
      </w:r>
      <w:r w:rsidR="000636C2">
        <w:rPr>
          <w:rFonts w:hint="cs"/>
          <w:rtl/>
        </w:rPr>
        <w:t xml:space="preserve">، </w:t>
      </w:r>
      <w:r w:rsidRPr="005675B2">
        <w:rPr>
          <w:rFonts w:hint="cs"/>
          <w:rtl/>
        </w:rPr>
        <w:t>نعم لا مانع من أن يكون الله سبحانه يعقده على عرش أعده لرسول الله صلى الله تعالى عليه وآله وسلم في القيامة إظهارا لمنزلته، لا أنه يقعد ويقعده في جنبه تعالى الله عن ذلك علوا كبيرا، إذ هو محال يرد بمثله خبر الآحاد على تقدير وروده مرفوعا، فكيف ولم يرد ذلك في المرفوع</w:t>
      </w:r>
      <w:r w:rsidR="000636C2">
        <w:rPr>
          <w:rFonts w:hint="cs"/>
          <w:rtl/>
        </w:rPr>
        <w:t>!</w:t>
      </w:r>
      <w:r w:rsidRPr="005675B2">
        <w:rPr>
          <w:rFonts w:hint="cs"/>
          <w:rtl/>
        </w:rPr>
        <w:t xml:space="preserve"> حتى قال الذهبي</w:t>
      </w:r>
      <w:r w:rsidR="000636C2">
        <w:rPr>
          <w:rFonts w:hint="cs"/>
          <w:rtl/>
        </w:rPr>
        <w:t>:</w:t>
      </w:r>
      <w:r w:rsidRPr="005675B2">
        <w:rPr>
          <w:rFonts w:hint="cs"/>
          <w:rtl/>
        </w:rPr>
        <w:t xml:space="preserve"> ولم يثبت في قعود نبينا صلى الله تعالى عليه وآله وسلم على العرش نص، بل في الباب حديث واه، وقال أيضا</w:t>
      </w:r>
      <w:r w:rsidR="000636C2">
        <w:rPr>
          <w:rFonts w:hint="cs"/>
          <w:rtl/>
        </w:rPr>
        <w:t>:</w:t>
      </w:r>
      <w:r w:rsidRPr="005675B2">
        <w:rPr>
          <w:rFonts w:hint="cs"/>
          <w:rtl/>
        </w:rPr>
        <w:t xml:space="preserve"> ويروى مرفوعا وهو باطل</w:t>
      </w:r>
      <w:r w:rsidR="000636C2">
        <w:rPr>
          <w:rFonts w:hint="cs"/>
          <w:rtl/>
        </w:rPr>
        <w:t xml:space="preserve">، </w:t>
      </w:r>
      <w:r w:rsidRPr="005675B2">
        <w:rPr>
          <w:rFonts w:hint="cs"/>
          <w:rtl/>
        </w:rPr>
        <w:t>فما ذكره ابن عطية وسايره الآلوسي فليس في محله لأن أصحاب الاستقراء لم يجدوه مرفوعا حتى نحتاج إلى محاولة التأويل بما يمجه الذوق</w:t>
      </w:r>
      <w:r w:rsidR="000636C2">
        <w:rPr>
          <w:rFonts w:hint="cs"/>
          <w:rtl/>
        </w:rPr>
        <w:t xml:space="preserve">، </w:t>
      </w:r>
      <w:r w:rsidRPr="005675B2">
        <w:rPr>
          <w:rFonts w:hint="cs"/>
          <w:rtl/>
        </w:rPr>
        <w:t>ومن ظن انه يوجد في مسند الفردوس ما يصح من ذلك لم يعرف الديلمي ولا مسنده وأرسل الكلام جزافا</w:t>
      </w:r>
      <w:r w:rsidR="000636C2">
        <w:rPr>
          <w:rFonts w:hint="cs"/>
          <w:rtl/>
        </w:rPr>
        <w:t>،</w:t>
      </w:r>
      <w:r w:rsidRPr="005675B2">
        <w:rPr>
          <w:rFonts w:hint="cs"/>
          <w:rtl/>
        </w:rPr>
        <w:t xml:space="preserve"> جزى الله الواحدي خيرا حيث رد تلك الأخلوقة ردا مشبعا، وكذا ابن معلم القريشي</w:t>
      </w:r>
      <w:r w:rsidR="000636C2">
        <w:rPr>
          <w:rFonts w:hint="cs"/>
          <w:rtl/>
        </w:rPr>
        <w:t xml:space="preserve">، </w:t>
      </w:r>
      <w:r w:rsidRPr="005675B2">
        <w:rPr>
          <w:rFonts w:hint="cs"/>
          <w:rtl/>
        </w:rPr>
        <w:t>وأما ما يروى عن أبي داود أنه قال</w:t>
      </w:r>
      <w:r w:rsidR="000636C2">
        <w:rPr>
          <w:rFonts w:hint="cs"/>
          <w:rtl/>
        </w:rPr>
        <w:t>:</w:t>
      </w:r>
      <w:r w:rsidRPr="005675B2">
        <w:rPr>
          <w:rFonts w:hint="cs"/>
          <w:rtl/>
        </w:rPr>
        <w:t xml:space="preserve"> من أنكر هذا الحديث فهو عندنا متهم، فبطريق النقاش صاحب شفاء الصدور، وهو كذاب عند أهل النقد</w:t>
      </w:r>
      <w:r w:rsidR="000636C2">
        <w:rPr>
          <w:rFonts w:hint="cs"/>
          <w:rtl/>
        </w:rPr>
        <w:t xml:space="preserve">، </w:t>
      </w:r>
      <w:r w:rsidRPr="005675B2">
        <w:rPr>
          <w:rFonts w:hint="cs"/>
          <w:rtl/>
        </w:rPr>
        <w:t>وقال ابن عبد البر</w:t>
      </w:r>
      <w:r w:rsidR="000636C2">
        <w:rPr>
          <w:rFonts w:hint="cs"/>
          <w:rtl/>
        </w:rPr>
        <w:t>:</w:t>
      </w:r>
      <w:r w:rsidRPr="005675B2">
        <w:rPr>
          <w:rFonts w:hint="cs"/>
          <w:rtl/>
        </w:rPr>
        <w:t xml:space="preserve"> إن لمجاهد قولين مهجورين عند أهل العلم</w:t>
      </w:r>
      <w:r w:rsidR="000636C2">
        <w:rPr>
          <w:rFonts w:hint="cs"/>
          <w:rtl/>
        </w:rPr>
        <w:t>:</w:t>
      </w:r>
      <w:r w:rsidRPr="005675B2">
        <w:rPr>
          <w:rFonts w:hint="cs"/>
          <w:rtl/>
        </w:rPr>
        <w:t xml:space="preserve"> أحدهما</w:t>
      </w:r>
      <w:r w:rsidR="000636C2">
        <w:rPr>
          <w:rFonts w:hint="cs"/>
          <w:rtl/>
        </w:rPr>
        <w:t>:</w:t>
      </w:r>
      <w:r w:rsidRPr="005675B2">
        <w:rPr>
          <w:rFonts w:hint="cs"/>
          <w:rtl/>
        </w:rPr>
        <w:t xml:space="preserve"> تأويل المقام المحمود بهذا الإجلاس</w:t>
      </w:r>
      <w:r w:rsidR="000636C2">
        <w:rPr>
          <w:rFonts w:hint="cs"/>
          <w:rtl/>
        </w:rPr>
        <w:t>،</w:t>
      </w:r>
      <w:r w:rsidRPr="005675B2">
        <w:rPr>
          <w:rFonts w:hint="cs"/>
          <w:rtl/>
        </w:rPr>
        <w:t xml:space="preserve"> و</w:t>
      </w:r>
      <w:r w:rsidR="000636C2">
        <w:rPr>
          <w:rFonts w:hint="cs"/>
          <w:rtl/>
        </w:rPr>
        <w:t>(</w:t>
      </w:r>
      <w:r w:rsidRPr="005675B2">
        <w:rPr>
          <w:rFonts w:hint="cs"/>
          <w:rtl/>
        </w:rPr>
        <w:t>الثاني</w:t>
      </w:r>
      <w:r w:rsidR="000636C2">
        <w:rPr>
          <w:rFonts w:hint="cs"/>
          <w:rtl/>
        </w:rPr>
        <w:t>):</w:t>
      </w:r>
      <w:r w:rsidRPr="005675B2">
        <w:rPr>
          <w:rFonts w:hint="cs"/>
          <w:rtl/>
        </w:rPr>
        <w:t xml:space="preserve"> تأويل </w:t>
      </w:r>
      <w:r w:rsidR="000636C2">
        <w:rPr>
          <w:rFonts w:hint="cs"/>
          <w:rtl/>
        </w:rPr>
        <w:t>(</w:t>
      </w:r>
      <w:r w:rsidRPr="005675B2">
        <w:rPr>
          <w:rFonts w:hint="cs"/>
          <w:rtl/>
        </w:rPr>
        <w:t>إلى ربها ناظرة</w:t>
      </w:r>
      <w:r w:rsidR="000636C2">
        <w:rPr>
          <w:rFonts w:hint="cs"/>
          <w:rtl/>
        </w:rPr>
        <w:t>)</w:t>
      </w:r>
      <w:r w:rsidRPr="005675B2">
        <w:rPr>
          <w:rFonts w:hint="cs"/>
          <w:rtl/>
        </w:rPr>
        <w:t xml:space="preserve"> </w:t>
      </w:r>
      <w:r w:rsidR="000636C2">
        <w:rPr>
          <w:rFonts w:hint="cs"/>
          <w:rtl/>
        </w:rPr>
        <w:t>[</w:t>
      </w:r>
      <w:r w:rsidRPr="005675B2">
        <w:rPr>
          <w:rFonts w:hint="cs"/>
          <w:sz w:val="24"/>
          <w:szCs w:val="24"/>
          <w:rtl/>
        </w:rPr>
        <w:t>سورة القيامة 23</w:t>
      </w:r>
      <w:r w:rsidRPr="005675B2">
        <w:rPr>
          <w:rFonts w:hint="cs"/>
          <w:rtl/>
        </w:rPr>
        <w:t>] بانتظار الثواب</w:t>
      </w:r>
      <w:r w:rsidR="000636C2">
        <w:rPr>
          <w:rFonts w:hint="cs"/>
          <w:rtl/>
        </w:rPr>
        <w:t xml:space="preserve">، </w:t>
      </w:r>
      <w:r w:rsidRPr="005675B2">
        <w:rPr>
          <w:rFonts w:hint="cs"/>
          <w:rtl/>
        </w:rPr>
        <w:t>وفتنة أبي محمد البربهاري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الحشوية من قول بعض النصارى بأن عيسى عليه السلام رفع إلى السماء وقعد في جنب أبيه تعالى الله عن ذلك، فحاولوا أن يجعلوا للنبي صلى الله عليه وآله وسلم مثل ما جعله النصارى لعيسى عليه السلام كسابقة لهم</w:t>
      </w:r>
      <w:r w:rsidR="000636C2">
        <w:rPr>
          <w:rFonts w:hint="cs"/>
          <w:rtl/>
        </w:rPr>
        <w:t>،</w:t>
      </w:r>
      <w:r w:rsidRPr="005675B2">
        <w:rPr>
          <w:rFonts w:hint="cs"/>
          <w:rtl/>
        </w:rPr>
        <w:t xml:space="preserve"> تعالى الله عن ذلك</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رأيت من واجبي أن أسهم بتفصيل مذهب الأشاعرة في كل أبواب العقيدة ليتضح أنهم على منهج فكري مستقل في كل الأبواب والأصول، ويختلفون مع أهل السنة والجماعة من أول مصدر التلقي حتى آخر السمعيات ما عدى قضية واحدة فقط</w:t>
      </w:r>
      <w:r w:rsidR="000636C2">
        <w:rPr>
          <w:rFonts w:hint="cs"/>
          <w:rtl/>
        </w:rPr>
        <w:t>!</w:t>
      </w:r>
      <w:r w:rsidRPr="005675B2">
        <w:rPr>
          <w:rFonts w:hint="cs"/>
          <w:rtl/>
        </w:rPr>
        <w:t xml:space="preserve"> "</w:t>
      </w:r>
      <w:r w:rsidR="000636C2">
        <w:rPr>
          <w:rFonts w:hint="cs"/>
          <w:rtl/>
        </w:rPr>
        <w:t xml:space="preserve">، </w:t>
      </w:r>
      <w:r w:rsidRPr="005675B2">
        <w:rPr>
          <w:rFonts w:hint="cs"/>
          <w:rtl/>
        </w:rPr>
        <w:t>أقول تكرارا</w:t>
      </w:r>
      <w:r w:rsidR="000636C2">
        <w:rPr>
          <w:rFonts w:hint="cs"/>
          <w:rtl/>
        </w:rPr>
        <w:t>:</w:t>
      </w:r>
      <w:r w:rsidRPr="005675B2">
        <w:rPr>
          <w:rFonts w:hint="cs"/>
          <w:rtl/>
        </w:rPr>
        <w:t xml:space="preserve"> إن التسنن وكون المذهب مذهب أهل السنة والجماعة ليس بالدعاوي </w:t>
      </w:r>
      <w:r w:rsidR="000636C2">
        <w:rPr>
          <w:rFonts w:hint="cs"/>
          <w:rtl/>
        </w:rPr>
        <w:t>(</w:t>
      </w:r>
      <w:r w:rsidRPr="005675B2">
        <w:rPr>
          <w:rFonts w:hint="cs"/>
          <w:rtl/>
        </w:rPr>
        <w:t>ولواعطي الناس بدعواهم لادعى أناس دماء أقوام وأموالهم</w:t>
      </w:r>
      <w:r w:rsidR="000636C2">
        <w:rPr>
          <w:rFonts w:hint="cs"/>
          <w:rtl/>
        </w:rPr>
        <w:t>)</w:t>
      </w:r>
      <w:r w:rsidRPr="005675B2">
        <w:rPr>
          <w:rFonts w:hint="cs"/>
          <w:rtl/>
        </w:rPr>
        <w:t xml:space="preserve"> وإنما التسنن بالموافقة للكتاب والسنة ولسلف الأمة، وقد ادعى الدكتور سفر أن الأشاعرة يختلفون مع أهل السنة في كل مسائل العقيدة بما فيها السمعيات، أي إن مذهبهم مخالف للكتاب والسنة ولاعتقاد سلف الأمة، والسبب الأصل في ذلك ضلالهم في مصدر التلقي حيث جعلوا مصدر التلقي العقل فقط، ولم يعيروا للنقل أي للكتاب والسنة بالاً</w:t>
      </w:r>
      <w:r w:rsidR="000636C2">
        <w:rPr>
          <w:rFonts w:hint="cs"/>
          <w:rtl/>
        </w:rPr>
        <w:t>،</w:t>
      </w:r>
      <w:r w:rsidRPr="005675B2">
        <w:rPr>
          <w:rFonts w:hint="cs"/>
          <w:rtl/>
        </w:rPr>
        <w:t xml:space="preserve"> هذا ما يدعيه الدكتور هنا إجمالا، ثم استعرض خمسة عشرة مسألة ادعى أن مذهب الأشاعرة فيها مخالف لمذهب أهل السنة والجماعة مخالفة تامة ما عدى المسألة الرابعة عشر حيث إن المخالفة فيها ليست بتامة، وقد حاول إثبات ذلك بما أقنع به نفسه، وأقنع من هو على شاكلته ممن لم يدرسوا مذهب الأشاعرة، ولم يتعلموه على وجهه</w:t>
      </w:r>
      <w:r w:rsidR="000636C2">
        <w:rPr>
          <w:rFonts w:hint="cs"/>
          <w:rtl/>
        </w:rPr>
        <w:t xml:space="preserve">، </w:t>
      </w:r>
      <w:r w:rsidRPr="005675B2">
        <w:rPr>
          <w:rFonts w:hint="cs"/>
          <w:rtl/>
        </w:rPr>
        <w:t>ونحن نستعرض كلام الدكتور، ثم نتعقبه خطوة خطوةعلى وجه يتضح للقارء المتأني مدى صحة دعوى الدكتور هذه، ومدى موافقة مذهب الأشاعرة للكتاب والسنة ومخالفته لهما، وبذلك يتضح أن أيهما أوفق بالكتاب والسنة، مذهب الأشاعرة أو مذهب الدكتور، ويتبين أن أيهما أحق بإسم مذهب أهل السنة والجماعة، ولا استعجل الحكم بشيء من ذلك هنا، بل أترك الحكم بذلك للقارئ المتأني المنصف</w:t>
      </w:r>
      <w:r w:rsidR="000636C2">
        <w:rPr>
          <w:rFonts w:hint="cs"/>
          <w:rtl/>
        </w:rPr>
        <w:t>،</w:t>
      </w:r>
    </w:p>
    <w:p w14:paraId="26C22DE3" w14:textId="425C6B24" w:rsidR="009C32A0" w:rsidRPr="005675B2" w:rsidRDefault="009C32A0" w:rsidP="000636C2">
      <w:pPr>
        <w:rPr>
          <w:b/>
          <w:rtl/>
        </w:rPr>
      </w:pPr>
      <w:r w:rsidRPr="005675B2">
        <w:rPr>
          <w:rFonts w:hint="cs"/>
          <w:rtl/>
        </w:rPr>
        <w:t>25 - مصدر التلقي عند الأشاعرة وتقديمهم للعقل على النقل وبيان أن هذا التقديم من المقرر عند المحدثين وغيرهم</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w:t>
      </w:r>
      <w:r w:rsidR="000636C2">
        <w:rPr>
          <w:rFonts w:hint="cs"/>
          <w:rtl/>
        </w:rPr>
        <w:t>(</w:t>
      </w:r>
      <w:r w:rsidRPr="005675B2">
        <w:rPr>
          <w:rFonts w:hint="cs"/>
          <w:rtl/>
        </w:rPr>
        <w:t>الأول</w:t>
      </w:r>
      <w:r w:rsidR="000636C2">
        <w:rPr>
          <w:rFonts w:hint="cs"/>
          <w:rtl/>
        </w:rPr>
        <w:t>):</w:t>
      </w:r>
      <w:r w:rsidRPr="005675B2">
        <w:rPr>
          <w:rFonts w:hint="cs"/>
          <w:rtl/>
        </w:rPr>
        <w:t xml:space="preserve"> مصدر التلقي</w:t>
      </w:r>
      <w:r w:rsidR="000636C2">
        <w:rPr>
          <w:rFonts w:hint="cs"/>
          <w:rtl/>
        </w:rPr>
        <w:t>:</w:t>
      </w:r>
      <w:r w:rsidRPr="005675B2">
        <w:rPr>
          <w:rFonts w:hint="cs"/>
          <w:rtl/>
        </w:rPr>
        <w:t xml:space="preserve"> أ - مصدر التلقي عند الأشاعرة هو العقل وقد صرح الجويني والرازي والبغدادي والغزالي والآمدي والايجي وابن فورك والسنوسي وشراح الجوهرة وسائر أئمتهم بتقديم العقل على النقل عند التعارض "</w:t>
      </w:r>
      <w:r w:rsidR="000636C2">
        <w:rPr>
          <w:rFonts w:hint="cs"/>
          <w:rtl/>
        </w:rPr>
        <w:t xml:space="preserve">، </w:t>
      </w:r>
      <w:r w:rsidRPr="005675B2">
        <w:rPr>
          <w:rFonts w:hint="cs"/>
          <w:rtl/>
        </w:rPr>
        <w:t>أقول</w:t>
      </w:r>
      <w:r w:rsidR="000636C2">
        <w:rPr>
          <w:rFonts w:hint="cs"/>
          <w:rtl/>
        </w:rPr>
        <w:t>:</w:t>
      </w:r>
      <w:r w:rsidRPr="005675B2">
        <w:rPr>
          <w:rFonts w:hint="cs"/>
          <w:rtl/>
        </w:rPr>
        <w:t>لابد هنا من ال</w:t>
      </w:r>
      <w:r w:rsidR="000636C2">
        <w:rPr>
          <w:rFonts w:hint="cs"/>
          <w:rtl/>
        </w:rPr>
        <w:t>(</w:t>
      </w:r>
      <w:r>
        <w:rPr>
          <w:rFonts w:hint="cs"/>
          <w:rtl/>
        </w:rPr>
        <w:t>تنبيه</w:t>
      </w:r>
      <w:r w:rsidR="000636C2">
        <w:rPr>
          <w:rFonts w:hint="cs"/>
          <w:rtl/>
        </w:rPr>
        <w:t>)</w:t>
      </w:r>
      <w:r w:rsidRPr="005675B2">
        <w:rPr>
          <w:rFonts w:hint="cs"/>
          <w:rtl/>
        </w:rPr>
        <w:t xml:space="preserve"> على أمور</w:t>
      </w:r>
      <w:r w:rsidR="000636C2">
        <w:rPr>
          <w:rFonts w:hint="cs"/>
          <w:rtl/>
        </w:rPr>
        <w:t>: (</w:t>
      </w:r>
      <w:r w:rsidRPr="005675B2">
        <w:rPr>
          <w:rFonts w:hint="cs"/>
          <w:rtl/>
        </w:rPr>
        <w:t>الأول</w:t>
      </w:r>
      <w:r w:rsidR="000636C2">
        <w:rPr>
          <w:rFonts w:hint="cs"/>
          <w:rtl/>
        </w:rPr>
        <w:t>):</w:t>
      </w:r>
      <w:r w:rsidRPr="005675B2">
        <w:rPr>
          <w:rFonts w:hint="cs"/>
          <w:rtl/>
        </w:rPr>
        <w:t xml:space="preserve"> أنه من المقرر عند أهل النظر</w:t>
      </w:r>
      <w:r w:rsidR="000636C2">
        <w:rPr>
          <w:rFonts w:hint="cs"/>
          <w:rtl/>
        </w:rPr>
        <w:t xml:space="preserve"> </w:t>
      </w:r>
      <w:r w:rsidRPr="005675B2">
        <w:rPr>
          <w:rFonts w:hint="cs"/>
          <w:rtl/>
        </w:rPr>
        <w:t>- ومنهم الأشاعرة</w:t>
      </w:r>
      <w:r w:rsidR="000636C2">
        <w:rPr>
          <w:rFonts w:hint="cs"/>
          <w:rtl/>
        </w:rPr>
        <w:t xml:space="preserve"> </w:t>
      </w:r>
      <w:r w:rsidRPr="005675B2">
        <w:rPr>
          <w:rFonts w:hint="cs"/>
          <w:rtl/>
        </w:rPr>
        <w:t>- أن أسباب العلم ثلاثة</w:t>
      </w:r>
      <w:r w:rsidR="000636C2">
        <w:rPr>
          <w:rFonts w:hint="cs"/>
          <w:rtl/>
        </w:rPr>
        <w:t>:</w:t>
      </w:r>
      <w:r w:rsidRPr="005675B2">
        <w:rPr>
          <w:rFonts w:hint="cs"/>
          <w:rtl/>
        </w:rPr>
        <w:t xml:space="preserve"> العقل، والحواس السليمة، والخبر الصادق</w:t>
      </w:r>
      <w:r w:rsidR="000636C2">
        <w:rPr>
          <w:rFonts w:hint="cs"/>
          <w:rtl/>
        </w:rPr>
        <w:t>،</w:t>
      </w:r>
      <w:r w:rsidRPr="005675B2">
        <w:rPr>
          <w:rFonts w:hint="cs"/>
          <w:rtl/>
        </w:rPr>
        <w:t xml:space="preserve"> والخبر الصادق هو خبر الله تعالى، وخبر رسوله، وخبر أهل التواتر، والخبر المحتف بالقرائن</w:t>
      </w:r>
      <w:r w:rsidR="000636C2">
        <w:rPr>
          <w:rFonts w:hint="cs"/>
          <w:rtl/>
        </w:rPr>
        <w:t>،</w:t>
      </w:r>
      <w:r w:rsidRPr="005675B2">
        <w:rPr>
          <w:rFonts w:hint="cs"/>
          <w:rtl/>
        </w:rPr>
        <w:t xml:space="preserve"> فمصدر التلقي عند الأشاعرة ليس هو العقل فقط، بل هو الخبر الصادق والعقل</w:t>
      </w:r>
      <w:r w:rsidR="000636C2">
        <w:rPr>
          <w:rFonts w:hint="cs"/>
          <w:rtl/>
        </w:rPr>
        <w:t>،</w:t>
      </w:r>
      <w:r w:rsidRPr="005675B2">
        <w:rPr>
          <w:rFonts w:hint="cs"/>
          <w:rtl/>
        </w:rPr>
        <w:t xml:space="preserve"> قال الغزالي</w:t>
      </w:r>
      <w:r w:rsidR="000636C2">
        <w:rPr>
          <w:rFonts w:hint="cs"/>
          <w:rtl/>
        </w:rPr>
        <w:t>:</w:t>
      </w:r>
      <w:r w:rsidRPr="005675B2">
        <w:rPr>
          <w:rFonts w:hint="cs"/>
          <w:rtl/>
        </w:rPr>
        <w:t xml:space="preserve"> « وأهل النظر في هذا العلم يتمسكون أولا بآيات الله تعالى من القرآن، ثم بأخبار الرسول صلى الله تعالى عليه وآله وسلم، ثم بالدلائل العقلية والبراهين القياسية » </w:t>
      </w:r>
      <w:r w:rsidR="000636C2">
        <w:rPr>
          <w:rFonts w:hint="cs"/>
          <w:rtl/>
        </w:rPr>
        <w:t>[</w:t>
      </w:r>
      <w:r w:rsidRPr="005675B2">
        <w:rPr>
          <w:rFonts w:hint="cs"/>
          <w:sz w:val="24"/>
          <w:szCs w:val="24"/>
          <w:rtl/>
        </w:rPr>
        <w:t>الرسالة اللدنية 106-107]</w:t>
      </w:r>
      <w:r w:rsidRPr="005675B2">
        <w:rPr>
          <w:rFonts w:hint="cs"/>
          <w:rtl/>
        </w:rPr>
        <w:t>، وكيف يكون مصدر التلقي عندهم هو العقل وحده ومن مذهبهم أنه لا مجال للعقل في التحسين والتقبيح، وأنه لا حسن إلا ما حسنه الشرع ولا قبيح إلا ما قبحه الشرع</w:t>
      </w:r>
      <w:r w:rsidR="000636C2">
        <w:rPr>
          <w:rFonts w:hint="cs"/>
          <w:rtl/>
        </w:rPr>
        <w:t>، (</w:t>
      </w:r>
      <w:r w:rsidRPr="005675B2">
        <w:rPr>
          <w:rFonts w:hint="cs"/>
          <w:rtl/>
        </w:rPr>
        <w:t>الثاني</w:t>
      </w:r>
      <w:r w:rsidR="000636C2">
        <w:rPr>
          <w:rFonts w:hint="cs"/>
          <w:rtl/>
        </w:rPr>
        <w:t>):</w:t>
      </w:r>
      <w:r w:rsidRPr="005675B2">
        <w:rPr>
          <w:rFonts w:hint="cs"/>
          <w:rtl/>
        </w:rPr>
        <w:t xml:space="preserve"> أن الإسلام هو دين النقل المؤيد بالعقل، ومن أجل ذلك كان من عادة الله تعالى في كتابه المبين عندما يبين عقيدة من عقائد الإسلام أن يقرنها بذكر دليلها العقلي أو يشير إلى هذا الدليل</w:t>
      </w:r>
      <w:r w:rsidR="000636C2">
        <w:rPr>
          <w:rFonts w:hint="cs"/>
          <w:rtl/>
        </w:rPr>
        <w:t>، (</w:t>
      </w:r>
      <w:r w:rsidRPr="005675B2">
        <w:rPr>
          <w:rFonts w:hint="cs"/>
          <w:rtl/>
        </w:rPr>
        <w:t>الثالث</w:t>
      </w:r>
      <w:r w:rsidR="000636C2">
        <w:rPr>
          <w:rFonts w:hint="cs"/>
          <w:rtl/>
        </w:rPr>
        <w:t>):</w:t>
      </w:r>
      <w:r w:rsidRPr="005675B2">
        <w:rPr>
          <w:rFonts w:hint="cs"/>
          <w:rtl/>
        </w:rPr>
        <w:t xml:space="preserve"> أن التعارض لا يتصور بين العقل والنص القطعي الثبوت القطعي الدلالة، لامتناع التعارض بين يقينيين، وإنما يتصور التعارض بين العقل والنص غير قطعي الثبوت أو غير قطعي الدلالة، كما يتصور التعارض بين هذين النوعين من النصوص، فالذي قرره الأشاعرة من تقديم العقل على النقل مفروض فيما إذا تعارض ما هو ثابت بالعقل ثبوتا قطعيا للنص غير القطعي الثبوت أو غير قطعي الدلالة</w:t>
      </w:r>
      <w:r w:rsidR="000636C2">
        <w:rPr>
          <w:rFonts w:hint="cs"/>
          <w:rtl/>
        </w:rPr>
        <w:t>، (</w:t>
      </w:r>
      <w:r w:rsidRPr="005675B2">
        <w:rPr>
          <w:rFonts w:hint="cs"/>
          <w:rtl/>
        </w:rPr>
        <w:t>الرابع</w:t>
      </w:r>
      <w:r w:rsidR="000636C2">
        <w:rPr>
          <w:rFonts w:hint="cs"/>
          <w:rtl/>
        </w:rPr>
        <w:t>):</w:t>
      </w:r>
      <w:r w:rsidRPr="005675B2">
        <w:rPr>
          <w:rFonts w:hint="cs"/>
          <w:rtl/>
        </w:rPr>
        <w:t xml:space="preserve"> أن أهم أصول العقيدة الإسلامية لا يصح إثباتها إلا بالعقل، وإثباتها بالدلائل النقلية مستلزم للدور المحال؛ وذلك مثل إثبات وجود الله تعالى وعلمه وقدرته ومشيئته وغيرها مما يتوقف عليه ثبوت الوحي</w:t>
      </w:r>
      <w:r w:rsidR="000636C2">
        <w:rPr>
          <w:rFonts w:hint="cs"/>
          <w:rtl/>
        </w:rPr>
        <w:t>،</w:t>
      </w:r>
      <w:r w:rsidRPr="005675B2">
        <w:rPr>
          <w:rFonts w:hint="cs"/>
          <w:rtl/>
        </w:rPr>
        <w:t xml:space="preserve"> فلأن ثبوت النقل موقوف على ثبوت الوحي، وثبوت الوحي موقوف على ثبوتها لا يصح الاستدلال عليها بالنقل</w:t>
      </w:r>
      <w:r w:rsidR="000636C2">
        <w:rPr>
          <w:rFonts w:hint="cs"/>
          <w:rtl/>
        </w:rPr>
        <w:t>،</w:t>
      </w:r>
      <w:r w:rsidRPr="005675B2">
        <w:rPr>
          <w:rFonts w:hint="cs"/>
          <w:rtl/>
        </w:rPr>
        <w:t xml:space="preserve"> والاستدلال عليها بالنقل موجب لتقدم الشيء على نفسه وهو الدور المحال</w:t>
      </w:r>
      <w:r w:rsidR="000636C2">
        <w:rPr>
          <w:rFonts w:hint="cs"/>
          <w:rtl/>
        </w:rPr>
        <w:t xml:space="preserve">، </w:t>
      </w:r>
      <w:r w:rsidRPr="005675B2">
        <w:rPr>
          <w:rFonts w:hint="cs"/>
          <w:rtl/>
        </w:rPr>
        <w:t>وكذلك النبوة إنما يتوقف ثبوتها على المعجزة الدالة عليه بطريق العقل، فكان العقل على هذا أصلا للنقل وشاهدا على صدقه، فإهمال العقل إذا كانت دلالته قطعية، ورد مقتضاه موجب لإنهيار أصل النقل، وللطعن في شاهده الذي لم يثبت إلا به، فيكون هذا إبطالا للنقل</w:t>
      </w:r>
      <w:r w:rsidR="000636C2">
        <w:rPr>
          <w:rFonts w:hint="cs"/>
          <w:rtl/>
        </w:rPr>
        <w:t>،</w:t>
      </w:r>
      <w:r w:rsidRPr="005675B2">
        <w:rPr>
          <w:rFonts w:hint="cs"/>
          <w:rtl/>
        </w:rPr>
        <w:t xml:space="preserve"> والقاعدة</w:t>
      </w:r>
      <w:r w:rsidR="000636C2">
        <w:rPr>
          <w:rFonts w:hint="cs"/>
          <w:rtl/>
        </w:rPr>
        <w:t xml:space="preserve"> </w:t>
      </w:r>
      <w:r w:rsidRPr="005675B2">
        <w:rPr>
          <w:rFonts w:hint="cs"/>
          <w:rtl/>
        </w:rPr>
        <w:t>- كما قلنا - مفروضة فيما إذا تعارض ما هو ثابت بالعقل ثبوتا قطعيا لظاهر نص غير قطعي الثبوت أو غير قطعي الدلالة، وأما النص القطعي الثبوت القطعي الدلالة فلا يتصور التعارض بينه وبين العقل</w:t>
      </w:r>
      <w:r w:rsidR="000636C2">
        <w:rPr>
          <w:rFonts w:hint="cs"/>
          <w:rtl/>
        </w:rPr>
        <w:t xml:space="preserve">، </w:t>
      </w:r>
      <w:r w:rsidRPr="005675B2">
        <w:rPr>
          <w:rFonts w:hint="cs"/>
          <w:rtl/>
        </w:rPr>
        <w:t>فالقاعدة التي قررها الأشاعرة قاعدة ذهبية لا ينبغي أن يختلف فيها اثنان، لكنه مما ينبغي ال</w:t>
      </w:r>
      <w:r w:rsidR="000636C2">
        <w:rPr>
          <w:rFonts w:hint="cs"/>
          <w:rtl/>
        </w:rPr>
        <w:t>(</w:t>
      </w:r>
      <w:r>
        <w:rPr>
          <w:rFonts w:hint="cs"/>
          <w:rtl/>
        </w:rPr>
        <w:t>تنبيه</w:t>
      </w:r>
      <w:r w:rsidR="000636C2">
        <w:rPr>
          <w:rFonts w:hint="cs"/>
          <w:rtl/>
        </w:rPr>
        <w:t>)</w:t>
      </w:r>
      <w:r w:rsidRPr="005675B2">
        <w:rPr>
          <w:rFonts w:hint="cs"/>
          <w:rtl/>
        </w:rPr>
        <w:t xml:space="preserve"> عليه أيضا أن هذه القاعدة قد أسيء استخدامها من قبل بعض المتكلمين ولا سيما المعتزلة منهم، فردوا بها كثيرا من النصوص المتفق على صحتها من السنة، وأولوا بسببها كثيرا من الآيات، وأخرجوها عن ظواهرها، وليس ذلك إلا لمخالفة هذه النصوص وهذه الظواهر لما أدى إليه اجتهادهم العقلي المتأثر بالفلسفة وبعقائده الفاسدة، وليس ذلك لمخالفتها للعقل القطعي الدلالة الذي لا يقبل النقض</w:t>
      </w:r>
      <w:r w:rsidR="000636C2">
        <w:rPr>
          <w:rFonts w:hint="cs"/>
          <w:rtl/>
        </w:rPr>
        <w:t xml:space="preserve">، </w:t>
      </w:r>
      <w:r w:rsidRPr="005675B2">
        <w:rPr>
          <w:rFonts w:hint="cs"/>
          <w:rtl/>
        </w:rPr>
        <w:t>فظهر بهذا التحقيق أن الأشاعرة قد استعملوا العقل في المجال الذي لا يجوز أن يستعمل فيه إلا العقل، ويكون استعمال النقل فيه موجبا للدور والمحال،كمايكون اهمال العقل فيه موجبا لإبطال العقل والنقل جميعا، فهم قد استعملوا العقل في مجاله الذي يجب أن يستعمل فيه، وهذه هي الحكمة، "يؤتي الحكمة من يشاء ومن يؤت الحكمة فقد أوتي خيرا كثيرا"</w:t>
      </w:r>
      <w:r w:rsidR="000636C2">
        <w:rPr>
          <w:rFonts w:hint="cs"/>
          <w:rtl/>
        </w:rPr>
        <w:t xml:space="preserve"> (</w:t>
      </w:r>
      <w:r w:rsidRPr="005675B2">
        <w:rPr>
          <w:rFonts w:hint="cs"/>
          <w:rtl/>
        </w:rPr>
        <w:t>الخامس</w:t>
      </w:r>
      <w:r w:rsidR="000636C2">
        <w:rPr>
          <w:rFonts w:hint="cs"/>
          <w:rtl/>
        </w:rPr>
        <w:t>):</w:t>
      </w:r>
      <w:r w:rsidRPr="005675B2">
        <w:rPr>
          <w:rFonts w:hint="cs"/>
          <w:rtl/>
        </w:rPr>
        <w:t xml:space="preserve"> أن تقديم العقل على النقل إذا عارض العقل النقل، وتأويل النقل بناء على هذا التعارض أورَدَّهُ ليس شيئا انفرد به الأشاعرة بل هو من مقررات العقول؛ وقد قرره أصحاب العلوم المختلفة في علومهم، فمثلا التأويلات التي أول بها السلف جملة من نصوص الكتاب والسنة كثير منها مبنية على مخالفة ظواهر هذه النصوص للعقل، وحتى المحدثون الذين قد يتخيل أنهم أبعد الناس عن هذا التقديم قد قرروا هذا التقديم في مؤلفاتهم وجعلوه من أصولهم، قال الخطيب البغدادي</w:t>
      </w:r>
      <w:r w:rsidR="000636C2">
        <w:rPr>
          <w:rFonts w:hint="cs"/>
          <w:rtl/>
        </w:rPr>
        <w:t>:</w:t>
      </w:r>
      <w:r w:rsidRPr="005675B2">
        <w:rPr>
          <w:rFonts w:hint="cs"/>
          <w:rtl/>
        </w:rPr>
        <w:t xml:space="preserve"> باب القول فيما يرد به خبر الواحد..</w:t>
      </w:r>
      <w:r w:rsidR="000636C2">
        <w:rPr>
          <w:rFonts w:hint="cs"/>
          <w:rtl/>
        </w:rPr>
        <w:t>:</w:t>
      </w:r>
      <w:r w:rsidRPr="005675B2">
        <w:rPr>
          <w:rFonts w:hint="cs"/>
          <w:rtl/>
        </w:rPr>
        <w:t xml:space="preserve"> وإذا روى الثقة المأمون خبرا متصل الإسناد رد بأمور</w:t>
      </w:r>
      <w:r w:rsidR="000636C2">
        <w:rPr>
          <w:rFonts w:hint="cs"/>
          <w:rtl/>
        </w:rPr>
        <w:t>:</w:t>
      </w:r>
      <w:r w:rsidRPr="005675B2">
        <w:rPr>
          <w:rFonts w:hint="cs"/>
          <w:rtl/>
        </w:rPr>
        <w:t xml:space="preserve"> </w:t>
      </w:r>
      <w:r w:rsidR="000636C2">
        <w:rPr>
          <w:rFonts w:hint="cs"/>
          <w:rtl/>
        </w:rPr>
        <w:t>(</w:t>
      </w:r>
      <w:r w:rsidRPr="005675B2">
        <w:rPr>
          <w:rFonts w:hint="cs"/>
          <w:rtl/>
        </w:rPr>
        <w:t>أحدها</w:t>
      </w:r>
      <w:r w:rsidR="000636C2">
        <w:rPr>
          <w:rFonts w:hint="cs"/>
          <w:rtl/>
        </w:rPr>
        <w:t>):</w:t>
      </w:r>
      <w:r w:rsidRPr="005675B2">
        <w:rPr>
          <w:rFonts w:hint="cs"/>
          <w:rtl/>
        </w:rPr>
        <w:t xml:space="preserve"> أن يخالف موجبات العقول فيعلم بطلانه؛ لأن الشرع إنما يرد بمجوزات العقول، وأما بخلاف العقول فلا</w:t>
      </w:r>
      <w:r w:rsidR="000636C2">
        <w:rPr>
          <w:rFonts w:hint="cs"/>
          <w:rtl/>
        </w:rPr>
        <w:t xml:space="preserve">، </w:t>
      </w:r>
      <w:r w:rsidRPr="005675B2">
        <w:rPr>
          <w:rFonts w:hint="cs"/>
          <w:rtl/>
        </w:rPr>
        <w:t xml:space="preserve">و </w:t>
      </w:r>
      <w:r w:rsidR="000636C2">
        <w:rPr>
          <w:rFonts w:hint="cs"/>
          <w:rtl/>
        </w:rPr>
        <w:t>(</w:t>
      </w:r>
      <w:r w:rsidRPr="005675B2">
        <w:rPr>
          <w:rFonts w:hint="cs"/>
          <w:rtl/>
        </w:rPr>
        <w:t>الثاني</w:t>
      </w:r>
      <w:r w:rsidR="000636C2">
        <w:rPr>
          <w:rFonts w:hint="cs"/>
          <w:rtl/>
        </w:rPr>
        <w:t>):</w:t>
      </w:r>
      <w:r w:rsidRPr="005675B2">
        <w:rPr>
          <w:rFonts w:hint="cs"/>
          <w:rtl/>
        </w:rPr>
        <w:t xml:space="preserve"> أن يخالف نص الكتاب أو السنة المتواترة فيعلم انه لا أصل له أو منسوخ</w:t>
      </w:r>
      <w:r w:rsidR="000636C2">
        <w:rPr>
          <w:rFonts w:hint="cs"/>
          <w:rtl/>
        </w:rPr>
        <w:t>،</w:t>
      </w:r>
      <w:r w:rsidRPr="005675B2">
        <w:rPr>
          <w:rFonts w:hint="cs"/>
          <w:rtl/>
        </w:rPr>
        <w:t xml:space="preserve"> و </w:t>
      </w:r>
      <w:r w:rsidR="000636C2">
        <w:rPr>
          <w:rFonts w:hint="cs"/>
          <w:rtl/>
        </w:rPr>
        <w:t>(</w:t>
      </w:r>
      <w:r w:rsidRPr="005675B2">
        <w:rPr>
          <w:rFonts w:hint="cs"/>
          <w:rtl/>
        </w:rPr>
        <w:t>الثالث</w:t>
      </w:r>
      <w:r w:rsidR="000636C2">
        <w:rPr>
          <w:rFonts w:hint="cs"/>
          <w:rtl/>
        </w:rPr>
        <w:t>):</w:t>
      </w:r>
      <w:r w:rsidRPr="005675B2">
        <w:rPr>
          <w:rFonts w:hint="cs"/>
          <w:rtl/>
        </w:rPr>
        <w:t xml:space="preserve"> أن يخالف الإجماع فيستدل على أنه منسوخ أو لا أصل له، انتهى</w:t>
      </w:r>
      <w:r w:rsidR="000636C2">
        <w:rPr>
          <w:rFonts w:hint="cs"/>
          <w:rtl/>
        </w:rPr>
        <w:t xml:space="preserve"> </w:t>
      </w:r>
      <w:r w:rsidRPr="005675B2">
        <w:rPr>
          <w:rFonts w:hint="cs"/>
          <w:rtl/>
        </w:rPr>
        <w:t>[</w:t>
      </w:r>
      <w:r w:rsidRPr="005675B2">
        <w:rPr>
          <w:rFonts w:hint="cs"/>
          <w:sz w:val="24"/>
          <w:szCs w:val="24"/>
          <w:rtl/>
        </w:rPr>
        <w:t>"الفقيه والمتفقه" 1/ 132]</w:t>
      </w:r>
      <w:r w:rsidR="000636C2">
        <w:rPr>
          <w:rFonts w:hint="cs"/>
          <w:rtl/>
        </w:rPr>
        <w:t xml:space="preserve">، </w:t>
      </w:r>
      <w:r w:rsidRPr="005675B2">
        <w:rPr>
          <w:rFonts w:hint="cs"/>
          <w:rtl/>
        </w:rPr>
        <w:t>وأفاجئ الدكتور بأن ابن تيمية أيضا قائل بهذه القاعدة التي قررها الأشاعرة</w:t>
      </w:r>
      <w:r w:rsidR="000636C2">
        <w:rPr>
          <w:rFonts w:hint="cs"/>
          <w:rtl/>
        </w:rPr>
        <w:t>،</w:t>
      </w:r>
      <w:r w:rsidRPr="005675B2">
        <w:rPr>
          <w:rFonts w:hint="cs"/>
          <w:rtl/>
        </w:rPr>
        <w:t xml:space="preserve"> قال في الرسالة التدمرية [</w:t>
      </w:r>
      <w:r w:rsidRPr="005675B2">
        <w:rPr>
          <w:rFonts w:hint="cs"/>
          <w:sz w:val="24"/>
          <w:szCs w:val="24"/>
          <w:rtl/>
        </w:rPr>
        <w:t>23</w:t>
      </w:r>
      <w:r w:rsidRPr="005675B2">
        <w:rPr>
          <w:rFonts w:hint="cs"/>
          <w:rtl/>
        </w:rPr>
        <w:t>] في معرض الإستدلال على أمر من أمور العقيدة</w:t>
      </w:r>
      <w:r w:rsidR="000636C2">
        <w:rPr>
          <w:rFonts w:hint="cs"/>
          <w:rtl/>
        </w:rPr>
        <w:t>:</w:t>
      </w:r>
      <w:r w:rsidRPr="005675B2">
        <w:rPr>
          <w:rFonts w:hint="cs"/>
          <w:rtl/>
        </w:rPr>
        <w:t xml:space="preserve"> "والسمع قد دل عليه، ولم يعارض ذلك معارض عقلي ولا سمعي، فيجب إثبات ما أثبته الدليل السالم عن المعارض المقاوم" ففكر أيها الدكتور في كلام ابن تيمية هذا، أليس معناه أنه إذا عارض هذا الدليل من السمع معارض عقلي لا يَثْبُت ما دل عليه لعدم سلامته عن المعارض الذي هو الدليل العقلي</w:t>
      </w:r>
      <w:r w:rsidR="000636C2">
        <w:rPr>
          <w:rFonts w:hint="cs"/>
          <w:rtl/>
        </w:rPr>
        <w:t>،</w:t>
      </w:r>
      <w:r w:rsidRPr="005675B2">
        <w:rPr>
          <w:rFonts w:hint="cs"/>
          <w:rtl/>
        </w:rPr>
        <w:t xml:space="preserve"> وهل هذا إلا قول بهذه القاعدة التي قررها الأشاعرة</w:t>
      </w:r>
      <w:r w:rsidR="000636C2">
        <w:rPr>
          <w:rFonts w:hint="cs"/>
          <w:rtl/>
        </w:rPr>
        <w:t>؟!</w:t>
      </w:r>
      <w:r w:rsidRPr="005675B2">
        <w:rPr>
          <w:rFonts w:hint="cs"/>
          <w:rtl/>
        </w:rPr>
        <w:t>! ذكر الدكتور قول الإمام الرازي</w:t>
      </w:r>
      <w:r w:rsidR="000636C2">
        <w:rPr>
          <w:rFonts w:hint="cs"/>
          <w:rtl/>
        </w:rPr>
        <w:t>:</w:t>
      </w:r>
      <w:r w:rsidRPr="005675B2">
        <w:rPr>
          <w:rFonts w:hint="cs"/>
          <w:rtl/>
        </w:rPr>
        <w:t xml:space="preserve"> {"ولما بطلت الأقسام الثلاثة لم يبق إلا أن يقطع بمقتضى الدلائل العقلية القاطعة بان هذه الدلائل النقلية إما أن يقال إنها غير صحيحة أو يقال إنها صحيحة إلا أن المراد منها غير ظواهرها"</w:t>
      </w:r>
      <w:r w:rsidR="000636C2">
        <w:rPr>
          <w:rFonts w:hint="cs"/>
          <w:rtl/>
        </w:rPr>
        <w:t>،</w:t>
      </w:r>
      <w:r w:rsidRPr="005675B2">
        <w:rPr>
          <w:rFonts w:hint="cs"/>
          <w:rtl/>
        </w:rPr>
        <w:t xml:space="preserve"> فعلق الدكتور عليها بالحاشية رقم </w:t>
      </w:r>
      <w:r w:rsidR="000636C2">
        <w:rPr>
          <w:rFonts w:hint="cs"/>
          <w:rtl/>
        </w:rPr>
        <w:t>(</w:t>
      </w:r>
      <w:r w:rsidRPr="005675B2">
        <w:rPr>
          <w:rFonts w:hint="cs"/>
          <w:rtl/>
        </w:rPr>
        <w:t>1</w:t>
      </w:r>
      <w:r w:rsidR="000636C2">
        <w:rPr>
          <w:rFonts w:hint="cs"/>
          <w:rtl/>
        </w:rPr>
        <w:t>)</w:t>
      </w:r>
      <w:r w:rsidRPr="005675B2">
        <w:rPr>
          <w:rFonts w:hint="cs"/>
          <w:rtl/>
        </w:rPr>
        <w:t xml:space="preserve"> بقوله</w:t>
      </w:r>
      <w:r w:rsidR="000636C2">
        <w:rPr>
          <w:rFonts w:hint="cs"/>
          <w:rtl/>
        </w:rPr>
        <w:t>:</w:t>
      </w:r>
      <w:r w:rsidRPr="005675B2">
        <w:rPr>
          <w:rFonts w:hint="cs"/>
          <w:rtl/>
        </w:rPr>
        <w:t xml:space="preserve"> يلاحظ أن الدلائل النقلية تشمل نصوص الكتاب والسنة معا</w:t>
      </w:r>
      <w:r w:rsidR="000636C2">
        <w:rPr>
          <w:rFonts w:hint="cs"/>
          <w:rtl/>
        </w:rPr>
        <w:t>،</w:t>
      </w:r>
      <w:r w:rsidRPr="005675B2">
        <w:rPr>
          <w:rFonts w:hint="cs"/>
          <w:rtl/>
        </w:rPr>
        <w:t xml:space="preserve"> فكيف يقال إنها غير صحيحة دون تفريق بينهما، مع أن مجرد إطلاقها على السنة وحدها في غاية الخطورة "</w:t>
      </w:r>
      <w:r w:rsidR="000636C2">
        <w:rPr>
          <w:rFonts w:hint="cs"/>
          <w:rtl/>
        </w:rPr>
        <w:t xml:space="preserve">، </w:t>
      </w:r>
      <w:r w:rsidRPr="005675B2">
        <w:rPr>
          <w:rFonts w:hint="cs"/>
          <w:rtl/>
        </w:rPr>
        <w:t>أقول</w:t>
      </w:r>
      <w:r w:rsidR="000636C2">
        <w:rPr>
          <w:rFonts w:hint="cs"/>
          <w:rtl/>
        </w:rPr>
        <w:t>:</w:t>
      </w:r>
      <w:r w:rsidRPr="005675B2">
        <w:rPr>
          <w:rFonts w:hint="cs"/>
          <w:rtl/>
        </w:rPr>
        <w:t xml:space="preserve"> من المقرر أن الأحكام والصفات إنما تعود لما تصلح أن تكون حكما عليه وصفة له</w:t>
      </w:r>
      <w:r w:rsidR="000636C2">
        <w:rPr>
          <w:rFonts w:hint="cs"/>
          <w:rtl/>
        </w:rPr>
        <w:t>،</w:t>
      </w:r>
      <w:r w:rsidRPr="005675B2">
        <w:rPr>
          <w:rFonts w:hint="cs"/>
          <w:rtl/>
        </w:rPr>
        <w:t xml:space="preserve"> وما يصلح أن يحكم عليه بعدم الصحة من الدلائل النقلية هي ما تسمى بالأحاديث، وليس الكتاب، ثم أي خطورة في الحكم على ما لم يصح من الأحاديث بأنها غير صحيحة</w:t>
      </w:r>
      <w:r w:rsidR="000636C2">
        <w:rPr>
          <w:rFonts w:hint="cs"/>
          <w:rtl/>
        </w:rPr>
        <w:t>؟</w:t>
      </w:r>
      <w:r w:rsidRPr="005675B2">
        <w:rPr>
          <w:rFonts w:hint="cs"/>
          <w:rtl/>
        </w:rPr>
        <w:t xml:space="preserve"> وهل كان واجب العلماء أي يتوقفوا عن نقد الأحاديث</w:t>
      </w:r>
      <w:r w:rsidR="000636C2">
        <w:rPr>
          <w:rFonts w:hint="cs"/>
          <w:rtl/>
        </w:rPr>
        <w:t>؟!</w:t>
      </w:r>
      <w:r w:rsidRPr="005675B2">
        <w:rPr>
          <w:rFonts w:hint="cs"/>
          <w:rtl/>
        </w:rPr>
        <w:t>! .. ولكن الدكتور لا يرغب في أن يفهم الكلام على وجهه</w:t>
      </w:r>
      <w:r w:rsidR="000636C2">
        <w:rPr>
          <w:rFonts w:hint="cs"/>
          <w:rtl/>
        </w:rPr>
        <w:t xml:space="preserve">!، </w:t>
      </w:r>
      <w:r w:rsidRPr="005675B2">
        <w:rPr>
          <w:rFonts w:hint="cs"/>
          <w:rtl/>
        </w:rPr>
        <w:t>ثم ذكر الدكتور قول الإمام الرازي</w:t>
      </w:r>
      <w:r w:rsidR="000636C2">
        <w:rPr>
          <w:rFonts w:hint="cs"/>
          <w:rtl/>
        </w:rPr>
        <w:t>:</w:t>
      </w:r>
      <w:r w:rsidRPr="005675B2">
        <w:rPr>
          <w:rFonts w:hint="cs"/>
          <w:rtl/>
        </w:rPr>
        <w:t xml:space="preserve"> {"ثم إن جوزنا التأويل اشتغلنا على سبيل التبرع بذكر تلك التأويلات على التفصيل، وإن لم يجز التأويل فوضنا العلم بها إلى الله تعالى"</w:t>
      </w:r>
      <w:r w:rsidR="000636C2">
        <w:rPr>
          <w:rFonts w:hint="cs"/>
          <w:rtl/>
        </w:rPr>
        <w:t>،</w:t>
      </w:r>
      <w:r w:rsidRPr="005675B2">
        <w:rPr>
          <w:rFonts w:hint="cs"/>
          <w:rtl/>
        </w:rPr>
        <w:t xml:space="preserve"> ثم علق الدكتور عليه بالحاشية رقم </w:t>
      </w:r>
      <w:r w:rsidR="000636C2">
        <w:rPr>
          <w:rFonts w:hint="cs"/>
          <w:rtl/>
        </w:rPr>
        <w:t>(</w:t>
      </w:r>
      <w:r w:rsidRPr="005675B2">
        <w:rPr>
          <w:rFonts w:hint="cs"/>
          <w:rtl/>
        </w:rPr>
        <w:t>2</w:t>
      </w:r>
      <w:r w:rsidR="000636C2">
        <w:rPr>
          <w:rFonts w:hint="cs"/>
          <w:rtl/>
        </w:rPr>
        <w:t>)</w:t>
      </w:r>
      <w:r w:rsidRPr="005675B2">
        <w:rPr>
          <w:rFonts w:hint="cs"/>
          <w:rtl/>
        </w:rPr>
        <w:t xml:space="preserve"> فقال</w:t>
      </w:r>
      <w:r w:rsidR="000636C2">
        <w:rPr>
          <w:rFonts w:hint="cs"/>
          <w:rtl/>
        </w:rPr>
        <w:t>:</w:t>
      </w:r>
      <w:r w:rsidRPr="005675B2">
        <w:rPr>
          <w:rFonts w:hint="cs"/>
          <w:rtl/>
        </w:rPr>
        <w:t xml:space="preserve"> هل وصلت قيمة نصوص الوحي إلى حد أن الاشتغال بتأويلها - الذي هو تحريف لها - يعتبر تبرعا وإحسانا</w:t>
      </w:r>
      <w:r w:rsidR="000636C2">
        <w:rPr>
          <w:rFonts w:hint="cs"/>
          <w:rtl/>
        </w:rPr>
        <w:t>؟!</w:t>
      </w:r>
      <w:r w:rsidRPr="005675B2">
        <w:rPr>
          <w:rFonts w:hint="cs"/>
          <w:rtl/>
        </w:rPr>
        <w:t xml:space="preserve"> "</w:t>
      </w:r>
      <w:r w:rsidR="000636C2">
        <w:rPr>
          <w:rFonts w:hint="cs"/>
          <w:rtl/>
        </w:rPr>
        <w:t>،</w:t>
      </w:r>
      <w:r w:rsidRPr="005675B2">
        <w:rPr>
          <w:rFonts w:hint="cs"/>
          <w:rtl/>
        </w:rPr>
        <w:t xml:space="preserve"> أقول</w:t>
      </w:r>
      <w:r w:rsidR="000636C2">
        <w:rPr>
          <w:rFonts w:hint="cs"/>
          <w:rtl/>
        </w:rPr>
        <w:t>:</w:t>
      </w:r>
      <w:r w:rsidRPr="005675B2">
        <w:rPr>
          <w:rFonts w:hint="cs"/>
          <w:rtl/>
        </w:rPr>
        <w:t xml:space="preserve"> ليس مراد الإمام بالتبرع الإحسان؛ بل مراده به مقابل الوجوب، وهل التأويل واجب أيها الدكتور</w:t>
      </w:r>
      <w:r w:rsidR="000636C2">
        <w:rPr>
          <w:rFonts w:hint="cs"/>
          <w:rtl/>
        </w:rPr>
        <w:t>؟!</w:t>
      </w:r>
      <w:r w:rsidRPr="005675B2">
        <w:rPr>
          <w:rFonts w:hint="cs"/>
          <w:rtl/>
        </w:rPr>
        <w:t xml:space="preserve"> ثم انه ليس كل تأويل تحريفا، بل منه ما هو تحريف، ومنه ما هو بيان للمعنى المقصود، وهذا الأخير هو الذي قصده الإمام، ولكن الدكتور مبتلى بسوء الظن بأئمة السنة</w:t>
      </w:r>
      <w:r w:rsidR="000636C2">
        <w:rPr>
          <w:rFonts w:hint="cs"/>
          <w:rtl/>
        </w:rPr>
        <w:t>،</w:t>
      </w:r>
    </w:p>
    <w:p w14:paraId="0267173D" w14:textId="55171E0D" w:rsidR="009C32A0" w:rsidRPr="005675B2" w:rsidRDefault="009C32A0" w:rsidP="000636C2">
      <w:pPr>
        <w:rPr>
          <w:b/>
        </w:rPr>
      </w:pPr>
      <w:r w:rsidRPr="005675B2">
        <w:rPr>
          <w:rFonts w:hint="cs"/>
          <w:rtl/>
        </w:rPr>
        <w:t>26 - الأخذ بظواهر بعض النصوص إلحاد وضلالة</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{ويقول </w:t>
      </w:r>
      <w:r w:rsidR="000636C2">
        <w:rPr>
          <w:rFonts w:hint="cs"/>
          <w:rtl/>
        </w:rPr>
        <w:t>(</w:t>
      </w:r>
      <w:r w:rsidRPr="005675B2">
        <w:rPr>
          <w:rFonts w:hint="cs"/>
          <w:rtl/>
        </w:rPr>
        <w:t>السنوسي</w:t>
      </w:r>
      <w:r w:rsidR="000636C2">
        <w:rPr>
          <w:rFonts w:hint="cs"/>
          <w:rtl/>
        </w:rPr>
        <w:t>):</w:t>
      </w:r>
      <w:r w:rsidRPr="005675B2">
        <w:rPr>
          <w:rFonts w:hint="cs"/>
          <w:rtl/>
        </w:rPr>
        <w:t xml:space="preserve"> أصول الكفر ستة .. ذكر منها خمسة، ثم قال</w:t>
      </w:r>
      <w:r w:rsidR="000636C2">
        <w:rPr>
          <w:rFonts w:hint="cs"/>
          <w:rtl/>
        </w:rPr>
        <w:t>: (</w:t>
      </w:r>
      <w:r w:rsidRPr="005675B2">
        <w:rPr>
          <w:rFonts w:hint="cs"/>
          <w:rtl/>
        </w:rPr>
        <w:t>سادسا</w:t>
      </w:r>
      <w:r w:rsidR="000636C2">
        <w:rPr>
          <w:rFonts w:hint="cs"/>
          <w:rtl/>
        </w:rPr>
        <w:t>):</w:t>
      </w:r>
      <w:r w:rsidRPr="005675B2">
        <w:rPr>
          <w:rFonts w:hint="cs"/>
          <w:rtl/>
        </w:rPr>
        <w:t xml:space="preserve"> التمسك في أصول العقائد بمجرد ظواهر الكتاب والسنة من غير عرضها على البراهين العقلية والقواطع الشرعية "</w:t>
      </w:r>
      <w:r w:rsidR="000636C2">
        <w:rPr>
          <w:rFonts w:hint="cs"/>
          <w:rtl/>
        </w:rPr>
        <w:t xml:space="preserve">، </w:t>
      </w:r>
      <w:r w:rsidRPr="005675B2">
        <w:rPr>
          <w:rFonts w:hint="cs"/>
          <w:spacing w:val="-10"/>
          <w:rtl/>
        </w:rPr>
        <w:t>أقول</w:t>
      </w:r>
      <w:r w:rsidR="000636C2">
        <w:rPr>
          <w:rFonts w:hint="cs"/>
          <w:spacing w:val="-10"/>
          <w:rtl/>
        </w:rPr>
        <w:t>:</w:t>
      </w:r>
      <w:r w:rsidRPr="005675B2">
        <w:rPr>
          <w:rFonts w:hint="cs"/>
          <w:spacing w:val="-10"/>
          <w:rtl/>
        </w:rPr>
        <w:t xml:space="preserve"> لكي نفهم معنى ما قاله السنوسي أذكر بعض التطبيقات له لنفهم المراد منه</w:t>
      </w:r>
      <w:r w:rsidR="000636C2">
        <w:rPr>
          <w:rFonts w:hint="cs"/>
          <w:spacing w:val="-10"/>
          <w:rtl/>
        </w:rPr>
        <w:t>:</w:t>
      </w:r>
      <w:r w:rsidRPr="005675B2">
        <w:rPr>
          <w:rFonts w:hint="cs"/>
          <w:spacing w:val="-10"/>
          <w:rtl/>
        </w:rPr>
        <w:t xml:space="preserve"> قال الله تعالى</w:t>
      </w:r>
      <w:r w:rsidR="000636C2">
        <w:rPr>
          <w:rFonts w:hint="cs"/>
          <w:spacing w:val="-10"/>
          <w:rtl/>
        </w:rPr>
        <w:t>:</w:t>
      </w:r>
      <w:r w:rsidRPr="005675B2">
        <w:rPr>
          <w:rFonts w:hint="cs"/>
          <w:spacing w:val="-10"/>
          <w:rtl/>
        </w:rPr>
        <w:t xml:space="preserve"> </w:t>
      </w:r>
      <w:r w:rsidR="000636C2">
        <w:rPr>
          <w:rFonts w:hint="cs"/>
          <w:spacing w:val="-10"/>
          <w:rtl/>
        </w:rPr>
        <w:t>(</w:t>
      </w:r>
      <w:r w:rsidRPr="005675B2">
        <w:rPr>
          <w:rFonts w:hint="cs"/>
          <w:spacing w:val="-10"/>
          <w:rtl/>
        </w:rPr>
        <w:t>فاليوم ننساهم كما نسوا لقاء يومهم هذا</w:t>
      </w:r>
      <w:r w:rsidR="000636C2">
        <w:rPr>
          <w:rFonts w:hint="cs"/>
          <w:spacing w:val="-10"/>
          <w:rtl/>
        </w:rPr>
        <w:t>)</w:t>
      </w:r>
      <w:r w:rsidRPr="005675B2">
        <w:rPr>
          <w:rFonts w:hint="cs"/>
          <w:spacing w:val="-10"/>
          <w:rtl/>
        </w:rPr>
        <w:t xml:space="preserve"> وقال تعالى</w:t>
      </w:r>
      <w:r w:rsidR="000636C2">
        <w:rPr>
          <w:rFonts w:hint="cs"/>
          <w:spacing w:val="-10"/>
          <w:rtl/>
        </w:rPr>
        <w:t>:</w:t>
      </w:r>
      <w:r w:rsidRPr="005675B2">
        <w:rPr>
          <w:rFonts w:hint="cs"/>
          <w:spacing w:val="-10"/>
          <w:rtl/>
        </w:rPr>
        <w:t xml:space="preserve"> </w:t>
      </w:r>
      <w:r w:rsidR="000636C2">
        <w:rPr>
          <w:rFonts w:hint="cs"/>
          <w:spacing w:val="-10"/>
          <w:rtl/>
        </w:rPr>
        <w:t>(</w:t>
      </w:r>
      <w:r w:rsidRPr="005675B2">
        <w:rPr>
          <w:rFonts w:hint="cs"/>
          <w:spacing w:val="-10"/>
          <w:rtl/>
        </w:rPr>
        <w:t>فذوقوا بما نسيتم لقاء يومكم هذا إنا نسيناكم</w:t>
      </w:r>
      <w:r w:rsidR="000636C2">
        <w:rPr>
          <w:rFonts w:hint="cs"/>
          <w:spacing w:val="-10"/>
          <w:rtl/>
        </w:rPr>
        <w:t>)</w:t>
      </w:r>
      <w:r w:rsidRPr="005675B2">
        <w:rPr>
          <w:rFonts w:hint="cs"/>
          <w:spacing w:val="-10"/>
          <w:rtl/>
        </w:rPr>
        <w:t xml:space="preserve"> وقال تعالى</w:t>
      </w:r>
      <w:r w:rsidR="000636C2">
        <w:rPr>
          <w:rFonts w:hint="cs"/>
          <w:spacing w:val="-10"/>
          <w:rtl/>
        </w:rPr>
        <w:t>:</w:t>
      </w:r>
      <w:r w:rsidRPr="005675B2">
        <w:rPr>
          <w:rFonts w:hint="cs"/>
          <w:spacing w:val="-10"/>
          <w:rtl/>
        </w:rPr>
        <w:t xml:space="preserve"> </w:t>
      </w:r>
      <w:r w:rsidR="000636C2">
        <w:rPr>
          <w:rFonts w:hint="cs"/>
          <w:spacing w:val="-10"/>
          <w:rtl/>
        </w:rPr>
        <w:t>(</w:t>
      </w:r>
      <w:r w:rsidRPr="005675B2">
        <w:rPr>
          <w:rFonts w:hint="cs"/>
          <w:spacing w:val="-10"/>
          <w:rtl/>
        </w:rPr>
        <w:t>وهو معكم أينما كنتم</w:t>
      </w:r>
      <w:r w:rsidR="000636C2">
        <w:rPr>
          <w:rFonts w:hint="cs"/>
          <w:spacing w:val="-10"/>
          <w:rtl/>
        </w:rPr>
        <w:t>)</w:t>
      </w:r>
      <w:r w:rsidRPr="005675B2">
        <w:rPr>
          <w:rFonts w:hint="cs"/>
          <w:spacing w:val="-10"/>
          <w:rtl/>
        </w:rPr>
        <w:t>، وقال تعالى</w:t>
      </w:r>
      <w:r w:rsidR="000636C2">
        <w:rPr>
          <w:rFonts w:hint="cs"/>
          <w:spacing w:val="-10"/>
          <w:rtl/>
        </w:rPr>
        <w:t>:</w:t>
      </w:r>
      <w:r w:rsidRPr="005675B2">
        <w:rPr>
          <w:rFonts w:hint="cs"/>
          <w:spacing w:val="-10"/>
          <w:rtl/>
        </w:rPr>
        <w:t xml:space="preserve"> </w:t>
      </w:r>
      <w:r w:rsidR="000636C2">
        <w:rPr>
          <w:rFonts w:hint="cs"/>
          <w:spacing w:val="-10"/>
          <w:rtl/>
        </w:rPr>
        <w:t>(</w:t>
      </w:r>
      <w:r w:rsidRPr="005675B2">
        <w:rPr>
          <w:rFonts w:hint="cs"/>
          <w:spacing w:val="-10"/>
          <w:rtl/>
        </w:rPr>
        <w:t>والله من ورائهم محيط</w:t>
      </w:r>
      <w:r w:rsidR="000636C2">
        <w:rPr>
          <w:rFonts w:hint="cs"/>
          <w:spacing w:val="-10"/>
          <w:rtl/>
        </w:rPr>
        <w:t>)</w:t>
      </w:r>
      <w:r w:rsidRPr="005675B2">
        <w:rPr>
          <w:rFonts w:hint="cs"/>
          <w:spacing w:val="-10"/>
          <w:rtl/>
        </w:rPr>
        <w:t xml:space="preserve"> وقال النبي صلى الله تعالى عليه وآله وسلم</w:t>
      </w:r>
      <w:r w:rsidR="000636C2">
        <w:rPr>
          <w:rFonts w:hint="cs"/>
          <w:spacing w:val="-10"/>
          <w:rtl/>
        </w:rPr>
        <w:t>:</w:t>
      </w:r>
      <w:r w:rsidRPr="005675B2">
        <w:rPr>
          <w:rFonts w:hint="cs"/>
          <w:spacing w:val="-10"/>
          <w:rtl/>
        </w:rPr>
        <w:t xml:space="preserve"> </w:t>
      </w:r>
      <w:r w:rsidR="000636C2">
        <w:rPr>
          <w:rFonts w:hint="cs"/>
          <w:spacing w:val="-10"/>
          <w:rtl/>
        </w:rPr>
        <w:t>(</w:t>
      </w:r>
      <w:r w:rsidRPr="005675B2">
        <w:rPr>
          <w:rFonts w:hint="cs"/>
          <w:spacing w:val="-10"/>
          <w:rtl/>
        </w:rPr>
        <w:t>قلب ابن آدم بين أصبعين من أصابع الرحمن</w:t>
      </w:r>
      <w:r w:rsidR="000636C2">
        <w:rPr>
          <w:rFonts w:hint="cs"/>
          <w:spacing w:val="-10"/>
          <w:rtl/>
        </w:rPr>
        <w:t>)</w:t>
      </w:r>
      <w:r w:rsidRPr="005675B2">
        <w:rPr>
          <w:rFonts w:hint="cs"/>
          <w:spacing w:val="-10"/>
          <w:rtl/>
        </w:rPr>
        <w:t xml:space="preserve"> أو كما قال</w:t>
      </w:r>
      <w:r w:rsidR="000636C2">
        <w:rPr>
          <w:rFonts w:hint="cs"/>
          <w:spacing w:val="-10"/>
          <w:rtl/>
        </w:rPr>
        <w:t xml:space="preserve">، </w:t>
      </w:r>
      <w:r w:rsidRPr="005675B2">
        <w:rPr>
          <w:rFonts w:hint="cs"/>
          <w:rtl/>
        </w:rPr>
        <w:t>فظاهر الآيتين الأوليين ثبوت النسيان لله تعالى، فهل النسيان من صفات الله، تعالى الله عن ذلك علوا كبيرا، وظاهر الآية الثالثة المعية الذاتية كما أن ظاهر الآية الرابعة هو الإحاطة الذاتية</w:t>
      </w:r>
      <w:r w:rsidR="000636C2">
        <w:rPr>
          <w:rFonts w:hint="cs"/>
          <w:rtl/>
        </w:rPr>
        <w:t xml:space="preserve">، </w:t>
      </w:r>
      <w:r w:rsidRPr="005675B2">
        <w:rPr>
          <w:rFonts w:hint="cs"/>
          <w:rtl/>
        </w:rPr>
        <w:t>والحديث بظاهره فيه إثبات الأصبعين لله تعالى ثم إثبات الأصابع له، ويفيد أن قلب الإنسان بين إصبعين لله تعالى والمتبادر البينية الحقيقية، وإذا أقر الحديث على ظاهره أثبتنا لله مليارات الأصابع، وروى مسلم عن أبي هريرة رضي الله عنه أن رسول الله صلى الله تعالى عليه وآله وسلم قال</w:t>
      </w:r>
      <w:r w:rsidR="000636C2">
        <w:rPr>
          <w:rFonts w:hint="cs"/>
          <w:rtl/>
        </w:rPr>
        <w:t>:</w:t>
      </w:r>
      <w:r w:rsidRPr="005675B2">
        <w:rPr>
          <w:rFonts w:hint="cs"/>
          <w:rtl/>
        </w:rPr>
        <w:t xml:space="preserve"> </w:t>
      </w:r>
      <w:r w:rsidR="000636C2">
        <w:rPr>
          <w:rFonts w:hint="cs"/>
          <w:rtl/>
        </w:rPr>
        <w:t>(</w:t>
      </w:r>
      <w:r w:rsidRPr="005675B2">
        <w:rPr>
          <w:rFonts w:hint="cs"/>
          <w:rtl/>
        </w:rPr>
        <w:t>إن الله عز وجل يقول يوم القيامة</w:t>
      </w:r>
      <w:r w:rsidR="000636C2">
        <w:rPr>
          <w:rFonts w:hint="cs"/>
          <w:rtl/>
        </w:rPr>
        <w:t>:</w:t>
      </w:r>
      <w:r w:rsidRPr="005675B2">
        <w:rPr>
          <w:rFonts w:hint="cs"/>
          <w:rtl/>
        </w:rPr>
        <w:t xml:space="preserve"> يا ابن آدم مرضت فلم تعدنى</w:t>
      </w:r>
      <w:r w:rsidR="000636C2">
        <w:rPr>
          <w:rFonts w:hint="cs"/>
          <w:rtl/>
        </w:rPr>
        <w:t>!</w:t>
      </w:r>
      <w:r w:rsidRPr="005675B2">
        <w:rPr>
          <w:rFonts w:hint="cs"/>
          <w:rtl/>
        </w:rPr>
        <w:t xml:space="preserve"> قال</w:t>
      </w:r>
      <w:r w:rsidR="000636C2">
        <w:rPr>
          <w:rFonts w:hint="cs"/>
          <w:rtl/>
        </w:rPr>
        <w:t>:</w:t>
      </w:r>
      <w:r w:rsidRPr="005675B2">
        <w:rPr>
          <w:rFonts w:hint="cs"/>
          <w:rtl/>
        </w:rPr>
        <w:t xml:space="preserve"> يا رب كيف أعودك وأنت رب العالمين</w:t>
      </w:r>
      <w:r w:rsidR="000636C2">
        <w:rPr>
          <w:rFonts w:hint="cs"/>
          <w:rtl/>
        </w:rPr>
        <w:t>!</w:t>
      </w:r>
      <w:r w:rsidRPr="005675B2">
        <w:rPr>
          <w:rFonts w:hint="cs"/>
          <w:rtl/>
        </w:rPr>
        <w:t xml:space="preserve"> قال</w:t>
      </w:r>
      <w:r w:rsidR="000636C2">
        <w:rPr>
          <w:rFonts w:hint="cs"/>
          <w:rtl/>
        </w:rPr>
        <w:t>:</w:t>
      </w:r>
      <w:r w:rsidRPr="005675B2">
        <w:rPr>
          <w:rFonts w:hint="cs"/>
          <w:rtl/>
        </w:rPr>
        <w:t xml:space="preserve"> أما علمت أن عبدى فلانا مرض فلم تعده</w:t>
      </w:r>
      <w:r w:rsidR="000636C2">
        <w:rPr>
          <w:rFonts w:hint="cs"/>
          <w:rtl/>
        </w:rPr>
        <w:t>!</w:t>
      </w:r>
      <w:r w:rsidRPr="005675B2">
        <w:rPr>
          <w:rFonts w:hint="cs"/>
          <w:rtl/>
        </w:rPr>
        <w:t xml:space="preserve"> أما علمت أنك لو عدته لوجدتنى عنده</w:t>
      </w:r>
      <w:r w:rsidR="000636C2">
        <w:rPr>
          <w:rFonts w:hint="cs"/>
          <w:rtl/>
        </w:rPr>
        <w:t>)</w:t>
      </w:r>
      <w:r w:rsidRPr="005675B2">
        <w:rPr>
          <w:rFonts w:hint="cs"/>
          <w:rtl/>
        </w:rPr>
        <w:t xml:space="preserve"> فهل من صفات الله تعالى المرض، وقد اسند إليه في هذا الحديث</w:t>
      </w:r>
      <w:r w:rsidR="000636C2">
        <w:rPr>
          <w:rFonts w:hint="cs"/>
          <w:rtl/>
        </w:rPr>
        <w:t>؟!</w:t>
      </w:r>
      <w:r w:rsidRPr="005675B2">
        <w:rPr>
          <w:rFonts w:hint="cs"/>
          <w:rtl/>
        </w:rPr>
        <w:t xml:space="preserve"> فما أضيف لله تعالى في هذه النصوص كلها محالة على الله تعالى</w:t>
      </w:r>
      <w:r w:rsidR="000636C2">
        <w:rPr>
          <w:rFonts w:hint="cs"/>
          <w:rtl/>
        </w:rPr>
        <w:t>،</w:t>
      </w:r>
      <w:r w:rsidRPr="005675B2">
        <w:rPr>
          <w:rFonts w:hint="cs"/>
          <w:rtl/>
        </w:rPr>
        <w:t xml:space="preserve"> والأخذ بظواهر هذه النصوص كفر وإلحاد، أو بدعة وضلال</w:t>
      </w:r>
      <w:r w:rsidR="000636C2">
        <w:rPr>
          <w:rFonts w:hint="cs"/>
          <w:rtl/>
        </w:rPr>
        <w:t xml:space="preserve">، </w:t>
      </w:r>
      <w:r w:rsidRPr="005675B2">
        <w:rPr>
          <w:rFonts w:hint="cs"/>
          <w:rtl/>
        </w:rPr>
        <w:t>هذه نماذج وأمثلة لذلك، ونظائرها كثيرة</w:t>
      </w:r>
      <w:r w:rsidR="000636C2">
        <w:rPr>
          <w:rFonts w:hint="cs"/>
          <w:rtl/>
        </w:rPr>
        <w:t>،</w:t>
      </w:r>
    </w:p>
    <w:p w14:paraId="47F3345C" w14:textId="4D9134B4" w:rsidR="009C32A0" w:rsidRPr="005675B2" w:rsidRDefault="009C32A0" w:rsidP="000636C2">
      <w:pPr>
        <w:rPr>
          <w:b/>
          <w:rtl/>
        </w:rPr>
      </w:pPr>
      <w:r w:rsidRPr="005675B2">
        <w:rPr>
          <w:rFonts w:hint="cs"/>
          <w:rtl/>
        </w:rPr>
        <w:t>27 - الإستدلال بالخطاب هل يفيد القطع</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w:t>
      </w:r>
      <w:r w:rsidR="000636C2">
        <w:rPr>
          <w:rFonts w:hint="cs"/>
          <w:rtl/>
        </w:rPr>
        <w:t xml:space="preserve"> </w:t>
      </w:r>
      <w:r w:rsidRPr="005675B2">
        <w:rPr>
          <w:rFonts w:hint="cs"/>
          <w:rtl/>
        </w:rPr>
        <w:t xml:space="preserve">ب - صرح متكلموهم .. ومنهم من سبق في فقرة </w:t>
      </w:r>
      <w:r w:rsidR="000636C2">
        <w:rPr>
          <w:rFonts w:hint="cs"/>
          <w:rtl/>
        </w:rPr>
        <w:t>(</w:t>
      </w:r>
      <w:r w:rsidRPr="005675B2">
        <w:rPr>
          <w:rFonts w:hint="cs"/>
          <w:rtl/>
        </w:rPr>
        <w:t>أ</w:t>
      </w:r>
      <w:r w:rsidR="000636C2">
        <w:rPr>
          <w:rFonts w:hint="cs"/>
          <w:rtl/>
        </w:rPr>
        <w:t>)</w:t>
      </w:r>
      <w:r w:rsidRPr="005675B2">
        <w:rPr>
          <w:rFonts w:hint="cs"/>
          <w:rtl/>
        </w:rPr>
        <w:t xml:space="preserve"> أن نصوص الكتاب والسنة ظنية الدلالة، ولا تفيد اليقين إلا إذا سلمت من عشرة عوارض منها</w:t>
      </w:r>
      <w:r w:rsidR="000636C2">
        <w:rPr>
          <w:rFonts w:hint="cs"/>
          <w:rtl/>
        </w:rPr>
        <w:t xml:space="preserve">: </w:t>
      </w:r>
      <w:r w:rsidRPr="005675B2">
        <w:rPr>
          <w:rFonts w:hint="cs"/>
          <w:rtl/>
        </w:rPr>
        <w:t>الإضمار والتخصيص والنقل والاشتراك والمجاز .. الخ، وسلمت بعد هذا من المعارض العقلي بل قالوا</w:t>
      </w:r>
      <w:r w:rsidR="000636C2">
        <w:rPr>
          <w:rFonts w:hint="cs"/>
          <w:rtl/>
        </w:rPr>
        <w:t>:</w:t>
      </w:r>
      <w:r w:rsidRPr="005675B2">
        <w:rPr>
          <w:rFonts w:hint="cs"/>
          <w:rtl/>
        </w:rPr>
        <w:t xml:space="preserve"> من احتمال المعارض العقلي</w:t>
      </w:r>
      <w:r w:rsidR="000636C2">
        <w:rPr>
          <w:rFonts w:hint="cs"/>
          <w:rtl/>
        </w:rPr>
        <w:t>!</w:t>
      </w:r>
      <w:r w:rsidRPr="005675B2">
        <w:rPr>
          <w:rFonts w:hint="cs"/>
          <w:rtl/>
        </w:rPr>
        <w:t xml:space="preserve">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أشار الدكتور سفر بكلامه هذا إلى مسألة مهمة من مسائل علم أصول الفقه بدون أن يكون محيطا بها</w:t>
      </w:r>
      <w:r w:rsidR="000636C2">
        <w:rPr>
          <w:rFonts w:hint="cs"/>
          <w:rtl/>
        </w:rPr>
        <w:t xml:space="preserve">، </w:t>
      </w:r>
      <w:r w:rsidRPr="005675B2">
        <w:rPr>
          <w:rFonts w:hint="cs"/>
          <w:rtl/>
        </w:rPr>
        <w:t>وقد عنونوا المسألة « بمسألة تعارض ما يخل بالفهم »، وهذا تعبير البيضاوي في المنهاج</w:t>
      </w:r>
      <w:r w:rsidR="000636C2">
        <w:rPr>
          <w:rFonts w:hint="cs"/>
          <w:rtl/>
        </w:rPr>
        <w:t>،</w:t>
      </w:r>
      <w:r w:rsidRPr="005675B2">
        <w:rPr>
          <w:rFonts w:hint="cs"/>
          <w:rtl/>
        </w:rPr>
        <w:t xml:space="preserve"> وبمسألة « أن الاستدلال بالخطاب هل يفيد القطع أم لا</w:t>
      </w:r>
      <w:r w:rsidR="000636C2">
        <w:rPr>
          <w:rFonts w:hint="cs"/>
          <w:rtl/>
        </w:rPr>
        <w:t>؟</w:t>
      </w:r>
      <w:r w:rsidRPr="005675B2">
        <w:rPr>
          <w:rFonts w:hint="cs"/>
          <w:rtl/>
        </w:rPr>
        <w:t xml:space="preserve"> » وهذ هو عنوان الرازي في المحصول</w:t>
      </w:r>
      <w:r w:rsidR="000636C2">
        <w:rPr>
          <w:rFonts w:hint="cs"/>
          <w:rtl/>
        </w:rPr>
        <w:t xml:space="preserve">، </w:t>
      </w:r>
      <w:r w:rsidRPr="005675B2">
        <w:rPr>
          <w:rFonts w:hint="cs"/>
          <w:rtl/>
        </w:rPr>
        <w:t>فلا بد أن نبين المسألة، فننقل فيها أولا كلام الإمام الرازي في المحصول</w:t>
      </w:r>
      <w:r w:rsidR="000636C2">
        <w:rPr>
          <w:rFonts w:hint="cs"/>
          <w:rtl/>
        </w:rPr>
        <w:t>،</w:t>
      </w:r>
      <w:r w:rsidRPr="005675B2">
        <w:rPr>
          <w:rFonts w:hint="cs"/>
          <w:rtl/>
        </w:rPr>
        <w:t xml:space="preserve"> قال تحت العنوان المذكور « منهم من أنكره، </w:t>
      </w:r>
      <w:r w:rsidR="000636C2">
        <w:rPr>
          <w:rFonts w:hint="cs"/>
          <w:rtl/>
        </w:rPr>
        <w:t>(</w:t>
      </w:r>
      <w:r w:rsidRPr="005675B2">
        <w:rPr>
          <w:rFonts w:hint="cs"/>
          <w:rtl/>
        </w:rPr>
        <w:t>أي أنكر إفادة الخطاب القطع</w:t>
      </w:r>
      <w:r w:rsidR="000636C2">
        <w:rPr>
          <w:rFonts w:hint="cs"/>
          <w:rtl/>
        </w:rPr>
        <w:t>)</w:t>
      </w:r>
      <w:r w:rsidRPr="005675B2">
        <w:rPr>
          <w:rFonts w:hint="cs"/>
          <w:rtl/>
        </w:rPr>
        <w:t xml:space="preserve"> وقال</w:t>
      </w:r>
      <w:r w:rsidR="000636C2">
        <w:rPr>
          <w:rFonts w:hint="cs"/>
          <w:rtl/>
        </w:rPr>
        <w:t>:</w:t>
      </w:r>
      <w:r w:rsidRPr="005675B2">
        <w:rPr>
          <w:rFonts w:hint="cs"/>
          <w:rtl/>
        </w:rPr>
        <w:t xml:space="preserve"> إن الإستدلال بالأدلة اللفظية مبني على مقد مات ظنية، والمبني على المقدمات الظنية ظني، فالإستدلال بالخطاب لا يفيد إلا الظن</w:t>
      </w:r>
      <w:r w:rsidR="000636C2">
        <w:rPr>
          <w:rFonts w:hint="cs"/>
          <w:rtl/>
        </w:rPr>
        <w:t xml:space="preserve">، </w:t>
      </w:r>
      <w:r w:rsidRPr="005675B2">
        <w:rPr>
          <w:rFonts w:hint="cs"/>
          <w:rtl/>
        </w:rPr>
        <w:t>وإنما قلنا</w:t>
      </w:r>
      <w:r w:rsidR="000636C2">
        <w:rPr>
          <w:rFonts w:hint="cs"/>
          <w:rtl/>
        </w:rPr>
        <w:t>:</w:t>
      </w:r>
      <w:r w:rsidRPr="005675B2">
        <w:rPr>
          <w:rFonts w:hint="cs"/>
          <w:rtl/>
        </w:rPr>
        <w:t xml:space="preserve"> "إنه مبني على مقدمات ظنية" لأنه مبني على نقل اللغات، ونقل النحو والتصريف، وعدم الاشتراك والمجاز والنقل والإضمار والتخصيص والتقديم والتأخير والناسخ، والمعارض، وكل ذلك أمور ظنية</w:t>
      </w:r>
      <w:r w:rsidR="000636C2">
        <w:rPr>
          <w:rFonts w:hint="cs"/>
          <w:rtl/>
        </w:rPr>
        <w:t>،</w:t>
      </w:r>
      <w:r w:rsidRPr="005675B2">
        <w:rPr>
          <w:rFonts w:hint="cs"/>
          <w:rtl/>
        </w:rPr>
        <w:t xml:space="preserve"> ثم أفاض الرازي في بيان أن هذه الأمور ظنية، ثم قال في آخر الكلام</w:t>
      </w:r>
      <w:r w:rsidR="000636C2">
        <w:rPr>
          <w:rFonts w:hint="cs"/>
          <w:rtl/>
        </w:rPr>
        <w:t>:</w:t>
      </w:r>
      <w:r w:rsidRPr="005675B2">
        <w:rPr>
          <w:rFonts w:hint="cs"/>
          <w:rtl/>
        </w:rPr>
        <w:t xml:space="preserve"> واعلم أن الإنصاف أنه لا سبيل إلى استفادة اليقين من هذه الدلائل اللفظية إلا إذا اقترنت بها قرائن تفيد اليقين، سواء كانت تلك القرائن مشاهدة أو كانت منقولة إلينا بالتواتر »</w:t>
      </w:r>
      <w:r w:rsidR="000636C2">
        <w:rPr>
          <w:rFonts w:hint="cs"/>
          <w:rtl/>
        </w:rPr>
        <w:t>،</w:t>
      </w:r>
      <w:r w:rsidRPr="005675B2">
        <w:rPr>
          <w:rFonts w:hint="cs"/>
          <w:rtl/>
        </w:rPr>
        <w:t xml:space="preserve"> هذا هو كلام الرازي في المحصول</w:t>
      </w:r>
      <w:r w:rsidR="000636C2">
        <w:rPr>
          <w:rFonts w:hint="cs"/>
          <w:rtl/>
        </w:rPr>
        <w:t>،</w:t>
      </w:r>
      <w:r w:rsidRPr="005675B2">
        <w:rPr>
          <w:rFonts w:hint="cs"/>
          <w:rtl/>
        </w:rPr>
        <w:t xml:space="preserve"> [</w:t>
      </w:r>
      <w:r w:rsidRPr="005675B2">
        <w:rPr>
          <w:rFonts w:hint="cs"/>
          <w:sz w:val="24"/>
          <w:szCs w:val="24"/>
          <w:rtl/>
        </w:rPr>
        <w:t>وانظر نفائس الأصول في شرح المحصول 2/39-44 والأربعين 416-418]</w:t>
      </w:r>
      <w:r w:rsidRPr="005675B2">
        <w:rPr>
          <w:rFonts w:hint="cs"/>
          <w:rtl/>
        </w:rPr>
        <w:t xml:space="preserve"> فنقل الإنكار عن غيره ثم بين رأيه الذي هو الإنصاف، وكذلك فعل في الأربعين</w:t>
      </w:r>
      <w:r w:rsidR="000636C2">
        <w:rPr>
          <w:rFonts w:hint="cs"/>
          <w:rtl/>
        </w:rPr>
        <w:t>،</w:t>
      </w:r>
      <w:r w:rsidRPr="005675B2">
        <w:rPr>
          <w:rFonts w:hint="cs"/>
          <w:rtl/>
        </w:rPr>
        <w:t xml:space="preserve"> وعبر بعض العلماء عن المسألة بتعبير آخر، فقال</w:t>
      </w:r>
      <w:r w:rsidR="000636C2">
        <w:rPr>
          <w:rFonts w:hint="cs"/>
          <w:rtl/>
        </w:rPr>
        <w:t>:</w:t>
      </w:r>
      <w:r w:rsidRPr="005675B2">
        <w:rPr>
          <w:rFonts w:hint="cs"/>
          <w:rtl/>
        </w:rPr>
        <w:t xml:space="preserve"> إن الأدلة السمعية لا تفيد اليقين إلا بنفي عشرة إحتمالات</w:t>
      </w:r>
      <w:r w:rsidR="000636C2">
        <w:rPr>
          <w:rFonts w:hint="cs"/>
          <w:rtl/>
        </w:rPr>
        <w:t>:</w:t>
      </w:r>
      <w:r w:rsidRPr="005675B2">
        <w:rPr>
          <w:rFonts w:hint="cs"/>
          <w:rtl/>
        </w:rPr>
        <w:t xml:space="preserve"> الإشتراك، والنقل، والمجاز، والإضمار، والتخصيص، والتقديم، والتأخير، والناسخ، والمعارض العقلي، وتغير الإعراب</w:t>
      </w:r>
      <w:r w:rsidR="000636C2">
        <w:rPr>
          <w:rFonts w:hint="cs"/>
          <w:rtl/>
        </w:rPr>
        <w:t xml:space="preserve">، </w:t>
      </w:r>
      <w:r w:rsidRPr="005675B2">
        <w:rPr>
          <w:rFonts w:hint="cs"/>
          <w:rtl/>
        </w:rPr>
        <w:t>قال القرافي شارحا رأي الرازي واختياره</w:t>
      </w:r>
      <w:r w:rsidR="000636C2">
        <w:rPr>
          <w:rFonts w:hint="cs"/>
          <w:rtl/>
        </w:rPr>
        <w:t>:</w:t>
      </w:r>
      <w:r w:rsidRPr="005675B2">
        <w:rPr>
          <w:rFonts w:hint="cs"/>
          <w:rtl/>
        </w:rPr>
        <w:t xml:space="preserve"> تقريره أن الوضع بما هو وضع تتطرق إليه هذه الإحتمالات، ومع القرائن يقطع بأن المراد ظاهر اللفظ، ثم القرائن تكون بتكرر تلك الألفاظ إلى حد يقبل القطع، أو سياق الكلام، أو بحال المخبر الذي هو رسول الله صلى الله تعالى عليه وآله وسلم</w:t>
      </w:r>
      <w:r w:rsidR="000636C2">
        <w:rPr>
          <w:rFonts w:hint="cs"/>
          <w:rtl/>
        </w:rPr>
        <w:t>،</w:t>
      </w:r>
      <w:r w:rsidRPr="005675B2">
        <w:rPr>
          <w:rFonts w:hint="cs"/>
          <w:rtl/>
        </w:rPr>
        <w:t xml:space="preserve"> والقرائن لا تفي بها العبارات، ولا تنحصر تحت ضابط، ولذا قطعنا بقواعد الشرع، وقواعد الوعد والوعيد وغيرها بقرائن الأحوال والمقال، وهو كثير في الكتاب والسنة</w:t>
      </w:r>
      <w:r w:rsidR="000636C2">
        <w:rPr>
          <w:rFonts w:hint="cs"/>
          <w:rtl/>
        </w:rPr>
        <w:t>،</w:t>
      </w:r>
      <w:r w:rsidRPr="005675B2">
        <w:rPr>
          <w:rFonts w:hint="cs"/>
          <w:spacing w:val="-10"/>
          <w:rtl/>
        </w:rPr>
        <w:t xml:space="preserve"> [</w:t>
      </w:r>
      <w:r w:rsidRPr="005675B2">
        <w:rPr>
          <w:rFonts w:hint="cs"/>
          <w:sz w:val="24"/>
          <w:szCs w:val="24"/>
          <w:rtl/>
        </w:rPr>
        <w:t>نفائس الأصول 2/51</w:t>
      </w:r>
      <w:r w:rsidRPr="005675B2">
        <w:rPr>
          <w:rFonts w:hint="cs"/>
          <w:spacing w:val="-10"/>
          <w:rtl/>
        </w:rPr>
        <w:t xml:space="preserve">] </w:t>
      </w:r>
      <w:r w:rsidRPr="005675B2">
        <w:rPr>
          <w:rFonts w:hint="cs"/>
          <w:rtl/>
        </w:rPr>
        <w:t>وقال المحقق البياضي</w:t>
      </w:r>
      <w:r w:rsidR="000636C2">
        <w:rPr>
          <w:rFonts w:hint="cs"/>
          <w:rtl/>
        </w:rPr>
        <w:t>:</w:t>
      </w:r>
      <w:r w:rsidRPr="005675B2">
        <w:rPr>
          <w:rFonts w:hint="cs"/>
          <w:rtl/>
        </w:rPr>
        <w:t xml:space="preserve"> « إن الدليل النقلي يفيد الاعتقاد واليقين في المعتقدات عند التوارد على معنى واحد بالعبارات والطرق المتعددة، والقرائن المنضمات .. واختاره متقدموا الأشاعرة</w:t>
      </w:r>
      <w:r w:rsidR="000636C2">
        <w:rPr>
          <w:rFonts w:hint="cs"/>
          <w:rtl/>
        </w:rPr>
        <w:t>،</w:t>
      </w:r>
      <w:r w:rsidRPr="005675B2">
        <w:rPr>
          <w:rFonts w:hint="cs"/>
          <w:rtl/>
        </w:rPr>
        <w:t xml:space="preserve"> وقال صاحب الأبكار والمقاصد</w:t>
      </w:r>
      <w:r w:rsidR="000636C2">
        <w:rPr>
          <w:rFonts w:hint="cs"/>
          <w:rtl/>
        </w:rPr>
        <w:t>:</w:t>
      </w:r>
      <w:r w:rsidRPr="005675B2">
        <w:rPr>
          <w:rFonts w:hint="cs"/>
          <w:rtl/>
        </w:rPr>
        <w:t xml:space="preserve"> هو الحق .. وبينه في التلويح والمقاصد بأن من الأوضاع ما هو معلوم بطريق التواتر كلفظ السماء والأرض، وكأكثر قواعد الصرف والنحو مما وضع لهيئآت المفردات وهيئات التراكيب، والعلم بالإرادة يحصل بمعونة القرائن بحيث لا يبقى شبهة، كما في النصوص الواردة في إيجاب الصلاة والزكاة، وفي البعث إذا اكتفى فيه بمجرد السمع كقوله تعالى</w:t>
      </w:r>
      <w:r w:rsidR="000636C2">
        <w:rPr>
          <w:rFonts w:hint="cs"/>
          <w:rtl/>
        </w:rPr>
        <w:t>:</w:t>
      </w:r>
      <w:r w:rsidRPr="005675B2">
        <w:rPr>
          <w:rFonts w:hint="cs"/>
          <w:rtl/>
        </w:rPr>
        <w:t xml:space="preserve"> </w:t>
      </w:r>
      <w:r w:rsidR="000636C2">
        <w:rPr>
          <w:rFonts w:hint="cs"/>
          <w:rtl/>
        </w:rPr>
        <w:t>(</w:t>
      </w:r>
      <w:r w:rsidRPr="005675B2">
        <w:rPr>
          <w:rFonts w:hint="cs"/>
          <w:rtl/>
        </w:rPr>
        <w:t>قل يحييها الذي أنشأها أول مرة وهو بكل خلق عليم</w:t>
      </w:r>
      <w:r w:rsidR="000636C2">
        <w:rPr>
          <w:rFonts w:hint="cs"/>
          <w:rtl/>
        </w:rPr>
        <w:t>)</w:t>
      </w:r>
      <w:r w:rsidRPr="005675B2">
        <w:rPr>
          <w:rFonts w:hint="cs"/>
          <w:rtl/>
        </w:rPr>
        <w:t>، [</w:t>
      </w:r>
      <w:r w:rsidRPr="005675B2">
        <w:rPr>
          <w:rFonts w:hint="cs"/>
          <w:sz w:val="24"/>
          <w:szCs w:val="24"/>
          <w:rtl/>
        </w:rPr>
        <w:t>يس: 79</w:t>
      </w:r>
      <w:r w:rsidRPr="005675B2">
        <w:rPr>
          <w:rFonts w:hint="cs"/>
          <w:rtl/>
        </w:rPr>
        <w:t>]ونفي المعارض العقلي حاصل عند العلم بالوضع والإرادة وصدق المخبر، وذلك لأن العلم بتحقق أحد المتنافيين يفيد العلم بانتفاء الآخر، على أن الحق أن إفادة اليقين إنما تتوقف على انتفاء المعارض وعدم اعتقاد ثبوته، لا على العلم بانتفائه، إذ كثيرا ما يحصل اليقين من الدلائل، ولا يخطر المعارض بالبال إثباتا أو نفيا فضلا عن العلم بذلك »</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000636C2">
        <w:rPr>
          <w:rFonts w:hint="cs"/>
          <w:rtl/>
        </w:rPr>
        <w:t>[</w:t>
      </w:r>
      <w:r w:rsidRPr="005675B2">
        <w:rPr>
          <w:rFonts w:hint="cs"/>
          <w:sz w:val="24"/>
          <w:szCs w:val="24"/>
          <w:rtl/>
        </w:rPr>
        <w:t>إشارات المرام 46-47]</w:t>
      </w:r>
      <w:r w:rsidR="000636C2">
        <w:rPr>
          <w:rFonts w:hint="cs"/>
          <w:rtl/>
        </w:rPr>
        <w:t>،</w:t>
      </w:r>
      <w:r w:rsidRPr="005675B2">
        <w:rPr>
          <w:rFonts w:hint="cs"/>
          <w:rtl/>
        </w:rPr>
        <w:t xml:space="preserve"> هذا هو تحقيق المسألة، وقد ظهر به أن ما ذهب إليه الرازي هو الحق الحقيق بالقبول، وأنه قد وافق في ذلك متقدمي الأشاعرة، وقد وافقه عليه الآمدي صاحب "الأبكار"، والسعد التفتازاني صاحب "المقاصد والتلويح"</w:t>
      </w:r>
      <w:r w:rsidR="000636C2">
        <w:rPr>
          <w:rFonts w:hint="cs"/>
          <w:rtl/>
        </w:rPr>
        <w:t>،</w:t>
      </w:r>
      <w:r w:rsidRPr="005675B2">
        <w:rPr>
          <w:rFonts w:hint="cs"/>
          <w:rtl/>
        </w:rPr>
        <w:t xml:space="preserve"> أقول</w:t>
      </w:r>
      <w:r w:rsidR="000636C2">
        <w:rPr>
          <w:rFonts w:hint="cs"/>
          <w:rtl/>
        </w:rPr>
        <w:t>:</w:t>
      </w:r>
      <w:r w:rsidRPr="005675B2">
        <w:rPr>
          <w:rFonts w:hint="cs"/>
          <w:rtl/>
        </w:rPr>
        <w:t xml:space="preserve"> وقد ذهب إلى هذا الرأي إمام الحرمين والغزالي</w:t>
      </w:r>
      <w:r w:rsidR="000636C2">
        <w:rPr>
          <w:rFonts w:hint="cs"/>
          <w:rtl/>
        </w:rPr>
        <w:t>،</w:t>
      </w:r>
      <w:r w:rsidRPr="005675B2">
        <w:rPr>
          <w:rFonts w:hint="cs"/>
          <w:rtl/>
        </w:rPr>
        <w:t xml:space="preserve"> وانظر "التلخيص" لإمام الحرمين « فصل القول في تقسيم الخطاب وما يفيده » [</w:t>
      </w:r>
      <w:r w:rsidRPr="005675B2">
        <w:rPr>
          <w:rFonts w:hint="cs"/>
          <w:sz w:val="24"/>
          <w:szCs w:val="24"/>
          <w:rtl/>
        </w:rPr>
        <w:t>صـ34-35]</w:t>
      </w:r>
      <w:r w:rsidRPr="005675B2">
        <w:rPr>
          <w:rFonts w:hint="cs"/>
          <w:rtl/>
        </w:rPr>
        <w:t xml:space="preserve"> و"المستصفى" للغزالي « فصل الكلام المفيد »، [</w:t>
      </w:r>
      <w:r w:rsidRPr="005675B2">
        <w:rPr>
          <w:rFonts w:hint="cs"/>
          <w:sz w:val="24"/>
          <w:szCs w:val="24"/>
          <w:rtl/>
        </w:rPr>
        <w:t>1/333]</w:t>
      </w:r>
      <w:r w:rsidRPr="005675B2">
        <w:rPr>
          <w:rFonts w:hint="cs"/>
          <w:rtl/>
        </w:rPr>
        <w:t xml:space="preserve"> و« فصل طريق فهم المراد من الخطاب »</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المستصفى 1/337]</w:t>
      </w:r>
      <w:r w:rsidR="000636C2">
        <w:rPr>
          <w:rFonts w:hint="cs"/>
          <w:rtl/>
        </w:rPr>
        <w:t xml:space="preserve">، </w:t>
      </w:r>
      <w:r w:rsidRPr="005675B2">
        <w:rPr>
          <w:rFonts w:hint="cs"/>
          <w:rtl/>
        </w:rPr>
        <w:t xml:space="preserve">وبهذا التحقيق ظهر مدى صحة نسبة الدكتور سفر الرأي الذي أشار إليه بإطلاقه إلى متكلمي الأشاعرة وإلى من ذكرهم في فقرة </w:t>
      </w:r>
      <w:r w:rsidR="000636C2">
        <w:rPr>
          <w:rFonts w:hint="cs"/>
          <w:rtl/>
        </w:rPr>
        <w:t>(</w:t>
      </w:r>
      <w:r w:rsidRPr="005675B2">
        <w:rPr>
          <w:rFonts w:hint="cs"/>
          <w:rtl/>
        </w:rPr>
        <w:t>أ</w:t>
      </w:r>
      <w:r w:rsidR="000636C2">
        <w:rPr>
          <w:rFonts w:hint="cs"/>
          <w:rtl/>
        </w:rPr>
        <w:t>)</w:t>
      </w:r>
      <w:r w:rsidRPr="005675B2">
        <w:rPr>
          <w:rFonts w:hint="cs"/>
          <w:rtl/>
        </w:rPr>
        <w:t xml:space="preserve"> وذلك لأن سياق كلامه يدل على أنه يقصد أن الأشاعرة يرون أن نصوص الكتاب والسنة ظنية الدلالة، ولا يفيد اليقين قطعا لأنها لا تسلم من المعارضات المذكورة أو من بعضها، مع أنهم قد قالوا</w:t>
      </w:r>
      <w:r w:rsidR="000636C2">
        <w:rPr>
          <w:rFonts w:hint="cs"/>
          <w:rtl/>
        </w:rPr>
        <w:t>:</w:t>
      </w:r>
      <w:r w:rsidRPr="005675B2">
        <w:rPr>
          <w:rFonts w:hint="cs"/>
          <w:rtl/>
        </w:rPr>
        <w:t xml:space="preserve"> إنها تفيد اليقين إذا اقترن بها قرائن تفيد اليقين والقرائن لا تدخل تحت الضابط والحصر، وأما إذا كان مراد الدكتور الإنكار على الأشاعرة مع هذه الضميمة التى بها يكتمل مذهبهم، فلا ريب أن هذا الإنكار غير صحيح</w:t>
      </w:r>
      <w:r w:rsidR="000636C2">
        <w:rPr>
          <w:rFonts w:hint="cs"/>
          <w:rtl/>
        </w:rPr>
        <w:t xml:space="preserve">، </w:t>
      </w:r>
      <w:r w:rsidRPr="005675B2">
        <w:rPr>
          <w:rFonts w:hint="cs"/>
          <w:rtl/>
        </w:rPr>
        <w:t>وظهر أيضا خطأ قوله</w:t>
      </w:r>
      <w:r w:rsidR="000636C2">
        <w:rPr>
          <w:rFonts w:hint="cs"/>
          <w:rtl/>
        </w:rPr>
        <w:t>:</w:t>
      </w:r>
      <w:r w:rsidRPr="005675B2">
        <w:rPr>
          <w:rFonts w:hint="cs"/>
          <w:rtl/>
        </w:rPr>
        <w:t xml:space="preserve"> وسلمت بعد هذا من المعارض العقلي</w:t>
      </w:r>
      <w:r w:rsidR="000636C2">
        <w:rPr>
          <w:rFonts w:hint="cs"/>
          <w:rtl/>
        </w:rPr>
        <w:t>،</w:t>
      </w:r>
      <w:r w:rsidRPr="005675B2">
        <w:rPr>
          <w:rFonts w:hint="cs"/>
          <w:rtl/>
        </w:rPr>
        <w:t xml:space="preserve"> فإن المعارض العقلي داخل في العشرة وواحد منها</w:t>
      </w:r>
      <w:r w:rsidR="000636C2">
        <w:rPr>
          <w:rFonts w:hint="cs"/>
          <w:rtl/>
        </w:rPr>
        <w:t>،</w:t>
      </w:r>
      <w:r w:rsidRPr="005675B2">
        <w:rPr>
          <w:rFonts w:hint="cs"/>
          <w:rtl/>
        </w:rPr>
        <w:t xml:space="preserve"> وكلامه يفيد أنه خارج عنها</w:t>
      </w:r>
      <w:r w:rsidR="000636C2">
        <w:rPr>
          <w:rFonts w:hint="cs"/>
          <w:rtl/>
        </w:rPr>
        <w:t>،</w:t>
      </w:r>
    </w:p>
    <w:p w14:paraId="582C85EA" w14:textId="26AFD10B" w:rsidR="009C32A0" w:rsidRPr="005675B2" w:rsidRDefault="009C32A0" w:rsidP="000636C2">
      <w:pPr>
        <w:rPr>
          <w:b/>
          <w:rtl/>
        </w:rPr>
      </w:pPr>
      <w:r w:rsidRPr="005675B2">
        <w:rPr>
          <w:rFonts w:hint="cs"/>
          <w:rtl/>
        </w:rPr>
        <w:t>28 - تحقيق مسألة حجية خبر الواحد في العقيدة وكلام الرازي في ذلك</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ج - موقفهم من السنة خاصة أنه لا يثبت بها عقيدة</w:t>
      </w:r>
      <w:r w:rsidR="000636C2">
        <w:rPr>
          <w:rFonts w:hint="cs"/>
          <w:rtl/>
        </w:rPr>
        <w:t>،</w:t>
      </w:r>
      <w:r w:rsidRPr="005675B2">
        <w:rPr>
          <w:rFonts w:hint="cs"/>
          <w:rtl/>
        </w:rPr>
        <w:t xml:space="preserve"> بل المتواتر منها يجب تأويله، وآحادها لا يجب الإشتغال بها حتى على سبيل التأويل، حتى إن إمامهم الرازي قطع بأن رواية الصحابة كلهم مظنونة بالنسبة لعدالتهم وحفظهم سواء</w:t>
      </w:r>
      <w:r w:rsidR="000636C2">
        <w:rPr>
          <w:rFonts w:hint="cs"/>
          <w:rtl/>
        </w:rPr>
        <w:t>،</w:t>
      </w:r>
      <w:r w:rsidRPr="005675B2">
        <w:rPr>
          <w:rFonts w:hint="cs"/>
          <w:rtl/>
        </w:rPr>
        <w:t xml:space="preserve"> وأنه في الصحيحين أحاديث وضعها الزنادقة .. إلى آخر مالا استجيز نقله لغير المختصين، وهو في كتابيه أساس التقديس والأربعين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احتوى كلام الدكتور أيضا -على عادته - على مجموعة من الأخطاء الجسيمة</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نسبته إلى الأشاعرة أن السنة لا يثبت بها عقيدة عندهم</w:t>
      </w:r>
      <w:r w:rsidR="000636C2">
        <w:rPr>
          <w:rFonts w:hint="cs"/>
          <w:rtl/>
        </w:rPr>
        <w:t xml:space="preserve">، </w:t>
      </w:r>
      <w:r w:rsidRPr="005675B2">
        <w:rPr>
          <w:rFonts w:hint="cs"/>
          <w:rtl/>
        </w:rPr>
        <w:t>ومن اجل أن المسألة من أهم المسائل في حد ذاتها، ومن أجل كونها من أعظم المسائل التي انتقدت على الأشاعرة عن جهل بمذهبهم .. من أجل ذلك تحتاج إلى تفصيل وتحقيق، ولقد فصلنا الكلام فيها في كتابنا "السنة النبوية حجية وتدوينا", فننقل ما كتباه هناك، ثم نعقبه ببيان ما في كلام الدكتور فيها من أخطاء فنقول</w:t>
      </w:r>
      <w:r w:rsidR="000636C2">
        <w:rPr>
          <w:rFonts w:hint="cs"/>
          <w:rtl/>
        </w:rPr>
        <w:t>:</w:t>
      </w:r>
      <w:r w:rsidRPr="005675B2">
        <w:rPr>
          <w:rFonts w:hint="cs"/>
          <w:rtl/>
        </w:rPr>
        <w:t xml:space="preserve"> "</w:t>
      </w:r>
      <w:r w:rsidR="000636C2">
        <w:rPr>
          <w:rFonts w:hint="cs"/>
          <w:rtl/>
        </w:rPr>
        <w:t xml:space="preserve"> </w:t>
      </w:r>
      <w:r w:rsidRPr="005675B2">
        <w:rPr>
          <w:rFonts w:hint="cs"/>
          <w:rtl/>
        </w:rPr>
        <w:t>مدى حجية خبر الواحد في العقيدة "</w:t>
      </w:r>
      <w:r w:rsidR="000636C2">
        <w:rPr>
          <w:rFonts w:hint="cs"/>
          <w:rtl/>
        </w:rPr>
        <w:t xml:space="preserve">، </w:t>
      </w:r>
      <w:r w:rsidRPr="005675B2">
        <w:rPr>
          <w:rFonts w:hint="cs"/>
          <w:rtl/>
        </w:rPr>
        <w:t>العمل بخبر الواحد في الأحكام العملية مما أجمع عليه علماء الأمة ولم يخالف فيه أحد من علماء الإسلام من حيث إنه خبر واحد، والمقصود هنا الكلام على العمل بخبر الواحد في المسائل الاعتقادية، فإنه قد طال كلام العلماء حول هذه المسألة، ولم أر أحدا حقق المسألة وحررها على الوجه المرضي، فنقول وبالله التوفيق</w:t>
      </w:r>
      <w:r w:rsidR="000636C2">
        <w:rPr>
          <w:rFonts w:hint="cs"/>
          <w:rtl/>
        </w:rPr>
        <w:t xml:space="preserve">: </w:t>
      </w:r>
      <w:r w:rsidRPr="005675B2">
        <w:rPr>
          <w:rFonts w:hint="cs"/>
          <w:rtl/>
        </w:rPr>
        <w:t>قد شاع بين علماء الكلام أن خبر الواحد ليس بحجة في المسائل الاعتقادية، والجمهور الأعظم من العلماء على أنه حجة فيها</w:t>
      </w:r>
      <w:r w:rsidR="000636C2">
        <w:rPr>
          <w:rFonts w:hint="cs"/>
          <w:rtl/>
        </w:rPr>
        <w:t xml:space="preserve">، </w:t>
      </w:r>
      <w:r w:rsidRPr="005675B2">
        <w:rPr>
          <w:rFonts w:hint="cs"/>
          <w:rtl/>
        </w:rPr>
        <w:t>وتحقيق المسألة يحتاج إلى تفصيل</w:t>
      </w:r>
      <w:r w:rsidR="000636C2">
        <w:rPr>
          <w:rFonts w:hint="cs"/>
          <w:rtl/>
        </w:rPr>
        <w:t>:</w:t>
      </w:r>
      <w:r w:rsidRPr="005675B2">
        <w:rPr>
          <w:rFonts w:hint="cs"/>
          <w:rtl/>
        </w:rPr>
        <w:t xml:space="preserve"> وهو أن مسائل الاعتقاد منقسمة إلى خمسة أقسام</w:t>
      </w:r>
      <w:r w:rsidR="000636C2">
        <w:rPr>
          <w:rFonts w:hint="cs"/>
          <w:rtl/>
        </w:rPr>
        <w:t>:</w:t>
      </w:r>
      <w:r w:rsidRPr="005675B2">
        <w:rPr>
          <w:rFonts w:hint="cs"/>
          <w:rtl/>
        </w:rPr>
        <w:t xml:space="preserve"> 1 - ما يكون عدم العلم به موجبا للكفر مثل وجوده تعالى ووحدانيته وصفاته الذاتية</w:t>
      </w:r>
      <w:r w:rsidR="000636C2">
        <w:rPr>
          <w:rFonts w:hint="cs"/>
          <w:rtl/>
        </w:rPr>
        <w:t xml:space="preserve">، </w:t>
      </w:r>
      <w:r w:rsidRPr="005675B2">
        <w:rPr>
          <w:rFonts w:hint="cs"/>
          <w:rtl/>
        </w:rPr>
        <w:t>2 - ما يكون إنكاره موجبا للكفر وعدم العلم به موجبا للإثم، مثل قدم الباري تعالى وحدوث ما عداه من العالم، فإن الإنسان بعد اعتقاده بوجود الله تعالى ووحدانيته وصفاته الذاتية لو لقي الله تعالى خالي الذهن عن الحدوث والقدم في حقه تعالى وفي حق العالم، يكون مسلما، لكنه آثم بعدم العلم به، فيجب عليه أن يعتقد القدم في حقه تعالى والحدوث في العالم كي لا يعتقد العكس عند دخول المسألة تحت ملاحظته فيقع في الكفر</w:t>
      </w:r>
      <w:r w:rsidR="000636C2">
        <w:rPr>
          <w:rFonts w:hint="cs"/>
          <w:rtl/>
        </w:rPr>
        <w:t xml:space="preserve">، </w:t>
      </w:r>
      <w:r w:rsidRPr="005675B2">
        <w:rPr>
          <w:rFonts w:hint="cs"/>
          <w:rtl/>
        </w:rPr>
        <w:t>ومن هذا القبيل معظم العقائد الثابتة بالدلائل القطعية الثبوت القطعية الدلالة من الكتاب والسنة المتواترة مما قد يخفى على بعض العوام</w:t>
      </w:r>
      <w:r w:rsidR="000636C2">
        <w:rPr>
          <w:rFonts w:hint="cs"/>
          <w:rtl/>
        </w:rPr>
        <w:t>،</w:t>
      </w:r>
      <w:r w:rsidRPr="005675B2">
        <w:rPr>
          <w:rFonts w:hint="cs"/>
          <w:rtl/>
        </w:rPr>
        <w:t xml:space="preserve"> وهذا القسم من العقائد لا يصح الاستدلال عليه بخبر الواحد لأن المطلوب فيها اليقين وخبر الواحد مفيد للظن</w:t>
      </w:r>
      <w:r w:rsidR="000636C2">
        <w:rPr>
          <w:rFonts w:hint="cs"/>
          <w:rtl/>
        </w:rPr>
        <w:t xml:space="preserve">، </w:t>
      </w:r>
      <w:r w:rsidRPr="005675B2">
        <w:rPr>
          <w:rFonts w:hint="cs"/>
          <w:rtl/>
        </w:rPr>
        <w:t>على أن هذا القسم من أجل ثبوته بالدلائل القطعية من الكتاب والسنة المتواترة لا حاجة في إثباته إلى أخبار الآحاد</w:t>
      </w:r>
      <w:r w:rsidR="000636C2">
        <w:rPr>
          <w:rFonts w:hint="cs"/>
          <w:rtl/>
        </w:rPr>
        <w:t xml:space="preserve">، </w:t>
      </w:r>
      <w:r w:rsidRPr="005675B2">
        <w:rPr>
          <w:rFonts w:hint="cs"/>
          <w:rtl/>
        </w:rPr>
        <w:t>3 - ما يكون إنكاره بدعة غليظة وجهله إثما وذلك ما هو ثابت بظواهر الكتاب والسنة المتواترة أو المستفيضة مما تلقته الأمة على ظاهره بالقبول، فهذا إنكاره بصرف النصوص عن ظواهرها وتأويلها على خلاف ما تلقاه السلف بالقبول بدعة غليظة، وربما يكون كفرا إذا كان ما تلقته الأمة بالقبول مجمعاً عليه معلوما من الدين بالضرورة</w:t>
      </w:r>
      <w:r w:rsidR="000636C2">
        <w:rPr>
          <w:rFonts w:hint="cs"/>
          <w:rtl/>
        </w:rPr>
        <w:t xml:space="preserve">، </w:t>
      </w:r>
      <w:r w:rsidRPr="005675B2">
        <w:rPr>
          <w:rFonts w:hint="cs"/>
          <w:rtl/>
        </w:rPr>
        <w:t>4 - ما يكون إنكاره إثماً وبدعة خفيفة وجهله معفواً عنه، وذلك ما ثبت بالآحاد الصحيحة غير المستفيضة مما يخفى على أكثر العوام وعلى بعض الخواص مما لم تتعارض فيه الدلائل المتكافئة من الكتاب والسنة</w:t>
      </w:r>
      <w:r w:rsidR="000636C2">
        <w:rPr>
          <w:rFonts w:hint="cs"/>
          <w:rtl/>
        </w:rPr>
        <w:t xml:space="preserve">، </w:t>
      </w:r>
      <w:r w:rsidRPr="005675B2">
        <w:rPr>
          <w:rFonts w:hint="cs"/>
          <w:rtl/>
        </w:rPr>
        <w:t>5 - ما تعارضت فيه الدلائل المتكافئة</w:t>
      </w:r>
      <w:r w:rsidR="000636C2">
        <w:rPr>
          <w:rFonts w:hint="cs"/>
          <w:rtl/>
        </w:rPr>
        <w:t xml:space="preserve"> </w:t>
      </w:r>
      <w:r w:rsidRPr="005675B2">
        <w:rPr>
          <w:rFonts w:hint="cs"/>
          <w:rtl/>
        </w:rPr>
        <w:t>- بحسب الظاهرة</w:t>
      </w:r>
      <w:r w:rsidR="000636C2">
        <w:rPr>
          <w:rFonts w:hint="cs"/>
          <w:rtl/>
        </w:rPr>
        <w:t xml:space="preserve"> </w:t>
      </w:r>
      <w:r w:rsidRPr="005675B2">
        <w:rPr>
          <w:rFonts w:hint="cs"/>
          <w:rtl/>
        </w:rPr>
        <w:t>- من الكتاب والسنة ومن أجل ذلك وقع فيها الاختلاف بين علماء الأمة</w:t>
      </w:r>
      <w:r w:rsidR="000636C2">
        <w:rPr>
          <w:rFonts w:hint="cs"/>
          <w:rtl/>
        </w:rPr>
        <w:t xml:space="preserve">، </w:t>
      </w:r>
      <w:r w:rsidRPr="005675B2">
        <w:rPr>
          <w:rFonts w:hint="cs"/>
          <w:rtl/>
        </w:rPr>
        <w:t>فما كان من هذا القسم الأخير فأمره عفو بمعنى أنه لا يحكم فيه بحكم عام، بل هو من مسائل الاجتهاد والتقليد</w:t>
      </w:r>
      <w:r w:rsidR="000636C2">
        <w:rPr>
          <w:rFonts w:hint="cs"/>
          <w:rtl/>
        </w:rPr>
        <w:t xml:space="preserve">، </w:t>
      </w:r>
      <w:r w:rsidRPr="005675B2">
        <w:rPr>
          <w:rFonts w:hint="cs"/>
          <w:rtl/>
        </w:rPr>
        <w:t>وهذا التفصيل لم نجده في كلام أحد من العلماء بهذا الوجه لكنه مقتضى الدلائل الشرعية ومأخوذ من تصريحات العلماء ونصوصهم</w:t>
      </w:r>
      <w:r w:rsidR="000636C2">
        <w:rPr>
          <w:rFonts w:hint="cs"/>
          <w:rtl/>
        </w:rPr>
        <w:t xml:space="preserve">، </w:t>
      </w:r>
      <w:r w:rsidRPr="005675B2">
        <w:rPr>
          <w:rFonts w:hint="cs"/>
          <w:rtl/>
        </w:rPr>
        <w:t>وبهذا التفصيل نجمع بين الخلاف في خبر الواحد</w:t>
      </w:r>
      <w:r w:rsidR="000636C2">
        <w:rPr>
          <w:rFonts w:hint="cs"/>
          <w:rtl/>
        </w:rPr>
        <w:t>،</w:t>
      </w:r>
      <w:r w:rsidRPr="005675B2">
        <w:rPr>
          <w:rFonts w:hint="cs"/>
          <w:rtl/>
        </w:rPr>
        <w:t xml:space="preserve"> هل هو حجة في مسائل الاعتقاد أم لا</w:t>
      </w:r>
      <w:r w:rsidR="000636C2">
        <w:rPr>
          <w:rFonts w:hint="cs"/>
          <w:rtl/>
        </w:rPr>
        <w:t>؟</w:t>
      </w:r>
      <w:r w:rsidRPr="005675B2">
        <w:rPr>
          <w:rFonts w:hint="cs"/>
          <w:rtl/>
        </w:rPr>
        <w:t xml:space="preserve"> فيحمل كلام من قال</w:t>
      </w:r>
      <w:r w:rsidR="000636C2">
        <w:rPr>
          <w:rFonts w:hint="cs"/>
          <w:rtl/>
        </w:rPr>
        <w:t>:</w:t>
      </w:r>
      <w:r w:rsidRPr="005675B2">
        <w:rPr>
          <w:rFonts w:hint="cs"/>
          <w:rtl/>
        </w:rPr>
        <w:t xml:space="preserve"> إنه ليس بحجة على أن مخالفته وعدم اعتقاد مقتضاه ليس بكفر لأن ثبوته ليس بقطعي فلا تكون مخالفته رداً لقول الرسول صلى الله عليه وسلم، وإنما هو لعدم الوثوق بالرواة، إلا أن يكون رده بعد اعتقاد أنه كلام رسول الله صلى الله عليه وسلم، ويكون بدون تأويل له، فرده حينئذ كفر، ولا أعلم أنه يخالف ما قلناه أحد من العلماء، فإنا نرى المتكلمين الذين نسب إليهم عدم الاستدلال بخبر الآحاد في العقائد كثيراً ما يستدلون به فيها، ولا سيما في قسم السمعيات من العقائد، كما لا يخفى على من له إلمام بكلامهم</w:t>
      </w:r>
      <w:r w:rsidR="000636C2">
        <w:rPr>
          <w:rFonts w:hint="cs"/>
          <w:rtl/>
        </w:rPr>
        <w:t xml:space="preserve">، </w:t>
      </w:r>
      <w:r w:rsidRPr="005675B2">
        <w:rPr>
          <w:rFonts w:hint="cs"/>
          <w:rtl/>
        </w:rPr>
        <w:t>قال عبد الحي اللكنوي رحمه الله تعالى في « ظفر الأماني » [</w:t>
      </w:r>
      <w:r w:rsidRPr="005675B2">
        <w:rPr>
          <w:rFonts w:hint="cs"/>
          <w:sz w:val="24"/>
          <w:szCs w:val="24"/>
          <w:rtl/>
        </w:rPr>
        <w:t>(222-223)</w:t>
      </w:r>
      <w:r w:rsidRPr="005675B2">
        <w:rPr>
          <w:rFonts w:hint="cs"/>
          <w:rtl/>
        </w:rPr>
        <w:t>]:</w:t>
      </w:r>
      <w:r w:rsidR="000636C2">
        <w:rPr>
          <w:rFonts w:hint="cs"/>
          <w:rtl/>
        </w:rPr>
        <w:t xml:space="preserve"> </w:t>
      </w:r>
      <w:r w:rsidRPr="005675B2">
        <w:rPr>
          <w:rFonts w:hint="cs"/>
          <w:rtl/>
        </w:rPr>
        <w:t>قد صرحوا بأن أخبار الآحاد وإن كانت صحيحة لا تكفي في باب العقائد، فما بالك بالضعيفة منها، والمراد بعدم كفايتها أنها لا تفيد القطع، فلا يعتبر بها مطلقا في العقائد التي كلف الناس بالاعتقاد الجازم فيها، لا أنها لا تفيد الظن أيضا، ولا أنها لا عبرة بها رأسا في العقائد مطلقا، كما توهمه كثير من أبناء عصرنا</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قال التفتاذني في شرح</w:t>
      </w:r>
      <w:r w:rsidR="000636C2">
        <w:rPr>
          <w:rFonts w:hint="cs"/>
          <w:rtl/>
        </w:rPr>
        <w:t>،</w:t>
      </w:r>
      <w:r w:rsidRPr="005675B2">
        <w:rPr>
          <w:rFonts w:hint="cs"/>
          <w:rtl/>
        </w:rPr>
        <w:t xml:space="preserve"> المقاصد في بحث عصمة الملائكة</w:t>
      </w:r>
      <w:r w:rsidR="000636C2">
        <w:rPr>
          <w:rFonts w:hint="cs"/>
          <w:rtl/>
        </w:rPr>
        <w:t>:</w:t>
      </w:r>
      <w:r w:rsidRPr="005675B2">
        <w:rPr>
          <w:rFonts w:hint="cs"/>
          <w:rtl/>
        </w:rPr>
        <w:t xml:space="preserve"> وما يقال إنه لا عبرة بالظنيات في باب الاعتقاد فإن أريد أنه لا يحصل منه الاعتقاد الجازم، ولا يصح الحكم القطعي به فلا نزاع فيه، وإن أريد أنه لا يحصل الظن بذلك الحكم فظاهر البطلان، انتهى</w:t>
      </w:r>
      <w:r w:rsidR="000636C2">
        <w:rPr>
          <w:rFonts w:hint="cs"/>
          <w:rtl/>
        </w:rPr>
        <w:t xml:space="preserve">، </w:t>
      </w:r>
      <w:r w:rsidRPr="005675B2">
        <w:rPr>
          <w:rFonts w:hint="cs"/>
          <w:rtl/>
        </w:rPr>
        <w:t>فهذا التفتازاني وهو من أئمة الكلام صرح بما قلته</w:t>
      </w:r>
      <w:r w:rsidR="000636C2">
        <w:rPr>
          <w:rFonts w:hint="cs"/>
          <w:rtl/>
        </w:rPr>
        <w:t xml:space="preserve">، </w:t>
      </w:r>
      <w:r w:rsidRPr="005675B2">
        <w:rPr>
          <w:rFonts w:hint="cs"/>
          <w:rtl/>
        </w:rPr>
        <w:t>ويحمل كلام من قال إنه حجة على أنه</w:t>
      </w:r>
      <w:r w:rsidR="000636C2">
        <w:rPr>
          <w:rFonts w:hint="cs"/>
          <w:rtl/>
        </w:rPr>
        <w:t xml:space="preserve"> </w:t>
      </w:r>
      <w:r w:rsidRPr="005675B2">
        <w:rPr>
          <w:rFonts w:hint="cs"/>
          <w:rtl/>
        </w:rPr>
        <w:t>- بعد ثبوت صحته بدون معارض ولا صارف له عن ظاهره</w:t>
      </w:r>
      <w:r w:rsidR="000636C2">
        <w:rPr>
          <w:rFonts w:hint="cs"/>
          <w:rtl/>
        </w:rPr>
        <w:t xml:space="preserve"> </w:t>
      </w:r>
      <w:r w:rsidRPr="005675B2">
        <w:rPr>
          <w:rFonts w:hint="cs"/>
          <w:rtl/>
        </w:rPr>
        <w:t>- يجب اعتقاد مقتضاه على وجه الظن أو على وجه العلم إذا كان مقرونا بقرائن يفيد معها العلم</w:t>
      </w:r>
      <w:r w:rsidR="000636C2">
        <w:rPr>
          <w:rFonts w:hint="cs"/>
          <w:rtl/>
        </w:rPr>
        <w:t xml:space="preserve">، </w:t>
      </w:r>
      <w:r w:rsidRPr="005675B2">
        <w:rPr>
          <w:rFonts w:hint="cs"/>
          <w:rtl/>
        </w:rPr>
        <w:t>وأن عدم اعتقاد مقتضاه بعد العلم به وبصحته وعدم اقترانه بقرائن يفيد معها العلم موجب للإثم والبدعة، وهذا أيضا مما لا أظن أن أحداً من العلماء يخالف فيه</w:t>
      </w:r>
      <w:r w:rsidR="000636C2">
        <w:rPr>
          <w:rFonts w:hint="cs"/>
          <w:rtl/>
        </w:rPr>
        <w:t xml:space="preserve">، </w:t>
      </w:r>
      <w:r w:rsidRPr="005675B2">
        <w:rPr>
          <w:rFonts w:hint="cs"/>
          <w:rtl/>
        </w:rPr>
        <w:t>ثم إنه مما ينبغي ال</w:t>
      </w:r>
      <w:r w:rsidR="000636C2">
        <w:rPr>
          <w:rFonts w:hint="cs"/>
          <w:rtl/>
        </w:rPr>
        <w:t>(</w:t>
      </w:r>
      <w:r>
        <w:rPr>
          <w:rFonts w:hint="cs"/>
          <w:rtl/>
        </w:rPr>
        <w:t>تنبيه</w:t>
      </w:r>
      <w:r w:rsidR="000636C2">
        <w:rPr>
          <w:rFonts w:hint="cs"/>
          <w:rtl/>
        </w:rPr>
        <w:t>)</w:t>
      </w:r>
      <w:r w:rsidRPr="005675B2">
        <w:rPr>
          <w:rFonts w:hint="cs"/>
          <w:rtl/>
        </w:rPr>
        <w:t xml:space="preserve"> عليه أن أصول العقائد مثل التوحيد، وصفات الله</w:t>
      </w:r>
      <w:r w:rsidR="000636C2">
        <w:rPr>
          <w:rFonts w:hint="cs"/>
          <w:rtl/>
        </w:rPr>
        <w:t>،</w:t>
      </w:r>
      <w:r w:rsidRPr="005675B2">
        <w:rPr>
          <w:rFonts w:hint="cs"/>
          <w:rtl/>
        </w:rPr>
        <w:t xml:space="preserve"> والرسالة، والبعث، وجزاء الأعمال، والجنة والنار، قد تكفل القرآن ببيانها، وركز على بيانها أكبر تركيز، وفصل القول فيها وكرره وأوردها مقرونة بدلائلها العقلية التي تضطر العقول إلى قبولها والجزم بها</w:t>
      </w:r>
      <w:r w:rsidR="000636C2">
        <w:rPr>
          <w:rFonts w:hint="cs"/>
          <w:rtl/>
        </w:rPr>
        <w:t xml:space="preserve">، </w:t>
      </w:r>
      <w:r w:rsidRPr="005675B2">
        <w:rPr>
          <w:rFonts w:hint="cs"/>
          <w:rtl/>
        </w:rPr>
        <w:t>وما ورد من الأحاديث في بيانها فإنما هي مؤيدة للقرآن ومقررة له أو موضحة ومفصلة له أو من جزئيات ما ورد فيه</w:t>
      </w:r>
      <w:r w:rsidR="000636C2">
        <w:rPr>
          <w:rFonts w:hint="cs"/>
          <w:rtl/>
        </w:rPr>
        <w:t xml:space="preserve">، </w:t>
      </w:r>
      <w:r w:rsidRPr="005675B2">
        <w:rPr>
          <w:rFonts w:hint="cs"/>
          <w:rtl/>
        </w:rPr>
        <w:t>فلم يبق من العقائد ما يكون العمدة في الاستدلال عليه أخبار الآحاد إلا العقائد التي ليست من الأصول، وهي التي لا يكون اعتقاد ما يخالفها موجباً للكفر</w:t>
      </w:r>
      <w:r w:rsidR="000636C2">
        <w:rPr>
          <w:rFonts w:hint="cs"/>
          <w:rtl/>
        </w:rPr>
        <w:t>،</w:t>
      </w:r>
      <w:r w:rsidRPr="005675B2">
        <w:rPr>
          <w:rFonts w:hint="cs"/>
          <w:rtl/>
        </w:rPr>
        <w:t xml:space="preserve"> والله سبحانه وتعالى أعلم</w:t>
      </w:r>
      <w:r w:rsidR="000636C2">
        <w:rPr>
          <w:rFonts w:hint="cs"/>
          <w:rtl/>
        </w:rPr>
        <w:t xml:space="preserve">، </w:t>
      </w:r>
      <w:r w:rsidRPr="005675B2">
        <w:rPr>
          <w:rFonts w:hint="cs"/>
          <w:rtl/>
        </w:rPr>
        <w:t>وقد اتضح بهذا التحقيق موقف الأشاعرة من الاستدلال بالسنة وبخبر الواحد منها، كما اتضح أن ما نسبه الدكتور إليهم من أن السنة لا يثبت بها عقيدة عندهم .. غير صحيح</w:t>
      </w:r>
      <w:r w:rsidR="000636C2">
        <w:rPr>
          <w:rFonts w:hint="cs"/>
          <w:rtl/>
        </w:rPr>
        <w:t xml:space="preserve">، </w:t>
      </w:r>
      <w:r w:rsidRPr="005675B2">
        <w:rPr>
          <w:rFonts w:hint="cs"/>
          <w:rtl/>
        </w:rPr>
        <w:t>أما كلام الإمام الرازي في المسألة فقد قال في « أساس التقديس » [</w:t>
      </w:r>
      <w:r w:rsidRPr="005675B2">
        <w:rPr>
          <w:rFonts w:hint="cs"/>
          <w:sz w:val="24"/>
          <w:szCs w:val="24"/>
          <w:rtl/>
        </w:rPr>
        <w:t>168</w:t>
      </w:r>
      <w:r w:rsidRPr="005675B2">
        <w:rPr>
          <w:rFonts w:hint="cs"/>
          <w:rtl/>
        </w:rPr>
        <w:t>] أما التمسك بخبر الواحد في معرفة الله فغير جائز، يدل عليه وجوه</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أن أخبار الآحاد مظنونة فلم يجز التمسك بها في معرفة الله تعالى وصفاته، وإنما قلنا</w:t>
      </w:r>
      <w:r w:rsidR="000636C2">
        <w:rPr>
          <w:rFonts w:hint="cs"/>
          <w:rtl/>
        </w:rPr>
        <w:t>:</w:t>
      </w:r>
      <w:r w:rsidRPr="005675B2">
        <w:rPr>
          <w:rFonts w:hint="cs"/>
          <w:rtl/>
        </w:rPr>
        <w:t xml:space="preserve"> إنها مظنونة، وذلك لأنا أجمعنا على أن الرواة ليسوا بمعصومين .. إلى آخر كلامه</w:t>
      </w:r>
      <w:r w:rsidR="000636C2">
        <w:rPr>
          <w:rFonts w:hint="cs"/>
          <w:rtl/>
        </w:rPr>
        <w:t xml:space="preserve">، </w:t>
      </w:r>
      <w:r w:rsidRPr="005675B2">
        <w:rPr>
          <w:rFonts w:hint="cs"/>
          <w:rtl/>
        </w:rPr>
        <w:t>فالإمام قال</w:t>
      </w:r>
      <w:r w:rsidR="000636C2">
        <w:rPr>
          <w:rFonts w:hint="cs"/>
          <w:rtl/>
        </w:rPr>
        <w:t>:</w:t>
      </w:r>
      <w:r w:rsidRPr="005675B2">
        <w:rPr>
          <w:rFonts w:hint="cs"/>
          <w:rtl/>
        </w:rPr>
        <w:t xml:space="preserve"> إن خبر الواحد لا يتمسك به في معرفة الله وصفاته، ولم يقل لا يتمسك به في العقيدة مطلقا</w:t>
      </w:r>
      <w:r w:rsidR="000636C2">
        <w:rPr>
          <w:rFonts w:hint="cs"/>
          <w:rtl/>
        </w:rPr>
        <w:t>،</w:t>
      </w:r>
      <w:r w:rsidRPr="005675B2">
        <w:rPr>
          <w:rFonts w:hint="cs"/>
          <w:rtl/>
        </w:rPr>
        <w:t xml:space="preserve"> وذلك لأن من العقائد ما يطلب فيه القطع واليقين ولا يكتفي فيه بالظن، وهي أصول العقائد الإسلامية وفي مقدمتها معرفة الله تعالى وصفاته</w:t>
      </w:r>
      <w:r w:rsidR="000636C2">
        <w:rPr>
          <w:rFonts w:hint="cs"/>
          <w:rtl/>
        </w:rPr>
        <w:t>،</w:t>
      </w:r>
      <w:r w:rsidRPr="005675B2">
        <w:rPr>
          <w:rFonts w:hint="cs"/>
          <w:rtl/>
        </w:rPr>
        <w:t xml:space="preserve"> وهذا القسم من العقيدة لا يصح الاستدلال عليه إلا بالدلائل المفيدة للقطع واليقين، ولا يصح الاستدلال عليها بالدلائل المفيدة للظن</w:t>
      </w:r>
      <w:r w:rsidR="000636C2">
        <w:rPr>
          <w:rFonts w:hint="cs"/>
          <w:rtl/>
        </w:rPr>
        <w:t>،</w:t>
      </w:r>
      <w:r w:rsidRPr="005675B2">
        <w:rPr>
          <w:rFonts w:hint="cs"/>
          <w:rtl/>
        </w:rPr>
        <w:t xml:space="preserve"> ومنها خبر الواحد إذا لم يقترن بقرائن يفيد معها العلم، وهذا القسم من العقائد هو الذي يكون جهله وعدم العلم به موجبا للكفر، أو لا يكون جهله موجبا للكفر لكن يكون اعتقاد ضده موجبا للكفر كما قدمناه آنفا</w:t>
      </w:r>
      <w:r w:rsidR="000636C2">
        <w:rPr>
          <w:rFonts w:hint="cs"/>
          <w:rtl/>
        </w:rPr>
        <w:t xml:space="preserve">، </w:t>
      </w:r>
      <w:r w:rsidRPr="005675B2">
        <w:rPr>
          <w:rFonts w:hint="cs"/>
          <w:rtl/>
        </w:rPr>
        <w:t>والقسم الثاني من العقائد ما يكتفي فيه بالظن ولا يطلب فيه القطع واليقين، وهو ما ليس من الأصول في العقيدة، وهذا القسم لا يكون جهله أو اعتقاد ضده موجبا للكفر، بل يكون اعتقاد ضده موجبا للإثم والبدعة</w:t>
      </w:r>
      <w:r w:rsidR="000636C2">
        <w:rPr>
          <w:rFonts w:hint="cs"/>
          <w:rtl/>
        </w:rPr>
        <w:t>،</w:t>
      </w:r>
      <w:r w:rsidRPr="005675B2">
        <w:rPr>
          <w:rFonts w:hint="cs"/>
          <w:rtl/>
        </w:rPr>
        <w:t xml:space="preserve"> وهذا القسم من العقائد يستدل عليه بالدلائل المفيدة للظن، ومنها خبر الواحد هذا هو معنى كلام الإمام الرازي</w:t>
      </w:r>
      <w:r w:rsidR="000636C2">
        <w:rPr>
          <w:rFonts w:hint="cs"/>
          <w:rtl/>
        </w:rPr>
        <w:t>:</w:t>
      </w:r>
      <w:r w:rsidRPr="005675B2">
        <w:rPr>
          <w:rFonts w:hint="cs"/>
          <w:rtl/>
        </w:rPr>
        <w:t xml:space="preserve"> « أن أخبار الآحاد مظنونة فلم يجز التمسك بها في معرفة الله تعالى وصفاته »</w:t>
      </w:r>
      <w:r w:rsidR="000636C2">
        <w:rPr>
          <w:rFonts w:hint="cs"/>
          <w:rtl/>
        </w:rPr>
        <w:t xml:space="preserve">، </w:t>
      </w:r>
      <w:r w:rsidRPr="005675B2">
        <w:rPr>
          <w:rFonts w:hint="cs"/>
          <w:rtl/>
        </w:rPr>
        <w:t>وأما قطع الإمام الرازي بأن رواية الصحابة كلهم مظنونة وأنها لا تفيد القطع واليقين فقد قصد بها الرواية التي وردت آحاداً ولم يقترن بها من القرائن ما تفيد معها العلم، يدل على هذا سياق كلامه، فإن كلامه في أخبار الآحاد، وأخبار الآحاد من حيث هي أخبار آحاد مظنونة لا تفيد القطع واليقين</w:t>
      </w:r>
      <w:r w:rsidR="000636C2">
        <w:rPr>
          <w:rFonts w:hint="cs"/>
          <w:rtl/>
        </w:rPr>
        <w:t>،</w:t>
      </w:r>
      <w:r w:rsidRPr="005675B2">
        <w:rPr>
          <w:rFonts w:hint="cs"/>
          <w:rtl/>
        </w:rPr>
        <w:t xml:space="preserve"> وهذا ما لا يخالف فيه أحد من أئمة المسلمين وعلمائهم إلا النزر القليل، وقد استدل الإمام على ذلك بطعن الصحابة بعضهم في بعض ورد بعضهم رواية البعض الآخر لأسباب اقتضت ذلك</w:t>
      </w:r>
      <w:r w:rsidR="000636C2">
        <w:rPr>
          <w:rFonts w:hint="cs"/>
          <w:rtl/>
        </w:rPr>
        <w:t>،</w:t>
      </w:r>
      <w:r w:rsidRPr="005675B2">
        <w:rPr>
          <w:rFonts w:hint="cs"/>
          <w:rtl/>
        </w:rPr>
        <w:t xml:space="preserve"> وهو استدلال صحيح لا غبار عليه</w:t>
      </w:r>
      <w:r w:rsidR="000636C2">
        <w:rPr>
          <w:rFonts w:hint="cs"/>
          <w:rtl/>
        </w:rPr>
        <w:t>،</w:t>
      </w:r>
    </w:p>
    <w:p w14:paraId="3F1A4058" w14:textId="2E3B99DB" w:rsidR="009C32A0" w:rsidRPr="005675B2" w:rsidRDefault="009C32A0" w:rsidP="000636C2">
      <w:pPr>
        <w:rPr>
          <w:b/>
          <w:rtl/>
        </w:rPr>
      </w:pPr>
      <w:r w:rsidRPr="005675B2">
        <w:rPr>
          <w:rFonts w:hint="cs"/>
          <w:rtl/>
        </w:rPr>
        <w:t>29 - هل قطع الرازي بأن في الصحيحين أحاديث وضعها الزنادقة</w:t>
      </w:r>
      <w:r w:rsidR="000636C2">
        <w:rPr>
          <w:rFonts w:hint="cs"/>
          <w:rtl/>
        </w:rPr>
        <w:t xml:space="preserve">؟: </w:t>
      </w:r>
      <w:r w:rsidRPr="005675B2">
        <w:rPr>
          <w:rFonts w:hint="cs"/>
          <w:rtl/>
        </w:rPr>
        <w:t>وأما قول الدكتور</w:t>
      </w:r>
      <w:r w:rsidR="000636C2">
        <w:rPr>
          <w:rFonts w:hint="cs"/>
          <w:rtl/>
        </w:rPr>
        <w:t>:</w:t>
      </w:r>
      <w:r w:rsidRPr="005675B2">
        <w:rPr>
          <w:rFonts w:hint="cs"/>
          <w:rtl/>
        </w:rPr>
        <w:t xml:space="preserve"> {و</w:t>
      </w:r>
      <w:r w:rsidR="000636C2">
        <w:rPr>
          <w:rFonts w:hint="cs"/>
          <w:rtl/>
        </w:rPr>
        <w:t>(</w:t>
      </w:r>
      <w:r w:rsidRPr="005675B2">
        <w:rPr>
          <w:rFonts w:hint="cs"/>
          <w:rtl/>
        </w:rPr>
        <w:t>قطع الرازي</w:t>
      </w:r>
      <w:r w:rsidR="000636C2">
        <w:rPr>
          <w:rFonts w:hint="cs"/>
          <w:rtl/>
        </w:rPr>
        <w:t>)</w:t>
      </w:r>
      <w:r w:rsidRPr="005675B2">
        <w:rPr>
          <w:rFonts w:hint="cs"/>
          <w:rtl/>
        </w:rPr>
        <w:t xml:space="preserve"> أنه في الصحيحين أحاديث وضعها الزنادقة .. إلى آخر مالا استجيز نقله لغير المتخصين</w:t>
      </w:r>
      <w:r w:rsidR="000636C2">
        <w:rPr>
          <w:rFonts w:hint="cs"/>
          <w:rtl/>
        </w:rPr>
        <w:t>،</w:t>
      </w:r>
      <w:r w:rsidRPr="005675B2">
        <w:rPr>
          <w:rFonts w:hint="cs"/>
          <w:rtl/>
        </w:rPr>
        <w:t xml:space="preserve"> وهو في كتابيه أساس التقديس والأربعين "</w:t>
      </w:r>
      <w:r w:rsidR="000636C2">
        <w:rPr>
          <w:rFonts w:hint="cs"/>
          <w:rtl/>
        </w:rPr>
        <w:t xml:space="preserve">، </w:t>
      </w:r>
      <w:r w:rsidRPr="005675B2">
        <w:rPr>
          <w:rFonts w:hint="cs"/>
          <w:rtl/>
        </w:rPr>
        <w:t>أقول</w:t>
      </w:r>
      <w:r w:rsidR="000636C2">
        <w:rPr>
          <w:rFonts w:hint="cs"/>
          <w:rtl/>
        </w:rPr>
        <w:t>:</w:t>
      </w:r>
      <w:r w:rsidRPr="005675B2">
        <w:rPr>
          <w:rFonts w:hint="cs"/>
          <w:rtl/>
        </w:rPr>
        <w:t xml:space="preserve"> لم يستجز الدكتور نقله لأجل التدليس والتلبيس على القراء من أجل أن لا يطلع القراء على عدم صحة نسبته هذا القول إلى الإمام الرازي، وهو لا يعلم أن هناك من القراء من هو له بالمرصاد</w:t>
      </w:r>
      <w:r w:rsidR="000636C2">
        <w:rPr>
          <w:rFonts w:hint="cs"/>
          <w:rtl/>
        </w:rPr>
        <w:t>،</w:t>
      </w:r>
      <w:r w:rsidRPr="005675B2">
        <w:rPr>
          <w:rFonts w:hint="cs"/>
          <w:rtl/>
        </w:rPr>
        <w:t xml:space="preserve"> وأما أنا فاستجيز نقل كلام الرازي بل استوجبه كي تنجلي حقيقة الأمر، وحتى </w:t>
      </w:r>
      <w:r w:rsidR="000636C2">
        <w:rPr>
          <w:rFonts w:hint="cs"/>
          <w:rtl/>
        </w:rPr>
        <w:t>(</w:t>
      </w:r>
      <w:r w:rsidRPr="005675B2">
        <w:rPr>
          <w:rFonts w:hint="cs"/>
          <w:rtl/>
        </w:rPr>
        <w:t>تعلم حين ينجلي الغبار .. أفرس تحتك أم حمار</w:t>
      </w:r>
      <w:r w:rsidR="000636C2">
        <w:rPr>
          <w:rFonts w:hint="cs"/>
          <w:rtl/>
        </w:rPr>
        <w:t xml:space="preserve">)، </w:t>
      </w:r>
      <w:r w:rsidRPr="005675B2">
        <w:rPr>
          <w:rFonts w:hint="cs"/>
          <w:rtl/>
        </w:rPr>
        <w:t>وإليك كلام الإمام الرازي بنصه</w:t>
      </w:r>
      <w:r w:rsidR="000636C2">
        <w:rPr>
          <w:rFonts w:hint="cs"/>
          <w:rtl/>
        </w:rPr>
        <w:t>:</w:t>
      </w:r>
      <w:r w:rsidRPr="005675B2">
        <w:rPr>
          <w:rFonts w:hint="cs"/>
          <w:rtl/>
        </w:rPr>
        <w:t xml:space="preserve"> قال في "أساس التقديس"</w:t>
      </w:r>
      <w:r w:rsidR="000636C2">
        <w:rPr>
          <w:rFonts w:hint="cs"/>
          <w:rtl/>
        </w:rPr>
        <w:t>:</w:t>
      </w:r>
      <w:r w:rsidRPr="005675B2">
        <w:rPr>
          <w:rFonts w:hint="cs"/>
          <w:rtl/>
        </w:rPr>
        <w:t xml:space="preserve"> [</w:t>
      </w:r>
      <w:r w:rsidRPr="005675B2">
        <w:rPr>
          <w:rFonts w:hint="cs"/>
          <w:sz w:val="24"/>
          <w:szCs w:val="24"/>
          <w:rtl/>
        </w:rPr>
        <w:t>170</w:t>
      </w:r>
      <w:r w:rsidRPr="005675B2">
        <w:rPr>
          <w:rFonts w:hint="cs"/>
          <w:rtl/>
        </w:rPr>
        <w:t>]</w:t>
      </w:r>
      <w:r w:rsidR="000636C2">
        <w:rPr>
          <w:rFonts w:hint="cs"/>
          <w:rtl/>
        </w:rPr>
        <w:t xml:space="preserve">، </w:t>
      </w:r>
      <w:r w:rsidRPr="005675B2">
        <w:rPr>
          <w:rFonts w:hint="cs"/>
          <w:rtl/>
        </w:rPr>
        <w:t>«</w:t>
      </w:r>
      <w:r w:rsidR="000636C2">
        <w:rPr>
          <w:rFonts w:hint="cs"/>
          <w:rtl/>
        </w:rPr>
        <w:t xml:space="preserve"> </w:t>
      </w:r>
      <w:r w:rsidRPr="005675B2">
        <w:rPr>
          <w:rFonts w:hint="cs"/>
          <w:rtl/>
        </w:rPr>
        <w:t>إنه اشتهر بين الأمة أن جماعة من الملاحدة وضعوا أخبارا منكرة، واحتالوا في ترويجها على المحدثين، والمحدثون لسلامة قلوبهم ما عرفوها، بل قبلوها، وأي منكر فوق وصف الله تعالى بما يقدح في الإ̃لهية ويبطل الربوبية</w:t>
      </w:r>
      <w:r w:rsidR="000636C2">
        <w:rPr>
          <w:rFonts w:hint="cs"/>
          <w:rtl/>
        </w:rPr>
        <w:t>؟</w:t>
      </w:r>
      <w:r w:rsidRPr="005675B2">
        <w:rPr>
          <w:rFonts w:hint="cs"/>
          <w:rtl/>
        </w:rPr>
        <w:t xml:space="preserve"> </w:t>
      </w:r>
      <w:r w:rsidR="000636C2">
        <w:rPr>
          <w:rFonts w:hint="cs"/>
          <w:rtl/>
        </w:rPr>
        <w:t>(</w:t>
      </w:r>
      <w:r w:rsidRPr="005675B2">
        <w:rPr>
          <w:rFonts w:hint="cs"/>
          <w:rtl/>
        </w:rPr>
        <w:t>يعني أن جملة من هذه الأخبار مشتملة على وصف الله تعالى بذلك</w:t>
      </w:r>
      <w:r w:rsidR="000636C2">
        <w:rPr>
          <w:rFonts w:hint="cs"/>
          <w:rtl/>
        </w:rPr>
        <w:t>)</w:t>
      </w:r>
      <w:r w:rsidRPr="005675B2">
        <w:rPr>
          <w:rFonts w:hint="cs"/>
          <w:rtl/>
        </w:rPr>
        <w:t>، فوجب القطع في أمثال هذه الأخبار بأنها موضوعة</w:t>
      </w:r>
      <w:r w:rsidR="000636C2">
        <w:rPr>
          <w:rFonts w:hint="cs"/>
          <w:rtl/>
        </w:rPr>
        <w:t xml:space="preserve">، </w:t>
      </w:r>
      <w:r w:rsidRPr="005675B2">
        <w:rPr>
          <w:rFonts w:hint="cs"/>
          <w:rtl/>
        </w:rPr>
        <w:t xml:space="preserve">وأما البخاري والقشيري </w:t>
      </w:r>
      <w:r w:rsidR="000636C2">
        <w:rPr>
          <w:rFonts w:hint="cs"/>
          <w:rtl/>
        </w:rPr>
        <w:t>(</w:t>
      </w:r>
      <w:r w:rsidRPr="005675B2">
        <w:rPr>
          <w:rFonts w:hint="cs"/>
          <w:rtl/>
        </w:rPr>
        <w:t>يعني مسلما</w:t>
      </w:r>
      <w:r w:rsidR="000636C2">
        <w:rPr>
          <w:rFonts w:hint="cs"/>
          <w:rtl/>
        </w:rPr>
        <w:t>)</w:t>
      </w:r>
      <w:r w:rsidRPr="005675B2">
        <w:rPr>
          <w:rFonts w:hint="cs"/>
          <w:rtl/>
        </w:rPr>
        <w:t xml:space="preserve"> فهما ما كان عالمين بالغيوب، بل اجهدا واحتاطا بمقدار طاقتهما</w:t>
      </w:r>
      <w:r w:rsidR="000636C2">
        <w:rPr>
          <w:rFonts w:hint="cs"/>
          <w:rtl/>
        </w:rPr>
        <w:t>،</w:t>
      </w:r>
      <w:r w:rsidRPr="005675B2">
        <w:rPr>
          <w:rFonts w:hint="cs"/>
          <w:rtl/>
        </w:rPr>
        <w:t xml:space="preserve"> فأما اعتقاد أنهما علما جميع الأحوال الواقعة في زمان الرسول صلى الله عليه وآله وسلم إلى زماننا </w:t>
      </w:r>
      <w:r w:rsidR="000636C2">
        <w:rPr>
          <w:rFonts w:hint="cs"/>
          <w:rtl/>
        </w:rPr>
        <w:t>[</w:t>
      </w:r>
      <w:r w:rsidRPr="005675B2">
        <w:rPr>
          <w:rFonts w:hint="cs"/>
          <w:sz w:val="24"/>
          <w:szCs w:val="24"/>
          <w:rtl/>
        </w:rPr>
        <w:t>هكذا في النسخة المطبوعة، والصواب: إلى زمانهما]</w:t>
      </w:r>
      <w:r w:rsidRPr="005675B2">
        <w:rPr>
          <w:rFonts w:hint="cs"/>
          <w:rtl/>
        </w:rPr>
        <w:t xml:space="preserve"> فذلك لا يقوله عاقل</w:t>
      </w:r>
      <w:r w:rsidR="000636C2">
        <w:rPr>
          <w:rFonts w:hint="cs"/>
          <w:rtl/>
        </w:rPr>
        <w:t>،</w:t>
      </w:r>
      <w:r w:rsidRPr="005675B2">
        <w:rPr>
          <w:rFonts w:hint="cs"/>
          <w:rtl/>
        </w:rPr>
        <w:t xml:space="preserve"> غاية ما في الباب أنا نحسن الظن بهما وبالذين رويا عنهم، إلا أنا إذا شاهدنا خبرا مشتملا على منكر لا يمكن اسناده إلى الرسول صلى الله عليه وسلم قطعنا بأنه من أوضاع الملاحدة، ومن ترويجاتهم على أولئك المحدثين »</w:t>
      </w:r>
      <w:r w:rsidR="000636C2">
        <w:rPr>
          <w:rFonts w:hint="cs"/>
          <w:rtl/>
        </w:rPr>
        <w:t>،</w:t>
      </w:r>
      <w:r w:rsidRPr="005675B2">
        <w:rPr>
          <w:rFonts w:hint="cs"/>
          <w:rtl/>
        </w:rPr>
        <w:t xml:space="preserve"> هذا هو كلام الإمام بنصه في "أساس التقديس" فارجع البصر هل ترى من فطور</w:t>
      </w:r>
      <w:r w:rsidR="000636C2">
        <w:rPr>
          <w:rFonts w:hint="cs"/>
          <w:rtl/>
        </w:rPr>
        <w:t>؟</w:t>
      </w:r>
      <w:r w:rsidRPr="005675B2">
        <w:rPr>
          <w:rFonts w:hint="cs"/>
          <w:rtl/>
        </w:rPr>
        <w:t xml:space="preserve"> ولم أر له كلاما متعلقا بالموضوع في "الأربعين"</w:t>
      </w:r>
      <w:r w:rsidR="000636C2">
        <w:rPr>
          <w:rFonts w:hint="cs"/>
          <w:rtl/>
        </w:rPr>
        <w:t>،</w:t>
      </w:r>
      <w:r w:rsidRPr="005675B2">
        <w:rPr>
          <w:rFonts w:hint="cs"/>
          <w:rtl/>
        </w:rPr>
        <w:t xml:space="preserve"> أقول ما قاله الإمام الرازي موافق لما قاله أئمة الحديث ونقاده من أن من علامات وضع الحديث أن يكون مخالفا للأصول الشرعية والقواعد المقررة، ومن علاماته اشتماله على أمر منكر ومستحيل</w:t>
      </w:r>
      <w:r w:rsidR="000636C2">
        <w:rPr>
          <w:rFonts w:hint="cs"/>
          <w:rtl/>
        </w:rPr>
        <w:t xml:space="preserve">، </w:t>
      </w:r>
      <w:r w:rsidRPr="005675B2">
        <w:rPr>
          <w:rFonts w:hint="cs"/>
          <w:rtl/>
        </w:rPr>
        <w:t>ومن ثمه قال الإمام الناقد عبد الرحمن بن الجوزي</w:t>
      </w:r>
      <w:r w:rsidR="000636C2">
        <w:rPr>
          <w:rFonts w:hint="cs"/>
          <w:rtl/>
        </w:rPr>
        <w:t>:</w:t>
      </w:r>
      <w:r w:rsidRPr="005675B2">
        <w:rPr>
          <w:rFonts w:hint="cs"/>
          <w:rtl/>
        </w:rPr>
        <w:t xml:space="preserve"> </w:t>
      </w:r>
      <w:r w:rsidR="000636C2">
        <w:rPr>
          <w:rFonts w:hint="cs"/>
          <w:rtl/>
        </w:rPr>
        <w:t>(</w:t>
      </w:r>
      <w:r w:rsidRPr="005675B2">
        <w:rPr>
          <w:rFonts w:hint="cs"/>
          <w:rtl/>
        </w:rPr>
        <w:t>كل حديث رأيته يخالف المعقول أو يناقض الأصول فاعلم أنه موضوع ..</w:t>
      </w:r>
      <w:r w:rsidR="000636C2">
        <w:rPr>
          <w:rFonts w:hint="cs"/>
          <w:rtl/>
        </w:rPr>
        <w:t>)</w:t>
      </w:r>
      <w:r w:rsidRPr="005675B2">
        <w:rPr>
          <w:rFonts w:hint="cs"/>
          <w:rtl/>
        </w:rPr>
        <w:t xml:space="preserve"> وذكر حديثا من هذا النوع، ثم قال</w:t>
      </w:r>
      <w:r w:rsidR="000636C2">
        <w:rPr>
          <w:rFonts w:hint="cs"/>
          <w:rtl/>
        </w:rPr>
        <w:t>:</w:t>
      </w:r>
      <w:r w:rsidRPr="005675B2">
        <w:rPr>
          <w:rFonts w:hint="cs"/>
          <w:rtl/>
        </w:rPr>
        <w:t xml:space="preserve"> </w:t>
      </w:r>
      <w:r w:rsidR="000636C2">
        <w:rPr>
          <w:rFonts w:hint="cs"/>
          <w:rtl/>
        </w:rPr>
        <w:t>(</w:t>
      </w:r>
      <w:r w:rsidRPr="005675B2">
        <w:rPr>
          <w:rFonts w:hint="cs"/>
          <w:rtl/>
        </w:rPr>
        <w:t>فمثل هذا الحديث لا يحتاج إلى اعتبار رواته لأن المستحيل لو صدر عن الثقات رد ونسب إليهم الخطأ [</w:t>
      </w:r>
      <w:r w:rsidRPr="005675B2">
        <w:rPr>
          <w:rFonts w:hint="cs"/>
          <w:sz w:val="24"/>
          <w:szCs w:val="24"/>
          <w:rtl/>
        </w:rPr>
        <w:t>الموضوعات 1/105]</w:t>
      </w:r>
      <w:r w:rsidRPr="005675B2">
        <w:rPr>
          <w:rFonts w:hint="cs"/>
          <w:rtl/>
        </w:rPr>
        <w:t xml:space="preserve"> وقال الإمام الحافظ الخطيب البغدادي في "الفقيه والمتفقه"</w:t>
      </w:r>
      <w:r w:rsidR="000636C2">
        <w:rPr>
          <w:rFonts w:hint="cs"/>
          <w:rtl/>
        </w:rPr>
        <w:t>،</w:t>
      </w:r>
      <w:r w:rsidRPr="005675B2">
        <w:rPr>
          <w:rFonts w:hint="cs"/>
          <w:rtl/>
        </w:rPr>
        <w:t xml:space="preserve"> [</w:t>
      </w:r>
      <w:r w:rsidRPr="005675B2">
        <w:rPr>
          <w:rFonts w:hint="cs"/>
          <w:sz w:val="24"/>
          <w:szCs w:val="24"/>
          <w:rtl/>
        </w:rPr>
        <w:t>1/132]</w:t>
      </w:r>
    </w:p>
    <w:p w14:paraId="6D233DBE" w14:textId="3224A51B" w:rsidR="009C32A0" w:rsidRPr="005675B2" w:rsidRDefault="009C32A0" w:rsidP="000636C2">
      <w:pPr>
        <w:rPr>
          <w:b/>
          <w:rtl/>
        </w:rPr>
      </w:pPr>
      <w:r w:rsidRPr="005675B2">
        <w:rPr>
          <w:rFonts w:hint="cs"/>
          <w:rtl/>
        </w:rPr>
        <w:t>باب القول فيما يرد به خبر الواحد</w:t>
      </w:r>
      <w:r w:rsidR="000636C2">
        <w:rPr>
          <w:rFonts w:hint="cs"/>
          <w:rtl/>
        </w:rPr>
        <w:t xml:space="preserve">: </w:t>
      </w:r>
      <w:r w:rsidRPr="005675B2">
        <w:rPr>
          <w:rFonts w:hint="cs"/>
          <w:rtl/>
        </w:rPr>
        <w:t>.. وإذا روى الثقة المأمون خبرا متصل الإسناد رد بأمور</w:t>
      </w:r>
      <w:r w:rsidR="000636C2">
        <w:rPr>
          <w:rFonts w:hint="cs"/>
          <w:rtl/>
        </w:rPr>
        <w:t>: (</w:t>
      </w:r>
      <w:r w:rsidRPr="005675B2">
        <w:rPr>
          <w:rFonts w:hint="cs"/>
          <w:rtl/>
        </w:rPr>
        <w:t>أحدها</w:t>
      </w:r>
      <w:r w:rsidR="000636C2">
        <w:rPr>
          <w:rFonts w:hint="cs"/>
          <w:rtl/>
        </w:rPr>
        <w:t>):</w:t>
      </w:r>
      <w:r w:rsidRPr="005675B2">
        <w:rPr>
          <w:rFonts w:hint="cs"/>
          <w:rtl/>
        </w:rPr>
        <w:t xml:space="preserve"> أن يخالف موجبات العقول فيعلم بطلانه، لأن الشرع إنما يرد بمجوزات العقول، وأما بخلاف العقول فلا</w:t>
      </w:r>
      <w:r w:rsidR="000636C2">
        <w:rPr>
          <w:rFonts w:hint="cs"/>
          <w:rtl/>
        </w:rPr>
        <w:t>، (</w:t>
      </w:r>
      <w:r w:rsidRPr="005675B2">
        <w:rPr>
          <w:rFonts w:hint="cs"/>
          <w:rtl/>
        </w:rPr>
        <w:t>الثاني</w:t>
      </w:r>
      <w:r w:rsidR="000636C2">
        <w:rPr>
          <w:rFonts w:hint="cs"/>
          <w:rtl/>
        </w:rPr>
        <w:t>)</w:t>
      </w:r>
      <w:r w:rsidRPr="005675B2">
        <w:rPr>
          <w:rFonts w:hint="cs"/>
          <w:rtl/>
        </w:rPr>
        <w:t xml:space="preserve"> أن يخالف نص الكتاب أو السنة المتواترة، فيعلم أنه لا اصل له أو منسوخ</w:t>
      </w:r>
      <w:r w:rsidR="000636C2">
        <w:rPr>
          <w:rFonts w:hint="cs"/>
          <w:rtl/>
        </w:rPr>
        <w:t xml:space="preserve">، </w:t>
      </w:r>
      <w:r w:rsidRPr="005675B2">
        <w:rPr>
          <w:rFonts w:hint="cs"/>
          <w:rtl/>
        </w:rPr>
        <w:t xml:space="preserve">و </w:t>
      </w:r>
      <w:r w:rsidR="000636C2">
        <w:rPr>
          <w:rFonts w:hint="cs"/>
          <w:rtl/>
        </w:rPr>
        <w:t>(</w:t>
      </w:r>
      <w:r w:rsidRPr="005675B2">
        <w:rPr>
          <w:rFonts w:hint="cs"/>
          <w:rtl/>
        </w:rPr>
        <w:t>الثالث</w:t>
      </w:r>
      <w:r w:rsidR="000636C2">
        <w:rPr>
          <w:rFonts w:hint="cs"/>
          <w:rtl/>
        </w:rPr>
        <w:t>):</w:t>
      </w:r>
      <w:r w:rsidRPr="005675B2">
        <w:rPr>
          <w:rFonts w:hint="cs"/>
          <w:rtl/>
        </w:rPr>
        <w:t xml:space="preserve"> أن يخالف الإجماع، فيستدل على أنه منسوخ أولا اصل له ..</w:t>
      </w:r>
      <w:r w:rsidR="000636C2">
        <w:rPr>
          <w:rFonts w:hint="cs"/>
          <w:rtl/>
        </w:rPr>
        <w:t xml:space="preserve"> </w:t>
      </w:r>
      <w:r w:rsidRPr="005675B2">
        <w:rPr>
          <w:rFonts w:hint="cs"/>
          <w:rtl/>
        </w:rPr>
        <w:t>فانظر أيها القارئ المنصف هل قال الرازي شيئا غير ما قال أئمة الحديث ونقاده</w:t>
      </w:r>
      <w:r w:rsidR="000636C2">
        <w:rPr>
          <w:rFonts w:hint="cs"/>
          <w:rtl/>
        </w:rPr>
        <w:t>؟!</w:t>
      </w:r>
      <w:r w:rsidRPr="005675B2">
        <w:rPr>
          <w:rFonts w:hint="cs"/>
          <w:rtl/>
        </w:rPr>
        <w:t xml:space="preserve"> ثم انظر هل صحيح أن الرازي قد قطع بأن في الصحيحين أحاديث وضعها الزنادقة ..</w:t>
      </w:r>
      <w:r w:rsidR="000636C2">
        <w:rPr>
          <w:rFonts w:hint="cs"/>
          <w:rtl/>
        </w:rPr>
        <w:t>؟!</w:t>
      </w:r>
      <w:r w:rsidRPr="005675B2">
        <w:rPr>
          <w:rFonts w:hint="cs"/>
          <w:rtl/>
        </w:rPr>
        <w:t xml:space="preserve"> أم أنه تكلم بكلام عام متين، وحكم بحكم واسع مستقيم وافق فيه غيره من الأئمة النقاد المحققين</w:t>
      </w:r>
      <w:r w:rsidR="000636C2">
        <w:rPr>
          <w:rFonts w:hint="cs"/>
          <w:rtl/>
        </w:rPr>
        <w:t xml:space="preserve">، </w:t>
      </w:r>
      <w:r w:rsidRPr="005675B2">
        <w:rPr>
          <w:rFonts w:hint="cs"/>
          <w:rtl/>
        </w:rPr>
        <w:t>وذلك قوله</w:t>
      </w:r>
      <w:r w:rsidR="000636C2">
        <w:rPr>
          <w:rFonts w:hint="cs"/>
          <w:rtl/>
        </w:rPr>
        <w:t>:</w:t>
      </w:r>
      <w:r w:rsidRPr="005675B2">
        <w:rPr>
          <w:rFonts w:hint="cs"/>
          <w:rtl/>
        </w:rPr>
        <w:t xml:space="preserve"> « إلا أنا إذا شاهدنا خبرا مشتملا على منكر » حيث عمم فيه الكلام ولم يخصص</w:t>
      </w:r>
      <w:r w:rsidR="000636C2">
        <w:rPr>
          <w:rFonts w:hint="cs"/>
          <w:rtl/>
        </w:rPr>
        <w:t>،</w:t>
      </w:r>
      <w:r w:rsidRPr="005675B2">
        <w:rPr>
          <w:rFonts w:hint="cs"/>
          <w:rtl/>
        </w:rPr>
        <w:t xml:space="preserve"> نعم سياق كلامه يوهم أن يُجَوِّز أن يكون في الصحيحين شيء من هذا النوع من الأخبار، ويفيد أنه على تقدير وجودها فيهما فهي مردودة</w:t>
      </w:r>
      <w:r w:rsidR="000636C2">
        <w:rPr>
          <w:rFonts w:hint="cs"/>
          <w:rtl/>
        </w:rPr>
        <w:t>،</w:t>
      </w:r>
      <w:r w:rsidRPr="005675B2">
        <w:rPr>
          <w:rFonts w:hint="cs"/>
          <w:rtl/>
        </w:rPr>
        <w:t xml:space="preserve"> لكن ما يوهمه كلامه غير صحيح، وأما ما يفيده فهو صحيح لا غبار عليه</w:t>
      </w:r>
      <w:r w:rsidR="000636C2">
        <w:rPr>
          <w:rFonts w:hint="cs"/>
          <w:rtl/>
        </w:rPr>
        <w:t xml:space="preserve">، </w:t>
      </w:r>
      <w:r w:rsidRPr="005675B2">
        <w:rPr>
          <w:rFonts w:hint="cs"/>
          <w:rtl/>
        </w:rPr>
        <w:t>وأما أن الإمام الرازي قطع بأن في الصحيحين أحاديث وضعها الزنادقة فليس له في كلامه عين ولا أثر</w:t>
      </w:r>
      <w:r w:rsidR="000636C2">
        <w:rPr>
          <w:rFonts w:hint="cs"/>
          <w:rtl/>
        </w:rPr>
        <w:t>!</w:t>
      </w:r>
      <w:r w:rsidRPr="005675B2">
        <w:rPr>
          <w:rFonts w:hint="cs"/>
          <w:rtl/>
        </w:rPr>
        <w:t xml:space="preserve"> ثم إن ابن تيمية قال ببعض ما قاله الرازى وزاد عليه فى البعض الآخر</w:t>
      </w:r>
      <w:r w:rsidR="000636C2">
        <w:rPr>
          <w:rFonts w:hint="cs"/>
          <w:rtl/>
        </w:rPr>
        <w:t>،</w:t>
      </w:r>
      <w:r w:rsidRPr="005675B2">
        <w:rPr>
          <w:rFonts w:hint="cs"/>
          <w:rtl/>
        </w:rPr>
        <w:t xml:space="preserve"> قال فى "منهاج السنة" </w:t>
      </w:r>
      <w:r w:rsidR="000636C2">
        <w:rPr>
          <w:rFonts w:hint="cs"/>
          <w:rtl/>
        </w:rPr>
        <w:t>(</w:t>
      </w:r>
      <w:r w:rsidRPr="005675B2">
        <w:rPr>
          <w:rFonts w:hint="cs"/>
          <w:rtl/>
        </w:rPr>
        <w:t>وخبر الواحد لا يفيد العلم الا بقرائن</w:t>
      </w:r>
      <w:r w:rsidR="000636C2">
        <w:rPr>
          <w:rFonts w:hint="cs"/>
          <w:rtl/>
        </w:rPr>
        <w:t>)</w:t>
      </w:r>
      <w:r w:rsidRPr="005675B2">
        <w:rPr>
          <w:rFonts w:hint="cs"/>
          <w:rtl/>
        </w:rPr>
        <w:t>، [</w:t>
      </w:r>
      <w:r w:rsidRPr="005675B2">
        <w:rPr>
          <w:rFonts w:hint="cs"/>
          <w:sz w:val="24"/>
          <w:szCs w:val="24"/>
          <w:rtl/>
        </w:rPr>
        <w:t>7/516</w:t>
      </w:r>
      <w:r w:rsidRPr="005675B2">
        <w:rPr>
          <w:rFonts w:hint="cs"/>
          <w:rtl/>
        </w:rPr>
        <w:t xml:space="preserve">] وقد توقف ابن تيمية فى قبول الحديث الاحادى فى العقيدة بحجة أنه غير متواتر، حيث قال فى "نقد مراتب الإجماع" عن حديث </w:t>
      </w:r>
      <w:r w:rsidR="000636C2">
        <w:rPr>
          <w:rFonts w:hint="cs"/>
          <w:rtl/>
        </w:rPr>
        <w:t>(</w:t>
      </w:r>
      <w:r w:rsidRPr="005675B2">
        <w:rPr>
          <w:rFonts w:hint="cs"/>
          <w:rtl/>
        </w:rPr>
        <w:t>كان الله ولم يكن شىء غيره</w:t>
      </w:r>
      <w:r w:rsidR="000636C2">
        <w:rPr>
          <w:rFonts w:hint="cs"/>
          <w:rtl/>
        </w:rPr>
        <w:t>):</w:t>
      </w:r>
      <w:r w:rsidRPr="005675B2">
        <w:rPr>
          <w:rFonts w:hint="cs"/>
          <w:rtl/>
        </w:rPr>
        <w:t xml:space="preserve"> </w:t>
      </w:r>
      <w:r w:rsidR="000636C2">
        <w:rPr>
          <w:rFonts w:hint="cs"/>
          <w:rtl/>
        </w:rPr>
        <w:t>(</w:t>
      </w:r>
      <w:r w:rsidRPr="005675B2">
        <w:rPr>
          <w:rFonts w:hint="cs"/>
          <w:rtl/>
        </w:rPr>
        <w:t>وهذا الحديث لو كان نصا فيما ذكر فليس متواترا</w:t>
      </w:r>
      <w:r w:rsidR="000636C2">
        <w:rPr>
          <w:rFonts w:hint="cs"/>
          <w:rtl/>
        </w:rPr>
        <w:t>)</w:t>
      </w:r>
      <w:r w:rsidRPr="005675B2">
        <w:rPr>
          <w:rFonts w:hint="cs"/>
          <w:rtl/>
        </w:rPr>
        <w:t xml:space="preserve"> </w:t>
      </w:r>
      <w:r w:rsidR="000636C2">
        <w:rPr>
          <w:rFonts w:hint="cs"/>
          <w:rtl/>
        </w:rPr>
        <w:t>[</w:t>
      </w:r>
      <w:r w:rsidRPr="005675B2">
        <w:rPr>
          <w:rFonts w:hint="cs"/>
          <w:sz w:val="24"/>
          <w:szCs w:val="24"/>
          <w:rtl/>
        </w:rPr>
        <w:t>170</w:t>
      </w:r>
      <w:r w:rsidRPr="005675B2">
        <w:rPr>
          <w:rFonts w:hint="cs"/>
          <w:rtl/>
        </w:rPr>
        <w:t>] وقال فى "مجموع الفتاوى"</w:t>
      </w:r>
      <w:r w:rsidR="000636C2">
        <w:rPr>
          <w:rFonts w:hint="cs"/>
          <w:rtl/>
        </w:rPr>
        <w:t>:</w:t>
      </w:r>
      <w:r w:rsidRPr="005675B2">
        <w:rPr>
          <w:rFonts w:hint="cs"/>
          <w:rtl/>
        </w:rPr>
        <w:t xml:space="preserve"> </w:t>
      </w:r>
      <w:r w:rsidR="000636C2">
        <w:rPr>
          <w:rFonts w:hint="cs"/>
          <w:rtl/>
        </w:rPr>
        <w:t>(</w:t>
      </w:r>
      <w:r w:rsidRPr="005675B2">
        <w:rPr>
          <w:rFonts w:hint="cs"/>
          <w:rtl/>
        </w:rPr>
        <w:t>والكذب كان قليلا فى السلف .. أما الصحابة فلم يعرف فيهم،</w:t>
      </w:r>
      <w:r w:rsidR="000636C2">
        <w:rPr>
          <w:rFonts w:hint="cs"/>
          <w:rtl/>
        </w:rPr>
        <w:t xml:space="preserve"> </w:t>
      </w:r>
      <w:r w:rsidRPr="005675B2">
        <w:rPr>
          <w:rFonts w:hint="cs"/>
          <w:rtl/>
        </w:rPr>
        <w:t>- ولله الحمد - من تعمد الكذب على النبى صلى الله عليه وآله وسلم .. أما الغلط فلم يسلم منه أكثر الناس، بل في الصحابة من غلط أحيانا وفيمن بعدهم، ولهذا كان فيما صنف في الصحيح أحاديث يعلم أنها غلط وإن كان جمهور متون الصحيحين مما يعلم أنه حق</w:t>
      </w:r>
      <w:r w:rsidR="000636C2">
        <w:rPr>
          <w:rFonts w:hint="cs"/>
          <w:rtl/>
        </w:rPr>
        <w:t>)</w:t>
      </w:r>
      <w:r w:rsidRPr="005675B2">
        <w:rPr>
          <w:rFonts w:hint="cs"/>
          <w:rtl/>
        </w:rPr>
        <w:t xml:space="preserve"> </w:t>
      </w:r>
      <w:r w:rsidR="000636C2">
        <w:rPr>
          <w:rFonts w:hint="cs"/>
          <w:rtl/>
        </w:rPr>
        <w:t>[</w:t>
      </w:r>
      <w:r w:rsidRPr="005675B2">
        <w:rPr>
          <w:rFonts w:hint="cs"/>
          <w:sz w:val="24"/>
          <w:szCs w:val="24"/>
          <w:rtl/>
        </w:rPr>
        <w:t>مجموع الفتاوى 1/249-250]</w:t>
      </w:r>
      <w:r w:rsidRPr="005675B2">
        <w:rPr>
          <w:rFonts w:hint="cs"/>
          <w:rtl/>
        </w:rPr>
        <w:t xml:space="preserve"> تأمل أيها الدكتور جيدا في هذا الكلام ولا سيما قوله</w:t>
      </w:r>
      <w:r w:rsidR="000636C2">
        <w:rPr>
          <w:rFonts w:hint="cs"/>
          <w:rtl/>
        </w:rPr>
        <w:t>:</w:t>
      </w:r>
      <w:r w:rsidRPr="005675B2">
        <w:rPr>
          <w:rFonts w:hint="cs"/>
          <w:rtl/>
        </w:rPr>
        <w:t xml:space="preserve"> </w:t>
      </w:r>
      <w:r w:rsidR="000636C2">
        <w:rPr>
          <w:rFonts w:hint="cs"/>
          <w:rtl/>
        </w:rPr>
        <w:t>(</w:t>
      </w:r>
      <w:r w:rsidRPr="005675B2">
        <w:rPr>
          <w:rFonts w:hint="cs"/>
          <w:rtl/>
        </w:rPr>
        <w:t>جمهور متون الصحيحين</w:t>
      </w:r>
      <w:r w:rsidR="000636C2">
        <w:rPr>
          <w:rFonts w:hint="cs"/>
          <w:rtl/>
        </w:rPr>
        <w:t>)</w:t>
      </w:r>
      <w:r w:rsidRPr="005675B2">
        <w:rPr>
          <w:rFonts w:hint="cs"/>
          <w:rtl/>
        </w:rPr>
        <w:t xml:space="preserve"> وتب من الهجوم على الأشاعرة والرازي، وإلا فهاجم ابن تيمية أيضا</w:t>
      </w:r>
      <w:r w:rsidR="000636C2">
        <w:rPr>
          <w:rFonts w:hint="cs"/>
          <w:rtl/>
        </w:rPr>
        <w:t>،</w:t>
      </w:r>
      <w:r w:rsidRPr="005675B2">
        <w:rPr>
          <w:rFonts w:hint="cs"/>
          <w:rtl/>
        </w:rPr>
        <w:t xml:space="preserve"> ولاتكن من الذين يكيلون بمكيالين</w:t>
      </w:r>
      <w:r w:rsidR="000636C2">
        <w:rPr>
          <w:rFonts w:hint="cs"/>
          <w:rtl/>
        </w:rPr>
        <w:t>!</w:t>
      </w:r>
    </w:p>
    <w:p w14:paraId="7C0490B0" w14:textId="7839C2DB" w:rsidR="009C32A0" w:rsidRPr="005675B2" w:rsidRDefault="009C32A0" w:rsidP="000636C2">
      <w:pPr>
        <w:rPr>
          <w:b/>
          <w:rtl/>
        </w:rPr>
      </w:pPr>
      <w:r w:rsidRPr="005675B2">
        <w:rPr>
          <w:rFonts w:hint="cs"/>
          <w:rtl/>
        </w:rPr>
        <w:t>30 - بيان السبب في قلة وجود الآيات والأحاديث في بعض كتب الأشاعرة الكلامية</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د - تقرأ في كتب عقيدتهم قديمها وحديثها المأة صحفة أو أكثر فلا تجد فيها آية ولا حديثا، لكنك تجد في كل فقرة </w:t>
      </w:r>
      <w:r w:rsidR="000636C2">
        <w:rPr>
          <w:rFonts w:hint="cs"/>
          <w:rtl/>
        </w:rPr>
        <w:t>(</w:t>
      </w:r>
      <w:r w:rsidRPr="005675B2">
        <w:rPr>
          <w:rFonts w:hint="cs"/>
          <w:rtl/>
        </w:rPr>
        <w:t>قال الحكماء</w:t>
      </w:r>
      <w:r w:rsidR="000636C2">
        <w:rPr>
          <w:rFonts w:hint="cs"/>
          <w:rtl/>
        </w:rPr>
        <w:t>)</w:t>
      </w:r>
      <w:r w:rsidRPr="005675B2">
        <w:rPr>
          <w:rFonts w:hint="cs"/>
          <w:rtl/>
        </w:rPr>
        <w:t xml:space="preserve"> أو </w:t>
      </w:r>
      <w:r w:rsidR="000636C2">
        <w:rPr>
          <w:rFonts w:hint="cs"/>
          <w:rtl/>
        </w:rPr>
        <w:t>(</w:t>
      </w:r>
      <w:r w:rsidRPr="005675B2">
        <w:rPr>
          <w:rFonts w:hint="cs"/>
          <w:rtl/>
        </w:rPr>
        <w:t>قال المعلم الأول</w:t>
      </w:r>
      <w:r w:rsidR="000636C2">
        <w:rPr>
          <w:rFonts w:hint="cs"/>
          <w:rtl/>
        </w:rPr>
        <w:t>)</w:t>
      </w:r>
      <w:r w:rsidRPr="005675B2">
        <w:rPr>
          <w:rFonts w:hint="cs"/>
          <w:rtl/>
        </w:rPr>
        <w:t xml:space="preserve"> أو </w:t>
      </w:r>
      <w:r w:rsidR="000636C2">
        <w:rPr>
          <w:rFonts w:hint="cs"/>
          <w:rtl/>
        </w:rPr>
        <w:t>(</w:t>
      </w:r>
      <w:r w:rsidRPr="005675B2">
        <w:rPr>
          <w:rFonts w:hint="cs"/>
          <w:rtl/>
        </w:rPr>
        <w:t>قالت الفلاسفة، ونحوها</w:t>
      </w:r>
      <w:r w:rsidR="000636C2">
        <w:rPr>
          <w:rFonts w:hint="cs"/>
          <w:rtl/>
        </w:rPr>
        <w:t>)</w:t>
      </w:r>
      <w:r w:rsidRPr="005675B2">
        <w:rPr>
          <w:rFonts w:hint="cs"/>
          <w:rtl/>
        </w:rPr>
        <w:t xml:space="preserve"> "</w:t>
      </w:r>
      <w:r w:rsidR="000636C2">
        <w:rPr>
          <w:rFonts w:hint="cs"/>
          <w:rtl/>
        </w:rPr>
        <w:t xml:space="preserve">، </w:t>
      </w:r>
      <w:r w:rsidRPr="005675B2">
        <w:rPr>
          <w:rFonts w:hint="cs"/>
          <w:rtl/>
        </w:rPr>
        <w:t>هكذا يصور الدكتور كتب عقيدة الأشاعرة عامة</w:t>
      </w:r>
      <w:r w:rsidR="000636C2">
        <w:rPr>
          <w:rFonts w:hint="cs"/>
          <w:rtl/>
        </w:rPr>
        <w:t>:</w:t>
      </w:r>
      <w:r w:rsidRPr="005675B2">
        <w:rPr>
          <w:rFonts w:hint="cs"/>
          <w:rtl/>
        </w:rPr>
        <w:t xml:space="preserve"> لا تجد في مأة صفحة أو أكثر آية ولا حديثا، ولا تخلو فقرة منها من نقل كلام الفلاسفة، هكذا يصور الدكتور كتب الأشاعرة كلها بدون استثناء</w:t>
      </w:r>
      <w:r w:rsidR="000636C2">
        <w:rPr>
          <w:rFonts w:hint="cs"/>
          <w:rtl/>
        </w:rPr>
        <w:t>!</w:t>
      </w:r>
      <w:r w:rsidRPr="005675B2">
        <w:rPr>
          <w:rFonts w:hint="cs"/>
          <w:rtl/>
        </w:rPr>
        <w:t xml:space="preserve"> من يصدق ذلك</w:t>
      </w:r>
      <w:r w:rsidR="000636C2">
        <w:rPr>
          <w:rFonts w:hint="cs"/>
          <w:rtl/>
        </w:rPr>
        <w:t>؟!</w:t>
      </w:r>
      <w:r w:rsidRPr="005675B2">
        <w:rPr>
          <w:rFonts w:hint="cs"/>
          <w:rtl/>
        </w:rPr>
        <w:t xml:space="preserve"> ولعل الدكتور نفسه إذا راجع نفسه لا يصدق ذلك</w:t>
      </w:r>
      <w:r w:rsidR="000636C2">
        <w:rPr>
          <w:rFonts w:hint="cs"/>
          <w:rtl/>
        </w:rPr>
        <w:t>!</w:t>
      </w:r>
      <w:r w:rsidRPr="005675B2">
        <w:rPr>
          <w:rFonts w:hint="cs"/>
          <w:rtl/>
        </w:rPr>
        <w:t xml:space="preserve"> نعم يصدق ذلك، ويتعجب منه، ويعوذ بالله من الأشاعرة ومن كتبهم من يقرأ كلام الدكتور واثقا به ولم يفتح يوما من الأيام كتابا من كتب عقيدة الأشاعرة، ولم يقرأ صفحة منها</w:t>
      </w:r>
      <w:r w:rsidR="000636C2">
        <w:rPr>
          <w:rFonts w:hint="cs"/>
          <w:rtl/>
        </w:rPr>
        <w:t>،</w:t>
      </w:r>
      <w:r w:rsidRPr="005675B2">
        <w:rPr>
          <w:rFonts w:hint="cs"/>
          <w:rtl/>
        </w:rPr>
        <w:t xml:space="preserve"> هذا وحده هو الذي يصدق ذلك</w:t>
      </w:r>
      <w:r w:rsidR="000636C2">
        <w:rPr>
          <w:rFonts w:hint="cs"/>
          <w:rtl/>
        </w:rPr>
        <w:t xml:space="preserve">، </w:t>
      </w:r>
      <w:r w:rsidRPr="005675B2">
        <w:rPr>
          <w:rFonts w:hint="cs"/>
          <w:rtl/>
        </w:rPr>
        <w:t>والأدهى من ذلك أن سياق كلام الدكتور يوهم أن الأشاعرة يعتمدون في عقيدتهم على أقوال الفلاسفة، ويستمدون عقيدتهم منها كما قال فيما سبق</w:t>
      </w:r>
      <w:r w:rsidR="000636C2">
        <w:rPr>
          <w:rFonts w:hint="cs"/>
          <w:rtl/>
        </w:rPr>
        <w:t>:</w:t>
      </w:r>
      <w:r w:rsidRPr="005675B2">
        <w:rPr>
          <w:rFonts w:hint="cs"/>
          <w:rtl/>
        </w:rPr>
        <w:t xml:space="preserve"> « إنهم يستمدون عقيدهم من المتفلسف بشر المرسي الذي كفره الإمام الشافعي » وكماسياني في اخرفقرةنقلناهامن كلامه</w:t>
      </w:r>
      <w:r w:rsidR="000636C2">
        <w:rPr>
          <w:rFonts w:hint="cs"/>
          <w:rtl/>
        </w:rPr>
        <w:t>،</w:t>
      </w:r>
      <w:r w:rsidRPr="005675B2">
        <w:rPr>
          <w:rFonts w:hint="cs"/>
          <w:rtl/>
        </w:rPr>
        <w:t xml:space="preserve"> فماذا بقي للأشاعرة من الدين بعد هذا</w:t>
      </w:r>
      <w:r w:rsidR="000636C2">
        <w:rPr>
          <w:rFonts w:hint="cs"/>
          <w:rtl/>
        </w:rPr>
        <w:t>؟!</w:t>
      </w:r>
      <w:r w:rsidRPr="005675B2">
        <w:rPr>
          <w:rFonts w:hint="cs"/>
          <w:rtl/>
        </w:rPr>
        <w:t xml:space="preserve"> معاذ الله</w:t>
      </w:r>
      <w:r w:rsidR="000636C2">
        <w:rPr>
          <w:rFonts w:hint="cs"/>
          <w:rtl/>
        </w:rPr>
        <w:t>!</w:t>
      </w:r>
      <w:r w:rsidRPr="005675B2">
        <w:rPr>
          <w:rFonts w:hint="cs"/>
          <w:rtl/>
        </w:rPr>
        <w:t>سبحانك اللهم هذا بهتان عظيم يعظكم الله أن تعودوا لمثله أبدا إن كنتم مؤمنين</w:t>
      </w:r>
      <w:r w:rsidR="000636C2">
        <w:rPr>
          <w:rFonts w:hint="cs"/>
          <w:rtl/>
        </w:rPr>
        <w:t xml:space="preserve">! </w:t>
      </w:r>
      <w:r w:rsidRPr="005675B2">
        <w:rPr>
          <w:rFonts w:hint="cs"/>
          <w:rtl/>
        </w:rPr>
        <w:t>وأقول مقدما</w:t>
      </w:r>
      <w:r w:rsidR="000636C2">
        <w:rPr>
          <w:rFonts w:hint="cs"/>
          <w:rtl/>
        </w:rPr>
        <w:t>:</w:t>
      </w:r>
      <w:r w:rsidRPr="005675B2">
        <w:rPr>
          <w:rFonts w:hint="cs"/>
          <w:rtl/>
        </w:rPr>
        <w:t xml:space="preserve"> إن هناك مجموعةكبيرة من كتب الأشاعرة المتعلقة بالعقيدة</w:t>
      </w:r>
      <w:r w:rsidR="000636C2">
        <w:rPr>
          <w:rFonts w:hint="cs"/>
          <w:rtl/>
        </w:rPr>
        <w:t>:</w:t>
      </w:r>
      <w:r w:rsidRPr="005675B2">
        <w:rPr>
          <w:rFonts w:hint="cs"/>
          <w:rtl/>
        </w:rPr>
        <w:t xml:space="preserve"> لا يعثر القارئ في واحد منها لا على « قال الحكماء »، ولا على « قال المعلم الأول »، ولا على « قالت الفلاسفة »، ومجموعةكبيرة اخرى منها نادرا ما يعثر القارئ فيها عليها، ومن ارتاب في هذاالامر فليقرأ ما كتبه الأوائل منهم وما كتبه المتأخرون منهم</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الأشاعرة لا يوردون كلام الله تعالى وكلام رسوله إلا للاعتماد عليهما والاحتجاج بهما، أو لدفع الشبه عنهما، ولا يوردون كلام الفلاسفة في الأعم الأغلب إلا للرد عليه وبيان زيفه</w:t>
      </w:r>
      <w:r w:rsidR="000636C2">
        <w:rPr>
          <w:rFonts w:hint="cs"/>
          <w:rtl/>
        </w:rPr>
        <w:t xml:space="preserve">، </w:t>
      </w:r>
      <w:r w:rsidRPr="005675B2">
        <w:rPr>
          <w:rFonts w:hint="cs"/>
          <w:rtl/>
        </w:rPr>
        <w:t>وتجلية للحقيقة نصنف الأشاعرة إلى أصناف، ونبين حال كتب كل صنف منهم من كثرة إيراد الايات والأحاديث فيها وقلتها ونبين السبب في ذلك، فنقول</w:t>
      </w:r>
      <w:r w:rsidR="000636C2">
        <w:rPr>
          <w:rFonts w:hint="cs"/>
          <w:rtl/>
        </w:rPr>
        <w:t xml:space="preserve">: </w:t>
      </w:r>
      <w:r w:rsidRPr="005675B2">
        <w:rPr>
          <w:rFonts w:hint="cs"/>
          <w:rtl/>
        </w:rPr>
        <w:t>علماء الأشاعرة كعلماء سائر المذاهب منهم حفاظ ومحدثون ومعتنون بالحديث، ومنهم من ليسوا كذلك، أما الصنف الأول كالبيهقي والنووي وابن حجر العسقلاني فكتبهم محشوة بالآيات والأحاديث</w:t>
      </w:r>
      <w:r w:rsidR="000636C2">
        <w:rPr>
          <w:rFonts w:hint="cs"/>
          <w:rtl/>
        </w:rPr>
        <w:t>،</w:t>
      </w:r>
      <w:r w:rsidRPr="005675B2">
        <w:rPr>
          <w:rFonts w:hint="cs"/>
          <w:rtl/>
        </w:rPr>
        <w:t xml:space="preserve"> وكل العلماء يعلم حال كتاب "الأسماء والصفات" وكتاب "الإعتقاد" للبيهقي، وأما الصنف الثاني فالقدامى منهم والمتأخرون ممن أتى بعد القرن الثامن الهجري حال كتبهم أيضا كذلك هي محشوة بالآيات والأحاديث، ونورد عدة شواهد على ذلك</w:t>
      </w:r>
      <w:r w:rsidR="000636C2">
        <w:rPr>
          <w:rFonts w:hint="cs"/>
          <w:rtl/>
        </w:rPr>
        <w:t xml:space="preserve">: </w:t>
      </w:r>
      <w:r w:rsidRPr="005675B2">
        <w:rPr>
          <w:rFonts w:hint="cs"/>
          <w:rtl/>
        </w:rPr>
        <w:t>1 - كتاب "الإنصاف" للباقلاني هو مئة وسبعون صفحة تقريبا، وقد اشتمل على أكثر من أربعمأة آية وأكثر من مائة حديث</w:t>
      </w:r>
      <w:r w:rsidR="000636C2">
        <w:rPr>
          <w:rFonts w:hint="cs"/>
          <w:rtl/>
        </w:rPr>
        <w:t xml:space="preserve">، </w:t>
      </w:r>
      <w:r w:rsidRPr="005675B2">
        <w:rPr>
          <w:rFonts w:hint="cs"/>
          <w:rtl/>
        </w:rPr>
        <w:t>2 - "المسايرة" لابن الهمام مع شرحها "المسامرة" لابن أبى شريف قد اشتمل على حوالي مأتي آية ومأتي حديث</w:t>
      </w:r>
      <w:r w:rsidR="000636C2">
        <w:rPr>
          <w:rFonts w:hint="cs"/>
          <w:rtl/>
        </w:rPr>
        <w:t xml:space="preserve">، </w:t>
      </w:r>
      <w:r w:rsidRPr="005675B2">
        <w:rPr>
          <w:rFonts w:hint="cs"/>
          <w:rtl/>
        </w:rPr>
        <w:t>3 - "شرح الباجوري على جوهرة التوحيد" قد اشتمل على قرابة مأتين وخمسين آية ومآت الأحاديث</w:t>
      </w:r>
      <w:r w:rsidR="000636C2">
        <w:rPr>
          <w:rFonts w:hint="cs"/>
          <w:rtl/>
        </w:rPr>
        <w:t xml:space="preserve">، </w:t>
      </w:r>
      <w:r w:rsidRPr="005675B2">
        <w:rPr>
          <w:rFonts w:hint="cs"/>
          <w:rtl/>
        </w:rPr>
        <w:t>4 - "شرح جوهرة التوحيد" في مجلدين ضخمين لعبد الكريم تتان ومحمد أديب الكيلاني وهما معاصران، وهو محشو بالآيات والأحاديث</w:t>
      </w:r>
      <w:r w:rsidR="000636C2">
        <w:rPr>
          <w:rFonts w:hint="cs"/>
          <w:rtl/>
        </w:rPr>
        <w:t xml:space="preserve">، </w:t>
      </w:r>
      <w:r w:rsidRPr="005675B2">
        <w:rPr>
          <w:rFonts w:hint="cs"/>
          <w:rtl/>
        </w:rPr>
        <w:t>وأما المتوسطون منهم كالرازي والآمدي والبيضاوي والإيجي والتفتازاني فصحيح أن الآيات والأحاديث قليلة الورود في كتبهم الكلامية، والسبب في ذلك أن هؤلاء كان جل همهم مجادلة غير المسلمين من الفلاسفة واليهود والنصارى والوثنية والرد عليهم، وبيان بطلان ما هم عليه من الإعتقاد، وقد كان جل جدلهم مع الفلاسفة منهم، وكذلك قد اعتنى هؤلاء في كتبهم الكلامية بالرد على مذاهب غير أهل السنة من المعتزلة والجبرية والخوارج أيضا</w:t>
      </w:r>
      <w:r w:rsidR="000636C2">
        <w:rPr>
          <w:rFonts w:hint="cs"/>
          <w:rtl/>
        </w:rPr>
        <w:t>،</w:t>
      </w:r>
      <w:r w:rsidRPr="005675B2">
        <w:rPr>
          <w:rFonts w:hint="cs"/>
          <w:rtl/>
        </w:rPr>
        <w:t xml:space="preserve"> وغير المسلمين لا تُجْدِ فيهم الدلائل النقلية، بل مجادلتهم لا بد أن تكون بالدلائل العقلية</w:t>
      </w:r>
      <w:r w:rsidR="000636C2">
        <w:rPr>
          <w:rFonts w:hint="cs"/>
          <w:rtl/>
        </w:rPr>
        <w:t>،</w:t>
      </w:r>
      <w:r w:rsidRPr="005675B2">
        <w:rPr>
          <w:rFonts w:hint="cs"/>
          <w:rtl/>
        </w:rPr>
        <w:t xml:space="preserve"> وهذا ما فعله كل الأنبياء مع أقوامهم الذين أرسلوا إليهم، لم يجادلوهم إلا بالدلائل العقلية</w:t>
      </w:r>
      <w:r w:rsidR="000636C2">
        <w:rPr>
          <w:rFonts w:hint="cs"/>
          <w:rtl/>
        </w:rPr>
        <w:t>،</w:t>
      </w:r>
      <w:r w:rsidRPr="005675B2">
        <w:rPr>
          <w:rFonts w:hint="cs"/>
          <w:rtl/>
        </w:rPr>
        <w:t xml:space="preserve"> والقرآن محشو بهذا النوع من الدلائل وهذا النوع من الجدل</w:t>
      </w:r>
      <w:r w:rsidR="000636C2">
        <w:rPr>
          <w:rFonts w:hint="cs"/>
          <w:rtl/>
        </w:rPr>
        <w:t>،</w:t>
      </w:r>
      <w:r w:rsidRPr="005675B2">
        <w:rPr>
          <w:rFonts w:hint="cs"/>
          <w:rtl/>
        </w:rPr>
        <w:t xml:space="preserve"> وأما غير أهل السنة من المسلمين فقد كان جل صراع أهل السنة بالمعتزلة منهم، ومن المعلوم أن المعتزلة يردون كثيرا من الأحاديث التى لا توافق مذهبهم أو يؤولونها، وكذلك يؤولون الآيات التى لا يوافق ظاهرها مذهبهم، فالإعتماد في الجدال معهم على النقل أيضا غير مُجْدٍ إلا قليلا، ومن أجل اعتناء هؤلاء المتكلمين بالرد على الفلاسفة أَوْرَدَ بعضُهم في صدور كتبهم الفلسفة الإ̃لهية والطبيعية، حتى استغرقت الفلسفة قسما كبيرا من هذه الكتب، وهذا القسم من الفلسفة لا محل لإيراد الآيات والأحاديث فيها، فمن أجل ما ذكرناه قل ورود الآيات والأحاديث في كتب هؤلاء المتكلمين المتوسطين</w:t>
      </w:r>
      <w:r w:rsidR="000636C2">
        <w:rPr>
          <w:rFonts w:hint="cs"/>
          <w:rtl/>
        </w:rPr>
        <w:t>،</w:t>
      </w:r>
      <w:r w:rsidRPr="005675B2">
        <w:rPr>
          <w:rFonts w:hint="cs"/>
          <w:rtl/>
        </w:rPr>
        <w:t xml:space="preserve"> هذا حال كتب الأشاعرة المطولة</w:t>
      </w:r>
      <w:r w:rsidR="000636C2">
        <w:rPr>
          <w:rFonts w:hint="cs"/>
          <w:rtl/>
        </w:rPr>
        <w:t xml:space="preserve">، </w:t>
      </w:r>
      <w:r w:rsidRPr="005675B2">
        <w:rPr>
          <w:rFonts w:hint="cs"/>
          <w:rtl/>
        </w:rPr>
        <w:t>وأما المختصرات المؤلفة في العقيدة المكونة من عدة صفحات فصحيح أن معظمها خال عن الدلائل النقلية</w:t>
      </w:r>
      <w:r w:rsidR="000636C2">
        <w:rPr>
          <w:rFonts w:hint="cs"/>
          <w:rtl/>
        </w:rPr>
        <w:t>،</w:t>
      </w:r>
      <w:r w:rsidRPr="005675B2">
        <w:rPr>
          <w:rFonts w:hint="cs"/>
          <w:rtl/>
        </w:rPr>
        <w:t xml:space="preserve"> والسبب في ذلك أنها مؤلفة للعوام والمبتدئين في العلم</w:t>
      </w:r>
      <w:r w:rsidR="000636C2">
        <w:rPr>
          <w:rFonts w:hint="cs"/>
          <w:rtl/>
        </w:rPr>
        <w:t>،</w:t>
      </w:r>
      <w:r w:rsidRPr="005675B2">
        <w:rPr>
          <w:rFonts w:hint="cs"/>
          <w:rtl/>
        </w:rPr>
        <w:t xml:space="preserve"> فأراد مؤلفوها أن تكون بمقدار يستوعبها العوام والمبتدئون بسهولة، ولو كانوا قرنوا كل عقيدة بدلائلها النقلية لطالت هذه الكتب وصعب استيعابها على العوام والمبتدئين، وشأنها في ذلك شأن المختصرات المؤلفة في المذاهب الفقهية</w:t>
      </w:r>
      <w:r w:rsidR="000636C2">
        <w:rPr>
          <w:rFonts w:hint="cs"/>
          <w:rtl/>
        </w:rPr>
        <w:t xml:space="preserve">، </w:t>
      </w:r>
      <w:r w:rsidRPr="005675B2">
        <w:rPr>
          <w:rFonts w:hint="cs"/>
          <w:rtl/>
        </w:rPr>
        <w:t>لكن كلام الدكتور لا ينطبق على هذه المختصرات فإنه قد تكلم على الكتب ذات المآت الصفحات</w:t>
      </w:r>
      <w:r w:rsidR="000636C2">
        <w:rPr>
          <w:rFonts w:hint="cs"/>
          <w:rtl/>
        </w:rPr>
        <w:t>،</w:t>
      </w:r>
    </w:p>
    <w:p w14:paraId="562FBB14" w14:textId="0AAFAEF7" w:rsidR="009C32A0" w:rsidRPr="005675B2" w:rsidRDefault="009C32A0" w:rsidP="000636C2">
      <w:pPr>
        <w:rPr>
          <w:b/>
          <w:rtl/>
        </w:rPr>
      </w:pPr>
      <w:r w:rsidRPr="005675B2">
        <w:rPr>
          <w:rFonts w:hint="cs"/>
          <w:rtl/>
        </w:rPr>
        <w:t>31 - هل صحيح أن الصوفية يقدمون الكشف والذوق على النص</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هـ - مذهب طائفة منهم وهم صوفيتهم</w:t>
      </w:r>
      <w:r w:rsidR="000636C2">
        <w:rPr>
          <w:rFonts w:hint="cs"/>
          <w:rtl/>
        </w:rPr>
        <w:t xml:space="preserve"> </w:t>
      </w:r>
      <w:r w:rsidRPr="005675B2">
        <w:rPr>
          <w:rFonts w:hint="cs"/>
          <w:rtl/>
        </w:rPr>
        <w:t>- كالغزالي والجامي</w:t>
      </w:r>
      <w:r w:rsidR="000636C2">
        <w:rPr>
          <w:rFonts w:hint="cs"/>
          <w:rtl/>
        </w:rPr>
        <w:t xml:space="preserve"> </w:t>
      </w:r>
      <w:r w:rsidRPr="005675B2">
        <w:rPr>
          <w:rFonts w:hint="cs"/>
          <w:rtl/>
        </w:rPr>
        <w:t>- في مصدر التلقي هو تقديم الكشف والذوق على النص وتأويل النص ليوافقه، وقد يصححون بعض الأحاديث ويضعفونها حسب هذا الذوق كحديث إسلام أبوي النبي صلى الله عليه وسلم ودخولهما الجنة بزعمهم</w:t>
      </w:r>
      <w:r w:rsidR="000636C2">
        <w:rPr>
          <w:rFonts w:hint="cs"/>
          <w:rtl/>
        </w:rPr>
        <w:t>،</w:t>
      </w:r>
      <w:r w:rsidRPr="005675B2">
        <w:rPr>
          <w:rFonts w:hint="cs"/>
          <w:rtl/>
        </w:rPr>
        <w:t xml:space="preserve"> ويسمون هذا « العلم اللدني » جريا على قاعدة الصوفية</w:t>
      </w:r>
      <w:r w:rsidR="000636C2">
        <w:rPr>
          <w:rFonts w:hint="cs"/>
          <w:rtl/>
        </w:rPr>
        <w:t>:</w:t>
      </w:r>
      <w:r w:rsidRPr="005675B2">
        <w:rPr>
          <w:rFonts w:hint="cs"/>
          <w:rtl/>
        </w:rPr>
        <w:t xml:space="preserve"> « حدثني قلبي عن ربي » "</w:t>
      </w:r>
      <w:r w:rsidR="000636C2">
        <w:rPr>
          <w:rFonts w:hint="cs"/>
          <w:rtl/>
        </w:rPr>
        <w:t>،</w:t>
      </w:r>
      <w:r w:rsidRPr="005675B2">
        <w:rPr>
          <w:rFonts w:hint="cs"/>
          <w:rtl/>
        </w:rPr>
        <w:t xml:space="preserve"> أقول</w:t>
      </w:r>
      <w:r w:rsidR="000636C2">
        <w:rPr>
          <w:rFonts w:hint="cs"/>
          <w:rtl/>
        </w:rPr>
        <w:t>:</w:t>
      </w:r>
      <w:r w:rsidRPr="005675B2">
        <w:rPr>
          <w:rFonts w:hint="cs"/>
          <w:rtl/>
        </w:rPr>
        <w:t xml:space="preserve"> لم يثبت عن أحد من الصوفية المعتبرين وفي مقدمتهم الغزالي والجامي أنه قال بأن الكشف والذوق مصدران لاستنباط الأحكام فضلا عن القول بتقديمهما على النص</w:t>
      </w:r>
      <w:r w:rsidR="000636C2">
        <w:rPr>
          <w:rFonts w:hint="cs"/>
          <w:rtl/>
        </w:rPr>
        <w:t>،</w:t>
      </w:r>
      <w:r w:rsidRPr="005675B2">
        <w:rPr>
          <w:rFonts w:hint="cs"/>
          <w:rtl/>
        </w:rPr>
        <w:t xml:space="preserve"> نعم يستأنس بالكشف والإلهام فيما لا علاقة له بالأحكام الشرعية، وكذلك لم يصحح الحديث بطريق الكشف والذوق أحد من الصوفية المعتبرين</w:t>
      </w:r>
      <w:r w:rsidR="000636C2">
        <w:rPr>
          <w:rFonts w:hint="cs"/>
          <w:rtl/>
        </w:rPr>
        <w:t>،</w:t>
      </w:r>
      <w:r w:rsidRPr="005675B2">
        <w:rPr>
          <w:rFonts w:hint="cs"/>
          <w:rtl/>
        </w:rPr>
        <w:t xml:space="preserve"> ونحتم هذه الفقرة بكلام علمين من أعلام التصوف، قال السهروردي</w:t>
      </w:r>
      <w:r w:rsidR="000636C2">
        <w:rPr>
          <w:rFonts w:hint="cs"/>
          <w:rtl/>
        </w:rPr>
        <w:t>:</w:t>
      </w:r>
      <w:r w:rsidRPr="005675B2">
        <w:rPr>
          <w:rFonts w:hint="cs"/>
          <w:rtl/>
        </w:rPr>
        <w:t xml:space="preserve"> </w:t>
      </w:r>
      <w:r w:rsidR="000636C2">
        <w:rPr>
          <w:rFonts w:hint="cs"/>
          <w:rtl/>
        </w:rPr>
        <w:t>(</w:t>
      </w:r>
      <w:r w:rsidRPr="005675B2">
        <w:rPr>
          <w:rFonts w:hint="cs"/>
          <w:rtl/>
        </w:rPr>
        <w:t>وكل علم لا يوافق الكتاب والسنة وما هو مستفاد منهما أو معين على فهمهما أو مستند إليهما -كائنا ما كان - فهو رذيلة وليس بفضيلة، يزداد الإنسان به هوانا ورذيلة في الدنيا والآخرة</w:t>
      </w:r>
      <w:r w:rsidR="000636C2">
        <w:rPr>
          <w:rFonts w:hint="cs"/>
          <w:rtl/>
        </w:rPr>
        <w:t>)</w:t>
      </w:r>
      <w:r w:rsidRPr="005675B2">
        <w:rPr>
          <w:rFonts w:hint="cs"/>
          <w:rtl/>
        </w:rPr>
        <w:t xml:space="preserve">، </w:t>
      </w:r>
      <w:r w:rsidR="000636C2">
        <w:rPr>
          <w:rFonts w:hint="cs"/>
          <w:rtl/>
        </w:rPr>
        <w:t>[</w:t>
      </w:r>
      <w:r w:rsidRPr="005675B2">
        <w:rPr>
          <w:rFonts w:hint="cs"/>
          <w:sz w:val="24"/>
          <w:szCs w:val="24"/>
          <w:rtl/>
        </w:rPr>
        <w:t>عوارف المعارف 1/48</w:t>
      </w:r>
      <w:r w:rsidRPr="005675B2">
        <w:rPr>
          <w:rFonts w:hint="cs"/>
          <w:rtl/>
        </w:rPr>
        <w:t>] وقال الشيخ أحمد الرفاعي</w:t>
      </w:r>
      <w:r w:rsidR="000636C2">
        <w:rPr>
          <w:rFonts w:hint="cs"/>
          <w:rtl/>
        </w:rPr>
        <w:t>:</w:t>
      </w:r>
      <w:r w:rsidRPr="005675B2">
        <w:rPr>
          <w:rFonts w:hint="cs"/>
          <w:rtl/>
        </w:rPr>
        <w:t xml:space="preserve"> </w:t>
      </w:r>
      <w:r w:rsidR="000636C2">
        <w:rPr>
          <w:rFonts w:hint="cs"/>
          <w:rtl/>
        </w:rPr>
        <w:t>(</w:t>
      </w:r>
      <w:r w:rsidRPr="005675B2">
        <w:rPr>
          <w:rFonts w:hint="cs"/>
          <w:rtl/>
        </w:rPr>
        <w:t>إذا رئيتم واعظا أو قاصا أو مدرسا فخذوا منه كلام الله وكلام رسوله صلى الله تعالى عليه وآله وسلم، وكلام أئمة الدين الذين يحكمون عدلا ويقولون حقا، واطرحوا ما زاد، وإن أتى بما لم يأت رسول الله صلى الله تعالى عليه وآله وسلم فاضربوا به وجهه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البرهان المؤيد 39</w:t>
      </w:r>
      <w:r w:rsidRPr="005675B2">
        <w:rPr>
          <w:rFonts w:hint="cs"/>
          <w:rtl/>
        </w:rPr>
        <w:t>] هذا كلام أهل الرسوخ والتحقيق من الصوفية</w:t>
      </w:r>
      <w:r w:rsidR="000636C2">
        <w:rPr>
          <w:rFonts w:hint="cs"/>
          <w:rtl/>
        </w:rPr>
        <w:t xml:space="preserve">، </w:t>
      </w:r>
      <w:r w:rsidRPr="005675B2">
        <w:rPr>
          <w:rFonts w:hint="cs"/>
          <w:rtl/>
        </w:rPr>
        <w:t>وأما نجاة والدى المصطفى صلى الله تعالى عليه وآله وسلم فقد ذهب فريق من علماء الأمة إلى ذلك</w:t>
      </w:r>
      <w:r w:rsidR="000636C2">
        <w:rPr>
          <w:rFonts w:hint="cs"/>
          <w:rtl/>
        </w:rPr>
        <w:t>،</w:t>
      </w:r>
      <w:r w:rsidRPr="005675B2">
        <w:rPr>
          <w:rFonts w:hint="cs"/>
          <w:rtl/>
        </w:rPr>
        <w:t xml:space="preserve"> وعمدتهم في الإستدلال عليه أنهما من أهل الفترة، وقد ثبت نجاة أهل الفترة بقوله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xml:space="preserve"> وأما ما أشار إليه الدكتور من الحديث الضعيف فقد أورده بعض المتأخرين من الأشاعرة على وجه الإستئناس بعد احتجاجه على المسألة بما ذكرناه، ثم إن المسألة من مسائل الخلاف، وليست من مسائل الإعتقاد التى يبدع فيها أحد الطرفين أو يؤثم، فلكل فريق رأيه ودليله</w:t>
      </w:r>
      <w:r w:rsidR="000636C2">
        <w:rPr>
          <w:rFonts w:hint="cs"/>
          <w:rtl/>
        </w:rPr>
        <w:t>،</w:t>
      </w:r>
    </w:p>
    <w:p w14:paraId="0028D3F3" w14:textId="7AE497FC" w:rsidR="009C32A0" w:rsidRPr="005675B2" w:rsidRDefault="009C32A0" w:rsidP="000636C2">
      <w:pPr>
        <w:rPr>
          <w:b/>
          <w:rtl/>
        </w:rPr>
      </w:pPr>
      <w:r w:rsidRPr="005675B2">
        <w:rPr>
          <w:rFonts w:hint="cs"/>
          <w:rtl/>
        </w:rPr>
        <w:t>32 - دلائل وجود الله تعالى عند الأشاعرة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الثانى إثبات وجود الله</w:t>
      </w:r>
      <w:r w:rsidR="000636C2">
        <w:rPr>
          <w:rFonts w:hint="cs"/>
          <w:rtl/>
        </w:rPr>
        <w:t>،</w:t>
      </w:r>
      <w:r w:rsidRPr="005675B2">
        <w:rPr>
          <w:rFonts w:hint="cs"/>
          <w:rtl/>
        </w:rPr>
        <w:t xml:space="preserve"> معلوم أن مذهب السلف هو أن وجود الله تعالى أمر فطري معلوم بالضرورة، والأدلة عليه من الكون والنفس والآثار والآفاق والوحي أجل من الحصر، ففي كل شيئ له آية وعليه دليل</w:t>
      </w:r>
      <w:r w:rsidR="000636C2">
        <w:rPr>
          <w:rFonts w:hint="cs"/>
          <w:rtl/>
        </w:rPr>
        <w:t>،</w:t>
      </w:r>
      <w:r w:rsidRPr="005675B2">
        <w:rPr>
          <w:rFonts w:hint="cs"/>
          <w:rtl/>
        </w:rPr>
        <w:t xml:space="preserve"> أما الأشاعرة فعندهم دليل يتيم</w:t>
      </w:r>
      <w:r w:rsidR="000636C2">
        <w:rPr>
          <w:rFonts w:hint="cs"/>
          <w:rtl/>
        </w:rPr>
        <w:t xml:space="preserve"> </w:t>
      </w:r>
      <w:r w:rsidRPr="005675B2">
        <w:rPr>
          <w:rFonts w:hint="cs"/>
          <w:rtl/>
        </w:rPr>
        <w:t>- أي على وجوده تعالى</w:t>
      </w:r>
      <w:r w:rsidR="000636C2">
        <w:rPr>
          <w:rFonts w:hint="cs"/>
          <w:rtl/>
        </w:rPr>
        <w:t xml:space="preserve"> </w:t>
      </w:r>
      <w:r w:rsidRPr="005675B2">
        <w:rPr>
          <w:rFonts w:hint="cs"/>
          <w:rtl/>
        </w:rPr>
        <w:t>- هو دليل الحدوث والقدم، وهو الاستدلال على وجود الله بأن الكون حادث وكل حادث فلابد له من محدث قديم "</w:t>
      </w:r>
      <w:r w:rsidR="000636C2">
        <w:rPr>
          <w:rFonts w:hint="cs"/>
          <w:rtl/>
        </w:rPr>
        <w:t xml:space="preserve">، </w:t>
      </w:r>
      <w:r w:rsidRPr="005675B2">
        <w:rPr>
          <w:rFonts w:hint="cs"/>
          <w:rtl/>
        </w:rPr>
        <w:t>أقول</w:t>
      </w:r>
      <w:r w:rsidR="000636C2">
        <w:rPr>
          <w:rFonts w:hint="cs"/>
          <w:rtl/>
        </w:rPr>
        <w:t>:</w:t>
      </w:r>
      <w:r w:rsidRPr="005675B2">
        <w:rPr>
          <w:rFonts w:hint="cs"/>
          <w:rtl/>
        </w:rPr>
        <w:t xml:space="preserve"> يستدل السلف على وجوده تعالى كلٌ بما بدا له من الأدلة، وجل اعتمادهم على دليل النظام الذي ركز عليه القرآن الكريم، وليس للسلف في هذا الأمر مذهب موحد مقرر يصح نسبته إليهم</w:t>
      </w:r>
      <w:r w:rsidR="000636C2">
        <w:rPr>
          <w:rFonts w:hint="cs"/>
          <w:rtl/>
        </w:rPr>
        <w:t>،</w:t>
      </w:r>
      <w:r w:rsidRPr="005675B2">
        <w:rPr>
          <w:rFonts w:hint="cs"/>
          <w:rtl/>
        </w:rPr>
        <w:t xml:space="preserve"> فقول الدكتور</w:t>
      </w:r>
      <w:r w:rsidR="000636C2">
        <w:rPr>
          <w:rFonts w:hint="cs"/>
          <w:rtl/>
        </w:rPr>
        <w:t>:</w:t>
      </w:r>
      <w:r w:rsidRPr="005675B2">
        <w:rPr>
          <w:rFonts w:hint="cs"/>
          <w:rtl/>
        </w:rPr>
        <w:t xml:space="preserve"> معلوم أن مذهب السلف أن وجود الله تعالى أمر فطري معلوم بالضرورة غير صحيح، ومن عادة الدكتور نسبة ما يهواه إلى السلف وجعله مذهبا لهم</w:t>
      </w:r>
      <w:r w:rsidR="000636C2">
        <w:rPr>
          <w:rFonts w:hint="cs"/>
          <w:rtl/>
        </w:rPr>
        <w:t>،</w:t>
      </w:r>
      <w:r w:rsidRPr="005675B2">
        <w:rPr>
          <w:rFonts w:hint="cs"/>
          <w:rtl/>
        </w:rPr>
        <w:t xml:space="preserve"> ولو كان وجود الله أمرا معلوما بالضرورة لما خالف فيه أحد من العقلاء ولما احتيج إلى الإستدلال عليه</w:t>
      </w:r>
      <w:r w:rsidR="000636C2">
        <w:rPr>
          <w:rFonts w:hint="cs"/>
          <w:rtl/>
        </w:rPr>
        <w:t>،</w:t>
      </w:r>
      <w:r w:rsidRPr="005675B2">
        <w:rPr>
          <w:rFonts w:hint="cs"/>
          <w:rtl/>
        </w:rPr>
        <w:t xml:space="preserve"> والأدلة المستنبطة من الكون والنفس والآثار والآفاق هي دليل النظام، وسماه ابن رشد « دليل العناية » .. ودليل الحدوث وسماه ابن رشد « دليل الاختراع »، ودليل الإمكان إلى غير ذلك من الأدلة التي أوردها الأشاعرة في كتبهم</w:t>
      </w:r>
      <w:r w:rsidR="000636C2">
        <w:rPr>
          <w:rFonts w:hint="cs"/>
          <w:rtl/>
        </w:rPr>
        <w:t xml:space="preserve">، </w:t>
      </w:r>
      <w:r w:rsidRPr="005675B2">
        <w:rPr>
          <w:rFonts w:hint="cs"/>
          <w:rtl/>
        </w:rPr>
        <w:t>وليس دليل الحدوث هو الدليل الوحيد عند الأشاعرة بل هو أحد أدلتهم، ومن أدلتهم كما ذكرنا دليل الإمكان ودليل النظام إلى غير ذلك كما لا يخفى على من مارس كتبهم</w:t>
      </w:r>
      <w:r w:rsidR="000636C2">
        <w:rPr>
          <w:rFonts w:hint="cs"/>
          <w:rtl/>
        </w:rPr>
        <w:t>،</w:t>
      </w:r>
      <w:r w:rsidRPr="005675B2">
        <w:rPr>
          <w:rFonts w:hint="cs"/>
          <w:rtl/>
        </w:rPr>
        <w:t xml:space="preserve"> والذي ذكره الدكتور يسمى « دليل الحدوث » ولا يوجد لهم دليل يسمى « دليل الحدوث والقدم »</w:t>
      </w:r>
      <w:r w:rsidR="000636C2">
        <w:rPr>
          <w:rFonts w:hint="cs"/>
          <w:rtl/>
        </w:rPr>
        <w:t xml:space="preserve">، </w:t>
      </w:r>
      <w:r w:rsidRPr="005675B2">
        <w:rPr>
          <w:rFonts w:hint="cs"/>
          <w:rtl/>
        </w:rPr>
        <w:t>وننقل هنا شيئا من كلام الأشاعرة في الإستدلال على وجود الله تعالى كي يتحقق القارئ ما قلناه</w:t>
      </w:r>
      <w:r w:rsidR="000636C2">
        <w:rPr>
          <w:rFonts w:hint="cs"/>
          <w:rtl/>
        </w:rPr>
        <w:t>،</w:t>
      </w:r>
      <w:r w:rsidRPr="005675B2">
        <w:rPr>
          <w:rFonts w:hint="cs"/>
          <w:rtl/>
        </w:rPr>
        <w:t xml:space="preserve"> قال الباقلاني</w:t>
      </w:r>
      <w:r w:rsidR="000636C2">
        <w:rPr>
          <w:rFonts w:hint="cs"/>
          <w:rtl/>
        </w:rPr>
        <w:t>:</w:t>
      </w:r>
      <w:r w:rsidRPr="005675B2">
        <w:rPr>
          <w:rFonts w:hint="cs"/>
          <w:rtl/>
        </w:rPr>
        <w:t xml:space="preserve"> « ولابد لهذا العالم المحدث المصور من محدث مصور</w:t>
      </w:r>
      <w:r w:rsidR="000636C2">
        <w:rPr>
          <w:rFonts w:hint="cs"/>
          <w:rtl/>
        </w:rPr>
        <w:t>،</w:t>
      </w:r>
      <w:r w:rsidRPr="005675B2">
        <w:rPr>
          <w:rFonts w:hint="cs"/>
          <w:rtl/>
        </w:rPr>
        <w:t xml:space="preserve"> والدليل على ذلك أن الكتابة لابد لها من كاتب ولابد للصورة من مصور، وللبناء من بان، وإنا لا نشك في جهل من خبرنا بكتابة حصلت لا من كاتب، وصياغة لا من صائغ، فوجب أن تكون صورا لعالم وحركات الفلك متعلقة بصانع صنعها إذ كان ألطف وأعجب صنعا من سائر ما يتعذر وجوده لا من صانع من الحركات والصور » [</w:t>
      </w:r>
      <w:r w:rsidRPr="005675B2">
        <w:rPr>
          <w:rFonts w:hint="cs"/>
          <w:sz w:val="24"/>
          <w:szCs w:val="24"/>
          <w:rtl/>
        </w:rPr>
        <w:t>تمهيد الأوائل 43 والإنصاف 27]</w:t>
      </w:r>
      <w:r w:rsidRPr="005675B2">
        <w:rPr>
          <w:rFonts w:hint="cs"/>
          <w:rtl/>
        </w:rPr>
        <w:t xml:space="preserve"> وقال الباقلاني</w:t>
      </w:r>
      <w:r w:rsidR="000636C2">
        <w:rPr>
          <w:rFonts w:hint="cs"/>
          <w:rtl/>
        </w:rPr>
        <w:t>:</w:t>
      </w:r>
      <w:r w:rsidRPr="005675B2">
        <w:rPr>
          <w:rFonts w:hint="cs"/>
          <w:rtl/>
        </w:rPr>
        <w:t xml:space="preserve"> « وإن أردتم بقولكم ما هو ما الدلالة على وجوده</w:t>
      </w:r>
      <w:r w:rsidR="000636C2">
        <w:rPr>
          <w:rFonts w:hint="cs"/>
          <w:rtl/>
        </w:rPr>
        <w:t>؟</w:t>
      </w:r>
      <w:r w:rsidRPr="005675B2">
        <w:rPr>
          <w:rFonts w:hint="cs"/>
          <w:rtl/>
        </w:rPr>
        <w:t xml:space="preserve"> فالدلالة على وجوده جميع ما نراه ونشاهده من محكم فعله وعجيب تدبيره » </w:t>
      </w:r>
      <w:r w:rsidR="000636C2">
        <w:rPr>
          <w:rFonts w:hint="cs"/>
          <w:rtl/>
        </w:rPr>
        <w:t>[</w:t>
      </w:r>
      <w:r w:rsidRPr="005675B2">
        <w:rPr>
          <w:rFonts w:hint="cs"/>
          <w:sz w:val="24"/>
          <w:szCs w:val="24"/>
          <w:rtl/>
        </w:rPr>
        <w:t>تمهيد الأوائل 300]</w:t>
      </w:r>
      <w:r w:rsidRPr="005675B2">
        <w:rPr>
          <w:rFonts w:hint="cs"/>
          <w:rtl/>
        </w:rPr>
        <w:t xml:space="preserve"> وقال الرازي</w:t>
      </w:r>
      <w:r w:rsidR="000636C2">
        <w:rPr>
          <w:rFonts w:hint="cs"/>
          <w:rtl/>
        </w:rPr>
        <w:t>:</w:t>
      </w:r>
      <w:r w:rsidRPr="005675B2">
        <w:rPr>
          <w:rFonts w:hint="cs"/>
          <w:rtl/>
        </w:rPr>
        <w:t xml:space="preserve"> « ومن الناس من اعتمد </w:t>
      </w:r>
      <w:r w:rsidR="000636C2">
        <w:rPr>
          <w:rFonts w:hint="cs"/>
          <w:rtl/>
        </w:rPr>
        <w:t>(</w:t>
      </w:r>
      <w:r w:rsidRPr="005675B2">
        <w:rPr>
          <w:rFonts w:hint="cs"/>
          <w:rtl/>
        </w:rPr>
        <w:t>في إثبات وجود الله تعالى</w:t>
      </w:r>
      <w:r w:rsidR="000636C2">
        <w:rPr>
          <w:rFonts w:hint="cs"/>
          <w:rtl/>
        </w:rPr>
        <w:t>)</w:t>
      </w:r>
      <w:r w:rsidRPr="005675B2">
        <w:rPr>
          <w:rFonts w:hint="cs"/>
          <w:rtl/>
        </w:rPr>
        <w:t xml:space="preserve"> على الإحكام والإتقان المشاهدين في السماوات والأرضين وخاصة في بدن الإنسان وما فيه من المنافع الجلية والبدائع الغريبة التى تشهد فطرة كل عاقل بأنها لا تصدر إلا عن تدبير حكيم عليم</w:t>
      </w:r>
      <w:r w:rsidR="000636C2">
        <w:rPr>
          <w:rFonts w:hint="cs"/>
          <w:rtl/>
        </w:rPr>
        <w:t>،</w:t>
      </w:r>
      <w:r w:rsidRPr="005675B2">
        <w:rPr>
          <w:rFonts w:hint="cs"/>
          <w:rtl/>
        </w:rPr>
        <w:t xml:space="preserve"> وهذه الطريقة دالة على الذات وعلى العالمية، وهي طريقة من تأملها ورفض عن نفسه المقالات الباطلة وجد نفسه مضطرة إلى الاعتراف بإثبات المدبر عند مشاهدة خلقة أعضاء الحيوان » [</w:t>
      </w:r>
      <w:r w:rsidRPr="005675B2">
        <w:rPr>
          <w:rFonts w:hint="cs"/>
          <w:sz w:val="24"/>
          <w:szCs w:val="24"/>
          <w:rtl/>
        </w:rPr>
        <w:t>المباحث المشرقية 2/470-471]</w:t>
      </w:r>
      <w:r w:rsidRPr="005675B2">
        <w:rPr>
          <w:rFonts w:hint="cs"/>
          <w:rtl/>
        </w:rPr>
        <w:t xml:space="preserve"> وهذا الدليل الذي ذكره الرازي هو « دليل النظام » وكذالك الدليل الثاني للباقلاني</w:t>
      </w:r>
      <w:r w:rsidR="000636C2">
        <w:rPr>
          <w:rFonts w:hint="cs"/>
          <w:rtl/>
        </w:rPr>
        <w:t>،</w:t>
      </w:r>
    </w:p>
    <w:p w14:paraId="3957B10C" w14:textId="49113BC6" w:rsidR="009C32A0" w:rsidRPr="005675B2" w:rsidRDefault="009C32A0" w:rsidP="000636C2">
      <w:pPr>
        <w:rPr>
          <w:b/>
          <w:rtl/>
        </w:rPr>
      </w:pPr>
      <w:r w:rsidRPr="005675B2">
        <w:rPr>
          <w:rFonts w:hint="cs"/>
          <w:rtl/>
        </w:rPr>
        <w:t>33 - بيان أن الله تعالى مخالف للحوادث، وأنه ليس جوهرا ولا عرضا ولا جسما ولا في جهة ولا في مكان</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وأخص صفات هذ القديم مخالفته للحوادث وعدم حلولها فيه، ومن مخالفته للحوادث إثبات أنه ليس جوهرا ولا عرضا ولا جسما ولا في جهة ولا مكان .. إلخ ثم أطالوا جدا في تقرير هذه القضايا</w:t>
      </w:r>
      <w:r w:rsidR="000636C2">
        <w:rPr>
          <w:rFonts w:hint="cs"/>
          <w:rtl/>
        </w:rPr>
        <w:t>،</w:t>
      </w:r>
      <w:r w:rsidRPr="005675B2">
        <w:rPr>
          <w:rFonts w:hint="cs"/>
          <w:rtl/>
        </w:rPr>
        <w:t xml:space="preserve"> هذا</w:t>
      </w:r>
      <w:r w:rsidR="000636C2">
        <w:rPr>
          <w:rFonts w:hint="cs"/>
          <w:rtl/>
        </w:rPr>
        <w:t>،</w:t>
      </w:r>
      <w:r w:rsidRPr="005675B2">
        <w:rPr>
          <w:rFonts w:hint="cs"/>
          <w:rtl/>
        </w:rPr>
        <w:t xml:space="preserve"> وقد رتبوا عليها من الأصول الفاسدة ما لا يدخل تحت العد مثل إنكارهم لكثير من الصفات كالرضى والغضب والإستواء بشبهة نفي حلول الحوادث في القديم، ونفي الجوهرية والعرضية والجهة والجسمية .. إلى آخر المصطلحات البدعية "</w:t>
      </w:r>
      <w:r w:rsidR="000636C2">
        <w:rPr>
          <w:rFonts w:hint="cs"/>
          <w:rtl/>
        </w:rPr>
        <w:t xml:space="preserve">، </w:t>
      </w:r>
      <w:r w:rsidRPr="005675B2">
        <w:rPr>
          <w:rFonts w:hint="cs"/>
          <w:rtl/>
        </w:rPr>
        <w:t>يضيق الدكتور صدرا بقول الأشاعرة بمخالفته تعالى للحوادث وعدم حلولها فيه، وأن من مخالفته للحوادث أنه ليس جوهرا ولا عرضا، ولا جسما، ولا في جهة، ولا في مكان، ويعد الدكتور نفي هذه الأمور عن الله تعالى من المصطلحات البدعية</w:t>
      </w:r>
      <w:r w:rsidR="000636C2">
        <w:rPr>
          <w:rFonts w:hint="cs"/>
          <w:rtl/>
        </w:rPr>
        <w:t>!</w:t>
      </w:r>
      <w:r w:rsidRPr="005675B2">
        <w:rPr>
          <w:rFonts w:hint="cs"/>
          <w:rtl/>
        </w:rPr>
        <w:t>!</w:t>
      </w:r>
      <w:r w:rsidR="000636C2">
        <w:rPr>
          <w:rFonts w:hint="cs"/>
          <w:rtl/>
        </w:rPr>
        <w:t xml:space="preserve">، </w:t>
      </w:r>
      <w:r w:rsidRPr="005675B2">
        <w:rPr>
          <w:rFonts w:hint="cs"/>
          <w:rtl/>
        </w:rPr>
        <w:t>أقول</w:t>
      </w:r>
      <w:r w:rsidR="000636C2">
        <w:rPr>
          <w:rFonts w:hint="cs"/>
          <w:rtl/>
        </w:rPr>
        <w:t>:</w:t>
      </w:r>
      <w:r w:rsidRPr="005675B2">
        <w:rPr>
          <w:rFonts w:hint="cs"/>
          <w:rtl/>
        </w:rPr>
        <w:t xml:space="preserve"> من أجل تحقيق المسألة وبيان ما هو الحق فيها لا بد من بيان أمور، والتركيز عليها بقدر من التفصيل</w:t>
      </w:r>
      <w:r w:rsidR="000636C2">
        <w:rPr>
          <w:rFonts w:hint="cs"/>
          <w:rtl/>
        </w:rPr>
        <w:t>، (</w:t>
      </w:r>
      <w:r w:rsidRPr="005675B2">
        <w:rPr>
          <w:rFonts w:hint="cs"/>
          <w:rtl/>
        </w:rPr>
        <w:t>الأول</w:t>
      </w:r>
      <w:r w:rsidR="000636C2">
        <w:rPr>
          <w:rFonts w:hint="cs"/>
          <w:rtl/>
        </w:rPr>
        <w:t>):</w:t>
      </w:r>
      <w:r w:rsidRPr="005675B2">
        <w:rPr>
          <w:rFonts w:hint="cs"/>
          <w:rtl/>
        </w:rPr>
        <w:t xml:space="preserve"> أن هذه الصفات يسميها الأشاعرة بالصفات السلبية، لأنها عبارة عن سلب أمور لا تليق بالله تعالى عنه، فإن المخالفة للحوادث نفي لمماثلته تعالى للحوادث، ثم إن المخالفة للحوادث عند الأشاعرة من صفات الله تعالى وليست أخص صفاته تعالى، عندهم، وأما أخص صفاته تعالى -إذا سلمنا أنه يصح التعبير بذلك - فهي الصفات الثبوتية التى يتوقف عليها أصل الإ̃لهية من الحياة والعلم والقدرة والإرادة، أو يتوقف عليها كمال الإ̃لهية من الحكمة والسمع والبصر إلى غير ذلك من الصفات الثبوتية</w:t>
      </w:r>
      <w:r w:rsidR="000636C2">
        <w:rPr>
          <w:rFonts w:hint="cs"/>
          <w:rtl/>
        </w:rPr>
        <w:t>، (</w:t>
      </w:r>
      <w:r w:rsidRPr="005675B2">
        <w:rPr>
          <w:rFonts w:hint="cs"/>
          <w:rtl/>
        </w:rPr>
        <w:t>الثاني</w:t>
      </w:r>
      <w:r w:rsidR="000636C2">
        <w:rPr>
          <w:rFonts w:hint="cs"/>
          <w:rtl/>
        </w:rPr>
        <w:t>):</w:t>
      </w:r>
      <w:r w:rsidRPr="005675B2">
        <w:rPr>
          <w:rFonts w:hint="cs"/>
          <w:rtl/>
        </w:rPr>
        <w:t xml:space="preserve"> أن الصفات السلبية وفي مقدمتها مخالفته تعالى للحوادث، مدلول عليها بالآيات الكثيرة</w:t>
      </w:r>
      <w:r w:rsidR="000636C2">
        <w:rPr>
          <w:rFonts w:hint="cs"/>
          <w:rtl/>
        </w:rPr>
        <w:t>:</w:t>
      </w:r>
      <w:r w:rsidRPr="005675B2">
        <w:rPr>
          <w:rFonts w:hint="cs"/>
          <w:rtl/>
        </w:rPr>
        <w:t xml:space="preserve"> منها قوله تعالى</w:t>
      </w:r>
      <w:r w:rsidR="000636C2">
        <w:rPr>
          <w:rFonts w:hint="cs"/>
          <w:rtl/>
        </w:rPr>
        <w:t>:</w:t>
      </w:r>
      <w:r w:rsidRPr="005675B2">
        <w:rPr>
          <w:rFonts w:hint="cs"/>
          <w:rtl/>
        </w:rPr>
        <w:t xml:space="preserve"> </w:t>
      </w:r>
      <w:r w:rsidR="000636C2">
        <w:rPr>
          <w:rFonts w:hint="cs"/>
          <w:rtl/>
        </w:rPr>
        <w:t>(</w:t>
      </w:r>
      <w:r w:rsidRPr="005675B2">
        <w:rPr>
          <w:rFonts w:hint="cs"/>
          <w:rtl/>
        </w:rPr>
        <w:t>ولم يكن له كفوا أحد</w:t>
      </w:r>
      <w:r w:rsidR="000636C2">
        <w:rPr>
          <w:rFonts w:hint="cs"/>
          <w:rtl/>
        </w:rPr>
        <w:t>)</w:t>
      </w:r>
      <w:r w:rsidRPr="005675B2">
        <w:rPr>
          <w:rFonts w:hint="cs"/>
          <w:rtl/>
        </w:rPr>
        <w:t xml:space="preserve"> ومنها قوله</w:t>
      </w:r>
      <w:r w:rsidR="000636C2">
        <w:rPr>
          <w:rFonts w:hint="cs"/>
          <w:rtl/>
        </w:rPr>
        <w:t>:</w:t>
      </w:r>
      <w:r w:rsidRPr="005675B2">
        <w:rPr>
          <w:rFonts w:hint="cs"/>
          <w:rtl/>
        </w:rPr>
        <w:t xml:space="preserve"> </w:t>
      </w:r>
      <w:r w:rsidR="000636C2">
        <w:rPr>
          <w:rFonts w:hint="cs"/>
          <w:rtl/>
        </w:rPr>
        <w:t>(</w:t>
      </w:r>
      <w:r w:rsidRPr="005675B2">
        <w:rPr>
          <w:rFonts w:hint="cs"/>
          <w:rtl/>
        </w:rPr>
        <w:t>ليس كمثله شيئ وهو السميع البصير</w:t>
      </w:r>
      <w:r w:rsidR="000636C2">
        <w:rPr>
          <w:rFonts w:hint="cs"/>
          <w:rtl/>
        </w:rPr>
        <w:t xml:space="preserve">)، </w:t>
      </w:r>
      <w:r w:rsidRPr="005675B2">
        <w:rPr>
          <w:rFonts w:hint="cs"/>
          <w:rtl/>
        </w:rPr>
        <w:t>قال الشيخ عبد الرحمن بن ناصر السعدي</w:t>
      </w:r>
      <w:r w:rsidR="000636C2">
        <w:rPr>
          <w:rFonts w:hint="cs"/>
          <w:rtl/>
        </w:rPr>
        <w:t>:</w:t>
      </w:r>
      <w:r w:rsidRPr="005675B2">
        <w:rPr>
          <w:rFonts w:hint="cs"/>
          <w:rtl/>
        </w:rPr>
        <w:t xml:space="preserve"> وهذه الآية ونحوها دليل لمذاهب أهل السنة والجماعة من إثبات الصفات، ونفي مماثلة المخلوقات، وفيها رد على المشبهة في قوله</w:t>
      </w:r>
      <w:r w:rsidR="000636C2">
        <w:rPr>
          <w:rFonts w:hint="cs"/>
          <w:rtl/>
        </w:rPr>
        <w:t>:</w:t>
      </w:r>
      <w:r w:rsidRPr="005675B2">
        <w:rPr>
          <w:rFonts w:hint="cs"/>
          <w:rtl/>
        </w:rPr>
        <w:t xml:space="preserve"> </w:t>
      </w:r>
      <w:r w:rsidR="000636C2">
        <w:rPr>
          <w:rFonts w:hint="cs"/>
          <w:rtl/>
        </w:rPr>
        <w:t>(</w:t>
      </w:r>
      <w:r w:rsidRPr="005675B2">
        <w:rPr>
          <w:rFonts w:hint="cs"/>
          <w:rtl/>
        </w:rPr>
        <w:t>ليس كمثله شيئ</w:t>
      </w:r>
      <w:r w:rsidR="000636C2">
        <w:rPr>
          <w:rFonts w:hint="cs"/>
          <w:rtl/>
        </w:rPr>
        <w:t>)</w:t>
      </w:r>
      <w:r w:rsidRPr="005675B2">
        <w:rPr>
          <w:rFonts w:hint="cs"/>
          <w:rtl/>
        </w:rPr>
        <w:t xml:space="preserve"> وعلى المعطلة في قوله</w:t>
      </w:r>
      <w:r w:rsidR="000636C2">
        <w:rPr>
          <w:rFonts w:hint="cs"/>
          <w:rtl/>
        </w:rPr>
        <w:t>:</w:t>
      </w:r>
      <w:r w:rsidRPr="005675B2">
        <w:rPr>
          <w:rFonts w:hint="cs"/>
          <w:rtl/>
        </w:rPr>
        <w:t xml:space="preserve"> </w:t>
      </w:r>
      <w:r w:rsidR="000636C2">
        <w:rPr>
          <w:rFonts w:hint="cs"/>
          <w:rtl/>
        </w:rPr>
        <w:t>(</w:t>
      </w:r>
      <w:r w:rsidRPr="005675B2">
        <w:rPr>
          <w:rFonts w:hint="cs"/>
          <w:rtl/>
        </w:rPr>
        <w:t>وهو السميع البصير</w:t>
      </w:r>
      <w:r w:rsidR="000636C2">
        <w:rPr>
          <w:rFonts w:hint="cs"/>
          <w:rtl/>
        </w:rPr>
        <w:t xml:space="preserve">)، </w:t>
      </w:r>
      <w:r w:rsidRPr="005675B2">
        <w:rPr>
          <w:rFonts w:hint="cs"/>
          <w:rtl/>
        </w:rPr>
        <w:t>وقال القرطبي</w:t>
      </w:r>
      <w:r w:rsidR="000636C2">
        <w:rPr>
          <w:rFonts w:hint="cs"/>
          <w:rtl/>
        </w:rPr>
        <w:t>:</w:t>
      </w:r>
      <w:r w:rsidRPr="005675B2">
        <w:rPr>
          <w:rFonts w:hint="cs"/>
          <w:rtl/>
        </w:rPr>
        <w:t xml:space="preserve"> في الكلام على هذه الآية</w:t>
      </w:r>
      <w:r w:rsidR="000636C2">
        <w:rPr>
          <w:rFonts w:hint="cs"/>
          <w:rtl/>
        </w:rPr>
        <w:t>:</w:t>
      </w:r>
      <w:r w:rsidRPr="005675B2">
        <w:rPr>
          <w:rFonts w:hint="cs"/>
          <w:rtl/>
        </w:rPr>
        <w:t xml:space="preserve"> قال بعض المحققين</w:t>
      </w:r>
      <w:r w:rsidR="000636C2">
        <w:rPr>
          <w:rFonts w:hint="cs"/>
          <w:rtl/>
        </w:rPr>
        <w:t>:</w:t>
      </w:r>
      <w:r w:rsidRPr="005675B2">
        <w:rPr>
          <w:rFonts w:hint="cs"/>
          <w:rtl/>
        </w:rPr>
        <w:t xml:space="preserve"> التوحيد إثبات ذات غير مشبهة للذوات ولا معطلة عن الصفات</w:t>
      </w:r>
      <w:r w:rsidR="000636C2">
        <w:rPr>
          <w:rFonts w:hint="cs"/>
          <w:rtl/>
        </w:rPr>
        <w:t>،</w:t>
      </w:r>
      <w:r w:rsidRPr="005675B2">
        <w:rPr>
          <w:rFonts w:hint="cs"/>
          <w:rtl/>
        </w:rPr>
        <w:t xml:space="preserve"> وزاد الواسطي رحمه الله تعالى فقال</w:t>
      </w:r>
      <w:r w:rsidR="000636C2">
        <w:rPr>
          <w:rFonts w:hint="cs"/>
          <w:rtl/>
        </w:rPr>
        <w:t>:</w:t>
      </w:r>
      <w:r w:rsidRPr="005675B2">
        <w:rPr>
          <w:rFonts w:hint="cs"/>
          <w:rtl/>
        </w:rPr>
        <w:t xml:space="preserve"> ليس كذاته ذات ولا كاسمه اسم ولا كفعله فعل، ولا كصفته صفة إلا من جهة موافقة اللفظ، وجلت الذات القديمة أن يكون لها صفة حديثة، كما استحال أن يكون للذات المحدثة صفة قديمة</w:t>
      </w:r>
      <w:r w:rsidR="000636C2">
        <w:rPr>
          <w:rFonts w:hint="cs"/>
          <w:rtl/>
        </w:rPr>
        <w:t xml:space="preserve">، </w:t>
      </w:r>
      <w:r w:rsidRPr="005675B2">
        <w:rPr>
          <w:rFonts w:hint="cs"/>
          <w:rtl/>
        </w:rPr>
        <w:t>وهذا كله مذهب أهل الحق والسنة والجماعة رضي الله تعالى عنهم</w:t>
      </w:r>
      <w:r w:rsidR="000636C2">
        <w:rPr>
          <w:rFonts w:hint="cs"/>
          <w:rtl/>
        </w:rPr>
        <w:t>،</w:t>
      </w:r>
      <w:r w:rsidRPr="005675B2">
        <w:rPr>
          <w:rFonts w:hint="cs"/>
          <w:rtl/>
        </w:rPr>
        <w:t xml:space="preserve"> [</w:t>
      </w:r>
      <w:r w:rsidRPr="005675B2">
        <w:rPr>
          <w:rFonts w:hint="cs"/>
          <w:sz w:val="24"/>
          <w:szCs w:val="24"/>
          <w:rtl/>
        </w:rPr>
        <w:t>الجامع لأحكام القرآن 16/10]</w:t>
      </w:r>
      <w:r w:rsidR="000636C2">
        <w:rPr>
          <w:rFonts w:hint="cs"/>
          <w:rtl/>
        </w:rPr>
        <w:t xml:space="preserve"> </w:t>
      </w:r>
      <w:r w:rsidRPr="005675B2">
        <w:rPr>
          <w:rFonts w:hint="cs"/>
          <w:rtl/>
        </w:rPr>
        <w:t>وقال الرازي</w:t>
      </w:r>
      <w:r w:rsidR="000636C2">
        <w:rPr>
          <w:rFonts w:hint="cs"/>
          <w:rtl/>
        </w:rPr>
        <w:t>:</w:t>
      </w:r>
      <w:r w:rsidRPr="005675B2">
        <w:rPr>
          <w:rFonts w:hint="cs"/>
          <w:rtl/>
        </w:rPr>
        <w:t xml:space="preserve"> احتج علماء التوحيد قديما وحديثا بهذه الآية في نفي كونه تعالى جسما مركبا من الأعضاء والأجزاء، وحاصلا في المكان والجهة، وقالوا</w:t>
      </w:r>
      <w:r w:rsidR="000636C2">
        <w:rPr>
          <w:rFonts w:hint="cs"/>
          <w:rtl/>
        </w:rPr>
        <w:t>:</w:t>
      </w:r>
      <w:r w:rsidRPr="005675B2">
        <w:rPr>
          <w:rFonts w:hint="cs"/>
          <w:rtl/>
        </w:rPr>
        <w:t xml:space="preserve"> لو كان جسما لكان مثلا لسائر الأجسام، فيلزم حصول الأمثال والأشباه له، وذلك باطل بصريح قوله تعالى</w:t>
      </w:r>
      <w:r w:rsidR="000636C2">
        <w:rPr>
          <w:rFonts w:hint="cs"/>
          <w:rtl/>
        </w:rPr>
        <w:t>:</w:t>
      </w:r>
      <w:r w:rsidRPr="005675B2">
        <w:rPr>
          <w:rFonts w:hint="cs"/>
          <w:rtl/>
        </w:rPr>
        <w:t xml:space="preserve"> </w:t>
      </w:r>
      <w:r w:rsidR="000636C2">
        <w:rPr>
          <w:rFonts w:hint="cs"/>
          <w:rtl/>
        </w:rPr>
        <w:t>(</w:t>
      </w:r>
      <w:r w:rsidRPr="005675B2">
        <w:rPr>
          <w:rFonts w:hint="cs"/>
          <w:rtl/>
        </w:rPr>
        <w:t>ليس كمثله شيئ</w:t>
      </w:r>
      <w:r w:rsidR="000636C2">
        <w:rPr>
          <w:rFonts w:hint="cs"/>
          <w:rtl/>
        </w:rPr>
        <w:t>)</w:t>
      </w:r>
      <w:r w:rsidRPr="005675B2">
        <w:rPr>
          <w:rFonts w:hint="cs"/>
          <w:rtl/>
        </w:rPr>
        <w:t xml:space="preserve"> [</w:t>
      </w:r>
      <w:r w:rsidRPr="005675B2">
        <w:rPr>
          <w:rFonts w:hint="cs"/>
          <w:sz w:val="24"/>
          <w:szCs w:val="24"/>
          <w:rtl/>
        </w:rPr>
        <w:t>مفاتيح الغيب 7/392]</w:t>
      </w:r>
      <w:r w:rsidR="000636C2">
        <w:rPr>
          <w:rFonts w:hint="cs"/>
          <w:rtl/>
        </w:rPr>
        <w:t xml:space="preserve">، </w:t>
      </w:r>
      <w:r w:rsidRPr="005675B2">
        <w:rPr>
          <w:rFonts w:hint="cs"/>
          <w:rtl/>
        </w:rPr>
        <w:t>وقال ابن عاشور في تفسيره</w:t>
      </w:r>
      <w:r w:rsidR="000636C2">
        <w:rPr>
          <w:rFonts w:hint="cs"/>
          <w:rtl/>
        </w:rPr>
        <w:t>:</w:t>
      </w:r>
      <w:r w:rsidRPr="005675B2">
        <w:rPr>
          <w:rFonts w:hint="cs"/>
          <w:rtl/>
        </w:rPr>
        <w:t xml:space="preserve"> الآية نفت أن يكون شيئ من الموجودات مماثلا لله تعالى في صفات ذاته، لأن ذاته تعالى لا يماثلها ذوات المخلوقين، ويلزم ذلك أن كل ما ثبت للمخلوقين في محسوس ذواتهم فهو منتف عن الله تعالى</w:t>
      </w:r>
      <w:r w:rsidR="000636C2">
        <w:rPr>
          <w:rFonts w:hint="cs"/>
          <w:rtl/>
        </w:rPr>
        <w:t>،</w:t>
      </w:r>
      <w:r w:rsidRPr="005675B2">
        <w:rPr>
          <w:rFonts w:hint="cs"/>
          <w:rtl/>
        </w:rPr>
        <w:t xml:space="preserve"> وبذلك كانت الآية أصلا في تنزيه الله تعالى عن الجوارح والحواس والأعضاء عند أهل التأويل</w:t>
      </w:r>
      <w:r w:rsidR="000636C2">
        <w:rPr>
          <w:rFonts w:hint="cs"/>
          <w:rtl/>
        </w:rPr>
        <w:t>،</w:t>
      </w:r>
      <w:r w:rsidRPr="005675B2">
        <w:rPr>
          <w:rFonts w:hint="cs"/>
          <w:rtl/>
        </w:rPr>
        <w:t xml:space="preserve"> والذين أثبتوا لله تعالى ما ورد في القرآن مما نسميه بالمتشابه فإنما أثبتوه مع التنزيه عن ظاهره، إذ لا خلاف في إعمال قوله</w:t>
      </w:r>
      <w:r w:rsidR="000636C2">
        <w:rPr>
          <w:rFonts w:hint="cs"/>
          <w:rtl/>
        </w:rPr>
        <w:t>:</w:t>
      </w:r>
      <w:r w:rsidRPr="005675B2">
        <w:rPr>
          <w:rFonts w:hint="cs"/>
          <w:rtl/>
        </w:rPr>
        <w:t xml:space="preserve"> </w:t>
      </w:r>
      <w:r w:rsidR="000636C2">
        <w:rPr>
          <w:rFonts w:hint="cs"/>
          <w:rtl/>
        </w:rPr>
        <w:t>(</w:t>
      </w:r>
      <w:r w:rsidRPr="005675B2">
        <w:rPr>
          <w:rFonts w:hint="cs"/>
          <w:rtl/>
        </w:rPr>
        <w:t>ليس كمثله شيئ</w:t>
      </w:r>
      <w:r w:rsidR="000636C2">
        <w:rPr>
          <w:rFonts w:hint="cs"/>
          <w:rtl/>
        </w:rPr>
        <w:t>)</w:t>
      </w:r>
      <w:r w:rsidRPr="005675B2">
        <w:rPr>
          <w:rFonts w:hint="cs"/>
          <w:rtl/>
        </w:rPr>
        <w:t xml:space="preserve"> وأنه لا شبيه له ولا نظير له .. [</w:t>
      </w:r>
      <w:r w:rsidRPr="005675B2">
        <w:rPr>
          <w:rFonts w:hint="cs"/>
          <w:sz w:val="24"/>
          <w:szCs w:val="24"/>
          <w:rtl/>
        </w:rPr>
        <w:t>التحرير والتنوير 25/47]</w:t>
      </w:r>
      <w:r w:rsidR="000636C2">
        <w:rPr>
          <w:rFonts w:hint="cs"/>
          <w:rtl/>
        </w:rPr>
        <w:t>، (</w:t>
      </w:r>
      <w:r w:rsidRPr="005675B2">
        <w:rPr>
          <w:rFonts w:hint="cs"/>
          <w:rtl/>
        </w:rPr>
        <w:t>الثالث</w:t>
      </w:r>
      <w:r w:rsidR="000636C2">
        <w:rPr>
          <w:rFonts w:hint="cs"/>
          <w:rtl/>
        </w:rPr>
        <w:t>):</w:t>
      </w:r>
      <w:r w:rsidRPr="005675B2">
        <w:rPr>
          <w:rFonts w:hint="cs"/>
          <w:rtl/>
        </w:rPr>
        <w:t xml:space="preserve"> أن أئمة أهل السنة قديما وحديثا قد قرروا ما قاله الأشاعرة مما نقله عنهم الدكتور هنا</w:t>
      </w:r>
      <w:r w:rsidR="000636C2">
        <w:rPr>
          <w:rFonts w:hint="cs"/>
          <w:rtl/>
        </w:rPr>
        <w:t>،</w:t>
      </w:r>
      <w:r w:rsidRPr="005675B2">
        <w:rPr>
          <w:rFonts w:hint="cs"/>
          <w:rtl/>
        </w:rPr>
        <w:t xml:space="preserve"> قال الإمام أبو حنيفة في الفقه الأكبر</w:t>
      </w:r>
      <w:r w:rsidR="000636C2">
        <w:rPr>
          <w:rFonts w:hint="cs"/>
          <w:rtl/>
        </w:rPr>
        <w:t>:</w:t>
      </w:r>
      <w:r w:rsidRPr="005675B2">
        <w:rPr>
          <w:rFonts w:hint="cs"/>
          <w:rtl/>
        </w:rPr>
        <w:t xml:space="preserve"> « ومعنى الشيئ إثباته -تعالى - بلا جسم ولا جوهر، ولا عرض، ولا حد له، ولا ضد له،ولا ندله، ولا مثل له »</w:t>
      </w:r>
      <w:r w:rsidR="000636C2">
        <w:rPr>
          <w:rFonts w:hint="cs"/>
          <w:rtl/>
        </w:rPr>
        <w:t xml:space="preserve">، </w:t>
      </w:r>
      <w:r w:rsidRPr="005675B2">
        <w:rPr>
          <w:rFonts w:hint="cs"/>
          <w:rtl/>
        </w:rPr>
        <w:t>ونقتطف نبذا من عقيدة الإمام أحمد المطبوعة في آخر المجلد الثاني من طبقات الحنابلة للقاضى أبى الحسين محمد بن أبي يعلى</w:t>
      </w:r>
      <w:r w:rsidR="000636C2">
        <w:rPr>
          <w:rFonts w:hint="cs"/>
          <w:rtl/>
        </w:rPr>
        <w:t>:</w:t>
      </w:r>
      <w:r w:rsidRPr="005675B2">
        <w:rPr>
          <w:rFonts w:hint="cs"/>
          <w:rtl/>
        </w:rPr>
        <w:t xml:space="preserve"> « إن الله</w:t>
      </w:r>
      <w:r w:rsidR="000636C2">
        <w:rPr>
          <w:rFonts w:hint="cs"/>
          <w:rtl/>
        </w:rPr>
        <w:t xml:space="preserve"> </w:t>
      </w:r>
      <w:r w:rsidRPr="005675B2">
        <w:rPr>
          <w:rFonts w:hint="cs"/>
          <w:rtl/>
        </w:rPr>
        <w:t>- عز وجل - واحد لا من عدد، لا يجوز عليه التجزؤ ولا القسمة، وهو واحد من كل وجه، وما سواه واحد من وجه دون وجه » [</w:t>
      </w:r>
      <w:r w:rsidRPr="005675B2">
        <w:rPr>
          <w:rFonts w:hint="cs"/>
          <w:sz w:val="24"/>
          <w:szCs w:val="24"/>
          <w:rtl/>
        </w:rPr>
        <w:t>293]</w:t>
      </w:r>
      <w:r w:rsidR="000636C2">
        <w:rPr>
          <w:rFonts w:hint="cs"/>
          <w:rtl/>
        </w:rPr>
        <w:t xml:space="preserve">، </w:t>
      </w:r>
      <w:r w:rsidRPr="005675B2">
        <w:rPr>
          <w:rFonts w:hint="cs"/>
          <w:rtl/>
        </w:rPr>
        <w:t>« إن لله تعالى يدين، وهما صفة له في ذاته، ليستا بجارحتين، وليستا بمركبتين، ولا جسم، ولا من جنس الأجسام، ولا من جنس المحدود والتركيب، ولا الأعضاء والجوارح » [</w:t>
      </w:r>
      <w:r w:rsidRPr="005675B2">
        <w:rPr>
          <w:rFonts w:hint="cs"/>
          <w:sz w:val="24"/>
          <w:szCs w:val="24"/>
          <w:rtl/>
        </w:rPr>
        <w:t>294]</w:t>
      </w:r>
      <w:r w:rsidRPr="005675B2">
        <w:rPr>
          <w:rFonts w:hint="cs"/>
          <w:rtl/>
        </w:rPr>
        <w:t xml:space="preserve"> « ولا يجوز أن يقال</w:t>
      </w:r>
      <w:r w:rsidR="000636C2">
        <w:rPr>
          <w:rFonts w:hint="cs"/>
          <w:rtl/>
        </w:rPr>
        <w:t>:</w:t>
      </w:r>
      <w:r w:rsidRPr="005675B2">
        <w:rPr>
          <w:rFonts w:hint="cs"/>
          <w:rtl/>
        </w:rPr>
        <w:t xml:space="preserve"> إستوى بمماسة ولا بملاقاة، تعالى الله عن ذلك علوا كبيرا، والله تعالى لم يلحقه تغيير ولا تبديل، ولا يلحقه الحدود قبل خلق العرش، ولا بعد خلق العرش »[</w:t>
      </w:r>
      <w:r w:rsidRPr="005675B2">
        <w:rPr>
          <w:rFonts w:hint="cs"/>
          <w:sz w:val="24"/>
          <w:szCs w:val="24"/>
          <w:rtl/>
        </w:rPr>
        <w:t>297]</w:t>
      </w:r>
      <w:r w:rsidRPr="005675B2">
        <w:rPr>
          <w:rFonts w:hint="cs"/>
          <w:rtl/>
        </w:rPr>
        <w:t xml:space="preserve"> « وأنكر على من يقول بالجسم، وقال</w:t>
      </w:r>
      <w:r w:rsidR="000636C2">
        <w:rPr>
          <w:rFonts w:hint="cs"/>
          <w:rtl/>
        </w:rPr>
        <w:t>:</w:t>
      </w:r>
      <w:r w:rsidRPr="005675B2">
        <w:rPr>
          <w:rFonts w:hint="cs"/>
          <w:rtl/>
        </w:rPr>
        <w:t xml:space="preserve"> إن الأسماء مأخوذة بالشريعة واللغة، وأهل اللغة وضعوا هذا الإسم على كل ذي طول وعرض وسمك، وتركيب وصورة وتأليف، والله تعالى خارج عن ذلك كله، فلم يجز أن يسمى جسما لخروجه عن معنى الجسمية، ولم يجئ في الشريعة ذلك فبطل » [</w:t>
      </w:r>
      <w:r w:rsidRPr="005675B2">
        <w:rPr>
          <w:rFonts w:hint="cs"/>
          <w:sz w:val="24"/>
          <w:szCs w:val="24"/>
          <w:rtl/>
        </w:rPr>
        <w:t>298]</w:t>
      </w:r>
      <w:r w:rsidR="000636C2">
        <w:rPr>
          <w:rFonts w:hint="cs"/>
          <w:rtl/>
        </w:rPr>
        <w:t>،</w:t>
      </w:r>
      <w:r w:rsidRPr="005675B2">
        <w:rPr>
          <w:rFonts w:hint="cs"/>
          <w:rtl/>
        </w:rPr>
        <w:t xml:space="preserve"> «</w:t>
      </w:r>
      <w:r w:rsidR="000636C2">
        <w:rPr>
          <w:rFonts w:hint="cs"/>
          <w:rtl/>
        </w:rPr>
        <w:t xml:space="preserve"> </w:t>
      </w:r>
      <w:r w:rsidRPr="005675B2">
        <w:rPr>
          <w:rFonts w:hint="cs"/>
          <w:rtl/>
        </w:rPr>
        <w:t>وكان يقول إن الله قديم بصفاته التى هي مضافة إليه في نفسه</w:t>
      </w:r>
      <w:r w:rsidR="000636C2">
        <w:rPr>
          <w:rFonts w:hint="cs"/>
          <w:rtl/>
        </w:rPr>
        <w:t>،</w:t>
      </w:r>
      <w:r w:rsidRPr="005675B2">
        <w:rPr>
          <w:rFonts w:hint="cs"/>
          <w:rtl/>
        </w:rPr>
        <w:t xml:space="preserve"> وقد سئل -الإمام أحمد - هل الموصوف القديم وصفته قديمان</w:t>
      </w:r>
      <w:r w:rsidR="000636C2">
        <w:rPr>
          <w:rFonts w:hint="cs"/>
          <w:rtl/>
        </w:rPr>
        <w:t>؟</w:t>
      </w:r>
      <w:r w:rsidRPr="005675B2">
        <w:rPr>
          <w:rFonts w:hint="cs"/>
          <w:rtl/>
        </w:rPr>
        <w:t xml:space="preserve"> فقال</w:t>
      </w:r>
      <w:r w:rsidR="000636C2">
        <w:rPr>
          <w:rFonts w:hint="cs"/>
          <w:rtl/>
        </w:rPr>
        <w:t>:</w:t>
      </w:r>
      <w:r w:rsidRPr="005675B2">
        <w:rPr>
          <w:rFonts w:hint="cs"/>
          <w:rtl/>
        </w:rPr>
        <w:t xml:space="preserve"> هذا سؤال خطأ، لا يجوز أن ينفرد الحق عن صفاته</w:t>
      </w:r>
      <w:r w:rsidR="000636C2">
        <w:rPr>
          <w:rFonts w:hint="cs"/>
          <w:rtl/>
        </w:rPr>
        <w:t>،</w:t>
      </w:r>
      <w:r w:rsidRPr="005675B2">
        <w:rPr>
          <w:rFonts w:hint="cs"/>
          <w:rtl/>
        </w:rPr>
        <w:t xml:space="preserve"> ومعنى ما قاله من ذلك أن المحدث محدث بجميع صفاته على غير تفصيل، وكذلك القديم قديم بجميع صفاته</w:t>
      </w:r>
      <w:r w:rsidR="000636C2">
        <w:rPr>
          <w:rFonts w:hint="cs"/>
          <w:rtl/>
        </w:rPr>
        <w:t xml:space="preserve"> </w:t>
      </w:r>
      <w:r w:rsidRPr="005675B2">
        <w:rPr>
          <w:rFonts w:hint="cs"/>
          <w:rtl/>
        </w:rPr>
        <w:t>» [</w:t>
      </w:r>
      <w:r w:rsidRPr="005675B2">
        <w:rPr>
          <w:rFonts w:hint="cs"/>
          <w:sz w:val="24"/>
          <w:szCs w:val="24"/>
          <w:rtl/>
        </w:rPr>
        <w:t>298-299.</w:t>
      </w:r>
      <w:r w:rsidR="000636C2">
        <w:rPr>
          <w:rFonts w:hint="cs"/>
          <w:rtl/>
        </w:rPr>
        <w:t xml:space="preserve">، </w:t>
      </w:r>
      <w:r w:rsidRPr="005675B2">
        <w:rPr>
          <w:rFonts w:hint="cs"/>
          <w:rtl/>
        </w:rPr>
        <w:t>وقال الطحاوي</w:t>
      </w:r>
      <w:r w:rsidR="000636C2">
        <w:rPr>
          <w:rFonts w:hint="cs"/>
          <w:rtl/>
        </w:rPr>
        <w:t>:</w:t>
      </w:r>
      <w:r w:rsidRPr="005675B2">
        <w:rPr>
          <w:rFonts w:hint="cs"/>
          <w:rtl/>
        </w:rPr>
        <w:t xml:space="preserve"> </w:t>
      </w:r>
      <w:r w:rsidR="000636C2">
        <w:rPr>
          <w:rFonts w:hint="cs"/>
          <w:rtl/>
        </w:rPr>
        <w:t>(</w:t>
      </w:r>
      <w:r w:rsidRPr="005675B2">
        <w:rPr>
          <w:rFonts w:hint="cs"/>
          <w:rtl/>
        </w:rPr>
        <w:t>لا تبلغه الأوهام، ولا تدركه الأفهام، ولا يشبه الأنام، خالق بلا جارحة .. ما زال بصفاته قديما قبل خلقه</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تعالى الله عن الحدود والغايات، والأركان والأعضاء والأدوات، لا تحويه الجهات الست كسائر المبتدعات، وهو مستغنى عن العرش وما دونه، محيط بكل شيئ وبما فوقه، وقد أعجز عن الإحاطة خلقه</w:t>
      </w:r>
      <w:r w:rsidR="000636C2">
        <w:rPr>
          <w:rFonts w:hint="cs"/>
          <w:rtl/>
        </w:rPr>
        <w:t xml:space="preserve">)، </w:t>
      </w:r>
      <w:r w:rsidRPr="005675B2">
        <w:rPr>
          <w:rFonts w:hint="cs"/>
          <w:rtl/>
        </w:rPr>
        <w:t>وقال شيخ الحنابلة القاضى أبو يعلى</w:t>
      </w:r>
      <w:r w:rsidR="000636C2">
        <w:rPr>
          <w:rFonts w:hint="cs"/>
          <w:rtl/>
        </w:rPr>
        <w:t>:</w:t>
      </w:r>
      <w:r w:rsidRPr="005675B2">
        <w:rPr>
          <w:rFonts w:hint="cs"/>
          <w:rtl/>
        </w:rPr>
        <w:t xml:space="preserve"> </w:t>
      </w:r>
      <w:r w:rsidR="000636C2">
        <w:rPr>
          <w:rFonts w:hint="cs"/>
          <w:rtl/>
        </w:rPr>
        <w:t>(</w:t>
      </w:r>
      <w:r w:rsidRPr="005675B2">
        <w:rPr>
          <w:rFonts w:hint="cs"/>
          <w:rtl/>
        </w:rPr>
        <w:t>ولا يجوز وصفه بأنه في كل مكان، ولا في مكان .. والدلالة على أنه لا يجوز إطلاق القول عليه بأنه في مكان هو أن إضافته إلى المكان توجب قدم المكان بقدمه تعالى ..</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المعتمد في أصول الدين56-57]</w:t>
      </w:r>
      <w:r w:rsidR="000636C2">
        <w:rPr>
          <w:rFonts w:hint="cs"/>
          <w:rtl/>
        </w:rPr>
        <w:t xml:space="preserve">، </w:t>
      </w:r>
      <w:r w:rsidRPr="005675B2">
        <w:rPr>
          <w:rFonts w:hint="cs"/>
          <w:rtl/>
        </w:rPr>
        <w:t>وبعد نقل ما نقلناه من كلام المفسرين وكلام أئمة أهل السنة المتعلق بالموضوع نقول</w:t>
      </w:r>
      <w:r w:rsidR="000636C2">
        <w:rPr>
          <w:rFonts w:hint="cs"/>
          <w:rtl/>
        </w:rPr>
        <w:t>:</w:t>
      </w:r>
      <w:r w:rsidRPr="005675B2">
        <w:rPr>
          <w:rFonts w:hint="cs"/>
          <w:rtl/>
        </w:rPr>
        <w:t xml:space="preserve"> هذه الآية الكريمة </w:t>
      </w:r>
      <w:r w:rsidR="000636C2">
        <w:rPr>
          <w:rFonts w:hint="cs"/>
          <w:rtl/>
        </w:rPr>
        <w:t>(</w:t>
      </w:r>
      <w:r w:rsidRPr="005675B2">
        <w:rPr>
          <w:rFonts w:hint="cs"/>
          <w:rtl/>
        </w:rPr>
        <w:t>ليس كمثله شيئ</w:t>
      </w:r>
      <w:r w:rsidR="000636C2">
        <w:rPr>
          <w:rFonts w:hint="cs"/>
          <w:rtl/>
        </w:rPr>
        <w:t>)</w:t>
      </w:r>
      <w:r w:rsidRPr="005675B2">
        <w:rPr>
          <w:rFonts w:hint="cs"/>
          <w:rtl/>
        </w:rPr>
        <w:t xml:space="preserve"> وغيرها من آيات كريمات صريحة في أنه تعالى مخالف للحوادث ويلزم ذلك أنه تعالى ليس بجسم ولا جوهر ولا عرض</w:t>
      </w:r>
      <w:r w:rsidR="000636C2">
        <w:rPr>
          <w:rFonts w:hint="cs"/>
          <w:rtl/>
        </w:rPr>
        <w:t>،</w:t>
      </w:r>
      <w:r w:rsidRPr="005675B2">
        <w:rPr>
          <w:rFonts w:hint="cs"/>
          <w:rtl/>
        </w:rPr>
        <w:t xml:space="preserve"> وما نقلناه من كلام أئمة السنة صريح في سلب هذه الأمور عن الله تعالى، فهل بعد هذا يصح عد سلب هذه الأمور عن الله تعالى بدعة</w:t>
      </w:r>
      <w:r w:rsidR="000636C2">
        <w:rPr>
          <w:rFonts w:hint="cs"/>
          <w:rtl/>
        </w:rPr>
        <w:t>!</w:t>
      </w:r>
      <w:r w:rsidRPr="005675B2">
        <w:rPr>
          <w:rFonts w:hint="cs"/>
          <w:rtl/>
        </w:rPr>
        <w:t>!</w:t>
      </w:r>
      <w:r w:rsidR="000636C2">
        <w:rPr>
          <w:rFonts w:hint="cs"/>
          <w:rtl/>
        </w:rPr>
        <w:t>؟؟</w:t>
      </w:r>
      <w:r w:rsidRPr="005675B2">
        <w:rPr>
          <w:rFonts w:hint="cs"/>
          <w:rtl/>
        </w:rPr>
        <w:t xml:space="preserve"> ولا أدرى ماذا يقصده الدكتور بالبدعة</w:t>
      </w:r>
      <w:r w:rsidR="000636C2">
        <w:rPr>
          <w:rFonts w:hint="cs"/>
          <w:rtl/>
        </w:rPr>
        <w:t>!</w:t>
      </w:r>
      <w:r w:rsidRPr="005675B2">
        <w:rPr>
          <w:rFonts w:hint="cs"/>
          <w:rtl/>
        </w:rPr>
        <w:t>! وليت شعرى ما الذي يعتقده الدكتور في الموضوع بعد إنكاره على الأشاعرة سلب هذه الأمور عن الله تعالى</w:t>
      </w:r>
      <w:r w:rsidR="000636C2">
        <w:rPr>
          <w:rFonts w:hint="cs"/>
          <w:rtl/>
        </w:rPr>
        <w:t>!</w:t>
      </w:r>
      <w:r w:rsidRPr="005675B2">
        <w:rPr>
          <w:rFonts w:hint="cs"/>
          <w:rtl/>
        </w:rPr>
        <w:t>!</w:t>
      </w:r>
      <w:r w:rsidR="000636C2">
        <w:rPr>
          <w:rFonts w:hint="cs"/>
          <w:rtl/>
        </w:rPr>
        <w:t>،</w:t>
      </w:r>
    </w:p>
    <w:p w14:paraId="742FF3CC" w14:textId="0D855F51" w:rsidR="009C32A0" w:rsidRPr="005675B2" w:rsidRDefault="009C32A0" w:rsidP="000636C2">
      <w:pPr>
        <w:rPr>
          <w:b/>
          <w:rtl/>
        </w:rPr>
      </w:pPr>
      <w:r w:rsidRPr="005675B2">
        <w:rPr>
          <w:rFonts w:hint="cs"/>
          <w:rtl/>
        </w:rPr>
        <w:t>34 - الكلام على صفات الرضى والغضب والإستواء لله تعالى</w:t>
      </w:r>
      <w:r w:rsidR="000636C2">
        <w:rPr>
          <w:rFonts w:hint="cs"/>
          <w:rtl/>
        </w:rPr>
        <w:t xml:space="preserve">: </w:t>
      </w:r>
      <w:r w:rsidRPr="005675B2">
        <w:rPr>
          <w:rFonts w:hint="cs"/>
          <w:rtl/>
        </w:rPr>
        <w:t>وأما قول الدكتور</w:t>
      </w:r>
      <w:r w:rsidR="000636C2">
        <w:rPr>
          <w:rFonts w:hint="cs"/>
          <w:rtl/>
        </w:rPr>
        <w:t>:</w:t>
      </w:r>
      <w:r w:rsidRPr="005675B2">
        <w:rPr>
          <w:rFonts w:hint="cs"/>
          <w:rtl/>
        </w:rPr>
        <w:t xml:space="preserve"> {وقد رتبوا عليه من الأصول الفاسدة ما لا يدخل تحت العد مثل إنكارهم لكثير من الصفات كالرضى والغضب، والاستواء بشبهة نفي حلول الحوادث في القديم ونفي الجوهرية والعرضية والجسمية ..</w:t>
      </w:r>
      <w:r w:rsidR="000636C2">
        <w:rPr>
          <w:rFonts w:hint="cs"/>
          <w:rtl/>
        </w:rPr>
        <w:t xml:space="preserve"> </w:t>
      </w:r>
      <w:r w:rsidRPr="005675B2">
        <w:rPr>
          <w:rFonts w:hint="cs"/>
          <w:rtl/>
        </w:rPr>
        <w:t>"</w:t>
      </w:r>
      <w:r w:rsidR="000636C2">
        <w:rPr>
          <w:rFonts w:hint="cs"/>
          <w:rtl/>
        </w:rPr>
        <w:t xml:space="preserve">، </w:t>
      </w:r>
      <w:r w:rsidRPr="005675B2">
        <w:rPr>
          <w:rFonts w:hint="cs"/>
          <w:rtl/>
        </w:rPr>
        <w:t>فلا بد أن نقف عنده وقفة، فنقول</w:t>
      </w:r>
      <w:r w:rsidR="000636C2">
        <w:rPr>
          <w:rFonts w:hint="cs"/>
          <w:rtl/>
        </w:rPr>
        <w:t>:</w:t>
      </w:r>
      <w:r w:rsidRPr="005675B2">
        <w:rPr>
          <w:rFonts w:hint="cs"/>
          <w:rtl/>
        </w:rPr>
        <w:t xml:space="preserve"> لم ينكر الأشاعرة شيئا من الصفات الوارد في الكتاب والسنة الصحيحة ثبوتها لله تعالى على وجه الحقيقة، ولا أنكر ذلك واحد من الأشاعرة</w:t>
      </w:r>
      <w:r w:rsidR="000636C2">
        <w:rPr>
          <w:rFonts w:hint="cs"/>
          <w:rtl/>
        </w:rPr>
        <w:t xml:space="preserve">! </w:t>
      </w:r>
      <w:r w:rsidRPr="005675B2">
        <w:rPr>
          <w:rFonts w:hint="cs"/>
          <w:rtl/>
        </w:rPr>
        <w:t>لكن الأشاعرة وغيرهم من أهل السنة قديما وحديثا قامت عندهم الدلائل النقلية القطعية والعقلية اليقينية على أنه تعالى ليس كمثله شيئ، وأنه تعالى مخالف للحوادث، وأنه تعالى قديم بصفاته الذاتية لا تحل فيه الحوادث، ولا يكون محلا للتغير والانفعال، ثم إنهم وجدوا بعض الصفات الوارد في الكتاب والسنة الصحيحة ثبوتها لله تعالى لو حملت على معانيها الحقيقية لأفادت التشبيه ومماثلة الله تعالى للحوادث، وكونه محلا للحوادث وللتغير والانفعال، وكون بعض الصفات القائمة بذاته حادثة</w:t>
      </w:r>
      <w:r w:rsidR="000636C2">
        <w:rPr>
          <w:rFonts w:hint="cs"/>
          <w:rtl/>
        </w:rPr>
        <w:t xml:space="preserve">، </w:t>
      </w:r>
      <w:r w:rsidRPr="005675B2">
        <w:rPr>
          <w:rFonts w:hint="cs"/>
          <w:rtl/>
        </w:rPr>
        <w:t>فعند ذلك افترقوا فرقتين</w:t>
      </w:r>
      <w:r w:rsidR="000636C2">
        <w:rPr>
          <w:rFonts w:hint="cs"/>
          <w:rtl/>
        </w:rPr>
        <w:t>:</w:t>
      </w:r>
      <w:r w:rsidRPr="005675B2">
        <w:rPr>
          <w:rFonts w:hint="cs"/>
          <w:rtl/>
        </w:rPr>
        <w:t xml:space="preserve"> الفرقة الأولى</w:t>
      </w:r>
      <w:r w:rsidR="000636C2">
        <w:rPr>
          <w:rFonts w:hint="cs"/>
          <w:rtl/>
        </w:rPr>
        <w:t>:</w:t>
      </w:r>
      <w:r w:rsidRPr="005675B2">
        <w:rPr>
          <w:rFonts w:hint="cs"/>
          <w:rtl/>
        </w:rPr>
        <w:t xml:space="preserve"> نفت المعاني الحقيقية مما هو محال في حقه تعالى أن تكون مرادة من هذه النصوص، ولم تخض في تعيين المعاني المرادة من هذه النصوص، بل فوضتها إلى الله تعالى، ويسمى هذا بالتأويل الإجمالي، وعلى هذا معظم السلف في معظم هذه النصوص</w:t>
      </w:r>
      <w:r w:rsidR="000636C2">
        <w:rPr>
          <w:rFonts w:hint="cs"/>
          <w:rtl/>
        </w:rPr>
        <w:t xml:space="preserve">، </w:t>
      </w:r>
      <w:r w:rsidRPr="005675B2">
        <w:rPr>
          <w:rFonts w:hint="cs"/>
          <w:spacing w:val="-8"/>
          <w:rtl/>
        </w:rPr>
        <w:t>والفرقة الثانية نفت أن تكون هذه المعاني مرادة من هذه النصوص، وحاولت مع ذلك بيان المعنى المراد على سبيل الاحتمال والظن لا على سبيل القطع والجزم</w:t>
      </w:r>
      <w:r w:rsidR="000636C2">
        <w:rPr>
          <w:rFonts w:hint="cs"/>
          <w:spacing w:val="-8"/>
          <w:rtl/>
        </w:rPr>
        <w:t>،</w:t>
      </w:r>
      <w:r w:rsidRPr="005675B2">
        <w:rPr>
          <w:rFonts w:hint="cs"/>
          <w:spacing w:val="-8"/>
          <w:rtl/>
        </w:rPr>
        <w:t xml:space="preserve"> وعلى هذا معظم الخلف في معظم هذه النصوص، ويسمى هذا بمذهب التأويل، ويسمى المذهب الاول بمذهب التفويض</w:t>
      </w:r>
      <w:r w:rsidR="000636C2">
        <w:rPr>
          <w:rFonts w:hint="cs"/>
          <w:spacing w:val="-8"/>
          <w:rtl/>
        </w:rPr>
        <w:t>،</w:t>
      </w:r>
      <w:r w:rsidRPr="005675B2">
        <w:rPr>
          <w:rFonts w:hint="cs"/>
          <w:spacing w:val="-8"/>
          <w:rtl/>
        </w:rPr>
        <w:t xml:space="preserve"> والتأويل لابد أن يكون بشروطه</w:t>
      </w:r>
      <w:r w:rsidR="000636C2">
        <w:rPr>
          <w:rFonts w:hint="cs"/>
          <w:spacing w:val="-8"/>
          <w:rtl/>
        </w:rPr>
        <w:t>،</w:t>
      </w:r>
      <w:r w:rsidRPr="005675B2">
        <w:rPr>
          <w:rFonts w:hint="cs"/>
          <w:spacing w:val="-8"/>
          <w:rtl/>
        </w:rPr>
        <w:t xml:space="preserve"> وسيأتي بيان هذه الشروط مع تفصيل المسألة فيما بعد</w:t>
      </w:r>
      <w:r w:rsidR="000636C2">
        <w:rPr>
          <w:rFonts w:hint="cs"/>
          <w:spacing w:val="-8"/>
          <w:rtl/>
        </w:rPr>
        <w:t xml:space="preserve">، </w:t>
      </w:r>
      <w:r w:rsidRPr="005675B2">
        <w:rPr>
          <w:rFonts w:hint="cs"/>
          <w:rtl/>
        </w:rPr>
        <w:t>وبعد هذه المقدمة نقول</w:t>
      </w:r>
      <w:r w:rsidR="000636C2">
        <w:rPr>
          <w:rFonts w:hint="cs"/>
          <w:rtl/>
        </w:rPr>
        <w:t>:</w:t>
      </w:r>
      <w:r w:rsidRPr="005675B2">
        <w:rPr>
          <w:rFonts w:hint="cs"/>
          <w:rtl/>
        </w:rPr>
        <w:t xml:space="preserve"> المتبادر من الغضب ما يعرض للانسان من الحنق بعد ما لم يكن ويزول بعد ما كان، وكذلك الرضا المتبادر منه ما يحصل للانسان من الانبساط بعد ما لم يكن، ثم يزول</w:t>
      </w:r>
      <w:r w:rsidR="000636C2">
        <w:rPr>
          <w:rFonts w:hint="cs"/>
          <w:rtl/>
        </w:rPr>
        <w:t>،</w:t>
      </w:r>
      <w:r w:rsidRPr="005675B2">
        <w:rPr>
          <w:rFonts w:hint="cs"/>
          <w:rtl/>
        </w:rPr>
        <w:t xml:space="preserve"> ولا شك أن هذا تغير وانفعال وحدوث أمر لم يكن قبل</w:t>
      </w:r>
      <w:r w:rsidR="000636C2">
        <w:rPr>
          <w:rFonts w:hint="cs"/>
          <w:rtl/>
        </w:rPr>
        <w:t>،</w:t>
      </w:r>
      <w:r w:rsidRPr="005675B2">
        <w:rPr>
          <w:rFonts w:hint="cs"/>
          <w:rtl/>
        </w:rPr>
        <w:t xml:space="preserve"> والله تعالى لا يكون محلا للحوادث، ولا يجرى عليه التغير والإنفعال، فلا يصح إثبات الغضب والرضا لله تعالى بهذين المعنيين، فإما أن ننفي هذين المعنيين عن الله تعالى مع إثبات الرضى والغضب بالمعنى الذي أراده بدون أن نبينه، وإما أن نثبت الرضى والغضب لله تعالى ليس بهذين المعنيين، بل بمعنيين آخرين جائزين على الله تعالى، وإلى ما قلناه أشار الباقلاني في كتابه "الإنصاف" مع جريه على طريقة الخلف</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وأنه سبحانه لم يزل مريدا وشائيا، ومحبا ومبغضا، وراضيا وساخطا، ومواليا ومعاديا، ورحيما ورحمانا، ولأن جميع هذه الصفات راجعة إلى إرادته في عباده ومشيئته، لا إلى غضب يغيره، ورضى يسكنه طبعا له، وحنق وغيظ يلحقه، وحقد يجده، إذ كان سبحانه متعاليا عن الميل والنفور</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الإنصاف 22]</w:t>
      </w:r>
      <w:r w:rsidR="000636C2">
        <w:rPr>
          <w:rFonts w:hint="cs"/>
          <w:rtl/>
        </w:rPr>
        <w:t>،</w:t>
      </w:r>
      <w:r w:rsidRPr="005675B2">
        <w:rPr>
          <w:rFonts w:hint="cs"/>
          <w:rtl/>
        </w:rPr>
        <w:t xml:space="preserve"> وقال الإمام أبو الحسن الأشعري في رسالته إلى أهل الثغر</w:t>
      </w:r>
      <w:r w:rsidR="000636C2">
        <w:rPr>
          <w:rFonts w:hint="cs"/>
          <w:rtl/>
        </w:rPr>
        <w:t>:</w:t>
      </w:r>
      <w:r w:rsidRPr="005675B2">
        <w:rPr>
          <w:rFonts w:hint="cs"/>
          <w:rtl/>
        </w:rPr>
        <w:t xml:space="preserve"> </w:t>
      </w:r>
      <w:r w:rsidR="000636C2">
        <w:rPr>
          <w:rFonts w:hint="cs"/>
          <w:rtl/>
        </w:rPr>
        <w:t>(</w:t>
      </w:r>
      <w:r w:rsidRPr="005675B2">
        <w:rPr>
          <w:rFonts w:hint="cs"/>
          <w:rtl/>
        </w:rPr>
        <w:t>وأجمعوا على أنه عز وجل يرضى عن الطائعين وأن رضاه لهم إرادته لنعيمهم، وأنه يحب التوابين ويسخط على الكافرين ويغضب عليهم، وأن غضبه إرادته لعذابهم</w:t>
      </w:r>
      <w:r w:rsidR="000636C2">
        <w:rPr>
          <w:rFonts w:hint="cs"/>
          <w:rtl/>
        </w:rPr>
        <w:t>)</w:t>
      </w:r>
      <w:r w:rsidRPr="005675B2">
        <w:rPr>
          <w:rFonts w:hint="cs"/>
          <w:rtl/>
        </w:rPr>
        <w:t xml:space="preserve"> [</w:t>
      </w:r>
      <w:r w:rsidRPr="005675B2">
        <w:rPr>
          <w:rFonts w:hint="cs"/>
          <w:sz w:val="24"/>
          <w:szCs w:val="24"/>
          <w:rtl/>
        </w:rPr>
        <w:t>73]</w:t>
      </w:r>
      <w:r w:rsidR="000636C2">
        <w:rPr>
          <w:rFonts w:hint="cs"/>
          <w:rtl/>
        </w:rPr>
        <w:t>،</w:t>
      </w:r>
      <w:r w:rsidRPr="005675B2">
        <w:rPr>
          <w:rFonts w:hint="cs"/>
          <w:rtl/>
        </w:rPr>
        <w:t xml:space="preserve"> وقال البيهقي في "الأسماء والصفات"</w:t>
      </w:r>
      <w:r w:rsidR="000636C2">
        <w:rPr>
          <w:rFonts w:hint="cs"/>
          <w:rtl/>
        </w:rPr>
        <w:t>:</w:t>
      </w:r>
      <w:r w:rsidRPr="005675B2">
        <w:rPr>
          <w:rFonts w:hint="cs"/>
          <w:rtl/>
        </w:rPr>
        <w:t xml:space="preserve"> </w:t>
      </w:r>
      <w:r w:rsidR="000636C2">
        <w:rPr>
          <w:rFonts w:hint="cs"/>
          <w:rtl/>
        </w:rPr>
        <w:t>(</w:t>
      </w:r>
      <w:r w:rsidRPr="005675B2">
        <w:rPr>
          <w:rFonts w:hint="cs"/>
          <w:rtl/>
        </w:rPr>
        <w:t>الرضى والسخط عند بعض أصحابنا من صفات الفعل، وعند أبي الحسن الأشعري يرجعان إلى الإرادة، فالرضى إرادته اكرام المؤمنين وإثابتهم على التأبيد، والسخط إرادته تعذيب الكفار وعقوبتهم على التأبيد، وإرادته تعذيب فساق المؤمنين إلى ما شاء الله تعالى</w:t>
      </w:r>
      <w:r w:rsidR="000636C2">
        <w:rPr>
          <w:rFonts w:hint="cs"/>
          <w:rtl/>
        </w:rPr>
        <w:t>)</w:t>
      </w:r>
      <w:r w:rsidRPr="005675B2">
        <w:rPr>
          <w:rFonts w:hint="cs"/>
          <w:rtl/>
        </w:rPr>
        <w:t xml:space="preserve"> [</w:t>
      </w:r>
      <w:r w:rsidRPr="005675B2">
        <w:rPr>
          <w:rFonts w:hint="cs"/>
          <w:sz w:val="24"/>
          <w:szCs w:val="24"/>
          <w:rtl/>
        </w:rPr>
        <w:t>الأسماء والصفات 641]</w:t>
      </w:r>
      <w:r w:rsidR="000636C2">
        <w:rPr>
          <w:rFonts w:hint="cs"/>
          <w:rtl/>
        </w:rPr>
        <w:t xml:space="preserve">، </w:t>
      </w:r>
      <w:r w:rsidRPr="005675B2">
        <w:rPr>
          <w:rFonts w:hint="cs"/>
          <w:rtl/>
        </w:rPr>
        <w:t>وقال شيخ الحنابلة القاضي أبو يعلى في "المعتمد في الأصول الدين"</w:t>
      </w:r>
      <w:r w:rsidR="000636C2">
        <w:rPr>
          <w:rFonts w:hint="cs"/>
          <w:rtl/>
        </w:rPr>
        <w:t>:</w:t>
      </w:r>
      <w:r w:rsidRPr="005675B2">
        <w:rPr>
          <w:rFonts w:hint="cs"/>
          <w:rtl/>
        </w:rPr>
        <w:t xml:space="preserve"> </w:t>
      </w:r>
      <w:r w:rsidR="000636C2">
        <w:rPr>
          <w:rFonts w:hint="cs"/>
          <w:rtl/>
        </w:rPr>
        <w:t>(</w:t>
      </w:r>
      <w:r w:rsidRPr="005675B2">
        <w:rPr>
          <w:rFonts w:hint="cs"/>
          <w:rtl/>
        </w:rPr>
        <w:t>ويجوز وصفه بالغضب والرضى .. وهما إرادته لإثابة المرضي عنه وعقوبة المغضوب عليه</w:t>
      </w:r>
      <w:r w:rsidR="000636C2">
        <w:rPr>
          <w:rFonts w:hint="cs"/>
          <w:rtl/>
        </w:rPr>
        <w:t>)</w:t>
      </w:r>
      <w:r w:rsidRPr="005675B2">
        <w:rPr>
          <w:rFonts w:hint="cs"/>
          <w:rtl/>
        </w:rPr>
        <w:t xml:space="preserve"> [</w:t>
      </w:r>
      <w:r w:rsidRPr="005675B2">
        <w:rPr>
          <w:rFonts w:hint="cs"/>
          <w:sz w:val="24"/>
          <w:szCs w:val="24"/>
          <w:rtl/>
        </w:rPr>
        <w:t>61]</w:t>
      </w:r>
      <w:r w:rsidR="000636C2">
        <w:rPr>
          <w:rFonts w:hint="cs"/>
          <w:rtl/>
        </w:rPr>
        <w:t>،</w:t>
      </w:r>
      <w:r w:rsidRPr="005675B2">
        <w:rPr>
          <w:rFonts w:hint="cs"/>
          <w:rtl/>
        </w:rPr>
        <w:t xml:space="preserve"> والحاصل أن الرضى والغضب الثابتين لله تعالى ليسا عبارتين عن الحنق والإنبساط الذين يعرضان ويزولان، بل هما إما راجعان إلى صفة الذات التى هي إرادة الاثابة والتعذيب، وإما إلى صفة الفعل وهي الإثابة والتعذيب</w:t>
      </w:r>
      <w:r w:rsidR="000636C2">
        <w:rPr>
          <w:rFonts w:hint="cs"/>
          <w:rtl/>
        </w:rPr>
        <w:t xml:space="preserve">، </w:t>
      </w:r>
      <w:r w:rsidRPr="005675B2">
        <w:rPr>
          <w:rFonts w:hint="cs"/>
          <w:spacing w:val="-8"/>
          <w:rtl/>
        </w:rPr>
        <w:t>وأما الإستواء فلم ينكره أحد من الأشاعرة أيضا، وإنما انكروا أن يكون بالمعنى المحال في حقه تعالى مما هو من صفات المحدثات والأجسام المقتضى لمشابهة الله تعالى بخلقه، فأنكروا أن يكون بمعنى الإستقرار والتمكن والحلول والانتقال، وهم في ذلك موافقون للإمام أحمد رحمه الله تعالى، ففي عقيدة الإمام أحمد المطبوعة في آخر مجلد الثاني من طبقات الحنابلة لابن أبي يعلى</w:t>
      </w:r>
      <w:r w:rsidR="000636C2">
        <w:rPr>
          <w:rFonts w:hint="cs"/>
          <w:spacing w:val="-8"/>
          <w:rtl/>
        </w:rPr>
        <w:t>:</w:t>
      </w:r>
      <w:r w:rsidRPr="005675B2">
        <w:rPr>
          <w:rFonts w:hint="cs"/>
          <w:spacing w:val="-8"/>
          <w:rtl/>
        </w:rPr>
        <w:t xml:space="preserve"> « وكان يقول في معنى الإستواء</w:t>
      </w:r>
      <w:r w:rsidR="000636C2">
        <w:rPr>
          <w:rFonts w:hint="cs"/>
          <w:spacing w:val="-8"/>
          <w:rtl/>
        </w:rPr>
        <w:t>:</w:t>
      </w:r>
      <w:r w:rsidRPr="005675B2">
        <w:rPr>
          <w:rFonts w:hint="cs"/>
          <w:spacing w:val="-8"/>
          <w:rtl/>
        </w:rPr>
        <w:t xml:space="preserve"> هو العلو والإرتفاع، ولم يزل الله عاليا رفيعا قبل أن يخلق عرشه، فهو فوق كل شيئ والعالي على كل شيئ، وإنما خص الله العرش لمعنى فيه مخالف لسائر الأشياء، والعرش أفضل الأشياء وأرفعها، فامتدح الله تعالى نفسه بأنه على العرش استوى، أي عليه علا</w:t>
      </w:r>
      <w:r w:rsidR="000636C2">
        <w:rPr>
          <w:rFonts w:hint="cs"/>
          <w:spacing w:val="-8"/>
          <w:rtl/>
        </w:rPr>
        <w:t>،</w:t>
      </w:r>
      <w:r w:rsidRPr="005675B2">
        <w:rPr>
          <w:rFonts w:hint="cs"/>
          <w:spacing w:val="-8"/>
          <w:rtl/>
        </w:rPr>
        <w:t xml:space="preserve"> ولا يجوز أن يقال</w:t>
      </w:r>
      <w:r w:rsidR="000636C2">
        <w:rPr>
          <w:rFonts w:hint="cs"/>
          <w:spacing w:val="-8"/>
          <w:rtl/>
        </w:rPr>
        <w:t>:</w:t>
      </w:r>
      <w:r w:rsidRPr="005675B2">
        <w:rPr>
          <w:rFonts w:hint="cs"/>
          <w:spacing w:val="-8"/>
          <w:rtl/>
        </w:rPr>
        <w:t xml:space="preserve"> استوى بمماسة ولا بملاقاة</w:t>
      </w:r>
      <w:r w:rsidR="000636C2">
        <w:rPr>
          <w:rFonts w:hint="cs"/>
          <w:spacing w:val="-8"/>
          <w:rtl/>
        </w:rPr>
        <w:t>،</w:t>
      </w:r>
      <w:r w:rsidRPr="005675B2">
        <w:rPr>
          <w:rFonts w:hint="cs"/>
          <w:spacing w:val="-8"/>
          <w:rtl/>
        </w:rPr>
        <w:t xml:space="preserve"> تعالى الله عن ذلك علوا كبيرا، والله تعالى لم يلحقه تغير ولا تبدل، ولا يلحقه الحدود قبل خلق العرش ولا بعد خلق العرش</w:t>
      </w:r>
      <w:r w:rsidR="000636C2">
        <w:rPr>
          <w:rFonts w:hint="cs"/>
          <w:spacing w:val="-8"/>
          <w:rtl/>
        </w:rPr>
        <w:t xml:space="preserve"> </w:t>
      </w:r>
      <w:r w:rsidRPr="005675B2">
        <w:rPr>
          <w:rFonts w:hint="cs"/>
          <w:spacing w:val="-8"/>
          <w:rtl/>
        </w:rPr>
        <w:t>»</w:t>
      </w:r>
      <w:r w:rsidR="000636C2">
        <w:rPr>
          <w:rFonts w:hint="cs"/>
          <w:spacing w:val="-8"/>
          <w:rtl/>
        </w:rPr>
        <w:t>،</w:t>
      </w:r>
      <w:r w:rsidRPr="005675B2">
        <w:rPr>
          <w:rFonts w:hint="cs"/>
          <w:spacing w:val="-8"/>
          <w:rtl/>
        </w:rPr>
        <w:t xml:space="preserve"> [</w:t>
      </w:r>
      <w:r w:rsidRPr="005675B2">
        <w:rPr>
          <w:rFonts w:hint="cs"/>
          <w:sz w:val="24"/>
          <w:szCs w:val="24"/>
          <w:rtl/>
        </w:rPr>
        <w:t>196]</w:t>
      </w:r>
      <w:r w:rsidRPr="005675B2">
        <w:rPr>
          <w:rFonts w:hint="cs"/>
          <w:spacing w:val="-8"/>
          <w:rtl/>
        </w:rPr>
        <w:t xml:space="preserve"> </w:t>
      </w:r>
      <w:r w:rsidRPr="005675B2">
        <w:rPr>
          <w:rFonts w:hint="cs"/>
          <w:rtl/>
        </w:rPr>
        <w:t>وقال الباقلاني في "الإنصاف"</w:t>
      </w:r>
      <w:r w:rsidR="000636C2">
        <w:rPr>
          <w:rFonts w:hint="cs"/>
          <w:rtl/>
        </w:rPr>
        <w:t>:</w:t>
      </w:r>
      <w:r w:rsidRPr="005675B2">
        <w:rPr>
          <w:rFonts w:hint="cs"/>
          <w:rtl/>
        </w:rPr>
        <w:t xml:space="preserve"> « وإن الله</w:t>
      </w:r>
      <w:r w:rsidR="000636C2">
        <w:rPr>
          <w:rFonts w:hint="cs"/>
          <w:rtl/>
        </w:rPr>
        <w:t xml:space="preserve"> </w:t>
      </w:r>
      <w:r w:rsidRPr="005675B2">
        <w:rPr>
          <w:rFonts w:hint="cs"/>
          <w:rtl/>
        </w:rPr>
        <w:t>- جل ثناهـ مستوى على العرش، ومستول على جميع خلقه كما قال تعالى</w:t>
      </w:r>
      <w:r w:rsidR="000636C2">
        <w:rPr>
          <w:rFonts w:hint="cs"/>
          <w:rtl/>
        </w:rPr>
        <w:t>:</w:t>
      </w:r>
      <w:r w:rsidRPr="005675B2">
        <w:rPr>
          <w:rFonts w:hint="cs"/>
          <w:rtl/>
        </w:rPr>
        <w:t xml:space="preserve">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بغير مماسة وكيفية ولا مجاورة »</w:t>
      </w:r>
      <w:r w:rsidR="000636C2">
        <w:rPr>
          <w:rFonts w:hint="cs"/>
          <w:rtl/>
        </w:rPr>
        <w:t>،</w:t>
      </w:r>
      <w:r w:rsidRPr="005675B2">
        <w:rPr>
          <w:rFonts w:hint="cs"/>
          <w:rtl/>
        </w:rPr>
        <w:t xml:space="preserve"> [</w:t>
      </w:r>
      <w:r w:rsidRPr="005675B2">
        <w:rPr>
          <w:rFonts w:hint="cs"/>
          <w:sz w:val="24"/>
          <w:szCs w:val="24"/>
          <w:rtl/>
        </w:rPr>
        <w:t>الإنصاف 22]</w:t>
      </w:r>
      <w:r w:rsidRPr="005675B2">
        <w:rPr>
          <w:rFonts w:hint="cs"/>
          <w:rtl/>
        </w:rPr>
        <w:t xml:space="preserve"> </w:t>
      </w:r>
      <w:r w:rsidRPr="005675B2">
        <w:rPr>
          <w:rFonts w:hint="cs"/>
          <w:spacing w:val="-8"/>
          <w:rtl/>
        </w:rPr>
        <w:t>وقال الغزالي في "قواعد العقائد"</w:t>
      </w:r>
      <w:r w:rsidR="000636C2">
        <w:rPr>
          <w:rFonts w:hint="cs"/>
          <w:spacing w:val="-8"/>
          <w:rtl/>
        </w:rPr>
        <w:t>:</w:t>
      </w:r>
      <w:r w:rsidRPr="005675B2">
        <w:rPr>
          <w:rFonts w:hint="cs"/>
          <w:spacing w:val="-8"/>
          <w:rtl/>
        </w:rPr>
        <w:t xml:space="preserve"> «</w:t>
      </w:r>
      <w:r w:rsidR="000636C2">
        <w:rPr>
          <w:rFonts w:hint="cs"/>
          <w:spacing w:val="-8"/>
          <w:rtl/>
        </w:rPr>
        <w:t xml:space="preserve"> </w:t>
      </w:r>
      <w:r w:rsidRPr="005675B2">
        <w:rPr>
          <w:rFonts w:hint="cs"/>
          <w:spacing w:val="-8"/>
          <w:rtl/>
        </w:rPr>
        <w:t>.. وأنه مستوى على العرش على الوجه الذي قاله، وبالمعنى الذي أراده، استواءاً منزهاً عن المماسة والإستقرار والتمكن والحلول والإنتقال، لا يحمله العرش، بل العرش وحملته محمولون بلطف قدرته » ثم قال</w:t>
      </w:r>
      <w:r w:rsidR="000636C2">
        <w:rPr>
          <w:rFonts w:hint="cs"/>
          <w:spacing w:val="-8"/>
          <w:rtl/>
        </w:rPr>
        <w:t>:</w:t>
      </w:r>
      <w:r w:rsidRPr="005675B2">
        <w:rPr>
          <w:rFonts w:hint="cs"/>
          <w:spacing w:val="-8"/>
          <w:rtl/>
        </w:rPr>
        <w:t xml:space="preserve"> « تعالى الله عن أن يحويه مكان، كما تقدس عن أن يحده زمان، بل كان قبل خلق الزمان والمكان، وهو الآن على ما عليه كان »</w:t>
      </w:r>
      <w:r w:rsidR="000636C2">
        <w:rPr>
          <w:rFonts w:hint="cs"/>
          <w:spacing w:val="-8"/>
          <w:rtl/>
        </w:rPr>
        <w:t>،</w:t>
      </w:r>
      <w:r w:rsidRPr="005675B2">
        <w:rPr>
          <w:rFonts w:hint="cs"/>
          <w:spacing w:val="-8"/>
          <w:rtl/>
        </w:rPr>
        <w:t xml:space="preserve"> [</w:t>
      </w:r>
      <w:r w:rsidRPr="005675B2">
        <w:rPr>
          <w:rFonts w:hint="cs"/>
          <w:sz w:val="24"/>
          <w:szCs w:val="24"/>
          <w:rtl/>
        </w:rPr>
        <w:t>6-7</w:t>
      </w:r>
      <w:r w:rsidRPr="005675B2">
        <w:rPr>
          <w:rFonts w:hint="cs"/>
          <w:spacing w:val="-8"/>
          <w:rtl/>
        </w:rPr>
        <w:t xml:space="preserve">] </w:t>
      </w:r>
      <w:r w:rsidRPr="005675B2">
        <w:rPr>
          <w:rFonts w:hint="cs"/>
          <w:rtl/>
        </w:rPr>
        <w:t>وقال نحو هذا عز الدين بن عبد السلام في "العقائد" له</w:t>
      </w:r>
      <w:r w:rsidR="000636C2">
        <w:rPr>
          <w:rFonts w:hint="cs"/>
          <w:rtl/>
        </w:rPr>
        <w:t>،</w:t>
      </w:r>
      <w:r w:rsidRPr="005675B2">
        <w:rPr>
          <w:rFonts w:hint="cs"/>
          <w:rtl/>
        </w:rPr>
        <w:t xml:space="preserve"> [</w:t>
      </w:r>
      <w:r w:rsidRPr="005675B2">
        <w:rPr>
          <w:rFonts w:hint="cs"/>
          <w:sz w:val="24"/>
          <w:szCs w:val="24"/>
          <w:rtl/>
        </w:rPr>
        <w:t>7-8</w:t>
      </w:r>
      <w:r w:rsidRPr="005675B2">
        <w:rPr>
          <w:rFonts w:hint="cs"/>
          <w:rtl/>
        </w:rPr>
        <w:t>] هذا كلام هؤلاء العلماء من الأشاعرة وهو موافق لما قاله الإمام أحمد</w:t>
      </w:r>
      <w:r w:rsidR="000636C2">
        <w:rPr>
          <w:rFonts w:hint="cs"/>
          <w:rtl/>
        </w:rPr>
        <w:t xml:space="preserve">، </w:t>
      </w:r>
      <w:r w:rsidRPr="005675B2">
        <w:rPr>
          <w:rFonts w:hint="cs"/>
          <w:rtl/>
        </w:rPr>
        <w:t>نعم قد أول بعض الأشاعرة الاستواء على العرش بتأويلات</w:t>
      </w:r>
      <w:r w:rsidR="000636C2">
        <w:rPr>
          <w:rFonts w:hint="cs"/>
          <w:rtl/>
        </w:rPr>
        <w:t>،</w:t>
      </w:r>
      <w:r w:rsidRPr="005675B2">
        <w:rPr>
          <w:rFonts w:hint="cs"/>
          <w:rtl/>
        </w:rPr>
        <w:t xml:space="preserve"> والتأويل إذا كان بشروطه صحيح، وليس كل تأويل صحيحا</w:t>
      </w:r>
      <w:r w:rsidR="000636C2">
        <w:rPr>
          <w:rFonts w:hint="cs"/>
          <w:rtl/>
        </w:rPr>
        <w:t>،</w:t>
      </w:r>
      <w:r w:rsidRPr="005675B2">
        <w:rPr>
          <w:rFonts w:hint="cs"/>
          <w:rtl/>
        </w:rPr>
        <w:t xml:space="preserve"> وهذه التأويلات قد يناقش في بعضها هل هي صحيحة أم لا</w:t>
      </w:r>
      <w:r w:rsidR="000636C2">
        <w:rPr>
          <w:rFonts w:hint="cs"/>
          <w:rtl/>
        </w:rPr>
        <w:t>؟</w:t>
      </w:r>
      <w:r w:rsidRPr="005675B2">
        <w:rPr>
          <w:rFonts w:hint="cs"/>
          <w:rtl/>
        </w:rPr>
        <w:t xml:space="preserve"> وهل هي على شروط التأويل أم لا</w:t>
      </w:r>
      <w:r w:rsidR="000636C2">
        <w:rPr>
          <w:rFonts w:hint="cs"/>
          <w:rtl/>
        </w:rPr>
        <w:t>؟</w:t>
      </w:r>
      <w:r w:rsidRPr="005675B2">
        <w:rPr>
          <w:rFonts w:hint="cs"/>
          <w:rtl/>
        </w:rPr>
        <w:t xml:space="preserve"> وهذا النقاش إذا كان جاريا على حسب قواعد العلوم ومقرراتها أمر طيب جيد</w:t>
      </w:r>
      <w:r w:rsidR="000636C2">
        <w:rPr>
          <w:rFonts w:hint="cs"/>
          <w:rtl/>
        </w:rPr>
        <w:t xml:space="preserve">، </w:t>
      </w:r>
      <w:r w:rsidRPr="005675B2">
        <w:rPr>
          <w:rFonts w:hint="cs"/>
          <w:rtl/>
        </w:rPr>
        <w:t>وأما نسبة إنكار الصفات الوارد نسبتها إلى الله تعالى في الكتاب والسنة الصحيحة إلى الأشاعرة فهذا أمر غير صحيح، وكذلك رد التأويل لهذه الصفات إجمالا وإنكار أصل التأويل غير صحيح، فإن أصل التأويل أمر ضروري لم ينج منه أحد من علماء الأمة لا قديما ولا حديثا، وإنما الكلام والخلاف في التوسع فيه</w:t>
      </w:r>
      <w:r w:rsidR="000636C2">
        <w:rPr>
          <w:rFonts w:hint="cs"/>
          <w:rtl/>
        </w:rPr>
        <w:t>،</w:t>
      </w:r>
      <w:r w:rsidRPr="005675B2">
        <w:rPr>
          <w:rFonts w:hint="cs"/>
          <w:rtl/>
        </w:rPr>
        <w:t xml:space="preserve"> فهذا هو الذي أنكره من أنكره من علماء الأمة وأئمتها وسيأتى تفصيل المسألة إن شاء الله تعالى</w:t>
      </w:r>
      <w:r w:rsidR="000636C2">
        <w:rPr>
          <w:rFonts w:hint="cs"/>
          <w:rtl/>
        </w:rPr>
        <w:t>،</w:t>
      </w:r>
    </w:p>
    <w:p w14:paraId="6EA8CA8C" w14:textId="1A12D63D" w:rsidR="009C32A0" w:rsidRPr="005675B2" w:rsidRDefault="009C32A0" w:rsidP="000636C2">
      <w:pPr>
        <w:rPr>
          <w:b/>
          <w:rtl/>
        </w:rPr>
      </w:pPr>
      <w:r w:rsidRPr="005675B2">
        <w:rPr>
          <w:rFonts w:hint="cs"/>
          <w:spacing w:val="-10"/>
          <w:rtl/>
        </w:rPr>
        <w:t xml:space="preserve">35 - </w:t>
      </w:r>
      <w:r w:rsidRPr="005675B2">
        <w:rPr>
          <w:rFonts w:hint="cs"/>
          <w:rtl/>
        </w:rPr>
        <w:t>تقسيم الأمور الوارد نسبتها إلى الله تعالى إلى أربعة أقسام، وبيان حكم كل قسم منها</w:t>
      </w:r>
      <w:r w:rsidR="000636C2">
        <w:rPr>
          <w:rFonts w:hint="cs"/>
          <w:rtl/>
        </w:rPr>
        <w:t>:</w:t>
      </w:r>
      <w:r w:rsidRPr="005675B2">
        <w:rPr>
          <w:rFonts w:hint="cs"/>
          <w:rtl/>
        </w:rPr>
        <w:t xml:space="preserve"> وتتميما لموضوع الصفات نقرر قاعدة مهمة جدا متعلقة بالصفات</w:t>
      </w:r>
      <w:r w:rsidR="000636C2">
        <w:rPr>
          <w:rFonts w:hint="cs"/>
          <w:rtl/>
        </w:rPr>
        <w:t xml:space="preserve">، </w:t>
      </w:r>
      <w:r w:rsidRPr="005675B2">
        <w:rPr>
          <w:rFonts w:hint="cs"/>
          <w:rtl/>
        </w:rPr>
        <w:t>فنقول</w:t>
      </w:r>
      <w:r w:rsidR="000636C2">
        <w:rPr>
          <w:rFonts w:hint="cs"/>
          <w:rtl/>
        </w:rPr>
        <w:t>:</w:t>
      </w:r>
      <w:r w:rsidRPr="005675B2">
        <w:rPr>
          <w:rFonts w:hint="cs"/>
          <w:rtl/>
        </w:rPr>
        <w:t xml:space="preserve"> الأصل في إثبات الأسماء والصفات لله تعالى ونفيها عنه نوعان من النصوص</w:t>
      </w:r>
      <w:r w:rsidR="000636C2">
        <w:rPr>
          <w:rFonts w:hint="cs"/>
          <w:rtl/>
        </w:rPr>
        <w:t>:</w:t>
      </w:r>
      <w:r w:rsidRPr="005675B2">
        <w:rPr>
          <w:rFonts w:hint="cs"/>
          <w:rtl/>
        </w:rPr>
        <w:t>النوع الاول نصوص الكتاب الواردة بتنزيه الله تعالى عن كل عيب ونقيصة، النوع الثاني النصوص الواردة بمخالفته تعالى للمحدثات</w:t>
      </w:r>
      <w:r w:rsidR="000636C2">
        <w:rPr>
          <w:rFonts w:hint="cs"/>
          <w:rtl/>
        </w:rPr>
        <w:t xml:space="preserve">، </w:t>
      </w:r>
      <w:r w:rsidRPr="005675B2">
        <w:rPr>
          <w:rFonts w:hint="cs"/>
          <w:rtl/>
        </w:rPr>
        <w:t>هذه النصوص هي الأصل في هذا الباب تقضي على ما عداها من النصوص المتعلقة بالأسماء والصفات الواردة في الكتاب والسنة، وتنَزلُ ما عداها من النصوص عليها، وتفسر على وفقها</w:t>
      </w:r>
      <w:r w:rsidR="000636C2">
        <w:rPr>
          <w:rFonts w:hint="cs"/>
          <w:rtl/>
        </w:rPr>
        <w:t xml:space="preserve">، </w:t>
      </w:r>
      <w:r w:rsidRPr="005675B2">
        <w:rPr>
          <w:rFonts w:hint="cs"/>
          <w:rtl/>
        </w:rPr>
        <w:t>ثم نقول</w:t>
      </w:r>
      <w:r w:rsidR="000636C2">
        <w:rPr>
          <w:rFonts w:hint="cs"/>
          <w:rtl/>
        </w:rPr>
        <w:t>:</w:t>
      </w:r>
      <w:r w:rsidRPr="005675B2">
        <w:rPr>
          <w:rFonts w:hint="cs"/>
          <w:rtl/>
        </w:rPr>
        <w:t xml:space="preserve"> الأمور الوارد نسبتها إلى الله تعالى في الكتاب والسنة اربعة أنواع</w:t>
      </w:r>
      <w:r w:rsidR="000636C2">
        <w:rPr>
          <w:rFonts w:hint="cs"/>
          <w:rtl/>
        </w:rPr>
        <w:t>:</w:t>
      </w:r>
      <w:r w:rsidRPr="005675B2">
        <w:rPr>
          <w:rFonts w:hint="cs"/>
          <w:rtl/>
        </w:rPr>
        <w:t xml:space="preserve"> النوع الاول</w:t>
      </w:r>
      <w:r w:rsidR="000636C2">
        <w:rPr>
          <w:rFonts w:hint="cs"/>
          <w:rtl/>
        </w:rPr>
        <w:t>:</w:t>
      </w:r>
      <w:r w:rsidRPr="005675B2">
        <w:rPr>
          <w:rFonts w:hint="cs"/>
          <w:rtl/>
        </w:rPr>
        <w:t xml:space="preserve"> ما يوهم نقصا بالنسبة إلى الله سبحانه تعالى، مثل ما ورد من نسبة النسيان إلى الله تعالى في قوله تعالى</w:t>
      </w:r>
      <w:r w:rsidR="000636C2">
        <w:rPr>
          <w:rFonts w:hint="cs"/>
          <w:rtl/>
        </w:rPr>
        <w:t>:</w:t>
      </w:r>
      <w:r w:rsidRPr="005675B2">
        <w:rPr>
          <w:rFonts w:hint="cs"/>
          <w:rtl/>
        </w:rPr>
        <w:t xml:space="preserve">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w:t>
      </w:r>
      <w:r w:rsidRPr="005675B2">
        <w:rPr>
          <w:rFonts w:hint="cs"/>
          <w:sz w:val="24"/>
          <w:szCs w:val="24"/>
          <w:rtl/>
        </w:rPr>
        <w:t>التوبة 67]</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فذوقوا بما نسيتم لقاء يومكم هذا إنا نسيناكم</w:t>
      </w:r>
      <w:r w:rsidR="000636C2">
        <w:rPr>
          <w:rFonts w:hint="cs"/>
          <w:rtl/>
        </w:rPr>
        <w:t>)</w:t>
      </w:r>
      <w:r w:rsidRPr="005675B2">
        <w:rPr>
          <w:rFonts w:hint="cs"/>
          <w:rtl/>
        </w:rPr>
        <w:t xml:space="preserve"> [</w:t>
      </w:r>
      <w:r w:rsidRPr="005675B2">
        <w:rPr>
          <w:rFonts w:hint="cs"/>
          <w:sz w:val="24"/>
          <w:szCs w:val="24"/>
          <w:rtl/>
        </w:rPr>
        <w:t>السجدة 14</w:t>
      </w:r>
      <w:r w:rsidRPr="005675B2">
        <w:rPr>
          <w:rFonts w:hint="cs"/>
          <w:rtl/>
        </w:rPr>
        <w:t>] ومثل ما ورد من نسبة المرض إليه تعالى في الحديث القدسي</w:t>
      </w:r>
      <w:r w:rsidR="000636C2">
        <w:rPr>
          <w:rFonts w:hint="cs"/>
          <w:rtl/>
        </w:rPr>
        <w:t>:</w:t>
      </w:r>
      <w:r w:rsidRPr="005675B2">
        <w:rPr>
          <w:rFonts w:hint="cs"/>
          <w:rtl/>
        </w:rPr>
        <w:t xml:space="preserve"> </w:t>
      </w:r>
      <w:r w:rsidR="000636C2">
        <w:rPr>
          <w:rFonts w:hint="cs"/>
          <w:rtl/>
        </w:rPr>
        <w:t>(</w:t>
      </w:r>
      <w:r w:rsidRPr="005675B2">
        <w:rPr>
          <w:rFonts w:hint="cs"/>
          <w:rtl/>
        </w:rPr>
        <w:t>عبدى مرضت فلم تعدنى</w:t>
      </w:r>
      <w:r w:rsidR="000636C2">
        <w:rPr>
          <w:rFonts w:hint="cs"/>
          <w:rtl/>
        </w:rPr>
        <w:t xml:space="preserve">)، </w:t>
      </w:r>
      <w:r w:rsidRPr="005675B2">
        <w:rPr>
          <w:rFonts w:hint="cs"/>
          <w:rtl/>
        </w:rPr>
        <w:t>فهذه النصوص يجب نفي ما توهمه من النقص من الأصل، ويجب تأويلها، ولا يتوقف فيها، فمن أجل ذلك أولها العلماء، ولم يتوقفوا عن تأويلها</w:t>
      </w:r>
      <w:r w:rsidR="000636C2">
        <w:rPr>
          <w:rFonts w:hint="cs"/>
          <w:rtl/>
        </w:rPr>
        <w:t xml:space="preserve">، </w:t>
      </w:r>
      <w:r w:rsidRPr="005675B2">
        <w:rPr>
          <w:rFonts w:hint="cs"/>
          <w:rtl/>
        </w:rPr>
        <w:t>وإنما قلنا</w:t>
      </w:r>
      <w:r w:rsidR="000636C2">
        <w:rPr>
          <w:rFonts w:hint="cs"/>
          <w:rtl/>
        </w:rPr>
        <w:t>:</w:t>
      </w:r>
      <w:r w:rsidRPr="005675B2">
        <w:rPr>
          <w:rFonts w:hint="cs"/>
          <w:rtl/>
        </w:rPr>
        <w:t xml:space="preserve"> إن هذه النصوص توهم نقصا، فعبرنا بالإيهام، ولم نعبر بالدلالة أو الإقتضاء، لأن كل ما هو من هذا النوع من النصوص مقرون بقرائن تعين المعنى المجازي المراد منها، فلا يجوز مع ذلك أن يقال</w:t>
      </w:r>
      <w:r w:rsidR="000636C2">
        <w:rPr>
          <w:rFonts w:hint="cs"/>
          <w:rtl/>
        </w:rPr>
        <w:t>:</w:t>
      </w:r>
      <w:r w:rsidRPr="005675B2">
        <w:rPr>
          <w:rFonts w:hint="cs"/>
          <w:rtl/>
        </w:rPr>
        <w:t xml:space="preserve"> إنها تدل على النقص أو تفيده أو تقتضيه</w:t>
      </w:r>
      <w:r w:rsidR="000636C2">
        <w:rPr>
          <w:rFonts w:hint="cs"/>
          <w:rtl/>
        </w:rPr>
        <w:t xml:space="preserve">، </w:t>
      </w:r>
      <w:r w:rsidRPr="005675B2">
        <w:rPr>
          <w:rFonts w:hint="cs"/>
          <w:rtl/>
        </w:rPr>
        <w:t>النوع الثاني</w:t>
      </w:r>
      <w:r w:rsidR="000636C2">
        <w:rPr>
          <w:rFonts w:hint="cs"/>
          <w:rtl/>
        </w:rPr>
        <w:t>:</w:t>
      </w:r>
      <w:r w:rsidRPr="005675B2">
        <w:rPr>
          <w:rFonts w:hint="cs"/>
          <w:rtl/>
        </w:rPr>
        <w:t xml:space="preserve"> ما يوهم مماثلته تعالى للمحدثات ومشابهته لهامن ثبوت خواص الأجسام والمحدثات لله تعالى من الأعضاء والجوارح والحدود والغايات وحلول الحوادث والمكان لله تعالى</w:t>
      </w:r>
      <w:r w:rsidR="000636C2">
        <w:rPr>
          <w:rFonts w:hint="cs"/>
          <w:rtl/>
        </w:rPr>
        <w:t>،</w:t>
      </w:r>
      <w:r w:rsidRPr="005675B2">
        <w:rPr>
          <w:rFonts w:hint="cs"/>
          <w:rtl/>
        </w:rPr>
        <w:t xml:space="preserve"> فهذه النصوص أيضا يجب نفي ما توهمه عن أن يكون مرادا منها، ثم هل يتوقف بعد هذا النفي، ويفوض المعنى المراد منها إلى الله تعالى، أو تفسر بمعان يصح نسبتها إلى الله تعالى وفق شروط التأوئل</w:t>
      </w:r>
      <w:r w:rsidR="000636C2">
        <w:rPr>
          <w:rFonts w:hint="cs"/>
          <w:rtl/>
        </w:rPr>
        <w:t>؟</w:t>
      </w:r>
      <w:r w:rsidRPr="005675B2">
        <w:rPr>
          <w:rFonts w:hint="cs"/>
          <w:rtl/>
        </w:rPr>
        <w:t xml:space="preserve"> المذهبان المعروفان، وعبرنا هنا أيضا بالإيهام لما قلناه آنفا</w:t>
      </w:r>
      <w:r w:rsidR="000636C2">
        <w:rPr>
          <w:rFonts w:hint="cs"/>
          <w:rtl/>
        </w:rPr>
        <w:t xml:space="preserve">، </w:t>
      </w:r>
      <w:r w:rsidRPr="005675B2">
        <w:rPr>
          <w:rFonts w:hint="cs"/>
          <w:rtl/>
        </w:rPr>
        <w:t>النوع الثالث</w:t>
      </w:r>
      <w:r w:rsidR="000636C2">
        <w:rPr>
          <w:rFonts w:hint="cs"/>
          <w:rtl/>
        </w:rPr>
        <w:t>:</w:t>
      </w:r>
      <w:r w:rsidRPr="005675B2">
        <w:rPr>
          <w:rFonts w:hint="cs"/>
          <w:rtl/>
        </w:rPr>
        <w:t xml:space="preserve"> ما يفيد ثبوت صفات معنوية لله تعالى لا يصح إثباتها لله تعالى بحسب ما وضعت له من المعانى اللغوية التى يتصف بها الإنسان، لأن الإتصاف بها على ذلك الوجه يقتضي مماثلته تعالى للحوادث من التغير والإنفعال، وكونَ المتصف بها محلا للحوادث -تعالى الله عن ذلك علوا كبيرا - وذلك مثل الرحمة والرضى والغضب كما قدمناه آنفا</w:t>
      </w:r>
      <w:r w:rsidR="000636C2">
        <w:rPr>
          <w:rFonts w:hint="cs"/>
          <w:rtl/>
        </w:rPr>
        <w:t>،</w:t>
      </w:r>
      <w:r w:rsidRPr="005675B2">
        <w:rPr>
          <w:rFonts w:hint="cs"/>
          <w:rtl/>
        </w:rPr>
        <w:t xml:space="preserve"> وهذا النوع قريب من النوع الذي قبله، ويجرى فيه ما يجرى فيه من القولين المعروفين</w:t>
      </w:r>
      <w:r w:rsidR="000636C2">
        <w:rPr>
          <w:rFonts w:hint="cs"/>
          <w:rtl/>
        </w:rPr>
        <w:t>،</w:t>
      </w:r>
      <w:r w:rsidRPr="005675B2">
        <w:rPr>
          <w:rFonts w:hint="cs"/>
          <w:rtl/>
        </w:rPr>
        <w:t xml:space="preserve"> لكنه يفترق عنه فيما سنذكره قريبا</w:t>
      </w:r>
      <w:r w:rsidR="000636C2">
        <w:rPr>
          <w:rFonts w:hint="cs"/>
          <w:rtl/>
        </w:rPr>
        <w:t xml:space="preserve">، </w:t>
      </w:r>
      <w:r w:rsidRPr="005675B2">
        <w:rPr>
          <w:rFonts w:hint="cs"/>
          <w:rtl/>
        </w:rPr>
        <w:t>النوع الرابع</w:t>
      </w:r>
      <w:r w:rsidR="000636C2">
        <w:rPr>
          <w:rFonts w:hint="cs"/>
          <w:rtl/>
        </w:rPr>
        <w:t>:</w:t>
      </w:r>
      <w:r w:rsidRPr="005675B2">
        <w:rPr>
          <w:rFonts w:hint="cs"/>
          <w:rtl/>
        </w:rPr>
        <w:t xml:space="preserve"> ما يفيد ثبوت صفات معنوية لله تعالى ليس في إثباتها لله تعالى إيهام نقص، وليس لهذه الصفات معان لغوية يمتنع اتصاف الله تعالى بها، بل هذه الصفات مقتضى ذاته تعالى ومقتضى إ̃لهيته وربوبيته من صفات العظمة والكمال والجلال، كالحياة والعلم والقدرة والإرادة والسمع والبصر والحكمة والكبرياء</w:t>
      </w:r>
      <w:r w:rsidR="000636C2">
        <w:rPr>
          <w:rFonts w:hint="cs"/>
          <w:rtl/>
        </w:rPr>
        <w:t xml:space="preserve">، </w:t>
      </w:r>
      <w:r w:rsidRPr="005675B2">
        <w:rPr>
          <w:rFonts w:hint="cs"/>
          <w:rtl/>
        </w:rPr>
        <w:t>فهذا النوع من الصفات يجب إثباته لله تعالى بالمعنى اللغوي لدوالها على وجه الكمال، كما أن بعضا منها ثابت لغيره تعالى لكن لا على وجه الكمال، فإنها في المخلوقات عارضة ناقصة، و في الله تعالى واجبة في غاية ما يتصور من الكمال</w:t>
      </w:r>
      <w:r w:rsidR="000636C2">
        <w:rPr>
          <w:rFonts w:hint="cs"/>
          <w:rtl/>
        </w:rPr>
        <w:t>،</w:t>
      </w:r>
      <w:r w:rsidRPr="005675B2">
        <w:rPr>
          <w:rFonts w:hint="cs"/>
          <w:rtl/>
        </w:rPr>
        <w:t xml:space="preserve"> فهذا النوع من الصفات أيضا تنفى عنها مماثلتها لصفات المخلوقين لكن من جهة الكيف لا من جهة الأصل</w:t>
      </w:r>
      <w:r w:rsidR="000636C2">
        <w:rPr>
          <w:rFonts w:hint="cs"/>
          <w:rtl/>
        </w:rPr>
        <w:t xml:space="preserve">، </w:t>
      </w:r>
      <w:r w:rsidRPr="005675B2">
        <w:rPr>
          <w:rFonts w:hint="cs"/>
          <w:rtl/>
        </w:rPr>
        <w:t>فنفي مماثلته تعالى للحوادث المدلول عليه بقوله تعالى</w:t>
      </w:r>
      <w:r w:rsidR="000636C2">
        <w:rPr>
          <w:rFonts w:hint="cs"/>
          <w:rtl/>
        </w:rPr>
        <w:t>:</w:t>
      </w:r>
      <w:r w:rsidRPr="005675B2">
        <w:rPr>
          <w:rFonts w:hint="cs"/>
          <w:rtl/>
        </w:rPr>
        <w:t xml:space="preserve"> </w:t>
      </w:r>
      <w:r w:rsidR="000636C2">
        <w:rPr>
          <w:rFonts w:hint="cs"/>
          <w:rtl/>
        </w:rPr>
        <w:t>(</w:t>
      </w:r>
      <w:r w:rsidRPr="005675B2">
        <w:rPr>
          <w:rFonts w:hint="cs"/>
          <w:rtl/>
        </w:rPr>
        <w:t>ليس كمثله شيئ وهو السميع البصير</w:t>
      </w:r>
      <w:r w:rsidR="000636C2">
        <w:rPr>
          <w:rFonts w:hint="cs"/>
          <w:rtl/>
        </w:rPr>
        <w:t>)</w:t>
      </w:r>
      <w:r w:rsidRPr="005675B2">
        <w:rPr>
          <w:rFonts w:hint="cs"/>
          <w:rtl/>
        </w:rPr>
        <w:t xml:space="preserve"> وبغيره من الآيات ثابت لله تعالى بالنسبة إلى الحوادث كلها ذواتها وصفاتها، لكن نفي المماثلة بالنسة إلى بعض صفات المحدثين متوجه إلى أصلها ووجودها، فيمتنع قيامها بالله تعالى من الأصل وفي بعضها إلى كيفيتها ووصفها، فيمتنع قيامها بالله تعالى على الوجه الموجود في المخلوقين</w:t>
      </w:r>
      <w:r w:rsidR="000636C2">
        <w:rPr>
          <w:rFonts w:hint="cs"/>
          <w:rtl/>
        </w:rPr>
        <w:t xml:space="preserve">، </w:t>
      </w:r>
      <w:r w:rsidRPr="005675B2">
        <w:rPr>
          <w:rFonts w:hint="cs"/>
          <w:rtl/>
        </w:rPr>
        <w:t>وقد أشار الله تعالى إلى هذا بقوله</w:t>
      </w:r>
      <w:r w:rsidR="000636C2">
        <w:rPr>
          <w:rFonts w:hint="cs"/>
          <w:rtl/>
        </w:rPr>
        <w:t>:</w:t>
      </w:r>
      <w:r w:rsidRPr="005675B2">
        <w:rPr>
          <w:rFonts w:hint="cs"/>
          <w:rtl/>
        </w:rPr>
        <w:t xml:space="preserve"> </w:t>
      </w:r>
      <w:r w:rsidR="000636C2">
        <w:rPr>
          <w:rFonts w:hint="cs"/>
          <w:rtl/>
        </w:rPr>
        <w:t>(</w:t>
      </w:r>
      <w:r w:rsidRPr="005675B2">
        <w:rPr>
          <w:rFonts w:hint="cs"/>
          <w:rtl/>
        </w:rPr>
        <w:t>وهو السميع البصير</w:t>
      </w:r>
      <w:r w:rsidR="000636C2">
        <w:rPr>
          <w:rFonts w:hint="cs"/>
          <w:rtl/>
        </w:rPr>
        <w:t>)</w:t>
      </w:r>
      <w:r w:rsidRPr="005675B2">
        <w:rPr>
          <w:rFonts w:hint="cs"/>
          <w:rtl/>
        </w:rPr>
        <w:t>، حيث أثبت لنفسه السمع والبصر بعد نفيه تعالى المماثلة للحوادث عن نفسه، فنبه بذلك على أن نفي مماثلة الأشياء له إنما هو على الطريق الذي ذكرناه</w:t>
      </w:r>
      <w:r w:rsidR="000636C2">
        <w:rPr>
          <w:rFonts w:hint="cs"/>
          <w:rtl/>
        </w:rPr>
        <w:t xml:space="preserve">، </w:t>
      </w:r>
      <w:r w:rsidRPr="005675B2">
        <w:rPr>
          <w:rFonts w:hint="cs"/>
          <w:rtl/>
        </w:rPr>
        <w:t>ومن هذا التفصيل ظهر أنه يصح أن يقال</w:t>
      </w:r>
      <w:r w:rsidR="000636C2">
        <w:rPr>
          <w:rFonts w:hint="cs"/>
          <w:rtl/>
        </w:rPr>
        <w:t>:</w:t>
      </w:r>
      <w:r w:rsidRPr="005675B2">
        <w:rPr>
          <w:rFonts w:hint="cs"/>
          <w:rtl/>
        </w:rPr>
        <w:t xml:space="preserve"> لله تعالى علم ليس كعلمنا وقدرة ليس كقدرتنا إلى غير ذلك من النوع الأخير من الصفات، ولا يصح أن يقال</w:t>
      </w:r>
      <w:r w:rsidR="000636C2">
        <w:rPr>
          <w:rFonts w:hint="cs"/>
          <w:rtl/>
        </w:rPr>
        <w:t>:</w:t>
      </w:r>
      <w:r w:rsidRPr="005675B2">
        <w:rPr>
          <w:rFonts w:hint="cs"/>
          <w:rtl/>
        </w:rPr>
        <w:t xml:space="preserve"> لله تعالى نسيان ليس كنسياننا ولا مرض ليس كمرضنا</w:t>
      </w:r>
      <w:r w:rsidR="000636C2">
        <w:rPr>
          <w:rFonts w:hint="cs"/>
          <w:rtl/>
        </w:rPr>
        <w:t>:</w:t>
      </w:r>
      <w:r w:rsidRPr="005675B2">
        <w:rPr>
          <w:rFonts w:hint="cs"/>
          <w:rtl/>
        </w:rPr>
        <w:t xml:space="preserve"> وذلك لأن المرض منفي عن الله تعالى من الأصل رأسا، وكذلك النسيان</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كان ربك نسيا</w:t>
      </w:r>
      <w:r w:rsidR="000636C2">
        <w:rPr>
          <w:rFonts w:hint="cs"/>
          <w:rtl/>
        </w:rPr>
        <w:t>)،</w:t>
      </w:r>
    </w:p>
    <w:p w14:paraId="5C6F5D5C" w14:textId="7200F51E" w:rsidR="009C32A0" w:rsidRPr="005675B2" w:rsidRDefault="009C32A0" w:rsidP="000636C2">
      <w:pPr>
        <w:rPr>
          <w:b/>
          <w:rtl/>
        </w:rPr>
      </w:pPr>
      <w:r w:rsidRPr="005675B2">
        <w:rPr>
          <w:rFonts w:hint="cs"/>
          <w:rtl/>
        </w:rPr>
        <w:t>36 - هل يصح أن يقال</w:t>
      </w:r>
      <w:r w:rsidR="000636C2">
        <w:rPr>
          <w:rFonts w:hint="cs"/>
          <w:rtl/>
        </w:rPr>
        <w:t>:</w:t>
      </w:r>
      <w:r w:rsidRPr="005675B2">
        <w:rPr>
          <w:rFonts w:hint="cs"/>
          <w:rtl/>
        </w:rPr>
        <w:t xml:space="preserve"> لله تعالى يد لا كيدنا وجنب لا كجنبنا ..</w:t>
      </w:r>
      <w:r w:rsidR="000636C2">
        <w:rPr>
          <w:rFonts w:hint="cs"/>
          <w:rtl/>
        </w:rPr>
        <w:t xml:space="preserve">،؟ </w:t>
      </w:r>
      <w:r w:rsidRPr="005675B2">
        <w:rPr>
          <w:rFonts w:hint="cs"/>
          <w:rtl/>
        </w:rPr>
        <w:t>وأما أنه هل يصح أن يقال</w:t>
      </w:r>
      <w:r w:rsidR="000636C2">
        <w:rPr>
          <w:rFonts w:hint="cs"/>
          <w:rtl/>
        </w:rPr>
        <w:t>:</w:t>
      </w:r>
      <w:r w:rsidRPr="005675B2">
        <w:rPr>
          <w:rFonts w:hint="cs"/>
          <w:rtl/>
        </w:rPr>
        <w:t xml:space="preserve"> لله يد لا كيدنا وجنب لا كجنبنا ورجل لا كرجلنا وأصبع لا كأصبعنا</w:t>
      </w:r>
      <w:r w:rsidR="000636C2">
        <w:rPr>
          <w:rFonts w:hint="cs"/>
          <w:rtl/>
        </w:rPr>
        <w:t>؟</w:t>
      </w:r>
      <w:r w:rsidRPr="005675B2">
        <w:rPr>
          <w:rFonts w:hint="cs"/>
          <w:rtl/>
        </w:rPr>
        <w:t xml:space="preserve"> وهل يصح أن يقال</w:t>
      </w:r>
      <w:r w:rsidR="000636C2">
        <w:rPr>
          <w:rFonts w:hint="cs"/>
          <w:rtl/>
        </w:rPr>
        <w:t>:</w:t>
      </w:r>
      <w:r w:rsidRPr="005675B2">
        <w:rPr>
          <w:rFonts w:hint="cs"/>
          <w:rtl/>
        </w:rPr>
        <w:t xml:space="preserve"> لله تعالى رحمة ليست كرحمتنا ورضى ليس كرضانا وغضب ليس كغضبنا</w:t>
      </w:r>
      <w:r w:rsidR="000636C2">
        <w:rPr>
          <w:rFonts w:hint="cs"/>
          <w:rtl/>
        </w:rPr>
        <w:t>؟،</w:t>
      </w:r>
      <w:r w:rsidRPr="005675B2">
        <w:rPr>
          <w:rFonts w:hint="cs"/>
          <w:rtl/>
        </w:rPr>
        <w:t xml:space="preserve"> الثاني صحيح والأول غير صحيح</w:t>
      </w:r>
      <w:r w:rsidR="000636C2">
        <w:rPr>
          <w:rFonts w:hint="cs"/>
          <w:rtl/>
        </w:rPr>
        <w:t>،</w:t>
      </w:r>
      <w:r w:rsidRPr="005675B2">
        <w:rPr>
          <w:rFonts w:hint="cs"/>
          <w:rtl/>
        </w:rPr>
        <w:t xml:space="preserve"> والفرق بينهما من وجوه</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أنك في الثاني تثبت صفة معنوية لله تعالى أثبتها الله تعالى لنفسه من الرضى والغضب ونحوهما، ثم تنفي عن الله تعالى ما يوهمه اللفظ من التغير والإنفعال الذي هو على الله تعالى محال، فتعود هذه الصفات إلى صفة الإرادة أو إلى صفة الفعل كما قدمناه، فيكون كلامك من نوع قولنا</w:t>
      </w:r>
      <w:r w:rsidR="000636C2">
        <w:rPr>
          <w:rFonts w:hint="cs"/>
          <w:rtl/>
        </w:rPr>
        <w:t>:</w:t>
      </w:r>
      <w:r w:rsidRPr="005675B2">
        <w:rPr>
          <w:rFonts w:hint="cs"/>
          <w:rtl/>
        </w:rPr>
        <w:t xml:space="preserve"> لله علم لا كعلمنا حيث أثبت لله تعالى العلم، ونفيت أن يكون على وجه النقص الذي هو في حقه تعالى محال، فينفعك قولك</w:t>
      </w:r>
      <w:r w:rsidR="000636C2">
        <w:rPr>
          <w:rFonts w:hint="cs"/>
          <w:rtl/>
        </w:rPr>
        <w:t>:</w:t>
      </w:r>
      <w:r w:rsidRPr="005675B2">
        <w:rPr>
          <w:rFonts w:hint="cs"/>
          <w:rtl/>
        </w:rPr>
        <w:t xml:space="preserve"> « ليس كرضانا » بعد قولك</w:t>
      </w:r>
      <w:r w:rsidR="000636C2">
        <w:rPr>
          <w:rFonts w:hint="cs"/>
          <w:rtl/>
        </w:rPr>
        <w:t>:</w:t>
      </w:r>
      <w:r w:rsidRPr="005675B2">
        <w:rPr>
          <w:rFonts w:hint="cs"/>
          <w:rtl/>
        </w:rPr>
        <w:t xml:space="preserve"> « لله تعالى رضا » حيث يفيد قولك هذا أن رضاه تعالى ونحوه ليس على وجه التغير والإنفعال الذي هو على الله محال</w:t>
      </w:r>
      <w:r w:rsidR="000636C2">
        <w:rPr>
          <w:rFonts w:hint="cs"/>
          <w:rtl/>
        </w:rPr>
        <w:t xml:space="preserve">، </w:t>
      </w:r>
      <w:r w:rsidRPr="005675B2">
        <w:rPr>
          <w:rFonts w:hint="cs"/>
          <w:rtl/>
        </w:rPr>
        <w:t>وأما في قولك</w:t>
      </w:r>
      <w:r w:rsidR="000636C2">
        <w:rPr>
          <w:rFonts w:hint="cs"/>
          <w:rtl/>
        </w:rPr>
        <w:t>:</w:t>
      </w:r>
      <w:r w:rsidRPr="005675B2">
        <w:rPr>
          <w:rFonts w:hint="cs"/>
          <w:rtl/>
        </w:rPr>
        <w:t xml:space="preserve"> « لله تعالى يد لا كيدنا » فمن أجل أن اليد موضوع للعضو المعلوم، وهي منفية عن الله تعالى أصلا بدلائل مخالفته للحوادث، فقد أثْبَتَّ بقولك هذا لله ما هو منفي عنه أصلا ورأسا، ولم تثبت له ما هو ثابت له أصلا ومنفي عنه وصفا وكيفية، حتى ينفعك بعد قولك</w:t>
      </w:r>
      <w:r w:rsidR="000636C2">
        <w:rPr>
          <w:rFonts w:hint="cs"/>
          <w:rtl/>
        </w:rPr>
        <w:t>:</w:t>
      </w:r>
      <w:r w:rsidRPr="005675B2">
        <w:rPr>
          <w:rFonts w:hint="cs"/>
          <w:rtl/>
        </w:rPr>
        <w:t xml:space="preserve"> « لله يد » قولُك</w:t>
      </w:r>
      <w:r w:rsidR="000636C2">
        <w:rPr>
          <w:rFonts w:hint="cs"/>
          <w:rtl/>
        </w:rPr>
        <w:t>:</w:t>
      </w:r>
      <w:r w:rsidRPr="005675B2">
        <w:rPr>
          <w:rFonts w:hint="cs"/>
          <w:rtl/>
        </w:rPr>
        <w:t xml:space="preserve"> « لا كيدنا »، بل يكون قولك</w:t>
      </w:r>
      <w:r w:rsidR="000636C2">
        <w:rPr>
          <w:rFonts w:hint="cs"/>
          <w:rtl/>
        </w:rPr>
        <w:t>:</w:t>
      </w:r>
      <w:r w:rsidRPr="005675B2">
        <w:rPr>
          <w:rFonts w:hint="cs"/>
          <w:rtl/>
        </w:rPr>
        <w:t xml:space="preserve"> « لا كيدنا » كلاما لا معنى له ومناقضا لقولك</w:t>
      </w:r>
      <w:r w:rsidR="000636C2">
        <w:rPr>
          <w:rFonts w:hint="cs"/>
          <w:rtl/>
        </w:rPr>
        <w:t>:</w:t>
      </w:r>
      <w:r w:rsidRPr="005675B2">
        <w:rPr>
          <w:rFonts w:hint="cs"/>
          <w:rtl/>
        </w:rPr>
        <w:t xml:space="preserve"> "لله يد" إن كنت أردت بقولك</w:t>
      </w:r>
      <w:r w:rsidR="000636C2">
        <w:rPr>
          <w:rFonts w:hint="cs"/>
          <w:rtl/>
        </w:rPr>
        <w:t>:</w:t>
      </w:r>
      <w:r w:rsidRPr="005675B2">
        <w:rPr>
          <w:rFonts w:hint="cs"/>
          <w:rtl/>
        </w:rPr>
        <w:t xml:space="preserve"> « لا كيدنا » نفي الوصف والأصل لأنك نفيت به ما أثبته بقولك</w:t>
      </w:r>
      <w:r w:rsidR="000636C2">
        <w:rPr>
          <w:rFonts w:hint="cs"/>
          <w:rtl/>
        </w:rPr>
        <w:t>:</w:t>
      </w:r>
      <w:r w:rsidRPr="005675B2">
        <w:rPr>
          <w:rFonts w:hint="cs"/>
          <w:rtl/>
        </w:rPr>
        <w:t xml:space="preserve"> "لله يد"، ويكون مؤكدا للتشبيه والتمثيل إن أردت بقولك</w:t>
      </w:r>
      <w:r w:rsidR="000636C2">
        <w:rPr>
          <w:rFonts w:hint="cs"/>
          <w:rtl/>
        </w:rPr>
        <w:t>:</w:t>
      </w:r>
      <w:r w:rsidRPr="005675B2">
        <w:rPr>
          <w:rFonts w:hint="cs"/>
          <w:rtl/>
        </w:rPr>
        <w:t xml:space="preserve"> « لا كيدنا » نفي الوصف دون الأصل لأنك تكون قد أثبت لله أصل الجارحة، ونفيت عنها الوصف والهيئة المخصوصة ليد الإنسان، فيكون كلامك هذا من قبيل قولك</w:t>
      </w:r>
      <w:r w:rsidR="000636C2">
        <w:rPr>
          <w:rFonts w:hint="cs"/>
          <w:rtl/>
        </w:rPr>
        <w:t>:</w:t>
      </w:r>
      <w:r w:rsidRPr="005675B2">
        <w:rPr>
          <w:rFonts w:hint="cs"/>
          <w:rtl/>
        </w:rPr>
        <w:t xml:space="preserve"> « لله نسيان لا كنسياننا ومرض لا كمرضنا »</w:t>
      </w:r>
      <w:r w:rsidR="000636C2">
        <w:rPr>
          <w:rFonts w:hint="cs"/>
          <w:rtl/>
        </w:rPr>
        <w:t xml:space="preserve">، </w:t>
      </w:r>
      <w:r w:rsidRPr="005675B2">
        <w:rPr>
          <w:rFonts w:hint="cs"/>
          <w:rtl/>
        </w:rPr>
        <w:t xml:space="preserve">و </w:t>
      </w:r>
      <w:r w:rsidR="000636C2">
        <w:rPr>
          <w:rFonts w:hint="cs"/>
          <w:rtl/>
        </w:rPr>
        <w:t>(</w:t>
      </w:r>
      <w:r w:rsidRPr="005675B2">
        <w:rPr>
          <w:rFonts w:hint="cs"/>
          <w:rtl/>
        </w:rPr>
        <w:t>الثاني</w:t>
      </w:r>
      <w:r w:rsidR="000636C2">
        <w:rPr>
          <w:rFonts w:hint="cs"/>
          <w:rtl/>
        </w:rPr>
        <w:t>):</w:t>
      </w:r>
      <w:r w:rsidRPr="005675B2">
        <w:rPr>
          <w:rFonts w:hint="cs"/>
          <w:rtl/>
        </w:rPr>
        <w:t xml:space="preserve"> أن الله تعالى قد أسند الرحمة والرضى والغضب ونحوها إلى نفسه في كتابه وعلى لسان رسوله على وجه الإسناد التام الذي هو بين الفعل وفاعله والمبتدأ وخبره ونحوها، حيث وصف الله تعالى نفسه بالغفور الرحيم والرحمن الرحيم، وقال</w:t>
      </w:r>
      <w:r w:rsidR="000636C2">
        <w:rPr>
          <w:rFonts w:hint="cs"/>
          <w:rtl/>
        </w:rPr>
        <w:t>:</w:t>
      </w:r>
      <w:r w:rsidRPr="005675B2">
        <w:rPr>
          <w:rFonts w:hint="cs"/>
          <w:rtl/>
        </w:rPr>
        <w:t xml:space="preserve"> </w:t>
      </w:r>
      <w:r w:rsidR="000636C2">
        <w:rPr>
          <w:rFonts w:hint="cs"/>
          <w:rtl/>
        </w:rPr>
        <w:t>(</w:t>
      </w:r>
      <w:r w:rsidRPr="005675B2">
        <w:rPr>
          <w:rFonts w:hint="cs"/>
          <w:rtl/>
        </w:rPr>
        <w:t>إلا من رحم الله</w:t>
      </w:r>
      <w:r w:rsidR="000636C2">
        <w:rPr>
          <w:rFonts w:hint="cs"/>
          <w:rtl/>
        </w:rPr>
        <w:t>)</w:t>
      </w:r>
      <w:r w:rsidRPr="005675B2">
        <w:rPr>
          <w:rFonts w:hint="cs"/>
          <w:rtl/>
        </w:rPr>
        <w:t xml:space="preserve"> الدخان 42 وقال تعالى</w:t>
      </w:r>
      <w:r w:rsidR="000636C2">
        <w:rPr>
          <w:rFonts w:hint="cs"/>
          <w:rtl/>
        </w:rPr>
        <w:t>:</w:t>
      </w:r>
      <w:r w:rsidRPr="005675B2">
        <w:rPr>
          <w:rFonts w:hint="cs"/>
          <w:rtl/>
        </w:rPr>
        <w:t xml:space="preserve"> </w:t>
      </w:r>
      <w:r w:rsidR="000636C2">
        <w:rPr>
          <w:rFonts w:hint="cs"/>
          <w:rtl/>
        </w:rPr>
        <w:t>(</w:t>
      </w:r>
      <w:r w:rsidRPr="005675B2">
        <w:rPr>
          <w:rFonts w:hint="cs"/>
          <w:rtl/>
        </w:rPr>
        <w:t>رضي الله عنهم ورضوا عنه</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وغضب الله عليهم</w:t>
      </w:r>
      <w:r w:rsidR="000636C2">
        <w:rPr>
          <w:rFonts w:hint="cs"/>
          <w:rtl/>
        </w:rPr>
        <w:t xml:space="preserve">)، </w:t>
      </w:r>
      <w:r w:rsidRPr="005675B2">
        <w:rPr>
          <w:rFonts w:hint="cs"/>
          <w:rtl/>
        </w:rPr>
        <w:t>وأما ما هو موضوع للأعضاء والجوارح ونحوها فلم يرد في كلام الله تعالى وكلام رسوله إسنادها إلى الله تعالى على هذا الوجه، وإنما ورد نسبتها إلى الله تعالى على وجه الإضافة فقط كقوله تعالى</w:t>
      </w:r>
      <w:r w:rsidR="000636C2">
        <w:rPr>
          <w:rFonts w:hint="cs"/>
          <w:rtl/>
        </w:rPr>
        <w:t>:</w:t>
      </w:r>
      <w:r w:rsidRPr="005675B2">
        <w:rPr>
          <w:rFonts w:hint="cs"/>
          <w:rtl/>
        </w:rPr>
        <w:t xml:space="preserve"> </w:t>
      </w:r>
      <w:r w:rsidR="000636C2">
        <w:rPr>
          <w:rFonts w:hint="cs"/>
          <w:rtl/>
        </w:rPr>
        <w:t>(</w:t>
      </w:r>
      <w:r w:rsidRPr="005675B2">
        <w:rPr>
          <w:rFonts w:hint="cs"/>
          <w:rtl/>
        </w:rPr>
        <w:t>بيده الملك</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في جنب الله</w:t>
      </w:r>
      <w:r w:rsidR="000636C2">
        <w:rPr>
          <w:rFonts w:hint="cs"/>
          <w:rtl/>
        </w:rPr>
        <w:t>)، (</w:t>
      </w:r>
      <w:r w:rsidRPr="005675B2">
        <w:rPr>
          <w:rFonts w:hint="cs"/>
          <w:rtl/>
        </w:rPr>
        <w:t>الثالث</w:t>
      </w:r>
      <w:r w:rsidR="000636C2">
        <w:rPr>
          <w:rFonts w:hint="cs"/>
          <w:rtl/>
        </w:rPr>
        <w:t>):</w:t>
      </w:r>
      <w:r w:rsidRPr="005675B2">
        <w:rPr>
          <w:rFonts w:hint="cs"/>
          <w:rtl/>
        </w:rPr>
        <w:t xml:space="preserve"> أن الرضى والرحمة والغضب ونحوها قد سيقت في كلام الله تعالى وكلام رسوله على وجه إثباتها لله تعالى، ولم تسق فى كلامهما على طريق إثبات أمر آخر لله تعالى، وأما اليد والجنب والرجل والأصبع ونحوها فلم تسق فى كلام الله تعالى وكلام رسوله على طريق إثباتها لله تعالى، بل سيقت على طريق إثبات أمر آخر لله تعالى</w:t>
      </w:r>
      <w:r w:rsidR="000636C2">
        <w:rPr>
          <w:rFonts w:hint="cs"/>
          <w:rtl/>
        </w:rPr>
        <w:t>،</w:t>
      </w:r>
      <w:r w:rsidRPr="005675B2">
        <w:rPr>
          <w:rFonts w:hint="cs"/>
          <w:rtl/>
        </w:rPr>
        <w:t xml:space="preserve"> فمثلا قوله تعالى</w:t>
      </w:r>
      <w:r w:rsidR="000636C2">
        <w:rPr>
          <w:rFonts w:hint="cs"/>
          <w:rtl/>
        </w:rPr>
        <w:t>:</w:t>
      </w:r>
      <w:r w:rsidRPr="005675B2">
        <w:rPr>
          <w:rFonts w:hint="cs"/>
          <w:rtl/>
        </w:rPr>
        <w:t xml:space="preserve"> </w:t>
      </w:r>
      <w:r w:rsidR="000636C2">
        <w:rPr>
          <w:rFonts w:hint="cs"/>
          <w:rtl/>
        </w:rPr>
        <w:t>(</w:t>
      </w:r>
      <w:r w:rsidRPr="005675B2">
        <w:rPr>
          <w:rFonts w:hint="cs"/>
          <w:rtl/>
        </w:rPr>
        <w:t>تبارك الذي بيده الملك</w:t>
      </w:r>
      <w:r w:rsidR="000636C2">
        <w:rPr>
          <w:rFonts w:hint="cs"/>
          <w:rtl/>
        </w:rPr>
        <w:t>)</w:t>
      </w:r>
      <w:r w:rsidRPr="005675B2">
        <w:rPr>
          <w:rFonts w:hint="cs"/>
          <w:rtl/>
        </w:rPr>
        <w:t xml:space="preserve"> سيق لإثبات الملوكية والسلطنة المطلقة لله تعالى</w:t>
      </w:r>
      <w:r w:rsidR="000636C2">
        <w:rPr>
          <w:rFonts w:hint="cs"/>
          <w:rtl/>
        </w:rPr>
        <w:t>،</w:t>
      </w:r>
      <w:r w:rsidRPr="005675B2">
        <w:rPr>
          <w:rFonts w:hint="cs"/>
          <w:rtl/>
        </w:rPr>
        <w:t>لا لإثبات اليد لله تعالى، وقوله تعالى</w:t>
      </w:r>
      <w:r w:rsidR="000636C2">
        <w:rPr>
          <w:rFonts w:hint="cs"/>
          <w:rtl/>
        </w:rPr>
        <w:t>:</w:t>
      </w:r>
      <w:r w:rsidRPr="005675B2">
        <w:rPr>
          <w:rFonts w:hint="cs"/>
          <w:rtl/>
        </w:rPr>
        <w:t xml:space="preserve"> </w:t>
      </w:r>
      <w:r w:rsidR="000636C2">
        <w:rPr>
          <w:rFonts w:hint="cs"/>
          <w:rtl/>
        </w:rPr>
        <w:t>(</w:t>
      </w:r>
      <w:r w:rsidRPr="005675B2">
        <w:rPr>
          <w:rFonts w:hint="cs"/>
          <w:rtl/>
        </w:rPr>
        <w:t>يا حسرتا على ما فرطت في جنب الله</w:t>
      </w:r>
      <w:r w:rsidR="000636C2">
        <w:rPr>
          <w:rFonts w:hint="cs"/>
          <w:rtl/>
        </w:rPr>
        <w:t>)</w:t>
      </w:r>
      <w:r w:rsidRPr="005675B2">
        <w:rPr>
          <w:rFonts w:hint="cs"/>
          <w:rtl/>
        </w:rPr>
        <w:t xml:space="preserve"> سيق لإثبات الحسرة على التفريط في حقوق الله، لا لإثبات الجنب لله تعالى</w:t>
      </w:r>
      <w:r w:rsidR="000636C2">
        <w:rPr>
          <w:rFonts w:hint="cs"/>
          <w:rtl/>
        </w:rPr>
        <w:t xml:space="preserve">، </w:t>
      </w:r>
      <w:r w:rsidRPr="005675B2">
        <w:rPr>
          <w:rFonts w:hint="cs"/>
          <w:rtl/>
        </w:rPr>
        <w:t>وقول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 قلب ابن آدم بين أصبعين من أصابع الرحمن</w:t>
      </w:r>
      <w:r w:rsidR="000636C2">
        <w:rPr>
          <w:rFonts w:hint="cs"/>
          <w:rtl/>
        </w:rPr>
        <w:t>)</w:t>
      </w:r>
      <w:r w:rsidRPr="005675B2">
        <w:rPr>
          <w:rFonts w:hint="cs"/>
          <w:rtl/>
        </w:rPr>
        <w:t xml:space="preserve"> سيق لبيان أن قلب الإنسان طوع إرادته تعالى وقدرته يقلبه كيف يشاء، ولم يرد لإثبات الأصابع لله تعالى، ولا لبيان أن في جوف كل إنسان أصبعين من أصابع الرحمن مكتنفتين بقلبه، تعالى الله عن ذلك علوا كبيرا، إلى غير ذلك من الأمثلة، والله تعالى أعلم بالصواب</w:t>
      </w:r>
      <w:r w:rsidR="000636C2">
        <w:rPr>
          <w:rFonts w:hint="cs"/>
          <w:rtl/>
        </w:rPr>
        <w:t xml:space="preserve">، </w:t>
      </w:r>
      <w:r w:rsidRPr="005675B2">
        <w:rPr>
          <w:rFonts w:hint="cs"/>
          <w:rtl/>
        </w:rPr>
        <w:t>قال الدكتور سفر</w:t>
      </w:r>
      <w:r w:rsidR="000636C2">
        <w:rPr>
          <w:rFonts w:hint="cs"/>
          <w:rtl/>
        </w:rPr>
        <w:t>:</w:t>
      </w:r>
      <w:r w:rsidRPr="005675B2">
        <w:rPr>
          <w:rFonts w:hint="cs"/>
          <w:rtl/>
        </w:rPr>
        <w:t xml:space="preserve"> " الثالث التوحيد21</w:t>
      </w:r>
      <w:r w:rsidR="000636C2">
        <w:rPr>
          <w:rFonts w:hint="cs"/>
          <w:rtl/>
        </w:rPr>
        <w:t>:</w:t>
      </w:r>
      <w:r w:rsidRPr="005675B2">
        <w:rPr>
          <w:rFonts w:hint="cs"/>
          <w:rtl/>
        </w:rPr>
        <w:t xml:space="preserve"> التوحيد عند أهل السنة والجماعة معروف بأقسامه الثلاثة، وهو عندهم أول واجب على المكلف .. أما الأشاعرة قدمائهم ومعاصروهم فالتوحيد عندهم هو نفي التثنية أو التعدد، ونفي التبعيض والتجزئة، أي بحسب تعبيرهم « نفي الكمية المتصلة والكمية المنفصلة »، ومن هذا المعنى فسروا الإله بأنه الخالق أو القادر على الإختراع، وأنكروا بعض الصفات كالوجه واليد والعين لأنها تدل على التركيب والأجزاء عندهم</w:t>
      </w:r>
      <w:r w:rsidR="000636C2">
        <w:rPr>
          <w:rFonts w:hint="cs"/>
          <w:rtl/>
        </w:rPr>
        <w:t>،</w:t>
      </w:r>
      <w:r w:rsidRPr="005675B2">
        <w:rPr>
          <w:rFonts w:hint="cs"/>
          <w:rtl/>
        </w:rPr>
        <w:t xml:space="preserve"> أما التوحيد الحقيقي وما يقابله من الشرك ومعرفته والتحذير منه فلا ذكر له في كتب عقيدتهم إطلاقا، ولا أدرى أين يضعونه</w:t>
      </w:r>
      <w:r w:rsidR="000636C2">
        <w:rPr>
          <w:rFonts w:hint="cs"/>
          <w:rtl/>
        </w:rPr>
        <w:t>؟:</w:t>
      </w:r>
      <w:r w:rsidRPr="005675B2">
        <w:rPr>
          <w:rFonts w:hint="cs"/>
          <w:rtl/>
        </w:rPr>
        <w:t xml:space="preserve"> أفي كتب الفروع</w:t>
      </w:r>
      <w:r w:rsidR="000636C2">
        <w:rPr>
          <w:rFonts w:hint="cs"/>
          <w:rtl/>
        </w:rPr>
        <w:t>؟</w:t>
      </w:r>
      <w:r w:rsidRPr="005675B2">
        <w:rPr>
          <w:rFonts w:hint="cs"/>
          <w:rtl/>
        </w:rPr>
        <w:t xml:space="preserve"> فليس فيها، أم يتركونه بالمرة</w:t>
      </w:r>
      <w:r w:rsidR="000636C2">
        <w:rPr>
          <w:rFonts w:hint="cs"/>
          <w:rtl/>
        </w:rPr>
        <w:t>؟</w:t>
      </w:r>
      <w:r w:rsidRPr="005675B2">
        <w:rPr>
          <w:rFonts w:hint="cs"/>
          <w:rtl/>
        </w:rPr>
        <w:t xml:space="preserve"> فهذا الذي أجزم به "</w:t>
      </w:r>
      <w:r w:rsidR="000636C2">
        <w:rPr>
          <w:rFonts w:hint="cs"/>
          <w:rtl/>
        </w:rPr>
        <w:t xml:space="preserve">، </w:t>
      </w:r>
      <w:r w:rsidRPr="005675B2">
        <w:rPr>
          <w:rFonts w:hint="cs"/>
          <w:rtl/>
        </w:rPr>
        <w:t>أقول</w:t>
      </w:r>
      <w:r w:rsidR="000636C2">
        <w:rPr>
          <w:rFonts w:hint="cs"/>
          <w:rtl/>
        </w:rPr>
        <w:t>:</w:t>
      </w:r>
      <w:r w:rsidRPr="005675B2">
        <w:rPr>
          <w:rFonts w:hint="cs"/>
          <w:rtl/>
        </w:rPr>
        <w:t xml:space="preserve"> يقصد الدكتور بالأقسام الثلاثة للتوحيد ما شهره ابن تيمية من تقسيم التوحيد إلى توحيد الربوبية، وتوحيد الألوهية، وتوحيد الأسماء والصفات</w:t>
      </w:r>
      <w:r w:rsidR="000636C2">
        <w:rPr>
          <w:rFonts w:hint="cs"/>
          <w:rtl/>
        </w:rPr>
        <w:t xml:space="preserve">، </w:t>
      </w:r>
      <w:r w:rsidRPr="005675B2">
        <w:rPr>
          <w:rFonts w:hint="cs"/>
          <w:rtl/>
        </w:rPr>
        <w:t>وقد كتبنا رسالة متعلقة بهذا الموضوع فنوردها هنا بنصها، ثم نعود إلى كلام الدكتور</w:t>
      </w:r>
      <w:r w:rsidR="000636C2">
        <w:rPr>
          <w:rFonts w:hint="cs"/>
          <w:rtl/>
        </w:rPr>
        <w:t>،</w:t>
      </w:r>
      <w:r w:rsidRPr="005675B2">
        <w:rPr>
          <w:rFonts w:hint="cs"/>
          <w:rtl/>
        </w:rPr>
        <w:t xml:space="preserve"> وهي هذه</w:t>
      </w:r>
      <w:r w:rsidR="000636C2">
        <w:rPr>
          <w:rFonts w:hint="cs"/>
          <w:rtl/>
        </w:rPr>
        <w:t>:</w:t>
      </w:r>
    </w:p>
    <w:p w14:paraId="375D800B" w14:textId="0D04012D" w:rsidR="009C32A0" w:rsidRPr="005675B2" w:rsidRDefault="009C32A0" w:rsidP="000636C2">
      <w:pPr>
        <w:rPr>
          <w:b/>
          <w:rtl/>
        </w:rPr>
      </w:pPr>
      <w:r w:rsidRPr="005675B2">
        <w:rPr>
          <w:rFonts w:hint="cs"/>
          <w:rtl/>
        </w:rPr>
        <w:t>37 - التقسيم الثلاثي للتوحيد بين الأشاعرة وابن تيمية</w:t>
      </w:r>
      <w:r w:rsidR="000636C2">
        <w:rPr>
          <w:rFonts w:hint="cs"/>
          <w:rtl/>
        </w:rPr>
        <w:t>:</w:t>
      </w:r>
      <w:r w:rsidRPr="005675B2">
        <w:rPr>
          <w:rFonts w:hint="cs"/>
          <w:rtl/>
        </w:rPr>
        <w:t xml:space="preserve"> بسم الله الرحمن الرحيم</w:t>
      </w:r>
      <w:r w:rsidR="000636C2">
        <w:rPr>
          <w:rFonts w:hint="cs"/>
          <w:rtl/>
        </w:rPr>
        <w:t>:</w:t>
      </w:r>
      <w:r w:rsidRPr="005675B2">
        <w:rPr>
          <w:rFonts w:hint="cs"/>
          <w:rtl/>
        </w:rPr>
        <w:t xml:space="preserve"> قسم الأشاعرة التوحيد إلى ثلاثة اقسام</w:t>
      </w:r>
      <w:r w:rsidR="000636C2">
        <w:rPr>
          <w:rFonts w:hint="cs"/>
          <w:rtl/>
        </w:rPr>
        <w:t>:</w:t>
      </w:r>
      <w:r w:rsidRPr="005675B2">
        <w:rPr>
          <w:rFonts w:hint="cs"/>
          <w:rtl/>
        </w:rPr>
        <w:t xml:space="preserve"> توحيد الذات، و توحيد الصفات، وتوحيد الأفعال</w:t>
      </w:r>
      <w:r w:rsidR="000636C2">
        <w:rPr>
          <w:rFonts w:hint="cs"/>
          <w:rtl/>
        </w:rPr>
        <w:t xml:space="preserve">، </w:t>
      </w:r>
      <w:r w:rsidRPr="005675B2">
        <w:rPr>
          <w:rFonts w:hint="cs"/>
          <w:rtl/>
        </w:rPr>
        <w:t>وكذلك قسم ابن تيمية التوحيد إلى ثلاثة أقسام</w:t>
      </w:r>
      <w:r w:rsidR="000636C2">
        <w:rPr>
          <w:rFonts w:hint="cs"/>
          <w:rtl/>
        </w:rPr>
        <w:t>:</w:t>
      </w:r>
      <w:r w:rsidRPr="005675B2">
        <w:rPr>
          <w:rFonts w:hint="cs"/>
          <w:rtl/>
        </w:rPr>
        <w:t xml:space="preserve"> توحيد الربوبية، وتوحيد الألوهية وتوحيد الأسماء والصفات</w:t>
      </w:r>
      <w:r w:rsidR="000636C2">
        <w:rPr>
          <w:rFonts w:hint="cs"/>
          <w:rtl/>
        </w:rPr>
        <w:t>،</w:t>
      </w:r>
      <w:r w:rsidRPr="005675B2">
        <w:rPr>
          <w:rFonts w:hint="cs"/>
          <w:rtl/>
        </w:rPr>
        <w:t xml:space="preserve"> ومقصدنا في هذا البحث أن نبين أن أيُّ التقسيمين أقرب إلى الصواب، وأولى بالقبول</w:t>
      </w:r>
      <w:r w:rsidR="000636C2">
        <w:rPr>
          <w:rFonts w:hint="cs"/>
          <w:rtl/>
        </w:rPr>
        <w:t xml:space="preserve">، </w:t>
      </w:r>
      <w:r w:rsidRPr="005675B2">
        <w:rPr>
          <w:rFonts w:hint="cs"/>
          <w:rtl/>
        </w:rPr>
        <w:t>فننقل أولا كلام الأشاعرة في التوحيد وأقسامه، ثم ننقل كلامهم على الكفر وأسبابه وأقسامه، وبعد ذلك ننثنِّي على تقسيم ابن تيمية للتوحيد ونتكلم عليه، فنقول</w:t>
      </w:r>
      <w:r w:rsidR="000636C2">
        <w:rPr>
          <w:rFonts w:hint="cs"/>
          <w:rtl/>
        </w:rPr>
        <w:t xml:space="preserve">: </w:t>
      </w:r>
      <w:r w:rsidRPr="005675B2">
        <w:rPr>
          <w:rFonts w:hint="cs"/>
          <w:rtl/>
        </w:rPr>
        <w:t>قد قسم الأشاعرة التوحيد إلى ثلاثة أقسام</w:t>
      </w:r>
      <w:r w:rsidR="000636C2">
        <w:rPr>
          <w:rFonts w:hint="cs"/>
          <w:rtl/>
        </w:rPr>
        <w:t>:</w:t>
      </w:r>
      <w:r w:rsidRPr="005675B2">
        <w:rPr>
          <w:rFonts w:hint="cs"/>
          <w:rtl/>
        </w:rPr>
        <w:t xml:space="preserve"> توحيد الذات، وتوحيد الصفات، وتوحيد الأفعال</w:t>
      </w:r>
      <w:r w:rsidR="000636C2">
        <w:rPr>
          <w:rFonts w:hint="cs"/>
          <w:rtl/>
        </w:rPr>
        <w:t>،</w:t>
      </w:r>
      <w:r w:rsidRPr="005675B2">
        <w:rPr>
          <w:rFonts w:hint="cs"/>
          <w:rtl/>
        </w:rPr>
        <w:t xml:space="preserve"> قال كمال الدين ابن أبي شريف في المسامرة شرح المسايرة</w:t>
      </w:r>
      <w:r w:rsidR="000636C2">
        <w:rPr>
          <w:rFonts w:hint="cs"/>
          <w:rtl/>
        </w:rPr>
        <w:t>:</w:t>
      </w:r>
      <w:r w:rsidRPr="005675B2">
        <w:rPr>
          <w:rFonts w:hint="cs"/>
          <w:rtl/>
        </w:rPr>
        <w:t xml:space="preserve"> التوحيد هو اعتقاد الوحدانية في الذات والصفات والأفعال [</w:t>
      </w:r>
      <w:r w:rsidRPr="005675B2">
        <w:rPr>
          <w:rFonts w:hint="cs"/>
          <w:sz w:val="24"/>
          <w:szCs w:val="24"/>
          <w:rtl/>
        </w:rPr>
        <w:t>43]</w:t>
      </w:r>
      <w:r w:rsidR="000636C2">
        <w:rPr>
          <w:rFonts w:hint="cs"/>
          <w:rtl/>
        </w:rPr>
        <w:t>،</w:t>
      </w:r>
      <w:r w:rsidRPr="005675B2">
        <w:rPr>
          <w:rFonts w:hint="cs"/>
          <w:rtl/>
        </w:rPr>
        <w:t xml:space="preserve"> أي إنه ثلاثة أقسام</w:t>
      </w:r>
      <w:r w:rsidR="000636C2">
        <w:rPr>
          <w:rFonts w:hint="cs"/>
          <w:rtl/>
        </w:rPr>
        <w:t>:</w:t>
      </w:r>
      <w:r w:rsidRPr="005675B2">
        <w:rPr>
          <w:rFonts w:hint="cs"/>
          <w:rtl/>
        </w:rPr>
        <w:t xml:space="preserve"> توحيد الذات، وتوحيد الصفات، وتوحيد الأفعال</w:t>
      </w:r>
      <w:r w:rsidR="000636C2">
        <w:rPr>
          <w:rFonts w:hint="cs"/>
          <w:rtl/>
        </w:rPr>
        <w:t xml:space="preserve">، </w:t>
      </w:r>
      <w:r w:rsidRPr="005675B2">
        <w:rPr>
          <w:rFonts w:hint="cs"/>
          <w:rtl/>
        </w:rPr>
        <w:t>وقد يختصر الأشاعرة</w:t>
      </w:r>
      <w:r w:rsidR="000636C2">
        <w:rPr>
          <w:rFonts w:hint="cs"/>
          <w:rtl/>
        </w:rPr>
        <w:t>:</w:t>
      </w:r>
      <w:r w:rsidRPr="005675B2">
        <w:rPr>
          <w:rFonts w:hint="cs"/>
          <w:rtl/>
        </w:rPr>
        <w:t xml:space="preserve"> فيقولون</w:t>
      </w:r>
      <w:r w:rsidR="000636C2">
        <w:rPr>
          <w:rFonts w:hint="cs"/>
          <w:rtl/>
        </w:rPr>
        <w:t>:</w:t>
      </w:r>
      <w:r w:rsidRPr="005675B2">
        <w:rPr>
          <w:rFonts w:hint="cs"/>
          <w:rtl/>
        </w:rPr>
        <w:t xml:space="preserve"> التوحيد اعتقاد عدم الشريك في الإ̃لهية وخواصها</w:t>
      </w:r>
      <w:r w:rsidR="000636C2">
        <w:rPr>
          <w:rFonts w:hint="cs"/>
          <w:rtl/>
        </w:rPr>
        <w:t>،</w:t>
      </w:r>
      <w:r w:rsidRPr="005675B2">
        <w:rPr>
          <w:rFonts w:hint="cs"/>
          <w:rtl/>
        </w:rPr>
        <w:t xml:space="preserve"> قال سعد الدين التفتازاني في شرح المقاصد [</w:t>
      </w:r>
      <w:r w:rsidRPr="005675B2">
        <w:rPr>
          <w:rFonts w:hint="cs"/>
          <w:sz w:val="24"/>
          <w:szCs w:val="24"/>
          <w:rtl/>
        </w:rPr>
        <w:t>3/27]</w:t>
      </w:r>
      <w:r w:rsidR="000636C2">
        <w:rPr>
          <w:rFonts w:hint="cs"/>
          <w:rtl/>
        </w:rPr>
        <w:t xml:space="preserve">: </w:t>
      </w:r>
      <w:r w:rsidRPr="005675B2">
        <w:rPr>
          <w:rFonts w:hint="cs"/>
          <w:rtl/>
        </w:rPr>
        <w:t>حقيقة التوحيد اعتقاد عدم الشريك في الأ̃لهية وخواصها، ولا نزاع لأهل الإسلام في أن تدبير العالم، وخلق الأجسام، واستحقاق العبادة، وقدم ما يقوم بنفسه، كلها من الخواص ..</w:t>
      </w:r>
      <w:r w:rsidR="000636C2">
        <w:rPr>
          <w:rFonts w:hint="cs"/>
          <w:rtl/>
        </w:rPr>
        <w:t xml:space="preserve"> </w:t>
      </w:r>
      <w:r w:rsidRPr="005675B2">
        <w:rPr>
          <w:rFonts w:hint="cs"/>
          <w:rtl/>
        </w:rPr>
        <w:t xml:space="preserve">وبالجملة فنفي الشريك في الألهية ثابت عقلا وشرعا، وفي استحقاق العبادة شرعا </w:t>
      </w:r>
      <w:r w:rsidR="000636C2">
        <w:rPr>
          <w:rFonts w:hint="cs"/>
          <w:rtl/>
        </w:rPr>
        <w:t>(</w:t>
      </w:r>
      <w:r w:rsidRPr="005675B2">
        <w:rPr>
          <w:rFonts w:hint="cs"/>
          <w:rtl/>
        </w:rPr>
        <w:t>وما أمروا إلا ليعبدوا إ̃لها واحدا لا إ̃له إلا هو سبحانه عما يشركون</w:t>
      </w:r>
      <w:r w:rsidR="000636C2">
        <w:rPr>
          <w:rFonts w:hint="cs"/>
          <w:rtl/>
        </w:rPr>
        <w:t>)</w:t>
      </w:r>
      <w:r w:rsidRPr="005675B2">
        <w:rPr>
          <w:rFonts w:hint="cs"/>
          <w:rtl/>
        </w:rPr>
        <w:t xml:space="preserve"> [</w:t>
      </w:r>
      <w:r w:rsidRPr="005675B2">
        <w:rPr>
          <w:rFonts w:hint="cs"/>
          <w:sz w:val="24"/>
          <w:szCs w:val="24"/>
          <w:rtl/>
        </w:rPr>
        <w:t>التوبة 31]</w:t>
      </w:r>
      <w:r w:rsidR="000636C2">
        <w:rPr>
          <w:rFonts w:hint="cs"/>
          <w:rtl/>
        </w:rPr>
        <w:t>،</w:t>
      </w:r>
      <w:r w:rsidRPr="005675B2">
        <w:rPr>
          <w:rFonts w:hint="cs"/>
          <w:rtl/>
        </w:rPr>
        <w:t xml:space="preserve"> وقال ابن الهمام في المسايرة</w:t>
      </w:r>
      <w:r w:rsidR="000636C2">
        <w:rPr>
          <w:rFonts w:hint="cs"/>
          <w:rtl/>
        </w:rPr>
        <w:t>:</w:t>
      </w:r>
      <w:r w:rsidRPr="005675B2">
        <w:rPr>
          <w:rFonts w:hint="cs"/>
          <w:rtl/>
        </w:rPr>
        <w:t xml:space="preserve"> « لما ثبت وحدانيته في الإ̃لهية ثبت استناد كل الحوادث إليه »</w:t>
      </w:r>
      <w:r w:rsidR="000636C2">
        <w:rPr>
          <w:rFonts w:hint="cs"/>
          <w:rtl/>
        </w:rPr>
        <w:t xml:space="preserve">، </w:t>
      </w:r>
      <w:r w:rsidRPr="005675B2">
        <w:rPr>
          <w:rFonts w:hint="cs"/>
          <w:rtl/>
        </w:rPr>
        <w:t>وقال ابن أبي شريف في شرحه</w:t>
      </w:r>
      <w:r w:rsidR="000636C2">
        <w:rPr>
          <w:rFonts w:hint="cs"/>
          <w:rtl/>
        </w:rPr>
        <w:t>:</w:t>
      </w:r>
      <w:r w:rsidRPr="005675B2">
        <w:rPr>
          <w:rFonts w:hint="cs"/>
          <w:rtl/>
        </w:rPr>
        <w:t xml:space="preserve"> الإ̃لهية الاتصاف بالصفات التي لأجلها استحق أن يكون معبودا، وهي صفاته التى توحد بها سبحانه، فلا شريك له في شيء منها، وتسمى خواص الأ̃لهية، ومنها الإيجاد من العدم وتدبير العالم والغنى المطلق</w:t>
      </w:r>
      <w:r w:rsidRPr="005675B2">
        <w:rPr>
          <w:rFonts w:hint="cs"/>
          <w:rtl/>
          <w:lang w:bidi="ar-KW"/>
        </w:rPr>
        <w:t>[</w:t>
      </w:r>
      <w:r w:rsidRPr="005675B2">
        <w:rPr>
          <w:rFonts w:hint="cs"/>
          <w:sz w:val="24"/>
          <w:szCs w:val="24"/>
          <w:rtl/>
        </w:rPr>
        <w:t>المسامرة 58]</w:t>
      </w:r>
      <w:r w:rsidR="000636C2">
        <w:rPr>
          <w:rFonts w:hint="cs"/>
          <w:rtl/>
        </w:rPr>
        <w:t xml:space="preserve">، </w:t>
      </w:r>
      <w:r w:rsidRPr="005675B2">
        <w:rPr>
          <w:rFonts w:hint="cs"/>
          <w:rtl/>
        </w:rPr>
        <w:t>وقال أيضا</w:t>
      </w:r>
      <w:r w:rsidR="000636C2">
        <w:rPr>
          <w:rFonts w:hint="cs"/>
          <w:rtl/>
        </w:rPr>
        <w:t>:</w:t>
      </w:r>
      <w:r w:rsidRPr="005675B2">
        <w:rPr>
          <w:rFonts w:hint="cs"/>
          <w:rtl/>
        </w:rPr>
        <w:t xml:space="preserve"> « واعلم أن الوحدة تطلق بمعنى انتفاء قبول الإنقسام، وبمعنى انتفاء الشبيه، والباري تعالى واحد بكل من المعنيين أيضا</w:t>
      </w:r>
      <w:r w:rsidR="000636C2">
        <w:rPr>
          <w:rFonts w:hint="cs"/>
          <w:rtl/>
        </w:rPr>
        <w:t>،</w:t>
      </w:r>
      <w:r w:rsidRPr="005675B2">
        <w:rPr>
          <w:rFonts w:hint="cs"/>
          <w:rtl/>
        </w:rPr>
        <w:t xml:space="preserve"> أما الأول</w:t>
      </w:r>
      <w:r w:rsidR="000636C2">
        <w:rPr>
          <w:rFonts w:hint="cs"/>
          <w:rtl/>
        </w:rPr>
        <w:t>:</w:t>
      </w:r>
      <w:r w:rsidRPr="005675B2">
        <w:rPr>
          <w:rFonts w:hint="cs"/>
          <w:rtl/>
        </w:rPr>
        <w:t xml:space="preserve"> فلتعاليه عن الوصف بالكمية والتركيب من الأجزاء والحد والمقدار</w:t>
      </w:r>
      <w:r w:rsidR="000636C2">
        <w:rPr>
          <w:rFonts w:hint="cs"/>
          <w:rtl/>
        </w:rPr>
        <w:t>،</w:t>
      </w:r>
      <w:r w:rsidRPr="005675B2">
        <w:rPr>
          <w:rFonts w:hint="cs"/>
          <w:rtl/>
        </w:rPr>
        <w:t xml:space="preserve"> وأما الثاني</w:t>
      </w:r>
      <w:r w:rsidR="000636C2">
        <w:rPr>
          <w:rFonts w:hint="cs"/>
          <w:rtl/>
        </w:rPr>
        <w:t>:</w:t>
      </w:r>
      <w:r w:rsidRPr="005675B2">
        <w:rPr>
          <w:rFonts w:hint="cs"/>
          <w:rtl/>
        </w:rPr>
        <w:t xml:space="preserve"> فحاصله انتفاء المشابه له تعالى بوجه من الوجوه »</w:t>
      </w:r>
      <w:r w:rsidR="000636C2">
        <w:rPr>
          <w:rFonts w:hint="cs"/>
          <w:rtl/>
        </w:rPr>
        <w:t>،</w:t>
      </w:r>
      <w:r w:rsidRPr="005675B2">
        <w:rPr>
          <w:rFonts w:hint="cs"/>
          <w:rtl/>
        </w:rPr>
        <w:t xml:space="preserve"> [</w:t>
      </w:r>
      <w:r w:rsidRPr="005675B2">
        <w:rPr>
          <w:rFonts w:hint="cs"/>
          <w:sz w:val="24"/>
          <w:szCs w:val="24"/>
          <w:rtl/>
        </w:rPr>
        <w:t>المسامرة 43]</w:t>
      </w:r>
      <w:r w:rsidR="000636C2">
        <w:rPr>
          <w:rFonts w:hint="cs"/>
          <w:rtl/>
        </w:rPr>
        <w:t xml:space="preserve">، </w:t>
      </w:r>
      <w:r w:rsidRPr="005675B2">
        <w:rPr>
          <w:rFonts w:hint="cs"/>
          <w:rtl/>
        </w:rPr>
        <w:t>وأما كلام الأشاعرة على الكفر وأسبابه وأقسامه فننقل فيه كلام ابن الهمام في المسايرة مع شرحه لابن أبي شريف وذلك لما اشتمل عليه كلامهما من بيانات تتعلق بموضوع التوحيد والشرك، ومن الاستدلال على وجود الله تعالى بالأدلة القرآنية وبشهادة الفطرة</w:t>
      </w:r>
      <w:r w:rsidR="000636C2">
        <w:rPr>
          <w:rFonts w:hint="cs"/>
          <w:rtl/>
        </w:rPr>
        <w:t>،</w:t>
      </w:r>
      <w:r w:rsidRPr="005675B2">
        <w:rPr>
          <w:rFonts w:hint="cs"/>
          <w:rtl/>
        </w:rPr>
        <w:t xml:space="preserve"> وابن الهمام وإن كان حنفي المذهب لكنه جار على منهج الأشاعرة في العقيدة، وأما كمال الدين ابن أبي شريف فهو شافعي أشعري</w:t>
      </w:r>
      <w:r w:rsidR="000636C2">
        <w:rPr>
          <w:rFonts w:hint="cs"/>
          <w:rtl/>
        </w:rPr>
        <w:t>،</w:t>
      </w:r>
      <w:r w:rsidRPr="005675B2">
        <w:rPr>
          <w:rFonts w:hint="cs"/>
          <w:rtl/>
        </w:rPr>
        <w:t xml:space="preserve"> وإليك كلامهما</w:t>
      </w:r>
      <w:r w:rsidR="000636C2">
        <w:rPr>
          <w:rFonts w:hint="cs"/>
          <w:rtl/>
        </w:rPr>
        <w:t>: (</w:t>
      </w:r>
      <w:r w:rsidRPr="005675B2">
        <w:rPr>
          <w:rFonts w:hint="cs"/>
          <w:rtl/>
        </w:rPr>
        <w:t>الأصل الأول العلم بوجوده</w:t>
      </w:r>
      <w:r w:rsidR="000636C2">
        <w:rPr>
          <w:rFonts w:hint="cs"/>
          <w:rtl/>
        </w:rPr>
        <w:t>)</w:t>
      </w:r>
      <w:r w:rsidRPr="005675B2">
        <w:rPr>
          <w:rFonts w:hint="cs"/>
          <w:rtl/>
        </w:rPr>
        <w:t xml:space="preserve"> تعالى، وأولى ما يستضاء به من الأنوار، ويسلك من طرق الاعتبار ما اشتمل عليه القرآن، فليس بعد بيان الله تعالى بيان </w:t>
      </w:r>
      <w:r w:rsidR="000636C2">
        <w:rPr>
          <w:rFonts w:hint="cs"/>
          <w:rtl/>
        </w:rPr>
        <w:t>(</w:t>
      </w:r>
      <w:r w:rsidRPr="005675B2">
        <w:rPr>
          <w:rFonts w:hint="cs"/>
          <w:rtl/>
        </w:rPr>
        <w:t>وقد أرشد سبحانه إليه</w:t>
      </w:r>
      <w:r w:rsidR="000636C2">
        <w:rPr>
          <w:rFonts w:hint="cs"/>
          <w:rtl/>
        </w:rPr>
        <w:t>)</w:t>
      </w:r>
      <w:r w:rsidRPr="005675B2">
        <w:rPr>
          <w:rFonts w:hint="cs"/>
          <w:rtl/>
        </w:rPr>
        <w:t xml:space="preserve"> أي إلى وجوده تعالى </w:t>
      </w:r>
      <w:r w:rsidR="000636C2">
        <w:rPr>
          <w:rFonts w:hint="cs"/>
          <w:rtl/>
        </w:rPr>
        <w:t>(</w:t>
      </w:r>
      <w:r w:rsidRPr="005675B2">
        <w:rPr>
          <w:rFonts w:hint="cs"/>
          <w:rtl/>
        </w:rPr>
        <w:t>بآيات نحو</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إن في خلق السموات والأرض واختلاف الليل والنهار والفلك التى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w:t>
      </w:r>
      <w:r w:rsidR="000636C2">
        <w:rPr>
          <w:rFonts w:hint="cs"/>
          <w:rtl/>
        </w:rPr>
        <w:t>،</w:t>
      </w:r>
      <w:r w:rsidRPr="005675B2">
        <w:rPr>
          <w:rFonts w:hint="cs"/>
          <w:rtl/>
        </w:rPr>
        <w:t xml:space="preserve"> و</w:t>
      </w:r>
      <w:r w:rsidR="000636C2">
        <w:rPr>
          <w:rFonts w:hint="cs"/>
          <w:rtl/>
        </w:rPr>
        <w:t>)</w:t>
      </w:r>
      <w:r w:rsidRPr="005675B2">
        <w:rPr>
          <w:rFonts w:hint="cs"/>
          <w:rtl/>
        </w:rPr>
        <w:t xml:space="preserve"> نحو </w:t>
      </w:r>
      <w:r w:rsidR="000636C2">
        <w:rPr>
          <w:rFonts w:hint="cs"/>
          <w:rtl/>
        </w:rPr>
        <w:t>(</w:t>
      </w:r>
      <w:r w:rsidRPr="005675B2">
        <w:rPr>
          <w:rFonts w:hint="cs"/>
          <w:rtl/>
        </w:rPr>
        <w:t>قوله</w:t>
      </w:r>
      <w:r w:rsidR="000636C2">
        <w:rPr>
          <w:rFonts w:hint="cs"/>
          <w:rtl/>
        </w:rPr>
        <w:t>):</w:t>
      </w:r>
      <w:r w:rsidRPr="005675B2">
        <w:rPr>
          <w:rFonts w:hint="cs"/>
          <w:rtl/>
        </w:rPr>
        <w:t xml:space="preserve"> </w:t>
      </w:r>
      <w:r w:rsidR="000636C2">
        <w:rPr>
          <w:rFonts w:hint="cs"/>
          <w:rtl/>
        </w:rPr>
        <w:t>(</w:t>
      </w:r>
      <w:r w:rsidRPr="005675B2">
        <w:rPr>
          <w:rFonts w:hint="cs"/>
          <w:rtl/>
        </w:rPr>
        <w:t>أفرأيتم ما تمنون أأنتم تخلقونه أم نحن الخالقون</w:t>
      </w:r>
      <w:r w:rsidR="000636C2">
        <w:rPr>
          <w:rFonts w:hint="cs"/>
          <w:rtl/>
        </w:rPr>
        <w:t>،</w:t>
      </w:r>
      <w:r w:rsidRPr="005675B2">
        <w:rPr>
          <w:rFonts w:hint="cs"/>
          <w:rtl/>
        </w:rPr>
        <w:t xml:space="preserve"> و</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أفرايتم ما تحرثون أأنتم تزرعونه أم نحن الزارعون لو نشاء لجعلناه حطاما</w:t>
      </w:r>
      <w:r w:rsidR="000636C2">
        <w:rPr>
          <w:rFonts w:hint="cs"/>
          <w:rtl/>
        </w:rPr>
        <w:t>)</w:t>
      </w:r>
      <w:r w:rsidRPr="005675B2">
        <w:rPr>
          <w:rFonts w:hint="cs"/>
          <w:rtl/>
        </w:rPr>
        <w:t xml:space="preserve"> أي متحطما وهو المتكسر ليبسه </w:t>
      </w:r>
      <w:r w:rsidR="000636C2">
        <w:rPr>
          <w:rFonts w:hint="cs"/>
          <w:rtl/>
        </w:rPr>
        <w:t>(</w:t>
      </w:r>
      <w:r w:rsidRPr="005675B2">
        <w:rPr>
          <w:rFonts w:hint="cs"/>
          <w:rtl/>
        </w:rPr>
        <w:t>و</w:t>
      </w:r>
      <w:r w:rsidR="000636C2">
        <w:rPr>
          <w:rFonts w:hint="cs"/>
          <w:rtl/>
        </w:rPr>
        <w:t>)</w:t>
      </w:r>
      <w:r w:rsidRPr="005675B2">
        <w:rPr>
          <w:rFonts w:hint="cs"/>
          <w:rtl/>
        </w:rPr>
        <w:t xml:space="preserve"> قوله تعالى </w:t>
      </w:r>
      <w:r w:rsidR="000636C2">
        <w:rPr>
          <w:rFonts w:hint="cs"/>
          <w:rtl/>
        </w:rPr>
        <w:t>(</w:t>
      </w:r>
      <w:r w:rsidRPr="005675B2">
        <w:rPr>
          <w:rFonts w:hint="cs"/>
          <w:rtl/>
        </w:rPr>
        <w:t>أفرايتم الماء الذي تشربون أأنتم أنزلتموه من المزن</w:t>
      </w:r>
      <w:r w:rsidR="000636C2">
        <w:rPr>
          <w:rFonts w:hint="cs"/>
          <w:rtl/>
        </w:rPr>
        <w:t>)</w:t>
      </w:r>
      <w:r w:rsidRPr="005675B2">
        <w:rPr>
          <w:rFonts w:hint="cs"/>
          <w:rtl/>
        </w:rPr>
        <w:t xml:space="preserve"> أي</w:t>
      </w:r>
      <w:r w:rsidR="000636C2">
        <w:rPr>
          <w:rFonts w:hint="cs"/>
          <w:rtl/>
        </w:rPr>
        <w:t>:</w:t>
      </w:r>
      <w:r w:rsidRPr="005675B2">
        <w:rPr>
          <w:rFonts w:hint="cs"/>
          <w:rtl/>
        </w:rPr>
        <w:t xml:space="preserve"> السحاب </w:t>
      </w:r>
      <w:r w:rsidR="000636C2">
        <w:rPr>
          <w:rFonts w:hint="cs"/>
          <w:rtl/>
        </w:rPr>
        <w:t>(</w:t>
      </w:r>
      <w:r w:rsidRPr="005675B2">
        <w:rPr>
          <w:rFonts w:hint="cs"/>
          <w:rtl/>
        </w:rPr>
        <w:t>أم نحن المنزلون</w:t>
      </w:r>
      <w:r w:rsidR="000636C2">
        <w:rPr>
          <w:rFonts w:hint="cs"/>
          <w:rtl/>
        </w:rPr>
        <w:t>)</w:t>
      </w:r>
      <w:r w:rsidRPr="005675B2">
        <w:rPr>
          <w:rFonts w:hint="cs"/>
          <w:rtl/>
        </w:rPr>
        <w:t xml:space="preserve"> لو نشاء جعلناه أجاجا</w:t>
      </w:r>
      <w:r w:rsidR="000636C2">
        <w:rPr>
          <w:rFonts w:hint="cs"/>
          <w:rtl/>
        </w:rPr>
        <w:t>،</w:t>
      </w:r>
      <w:r w:rsidRPr="005675B2">
        <w:rPr>
          <w:rFonts w:hint="cs"/>
          <w:rtl/>
        </w:rPr>
        <w:t xml:space="preserve"> أي شديد الملوحة لا يمكن ذوقه </w:t>
      </w:r>
      <w:r w:rsidR="000636C2">
        <w:rPr>
          <w:rFonts w:hint="cs"/>
          <w:rtl/>
        </w:rPr>
        <w:t>(</w:t>
      </w:r>
      <w:r w:rsidRPr="005675B2">
        <w:rPr>
          <w:rFonts w:hint="cs"/>
          <w:rtl/>
        </w:rPr>
        <w:t>و</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أفرئيتم النار التي تورون أأنتم أنشأتم شجرتها أم نحن المنشئون</w:t>
      </w:r>
      <w:r w:rsidR="000636C2">
        <w:rPr>
          <w:rFonts w:hint="cs"/>
          <w:rtl/>
        </w:rPr>
        <w:t>)[</w:t>
      </w:r>
      <w:r w:rsidRPr="005675B2">
        <w:rPr>
          <w:rFonts w:hint="cs"/>
          <w:sz w:val="24"/>
          <w:szCs w:val="24"/>
          <w:rtl/>
        </w:rPr>
        <w:t>الواقعة 58-72]</w:t>
      </w:r>
      <w:r w:rsidR="000636C2">
        <w:rPr>
          <w:rFonts w:hint="cs"/>
          <w:rtl/>
        </w:rPr>
        <w:t xml:space="preserve">، </w:t>
      </w:r>
      <w:r w:rsidRPr="005675B2">
        <w:rPr>
          <w:rFonts w:hint="cs"/>
          <w:rtl/>
        </w:rPr>
        <w:t xml:space="preserve">فمن أدار نظره في عجائب تلك المذكورات من الأرضين والسماوات وبدائع فطرة الحيوان والنبات، وسائر ما اشتملت عليه الآيات </w:t>
      </w:r>
      <w:r w:rsidR="000636C2">
        <w:rPr>
          <w:rFonts w:hint="cs"/>
          <w:rtl/>
        </w:rPr>
        <w:t>(</w:t>
      </w:r>
      <w:r w:rsidRPr="005675B2">
        <w:rPr>
          <w:rFonts w:hint="cs"/>
          <w:rtl/>
        </w:rPr>
        <w:t>اضطره</w:t>
      </w:r>
      <w:r w:rsidR="000636C2">
        <w:rPr>
          <w:rFonts w:hint="cs"/>
          <w:rtl/>
        </w:rPr>
        <w:t>)</w:t>
      </w:r>
      <w:r w:rsidRPr="005675B2">
        <w:rPr>
          <w:rFonts w:hint="cs"/>
          <w:rtl/>
        </w:rPr>
        <w:t xml:space="preserve"> ذلك </w:t>
      </w:r>
      <w:r w:rsidR="000636C2">
        <w:rPr>
          <w:rFonts w:hint="cs"/>
          <w:rtl/>
        </w:rPr>
        <w:t>(</w:t>
      </w:r>
      <w:r w:rsidRPr="005675B2">
        <w:rPr>
          <w:rFonts w:hint="cs"/>
          <w:rtl/>
        </w:rPr>
        <w:t>إلى الحكم بأن هذه الأمور مع هذا الترتيب المحكم الغريب لا يستغنى كل</w:t>
      </w:r>
      <w:r w:rsidR="000636C2">
        <w:rPr>
          <w:rFonts w:hint="cs"/>
          <w:rtl/>
        </w:rPr>
        <w:t>)</w:t>
      </w:r>
      <w:r w:rsidRPr="005675B2">
        <w:rPr>
          <w:rFonts w:hint="cs"/>
          <w:rtl/>
        </w:rPr>
        <w:t xml:space="preserve"> منها </w:t>
      </w:r>
      <w:r w:rsidR="000636C2">
        <w:rPr>
          <w:rFonts w:hint="cs"/>
          <w:rtl/>
        </w:rPr>
        <w:t>(</w:t>
      </w:r>
      <w:r w:rsidRPr="005675B2">
        <w:rPr>
          <w:rFonts w:hint="cs"/>
          <w:rtl/>
        </w:rPr>
        <w:t>عن صانع أوجده</w:t>
      </w:r>
      <w:r w:rsidR="000636C2">
        <w:rPr>
          <w:rFonts w:hint="cs"/>
          <w:rtl/>
        </w:rPr>
        <w:t>)</w:t>
      </w:r>
      <w:r w:rsidRPr="005675B2">
        <w:rPr>
          <w:rFonts w:hint="cs"/>
          <w:rtl/>
        </w:rPr>
        <w:t xml:space="preserve"> من العدم </w:t>
      </w:r>
      <w:r w:rsidR="000636C2">
        <w:rPr>
          <w:rFonts w:hint="cs"/>
          <w:rtl/>
        </w:rPr>
        <w:t>(</w:t>
      </w:r>
      <w:r w:rsidRPr="005675B2">
        <w:rPr>
          <w:rFonts w:hint="cs"/>
          <w:rtl/>
        </w:rPr>
        <w:t>وحكيم رتبه</w:t>
      </w:r>
      <w:r w:rsidR="000636C2">
        <w:rPr>
          <w:rFonts w:hint="cs"/>
          <w:rtl/>
        </w:rPr>
        <w:t>)</w:t>
      </w:r>
      <w:r w:rsidRPr="005675B2">
        <w:rPr>
          <w:rFonts w:hint="cs"/>
          <w:rtl/>
        </w:rPr>
        <w:t xml:space="preserve"> على قانون وضع فيه فنونا من الحكم </w:t>
      </w:r>
      <w:r w:rsidR="000636C2">
        <w:rPr>
          <w:rFonts w:hint="cs"/>
          <w:rtl/>
        </w:rPr>
        <w:t>(</w:t>
      </w:r>
      <w:r w:rsidRPr="005675B2">
        <w:rPr>
          <w:rFonts w:hint="cs"/>
          <w:rtl/>
        </w:rPr>
        <w:t>وعلى هذا درجت كل العقلاء إلا من لا عبرة بمكابرتهم</w:t>
      </w:r>
      <w:r w:rsidR="000636C2">
        <w:rPr>
          <w:rFonts w:hint="cs"/>
          <w:rtl/>
        </w:rPr>
        <w:t>)</w:t>
      </w:r>
      <w:r w:rsidRPr="005675B2">
        <w:rPr>
          <w:rFonts w:hint="cs"/>
          <w:rtl/>
        </w:rPr>
        <w:t xml:space="preserve"> وهم بعض الدهرية</w:t>
      </w:r>
      <w:r w:rsidR="000636C2">
        <w:rPr>
          <w:rFonts w:hint="cs"/>
          <w:rtl/>
        </w:rPr>
        <w:t>، (</w:t>
      </w:r>
      <w:r w:rsidRPr="005675B2">
        <w:rPr>
          <w:rFonts w:hint="cs"/>
          <w:rtl/>
        </w:rPr>
        <w:t>وإنما كفروا بالإشراك</w:t>
      </w:r>
      <w:r w:rsidR="000636C2">
        <w:rPr>
          <w:rFonts w:hint="cs"/>
          <w:rtl/>
        </w:rPr>
        <w:t>)</w:t>
      </w:r>
      <w:r w:rsidRPr="005675B2">
        <w:rPr>
          <w:rFonts w:hint="cs"/>
          <w:rtl/>
        </w:rPr>
        <w:t xml:space="preserve"> حيث دعوا مع الله إلها آخر</w:t>
      </w:r>
      <w:r w:rsidR="000636C2">
        <w:rPr>
          <w:rFonts w:hint="cs"/>
          <w:rtl/>
        </w:rPr>
        <w:t>،</w:t>
      </w:r>
      <w:r w:rsidRPr="005675B2">
        <w:rPr>
          <w:rFonts w:hint="cs"/>
          <w:rtl/>
        </w:rPr>
        <w:t xml:space="preserve"> </w:t>
      </w:r>
      <w:r w:rsidR="000636C2">
        <w:rPr>
          <w:rFonts w:hint="cs"/>
          <w:rtl/>
        </w:rPr>
        <w:t>(</w:t>
      </w:r>
      <w:r w:rsidRPr="005675B2">
        <w:rPr>
          <w:rFonts w:hint="cs"/>
          <w:rtl/>
        </w:rPr>
        <w:t>ونسبة</w:t>
      </w:r>
      <w:r w:rsidR="000636C2">
        <w:rPr>
          <w:rFonts w:hint="cs"/>
          <w:rtl/>
        </w:rPr>
        <w:t>)</w:t>
      </w:r>
      <w:r w:rsidRPr="005675B2">
        <w:rPr>
          <w:rFonts w:hint="cs"/>
          <w:rtl/>
        </w:rPr>
        <w:t xml:space="preserve"> أي بنسبة </w:t>
      </w:r>
      <w:r w:rsidR="000636C2">
        <w:rPr>
          <w:rFonts w:hint="cs"/>
          <w:rtl/>
        </w:rPr>
        <w:t>(</w:t>
      </w:r>
      <w:r w:rsidRPr="005675B2">
        <w:rPr>
          <w:rFonts w:hint="cs"/>
          <w:rtl/>
        </w:rPr>
        <w:t>بعض الحوادث إلى غيره تعالى وإنكار</w:t>
      </w:r>
      <w:r w:rsidR="000636C2">
        <w:rPr>
          <w:rFonts w:hint="cs"/>
          <w:rtl/>
        </w:rPr>
        <w:t>)</w:t>
      </w:r>
      <w:r w:rsidRPr="005675B2">
        <w:rPr>
          <w:rFonts w:hint="cs"/>
          <w:rtl/>
        </w:rPr>
        <w:t xml:space="preserve"> أي وبإنكار </w:t>
      </w:r>
      <w:r w:rsidR="000636C2">
        <w:rPr>
          <w:rFonts w:hint="cs"/>
          <w:rtl/>
        </w:rPr>
        <w:t>(</w:t>
      </w:r>
      <w:r w:rsidRPr="005675B2">
        <w:rPr>
          <w:rFonts w:hint="cs"/>
          <w:rtl/>
        </w:rPr>
        <w:t>ما جعل الله تعالى إنكاره كفرا كالبعث وإحياء الموتى</w:t>
      </w:r>
      <w:r w:rsidR="000636C2">
        <w:rPr>
          <w:rFonts w:hint="cs"/>
          <w:rtl/>
        </w:rPr>
        <w:t xml:space="preserve">)، </w:t>
      </w:r>
      <w:r w:rsidRPr="005675B2">
        <w:rPr>
          <w:rFonts w:hint="cs"/>
          <w:rtl/>
        </w:rPr>
        <w:t>ومثل المصنف للذين أشركوا بقوله</w:t>
      </w:r>
      <w:r w:rsidR="000636C2">
        <w:rPr>
          <w:rFonts w:hint="cs"/>
          <w:rtl/>
        </w:rPr>
        <w:t>:</w:t>
      </w:r>
      <w:r w:rsidRPr="005675B2">
        <w:rPr>
          <w:rFonts w:hint="cs"/>
          <w:rtl/>
        </w:rPr>
        <w:t xml:space="preserve"> </w:t>
      </w:r>
      <w:r w:rsidR="000636C2">
        <w:rPr>
          <w:rFonts w:hint="cs"/>
          <w:rtl/>
        </w:rPr>
        <w:t>(</w:t>
      </w:r>
      <w:r w:rsidRPr="005675B2">
        <w:rPr>
          <w:rFonts w:hint="cs"/>
          <w:rtl/>
        </w:rPr>
        <w:t>كالمجوس بالنسبة إلى النار</w:t>
      </w:r>
      <w:r w:rsidR="000636C2">
        <w:rPr>
          <w:rFonts w:hint="cs"/>
          <w:rtl/>
        </w:rPr>
        <w:t>)</w:t>
      </w:r>
      <w:r w:rsidRPr="005675B2">
        <w:rPr>
          <w:rFonts w:hint="cs"/>
          <w:rtl/>
        </w:rPr>
        <w:t xml:space="preserve"> حيث عبدوها، فدعوها إلها آخر، تعالى الله عن ذلك </w:t>
      </w:r>
      <w:r w:rsidR="000636C2">
        <w:rPr>
          <w:rFonts w:hint="cs"/>
          <w:rtl/>
        </w:rPr>
        <w:t>(</w:t>
      </w:r>
      <w:r w:rsidRPr="005675B2">
        <w:rPr>
          <w:rFonts w:hint="cs"/>
          <w:rtl/>
        </w:rPr>
        <w:t>والوثنيين بالأصنام</w:t>
      </w:r>
      <w:r w:rsidR="000636C2">
        <w:rPr>
          <w:rFonts w:hint="cs"/>
          <w:rtl/>
        </w:rPr>
        <w:t>)</w:t>
      </w:r>
      <w:r w:rsidRPr="005675B2">
        <w:rPr>
          <w:rFonts w:hint="cs"/>
          <w:rtl/>
        </w:rPr>
        <w:t xml:space="preserve"> أي بسببها فإنهم عبدوها</w:t>
      </w:r>
      <w:r w:rsidR="000636C2">
        <w:rPr>
          <w:rFonts w:hint="cs"/>
          <w:rtl/>
        </w:rPr>
        <w:t>،</w:t>
      </w:r>
      <w:r w:rsidRPr="005675B2">
        <w:rPr>
          <w:rFonts w:hint="cs"/>
          <w:rtl/>
        </w:rPr>
        <w:t xml:space="preserve"> </w:t>
      </w:r>
      <w:r w:rsidR="000636C2">
        <w:rPr>
          <w:rFonts w:hint="cs"/>
          <w:rtl/>
        </w:rPr>
        <w:t>(</w:t>
      </w:r>
      <w:r w:rsidRPr="005675B2">
        <w:rPr>
          <w:rFonts w:hint="cs"/>
          <w:rtl/>
        </w:rPr>
        <w:t>والصائبئة بالكواكب</w:t>
      </w:r>
      <w:r w:rsidR="000636C2">
        <w:rPr>
          <w:rFonts w:hint="cs"/>
          <w:rtl/>
        </w:rPr>
        <w:t>)</w:t>
      </w:r>
      <w:r w:rsidRPr="005675B2">
        <w:rPr>
          <w:rFonts w:hint="cs"/>
          <w:rtl/>
        </w:rPr>
        <w:t xml:space="preserve"> أي بسبب الكواب حيث عبدوها من دون الله تعالى</w:t>
      </w:r>
      <w:r w:rsidR="000636C2">
        <w:rPr>
          <w:rFonts w:hint="cs"/>
          <w:rtl/>
        </w:rPr>
        <w:t xml:space="preserve">، </w:t>
      </w:r>
      <w:r w:rsidRPr="005675B2">
        <w:rPr>
          <w:rFonts w:hint="cs"/>
          <w:rtl/>
        </w:rPr>
        <w:t>وأما نسبة الحوادث إلى غيره تعالى فالمجوس ينسبون الشر إلى أَهْرَمَنْ، والوثنيون ينسبون بعض الآثار إلى الأصنام كما أخبر الله تعالى عنهم بقوله</w:t>
      </w:r>
      <w:r w:rsidR="000636C2">
        <w:rPr>
          <w:rFonts w:hint="cs"/>
          <w:rtl/>
        </w:rPr>
        <w:t>:</w:t>
      </w:r>
      <w:r w:rsidRPr="005675B2">
        <w:rPr>
          <w:rFonts w:hint="cs"/>
          <w:rtl/>
        </w:rPr>
        <w:t xml:space="preserve"> </w:t>
      </w:r>
      <w:r w:rsidR="000636C2">
        <w:rPr>
          <w:rFonts w:hint="cs"/>
          <w:rtl/>
        </w:rPr>
        <w:t>(</w:t>
      </w:r>
      <w:r w:rsidRPr="005675B2">
        <w:rPr>
          <w:rFonts w:hint="cs"/>
          <w:rtl/>
        </w:rPr>
        <w:t>إن نقول إلا اعتراك بعض آلاهتنا بسوء</w:t>
      </w:r>
      <w:r w:rsidR="000636C2">
        <w:rPr>
          <w:rFonts w:hint="cs"/>
          <w:rtl/>
        </w:rPr>
        <w:t>)</w:t>
      </w:r>
      <w:r w:rsidRPr="005675B2">
        <w:rPr>
          <w:rFonts w:hint="cs"/>
          <w:rtl/>
        </w:rPr>
        <w:t>، والصابئون ينسبون بعض الآثار إلى الكواكب، تعالى الله عما يشركون</w:t>
      </w:r>
      <w:r w:rsidR="000636C2">
        <w:rPr>
          <w:rFonts w:hint="cs"/>
          <w:rtl/>
        </w:rPr>
        <w:t>، (</w:t>
      </w:r>
      <w:r w:rsidRPr="005675B2">
        <w:rPr>
          <w:rFonts w:hint="cs"/>
          <w:rtl/>
        </w:rPr>
        <w:t>واعترف الكل بأن خلق السماوات والأرض والألوهية الأصلية لله تعالى</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ولئن سألتهم من خلق السماوات والأرض ليقولن الله</w:t>
      </w:r>
      <w:r w:rsidR="000636C2">
        <w:rPr>
          <w:rFonts w:hint="cs"/>
          <w:rtl/>
        </w:rPr>
        <w:t>)</w:t>
      </w:r>
      <w:r w:rsidRPr="005675B2">
        <w:rPr>
          <w:rFonts w:hint="cs"/>
          <w:rtl/>
        </w:rPr>
        <w:t xml:space="preserve"> </w:t>
      </w:r>
      <w:r w:rsidR="000636C2">
        <w:rPr>
          <w:rFonts w:hint="cs"/>
          <w:rtl/>
        </w:rPr>
        <w:t>(</w:t>
      </w:r>
      <w:r w:rsidRPr="005675B2">
        <w:rPr>
          <w:rFonts w:hint="cs"/>
          <w:rtl/>
        </w:rPr>
        <w:t>فهذا</w:t>
      </w:r>
      <w:r w:rsidR="000636C2">
        <w:rPr>
          <w:rFonts w:hint="cs"/>
          <w:rtl/>
        </w:rPr>
        <w:t>)</w:t>
      </w:r>
      <w:r w:rsidRPr="005675B2">
        <w:rPr>
          <w:rFonts w:hint="cs"/>
          <w:rtl/>
        </w:rPr>
        <w:t xml:space="preserve"> أي الإعتراف بما ذكر </w:t>
      </w:r>
      <w:r w:rsidR="000636C2">
        <w:rPr>
          <w:rFonts w:hint="cs"/>
          <w:rtl/>
        </w:rPr>
        <w:t>(</w:t>
      </w:r>
      <w:r w:rsidRPr="005675B2">
        <w:rPr>
          <w:rFonts w:hint="cs"/>
          <w:rtl/>
        </w:rPr>
        <w:t>كان</w:t>
      </w:r>
      <w:r w:rsidR="000636C2">
        <w:rPr>
          <w:rFonts w:hint="cs"/>
          <w:rtl/>
        </w:rPr>
        <w:t>)</w:t>
      </w:r>
      <w:r w:rsidRPr="005675B2">
        <w:rPr>
          <w:rFonts w:hint="cs"/>
          <w:rtl/>
        </w:rPr>
        <w:t xml:space="preserve"> ثابتا </w:t>
      </w:r>
      <w:r w:rsidR="000636C2">
        <w:rPr>
          <w:rFonts w:hint="cs"/>
          <w:rtl/>
        </w:rPr>
        <w:t>(</w:t>
      </w:r>
      <w:r w:rsidRPr="005675B2">
        <w:rPr>
          <w:rFonts w:hint="cs"/>
          <w:rtl/>
        </w:rPr>
        <w:t>في فطرهم</w:t>
      </w:r>
      <w:r w:rsidR="000636C2">
        <w:rPr>
          <w:rFonts w:hint="cs"/>
          <w:rtl/>
        </w:rPr>
        <w:t>)</w:t>
      </w:r>
      <w:r w:rsidRPr="005675B2">
        <w:rPr>
          <w:rFonts w:hint="cs"/>
          <w:rtl/>
        </w:rPr>
        <w:t xml:space="preserve"> من مبدأ خلقهم، قد جبلت عليه عقولهم</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فأقم وجهك للدين حنيفا فطرة الله التي فطر الناس عليها لا تبديل لخلق الله ذالك الدين القيم، ولكن أكثر الناس لا يعلمون</w:t>
      </w:r>
      <w:r w:rsidR="000636C2">
        <w:rPr>
          <w:rFonts w:hint="cs"/>
          <w:rtl/>
        </w:rPr>
        <w:t>)،</w:t>
      </w:r>
      <w:r w:rsidRPr="005675B2">
        <w:rPr>
          <w:rFonts w:hint="cs"/>
          <w:rtl/>
        </w:rPr>
        <w:t xml:space="preserve"> </w:t>
      </w:r>
      <w:r w:rsidR="000636C2">
        <w:rPr>
          <w:rFonts w:hint="cs"/>
          <w:rtl/>
        </w:rPr>
        <w:t>(</w:t>
      </w:r>
      <w:r w:rsidRPr="005675B2">
        <w:rPr>
          <w:rFonts w:hint="cs"/>
          <w:rtl/>
        </w:rPr>
        <w:t>ولذا</w:t>
      </w:r>
      <w:r w:rsidR="000636C2">
        <w:rPr>
          <w:rFonts w:hint="cs"/>
          <w:rtl/>
        </w:rPr>
        <w:t>)</w:t>
      </w:r>
      <w:r w:rsidRPr="005675B2">
        <w:rPr>
          <w:rFonts w:hint="cs"/>
          <w:rtl/>
        </w:rPr>
        <w:t xml:space="preserve"> أي لكون الإعتراف بما ذكر ثابتا في فطرهم </w:t>
      </w:r>
      <w:r w:rsidR="000636C2">
        <w:rPr>
          <w:rFonts w:hint="cs"/>
          <w:rtl/>
        </w:rPr>
        <w:t>(</w:t>
      </w:r>
      <w:r w:rsidRPr="005675B2">
        <w:rPr>
          <w:rFonts w:hint="cs"/>
          <w:rtl/>
        </w:rPr>
        <w:t>كان المسموع من الأنبياء</w:t>
      </w:r>
      <w:r w:rsidR="000636C2">
        <w:rPr>
          <w:rFonts w:hint="cs"/>
          <w:rtl/>
        </w:rPr>
        <w:t>)</w:t>
      </w:r>
      <w:r w:rsidRPr="005675B2">
        <w:rPr>
          <w:rFonts w:hint="cs"/>
          <w:rtl/>
        </w:rPr>
        <w:t xml:space="preserve"> - المبعوثين عليهم أفضل الصلاة والسلام - </w:t>
      </w:r>
      <w:r w:rsidR="000636C2">
        <w:rPr>
          <w:rFonts w:hint="cs"/>
          <w:rtl/>
        </w:rPr>
        <w:t>(</w:t>
      </w:r>
      <w:r w:rsidRPr="005675B2">
        <w:rPr>
          <w:rFonts w:hint="cs"/>
          <w:rtl/>
        </w:rPr>
        <w:t>دعوة الخلق إلى التوحيد</w:t>
      </w:r>
      <w:r w:rsidR="000636C2">
        <w:rPr>
          <w:rFonts w:hint="cs"/>
          <w:rtl/>
        </w:rPr>
        <w:t>)</w:t>
      </w:r>
      <w:r w:rsidRPr="005675B2">
        <w:rPr>
          <w:rFonts w:hint="cs"/>
          <w:rtl/>
        </w:rPr>
        <w:t xml:space="preserve"> والمراد به هنا إعتقاد عدم الشريك في الألوهية وخواصها كتدبير العالم، واستحقاق العبادة، وخلق الأجسام، بدليل أنه بين التوحيد بقوله</w:t>
      </w:r>
      <w:r w:rsidR="000636C2">
        <w:rPr>
          <w:rFonts w:hint="cs"/>
          <w:rtl/>
        </w:rPr>
        <w:t>:</w:t>
      </w:r>
      <w:r w:rsidRPr="005675B2">
        <w:rPr>
          <w:rFonts w:hint="cs"/>
          <w:rtl/>
        </w:rPr>
        <w:t xml:space="preserve"> </w:t>
      </w:r>
      <w:r w:rsidR="000636C2">
        <w:rPr>
          <w:rFonts w:hint="cs"/>
          <w:rtl/>
        </w:rPr>
        <w:t>(</w:t>
      </w:r>
      <w:r w:rsidRPr="005675B2">
        <w:rPr>
          <w:rFonts w:hint="cs"/>
          <w:rtl/>
        </w:rPr>
        <w:t>شهادة أن لا إله إلا الله، دون أن يشهدوا أن للخلق إلها</w:t>
      </w:r>
      <w:r w:rsidR="000636C2">
        <w:rPr>
          <w:rFonts w:hint="cs"/>
          <w:rtl/>
        </w:rPr>
        <w:t>)</w:t>
      </w:r>
      <w:r w:rsidRPr="005675B2">
        <w:rPr>
          <w:rFonts w:hint="cs"/>
          <w:rtl/>
        </w:rPr>
        <w:t xml:space="preserve"> لما مر من أن ذلك كان ثابتا في فطرهم، ففي فطرة الإنسان وشهادة آيات القرآن ما يغنى عن إقامة البرهان</w:t>
      </w:r>
      <w:r w:rsidR="000636C2">
        <w:rPr>
          <w:rFonts w:hint="cs"/>
          <w:rtl/>
        </w:rPr>
        <w:t>،</w:t>
      </w:r>
      <w:r w:rsidRPr="005675B2">
        <w:rPr>
          <w:rFonts w:hint="cs"/>
          <w:rtl/>
        </w:rPr>
        <w:t xml:space="preserve"> انتهى كلام المسايرة مع شرحها المسامرة</w:t>
      </w:r>
      <w:r w:rsidR="000636C2">
        <w:rPr>
          <w:rFonts w:hint="cs"/>
          <w:rtl/>
        </w:rPr>
        <w:t>،</w:t>
      </w:r>
      <w:r w:rsidRPr="005675B2">
        <w:rPr>
          <w:rFonts w:hint="cs"/>
          <w:rtl/>
        </w:rPr>
        <w:t xml:space="preserve"> [</w:t>
      </w:r>
      <w:r w:rsidRPr="005675B2">
        <w:rPr>
          <w:rFonts w:hint="cs"/>
          <w:sz w:val="24"/>
          <w:szCs w:val="24"/>
          <w:rtl/>
        </w:rPr>
        <w:t>15-16-17]</w:t>
      </w:r>
      <w:r w:rsidR="000636C2">
        <w:rPr>
          <w:rFonts w:hint="cs"/>
          <w:rtl/>
        </w:rPr>
        <w:t xml:space="preserve"> </w:t>
      </w:r>
      <w:r w:rsidRPr="005675B2">
        <w:rPr>
          <w:rFonts w:hint="cs"/>
          <w:rtl/>
        </w:rPr>
        <w:t>هذا هو كلام الأشاعرة في التوحيد وفي الشرك حيث فسروا التوحيد بإعتقاد الوحدانية لله تعالى في الذات والصفات والأفعال، أَيُّ باعتقاد أنه لا يوجد ذات مثل ذاته، ولا يوجد لغيره صفات مثل صفاته، وأنه المتفرد بخلق الأشياء وإيجادها وليس لغيره أي دخل في خلق الأشياء وإيجادها</w:t>
      </w:r>
      <w:r w:rsidR="000636C2">
        <w:rPr>
          <w:rFonts w:hint="cs"/>
          <w:rtl/>
        </w:rPr>
        <w:t xml:space="preserve">، </w:t>
      </w:r>
      <w:r w:rsidRPr="005675B2">
        <w:rPr>
          <w:rFonts w:hint="cs"/>
          <w:rtl/>
        </w:rPr>
        <w:t>وبعبارة أخرى</w:t>
      </w:r>
      <w:r w:rsidR="000636C2">
        <w:rPr>
          <w:rFonts w:hint="cs"/>
          <w:rtl/>
        </w:rPr>
        <w:t>:</w:t>
      </w:r>
      <w:r w:rsidRPr="005675B2">
        <w:rPr>
          <w:rFonts w:hint="cs"/>
          <w:rtl/>
        </w:rPr>
        <w:t xml:space="preserve"> التوحيد</w:t>
      </w:r>
      <w:r w:rsidR="000636C2">
        <w:rPr>
          <w:rFonts w:hint="cs"/>
          <w:rtl/>
        </w:rPr>
        <w:t>:</w:t>
      </w:r>
      <w:r w:rsidRPr="005675B2">
        <w:rPr>
          <w:rFonts w:hint="cs"/>
          <w:rtl/>
        </w:rPr>
        <w:t xml:space="preserve"> اعتقاد عدم الشريك في الإ̃لهية وخواصها</w:t>
      </w:r>
      <w:r w:rsidR="000636C2">
        <w:rPr>
          <w:rFonts w:hint="cs"/>
          <w:rtl/>
        </w:rPr>
        <w:t>،</w:t>
      </w:r>
      <w:r w:rsidRPr="005675B2">
        <w:rPr>
          <w:rFonts w:hint="cs"/>
          <w:rtl/>
        </w:rPr>
        <w:t xml:space="preserve"> والإ̃لهية هي الإتصاف بالصفات التى لأجلها استحق المتصف بها أن يكون معبودا</w:t>
      </w:r>
      <w:r w:rsidR="000636C2">
        <w:rPr>
          <w:rFonts w:hint="cs"/>
          <w:rtl/>
        </w:rPr>
        <w:t xml:space="preserve">، </w:t>
      </w:r>
      <w:r w:rsidRPr="005675B2">
        <w:rPr>
          <w:rFonts w:hint="cs"/>
          <w:rtl/>
        </w:rPr>
        <w:t>وهذه الصفات هي المسمات بخواص الإ̃لهية، وهي خلق العالم، وتدبيره واستحقاق العبادة، والتفرد بحق التشريع، والغنى المطلق عن غيره</w:t>
      </w:r>
      <w:r w:rsidR="000636C2">
        <w:rPr>
          <w:rFonts w:hint="cs"/>
          <w:rtl/>
        </w:rPr>
        <w:t xml:space="preserve">، </w:t>
      </w:r>
      <w:r w:rsidRPr="005675B2">
        <w:rPr>
          <w:rFonts w:hint="cs"/>
          <w:rtl/>
        </w:rPr>
        <w:t>وقد يعبرون عن هذا التوحيد بنفي التشبيه أي</w:t>
      </w:r>
      <w:r w:rsidR="000636C2">
        <w:rPr>
          <w:rFonts w:hint="cs"/>
          <w:rtl/>
        </w:rPr>
        <w:t>:</w:t>
      </w:r>
      <w:r w:rsidRPr="005675B2">
        <w:rPr>
          <w:rFonts w:hint="cs"/>
          <w:rtl/>
        </w:rPr>
        <w:t xml:space="preserve"> اعتقاد أنه لا مشابه له تعالى بوجه من الوجوه لا في ذاته ولا في صفاته ولا في أفعاله </w:t>
      </w:r>
      <w:r w:rsidR="000636C2">
        <w:rPr>
          <w:rFonts w:hint="cs"/>
          <w:rtl/>
        </w:rPr>
        <w:t>(</w:t>
      </w:r>
      <w:r w:rsidRPr="005675B2">
        <w:rPr>
          <w:rFonts w:hint="cs"/>
          <w:rtl/>
        </w:rPr>
        <w:t>ليس كمثله شيء وهو السميع البصير</w:t>
      </w:r>
      <w:r w:rsidR="000636C2">
        <w:rPr>
          <w:rFonts w:hint="cs"/>
          <w:rtl/>
        </w:rPr>
        <w:t>)،</w:t>
      </w:r>
      <w:r w:rsidRPr="005675B2">
        <w:rPr>
          <w:rFonts w:hint="cs"/>
          <w:rtl/>
        </w:rPr>
        <w:t xml:space="preserve"> هذا هو معنى التوحيد، وهو الذي به بعثت الأنبياء، ويقابله الشرك، وهو اعتقاد الشريك لله تعالى في ذاته، أو في صفاته أو في أفعاله</w:t>
      </w:r>
      <w:r w:rsidR="000636C2">
        <w:rPr>
          <w:rFonts w:hint="cs"/>
          <w:rtl/>
        </w:rPr>
        <w:t xml:space="preserve">، </w:t>
      </w:r>
      <w:r w:rsidRPr="005675B2">
        <w:rPr>
          <w:rFonts w:hint="cs"/>
          <w:rtl/>
        </w:rPr>
        <w:t>وبعبارة أخرى هو اعتقاد الشريك في الإ̃لهية وخواصها أو في شيء من خواصها</w:t>
      </w:r>
      <w:r w:rsidR="000636C2">
        <w:rPr>
          <w:rFonts w:hint="cs"/>
          <w:rtl/>
        </w:rPr>
        <w:t xml:space="preserve">، </w:t>
      </w:r>
      <w:r w:rsidRPr="005675B2">
        <w:rPr>
          <w:rFonts w:hint="cs"/>
          <w:rtl/>
        </w:rPr>
        <w:t>وبعبارة أخرى هو اعتقاد المشابه لله تعالى في ذاته أو في صفاته أو في أفعاله</w:t>
      </w:r>
      <w:r w:rsidR="000636C2">
        <w:rPr>
          <w:rFonts w:hint="cs"/>
          <w:rtl/>
        </w:rPr>
        <w:t xml:space="preserve">، </w:t>
      </w:r>
      <w:r w:rsidRPr="005675B2">
        <w:rPr>
          <w:rFonts w:hint="cs"/>
          <w:rtl/>
        </w:rPr>
        <w:t>وقد يطلق التوحيد على نفي قبول الانقسام لتعاليه تعالى عن الوصف بالكمية والتركيب من الأجزاء والحد والمقدار</w:t>
      </w:r>
      <w:r w:rsidR="000636C2">
        <w:rPr>
          <w:rFonts w:hint="cs"/>
          <w:rtl/>
        </w:rPr>
        <w:t xml:space="preserve">، </w:t>
      </w:r>
      <w:r w:rsidRPr="005675B2">
        <w:rPr>
          <w:rFonts w:hint="cs"/>
          <w:rtl/>
        </w:rPr>
        <w:t>هذا حاصل كلام الأشاعرة في التوحيد والشرك، وهو كلام دقيق محقق لا غبار عليه</w:t>
      </w:r>
      <w:r w:rsidR="000636C2">
        <w:rPr>
          <w:rFonts w:hint="cs"/>
          <w:rtl/>
        </w:rPr>
        <w:t xml:space="preserve">، </w:t>
      </w:r>
      <w:r w:rsidRPr="005675B2">
        <w:rPr>
          <w:rFonts w:hint="cs"/>
          <w:rtl/>
        </w:rPr>
        <w:t>وأما التقسيم الثلاثي للتوحيد الذي قرره ابن تيمية فنتكلم عليه بشيء من التوسع ونبدأ أولا بالكلام على توحيد الربوبية وتوحيد الألوهية</w:t>
      </w:r>
      <w:r w:rsidR="000636C2">
        <w:rPr>
          <w:rFonts w:hint="cs"/>
          <w:rtl/>
        </w:rPr>
        <w:t xml:space="preserve">، </w:t>
      </w:r>
      <w:r w:rsidRPr="005675B2">
        <w:rPr>
          <w:rFonts w:hint="cs"/>
          <w:rtl/>
        </w:rPr>
        <w:t>وقبل الخوض في ذلك نتكلم على كلمتي الربوبية والألوهية</w:t>
      </w:r>
      <w:r w:rsidR="000636C2">
        <w:rPr>
          <w:rFonts w:hint="cs"/>
          <w:rtl/>
        </w:rPr>
        <w:t>،</w:t>
      </w:r>
      <w:r w:rsidRPr="005675B2">
        <w:rPr>
          <w:rFonts w:hint="cs"/>
          <w:rtl/>
        </w:rPr>
        <w:t xml:space="preserve"> فنقول وبالله التوفيق</w:t>
      </w:r>
      <w:r w:rsidR="000636C2">
        <w:rPr>
          <w:rFonts w:hint="cs"/>
          <w:rtl/>
        </w:rPr>
        <w:t xml:space="preserve">: </w:t>
      </w:r>
      <w:r w:rsidRPr="005675B2">
        <w:rPr>
          <w:rFonts w:hint="cs"/>
          <w:rtl/>
        </w:rPr>
        <w:t>الربوبية</w:t>
      </w:r>
      <w:r w:rsidR="000636C2">
        <w:rPr>
          <w:rFonts w:hint="cs"/>
          <w:rtl/>
        </w:rPr>
        <w:t>:</w:t>
      </w:r>
      <w:r w:rsidRPr="005675B2">
        <w:rPr>
          <w:rFonts w:hint="cs"/>
          <w:rtl/>
        </w:rPr>
        <w:t xml:space="preserve"> اسم موضوع للدلالة على الصفات التى يتصف بها الرب الخالق جل وعلا أي الصفات التى يقتضيها كونه تعالى ربا</w:t>
      </w:r>
      <w:r w:rsidR="000636C2">
        <w:rPr>
          <w:rFonts w:hint="cs"/>
          <w:rtl/>
        </w:rPr>
        <w:t xml:space="preserve">، </w:t>
      </w:r>
      <w:r w:rsidRPr="005675B2">
        <w:rPr>
          <w:rFonts w:hint="cs"/>
          <w:rtl/>
        </w:rPr>
        <w:t>والرب</w:t>
      </w:r>
      <w:r w:rsidR="000636C2">
        <w:rPr>
          <w:rFonts w:hint="cs"/>
          <w:rtl/>
        </w:rPr>
        <w:t>:</w:t>
      </w:r>
      <w:r w:rsidRPr="005675B2">
        <w:rPr>
          <w:rFonts w:hint="cs"/>
          <w:rtl/>
        </w:rPr>
        <w:t xml:space="preserve"> في الأصل مصدر رَبّ يَرُبُّ، يقال</w:t>
      </w:r>
      <w:r w:rsidR="000636C2">
        <w:rPr>
          <w:rFonts w:hint="cs"/>
          <w:rtl/>
        </w:rPr>
        <w:t>:</w:t>
      </w:r>
      <w:r w:rsidRPr="005675B2">
        <w:rPr>
          <w:rFonts w:hint="cs"/>
          <w:rtl/>
        </w:rPr>
        <w:t xml:space="preserve"> رَبَّ فلانٌ الولدَ أو الصبيَ أو المهرَ يَرُبًُّهُ ربا، كما يقال</w:t>
      </w:r>
      <w:r w:rsidR="000636C2">
        <w:rPr>
          <w:rFonts w:hint="cs"/>
          <w:rtl/>
        </w:rPr>
        <w:t>:</w:t>
      </w:r>
      <w:r w:rsidRPr="005675B2">
        <w:rPr>
          <w:rFonts w:hint="cs"/>
          <w:rtl/>
        </w:rPr>
        <w:t xml:space="preserve"> رباه يربيه تربية، والتربية -كما يقولون - تبليغ الشيء إلى الكمال شيئا فشيئا</w:t>
      </w:r>
      <w:r w:rsidR="000636C2">
        <w:rPr>
          <w:rFonts w:hint="cs"/>
          <w:rtl/>
        </w:rPr>
        <w:t xml:space="preserve">، </w:t>
      </w:r>
      <w:r w:rsidRPr="005675B2">
        <w:rPr>
          <w:rFonts w:hint="cs"/>
          <w:rtl/>
        </w:rPr>
        <w:t>ثم نقلت كلمة الرب من معنى المصدر إلى معنى المربي، ثم توسع في معناها فأطلقت على السيد والأمير، ومالك الشيء، والمنعم إلى غير ذلك من المعاني القريبة لأصل معناه</w:t>
      </w:r>
      <w:r w:rsidR="000636C2">
        <w:rPr>
          <w:rFonts w:hint="cs"/>
          <w:rtl/>
        </w:rPr>
        <w:t xml:space="preserve">، </w:t>
      </w:r>
      <w:r w:rsidRPr="005675B2">
        <w:rPr>
          <w:rFonts w:hint="cs"/>
          <w:rtl/>
        </w:rPr>
        <w:t>ولما كانت التربية الحقيقية لكل المخلوقات بخلقها ابتداء، وإمدادها بالبقاء ورعايتها وتنميتها، صفة من صفات الرب جل وعلا، كان سبحانه هو رب العالمين، ورب كل شيء، فالربوبية هي الوصف الجامع لكل صفات الله ذات العلاقة والأثر في مخلوقاته واسم الرب هو الإسم الدال على كل هذه الصفات</w:t>
      </w:r>
      <w:r w:rsidR="000636C2">
        <w:rPr>
          <w:rFonts w:hint="cs"/>
          <w:rtl/>
        </w:rPr>
        <w:t xml:space="preserve">، </w:t>
      </w:r>
      <w:r w:rsidRPr="005675B2">
        <w:rPr>
          <w:rFonts w:hint="cs"/>
          <w:rtl/>
        </w:rPr>
        <w:t>وأما كلمة الألوهية فبمعنى العبادة، ويقال فيها</w:t>
      </w:r>
      <w:r w:rsidR="000636C2">
        <w:rPr>
          <w:rFonts w:hint="cs"/>
          <w:rtl/>
        </w:rPr>
        <w:t>:</w:t>
      </w:r>
      <w:r w:rsidRPr="005675B2">
        <w:rPr>
          <w:rFonts w:hint="cs"/>
          <w:rtl/>
        </w:rPr>
        <w:t xml:space="preserve"> أُلْوُهَةً وإِ̃لهة، وقال أهل اللغة</w:t>
      </w:r>
      <w:r w:rsidR="000636C2">
        <w:rPr>
          <w:rFonts w:hint="cs"/>
          <w:rtl/>
        </w:rPr>
        <w:t>:</w:t>
      </w:r>
      <w:r w:rsidRPr="005675B2">
        <w:rPr>
          <w:rFonts w:hint="cs"/>
          <w:rtl/>
        </w:rPr>
        <w:t xml:space="preserve"> التأَلُّه هو التعبد والتنسك، والتأليه هو التعبيد، وقالوا</w:t>
      </w:r>
      <w:r w:rsidR="000636C2">
        <w:rPr>
          <w:rFonts w:hint="cs"/>
          <w:rtl/>
        </w:rPr>
        <w:t>:</w:t>
      </w:r>
      <w:r w:rsidRPr="005675B2">
        <w:rPr>
          <w:rFonts w:hint="cs"/>
          <w:rtl/>
        </w:rPr>
        <w:t xml:space="preserve"> إ̃له على وزن فِعال هو بمعنى مفعول، أي</w:t>
      </w:r>
      <w:r w:rsidR="000636C2">
        <w:rPr>
          <w:rFonts w:hint="cs"/>
          <w:rtl/>
        </w:rPr>
        <w:t>:</w:t>
      </w:r>
      <w:r w:rsidRPr="005675B2">
        <w:rPr>
          <w:rFonts w:hint="cs"/>
          <w:rtl/>
        </w:rPr>
        <w:t xml:space="preserve"> مألوه بمعنى معبود، سواء كان معبودا بحق أم بباطل، فالإ̃له هو المعبود</w:t>
      </w:r>
      <w:r w:rsidR="000636C2">
        <w:rPr>
          <w:rFonts w:hint="cs"/>
          <w:rtl/>
        </w:rPr>
        <w:t>،</w:t>
      </w:r>
      <w:r w:rsidRPr="005675B2">
        <w:rPr>
          <w:rFonts w:hint="cs"/>
          <w:rtl/>
        </w:rPr>
        <w:t xml:space="preserve"> </w:t>
      </w:r>
      <w:r w:rsidR="000636C2">
        <w:rPr>
          <w:rFonts w:hint="cs"/>
          <w:rtl/>
        </w:rPr>
        <w:t>(</w:t>
      </w:r>
      <w:r w:rsidRPr="005675B2">
        <w:rPr>
          <w:rFonts w:hint="cs"/>
          <w:rtl/>
        </w:rPr>
        <w:t>انظر لسان العرب والقاموس المحيط</w:t>
      </w:r>
      <w:r w:rsidR="000636C2">
        <w:rPr>
          <w:rFonts w:hint="cs"/>
          <w:rtl/>
        </w:rPr>
        <w:t xml:space="preserve">)، </w:t>
      </w:r>
      <w:r w:rsidRPr="005675B2">
        <w:rPr>
          <w:rFonts w:hint="cs"/>
          <w:rtl/>
        </w:rPr>
        <w:t>فظهر من هذا أن الألوهية بمعنى العبادة، وليس بمعنى الكون إلها، وأن إطلاقه على هذا المعنى في كلام كثير من العلماء لحن، وإنما الذي يصح إطلاقه على هذا المعنى هو كلمة "الإ̃لهية" مصدر جعلي من كلمة الإ̃له، وهو الذي استعمله المحققون من العلماء، فمعنى لا إ̃له إلا الله لا معبود بحق إلا الله، بمعنى لا متصف بالصفات التي لأجلها استحق أن يكون معبودا إلا الله، وهذه الصفات هي المسماة بخواص الإ̃لهية، وهي خلق العالم وتدبيره وتربيته أي تبليغه إلى الكمال شيئا فشيئا، والغنى المطلق عن غيره، وافتقار ما سواه إليه وتفرده بحق التشريع، ويتفرع عن هذه الصفات وينبني عليها استحقاق العبادة</w:t>
      </w:r>
      <w:r w:rsidR="000636C2">
        <w:rPr>
          <w:rFonts w:hint="cs"/>
          <w:rtl/>
        </w:rPr>
        <w:t xml:space="preserve">، </w:t>
      </w:r>
      <w:r w:rsidRPr="005675B2">
        <w:rPr>
          <w:rFonts w:hint="cs"/>
          <w:rtl/>
        </w:rPr>
        <w:t>فظهر من هذا أن توحيد الإلهية أي إفراد الله تعالى بالعبادة متفرع عن توحيد الربوبية ومنبن عليه وملازم له، فالناس إنما يعبدون من يعتقدون فيه الربوبية سواء اعتقدوا فيه ربوبية كبيرة مطلقة، وهذا ما أثبته المتألهون لله تعالى، أم اعتقدوا فيه ربوبية محدودة صغيرة مستمدة من الرب الأكبر، وهذا ما كان يعتقده في معبوديهم معظم أصناف الذين كانوا يعبدون إ̃لها أو آلهة من دون الله، فإن معظمهم كانوا يعبدونهم بناء على اعتقادهم أن الله تعالى قد فوض إليهم التصرف في بعض الأمور، وتخلى لهم عنها، بمعنى أن الله تعالى قد خولهم ربوبية صغيرة محدودة فاستحقوا بذلك أن يُعْبَدُوا استعطافا لرحمتهم، وابتعادا عن غضبهم وسخطهم</w:t>
      </w:r>
      <w:r w:rsidR="000636C2">
        <w:rPr>
          <w:rFonts w:hint="cs"/>
          <w:rtl/>
        </w:rPr>
        <w:t>،</w:t>
      </w:r>
      <w:r w:rsidRPr="005675B2">
        <w:rPr>
          <w:rFonts w:hint="cs"/>
          <w:rtl/>
        </w:rPr>
        <w:t xml:space="preserve"> فمن أجل أنهم اعتقدوا فيهم الربوبية اعتقدوا فيهم الإلهية</w:t>
      </w:r>
      <w:r w:rsidR="000636C2">
        <w:rPr>
          <w:rFonts w:hint="cs"/>
          <w:rtl/>
        </w:rPr>
        <w:t xml:space="preserve">، </w:t>
      </w:r>
      <w:r w:rsidRPr="005675B2">
        <w:rPr>
          <w:rFonts w:hint="cs"/>
          <w:rtl/>
        </w:rPr>
        <w:t>والذين يعبدون من دون الله إ̃لها أو آلهة أصناف</w:t>
      </w:r>
      <w:r w:rsidR="000636C2">
        <w:rPr>
          <w:rFonts w:hint="cs"/>
          <w:rtl/>
        </w:rPr>
        <w:t>: (</w:t>
      </w:r>
      <w:r w:rsidRPr="005675B2">
        <w:rPr>
          <w:rFonts w:hint="cs"/>
          <w:rtl/>
        </w:rPr>
        <w:t>الصنف الأول</w:t>
      </w:r>
      <w:r w:rsidR="000636C2">
        <w:rPr>
          <w:rFonts w:hint="cs"/>
          <w:rtl/>
        </w:rPr>
        <w:t>):</w:t>
      </w:r>
      <w:r w:rsidRPr="005675B2">
        <w:rPr>
          <w:rFonts w:hint="cs"/>
          <w:rtl/>
        </w:rPr>
        <w:t xml:space="preserve"> هم الذين تحدث الله عنهم بقوله</w:t>
      </w:r>
      <w:r w:rsidR="000636C2">
        <w:rPr>
          <w:rFonts w:hint="cs"/>
          <w:rtl/>
        </w:rPr>
        <w:t>:</w:t>
      </w:r>
      <w:r w:rsidRPr="005675B2">
        <w:rPr>
          <w:rFonts w:hint="cs"/>
          <w:rtl/>
        </w:rPr>
        <w:t xml:space="preserve"> </w:t>
      </w:r>
      <w:r w:rsidR="000636C2">
        <w:rPr>
          <w:rFonts w:hint="cs"/>
          <w:rtl/>
        </w:rPr>
        <w:t>(</w:t>
      </w:r>
      <w:r w:rsidRPr="005675B2">
        <w:rPr>
          <w:rFonts w:hint="cs"/>
          <w:rtl/>
        </w:rPr>
        <w:t>ألا لله الدين الخالص والذين اتخذوا من دونه أولياء ما نعبدهم إلا ليقربونا إلى الله زلفى إن الله يحكم بينهم فيما كانوا فيه يختلفون إن الله لا يهدى من هو كاذب كفار</w:t>
      </w:r>
      <w:r w:rsidR="000636C2">
        <w:rPr>
          <w:rFonts w:hint="cs"/>
          <w:rtl/>
        </w:rPr>
        <w:t>)</w:t>
      </w:r>
      <w:r w:rsidRPr="005675B2">
        <w:rPr>
          <w:rFonts w:hint="cs"/>
          <w:rtl/>
        </w:rPr>
        <w:t xml:space="preserve"> [</w:t>
      </w:r>
      <w:r w:rsidRPr="005675B2">
        <w:rPr>
          <w:rFonts w:hint="cs"/>
          <w:sz w:val="24"/>
          <w:szCs w:val="24"/>
          <w:rtl/>
        </w:rPr>
        <w:t>الزمر 3]</w:t>
      </w:r>
      <w:r w:rsidR="000636C2">
        <w:rPr>
          <w:rFonts w:hint="cs"/>
          <w:rtl/>
        </w:rPr>
        <w:t xml:space="preserve">، </w:t>
      </w:r>
      <w:r w:rsidRPr="005675B2">
        <w:rPr>
          <w:rFonts w:hint="cs"/>
          <w:rtl/>
        </w:rPr>
        <w:t>فهذا الصنف من المشريكين يؤمنون بالله تعالى، ولا يعتقدون فيما يعبدونه من دون الله مشاركة لله لا في الخلق ولا في التصرف في أحوال أهل الأرض من رزق وصحة وحمل وولادة وكون الجنين ذكرا أو سليما، ونحو ذلك</w:t>
      </w:r>
      <w:r w:rsidR="000636C2">
        <w:rPr>
          <w:rFonts w:hint="cs"/>
          <w:rtl/>
        </w:rPr>
        <w:t xml:space="preserve">، </w:t>
      </w:r>
      <w:r w:rsidRPr="005675B2">
        <w:rPr>
          <w:rFonts w:hint="cs"/>
          <w:rtl/>
        </w:rPr>
        <w:t>وإنما يعتقدون فيهم أن الله تعالى قد جعلهم وسطاء بينه وبين عباده، وأنه لا يتم تقرب العبد إلى الله تعالى إلا بواسطتهم، وعن طريق تقريب هذا الوسيط لهم إلى الله تعالى</w:t>
      </w:r>
      <w:r w:rsidR="000636C2">
        <w:rPr>
          <w:rFonts w:hint="cs"/>
          <w:rtl/>
        </w:rPr>
        <w:t>،</w:t>
      </w:r>
      <w:r w:rsidRPr="005675B2">
        <w:rPr>
          <w:rFonts w:hint="cs"/>
          <w:rtl/>
        </w:rPr>
        <w:t xml:space="preserve"> و </w:t>
      </w:r>
      <w:r w:rsidR="000636C2">
        <w:rPr>
          <w:rFonts w:hint="cs"/>
          <w:rtl/>
        </w:rPr>
        <w:t>(</w:t>
      </w:r>
      <w:r w:rsidRPr="005675B2">
        <w:rPr>
          <w:rFonts w:hint="cs"/>
          <w:rtl/>
        </w:rPr>
        <w:t>الصنف الثاني</w:t>
      </w:r>
      <w:r w:rsidR="000636C2">
        <w:rPr>
          <w:rFonts w:hint="cs"/>
          <w:rtl/>
        </w:rPr>
        <w:t>):</w:t>
      </w:r>
      <w:r w:rsidRPr="005675B2">
        <w:rPr>
          <w:rFonts w:hint="cs"/>
          <w:rtl/>
        </w:rPr>
        <w:t xml:space="preserve"> هم الذين تحدث الله تعالى عنهم بقوله</w:t>
      </w:r>
      <w:r w:rsidR="000636C2">
        <w:rPr>
          <w:rFonts w:hint="cs"/>
          <w:rtl/>
        </w:rPr>
        <w:t>:</w:t>
      </w:r>
      <w:r w:rsidRPr="005675B2">
        <w:rPr>
          <w:rFonts w:hint="cs"/>
          <w:rtl/>
        </w:rPr>
        <w:t xml:space="preserve"> </w:t>
      </w:r>
      <w:r w:rsidR="000636C2">
        <w:rPr>
          <w:rFonts w:hint="cs"/>
          <w:rtl/>
        </w:rPr>
        <w:t>(</w:t>
      </w:r>
      <w:r w:rsidRPr="005675B2">
        <w:rPr>
          <w:rFonts w:hint="cs"/>
          <w:rtl/>
        </w:rPr>
        <w:t>فمن أظلم ممن افترى على الله كذبا أو كذب بآياته إنه لا يفلح المجرمون ويعبدون من دون الله ما لا يضرهم ولا ينفعهم ويقولون هؤلاء شفعائنا عند الله قل أتنبؤن الله بما لا يعلم في السماوات والأرض سبحانه وتعالى عما يشركون</w:t>
      </w:r>
      <w:r w:rsidR="000636C2">
        <w:rPr>
          <w:rFonts w:hint="cs"/>
          <w:rtl/>
        </w:rPr>
        <w:t>)</w:t>
      </w:r>
      <w:r w:rsidRPr="005675B2">
        <w:rPr>
          <w:rFonts w:hint="cs"/>
          <w:rtl/>
        </w:rPr>
        <w:t xml:space="preserve"> [</w:t>
      </w:r>
      <w:r w:rsidRPr="005675B2">
        <w:rPr>
          <w:rFonts w:hint="cs"/>
          <w:sz w:val="24"/>
          <w:szCs w:val="24"/>
          <w:rtl/>
        </w:rPr>
        <w:t>يونس 17-18]</w:t>
      </w:r>
      <w:r w:rsidR="000636C2">
        <w:rPr>
          <w:rFonts w:hint="cs"/>
          <w:rtl/>
        </w:rPr>
        <w:t xml:space="preserve">، </w:t>
      </w:r>
      <w:r w:rsidRPr="005675B2">
        <w:rPr>
          <w:rFonts w:hint="cs"/>
          <w:spacing w:val="-8"/>
          <w:rtl/>
        </w:rPr>
        <w:t>فهذا الصنف من المشركين لم يكونوا يعبدون آلهتهم لأجل أن تنفعهم في أمور دنياهم ولا لأجل أن لا تضرهم فيها، بل كانوا يعبدونهم لأنهم كانوا يعتقدون في آلهتهم أنهم يملكون الشفاعة عند الله بدون إذن من الله، أو أن الله قد خولهم هذا التصرف الخاص وهو التصرف في الشفاعة، وأنهم يتصرفون في الشفاعة على حسب ما يشاءون لا على حسب ما يشاء الله تعالى</w:t>
      </w:r>
      <w:r w:rsidR="000636C2">
        <w:rPr>
          <w:rFonts w:hint="cs"/>
          <w:spacing w:val="-8"/>
          <w:rtl/>
        </w:rPr>
        <w:t xml:space="preserve">، </w:t>
      </w:r>
      <w:r w:rsidRPr="005675B2">
        <w:rPr>
          <w:rFonts w:hint="cs"/>
          <w:rtl/>
        </w:rPr>
        <w:t>وقد أشار الله تعالى إلى هذا المعنى بقوله تعالى</w:t>
      </w:r>
      <w:r w:rsidR="000636C2">
        <w:rPr>
          <w:rFonts w:hint="cs"/>
          <w:rtl/>
        </w:rPr>
        <w:t>:</w:t>
      </w:r>
      <w:r w:rsidRPr="005675B2">
        <w:rPr>
          <w:rFonts w:hint="cs"/>
          <w:rtl/>
        </w:rPr>
        <w:t xml:space="preserve"> </w:t>
      </w:r>
      <w:r w:rsidR="000636C2">
        <w:rPr>
          <w:rFonts w:hint="cs"/>
          <w:rtl/>
        </w:rPr>
        <w:t>(</w:t>
      </w:r>
      <w:r w:rsidRPr="005675B2">
        <w:rPr>
          <w:rFonts w:hint="cs"/>
          <w:rtl/>
        </w:rPr>
        <w:t>أم اتخذوا من دون الله شفعاء قل أولو كانوا لا يملكون شيئا ولا يعقلون قل لله الشفاعة جميعا له ملك السماوات والأرض ثم إليه ترجعون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الزمر43-44]</w:t>
      </w:r>
      <w:r w:rsidRPr="005675B2">
        <w:rPr>
          <w:rFonts w:hint="cs"/>
          <w:rtl/>
        </w:rPr>
        <w:t xml:space="preserve"> فرد الله تعالى عليهم بأمرين</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أنهم لايملكون شيئا لا الشفاعة ولا غيرها</w:t>
      </w:r>
      <w:r w:rsidR="000636C2">
        <w:rPr>
          <w:rFonts w:hint="cs"/>
          <w:rtl/>
        </w:rPr>
        <w:t>،</w:t>
      </w:r>
      <w:r w:rsidRPr="005675B2">
        <w:rPr>
          <w:rFonts w:hint="cs"/>
          <w:rtl/>
        </w:rPr>
        <w:t xml:space="preserve"> وهذا رد على اعتقادهم أنهم يملكون الشفاعة عند الله بدون إذن من الله، فإن الملك يقتضى تصرف صاحبه فيما ملكه بدون إذن من أحد</w:t>
      </w:r>
      <w:r w:rsidR="000636C2">
        <w:rPr>
          <w:rFonts w:hint="cs"/>
          <w:rtl/>
        </w:rPr>
        <w:t>،</w:t>
      </w:r>
      <w:r w:rsidRPr="005675B2">
        <w:rPr>
          <w:rFonts w:hint="cs"/>
          <w:rtl/>
        </w:rPr>
        <w:t xml:space="preserve"> والأمر الثاني</w:t>
      </w:r>
      <w:r w:rsidR="000636C2">
        <w:rPr>
          <w:rFonts w:hint="cs"/>
          <w:rtl/>
        </w:rPr>
        <w:t>:</w:t>
      </w:r>
      <w:r w:rsidRPr="005675B2">
        <w:rPr>
          <w:rFonts w:hint="cs"/>
          <w:rtl/>
        </w:rPr>
        <w:t xml:space="preserve"> أن الشفاعة كلها لله فما من شافع يشفع إلا بإذنه، وليست الشفاعة وحدها لله، بل له ملك السماوات والأرض وإليه ترجعون، فيفصل بينكم ويجازيكم على عقائدكم، وأعمالكم</w:t>
      </w:r>
      <w:r w:rsidR="000636C2">
        <w:rPr>
          <w:rFonts w:hint="cs"/>
          <w:rtl/>
        </w:rPr>
        <w:t xml:space="preserve">، </w:t>
      </w:r>
      <w:r w:rsidRPr="005675B2">
        <w:rPr>
          <w:rFonts w:hint="cs"/>
          <w:rtl/>
        </w:rPr>
        <w:t>فالمشركون من هذا الصنف كانوا يعتقدون في آلهتهم ملك الشفاعة والتصرف فيها حسب ما شاءوا لا حسب ما شاء الله، وكان المشركون يعبدونهم استعطافا لهم وجلبا لرحمتهم أن يشفعوا لهم عند الله</w:t>
      </w:r>
      <w:r w:rsidR="000636C2">
        <w:rPr>
          <w:rFonts w:hint="cs"/>
          <w:rtl/>
        </w:rPr>
        <w:t xml:space="preserve">، </w:t>
      </w:r>
      <w:r w:rsidRPr="005675B2">
        <w:rPr>
          <w:rFonts w:hint="cs"/>
          <w:rtl/>
        </w:rPr>
        <w:t>والصنف الثالث من المشركين</w:t>
      </w:r>
      <w:r w:rsidR="000636C2">
        <w:rPr>
          <w:rFonts w:hint="cs"/>
          <w:rtl/>
        </w:rPr>
        <w:t>:</w:t>
      </w:r>
      <w:r w:rsidRPr="005675B2">
        <w:rPr>
          <w:rFonts w:hint="cs"/>
          <w:rtl/>
        </w:rPr>
        <w:t xml:space="preserve"> كانوا يعتقدون في آلهتهم النفع والضر، وإنها تجلب لهم الخيرات وتدفع عنهم البلايا وتنصرهم على أعدائهم، ويعتقدون أن الله تعالى قد خولهم هذه الربوبية الصغيرة، كما يولي الملوك الولاة على المناطق الصغيرة، فكان هذا الصنف يعتقدون في آلهتهم هذه الربوبية الصغيرة ومن أجل ذلك كانوا يعبدونهم ويألهونهم</w:t>
      </w:r>
      <w:r w:rsidR="000636C2">
        <w:rPr>
          <w:rFonts w:hint="cs"/>
          <w:rtl/>
        </w:rPr>
        <w:t xml:space="preserve">، </w:t>
      </w:r>
      <w:r w:rsidRPr="005675B2">
        <w:rPr>
          <w:rFonts w:hint="cs"/>
          <w:rtl/>
        </w:rPr>
        <w:t>وقد ذكر الله تعالى هذا الصنف بقوله</w:t>
      </w:r>
      <w:r w:rsidR="000636C2">
        <w:rPr>
          <w:rFonts w:hint="cs"/>
          <w:rtl/>
        </w:rPr>
        <w:t>:</w:t>
      </w:r>
      <w:r w:rsidRPr="005675B2">
        <w:rPr>
          <w:rFonts w:hint="cs"/>
          <w:rtl/>
        </w:rPr>
        <w:t xml:space="preserve"> </w:t>
      </w:r>
      <w:r w:rsidR="000636C2">
        <w:rPr>
          <w:rFonts w:hint="cs"/>
          <w:rtl/>
        </w:rPr>
        <w:t>(</w:t>
      </w:r>
      <w:r w:rsidRPr="005675B2">
        <w:rPr>
          <w:rFonts w:hint="cs"/>
          <w:rtl/>
        </w:rPr>
        <w:t>واتخذوا من دون الله آلهة لعلهم ينصرون لا يستطيعون نصرهم وهم لهم جند محضرون</w:t>
      </w:r>
      <w:r w:rsidR="000636C2">
        <w:rPr>
          <w:rFonts w:hint="cs"/>
          <w:rtl/>
        </w:rPr>
        <w:t>)</w:t>
      </w:r>
      <w:r w:rsidRPr="005675B2">
        <w:rPr>
          <w:rFonts w:hint="cs"/>
          <w:rtl/>
        </w:rPr>
        <w:t xml:space="preserve"> [</w:t>
      </w:r>
      <w:r w:rsidRPr="005675B2">
        <w:rPr>
          <w:rFonts w:hint="cs"/>
          <w:sz w:val="24"/>
          <w:szCs w:val="24"/>
          <w:rtl/>
        </w:rPr>
        <w:t>يس74-75]</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واتخذوا من دون الله آلهة ليكون لهم عزا كلا سيكفرون بعبادتهم ويكونون عليهم ضدا</w:t>
      </w:r>
      <w:r w:rsidR="000636C2">
        <w:rPr>
          <w:rFonts w:hint="cs"/>
          <w:rtl/>
        </w:rPr>
        <w:t>)</w:t>
      </w:r>
      <w:r w:rsidRPr="005675B2">
        <w:rPr>
          <w:rFonts w:hint="cs"/>
          <w:rtl/>
        </w:rPr>
        <w:t xml:space="preserve"> [</w:t>
      </w:r>
      <w:r w:rsidRPr="005675B2">
        <w:rPr>
          <w:rFonts w:hint="cs"/>
          <w:sz w:val="24"/>
          <w:szCs w:val="24"/>
          <w:rtl/>
        </w:rPr>
        <w:t>مريم81-82]</w:t>
      </w:r>
      <w:r w:rsidRPr="005675B2">
        <w:rPr>
          <w:rFonts w:hint="cs"/>
          <w:rtl/>
        </w:rPr>
        <w:t xml:space="preserve"> أي واتخذ المشركون من دون الله آلهة يعبدونها لتجازيهم على عبادتهم بأن تكون بتأثيراتها الغيبية سببا لعزهم وغلبتهم على أعدائهم</w:t>
      </w:r>
      <w:r w:rsidR="000636C2">
        <w:rPr>
          <w:rFonts w:hint="cs"/>
          <w:rtl/>
        </w:rPr>
        <w:t>،</w:t>
      </w:r>
      <w:r w:rsidRPr="005675B2">
        <w:rPr>
          <w:rFonts w:hint="cs"/>
          <w:rtl/>
        </w:rPr>
        <w:t xml:space="preserve"> وهذه الأنواع الثلاثة من الشرك هي التي كان عليها معظم المشركين من العرب في جاهليتهم</w:t>
      </w:r>
      <w:r w:rsidR="000636C2">
        <w:rPr>
          <w:rFonts w:hint="cs"/>
          <w:rtl/>
        </w:rPr>
        <w:t>،</w:t>
      </w:r>
      <w:r w:rsidRPr="005675B2">
        <w:rPr>
          <w:rFonts w:hint="cs"/>
          <w:rtl/>
        </w:rPr>
        <w:t xml:space="preserve"> وربما كانوا يعتقدون في آلهتهم مجموع هذه المعاني الثلاثة أو اثنين منها</w:t>
      </w:r>
      <w:r w:rsidR="000636C2">
        <w:rPr>
          <w:rFonts w:hint="cs"/>
          <w:rtl/>
        </w:rPr>
        <w:t xml:space="preserve">، </w:t>
      </w:r>
      <w:r w:rsidRPr="005675B2">
        <w:rPr>
          <w:rFonts w:hint="cs"/>
          <w:rtl/>
        </w:rPr>
        <w:t>والصنف الرابع من المشركين</w:t>
      </w:r>
      <w:r w:rsidR="000636C2">
        <w:rPr>
          <w:rFonts w:hint="cs"/>
          <w:rtl/>
        </w:rPr>
        <w:t>:</w:t>
      </w:r>
      <w:r w:rsidRPr="005675B2">
        <w:rPr>
          <w:rFonts w:hint="cs"/>
          <w:rtl/>
        </w:rPr>
        <w:t xml:space="preserve"> كانوا يعطون حق التشريع الذي هو خاص بالله تعالى لغيره من الأحبار والرهبان، وقد ذكر الله تعالى هذا الصنف بقوله</w:t>
      </w:r>
      <w:r w:rsidR="000636C2">
        <w:rPr>
          <w:rFonts w:hint="cs"/>
          <w:rtl/>
        </w:rPr>
        <w:t>:</w:t>
      </w:r>
      <w:r w:rsidRPr="005675B2">
        <w:rPr>
          <w:rFonts w:hint="cs"/>
          <w:rtl/>
        </w:rPr>
        <w:t xml:space="preserve"> </w:t>
      </w:r>
      <w:r w:rsidR="000636C2">
        <w:rPr>
          <w:rFonts w:hint="cs"/>
          <w:rtl/>
        </w:rPr>
        <w:t>(</w:t>
      </w:r>
      <w:r w:rsidRPr="005675B2">
        <w:rPr>
          <w:rFonts w:hint="cs"/>
          <w:rtl/>
        </w:rPr>
        <w:t>اتخذوا أحبارهم ورهبانهم أربابا من دون الله</w:t>
      </w:r>
      <w:r w:rsidR="000636C2">
        <w:rPr>
          <w:rFonts w:hint="cs"/>
          <w:rtl/>
        </w:rPr>
        <w:t>)</w:t>
      </w:r>
      <w:r w:rsidRPr="005675B2">
        <w:rPr>
          <w:rFonts w:hint="cs"/>
          <w:rtl/>
        </w:rPr>
        <w:t xml:space="preserve"> [</w:t>
      </w:r>
      <w:r w:rsidRPr="005675B2">
        <w:rPr>
          <w:rFonts w:hint="cs"/>
          <w:sz w:val="24"/>
          <w:szCs w:val="24"/>
          <w:rtl/>
        </w:rPr>
        <w:t>التوبة31]</w:t>
      </w:r>
      <w:r w:rsidRPr="005675B2">
        <w:rPr>
          <w:rFonts w:hint="cs"/>
          <w:rtl/>
        </w:rPr>
        <w:t xml:space="preserve"> وأشار إليه بقوله</w:t>
      </w:r>
      <w:r w:rsidR="000636C2">
        <w:rPr>
          <w:rFonts w:hint="cs"/>
          <w:rtl/>
        </w:rPr>
        <w:t>:</w:t>
      </w:r>
      <w:r w:rsidRPr="005675B2">
        <w:rPr>
          <w:rFonts w:hint="cs"/>
          <w:rtl/>
        </w:rPr>
        <w:t xml:space="preserve"> </w:t>
      </w:r>
      <w:r w:rsidR="000636C2">
        <w:rPr>
          <w:rFonts w:hint="cs"/>
          <w:rtl/>
        </w:rPr>
        <w:t>(</w:t>
      </w:r>
      <w:r w:rsidRPr="005675B2">
        <w:rPr>
          <w:rFonts w:hint="cs"/>
          <w:rtl/>
        </w:rPr>
        <w:t>ولايتخذ بعضنا بعضا أربابا من دون الله</w:t>
      </w:r>
      <w:r w:rsidR="000636C2">
        <w:rPr>
          <w:rFonts w:hint="cs"/>
          <w:rtl/>
        </w:rPr>
        <w:t>)</w:t>
      </w:r>
      <w:r w:rsidRPr="005675B2">
        <w:rPr>
          <w:rFonts w:hint="cs"/>
          <w:rtl/>
        </w:rPr>
        <w:t xml:space="preserve"> [</w:t>
      </w:r>
      <w:r w:rsidRPr="005675B2">
        <w:rPr>
          <w:rFonts w:hint="cs"/>
          <w:sz w:val="24"/>
          <w:szCs w:val="24"/>
          <w:rtl/>
        </w:rPr>
        <w:t>آل عمران64]</w:t>
      </w:r>
      <w:r w:rsidRPr="005675B2">
        <w:rPr>
          <w:rFonts w:hint="cs"/>
          <w:rtl/>
        </w:rPr>
        <w:t xml:space="preserve"> فأعطى هذا الصنفُ من المشركين الأحبارَ والرهبانَ حقَ التشريع وهو من صفات الربوبية وخواصها، فاتخذوهم بذلك أربابا، ثم أطاعوهم فيما شرعوا من الأحكام، وبذلك كانوا قد عبدوهم وألهوهم؛ فإن الإطاعة في التشريع نوع من العبادة</w:t>
      </w:r>
      <w:r w:rsidR="000636C2">
        <w:rPr>
          <w:rFonts w:hint="cs"/>
          <w:rtl/>
        </w:rPr>
        <w:t xml:space="preserve">، </w:t>
      </w:r>
      <w:r w:rsidRPr="005675B2">
        <w:rPr>
          <w:rFonts w:hint="cs"/>
          <w:rtl/>
        </w:rPr>
        <w:t>والصنف الخامس</w:t>
      </w:r>
      <w:r w:rsidR="000636C2">
        <w:rPr>
          <w:rFonts w:hint="cs"/>
          <w:rtl/>
        </w:rPr>
        <w:t>:</w:t>
      </w:r>
      <w:r w:rsidRPr="005675B2">
        <w:rPr>
          <w:rFonts w:hint="cs"/>
          <w:rtl/>
        </w:rPr>
        <w:t xml:space="preserve"> هم الذين يعتقدون فيمن يعبدونهم أنهم شركاء لله في تدبير العالم والتصرف فيه</w:t>
      </w:r>
      <w:r w:rsidR="000636C2">
        <w:rPr>
          <w:rFonts w:hint="cs"/>
          <w:rtl/>
        </w:rPr>
        <w:t>،</w:t>
      </w:r>
      <w:r w:rsidRPr="005675B2">
        <w:rPr>
          <w:rFonts w:hint="cs"/>
          <w:rtl/>
        </w:rPr>
        <w:t xml:space="preserve"> وهؤلاء أصناف كثيرة، فمنهم أهل التثنية وأهل التثليث ومنهم من يعددون الآلهة فوق ذلك</w:t>
      </w:r>
      <w:r w:rsidR="000636C2">
        <w:rPr>
          <w:rFonts w:hint="cs"/>
          <w:rtl/>
        </w:rPr>
        <w:t xml:space="preserve">، </w:t>
      </w:r>
      <w:r w:rsidRPr="005675B2">
        <w:rPr>
          <w:rFonts w:hint="cs"/>
          <w:rtl/>
        </w:rPr>
        <w:t>وأهل هذا الشرك لهم أرباب يجعلونها مشتركة فيما بينها في الربوبية وتصاريفها في الكون، وقد يجسدونها في أجسام مادية، أو يعتقدون أنها قد تحل في أجسام مادية، أو تظهر بصور بشرية</w:t>
      </w:r>
      <w:r w:rsidR="000636C2">
        <w:rPr>
          <w:rFonts w:hint="cs"/>
          <w:rtl/>
        </w:rPr>
        <w:t xml:space="preserve">، </w:t>
      </w:r>
      <w:r w:rsidRPr="005675B2">
        <w:rPr>
          <w:rFonts w:hint="cs"/>
          <w:rtl/>
        </w:rPr>
        <w:t>وهذه الأصناف الخمسة من المشركين هم الذين كانوا يعبدون آلهة من دون الله عن اقتناع، وكانوا يألهونها بناء على اعتقادهم فيها الربوبية إما ربوبية صغيرة محدودة مستمدة من ربوبية الله تعالى كما هو حال الأصناف الأربعة</w:t>
      </w:r>
      <w:r w:rsidR="000636C2">
        <w:rPr>
          <w:rFonts w:hint="cs"/>
          <w:rtl/>
        </w:rPr>
        <w:t>،</w:t>
      </w:r>
      <w:r w:rsidRPr="005675B2">
        <w:rPr>
          <w:rFonts w:hint="cs"/>
          <w:rtl/>
        </w:rPr>
        <w:t xml:space="preserve"> الأول</w:t>
      </w:r>
      <w:r w:rsidR="000636C2">
        <w:rPr>
          <w:rFonts w:hint="cs"/>
          <w:rtl/>
        </w:rPr>
        <w:t>:</w:t>
      </w:r>
      <w:r w:rsidRPr="005675B2">
        <w:rPr>
          <w:rFonts w:hint="cs"/>
          <w:rtl/>
        </w:rPr>
        <w:t xml:space="preserve"> وهو حال معظم مشركي العرب في جاهليته، أو ربوبية حقيقية كبيرة كما هو حال الصنف الخامس</w:t>
      </w:r>
      <w:r w:rsidR="000636C2">
        <w:rPr>
          <w:rFonts w:hint="cs"/>
          <w:rtl/>
        </w:rPr>
        <w:t xml:space="preserve">، </w:t>
      </w:r>
      <w:r w:rsidRPr="005675B2">
        <w:rPr>
          <w:rFonts w:hint="cs"/>
          <w:rtl/>
        </w:rPr>
        <w:t>الصنف السادس من المشركين</w:t>
      </w:r>
      <w:r w:rsidR="000636C2">
        <w:rPr>
          <w:rFonts w:hint="cs"/>
          <w:rtl/>
        </w:rPr>
        <w:t>:</w:t>
      </w:r>
      <w:r w:rsidRPr="005675B2">
        <w:rPr>
          <w:rFonts w:hint="cs"/>
          <w:rtl/>
        </w:rPr>
        <w:t xml:space="preserve"> ناس كانوا لا يعتقدون في معبوداتهم شيئا من معانى الربوبية، فلم يكونوا يعبدونها عن عقيدة واقتناع، بل كانوا يعبدونها ويألهونها بناء على مصلحة اجتماعية وهو الحفاظ على الوحدة القومية، وعدم تفريق الكلمة فيها، حيث كانت آلهتهم التي يعبدونها ويقدسونها بمثابة رموز رباط وحدة قومية، تجمع أفرادهم على مودة تسوقوهم على التعاون والتناصر وعلى كل ما تقتضيه الأخوة بين جماعة ذات كيان واحد</w:t>
      </w:r>
      <w:r w:rsidR="000636C2">
        <w:rPr>
          <w:rFonts w:hint="cs"/>
          <w:rtl/>
        </w:rPr>
        <w:t xml:space="preserve">، </w:t>
      </w:r>
      <w:r w:rsidRPr="005675B2">
        <w:rPr>
          <w:rFonts w:hint="cs"/>
          <w:spacing w:val="-8"/>
          <w:rtl/>
        </w:rPr>
        <w:t>وهذا ما كشفه إبراهيم عليه السلام لقومه</w:t>
      </w:r>
      <w:r w:rsidR="000636C2">
        <w:rPr>
          <w:rFonts w:hint="cs"/>
          <w:spacing w:val="-8"/>
          <w:rtl/>
        </w:rPr>
        <w:t>،</w:t>
      </w:r>
      <w:r w:rsidRPr="005675B2">
        <w:rPr>
          <w:rFonts w:hint="cs"/>
          <w:spacing w:val="-8"/>
          <w:rtl/>
        </w:rPr>
        <w:t xml:space="preserve"> قال الله تعالى في معرض ذكر لقطات من قصة إبراهيم وقومه</w:t>
      </w:r>
      <w:r w:rsidR="000636C2">
        <w:rPr>
          <w:rFonts w:hint="cs"/>
          <w:spacing w:val="-8"/>
          <w:rtl/>
        </w:rPr>
        <w:t>:</w:t>
      </w:r>
      <w:r w:rsidRPr="005675B2">
        <w:rPr>
          <w:rFonts w:hint="cs"/>
          <w:spacing w:val="-8"/>
          <w:rtl/>
        </w:rPr>
        <w:t xml:space="preserve"> </w:t>
      </w:r>
      <w:r w:rsidR="000636C2">
        <w:rPr>
          <w:rFonts w:hint="cs"/>
          <w:spacing w:val="-8"/>
          <w:rtl/>
        </w:rPr>
        <w:t>(</w:t>
      </w:r>
      <w:r w:rsidRPr="005675B2">
        <w:rPr>
          <w:rFonts w:hint="cs"/>
          <w:spacing w:val="-8"/>
          <w:rtl/>
        </w:rPr>
        <w:t>وقال إنما اتخذتم من دون الله أوثانا مودة بينكم في الحياة الدنيا ثم يوم القيامة يكفر بعضكم ببعض ويلعن بعضكم بعضا ومأواكم النار وما لكم من ناصرين</w:t>
      </w:r>
      <w:r w:rsidR="000636C2">
        <w:rPr>
          <w:rFonts w:hint="cs"/>
          <w:spacing w:val="-8"/>
          <w:rtl/>
        </w:rPr>
        <w:t>)</w:t>
      </w:r>
      <w:r w:rsidRPr="005675B2">
        <w:rPr>
          <w:rFonts w:hint="cs"/>
          <w:spacing w:val="-8"/>
          <w:rtl/>
        </w:rPr>
        <w:t xml:space="preserve"> العنكبوت 25</w:t>
      </w:r>
      <w:r w:rsidR="000636C2">
        <w:rPr>
          <w:rFonts w:hint="cs"/>
          <w:spacing w:val="-8"/>
          <w:rtl/>
        </w:rPr>
        <w:t xml:space="preserve">، </w:t>
      </w:r>
      <w:r w:rsidRPr="005675B2">
        <w:rPr>
          <w:rFonts w:hint="cs"/>
          <w:rtl/>
        </w:rPr>
        <w:t>من هذا التصنيف للمشركين، ومما تقدم سرده من النصوص القرآنية، وهي غيض من فيض وقليل من كثير من النصوص المتعلقة بالموضوع، من هذا ظهر لنا أن الربوبية هي الأساس الذي تنبني عليه الإ̃لهية، فمن كانت له الربوبية فمن حقه على مربوبيه أن يؤلهوه، وظهر أن المشركين الذين كانوا يعبدون من دون الله آلهة عن عقيدة واقتناع إنما كانوا يعبدونهم ويألهونهم بناء على اعتقادهم فيهم الربوبية إما ربوبية صغيرة محدودة أو ربوبية أصلية مطلقة</w:t>
      </w:r>
      <w:r w:rsidR="000636C2">
        <w:rPr>
          <w:rFonts w:hint="cs"/>
          <w:rtl/>
        </w:rPr>
        <w:t xml:space="preserve">، </w:t>
      </w:r>
      <w:r w:rsidRPr="005675B2">
        <w:rPr>
          <w:rFonts w:hint="cs"/>
          <w:rtl/>
        </w:rPr>
        <w:t>ومن هذا ظهر خطأ الذين يرون أن جميع العرب في جاهليتهم كانوا يؤمنون بتوحيد الربوبية لله عز وجل، إلا أنهم كانوا يعبدون مع الله آلهة أخرى فيتخذونها شركاء لله في إ̃لهيته دون أن يجعلوها شركاء لله في ربوبيته</w:t>
      </w:r>
      <w:r w:rsidR="000636C2">
        <w:rPr>
          <w:rFonts w:hint="cs"/>
          <w:rtl/>
        </w:rPr>
        <w:t xml:space="preserve">، </w:t>
      </w:r>
      <w:r w:rsidRPr="005675B2">
        <w:rPr>
          <w:rFonts w:hint="cs"/>
          <w:rtl/>
        </w:rPr>
        <w:t>وذلك لأن النصوص القرآنية ومنها ما أوردناه آنفا تبين أن أكثر العرب كانوا يجعلون مع الله شركاء في بعض صفات ربوبيته لا في كلها، ومن أجل ذلك كانوا يطلبون من شركائهم الرحمة والرزق والنصر، وكثيرا من مطالبهم الدنيوية، وكانوا يعبدون آلهتهم طمعا في أن يحققوا لهم ما يرجون بمعونات غيبية هي من خصائص الرب الخالق الذي بيده مقاليد كل شيء، وهو على كل شيء قدير</w:t>
      </w:r>
      <w:r w:rsidR="000636C2">
        <w:rPr>
          <w:rFonts w:hint="cs"/>
          <w:rtl/>
        </w:rPr>
        <w:t xml:space="preserve">، </w:t>
      </w:r>
      <w:r w:rsidRPr="005675B2">
        <w:rPr>
          <w:rFonts w:hint="cs"/>
          <w:rtl/>
        </w:rPr>
        <w:t>ولما كانت الإ̃لهية هي اللازم العقلي المباشر للربوبية، وكانت الربوبية في الوجود كله لله وحده لا شريك له فيها وجب عقلا وجوبا حتميا أن تكون الإ̃لهية خاصة بالله وحده لا يشاركه فيها أحد</w:t>
      </w:r>
      <w:r w:rsidR="000636C2">
        <w:rPr>
          <w:rFonts w:hint="cs"/>
          <w:rtl/>
        </w:rPr>
        <w:t xml:space="preserve">، </w:t>
      </w:r>
      <w:r w:rsidRPr="005675B2">
        <w:rPr>
          <w:rFonts w:hint="cs"/>
          <w:rtl/>
        </w:rPr>
        <w:t xml:space="preserve">ومن أجل هذه الحقيقة كان منهج القرآن الكريم للإقناع بتوحيد الإ̃لهية لله وحده لا شريك له، يعتمد على تذكير ذوى الفكر بتوحيد الربوبية لله عز وجل، وأنه لا شريك له في الربوبية، و على </w:t>
      </w:r>
      <w:r w:rsidR="000636C2">
        <w:rPr>
          <w:rFonts w:hint="cs"/>
          <w:rtl/>
        </w:rPr>
        <w:t>(</w:t>
      </w:r>
      <w:r>
        <w:rPr>
          <w:rFonts w:hint="cs"/>
          <w:rtl/>
        </w:rPr>
        <w:t>تنبيه</w:t>
      </w:r>
      <w:r w:rsidR="000636C2">
        <w:rPr>
          <w:rFonts w:hint="cs"/>
          <w:rtl/>
        </w:rPr>
        <w:t>)</w:t>
      </w:r>
      <w:r w:rsidRPr="005675B2">
        <w:rPr>
          <w:rFonts w:hint="cs"/>
          <w:rtl/>
        </w:rPr>
        <w:t>هم على هذه الحقيقة، ويعتمد في بعض النصوص على استئناف عرض أدلة تثبت أن الربوبية في الوجود كله لله وحده لا شريك له، ويراعي في هذا التنويع مقتضيات أحوال المخاطبين إبّان نزول النص</w:t>
      </w:r>
      <w:r w:rsidR="000636C2">
        <w:rPr>
          <w:rFonts w:hint="cs"/>
          <w:rtl/>
        </w:rPr>
        <w:t xml:space="preserve">، </w:t>
      </w:r>
      <w:r w:rsidRPr="005675B2">
        <w:rPr>
          <w:rFonts w:hint="cs"/>
          <w:rtl/>
        </w:rPr>
        <w:t>من هذه النصوص القرآنية ما يلى</w:t>
      </w:r>
      <w:r w:rsidR="000636C2">
        <w:rPr>
          <w:rFonts w:hint="cs"/>
          <w:rtl/>
        </w:rPr>
        <w:t>:</w:t>
      </w:r>
      <w:r w:rsidRPr="005675B2">
        <w:rPr>
          <w:rFonts w:hint="cs"/>
          <w:rtl/>
        </w:rPr>
        <w:t xml:space="preserve"> </w:t>
      </w:r>
      <w:r w:rsidR="000636C2">
        <w:rPr>
          <w:rFonts w:hint="cs"/>
          <w:rtl/>
        </w:rPr>
        <w:t>(</w:t>
      </w:r>
      <w:r w:rsidRPr="005675B2">
        <w:rPr>
          <w:rFonts w:hint="cs"/>
          <w:rtl/>
        </w:rPr>
        <w:t>يا أيها الناس اعبدوا ربكم الذي خلقكم والذين من قبلكم</w:t>
      </w:r>
      <w:r w:rsidR="000636C2">
        <w:rPr>
          <w:rFonts w:hint="cs"/>
          <w:rtl/>
        </w:rPr>
        <w:t>)</w:t>
      </w:r>
      <w:r w:rsidRPr="005675B2">
        <w:rPr>
          <w:rFonts w:hint="cs"/>
          <w:rtl/>
        </w:rPr>
        <w:t xml:space="preserve"> [</w:t>
      </w:r>
      <w:r w:rsidRPr="005675B2">
        <w:rPr>
          <w:rFonts w:hint="cs"/>
          <w:sz w:val="24"/>
          <w:szCs w:val="24"/>
          <w:rtl/>
        </w:rPr>
        <w:t>البقرة21]</w:t>
      </w:r>
      <w:r w:rsidRPr="005675B2">
        <w:rPr>
          <w:rFonts w:hint="cs"/>
          <w:rtl/>
        </w:rPr>
        <w:t xml:space="preserve"> </w:t>
      </w:r>
      <w:r w:rsidR="000636C2">
        <w:rPr>
          <w:rFonts w:hint="cs"/>
          <w:rtl/>
        </w:rPr>
        <w:t>(</w:t>
      </w:r>
      <w:r w:rsidRPr="005675B2">
        <w:rPr>
          <w:rFonts w:hint="cs"/>
          <w:rtl/>
        </w:rPr>
        <w:t>وما لي لا أعبد الذي فطرني وإليه ترجعون أأتخذ من دونه آلهة إن يردن الرحمن بضر لا تغني عنى شفاعنهم شيئا ولا ينقذون إني إذا لفي ضلال مبين إني آمنت بربكم فاسمعون</w:t>
      </w:r>
      <w:r w:rsidR="000636C2">
        <w:rPr>
          <w:rFonts w:hint="cs"/>
          <w:rtl/>
        </w:rPr>
        <w:t>)</w:t>
      </w:r>
      <w:r w:rsidRPr="005675B2">
        <w:rPr>
          <w:rFonts w:hint="cs"/>
          <w:rtl/>
        </w:rPr>
        <w:t xml:space="preserve"> [</w:t>
      </w:r>
      <w:r w:rsidRPr="005675B2">
        <w:rPr>
          <w:rFonts w:hint="cs"/>
          <w:sz w:val="24"/>
          <w:szCs w:val="24"/>
          <w:rtl/>
        </w:rPr>
        <w:t>يس 22-25]</w:t>
      </w:r>
      <w:r w:rsidRPr="005675B2">
        <w:rPr>
          <w:rFonts w:hint="cs"/>
          <w:rtl/>
        </w:rPr>
        <w:t xml:space="preserve"> </w:t>
      </w:r>
      <w:r w:rsidR="000636C2">
        <w:rPr>
          <w:rFonts w:hint="cs"/>
          <w:rtl/>
        </w:rPr>
        <w:t>(</w:t>
      </w:r>
      <w:r w:rsidRPr="005675B2">
        <w:rPr>
          <w:rFonts w:hint="cs"/>
          <w:rtl/>
        </w:rPr>
        <w:t>رب السموات والأرض وما بينهما فاعبدوه واصطبر لعبادته هل تعلم له سميا</w:t>
      </w:r>
      <w:r w:rsidR="000636C2">
        <w:rPr>
          <w:rFonts w:hint="cs"/>
          <w:rtl/>
        </w:rPr>
        <w:t>)</w:t>
      </w:r>
      <w:r w:rsidRPr="005675B2">
        <w:rPr>
          <w:rFonts w:hint="cs"/>
          <w:rtl/>
        </w:rPr>
        <w:t xml:space="preserve"> [</w:t>
      </w:r>
      <w:r w:rsidRPr="005675B2">
        <w:rPr>
          <w:rFonts w:hint="cs"/>
          <w:sz w:val="24"/>
          <w:szCs w:val="24"/>
          <w:rtl/>
        </w:rPr>
        <w:t>مريم65]</w:t>
      </w:r>
      <w:r w:rsidRPr="005675B2">
        <w:rPr>
          <w:rFonts w:hint="cs"/>
          <w:rtl/>
        </w:rPr>
        <w:t xml:space="preserve"> </w:t>
      </w:r>
      <w:r w:rsidR="000636C2">
        <w:rPr>
          <w:rFonts w:hint="cs"/>
          <w:rtl/>
        </w:rPr>
        <w:t>(</w:t>
      </w:r>
      <w:r w:rsidRPr="005675B2">
        <w:rPr>
          <w:rFonts w:hint="cs"/>
          <w:rtl/>
        </w:rPr>
        <w:t>واتخذوا من دون الله آلهة لا يخلقون شيئا وهم يخلقون ولا يملكون لأنفسهم ضرا ولا نفعا ولا يملكون موتا ولا حياتا ولا نشورا</w:t>
      </w:r>
      <w:r w:rsidR="000636C2">
        <w:rPr>
          <w:rFonts w:hint="cs"/>
          <w:rtl/>
        </w:rPr>
        <w:t>)</w:t>
      </w:r>
      <w:r w:rsidRPr="005675B2">
        <w:rPr>
          <w:rFonts w:hint="cs"/>
          <w:rtl/>
        </w:rPr>
        <w:t>[</w:t>
      </w:r>
      <w:r w:rsidRPr="005675B2">
        <w:rPr>
          <w:rFonts w:hint="cs"/>
          <w:sz w:val="24"/>
          <w:szCs w:val="24"/>
          <w:rtl/>
        </w:rPr>
        <w:t>الفرقان3]</w:t>
      </w:r>
      <w:r w:rsidRPr="005675B2">
        <w:rPr>
          <w:rFonts w:hint="cs"/>
          <w:rtl/>
        </w:rPr>
        <w:t xml:space="preserve"> </w:t>
      </w:r>
      <w:r w:rsidR="000636C2">
        <w:rPr>
          <w:rFonts w:hint="cs"/>
          <w:rtl/>
        </w:rPr>
        <w:t>(</w:t>
      </w:r>
      <w:r w:rsidRPr="005675B2">
        <w:rPr>
          <w:rFonts w:hint="cs"/>
          <w:rtl/>
        </w:rPr>
        <w:t>يا أيها الناس اذكروا نعمة الله عليكم هل من خالق غير الله يرزقكم من السماء والأرض لا إله إلا هو فأنى تؤفكون</w:t>
      </w:r>
      <w:r w:rsidR="000636C2">
        <w:rPr>
          <w:rFonts w:hint="cs"/>
          <w:rtl/>
        </w:rPr>
        <w:t>)</w:t>
      </w:r>
      <w:r w:rsidRPr="005675B2">
        <w:rPr>
          <w:rFonts w:hint="cs"/>
          <w:rtl/>
        </w:rPr>
        <w:t xml:space="preserve"> [</w:t>
      </w:r>
      <w:r w:rsidRPr="005675B2">
        <w:rPr>
          <w:rFonts w:hint="cs"/>
          <w:sz w:val="24"/>
          <w:szCs w:val="24"/>
          <w:rtl/>
        </w:rPr>
        <w:t>الفاطر3]</w:t>
      </w:r>
      <w:r w:rsidRPr="005675B2">
        <w:rPr>
          <w:rFonts w:hint="cs"/>
          <w:rtl/>
        </w:rPr>
        <w:t xml:space="preserve"> </w:t>
      </w:r>
      <w:r w:rsidR="000636C2">
        <w:rPr>
          <w:rFonts w:hint="cs"/>
          <w:rtl/>
        </w:rPr>
        <w:t>(</w:t>
      </w:r>
      <w:r w:rsidRPr="005675B2">
        <w:rPr>
          <w:rFonts w:hint="cs"/>
          <w:rtl/>
        </w:rPr>
        <w:t>ألا يسجدوا لله الذي يخرج الخبأ في السموات والأرض</w:t>
      </w:r>
      <w:r w:rsidR="000636C2">
        <w:rPr>
          <w:rFonts w:hint="cs"/>
          <w:rtl/>
        </w:rPr>
        <w:t>)</w:t>
      </w:r>
      <w:r w:rsidRPr="005675B2">
        <w:rPr>
          <w:rFonts w:hint="cs"/>
          <w:rtl/>
        </w:rPr>
        <w:t xml:space="preserve"> [</w:t>
      </w:r>
      <w:r w:rsidRPr="005675B2">
        <w:rPr>
          <w:rFonts w:hint="cs"/>
          <w:sz w:val="24"/>
          <w:szCs w:val="24"/>
          <w:rtl/>
        </w:rPr>
        <w:t>النمل25]</w:t>
      </w:r>
      <w:r w:rsidRPr="005675B2">
        <w:rPr>
          <w:rFonts w:hint="cs"/>
          <w:rtl/>
        </w:rPr>
        <w:t xml:space="preserve"> </w:t>
      </w:r>
      <w:r w:rsidR="000636C2">
        <w:rPr>
          <w:rFonts w:hint="cs"/>
          <w:rtl/>
        </w:rPr>
        <w:t>(</w:t>
      </w:r>
      <w:r w:rsidRPr="005675B2">
        <w:rPr>
          <w:rFonts w:hint="cs"/>
          <w:rtl/>
        </w:rPr>
        <w:t>قل أعوذ برب الناس ملك الناس إله الناس</w:t>
      </w:r>
      <w:r w:rsidR="000636C2">
        <w:rPr>
          <w:rFonts w:hint="cs"/>
          <w:rtl/>
        </w:rPr>
        <w:t>)</w:t>
      </w:r>
      <w:r w:rsidRPr="005675B2">
        <w:rPr>
          <w:rFonts w:hint="cs"/>
          <w:rtl/>
        </w:rPr>
        <w:t xml:space="preserve"> [</w:t>
      </w:r>
      <w:r w:rsidRPr="005675B2">
        <w:rPr>
          <w:rFonts w:hint="cs"/>
          <w:sz w:val="24"/>
          <w:szCs w:val="24"/>
          <w:rtl/>
        </w:rPr>
        <w:t>الناس1-3]</w:t>
      </w:r>
      <w:r w:rsidRPr="005675B2">
        <w:rPr>
          <w:rFonts w:hint="cs"/>
          <w:rtl/>
        </w:rPr>
        <w:t xml:space="preserve"> جاء البيان في هذه السورة مرتبا ترتيبا عقليا منطقيا، فإثبات ربوبية الله للناس يلزم منه لزوما عقليا منطقيا إثبات كونه مالكا لهم فهم عبيده وكونه ملكا عليهم، ويلزم منهما لزوما عقليا منطقيا إثبات إ̃لهيته لهم، وبما أنهم لا رب لهم غيره فلا إ̃له لهم غيره</w:t>
      </w:r>
      <w:r w:rsidR="000636C2">
        <w:rPr>
          <w:rFonts w:hint="cs"/>
          <w:rtl/>
        </w:rPr>
        <w:t xml:space="preserve">، </w:t>
      </w:r>
      <w:r w:rsidRPr="005675B2">
        <w:rPr>
          <w:rFonts w:hint="cs"/>
          <w:rtl/>
        </w:rPr>
        <w:t>والحاصل أنه قد استقر في عقول بني آدم أن من ثبتت له الربوبية فمستحق للعبادة، ومن انتفت عنه الربوبية فهو غير مستحق للعبادة، فثبوت الربوبية واستحقاق العبادة متلازمان فيما شرع الله من شرائعه، وفي عقول الناس</w:t>
      </w:r>
      <w:r w:rsidR="000636C2">
        <w:rPr>
          <w:rFonts w:hint="cs"/>
          <w:rtl/>
        </w:rPr>
        <w:t xml:space="preserve">، </w:t>
      </w:r>
      <w:r w:rsidRPr="005675B2">
        <w:rPr>
          <w:rFonts w:hint="cs"/>
          <w:rtl/>
        </w:rPr>
        <w:t>وعلى أساس اعتقاد الشركة في الربوبية بنى المشركون استحقاق العبادة لمن اعتقدوهم أربابا من دون الله تعالى، ومتى انهدم هذا الأساس من نفوسهم تبعه انهدام ما بني عليه من استحقاق غير الله للعبادة، ولا يسلم المشرك بإنفراد الله سبحانه بإستحقاق العبادة حتى يسلم بإنفراده عز وجل بالربوبية، وما دام في نفسه اعتقاد الربوبية لغيره عز وجل استتبع ذلك الإعتقاد في هذا الغير الإستحقاق للعبادة</w:t>
      </w:r>
      <w:r w:rsidR="000636C2">
        <w:rPr>
          <w:rFonts w:hint="cs"/>
          <w:rtl/>
        </w:rPr>
        <w:t xml:space="preserve">، </w:t>
      </w:r>
      <w:r w:rsidRPr="005675B2">
        <w:rPr>
          <w:rFonts w:hint="cs"/>
          <w:rtl/>
        </w:rPr>
        <w:t>ولذلك كان من الواضح عند أولى الألباب أن توحيد الربوبية وتوحيد الإ̃لهية متلازمان لا ينفك أحدهما عن الآخر لا في الإعتقاد ولا في الوجود، وكان تقسيم التوحيد إلى توحيد الربوبية وتوحيد الألوهية بناء على انفصال أحدهما عن الآخر وعدم التلازم بينهما من الخطأ الواضح، فإنه من اعترف أنه لا رب إلا الله كان معترفا بأنه لا يستحق العبادة غيره، ومن أقر بأنه لا يستحق العبادة غيره كان مذعنا بأنه لا رب سواه</w:t>
      </w:r>
      <w:r w:rsidR="000636C2">
        <w:rPr>
          <w:rFonts w:hint="cs"/>
          <w:rtl/>
        </w:rPr>
        <w:t>،</w:t>
      </w:r>
      <w:r w:rsidRPr="005675B2">
        <w:rPr>
          <w:rFonts w:hint="cs"/>
          <w:rtl/>
        </w:rPr>
        <w:t xml:space="preserve"> وهذا معنى لا إله إلا الله في قلوب جميع المسلمين</w:t>
      </w:r>
      <w:r w:rsidR="000636C2">
        <w:rPr>
          <w:rFonts w:hint="cs"/>
          <w:rtl/>
        </w:rPr>
        <w:t xml:space="preserve">، </w:t>
      </w:r>
      <w:r w:rsidRPr="005675B2">
        <w:rPr>
          <w:rFonts w:hint="cs"/>
          <w:rtl/>
        </w:rPr>
        <w:t>ولذلك نرى القرآن في كثير من المواضع يكتفي بأحدهما عن الآخر، ويرتب اللوازم المترتبة على انتفاء أحدهما على انتفاء الآخر ليستدل بذلك على ثبوته، فانظر إلى قوله تعالى</w:t>
      </w:r>
      <w:r w:rsidR="000636C2">
        <w:rPr>
          <w:rFonts w:hint="cs"/>
          <w:rtl/>
        </w:rPr>
        <w:t>:</w:t>
      </w:r>
      <w:r w:rsidRPr="005675B2">
        <w:rPr>
          <w:rFonts w:hint="cs"/>
          <w:rtl/>
        </w:rPr>
        <w:t xml:space="preserve"> </w:t>
      </w:r>
      <w:r w:rsidR="000636C2">
        <w:rPr>
          <w:rFonts w:hint="cs"/>
          <w:rtl/>
        </w:rPr>
        <w:t>(</w:t>
      </w:r>
      <w:r w:rsidRPr="005675B2">
        <w:rPr>
          <w:rFonts w:hint="cs"/>
          <w:rtl/>
        </w:rPr>
        <w:t>لو كان فيهما آلهة إلا الله لفسدتا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الأنبياء22]</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وما كان معه من إ̃له إذا لذهب كل إ̃له بما خلق ولعلا بعضهم على بعض</w:t>
      </w:r>
      <w:r w:rsidR="000636C2">
        <w:rPr>
          <w:rFonts w:hint="cs"/>
          <w:rtl/>
        </w:rPr>
        <w:t>)</w:t>
      </w:r>
      <w:r w:rsidRPr="005675B2">
        <w:rPr>
          <w:rFonts w:hint="cs"/>
          <w:rtl/>
        </w:rPr>
        <w:t xml:space="preserve"> [</w:t>
      </w:r>
      <w:r w:rsidRPr="005675B2">
        <w:rPr>
          <w:rFonts w:hint="cs"/>
          <w:sz w:val="24"/>
          <w:szCs w:val="24"/>
          <w:rtl/>
        </w:rPr>
        <w:t>المؤمنون91]</w:t>
      </w:r>
      <w:r w:rsidRPr="005675B2">
        <w:rPr>
          <w:rFonts w:hint="cs"/>
          <w:rtl/>
        </w:rPr>
        <w:t xml:space="preserve"> حيث رتب على تعدد الإ̃له ما يترتب على تعدد الرب من فساد السموات والأرض ليثبت بذلك عدم تعدد الرب ووحدانيَتَهُ</w:t>
      </w:r>
      <w:r w:rsidR="000636C2">
        <w:rPr>
          <w:rFonts w:hint="cs"/>
          <w:rtl/>
        </w:rPr>
        <w:t xml:space="preserve">، </w:t>
      </w:r>
      <w:r w:rsidRPr="005675B2">
        <w:rPr>
          <w:rFonts w:hint="cs"/>
          <w:rtl/>
        </w:rPr>
        <w:t>هذا وقد اشتمل تقسيم التوحيد إلى توحيد الربوبية وتوحيد الإ̃لهية على أخطاء</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تخصيص الربوبية بالخالقية مع أنها تشمل كل خصائص الإ̃لهية وهي الصفات التى من أجلها استحق الرب أن يكون معبودا من خلق العالم وتدبيره وتصريفه وحق التشريع والغنى المطلق عن غيره</w:t>
      </w:r>
      <w:r w:rsidR="000636C2">
        <w:rPr>
          <w:rFonts w:hint="cs"/>
          <w:rtl/>
        </w:rPr>
        <w:t>، (</w:t>
      </w:r>
      <w:r w:rsidRPr="005675B2">
        <w:rPr>
          <w:rFonts w:hint="cs"/>
          <w:rtl/>
        </w:rPr>
        <w:t>الثاني</w:t>
      </w:r>
      <w:r w:rsidR="000636C2">
        <w:rPr>
          <w:rFonts w:hint="cs"/>
          <w:rtl/>
        </w:rPr>
        <w:t>):</w:t>
      </w:r>
      <w:r w:rsidRPr="005675B2">
        <w:rPr>
          <w:rFonts w:hint="cs"/>
          <w:rtl/>
        </w:rPr>
        <w:t xml:space="preserve"> التعبير عن الكون إ̃لها بالألوهية فإن الألوهية هي العبادة والتعبير الصحيح عن الكون إ̃لها هو الإ̃لهية، وليس الألوهية</w:t>
      </w:r>
      <w:r w:rsidR="000636C2">
        <w:rPr>
          <w:rFonts w:hint="cs"/>
          <w:rtl/>
        </w:rPr>
        <w:t>، (</w:t>
      </w:r>
      <w:r w:rsidRPr="005675B2">
        <w:rPr>
          <w:rFonts w:hint="cs"/>
          <w:rtl/>
        </w:rPr>
        <w:t>الثالث</w:t>
      </w:r>
      <w:r w:rsidR="000636C2">
        <w:rPr>
          <w:rFonts w:hint="cs"/>
          <w:rtl/>
        </w:rPr>
        <w:t>):</w:t>
      </w:r>
      <w:r w:rsidRPr="005675B2">
        <w:rPr>
          <w:rFonts w:hint="cs"/>
          <w:rtl/>
        </w:rPr>
        <w:t xml:space="preserve"> ادعاء أن توحيد الربوبية منفصل عن توحيد الإ̃لهية وغير ملازم له، يتحقق توحيد الربوبية مع الشرك في الإ̃لهية، وقد حققنا أنه ملازم له</w:t>
      </w:r>
      <w:r w:rsidR="000636C2">
        <w:rPr>
          <w:rFonts w:hint="cs"/>
          <w:rtl/>
        </w:rPr>
        <w:t>، (</w:t>
      </w:r>
      <w:r w:rsidRPr="005675B2">
        <w:rPr>
          <w:rFonts w:hint="cs"/>
          <w:rtl/>
        </w:rPr>
        <w:t>الرابع</w:t>
      </w:r>
      <w:r w:rsidR="000636C2">
        <w:rPr>
          <w:rFonts w:hint="cs"/>
          <w:rtl/>
        </w:rPr>
        <w:t>):</w:t>
      </w:r>
      <w:r w:rsidRPr="005675B2">
        <w:rPr>
          <w:rFonts w:hint="cs"/>
          <w:rtl/>
        </w:rPr>
        <w:t xml:space="preserve"> ما بنى صاحب هذا التقسيم عليه من أن المشركين من العرب كانوا في جاهليتهم يوحدون الله تعالى توحيد الربوبية، ولكنهم لم يكونوا يوحدونه توحيد الإ̃لهية</w:t>
      </w:r>
      <w:r w:rsidR="000636C2">
        <w:rPr>
          <w:rFonts w:hint="cs"/>
          <w:rtl/>
        </w:rPr>
        <w:t xml:space="preserve">، </w:t>
      </w:r>
      <w:r w:rsidRPr="005675B2">
        <w:rPr>
          <w:rFonts w:hint="cs"/>
          <w:rtl/>
        </w:rPr>
        <w:t>والخطأ الخامس</w:t>
      </w:r>
      <w:r w:rsidR="000636C2">
        <w:rPr>
          <w:rFonts w:hint="cs"/>
          <w:rtl/>
        </w:rPr>
        <w:t>:</w:t>
      </w:r>
      <w:r w:rsidRPr="005675B2">
        <w:rPr>
          <w:rFonts w:hint="cs"/>
          <w:rtl/>
        </w:rPr>
        <w:t xml:space="preserve"> وهو الأدهى والأمر، وهو الذي كان يهدف إليه صاحب التقسيم، هو حكمه على كثير من المسلمين بمثل ما حكم به على المشركين من العرب في جاهليتهم الجهلاء</w:t>
      </w:r>
      <w:r w:rsidR="000636C2">
        <w:rPr>
          <w:rFonts w:hint="cs"/>
          <w:rtl/>
        </w:rPr>
        <w:t>،</w:t>
      </w:r>
      <w:r w:rsidRPr="005675B2">
        <w:rPr>
          <w:rFonts w:hint="cs"/>
          <w:rtl/>
        </w:rPr>
        <w:t xml:space="preserve"> وبنائه هذا على التقسيم المذكور</w:t>
      </w:r>
      <w:r w:rsidR="000636C2">
        <w:rPr>
          <w:rFonts w:hint="cs"/>
          <w:rtl/>
        </w:rPr>
        <w:t xml:space="preserve">، </w:t>
      </w:r>
      <w:r w:rsidRPr="005675B2">
        <w:rPr>
          <w:rFonts w:hint="cs"/>
          <w:rtl/>
        </w:rPr>
        <w:t>فظهر بهذا حطأ هذا التقسيم وخطأ ما بناه عليه صاحبه</w:t>
      </w:r>
      <w:r w:rsidR="000636C2">
        <w:rPr>
          <w:rFonts w:hint="cs"/>
          <w:rtl/>
        </w:rPr>
        <w:t>،</w:t>
      </w:r>
      <w:r w:rsidRPr="005675B2">
        <w:rPr>
          <w:rFonts w:hint="cs"/>
          <w:rtl/>
        </w:rPr>
        <w:t xml:space="preserve"> وأما التقسيم الصحيح للتوحيد فهو تقسيم الأشاعرة، وهو تقسيم التوحيد إلى توحيد الذات، وتوحيد الصفات، وتوحيد الأفعال</w:t>
      </w:r>
      <w:r w:rsidR="000636C2">
        <w:rPr>
          <w:rFonts w:hint="cs"/>
          <w:rtl/>
        </w:rPr>
        <w:t>،</w:t>
      </w:r>
      <w:r w:rsidRPr="005675B2">
        <w:rPr>
          <w:rFonts w:hint="cs"/>
          <w:rtl/>
        </w:rPr>
        <w:t xml:space="preserve"> والله سبحانه وتعالى أعلم</w:t>
      </w:r>
      <w:r w:rsidR="000636C2">
        <w:rPr>
          <w:rFonts w:hint="cs"/>
          <w:rtl/>
        </w:rPr>
        <w:t xml:space="preserve">، </w:t>
      </w:r>
      <w:r w:rsidRPr="005675B2">
        <w:rPr>
          <w:rFonts w:hint="cs"/>
          <w:rtl/>
        </w:rPr>
        <w:t>وأما ثالث الأقسام من التقسيم الثلاثي وهو « توحيد الأسماء والصفات » فقد قصد به صاحب التقسيم أن يثبت لله من الأسماء والصفات ما أثبته لنفسه بدون إهمال شيء مما أثبته لنفسه بأن ينفي عن الله تعالى بعض ما أثبته لنفسه، ولا أن يزاد عليها بأن يثبت لله تعالى من الأسماء والصفات ما لم يثبت إطلاقه على الله تعالى في الكتاب والسنة الصحيحة</w:t>
      </w:r>
      <w:r w:rsidR="000636C2">
        <w:rPr>
          <w:rFonts w:hint="cs"/>
          <w:rtl/>
        </w:rPr>
        <w:t>،</w:t>
      </w:r>
      <w:r w:rsidRPr="005675B2">
        <w:rPr>
          <w:rFonts w:hint="cs"/>
          <w:rtl/>
        </w:rPr>
        <w:t xml:space="preserve"> هذا هو الذي قرره صاحب التقسيم وسماه « توحيد الأسماء والصفات »</w:t>
      </w:r>
      <w:r w:rsidR="000636C2">
        <w:rPr>
          <w:rFonts w:hint="cs"/>
          <w:rtl/>
        </w:rPr>
        <w:t>،</w:t>
      </w:r>
      <w:r w:rsidRPr="005675B2">
        <w:rPr>
          <w:rFonts w:hint="cs"/>
          <w:rtl/>
        </w:rPr>
        <w:t xml:space="preserve"> أما تقرير المسألة فهو تقرير غير محرر أدى عدم تحرير التقرير بصاحبه إلى أخطاء عقدية جسيمة</w:t>
      </w:r>
      <w:r w:rsidR="000636C2">
        <w:rPr>
          <w:rFonts w:hint="cs"/>
          <w:rtl/>
        </w:rPr>
        <w:t xml:space="preserve">، </w:t>
      </w:r>
      <w:r w:rsidRPr="005675B2">
        <w:rPr>
          <w:rFonts w:hint="cs"/>
          <w:rtl/>
        </w:rPr>
        <w:t>والتحرير أن يقال</w:t>
      </w:r>
      <w:r w:rsidR="000636C2">
        <w:rPr>
          <w:rFonts w:hint="cs"/>
          <w:rtl/>
        </w:rPr>
        <w:t>:</w:t>
      </w:r>
      <w:r w:rsidRPr="005675B2">
        <w:rPr>
          <w:rFonts w:hint="cs"/>
          <w:rtl/>
        </w:rPr>
        <w:t xml:space="preserve"> يجب أن يثبت لله تعالى من الأسماء والصفات ما ورد إطلاقه على الله تعالى في الكتاب والسنة الصحيحة مما كان إطلاقه عليه تعالى على وجه الحقيقة دون المجاز والكناية، وتحرير المسألة بهذا الوجه ثم تطبيقها على نصوص الكتاب والسنة تطبيقا صحيحا هو الذي يقي الوالج في المسألة من الخطأ، ويجنبه الإلحاد في أسماء الله تعالى وصفاته، وأما عدم تحرير المسألة أو تحريرها ثم تطبيقها على النصوص تطبيقا غير صحيح فيورط صاحبه في الأخطاء العقدية الجسيمة، وفي الإلحاد في أسماء الله تعالى وصفاته</w:t>
      </w:r>
      <w:r w:rsidR="000636C2">
        <w:rPr>
          <w:rFonts w:hint="cs"/>
          <w:rtl/>
        </w:rPr>
        <w:t>،</w:t>
      </w:r>
      <w:r w:rsidRPr="005675B2">
        <w:rPr>
          <w:rFonts w:hint="cs"/>
          <w:rtl/>
        </w:rPr>
        <w:t xml:space="preserve"> وهذا ما تورط فيه صاحب التقسيم الثلاثي</w:t>
      </w:r>
      <w:r w:rsidR="000636C2">
        <w:rPr>
          <w:rFonts w:hint="cs"/>
          <w:rtl/>
        </w:rPr>
        <w:t xml:space="preserve">، </w:t>
      </w:r>
      <w:r w:rsidRPr="005675B2">
        <w:rPr>
          <w:rFonts w:hint="cs"/>
          <w:rtl/>
        </w:rPr>
        <w:t>وبعد هذه المقدمة نقول</w:t>
      </w:r>
      <w:r w:rsidR="000636C2">
        <w:rPr>
          <w:rFonts w:hint="cs"/>
          <w:rtl/>
        </w:rPr>
        <w:t>:</w:t>
      </w:r>
      <w:r w:rsidRPr="005675B2">
        <w:rPr>
          <w:rFonts w:hint="cs"/>
          <w:rtl/>
        </w:rPr>
        <w:t xml:space="preserve"> قد تورط صاحب التقسيم الثلاثي بالنسبة إلى القسم الثالث في أخطاء</w:t>
      </w:r>
      <w:r w:rsidR="000636C2">
        <w:rPr>
          <w:rFonts w:hint="cs"/>
          <w:rtl/>
        </w:rPr>
        <w:t>، (</w:t>
      </w:r>
      <w:r w:rsidRPr="005675B2">
        <w:rPr>
          <w:rFonts w:hint="cs"/>
          <w:rtl/>
        </w:rPr>
        <w:t>الخطأ الأول</w:t>
      </w:r>
      <w:r w:rsidR="000636C2">
        <w:rPr>
          <w:rFonts w:hint="cs"/>
          <w:rtl/>
        </w:rPr>
        <w:t>):</w:t>
      </w:r>
      <w:r w:rsidRPr="005675B2">
        <w:rPr>
          <w:rFonts w:hint="cs"/>
          <w:rtl/>
        </w:rPr>
        <w:t xml:space="preserve"> في العنوان حيث عنون المسألة بتوحيد الأسماء والصفات، وإنما المسألة مسألة إثبات الأسماء والصفات</w:t>
      </w:r>
      <w:r w:rsidR="000636C2">
        <w:rPr>
          <w:rFonts w:hint="cs"/>
          <w:rtl/>
        </w:rPr>
        <w:t>،</w:t>
      </w:r>
      <w:r w:rsidRPr="005675B2">
        <w:rPr>
          <w:rFonts w:hint="cs"/>
          <w:rtl/>
        </w:rPr>
        <w:t xml:space="preserve"> وقد عبر بهذا التعبير في كتابه منهاج السنة</w:t>
      </w:r>
      <w:r w:rsidR="000636C2">
        <w:rPr>
          <w:rFonts w:hint="cs"/>
          <w:rtl/>
        </w:rPr>
        <w:t>، (</w:t>
      </w:r>
      <w:r w:rsidRPr="005675B2">
        <w:rPr>
          <w:rFonts w:hint="cs"/>
          <w:rtl/>
        </w:rPr>
        <w:t>الثاني</w:t>
      </w:r>
      <w:r w:rsidR="000636C2">
        <w:rPr>
          <w:rFonts w:hint="cs"/>
          <w:rtl/>
        </w:rPr>
        <w:t>):</w:t>
      </w:r>
      <w:r w:rsidRPr="005675B2">
        <w:rPr>
          <w:rFonts w:hint="cs"/>
          <w:rtl/>
        </w:rPr>
        <w:t xml:space="preserve"> عدم تحرير تقرير المسألة</w:t>
      </w:r>
      <w:r w:rsidR="000636C2">
        <w:rPr>
          <w:rFonts w:hint="cs"/>
          <w:rtl/>
        </w:rPr>
        <w:t>، (</w:t>
      </w:r>
      <w:r w:rsidRPr="005675B2">
        <w:rPr>
          <w:rFonts w:hint="cs"/>
          <w:rtl/>
        </w:rPr>
        <w:t>الثالث</w:t>
      </w:r>
      <w:r w:rsidR="000636C2">
        <w:rPr>
          <w:rFonts w:hint="cs"/>
          <w:rtl/>
        </w:rPr>
        <w:t>):</w:t>
      </w:r>
      <w:r w:rsidRPr="005675B2">
        <w:rPr>
          <w:rFonts w:hint="cs"/>
          <w:rtl/>
        </w:rPr>
        <w:t xml:space="preserve"> أن صاحب التقسيم لم يثبت لله تعالى كثيرا مما ورد في الكتاب والسنة إطلاقه على الله تعالى مما هو داخل تحت القاعدة غير المحررة</w:t>
      </w:r>
      <w:r w:rsidR="000636C2">
        <w:rPr>
          <w:rFonts w:hint="cs"/>
          <w:rtl/>
        </w:rPr>
        <w:t>،</w:t>
      </w:r>
      <w:r w:rsidRPr="005675B2">
        <w:rPr>
          <w:rFonts w:hint="cs"/>
          <w:rtl/>
        </w:rPr>
        <w:t xml:space="preserve"> وذلك مثل النسيان الوارد في قوله تعالى</w:t>
      </w:r>
      <w:r w:rsidR="000636C2">
        <w:rPr>
          <w:rFonts w:hint="cs"/>
          <w:rtl/>
        </w:rPr>
        <w:t>:</w:t>
      </w:r>
      <w:r w:rsidRPr="005675B2">
        <w:rPr>
          <w:rFonts w:hint="cs"/>
          <w:rtl/>
        </w:rPr>
        <w:t xml:space="preserve">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وكذلك ورد في الأحاديث الصحيحة إثبات الهرولة والضحك والمرض والجوع لله تعالى، ولم يثبتها صاحب التقسيم لله تعالى، وذلك من أجل اعتقاده أن هذه الإطلاقات إنما وردت على سبيل المجاز لا على سبيل الحقيقة بسبب اعتقاده استحالة ثبوت هذه الأمور لله تعالى على سبيل الحقيقة، وهو اعتقاد صحيح</w:t>
      </w:r>
      <w:r w:rsidR="000636C2">
        <w:rPr>
          <w:rFonts w:hint="cs"/>
          <w:rtl/>
        </w:rPr>
        <w:t>، (</w:t>
      </w:r>
      <w:r w:rsidRPr="005675B2">
        <w:rPr>
          <w:rFonts w:hint="cs"/>
          <w:rtl/>
        </w:rPr>
        <w:t>الرابع</w:t>
      </w:r>
      <w:r w:rsidR="000636C2">
        <w:rPr>
          <w:rFonts w:hint="cs"/>
          <w:rtl/>
        </w:rPr>
        <w:t>):</w:t>
      </w:r>
      <w:r w:rsidRPr="005675B2">
        <w:rPr>
          <w:rFonts w:hint="cs"/>
          <w:rtl/>
        </w:rPr>
        <w:t xml:space="preserve"> إن صاحب التقسيم قد أثبت لله تعالى أمورا لم يرد بها الكتاب ولا السنة حيث أثبت لله تعالى ما يلى</w:t>
      </w:r>
      <w:r w:rsidR="000636C2">
        <w:rPr>
          <w:rFonts w:hint="cs"/>
          <w:rtl/>
        </w:rPr>
        <w:t>:</w:t>
      </w:r>
      <w:r w:rsidRPr="005675B2">
        <w:rPr>
          <w:rFonts w:hint="cs"/>
          <w:rtl/>
        </w:rPr>
        <w:t xml:space="preserve"> الحد</w:t>
      </w:r>
      <w:r w:rsidR="000636C2">
        <w:rPr>
          <w:rFonts w:hint="cs"/>
          <w:rtl/>
        </w:rPr>
        <w:t>،</w:t>
      </w:r>
      <w:r w:rsidRPr="005675B2">
        <w:rPr>
          <w:rFonts w:hint="cs"/>
          <w:rtl/>
        </w:rPr>
        <w:t xml:space="preserve"> انظر </w:t>
      </w:r>
      <w:r w:rsidR="000636C2">
        <w:rPr>
          <w:rFonts w:hint="cs"/>
          <w:rtl/>
        </w:rPr>
        <w:t>(</w:t>
      </w:r>
      <w:r w:rsidRPr="005675B2">
        <w:rPr>
          <w:rFonts w:hint="cs"/>
          <w:rtl/>
        </w:rPr>
        <w:t>موافقة صريح المعقول لصحيح المنقول</w:t>
      </w:r>
      <w:r w:rsidR="000636C2">
        <w:rPr>
          <w:rFonts w:hint="cs"/>
          <w:rtl/>
        </w:rPr>
        <w:t>)</w:t>
      </w:r>
      <w:r w:rsidRPr="005675B2">
        <w:rPr>
          <w:rStyle w:val="a5"/>
          <w:rFonts w:hint="cs"/>
          <w:b/>
          <w:spacing w:val="-6"/>
          <w:rtl/>
        </w:rPr>
        <w:t xml:space="preserve"> </w:t>
      </w:r>
      <w:r w:rsidRPr="005675B2">
        <w:rPr>
          <w:rFonts w:hint="cs"/>
          <w:rtl/>
        </w:rPr>
        <w:t>[</w:t>
      </w:r>
      <w:r w:rsidRPr="005675B2">
        <w:rPr>
          <w:rFonts w:hint="cs"/>
          <w:sz w:val="24"/>
          <w:szCs w:val="24"/>
          <w:rtl/>
        </w:rPr>
        <w:t>2/ 29]</w:t>
      </w:r>
      <w:r w:rsidR="000636C2">
        <w:rPr>
          <w:rFonts w:hint="cs"/>
          <w:rtl/>
        </w:rPr>
        <w:t xml:space="preserve">، </w:t>
      </w:r>
      <w:r w:rsidRPr="005675B2">
        <w:rPr>
          <w:rFonts w:hint="cs"/>
          <w:rtl/>
        </w:rPr>
        <w:t>الجلوس على العرش قال في مجموع الفتاوى</w:t>
      </w:r>
      <w:r w:rsidR="000636C2">
        <w:rPr>
          <w:rFonts w:hint="cs"/>
          <w:rtl/>
        </w:rPr>
        <w:t>:</w:t>
      </w:r>
      <w:r w:rsidRPr="005675B2">
        <w:rPr>
          <w:rFonts w:hint="cs"/>
          <w:rtl/>
        </w:rPr>
        <w:t xml:space="preserve"> حدث العلماء المرضيون والأولياء المتقون أن محمدا رسول الله صلى الله تعالى عليه وآله وسلم يجلسه ربه على العرش معه .. [</w:t>
      </w:r>
      <w:r w:rsidRPr="005675B2">
        <w:rPr>
          <w:rFonts w:hint="cs"/>
          <w:sz w:val="24"/>
          <w:szCs w:val="24"/>
          <w:rtl/>
        </w:rPr>
        <w:t>4/374]</w:t>
      </w:r>
      <w:r w:rsidRPr="005675B2">
        <w:rPr>
          <w:rFonts w:hint="cs"/>
          <w:rtl/>
        </w:rPr>
        <w:t xml:space="preserve"> وقد أشار إليه ابن القيم في بدائع الفوائد</w:t>
      </w:r>
      <w:r w:rsidR="000636C2">
        <w:rPr>
          <w:rFonts w:hint="cs"/>
          <w:rtl/>
        </w:rPr>
        <w:t>،</w:t>
      </w:r>
      <w:r w:rsidRPr="005675B2">
        <w:rPr>
          <w:rFonts w:hint="cs"/>
          <w:rtl/>
        </w:rPr>
        <w:t xml:space="preserve"> [</w:t>
      </w:r>
      <w:r w:rsidRPr="005675B2">
        <w:rPr>
          <w:rFonts w:hint="cs"/>
          <w:sz w:val="24"/>
          <w:szCs w:val="24"/>
          <w:rtl/>
        </w:rPr>
        <w:t>4/39]</w:t>
      </w:r>
      <w:r w:rsidR="000636C2">
        <w:rPr>
          <w:rFonts w:hint="cs"/>
          <w:rtl/>
        </w:rPr>
        <w:t>،</w:t>
      </w:r>
      <w:r w:rsidRPr="005675B2">
        <w:rPr>
          <w:rFonts w:hint="cs"/>
          <w:rtl/>
        </w:rPr>
        <w:t xml:space="preserve"> يقول بجواز اطلاق أن الله تعالى جسم قال في التأسيس في رد "أساس التقديس" </w:t>
      </w:r>
      <w:r w:rsidR="000636C2">
        <w:rPr>
          <w:rFonts w:hint="cs"/>
          <w:rtl/>
        </w:rPr>
        <w:t>(</w:t>
      </w:r>
      <w:r w:rsidRPr="005675B2">
        <w:rPr>
          <w:rFonts w:hint="cs"/>
          <w:rtl/>
        </w:rPr>
        <w:t>وليس في كتاب الله ولا سنة رسوله ولا قول أحد من سلف الأمة وأئمتها أنه ليس بجسم وأن صفاته ليست أجساما ولا أعراضا</w:t>
      </w:r>
      <w:r w:rsidR="000636C2">
        <w:rPr>
          <w:rFonts w:hint="cs"/>
          <w:rtl/>
        </w:rPr>
        <w:t>)</w:t>
      </w:r>
      <w:r w:rsidRPr="005675B2">
        <w:rPr>
          <w:rFonts w:hint="cs"/>
          <w:rtl/>
        </w:rPr>
        <w:t xml:space="preserve"> </w:t>
      </w:r>
      <w:r w:rsidR="000636C2">
        <w:rPr>
          <w:rFonts w:hint="cs"/>
          <w:rtl/>
        </w:rPr>
        <w:t>[</w:t>
      </w:r>
      <w:r w:rsidRPr="005675B2">
        <w:rPr>
          <w:rFonts w:hint="cs"/>
          <w:sz w:val="24"/>
          <w:szCs w:val="24"/>
          <w:rtl/>
        </w:rPr>
        <w:t>1/101]</w:t>
      </w:r>
      <w:r w:rsidRPr="005675B2">
        <w:rPr>
          <w:rFonts w:hint="cs"/>
          <w:rtl/>
        </w:rPr>
        <w:t xml:space="preserve"> وسيأتى عن الإمام أحمد نفي الجسمية عن الله تعالى</w:t>
      </w:r>
      <w:r w:rsidR="000636C2">
        <w:rPr>
          <w:rFonts w:hint="cs"/>
          <w:rtl/>
        </w:rPr>
        <w:t xml:space="preserve">، </w:t>
      </w:r>
      <w:r w:rsidRPr="005675B2">
        <w:rPr>
          <w:rFonts w:hint="cs"/>
          <w:rtl/>
        </w:rPr>
        <w:t>ويقول في كتابه التأسيس</w:t>
      </w:r>
      <w:r w:rsidR="000636C2">
        <w:rPr>
          <w:rFonts w:hint="cs"/>
          <w:rtl/>
        </w:rPr>
        <w:t>:</w:t>
      </w:r>
      <w:r w:rsidRPr="005675B2">
        <w:rPr>
          <w:rFonts w:hint="cs"/>
          <w:rtl/>
        </w:rPr>
        <w:t xml:space="preserve"> ولو شاء -الله</w:t>
      </w:r>
      <w:r w:rsidR="000636C2">
        <w:rPr>
          <w:rFonts w:hint="cs"/>
          <w:rtl/>
        </w:rPr>
        <w:t xml:space="preserve"> </w:t>
      </w:r>
      <w:r w:rsidRPr="005675B2">
        <w:rPr>
          <w:rFonts w:hint="cs"/>
          <w:rtl/>
        </w:rPr>
        <w:t>- لاستقر على ظهر بعوضة فاستقلت به بقدرته ولطف ربوبيته فكيف على عرش عظيم</w:t>
      </w:r>
      <w:r w:rsidR="000636C2">
        <w:rPr>
          <w:rFonts w:hint="cs"/>
          <w:rtl/>
        </w:rPr>
        <w:t>،</w:t>
      </w:r>
      <w:r w:rsidRPr="005675B2">
        <w:rPr>
          <w:rFonts w:hint="cs"/>
          <w:rtl/>
        </w:rPr>
        <w:t xml:space="preserve"> والإستقرار من لوازم الجسمية</w:t>
      </w:r>
      <w:r w:rsidR="000636C2">
        <w:rPr>
          <w:rFonts w:hint="cs"/>
          <w:rtl/>
        </w:rPr>
        <w:t xml:space="preserve">، </w:t>
      </w:r>
      <w:r w:rsidRPr="005675B2">
        <w:rPr>
          <w:rFonts w:hint="cs"/>
          <w:rtl/>
        </w:rPr>
        <w:t>ويقول في كتابه "بيان تلبيس الجهمية"</w:t>
      </w:r>
      <w:r w:rsidR="000636C2">
        <w:rPr>
          <w:rFonts w:hint="cs"/>
          <w:rtl/>
        </w:rPr>
        <w:t>:</w:t>
      </w:r>
      <w:r w:rsidRPr="005675B2">
        <w:rPr>
          <w:rFonts w:hint="cs"/>
          <w:rtl/>
        </w:rPr>
        <w:t xml:space="preserve"> [</w:t>
      </w:r>
      <w:r w:rsidRPr="005675B2">
        <w:rPr>
          <w:rFonts w:hint="cs"/>
          <w:sz w:val="24"/>
          <w:szCs w:val="24"/>
          <w:rtl/>
        </w:rPr>
        <w:t>1/109</w:t>
      </w:r>
      <w:r w:rsidRPr="005675B2">
        <w:rPr>
          <w:rFonts w:hint="cs"/>
          <w:rtl/>
        </w:rPr>
        <w:t>] ما نصه</w:t>
      </w:r>
      <w:r w:rsidR="000636C2">
        <w:rPr>
          <w:rFonts w:hint="cs"/>
          <w:rtl/>
        </w:rPr>
        <w:t>:</w:t>
      </w:r>
      <w:r w:rsidRPr="005675B2">
        <w:rPr>
          <w:rFonts w:hint="cs"/>
          <w:rtl/>
        </w:rPr>
        <w:t xml:space="preserve"> </w:t>
      </w:r>
      <w:r w:rsidR="000636C2">
        <w:rPr>
          <w:rFonts w:hint="cs"/>
          <w:rtl/>
        </w:rPr>
        <w:t>(</w:t>
      </w:r>
      <w:r w:rsidRPr="005675B2">
        <w:rPr>
          <w:rFonts w:hint="cs"/>
          <w:rtl/>
        </w:rPr>
        <w:t>فاسم المشبهة ليس له ذكر بذم في الكتاب والسنة، ولا في كلام أحد من الصحابة والتابعين</w:t>
      </w:r>
      <w:r w:rsidR="000636C2">
        <w:rPr>
          <w:rFonts w:hint="cs"/>
          <w:rtl/>
        </w:rPr>
        <w:t>)</w:t>
      </w:r>
      <w:r w:rsidRPr="005675B2">
        <w:rPr>
          <w:rFonts w:hint="cs"/>
          <w:rtl/>
        </w:rPr>
        <w:t xml:space="preserve"> ومعنى هذا أن التشبيه ليس به بأس</w:t>
      </w:r>
      <w:r w:rsidR="000636C2">
        <w:rPr>
          <w:rFonts w:hint="cs"/>
          <w:rtl/>
        </w:rPr>
        <w:t>،</w:t>
      </w:r>
      <w:r w:rsidRPr="005675B2">
        <w:rPr>
          <w:rFonts w:hint="cs"/>
          <w:rtl/>
        </w:rPr>
        <w:t xml:space="preserve"> [</w:t>
      </w:r>
      <w:r w:rsidRPr="005675B2">
        <w:rPr>
          <w:rFonts w:hint="cs"/>
          <w:sz w:val="24"/>
          <w:szCs w:val="24"/>
          <w:rtl/>
        </w:rPr>
        <w:t>1/568]</w:t>
      </w:r>
      <w:r w:rsidRPr="005675B2">
        <w:rPr>
          <w:rFonts w:hint="cs"/>
          <w:rtl/>
        </w:rPr>
        <w:t xml:space="preserve"> هذا ما يراه ابن تيمية مخالفا لقوله تعالى</w:t>
      </w:r>
      <w:r w:rsidR="000636C2">
        <w:rPr>
          <w:rFonts w:hint="cs"/>
          <w:rtl/>
        </w:rPr>
        <w:t>:</w:t>
      </w:r>
      <w:r w:rsidRPr="005675B2">
        <w:rPr>
          <w:rFonts w:hint="cs"/>
          <w:rtl/>
        </w:rPr>
        <w:t xml:space="preserve"> </w:t>
      </w:r>
      <w:r w:rsidR="000636C2">
        <w:rPr>
          <w:rFonts w:hint="cs"/>
          <w:rtl/>
        </w:rPr>
        <w:t>(</w:t>
      </w:r>
      <w:r w:rsidRPr="005675B2">
        <w:rPr>
          <w:rFonts w:hint="cs"/>
          <w:rtl/>
        </w:rPr>
        <w:t>ليس كمثله شيء</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ولم يكن له كفوا أحد</w:t>
      </w:r>
      <w:r w:rsidR="000636C2">
        <w:rPr>
          <w:rFonts w:hint="cs"/>
          <w:rtl/>
        </w:rPr>
        <w:t>)</w:t>
      </w:r>
      <w:r w:rsidRPr="005675B2">
        <w:rPr>
          <w:rFonts w:hint="cs"/>
          <w:rtl/>
        </w:rPr>
        <w:t xml:space="preserve"> ومخالفا الأمة وسيأتى قريبا نقل جملة من أقوالهم في ذلك</w:t>
      </w:r>
      <w:r w:rsidR="000636C2">
        <w:rPr>
          <w:rFonts w:hint="cs"/>
          <w:rtl/>
        </w:rPr>
        <w:t xml:space="preserve">، </w:t>
      </w:r>
      <w:r w:rsidRPr="005675B2">
        <w:rPr>
          <w:rFonts w:hint="cs"/>
          <w:rtl/>
        </w:rPr>
        <w:t>والخامس</w:t>
      </w:r>
      <w:r w:rsidR="000636C2">
        <w:rPr>
          <w:rFonts w:hint="cs"/>
          <w:rtl/>
        </w:rPr>
        <w:t>:</w:t>
      </w:r>
      <w:r w:rsidRPr="005675B2">
        <w:rPr>
          <w:rFonts w:hint="cs"/>
          <w:rtl/>
        </w:rPr>
        <w:t xml:space="preserve"> وهو بيت القصيد من ذكر توحيد الأسماء والصفات، أن صاحب التقسيم قد أثبت لله تعالى أمورا ورد في الكتاب والسنة إطلاقها على الله تعالى على سبيل المجاز أو الكناية، فأثبتها لله تعالى على سبيل الحقيقة، فأدى به ذلك إلى التشبيه الذي لا يرى به بأسا، ويكون بذلك مخالفا لكتاب الله ولسنة رسول الله ولسلف الأمة</w:t>
      </w:r>
      <w:r w:rsidR="000636C2">
        <w:rPr>
          <w:rFonts w:hint="cs"/>
          <w:rtl/>
        </w:rPr>
        <w:t>،</w:t>
      </w:r>
      <w:r w:rsidRPr="005675B2">
        <w:rPr>
          <w:rFonts w:hint="cs"/>
          <w:rtl/>
        </w:rPr>
        <w:t xml:space="preserve"> وننقل هنا مجموعة من أقوال علماء الأمة وأئمتها من السلف والخلف في نفي التشبيه عن الله تعالى</w:t>
      </w:r>
      <w:r w:rsidR="000636C2">
        <w:rPr>
          <w:rFonts w:hint="cs"/>
          <w:rtl/>
        </w:rPr>
        <w:t>،</w:t>
      </w:r>
      <w:r w:rsidRPr="005675B2">
        <w:rPr>
          <w:rFonts w:hint="cs"/>
          <w:rtl/>
        </w:rPr>
        <w:t xml:space="preserve"> فنقول</w:t>
      </w:r>
      <w:r w:rsidR="000636C2">
        <w:rPr>
          <w:rFonts w:hint="cs"/>
          <w:rtl/>
        </w:rPr>
        <w:t>:</w:t>
      </w:r>
      <w:r w:rsidRPr="005675B2">
        <w:rPr>
          <w:rFonts w:hint="cs"/>
          <w:rtl/>
        </w:rPr>
        <w:t xml:space="preserve"> نقل الذهبي في عن الإمام أبو حنيفة رضي الله تعالى عنه أنه قال</w:t>
      </w:r>
      <w:r w:rsidR="000636C2">
        <w:rPr>
          <w:rFonts w:hint="cs"/>
          <w:rtl/>
        </w:rPr>
        <w:t>:</w:t>
      </w:r>
      <w:r w:rsidRPr="005675B2">
        <w:rPr>
          <w:rFonts w:hint="cs"/>
          <w:rtl/>
        </w:rPr>
        <w:t xml:space="preserve"> </w:t>
      </w:r>
      <w:r w:rsidR="000636C2">
        <w:rPr>
          <w:rFonts w:hint="cs"/>
          <w:rtl/>
        </w:rPr>
        <w:t>(</w:t>
      </w:r>
      <w:r w:rsidRPr="005675B2">
        <w:rPr>
          <w:rFonts w:hint="cs"/>
          <w:rtl/>
        </w:rPr>
        <w:t>أتانا من المشرق رأيان خبيثان</w:t>
      </w:r>
      <w:r w:rsidR="000636C2">
        <w:rPr>
          <w:rFonts w:hint="cs"/>
          <w:rtl/>
        </w:rPr>
        <w:t>:</w:t>
      </w:r>
      <w:r w:rsidRPr="005675B2">
        <w:rPr>
          <w:rFonts w:hint="cs"/>
          <w:rtl/>
        </w:rPr>
        <w:t xml:space="preserve"> جهم معطل ومقاتل مشبه</w:t>
      </w:r>
      <w:r w:rsidR="000636C2">
        <w:rPr>
          <w:rFonts w:hint="cs"/>
          <w:rtl/>
        </w:rPr>
        <w:t>)</w:t>
      </w:r>
      <w:r w:rsidRPr="005675B2">
        <w:rPr>
          <w:rFonts w:hint="cs"/>
          <w:rtl/>
        </w:rPr>
        <w:t xml:space="preserve"> </w:t>
      </w:r>
      <w:r w:rsidR="000636C2">
        <w:rPr>
          <w:rFonts w:hint="cs"/>
          <w:rtl/>
        </w:rPr>
        <w:t>[</w:t>
      </w:r>
      <w:r w:rsidRPr="005675B2">
        <w:rPr>
          <w:rFonts w:hint="cs"/>
          <w:sz w:val="24"/>
          <w:szCs w:val="24"/>
          <w:rtl/>
        </w:rPr>
        <w:t>سير أعلام النبلا 7/202</w:t>
      </w:r>
      <w:r w:rsidRPr="005675B2">
        <w:rPr>
          <w:rFonts w:hint="cs"/>
          <w:rtl/>
        </w:rPr>
        <w:t>] وذكر ابن جرير الطبري في تفسير سورة الإخلاص عن أبي العالية وغيره من السلف</w:t>
      </w:r>
      <w:r w:rsidR="000636C2">
        <w:rPr>
          <w:rFonts w:hint="cs"/>
          <w:rtl/>
        </w:rPr>
        <w:t>:</w:t>
      </w:r>
      <w:r w:rsidRPr="005675B2">
        <w:rPr>
          <w:rFonts w:hint="cs"/>
          <w:rtl/>
        </w:rPr>
        <w:t xml:space="preserve"> </w:t>
      </w:r>
      <w:r w:rsidR="000636C2">
        <w:rPr>
          <w:rFonts w:hint="cs"/>
          <w:rtl/>
        </w:rPr>
        <w:t>(</w:t>
      </w:r>
      <w:r w:rsidRPr="005675B2">
        <w:rPr>
          <w:rFonts w:hint="cs"/>
          <w:rtl/>
        </w:rPr>
        <w:t>أن الله تعالى ليس له شبيه ولا مثيل</w:t>
      </w:r>
      <w:r w:rsidR="000636C2">
        <w:rPr>
          <w:rFonts w:hint="cs"/>
          <w:rtl/>
        </w:rPr>
        <w:t>)،</w:t>
      </w:r>
      <w:r w:rsidRPr="005675B2">
        <w:rPr>
          <w:rFonts w:hint="cs"/>
          <w:rtl/>
        </w:rPr>
        <w:t xml:space="preserve"> ونقل الإمام البيهقي في كتابه مناقب الإمام أحمد عن الإمام أحمد ما نصه</w:t>
      </w:r>
      <w:r w:rsidR="000636C2">
        <w:rPr>
          <w:rFonts w:hint="cs"/>
          <w:rtl/>
        </w:rPr>
        <w:t>: (</w:t>
      </w:r>
      <w:r w:rsidRPr="005675B2">
        <w:rPr>
          <w:rFonts w:hint="cs"/>
          <w:rtl/>
        </w:rPr>
        <w:t>أنكر أحمد على من قال بالجسم، وقال</w:t>
      </w:r>
      <w:r w:rsidR="000636C2">
        <w:rPr>
          <w:rFonts w:hint="cs"/>
          <w:rtl/>
        </w:rPr>
        <w:t>:</w:t>
      </w:r>
      <w:r w:rsidRPr="005675B2">
        <w:rPr>
          <w:rFonts w:hint="cs"/>
          <w:rtl/>
        </w:rPr>
        <w:t xml:space="preserve"> إن الأسماء مأخوذة من الشريعة واللغة، وأهل اللغة وضعوا هذا الاسم على ذي طول وعرض وسمك وتركيب وصورة وتأليف</w:t>
      </w:r>
      <w:r w:rsidR="000636C2">
        <w:rPr>
          <w:rFonts w:hint="cs"/>
          <w:rtl/>
        </w:rPr>
        <w:t>،</w:t>
      </w:r>
      <w:r w:rsidRPr="005675B2">
        <w:rPr>
          <w:rFonts w:hint="cs"/>
          <w:rtl/>
        </w:rPr>
        <w:t xml:space="preserve"> والله سبحانه خارج عن ذلك كله، فلم يجز أن يسمى جسما لخروجه عن معنى الجسمية، ولم يجىء في الشريعة ذلك فبطل</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وهذا الكلام بنصه وارد في ذيل طبقات الحنابلة لابن أبي يعلى منسوبا إلى الإمام أحمد</w:t>
      </w:r>
      <w:r w:rsidR="000636C2">
        <w:rPr>
          <w:rFonts w:hint="cs"/>
          <w:rtl/>
        </w:rPr>
        <w:t>،</w:t>
      </w:r>
      <w:r w:rsidRPr="005675B2">
        <w:rPr>
          <w:rFonts w:hint="cs"/>
          <w:rtl/>
        </w:rPr>
        <w:t xml:space="preserve"> [</w:t>
      </w:r>
      <w:r w:rsidRPr="005675B2">
        <w:rPr>
          <w:rFonts w:hint="cs"/>
          <w:sz w:val="24"/>
          <w:szCs w:val="24"/>
          <w:rtl/>
        </w:rPr>
        <w:t>2/298]</w:t>
      </w:r>
      <w:r w:rsidRPr="005675B2">
        <w:rPr>
          <w:rFonts w:hint="cs"/>
          <w:rtl/>
        </w:rPr>
        <w:t xml:space="preserve"> وورد في ذيل طباقات الحنابلة في ذكر عقيدة الإمام أحمد رضي الله تعالى عنه</w:t>
      </w:r>
      <w:r w:rsidR="000636C2">
        <w:rPr>
          <w:rFonts w:hint="cs"/>
          <w:rtl/>
        </w:rPr>
        <w:t>:</w:t>
      </w:r>
      <w:r w:rsidRPr="005675B2">
        <w:rPr>
          <w:rFonts w:hint="cs"/>
          <w:rtl/>
        </w:rPr>
        <w:t xml:space="preserve"> « كان الإمام أحمد</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يقول</w:t>
      </w:r>
      <w:r w:rsidR="000636C2">
        <w:rPr>
          <w:rFonts w:hint="cs"/>
          <w:rtl/>
        </w:rPr>
        <w:t>:</w:t>
      </w:r>
      <w:r w:rsidRPr="005675B2">
        <w:rPr>
          <w:rFonts w:hint="cs"/>
          <w:rtl/>
        </w:rPr>
        <w:t xml:space="preserve"> إن لله تعالى يدين وهما صفة له في ذاته، ليستا بجارحتين، وليستا بمركبتين، ولا جسم ولا من جنس الأجسام، ولا من جنس المحدود والتركيب والأبعاض والجوارح، ولا يقاس على ذلك، ولا له مرفق، ولا عضد</w:t>
      </w:r>
      <w:r w:rsidR="000636C2">
        <w:rPr>
          <w:rFonts w:hint="cs"/>
          <w:rtl/>
        </w:rPr>
        <w:t>،</w:t>
      </w:r>
      <w:r w:rsidRPr="005675B2">
        <w:rPr>
          <w:rFonts w:hint="cs"/>
          <w:rtl/>
        </w:rPr>
        <w:t xml:space="preserve"> ولا فيما يقتضى ذلك من اطلاق قولهم "يد" إلا ما نطق القرآن الكريم به، أوصحت عن رسول الله صلى الله تعالى عليه وآله وسلم السنة فيه »</w:t>
      </w:r>
      <w:r w:rsidR="000636C2">
        <w:rPr>
          <w:rFonts w:hint="cs"/>
          <w:rtl/>
        </w:rPr>
        <w:t>،</w:t>
      </w:r>
      <w:r w:rsidRPr="005675B2">
        <w:rPr>
          <w:rFonts w:hint="cs"/>
          <w:rtl/>
        </w:rPr>
        <w:t xml:space="preserve"> [</w:t>
      </w:r>
      <w:r w:rsidRPr="005675B2">
        <w:rPr>
          <w:rFonts w:hint="cs"/>
          <w:sz w:val="24"/>
          <w:szCs w:val="24"/>
          <w:rtl/>
        </w:rPr>
        <w:t>2/294]</w:t>
      </w:r>
      <w:r w:rsidR="000636C2">
        <w:rPr>
          <w:rFonts w:hint="cs"/>
          <w:rtl/>
        </w:rPr>
        <w:t xml:space="preserve"> </w:t>
      </w:r>
      <w:r w:rsidRPr="005675B2">
        <w:rPr>
          <w:rFonts w:hint="cs"/>
          <w:rtl/>
        </w:rPr>
        <w:t>وفي ذيل الطبقات أيضا « أن الإمام أحمد كان يقول</w:t>
      </w:r>
      <w:r w:rsidR="000636C2">
        <w:rPr>
          <w:rFonts w:hint="cs"/>
          <w:rtl/>
        </w:rPr>
        <w:t>:</w:t>
      </w:r>
      <w:r w:rsidRPr="005675B2">
        <w:rPr>
          <w:rFonts w:hint="cs"/>
          <w:rtl/>
        </w:rPr>
        <w:t xml:space="preserve"> والله تعالى لم يلحقه تغير ولا تبدل، ولا يلحقه الحدود قبل خلق العرش ولا بعد خلق العرش »</w:t>
      </w:r>
      <w:r w:rsidR="000636C2">
        <w:rPr>
          <w:rFonts w:hint="cs"/>
          <w:rtl/>
        </w:rPr>
        <w:t xml:space="preserve">، </w:t>
      </w:r>
      <w:r w:rsidRPr="005675B2">
        <w:rPr>
          <w:rFonts w:hint="cs"/>
          <w:rtl/>
        </w:rPr>
        <w:t>[</w:t>
      </w:r>
      <w:r w:rsidRPr="005675B2">
        <w:rPr>
          <w:rFonts w:hint="cs"/>
          <w:sz w:val="24"/>
          <w:szCs w:val="24"/>
          <w:rtl/>
        </w:rPr>
        <w:t>2/297]</w:t>
      </w:r>
      <w:r w:rsidRPr="005675B2">
        <w:rPr>
          <w:rFonts w:hint="cs"/>
          <w:rtl/>
        </w:rPr>
        <w:t xml:space="preserve"> وقال الإمام الطحاوي في عقيدته التي هي بيان أهل السنة والجماعة باتفاق أهل السنة « وتعالى -أي الله - عن الحدود والغايات، والأركان والأعضاء والأدوات، ولا تحويه الجهات الست كسائر المبتدعات »</w:t>
      </w:r>
      <w:r w:rsidR="000636C2">
        <w:rPr>
          <w:rFonts w:hint="cs"/>
          <w:rtl/>
        </w:rPr>
        <w:t xml:space="preserve">، </w:t>
      </w:r>
      <w:r w:rsidRPr="005675B2">
        <w:rPr>
          <w:rFonts w:hint="cs"/>
          <w:rtl/>
        </w:rPr>
        <w:t>وقال الإمام أبو سليمان الخطابي</w:t>
      </w:r>
      <w:r w:rsidR="000636C2">
        <w:rPr>
          <w:rFonts w:hint="cs"/>
          <w:rtl/>
        </w:rPr>
        <w:t>:</w:t>
      </w:r>
      <w:r w:rsidRPr="005675B2">
        <w:rPr>
          <w:rFonts w:hint="cs"/>
          <w:rtl/>
        </w:rPr>
        <w:t xml:space="preserve"> ما نصه</w:t>
      </w:r>
      <w:r w:rsidR="000636C2">
        <w:rPr>
          <w:rFonts w:hint="cs"/>
          <w:rtl/>
        </w:rPr>
        <w:t>:</w:t>
      </w:r>
      <w:r w:rsidRPr="005675B2">
        <w:rPr>
          <w:rFonts w:hint="cs"/>
          <w:rtl/>
        </w:rPr>
        <w:t xml:space="preserve"> « وليس معنى قول المسلمين إن الله على العرش هو أنه تعالى مماس له، أو متمكن فيه، أو متحيز في جهة من جهاته، لكنه بائن من جميع خلقه، وإنما هو خبر جاء به التوقيف، فقلنا به ونفينا عنه التكييف إذ </w:t>
      </w:r>
      <w:r w:rsidR="000636C2">
        <w:rPr>
          <w:rFonts w:hint="cs"/>
          <w:rtl/>
        </w:rPr>
        <w:t>(</w:t>
      </w:r>
      <w:r w:rsidRPr="005675B2">
        <w:rPr>
          <w:rFonts w:hint="cs"/>
          <w:rtl/>
        </w:rPr>
        <w:t>ليس كمثله شيء وهو السميع البصير » [</w:t>
      </w:r>
      <w:r w:rsidRPr="005675B2">
        <w:rPr>
          <w:rFonts w:hint="cs"/>
          <w:sz w:val="24"/>
          <w:szCs w:val="24"/>
          <w:rtl/>
        </w:rPr>
        <w:t>أعلام الحديث شرح البخاري 2/147]</w:t>
      </w:r>
      <w:r w:rsidRPr="005675B2">
        <w:rPr>
          <w:rFonts w:hint="cs"/>
          <w:rtl/>
        </w:rPr>
        <w:t>،</w:t>
      </w:r>
      <w:r w:rsidR="000636C2">
        <w:rPr>
          <w:rFonts w:hint="cs"/>
          <w:rtl/>
        </w:rPr>
        <w:t xml:space="preserve"> </w:t>
      </w:r>
      <w:r w:rsidRPr="005675B2">
        <w:rPr>
          <w:rFonts w:hint="cs"/>
          <w:rtl/>
        </w:rPr>
        <w:t xml:space="preserve">وقال الإمام ابن الجوزي في مجالسه في المتشابهات </w:t>
      </w:r>
      <w:r w:rsidR="000636C2">
        <w:rPr>
          <w:rFonts w:hint="cs"/>
          <w:rtl/>
        </w:rPr>
        <w:t>[</w:t>
      </w:r>
      <w:r w:rsidRPr="005675B2">
        <w:rPr>
          <w:rFonts w:hint="cs"/>
          <w:sz w:val="24"/>
          <w:szCs w:val="24"/>
          <w:rtl/>
        </w:rPr>
        <w:t>ص 54]</w:t>
      </w:r>
      <w:r w:rsidRPr="005675B2">
        <w:rPr>
          <w:rFonts w:hint="cs"/>
          <w:rtl/>
        </w:rPr>
        <w:t xml:space="preserve"> « وليس الخلاف في اليد، وإنما الخلاف في الجارحة، وليس الخلاف في الوجه، وإنما الخلاف في الصورة الجسمية، وليس الخلاف في العين، وإنما الخلاف في الحدقة »</w:t>
      </w:r>
      <w:r w:rsidR="000636C2">
        <w:rPr>
          <w:rFonts w:hint="cs"/>
          <w:rtl/>
        </w:rPr>
        <w:t xml:space="preserve">، </w:t>
      </w:r>
      <w:r w:rsidRPr="005675B2">
        <w:rPr>
          <w:rFonts w:hint="cs"/>
          <w:rtl/>
        </w:rPr>
        <w:t>وقال الإمام عز الدين بن عبد السلام</w:t>
      </w:r>
      <w:r w:rsidR="000636C2">
        <w:rPr>
          <w:rFonts w:hint="cs"/>
          <w:rtl/>
        </w:rPr>
        <w:t>:</w:t>
      </w:r>
      <w:r w:rsidRPr="005675B2">
        <w:rPr>
          <w:rFonts w:hint="cs"/>
          <w:rtl/>
        </w:rPr>
        <w:t xml:space="preserve"> « ليس</w:t>
      </w:r>
      <w:r w:rsidR="000636C2">
        <w:rPr>
          <w:rFonts w:hint="cs"/>
          <w:rtl/>
        </w:rPr>
        <w:t xml:space="preserve"> </w:t>
      </w:r>
      <w:r w:rsidRPr="005675B2">
        <w:rPr>
          <w:rFonts w:hint="cs"/>
          <w:rtl/>
        </w:rPr>
        <w:t>- الله</w:t>
      </w:r>
      <w:r w:rsidR="000636C2">
        <w:rPr>
          <w:rFonts w:hint="cs"/>
          <w:rtl/>
        </w:rPr>
        <w:t xml:space="preserve"> </w:t>
      </w:r>
      <w:r w:rsidRPr="005675B2">
        <w:rPr>
          <w:rFonts w:hint="cs"/>
          <w:rtl/>
        </w:rPr>
        <w:t>- بجسم مصور، ولا جوهر محدود مقدر، ولا يشبه شيئا ولا يشبهه شيء، ولا تحيط به الجهات، ولا تكتنفه الأرضون والسموات، كان قبل أن كون المكان ودبر الأزمان، وهو الآن على ما عليه كان » [</w:t>
      </w:r>
      <w:r w:rsidRPr="005675B2">
        <w:rPr>
          <w:rFonts w:hint="cs"/>
          <w:sz w:val="24"/>
          <w:szCs w:val="24"/>
          <w:rtl/>
        </w:rPr>
        <w:t>طبقات الشافعية الكبرى 8/219]</w:t>
      </w:r>
      <w:r w:rsidR="000636C2">
        <w:rPr>
          <w:rFonts w:hint="cs"/>
          <w:rtl/>
        </w:rPr>
        <w:t xml:space="preserve">، </w:t>
      </w:r>
      <w:r w:rsidRPr="005675B2">
        <w:rPr>
          <w:rFonts w:hint="cs"/>
          <w:rtl/>
        </w:rPr>
        <w:t>وقال الحافظ العسقلاني</w:t>
      </w:r>
      <w:r w:rsidR="000636C2">
        <w:rPr>
          <w:rFonts w:hint="cs"/>
          <w:rtl/>
        </w:rPr>
        <w:t>:</w:t>
      </w:r>
      <w:r w:rsidRPr="005675B2">
        <w:rPr>
          <w:rFonts w:hint="cs"/>
          <w:rtl/>
        </w:rPr>
        <w:t xml:space="preserve"> « ولا يلزم من كون جهتي العلو والسفل محالا على الله أن لا يوصف بالعلو، لأن وصفه بالعلو من جهة المعنى، والمستحيل كون ذلك من جهة الحس »</w:t>
      </w:r>
      <w:r w:rsidR="000636C2">
        <w:rPr>
          <w:rFonts w:hint="cs"/>
          <w:rtl/>
        </w:rPr>
        <w:t>،</w:t>
      </w:r>
      <w:r w:rsidRPr="005675B2">
        <w:rPr>
          <w:rFonts w:hint="cs"/>
          <w:rtl/>
        </w:rPr>
        <w:t xml:space="preserve"> [</w:t>
      </w:r>
      <w:r w:rsidRPr="005675B2">
        <w:rPr>
          <w:rFonts w:hint="cs"/>
          <w:sz w:val="24"/>
          <w:szCs w:val="24"/>
          <w:rtl/>
        </w:rPr>
        <w:t>فتح الباري 6/136]</w:t>
      </w:r>
      <w:r w:rsidR="000636C2">
        <w:rPr>
          <w:rFonts w:hint="cs"/>
          <w:rtl/>
        </w:rPr>
        <w:t>،</w:t>
      </w:r>
      <w:r w:rsidRPr="005675B2">
        <w:rPr>
          <w:rFonts w:hint="cs"/>
          <w:rtl/>
        </w:rPr>
        <w:t xml:space="preserve"> وقال أيضا عند شرح حديث النزول</w:t>
      </w:r>
      <w:r w:rsidR="000636C2">
        <w:rPr>
          <w:rFonts w:hint="cs"/>
          <w:rtl/>
        </w:rPr>
        <w:t>:</w:t>
      </w:r>
      <w:r w:rsidRPr="005675B2">
        <w:rPr>
          <w:rFonts w:hint="cs"/>
          <w:rtl/>
        </w:rPr>
        <w:t xml:space="preserve"> « استدل به من أثبت الجهة وقال هي جهة العلو، وأنكر ذلك الجمهور، لأن القول بذلك يفضي إلى التحيز، تعالى الله عن ذلك » [</w:t>
      </w:r>
      <w:r w:rsidRPr="005675B2">
        <w:rPr>
          <w:rFonts w:hint="cs"/>
          <w:sz w:val="24"/>
          <w:szCs w:val="24"/>
          <w:rtl/>
        </w:rPr>
        <w:t>فتح الباري 3/30]</w:t>
      </w:r>
      <w:r w:rsidR="000636C2">
        <w:rPr>
          <w:rFonts w:hint="cs"/>
          <w:rtl/>
        </w:rPr>
        <w:t xml:space="preserve">، </w:t>
      </w:r>
      <w:r w:rsidRPr="005675B2">
        <w:rPr>
          <w:rFonts w:hint="cs"/>
          <w:rtl/>
        </w:rPr>
        <w:t>وقال أيضا</w:t>
      </w:r>
      <w:r w:rsidR="000636C2">
        <w:rPr>
          <w:rFonts w:hint="cs"/>
          <w:rtl/>
        </w:rPr>
        <w:t>:</w:t>
      </w:r>
      <w:r w:rsidRPr="005675B2">
        <w:rPr>
          <w:rFonts w:hint="cs"/>
          <w:rtl/>
        </w:rPr>
        <w:t xml:space="preserve"> « فمعتقد سلف الأمة وعلماء السنة من الخلف أن الله تعالى منزه عن الحركة والتحول والحلول، ليس كمثله شيء »</w:t>
      </w:r>
      <w:r w:rsidR="000636C2">
        <w:rPr>
          <w:rFonts w:hint="cs"/>
          <w:rtl/>
        </w:rPr>
        <w:t xml:space="preserve">، </w:t>
      </w:r>
      <w:r w:rsidRPr="005675B2">
        <w:rPr>
          <w:rFonts w:hint="cs"/>
          <w:rtl/>
        </w:rPr>
        <w:t>[</w:t>
      </w:r>
      <w:r w:rsidRPr="005675B2">
        <w:rPr>
          <w:rFonts w:hint="cs"/>
          <w:sz w:val="24"/>
          <w:szCs w:val="24"/>
          <w:rtl/>
        </w:rPr>
        <w:t>7/124]</w:t>
      </w:r>
      <w:r w:rsidR="000636C2">
        <w:rPr>
          <w:rFonts w:hint="cs"/>
          <w:rtl/>
        </w:rPr>
        <w:t>،</w:t>
      </w:r>
      <w:r w:rsidRPr="005675B2">
        <w:rPr>
          <w:rFonts w:hint="cs"/>
          <w:rtl/>
        </w:rPr>
        <w:t xml:space="preserve"> فظهر بهذا التحقيق أن التقسيم الثلاثي للتوحيد الذي اخترعه ابن تيمية تقسيم فاسد في التعبير، وفاسد في مضمونه، وفاسد فيما قصد منه</w:t>
      </w:r>
      <w:r w:rsidR="000636C2">
        <w:rPr>
          <w:rFonts w:hint="cs"/>
          <w:rtl/>
        </w:rPr>
        <w:t xml:space="preserve">، </w:t>
      </w:r>
      <w:r w:rsidRPr="005675B2">
        <w:rPr>
          <w:rFonts w:hint="cs"/>
          <w:rtl/>
        </w:rPr>
        <w:t>والتقسيم الصحيح للتوحيد هو تقسيم الثلاثي الذي ذكره الأشاعرة، وهو توحيد الذات، وتوحيد الصفات، وتوحيد الأفعال</w:t>
      </w:r>
      <w:r w:rsidR="000636C2">
        <w:rPr>
          <w:rFonts w:hint="cs"/>
          <w:rtl/>
        </w:rPr>
        <w:t xml:space="preserve">، </w:t>
      </w:r>
      <w:r w:rsidRPr="005675B2">
        <w:rPr>
          <w:rFonts w:hint="cs"/>
          <w:rtl/>
        </w:rPr>
        <w:t>أما توحيد الذات فمأخوذ من قوله تعالى</w:t>
      </w:r>
      <w:r w:rsidR="000636C2">
        <w:rPr>
          <w:rFonts w:hint="cs"/>
          <w:rtl/>
        </w:rPr>
        <w:t>:</w:t>
      </w:r>
      <w:r w:rsidRPr="005675B2">
        <w:rPr>
          <w:rFonts w:hint="cs"/>
          <w:rtl/>
        </w:rPr>
        <w:t xml:space="preserve"> </w:t>
      </w:r>
      <w:r w:rsidR="000636C2">
        <w:rPr>
          <w:rFonts w:hint="cs"/>
          <w:rtl/>
        </w:rPr>
        <w:t>(</w:t>
      </w:r>
      <w:r w:rsidRPr="005675B2">
        <w:rPr>
          <w:rFonts w:hint="cs"/>
          <w:rtl/>
        </w:rPr>
        <w:t>قل هو الله أحد</w:t>
      </w:r>
      <w:r w:rsidR="000636C2">
        <w:rPr>
          <w:rFonts w:hint="cs"/>
          <w:rtl/>
        </w:rPr>
        <w:t>)</w:t>
      </w:r>
      <w:r w:rsidRPr="005675B2">
        <w:rPr>
          <w:rFonts w:hint="cs"/>
          <w:rtl/>
        </w:rPr>
        <w:t xml:space="preserve"> وغيرها من الآيات، وأما توحيد الصفات فمأخوذ من قوله تعالى</w:t>
      </w:r>
      <w:r w:rsidR="000636C2">
        <w:rPr>
          <w:rFonts w:hint="cs"/>
          <w:rtl/>
        </w:rPr>
        <w:t>:</w:t>
      </w:r>
      <w:r w:rsidRPr="005675B2">
        <w:rPr>
          <w:rFonts w:hint="cs"/>
          <w:rtl/>
        </w:rPr>
        <w:t xml:space="preserve"> </w:t>
      </w:r>
      <w:r w:rsidR="000636C2">
        <w:rPr>
          <w:rFonts w:hint="cs"/>
          <w:rtl/>
        </w:rPr>
        <w:t>(</w:t>
      </w:r>
      <w:r w:rsidRPr="005675B2">
        <w:rPr>
          <w:rFonts w:hint="cs"/>
          <w:rtl/>
        </w:rPr>
        <w:t>ليس كمثله شيء</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ولم يكن له كفوا أحد</w:t>
      </w:r>
      <w:r w:rsidR="000636C2">
        <w:rPr>
          <w:rFonts w:hint="cs"/>
          <w:rtl/>
        </w:rPr>
        <w:t>)</w:t>
      </w:r>
      <w:r w:rsidRPr="005675B2">
        <w:rPr>
          <w:rFonts w:hint="cs"/>
          <w:rtl/>
        </w:rPr>
        <w:t xml:space="preserve"> وأما توحيد الأفعال فمأخوذ من قوله تعالى</w:t>
      </w:r>
      <w:r w:rsidR="000636C2">
        <w:rPr>
          <w:rFonts w:hint="cs"/>
          <w:rtl/>
        </w:rPr>
        <w:t>:</w:t>
      </w:r>
      <w:r w:rsidRPr="005675B2">
        <w:rPr>
          <w:rFonts w:hint="cs"/>
          <w:rtl/>
        </w:rPr>
        <w:t xml:space="preserve"> </w:t>
      </w:r>
      <w:r w:rsidR="000636C2">
        <w:rPr>
          <w:rFonts w:hint="cs"/>
          <w:rtl/>
        </w:rPr>
        <w:t>(</w:t>
      </w:r>
      <w:r w:rsidRPr="005675B2">
        <w:rPr>
          <w:rFonts w:hint="cs"/>
          <w:rtl/>
        </w:rPr>
        <w:t>الله خالق كل شيء</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والله خلقكم وما تعملون</w:t>
      </w:r>
      <w:r w:rsidR="000636C2">
        <w:rPr>
          <w:rFonts w:hint="cs"/>
          <w:rtl/>
        </w:rPr>
        <w:t>)</w:t>
      </w:r>
      <w:r w:rsidRPr="005675B2">
        <w:rPr>
          <w:rFonts w:hint="cs"/>
          <w:rtl/>
        </w:rPr>
        <w:t xml:space="preserve"> إلى غيرها من الآيات الكريمة</w:t>
      </w:r>
      <w:r w:rsidR="000636C2">
        <w:rPr>
          <w:rFonts w:hint="cs"/>
          <w:rtl/>
        </w:rPr>
        <w:t>،</w:t>
      </w:r>
      <w:r w:rsidRPr="005675B2">
        <w:rPr>
          <w:rFonts w:hint="cs"/>
          <w:rtl/>
        </w:rPr>
        <w:t xml:space="preserve"> والله تعالى أعلم بالصواب</w:t>
      </w:r>
      <w:r w:rsidR="000636C2">
        <w:rPr>
          <w:rFonts w:hint="cs"/>
          <w:rtl/>
        </w:rPr>
        <w:t>،</w:t>
      </w:r>
    </w:p>
    <w:p w14:paraId="1905F5DF" w14:textId="18AEEC9E" w:rsidR="009C32A0" w:rsidRPr="005675B2" w:rsidRDefault="009C32A0" w:rsidP="000636C2">
      <w:pPr>
        <w:rPr>
          <w:b/>
          <w:spacing w:val="-8"/>
          <w:rtl/>
        </w:rPr>
      </w:pPr>
      <w:r w:rsidRPr="005675B2">
        <w:rPr>
          <w:rFonts w:hint="cs"/>
          <w:rtl/>
        </w:rPr>
        <w:t>38 - بيان أخطاء الدكتور في الكلام على التوحيد</w:t>
      </w:r>
      <w:r w:rsidR="000636C2">
        <w:rPr>
          <w:rFonts w:hint="cs"/>
          <w:rtl/>
        </w:rPr>
        <w:t xml:space="preserve">: </w:t>
      </w:r>
      <w:r w:rsidRPr="005675B2">
        <w:rPr>
          <w:rFonts w:hint="cs"/>
          <w:rtl/>
        </w:rPr>
        <w:t>وبعد الانتهاء من تحقيق مسألة التوحيد نعود إلى كلام الدكتور، فنقول</w:t>
      </w:r>
      <w:r w:rsidR="000636C2">
        <w:rPr>
          <w:rFonts w:hint="cs"/>
          <w:rtl/>
        </w:rPr>
        <w:t>:</w:t>
      </w:r>
      <w:r w:rsidRPr="005675B2">
        <w:rPr>
          <w:rFonts w:hint="cs"/>
          <w:rtl/>
        </w:rPr>
        <w:t xml:space="preserve"> إن هذه الفقرة من كلام الدكتور قد اشتملت على أخطاء جمة</w:t>
      </w:r>
      <w:r w:rsidR="000636C2">
        <w:rPr>
          <w:rFonts w:hint="cs"/>
          <w:rtl/>
        </w:rPr>
        <w:t>: (</w:t>
      </w:r>
      <w:r w:rsidRPr="005675B2">
        <w:rPr>
          <w:rFonts w:hint="cs"/>
          <w:rtl/>
        </w:rPr>
        <w:t>الخطأ 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التوحيد عند أهل السنة والجماعة معروف بأقسامه الثلاثة</w:t>
      </w:r>
      <w:r w:rsidR="000636C2">
        <w:rPr>
          <w:rFonts w:hint="cs"/>
          <w:rtl/>
        </w:rPr>
        <w:t>)</w:t>
      </w:r>
      <w:r w:rsidRPr="005675B2">
        <w:rPr>
          <w:rFonts w:hint="cs"/>
          <w:rtl/>
        </w:rPr>
        <w:t xml:space="preserve"> حيث نسب تقسيم التوحيد إلى الأقسام الثلاثة</w:t>
      </w:r>
      <w:r w:rsidR="000636C2">
        <w:rPr>
          <w:rFonts w:hint="cs"/>
          <w:rtl/>
        </w:rPr>
        <w:t>:</w:t>
      </w:r>
      <w:r w:rsidRPr="005675B2">
        <w:rPr>
          <w:rFonts w:hint="cs"/>
          <w:rtl/>
        </w:rPr>
        <w:t xml:space="preserve"> توحيد الألوهية، وتوحيد الربوبية، وتوحيد الأسماء والصفات إلى أهل السنة، مع أن هذا التقسيم لم يكن معروفا عند أهل السنةقبل ابن تيمية، وإنما شهره وركز عليه ابن تيمية ولا يزال غير معروف ولا معترفا به إلا عند أولئك الذين اتخذوا ابن تيمية الإمام الوحيد لأنفسهم، وقد بينا فساد هذا التقسيم</w:t>
      </w:r>
      <w:r w:rsidR="000636C2">
        <w:rPr>
          <w:rFonts w:hint="cs"/>
          <w:rtl/>
        </w:rPr>
        <w:t>، (</w:t>
      </w:r>
      <w:r w:rsidRPr="005675B2">
        <w:rPr>
          <w:rFonts w:hint="cs"/>
          <w:rtl/>
        </w:rPr>
        <w:t>الخطأ الثانى</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وهو -أي التوحيد بأقسامه الثلاثة - عندهم - أي عند أهل السنة - أول واجب على المكلف</w:t>
      </w:r>
      <w:r w:rsidR="000636C2">
        <w:rPr>
          <w:rFonts w:hint="cs"/>
          <w:rtl/>
        </w:rPr>
        <w:t>)</w:t>
      </w:r>
      <w:r w:rsidRPr="005675B2">
        <w:rPr>
          <w:rFonts w:hint="cs"/>
          <w:rtl/>
        </w:rPr>
        <w:t xml:space="preserve"> ولا أدرى من الذي قال من أهل السنة</w:t>
      </w:r>
      <w:r w:rsidR="000636C2">
        <w:rPr>
          <w:rFonts w:hint="cs"/>
          <w:rtl/>
        </w:rPr>
        <w:t>:</w:t>
      </w:r>
      <w:r w:rsidRPr="005675B2">
        <w:rPr>
          <w:rFonts w:hint="cs"/>
          <w:rtl/>
        </w:rPr>
        <w:t xml:space="preserve"> إن التوحيد أول واجب على المكلف</w:t>
      </w:r>
      <w:r w:rsidR="000636C2">
        <w:rPr>
          <w:rFonts w:hint="cs"/>
          <w:rtl/>
        </w:rPr>
        <w:t>؟!</w:t>
      </w:r>
      <w:r w:rsidRPr="005675B2">
        <w:rPr>
          <w:rFonts w:hint="cs"/>
          <w:rtl/>
        </w:rPr>
        <w:t xml:space="preserve"> وكيف يقوله قائل، ويقدم على القول به عاقل، والتوحيد لا يتصور اعتقاده إلا بعد اعتقاد وجود الله تعالى</w:t>
      </w:r>
      <w:r w:rsidR="000636C2">
        <w:rPr>
          <w:rFonts w:hint="cs"/>
          <w:rtl/>
        </w:rPr>
        <w:t>!</w:t>
      </w:r>
      <w:r w:rsidRPr="005675B2">
        <w:rPr>
          <w:rFonts w:hint="cs"/>
          <w:rtl/>
        </w:rPr>
        <w:t xml:space="preserve"> وهل يقدم عاقل على القول بأن الواجب على المكلف أن يوحد الله تعالى توحيد الإلهية وتوحيد الربوبية وتوحيد الأسماء والصفات، ثم يعتقد وجوده</w:t>
      </w:r>
      <w:r w:rsidR="000636C2">
        <w:rPr>
          <w:rFonts w:hint="cs"/>
          <w:rtl/>
        </w:rPr>
        <w:t>؟!</w:t>
      </w:r>
      <w:r w:rsidRPr="005675B2">
        <w:rPr>
          <w:rFonts w:hint="cs"/>
          <w:rtl/>
        </w:rPr>
        <w:t>! نعم توحيد الله تعالى داخل في معرفته بحسب المعنى الذي أراده الأشاعرة من المعرفة حينما قالوا</w:t>
      </w:r>
      <w:r w:rsidR="000636C2">
        <w:rPr>
          <w:rFonts w:hint="cs"/>
          <w:rtl/>
        </w:rPr>
        <w:t>:</w:t>
      </w:r>
      <w:r w:rsidRPr="005675B2">
        <w:rPr>
          <w:rFonts w:hint="cs"/>
          <w:rtl/>
        </w:rPr>
        <w:t xml:space="preserve"> </w:t>
      </w:r>
      <w:r w:rsidR="000636C2">
        <w:rPr>
          <w:rFonts w:hint="cs"/>
          <w:rtl/>
        </w:rPr>
        <w:t>(</w:t>
      </w:r>
      <w:r w:rsidRPr="005675B2">
        <w:rPr>
          <w:rFonts w:hint="cs"/>
          <w:rtl/>
        </w:rPr>
        <w:t>أول واجب على المكلف معرفة الله</w:t>
      </w:r>
      <w:r w:rsidR="000636C2">
        <w:rPr>
          <w:rFonts w:hint="cs"/>
          <w:rtl/>
        </w:rPr>
        <w:t>)</w:t>
      </w:r>
      <w:r w:rsidRPr="005675B2">
        <w:rPr>
          <w:rFonts w:hint="cs"/>
          <w:rtl/>
        </w:rPr>
        <w:t>، فإن مرادهم بمعرفة الله ليس اعتقاد وجوده تعالى فقط، بل معرفته بوجه يكون عدمها موجبا للكفر وعدم الإسلام واعتقاد ذلك، وهو أن يعرف أن للعالم ربا خلقه وخلق كل شيئ يستحق العبادة على عباده واحد لا شريك له ويعتقد ذلك</w:t>
      </w:r>
      <w:r w:rsidR="000636C2">
        <w:rPr>
          <w:rFonts w:hint="cs"/>
          <w:rtl/>
        </w:rPr>
        <w:t>،</w:t>
      </w:r>
      <w:r w:rsidRPr="005675B2">
        <w:rPr>
          <w:rFonts w:hint="cs"/>
          <w:rtl/>
        </w:rPr>
        <w:t xml:space="preserve"> وذلك لأن المقصود بوجوب المعرفة التخلص من الكفر، وهو لا يكون إلا بالمعرفة المذكورة والاعتقاد المذكور المشتمل على توحيد الربوبية وتوحيد الإ̃لهية وتوحيد الأسماء والصفات، بمعنى عدم الشريك له في صفاته وسنفصل الكلام على مسألة أول الواجب على المكلف قريبا</w:t>
      </w:r>
      <w:r w:rsidR="000636C2">
        <w:rPr>
          <w:rFonts w:hint="cs"/>
          <w:rtl/>
        </w:rPr>
        <w:t>، (</w:t>
      </w:r>
      <w:r w:rsidRPr="005675B2">
        <w:rPr>
          <w:rFonts w:hint="cs"/>
          <w:rtl/>
        </w:rPr>
        <w:t>الخطأ الثالث والرابع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 xml:space="preserve">فالتوحيد عندهم -أي عند الأشاعرة - هو نفي التثنية والتعدد، ونفي التبعيض والتركيب، والتجزئة، أي بحسب تعبيرهم </w:t>
      </w:r>
      <w:r w:rsidR="000636C2">
        <w:rPr>
          <w:rFonts w:hint="cs"/>
          <w:rtl/>
        </w:rPr>
        <w:t>(</w:t>
      </w:r>
      <w:r w:rsidRPr="005675B2">
        <w:rPr>
          <w:rFonts w:hint="cs"/>
          <w:rtl/>
        </w:rPr>
        <w:t>نفي الكمية المتصلة والكمية المنفصلة</w:t>
      </w:r>
      <w:r w:rsidR="000636C2">
        <w:rPr>
          <w:rFonts w:hint="cs"/>
          <w:rtl/>
        </w:rPr>
        <w:t>)</w:t>
      </w:r>
      <w:r w:rsidRPr="005675B2">
        <w:rPr>
          <w:rFonts w:hint="cs"/>
          <w:rtl/>
        </w:rPr>
        <w:t xml:space="preserve"> وقد اشتمل هذا الكلام على خطأين</w:t>
      </w:r>
      <w:r w:rsidR="000636C2">
        <w:rPr>
          <w:rFonts w:hint="cs"/>
          <w:rtl/>
        </w:rPr>
        <w:t>:</w:t>
      </w:r>
      <w:r w:rsidRPr="005675B2">
        <w:rPr>
          <w:rFonts w:hint="cs"/>
          <w:rtl/>
        </w:rPr>
        <w:t xml:space="preserve"> </w:t>
      </w:r>
      <w:r w:rsidR="000636C2">
        <w:rPr>
          <w:rFonts w:hint="cs"/>
          <w:rtl/>
        </w:rPr>
        <w:t>(</w:t>
      </w:r>
      <w:r w:rsidRPr="005675B2">
        <w:rPr>
          <w:rFonts w:hint="cs"/>
          <w:rtl/>
        </w:rPr>
        <w:t>الخطأ الأول</w:t>
      </w:r>
      <w:r w:rsidR="000636C2">
        <w:rPr>
          <w:rFonts w:hint="cs"/>
          <w:rtl/>
        </w:rPr>
        <w:t>):</w:t>
      </w:r>
      <w:r w:rsidRPr="005675B2">
        <w:rPr>
          <w:rFonts w:hint="cs"/>
          <w:rtl/>
        </w:rPr>
        <w:t xml:space="preserve"> حصر الدكتور للتوحيد عند الأشاعرة في الأنواع المذكورة من النفي، المفيد أنه لا يوجد عند الأشاعرة نوع آخر من التوحيد وهو التوحيد في العبادة الذي يُعَبَّر عنه بتوحيد الإ̃لهية، وقد صرح فيما يلى بأنه لايوجد عندهم هذا النوع من التوحيد، حيث قال</w:t>
      </w:r>
      <w:r w:rsidR="000636C2">
        <w:rPr>
          <w:rFonts w:hint="cs"/>
          <w:rtl/>
        </w:rPr>
        <w:t>:</w:t>
      </w:r>
      <w:r w:rsidRPr="005675B2">
        <w:rPr>
          <w:rFonts w:hint="cs"/>
          <w:rtl/>
        </w:rPr>
        <w:t xml:space="preserve"> </w:t>
      </w:r>
      <w:r w:rsidR="000636C2">
        <w:rPr>
          <w:rFonts w:hint="cs"/>
          <w:rtl/>
        </w:rPr>
        <w:t>(</w:t>
      </w:r>
      <w:r w:rsidRPr="005675B2">
        <w:rPr>
          <w:rFonts w:hint="cs"/>
          <w:rtl/>
        </w:rPr>
        <w:t>.. فهذا الذي أجزم به</w:t>
      </w:r>
      <w:r w:rsidR="000636C2">
        <w:rPr>
          <w:rFonts w:hint="cs"/>
          <w:rtl/>
        </w:rPr>
        <w:t xml:space="preserve">)، </w:t>
      </w:r>
      <w:r w:rsidRPr="005675B2">
        <w:rPr>
          <w:rFonts w:hint="cs"/>
          <w:rtl/>
        </w:rPr>
        <w:t xml:space="preserve">وقد علمت أن حقيقة التوحيد </w:t>
      </w:r>
      <w:r w:rsidRPr="005675B2">
        <w:rPr>
          <w:rFonts w:hint="cs"/>
          <w:rtl/>
          <w:lang w:val="tr-TR"/>
        </w:rPr>
        <w:t>عند الأشاعرة</w:t>
      </w:r>
      <w:r w:rsidR="000636C2">
        <w:rPr>
          <w:rFonts w:hint="cs"/>
          <w:rtl/>
          <w:lang w:val="tr-TR"/>
        </w:rPr>
        <w:t>:</w:t>
      </w:r>
      <w:r w:rsidRPr="005675B2">
        <w:rPr>
          <w:rFonts w:hint="cs"/>
          <w:rtl/>
          <w:lang w:val="tr-TR"/>
        </w:rPr>
        <w:t xml:space="preserve"> هو اعتقاد الوحدانية في الذات والصفات والأفعال، وبعبارة أخرى اعتقاد عدم الشريك في الإ̃لهية وخواصها، وقد نقلنا عن التفتازاني أنه قال</w:t>
      </w:r>
      <w:r w:rsidR="000636C2">
        <w:rPr>
          <w:rFonts w:hint="cs"/>
          <w:rtl/>
          <w:lang w:val="tr-TR"/>
        </w:rPr>
        <w:t>:</w:t>
      </w:r>
      <w:r w:rsidRPr="005675B2">
        <w:rPr>
          <w:rFonts w:hint="cs"/>
          <w:rtl/>
          <w:lang w:val="tr-TR"/>
        </w:rPr>
        <w:t xml:space="preserve"> ولا نزاع لأهل الإسلام في أن تدبير العالم، وخلق الأجسام، واستحقاق العبادة، وقدم ما يقوم بنفسه كلها من الخواص</w:t>
      </w:r>
      <w:r w:rsidR="000636C2">
        <w:rPr>
          <w:rFonts w:hint="cs"/>
          <w:rtl/>
          <w:lang w:val="tr-TR"/>
        </w:rPr>
        <w:t>،</w:t>
      </w:r>
      <w:r w:rsidRPr="005675B2">
        <w:rPr>
          <w:rFonts w:hint="cs"/>
          <w:rtl/>
          <w:lang w:val="tr-TR"/>
        </w:rPr>
        <w:t xml:space="preserve"> </w:t>
      </w:r>
      <w:r w:rsidR="000636C2">
        <w:rPr>
          <w:rFonts w:hint="cs"/>
          <w:rtl/>
          <w:lang w:val="tr-TR"/>
        </w:rPr>
        <w:t>(</w:t>
      </w:r>
      <w:r w:rsidRPr="005675B2">
        <w:rPr>
          <w:rFonts w:hint="cs"/>
          <w:spacing w:val="-8"/>
          <w:rtl/>
          <w:lang w:val="tr-TR"/>
        </w:rPr>
        <w:t>الخطأ الثاني</w:t>
      </w:r>
      <w:r w:rsidR="000636C2">
        <w:rPr>
          <w:rFonts w:hint="cs"/>
          <w:spacing w:val="-8"/>
          <w:rtl/>
          <w:lang w:val="tr-TR"/>
        </w:rPr>
        <w:t>):</w:t>
      </w:r>
      <w:r w:rsidRPr="005675B2">
        <w:rPr>
          <w:rFonts w:hint="cs"/>
          <w:spacing w:val="-8"/>
          <w:rtl/>
          <w:lang w:val="tr-TR"/>
        </w:rPr>
        <w:t xml:space="preserve"> سياقه لهذا الكلام مساق الإنكار على الأشاعرة، كأن الدكتور ينكر على الأشاعرة قولهم بالتوحيد بالمعنى المذكور، ولا أدرى لماذا ينكر الدكتور على الأشاعرة قولهم</w:t>
      </w:r>
      <w:r w:rsidR="000636C2">
        <w:rPr>
          <w:rFonts w:hint="cs"/>
          <w:spacing w:val="-8"/>
          <w:rtl/>
          <w:lang w:val="tr-TR"/>
        </w:rPr>
        <w:t>:</w:t>
      </w:r>
      <w:r w:rsidRPr="005675B2">
        <w:rPr>
          <w:rFonts w:hint="cs"/>
          <w:spacing w:val="-8"/>
          <w:rtl/>
          <w:lang w:val="tr-TR"/>
        </w:rPr>
        <w:t xml:space="preserve"> التوحيد أن تعتقد أن الله تعالى واحد ليس اثنين ولا ثلاثة، ولا متبعض ولا مركب ولا متجزأ، وقد صرح الإمام أحمد وغيره بهذا، حيث قال</w:t>
      </w:r>
      <w:r w:rsidR="000636C2">
        <w:rPr>
          <w:rFonts w:hint="cs"/>
          <w:spacing w:val="-8"/>
          <w:rtl/>
          <w:lang w:val="tr-TR"/>
        </w:rPr>
        <w:t>:</w:t>
      </w:r>
      <w:r w:rsidRPr="005675B2">
        <w:rPr>
          <w:rFonts w:hint="cs"/>
          <w:spacing w:val="-8"/>
          <w:rtl/>
          <w:lang w:val="tr-TR"/>
        </w:rPr>
        <w:t xml:space="preserve"> « إن الله عز وجل واحد لا من عدد، ولا يجوز عليه التجزؤ ولا القسمة، وهو واحد من كل وجه</w:t>
      </w:r>
      <w:r w:rsidR="000636C2">
        <w:rPr>
          <w:rFonts w:hint="cs"/>
          <w:spacing w:val="-8"/>
          <w:rtl/>
          <w:lang w:val="tr-TR"/>
        </w:rPr>
        <w:t>،</w:t>
      </w:r>
      <w:r w:rsidRPr="005675B2">
        <w:rPr>
          <w:rFonts w:hint="cs"/>
          <w:spacing w:val="-8"/>
          <w:rtl/>
          <w:lang w:val="tr-TR"/>
        </w:rPr>
        <w:t xml:space="preserve"> وما سواه واحد من وجه دون وجه »</w:t>
      </w:r>
      <w:r w:rsidR="000636C2">
        <w:rPr>
          <w:rFonts w:hint="cs"/>
          <w:spacing w:val="-8"/>
          <w:rtl/>
          <w:lang w:val="tr-TR"/>
        </w:rPr>
        <w:t>،</w:t>
      </w:r>
      <w:r w:rsidRPr="005675B2">
        <w:rPr>
          <w:rFonts w:hint="cs"/>
          <w:spacing w:val="-8"/>
          <w:rtl/>
          <w:lang w:val="tr-TR"/>
        </w:rPr>
        <w:t xml:space="preserve"> [</w:t>
      </w:r>
      <w:r w:rsidRPr="005675B2">
        <w:rPr>
          <w:rFonts w:hint="cs"/>
          <w:sz w:val="24"/>
          <w:szCs w:val="24"/>
          <w:rtl/>
          <w:lang w:val="tr-TR"/>
        </w:rPr>
        <w:t>ذيل طبقات الحنابلة لابن أبى يعلى 2/293]</w:t>
      </w:r>
      <w:r w:rsidR="000636C2">
        <w:rPr>
          <w:rFonts w:hint="cs"/>
          <w:spacing w:val="-8"/>
          <w:rtl/>
          <w:lang w:val="tr-TR"/>
        </w:rPr>
        <w:t>،</w:t>
      </w:r>
      <w:r w:rsidRPr="005675B2">
        <w:rPr>
          <w:rFonts w:hint="cs"/>
          <w:spacing w:val="-8"/>
          <w:rtl/>
          <w:lang w:val="tr-TR"/>
        </w:rPr>
        <w:t xml:space="preserve"> </w:t>
      </w:r>
      <w:r w:rsidRPr="005675B2">
        <w:rPr>
          <w:rFonts w:hint="cs"/>
          <w:rtl/>
          <w:lang w:val="tr-TR"/>
        </w:rPr>
        <w:t>أراد الإمام أحمد بقوله</w:t>
      </w:r>
      <w:r w:rsidR="000636C2">
        <w:rPr>
          <w:rFonts w:hint="cs"/>
          <w:rtl/>
          <w:lang w:val="tr-TR"/>
        </w:rPr>
        <w:t>:</w:t>
      </w:r>
      <w:r w:rsidRPr="005675B2">
        <w:rPr>
          <w:rFonts w:hint="cs"/>
          <w:rtl/>
          <w:lang w:val="tr-TR"/>
        </w:rPr>
        <w:t xml:space="preserve"> « واحد لا من عدد » نفي إرادة الواحدة العددية من قولنا</w:t>
      </w:r>
      <w:r w:rsidR="000636C2">
        <w:rPr>
          <w:rFonts w:hint="cs"/>
          <w:rtl/>
          <w:lang w:val="tr-TR"/>
        </w:rPr>
        <w:t>:</w:t>
      </w:r>
      <w:r w:rsidRPr="005675B2">
        <w:rPr>
          <w:rFonts w:hint="cs"/>
          <w:rtl/>
          <w:lang w:val="tr-TR"/>
        </w:rPr>
        <w:t xml:space="preserve"> « الله واحد » ولم يرد به نفي الوحدة العددية، وذلك لأن الوحدة من طريق العدد غير مختص بالله تعالى، بل هو لازم بين لكل جزئي حقيقي، فأنت واحد من طريق العدد أي لست اثنين ولا اكثر، وأنا واحد من طريق العدد ؛كما ان الله تعالى واحد من طريق العدد،ثم إن الوحدة العددية لاتنفي الشريك والشبيه والنظير، ومقصود الإمام أحمد بيان الوحدة لله تعالى بالمعنى المختص به وهو أنه لا يجوز عليه التجزؤ ..</w:t>
      </w:r>
      <w:r w:rsidR="000636C2">
        <w:rPr>
          <w:rFonts w:hint="cs"/>
          <w:rtl/>
          <w:lang w:val="tr-TR"/>
        </w:rPr>
        <w:t>،</w:t>
      </w:r>
      <w:r w:rsidRPr="005675B2">
        <w:rPr>
          <w:rFonts w:hint="cs"/>
          <w:rtl/>
          <w:lang w:val="tr-TR"/>
        </w:rPr>
        <w:t xml:space="preserve"> الخ،وبمعنى نفي الشريك والشبيه والنظير؛فمن أجل ذلك نفى إرادة الوحدة العددية عن قوله</w:t>
      </w:r>
      <w:r w:rsidR="000636C2">
        <w:rPr>
          <w:rFonts w:hint="cs"/>
          <w:rtl/>
          <w:lang w:val="tr-TR"/>
        </w:rPr>
        <w:t>:</w:t>
      </w:r>
      <w:r w:rsidRPr="005675B2">
        <w:rPr>
          <w:rFonts w:hint="cs"/>
          <w:rtl/>
          <w:lang w:val="tr-TR"/>
        </w:rPr>
        <w:t xml:space="preserve"> الله تعالى واحد؛ وقد سبق الإمام أحمدإلى هذا التعبير الإمام أبو حنيفة</w:t>
      </w:r>
      <w:r w:rsidR="000636C2">
        <w:rPr>
          <w:rFonts w:hint="cs"/>
          <w:rtl/>
          <w:lang w:val="tr-TR"/>
        </w:rPr>
        <w:t>،</w:t>
      </w:r>
      <w:r w:rsidRPr="005675B2">
        <w:rPr>
          <w:rFonts w:hint="cs"/>
          <w:rtl/>
          <w:lang w:val="tr-TR"/>
        </w:rPr>
        <w:t xml:space="preserve"> قال - رحمه الله تعالى - في الفقه الأكبر</w:t>
      </w:r>
      <w:r w:rsidR="000636C2">
        <w:rPr>
          <w:rFonts w:hint="cs"/>
          <w:rtl/>
          <w:lang w:val="tr-TR"/>
        </w:rPr>
        <w:t>:</w:t>
      </w:r>
      <w:r w:rsidRPr="005675B2">
        <w:rPr>
          <w:rFonts w:hint="cs"/>
          <w:rtl/>
          <w:lang w:val="tr-TR"/>
        </w:rPr>
        <w:t xml:space="preserve"> « الله واحد لا من طريق العدد، ولكن من طريق أنه لا شريك له، لم يلد ولم يولد، ولم يكن له كفُوًا أحدٌ »</w:t>
      </w:r>
      <w:r w:rsidR="000636C2">
        <w:rPr>
          <w:rFonts w:hint="cs"/>
          <w:rtl/>
          <w:lang w:val="tr-TR"/>
        </w:rPr>
        <w:t>؟</w:t>
      </w:r>
      <w:r w:rsidRPr="005675B2">
        <w:rPr>
          <w:rFonts w:hint="cs"/>
          <w:rtl/>
          <w:lang w:val="tr-TR"/>
        </w:rPr>
        <w:t xml:space="preserve"> وقال شيخ الحنابلة القاضى أبو يعلى</w:t>
      </w:r>
      <w:r w:rsidR="000636C2">
        <w:rPr>
          <w:rFonts w:hint="cs"/>
          <w:rtl/>
          <w:lang w:val="tr-TR"/>
        </w:rPr>
        <w:t>:</w:t>
      </w:r>
      <w:r w:rsidRPr="005675B2">
        <w:rPr>
          <w:rFonts w:hint="cs"/>
          <w:rtl/>
          <w:lang w:val="tr-TR"/>
        </w:rPr>
        <w:t xml:space="preserve"> « وأما وصفه بأنه واحد فإنه يرجع إلى نفي الشريك، وأنه لا ثاني له، وإلى نفي التجزؤ والإنقسام عن ذاته » </w:t>
      </w:r>
      <w:r w:rsidR="000636C2">
        <w:rPr>
          <w:rFonts w:hint="cs"/>
          <w:rtl/>
          <w:lang w:val="tr-TR"/>
        </w:rPr>
        <w:t>[</w:t>
      </w:r>
      <w:r w:rsidRPr="005675B2">
        <w:rPr>
          <w:rFonts w:hint="cs"/>
          <w:sz w:val="24"/>
          <w:szCs w:val="24"/>
          <w:rtl/>
          <w:lang w:val="tr-TR"/>
        </w:rPr>
        <w:t>المعتمد 26]</w:t>
      </w:r>
      <w:r w:rsidRPr="005675B2">
        <w:rPr>
          <w:rFonts w:hint="cs"/>
          <w:rtl/>
          <w:lang w:val="tr-TR"/>
        </w:rPr>
        <w:t xml:space="preserve"> وقال ابن تيمية</w:t>
      </w:r>
      <w:r w:rsidR="000636C2">
        <w:rPr>
          <w:rFonts w:hint="cs"/>
          <w:rtl/>
          <w:lang w:val="tr-TR"/>
        </w:rPr>
        <w:t>:</w:t>
      </w:r>
      <w:r w:rsidRPr="005675B2">
        <w:rPr>
          <w:rFonts w:hint="cs"/>
          <w:rtl/>
          <w:lang w:val="tr-TR"/>
        </w:rPr>
        <w:t xml:space="preserve"> « فإن الله سبحانه أحد صمد لم يلد ولم يولد ولم يكن له كفوا أحد، فيمتنع عليه أن يتفرق أو يتجزء أو يكون قد ركب من أجزاء » [</w:t>
      </w:r>
      <w:r w:rsidRPr="005675B2">
        <w:rPr>
          <w:rFonts w:hint="cs"/>
          <w:sz w:val="24"/>
          <w:szCs w:val="24"/>
          <w:rtl/>
          <w:lang w:val="tr-TR"/>
        </w:rPr>
        <w:t>الرسالة التدمرية 119</w:t>
      </w:r>
      <w:r w:rsidRPr="005675B2">
        <w:rPr>
          <w:rFonts w:hint="cs"/>
          <w:sz w:val="24"/>
          <w:szCs w:val="24"/>
          <w:rtl/>
        </w:rPr>
        <w:t>]</w:t>
      </w:r>
      <w:r w:rsidR="000636C2">
        <w:rPr>
          <w:rFonts w:hint="cs"/>
          <w:rtl/>
          <w:lang w:val="tr-TR"/>
        </w:rPr>
        <w:t>،</w:t>
      </w:r>
      <w:r w:rsidRPr="005675B2">
        <w:rPr>
          <w:rFonts w:hint="cs"/>
          <w:rtl/>
          <w:lang w:val="tr-TR"/>
        </w:rPr>
        <w:t xml:space="preserve"> الخطأ الخامس</w:t>
      </w:r>
      <w:r w:rsidR="000636C2">
        <w:rPr>
          <w:rFonts w:hint="cs"/>
          <w:rtl/>
          <w:lang w:val="tr-TR"/>
        </w:rPr>
        <w:t>:</w:t>
      </w:r>
      <w:r w:rsidRPr="005675B2">
        <w:rPr>
          <w:rFonts w:hint="cs"/>
          <w:rtl/>
          <w:lang w:val="tr-TR"/>
        </w:rPr>
        <w:t xml:space="preserve"> قوله</w:t>
      </w:r>
      <w:r w:rsidR="000636C2">
        <w:rPr>
          <w:rFonts w:hint="cs"/>
          <w:rtl/>
          <w:lang w:val="tr-TR"/>
        </w:rPr>
        <w:t>:</w:t>
      </w:r>
      <w:r w:rsidRPr="005675B2">
        <w:rPr>
          <w:rFonts w:hint="cs"/>
          <w:rtl/>
          <w:lang w:val="tr-TR"/>
        </w:rPr>
        <w:t xml:space="preserve"> </w:t>
      </w:r>
      <w:r w:rsidR="000636C2">
        <w:rPr>
          <w:rFonts w:hint="cs"/>
          <w:rtl/>
          <w:lang w:val="tr-TR"/>
        </w:rPr>
        <w:t>(</w:t>
      </w:r>
      <w:r w:rsidRPr="005675B2">
        <w:rPr>
          <w:rFonts w:hint="cs"/>
          <w:rtl/>
          <w:lang w:val="tr-TR"/>
        </w:rPr>
        <w:t>ومن هذا المعنى فسروا الإ̃له بأنه الخالق أو القادر على الإختراع</w:t>
      </w:r>
      <w:r w:rsidR="000636C2">
        <w:rPr>
          <w:rFonts w:hint="cs"/>
          <w:rtl/>
          <w:lang w:val="tr-TR"/>
        </w:rPr>
        <w:t xml:space="preserve">)، </w:t>
      </w:r>
      <w:r w:rsidRPr="005675B2">
        <w:rPr>
          <w:rFonts w:hint="cs"/>
          <w:rtl/>
          <w:lang w:val="tr-TR"/>
        </w:rPr>
        <w:t>وقد علمت أن الأشاعرة قد فسروا ال</w:t>
      </w:r>
      <w:r w:rsidRPr="005675B2">
        <w:rPr>
          <w:rFonts w:hint="cs"/>
          <w:rtl/>
        </w:rPr>
        <w:t>إ̃له</w:t>
      </w:r>
      <w:r w:rsidRPr="005675B2">
        <w:rPr>
          <w:rFonts w:hint="cs"/>
          <w:rtl/>
          <w:lang w:val="tr-TR"/>
        </w:rPr>
        <w:t>ية بالإتصاف بالصفات التى لأجلها استحق أن يكون معبودا، فال</w:t>
      </w:r>
      <w:r w:rsidRPr="005675B2">
        <w:rPr>
          <w:rFonts w:hint="cs"/>
          <w:rtl/>
        </w:rPr>
        <w:t>إ̃له</w:t>
      </w:r>
      <w:r w:rsidRPr="005675B2">
        <w:rPr>
          <w:rFonts w:hint="cs"/>
          <w:rtl/>
          <w:lang w:val="tr-TR"/>
        </w:rPr>
        <w:t xml:space="preserve"> عندهم على هذا هو المتصف بتلك الصفات، وليس هو الخالق أو القادر على الاختراع كما يقول الدكتور</w:t>
      </w:r>
      <w:r w:rsidR="000636C2">
        <w:rPr>
          <w:rFonts w:hint="cs"/>
          <w:rtl/>
          <w:lang w:val="tr-TR"/>
        </w:rPr>
        <w:t>،</w:t>
      </w:r>
      <w:r w:rsidRPr="005675B2">
        <w:rPr>
          <w:rFonts w:hint="cs"/>
          <w:rtl/>
          <w:lang w:val="tr-TR"/>
        </w:rPr>
        <w:t xml:space="preserve"> وليت شعري من الذي فسر الإ̃له منهم بالخالق أو القادر على الاختراع</w:t>
      </w:r>
      <w:r w:rsidR="000636C2">
        <w:rPr>
          <w:rFonts w:hint="cs"/>
          <w:rtl/>
          <w:lang w:val="tr-TR"/>
        </w:rPr>
        <w:t>؟!</w:t>
      </w:r>
      <w:r w:rsidRPr="005675B2">
        <w:rPr>
          <w:rFonts w:hint="cs"/>
          <w:rtl/>
          <w:lang w:val="tr-TR"/>
        </w:rPr>
        <w:t xml:space="preserve"> </w:t>
      </w:r>
      <w:r w:rsidR="000636C2">
        <w:rPr>
          <w:rFonts w:hint="cs"/>
          <w:spacing w:val="-8"/>
          <w:rtl/>
        </w:rPr>
        <w:t>(</w:t>
      </w:r>
      <w:r w:rsidRPr="005675B2">
        <w:rPr>
          <w:rFonts w:hint="cs"/>
          <w:spacing w:val="-8"/>
          <w:rtl/>
        </w:rPr>
        <w:t>الخطأ السادس</w:t>
      </w:r>
      <w:r w:rsidR="000636C2">
        <w:rPr>
          <w:rFonts w:hint="cs"/>
          <w:spacing w:val="-8"/>
          <w:rtl/>
        </w:rPr>
        <w:t>):</w:t>
      </w:r>
      <w:r w:rsidRPr="005675B2">
        <w:rPr>
          <w:rFonts w:hint="cs"/>
          <w:spacing w:val="-8"/>
          <w:rtl/>
        </w:rPr>
        <w:t xml:space="preserve"> قوله</w:t>
      </w:r>
      <w:r w:rsidR="000636C2">
        <w:rPr>
          <w:rFonts w:hint="cs"/>
          <w:spacing w:val="-8"/>
          <w:rtl/>
        </w:rPr>
        <w:t>:</w:t>
      </w:r>
      <w:r w:rsidRPr="005675B2">
        <w:rPr>
          <w:rFonts w:hint="cs"/>
          <w:spacing w:val="-8"/>
          <w:rtl/>
        </w:rPr>
        <w:t xml:space="preserve"> </w:t>
      </w:r>
      <w:r w:rsidR="000636C2">
        <w:rPr>
          <w:rFonts w:hint="cs"/>
          <w:spacing w:val="-8"/>
          <w:rtl/>
        </w:rPr>
        <w:t>(</w:t>
      </w:r>
      <w:r w:rsidRPr="005675B2">
        <w:rPr>
          <w:rFonts w:hint="cs"/>
          <w:spacing w:val="-8"/>
          <w:rtl/>
        </w:rPr>
        <w:t>وأنكروا بعض الصفات كالوجه واليد والعين، لأنها تدل على التركيب والأجزاء عندهم</w:t>
      </w:r>
      <w:r w:rsidR="000636C2">
        <w:rPr>
          <w:rFonts w:hint="cs"/>
          <w:spacing w:val="-8"/>
          <w:rtl/>
        </w:rPr>
        <w:t>)</w:t>
      </w:r>
      <w:r w:rsidRPr="005675B2">
        <w:rPr>
          <w:rFonts w:hint="cs"/>
          <w:spacing w:val="-8"/>
          <w:rtl/>
        </w:rPr>
        <w:t xml:space="preserve"> أقول</w:t>
      </w:r>
      <w:r w:rsidR="000636C2">
        <w:rPr>
          <w:rFonts w:hint="cs"/>
          <w:spacing w:val="-8"/>
          <w:rtl/>
        </w:rPr>
        <w:t>:</w:t>
      </w:r>
      <w:r w:rsidRPr="005675B2">
        <w:rPr>
          <w:rFonts w:hint="cs"/>
          <w:spacing w:val="-8"/>
          <w:rtl/>
        </w:rPr>
        <w:t xml:space="preserve"> نعم قد أنكر الأشاعرة تلك الصفات بمعنى الجارحة لاستلزامه التركيب والأجزاء، وهذا النفي مما اتفق عليه سلف الامة وخلفها، ولا أدري هل الدكتور يثبتها بمعنى الجارحة لله تعالى كما يدل عليه سياق كلامه</w:t>
      </w:r>
      <w:r w:rsidR="000636C2">
        <w:rPr>
          <w:rFonts w:hint="cs"/>
          <w:spacing w:val="-8"/>
          <w:rtl/>
        </w:rPr>
        <w:t>!</w:t>
      </w:r>
      <w:r w:rsidRPr="005675B2">
        <w:rPr>
          <w:rFonts w:hint="cs"/>
          <w:spacing w:val="-8"/>
          <w:rtl/>
        </w:rPr>
        <w:t>! تعالى الله عن ذلك علوا كبيرا</w:t>
      </w:r>
      <w:r w:rsidR="000636C2">
        <w:rPr>
          <w:rFonts w:hint="cs"/>
          <w:spacing w:val="-8"/>
          <w:rtl/>
        </w:rPr>
        <w:t xml:space="preserve">! </w:t>
      </w:r>
      <w:r w:rsidR="000636C2">
        <w:rPr>
          <w:rFonts w:hint="cs"/>
          <w:rtl/>
        </w:rPr>
        <w:t>(</w:t>
      </w:r>
      <w:r w:rsidRPr="005675B2">
        <w:rPr>
          <w:rFonts w:hint="cs"/>
          <w:rtl/>
        </w:rPr>
        <w:t>الخطأ 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وأما التوحيد الحقيقي وما يقابله من الشرك ومعرفته والتحذير منه فلا ذكر له في كتب عقيدتهم إطلاقا .. إلى آخر كلامه</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قدمنا أن الأشاعرة قد ذكروا التوحيد بتعريف واضح جامع مانع يتضح منه تعريف الشرك كذلك، ولكن ماذا نقول للذي يتكلم عن عدم معرفة وعدم رغبة في معرفة ما يتكلم فيه، وإنما يتكلم مندفعا عما تَمَلّكَ نفسَه وتمكن في قلبه من الحقد على أئمة الأمة وقادتها</w:t>
      </w:r>
      <w:r w:rsidR="000636C2">
        <w:rPr>
          <w:rFonts w:hint="cs"/>
          <w:rtl/>
        </w:rPr>
        <w:t xml:space="preserve">، </w:t>
      </w:r>
      <w:r w:rsidRPr="005675B2">
        <w:rPr>
          <w:rFonts w:hint="cs"/>
          <w:spacing w:val="-8"/>
          <w:rtl/>
        </w:rPr>
        <w:t>صحيح أنه لم يتوسع الأشاعرة في كتبهم العَقَدية في الكلام على الشرك العملي كالعبادة لغير الله تعالى والذبح له لأن موضوع كتب العقيدة هو العقيدة وليس العمل، وقد توسعوا في الكلام عليه في كتب الفقه في باب الردة وفي كتبهم في التفسير وفي شروح الحديث</w:t>
      </w:r>
      <w:r w:rsidR="000636C2">
        <w:rPr>
          <w:rFonts w:hint="cs"/>
          <w:spacing w:val="-8"/>
          <w:rtl/>
        </w:rPr>
        <w:t>،</w:t>
      </w:r>
      <w:r w:rsidRPr="005675B2">
        <w:rPr>
          <w:rFonts w:hint="cs"/>
          <w:spacing w:val="-8"/>
          <w:rtl/>
        </w:rPr>
        <w:t xml:space="preserve"> نعم الشرك العملي مبني على الشرك الإعتقادي وهو إثبات شيئ من خواص الإ̃لهية لغير الله تعالى، وقد بينوا الشرك الإعتقادي في كتبهم العقدية كما تقدم في كلام التفتازاني وكلام ابن الهمام وابن أبى شريف، وقال الباقلاني في "الإنصاف"</w:t>
      </w:r>
      <w:r w:rsidR="000636C2">
        <w:rPr>
          <w:rFonts w:hint="cs"/>
          <w:spacing w:val="-8"/>
          <w:rtl/>
        </w:rPr>
        <w:t>:</w:t>
      </w:r>
      <w:r w:rsidRPr="005675B2">
        <w:rPr>
          <w:rFonts w:hint="cs"/>
          <w:spacing w:val="-8"/>
          <w:rtl/>
        </w:rPr>
        <w:t xml:space="preserve"> « ويجب أن يعلم أن صانع العالم جلت قدرته واحد أحد، ومعنى ذلك أنه ليس معه إ̃له سواه، ولا من يستحق العبادة إلا إياه ولا نريد بذلك أنه واحد من جهة العدد، وكذلك قولنا</w:t>
      </w:r>
      <w:r w:rsidR="000636C2">
        <w:rPr>
          <w:rFonts w:hint="cs"/>
          <w:spacing w:val="-8"/>
          <w:rtl/>
        </w:rPr>
        <w:t>:</w:t>
      </w:r>
      <w:r w:rsidRPr="005675B2">
        <w:rPr>
          <w:rFonts w:hint="cs"/>
          <w:spacing w:val="-8"/>
          <w:rtl/>
        </w:rPr>
        <w:t xml:space="preserve"> أحد وفرد وجود ذلك، إنما نريد به أنه لا شبيه له ولا نظير، ونريد بذلك أنه ليس معه من يستحق الإ̃لهية سواه</w:t>
      </w:r>
      <w:r w:rsidR="000636C2">
        <w:rPr>
          <w:rFonts w:hint="cs"/>
          <w:spacing w:val="-8"/>
          <w:rtl/>
        </w:rPr>
        <w:t>،</w:t>
      </w:r>
      <w:r w:rsidRPr="005675B2">
        <w:rPr>
          <w:rFonts w:hint="cs"/>
          <w:spacing w:val="-8"/>
          <w:rtl/>
        </w:rPr>
        <w:t xml:space="preserve"> وقد قال الله تعالى</w:t>
      </w:r>
      <w:r w:rsidR="000636C2">
        <w:rPr>
          <w:rFonts w:hint="cs"/>
          <w:spacing w:val="-8"/>
          <w:rtl/>
        </w:rPr>
        <w:t>:</w:t>
      </w:r>
      <w:r w:rsidRPr="005675B2">
        <w:rPr>
          <w:rFonts w:hint="cs"/>
          <w:spacing w:val="-8"/>
          <w:rtl/>
        </w:rPr>
        <w:t xml:space="preserve"> </w:t>
      </w:r>
      <w:r w:rsidR="000636C2">
        <w:rPr>
          <w:rFonts w:hint="cs"/>
          <w:spacing w:val="-8"/>
          <w:rtl/>
        </w:rPr>
        <w:t>(</w:t>
      </w:r>
      <w:r w:rsidRPr="005675B2">
        <w:rPr>
          <w:rFonts w:hint="cs"/>
          <w:spacing w:val="-8"/>
          <w:rtl/>
        </w:rPr>
        <w:t>إنما الله إ̃له واحد ومعناه لا إ̃له إلا الله » وقال عز الدين بن عبد السلام</w:t>
      </w:r>
      <w:r w:rsidR="000636C2">
        <w:rPr>
          <w:rFonts w:hint="cs"/>
          <w:spacing w:val="-8"/>
          <w:rtl/>
        </w:rPr>
        <w:t>:</w:t>
      </w:r>
      <w:r w:rsidRPr="005675B2">
        <w:rPr>
          <w:rFonts w:hint="cs"/>
          <w:spacing w:val="-8"/>
          <w:rtl/>
        </w:rPr>
        <w:t xml:space="preserve"> « فإن الألوهية ترجع إلى استحقاق العبادة، ولا يستحق العبودية إلا من اتصف بجميع ما ذكرناه » ثم قال</w:t>
      </w:r>
      <w:r w:rsidR="000636C2">
        <w:rPr>
          <w:rFonts w:hint="cs"/>
          <w:spacing w:val="-8"/>
          <w:rtl/>
        </w:rPr>
        <w:t>:</w:t>
      </w:r>
      <w:r w:rsidRPr="005675B2">
        <w:rPr>
          <w:rFonts w:hint="cs"/>
          <w:spacing w:val="-8"/>
          <w:rtl/>
        </w:rPr>
        <w:t xml:space="preserve"> « ولا يستحق الإ̃لهية إلا من اتصف بجميع ما قررناه » </w:t>
      </w:r>
      <w:r w:rsidR="000636C2">
        <w:rPr>
          <w:rFonts w:hint="cs"/>
          <w:spacing w:val="-8"/>
          <w:rtl/>
        </w:rPr>
        <w:t>[</w:t>
      </w:r>
      <w:r w:rsidRPr="005675B2">
        <w:rPr>
          <w:rFonts w:hint="cs"/>
          <w:sz w:val="24"/>
          <w:szCs w:val="24"/>
          <w:rtl/>
        </w:rPr>
        <w:t>العقائد 11-12]</w:t>
      </w:r>
      <w:r w:rsidRPr="005675B2">
        <w:rPr>
          <w:rFonts w:hint="cs"/>
          <w:spacing w:val="-8"/>
          <w:rtl/>
        </w:rPr>
        <w:t xml:space="preserve"> وقال السنوسي</w:t>
      </w:r>
      <w:r w:rsidR="000636C2">
        <w:rPr>
          <w:rFonts w:hint="cs"/>
          <w:spacing w:val="-8"/>
          <w:rtl/>
        </w:rPr>
        <w:t>:</w:t>
      </w:r>
      <w:r w:rsidRPr="005675B2">
        <w:rPr>
          <w:rFonts w:hint="cs"/>
          <w:spacing w:val="-8"/>
          <w:rtl/>
        </w:rPr>
        <w:t xml:space="preserve"> « وأنواع الشرك ستة</w:t>
      </w:r>
      <w:r w:rsidR="000636C2">
        <w:rPr>
          <w:rFonts w:hint="cs"/>
          <w:spacing w:val="-8"/>
          <w:rtl/>
        </w:rPr>
        <w:t>:</w:t>
      </w:r>
      <w:r w:rsidRPr="005675B2">
        <w:rPr>
          <w:rFonts w:hint="cs"/>
          <w:spacing w:val="-8"/>
          <w:rtl/>
        </w:rPr>
        <w:t xml:space="preserve"> شرك الاستقلال، وهو إثبات إلهين مستقلين كشرك المجوس، وشرك التبعيض، وهو تركيب إ̃له من آلهة كشرك النصارى، وشرك تقرب، وهو عبادة غير الله تعالى ليتقرب إلى الله تعالى زلفى، كشرك متقدمي الجاهلية، وشرك تقليد، وهو عبادة غير الله تبعا للغير كشرك متأخري الجاهلية ..</w:t>
      </w:r>
      <w:r w:rsidR="000636C2">
        <w:rPr>
          <w:rFonts w:hint="cs"/>
          <w:spacing w:val="-8"/>
          <w:rtl/>
        </w:rPr>
        <w:t xml:space="preserve"> </w:t>
      </w:r>
      <w:r w:rsidRPr="005675B2">
        <w:rPr>
          <w:rFonts w:hint="cs"/>
          <w:spacing w:val="-8"/>
          <w:rtl/>
        </w:rPr>
        <w:t>»</w:t>
      </w:r>
      <w:r w:rsidR="000636C2">
        <w:rPr>
          <w:rFonts w:hint="cs"/>
          <w:spacing w:val="-8"/>
          <w:rtl/>
        </w:rPr>
        <w:t xml:space="preserve"> </w:t>
      </w:r>
      <w:r w:rsidRPr="005675B2">
        <w:rPr>
          <w:rFonts w:hint="cs"/>
          <w:sz w:val="24"/>
          <w:szCs w:val="24"/>
          <w:rtl/>
        </w:rPr>
        <w:t>شرح المقدمات 32-40]</w:t>
      </w:r>
    </w:p>
    <w:p w14:paraId="14B6379E" w14:textId="12CDE542" w:rsidR="009C32A0" w:rsidRPr="005675B2" w:rsidRDefault="009C32A0" w:rsidP="000636C2">
      <w:pPr>
        <w:rPr>
          <w:b/>
          <w:rtl/>
        </w:rPr>
      </w:pPr>
      <w:r w:rsidRPr="005675B2">
        <w:rPr>
          <w:rFonts w:hint="cs"/>
          <w:rtl/>
        </w:rPr>
        <w:t>39 - أول واجب على المكلف وما تورط فيه الدكتور من الأخطاء في بيان المسألة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أما أول واجب عند الأشاعرة فهو النظر، أو القصد إلى النظر أو أول جزء من النظر، أو ..</w:t>
      </w:r>
      <w:r w:rsidR="000636C2">
        <w:rPr>
          <w:rFonts w:hint="cs"/>
          <w:rtl/>
        </w:rPr>
        <w:t>!</w:t>
      </w:r>
      <w:r w:rsidRPr="005675B2">
        <w:rPr>
          <w:rFonts w:hint="cs"/>
          <w:rtl/>
        </w:rPr>
        <w:t xml:space="preserve"> إلى آخر فلسفتهم المختلف فيها</w:t>
      </w:r>
      <w:r w:rsidR="000636C2">
        <w:rPr>
          <w:rFonts w:hint="cs"/>
          <w:rtl/>
        </w:rPr>
        <w:t>،</w:t>
      </w:r>
      <w:r w:rsidRPr="005675B2">
        <w:rPr>
          <w:rFonts w:hint="cs"/>
          <w:rtl/>
        </w:rPr>
        <w:t xml:space="preserve"> وعندهم أن الإنسان إذا بلغ وجب عليه النظر، ثم الإيمان، واختلفوا فيمن مات قبل النظر أو أثنائه، أيحكم له بالإسلام أم بالكفر</w:t>
      </w:r>
      <w:r w:rsidR="000636C2">
        <w:rPr>
          <w:rFonts w:hint="cs"/>
          <w:rtl/>
        </w:rPr>
        <w:t>؟!</w:t>
      </w:r>
      <w:r w:rsidRPr="005675B2">
        <w:rPr>
          <w:rFonts w:hint="cs"/>
          <w:rtl/>
        </w:rPr>
        <w:t xml:space="preserve"> وينكر الأشاعرة المعرفة الفطرية، ويقولون</w:t>
      </w:r>
      <w:r w:rsidR="000636C2">
        <w:rPr>
          <w:rFonts w:hint="cs"/>
          <w:rtl/>
        </w:rPr>
        <w:t>:</w:t>
      </w:r>
      <w:r w:rsidRPr="005675B2">
        <w:rPr>
          <w:rFonts w:hint="cs"/>
          <w:rtl/>
        </w:rPr>
        <w:t xml:space="preserve"> من آمن بالله بغير طريق النظر فإنما هو مقلد ورجح بعضهم كفره، واكتفى بعضهم بتعصيته .. وإن لازم قولهم تكفير العوام، بل تكفير صدر الأول "</w:t>
      </w:r>
      <w:r w:rsidR="000636C2">
        <w:rPr>
          <w:rFonts w:hint="cs"/>
          <w:rtl/>
        </w:rPr>
        <w:t>،</w:t>
      </w:r>
      <w:r w:rsidRPr="005675B2">
        <w:rPr>
          <w:rFonts w:hint="cs"/>
          <w:rtl/>
        </w:rPr>
        <w:t xml:space="preserve"> </w:t>
      </w:r>
      <w:r w:rsidRPr="005675B2">
        <w:rPr>
          <w:rFonts w:hint="cs"/>
          <w:spacing w:val="-8"/>
          <w:rtl/>
        </w:rPr>
        <w:t>قد أشار الدكتور سفر بهذا الكلام إلى مسألتين من مسائل علم الكلام، الأولى</w:t>
      </w:r>
      <w:r w:rsidR="000636C2">
        <w:rPr>
          <w:rFonts w:hint="cs"/>
          <w:spacing w:val="-8"/>
          <w:rtl/>
        </w:rPr>
        <w:t>:</w:t>
      </w:r>
      <w:r w:rsidRPr="005675B2">
        <w:rPr>
          <w:rFonts w:hint="cs"/>
          <w:spacing w:val="-8"/>
          <w:rtl/>
        </w:rPr>
        <w:t xml:space="preserve"> مسألة أول واجب على المكلف، والثانية</w:t>
      </w:r>
      <w:r w:rsidR="000636C2">
        <w:rPr>
          <w:rFonts w:hint="cs"/>
          <w:spacing w:val="-8"/>
          <w:rtl/>
        </w:rPr>
        <w:t>:</w:t>
      </w:r>
      <w:r w:rsidRPr="005675B2">
        <w:rPr>
          <w:rFonts w:hint="cs"/>
          <w:spacing w:val="-8"/>
          <w:rtl/>
        </w:rPr>
        <w:t xml:space="preserve"> مسألة وجوب النظر في معرفة الله تعالى، وقد وقع فيهما في أخطاء جسيمة، فلا بد أن يحقق المسألتين المشار إليهما</w:t>
      </w:r>
      <w:r w:rsidR="000636C2">
        <w:rPr>
          <w:rFonts w:hint="cs"/>
          <w:spacing w:val="-8"/>
          <w:rtl/>
        </w:rPr>
        <w:t xml:space="preserve">، </w:t>
      </w:r>
      <w:r w:rsidRPr="005675B2">
        <w:rPr>
          <w:rFonts w:hint="cs"/>
          <w:rtl/>
        </w:rPr>
        <w:t>أما المسألة الأولى فننقل فيها كلام القاضي عضد الدين الإيجي في المواقف مع شرحه للسيد الشريف الجرجاني مع الاختصار فيهما</w:t>
      </w:r>
      <w:r w:rsidR="000636C2">
        <w:rPr>
          <w:rFonts w:hint="cs"/>
          <w:rtl/>
        </w:rPr>
        <w:t>،</w:t>
      </w:r>
      <w:r w:rsidRPr="005675B2">
        <w:rPr>
          <w:rFonts w:hint="cs"/>
          <w:rtl/>
        </w:rPr>
        <w:t xml:space="preserve"> ونفتتح بها الكلام، وأما المسألة الثانية فنبينها فيما بعد</w:t>
      </w:r>
      <w:r w:rsidR="000636C2">
        <w:rPr>
          <w:rFonts w:hint="cs"/>
          <w:rtl/>
        </w:rPr>
        <w:t>،</w:t>
      </w:r>
      <w:r w:rsidRPr="005675B2">
        <w:rPr>
          <w:rFonts w:hint="cs"/>
          <w:rtl/>
        </w:rPr>
        <w:t xml:space="preserve"> وإليك كلام "المواقف" وشرحه في المسألة</w:t>
      </w:r>
      <w:r w:rsidR="000636C2">
        <w:rPr>
          <w:rFonts w:hint="cs"/>
          <w:rtl/>
        </w:rPr>
        <w:t>:</w:t>
      </w:r>
      <w:r w:rsidRPr="005675B2">
        <w:rPr>
          <w:rFonts w:hint="cs"/>
          <w:rtl/>
        </w:rPr>
        <w:t xml:space="preserve"> </w:t>
      </w:r>
      <w:r w:rsidR="000636C2">
        <w:rPr>
          <w:rFonts w:hint="cs"/>
          <w:rtl/>
        </w:rPr>
        <w:t>(</w:t>
      </w:r>
      <w:r w:rsidRPr="005675B2">
        <w:rPr>
          <w:rFonts w:hint="cs"/>
          <w:rtl/>
        </w:rPr>
        <w:t>المقصد السابع</w:t>
      </w:r>
      <w:r w:rsidR="000636C2">
        <w:rPr>
          <w:rFonts w:hint="cs"/>
          <w:rtl/>
        </w:rPr>
        <w:t>:</w:t>
      </w:r>
      <w:r w:rsidRPr="005675B2">
        <w:rPr>
          <w:rFonts w:hint="cs"/>
          <w:rtl/>
        </w:rPr>
        <w:t xml:space="preserve"> قد اختلف في أول واجب على المكلف</w:t>
      </w:r>
      <w:r w:rsidR="000636C2">
        <w:rPr>
          <w:rFonts w:hint="cs"/>
          <w:rtl/>
        </w:rPr>
        <w:t>)</w:t>
      </w:r>
      <w:r w:rsidRPr="005675B2">
        <w:rPr>
          <w:rFonts w:hint="cs"/>
          <w:rtl/>
        </w:rPr>
        <w:t xml:space="preserve"> أنه ماذا </w:t>
      </w:r>
      <w:r w:rsidR="000636C2">
        <w:rPr>
          <w:rFonts w:hint="cs"/>
          <w:rtl/>
        </w:rPr>
        <w:t>(</w:t>
      </w:r>
      <w:r w:rsidRPr="005675B2">
        <w:rPr>
          <w:rFonts w:hint="cs"/>
          <w:rtl/>
        </w:rPr>
        <w:t>فالأكثر</w:t>
      </w:r>
      <w:r w:rsidR="000636C2">
        <w:rPr>
          <w:rFonts w:hint="cs"/>
          <w:rtl/>
        </w:rPr>
        <w:t>)</w:t>
      </w:r>
      <w:r w:rsidRPr="005675B2">
        <w:rPr>
          <w:rFonts w:hint="cs"/>
          <w:rtl/>
        </w:rPr>
        <w:t xml:space="preserve"> ومنهم الشيخ أبو الحسن الأشعري </w:t>
      </w:r>
      <w:r w:rsidR="000636C2">
        <w:rPr>
          <w:rFonts w:hint="cs"/>
          <w:rtl/>
        </w:rPr>
        <w:t>(</w:t>
      </w:r>
      <w:r w:rsidRPr="005675B2">
        <w:rPr>
          <w:rFonts w:hint="cs"/>
          <w:rtl/>
        </w:rPr>
        <w:t>على أنه معرفة الله تعالى إذ هو أصل المعارف</w:t>
      </w:r>
      <w:r w:rsidR="000636C2">
        <w:rPr>
          <w:rFonts w:hint="cs"/>
          <w:rtl/>
        </w:rPr>
        <w:t>)</w:t>
      </w:r>
      <w:r w:rsidRPr="005675B2">
        <w:rPr>
          <w:rFonts w:hint="cs"/>
          <w:rtl/>
        </w:rPr>
        <w:t xml:space="preserve"> والعقائد </w:t>
      </w:r>
      <w:r w:rsidR="000636C2">
        <w:rPr>
          <w:rFonts w:hint="cs"/>
          <w:rtl/>
        </w:rPr>
        <w:t>(</w:t>
      </w:r>
      <w:r w:rsidRPr="005675B2">
        <w:rPr>
          <w:rFonts w:hint="cs"/>
          <w:rtl/>
        </w:rPr>
        <w:t>الدينية، وعليه يتفرع وجوب كل واجب</w:t>
      </w:r>
      <w:r w:rsidR="000636C2">
        <w:rPr>
          <w:rFonts w:hint="cs"/>
          <w:rtl/>
        </w:rPr>
        <w:t>)</w:t>
      </w:r>
      <w:r w:rsidRPr="005675B2">
        <w:rPr>
          <w:rFonts w:hint="cs"/>
          <w:rtl/>
        </w:rPr>
        <w:t xml:space="preserve"> من الواجبات الشرعية </w:t>
      </w:r>
      <w:r w:rsidR="000636C2">
        <w:rPr>
          <w:rFonts w:hint="cs"/>
          <w:rtl/>
        </w:rPr>
        <w:t>(</w:t>
      </w:r>
      <w:r w:rsidRPr="005675B2">
        <w:rPr>
          <w:rFonts w:hint="cs"/>
          <w:rtl/>
        </w:rPr>
        <w:t>وقيل</w:t>
      </w:r>
      <w:r w:rsidR="000636C2">
        <w:rPr>
          <w:rFonts w:hint="cs"/>
          <w:rtl/>
        </w:rPr>
        <w:t>:</w:t>
      </w:r>
      <w:r w:rsidRPr="005675B2">
        <w:rPr>
          <w:rFonts w:hint="cs"/>
          <w:rtl/>
        </w:rPr>
        <w:t xml:space="preserve"> هو النظر فيها</w:t>
      </w:r>
      <w:r w:rsidR="000636C2">
        <w:rPr>
          <w:rFonts w:hint="cs"/>
          <w:rtl/>
        </w:rPr>
        <w:t>)</w:t>
      </w:r>
      <w:r w:rsidRPr="005675B2">
        <w:rPr>
          <w:rFonts w:hint="cs"/>
          <w:rtl/>
        </w:rPr>
        <w:t xml:space="preserve"> أي في معرفة الله سبحانه </w:t>
      </w:r>
      <w:r w:rsidR="000636C2">
        <w:rPr>
          <w:rFonts w:hint="cs"/>
          <w:rtl/>
        </w:rPr>
        <w:t>(</w:t>
      </w:r>
      <w:r w:rsidRPr="005675B2">
        <w:rPr>
          <w:rFonts w:hint="cs"/>
          <w:rtl/>
        </w:rPr>
        <w:t>لأنه واجب</w:t>
      </w:r>
      <w:r w:rsidR="000636C2">
        <w:rPr>
          <w:rFonts w:hint="cs"/>
          <w:rtl/>
        </w:rPr>
        <w:t>)</w:t>
      </w:r>
      <w:r w:rsidRPr="005675B2">
        <w:rPr>
          <w:rFonts w:hint="cs"/>
          <w:rtl/>
        </w:rPr>
        <w:t xml:space="preserve"> اتفاقا كما مر </w:t>
      </w:r>
      <w:r w:rsidR="000636C2">
        <w:rPr>
          <w:rFonts w:hint="cs"/>
          <w:rtl/>
        </w:rPr>
        <w:t>(</w:t>
      </w:r>
      <w:r w:rsidRPr="005675B2">
        <w:rPr>
          <w:rFonts w:hint="cs"/>
          <w:rtl/>
        </w:rPr>
        <w:t>وهو قبلها</w:t>
      </w:r>
      <w:r w:rsidR="000636C2">
        <w:rPr>
          <w:rFonts w:hint="cs"/>
          <w:rtl/>
        </w:rPr>
        <w:t>)</w:t>
      </w:r>
      <w:r w:rsidRPr="005675B2">
        <w:rPr>
          <w:rFonts w:hint="cs"/>
          <w:rtl/>
        </w:rPr>
        <w:t xml:space="preserve"> وهو مذهب جمهور المعتزلة والاستاذ أبي إسحاق الاسفرائيني </w:t>
      </w:r>
      <w:r w:rsidR="000636C2">
        <w:rPr>
          <w:rFonts w:hint="cs"/>
          <w:rtl/>
        </w:rPr>
        <w:t>(</w:t>
      </w:r>
      <w:r w:rsidRPr="005675B2">
        <w:rPr>
          <w:rFonts w:hint="cs"/>
          <w:rtl/>
        </w:rPr>
        <w:t>وقيل</w:t>
      </w:r>
      <w:r w:rsidR="000636C2">
        <w:rPr>
          <w:rFonts w:hint="cs"/>
          <w:rtl/>
        </w:rPr>
        <w:t>):</w:t>
      </w:r>
      <w:r w:rsidRPr="005675B2">
        <w:rPr>
          <w:rFonts w:hint="cs"/>
          <w:rtl/>
        </w:rPr>
        <w:t xml:space="preserve"> هو </w:t>
      </w:r>
      <w:r w:rsidR="000636C2">
        <w:rPr>
          <w:rFonts w:hint="cs"/>
          <w:rtl/>
        </w:rPr>
        <w:t>(</w:t>
      </w:r>
      <w:r w:rsidRPr="005675B2">
        <w:rPr>
          <w:rFonts w:hint="cs"/>
          <w:rtl/>
        </w:rPr>
        <w:t>أول جزء من النظر</w:t>
      </w:r>
      <w:r w:rsidR="000636C2">
        <w:rPr>
          <w:rFonts w:hint="cs"/>
          <w:rtl/>
        </w:rPr>
        <w:t>)</w:t>
      </w:r>
      <w:r w:rsidRPr="005675B2">
        <w:rPr>
          <w:rFonts w:hint="cs"/>
          <w:rtl/>
        </w:rPr>
        <w:t xml:space="preserve"> لأن وجوب الكل يستلزم وجوب أجزائه</w:t>
      </w:r>
      <w:r w:rsidR="000636C2">
        <w:rPr>
          <w:rFonts w:hint="cs"/>
          <w:rtl/>
        </w:rPr>
        <w:t>:</w:t>
      </w:r>
      <w:r w:rsidRPr="005675B2">
        <w:rPr>
          <w:rFonts w:hint="cs"/>
          <w:rtl/>
        </w:rPr>
        <w:t xml:space="preserve"> فأول جزء من النظر واجب، وهو متقدم على النظر المتقدم على المعرفة </w:t>
      </w:r>
      <w:r w:rsidR="000636C2">
        <w:rPr>
          <w:rFonts w:hint="cs"/>
          <w:rtl/>
        </w:rPr>
        <w:t>(</w:t>
      </w:r>
      <w:r w:rsidRPr="005675B2">
        <w:rPr>
          <w:rFonts w:hint="cs"/>
          <w:rtl/>
        </w:rPr>
        <w:t>وقال القاضي واختاره ابن فورك</w:t>
      </w:r>
      <w:r w:rsidR="000636C2">
        <w:rPr>
          <w:rFonts w:hint="cs"/>
          <w:rtl/>
        </w:rPr>
        <w:t>)</w:t>
      </w:r>
      <w:r w:rsidRPr="005675B2">
        <w:rPr>
          <w:rFonts w:hint="cs"/>
          <w:rtl/>
        </w:rPr>
        <w:t xml:space="preserve"> وإمام الحرمين</w:t>
      </w:r>
      <w:r w:rsidR="000636C2">
        <w:rPr>
          <w:rFonts w:hint="cs"/>
          <w:rtl/>
        </w:rPr>
        <w:t>:</w:t>
      </w:r>
      <w:r w:rsidRPr="005675B2">
        <w:rPr>
          <w:rFonts w:hint="cs"/>
          <w:rtl/>
        </w:rPr>
        <w:t xml:space="preserve"> إنه </w:t>
      </w:r>
      <w:r w:rsidR="000636C2">
        <w:rPr>
          <w:rFonts w:hint="cs"/>
          <w:rtl/>
        </w:rPr>
        <w:t>(</w:t>
      </w:r>
      <w:r w:rsidRPr="005675B2">
        <w:rPr>
          <w:rFonts w:hint="cs"/>
          <w:rtl/>
        </w:rPr>
        <w:t>القصد إلى النظر</w:t>
      </w:r>
      <w:r w:rsidR="000636C2">
        <w:rPr>
          <w:rFonts w:hint="cs"/>
          <w:rtl/>
        </w:rPr>
        <w:t>)</w:t>
      </w:r>
      <w:r w:rsidRPr="005675B2">
        <w:rPr>
          <w:rFonts w:hint="cs"/>
          <w:rtl/>
        </w:rPr>
        <w:t xml:space="preserve"> لأن النظر فعل اختياري مسبوق بالقصد المتقدم على أول أجزائه</w:t>
      </w:r>
      <w:r w:rsidR="000636C2">
        <w:rPr>
          <w:rFonts w:hint="cs"/>
          <w:rtl/>
        </w:rPr>
        <w:t>، (</w:t>
      </w:r>
      <w:r w:rsidRPr="005675B2">
        <w:rPr>
          <w:rFonts w:hint="cs"/>
          <w:rtl/>
        </w:rPr>
        <w:t>والنزاع لفظي إذلو أريد الواجب بالقصد الأول،</w:t>
      </w:r>
      <w:r w:rsidR="000636C2">
        <w:rPr>
          <w:rFonts w:hint="cs"/>
          <w:rtl/>
        </w:rPr>
        <w:t>)</w:t>
      </w:r>
      <w:r w:rsidRPr="005675B2">
        <w:rPr>
          <w:rFonts w:hint="cs"/>
          <w:rtl/>
        </w:rPr>
        <w:t xml:space="preserve"> أي لو أريد أول الواجبات المقصودة أولا وبالذات </w:t>
      </w:r>
      <w:r w:rsidR="000636C2">
        <w:rPr>
          <w:rFonts w:hint="cs"/>
          <w:rtl/>
        </w:rPr>
        <w:t>(</w:t>
      </w:r>
      <w:r w:rsidRPr="005675B2">
        <w:rPr>
          <w:rFonts w:hint="cs"/>
          <w:rtl/>
        </w:rPr>
        <w:t>فهو المعرفة</w:t>
      </w:r>
      <w:r w:rsidR="000636C2">
        <w:rPr>
          <w:rFonts w:hint="cs"/>
          <w:rtl/>
        </w:rPr>
        <w:t>)</w:t>
      </w:r>
      <w:r w:rsidRPr="005675B2">
        <w:rPr>
          <w:rFonts w:hint="cs"/>
          <w:rtl/>
        </w:rPr>
        <w:t xml:space="preserve"> اتفاقا </w:t>
      </w:r>
      <w:r w:rsidR="000636C2">
        <w:rPr>
          <w:rFonts w:hint="cs"/>
          <w:rtl/>
        </w:rPr>
        <w:t>(</w:t>
      </w:r>
      <w:r w:rsidRPr="005675B2">
        <w:rPr>
          <w:rFonts w:hint="cs"/>
          <w:rtl/>
        </w:rPr>
        <w:t>وإلا</w:t>
      </w:r>
      <w:r w:rsidR="000636C2">
        <w:rPr>
          <w:rFonts w:hint="cs"/>
          <w:rtl/>
        </w:rPr>
        <w:t>)</w:t>
      </w:r>
      <w:r w:rsidRPr="005675B2">
        <w:rPr>
          <w:rFonts w:hint="cs"/>
          <w:rtl/>
        </w:rPr>
        <w:t xml:space="preserve"> أي وإن لم يرد ذلك، بل أريد أول الواجبات مطلقا </w:t>
      </w:r>
      <w:r w:rsidR="000636C2">
        <w:rPr>
          <w:rFonts w:hint="cs"/>
          <w:rtl/>
        </w:rPr>
        <w:t>(</w:t>
      </w:r>
      <w:r w:rsidRPr="005675B2">
        <w:rPr>
          <w:rFonts w:hint="cs"/>
          <w:rtl/>
        </w:rPr>
        <w:t>فالقصد إلى النظر</w:t>
      </w:r>
      <w:r w:rsidR="000636C2">
        <w:rPr>
          <w:rFonts w:hint="cs"/>
          <w:rtl/>
        </w:rPr>
        <w:t>)</w:t>
      </w:r>
      <w:r w:rsidRPr="005675B2">
        <w:rPr>
          <w:rFonts w:hint="cs"/>
          <w:rtl/>
        </w:rPr>
        <w:t xml:space="preserve"> لأنه مقدمة للنظر الواجب مطلقا فيكون واجبا أيضا ..</w:t>
      </w:r>
      <w:r w:rsidR="000636C2">
        <w:rPr>
          <w:rFonts w:hint="cs"/>
          <w:rtl/>
        </w:rPr>
        <w:t xml:space="preserve"> (</w:t>
      </w:r>
      <w:r w:rsidRPr="005675B2">
        <w:rPr>
          <w:rFonts w:hint="cs"/>
          <w:rtl/>
        </w:rPr>
        <w:t>وقال أبو هاشم هو</w:t>
      </w:r>
      <w:r w:rsidR="000636C2">
        <w:rPr>
          <w:rFonts w:hint="cs"/>
          <w:rtl/>
        </w:rPr>
        <w:t>)</w:t>
      </w:r>
      <w:r w:rsidRPr="005675B2">
        <w:rPr>
          <w:rFonts w:hint="cs"/>
          <w:rtl/>
        </w:rPr>
        <w:t xml:space="preserve"> أي أول الواجبات </w:t>
      </w:r>
      <w:r w:rsidR="000636C2">
        <w:rPr>
          <w:rFonts w:hint="cs"/>
          <w:rtl/>
        </w:rPr>
        <w:t>(</w:t>
      </w:r>
      <w:r w:rsidRPr="005675B2">
        <w:rPr>
          <w:rFonts w:hint="cs"/>
          <w:rtl/>
        </w:rPr>
        <w:t>الشك</w:t>
      </w:r>
      <w:r w:rsidR="000636C2">
        <w:rPr>
          <w:rFonts w:hint="cs"/>
          <w:rtl/>
        </w:rPr>
        <w:t>)</w:t>
      </w:r>
      <w:r w:rsidRPr="005675B2">
        <w:rPr>
          <w:rFonts w:hint="cs"/>
          <w:rtl/>
        </w:rPr>
        <w:t xml:space="preserve"> ثم رد الإيجي هذا القول بوجهين ثم قال</w:t>
      </w:r>
      <w:r w:rsidR="000636C2">
        <w:rPr>
          <w:rFonts w:hint="cs"/>
          <w:rtl/>
        </w:rPr>
        <w:t>:</w:t>
      </w:r>
      <w:r w:rsidRPr="005675B2">
        <w:rPr>
          <w:rFonts w:hint="cs"/>
          <w:rtl/>
        </w:rPr>
        <w:t xml:space="preserve"> </w:t>
      </w:r>
      <w:r w:rsidR="000636C2">
        <w:rPr>
          <w:rFonts w:hint="cs"/>
          <w:rtl/>
        </w:rPr>
        <w:t>(</w:t>
      </w:r>
      <w:r w:rsidRPr="005675B2">
        <w:rPr>
          <w:rFonts w:hint="cs"/>
          <w:rtl/>
        </w:rPr>
        <w:t>إن قلنا</w:t>
      </w:r>
      <w:r w:rsidR="000636C2">
        <w:rPr>
          <w:rFonts w:hint="cs"/>
          <w:rtl/>
        </w:rPr>
        <w:t>:</w:t>
      </w:r>
      <w:r w:rsidRPr="005675B2">
        <w:rPr>
          <w:rFonts w:hint="cs"/>
          <w:rtl/>
        </w:rPr>
        <w:t xml:space="preserve"> الواجب</w:t>
      </w:r>
      <w:r w:rsidR="000636C2">
        <w:rPr>
          <w:rFonts w:hint="cs"/>
          <w:rtl/>
        </w:rPr>
        <w:t>)</w:t>
      </w:r>
      <w:r w:rsidRPr="005675B2">
        <w:rPr>
          <w:rFonts w:hint="cs"/>
          <w:rtl/>
        </w:rPr>
        <w:t xml:space="preserve"> الأول </w:t>
      </w:r>
      <w:r w:rsidR="000636C2">
        <w:rPr>
          <w:rFonts w:hint="cs"/>
          <w:rtl/>
        </w:rPr>
        <w:t>(</w:t>
      </w:r>
      <w:r w:rsidRPr="005675B2">
        <w:rPr>
          <w:rFonts w:hint="cs"/>
          <w:rtl/>
        </w:rPr>
        <w:t>النظر فمن أمكنه زمان يسع فيه النظر التام</w:t>
      </w:r>
      <w:r w:rsidR="000636C2">
        <w:rPr>
          <w:rFonts w:hint="cs"/>
          <w:rtl/>
        </w:rPr>
        <w:t>)</w:t>
      </w:r>
      <w:r w:rsidRPr="005675B2">
        <w:rPr>
          <w:rFonts w:hint="cs"/>
          <w:rtl/>
        </w:rPr>
        <w:t xml:space="preserve"> والتوصل به إلى معرفة الله تعالى </w:t>
      </w:r>
      <w:r w:rsidR="000636C2">
        <w:rPr>
          <w:rFonts w:hint="cs"/>
          <w:rtl/>
        </w:rPr>
        <w:t>(</w:t>
      </w:r>
      <w:r w:rsidRPr="005675B2">
        <w:rPr>
          <w:rFonts w:hint="cs"/>
          <w:rtl/>
        </w:rPr>
        <w:t>ولم ينظر</w:t>
      </w:r>
      <w:r w:rsidR="000636C2">
        <w:rPr>
          <w:rFonts w:hint="cs"/>
          <w:rtl/>
        </w:rPr>
        <w:t>)</w:t>
      </w:r>
      <w:r w:rsidRPr="005675B2">
        <w:rPr>
          <w:rFonts w:hint="cs"/>
          <w:rtl/>
        </w:rPr>
        <w:t xml:space="preserve"> في ذلك الزمان، ولم يتوصل بلا عذر </w:t>
      </w:r>
      <w:r w:rsidR="000636C2">
        <w:rPr>
          <w:rFonts w:hint="cs"/>
          <w:rtl/>
        </w:rPr>
        <w:t>(</w:t>
      </w:r>
      <w:r w:rsidRPr="005675B2">
        <w:rPr>
          <w:rFonts w:hint="cs"/>
          <w:rtl/>
        </w:rPr>
        <w:t>فهو عاص</w:t>
      </w:r>
      <w:r w:rsidR="000636C2">
        <w:rPr>
          <w:rFonts w:hint="cs"/>
          <w:rtl/>
        </w:rPr>
        <w:t>)</w:t>
      </w:r>
      <w:r w:rsidRPr="005675B2">
        <w:rPr>
          <w:rFonts w:hint="cs"/>
          <w:rtl/>
        </w:rPr>
        <w:t xml:space="preserve"> بلا شبهة </w:t>
      </w:r>
      <w:r w:rsidR="000636C2">
        <w:rPr>
          <w:rFonts w:hint="cs"/>
          <w:rtl/>
        </w:rPr>
        <w:t>(</w:t>
      </w:r>
      <w:r w:rsidRPr="005675B2">
        <w:rPr>
          <w:rFonts w:hint="cs"/>
          <w:rtl/>
        </w:rPr>
        <w:t>ومن لم يمكنه زمان أصلا</w:t>
      </w:r>
      <w:r w:rsidR="000636C2">
        <w:rPr>
          <w:rFonts w:hint="cs"/>
          <w:rtl/>
        </w:rPr>
        <w:t>)</w:t>
      </w:r>
      <w:r w:rsidRPr="005675B2">
        <w:rPr>
          <w:rFonts w:hint="cs"/>
          <w:rtl/>
        </w:rPr>
        <w:t xml:space="preserve"> بأن مات حال البلوغ </w:t>
      </w:r>
      <w:r w:rsidR="000636C2">
        <w:rPr>
          <w:rFonts w:hint="cs"/>
          <w:rtl/>
        </w:rPr>
        <w:t>(</w:t>
      </w:r>
      <w:r w:rsidRPr="005675B2">
        <w:rPr>
          <w:rFonts w:hint="cs"/>
          <w:rtl/>
        </w:rPr>
        <w:t>فهو كالصبي</w:t>
      </w:r>
      <w:r w:rsidR="000636C2">
        <w:rPr>
          <w:rFonts w:hint="cs"/>
          <w:rtl/>
        </w:rPr>
        <w:t>)</w:t>
      </w:r>
      <w:r w:rsidRPr="005675B2">
        <w:rPr>
          <w:rFonts w:hint="cs"/>
          <w:rtl/>
        </w:rPr>
        <w:t xml:space="preserve"> الذي مات في صباه </w:t>
      </w:r>
      <w:r w:rsidR="000636C2">
        <w:rPr>
          <w:rFonts w:hint="cs"/>
          <w:rtl/>
        </w:rPr>
        <w:t>(</w:t>
      </w:r>
      <w:r w:rsidRPr="005675B2">
        <w:rPr>
          <w:rFonts w:hint="cs"/>
          <w:rtl/>
        </w:rPr>
        <w:t>ومن أمكنه</w:t>
      </w:r>
      <w:r w:rsidR="000636C2">
        <w:rPr>
          <w:rFonts w:hint="cs"/>
          <w:rtl/>
        </w:rPr>
        <w:t>)</w:t>
      </w:r>
      <w:r w:rsidRPr="005675B2">
        <w:rPr>
          <w:rFonts w:hint="cs"/>
          <w:rtl/>
        </w:rPr>
        <w:t xml:space="preserve"> من الزمان </w:t>
      </w:r>
      <w:r w:rsidR="000636C2">
        <w:rPr>
          <w:rFonts w:hint="cs"/>
          <w:rtl/>
        </w:rPr>
        <w:t>(</w:t>
      </w:r>
      <w:r w:rsidRPr="005675B2">
        <w:rPr>
          <w:rFonts w:hint="cs"/>
          <w:rtl/>
        </w:rPr>
        <w:t>ما يسع بعض النظر دون تمامه</w:t>
      </w:r>
      <w:r w:rsidR="000636C2">
        <w:rPr>
          <w:rFonts w:hint="cs"/>
          <w:rtl/>
        </w:rPr>
        <w:t>)</w:t>
      </w:r>
      <w:r w:rsidRPr="005675B2">
        <w:rPr>
          <w:rFonts w:hint="cs"/>
          <w:rtl/>
        </w:rPr>
        <w:t xml:space="preserve"> فإن شرع فيه بلا تأخير واخترمته المنية قبل انقضاء النظر وحصول المعرفة فلا عصيان قطعا، وأما إذا لم يشرع فيه، بل أخره بلا عذر ومات </w:t>
      </w:r>
      <w:r w:rsidR="000636C2">
        <w:rPr>
          <w:rFonts w:hint="cs"/>
          <w:rtl/>
        </w:rPr>
        <w:t>(</w:t>
      </w:r>
      <w:r w:rsidRPr="005675B2">
        <w:rPr>
          <w:rFonts w:hint="cs"/>
          <w:rtl/>
        </w:rPr>
        <w:t>ففيه احتمال، والأظهر عصيانه</w:t>
      </w:r>
      <w:r w:rsidR="000636C2">
        <w:rPr>
          <w:rFonts w:hint="cs"/>
          <w:rtl/>
        </w:rPr>
        <w:t>)</w:t>
      </w:r>
      <w:r w:rsidRPr="005675B2">
        <w:rPr>
          <w:rFonts w:hint="cs"/>
          <w:rtl/>
        </w:rPr>
        <w:t xml:space="preserve"> لتقصيره بالتأخير</w:t>
      </w:r>
      <w:r w:rsidR="000636C2">
        <w:rPr>
          <w:rFonts w:hint="cs"/>
          <w:rtl/>
        </w:rPr>
        <w:t>،</w:t>
      </w:r>
      <w:r w:rsidRPr="005675B2">
        <w:rPr>
          <w:rFonts w:hint="cs"/>
          <w:rtl/>
        </w:rPr>
        <w:t xml:space="preserve"> [</w:t>
      </w:r>
      <w:r w:rsidRPr="005675B2">
        <w:rPr>
          <w:rFonts w:hint="cs"/>
          <w:sz w:val="24"/>
          <w:szCs w:val="24"/>
          <w:rtl/>
        </w:rPr>
        <w:t>المواقف مع شرحه 1/375-380]</w:t>
      </w:r>
      <w:r w:rsidR="000636C2">
        <w:rPr>
          <w:rFonts w:hint="cs"/>
          <w:rtl/>
        </w:rPr>
        <w:t>،</w:t>
      </w:r>
      <w:r w:rsidRPr="005675B2">
        <w:rPr>
          <w:rFonts w:hint="cs"/>
          <w:rtl/>
        </w:rPr>
        <w:t xml:space="preserve"> وههنا ينبغي ال</w:t>
      </w:r>
      <w:r w:rsidR="000636C2">
        <w:rPr>
          <w:rFonts w:hint="cs"/>
          <w:rtl/>
        </w:rPr>
        <w:t>(</w:t>
      </w:r>
      <w:r>
        <w:rPr>
          <w:rFonts w:hint="cs"/>
          <w:rtl/>
        </w:rPr>
        <w:t>تنبيه</w:t>
      </w:r>
      <w:r w:rsidR="000636C2">
        <w:rPr>
          <w:rFonts w:hint="cs"/>
          <w:rtl/>
        </w:rPr>
        <w:t>)</w:t>
      </w:r>
      <w:r w:rsidRPr="005675B2">
        <w:rPr>
          <w:rFonts w:hint="cs"/>
          <w:rtl/>
        </w:rPr>
        <w:t xml:space="preserve"> على أمور</w:t>
      </w:r>
      <w:r w:rsidR="000636C2">
        <w:rPr>
          <w:rFonts w:hint="cs"/>
          <w:rtl/>
        </w:rPr>
        <w:t>: (</w:t>
      </w:r>
      <w:r w:rsidRPr="005675B2">
        <w:rPr>
          <w:rFonts w:hint="cs"/>
          <w:rtl/>
        </w:rPr>
        <w:t>الأول</w:t>
      </w:r>
      <w:r w:rsidR="000636C2">
        <w:rPr>
          <w:rFonts w:hint="cs"/>
          <w:rtl/>
        </w:rPr>
        <w:t>):</w:t>
      </w:r>
      <w:r w:rsidRPr="005675B2">
        <w:rPr>
          <w:rFonts w:hint="cs"/>
          <w:rtl/>
        </w:rPr>
        <w:t xml:space="preserve"> أن المراد بمعرفة الله تعالى التي هي أول الواجبات المقصودة بالذات معرفته بوجه يكون عدم الاتصاف بها موجبا للكفر وعدم الإسلام، من معرفة وجوده تعالى ووحدانيته وعلمه وإرادته وقدرته إلى غير ذلك مما يكون عدم معرفتها موجبا للكفر، وليس المراد منها معرفة وجوده فقط</w:t>
      </w:r>
      <w:r w:rsidR="000636C2">
        <w:rPr>
          <w:rFonts w:hint="cs"/>
          <w:rtl/>
        </w:rPr>
        <w:t>،</w:t>
      </w:r>
      <w:r w:rsidRPr="005675B2">
        <w:rPr>
          <w:rFonts w:hint="cs"/>
          <w:rtl/>
        </w:rPr>
        <w:t xml:space="preserve"> وذلك لأن المقصود من وجوب المعرفة التخلص من الكفر، وهو لا يكون إلا بالمعرفة المذكورة</w:t>
      </w:r>
      <w:r w:rsidR="000636C2">
        <w:rPr>
          <w:rFonts w:hint="cs"/>
          <w:rtl/>
        </w:rPr>
        <w:t xml:space="preserve">، </w:t>
      </w:r>
      <w:r w:rsidRPr="005675B2">
        <w:rPr>
          <w:rFonts w:hint="cs"/>
          <w:rtl/>
        </w:rPr>
        <w:t>وهذه المعرفة ليست فطرية بالمعنى الذي قصده الدكتور هنا، وصرح به سابقا من أنه يولد عليها الإنسان، وينشأ عليها المسلم بلا تلقين ولا تعلم، وقد قال الله تعالى</w:t>
      </w:r>
      <w:r w:rsidR="000636C2">
        <w:rPr>
          <w:rFonts w:hint="cs"/>
          <w:rtl/>
        </w:rPr>
        <w:t>:</w:t>
      </w:r>
      <w:r w:rsidRPr="005675B2">
        <w:rPr>
          <w:rFonts w:hint="cs"/>
          <w:rtl/>
        </w:rPr>
        <w:t xml:space="preserve"> </w:t>
      </w:r>
      <w:r w:rsidR="000636C2">
        <w:rPr>
          <w:rFonts w:hint="cs"/>
          <w:rtl/>
        </w:rPr>
        <w:t>(</w:t>
      </w:r>
      <w:r w:rsidRPr="005675B2">
        <w:rPr>
          <w:rFonts w:hint="cs"/>
          <w:rtl/>
        </w:rPr>
        <w:t>والله أخرجكم من بطون أمهاتكم لا تعلمون شيئا</w:t>
      </w:r>
      <w:r w:rsidR="000636C2">
        <w:rPr>
          <w:rFonts w:hint="cs"/>
          <w:rtl/>
        </w:rPr>
        <w:t>)</w:t>
      </w:r>
      <w:r w:rsidRPr="005675B2">
        <w:rPr>
          <w:rFonts w:hint="cs"/>
          <w:rtl/>
        </w:rPr>
        <w:t xml:space="preserve"> بل المراد بالفطرة في قوله تعالى</w:t>
      </w:r>
      <w:r w:rsidR="000636C2">
        <w:rPr>
          <w:rFonts w:hint="cs"/>
          <w:rtl/>
        </w:rPr>
        <w:t>:</w:t>
      </w:r>
      <w:r w:rsidRPr="005675B2">
        <w:rPr>
          <w:rFonts w:hint="cs"/>
          <w:rtl/>
        </w:rPr>
        <w:t xml:space="preserve"> </w:t>
      </w:r>
      <w:r w:rsidR="000636C2">
        <w:rPr>
          <w:rFonts w:hint="cs"/>
          <w:rtl/>
        </w:rPr>
        <w:t>(</w:t>
      </w:r>
      <w:r w:rsidRPr="005675B2">
        <w:rPr>
          <w:rFonts w:hint="cs"/>
          <w:rtl/>
        </w:rPr>
        <w:t>فطرة الله التي فطر الناس عليها</w:t>
      </w:r>
      <w:r w:rsidR="000636C2">
        <w:rPr>
          <w:rFonts w:hint="cs"/>
          <w:rtl/>
        </w:rPr>
        <w:t>)</w:t>
      </w:r>
      <w:r w:rsidRPr="005675B2">
        <w:rPr>
          <w:rFonts w:hint="cs"/>
          <w:rtl/>
        </w:rPr>
        <w:t xml:space="preserve"> وفي قوله صلى الله عليه وآله وسلم </w:t>
      </w:r>
      <w:r w:rsidR="000636C2">
        <w:rPr>
          <w:rFonts w:hint="cs"/>
          <w:rtl/>
        </w:rPr>
        <w:t>(</w:t>
      </w:r>
      <w:r w:rsidRPr="005675B2">
        <w:rPr>
          <w:rFonts w:hint="cs"/>
          <w:rtl/>
        </w:rPr>
        <w:t>كل مولود يولد على الفطرة .. إلخ</w:t>
      </w:r>
      <w:r w:rsidR="000636C2">
        <w:rPr>
          <w:rFonts w:hint="cs"/>
          <w:rtl/>
        </w:rPr>
        <w:t>)</w:t>
      </w:r>
      <w:r w:rsidRPr="005675B2">
        <w:rPr>
          <w:rFonts w:hint="cs"/>
          <w:rtl/>
        </w:rPr>
        <w:t xml:space="preserve"> ما جبل عليه الإنسان من ميله إلى معرفة الحق، ورغبته في نبذ الباطل، وكونه أكثر استعدادا لقبول الخير منه لقبول الشر، وليس ذلك الحق والخير إلا الإسلام</w:t>
      </w:r>
      <w:r w:rsidR="000636C2">
        <w:rPr>
          <w:rFonts w:hint="cs"/>
          <w:rtl/>
        </w:rPr>
        <w:t xml:space="preserve">، </w:t>
      </w:r>
      <w:r w:rsidRPr="005675B2">
        <w:rPr>
          <w:rFonts w:hint="cs"/>
          <w:rtl/>
        </w:rPr>
        <w:t>قال الإمام النووي في شرح الحديث</w:t>
      </w:r>
      <w:r w:rsidR="000636C2">
        <w:rPr>
          <w:rFonts w:hint="cs"/>
          <w:rtl/>
        </w:rPr>
        <w:t>:</w:t>
      </w:r>
      <w:r w:rsidRPr="005675B2">
        <w:rPr>
          <w:rFonts w:hint="cs"/>
          <w:rtl/>
        </w:rPr>
        <w:t xml:space="preserve"> والأصح أن معناه أن كل مولود يولد متهيئا للإسلام</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 </w:t>
      </w:r>
      <w:r w:rsidR="000636C2">
        <w:rPr>
          <w:rFonts w:hint="cs"/>
          <w:rtl/>
        </w:rPr>
        <w:t>(</w:t>
      </w:r>
      <w:r w:rsidRPr="005675B2">
        <w:rPr>
          <w:rFonts w:hint="cs"/>
          <w:rtl/>
        </w:rPr>
        <w:t>الثاني</w:t>
      </w:r>
      <w:r w:rsidR="000636C2">
        <w:rPr>
          <w:rFonts w:hint="cs"/>
          <w:rtl/>
        </w:rPr>
        <w:t>):</w:t>
      </w:r>
      <w:r w:rsidRPr="005675B2">
        <w:rPr>
          <w:rFonts w:hint="cs"/>
          <w:rtl/>
        </w:rPr>
        <w:t xml:space="preserve"> أن المراد بالواجبات في قولهم </w:t>
      </w:r>
      <w:r w:rsidR="000636C2">
        <w:rPr>
          <w:rFonts w:hint="cs"/>
          <w:rtl/>
        </w:rPr>
        <w:t>(</w:t>
      </w:r>
      <w:r w:rsidRPr="005675B2">
        <w:rPr>
          <w:rFonts w:hint="cs"/>
          <w:rtl/>
        </w:rPr>
        <w:t>أول الواجبات على المكلف ما هو</w:t>
      </w:r>
      <w:r w:rsidR="000636C2">
        <w:rPr>
          <w:rFonts w:hint="cs"/>
          <w:rtl/>
        </w:rPr>
        <w:t xml:space="preserve">)، </w:t>
      </w:r>
      <w:r w:rsidRPr="005675B2">
        <w:rPr>
          <w:rFonts w:hint="cs"/>
          <w:rtl/>
        </w:rPr>
        <w:t>أعم مما يكون عدم القيام به موجبا للكفر أو موجبا للمعصية وذلك لأن عدم المعرفة موجب للكفر، وأما عدم النظر أو عدم القصد إلى النظر مع الإيمان على وجه التقليد فموجب للمعصية والأثم، كما تقدم في كلام المواقف وشرحه</w:t>
      </w:r>
      <w:r w:rsidR="000636C2">
        <w:rPr>
          <w:rFonts w:hint="cs"/>
          <w:rtl/>
        </w:rPr>
        <w:t>،</w:t>
      </w:r>
      <w:r w:rsidRPr="005675B2">
        <w:rPr>
          <w:rFonts w:hint="cs"/>
          <w:rtl/>
        </w:rPr>
        <w:t xml:space="preserve"> وليس موجبا للكفر إلا عند أبي هاشم من المعتزلة</w:t>
      </w:r>
      <w:r w:rsidR="000636C2">
        <w:rPr>
          <w:rFonts w:hint="cs"/>
          <w:rtl/>
        </w:rPr>
        <w:t>،</w:t>
      </w:r>
      <w:r w:rsidRPr="005675B2">
        <w:rPr>
          <w:rFonts w:hint="cs"/>
          <w:rtl/>
        </w:rPr>
        <w:t xml:space="preserve"> وهذه هي مسألة التقليد في الإيمان، وقال فريق من أهل السنة بعدم تأثيم المقلد بعدما جزم بما يجب الإيمان به جزما قاطعا</w:t>
      </w:r>
      <w:r w:rsidR="000636C2">
        <w:rPr>
          <w:rFonts w:hint="cs"/>
          <w:rtl/>
        </w:rPr>
        <w:t>،</w:t>
      </w:r>
      <w:r w:rsidRPr="005675B2">
        <w:rPr>
          <w:rFonts w:hint="cs"/>
          <w:rtl/>
        </w:rPr>
        <w:t xml:space="preserve"> ولم يكفره أحد منهم</w:t>
      </w:r>
      <w:r w:rsidR="000636C2">
        <w:rPr>
          <w:rFonts w:hint="cs"/>
          <w:rtl/>
        </w:rPr>
        <w:t>، (</w:t>
      </w:r>
      <w:r w:rsidRPr="005675B2">
        <w:rPr>
          <w:rFonts w:hint="cs"/>
          <w:rtl/>
        </w:rPr>
        <w:t>الثالث</w:t>
      </w:r>
      <w:r w:rsidR="000636C2">
        <w:rPr>
          <w:rFonts w:hint="cs"/>
          <w:rtl/>
        </w:rPr>
        <w:t>):</w:t>
      </w:r>
      <w:r w:rsidRPr="005675B2">
        <w:rPr>
          <w:rFonts w:hint="cs"/>
          <w:rtl/>
        </w:rPr>
        <w:t xml:space="preserve"> أن المراد بالنظر والاستدلال على القول بوجوبه هو النظر والاستدلال الإجمالي وإن لم يستطع صاحبه الإفصاح به وتقريره ودفع القوادح عنه، وهذا النوع من الاستدلال قلما يخلو عنه مؤمن، بل لو قيل بعدم خلو مؤمن عنه لم يكن بعيداً، فإن كلام العوام محشو بمثل هذا الاستدلال، ومن أجل ذلك قال بعض المحققين</w:t>
      </w:r>
      <w:r w:rsidR="000636C2">
        <w:rPr>
          <w:rFonts w:hint="cs"/>
          <w:rtl/>
        </w:rPr>
        <w:t>:</w:t>
      </w:r>
      <w:r w:rsidRPr="005675B2">
        <w:rPr>
          <w:rFonts w:hint="cs"/>
          <w:rtl/>
        </w:rPr>
        <w:t xml:space="preserve"> إن التقليد إنما يتصور فيمن نشأ في شاهق جبل بدون أن يجري في خلده وجود الله تعالى، فأخبره مخبر بوجود الله تعالى وبصفاته، فصدقه وثوقا به بدون أن يستند إلى دليل، وأما المسلم الذي نشأ بين المسلمين فلا بد أن يحصل عنده دليل إجمالي، وغالبا ما يكون بدون نظر ولا قصد إلى النظر، ومن أقوى الدلائل الاستناد إلى صدق الرسول المؤيد بالمعجزات، وذلك لأن المراد بالتقليد الأخذ بقول الغير بغير حجة</w:t>
      </w:r>
      <w:r w:rsidR="000636C2">
        <w:rPr>
          <w:rFonts w:hint="cs"/>
          <w:rtl/>
        </w:rPr>
        <w:t>،</w:t>
      </w:r>
      <w:r w:rsidRPr="005675B2">
        <w:rPr>
          <w:rFonts w:hint="cs"/>
          <w:rtl/>
        </w:rPr>
        <w:t xml:space="preserve"> ومن قامت عليه حجة ثبوت النبوة حتى حصل له القطع بها، فما سمعه من النبي كان مقطوعا عنده بصدقه، فإذا اعتقده لم يكن مقلدا فيه لأنه لم يأخذ بقول الغير بغير حجة</w:t>
      </w:r>
      <w:r w:rsidR="000636C2">
        <w:rPr>
          <w:rFonts w:hint="cs"/>
          <w:rtl/>
        </w:rPr>
        <w:t xml:space="preserve">، </w:t>
      </w:r>
      <w:r w:rsidRPr="005675B2">
        <w:rPr>
          <w:rFonts w:hint="cs"/>
          <w:rtl/>
        </w:rPr>
        <w:t>وبهذا التحقيق ظهر ما في كلام الدكتور سفر من أخطاء</w:t>
      </w:r>
      <w:r w:rsidR="000636C2">
        <w:rPr>
          <w:rFonts w:hint="cs"/>
          <w:rtl/>
        </w:rPr>
        <w:t>، (</w:t>
      </w:r>
      <w:r w:rsidRPr="005675B2">
        <w:rPr>
          <w:rFonts w:hint="cs"/>
          <w:rtl/>
        </w:rPr>
        <w:t>الأول</w:t>
      </w:r>
      <w:r w:rsidR="000636C2">
        <w:rPr>
          <w:rFonts w:hint="cs"/>
          <w:rtl/>
        </w:rPr>
        <w:t>):</w:t>
      </w:r>
      <w:r w:rsidRPr="005675B2">
        <w:rPr>
          <w:rFonts w:hint="cs"/>
          <w:rtl/>
        </w:rPr>
        <w:t xml:space="preserve"> نسبته الخلاف في أول الواجبات إلى الاشاعرة فقط مع أن المعتزلة داخلين في الخلاف، فكان عليه أن يقول</w:t>
      </w:r>
      <w:r w:rsidR="000636C2">
        <w:rPr>
          <w:rFonts w:hint="cs"/>
          <w:rtl/>
        </w:rPr>
        <w:t>:</w:t>
      </w:r>
      <w:r w:rsidRPr="005675B2">
        <w:rPr>
          <w:rFonts w:hint="cs"/>
          <w:rtl/>
        </w:rPr>
        <w:t xml:space="preserve"> أما أول واجب عند المتكلمين</w:t>
      </w:r>
      <w:r w:rsidR="000636C2">
        <w:rPr>
          <w:rFonts w:hint="cs"/>
          <w:rtl/>
        </w:rPr>
        <w:t xml:space="preserve">، </w:t>
      </w:r>
      <w:r w:rsidRPr="005675B2">
        <w:rPr>
          <w:rFonts w:hint="cs"/>
          <w:rtl/>
        </w:rPr>
        <w:t xml:space="preserve">و </w:t>
      </w:r>
      <w:r w:rsidR="000636C2">
        <w:rPr>
          <w:rFonts w:hint="cs"/>
          <w:rtl/>
        </w:rPr>
        <w:t>(</w:t>
      </w:r>
      <w:r w:rsidRPr="005675B2">
        <w:rPr>
          <w:rFonts w:hint="cs"/>
          <w:rtl/>
        </w:rPr>
        <w:t>الثانى</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وعندهم أن الإنسان إذا بلغ وجب عليه النظر ثم الإيمان</w:t>
      </w:r>
      <w:r w:rsidR="000636C2">
        <w:rPr>
          <w:rFonts w:hint="cs"/>
          <w:rtl/>
        </w:rPr>
        <w:t>)</w:t>
      </w:r>
      <w:r w:rsidRPr="005675B2">
        <w:rPr>
          <w:rFonts w:hint="cs"/>
          <w:rtl/>
        </w:rPr>
        <w:t xml:space="preserve"> هذا مفروض عند الأشاعرة في غير المسلم الذي بلغ، أما المسلم الذي بلغ مقلدا فيجب عليه النظر عند القائلين بوجوب النظر منهم، وأما الإيمان فحاصل من قبل، ثم إن الوجوب بالنسبة إليه بمعنى أن المقلد عاص وليس بمعنى أنه غير مسلم كما حمله عليه الدكتور</w:t>
      </w:r>
      <w:r w:rsidR="000636C2">
        <w:rPr>
          <w:rFonts w:hint="cs"/>
          <w:rtl/>
        </w:rPr>
        <w:t>،</w:t>
      </w:r>
      <w:r w:rsidRPr="005675B2">
        <w:rPr>
          <w:rFonts w:hint="cs"/>
          <w:rtl/>
        </w:rPr>
        <w:t xml:space="preserve"> نعم هو كذلك عند أبى هاشم من المعتزلة</w:t>
      </w:r>
      <w:r w:rsidR="000636C2">
        <w:rPr>
          <w:rFonts w:hint="cs"/>
          <w:rtl/>
        </w:rPr>
        <w:t>،</w:t>
      </w:r>
      <w:r w:rsidRPr="005675B2">
        <w:rPr>
          <w:rFonts w:hint="cs"/>
          <w:rtl/>
        </w:rPr>
        <w:t xml:space="preserve"> وكذلك الإحتمالان اللذان أبداهما القاضي فيمن مات في أثناء النظر مفروض في المسلم المقلد الذي ابتدأ في النظر مع تأخيره عن زمن الوجوب بلا عذر ومات قبل الإنتهاء منه هل هو عاص عند القائلين بوجوب النظر أم لا كما تقدم في كلام المواقف وشرحه، وليس الإحتمالان في الحكم بالإسلام له وعدمه</w:t>
      </w:r>
      <w:r w:rsidR="000636C2">
        <w:rPr>
          <w:rFonts w:hint="cs"/>
          <w:rtl/>
        </w:rPr>
        <w:t>،</w:t>
      </w:r>
      <w:r w:rsidRPr="005675B2">
        <w:rPr>
          <w:rFonts w:hint="cs"/>
          <w:rtl/>
        </w:rPr>
        <w:t xml:space="preserve"> نعم يجرى الإحتمالان في الحكم بالإسلام وعدمه بالنسبة إلى من بلغ غير مسلم، أو بلغته الدعوة بالغا وشرع في النظر بعد تأخيره عن أول زمن الوجوب بلا عذر ومات في أثنائه</w:t>
      </w:r>
      <w:r w:rsidR="000636C2">
        <w:rPr>
          <w:rFonts w:hint="cs"/>
          <w:rtl/>
        </w:rPr>
        <w:t>،</w:t>
      </w:r>
      <w:r w:rsidRPr="005675B2">
        <w:rPr>
          <w:rFonts w:hint="cs"/>
          <w:rtl/>
        </w:rPr>
        <w:t xml:space="preserve"> فكلام المواقف عام للمكلف المسلم وغير المسلم ومن أجل ذلك عبر بالعصيان الشامل للكفر والإثم</w:t>
      </w:r>
      <w:r w:rsidR="000636C2">
        <w:rPr>
          <w:rFonts w:hint="cs"/>
          <w:rtl/>
        </w:rPr>
        <w:t>، (</w:t>
      </w:r>
      <w:r w:rsidRPr="005675B2">
        <w:rPr>
          <w:rFonts w:hint="cs"/>
          <w:rtl/>
        </w:rPr>
        <w:t>الخطأ 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واختلفوا فيمن مات قبل النظر أو في أثنائه أيحكم عليه بالإسلام أم بالكفر</w:t>
      </w:r>
      <w:r w:rsidR="000636C2">
        <w:rPr>
          <w:rFonts w:hint="cs"/>
          <w:rtl/>
        </w:rPr>
        <w:t>)</w:t>
      </w:r>
      <w:r w:rsidRPr="005675B2">
        <w:rPr>
          <w:rFonts w:hint="cs"/>
          <w:rtl/>
        </w:rPr>
        <w:t xml:space="preserve"> وذلك أنه التبس على الدكتور الإحتمالان اللذان أبداهما القاضي فيمن مات في أثناء النظر بعد تأخير الشروع فيه عن أول زمن الوجوب هل هو عاص أم لا، التبس عليه ذلك بالإختلاف، كما التبس عليه الحكم بالعصيان وعدمه بالحكم بالإسلام والكفر</w:t>
      </w:r>
      <w:r w:rsidR="000636C2">
        <w:rPr>
          <w:rFonts w:hint="cs"/>
          <w:rtl/>
        </w:rPr>
        <w:t>! (</w:t>
      </w:r>
      <w:r w:rsidRPr="005675B2">
        <w:rPr>
          <w:rFonts w:hint="cs"/>
          <w:rtl/>
        </w:rPr>
        <w:t>الخطأ الرابع</w:t>
      </w:r>
      <w:r w:rsidR="000636C2">
        <w:rPr>
          <w:rFonts w:hint="cs"/>
          <w:rtl/>
        </w:rPr>
        <w:t>):</w:t>
      </w:r>
      <w:r w:rsidRPr="005675B2">
        <w:rPr>
          <w:rFonts w:hint="cs"/>
          <w:rtl/>
        </w:rPr>
        <w:t xml:space="preserve"> نسبته القول بكفر المقلد في العقيدة إلى بعض الاشاعرة مع أن كفر المقلد لم يقل به إلا أبو هاشم من المعتزلة</w:t>
      </w:r>
      <w:r w:rsidR="000636C2">
        <w:rPr>
          <w:rFonts w:hint="cs"/>
          <w:rtl/>
        </w:rPr>
        <w:t>،</w:t>
      </w:r>
      <w:r w:rsidRPr="005675B2">
        <w:rPr>
          <w:rFonts w:hint="cs"/>
          <w:rtl/>
        </w:rPr>
        <w:t xml:space="preserve"> قال الآمدي في إبكار الأفكار</w:t>
      </w:r>
      <w:r w:rsidR="000636C2">
        <w:rPr>
          <w:rFonts w:hint="cs"/>
          <w:rtl/>
        </w:rPr>
        <w:t>:</w:t>
      </w:r>
      <w:r w:rsidRPr="005675B2">
        <w:rPr>
          <w:rFonts w:hint="cs"/>
          <w:rtl/>
        </w:rPr>
        <w:t xml:space="preserve"> ذهب أبو هاشم من المعتزلة إلى أن من لم يعرف الله بالدليل فهو كافر، لأن ضد المعرفة النكرة، والنكرة كفر</w:t>
      </w:r>
      <w:r w:rsidR="000636C2">
        <w:rPr>
          <w:rFonts w:hint="cs"/>
          <w:rtl/>
        </w:rPr>
        <w:t>،</w:t>
      </w:r>
      <w:r w:rsidRPr="005675B2">
        <w:rPr>
          <w:rFonts w:hint="cs"/>
          <w:rtl/>
        </w:rPr>
        <w:t xml:space="preserve"> قال</w:t>
      </w:r>
      <w:r w:rsidR="000636C2">
        <w:rPr>
          <w:rFonts w:hint="cs"/>
          <w:rtl/>
        </w:rPr>
        <w:t>:</w:t>
      </w:r>
      <w:r w:rsidRPr="005675B2">
        <w:rPr>
          <w:rFonts w:hint="cs"/>
          <w:rtl/>
        </w:rPr>
        <w:t xml:space="preserve"> وأصحابنا مجمعون على خلافه، وإنما اختلفوا فيما إذا كان الاعتقاد موافقا لكن من غير دليل، فمنهم من قال</w:t>
      </w:r>
      <w:r w:rsidR="000636C2">
        <w:rPr>
          <w:rFonts w:hint="cs"/>
          <w:rtl/>
        </w:rPr>
        <w:t>:</w:t>
      </w:r>
      <w:r w:rsidRPr="005675B2">
        <w:rPr>
          <w:rFonts w:hint="cs"/>
          <w:rtl/>
        </w:rPr>
        <w:t xml:space="preserve"> إن صاحبه مؤمن عاص بترك النظر الواجب</w:t>
      </w:r>
      <w:r w:rsidR="000636C2">
        <w:rPr>
          <w:rFonts w:hint="cs"/>
          <w:rtl/>
        </w:rPr>
        <w:t>،</w:t>
      </w:r>
      <w:r w:rsidRPr="005675B2">
        <w:rPr>
          <w:rFonts w:hint="cs"/>
          <w:rtl/>
        </w:rPr>
        <w:t xml:space="preserve"> ومنهم من اكتفى بمجرد الاعتقاد الموافق، وإن لم يكن عن دليل وسماه علما، وعلى هذا فلا يلزم من حصول المعرفة بهذا الطريق وجوب النظر</w:t>
      </w:r>
      <w:r w:rsidR="000636C2">
        <w:rPr>
          <w:rFonts w:hint="cs"/>
          <w:rtl/>
        </w:rPr>
        <w:t>،</w:t>
      </w:r>
      <w:r w:rsidRPr="005675B2">
        <w:rPr>
          <w:rFonts w:hint="cs"/>
          <w:rtl/>
        </w:rPr>
        <w:t xml:space="preserve"> انتهى نقله في فتح الباري</w:t>
      </w:r>
      <w:r w:rsidR="000636C2">
        <w:rPr>
          <w:rFonts w:hint="cs"/>
          <w:rtl/>
        </w:rPr>
        <w:t>،</w:t>
      </w:r>
      <w:r w:rsidRPr="005675B2">
        <w:rPr>
          <w:rFonts w:hint="cs"/>
          <w:rtl/>
        </w:rPr>
        <w:t xml:space="preserve"> [</w:t>
      </w:r>
      <w:r w:rsidRPr="005675B2">
        <w:rPr>
          <w:rFonts w:hint="cs"/>
          <w:sz w:val="24"/>
          <w:szCs w:val="24"/>
          <w:rtl/>
        </w:rPr>
        <w:t>فتح الباري 13/351]</w:t>
      </w:r>
      <w:r w:rsidRPr="005675B2">
        <w:rPr>
          <w:rFonts w:hint="cs"/>
          <w:rtl/>
        </w:rPr>
        <w:t xml:space="preserve"> </w:t>
      </w:r>
      <w:r w:rsidR="000636C2">
        <w:rPr>
          <w:rFonts w:hint="cs"/>
          <w:rtl/>
        </w:rPr>
        <w:t>(</w:t>
      </w:r>
      <w:r w:rsidRPr="005675B2">
        <w:rPr>
          <w:rFonts w:hint="cs"/>
          <w:rtl/>
        </w:rPr>
        <w:t>الخطأ الخامس</w:t>
      </w:r>
      <w:r w:rsidR="000636C2">
        <w:rPr>
          <w:rFonts w:hint="cs"/>
          <w:rtl/>
        </w:rPr>
        <w:t>):</w:t>
      </w:r>
      <w:r w:rsidRPr="005675B2">
        <w:rPr>
          <w:rFonts w:hint="cs"/>
          <w:rtl/>
        </w:rPr>
        <w:t xml:space="preserve"> دندنته بالمعرفة الفطرية</w:t>
      </w:r>
      <w:r w:rsidR="000636C2">
        <w:rPr>
          <w:rFonts w:hint="cs"/>
          <w:rtl/>
        </w:rPr>
        <w:t>، (</w:t>
      </w:r>
      <w:r w:rsidRPr="005675B2">
        <w:rPr>
          <w:rFonts w:hint="cs"/>
          <w:rtl/>
        </w:rPr>
        <w:t>الخطأ 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وإن لازم مذهبهم تكفير العوام بل تكفير الصدر الأول</w:t>
      </w:r>
      <w:r w:rsidR="000636C2">
        <w:rPr>
          <w:rFonts w:hint="cs"/>
          <w:rtl/>
        </w:rPr>
        <w:t>)،</w:t>
      </w:r>
      <w:r w:rsidRPr="005675B2">
        <w:rPr>
          <w:rFonts w:hint="cs"/>
          <w:rtl/>
        </w:rPr>
        <w:t xml:space="preserve"> أقول</w:t>
      </w:r>
      <w:r w:rsidR="000636C2">
        <w:rPr>
          <w:rFonts w:hint="cs"/>
          <w:rtl/>
        </w:rPr>
        <w:t>:</w:t>
      </w:r>
      <w:r w:rsidRPr="005675B2">
        <w:rPr>
          <w:rFonts w:hint="cs"/>
          <w:rtl/>
        </w:rPr>
        <w:t xml:space="preserve"> قد قررنا أن العوام كلهم أو جلهم مستدلون عند الأشاعرة استدلالا اجماليا، وهو كاف في الإستدلال عندهم</w:t>
      </w:r>
      <w:r w:rsidR="000636C2">
        <w:rPr>
          <w:rFonts w:hint="cs"/>
          <w:rtl/>
        </w:rPr>
        <w:t>،</w:t>
      </w:r>
      <w:r w:rsidRPr="005675B2">
        <w:rPr>
          <w:rFonts w:hint="cs"/>
          <w:rtl/>
        </w:rPr>
        <w:t xml:space="preserve"> وقررنا أنه لا خلاف عند الأشاعرة في صحة إيمان المقلد، وإنما الخلاف في تعصيته</w:t>
      </w:r>
      <w:r w:rsidR="000636C2">
        <w:rPr>
          <w:rFonts w:hint="cs"/>
          <w:rtl/>
        </w:rPr>
        <w:t>!</w:t>
      </w:r>
      <w:r w:rsidRPr="005675B2">
        <w:rPr>
          <w:rFonts w:hint="cs"/>
          <w:rtl/>
        </w:rPr>
        <w:t xml:space="preserve"> وأما الصدر الأول فحاشاهم أن يكونوا غير مستدلين</w:t>
      </w:r>
      <w:r w:rsidR="000636C2">
        <w:rPr>
          <w:rFonts w:hint="cs"/>
          <w:rtl/>
        </w:rPr>
        <w:t>،</w:t>
      </w:r>
      <w:r w:rsidRPr="005675B2">
        <w:rPr>
          <w:rFonts w:hint="cs"/>
          <w:rtl/>
        </w:rPr>
        <w:t xml:space="preserve"> ولا أدرى كيف تجاسر الدكتور على التكلم بهذا الكلام</w:t>
      </w:r>
      <w:r w:rsidR="000636C2">
        <w:rPr>
          <w:rFonts w:hint="cs"/>
          <w:rtl/>
        </w:rPr>
        <w:t>!</w:t>
      </w:r>
      <w:r w:rsidRPr="005675B2">
        <w:rPr>
          <w:rFonts w:hint="cs"/>
          <w:rtl/>
        </w:rPr>
        <w:t xml:space="preserve"> ثم إن هذا التكفير لو سلمنا أنه لازم لقول أحد فإنما هو لازم لقول أبى هاشم من المعتزلة، وليس بلازم لقول أحد من الأشاعرة مع أنه غير لازم لقول أبى هاشم أيضا، لأنه يقول بعدم صحة إيمان المقلد، وهل العوام كلهم، والصدر الأول كلهم مقلدون في الإيمان</w:t>
      </w:r>
      <w:r w:rsidR="000636C2">
        <w:rPr>
          <w:rFonts w:hint="cs"/>
          <w:rtl/>
        </w:rPr>
        <w:t>!</w:t>
      </w:r>
      <w:r w:rsidRPr="005675B2">
        <w:rPr>
          <w:rFonts w:hint="cs"/>
          <w:rtl/>
        </w:rPr>
        <w:t>! سبحانك أللهم هذا بهتان عظيم يعظكم الله أن تعودوا لمثله أبدا</w:t>
      </w:r>
      <w:r w:rsidR="000636C2">
        <w:rPr>
          <w:rFonts w:hint="cs"/>
          <w:rtl/>
        </w:rPr>
        <w:t>،</w:t>
      </w:r>
      <w:r w:rsidRPr="005675B2">
        <w:rPr>
          <w:rFonts w:hint="cs"/>
          <w:rtl/>
        </w:rPr>
        <w:t xml:space="preserve"> إن كنتم مؤمنين</w:t>
      </w:r>
      <w:r w:rsidR="000636C2">
        <w:rPr>
          <w:rFonts w:hint="cs"/>
          <w:rtl/>
        </w:rPr>
        <w:t>،</w:t>
      </w:r>
    </w:p>
    <w:p w14:paraId="2D806671" w14:textId="6EA4AE3B" w:rsidR="009C32A0" w:rsidRPr="005675B2" w:rsidRDefault="009C32A0" w:rsidP="000636C2">
      <w:pPr>
        <w:rPr>
          <w:b/>
          <w:spacing w:val="-10"/>
          <w:rtl/>
        </w:rPr>
      </w:pPr>
      <w:r w:rsidRPr="005675B2">
        <w:rPr>
          <w:rFonts w:hint="cs"/>
          <w:rtl/>
        </w:rPr>
        <w:t>40 - حكم الدكتور على الأشاعرة بأنهم مرجئة جَهَمية، وتحقيق هذه المسألة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الرابع الإيمان</w:t>
      </w:r>
      <w:r w:rsidR="000636C2">
        <w:rPr>
          <w:rFonts w:hint="cs"/>
          <w:rtl/>
        </w:rPr>
        <w:t>:</w:t>
      </w:r>
      <w:r w:rsidRPr="005675B2">
        <w:rPr>
          <w:rFonts w:hint="cs"/>
          <w:rtl/>
        </w:rPr>
        <w:t xml:space="preserve"> الأشاعرة في الإيمان مرجئة جهمية أجمعت كتبهم قاطبة على أن الإيمان هو التصديق القلبي، واختلفوا في النطق بالشهادتين أيكفي عنه تصديق القلب، أم لا بد منه ..</w:t>
      </w:r>
      <w:r w:rsidR="000636C2">
        <w:rPr>
          <w:rFonts w:hint="cs"/>
          <w:rtl/>
        </w:rPr>
        <w:t xml:space="preserve">، </w:t>
      </w:r>
      <w:r w:rsidRPr="005675B2">
        <w:rPr>
          <w:rFonts w:hint="cs"/>
          <w:rtl/>
        </w:rPr>
        <w:t>"</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شبهة في أنَّ الإيمانَ وصفُ القلب وأنَّ الإيمانَ محلُّه القلبَ</w:t>
      </w:r>
      <w:r w:rsidR="000636C2">
        <w:rPr>
          <w:rFonts w:hint="cs"/>
          <w:rtl/>
        </w:rPr>
        <w:t>،</w:t>
      </w:r>
      <w:r w:rsidRPr="005675B2">
        <w:rPr>
          <w:rFonts w:hint="cs"/>
          <w:rtl/>
        </w:rPr>
        <w:t xml:space="preserve"> وقد وردَ هذا في كثيرٍ من الآيات القرآنية، قال الله تعالى</w:t>
      </w:r>
      <w:r w:rsidR="000636C2">
        <w:rPr>
          <w:rFonts w:hint="cs"/>
          <w:rtl/>
        </w:rPr>
        <w:t>:</w:t>
      </w:r>
      <w:r w:rsidRPr="005675B2">
        <w:rPr>
          <w:rFonts w:hint="cs"/>
          <w:rtl/>
        </w:rPr>
        <w:t xml:space="preserve"> </w:t>
      </w:r>
      <w:r w:rsidR="000636C2">
        <w:rPr>
          <w:rFonts w:hint="cs"/>
          <w:rtl/>
        </w:rPr>
        <w:t>(</w:t>
      </w:r>
      <w:r w:rsidRPr="005675B2">
        <w:rPr>
          <w:rFonts w:hint="cs"/>
          <w:rtl/>
        </w:rPr>
        <w:t>أولئك كتب في قلوبهم الإيمان</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ولما يدخل الإيمان في قلوبهم</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إلا من أكره وقلبه مطمئن بالإيمان</w:t>
      </w:r>
      <w:r w:rsidR="000636C2">
        <w:rPr>
          <w:rFonts w:hint="cs"/>
          <w:rtl/>
        </w:rPr>
        <w:t>)</w:t>
      </w:r>
      <w:r w:rsidRPr="005675B2">
        <w:rPr>
          <w:rFonts w:hint="cs"/>
          <w:rtl/>
        </w:rPr>
        <w:t xml:space="preserve"> وجاء في الحديث</w:t>
      </w:r>
      <w:r w:rsidR="000636C2">
        <w:rPr>
          <w:rFonts w:hint="cs"/>
          <w:rtl/>
        </w:rPr>
        <w:t>:</w:t>
      </w:r>
      <w:r w:rsidRPr="005675B2">
        <w:rPr>
          <w:rFonts w:hint="cs"/>
          <w:rtl/>
        </w:rPr>
        <w:t xml:space="preserve"> "الإيمانُ ما وَقَر في القلبِ وصدَّقه العملُ"</w:t>
      </w:r>
      <w:r w:rsidR="000636C2">
        <w:rPr>
          <w:rFonts w:hint="cs"/>
          <w:rtl/>
        </w:rPr>
        <w:t>،</w:t>
      </w:r>
      <w:r w:rsidRPr="005675B2">
        <w:rPr>
          <w:rFonts w:hint="cs"/>
          <w:rtl/>
        </w:rPr>
        <w:t xml:space="preserve"> كذلك لا مرية أنه لابد في تحقق الإيمان من التصديقُ القلبيُّ؛ والتصديقُ عبارة عن نسبةِ الصدقِ بالاختيار إلى النبي</w:t>
      </w:r>
      <w:r w:rsidR="000636C2">
        <w:rPr>
          <w:rFonts w:hint="cs"/>
          <w:rtl/>
        </w:rPr>
        <w:t>،</w:t>
      </w:r>
      <w:r w:rsidRPr="005675B2">
        <w:rPr>
          <w:rFonts w:hint="cs"/>
          <w:rtl/>
        </w:rPr>
        <w:t xml:space="preserve"> ويُسمى هذا بالإذعانِ والتسليم، وهذا هو المعتبرُ في الإيمان الشرعيِّ عند الأشاعرة وغيرهم من طوائف المسلمين ما عدى الجهمية</w:t>
      </w:r>
      <w:r w:rsidR="000636C2">
        <w:rPr>
          <w:rFonts w:hint="cs"/>
          <w:rtl/>
        </w:rPr>
        <w:t xml:space="preserve">، </w:t>
      </w:r>
      <w:r w:rsidRPr="005675B2">
        <w:rPr>
          <w:rFonts w:hint="cs"/>
          <w:rtl/>
        </w:rPr>
        <w:t>وكما أن الإذعان والتسليم معتبر شرعا في تحقق الإيمان الشرعي الذي طلبه الله من المكلفين، كذلك هو معتبر في المعنى اللغوي للفظ الإيمان، فلا يقال في اللغة آمن به إلا إذا صدقه وأذعن له بقلبه، وأما مجرد وقوع نسبة الصدق في القلب فلا يسمى إيمانا لغة، وإنما يسمى علما ومعرفة كما قال الله تعالى عن الفريق الذين يعلمون صدق الرسول في دعوى الرسالة بدون أن يؤمنوا به</w:t>
      </w:r>
      <w:r w:rsidR="000636C2">
        <w:rPr>
          <w:rFonts w:hint="cs"/>
          <w:rtl/>
        </w:rPr>
        <w:t>:</w:t>
      </w:r>
      <w:r w:rsidRPr="005675B2">
        <w:rPr>
          <w:rFonts w:hint="cs"/>
          <w:rtl/>
        </w:rPr>
        <w:t xml:space="preserve"> </w:t>
      </w:r>
      <w:r w:rsidR="000636C2">
        <w:rPr>
          <w:rFonts w:hint="cs"/>
          <w:rtl/>
        </w:rPr>
        <w:t>(</w:t>
      </w:r>
      <w:r w:rsidRPr="005675B2">
        <w:rPr>
          <w:rFonts w:hint="cs"/>
          <w:rtl/>
        </w:rPr>
        <w:t>الذين آتيناهم الكتاب يعرفونه كما يعرفون أبنائهم، وإن فريقا منهم ليكتمون الحق وهم يعلمون</w:t>
      </w:r>
      <w:r w:rsidR="000636C2">
        <w:rPr>
          <w:rFonts w:hint="cs"/>
          <w:rtl/>
        </w:rPr>
        <w:t>)</w:t>
      </w:r>
      <w:r w:rsidRPr="005675B2">
        <w:rPr>
          <w:rFonts w:hint="cs"/>
          <w:rtl/>
        </w:rPr>
        <w:t>، فلابد في تحقق كل من المعنى الشرعي واللغوي للإيمان من ضم فعل قلبي إلى المعرفة، وهو الإذعان لما عرفه والتسليم له، لكن الشرع قد نقل لفظ الإيمان إلى التصديق بأمور خاصة وهي ما جاء به الرسول وعلم مجيئه به بالضرورة، وجعل له نواقض اعتبر الشرع الإيمان ملغى معها كالعبادة لغير الله والتلفظ بكلمة الكفر في حال الإختيار</w:t>
      </w:r>
      <w:r w:rsidR="000636C2">
        <w:rPr>
          <w:rFonts w:hint="cs"/>
          <w:rtl/>
        </w:rPr>
        <w:t xml:space="preserve">، </w:t>
      </w:r>
      <w:r w:rsidRPr="005675B2">
        <w:rPr>
          <w:rFonts w:hint="cs"/>
          <w:rtl/>
        </w:rPr>
        <w:t>وأما مجرد المعرفة ووقوع نسبةِ الصدقِ في القلب بدون التصديقِ والإذعان، فلا يكفي في الإيمان</w:t>
      </w:r>
      <w:r w:rsidR="000636C2">
        <w:rPr>
          <w:rFonts w:hint="cs"/>
          <w:rtl/>
        </w:rPr>
        <w:t>،</w:t>
      </w:r>
      <w:r w:rsidRPr="005675B2">
        <w:rPr>
          <w:rFonts w:hint="cs"/>
          <w:rtl/>
        </w:rPr>
        <w:t xml:space="preserve"> والموجود عندَ أبي طالبٍ وغيرِه من كثيرٍ من المشركين هو المعرفةُ فقط بدون تصديقٍ وإذعانٍ</w:t>
      </w:r>
      <w:r w:rsidR="000636C2">
        <w:rPr>
          <w:rFonts w:hint="cs"/>
          <w:rtl/>
        </w:rPr>
        <w:t xml:space="preserve">، </w:t>
      </w:r>
      <w:r w:rsidRPr="005675B2">
        <w:rPr>
          <w:rFonts w:hint="cs"/>
          <w:rtl/>
        </w:rPr>
        <w:t>والذي قالت الجهمية بكفايته في حصول الإيمان هو المعرفة</w:t>
      </w:r>
      <w:r w:rsidR="000636C2">
        <w:rPr>
          <w:rFonts w:hint="cs"/>
          <w:rtl/>
        </w:rPr>
        <w:t>،</w:t>
      </w:r>
      <w:r w:rsidRPr="005675B2">
        <w:rPr>
          <w:rFonts w:hint="cs"/>
          <w:rtl/>
        </w:rPr>
        <w:t xml:space="preserve"> وكم من فرق بين المذهبين</w:t>
      </w:r>
      <w:r w:rsidR="000636C2">
        <w:rPr>
          <w:rFonts w:hint="cs"/>
          <w:rtl/>
        </w:rPr>
        <w:t>!</w:t>
      </w:r>
      <w:r w:rsidRPr="005675B2">
        <w:rPr>
          <w:rFonts w:hint="cs"/>
          <w:rtl/>
        </w:rPr>
        <w:t>! قال أبو منصور البغدادي</w:t>
      </w:r>
      <w:r w:rsidR="000636C2">
        <w:rPr>
          <w:rFonts w:hint="cs"/>
          <w:rtl/>
        </w:rPr>
        <w:t>:</w:t>
      </w:r>
      <w:r w:rsidRPr="005675B2">
        <w:rPr>
          <w:rFonts w:hint="cs"/>
          <w:rtl/>
        </w:rPr>
        <w:t xml:space="preserve"> </w:t>
      </w:r>
      <w:r w:rsidR="000636C2">
        <w:rPr>
          <w:rFonts w:hint="cs"/>
          <w:rtl/>
        </w:rPr>
        <w:t>(</w:t>
      </w:r>
      <w:r w:rsidRPr="005675B2">
        <w:rPr>
          <w:rFonts w:hint="cs"/>
          <w:rtl/>
        </w:rPr>
        <w:t>وزعمت الجهمية أن الإيمان هو المعرفة وحدها</w:t>
      </w:r>
      <w:r w:rsidR="000636C2">
        <w:rPr>
          <w:rFonts w:hint="cs"/>
          <w:rtl/>
        </w:rPr>
        <w:t>)</w:t>
      </w:r>
      <w:r w:rsidRPr="005675B2">
        <w:rPr>
          <w:rFonts w:hint="cs"/>
          <w:rtl/>
        </w:rPr>
        <w:t xml:space="preserve"> [</w:t>
      </w:r>
      <w:r w:rsidRPr="005675B2">
        <w:rPr>
          <w:rFonts w:hint="cs"/>
          <w:sz w:val="24"/>
          <w:szCs w:val="24"/>
          <w:rtl/>
        </w:rPr>
        <w:t>أصول الدين 249]</w:t>
      </w:r>
      <w:r w:rsidRPr="005675B2">
        <w:rPr>
          <w:rFonts w:hint="cs"/>
          <w:rtl/>
        </w:rPr>
        <w:t xml:space="preserve"> ونقل الشهرستاني عن جهم أنه قال</w:t>
      </w:r>
      <w:r w:rsidR="000636C2">
        <w:rPr>
          <w:rFonts w:hint="cs"/>
          <w:rtl/>
        </w:rPr>
        <w:t>:</w:t>
      </w:r>
      <w:r w:rsidRPr="005675B2">
        <w:rPr>
          <w:rFonts w:hint="cs"/>
          <w:rtl/>
        </w:rPr>
        <w:t xml:space="preserve"> </w:t>
      </w:r>
      <w:r w:rsidR="000636C2">
        <w:rPr>
          <w:rFonts w:hint="cs"/>
          <w:rtl/>
        </w:rPr>
        <w:t>(</w:t>
      </w:r>
      <w:r w:rsidRPr="005675B2">
        <w:rPr>
          <w:rFonts w:hint="cs"/>
          <w:rtl/>
        </w:rPr>
        <w:t>من أتى بالمعرفة ثم جحد بلسانه لم يكفر بجحده لأن العلم والمعرفة لا يزولان بالجحد فهو مؤمن</w:t>
      </w:r>
      <w:r w:rsidR="000636C2">
        <w:rPr>
          <w:rFonts w:hint="cs"/>
          <w:rtl/>
        </w:rPr>
        <w:t>)</w:t>
      </w:r>
      <w:r w:rsidRPr="005675B2">
        <w:rPr>
          <w:rFonts w:hint="cs"/>
          <w:rtl/>
        </w:rPr>
        <w:t xml:space="preserve"> [</w:t>
      </w:r>
      <w:r w:rsidRPr="005675B2">
        <w:rPr>
          <w:rFonts w:hint="cs"/>
          <w:sz w:val="24"/>
          <w:szCs w:val="24"/>
          <w:rtl/>
        </w:rPr>
        <w:t>الملل والنحل 1/111]</w:t>
      </w:r>
      <w:r w:rsidRPr="005675B2">
        <w:rPr>
          <w:rFonts w:hint="cs"/>
          <w:rtl/>
        </w:rPr>
        <w:t xml:space="preserve"> وهذا المذهب مردود بقوله تعالى عن بعض الكفار</w:t>
      </w:r>
      <w:r w:rsidR="000636C2">
        <w:rPr>
          <w:rFonts w:hint="cs"/>
          <w:rtl/>
        </w:rPr>
        <w:t>:</w:t>
      </w:r>
      <w:r w:rsidRPr="005675B2">
        <w:rPr>
          <w:rFonts w:hint="cs"/>
          <w:rtl/>
        </w:rPr>
        <w:t xml:space="preserve"> </w:t>
      </w:r>
      <w:r w:rsidR="000636C2">
        <w:rPr>
          <w:rFonts w:hint="cs"/>
          <w:rtl/>
        </w:rPr>
        <w:t>(</w:t>
      </w:r>
      <w:r w:rsidRPr="005675B2">
        <w:rPr>
          <w:rFonts w:hint="cs"/>
          <w:rtl/>
        </w:rPr>
        <w:t>وجحدوا بها واستيقنتها أنفسهم ظلما وعلوا</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يعرفونه كما يعرفون أبنائهم، وإن فريقا منهم ليكتمون الحق وهو يعلمون</w:t>
      </w:r>
      <w:r w:rsidR="000636C2">
        <w:rPr>
          <w:rFonts w:hint="cs"/>
          <w:rtl/>
        </w:rPr>
        <w:t xml:space="preserve">)، </w:t>
      </w:r>
      <w:r w:rsidRPr="005675B2">
        <w:rPr>
          <w:rFonts w:hint="cs"/>
          <w:rtl/>
        </w:rPr>
        <w:t>ثم اختلف الأشاعرة في أنه هل يكفي في حصول أصل الإيمان وفي الخروج من الكفر هذا التصديق والتسليم والإذعان القلبي أم لابد في تحققه من ضم التلفظ بالشهادتين إليه إن كان المكلف قادرا على ذلك بأن لم يكن أخرس</w:t>
      </w:r>
      <w:r w:rsidR="000636C2">
        <w:rPr>
          <w:rFonts w:hint="cs"/>
          <w:rtl/>
        </w:rPr>
        <w:t>؟</w:t>
      </w:r>
      <w:r w:rsidRPr="005675B2">
        <w:rPr>
          <w:rFonts w:hint="cs"/>
          <w:rtl/>
        </w:rPr>
        <w:t xml:space="preserve"> والذين قالوا بكفاية التصديق بالقلب في ذلك قالوا</w:t>
      </w:r>
      <w:r w:rsidR="000636C2">
        <w:rPr>
          <w:rFonts w:hint="cs"/>
          <w:rtl/>
        </w:rPr>
        <w:t>:</w:t>
      </w:r>
      <w:r w:rsidRPr="005675B2">
        <w:rPr>
          <w:rFonts w:hint="cs"/>
          <w:rtl/>
        </w:rPr>
        <w:t xml:space="preserve"> لابد أن يكون هذا المصدق بحيث إذا طولب بالتلفظ بالشهادتين تلفظ بهما ولم يمتنع عن ذلك، فإذا امتنع عن التلفظ بهما بعد المطالبة به فهو غير مسلم بامتناعه هذا، ثم إنهم أرادوا بكفاية التصديق كفايته فيما بين العبد وبين الله تعالى وكفايته في النجاة من الخلود في النار، أما إجراء أحكام المسلم الدنوية على المكلف فلا خلاف في أنه لابد فيه من النطق بالشهادتين فيمن أسلم بعد كفر، وأما ولد المسلم إذا بلغ فنجرى عليه أحكام المسلمين وإن لم يتلفظ بالشهادتين طول عمره ما لم يثبت عليه ما يقتضي الحكم عليه بالكفر</w:t>
      </w:r>
      <w:r w:rsidR="000636C2">
        <w:rPr>
          <w:rFonts w:hint="cs"/>
          <w:rtl/>
        </w:rPr>
        <w:t xml:space="preserve">، </w:t>
      </w:r>
      <w:r w:rsidRPr="005675B2">
        <w:rPr>
          <w:rFonts w:hint="cs"/>
          <w:rtl/>
        </w:rPr>
        <w:t>ثم إن من مذهب الأشاعرة أنهم يرجئون أمر العصاة إلى الله إن شاء عذبهم وإن شاء عفى عنهم</w:t>
      </w:r>
      <w:r w:rsidR="000636C2">
        <w:rPr>
          <w:rFonts w:hint="cs"/>
          <w:rtl/>
        </w:rPr>
        <w:t>،</w:t>
      </w:r>
      <w:r w:rsidRPr="005675B2">
        <w:rPr>
          <w:rFonts w:hint="cs"/>
          <w:rtl/>
        </w:rPr>
        <w:t xml:space="preserve"> هذا هو مذهبهم في الإرجاء وهو الإرجاء السنى الذي لا يخالف فيه أحد من أهل السنة، وأما الإرجاء البدعي وهو اعتقاد أنه لا يضر مع الإيمان معصية كما لا ينفع مع الكفر طاعة، فهم من أبعد الناس عنه كما أنهم من أبعد الناس عن رأي جهم، وقد عدوا في كتبهم هذين المذهبين من مذاهب المبتدعة</w:t>
      </w:r>
      <w:r w:rsidR="000636C2">
        <w:rPr>
          <w:rFonts w:hint="cs"/>
          <w:rtl/>
        </w:rPr>
        <w:t>،</w:t>
      </w:r>
      <w:r w:rsidRPr="005675B2">
        <w:rPr>
          <w:rFonts w:hint="cs"/>
          <w:rtl/>
        </w:rPr>
        <w:t xml:space="preserve"> هذا هو خلاصة مذهب الأشاعرة في القضية، وهو مأخوذ من الكتاب والسنة، ونورد هنا جملة قليلة من الآيات والأحاديث التى هي صريحة في مذهبهم</w:t>
      </w:r>
      <w:r w:rsidR="000636C2">
        <w:rPr>
          <w:rFonts w:hint="cs"/>
          <w:rtl/>
        </w:rPr>
        <w:t xml:space="preserve">، </w:t>
      </w:r>
      <w:r w:rsidRPr="005675B2">
        <w:rPr>
          <w:rFonts w:hint="cs"/>
          <w:rtl/>
        </w:rPr>
        <w:t>أما مذهبهم في الإيمان فمن الدلائل عليه ما يلي</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الذين آمنوا وعملوا الصالحات</w:t>
      </w:r>
      <w:r w:rsidR="000636C2">
        <w:rPr>
          <w:rFonts w:hint="cs"/>
          <w:rtl/>
        </w:rPr>
        <w:t>)</w:t>
      </w:r>
      <w:r w:rsidRPr="005675B2">
        <w:rPr>
          <w:rFonts w:hint="cs"/>
          <w:rtl/>
        </w:rPr>
        <w:t xml:space="preserve"> فعطف الله تعالى عمل الصالحات على الإيمان والعطف يقتضى المغايرة، وقال الله تعالى</w:t>
      </w:r>
      <w:r w:rsidR="000636C2">
        <w:rPr>
          <w:rFonts w:hint="cs"/>
          <w:rtl/>
        </w:rPr>
        <w:t>:</w:t>
      </w:r>
      <w:r w:rsidRPr="005675B2">
        <w:rPr>
          <w:rFonts w:hint="cs"/>
          <w:rtl/>
        </w:rPr>
        <w:t xml:space="preserve"> </w:t>
      </w:r>
      <w:r w:rsidR="000636C2">
        <w:rPr>
          <w:rFonts w:hint="cs"/>
          <w:rtl/>
        </w:rPr>
        <w:t>(</w:t>
      </w:r>
      <w:r w:rsidRPr="005675B2">
        <w:rPr>
          <w:rFonts w:hint="cs"/>
          <w:rtl/>
        </w:rPr>
        <w:t>وإن طائفتان من المؤمنين اقتتلوا فاصلحوا بينهما</w:t>
      </w:r>
      <w:r w:rsidR="000636C2">
        <w:rPr>
          <w:rFonts w:hint="cs"/>
          <w:rtl/>
        </w:rPr>
        <w:t>)</w:t>
      </w:r>
      <w:r w:rsidRPr="005675B2">
        <w:rPr>
          <w:rFonts w:hint="cs"/>
          <w:rtl/>
        </w:rPr>
        <w:t xml:space="preserve"> فعد الله تعالى الطائفتين المقتتلين مؤمنتين مع أن إحداهما باغية والأخرى مبغى عليها، وقد تكون كلتاهما باغيتين، فلم ينف الله تعالى عنهما الإيمان وعدهما مؤمنتين، وقال تعالى</w:t>
      </w:r>
      <w:r w:rsidR="000636C2">
        <w:rPr>
          <w:rFonts w:hint="cs"/>
          <w:rtl/>
        </w:rPr>
        <w:t>:</w:t>
      </w:r>
      <w:r w:rsidRPr="005675B2">
        <w:rPr>
          <w:rFonts w:hint="cs"/>
          <w:rtl/>
        </w:rPr>
        <w:t xml:space="preserve"> </w:t>
      </w:r>
      <w:r w:rsidR="000636C2">
        <w:rPr>
          <w:rFonts w:hint="cs"/>
          <w:rtl/>
        </w:rPr>
        <w:t>(</w:t>
      </w:r>
      <w:r w:rsidRPr="005675B2">
        <w:rPr>
          <w:rFonts w:hint="cs"/>
          <w:rtl/>
        </w:rPr>
        <w:t>فمن يعمل من الصالحات وهو مؤمن فلا كفران لسعيه</w:t>
      </w:r>
      <w:r w:rsidR="000636C2">
        <w:rPr>
          <w:rFonts w:hint="cs"/>
          <w:rtl/>
        </w:rPr>
        <w:t>)</w:t>
      </w:r>
      <w:r w:rsidRPr="005675B2">
        <w:rPr>
          <w:rFonts w:hint="cs"/>
          <w:rtl/>
        </w:rPr>
        <w:t xml:space="preserve"> فجعل الله تعالى الإيمان شرطا لقيام الأعمال الصالحة ولو كان الإيمان إسما لكل عبادة لكان شرط الشيئ نفسه قاله أبو المعين النسفي</w:t>
      </w:r>
      <w:r w:rsidR="000636C2">
        <w:rPr>
          <w:rFonts w:hint="cs"/>
          <w:rtl/>
        </w:rPr>
        <w:t>،</w:t>
      </w:r>
      <w:r w:rsidRPr="005675B2">
        <w:rPr>
          <w:rFonts w:hint="cs"/>
          <w:rtl/>
        </w:rPr>
        <w:t xml:space="preserve"> </w:t>
      </w:r>
      <w:r w:rsidR="000636C2">
        <w:rPr>
          <w:rFonts w:hint="cs"/>
          <w:rtl/>
        </w:rPr>
        <w:t>[</w:t>
      </w:r>
      <w:r w:rsidRPr="005675B2">
        <w:rPr>
          <w:rFonts w:hint="cs"/>
          <w:sz w:val="24"/>
          <w:szCs w:val="24"/>
          <w:rtl/>
        </w:rPr>
        <w:t>التمهيد 101-102]</w:t>
      </w:r>
      <w:r w:rsidR="000636C2">
        <w:rPr>
          <w:rFonts w:hint="cs"/>
          <w:rtl/>
        </w:rPr>
        <w:t xml:space="preserve">، </w:t>
      </w:r>
      <w:r w:rsidRPr="005675B2">
        <w:rPr>
          <w:rFonts w:hint="cs"/>
          <w:rtl/>
        </w:rPr>
        <w:t>وأما السنة فنكتفي منها بحديث جبريل، فقد فسر النبي صلى الله تعالى عليه وآله وسلم فيه الإيمان بقوله</w:t>
      </w:r>
      <w:r w:rsidR="000636C2">
        <w:rPr>
          <w:rFonts w:hint="cs"/>
          <w:rtl/>
        </w:rPr>
        <w:t>:</w:t>
      </w:r>
      <w:r w:rsidRPr="005675B2">
        <w:rPr>
          <w:rFonts w:hint="cs"/>
          <w:rtl/>
        </w:rPr>
        <w:t xml:space="preserve"> </w:t>
      </w:r>
      <w:r w:rsidR="000636C2">
        <w:rPr>
          <w:rFonts w:hint="cs"/>
          <w:rtl/>
        </w:rPr>
        <w:t>(</w:t>
      </w:r>
      <w:r w:rsidRPr="005675B2">
        <w:rPr>
          <w:rFonts w:hint="cs"/>
          <w:rtl/>
        </w:rPr>
        <w:t>أن تؤمن بالله وملائكته، وكتبه، ورسله، واليوم الآخر، وبالقدر خيره وشره من الله تعالى</w:t>
      </w:r>
      <w:r w:rsidR="000636C2">
        <w:rPr>
          <w:rFonts w:hint="cs"/>
          <w:rtl/>
        </w:rPr>
        <w:t>)</w:t>
      </w:r>
      <w:r w:rsidRPr="005675B2">
        <w:rPr>
          <w:rFonts w:hint="cs"/>
          <w:rtl/>
        </w:rPr>
        <w:t xml:space="preserve"> فقد فسر الأشاعرة الإيمان بما فسره به النبي صلى الله تعالى عليه وآله وسلم، ثم فسر النبي صلى الله تعالى عليه وآله وسلم الإسلام </w:t>
      </w:r>
      <w:r w:rsidR="000636C2">
        <w:rPr>
          <w:rFonts w:hint="cs"/>
          <w:rtl/>
        </w:rPr>
        <w:t>(</w:t>
      </w:r>
      <w:r w:rsidRPr="005675B2">
        <w:rPr>
          <w:rFonts w:hint="cs"/>
          <w:rtl/>
        </w:rPr>
        <w:t>بالتلفظ بالشهادتين، والصلاة، والزكاة، والصيام، والحج</w:t>
      </w:r>
      <w:r w:rsidR="000636C2">
        <w:rPr>
          <w:rFonts w:hint="cs"/>
          <w:rtl/>
        </w:rPr>
        <w:t>)</w:t>
      </w:r>
      <w:r w:rsidRPr="005675B2">
        <w:rPr>
          <w:rFonts w:hint="cs"/>
          <w:rtl/>
        </w:rPr>
        <w:t>، فجعل التلفظ بالشهادتين من الإسلام لا من الإيمان، وأدخله في نوع العمل كا الصلاة والزكاة، دون نوع الإعتقاد، وهذا دليل لمن يقول من الأشاعرة وغيرهم إن التلفظ بالشهادة ليس بشرط في حصول أصل الإيمان</w:t>
      </w:r>
      <w:r w:rsidR="000636C2">
        <w:rPr>
          <w:rFonts w:hint="cs"/>
          <w:rtl/>
        </w:rPr>
        <w:t xml:space="preserve">، </w:t>
      </w:r>
      <w:r w:rsidRPr="005675B2">
        <w:rPr>
          <w:rFonts w:hint="cs"/>
          <w:rtl/>
        </w:rPr>
        <w:t>وأما مذهب الأشاعرة في الإرجاء فدليله ما لا يحصى من الآيات والأحاديث ونقتصر منها على قوله تعالى</w:t>
      </w:r>
      <w:r w:rsidR="000636C2">
        <w:rPr>
          <w:rFonts w:hint="cs"/>
          <w:rtl/>
        </w:rPr>
        <w:t>:</w:t>
      </w:r>
      <w:r w:rsidRPr="005675B2">
        <w:rPr>
          <w:rFonts w:hint="cs"/>
          <w:rtl/>
        </w:rPr>
        <w:t xml:space="preserve"> </w:t>
      </w:r>
      <w:r w:rsidR="000636C2">
        <w:rPr>
          <w:rFonts w:hint="cs"/>
          <w:rtl/>
        </w:rPr>
        <w:t>(</w:t>
      </w:r>
      <w:r w:rsidRPr="005675B2">
        <w:rPr>
          <w:rFonts w:hint="cs"/>
          <w:rtl/>
        </w:rPr>
        <w:t>إن الله لا يغفر أن يشرك به ويغفر ما دون ذالك لمن يشاء</w:t>
      </w:r>
      <w:r w:rsidR="000636C2">
        <w:rPr>
          <w:rFonts w:hint="cs"/>
          <w:rtl/>
        </w:rPr>
        <w:t>)</w:t>
      </w:r>
      <w:r w:rsidRPr="005675B2">
        <w:rPr>
          <w:rFonts w:hint="cs"/>
          <w:rtl/>
        </w:rPr>
        <w:t xml:space="preserve"> وعلى ما جاء عن النبي صلى الله تعالى عليه وآله وسلم أنه قال</w:t>
      </w:r>
      <w:r w:rsidR="000636C2">
        <w:rPr>
          <w:rFonts w:hint="cs"/>
          <w:rtl/>
        </w:rPr>
        <w:t>:</w:t>
      </w:r>
      <w:r w:rsidRPr="005675B2">
        <w:rPr>
          <w:rFonts w:hint="cs"/>
          <w:rtl/>
        </w:rPr>
        <w:t xml:space="preserve"> </w:t>
      </w:r>
      <w:r w:rsidR="000636C2">
        <w:rPr>
          <w:rFonts w:hint="cs"/>
          <w:rtl/>
        </w:rPr>
        <w:t>(</w:t>
      </w:r>
      <w:r w:rsidRPr="005675B2">
        <w:rPr>
          <w:rFonts w:hint="cs"/>
          <w:rtl/>
        </w:rPr>
        <w:t>من مات لا يشرك بالله شيئا دخل الجنة</w:t>
      </w:r>
      <w:r w:rsidR="000636C2">
        <w:rPr>
          <w:rFonts w:hint="cs"/>
          <w:rtl/>
        </w:rPr>
        <w:t>)</w:t>
      </w:r>
      <w:r w:rsidRPr="005675B2">
        <w:rPr>
          <w:rFonts w:hint="cs"/>
          <w:rtl/>
        </w:rPr>
        <w:t xml:space="preserve"> رواه مسلم</w:t>
      </w:r>
      <w:r w:rsidR="000636C2">
        <w:rPr>
          <w:rFonts w:hint="cs"/>
          <w:rtl/>
        </w:rPr>
        <w:t xml:space="preserve">، </w:t>
      </w:r>
      <w:r w:rsidRPr="005675B2">
        <w:rPr>
          <w:rFonts w:hint="cs"/>
          <w:rtl/>
        </w:rPr>
        <w:t>فهل بعد هذا يصح أن يقال</w:t>
      </w:r>
      <w:r w:rsidR="000636C2">
        <w:rPr>
          <w:rFonts w:hint="cs"/>
          <w:rtl/>
        </w:rPr>
        <w:t>:</w:t>
      </w:r>
      <w:r w:rsidRPr="005675B2">
        <w:rPr>
          <w:rFonts w:hint="cs"/>
          <w:rtl/>
        </w:rPr>
        <w:t xml:space="preserve"> إن الأشاعرة في الإيمان مرجئة جهمية</w:t>
      </w:r>
      <w:r w:rsidR="000636C2">
        <w:rPr>
          <w:rFonts w:hint="cs"/>
          <w:rtl/>
        </w:rPr>
        <w:t xml:space="preserve">؟! </w:t>
      </w:r>
      <w:r w:rsidRPr="005675B2">
        <w:rPr>
          <w:rFonts w:hint="cs"/>
          <w:rtl/>
        </w:rPr>
        <w:t>نعم يُثير غضبَ الدكتور أن الأشاعرة لم يقولوا</w:t>
      </w:r>
      <w:r w:rsidR="000636C2">
        <w:rPr>
          <w:rFonts w:hint="cs"/>
          <w:rtl/>
        </w:rPr>
        <w:t>:</w:t>
      </w:r>
      <w:r w:rsidRPr="005675B2">
        <w:rPr>
          <w:rFonts w:hint="cs"/>
          <w:rtl/>
        </w:rPr>
        <w:t xml:space="preserve"> </w:t>
      </w:r>
      <w:r w:rsidR="000636C2">
        <w:rPr>
          <w:rFonts w:hint="cs"/>
          <w:rtl/>
        </w:rPr>
        <w:t>(</w:t>
      </w:r>
      <w:r w:rsidRPr="005675B2">
        <w:rPr>
          <w:rFonts w:hint="cs"/>
          <w:rtl/>
        </w:rPr>
        <w:t>الإيمان اعتقاد وقول وعمل</w:t>
      </w:r>
      <w:r w:rsidR="000636C2">
        <w:rPr>
          <w:rFonts w:hint="cs"/>
          <w:rtl/>
        </w:rPr>
        <w:t>)</w:t>
      </w:r>
      <w:r w:rsidRPr="005675B2">
        <w:rPr>
          <w:rFonts w:hint="cs"/>
          <w:rtl/>
        </w:rPr>
        <w:t xml:space="preserve"> مثل من قال ذلك من الأئمة، ولكن الأشاعرة لم يخالفوا في هذا القول بمعناه الذى قصده القائلون به</w:t>
      </w:r>
      <w:r w:rsidR="000636C2">
        <w:rPr>
          <w:rFonts w:hint="cs"/>
          <w:rtl/>
        </w:rPr>
        <w:t>،</w:t>
      </w:r>
      <w:r w:rsidRPr="005675B2">
        <w:rPr>
          <w:rFonts w:hint="cs"/>
          <w:rtl/>
        </w:rPr>
        <w:t xml:space="preserve"> وكيف يجوز لهم أن يخالفوا فيه وقد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كان الله ليضيع إيمانكم</w:t>
      </w:r>
      <w:r w:rsidR="000636C2">
        <w:rPr>
          <w:rFonts w:hint="cs"/>
          <w:rtl/>
        </w:rPr>
        <w:t>)</w:t>
      </w:r>
      <w:r w:rsidRPr="005675B2">
        <w:rPr>
          <w:rFonts w:hint="cs"/>
          <w:rtl/>
        </w:rPr>
        <w:t xml:space="preserve"> فقد عبر عن الصلاة بالإيمان، وقال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الإيمان بضع وسبعون شعبة أعلاها قول لا إ̃له إلا الله، وأدناها إماطة الأذى عن الطريق</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الطهور شطر الإيمان</w:t>
      </w:r>
      <w:r w:rsidR="000636C2">
        <w:rPr>
          <w:rFonts w:hint="cs"/>
          <w:rtl/>
        </w:rPr>
        <w:t xml:space="preserve">)، </w:t>
      </w:r>
      <w:r w:rsidRPr="005675B2">
        <w:rPr>
          <w:rFonts w:hint="cs"/>
          <w:rtl/>
        </w:rPr>
        <w:t>وبيان ذلك أن الإيمان شبيه بالشجرة فاسم الشجرة يطلق على مجموع الساق والأغصان والورق والثمر وإذا قطف الثمر فلا يزال اسم الشجرة يطلق على الباقى، وكذلك إذا قطعت الورق والأغصان، وأما إذا قطع الساق فقد عدمت الشجرة، ولم يبق هناك ما يطلق عليه اسم الشجرة</w:t>
      </w:r>
      <w:r w:rsidR="000636C2">
        <w:rPr>
          <w:rFonts w:hint="cs"/>
          <w:rtl/>
        </w:rPr>
        <w:t xml:space="preserve">، </w:t>
      </w:r>
      <w:r w:rsidRPr="005675B2">
        <w:rPr>
          <w:rFonts w:hint="cs"/>
          <w:rtl/>
        </w:rPr>
        <w:t>كذلك اسم الإيمان قد اطلق في كثير من نصوص الكتاب والسنة على معنى عام يشتمل أصل الإيمان وما يترتب عليه من الأعمال والثمرات، وبإنعدام الأعمال والثمرات لا ينعدم أصل الإيمان، وأما بإنعدام التصديق القلبي فينعدم أصل الإيمان، فتعريف الأشاعرة للإيمان بأنه التصديق القلبي وحده أو مع التلفظ بالشهادتين على الخلاف في الشهادتين عندهم، تعريف لأصل الإيمان التى بدونه يعد الإنسان كافرا مخلدا في النار، وأما من قال</w:t>
      </w:r>
      <w:r w:rsidR="000636C2">
        <w:rPr>
          <w:rFonts w:hint="cs"/>
          <w:rtl/>
        </w:rPr>
        <w:t>:</w:t>
      </w:r>
      <w:r w:rsidRPr="005675B2">
        <w:rPr>
          <w:rFonts w:hint="cs"/>
          <w:rtl/>
        </w:rPr>
        <w:t xml:space="preserve"> </w:t>
      </w:r>
      <w:r w:rsidR="000636C2">
        <w:rPr>
          <w:rFonts w:hint="cs"/>
          <w:rtl/>
        </w:rPr>
        <w:t>(</w:t>
      </w:r>
      <w:r w:rsidRPr="005675B2">
        <w:rPr>
          <w:rFonts w:hint="cs"/>
          <w:rtl/>
        </w:rPr>
        <w:t>الإيمان اعتقاد وقول وعمل</w:t>
      </w:r>
      <w:r w:rsidR="000636C2">
        <w:rPr>
          <w:rFonts w:hint="cs"/>
          <w:rtl/>
        </w:rPr>
        <w:t>)</w:t>
      </w:r>
      <w:r w:rsidRPr="005675B2">
        <w:rPr>
          <w:rFonts w:hint="cs"/>
          <w:rtl/>
        </w:rPr>
        <w:t xml:space="preserve"> فقد عرف الإيمان بالمعنى العام الذي جاء به كثير من نصوص الكتاب والسنة، فلا خلاف بين الفريقين لأن كل واحد منهما عرف معنى للإيمان مغايرا للمعنى الذي عرفه الآخر</w:t>
      </w:r>
      <w:r w:rsidR="000636C2">
        <w:rPr>
          <w:rFonts w:hint="cs"/>
          <w:rtl/>
        </w:rPr>
        <w:t>،</w:t>
      </w:r>
      <w:r w:rsidRPr="005675B2">
        <w:rPr>
          <w:rFonts w:hint="cs"/>
          <w:rtl/>
        </w:rPr>
        <w:t xml:space="preserve"> والله تعالى أعلم</w:t>
      </w:r>
      <w:r w:rsidR="000636C2">
        <w:rPr>
          <w:rFonts w:hint="cs"/>
          <w:rtl/>
        </w:rPr>
        <w:t>،</w:t>
      </w:r>
    </w:p>
    <w:p w14:paraId="31E6BFD0" w14:textId="39ED4B0C" w:rsidR="009C32A0" w:rsidRPr="005675B2" w:rsidRDefault="009C32A0" w:rsidP="000636C2">
      <w:pPr>
        <w:rPr>
          <w:b/>
          <w:rtl/>
        </w:rPr>
      </w:pPr>
      <w:r w:rsidRPr="005675B2">
        <w:rPr>
          <w:rFonts w:hint="cs"/>
          <w:rtl/>
        </w:rPr>
        <w:t>41 - مسألة زيادة الإيمان ونقصه</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هذا وقد أوَّلوا كُلَّ آيةٍ أو حديثٍ وردَ في زيادة الإيمانِ ونُقْصانه أو وصفِ بعض شُعبه بأنَّها إيمانٌ أو من الإيمان "</w:t>
      </w:r>
      <w:r w:rsidR="000636C2">
        <w:rPr>
          <w:rFonts w:hint="cs"/>
          <w:rtl/>
        </w:rPr>
        <w:t xml:space="preserve">، </w:t>
      </w:r>
      <w:r w:rsidRPr="005675B2">
        <w:rPr>
          <w:rFonts w:hint="cs"/>
          <w:rtl/>
        </w:rPr>
        <w:t>أقول</w:t>
      </w:r>
      <w:r w:rsidR="000636C2">
        <w:rPr>
          <w:rFonts w:hint="cs"/>
          <w:rtl/>
        </w:rPr>
        <w:t>:</w:t>
      </w:r>
      <w:r w:rsidRPr="005675B2">
        <w:rPr>
          <w:rFonts w:hint="cs"/>
          <w:rtl/>
        </w:rPr>
        <w:t xml:space="preserve"> مذهبُ الأشاعرة أنَّ الإيمانِ يزيدُ وينقصُ، وعمدتُهم في الاستدلال على ذلك ما وردَ من نصوص الكتابِ والسنةِ في الزيادة، والذين يقولون بنفي الزيادةَ والنقصَ في الإيمان هم جمهورُ الحنفية، ولهم أيضاً دلائلهم على ذلك</w:t>
      </w:r>
      <w:r w:rsidR="000636C2">
        <w:rPr>
          <w:rFonts w:hint="cs"/>
          <w:rtl/>
        </w:rPr>
        <w:t xml:space="preserve">، </w:t>
      </w:r>
      <w:r w:rsidRPr="005675B2">
        <w:rPr>
          <w:rFonts w:hint="cs"/>
          <w:rtl/>
        </w:rPr>
        <w:t>واما ما جاء في كثير من نصوص الكتاب والسنة من التعبير عن بعض الأعمال المطلوبة بالإيمان كما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كان الله ليضيع إيمانكم</w:t>
      </w:r>
      <w:r w:rsidR="000636C2">
        <w:rPr>
          <w:rFonts w:hint="cs"/>
          <w:rtl/>
        </w:rPr>
        <w:t>)</w:t>
      </w:r>
      <w:r w:rsidRPr="005675B2">
        <w:rPr>
          <w:rFonts w:hint="cs"/>
          <w:rtl/>
        </w:rPr>
        <w:t xml:space="preserve"> أي صلاتكم أو التعبير بأنها من الإيمان، فصحيح أن الأشاعرة قد أولوها، وذلك لأنهم يرون أن الإيمان موضوع لغة وشرعا للتصديق القلبي لكن الشرع نقله إلى التصديق بأمور خاصة</w:t>
      </w:r>
      <w:r w:rsidR="000636C2">
        <w:rPr>
          <w:rFonts w:hint="cs"/>
          <w:rtl/>
        </w:rPr>
        <w:t>،</w:t>
      </w:r>
      <w:r w:rsidRPr="005675B2">
        <w:rPr>
          <w:rFonts w:hint="cs"/>
          <w:rtl/>
        </w:rPr>
        <w:t xml:space="preserve"> وهذه الأعمال ليست نفس التصديق، بل هي آثاره وثمراته، فيكون اطلاق الإيمان عليها مجازا لا حقيقة</w:t>
      </w:r>
      <w:r w:rsidR="000636C2">
        <w:rPr>
          <w:rFonts w:hint="cs"/>
          <w:rtl/>
        </w:rPr>
        <w:t xml:space="preserve">، </w:t>
      </w:r>
      <w:r w:rsidRPr="005675B2">
        <w:rPr>
          <w:rFonts w:hint="cs"/>
          <w:rtl/>
        </w:rPr>
        <w:t>وأنا أسأل الدكتور هل إذا عمل أحد الكفار شيئا من هذه الأعمال المطلوبة شرعا يطلق على ما عمله أنه إيمان،</w:t>
      </w:r>
      <w:r w:rsidR="000636C2">
        <w:rPr>
          <w:rFonts w:hint="cs"/>
          <w:rtl/>
        </w:rPr>
        <w:t>؟</w:t>
      </w:r>
      <w:r w:rsidRPr="005675B2">
        <w:rPr>
          <w:rFonts w:hint="cs"/>
          <w:rtl/>
        </w:rPr>
        <w:t xml:space="preserve"> فإن كان اطلاق الإيمان على هذا الأعمال على وجه الحقيقة فلا بد أن يصح أن يطلق على ما عمله الكافر من ذلك أنه إيمان</w:t>
      </w:r>
      <w:r w:rsidR="000636C2">
        <w:rPr>
          <w:rFonts w:hint="cs"/>
          <w:rtl/>
        </w:rPr>
        <w:t>،</w:t>
      </w:r>
      <w:r w:rsidRPr="005675B2">
        <w:rPr>
          <w:rFonts w:hint="cs"/>
          <w:rtl/>
        </w:rPr>
        <w:t xml:space="preserve"> ولا أعتقد أن الدكتور يجيب بنعم، فإذا لم يصح إطلاق الإيمان عليها في هذه الصورة، يكون إطلاقه عليها مشروطا باتصاف صاحبها بالإيمان، ومعنى هذا أن إطلاق الإيمان عليها باعتبار أنها ثمراته وآثاره، وهذا هو تأويل الأشاعرة الذي أنكره الدكتور عليهم</w:t>
      </w:r>
      <w:r w:rsidR="000636C2">
        <w:rPr>
          <w:rFonts w:hint="cs"/>
          <w:rtl/>
        </w:rPr>
        <w:t>!،</w:t>
      </w:r>
    </w:p>
    <w:p w14:paraId="7C596254" w14:textId="699F36D8" w:rsidR="009C32A0" w:rsidRPr="005675B2" w:rsidRDefault="009C32A0" w:rsidP="000636C2">
      <w:pPr>
        <w:rPr>
          <w:b/>
          <w:spacing w:val="-8"/>
          <w:rtl/>
        </w:rPr>
      </w:pPr>
      <w:r w:rsidRPr="005675B2">
        <w:rPr>
          <w:rFonts w:hint="cs"/>
          <w:rtl/>
        </w:rPr>
        <w:t>42 - القرآن وبيان مذهب الأشاعرة فيه بتوسع</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الخامس القرآن</w:t>
      </w:r>
      <w:r w:rsidR="000636C2">
        <w:rPr>
          <w:rFonts w:hint="cs"/>
          <w:rtl/>
        </w:rPr>
        <w:t>:</w:t>
      </w:r>
      <w:r w:rsidRPr="005675B2">
        <w:rPr>
          <w:rFonts w:hint="cs"/>
          <w:rtl/>
        </w:rPr>
        <w:t xml:space="preserve"> فمذهب أهل السنة والجماعة أن القرآن كلام الله غير مخلوق، وأنه تعالى يتكلم بكلام مسموع تسمعه الملائكة وسمعه جبريل، وسمعه موسى</w:t>
      </w:r>
      <w:r w:rsidR="000636C2">
        <w:rPr>
          <w:rFonts w:hint="cs"/>
          <w:rtl/>
        </w:rPr>
        <w:t xml:space="preserve"> </w:t>
      </w:r>
      <w:r w:rsidRPr="005675B2">
        <w:rPr>
          <w:rFonts w:hint="cs"/>
          <w:rtl/>
        </w:rPr>
        <w:t>- عليه السلام -</w:t>
      </w:r>
      <w:r w:rsidR="000636C2">
        <w:rPr>
          <w:rFonts w:hint="cs"/>
          <w:rtl/>
        </w:rPr>
        <w:t>،</w:t>
      </w:r>
      <w:r w:rsidRPr="005675B2">
        <w:rPr>
          <w:rFonts w:hint="cs"/>
          <w:rtl/>
        </w:rPr>
        <w:t xml:space="preserve"> وتسمعه الخلائق يوم القيامة</w:t>
      </w:r>
      <w:r w:rsidR="000636C2">
        <w:rPr>
          <w:rFonts w:hint="cs"/>
          <w:rtl/>
        </w:rPr>
        <w:t xml:space="preserve">، </w:t>
      </w:r>
      <w:r w:rsidRPr="005675B2">
        <w:rPr>
          <w:rFonts w:hint="cs"/>
          <w:rtl/>
        </w:rPr>
        <w:t>ومذهب المعتزلة أنه مخلوق</w:t>
      </w:r>
      <w:r w:rsidR="000636C2">
        <w:rPr>
          <w:rFonts w:hint="cs"/>
          <w:rtl/>
        </w:rPr>
        <w:t xml:space="preserve">، </w:t>
      </w:r>
      <w:r w:rsidRPr="005675B2">
        <w:rPr>
          <w:rFonts w:hint="cs"/>
          <w:rtl/>
        </w:rPr>
        <w:t>أما مذهب الأشاعرة فمن منطلق التوفيقية -التي لم يحالفها التوفيق - فرقوا بين المعنى واللفظ، فالكلام الذي يثبتونه لله تعالى هو معنى أزلي أبدي قائم بالنفس ليس بحرف، ولا صوت، ولا يوصف بالخبر ولا الإنشاء</w:t>
      </w:r>
      <w:r w:rsidR="000636C2">
        <w:rPr>
          <w:rFonts w:hint="cs"/>
          <w:rtl/>
        </w:rPr>
        <w:t xml:space="preserve">، </w:t>
      </w:r>
      <w:r w:rsidRPr="005675B2">
        <w:rPr>
          <w:rFonts w:hint="cs"/>
          <w:rtl/>
        </w:rPr>
        <w:t>واستدلوا بالبيت المنسوب للأخطل النصراني</w:t>
      </w:r>
      <w:r w:rsidR="000636C2">
        <w:rPr>
          <w:rFonts w:hint="cs"/>
          <w:rtl/>
        </w:rPr>
        <w:t>:</w:t>
      </w:r>
      <w:r w:rsidRPr="005675B2">
        <w:rPr>
          <w:rFonts w:hint="cs"/>
          <w:rtl/>
        </w:rPr>
        <w:t xml:space="preserve"> </w:t>
      </w:r>
      <w:r w:rsidR="000636C2">
        <w:rPr>
          <w:rFonts w:hint="cs"/>
          <w:rtl/>
        </w:rPr>
        <w:t>(</w:t>
      </w:r>
      <w:r w:rsidRPr="005675B2">
        <w:rPr>
          <w:rFonts w:hint="cs"/>
          <w:rtl/>
        </w:rPr>
        <w:t>إن الكلام لفي الفؤآد وإنما</w:t>
      </w:r>
      <w:r w:rsidR="000636C2">
        <w:rPr>
          <w:rFonts w:hint="cs"/>
          <w:rtl/>
        </w:rPr>
        <w:t xml:space="preserve"> </w:t>
      </w:r>
      <w:r w:rsidRPr="005675B2">
        <w:rPr>
          <w:rFonts w:hint="cs"/>
          <w:rtl/>
        </w:rPr>
        <w:t>...</w:t>
      </w:r>
      <w:r w:rsidR="000636C2">
        <w:rPr>
          <w:rFonts w:hint="cs"/>
          <w:rtl/>
        </w:rPr>
        <w:t xml:space="preserve"> </w:t>
      </w:r>
      <w:r w:rsidRPr="005675B2">
        <w:rPr>
          <w:rFonts w:hint="cs"/>
          <w:rtl/>
        </w:rPr>
        <w:t>جعل اللسان على الفؤآد دليلا</w:t>
      </w:r>
      <w:r w:rsidR="000636C2">
        <w:rPr>
          <w:rFonts w:hint="cs"/>
          <w:rtl/>
        </w:rPr>
        <w:t>)</w:t>
      </w:r>
      <w:r w:rsidRPr="005675B2">
        <w:rPr>
          <w:rFonts w:hint="cs"/>
          <w:rtl/>
        </w:rPr>
        <w:t xml:space="preserve"> "</w:t>
      </w:r>
      <w:r w:rsidR="000636C2">
        <w:rPr>
          <w:rFonts w:hint="cs"/>
          <w:rtl/>
        </w:rPr>
        <w:t>،</w:t>
      </w:r>
      <w:r w:rsidRPr="005675B2">
        <w:rPr>
          <w:rFonts w:hint="cs"/>
          <w:rtl/>
        </w:rPr>
        <w:t xml:space="preserve"> </w:t>
      </w:r>
      <w:r w:rsidRPr="005675B2">
        <w:rPr>
          <w:rFonts w:hint="cs"/>
          <w:spacing w:val="-8"/>
          <w:rtl/>
        </w:rPr>
        <w:t>أقول</w:t>
      </w:r>
      <w:r w:rsidR="000636C2">
        <w:rPr>
          <w:rFonts w:hint="cs"/>
          <w:spacing w:val="-8"/>
          <w:rtl/>
        </w:rPr>
        <w:t>:</w:t>
      </w:r>
      <w:r w:rsidRPr="005675B2">
        <w:rPr>
          <w:rFonts w:hint="cs"/>
          <w:spacing w:val="-8"/>
          <w:rtl/>
        </w:rPr>
        <w:t xml:space="preserve"> نتوسع في هذا الباب لما له من الأهمية القصوى، ولأنه طويل الذيل متشعب الأطراف، بعيد الغور، صعب التناول، لا يتيسرالوقوف على دقائقه، والوصول إلى قعره إلا للمحققين المتمرسين بعلم الكلام، ومن أجل ذلك تورط الدكتور في هذا الفقرة من كلامه فيما تورط فيه من الأخطاء الجمة، وقد قاربت العشرين خطأً</w:t>
      </w:r>
      <w:r w:rsidR="000636C2">
        <w:rPr>
          <w:rFonts w:hint="cs"/>
          <w:spacing w:val="-8"/>
          <w:rtl/>
        </w:rPr>
        <w:t>،</w:t>
      </w:r>
      <w:r w:rsidRPr="005675B2">
        <w:rPr>
          <w:rFonts w:hint="cs"/>
          <w:spacing w:val="-8"/>
          <w:rtl/>
        </w:rPr>
        <w:t xml:space="preserve"> ثم أقول</w:t>
      </w:r>
      <w:r w:rsidR="000636C2">
        <w:rPr>
          <w:rFonts w:hint="cs"/>
          <w:spacing w:val="-8"/>
          <w:rtl/>
        </w:rPr>
        <w:t>:</w:t>
      </w:r>
      <w:r w:rsidRPr="005675B2">
        <w:rPr>
          <w:rFonts w:hint="cs"/>
          <w:spacing w:val="-8"/>
          <w:rtl/>
        </w:rPr>
        <w:t xml:space="preserve"> لا بد أن نبين مذهب الأشاعرة في كلام الله تعالى على وجهه، ثم نعود إلى كلام الدكتور وإلى بيان ما حواه من أخطاء</w:t>
      </w:r>
      <w:r w:rsidR="000636C2">
        <w:rPr>
          <w:rFonts w:hint="cs"/>
          <w:spacing w:val="-8"/>
          <w:rtl/>
        </w:rPr>
        <w:t xml:space="preserve">، </w:t>
      </w:r>
      <w:r w:rsidRPr="005675B2">
        <w:rPr>
          <w:rFonts w:hint="cs"/>
          <w:rtl/>
        </w:rPr>
        <w:t>فأقول - وبالله التوفيق -</w:t>
      </w:r>
      <w:r w:rsidR="000636C2">
        <w:rPr>
          <w:rFonts w:hint="cs"/>
          <w:rtl/>
        </w:rPr>
        <w:t>:</w:t>
      </w:r>
      <w:r w:rsidRPr="005675B2">
        <w:rPr>
          <w:rFonts w:hint="cs"/>
          <w:rtl/>
        </w:rPr>
        <w:t xml:space="preserve"> المتكلم من أجل تحقق الكلام اللفظي اللساني عنده لا بد من تحقق أمرين آخرين عنده</w:t>
      </w:r>
      <w:r w:rsidR="000636C2">
        <w:rPr>
          <w:rFonts w:hint="cs"/>
          <w:rtl/>
        </w:rPr>
        <w:t xml:space="preserve">: </w:t>
      </w:r>
      <w:r w:rsidRPr="005675B2">
        <w:rPr>
          <w:rFonts w:hint="cs"/>
          <w:rtl/>
        </w:rPr>
        <w:t>الأمر الأول</w:t>
      </w:r>
      <w:r w:rsidR="000636C2">
        <w:rPr>
          <w:rFonts w:hint="cs"/>
          <w:rtl/>
        </w:rPr>
        <w:t>:</w:t>
      </w:r>
      <w:r w:rsidRPr="005675B2">
        <w:rPr>
          <w:rFonts w:hint="cs"/>
          <w:rtl/>
        </w:rPr>
        <w:t xml:space="preserve"> المعاني النفسية التي لا تختلف باختلاف اللغات، ولا تتغير بتغير العبارات، وهو المعنى الذي نجده في أنفسنا عند أخبارنا عن قيام زيد</w:t>
      </w:r>
      <w:r w:rsidR="000636C2">
        <w:rPr>
          <w:rFonts w:hint="cs"/>
          <w:rtl/>
        </w:rPr>
        <w:t>،</w:t>
      </w:r>
      <w:r w:rsidRPr="005675B2">
        <w:rPr>
          <w:rFonts w:hint="cs"/>
          <w:rtl/>
        </w:rPr>
        <w:t xml:space="preserve"> أعني النسبة الإيجابية بين القيام وزيد، وعند طلب القيام منه أعنى النسبة الإنشائية الطلبية بيننا وبين زيد</w:t>
      </w:r>
      <w:r w:rsidR="000636C2">
        <w:rPr>
          <w:rFonts w:hint="cs"/>
          <w:rtl/>
        </w:rPr>
        <w:t xml:space="preserve">، </w:t>
      </w:r>
      <w:r w:rsidRPr="005675B2">
        <w:rPr>
          <w:rFonts w:hint="cs"/>
          <w:rtl/>
        </w:rPr>
        <w:t>الأمر الثاني</w:t>
      </w:r>
      <w:r w:rsidR="000636C2">
        <w:rPr>
          <w:rFonts w:hint="cs"/>
          <w:rtl/>
        </w:rPr>
        <w:t>:</w:t>
      </w:r>
      <w:r w:rsidRPr="005675B2">
        <w:rPr>
          <w:rFonts w:hint="cs"/>
          <w:rtl/>
        </w:rPr>
        <w:t xml:space="preserve"> الألفاظ المتخيلة التي يصوغها المتكلم في ذهنه بإحدى اللغات، ثم يتكلم بها بلسانه بنفس اللغة</w:t>
      </w:r>
      <w:r w:rsidR="000636C2">
        <w:rPr>
          <w:rFonts w:hint="cs"/>
          <w:rtl/>
        </w:rPr>
        <w:t xml:space="preserve">، </w:t>
      </w:r>
      <w:r w:rsidRPr="005675B2">
        <w:rPr>
          <w:rFonts w:hint="cs"/>
          <w:rtl/>
        </w:rPr>
        <w:t>فتحقق هناك ثلاثة أنواع من الكلام</w:t>
      </w:r>
      <w:r w:rsidR="000636C2">
        <w:rPr>
          <w:rFonts w:hint="cs"/>
          <w:rtl/>
        </w:rPr>
        <w:t>:</w:t>
      </w:r>
      <w:r w:rsidRPr="005675B2">
        <w:rPr>
          <w:rFonts w:hint="cs"/>
          <w:rtl/>
        </w:rPr>
        <w:t xml:space="preserve"> المعاني التي لا تختلف باختلاف اللغات والتعبرات، والألفاظ المتخيلة الذهنية، والالفاظ اللسانية، ويمكن أن نختصرها إلى قسمين</w:t>
      </w:r>
      <w:r w:rsidR="000636C2">
        <w:rPr>
          <w:rFonts w:hint="cs"/>
          <w:rtl/>
        </w:rPr>
        <w:t>:</w:t>
      </w:r>
      <w:r w:rsidRPr="005675B2">
        <w:rPr>
          <w:rFonts w:hint="cs"/>
          <w:rtl/>
        </w:rPr>
        <w:t xml:space="preserve"> الكلام المعنوي النفسي، والكلام اللفظي، وهو منقسم إلى قسمين لفظي نفسي، ولفظي لساني</w:t>
      </w:r>
      <w:r w:rsidR="000636C2">
        <w:rPr>
          <w:rFonts w:hint="cs"/>
          <w:rtl/>
        </w:rPr>
        <w:t>،</w:t>
      </w:r>
      <w:r w:rsidRPr="005675B2">
        <w:rPr>
          <w:rFonts w:hint="cs"/>
          <w:rtl/>
        </w:rPr>
        <w:t xml:space="preserve"> وبعد هذه التوطئة نقول</w:t>
      </w:r>
      <w:r w:rsidR="000636C2">
        <w:rPr>
          <w:rFonts w:hint="cs"/>
          <w:rtl/>
        </w:rPr>
        <w:t>:</w:t>
      </w:r>
      <w:r w:rsidRPr="005675B2">
        <w:rPr>
          <w:rFonts w:hint="cs"/>
          <w:rtl/>
        </w:rPr>
        <w:t xml:space="preserve"> قد أثبت الأشاعرة وكذلك الماتريدية لله تعالى نوعين من الكلام على وجه الحقيقة لا على وجه المجاز</w:t>
      </w:r>
      <w:r w:rsidR="000636C2">
        <w:rPr>
          <w:rFonts w:hint="cs"/>
          <w:rtl/>
        </w:rPr>
        <w:t xml:space="preserve">، </w:t>
      </w:r>
      <w:r w:rsidRPr="005675B2">
        <w:rPr>
          <w:rFonts w:hint="cs"/>
          <w:rtl/>
        </w:rPr>
        <w:t>النوع الأول</w:t>
      </w:r>
      <w:r w:rsidR="000636C2">
        <w:rPr>
          <w:rFonts w:hint="cs"/>
          <w:rtl/>
        </w:rPr>
        <w:t>:</w:t>
      </w:r>
      <w:r w:rsidRPr="005675B2">
        <w:rPr>
          <w:rFonts w:hint="cs"/>
          <w:rtl/>
        </w:rPr>
        <w:t xml:space="preserve"> الكلام المعنوي النفسي، وقالوا</w:t>
      </w:r>
      <w:r w:rsidR="000636C2">
        <w:rPr>
          <w:rFonts w:hint="cs"/>
          <w:rtl/>
        </w:rPr>
        <w:t>:</w:t>
      </w:r>
      <w:r w:rsidRPr="005675B2">
        <w:rPr>
          <w:rFonts w:hint="cs"/>
          <w:rtl/>
        </w:rPr>
        <w:t xml:space="preserve"> إنه معنى قديم قائم بذاته ليس بحرف ولا صوت، وهو معنى واحد غير منقسم إلى الخبر والأمر والنهي في الأزل، وإنما ينقسم إلى هذه الأقسام فيما لا يزال</w:t>
      </w:r>
      <w:r w:rsidR="000636C2">
        <w:rPr>
          <w:rFonts w:hint="cs"/>
          <w:rtl/>
        </w:rPr>
        <w:t>،</w:t>
      </w:r>
      <w:r w:rsidRPr="005675B2">
        <w:rPr>
          <w:rFonts w:hint="cs"/>
          <w:rtl/>
        </w:rPr>
        <w:t xml:space="preserve"> هذا هو مذهب ابن كُلَّاب، وهو المشهور من مذهب الإمام الأشعري</w:t>
      </w:r>
      <w:r w:rsidR="000636C2">
        <w:rPr>
          <w:rFonts w:hint="cs"/>
          <w:rtl/>
        </w:rPr>
        <w:t xml:space="preserve">، </w:t>
      </w:r>
      <w:r w:rsidRPr="005675B2">
        <w:rPr>
          <w:rFonts w:hint="cs"/>
          <w:rtl/>
        </w:rPr>
        <w:t>وذهب بعض الأشاعرة إلى أنه عبارة عن الخبر فقط، وأن الأمر والنهي راجعان إليه، لأن الطلب من الله تعالى يرجع إلى الخبر بوصول الثواب والعقاب، ونسب الآمدي هذا القول إلى الإمام الأشعري</w:t>
      </w:r>
      <w:r w:rsidR="000636C2">
        <w:rPr>
          <w:rFonts w:hint="cs"/>
          <w:rtl/>
        </w:rPr>
        <w:t xml:space="preserve">، </w:t>
      </w:r>
      <w:r w:rsidRPr="005675B2">
        <w:rPr>
          <w:rFonts w:hint="cs"/>
          <w:rtl/>
        </w:rPr>
        <w:t>وذهب بعضهم إلى انقسامه في الأزل إلى الأمر والنهي والخبر</w:t>
      </w:r>
      <w:r w:rsidR="000636C2">
        <w:rPr>
          <w:rFonts w:hint="cs"/>
          <w:rtl/>
        </w:rPr>
        <w:t xml:space="preserve">، </w:t>
      </w:r>
      <w:r w:rsidRPr="005675B2">
        <w:rPr>
          <w:rFonts w:hint="cs"/>
          <w:rtl/>
        </w:rPr>
        <w:t>وذهب بعضهم إلى انقسامه في الأزل إلى الأقسام الخمسة</w:t>
      </w:r>
      <w:r w:rsidR="000636C2">
        <w:rPr>
          <w:rFonts w:hint="cs"/>
          <w:rtl/>
        </w:rPr>
        <w:t>:</w:t>
      </w:r>
      <w:r w:rsidRPr="005675B2">
        <w:rPr>
          <w:rFonts w:hint="cs"/>
          <w:rtl/>
        </w:rPr>
        <w:t xml:space="preserve"> الأمر، والنهي، والخبر، والاستخبار، والنداء</w:t>
      </w:r>
      <w:r w:rsidR="000636C2">
        <w:rPr>
          <w:rFonts w:hint="cs"/>
          <w:rtl/>
        </w:rPr>
        <w:t xml:space="preserve">، </w:t>
      </w:r>
      <w:r w:rsidRPr="005675B2">
        <w:rPr>
          <w:rFonts w:hint="cs"/>
          <w:rtl/>
        </w:rPr>
        <w:t>وهذا النوع من الكلام</w:t>
      </w:r>
      <w:r w:rsidR="000636C2">
        <w:rPr>
          <w:rFonts w:hint="cs"/>
          <w:rtl/>
        </w:rPr>
        <w:t xml:space="preserve"> </w:t>
      </w:r>
      <w:r w:rsidRPr="005675B2">
        <w:rPr>
          <w:rFonts w:hint="cs"/>
          <w:rtl/>
        </w:rPr>
        <w:t>- وهو الكلام المعنوي النفسي - مما لا ينبغي لأحد من العقلاء أن يخالف في ثبوته لله تعالى لأن الله تعالى آمر، ناه، مخبر، ولا تحقق لهذه الصفات بدون الكلام المعنوي، لكن المعتزلة نفوه عن الله تعالى وأثبتوا لله الكلام اللفظي فقط، والحنابلة أثبتوا الكلام اللفظي لله تعالى ولم يتكلموا على الكلام المعنوي لا نفيا ولا إثباتا</w:t>
      </w:r>
      <w:r w:rsidR="000636C2">
        <w:rPr>
          <w:rFonts w:hint="cs"/>
          <w:rtl/>
        </w:rPr>
        <w:t xml:space="preserve">، </w:t>
      </w:r>
      <w:r w:rsidRPr="005675B2">
        <w:rPr>
          <w:rFonts w:hint="cs"/>
          <w:rtl/>
        </w:rPr>
        <w:t>هذا هو المشهور عن الحنابلة</w:t>
      </w:r>
      <w:r w:rsidR="000636C2">
        <w:rPr>
          <w:rFonts w:hint="cs"/>
          <w:rtl/>
        </w:rPr>
        <w:t xml:space="preserve">، </w:t>
      </w:r>
      <w:r w:rsidRPr="005675B2">
        <w:rPr>
          <w:rFonts w:hint="cs"/>
          <w:rtl/>
        </w:rPr>
        <w:t>وذهب القاضي أبو يعلى منهم إلى ما ذهب إليه الأشاعرة</w:t>
      </w:r>
      <w:r w:rsidR="000636C2">
        <w:rPr>
          <w:rFonts w:hint="cs"/>
          <w:rtl/>
        </w:rPr>
        <w:t>،</w:t>
      </w:r>
      <w:r w:rsidRPr="005675B2">
        <w:rPr>
          <w:rFonts w:hint="cs"/>
          <w:rtl/>
        </w:rPr>
        <w:t xml:space="preserve"> قال</w:t>
      </w:r>
      <w:r w:rsidR="000636C2">
        <w:rPr>
          <w:rFonts w:hint="cs"/>
          <w:rtl/>
        </w:rPr>
        <w:t>:</w:t>
      </w:r>
      <w:r w:rsidRPr="005675B2">
        <w:rPr>
          <w:rFonts w:hint="cs"/>
          <w:rtl/>
        </w:rPr>
        <w:t xml:space="preserve"> </w:t>
      </w:r>
      <w:r w:rsidR="000636C2">
        <w:rPr>
          <w:rFonts w:hint="cs"/>
          <w:rtl/>
        </w:rPr>
        <w:t>(</w:t>
      </w:r>
      <w:r w:rsidRPr="005675B2">
        <w:rPr>
          <w:rFonts w:hint="cs"/>
          <w:rtl/>
        </w:rPr>
        <w:t>وهو سبحانه عالم بعلم واحد، وقادر بقدرة واحدة، وحي بحياة واحدة، ومريد بإرادة واحدة، ومتكلم بكلام واحد</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غير ممتنع أن له كلاما واحدا بلغات مختلفة يحصل الإفهام لكل واحد بلغته</w:t>
      </w:r>
      <w:r w:rsidR="000636C2">
        <w:rPr>
          <w:rFonts w:hint="cs"/>
          <w:rtl/>
        </w:rPr>
        <w:t>)[</w:t>
      </w:r>
      <w:r w:rsidRPr="005675B2">
        <w:rPr>
          <w:rStyle w:val="a5"/>
          <w:sz w:val="24"/>
          <w:szCs w:val="24"/>
        </w:rPr>
        <w:footnoteRef/>
      </w:r>
      <w:r w:rsidRPr="005675B2">
        <w:rPr>
          <w:rFonts w:hint="cs"/>
          <w:sz w:val="24"/>
          <w:szCs w:val="24"/>
          <w:rtl/>
        </w:rPr>
        <w:t xml:space="preserve"> المعتمد في أصول الدين 49-79]</w:t>
      </w:r>
      <w:r w:rsidR="000636C2">
        <w:rPr>
          <w:rFonts w:hint="cs"/>
          <w:rtl/>
        </w:rPr>
        <w:t xml:space="preserve">، </w:t>
      </w:r>
      <w:r w:rsidRPr="005675B2">
        <w:rPr>
          <w:rFonts w:hint="cs"/>
          <w:rtl/>
        </w:rPr>
        <w:t>وقد استدل الأشاعرة على إطلاق الكلام في اللغة على المعنى النفسي بكلام الله تعالى وكلام رسوله وكلام أقحاح العرب</w:t>
      </w:r>
      <w:r w:rsidR="000636C2">
        <w:rPr>
          <w:rFonts w:hint="cs"/>
          <w:rtl/>
        </w:rPr>
        <w:t>،</w:t>
      </w:r>
      <w:r w:rsidRPr="005675B2">
        <w:rPr>
          <w:rFonts w:hint="cs"/>
          <w:rtl/>
        </w:rPr>
        <w:t xml:space="preserve"> قال الباقلاني</w:t>
      </w:r>
      <w:r w:rsidR="000636C2">
        <w:rPr>
          <w:rFonts w:hint="cs"/>
          <w:rtl/>
        </w:rPr>
        <w:t>:</w:t>
      </w:r>
      <w:r w:rsidRPr="005675B2">
        <w:rPr>
          <w:rFonts w:hint="cs"/>
          <w:rtl/>
        </w:rPr>
        <w:t xml:space="preserve"> </w:t>
      </w:r>
      <w:r w:rsidR="000636C2">
        <w:rPr>
          <w:rFonts w:hint="cs"/>
          <w:rtl/>
        </w:rPr>
        <w:t>(</w:t>
      </w:r>
      <w:r w:rsidRPr="005675B2">
        <w:rPr>
          <w:rFonts w:hint="cs"/>
          <w:rtl/>
        </w:rPr>
        <w:t>ومما يدل على أن حقيقة الكلام هو المعنى القائم بالنفس من الكتاب والسنة وكلام العرب ما نذكر .. وقوله تعالى مخبرا عن الكفار</w:t>
      </w:r>
      <w:r w:rsidR="000636C2">
        <w:rPr>
          <w:rFonts w:hint="cs"/>
          <w:rtl/>
        </w:rPr>
        <w:t>:</w:t>
      </w:r>
      <w:r w:rsidRPr="005675B2">
        <w:rPr>
          <w:rFonts w:hint="cs"/>
          <w:rtl/>
        </w:rPr>
        <w:t xml:space="preserve"> </w:t>
      </w:r>
      <w:r w:rsidR="000636C2">
        <w:rPr>
          <w:rFonts w:hint="cs"/>
          <w:rtl/>
        </w:rPr>
        <w:t>(</w:t>
      </w:r>
      <w:r w:rsidRPr="005675B2">
        <w:rPr>
          <w:rFonts w:hint="cs"/>
          <w:rtl/>
        </w:rPr>
        <w:t>ويقولون في أنفسهم لو لا يعذبنا الله بما نقول</w:t>
      </w:r>
      <w:r w:rsidR="000636C2">
        <w:rPr>
          <w:rFonts w:hint="cs"/>
          <w:rtl/>
        </w:rPr>
        <w:t>)</w:t>
      </w:r>
      <w:r w:rsidRPr="005675B2">
        <w:rPr>
          <w:rFonts w:hint="cs"/>
          <w:rtl/>
        </w:rPr>
        <w:t xml:space="preserve"> .. وقوله صلى الله تعالى عليه وسلم</w:t>
      </w:r>
      <w:r w:rsidR="000636C2">
        <w:rPr>
          <w:rFonts w:hint="cs"/>
          <w:rtl/>
        </w:rPr>
        <w:t>:</w:t>
      </w:r>
      <w:r w:rsidRPr="005675B2">
        <w:rPr>
          <w:rFonts w:hint="cs"/>
          <w:rtl/>
        </w:rPr>
        <w:t xml:space="preserve"> </w:t>
      </w:r>
      <w:r w:rsidR="000636C2">
        <w:rPr>
          <w:rFonts w:hint="cs"/>
          <w:rtl/>
        </w:rPr>
        <w:t>(</w:t>
      </w:r>
      <w:r w:rsidRPr="005675B2">
        <w:rPr>
          <w:rFonts w:hint="cs"/>
          <w:rtl/>
        </w:rPr>
        <w:t>يقول الله تعالى إذا ذكرني عبدي في نفسه ..</w:t>
      </w:r>
      <w:r w:rsidR="000636C2">
        <w:rPr>
          <w:rFonts w:hint="cs"/>
          <w:rtl/>
        </w:rPr>
        <w:t>)</w:t>
      </w:r>
      <w:r w:rsidRPr="005675B2">
        <w:rPr>
          <w:rFonts w:hint="cs"/>
          <w:rtl/>
        </w:rPr>
        <w:t xml:space="preserve"> ويدل على ذلك أيضا قول عمر بن الخطاب رضي الله تعالى عنه</w:t>
      </w:r>
      <w:r w:rsidR="000636C2">
        <w:rPr>
          <w:rFonts w:hint="cs"/>
          <w:rtl/>
        </w:rPr>
        <w:t>:</w:t>
      </w:r>
      <w:r w:rsidRPr="005675B2">
        <w:rPr>
          <w:rFonts w:hint="cs"/>
          <w:rtl/>
        </w:rPr>
        <w:t xml:space="preserve"> </w:t>
      </w:r>
      <w:r w:rsidR="000636C2">
        <w:rPr>
          <w:rFonts w:hint="cs"/>
          <w:rtl/>
        </w:rPr>
        <w:t>(</w:t>
      </w:r>
      <w:r w:rsidRPr="005675B2">
        <w:rPr>
          <w:rFonts w:hint="cs"/>
          <w:rtl/>
        </w:rPr>
        <w:t>زورت في نفسي كلاما فأتى أبو بكر فزاد عليه</w:t>
      </w:r>
      <w:r w:rsidR="000636C2">
        <w:rPr>
          <w:rFonts w:hint="cs"/>
          <w:rtl/>
        </w:rPr>
        <w:t>)</w:t>
      </w:r>
      <w:r w:rsidRPr="005675B2">
        <w:rPr>
          <w:rFonts w:hint="cs"/>
          <w:rtl/>
        </w:rPr>
        <w:t xml:space="preserve"> فأثبت الكلام في النفس من غير نطق لسان، وعمر -رضي الله عنه - كان من أجل أهل اللسان والفصاحة ..</w:t>
      </w:r>
      <w:r w:rsidR="000636C2">
        <w:rPr>
          <w:rFonts w:hint="cs"/>
          <w:rtl/>
        </w:rPr>
        <w:t>،</w:t>
      </w:r>
      <w:r w:rsidRPr="005675B2">
        <w:rPr>
          <w:rFonts w:hint="cs"/>
          <w:rtl/>
        </w:rPr>
        <w:t xml:space="preserve"> والعربي الفصيح يقول</w:t>
      </w:r>
      <w:r w:rsidR="000636C2">
        <w:rPr>
          <w:rFonts w:hint="cs"/>
          <w:rtl/>
        </w:rPr>
        <w:t>:</w:t>
      </w:r>
      <w:r w:rsidRPr="005675B2">
        <w:rPr>
          <w:rFonts w:hint="cs"/>
          <w:rtl/>
        </w:rPr>
        <w:t>كان في نفسي كلام، وكان في نفسي قول، وكان في نفسي حديث إلى غير ذلك، وأنشد الأخطل</w:t>
      </w:r>
      <w:r w:rsidR="000636C2">
        <w:rPr>
          <w:rFonts w:hint="cs"/>
          <w:rtl/>
        </w:rPr>
        <w:t>:</w:t>
      </w:r>
      <w:r w:rsidRPr="005675B2">
        <w:rPr>
          <w:rFonts w:hint="cs"/>
          <w:rtl/>
        </w:rPr>
        <w:t xml:space="preserve"> </w:t>
      </w:r>
      <w:r w:rsidR="000636C2">
        <w:rPr>
          <w:rFonts w:hint="cs"/>
          <w:rtl/>
        </w:rPr>
        <w:t>(</w:t>
      </w:r>
      <w:r w:rsidRPr="005675B2">
        <w:rPr>
          <w:rFonts w:hint="cs"/>
          <w:rtl/>
        </w:rPr>
        <w:t>إن الكلام لفي الفؤاد وإنما</w:t>
      </w:r>
      <w:r w:rsidR="000636C2">
        <w:rPr>
          <w:rFonts w:hint="cs"/>
          <w:rtl/>
        </w:rPr>
        <w:t>::</w:t>
      </w:r>
      <w:r w:rsidRPr="005675B2">
        <w:rPr>
          <w:rFonts w:hint="cs"/>
          <w:rtl/>
        </w:rPr>
        <w:t xml:space="preserve"> جعل اللسان على الفؤاد دليلا</w:t>
      </w:r>
      <w:r w:rsidR="000636C2">
        <w:rPr>
          <w:rFonts w:hint="cs"/>
          <w:rtl/>
        </w:rPr>
        <w:t>)</w:t>
      </w:r>
      <w:r w:rsidRPr="005675B2">
        <w:rPr>
          <w:rFonts w:hint="cs"/>
          <w:rtl/>
        </w:rPr>
        <w:t xml:space="preserve"> [</w:t>
      </w:r>
      <w:r w:rsidRPr="005675B2">
        <w:rPr>
          <w:rFonts w:hint="cs"/>
          <w:sz w:val="24"/>
          <w:szCs w:val="24"/>
          <w:rtl/>
        </w:rPr>
        <w:t>الأنصاف 96-97]</w:t>
      </w:r>
      <w:r w:rsidRPr="005675B2">
        <w:rPr>
          <w:rFonts w:hint="cs"/>
          <w:rtl/>
        </w:rPr>
        <w:t xml:space="preserve"> النوع الثاني من الكلام الذي أثبته الأشاعرة لله تعالى الكلام اللفظي، وبعد اتفاقهم على ثبوته لله تعالى على وجه الحقيقة لا المجاز اختلفوا في قدمه وحدوثه، فذهب جمهور الأشاعرة والمعتزلة عامة إلى حدوثه، وإلى أنه غير قائم بالله تعالى لأنه تعالى لا يكون محلا للحوادث، بل هو قائم بغيره تعالى، وذلك لأنهم رئوا أن الكلام اللفظي لا يتحقق إلا بحروف وكلمات والفاظ مترتبة متعاقبة موقوف وجود المتأخر منها على انقضاء المتقدم</w:t>
      </w:r>
      <w:r w:rsidR="000636C2">
        <w:rPr>
          <w:rFonts w:hint="cs"/>
          <w:rtl/>
        </w:rPr>
        <w:t>،</w:t>
      </w:r>
      <w:r w:rsidRPr="005675B2">
        <w:rPr>
          <w:rFonts w:hint="cs"/>
          <w:rtl/>
        </w:rPr>
        <w:t xml:space="preserve"> وهذا من صفات المحدثات، فمن أجل ذلك قالوا بحدوثه بمعنى أن الله تعالى هو الذي استقل بإحداثه بدون كسب لأحد فيه، أوجده الله تعالى في اللوح المحفوظ أو في الشجرة أو في جبريل مثلا</w:t>
      </w:r>
      <w:r w:rsidR="000636C2">
        <w:rPr>
          <w:rFonts w:hint="cs"/>
          <w:rtl/>
        </w:rPr>
        <w:t>،</w:t>
      </w:r>
      <w:r w:rsidRPr="005675B2">
        <w:rPr>
          <w:rFonts w:hint="cs"/>
          <w:rtl/>
        </w:rPr>
        <w:t xml:space="preserve"> وهو كلامه على وجه الحقيقة يؤديه الناس بحروفهم وأصواتهم حين تلاوتهم له، نظير تلاوتهم لغيره من كلام الناس</w:t>
      </w:r>
      <w:r w:rsidR="000636C2">
        <w:rPr>
          <w:rFonts w:hint="cs"/>
          <w:rtl/>
        </w:rPr>
        <w:t>،</w:t>
      </w:r>
      <w:r w:rsidRPr="005675B2">
        <w:rPr>
          <w:rFonts w:hint="cs"/>
          <w:rtl/>
        </w:rPr>
        <w:t xml:space="preserve"> ومع قولهم بحدوث الكلام اللفظي لله تعالى قالوا</w:t>
      </w:r>
      <w:r w:rsidR="000636C2">
        <w:rPr>
          <w:rFonts w:hint="cs"/>
          <w:rtl/>
        </w:rPr>
        <w:t>:</w:t>
      </w:r>
      <w:r w:rsidRPr="005675B2">
        <w:rPr>
          <w:rFonts w:hint="cs"/>
          <w:rtl/>
        </w:rPr>
        <w:t xml:space="preserve"> لا يجوز التصريح بذلك إلا في مقام التعليم لئلا يسبق الوهم إلى حدوث الكلام المعنوي النفسي القديم القائم بالله تعالى</w:t>
      </w:r>
      <w:r w:rsidR="000636C2">
        <w:rPr>
          <w:rFonts w:hint="cs"/>
          <w:rtl/>
        </w:rPr>
        <w:t>،</w:t>
      </w:r>
      <w:r w:rsidRPr="005675B2">
        <w:rPr>
          <w:rFonts w:hint="cs"/>
          <w:rtl/>
        </w:rPr>
        <w:t xml:space="preserve"> وذهب فريق من الأشاعرة إلى قدم الكلام اللفظي وقيامه بالله تعالى كالكلام المعنوي وأجابوا عن شبهة الجمهور والمعتزلة بالترتيب، والتقدم، والتأخر، والإبتداء، والإنقضاء، بأن هذا قياس منهم للغائب على الشاهد، ومن المقرر أنه غير مقبول، فإن الترتيب المذكور إنما هو في كلام المخلوق لعدم مساعدة الآلة</w:t>
      </w:r>
      <w:r w:rsidR="000636C2">
        <w:rPr>
          <w:rFonts w:hint="cs"/>
          <w:rtl/>
        </w:rPr>
        <w:t>،</w:t>
      </w:r>
      <w:r w:rsidRPr="005675B2">
        <w:rPr>
          <w:rFonts w:hint="cs"/>
          <w:rtl/>
        </w:rPr>
        <w:t xml:space="preserve"> وأما كلام الله تعالى فهو اللفظ مع المعنى، وهو لفظ نفسي كالمعنى قائم بذاته تعالى بترتيب وتقدم وتأخر ذاتي لا زماني، وبدون ابتداء وانقضاء، وبدون صوت، ومما يحاكى ذلك محاكاة بعيدة وجود الألفاظ في نفس الحافظ</w:t>
      </w:r>
      <w:r w:rsidR="000636C2">
        <w:rPr>
          <w:rFonts w:hint="cs"/>
          <w:rtl/>
        </w:rPr>
        <w:t>،</w:t>
      </w:r>
      <w:r w:rsidRPr="005675B2">
        <w:rPr>
          <w:rFonts w:hint="cs"/>
          <w:rtl/>
        </w:rPr>
        <w:t xml:space="preserve"> فإن جميع الحروف بهيئاتها التأليفية محفوظة في نفسه مجتمعة الوجود فيها، وليس وجود بعضها مشروطا بانقضاء البعض وانعدامه في نفسه، فبطل ما يتوهم من أنه إذا لم يكن ترتيب لا يبقى فرق بين ملع ولمع ونظائرهما</w:t>
      </w:r>
      <w:r w:rsidR="000636C2">
        <w:rPr>
          <w:rFonts w:hint="cs"/>
          <w:rtl/>
        </w:rPr>
        <w:t xml:space="preserve">، </w:t>
      </w:r>
      <w:r w:rsidRPr="005675B2">
        <w:rPr>
          <w:rFonts w:hint="cs"/>
          <w:rtl/>
        </w:rPr>
        <w:t>وممن ذهب إلى هذا الرأي الإمام عبد الكريم الشهرستاني في كتابه نهاية الإقدام</w:t>
      </w:r>
      <w:r w:rsidR="000636C2">
        <w:rPr>
          <w:rFonts w:hint="cs"/>
          <w:rtl/>
        </w:rPr>
        <w:t>،</w:t>
      </w:r>
      <w:r w:rsidRPr="005675B2">
        <w:rPr>
          <w:rFonts w:hint="cs"/>
          <w:rtl/>
        </w:rPr>
        <w:t xml:space="preserve"> [</w:t>
      </w:r>
      <w:r w:rsidRPr="005675B2">
        <w:rPr>
          <w:rFonts w:hint="cs"/>
          <w:sz w:val="24"/>
          <w:szCs w:val="24"/>
          <w:rtl/>
        </w:rPr>
        <w:t>انظر الصفحات 113-117</w:t>
      </w:r>
      <w:r w:rsidRPr="005675B2">
        <w:rPr>
          <w:rFonts w:hint="cs"/>
          <w:rtl/>
        </w:rPr>
        <w:t>]</w:t>
      </w:r>
      <w:r w:rsidR="000636C2">
        <w:rPr>
          <w:rFonts w:hint="cs"/>
          <w:rtl/>
        </w:rPr>
        <w:t xml:space="preserve">، </w:t>
      </w:r>
      <w:r w:rsidRPr="005675B2">
        <w:rPr>
          <w:rFonts w:hint="cs"/>
          <w:rtl/>
        </w:rPr>
        <w:t>والقاضي عضد الدين الايجي في مقالة له أوردها السيد الشريف في شرح المواقف</w:t>
      </w:r>
      <w:r w:rsidR="000636C2">
        <w:rPr>
          <w:rFonts w:hint="cs"/>
          <w:rtl/>
        </w:rPr>
        <w:t>،</w:t>
      </w:r>
      <w:r w:rsidRPr="005675B2">
        <w:rPr>
          <w:rFonts w:hint="cs"/>
          <w:rtl/>
        </w:rPr>
        <w:t xml:space="preserve"> [</w:t>
      </w:r>
      <w:r w:rsidRPr="005675B2">
        <w:rPr>
          <w:rFonts w:hint="cs"/>
          <w:sz w:val="24"/>
          <w:szCs w:val="24"/>
          <w:rtl/>
        </w:rPr>
        <w:t>8/103</w:t>
      </w:r>
      <w:r w:rsidRPr="005675B2">
        <w:rPr>
          <w:rFonts w:hint="cs"/>
          <w:rtl/>
        </w:rPr>
        <w:t>] والسعد التفتازاني، والسيد الشريف الجرجاني، وقد علق السعد القول به على إمكان تصور وجود الألفاظ بدون ترتيب، وقد بينا إمكانه، وقد كان شيخنا المحقق الكبير الشيخ محمد العربكندي يؤيد هذا المذهب ويذهب إليه، وهو المختارعندنا</w:t>
      </w:r>
      <w:r w:rsidR="000636C2">
        <w:rPr>
          <w:rFonts w:hint="cs"/>
          <w:rtl/>
        </w:rPr>
        <w:t xml:space="preserve">، </w:t>
      </w:r>
      <w:r w:rsidRPr="005675B2">
        <w:rPr>
          <w:rFonts w:hint="cs"/>
          <w:rtl/>
        </w:rPr>
        <w:t>والفرق بين هذا المذهب ومذهب الحنابلة أن أهل هذا المذهب يقولون بقدم الكلام النفسي وقيامه بذاته تعالى بمعنى اللفظ النفسي من نوع ما يعبر عنه بالنسبة للإنسان بحديث النفسي، وهو يكون بدون صوت كما يفيده وصف الكلام بالنفسي</w:t>
      </w:r>
      <w:r w:rsidR="000636C2">
        <w:rPr>
          <w:rFonts w:hint="cs"/>
          <w:rtl/>
        </w:rPr>
        <w:t xml:space="preserve">، </w:t>
      </w:r>
      <w:r w:rsidRPr="005675B2">
        <w:rPr>
          <w:rFonts w:hint="cs"/>
          <w:spacing w:val="-8"/>
          <w:rtl/>
        </w:rPr>
        <w:t>وأما الحنابلة فقد ذهبوا إلى أن كلام الله تعالى مؤلف من أصوات وحروف مترتبة، وأنها قائمة بذاته تعالى</w:t>
      </w:r>
      <w:r w:rsidR="000636C2">
        <w:rPr>
          <w:rFonts w:hint="cs"/>
          <w:spacing w:val="-8"/>
          <w:rtl/>
        </w:rPr>
        <w:t>،</w:t>
      </w:r>
      <w:r w:rsidRPr="005675B2">
        <w:rPr>
          <w:rFonts w:hint="cs"/>
          <w:spacing w:val="-8"/>
          <w:rtl/>
        </w:rPr>
        <w:t xml:space="preserve"> ولا يخفى ما في كلامهم من التناقض، فإن قيام الصفة بذات الله تعالى يقتضي قدمها لأن الله تعالى لا يكون محلا للحوادث، وكون الكلام مؤلفا من الأصوات والحروف المترتبة يقتضي حدوثها لبداهة تعاقبها وتجددها المستلزم للحدوث، وهذا ما دعى المعتزلة وجمهور الأشاعرة إلى القول بحدوث الكلام اللفظي وأنه غير قائم بالله تعالى كما قدمناه</w:t>
      </w:r>
      <w:r w:rsidR="000636C2">
        <w:rPr>
          <w:rFonts w:hint="cs"/>
          <w:spacing w:val="-8"/>
          <w:rtl/>
        </w:rPr>
        <w:t>،</w:t>
      </w:r>
    </w:p>
    <w:p w14:paraId="0C1E3392" w14:textId="783E45E7" w:rsidR="009C32A0" w:rsidRPr="005675B2" w:rsidRDefault="009C32A0" w:rsidP="000636C2">
      <w:pPr>
        <w:rPr>
          <w:b/>
          <w:rtl/>
        </w:rPr>
      </w:pPr>
      <w:r w:rsidRPr="005675B2">
        <w:rPr>
          <w:rFonts w:hint="cs"/>
          <w:rtl/>
        </w:rPr>
        <w:t>43 - بيان أن كلام الله تعالى مسموع</w:t>
      </w:r>
      <w:r w:rsidR="000636C2">
        <w:rPr>
          <w:rFonts w:hint="cs"/>
          <w:rtl/>
        </w:rPr>
        <w:t xml:space="preserve">: </w:t>
      </w:r>
      <w:r w:rsidRPr="005675B2">
        <w:rPr>
          <w:rFonts w:hint="cs"/>
          <w:rtl/>
        </w:rPr>
        <w:t>وأما أن كلام الله تعالى مسموع تسمعه الملائكة، وسمعه جبريل، وسمعه موسى عليه الصلاة السلام، وتسمعه الخلائق، فمحل وفاق عند الأشاعرة وكذلك عند الماتريدية</w:t>
      </w:r>
      <w:r w:rsidR="000636C2">
        <w:rPr>
          <w:rFonts w:hint="cs"/>
          <w:rtl/>
        </w:rPr>
        <w:t xml:space="preserve">، </w:t>
      </w:r>
      <w:r w:rsidRPr="005675B2">
        <w:rPr>
          <w:rFonts w:hint="cs"/>
          <w:rtl/>
        </w:rPr>
        <w:t>حيث قالوا كلهم</w:t>
      </w:r>
      <w:r w:rsidR="000636C2">
        <w:rPr>
          <w:rFonts w:hint="cs"/>
          <w:rtl/>
        </w:rPr>
        <w:t>:</w:t>
      </w:r>
      <w:r w:rsidRPr="005675B2">
        <w:rPr>
          <w:rFonts w:hint="cs"/>
          <w:rtl/>
        </w:rPr>
        <w:t xml:space="preserve"> كلام الله تعالى محفوظ في القلوب، مقروء بالألسنة، مسموع بالآذان، مكتوب في المصاحف، على وجه الحقيقة لا المجاز، غير حال فيها، وذلك لأن كلام الله تعالى وصف له قديم قائم بذاته لا ينفصل عنه، ولا يحل في غيره من المحدثات</w:t>
      </w:r>
      <w:r w:rsidR="000636C2">
        <w:rPr>
          <w:rFonts w:hint="cs"/>
          <w:rtl/>
        </w:rPr>
        <w:t xml:space="preserve">، </w:t>
      </w:r>
      <w:r w:rsidRPr="005675B2">
        <w:rPr>
          <w:rFonts w:hint="cs"/>
          <w:rtl/>
        </w:rPr>
        <w:t>وبيان ذلك أن لكل شيء وجودا في الأعيان، ووجودا في الأذهان، ووجودا في العبارة، ووجودا في الأسماع، ووجودا في الكتابة، فالكتابة تدل على العبارة، والعبارة تدل على ما في الأذهان، وما في الاذهان، صور لما في الأعيان</w:t>
      </w:r>
      <w:r w:rsidR="000636C2">
        <w:rPr>
          <w:rFonts w:hint="cs"/>
          <w:rtl/>
        </w:rPr>
        <w:t>،</w:t>
      </w:r>
      <w:r w:rsidRPr="005675B2">
        <w:rPr>
          <w:rFonts w:hint="cs"/>
          <w:rtl/>
        </w:rPr>
        <w:t xml:space="preserve"> والأسماع متعلقة بالعبارة،وليس ما في الأعيان بحال في شيئ من الأذهان واللسان والقرطاس والآذان، وذلك كالحجر والنار، فان أعيانها لا تحل لا في الأذهان ولا في اللسان ولا في الأذان ولا في القرطاس</w:t>
      </w:r>
      <w:r w:rsidR="000636C2">
        <w:rPr>
          <w:rFonts w:hint="cs"/>
          <w:rtl/>
        </w:rPr>
        <w:t>،</w:t>
      </w:r>
      <w:r w:rsidRPr="005675B2">
        <w:rPr>
          <w:rFonts w:hint="cs"/>
          <w:rtl/>
        </w:rPr>
        <w:t xml:space="preserve"> وأما اللفظ الدال عليهما فهو محفوظ مقروء مسموع مكتوب</w:t>
      </w:r>
      <w:r w:rsidR="000636C2">
        <w:rPr>
          <w:rFonts w:hint="cs"/>
          <w:rtl/>
        </w:rPr>
        <w:t xml:space="preserve">، </w:t>
      </w:r>
      <w:r w:rsidRPr="005675B2">
        <w:rPr>
          <w:rFonts w:hint="cs"/>
          <w:rtl/>
        </w:rPr>
        <w:t>قال إمام الحرمين</w:t>
      </w:r>
      <w:r w:rsidR="000636C2">
        <w:rPr>
          <w:rFonts w:hint="cs"/>
          <w:rtl/>
        </w:rPr>
        <w:t>:</w:t>
      </w:r>
      <w:r w:rsidRPr="005675B2">
        <w:rPr>
          <w:rFonts w:hint="cs"/>
          <w:rtl/>
        </w:rPr>
        <w:t xml:space="preserve"> كلام الله تعالى مسموع في اطلاق المسلمين والشاهد لذلك من كتاب الله تعالى قوله تعالى </w:t>
      </w:r>
      <w:r w:rsidR="000636C2">
        <w:rPr>
          <w:rFonts w:hint="cs"/>
          <w:rtl/>
        </w:rPr>
        <w:t>(</w:t>
      </w:r>
      <w:r w:rsidRPr="005675B2">
        <w:rPr>
          <w:rFonts w:hint="cs"/>
          <w:rtl/>
        </w:rPr>
        <w:t>وإن أحد من المشركين استجارك فأجره حتى يسمع كلام الله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التوبة 2</w:t>
      </w:r>
      <w:r w:rsidRPr="005675B2">
        <w:rPr>
          <w:rFonts w:hint="cs"/>
          <w:rtl/>
        </w:rPr>
        <w:t>] ..</w:t>
      </w:r>
      <w:r w:rsidR="000636C2">
        <w:rPr>
          <w:rFonts w:hint="cs"/>
          <w:rtl/>
        </w:rPr>
        <w:t xml:space="preserve"> </w:t>
      </w:r>
      <w:r w:rsidRPr="005675B2">
        <w:rPr>
          <w:rFonts w:hint="cs"/>
          <w:rtl/>
        </w:rPr>
        <w:t>والذي يجب القطع به أن المسموع المدرك في وقتنا الأصوات، فإذا سمي كلام الله تعالى مسموعا فالمعنى به كونه مفهوما معلوما عن أصوات مدركة ومسموعة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الإرشاد 129]</w:t>
      </w:r>
      <w:r w:rsidR="000636C2">
        <w:rPr>
          <w:rFonts w:hint="cs"/>
          <w:rtl/>
        </w:rPr>
        <w:t>،</w:t>
      </w:r>
      <w:r w:rsidRPr="005675B2">
        <w:rPr>
          <w:rFonts w:hint="cs"/>
          <w:rtl/>
        </w:rPr>
        <w:t xml:space="preserve"> وقال</w:t>
      </w:r>
      <w:r w:rsidR="000636C2">
        <w:rPr>
          <w:rFonts w:hint="cs"/>
          <w:rtl/>
        </w:rPr>
        <w:t>:</w:t>
      </w:r>
      <w:r w:rsidRPr="005675B2">
        <w:rPr>
          <w:rFonts w:hint="cs"/>
          <w:rtl/>
        </w:rPr>
        <w:t xml:space="preserve"> يجب إطلاق القول بأن كلام الله تعالى مسموع، وليس المراد بذلك تعلق الإدراك بالكلام الأزلي القائم بالباري تعالى، ولكن المدرك صوت القارئ، والمفهوم عند قرائته كلام الله سبحانه</w:t>
      </w:r>
      <w:r w:rsidR="000636C2">
        <w:rPr>
          <w:rFonts w:hint="cs"/>
          <w:rtl/>
        </w:rPr>
        <w:t xml:space="preserve">، </w:t>
      </w:r>
      <w:r w:rsidRPr="005675B2">
        <w:rPr>
          <w:rFonts w:hint="cs"/>
          <w:rtl/>
        </w:rPr>
        <w:t>ولا بعد في تسمية المفهوم عند مسموع مسموعا، فهذا بمثابة ما إذا بلغ مبلغ رسالة ملك، فيحسن ممن بلغته الرسالة أن يقول</w:t>
      </w:r>
      <w:r w:rsidR="000636C2">
        <w:rPr>
          <w:rFonts w:hint="cs"/>
          <w:rtl/>
        </w:rPr>
        <w:t>:</w:t>
      </w:r>
      <w:r w:rsidRPr="005675B2">
        <w:rPr>
          <w:rFonts w:hint="cs"/>
          <w:rtl/>
        </w:rPr>
        <w:t xml:space="preserve"> سمعت كلام الملك ورسالته، وكلام الملك حديث نفسه وأصواته، ومن بلغ الرسالة لم ينقل صوت مرسله، ولا حديث نفسه</w:t>
      </w:r>
      <w:r w:rsidR="000636C2">
        <w:rPr>
          <w:rFonts w:hint="cs"/>
          <w:rtl/>
        </w:rPr>
        <w:t>،</w:t>
      </w:r>
      <w:r w:rsidRPr="005675B2">
        <w:rPr>
          <w:rFonts w:hint="cs"/>
          <w:rtl/>
        </w:rPr>
        <w:t xml:space="preserve"> [</w:t>
      </w:r>
      <w:r w:rsidRPr="005675B2">
        <w:rPr>
          <w:rFonts w:hint="cs"/>
          <w:sz w:val="24"/>
          <w:szCs w:val="24"/>
          <w:rtl/>
        </w:rPr>
        <w:t>الرسالة النظامية 157]</w:t>
      </w:r>
      <w:r w:rsidR="000636C2">
        <w:rPr>
          <w:rFonts w:hint="cs"/>
          <w:rtl/>
        </w:rPr>
        <w:t xml:space="preserve">، </w:t>
      </w:r>
      <w:r w:rsidRPr="005675B2">
        <w:rPr>
          <w:rFonts w:hint="cs"/>
          <w:rtl/>
        </w:rPr>
        <w:t>وقال ابن فُورَكْ</w:t>
      </w:r>
      <w:r w:rsidR="000636C2">
        <w:rPr>
          <w:rFonts w:hint="cs"/>
          <w:rtl/>
        </w:rPr>
        <w:t xml:space="preserve">: </w:t>
      </w:r>
      <w:r w:rsidRPr="005675B2">
        <w:rPr>
          <w:rFonts w:hint="cs"/>
          <w:rtl/>
        </w:rPr>
        <w:t>« إن كلام الله تعالى لم يزل ولا يزال موجودا، وإنه يُفْهِم خلقَه معانيَ كلامه أولا فأولا وشيئا فشيئا، وإن الذي يتجدد الإسماع والإفهام، دون المسموع والمفهوم .. كلامه لا يخص الأوقات والأزمان، كما أن علمه وسمعه وقدرته لا يصح أن يقال فيه شيئ من ذلك، وإنما يتجدد المعلوم والمقدور بحدوثه شيئا بعد شيئ، دون العلم والقدرة عليه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واعلم أنه كما ينكر قول من قال</w:t>
      </w:r>
      <w:r w:rsidR="000636C2">
        <w:rPr>
          <w:rFonts w:hint="cs"/>
          <w:rtl/>
        </w:rPr>
        <w:t>:</w:t>
      </w:r>
      <w:r w:rsidRPr="005675B2">
        <w:rPr>
          <w:rFonts w:hint="cs"/>
          <w:rtl/>
        </w:rPr>
        <w:t xml:space="preserve"> إن الله لم يتكلم إلا مرة واحدة كذلك ينكر قول من قال</w:t>
      </w:r>
      <w:r w:rsidR="000636C2">
        <w:rPr>
          <w:rFonts w:hint="cs"/>
          <w:rtl/>
        </w:rPr>
        <w:t>:</w:t>
      </w:r>
      <w:r w:rsidRPr="005675B2">
        <w:rPr>
          <w:rFonts w:hint="cs"/>
          <w:rtl/>
        </w:rPr>
        <w:t xml:space="preserve"> إن الله يتكلم مرة بعد أخرى، لأن كل ذلك يوجب حدوث الكلام ..</w:t>
      </w:r>
      <w:r w:rsidR="000636C2">
        <w:rPr>
          <w:rFonts w:hint="cs"/>
          <w:rtl/>
        </w:rPr>
        <w:t xml:space="preserve"> </w:t>
      </w:r>
      <w:r w:rsidRPr="005675B2">
        <w:rPr>
          <w:rFonts w:hint="cs"/>
          <w:rtl/>
        </w:rPr>
        <w:t>» [</w:t>
      </w:r>
      <w:r w:rsidRPr="005675B2">
        <w:rPr>
          <w:rFonts w:hint="cs"/>
          <w:sz w:val="24"/>
          <w:szCs w:val="24"/>
          <w:rtl/>
        </w:rPr>
        <w:t>مشكل الحديث وبيانه 445-446-449</w:t>
      </w:r>
      <w:r w:rsidRPr="005675B2">
        <w:rPr>
          <w:rFonts w:hint="cs"/>
          <w:rtl/>
        </w:rPr>
        <w:t>]</w:t>
      </w:r>
      <w:r w:rsidR="000636C2">
        <w:rPr>
          <w:rFonts w:hint="cs"/>
          <w:rtl/>
        </w:rPr>
        <w:t xml:space="preserve">، </w:t>
      </w:r>
      <w:r w:rsidRPr="005675B2">
        <w:rPr>
          <w:rFonts w:hint="cs"/>
          <w:rtl/>
        </w:rPr>
        <w:t>وعلى هذا معنى كلام من قال من الأئمة كالإمام أحمد</w:t>
      </w:r>
      <w:r w:rsidR="000636C2">
        <w:rPr>
          <w:rFonts w:hint="cs"/>
          <w:rtl/>
        </w:rPr>
        <w:t>:</w:t>
      </w:r>
      <w:r w:rsidRPr="005675B2">
        <w:rPr>
          <w:rFonts w:hint="cs"/>
          <w:rtl/>
        </w:rPr>
        <w:t xml:space="preserve"> "إن الله تعالى لم يزل متكلما إن شاء" أن كلام الله صفة قديمة قائمة بذات الله، وأن الله يكلم أنبيائه متى شاء بالوحي، أو من وراء الحجاب، أو بإرسال الرسول، كما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كان بشر أن يكلمه الله إلا وحيا أو من وراء حجاب أو يرسل رسولا فيوحي بإذنه ما يشاء</w:t>
      </w:r>
      <w:r w:rsidR="000636C2">
        <w:rPr>
          <w:rFonts w:hint="cs"/>
          <w:rtl/>
        </w:rPr>
        <w:t>)</w:t>
      </w:r>
      <w:r w:rsidRPr="005675B2">
        <w:rPr>
          <w:rFonts w:hint="cs"/>
          <w:rtl/>
        </w:rPr>
        <w:t xml:space="preserve"> </w:t>
      </w:r>
      <w:r w:rsidR="000636C2">
        <w:rPr>
          <w:rFonts w:hint="cs"/>
          <w:rtl/>
        </w:rPr>
        <w:t>[</w:t>
      </w:r>
      <w:r w:rsidRPr="005675B2">
        <w:rPr>
          <w:rFonts w:hint="cs"/>
          <w:sz w:val="24"/>
          <w:szCs w:val="24"/>
          <w:rtl/>
        </w:rPr>
        <w:t>الشورى 51</w:t>
      </w:r>
      <w:r w:rsidRPr="005675B2">
        <w:rPr>
          <w:rFonts w:hint="cs"/>
          <w:rtl/>
        </w:rPr>
        <w:t>] وقد كان الله تعالى متكلما قبل أن يكلم الأنبياء، كما أنه كان خالقا قبل أن يخلق الخلق</w:t>
      </w:r>
      <w:r w:rsidR="000636C2">
        <w:rPr>
          <w:rFonts w:hint="cs"/>
          <w:rtl/>
        </w:rPr>
        <w:t>،</w:t>
      </w:r>
      <w:r w:rsidRPr="005675B2">
        <w:rPr>
          <w:rFonts w:hint="cs"/>
          <w:rtl/>
        </w:rPr>
        <w:t xml:space="preserve"> فمعنى يكلم أنبيائه متى شاء يوحي إليهم كلامه القديم، ويفهمهم إياه متى شاء،وليس معناه أنه ينشئ كلاما يكلمهم به متى شاء ذلك، فإن هذا المعنى مناقض لقولهم</w:t>
      </w:r>
      <w:r w:rsidR="000636C2">
        <w:rPr>
          <w:rFonts w:hint="cs"/>
          <w:rtl/>
        </w:rPr>
        <w:t>:</w:t>
      </w:r>
      <w:r w:rsidRPr="005675B2">
        <w:rPr>
          <w:rFonts w:hint="cs"/>
          <w:rtl/>
        </w:rPr>
        <w:t xml:space="preserve"> "لم يزل متكلما"، ومقتضي لحدوث الكلام</w:t>
      </w:r>
      <w:r w:rsidR="000636C2">
        <w:rPr>
          <w:rFonts w:hint="cs"/>
          <w:rtl/>
        </w:rPr>
        <w:t>،</w:t>
      </w:r>
      <w:r w:rsidRPr="005675B2">
        <w:rPr>
          <w:rFonts w:hint="cs"/>
          <w:rtl/>
        </w:rPr>
        <w:t xml:space="preserve"> وقد اتفق أهل السنة على قدمه</w:t>
      </w:r>
      <w:r w:rsidR="000636C2">
        <w:rPr>
          <w:rFonts w:hint="cs"/>
          <w:rtl/>
        </w:rPr>
        <w:t xml:space="preserve">، </w:t>
      </w:r>
      <w:r w:rsidRPr="005675B2">
        <w:rPr>
          <w:rFonts w:hint="cs"/>
          <w:rtl/>
        </w:rPr>
        <w:t>هذا عن المسموع لنا في الدنيا كما أشار إليه إمام الحرمين بقوله</w:t>
      </w:r>
      <w:r w:rsidR="000636C2">
        <w:rPr>
          <w:rFonts w:hint="cs"/>
          <w:rtl/>
        </w:rPr>
        <w:t>:</w:t>
      </w:r>
      <w:r w:rsidRPr="005675B2">
        <w:rPr>
          <w:rFonts w:hint="cs"/>
          <w:rtl/>
        </w:rPr>
        <w:t xml:space="preserve"> "والذي يجب القطع به أن المسموع المدرك في وقتنا الأصوات"</w:t>
      </w:r>
      <w:r w:rsidR="000636C2">
        <w:rPr>
          <w:rFonts w:hint="cs"/>
          <w:rtl/>
        </w:rPr>
        <w:t xml:space="preserve">، </w:t>
      </w:r>
      <w:r w:rsidRPr="005675B2">
        <w:rPr>
          <w:rFonts w:hint="cs"/>
          <w:rtl/>
        </w:rPr>
        <w:t>وأما المسموع للسيد موسى عليه الصلاة والسلام ولسيدنا محمد صلى الله تعالى عليه وآله وسلم ليلة المعراج وللمؤمنين يوم القيامة ما هو</w:t>
      </w:r>
      <w:r w:rsidR="000636C2">
        <w:rPr>
          <w:rFonts w:hint="cs"/>
          <w:rtl/>
        </w:rPr>
        <w:t>؟</w:t>
      </w:r>
      <w:r w:rsidRPr="005675B2">
        <w:rPr>
          <w:rFonts w:hint="cs"/>
          <w:rtl/>
        </w:rPr>
        <w:t xml:space="preserve"> فقد اختلفوا فيه</w:t>
      </w:r>
      <w:r w:rsidR="000636C2">
        <w:rPr>
          <w:rFonts w:hint="cs"/>
          <w:rtl/>
        </w:rPr>
        <w:t xml:space="preserve">، </w:t>
      </w:r>
      <w:r w:rsidRPr="005675B2">
        <w:rPr>
          <w:rFonts w:hint="cs"/>
          <w:rtl/>
        </w:rPr>
        <w:t>فذهب الشيخ أبو الحسن الأشعري والقاضي أبو بكر الباقلاني إلى أن المسموع لهم الكلام النفسي الذي هو ليس بحرف ولا صوت، يسمِعه الله تعالى من يشاء من عباده على سبيل خرق العادة، فإن العادة أن لا تسمع إلا الأصوات</w:t>
      </w:r>
      <w:r w:rsidR="000636C2">
        <w:rPr>
          <w:rFonts w:hint="cs"/>
          <w:rtl/>
        </w:rPr>
        <w:t>،</w:t>
      </w:r>
      <w:r w:rsidRPr="005675B2">
        <w:rPr>
          <w:rFonts w:hint="cs"/>
          <w:rtl/>
        </w:rPr>
        <w:t xml:space="preserve"> وذلك على أصل الأشعري</w:t>
      </w:r>
      <w:r w:rsidR="000636C2">
        <w:rPr>
          <w:rFonts w:hint="cs"/>
          <w:rtl/>
        </w:rPr>
        <w:t>:</w:t>
      </w:r>
      <w:r w:rsidRPr="005675B2">
        <w:rPr>
          <w:rFonts w:hint="cs"/>
          <w:rtl/>
        </w:rPr>
        <w:t xml:space="preserve"> "أن كل موجود يصح أن يسمع" كما أن من أصله</w:t>
      </w:r>
      <w:r w:rsidR="000636C2">
        <w:rPr>
          <w:rFonts w:hint="cs"/>
          <w:rtl/>
        </w:rPr>
        <w:t>:</w:t>
      </w:r>
      <w:r w:rsidRPr="005675B2">
        <w:rPr>
          <w:rFonts w:hint="cs"/>
          <w:rtl/>
        </w:rPr>
        <w:t xml:space="preserve"> "أن كل موجود يصح أن يرى"</w:t>
      </w:r>
      <w:r w:rsidR="000636C2">
        <w:rPr>
          <w:rFonts w:hint="cs"/>
          <w:rtl/>
        </w:rPr>
        <w:t xml:space="preserve">، </w:t>
      </w:r>
      <w:r w:rsidRPr="005675B2">
        <w:rPr>
          <w:rFonts w:hint="cs"/>
          <w:rtl/>
        </w:rPr>
        <w:t>قال البيهقي</w:t>
      </w:r>
      <w:r w:rsidR="000636C2">
        <w:rPr>
          <w:rFonts w:hint="cs"/>
          <w:rtl/>
        </w:rPr>
        <w:t>:</w:t>
      </w:r>
      <w:r w:rsidRPr="005675B2">
        <w:rPr>
          <w:rFonts w:hint="cs"/>
          <w:rtl/>
        </w:rPr>
        <w:t xml:space="preserve"> </w:t>
      </w:r>
      <w:r w:rsidR="000636C2">
        <w:rPr>
          <w:rFonts w:hint="cs"/>
          <w:rtl/>
        </w:rPr>
        <w:t>(</w:t>
      </w:r>
      <w:r w:rsidRPr="005675B2">
        <w:rPr>
          <w:rFonts w:hint="cs"/>
          <w:rtl/>
        </w:rPr>
        <w:t>إن كان المتكلم ذا مخارج سمع كلامه ذا حروف وأصوات، وإن كان المتكلم غير ذي مخارج سمع كلامه غير ذي حروف وأصوات</w:t>
      </w:r>
      <w:r w:rsidR="000636C2">
        <w:rPr>
          <w:rFonts w:hint="cs"/>
          <w:rtl/>
        </w:rPr>
        <w:t>،</w:t>
      </w:r>
      <w:r w:rsidRPr="005675B2">
        <w:rPr>
          <w:rFonts w:hint="cs"/>
          <w:rtl/>
        </w:rPr>
        <w:t xml:space="preserve"> والباري جل ثنائه ليس بذي مخارج، وكلامه ليس بحرف وصوت، فإذا فهمناه ثم تلوناه تلوناه بحروف وأصوات</w:t>
      </w:r>
      <w:r w:rsidR="000636C2">
        <w:rPr>
          <w:rFonts w:hint="cs"/>
          <w:rtl/>
        </w:rPr>
        <w:t>)</w:t>
      </w:r>
      <w:r w:rsidRPr="005675B2">
        <w:rPr>
          <w:rFonts w:hint="cs"/>
          <w:rtl/>
        </w:rPr>
        <w:t xml:space="preserve"> [</w:t>
      </w:r>
      <w:r w:rsidRPr="005675B2">
        <w:rPr>
          <w:rFonts w:hint="cs"/>
          <w:sz w:val="24"/>
          <w:szCs w:val="24"/>
          <w:rtl/>
        </w:rPr>
        <w:t>الأسماء والصفات273]</w:t>
      </w:r>
      <w:r w:rsidR="000636C2">
        <w:rPr>
          <w:rFonts w:hint="cs"/>
          <w:rtl/>
        </w:rPr>
        <w:t>،</w:t>
      </w:r>
      <w:r w:rsidRPr="005675B2">
        <w:rPr>
          <w:rFonts w:hint="cs"/>
          <w:rtl/>
        </w:rPr>
        <w:t xml:space="preserve"> وذهب الإمام أبو منصور الماتريدي وأبو إسحاق الاسفراييني من الأشاعرة إلى أن المسموع لهؤلاء هو صوت مخلوق لله تعالى دال على المعنى القائم بنفسه</w:t>
      </w:r>
      <w:r w:rsidR="000636C2">
        <w:rPr>
          <w:rFonts w:hint="cs"/>
          <w:rtl/>
        </w:rPr>
        <w:t>،</w:t>
      </w:r>
      <w:r w:rsidRPr="005675B2">
        <w:rPr>
          <w:rFonts w:hint="cs"/>
          <w:rtl/>
        </w:rPr>
        <w:t xml:space="preserve"> قال أبو المعين النسفي في التبصرة</w:t>
      </w:r>
      <w:r w:rsidR="000636C2">
        <w:rPr>
          <w:rFonts w:hint="cs"/>
          <w:rtl/>
        </w:rPr>
        <w:t>:</w:t>
      </w:r>
      <w:r w:rsidRPr="005675B2">
        <w:rPr>
          <w:rFonts w:hint="cs"/>
          <w:rtl/>
        </w:rPr>
        <w:t xml:space="preserve"> وذكر </w:t>
      </w:r>
      <w:r w:rsidR="000636C2">
        <w:rPr>
          <w:rFonts w:hint="cs"/>
          <w:rtl/>
        </w:rPr>
        <w:t>(</w:t>
      </w:r>
      <w:r w:rsidRPr="005675B2">
        <w:rPr>
          <w:rFonts w:hint="cs"/>
          <w:rtl/>
        </w:rPr>
        <w:t>أبو منصور</w:t>
      </w:r>
      <w:r w:rsidR="000636C2">
        <w:rPr>
          <w:rFonts w:hint="cs"/>
          <w:rtl/>
        </w:rPr>
        <w:t>)</w:t>
      </w:r>
      <w:r w:rsidRPr="005675B2">
        <w:rPr>
          <w:rFonts w:hint="cs"/>
          <w:rtl/>
        </w:rPr>
        <w:t xml:space="preserve"> في كتاب "التأويلات" أن موسى عليه السلام سمع صوتا دالا على كلام الله تعالى، وكان اختصاصه </w:t>
      </w:r>
      <w:r w:rsidR="000636C2">
        <w:rPr>
          <w:rFonts w:hint="cs"/>
          <w:rtl/>
        </w:rPr>
        <w:t>(</w:t>
      </w:r>
      <w:r w:rsidRPr="005675B2">
        <w:rPr>
          <w:rFonts w:hint="cs"/>
          <w:rtl/>
        </w:rPr>
        <w:t>أي سبب اختصاصه باسم الكليم</w:t>
      </w:r>
      <w:r w:rsidR="000636C2">
        <w:rPr>
          <w:rFonts w:hint="cs"/>
          <w:rtl/>
        </w:rPr>
        <w:t>)</w:t>
      </w:r>
      <w:r w:rsidRPr="005675B2">
        <w:rPr>
          <w:rFonts w:hint="cs"/>
          <w:rtl/>
        </w:rPr>
        <w:t xml:space="preserve"> أن الله تعالى أفهمه كلامه بإسماعه صوتا تولى تخليقه من غير أن يكون ذلك الصوت مكتسبا لأحد من الخلق اكراما منه إياه، وذهب بعده إلى هذا القول أبو اسحاق الاسفراييني من جملة الأشاعرة ..</w:t>
      </w:r>
      <w:r w:rsidR="000636C2">
        <w:rPr>
          <w:rFonts w:hint="cs"/>
          <w:rtl/>
        </w:rPr>
        <w:t xml:space="preserve"> </w:t>
      </w:r>
      <w:r w:rsidRPr="005675B2">
        <w:rPr>
          <w:rFonts w:hint="cs"/>
          <w:rtl/>
        </w:rPr>
        <w:t>ولم يرض أبو اسحاق بإختياره هذا المذهب، حتى ادعى أن جميع من تقدمه من متكلمي أهل الحديث على هذا</w:t>
      </w:r>
      <w:r w:rsidR="000636C2">
        <w:rPr>
          <w:rFonts w:hint="cs"/>
          <w:rtl/>
        </w:rPr>
        <w:t>)</w:t>
      </w:r>
      <w:r w:rsidRPr="005675B2">
        <w:rPr>
          <w:rFonts w:hint="cs"/>
          <w:rtl/>
        </w:rPr>
        <w:t xml:space="preserve"> [</w:t>
      </w:r>
      <w:r w:rsidRPr="005675B2">
        <w:rPr>
          <w:rFonts w:hint="cs"/>
          <w:sz w:val="24"/>
          <w:szCs w:val="24"/>
          <w:rtl/>
        </w:rPr>
        <w:t>التبصرة 1/305]</w:t>
      </w:r>
      <w:r w:rsidR="000636C2">
        <w:rPr>
          <w:rFonts w:hint="cs"/>
          <w:rtl/>
        </w:rPr>
        <w:t>،</w:t>
      </w:r>
    </w:p>
    <w:p w14:paraId="7DAD0FAC" w14:textId="666E0F0C" w:rsidR="009C32A0" w:rsidRPr="005675B2" w:rsidRDefault="009C32A0" w:rsidP="000636C2">
      <w:pPr>
        <w:rPr>
          <w:b/>
          <w:rtl/>
        </w:rPr>
      </w:pPr>
      <w:r w:rsidRPr="005675B2">
        <w:rPr>
          <w:rFonts w:hint="cs"/>
          <w:rtl/>
        </w:rPr>
        <w:t>44 - معنى إنزال كلام الله تعالى</w:t>
      </w:r>
      <w:r w:rsidR="000636C2">
        <w:rPr>
          <w:rFonts w:hint="cs"/>
          <w:rtl/>
        </w:rPr>
        <w:t>:</w:t>
      </w:r>
      <w:r w:rsidRPr="005675B2">
        <w:rPr>
          <w:rFonts w:hint="cs"/>
          <w:rtl/>
        </w:rPr>
        <w:t xml:space="preserve"> وأما معنى إنزال كلام الله تعالى فننقل فيه كلام إمام الحرمين قال في "الإرشاد"</w:t>
      </w:r>
      <w:r w:rsidR="000636C2">
        <w:rPr>
          <w:rFonts w:hint="cs"/>
          <w:rtl/>
        </w:rPr>
        <w:t xml:space="preserve">: </w:t>
      </w:r>
      <w:r w:rsidRPr="005675B2">
        <w:rPr>
          <w:rFonts w:hint="cs"/>
          <w:rtl/>
        </w:rPr>
        <w:t>" كلام الله تعالى منزل على الأنبياء، وقد دل على ذلك آي كثيرة من كتاب الله تعالى</w:t>
      </w:r>
      <w:r w:rsidR="000636C2">
        <w:rPr>
          <w:rFonts w:hint="cs"/>
          <w:rtl/>
        </w:rPr>
        <w:t>،</w:t>
      </w:r>
      <w:r w:rsidRPr="005675B2">
        <w:rPr>
          <w:rFonts w:hint="cs"/>
          <w:rtl/>
        </w:rPr>
        <w:t xml:space="preserve"> ثم ليس المعنِيُّ بالإنزال حط الشيء من علو إلى سفل، فإن الإنزال بمعنى الانتقال يتخصص بالأجسام والأجرام، ومن اعتقد قدم كلام الله تعالى وقيامه بنفس الباري سبحانه وتعالى واستحالة مزايلته للموصوف به، فلا يستريب في استحالة الانتقال عليه</w:t>
      </w:r>
      <w:r w:rsidR="000636C2">
        <w:rPr>
          <w:rFonts w:hint="cs"/>
          <w:rtl/>
        </w:rPr>
        <w:t>،</w:t>
      </w:r>
      <w:r w:rsidRPr="005675B2">
        <w:rPr>
          <w:rFonts w:hint="cs"/>
          <w:rtl/>
        </w:rPr>
        <w:t xml:space="preserve"> ومن اعتقد حدوث الكلام، وصار إلى أنه عرض من الأعراض، فلا يسوغ على معتقده أيضا تقدير الانتقال، إذا العرض لا يزول ولا ينتقل</w:t>
      </w:r>
      <w:r w:rsidR="000636C2">
        <w:rPr>
          <w:rFonts w:hint="cs"/>
          <w:rtl/>
        </w:rPr>
        <w:t xml:space="preserve">، </w:t>
      </w:r>
      <w:r w:rsidRPr="005675B2">
        <w:rPr>
          <w:rFonts w:hint="cs"/>
          <w:rtl/>
        </w:rPr>
        <w:t>فالمعنِيُّ بالإنزال أن جبريل صلوات الله عليه أدرك كلام الله تعالى، وهو في مقامه فوق سبع سموات، ثم نزل إلى الأرض، فأفهم الرسول ما فهمه عند سدرة المنتهى من غير نقل لذات الكلام</w:t>
      </w:r>
      <w:r w:rsidR="000636C2">
        <w:rPr>
          <w:rFonts w:hint="cs"/>
          <w:rtl/>
        </w:rPr>
        <w:t xml:space="preserve">، </w:t>
      </w:r>
      <w:r w:rsidRPr="005675B2">
        <w:rPr>
          <w:rFonts w:hint="cs"/>
          <w:rtl/>
        </w:rPr>
        <w:t>وإذا قال القائل</w:t>
      </w:r>
      <w:r w:rsidR="000636C2">
        <w:rPr>
          <w:rFonts w:hint="cs"/>
          <w:rtl/>
        </w:rPr>
        <w:t>:</w:t>
      </w:r>
      <w:r w:rsidRPr="005675B2">
        <w:rPr>
          <w:rFonts w:hint="cs"/>
          <w:rtl/>
        </w:rPr>
        <w:t xml:space="preserve"> نزلت رسالة الملك إلى القصر لم يرد بذلك انتقال أصواته، أو انتقال كلامه القائم بنفسه</w:t>
      </w:r>
      <w:r w:rsidR="000636C2">
        <w:rPr>
          <w:rFonts w:hint="cs"/>
          <w:rtl/>
        </w:rPr>
        <w:t>،</w:t>
      </w:r>
      <w:r w:rsidRPr="005675B2">
        <w:rPr>
          <w:rFonts w:hint="cs"/>
          <w:rtl/>
        </w:rPr>
        <w:t xml:space="preserve"> [</w:t>
      </w:r>
      <w:r w:rsidRPr="005675B2">
        <w:rPr>
          <w:rFonts w:hint="cs"/>
          <w:sz w:val="24"/>
          <w:szCs w:val="24"/>
          <w:rtl/>
        </w:rPr>
        <w:t>الإرشاد 130]</w:t>
      </w:r>
      <w:r w:rsidRPr="005675B2">
        <w:rPr>
          <w:rFonts w:hint="cs"/>
          <w:rtl/>
        </w:rPr>
        <w:t xml:space="preserve"> هذا مذهب الأشاعرة والماتريدية في كلام الله تعالى</w:t>
      </w:r>
      <w:r w:rsidR="000636C2">
        <w:rPr>
          <w:rFonts w:hint="cs"/>
          <w:rtl/>
        </w:rPr>
        <w:t xml:space="preserve">، </w:t>
      </w:r>
      <w:r w:rsidRPr="005675B2">
        <w:rPr>
          <w:rFonts w:hint="cs"/>
          <w:rtl/>
        </w:rPr>
        <w:t>وبه يتبين أنهم اثبتوا لله تعالى نوعين من الكلام</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الكلام المعنوي النفسي، وقد اتفقوا على قدمه، وقيامه بالله تعالى، و</w:t>
      </w:r>
      <w:r w:rsidR="000636C2">
        <w:rPr>
          <w:rFonts w:hint="cs"/>
          <w:rtl/>
        </w:rPr>
        <w:t>(</w:t>
      </w:r>
      <w:r w:rsidRPr="005675B2">
        <w:rPr>
          <w:rFonts w:hint="cs"/>
          <w:rtl/>
        </w:rPr>
        <w:t>الثاني</w:t>
      </w:r>
      <w:r w:rsidR="000636C2">
        <w:rPr>
          <w:rFonts w:hint="cs"/>
          <w:rtl/>
        </w:rPr>
        <w:t>):</w:t>
      </w:r>
      <w:r w:rsidRPr="005675B2">
        <w:rPr>
          <w:rFonts w:hint="cs"/>
          <w:rtl/>
        </w:rPr>
        <w:t xml:space="preserve"> الكلام اللفظي، وقد اختلفوا فيه، فذهب فريق من المحققين منهم إلى قدمه أيضا، وقالوا</w:t>
      </w:r>
      <w:r w:rsidR="000636C2">
        <w:rPr>
          <w:rFonts w:hint="cs"/>
          <w:rtl/>
        </w:rPr>
        <w:t>:</w:t>
      </w:r>
      <w:r w:rsidRPr="005675B2">
        <w:rPr>
          <w:rFonts w:hint="cs"/>
          <w:rtl/>
        </w:rPr>
        <w:t xml:space="preserve"> إن كلام الله تعالى عبارة عن اللفظ والمعنى القديمين القائمين بالله تعالى</w:t>
      </w:r>
      <w:r w:rsidR="000636C2">
        <w:rPr>
          <w:rFonts w:hint="cs"/>
          <w:rtl/>
        </w:rPr>
        <w:t xml:space="preserve">، </w:t>
      </w:r>
      <w:r w:rsidRPr="005675B2">
        <w:rPr>
          <w:rFonts w:hint="cs"/>
          <w:rtl/>
        </w:rPr>
        <w:t>وذهب جمهورهم إلى حدوث الكلام اللفظي بمعنى أن الله تعالى تفرد بخلقه بدون كسب لأحد فيه، وهو كلام الله على الحقيقة دون المجاز</w:t>
      </w:r>
      <w:r w:rsidR="000636C2">
        <w:rPr>
          <w:rFonts w:hint="cs"/>
          <w:rtl/>
        </w:rPr>
        <w:t xml:space="preserve">، </w:t>
      </w:r>
      <w:r w:rsidRPr="005675B2">
        <w:rPr>
          <w:rFonts w:hint="cs"/>
          <w:rtl/>
        </w:rPr>
        <w:t>ولم يذهب أحد منهم إلى ما ذهب إليه جمهور الحنابلة من أن كلام الله تعالى عبارة عن الحروف والأصوات، قالوا</w:t>
      </w:r>
      <w:r w:rsidR="000636C2">
        <w:rPr>
          <w:rFonts w:hint="cs"/>
          <w:rtl/>
        </w:rPr>
        <w:t>:</w:t>
      </w:r>
      <w:r w:rsidRPr="005675B2">
        <w:rPr>
          <w:rFonts w:hint="cs"/>
          <w:rtl/>
        </w:rPr>
        <w:t xml:space="preserve"> لأنه من البديهي أن ذلك يقتضي الترتيب والتعاقب المقتضي للحدوث، وكلام الله تعالى منزه عن الحدوث باتفاق مناو ومنهم</w:t>
      </w:r>
      <w:r w:rsidR="000636C2">
        <w:rPr>
          <w:rFonts w:hint="cs"/>
          <w:rtl/>
        </w:rPr>
        <w:t xml:space="preserve">، </w:t>
      </w:r>
      <w:r w:rsidRPr="005675B2">
        <w:rPr>
          <w:rFonts w:hint="cs"/>
          <w:rtl/>
        </w:rPr>
        <w:t>ومذهب الاشاعرة هذا هومذهب الامام ابي حنيفة</w:t>
      </w:r>
      <w:r w:rsidR="000636C2">
        <w:rPr>
          <w:rFonts w:hint="cs"/>
          <w:rtl/>
        </w:rPr>
        <w:t>،</w:t>
      </w:r>
      <w:r w:rsidRPr="005675B2">
        <w:rPr>
          <w:rFonts w:hint="cs"/>
          <w:rtl/>
        </w:rPr>
        <w:t xml:space="preserve"> قال - رحمه الله تعالى - في الفقه الاكبر</w:t>
      </w:r>
      <w:r w:rsidR="000636C2">
        <w:rPr>
          <w:rFonts w:hint="cs"/>
          <w:rtl/>
        </w:rPr>
        <w:t>:</w:t>
      </w:r>
      <w:r w:rsidRPr="005675B2">
        <w:rPr>
          <w:rFonts w:hint="cs"/>
          <w:rtl/>
        </w:rPr>
        <w:t>" ويتكلم لاككلامناونحن نتكلم بالالات والحروف، والله تعالى يتكلم بلاالة ولاحروف، والحروف مخلوقة، وكلام الله غيرمخلوق "</w:t>
      </w:r>
      <w:r w:rsidR="000636C2">
        <w:rPr>
          <w:rFonts w:hint="cs"/>
          <w:rtl/>
        </w:rPr>
        <w:t>،</w:t>
      </w:r>
    </w:p>
    <w:p w14:paraId="733F3D0E" w14:textId="0F541C5C" w:rsidR="009C32A0" w:rsidRPr="005675B2" w:rsidRDefault="009C32A0" w:rsidP="000636C2">
      <w:pPr>
        <w:rPr>
          <w:b/>
          <w:rtl/>
        </w:rPr>
      </w:pPr>
      <w:r w:rsidRPr="005675B2">
        <w:rPr>
          <w:rFonts w:hint="cs"/>
          <w:rtl/>
        </w:rPr>
        <w:t>45 - مذهب الأشاعرة في الصوت</w:t>
      </w:r>
      <w:r w:rsidR="000636C2">
        <w:rPr>
          <w:rFonts w:hint="cs"/>
          <w:rtl/>
        </w:rPr>
        <w:t xml:space="preserve">: </w:t>
      </w:r>
      <w:r w:rsidRPr="005675B2">
        <w:rPr>
          <w:rFonts w:hint="cs"/>
          <w:rtl/>
        </w:rPr>
        <w:t>وأما ما ورد من ثبوت الصوت في كلام الله تعالى في بعض الأحاديث كحديث عبد الله بن أنيس عن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يحشر الله العباد -أو قال الناس - عراة غرلا بهما، ثم يناديهم بصوت يسمعه من بعد كما سمعه من قرب أنا الملك الديان</w:t>
      </w:r>
      <w:r w:rsidR="000636C2">
        <w:rPr>
          <w:rFonts w:hint="cs"/>
          <w:rtl/>
        </w:rPr>
        <w:t>)</w:t>
      </w:r>
      <w:r w:rsidRPr="005675B2">
        <w:rPr>
          <w:rFonts w:hint="cs"/>
          <w:rtl/>
        </w:rPr>
        <w:t xml:space="preserve"> قلم يثبتوا هذه الأحاديث وانتقدوها، انظر "الاسماء الصفات" للبيهقي [</w:t>
      </w:r>
      <w:r w:rsidRPr="005675B2">
        <w:rPr>
          <w:rFonts w:hint="cs"/>
          <w:sz w:val="24"/>
          <w:szCs w:val="24"/>
          <w:rtl/>
        </w:rPr>
        <w:t>273-276]</w:t>
      </w:r>
      <w:r w:rsidR="000636C2">
        <w:rPr>
          <w:rFonts w:hint="cs"/>
          <w:rtl/>
        </w:rPr>
        <w:t>،</w:t>
      </w:r>
      <w:r w:rsidRPr="005675B2">
        <w:rPr>
          <w:rFonts w:hint="cs"/>
          <w:rtl/>
        </w:rPr>
        <w:t xml:space="preserve"> وبتقدير ثبوتها فقد جعلوا الصوت فيها راجعا إلى غير الله تعالى كما تقدم في كلام أبي المعين النسفي عن الإمام أبي منصور الماتريدي والأستاذ أبي الإسحاق الإسفراييني من أن الله يسمع كلامه بصوت يتولى تخليقه، لا أن كلامه عبارة عن الحرف والصوت، ويحتمل في بعض هذه الأحاديث أن يكون الصوت للسماء، أو للملك الآتي بالوحي، أولأجنحة الملائكة، كما يحتمل أن يكون الصوت من تعبير الراوي، وأن النبي قال</w:t>
      </w:r>
      <w:r w:rsidR="000636C2">
        <w:rPr>
          <w:rFonts w:hint="cs"/>
          <w:rtl/>
        </w:rPr>
        <w:t>:</w:t>
      </w:r>
      <w:r w:rsidRPr="005675B2">
        <w:rPr>
          <w:rFonts w:hint="cs"/>
          <w:rtl/>
        </w:rPr>
        <w:t xml:space="preserve"> </w:t>
      </w:r>
      <w:r w:rsidR="000636C2">
        <w:rPr>
          <w:rFonts w:hint="cs"/>
          <w:rtl/>
        </w:rPr>
        <w:t>(</w:t>
      </w:r>
      <w:r w:rsidRPr="005675B2">
        <w:rPr>
          <w:rFonts w:hint="cs"/>
          <w:rtl/>
        </w:rPr>
        <w:t>يناديهم نداء يسمعه ..</w:t>
      </w:r>
      <w:r w:rsidR="000636C2">
        <w:rPr>
          <w:rFonts w:hint="cs"/>
          <w:rtl/>
        </w:rPr>
        <w:t>)</w:t>
      </w:r>
      <w:r w:rsidRPr="005675B2">
        <w:rPr>
          <w:rFonts w:hint="cs"/>
          <w:rtl/>
        </w:rPr>
        <w:t xml:space="preserve"> أو نحو ذلك، فعبر الراوي بالصوت</w:t>
      </w:r>
      <w:r w:rsidR="000636C2">
        <w:rPr>
          <w:rFonts w:hint="cs"/>
          <w:rtl/>
        </w:rPr>
        <w:t xml:space="preserve">، </w:t>
      </w:r>
      <w:r w:rsidRPr="005675B2">
        <w:rPr>
          <w:rFonts w:hint="cs"/>
          <w:rtl/>
        </w:rPr>
        <w:t>قال البيهقي في "الأسماء والصفات"</w:t>
      </w:r>
      <w:r w:rsidR="000636C2">
        <w:rPr>
          <w:rFonts w:hint="cs"/>
          <w:rtl/>
        </w:rPr>
        <w:t>:</w:t>
      </w:r>
      <w:r w:rsidRPr="005675B2">
        <w:rPr>
          <w:rFonts w:hint="cs"/>
          <w:rtl/>
        </w:rPr>
        <w:t xml:space="preserve"> "وقد يجوز أن يكون الصوت فيه إن كان ثابتا راجعا إلى غيره تعالى، كما روينا عن عبد الله بن مسعود موقوفا </w:t>
      </w:r>
      <w:r w:rsidR="000636C2">
        <w:rPr>
          <w:rFonts w:hint="cs"/>
          <w:rtl/>
        </w:rPr>
        <w:t>(</w:t>
      </w:r>
      <w:r w:rsidRPr="005675B2">
        <w:rPr>
          <w:rFonts w:hint="cs"/>
          <w:rtl/>
        </w:rPr>
        <w:t>وموقوف الصحابي في ما لا مجال للرأي فيه من المرفوع حكما</w:t>
      </w:r>
      <w:r w:rsidR="000636C2">
        <w:rPr>
          <w:rFonts w:hint="cs"/>
          <w:rtl/>
        </w:rPr>
        <w:t>):</w:t>
      </w:r>
      <w:r w:rsidRPr="005675B2">
        <w:rPr>
          <w:rFonts w:hint="cs"/>
          <w:rtl/>
        </w:rPr>
        <w:t xml:space="preserve"> </w:t>
      </w:r>
      <w:r w:rsidR="000636C2">
        <w:rPr>
          <w:rFonts w:hint="cs"/>
          <w:rtl/>
        </w:rPr>
        <w:t>(</w:t>
      </w:r>
      <w:r w:rsidRPr="005675B2">
        <w:rPr>
          <w:rFonts w:hint="cs"/>
          <w:rtl/>
        </w:rPr>
        <w:t>إذا تكلم الله بالوحي سمع أهل السماء صلصلة كجر السلسلة على الصفا</w:t>
      </w:r>
      <w:r w:rsidR="000636C2">
        <w:rPr>
          <w:rFonts w:hint="cs"/>
          <w:rtl/>
        </w:rPr>
        <w:t>)</w:t>
      </w:r>
      <w:r w:rsidRPr="005675B2">
        <w:rPr>
          <w:rFonts w:hint="cs"/>
          <w:rtl/>
        </w:rPr>
        <w:t xml:space="preserve"> وفي حديث أبي هريرة</w:t>
      </w:r>
      <w:r w:rsidR="000636C2">
        <w:rPr>
          <w:rFonts w:hint="cs"/>
          <w:rtl/>
        </w:rPr>
        <w:t>:</w:t>
      </w:r>
      <w:r w:rsidRPr="005675B2">
        <w:rPr>
          <w:rFonts w:hint="cs"/>
          <w:rtl/>
        </w:rPr>
        <w:t xml:space="preserve"> </w:t>
      </w:r>
      <w:r w:rsidR="000636C2">
        <w:rPr>
          <w:rFonts w:hint="cs"/>
          <w:rtl/>
        </w:rPr>
        <w:t>(</w:t>
      </w:r>
      <w:r w:rsidRPr="005675B2">
        <w:rPr>
          <w:rFonts w:hint="cs"/>
          <w:rtl/>
        </w:rPr>
        <w:t>إذا قضى الله الأمر في السماء ضربت الملائكة بأجنحتها خضعنا لقوله كأنه سلسلة على صفوان</w:t>
      </w:r>
      <w:r w:rsidR="000636C2">
        <w:rPr>
          <w:rFonts w:hint="cs"/>
          <w:rtl/>
        </w:rPr>
        <w:t xml:space="preserve">)، </w:t>
      </w:r>
      <w:r w:rsidRPr="005675B2">
        <w:rPr>
          <w:rFonts w:hint="cs"/>
          <w:rtl/>
        </w:rPr>
        <w:t>ففي هذين الحديثين الصحيحين دلالة على أنهم يسمعون عند الوحي صوتا، لكن للسماء، ولأجنحة الملائكة تعالى الله عن شبه المخلوقين علوا كبيرا .. وكما روينا عن نبينا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أنه كان يأته الوحي أحيان في مثل صلصلة الجرس</w:t>
      </w:r>
      <w:r w:rsidR="000636C2">
        <w:rPr>
          <w:rFonts w:hint="cs"/>
          <w:rtl/>
        </w:rPr>
        <w:t>)</w:t>
      </w:r>
      <w:r w:rsidRPr="005675B2">
        <w:rPr>
          <w:rFonts w:hint="cs"/>
          <w:rtl/>
        </w:rPr>
        <w:t xml:space="preserve"> وكل ذلك مضاف إلى غير الله سبحانه</w:t>
      </w:r>
      <w:r w:rsidR="000636C2">
        <w:rPr>
          <w:rFonts w:hint="cs"/>
          <w:rtl/>
        </w:rPr>
        <w:t>،</w:t>
      </w:r>
      <w:r w:rsidRPr="005675B2">
        <w:rPr>
          <w:rFonts w:hint="cs"/>
          <w:rtl/>
        </w:rPr>
        <w:t xml:space="preserve"> انتهى</w:t>
      </w:r>
      <w:r w:rsidR="000636C2">
        <w:rPr>
          <w:rFonts w:hint="cs"/>
          <w:rtl/>
        </w:rPr>
        <w:t>،</w:t>
      </w:r>
    </w:p>
    <w:p w14:paraId="5C1640CA" w14:textId="7F3BF502" w:rsidR="009C32A0" w:rsidRPr="005675B2" w:rsidRDefault="009C32A0" w:rsidP="000636C2">
      <w:pPr>
        <w:rPr>
          <w:b/>
          <w:rtl/>
        </w:rPr>
      </w:pPr>
      <w:r w:rsidRPr="005675B2">
        <w:rPr>
          <w:rFonts w:hint="cs"/>
          <w:rtl/>
        </w:rPr>
        <w:t>46 - مذهب الإمام أحمد في كلام الله تعالى</w:t>
      </w:r>
      <w:r w:rsidR="000636C2">
        <w:rPr>
          <w:rFonts w:hint="cs"/>
          <w:rtl/>
        </w:rPr>
        <w:t xml:space="preserve">: </w:t>
      </w:r>
      <w:r w:rsidRPr="005675B2">
        <w:rPr>
          <w:rFonts w:hint="cs"/>
          <w:rtl/>
        </w:rPr>
        <w:t>وهنا نود الإشارة إلى مذهب الإمام أحمد في الكلام، فأقول</w:t>
      </w:r>
      <w:r w:rsidR="000636C2">
        <w:rPr>
          <w:rFonts w:hint="cs"/>
          <w:rtl/>
        </w:rPr>
        <w:t>:</w:t>
      </w:r>
      <w:r w:rsidRPr="005675B2">
        <w:rPr>
          <w:rFonts w:hint="cs"/>
          <w:rtl/>
        </w:rPr>
        <w:t xml:space="preserve"> قد جاء عن الإمام أحمد أن الله تعالى يتكلم بصوت</w:t>
      </w:r>
      <w:r w:rsidR="000636C2">
        <w:rPr>
          <w:rFonts w:hint="cs"/>
          <w:rtl/>
        </w:rPr>
        <w:t xml:space="preserve">، </w:t>
      </w:r>
      <w:r w:rsidRPr="005675B2">
        <w:rPr>
          <w:rFonts w:hint="cs"/>
          <w:rtl/>
        </w:rPr>
        <w:t>قال الذهبي في تاريخ الإسلام</w:t>
      </w:r>
      <w:r w:rsidR="000636C2">
        <w:rPr>
          <w:rFonts w:hint="cs"/>
          <w:rtl/>
        </w:rPr>
        <w:t>:</w:t>
      </w:r>
      <w:r w:rsidRPr="005675B2">
        <w:rPr>
          <w:rFonts w:hint="cs"/>
          <w:rtl/>
        </w:rPr>
        <w:t xml:space="preserve"> قال عبد الله ابن الإمام أحمد في كتاب "الرد على الجهمية" تأليفه</w:t>
      </w:r>
      <w:r w:rsidR="000636C2">
        <w:rPr>
          <w:rFonts w:hint="cs"/>
          <w:rtl/>
        </w:rPr>
        <w:t>:</w:t>
      </w:r>
      <w:r w:rsidRPr="005675B2">
        <w:rPr>
          <w:rFonts w:hint="cs"/>
          <w:rtl/>
        </w:rPr>
        <w:t xml:space="preserve"> سألت أبي عن قوم يقولون</w:t>
      </w:r>
      <w:r w:rsidR="000636C2">
        <w:rPr>
          <w:rFonts w:hint="cs"/>
          <w:rtl/>
        </w:rPr>
        <w:t>:</w:t>
      </w:r>
      <w:r w:rsidRPr="005675B2">
        <w:rPr>
          <w:rFonts w:hint="cs"/>
          <w:rtl/>
        </w:rPr>
        <w:t xml:space="preserve"> لما كلم الله موسى لم يتكلم بصوت، فقال أبي</w:t>
      </w:r>
      <w:r w:rsidR="000636C2">
        <w:rPr>
          <w:rFonts w:hint="cs"/>
          <w:rtl/>
        </w:rPr>
        <w:t>:</w:t>
      </w:r>
      <w:r w:rsidRPr="005675B2">
        <w:rPr>
          <w:rFonts w:hint="cs"/>
          <w:rtl/>
        </w:rPr>
        <w:t xml:space="preserve"> بل تكلم -جل ثنائه - بصوت، هذه الأحاديث نرويها كما جائت ..</w:t>
      </w:r>
      <w:r w:rsidR="000636C2">
        <w:rPr>
          <w:rFonts w:hint="cs"/>
          <w:rtl/>
        </w:rPr>
        <w:t>،</w:t>
      </w:r>
      <w:r w:rsidRPr="005675B2">
        <w:rPr>
          <w:rFonts w:hint="cs"/>
          <w:rtl/>
        </w:rPr>
        <w:t xml:space="preserve"> [</w:t>
      </w:r>
      <w:r w:rsidRPr="005675B2">
        <w:rPr>
          <w:rFonts w:hint="cs"/>
          <w:sz w:val="24"/>
          <w:szCs w:val="24"/>
          <w:rtl/>
        </w:rPr>
        <w:t>تاريخ الإسلام 18/88</w:t>
      </w:r>
      <w:r w:rsidRPr="005675B2">
        <w:rPr>
          <w:rFonts w:hint="cs"/>
          <w:rtl/>
        </w:rPr>
        <w:t>] وقد ثبت عن الإمام أحمد بطرق صحيحة أنه كان يقول</w:t>
      </w:r>
      <w:r w:rsidR="000636C2">
        <w:rPr>
          <w:rFonts w:hint="cs"/>
          <w:rtl/>
        </w:rPr>
        <w:t>:</w:t>
      </w:r>
      <w:r w:rsidRPr="005675B2">
        <w:rPr>
          <w:rFonts w:hint="cs"/>
          <w:rtl/>
        </w:rPr>
        <w:t xml:space="preserve"> القرآن من علم الله، واستدل على ذلك بالكتاب مثل قوله تعالى</w:t>
      </w:r>
      <w:r w:rsidR="000636C2">
        <w:rPr>
          <w:rFonts w:hint="cs"/>
          <w:rtl/>
        </w:rPr>
        <w:t>:</w:t>
      </w:r>
      <w:r w:rsidRPr="005675B2">
        <w:rPr>
          <w:rFonts w:hint="cs"/>
          <w:rtl/>
        </w:rPr>
        <w:t xml:space="preserve"> </w:t>
      </w:r>
      <w:r w:rsidR="000636C2">
        <w:rPr>
          <w:rFonts w:hint="cs"/>
          <w:rtl/>
        </w:rPr>
        <w:t>(</w:t>
      </w:r>
      <w:r w:rsidRPr="005675B2">
        <w:rPr>
          <w:rFonts w:hint="cs"/>
          <w:rtl/>
        </w:rPr>
        <w:t>ولإن اتبعت أهواهم من بعد ما جائك من العلم</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البقرة 120</w:t>
      </w:r>
      <w:r w:rsidRPr="005675B2">
        <w:rPr>
          <w:rFonts w:hint="cs"/>
          <w:rtl/>
        </w:rPr>
        <w:t>] وقوله تعالى</w:t>
      </w:r>
      <w:r w:rsidR="000636C2">
        <w:rPr>
          <w:rFonts w:hint="cs"/>
          <w:rtl/>
        </w:rPr>
        <w:t>:</w:t>
      </w:r>
      <w:r w:rsidRPr="005675B2">
        <w:rPr>
          <w:rFonts w:hint="cs"/>
          <w:rtl/>
        </w:rPr>
        <w:t xml:space="preserve"> </w:t>
      </w:r>
      <w:r w:rsidR="000636C2">
        <w:rPr>
          <w:rFonts w:hint="cs"/>
          <w:rtl/>
        </w:rPr>
        <w:t>(</w:t>
      </w:r>
      <w:r w:rsidRPr="005675B2">
        <w:rPr>
          <w:rFonts w:hint="cs"/>
          <w:rtl/>
        </w:rPr>
        <w:t>فمن حاجك فيه من بعد ما جائك من العلم</w:t>
      </w:r>
      <w:r w:rsidR="000636C2">
        <w:rPr>
          <w:rFonts w:hint="cs"/>
          <w:rtl/>
        </w:rPr>
        <w:t>)</w:t>
      </w:r>
      <w:r w:rsidRPr="005675B2">
        <w:rPr>
          <w:rFonts w:hint="cs"/>
          <w:rtl/>
        </w:rPr>
        <w:t xml:space="preserve"> [</w:t>
      </w:r>
      <w:r w:rsidRPr="005675B2">
        <w:rPr>
          <w:rFonts w:hint="cs"/>
          <w:sz w:val="24"/>
          <w:szCs w:val="24"/>
          <w:rtl/>
        </w:rPr>
        <w:t>آل عمران 61]</w:t>
      </w:r>
      <w:r w:rsidR="000636C2">
        <w:rPr>
          <w:rFonts w:hint="cs"/>
          <w:rtl/>
        </w:rPr>
        <w:t>،</w:t>
      </w:r>
      <w:r w:rsidRPr="005675B2">
        <w:rPr>
          <w:rFonts w:hint="cs"/>
          <w:rtl/>
        </w:rPr>
        <w:t xml:space="preserve"> قال الذهبي</w:t>
      </w:r>
      <w:r w:rsidR="000636C2">
        <w:rPr>
          <w:rFonts w:hint="cs"/>
          <w:rtl/>
        </w:rPr>
        <w:t>:</w:t>
      </w:r>
      <w:r w:rsidRPr="005675B2">
        <w:rPr>
          <w:rFonts w:hint="cs"/>
          <w:rtl/>
        </w:rPr>
        <w:t xml:space="preserve"> قال الإمام أحمد في آخر رسالة أملاها على ابنه عبد الله</w:t>
      </w:r>
      <w:r w:rsidR="000636C2">
        <w:rPr>
          <w:rFonts w:hint="cs"/>
          <w:rtl/>
        </w:rPr>
        <w:t>:</w:t>
      </w:r>
      <w:r w:rsidRPr="005675B2">
        <w:rPr>
          <w:rFonts w:hint="cs"/>
          <w:rtl/>
        </w:rPr>
        <w:t xml:space="preserve"> القرآن من علم الله [</w:t>
      </w:r>
      <w:r w:rsidRPr="005675B2">
        <w:rPr>
          <w:rFonts w:hint="cs"/>
          <w:sz w:val="24"/>
          <w:szCs w:val="24"/>
          <w:rtl/>
        </w:rPr>
        <w:t>سير أعلام النبلاء 11/286]</w:t>
      </w:r>
      <w:r w:rsidRPr="005675B2">
        <w:rPr>
          <w:rFonts w:hint="cs"/>
          <w:rtl/>
        </w:rPr>
        <w:t xml:space="preserve"> وقال</w:t>
      </w:r>
      <w:r w:rsidR="000636C2">
        <w:rPr>
          <w:rFonts w:hint="cs"/>
          <w:rtl/>
        </w:rPr>
        <w:t>:</w:t>
      </w:r>
      <w:r w:rsidRPr="005675B2">
        <w:rPr>
          <w:rFonts w:hint="cs"/>
          <w:rtl/>
        </w:rPr>
        <w:t xml:space="preserve"> رواة هذه الرسالة عن أحمد أئمة أثبات أشهد بالله أنه أملاها على ولده، ورواها أبو نعيم في حلية الأولياء وابن الجوزي في مناقب الإمام أحمد [</w:t>
      </w:r>
      <w:r w:rsidRPr="005675B2">
        <w:rPr>
          <w:rFonts w:hint="cs"/>
          <w:sz w:val="24"/>
          <w:szCs w:val="24"/>
          <w:rtl/>
        </w:rPr>
        <w:t>تاريخ الإسلام 18/99-101</w:t>
      </w:r>
      <w:r w:rsidRPr="005675B2">
        <w:rPr>
          <w:rFonts w:hint="cs"/>
          <w:rtl/>
        </w:rPr>
        <w:t>]</w:t>
      </w:r>
      <w:r w:rsidR="000636C2">
        <w:rPr>
          <w:rFonts w:hint="cs"/>
          <w:rtl/>
        </w:rPr>
        <w:t xml:space="preserve">، </w:t>
      </w:r>
      <w:r w:rsidRPr="005675B2">
        <w:rPr>
          <w:rFonts w:hint="cs"/>
          <w:rtl/>
        </w:rPr>
        <w:t>هكذا ثبت عن الإمام أحمد أن كلام الله تعالى من علمه، وعلمه ليس من الأصوات، ولم يظهر لي وجه الجمع بين قوله هذا وقوله</w:t>
      </w:r>
      <w:r w:rsidR="000636C2">
        <w:rPr>
          <w:rFonts w:hint="cs"/>
          <w:rtl/>
        </w:rPr>
        <w:t>:</w:t>
      </w:r>
      <w:r w:rsidRPr="005675B2">
        <w:rPr>
          <w:rFonts w:hint="cs"/>
          <w:rtl/>
        </w:rPr>
        <w:t xml:space="preserve"> إن الله يتكلم بصوت</w:t>
      </w:r>
      <w:r w:rsidR="000636C2">
        <w:rPr>
          <w:rFonts w:hint="cs"/>
          <w:rtl/>
        </w:rPr>
        <w:t xml:space="preserve">، </w:t>
      </w:r>
      <w:r w:rsidRPr="005675B2">
        <w:rPr>
          <w:rFonts w:hint="cs"/>
          <w:rtl/>
        </w:rPr>
        <w:t>والذي يظهر لى أن هذان القولان عنه جاريان على مذهبه من الوقوف في باب العقيدة عند ظواهر النصوص وعدم تجاوزها، وكراهة البحث والتنقيب عن الأمور الغامضة، كما قال البخاري</w:t>
      </w:r>
      <w:r w:rsidR="000636C2">
        <w:rPr>
          <w:rFonts w:hint="cs"/>
          <w:rtl/>
        </w:rPr>
        <w:t>:</w:t>
      </w:r>
      <w:r w:rsidRPr="005675B2">
        <w:rPr>
          <w:rFonts w:hint="cs"/>
          <w:rtl/>
        </w:rPr>
        <w:t xml:space="preserve"> المعروف عن أحمد وأهل العلم أن كلام الله غير مخلوق، وما سواه مخلوق، وأنهم كرهوا البحث والتنقيب عن الأمور الغامضة، وتجنبوا أهل الكلام والخوضَ والتنازعَ إلا فيما جاء به العلم وبينه رسول الله صلى الله تعالى عليه وآله وسلم</w:t>
      </w:r>
      <w:r w:rsidR="000636C2">
        <w:rPr>
          <w:rFonts w:hint="cs"/>
          <w:rtl/>
        </w:rPr>
        <w:t xml:space="preserve"> </w:t>
      </w:r>
      <w:r w:rsidRPr="005675B2">
        <w:rPr>
          <w:rFonts w:hint="cs"/>
          <w:rtl/>
        </w:rPr>
        <w:t>[</w:t>
      </w:r>
      <w:r w:rsidRPr="005675B2">
        <w:rPr>
          <w:rFonts w:hint="cs"/>
          <w:sz w:val="24"/>
          <w:szCs w:val="24"/>
          <w:rtl/>
        </w:rPr>
        <w:t>خلق أفعال العباد للبخاري 62</w:t>
      </w:r>
      <w:r w:rsidRPr="005675B2">
        <w:rPr>
          <w:rFonts w:hint="cs"/>
          <w:rtl/>
        </w:rPr>
        <w:t>]</w:t>
      </w:r>
      <w:r w:rsidR="000636C2">
        <w:rPr>
          <w:rFonts w:hint="cs"/>
          <w:rtl/>
        </w:rPr>
        <w:t>،</w:t>
      </w:r>
    </w:p>
    <w:p w14:paraId="5CC06537" w14:textId="5D21D68E" w:rsidR="009C32A0" w:rsidRPr="005675B2" w:rsidRDefault="009C32A0" w:rsidP="000636C2">
      <w:pPr>
        <w:rPr>
          <w:b/>
          <w:rtl/>
        </w:rPr>
      </w:pPr>
      <w:r w:rsidRPr="005675B2">
        <w:rPr>
          <w:rFonts w:hint="cs"/>
          <w:rtl/>
        </w:rPr>
        <w:t>47 - بيان ما تورط فيه الدكتور من الأخطاء في مسألة القرآن</w:t>
      </w:r>
      <w:r w:rsidR="000636C2">
        <w:rPr>
          <w:rFonts w:hint="cs"/>
          <w:rtl/>
        </w:rPr>
        <w:t xml:space="preserve">: </w:t>
      </w:r>
      <w:r w:rsidRPr="005675B2">
        <w:rPr>
          <w:rFonts w:hint="cs"/>
          <w:rtl/>
        </w:rPr>
        <w:t>وبعد هذا الجولة في بيان مذهب أهل السنة من الأشاعرة والماتريدية وغيرهم في كلام الله تعالى نعود إلى كلام الدكتور لنبين كم حواه من أخطاء، فنقول</w:t>
      </w:r>
      <w:r w:rsidR="000636C2">
        <w:rPr>
          <w:rFonts w:hint="cs"/>
          <w:rtl/>
        </w:rPr>
        <w:t xml:space="preserve">: </w:t>
      </w:r>
      <w:r w:rsidRPr="005675B2">
        <w:rPr>
          <w:rFonts w:hint="cs"/>
          <w:rtl/>
        </w:rPr>
        <w:t>الخطأ الأول والثاني</w:t>
      </w:r>
      <w:r w:rsidR="000636C2">
        <w:rPr>
          <w:rFonts w:hint="cs"/>
          <w:rtl/>
        </w:rPr>
        <w:t>:</w:t>
      </w:r>
      <w:r w:rsidRPr="005675B2">
        <w:rPr>
          <w:rFonts w:hint="cs"/>
          <w:rtl/>
        </w:rPr>
        <w:t xml:space="preserve"> ما حواه قوله</w:t>
      </w:r>
      <w:r w:rsidR="000636C2">
        <w:rPr>
          <w:rFonts w:hint="cs"/>
          <w:rtl/>
        </w:rPr>
        <w:t>:</w:t>
      </w:r>
      <w:r w:rsidRPr="005675B2">
        <w:rPr>
          <w:rFonts w:hint="cs"/>
          <w:rtl/>
        </w:rPr>
        <w:t xml:space="preserve"> "أما مذهب الأشاعرة فمن منطلق التوفيقية التي لم يحالفها التوفيق فرقوا بين المعنى واللفظ"</w:t>
      </w:r>
      <w:r w:rsidR="000636C2">
        <w:rPr>
          <w:rFonts w:hint="cs"/>
          <w:rtl/>
        </w:rPr>
        <w:t xml:space="preserve">، </w:t>
      </w:r>
      <w:r w:rsidRPr="005675B2">
        <w:rPr>
          <w:rFonts w:hint="cs"/>
          <w:rtl/>
        </w:rPr>
        <w:t>الخطأ الأول</w:t>
      </w:r>
      <w:r w:rsidR="000636C2">
        <w:rPr>
          <w:rFonts w:hint="cs"/>
          <w:rtl/>
        </w:rPr>
        <w:t>:</w:t>
      </w:r>
      <w:r w:rsidRPr="005675B2">
        <w:rPr>
          <w:rFonts w:hint="cs"/>
          <w:rtl/>
        </w:rPr>
        <w:t xml:space="preserve"> أن الدكتور نسب التفرقة بين المعنى واللفظ إلى كل الأشاعرة يعنى أنهم كلهم قالوا</w:t>
      </w:r>
      <w:r w:rsidR="000636C2">
        <w:rPr>
          <w:rFonts w:hint="cs"/>
          <w:rtl/>
        </w:rPr>
        <w:t>:</w:t>
      </w:r>
      <w:r w:rsidRPr="005675B2">
        <w:rPr>
          <w:rFonts w:hint="cs"/>
          <w:rtl/>
        </w:rPr>
        <w:t xml:space="preserve"> إن المعنى قديم واللفظ حادث</w:t>
      </w:r>
      <w:r w:rsidR="000636C2">
        <w:rPr>
          <w:rFonts w:hint="cs"/>
          <w:rtl/>
        </w:rPr>
        <w:t>،</w:t>
      </w:r>
      <w:r w:rsidRPr="005675B2">
        <w:rPr>
          <w:rFonts w:hint="cs"/>
          <w:rtl/>
        </w:rPr>
        <w:t xml:space="preserve"> وقد بينا أن هذا هو مذهب جمهور الأشاعرة، وأن فريقا من المحققين منهم ذهب إلى قدم اللفظ كالمعنى</w:t>
      </w:r>
      <w:r w:rsidR="000636C2">
        <w:rPr>
          <w:rFonts w:hint="cs"/>
          <w:rtl/>
        </w:rPr>
        <w:t xml:space="preserve">، </w:t>
      </w:r>
      <w:r w:rsidRPr="005675B2">
        <w:rPr>
          <w:rFonts w:hint="cs"/>
          <w:rtl/>
        </w:rPr>
        <w:t>الخطأ الثاني</w:t>
      </w:r>
      <w:r w:rsidR="000636C2">
        <w:rPr>
          <w:rFonts w:hint="cs"/>
          <w:rtl/>
        </w:rPr>
        <w:t>:</w:t>
      </w:r>
      <w:r w:rsidRPr="005675B2">
        <w:rPr>
          <w:rFonts w:hint="cs"/>
          <w:rtl/>
        </w:rPr>
        <w:t xml:space="preserve"> ما ادعاه الدكتور من أن تفرقتهم بين اللفظ والمعنى إنما هو من منطلق التوفيق بين مذهب أهل السنة ومذهب المعتزلة</w:t>
      </w:r>
      <w:r w:rsidR="000636C2">
        <w:rPr>
          <w:rFonts w:hint="cs"/>
          <w:rtl/>
        </w:rPr>
        <w:t>،</w:t>
      </w:r>
      <w:r w:rsidRPr="005675B2">
        <w:rPr>
          <w:rFonts w:hint="cs"/>
          <w:rtl/>
        </w:rPr>
        <w:t xml:space="preserve"> وهو غير صحيح</w:t>
      </w:r>
      <w:r w:rsidR="000636C2">
        <w:rPr>
          <w:rFonts w:hint="cs"/>
          <w:rtl/>
        </w:rPr>
        <w:t>،</w:t>
      </w:r>
      <w:r w:rsidRPr="005675B2">
        <w:rPr>
          <w:rFonts w:hint="cs"/>
          <w:rtl/>
        </w:rPr>
        <w:t xml:space="preserve"> فمن المعلوم لكل ملم بمذهب الأشاعرة ومذهب المعتزلة ومذهب غيرهما من الفرق الاسلامية أن مذهب الأشاعرة أبعد المذاهب عن مذهب المعتزلة</w:t>
      </w:r>
      <w:r w:rsidR="000636C2">
        <w:rPr>
          <w:rFonts w:hint="cs"/>
          <w:rtl/>
        </w:rPr>
        <w:t>،</w:t>
      </w:r>
      <w:r w:rsidRPr="005675B2">
        <w:rPr>
          <w:rFonts w:hint="cs"/>
          <w:rtl/>
        </w:rPr>
        <w:t xml:space="preserve"> أو من ابعدها عنه</w:t>
      </w:r>
      <w:r w:rsidR="000636C2">
        <w:rPr>
          <w:rFonts w:hint="cs"/>
          <w:rtl/>
        </w:rPr>
        <w:t xml:space="preserve">، </w:t>
      </w:r>
      <w:r w:rsidRPr="005675B2">
        <w:rPr>
          <w:rFonts w:hint="cs"/>
          <w:rtl/>
        </w:rPr>
        <w:t>حتى أنه قد يتخيل للباحث أن بعض</w:t>
      </w:r>
      <w:r w:rsidR="000636C2">
        <w:rPr>
          <w:rFonts w:hint="cs"/>
          <w:rtl/>
        </w:rPr>
        <w:t xml:space="preserve"> </w:t>
      </w:r>
      <w:r w:rsidRPr="005675B2">
        <w:rPr>
          <w:rFonts w:hint="cs"/>
          <w:rtl/>
        </w:rPr>
        <w:t>آراء الأمام الأشعري رد فعل نفسي لمذهب المعتزلة</w:t>
      </w:r>
      <w:r w:rsidR="000636C2">
        <w:rPr>
          <w:rFonts w:hint="cs"/>
          <w:rtl/>
        </w:rPr>
        <w:t xml:space="preserve">، </w:t>
      </w:r>
      <w:r w:rsidRPr="005675B2">
        <w:rPr>
          <w:rFonts w:hint="cs"/>
          <w:rtl/>
        </w:rPr>
        <w:t>فالأشاعرة لم يذهبوا إلى شيء مما ذهبوا إليه من الآراء من منطلق التوفيق، بل إنما ذهبوا إلى ما ذهبوا إليه لأن الدليل أداهم لذلك</w:t>
      </w:r>
      <w:r w:rsidR="000636C2">
        <w:rPr>
          <w:rFonts w:hint="cs"/>
          <w:rtl/>
        </w:rPr>
        <w:t>،</w:t>
      </w:r>
      <w:r w:rsidRPr="005675B2">
        <w:rPr>
          <w:rFonts w:hint="cs"/>
          <w:rtl/>
        </w:rPr>
        <w:t xml:space="preserve"> نعم لمن لا يوافقهم على ما أداهم إليه الدليل أن يناقشهم في ذلك</w:t>
      </w:r>
      <w:r w:rsidR="000636C2">
        <w:rPr>
          <w:rFonts w:hint="cs"/>
          <w:rtl/>
        </w:rPr>
        <w:t xml:space="preserve">، </w:t>
      </w:r>
      <w:r w:rsidRPr="005675B2">
        <w:rPr>
          <w:rFonts w:hint="cs"/>
          <w:rtl/>
        </w:rPr>
        <w:t>الخطأ 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فالكلام الذي يثبتونه لله تعالى هو معنى أزلي أبدي قائم بالنفس ليس بحرف ولا صوت</w:t>
      </w:r>
      <w:r w:rsidR="000636C2">
        <w:rPr>
          <w:rFonts w:hint="cs"/>
          <w:rtl/>
        </w:rPr>
        <w:t>)</w:t>
      </w:r>
      <w:r w:rsidRPr="005675B2">
        <w:rPr>
          <w:rFonts w:hint="cs"/>
          <w:rtl/>
        </w:rPr>
        <w:t xml:space="preserve"> أقول</w:t>
      </w:r>
      <w:r w:rsidR="000636C2">
        <w:rPr>
          <w:rFonts w:hint="cs"/>
          <w:rtl/>
        </w:rPr>
        <w:t>:</w:t>
      </w:r>
      <w:r w:rsidRPr="005675B2">
        <w:rPr>
          <w:rFonts w:hint="cs"/>
          <w:rtl/>
        </w:rPr>
        <w:t xml:space="preserve"> نعم قد أثبتوا الكلام بهذا المعنى لله تعالى، لكن الخطأ في كلام الدكتور في الحصر، فقد بينا أن الأشاعرة قد أثبتوا لله تعالى الكلام اللفظي أيضا على وجه الحقيقة</w:t>
      </w:r>
      <w:r w:rsidR="000636C2">
        <w:rPr>
          <w:rFonts w:hint="cs"/>
          <w:rtl/>
        </w:rPr>
        <w:t>،</w:t>
      </w:r>
      <w:r w:rsidRPr="005675B2">
        <w:rPr>
          <w:rFonts w:hint="cs"/>
          <w:rtl/>
        </w:rPr>
        <w:t xml:space="preserve"> لكنهم اختلفوا في قدمه وحدوثه</w:t>
      </w:r>
      <w:r w:rsidR="000636C2">
        <w:rPr>
          <w:rFonts w:hint="cs"/>
          <w:rtl/>
        </w:rPr>
        <w:t xml:space="preserve">، </w:t>
      </w:r>
      <w:r w:rsidRPr="005675B2">
        <w:rPr>
          <w:rFonts w:hint="cs"/>
          <w:rtl/>
        </w:rPr>
        <w:t>الخطأ 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w:t>
      </w:r>
      <w:r w:rsidR="000636C2">
        <w:rPr>
          <w:rFonts w:hint="cs"/>
          <w:rtl/>
        </w:rPr>
        <w:t>،</w:t>
      </w:r>
      <w:r w:rsidRPr="005675B2">
        <w:rPr>
          <w:rFonts w:hint="cs"/>
          <w:rtl/>
        </w:rPr>
        <w:t xml:space="preserve"> ولا يوصف بالخبر والإنشاء</w:t>
      </w:r>
      <w:r w:rsidR="000636C2">
        <w:rPr>
          <w:rFonts w:hint="cs"/>
          <w:rtl/>
        </w:rPr>
        <w:t>)</w:t>
      </w:r>
      <w:r w:rsidRPr="005675B2">
        <w:rPr>
          <w:rFonts w:hint="cs"/>
          <w:rtl/>
        </w:rPr>
        <w:t xml:space="preserve"> حيث إنهم اتفقوا على أن كلام الله تعالى يوصف بالخبر والإنشاء، فقال بعضهم</w:t>
      </w:r>
      <w:r w:rsidR="000636C2">
        <w:rPr>
          <w:rFonts w:hint="cs"/>
          <w:rtl/>
        </w:rPr>
        <w:t>:</w:t>
      </w:r>
      <w:r w:rsidRPr="005675B2">
        <w:rPr>
          <w:rFonts w:hint="cs"/>
          <w:rtl/>
        </w:rPr>
        <w:t xml:space="preserve"> يوصف بهما في الأزل، وقال آخرون</w:t>
      </w:r>
      <w:r w:rsidR="000636C2">
        <w:rPr>
          <w:rFonts w:hint="cs"/>
          <w:rtl/>
        </w:rPr>
        <w:t>:</w:t>
      </w:r>
      <w:r w:rsidRPr="005675B2">
        <w:rPr>
          <w:rFonts w:hint="cs"/>
          <w:rtl/>
        </w:rPr>
        <w:t xml:space="preserve"> يوصف بهما فيمالا يزال</w:t>
      </w:r>
      <w:r w:rsidR="000636C2">
        <w:rPr>
          <w:rFonts w:hint="cs"/>
          <w:rtl/>
        </w:rPr>
        <w:t xml:space="preserve">، </w:t>
      </w:r>
      <w:r w:rsidRPr="005675B2">
        <w:rPr>
          <w:rFonts w:hint="cs"/>
          <w:rtl/>
        </w:rPr>
        <w:t>الخطأ الخامس والسادس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 واستدلوا بالبيت المنسوب للأخطل النصراني</w:t>
      </w:r>
      <w:r w:rsidR="000636C2">
        <w:rPr>
          <w:rFonts w:hint="cs"/>
          <w:rtl/>
        </w:rPr>
        <w:t>:</w:t>
      </w:r>
      <w:r w:rsidRPr="005675B2">
        <w:rPr>
          <w:rFonts w:hint="cs"/>
          <w:rtl/>
        </w:rPr>
        <w:t xml:space="preserve"> إن الكلام لفي الفؤاد وإنما</w:t>
      </w:r>
      <w:r w:rsidR="000636C2">
        <w:rPr>
          <w:rFonts w:hint="cs"/>
          <w:rtl/>
        </w:rPr>
        <w:t>::</w:t>
      </w:r>
      <w:r w:rsidRPr="005675B2">
        <w:rPr>
          <w:rFonts w:hint="cs"/>
          <w:rtl/>
        </w:rPr>
        <w:t xml:space="preserve"> جعل اللسان على الفؤاد دليلا "</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أن سياق كلام الدكتور يوهم أن الأشاعرة استدلوا بكلام النصراني على أمر من أمور العقيدة</w:t>
      </w:r>
      <w:r w:rsidR="000636C2">
        <w:rPr>
          <w:rFonts w:hint="cs"/>
          <w:rtl/>
        </w:rPr>
        <w:t xml:space="preserve"> </w:t>
      </w:r>
      <w:r w:rsidRPr="005675B2">
        <w:rPr>
          <w:rFonts w:hint="cs"/>
          <w:rtl/>
        </w:rPr>
        <w:t>- معاذ الله -</w:t>
      </w:r>
      <w:r w:rsidR="000636C2">
        <w:rPr>
          <w:rFonts w:hint="cs"/>
          <w:rtl/>
        </w:rPr>
        <w:t>،</w:t>
      </w:r>
      <w:r w:rsidRPr="005675B2">
        <w:rPr>
          <w:rFonts w:hint="cs"/>
          <w:rtl/>
        </w:rPr>
        <w:t xml:space="preserve"> مع أن استدلالهم به إنما هو على مسألة لغوية، وهي أن الكلام يطلق في اللغة على الكلام النفسي، وإن كان مراده الإنكار على الإستدلال بكلام الأخطل على هذه المسألة اللغوية فهو ايضا خطأ، وليست نصرانية الأخطل بمانعة من الإحتجاج بكلامه و شعره في اللغة، فالمشركون من الشعراء واليهود والنصارى منهم يحتج بأشعارهم</w:t>
      </w:r>
      <w:r w:rsidR="000636C2">
        <w:rPr>
          <w:rFonts w:hint="cs"/>
          <w:rtl/>
        </w:rPr>
        <w:t>،</w:t>
      </w:r>
      <w:r w:rsidRPr="005675B2">
        <w:rPr>
          <w:rFonts w:hint="cs"/>
          <w:rtl/>
        </w:rPr>
        <w:t xml:space="preserve"> ولا زال أئمة اللغة يحتجون بها</w:t>
      </w:r>
      <w:r w:rsidR="000636C2">
        <w:rPr>
          <w:rFonts w:hint="cs"/>
          <w:rtl/>
        </w:rPr>
        <w:t>،</w:t>
      </w:r>
      <w:r w:rsidRPr="005675B2">
        <w:rPr>
          <w:rFonts w:hint="cs"/>
          <w:rtl/>
        </w:rPr>
        <w:t xml:space="preserve"> بل معظم احتجاجهم بكلام غير المسلمين من شعراء الجاهلية</w:t>
      </w:r>
      <w:r w:rsidR="000636C2">
        <w:rPr>
          <w:rFonts w:hint="cs"/>
          <w:rtl/>
        </w:rPr>
        <w:t>، (</w:t>
      </w:r>
      <w:r w:rsidRPr="005675B2">
        <w:rPr>
          <w:rFonts w:hint="cs"/>
          <w:rtl/>
        </w:rPr>
        <w:t>الثاني</w:t>
      </w:r>
      <w:r w:rsidR="000636C2">
        <w:rPr>
          <w:rFonts w:hint="cs"/>
          <w:rtl/>
        </w:rPr>
        <w:t>):</w:t>
      </w:r>
      <w:r w:rsidRPr="005675B2">
        <w:rPr>
          <w:rFonts w:hint="cs"/>
          <w:rtl/>
        </w:rPr>
        <w:t xml:space="preserve"> أن كلامه يوهم أن الأشاعرة لم يستدلوا على المسألة إلا ببيت الأخطل</w:t>
      </w:r>
      <w:r w:rsidR="000636C2">
        <w:rPr>
          <w:rFonts w:hint="cs"/>
          <w:rtl/>
        </w:rPr>
        <w:t>،</w:t>
      </w:r>
      <w:r w:rsidRPr="005675B2">
        <w:rPr>
          <w:rFonts w:hint="cs"/>
          <w:rtl/>
        </w:rPr>
        <w:t xml:space="preserve"> وقدعلمت انهم قد استدلوا عليها بالكتاب والسنة وكلام أقحاح العرب كما تقدم</w:t>
      </w:r>
      <w:r w:rsidR="000636C2">
        <w:rPr>
          <w:rFonts w:hint="cs"/>
          <w:rtl/>
        </w:rPr>
        <w:t xml:space="preserve">، </w:t>
      </w:r>
      <w:r w:rsidRPr="005675B2">
        <w:rPr>
          <w:rFonts w:hint="cs"/>
          <w:rtl/>
        </w:rPr>
        <w:t>الخطأ 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 أما الكتب المنزلة ذات الترتيب والنظم والحروف - ومنها القرآن - فليست هي كلام الله على الحقيقة بل هي عبارة عن كلام الله النفسي "</w:t>
      </w:r>
      <w:r w:rsidR="000636C2">
        <w:rPr>
          <w:rFonts w:hint="cs"/>
          <w:rtl/>
        </w:rPr>
        <w:t xml:space="preserve">، </w:t>
      </w:r>
      <w:r w:rsidRPr="005675B2">
        <w:rPr>
          <w:rFonts w:hint="cs"/>
          <w:rtl/>
        </w:rPr>
        <w:t>وقد قدمنا أن كلام الله وكذلك القرآن يطلق على وجه الحقيقة لا المجاز على المعنى النفسي القديم القائم بالله تعالى، وعلى النظم المنزل المعجز المفصل إلى السور والآيات، وتأييدا لما قلناه ننقل كلام سعد الدين التفتازاني فيه</w:t>
      </w:r>
      <w:r w:rsidR="000636C2">
        <w:rPr>
          <w:rFonts w:hint="cs"/>
          <w:rtl/>
        </w:rPr>
        <w:t>،</w:t>
      </w:r>
      <w:r w:rsidRPr="005675B2">
        <w:rPr>
          <w:rFonts w:hint="cs"/>
          <w:rtl/>
        </w:rPr>
        <w:t xml:space="preserve"> قال في "شرح العقائد النسفية"</w:t>
      </w:r>
      <w:r w:rsidR="000636C2">
        <w:rPr>
          <w:rFonts w:hint="cs"/>
          <w:rtl/>
        </w:rPr>
        <w:t>:</w:t>
      </w:r>
      <w:r w:rsidRPr="005675B2">
        <w:rPr>
          <w:rFonts w:hint="cs"/>
          <w:rtl/>
        </w:rPr>
        <w:t xml:space="preserve"> « فإن قيل</w:t>
      </w:r>
      <w:r w:rsidR="000636C2">
        <w:rPr>
          <w:rFonts w:hint="cs"/>
          <w:rtl/>
        </w:rPr>
        <w:t>:</w:t>
      </w:r>
      <w:r w:rsidRPr="005675B2">
        <w:rPr>
          <w:rFonts w:hint="cs"/>
          <w:rtl/>
        </w:rPr>
        <w:t xml:space="preserve"> لو كان كلام الله حقيقة في المعنى القديم مجازا في النظم المؤلف لصح نفيه، بأن يقال</w:t>
      </w:r>
      <w:r w:rsidR="000636C2">
        <w:rPr>
          <w:rFonts w:hint="cs"/>
          <w:rtl/>
        </w:rPr>
        <w:t>:</w:t>
      </w:r>
      <w:r w:rsidRPr="005675B2">
        <w:rPr>
          <w:rFonts w:hint="cs"/>
          <w:rtl/>
        </w:rPr>
        <w:t xml:space="preserve"> ليس النظم المنزل المعجز المفصل إلى السور والآيات كلام الله تعالى، والإجماع على خلافه، وأيضا المعجز المتحدى به هو كلام الله حقيقة، مع القطع بأن ذلك إنما يتصور في النظم المؤلف المفصل إلى السور، إذ لا معنى لمعارضة الصفة القديمة</w:t>
      </w:r>
      <w:r w:rsidR="000636C2">
        <w:rPr>
          <w:rFonts w:hint="cs"/>
          <w:rtl/>
        </w:rPr>
        <w:t xml:space="preserve">، </w:t>
      </w:r>
      <w:r w:rsidRPr="005675B2">
        <w:rPr>
          <w:rFonts w:hint="cs"/>
          <w:rtl/>
        </w:rPr>
        <w:t>قلنا</w:t>
      </w:r>
      <w:r w:rsidR="000636C2">
        <w:rPr>
          <w:rFonts w:hint="cs"/>
          <w:rtl/>
        </w:rPr>
        <w:t>:</w:t>
      </w:r>
      <w:r w:rsidRPr="005675B2">
        <w:rPr>
          <w:rFonts w:hint="cs"/>
          <w:rtl/>
        </w:rPr>
        <w:t xml:space="preserve"> التحقيق أن كلام الله تعالى اسم مشترك بين كلام الله النفسي القديم، ومعنى الإضافة </w:t>
      </w:r>
      <w:r w:rsidR="000636C2">
        <w:rPr>
          <w:rFonts w:hint="cs"/>
          <w:rtl/>
        </w:rPr>
        <w:t>(</w:t>
      </w:r>
      <w:r w:rsidRPr="005675B2">
        <w:rPr>
          <w:rFonts w:hint="cs"/>
          <w:rtl/>
        </w:rPr>
        <w:t>إلى الله</w:t>
      </w:r>
      <w:r w:rsidR="000636C2">
        <w:rPr>
          <w:rFonts w:hint="cs"/>
          <w:rtl/>
        </w:rPr>
        <w:t>)</w:t>
      </w:r>
      <w:r w:rsidRPr="005675B2">
        <w:rPr>
          <w:rFonts w:hint="cs"/>
          <w:rtl/>
        </w:rPr>
        <w:t xml:space="preserve"> كونه صفة له، وبين اللفظي الحادث المؤلف من السور والآيات، ومعنى الإضافة أنه مخلوق الله تعالى ليس من تأليفات المخلوقين، فلا يصح النفي أصلا، ولا يكون الإعجاز والتحدي إلا في كلام الله تعالى</w:t>
      </w:r>
      <w:r w:rsidR="000636C2">
        <w:rPr>
          <w:rFonts w:hint="cs"/>
          <w:rtl/>
        </w:rPr>
        <w:t>،</w:t>
      </w:r>
      <w:r w:rsidRPr="005675B2">
        <w:rPr>
          <w:rFonts w:hint="cs"/>
          <w:rtl/>
        </w:rPr>
        <w:t xml:space="preserve"> وما وقع في عبارة المشايخ من أنه مجاز في النظم فليس معناه أنه غير موضوع للنظم المؤلف، بل معناه أن الكلام في التحقيق وبالذات اسم للمعنى القائم بالنفس، وتسمية اللفظ به ووضعه لذلك إنما هو باعتبار دلالته على المعنى، فلا نزاع لهم في الوضع والتسمية » هذا كلام السعد</w:t>
      </w:r>
      <w:r w:rsidR="000636C2">
        <w:rPr>
          <w:rFonts w:hint="cs"/>
          <w:rtl/>
        </w:rPr>
        <w:t xml:space="preserve">، </w:t>
      </w:r>
      <w:r w:rsidRPr="005675B2">
        <w:rPr>
          <w:rFonts w:hint="cs"/>
          <w:rtl/>
        </w:rPr>
        <w:t>الخطأ 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 والمعنى النفسي شيئ واحد في ذاته لكن إن جاء التعبير عنه بالعبرانية فهو توراة وإن جاء بالسريانية فهو إنجيل، وإن جاء بالعربية فهو قرآن "</w:t>
      </w:r>
      <w:r w:rsidR="000636C2">
        <w:rPr>
          <w:rFonts w:hint="cs"/>
          <w:rtl/>
        </w:rPr>
        <w:t xml:space="preserve">، </w:t>
      </w:r>
      <w:r w:rsidRPr="005675B2">
        <w:rPr>
          <w:rFonts w:hint="cs"/>
          <w:rtl/>
        </w:rPr>
        <w:t>هذا صحيح لو كان نسبة هذا القول إلى جمهور الأشاعرة لا إلى كلهم، والخطأ في نسبته إلى الأشاعرة كلهم، وقد قدمنا أن فريقا من المحققين من الأشاعرة على أن كلام الله عبارة عن اللفظ والمعنى، وعلى هذا المذهب لا يكون الكلام أمرا واحدا، بل يكون أمورا متكثرة منه سرياني ومنه عبراني ومنه عربي، وكله قديم قائم بالله عند هذا الفريق</w:t>
      </w:r>
      <w:r w:rsidR="000636C2">
        <w:rPr>
          <w:rFonts w:hint="cs"/>
          <w:rtl/>
        </w:rPr>
        <w:t xml:space="preserve">، </w:t>
      </w:r>
      <w:r w:rsidRPr="005675B2">
        <w:rPr>
          <w:rFonts w:hint="cs"/>
          <w:rtl/>
        </w:rPr>
        <w:t>الخطأ التاسع والعاشر والحادى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{فهذه الكتب كلها مخلوقة، ووصفها بأنها كلام الله مجاز، لأنها تعبير عنه "</w:t>
      </w:r>
      <w:r w:rsidR="000636C2">
        <w:rPr>
          <w:rFonts w:hint="cs"/>
          <w:rtl/>
        </w:rPr>
        <w:t xml:space="preserve">، </w:t>
      </w:r>
      <w:r w:rsidRPr="005675B2">
        <w:rPr>
          <w:rFonts w:hint="cs"/>
          <w:rtl/>
        </w:rPr>
        <w:t>الخطأ الأول</w:t>
      </w:r>
      <w:r w:rsidR="000636C2">
        <w:rPr>
          <w:rFonts w:hint="cs"/>
          <w:rtl/>
        </w:rPr>
        <w:t>:</w:t>
      </w:r>
      <w:r w:rsidRPr="005675B2">
        <w:rPr>
          <w:rFonts w:hint="cs"/>
          <w:rtl/>
        </w:rPr>
        <w:t xml:space="preserve"> حكمه بأن هذه الكتب كلها مخلوقة عند الأشاعرة، الخطأ الثاني نسبة هذا القول إلى الأشاعرة كلهم، مع أن كتاب الله ككلام الله يطلق عند الأشاعرة على المعنى النفسي وعلى الألفاظ، وهو بالمعنى النفسي لا خلاف عندهم في أنه قديم، وقد اختلفوا في الكتاب بمعنى الألفاظ فالجمهور على حدوثه، وفريق منهم على أنها أيضا قديمة</w:t>
      </w:r>
      <w:r w:rsidR="000636C2">
        <w:rPr>
          <w:rFonts w:hint="cs"/>
          <w:rtl/>
        </w:rPr>
        <w:t xml:space="preserve">، </w:t>
      </w:r>
      <w:r w:rsidRPr="005675B2">
        <w:rPr>
          <w:rFonts w:hint="cs"/>
          <w:rtl/>
        </w:rPr>
        <w:t>الخطأ 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ووصفها بأنها كلام الله تعالى مجاز</w:t>
      </w:r>
      <w:r w:rsidR="000636C2">
        <w:rPr>
          <w:rFonts w:hint="cs"/>
          <w:rtl/>
        </w:rPr>
        <w:t>)</w:t>
      </w:r>
      <w:r w:rsidRPr="005675B2">
        <w:rPr>
          <w:rFonts w:hint="cs"/>
          <w:rtl/>
        </w:rPr>
        <w:t xml:space="preserve"> وقد تقدم بيانه آنفا</w:t>
      </w:r>
      <w:r w:rsidR="000636C2">
        <w:rPr>
          <w:rFonts w:hint="cs"/>
          <w:rtl/>
        </w:rPr>
        <w:t>،</w:t>
      </w:r>
      <w:r w:rsidRPr="005675B2">
        <w:rPr>
          <w:rFonts w:hint="cs"/>
          <w:rtl/>
        </w:rPr>
        <w:t xml:space="preserve"> الخطأ الثانى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 واختلفوا في القرآن خاصة فقال بعضهم</w:t>
      </w:r>
      <w:r w:rsidR="000636C2">
        <w:rPr>
          <w:rFonts w:hint="cs"/>
          <w:rtl/>
        </w:rPr>
        <w:t>:</w:t>
      </w:r>
      <w:r w:rsidRPr="005675B2">
        <w:rPr>
          <w:rFonts w:hint="cs"/>
          <w:rtl/>
        </w:rPr>
        <w:t xml:space="preserve"> إن الله خلقه أولا في اللوح المحفوظ، ثم أنزله في صحائف إلى سماء الدنيا فكان جبريل يقرأ هذا الكلام المخلوق، ويبلغه محمدا صلى الله تعالى عليه وآله وسلم، وقال آخرون</w:t>
      </w:r>
      <w:r w:rsidR="000636C2">
        <w:rPr>
          <w:rFonts w:hint="cs"/>
          <w:rtl/>
        </w:rPr>
        <w:t>:</w:t>
      </w:r>
      <w:r w:rsidRPr="005675B2">
        <w:rPr>
          <w:rFonts w:hint="cs"/>
          <w:rtl/>
        </w:rPr>
        <w:t xml:space="preserve"> إن الله أفهم جبريل كلامه النفسي، وأفهمه جبريل لمحمد صلى الله تعالى عليه وآله وسلم "</w:t>
      </w:r>
      <w:r w:rsidR="000636C2">
        <w:rPr>
          <w:rFonts w:hint="cs"/>
          <w:rtl/>
        </w:rPr>
        <w:t xml:space="preserve">، </w:t>
      </w:r>
      <w:r w:rsidRPr="005675B2">
        <w:rPr>
          <w:rFonts w:hint="cs"/>
          <w:rtl/>
        </w:rPr>
        <w:t>أقول</w:t>
      </w:r>
      <w:r w:rsidR="000636C2">
        <w:rPr>
          <w:rFonts w:hint="cs"/>
          <w:rtl/>
        </w:rPr>
        <w:t>:</w:t>
      </w:r>
      <w:r w:rsidRPr="005675B2">
        <w:rPr>
          <w:rFonts w:hint="cs"/>
          <w:rtl/>
        </w:rPr>
        <w:t xml:space="preserve"> ليس ههنا أي اختلاف، بل قول من قال</w:t>
      </w:r>
      <w:r w:rsidR="000636C2">
        <w:rPr>
          <w:rFonts w:hint="cs"/>
          <w:rtl/>
        </w:rPr>
        <w:t>:</w:t>
      </w:r>
      <w:r w:rsidRPr="005675B2">
        <w:rPr>
          <w:rFonts w:hint="cs"/>
          <w:rtl/>
        </w:rPr>
        <w:t xml:space="preserve"> </w:t>
      </w:r>
      <w:r w:rsidR="000636C2">
        <w:rPr>
          <w:rFonts w:hint="cs"/>
          <w:rtl/>
        </w:rPr>
        <w:t>(</w:t>
      </w:r>
      <w:r w:rsidRPr="005675B2">
        <w:rPr>
          <w:rFonts w:hint="cs"/>
          <w:rtl/>
        </w:rPr>
        <w:t>إن الله خلقه أولا في اللوح المحفوظ .. إلخ</w:t>
      </w:r>
      <w:r w:rsidR="000636C2">
        <w:rPr>
          <w:rFonts w:hint="cs"/>
          <w:rtl/>
        </w:rPr>
        <w:t>)</w:t>
      </w:r>
      <w:r w:rsidRPr="005675B2">
        <w:rPr>
          <w:rFonts w:hint="cs"/>
          <w:rtl/>
        </w:rPr>
        <w:t xml:space="preserve"> منزل على القرآن بمعنى الألفاظ والنظم المؤلف</w:t>
      </w:r>
      <w:r w:rsidR="000636C2">
        <w:rPr>
          <w:rFonts w:hint="cs"/>
          <w:rtl/>
        </w:rPr>
        <w:t>،</w:t>
      </w:r>
      <w:r w:rsidRPr="005675B2">
        <w:rPr>
          <w:rFonts w:hint="cs"/>
          <w:rtl/>
        </w:rPr>
        <w:t xml:space="preserve"> وهذا كلام جمهور الأشاعرة القائلون بأن الألفاظ حادثة، وليس قولا للقائلين منهم بأنها قديمة، وأما أن الله تعالى أفهم جبريل كلامه النفسي .. إلخ فهو كلام الأشاعرة كلهم، وهو منزل على المعنى النفسي، ولنا أن نقول</w:t>
      </w:r>
      <w:r w:rsidR="000636C2">
        <w:rPr>
          <w:rFonts w:hint="cs"/>
          <w:rtl/>
        </w:rPr>
        <w:t>:</w:t>
      </w:r>
      <w:r w:rsidRPr="005675B2">
        <w:rPr>
          <w:rFonts w:hint="cs"/>
          <w:rtl/>
        </w:rPr>
        <w:t xml:space="preserve"> إنه كلام جمهورهم أيضا إن كان المراد أفهمه الكلام النفسي فقط بدون الألفاظ، وهو المناسب بمقابلة هذا الكلام بسابقه، وهو أن الله خلقه أولا في اللوح المحفوظ .. إلخ فأين الإختلاف الذي قاله الدكتور</w:t>
      </w:r>
      <w:r w:rsidR="000636C2">
        <w:rPr>
          <w:rFonts w:hint="cs"/>
          <w:rtl/>
        </w:rPr>
        <w:t xml:space="preserve">؟! </w:t>
      </w:r>
      <w:r w:rsidRPr="005675B2">
        <w:rPr>
          <w:rFonts w:hint="cs"/>
          <w:rtl/>
        </w:rPr>
        <w:t>الخطأ الثالث عشر والرابع عشر والخامس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{فالنزول نزول إعلام وإفهام لا نزول حركة وانتقال لأنهم ينكرون علو الله "</w:t>
      </w:r>
      <w:r w:rsidR="000636C2">
        <w:rPr>
          <w:rFonts w:hint="cs"/>
          <w:rtl/>
        </w:rPr>
        <w:t xml:space="preserve">، </w:t>
      </w:r>
      <w:r w:rsidRPr="005675B2">
        <w:rPr>
          <w:rFonts w:hint="cs"/>
          <w:rtl/>
        </w:rPr>
        <w:t>الخطأ الأول</w:t>
      </w:r>
      <w:r w:rsidR="000636C2">
        <w:rPr>
          <w:rFonts w:hint="cs"/>
          <w:rtl/>
        </w:rPr>
        <w:t>:</w:t>
      </w:r>
      <w:r w:rsidRPr="005675B2">
        <w:rPr>
          <w:rFonts w:hint="cs"/>
          <w:rtl/>
        </w:rPr>
        <w:t xml:space="preserve"> نسبت الدكتور إلى الأشاعرة على وجه الإنكار، أن النزول للقرآن عندهم نزول إعلام وإفهام، لا نزول حركة وانتقال، فالنسبة صحيحة والخطأ هو الإنكار لذلك، وذلك لأن الحركة والانتقال من صفات الأجسام، ولا يتصور ذلك في كلام الله تعالى، ثم إن معنى الإنتقال المزايلة والانفصال، وهو لا يجوز على صفات الله، وهل زايل القرآن ذات الله تعالى وانفصل عنه حين نزل</w:t>
      </w:r>
      <w:r w:rsidR="000636C2">
        <w:rPr>
          <w:rFonts w:hint="cs"/>
          <w:rtl/>
        </w:rPr>
        <w:t>؟!</w:t>
      </w:r>
      <w:r w:rsidRPr="005675B2">
        <w:rPr>
          <w:rFonts w:hint="cs"/>
          <w:rtl/>
        </w:rPr>
        <w:t xml:space="preserve"> ومعنى هذا أن الله تعالى قد بقي بعد نزول القرآن بدون صفة الكلام</w:t>
      </w:r>
      <w:r w:rsidR="000636C2">
        <w:rPr>
          <w:rFonts w:hint="cs"/>
          <w:rtl/>
        </w:rPr>
        <w:t>،</w:t>
      </w:r>
      <w:r w:rsidRPr="005675B2">
        <w:rPr>
          <w:rFonts w:hint="cs"/>
          <w:rtl/>
        </w:rPr>
        <w:t xml:space="preserve"> سبحان ربك رب العزة عما يصفون</w:t>
      </w:r>
      <w:r w:rsidR="000636C2">
        <w:rPr>
          <w:rFonts w:hint="cs"/>
          <w:rtl/>
        </w:rPr>
        <w:t>،</w:t>
      </w:r>
      <w:r w:rsidRPr="005675B2">
        <w:rPr>
          <w:rFonts w:hint="cs"/>
          <w:rtl/>
        </w:rPr>
        <w:t xml:space="preserve"> وراجع ما نقلناه آنفا عن إمام الحرمين في معنى الإنزال</w:t>
      </w:r>
      <w:r w:rsidR="000636C2">
        <w:rPr>
          <w:rFonts w:hint="cs"/>
          <w:rtl/>
        </w:rPr>
        <w:t xml:space="preserve">، </w:t>
      </w:r>
      <w:r w:rsidRPr="005675B2">
        <w:rPr>
          <w:rFonts w:hint="cs"/>
          <w:rtl/>
        </w:rPr>
        <w:t>والخطأ الثاني</w:t>
      </w:r>
      <w:r w:rsidR="000636C2">
        <w:rPr>
          <w:rFonts w:hint="cs"/>
          <w:rtl/>
        </w:rPr>
        <w:t>:</w:t>
      </w:r>
      <w:r w:rsidRPr="005675B2">
        <w:rPr>
          <w:rFonts w:hint="cs"/>
          <w:rtl/>
        </w:rPr>
        <w:t xml:space="preserve"> قوله</w:t>
      </w:r>
      <w:r w:rsidR="000636C2">
        <w:rPr>
          <w:rFonts w:hint="cs"/>
          <w:rtl/>
        </w:rPr>
        <w:t>:(</w:t>
      </w:r>
      <w:r w:rsidRPr="005675B2">
        <w:rPr>
          <w:rFonts w:hint="cs"/>
          <w:rtl/>
        </w:rPr>
        <w:t>لأنهم ينكرون علو الله</w:t>
      </w:r>
      <w:r w:rsidR="000636C2">
        <w:rPr>
          <w:rFonts w:hint="cs"/>
          <w:rtl/>
        </w:rPr>
        <w:t>)</w:t>
      </w:r>
      <w:r w:rsidRPr="005675B2">
        <w:rPr>
          <w:rFonts w:hint="cs"/>
          <w:rtl/>
        </w:rPr>
        <w:t xml:space="preserve"> هم لا ينكرون علو الله تعالى، كيف، وهم لا يذكرون الله تعالى إلا ويقرنونه بقولهم</w:t>
      </w:r>
      <w:r w:rsidR="000636C2">
        <w:rPr>
          <w:rFonts w:hint="cs"/>
          <w:rtl/>
        </w:rPr>
        <w:t>:</w:t>
      </w:r>
      <w:r w:rsidRPr="005675B2">
        <w:rPr>
          <w:rFonts w:hint="cs"/>
          <w:rtl/>
        </w:rPr>
        <w:t xml:space="preserve"> </w:t>
      </w:r>
      <w:r w:rsidR="000636C2">
        <w:rPr>
          <w:rFonts w:hint="cs"/>
          <w:rtl/>
        </w:rPr>
        <w:t>(</w:t>
      </w:r>
      <w:r w:rsidRPr="005675B2">
        <w:rPr>
          <w:rFonts w:hint="cs"/>
          <w:rtl/>
        </w:rPr>
        <w:t>تعالى</w:t>
      </w:r>
      <w:r w:rsidR="000636C2">
        <w:rPr>
          <w:rFonts w:hint="cs"/>
          <w:rtl/>
        </w:rPr>
        <w:t>)</w:t>
      </w:r>
      <w:r w:rsidRPr="005675B2">
        <w:rPr>
          <w:rFonts w:hint="cs"/>
          <w:rtl/>
        </w:rPr>
        <w:t xml:space="preserve"> من العلو، والذي ينكرونه هو ثبوت الجهة لله، وهو الذي أنكره السلف والخلف</w:t>
      </w:r>
      <w:r w:rsidR="000636C2">
        <w:rPr>
          <w:rFonts w:hint="cs"/>
          <w:rtl/>
        </w:rPr>
        <w:t>،</w:t>
      </w:r>
      <w:r w:rsidRPr="005675B2">
        <w:rPr>
          <w:rFonts w:hint="cs"/>
          <w:rtl/>
        </w:rPr>
        <w:t xml:space="preserve"> والخطأ الثالث</w:t>
      </w:r>
      <w:r w:rsidR="000636C2">
        <w:rPr>
          <w:rFonts w:hint="cs"/>
          <w:rtl/>
        </w:rPr>
        <w:t>:</w:t>
      </w:r>
      <w:r w:rsidRPr="005675B2">
        <w:rPr>
          <w:rFonts w:hint="cs"/>
          <w:rtl/>
        </w:rPr>
        <w:t xml:space="preserve"> حكم الدكتور بأن قول الأشاعرة بأن نزول القرآن نزول إعلام وإفهام لا نزول حركة وانتقال، مبني على انكارهم العلو لله تعالى، وقد علمت بأنه ليس بمبني عليه، بل هو مبني على أن الحركة والانتقال لا يتصوران بالنسبة إلى الكلام، وعلى أن الانتقال لا يجوز على صفات الله تعالى</w:t>
      </w:r>
      <w:r w:rsidR="000636C2">
        <w:rPr>
          <w:rFonts w:hint="cs"/>
          <w:rtl/>
        </w:rPr>
        <w:t xml:space="preserve">، </w:t>
      </w:r>
      <w:r w:rsidRPr="005675B2">
        <w:rPr>
          <w:rFonts w:hint="cs"/>
          <w:rtl/>
        </w:rPr>
        <w:t>الخطأ السادس عشر</w:t>
      </w:r>
      <w:r w:rsidR="000636C2">
        <w:rPr>
          <w:rFonts w:hint="cs"/>
          <w:rtl/>
        </w:rPr>
        <w:t>:</w:t>
      </w:r>
      <w:r w:rsidRPr="005675B2">
        <w:rPr>
          <w:rFonts w:hint="cs"/>
          <w:rtl/>
        </w:rPr>
        <w:t xml:space="preserve"> قول الدكتور</w:t>
      </w:r>
      <w:r w:rsidR="000636C2">
        <w:rPr>
          <w:rFonts w:hint="cs"/>
          <w:rtl/>
        </w:rPr>
        <w:t>:</w:t>
      </w:r>
      <w:r w:rsidRPr="005675B2">
        <w:rPr>
          <w:rFonts w:hint="cs"/>
          <w:rtl/>
        </w:rPr>
        <w:t xml:space="preserve"> " ثم اختلفوا في الذي عبر عن الكلام النفسي بهذا اللفظ</w:t>
      </w:r>
      <w:r w:rsidR="000636C2">
        <w:rPr>
          <w:rFonts w:hint="cs"/>
          <w:rtl/>
        </w:rPr>
        <w:t>،</w:t>
      </w:r>
      <w:r w:rsidRPr="005675B2">
        <w:rPr>
          <w:rFonts w:hint="cs"/>
          <w:rtl/>
        </w:rPr>
        <w:t xml:space="preserve"> والنظم العربي من هو</w:t>
      </w:r>
      <w:r w:rsidR="000636C2">
        <w:rPr>
          <w:rFonts w:hint="cs"/>
          <w:rtl/>
        </w:rPr>
        <w:t>؟،</w:t>
      </w:r>
      <w:r w:rsidRPr="005675B2">
        <w:rPr>
          <w:rFonts w:hint="cs"/>
          <w:rtl/>
        </w:rPr>
        <w:t xml:space="preserve"> فقال بعضهم</w:t>
      </w:r>
      <w:r w:rsidR="000636C2">
        <w:rPr>
          <w:rFonts w:hint="cs"/>
          <w:rtl/>
        </w:rPr>
        <w:t>:</w:t>
      </w:r>
      <w:r w:rsidRPr="005675B2">
        <w:rPr>
          <w:rFonts w:hint="cs"/>
          <w:rtl/>
        </w:rPr>
        <w:t xml:space="preserve"> هو جبريل، وقال بعضهم</w:t>
      </w:r>
      <w:r w:rsidR="000636C2">
        <w:rPr>
          <w:rFonts w:hint="cs"/>
          <w:rtl/>
        </w:rPr>
        <w:t>:</w:t>
      </w:r>
      <w:r w:rsidRPr="005675B2">
        <w:rPr>
          <w:rFonts w:hint="cs"/>
          <w:rtl/>
        </w:rPr>
        <w:t xml:space="preserve"> بل هو محمد صلى الله تعالى وآله وسلم "</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قدمنا أن مذهب الأشاعرة أن القرآن معناه ولفظه كلام الله على الحقيقة لا المجاز، وأنهم قد اختلفوا في القرآن بمعنى اللفظ المعجز المنزل هل هو قديم قائم بالله كالمعنى، أو أنه حادث تولى الله تخليقه وتأليفه بدون كسب لأحد في هذا التأليف، هذا مذهب جمهورهم، والأول مذهب فريق منهم، هذا هو مذهب الأشاعرة فمن أين أتى هذان القولان اللذان نسبهما الدكتور إلى الأشاعرة كلهم</w:t>
      </w:r>
      <w:r w:rsidR="000636C2">
        <w:rPr>
          <w:rFonts w:hint="cs"/>
          <w:rtl/>
        </w:rPr>
        <w:t>؟</w:t>
      </w:r>
      <w:r w:rsidRPr="005675B2">
        <w:rPr>
          <w:rFonts w:hint="cs"/>
          <w:rtl/>
        </w:rPr>
        <w:t xml:space="preserve"> نعم قد نسبهما إلى بعض الأشاعرة ابن تيمية</w:t>
      </w:r>
      <w:r w:rsidR="000636C2">
        <w:rPr>
          <w:rFonts w:hint="cs"/>
          <w:rtl/>
        </w:rPr>
        <w:t>!</w:t>
      </w:r>
      <w:r w:rsidRPr="005675B2">
        <w:rPr>
          <w:rFonts w:hint="cs"/>
          <w:rtl/>
        </w:rPr>
        <w:t xml:space="preserve"> </w:t>
      </w:r>
      <w:r w:rsidR="000636C2">
        <w:rPr>
          <w:rFonts w:hint="cs"/>
          <w:rtl/>
        </w:rPr>
        <w:t>(</w:t>
      </w:r>
      <w:r w:rsidRPr="005675B2">
        <w:rPr>
          <w:rFonts w:hint="cs"/>
          <w:rtl/>
        </w:rPr>
        <w:t>كما نقله الدكتور</w:t>
      </w:r>
      <w:r w:rsidR="000636C2">
        <w:rPr>
          <w:rFonts w:hint="cs"/>
          <w:rtl/>
        </w:rPr>
        <w:t>)!</w:t>
      </w:r>
      <w:r w:rsidRPr="005675B2">
        <w:rPr>
          <w:rFonts w:hint="cs"/>
          <w:rtl/>
        </w:rPr>
        <w:t xml:space="preserve"> فقلده الدكتور، وهلا قلده تقليدا صحيحا</w:t>
      </w:r>
      <w:r w:rsidR="000636C2">
        <w:rPr>
          <w:rFonts w:hint="cs"/>
          <w:rtl/>
        </w:rPr>
        <w:t>!</w:t>
      </w:r>
      <w:r w:rsidRPr="005675B2">
        <w:rPr>
          <w:rFonts w:hint="cs"/>
          <w:rtl/>
        </w:rPr>
        <w:t xml:space="preserve"> وليت شعرى من هم القائلون بهذين القولين المخالفين لما اطبقت عليه كتب الأشاعرة، فهلا ذكرهم ابن تيمية بأسمائهم</w:t>
      </w:r>
      <w:r w:rsidR="000636C2">
        <w:rPr>
          <w:rFonts w:hint="cs"/>
          <w:rtl/>
        </w:rPr>
        <w:t>!</w:t>
      </w:r>
      <w:r w:rsidRPr="005675B2">
        <w:rPr>
          <w:rFonts w:hint="cs"/>
          <w:rtl/>
        </w:rPr>
        <w:t xml:space="preserve"> نعم قد نقل هذين القولين الباجوري في شرح جوهرة التوحيد بصيغة التمريض بدون أن يذكر أسماء القائلين، ولا أدري كيف يقول هذا مسلم</w:t>
      </w:r>
      <w:r w:rsidR="000636C2">
        <w:rPr>
          <w:rFonts w:hint="cs"/>
          <w:rtl/>
        </w:rPr>
        <w:t>!</w:t>
      </w:r>
      <w:r w:rsidRPr="005675B2">
        <w:rPr>
          <w:rFonts w:hint="cs"/>
          <w:rtl/>
        </w:rPr>
        <w:t xml:space="preserve"> فالمؤكد أن هذين القولين قولان مدسوسان على الأشاعرة كما قاله الزرقاني في "مناهل العرفان"</w:t>
      </w:r>
      <w:r w:rsidR="000636C2">
        <w:rPr>
          <w:rFonts w:hint="cs"/>
          <w:rtl/>
        </w:rPr>
        <w:t xml:space="preserve">، </w:t>
      </w:r>
      <w:r w:rsidRPr="005675B2">
        <w:rPr>
          <w:rFonts w:hint="cs"/>
          <w:rtl/>
        </w:rPr>
        <w:t>وبعد هذا هل يصح نسبة هذين القولين إلى الأشاعرة، وجعلهما مذهبين لهم كلهم أو بعضهم</w:t>
      </w:r>
      <w:r w:rsidR="000636C2">
        <w:rPr>
          <w:rFonts w:hint="cs"/>
          <w:rtl/>
        </w:rPr>
        <w:t>؟!</w:t>
      </w:r>
      <w:r w:rsidRPr="005675B2">
        <w:rPr>
          <w:rFonts w:hint="cs"/>
          <w:rtl/>
        </w:rPr>
        <w:t xml:space="preserve"> سبحانك اللهم هذا بهتان عظيم يعظكم الله أن تعودوا لمثله أبدا إن كنتم مؤمنين</w:t>
      </w:r>
      <w:r w:rsidR="000636C2">
        <w:rPr>
          <w:rFonts w:hint="cs"/>
          <w:rtl/>
        </w:rPr>
        <w:t xml:space="preserve">، </w:t>
      </w:r>
      <w:r w:rsidRPr="005675B2">
        <w:rPr>
          <w:rFonts w:hint="cs"/>
          <w:rtl/>
        </w:rPr>
        <w:t>الخطأ السابع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 واستدلوا بمثل قوله تعالى</w:t>
      </w:r>
      <w:r w:rsidR="000636C2">
        <w:rPr>
          <w:rFonts w:hint="cs"/>
          <w:rtl/>
        </w:rPr>
        <w:t>:</w:t>
      </w:r>
      <w:r w:rsidRPr="005675B2">
        <w:rPr>
          <w:rFonts w:hint="cs"/>
          <w:rtl/>
        </w:rPr>
        <w:t xml:space="preserve">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في سورتي الحاقة والانشقاق حيث أضافه في الأولى إلى محمد صلى الله تعالى عليه وآله وسلم، وفي الأخرى إلى جبريل بأن اللفظ لأحد الرسولين </w:t>
      </w:r>
      <w:r w:rsidR="000636C2">
        <w:rPr>
          <w:rFonts w:hint="cs"/>
          <w:rtl/>
        </w:rPr>
        <w:t>(</w:t>
      </w:r>
      <w:r w:rsidRPr="005675B2">
        <w:rPr>
          <w:rFonts w:hint="cs"/>
          <w:rtl/>
        </w:rPr>
        <w:t>جبريل أو محمد</w:t>
      </w:r>
      <w:r w:rsidR="000636C2">
        <w:rPr>
          <w:rFonts w:hint="cs"/>
          <w:rtl/>
        </w:rPr>
        <w:t>)</w:t>
      </w:r>
      <w:r w:rsidRPr="005675B2">
        <w:rPr>
          <w:rFonts w:hint="cs"/>
          <w:rtl/>
        </w:rPr>
        <w:t xml:space="preserve"> صلى الله تعالى عليه وآله وسلم "</w:t>
      </w:r>
      <w:r w:rsidR="000636C2">
        <w:rPr>
          <w:rFonts w:hint="cs"/>
          <w:rtl/>
        </w:rPr>
        <w:t xml:space="preserve">، </w:t>
      </w:r>
      <w:r w:rsidRPr="005675B2">
        <w:rPr>
          <w:rFonts w:hint="cs"/>
          <w:rtl/>
        </w:rPr>
        <w:t>فإذا لم يكن الأشاعرة قائلين بشيئ من هذين القولين، بل قائلين بضدهما فكيف يستدلون على صحتهما بكتاب الله تعالى</w:t>
      </w:r>
      <w:r w:rsidR="000636C2">
        <w:rPr>
          <w:rFonts w:hint="cs"/>
          <w:rtl/>
        </w:rPr>
        <w:t xml:space="preserve">؟! </w:t>
      </w:r>
      <w:r w:rsidRPr="005675B2">
        <w:rPr>
          <w:rFonts w:hint="cs"/>
          <w:rtl/>
        </w:rPr>
        <w:t>الخطأ الثامن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"وقد صرح بالأول الباقلاني، وتابعه الجويني "</w:t>
      </w:r>
      <w:r w:rsidR="000636C2">
        <w:rPr>
          <w:rFonts w:hint="cs"/>
          <w:rtl/>
        </w:rPr>
        <w:t xml:space="preserve">، </w:t>
      </w:r>
      <w:r w:rsidRPr="005675B2">
        <w:rPr>
          <w:rFonts w:hint="cs"/>
          <w:rtl/>
        </w:rPr>
        <w:t>يقصد بالأول أن لفظ القرآن من انشاء جبريل وتأليفه لا من الله تعالى، فادعى الدكتور أن الباقلاني والجويني صرحا بذلك</w:t>
      </w:r>
      <w:r w:rsidR="000636C2">
        <w:rPr>
          <w:rFonts w:hint="cs"/>
          <w:rtl/>
        </w:rPr>
        <w:t>،</w:t>
      </w:r>
      <w:r w:rsidRPr="005675B2">
        <w:rPr>
          <w:rFonts w:hint="cs"/>
          <w:rtl/>
        </w:rPr>
        <w:t xml:space="preserve"> وهذا الدعوى كسابقاتها غير صحيحة</w:t>
      </w:r>
      <w:r w:rsidR="000636C2">
        <w:rPr>
          <w:rFonts w:hint="cs"/>
          <w:rtl/>
        </w:rPr>
        <w:t>!</w:t>
      </w:r>
      <w:r w:rsidRPr="005675B2">
        <w:rPr>
          <w:rFonts w:hint="cs"/>
          <w:rtl/>
        </w:rPr>
        <w:t xml:space="preserve"> وننقل كلام هذين الإمامين كي يتحقق القارئ من ذلك</w:t>
      </w:r>
      <w:r w:rsidR="000636C2">
        <w:rPr>
          <w:rFonts w:hint="cs"/>
          <w:rtl/>
        </w:rPr>
        <w:t xml:space="preserve">، </w:t>
      </w:r>
      <w:r w:rsidRPr="005675B2">
        <w:rPr>
          <w:rFonts w:hint="cs"/>
          <w:rtl/>
        </w:rPr>
        <w:t>أما الجويني فقد نقلنا عنه آنفا أنه قال في بيان معنى انزال كلام الله تعالى</w:t>
      </w:r>
      <w:r w:rsidR="000636C2">
        <w:rPr>
          <w:rFonts w:hint="cs"/>
          <w:rtl/>
        </w:rPr>
        <w:t>:</w:t>
      </w:r>
      <w:r w:rsidRPr="005675B2">
        <w:rPr>
          <w:rFonts w:hint="cs"/>
          <w:rtl/>
        </w:rPr>
        <w:t xml:space="preserve"> </w:t>
      </w:r>
      <w:r w:rsidR="000636C2">
        <w:rPr>
          <w:rFonts w:hint="cs"/>
          <w:rtl/>
        </w:rPr>
        <w:t>(</w:t>
      </w:r>
      <w:r w:rsidRPr="005675B2">
        <w:rPr>
          <w:rFonts w:hint="cs"/>
          <w:rtl/>
        </w:rPr>
        <w:t>كلام الله منزل على الأنبياء .. فالمعنِيُّ بالإنزال أن جبريل</w:t>
      </w:r>
      <w:r w:rsidR="000636C2">
        <w:rPr>
          <w:rFonts w:hint="cs"/>
          <w:rtl/>
        </w:rPr>
        <w:t xml:space="preserve"> </w:t>
      </w:r>
      <w:r w:rsidRPr="005675B2">
        <w:rPr>
          <w:rFonts w:hint="cs"/>
          <w:rtl/>
        </w:rPr>
        <w:t>- صلوات الله عليه - أدرك كلام الله تعالى وهو في مقامه فوق سبع سموات، ثم نزل إلى الأرض، فأفهمه الرسول صلى الله تعالى عليه وآله وسلم ما فهمه عند سدرة المنتهى</w:t>
      </w:r>
      <w:r w:rsidR="000636C2">
        <w:rPr>
          <w:rFonts w:hint="cs"/>
          <w:rtl/>
        </w:rPr>
        <w:t>)</w:t>
      </w:r>
      <w:r w:rsidRPr="005675B2">
        <w:rPr>
          <w:rFonts w:hint="cs"/>
          <w:rtl/>
        </w:rPr>
        <w:t xml:space="preserve"> فالجويني يقول</w:t>
      </w:r>
      <w:r w:rsidR="000636C2">
        <w:rPr>
          <w:rFonts w:hint="cs"/>
          <w:rtl/>
        </w:rPr>
        <w:t>:</w:t>
      </w:r>
      <w:r w:rsidRPr="005675B2">
        <w:rPr>
          <w:rFonts w:hint="cs"/>
          <w:rtl/>
        </w:rPr>
        <w:t xml:space="preserve"> </w:t>
      </w:r>
      <w:r w:rsidR="000636C2">
        <w:rPr>
          <w:rFonts w:hint="cs"/>
          <w:rtl/>
        </w:rPr>
        <w:t>(</w:t>
      </w:r>
      <w:r w:rsidRPr="005675B2">
        <w:rPr>
          <w:rFonts w:hint="cs"/>
          <w:rtl/>
        </w:rPr>
        <w:t>إن جبريل أدرك كلام الله</w:t>
      </w:r>
      <w:r w:rsidR="000636C2">
        <w:rPr>
          <w:rFonts w:hint="cs"/>
          <w:rtl/>
        </w:rPr>
        <w:t>)</w:t>
      </w:r>
      <w:r w:rsidRPr="005675B2">
        <w:rPr>
          <w:rFonts w:hint="cs"/>
          <w:rtl/>
        </w:rPr>
        <w:t xml:space="preserve"> وكلام الله عند الاطلاق يراد به اللفظ والمعنى، ثم يقول</w:t>
      </w:r>
      <w:r w:rsidR="000636C2">
        <w:rPr>
          <w:rFonts w:hint="cs"/>
          <w:rtl/>
        </w:rPr>
        <w:t>:</w:t>
      </w:r>
      <w:r w:rsidRPr="005675B2">
        <w:rPr>
          <w:rFonts w:hint="cs"/>
          <w:rtl/>
        </w:rPr>
        <w:t xml:space="preserve"> </w:t>
      </w:r>
      <w:r w:rsidR="000636C2">
        <w:rPr>
          <w:rFonts w:hint="cs"/>
          <w:rtl/>
        </w:rPr>
        <w:t>(</w:t>
      </w:r>
      <w:r w:rsidRPr="005675B2">
        <w:rPr>
          <w:rFonts w:hint="cs"/>
          <w:rtl/>
        </w:rPr>
        <w:t>فأفهم الرسول ما فهمه</w:t>
      </w:r>
      <w:r w:rsidR="000636C2">
        <w:rPr>
          <w:rFonts w:hint="cs"/>
          <w:rtl/>
        </w:rPr>
        <w:t>)</w:t>
      </w:r>
      <w:r w:rsidRPr="005675B2">
        <w:rPr>
          <w:rFonts w:hint="cs"/>
          <w:rtl/>
        </w:rPr>
        <w:t xml:space="preserve"> ويعنى به أن الذي أفهمه جبريل الرسول هو ما فهمه نفسه وعينه بدون إضافة إليه أو نقص عنه، ولم يقل الجويني</w:t>
      </w:r>
      <w:r w:rsidR="000636C2">
        <w:rPr>
          <w:rFonts w:hint="cs"/>
          <w:rtl/>
        </w:rPr>
        <w:t>:</w:t>
      </w:r>
      <w:r w:rsidRPr="005675B2">
        <w:rPr>
          <w:rFonts w:hint="cs"/>
          <w:rtl/>
        </w:rPr>
        <w:t xml:space="preserve"> أفهم الرسول المعنى باللفظ العربي الذي ألفه هو ورتبه</w:t>
      </w:r>
      <w:r w:rsidR="000636C2">
        <w:rPr>
          <w:rFonts w:hint="cs"/>
          <w:rtl/>
        </w:rPr>
        <w:t>،</w:t>
      </w:r>
      <w:r w:rsidRPr="005675B2">
        <w:rPr>
          <w:rFonts w:hint="cs"/>
          <w:rtl/>
        </w:rPr>
        <w:t xml:space="preserve"> وأما الباقلاني فقد قال</w:t>
      </w:r>
      <w:r w:rsidR="000636C2">
        <w:rPr>
          <w:rFonts w:hint="cs"/>
          <w:rtl/>
        </w:rPr>
        <w:t>:</w:t>
      </w:r>
      <w:r w:rsidRPr="005675B2">
        <w:rPr>
          <w:rFonts w:hint="cs"/>
          <w:rtl/>
        </w:rPr>
        <w:t xml:space="preserve"> </w:t>
      </w:r>
      <w:r w:rsidR="000636C2">
        <w:rPr>
          <w:rFonts w:hint="cs"/>
          <w:rtl/>
        </w:rPr>
        <w:t>(</w:t>
      </w:r>
      <w:r w:rsidRPr="005675B2">
        <w:rPr>
          <w:rFonts w:hint="cs"/>
          <w:rtl/>
        </w:rPr>
        <w:t>فالمنزِل هو الله .. والمنزَل على الوجه الذي بيناه من كونه نزول إعلام وإفهام لا نزول حركة وانتقال، كلام الله الأزلي القائم بذاته .. والمنزل عليه قلب النبي صلى الله تعالى عليه وآله وسلم .. والمنزل به هو اللغة العربية التى تلا بها جبريل ونحن نتلوا بها إلى يوم القيامة ..</w:t>
      </w:r>
      <w:r w:rsidR="000636C2">
        <w:rPr>
          <w:rFonts w:hint="cs"/>
          <w:rtl/>
        </w:rPr>
        <w:t>،</w:t>
      </w:r>
      <w:r w:rsidRPr="005675B2">
        <w:rPr>
          <w:rFonts w:hint="cs"/>
          <w:rtl/>
        </w:rPr>
        <w:t xml:space="preserve"> والنازل على الحقيقة المنتقل من قطر إلى قطر قول جبريل عليه السلام يدل على هذا قوله تعالى</w:t>
      </w:r>
      <w:r w:rsidR="000636C2">
        <w:rPr>
          <w:rFonts w:hint="cs"/>
          <w:rtl/>
        </w:rPr>
        <w:t>:</w:t>
      </w:r>
      <w:r w:rsidRPr="005675B2">
        <w:rPr>
          <w:rFonts w:hint="cs"/>
          <w:rtl/>
        </w:rPr>
        <w:t xml:space="preserve">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وما هو بقول شاعر قليلا ما تؤمنون</w:t>
      </w:r>
      <w:r w:rsidR="000636C2">
        <w:rPr>
          <w:rFonts w:hint="cs"/>
          <w:rtl/>
        </w:rPr>
        <w:t>،</w:t>
      </w:r>
      <w:r w:rsidRPr="005675B2">
        <w:rPr>
          <w:rFonts w:hint="cs"/>
          <w:rtl/>
        </w:rPr>
        <w:t xml:space="preserve"> ولا بقول كاهن قليلا ما تذكرون</w:t>
      </w:r>
      <w:r w:rsidR="000636C2">
        <w:rPr>
          <w:rFonts w:hint="cs"/>
          <w:rtl/>
        </w:rPr>
        <w:t>،</w:t>
      </w:r>
      <w:r w:rsidRPr="005675B2">
        <w:rPr>
          <w:rFonts w:hint="cs"/>
          <w:rtl/>
        </w:rPr>
        <w:t xml:space="preserve"> تنزيل من رب العالمين</w:t>
      </w:r>
      <w:r w:rsidR="000636C2">
        <w:rPr>
          <w:rFonts w:hint="cs"/>
          <w:rtl/>
        </w:rPr>
        <w:t>)</w:t>
      </w:r>
      <w:r w:rsidRPr="005675B2">
        <w:rPr>
          <w:rFonts w:hint="cs"/>
          <w:rtl/>
        </w:rPr>
        <w:t xml:space="preserve"> .. فحصل من هذا أن الله تعالى علم جبريل عليه السلام القرآن، .. وعلمه الله النظم العربي الذي هو قرائته، وعلم هو القراءة نبينا صلى الله تعالى عليه وآله وسلم، وعلم النبي صلى الله عليه وآله وسلم أصحابه</w:t>
      </w:r>
      <w:r w:rsidR="000636C2">
        <w:rPr>
          <w:rFonts w:hint="cs"/>
          <w:rtl/>
        </w:rPr>
        <w:t>)</w:t>
      </w:r>
      <w:r w:rsidRPr="005675B2">
        <w:rPr>
          <w:rFonts w:hint="cs"/>
          <w:rtl/>
        </w:rPr>
        <w:t>،</w:t>
      </w:r>
      <w:r w:rsidR="000636C2">
        <w:rPr>
          <w:rFonts w:hint="cs"/>
          <w:rtl/>
        </w:rPr>
        <w:t>[</w:t>
      </w:r>
      <w:r w:rsidRPr="005675B2">
        <w:rPr>
          <w:rFonts w:hint="cs"/>
          <w:sz w:val="24"/>
          <w:szCs w:val="24"/>
          <w:rtl/>
        </w:rPr>
        <w:t>الإنصاف 85-86</w:t>
      </w:r>
      <w:r w:rsidRPr="005675B2">
        <w:rPr>
          <w:rFonts w:hint="cs"/>
          <w:rtl/>
        </w:rPr>
        <w:t>] فأنت ترى أن الباقلاني يصرح بأن الله تعالى علم جبريل القرآن وعلمه النظم العربي الذي هو قراءته، وعبر بالقراءة عن المقروء، لأن اللفظ العربي مقروء وليس نفس القراءة، فاللفظ العربي على هذا شيئ علمه الله تعالى جبريل، وليس شيئا اخترعه جبريل ونظمه ورتبه هو</w:t>
      </w:r>
      <w:r w:rsidR="000636C2">
        <w:rPr>
          <w:rFonts w:hint="cs"/>
          <w:rtl/>
        </w:rPr>
        <w:t>،</w:t>
      </w:r>
      <w:r w:rsidRPr="005675B2">
        <w:rPr>
          <w:rFonts w:hint="cs"/>
          <w:rtl/>
        </w:rPr>
        <w:t xml:space="preserve"> نعم يأتي الاشكال في قول الباقلاني</w:t>
      </w:r>
      <w:r w:rsidR="000636C2">
        <w:rPr>
          <w:rFonts w:hint="cs"/>
          <w:rtl/>
        </w:rPr>
        <w:t>:</w:t>
      </w:r>
      <w:r w:rsidRPr="005675B2">
        <w:rPr>
          <w:rFonts w:hint="cs"/>
          <w:rtl/>
        </w:rPr>
        <w:t xml:space="preserve"> </w:t>
      </w:r>
      <w:r w:rsidR="000636C2">
        <w:rPr>
          <w:rFonts w:hint="cs"/>
          <w:rtl/>
        </w:rPr>
        <w:t>(</w:t>
      </w:r>
      <w:r w:rsidRPr="005675B2">
        <w:rPr>
          <w:rFonts w:hint="cs"/>
          <w:rtl/>
        </w:rPr>
        <w:t>والنازل على الحقيقة المنتقل من قطر إلى قطر قول جبريل</w:t>
      </w:r>
      <w:r w:rsidR="000636C2">
        <w:rPr>
          <w:rFonts w:hint="cs"/>
          <w:rtl/>
        </w:rPr>
        <w:t>)</w:t>
      </w:r>
      <w:r w:rsidRPr="005675B2">
        <w:rPr>
          <w:rFonts w:hint="cs"/>
          <w:rtl/>
        </w:rPr>
        <w:t xml:space="preserve"> ومراده القول الذي يحمله جبريل، وعبر بهذا التعبير موافقة للفظ الآية </w:t>
      </w:r>
      <w:r w:rsidR="000636C2">
        <w:rPr>
          <w:rFonts w:hint="cs"/>
          <w:rtl/>
        </w:rPr>
        <w:t>(</w:t>
      </w:r>
      <w:r w:rsidRPr="005675B2">
        <w:rPr>
          <w:rFonts w:hint="cs"/>
          <w:rtl/>
        </w:rPr>
        <w:t>إنه لقول رسول كريم</w:t>
      </w:r>
      <w:r w:rsidR="000636C2">
        <w:rPr>
          <w:rFonts w:hint="cs"/>
          <w:rtl/>
        </w:rPr>
        <w:t>)</w:t>
      </w:r>
      <w:r w:rsidRPr="005675B2">
        <w:rPr>
          <w:rFonts w:hint="cs"/>
          <w:rtl/>
        </w:rPr>
        <w:t xml:space="preserve"> كما أن المراد بالآية</w:t>
      </w:r>
      <w:r w:rsidR="000636C2">
        <w:rPr>
          <w:rFonts w:hint="cs"/>
          <w:rtl/>
        </w:rPr>
        <w:t>:</w:t>
      </w:r>
      <w:r w:rsidRPr="005675B2">
        <w:rPr>
          <w:rFonts w:hint="cs"/>
          <w:rtl/>
        </w:rPr>
        <w:t xml:space="preserve"> إنه لقول يحمله وينزل به رسول كريم</w:t>
      </w:r>
      <w:r w:rsidR="000636C2">
        <w:rPr>
          <w:rFonts w:hint="cs"/>
          <w:rtl/>
        </w:rPr>
        <w:t>،</w:t>
      </w:r>
      <w:r w:rsidRPr="005675B2">
        <w:rPr>
          <w:rFonts w:hint="cs"/>
          <w:rtl/>
        </w:rPr>
        <w:t xml:space="preserve"> الخطأ التاسع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 وعلى القول بأن القرآن الذي نقرؤه في المصاحف مخلوق سار الأشاعرة المعاصرون، وصرحوا به، فكشفوا بذلك ما أراد شارح الجوهرة أن يستره حين قال</w:t>
      </w:r>
      <w:r w:rsidR="000636C2">
        <w:rPr>
          <w:rFonts w:hint="cs"/>
          <w:rtl/>
        </w:rPr>
        <w:t>:</w:t>
      </w:r>
      <w:r w:rsidRPr="005675B2">
        <w:rPr>
          <w:rFonts w:hint="cs"/>
          <w:rtl/>
        </w:rPr>
        <w:t xml:space="preserve"> </w:t>
      </w:r>
      <w:r w:rsidR="000636C2">
        <w:rPr>
          <w:rFonts w:hint="cs"/>
          <w:rtl/>
        </w:rPr>
        <w:t>(</w:t>
      </w:r>
      <w:r w:rsidRPr="005675B2">
        <w:rPr>
          <w:rFonts w:hint="cs"/>
          <w:rtl/>
        </w:rPr>
        <w:t>يمتنع أن يقال</w:t>
      </w:r>
      <w:r w:rsidR="000636C2">
        <w:rPr>
          <w:rFonts w:hint="cs"/>
          <w:rtl/>
        </w:rPr>
        <w:t>:</w:t>
      </w:r>
      <w:r w:rsidRPr="005675B2">
        <w:rPr>
          <w:rFonts w:hint="cs"/>
          <w:rtl/>
        </w:rPr>
        <w:t xml:space="preserve"> إن القرآن مخلوق إلا في مقام التعليم "</w:t>
      </w:r>
      <w:r w:rsidR="000636C2">
        <w:rPr>
          <w:rFonts w:hint="cs"/>
          <w:rtl/>
        </w:rPr>
        <w:t>،</w:t>
      </w:r>
      <w:r w:rsidRPr="005675B2">
        <w:rPr>
          <w:rFonts w:hint="cs"/>
          <w:rtl/>
        </w:rPr>
        <w:t xml:space="preserve"> محل الخطأ في هذا الكلام قوله</w:t>
      </w:r>
      <w:r w:rsidR="000636C2">
        <w:rPr>
          <w:rFonts w:hint="cs"/>
          <w:rtl/>
        </w:rPr>
        <w:t>:</w:t>
      </w:r>
      <w:r w:rsidRPr="005675B2">
        <w:rPr>
          <w:rFonts w:hint="cs"/>
          <w:rtl/>
        </w:rPr>
        <w:t xml:space="preserve"> </w:t>
      </w:r>
      <w:r w:rsidR="000636C2">
        <w:rPr>
          <w:rFonts w:hint="cs"/>
          <w:rtl/>
        </w:rPr>
        <w:t>(</w:t>
      </w:r>
      <w:r w:rsidRPr="005675B2">
        <w:rPr>
          <w:rFonts w:hint="cs"/>
          <w:rtl/>
        </w:rPr>
        <w:t>ما أراد شارح الجوهرة أن يستره</w:t>
      </w:r>
      <w:r w:rsidR="000636C2">
        <w:rPr>
          <w:rFonts w:hint="cs"/>
          <w:rtl/>
        </w:rPr>
        <w:t>)</w:t>
      </w:r>
      <w:r w:rsidRPr="005675B2">
        <w:rPr>
          <w:rFonts w:hint="cs"/>
          <w:rtl/>
        </w:rPr>
        <w:t xml:space="preserve"> فالباجوري لم يرد أن يستر بكلامه شيئا، بل أباح بما أراد أن يقوله وصرح به، فإن الذي قاله هو قول جمهور الأشاعرة القائلون بأن الألفاظ مخلوقة لله تعالى وقد قرروا ما قاله الباجوري في كتبهم، وأرادوا تعليمه للناس، ولم يريدوا أن يستروه فقالوا</w:t>
      </w:r>
      <w:r w:rsidR="000636C2">
        <w:rPr>
          <w:rFonts w:hint="cs"/>
          <w:rtl/>
        </w:rPr>
        <w:t>:</w:t>
      </w:r>
      <w:r w:rsidRPr="005675B2">
        <w:rPr>
          <w:rFonts w:hint="cs"/>
          <w:rtl/>
        </w:rPr>
        <w:t xml:space="preserve"> لا يجوز التصريح بأن القرآن مخلوق وإن أراد القائل النظم العربي دون المعنى القديم القائم بالله، لئلا يذهب الوهم إلى أن صفة الكلام القائمة بالله تعالى مخلوقة فمنعوا هذا الإطلاق في غير مقام التعليم سدا للذريعة</w:t>
      </w:r>
      <w:r w:rsidR="000636C2">
        <w:rPr>
          <w:rFonts w:hint="cs"/>
          <w:rtl/>
        </w:rPr>
        <w:t>،</w:t>
      </w:r>
    </w:p>
    <w:p w14:paraId="5BF7D508" w14:textId="53D54F2E" w:rsidR="009C32A0" w:rsidRPr="005675B2" w:rsidRDefault="009C32A0" w:rsidP="000636C2">
      <w:pPr>
        <w:rPr>
          <w:b/>
          <w:rtl/>
        </w:rPr>
      </w:pPr>
      <w:r w:rsidRPr="005675B2">
        <w:rPr>
          <w:rFonts w:hint="cs"/>
          <w:rtl/>
        </w:rPr>
        <w:t>48 - بيان مسألة القدر على مذهب الأشاعرة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السادس</w:t>
      </w:r>
      <w:r w:rsidR="000636C2">
        <w:rPr>
          <w:rFonts w:hint="cs"/>
          <w:rtl/>
        </w:rPr>
        <w:t>:</w:t>
      </w:r>
      <w:r w:rsidRPr="005675B2">
        <w:rPr>
          <w:rFonts w:hint="cs"/>
          <w:rtl/>
        </w:rPr>
        <w:t xml:space="preserve"> القدر</w:t>
      </w:r>
      <w:r w:rsidR="000636C2">
        <w:rPr>
          <w:rFonts w:hint="cs"/>
          <w:rtl/>
        </w:rPr>
        <w:t>:</w:t>
      </w:r>
      <w:r w:rsidRPr="005675B2">
        <w:rPr>
          <w:rFonts w:hint="cs"/>
          <w:rtl/>
        </w:rPr>
        <w:t xml:space="preserve"> أراد الأشاعرة هنا أن يوفقوا بين الجبرية والقدرية، فجاؤوا بنظرية الكسب وهي في مآلها جبرية خالصة لأنها تنفي أيَّ قدرة للعبد أو تأثير أما حقيقتها النظرية الفلسفية، فقد عجز الأشاعرة أنفسهم عن فهمها فضلاً عن إفهامها لغيرهم "</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الكسب الذي قال به الأشاعرة لا ينفي قدرة العبد ولا اختياره، وإنما ينفي تأثيرَ قدرته في شيئ من أفعاله، وقد ساقهم إلى القول بذلك النصوصُ الكثيرةُ من الكتاب والسنة المصرحةِ بتفرُّدِهِ تعالى بخلقِ كلِّ شيءٍ، الدالة على أنه لا مؤثر في الكون إلا الله، لا محاولة التوفيق كما يقول الدكتور</w:t>
      </w:r>
      <w:r w:rsidR="000636C2">
        <w:rPr>
          <w:rFonts w:hint="cs"/>
          <w:rtl/>
        </w:rPr>
        <w:t xml:space="preserve">، </w:t>
      </w:r>
      <w:r w:rsidRPr="005675B2">
        <w:rPr>
          <w:rFonts w:hint="cs"/>
          <w:rtl/>
        </w:rPr>
        <w:t>وأما عدمُ المعرفة التفصيلية لحقيقة الكسب وعدم تعريف الاشاعرة له بتعريف جامع مانع فإنما هو لأجل ما اختصَّتْ به المسألة من الغموضِ والخفاء، ومن أجلِ ذلك نهى السلفُ عن الخوضِ فيها</w:t>
      </w:r>
      <w:r w:rsidR="000636C2">
        <w:rPr>
          <w:rFonts w:hint="cs"/>
          <w:rtl/>
        </w:rPr>
        <w:t>،</w:t>
      </w:r>
      <w:r w:rsidRPr="005675B2">
        <w:rPr>
          <w:rFonts w:hint="cs"/>
          <w:rtl/>
        </w:rPr>
        <w:t xml:space="preserve"> وقالوا</w:t>
      </w:r>
      <w:r w:rsidR="000636C2">
        <w:rPr>
          <w:rFonts w:hint="cs"/>
          <w:rtl/>
        </w:rPr>
        <w:t>:</w:t>
      </w:r>
      <w:r w:rsidRPr="005675B2">
        <w:rPr>
          <w:rFonts w:hint="cs"/>
          <w:rtl/>
        </w:rPr>
        <w:t xml:space="preserve"> « إن القدر سر الله فلا تتكلفوه »، وجاء عن النبي أنه قال</w:t>
      </w:r>
      <w:r w:rsidR="000636C2">
        <w:rPr>
          <w:rFonts w:hint="cs"/>
          <w:rtl/>
        </w:rPr>
        <w:t>:</w:t>
      </w:r>
      <w:r w:rsidRPr="005675B2">
        <w:rPr>
          <w:rFonts w:hint="cs"/>
          <w:rtl/>
        </w:rPr>
        <w:t xml:space="preserve"> </w:t>
      </w:r>
      <w:r w:rsidR="000636C2">
        <w:rPr>
          <w:rFonts w:hint="cs"/>
          <w:rtl/>
        </w:rPr>
        <w:t>(</w:t>
      </w:r>
      <w:r w:rsidRPr="005675B2">
        <w:rPr>
          <w:rFonts w:hint="cs"/>
          <w:rtl/>
        </w:rPr>
        <w:t>إذا ذكر القدر فامسكوا</w:t>
      </w:r>
      <w:r w:rsidR="000636C2">
        <w:rPr>
          <w:rFonts w:hint="cs"/>
          <w:rtl/>
        </w:rPr>
        <w:t>)</w:t>
      </w:r>
      <w:r w:rsidRPr="005675B2">
        <w:rPr>
          <w:rFonts w:hint="cs"/>
          <w:rtl/>
        </w:rPr>
        <w:t>، ولو كانت المسألة واضحة وكانت بحيث تعلم على وجه التفصيل لما أمر النبي صلى الله تعالى عليه وآله وسلم بالإمساك عن القدر، ولما نهى السلف عن الخوض فيه، فغموضُ المذهبِ من أدلة كونِهِ هو الصوابُ</w:t>
      </w:r>
      <w:r w:rsidR="000636C2">
        <w:rPr>
          <w:rFonts w:hint="cs"/>
          <w:rtl/>
        </w:rPr>
        <w:t>،</w:t>
      </w:r>
      <w:r w:rsidRPr="005675B2">
        <w:rPr>
          <w:rFonts w:hint="cs"/>
          <w:rtl/>
        </w:rPr>
        <w:t xml:space="preserve"> واللهُ تعالى أعلمُ</w:t>
      </w:r>
      <w:r w:rsidR="000636C2">
        <w:rPr>
          <w:rFonts w:hint="cs"/>
          <w:rtl/>
        </w:rPr>
        <w:t xml:space="preserve">، </w:t>
      </w:r>
      <w:r w:rsidRPr="005675B2">
        <w:rPr>
          <w:rFonts w:hint="cs"/>
          <w:rtl/>
        </w:rPr>
        <w:t>ثم إن مذهب الأشاعرة في القدر أوفق المذاهب بنصوص الكتاب والسنة، وهو الموافق لمذهب السلف ومذهب الإمام أحمد رحمه الله تعالى، ففي عقيدة الإمام أحمد المطبوعة بآخر المجلد الثاني من طبقات الحنابلة لإبن أبي يعلى ما يلى</w:t>
      </w:r>
      <w:r w:rsidR="000636C2">
        <w:rPr>
          <w:rFonts w:hint="cs"/>
          <w:rtl/>
        </w:rPr>
        <w:t xml:space="preserve">: </w:t>
      </w:r>
      <w:r w:rsidRPr="005675B2">
        <w:rPr>
          <w:rFonts w:hint="cs"/>
          <w:rtl/>
        </w:rPr>
        <w:t>« وكان يذهب إلى أن أفعال العباد مخلوقة لله عز وجل، ولا يجوز أن يخرج شيئ من أفعاله عن خلقه، لقوله عز وجل</w:t>
      </w:r>
      <w:r w:rsidR="000636C2">
        <w:rPr>
          <w:rFonts w:hint="cs"/>
          <w:rtl/>
        </w:rPr>
        <w:t>:</w:t>
      </w:r>
      <w:r w:rsidRPr="005675B2">
        <w:rPr>
          <w:rFonts w:hint="cs"/>
          <w:rtl/>
        </w:rPr>
        <w:t xml:space="preserve"> </w:t>
      </w:r>
      <w:r w:rsidR="000636C2">
        <w:rPr>
          <w:rFonts w:hint="cs"/>
          <w:rtl/>
        </w:rPr>
        <w:t>(</w:t>
      </w:r>
      <w:r w:rsidRPr="005675B2">
        <w:rPr>
          <w:rFonts w:hint="cs"/>
          <w:rtl/>
        </w:rPr>
        <w:t>خالق كل شيئ</w:t>
      </w:r>
      <w:r w:rsidR="000636C2">
        <w:rPr>
          <w:rFonts w:hint="cs"/>
          <w:rtl/>
        </w:rPr>
        <w:t>)</w:t>
      </w:r>
      <w:r w:rsidRPr="005675B2">
        <w:rPr>
          <w:rFonts w:hint="cs"/>
          <w:rtl/>
        </w:rPr>
        <w:t>، ثم لو كان مخصوصا لجاز مثل ذلك التخصيص في قوله</w:t>
      </w:r>
      <w:r w:rsidR="000636C2">
        <w:rPr>
          <w:rFonts w:hint="cs"/>
          <w:rtl/>
        </w:rPr>
        <w:t>:</w:t>
      </w:r>
      <w:r w:rsidRPr="005675B2">
        <w:rPr>
          <w:rFonts w:hint="cs"/>
          <w:rtl/>
        </w:rPr>
        <w:t xml:space="preserve"> </w:t>
      </w:r>
      <w:r w:rsidR="000636C2">
        <w:rPr>
          <w:rFonts w:hint="cs"/>
          <w:rtl/>
        </w:rPr>
        <w:t>(</w:t>
      </w:r>
      <w:r w:rsidRPr="005675B2">
        <w:rPr>
          <w:rFonts w:hint="cs"/>
          <w:rtl/>
        </w:rPr>
        <w:t>لا إله إلا الله</w:t>
      </w:r>
      <w:r w:rsidR="000636C2">
        <w:rPr>
          <w:rFonts w:hint="cs"/>
          <w:rtl/>
        </w:rPr>
        <w:t>)</w:t>
      </w:r>
      <w:r w:rsidRPr="005675B2">
        <w:rPr>
          <w:rFonts w:hint="cs"/>
          <w:rtl/>
        </w:rPr>
        <w:t xml:space="preserve"> وأن يكون مخصوصا أنه إله لبعض الأشياء</w:t>
      </w:r>
      <w:r w:rsidR="000636C2">
        <w:rPr>
          <w:rFonts w:hint="cs"/>
          <w:rtl/>
        </w:rPr>
        <w:t>،</w:t>
      </w:r>
      <w:r w:rsidRPr="005675B2">
        <w:rPr>
          <w:rFonts w:hint="cs"/>
          <w:rtl/>
        </w:rPr>
        <w:t xml:space="preserve"> وقرأ </w:t>
      </w:r>
      <w:r w:rsidR="000636C2">
        <w:rPr>
          <w:rFonts w:hint="cs"/>
          <w:rtl/>
        </w:rPr>
        <w:t>(</w:t>
      </w:r>
      <w:r w:rsidRPr="005675B2">
        <w:rPr>
          <w:rFonts w:hint="cs"/>
          <w:rtl/>
        </w:rPr>
        <w:t>وجعلنا في قلوب الذين اتبعوه رأفة ورحمة</w:t>
      </w:r>
      <w:r w:rsidR="000636C2">
        <w:rPr>
          <w:rFonts w:hint="cs"/>
          <w:rtl/>
        </w:rPr>
        <w:t>)</w:t>
      </w:r>
      <w:r w:rsidRPr="005675B2">
        <w:rPr>
          <w:rFonts w:hint="cs"/>
          <w:rtl/>
        </w:rPr>
        <w:t xml:space="preserve"> وقرأ </w:t>
      </w:r>
      <w:r w:rsidR="000636C2">
        <w:rPr>
          <w:rFonts w:hint="cs"/>
          <w:rtl/>
        </w:rPr>
        <w:t>(</w:t>
      </w:r>
      <w:r w:rsidRPr="005675B2">
        <w:rPr>
          <w:rFonts w:hint="cs"/>
          <w:rtl/>
        </w:rPr>
        <w:t>عسى أن يجعل بينكم وبين الذين عاديتم منهم مودة</w:t>
      </w:r>
      <w:r w:rsidR="000636C2">
        <w:rPr>
          <w:rFonts w:hint="cs"/>
          <w:rtl/>
        </w:rPr>
        <w:t>)</w:t>
      </w:r>
      <w:r w:rsidRPr="005675B2">
        <w:rPr>
          <w:rFonts w:hint="cs"/>
          <w:rtl/>
        </w:rPr>
        <w:t xml:space="preserve"> وقرأ </w:t>
      </w:r>
      <w:r w:rsidR="000636C2">
        <w:rPr>
          <w:rFonts w:hint="cs"/>
          <w:rtl/>
        </w:rPr>
        <w:t>(</w:t>
      </w:r>
      <w:r w:rsidRPr="005675B2">
        <w:rPr>
          <w:rFonts w:hint="cs"/>
          <w:rtl/>
        </w:rPr>
        <w:t>وقدرنا فيها السير سيروا فيها ليالي وأياما آمنين</w:t>
      </w:r>
      <w:r w:rsidR="000636C2">
        <w:rPr>
          <w:rFonts w:hint="cs"/>
          <w:rtl/>
        </w:rPr>
        <w:t>)</w:t>
      </w:r>
      <w:r w:rsidRPr="005675B2">
        <w:rPr>
          <w:rFonts w:hint="cs"/>
          <w:rtl/>
        </w:rPr>
        <w:t>، وروي عن على ابن أبى طالب رضي الله تعالى عنه أنه سئل عن أعمال الخلق التى يستوجبون بها من الله تعالى السخط والرضا</w:t>
      </w:r>
      <w:r w:rsidR="000636C2">
        <w:rPr>
          <w:rFonts w:hint="cs"/>
          <w:rtl/>
        </w:rPr>
        <w:t>؟</w:t>
      </w:r>
      <w:r w:rsidRPr="005675B2">
        <w:rPr>
          <w:rFonts w:hint="cs"/>
          <w:rtl/>
        </w:rPr>
        <w:t xml:space="preserve"> فقال</w:t>
      </w:r>
      <w:r w:rsidR="000636C2">
        <w:rPr>
          <w:rFonts w:hint="cs"/>
          <w:rtl/>
        </w:rPr>
        <w:t>:</w:t>
      </w:r>
      <w:r w:rsidRPr="005675B2">
        <w:rPr>
          <w:rFonts w:hint="cs"/>
          <w:rtl/>
        </w:rPr>
        <w:t xml:space="preserve"> هي من العباد فعلا، ومن الله تعالى خلقا لا تسأل عن هذا أحدا بعدى »، [</w:t>
      </w:r>
      <w:r w:rsidRPr="005675B2">
        <w:rPr>
          <w:rFonts w:hint="cs"/>
          <w:sz w:val="24"/>
          <w:szCs w:val="24"/>
          <w:rtl/>
        </w:rPr>
        <w:t>طبقات الحنابلة 2/299]</w:t>
      </w:r>
      <w:r w:rsidRPr="005675B2">
        <w:rPr>
          <w:rFonts w:hint="cs"/>
          <w:rtl/>
        </w:rPr>
        <w:t xml:space="preserve"> فمذهب الأشاعرة هو مذهب الإمام أحمد نفسه، وليت شعري ما الذي يعتقده الدكتور في القدر</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قد قرر الإمامُ تاجُ الدين السبكي مذهبِ الأشاعرة في مسألة القدر بطريقة جيدة؛ فأردتُ أن أنقلَ كلامه هنا ليعلم الدكتور ومَنْ هم على شاكلته هل مذهبُ الأشاعرة في المسألة موافقٌ لنصوصِ الكتاب والسنة ولقواعد الإسلام ومذهب السلف أم أنه مخالفٌ لهم</w:t>
      </w:r>
      <w:r w:rsidR="000636C2">
        <w:rPr>
          <w:rFonts w:hint="cs"/>
          <w:rtl/>
        </w:rPr>
        <w:t>،</w:t>
      </w:r>
      <w:r w:rsidRPr="005675B2">
        <w:rPr>
          <w:rFonts w:hint="cs"/>
          <w:rtl/>
        </w:rPr>
        <w:t xml:space="preserve"> قال التاج في "شرح مختصر ابن الحاجب"</w:t>
      </w:r>
      <w:r w:rsidR="000636C2">
        <w:rPr>
          <w:rFonts w:hint="cs"/>
          <w:rtl/>
        </w:rPr>
        <w:t xml:space="preserve"> </w:t>
      </w:r>
      <w:r w:rsidRPr="005675B2">
        <w:rPr>
          <w:rFonts w:hint="cs"/>
          <w:rtl/>
        </w:rPr>
        <w:t>[</w:t>
      </w:r>
      <w:r w:rsidRPr="005675B2">
        <w:rPr>
          <w:rFonts w:hint="cs"/>
          <w:sz w:val="24"/>
          <w:szCs w:val="24"/>
          <w:rtl/>
        </w:rPr>
        <w:t>1/462]</w:t>
      </w:r>
      <w:r w:rsidRPr="005675B2">
        <w:rPr>
          <w:rFonts w:hint="cs"/>
          <w:rtl/>
        </w:rPr>
        <w:t>:</w:t>
      </w:r>
      <w:r w:rsidR="000636C2">
        <w:rPr>
          <w:rFonts w:hint="cs"/>
          <w:rtl/>
        </w:rPr>
        <w:t xml:space="preserve"> </w:t>
      </w:r>
      <w:r w:rsidRPr="005675B2">
        <w:rPr>
          <w:rFonts w:hint="cs"/>
          <w:rtl/>
        </w:rPr>
        <w:t>ولي أنا طريقةٌ أراها الصواب فاقتصرُ على ذكرها قائلاً</w:t>
      </w:r>
      <w:r w:rsidR="000636C2">
        <w:rPr>
          <w:rFonts w:hint="cs"/>
          <w:rtl/>
        </w:rPr>
        <w:t xml:space="preserve">: </w:t>
      </w:r>
      <w:r w:rsidRPr="005675B2">
        <w:rPr>
          <w:rFonts w:hint="cs"/>
          <w:rtl/>
        </w:rPr>
        <w:t>ثبت لنا قاعدتان، إحداهما</w:t>
      </w:r>
      <w:r w:rsidR="000636C2">
        <w:rPr>
          <w:rFonts w:hint="cs"/>
          <w:rtl/>
        </w:rPr>
        <w:t>:</w:t>
      </w:r>
      <w:r w:rsidRPr="005675B2">
        <w:rPr>
          <w:rFonts w:hint="cs"/>
          <w:rtl/>
        </w:rPr>
        <w:t xml:space="preserve"> أنَّ العبدَ غيرُ خالقٍ لأفعال نفسه</w:t>
      </w:r>
      <w:r w:rsidR="000636C2">
        <w:rPr>
          <w:rFonts w:hint="cs"/>
          <w:rtl/>
        </w:rPr>
        <w:t xml:space="preserve">، </w:t>
      </w:r>
      <w:r w:rsidRPr="005675B2">
        <w:rPr>
          <w:rFonts w:hint="cs"/>
          <w:rtl/>
        </w:rPr>
        <w:t>والثانية أنَّ اللهَ لا يعاقب إلا على ما فعله العبدُ، والثوابُ العقابُ واقعان على الجوارح، فلزمت الواسطة بين القَدَرِ والجَبْرِ، وساعدنا عِليها شاهدٌ في الخارج، وهو التفرقةُ الضرورية بين حركة المرتعش والمريد، فأثبتنا هذه الواسطة، وسميناها بالكسب لقوله تعالى</w:t>
      </w:r>
      <w:r w:rsidR="000636C2">
        <w:rPr>
          <w:rFonts w:hint="cs"/>
          <w:rtl/>
        </w:rPr>
        <w:t>:</w:t>
      </w:r>
      <w:r w:rsidRPr="005675B2">
        <w:rPr>
          <w:rFonts w:hint="cs"/>
          <w:rtl/>
        </w:rPr>
        <w:t xml:space="preserve"> </w:t>
      </w:r>
      <w:r w:rsidR="000636C2">
        <w:rPr>
          <w:rFonts w:hint="cs"/>
          <w:rtl/>
        </w:rPr>
        <w:t>(</w:t>
      </w:r>
      <w:r w:rsidRPr="005675B2">
        <w:rPr>
          <w:rFonts w:hint="cs"/>
          <w:rtl/>
        </w:rPr>
        <w:t>لها ما كسبت وعليها ما اكتسبت</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البقرة: 286]</w:t>
      </w:r>
      <w:r w:rsidRPr="005675B2">
        <w:rPr>
          <w:rFonts w:hint="cs"/>
          <w:rtl/>
        </w:rPr>
        <w:t xml:space="preserve"> وغير ذلك من الآي والأخبار، فإنْ سُئلنا عن التعبير عن هذا الكسب بتعريفٍ جامعٍ مانعٍ قلنا</w:t>
      </w:r>
      <w:r w:rsidR="000636C2">
        <w:rPr>
          <w:rFonts w:hint="cs"/>
          <w:rtl/>
        </w:rPr>
        <w:t>:</w:t>
      </w:r>
      <w:r w:rsidRPr="005675B2">
        <w:rPr>
          <w:rFonts w:hint="cs"/>
          <w:rtl/>
        </w:rPr>
        <w:t xml:space="preserve"> لا سبيل لنا إلى ذلك والسلامَ، فرُبَّ ثابتٍ لا تحيطه العبارات، ومحسوسٍ لا تكتنفه الإشاراتُ</w:t>
      </w:r>
      <w:r w:rsidR="000636C2">
        <w:rPr>
          <w:rFonts w:hint="cs"/>
          <w:rtl/>
        </w:rPr>
        <w:t>،</w:t>
      </w:r>
      <w:r w:rsidRPr="005675B2">
        <w:rPr>
          <w:rFonts w:hint="cs"/>
          <w:rtl/>
        </w:rPr>
        <w:t xml:space="preserve"> ومِنْ أصحابنا مَن أخَذَ يُحقِّقُ الكسبَ فوقع في مُعْضلٍ أربٍ لا قبَلَ له به</w:t>
      </w:r>
      <w:r w:rsidR="000636C2">
        <w:rPr>
          <w:rFonts w:hint="cs"/>
          <w:rtl/>
        </w:rPr>
        <w:t xml:space="preserve">، </w:t>
      </w:r>
      <w:r w:rsidRPr="005675B2">
        <w:rPr>
          <w:rFonts w:hint="cs"/>
          <w:rtl/>
        </w:rPr>
        <w:t>والصوابُ عندنا</w:t>
      </w:r>
      <w:r w:rsidR="000636C2">
        <w:rPr>
          <w:rFonts w:hint="cs"/>
          <w:rtl/>
        </w:rPr>
        <w:t>:</w:t>
      </w:r>
      <w:r w:rsidRPr="005675B2">
        <w:rPr>
          <w:rFonts w:hint="cs"/>
          <w:rtl/>
        </w:rPr>
        <w:t xml:space="preserve"> إنَّه أمرٌ لزم عن حقٍّ فكان حقاً، وعضده ما ذكرناه، فعرفناهُ على الجملةِ دونَ التفصيل</w:t>
      </w:r>
      <w:r w:rsidR="000636C2">
        <w:rPr>
          <w:rFonts w:hint="cs"/>
          <w:rtl/>
        </w:rPr>
        <w:t xml:space="preserve">، </w:t>
      </w:r>
      <w:r w:rsidRPr="005675B2">
        <w:rPr>
          <w:rFonts w:hint="cs"/>
          <w:rtl/>
        </w:rPr>
        <w:t>وما أحسنَ قول عليِّ بن موسى الرضا وقد سُئل</w:t>
      </w:r>
      <w:r w:rsidR="000636C2">
        <w:rPr>
          <w:rFonts w:hint="cs"/>
          <w:rtl/>
        </w:rPr>
        <w:t>:</w:t>
      </w:r>
      <w:r w:rsidRPr="005675B2">
        <w:rPr>
          <w:rFonts w:hint="cs"/>
          <w:rtl/>
        </w:rPr>
        <w:t xml:space="preserve"> أيكلِّف اللهُ العبادَ بما لا يطيقون</w:t>
      </w:r>
      <w:r w:rsidR="000636C2">
        <w:rPr>
          <w:rFonts w:hint="cs"/>
          <w:rtl/>
        </w:rPr>
        <w:t>؟</w:t>
      </w:r>
      <w:r w:rsidRPr="005675B2">
        <w:rPr>
          <w:rFonts w:hint="cs"/>
          <w:rtl/>
        </w:rPr>
        <w:t xml:space="preserve"> قال</w:t>
      </w:r>
      <w:r w:rsidR="000636C2">
        <w:rPr>
          <w:rFonts w:hint="cs"/>
          <w:rtl/>
        </w:rPr>
        <w:t>:</w:t>
      </w:r>
      <w:r w:rsidRPr="005675B2">
        <w:rPr>
          <w:rFonts w:hint="cs"/>
          <w:rtl/>
        </w:rPr>
        <w:t xml:space="preserve"> هو أعدلُ من ذلك</w:t>
      </w:r>
      <w:r w:rsidR="000636C2">
        <w:rPr>
          <w:rFonts w:hint="cs"/>
          <w:rtl/>
        </w:rPr>
        <w:t xml:space="preserve">، </w:t>
      </w:r>
      <w:r w:rsidRPr="005675B2">
        <w:rPr>
          <w:rFonts w:hint="cs"/>
          <w:rtl/>
        </w:rPr>
        <w:t>قيل</w:t>
      </w:r>
      <w:r w:rsidR="000636C2">
        <w:rPr>
          <w:rFonts w:hint="cs"/>
          <w:rtl/>
        </w:rPr>
        <w:t>:</w:t>
      </w:r>
      <w:r w:rsidRPr="005675B2">
        <w:rPr>
          <w:rFonts w:hint="cs"/>
          <w:rtl/>
        </w:rPr>
        <w:t xml:space="preserve"> أفيستطيعون أن يفعلوا ما يريدون</w:t>
      </w:r>
      <w:r w:rsidR="000636C2">
        <w:rPr>
          <w:rFonts w:hint="cs"/>
          <w:rtl/>
        </w:rPr>
        <w:t>؟</w:t>
      </w:r>
      <w:r w:rsidRPr="005675B2">
        <w:rPr>
          <w:rFonts w:hint="cs"/>
          <w:rtl/>
        </w:rPr>
        <w:t xml:space="preserve"> قال</w:t>
      </w:r>
      <w:r w:rsidR="000636C2">
        <w:rPr>
          <w:rFonts w:hint="cs"/>
          <w:rtl/>
        </w:rPr>
        <w:t>:</w:t>
      </w:r>
      <w:r w:rsidRPr="005675B2">
        <w:rPr>
          <w:rFonts w:hint="cs"/>
          <w:rtl/>
        </w:rPr>
        <w:t xml:space="preserve"> هم أعجزُ من ذلك</w:t>
      </w:r>
      <w:r w:rsidR="000636C2">
        <w:rPr>
          <w:rFonts w:hint="cs"/>
          <w:rtl/>
        </w:rPr>
        <w:t xml:space="preserve">، </w:t>
      </w:r>
      <w:r w:rsidRPr="005675B2">
        <w:rPr>
          <w:rFonts w:hint="cs"/>
          <w:rtl/>
        </w:rPr>
        <w:t>وعليُّ بن الرضا هو ابنُ موسى الكاظم بن جعفر الصادق بن محمد الباقر بن زينِ العابدين ابن عليِّ بن الحسين بن عليِّ بن أبي طالب</w:t>
      </w:r>
      <w:r w:rsidR="000636C2">
        <w:rPr>
          <w:rFonts w:hint="cs"/>
          <w:rtl/>
        </w:rPr>
        <w:t xml:space="preserve"> </w:t>
      </w:r>
      <w:r w:rsidRPr="005675B2">
        <w:rPr>
          <w:rFonts w:hint="cs"/>
          <w:rtl/>
        </w:rPr>
        <w:t>- رضي الله عنهم</w:t>
      </w:r>
      <w:r w:rsidR="000636C2">
        <w:rPr>
          <w:rFonts w:hint="cs"/>
          <w:rtl/>
        </w:rPr>
        <w:t xml:space="preserve"> </w:t>
      </w:r>
      <w:r w:rsidRPr="005675B2">
        <w:rPr>
          <w:rFonts w:hint="cs"/>
          <w:rtl/>
        </w:rPr>
        <w:t>- وهذا الذي قاله عينُ مذهبنا فافهمهُ</w:t>
      </w:r>
      <w:r w:rsidR="000636C2">
        <w:rPr>
          <w:rFonts w:hint="cs"/>
          <w:rtl/>
        </w:rPr>
        <w:t>،</w:t>
      </w:r>
      <w:r w:rsidRPr="005675B2">
        <w:rPr>
          <w:rFonts w:hint="cs"/>
          <w:rtl/>
        </w:rPr>
        <w:t xml:space="preserve"> وهو قبل الأشعريِّ وفاةً بما ينيفُ على مائةٍ وعشرينَ سنة، فإنه ماتَ بـ"طوس" سنةَ ثلاثٍ ومائتين</w:t>
      </w:r>
      <w:r w:rsidR="000636C2">
        <w:rPr>
          <w:rFonts w:hint="cs"/>
          <w:rtl/>
        </w:rPr>
        <w:t xml:space="preserve"> </w:t>
      </w:r>
      <w:r w:rsidRPr="005675B2">
        <w:rPr>
          <w:rFonts w:hint="cs"/>
          <w:rtl/>
        </w:rPr>
        <w:t>- قبل الشافعيِّ بسنة</w:t>
      </w:r>
      <w:r w:rsidR="000636C2">
        <w:rPr>
          <w:rFonts w:hint="cs"/>
          <w:rtl/>
        </w:rPr>
        <w:t xml:space="preserve"> </w:t>
      </w:r>
      <w:r w:rsidRPr="005675B2">
        <w:rPr>
          <w:rFonts w:hint="cs"/>
          <w:rtl/>
        </w:rPr>
        <w:t>- والأشعريُّ مات بعد العشرين وثلثمائة</w:t>
      </w:r>
      <w:r w:rsidR="000636C2">
        <w:rPr>
          <w:rFonts w:hint="cs"/>
          <w:rtl/>
        </w:rPr>
        <w:t xml:space="preserve">، </w:t>
      </w:r>
      <w:r w:rsidRPr="005675B2">
        <w:rPr>
          <w:rFonts w:hint="cs"/>
          <w:rtl/>
        </w:rPr>
        <w:t>فإن قلت</w:t>
      </w:r>
      <w:r w:rsidR="000636C2">
        <w:rPr>
          <w:rFonts w:hint="cs"/>
          <w:rtl/>
        </w:rPr>
        <w:t>:</w:t>
      </w:r>
      <w:r w:rsidRPr="005675B2">
        <w:rPr>
          <w:rFonts w:hint="cs"/>
          <w:rtl/>
        </w:rPr>
        <w:t xml:space="preserve"> وأيُّ برهانٍ قامَ على إبطال القدر والجبر</w:t>
      </w:r>
      <w:r w:rsidR="000636C2">
        <w:rPr>
          <w:rFonts w:hint="cs"/>
          <w:rtl/>
        </w:rPr>
        <w:t xml:space="preserve">؟ </w:t>
      </w:r>
      <w:r w:rsidRPr="005675B2">
        <w:rPr>
          <w:rFonts w:hint="cs"/>
          <w:rtl/>
        </w:rPr>
        <w:t>قلت</w:t>
      </w:r>
      <w:r w:rsidR="000636C2">
        <w:rPr>
          <w:rFonts w:hint="cs"/>
          <w:rtl/>
        </w:rPr>
        <w:t>:</w:t>
      </w:r>
      <w:r w:rsidRPr="005675B2">
        <w:rPr>
          <w:rFonts w:hint="cs"/>
          <w:rtl/>
        </w:rPr>
        <w:t xml:space="preserve"> هذا الآنَ مِنْ فنِّ الكلام</w:t>
      </w:r>
      <w:r w:rsidR="000636C2">
        <w:rPr>
          <w:rFonts w:hint="cs"/>
          <w:rtl/>
        </w:rPr>
        <w:t>،</w:t>
      </w:r>
      <w:r w:rsidRPr="005675B2">
        <w:rPr>
          <w:rFonts w:hint="cs"/>
          <w:rtl/>
        </w:rPr>
        <w:t xml:space="preserve"> وإدخالُهُ في الأصول فُضُول، ونحنُ نشيرُ إلى زُبدةِ القول فيه، فنقول</w:t>
      </w:r>
      <w:r w:rsidR="000636C2">
        <w:rPr>
          <w:rFonts w:hint="cs"/>
          <w:rtl/>
        </w:rPr>
        <w:t xml:space="preserve">: </w:t>
      </w:r>
      <w:r w:rsidRPr="005675B2">
        <w:rPr>
          <w:rFonts w:hint="cs"/>
          <w:rtl/>
        </w:rPr>
        <w:t>قد تقرر عند كلِّ ذي لُبٍّ أنَّ الربَّ تعالى مُطالبٌ عباده بأعمالهم في حالهم، ومُثيبُهُم ويعاقبهم عليها في مآلهم، وتبيَّن بالنصوص المترقية عن درجات التأويل أنَّهم من الوفاء بما كلفوه بسبيل</w:t>
      </w:r>
      <w:r w:rsidR="000636C2">
        <w:rPr>
          <w:rFonts w:hint="cs"/>
          <w:rtl/>
        </w:rPr>
        <w:t xml:space="preserve">، </w:t>
      </w:r>
      <w:r w:rsidRPr="005675B2">
        <w:rPr>
          <w:rFonts w:hint="cs"/>
          <w:rtl/>
        </w:rPr>
        <w:t>ومَنْ نظر في كليات الشرائع وما فيها من الاستحثاثِ على المَكْرُمَات، والزواجرِ عن الموبقات، وما اشتملت عليه من وعدِ الطائعين بالزُّلفى، ووعيدِ العاصين بسوء المنقلب، وما تضمَّنَه قولُهُ تعالى</w:t>
      </w:r>
      <w:r w:rsidR="000636C2">
        <w:rPr>
          <w:rFonts w:hint="cs"/>
          <w:rtl/>
        </w:rPr>
        <w:t>:</w:t>
      </w:r>
      <w:r w:rsidRPr="005675B2">
        <w:rPr>
          <w:rFonts w:hint="cs"/>
          <w:rtl/>
        </w:rPr>
        <w:t xml:space="preserve"> تعدَّيتُم وعصيتم وأبيتُم، وقد أرخيتُ لكم الطّول وفَسَّحتُ لكم المَهْلَ، فأرسَلْتُ الرسُلَ وأوضحتُ السُّبُلَ لئلاّ يكون للناسِ على الله حُجَّة، وأحاط بذلك كُلِّه، ثُمَّ استرابَ في أنَّ القول بالجبر باطلٌ فهو مصابٌ في عقله، أو مُلْقى من التقليد في وَهْدَةٍ من جهله</w:t>
      </w:r>
      <w:r w:rsidR="000636C2">
        <w:rPr>
          <w:rFonts w:hint="cs"/>
          <w:rtl/>
        </w:rPr>
        <w:t>،</w:t>
      </w:r>
      <w:r w:rsidR="000636C2">
        <w:rPr>
          <w:rFonts w:hint="cs"/>
          <w:spacing w:val="-8"/>
          <w:rtl/>
        </w:rPr>
        <w:t xml:space="preserve"> </w:t>
      </w:r>
      <w:r w:rsidRPr="005675B2">
        <w:rPr>
          <w:rFonts w:hint="cs"/>
          <w:rtl/>
        </w:rPr>
        <w:t>فإنْ أخذ الجبريُّ يقولُ</w:t>
      </w:r>
      <w:r w:rsidR="000636C2">
        <w:rPr>
          <w:rFonts w:hint="cs"/>
          <w:rtl/>
        </w:rPr>
        <w:t>:</w:t>
      </w:r>
      <w:r w:rsidRPr="005675B2">
        <w:rPr>
          <w:rFonts w:hint="cs"/>
          <w:rtl/>
        </w:rPr>
        <w:t xml:space="preserve"> </w:t>
      </w:r>
      <w:r w:rsidR="000636C2">
        <w:rPr>
          <w:rFonts w:hint="cs"/>
          <w:rtl/>
        </w:rPr>
        <w:t>(</w:t>
      </w:r>
      <w:r w:rsidRPr="005675B2">
        <w:rPr>
          <w:rFonts w:hint="cs"/>
          <w:rtl/>
        </w:rPr>
        <w:t>لا يسأل عما يفعل وهم يسألون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الأنبياء: 23]</w:t>
      </w:r>
      <w:r w:rsidRPr="005675B2">
        <w:rPr>
          <w:rFonts w:hint="cs"/>
          <w:rtl/>
        </w:rPr>
        <w:t xml:space="preserve"> قيلَ له</w:t>
      </w:r>
      <w:r w:rsidR="000636C2">
        <w:rPr>
          <w:rFonts w:hint="cs"/>
          <w:rtl/>
        </w:rPr>
        <w:t>:</w:t>
      </w:r>
      <w:r w:rsidRPr="005675B2">
        <w:rPr>
          <w:rFonts w:hint="cs"/>
          <w:rtl/>
        </w:rPr>
        <w:t xml:space="preserve"> كلمةُ حَقٍّ أريد بها باطل، نعم يفعلُ اللهُ ما يشاءُ، ويحكُمُ ما يريدُ، ولكنْ يتقدَّسُ عن الخُلْفِ نقيضِ الصدق</w:t>
      </w:r>
      <w:r w:rsidR="000636C2">
        <w:rPr>
          <w:rFonts w:hint="cs"/>
          <w:rtl/>
        </w:rPr>
        <w:t>،</w:t>
      </w:r>
      <w:r w:rsidRPr="005675B2">
        <w:rPr>
          <w:rFonts w:hint="cs"/>
          <w:rtl/>
        </w:rPr>
        <w:t xml:space="preserve"> وقد فهمنا بضرورات العقول مِنَ الشرع المنقول أنَّه عزَّتْ قدرتُه طالبَ عباده بما أخبر أنهم متمكِّنُون من الوفاء به، فلم يكلِّفْهُم إلا على مبلغ الطاقة والوُسعِ، فقد لاح إبطالُ القول بالجبر</w:t>
      </w:r>
      <w:r w:rsidR="000636C2">
        <w:rPr>
          <w:rFonts w:hint="cs"/>
          <w:rtl/>
        </w:rPr>
        <w:t xml:space="preserve">، </w:t>
      </w:r>
      <w:r w:rsidRPr="005675B2">
        <w:rPr>
          <w:rFonts w:hint="cs"/>
          <w:rtl/>
        </w:rPr>
        <w:t>وأَسْفهُ مِنْهُ القولُ بخلقِ الأفعال؛ فإنَّ فيه مُروقاً عمّّا درجَ عليه الأوّلون واقتحامَ ورطات الضلال، ولزومَ حدوث الفعلِ الواحدِ بقادريْن، ومُدَاناة القولِ بشريكِ الباري، فلقد أجمع المسلمون قاطبةً قبل ظهور البِدَع والآراء، واجتماعِ أصحابِ الأهواء على أنَّه لا خالقَ إلا اللهُ، وفاهوا به كما فاهوا بقولهم</w:t>
      </w:r>
      <w:r w:rsidR="000636C2">
        <w:rPr>
          <w:rFonts w:hint="cs"/>
          <w:rtl/>
        </w:rPr>
        <w:t>:</w:t>
      </w:r>
      <w:r w:rsidRPr="005675B2">
        <w:rPr>
          <w:rFonts w:hint="cs"/>
          <w:rtl/>
        </w:rPr>
        <w:t xml:space="preserve"> لا إله إلا الله، وبمدح الربِّ سبحانه وتعالى في آيٍ من الكتاب بقوله</w:t>
      </w:r>
      <w:r w:rsidR="000636C2">
        <w:rPr>
          <w:rFonts w:hint="cs"/>
          <w:rtl/>
        </w:rPr>
        <w:t>:</w:t>
      </w:r>
      <w:r w:rsidRPr="005675B2">
        <w:rPr>
          <w:rFonts w:hint="cs"/>
          <w:rtl/>
        </w:rPr>
        <w:t xml:space="preserve"> </w:t>
      </w:r>
      <w:r w:rsidR="000636C2">
        <w:rPr>
          <w:rFonts w:hint="cs"/>
          <w:rtl/>
        </w:rPr>
        <w:t>(</w:t>
      </w:r>
      <w:r w:rsidRPr="005675B2">
        <w:rPr>
          <w:rFonts w:hint="cs"/>
          <w:rtl/>
        </w:rPr>
        <w:t>أفمن يخلق كمن لا يخلق</w:t>
      </w:r>
      <w:r w:rsidR="000636C2">
        <w:rPr>
          <w:rFonts w:hint="cs"/>
          <w:rtl/>
        </w:rPr>
        <w:t>)</w:t>
      </w:r>
      <w:r w:rsidRPr="005675B2">
        <w:rPr>
          <w:rFonts w:hint="cs"/>
          <w:rtl/>
        </w:rPr>
        <w:t xml:space="preserve">، </w:t>
      </w:r>
      <w:r w:rsidR="000636C2">
        <w:rPr>
          <w:rFonts w:hint="cs"/>
          <w:rtl/>
        </w:rPr>
        <w:t>[</w:t>
      </w:r>
      <w:r w:rsidRPr="005675B2">
        <w:rPr>
          <w:rFonts w:hint="cs"/>
          <w:sz w:val="24"/>
          <w:szCs w:val="24"/>
          <w:rtl/>
        </w:rPr>
        <w:t>النحل: 17]</w:t>
      </w:r>
      <w:r w:rsidRPr="005675B2">
        <w:rPr>
          <w:rFonts w:hint="cs"/>
          <w:rtl/>
        </w:rPr>
        <w:t xml:space="preserve"> </w:t>
      </w:r>
      <w:r w:rsidR="000636C2">
        <w:rPr>
          <w:rFonts w:hint="cs"/>
          <w:rtl/>
        </w:rPr>
        <w:t>(</w:t>
      </w:r>
      <w:r w:rsidRPr="005675B2">
        <w:rPr>
          <w:rFonts w:hint="cs"/>
          <w:rtl/>
        </w:rPr>
        <w:t>هل من خالق غير الله</w:t>
      </w:r>
      <w:r w:rsidR="000636C2">
        <w:rPr>
          <w:rFonts w:hint="cs"/>
          <w:rtl/>
        </w:rPr>
        <w:t>)</w:t>
      </w:r>
      <w:r w:rsidRPr="005675B2">
        <w:rPr>
          <w:rFonts w:hint="cs"/>
          <w:rtl/>
        </w:rPr>
        <w:t>، [</w:t>
      </w:r>
      <w:r w:rsidRPr="005675B2">
        <w:rPr>
          <w:rFonts w:hint="cs"/>
          <w:sz w:val="24"/>
          <w:szCs w:val="24"/>
          <w:rtl/>
        </w:rPr>
        <w:t>فاطر: 3]</w:t>
      </w:r>
      <w:r w:rsidRPr="005675B2">
        <w:rPr>
          <w:rFonts w:hint="cs"/>
          <w:rtl/>
        </w:rPr>
        <w:t xml:space="preserve"> </w:t>
      </w:r>
      <w:r w:rsidR="000636C2">
        <w:rPr>
          <w:rFonts w:hint="cs"/>
          <w:rtl/>
        </w:rPr>
        <w:t>(</w:t>
      </w:r>
      <w:r w:rsidRPr="005675B2">
        <w:rPr>
          <w:rFonts w:hint="cs"/>
          <w:rtl/>
        </w:rPr>
        <w:t>وخلق كل شيئ</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الأنعام: 101]</w:t>
      </w:r>
      <w:r w:rsidRPr="005675B2">
        <w:rPr>
          <w:rFonts w:hint="cs"/>
          <w:rtl/>
        </w:rPr>
        <w:t xml:space="preserve"> فلا يشكِّ لبيبٌ أنَّ مَنْ وصفَ نفسَهُ بكونه خالقا على الحقيقة فقد أعظمَ الفِريةَ على ربه، فلقد وضح كالشمس أنِّ الجبريَّ مبطلٌ لدعوة الأنبياء عليهم السلامُ، والقدريَّ مُثْبت لربِّه شريكاً، وهذه جملة لا يقنَعُ بها الطالبُ للبسط، وفيها رَمْزٌ إلى خُلاصةِ ما يقولُهُ علماؤنا رضي الله عنه</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ولهذا قال الرازي الذي عجز هو الآخر عن فهمِها</w:t>
      </w:r>
      <w:r w:rsidR="000636C2">
        <w:rPr>
          <w:rFonts w:hint="cs"/>
          <w:rtl/>
        </w:rPr>
        <w:t>:</w:t>
      </w:r>
      <w:r w:rsidRPr="005675B2">
        <w:rPr>
          <w:rFonts w:hint="cs"/>
          <w:rtl/>
        </w:rPr>
        <w:t xml:space="preserve"> إنَّ الإنسانَ مجبورٌ في صورةِ مختارٍ</w:t>
      </w:r>
      <w:r w:rsidR="000636C2">
        <w:rPr>
          <w:rFonts w:hint="cs"/>
          <w:rtl/>
        </w:rPr>
        <w:t xml:space="preserve">، </w:t>
      </w:r>
      <w:r w:rsidRPr="005675B2">
        <w:rPr>
          <w:rFonts w:hint="cs"/>
          <w:rtl/>
        </w:rPr>
        <w:t>أما البغداديُّ فأراد أن يوضحها، فذكر مثالاً لأحدِ أصحابِهِ في تفسيرها شَّبهَ فيه اقترانَ قدرةِ الله بقدرة العبد مع نسبةِ الكسبِ إلى العبد بالحجرِ الكبيرِ قد يعجَزُ عن حمله رجلٌ ويقدرُ آخرٌ على حملِهِ منفرداً به، فإذا اجتمعا جميعاً على حمله كانَ حصولُ الحملِ بأقواهُما، ولا خرجَ أضعفهما بذلك عن كونِهِ حاملاً "</w:t>
      </w:r>
      <w:r w:rsidR="000636C2">
        <w:rPr>
          <w:rFonts w:hint="cs"/>
          <w:rtl/>
        </w:rPr>
        <w:t>،</w:t>
      </w:r>
      <w:r w:rsidRPr="005675B2">
        <w:rPr>
          <w:rFonts w:hint="cs"/>
          <w:rtl/>
        </w:rPr>
        <w:t xml:space="preserve"> وأقول تتميماً للمثال</w:t>
      </w:r>
      <w:r w:rsidR="000636C2">
        <w:rPr>
          <w:rFonts w:hint="cs"/>
          <w:rtl/>
        </w:rPr>
        <w:t>:</w:t>
      </w:r>
      <w:r w:rsidRPr="005675B2">
        <w:rPr>
          <w:rFonts w:hint="cs"/>
          <w:rtl/>
        </w:rPr>
        <w:t xml:space="preserve"> وتوجُّهُ القويِّ إلى الحملِ مشروطٌ بتوجُّهِ الضعيفِ إليه، وحَمْلُ القويِّ إنما يتحقَّقُ عندَ عزمِ الضعيفِ على الحمل عزماً مصمماً واختياره له</w:t>
      </w:r>
      <w:r w:rsidR="000636C2">
        <w:rPr>
          <w:rFonts w:hint="cs"/>
          <w:rtl/>
        </w:rPr>
        <w:t xml:space="preserve">، </w:t>
      </w:r>
      <w:r w:rsidRPr="005675B2">
        <w:rPr>
          <w:rFonts w:hint="cs"/>
          <w:rtl/>
        </w:rPr>
        <w:t>فالكسبُ عند الأشعريِّ عبارةٌ عن اختيار العبد للفعل وتعليق قدرته به وعنده تتعلق قدرة الله تعالى به</w:t>
      </w:r>
      <w:r w:rsidR="000636C2">
        <w:rPr>
          <w:rFonts w:hint="cs"/>
          <w:rtl/>
        </w:rPr>
        <w:t>،</w:t>
      </w:r>
      <w:r w:rsidRPr="005675B2">
        <w:rPr>
          <w:rFonts w:hint="cs"/>
          <w:rtl/>
        </w:rPr>
        <w:t xml:space="preserve"> وأما خلقُ الفعلِ وإيجادُهُ فمِنَ اللهِ تعالى وأثر لقدرته، لا تأثير لقدرة العبد فيه، لأن التأثير والإيجاد والخلق من خصائص قدرة الله تعالى</w:t>
      </w:r>
      <w:r w:rsidR="000636C2">
        <w:rPr>
          <w:rFonts w:hint="cs"/>
          <w:rtl/>
        </w:rPr>
        <w:t>،</w:t>
      </w:r>
      <w:r w:rsidRPr="005675B2">
        <w:rPr>
          <w:rFonts w:hint="cs"/>
          <w:rtl/>
        </w:rPr>
        <w:t xml:space="preserve"> والعباد إنما يجازون على كسبهم المذكور واختيارهم للفعل، وتعليق قدرتهم به الذي هو شرط عادي لتعلق قدرة الله بالفعل وتأثيره فيه</w:t>
      </w:r>
      <w:r w:rsidR="000636C2">
        <w:rPr>
          <w:rFonts w:hint="cs"/>
          <w:rtl/>
        </w:rPr>
        <w:t>،</w:t>
      </w:r>
      <w:r w:rsidRPr="005675B2">
        <w:rPr>
          <w:rFonts w:hint="cs"/>
          <w:rtl/>
        </w:rPr>
        <w:t xml:space="preserve"> والجزاء على الكسب المذكور ليس فيه شائبة ظلم بل هو عدل محض لأن كسب العبد له دور كبير في وجود فعله وتحققه، لأنه شرط عادي لتعلق قدرة الله تعالى بالفعل وتأثيرها فيه</w:t>
      </w:r>
      <w:r w:rsidR="000636C2">
        <w:rPr>
          <w:rFonts w:hint="cs"/>
          <w:rtl/>
        </w:rPr>
        <w:t xml:space="preserve">، </w:t>
      </w:r>
      <w:r w:rsidRPr="005675B2">
        <w:rPr>
          <w:rFonts w:hint="cs"/>
          <w:rtl/>
        </w:rPr>
        <w:t>وأنا أسأل الدكتور</w:t>
      </w:r>
      <w:r w:rsidR="000636C2">
        <w:rPr>
          <w:rFonts w:hint="cs"/>
          <w:rtl/>
        </w:rPr>
        <w:t>:</w:t>
      </w:r>
      <w:r w:rsidRPr="005675B2">
        <w:rPr>
          <w:rFonts w:hint="cs"/>
          <w:rtl/>
        </w:rPr>
        <w:t xml:space="preserve"> هل أفعالُ العبادِ الاختيارية مخلوقةٌ لله أم مخلوقة للعباد</w:t>
      </w:r>
      <w:r w:rsidR="000636C2">
        <w:rPr>
          <w:rFonts w:hint="cs"/>
          <w:rtl/>
        </w:rPr>
        <w:t>؟</w:t>
      </w:r>
      <w:r w:rsidRPr="005675B2">
        <w:rPr>
          <w:rFonts w:hint="cs"/>
          <w:rtl/>
        </w:rPr>
        <w:t xml:space="preserve"> وليس بينَ الأمرين واسطة</w:t>
      </w:r>
      <w:r w:rsidR="000636C2">
        <w:rPr>
          <w:rFonts w:hint="cs"/>
          <w:rtl/>
        </w:rPr>
        <w:t xml:space="preserve">، </w:t>
      </w:r>
      <w:r w:rsidRPr="005675B2">
        <w:rPr>
          <w:rFonts w:hint="cs"/>
          <w:rtl/>
        </w:rPr>
        <w:t>فمذهبُ أهلِ السنةِ أنها مخلوقةٌ لله تعالى لكن باختيارٍ وكسبٍ من العبد، وهو الذي دلت عليه النصوصُ الصريحةُ التي لا تقبلُ التأويل من الكتابِ والسنةِ، وهو مذهبُ الأشاعرة</w:t>
      </w:r>
      <w:r w:rsidR="000636C2">
        <w:rPr>
          <w:rFonts w:hint="cs"/>
          <w:rtl/>
        </w:rPr>
        <w:t>،</w:t>
      </w:r>
      <w:r w:rsidRPr="005675B2">
        <w:rPr>
          <w:rFonts w:hint="cs"/>
          <w:rtl/>
        </w:rPr>
        <w:t xml:space="preserve"> ومذهب الإمام أحمد رحمه الله تعالى كما نقلنا كلامه آنفا</w:t>
      </w:r>
      <w:r w:rsidR="000636C2">
        <w:rPr>
          <w:rFonts w:hint="cs"/>
          <w:rtl/>
        </w:rPr>
        <w:t xml:space="preserve">، </w:t>
      </w:r>
      <w:r w:rsidRPr="005675B2">
        <w:rPr>
          <w:rFonts w:hint="cs"/>
          <w:rtl/>
        </w:rPr>
        <w:t>ومذهبُ المعتزلة أنها مخلوقةٌ للعبد، ومذهبُ الجبرية أنها مخلوقةٌ لله بدونِ اختيارٍ ولا كَسْبٍ من العبد، فاخترْ أيها الدكتورُ منها ما شئت</w:t>
      </w:r>
      <w:r w:rsidR="000636C2">
        <w:rPr>
          <w:rFonts w:hint="cs"/>
          <w:rtl/>
        </w:rPr>
        <w:t xml:space="preserve">! </w:t>
      </w:r>
      <w:r w:rsidRPr="005675B2">
        <w:rPr>
          <w:rFonts w:hint="cs"/>
          <w:rtl/>
        </w:rPr>
        <w:t>وقد كتبنا في مسألة الكسب وخلق أفعال العباد رسالة أحطنا فيها بمذاهب علماء الإسلام فيها، وبيناها بينا وافيا</w:t>
      </w:r>
      <w:r w:rsidR="000636C2">
        <w:rPr>
          <w:rFonts w:hint="cs"/>
          <w:rtl/>
        </w:rPr>
        <w:t>،</w:t>
      </w:r>
    </w:p>
    <w:p w14:paraId="4DB47CE1" w14:textId="129F67DD" w:rsidR="009C32A0" w:rsidRPr="005675B2" w:rsidRDefault="009C32A0" w:rsidP="000636C2">
      <w:pPr>
        <w:rPr>
          <w:b/>
          <w:rtl/>
        </w:rPr>
      </w:pPr>
      <w:r w:rsidRPr="005675B2">
        <w:rPr>
          <w:rFonts w:hint="cs"/>
          <w:rtl/>
        </w:rPr>
        <w:t>49 - المحبة والرضى عند الأشاعرة غير الإرادة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والإرادة عند الأشاعرة معناها المحبة والرضا وأولوا قوله تعالى</w:t>
      </w:r>
      <w:r w:rsidR="000636C2">
        <w:rPr>
          <w:rFonts w:hint="cs"/>
          <w:rtl/>
        </w:rPr>
        <w:t>:</w:t>
      </w:r>
      <w:r w:rsidRPr="005675B2">
        <w:rPr>
          <w:rFonts w:hint="cs"/>
          <w:rtl/>
        </w:rPr>
        <w:t xml:space="preserve"> </w:t>
      </w:r>
      <w:r w:rsidR="000636C2">
        <w:rPr>
          <w:rFonts w:hint="cs"/>
          <w:rtl/>
        </w:rPr>
        <w:t>(</w:t>
      </w:r>
      <w:r w:rsidRPr="005675B2">
        <w:rPr>
          <w:rFonts w:hint="cs"/>
          <w:rtl/>
        </w:rPr>
        <w:t>ولا يرضى لعباده الكفر</w:t>
      </w:r>
      <w:r w:rsidR="000636C2">
        <w:rPr>
          <w:rFonts w:hint="cs"/>
          <w:rtl/>
        </w:rPr>
        <w:t>)</w:t>
      </w:r>
      <w:r w:rsidRPr="005675B2">
        <w:rPr>
          <w:rFonts w:hint="cs"/>
          <w:rtl/>
        </w:rPr>
        <w:t xml:space="preserve"> بأنه لا يرضى لعباده المؤمنين</w:t>
      </w:r>
      <w:r w:rsidR="000636C2">
        <w:rPr>
          <w:rFonts w:hint="cs"/>
          <w:rtl/>
        </w:rPr>
        <w:t>!</w:t>
      </w:r>
      <w:r w:rsidRPr="005675B2">
        <w:rPr>
          <w:rFonts w:hint="cs"/>
          <w:rtl/>
        </w:rPr>
        <w:t xml:space="preserve"> فبقي السؤآل واردا عليهم</w:t>
      </w:r>
      <w:r w:rsidR="000636C2">
        <w:rPr>
          <w:rFonts w:hint="cs"/>
          <w:rtl/>
        </w:rPr>
        <w:t>:</w:t>
      </w:r>
      <w:r w:rsidRPr="005675B2">
        <w:rPr>
          <w:rFonts w:hint="cs"/>
          <w:rtl/>
        </w:rPr>
        <w:t xml:space="preserve"> وهل رضيه للكفار أم فعلوه وهو لم يرده</w:t>
      </w:r>
      <w:r w:rsidR="000636C2">
        <w:rPr>
          <w:rFonts w:hint="cs"/>
          <w:rtl/>
        </w:rPr>
        <w:t>؟</w:t>
      </w:r>
      <w:r w:rsidRPr="005675B2">
        <w:rPr>
          <w:rFonts w:hint="cs"/>
          <w:rtl/>
        </w:rPr>
        <w:t xml:space="preserve"> "</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أدرى ماذا أقول لهذا الدكتور الذي يدعى التخصص في أصول الدين، وينتقد مذهب الأشاعرة بدون معرفة له ولا إلمام به، ومن المقرر أن الحكم على الشيئ فرع عن تصوره</w:t>
      </w:r>
      <w:r w:rsidR="000636C2">
        <w:rPr>
          <w:rFonts w:hint="cs"/>
          <w:rtl/>
        </w:rPr>
        <w:t>،</w:t>
      </w:r>
      <w:r w:rsidRPr="005675B2">
        <w:rPr>
          <w:rFonts w:hint="cs"/>
          <w:rtl/>
        </w:rPr>
        <w:t xml:space="preserve"> ثم إنه من المقرر أن مذهب الأشاعرة أن المحبة والرضي غير الإرادة، فقد يريد الله الشيئ ولا يحبه ولا يرضاه كالكفر من الكافر، وقد يحبه ويرضاه ولا يريده كالإيمان من الكافر، وقد يحبه ويرضاه ويريده كالإيمان من المؤمن، وأما كون الإرادة عبارة عن المحبة والرضا أو مستلزمة لهما فهو مذهب المعتزلة، ولم يذهب إليه من الأشاعرة إلا إمام الحرمين، وقد رد عليه من أتى بعده</w:t>
      </w:r>
      <w:r w:rsidR="000636C2">
        <w:rPr>
          <w:rFonts w:hint="cs"/>
          <w:rtl/>
        </w:rPr>
        <w:t>،</w:t>
      </w:r>
      <w:r w:rsidRPr="005675B2">
        <w:rPr>
          <w:rFonts w:hint="cs"/>
          <w:rtl/>
        </w:rPr>
        <w:t xml:space="preserve"> وانظر المسايرة لإبن الهمام بشرحها لإبن أبى شريف [</w:t>
      </w:r>
      <w:r w:rsidRPr="005675B2">
        <w:rPr>
          <w:rFonts w:hint="cs"/>
          <w:sz w:val="24"/>
          <w:szCs w:val="24"/>
          <w:rtl/>
        </w:rPr>
        <w:t>124]</w:t>
      </w:r>
      <w:r w:rsidRPr="005675B2">
        <w:rPr>
          <w:rFonts w:hint="cs"/>
          <w:rtl/>
        </w:rPr>
        <w:t xml:space="preserve"> ولعل الدكتور إغتر بما في "الإنصاف" للباقلاني حيث قال</w:t>
      </w:r>
      <w:r w:rsidR="000636C2">
        <w:rPr>
          <w:rFonts w:hint="cs"/>
          <w:rtl/>
        </w:rPr>
        <w:t>:</w:t>
      </w:r>
      <w:r w:rsidRPr="005675B2">
        <w:rPr>
          <w:rFonts w:hint="cs"/>
          <w:rtl/>
        </w:rPr>
        <w:t xml:space="preserve"> </w:t>
      </w:r>
      <w:r w:rsidR="000636C2">
        <w:rPr>
          <w:rFonts w:hint="cs"/>
          <w:rtl/>
        </w:rPr>
        <w:t>(</w:t>
      </w:r>
      <w:r w:rsidRPr="005675B2">
        <w:rPr>
          <w:rFonts w:hint="cs"/>
          <w:rtl/>
        </w:rPr>
        <w:t>واعلم أنه لا فرق بين الإرادة والمشبئة والإختيار والرضى والمحبة على ما قدمنا</w:t>
      </w:r>
      <w:r w:rsidR="000636C2">
        <w:rPr>
          <w:rFonts w:hint="cs"/>
          <w:rtl/>
        </w:rPr>
        <w:t>)</w:t>
      </w:r>
      <w:r w:rsidRPr="005675B2">
        <w:rPr>
          <w:rFonts w:hint="cs"/>
          <w:rtl/>
        </w:rPr>
        <w:t xml:space="preserve"> [</w:t>
      </w:r>
      <w:r w:rsidRPr="005675B2">
        <w:rPr>
          <w:rFonts w:hint="cs"/>
          <w:sz w:val="24"/>
          <w:szCs w:val="24"/>
          <w:rtl/>
        </w:rPr>
        <w:t>40</w:t>
      </w:r>
      <w:r w:rsidRPr="005675B2">
        <w:rPr>
          <w:rFonts w:hint="cs"/>
          <w:rtl/>
        </w:rPr>
        <w:t>] وليس مراد الباقلاني أن هذه الكلمات بمعنى واحد كما توهم، وإنما مراده أن رضا الله تعالى للإنسان ومحبته له عبارة عن إرادة الخير والنفع له، فإن هذا هو الذي قدمه الباقلاني في كتابه دون الترادف، ويدل عليه لاحق كلامه، حيث قال عقب هذا الكلام</w:t>
      </w:r>
      <w:r w:rsidR="000636C2">
        <w:rPr>
          <w:rFonts w:hint="cs"/>
          <w:rtl/>
        </w:rPr>
        <w:t>:</w:t>
      </w:r>
      <w:r w:rsidRPr="005675B2">
        <w:rPr>
          <w:rFonts w:hint="cs"/>
          <w:rtl/>
        </w:rPr>
        <w:t xml:space="preserve"> </w:t>
      </w:r>
      <w:r w:rsidR="000636C2">
        <w:rPr>
          <w:rFonts w:hint="cs"/>
          <w:rtl/>
        </w:rPr>
        <w:t>(</w:t>
      </w:r>
      <w:r w:rsidRPr="005675B2">
        <w:rPr>
          <w:rFonts w:hint="cs"/>
          <w:rtl/>
        </w:rPr>
        <w:t>واعلم أن الإعتبار في ذلك كله بالمآل لا بالحال، فمن رضي سبحانه عنه لم يزل راضيا عنه لا يسخط عليه أبدا وإن كان في الحال عاصيا</w:t>
      </w:r>
      <w:r w:rsidR="000636C2">
        <w:rPr>
          <w:rFonts w:hint="cs"/>
          <w:rtl/>
        </w:rPr>
        <w:t>،</w:t>
      </w:r>
      <w:r w:rsidRPr="005675B2">
        <w:rPr>
          <w:rFonts w:hint="cs"/>
          <w:rtl/>
        </w:rPr>
        <w:t xml:space="preserve"> ومن سخط عليه فلا يزال ساخطا عليه</w:t>
      </w:r>
      <w:r w:rsidR="000636C2">
        <w:rPr>
          <w:rFonts w:hint="cs"/>
          <w:rtl/>
        </w:rPr>
        <w:t>،</w:t>
      </w:r>
      <w:r w:rsidRPr="005675B2">
        <w:rPr>
          <w:rFonts w:hint="cs"/>
          <w:rtl/>
        </w:rPr>
        <w:t xml:space="preserve"> ولا يرضى عنه أبدا وإن كان في الحال مطيعا</w:t>
      </w:r>
      <w:r w:rsidR="000636C2">
        <w:rPr>
          <w:rFonts w:hint="cs"/>
          <w:rtl/>
        </w:rPr>
        <w:t xml:space="preserve">)، </w:t>
      </w:r>
      <w:r w:rsidRPr="005675B2">
        <w:rPr>
          <w:rFonts w:hint="cs"/>
          <w:rtl/>
        </w:rPr>
        <w:t>ثم إن ما نسبه الدكتور إلى الأشاعرة خطئا وانتقدهم بناء على ذلك هو ظاهر كلام الإمام أحمد ففي إعتقاد الإمام أحمد الملحق بطبقات الحنابلة ما يلى</w:t>
      </w:r>
      <w:r w:rsidR="000636C2">
        <w:rPr>
          <w:rFonts w:hint="cs"/>
          <w:rtl/>
        </w:rPr>
        <w:t>:</w:t>
      </w:r>
      <w:r w:rsidRPr="005675B2">
        <w:rPr>
          <w:rFonts w:hint="cs"/>
          <w:rtl/>
        </w:rPr>
        <w:t xml:space="preserve"> وكان أحمد بن حنبل رضي الله تعالى عنه يقول</w:t>
      </w:r>
      <w:r w:rsidR="000636C2">
        <w:rPr>
          <w:rFonts w:hint="cs"/>
          <w:rtl/>
        </w:rPr>
        <w:t>:</w:t>
      </w:r>
      <w:r w:rsidRPr="005675B2">
        <w:rPr>
          <w:rFonts w:hint="cs"/>
          <w:rtl/>
        </w:rPr>
        <w:t xml:space="preserve"> إن الله تعالى يكره الطاعة من العاصي، كما يكره المعصية من الطائع حكاه ابن أبي داود، وقرأ</w:t>
      </w:r>
      <w:r w:rsidR="000636C2">
        <w:rPr>
          <w:rFonts w:hint="cs"/>
          <w:rtl/>
        </w:rPr>
        <w:t>:</w:t>
      </w:r>
      <w:r w:rsidRPr="005675B2">
        <w:rPr>
          <w:rFonts w:hint="cs"/>
          <w:rtl/>
        </w:rPr>
        <w:t xml:space="preserve"> </w:t>
      </w:r>
      <w:r w:rsidR="000636C2">
        <w:rPr>
          <w:rFonts w:hint="cs"/>
          <w:rtl/>
        </w:rPr>
        <w:t>(</w:t>
      </w:r>
      <w:r w:rsidRPr="005675B2">
        <w:rPr>
          <w:rFonts w:hint="cs"/>
          <w:rtl/>
        </w:rPr>
        <w:t>ولو أرادوا الخروج لأعدوا لهم عدة</w:t>
      </w:r>
      <w:r w:rsidR="000636C2">
        <w:rPr>
          <w:rFonts w:hint="cs"/>
          <w:rtl/>
        </w:rPr>
        <w:t>،</w:t>
      </w:r>
      <w:r w:rsidRPr="005675B2">
        <w:rPr>
          <w:rFonts w:hint="cs"/>
          <w:rtl/>
        </w:rPr>
        <w:t xml:space="preserve"> ولكن كره الله انبعاثهم</w:t>
      </w:r>
      <w:r w:rsidR="000636C2">
        <w:rPr>
          <w:rFonts w:hint="cs"/>
          <w:rtl/>
        </w:rPr>
        <w:t>)</w:t>
      </w:r>
      <w:r w:rsidRPr="005675B2">
        <w:rPr>
          <w:rFonts w:hint="cs"/>
          <w:rtl/>
        </w:rPr>
        <w:t xml:space="preserve"> وانبعاثهم طاعة الله</w:t>
      </w:r>
      <w:r w:rsidR="000636C2">
        <w:rPr>
          <w:rFonts w:hint="cs"/>
          <w:rtl/>
        </w:rPr>
        <w:t>،</w:t>
      </w:r>
      <w:r w:rsidRPr="005675B2">
        <w:rPr>
          <w:rFonts w:hint="cs"/>
          <w:rtl/>
        </w:rPr>
        <w:t xml:space="preserve"> والله يكرهه</w:t>
      </w:r>
      <w:r w:rsidR="000636C2">
        <w:rPr>
          <w:rFonts w:hint="cs"/>
          <w:rtl/>
        </w:rPr>
        <w:t>،</w:t>
      </w:r>
      <w:r w:rsidRPr="005675B2">
        <w:rPr>
          <w:rFonts w:hint="cs"/>
          <w:rtl/>
        </w:rPr>
        <w:t xml:space="preserve"> </w:t>
      </w:r>
      <w:r w:rsidR="000636C2">
        <w:rPr>
          <w:rFonts w:hint="cs"/>
          <w:rtl/>
        </w:rPr>
        <w:t>[</w:t>
      </w:r>
      <w:r w:rsidRPr="005675B2">
        <w:rPr>
          <w:rFonts w:hint="cs"/>
          <w:sz w:val="24"/>
          <w:szCs w:val="24"/>
          <w:rtl/>
        </w:rPr>
        <w:t>طبقات الحنابلة لابن أبي يعلى 2/301]</w:t>
      </w:r>
    </w:p>
    <w:p w14:paraId="2027AFF0" w14:textId="3FA38BCF" w:rsidR="009C32A0" w:rsidRPr="005675B2" w:rsidRDefault="009C32A0" w:rsidP="000636C2">
      <w:pPr>
        <w:rPr>
          <w:b/>
          <w:rtl/>
        </w:rPr>
      </w:pPr>
      <w:r w:rsidRPr="005675B2">
        <w:rPr>
          <w:rFonts w:hint="cs"/>
          <w:rtl/>
        </w:rPr>
        <w:t>50 - بيان الإستطاعة على مذهب الأشاعرة</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ومن هذا القبيل كلامُهم في الاستطاعة</w:t>
      </w:r>
      <w:r w:rsidR="000636C2">
        <w:rPr>
          <w:rFonts w:hint="cs"/>
          <w:rtl/>
        </w:rPr>
        <w:t>،</w:t>
      </w:r>
      <w:r w:rsidRPr="005675B2">
        <w:rPr>
          <w:rFonts w:hint="cs"/>
          <w:rtl/>
        </w:rPr>
        <w:t xml:space="preserve"> والحاصلُ أنَّهم في هذا البابِ خرجوا عن المنقولِ والمعقولِ ولم يُعْربوا عن مذهبهم فضلاً عن البرهنة عليه "</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بل هم قد أعربوا عنه، وبرهنوا عليه، ولكنْ من أجلِ دقَّةِ المسألةِ وغموضِها ودقة مذهبِ الأشاعرة فيها لم يستطع الدكتور أن يفهَمَه</w:t>
      </w:r>
      <w:r w:rsidR="000636C2">
        <w:rPr>
          <w:rFonts w:hint="cs"/>
          <w:rtl/>
        </w:rPr>
        <w:t>،</w:t>
      </w:r>
      <w:r w:rsidRPr="005675B2">
        <w:rPr>
          <w:rFonts w:hint="cs"/>
          <w:rtl/>
        </w:rPr>
        <w:t xml:space="preserve"> ومن أجل ذلك أجمل الدكتور، فقال</w:t>
      </w:r>
      <w:r w:rsidR="000636C2">
        <w:rPr>
          <w:rFonts w:hint="cs"/>
          <w:rtl/>
        </w:rPr>
        <w:t>:</w:t>
      </w:r>
      <w:r w:rsidRPr="005675B2">
        <w:rPr>
          <w:rFonts w:hint="cs"/>
          <w:rtl/>
        </w:rPr>
        <w:t xml:space="preserve"> « ومن هذا القبيل كلامهم في الاستطاعة »</w:t>
      </w:r>
      <w:r w:rsidR="000636C2">
        <w:rPr>
          <w:rFonts w:hint="cs"/>
          <w:rtl/>
        </w:rPr>
        <w:t>،</w:t>
      </w:r>
      <w:r w:rsidRPr="005675B2">
        <w:rPr>
          <w:rFonts w:hint="cs"/>
          <w:rtl/>
        </w:rPr>
        <w:t xml:space="preserve"> فلا بد من بيان لمسألة الاستطاعة، والكلام عليها طويل لا يليق بهذا الكتاب، فنبينها على وجه الإجمال، فنقول</w:t>
      </w:r>
      <w:r w:rsidR="000636C2">
        <w:rPr>
          <w:rFonts w:hint="cs"/>
          <w:rtl/>
        </w:rPr>
        <w:t>:</w:t>
      </w:r>
      <w:r w:rsidRPr="005675B2">
        <w:rPr>
          <w:rFonts w:hint="cs"/>
          <w:rtl/>
        </w:rPr>
        <w:t xml:space="preserve"> المسمى باسم الاستطاعة أمران</w:t>
      </w:r>
      <w:r w:rsidR="000636C2">
        <w:rPr>
          <w:rFonts w:hint="cs"/>
          <w:rtl/>
        </w:rPr>
        <w:t xml:space="preserve">: </w:t>
      </w:r>
      <w:r w:rsidRPr="005675B2">
        <w:rPr>
          <w:rFonts w:hint="cs"/>
          <w:rtl/>
        </w:rPr>
        <w:t>أحدهما</w:t>
      </w:r>
      <w:r w:rsidR="000636C2">
        <w:rPr>
          <w:rFonts w:hint="cs"/>
          <w:rtl/>
        </w:rPr>
        <w:t>:</w:t>
      </w:r>
      <w:r w:rsidRPr="005675B2">
        <w:rPr>
          <w:rFonts w:hint="cs"/>
          <w:rtl/>
        </w:rPr>
        <w:t xml:space="preserve"> سلامة الأسباب وصحة الآلات والتهيؤ لتنفيذ الفعل عن إرادة المختار، والمراد بصحة الآلات صلاحيتها لقبول القدرة الحقيقة، وأن تكون بحالة يصح الفعل بها عادة كصحة البدن والأعضاء والجوارح عن الأمراض والعلل التى تعوقها عن القيام بالفعل، وعلى هذا المعنى ورد قوله تعالى</w:t>
      </w:r>
      <w:r w:rsidR="000636C2">
        <w:rPr>
          <w:rFonts w:hint="cs"/>
          <w:rtl/>
        </w:rPr>
        <w:t>:</w:t>
      </w:r>
      <w:r w:rsidRPr="005675B2">
        <w:rPr>
          <w:rFonts w:hint="cs"/>
          <w:rtl/>
        </w:rPr>
        <w:t xml:space="preserve"> </w:t>
      </w:r>
      <w:r w:rsidR="000636C2">
        <w:rPr>
          <w:rFonts w:hint="cs"/>
          <w:rtl/>
        </w:rPr>
        <w:t>(</w:t>
      </w:r>
      <w:r w:rsidRPr="005675B2">
        <w:rPr>
          <w:rFonts w:hint="cs"/>
          <w:rtl/>
        </w:rPr>
        <w:t>ولله على الناس حج البيت من استطاع إليه سبيلا</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فمن لم يستطع فاطعام ستين مسكينا</w:t>
      </w:r>
      <w:r w:rsidR="000636C2">
        <w:rPr>
          <w:rFonts w:hint="cs"/>
          <w:rtl/>
        </w:rPr>
        <w:t>)</w:t>
      </w:r>
      <w:r w:rsidRPr="005675B2">
        <w:rPr>
          <w:rFonts w:hint="cs"/>
          <w:rtl/>
        </w:rPr>
        <w:t xml:space="preserve"> إلى غير ذلك من الآيات ولا خلاف في أن الاستطاعة بهذا المعنى سابقة على الفعل، وهي شرط لصحة التكليف ومتقدمة عليه</w:t>
      </w:r>
      <w:r w:rsidR="000636C2">
        <w:rPr>
          <w:rFonts w:hint="cs"/>
          <w:rtl/>
        </w:rPr>
        <w:t xml:space="preserve">، </w:t>
      </w:r>
      <w:r w:rsidRPr="005675B2">
        <w:rPr>
          <w:rFonts w:hint="cs"/>
          <w:rtl/>
        </w:rPr>
        <w:t>وثانيهما</w:t>
      </w:r>
      <w:r w:rsidR="000636C2">
        <w:rPr>
          <w:rFonts w:hint="cs"/>
          <w:rtl/>
        </w:rPr>
        <w:t>:</w:t>
      </w:r>
      <w:r w:rsidRPr="005675B2">
        <w:rPr>
          <w:rFonts w:hint="cs"/>
          <w:rtl/>
        </w:rPr>
        <w:t xml:space="preserve"> الاستطاعة المستجمعة لشرائط التأثير التى يقام بها الفعل ظاهرا</w:t>
      </w:r>
      <w:r w:rsidR="000636C2">
        <w:rPr>
          <w:rFonts w:hint="cs"/>
          <w:rtl/>
        </w:rPr>
        <w:t>،</w:t>
      </w:r>
      <w:r w:rsidRPr="005675B2">
        <w:rPr>
          <w:rFonts w:hint="cs"/>
          <w:rtl/>
        </w:rPr>
        <w:t xml:space="preserve"> وعلى هذا المعنى ورد قوله تعالى</w:t>
      </w:r>
      <w:r w:rsidR="000636C2">
        <w:rPr>
          <w:rFonts w:hint="cs"/>
          <w:rtl/>
        </w:rPr>
        <w:t>:</w:t>
      </w:r>
      <w:r w:rsidRPr="005675B2">
        <w:rPr>
          <w:rFonts w:hint="cs"/>
          <w:rtl/>
        </w:rPr>
        <w:t xml:space="preserve"> </w:t>
      </w:r>
      <w:r w:rsidR="000636C2">
        <w:rPr>
          <w:rFonts w:hint="cs"/>
          <w:rtl/>
        </w:rPr>
        <w:t>(</w:t>
      </w:r>
      <w:r w:rsidRPr="005675B2">
        <w:rPr>
          <w:rFonts w:hint="cs"/>
          <w:rtl/>
        </w:rPr>
        <w:t>ما كانوا يستطيعون السمع وما كانوا يبصرون</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إنك لن تستطيع معي صبرا</w:t>
      </w:r>
      <w:r w:rsidR="000636C2">
        <w:rPr>
          <w:rFonts w:hint="cs"/>
          <w:rtl/>
        </w:rPr>
        <w:t>)</w:t>
      </w:r>
      <w:r w:rsidRPr="005675B2">
        <w:rPr>
          <w:rFonts w:hint="cs"/>
          <w:rtl/>
        </w:rPr>
        <w:t xml:space="preserve"> إلى غير ذلك من الآيات</w:t>
      </w:r>
      <w:r w:rsidR="000636C2">
        <w:rPr>
          <w:rFonts w:hint="cs"/>
          <w:rtl/>
        </w:rPr>
        <w:t xml:space="preserve">، </w:t>
      </w:r>
      <w:r w:rsidRPr="005675B2">
        <w:rPr>
          <w:rFonts w:hint="cs"/>
          <w:rtl/>
        </w:rPr>
        <w:t>والاستطاعة بهذا المعنى هي التى اختلف فيها، فقال أهل السنة إنها مقارنة للفعل لا متقدمة عليه، وقالت المعتزلة</w:t>
      </w:r>
      <w:r w:rsidR="000636C2">
        <w:rPr>
          <w:rFonts w:hint="cs"/>
          <w:rtl/>
        </w:rPr>
        <w:t>:</w:t>
      </w:r>
      <w:r w:rsidRPr="005675B2">
        <w:rPr>
          <w:rFonts w:hint="cs"/>
          <w:rtl/>
        </w:rPr>
        <w:t xml:space="preserve"> إنها متقدمة على الفعل</w:t>
      </w:r>
      <w:r w:rsidR="000636C2">
        <w:rPr>
          <w:rFonts w:hint="cs"/>
          <w:rtl/>
        </w:rPr>
        <w:t xml:space="preserve">، </w:t>
      </w:r>
      <w:r w:rsidRPr="005675B2">
        <w:rPr>
          <w:rFonts w:hint="cs"/>
          <w:rtl/>
        </w:rPr>
        <w:t>وهذا الخلاف مبني على الخلاف في خلق أفعال العباد، فالمعتزلة من أجل قولهم بأن أفعال العباد الإختيارية مخلوقة لهم وأثر عن قدرهم قالوا</w:t>
      </w:r>
      <w:r w:rsidR="000636C2">
        <w:rPr>
          <w:rFonts w:hint="cs"/>
          <w:rtl/>
        </w:rPr>
        <w:t>:</w:t>
      </w:r>
      <w:r w:rsidRPr="005675B2">
        <w:rPr>
          <w:rFonts w:hint="cs"/>
          <w:rtl/>
        </w:rPr>
        <w:t xml:space="preserve"> إن القدرة التى بها الفعل متقدمة على الفعل، لأن إيجاد الفعل عبارة عن إخراجه من العدم إلى الوجود، فلابد للقدرة المؤثرة في إيجاده من أن تقارن عدمه حتى يصح إخراجها إياه من العدم إلى الوجود، فلا بد من تقدمها على الفعل</w:t>
      </w:r>
      <w:r w:rsidR="000636C2">
        <w:rPr>
          <w:rFonts w:hint="cs"/>
          <w:rtl/>
        </w:rPr>
        <w:t xml:space="preserve">، </w:t>
      </w:r>
      <w:r w:rsidRPr="005675B2">
        <w:rPr>
          <w:rFonts w:hint="cs"/>
          <w:rtl/>
        </w:rPr>
        <w:t>وأما أهل السنة فمن أجل قولهم</w:t>
      </w:r>
      <w:r w:rsidR="000636C2">
        <w:rPr>
          <w:rFonts w:hint="cs"/>
          <w:rtl/>
        </w:rPr>
        <w:t>:</w:t>
      </w:r>
      <w:r w:rsidRPr="005675B2">
        <w:rPr>
          <w:rFonts w:hint="cs"/>
          <w:rtl/>
        </w:rPr>
        <w:t xml:space="preserve"> بأن القدرة التى بها الفعل ظاهرا غير مؤثرة في وجود الفعل، بل متعلقة به بدون تأثير لها فيه، قالوا</w:t>
      </w:r>
      <w:r w:rsidR="000636C2">
        <w:rPr>
          <w:rFonts w:hint="cs"/>
          <w:rtl/>
        </w:rPr>
        <w:t>:</w:t>
      </w:r>
      <w:r w:rsidRPr="005675B2">
        <w:rPr>
          <w:rFonts w:hint="cs"/>
          <w:rtl/>
        </w:rPr>
        <w:t xml:space="preserve"> إنها مقارنة للفعل، لأن المقارنة لابد منها ليصح تعلقها بالفعل، ويصح كون الفعل مكسوبا للعبد، وأما تقدمها على الفعل فإنما يحتاج إلى القول به إذا قيل</w:t>
      </w:r>
      <w:r w:rsidR="000636C2">
        <w:rPr>
          <w:rFonts w:hint="cs"/>
          <w:rtl/>
        </w:rPr>
        <w:t>:</w:t>
      </w:r>
      <w:r w:rsidRPr="005675B2">
        <w:rPr>
          <w:rFonts w:hint="cs"/>
          <w:rtl/>
        </w:rPr>
        <w:t xml:space="preserve"> إنها مؤثرة في الفعل، وأهل السنة لم يقولوا بتأثيرها، فلم يحتاجوا إلى القول بقدرة موجودة قبل الفعل</w:t>
      </w:r>
      <w:r w:rsidR="000636C2">
        <w:rPr>
          <w:rFonts w:hint="cs"/>
          <w:rtl/>
        </w:rPr>
        <w:t xml:space="preserve">، </w:t>
      </w:r>
      <w:r w:rsidRPr="005675B2">
        <w:rPr>
          <w:rFonts w:hint="cs"/>
          <w:rtl/>
        </w:rPr>
        <w:t>وقد ذكر المتكلمون من أهل السنة في بيان أن القدرة مقارنة للفعل لا متقدمة عليه دلائل أخرى ووجوها أخَر، ونحن نكتفي بهذا القدر</w:t>
      </w:r>
      <w:r w:rsidR="000636C2">
        <w:rPr>
          <w:rFonts w:hint="cs"/>
          <w:rtl/>
        </w:rPr>
        <w:t>،</w:t>
      </w:r>
      <w:r w:rsidRPr="005675B2">
        <w:rPr>
          <w:rFonts w:hint="cs"/>
          <w:rtl/>
        </w:rPr>
        <w:t xml:space="preserve"> ثم إن كون الاستطاعة مع الفعل هو مذهب الإمام أحمد رحمه الله تعالى، ففي عقيدة الإمام أحمد المطبوعة بآخر المجلد الثاني من طبقات الحنابلة ما يلي</w:t>
      </w:r>
      <w:r w:rsidR="000636C2">
        <w:rPr>
          <w:rFonts w:hint="cs"/>
          <w:rtl/>
        </w:rPr>
        <w:t>:</w:t>
      </w:r>
      <w:r w:rsidRPr="005675B2">
        <w:rPr>
          <w:rFonts w:hint="cs"/>
          <w:rtl/>
        </w:rPr>
        <w:t xml:space="preserve"> </w:t>
      </w:r>
      <w:r w:rsidR="000636C2">
        <w:rPr>
          <w:rFonts w:hint="cs"/>
          <w:rtl/>
        </w:rPr>
        <w:t>(</w:t>
      </w:r>
      <w:r w:rsidRPr="005675B2">
        <w:rPr>
          <w:rFonts w:hint="cs"/>
          <w:rtl/>
        </w:rPr>
        <w:t>وكان أحمد يذهب إلى أن الإستطاعة مع الفعل</w:t>
      </w:r>
      <w:r w:rsidR="000636C2">
        <w:rPr>
          <w:rFonts w:hint="cs"/>
          <w:rtl/>
        </w:rPr>
        <w:t>،</w:t>
      </w:r>
      <w:r w:rsidRPr="005675B2">
        <w:rPr>
          <w:rFonts w:hint="cs"/>
          <w:rtl/>
        </w:rPr>
        <w:t xml:space="preserve"> وقرأ قوله عز وجل</w:t>
      </w:r>
      <w:r w:rsidR="000636C2">
        <w:rPr>
          <w:rFonts w:hint="cs"/>
          <w:rtl/>
        </w:rPr>
        <w:t>:</w:t>
      </w:r>
      <w:r w:rsidRPr="005675B2">
        <w:rPr>
          <w:rFonts w:hint="cs"/>
          <w:rtl/>
        </w:rPr>
        <w:t xml:space="preserve"> </w:t>
      </w:r>
      <w:r w:rsidR="000636C2">
        <w:rPr>
          <w:rFonts w:hint="cs"/>
          <w:rtl/>
        </w:rPr>
        <w:t>(</w:t>
      </w:r>
      <w:r w:rsidRPr="005675B2">
        <w:rPr>
          <w:rFonts w:hint="cs"/>
          <w:rtl/>
        </w:rPr>
        <w:t>انظر كيف ضربوا لك الأمثال فضلوا فلا يستطيعون سبيلا</w:t>
      </w:r>
      <w:r w:rsidR="000636C2">
        <w:rPr>
          <w:rFonts w:hint="cs"/>
          <w:rtl/>
        </w:rPr>
        <w:t>)</w:t>
      </w:r>
      <w:r w:rsidRPr="005675B2">
        <w:rPr>
          <w:rFonts w:hint="cs"/>
          <w:rtl/>
        </w:rPr>
        <w:t xml:space="preserve"> وقرأ </w:t>
      </w:r>
      <w:r w:rsidRPr="005675B2">
        <w:rPr>
          <w:rFonts w:hint="cs"/>
          <w:rtl/>
        </w:rPr>
        <w:softHyphen/>
      </w:r>
      <w:r w:rsidRPr="005675B2">
        <w:rPr>
          <w:rFonts w:hint="cs"/>
          <w:rtl/>
        </w:rPr>
        <w:softHyphen/>
      </w:r>
      <w:r w:rsidR="000636C2">
        <w:rPr>
          <w:rFonts w:hint="cs"/>
          <w:rtl/>
        </w:rPr>
        <w:t>(</w:t>
      </w:r>
      <w:r w:rsidRPr="005675B2">
        <w:rPr>
          <w:rFonts w:hint="cs"/>
          <w:rtl/>
        </w:rPr>
        <w:t>ذلك تأويل ما لم تستطع عليه صبرا</w:t>
      </w:r>
      <w:r w:rsidR="000636C2">
        <w:rPr>
          <w:rFonts w:hint="cs"/>
          <w:rtl/>
        </w:rPr>
        <w:t>)</w:t>
      </w:r>
      <w:r w:rsidRPr="005675B2">
        <w:rPr>
          <w:rFonts w:hint="cs"/>
          <w:rtl/>
        </w:rPr>
        <w:t xml:space="preserve"> والقوم لا آفة بهم</w:t>
      </w:r>
      <w:r w:rsidR="000636C2">
        <w:rPr>
          <w:rFonts w:hint="cs"/>
          <w:rtl/>
        </w:rPr>
        <w:t>،</w:t>
      </w:r>
      <w:r w:rsidRPr="005675B2">
        <w:rPr>
          <w:rFonts w:hint="cs"/>
          <w:rtl/>
        </w:rPr>
        <w:t xml:space="preserve"> وكان موسى تاركا للصبر</w:t>
      </w:r>
      <w:r w:rsidR="000636C2">
        <w:rPr>
          <w:rFonts w:hint="cs"/>
          <w:rtl/>
        </w:rPr>
        <w:t>،</w:t>
      </w:r>
      <w:r w:rsidRPr="005675B2">
        <w:rPr>
          <w:rFonts w:hint="cs"/>
          <w:rtl/>
        </w:rPr>
        <w:t xml:space="preserve"> وقرأ </w:t>
      </w:r>
      <w:r w:rsidR="000636C2">
        <w:rPr>
          <w:rFonts w:hint="cs"/>
          <w:rtl/>
        </w:rPr>
        <w:t>(</w:t>
      </w:r>
      <w:r w:rsidRPr="005675B2">
        <w:rPr>
          <w:rFonts w:hint="cs"/>
          <w:rtl/>
        </w:rPr>
        <w:t>ولن تستطيعوا أن تعدلوا بين النساء ولو حرصتم</w:t>
      </w:r>
      <w:r w:rsidR="000636C2">
        <w:rPr>
          <w:rFonts w:hint="cs"/>
          <w:rtl/>
        </w:rPr>
        <w:t>)</w:t>
      </w:r>
      <w:r w:rsidRPr="005675B2">
        <w:rPr>
          <w:rFonts w:hint="cs"/>
          <w:rtl/>
        </w:rPr>
        <w:t xml:space="preserve"> فدل على عجزنا</w:t>
      </w:r>
      <w:r w:rsidR="000636C2">
        <w:rPr>
          <w:rFonts w:hint="cs"/>
          <w:rtl/>
        </w:rPr>
        <w:t>،</w:t>
      </w:r>
      <w:r w:rsidRPr="005675B2">
        <w:rPr>
          <w:rFonts w:hint="cs"/>
          <w:rtl/>
        </w:rPr>
        <w:t xml:space="preserve"> ودل ذلك على أن الخلق بهذه الصفة لا يقدرون إلا بالله، ولا يصنعون إلا بقدرة الله</w:t>
      </w:r>
      <w:r w:rsidR="000636C2">
        <w:rPr>
          <w:rFonts w:hint="cs"/>
          <w:rtl/>
        </w:rPr>
        <w:t>)</w:t>
      </w:r>
      <w:r w:rsidRPr="005675B2">
        <w:rPr>
          <w:rFonts w:hint="cs"/>
          <w:rtl/>
        </w:rPr>
        <w:t xml:space="preserve"> [</w:t>
      </w:r>
      <w:r w:rsidRPr="005675B2">
        <w:rPr>
          <w:rFonts w:hint="cs"/>
          <w:sz w:val="24"/>
          <w:szCs w:val="24"/>
          <w:rtl/>
        </w:rPr>
        <w:t>طبقات الحنابلة 2/299]</w:t>
      </w:r>
      <w:r w:rsidRPr="005675B2">
        <w:rPr>
          <w:rFonts w:hint="cs"/>
          <w:rtl/>
        </w:rPr>
        <w:t xml:space="preserve"> يقصد الإمام أحمد رحمه الله أن قدر الخلق المقرونة بالفعل غير مؤثرة في وجود الفعل، بل متعلقة به بلا تأثير، وأنها مخلوقة لله تعالى، فمن أجل ذلك فهم لا يقدرون إلا بالله، ولا يصنعون إلا بقدرة الله تعالى، لا بقدرتهم</w:t>
      </w:r>
      <w:r w:rsidR="000636C2">
        <w:rPr>
          <w:rFonts w:hint="cs"/>
          <w:rtl/>
        </w:rPr>
        <w:t>،</w:t>
      </w:r>
      <w:r w:rsidRPr="005675B2">
        <w:rPr>
          <w:rFonts w:hint="cs"/>
          <w:rtl/>
        </w:rPr>
        <w:t xml:space="preserve"> ثم قال الإمام أحمد رحمه الله تعالى إشارة إلى المعنى الأول للاستطاعة، وهي المتقدمة على الفعل اتفاقا</w:t>
      </w:r>
      <w:r w:rsidR="000636C2">
        <w:rPr>
          <w:rFonts w:hint="cs"/>
          <w:rtl/>
        </w:rPr>
        <w:t>:</w:t>
      </w:r>
      <w:r w:rsidRPr="005675B2">
        <w:rPr>
          <w:rFonts w:hint="cs"/>
          <w:rtl/>
        </w:rPr>
        <w:t xml:space="preserve"> </w:t>
      </w:r>
      <w:r w:rsidR="000636C2">
        <w:rPr>
          <w:rFonts w:hint="cs"/>
          <w:rtl/>
        </w:rPr>
        <w:t>(</w:t>
      </w:r>
      <w:r w:rsidRPr="005675B2">
        <w:rPr>
          <w:rFonts w:hint="cs"/>
          <w:rtl/>
        </w:rPr>
        <w:t>وقد سمي الإنسان مستطيعا إذا كان سليما من الآفات</w:t>
      </w:r>
      <w:r w:rsidR="000636C2">
        <w:rPr>
          <w:rFonts w:hint="cs"/>
          <w:rtl/>
        </w:rPr>
        <w:t>)،</w:t>
      </w:r>
      <w:r w:rsidRPr="005675B2">
        <w:rPr>
          <w:rFonts w:hint="cs"/>
          <w:rtl/>
        </w:rPr>
        <w:t xml:space="preserve"> هذا هو كلام الإمام أحمد، وهذا مذهبه، وهو مذهب الأشاعرة نفسه، فليت شعري ما الذي ينكره الدكتور على الأشاعرة في مسألة الاستطاعة، وما هو المنقول والمعقول الذي خرجوا عنه</w:t>
      </w:r>
      <w:r w:rsidR="000636C2">
        <w:rPr>
          <w:rFonts w:hint="cs"/>
          <w:rtl/>
        </w:rPr>
        <w:t>؟!</w:t>
      </w:r>
      <w:r w:rsidRPr="005675B2">
        <w:rPr>
          <w:rFonts w:hint="cs"/>
          <w:rtl/>
        </w:rPr>
        <w:t>!</w:t>
      </w:r>
    </w:p>
    <w:p w14:paraId="2D9548C1" w14:textId="385322FA" w:rsidR="009C32A0" w:rsidRPr="005675B2" w:rsidRDefault="009C32A0" w:rsidP="000636C2">
      <w:pPr>
        <w:rPr>
          <w:b/>
          <w:rtl/>
        </w:rPr>
      </w:pPr>
      <w:r w:rsidRPr="005675B2">
        <w:rPr>
          <w:rFonts w:hint="cs"/>
          <w:rtl/>
        </w:rPr>
        <w:t>51 - العلاقة بين السبب والمسبب عند الأشاعرة</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السابع السببية وأفعال المخلوقات "</w:t>
      </w:r>
      <w:r w:rsidR="000636C2">
        <w:rPr>
          <w:rFonts w:hint="cs"/>
          <w:rtl/>
        </w:rPr>
        <w:t>،</w:t>
      </w:r>
    </w:p>
    <w:p w14:paraId="5314E14A" w14:textId="3D002376" w:rsidR="009C32A0" w:rsidRPr="005675B2" w:rsidRDefault="009C32A0" w:rsidP="000636C2">
      <w:pPr>
        <w:rPr>
          <w:b/>
          <w:rtl/>
        </w:rPr>
      </w:pPr>
      <w:r w:rsidRPr="005675B2">
        <w:rPr>
          <w:rFonts w:hint="cs"/>
          <w:rtl/>
        </w:rPr>
        <w:t>" يُنكرُ الأشاعرةُ الربط العادي بإطلاقٍ، وأن يكون شيءٌ مؤثراً في شيءٍ، وأنكروا كلِّ "باءِ سببيةٍ" في القرآن، وكفَّروا وبدَّعوا مَنْ خالفهم</w:t>
      </w:r>
      <w:r w:rsidR="000636C2">
        <w:rPr>
          <w:rFonts w:hint="cs"/>
          <w:rtl/>
        </w:rPr>
        <w:t>،</w:t>
      </w:r>
      <w:r w:rsidRPr="005675B2">
        <w:rPr>
          <w:rFonts w:hint="cs"/>
          <w:rtl/>
        </w:rPr>
        <w:t xml:space="preserve"> ومأخذُهم فيها هو مأخذهم في القدر</w:t>
      </w:r>
      <w:r w:rsidR="000636C2">
        <w:rPr>
          <w:rFonts w:hint="cs"/>
          <w:rtl/>
        </w:rPr>
        <w:t>،</w:t>
      </w:r>
      <w:r w:rsidRPr="005675B2">
        <w:rPr>
          <w:rFonts w:hint="cs"/>
          <w:rtl/>
        </w:rPr>
        <w:t xml:space="preserve"> فمثلاً عندهم مَنْ قال</w:t>
      </w:r>
      <w:r w:rsidR="000636C2">
        <w:rPr>
          <w:rFonts w:hint="cs"/>
          <w:rtl/>
        </w:rPr>
        <w:t>:</w:t>
      </w:r>
      <w:r w:rsidRPr="005675B2">
        <w:rPr>
          <w:rFonts w:hint="cs"/>
          <w:rtl/>
        </w:rPr>
        <w:t xml:space="preserve"> إن النارَ تحرقُ بطبعِها أو هي علَّةُ الإحراق فهو كافرٌ مشركٌ، لأنه لا فاعلَ عندهم إلا اللهُ مطلقاً .. ومَنْ قال عندهم</w:t>
      </w:r>
      <w:r w:rsidR="000636C2">
        <w:rPr>
          <w:rFonts w:hint="cs"/>
          <w:rtl/>
        </w:rPr>
        <w:t>:</w:t>
      </w:r>
      <w:r w:rsidRPr="005675B2">
        <w:rPr>
          <w:rFonts w:hint="cs"/>
          <w:rtl/>
        </w:rPr>
        <w:t xml:space="preserve"> إنَّ النار تحرقُ بقوةٍ أودعها اللهُ فيها فهو مبتدعٌ ضالُّ</w:t>
      </w:r>
      <w:r w:rsidR="000636C2">
        <w:rPr>
          <w:rFonts w:hint="cs"/>
          <w:rtl/>
        </w:rPr>
        <w:t>،</w:t>
      </w:r>
      <w:r w:rsidRPr="005675B2">
        <w:rPr>
          <w:rFonts w:hint="cs"/>
          <w:rtl/>
        </w:rPr>
        <w:t xml:space="preserve"> قالوا</w:t>
      </w:r>
      <w:r w:rsidR="000636C2">
        <w:rPr>
          <w:rFonts w:hint="cs"/>
          <w:rtl/>
        </w:rPr>
        <w:t>:</w:t>
      </w:r>
      <w:r w:rsidRPr="005675B2">
        <w:rPr>
          <w:rFonts w:hint="cs"/>
          <w:rtl/>
        </w:rPr>
        <w:t xml:space="preserve"> إنَّ فاعل الإحراق هو الله، ولكنَّ فِعْله يقعُ مقترناً بشيء ظاهريٍّ مخلوقٍ، فلا ارتباط عندَهُمْ بينَ سببٍ ومسبَّبٍ أصلاً، وإنما المسألة اقتران كاقتران الزميلين من الأصدقاء في ذهابهما وإيابهما "</w:t>
      </w:r>
      <w:r w:rsidR="000636C2">
        <w:rPr>
          <w:rFonts w:hint="cs"/>
          <w:rtl/>
        </w:rPr>
        <w:t xml:space="preserve">، </w:t>
      </w:r>
      <w:r w:rsidRPr="005675B2">
        <w:rPr>
          <w:rFonts w:hint="cs"/>
          <w:rtl/>
        </w:rPr>
        <w:t>أقول</w:t>
      </w:r>
      <w:r w:rsidR="000636C2">
        <w:rPr>
          <w:rFonts w:hint="cs"/>
          <w:rtl/>
        </w:rPr>
        <w:t>:</w:t>
      </w:r>
      <w:r w:rsidRPr="005675B2">
        <w:rPr>
          <w:rFonts w:hint="cs"/>
          <w:rtl/>
        </w:rPr>
        <w:t>لم ينكر الأشاعرة الربط العادي بين السبب والمسبب بل أثبتوه، وإنما الذي أنكروه هو الربطُ الحقيقيُّ والتأثير، فقالوا</w:t>
      </w:r>
      <w:r w:rsidR="000636C2">
        <w:rPr>
          <w:rFonts w:hint="cs"/>
          <w:rtl/>
        </w:rPr>
        <w:t>:</w:t>
      </w:r>
      <w:r w:rsidRPr="005675B2">
        <w:rPr>
          <w:rFonts w:hint="cs"/>
          <w:rtl/>
        </w:rPr>
        <w:t xml:space="preserve"> المؤثرُ في وجود المسبَّبِ حقيقةً هو اللهُ تعالى، وهذا هو التوحيدُ الخالصُ</w:t>
      </w:r>
      <w:r w:rsidR="000636C2">
        <w:rPr>
          <w:rFonts w:hint="cs"/>
          <w:rtl/>
        </w:rPr>
        <w:t>،</w:t>
      </w:r>
      <w:r w:rsidRPr="005675B2">
        <w:rPr>
          <w:rFonts w:hint="cs"/>
          <w:rtl/>
        </w:rPr>
        <w:t xml:space="preserve"> وكفروا الفلاسفة الذين يقولون</w:t>
      </w:r>
      <w:r w:rsidR="000636C2">
        <w:rPr>
          <w:rFonts w:hint="cs"/>
          <w:rtl/>
        </w:rPr>
        <w:t>:</w:t>
      </w:r>
      <w:r w:rsidRPr="005675B2">
        <w:rPr>
          <w:rFonts w:hint="cs"/>
          <w:rtl/>
        </w:rPr>
        <w:t xml:space="preserve"> إن النار تحرق بطبعها لا يستطيع الله تعالى أن يسلبها وصف الإحراق لمنافاته للتوحيد ولتحديده قدرة الله تعالى</w:t>
      </w:r>
      <w:r w:rsidR="000636C2">
        <w:rPr>
          <w:rFonts w:hint="cs"/>
          <w:rtl/>
        </w:rPr>
        <w:t xml:space="preserve">، </w:t>
      </w:r>
      <w:r w:rsidRPr="005675B2">
        <w:rPr>
          <w:rFonts w:hint="cs"/>
          <w:rtl/>
        </w:rPr>
        <w:t>وأما الذين يقولون إنّ السببّ مؤثِّرٌ في وجود المسبَّبِ بقوةٍ أودَعها اللهُ فيه يسلب الله تعالى تلك القوة إذا شاء، فلقولهم حظٌّ من النظر، وهم لا يبدعون بذلك</w:t>
      </w:r>
      <w:r w:rsidR="000636C2">
        <w:rPr>
          <w:rFonts w:hint="cs"/>
          <w:rtl/>
        </w:rPr>
        <w:t xml:space="preserve">، </w:t>
      </w:r>
      <w:r w:rsidRPr="005675B2">
        <w:rPr>
          <w:rFonts w:hint="cs"/>
          <w:rtl/>
        </w:rPr>
        <w:t>وأما الباءُ السببيةُ الواردةُ في القرآن فلم ينكروها، بل يحملونها على السببية العادية والعُرْفيةِ دون السببية الحقيقية وذلك لأن اللغة يلاحظ فيها العادة والعرف، ولا يلاحظ فيها التدقيقات الفلسفية</w:t>
      </w:r>
      <w:r w:rsidR="000636C2">
        <w:rPr>
          <w:rFonts w:hint="cs"/>
          <w:rtl/>
        </w:rPr>
        <w:t>،</w:t>
      </w:r>
      <w:r w:rsidRPr="005675B2">
        <w:rPr>
          <w:rFonts w:hint="cs"/>
          <w:rtl/>
        </w:rPr>
        <w:t xml:space="preserve"> وما ورد في بعض الكتب من نسبة القائلين بالقوة المودعةِ إلى البدعة فإنما هو رأيٌ لبعض المتأخرين منهم</w:t>
      </w:r>
      <w:r w:rsidR="000636C2">
        <w:rPr>
          <w:rFonts w:hint="cs"/>
          <w:rtl/>
        </w:rPr>
        <w:t xml:space="preserve">، </w:t>
      </w:r>
      <w:r w:rsidRPr="005675B2">
        <w:rPr>
          <w:rFonts w:hint="cs"/>
          <w:rtl/>
        </w:rPr>
        <w:t>قال الإمام عزُّ الدين بنُ عبدِ السلام</w:t>
      </w:r>
      <w:r w:rsidR="000636C2">
        <w:rPr>
          <w:rFonts w:hint="cs"/>
          <w:rtl/>
        </w:rPr>
        <w:t>:</w:t>
      </w:r>
      <w:r w:rsidRPr="005675B2">
        <w:rPr>
          <w:rFonts w:hint="cs"/>
          <w:rtl/>
        </w:rPr>
        <w:t xml:space="preserve"> والعجبُ أنّهم</w:t>
      </w:r>
      <w:r w:rsidR="000636C2">
        <w:rPr>
          <w:rFonts w:hint="cs"/>
          <w:rtl/>
        </w:rPr>
        <w:t xml:space="preserve"> </w:t>
      </w:r>
      <w:r w:rsidRPr="005675B2">
        <w:rPr>
          <w:rFonts w:hint="cs"/>
          <w:rtl/>
        </w:rPr>
        <w:t>- الحشويةَ - يذمُّونَ الأشعريَّ بقوله</w:t>
      </w:r>
      <w:r w:rsidR="000636C2">
        <w:rPr>
          <w:rFonts w:hint="cs"/>
          <w:rtl/>
        </w:rPr>
        <w:t>:</w:t>
      </w:r>
      <w:r w:rsidRPr="005675B2">
        <w:rPr>
          <w:rFonts w:hint="cs"/>
          <w:rtl/>
        </w:rPr>
        <w:t xml:space="preserve"> "إنَّ الخبزَ لا يُشْبعُ، والنارَ لا تحرقُ" وهذا كلامٌ أنزلَ اللهُ معناهُ في كتابه، فإنَّ الشبعَ والريَّ والإحراقَ حوادثٌ انفردَ اللهُ بخلقها؛ فلم يخلق الخبزُ الشبعَ، ولم يخلقِ الماءُ الريَّ، ولم تخلقِ النارُ الإحراقَ، وإن كانت أسباباً في ذلك</w:t>
      </w:r>
      <w:r w:rsidR="000636C2">
        <w:rPr>
          <w:rFonts w:hint="cs"/>
          <w:rtl/>
        </w:rPr>
        <w:t>،</w:t>
      </w:r>
      <w:r w:rsidRPr="005675B2">
        <w:rPr>
          <w:rFonts w:hint="cs"/>
          <w:rtl/>
        </w:rPr>
        <w:t xml:space="preserve"> فالخالقُ هو اللهُ دون السبب كما قال تعالى</w:t>
      </w:r>
      <w:r w:rsidR="000636C2">
        <w:rPr>
          <w:rFonts w:hint="cs"/>
          <w:rtl/>
        </w:rPr>
        <w:t>:</w:t>
      </w:r>
      <w:r w:rsidRPr="005675B2">
        <w:rPr>
          <w:rFonts w:hint="cs"/>
          <w:rtl/>
        </w:rPr>
        <w:t xml:space="preserve"> "وما رميتَ إذ رميت ولكنَّ الله رمى" فنفى أن يكونَ رسولُهُ خالقاً للرمي وإن كان سبباً فيه</w:t>
      </w:r>
      <w:r w:rsidR="000636C2">
        <w:rPr>
          <w:rFonts w:hint="cs"/>
          <w:rtl/>
        </w:rPr>
        <w:t xml:space="preserve">، </w:t>
      </w:r>
      <w:r w:rsidRPr="005675B2">
        <w:rPr>
          <w:rFonts w:hint="cs"/>
          <w:rtl/>
        </w:rPr>
        <w:t>وقد قال تعالى</w:t>
      </w:r>
      <w:r w:rsidR="000636C2">
        <w:rPr>
          <w:rFonts w:hint="cs"/>
          <w:rtl/>
        </w:rPr>
        <w:t>:</w:t>
      </w:r>
      <w:r w:rsidRPr="005675B2">
        <w:rPr>
          <w:rFonts w:hint="cs"/>
          <w:rtl/>
        </w:rPr>
        <w:t xml:space="preserve"> "وإنّه هو أضحك وأبكى وأنه هو أماتَ وأحيا" فاقتطع الإضحاك والإبكاء والإماتةَ والإحياءَ عن أسبابها وأضافَها إليه، فكذلك اقتطع الأشعريُّ رحمه الله الشبعَ والريَّ والإحراقَ عن أسبابها، وأضافها إلى خالقها لقوله تعالى</w:t>
      </w:r>
      <w:r w:rsidR="000636C2">
        <w:rPr>
          <w:rFonts w:hint="cs"/>
          <w:rtl/>
        </w:rPr>
        <w:t>:</w:t>
      </w:r>
      <w:r w:rsidRPr="005675B2">
        <w:rPr>
          <w:rFonts w:hint="cs"/>
          <w:rtl/>
        </w:rPr>
        <w:t xml:space="preserve"> "خالق كلِّ شيء" وقولِهِ</w:t>
      </w:r>
      <w:r w:rsidR="000636C2">
        <w:rPr>
          <w:rFonts w:hint="cs"/>
          <w:rtl/>
        </w:rPr>
        <w:t>:</w:t>
      </w:r>
      <w:r w:rsidRPr="005675B2">
        <w:rPr>
          <w:rFonts w:hint="cs"/>
          <w:rtl/>
        </w:rPr>
        <w:t xml:space="preserve"> "هل من خالقٍ غير الله"</w:t>
      </w:r>
      <w:r w:rsidR="000636C2">
        <w:rPr>
          <w:rFonts w:hint="cs"/>
          <w:rtl/>
        </w:rPr>
        <w:t xml:space="preserve">، </w:t>
      </w:r>
      <w:r w:rsidRPr="005675B2">
        <w:rPr>
          <w:rFonts w:hint="cs"/>
          <w:rtl/>
        </w:rPr>
        <w:t>"بل كذبوا بما لم يحيطوا بعلمه ولمَّا يأتِهم تأويلُه" "أكذبتم بآياتي ولم تُحيطوا بها علماً أم ماذا تعملون"</w:t>
      </w:r>
      <w:r w:rsidR="000636C2">
        <w:rPr>
          <w:rFonts w:hint="cs"/>
          <w:rtl/>
        </w:rPr>
        <w:t xml:space="preserve">، </w:t>
      </w:r>
      <w:r w:rsidRPr="005675B2">
        <w:rPr>
          <w:rFonts w:hint="cs"/>
          <w:rtl/>
        </w:rPr>
        <w:t>وكم من عائب قولاً صحيحاً</w:t>
      </w:r>
      <w:r w:rsidRPr="005675B2">
        <w:rPr>
          <w:rFonts w:hint="cs"/>
          <w:rtl/>
        </w:rPr>
        <w:tab/>
        <w:t>وآفته من الفهمِ السقيم</w:t>
      </w:r>
      <w:r w:rsidR="000636C2">
        <w:rPr>
          <w:rFonts w:hint="cs"/>
          <w:rtl/>
        </w:rPr>
        <w:t xml:space="preserve">، </w:t>
      </w:r>
      <w:r w:rsidRPr="005675B2">
        <w:rPr>
          <w:rFonts w:hint="cs"/>
          <w:rtl/>
        </w:rPr>
        <w:t>فسبحان من رضي عن أقوامٍ فداناهم وسخط على آخرين فأقصاهم</w:t>
      </w:r>
      <w:r w:rsidR="000636C2">
        <w:rPr>
          <w:rFonts w:hint="cs"/>
          <w:rtl/>
        </w:rPr>
        <w:t>،</w:t>
      </w:r>
      <w:r w:rsidRPr="005675B2">
        <w:rPr>
          <w:rFonts w:hint="cs"/>
          <w:rtl/>
        </w:rPr>
        <w:t xml:space="preserve"> "لا يُسأل عما يفعلُ وهُمْ يُسألون"</w:t>
      </w:r>
      <w:r w:rsidR="000636C2">
        <w:rPr>
          <w:rFonts w:hint="cs"/>
          <w:rtl/>
        </w:rPr>
        <w:t>،</w:t>
      </w:r>
      <w:r w:rsidRPr="005675B2">
        <w:rPr>
          <w:rFonts w:hint="cs"/>
          <w:rtl/>
        </w:rPr>
        <w:t xml:space="preserve"> [</w:t>
      </w:r>
      <w:r w:rsidRPr="005675B2">
        <w:rPr>
          <w:rFonts w:hint="cs"/>
          <w:sz w:val="24"/>
          <w:szCs w:val="24"/>
          <w:rtl/>
        </w:rPr>
        <w:t>ملحة الاعتقاد طبع دار القادري 48]</w:t>
      </w:r>
      <w:r w:rsidR="000636C2">
        <w:rPr>
          <w:rFonts w:hint="cs"/>
          <w:rtl/>
        </w:rPr>
        <w:t xml:space="preserve">، </w:t>
      </w:r>
      <w:r w:rsidRPr="005675B2">
        <w:rPr>
          <w:rFonts w:hint="cs"/>
          <w:rtl/>
        </w:rPr>
        <w:t>وقوله</w:t>
      </w:r>
      <w:r w:rsidR="000636C2">
        <w:rPr>
          <w:rFonts w:hint="cs"/>
          <w:rtl/>
        </w:rPr>
        <w:t>:</w:t>
      </w:r>
      <w:r w:rsidRPr="005675B2">
        <w:rPr>
          <w:rFonts w:hint="cs"/>
          <w:rtl/>
        </w:rPr>
        <w:t xml:space="preserve"> </w:t>
      </w:r>
      <w:r w:rsidR="000636C2">
        <w:rPr>
          <w:rFonts w:hint="cs"/>
          <w:rtl/>
        </w:rPr>
        <w:t>(</w:t>
      </w:r>
      <w:r w:rsidRPr="005675B2">
        <w:rPr>
          <w:rFonts w:hint="cs"/>
          <w:rtl/>
        </w:rPr>
        <w:t>لكن فعله يقع مقترنا بشيئ ظاهري مخلوق</w:t>
      </w:r>
      <w:r w:rsidR="000636C2">
        <w:rPr>
          <w:rFonts w:hint="cs"/>
          <w:rtl/>
        </w:rPr>
        <w:t>)</w:t>
      </w:r>
      <w:r w:rsidRPr="005675B2">
        <w:rPr>
          <w:rFonts w:hint="cs"/>
          <w:rtl/>
        </w:rPr>
        <w:t xml:space="preserve"> وإتيانه بعد قوله</w:t>
      </w:r>
      <w:r w:rsidR="000636C2">
        <w:rPr>
          <w:rFonts w:hint="cs"/>
          <w:rtl/>
        </w:rPr>
        <w:t>:</w:t>
      </w:r>
      <w:r w:rsidRPr="005675B2">
        <w:rPr>
          <w:rFonts w:hint="cs"/>
          <w:rtl/>
        </w:rPr>
        <w:t xml:space="preserve"> « قالوا</w:t>
      </w:r>
      <w:r w:rsidR="000636C2">
        <w:rPr>
          <w:rFonts w:hint="cs"/>
          <w:rtl/>
        </w:rPr>
        <w:t>:</w:t>
      </w:r>
      <w:r w:rsidRPr="005675B2">
        <w:rPr>
          <w:rFonts w:hint="cs"/>
          <w:rtl/>
        </w:rPr>
        <w:t xml:space="preserve"> إن فاعل الإحراق هو الله » يدل على أن الدكتور يقصد به أن الأشاعرة يقولون</w:t>
      </w:r>
      <w:r w:rsidR="000636C2">
        <w:rPr>
          <w:rFonts w:hint="cs"/>
          <w:rtl/>
        </w:rPr>
        <w:t>:</w:t>
      </w:r>
      <w:r w:rsidRPr="005675B2">
        <w:rPr>
          <w:rFonts w:hint="cs"/>
          <w:rtl/>
        </w:rPr>
        <w:t xml:space="preserve"> إن فعل الله غير مؤثر في وجود المسبب بل مقارن له، وهذا مع أنه خطأ مناقض لسابقه</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والغريبُ أنَّ هذا هو مذهبُ ما يُسمَّى المدرسةَ الوضعيَّةَ من المفكرين الغربيين المحدثين ومَنْ وافقَهُمْ من ملاحدة العرب، وما ذاك إلا لأنَّ الأشاعرةَ والوضعيين كلاهُما ناقلٌ عن الفكر الفلسفي الإغريقي "</w:t>
      </w:r>
      <w:r w:rsidR="000636C2">
        <w:rPr>
          <w:rFonts w:hint="cs"/>
          <w:rtl/>
        </w:rPr>
        <w:t>،</w:t>
      </w:r>
      <w:r w:rsidRPr="005675B2">
        <w:rPr>
          <w:rFonts w:hint="cs"/>
          <w:rtl/>
        </w:rPr>
        <w:t xml:space="preserve"> أقول</w:t>
      </w:r>
      <w:r w:rsidR="000636C2">
        <w:rPr>
          <w:rFonts w:hint="cs"/>
          <w:rtl/>
        </w:rPr>
        <w:t>:</w:t>
      </w:r>
      <w:r w:rsidRPr="005675B2">
        <w:rPr>
          <w:rFonts w:hint="cs"/>
          <w:rtl/>
        </w:rPr>
        <w:t xml:space="preserve"> الأشاعرةُ إنما قالوا بذلك على حَسْب ما أداهم إليه نصوص الكتاب والسنة التي تنص على أنه لا خالق إلا الله ولا مؤثر في الكون إلا الله</w:t>
      </w:r>
      <w:r w:rsidR="000636C2">
        <w:rPr>
          <w:rFonts w:hint="cs"/>
          <w:rtl/>
        </w:rPr>
        <w:t>،</w:t>
      </w:r>
      <w:r w:rsidRPr="005675B2">
        <w:rPr>
          <w:rFonts w:hint="cs"/>
          <w:rtl/>
        </w:rPr>
        <w:t xml:space="preserve"> ورأوْا أنَّ ذلك هو التوحيدُ الخالصُ .. وللمشاغبِ أن يقولَ ما يشاءُ</w:t>
      </w:r>
      <w:r w:rsidR="000636C2">
        <w:rPr>
          <w:rFonts w:hint="cs"/>
          <w:rtl/>
        </w:rPr>
        <w:t>،</w:t>
      </w:r>
    </w:p>
    <w:p w14:paraId="6313B12B" w14:textId="73557FE3" w:rsidR="009C32A0" w:rsidRPr="005675B2" w:rsidRDefault="009C32A0" w:rsidP="000636C2">
      <w:pPr>
        <w:rPr>
          <w:b/>
          <w:rtl/>
        </w:rPr>
      </w:pPr>
      <w:r w:rsidRPr="005675B2">
        <w:rPr>
          <w:rFonts w:hint="cs"/>
          <w:rtl/>
        </w:rPr>
        <w:t>52 - مسألة تعليل أفعال الله تعالى وأحكامه</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الثامن الحكمة الغائية</w:t>
      </w:r>
      <w:r w:rsidR="000636C2">
        <w:rPr>
          <w:rFonts w:hint="cs"/>
          <w:rtl/>
        </w:rPr>
        <w:t>:</w:t>
      </w:r>
      <w:r w:rsidRPr="005675B2">
        <w:rPr>
          <w:rFonts w:hint="cs"/>
          <w:rtl/>
        </w:rPr>
        <w:t xml:space="preserve"> ينفي الأشاعرةُ قطعاً أن يكونَ لشيءٍ من أفعالِ اللهِ تعالى علةٌ مشتملةٌ على حكمةٍ تقضي إيجادَ ذلك الفعل أو عَدَمه، وهذا نصُّ كلامهم تقريباً، وهو ردِّ فعلٍ لقولِ المعتزلةِ بالوجوبِ على الله، حتى أنكرَ الأشاعرةُ كلَّ لامِ تعليلٍ في القرآن وقالوا إنَّ كونَهُ يفعلُ شيئاً لعلَّةٍ ينافي كونَهُ مختاراً مريداً</w:t>
      </w:r>
      <w:r w:rsidR="000636C2">
        <w:rPr>
          <w:rFonts w:hint="cs"/>
          <w:rtl/>
        </w:rPr>
        <w:t xml:space="preserve">، </w:t>
      </w:r>
      <w:r w:rsidRPr="005675B2">
        <w:rPr>
          <w:rFonts w:hint="cs"/>
          <w:rtl/>
        </w:rPr>
        <w:t>وهذا الأصلُ تُسمِّيهِ بعضُ كُتُبهم "نفيَ الغرضِ عن الله" ويعتبرونه من لوازمِ التنزيه، وجعلوا أفعالَهُ تعالى كلَّها راجعةً إلى محضِ المشيئة ولا تعليقَ لصفةٍ أخرى</w:t>
      </w:r>
      <w:r w:rsidR="000636C2">
        <w:rPr>
          <w:rFonts w:hint="cs"/>
          <w:rtl/>
        </w:rPr>
        <w:t xml:space="preserve"> </w:t>
      </w:r>
      <w:r w:rsidRPr="005675B2">
        <w:rPr>
          <w:rFonts w:hint="cs"/>
          <w:rtl/>
        </w:rPr>
        <w:t>- كالحكمة مثلاً</w:t>
      </w:r>
      <w:r w:rsidR="000636C2">
        <w:rPr>
          <w:rFonts w:hint="cs"/>
          <w:rtl/>
        </w:rPr>
        <w:t xml:space="preserve"> </w:t>
      </w:r>
      <w:r w:rsidRPr="005675B2">
        <w:rPr>
          <w:rFonts w:hint="cs"/>
          <w:rtl/>
        </w:rPr>
        <w:t>- بها، ورتَّبوا على هذا أصولاً فاسدةً كقولهم بجوازِ أنْ يخلِّدِ اللهُ في النار أخلصَ أوليائه، ويُخلّدَ في الجنَّة أفجرَ الكفّار، وجوازِ التكليفِ بما لا يُطاقُ ونحوِها</w:t>
      </w:r>
      <w:r w:rsidR="000636C2">
        <w:rPr>
          <w:rFonts w:hint="cs"/>
          <w:rtl/>
        </w:rPr>
        <w:t xml:space="preserve">، </w:t>
      </w:r>
      <w:r w:rsidRPr="005675B2">
        <w:rPr>
          <w:rFonts w:hint="cs"/>
          <w:rtl/>
        </w:rPr>
        <w:t>وسببُ هذا التأصيلِ الباطلِ عدمُ فهمِهم ألا تعارُضَ بين المشيئة والحكمةِ أوِ المشيئةِ والرحمةِ</w:t>
      </w:r>
      <w:r w:rsidR="000636C2">
        <w:rPr>
          <w:rFonts w:hint="cs"/>
          <w:rtl/>
        </w:rPr>
        <w:t>،</w:t>
      </w:r>
      <w:r w:rsidRPr="005675B2">
        <w:rPr>
          <w:rFonts w:hint="cs"/>
          <w:rtl/>
        </w:rPr>
        <w:t xml:space="preserve"> ولهذا لم يُثْبِتِ الأشاعرةُ الحكمةَ معَ الصفاتِ السَّبْعِ واكتفوا بإثباتِ الإرادةِ مع أنَّ الحكمةَ تقتضي الإرادة والعلم وزيادة "</w:t>
      </w:r>
      <w:r w:rsidR="000636C2">
        <w:rPr>
          <w:rFonts w:hint="cs"/>
          <w:rtl/>
        </w:rPr>
        <w:t>،</w:t>
      </w:r>
      <w:r w:rsidRPr="005675B2">
        <w:rPr>
          <w:rFonts w:hint="cs"/>
          <w:rtl/>
        </w:rPr>
        <w:t xml:space="preserve"> أقول</w:t>
      </w:r>
      <w:r w:rsidR="000636C2">
        <w:rPr>
          <w:rFonts w:hint="cs"/>
          <w:rtl/>
        </w:rPr>
        <w:t>:</w:t>
      </w:r>
      <w:r w:rsidRPr="005675B2">
        <w:rPr>
          <w:rFonts w:hint="cs"/>
          <w:rtl/>
        </w:rPr>
        <w:t xml:space="preserve"> قد اشتملت هذه الفقرة من كلام الدكتور مثل سابقاتها على أخطاء جمة جسيمة، وليت الدكتور لم يتدخل في مثل هذه الأمور التي ليست من مجاله وهو من أبعد الناس عن معرفتها، فنقرر أولا مذهب الأشاعرة في المسألة، ثم نثني بيان ما اشتمل عليه كلام الدكتور من أخطاء</w:t>
      </w:r>
      <w:r w:rsidR="000636C2">
        <w:rPr>
          <w:rFonts w:hint="cs"/>
          <w:rtl/>
        </w:rPr>
        <w:t>،</w:t>
      </w:r>
      <w:r w:rsidRPr="005675B2">
        <w:rPr>
          <w:rFonts w:hint="cs"/>
          <w:rtl/>
        </w:rPr>
        <w:t xml:space="preserve"> فنقول</w:t>
      </w:r>
      <w:r w:rsidR="000636C2">
        <w:rPr>
          <w:rFonts w:hint="cs"/>
          <w:rtl/>
        </w:rPr>
        <w:t>:</w:t>
      </w:r>
      <w:r w:rsidRPr="005675B2">
        <w:rPr>
          <w:rFonts w:hint="cs"/>
          <w:rtl/>
        </w:rPr>
        <w:t xml:space="preserve"> المشهور من مذهب الأشاعرة أن أفعال الله تعالى ليست معللة بالأغراض</w:t>
      </w:r>
      <w:r w:rsidR="000636C2">
        <w:rPr>
          <w:rFonts w:hint="cs"/>
          <w:rtl/>
        </w:rPr>
        <w:t>،</w:t>
      </w:r>
      <w:r w:rsidRPr="005675B2">
        <w:rPr>
          <w:rFonts w:hint="cs"/>
          <w:rtl/>
        </w:rPr>
        <w:t xml:space="preserve"> قالوا</w:t>
      </w:r>
      <w:r w:rsidR="000636C2">
        <w:rPr>
          <w:rFonts w:hint="cs"/>
          <w:rtl/>
        </w:rPr>
        <w:t>:</w:t>
      </w:r>
      <w:r w:rsidRPr="005675B2">
        <w:rPr>
          <w:rFonts w:hint="cs"/>
          <w:rtl/>
        </w:rPr>
        <w:t xml:space="preserve"> لا يجوز تعليل أفعاله تعالى بشيء من الأغراض والعلل الغائية فلا يجوز أن يبعثه على فعله علة وغرض يكون تحصيله هو المقصود من الفعل والباعث عليه</w:t>
      </w:r>
      <w:r w:rsidR="000636C2">
        <w:rPr>
          <w:rFonts w:hint="cs"/>
          <w:rtl/>
        </w:rPr>
        <w:t xml:space="preserve">، </w:t>
      </w:r>
      <w:r w:rsidRPr="005675B2">
        <w:rPr>
          <w:rFonts w:hint="cs"/>
          <w:rtl/>
        </w:rPr>
        <w:t>ومع قول الأشاعرة بعدم التعليل قالوا</w:t>
      </w:r>
      <w:r w:rsidR="000636C2">
        <w:rPr>
          <w:rFonts w:hint="cs"/>
          <w:rtl/>
        </w:rPr>
        <w:t>:</w:t>
      </w:r>
      <w:r w:rsidRPr="005675B2">
        <w:rPr>
          <w:rFonts w:hint="cs"/>
          <w:rtl/>
        </w:rPr>
        <w:t xml:space="preserve"> إن أفعاله تعالى لا تخلو عن ان تترتب عليها الحكم والمصالح</w:t>
      </w:r>
      <w:r w:rsidR="000636C2">
        <w:rPr>
          <w:rFonts w:hint="cs"/>
          <w:rtl/>
        </w:rPr>
        <w:t xml:space="preserve"> </w:t>
      </w:r>
      <w:r w:rsidRPr="005675B2">
        <w:rPr>
          <w:rFonts w:hint="cs"/>
          <w:rtl/>
        </w:rPr>
        <w:t>الراجع نفعها إلى العباد، فكل فعل من أفعاله تعالى لا بد أن يترتب عليه شيء من الحكم والمصالح الراجعة إلى العباد، وذلك لأنه تعالى حكيم، ومقتضى حكمته أن لا يخلو فعل من أفعاله عن الحكم والمصالح، ومن أجل ذلك قالوا</w:t>
      </w:r>
      <w:r w:rsidR="000636C2">
        <w:rPr>
          <w:rFonts w:hint="cs"/>
          <w:rtl/>
        </w:rPr>
        <w:t>:</w:t>
      </w:r>
      <w:r w:rsidRPr="005675B2">
        <w:rPr>
          <w:rFonts w:hint="cs"/>
          <w:rtl/>
        </w:rPr>
        <w:t xml:space="preserve"> إن أفعاله غير معللة بالعلل، لكنها غير خالية</w:t>
      </w:r>
      <w:r w:rsidR="000636C2">
        <w:rPr>
          <w:rFonts w:hint="cs"/>
          <w:rtl/>
        </w:rPr>
        <w:t>،</w:t>
      </w:r>
      <w:r w:rsidRPr="005675B2">
        <w:rPr>
          <w:rFonts w:hint="cs"/>
          <w:rtl/>
        </w:rPr>
        <w:t xml:space="preserve"> عن الحكم والمصالح</w:t>
      </w:r>
      <w:r w:rsidR="000636C2">
        <w:rPr>
          <w:rFonts w:hint="cs"/>
          <w:rtl/>
        </w:rPr>
        <w:t xml:space="preserve">، </w:t>
      </w:r>
      <w:r w:rsidRPr="005675B2">
        <w:rPr>
          <w:rFonts w:hint="cs"/>
          <w:rtl/>
        </w:rPr>
        <w:t>فالأشاعرة قالوا</w:t>
      </w:r>
      <w:r w:rsidR="000636C2">
        <w:rPr>
          <w:rFonts w:hint="cs"/>
          <w:rtl/>
        </w:rPr>
        <w:t>:</w:t>
      </w:r>
      <w:r w:rsidRPr="005675B2">
        <w:rPr>
          <w:rFonts w:hint="cs"/>
          <w:rtl/>
        </w:rPr>
        <w:t xml:space="preserve"> إنه تعالى يجب عليه رعاية الحكمة في أفعاله وجوباً عادياً بمعنى أنه تعالى يفعل الفعل الذي تترتب عليه المصلحة البتة، لأن الحكمة ترجح جانب الفعل على الترك وتخرجه عن حد المساواة مع جواز الترك في نفسه</w:t>
      </w:r>
      <w:r w:rsidR="000636C2">
        <w:rPr>
          <w:rFonts w:hint="cs"/>
          <w:rtl/>
        </w:rPr>
        <w:t xml:space="preserve">، </w:t>
      </w:r>
      <w:r w:rsidRPr="005675B2">
        <w:rPr>
          <w:rFonts w:hint="cs"/>
          <w:rtl/>
        </w:rPr>
        <w:t>وهذا النوع من الوجوب من الوجوب الجائز في حقه تعالى مثل وجوب ما أوجبه على نفسه مما وعد بفعله من تخليد المؤمنين في الجنة وتخليد الكافرين في النار، وغير ذلك مما يدل عليه ما ورد في بعض الأحاديث من أن النبي صلى الله تعالى عليه وآله وسلم قال</w:t>
      </w:r>
      <w:r w:rsidR="000636C2">
        <w:rPr>
          <w:rFonts w:hint="cs"/>
          <w:rtl/>
        </w:rPr>
        <w:t>:</w:t>
      </w:r>
      <w:r w:rsidRPr="005675B2">
        <w:rPr>
          <w:rFonts w:hint="cs"/>
          <w:rtl/>
        </w:rPr>
        <w:t xml:space="preserve"> "حق على الله أن يفعل كذا"</w:t>
      </w:r>
      <w:r w:rsidR="000636C2">
        <w:rPr>
          <w:rFonts w:hint="cs"/>
          <w:rtl/>
        </w:rPr>
        <w:t xml:space="preserve">، </w:t>
      </w:r>
      <w:r w:rsidRPr="005675B2">
        <w:rPr>
          <w:rFonts w:hint="cs"/>
          <w:spacing w:val="-8"/>
          <w:rtl/>
        </w:rPr>
        <w:t>وأما الوجوب الممتنع في حقه تعالى فهو الوجوب الذي قالت به الفلاسفة من أنه تعالى موجب بالذات وليس فاعلاً بالاختيار، فسلبوا عن الله تعالى وصف الاختيار، وكذلك الوجوب الذي قالت به المعتزلة، وهو أنه يجب على الله تعالى ما هو الأصلح بالنسبة إلى كل فرد من أفراد الناس، وقالوا</w:t>
      </w:r>
      <w:r w:rsidR="000636C2">
        <w:rPr>
          <w:rFonts w:hint="cs"/>
          <w:spacing w:val="-8"/>
          <w:rtl/>
        </w:rPr>
        <w:t>:</w:t>
      </w:r>
      <w:r w:rsidRPr="005675B2">
        <w:rPr>
          <w:rFonts w:hint="cs"/>
          <w:spacing w:val="-8"/>
          <w:rtl/>
        </w:rPr>
        <w:t xml:space="preserve"> إن تركه موجب للسفه والعبث وهذا هو الوجوب العقلي، ويلزم عليه عدم قدرته تعالى على هداية الكافر، وإصلاح الفاسق، تعالى الله عن ذلك علواً كبيراً، وهذا مخالف لنصوص الكتاب والسنة كقوله تعالى</w:t>
      </w:r>
      <w:r w:rsidR="000636C2">
        <w:rPr>
          <w:rFonts w:hint="cs"/>
          <w:spacing w:val="-8"/>
          <w:rtl/>
        </w:rPr>
        <w:t>:</w:t>
      </w:r>
      <w:r w:rsidRPr="005675B2">
        <w:rPr>
          <w:rFonts w:hint="cs"/>
          <w:spacing w:val="-8"/>
          <w:rtl/>
        </w:rPr>
        <w:t xml:space="preserve"> "ولو شاء ربك لآمن من في الأرض كلهم جميعاً"</w:t>
      </w:r>
      <w:r w:rsidR="000636C2">
        <w:rPr>
          <w:rFonts w:hint="cs"/>
          <w:spacing w:val="-8"/>
          <w:rtl/>
        </w:rPr>
        <w:t xml:space="preserve">، </w:t>
      </w:r>
      <w:r w:rsidRPr="005675B2">
        <w:rPr>
          <w:rFonts w:hint="cs"/>
          <w:rtl/>
        </w:rPr>
        <w:t>وأما الحكمة التي يقول بها أهل السنة، ويقولون بوجوب رعايتها على الله تعالى وجوباً عادياً، فهي مطلق الحكمة العامة بالنسبة إلى نظام العالم لا بالنسبة إلى الدنيا فقط، ولا بالنسبة إلى الإنسان فقط، وهذه الحكمة قد تكون مفسدة بالنسبة إلى بعض الناس، وقد يطلع عليها الناس كلهم أو بعضهم، وقد تخفى عليهم</w:t>
      </w:r>
      <w:r w:rsidR="000636C2">
        <w:rPr>
          <w:rFonts w:hint="cs"/>
          <w:rtl/>
        </w:rPr>
        <w:t>،</w:t>
      </w:r>
      <w:r w:rsidRPr="005675B2">
        <w:rPr>
          <w:rFonts w:hint="cs"/>
          <w:rtl/>
        </w:rPr>
        <w:t xml:space="preserve"> وهذا ما يقتضيه اسمه تعالى الحكيم</w:t>
      </w:r>
      <w:r w:rsidR="000636C2">
        <w:rPr>
          <w:rFonts w:hint="cs"/>
          <w:rtl/>
        </w:rPr>
        <w:t xml:space="preserve">، </w:t>
      </w:r>
      <w:r w:rsidRPr="005675B2">
        <w:rPr>
          <w:rFonts w:hint="cs"/>
          <w:rtl/>
        </w:rPr>
        <w:t>قال المحقق عبد الحكيم السيالكوتي في حاشيته على "شرح العقائد النسفية" للسعد التفتازاني</w:t>
      </w:r>
      <w:r w:rsidR="000636C2">
        <w:rPr>
          <w:rFonts w:hint="cs"/>
          <w:rtl/>
        </w:rPr>
        <w:t>:</w:t>
      </w:r>
      <w:r w:rsidRPr="005675B2">
        <w:rPr>
          <w:rFonts w:hint="cs"/>
          <w:rtl/>
        </w:rPr>
        <w:t xml:space="preserve"> وأما نحن أهل السنة فلا نقول باستحالة ترك ما تقتضيه الحكمة، ولا باستلزامه نقصاً لجواز أن يكون في تركه حكم ومصالح أخرى لا نطلع عليها، وإن كان يجب عليه رعاية مطلق الحكمة</w:t>
      </w:r>
      <w:r w:rsidR="000636C2">
        <w:rPr>
          <w:rFonts w:hint="cs"/>
          <w:rtl/>
        </w:rPr>
        <w:t>،</w:t>
      </w:r>
      <w:r w:rsidRPr="005675B2">
        <w:rPr>
          <w:rFonts w:hint="cs"/>
          <w:rtl/>
        </w:rPr>
        <w:t xml:space="preserve"> [</w:t>
      </w:r>
      <w:r w:rsidRPr="005675B2">
        <w:rPr>
          <w:rFonts w:hint="cs"/>
          <w:sz w:val="24"/>
          <w:szCs w:val="24"/>
          <w:rtl/>
        </w:rPr>
        <w:t>انظر الحاشية 317]</w:t>
      </w:r>
      <w:r w:rsidR="000636C2">
        <w:rPr>
          <w:rFonts w:hint="cs"/>
          <w:rtl/>
        </w:rPr>
        <w:t xml:space="preserve"> </w:t>
      </w:r>
      <w:r w:rsidRPr="005675B2">
        <w:rPr>
          <w:rFonts w:hint="cs"/>
          <w:rtl/>
        </w:rPr>
        <w:t>هذا هو المشهور من مذهب الأشاعرة، ويقابله مذهب الماتريدية والمعتزلة حيث ذهبوا إلى أن أفعال الله كلها معللة بالعلل والأغراض، وقد وافقهم على ذلك بعض الأشاعرة، وأما دلائل الفريقين فمذكورة في مطولات كتب الكلام</w:t>
      </w:r>
      <w:r w:rsidR="000636C2">
        <w:rPr>
          <w:rFonts w:hint="cs"/>
          <w:rtl/>
        </w:rPr>
        <w:t xml:space="preserve">، </w:t>
      </w:r>
      <w:r w:rsidRPr="005675B2">
        <w:rPr>
          <w:rFonts w:hint="cs"/>
          <w:rtl/>
        </w:rPr>
        <w:t>وقد أبدى التفتازاني في مذهب الأشاعرة احتمالا آخر</w:t>
      </w:r>
      <w:r w:rsidR="000636C2">
        <w:rPr>
          <w:rFonts w:hint="cs"/>
          <w:rtl/>
        </w:rPr>
        <w:t>،</w:t>
      </w:r>
      <w:r w:rsidRPr="005675B2">
        <w:rPr>
          <w:rFonts w:hint="cs"/>
          <w:rtl/>
        </w:rPr>
        <w:t xml:space="preserve"> قال في "شرح المقاصد"</w:t>
      </w:r>
      <w:r w:rsidR="000636C2">
        <w:rPr>
          <w:rFonts w:hint="cs"/>
          <w:rtl/>
        </w:rPr>
        <w:t>:</w:t>
      </w:r>
      <w:r w:rsidRPr="005675B2">
        <w:rPr>
          <w:rFonts w:hint="cs"/>
          <w:rtl/>
        </w:rPr>
        <w:t xml:space="preserve"> ما ذهب إليه الأشاعرة من أن أفعال الله تعالى ليست معللة بالأغراض يفهم من بعض أدلته عموم السلب ولزوم النفي بمعنى أنه يمتنع أن يكون شيء من أفعاله معللاً بالغرض، ومن بعضها سلب العموم ونفي اللزوم بمعنى أن ذلك ليس بلازم في كل فعل</w:t>
      </w:r>
      <w:r w:rsidR="000636C2">
        <w:rPr>
          <w:rFonts w:hint="cs"/>
          <w:rtl/>
        </w:rPr>
        <w:t>،</w:t>
      </w:r>
      <w:r w:rsidRPr="005675B2">
        <w:rPr>
          <w:rFonts w:hint="cs"/>
          <w:rtl/>
        </w:rPr>
        <w:t xml:space="preserve"> وبعد أن أورد التفتازاني الأدلة الدالة على الأول والأدلة الدالة على الثاني قال</w:t>
      </w:r>
      <w:r w:rsidR="000636C2">
        <w:rPr>
          <w:rFonts w:hint="cs"/>
          <w:rtl/>
        </w:rPr>
        <w:t xml:space="preserve">: </w:t>
      </w:r>
      <w:r w:rsidRPr="005675B2">
        <w:rPr>
          <w:rFonts w:hint="cs"/>
          <w:rtl/>
        </w:rPr>
        <w:t>والحق أن تعليل بعض الأفعال سيما شرعية الأحكام بالحكم والمصالح ظاهر كإيجاب الحدود والكفارات، وتحريم المسكرات، وما أشبه ذلك، والنصوص أيضاً شاهدة بذلك، كقوله تعالى</w:t>
      </w:r>
      <w:r w:rsidR="000636C2">
        <w:rPr>
          <w:rFonts w:hint="cs"/>
          <w:rtl/>
        </w:rPr>
        <w:t>:</w:t>
      </w:r>
      <w:r w:rsidRPr="005675B2">
        <w:rPr>
          <w:rFonts w:hint="cs"/>
          <w:rtl/>
        </w:rPr>
        <w:t xml:space="preserve"> "وما خلقت الجن والإنس إلا ليعبدون" "ومن أجل ذلك كتبنا على بني إسرائيل" الآية، "فلما قضى زيد منها وطراً زوجناكها لكي لا يكون على المؤمنين حرج في أزواج أدعيائهم" الآية، ولهذا كان القياس حجة إلا عند شرذمة لا يعتد بهم</w:t>
      </w:r>
      <w:r w:rsidR="000636C2">
        <w:rPr>
          <w:rFonts w:hint="cs"/>
          <w:rtl/>
        </w:rPr>
        <w:t xml:space="preserve">، </w:t>
      </w:r>
      <w:r w:rsidRPr="005675B2">
        <w:rPr>
          <w:rFonts w:hint="cs"/>
          <w:rtl/>
        </w:rPr>
        <w:t>وأما تعميم ذلك بأن لا يخلو فعل من أفعاله عن غرض فمحل بحث</w:t>
      </w:r>
      <w:r w:rsidR="000636C2">
        <w:rPr>
          <w:rFonts w:hint="cs"/>
          <w:rtl/>
        </w:rPr>
        <w:t>،</w:t>
      </w:r>
      <w:r w:rsidRPr="005675B2">
        <w:rPr>
          <w:rFonts w:hint="cs"/>
          <w:rtl/>
        </w:rPr>
        <w:t xml:space="preserve"> انتهى</w:t>
      </w:r>
      <w:r w:rsidR="000636C2">
        <w:rPr>
          <w:rFonts w:hint="cs"/>
          <w:rtl/>
        </w:rPr>
        <w:t xml:space="preserve">، </w:t>
      </w:r>
      <w:r w:rsidRPr="005675B2">
        <w:rPr>
          <w:rFonts w:hint="cs"/>
          <w:rtl/>
        </w:rPr>
        <w:t>هذا هو مذهب الأشاعرة في مسألة تعليل أفعال الله تعالى على ما قرره أئمتهم</w:t>
      </w:r>
      <w:r w:rsidR="000636C2">
        <w:rPr>
          <w:rFonts w:hint="cs"/>
          <w:rtl/>
        </w:rPr>
        <w:t>،</w:t>
      </w:r>
    </w:p>
    <w:p w14:paraId="05809DEF" w14:textId="77777777" w:rsidR="009C32A0" w:rsidRPr="005675B2" w:rsidRDefault="009C32A0" w:rsidP="000636C2">
      <w:pPr>
        <w:rPr>
          <w:b/>
          <w:rtl/>
        </w:rPr>
      </w:pPr>
    </w:p>
    <w:p w14:paraId="32378F19" w14:textId="6171F6FD" w:rsidR="009C32A0" w:rsidRPr="005675B2" w:rsidRDefault="009C32A0" w:rsidP="000636C2">
      <w:pPr>
        <w:rPr>
          <w:b/>
          <w:rtl/>
        </w:rPr>
      </w:pPr>
      <w:r w:rsidRPr="005675B2">
        <w:rPr>
          <w:rFonts w:hint="cs"/>
          <w:rtl/>
        </w:rPr>
        <w:t>53 - ما تورط فيه الدكتور من الأخطاء في مسألة تعليل أفعال الله تعالى وأحكامه</w:t>
      </w:r>
      <w:r w:rsidR="000636C2">
        <w:rPr>
          <w:rFonts w:hint="cs"/>
          <w:rtl/>
        </w:rPr>
        <w:t xml:space="preserve">: </w:t>
      </w:r>
      <w:r w:rsidRPr="005675B2">
        <w:rPr>
          <w:rFonts w:hint="cs"/>
          <w:rtl/>
        </w:rPr>
        <w:t>وبعد الانتهاء من تقرير مذهب الأشاعرة نعود إلى كلام الدكتور سفر، فنقول</w:t>
      </w:r>
      <w:r w:rsidR="000636C2">
        <w:rPr>
          <w:rFonts w:hint="cs"/>
          <w:rtl/>
        </w:rPr>
        <w:t>:</w:t>
      </w:r>
      <w:r w:rsidRPr="005675B2">
        <w:rPr>
          <w:rFonts w:hint="cs"/>
          <w:rtl/>
        </w:rPr>
        <w:t xml:space="preserve"> هذه الفقرة من كلامه قد احتوت أكثر من عشرة أخطاء عظيمة، وهكذا يكون حال المتسورين على العلوم الذين يتدخلون فيما لا يعلمون</w:t>
      </w:r>
      <w:r w:rsidR="000636C2">
        <w:rPr>
          <w:rFonts w:hint="cs"/>
          <w:rtl/>
        </w:rPr>
        <w:t xml:space="preserve">، </w:t>
      </w:r>
      <w:r w:rsidRPr="005675B2">
        <w:rPr>
          <w:rFonts w:hint="cs"/>
          <w:rtl/>
        </w:rPr>
        <w:t>الخطأ الأول</w:t>
      </w:r>
      <w:r w:rsidR="000636C2">
        <w:rPr>
          <w:rFonts w:hint="cs"/>
          <w:rtl/>
        </w:rPr>
        <w:t>:</w:t>
      </w:r>
      <w:r w:rsidRPr="005675B2">
        <w:rPr>
          <w:rFonts w:hint="cs"/>
          <w:rtl/>
        </w:rPr>
        <w:t xml:space="preserve"> في عنوان الفقرة وهو قوله</w:t>
      </w:r>
      <w:r w:rsidR="000636C2">
        <w:rPr>
          <w:rFonts w:hint="cs"/>
          <w:rtl/>
        </w:rPr>
        <w:t>:</w:t>
      </w:r>
      <w:r w:rsidRPr="005675B2">
        <w:rPr>
          <w:rFonts w:hint="cs"/>
          <w:rtl/>
        </w:rPr>
        <w:t xml:space="preserve"> </w:t>
      </w:r>
      <w:r w:rsidR="000636C2">
        <w:rPr>
          <w:rFonts w:hint="cs"/>
          <w:rtl/>
        </w:rPr>
        <w:t>(</w:t>
      </w:r>
      <w:r w:rsidRPr="005675B2">
        <w:rPr>
          <w:rFonts w:hint="cs"/>
          <w:rtl/>
        </w:rPr>
        <w:t>الحكمة الغائية</w:t>
      </w:r>
      <w:r w:rsidR="000636C2">
        <w:rPr>
          <w:rFonts w:hint="cs"/>
          <w:rtl/>
        </w:rPr>
        <w:t>)</w:t>
      </w:r>
      <w:r w:rsidRPr="005675B2">
        <w:rPr>
          <w:rFonts w:hint="cs"/>
          <w:rtl/>
        </w:rPr>
        <w:t>، فإن المتكلمين قد عنونوا المسألة بنفي الغرض عن أفعال الله، أو بتعليل أفعال الله، وأما تعبير الدكتور فهو تعبير من لم يعرف الفرق بين الحكمة والغاية، فإن الحكمة عبارة عما يترتب على الفعل من المصالح، وأما الغاية فهي الأمر الباعث على الفعل، والأشاعرة اومعظمهم قائلون بالحكمة، وليسوا قائلين بالغاية</w:t>
      </w:r>
      <w:r w:rsidR="000636C2">
        <w:rPr>
          <w:rFonts w:hint="cs"/>
          <w:rtl/>
        </w:rPr>
        <w:t>، (</w:t>
      </w:r>
      <w:r w:rsidRPr="005675B2">
        <w:rPr>
          <w:rFonts w:hint="cs"/>
          <w:rtl/>
        </w:rPr>
        <w:t>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"ينفي الأشاعرة قطعاً أن يكون لشيء من أفعال الله تعالى علة مشتملة على حكمة"</w:t>
      </w:r>
      <w:r w:rsidR="000636C2">
        <w:rPr>
          <w:rFonts w:hint="cs"/>
          <w:rtl/>
        </w:rPr>
        <w:t>،</w:t>
      </w:r>
      <w:r w:rsidRPr="005675B2">
        <w:rPr>
          <w:rFonts w:hint="cs"/>
          <w:rtl/>
        </w:rPr>
        <w:t xml:space="preserve"> وهذا أيضاً خطأ، فإن مقصوده أن الأشاعرة قد نفوا الحكمة عن أفعال الله تعالى، وقد قررنا أنهم قد أثبتوها، بل قالوا بوجوبها</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"تقتضي إيجاد ذلك الفعل أو عدمه"</w:t>
      </w:r>
      <w:r w:rsidR="000636C2">
        <w:rPr>
          <w:rFonts w:hint="cs"/>
          <w:rtl/>
        </w:rPr>
        <w:t>،</w:t>
      </w:r>
      <w:r w:rsidRPr="005675B2">
        <w:rPr>
          <w:rFonts w:hint="cs"/>
          <w:rtl/>
        </w:rPr>
        <w:t xml:space="preserve"> فقوله</w:t>
      </w:r>
      <w:r w:rsidR="000636C2">
        <w:rPr>
          <w:rFonts w:hint="cs"/>
          <w:rtl/>
        </w:rPr>
        <w:t>:</w:t>
      </w:r>
      <w:r w:rsidRPr="005675B2">
        <w:rPr>
          <w:rFonts w:hint="cs"/>
          <w:rtl/>
        </w:rPr>
        <w:t xml:space="preserve"> أو عدمه ليس له محل هنا، فإن الخلاف المتقدم إنما هو في أفعاله تعالى هل هي معللة أم لا، وليس في عدم فعله تعالى</w:t>
      </w:r>
      <w:r w:rsidR="000636C2">
        <w:rPr>
          <w:rFonts w:hint="cs"/>
          <w:rtl/>
        </w:rPr>
        <w:t>،</w:t>
      </w:r>
      <w:r w:rsidRPr="005675B2">
        <w:rPr>
          <w:rFonts w:hint="cs"/>
          <w:rtl/>
        </w:rPr>
        <w:t xml:space="preserve"> ثم إن الكلام غير مستقيم من جهة اللغة فإنه لا يصح أن يقال</w:t>
      </w:r>
      <w:r w:rsidR="000636C2">
        <w:rPr>
          <w:rFonts w:hint="cs"/>
          <w:rtl/>
        </w:rPr>
        <w:t>:</w:t>
      </w:r>
      <w:r w:rsidRPr="005675B2">
        <w:rPr>
          <w:rFonts w:hint="cs"/>
          <w:rtl/>
        </w:rPr>
        <w:t xml:space="preserve"> نفوا أن يكون لشيئ من أفعاله علة تقتضي عدمه، بل الصحيح أن يقال</w:t>
      </w:r>
      <w:r w:rsidR="000636C2">
        <w:rPr>
          <w:rFonts w:hint="cs"/>
          <w:rtl/>
        </w:rPr>
        <w:t>:</w:t>
      </w:r>
      <w:r w:rsidRPr="005675B2">
        <w:rPr>
          <w:rFonts w:hint="cs"/>
          <w:rtl/>
        </w:rPr>
        <w:t xml:space="preserve"> نفوا أن يكون لشيئ من أفعاله علة تقتضي إيجاده</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"وهذا نص كلامهم تقريباً"، بل هو كلام بعيد عن كلامهم بمراحل ومخالف لكلامهم، وأما نص كلامهم تقريباً</w:t>
      </w:r>
      <w:r w:rsidR="000636C2">
        <w:rPr>
          <w:rFonts w:hint="cs"/>
          <w:rtl/>
        </w:rPr>
        <w:t>:</w:t>
      </w:r>
      <w:r w:rsidRPr="005675B2">
        <w:rPr>
          <w:rFonts w:hint="cs"/>
          <w:rtl/>
        </w:rPr>
        <w:t xml:space="preserve"> فهو "أفعال الله تعالى غير معللة بالعلل والأغراض، لكنها غير خالية عن الحكم والمصالح" وقد أدخلوا هذا النص في متون العقائد الصغيرة</w:t>
      </w:r>
      <w:r w:rsidR="000636C2">
        <w:rPr>
          <w:rFonts w:hint="cs"/>
          <w:rtl/>
        </w:rPr>
        <w:t xml:space="preserve">، </w:t>
      </w:r>
      <w:r w:rsidRPr="005675B2">
        <w:rPr>
          <w:rFonts w:hint="cs"/>
          <w:rtl/>
        </w:rPr>
        <w:t>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"وهو رد فعل لقول المعتزلة بالوجوب على الله" فإن مذهب الأشاعرة ليس رد فعل لقول المعتزلة، وإنما هو رد له، فإن المقرر عند أهل السنة أنه لا يجب على الله تعالى فعل شيء ولا تركه بالوجوب الذي قصده المعتزلة، وهو الوجوب العقلي، وذلك لأن الله تعالى لا يحكمه قانون، يفعل ما يشاء ويحكم ما يريد، لا يسئل عما يفعل، وأما المعتزلة فقد قالوا</w:t>
      </w:r>
      <w:r w:rsidR="000636C2">
        <w:rPr>
          <w:rFonts w:hint="cs"/>
          <w:rtl/>
        </w:rPr>
        <w:t>:</w:t>
      </w:r>
      <w:r w:rsidRPr="005675B2">
        <w:rPr>
          <w:rFonts w:hint="cs"/>
          <w:rtl/>
        </w:rPr>
        <w:t xml:space="preserve"> بوجوب الصلاح والأصلح عليه تعالى، وبنوا على ذلك وجوب تعليل أفعاله تعالى</w:t>
      </w:r>
      <w:r w:rsidR="000636C2">
        <w:rPr>
          <w:rFonts w:hint="cs"/>
          <w:rtl/>
        </w:rPr>
        <w:t xml:space="preserve">، </w:t>
      </w:r>
      <w:r w:rsidRPr="005675B2">
        <w:rPr>
          <w:rFonts w:hint="cs"/>
          <w:rtl/>
        </w:rPr>
        <w:t>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"حتى أنكر الأشاعرة كل لام تعليل في القرآن" الأشاعرة لم ينكروا لام التعليل في القرآن بل جعلوه لام العاقبة كما في قوله تعالى</w:t>
      </w:r>
      <w:r w:rsidR="000636C2">
        <w:rPr>
          <w:rFonts w:hint="cs"/>
          <w:rtl/>
        </w:rPr>
        <w:t>:</w:t>
      </w:r>
      <w:r w:rsidRPr="005675B2">
        <w:rPr>
          <w:rFonts w:hint="cs"/>
          <w:rtl/>
        </w:rPr>
        <w:t xml:space="preserve"> "فالتقطه آل فرعون ليكون لهم عدواً وحزنا" وقول الشاعر</w:t>
      </w:r>
      <w:r w:rsidR="000636C2">
        <w:rPr>
          <w:rFonts w:hint="cs"/>
          <w:rtl/>
        </w:rPr>
        <w:t xml:space="preserve">: </w:t>
      </w:r>
      <w:r w:rsidRPr="005675B2">
        <w:rPr>
          <w:rFonts w:hint="cs"/>
          <w:rtl/>
        </w:rPr>
        <w:t>لدوا للموت ... وابنوا للخراب</w:t>
      </w:r>
      <w:r w:rsidR="000636C2">
        <w:rPr>
          <w:rFonts w:hint="cs"/>
          <w:rtl/>
        </w:rPr>
        <w:t xml:space="preserve">، </w:t>
      </w:r>
      <w:r w:rsidRPr="005675B2">
        <w:rPr>
          <w:rFonts w:hint="cs"/>
          <w:rtl/>
        </w:rPr>
        <w:t>قالوا</w:t>
      </w:r>
      <w:r w:rsidR="000636C2">
        <w:rPr>
          <w:rFonts w:hint="cs"/>
          <w:rtl/>
        </w:rPr>
        <w:t>:</w:t>
      </w:r>
      <w:r w:rsidRPr="005675B2">
        <w:rPr>
          <w:rFonts w:hint="cs"/>
          <w:rtl/>
        </w:rPr>
        <w:t xml:space="preserve"> إن المقصود بهذه اللامات بيان العاقبة والحكمة والمصلحة المترتبة على الفعل</w:t>
      </w:r>
      <w:r w:rsidR="000636C2">
        <w:rPr>
          <w:rFonts w:hint="cs"/>
          <w:rtl/>
        </w:rPr>
        <w:t>:</w:t>
      </w:r>
      <w:r w:rsidRPr="005675B2">
        <w:rPr>
          <w:rFonts w:hint="cs"/>
          <w:rtl/>
        </w:rPr>
        <w:t xml:space="preserve"> لا بيان الباعث على الفعل، لأنه منتف عن الله عندهم، فالذي نفوه هو كون اللام لبيان الباعث</w:t>
      </w:r>
      <w:r w:rsidR="000636C2">
        <w:rPr>
          <w:rFonts w:hint="cs"/>
          <w:rtl/>
        </w:rPr>
        <w:t>،</w:t>
      </w:r>
      <w:r w:rsidRPr="005675B2">
        <w:rPr>
          <w:rFonts w:hint="cs"/>
          <w:rtl/>
        </w:rPr>
        <w:t xml:space="preserve"> وقد سمى الزركشي في "البرهان" هذه اللام بلام الحكمة، قال</w:t>
      </w:r>
      <w:r w:rsidR="000636C2">
        <w:rPr>
          <w:rFonts w:hint="cs"/>
          <w:rtl/>
        </w:rPr>
        <w:t>:</w:t>
      </w:r>
      <w:r w:rsidRPr="005675B2">
        <w:rPr>
          <w:rFonts w:hint="cs"/>
          <w:rtl/>
        </w:rPr>
        <w:t xml:space="preserve"> لام العاقبة إنما تكون في حق من يجهل العاقبة، كقوله تعالى</w:t>
      </w:r>
      <w:r w:rsidR="000636C2">
        <w:rPr>
          <w:rFonts w:hint="cs"/>
          <w:rtl/>
        </w:rPr>
        <w:t>:</w:t>
      </w:r>
      <w:r w:rsidRPr="005675B2">
        <w:rPr>
          <w:rFonts w:hint="cs"/>
          <w:rtl/>
        </w:rPr>
        <w:t xml:space="preserve"> "فالتقطه آل فرعون ليكون لهم عدواً وحزنا" وأما من هو بكل شيء عليم فمستحيلة في حقه، وإنما اللام الواردة في أحكامه وأفعاله لام الحكمة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البرهان 3/106]</w:t>
      </w:r>
      <w:r w:rsidR="000636C2">
        <w:rPr>
          <w:rFonts w:hint="cs"/>
          <w:rtl/>
        </w:rPr>
        <w:t xml:space="preserve">، </w:t>
      </w:r>
      <w:r w:rsidRPr="005675B2">
        <w:rPr>
          <w:rFonts w:hint="cs"/>
          <w:rtl/>
        </w:rPr>
        <w:t>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 وقالوا</w:t>
      </w:r>
      <w:r w:rsidR="000636C2">
        <w:rPr>
          <w:rFonts w:hint="cs"/>
          <w:rtl/>
        </w:rPr>
        <w:t>:</w:t>
      </w:r>
      <w:r w:rsidRPr="005675B2">
        <w:rPr>
          <w:rFonts w:hint="cs"/>
          <w:rtl/>
        </w:rPr>
        <w:t xml:space="preserve"> إن كونه يفعل شيئاً لعلة ينافي كونه مختاراً مريدا » لم يقل هذا أحد منهم، ولا يقوله عاقل، فإن الفعل لعلة لا بد أن يكون عن اختيار وإرادة، بل قالوا</w:t>
      </w:r>
      <w:r w:rsidR="000636C2">
        <w:rPr>
          <w:rFonts w:hint="cs"/>
          <w:rtl/>
        </w:rPr>
        <w:t>:</w:t>
      </w:r>
      <w:r w:rsidRPr="005675B2">
        <w:rPr>
          <w:rFonts w:hint="cs"/>
          <w:rtl/>
        </w:rPr>
        <w:t xml:space="preserve"> إن الفعل لعلة ينافي كونه تعالى لا يجب عليه شيء الذي هو مذهب أهل السنة</w:t>
      </w:r>
      <w:r w:rsidR="000636C2">
        <w:rPr>
          <w:rFonts w:hint="cs"/>
          <w:rtl/>
        </w:rPr>
        <w:t xml:space="preserve">، </w:t>
      </w:r>
      <w:r w:rsidRPr="005675B2">
        <w:rPr>
          <w:rFonts w:hint="cs"/>
          <w:rtl/>
        </w:rPr>
        <w:t>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"وجعلوا أفعاله تعالى كلها راجعة إلى محض المشيئة، ولا تعلق لصفة أخرى كالحكمة مثلاً</w:t>
      </w:r>
      <w:r w:rsidR="000636C2">
        <w:rPr>
          <w:rFonts w:hint="cs"/>
          <w:rtl/>
        </w:rPr>
        <w:t xml:space="preserve"> </w:t>
      </w:r>
      <w:r w:rsidRPr="005675B2">
        <w:rPr>
          <w:rFonts w:hint="cs"/>
          <w:rtl/>
        </w:rPr>
        <w:t>- بها" قد قدمنا أن مذهب الأشاعرة أن أفعال الله تعالى راجعة إلى المشيئة والحكمة،، ومن أجل ذلك قالوا</w:t>
      </w:r>
      <w:r w:rsidR="000636C2">
        <w:rPr>
          <w:rFonts w:hint="cs"/>
          <w:rtl/>
        </w:rPr>
        <w:t>:</w:t>
      </w:r>
      <w:r w:rsidRPr="005675B2">
        <w:rPr>
          <w:rFonts w:hint="cs"/>
          <w:rtl/>
        </w:rPr>
        <w:t xml:space="preserve"> إن أفعاله تعالى لا تخلو عن الحكم والمصالح</w:t>
      </w:r>
      <w:r w:rsidR="000636C2">
        <w:rPr>
          <w:rFonts w:hint="cs"/>
          <w:rtl/>
        </w:rPr>
        <w:t>،</w:t>
      </w:r>
      <w:r w:rsidRPr="005675B2">
        <w:rPr>
          <w:rFonts w:hint="cs"/>
          <w:rtl/>
        </w:rPr>
        <w:t xml:space="preserve"> وأفعاله راجعة إلى القدرة أيضاً</w:t>
      </w:r>
      <w:r w:rsidR="000636C2">
        <w:rPr>
          <w:rFonts w:hint="cs"/>
          <w:rtl/>
        </w:rPr>
        <w:t>،</w:t>
      </w:r>
      <w:r w:rsidRPr="005675B2">
        <w:rPr>
          <w:rFonts w:hint="cs"/>
          <w:rtl/>
        </w:rPr>
        <w:t xml:space="preserve"> فالحصر في كلامه غير صحيح</w:t>
      </w:r>
      <w:r w:rsidR="000636C2">
        <w:rPr>
          <w:rFonts w:hint="cs"/>
          <w:rtl/>
        </w:rPr>
        <w:t>،</w:t>
      </w:r>
    </w:p>
    <w:p w14:paraId="1879918B" w14:textId="39A3BADF" w:rsidR="009C32A0" w:rsidRPr="005675B2" w:rsidRDefault="009C32A0" w:rsidP="000636C2">
      <w:pPr>
        <w:rPr>
          <w:b/>
          <w:rtl/>
        </w:rPr>
      </w:pPr>
      <w:r w:rsidRPr="005675B2">
        <w:rPr>
          <w:rFonts w:hint="cs"/>
          <w:rtl/>
        </w:rPr>
        <w:t>54 - مسألة جواز أن يخلد الله المؤمن في النار والكافر في الجنة</w:t>
      </w:r>
      <w:r w:rsidR="000636C2">
        <w:rPr>
          <w:rFonts w:hint="cs"/>
          <w:rtl/>
        </w:rPr>
        <w:t xml:space="preserve">: </w:t>
      </w:r>
      <w:r w:rsidRPr="005675B2">
        <w:rPr>
          <w:rFonts w:hint="cs"/>
          <w:rtl/>
        </w:rPr>
        <w:t>التاسع</w:t>
      </w:r>
      <w:r w:rsidR="000636C2">
        <w:rPr>
          <w:rFonts w:hint="cs"/>
          <w:rtl/>
        </w:rPr>
        <w:t>:</w:t>
      </w:r>
      <w:r w:rsidRPr="005675B2">
        <w:rPr>
          <w:rFonts w:hint="cs"/>
          <w:rtl/>
        </w:rPr>
        <w:t xml:space="preserve"> قوله</w:t>
      </w:r>
      <w:r w:rsidR="000636C2">
        <w:rPr>
          <w:rFonts w:hint="cs"/>
          <w:rtl/>
        </w:rPr>
        <w:t>:</w:t>
      </w:r>
      <w:r w:rsidRPr="005675B2">
        <w:rPr>
          <w:rFonts w:hint="cs"/>
          <w:rtl/>
        </w:rPr>
        <w:t xml:space="preserve"> "ورتبوا على ذلك أصولاً فاسدة كقولهم</w:t>
      </w:r>
      <w:r w:rsidR="000636C2">
        <w:rPr>
          <w:rFonts w:hint="cs"/>
          <w:rtl/>
        </w:rPr>
        <w:t>:</w:t>
      </w:r>
      <w:r w:rsidRPr="005675B2">
        <w:rPr>
          <w:rFonts w:hint="cs"/>
          <w:rtl/>
        </w:rPr>
        <w:t xml:space="preserve"> بجواز أن يخلد الله في النار أخلص أوليائه، ويخلد في الجنة أفجر الكفار"</w:t>
      </w:r>
      <w:r w:rsidR="000636C2">
        <w:rPr>
          <w:rFonts w:hint="cs"/>
          <w:rtl/>
        </w:rPr>
        <w:t xml:space="preserve">، </w:t>
      </w:r>
      <w:r w:rsidRPr="005675B2">
        <w:rPr>
          <w:rFonts w:hint="cs"/>
          <w:rtl/>
        </w:rPr>
        <w:t>أقول</w:t>
      </w:r>
      <w:r w:rsidR="000636C2">
        <w:rPr>
          <w:rFonts w:hint="cs"/>
          <w:rtl/>
        </w:rPr>
        <w:t>:</w:t>
      </w:r>
      <w:r w:rsidRPr="005675B2">
        <w:rPr>
          <w:rFonts w:hint="cs"/>
          <w:rtl/>
        </w:rPr>
        <w:t xml:space="preserve"> هذا الأصل من الأصول الصحيحة التي أخذها الأشاعرة من الكتاب والسنة</w:t>
      </w:r>
      <w:r w:rsidR="000636C2">
        <w:rPr>
          <w:rFonts w:hint="cs"/>
          <w:rtl/>
        </w:rPr>
        <w:t xml:space="preserve">، </w:t>
      </w:r>
      <w:r w:rsidRPr="005675B2">
        <w:rPr>
          <w:rFonts w:hint="cs"/>
          <w:rtl/>
        </w:rPr>
        <w:t>أما الكتاب فقوله تعالى</w:t>
      </w:r>
      <w:r w:rsidR="000636C2">
        <w:rPr>
          <w:rFonts w:hint="cs"/>
          <w:rtl/>
        </w:rPr>
        <w:t>:</w:t>
      </w:r>
      <w:r w:rsidRPr="005675B2">
        <w:rPr>
          <w:rFonts w:hint="cs"/>
          <w:rtl/>
        </w:rPr>
        <w:t xml:space="preserve"> "يعذب من يشاء ويغفر لمن يشاء"</w:t>
      </w:r>
      <w:r w:rsidR="000636C2">
        <w:rPr>
          <w:rFonts w:hint="cs"/>
          <w:rtl/>
        </w:rPr>
        <w:t>،</w:t>
      </w:r>
      <w:r w:rsidRPr="005675B2">
        <w:rPr>
          <w:rFonts w:hint="cs"/>
          <w:rtl/>
        </w:rPr>
        <w:t xml:space="preserve"> قال ابن كثير</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"يعذب من يشاء ويرحم من يشاء" أي</w:t>
      </w:r>
      <w:r w:rsidR="000636C2">
        <w:rPr>
          <w:rFonts w:hint="cs"/>
          <w:rtl/>
        </w:rPr>
        <w:t>:</w:t>
      </w:r>
      <w:r w:rsidRPr="005675B2">
        <w:rPr>
          <w:rFonts w:hint="cs"/>
          <w:rtl/>
        </w:rPr>
        <w:t xml:space="preserve"> هوا لحاكم المتصرف الذي يفعل ما يشاء ويحكم ما يريد، لا معقب لحكمه، ولا يسئل عما يفعل وهم يسئلون، فله الخلق والأمر، مهما فعل فعدل لأنه المالك الذي لا يظلم مثقال ذرة، كما جاء في الحديث الذي رواه أهل السنن</w:t>
      </w:r>
      <w:r w:rsidR="000636C2">
        <w:rPr>
          <w:rFonts w:hint="cs"/>
          <w:rtl/>
        </w:rPr>
        <w:t>:</w:t>
      </w:r>
      <w:r w:rsidRPr="005675B2">
        <w:rPr>
          <w:rFonts w:hint="cs"/>
          <w:rtl/>
        </w:rPr>
        <w:t xml:space="preserve"> "إن الله لو عذب أهل سماواته وأهل أرضه لعذبهم وهو غير ظالم لهم"</w:t>
      </w:r>
      <w:r w:rsidR="000636C2">
        <w:rPr>
          <w:rFonts w:hint="cs"/>
          <w:rtl/>
        </w:rPr>
        <w:t>،</w:t>
      </w:r>
      <w:r w:rsidRPr="005675B2">
        <w:rPr>
          <w:rFonts w:hint="cs"/>
          <w:rtl/>
        </w:rPr>
        <w:t xml:space="preserve"> انتهى</w:t>
      </w:r>
      <w:r w:rsidR="000636C2">
        <w:rPr>
          <w:rFonts w:hint="cs"/>
          <w:rtl/>
        </w:rPr>
        <w:t>،</w:t>
      </w:r>
      <w:r w:rsidRPr="005675B2">
        <w:rPr>
          <w:rFonts w:hint="cs"/>
          <w:spacing w:val="-12"/>
          <w:rtl/>
        </w:rPr>
        <w:t xml:space="preserve"> </w:t>
      </w:r>
      <w:r w:rsidR="000636C2">
        <w:rPr>
          <w:rFonts w:hint="cs"/>
          <w:spacing w:val="-12"/>
          <w:rtl/>
        </w:rPr>
        <w:t>[</w:t>
      </w:r>
      <w:r w:rsidRPr="005675B2">
        <w:rPr>
          <w:rFonts w:hint="cs"/>
          <w:sz w:val="24"/>
          <w:szCs w:val="24"/>
          <w:rtl/>
        </w:rPr>
        <w:t>التفسير لابن كثير 3/419]</w:t>
      </w:r>
      <w:r w:rsidR="000636C2">
        <w:rPr>
          <w:rFonts w:hint="cs"/>
          <w:spacing w:val="-12"/>
          <w:rtl/>
        </w:rPr>
        <w:t>،</w:t>
      </w:r>
      <w:r w:rsidRPr="005675B2">
        <w:rPr>
          <w:rFonts w:hint="cs"/>
          <w:spacing w:val="-12"/>
          <w:rtl/>
        </w:rPr>
        <w:t xml:space="preserve"> </w:t>
      </w:r>
      <w:r w:rsidRPr="005675B2">
        <w:rPr>
          <w:rFonts w:hint="cs"/>
          <w:rtl/>
        </w:rPr>
        <w:t>وأما السنة فقوله صلى الله تعالى عليه وآله وسلم فيما رواه الشيخان عن أبي هريرة رضي الله تعالى عنه</w:t>
      </w:r>
      <w:r w:rsidR="000636C2">
        <w:rPr>
          <w:rFonts w:hint="cs"/>
          <w:rtl/>
        </w:rPr>
        <w:t>:</w:t>
      </w:r>
      <w:r w:rsidRPr="005675B2">
        <w:rPr>
          <w:rFonts w:hint="cs"/>
          <w:rtl/>
        </w:rPr>
        <w:t xml:space="preserve"> "لن ينجي أحداً منكم عمله" قالوا</w:t>
      </w:r>
      <w:r w:rsidR="000636C2">
        <w:rPr>
          <w:rFonts w:hint="cs"/>
          <w:rtl/>
        </w:rPr>
        <w:t>:</w:t>
      </w:r>
      <w:r w:rsidRPr="005675B2">
        <w:rPr>
          <w:rFonts w:hint="cs"/>
          <w:rtl/>
        </w:rPr>
        <w:t xml:space="preserve"> ولا أنت يا رسول الله، قال</w:t>
      </w:r>
      <w:r w:rsidR="000636C2">
        <w:rPr>
          <w:rFonts w:hint="cs"/>
          <w:rtl/>
        </w:rPr>
        <w:t>:</w:t>
      </w:r>
      <w:r w:rsidRPr="005675B2">
        <w:rPr>
          <w:rFonts w:hint="cs"/>
          <w:rtl/>
        </w:rPr>
        <w:t xml:space="preserve"> "ولا أنا إ لا أن يتغمدني الله برحمة، سددوا وقاربوا، واغدوا وروحوا، وشيء من الدلجة، والقصد القصد تبلغو</w:t>
      </w:r>
      <w:r w:rsidRPr="005675B2">
        <w:rPr>
          <w:rFonts w:hint="cs"/>
          <w:spacing w:val="-10"/>
          <w:rtl/>
        </w:rPr>
        <w:t>ا"</w:t>
      </w:r>
      <w:r w:rsidR="000636C2">
        <w:rPr>
          <w:rFonts w:hint="cs"/>
          <w:spacing w:val="-10"/>
          <w:rtl/>
        </w:rPr>
        <w:t xml:space="preserve">، </w:t>
      </w:r>
      <w:r w:rsidRPr="005675B2">
        <w:rPr>
          <w:rFonts w:hint="cs"/>
          <w:rtl/>
        </w:rPr>
        <w:t>وكذلك الحديث الذي أورده ابن كثير</w:t>
      </w:r>
      <w:r w:rsidR="000636C2">
        <w:rPr>
          <w:rFonts w:hint="cs"/>
          <w:rtl/>
        </w:rPr>
        <w:t xml:space="preserve">، </w:t>
      </w:r>
      <w:r w:rsidRPr="005675B2">
        <w:rPr>
          <w:rFonts w:hint="cs"/>
          <w:rtl/>
        </w:rPr>
        <w:t>قال الحافظ تعليقاً على قوله صلى الله عليه وآله وسلم</w:t>
      </w:r>
      <w:r w:rsidR="000636C2">
        <w:rPr>
          <w:rFonts w:hint="cs"/>
          <w:rtl/>
        </w:rPr>
        <w:t>:</w:t>
      </w:r>
      <w:r w:rsidRPr="005675B2">
        <w:rPr>
          <w:rFonts w:hint="cs"/>
          <w:rtl/>
        </w:rPr>
        <w:t xml:space="preserve"> "لن ينجي أحداً منكم عمله" قال المازري</w:t>
      </w:r>
      <w:r w:rsidR="000636C2">
        <w:rPr>
          <w:rFonts w:hint="cs"/>
          <w:rtl/>
        </w:rPr>
        <w:t>:</w:t>
      </w:r>
      <w:r w:rsidRPr="005675B2">
        <w:rPr>
          <w:rFonts w:hint="cs"/>
          <w:rtl/>
        </w:rPr>
        <w:t xml:space="preserve"> ذهب أهل السنة إلى أن إثابة الله تعالى من أطاعه بفضل منه، وكذلك انتقامه ممن عصاه بعدل منه، ولا يثبت واحد منها إلا بالسمع، وله سبحانه أن يعذب الطائع، وينعم العاصي، ولكنه أخبر أنه لا يفعل ذلك، وخبره صدق لا خلف فيه</w:t>
      </w:r>
      <w:r w:rsidR="000636C2">
        <w:rPr>
          <w:rFonts w:hint="cs"/>
          <w:rtl/>
        </w:rPr>
        <w:t xml:space="preserve">، </w:t>
      </w:r>
      <w:r w:rsidRPr="005675B2">
        <w:rPr>
          <w:rFonts w:hint="cs"/>
          <w:rtl/>
        </w:rPr>
        <w:t>وهذا الحديث يقوي مقالتهم، ويرد على المعتزلة حيث أثبتوا بعقولهم أعواض الأعمال، ولهم في ذلك خبط كثير وتفصيل طويل</w:t>
      </w:r>
      <w:r w:rsidR="000636C2">
        <w:rPr>
          <w:rFonts w:hint="cs"/>
          <w:rtl/>
        </w:rPr>
        <w:t>،</w:t>
      </w:r>
      <w:r w:rsidRPr="005675B2">
        <w:rPr>
          <w:rFonts w:hint="cs"/>
          <w:rtl/>
        </w:rPr>
        <w:t xml:space="preserve"> [</w:t>
      </w:r>
      <w:r w:rsidRPr="005675B2">
        <w:rPr>
          <w:rFonts w:hint="cs"/>
          <w:sz w:val="24"/>
          <w:szCs w:val="24"/>
          <w:rtl/>
        </w:rPr>
        <w:t>فتح الباري 11/397]</w:t>
      </w:r>
      <w:r w:rsidR="000636C2">
        <w:rPr>
          <w:rFonts w:hint="cs"/>
          <w:rtl/>
        </w:rPr>
        <w:t xml:space="preserve">، </w:t>
      </w:r>
      <w:r w:rsidRPr="005675B2">
        <w:rPr>
          <w:rFonts w:hint="cs"/>
          <w:rtl/>
        </w:rPr>
        <w:t>وقال الحافظ في "الكلام" على 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هذا أثنيتم عليه خيراً فوجبت له الجنة</w:t>
      </w:r>
      <w:r w:rsidR="000636C2">
        <w:rPr>
          <w:rFonts w:hint="cs"/>
          <w:rtl/>
        </w:rPr>
        <w:t>)</w:t>
      </w:r>
      <w:r w:rsidRPr="005675B2">
        <w:rPr>
          <w:rFonts w:hint="cs"/>
          <w:rtl/>
        </w:rPr>
        <w:t xml:space="preserve"> والمراد بالوجوب الثبوت، إذ هو في صحة الثبوت كالشيء الواجب</w:t>
      </w:r>
      <w:r w:rsidR="000636C2">
        <w:rPr>
          <w:rFonts w:hint="cs"/>
          <w:rtl/>
        </w:rPr>
        <w:t>،</w:t>
      </w:r>
      <w:r w:rsidRPr="005675B2">
        <w:rPr>
          <w:rFonts w:hint="cs"/>
          <w:rtl/>
        </w:rPr>
        <w:t xml:space="preserve"> والأصل أنه لا يجب على الله شيء، بل الثواب فضله والعقاب عدله</w:t>
      </w:r>
      <w:r w:rsidR="000636C2">
        <w:rPr>
          <w:rFonts w:hint="cs"/>
          <w:rtl/>
        </w:rPr>
        <w:t>،</w:t>
      </w:r>
      <w:r w:rsidRPr="005675B2">
        <w:rPr>
          <w:rFonts w:hint="cs"/>
          <w:rtl/>
        </w:rPr>
        <w:t xml:space="preserve"> لا يسئل عما يفعل</w:t>
      </w:r>
      <w:r w:rsidR="000636C2">
        <w:rPr>
          <w:rFonts w:hint="cs"/>
          <w:rtl/>
        </w:rPr>
        <w:t>،</w:t>
      </w:r>
      <w:r w:rsidRPr="005675B2">
        <w:rPr>
          <w:rFonts w:hint="cs"/>
          <w:spacing w:val="-10"/>
          <w:rtl/>
        </w:rPr>
        <w:t xml:space="preserve"> [</w:t>
      </w:r>
      <w:r w:rsidRPr="005675B2">
        <w:rPr>
          <w:rFonts w:hint="cs"/>
          <w:sz w:val="24"/>
          <w:szCs w:val="24"/>
          <w:rtl/>
        </w:rPr>
        <w:t>فتح الباري 3/339]</w:t>
      </w:r>
      <w:r w:rsidRPr="005675B2">
        <w:rPr>
          <w:rFonts w:hint="cs"/>
          <w:spacing w:val="-10"/>
          <w:rtl/>
        </w:rPr>
        <w:t xml:space="preserve"> </w:t>
      </w:r>
      <w:r w:rsidRPr="005675B2">
        <w:rPr>
          <w:rFonts w:hint="cs"/>
          <w:rtl/>
        </w:rPr>
        <w:t>فهذه شواهد الكتاب والسنة وأقوال الأئمة شاهدة لما قاله الأشاعرة وليست المسألة مرتبة على ما قاله الدكتور، ولا أدري هل الدكتور بعد وقوفه عليها يصر على استنكاره أم يتوب عنه</w:t>
      </w:r>
      <w:r w:rsidR="000636C2">
        <w:rPr>
          <w:rFonts w:hint="cs"/>
          <w:rtl/>
        </w:rPr>
        <w:t>؟!</w:t>
      </w:r>
    </w:p>
    <w:p w14:paraId="0AD144B6" w14:textId="7DF4DB39" w:rsidR="009C32A0" w:rsidRPr="005675B2" w:rsidRDefault="009C32A0" w:rsidP="000636C2">
      <w:pPr>
        <w:rPr>
          <w:b/>
          <w:rtl/>
        </w:rPr>
      </w:pPr>
      <w:r w:rsidRPr="005675B2">
        <w:rPr>
          <w:rFonts w:hint="cs"/>
          <w:rtl/>
        </w:rPr>
        <w:t>55 - مسألة جواز تكليف ما لا يطاق</w:t>
      </w:r>
      <w:r w:rsidR="000636C2">
        <w:rPr>
          <w:rFonts w:hint="cs"/>
          <w:rtl/>
        </w:rPr>
        <w:t xml:space="preserve">: </w:t>
      </w:r>
      <w:r w:rsidRPr="005675B2">
        <w:rPr>
          <w:rFonts w:hint="cs"/>
          <w:rtl/>
        </w:rPr>
        <w:t>العاشر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"وجواز التكليف بما لا يطاق"</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بد أولاً أن نحرر مسألة التكليف بما لا يطاق ونبين مذهب الأشاعرة فيها</w:t>
      </w:r>
      <w:r w:rsidR="000636C2">
        <w:rPr>
          <w:rFonts w:hint="cs"/>
          <w:rtl/>
        </w:rPr>
        <w:t xml:space="preserve">، </w:t>
      </w:r>
      <w:r w:rsidRPr="005675B2">
        <w:rPr>
          <w:rFonts w:hint="cs"/>
          <w:rtl/>
        </w:rPr>
        <w:t>فنقول</w:t>
      </w:r>
      <w:r w:rsidR="000636C2">
        <w:rPr>
          <w:rFonts w:hint="cs"/>
          <w:rtl/>
        </w:rPr>
        <w:t>:</w:t>
      </w:r>
      <w:r w:rsidRPr="005675B2">
        <w:rPr>
          <w:rFonts w:hint="cs"/>
          <w:rtl/>
        </w:rPr>
        <w:t xml:space="preserve"> ما لا يطاق ثلاث مراتب</w:t>
      </w:r>
      <w:r w:rsidR="000636C2">
        <w:rPr>
          <w:rFonts w:hint="cs"/>
          <w:rtl/>
        </w:rPr>
        <w:t>:</w:t>
      </w:r>
      <w:r w:rsidRPr="005675B2">
        <w:rPr>
          <w:rFonts w:hint="cs"/>
          <w:rtl/>
        </w:rPr>
        <w:t xml:space="preserve"> المرتبة الأولى</w:t>
      </w:r>
      <w:r w:rsidR="000636C2">
        <w:rPr>
          <w:rFonts w:hint="cs"/>
          <w:rtl/>
        </w:rPr>
        <w:t>:</w:t>
      </w:r>
      <w:r w:rsidRPr="005675B2">
        <w:rPr>
          <w:rFonts w:hint="cs"/>
          <w:rtl/>
        </w:rPr>
        <w:t xml:space="preserve"> ما امتنع لذاته كجمع النقيضين، وكجعل القديم محدثاً، المرتبة الثانية</w:t>
      </w:r>
      <w:r w:rsidR="000636C2">
        <w:rPr>
          <w:rFonts w:hint="cs"/>
          <w:rtl/>
        </w:rPr>
        <w:t>:</w:t>
      </w:r>
      <w:r w:rsidRPr="005675B2">
        <w:rPr>
          <w:rFonts w:hint="cs"/>
          <w:rtl/>
        </w:rPr>
        <w:t xml:space="preserve"> ما أمكن في نفسه، ولم يقع متعلقاً لقدرة العبد أصلاً كخلق الأجسام، أو عادة كالصعود إلى السماء وحَمْلِ الجبال</w:t>
      </w:r>
      <w:r w:rsidR="000636C2">
        <w:rPr>
          <w:rFonts w:hint="cs"/>
          <w:rtl/>
        </w:rPr>
        <w:t>،</w:t>
      </w:r>
      <w:r w:rsidRPr="005675B2">
        <w:rPr>
          <w:rFonts w:hint="cs"/>
          <w:rtl/>
        </w:rPr>
        <w:t xml:space="preserve"> المَرتَبة الثالثة</w:t>
      </w:r>
      <w:r w:rsidR="000636C2">
        <w:rPr>
          <w:rFonts w:hint="cs"/>
          <w:rtl/>
        </w:rPr>
        <w:t>:</w:t>
      </w:r>
      <w:r w:rsidRPr="005675B2">
        <w:rPr>
          <w:rFonts w:hint="cs"/>
          <w:rtl/>
        </w:rPr>
        <w:t xml:space="preserve"> وهو أدنى المراتب</w:t>
      </w:r>
      <w:r w:rsidR="000636C2">
        <w:rPr>
          <w:rFonts w:hint="cs"/>
          <w:rtl/>
        </w:rPr>
        <w:t>:</w:t>
      </w:r>
      <w:r w:rsidRPr="005675B2">
        <w:rPr>
          <w:rFonts w:hint="cs"/>
          <w:rtl/>
        </w:rPr>
        <w:t xml:space="preserve"> ما يمتنع بسبب علم الله تعالى بعدم وقوعه، أو لإرادته ذلك، أو لإخباره بذلك</w:t>
      </w:r>
      <w:r w:rsidR="000636C2">
        <w:rPr>
          <w:rFonts w:hint="cs"/>
          <w:rtl/>
        </w:rPr>
        <w:t xml:space="preserve">، </w:t>
      </w:r>
      <w:r w:rsidRPr="005675B2">
        <w:rPr>
          <w:rFonts w:hint="cs"/>
          <w:rtl/>
        </w:rPr>
        <w:t>وهذا القسم الأخير لا خلاف في وقوع التكليف به فضلاً عن الجواز، فإن من علم الله تعالى بموته على الكفر ومن أخبر الله بعدم إيمانه مكلفان عاصيان إجماعاً</w:t>
      </w:r>
      <w:r w:rsidR="000636C2">
        <w:rPr>
          <w:rFonts w:hint="cs"/>
          <w:rtl/>
        </w:rPr>
        <w:t xml:space="preserve">، </w:t>
      </w:r>
      <w:r w:rsidRPr="005675B2">
        <w:rPr>
          <w:rFonts w:hint="cs"/>
          <w:rtl/>
        </w:rPr>
        <w:t>والمرتبة الوسطى هو الذي وقع النزاع في جواز التكليف به، بمعنى طلب تحقيق الفعل والإتيان به، واستحقاق العقاب على تركه، فجوزه الأشاعرة، ومنعه المعتزلة</w:t>
      </w:r>
      <w:r w:rsidR="000636C2">
        <w:rPr>
          <w:rFonts w:hint="cs"/>
          <w:rtl/>
        </w:rPr>
        <w:t xml:space="preserve">، </w:t>
      </w:r>
      <w:r w:rsidRPr="005675B2">
        <w:rPr>
          <w:rFonts w:hint="cs"/>
          <w:rtl/>
        </w:rPr>
        <w:t>وتجويز الأشاعرة مبني على مذهب أهل السنة من أنه لا يجب على الله تعالى شيء ولا يقبح منه شيء، فقالوا بناء على هذا الأصل</w:t>
      </w:r>
      <w:r w:rsidR="000636C2">
        <w:rPr>
          <w:rFonts w:hint="cs"/>
          <w:rtl/>
        </w:rPr>
        <w:t>:</w:t>
      </w:r>
      <w:r w:rsidRPr="005675B2">
        <w:rPr>
          <w:rFonts w:hint="cs"/>
          <w:rtl/>
        </w:rPr>
        <w:t xml:space="preserve"> إنه تعالى لا يجب عليه عدم تكليف الناس بما لا يطيقون، بل يجوز عليه ذلك، ولو فرض وقوع هذا التكليف منه تعالى لم يكن قبيحاً منه تعالى، لأنه تعالى لا يقبح منه شيء</w:t>
      </w:r>
      <w:r w:rsidR="000636C2">
        <w:rPr>
          <w:rFonts w:hint="cs"/>
          <w:rtl/>
        </w:rPr>
        <w:t xml:space="preserve">، </w:t>
      </w:r>
      <w:r w:rsidRPr="005675B2">
        <w:rPr>
          <w:rFonts w:hint="cs"/>
          <w:rtl/>
        </w:rPr>
        <w:t>ثم هذا الخلاف إنما هو في جواز الوقوع لا في الوقوع، قال التفتازاني</w:t>
      </w:r>
      <w:r w:rsidR="000636C2">
        <w:rPr>
          <w:rFonts w:hint="cs"/>
          <w:rtl/>
        </w:rPr>
        <w:t>:</w:t>
      </w:r>
      <w:r w:rsidRPr="005675B2">
        <w:rPr>
          <w:rFonts w:hint="cs"/>
          <w:rtl/>
        </w:rPr>
        <w:t xml:space="preserve"> وأما الوقوع فمنفي بحكم الاستقراء، وبشهادة مثل قوله تعالى</w:t>
      </w:r>
      <w:r w:rsidR="000636C2">
        <w:rPr>
          <w:rFonts w:hint="cs"/>
          <w:rtl/>
        </w:rPr>
        <w:t>:</w:t>
      </w:r>
      <w:r w:rsidRPr="005675B2">
        <w:rPr>
          <w:rFonts w:hint="cs"/>
          <w:rtl/>
        </w:rPr>
        <w:t xml:space="preserve"> </w:t>
      </w:r>
      <w:r w:rsidR="000636C2">
        <w:rPr>
          <w:rFonts w:hint="cs"/>
          <w:rtl/>
        </w:rPr>
        <w:t>(</w:t>
      </w:r>
      <w:r w:rsidRPr="005675B2">
        <w:rPr>
          <w:rFonts w:hint="cs"/>
          <w:rtl/>
        </w:rPr>
        <w:t>لا يكلف الله نفساً إلا وسعها</w:t>
      </w:r>
      <w:r w:rsidR="000636C2">
        <w:rPr>
          <w:rFonts w:hint="cs"/>
          <w:rtl/>
        </w:rPr>
        <w:t>)</w:t>
      </w:r>
      <w:r w:rsidRPr="005675B2">
        <w:rPr>
          <w:rFonts w:hint="cs"/>
          <w:rtl/>
        </w:rPr>
        <w:t xml:space="preserve"> [</w:t>
      </w:r>
      <w:r w:rsidRPr="005675B2">
        <w:rPr>
          <w:rFonts w:hint="cs"/>
          <w:sz w:val="24"/>
          <w:szCs w:val="24"/>
          <w:rtl/>
        </w:rPr>
        <w:t>شرح المقاصد 3/155]</w:t>
      </w:r>
      <w:r w:rsidR="000636C2">
        <w:rPr>
          <w:rFonts w:hint="cs"/>
          <w:rtl/>
        </w:rPr>
        <w:t xml:space="preserve">، </w:t>
      </w:r>
      <w:r w:rsidRPr="005675B2">
        <w:rPr>
          <w:rFonts w:hint="cs"/>
          <w:rtl/>
        </w:rPr>
        <w:t>وقال الغزالي</w:t>
      </w:r>
      <w:r w:rsidR="000636C2">
        <w:rPr>
          <w:rFonts w:hint="cs"/>
          <w:rtl/>
        </w:rPr>
        <w:t>:</w:t>
      </w:r>
      <w:r w:rsidRPr="005675B2">
        <w:rPr>
          <w:rFonts w:hint="cs"/>
          <w:rtl/>
        </w:rPr>
        <w:t xml:space="preserve"> ومن جوز تكليف ما لا يطاق عقلاً فإنه يمنعه شرعاً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المستصفى 1/73]</w:t>
      </w:r>
      <w:r w:rsidR="000636C2">
        <w:rPr>
          <w:rFonts w:hint="cs"/>
          <w:rtl/>
        </w:rPr>
        <w:t xml:space="preserve">، </w:t>
      </w:r>
      <w:r w:rsidRPr="005675B2">
        <w:rPr>
          <w:rFonts w:hint="cs"/>
          <w:rtl/>
        </w:rPr>
        <w:t>هذا هو مذهب الأشاعرة في المسألة، وهو مبني على أنه لا يجب على الله شيء وقد قدمنا آنفاً أن هذا الأصل مؤيد بدلائل الكتاب والسنة</w:t>
      </w:r>
      <w:r w:rsidR="000636C2">
        <w:rPr>
          <w:rFonts w:hint="cs"/>
          <w:rtl/>
        </w:rPr>
        <w:t>،</w:t>
      </w:r>
      <w:r w:rsidRPr="005675B2">
        <w:rPr>
          <w:rFonts w:hint="cs"/>
          <w:rtl/>
        </w:rPr>
        <w:t xml:space="preserve"> وليس مذهبهم مرتباً على ما قاله الدكتور سفر</w:t>
      </w:r>
      <w:r w:rsidR="000636C2">
        <w:rPr>
          <w:rFonts w:hint="cs"/>
          <w:rtl/>
        </w:rPr>
        <w:t>،</w:t>
      </w:r>
      <w:r w:rsidRPr="005675B2">
        <w:rPr>
          <w:rFonts w:hint="cs"/>
          <w:rtl/>
        </w:rPr>
        <w:t xml:space="preserve"> فهل بعد وقوف الدكتور على حقيقة القضية لا يزال يصر على استنكاره لها</w:t>
      </w:r>
      <w:r w:rsidR="000636C2">
        <w:rPr>
          <w:rFonts w:hint="cs"/>
          <w:rtl/>
        </w:rPr>
        <w:t>؟!</w:t>
      </w:r>
      <w:r w:rsidRPr="005675B2">
        <w:rPr>
          <w:rFonts w:hint="cs"/>
          <w:rtl/>
        </w:rPr>
        <w:t xml:space="preserve"> الحادي عشر</w:t>
      </w:r>
      <w:r w:rsidR="000636C2">
        <w:rPr>
          <w:rFonts w:hint="cs"/>
          <w:rtl/>
        </w:rPr>
        <w:t>:</w:t>
      </w:r>
      <w:r w:rsidRPr="005675B2">
        <w:rPr>
          <w:rFonts w:hint="cs"/>
          <w:rtl/>
        </w:rPr>
        <w:t xml:space="preserve"> دعوى الدكتور أن المسألتين الآنفتين مرتبتان على ما قاله باطلاً</w:t>
      </w:r>
      <w:r w:rsidR="000636C2">
        <w:rPr>
          <w:rFonts w:hint="cs"/>
          <w:rtl/>
        </w:rPr>
        <w:t>:</w:t>
      </w:r>
      <w:r w:rsidRPr="005675B2">
        <w:rPr>
          <w:rFonts w:hint="cs"/>
          <w:rtl/>
        </w:rPr>
        <w:t xml:space="preserve"> « من أن الأشاعرة جعلوا أفعاله تعالى كلها راجعة إلى محض المشيئة، ولا تعلق لصفة أخرى</w:t>
      </w:r>
      <w:r w:rsidR="000636C2">
        <w:rPr>
          <w:rFonts w:hint="cs"/>
          <w:rtl/>
        </w:rPr>
        <w:t xml:space="preserve"> </w:t>
      </w:r>
      <w:r w:rsidRPr="005675B2">
        <w:rPr>
          <w:rFonts w:hint="cs"/>
          <w:rtl/>
        </w:rPr>
        <w:t>- كالحكمة</w:t>
      </w:r>
      <w:r w:rsidR="000636C2">
        <w:rPr>
          <w:rFonts w:hint="cs"/>
          <w:rtl/>
        </w:rPr>
        <w:t xml:space="preserve"> </w:t>
      </w:r>
      <w:r w:rsidRPr="005675B2">
        <w:rPr>
          <w:rFonts w:hint="cs"/>
          <w:rtl/>
        </w:rPr>
        <w:t>- بها » فإن نسبة هذا الجعل إلى الأشاعرة خطأ كما تقدم، فكيف يبنون عليه أمراً آخر، وقد ذكرنا مبنى هاتين المسألتين عند الأشاعرة</w:t>
      </w:r>
      <w:r w:rsidR="000636C2">
        <w:rPr>
          <w:rFonts w:hint="cs"/>
          <w:rtl/>
        </w:rPr>
        <w:t xml:space="preserve">، </w:t>
      </w:r>
      <w:r w:rsidRPr="005675B2">
        <w:rPr>
          <w:rFonts w:hint="cs"/>
          <w:rtl/>
        </w:rPr>
        <w:t>الثاني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"وسبب هذا التأصيل الباطل عدم فهمهم ألا تعارض بين المشيئة والحكمة، أو المشيئة والرحمة" أقول</w:t>
      </w:r>
      <w:r w:rsidR="000636C2">
        <w:rPr>
          <w:rFonts w:hint="cs"/>
          <w:rtl/>
        </w:rPr>
        <w:t>:</w:t>
      </w:r>
      <w:r w:rsidRPr="005675B2">
        <w:rPr>
          <w:rFonts w:hint="cs"/>
          <w:rtl/>
        </w:rPr>
        <w:t xml:space="preserve"> </w:t>
      </w:r>
      <w:r w:rsidR="000636C2">
        <w:rPr>
          <w:rFonts w:hint="cs"/>
          <w:rtl/>
        </w:rPr>
        <w:t>(</w:t>
      </w:r>
      <w:r>
        <w:rPr>
          <w:rFonts w:hint="cs"/>
          <w:rtl/>
        </w:rPr>
        <w:t>أولا</w:t>
      </w:r>
      <w:r w:rsidR="000636C2">
        <w:rPr>
          <w:rFonts w:hint="cs"/>
          <w:rtl/>
        </w:rPr>
        <w:t>):</w:t>
      </w:r>
      <w:r w:rsidRPr="005675B2">
        <w:rPr>
          <w:rFonts w:hint="cs"/>
          <w:rtl/>
        </w:rPr>
        <w:t xml:space="preserve"> إن هذا التأصيل هو تأصيل الدكتور سفر وليس بتأصيل الأشاعرة كما حققنا</w:t>
      </w:r>
      <w:r w:rsidR="000636C2">
        <w:rPr>
          <w:rFonts w:hint="cs"/>
          <w:rtl/>
        </w:rPr>
        <w:t>،</w:t>
      </w:r>
      <w:r w:rsidRPr="005675B2">
        <w:rPr>
          <w:rFonts w:hint="cs"/>
          <w:rtl/>
        </w:rPr>
        <w:t xml:space="preserve"> وأقول ثانياً</w:t>
      </w:r>
      <w:r w:rsidR="000636C2">
        <w:rPr>
          <w:rFonts w:hint="cs"/>
          <w:rtl/>
        </w:rPr>
        <w:t>:</w:t>
      </w:r>
      <w:r w:rsidRPr="005675B2">
        <w:rPr>
          <w:rFonts w:hint="cs"/>
          <w:rtl/>
        </w:rPr>
        <w:t xml:space="preserve"> إن الأشاعرة قد فهموا جيداً أنه لا تعارض بين صفاته تعالى، وأصلوا على كل منها ما يبني عليها من المسائل العقدية، ولكن الدكتور سفر لم يفهم لا الأصل ولا المؤصل ولا التأصيل</w:t>
      </w:r>
      <w:r w:rsidR="000636C2">
        <w:rPr>
          <w:rFonts w:hint="cs"/>
          <w:rtl/>
        </w:rPr>
        <w:t xml:space="preserve">، </w:t>
      </w:r>
      <w:r w:rsidRPr="005675B2">
        <w:rPr>
          <w:rFonts w:hint="cs"/>
          <w:rtl/>
        </w:rPr>
        <w:t>الثالث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"ولهذا لم يثبت الأشاعرة الحكمة مع الصفات السبع، واكتفوا بإثبات الإرادة" أقول</w:t>
      </w:r>
      <w:r w:rsidR="000636C2">
        <w:rPr>
          <w:rFonts w:hint="cs"/>
          <w:rtl/>
        </w:rPr>
        <w:t>:</w:t>
      </w:r>
      <w:r w:rsidRPr="005675B2">
        <w:rPr>
          <w:rFonts w:hint="cs"/>
          <w:rtl/>
        </w:rPr>
        <w:t xml:space="preserve"> أما أن الأشاعرة لم يثبتوا الحكمة مع الصفات السبع فصحيح، وأما أن عدم إثباتهم لها معها مبني على عدم الفهم الذي ادعاه الدكتور سفر فواضح أنه باطل، لأن ما ادعاه من عدم فهمهم أن لا تعارض بين المشيئة والحكمة باطل ليس له أصل من الصحة، فكيف يبنون عليه غيره</w:t>
      </w:r>
      <w:r w:rsidR="000636C2">
        <w:rPr>
          <w:rFonts w:hint="cs"/>
          <w:rtl/>
        </w:rPr>
        <w:t>؟!</w:t>
      </w:r>
      <w:r w:rsidRPr="005675B2">
        <w:rPr>
          <w:rFonts w:hint="cs"/>
          <w:rtl/>
        </w:rPr>
        <w:t xml:space="preserve"> نعم السبب في عدم ذكرهم للحكمة مع الصفات السبع أن الحكمة راجعة إلى صفات الأفعال، والصفات السبع صفات الذات، أو أنها راجعة إلى العلم</w:t>
      </w:r>
      <w:r w:rsidR="000636C2">
        <w:rPr>
          <w:rFonts w:hint="cs"/>
          <w:rtl/>
        </w:rPr>
        <w:t>،</w:t>
      </w:r>
      <w:r w:rsidRPr="005675B2">
        <w:rPr>
          <w:rFonts w:hint="cs"/>
          <w:rtl/>
        </w:rPr>
        <w:t xml:space="preserve"> الذي هو من صفات الذات</w:t>
      </w:r>
      <w:r w:rsidR="000636C2">
        <w:rPr>
          <w:rFonts w:hint="cs"/>
          <w:rtl/>
        </w:rPr>
        <w:t>،</w:t>
      </w:r>
      <w:r w:rsidRPr="005675B2">
        <w:rPr>
          <w:rFonts w:hint="cs"/>
          <w:rtl/>
        </w:rPr>
        <w:t xml:space="preserve"> قال ابن الأثير في "النهاية" في أسماء الله تعالى الحَكَم والحكيم، هما بمعنى الحاكم، وهو القاضي والحكيم فعيل بمعنى فاعل، أو هو الذي يُحْكِم الأشياءَ ويُتْقِنُها، فهو فعيل بمعنى مفعل، وقيل</w:t>
      </w:r>
      <w:r w:rsidR="000636C2">
        <w:rPr>
          <w:rFonts w:hint="cs"/>
          <w:rtl/>
        </w:rPr>
        <w:t>:</w:t>
      </w:r>
      <w:r w:rsidRPr="005675B2">
        <w:rPr>
          <w:rFonts w:hint="cs"/>
          <w:rtl/>
        </w:rPr>
        <w:t xml:space="preserve"> الحكيم ذو الحكمة، والحكمة عبارة عن معرفة أفضل الأشياء بأفضل العلوم</w:t>
      </w:r>
      <w:r w:rsidR="000636C2">
        <w:rPr>
          <w:rFonts w:hint="cs"/>
          <w:rtl/>
        </w:rPr>
        <w:t>،</w:t>
      </w:r>
      <w:r w:rsidRPr="005675B2">
        <w:rPr>
          <w:rFonts w:hint="cs"/>
          <w:rtl/>
        </w:rPr>
        <w:t xml:space="preserve"> ويقال لمن يحسن دقائق الصناعات ويتقنها</w:t>
      </w:r>
      <w:r w:rsidR="000636C2">
        <w:rPr>
          <w:rFonts w:hint="cs"/>
          <w:rtl/>
        </w:rPr>
        <w:t>:</w:t>
      </w:r>
      <w:r w:rsidRPr="005675B2">
        <w:rPr>
          <w:rFonts w:hint="cs"/>
          <w:rtl/>
        </w:rPr>
        <w:t xml:space="preserve"> حكيم</w:t>
      </w:r>
      <w:r w:rsidR="000636C2">
        <w:rPr>
          <w:rFonts w:hint="cs"/>
          <w:rtl/>
        </w:rPr>
        <w:t xml:space="preserve">، </w:t>
      </w:r>
      <w:r w:rsidRPr="005675B2">
        <w:rPr>
          <w:rFonts w:hint="cs"/>
          <w:rtl/>
        </w:rPr>
        <w:t>فالحكمة إما بمعنى القضاء، أو بمعنى إحكام الأشياء، وإتقانها</w:t>
      </w:r>
      <w:r w:rsidR="000636C2">
        <w:rPr>
          <w:rFonts w:hint="cs"/>
          <w:rtl/>
        </w:rPr>
        <w:t>،</w:t>
      </w:r>
      <w:r w:rsidRPr="005675B2">
        <w:rPr>
          <w:rFonts w:hint="cs"/>
          <w:rtl/>
        </w:rPr>
        <w:t xml:space="preserve"> وهما صفتا فعل، أو بمعنى معرفة أفضل الأشياء بأفضل العلوم</w:t>
      </w:r>
      <w:r w:rsidR="000636C2">
        <w:rPr>
          <w:rFonts w:hint="cs"/>
          <w:rtl/>
        </w:rPr>
        <w:t>،</w:t>
      </w:r>
      <w:r w:rsidRPr="005675B2">
        <w:rPr>
          <w:rFonts w:hint="cs"/>
          <w:rtl/>
        </w:rPr>
        <w:t xml:space="preserve"> وهي صفة ذات</w:t>
      </w:r>
      <w:r w:rsidR="000636C2">
        <w:rPr>
          <w:rFonts w:hint="cs"/>
          <w:rtl/>
        </w:rPr>
        <w:t>،</w:t>
      </w:r>
    </w:p>
    <w:p w14:paraId="1945AAF9" w14:textId="621DCB9F" w:rsidR="009C32A0" w:rsidRPr="005675B2" w:rsidRDefault="009C32A0" w:rsidP="000636C2">
      <w:pPr>
        <w:rPr>
          <w:b/>
          <w:rtl/>
        </w:rPr>
      </w:pPr>
      <w:r w:rsidRPr="005675B2">
        <w:rPr>
          <w:rFonts w:hint="cs"/>
          <w:rtl/>
        </w:rPr>
        <w:t xml:space="preserve">56 - </w:t>
      </w:r>
      <w:r w:rsidRPr="00811CB3">
        <w:rPr>
          <w:rFonts w:hint="cs"/>
          <w:bCs/>
          <w:rtl/>
        </w:rPr>
        <w:t>التاسع النبوات</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يختلفُ مذهبُ الأشاعرة عن مذهبِ أهلِ السُّنة والجماعة في النبوات اختلافاً بعيداً، فهم يقررون أنّ إرسالَ الرسل راجعٌ للمشيئة المحضة</w:t>
      </w:r>
      <w:r w:rsidR="000636C2">
        <w:rPr>
          <w:rFonts w:hint="cs"/>
          <w:rtl/>
        </w:rPr>
        <w:t xml:space="preserve"> </w:t>
      </w:r>
      <w:r w:rsidRPr="005675B2">
        <w:rPr>
          <w:rFonts w:hint="cs"/>
          <w:rtl/>
        </w:rPr>
        <w:t>- كما في الفقرة السابقة، ثم يقررون أنه لا دليلَ على صدقِ النبيِّ إلا المعجزة، ثم يقررونَ أنّ أفعالَ السحرةِ والكُهّان من جنسِ المعجزةِ لكنّها لا تكون مقرونةً بادعاء النبوة، والتحدِّي، قالوا</w:t>
      </w:r>
      <w:r w:rsidR="000636C2">
        <w:rPr>
          <w:rFonts w:hint="cs"/>
          <w:rtl/>
        </w:rPr>
        <w:t>:</w:t>
      </w:r>
      <w:r w:rsidRPr="005675B2">
        <w:rPr>
          <w:rFonts w:hint="cs"/>
          <w:rtl/>
        </w:rPr>
        <w:t xml:space="preserve"> ولو ادَّعى الساحر أو الكاهن النبوَّة لسلبه اللهُ معرفة السِّحر رأساً وإلا كان هذا إضلالاً من الله وهو يمتنعُ عليه الإضلال .. إلى آخر ما يقررونه مما يخالفُ المنقولَ والمعقولَ</w:t>
      </w:r>
      <w:r w:rsidR="000636C2">
        <w:rPr>
          <w:rFonts w:hint="cs"/>
          <w:rtl/>
        </w:rPr>
        <w:t>،</w:t>
      </w:r>
      <w:r w:rsidRPr="005675B2">
        <w:rPr>
          <w:rFonts w:hint="cs"/>
          <w:rtl/>
        </w:rPr>
        <w:t xml:space="preserve"> ولضعف مذهبهم في النبواتِ مع كونِها من أخطر أبواب العقيدة، إذ كلُّ أمورها متوقفةٌ على ثبوت النبوَّةِ</w:t>
      </w:r>
      <w:r w:rsidR="000636C2">
        <w:rPr>
          <w:rFonts w:hint="cs"/>
          <w:rtl/>
        </w:rPr>
        <w:t>،</w:t>
      </w:r>
      <w:r w:rsidRPr="005675B2">
        <w:rPr>
          <w:rFonts w:hint="cs"/>
          <w:rtl/>
        </w:rPr>
        <w:t xml:space="preserve"> أغروا أعداءَ الإسلام بالنيل منه واستطالَ عليه الفلاسفة والملاحدةُ</w:t>
      </w:r>
      <w:r w:rsidR="000636C2">
        <w:rPr>
          <w:rFonts w:hint="cs"/>
          <w:rtl/>
        </w:rPr>
        <w:t>،</w:t>
      </w:r>
      <w:r w:rsidRPr="005675B2">
        <w:rPr>
          <w:rFonts w:hint="cs"/>
          <w:rtl/>
        </w:rPr>
        <w:t xml:space="preserve"> والصوفيةُ منهم كالغزالي يفسِّرون الوحيَ تفسيراً قرمطياً فيقولونه هو انتقاشُ العلمِ الفائضِ من العقل الكلِّي في العقل الجزئيِّ </w:t>
      </w:r>
      <w:r w:rsidR="000636C2">
        <w:rPr>
          <w:rFonts w:hint="cs"/>
          <w:rtl/>
        </w:rPr>
        <w:t>(</w:t>
      </w:r>
      <w:r w:rsidRPr="005675B2">
        <w:rPr>
          <w:rFonts w:hint="cs"/>
          <w:rtl/>
        </w:rPr>
        <w:t>ونسب هذا الكلام في الحاشية إلى</w:t>
      </w:r>
      <w:r w:rsidR="000636C2">
        <w:rPr>
          <w:rFonts w:hint="cs"/>
          <w:rtl/>
        </w:rPr>
        <w:t>:</w:t>
      </w:r>
      <w:r w:rsidRPr="005675B2">
        <w:rPr>
          <w:rFonts w:hint="cs"/>
          <w:rtl/>
        </w:rPr>
        <w:t xml:space="preserve"> الإرشاد، ونهاية الإقدام، وأصول الدين، والمواقف، وغاية المرام، والرسالة اللدنية</w:t>
      </w:r>
      <w:r w:rsidR="000636C2">
        <w:rPr>
          <w:rFonts w:hint="cs"/>
          <w:rtl/>
        </w:rPr>
        <w:t xml:space="preserve">)، </w:t>
      </w:r>
      <w:r w:rsidRPr="005675B2">
        <w:rPr>
          <w:rFonts w:hint="cs"/>
          <w:rtl/>
        </w:rPr>
        <w:t>أما في موضوع العصمةِ فينكرونَ صدورَ الذَّنْبِ عن الأنبياء ويؤولون الآيات والأحاديثَ الكثيرةَ تأويلاً متعسِّفاً متكلّفاً كالحال في تأويلاتِ الصفات "</w:t>
      </w:r>
      <w:r w:rsidR="000636C2">
        <w:rPr>
          <w:rFonts w:hint="cs"/>
          <w:rtl/>
        </w:rPr>
        <w:t>،</w:t>
      </w:r>
    </w:p>
    <w:p w14:paraId="20BCD66B" w14:textId="42072E74" w:rsidR="009C32A0" w:rsidRPr="005675B2" w:rsidRDefault="009C32A0" w:rsidP="000636C2">
      <w:pPr>
        <w:rPr>
          <w:b/>
          <w:rtl/>
        </w:rPr>
      </w:pPr>
      <w:r w:rsidRPr="005675B2">
        <w:rPr>
          <w:rFonts w:hint="cs"/>
          <w:rtl/>
        </w:rPr>
        <w:t>57 - أخطاء الدكتور في كلامه على النبوات</w:t>
      </w:r>
      <w:r w:rsidR="000636C2">
        <w:rPr>
          <w:rFonts w:hint="cs"/>
          <w:rtl/>
        </w:rPr>
        <w:t xml:space="preserve">: </w:t>
      </w:r>
      <w:r w:rsidRPr="005675B2">
        <w:rPr>
          <w:rFonts w:hint="cs"/>
          <w:rtl/>
        </w:rPr>
        <w:t>أقول</w:t>
      </w:r>
      <w:r w:rsidR="000636C2">
        <w:rPr>
          <w:rFonts w:hint="cs"/>
          <w:rtl/>
        </w:rPr>
        <w:t>:</w:t>
      </w:r>
      <w:r w:rsidRPr="005675B2">
        <w:rPr>
          <w:rFonts w:hint="cs"/>
          <w:rtl/>
        </w:rPr>
        <w:t xml:space="preserve"> قد اشتمل كلام الدكتور أيضاً على أخطاء عظيمة جمة</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w:t>
      </w:r>
      <w:r w:rsidR="000636C2">
        <w:rPr>
          <w:rFonts w:hint="cs"/>
          <w:rtl/>
        </w:rPr>
        <w:t>(</w:t>
      </w:r>
      <w:r w:rsidRPr="005675B2">
        <w:rPr>
          <w:rFonts w:hint="cs"/>
          <w:rtl/>
        </w:rPr>
        <w:t>قوله</w:t>
      </w:r>
      <w:r w:rsidR="000636C2">
        <w:rPr>
          <w:rFonts w:hint="cs"/>
          <w:rtl/>
        </w:rPr>
        <w:t>:</w:t>
      </w:r>
      <w:r w:rsidRPr="005675B2">
        <w:rPr>
          <w:rFonts w:hint="cs"/>
          <w:rtl/>
        </w:rPr>
        <w:t xml:space="preserve"> يختلف مذهب الأشاعرة عن مذهب أهل السنة والجماعة في النبوات اختلافاً بعيداً</w:t>
      </w:r>
      <w:r w:rsidR="000636C2">
        <w:rPr>
          <w:rFonts w:hint="cs"/>
          <w:rtl/>
        </w:rPr>
        <w:t>)،</w:t>
      </w:r>
      <w:r w:rsidRPr="005675B2">
        <w:rPr>
          <w:rFonts w:hint="cs"/>
          <w:rtl/>
        </w:rPr>
        <w:t xml:space="preserve"> أقول</w:t>
      </w:r>
      <w:r w:rsidR="000636C2">
        <w:rPr>
          <w:rFonts w:hint="cs"/>
          <w:rtl/>
        </w:rPr>
        <w:t>:</w:t>
      </w:r>
      <w:r w:rsidRPr="005675B2">
        <w:rPr>
          <w:rFonts w:hint="cs"/>
          <w:rtl/>
        </w:rPr>
        <w:t xml:space="preserve"> هذا هو الخطأ الأصل الذي تفرع عنه أخطاء غير محصورة، وهو أنه قد تقرر في عقل الدكتور أن الأشاعرة ليسوا من أهل السنة وأن مذهبهم مخالف لمذهب أهل السنة، وذلك عن عدم معرفته بمذهبهم الذي هو مذهب أهل السنة، ولعل الدكتور عند معرفته بمذهب الأشاعرة عامة عن طريق قراءته لهذا التعليق يترك جانباً ما كان يستخدمه لتفريق كلمة المسلمين وإيقاع الشقاق فيما بينهم من المعاول والأسافين في وقت أحوج ما تكون فيه الأمة إلى جمع الكلمة ووحدة الصف</w:t>
      </w:r>
      <w:r w:rsidR="000636C2">
        <w:rPr>
          <w:rFonts w:hint="cs"/>
          <w:rtl/>
        </w:rPr>
        <w:t>،</w:t>
      </w:r>
      <w:r w:rsidRPr="005675B2">
        <w:rPr>
          <w:rFonts w:hint="cs"/>
          <w:rtl/>
        </w:rPr>
        <w:t xml:space="preserve"> </w:t>
      </w:r>
      <w:r w:rsidR="000636C2">
        <w:rPr>
          <w:rFonts w:hint="cs"/>
          <w:rtl/>
        </w:rPr>
        <w:t>(</w:t>
      </w:r>
      <w:r w:rsidRPr="005675B2">
        <w:rPr>
          <w:rFonts w:hint="cs"/>
          <w:rtl/>
        </w:rPr>
        <w:t>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فهم يقررون أن إرسال الرسل راجع للمشيئة المحضة</w:t>
      </w:r>
      <w:r w:rsidR="000636C2">
        <w:rPr>
          <w:rFonts w:hint="cs"/>
          <w:rtl/>
        </w:rPr>
        <w:t>)،</w:t>
      </w:r>
      <w:r w:rsidRPr="005675B2">
        <w:rPr>
          <w:rFonts w:hint="cs"/>
          <w:rtl/>
        </w:rPr>
        <w:t xml:space="preserve"> أقول</w:t>
      </w:r>
      <w:r w:rsidR="000636C2">
        <w:rPr>
          <w:rFonts w:hint="cs"/>
          <w:rtl/>
        </w:rPr>
        <w:t>:</w:t>
      </w:r>
      <w:r w:rsidRPr="005675B2">
        <w:rPr>
          <w:rFonts w:hint="cs"/>
          <w:rtl/>
        </w:rPr>
        <w:t xml:space="preserve"> إن الأشاعرة يقولون</w:t>
      </w:r>
      <w:r w:rsidR="000636C2">
        <w:rPr>
          <w:rFonts w:hint="cs"/>
          <w:rtl/>
        </w:rPr>
        <w:t>:</w:t>
      </w:r>
      <w:r w:rsidRPr="005675B2">
        <w:rPr>
          <w:rFonts w:hint="cs"/>
          <w:rtl/>
        </w:rPr>
        <w:t xml:space="preserve"> إن إرسال الرسل راجع إلى المشيئة والحكمة، ولم يقولوا برجوع إرسال الرسل إلى المشيئة فقط</w:t>
      </w:r>
      <w:r w:rsidR="000636C2">
        <w:rPr>
          <w:rFonts w:hint="cs"/>
          <w:rtl/>
        </w:rPr>
        <w:t>،</w:t>
      </w:r>
      <w:r w:rsidRPr="005675B2">
        <w:rPr>
          <w:rFonts w:hint="cs"/>
          <w:rtl/>
        </w:rPr>
        <w:t xml:space="preserve"> وهذا الخطأ من الدكتور مبني على الخطأ السابق، وهو قوله بأن الأشاعرة لا يقولون بالحكمة، وقد بينا خطأه هناك بما فيه الكفاية</w:t>
      </w:r>
      <w:r w:rsidR="000636C2">
        <w:rPr>
          <w:rFonts w:hint="cs"/>
          <w:rtl/>
        </w:rPr>
        <w:t>،</w:t>
      </w:r>
      <w:r w:rsidRPr="005675B2">
        <w:rPr>
          <w:rFonts w:hint="cs"/>
          <w:rtl/>
        </w:rPr>
        <w:t xml:space="preserve"> وأما رجوع إرسال الرسل إلى الحكمة فقد قال النسفي في "عقائده"</w:t>
      </w:r>
      <w:r w:rsidR="000636C2">
        <w:rPr>
          <w:rFonts w:hint="cs"/>
          <w:rtl/>
        </w:rPr>
        <w:t>:</w:t>
      </w:r>
      <w:r w:rsidRPr="005675B2">
        <w:rPr>
          <w:rFonts w:hint="cs"/>
          <w:rtl/>
        </w:rPr>
        <w:t xml:space="preserve"> "وفي إرسال الرسل حكمة" قال التفتازاني في "شرحه"</w:t>
      </w:r>
      <w:r w:rsidR="000636C2">
        <w:rPr>
          <w:rFonts w:hint="cs"/>
          <w:rtl/>
        </w:rPr>
        <w:t>:</w:t>
      </w:r>
      <w:r w:rsidRPr="005675B2">
        <w:rPr>
          <w:rFonts w:hint="cs"/>
          <w:rtl/>
        </w:rPr>
        <w:t xml:space="preserve"> أي</w:t>
      </w:r>
      <w:r w:rsidR="000636C2">
        <w:rPr>
          <w:rFonts w:hint="cs"/>
          <w:rtl/>
        </w:rPr>
        <w:t>:</w:t>
      </w:r>
      <w:r w:rsidRPr="005675B2">
        <w:rPr>
          <w:rFonts w:hint="cs"/>
          <w:rtl/>
        </w:rPr>
        <w:t xml:space="preserve"> مصلحة وعاقبة حميدة .. بمعنى أن قضية الحكمة تقتضيه لما فيه من الحكم والمصالح .. إلى آخر كلامه</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ثم يقررون أنه لا دليل على صدق النبي إلا المعجزة</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يقررون ذلك، بل يقرون أن هناك دلائل غير المعجزة تدل على صدق النبي، ويذكرون في كتبهم جملة من هذه الدلائل، وإنما الذي يقررونه هو أن العمدة في إثبات النبوة وإلزام الحجة على المجادل المعاند هو المعجزة، مع قولهم بوجود غير المعجزة من الدلائل</w:t>
      </w:r>
      <w:r w:rsidR="000636C2">
        <w:rPr>
          <w:rFonts w:hint="cs"/>
          <w:rtl/>
        </w:rPr>
        <w:t>،</w:t>
      </w:r>
      <w:r w:rsidRPr="005675B2">
        <w:rPr>
          <w:rFonts w:hint="cs"/>
          <w:rtl/>
        </w:rPr>
        <w:t xml:space="preserve"> وهل تقوم الحجة على المكلف بمجرد أن يدعى أحد الناس -مهما كان من أهل الفضل والصلاح - النبوة بدون أن تظهر المعجزة على يده</w:t>
      </w:r>
      <w:r w:rsidR="000636C2">
        <w:rPr>
          <w:rFonts w:hint="cs"/>
          <w:rtl/>
        </w:rPr>
        <w:t>؟</w:t>
      </w:r>
      <w:r w:rsidRPr="005675B2">
        <w:rPr>
          <w:rFonts w:hint="cs"/>
          <w:rtl/>
        </w:rPr>
        <w:t xml:space="preserve"> لاريب في أنه لا تقوم الحجة بمجرد ذلك، ولا تقوم إلا باظهار الله تعالى المعجزة على يد مدعى النبوة، ومن أجل ذلك كان من عادة الله تعالى أن يظهر المعجزة على يد مدعى النبوة صادقا، ولا يوكل الناس إلى الإستدلال على صحة دعواه النبوة بما اتصف به من الفضل والصلاح</w:t>
      </w:r>
      <w:r w:rsidR="000636C2">
        <w:rPr>
          <w:rFonts w:hint="cs"/>
          <w:rtl/>
        </w:rPr>
        <w:t>،</w:t>
      </w:r>
      <w:r w:rsidRPr="005675B2">
        <w:rPr>
          <w:rFonts w:hint="cs"/>
          <w:rtl/>
        </w:rPr>
        <w:t xml:space="preserve"> والصفات الحميدة والخلق العظيم إلى غير ذلك مما عده العلماء من دلائل النبوة</w:t>
      </w:r>
      <w:r w:rsidR="000636C2">
        <w:rPr>
          <w:rFonts w:hint="cs"/>
          <w:rtl/>
        </w:rPr>
        <w:t xml:space="preserve">، </w:t>
      </w:r>
      <w:r w:rsidRPr="005675B2">
        <w:rPr>
          <w:rFonts w:hint="cs"/>
          <w:rtl/>
        </w:rPr>
        <w:t>قال التفتازاني في "شرح المقاصد" بعد انتهائه من ذكر دليل المعجزة مفَصَّلاً</w:t>
      </w:r>
      <w:r w:rsidR="000636C2">
        <w:rPr>
          <w:rFonts w:hint="cs"/>
          <w:rtl/>
        </w:rPr>
        <w:t>:</w:t>
      </w:r>
      <w:r w:rsidRPr="005675B2">
        <w:rPr>
          <w:rFonts w:hint="cs"/>
          <w:rtl/>
        </w:rPr>
        <w:t xml:space="preserve"> ما سبق هو العمدة في إثبات النبوة، وإلزام الحجة على المجادل المعاند، وقد يذكر وجوه أخرى تقوية له وتتميماً وإرشاداً لطالب الحق وتعليماً، ثم ذكر خمسة دلائل من هذا النوع</w:t>
      </w:r>
      <w:r w:rsidR="000636C2">
        <w:rPr>
          <w:rFonts w:hint="cs"/>
          <w:rtl/>
        </w:rPr>
        <w:t>:</w:t>
      </w:r>
      <w:r w:rsidRPr="005675B2">
        <w:rPr>
          <w:rFonts w:hint="cs"/>
          <w:rtl/>
        </w:rPr>
        <w:t xml:space="preserve"> أحدها</w:t>
      </w:r>
      <w:r w:rsidR="000636C2">
        <w:rPr>
          <w:rFonts w:hint="cs"/>
          <w:rtl/>
        </w:rPr>
        <w:t>:</w:t>
      </w:r>
      <w:r w:rsidRPr="005675B2">
        <w:rPr>
          <w:rFonts w:hint="cs"/>
          <w:rtl/>
        </w:rPr>
        <w:t xml:space="preserve"> ما اجتمع فيه من الكمالات العلمية والعملية والنفسانية والبدنية، والخارجية</w:t>
      </w:r>
      <w:r w:rsidR="000636C2">
        <w:rPr>
          <w:rFonts w:hint="cs"/>
          <w:rtl/>
        </w:rPr>
        <w:t>، (</w:t>
      </w:r>
      <w:r w:rsidRPr="005675B2">
        <w:rPr>
          <w:rFonts w:hint="cs"/>
          <w:rtl/>
        </w:rPr>
        <w:t>الثاني</w:t>
      </w:r>
      <w:r w:rsidR="000636C2">
        <w:rPr>
          <w:rFonts w:hint="cs"/>
          <w:rtl/>
        </w:rPr>
        <w:t>):</w:t>
      </w:r>
      <w:r w:rsidRPr="005675B2">
        <w:rPr>
          <w:rFonts w:hint="cs"/>
          <w:rtl/>
        </w:rPr>
        <w:t xml:space="preserve"> ما اشتمل عليه شريعته من أمر الاعتقادات، والعبادات، والمعاملات، والسياسات، وغير ذلك</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ظهور دينه على سائر الأديان مع قلة الأنصار والأعوان، وكثرة أهل الضلال والعدوان</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أنه ظهر على فترة من الرسل واختلال في الملك، وانتشار الضلال واشتهار المحال</w:t>
      </w:r>
      <w:r w:rsidR="000636C2">
        <w:rPr>
          <w:rFonts w:hint="cs"/>
          <w:rtl/>
        </w:rPr>
        <w:t>،</w:t>
      </w:r>
      <w:r w:rsidRPr="005675B2">
        <w:rPr>
          <w:rFonts w:hint="cs"/>
          <w:rtl/>
        </w:rPr>
        <w:t xml:space="preserve"> وافتقار إلى من يجدد أمر الدين، ويدفع في صدر الملحدين، ويرفع لواء المتقين، ولم يكن بهذه الصفة غيره من العالمين</w:t>
      </w:r>
      <w:r w:rsidR="000636C2">
        <w:rPr>
          <w:rFonts w:hint="cs"/>
          <w:rtl/>
        </w:rPr>
        <w:t>،</w:t>
      </w:r>
      <w:r w:rsidRPr="005675B2">
        <w:rPr>
          <w:rFonts w:hint="cs"/>
          <w:rtl/>
        </w:rPr>
        <w:t xml:space="preserve"> الخامس</w:t>
      </w:r>
      <w:r w:rsidR="000636C2">
        <w:rPr>
          <w:rFonts w:hint="cs"/>
          <w:rtl/>
        </w:rPr>
        <w:t>:</w:t>
      </w:r>
      <w:r w:rsidRPr="005675B2">
        <w:rPr>
          <w:rFonts w:hint="cs"/>
          <w:rtl/>
        </w:rPr>
        <w:t xml:space="preserve"> نصوص الكتب السماوية، ثم ذكر مجموعة منها</w:t>
      </w:r>
      <w:r w:rsidR="000636C2">
        <w:rPr>
          <w:rFonts w:hint="cs"/>
          <w:rtl/>
        </w:rPr>
        <w:t>،</w:t>
      </w:r>
      <w:r w:rsidRPr="005675B2">
        <w:rPr>
          <w:rFonts w:hint="cs"/>
          <w:rtl/>
        </w:rPr>
        <w:t xml:space="preserve"> [</w:t>
      </w:r>
      <w:r w:rsidRPr="005675B2">
        <w:rPr>
          <w:rFonts w:hint="cs"/>
          <w:sz w:val="24"/>
          <w:szCs w:val="24"/>
          <w:rtl/>
        </w:rPr>
        <w:t>شرح المقاصد 3/299]</w:t>
      </w:r>
      <w:r w:rsidR="000636C2">
        <w:rPr>
          <w:rFonts w:hint="cs"/>
          <w:rtl/>
        </w:rPr>
        <w:t xml:space="preserve">، </w:t>
      </w:r>
      <w:r w:rsidRPr="005675B2">
        <w:rPr>
          <w:rFonts w:hint="cs"/>
          <w:rtl/>
        </w:rPr>
        <w:t>وقال القاضي عضد الدين في "المواقف"</w:t>
      </w:r>
      <w:r w:rsidR="000636C2">
        <w:rPr>
          <w:rFonts w:hint="cs"/>
          <w:rtl/>
        </w:rPr>
        <w:t>:</w:t>
      </w:r>
      <w:r w:rsidRPr="005675B2">
        <w:rPr>
          <w:rFonts w:hint="cs"/>
          <w:rtl/>
        </w:rPr>
        <w:t xml:space="preserve"> المقصد الرابع</w:t>
      </w:r>
      <w:r w:rsidR="000636C2">
        <w:rPr>
          <w:rFonts w:hint="cs"/>
          <w:rtl/>
        </w:rPr>
        <w:t>:</w:t>
      </w:r>
      <w:r w:rsidRPr="005675B2">
        <w:rPr>
          <w:rFonts w:hint="cs"/>
          <w:rtl/>
        </w:rPr>
        <w:t xml:space="preserve"> في إثبات نبوة محمد صلى الله عليه وسلم</w:t>
      </w:r>
      <w:r w:rsidR="000636C2">
        <w:rPr>
          <w:rFonts w:hint="cs"/>
          <w:rtl/>
        </w:rPr>
        <w:t>:</w:t>
      </w:r>
      <w:r w:rsidRPr="005675B2">
        <w:rPr>
          <w:rFonts w:hint="cs"/>
          <w:rtl/>
        </w:rPr>
        <w:t xml:space="preserve"> وفيه مسالك</w:t>
      </w:r>
      <w:r w:rsidR="000636C2">
        <w:rPr>
          <w:rFonts w:hint="cs"/>
          <w:rtl/>
        </w:rPr>
        <w:t>:</w:t>
      </w:r>
      <w:r w:rsidRPr="005675B2">
        <w:rPr>
          <w:rFonts w:hint="cs"/>
          <w:rtl/>
        </w:rPr>
        <w:t xml:space="preserve"> المسلك </w:t>
      </w:r>
      <w:r w:rsidR="000636C2">
        <w:rPr>
          <w:rFonts w:hint="cs"/>
          <w:rtl/>
        </w:rPr>
        <w:t>(</w:t>
      </w:r>
      <w:r w:rsidRPr="005675B2">
        <w:rPr>
          <w:rFonts w:hint="cs"/>
          <w:rtl/>
        </w:rPr>
        <w:t>الأول</w:t>
      </w:r>
      <w:r w:rsidR="000636C2">
        <w:rPr>
          <w:rFonts w:hint="cs"/>
          <w:rtl/>
        </w:rPr>
        <w:t>)</w:t>
      </w:r>
      <w:r w:rsidRPr="005675B2">
        <w:rPr>
          <w:rFonts w:hint="cs"/>
          <w:rtl/>
        </w:rPr>
        <w:t xml:space="preserve"> وهو العمدة أنه ادعى النبوة، وظهرت المعجزة على يده</w:t>
      </w:r>
      <w:r w:rsidR="000636C2">
        <w:rPr>
          <w:rFonts w:hint="cs"/>
          <w:rtl/>
        </w:rPr>
        <w:t xml:space="preserve">، </w:t>
      </w:r>
      <w:r w:rsidRPr="005675B2">
        <w:rPr>
          <w:rFonts w:hint="cs"/>
          <w:rtl/>
        </w:rPr>
        <w:t>وبعد أن ذكر القاضي جملة من خوارق العادات الظاهرة على يده صلى الله عليه وآله وسلم ذكر ثلاثة مسالك أخرى، حيث قال</w:t>
      </w:r>
      <w:r w:rsidR="000636C2">
        <w:rPr>
          <w:rFonts w:hint="cs"/>
          <w:rtl/>
        </w:rPr>
        <w:t>:</w:t>
      </w:r>
      <w:r w:rsidRPr="005675B2">
        <w:rPr>
          <w:rFonts w:hint="cs"/>
          <w:rtl/>
        </w:rPr>
        <w:t xml:space="preserve"> المسلك الثاني</w:t>
      </w:r>
      <w:r w:rsidR="000636C2">
        <w:rPr>
          <w:rFonts w:hint="cs"/>
          <w:rtl/>
        </w:rPr>
        <w:t xml:space="preserve"> </w:t>
      </w:r>
      <w:r w:rsidRPr="005675B2">
        <w:rPr>
          <w:rFonts w:hint="cs"/>
          <w:rtl/>
        </w:rPr>
        <w:t>- وارتضاه الجاحظ والغزالي - الاستدلال بأحواله قبل النبوة وحال الدعوة وبعد تمامها، وأخلاقه العظيمة، وأحكامه الحكيمة، وإقدامه حيث يحجم الأبطال، المسلك الثالث</w:t>
      </w:r>
      <w:r w:rsidR="000636C2">
        <w:rPr>
          <w:rFonts w:hint="cs"/>
          <w:rtl/>
        </w:rPr>
        <w:t>:</w:t>
      </w:r>
      <w:r w:rsidRPr="005675B2">
        <w:rPr>
          <w:rFonts w:hint="cs"/>
          <w:rtl/>
        </w:rPr>
        <w:t xml:space="preserve"> إخبار الأنبياء المتقدمين عليه عن نبوته ..</w:t>
      </w:r>
      <w:r w:rsidR="000636C2">
        <w:rPr>
          <w:rFonts w:hint="cs"/>
          <w:rtl/>
        </w:rPr>
        <w:t xml:space="preserve"> </w:t>
      </w:r>
      <w:r w:rsidRPr="005675B2">
        <w:rPr>
          <w:rFonts w:hint="cs"/>
          <w:rtl/>
        </w:rPr>
        <w:t>المسلك الرابع - وارتضاه الإمام الرازي - أنه عليه السلام ادعى بين قوم لا كتاب لهم ولا حكمة فيهم أني بعثت بالكتاب والحكمة لأتمم مكارم الأخلاق، وأكمل الناس في قوتهم العلمية والعملية، وأنور العالم بالإيمان والعمل الصالح، ففعل ذلك وأظهر دينه على الدين كله كما وعده الله</w:t>
      </w:r>
      <w:r w:rsidR="000636C2">
        <w:rPr>
          <w:rFonts w:hint="cs"/>
          <w:rtl/>
        </w:rPr>
        <w:t>،</w:t>
      </w:r>
      <w:r w:rsidRPr="005675B2">
        <w:rPr>
          <w:rFonts w:hint="cs"/>
          <w:rtl/>
        </w:rPr>
        <w:t xml:space="preserve"> ولا معنى للنبوة إلا هذا</w:t>
      </w:r>
      <w:r w:rsidR="000636C2">
        <w:rPr>
          <w:rFonts w:hint="cs"/>
          <w:rtl/>
        </w:rPr>
        <w:t>،</w:t>
      </w:r>
      <w:r w:rsidRPr="005675B2">
        <w:rPr>
          <w:rFonts w:hint="cs"/>
          <w:rtl/>
        </w:rPr>
        <w:t xml:space="preserve"> [</w:t>
      </w:r>
      <w:r w:rsidRPr="005675B2">
        <w:rPr>
          <w:rFonts w:hint="cs"/>
          <w:sz w:val="24"/>
          <w:szCs w:val="24"/>
          <w:rtl/>
        </w:rPr>
        <w:t>المواقف 349-357]</w:t>
      </w:r>
      <w:r w:rsidR="000636C2">
        <w:rPr>
          <w:rFonts w:hint="cs"/>
          <w:rtl/>
        </w:rPr>
        <w:t>،</w:t>
      </w:r>
      <w:r w:rsidRPr="005675B2">
        <w:rPr>
          <w:rFonts w:hint="cs"/>
          <w:rtl/>
        </w:rPr>
        <w:t xml:space="preserve"> وقال التفتازاني في "شرح المقاصد" لا خفاء في ثبوت النبوة بخلق العلم الضروري، كعلم الصديق رضي الله تعالى عنه، وبخبر من ثبتت عصمته عن الكذب كنصوص التوراة والإنجيل في نبوة نبينا عليه السلام، وكإخبار موسى عليه السلام بنبوة هارون وكالب ويوشع عليهم السلام</w:t>
      </w:r>
      <w:r w:rsidR="000636C2">
        <w:rPr>
          <w:rFonts w:hint="cs"/>
          <w:rtl/>
        </w:rPr>
        <w:t xml:space="preserve">، </w:t>
      </w:r>
      <w:r w:rsidRPr="005675B2">
        <w:rPr>
          <w:rFonts w:hint="cs"/>
          <w:rtl/>
        </w:rPr>
        <w:t>فما ذكر إمام الحرمين "من أنه لا يمكن نصب دليل على النبوة سوى المعجزة لأن ما يُقَدَّر دليلاً إن لم يكن خارقاً للعادة أو كان خارقاً ولم يكن مقروناً بالدعوة لم يصلح دليلاً للاتفاق على جواز وقوع الخوارق من الله تعالى ابتداء"، محمول على ما يصلح دليلاً للنبوة على الإطلاق وحجة على المنكرين بالنسبة إلى كل نبي حتى الذي لا نبي قبله ولا كتاب</w:t>
      </w:r>
      <w:r w:rsidR="000636C2">
        <w:rPr>
          <w:rFonts w:hint="cs"/>
          <w:rtl/>
        </w:rPr>
        <w:t>،</w:t>
      </w:r>
      <w:r w:rsidRPr="005675B2">
        <w:rPr>
          <w:rFonts w:hint="cs"/>
          <w:rtl/>
        </w:rPr>
        <w:t xml:space="preserve"> وأما ما سيأتي من الاستدلال على نبوة محمد صلى الله تعالى عليه وآله وسلم بما شاع من أخلاقه وأحواله فعائد إلى المعجزة على ما نبين إن شاء الله تعالى</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Pr="005675B2">
        <w:rPr>
          <w:rFonts w:hint="cs"/>
          <w:sz w:val="24"/>
          <w:szCs w:val="24"/>
          <w:rtl/>
        </w:rPr>
        <w:t>شرح المقاصد 3/280]</w:t>
      </w:r>
      <w:r w:rsidR="000636C2">
        <w:rPr>
          <w:rFonts w:hint="cs"/>
          <w:rtl/>
        </w:rPr>
        <w:t xml:space="preserve">، </w:t>
      </w:r>
      <w:r w:rsidRPr="005675B2">
        <w:rPr>
          <w:rFonts w:hint="cs"/>
          <w:rtl/>
        </w:rPr>
        <w:t>الخطأ 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ثم يقررون أن أفعال السحرة والكهان من جنس المعجزة لكنها لا تكون مقرونة بادعاء النبوة والتحدي، قالوا</w:t>
      </w:r>
      <w:r w:rsidR="000636C2">
        <w:rPr>
          <w:rFonts w:hint="cs"/>
          <w:rtl/>
        </w:rPr>
        <w:t>:</w:t>
      </w:r>
      <w:r w:rsidRPr="005675B2">
        <w:rPr>
          <w:rFonts w:hint="cs"/>
          <w:rtl/>
        </w:rPr>
        <w:t xml:space="preserve"> ولو ادعى الساحر أو الكاهن النبوة لسلبه الله تعالى معرفة السحر ..</w:t>
      </w:r>
      <w:r w:rsidR="000636C2">
        <w:rPr>
          <w:rFonts w:hint="cs"/>
          <w:rtl/>
        </w:rPr>
        <w:t>،</w:t>
      </w:r>
      <w:r w:rsidRPr="005675B2">
        <w:rPr>
          <w:rFonts w:hint="cs"/>
          <w:rtl/>
        </w:rPr>
        <w:t xml:space="preserve"> وإلا كان هذا إضلالاً من الله تعالى، وهو يمتنع عليه الإضلال .. إلى آخر ما يقررونه مما يخالف المنقول والمعقول</w:t>
      </w:r>
      <w:r w:rsidR="000636C2">
        <w:rPr>
          <w:rFonts w:hint="cs"/>
          <w:rtl/>
        </w:rPr>
        <w:t>)،</w:t>
      </w:r>
      <w:r w:rsidRPr="005675B2">
        <w:rPr>
          <w:rFonts w:hint="cs"/>
          <w:rtl/>
        </w:rPr>
        <w:t xml:space="preserve"> أقول</w:t>
      </w:r>
      <w:r w:rsidR="000636C2">
        <w:rPr>
          <w:rFonts w:hint="cs"/>
          <w:rtl/>
        </w:rPr>
        <w:t>:</w:t>
      </w:r>
      <w:r w:rsidRPr="005675B2">
        <w:rPr>
          <w:rFonts w:hint="cs"/>
          <w:rtl/>
        </w:rPr>
        <w:t xml:space="preserve"> ليت شعري ما هو المنقول والمعقول الذي يخالفه كلامهم هذا</w:t>
      </w:r>
      <w:r w:rsidR="000636C2">
        <w:rPr>
          <w:rFonts w:hint="cs"/>
          <w:rtl/>
        </w:rPr>
        <w:t>!</w:t>
      </w:r>
      <w:r w:rsidRPr="005675B2">
        <w:rPr>
          <w:rFonts w:hint="cs"/>
          <w:rtl/>
        </w:rPr>
        <w:t>!</w:t>
      </w:r>
      <w:r w:rsidR="000636C2">
        <w:rPr>
          <w:rFonts w:hint="cs"/>
          <w:rtl/>
        </w:rPr>
        <w:t xml:space="preserve">؟؟ </w:t>
      </w:r>
      <w:r w:rsidRPr="005675B2">
        <w:rPr>
          <w:rFonts w:hint="cs"/>
          <w:rtl/>
        </w:rPr>
        <w:t>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ولضعف مذهبهم في النبوات مع كونه من أخطر أبواب العقيدة، إذ كل أمورها متوقفة على ثبوت النبوة أغروا أعداء الإسلام بالنيل منه، واستطال عليهم الفلاسفة والملاحدة</w:t>
      </w:r>
      <w:r w:rsidR="000636C2">
        <w:rPr>
          <w:rFonts w:hint="cs"/>
          <w:rtl/>
        </w:rPr>
        <w:t>)،</w:t>
      </w:r>
      <w:r w:rsidRPr="005675B2">
        <w:rPr>
          <w:rFonts w:hint="cs"/>
          <w:rtl/>
        </w:rPr>
        <w:t xml:space="preserve"> أقول</w:t>
      </w:r>
      <w:r w:rsidR="000636C2">
        <w:rPr>
          <w:rFonts w:hint="cs"/>
          <w:rtl/>
        </w:rPr>
        <w:t>:</w:t>
      </w:r>
      <w:r w:rsidRPr="005675B2">
        <w:rPr>
          <w:rFonts w:hint="cs"/>
          <w:rtl/>
        </w:rPr>
        <w:t xml:space="preserve"> ما هو وجه الضعف في مذهبهم في النبوات</w:t>
      </w:r>
      <w:r w:rsidR="000636C2">
        <w:rPr>
          <w:rFonts w:hint="cs"/>
          <w:rtl/>
        </w:rPr>
        <w:t>؟</w:t>
      </w:r>
      <w:r w:rsidRPr="005675B2">
        <w:rPr>
          <w:rFonts w:hint="cs"/>
          <w:rtl/>
        </w:rPr>
        <w:t xml:space="preserve"> ومن هم هؤلاء الأعداء الذين أغراهم الأشاعرة بالنيل من الإسلام</w:t>
      </w:r>
      <w:r w:rsidR="000636C2">
        <w:rPr>
          <w:rFonts w:hint="cs"/>
          <w:rtl/>
        </w:rPr>
        <w:t>؟</w:t>
      </w:r>
      <w:r w:rsidRPr="005675B2">
        <w:rPr>
          <w:rFonts w:hint="cs"/>
          <w:rtl/>
        </w:rPr>
        <w:t xml:space="preserve"> وكيف أغروهم</w:t>
      </w:r>
      <w:r w:rsidR="000636C2">
        <w:rPr>
          <w:rFonts w:hint="cs"/>
          <w:rtl/>
        </w:rPr>
        <w:t>؟</w:t>
      </w:r>
      <w:r w:rsidRPr="005675B2">
        <w:rPr>
          <w:rFonts w:hint="cs"/>
          <w:rtl/>
        </w:rPr>
        <w:t xml:space="preserve"> ومن هم هؤلاء الفلاسفة والملاحدة الذين استطالوا على الأشاعرة</w:t>
      </w:r>
      <w:r w:rsidR="000636C2">
        <w:rPr>
          <w:rFonts w:hint="cs"/>
          <w:rtl/>
        </w:rPr>
        <w:t>؟</w:t>
      </w:r>
      <w:r w:rsidRPr="005675B2">
        <w:rPr>
          <w:rFonts w:hint="cs"/>
          <w:rtl/>
        </w:rPr>
        <w:t xml:space="preserve"> وما هو الذي مهد لهم الاستطالة من مذهب الأشاعرة</w:t>
      </w:r>
      <w:r w:rsidR="000636C2">
        <w:rPr>
          <w:rFonts w:hint="cs"/>
          <w:rtl/>
        </w:rPr>
        <w:t xml:space="preserve">؟ </w:t>
      </w:r>
      <w:r w:rsidRPr="005675B2">
        <w:rPr>
          <w:rFonts w:hint="cs"/>
          <w:rtl/>
        </w:rPr>
        <w:t xml:space="preserve">هذه أسئلة أوجهها إلى الدكتور سفر لا أعلم </w:t>
      </w:r>
      <w:r w:rsidR="000636C2">
        <w:rPr>
          <w:rFonts w:hint="cs"/>
          <w:rtl/>
        </w:rPr>
        <w:t>[</w:t>
      </w:r>
      <w:r>
        <w:rPr>
          <w:rFonts w:hint="cs"/>
          <w:rtl/>
        </w:rPr>
        <w:t>الجواب</w:t>
      </w:r>
      <w:r w:rsidR="000636C2">
        <w:rPr>
          <w:rFonts w:hint="cs"/>
          <w:rtl/>
        </w:rPr>
        <w:t xml:space="preserve">] </w:t>
      </w:r>
      <w:r w:rsidRPr="005675B2">
        <w:rPr>
          <w:rFonts w:hint="cs"/>
          <w:rtl/>
        </w:rPr>
        <w:t>عنها، ولعله ما المسؤول بأعلم من السائل</w:t>
      </w:r>
      <w:r w:rsidR="000636C2">
        <w:rPr>
          <w:rFonts w:hint="cs"/>
          <w:rtl/>
        </w:rPr>
        <w:t xml:space="preserve">،! </w:t>
      </w:r>
      <w:r w:rsidRPr="005675B2">
        <w:rPr>
          <w:rFonts w:hint="cs"/>
          <w:rtl/>
        </w:rPr>
        <w:t>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والصوفية منهم كالغزالي يفسرون الوحي تفسيراً قرمطياً، فيقولون</w:t>
      </w:r>
      <w:r w:rsidR="000636C2">
        <w:rPr>
          <w:rFonts w:hint="cs"/>
          <w:rtl/>
        </w:rPr>
        <w:t>:</w:t>
      </w:r>
      <w:r w:rsidRPr="005675B2">
        <w:rPr>
          <w:rFonts w:hint="cs"/>
          <w:rtl/>
        </w:rPr>
        <w:t xml:space="preserve"> هو انتفاش العلم الفائض من العقل الكلي في العقل الجزئي</w:t>
      </w:r>
      <w:r w:rsidR="000636C2">
        <w:rPr>
          <w:rFonts w:hint="cs"/>
          <w:rtl/>
        </w:rPr>
        <w:t xml:space="preserve">، </w:t>
      </w:r>
      <w:r w:rsidRPr="005675B2">
        <w:rPr>
          <w:rFonts w:hint="cs"/>
          <w:rtl/>
        </w:rPr>
        <w:t>أقول</w:t>
      </w:r>
      <w:r w:rsidR="000636C2">
        <w:rPr>
          <w:rFonts w:hint="cs"/>
          <w:rtl/>
        </w:rPr>
        <w:t>:</w:t>
      </w:r>
      <w:r w:rsidRPr="005675B2">
        <w:rPr>
          <w:rFonts w:hint="cs"/>
          <w:rtl/>
        </w:rPr>
        <w:t xml:space="preserve"> لا بد أن يصحح الدكتور النقل</w:t>
      </w:r>
      <w:r w:rsidR="000636C2">
        <w:rPr>
          <w:rFonts w:hint="cs"/>
          <w:rtl/>
        </w:rPr>
        <w:t>،</w:t>
      </w:r>
      <w:r w:rsidRPr="005675B2">
        <w:rPr>
          <w:rFonts w:hint="cs"/>
          <w:rtl/>
        </w:rPr>
        <w:t xml:space="preserve"> الدعاوى إذا لم يقم عليها</w:t>
      </w:r>
      <w:r w:rsidR="000636C2">
        <w:rPr>
          <w:rFonts w:hint="cs"/>
          <w:rtl/>
        </w:rPr>
        <w:t>::</w:t>
      </w:r>
      <w:r w:rsidRPr="005675B2">
        <w:rPr>
          <w:rFonts w:hint="cs"/>
          <w:rtl/>
        </w:rPr>
        <w:t xml:space="preserve"> بينات أصحابها أدعياء</w:t>
      </w:r>
      <w:r w:rsidR="000636C2">
        <w:rPr>
          <w:rFonts w:hint="cs"/>
          <w:rtl/>
        </w:rPr>
        <w:t xml:space="preserve">، </w:t>
      </w:r>
      <w:r w:rsidRPr="005675B2">
        <w:rPr>
          <w:rFonts w:hint="cs"/>
          <w:rtl/>
        </w:rPr>
        <w:t>وما أورده في أسفل الصفحة من أسماء الكتب وأرقامها لا يوجد فيها شيء مما نسبه إلى الصوفية والغزالي</w:t>
      </w:r>
      <w:r w:rsidR="000636C2">
        <w:rPr>
          <w:rFonts w:hint="cs"/>
          <w:rtl/>
        </w:rPr>
        <w:t>!</w:t>
      </w:r>
      <w:r w:rsidRPr="005675B2">
        <w:rPr>
          <w:rFonts w:hint="cs"/>
          <w:rtl/>
        </w:rPr>
        <w:t>!</w:t>
      </w:r>
      <w:r w:rsidR="000636C2">
        <w:rPr>
          <w:rFonts w:hint="cs"/>
          <w:rtl/>
        </w:rPr>
        <w:t xml:space="preserve"> </w:t>
      </w:r>
      <w:r w:rsidRPr="005675B2">
        <w:rPr>
          <w:rFonts w:hint="cs"/>
          <w:rtl/>
        </w:rPr>
        <w:t>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أما في موضوع العصمة فينكرون صدور الذنب عن الأنبياء، ويؤولون الآيات والأحاديث الكثيرة تأويلاً متعسفاً متكلفاً</w:t>
      </w:r>
      <w:r w:rsidR="000636C2">
        <w:rPr>
          <w:rFonts w:hint="cs"/>
          <w:rtl/>
        </w:rPr>
        <w:t xml:space="preserve">، </w:t>
      </w:r>
      <w:r w:rsidRPr="005675B2">
        <w:rPr>
          <w:rFonts w:hint="cs"/>
          <w:rtl/>
        </w:rPr>
        <w:t>أقول</w:t>
      </w:r>
      <w:r w:rsidR="000636C2">
        <w:rPr>
          <w:rFonts w:hint="cs"/>
          <w:rtl/>
        </w:rPr>
        <w:t>:</w:t>
      </w:r>
      <w:r w:rsidRPr="005675B2">
        <w:rPr>
          <w:rFonts w:hint="cs"/>
          <w:rtl/>
        </w:rPr>
        <w:t xml:space="preserve"> أصل العصمة للأنبياء موضع إجماع من أهل السنة، وقد اختلف في تفاصيلها خلافاً منتشراً يراجع من محله، والعصمة مقتضى وصف النبوة ومقتضى كون الأنبياء أسوة حسنة، ولو لم يكن الأنبياء معصومين لما كانوا أسوة حسنة، ولما جاز الاحتجاج بأقوالهم وأفعالهم وتقريراتهم .. وهذا ما دفع الأشاعرة إلى تأويل النصوص التي يخالف ظاهرها عصمة الأنبياء، وأما أفراد التأويلات فهي أمور اجتهادية من الجائز أن يكونوا قد أخطأوا في بعضها</w:t>
      </w:r>
      <w:r w:rsidR="000636C2">
        <w:rPr>
          <w:rFonts w:hint="cs"/>
          <w:rtl/>
        </w:rPr>
        <w:t>،</w:t>
      </w:r>
    </w:p>
    <w:p w14:paraId="077A970C" w14:textId="39D7CA02" w:rsidR="009C32A0" w:rsidRPr="005675B2" w:rsidRDefault="009C32A0" w:rsidP="000636C2">
      <w:pPr>
        <w:rPr>
          <w:b/>
          <w:rtl/>
        </w:rPr>
      </w:pPr>
      <w:r w:rsidRPr="005675B2">
        <w:rPr>
          <w:rFonts w:hint="cs"/>
          <w:rtl/>
        </w:rPr>
        <w:t>58 - بيان مسألة التحسين والتقبيح العقليين</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العاشر</w:t>
      </w:r>
      <w:r w:rsidR="000636C2">
        <w:rPr>
          <w:rFonts w:hint="cs"/>
          <w:rtl/>
        </w:rPr>
        <w:t>:</w:t>
      </w:r>
      <w:r w:rsidRPr="005675B2">
        <w:rPr>
          <w:rFonts w:hint="cs"/>
          <w:rtl/>
        </w:rPr>
        <w:t xml:space="preserve"> التحسينُ والتقبيحُ</w:t>
      </w:r>
      <w:r w:rsidR="000636C2">
        <w:rPr>
          <w:rFonts w:hint="cs"/>
          <w:rtl/>
        </w:rPr>
        <w:t>:</w:t>
      </w:r>
      <w:r w:rsidRPr="005675B2">
        <w:rPr>
          <w:rFonts w:hint="cs"/>
          <w:rtl/>
        </w:rPr>
        <w:t xml:space="preserve"> ينكرُ الأشاعرة أن يكون للعقل والفطرة أيّ دور في الحكم على الأشياء بالحُسْنِ والقُبْحِ ويقولون</w:t>
      </w:r>
      <w:r w:rsidR="000636C2">
        <w:rPr>
          <w:rFonts w:hint="cs"/>
          <w:rtl/>
        </w:rPr>
        <w:t>:</w:t>
      </w:r>
      <w:r w:rsidRPr="005675B2">
        <w:rPr>
          <w:rFonts w:hint="cs"/>
          <w:rtl/>
        </w:rPr>
        <w:t xml:space="preserve"> مردُّ ذلك إلى الشرع وحدَهُ، وهذا ردُّ فعل مغال لقول البراهمةِ والمعتزلة</w:t>
      </w:r>
      <w:r w:rsidR="000636C2">
        <w:rPr>
          <w:rFonts w:hint="cs"/>
          <w:rtl/>
        </w:rPr>
        <w:t>:</w:t>
      </w:r>
      <w:r w:rsidRPr="005675B2">
        <w:rPr>
          <w:rFonts w:hint="cs"/>
          <w:rtl/>
        </w:rPr>
        <w:t xml:space="preserve"> إنَّ العقلَ يوجبُ حُسْنَ الحسن وقُبحَ القبيح</w:t>
      </w:r>
      <w:r w:rsidR="000636C2">
        <w:rPr>
          <w:rFonts w:hint="cs"/>
          <w:rtl/>
        </w:rPr>
        <w:t>،</w:t>
      </w:r>
      <w:r w:rsidRPr="005675B2">
        <w:rPr>
          <w:rFonts w:hint="cs"/>
          <w:rtl/>
        </w:rPr>
        <w:t xml:space="preserve"> وهو مع مُنافاته للنصوصِ مكابرة للعقول</w:t>
      </w:r>
      <w:r w:rsidR="000636C2">
        <w:rPr>
          <w:rFonts w:hint="cs"/>
          <w:rtl/>
        </w:rPr>
        <w:t xml:space="preserve">، </w:t>
      </w:r>
      <w:r w:rsidRPr="005675B2">
        <w:rPr>
          <w:rFonts w:hint="cs"/>
          <w:rtl/>
        </w:rPr>
        <w:t>ومما يترتَّب عليه من الأصول الفاسدة قولُهم إنَّ الشرع قد يأتي بما هو قبيحٌ في العقلِ</w:t>
      </w:r>
      <w:r w:rsidR="000636C2">
        <w:rPr>
          <w:rFonts w:hint="cs"/>
          <w:rtl/>
        </w:rPr>
        <w:t>،</w:t>
      </w:r>
      <w:r w:rsidRPr="005675B2">
        <w:rPr>
          <w:rFonts w:hint="cs"/>
          <w:rtl/>
        </w:rPr>
        <w:t xml:space="preserve"> فإلغاء دَوْرِ العقلِ بالمرَّةِ أسلمُ من نسبةِ القُبْحِ إلى الشرع مثلاً، ومثَّلوا ذلك بذبح الحيوان، فإنّه إيلامٌ له بلا ذنبٍ، وهو قبيحٌ في العقل ومع ذلك أباحه الشرعُ</w:t>
      </w:r>
      <w:r w:rsidR="000636C2">
        <w:rPr>
          <w:rFonts w:hint="cs"/>
          <w:rtl/>
        </w:rPr>
        <w:t>،</w:t>
      </w:r>
      <w:r w:rsidRPr="005675B2">
        <w:rPr>
          <w:rFonts w:hint="cs"/>
          <w:rtl/>
        </w:rPr>
        <w:t xml:space="preserve"> وهذا في الحقيقةِ هو قولُ البراهمةِ الذين يُحرِّمون أكلَ الحيوان، فلما عجز هؤلاء عن ردِّ شُبْهتهم ووافقوهم عليها أنكروا حُكمَ العقلِ من أصلِه، وتوهموا أنهم بهذا يدافعون عن الإسلام</w:t>
      </w:r>
      <w:r w:rsidR="000636C2">
        <w:rPr>
          <w:rFonts w:hint="cs"/>
          <w:rtl/>
        </w:rPr>
        <w:t>،</w:t>
      </w:r>
      <w:r w:rsidRPr="005675B2">
        <w:rPr>
          <w:rFonts w:hint="cs"/>
          <w:rtl/>
        </w:rPr>
        <w:t xml:space="preserve"> كما أنَّ مِنْ أسبابِ ذلك مناقضةُ أصلِ مَنْ قال بوجوب الثوابِ والعقابِ على الله بُحُكْمِ العقلِ ومقتضاه "</w:t>
      </w:r>
      <w:r w:rsidR="000636C2">
        <w:rPr>
          <w:rFonts w:hint="cs"/>
          <w:rtl/>
        </w:rPr>
        <w:t>،</w:t>
      </w:r>
      <w:r w:rsidRPr="005675B2">
        <w:rPr>
          <w:rFonts w:hint="cs"/>
          <w:rtl/>
        </w:rPr>
        <w:t xml:space="preserve"> أقول</w:t>
      </w:r>
      <w:r w:rsidR="000636C2">
        <w:rPr>
          <w:rFonts w:hint="cs"/>
          <w:rtl/>
        </w:rPr>
        <w:t>:</w:t>
      </w:r>
      <w:r w:rsidRPr="005675B2">
        <w:rPr>
          <w:rFonts w:hint="cs"/>
          <w:rtl/>
        </w:rPr>
        <w:t xml:space="preserve"> قد اشتمل كلام الدكتور في هذه الفقرة أيضاً على أخطاء جمة جسيمة</w:t>
      </w:r>
      <w:r w:rsidR="000636C2">
        <w:rPr>
          <w:rFonts w:hint="cs"/>
          <w:rtl/>
        </w:rPr>
        <w:t xml:space="preserve">، </w:t>
      </w:r>
      <w:r w:rsidRPr="005675B2">
        <w:rPr>
          <w:rFonts w:hint="cs"/>
          <w:rtl/>
        </w:rPr>
        <w:t>ولا بد من تقرير المسألة وبيان مذهب الأشاعرة فيها أولاً كي نكون على بينة من أمرنا، ثم نتكلم على كلام الدكتور</w:t>
      </w:r>
      <w:r w:rsidR="000636C2">
        <w:rPr>
          <w:rFonts w:hint="cs"/>
          <w:rtl/>
        </w:rPr>
        <w:t xml:space="preserve">، </w:t>
      </w:r>
      <w:r w:rsidRPr="005675B2">
        <w:rPr>
          <w:rFonts w:hint="cs"/>
          <w:rtl/>
        </w:rPr>
        <w:t>فأقول</w:t>
      </w:r>
      <w:r w:rsidR="000636C2">
        <w:rPr>
          <w:rFonts w:hint="cs"/>
          <w:rtl/>
        </w:rPr>
        <w:t>:</w:t>
      </w:r>
      <w:r w:rsidRPr="005675B2">
        <w:rPr>
          <w:rFonts w:hint="cs"/>
          <w:rtl/>
        </w:rPr>
        <w:t xml:space="preserve"> الحسن والقبح عند أهل السنة شرعيان، وعند المعتزلة عقليان</w:t>
      </w:r>
      <w:r w:rsidR="000636C2">
        <w:rPr>
          <w:rFonts w:hint="cs"/>
          <w:rtl/>
        </w:rPr>
        <w:t xml:space="preserve">، </w:t>
      </w:r>
      <w:r w:rsidRPr="005675B2">
        <w:rPr>
          <w:rFonts w:hint="cs"/>
          <w:rtl/>
        </w:rPr>
        <w:t>ولا بد من تحرير محل النزاع بين الأشعرية القائلين بأن الحسن والقبح شرعيان، والمعتزلة القائلين بأنهما عقليان</w:t>
      </w:r>
      <w:r w:rsidR="000636C2">
        <w:rPr>
          <w:rFonts w:hint="cs"/>
          <w:rtl/>
        </w:rPr>
        <w:t>،</w:t>
      </w:r>
      <w:r w:rsidRPr="005675B2">
        <w:rPr>
          <w:rFonts w:hint="cs"/>
          <w:rtl/>
        </w:rPr>
        <w:t xml:space="preserve"> فنقول</w:t>
      </w:r>
      <w:r w:rsidR="000636C2">
        <w:rPr>
          <w:rFonts w:hint="cs"/>
          <w:rtl/>
        </w:rPr>
        <w:t>:</w:t>
      </w:r>
      <w:r w:rsidRPr="005675B2">
        <w:rPr>
          <w:rFonts w:hint="cs"/>
          <w:rtl/>
        </w:rPr>
        <w:t xml:space="preserve"> الحسن والقبح يقال لمعان ثلاث</w:t>
      </w:r>
      <w:r w:rsidR="000636C2">
        <w:rPr>
          <w:rFonts w:hint="cs"/>
          <w:rtl/>
        </w:rPr>
        <w:t>:</w:t>
      </w:r>
      <w:r w:rsidRPr="005675B2">
        <w:rPr>
          <w:rFonts w:hint="cs"/>
          <w:rtl/>
        </w:rPr>
        <w:t xml:space="preserve"> </w:t>
      </w:r>
      <w:r w:rsidR="000636C2">
        <w:rPr>
          <w:rFonts w:hint="cs"/>
          <w:spacing w:val="-8"/>
          <w:rtl/>
        </w:rPr>
        <w:t>(</w:t>
      </w:r>
      <w:r w:rsidRPr="005675B2">
        <w:rPr>
          <w:rFonts w:hint="cs"/>
          <w:spacing w:val="-8"/>
          <w:rtl/>
        </w:rPr>
        <w:t>الأول</w:t>
      </w:r>
      <w:r w:rsidR="000636C2">
        <w:rPr>
          <w:rFonts w:hint="cs"/>
          <w:spacing w:val="-8"/>
          <w:rtl/>
        </w:rPr>
        <w:t>):</w:t>
      </w:r>
      <w:r w:rsidRPr="005675B2">
        <w:rPr>
          <w:rFonts w:hint="cs"/>
          <w:spacing w:val="-8"/>
          <w:rtl/>
        </w:rPr>
        <w:t xml:space="preserve"> صفة </w:t>
      </w:r>
      <w:r w:rsidRPr="005675B2">
        <w:rPr>
          <w:rFonts w:hint="cs"/>
          <w:rtl/>
        </w:rPr>
        <w:t>الكمال وصفة النقص، فالحسن كون الصفة صفة كمال كالعلم والجود والعدل والشجاعة، والقبح كون الصفة صفة نقصان كالجهل والبخل والظلم والجبن، ولا نزاع في أن هذا المعنى أمر ثابت للصفات في نفسها، وأن مدركه العقل ورد به الشرع أم لم يرد</w:t>
      </w:r>
      <w:r w:rsidR="000636C2">
        <w:rPr>
          <w:rFonts w:hint="cs"/>
          <w:rtl/>
        </w:rPr>
        <w:t>، (</w:t>
      </w:r>
      <w:r w:rsidRPr="005675B2">
        <w:rPr>
          <w:rFonts w:hint="cs"/>
          <w:rtl/>
        </w:rPr>
        <w:t>الثاني</w:t>
      </w:r>
      <w:r w:rsidR="000636C2">
        <w:rPr>
          <w:rFonts w:hint="cs"/>
          <w:rtl/>
        </w:rPr>
        <w:t>):</w:t>
      </w:r>
      <w:r w:rsidRPr="005675B2">
        <w:rPr>
          <w:rFonts w:hint="cs"/>
          <w:rtl/>
        </w:rPr>
        <w:t xml:space="preserve"> ملائمة الغرض ومنافرته، وقد يعبر عنه بملائمة الطبع ومنافرته، وقد يعبر عنه بالمصلحة والمفسدة، وذلك كالعدل والظلم، وإنقاذ الغريق واتهام البريء</w:t>
      </w:r>
      <w:r w:rsidR="000636C2">
        <w:rPr>
          <w:rFonts w:hint="cs"/>
          <w:rtl/>
        </w:rPr>
        <w:t xml:space="preserve">، </w:t>
      </w:r>
      <w:r w:rsidRPr="005675B2">
        <w:rPr>
          <w:rFonts w:hint="cs"/>
          <w:rtl/>
        </w:rPr>
        <w:t>فيقال</w:t>
      </w:r>
      <w:r w:rsidR="000636C2">
        <w:rPr>
          <w:rFonts w:hint="cs"/>
          <w:rtl/>
        </w:rPr>
        <w:t>:</w:t>
      </w:r>
      <w:r w:rsidRPr="005675B2">
        <w:rPr>
          <w:rFonts w:hint="cs"/>
          <w:rtl/>
        </w:rPr>
        <w:t xml:space="preserve"> ما وافق الغرض أو الطبع كان حسناً وما خالفه كان قبيحاً، وما ليس كذلك لم يكن حسناً ولا قبيحاً، ويقال</w:t>
      </w:r>
      <w:r w:rsidR="000636C2">
        <w:rPr>
          <w:rFonts w:hint="cs"/>
          <w:rtl/>
        </w:rPr>
        <w:t>:</w:t>
      </w:r>
      <w:r w:rsidRPr="005675B2">
        <w:rPr>
          <w:rFonts w:hint="cs"/>
          <w:rtl/>
        </w:rPr>
        <w:t xml:space="preserve"> الحسن ما فيه مصلحة، والقبيح ما فيه مفسدة، وما خلا عنهما لا يكون شيئاً منهما</w:t>
      </w:r>
      <w:r w:rsidR="000636C2">
        <w:rPr>
          <w:rFonts w:hint="cs"/>
          <w:rtl/>
        </w:rPr>
        <w:t>،</w:t>
      </w:r>
      <w:r w:rsidRPr="005675B2">
        <w:rPr>
          <w:rFonts w:hint="cs"/>
          <w:rtl/>
        </w:rPr>
        <w:t xml:space="preserve"> وهذا المعنى متداخل مع المعنى الأول قد يجتمعان كما في العدل والظلم</w:t>
      </w:r>
      <w:r w:rsidR="000636C2">
        <w:rPr>
          <w:rFonts w:hint="cs"/>
          <w:rtl/>
        </w:rPr>
        <w:t>،</w:t>
      </w:r>
      <w:r w:rsidRPr="005675B2">
        <w:rPr>
          <w:rFonts w:hint="cs"/>
          <w:rtl/>
        </w:rPr>
        <w:t xml:space="preserve"> وهذا المعنى يختلف بالاعتبار، فإن قتل زيد موافق لغرض أعدائه ومصلحة لهم، ومخالف لغرض أوليائه ومفسدة لهم</w:t>
      </w:r>
      <w:r w:rsidR="000636C2">
        <w:rPr>
          <w:rFonts w:hint="cs"/>
          <w:rtl/>
        </w:rPr>
        <w:t>،</w:t>
      </w:r>
      <w:r w:rsidRPr="005675B2">
        <w:rPr>
          <w:rFonts w:hint="cs"/>
          <w:rtl/>
        </w:rPr>
        <w:t xml:space="preserve"> وهذا المعنى أيضاً عقلي مدركه العقل ورد به الشرع أم لم يرد</w:t>
      </w:r>
      <w:r w:rsidR="000636C2">
        <w:rPr>
          <w:rFonts w:hint="cs"/>
          <w:rtl/>
        </w:rPr>
        <w:t xml:space="preserve">، </w:t>
      </w:r>
      <w:r w:rsidRPr="005675B2">
        <w:rPr>
          <w:rFonts w:hint="cs"/>
          <w:rtl/>
        </w:rPr>
        <w:t>قال التفتازاني</w:t>
      </w:r>
      <w:r w:rsidR="000636C2">
        <w:rPr>
          <w:rFonts w:hint="cs"/>
          <w:rtl/>
        </w:rPr>
        <w:t>:</w:t>
      </w:r>
      <w:r w:rsidRPr="005675B2">
        <w:rPr>
          <w:rFonts w:hint="cs"/>
          <w:rtl/>
        </w:rPr>
        <w:t xml:space="preserve"> وبالجملة كل ما يستحق المدح أو الذم في نظر العقول ومجاري العادات فإن ذلك يدرك بالعقل ورد الشرع أم لا</w:t>
      </w:r>
      <w:r w:rsidR="000636C2">
        <w:rPr>
          <w:rFonts w:hint="cs"/>
          <w:rtl/>
        </w:rPr>
        <w:t>،</w:t>
      </w:r>
      <w:r w:rsidRPr="005675B2">
        <w:rPr>
          <w:rFonts w:hint="cs"/>
          <w:rtl/>
        </w:rPr>
        <w:t xml:space="preserve"> </w:t>
      </w:r>
      <w:r w:rsidR="000636C2">
        <w:rPr>
          <w:rFonts w:hint="cs"/>
          <w:rtl/>
        </w:rPr>
        <w:t>[</w:t>
      </w:r>
      <w:r w:rsidRPr="005675B2">
        <w:rPr>
          <w:rFonts w:hint="cs"/>
          <w:sz w:val="24"/>
          <w:szCs w:val="24"/>
          <w:rtl/>
        </w:rPr>
        <w:t>شرح المقاصد 3/148]</w:t>
      </w:r>
      <w:r w:rsidRPr="005675B2">
        <w:rPr>
          <w:rFonts w:hint="cs"/>
          <w:rtl/>
        </w:rPr>
        <w:t xml:space="preserve"> وإنما النزاع في المعنى الثالث، وهو الحسن والقبح عند الله تعالى، بمعنى استحقاق فاعل الفعل في حكم الله تعالى المدح أو الذم، عاجلاً، والثواب أو العقاب آجلاً، فما تعلق به المدح في العاجل والثواب في الآجل من الأفعال فهو حسن، وما تعلق به الذم في العاجل والعقاب في الآجل فهو قبيح، وما لا يتعلق به شيء منهما فهو خارج عنهما</w:t>
      </w:r>
      <w:r w:rsidR="000636C2">
        <w:rPr>
          <w:rFonts w:hint="cs"/>
          <w:rtl/>
        </w:rPr>
        <w:t xml:space="preserve">، </w:t>
      </w:r>
      <w:r w:rsidRPr="005675B2">
        <w:rPr>
          <w:rFonts w:hint="cs"/>
          <w:rtl/>
        </w:rPr>
        <w:t>فعند أهل السنة</w:t>
      </w:r>
      <w:r w:rsidR="000636C2">
        <w:rPr>
          <w:rFonts w:hint="cs"/>
          <w:rtl/>
        </w:rPr>
        <w:t xml:space="preserve"> </w:t>
      </w:r>
      <w:r w:rsidRPr="005675B2">
        <w:rPr>
          <w:rFonts w:hint="cs"/>
          <w:rtl/>
        </w:rPr>
        <w:t>- ومنهم الأشاعرة</w:t>
      </w:r>
      <w:r w:rsidR="000636C2">
        <w:rPr>
          <w:rFonts w:hint="cs"/>
          <w:rtl/>
        </w:rPr>
        <w:t xml:space="preserve"> </w:t>
      </w:r>
      <w:r w:rsidRPr="005675B2">
        <w:rPr>
          <w:rFonts w:hint="cs"/>
          <w:rtl/>
        </w:rPr>
        <w:t>- أن الحُسْن والقُبْح بهذين المعنيين شرعي بمعنى أن العقل لا يحكم بأن الفعل حسن أو قبيح في حكم الله تعالى، بل ما ورد الأمر به فهو حسن وما ورد النهي عنه فقبيح من غير أن يكون للفعل جهة محسنة أو مقبحة -بهذا المعنى - في ذاته، ولا بحسب جهاته واعتباراته</w:t>
      </w:r>
      <w:r w:rsidR="000636C2">
        <w:rPr>
          <w:rFonts w:hint="cs"/>
          <w:rtl/>
        </w:rPr>
        <w:t xml:space="preserve">، </w:t>
      </w:r>
      <w:r w:rsidRPr="005675B2">
        <w:rPr>
          <w:rFonts w:hint="cs"/>
          <w:rtl/>
        </w:rPr>
        <w:t>وعند المعتزلة هما عقليان بمعنى أن للفعل عندهم جهة محسنة أو مقبحة في حكم الله تعالى يدركها العقل بالضرورة كحسن الصدق النافع وقبح الكذب الضار، أو بالنظر كحسن الكذب النافع وقبح الصدق الضار، أو بورود الشرع فيما توقف فيه العقل كحسن صوم يوم عرفة وقبح صوم يوم العيد</w:t>
      </w:r>
      <w:r w:rsidR="000636C2">
        <w:rPr>
          <w:rFonts w:hint="cs"/>
          <w:rtl/>
        </w:rPr>
        <w:t>،</w:t>
      </w:r>
      <w:r w:rsidRPr="005675B2">
        <w:rPr>
          <w:rFonts w:hint="cs"/>
          <w:rtl/>
        </w:rPr>
        <w:t xml:space="preserve"> والحاصل أن الأمر والنهي عند أهل السنة من موجبات الحسن والقبح، بمعنى أن الفعل أمر به فحسن، ونهي عنه فقبح، وعند المعتزلة من مقتضياته بمعنى أنه حسن فأمر به، وقبح فنهي عنه، فالأمر والنهي عندهم إذا ورد كشف عن حسن وقبح سابقين حاصلين للفعل لذاته أو لجهاته، قد يدركهما العقل في الفعل قبل ورود الشرع، فيتعلق الطلب أو الحظر بالمدرك بدون ورود الشرع بهما، ويترتب عليه الثواب والعقاب قبل ورود الشرع</w:t>
      </w:r>
      <w:r w:rsidR="000636C2">
        <w:rPr>
          <w:rFonts w:hint="cs"/>
          <w:rtl/>
        </w:rPr>
        <w:t xml:space="preserve">، </w:t>
      </w:r>
      <w:r w:rsidRPr="005675B2">
        <w:rPr>
          <w:rFonts w:hint="cs"/>
          <w:rtl/>
        </w:rPr>
        <w:t>وقد تجتمع المعاني الثلاثة في شيء واحد كالعدل، فإنه وصف كمال، وموافق للطبع، وحسن عند الله يثيب الله عليه، وكالظلم، فإنه صفة نقص، ومنافر للطبع، وقبيح عند الله يعاقب الله تعالى عليه</w:t>
      </w:r>
      <w:r w:rsidR="000636C2">
        <w:rPr>
          <w:rFonts w:hint="cs"/>
          <w:rtl/>
        </w:rPr>
        <w:t xml:space="preserve">، </w:t>
      </w:r>
      <w:r w:rsidRPr="005675B2">
        <w:rPr>
          <w:rFonts w:hint="cs"/>
          <w:rtl/>
        </w:rPr>
        <w:t>تمسك أهل السنة بدلائل منها 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لئلا يكون للناس على الله حجة بعد الرسل</w:t>
      </w:r>
      <w:r w:rsidR="000636C2">
        <w:rPr>
          <w:rFonts w:hint="cs"/>
          <w:rtl/>
        </w:rPr>
        <w:t>)</w:t>
      </w:r>
      <w:r w:rsidRPr="005675B2">
        <w:rPr>
          <w:rFonts w:hint="cs"/>
          <w:rtl/>
        </w:rPr>
        <w:t xml:space="preserve"> وذلك أنه لو حسن الفعل أو قبح عقلاً كما تقول المعتزلة لزم تعذيب تارك الواجب، ومرتكب الحرام سواء ورد الشرع أم لا، بناء على أصلهم في وجوب تعذيب من استحق العذاب إذا مات غير تائب، واللازم باطل لقوله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إلى غير ذلك من الدلائل المذكورة في مطولات كتب الكلام</w:t>
      </w:r>
      <w:r w:rsidR="000636C2">
        <w:rPr>
          <w:rFonts w:hint="cs"/>
          <w:rtl/>
        </w:rPr>
        <w:t xml:space="preserve">، </w:t>
      </w:r>
      <w:r w:rsidRPr="005675B2">
        <w:rPr>
          <w:rFonts w:hint="cs"/>
          <w:rtl/>
        </w:rPr>
        <w:t>فهذا هو مذهب أهل السنة ومنهم الأشاعرة في القضية مفصلاً</w:t>
      </w:r>
      <w:r w:rsidR="000636C2">
        <w:rPr>
          <w:rFonts w:hint="cs"/>
          <w:rtl/>
        </w:rPr>
        <w:t>،</w:t>
      </w:r>
      <w:r w:rsidRPr="005675B2">
        <w:rPr>
          <w:rFonts w:hint="cs"/>
          <w:rtl/>
        </w:rPr>
        <w:t xml:space="preserve"> وليس هو رد فعل لقول أحد، ولا مناقضة لأصل أحد كما زعم الدكتور، وليس منافياً للنصوص وإنما هو مأخوذ من الآية الكريمة، ولا مكابراً للعقول، وليس فيه إلغاء دور العقل مطلقاً، وإنما فيه إلغاء لدوره فيما لا مجال له فيه، وإعمال له في مجاله الذي ينبغي أن يعمل فيه، ويقابله مذهب المعتزلة الذي أعطى العقل من الدور زيادة على ما يستحقه</w:t>
      </w:r>
      <w:r w:rsidR="000636C2">
        <w:rPr>
          <w:rFonts w:hint="cs"/>
          <w:rtl/>
        </w:rPr>
        <w:t xml:space="preserve">، </w:t>
      </w:r>
      <w:r w:rsidRPr="005675B2">
        <w:rPr>
          <w:rFonts w:hint="cs"/>
          <w:rtl/>
        </w:rPr>
        <w:t>ولولا أني أعتقد أن الدكتور كتب ما كتب عن جهل بالمسألة وبمذهب الأشاعرة فيها وعن جهل بمذهب المعتزلة، لولا ذلك لقلت</w:t>
      </w:r>
      <w:r w:rsidR="000636C2">
        <w:rPr>
          <w:rFonts w:hint="cs"/>
          <w:rtl/>
        </w:rPr>
        <w:t>:</w:t>
      </w:r>
      <w:r w:rsidRPr="005675B2">
        <w:rPr>
          <w:rFonts w:hint="cs"/>
          <w:rtl/>
        </w:rPr>
        <w:t xml:space="preserve"> إن الدكتور يعتقد مذهب المعتزلة</w:t>
      </w:r>
      <w:r w:rsidR="000636C2">
        <w:rPr>
          <w:rFonts w:hint="cs"/>
          <w:rtl/>
        </w:rPr>
        <w:t xml:space="preserve">، </w:t>
      </w:r>
      <w:r w:rsidRPr="005675B2">
        <w:rPr>
          <w:rFonts w:hint="cs"/>
          <w:rtl/>
        </w:rPr>
        <w:t>"</w:t>
      </w:r>
      <w:r w:rsidR="000636C2">
        <w:rPr>
          <w:rFonts w:hint="cs"/>
          <w:rtl/>
        </w:rPr>
        <w:t xml:space="preserve"> </w:t>
      </w:r>
      <w:r w:rsidRPr="005675B2">
        <w:rPr>
          <w:rFonts w:hint="cs"/>
          <w:rtl/>
        </w:rPr>
        <w:t>فإن كنت لا تدري فتلك مصيبة</w:t>
      </w:r>
      <w:r w:rsidR="000636C2">
        <w:rPr>
          <w:rFonts w:hint="cs"/>
          <w:rtl/>
        </w:rPr>
        <w:t>::</w:t>
      </w:r>
      <w:r w:rsidRPr="005675B2">
        <w:rPr>
          <w:rFonts w:hint="cs"/>
          <w:rtl/>
        </w:rPr>
        <w:t xml:space="preserve"> وإن كنت تدري فالمصيبة أعظم "</w:t>
      </w:r>
      <w:r w:rsidR="000636C2">
        <w:rPr>
          <w:rFonts w:hint="cs"/>
          <w:rtl/>
        </w:rPr>
        <w:t>،</w:t>
      </w:r>
    </w:p>
    <w:p w14:paraId="0501687A" w14:textId="66ABD152" w:rsidR="009C32A0" w:rsidRPr="005675B2" w:rsidRDefault="009C32A0" w:rsidP="000636C2">
      <w:pPr>
        <w:rPr>
          <w:b/>
          <w:rtl/>
        </w:rPr>
      </w:pPr>
      <w:r w:rsidRPr="005675B2">
        <w:rPr>
          <w:rFonts w:hint="cs"/>
          <w:rtl/>
        </w:rPr>
        <w:t>59 - أخطاء الدكتور في كلامه هذا</w:t>
      </w:r>
      <w:r w:rsidR="000636C2">
        <w:rPr>
          <w:rFonts w:hint="cs"/>
          <w:rtl/>
        </w:rPr>
        <w:t xml:space="preserve">: </w:t>
      </w:r>
      <w:r w:rsidRPr="005675B2">
        <w:rPr>
          <w:rFonts w:hint="cs"/>
          <w:rtl/>
        </w:rPr>
        <w:t>فظهر بهذا البيان أن كلام الدكتور</w:t>
      </w:r>
      <w:r w:rsidR="000636C2">
        <w:rPr>
          <w:rFonts w:hint="cs"/>
          <w:rtl/>
        </w:rPr>
        <w:t xml:space="preserve"> </w:t>
      </w:r>
      <w:r w:rsidRPr="005675B2">
        <w:rPr>
          <w:rFonts w:hint="cs"/>
          <w:rtl/>
        </w:rPr>
        <w:t>- كما هو العادة المطردة في كلامه - قد احتوى على أخطاء جمة جسيمة</w:t>
      </w:r>
      <w:r w:rsidR="000636C2">
        <w:rPr>
          <w:rFonts w:hint="cs"/>
          <w:rtl/>
        </w:rPr>
        <w:t xml:space="preserve">: </w:t>
      </w:r>
      <w:r w:rsidRPr="005675B2">
        <w:rPr>
          <w:rFonts w:hint="cs"/>
          <w:rtl/>
        </w:rPr>
        <w:t>الخطأ 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ينكر الأشاعرة أن يكون للعقل والفطرة أي دور في الحكم على الأشياء بالحسن والقبح، ويقولون</w:t>
      </w:r>
      <w:r w:rsidR="000636C2">
        <w:rPr>
          <w:rFonts w:hint="cs"/>
          <w:rtl/>
        </w:rPr>
        <w:t>:</w:t>
      </w:r>
      <w:r w:rsidRPr="005675B2">
        <w:rPr>
          <w:rFonts w:hint="cs"/>
          <w:rtl/>
        </w:rPr>
        <w:t xml:space="preserve"> مرد ذلك إلى الشرع وحده</w:t>
      </w:r>
      <w:r w:rsidR="000636C2">
        <w:rPr>
          <w:rFonts w:hint="cs"/>
          <w:rtl/>
        </w:rPr>
        <w:t>)</w:t>
      </w:r>
      <w:r w:rsidRPr="005675B2">
        <w:rPr>
          <w:rFonts w:hint="cs"/>
          <w:rtl/>
        </w:rPr>
        <w:t xml:space="preserve"> وقد علمت أن الأشاعرة يثبتون دور العقل في الحكم بالحسن والقبح في الأفعال بمعنيين للحسن والقبح، الأول</w:t>
      </w:r>
      <w:r w:rsidR="000636C2">
        <w:rPr>
          <w:rFonts w:hint="cs"/>
          <w:rtl/>
        </w:rPr>
        <w:t>:</w:t>
      </w:r>
      <w:r w:rsidRPr="005675B2">
        <w:rPr>
          <w:rFonts w:hint="cs"/>
          <w:rtl/>
        </w:rPr>
        <w:t xml:space="preserve"> الحسن والقبح بمعنى صفة الكمال وصفة النقص، </w:t>
      </w:r>
      <w:r w:rsidR="000636C2">
        <w:rPr>
          <w:rFonts w:hint="cs"/>
          <w:rtl/>
        </w:rPr>
        <w:t>(</w:t>
      </w:r>
      <w:r w:rsidRPr="005675B2">
        <w:rPr>
          <w:rFonts w:hint="cs"/>
          <w:rtl/>
        </w:rPr>
        <w:t>الثاني</w:t>
      </w:r>
      <w:r w:rsidR="000636C2">
        <w:rPr>
          <w:rFonts w:hint="cs"/>
          <w:rtl/>
        </w:rPr>
        <w:t>):</w:t>
      </w:r>
      <w:r w:rsidRPr="005675B2">
        <w:rPr>
          <w:rFonts w:hint="cs"/>
          <w:rtl/>
        </w:rPr>
        <w:t xml:space="preserve"> الحسن والقبح بمعنى المصلحة والمفسدة، وإنما ينكر الأشاعرة الحسن والقبح بالمعنى الثالث، وهو وجود الأحكام الشرعية التكليفية قبل ورود الشرع</w:t>
      </w:r>
      <w:r w:rsidR="000636C2">
        <w:rPr>
          <w:rFonts w:hint="cs"/>
          <w:rtl/>
        </w:rPr>
        <w:t>،</w:t>
      </w:r>
      <w:r w:rsidRPr="005675B2">
        <w:rPr>
          <w:rFonts w:hint="cs"/>
          <w:rtl/>
        </w:rPr>
        <w:t xml:space="preserve"> وهذا الخطأ هو الخطأ الأصل الذي تورط فيه الدكتور في هذا الباب الذي تفرعت عنه الأخطاء الأخرى</w:t>
      </w:r>
      <w:r w:rsidR="000636C2">
        <w:rPr>
          <w:rFonts w:hint="cs"/>
          <w:rtl/>
        </w:rPr>
        <w:t>،</w:t>
      </w:r>
      <w:r w:rsidRPr="005675B2">
        <w:rPr>
          <w:rFonts w:hint="cs"/>
          <w:rtl/>
        </w:rPr>
        <w:t xml:space="preserve"> ولو كان الدكتور تأنى وفهم مذهب الأشاعرة على وجهه لما تورط في هذه الأخطاء الجمة الجسيمة</w:t>
      </w:r>
      <w:r w:rsidR="000636C2">
        <w:rPr>
          <w:rFonts w:hint="cs"/>
          <w:rtl/>
        </w:rPr>
        <w:t xml:space="preserve">، </w:t>
      </w:r>
      <w:r w:rsidRPr="005675B2">
        <w:rPr>
          <w:rFonts w:hint="cs"/>
          <w:rtl/>
        </w:rPr>
        <w:t>الخطا 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وهذا رد فعل مغال لقول البراهمة والمعتزلة</w:t>
      </w:r>
      <w:r w:rsidR="000636C2">
        <w:rPr>
          <w:rFonts w:hint="cs"/>
          <w:rtl/>
        </w:rPr>
        <w:t>:</w:t>
      </w:r>
      <w:r w:rsidRPr="005675B2">
        <w:rPr>
          <w:rFonts w:hint="cs"/>
          <w:rtl/>
        </w:rPr>
        <w:t xml:space="preserve"> إن العقل يوجب حسن الحسن وقبح القبيح</w:t>
      </w:r>
      <w:r w:rsidR="000636C2">
        <w:rPr>
          <w:rFonts w:hint="cs"/>
          <w:rtl/>
        </w:rPr>
        <w:t>)</w:t>
      </w:r>
      <w:r w:rsidRPr="005675B2">
        <w:rPr>
          <w:rFonts w:hint="cs"/>
          <w:rtl/>
        </w:rPr>
        <w:t xml:space="preserve"> وقد علمت أن مذهب الأشاعرة في المسألة مأخوذ من 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وليس برد فعل لمذهب أحد، بل هو رد للمذاهب الباطلة في المسألة</w:t>
      </w:r>
      <w:r w:rsidR="000636C2">
        <w:rPr>
          <w:rFonts w:hint="cs"/>
          <w:rtl/>
        </w:rPr>
        <w:t xml:space="preserve">، </w:t>
      </w:r>
      <w:r w:rsidRPr="005675B2">
        <w:rPr>
          <w:rFonts w:hint="cs"/>
          <w:rtl/>
        </w:rPr>
        <w:t>الخطأ الثالث والرابع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وهو مع منافاته للنصوص مكابرة للعقول</w:t>
      </w:r>
      <w:r w:rsidR="000636C2">
        <w:rPr>
          <w:rFonts w:hint="cs"/>
          <w:rtl/>
        </w:rPr>
        <w:t>)</w:t>
      </w:r>
      <w:r w:rsidRPr="005675B2">
        <w:rPr>
          <w:rFonts w:hint="cs"/>
          <w:rtl/>
        </w:rPr>
        <w:t xml:space="preserve"> وقد علمت أنه الموافق للنصوص دون المذاهب الأخرى في المسألة، وهو الاوفق بالعقول أيضا، وهل من الاوفق بالعقول أن يعذب الله الناس على فعل شيئ لم يرد الشرع بالمنع منه</w:t>
      </w:r>
      <w:r w:rsidR="000636C2">
        <w:rPr>
          <w:rFonts w:hint="cs"/>
          <w:rtl/>
        </w:rPr>
        <w:t xml:space="preserve">؟! </w:t>
      </w:r>
      <w:r w:rsidRPr="005675B2">
        <w:rPr>
          <w:rFonts w:hint="cs"/>
          <w:rtl/>
        </w:rPr>
        <w:t>الخطأ 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ومما يترتب عليه من الأصول الفاسدة قولهم</w:t>
      </w:r>
      <w:r w:rsidR="000636C2">
        <w:rPr>
          <w:rFonts w:hint="cs"/>
          <w:rtl/>
        </w:rPr>
        <w:t>:</w:t>
      </w:r>
      <w:r w:rsidRPr="005675B2">
        <w:rPr>
          <w:rFonts w:hint="cs"/>
          <w:rtl/>
        </w:rPr>
        <w:t xml:space="preserve"> إن الشرع قد يأتى بما هو قبيح في العقل</w:t>
      </w:r>
      <w:r w:rsidR="000636C2">
        <w:rPr>
          <w:rFonts w:hint="cs"/>
          <w:rtl/>
        </w:rPr>
        <w:t>)</w:t>
      </w:r>
      <w:r w:rsidRPr="005675B2">
        <w:rPr>
          <w:rFonts w:hint="cs"/>
          <w:rtl/>
        </w:rPr>
        <w:t xml:space="preserve"> هذا ما لم يقله أحد من الأشاعرة، ولا أحد من المسلمين</w:t>
      </w:r>
      <w:r w:rsidR="000636C2">
        <w:rPr>
          <w:rFonts w:hint="cs"/>
          <w:rtl/>
        </w:rPr>
        <w:t>،</w:t>
      </w:r>
      <w:r w:rsidRPr="005675B2">
        <w:rPr>
          <w:rFonts w:hint="cs"/>
          <w:rtl/>
        </w:rPr>
        <w:t xml:space="preserve"> قال القاضى عضد الدين الإيجي في "المواقف"</w:t>
      </w:r>
      <w:r w:rsidR="000636C2">
        <w:rPr>
          <w:rFonts w:hint="cs"/>
          <w:rtl/>
        </w:rPr>
        <w:t>:</w:t>
      </w:r>
      <w:r w:rsidRPr="005675B2">
        <w:rPr>
          <w:rFonts w:hint="cs"/>
          <w:rtl/>
        </w:rPr>
        <w:t xml:space="preserve"> </w:t>
      </w:r>
      <w:r w:rsidR="000636C2">
        <w:rPr>
          <w:rFonts w:hint="cs"/>
          <w:rtl/>
        </w:rPr>
        <w:t>(</w:t>
      </w:r>
      <w:r w:rsidRPr="005675B2">
        <w:rPr>
          <w:rFonts w:hint="cs"/>
          <w:rtl/>
        </w:rPr>
        <w:t>إعلم أن الأمة أجمعت على أن الله لا يفعل القبيح، ولا يترك الواجب</w:t>
      </w:r>
      <w:r w:rsidR="000636C2">
        <w:rPr>
          <w:rFonts w:hint="cs"/>
          <w:rtl/>
        </w:rPr>
        <w:t>،</w:t>
      </w:r>
      <w:r w:rsidRPr="005675B2">
        <w:rPr>
          <w:rFonts w:hint="cs"/>
          <w:rtl/>
        </w:rPr>
        <w:t xml:space="preserve"> فالأشاعرة من جهة أنه لا قبيح منه، ولا واجب عليه، وأما المعتزلة فمن جهة أن ما هو قبيح منه يتركه، وما يجب عليه يفعله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المواقف 328]</w:t>
      </w:r>
      <w:r w:rsidRPr="005675B2">
        <w:rPr>
          <w:rFonts w:hint="cs"/>
          <w:rtl/>
        </w:rPr>
        <w:t xml:space="preserve"> وإنزال الأحكام فعل من أفعاله تعالى، فلو كان الشرع ورد بما هو قبيح لكان الله تعالى قد فعل ضد الحسن</w:t>
      </w:r>
      <w:r w:rsidR="000636C2">
        <w:rPr>
          <w:rFonts w:hint="cs"/>
          <w:rtl/>
        </w:rPr>
        <w:t xml:space="preserve">، </w:t>
      </w:r>
      <w:r w:rsidRPr="005675B2">
        <w:rPr>
          <w:rFonts w:hint="cs"/>
          <w:rtl/>
        </w:rPr>
        <w:t>وينبغي ال</w:t>
      </w:r>
      <w:r w:rsidR="000636C2">
        <w:rPr>
          <w:rFonts w:hint="cs"/>
          <w:rtl/>
        </w:rPr>
        <w:t>(</w:t>
      </w:r>
      <w:r>
        <w:rPr>
          <w:rFonts w:hint="cs"/>
          <w:rtl/>
        </w:rPr>
        <w:t>تنبيه</w:t>
      </w:r>
      <w:r w:rsidR="000636C2">
        <w:rPr>
          <w:rFonts w:hint="cs"/>
          <w:rtl/>
        </w:rPr>
        <w:t>)</w:t>
      </w:r>
      <w:r w:rsidRPr="005675B2">
        <w:rPr>
          <w:rFonts w:hint="cs"/>
          <w:rtl/>
        </w:rPr>
        <w:t xml:space="preserve"> على أمرين</w:t>
      </w:r>
      <w:r w:rsidR="000636C2">
        <w:rPr>
          <w:rFonts w:hint="cs"/>
          <w:rtl/>
        </w:rPr>
        <w:t>: (</w:t>
      </w:r>
      <w:r w:rsidRPr="005675B2">
        <w:rPr>
          <w:rFonts w:hint="cs"/>
          <w:rtl/>
        </w:rPr>
        <w:t>الأول</w:t>
      </w:r>
      <w:r w:rsidR="000636C2">
        <w:rPr>
          <w:rFonts w:hint="cs"/>
          <w:rtl/>
        </w:rPr>
        <w:t>):</w:t>
      </w:r>
      <w:r w:rsidRPr="005675B2">
        <w:rPr>
          <w:rFonts w:hint="cs"/>
          <w:rtl/>
        </w:rPr>
        <w:t xml:space="preserve"> أن الناس كثيرا ما يختلفون بحسب العادات وبحسب الأزمنة والأمكنة في الحكم على بعض الأشياء بالحسن والقبح كما في ذبح الحيوان فربما يستحسنه قوم، وربما يستقبحه قوم، وربما يكون بالنسبة إلى قوم وزمان ومكان حسنا، وربما يكون قبيحا</w:t>
      </w:r>
      <w:r w:rsidR="000636C2">
        <w:rPr>
          <w:rFonts w:hint="cs"/>
          <w:rtl/>
        </w:rPr>
        <w:t>،</w:t>
      </w:r>
      <w:r w:rsidRPr="005675B2">
        <w:rPr>
          <w:rFonts w:hint="cs"/>
          <w:rtl/>
        </w:rPr>
        <w:t xml:space="preserve"> فالشرع قد يرد بما هو قبيح عند بعض الناس أو في بعض الأزمنة والأمكنة، لأن استقباحهم له مخالف للمصلحة، والشرع لا يرد إلا بالمصلحة</w:t>
      </w:r>
      <w:r w:rsidR="000636C2">
        <w:rPr>
          <w:rFonts w:hint="cs"/>
          <w:rtl/>
        </w:rPr>
        <w:t>،</w:t>
      </w:r>
      <w:r w:rsidRPr="005675B2">
        <w:rPr>
          <w:rFonts w:hint="cs"/>
          <w:rtl/>
        </w:rPr>
        <w:t xml:space="preserve"> وأما ورود الشرع بما هو قبيح في نظر العقل الصحيح، فلم يقل به أحد من المسلمين، لأن معنى قبحه في نظر العقل الصحيح كونه مفسدة، والشرع لا يرد بما هو مفسدة، ولم يرد إلا بالمصالح</w:t>
      </w:r>
      <w:r w:rsidR="000636C2">
        <w:rPr>
          <w:rFonts w:hint="cs"/>
          <w:rtl/>
        </w:rPr>
        <w:t>، (</w:t>
      </w:r>
      <w:r w:rsidRPr="005675B2">
        <w:rPr>
          <w:rFonts w:hint="cs"/>
          <w:rtl/>
        </w:rPr>
        <w:t>الثاني</w:t>
      </w:r>
      <w:r w:rsidR="000636C2">
        <w:rPr>
          <w:rFonts w:hint="cs"/>
          <w:rtl/>
        </w:rPr>
        <w:t>):</w:t>
      </w:r>
      <w:r w:rsidRPr="005675B2">
        <w:rPr>
          <w:rFonts w:hint="cs"/>
          <w:rtl/>
        </w:rPr>
        <w:t xml:space="preserve"> أن كثيرا من الأفعال تقبح منا، ولا تقبح من الله تعالى كإيلام البرئ، وإهلاك الحرث والنسل إلى غير ذلك .. فإن نفس الإغراق والإهلاك يحسن منه تعالى ولا يقبح، وذلك منا قبيح </w:t>
      </w:r>
      <w:r w:rsidRPr="005675B2">
        <w:rPr>
          <w:rFonts w:hint="cs"/>
          <w:rtl/>
          <w:lang w:bidi="ar-KW"/>
        </w:rPr>
        <w:t>[</w:t>
      </w:r>
      <w:r w:rsidRPr="005675B2">
        <w:rPr>
          <w:rFonts w:hint="cs"/>
          <w:sz w:val="24"/>
          <w:szCs w:val="24"/>
          <w:rtl/>
        </w:rPr>
        <w:t>راجع نهاية الأقدام للشهرستاني 273-279]</w:t>
      </w:r>
      <w:r w:rsidRPr="005675B2">
        <w:rPr>
          <w:rFonts w:hint="cs"/>
          <w:rtl/>
          <w:lang w:bidi="ar-KW"/>
        </w:rPr>
        <w:t xml:space="preserve"> </w:t>
      </w:r>
      <w:r w:rsidRPr="005675B2">
        <w:rPr>
          <w:rFonts w:hint="cs"/>
          <w:rtl/>
        </w:rPr>
        <w:t>فالله تعالى قد يفعل ما هو قبيح منا، لأن الله تعالى لا يحكمه شرع ولا قانون، يفعل ما يشاء ويحكم ما يريد، لا معقب لحكمه، لا يسأل عما يفعل وهم يسئلون، وكل ما فعله فهو مقتضى حكمته، ولكن الله تعالى لا يشرع ذلك، فورود الشرع بما هو قبيح في العقل لم يقل به أحد من المسلمين</w:t>
      </w:r>
      <w:r w:rsidR="000636C2">
        <w:rPr>
          <w:rFonts w:hint="cs"/>
          <w:rtl/>
        </w:rPr>
        <w:t>،</w:t>
      </w:r>
      <w:r w:rsidRPr="005675B2">
        <w:rPr>
          <w:rFonts w:hint="cs"/>
          <w:rtl/>
        </w:rPr>
        <w:t xml:space="preserve"> الخطأ 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ومثلوا ذلك بذبح الحيوان فإنه إيلام له بلا ذنب، وهو قبيح في العقل، ومع ذلك أباحه الشرع</w:t>
      </w:r>
      <w:r w:rsidR="000636C2">
        <w:rPr>
          <w:rFonts w:hint="cs"/>
          <w:rtl/>
        </w:rPr>
        <w:t>)</w:t>
      </w:r>
      <w:r w:rsidRPr="005675B2">
        <w:rPr>
          <w:rFonts w:hint="cs"/>
          <w:rtl/>
        </w:rPr>
        <w:t xml:space="preserve"> فإنه لم يقل أحد من المسلمين</w:t>
      </w:r>
      <w:r w:rsidR="000636C2">
        <w:rPr>
          <w:rFonts w:hint="cs"/>
          <w:rtl/>
        </w:rPr>
        <w:t>:</w:t>
      </w:r>
      <w:r w:rsidRPr="005675B2">
        <w:rPr>
          <w:rFonts w:hint="cs"/>
          <w:rtl/>
        </w:rPr>
        <w:t xml:space="preserve"> إن ذبح الحيوان قبيح في العقل</w:t>
      </w:r>
      <w:r w:rsidR="000636C2">
        <w:rPr>
          <w:rFonts w:hint="cs"/>
          <w:rtl/>
        </w:rPr>
        <w:t xml:space="preserve">، </w:t>
      </w:r>
      <w:r w:rsidRPr="005675B2">
        <w:rPr>
          <w:rFonts w:hint="cs"/>
          <w:rtl/>
        </w:rPr>
        <w:t>الخطأ 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وهذا في الحقيقة هو قول البراهمة الذين يحرمون أكل الحيوان</w:t>
      </w:r>
      <w:r w:rsidR="000636C2">
        <w:rPr>
          <w:rFonts w:hint="cs"/>
          <w:rtl/>
        </w:rPr>
        <w:t xml:space="preserve">)، </w:t>
      </w:r>
      <w:r w:rsidRPr="005675B2">
        <w:rPr>
          <w:rFonts w:hint="cs"/>
          <w:rtl/>
        </w:rPr>
        <w:t>أقول</w:t>
      </w:r>
      <w:r w:rsidR="000636C2">
        <w:rPr>
          <w:rFonts w:hint="cs"/>
          <w:rtl/>
        </w:rPr>
        <w:t>:</w:t>
      </w:r>
      <w:r w:rsidRPr="005675B2">
        <w:rPr>
          <w:rFonts w:hint="cs"/>
          <w:rtl/>
        </w:rPr>
        <w:t xml:space="preserve"> صحيح أن هذا قول للبراهمة، وأما أنه قول للأشاعرة فمعاذ الله</w:t>
      </w:r>
      <w:r w:rsidR="000636C2">
        <w:rPr>
          <w:rFonts w:hint="cs"/>
          <w:rtl/>
        </w:rPr>
        <w:t>!</w:t>
      </w:r>
      <w:r w:rsidRPr="005675B2">
        <w:rPr>
          <w:rFonts w:hint="cs"/>
          <w:rtl/>
        </w:rPr>
        <w:t>! الخطأ 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فلما عجز هؤلاء عن رد شبهتهم ووافقوهم عليها أنكروا حكم العقل من أصله، وتوهموا أنهم بهذا يدافعون عن الإسلام</w:t>
      </w:r>
      <w:r w:rsidR="000636C2">
        <w:rPr>
          <w:rFonts w:hint="cs"/>
          <w:rtl/>
        </w:rPr>
        <w:t>)</w:t>
      </w:r>
      <w:r w:rsidRPr="005675B2">
        <w:rPr>
          <w:rFonts w:hint="cs"/>
          <w:rtl/>
        </w:rPr>
        <w:t xml:space="preserve"> وقد اشتملت هذه الجملة من كلام الدكتور على أربعة أخطاء</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فلما عجزوا عن رد شبهتهم</w:t>
      </w:r>
      <w:r w:rsidR="000636C2">
        <w:rPr>
          <w:rFonts w:hint="cs"/>
          <w:rtl/>
        </w:rPr>
        <w:t>)</w:t>
      </w:r>
      <w:r w:rsidRPr="005675B2">
        <w:rPr>
          <w:rFonts w:hint="cs"/>
          <w:rtl/>
        </w:rPr>
        <w:t xml:space="preserve"> فما قيمة شبهتهم حتى يعجز الأشاعرة الذين هم فحول الأمة عن ردها، وهي شبهة أو هى من نسج العنكبوت</w:t>
      </w:r>
      <w:r w:rsidR="000636C2">
        <w:rPr>
          <w:rFonts w:hint="cs"/>
          <w:rtl/>
        </w:rPr>
        <w:t>، (</w:t>
      </w:r>
      <w:r w:rsidRPr="005675B2">
        <w:rPr>
          <w:rFonts w:hint="cs"/>
          <w:rtl/>
        </w:rPr>
        <w:t>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وافقوهم عليها</w:t>
      </w:r>
      <w:r w:rsidR="000636C2">
        <w:rPr>
          <w:rFonts w:hint="cs"/>
          <w:rtl/>
        </w:rPr>
        <w:t>)</w:t>
      </w:r>
      <w:r w:rsidRPr="005675B2">
        <w:rPr>
          <w:rFonts w:hint="cs"/>
          <w:rtl/>
        </w:rPr>
        <w:t xml:space="preserve"> هل وافق الأشاعرة البراهمة على أن ذبح الحيوان قبيح مطلقا، أم أنهم قالوا</w:t>
      </w:r>
      <w:r w:rsidR="000636C2">
        <w:rPr>
          <w:rFonts w:hint="cs"/>
          <w:rtl/>
        </w:rPr>
        <w:t>:</w:t>
      </w:r>
      <w:r w:rsidRPr="005675B2">
        <w:rPr>
          <w:rFonts w:hint="cs"/>
          <w:rtl/>
        </w:rPr>
        <w:t xml:space="preserve"> إنه قبيح عندهم، وليس بقبيح في الواقع، بل هو أمر حسن</w:t>
      </w:r>
      <w:r w:rsidR="000636C2">
        <w:rPr>
          <w:rFonts w:hint="cs"/>
          <w:rtl/>
        </w:rPr>
        <w:t>؟!</w:t>
      </w:r>
      <w:r w:rsidRPr="005675B2">
        <w:rPr>
          <w:rFonts w:hint="cs"/>
          <w:rtl/>
        </w:rPr>
        <w:t>!</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أنكروا حكم العقل من أصله</w:t>
      </w:r>
      <w:r w:rsidR="000636C2">
        <w:rPr>
          <w:rFonts w:hint="cs"/>
          <w:rtl/>
        </w:rPr>
        <w:t>)</w:t>
      </w:r>
      <w:r w:rsidRPr="005675B2">
        <w:rPr>
          <w:rFonts w:hint="cs"/>
          <w:rtl/>
        </w:rPr>
        <w:t xml:space="preserve"> قد علمت أنهم لم ينكروا حكم العقل من أصله، بل ينكرون حكم العقل بالحسن والقبح بالمعنى الثالث</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وتوهموا أنهم بذلك يدافعون عن الإسلام</w:t>
      </w:r>
      <w:r w:rsidR="000636C2">
        <w:rPr>
          <w:rFonts w:hint="cs"/>
          <w:rtl/>
        </w:rPr>
        <w:t>)</w:t>
      </w:r>
      <w:r w:rsidRPr="005675B2">
        <w:rPr>
          <w:rFonts w:hint="cs"/>
          <w:rtl/>
        </w:rPr>
        <w:t xml:space="preserve"> الناس كلهم يعلمون أن الأشاعرة أقوى فرقة دافعت عن الإسلام، لكنهم لم يدافعوا عن الإسلام بإنكار حكم العقل من أصله</w:t>
      </w:r>
      <w:r w:rsidR="000636C2">
        <w:rPr>
          <w:rFonts w:hint="cs"/>
          <w:rtl/>
        </w:rPr>
        <w:t>،</w:t>
      </w:r>
      <w:r w:rsidRPr="005675B2">
        <w:rPr>
          <w:rFonts w:hint="cs"/>
          <w:rtl/>
        </w:rPr>
        <w:t xml:space="preserve"> وأنت أيها الدكتور تتهم الأشاعرة دائما بأنهم يقدمون العقل على النقل، فكيف تسوغ لنفسك أن تقول بعد ذلك</w:t>
      </w:r>
      <w:r w:rsidR="000636C2">
        <w:rPr>
          <w:rFonts w:hint="cs"/>
          <w:rtl/>
        </w:rPr>
        <w:t>:</w:t>
      </w:r>
      <w:r w:rsidRPr="005675B2">
        <w:rPr>
          <w:rFonts w:hint="cs"/>
          <w:rtl/>
        </w:rPr>
        <w:t xml:space="preserve"> إن الأشاعرة ألغوا دور العقل، وأنكروا حكمه من أصله</w:t>
      </w:r>
      <w:r w:rsidR="000636C2">
        <w:rPr>
          <w:rFonts w:hint="cs"/>
          <w:rtl/>
        </w:rPr>
        <w:t>؟!</w:t>
      </w:r>
      <w:r w:rsidRPr="005675B2">
        <w:rPr>
          <w:rFonts w:hint="cs"/>
          <w:rtl/>
        </w:rPr>
        <w:t>!</w:t>
      </w:r>
      <w:r w:rsidR="000636C2">
        <w:rPr>
          <w:rFonts w:hint="cs"/>
          <w:rtl/>
        </w:rPr>
        <w:t xml:space="preserve"> </w:t>
      </w:r>
      <w:r w:rsidRPr="005675B2">
        <w:rPr>
          <w:rFonts w:hint="cs"/>
          <w:rtl/>
        </w:rPr>
        <w:t>الخطأ الثاني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كما أن من أسباب ذلك مناقضة أصل من قال بوجوب الثواب والعقاب على الله بحكم العقل ومقتضاه</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الأشاعرة قد ناقضوا هذا الأصل ونقضوه، لكن ليس الباعث لهم على نفي الحسن والقبح بالمعنى الثالث مناقضة هذا الأصل الفاسد، بل الباعث لهم على ذلك 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 xml:space="preserve">)، </w:t>
      </w:r>
      <w:r w:rsidRPr="005675B2">
        <w:rPr>
          <w:rFonts w:hint="cs"/>
          <w:rtl/>
        </w:rPr>
        <w:t>ثم إن قول المعتزلة بوجوب الثواب والعقاب على الله بحكم العقل، مفروض في أفعال الله تعالى، وذلك أن المعتزلة أوجبوا على الله تعالى أربعة أمور</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اللطف</w:t>
      </w:r>
      <w:r w:rsidR="000636C2">
        <w:rPr>
          <w:rFonts w:hint="cs"/>
          <w:rtl/>
        </w:rPr>
        <w:t>:</w:t>
      </w:r>
      <w:r w:rsidRPr="005675B2">
        <w:rPr>
          <w:rFonts w:hint="cs"/>
          <w:rtl/>
        </w:rPr>
        <w:t xml:space="preserve"> وفسروه بأنه الذي يقرب العبد إلى الطاعة، ويبعده عن المعصية، كبعثة الأنبياء</w:t>
      </w:r>
      <w:r w:rsidR="000636C2">
        <w:rPr>
          <w:rFonts w:hint="cs"/>
          <w:rtl/>
        </w:rPr>
        <w:t>،</w:t>
      </w:r>
      <w:r w:rsidRPr="005675B2">
        <w:rPr>
          <w:rFonts w:hint="cs"/>
          <w:rtl/>
        </w:rPr>
        <w:t xml:space="preserve"> </w:t>
      </w:r>
      <w:r w:rsidR="000636C2">
        <w:rPr>
          <w:rFonts w:hint="cs"/>
          <w:rtl/>
        </w:rPr>
        <w:t>(</w:t>
      </w:r>
      <w:r w:rsidRPr="005675B2">
        <w:rPr>
          <w:rFonts w:hint="cs"/>
          <w:rtl/>
        </w:rPr>
        <w:t>الثاني</w:t>
      </w:r>
      <w:r w:rsidR="000636C2">
        <w:rPr>
          <w:rFonts w:hint="cs"/>
          <w:rtl/>
        </w:rPr>
        <w:t>):</w:t>
      </w:r>
      <w:r w:rsidRPr="005675B2">
        <w:rPr>
          <w:rFonts w:hint="cs"/>
          <w:rtl/>
        </w:rPr>
        <w:t xml:space="preserve"> الثواب على الطاعة</w:t>
      </w:r>
      <w:r w:rsidR="000636C2">
        <w:rPr>
          <w:rFonts w:hint="cs"/>
          <w:rtl/>
        </w:rPr>
        <w:t>،</w:t>
      </w:r>
      <w:r w:rsidRPr="005675B2">
        <w:rPr>
          <w:rFonts w:hint="cs"/>
          <w:rtl/>
        </w:rPr>
        <w:t xml:space="preserve"> الثالث</w:t>
      </w:r>
      <w:r w:rsidR="000636C2">
        <w:rPr>
          <w:rFonts w:hint="cs"/>
          <w:rtl/>
        </w:rPr>
        <w:t>:</w:t>
      </w:r>
      <w:r w:rsidRPr="005675B2">
        <w:rPr>
          <w:rFonts w:hint="cs"/>
          <w:rtl/>
        </w:rPr>
        <w:t xml:space="preserve"> العقاب على المعصية</w:t>
      </w:r>
      <w:r w:rsidR="000636C2">
        <w:rPr>
          <w:rFonts w:hint="cs"/>
          <w:rtl/>
        </w:rPr>
        <w:t>،</w:t>
      </w:r>
      <w:r w:rsidRPr="005675B2">
        <w:rPr>
          <w:rFonts w:hint="cs"/>
          <w:rtl/>
        </w:rPr>
        <w:t xml:space="preserve"> الرابع</w:t>
      </w:r>
      <w:r w:rsidR="000636C2">
        <w:rPr>
          <w:rFonts w:hint="cs"/>
          <w:rtl/>
        </w:rPr>
        <w:t>:</w:t>
      </w:r>
      <w:r w:rsidRPr="005675B2">
        <w:rPr>
          <w:rFonts w:hint="cs"/>
          <w:rtl/>
        </w:rPr>
        <w:t xml:space="preserve"> الأصلح للعبد</w:t>
      </w:r>
      <w:r w:rsidR="000636C2">
        <w:rPr>
          <w:rFonts w:hint="cs"/>
          <w:rtl/>
        </w:rPr>
        <w:t xml:space="preserve">، </w:t>
      </w:r>
      <w:r w:rsidRPr="005675B2">
        <w:rPr>
          <w:rFonts w:hint="cs"/>
          <w:rtl/>
        </w:rPr>
        <w:t>وأما قول الأشاعرة بنفي الحسن والقبح بالمعنى الثالث، فمفروض في أفعال المكلفين، فأين أحدهما من الآخر فلو فرض أن الأشاعرة وافقوا المعتزلة في قولهم بوجوب الثواب والعقاب على الله بحكم العقل، لساغ لهم أن يقولوا بنفي الحسن والقبح بالمعنى الثالث عن أفعال المكلفين، لأنه ليس بين القول بوجوب الثواب والعقاب وبين القول بالحسن والقبح أي ملازمة</w:t>
      </w:r>
      <w:r w:rsidR="000636C2">
        <w:rPr>
          <w:rFonts w:hint="cs"/>
          <w:rtl/>
        </w:rPr>
        <w:t xml:space="preserve">، </w:t>
      </w:r>
      <w:r w:rsidRPr="005675B2">
        <w:rPr>
          <w:rFonts w:hint="cs"/>
          <w:rtl/>
        </w:rPr>
        <w:t>وهكذا يكون حال المتسور على العلوم المتدخل فيما لا يعلم</w:t>
      </w:r>
      <w:r w:rsidR="000636C2">
        <w:rPr>
          <w:rFonts w:hint="cs"/>
          <w:rtl/>
        </w:rPr>
        <w:t>،</w:t>
      </w:r>
      <w:r w:rsidRPr="005675B2">
        <w:rPr>
          <w:rFonts w:hint="cs"/>
          <w:rtl/>
        </w:rPr>
        <w:t xml:space="preserve"> كلما يخطو خطوة يخطئ خطأ</w:t>
      </w:r>
      <w:r w:rsidR="000636C2">
        <w:rPr>
          <w:rFonts w:hint="cs"/>
          <w:rtl/>
        </w:rPr>
        <w:t>!</w:t>
      </w:r>
      <w:r w:rsidRPr="005675B2">
        <w:rPr>
          <w:rFonts w:hint="cs"/>
          <w:rtl/>
        </w:rPr>
        <w:t xml:space="preserve"> عصمنا الله تعالى عن كثرة الخطأ والزلل</w:t>
      </w:r>
      <w:r w:rsidR="000636C2">
        <w:rPr>
          <w:rFonts w:hint="cs"/>
          <w:rtl/>
        </w:rPr>
        <w:t>،</w:t>
      </w:r>
    </w:p>
    <w:p w14:paraId="2211BDE1" w14:textId="18640BD9" w:rsidR="009C32A0" w:rsidRPr="005675B2" w:rsidRDefault="009C32A0" w:rsidP="000636C2">
      <w:pPr>
        <w:rPr>
          <w:b/>
          <w:rtl/>
        </w:rPr>
      </w:pPr>
      <w:r w:rsidRPr="005675B2">
        <w:rPr>
          <w:rFonts w:hint="cs"/>
          <w:rtl/>
        </w:rPr>
        <w:t>60 - التأويل وبيان معناها الإصطلاحي</w:t>
      </w:r>
      <w:r w:rsidR="000636C2">
        <w:rPr>
          <w:rFonts w:hint="cs"/>
          <w:rtl/>
        </w:rPr>
        <w:t xml:space="preserve">: </w:t>
      </w:r>
      <w:r w:rsidRPr="005675B2">
        <w:rPr>
          <w:rFonts w:hint="cs"/>
          <w:rtl/>
        </w:rPr>
        <w:t>قال الدكتور</w:t>
      </w:r>
      <w:r w:rsidR="000636C2">
        <w:rPr>
          <w:rFonts w:hint="cs"/>
          <w:rtl/>
        </w:rPr>
        <w:t>:</w:t>
      </w:r>
      <w:r w:rsidRPr="005675B2">
        <w:rPr>
          <w:rFonts w:hint="cs"/>
          <w:rtl/>
        </w:rPr>
        <w:t xml:space="preserve"> " الحادي عشر</w:t>
      </w:r>
      <w:r w:rsidR="000636C2">
        <w:rPr>
          <w:rFonts w:hint="cs"/>
          <w:rtl/>
        </w:rPr>
        <w:t>:</w:t>
      </w:r>
      <w:r w:rsidRPr="005675B2">
        <w:rPr>
          <w:rFonts w:hint="cs"/>
          <w:rtl/>
        </w:rPr>
        <w:t xml:space="preserve"> التأويل</w:t>
      </w:r>
      <w:r w:rsidR="000636C2">
        <w:rPr>
          <w:rFonts w:hint="cs"/>
          <w:rtl/>
        </w:rPr>
        <w:t>:</w:t>
      </w:r>
      <w:r w:rsidRPr="005675B2">
        <w:rPr>
          <w:rFonts w:hint="cs"/>
          <w:rtl/>
        </w:rPr>
        <w:t xml:space="preserve"> ومعناهُ المبتَدَعُ صَرْفُ اللفظ عن ظاهرهِ الراجحِ إلى احتمالٍ مرجوحٍ لقرينة</w:t>
      </w:r>
      <w:r w:rsidR="000636C2">
        <w:rPr>
          <w:rFonts w:hint="cs"/>
          <w:rtl/>
        </w:rPr>
        <w:t xml:space="preserve">، </w:t>
      </w:r>
      <w:r w:rsidRPr="005675B2">
        <w:rPr>
          <w:rFonts w:hint="cs"/>
          <w:rtl/>
        </w:rPr>
        <w:t>فهو بهذا المعنى تحريفٌ للكلامِ عن مواضعِهِ كما قرَّرَ ذلك شيخُ الإسلام "</w:t>
      </w:r>
      <w:r w:rsidR="000636C2">
        <w:rPr>
          <w:rFonts w:hint="cs"/>
          <w:rtl/>
        </w:rPr>
        <w:t xml:space="preserve">، </w:t>
      </w:r>
      <w:r w:rsidRPr="005675B2">
        <w:rPr>
          <w:rFonts w:hint="cs"/>
          <w:rtl/>
        </w:rPr>
        <w:t>أقول</w:t>
      </w:r>
      <w:r w:rsidR="000636C2">
        <w:rPr>
          <w:rFonts w:hint="cs"/>
          <w:rtl/>
        </w:rPr>
        <w:t>:</w:t>
      </w:r>
      <w:r w:rsidRPr="005675B2">
        <w:rPr>
          <w:rFonts w:hint="cs"/>
          <w:rtl/>
        </w:rPr>
        <w:t xml:space="preserve"> هذا هو اصطلاحُ الأصوليين وليسَ الاصطلاحُ منَ الابتداعِ في شيءٍ</w:t>
      </w:r>
      <w:r w:rsidR="000636C2">
        <w:rPr>
          <w:rFonts w:hint="cs"/>
          <w:rtl/>
        </w:rPr>
        <w:t>،</w:t>
      </w:r>
      <w:r w:rsidRPr="005675B2">
        <w:rPr>
          <w:rFonts w:hint="cs"/>
          <w:rtl/>
        </w:rPr>
        <w:t xml:space="preserve"> ثم إذا كان الصرف لقرينة فلماذا يكون تحريفا للكلم عن مواضعه</w:t>
      </w:r>
      <w:r w:rsidR="000636C2">
        <w:rPr>
          <w:rFonts w:hint="cs"/>
          <w:rtl/>
        </w:rPr>
        <w:t>؟</w:t>
      </w:r>
      <w:r w:rsidRPr="005675B2">
        <w:rPr>
          <w:rFonts w:hint="cs"/>
          <w:rtl/>
        </w:rPr>
        <w:t xml:space="preserve"> وما معنى القرينة</w:t>
      </w:r>
      <w:r w:rsidR="000636C2">
        <w:rPr>
          <w:rFonts w:hint="cs"/>
          <w:rtl/>
        </w:rPr>
        <w:t>؟</w:t>
      </w:r>
      <w:r w:rsidRPr="005675B2">
        <w:rPr>
          <w:rFonts w:hint="cs"/>
          <w:rtl/>
        </w:rPr>
        <w:t xml:space="preserve"> بل عدم الصرف حينئذ يكون تحريفا للكلم عن مواضعه، وتقرير ابن تيمية ليس من الوحي</w:t>
      </w:r>
      <w:r w:rsidR="000636C2">
        <w:rPr>
          <w:rFonts w:hint="cs"/>
          <w:rtl/>
        </w:rPr>
        <w:t>!</w:t>
      </w:r>
      <w:r w:rsidRPr="005675B2">
        <w:rPr>
          <w:rFonts w:hint="cs"/>
          <w:rtl/>
        </w:rPr>
        <w:t xml:space="preserve"> بل قد صرح هو بخلاف ما نقله الدكتور عنه كما سيأتي قريبا</w:t>
      </w:r>
      <w:r w:rsidR="000636C2">
        <w:rPr>
          <w:rFonts w:hint="cs"/>
          <w:rtl/>
        </w:rPr>
        <w:t>،</w:t>
      </w:r>
      <w:r w:rsidRPr="005675B2">
        <w:rPr>
          <w:rFonts w:hint="cs"/>
          <w:rtl/>
        </w:rPr>
        <w:t xml:space="preserve"> نعم صرف اللفظ عن ظاهره لا لقرينة تأويل فاسد، وتحريف للكلم عن مواضعه</w:t>
      </w:r>
      <w:r w:rsidR="000636C2">
        <w:rPr>
          <w:rFonts w:hint="cs"/>
          <w:rtl/>
        </w:rPr>
        <w:t>،</w:t>
      </w:r>
      <w:r w:rsidRPr="005675B2">
        <w:rPr>
          <w:rFonts w:hint="cs"/>
          <w:rtl/>
        </w:rPr>
        <w:t xml:space="preserve"> قال الإمام فخر الدين الرازي</w:t>
      </w:r>
      <w:r w:rsidR="000636C2">
        <w:rPr>
          <w:rFonts w:hint="cs"/>
          <w:rtl/>
        </w:rPr>
        <w:t>:</w:t>
      </w:r>
      <w:r w:rsidRPr="005675B2">
        <w:rPr>
          <w:rFonts w:hint="cs"/>
          <w:rtl/>
        </w:rPr>
        <w:t xml:space="preserve"> </w:t>
      </w:r>
      <w:r w:rsidR="000636C2">
        <w:rPr>
          <w:rFonts w:hint="cs"/>
          <w:rtl/>
        </w:rPr>
        <w:t>(</w:t>
      </w:r>
      <w:r w:rsidRPr="005675B2">
        <w:rPr>
          <w:rFonts w:hint="cs"/>
          <w:rtl/>
        </w:rPr>
        <w:t>إذا كان لفظ الآية والخبر ظاهرا في معنى فإنما يجوز لنا ترك ذلك الظاهر بدليل منفصل، وإلا لخرج الكلام عن أن يكون مفيدا، ولخرج القرآن عن أن يكون حجة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صرف اللفظ عن ظاهره إلى معناه المرجوح لا يجوز إلا عند قيام الدليل القاطع على أن ظاهره محال ممتنع</w:t>
      </w:r>
      <w:r w:rsidR="000636C2">
        <w:rPr>
          <w:rFonts w:hint="cs"/>
          <w:rtl/>
        </w:rPr>
        <w:t>)</w:t>
      </w:r>
      <w:r w:rsidRPr="005675B2">
        <w:rPr>
          <w:rFonts w:hint="cs"/>
          <w:rtl/>
        </w:rPr>
        <w:t xml:space="preserve"> [</w:t>
      </w:r>
      <w:r w:rsidRPr="005675B2">
        <w:rPr>
          <w:rFonts w:hint="cs"/>
          <w:sz w:val="24"/>
          <w:szCs w:val="24"/>
          <w:rtl/>
        </w:rPr>
        <w:t>أساس التقديس 181-182]</w:t>
      </w:r>
      <w:r w:rsidRPr="005675B2">
        <w:rPr>
          <w:rFonts w:hint="cs"/>
          <w:rtl/>
        </w:rPr>
        <w:t xml:space="preserve"> وقال تاج الدين السبكي في أول مباحث الكتاب من "جمع الجوامع"</w:t>
      </w:r>
      <w:r w:rsidR="000636C2">
        <w:rPr>
          <w:rFonts w:hint="cs"/>
          <w:rtl/>
        </w:rPr>
        <w:t>:</w:t>
      </w:r>
      <w:r w:rsidRPr="005675B2">
        <w:rPr>
          <w:rFonts w:hint="cs"/>
          <w:rtl/>
        </w:rPr>
        <w:t xml:space="preserve"> </w:t>
      </w:r>
      <w:r w:rsidR="000636C2">
        <w:rPr>
          <w:rFonts w:hint="cs"/>
          <w:rtl/>
        </w:rPr>
        <w:t>(</w:t>
      </w:r>
      <w:r w:rsidRPr="005675B2">
        <w:rPr>
          <w:rFonts w:hint="cs"/>
          <w:rtl/>
        </w:rPr>
        <w:t>ولا يجوز ورود ما يعنى به غير ظاهره إلا بدليل</w:t>
      </w:r>
      <w:r w:rsidR="000636C2">
        <w:rPr>
          <w:rFonts w:hint="cs"/>
          <w:rtl/>
        </w:rPr>
        <w:t>)</w:t>
      </w:r>
      <w:r w:rsidRPr="005675B2">
        <w:rPr>
          <w:rFonts w:hint="cs"/>
          <w:rtl/>
        </w:rPr>
        <w:t xml:space="preserve"> ثم قال في مبحث الظاهر والمؤول من مباحث الكتاب</w:t>
      </w:r>
      <w:r w:rsidR="000636C2">
        <w:rPr>
          <w:rFonts w:hint="cs"/>
          <w:rtl/>
        </w:rPr>
        <w:t>:</w:t>
      </w:r>
      <w:r w:rsidRPr="005675B2">
        <w:rPr>
          <w:rFonts w:hint="cs"/>
          <w:rtl/>
        </w:rPr>
        <w:t xml:space="preserve"> </w:t>
      </w:r>
      <w:r w:rsidR="000636C2">
        <w:rPr>
          <w:rFonts w:hint="cs"/>
          <w:rtl/>
        </w:rPr>
        <w:t>(</w:t>
      </w:r>
      <w:r w:rsidRPr="005675B2">
        <w:rPr>
          <w:rFonts w:hint="cs"/>
          <w:rtl/>
        </w:rPr>
        <w:t>الظاهر ما دل دلالة ظنية، والتأويل حمل الظاهر على المحتمل المرجوح، فإن حمل لدليل فصحيح، أو لما يظن دليلا ففاسد، أو لا لشيئ فلعب، لا تأويل</w:t>
      </w:r>
      <w:r w:rsidR="000636C2">
        <w:rPr>
          <w:rFonts w:hint="cs"/>
          <w:rtl/>
        </w:rPr>
        <w:t>)</w:t>
      </w:r>
      <w:r w:rsidRPr="005675B2">
        <w:rPr>
          <w:rFonts w:hint="cs"/>
          <w:rtl/>
        </w:rPr>
        <w:t xml:space="preserve"> وقال ابن تيمية</w:t>
      </w:r>
      <w:r w:rsidR="000636C2">
        <w:rPr>
          <w:rFonts w:hint="cs"/>
          <w:rtl/>
        </w:rPr>
        <w:t>:</w:t>
      </w:r>
      <w:r w:rsidRPr="005675B2">
        <w:rPr>
          <w:rFonts w:hint="cs"/>
          <w:rtl/>
        </w:rPr>
        <w:t xml:space="preserve"> </w:t>
      </w:r>
      <w:r w:rsidR="000636C2">
        <w:rPr>
          <w:rFonts w:hint="cs"/>
          <w:rtl/>
        </w:rPr>
        <w:t>(</w:t>
      </w:r>
      <w:r w:rsidRPr="005675B2">
        <w:rPr>
          <w:rFonts w:hint="cs"/>
          <w:rtl/>
        </w:rPr>
        <w:t>وأما التأويل المذموم والباطل فهو تأويل أهل التحريف والبدع الذين يتأولونه على غير تأويله ويدعون صرف اللفظ عن مدلوله إلى غير مدلوله بغير دليل يوجب ذلك</w:t>
      </w:r>
      <w:r w:rsidR="000636C2">
        <w:rPr>
          <w:rFonts w:hint="cs"/>
          <w:rtl/>
        </w:rPr>
        <w:t>)</w:t>
      </w:r>
      <w:r w:rsidRPr="005675B2">
        <w:rPr>
          <w:rFonts w:hint="cs"/>
          <w:rtl/>
        </w:rPr>
        <w:t xml:space="preserve"> </w:t>
      </w:r>
      <w:r w:rsidR="000636C2">
        <w:rPr>
          <w:rFonts w:hint="cs"/>
          <w:rtl/>
        </w:rPr>
        <w:t>[</w:t>
      </w:r>
      <w:r w:rsidRPr="005675B2">
        <w:rPr>
          <w:rFonts w:hint="cs"/>
          <w:sz w:val="24"/>
          <w:szCs w:val="24"/>
          <w:rtl/>
        </w:rPr>
        <w:t>الرسالة التدمرية 71]</w:t>
      </w:r>
      <w:r w:rsidRPr="005675B2">
        <w:rPr>
          <w:rFonts w:hint="cs"/>
          <w:rtl/>
        </w:rPr>
        <w:t xml:space="preserve"> فانظر إلى قوله</w:t>
      </w:r>
      <w:r w:rsidR="000636C2">
        <w:rPr>
          <w:rFonts w:hint="cs"/>
          <w:rtl/>
        </w:rPr>
        <w:t>:</w:t>
      </w:r>
      <w:r w:rsidRPr="005675B2">
        <w:rPr>
          <w:rFonts w:hint="cs"/>
          <w:rtl/>
        </w:rPr>
        <w:t xml:space="preserve"> </w:t>
      </w:r>
      <w:r w:rsidR="000636C2">
        <w:rPr>
          <w:rFonts w:hint="cs"/>
          <w:rtl/>
        </w:rPr>
        <w:t>(</w:t>
      </w:r>
      <w:r w:rsidRPr="005675B2">
        <w:rPr>
          <w:rFonts w:hint="cs"/>
          <w:rtl/>
        </w:rPr>
        <w:t>بغير دليل يوجب ذلك</w:t>
      </w:r>
      <w:r w:rsidR="000636C2">
        <w:rPr>
          <w:rFonts w:hint="cs"/>
          <w:rtl/>
        </w:rPr>
        <w:t xml:space="preserve">)، </w:t>
      </w:r>
      <w:r w:rsidRPr="005675B2">
        <w:rPr>
          <w:rFonts w:hint="cs"/>
          <w:rtl/>
        </w:rPr>
        <w:t>قال الدكتور مكملاً</w:t>
      </w:r>
      <w:r w:rsidR="000636C2">
        <w:rPr>
          <w:rFonts w:hint="cs"/>
          <w:rtl/>
        </w:rPr>
        <w:t xml:space="preserve"> </w:t>
      </w:r>
      <w:r w:rsidRPr="005675B2">
        <w:rPr>
          <w:rFonts w:hint="cs"/>
          <w:rtl/>
        </w:rPr>
        <w:t>كلامه عن التأويل</w:t>
      </w:r>
      <w:r w:rsidR="000636C2">
        <w:rPr>
          <w:rFonts w:hint="cs"/>
          <w:rtl/>
        </w:rPr>
        <w:t>:</w:t>
      </w:r>
      <w:r w:rsidRPr="005675B2">
        <w:rPr>
          <w:rFonts w:hint="cs"/>
          <w:rtl/>
        </w:rPr>
        <w:t xml:space="preserve"> " وهو أصلٌ منهجيٌّ من أصول الأشاعرةِ وليسَ هو خاصاً بمبحثِ الصفاتِ، بل يشملُ أكثرَ نصوصِ الإيمان خاصةً ما يتعلَّقُ بإثبات زيادتِهِ ونقصانِهِ وتسميةِ بعضِ شُعبِهِ إيماناً ونحوِها، وكذا بعضَ نصوصِ الوَعْدِ والوعيدِ وقصصِ الأنبياءِ خصوصاً موضوعَ العصمة، وبعض الأوامرِ التكليفيَّةِ أيضاً</w:t>
      </w:r>
      <w:r w:rsidR="000636C2">
        <w:rPr>
          <w:rFonts w:hint="cs"/>
          <w:rtl/>
        </w:rPr>
        <w:t>،</w:t>
      </w:r>
      <w:r w:rsidRPr="005675B2">
        <w:rPr>
          <w:rFonts w:hint="cs"/>
          <w:rtl/>
        </w:rPr>
        <w:t xml:space="preserve"> وضرورته لمنهج عقيدتهم أصلها أنَّه لما تعارضت عندَهم الأصولُ العقليةُ التي قرروها بعيداً عن الشرع مع النصوص الشرعيةِ، وقعوا في مأزقِ ردِّ الكلِّ أو أخذِ الكلِّ، فوجدوا في التأويل مهرباً عقلياً ومخرجاً من التعارض الذي اختلقتْهُ أوهامُهم، ولهذا قالوا أنَّنا مضطرون للتأويل، وإلاّ أوقعنا القرآن في التناقض، وإنَّ الخلفَ لم يؤولوا عن هوىً ومكابرةٍ وإنما عن حاجةٍ واضطرار فأي تناقضٍ في كتاب اللهِ يا مسلمون نضطرُّ معه إلى ردِّ بعضِهِ أو الاعترافِ للأعداءِ بتناقضه</w:t>
      </w:r>
      <w:r w:rsidR="000636C2">
        <w:rPr>
          <w:rFonts w:hint="cs"/>
          <w:rtl/>
        </w:rPr>
        <w:t>،</w:t>
      </w:r>
      <w:r w:rsidRPr="005675B2">
        <w:rPr>
          <w:rFonts w:hint="cs"/>
          <w:rtl/>
        </w:rPr>
        <w:t xml:space="preserve"> وقد اعترف الصابونيُّ بأنَّ في مذهبِ الأشاعرةِ "تأويلاتٍ غريبةً"، فما المعيارُ الذي عَرَفَ به الغريبَ من غيرِ الغريب</w:t>
      </w:r>
      <w:r w:rsidR="000636C2">
        <w:rPr>
          <w:rFonts w:hint="cs"/>
          <w:rtl/>
        </w:rPr>
        <w:t xml:space="preserve">؟ </w:t>
      </w:r>
      <w:r w:rsidRPr="005675B2">
        <w:rPr>
          <w:rFonts w:hint="cs"/>
          <w:rtl/>
        </w:rPr>
        <w:t>وهنا لا بُدَّ من زيادة التأكيد على أنَّ مذهبَ السلف لا تأويلَ فيه لنصٍّ من النصوص الشرعيةِ إطلاقاً، ولا يوجدُ نصٌّ واحدٌ</w:t>
      </w:r>
      <w:r w:rsidR="000636C2">
        <w:rPr>
          <w:rFonts w:hint="cs"/>
          <w:rtl/>
        </w:rPr>
        <w:t xml:space="preserve"> </w:t>
      </w:r>
      <w:r w:rsidRPr="005675B2">
        <w:rPr>
          <w:rFonts w:hint="cs"/>
          <w:rtl/>
        </w:rPr>
        <w:t>- لا في الصفات ولا غيرها</w:t>
      </w:r>
      <w:r w:rsidR="000636C2">
        <w:rPr>
          <w:rFonts w:hint="cs"/>
          <w:rtl/>
        </w:rPr>
        <w:t xml:space="preserve"> </w:t>
      </w:r>
      <w:r w:rsidRPr="005675B2">
        <w:rPr>
          <w:rFonts w:hint="cs"/>
          <w:rtl/>
        </w:rPr>
        <w:t>- اضطُرَّ السلفُ إلى تأويلِهِ وللهِ الحمدُ</w:t>
      </w:r>
      <w:r w:rsidR="000636C2">
        <w:rPr>
          <w:rFonts w:hint="cs"/>
          <w:rtl/>
        </w:rPr>
        <w:t>،</w:t>
      </w:r>
      <w:r w:rsidRPr="005675B2">
        <w:rPr>
          <w:rFonts w:hint="cs"/>
          <w:rtl/>
        </w:rPr>
        <w:t xml:space="preserve"> وكلُّ الآيات والأحاديثِ التي ذكرها الصابونيُّ وغيرُه تحملُ في نفسِها ما يدلُّ على المعنى الصحيحِ الذي فهمه السلفُ منها والذي يدلُّ على تنزيه اللهِ تعالى دونَ أدنى حاجةٍ إلى التأويل</w:t>
      </w:r>
      <w:r w:rsidR="000636C2">
        <w:rPr>
          <w:rFonts w:hint="cs"/>
          <w:rtl/>
        </w:rPr>
        <w:t>،</w:t>
      </w:r>
      <w:r w:rsidRPr="005675B2">
        <w:rPr>
          <w:rFonts w:hint="cs"/>
          <w:rtl/>
        </w:rPr>
        <w:t xml:space="preserve"> ثم قال الدكتور29 - 30</w:t>
      </w:r>
      <w:r w:rsidR="000636C2">
        <w:rPr>
          <w:rFonts w:hint="cs"/>
          <w:rtl/>
        </w:rPr>
        <w:t xml:space="preserve">: </w:t>
      </w:r>
      <w:r w:rsidRPr="005675B2">
        <w:rPr>
          <w:rFonts w:hint="cs"/>
          <w:rtl/>
        </w:rPr>
        <w:t>أما التأويلُ في كلامِ السلفِ فله معنيان</w:t>
      </w:r>
      <w:r w:rsidR="000636C2">
        <w:rPr>
          <w:rFonts w:hint="cs"/>
          <w:rtl/>
        </w:rPr>
        <w:t xml:space="preserve">: </w:t>
      </w:r>
      <w:r w:rsidRPr="005675B2">
        <w:rPr>
          <w:rFonts w:hint="cs"/>
          <w:rtl/>
        </w:rPr>
        <w:t>1 - التفسيرُ كما تجدُ في تفسيرِ الطبريِّ ونحوه</w:t>
      </w:r>
      <w:r w:rsidR="000636C2">
        <w:rPr>
          <w:rFonts w:hint="cs"/>
          <w:rtl/>
        </w:rPr>
        <w:t>:</w:t>
      </w:r>
      <w:r w:rsidRPr="005675B2">
        <w:rPr>
          <w:rFonts w:hint="cs"/>
          <w:rtl/>
        </w:rPr>
        <w:t xml:space="preserve"> "القولُ في تأويل هذه الآية" أي</w:t>
      </w:r>
      <w:r w:rsidR="000636C2">
        <w:rPr>
          <w:rFonts w:hint="cs"/>
          <w:rtl/>
        </w:rPr>
        <w:t>:</w:t>
      </w:r>
      <w:r w:rsidRPr="005675B2">
        <w:rPr>
          <w:rFonts w:hint="cs"/>
          <w:rtl/>
        </w:rPr>
        <w:t xml:space="preserve"> تفسيرِها</w:t>
      </w:r>
      <w:r w:rsidR="000636C2">
        <w:rPr>
          <w:rFonts w:hint="cs"/>
          <w:rtl/>
        </w:rPr>
        <w:t xml:space="preserve">، </w:t>
      </w:r>
      <w:r w:rsidRPr="005675B2">
        <w:rPr>
          <w:rFonts w:hint="cs"/>
          <w:rtl/>
        </w:rPr>
        <w:t>2 - الحقيقةُ التي يصيرُ إليها الشيء، كما في قوله تعالى</w:t>
      </w:r>
      <w:r w:rsidR="000636C2">
        <w:rPr>
          <w:rFonts w:hint="cs"/>
          <w:rtl/>
        </w:rPr>
        <w:t>:</w:t>
      </w:r>
      <w:r w:rsidRPr="005675B2">
        <w:rPr>
          <w:rFonts w:hint="cs"/>
          <w:rtl/>
        </w:rPr>
        <w:t xml:space="preserve"> "هذا تأويلُ رؤياي من قَبْل" أي</w:t>
      </w:r>
      <w:r w:rsidR="000636C2">
        <w:rPr>
          <w:rFonts w:hint="cs"/>
          <w:rtl/>
        </w:rPr>
        <w:t>:</w:t>
      </w:r>
      <w:r w:rsidRPr="005675B2">
        <w:rPr>
          <w:rFonts w:hint="cs"/>
          <w:rtl/>
        </w:rPr>
        <w:t xml:space="preserve"> تحقيقها</w:t>
      </w:r>
      <w:r w:rsidR="000636C2">
        <w:rPr>
          <w:rFonts w:hint="cs"/>
          <w:rtl/>
        </w:rPr>
        <w:t>،</w:t>
      </w:r>
      <w:r w:rsidRPr="005675B2">
        <w:rPr>
          <w:rFonts w:hint="cs"/>
          <w:rtl/>
        </w:rPr>
        <w:t xml:space="preserve"> وقوله</w:t>
      </w:r>
      <w:r w:rsidR="000636C2">
        <w:rPr>
          <w:rFonts w:hint="cs"/>
          <w:rtl/>
        </w:rPr>
        <w:t>:</w:t>
      </w:r>
      <w:r w:rsidRPr="005675B2">
        <w:rPr>
          <w:rFonts w:hint="cs"/>
          <w:rtl/>
        </w:rPr>
        <w:t xml:space="preserve"> "يوم يأتي تأويله" أي</w:t>
      </w:r>
      <w:r w:rsidR="000636C2">
        <w:rPr>
          <w:rFonts w:hint="cs"/>
          <w:rtl/>
        </w:rPr>
        <w:t>:</w:t>
      </w:r>
      <w:r w:rsidRPr="005675B2">
        <w:rPr>
          <w:rFonts w:hint="cs"/>
          <w:rtl/>
        </w:rPr>
        <w:t xml:space="preserve"> تحقيقه ووقوعُه</w:t>
      </w:r>
      <w:r w:rsidR="000636C2">
        <w:rPr>
          <w:rFonts w:hint="cs"/>
          <w:rtl/>
        </w:rPr>
        <w:t>،</w:t>
      </w:r>
      <w:r w:rsidRPr="005675B2">
        <w:rPr>
          <w:rFonts w:hint="cs"/>
          <w:rtl/>
        </w:rPr>
        <w:t xml:space="preserve"> أما التَّأوُّلُ فله مفهومٌ آخر</w:t>
      </w:r>
      <w:r w:rsidR="000636C2">
        <w:rPr>
          <w:rFonts w:hint="cs"/>
          <w:rtl/>
        </w:rPr>
        <w:t>:</w:t>
      </w:r>
      <w:r w:rsidRPr="005675B2">
        <w:rPr>
          <w:rFonts w:hint="cs"/>
          <w:rtl/>
        </w:rPr>
        <w:t xml:space="preserve"> راجع الحاشية</w:t>
      </w:r>
      <w:r w:rsidR="000636C2">
        <w:rPr>
          <w:rFonts w:hint="cs"/>
          <w:rtl/>
        </w:rPr>
        <w:t xml:space="preserve">، </w:t>
      </w:r>
      <w:r w:rsidRPr="005675B2">
        <w:rPr>
          <w:rFonts w:hint="cs"/>
          <w:rtl/>
        </w:rPr>
        <w:t>وإن تعجب فأعجبُ لهذه اللفظة النابية التي يستعملها الأشاعرة مع النصوص، وهي أنها "توهمُ" التشبيه</w:t>
      </w:r>
      <w:r w:rsidR="000636C2">
        <w:rPr>
          <w:rFonts w:hint="cs"/>
          <w:rtl/>
        </w:rPr>
        <w:t>:</w:t>
      </w:r>
      <w:r w:rsidRPr="005675B2">
        <w:rPr>
          <w:rFonts w:hint="cs"/>
          <w:rtl/>
        </w:rPr>
        <w:t xml:space="preserve"> ولهذا وجب تأويلُها</w:t>
      </w:r>
      <w:r w:rsidR="000636C2">
        <w:rPr>
          <w:rFonts w:hint="cs"/>
          <w:rtl/>
        </w:rPr>
        <w:t>،</w:t>
      </w:r>
      <w:r w:rsidRPr="005675B2">
        <w:rPr>
          <w:rFonts w:hint="cs"/>
          <w:rtl/>
        </w:rPr>
        <w:t xml:space="preserve"> فهل في كتاب الله إيهامٌ أم أنَّ العقولَ الكاسدةَ تتوهم، والعقيدةُ ليستْ مجالَ توهُّم</w:t>
      </w:r>
      <w:r w:rsidR="000636C2">
        <w:rPr>
          <w:rFonts w:hint="cs"/>
          <w:rtl/>
        </w:rPr>
        <w:t>،</w:t>
      </w:r>
      <w:r w:rsidRPr="005675B2">
        <w:rPr>
          <w:rFonts w:hint="cs"/>
          <w:rtl/>
        </w:rPr>
        <w:t xml:space="preserve"> فالعيبُ ليسَ في ظواهر النصوص</w:t>
      </w:r>
      <w:r w:rsidR="000636C2">
        <w:rPr>
          <w:rFonts w:hint="cs"/>
          <w:rtl/>
        </w:rPr>
        <w:t xml:space="preserve"> </w:t>
      </w:r>
      <w:r w:rsidRPr="005675B2">
        <w:rPr>
          <w:rFonts w:hint="cs"/>
          <w:rtl/>
        </w:rPr>
        <w:t>- عياذاً بالله</w:t>
      </w:r>
      <w:r w:rsidR="000636C2">
        <w:rPr>
          <w:rFonts w:hint="cs"/>
          <w:rtl/>
        </w:rPr>
        <w:t xml:space="preserve"> </w:t>
      </w:r>
      <w:r w:rsidRPr="005675B2">
        <w:rPr>
          <w:rFonts w:hint="cs"/>
          <w:rtl/>
        </w:rPr>
        <w:t>- ولكنه في الأفهامِ، بل الأوهامِ السقيمة</w:t>
      </w:r>
      <w:r w:rsidR="000636C2">
        <w:rPr>
          <w:rFonts w:hint="cs"/>
          <w:rtl/>
        </w:rPr>
        <w:t>،</w:t>
      </w:r>
      <w:r w:rsidRPr="005675B2">
        <w:rPr>
          <w:rFonts w:hint="cs"/>
          <w:rtl/>
        </w:rPr>
        <w:t xml:space="preserve"> أما دعوى أنَّ الإمامَ أحمدَ استثنى ثلاثةَ أحاديث وقال</w:t>
      </w:r>
      <w:r w:rsidR="000636C2">
        <w:rPr>
          <w:rFonts w:hint="cs"/>
          <w:rtl/>
        </w:rPr>
        <w:t>:</w:t>
      </w:r>
      <w:r w:rsidRPr="005675B2">
        <w:rPr>
          <w:rFonts w:hint="cs"/>
          <w:rtl/>
        </w:rPr>
        <w:t xml:space="preserve"> لا بُدَّ مِنْ تأويلها فهي فِرْيةٌ عليه افتراها الغزاليُّ في "الإحياءِ وفَيْصلِ التفرقة" ونفاها شيخُ الإسلام سنداً ومتناً</w:t>
      </w:r>
      <w:r w:rsidR="000636C2">
        <w:rPr>
          <w:rFonts w:hint="cs"/>
          <w:rtl/>
        </w:rPr>
        <w:t>،</w:t>
      </w:r>
      <w:r w:rsidRPr="005675B2">
        <w:rPr>
          <w:rFonts w:hint="cs"/>
          <w:rtl/>
        </w:rPr>
        <w:t xml:space="preserve"> وحسبُ الأشاعرة في بابِ التأويل ما فتحوه على الإسلام من شرورٍ بسببه، فإنهم لما أولوا ما أوَّلوا تبعتهُمُ الباطنيةُ واحتجّت عليهم في تأويل الحلالِ والحرامِ والصلاةِ والصومِ والحجِّ والحشرِ والحسابِ، وما من حُجةٍ يحتجُّ بها الأشاعرةُ عليهم في الأحكامِ والآخرة إلا احتجَّ الباطنيةُ عليهم بمثلها أو أقوى منها مِنْ واقعِ تأويلهم للصفات</w:t>
      </w:r>
      <w:r w:rsidR="000636C2">
        <w:rPr>
          <w:rFonts w:hint="cs"/>
          <w:rtl/>
        </w:rPr>
        <w:t>،</w:t>
      </w:r>
      <w:r w:rsidRPr="005675B2">
        <w:rPr>
          <w:rFonts w:hint="cs"/>
          <w:rtl/>
        </w:rPr>
        <w:t xml:space="preserve"> وإلا فلماذا يكونُ تأويلُ الأشاعرة لعلوِّ الله</w:t>
      </w:r>
      <w:r w:rsidR="000636C2">
        <w:rPr>
          <w:rFonts w:hint="cs"/>
          <w:rtl/>
        </w:rPr>
        <w:t xml:space="preserve"> </w:t>
      </w:r>
      <w:r w:rsidRPr="005675B2">
        <w:rPr>
          <w:rFonts w:hint="cs"/>
          <w:rtl/>
        </w:rPr>
        <w:t>- الذي تقطعُ به العقولُ والفطرُ والشرائعُ</w:t>
      </w:r>
      <w:r w:rsidR="000636C2">
        <w:rPr>
          <w:rFonts w:hint="cs"/>
          <w:rtl/>
        </w:rPr>
        <w:t xml:space="preserve"> </w:t>
      </w:r>
      <w:r w:rsidRPr="005675B2">
        <w:rPr>
          <w:rFonts w:hint="cs"/>
          <w:rtl/>
        </w:rPr>
        <w:t>- تنزيهاً وتوحيداً، وتأويلُ الباطنية للبعثِ والحشرِ كفراً وردَّةً</w:t>
      </w:r>
      <w:r w:rsidR="000636C2">
        <w:rPr>
          <w:rFonts w:hint="cs"/>
          <w:rtl/>
        </w:rPr>
        <w:t xml:space="preserve">؟ </w:t>
      </w:r>
      <w:r w:rsidRPr="005675B2">
        <w:rPr>
          <w:rFonts w:hint="cs"/>
          <w:rtl/>
        </w:rPr>
        <w:t>أليسَ كلٌّ منهما ردّاً لظواهر النصوصِ مع أنَّ نصوصَ العلوِّ أكثرُ وأشهرُ من نصوص الحشرِ الجسماني</w:t>
      </w:r>
      <w:r w:rsidR="000636C2">
        <w:rPr>
          <w:rFonts w:hint="cs"/>
          <w:rtl/>
        </w:rPr>
        <w:t>؟</w:t>
      </w:r>
      <w:r w:rsidRPr="005675B2">
        <w:rPr>
          <w:rFonts w:hint="cs"/>
          <w:rtl/>
        </w:rPr>
        <w:t xml:space="preserve"> ولماذا يكفِّرُ الأشاعرةُ الباطنيةَ ثمَّ يشاركونهم في أصلٍ من أعظم أصولهم</w:t>
      </w:r>
      <w:r w:rsidR="000636C2">
        <w:rPr>
          <w:rFonts w:hint="cs"/>
          <w:rtl/>
        </w:rPr>
        <w:t>؟</w:t>
      </w:r>
      <w:r w:rsidRPr="005675B2">
        <w:rPr>
          <w:rFonts w:hint="cs"/>
          <w:rtl/>
        </w:rPr>
        <w:t xml:space="preserve"> "</w:t>
      </w:r>
      <w:r w:rsidR="000636C2">
        <w:rPr>
          <w:rFonts w:hint="cs"/>
          <w:rtl/>
        </w:rPr>
        <w:t>،</w:t>
      </w:r>
    </w:p>
    <w:p w14:paraId="1DAE2500" w14:textId="361A9A03" w:rsidR="009C32A0" w:rsidRPr="005675B2" w:rsidRDefault="009C32A0" w:rsidP="000636C2">
      <w:pPr>
        <w:rPr>
          <w:b/>
          <w:rtl/>
        </w:rPr>
      </w:pPr>
      <w:r w:rsidRPr="005675B2">
        <w:rPr>
          <w:rFonts w:hint="cs"/>
          <w:rtl/>
        </w:rPr>
        <w:t>61 - أقول</w:t>
      </w:r>
      <w:r w:rsidR="000636C2">
        <w:rPr>
          <w:rFonts w:hint="cs"/>
          <w:rtl/>
        </w:rPr>
        <w:t>:</w:t>
      </w:r>
      <w:r w:rsidRPr="005675B2">
        <w:rPr>
          <w:rFonts w:hint="cs"/>
          <w:rtl/>
        </w:rPr>
        <w:t xml:space="preserve"> قد كتبنا رسالة متعلقة بالصفات سميناها "متشابه الصفات بين التأويل والإثبات" فنوردها هنا أولا، ثم نعود إلى كلام الدكتور، ونبين ما حواه من أخطاء</w:t>
      </w:r>
      <w:r w:rsidR="000636C2">
        <w:rPr>
          <w:rFonts w:hint="cs"/>
          <w:rtl/>
        </w:rPr>
        <w:t>،</w:t>
      </w:r>
      <w:r w:rsidRPr="005675B2">
        <w:rPr>
          <w:rFonts w:hint="cs"/>
          <w:rtl/>
        </w:rPr>
        <w:t xml:space="preserve"> وهذا نص الرسالة</w:t>
      </w:r>
      <w:r w:rsidR="000636C2">
        <w:rPr>
          <w:rFonts w:hint="cs"/>
          <w:rtl/>
        </w:rPr>
        <w:t>:</w:t>
      </w:r>
      <w:r w:rsidRPr="005675B2">
        <w:rPr>
          <w:rFonts w:hint="cs"/>
          <w:rtl/>
        </w:rPr>
        <w:t xml:space="preserve"> بسم الله الرحمن الرحيم</w:t>
      </w:r>
      <w:r w:rsidR="000636C2">
        <w:rPr>
          <w:rFonts w:hint="cs"/>
          <w:rtl/>
        </w:rPr>
        <w:t xml:space="preserve">، </w:t>
      </w:r>
      <w:r w:rsidRPr="005675B2">
        <w:rPr>
          <w:rFonts w:hint="cs"/>
          <w:rtl/>
        </w:rPr>
        <w:t>الحمد لله والصلاة والسلام على رسول الله، وعلى آله وصحبه ومن اهتدى بهداه</w:t>
      </w:r>
      <w:r w:rsidR="000636C2">
        <w:rPr>
          <w:rFonts w:hint="cs"/>
          <w:rtl/>
        </w:rPr>
        <w:t xml:space="preserve">، </w:t>
      </w:r>
      <w:r w:rsidRPr="005675B2">
        <w:rPr>
          <w:rFonts w:hint="cs"/>
          <w:rtl/>
        </w:rPr>
        <w:t>أما بعد</w:t>
      </w:r>
      <w:r w:rsidR="000636C2">
        <w:rPr>
          <w:rFonts w:hint="cs"/>
          <w:rtl/>
        </w:rPr>
        <w:t>:</w:t>
      </w:r>
      <w:r w:rsidRPr="005675B2">
        <w:rPr>
          <w:rFonts w:hint="cs"/>
          <w:rtl/>
        </w:rPr>
        <w:t xml:space="preserve"> فنريد أن نحقق في هذا البحث مسألة صفات الله المتشابهة الواردة في الكتاب والسنة، وقبل الدخول في المسألة لابد أن نقرر أمورا</w:t>
      </w:r>
      <w:r w:rsidR="000636C2">
        <w:rPr>
          <w:rFonts w:hint="cs"/>
          <w:rtl/>
        </w:rPr>
        <w:t>: (</w:t>
      </w:r>
      <w:r w:rsidRPr="005675B2">
        <w:rPr>
          <w:rFonts w:hint="cs"/>
          <w:rtl/>
        </w:rPr>
        <w:t>الأول</w:t>
      </w:r>
      <w:r w:rsidR="000636C2">
        <w:rPr>
          <w:rFonts w:hint="cs"/>
          <w:rtl/>
        </w:rPr>
        <w:t>):</w:t>
      </w:r>
      <w:r w:rsidRPr="005675B2">
        <w:rPr>
          <w:rFonts w:hint="cs"/>
          <w:rtl/>
        </w:rPr>
        <w:t xml:space="preserve"> أنَّ النصوص الشرعية إذا كان ظاهرها مخالفا لصرائح العقول ومقرراتها وجب أن يحكم أن ظاهرها غير مراد</w:t>
      </w:r>
      <w:r w:rsidR="000636C2">
        <w:rPr>
          <w:rFonts w:hint="cs"/>
          <w:rtl/>
        </w:rPr>
        <w:t>، (</w:t>
      </w:r>
      <w:r w:rsidRPr="005675B2">
        <w:rPr>
          <w:rFonts w:hint="cs"/>
          <w:rtl/>
        </w:rPr>
        <w:t>الثاني</w:t>
      </w:r>
      <w:r w:rsidR="000636C2">
        <w:rPr>
          <w:rFonts w:hint="cs"/>
          <w:rtl/>
        </w:rPr>
        <w:t>):</w:t>
      </w:r>
      <w:r w:rsidRPr="005675B2">
        <w:rPr>
          <w:rFonts w:hint="cs"/>
          <w:rtl/>
        </w:rPr>
        <w:t xml:space="preserve"> أن النصوص الشرعية منها ما هو محكم ومنها ما هو متشابه كما قال الله تعالى</w:t>
      </w:r>
      <w:r w:rsidR="000636C2">
        <w:rPr>
          <w:rFonts w:hint="cs"/>
          <w:rtl/>
        </w:rPr>
        <w:t>:</w:t>
      </w:r>
      <w:r w:rsidRPr="005675B2">
        <w:rPr>
          <w:rFonts w:hint="cs"/>
          <w:rtl/>
        </w:rPr>
        <w:t xml:space="preserve"> </w:t>
      </w:r>
      <w:r w:rsidR="000636C2">
        <w:rPr>
          <w:rFonts w:hint="cs"/>
          <w:rtl/>
        </w:rPr>
        <w:t>(</w:t>
      </w:r>
      <w:r w:rsidRPr="005675B2">
        <w:rPr>
          <w:rFonts w:hint="cs"/>
          <w:rtl/>
        </w:rPr>
        <w:t>هو الذي أنزل الكتاب منه آيات محكمات هن أم الكتاب وأخر متشابهات والنصوص المحكمات هي الأصول الثوابت للإسلام، وأما المتشابهات فترد إلى المحكمات ويحكم بأن ظاهرها غير مراد</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أن الكتاب والسنة قد وردا على أساليب اللغة العربية، واللغة العربية كسائر اللغات قد وردت على ثلاثة أنواع من الأساليب</w:t>
      </w:r>
      <w:r w:rsidR="000636C2">
        <w:rPr>
          <w:rFonts w:hint="cs"/>
          <w:rtl/>
        </w:rPr>
        <w:t>:</w:t>
      </w:r>
      <w:r w:rsidRPr="005675B2">
        <w:rPr>
          <w:rFonts w:hint="cs"/>
          <w:rtl/>
        </w:rPr>
        <w:t xml:space="preserve"> أسلوب الحقيقة، وأسلوب المجاز، وأسلوب الكناية، وذلك لأن كل كلمة من كلمات اللغة العربية قد وضعت لمعنى معين، وكذلك كل مركب منها، وهذه الكلمات والمركبات قد تستعمل في المعنى الذي وضعت له، وقد لا تستعمل فيه، بل تستعمل في معنى يناسب المعنى الذي وضعت له بإحدى المناسبات، وذلك كالأسد قد يستعمل في المعني الذي وضع له وهو الحيوان المفترس المعروف، وقد يستعمل في الرجل الشجاع لمناسبته للحيوان المفترس في الشجاعة، ولمشابهته له فيها</w:t>
      </w:r>
      <w:r w:rsidR="000636C2">
        <w:rPr>
          <w:rFonts w:hint="cs"/>
          <w:rtl/>
        </w:rPr>
        <w:t>،</w:t>
      </w:r>
      <w:r w:rsidRPr="005675B2">
        <w:rPr>
          <w:rFonts w:hint="cs"/>
          <w:rtl/>
        </w:rPr>
        <w:t xml:space="preserve"> وهذا ما لا ينبغي أن يختلف فيه أحد من العقلاء</w:t>
      </w:r>
      <w:r w:rsidR="000636C2">
        <w:rPr>
          <w:rFonts w:hint="cs"/>
          <w:rtl/>
        </w:rPr>
        <w:t>،</w:t>
      </w:r>
      <w:r w:rsidRPr="005675B2">
        <w:rPr>
          <w:rFonts w:hint="cs"/>
          <w:rtl/>
        </w:rPr>
        <w:t xml:space="preserve"> فإذا استعمل اللفظ في المعني الذي وضع له سمى في اصطلاح علماء البلاغة بالحقيقة، وإذا استعمل في غير ما وضع له لإحدى المناسبات مع قرينة تدل علي هذا الاستعمال سمي مجازا أو كناية</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الكلام على التأويل وبيان معناه، وننقل هنا كلاما لابن القيم وتعليق تقي الدين السبكي عليه</w:t>
      </w:r>
      <w:r w:rsidR="000636C2">
        <w:rPr>
          <w:rFonts w:hint="cs"/>
          <w:rtl/>
        </w:rPr>
        <w:t>،</w:t>
      </w:r>
      <w:r w:rsidRPr="005675B2">
        <w:rPr>
          <w:rFonts w:hint="cs"/>
          <w:rtl/>
        </w:rPr>
        <w:t xml:space="preserve"> قال ابن القيم في النونية</w:t>
      </w:r>
      <w:r w:rsidR="000636C2">
        <w:rPr>
          <w:rFonts w:hint="cs"/>
          <w:rtl/>
        </w:rPr>
        <w:t>:</w:t>
      </w:r>
      <w:r w:rsidRPr="005675B2">
        <w:rPr>
          <w:rFonts w:hint="cs"/>
          <w:rtl/>
        </w:rPr>
        <w:t xml:space="preserve"> التأويل الصحيح هو تفسيره وظهور معناه كقول عائشة</w:t>
      </w:r>
      <w:r w:rsidR="000636C2">
        <w:rPr>
          <w:rFonts w:hint="cs"/>
          <w:rtl/>
        </w:rPr>
        <w:t>:</w:t>
      </w:r>
      <w:r w:rsidRPr="005675B2">
        <w:rPr>
          <w:rFonts w:hint="cs"/>
          <w:rtl/>
        </w:rPr>
        <w:t xml:space="preserve"> يتأول القران</w:t>
      </w:r>
      <w:r w:rsidR="000636C2">
        <w:rPr>
          <w:rFonts w:hint="cs"/>
          <w:rtl/>
        </w:rPr>
        <w:t>،</w:t>
      </w:r>
      <w:r w:rsidRPr="005675B2">
        <w:rPr>
          <w:rFonts w:hint="cs"/>
          <w:rtl/>
        </w:rPr>
        <w:t xml:space="preserve"> وحقيقة التأويل معناه الرجوع إلي الحقيقة</w:t>
      </w:r>
      <w:r w:rsidR="000636C2">
        <w:rPr>
          <w:rFonts w:hint="cs"/>
          <w:rtl/>
        </w:rPr>
        <w:t>،</w:t>
      </w:r>
      <w:r w:rsidRPr="005675B2">
        <w:rPr>
          <w:rFonts w:hint="cs"/>
          <w:rtl/>
        </w:rPr>
        <w:t xml:space="preserve"> لا خلف بين أئمة التفسير في هذا</w:t>
      </w:r>
      <w:r w:rsidR="000636C2">
        <w:rPr>
          <w:rFonts w:hint="cs"/>
          <w:rtl/>
        </w:rPr>
        <w:t>،</w:t>
      </w:r>
      <w:r w:rsidRPr="005675B2">
        <w:rPr>
          <w:rFonts w:hint="cs"/>
          <w:rtl/>
        </w:rPr>
        <w:t xml:space="preserve"> تأويله عندهم تأويله بالظاهر</w:t>
      </w:r>
      <w:r w:rsidR="000636C2">
        <w:rPr>
          <w:rFonts w:hint="cs"/>
          <w:rtl/>
        </w:rPr>
        <w:t>،</w:t>
      </w:r>
      <w:r w:rsidRPr="005675B2">
        <w:rPr>
          <w:rFonts w:hint="cs"/>
          <w:rtl/>
        </w:rPr>
        <w:t xml:space="preserve"> ما قال منهم شخص واحد</w:t>
      </w:r>
      <w:r w:rsidR="000636C2">
        <w:rPr>
          <w:rFonts w:hint="cs"/>
          <w:rtl/>
        </w:rPr>
        <w:t>:</w:t>
      </w:r>
      <w:r w:rsidRPr="005675B2">
        <w:rPr>
          <w:rFonts w:hint="cs"/>
          <w:rtl/>
        </w:rPr>
        <w:t xml:space="preserve"> تأويله صرفه عن الرجحان</w:t>
      </w:r>
      <w:r w:rsidR="000636C2">
        <w:rPr>
          <w:rFonts w:hint="cs"/>
          <w:rtl/>
        </w:rPr>
        <w:t>،</w:t>
      </w:r>
      <w:r w:rsidRPr="005675B2">
        <w:rPr>
          <w:rFonts w:hint="cs"/>
          <w:rtl/>
        </w:rPr>
        <w:t xml:space="preserve"> قال تقي الدين السبكي تعليقا علي هذا الكلام</w:t>
      </w:r>
      <w:r w:rsidR="000636C2">
        <w:rPr>
          <w:rFonts w:hint="cs"/>
          <w:rtl/>
        </w:rPr>
        <w:t>:</w:t>
      </w:r>
      <w:r w:rsidRPr="005675B2">
        <w:rPr>
          <w:rFonts w:hint="cs"/>
          <w:rtl/>
        </w:rPr>
        <w:t xml:space="preserve"> قال الله تعالي في المتشابه</w:t>
      </w:r>
      <w:r w:rsidR="000636C2">
        <w:rPr>
          <w:rFonts w:hint="cs"/>
          <w:rtl/>
        </w:rPr>
        <w:t>:</w:t>
      </w:r>
      <w:r w:rsidRPr="005675B2">
        <w:rPr>
          <w:rFonts w:hint="cs"/>
          <w:rtl/>
        </w:rPr>
        <w:t xml:space="preserve"> </w:t>
      </w:r>
      <w:r w:rsidR="000636C2">
        <w:rPr>
          <w:rFonts w:hint="cs"/>
          <w:rtl/>
        </w:rPr>
        <w:t>(</w:t>
      </w:r>
      <w:r w:rsidRPr="005675B2">
        <w:rPr>
          <w:rFonts w:hint="cs"/>
          <w:rtl/>
        </w:rPr>
        <w:t>وما يعلم تأويله الا الله</w:t>
      </w:r>
      <w:r w:rsidR="000636C2">
        <w:rPr>
          <w:rFonts w:hint="cs"/>
          <w:rtl/>
        </w:rPr>
        <w:t>)</w:t>
      </w:r>
      <w:r w:rsidRPr="005675B2">
        <w:rPr>
          <w:rFonts w:hint="cs"/>
          <w:rtl/>
        </w:rPr>
        <w:t xml:space="preserve"> فكيف يكون تأويله بالظاهر، والمتشابه لا ظاهر له</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ما قال منهم أحد إن التأويل صرف عن الرجحان</w:t>
      </w:r>
      <w:r w:rsidR="000636C2">
        <w:rPr>
          <w:rFonts w:hint="cs"/>
          <w:rtl/>
        </w:rPr>
        <w:t>)</w:t>
      </w:r>
      <w:r w:rsidRPr="005675B2">
        <w:rPr>
          <w:rFonts w:hint="cs"/>
          <w:rtl/>
        </w:rPr>
        <w:t xml:space="preserve"> كذب، بل خَلْقٌ قالوا به</w:t>
      </w:r>
      <w:r w:rsidR="000636C2">
        <w:rPr>
          <w:rFonts w:hint="cs"/>
          <w:rtl/>
        </w:rPr>
        <w:t>،</w:t>
      </w:r>
      <w:r w:rsidRPr="005675B2">
        <w:rPr>
          <w:rFonts w:hint="cs"/>
          <w:rtl/>
        </w:rPr>
        <w:t xml:space="preserve"> ويطلق التأويل أيضا علي تدبر القرآن وتفهم معناه</w:t>
      </w:r>
      <w:r w:rsidR="000636C2">
        <w:rPr>
          <w:rFonts w:hint="cs"/>
          <w:rtl/>
        </w:rPr>
        <w:t>،</w:t>
      </w:r>
      <w:r w:rsidRPr="005675B2">
        <w:rPr>
          <w:rFonts w:hint="cs"/>
          <w:rtl/>
        </w:rPr>
        <w:t xml:space="preserve"> [</w:t>
      </w:r>
      <w:r w:rsidRPr="005675B2">
        <w:rPr>
          <w:rFonts w:hint="cs"/>
          <w:sz w:val="24"/>
          <w:szCs w:val="24"/>
          <w:rtl/>
        </w:rPr>
        <w:t>السيف الصقيل 158]</w:t>
      </w:r>
      <w:r w:rsidR="000636C2">
        <w:rPr>
          <w:rFonts w:hint="cs"/>
          <w:rtl/>
        </w:rPr>
        <w:t>،</w:t>
      </w:r>
      <w:r w:rsidRPr="005675B2">
        <w:rPr>
          <w:rFonts w:hint="cs"/>
          <w:rtl/>
        </w:rPr>
        <w:t xml:space="preserve"> يقصد الإمام تقي الدين السبكي أن حمل التأويل على معنى التفسير بالظاهر في باب المتشابهات غير صحيح، وذلك لأن المتشابه مدلوله خفي غير واضح، وإلا لما كان متشابها، والظاهر في اللغة يقابل الخفي، فلا يجوز أن يقال في المتشابه الذي هو غاية في الخفاء</w:t>
      </w:r>
      <w:r w:rsidR="000636C2">
        <w:rPr>
          <w:rFonts w:hint="cs"/>
          <w:rtl/>
        </w:rPr>
        <w:t>:</w:t>
      </w:r>
      <w:r w:rsidRPr="005675B2">
        <w:rPr>
          <w:rFonts w:hint="cs"/>
          <w:rtl/>
        </w:rPr>
        <w:t xml:space="preserve"> إن تأويله تفسيره بالظاهر، فإنه كلام متناقض ينقض نفسه</w:t>
      </w:r>
      <w:r w:rsidR="000636C2">
        <w:rPr>
          <w:rFonts w:hint="cs"/>
          <w:rtl/>
        </w:rPr>
        <w:t>،</w:t>
      </w:r>
      <w:r w:rsidRPr="005675B2">
        <w:rPr>
          <w:rFonts w:hint="cs"/>
          <w:rtl/>
        </w:rPr>
        <w:t xml:space="preserve"> وأما الظاهر في أصول الفقه فبمعني الراجح من الاحتمالين بالوضع أو بالدليل، وهو من أقسام الواضح المقابل للخفي الذي من أقسامه المتشابه</w:t>
      </w:r>
      <w:r w:rsidR="000636C2">
        <w:rPr>
          <w:rFonts w:hint="cs"/>
          <w:rtl/>
        </w:rPr>
        <w:t>،</w:t>
      </w:r>
      <w:r w:rsidRPr="005675B2">
        <w:rPr>
          <w:rFonts w:hint="cs"/>
          <w:rtl/>
        </w:rPr>
        <w:t xml:space="preserve"> ويقابل الظاهر المؤول، فلا يتصور اجتماعهما في لفظ أيضا</w:t>
      </w:r>
      <w:r w:rsidR="000636C2">
        <w:rPr>
          <w:rFonts w:hint="cs"/>
          <w:rtl/>
        </w:rPr>
        <w:t xml:space="preserve">، </w:t>
      </w:r>
      <w:r w:rsidRPr="005675B2">
        <w:rPr>
          <w:rFonts w:hint="cs"/>
          <w:rtl/>
        </w:rPr>
        <w:t>وإذا تقرر هذا فنقول</w:t>
      </w:r>
      <w:r w:rsidR="000636C2">
        <w:rPr>
          <w:rFonts w:hint="cs"/>
          <w:rtl/>
        </w:rPr>
        <w:t>:</w:t>
      </w:r>
      <w:r w:rsidRPr="005675B2">
        <w:rPr>
          <w:rFonts w:hint="cs"/>
          <w:rtl/>
        </w:rPr>
        <w:t xml:space="preserve"> إنه من الأمور المجمع عليها بين علماء المسلمين أن من نصوص الكتاب والسنة ما إذا قطع عن سياقه وسباقه، ولوحظ بالمعنى الذي وضع له في اللغة وهو المعنى الحقيقي كان إما مخالفا لصرائح العقول، أو مخالفا للمحكمات من نصوص الكتاب والسنة، أو مخالفا للقواعد الإسلامية المقررة المأخوذة من الكتاب والسنة</w:t>
      </w:r>
      <w:r w:rsidR="000636C2">
        <w:rPr>
          <w:rFonts w:hint="cs"/>
          <w:rtl/>
        </w:rPr>
        <w:t>،</w:t>
      </w:r>
      <w:r w:rsidRPr="005675B2">
        <w:rPr>
          <w:rFonts w:hint="cs"/>
          <w:rtl/>
        </w:rPr>
        <w:t xml:space="preserve"> وهذه النصوص هي النصوص المتشابهات المذكورة في الآية الكريمة</w:t>
      </w:r>
      <w:r w:rsidR="000636C2">
        <w:rPr>
          <w:rFonts w:hint="cs"/>
          <w:rtl/>
        </w:rPr>
        <w:t xml:space="preserve">، </w:t>
      </w:r>
      <w:r w:rsidRPr="005675B2">
        <w:rPr>
          <w:rFonts w:hint="cs"/>
          <w:rtl/>
        </w:rPr>
        <w:t>وهذه النصوص المتشابهات قد أجمعت الأمة على سبيل الإجمال على أن معناها الموضوع له ليس بمراد منها</w:t>
      </w:r>
      <w:r w:rsidR="000636C2">
        <w:rPr>
          <w:rFonts w:hint="cs"/>
          <w:rtl/>
        </w:rPr>
        <w:t>،</w:t>
      </w:r>
      <w:r w:rsidRPr="005675B2">
        <w:rPr>
          <w:rFonts w:hint="cs"/>
          <w:rtl/>
        </w:rPr>
        <w:t xml:space="preserve"> هذا إجماع على سبيل الإجمال، وأما إذا أتينا إلى التفاصيل وإلى جزئيات هذه النصوص فقد يجري فيها الخلاف</w:t>
      </w:r>
      <w:r w:rsidR="000636C2">
        <w:rPr>
          <w:rFonts w:hint="cs"/>
          <w:rtl/>
        </w:rPr>
        <w:t xml:space="preserve">، </w:t>
      </w:r>
      <w:r w:rsidRPr="005675B2">
        <w:rPr>
          <w:rFonts w:hint="cs"/>
          <w:rtl/>
        </w:rPr>
        <w:t>ثم اختلفت الأمة فذهب معظم السلف في معظم هذه النصوص إلى التوقف عند هذا الحد، وهو أن المعنى الموضوع له لهذه النصوص غير مراد، بدون أن يتجاوزوا هذا الحد إلى تعيين المعنى المجازي، أو الكنائي لها، وذلك تورعا منهم، ومخافة أن يفسروا كلام الله تعالى وكلام رسوله على خلاف مرادهما</w:t>
      </w:r>
      <w:r w:rsidR="000636C2">
        <w:rPr>
          <w:rFonts w:hint="cs"/>
          <w:rtl/>
        </w:rPr>
        <w:t>،</w:t>
      </w:r>
      <w:r w:rsidRPr="005675B2">
        <w:rPr>
          <w:rFonts w:hint="cs"/>
          <w:rtl/>
        </w:rPr>
        <w:t xml:space="preserve"> وهذا يسمى بالتأويل الإجمالي</w:t>
      </w:r>
      <w:r w:rsidR="000636C2">
        <w:rPr>
          <w:rFonts w:hint="cs"/>
          <w:rtl/>
        </w:rPr>
        <w:t>،</w:t>
      </w:r>
      <w:r w:rsidRPr="005675B2">
        <w:rPr>
          <w:rFonts w:hint="cs"/>
          <w:rtl/>
        </w:rPr>
        <w:t xml:space="preserve"> وذهب معظم الخلف إلى جواز تأويلها وصرفها إلى معان تناسب المعني الحقيقي لهذه النصوص، وذلك بمعونة القرائن والسياق والسباق والألفاظ المقرونة بها، لكن بدون قطع بالمعنى المؤول به، بل يكون الصرف على سبيل الاحتمال والرجحان</w:t>
      </w:r>
      <w:r w:rsidR="000636C2">
        <w:rPr>
          <w:rFonts w:hint="cs"/>
          <w:rtl/>
        </w:rPr>
        <w:t>،</w:t>
      </w:r>
      <w:r w:rsidRPr="005675B2">
        <w:rPr>
          <w:rFonts w:hint="cs"/>
          <w:rtl/>
        </w:rPr>
        <w:t xml:space="preserve"> وذلك بشروط</w:t>
      </w:r>
      <w:r w:rsidR="000636C2">
        <w:rPr>
          <w:rFonts w:hint="cs"/>
          <w:rtl/>
        </w:rPr>
        <w:t>، (</w:t>
      </w:r>
      <w:r w:rsidRPr="005675B2">
        <w:rPr>
          <w:rFonts w:hint="cs"/>
          <w:rtl/>
        </w:rPr>
        <w:t>الأول</w:t>
      </w:r>
      <w:r w:rsidR="000636C2">
        <w:rPr>
          <w:rFonts w:hint="cs"/>
          <w:rtl/>
        </w:rPr>
        <w:t>):</w:t>
      </w:r>
      <w:r w:rsidRPr="005675B2">
        <w:rPr>
          <w:rFonts w:hint="cs"/>
          <w:rtl/>
        </w:rPr>
        <w:t xml:space="preserve"> أن يكون المعنى الذي حمل عليه النص ثابتا لله تعالى</w:t>
      </w:r>
      <w:r w:rsidR="000636C2">
        <w:rPr>
          <w:rFonts w:hint="cs"/>
          <w:rtl/>
        </w:rPr>
        <w:t>، (</w:t>
      </w:r>
      <w:r w:rsidRPr="005675B2">
        <w:rPr>
          <w:rFonts w:hint="cs"/>
          <w:rtl/>
        </w:rPr>
        <w:t>الثاني</w:t>
      </w:r>
      <w:r w:rsidR="000636C2">
        <w:rPr>
          <w:rFonts w:hint="cs"/>
          <w:rtl/>
        </w:rPr>
        <w:t>):</w:t>
      </w:r>
      <w:r w:rsidRPr="005675B2">
        <w:rPr>
          <w:rFonts w:hint="cs"/>
          <w:rtl/>
        </w:rPr>
        <w:t xml:space="preserve"> أن لا يكون حمل النص على المعنى الذي صرف إليه مخالفا لأساليب اللغة العربية</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أن لا يكون مخالفا لسياق النص بل يكون مناسبا له</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أن لا يكون المعنى الذي صرف إليه النص مشعرا بالنقص بالنسبة إلى الله تعالى</w:t>
      </w:r>
      <w:r w:rsidR="000636C2">
        <w:rPr>
          <w:rFonts w:hint="cs"/>
          <w:rtl/>
        </w:rPr>
        <w:t xml:space="preserve">، </w:t>
      </w:r>
      <w:r w:rsidRPr="005675B2">
        <w:rPr>
          <w:rFonts w:hint="cs"/>
          <w:rtl/>
        </w:rPr>
        <w:t>الخامس</w:t>
      </w:r>
      <w:r w:rsidR="000636C2">
        <w:rPr>
          <w:rFonts w:hint="cs"/>
          <w:rtl/>
        </w:rPr>
        <w:t>:</w:t>
      </w:r>
      <w:r w:rsidRPr="005675B2">
        <w:rPr>
          <w:rFonts w:hint="cs"/>
          <w:rtl/>
        </w:rPr>
        <w:t xml:space="preserve"> أن يكون مشعرا بالعظمة</w:t>
      </w:r>
      <w:r w:rsidR="000636C2">
        <w:rPr>
          <w:rFonts w:hint="cs"/>
          <w:rtl/>
        </w:rPr>
        <w:t xml:space="preserve">، </w:t>
      </w:r>
      <w:r w:rsidRPr="005675B2">
        <w:rPr>
          <w:rFonts w:hint="cs"/>
          <w:rtl/>
        </w:rPr>
        <w:t xml:space="preserve">وههنا نكتة نبه عليها الإمام الغزالي في كتاب </w:t>
      </w:r>
      <w:r w:rsidR="000636C2">
        <w:rPr>
          <w:rFonts w:hint="cs"/>
          <w:rtl/>
        </w:rPr>
        <w:t>(</w:t>
      </w:r>
      <w:r w:rsidRPr="005675B2">
        <w:rPr>
          <w:rFonts w:hint="cs"/>
          <w:rtl/>
        </w:rPr>
        <w:t>قانون التأويل</w:t>
      </w:r>
      <w:r w:rsidR="000636C2">
        <w:rPr>
          <w:rFonts w:hint="cs"/>
          <w:rtl/>
        </w:rPr>
        <w:t>)</w:t>
      </w:r>
      <w:r w:rsidRPr="005675B2">
        <w:rPr>
          <w:rFonts w:hint="cs"/>
          <w:rtl/>
        </w:rPr>
        <w:t xml:space="preserve"> - وهو كتاب جدير بالعناية بقرائته - وهي أنه لا يجوز بالنسبة إلى هذه النصوص تفريق مجتمع ولا جمع متفرق، وذلك لأن كل واحد من هذه النصوص في سياقه وسباقه ما يدل علي المعنى المجازي أو الكنائي الذي استعمل فيه، فإذا قطع من سياقه وأفرد عن سابقه ولاحقه فاتت هذه الدلالة، وكذلك إذا جمعت هذه النصوص على صعيد واحد عضدت الظواهر بعضها البعض، فيترجح بقاؤها على ظواهرها المفيد للتشبيه</w:t>
      </w:r>
      <w:r w:rsidR="000636C2">
        <w:rPr>
          <w:rFonts w:hint="cs"/>
          <w:rtl/>
        </w:rPr>
        <w:t>،</w:t>
      </w:r>
      <w:r w:rsidRPr="005675B2">
        <w:rPr>
          <w:rFonts w:hint="cs"/>
          <w:rtl/>
        </w:rPr>
        <w:t xml:space="preserve"> وذلك كما ألف بعضهم مؤلفات فذكر فيها باب ما ورد في العين، وباب ما ورد في اليد، وباب ما ورد في الوجه إلي غير ذلك</w:t>
      </w:r>
      <w:r w:rsidR="000636C2">
        <w:rPr>
          <w:rFonts w:hint="cs"/>
          <w:rtl/>
        </w:rPr>
        <w:t xml:space="preserve">، </w:t>
      </w:r>
      <w:r w:rsidRPr="005675B2">
        <w:rPr>
          <w:rFonts w:hint="cs"/>
          <w:rtl/>
        </w:rPr>
        <w:t>وقد قرر قريبا من هذا الكلام الإمام تقي السبكي</w:t>
      </w:r>
      <w:r w:rsidR="000636C2">
        <w:rPr>
          <w:rFonts w:hint="cs"/>
          <w:rtl/>
        </w:rPr>
        <w:t>:</w:t>
      </w:r>
      <w:r w:rsidRPr="005675B2">
        <w:rPr>
          <w:rFonts w:hint="cs"/>
          <w:rtl/>
        </w:rPr>
        <w:t xml:space="preserve"> حيث قال</w:t>
      </w:r>
      <w:r w:rsidR="000636C2">
        <w:rPr>
          <w:rFonts w:hint="cs"/>
          <w:rtl/>
        </w:rPr>
        <w:t xml:space="preserve">: </w:t>
      </w:r>
      <w:r w:rsidRPr="005675B2">
        <w:rPr>
          <w:rFonts w:hint="cs"/>
          <w:rtl/>
        </w:rPr>
        <w:t>وانظر إلى هذه الصفات التي يثبتها هذا المبتدع لم تجيء قط في الغالب مقصودة، وإنما في ضمن كلام يقصد منه أمر آخر، وجاءت لتقرير ذلك الأمر، وقد فهمها الصحابة، ولذلك لم يسألوا عنها النبي صلي الله تعالي عليه وآله وسلم لأنها كانت معقولة عندهم بوضع اللسان وقرائن الأحوال، وسياق الكلام، وسبب النزول</w:t>
      </w:r>
      <w:r w:rsidR="000636C2">
        <w:rPr>
          <w:rFonts w:hint="cs"/>
          <w:rtl/>
        </w:rPr>
        <w:t xml:space="preserve">، </w:t>
      </w:r>
      <w:r w:rsidRPr="005675B2">
        <w:rPr>
          <w:rFonts w:hint="cs"/>
          <w:rtl/>
        </w:rPr>
        <w:t>ومضت الأعصار الثلاثة التي هي خيار القرون على ذلك، حتى حدثت البدع والأهواء، فيجيء مثل هذا المتخلف بجمع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w:t>
      </w:r>
      <w:r w:rsidR="000636C2">
        <w:rPr>
          <w:rFonts w:hint="cs"/>
          <w:rtl/>
        </w:rPr>
        <w:t xml:space="preserve">، </w:t>
      </w:r>
      <w:r w:rsidRPr="005675B2">
        <w:rPr>
          <w:rFonts w:hint="cs"/>
          <w:rtl/>
        </w:rPr>
        <w:t>وانظر إلى أكثرها لا تجده مقصودا بالكلام، بل المقصود غيره إما بسياق قبله، أو بسباق بعده، أو يكون المحدث عنه معنى آخر .. ويكون ذلك مذكورا على جهة الوصف المقوِّي لمعنى ما سيق الكلام لأجله</w:t>
      </w:r>
      <w:r w:rsidR="000636C2">
        <w:rPr>
          <w:rFonts w:hint="cs"/>
          <w:rtl/>
        </w:rPr>
        <w:t>،</w:t>
      </w:r>
      <w:r w:rsidRPr="005675B2">
        <w:rPr>
          <w:rFonts w:hint="cs"/>
          <w:rtl/>
        </w:rPr>
        <w:t xml:space="preserve"> إنتهى كلام السبكي</w:t>
      </w:r>
      <w:r w:rsidR="000636C2">
        <w:rPr>
          <w:rFonts w:hint="cs"/>
          <w:rtl/>
        </w:rPr>
        <w:t>،</w:t>
      </w:r>
      <w:r w:rsidRPr="005675B2">
        <w:rPr>
          <w:rFonts w:hint="cs"/>
          <w:rtl/>
        </w:rPr>
        <w:t xml:space="preserve"> [</w:t>
      </w:r>
      <w:r w:rsidRPr="005675B2">
        <w:rPr>
          <w:rFonts w:hint="cs"/>
          <w:sz w:val="24"/>
          <w:szCs w:val="24"/>
          <w:rtl/>
        </w:rPr>
        <w:t>السيف الصقيل169]</w:t>
      </w:r>
      <w:r w:rsidR="000636C2">
        <w:rPr>
          <w:rFonts w:hint="cs"/>
          <w:rtl/>
        </w:rPr>
        <w:t>،</w:t>
      </w:r>
      <w:r w:rsidRPr="005675B2">
        <w:rPr>
          <w:rFonts w:hint="cs"/>
          <w:rtl/>
        </w:rPr>
        <w:t xml:space="preserve"> وتوسط الإمام تقي الدين ابن دقيق العيد بين مذهب السلف والخلف، فقال</w:t>
      </w:r>
      <w:r w:rsidR="000636C2">
        <w:rPr>
          <w:rFonts w:hint="cs"/>
          <w:rtl/>
        </w:rPr>
        <w:t>:</w:t>
      </w:r>
      <w:r w:rsidRPr="005675B2">
        <w:rPr>
          <w:rFonts w:hint="cs"/>
          <w:rtl/>
        </w:rPr>
        <w:t xml:space="preserve"> نقول في الصفات المشكلة</w:t>
      </w:r>
      <w:r w:rsidR="000636C2">
        <w:rPr>
          <w:rFonts w:hint="cs"/>
          <w:rtl/>
        </w:rPr>
        <w:t>:</w:t>
      </w:r>
      <w:r w:rsidRPr="005675B2">
        <w:rPr>
          <w:rFonts w:hint="cs"/>
          <w:rtl/>
        </w:rPr>
        <w:t xml:space="preserve"> إنها حق وصدق على المعنى الذي أراده الله تعالى</w:t>
      </w:r>
      <w:r w:rsidR="000636C2">
        <w:rPr>
          <w:rFonts w:hint="cs"/>
          <w:rtl/>
        </w:rPr>
        <w:t>،</w:t>
      </w:r>
      <w:r w:rsidRPr="005675B2">
        <w:rPr>
          <w:rFonts w:hint="cs"/>
          <w:rtl/>
        </w:rPr>
        <w:t xml:space="preserve"> ومن تأولها نظرنا فإن كان تأويله قريبا على مقتضى لسان العرب لم ننكر عليه، وإن كان بعيدا توقفنا عنه، ورجعنا إلى التصديق مع التنزيه</w:t>
      </w:r>
      <w:r w:rsidR="000636C2">
        <w:rPr>
          <w:rFonts w:hint="cs"/>
          <w:rtl/>
        </w:rPr>
        <w:t xml:space="preserve">، </w:t>
      </w:r>
      <w:r w:rsidRPr="005675B2">
        <w:rPr>
          <w:rFonts w:hint="cs"/>
          <w:rtl/>
        </w:rPr>
        <w:t>وما كان منها معناه ظاهرا مفهوما من تخاطب العرب حملناه عليه كقوله تعالى</w:t>
      </w:r>
      <w:r w:rsidR="000636C2">
        <w:rPr>
          <w:rFonts w:hint="cs"/>
          <w:rtl/>
        </w:rPr>
        <w:t>:</w:t>
      </w:r>
      <w:r w:rsidRPr="005675B2">
        <w:rPr>
          <w:rFonts w:hint="cs"/>
          <w:rtl/>
        </w:rPr>
        <w:t xml:space="preserve"> </w:t>
      </w:r>
      <w:r w:rsidR="000636C2">
        <w:rPr>
          <w:rFonts w:hint="cs"/>
          <w:rtl/>
        </w:rPr>
        <w:t>(</w:t>
      </w:r>
      <w:r w:rsidRPr="005675B2">
        <w:rPr>
          <w:rFonts w:hint="cs"/>
          <w:rtl/>
        </w:rPr>
        <w:t>يا حسرتا على ما فرطت في جنب الله</w:t>
      </w:r>
      <w:r w:rsidR="000636C2">
        <w:rPr>
          <w:rFonts w:hint="cs"/>
          <w:rtl/>
        </w:rPr>
        <w:t>)</w:t>
      </w:r>
      <w:r w:rsidRPr="005675B2">
        <w:rPr>
          <w:rFonts w:hint="cs"/>
          <w:rtl/>
        </w:rPr>
        <w:t xml:space="preserve"> فإن المراد به في استعمالهم الشائع حق الله، فلا يتوقف في حمله عليه، وكذلك قوله صلي الله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 قلب ابن آدم بين إصبعين من أصابع الرحمن</w:t>
      </w:r>
      <w:r w:rsidR="000636C2">
        <w:rPr>
          <w:rFonts w:hint="cs"/>
          <w:rtl/>
        </w:rPr>
        <w:t>)</w:t>
      </w:r>
      <w:r w:rsidRPr="005675B2">
        <w:rPr>
          <w:rFonts w:hint="cs"/>
          <w:rtl/>
        </w:rPr>
        <w:t xml:space="preserve"> فإن المراد به إرادة قلب ابن آدم مصرفة بقدرة الله وما يوقعه فيه، وكذلك قوله تعالى</w:t>
      </w:r>
      <w:r w:rsidR="000636C2">
        <w:rPr>
          <w:rFonts w:hint="cs"/>
          <w:rtl/>
        </w:rPr>
        <w:t>:</w:t>
      </w:r>
      <w:r w:rsidRPr="005675B2">
        <w:rPr>
          <w:rFonts w:hint="cs"/>
          <w:rtl/>
        </w:rPr>
        <w:t xml:space="preserve"> </w:t>
      </w:r>
      <w:r w:rsidR="000636C2">
        <w:rPr>
          <w:rFonts w:hint="cs"/>
          <w:rtl/>
        </w:rPr>
        <w:t>(</w:t>
      </w:r>
      <w:r w:rsidRPr="005675B2">
        <w:rPr>
          <w:rFonts w:hint="cs"/>
          <w:rtl/>
        </w:rPr>
        <w:t>فأتى الله بنيانهم من القواعد</w:t>
      </w:r>
      <w:r w:rsidR="000636C2">
        <w:rPr>
          <w:rFonts w:hint="cs"/>
          <w:rtl/>
        </w:rPr>
        <w:t>)</w:t>
      </w:r>
      <w:r w:rsidRPr="005675B2">
        <w:rPr>
          <w:rFonts w:hint="cs"/>
          <w:rtl/>
        </w:rPr>
        <w:t xml:space="preserve"> معناه خرب الله بنيانه، وقوله</w:t>
      </w:r>
      <w:r w:rsidR="000636C2">
        <w:rPr>
          <w:rFonts w:hint="cs"/>
          <w:rtl/>
        </w:rPr>
        <w:t>:</w:t>
      </w:r>
      <w:r w:rsidRPr="005675B2">
        <w:rPr>
          <w:rFonts w:hint="cs"/>
          <w:rtl/>
        </w:rPr>
        <w:t xml:space="preserve"> </w:t>
      </w:r>
      <w:r w:rsidR="000636C2">
        <w:rPr>
          <w:rFonts w:hint="cs"/>
          <w:rtl/>
        </w:rPr>
        <w:t>(</w:t>
      </w:r>
      <w:r w:rsidRPr="005675B2">
        <w:rPr>
          <w:rFonts w:hint="cs"/>
          <w:rtl/>
        </w:rPr>
        <w:t>إنما نطعمكم لوجه الله</w:t>
      </w:r>
      <w:r w:rsidR="000636C2">
        <w:rPr>
          <w:rFonts w:hint="cs"/>
          <w:rtl/>
        </w:rPr>
        <w:t>)</w:t>
      </w:r>
      <w:r w:rsidRPr="005675B2">
        <w:rPr>
          <w:rFonts w:hint="cs"/>
          <w:rtl/>
        </w:rPr>
        <w:t xml:space="preserve"> معناه لأجل الله، وقس على ذلك</w:t>
      </w:r>
      <w:r w:rsidR="000636C2">
        <w:rPr>
          <w:rFonts w:hint="cs"/>
          <w:rtl/>
        </w:rPr>
        <w:t>،</w:t>
      </w:r>
      <w:r w:rsidRPr="005675B2">
        <w:rPr>
          <w:rFonts w:hint="cs"/>
          <w:rtl/>
        </w:rPr>
        <w:t xml:space="preserve"> وهو تفصيل بالغ قل من تيقظ له</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ولله در ابن دقيق العيد ما أدق نظره وأسده، فإنه إذا كان المعنى المجازي للنص مفهوما من تخاطب العرب بحيث لا يفهم العربي من ذلك النص إلا المعنى المجازي، كان ذلك النص من قبيل المجاز المشهور والحقيقة المهجورة، فيكون صرفه عن ذلك المعنى المجازي إلحادا في آيات الله وتحريفا للكلم عن مواضعه</w:t>
      </w:r>
      <w:r w:rsidR="000636C2">
        <w:rPr>
          <w:rFonts w:hint="cs"/>
          <w:rtl/>
        </w:rPr>
        <w:t>،</w:t>
      </w:r>
      <w:r w:rsidRPr="005675B2">
        <w:rPr>
          <w:rFonts w:hint="cs"/>
          <w:rtl/>
        </w:rPr>
        <w:t xml:space="preserve"> كيف وكثير من تلك النصوص لو ترجمت ترجمة حرفية إلى لغة أخري لما فهم منها أهل تلك اللغة إلا المعني المجازي، فكيف يجوز إذًا صرفها عن تلك المعاني، وهل نزل القرآن إلا على أساليب اللغة العربية</w:t>
      </w:r>
      <w:r w:rsidR="000636C2">
        <w:rPr>
          <w:rFonts w:hint="cs"/>
          <w:rtl/>
        </w:rPr>
        <w:t>،</w:t>
      </w:r>
      <w:r w:rsidRPr="005675B2">
        <w:rPr>
          <w:rFonts w:hint="cs"/>
          <w:rtl/>
        </w:rPr>
        <w:t xml:space="preserve"> وذلك كقوله تعالى </w:t>
      </w:r>
      <w:r w:rsidR="000636C2">
        <w:rPr>
          <w:rFonts w:hint="cs"/>
          <w:rtl/>
        </w:rPr>
        <w:t>(</w:t>
      </w:r>
      <w:r w:rsidRPr="005675B2">
        <w:rPr>
          <w:rFonts w:hint="cs"/>
          <w:rtl/>
        </w:rPr>
        <w:t>تبارك الذي بيده الملك</w:t>
      </w:r>
      <w:r w:rsidR="000636C2">
        <w:rPr>
          <w:rFonts w:hint="cs"/>
          <w:rtl/>
        </w:rPr>
        <w:t>)</w:t>
      </w:r>
      <w:r w:rsidRPr="005675B2">
        <w:rPr>
          <w:rFonts w:hint="cs"/>
          <w:rtl/>
        </w:rPr>
        <w:t xml:space="preserve"> فإنه لا أحد يفهم منه إلا إثبات الملك لله تعالى، لا إثبات اليد لله، كيف والملك بالضم هو السلطنة، وهو أمر معنوي لا يكون في اليد ولا ملتصقا بها، وكقوله صلى الله تعلى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 قلب ابن آدم بين إصبعين من أصابع الرحمن</w:t>
      </w:r>
      <w:r w:rsidR="000636C2">
        <w:rPr>
          <w:rFonts w:hint="cs"/>
          <w:rtl/>
        </w:rPr>
        <w:t>)</w:t>
      </w:r>
      <w:r w:rsidRPr="005675B2">
        <w:rPr>
          <w:rFonts w:hint="cs"/>
          <w:rtl/>
        </w:rPr>
        <w:t xml:space="preserve"> لا يفهم منه أحد إلا أن قلوب بني آدم طوع إرادته وقدرته تعالى لا إثبات الإصبعين لله تعالى، كيف ولا يوجد في داخل أحد إصبعان مكتنفان بقلبه وهذا أمر معلوم لكل عاقل</w:t>
      </w:r>
      <w:r w:rsidR="000636C2">
        <w:rPr>
          <w:rFonts w:hint="cs"/>
          <w:rtl/>
        </w:rPr>
        <w:t>،</w:t>
      </w:r>
      <w:r w:rsidRPr="005675B2">
        <w:rPr>
          <w:rFonts w:hint="cs"/>
          <w:rtl/>
        </w:rPr>
        <w:t xml:space="preserve"> ومن ذلك قوله تعالى</w:t>
      </w:r>
      <w:r w:rsidR="000636C2">
        <w:rPr>
          <w:rFonts w:hint="cs"/>
          <w:rtl/>
        </w:rPr>
        <w:t>:</w:t>
      </w:r>
      <w:r w:rsidRPr="005675B2">
        <w:rPr>
          <w:rFonts w:hint="cs"/>
          <w:rtl/>
        </w:rPr>
        <w:t xml:space="preserve"> </w:t>
      </w:r>
      <w:r w:rsidR="000636C2">
        <w:rPr>
          <w:rFonts w:hint="cs"/>
          <w:rtl/>
        </w:rPr>
        <w:t>(</w:t>
      </w:r>
      <w:r w:rsidRPr="005675B2">
        <w:rPr>
          <w:rFonts w:hint="cs"/>
          <w:rtl/>
        </w:rPr>
        <w:t>نسوا الله فنسيهم</w:t>
      </w:r>
      <w:r w:rsidR="000636C2">
        <w:rPr>
          <w:rFonts w:hint="cs"/>
          <w:rtl/>
        </w:rPr>
        <w:t>)</w:t>
      </w:r>
      <w:r w:rsidRPr="005675B2">
        <w:rPr>
          <w:rFonts w:hint="cs"/>
          <w:rtl/>
        </w:rPr>
        <w:t xml:space="preserve"> [</w:t>
      </w:r>
      <w:r w:rsidRPr="005675B2">
        <w:rPr>
          <w:rFonts w:hint="cs"/>
          <w:sz w:val="24"/>
          <w:szCs w:val="24"/>
          <w:rtl/>
        </w:rPr>
        <w:t>التوبة 67]</w:t>
      </w:r>
      <w:r w:rsidRPr="005675B2">
        <w:rPr>
          <w:rFonts w:hint="cs"/>
          <w:rtl/>
        </w:rPr>
        <w:t xml:space="preserve"> والنسيان بالمعنى الحقيقي محال على الله تعالى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كان ربك نسيا</w:t>
      </w:r>
      <w:r w:rsidR="000636C2">
        <w:rPr>
          <w:rFonts w:hint="cs"/>
          <w:rtl/>
        </w:rPr>
        <w:t>)</w:t>
      </w:r>
      <w:r w:rsidRPr="005675B2">
        <w:rPr>
          <w:rFonts w:hint="cs"/>
          <w:rtl/>
        </w:rPr>
        <w:t xml:space="preserve"> [</w:t>
      </w:r>
      <w:r w:rsidRPr="005675B2">
        <w:rPr>
          <w:rFonts w:hint="cs"/>
          <w:sz w:val="24"/>
          <w:szCs w:val="24"/>
          <w:rtl/>
        </w:rPr>
        <w:t>مريم 64]</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قل علمها عند ربي في كتاب لا يضل ربي ولا ينسى</w:t>
      </w:r>
      <w:r w:rsidR="000636C2">
        <w:rPr>
          <w:rFonts w:hint="cs"/>
          <w:rtl/>
        </w:rPr>
        <w:t>)</w:t>
      </w:r>
      <w:r w:rsidRPr="005675B2">
        <w:rPr>
          <w:rFonts w:hint="cs"/>
          <w:rtl/>
        </w:rPr>
        <w:t xml:space="preserve"> </w:t>
      </w:r>
      <w:r w:rsidR="000636C2">
        <w:rPr>
          <w:rFonts w:hint="cs"/>
          <w:rtl/>
        </w:rPr>
        <w:t>[</w:t>
      </w:r>
      <w:r w:rsidRPr="005675B2">
        <w:rPr>
          <w:rFonts w:hint="cs"/>
          <w:sz w:val="24"/>
          <w:szCs w:val="24"/>
          <w:rtl/>
        </w:rPr>
        <w:t>طه 52]</w:t>
      </w:r>
      <w:r w:rsidRPr="005675B2">
        <w:rPr>
          <w:rFonts w:hint="cs"/>
          <w:rtl/>
        </w:rPr>
        <w:t xml:space="preserve"> فتعين حمل النسيان في الآية الأولى على المعنى المجازي، وهو الترك وعدم المبالاة بهم، وإيكالهم إلى أنفسهم</w:t>
      </w:r>
      <w:r w:rsidR="000636C2">
        <w:rPr>
          <w:rFonts w:hint="cs"/>
          <w:rtl/>
        </w:rPr>
        <w:t xml:space="preserve">، </w:t>
      </w:r>
      <w:r w:rsidRPr="005675B2">
        <w:rPr>
          <w:rFonts w:hint="cs"/>
          <w:rtl/>
        </w:rPr>
        <w:t>ومنه قوله تعالى</w:t>
      </w:r>
      <w:r w:rsidR="000636C2">
        <w:rPr>
          <w:rFonts w:hint="cs"/>
          <w:rtl/>
        </w:rPr>
        <w:t>:</w:t>
      </w:r>
      <w:r w:rsidRPr="005675B2">
        <w:rPr>
          <w:rFonts w:hint="cs"/>
          <w:rtl/>
        </w:rPr>
        <w:t xml:space="preserve"> </w:t>
      </w:r>
      <w:r w:rsidR="000636C2">
        <w:rPr>
          <w:rFonts w:hint="cs"/>
          <w:rtl/>
        </w:rPr>
        <w:t>(</w:t>
      </w:r>
      <w:r w:rsidRPr="005675B2">
        <w:rPr>
          <w:rFonts w:hint="cs"/>
          <w:rtl/>
        </w:rPr>
        <w:t>يا أيها النبي قل لمن في أيديكم من الأسرى</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الأنفال 70]</w:t>
      </w:r>
      <w:r w:rsidRPr="005675B2">
        <w:rPr>
          <w:rFonts w:hint="cs"/>
          <w:rtl/>
        </w:rPr>
        <w:t xml:space="preserve"> والأسرى ليست في أيديهم حقيقة، وإنماهم تحت سيطرتهم، وهو المعنى المجازي</w:t>
      </w:r>
      <w:r w:rsidR="000636C2">
        <w:rPr>
          <w:rFonts w:hint="cs"/>
          <w:rtl/>
        </w:rPr>
        <w:t>،</w:t>
      </w:r>
      <w:r w:rsidRPr="005675B2">
        <w:rPr>
          <w:rFonts w:hint="cs"/>
          <w:rtl/>
        </w:rPr>
        <w:t xml:space="preserve"> ومنه قول الله تعالى فيما رواه عنه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عبدي مرضت فلم تعدنى</w:t>
      </w:r>
      <w:r w:rsidR="000636C2">
        <w:rPr>
          <w:rFonts w:hint="cs"/>
          <w:rtl/>
        </w:rPr>
        <w:t>)</w:t>
      </w:r>
      <w:r w:rsidRPr="005675B2">
        <w:rPr>
          <w:rFonts w:hint="cs"/>
          <w:rtl/>
        </w:rPr>
        <w:t xml:space="preserve"> والمرض على الله تعالى محال، وإنما المراد مرض عبدي كما جاء تفسيره في آخر الحديث وهو المعنى المجازي</w:t>
      </w:r>
      <w:r w:rsidR="000636C2">
        <w:rPr>
          <w:rFonts w:hint="cs"/>
          <w:rtl/>
        </w:rPr>
        <w:t xml:space="preserve">، </w:t>
      </w:r>
      <w:r w:rsidRPr="005675B2">
        <w:rPr>
          <w:rFonts w:hint="cs"/>
          <w:rtl/>
        </w:rPr>
        <w:t>ومنه قول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أللهم .. واغسلنى بالماء والثلج والبرد</w:t>
      </w:r>
      <w:r w:rsidR="000636C2">
        <w:rPr>
          <w:rFonts w:hint="cs"/>
          <w:rtl/>
        </w:rPr>
        <w:t>)</w:t>
      </w:r>
      <w:r w:rsidRPr="005675B2">
        <w:rPr>
          <w:rFonts w:hint="cs"/>
          <w:rtl/>
        </w:rPr>
        <w:t xml:space="preserve"> رواه مسلم، وليس المراد حقيقية الغسل، بل المراد تنقيته من ذنوبه كما ينقى من الدنس الثوب الذي يغسل بالماء والثلج والبرد</w:t>
      </w:r>
      <w:r w:rsidR="000636C2">
        <w:rPr>
          <w:rFonts w:hint="cs"/>
          <w:rtl/>
        </w:rPr>
        <w:t>،</w:t>
      </w:r>
      <w:r w:rsidRPr="005675B2">
        <w:rPr>
          <w:rFonts w:hint="cs"/>
          <w:rtl/>
        </w:rPr>
        <w:t xml:space="preserve"> ومنه 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فعليكم بسنتى وسنة خلفاء الراشدين المهديين، وعضوا عليها بالنواجذ</w:t>
      </w:r>
      <w:r w:rsidR="000636C2">
        <w:rPr>
          <w:rFonts w:hint="cs"/>
          <w:rtl/>
        </w:rPr>
        <w:t>)</w:t>
      </w:r>
      <w:r w:rsidRPr="005675B2">
        <w:rPr>
          <w:rFonts w:hint="cs"/>
          <w:rtl/>
        </w:rPr>
        <w:t xml:space="preserve"> رواه أحمد في المسند، والمراد بالعض على السنة بالنواجذ التزامها وشدة التمسك بها</w:t>
      </w:r>
      <w:r w:rsidR="000636C2">
        <w:rPr>
          <w:rFonts w:hint="cs"/>
          <w:rtl/>
        </w:rPr>
        <w:t>،</w:t>
      </w:r>
      <w:r w:rsidRPr="005675B2">
        <w:rPr>
          <w:rFonts w:hint="cs"/>
          <w:rtl/>
        </w:rPr>
        <w:t xml:space="preserve"> ولا يتصور المعنى الحقيقي للعض بالنسبة إلى السنة</w:t>
      </w:r>
      <w:r w:rsidR="000636C2">
        <w:rPr>
          <w:rFonts w:hint="cs"/>
          <w:rtl/>
        </w:rPr>
        <w:t xml:space="preserve">، </w:t>
      </w:r>
      <w:r w:rsidRPr="005675B2">
        <w:rPr>
          <w:rFonts w:hint="cs"/>
          <w:rtl/>
        </w:rPr>
        <w:t>إلى غير ذلك مما لا يعد ولا يحصى من نصوص الكتاب والسنة وكلام العرب</w:t>
      </w:r>
      <w:r w:rsidR="000636C2">
        <w:rPr>
          <w:rFonts w:hint="cs"/>
          <w:rtl/>
        </w:rPr>
        <w:t>،</w:t>
      </w:r>
      <w:r w:rsidRPr="005675B2">
        <w:rPr>
          <w:rFonts w:hint="cs"/>
          <w:rtl/>
        </w:rPr>
        <w:t xml:space="preserve"> فحمل الكلام على المعنى المجازي لقرينة تدل على ذلك هو الذي يسميه الأشاعرة تأويلا، وهو أمر لا مناص منه لا في الكتاب ولا في السنة ولا في كلام العرب، ولا في لغة من لغات العالم</w:t>
      </w:r>
      <w:r w:rsidR="000636C2">
        <w:rPr>
          <w:rFonts w:hint="cs"/>
          <w:rtl/>
        </w:rPr>
        <w:t>،</w:t>
      </w:r>
      <w:r w:rsidRPr="005675B2">
        <w:rPr>
          <w:rFonts w:hint="cs"/>
          <w:rtl/>
        </w:rPr>
        <w:t xml:space="preserve"> وقد نقل بعضهم كلام ابن دقيق بوجه وجيز محرر، فقال</w:t>
      </w:r>
      <w:r w:rsidR="000636C2">
        <w:rPr>
          <w:rFonts w:hint="cs"/>
          <w:rtl/>
        </w:rPr>
        <w:t>:</w:t>
      </w:r>
      <w:r w:rsidRPr="005675B2">
        <w:rPr>
          <w:rFonts w:hint="cs"/>
          <w:rtl/>
        </w:rPr>
        <w:t xml:space="preserve"> قال الإمام المجتهد ابن دقيق العيد</w:t>
      </w:r>
      <w:r w:rsidR="000636C2">
        <w:rPr>
          <w:rFonts w:hint="cs"/>
          <w:rtl/>
        </w:rPr>
        <w:t>:</w:t>
      </w:r>
      <w:r w:rsidRPr="005675B2">
        <w:rPr>
          <w:rFonts w:hint="cs"/>
          <w:rtl/>
        </w:rPr>
        <w:t xml:space="preserve"> إن كان التأويل من المجاز البين الشائع فالحق سلوكه من غير توقف، أو من المجاز البعيد الشاذ فالحق تركه، وإن استوى الأمران فالاختلاف في جوازه وعدم جوازه مسألة فقهية اجتهادية، والأمر فيها ليس بالخطر بالنسبة إلى الفريقين</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وهو كلام نفيس ينبئ عن علم جم، وصراحة في بيان الحق، وتوسط حكيم</w:t>
      </w:r>
      <w:r w:rsidR="000636C2">
        <w:rPr>
          <w:rFonts w:hint="cs"/>
          <w:rtl/>
        </w:rPr>
        <w:t xml:space="preserve">، </w:t>
      </w:r>
      <w:r w:rsidRPr="005675B2">
        <w:rPr>
          <w:rFonts w:hint="cs"/>
          <w:rtl/>
        </w:rPr>
        <w:t>وههنا نريد أن نركز على تحقيق أمرين</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تحقيق أن السلف قد توقفوا عند حد أن المعنى الموضوع له لهذه النصوص غير مراد بدون أن يتجاوزوا هذا الحد إلى تعيين المعنى المجازي أو الكنائي لها</w:t>
      </w:r>
      <w:r w:rsidR="000636C2">
        <w:rPr>
          <w:rFonts w:hint="cs"/>
          <w:rtl/>
        </w:rPr>
        <w:t>،</w:t>
      </w:r>
      <w:r w:rsidRPr="005675B2">
        <w:rPr>
          <w:rFonts w:hint="cs"/>
          <w:rtl/>
        </w:rPr>
        <w:t xml:space="preserve"> وهذا ما سماه العلماء بالتفويض، وتحقيق هذا إنما يكون بنقل كلام السلف المتعلق بذلك</w:t>
      </w:r>
      <w:r w:rsidR="000636C2">
        <w:rPr>
          <w:rFonts w:hint="cs"/>
          <w:rtl/>
        </w:rPr>
        <w:t>،</w:t>
      </w:r>
      <w:r w:rsidRPr="005675B2">
        <w:rPr>
          <w:rFonts w:hint="cs"/>
          <w:rtl/>
        </w:rPr>
        <w:t xml:space="preserve"> فنقول</w:t>
      </w:r>
      <w:r w:rsidR="000636C2">
        <w:rPr>
          <w:rFonts w:hint="cs"/>
          <w:rtl/>
        </w:rPr>
        <w:t>:</w:t>
      </w:r>
      <w:r w:rsidRPr="005675B2">
        <w:rPr>
          <w:rFonts w:hint="cs"/>
          <w:rtl/>
        </w:rPr>
        <w:t xml:space="preserve"> قال الإمام الحافظ البيهقي</w:t>
      </w:r>
      <w:r w:rsidR="000636C2">
        <w:rPr>
          <w:rFonts w:hint="cs"/>
          <w:rtl/>
        </w:rPr>
        <w:t>:</w:t>
      </w:r>
      <w:r w:rsidRPr="005675B2">
        <w:rPr>
          <w:rFonts w:hint="cs"/>
          <w:rtl/>
        </w:rPr>
        <w:t xml:space="preserve"> أخبرنا عبد الله بن محمد الحافظ، ثنا أبو بكر محمد بن احمد بن با لويه، ثنا محمد بن بشير بن مطر، ثنا الهيثم بن خارجه،ثنا الوليد بن مسلم، قال</w:t>
      </w:r>
      <w:r w:rsidR="000636C2">
        <w:rPr>
          <w:rFonts w:hint="cs"/>
          <w:rtl/>
        </w:rPr>
        <w:t>:</w:t>
      </w:r>
      <w:r w:rsidRPr="005675B2">
        <w:rPr>
          <w:rFonts w:hint="cs"/>
          <w:rtl/>
        </w:rPr>
        <w:t xml:space="preserve"> سئل الأوزاعي ومالك وسفيان الثوري والليث بن سعد عن هذه الأحاديث التي جاءت في التشبيه، فقالوا</w:t>
      </w:r>
      <w:r w:rsidR="000636C2">
        <w:rPr>
          <w:rFonts w:hint="cs"/>
          <w:rtl/>
        </w:rPr>
        <w:t>:</w:t>
      </w:r>
      <w:r w:rsidRPr="005675B2">
        <w:rPr>
          <w:rFonts w:hint="cs"/>
          <w:rtl/>
        </w:rPr>
        <w:t xml:space="preserve"> أمروها كما جاءت بلا كيفية</w:t>
      </w:r>
      <w:r w:rsidR="000636C2">
        <w:rPr>
          <w:rFonts w:hint="cs"/>
          <w:rtl/>
        </w:rPr>
        <w:t>،</w:t>
      </w:r>
      <w:r w:rsidRPr="005675B2">
        <w:rPr>
          <w:rFonts w:hint="cs"/>
          <w:rtl/>
        </w:rPr>
        <w:t xml:space="preserve"> أخبرنا أبو بكر أحمد بن محمد بن الحارث الفقيه أنبأ أبو محمد بن حيان الإصبهاني ثنا إسحق بن أحمد الفارسي ثنا حفص بن عمر المهرقاني ثنا أبو داود وهو الطيالسي قال</w:t>
      </w:r>
      <w:r w:rsidR="000636C2">
        <w:rPr>
          <w:rFonts w:hint="cs"/>
          <w:rtl/>
        </w:rPr>
        <w:t>:</w:t>
      </w:r>
      <w:r w:rsidRPr="005675B2">
        <w:rPr>
          <w:rFonts w:hint="cs"/>
          <w:rtl/>
        </w:rPr>
        <w:t xml:space="preserve"> كان سفيان الثوري وشعبة وحماد بن زيد وحماد بن سلمة وشريك وأبو عوانة لا يحدون ولا يشبهون ولا يمثلون، يروون الحديث، ولا يقولون كيف، وإذا سئلوا أجابوا بالأثر</w:t>
      </w:r>
      <w:r w:rsidR="000636C2">
        <w:rPr>
          <w:rFonts w:hint="cs"/>
          <w:rtl/>
        </w:rPr>
        <w:t xml:space="preserve">، </w:t>
      </w:r>
      <w:r w:rsidRPr="005675B2">
        <w:rPr>
          <w:rFonts w:hint="cs"/>
          <w:rtl/>
        </w:rPr>
        <w:t xml:space="preserve">» </w:t>
      </w:r>
      <w:r w:rsidR="000636C2">
        <w:rPr>
          <w:rFonts w:hint="cs"/>
          <w:rtl/>
        </w:rPr>
        <w:t>[</w:t>
      </w:r>
      <w:r w:rsidRPr="005675B2">
        <w:rPr>
          <w:rFonts w:hint="cs"/>
          <w:sz w:val="24"/>
          <w:szCs w:val="24"/>
          <w:rtl/>
        </w:rPr>
        <w:t>السنن الكبرى 3/2]</w:t>
      </w:r>
      <w:r w:rsidR="000636C2">
        <w:rPr>
          <w:rFonts w:hint="cs"/>
          <w:rtl/>
        </w:rPr>
        <w:t xml:space="preserve">، </w:t>
      </w:r>
      <w:r w:rsidRPr="005675B2">
        <w:rPr>
          <w:rFonts w:hint="cs"/>
          <w:rtl/>
        </w:rPr>
        <w:t>وقال الحافظ</w:t>
      </w:r>
      <w:r w:rsidR="000636C2">
        <w:rPr>
          <w:rFonts w:hint="cs"/>
          <w:rtl/>
        </w:rPr>
        <w:t>:</w:t>
      </w:r>
      <w:r w:rsidRPr="005675B2">
        <w:rPr>
          <w:rFonts w:hint="cs"/>
          <w:rtl/>
        </w:rPr>
        <w:t xml:space="preserve"> وأخرج أبو القاسم اللالكائي في كتاب السنة من طريق الحسن البصري عن أمه عن أم سلمة أنها قالت</w:t>
      </w:r>
      <w:r w:rsidR="000636C2">
        <w:rPr>
          <w:rFonts w:hint="cs"/>
          <w:rtl/>
        </w:rPr>
        <w:t>:</w:t>
      </w:r>
      <w:r w:rsidRPr="005675B2">
        <w:rPr>
          <w:rFonts w:hint="cs"/>
          <w:rtl/>
        </w:rPr>
        <w:t xml:space="preserve"> الإستواء غير مجهول، والكيف غير معقول، والإقرار به إيمان، والجحود به كفر</w:t>
      </w:r>
      <w:r w:rsidR="000636C2">
        <w:rPr>
          <w:rFonts w:hint="cs"/>
          <w:rtl/>
        </w:rPr>
        <w:t>،</w:t>
      </w:r>
      <w:r w:rsidRPr="005675B2">
        <w:rPr>
          <w:rFonts w:hint="cs"/>
          <w:rtl/>
        </w:rPr>
        <w:t xml:space="preserve"> </w:t>
      </w:r>
      <w:r w:rsidR="000636C2">
        <w:rPr>
          <w:rFonts w:hint="cs"/>
          <w:rtl/>
        </w:rPr>
        <w:t>[</w:t>
      </w:r>
      <w:r w:rsidRPr="005675B2">
        <w:rPr>
          <w:rFonts w:hint="cs"/>
          <w:sz w:val="24"/>
          <w:szCs w:val="24"/>
          <w:rtl/>
        </w:rPr>
        <w:t>فتح الباري 13/342]</w:t>
      </w:r>
      <w:r w:rsidR="000636C2">
        <w:rPr>
          <w:rFonts w:hint="cs"/>
          <w:rtl/>
        </w:rPr>
        <w:t xml:space="preserve">، </w:t>
      </w:r>
      <w:r w:rsidRPr="005675B2">
        <w:rPr>
          <w:rFonts w:hint="cs"/>
          <w:rtl/>
        </w:rPr>
        <w:t>وقال الإمام الترمذي في سننه</w:t>
      </w:r>
      <w:r w:rsidR="000636C2">
        <w:rPr>
          <w:rFonts w:hint="cs"/>
          <w:rtl/>
        </w:rPr>
        <w:t>:</w:t>
      </w:r>
      <w:r w:rsidRPr="005675B2">
        <w:rPr>
          <w:rFonts w:hint="cs"/>
          <w:rtl/>
        </w:rPr>
        <w:t xml:space="preserve"> وقد قال غير واحد من أهل العلم في هذا الحديث</w:t>
      </w:r>
      <w:r w:rsidR="000636C2">
        <w:rPr>
          <w:rFonts w:hint="cs"/>
          <w:rtl/>
        </w:rPr>
        <w:t xml:space="preserve"> </w:t>
      </w:r>
      <w:r w:rsidRPr="005675B2">
        <w:rPr>
          <w:rFonts w:hint="cs"/>
          <w:rtl/>
        </w:rPr>
        <w:t>- حديث الصدقة</w:t>
      </w:r>
      <w:r w:rsidR="000636C2">
        <w:rPr>
          <w:rFonts w:hint="cs"/>
          <w:rtl/>
        </w:rPr>
        <w:t xml:space="preserve"> </w:t>
      </w:r>
      <w:r w:rsidRPr="005675B2">
        <w:rPr>
          <w:rFonts w:hint="cs"/>
          <w:rtl/>
        </w:rPr>
        <w:t>- وما يشبه هذا من الروايات في الصفات، ونزول الرب تبارك وتعالى كل ليلة إلى السماء الدنيا، قالوا</w:t>
      </w:r>
      <w:r w:rsidR="000636C2">
        <w:rPr>
          <w:rFonts w:hint="cs"/>
          <w:rtl/>
        </w:rPr>
        <w:t>:</w:t>
      </w:r>
      <w:r w:rsidRPr="005675B2">
        <w:rPr>
          <w:rFonts w:hint="cs"/>
          <w:rtl/>
        </w:rPr>
        <w:t xml:space="preserve"> قد ثبتت الروايات في هذا، ويؤمن بها، ولا يتوهم، ولا يقال</w:t>
      </w:r>
      <w:r w:rsidR="000636C2">
        <w:rPr>
          <w:rFonts w:hint="cs"/>
          <w:rtl/>
        </w:rPr>
        <w:t>:</w:t>
      </w:r>
      <w:r w:rsidRPr="005675B2">
        <w:rPr>
          <w:rFonts w:hint="cs"/>
          <w:rtl/>
        </w:rPr>
        <w:t xml:space="preserve"> كيف</w:t>
      </w:r>
      <w:r w:rsidR="000636C2">
        <w:rPr>
          <w:rFonts w:hint="cs"/>
          <w:rtl/>
        </w:rPr>
        <w:t>؟</w:t>
      </w:r>
      <w:r w:rsidRPr="005675B2">
        <w:rPr>
          <w:rFonts w:hint="cs"/>
          <w:rtl/>
        </w:rPr>
        <w:t xml:space="preserve"> هكذا روي عن مالك وسفيان بن عيينة وعبد الله بن المبارك أنهم قالوا في هذه الأحاديث</w:t>
      </w:r>
      <w:r w:rsidR="000636C2">
        <w:rPr>
          <w:rFonts w:hint="cs"/>
          <w:rtl/>
        </w:rPr>
        <w:t>:</w:t>
      </w:r>
      <w:r w:rsidRPr="005675B2">
        <w:rPr>
          <w:rFonts w:hint="cs"/>
          <w:rtl/>
        </w:rPr>
        <w:t xml:space="preserve"> أمروها بلا كيف، وهكذا قول أهل العلم من أهل السنة والجماعة</w:t>
      </w:r>
      <w:r w:rsidR="000636C2">
        <w:rPr>
          <w:rFonts w:hint="cs"/>
          <w:rtl/>
        </w:rPr>
        <w:t>،</w:t>
      </w:r>
      <w:r w:rsidRPr="005675B2">
        <w:rPr>
          <w:rFonts w:hint="cs"/>
          <w:rtl/>
        </w:rPr>
        <w:t xml:space="preserve"> [</w:t>
      </w:r>
      <w:r w:rsidRPr="005675B2">
        <w:rPr>
          <w:rFonts w:hint="cs"/>
          <w:sz w:val="24"/>
          <w:szCs w:val="24"/>
          <w:rtl/>
        </w:rPr>
        <w:t>598]</w:t>
      </w:r>
      <w:r w:rsidR="000636C2">
        <w:rPr>
          <w:rFonts w:hint="cs"/>
          <w:rtl/>
        </w:rPr>
        <w:t xml:space="preserve">، </w:t>
      </w:r>
      <w:r w:rsidRPr="005675B2">
        <w:rPr>
          <w:rFonts w:hint="cs"/>
          <w:rtl/>
        </w:rPr>
        <w:t>وقال الذهبي</w:t>
      </w:r>
      <w:r w:rsidR="000636C2">
        <w:rPr>
          <w:rFonts w:hint="cs"/>
          <w:rtl/>
        </w:rPr>
        <w:t>:</w:t>
      </w:r>
      <w:r w:rsidRPr="005675B2">
        <w:rPr>
          <w:rFonts w:hint="cs"/>
          <w:rtl/>
        </w:rPr>
        <w:t xml:space="preserve"> والمحفوظ عن مالك رحمه الله رواية الوليد بن مسلم أنه سأله عن أحاديث الصفات فقال</w:t>
      </w:r>
      <w:r w:rsidR="000636C2">
        <w:rPr>
          <w:rFonts w:hint="cs"/>
          <w:rtl/>
        </w:rPr>
        <w:t>:</w:t>
      </w:r>
      <w:r w:rsidRPr="005675B2">
        <w:rPr>
          <w:rFonts w:hint="cs"/>
          <w:rtl/>
        </w:rPr>
        <w:t xml:space="preserve"> أمروها كما جائت بلا تفسير</w:t>
      </w:r>
      <w:r w:rsidR="000636C2">
        <w:rPr>
          <w:rFonts w:hint="cs"/>
          <w:rtl/>
        </w:rPr>
        <w:t>،</w:t>
      </w:r>
      <w:r w:rsidRPr="005675B2">
        <w:rPr>
          <w:rFonts w:hint="cs"/>
          <w:rtl/>
        </w:rPr>
        <w:t xml:space="preserve"> [</w:t>
      </w:r>
      <w:r w:rsidRPr="005675B2">
        <w:rPr>
          <w:rFonts w:hint="cs"/>
          <w:sz w:val="24"/>
          <w:szCs w:val="24"/>
          <w:rtl/>
        </w:rPr>
        <w:t>سير أعلام النبلاء 8/105]</w:t>
      </w:r>
      <w:r w:rsidR="000636C2">
        <w:rPr>
          <w:rFonts w:hint="cs"/>
          <w:rtl/>
        </w:rPr>
        <w:t xml:space="preserve">، </w:t>
      </w:r>
      <w:r w:rsidRPr="005675B2">
        <w:rPr>
          <w:rFonts w:hint="cs"/>
          <w:rtl/>
        </w:rPr>
        <w:t>وقال الحافظ</w:t>
      </w:r>
      <w:r w:rsidR="000636C2">
        <w:rPr>
          <w:rFonts w:hint="cs"/>
          <w:rtl/>
        </w:rPr>
        <w:t>:</w:t>
      </w:r>
      <w:r w:rsidRPr="005675B2">
        <w:rPr>
          <w:rFonts w:hint="cs"/>
          <w:rtl/>
        </w:rPr>
        <w:t xml:space="preserve"> وأسند البيهقي بسند صحيح عن أحمد بن الحواري عن سفيان بن عيينة قال</w:t>
      </w:r>
      <w:r w:rsidR="000636C2">
        <w:rPr>
          <w:rFonts w:hint="cs"/>
          <w:rtl/>
        </w:rPr>
        <w:t>:</w:t>
      </w:r>
      <w:r w:rsidRPr="005675B2">
        <w:rPr>
          <w:rFonts w:hint="cs"/>
          <w:rtl/>
        </w:rPr>
        <w:t xml:space="preserve"> كل ما وصف الله به نفسه في كتابه فتفسيره تلاوته والسكوت عنه</w:t>
      </w:r>
      <w:r w:rsidR="000636C2">
        <w:rPr>
          <w:rFonts w:hint="cs"/>
          <w:rtl/>
        </w:rPr>
        <w:t>،</w:t>
      </w:r>
      <w:r w:rsidRPr="005675B2">
        <w:rPr>
          <w:rFonts w:hint="cs"/>
          <w:rtl/>
        </w:rPr>
        <w:t xml:space="preserve"> [</w:t>
      </w:r>
      <w:r w:rsidRPr="005675B2">
        <w:rPr>
          <w:rFonts w:hint="cs"/>
          <w:sz w:val="24"/>
          <w:szCs w:val="24"/>
          <w:rtl/>
        </w:rPr>
        <w:t>فتح الباري 13/343]</w:t>
      </w:r>
      <w:r w:rsidR="000636C2">
        <w:rPr>
          <w:rFonts w:hint="cs"/>
          <w:rtl/>
        </w:rPr>
        <w:t>،</w:t>
      </w:r>
      <w:r w:rsidRPr="005675B2">
        <w:rPr>
          <w:rFonts w:hint="cs"/>
          <w:rtl/>
        </w:rPr>
        <w:t xml:space="preserve"> وقال الترمذي عند الكلام على حديث </w:t>
      </w:r>
      <w:r w:rsidR="000636C2">
        <w:rPr>
          <w:rFonts w:hint="cs"/>
          <w:rtl/>
        </w:rPr>
        <w:t>(</w:t>
      </w:r>
      <w:r w:rsidRPr="005675B2">
        <w:rPr>
          <w:rFonts w:hint="cs"/>
          <w:rtl/>
        </w:rPr>
        <w:t>يمين الرحمن ملأى سخاء</w:t>
      </w:r>
      <w:r w:rsidR="000636C2">
        <w:rPr>
          <w:rFonts w:hint="cs"/>
          <w:rtl/>
        </w:rPr>
        <w:t>):</w:t>
      </w:r>
      <w:r w:rsidRPr="005675B2">
        <w:rPr>
          <w:rFonts w:hint="cs"/>
          <w:rtl/>
        </w:rPr>
        <w:t xml:space="preserve"> وهذا حديث قد روته الأئمة، نؤمن به كما جاء من غير أن يفسر أو يتوهم، هكذا قال غير واحد من الأئمة</w:t>
      </w:r>
      <w:r w:rsidR="000636C2">
        <w:rPr>
          <w:rFonts w:hint="cs"/>
          <w:rtl/>
        </w:rPr>
        <w:t>،</w:t>
      </w:r>
      <w:r w:rsidRPr="005675B2">
        <w:rPr>
          <w:rFonts w:hint="cs"/>
          <w:rtl/>
        </w:rPr>
        <w:t xml:space="preserve"> منهم الثوري، ومالك بن أنس، وابن عيينة، وابن المبارك أنه تروى هذه الأشياء ويؤمن بها فلا يقال</w:t>
      </w:r>
      <w:r w:rsidR="000636C2">
        <w:rPr>
          <w:rFonts w:hint="cs"/>
          <w:rtl/>
        </w:rPr>
        <w:t>:</w:t>
      </w:r>
      <w:r w:rsidRPr="005675B2">
        <w:rPr>
          <w:rFonts w:hint="cs"/>
          <w:rtl/>
        </w:rPr>
        <w:t xml:space="preserve"> كيف</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ونقل ابن أبي يعلى في "طبقات الحنابلة" عن أبي محمد البربهاري شيخ الحنابلة في بغداد تـ329 وكان معاصرا للإمام أبي الحسن الأشعري</w:t>
      </w:r>
      <w:r w:rsidR="000636C2">
        <w:rPr>
          <w:rFonts w:hint="cs"/>
          <w:rtl/>
        </w:rPr>
        <w:t>،</w:t>
      </w:r>
      <w:r w:rsidRPr="005675B2">
        <w:rPr>
          <w:rFonts w:hint="cs"/>
          <w:rtl/>
        </w:rPr>
        <w:t xml:space="preserve"> أنه قال</w:t>
      </w:r>
      <w:r w:rsidR="000636C2">
        <w:rPr>
          <w:rFonts w:hint="cs"/>
          <w:rtl/>
        </w:rPr>
        <w:t>:</w:t>
      </w:r>
      <w:r w:rsidRPr="005675B2">
        <w:rPr>
          <w:rFonts w:hint="cs"/>
          <w:rtl/>
        </w:rPr>
        <w:t xml:space="preserve"> وكل ما سمعت من الآثار شيئا لم يبلغه عقلك نحو قول رسول الله صلي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قلوب العباد بين إصبعين من أصابع الرحمن</w:t>
      </w:r>
      <w:r w:rsidR="000636C2">
        <w:rPr>
          <w:rFonts w:hint="cs"/>
          <w:rtl/>
        </w:rPr>
        <w:t>)</w:t>
      </w:r>
      <w:r w:rsidRPr="005675B2">
        <w:rPr>
          <w:rFonts w:hint="cs"/>
          <w:rtl/>
        </w:rPr>
        <w:t xml:space="preserve"> وقوله</w:t>
      </w:r>
      <w:r w:rsidR="000636C2">
        <w:rPr>
          <w:rFonts w:hint="cs"/>
          <w:rtl/>
        </w:rPr>
        <w:t>:(</w:t>
      </w:r>
      <w:r w:rsidRPr="005675B2">
        <w:rPr>
          <w:rFonts w:hint="cs"/>
          <w:rtl/>
        </w:rPr>
        <w:t>إن الله ينزل الي سماء الدنيا</w:t>
      </w:r>
      <w:r w:rsidR="000636C2">
        <w:rPr>
          <w:rFonts w:hint="cs"/>
          <w:rtl/>
        </w:rPr>
        <w:t>،</w:t>
      </w:r>
      <w:r w:rsidRPr="005675B2">
        <w:rPr>
          <w:rFonts w:hint="cs"/>
          <w:rtl/>
        </w:rPr>
        <w:t xml:space="preserve"> وينزل يوم عرفة</w:t>
      </w:r>
      <w:r w:rsidR="000636C2">
        <w:rPr>
          <w:rFonts w:hint="cs"/>
          <w:rtl/>
        </w:rPr>
        <w:t>،</w:t>
      </w:r>
      <w:r w:rsidRPr="005675B2">
        <w:rPr>
          <w:rFonts w:hint="cs"/>
          <w:rtl/>
        </w:rPr>
        <w:t xml:space="preserve"> وينزل يوم القيامة</w:t>
      </w:r>
      <w:r w:rsidR="000636C2">
        <w:rPr>
          <w:rFonts w:hint="cs"/>
          <w:rtl/>
        </w:rPr>
        <w:t>)</w:t>
      </w:r>
      <w:r w:rsidRPr="005675B2">
        <w:rPr>
          <w:rFonts w:hint="cs"/>
          <w:rtl/>
        </w:rPr>
        <w:t xml:space="preserve"> و</w:t>
      </w:r>
      <w:r w:rsidR="000636C2">
        <w:rPr>
          <w:rFonts w:hint="cs"/>
          <w:rtl/>
        </w:rPr>
        <w:t>(</w:t>
      </w:r>
      <w:r w:rsidRPr="005675B2">
        <w:rPr>
          <w:rFonts w:hint="cs"/>
          <w:rtl/>
        </w:rPr>
        <w:t>إن جهنم لا يزال يطرح فيها حتى يضع عليها قدمه جل ثناءه</w:t>
      </w:r>
      <w:r w:rsidR="000636C2">
        <w:rPr>
          <w:rFonts w:hint="cs"/>
          <w:rtl/>
        </w:rPr>
        <w:t>)</w:t>
      </w:r>
      <w:r w:rsidRPr="005675B2">
        <w:rPr>
          <w:rFonts w:hint="cs"/>
          <w:rtl/>
        </w:rPr>
        <w:t xml:space="preserve"> وقول الله تعالي للعبد </w:t>
      </w:r>
      <w:r w:rsidR="000636C2">
        <w:rPr>
          <w:rFonts w:hint="cs"/>
          <w:rtl/>
        </w:rPr>
        <w:t>(</w:t>
      </w:r>
      <w:r w:rsidRPr="005675B2">
        <w:rPr>
          <w:rFonts w:hint="cs"/>
          <w:rtl/>
        </w:rPr>
        <w:t>إن مشيتَ إليَّ هَرْوَلْتُ إليك</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خلق الله آدم علي صورته</w:t>
      </w:r>
      <w:r w:rsidR="000636C2">
        <w:rPr>
          <w:rFonts w:hint="cs"/>
          <w:rtl/>
        </w:rPr>
        <w:t>)</w:t>
      </w:r>
      <w:r w:rsidRPr="005675B2">
        <w:rPr>
          <w:rFonts w:hint="cs"/>
          <w:rtl/>
        </w:rPr>
        <w:t xml:space="preserve"> وقول رسول الله صلي الله عليه وسلم</w:t>
      </w:r>
      <w:r w:rsidR="000636C2">
        <w:rPr>
          <w:rFonts w:hint="cs"/>
          <w:rtl/>
        </w:rPr>
        <w:t>:</w:t>
      </w:r>
      <w:r w:rsidRPr="005675B2">
        <w:rPr>
          <w:rFonts w:hint="cs"/>
          <w:rtl/>
        </w:rPr>
        <w:t xml:space="preserve"> </w:t>
      </w:r>
      <w:r w:rsidR="000636C2">
        <w:rPr>
          <w:rFonts w:hint="cs"/>
          <w:rtl/>
        </w:rPr>
        <w:t>(</w:t>
      </w:r>
      <w:r w:rsidRPr="005675B2">
        <w:rPr>
          <w:rFonts w:hint="cs"/>
          <w:rtl/>
        </w:rPr>
        <w:t>رأيت ربي في أحسن صورة</w:t>
      </w:r>
      <w:r w:rsidR="000636C2">
        <w:rPr>
          <w:rFonts w:hint="cs"/>
          <w:rtl/>
        </w:rPr>
        <w:t>)</w:t>
      </w:r>
      <w:r w:rsidRPr="005675B2">
        <w:rPr>
          <w:rFonts w:hint="cs"/>
          <w:rtl/>
        </w:rPr>
        <w:t xml:space="preserve"> وأشباه هذه الأحاديث، فعليك بالتسليم والتصديق والتفويض والرضاء ولا تفسر شيئا من هذه بهواك، فإن الايمان بها واجب، فمن فسر شيئا من هذا بهواه ورده فهو جهمي</w:t>
      </w:r>
      <w:r w:rsidR="000636C2">
        <w:rPr>
          <w:rFonts w:hint="cs"/>
          <w:rtl/>
        </w:rPr>
        <w:t>،</w:t>
      </w:r>
      <w:r w:rsidRPr="005675B2">
        <w:rPr>
          <w:rFonts w:hint="cs"/>
          <w:rtl/>
        </w:rPr>
        <w:t xml:space="preserve"> انتهي</w:t>
      </w:r>
      <w:r w:rsidR="000636C2">
        <w:rPr>
          <w:rFonts w:hint="cs"/>
          <w:rtl/>
        </w:rPr>
        <w:t>،</w:t>
      </w:r>
      <w:r w:rsidRPr="005675B2">
        <w:rPr>
          <w:rFonts w:hint="cs"/>
          <w:rtl/>
        </w:rPr>
        <w:t xml:space="preserve"> [</w:t>
      </w:r>
      <w:r w:rsidRPr="005675B2">
        <w:rPr>
          <w:rFonts w:hint="cs"/>
          <w:sz w:val="24"/>
          <w:szCs w:val="24"/>
          <w:rtl/>
        </w:rPr>
        <w:t>طبقات الحنابلة 2/23]</w:t>
      </w:r>
      <w:r w:rsidR="000636C2">
        <w:rPr>
          <w:rFonts w:hint="cs"/>
          <w:rtl/>
        </w:rPr>
        <w:t xml:space="preserve">، </w:t>
      </w:r>
      <w:r w:rsidRPr="005675B2">
        <w:rPr>
          <w:rFonts w:hint="cs"/>
          <w:rtl/>
        </w:rPr>
        <w:t>وقال البيهقي أخبرنا أبو عبد الله الحافظ، قال</w:t>
      </w:r>
      <w:r w:rsidR="000636C2">
        <w:rPr>
          <w:rFonts w:hint="cs"/>
          <w:rtl/>
        </w:rPr>
        <w:t>:</w:t>
      </w:r>
      <w:r w:rsidRPr="005675B2">
        <w:rPr>
          <w:rFonts w:hint="cs"/>
          <w:rtl/>
        </w:rPr>
        <w:t xml:space="preserve"> سمعت أبا محمد أحمد بن عبد الله المزني يقول</w:t>
      </w:r>
      <w:r w:rsidR="000636C2">
        <w:rPr>
          <w:rFonts w:hint="cs"/>
          <w:rtl/>
        </w:rPr>
        <w:t>:</w:t>
      </w:r>
      <w:r w:rsidRPr="005675B2">
        <w:rPr>
          <w:rFonts w:hint="cs"/>
          <w:rtl/>
        </w:rPr>
        <w:t xml:space="preserve"> حديث النزول قد ثبت عن رسول الله صلى الله عليه وآله وسلم من وجوه صحيحة وورد في التنزيل ما يصدقه وهو قوله تعالى</w:t>
      </w:r>
      <w:r w:rsidR="000636C2">
        <w:rPr>
          <w:rFonts w:hint="cs"/>
          <w:rtl/>
        </w:rPr>
        <w:t>:</w:t>
      </w:r>
      <w:r w:rsidRPr="005675B2">
        <w:rPr>
          <w:rFonts w:hint="cs"/>
          <w:rtl/>
        </w:rPr>
        <w:t xml:space="preserve"> </w:t>
      </w:r>
      <w:r w:rsidR="000636C2">
        <w:rPr>
          <w:rFonts w:hint="cs"/>
          <w:rtl/>
        </w:rPr>
        <w:t>(</w:t>
      </w:r>
      <w:r w:rsidRPr="005675B2">
        <w:rPr>
          <w:rFonts w:hint="cs"/>
          <w:rtl/>
        </w:rPr>
        <w:t>وجاء ربك والملك صفا صفا</w:t>
      </w:r>
      <w:r w:rsidR="000636C2">
        <w:rPr>
          <w:rFonts w:hint="cs"/>
          <w:rtl/>
        </w:rPr>
        <w:t>)</w:t>
      </w:r>
      <w:r w:rsidRPr="005675B2">
        <w:rPr>
          <w:rFonts w:hint="cs"/>
          <w:rtl/>
        </w:rPr>
        <w:t xml:space="preserve"> والنزول والمجيء صفتان منفيتان عن الله تعالى من طريق الحركة والانتقال من حال إلى حال، بل هما صفتان من صفات الله تعالى بلا تشبيه جل الله تعالى عما تقول المعطلة لصفاته والمشبهة بها علوا كبيرا</w:t>
      </w:r>
      <w:r w:rsidR="000636C2">
        <w:rPr>
          <w:rFonts w:hint="cs"/>
          <w:rtl/>
        </w:rPr>
        <w:t>،</w:t>
      </w:r>
      <w:r w:rsidRPr="005675B2">
        <w:rPr>
          <w:rFonts w:hint="cs"/>
          <w:rtl/>
        </w:rPr>
        <w:t xml:space="preserve"> قلت</w:t>
      </w:r>
      <w:r w:rsidR="000636C2">
        <w:rPr>
          <w:rFonts w:hint="cs"/>
          <w:rtl/>
        </w:rPr>
        <w:t xml:space="preserve"> </w:t>
      </w:r>
      <w:r w:rsidRPr="005675B2">
        <w:rPr>
          <w:rFonts w:hint="cs"/>
          <w:rtl/>
        </w:rPr>
        <w:t>- القائل البيهقي</w:t>
      </w:r>
      <w:r w:rsidR="000636C2">
        <w:rPr>
          <w:rFonts w:hint="cs"/>
          <w:rtl/>
        </w:rPr>
        <w:t xml:space="preserve"> </w:t>
      </w:r>
      <w:r w:rsidRPr="005675B2">
        <w:rPr>
          <w:rFonts w:hint="cs"/>
          <w:rtl/>
        </w:rPr>
        <w:t>-</w:t>
      </w:r>
      <w:r w:rsidR="000636C2">
        <w:rPr>
          <w:rFonts w:hint="cs"/>
          <w:rtl/>
        </w:rPr>
        <w:t>:</w:t>
      </w:r>
      <w:r w:rsidRPr="005675B2">
        <w:rPr>
          <w:rFonts w:hint="cs"/>
          <w:rtl/>
        </w:rPr>
        <w:t xml:space="preserve"> وكان أبو سليمان الخطابي رحمه الله تعالى يقول</w:t>
      </w:r>
      <w:r w:rsidR="000636C2">
        <w:rPr>
          <w:rFonts w:hint="cs"/>
          <w:rtl/>
        </w:rPr>
        <w:t>:</w:t>
      </w:r>
      <w:r w:rsidRPr="005675B2">
        <w:rPr>
          <w:rFonts w:hint="cs"/>
          <w:rtl/>
        </w:rPr>
        <w:t xml:space="preserve"> إنما ينكر هذا وما أشبهه من الحديث من يقيس الأمور في ذلك بما يشاهده من النزول الذي هو تدل من أعلى إلى أسفل، وانتقال من فوق إلى تحت، وهذه صفة الأجسام والأشباح</w:t>
      </w:r>
      <w:r w:rsidR="000636C2">
        <w:rPr>
          <w:rFonts w:hint="cs"/>
          <w:rtl/>
        </w:rPr>
        <w:t xml:space="preserve">، </w:t>
      </w:r>
      <w:r w:rsidRPr="005675B2">
        <w:rPr>
          <w:rFonts w:hint="cs"/>
          <w:rtl/>
        </w:rPr>
        <w:t>فأما نزول من لا تستولي عليه صفات الأجسام فإن هذه المعاني غير متوهمة، وإنما هو خبر عن قدرته تعالى ورأفته بعباده، وعطفه عليهم، واستجابته دعائهم، ومغفرته لهم</w:t>
      </w:r>
      <w:r w:rsidR="000636C2">
        <w:rPr>
          <w:rFonts w:hint="cs"/>
          <w:rtl/>
        </w:rPr>
        <w:t>،</w:t>
      </w:r>
      <w:r w:rsidRPr="005675B2">
        <w:rPr>
          <w:rFonts w:hint="cs"/>
          <w:rtl/>
        </w:rPr>
        <w:t xml:space="preserve"> يفعل ما يشاء</w:t>
      </w:r>
      <w:r w:rsidR="000636C2">
        <w:rPr>
          <w:rFonts w:hint="cs"/>
          <w:rtl/>
        </w:rPr>
        <w:t>،</w:t>
      </w:r>
      <w:r w:rsidRPr="005675B2">
        <w:rPr>
          <w:rFonts w:hint="cs"/>
          <w:rtl/>
        </w:rPr>
        <w:t xml:space="preserve"> لا يتوجه على صفاته كيفية، ولا على أفعاله كمية</w:t>
      </w:r>
      <w:r w:rsidR="000636C2">
        <w:rPr>
          <w:rFonts w:hint="cs"/>
          <w:rtl/>
        </w:rPr>
        <w:t>،</w:t>
      </w:r>
      <w:r w:rsidRPr="005675B2">
        <w:rPr>
          <w:rFonts w:hint="cs"/>
          <w:rtl/>
        </w:rPr>
        <w:t xml:space="preserve"> سبحانه ليس كمثله شيء وهو السميع البصير</w:t>
      </w:r>
      <w:r w:rsidR="000636C2">
        <w:rPr>
          <w:rFonts w:hint="cs"/>
          <w:rtl/>
        </w:rPr>
        <w:t>،</w:t>
      </w:r>
      <w:r w:rsidRPr="005675B2">
        <w:rPr>
          <w:rFonts w:hint="cs"/>
          <w:rtl/>
        </w:rPr>
        <w:t xml:space="preserve"> انتهى كلام البيهقي</w:t>
      </w:r>
      <w:r w:rsidR="000636C2">
        <w:rPr>
          <w:rFonts w:hint="cs"/>
          <w:rtl/>
        </w:rPr>
        <w:t>،</w:t>
      </w:r>
      <w:r w:rsidRPr="005675B2">
        <w:rPr>
          <w:rFonts w:hint="cs"/>
          <w:rtl/>
        </w:rPr>
        <w:t xml:space="preserve"> [</w:t>
      </w:r>
      <w:r w:rsidRPr="005675B2">
        <w:rPr>
          <w:rFonts w:hint="cs"/>
          <w:sz w:val="24"/>
          <w:szCs w:val="24"/>
          <w:rtl/>
        </w:rPr>
        <w:t>السنن الكبرى 3/3</w:t>
      </w:r>
      <w:r w:rsidRPr="005675B2">
        <w:rPr>
          <w:rFonts w:hint="cs"/>
          <w:rtl/>
        </w:rPr>
        <w:t>]</w:t>
      </w:r>
      <w:r w:rsidR="000636C2">
        <w:rPr>
          <w:rFonts w:hint="cs"/>
          <w:rtl/>
        </w:rPr>
        <w:t>،</w:t>
      </w:r>
      <w:r w:rsidRPr="005675B2">
        <w:rPr>
          <w:rFonts w:hint="cs"/>
          <w:rtl/>
        </w:rPr>
        <w:t xml:space="preserve"> هذه النصوص الواردة عن سلف الأمة</w:t>
      </w:r>
      <w:r w:rsidR="000636C2">
        <w:rPr>
          <w:rFonts w:hint="cs"/>
          <w:rtl/>
        </w:rPr>
        <w:t xml:space="preserve"> </w:t>
      </w:r>
      <w:r w:rsidRPr="005675B2">
        <w:rPr>
          <w:rFonts w:hint="cs"/>
          <w:rtl/>
        </w:rPr>
        <w:t>- وهي غيض من فيض وقليل من كثير - بعضها ظاهر، وبعضها الآخر صريح في أن السلف كان مذهبهم التفويض</w:t>
      </w:r>
      <w:r w:rsidR="000636C2">
        <w:rPr>
          <w:rFonts w:hint="cs"/>
          <w:rtl/>
        </w:rPr>
        <w:t>،</w:t>
      </w:r>
      <w:r w:rsidRPr="005675B2">
        <w:rPr>
          <w:rFonts w:hint="cs"/>
          <w:rtl/>
        </w:rPr>
        <w:t xml:space="preserve"> وهو الصرف عن المعنى الحقيقي بدون تعيين للمعنى المجازي أو المعنى الكنائي، فإن ما نقله الذهبي عن الإمام المالك من أنه قال</w:t>
      </w:r>
      <w:r w:rsidR="000636C2">
        <w:rPr>
          <w:rFonts w:hint="cs"/>
          <w:rtl/>
        </w:rPr>
        <w:t>:</w:t>
      </w:r>
      <w:r w:rsidRPr="005675B2">
        <w:rPr>
          <w:rFonts w:hint="cs"/>
          <w:rtl/>
        </w:rPr>
        <w:t xml:space="preserve"> </w:t>
      </w:r>
      <w:r w:rsidR="000636C2">
        <w:rPr>
          <w:rFonts w:hint="cs"/>
          <w:rtl/>
        </w:rPr>
        <w:t>(</w:t>
      </w:r>
      <w:r w:rsidRPr="005675B2">
        <w:rPr>
          <w:rFonts w:hint="cs"/>
          <w:rtl/>
        </w:rPr>
        <w:t>أمروها كما جاءت بلا تفسير</w:t>
      </w:r>
      <w:r w:rsidR="000636C2">
        <w:rPr>
          <w:rFonts w:hint="cs"/>
          <w:rtl/>
        </w:rPr>
        <w:t>)</w:t>
      </w:r>
      <w:r w:rsidRPr="005675B2">
        <w:rPr>
          <w:rFonts w:hint="cs"/>
          <w:rtl/>
        </w:rPr>
        <w:t xml:space="preserve"> صريح في ذلك</w:t>
      </w:r>
      <w:r w:rsidR="000636C2">
        <w:rPr>
          <w:rFonts w:hint="cs"/>
          <w:rtl/>
        </w:rPr>
        <w:t>،</w:t>
      </w:r>
      <w:r w:rsidRPr="005675B2">
        <w:rPr>
          <w:rFonts w:hint="cs"/>
          <w:rtl/>
        </w:rPr>
        <w:t xml:space="preserve"> وكذلك ما نقله الحافظ العسقلاني عن سفيان بن عيينة أنه قال</w:t>
      </w:r>
      <w:r w:rsidR="000636C2">
        <w:rPr>
          <w:rFonts w:hint="cs"/>
          <w:rtl/>
        </w:rPr>
        <w:t>:</w:t>
      </w:r>
      <w:r w:rsidRPr="005675B2">
        <w:rPr>
          <w:rFonts w:hint="cs"/>
          <w:rtl/>
        </w:rPr>
        <w:t xml:space="preserve"> </w:t>
      </w:r>
      <w:r w:rsidR="000636C2">
        <w:rPr>
          <w:rFonts w:hint="cs"/>
          <w:rtl/>
        </w:rPr>
        <w:t>(</w:t>
      </w:r>
      <w:r w:rsidRPr="005675B2">
        <w:rPr>
          <w:rFonts w:hint="cs"/>
          <w:rtl/>
        </w:rPr>
        <w:t>كل ما وصف به نفسه في كتابه فتفسيره تلاوته، والسكوت عنه</w:t>
      </w:r>
      <w:r w:rsidR="000636C2">
        <w:rPr>
          <w:rFonts w:hint="cs"/>
          <w:rtl/>
        </w:rPr>
        <w:t>)</w:t>
      </w:r>
      <w:r w:rsidRPr="005675B2">
        <w:rPr>
          <w:rFonts w:hint="cs"/>
          <w:rtl/>
        </w:rPr>
        <w:t>، ومثله كلام البربهاري، وذلك لأنه حكم أولا بأن هذه النصوص لا تبلغها العقول، ثم حكم بوجوب التصديق والتفويض لها، وعدم تفسيرها</w:t>
      </w:r>
      <w:r w:rsidR="000636C2">
        <w:rPr>
          <w:rFonts w:hint="cs"/>
          <w:rtl/>
        </w:rPr>
        <w:t>،</w:t>
      </w:r>
      <w:r w:rsidRPr="005675B2">
        <w:rPr>
          <w:rFonts w:hint="cs"/>
          <w:rtl/>
        </w:rPr>
        <w:t xml:space="preserve"> وكذلك ما نقله البيهقي عن أحمد بن عبد الله المزني، وذلك حيث نفى المعنى الحقيقي للنزول والمجيء بقوله</w:t>
      </w:r>
      <w:r w:rsidR="000636C2">
        <w:rPr>
          <w:rFonts w:hint="cs"/>
          <w:rtl/>
        </w:rPr>
        <w:t>:</w:t>
      </w:r>
      <w:r w:rsidRPr="005675B2">
        <w:rPr>
          <w:rFonts w:hint="cs"/>
          <w:rtl/>
        </w:rPr>
        <w:t xml:space="preserve"> « والنزول والمجيء صفتان منفيتان عن الله تعالى من طريق الحركة والانتقال من حال إلى حال »، ثم فوض المعني المراد إلي الله تعالى بقوله</w:t>
      </w:r>
      <w:r w:rsidR="000636C2">
        <w:rPr>
          <w:rFonts w:hint="cs"/>
          <w:rtl/>
        </w:rPr>
        <w:t>:</w:t>
      </w:r>
      <w:r w:rsidRPr="005675B2">
        <w:rPr>
          <w:rFonts w:hint="cs"/>
          <w:rtl/>
        </w:rPr>
        <w:t xml:space="preserve"> « بل هما صفتان من صفات الله تعالى بلا تشبيه »</w:t>
      </w:r>
      <w:r w:rsidR="000636C2">
        <w:rPr>
          <w:rFonts w:hint="cs"/>
          <w:rtl/>
        </w:rPr>
        <w:t xml:space="preserve">، </w:t>
      </w:r>
      <w:r w:rsidRPr="005675B2">
        <w:rPr>
          <w:rFonts w:hint="cs"/>
          <w:rtl/>
        </w:rPr>
        <w:t>وتعبير البربهاري عن كل من المجيء والنزول بالصفة جار على طريقة فريق من السلف منهم الإمام أبو حنيفة في “ الفقه الأكبر “ والإمام أبو الحسن الأشعري في “ الإبانة “ يعبرون عن مثلها بالصفات، فيقولون</w:t>
      </w:r>
      <w:r w:rsidR="000636C2">
        <w:rPr>
          <w:rFonts w:hint="cs"/>
          <w:rtl/>
        </w:rPr>
        <w:t>:</w:t>
      </w:r>
      <w:r w:rsidRPr="005675B2">
        <w:rPr>
          <w:rFonts w:hint="cs"/>
          <w:rtl/>
        </w:rPr>
        <w:t xml:space="preserve"> يد الله صفة له وعينه صفة له، وهكذا كل ما ورد في الكتاب والسنة مما يكون حمله على حقيقته مفضيا إلى التشبيه المنفي بقوله تعالى </w:t>
      </w:r>
      <w:r w:rsidR="000636C2">
        <w:rPr>
          <w:rFonts w:hint="cs"/>
          <w:rtl/>
        </w:rPr>
        <w:t>(</w:t>
      </w:r>
      <w:r w:rsidRPr="005675B2">
        <w:rPr>
          <w:rFonts w:hint="cs"/>
          <w:rtl/>
        </w:rPr>
        <w:t>ليس كمثله شيء</w:t>
      </w:r>
      <w:r w:rsidR="000636C2">
        <w:rPr>
          <w:rFonts w:hint="cs"/>
          <w:rtl/>
        </w:rPr>
        <w:t>)</w:t>
      </w:r>
      <w:r w:rsidRPr="005675B2">
        <w:rPr>
          <w:rFonts w:hint="cs"/>
          <w:rtl/>
        </w:rPr>
        <w:t>، فمن قال من السلف إن العين صفة تبرأ بهذا القول عن القول بالجارحة، بل يكون قائلا بأن المراد معنى قائم بالله، وكذلك اليد، لكن يقول لا أعين ذلك المعنى المراد، بأن أقول</w:t>
      </w:r>
      <w:r w:rsidR="000636C2">
        <w:rPr>
          <w:rFonts w:hint="cs"/>
          <w:rtl/>
        </w:rPr>
        <w:t>:</w:t>
      </w:r>
      <w:r w:rsidRPr="005675B2">
        <w:rPr>
          <w:rFonts w:hint="cs"/>
          <w:rtl/>
        </w:rPr>
        <w:t xml:space="preserve"> إنه الحفظ أو القدرة أو النعمة، أو العناية الخاصة، لكون تعيين المراد من بين المحتملات الموافقة للتنزيه تحكم على مراد الله تعالى</w:t>
      </w:r>
      <w:r w:rsidR="000636C2">
        <w:rPr>
          <w:rFonts w:hint="cs"/>
          <w:rtl/>
        </w:rPr>
        <w:t xml:space="preserve">، </w:t>
      </w:r>
      <w:r w:rsidRPr="005675B2">
        <w:rPr>
          <w:rFonts w:hint="cs"/>
          <w:rtl/>
        </w:rPr>
        <w:t>وتسميته لهما صفتين يدل على أنه جازم بأنهما ليسا من قبيل أجزاء الذات تعالى الله عن ذلك</w:t>
      </w:r>
      <w:r w:rsidR="000636C2">
        <w:rPr>
          <w:rFonts w:hint="cs"/>
          <w:rtl/>
        </w:rPr>
        <w:t xml:space="preserve">، </w:t>
      </w:r>
      <w:r w:rsidRPr="005675B2">
        <w:rPr>
          <w:rFonts w:hint="cs"/>
          <w:rtl/>
        </w:rPr>
        <w:t>وأما من قال</w:t>
      </w:r>
      <w:r w:rsidR="000636C2">
        <w:rPr>
          <w:rFonts w:hint="cs"/>
          <w:rtl/>
        </w:rPr>
        <w:t>:</w:t>
      </w:r>
      <w:r w:rsidRPr="005675B2">
        <w:rPr>
          <w:rFonts w:hint="cs"/>
          <w:rtl/>
        </w:rPr>
        <w:t xml:space="preserve"> له يد يبطش بها، وعين يرى بها فقد جعلهما من قبيل الجوارح، وخالف السلف الصالح</w:t>
      </w:r>
      <w:r w:rsidR="000636C2">
        <w:rPr>
          <w:rFonts w:hint="cs"/>
          <w:rtl/>
        </w:rPr>
        <w:t>،</w:t>
      </w:r>
      <w:r w:rsidRPr="005675B2">
        <w:rPr>
          <w:rFonts w:hint="cs"/>
          <w:rtl/>
        </w:rPr>
        <w:t xml:space="preserve"> نعم قد يقع في كلام من يميل إلى التشبيه ذكر الوجه والعين واليد وغيرها بأنها صفات، لكن السياق والسباق في كلامه يناديان أنهم أرادوا بها أجزاء الذات لا المعاني القائمة بالله تعالى كما يقول السلف</w:t>
      </w:r>
      <w:r w:rsidR="000636C2">
        <w:rPr>
          <w:rFonts w:hint="cs"/>
          <w:rtl/>
        </w:rPr>
        <w:t>،</w:t>
      </w:r>
      <w:r w:rsidRPr="005675B2">
        <w:rPr>
          <w:rFonts w:hint="cs"/>
          <w:rtl/>
        </w:rPr>
        <w:t xml:space="preserve"> يقول ابن تيمية في "الأجوبة المصرية"</w:t>
      </w:r>
      <w:r w:rsidR="000636C2">
        <w:rPr>
          <w:rFonts w:hint="cs"/>
          <w:rtl/>
        </w:rPr>
        <w:t>:</w:t>
      </w:r>
      <w:r w:rsidRPr="005675B2">
        <w:rPr>
          <w:rFonts w:hint="cs"/>
          <w:rtl/>
        </w:rPr>
        <w:t xml:space="preserve"> إن الله يقبض السموات والأرض باليدين اللتين هما اليدان</w:t>
      </w:r>
      <w:r w:rsidR="000636C2">
        <w:rPr>
          <w:rFonts w:hint="cs"/>
          <w:rtl/>
        </w:rPr>
        <w:t>،</w:t>
      </w:r>
      <w:r w:rsidRPr="005675B2">
        <w:rPr>
          <w:rFonts w:hint="cs"/>
          <w:rtl/>
        </w:rPr>
        <w:t xml:space="preserve"> فما يجدي بعد هذا التصريح أن يسمى اليد صفة، وذلك أنه حمل القبض على القبض الحسي، وذلك من لوازم الجارحة والتجسيم</w:t>
      </w:r>
      <w:r w:rsidR="000636C2">
        <w:rPr>
          <w:rFonts w:hint="cs"/>
          <w:rtl/>
        </w:rPr>
        <w:t>،</w:t>
      </w:r>
      <w:r w:rsidRPr="005675B2">
        <w:rPr>
          <w:rFonts w:hint="cs"/>
          <w:rtl/>
        </w:rPr>
        <w:t xml:space="preserve"> وأما ما نقله البيهقي عن الخطابي فجار على طريقة التأويل حيث عين المعنى المجازي بقوله</w:t>
      </w:r>
      <w:r w:rsidR="000636C2">
        <w:rPr>
          <w:rFonts w:hint="cs"/>
          <w:rtl/>
        </w:rPr>
        <w:t>:</w:t>
      </w:r>
      <w:r w:rsidRPr="005675B2">
        <w:rPr>
          <w:rFonts w:hint="cs"/>
          <w:rtl/>
        </w:rPr>
        <w:t xml:space="preserve"> « وإنما هو خبر عن قدرته تعالى ورأفته بعباده وعطفه عليهم واستجابته دعائهم »</w:t>
      </w:r>
      <w:r w:rsidR="000636C2">
        <w:rPr>
          <w:rFonts w:hint="cs"/>
          <w:rtl/>
        </w:rPr>
        <w:t>،</w:t>
      </w:r>
      <w:r w:rsidRPr="005675B2">
        <w:rPr>
          <w:rFonts w:hint="cs"/>
          <w:rtl/>
        </w:rPr>
        <w:t xml:space="preserve"> وهذا ما ذهب إليه فريق من المحققين كتاج الدين السبكي وسعد الدين التفتازاني والسيد الشريف الجرجاني من أن هذه النصوص من قبيل الاستعارة المركبة ويسمونها بالاستعارة التمثيلية، وبالتمثيل، ويدل عليه كلام الإمام تقي الدين السبكي الذي أوردناه آنفا</w:t>
      </w:r>
      <w:r w:rsidR="000636C2">
        <w:rPr>
          <w:rFonts w:hint="cs"/>
          <w:rtl/>
        </w:rPr>
        <w:t>،</w:t>
      </w:r>
      <w:r w:rsidRPr="005675B2">
        <w:rPr>
          <w:rFonts w:hint="cs"/>
          <w:rtl/>
        </w:rPr>
        <w:t xml:space="preserve"> وأما ما ذهب إليه بعض من يميل إلى التشبيه من أن مذهب السلف في هذه النصوص هو بقاؤها على معانيها الحقيقية مع نفي الكيفية عنها</w:t>
      </w:r>
      <w:r w:rsidR="000636C2">
        <w:rPr>
          <w:rFonts w:hint="cs"/>
          <w:rtl/>
        </w:rPr>
        <w:t>،</w:t>
      </w:r>
      <w:r w:rsidRPr="005675B2">
        <w:rPr>
          <w:rFonts w:hint="cs"/>
          <w:rtl/>
        </w:rPr>
        <w:t xml:space="preserve"> فهذا القول مخالف لصريح كلام السلف</w:t>
      </w:r>
      <w:r w:rsidR="000636C2">
        <w:rPr>
          <w:rFonts w:hint="cs"/>
          <w:rtl/>
        </w:rPr>
        <w:t>،</w:t>
      </w:r>
      <w:r w:rsidRPr="005675B2">
        <w:rPr>
          <w:rFonts w:hint="cs"/>
          <w:rtl/>
        </w:rPr>
        <w:t xml:space="preserve"> ثم إنه كلام فاسد في نفسه ومتناقض</w:t>
      </w:r>
      <w:r w:rsidR="000636C2">
        <w:rPr>
          <w:rFonts w:hint="cs"/>
          <w:rtl/>
        </w:rPr>
        <w:t>،</w:t>
      </w:r>
      <w:r w:rsidRPr="005675B2">
        <w:rPr>
          <w:rFonts w:hint="cs"/>
          <w:rtl/>
        </w:rPr>
        <w:t xml:space="preserve"> وذلك لأن المعاني الحقيقية لهذه النصوص هي المعاني المعروفة المكيفة</w:t>
      </w:r>
      <w:r w:rsidR="000636C2">
        <w:rPr>
          <w:rFonts w:hint="cs"/>
          <w:rtl/>
        </w:rPr>
        <w:t>،</w:t>
      </w:r>
      <w:r w:rsidRPr="005675B2">
        <w:rPr>
          <w:rFonts w:hint="cs"/>
          <w:rtl/>
        </w:rPr>
        <w:t xml:space="preserve"> فالقول ببقائها على معانيها الحقيقية مع نفي الكيفية عنها كلام متناقض ينقض نفسه بنفسه</w:t>
      </w:r>
      <w:r w:rsidR="000636C2">
        <w:rPr>
          <w:rFonts w:hint="cs"/>
          <w:rtl/>
        </w:rPr>
        <w:t>،</w:t>
      </w:r>
      <w:r w:rsidRPr="005675B2">
        <w:rPr>
          <w:rFonts w:hint="cs"/>
          <w:rtl/>
        </w:rPr>
        <w:t xml:space="preserve"> قال الإمام تقي الدين السبكي في معرض الرد على من قال إن هذه النصوص مع بقائها على معانيها الحقيقية هي أوصاف وليست عبارة عن الأجزاء والجوارح</w:t>
      </w:r>
      <w:r w:rsidR="000636C2">
        <w:rPr>
          <w:rFonts w:hint="cs"/>
          <w:rtl/>
        </w:rPr>
        <w:t>:</w:t>
      </w:r>
      <w:r w:rsidRPr="005675B2">
        <w:rPr>
          <w:rFonts w:hint="cs"/>
          <w:rtl/>
        </w:rPr>
        <w:t xml:space="preserve"> قال</w:t>
      </w:r>
      <w:r w:rsidR="000636C2">
        <w:rPr>
          <w:rFonts w:hint="cs"/>
          <w:rtl/>
        </w:rPr>
        <w:t>:</w:t>
      </w:r>
      <w:r w:rsidRPr="005675B2">
        <w:rPr>
          <w:rFonts w:hint="cs"/>
          <w:rtl/>
        </w:rPr>
        <w:t xml:space="preserve"> وهذه الأشياء التى ذكرناها « من الوجه، واليد، والساق، والقدم، والجنب، والعين » هي عند أهل اللغة أجزاء لا أوصاف، فهي صريحة في التركيب للأجسام، فذكر لفظ الأوصاف تلبيس، وكل أهل اللغة لا يفهمون من الوجه، والعين، والقدم إلا الأجزاء، ولا يفهم من الاستواء بمعنى القعود إلا أنه هيئة المتمكن، ولا من المجيء والإتيان والنزول إلا الحركة الخاصة بالجسم</w:t>
      </w:r>
      <w:r w:rsidR="000636C2">
        <w:rPr>
          <w:rFonts w:hint="cs"/>
          <w:rtl/>
        </w:rPr>
        <w:t>،</w:t>
      </w:r>
      <w:r w:rsidRPr="005675B2">
        <w:rPr>
          <w:rFonts w:hint="cs"/>
          <w:rtl/>
        </w:rPr>
        <w:t xml:space="preserve"> وأما المشيئة والعلم والقدرة ونحوها فهي صفات ذات، وهي فينا ذات أمرين</w:t>
      </w:r>
      <w:r w:rsidR="000636C2">
        <w:rPr>
          <w:rFonts w:hint="cs"/>
          <w:rtl/>
        </w:rPr>
        <w:t>:</w:t>
      </w:r>
      <w:r w:rsidRPr="005675B2">
        <w:rPr>
          <w:rFonts w:hint="cs"/>
          <w:rtl/>
        </w:rPr>
        <w:t xml:space="preserve"> أحدهما عرض قائم بالجسم، والله تعالى منزه عنه والثاني</w:t>
      </w:r>
      <w:r w:rsidR="000636C2">
        <w:rPr>
          <w:rFonts w:hint="cs"/>
          <w:rtl/>
        </w:rPr>
        <w:t>:</w:t>
      </w:r>
      <w:r w:rsidRPr="005675B2">
        <w:rPr>
          <w:rFonts w:hint="cs"/>
          <w:rtl/>
        </w:rPr>
        <w:t xml:space="preserve"> المعاني المتعلقة بالمراد والمعلوم والمقدور، وهي الموصوف بها الرب سبحانه وتعالى، وليست مختصة بالأجسام</w:t>
      </w:r>
      <w:r w:rsidR="000636C2">
        <w:rPr>
          <w:rFonts w:hint="cs"/>
          <w:rtl/>
        </w:rPr>
        <w:t>،</w:t>
      </w:r>
      <w:r w:rsidRPr="005675B2">
        <w:rPr>
          <w:rFonts w:hint="cs"/>
          <w:rtl/>
        </w:rPr>
        <w:t xml:space="preserve"> فظهر الفرق</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000636C2">
        <w:rPr>
          <w:rFonts w:hint="cs"/>
          <w:rtl/>
        </w:rPr>
        <w:t>[</w:t>
      </w:r>
      <w:r w:rsidRPr="005675B2">
        <w:rPr>
          <w:rFonts w:hint="cs"/>
          <w:sz w:val="24"/>
          <w:szCs w:val="24"/>
          <w:rtl/>
        </w:rPr>
        <w:t>السيف الصقيل 167]</w:t>
      </w:r>
      <w:r w:rsidR="000636C2">
        <w:rPr>
          <w:rFonts w:hint="cs"/>
          <w:rtl/>
        </w:rPr>
        <w:t xml:space="preserve">، </w:t>
      </w:r>
      <w:r w:rsidRPr="005675B2">
        <w:rPr>
          <w:rFonts w:hint="cs"/>
          <w:rtl/>
        </w:rPr>
        <w:t>فالقول بأن هذه النصوص باقية على معانيها الحقيقية يلزمه التجسيم لزوما بينا، ولا ينجي صاحبه من التجسيم القول بنفي الكيفية، ولا القول بأنها صفات وليست عبارة عن الجوارح والأبعاض، لأنه بعد القول ببقائها على معانيها الحقيقية لم يبق معنى للقول بنفي الكيفية ولا للقول بأنها صفات</w:t>
      </w:r>
      <w:r w:rsidR="000636C2">
        <w:rPr>
          <w:rFonts w:hint="cs"/>
          <w:rtl/>
        </w:rPr>
        <w:t>،</w:t>
      </w:r>
      <w:r w:rsidRPr="005675B2">
        <w:rPr>
          <w:rFonts w:hint="cs"/>
          <w:rtl/>
        </w:rPr>
        <w:t xml:space="preserve"> وحينئذ ينطبق على هذا القول ما قاله الإمام فخر الدين الرازي حيث قال</w:t>
      </w:r>
      <w:r w:rsidR="000636C2">
        <w:rPr>
          <w:rFonts w:hint="cs"/>
          <w:rtl/>
        </w:rPr>
        <w:t>:</w:t>
      </w:r>
      <w:r w:rsidRPr="005675B2">
        <w:rPr>
          <w:rFonts w:hint="cs"/>
          <w:rtl/>
        </w:rPr>
        <w:t xml:space="preserve"> من قال</w:t>
      </w:r>
      <w:r w:rsidR="000636C2">
        <w:rPr>
          <w:rFonts w:hint="cs"/>
          <w:rtl/>
        </w:rPr>
        <w:t>:</w:t>
      </w:r>
      <w:r w:rsidRPr="005675B2">
        <w:rPr>
          <w:rFonts w:hint="cs"/>
          <w:rtl/>
        </w:rPr>
        <w:t xml:space="preserve"> إنه مركب من الأعضاء والأجزاء فإما أن يثبت الأعضاء التي ورد ذكرها في القرآن، ولا يزيد عليها أولا، فإن كان الأول لزم إثبات صورة لا يمكن أن يزاد عليها في القبح، لأنه إثبات وجه بحيث لا يوجد منه إلا رقعة الوجه لقوله تعالى </w:t>
      </w:r>
      <w:r w:rsidR="000636C2">
        <w:rPr>
          <w:rFonts w:hint="cs"/>
          <w:rtl/>
        </w:rPr>
        <w:t>(</w:t>
      </w:r>
      <w:r w:rsidRPr="005675B2">
        <w:rPr>
          <w:rFonts w:hint="cs"/>
          <w:rtl/>
        </w:rPr>
        <w:t>كل شيء هالك إلا وجهه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القصص 88]</w:t>
      </w:r>
      <w:r w:rsidRPr="005675B2">
        <w:rPr>
          <w:rFonts w:hint="cs"/>
          <w:rtl/>
        </w:rPr>
        <w:t xml:space="preserve"> ويلزمه أن يثبت في تلك الرقعة عيونا كثيرة لقوله تعالى</w:t>
      </w:r>
      <w:r w:rsidR="000636C2">
        <w:rPr>
          <w:rFonts w:hint="cs"/>
          <w:rtl/>
        </w:rPr>
        <w:t>:</w:t>
      </w:r>
      <w:r w:rsidRPr="005675B2">
        <w:rPr>
          <w:rFonts w:hint="cs"/>
          <w:rtl/>
        </w:rPr>
        <w:t xml:space="preserve"> </w:t>
      </w:r>
      <w:r w:rsidR="000636C2">
        <w:rPr>
          <w:rFonts w:hint="cs"/>
          <w:rtl/>
        </w:rPr>
        <w:t>(</w:t>
      </w:r>
      <w:r w:rsidRPr="005675B2">
        <w:rPr>
          <w:rFonts w:hint="cs"/>
          <w:rtl/>
        </w:rPr>
        <w:t>تجري بأعيننا</w:t>
      </w:r>
      <w:r w:rsidR="000636C2">
        <w:rPr>
          <w:rFonts w:hint="cs"/>
          <w:rtl/>
        </w:rPr>
        <w:t>)</w:t>
      </w:r>
      <w:r w:rsidRPr="005675B2">
        <w:rPr>
          <w:rFonts w:hint="cs"/>
          <w:rtl/>
        </w:rPr>
        <w:t xml:space="preserve"> [</w:t>
      </w:r>
      <w:r w:rsidRPr="005675B2">
        <w:rPr>
          <w:rFonts w:hint="cs"/>
          <w:sz w:val="24"/>
          <w:szCs w:val="24"/>
          <w:rtl/>
        </w:rPr>
        <w:t>القمر 14]</w:t>
      </w:r>
      <w:r w:rsidRPr="005675B2">
        <w:rPr>
          <w:rFonts w:hint="cs"/>
          <w:rtl/>
        </w:rPr>
        <w:t xml:space="preserve"> وأن يثبت له جنبا واحدا لقوله تعالى</w:t>
      </w:r>
      <w:r w:rsidR="000636C2">
        <w:rPr>
          <w:rFonts w:hint="cs"/>
          <w:rtl/>
        </w:rPr>
        <w:t>:</w:t>
      </w:r>
      <w:r w:rsidRPr="005675B2">
        <w:rPr>
          <w:rFonts w:hint="cs"/>
          <w:rtl/>
        </w:rPr>
        <w:t xml:space="preserve"> </w:t>
      </w:r>
      <w:r w:rsidR="000636C2">
        <w:rPr>
          <w:rFonts w:hint="cs"/>
          <w:rtl/>
        </w:rPr>
        <w:t>(</w:t>
      </w:r>
      <w:r w:rsidRPr="005675B2">
        <w:rPr>
          <w:rFonts w:hint="cs"/>
          <w:rtl/>
        </w:rPr>
        <w:t>يا حسرتا على ما فرطت في جنب الله</w:t>
      </w:r>
      <w:r w:rsidR="000636C2">
        <w:rPr>
          <w:rFonts w:hint="cs"/>
          <w:rtl/>
        </w:rPr>
        <w:t>)</w:t>
      </w:r>
      <w:r w:rsidRPr="005675B2">
        <w:rPr>
          <w:rFonts w:hint="cs"/>
          <w:rtl/>
        </w:rPr>
        <w:t xml:space="preserve"> [</w:t>
      </w:r>
      <w:r w:rsidRPr="005675B2">
        <w:rPr>
          <w:rFonts w:hint="cs"/>
          <w:sz w:val="24"/>
          <w:szCs w:val="24"/>
          <w:rtl/>
        </w:rPr>
        <w:t>الزمر 56]</w:t>
      </w:r>
      <w:r w:rsidRPr="005675B2">
        <w:rPr>
          <w:rFonts w:hint="cs"/>
          <w:rtl/>
        </w:rPr>
        <w:t xml:space="preserve"> وأن يثبت على ذلك الجنب أيدي كثيرة لقوله تعالى</w:t>
      </w:r>
      <w:r w:rsidR="000636C2">
        <w:rPr>
          <w:rFonts w:hint="cs"/>
          <w:rtl/>
        </w:rPr>
        <w:t>:</w:t>
      </w:r>
      <w:r w:rsidRPr="005675B2">
        <w:rPr>
          <w:rFonts w:hint="cs"/>
          <w:rtl/>
        </w:rPr>
        <w:t xml:space="preserve"> </w:t>
      </w:r>
      <w:r w:rsidR="000636C2">
        <w:rPr>
          <w:rFonts w:hint="cs"/>
          <w:rtl/>
        </w:rPr>
        <w:t>(</w:t>
      </w:r>
      <w:r w:rsidRPr="005675B2">
        <w:rPr>
          <w:rFonts w:hint="cs"/>
          <w:rtl/>
        </w:rPr>
        <w:t>مما عملت أيدينا أنعاما</w:t>
      </w:r>
      <w:r w:rsidR="000636C2">
        <w:rPr>
          <w:rFonts w:hint="cs"/>
          <w:rtl/>
        </w:rPr>
        <w:t>)</w:t>
      </w:r>
      <w:r w:rsidRPr="005675B2">
        <w:rPr>
          <w:rFonts w:hint="cs"/>
          <w:rtl/>
        </w:rPr>
        <w:t xml:space="preserve"> [</w:t>
      </w:r>
      <w:r w:rsidRPr="005675B2">
        <w:rPr>
          <w:rFonts w:hint="cs"/>
          <w:sz w:val="24"/>
          <w:szCs w:val="24"/>
          <w:rtl/>
        </w:rPr>
        <w:t>يس 71]</w:t>
      </w:r>
      <w:r w:rsidRPr="005675B2">
        <w:rPr>
          <w:rFonts w:hint="cs"/>
          <w:rtl/>
        </w:rPr>
        <w:t xml:space="preserve"> وبتقدير أن يكون له يدان فإنه يجب أن يكون كلاهما على جانب واحد لقوله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وكلتا يديه يمين</w:t>
      </w:r>
      <w:r w:rsidR="000636C2">
        <w:rPr>
          <w:rFonts w:hint="cs"/>
          <w:rtl/>
        </w:rPr>
        <w:t>)</w:t>
      </w:r>
      <w:r w:rsidRPr="005675B2">
        <w:rPr>
          <w:rFonts w:hint="cs"/>
          <w:rtl/>
        </w:rPr>
        <w:t xml:space="preserve"> وأن يثبت له ساقا واحدا لقوله تعالى</w:t>
      </w:r>
      <w:r w:rsidR="000636C2">
        <w:rPr>
          <w:rFonts w:hint="cs"/>
          <w:rtl/>
        </w:rPr>
        <w:t>:</w:t>
      </w:r>
      <w:r w:rsidRPr="005675B2">
        <w:rPr>
          <w:rFonts w:hint="cs"/>
          <w:rtl/>
        </w:rPr>
        <w:t xml:space="preserve"> </w:t>
      </w:r>
      <w:r w:rsidR="000636C2">
        <w:rPr>
          <w:rFonts w:hint="cs"/>
          <w:rtl/>
        </w:rPr>
        <w:t>(</w:t>
      </w:r>
      <w:r w:rsidRPr="005675B2">
        <w:rPr>
          <w:rFonts w:hint="cs"/>
          <w:rtl/>
        </w:rPr>
        <w:t>يوم يكشف عن ساق</w:t>
      </w:r>
      <w:r w:rsidR="000636C2">
        <w:rPr>
          <w:rFonts w:hint="cs"/>
          <w:rtl/>
        </w:rPr>
        <w:t>)</w:t>
      </w:r>
      <w:r w:rsidRPr="005675B2">
        <w:rPr>
          <w:rFonts w:hint="cs"/>
          <w:rtl/>
        </w:rPr>
        <w:t xml:space="preserve"> [</w:t>
      </w:r>
      <w:r w:rsidRPr="005675B2">
        <w:rPr>
          <w:rFonts w:hint="cs"/>
          <w:sz w:val="24"/>
          <w:szCs w:val="24"/>
          <w:rtl/>
        </w:rPr>
        <w:t>القلم 42]</w:t>
      </w:r>
      <w:r w:rsidRPr="005675B2">
        <w:rPr>
          <w:rFonts w:hint="cs"/>
          <w:rtl/>
        </w:rPr>
        <w:t xml:space="preserve"> فيكون الحاصل من هذه الصورة مجرد رقعة الوجه، ويكون عليها عيون كثيرة وجنب واحد ويكون عليها أيدي كثيرة وساق واحد</w:t>
      </w:r>
      <w:r w:rsidR="000636C2">
        <w:rPr>
          <w:rFonts w:hint="cs"/>
          <w:rtl/>
        </w:rPr>
        <w:t xml:space="preserve">، </w:t>
      </w:r>
      <w:r w:rsidRPr="005675B2">
        <w:rPr>
          <w:rFonts w:hint="cs"/>
          <w:rtl/>
        </w:rPr>
        <w:t>ومعلوم أن هذه الصورة أقبح الصور، ولو كان هذا عبدا لم يرغب أحد في شرائه</w:t>
      </w:r>
      <w:r w:rsidR="000636C2">
        <w:rPr>
          <w:rFonts w:hint="cs"/>
          <w:rtl/>
        </w:rPr>
        <w:t>،</w:t>
      </w:r>
      <w:r w:rsidRPr="005675B2">
        <w:rPr>
          <w:rFonts w:hint="cs"/>
          <w:rtl/>
        </w:rPr>
        <w:t xml:space="preserve"> فكيف يقول عاقل</w:t>
      </w:r>
      <w:r w:rsidR="000636C2">
        <w:rPr>
          <w:rFonts w:hint="cs"/>
          <w:rtl/>
        </w:rPr>
        <w:t>:</w:t>
      </w:r>
      <w:r w:rsidRPr="005675B2">
        <w:rPr>
          <w:rFonts w:hint="cs"/>
          <w:rtl/>
        </w:rPr>
        <w:t xml:space="preserve"> إن رب العلمين موصوف بهذه الصورة</w:t>
      </w:r>
      <w:r w:rsidR="000636C2">
        <w:rPr>
          <w:rFonts w:hint="cs"/>
          <w:rtl/>
        </w:rPr>
        <w:t>؟</w:t>
      </w:r>
      <w:r w:rsidRPr="005675B2">
        <w:rPr>
          <w:rFonts w:hint="cs"/>
          <w:rtl/>
        </w:rPr>
        <w:t xml:space="preserve"> وإن كان الثاني وهو أن لا تقتصر على الأعضاء المذكورة في القرآن بل يزيد وينقص على وفق التأويلات، فحينئذ يبطل مذهبه في الحمل على مجرد الظواهر، ولا بد له من قبول دلائل العقل</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Pr="005675B2">
        <w:rPr>
          <w:rFonts w:hint="cs"/>
          <w:sz w:val="24"/>
          <w:szCs w:val="24"/>
          <w:rtl/>
        </w:rPr>
        <w:t>مفاتيح الغيب 7/148]</w:t>
      </w:r>
      <w:r w:rsidR="000636C2">
        <w:rPr>
          <w:rFonts w:hint="cs"/>
          <w:rtl/>
        </w:rPr>
        <w:t xml:space="preserve">، </w:t>
      </w:r>
      <w:r w:rsidRPr="005675B2">
        <w:rPr>
          <w:rFonts w:hint="cs"/>
          <w:rtl/>
        </w:rPr>
        <w:t>فالحق هو التوسط بين الظاهرية والغلو في التأويل</w:t>
      </w:r>
      <w:r w:rsidR="000636C2">
        <w:rPr>
          <w:rFonts w:hint="cs"/>
          <w:rtl/>
        </w:rPr>
        <w:t>،</w:t>
      </w:r>
      <w:r w:rsidRPr="005675B2">
        <w:rPr>
          <w:rFonts w:hint="cs"/>
          <w:rtl/>
        </w:rPr>
        <w:t xml:space="preserve"> قال الإمام ابن عقيل الحنبلي</w:t>
      </w:r>
      <w:r w:rsidR="000636C2">
        <w:rPr>
          <w:rFonts w:hint="cs"/>
          <w:rtl/>
        </w:rPr>
        <w:t>:</w:t>
      </w:r>
      <w:r w:rsidRPr="005675B2">
        <w:rPr>
          <w:rFonts w:hint="cs"/>
          <w:rtl/>
        </w:rPr>
        <w:t xml:space="preserve"> هلك الإسلام بين طائفتين</w:t>
      </w:r>
      <w:r w:rsidR="000636C2">
        <w:rPr>
          <w:rFonts w:hint="cs"/>
          <w:rtl/>
        </w:rPr>
        <w:t>:</w:t>
      </w:r>
      <w:r w:rsidRPr="005675B2">
        <w:rPr>
          <w:rFonts w:hint="cs"/>
          <w:rtl/>
        </w:rPr>
        <w:t xml:space="preserve"> الباطنية والظاهرية، والحق بين المنزلتين</w:t>
      </w:r>
      <w:r w:rsidR="000636C2">
        <w:rPr>
          <w:rFonts w:hint="cs"/>
          <w:rtl/>
        </w:rPr>
        <w:t>،</w:t>
      </w:r>
      <w:r w:rsidRPr="005675B2">
        <w:rPr>
          <w:rFonts w:hint="cs"/>
          <w:rtl/>
        </w:rPr>
        <w:t xml:space="preserve"> وهو أن نأخذ بالظاهر ما لم يصرف عنه دليل، ونرفض كل باطن لا يشهد به دليل من أدلة الشرع</w:t>
      </w:r>
      <w:r w:rsidR="000636C2">
        <w:rPr>
          <w:rFonts w:hint="cs"/>
          <w:rtl/>
        </w:rPr>
        <w:t>،</w:t>
      </w:r>
      <w:r w:rsidRPr="005675B2">
        <w:rPr>
          <w:rFonts w:hint="cs"/>
          <w:rtl/>
        </w:rPr>
        <w:t xml:space="preserve"> الأمر الثاني</w:t>
      </w:r>
      <w:r w:rsidR="000636C2">
        <w:rPr>
          <w:rFonts w:hint="cs"/>
          <w:rtl/>
        </w:rPr>
        <w:t>:</w:t>
      </w:r>
      <w:r w:rsidRPr="005675B2">
        <w:rPr>
          <w:rFonts w:hint="cs"/>
          <w:rtl/>
        </w:rPr>
        <w:t xml:space="preserve"> بيان أن التأويل ليس خاصا بمذهب الخلف، وبيان أن فريقا من سلف الأمة قد أول مجموعة من النصوص إما لمخالفته لصرائح العقول، أو لمخالفته للنصوص المحكمات</w:t>
      </w:r>
      <w:r w:rsidR="000636C2">
        <w:rPr>
          <w:rFonts w:hint="cs"/>
          <w:rtl/>
        </w:rPr>
        <w:t>،</w:t>
      </w:r>
      <w:r w:rsidRPr="005675B2">
        <w:rPr>
          <w:rFonts w:hint="cs"/>
          <w:rtl/>
        </w:rPr>
        <w:t xml:space="preserve"> وذلك لأن أصل التأويل أمر ضروري لا بد منه، فإن من النصوص ما لا يمكن حمله على المعنى الذي وضع اللفظ له إما لمخالفتها لصرائح العقول، أو لمخالفتها للنصوص المحكمات، وقد اقترن به قرينة تعين المعنى المستعمل فيه المناسب للمعنى الموضوع له، فمثل هذه النصوص لا وجه للتوقف فيها، ويتعين حملها على المعاني التي تعينها القرائن، وهذا هو معنى قول الإمام ابن دقيق العيد السابق</w:t>
      </w:r>
      <w:r w:rsidR="000636C2">
        <w:rPr>
          <w:rFonts w:hint="cs"/>
          <w:rtl/>
        </w:rPr>
        <w:t>:</w:t>
      </w:r>
      <w:r w:rsidRPr="005675B2">
        <w:rPr>
          <w:rFonts w:hint="cs"/>
          <w:rtl/>
        </w:rPr>
        <w:t xml:space="preserve"> « وما كان منها -أي من النصوص</w:t>
      </w:r>
      <w:r w:rsidR="000636C2">
        <w:rPr>
          <w:rFonts w:hint="cs"/>
          <w:rtl/>
        </w:rPr>
        <w:t xml:space="preserve"> </w:t>
      </w:r>
      <w:r w:rsidRPr="005675B2">
        <w:rPr>
          <w:rFonts w:hint="cs"/>
          <w:rtl/>
        </w:rPr>
        <w:t>- معناه ظاهرا مفهوما من تخاطب العرب حملناه عليه، كقوله تعالى</w:t>
      </w:r>
      <w:r w:rsidR="000636C2">
        <w:rPr>
          <w:rFonts w:hint="cs"/>
          <w:rtl/>
        </w:rPr>
        <w:t>:</w:t>
      </w:r>
      <w:r w:rsidRPr="005675B2">
        <w:rPr>
          <w:rFonts w:hint="cs"/>
          <w:rtl/>
        </w:rPr>
        <w:t xml:space="preserve"> </w:t>
      </w:r>
      <w:r w:rsidR="000636C2">
        <w:rPr>
          <w:rFonts w:hint="cs"/>
          <w:rtl/>
        </w:rPr>
        <w:t>(</w:t>
      </w:r>
      <w:r w:rsidRPr="005675B2">
        <w:rPr>
          <w:rFonts w:hint="cs"/>
          <w:rtl/>
        </w:rPr>
        <w:t>على ما فرطت في جنب الله</w:t>
      </w:r>
      <w:r w:rsidR="000636C2">
        <w:rPr>
          <w:rFonts w:hint="cs"/>
          <w:rtl/>
        </w:rPr>
        <w:t>)</w:t>
      </w:r>
      <w:r w:rsidRPr="005675B2">
        <w:rPr>
          <w:rFonts w:hint="cs"/>
          <w:rtl/>
        </w:rPr>
        <w:t xml:space="preserve"> فإن معناه في استعمالهم الشائع</w:t>
      </w:r>
      <w:r w:rsidR="000636C2">
        <w:rPr>
          <w:rFonts w:hint="cs"/>
          <w:rtl/>
        </w:rPr>
        <w:t>:</w:t>
      </w:r>
      <w:r w:rsidRPr="005675B2">
        <w:rPr>
          <w:rFonts w:hint="cs"/>
          <w:rtl/>
        </w:rPr>
        <w:t xml:space="preserve"> حق الله، فلا يتوقف في حمله عليه » إلى آخر كلامه</w:t>
      </w:r>
      <w:r w:rsidR="000636C2">
        <w:rPr>
          <w:rFonts w:hint="cs"/>
          <w:rtl/>
        </w:rPr>
        <w:t>،</w:t>
      </w:r>
      <w:r w:rsidRPr="005675B2">
        <w:rPr>
          <w:rFonts w:hint="cs"/>
          <w:rtl/>
        </w:rPr>
        <w:t xml:space="preserve"> فالتأويل قد يكون متعينا، كما قد يكون جائزا، وقد يكون ممتنعا، وقد ذكرنا شرائطه آنفا</w:t>
      </w:r>
      <w:r w:rsidR="000636C2">
        <w:rPr>
          <w:rFonts w:hint="cs"/>
          <w:rtl/>
        </w:rPr>
        <w:t>،</w:t>
      </w:r>
      <w:r w:rsidRPr="005675B2">
        <w:rPr>
          <w:rFonts w:hint="cs"/>
          <w:rtl/>
        </w:rPr>
        <w:t xml:space="preserve"> وقد غلا في باب التأويل فريقان</w:t>
      </w:r>
      <w:r w:rsidR="000636C2">
        <w:rPr>
          <w:rFonts w:hint="cs"/>
          <w:rtl/>
        </w:rPr>
        <w:t>:</w:t>
      </w:r>
      <w:r w:rsidRPr="005675B2">
        <w:rPr>
          <w:rFonts w:hint="cs"/>
          <w:rtl/>
        </w:rPr>
        <w:t xml:space="preserve"> فريق غلق باب التأويل وسد الطريق على العقل، وهم المشبهة ظاهرية العقيدة، وفريق آخر غلا في التأويل، وقلد المعتزلة في تأويلاتهم التي بدَّعهم السلف من أهل السنة من أجلها، وهم كثير من متأخري الأشاعرة، وخير الأمور أوسطها وهو ما ذهب إليه الإمام ابن دقيق العيد</w:t>
      </w:r>
      <w:r w:rsidR="000636C2">
        <w:rPr>
          <w:rFonts w:hint="cs"/>
          <w:rtl/>
        </w:rPr>
        <w:t>،</w:t>
      </w:r>
      <w:r w:rsidRPr="005675B2">
        <w:rPr>
          <w:rFonts w:hint="cs"/>
          <w:rtl/>
        </w:rPr>
        <w:t xml:space="preserve"> ومن أجل أن أصل التأويل أمر ضروري لابد منه أول فريق من سلف الأمة بما فيهم بعض الصحابة والتابعين مجموعة من نصوص الكتاب والسنة وإليك مجموعة من هذه التأويلات</w:t>
      </w:r>
      <w:r w:rsidR="000636C2">
        <w:rPr>
          <w:rFonts w:hint="cs"/>
          <w:rtl/>
        </w:rPr>
        <w:t>،</w:t>
      </w:r>
      <w:r w:rsidRPr="005675B2">
        <w:rPr>
          <w:rFonts w:hint="cs"/>
          <w:rtl/>
        </w:rPr>
        <w:t xml:space="preserve"> تأويل حبر الأمة عبد الله بن عباس رضي الله تعالى عنهما</w:t>
      </w:r>
      <w:r w:rsidR="000636C2">
        <w:rPr>
          <w:rFonts w:hint="cs"/>
          <w:rtl/>
        </w:rPr>
        <w:t>:</w:t>
      </w:r>
      <w:r w:rsidRPr="005675B2">
        <w:rPr>
          <w:rFonts w:hint="cs"/>
          <w:rtl/>
        </w:rPr>
        <w:t xml:space="preserve"> أول ابن عباس قوله تعالى</w:t>
      </w:r>
      <w:r w:rsidR="000636C2">
        <w:rPr>
          <w:rFonts w:hint="cs"/>
          <w:rtl/>
        </w:rPr>
        <w:t>:</w:t>
      </w:r>
      <w:r w:rsidRPr="005675B2">
        <w:rPr>
          <w:rFonts w:hint="cs"/>
          <w:rtl/>
        </w:rPr>
        <w:t xml:space="preserve"> </w:t>
      </w:r>
      <w:r w:rsidR="000636C2">
        <w:rPr>
          <w:rFonts w:hint="cs"/>
          <w:rtl/>
        </w:rPr>
        <w:t>(</w:t>
      </w:r>
      <w:r w:rsidRPr="005675B2">
        <w:rPr>
          <w:rFonts w:hint="cs"/>
          <w:rtl/>
        </w:rPr>
        <w:t>يوم يكشف عن ساق</w:t>
      </w:r>
      <w:r w:rsidR="000636C2">
        <w:rPr>
          <w:rFonts w:hint="cs"/>
          <w:rtl/>
        </w:rPr>
        <w:t>)</w:t>
      </w:r>
      <w:r w:rsidRPr="005675B2">
        <w:rPr>
          <w:rFonts w:hint="cs"/>
          <w:rtl/>
        </w:rPr>
        <w:t xml:space="preserve"> [</w:t>
      </w:r>
      <w:r w:rsidRPr="005675B2">
        <w:rPr>
          <w:rFonts w:hint="cs"/>
          <w:sz w:val="24"/>
          <w:szCs w:val="24"/>
          <w:rtl/>
        </w:rPr>
        <w:t>القلم 42]</w:t>
      </w:r>
      <w:r w:rsidRPr="005675B2">
        <w:rPr>
          <w:rFonts w:hint="cs"/>
          <w:rtl/>
        </w:rPr>
        <w:t xml:space="preserve"> فقال</w:t>
      </w:r>
      <w:r w:rsidR="000636C2">
        <w:rPr>
          <w:rFonts w:hint="cs"/>
          <w:rtl/>
        </w:rPr>
        <w:t>:</w:t>
      </w:r>
      <w:r w:rsidRPr="005675B2">
        <w:rPr>
          <w:rFonts w:hint="cs"/>
          <w:rtl/>
        </w:rPr>
        <w:t xml:space="preserve"> يكشف عن شدة، فأول الكشف عن الساق بكشف الشدة، نقل ذلك عنه بسند صحيح الحافظ العسقلاني</w:t>
      </w:r>
      <w:r w:rsidR="000636C2">
        <w:rPr>
          <w:rFonts w:hint="cs"/>
          <w:rtl/>
        </w:rPr>
        <w:t>،</w:t>
      </w:r>
      <w:r w:rsidRPr="005675B2">
        <w:rPr>
          <w:rFonts w:hint="cs"/>
          <w:rtl/>
        </w:rPr>
        <w:t xml:space="preserve"> [</w:t>
      </w:r>
      <w:r w:rsidRPr="005675B2">
        <w:rPr>
          <w:rFonts w:hint="cs"/>
          <w:sz w:val="24"/>
          <w:szCs w:val="24"/>
          <w:rtl/>
        </w:rPr>
        <w:t>فتح الباري 13/428]</w:t>
      </w:r>
      <w:r w:rsidRPr="005675B2">
        <w:rPr>
          <w:rFonts w:hint="cs"/>
          <w:rtl/>
        </w:rPr>
        <w:t xml:space="preserve"> والإمام الطبري في تفسيره</w:t>
      </w:r>
      <w:r w:rsidR="000636C2">
        <w:rPr>
          <w:rFonts w:hint="cs"/>
          <w:rtl/>
        </w:rPr>
        <w:t>،</w:t>
      </w:r>
      <w:r w:rsidRPr="005675B2">
        <w:rPr>
          <w:rFonts w:hint="cs"/>
          <w:rtl/>
        </w:rPr>
        <w:t xml:space="preserve"> [</w:t>
      </w:r>
      <w:r w:rsidRPr="005675B2">
        <w:rPr>
          <w:rFonts w:hint="cs"/>
          <w:sz w:val="24"/>
          <w:szCs w:val="24"/>
          <w:rtl/>
        </w:rPr>
        <w:t>29/38]</w:t>
      </w:r>
      <w:r w:rsidRPr="005675B2">
        <w:rPr>
          <w:rFonts w:hint="cs"/>
          <w:rtl/>
        </w:rPr>
        <w:t xml:space="preserve"> وقال في صدر كلامه على هذه الآية</w:t>
      </w:r>
      <w:r w:rsidR="000636C2">
        <w:rPr>
          <w:rFonts w:hint="cs"/>
          <w:rtl/>
        </w:rPr>
        <w:t>:</w:t>
      </w:r>
      <w:r w:rsidRPr="005675B2">
        <w:rPr>
          <w:rFonts w:hint="cs"/>
          <w:rtl/>
        </w:rPr>
        <w:t xml:space="preserve"> قال جماعة من الصحابة والتابعين من أهل التأويل</w:t>
      </w:r>
      <w:r w:rsidR="000636C2">
        <w:rPr>
          <w:rFonts w:hint="cs"/>
          <w:rtl/>
        </w:rPr>
        <w:t>:</w:t>
      </w:r>
      <w:r w:rsidRPr="005675B2">
        <w:rPr>
          <w:rFonts w:hint="cs"/>
          <w:rtl/>
        </w:rPr>
        <w:t xml:space="preserve"> يبدو عن أمر شديد</w:t>
      </w:r>
      <w:r w:rsidR="000636C2">
        <w:rPr>
          <w:rFonts w:hint="cs"/>
          <w:rtl/>
        </w:rPr>
        <w:t>،</w:t>
      </w:r>
      <w:r w:rsidRPr="005675B2">
        <w:rPr>
          <w:rFonts w:hint="cs"/>
          <w:rtl/>
        </w:rPr>
        <w:t xml:space="preserve"> فنسب التأويل إلى جماعة من الصحابة والتابعين</w:t>
      </w:r>
      <w:r w:rsidR="000636C2">
        <w:rPr>
          <w:rFonts w:hint="cs"/>
          <w:rtl/>
        </w:rPr>
        <w:t>،</w:t>
      </w:r>
      <w:r w:rsidRPr="005675B2">
        <w:rPr>
          <w:rFonts w:hint="cs"/>
          <w:rtl/>
        </w:rPr>
        <w:t xml:space="preserve"> وأوَّل ابن عباس رضي الله تعالى عنهما الأيدي في قوله تعالى </w:t>
      </w:r>
      <w:r w:rsidR="000636C2">
        <w:rPr>
          <w:rFonts w:hint="cs"/>
          <w:rtl/>
        </w:rPr>
        <w:t>(</w:t>
      </w:r>
      <w:r w:rsidRPr="005675B2">
        <w:rPr>
          <w:rFonts w:hint="cs"/>
          <w:rtl/>
        </w:rPr>
        <w:t>والسماء بنيناها بأيد وإنا لموسعون</w:t>
      </w:r>
      <w:r w:rsidR="000636C2">
        <w:rPr>
          <w:rFonts w:hint="cs"/>
          <w:rtl/>
        </w:rPr>
        <w:t>)</w:t>
      </w:r>
      <w:r w:rsidRPr="005675B2">
        <w:rPr>
          <w:rFonts w:hint="cs"/>
          <w:rtl/>
        </w:rPr>
        <w:t xml:space="preserve"> [</w:t>
      </w:r>
      <w:r w:rsidRPr="005675B2">
        <w:rPr>
          <w:rFonts w:hint="cs"/>
          <w:sz w:val="24"/>
          <w:szCs w:val="24"/>
          <w:rtl/>
        </w:rPr>
        <w:t>الذاريات 47]</w:t>
      </w:r>
      <w:r w:rsidRPr="005675B2">
        <w:rPr>
          <w:rFonts w:hint="cs"/>
          <w:rtl/>
        </w:rPr>
        <w:t xml:space="preserve"> بالقوة نقله الطبري في التفسير [</w:t>
      </w:r>
      <w:r w:rsidRPr="005675B2">
        <w:rPr>
          <w:rFonts w:hint="cs"/>
          <w:sz w:val="24"/>
          <w:szCs w:val="24"/>
          <w:rtl/>
        </w:rPr>
        <w:t>27/7]</w:t>
      </w:r>
      <w:r w:rsidRPr="005675B2">
        <w:rPr>
          <w:rFonts w:hint="cs"/>
          <w:rtl/>
        </w:rPr>
        <w:t xml:space="preserve"> ونقل هذا التأويل عن جماعة من أئمة السلف منهم مجاهد وقتادة ومنصور وابن زيد وسفيان، فاليد مفردا كان أو مثنى كما في قوله تعالى</w:t>
      </w:r>
      <w:r w:rsidR="000636C2">
        <w:rPr>
          <w:rFonts w:hint="cs"/>
          <w:rtl/>
        </w:rPr>
        <w:t>:</w:t>
      </w:r>
      <w:r w:rsidRPr="005675B2">
        <w:rPr>
          <w:rFonts w:hint="cs"/>
          <w:rtl/>
        </w:rPr>
        <w:t xml:space="preserve"> </w:t>
      </w:r>
      <w:r w:rsidR="000636C2">
        <w:rPr>
          <w:rFonts w:hint="cs"/>
          <w:rtl/>
        </w:rPr>
        <w:t>(</w:t>
      </w:r>
      <w:r w:rsidRPr="005675B2">
        <w:rPr>
          <w:rFonts w:hint="cs"/>
          <w:rtl/>
        </w:rPr>
        <w:t>لما خلقت بيدي</w:t>
      </w:r>
      <w:r w:rsidR="000636C2">
        <w:rPr>
          <w:rFonts w:hint="cs"/>
          <w:rtl/>
        </w:rPr>
        <w:t>)</w:t>
      </w:r>
      <w:r w:rsidRPr="005675B2">
        <w:rPr>
          <w:rFonts w:hint="cs"/>
          <w:rtl/>
        </w:rPr>
        <w:t xml:space="preserve"> أو جمعا كما هنا يفسر بالقوة والقدرة مفردا</w:t>
      </w:r>
      <w:r w:rsidR="000636C2">
        <w:rPr>
          <w:rFonts w:hint="cs"/>
          <w:rtl/>
        </w:rPr>
        <w:t>،</w:t>
      </w:r>
      <w:r w:rsidRPr="005675B2">
        <w:rPr>
          <w:rFonts w:hint="cs"/>
          <w:rtl/>
        </w:rPr>
        <w:t xml:space="preserve"> ولا يفسر المثنى بالقدرتين ولا الجمع بالقدرات كما قيل، فقد ورد في حديث يأجوج وماجوج</w:t>
      </w:r>
      <w:r w:rsidR="000636C2">
        <w:rPr>
          <w:rFonts w:hint="cs"/>
          <w:rtl/>
        </w:rPr>
        <w:t>:</w:t>
      </w:r>
      <w:r w:rsidRPr="005675B2">
        <w:rPr>
          <w:rFonts w:hint="cs"/>
          <w:rtl/>
        </w:rPr>
        <w:t xml:space="preserve"> </w:t>
      </w:r>
      <w:r w:rsidR="000636C2">
        <w:rPr>
          <w:rFonts w:hint="cs"/>
          <w:rtl/>
        </w:rPr>
        <w:t>(</w:t>
      </w:r>
      <w:r w:rsidRPr="005675B2">
        <w:rPr>
          <w:rFonts w:hint="cs"/>
          <w:rtl/>
        </w:rPr>
        <w:t>لا يدان لأحد بهم</w:t>
      </w:r>
      <w:r w:rsidR="000636C2">
        <w:rPr>
          <w:rFonts w:hint="cs"/>
          <w:rtl/>
        </w:rPr>
        <w:t>)</w:t>
      </w:r>
      <w:r w:rsidRPr="005675B2">
        <w:rPr>
          <w:rFonts w:hint="cs"/>
          <w:rtl/>
        </w:rPr>
        <w:t xml:space="preserve"> ومعناه لا قوة لأحد بقتالهم ومقاومتهم</w:t>
      </w:r>
      <w:r w:rsidR="000636C2">
        <w:rPr>
          <w:rFonts w:hint="cs"/>
          <w:rtl/>
        </w:rPr>
        <w:t>،</w:t>
      </w:r>
      <w:r w:rsidRPr="005675B2">
        <w:rPr>
          <w:rFonts w:hint="cs"/>
          <w:rtl/>
        </w:rPr>
        <w:t xml:space="preserve"> وأول ابن عباس رضي الله عنهما النسيان الوارد في قوله تعالى </w:t>
      </w:r>
      <w:r w:rsidR="000636C2">
        <w:rPr>
          <w:rFonts w:hint="cs"/>
          <w:rtl/>
        </w:rPr>
        <w:t>(</w:t>
      </w:r>
      <w:r w:rsidRPr="005675B2">
        <w:rPr>
          <w:rFonts w:hint="cs"/>
          <w:rtl/>
        </w:rPr>
        <w:t>فاليوم ننساهم كما نسوا لقاء يومهم هذا</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الأعراف 15]</w:t>
      </w:r>
      <w:r w:rsidRPr="005675B2">
        <w:rPr>
          <w:rFonts w:hint="cs"/>
          <w:rtl/>
        </w:rPr>
        <w:t xml:space="preserve"> بالترك في العذاب</w:t>
      </w:r>
      <w:r w:rsidR="000636C2">
        <w:rPr>
          <w:rFonts w:hint="cs"/>
          <w:rtl/>
        </w:rPr>
        <w:t>،</w:t>
      </w:r>
      <w:r w:rsidRPr="005675B2">
        <w:rPr>
          <w:rFonts w:hint="cs"/>
          <w:rtl/>
        </w:rPr>
        <w:t xml:space="preserve"> نقله الطبري في تفسيره [</w:t>
      </w:r>
      <w:r w:rsidRPr="005675B2">
        <w:rPr>
          <w:rFonts w:hint="cs"/>
          <w:sz w:val="24"/>
          <w:szCs w:val="24"/>
          <w:rtl/>
        </w:rPr>
        <w:t>8/201]</w:t>
      </w:r>
      <w:r w:rsidRPr="005675B2">
        <w:rPr>
          <w:rFonts w:hint="cs"/>
          <w:rtl/>
        </w:rPr>
        <w:t xml:space="preserve"> وروى هذا التأويل بأسانيده عن مجاهد وغيره</w:t>
      </w:r>
      <w:r w:rsidR="000636C2">
        <w:rPr>
          <w:rFonts w:hint="cs"/>
          <w:rtl/>
        </w:rPr>
        <w:t>،</w:t>
      </w:r>
      <w:r w:rsidRPr="005675B2">
        <w:rPr>
          <w:rFonts w:hint="cs"/>
          <w:rtl/>
        </w:rPr>
        <w:t xml:space="preserve"> </w:t>
      </w:r>
      <w:r w:rsidR="000636C2">
        <w:rPr>
          <w:rFonts w:hint="cs"/>
          <w:rtl/>
        </w:rPr>
        <w:t>[</w:t>
      </w:r>
      <w:r w:rsidRPr="005675B2">
        <w:rPr>
          <w:rFonts w:hint="cs"/>
          <w:rtl/>
        </w:rPr>
        <w:t>تأويل الإمام احمد</w:t>
      </w:r>
      <w:r w:rsidR="000636C2">
        <w:rPr>
          <w:rFonts w:hint="cs"/>
          <w:rtl/>
        </w:rPr>
        <w:t>]:</w:t>
      </w:r>
      <w:r w:rsidRPr="005675B2">
        <w:rPr>
          <w:rFonts w:hint="cs"/>
          <w:rtl/>
        </w:rPr>
        <w:t xml:space="preserve"> روي الأمام البيهقي في كتابه مناقب الإمام أحمد وهو كتاب مخطوط وعنه نقل الحافظ ابن الكثير في البداية والنهاية</w:t>
      </w:r>
      <w:r w:rsidR="000636C2">
        <w:rPr>
          <w:rFonts w:hint="cs"/>
          <w:rtl/>
        </w:rPr>
        <w:t>:</w:t>
      </w:r>
      <w:r w:rsidRPr="005675B2">
        <w:rPr>
          <w:rFonts w:hint="cs"/>
          <w:rtl/>
        </w:rPr>
        <w:t xml:space="preserve"> فقال</w:t>
      </w:r>
      <w:r w:rsidR="000636C2">
        <w:rPr>
          <w:rFonts w:hint="cs"/>
          <w:rtl/>
        </w:rPr>
        <w:t>:</w:t>
      </w:r>
      <w:r w:rsidRPr="005675B2">
        <w:rPr>
          <w:rFonts w:hint="cs"/>
          <w:rtl/>
        </w:rPr>
        <w:t xml:space="preserve"> روي البيهقي عن الحاكم عن أبي عمر بن السماك عن حنبل ان أحمد بن حنبل تأول قوله تعالي</w:t>
      </w:r>
      <w:r w:rsidR="000636C2">
        <w:rPr>
          <w:rFonts w:hint="cs"/>
          <w:rtl/>
        </w:rPr>
        <w:t>:</w:t>
      </w:r>
      <w:r w:rsidRPr="005675B2">
        <w:rPr>
          <w:rFonts w:hint="cs"/>
          <w:rtl/>
        </w:rPr>
        <w:t xml:space="preserve"> </w:t>
      </w:r>
      <w:r w:rsidR="000636C2">
        <w:rPr>
          <w:rFonts w:hint="cs"/>
          <w:rtl/>
        </w:rPr>
        <w:t>(</w:t>
      </w:r>
      <w:r w:rsidRPr="005675B2">
        <w:rPr>
          <w:rFonts w:hint="cs"/>
          <w:rtl/>
        </w:rPr>
        <w:t>وجاء ربك</w:t>
      </w:r>
      <w:r w:rsidR="000636C2">
        <w:rPr>
          <w:rFonts w:hint="cs"/>
          <w:rtl/>
        </w:rPr>
        <w:t>)</w:t>
      </w:r>
      <w:r w:rsidRPr="005675B2">
        <w:rPr>
          <w:rFonts w:hint="cs"/>
          <w:rtl/>
        </w:rPr>
        <w:t xml:space="preserve"> أنه جاء ثوابه، ثم قال البيهقي</w:t>
      </w:r>
      <w:r w:rsidR="000636C2">
        <w:rPr>
          <w:rFonts w:hint="cs"/>
          <w:rtl/>
        </w:rPr>
        <w:t>:</w:t>
      </w:r>
      <w:r w:rsidRPr="005675B2">
        <w:rPr>
          <w:rFonts w:hint="cs"/>
          <w:rtl/>
        </w:rPr>
        <w:t xml:space="preserve"> وهذا إسناد لا غبار عليه</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البداية والنهاية 10/327]</w:t>
      </w:r>
      <w:r w:rsidRPr="005675B2">
        <w:rPr>
          <w:rFonts w:hint="cs"/>
          <w:rtl/>
        </w:rPr>
        <w:t xml:space="preserve"> وقال ابن كثير</w:t>
      </w:r>
      <w:r w:rsidR="000636C2">
        <w:rPr>
          <w:rFonts w:hint="cs"/>
          <w:rtl/>
        </w:rPr>
        <w:t>:</w:t>
      </w:r>
      <w:r w:rsidRPr="005675B2">
        <w:rPr>
          <w:rFonts w:hint="cs"/>
          <w:rtl/>
        </w:rPr>
        <w:t xml:space="preserve"> ومن طريق أبي الحسن الميموني عن أحمد بن حنبل أنه أجاب الجهمية حين احتجوا عليه بقوله تعالى</w:t>
      </w:r>
      <w:r w:rsidR="000636C2">
        <w:rPr>
          <w:rFonts w:hint="cs"/>
          <w:rtl/>
        </w:rPr>
        <w:t>:</w:t>
      </w:r>
      <w:r w:rsidRPr="005675B2">
        <w:rPr>
          <w:rFonts w:hint="cs"/>
          <w:rtl/>
        </w:rPr>
        <w:t xml:space="preserve"> </w:t>
      </w:r>
      <w:r w:rsidR="000636C2">
        <w:rPr>
          <w:rFonts w:hint="cs"/>
          <w:rtl/>
        </w:rPr>
        <w:t>(</w:t>
      </w:r>
      <w:r w:rsidRPr="005675B2">
        <w:rPr>
          <w:rFonts w:hint="cs"/>
          <w:rtl/>
        </w:rPr>
        <w:t>ما يأتيهم من ذكر من ربهم محدث إلا استمعوه وهم يلعبون</w:t>
      </w:r>
      <w:r w:rsidR="000636C2">
        <w:rPr>
          <w:rFonts w:hint="cs"/>
          <w:rtl/>
        </w:rPr>
        <w:t>)</w:t>
      </w:r>
      <w:r w:rsidRPr="005675B2">
        <w:rPr>
          <w:rFonts w:hint="cs"/>
          <w:rtl/>
        </w:rPr>
        <w:t xml:space="preserve"> قال</w:t>
      </w:r>
      <w:r w:rsidR="000636C2">
        <w:rPr>
          <w:rFonts w:hint="cs"/>
          <w:rtl/>
        </w:rPr>
        <w:t>:</w:t>
      </w:r>
      <w:r w:rsidRPr="005675B2">
        <w:rPr>
          <w:rFonts w:hint="cs"/>
          <w:rtl/>
        </w:rPr>
        <w:t xml:space="preserve"> يحتمل أن يكون تنزيله إلينا هو المحدث لا الذكر نفسه هو المحدث</w:t>
      </w:r>
      <w:r w:rsidR="000636C2">
        <w:rPr>
          <w:rFonts w:hint="cs"/>
          <w:rtl/>
        </w:rPr>
        <w:t>،</w:t>
      </w:r>
      <w:r w:rsidRPr="005675B2">
        <w:rPr>
          <w:rFonts w:hint="cs"/>
          <w:rtl/>
        </w:rPr>
        <w:t xml:space="preserve"> </w:t>
      </w:r>
      <w:r w:rsidR="000636C2">
        <w:rPr>
          <w:rFonts w:hint="cs"/>
          <w:rtl/>
        </w:rPr>
        <w:t>[</w:t>
      </w:r>
      <w:r w:rsidRPr="005675B2">
        <w:rPr>
          <w:rFonts w:hint="cs"/>
          <w:sz w:val="24"/>
          <w:szCs w:val="24"/>
          <w:rtl/>
        </w:rPr>
        <w:t>البداية والنهاية 10/327]</w:t>
      </w:r>
      <w:r w:rsidR="000636C2">
        <w:rPr>
          <w:rFonts w:hint="cs"/>
          <w:rtl/>
        </w:rPr>
        <w:t xml:space="preserve"> [</w:t>
      </w:r>
      <w:r w:rsidRPr="005675B2">
        <w:rPr>
          <w:rFonts w:hint="cs"/>
          <w:rtl/>
        </w:rPr>
        <w:t>تأويل الإمام النضر بن شميل</w:t>
      </w:r>
      <w:r w:rsidR="000636C2">
        <w:rPr>
          <w:rFonts w:hint="cs"/>
          <w:rtl/>
        </w:rPr>
        <w:t xml:space="preserve">]: </w:t>
      </w:r>
      <w:r w:rsidRPr="005675B2">
        <w:rPr>
          <w:rFonts w:hint="cs"/>
          <w:rtl/>
        </w:rPr>
        <w:t>وهو الإمام الحافظ اللغوي من رجال الستة</w:t>
      </w:r>
      <w:r w:rsidR="000636C2">
        <w:rPr>
          <w:rFonts w:hint="cs"/>
          <w:rtl/>
        </w:rPr>
        <w:t>،</w:t>
      </w:r>
      <w:r w:rsidRPr="005675B2">
        <w:rPr>
          <w:rFonts w:hint="cs"/>
          <w:rtl/>
        </w:rPr>
        <w:t xml:space="preserve"> ولد 122ه</w:t>
      </w:r>
      <w:r w:rsidR="000636C2">
        <w:rPr>
          <w:rFonts w:hint="cs"/>
          <w:rtl/>
        </w:rPr>
        <w:t xml:space="preserve"> </w:t>
      </w:r>
      <w:r w:rsidRPr="005675B2">
        <w:rPr>
          <w:rFonts w:hint="cs"/>
          <w:rtl/>
        </w:rPr>
        <w:t>- ذكر الحافظ الذهبي في الأسماء والصفات أن النضر بن شميل قال</w:t>
      </w:r>
      <w:r w:rsidR="000636C2">
        <w:rPr>
          <w:rFonts w:hint="cs"/>
          <w:rtl/>
        </w:rPr>
        <w:t>:</w:t>
      </w:r>
      <w:r w:rsidRPr="005675B2">
        <w:rPr>
          <w:rFonts w:hint="cs"/>
          <w:rtl/>
        </w:rPr>
        <w:t xml:space="preserve"> إن معنى حديث</w:t>
      </w:r>
      <w:r w:rsidR="000636C2">
        <w:rPr>
          <w:rFonts w:hint="cs"/>
          <w:rtl/>
        </w:rPr>
        <w:t>:</w:t>
      </w:r>
      <w:r w:rsidRPr="005675B2">
        <w:rPr>
          <w:rFonts w:hint="cs"/>
          <w:rtl/>
        </w:rPr>
        <w:t xml:space="preserve"> </w:t>
      </w:r>
      <w:r w:rsidR="000636C2">
        <w:rPr>
          <w:rFonts w:hint="cs"/>
          <w:rtl/>
        </w:rPr>
        <w:t>(</w:t>
      </w:r>
      <w:r w:rsidRPr="005675B2">
        <w:rPr>
          <w:rFonts w:hint="cs"/>
          <w:rtl/>
        </w:rPr>
        <w:t>حتى يضع الجبار قدمه فيها</w:t>
      </w:r>
      <w:r w:rsidR="000636C2">
        <w:rPr>
          <w:rFonts w:hint="cs"/>
          <w:rtl/>
        </w:rPr>
        <w:t>)</w:t>
      </w:r>
      <w:r w:rsidRPr="005675B2">
        <w:rPr>
          <w:rFonts w:hint="cs"/>
          <w:rtl/>
        </w:rPr>
        <w:t xml:space="preserve"> من سبق في علمه أنه من أهل النار</w:t>
      </w:r>
      <w:r w:rsidR="000636C2">
        <w:rPr>
          <w:rFonts w:hint="cs"/>
          <w:rtl/>
        </w:rPr>
        <w:t xml:space="preserve">، </w:t>
      </w:r>
      <w:r w:rsidRPr="005675B2">
        <w:rPr>
          <w:rFonts w:hint="cs"/>
          <w:rtl/>
        </w:rPr>
        <w:t>[</w:t>
      </w:r>
      <w:r w:rsidRPr="005675B2">
        <w:rPr>
          <w:rFonts w:hint="cs"/>
          <w:sz w:val="24"/>
          <w:szCs w:val="24"/>
          <w:rtl/>
        </w:rPr>
        <w:t>444]</w:t>
      </w:r>
      <w:r w:rsidRPr="005675B2">
        <w:rPr>
          <w:rFonts w:hint="cs"/>
          <w:rtl/>
        </w:rPr>
        <w:t xml:space="preserve"> </w:t>
      </w:r>
      <w:r w:rsidR="000636C2">
        <w:rPr>
          <w:rFonts w:hint="cs"/>
          <w:rtl/>
        </w:rPr>
        <w:t>[</w:t>
      </w:r>
      <w:r w:rsidRPr="005675B2">
        <w:rPr>
          <w:rFonts w:hint="cs"/>
          <w:rtl/>
        </w:rPr>
        <w:t>تأويل الإمام سفيان الثوري رضي الله تعالى عنه</w:t>
      </w:r>
      <w:r w:rsidR="000636C2">
        <w:rPr>
          <w:rFonts w:hint="cs"/>
          <w:rtl/>
        </w:rPr>
        <w:t xml:space="preserve">]: </w:t>
      </w:r>
      <w:r w:rsidRPr="005675B2">
        <w:rPr>
          <w:rFonts w:hint="cs"/>
          <w:rtl/>
        </w:rPr>
        <w:t>ذكر الذهبي أن معدان سأل الإمام الثوري عن قوله تعالى</w:t>
      </w:r>
      <w:r w:rsidR="000636C2">
        <w:rPr>
          <w:rFonts w:hint="cs"/>
          <w:rtl/>
        </w:rPr>
        <w:t>:</w:t>
      </w:r>
      <w:r w:rsidRPr="005675B2">
        <w:rPr>
          <w:rFonts w:hint="cs"/>
          <w:rtl/>
        </w:rPr>
        <w:t xml:space="preserve"> </w:t>
      </w:r>
      <w:r w:rsidR="000636C2">
        <w:rPr>
          <w:rFonts w:hint="cs"/>
          <w:rtl/>
        </w:rPr>
        <w:t>(</w:t>
      </w:r>
      <w:r w:rsidRPr="005675B2">
        <w:rPr>
          <w:rFonts w:hint="cs"/>
          <w:rtl/>
        </w:rPr>
        <w:t>وهو معكم أينما كنتم</w:t>
      </w:r>
      <w:r w:rsidR="000636C2">
        <w:rPr>
          <w:rFonts w:hint="cs"/>
          <w:rtl/>
        </w:rPr>
        <w:t>)</w:t>
      </w:r>
      <w:r w:rsidRPr="005675B2">
        <w:rPr>
          <w:rFonts w:hint="cs"/>
          <w:rtl/>
        </w:rPr>
        <w:t xml:space="preserve"> فقال</w:t>
      </w:r>
      <w:r w:rsidR="000636C2">
        <w:rPr>
          <w:rFonts w:hint="cs"/>
          <w:rtl/>
        </w:rPr>
        <w:t>:</w:t>
      </w:r>
      <w:r w:rsidRPr="005675B2">
        <w:rPr>
          <w:rFonts w:hint="cs"/>
          <w:rtl/>
        </w:rPr>
        <w:t xml:space="preserve"> علمه، وسئل سفيان عن أحاديث الصفات، فقال</w:t>
      </w:r>
      <w:r w:rsidR="000636C2">
        <w:rPr>
          <w:rFonts w:hint="cs"/>
          <w:rtl/>
        </w:rPr>
        <w:t>:</w:t>
      </w:r>
      <w:r w:rsidRPr="005675B2">
        <w:rPr>
          <w:rFonts w:hint="cs"/>
          <w:rtl/>
        </w:rPr>
        <w:t xml:space="preserve"> أمروها كما جاءت</w:t>
      </w:r>
      <w:r w:rsidR="000636C2">
        <w:rPr>
          <w:rFonts w:hint="cs"/>
          <w:rtl/>
        </w:rPr>
        <w:t>،</w:t>
      </w:r>
      <w:r w:rsidRPr="005675B2">
        <w:rPr>
          <w:rFonts w:hint="cs"/>
          <w:rtl/>
        </w:rPr>
        <w:t xml:space="preserve"> </w:t>
      </w:r>
      <w:r w:rsidR="000636C2">
        <w:rPr>
          <w:rFonts w:hint="cs"/>
          <w:rtl/>
        </w:rPr>
        <w:t>[</w:t>
      </w:r>
      <w:r w:rsidRPr="005675B2">
        <w:rPr>
          <w:rFonts w:hint="cs"/>
          <w:sz w:val="24"/>
          <w:szCs w:val="24"/>
          <w:rtl/>
        </w:rPr>
        <w:t>سير أعلام النبلاء 7/274]</w:t>
      </w:r>
      <w:r w:rsidRPr="005675B2">
        <w:rPr>
          <w:rFonts w:hint="cs"/>
          <w:rtl/>
        </w:rPr>
        <w:t xml:space="preserve"> </w:t>
      </w:r>
      <w:r w:rsidR="000636C2">
        <w:rPr>
          <w:rFonts w:hint="cs"/>
          <w:rtl/>
        </w:rPr>
        <w:t>[</w:t>
      </w:r>
      <w:r w:rsidRPr="005675B2">
        <w:rPr>
          <w:rFonts w:hint="cs"/>
          <w:rtl/>
        </w:rPr>
        <w:t>تأويل الإمام عبد الله ابن مبارك</w:t>
      </w:r>
      <w:r w:rsidR="000636C2">
        <w:rPr>
          <w:rFonts w:hint="cs"/>
          <w:rtl/>
        </w:rPr>
        <w:t xml:space="preserve">]، </w:t>
      </w:r>
      <w:r w:rsidRPr="005675B2">
        <w:rPr>
          <w:rFonts w:hint="cs"/>
          <w:rtl/>
        </w:rPr>
        <w:t>روى البخاري عن صفوان بن محرز عن ابن عمر رضي الله عنهما قال</w:t>
      </w:r>
      <w:r w:rsidR="000636C2">
        <w:rPr>
          <w:rFonts w:hint="cs"/>
          <w:rtl/>
        </w:rPr>
        <w:t>:</w:t>
      </w:r>
      <w:r w:rsidRPr="005675B2">
        <w:rPr>
          <w:rFonts w:hint="cs"/>
          <w:rtl/>
        </w:rPr>
        <w:t xml:space="preserve"> بينما أنا أمشى معه إذ جاء رجل فقال</w:t>
      </w:r>
      <w:r w:rsidR="000636C2">
        <w:rPr>
          <w:rFonts w:hint="cs"/>
          <w:rtl/>
        </w:rPr>
        <w:t>:</w:t>
      </w:r>
      <w:r w:rsidRPr="005675B2">
        <w:rPr>
          <w:rFonts w:hint="cs"/>
          <w:rtl/>
        </w:rPr>
        <w:t xml:space="preserve"> يا ابن عمر كيف سمعت رسول الله صلى الله عليه وسلم يذكر في النجوى</w:t>
      </w:r>
      <w:r w:rsidR="000636C2">
        <w:rPr>
          <w:rFonts w:hint="cs"/>
          <w:rtl/>
        </w:rPr>
        <w:t>؟</w:t>
      </w:r>
      <w:r w:rsidRPr="005675B2">
        <w:rPr>
          <w:rFonts w:hint="cs"/>
          <w:rtl/>
        </w:rPr>
        <w:t xml:space="preserve"> قال</w:t>
      </w:r>
      <w:r w:rsidR="000636C2">
        <w:rPr>
          <w:rFonts w:hint="cs"/>
          <w:rtl/>
        </w:rPr>
        <w:t>:</w:t>
      </w:r>
      <w:r w:rsidRPr="005675B2">
        <w:rPr>
          <w:rFonts w:hint="cs"/>
          <w:rtl/>
        </w:rPr>
        <w:t xml:space="preserve"> سمعته يقول</w:t>
      </w:r>
      <w:r w:rsidR="000636C2">
        <w:rPr>
          <w:rFonts w:hint="cs"/>
          <w:rtl/>
        </w:rPr>
        <w:t>:</w:t>
      </w:r>
      <w:r w:rsidRPr="005675B2">
        <w:rPr>
          <w:rFonts w:hint="cs"/>
          <w:rtl/>
        </w:rPr>
        <w:t xml:space="preserve"> يدنو المؤمن من ربه حتى يضع عليه كنفه .. ثم قال البخاري</w:t>
      </w:r>
      <w:r w:rsidR="000636C2">
        <w:rPr>
          <w:rFonts w:hint="cs"/>
          <w:rtl/>
        </w:rPr>
        <w:t>:</w:t>
      </w:r>
      <w:r w:rsidRPr="005675B2">
        <w:rPr>
          <w:rFonts w:hint="cs"/>
          <w:rtl/>
        </w:rPr>
        <w:t xml:space="preserve"> قال ابن المبارك كنفه يعنى ستره</w:t>
      </w:r>
      <w:r w:rsidR="000636C2">
        <w:rPr>
          <w:rFonts w:hint="cs"/>
          <w:rtl/>
        </w:rPr>
        <w:t>،</w:t>
      </w:r>
      <w:r w:rsidRPr="005675B2">
        <w:rPr>
          <w:rFonts w:hint="cs"/>
          <w:rtl/>
        </w:rPr>
        <w:t xml:space="preserve"> رواه البخاري في خلق أفعال العباد [</w:t>
      </w:r>
      <w:r w:rsidRPr="005675B2">
        <w:rPr>
          <w:rFonts w:hint="cs"/>
          <w:sz w:val="24"/>
          <w:szCs w:val="24"/>
          <w:rtl/>
        </w:rPr>
        <w:t>78]</w:t>
      </w:r>
      <w:r w:rsidRPr="005675B2">
        <w:rPr>
          <w:rFonts w:hint="cs"/>
          <w:rtl/>
        </w:rPr>
        <w:t xml:space="preserve"> ونقله الحافظ في "فتح الباري"</w:t>
      </w:r>
      <w:r w:rsidR="000636C2">
        <w:rPr>
          <w:rFonts w:hint="cs"/>
          <w:rtl/>
        </w:rPr>
        <w:t>،</w:t>
      </w:r>
      <w:r w:rsidRPr="005675B2">
        <w:rPr>
          <w:rFonts w:hint="cs"/>
          <w:spacing w:val="-10"/>
          <w:rtl/>
        </w:rPr>
        <w:t xml:space="preserve"> [</w:t>
      </w:r>
      <w:r w:rsidRPr="005675B2">
        <w:rPr>
          <w:rFonts w:hint="cs"/>
          <w:sz w:val="24"/>
          <w:szCs w:val="24"/>
          <w:rtl/>
        </w:rPr>
        <w:t>13/477]</w:t>
      </w:r>
      <w:r w:rsidRPr="005675B2">
        <w:rPr>
          <w:rFonts w:hint="cs"/>
          <w:spacing w:val="-10"/>
          <w:rtl/>
        </w:rPr>
        <w:t xml:space="preserve"> </w:t>
      </w:r>
      <w:r w:rsidR="000636C2">
        <w:rPr>
          <w:rFonts w:hint="cs"/>
          <w:spacing w:val="-10"/>
          <w:rtl/>
        </w:rPr>
        <w:t>[</w:t>
      </w:r>
      <w:r w:rsidRPr="005675B2">
        <w:rPr>
          <w:rFonts w:hint="cs"/>
          <w:rtl/>
        </w:rPr>
        <w:t>تأويل الإمام الترمذي</w:t>
      </w:r>
      <w:r w:rsidR="000636C2">
        <w:rPr>
          <w:rFonts w:hint="cs"/>
          <w:rtl/>
        </w:rPr>
        <w:t xml:space="preserve">]: </w:t>
      </w:r>
      <w:r w:rsidRPr="005675B2">
        <w:rPr>
          <w:rFonts w:hint="cs"/>
          <w:rtl/>
        </w:rPr>
        <w:t>روى الترمذي في جامعه الحديث المشهور</w:t>
      </w:r>
      <w:r w:rsidR="000636C2">
        <w:rPr>
          <w:rFonts w:hint="cs"/>
          <w:rtl/>
        </w:rPr>
        <w:t>:</w:t>
      </w:r>
      <w:r w:rsidRPr="005675B2">
        <w:rPr>
          <w:rFonts w:hint="cs"/>
          <w:rtl/>
        </w:rPr>
        <w:t xml:space="preserve"> </w:t>
      </w:r>
      <w:r w:rsidR="000636C2">
        <w:rPr>
          <w:rFonts w:hint="cs"/>
          <w:rtl/>
        </w:rPr>
        <w:t>(</w:t>
      </w:r>
      <w:r w:rsidRPr="005675B2">
        <w:rPr>
          <w:rFonts w:hint="cs"/>
          <w:rtl/>
        </w:rPr>
        <w:t>أنا عند ظن عبدي بي ..</w:t>
      </w:r>
      <w:r w:rsidR="000636C2">
        <w:rPr>
          <w:rFonts w:hint="cs"/>
          <w:rtl/>
        </w:rPr>
        <w:t>،</w:t>
      </w:r>
      <w:r w:rsidRPr="005675B2">
        <w:rPr>
          <w:rFonts w:hint="cs"/>
          <w:rtl/>
        </w:rPr>
        <w:t xml:space="preserve"> وإن أتاني يمشي أتيته هرولة</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هذا حديث حسن صحيح، ويروى عن الأعمش في تفسير هذا الحديث </w:t>
      </w:r>
      <w:r w:rsidR="000636C2">
        <w:rPr>
          <w:rFonts w:hint="cs"/>
          <w:rtl/>
        </w:rPr>
        <w:t>(</w:t>
      </w:r>
      <w:r w:rsidRPr="005675B2">
        <w:rPr>
          <w:rFonts w:hint="cs"/>
          <w:rtl/>
        </w:rPr>
        <w:t>من تقرب منى شبرا تقربت منه ذراعا</w:t>
      </w:r>
      <w:r w:rsidR="000636C2">
        <w:rPr>
          <w:rFonts w:hint="cs"/>
          <w:rtl/>
        </w:rPr>
        <w:t>)</w:t>
      </w:r>
      <w:r w:rsidRPr="005675B2">
        <w:rPr>
          <w:rFonts w:hint="cs"/>
          <w:rtl/>
        </w:rPr>
        <w:t xml:space="preserve"> يعنى بالمغفرة والرحمة، وهكذا فسر بعض أهل العلم هذا الحديث، قالوا</w:t>
      </w:r>
      <w:r w:rsidR="000636C2">
        <w:rPr>
          <w:rFonts w:hint="cs"/>
          <w:rtl/>
        </w:rPr>
        <w:t>:</w:t>
      </w:r>
      <w:r w:rsidRPr="005675B2">
        <w:rPr>
          <w:rFonts w:hint="cs"/>
          <w:rtl/>
        </w:rPr>
        <w:t xml:space="preserve"> إنما معناه</w:t>
      </w:r>
      <w:r w:rsidR="000636C2">
        <w:rPr>
          <w:rFonts w:hint="cs"/>
          <w:rtl/>
        </w:rPr>
        <w:t>:</w:t>
      </w:r>
      <w:r w:rsidRPr="005675B2">
        <w:rPr>
          <w:rFonts w:hint="cs"/>
          <w:rtl/>
        </w:rPr>
        <w:t xml:space="preserve"> يقول</w:t>
      </w:r>
      <w:r w:rsidR="000636C2">
        <w:rPr>
          <w:rFonts w:hint="cs"/>
          <w:rtl/>
        </w:rPr>
        <w:t>:</w:t>
      </w:r>
      <w:r w:rsidRPr="005675B2">
        <w:rPr>
          <w:rFonts w:hint="cs"/>
          <w:rtl/>
        </w:rPr>
        <w:t xml:space="preserve"> إذا تقرب إلي العبد بطاعتى وبما أمرت، تسارع إليه مغفرتي ورحمتي</w:t>
      </w:r>
      <w:r w:rsidR="000636C2">
        <w:rPr>
          <w:rFonts w:hint="cs"/>
          <w:rtl/>
        </w:rPr>
        <w:t>،</w:t>
      </w:r>
      <w:r w:rsidRPr="005675B2">
        <w:rPr>
          <w:rFonts w:hint="cs"/>
          <w:rtl/>
        </w:rPr>
        <w:t xml:space="preserve"> [</w:t>
      </w:r>
      <w:r w:rsidRPr="005675B2">
        <w:rPr>
          <w:rFonts w:hint="cs"/>
          <w:sz w:val="24"/>
          <w:szCs w:val="24"/>
          <w:rtl/>
        </w:rPr>
        <w:t>تحفة الأحوذي 10/64]</w:t>
      </w:r>
      <w:r w:rsidRPr="005675B2">
        <w:rPr>
          <w:rFonts w:hint="cs"/>
          <w:rtl/>
        </w:rPr>
        <w:t xml:space="preserve"> هذه نماذج من تأويل السلف للنصوص، واستقصائه يتعسر أو يتعذر من كثرته</w:t>
      </w:r>
      <w:r w:rsidR="000636C2">
        <w:rPr>
          <w:rFonts w:hint="cs"/>
          <w:rtl/>
        </w:rPr>
        <w:t>،</w:t>
      </w:r>
      <w:r w:rsidRPr="005675B2">
        <w:rPr>
          <w:rFonts w:hint="cs"/>
          <w:rtl/>
        </w:rPr>
        <w:t xml:space="preserve"> وما ذكرناه هنا هو حاصل مذاهب علماء الأمة وأئمتها من السلف والخلف في باب الصفات وباب التأويل محققا محررا</w:t>
      </w:r>
      <w:r w:rsidR="000636C2">
        <w:rPr>
          <w:rFonts w:hint="cs"/>
          <w:rtl/>
        </w:rPr>
        <w:t xml:space="preserve">، </w:t>
      </w:r>
      <w:r w:rsidRPr="005675B2">
        <w:rPr>
          <w:rFonts w:hint="cs"/>
          <w:rtl/>
        </w:rPr>
        <w:t>والله تعالى يتولى هدانا وهو حسبنا ونعم الوكيل</w:t>
      </w:r>
      <w:r w:rsidR="000636C2">
        <w:rPr>
          <w:rFonts w:hint="cs"/>
          <w:rtl/>
        </w:rPr>
        <w:t>،</w:t>
      </w:r>
    </w:p>
    <w:p w14:paraId="3CCE36AF" w14:textId="2A246F56" w:rsidR="009C32A0" w:rsidRPr="005675B2" w:rsidRDefault="009C32A0" w:rsidP="000636C2">
      <w:pPr>
        <w:rPr>
          <w:b/>
          <w:rtl/>
        </w:rPr>
      </w:pPr>
      <w:r w:rsidRPr="005675B2">
        <w:rPr>
          <w:rFonts w:hint="cs"/>
          <w:rtl/>
        </w:rPr>
        <w:t>62 - أخطاء الدكتور في كلامه على التأويل</w:t>
      </w:r>
      <w:r w:rsidR="000636C2">
        <w:rPr>
          <w:rFonts w:hint="cs"/>
          <w:rtl/>
        </w:rPr>
        <w:t xml:space="preserve">: </w:t>
      </w:r>
      <w:r w:rsidRPr="005675B2">
        <w:rPr>
          <w:rFonts w:hint="cs"/>
          <w:rtl/>
        </w:rPr>
        <w:t>وبعد هذه الجولة نعود إلى كلام الدكتور، وإلى بيان ما حواه من أخطاء، فنقول وبالله التوفيق</w:t>
      </w:r>
      <w:r w:rsidR="000636C2">
        <w:rPr>
          <w:rFonts w:hint="cs"/>
          <w:rtl/>
        </w:rPr>
        <w:t>:</w:t>
      </w:r>
      <w:r w:rsidRPr="005675B2">
        <w:rPr>
          <w:rFonts w:hint="cs"/>
          <w:rtl/>
        </w:rPr>
        <w:t xml:space="preserve"> الخطأ 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ومعناه المبتدع صرف اللفظ عن ظاهره الراجح إلى احتمال مرجوح لقرينة</w:t>
      </w:r>
      <w:r w:rsidR="000636C2">
        <w:rPr>
          <w:rFonts w:hint="cs"/>
          <w:rtl/>
        </w:rPr>
        <w:t>)،</w:t>
      </w:r>
      <w:r w:rsidRPr="005675B2">
        <w:rPr>
          <w:rFonts w:hint="cs"/>
          <w:rtl/>
        </w:rPr>
        <w:t xml:space="preserve"> أقول</w:t>
      </w:r>
      <w:r w:rsidR="000636C2">
        <w:rPr>
          <w:rFonts w:hint="cs"/>
          <w:rtl/>
        </w:rPr>
        <w:t>:</w:t>
      </w:r>
      <w:r w:rsidRPr="005675B2">
        <w:rPr>
          <w:rFonts w:hint="cs"/>
          <w:rtl/>
        </w:rPr>
        <w:t xml:space="preserve"> هذا المعنى للتأويل إصطلاح للأصوليين، ولأهل العلوم أن يصطلحوا على ما يشائون، كما أنه من المقرر أنه لا مشاحة في الإصطلاح، فلماذا يشاح الدكتور في الإصطلاح، ويحكم عليه بالإبتداع</w:t>
      </w:r>
      <w:r w:rsidR="000636C2">
        <w:rPr>
          <w:rFonts w:hint="cs"/>
          <w:rtl/>
        </w:rPr>
        <w:t>؟!</w:t>
      </w:r>
      <w:r w:rsidRPr="005675B2">
        <w:rPr>
          <w:rFonts w:hint="cs"/>
          <w:rtl/>
        </w:rPr>
        <w:t xml:space="preserve"> نعم لأنه يعتقد أنه تحريف للكلم عن مواضعه</w:t>
      </w:r>
      <w:r w:rsidR="000636C2">
        <w:rPr>
          <w:rFonts w:hint="cs"/>
          <w:rtl/>
        </w:rPr>
        <w:t>!، (</w:t>
      </w:r>
      <w:r w:rsidRPr="005675B2">
        <w:rPr>
          <w:rFonts w:hint="cs"/>
          <w:rtl/>
        </w:rPr>
        <w:t>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فهو بهذا المعنى تحريف للكلم عن مواضعه كما قرر ذلك شيخ الإسلام</w:t>
      </w:r>
      <w:r w:rsidR="000636C2">
        <w:rPr>
          <w:rFonts w:hint="cs"/>
          <w:rtl/>
        </w:rPr>
        <w:t>)</w:t>
      </w:r>
      <w:r w:rsidRPr="005675B2">
        <w:rPr>
          <w:rFonts w:hint="cs"/>
          <w:rtl/>
        </w:rPr>
        <w:t xml:space="preserve"> ومن المقرر أن القرينة إذا دلت على ذلك الصرف كان الصرف أمرا لا بد منه، وإلا فما معنى دلالة القرينة على ذلك</w:t>
      </w:r>
      <w:r w:rsidR="000636C2">
        <w:rPr>
          <w:rFonts w:hint="cs"/>
          <w:rtl/>
        </w:rPr>
        <w:t>؟</w:t>
      </w:r>
      <w:r w:rsidRPr="005675B2">
        <w:rPr>
          <w:rFonts w:hint="cs"/>
          <w:rtl/>
        </w:rPr>
        <w:t xml:space="preserve"> وتقرير ابن تيمية لما قاله الدكتور لا يغني عنه شيئا، فإن الخطأ خطأ كائنا قائله من كان</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وهو أصل منهجي من أصول الأشاعرة .. إلى قوله</w:t>
      </w:r>
      <w:r w:rsidR="000636C2">
        <w:rPr>
          <w:rFonts w:hint="cs"/>
          <w:rtl/>
        </w:rPr>
        <w:t>:</w:t>
      </w:r>
      <w:r w:rsidRPr="005675B2">
        <w:rPr>
          <w:rFonts w:hint="cs"/>
          <w:rtl/>
        </w:rPr>
        <w:t xml:space="preserve"> وبعض الأوامر التكليفية</w:t>
      </w:r>
      <w:r w:rsidR="000636C2">
        <w:rPr>
          <w:rFonts w:hint="cs"/>
          <w:rtl/>
        </w:rPr>
        <w:t xml:space="preserve">)، </w:t>
      </w:r>
      <w:r w:rsidRPr="005675B2">
        <w:rPr>
          <w:rFonts w:hint="cs"/>
          <w:rtl/>
        </w:rPr>
        <w:t>أقول</w:t>
      </w:r>
      <w:r w:rsidR="000636C2">
        <w:rPr>
          <w:rFonts w:hint="cs"/>
          <w:rtl/>
        </w:rPr>
        <w:t>:</w:t>
      </w:r>
      <w:r w:rsidRPr="005675B2">
        <w:rPr>
          <w:rFonts w:hint="cs"/>
          <w:rtl/>
        </w:rPr>
        <w:t xml:space="preserve"> التأويل</w:t>
      </w:r>
      <w:r w:rsidR="000636C2">
        <w:rPr>
          <w:rFonts w:hint="cs"/>
          <w:rtl/>
        </w:rPr>
        <w:t xml:space="preserve"> </w:t>
      </w:r>
      <w:r w:rsidRPr="005675B2">
        <w:rPr>
          <w:rFonts w:hint="cs"/>
          <w:rtl/>
        </w:rPr>
        <w:t>- إذا كان صحيحا - أصل منهجي للأشاعرة ولكل المسلمين، ولكل العقلاء بما فيهم الدكتور سفر</w:t>
      </w:r>
      <w:r w:rsidR="000636C2">
        <w:rPr>
          <w:rFonts w:hint="cs"/>
          <w:rtl/>
        </w:rPr>
        <w:t>،</w:t>
      </w:r>
      <w:r w:rsidRPr="005675B2">
        <w:rPr>
          <w:rFonts w:hint="cs"/>
          <w:rtl/>
        </w:rPr>
        <w:t xml:space="preserve"> نعم للدكتور وغيره أن ينازع في صحة بعض التأويلات، ويناقش فيها، أما إنكار التأويل رأسا فلا يقدم عليه عاقل فضلا عن فاضل</w:t>
      </w:r>
      <w:r w:rsidR="000636C2">
        <w:rPr>
          <w:rFonts w:hint="cs"/>
          <w:rtl/>
        </w:rPr>
        <w:t>،</w:t>
      </w:r>
      <w:r w:rsidRPr="005675B2">
        <w:rPr>
          <w:rFonts w:hint="cs"/>
          <w:rtl/>
        </w:rPr>
        <w:t xml:space="preserve"> 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وضرورته لمنهج عقيدتهم، أصلها أنه لما تعارضت عندهم الأصول العقلية التى قرروها بعيدا عن الشرع مع النصوص الشرعية، وقعوا في مأزق رد الكل أو أخذ الكل، فوجدوا في التأويل مهربا عقليا، ومخرجا من التعارض الذي اختلقته أوهامهم</w:t>
      </w:r>
      <w:r w:rsidR="000636C2">
        <w:rPr>
          <w:rFonts w:hint="cs"/>
          <w:rtl/>
        </w:rPr>
        <w:t xml:space="preserve">)، </w:t>
      </w:r>
      <w:r w:rsidRPr="005675B2">
        <w:rPr>
          <w:rFonts w:hint="cs"/>
          <w:rtl/>
        </w:rPr>
        <w:t>أقول</w:t>
      </w:r>
      <w:r w:rsidR="000636C2">
        <w:rPr>
          <w:rFonts w:hint="cs"/>
          <w:rtl/>
        </w:rPr>
        <w:t>:</w:t>
      </w:r>
      <w:r w:rsidRPr="005675B2">
        <w:rPr>
          <w:rFonts w:hint="cs"/>
          <w:rtl/>
        </w:rPr>
        <w:t xml:space="preserve"> ليس ضرورة التأويل لمنهج عقيدة الأشاعرة لما ذكره الدكتور</w:t>
      </w:r>
      <w:r w:rsidR="000636C2">
        <w:rPr>
          <w:rFonts w:hint="cs"/>
          <w:rtl/>
        </w:rPr>
        <w:t>،</w:t>
      </w:r>
      <w:r w:rsidRPr="005675B2">
        <w:rPr>
          <w:rFonts w:hint="cs"/>
          <w:rtl/>
        </w:rPr>
        <w:t xml:space="preserve"> وهلا ذكر الدكتور أصول الأشاعرة التى قرروها بعيدا عن الشرع لنتكلم عليها</w:t>
      </w:r>
      <w:r w:rsidR="000636C2">
        <w:rPr>
          <w:rFonts w:hint="cs"/>
          <w:rtl/>
        </w:rPr>
        <w:t xml:space="preserve">؟! </w:t>
      </w:r>
      <w:r w:rsidRPr="005675B2">
        <w:rPr>
          <w:rFonts w:hint="cs"/>
          <w:rtl/>
        </w:rPr>
        <w:t>بل ضرورة التأويل الصحيح لمنهج الأشاعرة ولكل المسلمين أن من نصوص الكتاب والسنة ما لو حمل على ظاهره وعلى المعنى الحقيقي له، قد يخالف صرائح العقول، وقد يخالف المحكمات من الكتاب والسنة، وقد يخالف القواعد الشرعية المقررة المأخوذة من نصوص الشارع، فالمسلمون كلهم في مثل هذه النصوص مضطرون إلى صرف هذه النصوص عن معانيها الحقيقية، واعتقاد أنها غير مرادة للشارع، ثم اختلفوا فمنهم من توقف عند هذا الحد، وفوض معانيها المرادة منها إلى الله تعالى، ويسمى هذا بالتأويل الإجمالي، ومنهم من حاول بيان معانيها المجازية أو الكنائية المرادة منها بقرائن تساعده على ذلك</w:t>
      </w:r>
      <w:r w:rsidR="000636C2">
        <w:rPr>
          <w:rFonts w:hint="cs"/>
          <w:rtl/>
        </w:rPr>
        <w:t xml:space="preserve">، </w:t>
      </w:r>
      <w:r w:rsidRPr="005675B2">
        <w:rPr>
          <w:rFonts w:hint="cs"/>
          <w:rtl/>
        </w:rPr>
        <w:t>هذا ما اضطر الأشاعرة واضطر كل المسلمين إلى التأويل الصحيح لبعض النصوص من الكتاب والسنة</w:t>
      </w:r>
      <w:r w:rsidR="000636C2">
        <w:rPr>
          <w:rFonts w:hint="cs"/>
          <w:rtl/>
        </w:rPr>
        <w:t xml:space="preserve">، </w:t>
      </w:r>
      <w:r w:rsidRPr="005675B2">
        <w:rPr>
          <w:rFonts w:hint="cs"/>
          <w:rtl/>
        </w:rPr>
        <w:t>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فأي تناقض في كتاب الله يا مسلمون نضطر معه إلى رد بعضه، أو الإعتراف للأعداء بتناقضه</w:t>
      </w:r>
      <w:r w:rsidR="000636C2">
        <w:rPr>
          <w:rFonts w:hint="cs"/>
          <w:rtl/>
        </w:rPr>
        <w:t>)،</w:t>
      </w:r>
      <w:r w:rsidRPr="005675B2">
        <w:rPr>
          <w:rFonts w:hint="cs"/>
          <w:rtl/>
        </w:rPr>
        <w:t xml:space="preserve"> عار عليك أيها الدكتور</w:t>
      </w:r>
      <w:r w:rsidR="000636C2">
        <w:rPr>
          <w:rFonts w:hint="cs"/>
          <w:rtl/>
        </w:rPr>
        <w:t>!</w:t>
      </w:r>
      <w:r w:rsidRPr="005675B2">
        <w:rPr>
          <w:rFonts w:hint="cs"/>
          <w:rtl/>
        </w:rPr>
        <w:t xml:space="preserve"> مَنْ مِنَ الأشاعرة قال بالتناقض في كتاب الله، ورد لأجل ذلك بعضه، واعترف لأعداء الإسلام بتناقضه</w:t>
      </w:r>
      <w:r w:rsidR="000636C2">
        <w:rPr>
          <w:rFonts w:hint="cs"/>
          <w:rtl/>
        </w:rPr>
        <w:t xml:space="preserve">؟؟! </w:t>
      </w:r>
      <w:r w:rsidRPr="005675B2">
        <w:rPr>
          <w:rFonts w:hint="cs"/>
          <w:rtl/>
        </w:rPr>
        <w:t>نعم التناقض مرفوض، ولا يقول به مسلم</w:t>
      </w:r>
      <w:r w:rsidR="000636C2">
        <w:rPr>
          <w:rFonts w:hint="cs"/>
          <w:rtl/>
        </w:rPr>
        <w:t>،</w:t>
      </w:r>
      <w:r w:rsidRPr="005675B2">
        <w:rPr>
          <w:rFonts w:hint="cs"/>
          <w:rtl/>
        </w:rPr>
        <w:t xml:space="preserve"> وأما الإختلاف بين ظواهر بعض النصوص أي مخالفة بعضها للبعض الآخر بحسب معانيها الحقيقية فمن يستطيع أن ينكره</w:t>
      </w:r>
      <w:r w:rsidR="000636C2">
        <w:rPr>
          <w:rFonts w:hint="cs"/>
          <w:rtl/>
        </w:rPr>
        <w:t>؟!،</w:t>
      </w:r>
      <w:r w:rsidRPr="005675B2">
        <w:rPr>
          <w:rFonts w:hint="cs"/>
          <w:rtl/>
        </w:rPr>
        <w:t xml:space="preserve"> وأضرب على ذلك مثالين</w:t>
      </w:r>
      <w:r w:rsidR="000636C2">
        <w:rPr>
          <w:rFonts w:hint="cs"/>
          <w:rtl/>
        </w:rPr>
        <w:t>،</w:t>
      </w:r>
      <w:r w:rsidRPr="005675B2">
        <w:rPr>
          <w:rFonts w:hint="cs"/>
          <w:rtl/>
        </w:rPr>
        <w:t xml:space="preserve"> قال الله تعالى</w:t>
      </w:r>
      <w:r w:rsidR="000636C2">
        <w:rPr>
          <w:rFonts w:hint="cs"/>
          <w:rtl/>
        </w:rPr>
        <w:t>:</w:t>
      </w:r>
      <w:r w:rsidRPr="005675B2">
        <w:rPr>
          <w:rFonts w:hint="cs"/>
          <w:rtl/>
        </w:rPr>
        <w:t xml:space="preserve"> </w:t>
      </w:r>
      <w:r w:rsidR="000636C2">
        <w:rPr>
          <w:rFonts w:hint="cs"/>
          <w:rtl/>
        </w:rPr>
        <w:t>(</w:t>
      </w:r>
      <w:r w:rsidRPr="005675B2">
        <w:rPr>
          <w:rFonts w:hint="cs"/>
          <w:rtl/>
        </w:rPr>
        <w:t>فلم تقتلوهم ولكن الله قتلهم وما رميت إذ رميت ولكن الله رمى</w:t>
      </w:r>
      <w:r w:rsidR="000636C2">
        <w:rPr>
          <w:rFonts w:hint="cs"/>
          <w:rtl/>
        </w:rPr>
        <w:t>)</w:t>
      </w:r>
      <w:r w:rsidRPr="005675B2">
        <w:rPr>
          <w:rFonts w:hint="cs"/>
          <w:rtl/>
        </w:rPr>
        <w:t xml:space="preserve"> ففي لفظ </w:t>
      </w:r>
      <w:r w:rsidR="000636C2">
        <w:rPr>
          <w:rFonts w:hint="cs"/>
          <w:rtl/>
        </w:rPr>
        <w:t>(</w:t>
      </w:r>
      <w:r w:rsidRPr="005675B2">
        <w:rPr>
          <w:rFonts w:hint="cs"/>
          <w:rtl/>
        </w:rPr>
        <w:t>إذ رميت</w:t>
      </w:r>
      <w:r w:rsidR="000636C2">
        <w:rPr>
          <w:rFonts w:hint="cs"/>
          <w:rtl/>
        </w:rPr>
        <w:t>)</w:t>
      </w:r>
      <w:r w:rsidRPr="005675B2">
        <w:rPr>
          <w:rFonts w:hint="cs"/>
          <w:rtl/>
        </w:rPr>
        <w:t xml:space="preserve"> إثبات الرمي للنبي صلى الله تعالى عليه وآله وسلم، وفي لفظ </w:t>
      </w:r>
      <w:r w:rsidR="000636C2">
        <w:rPr>
          <w:rFonts w:hint="cs"/>
          <w:rtl/>
        </w:rPr>
        <w:t>(</w:t>
      </w:r>
      <w:r w:rsidRPr="005675B2">
        <w:rPr>
          <w:rFonts w:hint="cs"/>
          <w:rtl/>
        </w:rPr>
        <w:t>ما رميت</w:t>
      </w:r>
      <w:r w:rsidR="000636C2">
        <w:rPr>
          <w:rFonts w:hint="cs"/>
          <w:rtl/>
        </w:rPr>
        <w:t>)</w:t>
      </w:r>
      <w:r w:rsidRPr="005675B2">
        <w:rPr>
          <w:rFonts w:hint="cs"/>
          <w:rtl/>
        </w:rPr>
        <w:t xml:space="preserve"> نفي للرمي عنه، وفي قوله تعالى </w:t>
      </w:r>
      <w:r w:rsidR="000636C2">
        <w:rPr>
          <w:rFonts w:hint="cs"/>
          <w:rtl/>
        </w:rPr>
        <w:t>(</w:t>
      </w:r>
      <w:r w:rsidRPr="005675B2">
        <w:rPr>
          <w:rFonts w:hint="cs"/>
          <w:rtl/>
        </w:rPr>
        <w:t>فلم تقتلوهم</w:t>
      </w:r>
      <w:r w:rsidR="000636C2">
        <w:rPr>
          <w:rFonts w:hint="cs"/>
          <w:rtl/>
        </w:rPr>
        <w:t>)</w:t>
      </w:r>
      <w:r w:rsidRPr="005675B2">
        <w:rPr>
          <w:rFonts w:hint="cs"/>
          <w:rtl/>
        </w:rPr>
        <w:t xml:space="preserve"> نفي لأن يكون المؤمنون قتلوا قتلى بدر، أليس ظاهر هذا القول مخالفا للظاهر المشاهد</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w:t>
      </w:r>
      <w:r w:rsidR="000636C2">
        <w:rPr>
          <w:rFonts w:hint="cs"/>
          <w:rtl/>
        </w:rPr>
        <w:t>(</w:t>
      </w:r>
      <w:r w:rsidRPr="005675B2">
        <w:rPr>
          <w:rFonts w:hint="cs"/>
          <w:rtl/>
        </w:rPr>
        <w:t>وما كان ربك نسيا</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نسوا الله فنسيهم</w:t>
      </w:r>
      <w:r w:rsidR="000636C2">
        <w:rPr>
          <w:rFonts w:hint="cs"/>
          <w:rtl/>
        </w:rPr>
        <w:t xml:space="preserve">)، </w:t>
      </w:r>
      <w:r w:rsidRPr="005675B2">
        <w:rPr>
          <w:rFonts w:hint="cs"/>
          <w:rtl/>
        </w:rPr>
        <w:t>ثم أقول للدكتور</w:t>
      </w:r>
      <w:r w:rsidR="000636C2">
        <w:rPr>
          <w:rFonts w:hint="cs"/>
          <w:rtl/>
        </w:rPr>
        <w:t>:</w:t>
      </w:r>
      <w:r w:rsidRPr="005675B2">
        <w:rPr>
          <w:rFonts w:hint="cs"/>
          <w:rtl/>
        </w:rPr>
        <w:t xml:space="preserve"> ولماذا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ولو ردوه إلى الرسول وإلى أولي العلم منهم لعلمه الذين يستنبطونه منهم</w:t>
      </w:r>
      <w:r w:rsidR="000636C2">
        <w:rPr>
          <w:rFonts w:hint="cs"/>
          <w:rtl/>
        </w:rPr>
        <w:t>)؟</w:t>
      </w:r>
      <w:r w:rsidRPr="005675B2">
        <w:rPr>
          <w:rFonts w:hint="cs"/>
          <w:rtl/>
        </w:rPr>
        <w:t xml:space="preserve"> </w:t>
      </w:r>
      <w:r w:rsidRPr="005675B2">
        <w:rPr>
          <w:rFonts w:hint="cs"/>
          <w:rtl/>
          <w:lang w:bidi="ar-KW"/>
        </w:rPr>
        <w:t>[</w:t>
      </w:r>
      <w:r w:rsidRPr="005675B2">
        <w:rPr>
          <w:rFonts w:hint="cs"/>
          <w:sz w:val="24"/>
          <w:szCs w:val="24"/>
          <w:rtl/>
        </w:rPr>
        <w:t>النساء 83]</w:t>
      </w:r>
      <w:r w:rsidRPr="005675B2">
        <w:rPr>
          <w:rFonts w:hint="cs"/>
          <w:rtl/>
          <w:lang w:bidi="ar-KW"/>
        </w:rPr>
        <w:t xml:space="preserve"> </w:t>
      </w:r>
      <w:r w:rsidRPr="005675B2">
        <w:rPr>
          <w:rFonts w:hint="cs"/>
          <w:rtl/>
        </w:rPr>
        <w:t>ولماذا أُلف علمُ مشكل القرآن، وعلم مشكل الحديث أو مختلف الحديث</w:t>
      </w:r>
      <w:r w:rsidR="000636C2">
        <w:rPr>
          <w:rFonts w:hint="cs"/>
          <w:rtl/>
        </w:rPr>
        <w:t xml:space="preserve">؟ </w:t>
      </w:r>
      <w:r w:rsidRPr="005675B2">
        <w:rPr>
          <w:rFonts w:hint="cs"/>
          <w:rtl/>
        </w:rPr>
        <w:t>نعم التناقض لازم لقول من يرفض التأويل رأسا، لكني لا أقول</w:t>
      </w:r>
      <w:r w:rsidR="000636C2">
        <w:rPr>
          <w:rFonts w:hint="cs"/>
          <w:rtl/>
        </w:rPr>
        <w:t>:</w:t>
      </w:r>
      <w:r w:rsidRPr="005675B2">
        <w:rPr>
          <w:rFonts w:hint="cs"/>
          <w:rtl/>
        </w:rPr>
        <w:t xml:space="preserve"> إنه قائل بالتناقض، معاذ الله</w:t>
      </w:r>
      <w:r w:rsidR="000636C2">
        <w:rPr>
          <w:rFonts w:hint="cs"/>
          <w:rtl/>
        </w:rPr>
        <w:t xml:space="preserve">! </w:t>
      </w:r>
      <w:r w:rsidRPr="005675B2">
        <w:rPr>
          <w:rFonts w:hint="cs"/>
          <w:rtl/>
        </w:rPr>
        <w:t>الخطأ 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وقد اعترف الصابوني بأن في مذهب الأشاعرة تأويلات غريبة، فما المعيار الذي عرف به الغريب من غير الغريب</w:t>
      </w:r>
      <w:r w:rsidR="000636C2">
        <w:rPr>
          <w:rFonts w:hint="cs"/>
          <w:rtl/>
        </w:rPr>
        <w:t>)</w:t>
      </w:r>
      <w:r w:rsidRPr="005675B2">
        <w:rPr>
          <w:rFonts w:hint="cs"/>
          <w:rtl/>
        </w:rPr>
        <w:t xml:space="preserve"> وهذا إنكار لأن يكون عند الأشاعرة معيار للتأويل الصحيح</w:t>
      </w:r>
      <w:r w:rsidR="000636C2">
        <w:rPr>
          <w:rFonts w:hint="cs"/>
          <w:rtl/>
        </w:rPr>
        <w:t xml:space="preserve">، </w:t>
      </w:r>
      <w:r w:rsidRPr="005675B2">
        <w:rPr>
          <w:rFonts w:hint="cs"/>
          <w:rtl/>
        </w:rPr>
        <w:t xml:space="preserve">أقول </w:t>
      </w:r>
      <w:r w:rsidR="000636C2">
        <w:rPr>
          <w:rFonts w:hint="cs"/>
          <w:rtl/>
        </w:rPr>
        <w:t>(</w:t>
      </w:r>
      <w:r>
        <w:rPr>
          <w:rFonts w:hint="cs"/>
          <w:rtl/>
        </w:rPr>
        <w:t>أولا</w:t>
      </w:r>
      <w:r w:rsidR="000636C2">
        <w:rPr>
          <w:rFonts w:hint="cs"/>
          <w:rtl/>
        </w:rPr>
        <w:t>):</w:t>
      </w:r>
      <w:r w:rsidRPr="005675B2">
        <w:rPr>
          <w:rFonts w:hint="cs"/>
          <w:rtl/>
        </w:rPr>
        <w:t xml:space="preserve"> المعيار ما أشار إليه ابن دقيق العيد فيما نقلناه عنه من كلامه، وقد فصلناه بأن التأويل الصحيح ما توفرت فيه خمسة شروط</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القول بأن في مذهب الأشاعرة تأويلات غريبة غير صحيح،لأن مذهب الأشاعرة أن التأويل</w:t>
      </w:r>
      <w:r w:rsidR="000636C2">
        <w:rPr>
          <w:rFonts w:hint="cs"/>
          <w:rtl/>
        </w:rPr>
        <w:t xml:space="preserve"> </w:t>
      </w:r>
      <w:r w:rsidRPr="005675B2">
        <w:rPr>
          <w:rFonts w:hint="cs"/>
          <w:rtl/>
        </w:rPr>
        <w:t>- إذا كان بشروطه - صحيح، وأما أفراد التأويلات فلا يصح نسبتها إلى مذهب الأشاعرة عامة، بل لا بد من نسبتها إلى القائلين بها من الأشاعرة، إلا إذا كان هناك أفراد من التأويل متفق عليها من الأشاعرة فيصح نسبتها إلى المذهب حينئذ</w:t>
      </w:r>
      <w:r w:rsidR="000636C2">
        <w:rPr>
          <w:rFonts w:hint="cs"/>
          <w:rtl/>
        </w:rPr>
        <w:t>،</w:t>
      </w:r>
      <w:r w:rsidRPr="005675B2">
        <w:rPr>
          <w:rFonts w:hint="cs"/>
          <w:rtl/>
        </w:rPr>
        <w:t xml:space="preserve"> فالتعبير الصحيح</w:t>
      </w:r>
      <w:r w:rsidR="000636C2">
        <w:rPr>
          <w:rFonts w:hint="cs"/>
          <w:rtl/>
        </w:rPr>
        <w:t>:</w:t>
      </w:r>
      <w:r w:rsidRPr="005675B2">
        <w:rPr>
          <w:rFonts w:hint="cs"/>
          <w:rtl/>
        </w:rPr>
        <w:t xml:space="preserve"> أن عند بعض الأشاعرة تأويلات غريبة، أو غير صحيحة، وذلك مثل تأويل الإستواء بالإستيلاء وذلك لأن الإستيلاء إن لم يكن مفيدا للمغالبة فلا شبهة في أنه موهم له، ومن شرط التأويل الصحيح أن لا يكون المعنى الذي أول به النص موهما لما هو ممتنع على الله تعالى</w:t>
      </w:r>
      <w:r w:rsidR="000636C2">
        <w:rPr>
          <w:rFonts w:hint="cs"/>
          <w:rtl/>
        </w:rPr>
        <w:t>،</w:t>
      </w:r>
      <w:r w:rsidRPr="005675B2">
        <w:rPr>
          <w:rFonts w:hint="cs"/>
          <w:rtl/>
        </w:rPr>
        <w:t xml:space="preserve"> ثم إن بعض التأويلات مما تختلف فيها الأنظار، فيراها هذا صحيحة ويراها الآخر فاسدة</w:t>
      </w:r>
      <w:r w:rsidR="000636C2">
        <w:rPr>
          <w:rFonts w:hint="cs"/>
          <w:rtl/>
        </w:rPr>
        <w:t>،</w:t>
      </w:r>
    </w:p>
    <w:p w14:paraId="4E14AE91" w14:textId="61813C3E" w:rsidR="009C32A0" w:rsidRPr="005675B2" w:rsidRDefault="009C32A0" w:rsidP="000636C2">
      <w:pPr>
        <w:rPr>
          <w:b/>
          <w:rtl/>
        </w:rPr>
      </w:pPr>
      <w:r w:rsidRPr="005675B2">
        <w:rPr>
          <w:rFonts w:hint="cs"/>
          <w:rtl/>
        </w:rPr>
        <w:t>63 - بيان أن التأويل لا يخلو عنه مذهب من المذاهب</w:t>
      </w:r>
      <w:r w:rsidR="000636C2">
        <w:rPr>
          <w:rFonts w:hint="cs"/>
          <w:rtl/>
        </w:rPr>
        <w:t xml:space="preserve">: </w:t>
      </w:r>
      <w:r w:rsidRPr="005675B2">
        <w:rPr>
          <w:rFonts w:hint="cs"/>
          <w:rtl/>
        </w:rPr>
        <w:t>الخطأ 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وهنا لا بد من زيادة التاكيد على أن مذهب السلف لا تأويل فيه لنص من النصوص الشرعية إطلاقا، ولا يوجد نص واحد -لا في الصفات ولا في غيرها - اضطر السلف إلى تأويله</w:t>
      </w:r>
      <w:r w:rsidR="000636C2">
        <w:rPr>
          <w:rFonts w:hint="cs"/>
          <w:rtl/>
        </w:rPr>
        <w:t>،</w:t>
      </w:r>
      <w:r w:rsidRPr="005675B2">
        <w:rPr>
          <w:rFonts w:hint="cs"/>
          <w:rtl/>
        </w:rPr>
        <w:t xml:space="preserve"> ولله الحمد</w:t>
      </w:r>
      <w:r w:rsidR="000636C2">
        <w:rPr>
          <w:rFonts w:hint="cs"/>
          <w:rtl/>
        </w:rPr>
        <w:t xml:space="preserve">)، </w:t>
      </w:r>
      <w:r w:rsidRPr="005675B2">
        <w:rPr>
          <w:rFonts w:hint="cs"/>
          <w:rtl/>
        </w:rPr>
        <w:t>أقول</w:t>
      </w:r>
      <w:r w:rsidR="000636C2">
        <w:rPr>
          <w:rFonts w:hint="cs"/>
          <w:rtl/>
        </w:rPr>
        <w:t>:</w:t>
      </w:r>
      <w:r w:rsidRPr="005675B2">
        <w:rPr>
          <w:rFonts w:hint="cs"/>
          <w:rtl/>
        </w:rPr>
        <w:t xml:space="preserve"> من المقرر أن أهم شيء في مسائل الخلاف هو تحرير محل النزاع، فانه عند تحريره كثيرا ما يتبين أنه لا خلاف في الواقع، وأن الخلاف لفظي، ومن هذا القبيل هذا الخلاف بيننا وبين الدكتور</w:t>
      </w:r>
      <w:r w:rsidR="000636C2">
        <w:rPr>
          <w:rFonts w:hint="cs"/>
          <w:rtl/>
        </w:rPr>
        <w:t>،</w:t>
      </w:r>
      <w:r w:rsidRPr="005675B2">
        <w:rPr>
          <w:rFonts w:hint="cs"/>
          <w:rtl/>
        </w:rPr>
        <w:t xml:space="preserve"> وذلك أن التأويل في اصطلاح الأصوليين</w:t>
      </w:r>
      <w:r w:rsidR="000636C2">
        <w:rPr>
          <w:rFonts w:hint="cs"/>
          <w:rtl/>
        </w:rPr>
        <w:t>:</w:t>
      </w:r>
      <w:r w:rsidRPr="005675B2">
        <w:rPr>
          <w:rFonts w:hint="cs"/>
          <w:rtl/>
        </w:rPr>
        <w:t xml:space="preserve"> « صرف اللفظ عن الظاهر الراجح إلى احتمال مرجوح لقرينة » وقد قررنا أن التأويل بهذه المعنى لا يسوغ لعاقل أن ينكره في الفاظ الكتاب والسنة</w:t>
      </w:r>
      <w:r w:rsidR="000636C2">
        <w:rPr>
          <w:rFonts w:hint="cs"/>
          <w:rtl/>
        </w:rPr>
        <w:t>،</w:t>
      </w:r>
      <w:r w:rsidRPr="005675B2">
        <w:rPr>
          <w:rFonts w:hint="cs"/>
          <w:rtl/>
        </w:rPr>
        <w:t xml:space="preserve"> وأما الدكتور فأظن أنه يقصد بالتأويل كما يدل عليه لاحق كلامه « صرف الكلام عن المعنى الذي تدل عليه القرآن من السياق والسباق والألفاظ المقرونة به » هذا ما يدل عليه قول الدكتور</w:t>
      </w:r>
      <w:r w:rsidR="000636C2">
        <w:rPr>
          <w:rFonts w:hint="cs"/>
          <w:rtl/>
        </w:rPr>
        <w:t>:</w:t>
      </w:r>
      <w:r w:rsidRPr="005675B2">
        <w:rPr>
          <w:rFonts w:hint="cs"/>
          <w:rtl/>
        </w:rPr>
        <w:t xml:space="preserve"> « وكل الآيات والأحاديث التي ذكرها الصابوني وغيره تحمل في نفسها ما يدل على المعنى الصحيح الذي فهمه السلف منها، والذي يدل على تنزيه الله تعالى، دون أدنى حاجة إلى التأويل » حيث قال</w:t>
      </w:r>
      <w:r w:rsidR="000636C2">
        <w:rPr>
          <w:rFonts w:hint="cs"/>
          <w:rtl/>
        </w:rPr>
        <w:t>:</w:t>
      </w:r>
      <w:r w:rsidRPr="005675B2">
        <w:rPr>
          <w:rFonts w:hint="cs"/>
          <w:rtl/>
        </w:rPr>
        <w:t xml:space="preserve"> « تحمل في نفسها ما يدل على المعنى الصحيح » ثم قال</w:t>
      </w:r>
      <w:r w:rsidR="000636C2">
        <w:rPr>
          <w:rFonts w:hint="cs"/>
          <w:rtl/>
        </w:rPr>
        <w:t>:</w:t>
      </w:r>
      <w:r w:rsidRPr="005675B2">
        <w:rPr>
          <w:rFonts w:hint="cs"/>
          <w:rtl/>
        </w:rPr>
        <w:t xml:space="preserve"> « دون أي حاجة إلى التأويل » والتأويل بهذه المعنى تحريف للكلم عن مواضعه، ولعب كما قال السبكي، ولا ينطبق هذا التأويل على تاويلات الأشاعرة بالمعنى الذي اصطلح عليه الأصوليون، بل إنما ينطبق على تأويلات الباطنية</w:t>
      </w:r>
      <w:r w:rsidR="000636C2">
        <w:rPr>
          <w:rFonts w:hint="cs"/>
          <w:rtl/>
        </w:rPr>
        <w:t xml:space="preserve">! </w:t>
      </w:r>
      <w:r w:rsidRPr="005675B2">
        <w:rPr>
          <w:rFonts w:hint="cs"/>
          <w:rtl/>
        </w:rPr>
        <w:t>لكن التأويل بهذا المعنى ليس معنى لغويا للفظ التأويل، ولا اصطلاحا لأحد من علماء الأمة</w:t>
      </w:r>
      <w:r w:rsidR="000636C2">
        <w:rPr>
          <w:rFonts w:hint="cs"/>
          <w:rtl/>
        </w:rPr>
        <w:t xml:space="preserve">، </w:t>
      </w:r>
      <w:r w:rsidRPr="005675B2">
        <w:rPr>
          <w:rFonts w:hint="cs"/>
          <w:rtl/>
        </w:rPr>
        <w:t>ثم إن الدكتور إذا كان قصد هذا المعنى للتأويل، فلا وجه لإنكاره على الأشاعرة، لأنهم لايؤولون هذا التأويل، كما أنه لاوجه لتقريره أن الأشاعرة يؤولون، والسلف لايؤولون</w:t>
      </w:r>
      <w:r w:rsidR="000636C2">
        <w:rPr>
          <w:rFonts w:hint="cs"/>
          <w:rtl/>
        </w:rPr>
        <w:t xml:space="preserve">، </w:t>
      </w:r>
      <w:r w:rsidRPr="005675B2">
        <w:rPr>
          <w:rFonts w:hint="cs"/>
          <w:rtl/>
        </w:rPr>
        <w:t>بل التحقيق أن الأشاعرة وبعض السلف يؤولون بالمعنى الذي قصده الأشاعرة للتأويل، ولايؤولون بالمعنى الذي قصده الدكتور للتأويل</w:t>
      </w:r>
      <w:r w:rsidR="000636C2">
        <w:rPr>
          <w:rFonts w:hint="cs"/>
          <w:rtl/>
        </w:rPr>
        <w:t>،</w:t>
      </w:r>
      <w:r w:rsidRPr="005675B2">
        <w:rPr>
          <w:rFonts w:hint="cs"/>
          <w:rtl/>
        </w:rPr>
        <w:t xml:space="preserve"> وقد نقلنا جملة من تأويلات السلف فيما تقدم</w:t>
      </w:r>
      <w:r w:rsidR="000636C2">
        <w:rPr>
          <w:rFonts w:hint="cs"/>
          <w:rtl/>
        </w:rPr>
        <w:t>،</w:t>
      </w:r>
      <w:r w:rsidRPr="005675B2">
        <w:rPr>
          <w:rFonts w:hint="cs"/>
          <w:rtl/>
        </w:rPr>
        <w:t xml:space="preserve"> الخطأ 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وإن تعجب فأعجب لهذه اللفظة النابية التى يستعملها الأشاعرة مع النصوص، وهي أنها توهم التشبيه، ولهذا وجب تأويلها، فهل في كتاب الله إيهام، أم أن العقول الكاسدة تتوهم، والعقيدة ليست مجالا للتوهم</w:t>
      </w:r>
      <w:r w:rsidR="000636C2">
        <w:rPr>
          <w:rFonts w:hint="cs"/>
          <w:rtl/>
        </w:rPr>
        <w:t xml:space="preserve">)، </w:t>
      </w:r>
      <w:r w:rsidRPr="005675B2">
        <w:rPr>
          <w:rFonts w:hint="cs"/>
          <w:rtl/>
        </w:rPr>
        <w:t>أقول للدكتور</w:t>
      </w:r>
      <w:r w:rsidR="000636C2">
        <w:rPr>
          <w:rFonts w:hint="cs"/>
          <w:rtl/>
        </w:rPr>
        <w:t>:</w:t>
      </w:r>
      <w:r w:rsidRPr="005675B2">
        <w:rPr>
          <w:rFonts w:hint="cs"/>
          <w:rtl/>
        </w:rPr>
        <w:t xml:space="preserve"> المسألة مسألة علمية لا ينفع فيها التهويل والتقذيع والتهويش، ولا يليق هذا بأهل العلم، بل هذه الأمور علامة على ضعف فاعلها، وعلى عدم نجاحه علميا، فيتجه إلى الإقذاع والتهويش</w:t>
      </w:r>
      <w:r w:rsidR="000636C2">
        <w:rPr>
          <w:rFonts w:hint="cs"/>
          <w:rtl/>
        </w:rPr>
        <w:t xml:space="preserve">، </w:t>
      </w:r>
      <w:r w:rsidRPr="005675B2">
        <w:rPr>
          <w:rFonts w:hint="cs"/>
          <w:rtl/>
        </w:rPr>
        <w:t>ثم أقول</w:t>
      </w:r>
      <w:r w:rsidR="000636C2">
        <w:rPr>
          <w:rFonts w:hint="cs"/>
          <w:rtl/>
        </w:rPr>
        <w:t>:</w:t>
      </w:r>
      <w:r w:rsidRPr="005675B2">
        <w:rPr>
          <w:rFonts w:hint="cs"/>
          <w:rtl/>
        </w:rPr>
        <w:t xml:space="preserve"> قد قررنا أن من ألفاظ الكتاب والسنة ما لو قطع عن سابقه ولاحقه وعري عن القرائن المقرونة به المعينة للمعنى المراد منه، لأوهم معنى لا يصح أن ينسب إلى الله تعالى، وقد مرت أمثلة كثيرة له، والأشاعرة قد عبروا بالإيهام، ولم يعبروا بالإفادة أو الدلالة، لأن هذه النصوص معها من القرائن ما يدل على أن التشبيه غير مقصود منها، ويعين المعنى المراد منها الموافق للتنزيه، فهل بعد هذا يصح إنكار هذا التعبير على الأشاعرة</w:t>
      </w:r>
      <w:r w:rsidR="000636C2">
        <w:rPr>
          <w:rFonts w:hint="cs"/>
          <w:rtl/>
        </w:rPr>
        <w:t>؟</w:t>
      </w:r>
      <w:r w:rsidRPr="005675B2">
        <w:rPr>
          <w:rFonts w:hint="cs"/>
          <w:rtl/>
        </w:rPr>
        <w:t xml:space="preserve"> وإذا لم يعبروا بالإيهام فبماذا يعبرون</w:t>
      </w:r>
      <w:r w:rsidR="000636C2">
        <w:rPr>
          <w:rFonts w:hint="cs"/>
          <w:rtl/>
        </w:rPr>
        <w:t>؟!</w:t>
      </w:r>
      <w:r w:rsidRPr="005675B2">
        <w:rPr>
          <w:rFonts w:hint="cs"/>
          <w:rtl/>
        </w:rPr>
        <w:t>!</w:t>
      </w:r>
      <w:r w:rsidR="000636C2">
        <w:rPr>
          <w:rFonts w:hint="cs"/>
          <w:rtl/>
        </w:rPr>
        <w:t xml:space="preserve"> </w:t>
      </w:r>
      <w:r w:rsidRPr="005675B2">
        <w:rPr>
          <w:rFonts w:hint="cs"/>
          <w:rtl/>
        </w:rPr>
        <w:t>الخطأ التاسع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فالعيب ليس في ظواهر النصوص -عياذا بالله - ولكن العيب في الأفهام، بل الأوهام السقيمة</w:t>
      </w:r>
      <w:r w:rsidR="000636C2">
        <w:rPr>
          <w:rFonts w:hint="cs"/>
          <w:rtl/>
        </w:rPr>
        <w:t xml:space="preserve">)، </w:t>
      </w:r>
      <w:r w:rsidRPr="005675B2">
        <w:rPr>
          <w:rFonts w:hint="cs"/>
          <w:rtl/>
        </w:rPr>
        <w:t>من الذي قال</w:t>
      </w:r>
      <w:r w:rsidR="000636C2">
        <w:rPr>
          <w:rFonts w:hint="cs"/>
          <w:rtl/>
        </w:rPr>
        <w:t>:</w:t>
      </w:r>
      <w:r w:rsidRPr="005675B2">
        <w:rPr>
          <w:rFonts w:hint="cs"/>
          <w:rtl/>
        </w:rPr>
        <w:t xml:space="preserve"> العيب في ظواهر النصوص -معاذ الله - وهل استعمال المجاز والكناية في الكلام من عيوب الكلام</w:t>
      </w:r>
      <w:r w:rsidR="000636C2">
        <w:rPr>
          <w:rFonts w:hint="cs"/>
          <w:rtl/>
        </w:rPr>
        <w:t>؟</w:t>
      </w:r>
      <w:r w:rsidRPr="005675B2">
        <w:rPr>
          <w:rFonts w:hint="cs"/>
          <w:rtl/>
        </w:rPr>
        <w:t xml:space="preserve"> أم أنهما مما يزيد الكلام فصاحة وبلاغة ورونقا</w:t>
      </w:r>
      <w:r w:rsidR="000636C2">
        <w:rPr>
          <w:rFonts w:hint="cs"/>
          <w:rtl/>
        </w:rPr>
        <w:t>؟</w:t>
      </w:r>
      <w:r w:rsidRPr="005675B2">
        <w:rPr>
          <w:rFonts w:hint="cs"/>
          <w:rtl/>
        </w:rPr>
        <w:t xml:space="preserve"> بل لا تحيى لغة من لغات العالم بدون المجاز والكناية، أو ليس التأويل عند الأشاعرة إلا حمل الكلام على المجاز أو الكناية، نعم صحيح أن العيب في الأفهام والأوهام السقيمة التى لا تريد أن تفهم كلام علماء الإسلام وأئمة الأمة على وجهه، وتسيئ الظن بهم، وتتصيد لكلامهم أسوأ المعاني، وأبشع المحامل</w:t>
      </w:r>
      <w:r w:rsidR="000636C2">
        <w:rPr>
          <w:rFonts w:hint="cs"/>
          <w:rtl/>
        </w:rPr>
        <w:t>!</w:t>
      </w:r>
    </w:p>
    <w:p w14:paraId="0A79C619" w14:textId="18549910" w:rsidR="009C32A0" w:rsidRPr="005675B2" w:rsidRDefault="009C32A0" w:rsidP="000636C2">
      <w:pPr>
        <w:rPr>
          <w:b/>
          <w:rtl/>
        </w:rPr>
      </w:pPr>
      <w:r w:rsidRPr="005675B2">
        <w:rPr>
          <w:rFonts w:hint="cs"/>
          <w:rtl/>
        </w:rPr>
        <w:t>64 - نسبة الغزالي إلى الإمام أحمد أنه أول ثلاثة أحاديث</w:t>
      </w:r>
      <w:r w:rsidR="000636C2">
        <w:rPr>
          <w:rFonts w:hint="cs"/>
          <w:rtl/>
        </w:rPr>
        <w:t xml:space="preserve">: </w:t>
      </w:r>
      <w:r w:rsidRPr="005675B2">
        <w:rPr>
          <w:rFonts w:hint="cs"/>
          <w:rtl/>
        </w:rPr>
        <w:t>الخطأ العاشر والحادي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أما دعوى أن الإمام أحمد استثنى ثلثة أحاديث، وقال</w:t>
      </w:r>
      <w:r w:rsidR="000636C2">
        <w:rPr>
          <w:rFonts w:hint="cs"/>
          <w:rtl/>
        </w:rPr>
        <w:t>:</w:t>
      </w:r>
      <w:r w:rsidRPr="005675B2">
        <w:rPr>
          <w:rFonts w:hint="cs"/>
          <w:rtl/>
        </w:rPr>
        <w:t xml:space="preserve"> لابد من تأويلها، فهي فرية عليه</w:t>
      </w:r>
      <w:r w:rsidR="000636C2">
        <w:rPr>
          <w:rFonts w:hint="cs"/>
          <w:rtl/>
        </w:rPr>
        <w:t>،</w:t>
      </w:r>
      <w:r w:rsidRPr="005675B2">
        <w:rPr>
          <w:rFonts w:hint="cs"/>
          <w:rtl/>
        </w:rPr>
        <w:t xml:space="preserve"> افتراها الغزالي في "الإحياء" وفيصل التفرقة، ونفاها شيخ الإسلام سندا ومتنا</w:t>
      </w:r>
      <w:r w:rsidR="000636C2">
        <w:rPr>
          <w:rFonts w:hint="cs"/>
          <w:rtl/>
        </w:rPr>
        <w:t>)</w:t>
      </w:r>
      <w:r w:rsidRPr="005675B2">
        <w:rPr>
          <w:rFonts w:hint="cs"/>
          <w:rtl/>
        </w:rPr>
        <w:t xml:space="preserve"> هكذا قال الدكتور، وأنا أنقل كلام الغزالي بنصه كي يعلم القارئ الحقيقة، هل حقيقةً افترى الغزالي على الإمام أحمد، أم أن هذا الكلام افتراء على الغزالي</w:t>
      </w:r>
      <w:r w:rsidR="000636C2">
        <w:rPr>
          <w:rFonts w:hint="cs"/>
          <w:rtl/>
        </w:rPr>
        <w:t>؟!</w:t>
      </w:r>
      <w:r w:rsidRPr="005675B2">
        <w:rPr>
          <w:rFonts w:hint="cs"/>
          <w:rtl/>
        </w:rPr>
        <w:t xml:space="preserve"> وأنقل كلام ابن تيمية المتعلق به ليعلم هل نفى ابن تيمية هذه الدعوى سندا ومتنا، أم انتقدها سندا فقط</w:t>
      </w:r>
      <w:r w:rsidR="000636C2">
        <w:rPr>
          <w:rFonts w:hint="cs"/>
          <w:rtl/>
        </w:rPr>
        <w:t xml:space="preserve">، </w:t>
      </w:r>
      <w:r w:rsidRPr="005675B2">
        <w:rPr>
          <w:rFonts w:hint="cs"/>
          <w:rtl/>
        </w:rPr>
        <w:t>قال الغزالي في "احياء علوم الدين"</w:t>
      </w:r>
      <w:r w:rsidR="000636C2">
        <w:rPr>
          <w:rFonts w:hint="cs"/>
          <w:rtl/>
        </w:rPr>
        <w:t>:</w:t>
      </w:r>
      <w:r w:rsidRPr="005675B2">
        <w:rPr>
          <w:rFonts w:hint="cs"/>
          <w:rtl/>
        </w:rPr>
        <w:t xml:space="preserve"> </w:t>
      </w:r>
      <w:r w:rsidR="000636C2">
        <w:rPr>
          <w:rFonts w:hint="cs"/>
          <w:rtl/>
        </w:rPr>
        <w:t>(</w:t>
      </w:r>
      <w:r w:rsidRPr="005675B2">
        <w:rPr>
          <w:rFonts w:hint="cs"/>
          <w:rtl/>
        </w:rPr>
        <w:t>وغلا الآخرون في حسم الباب</w:t>
      </w:r>
      <w:r w:rsidR="000636C2">
        <w:rPr>
          <w:rFonts w:hint="cs"/>
          <w:rtl/>
        </w:rPr>
        <w:t xml:space="preserve"> </w:t>
      </w:r>
      <w:r w:rsidRPr="005675B2">
        <w:rPr>
          <w:rFonts w:hint="cs"/>
          <w:rtl/>
        </w:rPr>
        <w:t>- أي باب التأويل - منهم أحمد بن حنبل، حتى منع تأويل قوله تعالى</w:t>
      </w:r>
      <w:r w:rsidR="000636C2">
        <w:rPr>
          <w:rFonts w:hint="cs"/>
          <w:rtl/>
        </w:rPr>
        <w:t>:</w:t>
      </w:r>
      <w:r w:rsidRPr="005675B2">
        <w:rPr>
          <w:rFonts w:hint="cs"/>
          <w:rtl/>
        </w:rPr>
        <w:t xml:space="preserve"> </w:t>
      </w:r>
      <w:r w:rsidR="000636C2">
        <w:rPr>
          <w:rFonts w:hint="cs"/>
          <w:rtl/>
        </w:rPr>
        <w:t>(</w:t>
      </w:r>
      <w:r w:rsidRPr="005675B2">
        <w:rPr>
          <w:rFonts w:hint="cs"/>
          <w:rtl/>
        </w:rPr>
        <w:t>كن فيكون</w:t>
      </w:r>
      <w:r w:rsidR="000636C2">
        <w:rPr>
          <w:rFonts w:hint="cs"/>
          <w:rtl/>
        </w:rPr>
        <w:t>)</w:t>
      </w:r>
      <w:r w:rsidRPr="005675B2">
        <w:rPr>
          <w:rFonts w:hint="cs"/>
          <w:rtl/>
        </w:rPr>
        <w:t xml:space="preserve"> وزعموا </w:t>
      </w:r>
      <w:r w:rsidR="000636C2">
        <w:rPr>
          <w:rFonts w:hint="cs"/>
          <w:rtl/>
        </w:rPr>
        <w:t>(</w:t>
      </w:r>
      <w:r w:rsidRPr="005675B2">
        <w:rPr>
          <w:rFonts w:hint="cs"/>
          <w:rtl/>
        </w:rPr>
        <w:t>أي اتباعه</w:t>
      </w:r>
      <w:r w:rsidR="000636C2">
        <w:rPr>
          <w:rFonts w:hint="cs"/>
          <w:rtl/>
        </w:rPr>
        <w:t>)</w:t>
      </w:r>
      <w:r w:rsidRPr="005675B2">
        <w:rPr>
          <w:rFonts w:hint="cs"/>
          <w:rtl/>
        </w:rPr>
        <w:t xml:space="preserve"> أن ذلك خطاب بحرف وصوت يوجد من الله في كل لحظة عند كون كل مكون</w:t>
      </w:r>
      <w:r w:rsidR="000636C2">
        <w:rPr>
          <w:rFonts w:hint="cs"/>
          <w:rtl/>
        </w:rPr>
        <w:t>،</w:t>
      </w:r>
      <w:r w:rsidRPr="005675B2">
        <w:rPr>
          <w:rFonts w:hint="cs"/>
          <w:rtl/>
        </w:rPr>
        <w:t xml:space="preserve"> حتى سمعت بعض أصحابه يقول</w:t>
      </w:r>
      <w:r w:rsidR="000636C2">
        <w:rPr>
          <w:rFonts w:hint="cs"/>
          <w:rtl/>
        </w:rPr>
        <w:t>:</w:t>
      </w:r>
      <w:r w:rsidRPr="005675B2">
        <w:rPr>
          <w:rFonts w:hint="cs"/>
          <w:rtl/>
        </w:rPr>
        <w:t xml:space="preserve"> حَسَمَ بابَ التأويل إلا لثلاثة ألفاظ</w:t>
      </w:r>
      <w:r w:rsidR="000636C2">
        <w:rPr>
          <w:rFonts w:hint="cs"/>
          <w:rtl/>
        </w:rPr>
        <w:t>:</w:t>
      </w:r>
      <w:r w:rsidRPr="005675B2">
        <w:rPr>
          <w:rFonts w:hint="cs"/>
          <w:rtl/>
        </w:rPr>
        <w:t xml:space="preserve"> 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الحجر الأسود يمين الله في أرضه</w:t>
      </w:r>
      <w:r w:rsidR="000636C2">
        <w:rPr>
          <w:rFonts w:hint="cs"/>
          <w:rtl/>
        </w:rPr>
        <w:t>)</w:t>
      </w:r>
      <w:r w:rsidRPr="005675B2">
        <w:rPr>
          <w:rFonts w:hint="cs"/>
          <w:rtl/>
        </w:rPr>
        <w:t xml:space="preserve"> قال العراقي أخرجه الحاكم وصححه</w:t>
      </w:r>
      <w:r w:rsidR="000636C2">
        <w:rPr>
          <w:rFonts w:hint="cs"/>
          <w:rtl/>
        </w:rPr>
        <w:t xml:space="preserve">، </w:t>
      </w:r>
      <w:r w:rsidRPr="005675B2">
        <w:rPr>
          <w:rFonts w:hint="cs"/>
          <w:rtl/>
        </w:rPr>
        <w:t>وقوله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قلب المؤمن بين اصبعين من أصابع الرحمن</w:t>
      </w:r>
      <w:r w:rsidR="000636C2">
        <w:rPr>
          <w:rFonts w:hint="cs"/>
          <w:rtl/>
        </w:rPr>
        <w:t>)</w:t>
      </w:r>
      <w:r w:rsidRPr="005675B2">
        <w:rPr>
          <w:rFonts w:hint="cs"/>
          <w:rtl/>
        </w:rPr>
        <w:t xml:space="preserve"> أخرجه مسلم</w:t>
      </w:r>
      <w:r w:rsidR="000636C2">
        <w:rPr>
          <w:rFonts w:hint="cs"/>
          <w:rtl/>
        </w:rPr>
        <w:t xml:space="preserve">، </w:t>
      </w:r>
      <w:r w:rsidRPr="005675B2">
        <w:rPr>
          <w:rFonts w:hint="cs"/>
          <w:rtl/>
        </w:rPr>
        <w:t>وقوله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إنى لأجد نفس الرحمن من جانب اليمن</w:t>
      </w:r>
      <w:r w:rsidR="000636C2">
        <w:rPr>
          <w:rFonts w:hint="cs"/>
          <w:rtl/>
        </w:rPr>
        <w:t>)</w:t>
      </w:r>
      <w:r w:rsidRPr="005675B2">
        <w:rPr>
          <w:rFonts w:hint="cs"/>
          <w:rtl/>
        </w:rPr>
        <w:t xml:space="preserve"> أخرجه أحمد ورجاله ثقات</w:t>
      </w:r>
      <w:r w:rsidR="000636C2">
        <w:rPr>
          <w:rFonts w:hint="cs"/>
          <w:rtl/>
        </w:rPr>
        <w:t>،</w:t>
      </w:r>
      <w:r w:rsidRPr="005675B2">
        <w:rPr>
          <w:rFonts w:hint="cs"/>
          <w:rtl/>
        </w:rPr>
        <w:t xml:space="preserve"> قاله العراقي</w:t>
      </w:r>
      <w:r w:rsidR="000636C2">
        <w:rPr>
          <w:rFonts w:hint="cs"/>
          <w:rtl/>
        </w:rPr>
        <w:t>،</w:t>
      </w:r>
      <w:r w:rsidRPr="005675B2">
        <w:rPr>
          <w:rFonts w:hint="cs"/>
          <w:rtl/>
        </w:rPr>
        <w:t xml:space="preserve"> هذا كلام الغزالي بنصه ما عدا التخريج، وقد علمت أن الغزالي لم ينسب هذا القول إلى الإمام أحمد مباشرة، ولا بصيغة التضعيف، كأن يقول</w:t>
      </w:r>
      <w:r w:rsidR="000636C2">
        <w:rPr>
          <w:rFonts w:hint="cs"/>
          <w:rtl/>
        </w:rPr>
        <w:t>:</w:t>
      </w:r>
      <w:r w:rsidRPr="005675B2">
        <w:rPr>
          <w:rFonts w:hint="cs"/>
          <w:rtl/>
        </w:rPr>
        <w:t xml:space="preserve"> قال أحمد، أو روي عن أحمد أنه قال، وإنما نسبه إليه عن طريق سماعه عن بعض أصحابه</w:t>
      </w:r>
      <w:r w:rsidR="000636C2">
        <w:rPr>
          <w:rFonts w:hint="cs"/>
          <w:rtl/>
        </w:rPr>
        <w:t>،</w:t>
      </w:r>
      <w:r w:rsidRPr="005675B2">
        <w:rPr>
          <w:rFonts w:hint="cs"/>
          <w:rtl/>
        </w:rPr>
        <w:t xml:space="preserve"> ويقصد ببعض أصحابه بعض علماء مذهبه كما هو اصطلاح الفقهاء وغيرهم، ولم يقصد بعض الذين صحبوه، لوضوح أن الغزالي لم يدرك أصحاب أحمد، ولا أصحاب أصحابه</w:t>
      </w:r>
      <w:r w:rsidR="000636C2">
        <w:rPr>
          <w:rFonts w:hint="cs"/>
          <w:rtl/>
        </w:rPr>
        <w:t>،</w:t>
      </w:r>
      <w:r w:rsidRPr="005675B2">
        <w:rPr>
          <w:rFonts w:hint="cs"/>
          <w:rtl/>
        </w:rPr>
        <w:t xml:space="preserve"> والغزالي ثقة ثبت فوقع الحمل في هذه الرواية على بعض أصحاب أحمد، فهل يصح بعد هذا أن يقال</w:t>
      </w:r>
      <w:r w:rsidR="000636C2">
        <w:rPr>
          <w:rFonts w:hint="cs"/>
          <w:rtl/>
        </w:rPr>
        <w:t>:</w:t>
      </w:r>
      <w:r w:rsidRPr="005675B2">
        <w:rPr>
          <w:rFonts w:hint="cs"/>
          <w:rtl/>
        </w:rPr>
        <w:t xml:space="preserve"> إن الغزالي افترى هذه الدعوى على أحمد</w:t>
      </w:r>
      <w:r w:rsidR="000636C2">
        <w:rPr>
          <w:rFonts w:hint="cs"/>
          <w:rtl/>
        </w:rPr>
        <w:t xml:space="preserve">؟! </w:t>
      </w:r>
      <w:r w:rsidRPr="005675B2">
        <w:rPr>
          <w:rFonts w:hint="cs"/>
          <w:rtl/>
        </w:rPr>
        <w:t>وابن تيمية لم ينسب الكذب في هذه الدعوى إلى الغزالي، بل جعل الحمل فيها على بعض الأصحاب الذي نقل الغزالي التأويل عنه، قال</w:t>
      </w:r>
      <w:r w:rsidR="000636C2">
        <w:rPr>
          <w:rFonts w:hint="cs"/>
          <w:rtl/>
        </w:rPr>
        <w:t>:</w:t>
      </w:r>
      <w:r w:rsidRPr="005675B2">
        <w:rPr>
          <w:rFonts w:hint="cs"/>
          <w:rtl/>
        </w:rPr>
        <w:t xml:space="preserve"> </w:t>
      </w:r>
      <w:r w:rsidR="000636C2">
        <w:rPr>
          <w:rFonts w:hint="cs"/>
          <w:rtl/>
        </w:rPr>
        <w:t>(</w:t>
      </w:r>
      <w:r w:rsidRPr="005675B2">
        <w:rPr>
          <w:rFonts w:hint="cs"/>
          <w:rtl/>
        </w:rPr>
        <w:t>فهذه الحكاية كذب على أحمد لم ينقلها أحد عنه بإسناد، ولا يعرف أحد من أصحابه نقل ذلك عنه</w:t>
      </w:r>
      <w:r w:rsidR="000636C2">
        <w:rPr>
          <w:rFonts w:hint="cs"/>
          <w:rtl/>
        </w:rPr>
        <w:t>،</w:t>
      </w:r>
      <w:r w:rsidRPr="005675B2">
        <w:rPr>
          <w:rFonts w:hint="cs"/>
          <w:rtl/>
        </w:rPr>
        <w:t xml:space="preserve"> وهذا الحنبلي الذي ذكر عنه أبو حامد مجهول لا يعرف لا علمه بما قال، ولاصدقه فيما قال</w:t>
      </w:r>
      <w:r w:rsidR="000636C2">
        <w:rPr>
          <w:rFonts w:hint="cs"/>
          <w:rtl/>
        </w:rPr>
        <w:t>)</w:t>
      </w:r>
      <w:r w:rsidRPr="005675B2">
        <w:rPr>
          <w:rFonts w:hint="cs"/>
          <w:rtl/>
        </w:rPr>
        <w:t xml:space="preserve"> </w:t>
      </w:r>
      <w:r w:rsidR="000636C2">
        <w:rPr>
          <w:rFonts w:hint="cs"/>
          <w:rtl/>
        </w:rPr>
        <w:t>[</w:t>
      </w:r>
      <w:r w:rsidRPr="005675B2">
        <w:rPr>
          <w:rFonts w:hint="cs"/>
          <w:sz w:val="24"/>
          <w:szCs w:val="24"/>
          <w:rtl/>
        </w:rPr>
        <w:t>مجموع الفتاوى 5/398]</w:t>
      </w:r>
      <w:r w:rsidRPr="005675B2">
        <w:rPr>
          <w:rFonts w:hint="cs"/>
          <w:rtl/>
        </w:rPr>
        <w:t xml:space="preserve"> هذا كلام ابن تيمية، ولم ينتقد هذه الرواية متنا وإنما انتقدها سندا فقط</w:t>
      </w:r>
      <w:r w:rsidR="000636C2">
        <w:rPr>
          <w:rFonts w:hint="cs"/>
          <w:rtl/>
        </w:rPr>
        <w:t>،</w:t>
      </w:r>
      <w:r w:rsidRPr="005675B2">
        <w:rPr>
          <w:rFonts w:hint="cs"/>
          <w:rtl/>
        </w:rPr>
        <w:t xml:space="preserve"> بل قد أول ابن تيمية الحديث الأول والثالث في "مجموع الفتاوى" فراجعها، [</w:t>
      </w:r>
      <w:r w:rsidRPr="005675B2">
        <w:rPr>
          <w:rFonts w:hint="cs"/>
          <w:sz w:val="24"/>
          <w:szCs w:val="24"/>
          <w:rtl/>
        </w:rPr>
        <w:t>6/397-398]</w:t>
      </w:r>
      <w:r w:rsidRPr="005675B2">
        <w:rPr>
          <w:rFonts w:hint="cs"/>
          <w:rtl/>
        </w:rPr>
        <w:t xml:space="preserve"> ولكن الدكتور لا يجوز تأويل هذه الأحاديث، فأقول للدكتور</w:t>
      </w:r>
      <w:r w:rsidR="000636C2">
        <w:rPr>
          <w:rFonts w:hint="cs"/>
          <w:rtl/>
        </w:rPr>
        <w:t>:</w:t>
      </w:r>
      <w:r w:rsidRPr="005675B2">
        <w:rPr>
          <w:rFonts w:hint="cs"/>
          <w:rtl/>
        </w:rPr>
        <w:t xml:space="preserve"> هل تعتقد أن الحجر الأسود يمين الله حقيقة أي يده اليمنى، وأن يمين الله الوارد في بعض الأحاديث عبارة عن الحجر الأسود، وأن الله خلق آدم بيديه اللتين إحداهما الحجر الأسود، حيث قال تعالى</w:t>
      </w:r>
      <w:r w:rsidR="000636C2">
        <w:rPr>
          <w:rFonts w:hint="cs"/>
          <w:rtl/>
        </w:rPr>
        <w:t>:</w:t>
      </w:r>
      <w:r w:rsidRPr="005675B2">
        <w:rPr>
          <w:rFonts w:hint="cs"/>
          <w:rtl/>
        </w:rPr>
        <w:t xml:space="preserve"> </w:t>
      </w:r>
      <w:r w:rsidR="000636C2">
        <w:rPr>
          <w:rFonts w:hint="cs"/>
          <w:rtl/>
        </w:rPr>
        <w:t>(</w:t>
      </w:r>
      <w:r w:rsidRPr="005675B2">
        <w:rPr>
          <w:rFonts w:hint="cs"/>
          <w:rtl/>
        </w:rPr>
        <w:t>يا إبليس ما منعك أن تسجد لما خلقت بيدي</w:t>
      </w:r>
      <w:r w:rsidR="000636C2">
        <w:rPr>
          <w:rFonts w:hint="cs"/>
          <w:rtl/>
        </w:rPr>
        <w:t>)</w:t>
      </w:r>
      <w:r w:rsidRPr="005675B2">
        <w:rPr>
          <w:rFonts w:hint="cs"/>
          <w:rtl/>
        </w:rPr>
        <w:t xml:space="preserve"> أو كلتاهما الحجر الأسود كما ورد في الحديث الصحيح « وكلتا يديه يمين » وهل تعتقد أن لله تعالى مليارات الأصابع، وأن بداخل كل مؤمن إصبعين من أصابع الرحمن حقيقة لا مجازا مكتنفتين بقلبه</w:t>
      </w:r>
      <w:r w:rsidR="000636C2">
        <w:rPr>
          <w:rFonts w:hint="cs"/>
          <w:rtl/>
        </w:rPr>
        <w:t>؟</w:t>
      </w:r>
      <w:r w:rsidRPr="005675B2">
        <w:rPr>
          <w:rFonts w:hint="cs"/>
          <w:rtl/>
        </w:rPr>
        <w:t xml:space="preserve"> وإذا كنت تعتقد ذلك فهل تحس بأن بداخلك إصبعين محيطتين بقلبك</w:t>
      </w:r>
      <w:r w:rsidR="000636C2">
        <w:rPr>
          <w:rFonts w:hint="cs"/>
          <w:rtl/>
        </w:rPr>
        <w:t>؟!</w:t>
      </w:r>
      <w:r w:rsidRPr="005675B2">
        <w:rPr>
          <w:rFonts w:hint="cs"/>
          <w:rtl/>
        </w:rPr>
        <w:t xml:space="preserve"> وهل تعتقد أنه حينما قال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إنى لأجد نفس الرحمن من جانب اليمن</w:t>
      </w:r>
      <w:r w:rsidR="000636C2">
        <w:rPr>
          <w:rFonts w:hint="cs"/>
          <w:rtl/>
        </w:rPr>
        <w:t>)</w:t>
      </w:r>
      <w:r w:rsidRPr="005675B2">
        <w:rPr>
          <w:rFonts w:hint="cs"/>
          <w:rtl/>
        </w:rPr>
        <w:t>، كان الله تعالى في جانب اليمن، فوجد النبي صلى الله تعالى عليه وآله وسلم نفسه حقيقة لا مجازا من جانب اليمن</w:t>
      </w:r>
      <w:r w:rsidR="000636C2">
        <w:rPr>
          <w:rFonts w:hint="cs"/>
          <w:rtl/>
        </w:rPr>
        <w:t>؟!</w:t>
      </w:r>
      <w:r w:rsidRPr="005675B2">
        <w:rPr>
          <w:rFonts w:hint="cs"/>
          <w:rtl/>
        </w:rPr>
        <w:t xml:space="preserve"> لا شبهة عندى في أن الدكتور لا يعتقد شيئا من ذلك، فالدكتور إذاً يحمل هذه الأحاديث على معانيها غير الحقيقة</w:t>
      </w:r>
      <w:r w:rsidR="000636C2">
        <w:rPr>
          <w:rFonts w:hint="cs"/>
          <w:rtl/>
        </w:rPr>
        <w:t>،</w:t>
      </w:r>
      <w:r w:rsidRPr="005675B2">
        <w:rPr>
          <w:rFonts w:hint="cs"/>
          <w:rtl/>
        </w:rPr>
        <w:t xml:space="preserve"> وهذا هو تأويل الذي أنكره على الأشاعرة</w:t>
      </w:r>
      <w:r w:rsidR="000636C2">
        <w:rPr>
          <w:rFonts w:hint="cs"/>
          <w:rtl/>
        </w:rPr>
        <w:t>،</w:t>
      </w:r>
      <w:r w:rsidRPr="005675B2">
        <w:rPr>
          <w:rFonts w:hint="cs"/>
          <w:rtl/>
        </w:rPr>
        <w:t xml:space="preserve"> ثم إنه قد جاء التأويل عن الإمام أحمد في غير هذه الأحاديث، وقد نقلنا اثنين منها فيما تقدم، ونعززهما هنا بثالث</w:t>
      </w:r>
      <w:r w:rsidR="000636C2">
        <w:rPr>
          <w:rFonts w:hint="cs"/>
          <w:rtl/>
        </w:rPr>
        <w:t>:</w:t>
      </w:r>
      <w:r w:rsidRPr="005675B2">
        <w:rPr>
          <w:rFonts w:hint="cs"/>
          <w:rtl/>
        </w:rPr>
        <w:t xml:space="preserve"> روى الذهبي عن صالح ابن الإمام أحمد</w:t>
      </w:r>
      <w:r w:rsidR="000636C2">
        <w:rPr>
          <w:rFonts w:hint="cs"/>
          <w:rtl/>
        </w:rPr>
        <w:t xml:space="preserve"> </w:t>
      </w:r>
      <w:r w:rsidRPr="005675B2">
        <w:rPr>
          <w:rFonts w:hint="cs"/>
          <w:rtl/>
        </w:rPr>
        <w:t>- رحمه الله - عن أبيه أن المعتزلة احتجوا عليه وقت المحنة بحديث ابن مسعود</w:t>
      </w:r>
      <w:r w:rsidR="000636C2">
        <w:rPr>
          <w:rFonts w:hint="cs"/>
          <w:rtl/>
        </w:rPr>
        <w:t>:</w:t>
      </w:r>
      <w:r w:rsidRPr="005675B2">
        <w:rPr>
          <w:rFonts w:hint="cs"/>
          <w:rtl/>
        </w:rPr>
        <w:t xml:space="preserve"> </w:t>
      </w:r>
      <w:r w:rsidR="000636C2">
        <w:rPr>
          <w:rFonts w:hint="cs"/>
          <w:rtl/>
        </w:rPr>
        <w:t>(</w:t>
      </w:r>
      <w:r w:rsidRPr="005675B2">
        <w:rPr>
          <w:rFonts w:hint="cs"/>
          <w:rtl/>
        </w:rPr>
        <w:t>ما خلق الله من جنة ولا نار ولا سماء ولا أرض أعظم من آية الكرسي</w:t>
      </w:r>
      <w:r w:rsidR="000636C2">
        <w:rPr>
          <w:rFonts w:hint="cs"/>
          <w:rtl/>
        </w:rPr>
        <w:t>)</w:t>
      </w:r>
      <w:r w:rsidRPr="005675B2">
        <w:rPr>
          <w:rFonts w:hint="cs"/>
          <w:rtl/>
        </w:rPr>
        <w:t xml:space="preserve"> قال</w:t>
      </w:r>
      <w:r w:rsidR="000636C2">
        <w:rPr>
          <w:rFonts w:hint="cs"/>
          <w:rtl/>
        </w:rPr>
        <w:t>:</w:t>
      </w:r>
      <w:r w:rsidRPr="005675B2">
        <w:rPr>
          <w:rFonts w:hint="cs"/>
          <w:rtl/>
        </w:rPr>
        <w:t xml:space="preserve"> فقلت</w:t>
      </w:r>
      <w:r w:rsidR="000636C2">
        <w:rPr>
          <w:rFonts w:hint="cs"/>
          <w:rtl/>
        </w:rPr>
        <w:t>:</w:t>
      </w:r>
      <w:r w:rsidRPr="005675B2">
        <w:rPr>
          <w:rFonts w:hint="cs"/>
          <w:rtl/>
        </w:rPr>
        <w:t xml:space="preserve"> إنما وقع الخلق على الجنة والنار والسماء والأرض، ولم يقع على القرآن</w:t>
      </w:r>
      <w:r w:rsidR="000636C2">
        <w:rPr>
          <w:rFonts w:hint="cs"/>
          <w:rtl/>
        </w:rPr>
        <w:t>،</w:t>
      </w:r>
      <w:r w:rsidRPr="005675B2">
        <w:rPr>
          <w:rFonts w:hint="cs"/>
          <w:spacing w:val="-10"/>
          <w:rtl/>
        </w:rPr>
        <w:t xml:space="preserve"> [</w:t>
      </w:r>
      <w:r w:rsidRPr="005675B2">
        <w:rPr>
          <w:rFonts w:hint="cs"/>
          <w:sz w:val="24"/>
          <w:szCs w:val="24"/>
          <w:rtl/>
        </w:rPr>
        <w:t>سير أعلام النبلا 11/246 10/578]</w:t>
      </w:r>
      <w:r w:rsidRPr="005675B2">
        <w:rPr>
          <w:rFonts w:hint="cs"/>
          <w:spacing w:val="-10"/>
          <w:rtl/>
        </w:rPr>
        <w:t xml:space="preserve"> </w:t>
      </w:r>
      <w:r w:rsidRPr="005675B2">
        <w:rPr>
          <w:rFonts w:hint="cs"/>
          <w:rtl/>
        </w:rPr>
        <w:t>الخطأ الثاني عشر</w:t>
      </w:r>
      <w:r w:rsidR="000636C2">
        <w:rPr>
          <w:rFonts w:hint="cs"/>
          <w:rtl/>
        </w:rPr>
        <w:t>:</w:t>
      </w:r>
      <w:r w:rsidRPr="005675B2">
        <w:rPr>
          <w:rFonts w:hint="cs"/>
          <w:rtl/>
        </w:rPr>
        <w:t xml:space="preserve"> تسوية الدكتور بين الأشاعرة والباطنية في التأويل، وقوله أخيرا</w:t>
      </w:r>
      <w:r w:rsidR="000636C2">
        <w:rPr>
          <w:rFonts w:hint="cs"/>
          <w:rtl/>
        </w:rPr>
        <w:t>:</w:t>
      </w:r>
      <w:r w:rsidRPr="005675B2">
        <w:rPr>
          <w:rFonts w:hint="cs"/>
          <w:rtl/>
        </w:rPr>
        <w:t xml:space="preserve"> </w:t>
      </w:r>
      <w:r w:rsidR="000636C2">
        <w:rPr>
          <w:rFonts w:hint="cs"/>
          <w:rtl/>
        </w:rPr>
        <w:t>(</w:t>
      </w:r>
      <w:r w:rsidRPr="005675B2">
        <w:rPr>
          <w:rFonts w:hint="cs"/>
          <w:rtl/>
        </w:rPr>
        <w:t>ولماذا يكفر الأشاعرة الباطنية ثم يشاركونهم في أصل عظيم من أصولهم</w:t>
      </w:r>
      <w:r w:rsidR="000636C2">
        <w:rPr>
          <w:rFonts w:hint="cs"/>
          <w:rtl/>
        </w:rPr>
        <w:t>؟)،</w:t>
      </w:r>
      <w:r w:rsidRPr="005675B2">
        <w:rPr>
          <w:rFonts w:hint="cs"/>
          <w:rtl/>
        </w:rPr>
        <w:t xml:space="preserve"> أقول للدكتور أولا</w:t>
      </w:r>
      <w:r w:rsidR="000636C2">
        <w:rPr>
          <w:rFonts w:hint="cs"/>
          <w:rtl/>
        </w:rPr>
        <w:t>:</w:t>
      </w:r>
      <w:r w:rsidRPr="005675B2">
        <w:rPr>
          <w:rFonts w:hint="cs"/>
          <w:rtl/>
        </w:rPr>
        <w:t xml:space="preserve"> اتق الله، وتذكر قول النبي صلى الله تعالى عليه وآله وسلم</w:t>
      </w:r>
      <w:r w:rsidR="000636C2">
        <w:rPr>
          <w:rFonts w:hint="cs"/>
          <w:rtl/>
        </w:rPr>
        <w:t>:</w:t>
      </w:r>
      <w:r w:rsidRPr="005675B2">
        <w:rPr>
          <w:rFonts w:hint="cs"/>
          <w:rtl/>
        </w:rPr>
        <w:t xml:space="preserve"> </w:t>
      </w:r>
      <w:r w:rsidR="000636C2">
        <w:rPr>
          <w:rFonts w:hint="cs"/>
          <w:rtl/>
        </w:rPr>
        <w:t>(</w:t>
      </w:r>
      <w:r w:rsidRPr="005675B2">
        <w:rPr>
          <w:rFonts w:hint="cs"/>
          <w:rtl/>
        </w:rPr>
        <w:t>إن الرجل ليتكلم بالكلمة لا يلقى لها بالا يهوى بها في النار سبعين خريفا</w:t>
      </w:r>
      <w:r w:rsidR="000636C2">
        <w:rPr>
          <w:rFonts w:hint="cs"/>
          <w:rtl/>
        </w:rPr>
        <w:t>)</w:t>
      </w:r>
      <w:r w:rsidRPr="005675B2">
        <w:rPr>
          <w:rFonts w:hint="cs"/>
          <w:rtl/>
        </w:rPr>
        <w:t xml:space="preserve"> أو كما قال</w:t>
      </w:r>
      <w:r w:rsidR="000636C2">
        <w:rPr>
          <w:rFonts w:hint="cs"/>
          <w:rtl/>
        </w:rPr>
        <w:t>،</w:t>
      </w:r>
    </w:p>
    <w:p w14:paraId="7CB16340" w14:textId="262DCB3F" w:rsidR="009C32A0" w:rsidRPr="005675B2" w:rsidRDefault="009C32A0" w:rsidP="000636C2">
      <w:pPr>
        <w:rPr>
          <w:b/>
          <w:rtl/>
        </w:rPr>
      </w:pPr>
      <w:r w:rsidRPr="005675B2">
        <w:rPr>
          <w:rFonts w:hint="cs"/>
          <w:rtl/>
        </w:rPr>
        <w:t>ثم أقول له</w:t>
      </w:r>
      <w:r w:rsidR="000636C2">
        <w:rPr>
          <w:rFonts w:hint="cs"/>
          <w:rtl/>
        </w:rPr>
        <w:t>:</w:t>
      </w:r>
      <w:r w:rsidRPr="005675B2">
        <w:rPr>
          <w:rFonts w:hint="cs"/>
          <w:rtl/>
        </w:rPr>
        <w:t xml:space="preserve"> تذكر ما نقلناه عن تاج الدين السبكي وهو من الأشاعرة قال في "جمع الجوامع" </w:t>
      </w:r>
      <w:r w:rsidR="000636C2">
        <w:rPr>
          <w:rFonts w:hint="cs"/>
          <w:rtl/>
        </w:rPr>
        <w:t>(</w:t>
      </w:r>
      <w:r w:rsidRPr="005675B2">
        <w:rPr>
          <w:rFonts w:hint="cs"/>
          <w:rtl/>
        </w:rPr>
        <w:t>الظاهر ما دل دلالة ظنية، والتأويل حمل الظاهر على المحتمل المرجوح، فإن حمل لدليل فصحيح، أو لما يظن دليلا ففاسد، أو لا لشيئ فلعب لا تأويل</w:t>
      </w:r>
      <w:r w:rsidR="000636C2">
        <w:rPr>
          <w:rFonts w:hint="cs"/>
          <w:rtl/>
        </w:rPr>
        <w:t>)</w:t>
      </w:r>
      <w:r w:rsidRPr="005675B2">
        <w:rPr>
          <w:rFonts w:hint="cs"/>
          <w:rtl/>
        </w:rPr>
        <w:t xml:space="preserve"> وتأويل الأشاعرة وغيرهم من المسلمين من التأويل لدليل، وأما تأويلات الباطنية فمن اللعب بنصوص الشارع، فهل يصح لمؤمن يرجو الله واليوم الآخرة أن يقول</w:t>
      </w:r>
      <w:r w:rsidR="000636C2">
        <w:rPr>
          <w:rFonts w:hint="cs"/>
          <w:rtl/>
        </w:rPr>
        <w:t>:</w:t>
      </w:r>
      <w:r w:rsidRPr="005675B2">
        <w:rPr>
          <w:rFonts w:hint="cs"/>
          <w:rtl/>
        </w:rPr>
        <w:t xml:space="preserve"> إن الأشاعرة قد شاركوا الباطنية في أصل من أعظم أصولهم</w:t>
      </w:r>
      <w:r w:rsidR="000636C2">
        <w:rPr>
          <w:rFonts w:hint="cs"/>
          <w:rtl/>
        </w:rPr>
        <w:t>؟!</w:t>
      </w:r>
      <w:r w:rsidRPr="005675B2">
        <w:rPr>
          <w:rFonts w:hint="cs"/>
          <w:rtl/>
        </w:rPr>
        <w:t>! فإن التأويل الذي قال به الأشاعرة لم يتخلص ولن يتخلص منهم أحد من المسلمين بما فيهم الدكتور سفر</w:t>
      </w:r>
      <w:r w:rsidR="000636C2">
        <w:rPr>
          <w:rFonts w:hint="cs"/>
          <w:rtl/>
        </w:rPr>
        <w:t>،</w:t>
      </w:r>
    </w:p>
    <w:p w14:paraId="3C399AF7" w14:textId="67C3EBE8" w:rsidR="009C32A0" w:rsidRPr="005675B2" w:rsidRDefault="009C32A0" w:rsidP="000636C2">
      <w:pPr>
        <w:rPr>
          <w:b/>
          <w:rtl/>
        </w:rPr>
      </w:pPr>
      <w:r w:rsidRPr="005675B2">
        <w:rPr>
          <w:rFonts w:hint="cs"/>
          <w:rtl/>
        </w:rPr>
        <w:t>65 - تقسيم الأشاعرة لأصول العقيدة بحسب مصدر التلقي إلى ثلاثة أقسام وبيان ذلك بوجه مفصل</w:t>
      </w:r>
      <w:r w:rsidR="000636C2">
        <w:rPr>
          <w:rFonts w:hint="cs"/>
          <w:rtl/>
        </w:rPr>
        <w:t>:</w:t>
      </w:r>
      <w:r w:rsidRPr="005675B2">
        <w:rPr>
          <w:rFonts w:hint="cs"/>
          <w:rtl/>
        </w:rPr>
        <w:t xml:space="preserve"> قال الدكتور</w:t>
      </w:r>
      <w:r w:rsidR="000636C2">
        <w:rPr>
          <w:rFonts w:hint="cs"/>
          <w:rtl/>
        </w:rPr>
        <w:t>:</w:t>
      </w:r>
      <w:r w:rsidRPr="005675B2">
        <w:rPr>
          <w:rFonts w:hint="cs"/>
          <w:rtl/>
        </w:rPr>
        <w:t xml:space="preserve"> " الثاني عشر</w:t>
      </w:r>
      <w:r w:rsidR="000636C2">
        <w:rPr>
          <w:rFonts w:hint="cs"/>
          <w:rtl/>
        </w:rPr>
        <w:t>:</w:t>
      </w:r>
      <w:r w:rsidRPr="005675B2">
        <w:rPr>
          <w:rFonts w:hint="cs"/>
          <w:rtl/>
        </w:rPr>
        <w:t xml:space="preserve"> السمعيات</w:t>
      </w:r>
      <w:r w:rsidR="000636C2">
        <w:rPr>
          <w:rFonts w:hint="cs"/>
          <w:rtl/>
        </w:rPr>
        <w:t>:</w:t>
      </w:r>
      <w:r w:rsidRPr="005675B2">
        <w:rPr>
          <w:rFonts w:hint="cs"/>
          <w:rtl/>
        </w:rPr>
        <w:t xml:space="preserve"> يُقسِّمُ الأشاعرةُ أصولَ العقيدةِ بحسبِ مصدر التلقي إلى ثلاثة أقسام</w:t>
      </w:r>
      <w:r w:rsidR="000636C2">
        <w:rPr>
          <w:rFonts w:hint="cs"/>
          <w:rtl/>
        </w:rPr>
        <w:t xml:space="preserve">: </w:t>
      </w:r>
      <w:r w:rsidRPr="005675B2">
        <w:rPr>
          <w:rFonts w:hint="cs"/>
          <w:rtl/>
        </w:rPr>
        <w:t>1 - قسم مصدره العقلُ وحدَه وهو معظمُ الأبواب ومنهُ بابُ الصفات، ولهذا يسمُّونَ الصفاتِ السبعَ "عقلية"</w:t>
      </w:r>
      <w:r w:rsidR="000636C2">
        <w:rPr>
          <w:rFonts w:hint="cs"/>
          <w:rtl/>
        </w:rPr>
        <w:t>،</w:t>
      </w:r>
      <w:r w:rsidRPr="005675B2">
        <w:rPr>
          <w:rFonts w:hint="cs"/>
          <w:rtl/>
        </w:rPr>
        <w:t xml:space="preserve"> وهذا القسمُ "هو ما يحكُمُ العقلُ بوجوبه" دونَ توقفٍ على الوحيِ عندَهُمْ</w:t>
      </w:r>
      <w:r w:rsidR="000636C2">
        <w:rPr>
          <w:rFonts w:hint="cs"/>
          <w:rtl/>
        </w:rPr>
        <w:t xml:space="preserve">، </w:t>
      </w:r>
      <w:r w:rsidRPr="005675B2">
        <w:rPr>
          <w:rFonts w:hint="cs"/>
          <w:rtl/>
        </w:rPr>
        <w:t>2 - قسم مصدره العقل والنقل معا كالرؤية -على خلاف بينهم فيها - وهذا القسم هو ما يحكم العقل بجوازه استقلالا أو بمعاضدة الوحي</w:t>
      </w:r>
      <w:r w:rsidR="000636C2">
        <w:rPr>
          <w:rFonts w:hint="cs"/>
          <w:rtl/>
        </w:rPr>
        <w:t xml:space="preserve">، </w:t>
      </w:r>
      <w:r w:rsidRPr="005675B2">
        <w:rPr>
          <w:rFonts w:hint="cs"/>
          <w:rtl/>
        </w:rPr>
        <w:t>3 - قسمٍ مصدره النقلُ وحدَهُ، وهو السمعيات أي</w:t>
      </w:r>
      <w:r w:rsidR="000636C2">
        <w:rPr>
          <w:rFonts w:hint="cs"/>
          <w:rtl/>
        </w:rPr>
        <w:t>:</w:t>
      </w:r>
      <w:r w:rsidRPr="005675B2">
        <w:rPr>
          <w:rFonts w:hint="cs"/>
          <w:rtl/>
        </w:rPr>
        <w:t xml:space="preserve"> المغيبات من أمور الآخرة كعذاب القبر والصراطِ والميزانِ، وهو عندَهُم ما لا يَحْكُمُ العقلُ باستحالته، لكنْ لو لم يرد به الوحيُ لم يستطعِ العقلُ إدراكَهُ منفرداً، ويُدْخلونَ فيه التحسينَ والتقبيحَ والتحليلَ والتحريم</w:t>
      </w:r>
      <w:r w:rsidR="000636C2">
        <w:rPr>
          <w:rFonts w:hint="cs"/>
          <w:rtl/>
        </w:rPr>
        <w:t xml:space="preserve">، </w:t>
      </w:r>
      <w:r w:rsidRPr="005675B2">
        <w:rPr>
          <w:rFonts w:hint="cs"/>
          <w:rtl/>
        </w:rPr>
        <w:t>والحاصل أنهم في صفات الله جعلوا العقل حاكما، وفي اثبات الآخرة جعلوا العقل عاطلا، وفي الرؤية جعلوه مساويا</w:t>
      </w:r>
      <w:r w:rsidR="000636C2">
        <w:rPr>
          <w:rFonts w:hint="cs"/>
          <w:rtl/>
        </w:rPr>
        <w:t>،</w:t>
      </w:r>
      <w:r w:rsidRPr="005675B2">
        <w:rPr>
          <w:rFonts w:hint="cs"/>
          <w:rtl/>
        </w:rPr>
        <w:t xml:space="preserve"> فهذه الأمور الغيبية نتفق معهم على اثباتها، لكننا نخالفهم في المأخذ والمصدر</w:t>
      </w:r>
      <w:r w:rsidR="000636C2">
        <w:rPr>
          <w:rFonts w:hint="cs"/>
          <w:rtl/>
        </w:rPr>
        <w:t>،</w:t>
      </w:r>
      <w:r w:rsidRPr="005675B2">
        <w:rPr>
          <w:rFonts w:hint="cs"/>
          <w:rtl/>
        </w:rPr>
        <w:t xml:space="preserve"> فهم يقولون عند ذكر أي أمر منها</w:t>
      </w:r>
      <w:r w:rsidR="000636C2">
        <w:rPr>
          <w:rFonts w:hint="cs"/>
          <w:rtl/>
        </w:rPr>
        <w:t>:</w:t>
      </w:r>
      <w:r w:rsidRPr="005675B2">
        <w:rPr>
          <w:rFonts w:hint="cs"/>
          <w:rtl/>
        </w:rPr>
        <w:t xml:space="preserve"> نؤمن به لأن العقل لا يحكم باستحالته ولأن الشرع جاء به</w:t>
      </w:r>
      <w:r w:rsidR="000636C2">
        <w:rPr>
          <w:rFonts w:hint="cs"/>
          <w:rtl/>
        </w:rPr>
        <w:t>،</w:t>
      </w:r>
      <w:r w:rsidRPr="005675B2">
        <w:rPr>
          <w:rFonts w:hint="cs"/>
          <w:rtl/>
        </w:rPr>
        <w:t xml:space="preserve"> ويكررون ذلك دائما</w:t>
      </w:r>
      <w:r w:rsidR="000636C2">
        <w:rPr>
          <w:rFonts w:hint="cs"/>
          <w:rtl/>
        </w:rPr>
        <w:t>،</w:t>
      </w:r>
      <w:r w:rsidRPr="005675B2">
        <w:rPr>
          <w:rFonts w:hint="cs"/>
          <w:rtl/>
        </w:rPr>
        <w:t xml:space="preserve"> أما في مذهبِ أهلِ السنةِ والجماعة فلا منافاةَ بين العقل والنقل أصلاً، ولا تضخيمَ للعقلِ في جانبٍ</w:t>
      </w:r>
      <w:r w:rsidR="000636C2">
        <w:rPr>
          <w:rFonts w:hint="cs"/>
          <w:rtl/>
        </w:rPr>
        <w:t>،</w:t>
      </w:r>
      <w:r w:rsidRPr="005675B2">
        <w:rPr>
          <w:rFonts w:hint="cs"/>
          <w:rtl/>
        </w:rPr>
        <w:t xml:space="preserve"> وإهدارَ في جانبٍ؛ وليسَ هناك أصلٌ من أصولِ العقيدةِ يستقلُّ العقلُ بإثباته أبداً؛ كما أنه ليس هناك أصلٌ منها لا يستطيعُ العقلُ إثباتَهُ أبداً</w:t>
      </w:r>
      <w:r w:rsidR="000636C2">
        <w:rPr>
          <w:rFonts w:hint="cs"/>
          <w:rtl/>
        </w:rPr>
        <w:t>،</w:t>
      </w:r>
      <w:r w:rsidRPr="005675B2">
        <w:rPr>
          <w:rFonts w:hint="cs"/>
          <w:rtl/>
        </w:rPr>
        <w:t xml:space="preserve"> فالإيمانُ بالآخرة وهو أصلُ كلِّ السمعياتِ ليس هو في مذهب أهل السنة والجماعة سمعياً فقط، بل إن الأدلة عليه من القرآن هي في نفسها عقلية كما أنَّ الفطرَ السليمةَ تشهدُ به، فهو حقيقةٌ مركوزة في أذهانِ البشر ما لم يُحَرِّفْهُم عنها حارف</w:t>
      </w:r>
      <w:r w:rsidR="000636C2">
        <w:rPr>
          <w:rFonts w:hint="cs"/>
          <w:rtl/>
        </w:rPr>
        <w:t xml:space="preserve">، </w:t>
      </w:r>
      <w:r w:rsidRPr="005675B2">
        <w:rPr>
          <w:rFonts w:hint="cs"/>
          <w:rtl/>
        </w:rPr>
        <w:t>لكن لو أنَّ العقلَ حكمَ باستحالة شيءٍ من تفصيلاته</w:t>
      </w:r>
      <w:r w:rsidR="000636C2">
        <w:rPr>
          <w:rFonts w:hint="cs"/>
          <w:rtl/>
        </w:rPr>
        <w:t xml:space="preserve"> </w:t>
      </w:r>
      <w:r w:rsidRPr="005675B2">
        <w:rPr>
          <w:rFonts w:hint="cs"/>
          <w:rtl/>
        </w:rPr>
        <w:t>- فرضاً وجدلاً</w:t>
      </w:r>
      <w:r w:rsidR="000636C2">
        <w:rPr>
          <w:rFonts w:hint="cs"/>
          <w:rtl/>
        </w:rPr>
        <w:t xml:space="preserve"> </w:t>
      </w:r>
      <w:r w:rsidRPr="005675B2">
        <w:rPr>
          <w:rFonts w:hint="cs"/>
          <w:rtl/>
        </w:rPr>
        <w:t>- فحكمُهُ مردودٌ؛ وليس إيمانُنا به متوقفاً على حكمِ العقل</w:t>
      </w:r>
      <w:r w:rsidR="000636C2">
        <w:rPr>
          <w:rFonts w:hint="cs"/>
          <w:rtl/>
        </w:rPr>
        <w:t>،</w:t>
      </w:r>
      <w:r w:rsidRPr="005675B2">
        <w:rPr>
          <w:rFonts w:hint="cs"/>
          <w:rtl/>
        </w:rPr>
        <w:t xml:space="preserve"> وغايةُ الأمر أنَّ العقلَ قد يعجزُ عن تصوره، أمّا أن يحكمَ باستحالته فغيرُ واردٍ، وللهِ الحمدُ "</w:t>
      </w:r>
      <w:r w:rsidR="000636C2">
        <w:rPr>
          <w:rFonts w:hint="cs"/>
          <w:rtl/>
        </w:rPr>
        <w:t>،</w:t>
      </w:r>
      <w:r w:rsidRPr="005675B2">
        <w:rPr>
          <w:rFonts w:hint="cs"/>
          <w:rtl/>
        </w:rPr>
        <w:t xml:space="preserve"> أقول</w:t>
      </w:r>
      <w:r w:rsidR="000636C2">
        <w:rPr>
          <w:rFonts w:hint="cs"/>
          <w:rtl/>
        </w:rPr>
        <w:t>:</w:t>
      </w:r>
      <w:r w:rsidRPr="005675B2">
        <w:rPr>
          <w:rFonts w:hint="cs"/>
          <w:rtl/>
        </w:rPr>
        <w:t xml:space="preserve"> هذا التقسيم الثلاثي لأصول العقيدة الذي ذكره الدكتور ناسبا له إلى الأشاعرة هو من المقررات عند الأشاعرة، وقد ذكره إمام الحريمين في "الإرشاد"، وبينه بيانا وافيا لا يصح لمن يفهم كلامه أن يرتاب في صحة هذا التقسيم فضلا عن أن ينتقده أو ينكره</w:t>
      </w:r>
      <w:r w:rsidR="000636C2">
        <w:rPr>
          <w:rFonts w:hint="cs"/>
          <w:rtl/>
        </w:rPr>
        <w:t>!</w:t>
      </w:r>
      <w:r w:rsidRPr="005675B2">
        <w:rPr>
          <w:rFonts w:hint="cs"/>
          <w:rtl/>
        </w:rPr>
        <w:t xml:space="preserve"> والدكتور قد اطلع على بيان إمام الحرمين، فإن "الإرشاد" أول مراجعه التي أوردها في التعليق، لكن الدكتور لم يفهم هذا البيان، ولا أدري هل لم يستطع فهمه لأنه لم يتمرن على فهم كلام الأشاعرة لدقته وعلوه عن فهمه، أم أنه لم يتجشم فهمه على وجهه كي يتسنى له النقد والإنكار الذي هو مغرم به</w:t>
      </w:r>
      <w:r w:rsidR="000636C2">
        <w:rPr>
          <w:rFonts w:hint="cs"/>
          <w:rtl/>
        </w:rPr>
        <w:t>؟!</w:t>
      </w:r>
      <w:r w:rsidRPr="005675B2">
        <w:rPr>
          <w:rFonts w:hint="cs"/>
          <w:rtl/>
        </w:rPr>
        <w:t>! وأنقل كلام إمام الحرمين بنصه، ثم أعقبه بتوضيح له، ثم أعود إلى كلام الدكتور، وإلى بيان ما حواه من أخطاء</w:t>
      </w:r>
      <w:r w:rsidR="000636C2">
        <w:rPr>
          <w:rFonts w:hint="cs"/>
          <w:rtl/>
        </w:rPr>
        <w:t xml:space="preserve">، </w:t>
      </w:r>
      <w:r w:rsidRPr="005675B2">
        <w:rPr>
          <w:rFonts w:hint="cs"/>
          <w:rtl/>
        </w:rPr>
        <w:t>قال إمام الحرمين</w:t>
      </w:r>
      <w:r w:rsidR="000636C2">
        <w:rPr>
          <w:rFonts w:hint="cs"/>
          <w:rtl/>
        </w:rPr>
        <w:t>:</w:t>
      </w:r>
      <w:r w:rsidRPr="005675B2">
        <w:rPr>
          <w:rFonts w:hint="cs"/>
          <w:rtl/>
        </w:rPr>
        <w:t xml:space="preserve"> </w:t>
      </w:r>
      <w:r w:rsidR="000636C2">
        <w:rPr>
          <w:rFonts w:hint="cs"/>
          <w:rtl/>
        </w:rPr>
        <w:t>(</w:t>
      </w:r>
      <w:r w:rsidRPr="005675B2">
        <w:rPr>
          <w:rFonts w:hint="cs"/>
          <w:rtl/>
        </w:rPr>
        <w:t>إعلموا وفقكم الله تعالى أن أصول العقائد تنقسم إلى ما يدرك عقلا ولا يسوغ تقدير إدراكه سمعا</w:t>
      </w:r>
      <w:r w:rsidR="000636C2">
        <w:rPr>
          <w:rFonts w:hint="cs"/>
          <w:rtl/>
        </w:rPr>
        <w:t>،</w:t>
      </w:r>
      <w:r w:rsidRPr="005675B2">
        <w:rPr>
          <w:rFonts w:hint="cs"/>
          <w:rtl/>
        </w:rPr>
        <w:t xml:space="preserve"> وإلى ما يدرك سمعا ولا يتقدر إدراكه عقلا</w:t>
      </w:r>
      <w:r w:rsidR="000636C2">
        <w:rPr>
          <w:rFonts w:hint="cs"/>
          <w:rtl/>
        </w:rPr>
        <w:t>،</w:t>
      </w:r>
      <w:r w:rsidRPr="005675B2">
        <w:rPr>
          <w:rFonts w:hint="cs"/>
          <w:rtl/>
        </w:rPr>
        <w:t xml:space="preserve"> وإلى ما يجوز إدراكه سمعا وعقلا</w:t>
      </w:r>
      <w:r w:rsidR="000636C2">
        <w:rPr>
          <w:rFonts w:hint="cs"/>
          <w:rtl/>
        </w:rPr>
        <w:t>،</w:t>
      </w:r>
      <w:r w:rsidRPr="005675B2">
        <w:rPr>
          <w:rFonts w:hint="cs"/>
          <w:rtl/>
        </w:rPr>
        <w:t xml:space="preserve"> فأما ما لا يدرك إلا عقلا فكل قاعدة في الدين تتقدم على العلم بكلام الله تعالى ووجوب اتصافه بكونه صادقا، إذ السمعيات تستند إلى كلام الله تعالى؛ وما يسبق ثبوته في الترتيب ثبوت الكلام وجوبا فيستحيل أن يكون مدركه السمع</w:t>
      </w:r>
      <w:r w:rsidR="000636C2">
        <w:rPr>
          <w:rFonts w:hint="cs"/>
          <w:rtl/>
        </w:rPr>
        <w:t>،</w:t>
      </w:r>
    </w:p>
    <w:p w14:paraId="08FAD45E" w14:textId="1D88539B" w:rsidR="009C32A0" w:rsidRPr="005675B2" w:rsidRDefault="009C32A0" w:rsidP="000636C2">
      <w:pPr>
        <w:rPr>
          <w:b/>
          <w:rtl/>
        </w:rPr>
      </w:pPr>
      <w:r w:rsidRPr="005675B2">
        <w:rPr>
          <w:rFonts w:hint="cs"/>
          <w:rtl/>
        </w:rPr>
        <w:t>وأما ما لا يدرك إلا سمعا فهو القضاء بوقوع ما يجوز في العقل وقوعه، ولا يجب أن يتقرر الحكم بثبوت الجائز ثبوته فيما غاب عنا إلا بسمع، ويتصل بهذا القسم عندنا جملة أحكام التكليف وقضاياها من التحسين والتقبيح والإيجاب والحظر والندب والإباحة</w:t>
      </w:r>
      <w:r w:rsidR="000636C2">
        <w:rPr>
          <w:rFonts w:hint="cs"/>
          <w:rtl/>
        </w:rPr>
        <w:t>،</w:t>
      </w:r>
    </w:p>
    <w:p w14:paraId="19B1DD70" w14:textId="7C7BD3FC" w:rsidR="009C32A0" w:rsidRPr="005675B2" w:rsidRDefault="009C32A0" w:rsidP="000636C2">
      <w:pPr>
        <w:rPr>
          <w:b/>
          <w:rtl/>
        </w:rPr>
      </w:pPr>
      <w:r w:rsidRPr="005675B2">
        <w:rPr>
          <w:rFonts w:hint="cs"/>
          <w:rtl/>
        </w:rPr>
        <w:t>وأما ما يجوز ادراكه سمعا وعقلا فهو الذي تدل عليه شواهد العقول، ويتصور ثبوت العلم بكلام الله تعالى متقدما عليه</w:t>
      </w:r>
      <w:r w:rsidR="000636C2">
        <w:rPr>
          <w:rFonts w:hint="cs"/>
          <w:rtl/>
        </w:rPr>
        <w:t>،</w:t>
      </w:r>
      <w:r w:rsidRPr="005675B2">
        <w:rPr>
          <w:rFonts w:hint="cs"/>
          <w:rtl/>
        </w:rPr>
        <w:t xml:space="preserve"> فهذا القسم يتوصل إلى دركه بالسمع والعقل</w:t>
      </w:r>
      <w:r w:rsidR="000636C2">
        <w:rPr>
          <w:rFonts w:hint="cs"/>
          <w:rtl/>
        </w:rPr>
        <w:t>،</w:t>
      </w:r>
      <w:r w:rsidRPr="005675B2">
        <w:rPr>
          <w:rFonts w:hint="cs"/>
          <w:rtl/>
        </w:rPr>
        <w:t xml:space="preserve"> ونظير هذا القسم اثبات جواز الرؤية، واثبات استبداد الباري تعالى بالخلق والإختراع، وما ضاهاهما مما يندرج تحت الضبط الذي ذكرناه</w:t>
      </w:r>
      <w:r w:rsidR="000636C2">
        <w:rPr>
          <w:rFonts w:hint="cs"/>
          <w:rtl/>
        </w:rPr>
        <w:t>،</w:t>
      </w:r>
      <w:r w:rsidRPr="005675B2">
        <w:rPr>
          <w:rFonts w:hint="cs"/>
          <w:rtl/>
        </w:rPr>
        <w:t xml:space="preserve"> فأما كون الرؤية ووقوعها فطريق ثبوتها الوعد الصدق والقول الحق</w:t>
      </w:r>
      <w:r w:rsidR="000636C2">
        <w:rPr>
          <w:rFonts w:hint="cs"/>
          <w:rtl/>
        </w:rPr>
        <w:t>)</w:t>
      </w:r>
      <w:r w:rsidRPr="005675B2">
        <w:rPr>
          <w:rFonts w:hint="cs"/>
          <w:rtl/>
        </w:rPr>
        <w:t xml:space="preserve"> هذا كلام إمام الحرمين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الإرشاد 301-302]</w:t>
      </w:r>
    </w:p>
    <w:p w14:paraId="5788C982" w14:textId="6ADA10C9" w:rsidR="009C32A0" w:rsidRPr="005675B2" w:rsidRDefault="009C32A0" w:rsidP="000636C2">
      <w:pPr>
        <w:rPr>
          <w:b/>
          <w:rtl/>
        </w:rPr>
      </w:pPr>
      <w:r w:rsidRPr="005675B2">
        <w:rPr>
          <w:rFonts w:hint="cs"/>
          <w:rtl/>
        </w:rPr>
        <w:t>وإيضاحا له أقول</w:t>
      </w:r>
      <w:r w:rsidR="000636C2">
        <w:rPr>
          <w:rFonts w:hint="cs"/>
          <w:rtl/>
        </w:rPr>
        <w:t>:</w:t>
      </w:r>
      <w:r w:rsidRPr="005675B2">
        <w:rPr>
          <w:rFonts w:hint="cs"/>
          <w:rtl/>
        </w:rPr>
        <w:t xml:space="preserve"> السمع هو كتاب الله تعالى وسنة رسوله صلى الله عليه وآله وسلم</w:t>
      </w:r>
      <w:r w:rsidR="000636C2">
        <w:rPr>
          <w:rFonts w:hint="cs"/>
          <w:rtl/>
        </w:rPr>
        <w:t>،</w:t>
      </w:r>
      <w:r w:rsidRPr="005675B2">
        <w:rPr>
          <w:rFonts w:hint="cs"/>
          <w:rtl/>
        </w:rPr>
        <w:t xml:space="preserve"> والقرآن لا يثبت كونه كلام الله تعالى إلا بعد ثبوت وجود الله تعالى وثبوت اتصافه بالحياة والعلم والإرادة والقدرة، وكذلك بعد ثبوت صدق الرسول المخبر بأن القرآن كلام الله تعالى في دعواه النبوة بالدلائل الدالة على صدقه في دعواه هذه، والسنة لا يثبت كونها حجة على الناس فيما احتوت عليه من الأحكام إلا بعد ثبوت صدق الرسول في دعواه النبوة، فكون القرآن كلام الله تعالى وكونه حجة على الناس، وكون سنة محمد صلى الله تعالى عليه وآله وسلم حجة على الناس كل منهما متوقف على ما ذكرناه، فلو حاولنا الاستدلال على شيئ مما يتوقف عليه حجية الكتاب والسنة بالكتاب والسنة يلزم الدور</w:t>
      </w:r>
      <w:r w:rsidR="000636C2">
        <w:rPr>
          <w:rFonts w:hint="cs"/>
          <w:rtl/>
        </w:rPr>
        <w:t>،</w:t>
      </w:r>
      <w:r w:rsidRPr="005675B2">
        <w:rPr>
          <w:rFonts w:hint="cs"/>
          <w:rtl/>
        </w:rPr>
        <w:t xml:space="preserve"> وهو توقف الشيئ على ما يتوقف عليه ذلك الشيئ، المستلزم لتقدم الشيئ على نفسه</w:t>
      </w:r>
      <w:r w:rsidR="000636C2">
        <w:rPr>
          <w:rFonts w:hint="cs"/>
          <w:rtl/>
        </w:rPr>
        <w:t>،</w:t>
      </w:r>
      <w:r w:rsidRPr="005675B2">
        <w:rPr>
          <w:rFonts w:hint="cs"/>
          <w:rtl/>
        </w:rPr>
        <w:t xml:space="preserve"> وهل يقدم عاقل على الاستدلال على وجود الله واتصافه بتلك الصفات، وعلى صدق الرسول في دعواه الرسالة على من لا يعترف بذلك، بالكتاب والسنة، وإذا حاول بعض الناس الاستدلال بهذا الطريق على الخصم المذكور فماذا عسى أن يكون موقف هذا الخصم من هذا المستدل</w:t>
      </w:r>
      <w:r w:rsidR="000636C2">
        <w:rPr>
          <w:rFonts w:hint="cs"/>
          <w:rtl/>
        </w:rPr>
        <w:t>؟</w:t>
      </w:r>
      <w:r w:rsidRPr="005675B2">
        <w:rPr>
          <w:rFonts w:hint="cs"/>
          <w:rtl/>
        </w:rPr>
        <w:t xml:space="preserve"> ألا يحكم عليه بالجهل بطرق الاستدلال</w:t>
      </w:r>
      <w:r w:rsidR="000636C2">
        <w:rPr>
          <w:rFonts w:hint="cs"/>
          <w:rtl/>
        </w:rPr>
        <w:t>؟</w:t>
      </w:r>
    </w:p>
    <w:p w14:paraId="35A7666E" w14:textId="28D4535C" w:rsidR="009C32A0" w:rsidRPr="005675B2" w:rsidRDefault="009C32A0" w:rsidP="000636C2">
      <w:pPr>
        <w:rPr>
          <w:b/>
          <w:rtl/>
        </w:rPr>
      </w:pPr>
      <w:r w:rsidRPr="005675B2">
        <w:rPr>
          <w:rFonts w:hint="cs"/>
          <w:rtl/>
        </w:rPr>
        <w:t>فمعنى أن مدرك هذه العقائد هو العقل فقط أنه لا يصح الاستدلال على ثبوتها على من لا يعترف بها، إلا بالعقل، وليس معناه أن الشرع لا يدل على ثبوتها، وأما المؤمن فلا يكون مؤمنا إلا باعتقادها، فلا يتصور بالنسبة إليه الاستدلال عليه بالسمع</w:t>
      </w:r>
      <w:r w:rsidR="000636C2">
        <w:rPr>
          <w:rFonts w:hint="cs"/>
          <w:rtl/>
        </w:rPr>
        <w:t>،</w:t>
      </w:r>
      <w:r w:rsidRPr="005675B2">
        <w:rPr>
          <w:rFonts w:hint="cs"/>
          <w:rtl/>
        </w:rPr>
        <w:t xml:space="preserve"> نعم يكون توارد الادلة السمعيةعلى مااعتقده مقويالاعتقاده</w:t>
      </w:r>
    </w:p>
    <w:p w14:paraId="72115A82" w14:textId="567AF132" w:rsidR="009C32A0" w:rsidRPr="005675B2" w:rsidRDefault="009C32A0" w:rsidP="000636C2">
      <w:pPr>
        <w:rPr>
          <w:b/>
          <w:rtl/>
        </w:rPr>
      </w:pPr>
      <w:r w:rsidRPr="005675B2">
        <w:rPr>
          <w:rFonts w:hint="cs"/>
          <w:rtl/>
        </w:rPr>
        <w:t>نعم وجوب اعتقاد هذه العقائد إنما يثبت عند الأشاعرة بالسمع لا بالعقل، لأنه لا حكم عندهم للعقل بشيئ من الأحكام الشرعية</w:t>
      </w:r>
      <w:r w:rsidR="000636C2">
        <w:rPr>
          <w:rFonts w:hint="cs"/>
          <w:rtl/>
        </w:rPr>
        <w:t xml:space="preserve"> </w:t>
      </w:r>
      <w:r w:rsidRPr="005675B2">
        <w:rPr>
          <w:rFonts w:hint="cs"/>
          <w:rtl/>
        </w:rPr>
        <w:t>- ومنه وجوب اعتقاد هذه العقائد - قبل ورود الشرع، فوجوب اعتقاد هذه الأمور أمر، وادراكها أي معرفتها أمر آخر</w:t>
      </w:r>
      <w:r w:rsidR="000636C2">
        <w:rPr>
          <w:rFonts w:hint="cs"/>
          <w:rtl/>
        </w:rPr>
        <w:t>،</w:t>
      </w:r>
      <w:r w:rsidRPr="005675B2">
        <w:rPr>
          <w:rFonts w:hint="cs"/>
          <w:rtl/>
        </w:rPr>
        <w:t xml:space="preserve"> فالأول لا يدرك إلا بالشرع، والثاني لا يدرك إلا بالعقل</w:t>
      </w:r>
      <w:r w:rsidR="000636C2">
        <w:rPr>
          <w:rFonts w:hint="cs"/>
          <w:rtl/>
        </w:rPr>
        <w:t>،</w:t>
      </w:r>
      <w:r w:rsidRPr="005675B2">
        <w:rPr>
          <w:rFonts w:hint="cs"/>
          <w:rtl/>
        </w:rPr>
        <w:t xml:space="preserve"> فإذا ورد الشرع وبلغت الدعوة إلى المكلف فقد استقرت عليه كل الواجبات وثبتت التكاليف، ومنها هذه العقائد، فقد وجب عليه شرعا أن يدرك هذه العقائد بالعقل ويعتقدها، فوجوب اعتقاد هذه العقائد شرعي، وأما ادراكها ومعرفتها فطريقه العقل، لأن الشرع وإن كان قد ثبت عليه ببلوغ الدعوة، لكنه لم يثبت عنده بعد، فلا يصح له أن يستدل لنفسه، ولا أن يستدل غيره عليه لإثبات هذه العقائد بالشرع، لأن الدليل لابد أن يكون من المسلمات عند الخصم، والشرع لم يثبت عنده بعد</w:t>
      </w:r>
      <w:r w:rsidR="000636C2">
        <w:rPr>
          <w:rFonts w:hint="cs"/>
          <w:rtl/>
        </w:rPr>
        <w:t>،</w:t>
      </w:r>
      <w:r w:rsidRPr="005675B2">
        <w:rPr>
          <w:rFonts w:hint="cs"/>
          <w:rtl/>
        </w:rPr>
        <w:t xml:space="preserve"> وإن كان قد ثبت عليه</w:t>
      </w:r>
      <w:r w:rsidR="000636C2">
        <w:rPr>
          <w:rFonts w:hint="cs"/>
          <w:rtl/>
        </w:rPr>
        <w:t>،</w:t>
      </w:r>
    </w:p>
    <w:p w14:paraId="1ECA112F" w14:textId="210BCBA3" w:rsidR="009C32A0" w:rsidRPr="005675B2" w:rsidRDefault="009C32A0" w:rsidP="000636C2">
      <w:pPr>
        <w:rPr>
          <w:b/>
          <w:rtl/>
        </w:rPr>
      </w:pPr>
      <w:r w:rsidRPr="005675B2">
        <w:rPr>
          <w:rFonts w:hint="cs"/>
          <w:rtl/>
        </w:rPr>
        <w:t>فالواجب على المكلف عند بلوغ الدعوة إليه أن يستدل على هذه العقائد بالعقل، إما بأن يستدل على كل واحد منها بدليل عقلي يثبتها، أو يكتفي بالدليل العقلي الدال على صدق الرسول في دعواه الرسالة، فإنه بهذا الدليل يثبت صدقه، ويثبت صحة كل ما أخبره عن الله تعالى، ومنها هذه العقائد، فالدليل على ثبوت هذه العقائد في هذه الصورة يكون أيضا عقليا، وهو دليل صدق الرسول في دعواه</w:t>
      </w:r>
      <w:r w:rsidR="000636C2">
        <w:rPr>
          <w:rFonts w:hint="cs"/>
          <w:rtl/>
        </w:rPr>
        <w:t>،</w:t>
      </w:r>
    </w:p>
    <w:p w14:paraId="4901F78A" w14:textId="175FD126" w:rsidR="009C32A0" w:rsidRPr="005675B2" w:rsidRDefault="009C32A0" w:rsidP="000636C2">
      <w:pPr>
        <w:rPr>
          <w:b/>
          <w:rtl/>
        </w:rPr>
      </w:pPr>
      <w:r w:rsidRPr="005675B2">
        <w:rPr>
          <w:rFonts w:hint="cs"/>
          <w:rtl/>
        </w:rPr>
        <w:t>ومن أجل ذلك كان طريقة القرآن عند ما يخبر عن هذه العقائد أن يستدل عليها بالدلائل العقلية، فالإخبار بها يؤخذ منه حكم شرعي بوجوب اعتقادها، وأما إدراكها ومعرفتها، وإذعان العقل لها فيكون عن طريق هذه الدلائل العقلية التى أوردها القرآن استدلالا على ثبوتها</w:t>
      </w:r>
      <w:r w:rsidR="000636C2">
        <w:rPr>
          <w:rFonts w:hint="cs"/>
          <w:rtl/>
        </w:rPr>
        <w:t>،</w:t>
      </w:r>
    </w:p>
    <w:p w14:paraId="6B823D33" w14:textId="7FB8ABBB" w:rsidR="009C32A0" w:rsidRPr="005675B2" w:rsidRDefault="009C32A0" w:rsidP="000636C2">
      <w:pPr>
        <w:rPr>
          <w:b/>
          <w:rtl/>
        </w:rPr>
      </w:pPr>
      <w:r w:rsidRPr="005675B2">
        <w:rPr>
          <w:rFonts w:hint="cs"/>
          <w:rtl/>
        </w:rPr>
        <w:t>وأما عند المعتزلة وجمهور الماتريدية</w:t>
      </w:r>
      <w:r w:rsidR="000636C2">
        <w:rPr>
          <w:rFonts w:hint="cs"/>
          <w:rtl/>
        </w:rPr>
        <w:t>:</w:t>
      </w:r>
      <w:r w:rsidRPr="005675B2">
        <w:rPr>
          <w:rFonts w:hint="cs"/>
          <w:rtl/>
        </w:rPr>
        <w:t xml:space="preserve"> فوجوب اعتقاد هذه العقائد ثابت بالعقل قبل ورود الشرع بها، وقبل بلوغ الدعوة إلى المكلف</w:t>
      </w:r>
      <w:r w:rsidR="000636C2">
        <w:rPr>
          <w:rFonts w:hint="cs"/>
          <w:rtl/>
        </w:rPr>
        <w:t>،</w:t>
      </w:r>
      <w:r w:rsidRPr="005675B2">
        <w:rPr>
          <w:rFonts w:hint="cs"/>
          <w:rtl/>
        </w:rPr>
        <w:t xml:space="preserve"> والخلاف هنا مبني على الخلاف في التحسين والتقبيح العقليين، فالمعتزلة ذهبوا إلى أن أفعال المكلف مشتملة على صفة من الحسن والقبح توجب ورود الحكم الشرعي على حسبها في الأصول والفروع قبل مجئ الشرع، والعقل قد يدرك صفة الحسن والقبح من الفعل فيدرك عندها الحكم الذي تقتضيه هذه الصفة من الوجوب والندب والحظر والإباحة؛ وقد لا يدرك العقل ذلك فيتوقف عن الحكم حتى يرد الشرع به</w:t>
      </w:r>
      <w:r w:rsidR="000636C2">
        <w:rPr>
          <w:rFonts w:hint="cs"/>
          <w:rtl/>
        </w:rPr>
        <w:t>،</w:t>
      </w:r>
      <w:r w:rsidRPr="005675B2">
        <w:rPr>
          <w:rFonts w:hint="cs"/>
          <w:rtl/>
        </w:rPr>
        <w:t xml:space="preserve"> فالشرع عندهم مؤيد فيما أدركه العقل من الأحكام، ومبين فيما لا يدركه منها</w:t>
      </w:r>
      <w:r w:rsidR="000636C2">
        <w:rPr>
          <w:rFonts w:hint="cs"/>
          <w:rtl/>
        </w:rPr>
        <w:t>،</w:t>
      </w:r>
    </w:p>
    <w:p w14:paraId="7E72C615" w14:textId="0D170B30" w:rsidR="009C32A0" w:rsidRPr="005675B2" w:rsidRDefault="009C32A0" w:rsidP="000636C2">
      <w:pPr>
        <w:rPr>
          <w:b/>
          <w:rtl/>
        </w:rPr>
      </w:pPr>
      <w:r w:rsidRPr="005675B2">
        <w:rPr>
          <w:rFonts w:hint="cs"/>
          <w:rtl/>
        </w:rPr>
        <w:t>والأشاعرة</w:t>
      </w:r>
      <w:r w:rsidR="000636C2">
        <w:rPr>
          <w:rFonts w:hint="cs"/>
          <w:rtl/>
        </w:rPr>
        <w:t>:</w:t>
      </w:r>
      <w:r w:rsidRPr="005675B2">
        <w:rPr>
          <w:rFonts w:hint="cs"/>
          <w:rtl/>
        </w:rPr>
        <w:t xml:space="preserve"> نفوا صفة الحسن والقبح عن الفعل قبل ورود الشرع رأسا، وقالوا</w:t>
      </w:r>
      <w:r w:rsidR="000636C2">
        <w:rPr>
          <w:rFonts w:hint="cs"/>
          <w:rtl/>
        </w:rPr>
        <w:t>:</w:t>
      </w:r>
      <w:r w:rsidRPr="005675B2">
        <w:rPr>
          <w:rFonts w:hint="cs"/>
          <w:rtl/>
        </w:rPr>
        <w:t xml:space="preserve"> لا حَسَنَ إلا ما ورد الشرع بحسنه، ولا قبيح إلا ما ورد الشرع بقبحه، ومن أجل ذلك نفوا أن يكون لله تعالى حكم في فعل من أفعال المكلف قبل ورود الشرع لا في الأصول ولا في الفروع</w:t>
      </w:r>
      <w:r w:rsidR="000636C2">
        <w:rPr>
          <w:rFonts w:hint="cs"/>
          <w:rtl/>
        </w:rPr>
        <w:t>،</w:t>
      </w:r>
    </w:p>
    <w:p w14:paraId="14261DE0" w14:textId="418AE4DC" w:rsidR="009C32A0" w:rsidRPr="005675B2" w:rsidRDefault="009C32A0" w:rsidP="000636C2">
      <w:pPr>
        <w:rPr>
          <w:b/>
          <w:rtl/>
        </w:rPr>
      </w:pPr>
      <w:r w:rsidRPr="005675B2">
        <w:rPr>
          <w:rFonts w:hint="cs"/>
          <w:rtl/>
        </w:rPr>
        <w:t>وأما الماتريدية فتوسطوا بين المذهبين، فاثبتوا للفعل أصل صفة الحسن والقبح، المقتضيين لورود الشرع بحسبهما عند وروده، وأما قبل ورود الشرع فلم يثبتوا الحكم الشرعي في الفروع، واختلفوا في ثبوته في الأصول التى مدركها العقل دون الشرع، فاثبته معظمهم فيها، ولم يثبته الآخرون</w:t>
      </w:r>
      <w:r w:rsidR="000636C2">
        <w:rPr>
          <w:rFonts w:hint="cs"/>
          <w:rtl/>
        </w:rPr>
        <w:t>،</w:t>
      </w:r>
    </w:p>
    <w:p w14:paraId="1554D2CD" w14:textId="0E459360" w:rsidR="009C32A0" w:rsidRPr="005675B2" w:rsidRDefault="009C32A0" w:rsidP="000636C2">
      <w:pPr>
        <w:rPr>
          <w:b/>
          <w:rtl/>
        </w:rPr>
      </w:pPr>
      <w:r w:rsidRPr="005675B2">
        <w:rPr>
          <w:rFonts w:hint="cs"/>
          <w:rtl/>
        </w:rPr>
        <w:t>وأما العقائد التى لا يتوقف ثبوت السمع من الكتاب والسنة على ثبوتها مما يجوز للعقل أن يدركها ورد الشرع بها أم لم يرد</w:t>
      </w:r>
      <w:r w:rsidR="000636C2">
        <w:rPr>
          <w:rFonts w:hint="cs"/>
          <w:rtl/>
        </w:rPr>
        <w:t>،</w:t>
      </w:r>
      <w:r w:rsidRPr="005675B2">
        <w:rPr>
          <w:rFonts w:hint="cs"/>
          <w:rtl/>
        </w:rPr>
        <w:t xml:space="preserve"> وذلك كجواز رؤية الله تعالى، واستبداد الله تعالى بالخلق والإختراع، فيصح الإستدلال عليها بالعقل والشرع، فتستدل عليها بالعقل فقط على غير المؤمن بالشرع</w:t>
      </w:r>
      <w:r w:rsidR="000636C2">
        <w:rPr>
          <w:rFonts w:hint="cs"/>
          <w:rtl/>
        </w:rPr>
        <w:t>،</w:t>
      </w:r>
      <w:r w:rsidRPr="005675B2">
        <w:rPr>
          <w:rFonts w:hint="cs"/>
          <w:rtl/>
        </w:rPr>
        <w:t xml:space="preserve"> وبالشرع والعقل معا على المؤمن بالشرع، وأما نفس رؤية الله فلا تثبت إلا بالشرع</w:t>
      </w:r>
      <w:r w:rsidR="000636C2">
        <w:rPr>
          <w:rFonts w:hint="cs"/>
          <w:rtl/>
        </w:rPr>
        <w:t>،</w:t>
      </w:r>
    </w:p>
    <w:p w14:paraId="7227AD54" w14:textId="78CD4004" w:rsidR="009C32A0" w:rsidRPr="005675B2" w:rsidRDefault="009C32A0" w:rsidP="000636C2">
      <w:pPr>
        <w:rPr>
          <w:b/>
          <w:rtl/>
        </w:rPr>
      </w:pPr>
      <w:r w:rsidRPr="005675B2">
        <w:rPr>
          <w:rFonts w:hint="cs"/>
          <w:rtl/>
        </w:rPr>
        <w:t>وأما الأحكام الشرعية سواء كانت تكليفية أو وضعية فلا سبيل إلى إدراكها عند الأشاعرة إلا الشرع، ولا يستقل العقل بإدراك شيئ منها قبل ورود الشرع</w:t>
      </w:r>
      <w:r w:rsidR="000636C2">
        <w:rPr>
          <w:rFonts w:hint="cs"/>
          <w:rtl/>
        </w:rPr>
        <w:t>،</w:t>
      </w:r>
      <w:r w:rsidRPr="005675B2">
        <w:rPr>
          <w:rFonts w:hint="cs"/>
          <w:rtl/>
        </w:rPr>
        <w:t xml:space="preserve"> وقالت المعتزلة</w:t>
      </w:r>
      <w:r w:rsidR="000636C2">
        <w:rPr>
          <w:rFonts w:hint="cs"/>
          <w:rtl/>
        </w:rPr>
        <w:t>:</w:t>
      </w:r>
      <w:r w:rsidRPr="005675B2">
        <w:rPr>
          <w:rFonts w:hint="cs"/>
          <w:rtl/>
        </w:rPr>
        <w:t xml:space="preserve"> قد يستقل العقل بإدراكها في الأصول والفروع، وقال جمهور الماتريدية</w:t>
      </w:r>
      <w:r w:rsidR="000636C2">
        <w:rPr>
          <w:rFonts w:hint="cs"/>
          <w:rtl/>
        </w:rPr>
        <w:t>:</w:t>
      </w:r>
      <w:r w:rsidRPr="005675B2">
        <w:rPr>
          <w:rFonts w:hint="cs"/>
          <w:rtl/>
        </w:rPr>
        <w:t xml:space="preserve"> يستقل العقل بإدراكها في الأصول دون الفروع</w:t>
      </w:r>
      <w:r w:rsidR="000636C2">
        <w:rPr>
          <w:rFonts w:hint="cs"/>
          <w:rtl/>
        </w:rPr>
        <w:t>،</w:t>
      </w:r>
    </w:p>
    <w:p w14:paraId="77316BD2" w14:textId="13D5238F" w:rsidR="009C32A0" w:rsidRPr="005675B2" w:rsidRDefault="009C32A0" w:rsidP="000636C2">
      <w:pPr>
        <w:rPr>
          <w:b/>
          <w:rtl/>
        </w:rPr>
      </w:pPr>
      <w:r w:rsidRPr="005675B2">
        <w:rPr>
          <w:rFonts w:hint="cs"/>
          <w:rtl/>
        </w:rPr>
        <w:t>هذا توضيح كلام إمام الحرمين، وأرى أن المسألة قد وضحت وضوحا تاما</w:t>
      </w:r>
      <w:r w:rsidR="000636C2">
        <w:rPr>
          <w:rFonts w:hint="cs"/>
          <w:rtl/>
        </w:rPr>
        <w:t>،</w:t>
      </w:r>
      <w:r w:rsidRPr="005675B2">
        <w:rPr>
          <w:rFonts w:hint="cs"/>
          <w:rtl/>
        </w:rPr>
        <w:t xml:space="preserve"> وبعد هذا الإيضاح نعود إلى كلام الدكتور، فنقول وبالله التوفيق</w:t>
      </w:r>
      <w:r w:rsidR="000636C2">
        <w:rPr>
          <w:rFonts w:hint="cs"/>
          <w:rtl/>
        </w:rPr>
        <w:t>:</w:t>
      </w:r>
    </w:p>
    <w:p w14:paraId="3E023E51" w14:textId="1330CCE9" w:rsidR="009C32A0" w:rsidRPr="005675B2" w:rsidRDefault="009C32A0" w:rsidP="000636C2">
      <w:pPr>
        <w:rPr>
          <w:b/>
          <w:rtl/>
        </w:rPr>
      </w:pPr>
      <w:r w:rsidRPr="005675B2">
        <w:rPr>
          <w:rFonts w:hint="cs"/>
          <w:rtl/>
        </w:rPr>
        <w:t>66 - ما حواه كلام الدكتور من الأخطاء</w:t>
      </w:r>
      <w:r w:rsidR="000636C2">
        <w:rPr>
          <w:rFonts w:hint="cs"/>
          <w:rtl/>
        </w:rPr>
        <w:t>:</w:t>
      </w:r>
    </w:p>
    <w:p w14:paraId="771D79F8" w14:textId="6ED5B5F7" w:rsidR="009C32A0" w:rsidRPr="005675B2" w:rsidRDefault="009C32A0" w:rsidP="000636C2">
      <w:pPr>
        <w:rPr>
          <w:b/>
          <w:rtl/>
        </w:rPr>
      </w:pPr>
      <w:r w:rsidRPr="005675B2">
        <w:rPr>
          <w:rFonts w:hint="cs"/>
          <w:rtl/>
        </w:rPr>
        <w:t>قد احتوى كلام الدكتور في هذه المسألة</w:t>
      </w:r>
      <w:r w:rsidR="000636C2">
        <w:rPr>
          <w:rFonts w:hint="cs"/>
          <w:rtl/>
        </w:rPr>
        <w:t xml:space="preserve"> </w:t>
      </w:r>
      <w:r w:rsidRPr="005675B2">
        <w:rPr>
          <w:rFonts w:hint="cs"/>
          <w:rtl/>
        </w:rPr>
        <w:t>- كما هو الحال في سائر المسائل - على أخطاء كثيرة جسيمة</w:t>
      </w:r>
      <w:r w:rsidR="000636C2">
        <w:rPr>
          <w:rFonts w:hint="cs"/>
          <w:rtl/>
        </w:rPr>
        <w:t>:</w:t>
      </w:r>
    </w:p>
    <w:p w14:paraId="40DD2969" w14:textId="18CBADAD" w:rsidR="009C32A0" w:rsidRPr="005675B2" w:rsidRDefault="009C32A0" w:rsidP="000636C2">
      <w:pPr>
        <w:rPr>
          <w:b/>
          <w:rtl/>
        </w:rPr>
      </w:pPr>
      <w:r w:rsidRPr="005675B2">
        <w:rPr>
          <w:rFonts w:hint="cs"/>
          <w:rtl/>
        </w:rPr>
        <w:t>الخطأ 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 1 » قسم مصدره العقل وحده، وهو معظم الأبواب، ومنه باب الصفات</w:t>
      </w:r>
      <w:r w:rsidR="000636C2">
        <w:rPr>
          <w:rFonts w:hint="cs"/>
          <w:rtl/>
        </w:rPr>
        <w:t>)</w:t>
      </w:r>
    </w:p>
    <w:p w14:paraId="7F8A86F8" w14:textId="1D1ADB9D"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قد علمت أن هذا القسم مقصور على العقائد التى يتوقف ثبوت السمع على ثبوتها، وليس بجار في معظم الصفات، فضلا عن جريانه في معظم الأبواب</w:t>
      </w:r>
      <w:r w:rsidR="000636C2">
        <w:rPr>
          <w:rFonts w:hint="cs"/>
          <w:rtl/>
        </w:rPr>
        <w:t>،</w:t>
      </w:r>
      <w:r w:rsidRPr="005675B2">
        <w:rPr>
          <w:rFonts w:hint="cs"/>
          <w:rtl/>
        </w:rPr>
        <w:t xml:space="preserve"> قال البيهقي في "الإعتقاد"</w:t>
      </w:r>
      <w:r w:rsidR="000636C2">
        <w:rPr>
          <w:rFonts w:hint="cs"/>
          <w:rtl/>
        </w:rPr>
        <w:t>:</w:t>
      </w:r>
      <w:r w:rsidRPr="005675B2">
        <w:rPr>
          <w:rFonts w:hint="cs"/>
          <w:rtl/>
        </w:rPr>
        <w:t xml:space="preserve"> </w:t>
      </w:r>
      <w:r w:rsidR="000636C2">
        <w:rPr>
          <w:rFonts w:hint="cs"/>
          <w:rtl/>
        </w:rPr>
        <w:t>(</w:t>
      </w:r>
      <w:r w:rsidRPr="005675B2">
        <w:rPr>
          <w:rFonts w:hint="cs"/>
          <w:rtl/>
        </w:rPr>
        <w:t>فصفات ذاته ما يستحقه فيما لم يزل ولايزال، وهي على قسمين</w:t>
      </w:r>
      <w:r w:rsidR="000636C2">
        <w:rPr>
          <w:rFonts w:hint="cs"/>
          <w:rtl/>
        </w:rPr>
        <w:t>:</w:t>
      </w:r>
      <w:r w:rsidRPr="005675B2">
        <w:rPr>
          <w:rFonts w:hint="cs"/>
          <w:rtl/>
        </w:rPr>
        <w:t xml:space="preserve"> أحدهما عقلي، والآخر سمعي</w:t>
      </w:r>
      <w:r w:rsidR="000636C2">
        <w:rPr>
          <w:rFonts w:hint="cs"/>
          <w:rtl/>
        </w:rPr>
        <w:t>،</w:t>
      </w:r>
      <w:r w:rsidRPr="005675B2">
        <w:rPr>
          <w:rFonts w:hint="cs"/>
          <w:rtl/>
        </w:rPr>
        <w:t xml:space="preserve"> فالعقلي ما كان طريق اثباته أدلة العقول مع ورود السمع به .. وأما السمعي فهو ما كان طريق ثبوته الكتاب والسنة فقط</w:t>
      </w:r>
      <w:r w:rsidR="000636C2">
        <w:rPr>
          <w:rFonts w:hint="cs"/>
          <w:rtl/>
        </w:rPr>
        <w:t>)</w:t>
      </w:r>
      <w:r w:rsidRPr="005675B2">
        <w:rPr>
          <w:rFonts w:hint="cs"/>
          <w:rtl/>
        </w:rPr>
        <w:t xml:space="preserve"> </w:t>
      </w:r>
      <w:r w:rsidR="000636C2">
        <w:rPr>
          <w:rFonts w:hint="cs"/>
          <w:rtl/>
        </w:rPr>
        <w:t>[</w:t>
      </w:r>
      <w:r w:rsidRPr="005675B2">
        <w:rPr>
          <w:rFonts w:hint="cs"/>
          <w:sz w:val="24"/>
          <w:szCs w:val="24"/>
          <w:rtl/>
        </w:rPr>
        <w:t>31]</w:t>
      </w:r>
    </w:p>
    <w:p w14:paraId="0068D288" w14:textId="6A73DAB7" w:rsidR="009C32A0" w:rsidRPr="005675B2" w:rsidRDefault="009C32A0" w:rsidP="000636C2">
      <w:pPr>
        <w:rPr>
          <w:b/>
          <w:rtl/>
        </w:rPr>
      </w:pPr>
      <w:r w:rsidRPr="005675B2">
        <w:rPr>
          <w:rFonts w:hint="cs"/>
          <w:rtl/>
        </w:rPr>
        <w:t>الخطأ 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وهذا القسم هو ما يحكم العقل بوجوبه دون توقف على الوحي عندهم</w:t>
      </w:r>
      <w:r w:rsidR="000636C2">
        <w:rPr>
          <w:rFonts w:hint="cs"/>
          <w:rtl/>
        </w:rPr>
        <w:t>)</w:t>
      </w:r>
    </w:p>
    <w:p w14:paraId="50615763" w14:textId="3759735C"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بل هذا القسم هو ما يحكم العقل بوجوده وثبوته، ولا يصح الاستدلال على ثبوته بالشرع، مع أن الشرع قد ورد به، وذلك لما ذكرناه من لزوم الدور، وأما وجوب اعتقاد هذه العقائد فمأخوذ من الشرع فقط عند الأشاعرة كما قدمناه، ولا أدري ماذا أقول لهذا الدكتور الذي يخلط بين الوجود والوجوب، ولا يفرق بينهما</w:t>
      </w:r>
      <w:r w:rsidR="000636C2">
        <w:rPr>
          <w:rFonts w:hint="cs"/>
          <w:rtl/>
        </w:rPr>
        <w:t>!</w:t>
      </w:r>
      <w:r w:rsidRPr="005675B2">
        <w:rPr>
          <w:rFonts w:hint="cs"/>
          <w:rtl/>
        </w:rPr>
        <w:t xml:space="preserve"> فإن الوجود أمر واقعي، والوجوب حكم شرعي</w:t>
      </w:r>
      <w:r w:rsidR="000636C2">
        <w:rPr>
          <w:rFonts w:hint="cs"/>
          <w:rtl/>
        </w:rPr>
        <w:t>،</w:t>
      </w:r>
    </w:p>
    <w:p w14:paraId="416262B5" w14:textId="3EAD286B" w:rsidR="009C32A0" w:rsidRPr="005675B2" w:rsidRDefault="009C32A0" w:rsidP="000636C2">
      <w:pPr>
        <w:rPr>
          <w:b/>
          <w:rtl/>
        </w:rPr>
      </w:pPr>
      <w:r w:rsidRPr="005675B2">
        <w:rPr>
          <w:rFonts w:hint="cs"/>
          <w:rtl/>
        </w:rPr>
        <w:t>الخطأ الثالث والرابع والخامس والسادس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 2 » قسم مصدره العقل والنقل معا كالرؤية</w:t>
      </w:r>
      <w:r w:rsidR="000636C2">
        <w:rPr>
          <w:rFonts w:hint="cs"/>
          <w:rtl/>
        </w:rPr>
        <w:t xml:space="preserve"> </w:t>
      </w:r>
      <w:r w:rsidRPr="005675B2">
        <w:rPr>
          <w:rFonts w:hint="cs"/>
          <w:rtl/>
        </w:rPr>
        <w:t>- على خلاف بينهم فيها - وهذا القسم هو</w:t>
      </w:r>
      <w:r w:rsidR="000636C2">
        <w:rPr>
          <w:rFonts w:hint="cs"/>
          <w:rtl/>
        </w:rPr>
        <w:t>:</w:t>
      </w:r>
      <w:r w:rsidRPr="005675B2">
        <w:rPr>
          <w:rFonts w:hint="cs"/>
          <w:rtl/>
        </w:rPr>
        <w:t xml:space="preserve"> "ما يحكم العقل بجوازه استقلالا أو بمعاضدة الوحي"</w:t>
      </w:r>
      <w:r w:rsidR="000636C2">
        <w:rPr>
          <w:rFonts w:hint="cs"/>
          <w:rtl/>
        </w:rPr>
        <w:t>)</w:t>
      </w:r>
    </w:p>
    <w:p w14:paraId="767197A3" w14:textId="17689784" w:rsidR="009C32A0" w:rsidRPr="005675B2" w:rsidRDefault="009C32A0" w:rsidP="000636C2">
      <w:pPr>
        <w:rPr>
          <w:b/>
        </w:rPr>
      </w:pPr>
      <w:r w:rsidRPr="005675B2">
        <w:rPr>
          <w:rFonts w:hint="cs"/>
          <w:rtl/>
        </w:rPr>
        <w:t>فالخطأ الثالث تمثيله لهذا القسم بالرؤية مع أن المثال الصحيح هو جواز الرؤية</w:t>
      </w:r>
      <w:r w:rsidR="000636C2">
        <w:rPr>
          <w:rFonts w:hint="cs"/>
          <w:rtl/>
        </w:rPr>
        <w:t>،</w:t>
      </w:r>
      <w:r w:rsidRPr="005675B2">
        <w:rPr>
          <w:rFonts w:hint="cs"/>
          <w:rtl/>
        </w:rPr>
        <w:t xml:space="preserve"> وأما الرؤية نفسها فمدركها الشرع فقط كما تقدم، فالدكتور لا يفرق بين الرؤية نفسها وبين جوازها، فمن أجل ذلك وقع في هذا الخطأ والخطأ الرابع</w:t>
      </w:r>
      <w:r w:rsidR="000636C2">
        <w:rPr>
          <w:rFonts w:hint="cs"/>
          <w:rtl/>
        </w:rPr>
        <w:t>:</w:t>
      </w:r>
      <w:r w:rsidRPr="005675B2">
        <w:rPr>
          <w:rFonts w:hint="cs"/>
          <w:rtl/>
        </w:rPr>
        <w:t xml:space="preserve"> وهو قوله</w:t>
      </w:r>
      <w:r w:rsidR="000636C2">
        <w:rPr>
          <w:rFonts w:hint="cs"/>
          <w:rtl/>
        </w:rPr>
        <w:t>:</w:t>
      </w:r>
      <w:r w:rsidRPr="005675B2">
        <w:rPr>
          <w:rFonts w:hint="cs"/>
          <w:rtl/>
        </w:rPr>
        <w:t xml:space="preserve"> </w:t>
      </w:r>
      <w:r w:rsidR="000636C2">
        <w:rPr>
          <w:rFonts w:hint="cs"/>
          <w:rtl/>
        </w:rPr>
        <w:t>(</w:t>
      </w:r>
      <w:r w:rsidRPr="005675B2">
        <w:rPr>
          <w:rFonts w:hint="cs"/>
          <w:rtl/>
        </w:rPr>
        <w:t>على خلاف بينهم فيها</w:t>
      </w:r>
      <w:r w:rsidR="000636C2">
        <w:rPr>
          <w:rFonts w:hint="cs"/>
          <w:rtl/>
        </w:rPr>
        <w:t>)</w:t>
      </w:r>
      <w:r w:rsidRPr="005675B2">
        <w:rPr>
          <w:rFonts w:hint="cs"/>
          <w:rtl/>
        </w:rPr>
        <w:t xml:space="preserve"> لما رأى إمام الحرمين جعل جواز الرؤية من القسم الثاني، وجعل الرؤية نفسها من القسم الثالث، ظن أن هذين قولان في الرؤية نفسها</w:t>
      </w:r>
      <w:r w:rsidR="000636C2">
        <w:rPr>
          <w:rFonts w:hint="cs"/>
          <w:rtl/>
        </w:rPr>
        <w:t>،</w:t>
      </w:r>
      <w:r w:rsidRPr="005675B2">
        <w:rPr>
          <w:rFonts w:hint="cs"/>
          <w:rtl/>
        </w:rPr>
        <w:t xml:space="preserve"> والخطأ 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وهذا القسم هو</w:t>
      </w:r>
      <w:r w:rsidR="000636C2">
        <w:rPr>
          <w:rFonts w:hint="cs"/>
          <w:rtl/>
        </w:rPr>
        <w:t>:</w:t>
      </w:r>
      <w:r w:rsidRPr="005675B2">
        <w:rPr>
          <w:rFonts w:hint="cs"/>
          <w:rtl/>
        </w:rPr>
        <w:t xml:space="preserve"> ما يحكم العقل بجوازه استقلالا أو بمعاضدة الوحي</w:t>
      </w:r>
      <w:r w:rsidR="000636C2">
        <w:rPr>
          <w:rFonts w:hint="cs"/>
          <w:rtl/>
        </w:rPr>
        <w:t>)</w:t>
      </w:r>
      <w:r w:rsidRPr="005675B2">
        <w:rPr>
          <w:rFonts w:hint="cs"/>
          <w:rtl/>
        </w:rPr>
        <w:t xml:space="preserve"> فقوله</w:t>
      </w:r>
      <w:r w:rsidR="000636C2">
        <w:rPr>
          <w:rFonts w:hint="cs"/>
          <w:rtl/>
        </w:rPr>
        <w:t>:</w:t>
      </w:r>
      <w:r w:rsidRPr="005675B2">
        <w:rPr>
          <w:rFonts w:hint="cs"/>
          <w:rtl/>
        </w:rPr>
        <w:t xml:space="preserve"> </w:t>
      </w:r>
      <w:r w:rsidR="000636C2">
        <w:rPr>
          <w:rFonts w:hint="cs"/>
          <w:rtl/>
        </w:rPr>
        <w:t>(</w:t>
      </w:r>
      <w:r w:rsidRPr="005675B2">
        <w:rPr>
          <w:rFonts w:hint="cs"/>
          <w:rtl/>
        </w:rPr>
        <w:t>أو بمعاضدة الوحي</w:t>
      </w:r>
      <w:r w:rsidR="000636C2">
        <w:rPr>
          <w:rFonts w:hint="cs"/>
          <w:rtl/>
        </w:rPr>
        <w:t>)</w:t>
      </w:r>
      <w:r w:rsidRPr="005675B2">
        <w:rPr>
          <w:rFonts w:hint="cs"/>
          <w:rtl/>
        </w:rPr>
        <w:t xml:space="preserve"> خطأ، فإن هذا القسم يحكم العقل بجوازه استقلالا، ويحكم الشرع أيضا بجوازه استقلالا، وكلام الدكتور يفيد أن العقل قد لا يستقل بالحكم بجوازه، بل إنما يحكم بذلك بمعاضدة من الشرع</w:t>
      </w:r>
      <w:r w:rsidR="000636C2">
        <w:rPr>
          <w:rFonts w:hint="cs"/>
          <w:rtl/>
        </w:rPr>
        <w:t>،</w:t>
      </w:r>
    </w:p>
    <w:p w14:paraId="7ED338E7" w14:textId="64F59167" w:rsidR="009C32A0" w:rsidRPr="005675B2" w:rsidRDefault="009C32A0" w:rsidP="000636C2">
      <w:pPr>
        <w:rPr>
          <w:b/>
          <w:rtl/>
        </w:rPr>
      </w:pPr>
      <w:r w:rsidRPr="005675B2">
        <w:rPr>
          <w:rFonts w:hint="cs"/>
          <w:rtl/>
        </w:rPr>
        <w:t>وقد ترتب على عدم التفرقة بين الرؤية وجوازها خطأ سادس، حيث عبر بقوله</w:t>
      </w:r>
      <w:r w:rsidR="000636C2">
        <w:rPr>
          <w:rFonts w:hint="cs"/>
          <w:rtl/>
        </w:rPr>
        <w:t>:</w:t>
      </w:r>
      <w:r w:rsidRPr="005675B2">
        <w:rPr>
          <w:rFonts w:hint="cs"/>
          <w:rtl/>
        </w:rPr>
        <w:t xml:space="preserve"> </w:t>
      </w:r>
      <w:r w:rsidR="000636C2">
        <w:rPr>
          <w:rFonts w:hint="cs"/>
          <w:rtl/>
        </w:rPr>
        <w:t>(</w:t>
      </w:r>
      <w:r w:rsidRPr="005675B2">
        <w:rPr>
          <w:rFonts w:hint="cs"/>
          <w:rtl/>
        </w:rPr>
        <w:t>وهذا القسم هو ما يحكم العقل بجوازه</w:t>
      </w:r>
      <w:r w:rsidR="000636C2">
        <w:rPr>
          <w:rFonts w:hint="cs"/>
          <w:rtl/>
        </w:rPr>
        <w:t>)</w:t>
      </w:r>
      <w:r w:rsidRPr="005675B2">
        <w:rPr>
          <w:rFonts w:hint="cs"/>
          <w:rtl/>
        </w:rPr>
        <w:t xml:space="preserve"> وقد علمت أن مثال هذا القسم هو جواز الرؤية لا الرؤية، فكان الصواب أن يقول</w:t>
      </w:r>
      <w:r w:rsidR="000636C2">
        <w:rPr>
          <w:rFonts w:hint="cs"/>
          <w:rtl/>
        </w:rPr>
        <w:t>:</w:t>
      </w:r>
      <w:r w:rsidRPr="005675B2">
        <w:rPr>
          <w:rFonts w:hint="cs"/>
          <w:rtl/>
        </w:rPr>
        <w:t xml:space="preserve"> </w:t>
      </w:r>
      <w:r w:rsidR="000636C2">
        <w:rPr>
          <w:rFonts w:hint="cs"/>
          <w:rtl/>
        </w:rPr>
        <w:t>(</w:t>
      </w:r>
      <w:r w:rsidRPr="005675B2">
        <w:rPr>
          <w:rFonts w:hint="cs"/>
          <w:rtl/>
        </w:rPr>
        <w:t>وهذا القسم هو ما يحكم العقل به ..</w:t>
      </w:r>
      <w:r w:rsidR="000636C2">
        <w:rPr>
          <w:rFonts w:hint="cs"/>
          <w:rtl/>
        </w:rPr>
        <w:t>)</w:t>
      </w:r>
      <w:r w:rsidRPr="005675B2">
        <w:rPr>
          <w:rFonts w:hint="cs"/>
          <w:rtl/>
        </w:rPr>
        <w:t xml:space="preserve"> ولكن الدكتور حيث أخطأ في التمثيل اضطر إلى أن يخطأ في التعبير أيضا ويقول</w:t>
      </w:r>
      <w:r w:rsidR="000636C2">
        <w:rPr>
          <w:rFonts w:hint="cs"/>
          <w:rtl/>
        </w:rPr>
        <w:t>:</w:t>
      </w:r>
      <w:r w:rsidRPr="005675B2">
        <w:rPr>
          <w:rFonts w:hint="cs"/>
          <w:rtl/>
        </w:rPr>
        <w:t xml:space="preserve"> </w:t>
      </w:r>
      <w:r w:rsidR="000636C2">
        <w:rPr>
          <w:rFonts w:hint="cs"/>
          <w:rtl/>
        </w:rPr>
        <w:t>(</w:t>
      </w:r>
      <w:r w:rsidRPr="005675B2">
        <w:rPr>
          <w:rFonts w:hint="cs"/>
          <w:rtl/>
        </w:rPr>
        <w:t>هو ما يحكم العقل بجوازه</w:t>
      </w:r>
      <w:r w:rsidR="000636C2">
        <w:rPr>
          <w:rFonts w:hint="cs"/>
          <w:rtl/>
        </w:rPr>
        <w:t>)</w:t>
      </w:r>
    </w:p>
    <w:p w14:paraId="083AFD51" w14:textId="6A732C97" w:rsidR="009C32A0" w:rsidRPr="005675B2" w:rsidRDefault="009C32A0" w:rsidP="000636C2">
      <w:pPr>
        <w:rPr>
          <w:b/>
          <w:rtl/>
        </w:rPr>
      </w:pPr>
      <w:r w:rsidRPr="005675B2">
        <w:rPr>
          <w:rFonts w:hint="cs"/>
          <w:rtl/>
        </w:rPr>
        <w:t>الخطأ السابع والثامن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والحاصل أنهم في الصفات جعلوا العقل حاكما، وفي إثبات الآخرة جعلوا العقل عاطلا</w:t>
      </w:r>
      <w:r w:rsidR="000636C2">
        <w:rPr>
          <w:rFonts w:hint="cs"/>
          <w:rtl/>
        </w:rPr>
        <w:t>)</w:t>
      </w:r>
      <w:r w:rsidRPr="005675B2">
        <w:rPr>
          <w:rFonts w:hint="cs"/>
          <w:rtl/>
        </w:rPr>
        <w:t xml:space="preserve"> فالأشاعرة لم يجعلوا العقل حاكما في الصفات كلها، بل في بعضها، وهو ما توقف ورود الشرع على ثبوته، دون غيرها، ولم يعطلوا العقل في إثبات الآخرة، بل جعلوا تجويز العقل لها إحدى مقدمات دليل إثباتها، حيث يقولون</w:t>
      </w:r>
      <w:r w:rsidR="000636C2">
        <w:rPr>
          <w:rFonts w:hint="cs"/>
          <w:rtl/>
        </w:rPr>
        <w:t>:</w:t>
      </w:r>
      <w:r w:rsidRPr="005675B2">
        <w:rPr>
          <w:rFonts w:hint="cs"/>
          <w:rtl/>
        </w:rPr>
        <w:t xml:space="preserve"> هذا أمر قد جوزه العقل وورد به السمع، فلابد من اعتقاد ثبوته</w:t>
      </w:r>
      <w:r w:rsidR="000636C2">
        <w:rPr>
          <w:rFonts w:hint="cs"/>
          <w:rtl/>
        </w:rPr>
        <w:t>،</w:t>
      </w:r>
    </w:p>
    <w:p w14:paraId="5A14C898" w14:textId="2E353820" w:rsidR="009C32A0" w:rsidRPr="005675B2" w:rsidRDefault="009C32A0" w:rsidP="000636C2">
      <w:pPr>
        <w:rPr>
          <w:b/>
          <w:rtl/>
        </w:rPr>
      </w:pPr>
      <w:r w:rsidRPr="005675B2">
        <w:rPr>
          <w:rFonts w:hint="cs"/>
          <w:rtl/>
        </w:rPr>
        <w:t>الخطأ التاسع</w:t>
      </w:r>
      <w:r w:rsidR="000636C2">
        <w:rPr>
          <w:rFonts w:hint="cs"/>
          <w:rtl/>
        </w:rPr>
        <w:t>:</w:t>
      </w:r>
      <w:r w:rsidRPr="005675B2">
        <w:rPr>
          <w:rFonts w:hint="cs"/>
          <w:rtl/>
        </w:rPr>
        <w:t xml:space="preserve"> قوله على وجه الإنكار على الأشاعرة</w:t>
      </w:r>
      <w:r w:rsidR="000636C2">
        <w:rPr>
          <w:rFonts w:hint="cs"/>
          <w:rtl/>
        </w:rPr>
        <w:t>:</w:t>
      </w:r>
      <w:r w:rsidRPr="005675B2">
        <w:rPr>
          <w:rFonts w:hint="cs"/>
          <w:rtl/>
        </w:rPr>
        <w:t xml:space="preserve"> </w:t>
      </w:r>
      <w:r w:rsidR="000636C2">
        <w:rPr>
          <w:rFonts w:hint="cs"/>
          <w:rtl/>
        </w:rPr>
        <w:t>(</w:t>
      </w:r>
      <w:r w:rsidRPr="005675B2">
        <w:rPr>
          <w:rFonts w:hint="cs"/>
          <w:rtl/>
        </w:rPr>
        <w:t>فهم يقولون عند ذكر أي أمر منها</w:t>
      </w:r>
      <w:r w:rsidR="000636C2">
        <w:rPr>
          <w:rFonts w:hint="cs"/>
          <w:rtl/>
        </w:rPr>
        <w:t>:</w:t>
      </w:r>
      <w:r w:rsidRPr="005675B2">
        <w:rPr>
          <w:rFonts w:hint="cs"/>
          <w:rtl/>
        </w:rPr>
        <w:t xml:space="preserve"> نؤمن به لأن العقل لا يحكم بإستحالته ولأن الشرع جاء به، ويكررون ذلك دائما</w:t>
      </w:r>
      <w:r w:rsidR="000636C2">
        <w:rPr>
          <w:rFonts w:hint="cs"/>
          <w:rtl/>
        </w:rPr>
        <w:t>)</w:t>
      </w:r>
      <w:r w:rsidRPr="005675B2">
        <w:rPr>
          <w:rFonts w:hint="cs"/>
          <w:rtl/>
        </w:rPr>
        <w:t xml:space="preserve"> أقول</w:t>
      </w:r>
      <w:r w:rsidR="000636C2">
        <w:rPr>
          <w:rFonts w:hint="cs"/>
          <w:rtl/>
        </w:rPr>
        <w:t>:</w:t>
      </w:r>
      <w:r w:rsidRPr="005675B2">
        <w:rPr>
          <w:rFonts w:hint="cs"/>
          <w:rtl/>
        </w:rPr>
        <w:t xml:space="preserve"> يقصد الأشاعرة بهذا الكلام أنه لو كان العقل حكم بإستحالة هذا الأمر حكما قاطعا، وفرض أن ظاهر الشرع قد جاء به، لم نحكم بثبوت هذا الأمر، لأن الشرع لا يرد بما يخالف صرائح العقول، بل الواجب حنيئذ تأويل ظاهر الشرع، وصرفه إلى معنى صحيح لا يحيله العقل، وما الذي يستنكر من هذا الكلام</w:t>
      </w:r>
      <w:r w:rsidR="000636C2">
        <w:rPr>
          <w:rFonts w:hint="cs"/>
          <w:rtl/>
        </w:rPr>
        <w:t>؟!</w:t>
      </w:r>
      <w:r w:rsidRPr="005675B2">
        <w:rPr>
          <w:rFonts w:hint="cs"/>
          <w:rtl/>
        </w:rPr>
        <w:t>!</w:t>
      </w:r>
    </w:p>
    <w:p w14:paraId="6A604396" w14:textId="68A255D9" w:rsidR="009C32A0" w:rsidRPr="005675B2" w:rsidRDefault="009C32A0" w:rsidP="000636C2">
      <w:pPr>
        <w:rPr>
          <w:b/>
          <w:rtl/>
        </w:rPr>
      </w:pPr>
      <w:r w:rsidRPr="005675B2">
        <w:rPr>
          <w:rFonts w:hint="cs"/>
          <w:rtl/>
        </w:rPr>
        <w:t>وابن تيمية نفسه قد استعمل في الإستدلال هذا المعنى فقال في "التدمرية" مناقشا للمعتزلة في بعض المسائل</w:t>
      </w:r>
      <w:r w:rsidR="000636C2">
        <w:rPr>
          <w:rFonts w:hint="cs"/>
          <w:rtl/>
        </w:rPr>
        <w:t>:</w:t>
      </w:r>
      <w:r w:rsidRPr="005675B2">
        <w:rPr>
          <w:rFonts w:hint="cs"/>
          <w:rtl/>
        </w:rPr>
        <w:t xml:space="preserve"> </w:t>
      </w:r>
      <w:r w:rsidR="000636C2">
        <w:rPr>
          <w:rFonts w:hint="cs"/>
          <w:rtl/>
        </w:rPr>
        <w:t>(</w:t>
      </w:r>
      <w:r w:rsidRPr="005675B2">
        <w:rPr>
          <w:rFonts w:hint="cs"/>
          <w:rtl/>
        </w:rPr>
        <w:t>وليس لك أن تنفيه بغير دليل، لأن النافي عليه الدليل كما على المثبت، والسمع قد دل عليه، ولم يعارض ذلك معارض عقلي ولا سمعي، فيجب إثبات ما أثبته الدليل السالم عن المعارض المقاوم</w:t>
      </w:r>
      <w:r w:rsidR="000636C2">
        <w:rPr>
          <w:rFonts w:hint="cs"/>
          <w:rtl/>
        </w:rPr>
        <w:t>)</w:t>
      </w:r>
      <w:r w:rsidRPr="005675B2">
        <w:rPr>
          <w:rFonts w:hint="cs"/>
          <w:rtl/>
        </w:rPr>
        <w:t xml:space="preserve"> [</w:t>
      </w:r>
      <w:r w:rsidRPr="005675B2">
        <w:rPr>
          <w:rFonts w:hint="cs"/>
          <w:sz w:val="24"/>
          <w:szCs w:val="24"/>
          <w:rtl/>
        </w:rPr>
        <w:t>التدمرية 23]</w:t>
      </w:r>
    </w:p>
    <w:p w14:paraId="0A0DBF91" w14:textId="108D1962" w:rsidR="009C32A0" w:rsidRPr="005675B2" w:rsidRDefault="009C32A0" w:rsidP="000636C2">
      <w:pPr>
        <w:rPr>
          <w:b/>
        </w:rPr>
      </w:pPr>
      <w:r w:rsidRPr="005675B2">
        <w:rPr>
          <w:rFonts w:hint="cs"/>
          <w:rtl/>
        </w:rPr>
        <w:t>فلماذا تستنكر أيها الدكتور قول الأشاعرة المذكور، ولم تنتقد قول ابن تيمية هذا، والمعنى واحد</w:t>
      </w:r>
      <w:r w:rsidR="000636C2">
        <w:rPr>
          <w:rFonts w:hint="cs"/>
          <w:rtl/>
        </w:rPr>
        <w:t>؟!</w:t>
      </w:r>
      <w:r w:rsidRPr="005675B2">
        <w:rPr>
          <w:rFonts w:hint="cs"/>
          <w:rtl/>
        </w:rPr>
        <w:t>!</w:t>
      </w:r>
    </w:p>
    <w:p w14:paraId="4C7ACAA2" w14:textId="2723BD99" w:rsidR="009C32A0" w:rsidRPr="005675B2" w:rsidRDefault="009C32A0" w:rsidP="000636C2">
      <w:pPr>
        <w:rPr>
          <w:b/>
          <w:rtl/>
        </w:rPr>
      </w:pPr>
      <w:r w:rsidRPr="005675B2">
        <w:rPr>
          <w:rFonts w:hint="cs"/>
          <w:rtl/>
        </w:rPr>
        <w:t>الخطأ العاشر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وأما في مذهب أهل السنة فلا منافاة بين العقل والنقل أصلا، ولا تضخيم للعقل في جانب وإهدار في جانب</w:t>
      </w:r>
      <w:r w:rsidR="000636C2">
        <w:rPr>
          <w:rFonts w:hint="cs"/>
          <w:rtl/>
        </w:rPr>
        <w:t>)</w:t>
      </w:r>
    </w:p>
    <w:p w14:paraId="1DBC8218" w14:textId="20E8A1FD"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هذا الكلام إذا قطع عن سياقه كلام قويم، والخطأ فيه أن الدكتور قصد به أن الأشاعرة قد حكموا بتقسيمهم الثلاثي المتقدم بالمنافاة بين العقل والنقل، وأنهم قد ضخموا العقل في هذا التقسيم في جانب يجب عدم تضخيمهم له فيه، وأهدروه في جانب يجب استعمالهم له فيه</w:t>
      </w:r>
      <w:r w:rsidR="000636C2">
        <w:rPr>
          <w:rFonts w:hint="cs"/>
          <w:rtl/>
        </w:rPr>
        <w:t>،</w:t>
      </w:r>
    </w:p>
    <w:p w14:paraId="63D79301" w14:textId="602E80B6" w:rsidR="009C32A0" w:rsidRPr="005675B2" w:rsidRDefault="009C32A0" w:rsidP="000636C2">
      <w:pPr>
        <w:rPr>
          <w:b/>
          <w:rtl/>
        </w:rPr>
      </w:pPr>
      <w:r w:rsidRPr="005675B2">
        <w:rPr>
          <w:rFonts w:hint="cs"/>
          <w:rtl/>
        </w:rPr>
        <w:t>مع أنه ليس في هذا التقسيم أي حكم بالمنافاة بين العقل والنقل، بل ما فعلوه في هذا التقسيم إنما هو استعمال لكل من العقل والنقل في مجاله الذي يجب أن يستعمل فيه، وإهمال لكل منهما في المجال الذي لا مجال له فيه</w:t>
      </w:r>
      <w:r w:rsidR="000636C2">
        <w:rPr>
          <w:rFonts w:hint="cs"/>
          <w:rtl/>
        </w:rPr>
        <w:t>،</w:t>
      </w:r>
      <w:r w:rsidRPr="005675B2">
        <w:rPr>
          <w:rFonts w:hint="cs"/>
          <w:rtl/>
        </w:rPr>
        <w:t xml:space="preserve"> وهذه هي الحكمة التي أوتيها الأشاعرة، ومن يؤت الحكمة فقد أوتي خيرا كثيرا</w:t>
      </w:r>
      <w:r w:rsidR="000636C2">
        <w:rPr>
          <w:rFonts w:hint="cs"/>
          <w:rtl/>
        </w:rPr>
        <w:t>،</w:t>
      </w:r>
    </w:p>
    <w:p w14:paraId="602F87B8" w14:textId="6669FA79" w:rsidR="009C32A0" w:rsidRPr="005675B2" w:rsidRDefault="009C32A0" w:rsidP="000636C2">
      <w:pPr>
        <w:rPr>
          <w:b/>
          <w:rtl/>
        </w:rPr>
      </w:pPr>
      <w:r w:rsidRPr="005675B2">
        <w:rPr>
          <w:rFonts w:hint="cs"/>
          <w:rtl/>
        </w:rPr>
        <w:t>الخطأ الحادي عشر والثاني عشر والثالث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ليس هناك أصول من أصول العقيدة يستقل العقل بإثباته أبدا، كما أنه ليس هناك أصل منها لا يستطيع العقل إثباته أبدا</w:t>
      </w:r>
      <w:r w:rsidR="000636C2">
        <w:rPr>
          <w:rFonts w:hint="cs"/>
          <w:rtl/>
        </w:rPr>
        <w:t>)</w:t>
      </w:r>
    </w:p>
    <w:p w14:paraId="1A768F70" w14:textId="2FCFE2F6" w:rsidR="009C32A0" w:rsidRPr="005675B2" w:rsidRDefault="009C32A0" w:rsidP="000636C2">
      <w:pPr>
        <w:rPr>
          <w:b/>
          <w:rtl/>
        </w:rPr>
      </w:pPr>
      <w:r w:rsidRPr="005675B2">
        <w:rPr>
          <w:rFonts w:hint="cs"/>
          <w:rtl/>
        </w:rPr>
        <w:t>الخطأ الأول في هذا الكلام نسبة الأمرين المذكورين إلى مذهب أهل السنة، وليت شعرى من هم أهل السنة القائلون بهذين الخطأين العظيمين</w:t>
      </w:r>
      <w:r w:rsidR="000636C2">
        <w:rPr>
          <w:rFonts w:hint="cs"/>
          <w:rtl/>
        </w:rPr>
        <w:t>؟!</w:t>
      </w:r>
      <w:r w:rsidRPr="005675B2">
        <w:rPr>
          <w:rFonts w:hint="cs"/>
          <w:rtl/>
        </w:rPr>
        <w:t xml:space="preserve"> نعم من عادة الدكتور أن يجعل كل ما يهويه مذهبا لأهل السنة</w:t>
      </w:r>
      <w:r w:rsidR="000636C2">
        <w:rPr>
          <w:rFonts w:hint="cs"/>
          <w:rtl/>
        </w:rPr>
        <w:t>!</w:t>
      </w:r>
    </w:p>
    <w:p w14:paraId="51697D40" w14:textId="40D99EB4" w:rsidR="009C32A0" w:rsidRPr="005675B2" w:rsidRDefault="009C32A0" w:rsidP="000636C2">
      <w:pPr>
        <w:rPr>
          <w:b/>
          <w:rtl/>
        </w:rPr>
      </w:pPr>
      <w:r w:rsidRPr="005675B2">
        <w:rPr>
          <w:rFonts w:hint="cs"/>
          <w:rtl/>
        </w:rPr>
        <w:t>الخطأ 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وليس هناك أصل من أصول العقيدة يستقل العقل بإثباته أبدا</w:t>
      </w:r>
      <w:r w:rsidR="000636C2">
        <w:rPr>
          <w:rFonts w:hint="cs"/>
          <w:rtl/>
        </w:rPr>
        <w:t>)</w:t>
      </w:r>
    </w:p>
    <w:p w14:paraId="56F6D79E" w14:textId="4708042D" w:rsidR="009C32A0" w:rsidRPr="005675B2" w:rsidRDefault="009C32A0" w:rsidP="000636C2">
      <w:pPr>
        <w:rPr>
          <w:b/>
          <w:rtl/>
        </w:rPr>
      </w:pPr>
      <w:r w:rsidRPr="005675B2">
        <w:rPr>
          <w:rFonts w:hint="cs"/>
          <w:rtl/>
        </w:rPr>
        <w:t>وقد علمت أن العقل يستقل بإثبات ما يتوقف صحة النقل عليه من العقائد، ومعظم الفلاسفة قد آمنوا بذلك عن طريق العقل المجرد، وإن كان مراد الدكتور أنه ليس هناك أصل من أصول العقيدة يثبته العقل ولا يثبته السمع، فالمعنى صحيح لكن اللفظ لا يفيد ذلك</w:t>
      </w:r>
      <w:r w:rsidR="000636C2">
        <w:rPr>
          <w:rFonts w:hint="cs"/>
          <w:rtl/>
        </w:rPr>
        <w:t>،</w:t>
      </w:r>
    </w:p>
    <w:p w14:paraId="56BA9A4B" w14:textId="5AD501E9" w:rsidR="009C32A0" w:rsidRPr="005675B2" w:rsidRDefault="009C32A0" w:rsidP="000636C2">
      <w:pPr>
        <w:rPr>
          <w:b/>
          <w:rtl/>
        </w:rPr>
      </w:pPr>
      <w:r w:rsidRPr="005675B2">
        <w:rPr>
          <w:rFonts w:hint="cs"/>
          <w:rtl/>
        </w:rPr>
        <w:t>الخطأ 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كما أنه ليس هناك أصل منها لا يستطيع العقل إثباته أبدا</w:t>
      </w:r>
      <w:r w:rsidR="000636C2">
        <w:rPr>
          <w:rFonts w:hint="cs"/>
          <w:rtl/>
        </w:rPr>
        <w:t>)</w:t>
      </w:r>
    </w:p>
    <w:p w14:paraId="4FBE1D8A" w14:textId="7B9ADB60" w:rsidR="009C32A0" w:rsidRPr="005675B2" w:rsidRDefault="009C32A0" w:rsidP="000636C2">
      <w:pPr>
        <w:rPr>
          <w:b/>
          <w:rtl/>
        </w:rPr>
      </w:pPr>
      <w:r w:rsidRPr="005675B2">
        <w:rPr>
          <w:rFonts w:hint="cs"/>
          <w:rtl/>
        </w:rPr>
        <w:t>وقد علمت أن وجوب الواجبات مما لا يستقل العقل بإثباته أبدا</w:t>
      </w:r>
      <w:r w:rsidR="000636C2">
        <w:rPr>
          <w:rFonts w:hint="cs"/>
          <w:rtl/>
        </w:rPr>
        <w:t>،</w:t>
      </w:r>
      <w:r w:rsidRPr="005675B2">
        <w:rPr>
          <w:rFonts w:hint="cs"/>
          <w:rtl/>
        </w:rPr>
        <w:t xml:space="preserve"> وكذلك السمعيات كلها لا يستقل العقل بإثباتها، والعقل يجوزها فقط، وإما ثبوتها وتحققها فلم يدل عليه إلا السمع، ثم إن هذين الحكمين من الدكتور مع كونهما خطأين هما حكمان متناقضان، أثبت الدكتور في كل منهما ما نفاه في الآخر</w:t>
      </w:r>
      <w:r w:rsidR="000636C2">
        <w:rPr>
          <w:rFonts w:hint="cs"/>
          <w:rtl/>
        </w:rPr>
        <w:t>!</w:t>
      </w:r>
    </w:p>
    <w:p w14:paraId="4B801F5C" w14:textId="22A5FA2E" w:rsidR="009C32A0" w:rsidRPr="005675B2" w:rsidRDefault="009C32A0" w:rsidP="000636C2">
      <w:pPr>
        <w:rPr>
          <w:b/>
          <w:rtl/>
        </w:rPr>
      </w:pPr>
      <w:r w:rsidRPr="005675B2">
        <w:rPr>
          <w:rFonts w:hint="cs"/>
          <w:rtl/>
        </w:rPr>
        <w:t>الخطا الرابع عشر والخامس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فالإيمان بالآخرة</w:t>
      </w:r>
      <w:r w:rsidR="000636C2">
        <w:rPr>
          <w:rFonts w:hint="cs"/>
          <w:rtl/>
        </w:rPr>
        <w:t xml:space="preserve"> </w:t>
      </w:r>
      <w:r w:rsidRPr="005675B2">
        <w:rPr>
          <w:rFonts w:hint="cs"/>
          <w:rtl/>
        </w:rPr>
        <w:t>- وهو أصل كل السمعيات - ليس في مذهب أهل السنة والجماعة سمعيا فقط، بل الأدلة عليه من القرآن كلها عقلية</w:t>
      </w:r>
      <w:r w:rsidR="000636C2">
        <w:rPr>
          <w:rFonts w:hint="cs"/>
          <w:rtl/>
        </w:rPr>
        <w:t>)</w:t>
      </w:r>
    </w:p>
    <w:p w14:paraId="0D3FD94D" w14:textId="4A727595" w:rsidR="009C32A0" w:rsidRPr="005675B2" w:rsidRDefault="009C32A0" w:rsidP="000636C2">
      <w:pPr>
        <w:rPr>
          <w:b/>
          <w:rtl/>
        </w:rPr>
      </w:pPr>
      <w:r w:rsidRPr="005675B2">
        <w:rPr>
          <w:rFonts w:hint="cs"/>
          <w:rtl/>
        </w:rPr>
        <w:t>الخطأ الأول أيضا في نسبة هذا القول إلى أهل السنة والجماعة على عادته في نسبة ما يهواه إليهم</w:t>
      </w:r>
      <w:r w:rsidR="000636C2">
        <w:rPr>
          <w:rFonts w:hint="cs"/>
          <w:rtl/>
        </w:rPr>
        <w:t>!</w:t>
      </w:r>
    </w:p>
    <w:p w14:paraId="65802062" w14:textId="18FF7986" w:rsidR="009C32A0" w:rsidRPr="005675B2" w:rsidRDefault="009C32A0" w:rsidP="000636C2">
      <w:pPr>
        <w:rPr>
          <w:b/>
          <w:rtl/>
        </w:rPr>
      </w:pPr>
      <w:r w:rsidRPr="005675B2">
        <w:rPr>
          <w:rFonts w:hint="cs"/>
          <w:rtl/>
        </w:rPr>
        <w:t>الخطأ الثاني</w:t>
      </w:r>
      <w:r w:rsidR="000636C2">
        <w:rPr>
          <w:rFonts w:hint="cs"/>
          <w:rtl/>
        </w:rPr>
        <w:t>:</w:t>
      </w:r>
      <w:r w:rsidRPr="005675B2">
        <w:rPr>
          <w:rFonts w:hint="cs"/>
          <w:rtl/>
        </w:rPr>
        <w:t xml:space="preserve"> حكمه بأن الأدلة على الإيمان بالآخرة من القرآن كلها عقلية، وذلك أن كل ما ورد في القرآن من الأدلة العقلية المتعلقة بالحشر إنما تدل على إمكانه، وترد استبعاد الكافرين لوقوعه، وأقرأ الآيات الاخيرة من سورة يس، وهي أوضح ما ورد في القرآن من الدلائل المتعلقة بالحشر،هل ترى فيها غير إثبات الإمكان، وتزييف استبعاد وقوعه من الكافرين المنكرين لوقوعه</w:t>
      </w:r>
      <w:r w:rsidR="000636C2">
        <w:rPr>
          <w:rFonts w:hint="cs"/>
          <w:rtl/>
        </w:rPr>
        <w:t>،</w:t>
      </w:r>
    </w:p>
    <w:p w14:paraId="7F673F64" w14:textId="1F6E908D" w:rsidR="009C32A0" w:rsidRPr="005675B2" w:rsidRDefault="009C32A0" w:rsidP="000636C2">
      <w:pPr>
        <w:rPr>
          <w:b/>
          <w:rtl/>
        </w:rPr>
      </w:pPr>
      <w:r w:rsidRPr="005675B2">
        <w:rPr>
          <w:rFonts w:hint="cs"/>
          <w:rtl/>
        </w:rPr>
        <w:t>وأما إثبات وقوع الحشر فلا يتم إلا بضم الدليل السمعي</w:t>
      </w:r>
      <w:r w:rsidR="000636C2">
        <w:rPr>
          <w:rFonts w:hint="cs"/>
          <w:rtl/>
        </w:rPr>
        <w:t xml:space="preserve"> </w:t>
      </w:r>
      <w:r w:rsidRPr="005675B2">
        <w:rPr>
          <w:rFonts w:hint="cs"/>
          <w:rtl/>
        </w:rPr>
        <w:t>- وهو إخبار لله تعالى بوقوعه - إلى تلك الأدلة العقلية</w:t>
      </w:r>
      <w:r w:rsidR="000636C2">
        <w:rPr>
          <w:rFonts w:hint="cs"/>
          <w:rtl/>
        </w:rPr>
        <w:t>،</w:t>
      </w:r>
    </w:p>
    <w:p w14:paraId="36F7DFD5" w14:textId="6CF20844" w:rsidR="009C32A0" w:rsidRPr="005675B2" w:rsidRDefault="009C32A0" w:rsidP="000636C2">
      <w:pPr>
        <w:rPr>
          <w:b/>
          <w:rtl/>
        </w:rPr>
      </w:pPr>
      <w:r w:rsidRPr="005675B2">
        <w:rPr>
          <w:rFonts w:hint="cs"/>
          <w:rtl/>
        </w:rPr>
        <w:t>ولكن الدكتور لا يفرق بين جواز الوقوع، ونفس الوقوع فمن أجل ذلك تورط في هذا الخطأ</w:t>
      </w:r>
      <w:r w:rsidR="000636C2">
        <w:rPr>
          <w:rFonts w:hint="cs"/>
          <w:rtl/>
        </w:rPr>
        <w:t>!</w:t>
      </w:r>
    </w:p>
    <w:p w14:paraId="5E52B5A2" w14:textId="30293E3B" w:rsidR="009C32A0" w:rsidRPr="005675B2" w:rsidRDefault="009C32A0" w:rsidP="000636C2">
      <w:pPr>
        <w:rPr>
          <w:b/>
          <w:rtl/>
        </w:rPr>
      </w:pPr>
      <w:r w:rsidRPr="005675B2">
        <w:rPr>
          <w:rFonts w:hint="cs"/>
          <w:rtl/>
        </w:rPr>
        <w:t>الخطأ السادس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لكن لو أن العقل حكم باستحالة شيئ من تفصيلاته -فرضا وجدلا - فحكمه مردود</w:t>
      </w:r>
      <w:r w:rsidR="000636C2">
        <w:rPr>
          <w:rFonts w:hint="cs"/>
          <w:rtl/>
        </w:rPr>
        <w:t>)</w:t>
      </w:r>
    </w:p>
    <w:p w14:paraId="260EFE17" w14:textId="05A2A1C4"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كيف يكون حكم العقل بالإستحالة مردودا</w:t>
      </w:r>
      <w:r w:rsidR="000636C2">
        <w:rPr>
          <w:rFonts w:hint="cs"/>
          <w:rtl/>
        </w:rPr>
        <w:t>؟</w:t>
      </w:r>
      <w:r w:rsidRPr="005675B2">
        <w:rPr>
          <w:rFonts w:hint="cs"/>
          <w:rtl/>
        </w:rPr>
        <w:t xml:space="preserve"> هذا كلام من لا يعرف أن استحالة العقل ما هي</w:t>
      </w:r>
      <w:r w:rsidR="000636C2">
        <w:rPr>
          <w:rFonts w:hint="cs"/>
          <w:rtl/>
        </w:rPr>
        <w:t>،</w:t>
      </w:r>
      <w:r w:rsidRPr="005675B2">
        <w:rPr>
          <w:rFonts w:hint="cs"/>
          <w:rtl/>
        </w:rPr>
        <w:t xml:space="preserve"> نعم قد يكون العقل واهما في الحكم بالإستحالة مع أنه لا استحالة في الواقع، وهذا الحكم الوهمي هو الذي يجوز أن يُرَدَّ ببيان وهم العقل في هذا الحكم، وأما استحالة العقل فلا يرفضها إلا رافض لعقله</w:t>
      </w:r>
      <w:r w:rsidR="000636C2">
        <w:rPr>
          <w:rFonts w:hint="cs"/>
          <w:rtl/>
        </w:rPr>
        <w:t>،</w:t>
      </w:r>
    </w:p>
    <w:p w14:paraId="283683F6" w14:textId="2E69557C" w:rsidR="009C32A0" w:rsidRPr="005675B2" w:rsidRDefault="009C32A0" w:rsidP="000636C2">
      <w:pPr>
        <w:rPr>
          <w:b/>
          <w:rtl/>
        </w:rPr>
      </w:pPr>
      <w:r w:rsidRPr="005675B2">
        <w:rPr>
          <w:rFonts w:hint="cs"/>
          <w:rtl/>
        </w:rPr>
        <w:t>وقد قال إمام الحرمين</w:t>
      </w:r>
      <w:r w:rsidR="000636C2">
        <w:rPr>
          <w:rFonts w:hint="cs"/>
          <w:rtl/>
        </w:rPr>
        <w:t>:</w:t>
      </w:r>
      <w:r w:rsidRPr="005675B2">
        <w:rPr>
          <w:rFonts w:hint="cs"/>
          <w:rtl/>
        </w:rPr>
        <w:t xml:space="preserve"> إن العقل عبارة عن معرفة وجوب الواجبات، وجواز الجائزات، وإستحالة المستحيلات</w:t>
      </w:r>
      <w:r w:rsidR="000636C2">
        <w:rPr>
          <w:rFonts w:hint="cs"/>
          <w:rtl/>
        </w:rPr>
        <w:t>،</w:t>
      </w:r>
      <w:r w:rsidRPr="005675B2">
        <w:rPr>
          <w:rFonts w:hint="cs"/>
          <w:rtl/>
        </w:rPr>
        <w:t xml:space="preserve"> وهل يجوز أن يرد الشرع بما تحيله العقول</w:t>
      </w:r>
      <w:r w:rsidR="000636C2">
        <w:rPr>
          <w:rFonts w:hint="cs"/>
          <w:rtl/>
        </w:rPr>
        <w:t>؟!</w:t>
      </w:r>
      <w:r w:rsidRPr="005675B2">
        <w:rPr>
          <w:rFonts w:hint="cs"/>
          <w:rtl/>
        </w:rPr>
        <w:t xml:space="preserve"> وقد ناقض الدكتور نفسه بقوله عقب هذا الكلام -وهو كلام حق -</w:t>
      </w:r>
      <w:r w:rsidR="000636C2">
        <w:rPr>
          <w:rFonts w:hint="cs"/>
          <w:rtl/>
        </w:rPr>
        <w:t>:</w:t>
      </w:r>
      <w:r w:rsidRPr="005675B2">
        <w:rPr>
          <w:rFonts w:hint="cs"/>
          <w:rtl/>
        </w:rPr>
        <w:t xml:space="preserve"> </w:t>
      </w:r>
      <w:r w:rsidR="000636C2">
        <w:rPr>
          <w:rFonts w:hint="cs"/>
          <w:rtl/>
        </w:rPr>
        <w:t>(</w:t>
      </w:r>
      <w:r w:rsidRPr="005675B2">
        <w:rPr>
          <w:rFonts w:hint="cs"/>
          <w:rtl/>
        </w:rPr>
        <w:t>وغاية الأمر أن العقل قد يعجز عن تصوره، وأما أن يحكم بإستحالته فغير وارد</w:t>
      </w:r>
      <w:r w:rsidR="000636C2">
        <w:rPr>
          <w:rFonts w:hint="cs"/>
          <w:rtl/>
        </w:rPr>
        <w:t>،</w:t>
      </w:r>
      <w:r w:rsidRPr="005675B2">
        <w:rPr>
          <w:rFonts w:hint="cs"/>
          <w:rtl/>
        </w:rPr>
        <w:t xml:space="preserve"> ولله الحمد</w:t>
      </w:r>
      <w:r w:rsidR="000636C2">
        <w:rPr>
          <w:rFonts w:hint="cs"/>
          <w:rtl/>
        </w:rPr>
        <w:t>)</w:t>
      </w:r>
    </w:p>
    <w:p w14:paraId="4E713268" w14:textId="3C2C6E20" w:rsidR="009C32A0" w:rsidRPr="005675B2" w:rsidRDefault="009C32A0" w:rsidP="000636C2">
      <w:pPr>
        <w:rPr>
          <w:b/>
          <w:rtl/>
        </w:rPr>
      </w:pPr>
      <w:r w:rsidRPr="005675B2">
        <w:rPr>
          <w:rFonts w:hint="cs"/>
          <w:rtl/>
        </w:rPr>
        <w:t>الخطأ السابع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وليس إيماننا به متوقفا على حكم العقل</w:t>
      </w:r>
      <w:r w:rsidR="000636C2">
        <w:rPr>
          <w:rFonts w:hint="cs"/>
          <w:rtl/>
        </w:rPr>
        <w:t>)</w:t>
      </w:r>
    </w:p>
    <w:p w14:paraId="67A7A8E7" w14:textId="641F555F"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إيماننا بكل ما نؤمن به متوقف على حكم العقل بعدم إستحالته، ثم ورود الشرع به</w:t>
      </w:r>
      <w:r w:rsidR="000636C2">
        <w:rPr>
          <w:rFonts w:hint="cs"/>
          <w:rtl/>
        </w:rPr>
        <w:t>،</w:t>
      </w:r>
      <w:r w:rsidRPr="005675B2">
        <w:rPr>
          <w:rFonts w:hint="cs"/>
          <w:rtl/>
        </w:rPr>
        <w:t xml:space="preserve"> ولو حكم العقل حكما صحيحا قاطعا بإستحالة أمر، وفرض أن ظاهر الشرع ورد به، فلا نؤمن بما يدل عليه هذا الظاهر، ونؤل هذا الظاهر، ونصرفه إلى معنى صحيح يقبله العقل ولا يحيله، فإن الشرع لا يرد بما تحيله العقول</w:t>
      </w:r>
      <w:r w:rsidR="000636C2">
        <w:rPr>
          <w:rFonts w:hint="cs"/>
          <w:rtl/>
        </w:rPr>
        <w:t>،</w:t>
      </w:r>
    </w:p>
    <w:p w14:paraId="2607A00E" w14:textId="77777777" w:rsidR="009C32A0" w:rsidRPr="005675B2" w:rsidRDefault="009C32A0" w:rsidP="000636C2">
      <w:pPr>
        <w:rPr>
          <w:b/>
          <w:rtl/>
        </w:rPr>
      </w:pPr>
    </w:p>
    <w:p w14:paraId="0D93EF6A" w14:textId="254A89F1" w:rsidR="009C32A0" w:rsidRPr="005675B2" w:rsidRDefault="009C32A0" w:rsidP="000636C2">
      <w:pPr>
        <w:rPr>
          <w:b/>
          <w:rtl/>
        </w:rPr>
      </w:pPr>
      <w:r w:rsidRPr="005675B2">
        <w:rPr>
          <w:rFonts w:hint="cs"/>
          <w:rtl/>
        </w:rPr>
        <w:t>67 - المقرر عند الأشاعرة أنهم لا يكفرون إلا من أنكر أمرا مجمعا عليه معلوما من الدين بالضرورة</w:t>
      </w:r>
      <w:r w:rsidR="000636C2">
        <w:rPr>
          <w:rFonts w:hint="cs"/>
          <w:rtl/>
        </w:rPr>
        <w:t>:</w:t>
      </w:r>
    </w:p>
    <w:p w14:paraId="7F545D11" w14:textId="3A5C621B" w:rsidR="009C32A0" w:rsidRPr="005675B2" w:rsidRDefault="009C32A0" w:rsidP="000636C2">
      <w:pPr>
        <w:rPr>
          <w:b/>
          <w:rtl/>
        </w:rPr>
      </w:pPr>
      <w:r w:rsidRPr="005675B2">
        <w:rPr>
          <w:rFonts w:hint="cs"/>
          <w:rtl/>
        </w:rPr>
        <w:t>قال الدكتور</w:t>
      </w:r>
      <w:r w:rsidR="000636C2">
        <w:rPr>
          <w:rFonts w:hint="cs"/>
          <w:rtl/>
        </w:rPr>
        <w:t>:</w:t>
      </w:r>
      <w:r w:rsidRPr="005675B2">
        <w:rPr>
          <w:rFonts w:hint="cs"/>
          <w:rtl/>
        </w:rPr>
        <w:t xml:space="preserve"> " الثالث عشر</w:t>
      </w:r>
      <w:r w:rsidR="000636C2">
        <w:rPr>
          <w:rFonts w:hint="cs"/>
          <w:rtl/>
        </w:rPr>
        <w:t>:</w:t>
      </w:r>
      <w:r w:rsidRPr="005675B2">
        <w:rPr>
          <w:rFonts w:hint="cs"/>
          <w:rtl/>
        </w:rPr>
        <w:t xml:space="preserve"> التكفير</w:t>
      </w:r>
      <w:r w:rsidR="000636C2">
        <w:rPr>
          <w:rFonts w:hint="cs"/>
          <w:rtl/>
        </w:rPr>
        <w:t>:</w:t>
      </w:r>
      <w:r w:rsidRPr="005675B2">
        <w:rPr>
          <w:rFonts w:hint="cs"/>
          <w:rtl/>
        </w:rPr>
        <w:t xml:space="preserve"> التكفير عند أهل السنة والجماعة حق الله تعالى، لا يطلق إلا على من يستحقه شرعا، ولا تردد في إطلاقه على من ثبت كفره بشروطه الشرعية</w:t>
      </w:r>
      <w:r w:rsidR="000636C2">
        <w:rPr>
          <w:rFonts w:hint="cs"/>
          <w:rtl/>
        </w:rPr>
        <w:t>،</w:t>
      </w:r>
    </w:p>
    <w:p w14:paraId="628351C8" w14:textId="0CAFBFB5" w:rsidR="009C32A0" w:rsidRPr="005675B2" w:rsidRDefault="009C32A0" w:rsidP="000636C2">
      <w:pPr>
        <w:rPr>
          <w:b/>
          <w:rtl/>
        </w:rPr>
      </w:pPr>
      <w:r w:rsidRPr="005675B2">
        <w:rPr>
          <w:rFonts w:hint="cs"/>
          <w:rtl/>
        </w:rPr>
        <w:t>أما الأشاعرةُ فهم مضطربون اضطراباً كبيراً، فتارةً يقولون</w:t>
      </w:r>
      <w:r w:rsidR="000636C2">
        <w:rPr>
          <w:rFonts w:hint="cs"/>
          <w:rtl/>
        </w:rPr>
        <w:t>:</w:t>
      </w:r>
      <w:r w:rsidRPr="005675B2">
        <w:rPr>
          <w:rFonts w:hint="cs"/>
          <w:rtl/>
        </w:rPr>
        <w:t xml:space="preserve"> نحنُ لا نكفِّرُ أحداً، وتارةً يقولون</w:t>
      </w:r>
      <w:r w:rsidR="000636C2">
        <w:rPr>
          <w:rFonts w:hint="cs"/>
          <w:rtl/>
        </w:rPr>
        <w:t>:</w:t>
      </w:r>
      <w:r w:rsidRPr="005675B2">
        <w:rPr>
          <w:rFonts w:hint="cs"/>
          <w:rtl/>
        </w:rPr>
        <w:t xml:space="preserve"> نحنُ لا نكفرُ إلا مَنْ كفَّرنا، وتارةً يكفرون بأمور لا تستوجبُ أكثر من التفسيق أو التبديع، وتارةً يكفرون بأمورٍ لا توجبُ مجرد التفسيق، وتارةً يكفرون بأمورٍ هي نفسُها شرعية ويجب على كل مسلمٍ أن يعتقدَها ..</w:t>
      </w:r>
      <w:r w:rsidR="000636C2">
        <w:rPr>
          <w:rFonts w:hint="cs"/>
          <w:rtl/>
        </w:rPr>
        <w:t>،</w:t>
      </w:r>
    </w:p>
    <w:p w14:paraId="62E54231" w14:textId="41EB19DE" w:rsidR="009C32A0" w:rsidRPr="005675B2" w:rsidRDefault="009C32A0" w:rsidP="000636C2">
      <w:pPr>
        <w:rPr>
          <w:b/>
          <w:rtl/>
        </w:rPr>
      </w:pPr>
      <w:r w:rsidRPr="005675B2">
        <w:rPr>
          <w:rFonts w:hint="cs"/>
          <w:rtl/>
        </w:rPr>
        <w:t>وأما تكفيرُ من لا يستحقُّ سوى التبديع فمثل تصريحهم في أغلب كتبهم بتكفير مَنْ قال</w:t>
      </w:r>
      <w:r w:rsidR="000636C2">
        <w:rPr>
          <w:rFonts w:hint="cs"/>
          <w:rtl/>
        </w:rPr>
        <w:t>:</w:t>
      </w:r>
      <w:r w:rsidRPr="005675B2">
        <w:rPr>
          <w:rFonts w:hint="cs"/>
          <w:rtl/>
        </w:rPr>
        <w:t xml:space="preserve"> إنَّ الله جسمٌ لا كالأجسام</w:t>
      </w:r>
      <w:r w:rsidR="000636C2">
        <w:rPr>
          <w:rFonts w:hint="cs"/>
          <w:rtl/>
        </w:rPr>
        <w:t>،</w:t>
      </w:r>
      <w:r w:rsidRPr="005675B2">
        <w:rPr>
          <w:rFonts w:hint="cs"/>
          <w:rtl/>
        </w:rPr>
        <w:t xml:space="preserve"> وهذا ليس بكافر بل هو ضالٌّ مبتدع لأنه أتى بلفظٍ لم يرد به الشرعُ</w:t>
      </w:r>
      <w:r w:rsidR="000636C2">
        <w:rPr>
          <w:rFonts w:hint="cs"/>
          <w:rtl/>
        </w:rPr>
        <w:t>،</w:t>
      </w:r>
      <w:r w:rsidRPr="005675B2">
        <w:rPr>
          <w:rFonts w:hint="cs"/>
          <w:rtl/>
        </w:rPr>
        <w:t xml:space="preserve"> والأشاعرةُ تستعملُ ما هو مثلُهُ وشَرٌّ منه</w:t>
      </w:r>
      <w:r w:rsidR="000636C2">
        <w:rPr>
          <w:rFonts w:hint="cs"/>
          <w:rtl/>
        </w:rPr>
        <w:t>،</w:t>
      </w:r>
      <w:r w:rsidRPr="005675B2">
        <w:rPr>
          <w:rFonts w:hint="cs"/>
          <w:rtl/>
        </w:rPr>
        <w:t xml:space="preserve"> وأما تكفيرُ من لا يستحق حتى مجرد الفسق أو المعصية فكما مرّ في الفقرة السابقة من تكفيرهم من قال</w:t>
      </w:r>
      <w:r w:rsidR="000636C2">
        <w:rPr>
          <w:rFonts w:hint="cs"/>
          <w:rtl/>
        </w:rPr>
        <w:t>:</w:t>
      </w:r>
      <w:r w:rsidRPr="005675B2">
        <w:rPr>
          <w:rFonts w:hint="cs"/>
          <w:rtl/>
        </w:rPr>
        <w:t xml:space="preserve"> إن النار علّة الإحراق والطعام علّة الشبع</w:t>
      </w:r>
      <w:r w:rsidR="000636C2">
        <w:rPr>
          <w:rFonts w:hint="cs"/>
          <w:rtl/>
        </w:rPr>
        <w:t>،</w:t>
      </w:r>
    </w:p>
    <w:p w14:paraId="10293828" w14:textId="068DD67C" w:rsidR="009C32A0" w:rsidRPr="005675B2" w:rsidRDefault="009C32A0" w:rsidP="000636C2">
      <w:pPr>
        <w:rPr>
          <w:b/>
          <w:rtl/>
        </w:rPr>
      </w:pPr>
      <w:r w:rsidRPr="005675B2">
        <w:rPr>
          <w:rFonts w:hint="cs"/>
          <w:rtl/>
        </w:rPr>
        <w:t>وأما التكفيرُ بما هو حقٌّ في نفسِهِ يجبُ اعتقادُه فنحو تكفيرهم لمن يثبتُ علوَّ الله، ومن لم يؤمنْ بالله على طريقةَ أهل الكلام، وكقولهم</w:t>
      </w:r>
      <w:r w:rsidR="000636C2">
        <w:rPr>
          <w:rFonts w:hint="cs"/>
          <w:rtl/>
        </w:rPr>
        <w:t>:</w:t>
      </w:r>
      <w:r w:rsidRPr="005675B2">
        <w:rPr>
          <w:rFonts w:hint="cs"/>
          <w:rtl/>
        </w:rPr>
        <w:t xml:space="preserve"> إن الأخذ بظواهر النصوص من أصول الكفر، وكقولهم</w:t>
      </w:r>
      <w:r w:rsidR="000636C2">
        <w:rPr>
          <w:rFonts w:hint="cs"/>
          <w:rtl/>
        </w:rPr>
        <w:t>:</w:t>
      </w:r>
      <w:r w:rsidRPr="005675B2">
        <w:rPr>
          <w:rFonts w:hint="cs"/>
          <w:rtl/>
        </w:rPr>
        <w:t xml:space="preserve"> إن عبادة الأصنام فرع من مذهب المشبهة، ويعنون بهم أهل السنة والجماعة "</w:t>
      </w:r>
      <w:r w:rsidR="000636C2">
        <w:rPr>
          <w:rFonts w:hint="cs"/>
          <w:rtl/>
        </w:rPr>
        <w:t>،</w:t>
      </w:r>
    </w:p>
    <w:p w14:paraId="185C0EA8" w14:textId="7448DEE9"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المقرر عند الأشاعرة -وهو مذهب الجمهور الأعظم منهم - أنه إنما يكفر من أنكر مجمعا عليه معلوما من الدين بالضرورة</w:t>
      </w:r>
      <w:r w:rsidR="000636C2">
        <w:rPr>
          <w:rFonts w:hint="cs"/>
          <w:rtl/>
        </w:rPr>
        <w:t>،</w:t>
      </w:r>
      <w:r w:rsidRPr="005675B2">
        <w:rPr>
          <w:rFonts w:hint="cs"/>
          <w:rtl/>
        </w:rPr>
        <w:t xml:space="preserve"> قال القاضي عضد الدين الإيجي</w:t>
      </w:r>
      <w:r w:rsidR="000636C2">
        <w:rPr>
          <w:rFonts w:hint="cs"/>
          <w:rtl/>
        </w:rPr>
        <w:t>:</w:t>
      </w:r>
      <w:r w:rsidRPr="005675B2">
        <w:rPr>
          <w:rFonts w:hint="cs"/>
          <w:rtl/>
        </w:rPr>
        <w:t xml:space="preserve"> </w:t>
      </w:r>
      <w:r w:rsidR="000636C2">
        <w:rPr>
          <w:rFonts w:hint="cs"/>
          <w:rtl/>
        </w:rPr>
        <w:t>(</w:t>
      </w:r>
      <w:r w:rsidRPr="005675B2">
        <w:rPr>
          <w:rFonts w:hint="cs"/>
          <w:rtl/>
        </w:rPr>
        <w:t>المقصد الثالث في الكفر وهو خلاف الإيمان، فهو عندنا عدم تصديق الرسول في بعض ما علم مجيئه به ضرورة</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المقصد الخامس في أن المخالف للحق من أهل القبلة هل يكفر أم لا</w:t>
      </w:r>
      <w:r w:rsidR="000636C2">
        <w:rPr>
          <w:rFonts w:hint="cs"/>
          <w:rtl/>
        </w:rPr>
        <w:t>؟</w:t>
      </w:r>
      <w:r w:rsidRPr="005675B2">
        <w:rPr>
          <w:rFonts w:hint="cs"/>
          <w:rtl/>
        </w:rPr>
        <w:t xml:space="preserve"> جمهور المتكلمين والفقهاء على أنه لا يكفر أحد من أهل القبلة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المواقف 388-392]</w:t>
      </w:r>
      <w:r w:rsidRPr="005675B2">
        <w:rPr>
          <w:rFonts w:hint="cs"/>
          <w:rtl/>
        </w:rPr>
        <w:t xml:space="preserve"> وقال شارح "المواقف" السيد الشريف الجرجاني عقب هذا الكلام</w:t>
      </w:r>
      <w:r w:rsidR="000636C2">
        <w:rPr>
          <w:rFonts w:hint="cs"/>
          <w:rtl/>
        </w:rPr>
        <w:t>:</w:t>
      </w:r>
      <w:r w:rsidRPr="005675B2">
        <w:rPr>
          <w:rFonts w:hint="cs"/>
          <w:rtl/>
        </w:rPr>
        <w:t xml:space="preserve"> « فإن الشيخ أبا الحسن قال في أول كتابه مقالات الإسلاميين</w:t>
      </w:r>
      <w:r w:rsidR="000636C2">
        <w:rPr>
          <w:rFonts w:hint="cs"/>
          <w:rtl/>
        </w:rPr>
        <w:t>:</w:t>
      </w:r>
      <w:r w:rsidRPr="005675B2">
        <w:rPr>
          <w:rFonts w:hint="cs"/>
          <w:rtl/>
        </w:rPr>
        <w:t xml:space="preserve"> اختلف المسلمون بعد نبيهم في أشياء ضلل بعضهم بعضا، وتبرأ بعضهم عن بعض، فصاروا فرقا متباينين، إلا أن الإسلام يجمعهم ويعمهم</w:t>
      </w:r>
      <w:r w:rsidR="000636C2">
        <w:rPr>
          <w:rFonts w:hint="cs"/>
          <w:rtl/>
        </w:rPr>
        <w:t>،</w:t>
      </w:r>
      <w:r w:rsidRPr="005675B2">
        <w:rPr>
          <w:rFonts w:hint="cs"/>
          <w:rtl/>
        </w:rPr>
        <w:t xml:space="preserve"> ثم قال السيد</w:t>
      </w:r>
      <w:r w:rsidR="000636C2">
        <w:rPr>
          <w:rFonts w:hint="cs"/>
          <w:rtl/>
        </w:rPr>
        <w:t>:</w:t>
      </w:r>
      <w:r w:rsidRPr="005675B2">
        <w:rPr>
          <w:rFonts w:hint="cs"/>
          <w:rtl/>
        </w:rPr>
        <w:t xml:space="preserve"> فهذا مذهبه، وعليه أكثر أصحابنا »</w:t>
      </w:r>
      <w:r w:rsidR="000636C2">
        <w:rPr>
          <w:rFonts w:hint="cs"/>
          <w:rtl/>
        </w:rPr>
        <w:t>،</w:t>
      </w:r>
      <w:r w:rsidRPr="005675B2">
        <w:rPr>
          <w:rFonts w:hint="cs"/>
          <w:rtl/>
        </w:rPr>
        <w:t xml:space="preserve"> [</w:t>
      </w:r>
      <w:r w:rsidRPr="005675B2">
        <w:rPr>
          <w:rFonts w:hint="cs"/>
          <w:sz w:val="24"/>
          <w:szCs w:val="24"/>
          <w:rtl/>
        </w:rPr>
        <w:t>شرح المواقف 8/339]</w:t>
      </w:r>
    </w:p>
    <w:p w14:paraId="1EAAF862" w14:textId="155EDBF0" w:rsidR="009C32A0" w:rsidRPr="005675B2" w:rsidRDefault="009C32A0" w:rsidP="000636C2">
      <w:pPr>
        <w:rPr>
          <w:b/>
          <w:rtl/>
        </w:rPr>
      </w:pPr>
      <w:r w:rsidRPr="005675B2">
        <w:rPr>
          <w:rFonts w:hint="cs"/>
          <w:rtl/>
        </w:rPr>
        <w:t>وقال ابن أبي شريف في "المسامرة" شرح "المسايرة" لابن الهمام</w:t>
      </w:r>
      <w:r w:rsidR="000636C2">
        <w:rPr>
          <w:rFonts w:hint="cs"/>
          <w:rtl/>
        </w:rPr>
        <w:t>:</w:t>
      </w:r>
      <w:r w:rsidRPr="005675B2">
        <w:rPr>
          <w:rFonts w:hint="cs"/>
          <w:rtl/>
        </w:rPr>
        <w:t xml:space="preserve"> « قال النووي في "الروضة"</w:t>
      </w:r>
      <w:r w:rsidR="000636C2">
        <w:rPr>
          <w:rFonts w:hint="cs"/>
          <w:rtl/>
        </w:rPr>
        <w:t>:</w:t>
      </w:r>
      <w:r w:rsidRPr="005675B2">
        <w:rPr>
          <w:rFonts w:hint="cs"/>
          <w:rtl/>
        </w:rPr>
        <w:t xml:space="preserve"> ليس تكفير جاحد المجمع عليه على إطلاقه، بل من جحد مجمعا عليه فيه نص وهو من الأمور الظاهرة التى يشترك في معرفتها الخواص والعوام كالصلاة وتحريم الخمر ونحوهما، فهو كافر ومن جحد مجمعا عليه لا يعرفه إلا الخواص كإستحقاق بنت الإبن السدس مع بنت الصلب، ونحوه فليس بكافر</w:t>
      </w:r>
      <w:r w:rsidR="000636C2">
        <w:rPr>
          <w:rFonts w:hint="cs"/>
          <w:rtl/>
        </w:rPr>
        <w:t>،</w:t>
      </w:r>
    </w:p>
    <w:p w14:paraId="200787AB" w14:textId="5F4C575C" w:rsidR="009C32A0" w:rsidRPr="005675B2" w:rsidRDefault="009C32A0" w:rsidP="000636C2">
      <w:pPr>
        <w:rPr>
          <w:b/>
          <w:rtl/>
        </w:rPr>
      </w:pPr>
      <w:r w:rsidRPr="005675B2">
        <w:rPr>
          <w:rFonts w:hint="cs"/>
          <w:rtl/>
        </w:rPr>
        <w:t>وقال ابن دقيق العيد في "شرح العمدة" أول كتاب القصاص</w:t>
      </w:r>
      <w:r w:rsidR="000636C2">
        <w:rPr>
          <w:rFonts w:hint="cs"/>
          <w:rtl/>
        </w:rPr>
        <w:t>:</w:t>
      </w:r>
      <w:r w:rsidRPr="005675B2">
        <w:rPr>
          <w:rFonts w:hint="cs"/>
          <w:rtl/>
        </w:rPr>
        <w:t xml:space="preserve"> أطلق بعضهم أن مخالف الإجماع يكفر</w:t>
      </w:r>
      <w:r w:rsidR="000636C2">
        <w:rPr>
          <w:rFonts w:hint="cs"/>
          <w:rtl/>
        </w:rPr>
        <w:t>،</w:t>
      </w:r>
      <w:r w:rsidRPr="005675B2">
        <w:rPr>
          <w:rFonts w:hint="cs"/>
          <w:rtl/>
        </w:rPr>
        <w:t xml:space="preserve"> والحق أن المسائل الإجماعية تارة يصحبها التواتر عن صاحب الشرع كوجوب الخَمْس، وقد لا يصحبها، فالأول يكفر جاحده لمخالفته التواتر لا لمخالفة الإجماع »</w:t>
      </w:r>
      <w:r w:rsidR="000636C2">
        <w:rPr>
          <w:rFonts w:hint="cs"/>
          <w:rtl/>
        </w:rPr>
        <w:t>،</w:t>
      </w:r>
      <w:r w:rsidRPr="005675B2">
        <w:rPr>
          <w:rFonts w:hint="cs"/>
          <w:rtl/>
        </w:rPr>
        <w:t xml:space="preserve"> </w:t>
      </w:r>
      <w:r w:rsidR="000636C2">
        <w:rPr>
          <w:rFonts w:hint="cs"/>
          <w:rtl/>
        </w:rPr>
        <w:t>[</w:t>
      </w:r>
      <w:r w:rsidRPr="005675B2">
        <w:rPr>
          <w:rFonts w:hint="cs"/>
          <w:sz w:val="24"/>
          <w:szCs w:val="24"/>
          <w:rtl/>
        </w:rPr>
        <w:t>المسامرة 318]</w:t>
      </w:r>
    </w:p>
    <w:p w14:paraId="5BEC6A36" w14:textId="77777777" w:rsidR="009C32A0" w:rsidRPr="005675B2" w:rsidRDefault="009C32A0" w:rsidP="000636C2">
      <w:pPr>
        <w:rPr>
          <w:b/>
          <w:rtl/>
        </w:rPr>
      </w:pPr>
    </w:p>
    <w:p w14:paraId="17B37136" w14:textId="4A8A9789" w:rsidR="009C32A0" w:rsidRPr="005675B2" w:rsidRDefault="009C32A0" w:rsidP="000636C2">
      <w:pPr>
        <w:rPr>
          <w:b/>
          <w:rtl/>
        </w:rPr>
      </w:pPr>
      <w:r w:rsidRPr="005675B2">
        <w:rPr>
          <w:rFonts w:hint="cs"/>
          <w:rtl/>
        </w:rPr>
        <w:t>68 - أخطاء الدكتور في مسألة التكفير</w:t>
      </w:r>
      <w:r w:rsidR="000636C2">
        <w:rPr>
          <w:rFonts w:hint="cs"/>
          <w:rtl/>
        </w:rPr>
        <w:t>:</w:t>
      </w:r>
    </w:p>
    <w:p w14:paraId="5A0AE50E" w14:textId="6AA5AD79" w:rsidR="009C32A0" w:rsidRPr="005675B2" w:rsidRDefault="009C32A0" w:rsidP="000636C2">
      <w:pPr>
        <w:rPr>
          <w:b/>
          <w:rtl/>
        </w:rPr>
      </w:pPr>
      <w:r w:rsidRPr="005675B2">
        <w:rPr>
          <w:rFonts w:hint="cs"/>
          <w:rtl/>
        </w:rPr>
        <w:t>هذا كلام هؤلاء الأساطين من أئمة الأشاعرة في مسألة التكفير، وبعد هذا نعود إلى كلام الدكتور لنبين كم حواه من أخطاء، فنقول</w:t>
      </w:r>
      <w:r w:rsidR="000636C2">
        <w:rPr>
          <w:rFonts w:hint="cs"/>
          <w:rtl/>
        </w:rPr>
        <w:t>:</w:t>
      </w:r>
    </w:p>
    <w:p w14:paraId="6F022C04" w14:textId="6AEA1870" w:rsidR="009C32A0" w:rsidRPr="005675B2" w:rsidRDefault="009C32A0" w:rsidP="000636C2">
      <w:pPr>
        <w:rPr>
          <w:b/>
          <w:rtl/>
        </w:rPr>
      </w:pPr>
      <w:r w:rsidRPr="005675B2">
        <w:rPr>
          <w:rFonts w:hint="cs"/>
          <w:rtl/>
        </w:rPr>
        <w:t>الخطأ 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التكفير عند أهل السنة والجماعة حق الله تعالى</w:t>
      </w:r>
      <w:r w:rsidR="000636C2">
        <w:rPr>
          <w:rFonts w:hint="cs"/>
          <w:rtl/>
        </w:rPr>
        <w:t>)</w:t>
      </w:r>
      <w:r w:rsidRPr="005675B2">
        <w:rPr>
          <w:rFonts w:hint="cs"/>
          <w:rtl/>
        </w:rPr>
        <w:t xml:space="preserve"> سياق هذا الكلام يقتضى أن مراد الدكتور أن التكفير عند الأشاعرة -الذين جعلهم الدكتور مقابلين لأهل السنة - ليس بحق الله، فماذا يقصد الدكتور بقوله</w:t>
      </w:r>
      <w:r w:rsidR="000636C2">
        <w:rPr>
          <w:rFonts w:hint="cs"/>
          <w:rtl/>
        </w:rPr>
        <w:t>:</w:t>
      </w:r>
      <w:r w:rsidRPr="005675B2">
        <w:rPr>
          <w:rFonts w:hint="cs"/>
          <w:rtl/>
        </w:rPr>
        <w:t xml:space="preserve"> </w:t>
      </w:r>
      <w:r w:rsidR="000636C2">
        <w:rPr>
          <w:rFonts w:hint="cs"/>
          <w:rtl/>
        </w:rPr>
        <w:t>(</w:t>
      </w:r>
      <w:r w:rsidRPr="005675B2">
        <w:rPr>
          <w:rFonts w:hint="cs"/>
          <w:rtl/>
        </w:rPr>
        <w:t>التكفير .. حق الله</w:t>
      </w:r>
      <w:r w:rsidR="000636C2">
        <w:rPr>
          <w:rFonts w:hint="cs"/>
          <w:rtl/>
        </w:rPr>
        <w:t>)</w:t>
      </w:r>
      <w:r w:rsidRPr="005675B2">
        <w:rPr>
          <w:rFonts w:hint="cs"/>
          <w:rtl/>
        </w:rPr>
        <w:t xml:space="preserve"> هل يقصد أنه حق لله تعالى، ولا يجوز لأحد من علماء الأمة أن يتدخل فيه ويحكم بكفر أحد من الناس، وهذا خطأ محض</w:t>
      </w:r>
      <w:r w:rsidR="000636C2">
        <w:rPr>
          <w:rFonts w:hint="cs"/>
          <w:rtl/>
        </w:rPr>
        <w:t>،</w:t>
      </w:r>
      <w:r w:rsidRPr="005675B2">
        <w:rPr>
          <w:rFonts w:hint="cs"/>
          <w:rtl/>
        </w:rPr>
        <w:t xml:space="preserve"> أم يقصد أنه حق الله تعالى، ولا يجوز لأحد من علماء الأمة أن يخالف الله فيه، فهذا ما لا يخالف فيه أحد من فرق المسلمين، إن كانت المخالفة قصدية، أو كانت في ما لا مجال للاجتهاد فيه، وأما إذا كانت المسألة اجتهادية فاجتهد المجتهد فحكم بكفر فريق من الناس لكنه أخطأ في اجتهاده هذا، فقد خالف حكم الله في المسألة، ومع ذلك لا يقال</w:t>
      </w:r>
      <w:r w:rsidR="000636C2">
        <w:rPr>
          <w:rFonts w:hint="cs"/>
          <w:rtl/>
        </w:rPr>
        <w:t>:</w:t>
      </w:r>
      <w:r w:rsidRPr="005675B2">
        <w:rPr>
          <w:rFonts w:hint="cs"/>
          <w:rtl/>
        </w:rPr>
        <w:t xml:space="preserve"> لا تجوز له هذه المخالفة، بل هو مأجور على اجتهاده فلا وجه لنسبة هذا القول لأهل السنة الذين قصدهم، والإشارةِ بذلك إلى أن الأشاعرة يخالفون فيه</w:t>
      </w:r>
      <w:r w:rsidR="000636C2">
        <w:rPr>
          <w:rFonts w:hint="cs"/>
          <w:rtl/>
        </w:rPr>
        <w:t>!</w:t>
      </w:r>
      <w:r w:rsidRPr="005675B2">
        <w:rPr>
          <w:rFonts w:hint="cs"/>
          <w:rtl/>
        </w:rPr>
        <w:t xml:space="preserve"> ثم مَن مِن أهل السنة عبر بهذا التعبير غير المحرر</w:t>
      </w:r>
      <w:r w:rsidR="000636C2">
        <w:rPr>
          <w:rFonts w:hint="cs"/>
          <w:rtl/>
        </w:rPr>
        <w:t>؟!</w:t>
      </w:r>
    </w:p>
    <w:p w14:paraId="415F7ECD" w14:textId="3EEFC934" w:rsidR="009C32A0" w:rsidRPr="005675B2" w:rsidRDefault="009C32A0" w:rsidP="000636C2">
      <w:pPr>
        <w:rPr>
          <w:b/>
          <w:rtl/>
        </w:rPr>
      </w:pPr>
      <w:r w:rsidRPr="005675B2">
        <w:rPr>
          <w:rFonts w:hint="cs"/>
          <w:rtl/>
        </w:rPr>
        <w:t>نعم من عادة الدكتور أن ينسب ما يهواه إلى أهل السنة والجماعة</w:t>
      </w:r>
      <w:r w:rsidR="000636C2">
        <w:rPr>
          <w:rFonts w:hint="cs"/>
          <w:rtl/>
        </w:rPr>
        <w:t>!</w:t>
      </w:r>
    </w:p>
    <w:p w14:paraId="0790674D" w14:textId="0A8C66BD" w:rsidR="009C32A0" w:rsidRPr="005675B2" w:rsidRDefault="009C32A0" w:rsidP="000636C2">
      <w:pPr>
        <w:rPr>
          <w:b/>
          <w:rtl/>
        </w:rPr>
      </w:pPr>
      <w:r w:rsidRPr="005675B2">
        <w:rPr>
          <w:rFonts w:hint="cs"/>
          <w:rtl/>
        </w:rPr>
        <w:t>الخطأ 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لا يطلق إلا على من يستحقه شرعا، ولا تردد في إطلاقه على من ثبت كفره بشروطه الشرعية</w:t>
      </w:r>
      <w:r w:rsidR="000636C2">
        <w:rPr>
          <w:rFonts w:hint="cs"/>
          <w:rtl/>
        </w:rPr>
        <w:t>)</w:t>
      </w:r>
    </w:p>
    <w:p w14:paraId="49D7ACDE" w14:textId="39819EC7"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هذا كلام مجمل لم يخالف فيه</w:t>
      </w:r>
      <w:r w:rsidR="000636C2">
        <w:rPr>
          <w:rFonts w:hint="cs"/>
          <w:rtl/>
        </w:rPr>
        <w:t xml:space="preserve"> </w:t>
      </w:r>
      <w:r w:rsidRPr="005675B2">
        <w:rPr>
          <w:rFonts w:hint="cs"/>
          <w:rtl/>
        </w:rPr>
        <w:t>- على إجماله - أحد من الفرق الإسلامية، والدكتور قد ساقه على أنه مذهب أهل السنة الذين قصدهم، وأن غيرهم من الفرق مخالفون فيه، ثم هلا بين الدكتور الشروط الشرعية للتكفير عنده، أو عند أهل السنة الذين قصدهم، حتى نعلم هل هي صحيحة أم لا، وهل هي موافقة لمذهب الأشاعرة أم مخالفة له</w:t>
      </w:r>
      <w:r w:rsidR="000636C2">
        <w:rPr>
          <w:rFonts w:hint="cs"/>
          <w:rtl/>
        </w:rPr>
        <w:t>،</w:t>
      </w:r>
    </w:p>
    <w:p w14:paraId="720FADD1" w14:textId="1A7E27D8" w:rsidR="009C32A0" w:rsidRPr="005675B2" w:rsidRDefault="009C32A0" w:rsidP="000636C2">
      <w:pPr>
        <w:rPr>
          <w:b/>
          <w:rtl/>
        </w:rPr>
      </w:pPr>
      <w:r w:rsidRPr="005675B2">
        <w:rPr>
          <w:rFonts w:hint="cs"/>
          <w:rtl/>
        </w:rPr>
        <w:t>الخطأ الثالث</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أما الأشاعرة فهم مضطربون اضرابا كبيرا</w:t>
      </w:r>
      <w:r w:rsidR="000636C2">
        <w:rPr>
          <w:rFonts w:hint="cs"/>
          <w:rtl/>
        </w:rPr>
        <w:t>)</w:t>
      </w:r>
      <w:r w:rsidRPr="005675B2">
        <w:rPr>
          <w:rFonts w:hint="cs"/>
          <w:rtl/>
        </w:rPr>
        <w:t xml:space="preserve"> قد علمت مذهب الجمهور الأعظم من الأشاعرة في المسألة، وأنه هو المذهب الذي تقرر عندهم، فلا اضطراب عندهم فضلا عن أن يكون كبيرا</w:t>
      </w:r>
      <w:r w:rsidR="000636C2">
        <w:rPr>
          <w:rFonts w:hint="cs"/>
          <w:rtl/>
        </w:rPr>
        <w:t>،</w:t>
      </w:r>
      <w:r w:rsidRPr="005675B2">
        <w:rPr>
          <w:rFonts w:hint="cs"/>
          <w:rtl/>
        </w:rPr>
        <w:t xml:space="preserve"> نعم هناك خلاف من بعضهم، وهو أمر طبيعي، ولا يصح أن يطلق عليه اسم الإضطراب</w:t>
      </w:r>
      <w:r w:rsidR="000636C2">
        <w:rPr>
          <w:rFonts w:hint="cs"/>
          <w:rtl/>
        </w:rPr>
        <w:t>،</w:t>
      </w:r>
    </w:p>
    <w:p w14:paraId="5E8C1DB7" w14:textId="38FA8734" w:rsidR="009C32A0" w:rsidRPr="005675B2" w:rsidRDefault="009C32A0" w:rsidP="000636C2">
      <w:pPr>
        <w:rPr>
          <w:b/>
          <w:rtl/>
        </w:rPr>
      </w:pPr>
      <w:r w:rsidRPr="005675B2">
        <w:rPr>
          <w:rFonts w:hint="cs"/>
          <w:rtl/>
        </w:rPr>
        <w:t>الخطأ الرابع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فتارة يقولون</w:t>
      </w:r>
      <w:r w:rsidR="000636C2">
        <w:rPr>
          <w:rFonts w:hint="cs"/>
          <w:rtl/>
        </w:rPr>
        <w:t>:</w:t>
      </w:r>
      <w:r w:rsidRPr="005675B2">
        <w:rPr>
          <w:rFonts w:hint="cs"/>
          <w:rtl/>
        </w:rPr>
        <w:t xml:space="preserve"> نحن لا نكفر أحدا</w:t>
      </w:r>
      <w:r w:rsidR="000636C2">
        <w:rPr>
          <w:rFonts w:hint="cs"/>
          <w:rtl/>
        </w:rPr>
        <w:t>)</w:t>
      </w:r>
      <w:r w:rsidRPr="005675B2">
        <w:rPr>
          <w:rFonts w:hint="cs"/>
          <w:rtl/>
        </w:rPr>
        <w:t xml:space="preserve"> قد نسب الدكتور هذا القول إلى الأشاعرة كلهم حيث قال</w:t>
      </w:r>
      <w:r w:rsidR="000636C2">
        <w:rPr>
          <w:rFonts w:hint="cs"/>
          <w:rtl/>
        </w:rPr>
        <w:t>:</w:t>
      </w:r>
      <w:r w:rsidRPr="005675B2">
        <w:rPr>
          <w:rFonts w:hint="cs"/>
          <w:rtl/>
        </w:rPr>
        <w:t xml:space="preserve"> </w:t>
      </w:r>
      <w:r w:rsidR="000636C2">
        <w:rPr>
          <w:rFonts w:hint="cs"/>
          <w:rtl/>
        </w:rPr>
        <w:t>(</w:t>
      </w:r>
      <w:r w:rsidRPr="005675B2">
        <w:rPr>
          <w:rFonts w:hint="cs"/>
          <w:rtl/>
        </w:rPr>
        <w:t>يقولون</w:t>
      </w:r>
      <w:r w:rsidR="000636C2">
        <w:rPr>
          <w:rFonts w:hint="cs"/>
          <w:rtl/>
        </w:rPr>
        <w:t>)</w:t>
      </w:r>
      <w:r w:rsidRPr="005675B2">
        <w:rPr>
          <w:rFonts w:hint="cs"/>
          <w:rtl/>
        </w:rPr>
        <w:t xml:space="preserve"> مع أنه ليس قولا لأحد منهم، وهلا بين الدكتور قائل ذلك، وهل لا يكفر الأشاعرة الملاحدة واليهود والنصاري</w:t>
      </w:r>
      <w:r w:rsidR="000636C2">
        <w:rPr>
          <w:rFonts w:hint="cs"/>
          <w:rtl/>
        </w:rPr>
        <w:t>؟!</w:t>
      </w:r>
      <w:r w:rsidRPr="005675B2">
        <w:rPr>
          <w:rFonts w:hint="cs"/>
          <w:rtl/>
        </w:rPr>
        <w:t xml:space="preserve"> والذي لا يكفرهم كافر، فلماذا لا يحكم الدكتور بكفر الأشاعرة إذاً، أو من قال منهم هذا القول</w:t>
      </w:r>
      <w:r w:rsidR="000636C2">
        <w:rPr>
          <w:rFonts w:hint="cs"/>
          <w:rtl/>
        </w:rPr>
        <w:t>؟!</w:t>
      </w:r>
    </w:p>
    <w:p w14:paraId="405CD9CF" w14:textId="7CA86E9A" w:rsidR="009C32A0" w:rsidRPr="005675B2" w:rsidRDefault="009C32A0" w:rsidP="000636C2">
      <w:pPr>
        <w:rPr>
          <w:b/>
          <w:rtl/>
        </w:rPr>
      </w:pPr>
      <w:r w:rsidRPr="005675B2">
        <w:rPr>
          <w:rFonts w:hint="cs"/>
          <w:rtl/>
        </w:rPr>
        <w:t>الخطأ الخامس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وتارة يقولون</w:t>
      </w:r>
      <w:r w:rsidR="000636C2">
        <w:rPr>
          <w:rFonts w:hint="cs"/>
          <w:rtl/>
        </w:rPr>
        <w:t>:</w:t>
      </w:r>
      <w:r w:rsidRPr="005675B2">
        <w:rPr>
          <w:rFonts w:hint="cs"/>
          <w:rtl/>
        </w:rPr>
        <w:t xml:space="preserve"> نحن لا نكفر إلا من كفرنا</w:t>
      </w:r>
      <w:r w:rsidR="000636C2">
        <w:rPr>
          <w:rFonts w:hint="cs"/>
          <w:rtl/>
        </w:rPr>
        <w:t>)</w:t>
      </w:r>
      <w:r w:rsidRPr="005675B2">
        <w:rPr>
          <w:rFonts w:hint="cs"/>
          <w:rtl/>
        </w:rPr>
        <w:t xml:space="preserve"> هذا قول للأستاذ أبي إسحاق الإسفراييني فقط من الأشاعرة، وهو قول غير مقبول عند غيره منهم، وليس هو قولا للأشاعرة كلهم كما قال الدكتور</w:t>
      </w:r>
      <w:r w:rsidR="000636C2">
        <w:rPr>
          <w:rFonts w:hint="cs"/>
          <w:rtl/>
        </w:rPr>
        <w:t>:</w:t>
      </w:r>
      <w:r w:rsidRPr="005675B2">
        <w:rPr>
          <w:rFonts w:hint="cs"/>
          <w:rtl/>
        </w:rPr>
        <w:t xml:space="preserve"> </w:t>
      </w:r>
      <w:r w:rsidR="000636C2">
        <w:rPr>
          <w:rFonts w:hint="cs"/>
          <w:rtl/>
        </w:rPr>
        <w:t>(</w:t>
      </w:r>
      <w:r w:rsidRPr="005675B2">
        <w:rPr>
          <w:rFonts w:hint="cs"/>
          <w:rtl/>
        </w:rPr>
        <w:t>يقولون</w:t>
      </w:r>
      <w:r w:rsidR="000636C2">
        <w:rPr>
          <w:rFonts w:hint="cs"/>
          <w:rtl/>
        </w:rPr>
        <w:t>)</w:t>
      </w:r>
    </w:p>
    <w:p w14:paraId="451CBC5B" w14:textId="1A38EC8E" w:rsidR="009C32A0" w:rsidRPr="005675B2" w:rsidRDefault="009C32A0" w:rsidP="000636C2">
      <w:pPr>
        <w:rPr>
          <w:b/>
          <w:rtl/>
        </w:rPr>
      </w:pPr>
      <w:r w:rsidRPr="005675B2">
        <w:rPr>
          <w:rFonts w:hint="cs"/>
          <w:rtl/>
        </w:rPr>
        <w:t>الخطأ السادس</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وأما تكفير من لا يستحق سوى التبديع فمثل تصريحهم في أغلب كتبهم بتكفير من قال</w:t>
      </w:r>
      <w:r w:rsidR="000636C2">
        <w:rPr>
          <w:rFonts w:hint="cs"/>
          <w:rtl/>
        </w:rPr>
        <w:t>:</w:t>
      </w:r>
      <w:r w:rsidRPr="005675B2">
        <w:rPr>
          <w:rFonts w:hint="cs"/>
          <w:rtl/>
        </w:rPr>
        <w:t xml:space="preserve"> إن الله جسم لا كالأجسام</w:t>
      </w:r>
      <w:r w:rsidR="000636C2">
        <w:rPr>
          <w:rFonts w:hint="cs"/>
          <w:rtl/>
        </w:rPr>
        <w:t>)</w:t>
      </w:r>
    </w:p>
    <w:p w14:paraId="7A72C6F2" w14:textId="5495EB20"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لم يكفر الأشاعرة قائل هذا القول، وإنما خَطَّئُوه وأَثَّمُوه من أجل إطلاقه على الله تعالى ما لا يجوز إطلاقه عليه لا على مذهب التوقيف، ولا على مذهب الإشتقاق، لعدم التوقيف فيه، ولإيهامه معنى لا يجوز على الله تعالى</w:t>
      </w:r>
      <w:r w:rsidR="000636C2">
        <w:rPr>
          <w:rFonts w:hint="cs"/>
          <w:rtl/>
        </w:rPr>
        <w:t>،</w:t>
      </w:r>
      <w:r w:rsidRPr="005675B2">
        <w:rPr>
          <w:rFonts w:hint="cs"/>
          <w:rtl/>
        </w:rPr>
        <w:t xml:space="preserve"> قال ابن الهمام</w:t>
      </w:r>
      <w:r w:rsidR="000636C2">
        <w:rPr>
          <w:rFonts w:hint="cs"/>
          <w:rtl/>
        </w:rPr>
        <w:t>:</w:t>
      </w:r>
      <w:r w:rsidRPr="005675B2">
        <w:rPr>
          <w:rFonts w:hint="cs"/>
          <w:rtl/>
        </w:rPr>
        <w:t xml:space="preserve"> </w:t>
      </w:r>
      <w:r w:rsidR="000636C2">
        <w:rPr>
          <w:rFonts w:hint="cs"/>
          <w:rtl/>
        </w:rPr>
        <w:t>(</w:t>
      </w:r>
      <w:r w:rsidRPr="005675B2">
        <w:rPr>
          <w:rFonts w:hint="cs"/>
          <w:rtl/>
        </w:rPr>
        <w:t>الأصل الخامس</w:t>
      </w:r>
      <w:r w:rsidR="000636C2">
        <w:rPr>
          <w:rFonts w:hint="cs"/>
          <w:rtl/>
        </w:rPr>
        <w:t>:</w:t>
      </w:r>
      <w:r w:rsidRPr="005675B2">
        <w:rPr>
          <w:rFonts w:hint="cs"/>
          <w:rtl/>
        </w:rPr>
        <w:t xml:space="preserve"> أنه تعالى ليس بجسم .. فإن سماه أحد جسما وقال</w:t>
      </w:r>
      <w:r w:rsidR="000636C2">
        <w:rPr>
          <w:rFonts w:hint="cs"/>
          <w:rtl/>
        </w:rPr>
        <w:t>:</w:t>
      </w:r>
      <w:r w:rsidRPr="005675B2">
        <w:rPr>
          <w:rFonts w:hint="cs"/>
          <w:rtl/>
        </w:rPr>
        <w:t xml:space="preserve"> لا كالأجسام يعنى في نفي لوازم الجسمية، فإنما خطئوه في إطلاق الاسم .. فمن أطلقه فهو عاص</w:t>
      </w:r>
      <w:r w:rsidR="000636C2">
        <w:rPr>
          <w:rFonts w:hint="cs"/>
          <w:rtl/>
        </w:rPr>
        <w:t>)</w:t>
      </w:r>
      <w:r w:rsidRPr="005675B2">
        <w:rPr>
          <w:rFonts w:hint="cs"/>
          <w:rtl/>
        </w:rPr>
        <w:t xml:space="preserve"> [</w:t>
      </w:r>
      <w:r w:rsidRPr="005675B2">
        <w:rPr>
          <w:rFonts w:hint="cs"/>
          <w:sz w:val="24"/>
          <w:szCs w:val="24"/>
          <w:rtl/>
          <w:lang w:val="en-GB"/>
        </w:rPr>
        <w:t>المسايرة مع شرحها المسامرة 29</w:t>
      </w:r>
      <w:r w:rsidRPr="005675B2">
        <w:rPr>
          <w:rFonts w:hint="cs"/>
          <w:sz w:val="24"/>
          <w:szCs w:val="24"/>
          <w:rtl/>
        </w:rPr>
        <w:t>]</w:t>
      </w:r>
      <w:r w:rsidRPr="005675B2">
        <w:rPr>
          <w:rFonts w:hint="cs"/>
          <w:rtl/>
        </w:rPr>
        <w:t xml:space="preserve"> وقال القاضي عضد الدين الإيجي</w:t>
      </w:r>
      <w:r w:rsidR="000636C2">
        <w:rPr>
          <w:rFonts w:hint="cs"/>
          <w:rtl/>
        </w:rPr>
        <w:t>:</w:t>
      </w:r>
      <w:r w:rsidRPr="005675B2">
        <w:rPr>
          <w:rFonts w:hint="cs"/>
          <w:rtl/>
        </w:rPr>
        <w:t xml:space="preserve"> </w:t>
      </w:r>
      <w:r w:rsidR="000636C2">
        <w:rPr>
          <w:rFonts w:hint="cs"/>
          <w:rtl/>
        </w:rPr>
        <w:t>(</w:t>
      </w:r>
      <w:r w:rsidRPr="005675B2">
        <w:rPr>
          <w:rFonts w:hint="cs"/>
          <w:rtl/>
        </w:rPr>
        <w:t>ولا نكفر أحدا من أهل القبلة إلا بما فيه نفي الصانع القادر المختار العليم، أو بما فيه شرك، أو إنكار النبوة، أو إنكار ما علم مجيء محمد صلى الله تعالى عليه وآله وسلم به ضرورة، أو إنكار أمر مجمع عليه قطعا، أو استحلال المحرمات، وأما غير ذلك فالقائل به مبتدع وليس بكافر</w:t>
      </w:r>
      <w:r w:rsidR="000636C2">
        <w:rPr>
          <w:rFonts w:hint="cs"/>
          <w:rtl/>
        </w:rPr>
        <w:t>،</w:t>
      </w:r>
      <w:r w:rsidRPr="005675B2">
        <w:rPr>
          <w:rFonts w:hint="cs"/>
          <w:rtl/>
        </w:rPr>
        <w:t xml:space="preserve"> ومنه التجسيم</w:t>
      </w:r>
      <w:r w:rsidR="000636C2">
        <w:rPr>
          <w:rFonts w:hint="cs"/>
          <w:rtl/>
        </w:rPr>
        <w:t>)</w:t>
      </w:r>
      <w:r w:rsidRPr="005675B2">
        <w:rPr>
          <w:rFonts w:hint="cs"/>
          <w:rtl/>
        </w:rPr>
        <w:t xml:space="preserve"> وقال الشارح جلال الدين الدواني</w:t>
      </w:r>
      <w:r w:rsidR="000636C2">
        <w:rPr>
          <w:rFonts w:hint="cs"/>
          <w:rtl/>
        </w:rPr>
        <w:t>:</w:t>
      </w:r>
      <w:r w:rsidRPr="005675B2">
        <w:rPr>
          <w:rFonts w:hint="cs"/>
          <w:rtl/>
        </w:rPr>
        <w:t xml:space="preserve"> </w:t>
      </w:r>
      <w:r w:rsidR="000636C2">
        <w:rPr>
          <w:rFonts w:hint="cs"/>
          <w:rtl/>
        </w:rPr>
        <w:t>(</w:t>
      </w:r>
      <w:r w:rsidRPr="005675B2">
        <w:rPr>
          <w:rFonts w:hint="cs"/>
          <w:rtl/>
        </w:rPr>
        <w:t>التجسيم مع البلكفة غير مكفر، بخلاف التجسيم مع غير البلكفة</w:t>
      </w:r>
      <w:r w:rsidR="000636C2">
        <w:rPr>
          <w:rFonts w:hint="cs"/>
          <w:rtl/>
        </w:rPr>
        <w:t>)</w:t>
      </w:r>
      <w:r w:rsidRPr="005675B2">
        <w:rPr>
          <w:rFonts w:hint="cs"/>
          <w:rtl/>
        </w:rPr>
        <w:t xml:space="preserve"> [</w:t>
      </w:r>
      <w:r w:rsidRPr="005675B2">
        <w:rPr>
          <w:rFonts w:hint="cs"/>
          <w:sz w:val="24"/>
          <w:szCs w:val="24"/>
          <w:rtl/>
          <w:lang w:val="en-GB"/>
        </w:rPr>
        <w:t>شرح العقائد العضدية للجلال الدواني 2/291-293</w:t>
      </w:r>
      <w:r w:rsidRPr="005675B2">
        <w:rPr>
          <w:rFonts w:hint="cs"/>
          <w:sz w:val="24"/>
          <w:szCs w:val="24"/>
          <w:rtl/>
        </w:rPr>
        <w:t>]</w:t>
      </w:r>
      <w:r w:rsidRPr="005675B2">
        <w:rPr>
          <w:rFonts w:hint="cs"/>
          <w:rtl/>
        </w:rPr>
        <w:t xml:space="preserve"> ومعنى البلكفة أن يقول القائل</w:t>
      </w:r>
      <w:r w:rsidR="000636C2">
        <w:rPr>
          <w:rFonts w:hint="cs"/>
          <w:rtl/>
        </w:rPr>
        <w:t>:</w:t>
      </w:r>
      <w:r w:rsidRPr="005675B2">
        <w:rPr>
          <w:rFonts w:hint="cs"/>
          <w:rtl/>
        </w:rPr>
        <w:t xml:space="preserve"> جسم بلا كيف، أي لا كالأجسام</w:t>
      </w:r>
      <w:r w:rsidR="000636C2">
        <w:rPr>
          <w:rFonts w:hint="cs"/>
          <w:rtl/>
        </w:rPr>
        <w:t>،</w:t>
      </w:r>
    </w:p>
    <w:p w14:paraId="20473497" w14:textId="002DED62" w:rsidR="009C32A0" w:rsidRPr="005675B2" w:rsidRDefault="009C32A0" w:rsidP="000636C2">
      <w:pPr>
        <w:rPr>
          <w:b/>
          <w:rtl/>
        </w:rPr>
      </w:pPr>
      <w:r w:rsidRPr="005675B2">
        <w:rPr>
          <w:rFonts w:hint="cs"/>
          <w:rtl/>
        </w:rPr>
        <w:t>الخطأ السابع</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وأما تكفير من لايستحق حتى مجرد الفسق أو المعصية فكما مر في الفقرة السابقة من تكفيرهم من قال</w:t>
      </w:r>
      <w:r w:rsidR="000636C2">
        <w:rPr>
          <w:rFonts w:hint="cs"/>
          <w:rtl/>
        </w:rPr>
        <w:t>:</w:t>
      </w:r>
      <w:r w:rsidRPr="005675B2">
        <w:rPr>
          <w:rFonts w:hint="cs"/>
          <w:rtl/>
        </w:rPr>
        <w:t xml:space="preserve"> إن النار علة الإحراق، والطعام علة الشبع</w:t>
      </w:r>
      <w:r w:rsidR="000636C2">
        <w:rPr>
          <w:rFonts w:hint="cs"/>
          <w:rtl/>
        </w:rPr>
        <w:t>)</w:t>
      </w:r>
    </w:p>
    <w:p w14:paraId="66B9564D" w14:textId="647DA661"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الأشاعرة لم يكفروا من قال</w:t>
      </w:r>
      <w:r w:rsidR="000636C2">
        <w:rPr>
          <w:rFonts w:hint="cs"/>
          <w:rtl/>
        </w:rPr>
        <w:t>:</w:t>
      </w:r>
      <w:r w:rsidRPr="005675B2">
        <w:rPr>
          <w:rFonts w:hint="cs"/>
          <w:rtl/>
        </w:rPr>
        <w:t xml:space="preserve"> إن النار علة عادية أو سبب عادي للإحراق، بل هم قائلون بذلك، وإنما يكفرون من قال</w:t>
      </w:r>
      <w:r w:rsidR="000636C2">
        <w:rPr>
          <w:rFonts w:hint="cs"/>
          <w:rtl/>
        </w:rPr>
        <w:t>:</w:t>
      </w:r>
      <w:r w:rsidRPr="005675B2">
        <w:rPr>
          <w:rFonts w:hint="cs"/>
          <w:rtl/>
        </w:rPr>
        <w:t xml:space="preserve"> إن النار علة حقيقية للإحراق بمعنى أن النار تحرق بطبعها لا يستطيع الله تعالى سلب وصف الإحراق عنها كما هو مذهب الفلاسفة، ولعل الدكتور لا يخالف الأشاعرة في هذا</w:t>
      </w:r>
      <w:r w:rsidR="000636C2">
        <w:rPr>
          <w:rFonts w:hint="cs"/>
          <w:rtl/>
        </w:rPr>
        <w:t>،</w:t>
      </w:r>
      <w:r w:rsidRPr="005675B2">
        <w:rPr>
          <w:rFonts w:hint="cs"/>
          <w:rtl/>
        </w:rPr>
        <w:t xml:space="preserve"> فإن فيه إثبات التأثير الحقيقي لغير الله تعالى، كما أنه يقتضي تحديد قدرة الله تعالى</w:t>
      </w:r>
      <w:r w:rsidR="000636C2">
        <w:rPr>
          <w:rFonts w:hint="cs"/>
          <w:rtl/>
        </w:rPr>
        <w:t>،</w:t>
      </w:r>
    </w:p>
    <w:p w14:paraId="6F30B2D1" w14:textId="64BF914C" w:rsidR="009C32A0" w:rsidRPr="005675B2" w:rsidRDefault="009C32A0" w:rsidP="000636C2">
      <w:pPr>
        <w:rPr>
          <w:b/>
          <w:rtl/>
        </w:rPr>
      </w:pPr>
      <w:r w:rsidRPr="005675B2">
        <w:rPr>
          <w:rFonts w:hint="cs"/>
          <w:rtl/>
        </w:rPr>
        <w:t>الخطأ الثامن والتاسع والعاشر والحادي عشر</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وأما التكفير بما هو حق في نفسه، يجب إعتقاده، فنحو تكفيرهم لمن يثبت العلو، ومن لا يؤمن بالله على طريقة أهل الكلام، وقولهم</w:t>
      </w:r>
      <w:r w:rsidR="000636C2">
        <w:rPr>
          <w:rFonts w:hint="cs"/>
          <w:rtl/>
        </w:rPr>
        <w:t>:</w:t>
      </w:r>
      <w:r w:rsidRPr="005675B2">
        <w:rPr>
          <w:rFonts w:hint="cs"/>
          <w:rtl/>
        </w:rPr>
        <w:t xml:space="preserve"> إن الأخذ بظواهر النصوص من أصول الكفر، وقولهم</w:t>
      </w:r>
      <w:r w:rsidR="000636C2">
        <w:rPr>
          <w:rFonts w:hint="cs"/>
          <w:rtl/>
        </w:rPr>
        <w:t>:</w:t>
      </w:r>
      <w:r w:rsidRPr="005675B2">
        <w:rPr>
          <w:rFonts w:hint="cs"/>
          <w:rtl/>
        </w:rPr>
        <w:t xml:space="preserve"> إن عبادة الأصنام فرع من مذهب المشبهة، ويعنون بهم أهل السنة والجماعة</w:t>
      </w:r>
      <w:r w:rsidR="000636C2">
        <w:rPr>
          <w:rFonts w:hint="cs"/>
          <w:rtl/>
        </w:rPr>
        <w:t>)</w:t>
      </w:r>
    </w:p>
    <w:p w14:paraId="3A48FCE1" w14:textId="476F6169" w:rsidR="009C32A0" w:rsidRPr="005675B2" w:rsidRDefault="009C32A0" w:rsidP="000636C2">
      <w:pPr>
        <w:rPr>
          <w:b/>
          <w:rtl/>
        </w:rPr>
      </w:pPr>
      <w:r w:rsidRPr="005675B2">
        <w:rPr>
          <w:rFonts w:hint="cs"/>
          <w:rtl/>
        </w:rPr>
        <w:t xml:space="preserve">فأقول </w:t>
      </w:r>
      <w:r w:rsidR="000636C2">
        <w:rPr>
          <w:rFonts w:hint="cs"/>
          <w:rtl/>
        </w:rPr>
        <w:t>(</w:t>
      </w:r>
      <w:r>
        <w:rPr>
          <w:rFonts w:hint="cs"/>
          <w:rtl/>
        </w:rPr>
        <w:t>أولا</w:t>
      </w:r>
      <w:r w:rsidR="000636C2">
        <w:rPr>
          <w:rFonts w:hint="cs"/>
          <w:rtl/>
        </w:rPr>
        <w:t>):</w:t>
      </w:r>
      <w:r w:rsidRPr="005675B2">
        <w:rPr>
          <w:rFonts w:hint="cs"/>
          <w:rtl/>
        </w:rPr>
        <w:t xml:space="preserve"> إن الأشاعرة يثبتون العلو لله تعالى بالمعنى الذي أراده، أو بمعنى علو المكانة، لا بمعنى علو المكان والجهة، ثم إنهم مع نفيهم عن الله تعالى علو المكان والجهة لا يكفرون القائلين بالجهة، بل يكفرون المجسمة إذا قالوا</w:t>
      </w:r>
      <w:r w:rsidR="000636C2">
        <w:rPr>
          <w:rFonts w:hint="cs"/>
          <w:rtl/>
        </w:rPr>
        <w:t>:</w:t>
      </w:r>
      <w:r w:rsidRPr="005675B2">
        <w:rPr>
          <w:rFonts w:hint="cs"/>
          <w:rtl/>
        </w:rPr>
        <w:t xml:space="preserve"> جسم كالأجسام، وأظن أن الدكتور لا يخالفهم في هذا</w:t>
      </w:r>
      <w:r w:rsidR="000636C2">
        <w:rPr>
          <w:rFonts w:hint="cs"/>
          <w:rtl/>
        </w:rPr>
        <w:t>،</w:t>
      </w:r>
    </w:p>
    <w:p w14:paraId="1D1A0E72" w14:textId="520A943A" w:rsidR="009C32A0" w:rsidRPr="005675B2" w:rsidRDefault="009C32A0" w:rsidP="000636C2">
      <w:pPr>
        <w:rPr>
          <w:b/>
          <w:rtl/>
        </w:rPr>
      </w:pPr>
      <w:r w:rsidRPr="005675B2">
        <w:rPr>
          <w:rFonts w:hint="cs"/>
          <w:rtl/>
        </w:rPr>
        <w:t>وثانيا</w:t>
      </w:r>
      <w:r w:rsidR="000636C2">
        <w:rPr>
          <w:rFonts w:hint="cs"/>
          <w:rtl/>
        </w:rPr>
        <w:t>:</w:t>
      </w:r>
      <w:r w:rsidRPr="005675B2">
        <w:rPr>
          <w:rFonts w:hint="cs"/>
          <w:rtl/>
        </w:rPr>
        <w:t xml:space="preserve"> إن أحدا من الأشاعرة لم يكفر من لم يؤمن بالله على طريقة أهل الكلام فضلا عن أن يكفره كلهم كما يفيده كلام الدكتور، وهلا ذكر الدكتور من كفره منهم ونقل كلامه</w:t>
      </w:r>
      <w:r w:rsidR="000636C2">
        <w:rPr>
          <w:rFonts w:hint="cs"/>
          <w:rtl/>
        </w:rPr>
        <w:t>؟!</w:t>
      </w:r>
      <w:r w:rsidRPr="005675B2">
        <w:rPr>
          <w:rFonts w:hint="cs"/>
          <w:rtl/>
        </w:rPr>
        <w:t xml:space="preserve"> بل الأشاعرة مجمعون على صحة إيمان المقلد غير المستدل، والذين قالوا بوجوب الإستدلال لم يعدوا الإستدلال شرطا لصحة الإيمان، بل أرادوا أن غير المستدل آثم، ولم يشترط أحد منهم أن يكون الإستدلال على طريقة علماء الكلام، بل قالوا بكفاية الدليل الإجمالي الذي ينقدح في القلب، ولم يستطع صاحبه تقريره، وقد مر بيان هذه المسألة</w:t>
      </w:r>
      <w:r w:rsidR="000636C2">
        <w:rPr>
          <w:rFonts w:hint="cs"/>
          <w:rtl/>
        </w:rPr>
        <w:t>،</w:t>
      </w:r>
    </w:p>
    <w:p w14:paraId="0BA8E291" w14:textId="21910136" w:rsidR="009C32A0" w:rsidRPr="005675B2" w:rsidRDefault="009C32A0" w:rsidP="000636C2">
      <w:pPr>
        <w:rPr>
          <w:b/>
          <w:rtl/>
        </w:rPr>
      </w:pPr>
      <w:r w:rsidRPr="005675B2">
        <w:rPr>
          <w:rFonts w:hint="cs"/>
          <w:rtl/>
        </w:rPr>
        <w:t>وثالثا</w:t>
      </w:r>
      <w:r w:rsidR="000636C2">
        <w:rPr>
          <w:rFonts w:hint="cs"/>
          <w:rtl/>
        </w:rPr>
        <w:t>:</w:t>
      </w:r>
      <w:r w:rsidRPr="005675B2">
        <w:rPr>
          <w:rFonts w:hint="cs"/>
          <w:rtl/>
        </w:rPr>
        <w:t xml:space="preserve"> إنهم لم يقولو</w:t>
      </w:r>
      <w:r w:rsidR="000636C2">
        <w:rPr>
          <w:rFonts w:hint="cs"/>
          <w:rtl/>
        </w:rPr>
        <w:t>:</w:t>
      </w:r>
      <w:r w:rsidRPr="005675B2">
        <w:rPr>
          <w:rFonts w:hint="cs"/>
          <w:rtl/>
        </w:rPr>
        <w:t xml:space="preserve"> إن الأخذ بظواهر النصوص من أصول الكفر، بل قالوا</w:t>
      </w:r>
      <w:r w:rsidR="000636C2">
        <w:rPr>
          <w:rFonts w:hint="cs"/>
          <w:rtl/>
        </w:rPr>
        <w:t>:</w:t>
      </w:r>
      <w:r w:rsidRPr="005675B2">
        <w:rPr>
          <w:rFonts w:hint="cs"/>
          <w:rtl/>
        </w:rPr>
        <w:t xml:space="preserve"> إن الأخذ بظواهر بعض النصوص من أصول الكفر وكم من فرق بين التعبيرين</w:t>
      </w:r>
      <w:r w:rsidR="000636C2">
        <w:rPr>
          <w:rFonts w:hint="cs"/>
          <w:rtl/>
        </w:rPr>
        <w:t>،</w:t>
      </w:r>
      <w:r w:rsidRPr="005675B2">
        <w:rPr>
          <w:rFonts w:hint="cs"/>
          <w:rtl/>
        </w:rPr>
        <w:t xml:space="preserve"> وقد تكلمنا على هذا فيما تقدم بما فيه الكفاية</w:t>
      </w:r>
      <w:r w:rsidR="000636C2">
        <w:rPr>
          <w:rFonts w:hint="cs"/>
          <w:rtl/>
        </w:rPr>
        <w:t>،</w:t>
      </w:r>
    </w:p>
    <w:p w14:paraId="69087C29" w14:textId="2BA47078" w:rsidR="009C32A0" w:rsidRPr="005675B2" w:rsidRDefault="009C32A0" w:rsidP="000636C2">
      <w:pPr>
        <w:rPr>
          <w:b/>
          <w:rtl/>
        </w:rPr>
      </w:pPr>
      <w:r w:rsidRPr="005675B2">
        <w:rPr>
          <w:rFonts w:hint="cs"/>
          <w:rtl/>
        </w:rPr>
        <w:t>ورابعا</w:t>
      </w:r>
      <w:r w:rsidR="000636C2">
        <w:rPr>
          <w:rFonts w:hint="cs"/>
          <w:rtl/>
        </w:rPr>
        <w:t>:</w:t>
      </w:r>
      <w:r w:rsidRPr="005675B2">
        <w:rPr>
          <w:rFonts w:hint="cs"/>
          <w:rtl/>
        </w:rPr>
        <w:t xml:space="preserve"> إن قول الأشاعرة بل قول بعضهم</w:t>
      </w:r>
      <w:r w:rsidR="000636C2">
        <w:rPr>
          <w:rFonts w:hint="cs"/>
          <w:rtl/>
        </w:rPr>
        <w:t>:</w:t>
      </w:r>
      <w:r w:rsidRPr="005675B2">
        <w:rPr>
          <w:rFonts w:hint="cs"/>
          <w:rtl/>
        </w:rPr>
        <w:t xml:space="preserve"> إن عبادة الأصنام فرع من مذهب المشبهة، قصدوا بالمشبهة المجسمة القائلون</w:t>
      </w:r>
      <w:r w:rsidR="000636C2">
        <w:rPr>
          <w:rFonts w:hint="cs"/>
          <w:rtl/>
        </w:rPr>
        <w:t>:</w:t>
      </w:r>
      <w:r w:rsidRPr="005675B2">
        <w:rPr>
          <w:rFonts w:hint="cs"/>
          <w:rtl/>
        </w:rPr>
        <w:t xml:space="preserve"> إنه تعالى جسم كالأجسام، وأثبتوا له لوازم الجسمية فالقائل بهذا إنما يعبد صنما، ولا يعبد الله الذي ليس كمثله شيئ، ولعل الدكتور يوافق الأشاعرة على هذا، ويوافقهم عليه من عناهم الدكتور بأهل السنة والجماعة</w:t>
      </w:r>
      <w:r w:rsidR="000636C2">
        <w:rPr>
          <w:rFonts w:hint="cs"/>
          <w:rtl/>
        </w:rPr>
        <w:t>،</w:t>
      </w:r>
    </w:p>
    <w:p w14:paraId="05902689" w14:textId="361E5CA9" w:rsidR="009C32A0" w:rsidRPr="005675B2" w:rsidRDefault="009C32A0" w:rsidP="000636C2">
      <w:pPr>
        <w:rPr>
          <w:b/>
          <w:rtl/>
        </w:rPr>
      </w:pPr>
      <w:r w:rsidRPr="005675B2">
        <w:rPr>
          <w:rFonts w:hint="cs"/>
          <w:rtl/>
        </w:rPr>
        <w:t>قال الدكتور</w:t>
      </w:r>
      <w:r w:rsidR="000636C2">
        <w:rPr>
          <w:rFonts w:hint="cs"/>
          <w:rtl/>
        </w:rPr>
        <w:t>:</w:t>
      </w:r>
      <w:r w:rsidRPr="005675B2">
        <w:rPr>
          <w:rFonts w:hint="cs"/>
          <w:rtl/>
        </w:rPr>
        <w:t xml:space="preserve"> " الرابع عشر</w:t>
      </w:r>
      <w:r w:rsidR="000636C2">
        <w:rPr>
          <w:rFonts w:hint="cs"/>
          <w:rtl/>
        </w:rPr>
        <w:t>:</w:t>
      </w:r>
      <w:r w:rsidRPr="005675B2">
        <w:rPr>
          <w:rFonts w:hint="cs"/>
          <w:rtl/>
        </w:rPr>
        <w:t xml:space="preserve"> الصحابة والإمامة</w:t>
      </w:r>
      <w:r w:rsidR="000636C2">
        <w:rPr>
          <w:rFonts w:hint="cs"/>
          <w:rtl/>
        </w:rPr>
        <w:t>:</w:t>
      </w:r>
    </w:p>
    <w:p w14:paraId="06230FFE" w14:textId="591F0402" w:rsidR="009C32A0" w:rsidRPr="005675B2" w:rsidRDefault="009C32A0" w:rsidP="000636C2">
      <w:pPr>
        <w:rPr>
          <w:b/>
          <w:rtl/>
        </w:rPr>
      </w:pPr>
      <w:r w:rsidRPr="005675B2">
        <w:rPr>
          <w:rFonts w:hint="cs"/>
          <w:rtl/>
        </w:rPr>
        <w:t>من خلال استعراضي لأكثر أمهات كتب الأشاعرة وجدت أن موضوع الصحابة هو الموضوع الوحيد الذي يتفقون فيه مع أهل السنة والجماعة، وقريب منه موضوع الإمامة، ولا يعنى هذا الإتفاق التام، بل هم يخالفون في تفصيلات كثيرة "</w:t>
      </w:r>
      <w:r w:rsidR="000636C2">
        <w:rPr>
          <w:rFonts w:hint="cs"/>
          <w:rtl/>
        </w:rPr>
        <w:t>،</w:t>
      </w:r>
    </w:p>
    <w:p w14:paraId="0A293BEC" w14:textId="09BEF171"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نعم قد نظر الدكتور في مجموعة كبيرة من كتب الأشاعرة نظرات، ولكنه</w:t>
      </w:r>
      <w:r w:rsidR="000636C2">
        <w:rPr>
          <w:rFonts w:hint="cs"/>
          <w:rtl/>
        </w:rPr>
        <w:t xml:space="preserve"> </w:t>
      </w:r>
      <w:r w:rsidRPr="005675B2">
        <w:rPr>
          <w:rFonts w:hint="cs"/>
          <w:rtl/>
        </w:rPr>
        <w:t>- للأسف الشديد - لم يفهم كلامهم، لأنه لم يدرس شيئا من هذه الكتب على أحد من العارفين بمذهب الأشاعرة، وكلامهم دقيق يعلو عن فهمه، فمن أجل ذلك تورط في مآت الأخطاء الجسيمة في هذه الصفحات المعدودة من هذا الكتيب</w:t>
      </w:r>
      <w:r w:rsidR="000636C2">
        <w:rPr>
          <w:rFonts w:hint="cs"/>
          <w:rtl/>
        </w:rPr>
        <w:t>،</w:t>
      </w:r>
    </w:p>
    <w:p w14:paraId="6AEC8C7F" w14:textId="32881745" w:rsidR="009C32A0" w:rsidRPr="005675B2" w:rsidRDefault="009C32A0" w:rsidP="000636C2">
      <w:pPr>
        <w:rPr>
          <w:b/>
          <w:rtl/>
        </w:rPr>
      </w:pPr>
      <w:r w:rsidRPr="005675B2">
        <w:rPr>
          <w:rFonts w:hint="cs"/>
          <w:rtl/>
        </w:rPr>
        <w:t>وكم من عائب قولا صيحا</w:t>
      </w:r>
      <w:r w:rsidR="000636C2">
        <w:rPr>
          <w:rFonts w:hint="cs"/>
          <w:rtl/>
        </w:rPr>
        <w:t>::</w:t>
      </w:r>
      <w:r w:rsidRPr="005675B2">
        <w:rPr>
          <w:rFonts w:hint="cs"/>
          <w:rtl/>
        </w:rPr>
        <w:t xml:space="preserve"> وآفته من الفهم السقيم</w:t>
      </w:r>
    </w:p>
    <w:p w14:paraId="0FD6D415" w14:textId="4ADD2922" w:rsidR="009C32A0" w:rsidRPr="005675B2" w:rsidRDefault="009C32A0" w:rsidP="000636C2">
      <w:pPr>
        <w:rPr>
          <w:b/>
          <w:rtl/>
        </w:rPr>
      </w:pPr>
      <w:r w:rsidRPr="005675B2">
        <w:rPr>
          <w:rFonts w:hint="cs"/>
          <w:rtl/>
        </w:rPr>
        <w:t>ثم إن الدكتور لم يذكر شيئا من التفصيلات التى خالف فيها الأشاعرة من سماههم بأهل السنة حتى يتبين صدقه فيما ادعاه</w:t>
      </w:r>
      <w:r w:rsidR="000636C2">
        <w:rPr>
          <w:rFonts w:hint="cs"/>
          <w:rtl/>
        </w:rPr>
        <w:t>!</w:t>
      </w:r>
      <w:r w:rsidRPr="005675B2">
        <w:rPr>
          <w:rFonts w:hint="cs"/>
          <w:rtl/>
        </w:rPr>
        <w:t>! وحتى يتسنى لنا الكلام عليها كما تكلمنا على دعاويه المتقدمة</w:t>
      </w:r>
      <w:r w:rsidR="000636C2">
        <w:rPr>
          <w:rFonts w:hint="cs"/>
          <w:rtl/>
        </w:rPr>
        <w:t>،</w:t>
      </w:r>
    </w:p>
    <w:p w14:paraId="3F92EB7E" w14:textId="53C49BD9" w:rsidR="009C32A0" w:rsidRPr="005675B2" w:rsidRDefault="009C32A0" w:rsidP="000636C2">
      <w:pPr>
        <w:rPr>
          <w:b/>
          <w:rtl/>
        </w:rPr>
      </w:pPr>
      <w:r w:rsidRPr="005675B2">
        <w:rPr>
          <w:rFonts w:hint="cs"/>
          <w:rtl/>
        </w:rPr>
        <w:t>قال الدكتور</w:t>
      </w:r>
      <w:r w:rsidR="000636C2">
        <w:rPr>
          <w:rFonts w:hint="cs"/>
          <w:rtl/>
        </w:rPr>
        <w:t>:</w:t>
      </w:r>
      <w:r w:rsidRPr="005675B2">
        <w:rPr>
          <w:rFonts w:hint="cs"/>
          <w:rtl/>
        </w:rPr>
        <w:t xml:space="preserve"> " الخامس عشر الصفات</w:t>
      </w:r>
      <w:r w:rsidR="000636C2">
        <w:rPr>
          <w:rFonts w:hint="cs"/>
          <w:rtl/>
        </w:rPr>
        <w:t>:</w:t>
      </w:r>
    </w:p>
    <w:p w14:paraId="02610DA7" w14:textId="444599A2" w:rsidR="009C32A0" w:rsidRPr="005675B2" w:rsidRDefault="009C32A0" w:rsidP="000636C2">
      <w:pPr>
        <w:rPr>
          <w:b/>
          <w:rtl/>
        </w:rPr>
      </w:pPr>
      <w:r w:rsidRPr="005675B2">
        <w:rPr>
          <w:rFonts w:hint="cs"/>
          <w:rtl/>
        </w:rPr>
        <w:t>والحديث عنها يطول، وتناقضهم وتحكمهم فيها أشهر وأكثر، وكل مذهبهم في الصفات مركب من بدع سابقة، وأضافوا إليها بدعا أحدثوها، فأصبح غاية في التلفيق المتنافر "</w:t>
      </w:r>
      <w:r w:rsidR="000636C2">
        <w:rPr>
          <w:rFonts w:hint="cs"/>
          <w:rtl/>
        </w:rPr>
        <w:t>،</w:t>
      </w:r>
    </w:p>
    <w:p w14:paraId="60558114" w14:textId="4706754B"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من أسهل الأمور اكتيال التهم للمخالفين، وأما إثباتها والإتيان بالبينة عليها فمن الصعوبة بمكان</w:t>
      </w:r>
      <w:r w:rsidR="000636C2">
        <w:rPr>
          <w:rFonts w:hint="cs"/>
          <w:rtl/>
        </w:rPr>
        <w:t>،</w:t>
      </w:r>
      <w:r w:rsidRPr="005675B2">
        <w:rPr>
          <w:rFonts w:hint="cs"/>
          <w:rtl/>
        </w:rPr>
        <w:t xml:space="preserve"> وهلا ذكر الدكتور مثالا واحدا لإثبات ما ادعاه من التناقض والتلفيق والتنافر</w:t>
      </w:r>
      <w:r w:rsidR="000636C2">
        <w:rPr>
          <w:rFonts w:hint="cs"/>
          <w:rtl/>
        </w:rPr>
        <w:t>،</w:t>
      </w:r>
      <w:r w:rsidRPr="005675B2">
        <w:rPr>
          <w:rFonts w:hint="cs"/>
          <w:rtl/>
        </w:rPr>
        <w:t xml:space="preserve"> ولو أعطي الناس بدعواهم لادعى ناس دماء أقوام وأموالهم، ولكن البينة على المدعي</w:t>
      </w:r>
      <w:r w:rsidR="000636C2">
        <w:rPr>
          <w:rFonts w:hint="cs"/>
          <w:rtl/>
        </w:rPr>
        <w:t>،</w:t>
      </w:r>
    </w:p>
    <w:p w14:paraId="4B45CC10" w14:textId="6E8EDB61" w:rsidR="009C32A0" w:rsidRPr="005675B2" w:rsidRDefault="009C32A0" w:rsidP="000636C2">
      <w:pPr>
        <w:rPr>
          <w:b/>
          <w:rtl/>
        </w:rPr>
      </w:pPr>
      <w:r w:rsidRPr="005675B2">
        <w:rPr>
          <w:rFonts w:hint="cs"/>
          <w:rtl/>
        </w:rPr>
        <w:t>وقد تكلمنا على مسألة الصفات فيما تقدم بما فيه الكفاية</w:t>
      </w:r>
      <w:r w:rsidR="000636C2">
        <w:rPr>
          <w:rFonts w:hint="cs"/>
          <w:rtl/>
        </w:rPr>
        <w:t>،</w:t>
      </w:r>
    </w:p>
    <w:p w14:paraId="4FB24C97" w14:textId="77777777" w:rsidR="009C32A0" w:rsidRPr="005675B2" w:rsidRDefault="009C32A0" w:rsidP="000636C2">
      <w:pPr>
        <w:rPr>
          <w:b/>
          <w:rtl/>
        </w:rPr>
      </w:pPr>
    </w:p>
    <w:p w14:paraId="06312157" w14:textId="5C1FF978" w:rsidR="009C32A0" w:rsidRPr="005675B2" w:rsidRDefault="009C32A0" w:rsidP="000636C2">
      <w:pPr>
        <w:rPr>
          <w:b/>
          <w:rtl/>
        </w:rPr>
      </w:pPr>
      <w:r w:rsidRPr="005675B2">
        <w:rPr>
          <w:rFonts w:hint="cs"/>
          <w:rtl/>
        </w:rPr>
        <w:t>69 - دعوى الدكتور أن مذهب الأشاعرة متناقض</w:t>
      </w:r>
      <w:r w:rsidR="000636C2">
        <w:rPr>
          <w:rFonts w:hint="cs"/>
          <w:rtl/>
        </w:rPr>
        <w:t>:</w:t>
      </w:r>
    </w:p>
    <w:p w14:paraId="25D8A9F9" w14:textId="50CC3B33" w:rsidR="009C32A0" w:rsidRPr="005675B2" w:rsidRDefault="009C32A0" w:rsidP="000636C2">
      <w:pPr>
        <w:rPr>
          <w:b/>
          <w:rtl/>
        </w:rPr>
      </w:pPr>
      <w:r w:rsidRPr="005675B2">
        <w:rPr>
          <w:rFonts w:hint="cs"/>
          <w:rtl/>
        </w:rPr>
        <w:t>ثم قال الدكتور</w:t>
      </w:r>
      <w:r w:rsidR="000636C2">
        <w:rPr>
          <w:rFonts w:hint="cs"/>
          <w:rtl/>
        </w:rPr>
        <w:t>:</w:t>
      </w:r>
      <w:r w:rsidRPr="005675B2">
        <w:rPr>
          <w:rFonts w:hint="cs"/>
          <w:rtl/>
        </w:rPr>
        <w:t xml:space="preserve"> " هل بقي شك</w:t>
      </w:r>
      <w:r w:rsidR="000636C2">
        <w:rPr>
          <w:rFonts w:hint="cs"/>
          <w:rtl/>
        </w:rPr>
        <w:t>؟</w:t>
      </w:r>
    </w:p>
    <w:p w14:paraId="03FD851C" w14:textId="34A6C04D" w:rsidR="009C32A0" w:rsidRPr="005675B2" w:rsidRDefault="009C32A0" w:rsidP="000636C2">
      <w:pPr>
        <w:rPr>
          <w:b/>
          <w:rtl/>
        </w:rPr>
      </w:pPr>
      <w:r w:rsidRPr="005675B2">
        <w:rPr>
          <w:rFonts w:hint="cs"/>
          <w:rtl/>
        </w:rPr>
        <w:t>بعد هذه المخالفات المنهجية في أبواب العقيدة كلها، وبعد هذا التميز الفكري الواضح لمذهب الأشاعرة إضافة إلى التميز التاريخي، هل بقي شك في خروجهم عن مذهب أهل السنة والجماعة الذي هو مذهب السلف الصالح "</w:t>
      </w:r>
      <w:r w:rsidR="000636C2">
        <w:rPr>
          <w:rFonts w:hint="cs"/>
          <w:rtl/>
        </w:rPr>
        <w:t>،</w:t>
      </w:r>
    </w:p>
    <w:p w14:paraId="2FE839DF" w14:textId="0957E2FB"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ليس التسنن وعدمه بالدعاوي، ولا بكيل التهم للمخالفين، بل التسنن إنما هو بموافقته سنة رسول الله صلى الله تعالى عليه وآله وسلم، وعدم موافقتها</w:t>
      </w:r>
    </w:p>
    <w:p w14:paraId="7B00EA6A" w14:textId="3282B59A" w:rsidR="009C32A0" w:rsidRPr="005675B2" w:rsidRDefault="009C32A0" w:rsidP="000636C2">
      <w:pPr>
        <w:rPr>
          <w:b/>
          <w:rtl/>
        </w:rPr>
      </w:pPr>
      <w:r w:rsidRPr="005675B2">
        <w:rPr>
          <w:rFonts w:hint="cs"/>
          <w:rtl/>
        </w:rPr>
        <w:t>وكل يدعى وصلا بليلى</w:t>
      </w:r>
      <w:r w:rsidR="000636C2">
        <w:rPr>
          <w:rFonts w:hint="cs"/>
          <w:rtl/>
        </w:rPr>
        <w:t>::</w:t>
      </w:r>
      <w:r w:rsidRPr="005675B2">
        <w:rPr>
          <w:rFonts w:hint="cs"/>
          <w:rtl/>
        </w:rPr>
        <w:t xml:space="preserve"> وليلى لا تقر لهم بذاكا</w:t>
      </w:r>
    </w:p>
    <w:p w14:paraId="6D2DCC81" w14:textId="40F71BCF" w:rsidR="009C32A0" w:rsidRPr="005675B2" w:rsidRDefault="009C32A0" w:rsidP="000636C2">
      <w:pPr>
        <w:rPr>
          <w:b/>
          <w:rtl/>
        </w:rPr>
      </w:pPr>
      <w:r w:rsidRPr="005675B2">
        <w:rPr>
          <w:rFonts w:hint="cs"/>
          <w:rtl/>
        </w:rPr>
        <w:t>ومن أجل معرفة مدى موافقة مذهب الأشاعرة لسنة رسول الله صلى الله تعالى عليه وآله وسلم، ولما كان عليه السلف الصالح، أدعو طالب معرفة ذلك إلى قرائة تعليقاتنا هذه، ودراستها بإنصاف وحياد وتمعن</w:t>
      </w:r>
      <w:r w:rsidR="000636C2">
        <w:rPr>
          <w:rFonts w:hint="cs"/>
          <w:rtl/>
        </w:rPr>
        <w:t>،</w:t>
      </w:r>
    </w:p>
    <w:p w14:paraId="110B7591" w14:textId="77777777" w:rsidR="009C32A0" w:rsidRPr="005675B2" w:rsidRDefault="009C32A0" w:rsidP="000636C2">
      <w:pPr>
        <w:rPr>
          <w:b/>
          <w:rtl/>
        </w:rPr>
      </w:pPr>
    </w:p>
    <w:p w14:paraId="7FA9E329" w14:textId="77777777" w:rsidR="009C32A0" w:rsidRPr="005675B2" w:rsidRDefault="009C32A0" w:rsidP="000636C2">
      <w:pPr>
        <w:rPr>
          <w:b/>
          <w:rtl/>
        </w:rPr>
      </w:pPr>
      <w:r w:rsidRPr="005675B2">
        <w:rPr>
          <w:rFonts w:hint="cs"/>
          <w:rtl/>
        </w:rPr>
        <w:t>متممات للبحث</w:t>
      </w:r>
    </w:p>
    <w:p w14:paraId="337C9188" w14:textId="27DF9B00" w:rsidR="009C32A0" w:rsidRPr="005675B2" w:rsidRDefault="009C32A0" w:rsidP="000636C2">
      <w:pPr>
        <w:rPr>
          <w:b/>
          <w:rtl/>
        </w:rPr>
      </w:pPr>
      <w:r w:rsidRPr="005675B2">
        <w:rPr>
          <w:rFonts w:hint="cs"/>
          <w:rtl/>
        </w:rPr>
        <w:t>بعد أن انتهى الدكتور من المواضع الخمسة عشر التى وعد بإيرادها وبيان مخالفة مذهب الأشاعرة فيها لمذهب أهلة السنة والجماعة على حسب دعواه، بعد ذلك حاول الدكتور أن يثبت أن مذهب الأشاعرة -مع ما تقدم من مخالفته للسنة - متناقض في نفسه، ومكابر للعقل، ادعى الدكتور ذلك وحاول إثبات دعواه بإيراد أمثلة على ذلك، من هذه الأمثلة ما هو معاد، ومنها ما هو جديد</w:t>
      </w:r>
      <w:r w:rsidR="000636C2">
        <w:rPr>
          <w:rFonts w:hint="cs"/>
          <w:rtl/>
        </w:rPr>
        <w:t>،</w:t>
      </w:r>
      <w:r w:rsidRPr="005675B2">
        <w:rPr>
          <w:rFonts w:hint="cs"/>
          <w:rtl/>
        </w:rPr>
        <w:t xml:space="preserve"> أما المعاد فنكتفي بما تكلمنا عليه سابقا</w:t>
      </w:r>
      <w:r w:rsidR="000636C2">
        <w:rPr>
          <w:rFonts w:hint="cs"/>
          <w:rtl/>
        </w:rPr>
        <w:t>،</w:t>
      </w:r>
      <w:r w:rsidRPr="005675B2">
        <w:rPr>
          <w:rFonts w:hint="cs"/>
          <w:rtl/>
        </w:rPr>
        <w:t xml:space="preserve"> وأما الجديد فنتكلم عليه حتى يتضح مدى صحته وسقمه</w:t>
      </w:r>
      <w:r w:rsidR="000636C2">
        <w:rPr>
          <w:rFonts w:hint="cs"/>
          <w:rtl/>
        </w:rPr>
        <w:t>،</w:t>
      </w:r>
    </w:p>
    <w:p w14:paraId="4CE7EF23" w14:textId="77777777" w:rsidR="009C32A0" w:rsidRPr="005675B2" w:rsidRDefault="009C32A0" w:rsidP="000636C2">
      <w:pPr>
        <w:rPr>
          <w:b/>
          <w:rtl/>
        </w:rPr>
      </w:pPr>
      <w:r w:rsidRPr="005675B2">
        <w:rPr>
          <w:rFonts w:hint="cs"/>
          <w:rtl/>
        </w:rPr>
        <w:t>ادعى الدكتور هنا ثلاثة دعاوى 34</w:t>
      </w:r>
    </w:p>
    <w:p w14:paraId="78CDFEA8" w14:textId="4285EC6B" w:rsidR="009C32A0" w:rsidRPr="005675B2" w:rsidRDefault="009C32A0" w:rsidP="000636C2">
      <w:pPr>
        <w:rPr>
          <w:b/>
          <w:rtl/>
        </w:rPr>
      </w:pPr>
      <w:r w:rsidRPr="005675B2">
        <w:rPr>
          <w:rFonts w:hint="cs"/>
          <w:rtl/>
        </w:rPr>
        <w:t>{1 - ليس هناك مذهب أكثر تناقضا من مذهب الأشاعرة</w:t>
      </w:r>
      <w:r w:rsidR="000636C2">
        <w:rPr>
          <w:rFonts w:hint="cs"/>
          <w:rtl/>
        </w:rPr>
        <w:t>!،</w:t>
      </w:r>
    </w:p>
    <w:p w14:paraId="11AF7748" w14:textId="6C9FFD45" w:rsidR="009C32A0" w:rsidRPr="005675B2" w:rsidRDefault="009C32A0" w:rsidP="000636C2">
      <w:pPr>
        <w:rPr>
          <w:b/>
          <w:rtl/>
        </w:rPr>
      </w:pPr>
      <w:r w:rsidRPr="005675B2">
        <w:rPr>
          <w:rFonts w:hint="cs"/>
          <w:rtl/>
        </w:rPr>
        <w:t>2 - يدعون العقل ويحكمونه في النقل، ثم يتناقضون تناقضا يبرأ منه العقل</w:t>
      </w:r>
      <w:r w:rsidR="000636C2">
        <w:rPr>
          <w:rFonts w:hint="cs"/>
          <w:rtl/>
        </w:rPr>
        <w:t>!</w:t>
      </w:r>
      <w:r w:rsidRPr="005675B2">
        <w:rPr>
          <w:rFonts w:hint="cs"/>
          <w:rtl/>
        </w:rPr>
        <w:t xml:space="preserve"> "</w:t>
      </w:r>
      <w:r w:rsidR="000636C2">
        <w:rPr>
          <w:rFonts w:hint="cs"/>
          <w:rtl/>
        </w:rPr>
        <w:t>،</w:t>
      </w:r>
    </w:p>
    <w:p w14:paraId="137FCF90" w14:textId="1158C60B" w:rsidR="009C32A0" w:rsidRPr="005675B2" w:rsidRDefault="009C32A0" w:rsidP="000636C2">
      <w:pPr>
        <w:rPr>
          <w:b/>
          <w:rtl/>
        </w:rPr>
      </w:pPr>
      <w:r w:rsidRPr="005675B2">
        <w:rPr>
          <w:rFonts w:hint="cs"/>
          <w:rtl/>
        </w:rPr>
        <w:t>هاتان التهمتان من التهم التى يسهل كيلها للمخالفين، والدكتور قد كالها للأشاعرة بدون أن يأتي ببينة عليها</w:t>
      </w:r>
      <w:r w:rsidR="000636C2">
        <w:rPr>
          <w:rFonts w:hint="cs"/>
          <w:rtl/>
        </w:rPr>
        <w:t>!</w:t>
      </w:r>
    </w:p>
    <w:p w14:paraId="294A88F4" w14:textId="2CB70B1E" w:rsidR="009C32A0" w:rsidRPr="005675B2" w:rsidRDefault="009C32A0" w:rsidP="000636C2">
      <w:pPr>
        <w:rPr>
          <w:b/>
          <w:rtl/>
        </w:rPr>
      </w:pPr>
      <w:r w:rsidRPr="005675B2">
        <w:rPr>
          <w:rFonts w:hint="cs"/>
          <w:rtl/>
        </w:rPr>
        <w:t>نعم الذي يحاول أن يتعلم علما بدون أن يدرسه على مشايخه المتضلعين منه، ولا سيما إذا كان هذا العلم من أدق العلوم أو أدقها كعلم العقيدة على مذهب الأشاعرة، لا يستطيع هذا المحاول أن يتعلم ذلك العلم على وجهه ويفهمه لدقته وعلوه عن فهمه، فتتراء له فيه تناقضات كثيرة عجيبة، فإذا كان هذا المحاول من المعجبين بآرائهم، ولاسيما إذا كان عدوا لهذا العلم ولآصحابه، يتسرع هذا الباحث الصحفي المستور، فيحكم بفساد هذا العلم، لما احتوى عليه من هذه التناقضات، وهذا هو حال الدكتور سفر</w:t>
      </w:r>
      <w:r w:rsidR="000636C2">
        <w:rPr>
          <w:rFonts w:hint="cs"/>
          <w:rtl/>
        </w:rPr>
        <w:t>،</w:t>
      </w:r>
      <w:r w:rsidRPr="005675B2">
        <w:rPr>
          <w:rFonts w:hint="cs"/>
          <w:rtl/>
        </w:rPr>
        <w:t xml:space="preserve"> وفقنا الله وإياه إلى ما فيه خير الدنيا والأخري</w:t>
      </w:r>
      <w:r w:rsidR="000636C2">
        <w:rPr>
          <w:rFonts w:hint="cs"/>
          <w:rtl/>
        </w:rPr>
        <w:t>،</w:t>
      </w:r>
    </w:p>
    <w:p w14:paraId="2B74B09D" w14:textId="1218CFB3" w:rsidR="009C32A0" w:rsidRPr="005675B2" w:rsidRDefault="009C32A0" w:rsidP="000636C2">
      <w:pPr>
        <w:rPr>
          <w:b/>
          <w:rtl/>
        </w:rPr>
      </w:pPr>
      <w:r w:rsidRPr="005675B2">
        <w:rPr>
          <w:rFonts w:hint="cs"/>
          <w:rtl/>
        </w:rPr>
        <w:t>ثم حاول الدكتور إثبات هاتين الدعويين بدليل إجمالي، وهو في الحقيقة دعوى ثالثة ينقصها الدليل، ويعوزها الإثبات، بل تنقضها البينة، ويزيفها التثبت</w:t>
      </w:r>
      <w:r w:rsidR="000636C2">
        <w:rPr>
          <w:rFonts w:hint="cs"/>
          <w:rtl/>
        </w:rPr>
        <w:t>،</w:t>
      </w:r>
      <w:r w:rsidRPr="005675B2">
        <w:rPr>
          <w:rFonts w:hint="cs"/>
          <w:rtl/>
        </w:rPr>
        <w:t xml:space="preserve"> فقال</w:t>
      </w:r>
      <w:r w:rsidR="000636C2">
        <w:rPr>
          <w:rFonts w:hint="cs"/>
          <w:rtl/>
        </w:rPr>
        <w:t>:</w:t>
      </w:r>
    </w:p>
    <w:p w14:paraId="36A844D0" w14:textId="2F4A9A00" w:rsidR="009C32A0" w:rsidRPr="005675B2" w:rsidRDefault="009C32A0" w:rsidP="000636C2">
      <w:pPr>
        <w:rPr>
          <w:b/>
          <w:rtl/>
        </w:rPr>
      </w:pPr>
      <w:r w:rsidRPr="005675B2">
        <w:rPr>
          <w:rFonts w:hint="cs"/>
          <w:rtl/>
        </w:rPr>
        <w:t>{3 - يرجع معظم تناقضهم إلى كونهم لم يسلموا للوحي تسليما كاملا، ولم يعرفوا للعقل منزلته الحقيقية وحدوده الشرعية</w:t>
      </w:r>
      <w:r w:rsidR="000636C2">
        <w:rPr>
          <w:rFonts w:hint="cs"/>
          <w:rtl/>
        </w:rPr>
        <w:t>،</w:t>
      </w:r>
      <w:r w:rsidRPr="005675B2">
        <w:rPr>
          <w:rFonts w:hint="cs"/>
          <w:rtl/>
        </w:rPr>
        <w:t xml:space="preserve"> ولم يلتزموا بالعقل التزاما واضحا، ويرسموا منهجا عقليا متكاملا كالمعتزلة والفلاسفة، بل خلطوا وركبوا، فتناقضوا واضطربوا "</w:t>
      </w:r>
      <w:r w:rsidR="000636C2">
        <w:rPr>
          <w:rFonts w:hint="cs"/>
          <w:rtl/>
        </w:rPr>
        <w:t>،</w:t>
      </w:r>
    </w:p>
    <w:p w14:paraId="7064A7DE" w14:textId="7283A693" w:rsidR="009C32A0" w:rsidRPr="005675B2" w:rsidRDefault="009C32A0" w:rsidP="000636C2">
      <w:pPr>
        <w:rPr>
          <w:b/>
          <w:rtl/>
        </w:rPr>
      </w:pPr>
      <w:r w:rsidRPr="005675B2">
        <w:rPr>
          <w:rFonts w:hint="cs"/>
          <w:rtl/>
        </w:rPr>
        <w:t>يقصد الدكتور أن الأشاعرة لم يلتزموا لا بمذهب فرقته، ولا بمذهب المعتزلة والفلاسفة، بل حاولوا التلفيق بينهما فتناقضوا واضطربوا</w:t>
      </w:r>
      <w:r w:rsidR="000636C2">
        <w:rPr>
          <w:rFonts w:hint="cs"/>
          <w:rtl/>
        </w:rPr>
        <w:t>،</w:t>
      </w:r>
    </w:p>
    <w:p w14:paraId="6088D45A" w14:textId="4D06A309"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إن الله تعالى قد أنعم على الإنسان بنعمة العقل لا ليعطله ويهمله، بل ليفكر به ويستعمله، ومن أجل ذلك جعل الله تعالى العقل مناطا للتكليف، لكن الله تعالى خلق العقل محدود الإدراك، وحدد له حدودوا لا يستطيع أن يتخطاها ويتجاوزها إلى وراءها، وعندما يحاول العقل تجاوز هذه الحدود يقع في الخطأ، ومن أجل ذلك كان الإنسان بحاجة إلى نزول الوحي وبعثة الرسل، لأن العقل لا يفي بدرك الحقائق كلها ولابدرك مصالح الإنسان كلها، فأنزل الله تعالى الوحي، وأرسل الرسل، فالأشاعرة لم يهملوا العقل ولم يعطلوه، بل استعملوه في مجاله الذي خلقه الله لأن يستعمل فيه، ولم يطلقوا له العنوان حتى يتعدى مجاله وحدوده إلى ما ليس بمجال له، بل هو مجال للوحي كما فعلت المعتزلة والفلاسفة</w:t>
      </w:r>
      <w:r w:rsidR="000636C2">
        <w:rPr>
          <w:rFonts w:hint="cs"/>
          <w:rtl/>
        </w:rPr>
        <w:t>،</w:t>
      </w:r>
    </w:p>
    <w:p w14:paraId="7C475F54" w14:textId="26DE697A" w:rsidR="009C32A0" w:rsidRPr="005675B2" w:rsidRDefault="009C32A0" w:rsidP="000636C2">
      <w:pPr>
        <w:rPr>
          <w:b/>
          <w:rtl/>
        </w:rPr>
      </w:pPr>
      <w:r w:rsidRPr="005675B2">
        <w:rPr>
          <w:rFonts w:hint="cs"/>
          <w:rtl/>
        </w:rPr>
        <w:t>ثم استمعل الأشاعرة النقل الذي هو الكتاب والسنة الواردين بلغة العرب على أساليب اللغة العربية من الحقيقة والمجاز والكناية، فحكموا على ما هو حقيقة منه بأنه حقيقة، وعلى ما هو مجاز بأنه مجاز، وعلى ما هو كناية بأنه كناية، هذا ما فعله الأشاعرة، وقد أصابوا فيما فعلوه في عامة الأحوال، وقد يكونون قد أخطأ كلهم أو بعضهم في بعضها، ولم يجعل الله العصمة لأحد غير أنبيائه، فخرج مذهبهم من بين فرث ودم لبنا خالصا سائغا للشاربين</w:t>
      </w:r>
      <w:r w:rsidR="000636C2">
        <w:rPr>
          <w:rFonts w:hint="cs"/>
          <w:rtl/>
        </w:rPr>
        <w:t>،</w:t>
      </w:r>
      <w:r w:rsidRPr="005675B2">
        <w:rPr>
          <w:rFonts w:hint="cs"/>
          <w:rtl/>
        </w:rPr>
        <w:t xml:space="preserve"> وهذه هي الحكمة التى أوتوها، يؤتي الحكمة من يشاء ومن يؤت الحكمة فقد أوتي خيرا كثيرا</w:t>
      </w:r>
      <w:r w:rsidR="000636C2">
        <w:rPr>
          <w:rFonts w:hint="cs"/>
          <w:rtl/>
        </w:rPr>
        <w:t>،</w:t>
      </w:r>
    </w:p>
    <w:p w14:paraId="5921032A" w14:textId="44D944DB" w:rsidR="009C32A0" w:rsidRPr="005675B2" w:rsidRDefault="009C32A0" w:rsidP="000636C2">
      <w:pPr>
        <w:rPr>
          <w:b/>
          <w:rtl/>
        </w:rPr>
      </w:pPr>
      <w:r w:rsidRPr="005675B2">
        <w:rPr>
          <w:rFonts w:hint="cs"/>
          <w:rtl/>
        </w:rPr>
        <w:t>ثم قال الدكتور</w:t>
      </w:r>
      <w:r w:rsidR="000636C2">
        <w:rPr>
          <w:rFonts w:hint="cs"/>
          <w:rtl/>
        </w:rPr>
        <w:t>:</w:t>
      </w:r>
      <w:r w:rsidRPr="005675B2">
        <w:rPr>
          <w:rFonts w:hint="cs"/>
          <w:rtl/>
        </w:rPr>
        <w:t xml:space="preserve"> " وإليك أمثلة سريعة للتناقض ومكابرة العقل</w:t>
      </w:r>
      <w:r w:rsidR="000636C2">
        <w:rPr>
          <w:rFonts w:hint="cs"/>
          <w:rtl/>
        </w:rPr>
        <w:t>:</w:t>
      </w:r>
    </w:p>
    <w:p w14:paraId="62834097" w14:textId="75E50672" w:rsidR="009C32A0" w:rsidRPr="005675B2" w:rsidRDefault="009C32A0" w:rsidP="000636C2">
      <w:pPr>
        <w:rPr>
          <w:b/>
          <w:rtl/>
        </w:rPr>
      </w:pPr>
      <w:r w:rsidRPr="005675B2">
        <w:rPr>
          <w:rFonts w:hint="cs"/>
          <w:rtl/>
        </w:rPr>
        <w:t>قالوا</w:t>
      </w:r>
      <w:r w:rsidR="000636C2">
        <w:rPr>
          <w:rFonts w:hint="cs"/>
          <w:rtl/>
        </w:rPr>
        <w:t>:</w:t>
      </w:r>
      <w:r w:rsidRPr="005675B2">
        <w:rPr>
          <w:rFonts w:hint="cs"/>
          <w:rtl/>
        </w:rPr>
        <w:t xml:space="preserve"> إنه يجوز أن يرى الأعمى بالمشرق البقة بالأندلس "</w:t>
      </w:r>
      <w:r w:rsidR="000636C2">
        <w:rPr>
          <w:rFonts w:hint="cs"/>
          <w:rtl/>
        </w:rPr>
        <w:t>،</w:t>
      </w:r>
    </w:p>
    <w:p w14:paraId="6051D4FE" w14:textId="0A702D2B"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من مشاكل الدكتور أنه لا يعلم كثيرا من الإصطلاحات العلمية، ولو كان عالما بها لما تورط في كثير من الأخطاء التى تورط فيها في هذا الكتيب، وذلك أ ن معنى أن هذا الأمر جائز أنه ليس بمحال، حتى يكون مما لا تتعلق قدرة الباري تعالى به، بل هو جائز يجوز تعلق قدرة الله تعالى به، وأنه داخل في قدرته تعالى أن يُرِيَ أعمى الصين البقة بأرض الأندلس على سبيل خرق العادة، كما قال شيخ مشايخنا العلامة الشيخ خليل الأسعردي في كتابه "نهج الأنام"</w:t>
      </w:r>
    </w:p>
    <w:p w14:paraId="3E6502F1" w14:textId="7CECA61D" w:rsidR="009C32A0" w:rsidRPr="005675B2" w:rsidRDefault="009C32A0" w:rsidP="000636C2">
      <w:pPr>
        <w:rPr>
          <w:b/>
          <w:rtl/>
        </w:rPr>
      </w:pPr>
      <w:r w:rsidRPr="005675B2">
        <w:rPr>
          <w:rFonts w:hint="cs"/>
          <w:rtl/>
        </w:rPr>
        <w:t>فأعمى بصين الشرق قد جاز أن يرى</w:t>
      </w:r>
      <w:r w:rsidR="000636C2">
        <w:rPr>
          <w:rFonts w:hint="cs"/>
          <w:rtl/>
        </w:rPr>
        <w:t>::</w:t>
      </w:r>
      <w:r w:rsidRPr="005675B2">
        <w:rPr>
          <w:rFonts w:hint="cs"/>
          <w:rtl/>
        </w:rPr>
        <w:t xml:space="preserve"> بعوضا بأرض الغرب عند الذي يرى</w:t>
      </w:r>
    </w:p>
    <w:p w14:paraId="442EBC41" w14:textId="75FF0103" w:rsidR="009C32A0" w:rsidRPr="005675B2" w:rsidRDefault="009C32A0" w:rsidP="000636C2">
      <w:pPr>
        <w:rPr>
          <w:b/>
          <w:rtl/>
        </w:rPr>
      </w:pPr>
      <w:r w:rsidRPr="005675B2">
        <w:rPr>
          <w:rFonts w:hint="cs"/>
          <w:rtl/>
        </w:rPr>
        <w:t>ولا أدرى إذا كان الدكتور ينكر ذلك على الأشاعرة هل يعتقد امتناع خوارق العادات التى منها معجزات الأنبياء وكرامات الأولياء، أم يعتقد أن هذا الأمر ليس من الجائز الذي يجوز خرق العادة فيه، بل يعتقد أنه من الممتنع والمحال العقلي الذي لا يجوز خرقه، والإعتقادان كلاهما باطلان</w:t>
      </w:r>
      <w:r w:rsidR="000636C2">
        <w:rPr>
          <w:rFonts w:hint="cs"/>
          <w:rtl/>
        </w:rPr>
        <w:t>!</w:t>
      </w:r>
    </w:p>
    <w:p w14:paraId="4FF8E83F" w14:textId="77777777" w:rsidR="009C32A0" w:rsidRPr="005675B2" w:rsidRDefault="009C32A0" w:rsidP="000636C2">
      <w:pPr>
        <w:rPr>
          <w:b/>
          <w:rtl/>
        </w:rPr>
      </w:pPr>
    </w:p>
    <w:p w14:paraId="1AF2A28A" w14:textId="03C701DC" w:rsidR="009C32A0" w:rsidRPr="005675B2" w:rsidRDefault="009C32A0" w:rsidP="000636C2">
      <w:pPr>
        <w:rPr>
          <w:b/>
          <w:rtl/>
        </w:rPr>
      </w:pPr>
      <w:r w:rsidRPr="005675B2">
        <w:rPr>
          <w:rFonts w:hint="cs"/>
          <w:rtl/>
        </w:rPr>
        <w:t>70 - هل نفي الجهة عن الله تعالى يقتضي نفي الرؤية له، والإستدلال على نفي الجهة</w:t>
      </w:r>
      <w:r w:rsidR="000636C2">
        <w:rPr>
          <w:rFonts w:hint="cs"/>
          <w:rtl/>
        </w:rPr>
        <w:t>:</w:t>
      </w:r>
    </w:p>
    <w:p w14:paraId="69523FF4" w14:textId="68E20415" w:rsidR="009C32A0" w:rsidRPr="005675B2" w:rsidRDefault="009C32A0" w:rsidP="000636C2">
      <w:pPr>
        <w:rPr>
          <w:b/>
          <w:rtl/>
        </w:rPr>
      </w:pPr>
      <w:r w:rsidRPr="005675B2">
        <w:rPr>
          <w:rFonts w:hint="cs"/>
          <w:rtl/>
        </w:rPr>
        <w:t>قال الدكتور34</w:t>
      </w:r>
      <w:r w:rsidR="000636C2">
        <w:rPr>
          <w:rFonts w:hint="cs"/>
          <w:rtl/>
        </w:rPr>
        <w:t>:</w:t>
      </w:r>
      <w:r w:rsidRPr="005675B2">
        <w:rPr>
          <w:rFonts w:hint="cs"/>
          <w:rtl/>
        </w:rPr>
        <w:t xml:space="preserve"> {قالوا</w:t>
      </w:r>
      <w:r w:rsidR="000636C2">
        <w:rPr>
          <w:rFonts w:hint="cs"/>
          <w:rtl/>
        </w:rPr>
        <w:t>:</w:t>
      </w:r>
      <w:r w:rsidRPr="005675B2">
        <w:rPr>
          <w:rFonts w:hint="cs"/>
          <w:rtl/>
        </w:rPr>
        <w:t xml:space="preserve"> إن الجهة مسحيلة في حق الله تعالى، ثم قالوا</w:t>
      </w:r>
      <w:r w:rsidR="000636C2">
        <w:rPr>
          <w:rFonts w:hint="cs"/>
          <w:rtl/>
        </w:rPr>
        <w:t>:</w:t>
      </w:r>
      <w:r w:rsidRPr="005675B2">
        <w:rPr>
          <w:rFonts w:hint="cs"/>
          <w:rtl/>
        </w:rPr>
        <w:t xml:space="preserve"> بإثبات الرؤية، ولهذا قيل فيهم</w:t>
      </w:r>
      <w:r w:rsidR="000636C2">
        <w:rPr>
          <w:rFonts w:hint="cs"/>
          <w:rtl/>
        </w:rPr>
        <w:t>:</w:t>
      </w:r>
      <w:r w:rsidRPr="005675B2">
        <w:rPr>
          <w:rFonts w:hint="cs"/>
          <w:rtl/>
        </w:rPr>
        <w:t xml:space="preserve"> من أنكر الجهة وأثبت الرؤية فقد أضحك الناس على عقله "</w:t>
      </w:r>
      <w:r w:rsidR="000636C2">
        <w:rPr>
          <w:rFonts w:hint="cs"/>
          <w:rtl/>
        </w:rPr>
        <w:t>،</w:t>
      </w:r>
    </w:p>
    <w:p w14:paraId="136C59D9" w14:textId="062566BF"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قائل هذا القول هم المعتزلة المنكرون لرؤية الله تعالى وللجهة معا، ونلزمهم بأن الجهة لو كانت شرطا عقليا للرؤية لا يمكن أن تتحقق الرؤية بدونه لزم أن لا نكون مرئيين لله تعالى، لأنه كما أنه تعالى ليس في جهة منا، فإننا أيضا لسنا في جهة منه، لأنه لو تحققت الجهة بالنسبة إلى طرف من الرائي والمرئي لتحققت بالنسبة إلى الطرف الآخر أيضا، وإذا انتفت عن طرف انتفت بالنسبة إليه عن الطرف الآخر، فثبت على المعتزلة أن الجهة ليست بشرط عقلي بالنسبة إلى الرؤية، بل هي شرط عادي يجوز تخلفه كما في رؤية الله تعالى</w:t>
      </w:r>
      <w:r w:rsidR="000636C2">
        <w:rPr>
          <w:rFonts w:hint="cs"/>
          <w:rtl/>
        </w:rPr>
        <w:t>،</w:t>
      </w:r>
    </w:p>
    <w:p w14:paraId="3EBF8404" w14:textId="36D1802A" w:rsidR="009C32A0" w:rsidRPr="005675B2" w:rsidRDefault="009C32A0" w:rsidP="000636C2">
      <w:pPr>
        <w:rPr>
          <w:b/>
          <w:rtl/>
        </w:rPr>
      </w:pPr>
      <w:r w:rsidRPr="005675B2">
        <w:rPr>
          <w:rFonts w:hint="cs"/>
          <w:rtl/>
        </w:rPr>
        <w:t>ثم نقول للدكتور</w:t>
      </w:r>
      <w:r w:rsidR="000636C2">
        <w:rPr>
          <w:rFonts w:hint="cs"/>
          <w:rtl/>
        </w:rPr>
        <w:t>:</w:t>
      </w:r>
      <w:r w:rsidRPr="005675B2">
        <w:rPr>
          <w:rFonts w:hint="cs"/>
          <w:rtl/>
        </w:rPr>
        <w:t xml:space="preserve"> إن من شرط الرؤية في الشاهد ثبوت مسافة معينة لا تتحقق الرؤية عند تجاوز المرئي لها، فهل تعتقد أن الله تعالى حينما يراه المؤمنون يكون على هذه المسافة من الرائي، وأنت تعتقد أن الله تعالى فوق السماوات السبع وفوق العرش، وإن قلت</w:t>
      </w:r>
      <w:r w:rsidR="000636C2">
        <w:rPr>
          <w:rFonts w:hint="cs"/>
          <w:rtl/>
        </w:rPr>
        <w:t>:</w:t>
      </w:r>
      <w:r w:rsidRPr="005675B2">
        <w:rPr>
          <w:rFonts w:hint="cs"/>
          <w:rtl/>
        </w:rPr>
        <w:t xml:space="preserve"> ينزل ربنا حينئذ إلى تلك المسافة قلنا</w:t>
      </w:r>
      <w:r w:rsidR="000636C2">
        <w:rPr>
          <w:rFonts w:hint="cs"/>
          <w:rtl/>
        </w:rPr>
        <w:t>:</w:t>
      </w:r>
      <w:r w:rsidRPr="005675B2">
        <w:rPr>
          <w:rFonts w:hint="cs"/>
          <w:rtl/>
        </w:rPr>
        <w:t xml:space="preserve"> النزول والحركة من صفات الأجسام محالان على الله تعالى، فثبت أن الله تعالى يري بدون هذه المسافة المعينة، فنقول</w:t>
      </w:r>
      <w:r w:rsidR="000636C2">
        <w:rPr>
          <w:rFonts w:hint="cs"/>
          <w:rtl/>
        </w:rPr>
        <w:t>:</w:t>
      </w:r>
      <w:r w:rsidRPr="005675B2">
        <w:rPr>
          <w:rFonts w:hint="cs"/>
          <w:rtl/>
        </w:rPr>
        <w:t xml:space="preserve"> إذا جاز أن يرى بدون هذه المسافة المعينة، جاز أن يرى بدون جهة أيضا لأن الجهة كالمسافة شرط عادي في الشاهد يجوز تخلفه، وليس شرطا عقليا لا يجوز تخلفه، قال القاضي أبو يعلى</w:t>
      </w:r>
      <w:r w:rsidR="000636C2">
        <w:rPr>
          <w:rFonts w:hint="cs"/>
          <w:rtl/>
        </w:rPr>
        <w:t>:</w:t>
      </w:r>
      <w:r w:rsidRPr="005675B2">
        <w:rPr>
          <w:rFonts w:hint="cs"/>
          <w:rtl/>
        </w:rPr>
        <w:t xml:space="preserve"> </w:t>
      </w:r>
      <w:r w:rsidR="000636C2">
        <w:rPr>
          <w:rFonts w:hint="cs"/>
          <w:rtl/>
        </w:rPr>
        <w:t>(</w:t>
      </w:r>
      <w:r w:rsidRPr="005675B2">
        <w:rPr>
          <w:rFonts w:hint="cs"/>
          <w:rtl/>
        </w:rPr>
        <w:t>كما جاز رؤيته لا في جهة</w:t>
      </w:r>
      <w:r w:rsidR="000636C2">
        <w:rPr>
          <w:rFonts w:hint="cs"/>
          <w:rtl/>
        </w:rPr>
        <w:t>)</w:t>
      </w:r>
      <w:r w:rsidRPr="005675B2">
        <w:rPr>
          <w:rFonts w:hint="cs"/>
          <w:rtl/>
        </w:rPr>
        <w:t xml:space="preserve"> [</w:t>
      </w:r>
      <w:r w:rsidRPr="005675B2">
        <w:rPr>
          <w:rFonts w:hint="cs"/>
          <w:sz w:val="24"/>
          <w:szCs w:val="24"/>
          <w:rtl/>
        </w:rPr>
        <w:t>المعتمد في أصول الدين55]</w:t>
      </w:r>
      <w:r w:rsidRPr="005675B2">
        <w:rPr>
          <w:rFonts w:hint="cs"/>
          <w:rtl/>
        </w:rPr>
        <w:t xml:space="preserve"> وقال البيهقي</w:t>
      </w:r>
      <w:r w:rsidR="000636C2">
        <w:rPr>
          <w:rFonts w:hint="cs"/>
          <w:rtl/>
        </w:rPr>
        <w:t>:</w:t>
      </w:r>
      <w:r w:rsidRPr="005675B2">
        <w:rPr>
          <w:rFonts w:hint="cs"/>
          <w:rtl/>
        </w:rPr>
        <w:t xml:space="preserve"> </w:t>
      </w:r>
      <w:r w:rsidR="000636C2">
        <w:rPr>
          <w:rFonts w:hint="cs"/>
          <w:rtl/>
        </w:rPr>
        <w:t>(</w:t>
      </w:r>
      <w:r w:rsidRPr="005675B2">
        <w:rPr>
          <w:rFonts w:hint="cs"/>
          <w:rtl/>
        </w:rPr>
        <w:t>فإنه عز وجل يرى لا في جهة</w:t>
      </w:r>
      <w:r w:rsidR="000636C2">
        <w:rPr>
          <w:rFonts w:hint="cs"/>
          <w:rtl/>
        </w:rPr>
        <w:t>)</w:t>
      </w:r>
      <w:r w:rsidRPr="005675B2">
        <w:rPr>
          <w:rFonts w:hint="cs"/>
          <w:rtl/>
        </w:rPr>
        <w:t xml:space="preserve"> </w:t>
      </w:r>
      <w:r w:rsidR="000636C2">
        <w:rPr>
          <w:rFonts w:hint="cs"/>
          <w:rtl/>
        </w:rPr>
        <w:t>[</w:t>
      </w:r>
      <w:r w:rsidRPr="005675B2">
        <w:rPr>
          <w:rFonts w:hint="cs"/>
          <w:sz w:val="24"/>
          <w:szCs w:val="24"/>
          <w:rtl/>
        </w:rPr>
        <w:t>الإعتقاد 63]</w:t>
      </w:r>
    </w:p>
    <w:p w14:paraId="54387168" w14:textId="68699208" w:rsidR="009C32A0" w:rsidRPr="005675B2" w:rsidRDefault="009C32A0" w:rsidP="000636C2">
      <w:pPr>
        <w:rPr>
          <w:b/>
          <w:rtl/>
        </w:rPr>
      </w:pPr>
      <w:r w:rsidRPr="005675B2">
        <w:rPr>
          <w:rFonts w:hint="cs"/>
          <w:rtl/>
        </w:rPr>
        <w:t>وأما أن الجهة المعينة مستحيلة على الله تعالى فقد استدل عليها الأشاعرة بالمعقول والمنقول</w:t>
      </w:r>
      <w:r w:rsidR="000636C2">
        <w:rPr>
          <w:rFonts w:hint="cs"/>
          <w:rtl/>
        </w:rPr>
        <w:t>،</w:t>
      </w:r>
      <w:r w:rsidRPr="005675B2">
        <w:rPr>
          <w:rFonts w:hint="cs"/>
          <w:rtl/>
        </w:rPr>
        <w:t xml:space="preserve"> أما المعقول فقد استدلوا منه بدلائل كثيرة نكتفي منها بما يلى</w:t>
      </w:r>
      <w:r w:rsidR="000636C2">
        <w:rPr>
          <w:rFonts w:hint="cs"/>
          <w:rtl/>
        </w:rPr>
        <w:t>:</w:t>
      </w:r>
      <w:r w:rsidRPr="005675B2">
        <w:rPr>
          <w:rFonts w:hint="cs"/>
          <w:rtl/>
        </w:rPr>
        <w:t xml:space="preserve"> فنقول</w:t>
      </w:r>
      <w:r w:rsidR="000636C2">
        <w:rPr>
          <w:rFonts w:hint="cs"/>
          <w:rtl/>
        </w:rPr>
        <w:t>:</w:t>
      </w:r>
      <w:r w:rsidRPr="005675B2">
        <w:rPr>
          <w:rFonts w:hint="cs"/>
          <w:rtl/>
        </w:rPr>
        <w:t xml:space="preserve"> الجهة ليس أمرا ثابتا لا يتغير، بل هي أمر إضافي نسبي يختلف بإختلاف الناس واختلاف الأحوال والأوضاع، فهذا فوق لهذا، وهو نفسه تحت للآخر، ويمين لهذا وشمال للآخر، وفوق لهذا في حالة وتحت له في حالة أخرى، كسطح البيت فإنه فوق لمن هو في داخل البيت، وتحت لمن هو على السطح</w:t>
      </w:r>
      <w:r w:rsidR="000636C2">
        <w:rPr>
          <w:rFonts w:hint="cs"/>
          <w:rtl/>
        </w:rPr>
        <w:t>،</w:t>
      </w:r>
    </w:p>
    <w:p w14:paraId="14638876" w14:textId="62B02168" w:rsidR="009C32A0" w:rsidRPr="005675B2" w:rsidRDefault="009C32A0" w:rsidP="000636C2">
      <w:pPr>
        <w:rPr>
          <w:b/>
          <w:rtl/>
        </w:rPr>
      </w:pPr>
      <w:r w:rsidRPr="005675B2">
        <w:rPr>
          <w:rFonts w:hint="cs"/>
          <w:rtl/>
        </w:rPr>
        <w:t>فنقول لمثبت الجهة المعينة لله تعالى</w:t>
      </w:r>
      <w:r w:rsidR="000636C2">
        <w:rPr>
          <w:rFonts w:hint="cs"/>
          <w:rtl/>
        </w:rPr>
        <w:t>:</w:t>
      </w:r>
      <w:r w:rsidRPr="005675B2">
        <w:rPr>
          <w:rFonts w:hint="cs"/>
          <w:rtl/>
        </w:rPr>
        <w:t xml:space="preserve"> لا ريب في أنك تثبت لله تعالى جهة العلو والفوقية كما أنه لاريب في أنك تثبت هذه الجهة لله تعالى بالنسبة إلى جميع الناس في كل الأحوال، وقد ثبت أن الأرض كروية، فالذي فوق بالنسبة إلى ناس هو تحت بالنسبة إلى آخرين، فلا يكون هذا الحكم صحيحا بالنسة إلى جميع الناس، وقد ثبت أيضا أن الأرض متحركة، فالجهة التى هي فوق بالنسبة إلى بعض الناس في هذه الساعة لا تبقى فوقا لهذا البعض بعد عدة ساعات، بل تتحول إلى تحت لهم، فلا يكون هذا الحكم صحيحا بالنسة إلى كل الأحوال أيضا</w:t>
      </w:r>
      <w:r w:rsidR="000636C2">
        <w:rPr>
          <w:rFonts w:hint="cs"/>
          <w:rtl/>
        </w:rPr>
        <w:t>،</w:t>
      </w:r>
      <w:r w:rsidRPr="005675B2">
        <w:rPr>
          <w:rFonts w:hint="cs"/>
          <w:rtl/>
        </w:rPr>
        <w:t xml:space="preserve"> ونكتفي من المعقول بهذا الدليل</w:t>
      </w:r>
      <w:r w:rsidR="000636C2">
        <w:rPr>
          <w:rFonts w:hint="cs"/>
          <w:rtl/>
        </w:rPr>
        <w:t>،</w:t>
      </w:r>
    </w:p>
    <w:p w14:paraId="4976DD00" w14:textId="7C025E76" w:rsidR="009C32A0" w:rsidRPr="005675B2" w:rsidRDefault="009C32A0" w:rsidP="000636C2">
      <w:pPr>
        <w:rPr>
          <w:b/>
          <w:rtl/>
        </w:rPr>
      </w:pPr>
      <w:r w:rsidRPr="005675B2">
        <w:rPr>
          <w:rFonts w:hint="cs"/>
          <w:rtl/>
        </w:rPr>
        <w:t>وأما المنقول فقد استدل الأشاعرة على نفي الجهة والمكان لله تعالى بالحديث الذي رواه مسلم في صحيحه عن أبي هريرة رضي الله تعالى عنه أن رسول الله صلى الله تعالى عليه وآله وسلم كان يقول في دعائه</w:t>
      </w:r>
      <w:r w:rsidR="000636C2">
        <w:rPr>
          <w:rFonts w:hint="cs"/>
          <w:rtl/>
        </w:rPr>
        <w:t>:</w:t>
      </w:r>
      <w:r w:rsidRPr="005675B2">
        <w:rPr>
          <w:rFonts w:hint="cs"/>
          <w:rtl/>
        </w:rPr>
        <w:t xml:space="preserve"> </w:t>
      </w:r>
      <w:r w:rsidR="000636C2">
        <w:rPr>
          <w:rFonts w:hint="cs"/>
          <w:rtl/>
        </w:rPr>
        <w:t>(</w:t>
      </w:r>
      <w:r w:rsidRPr="005675B2">
        <w:rPr>
          <w:rFonts w:hint="cs"/>
          <w:rtl/>
        </w:rPr>
        <w:t>الهم أنت الأول، فليس قبلك شيئ، وأنت الآخر، فليس بعدك شيئ، وأنت الظاهر فليس فوقك شيئ، وأنت الباطن فليس دونك شيئ، أقض عنا الدين وأغننا من الفقر</w:t>
      </w:r>
      <w:r w:rsidR="000636C2">
        <w:rPr>
          <w:rFonts w:hint="cs"/>
          <w:rtl/>
        </w:rPr>
        <w:t>)</w:t>
      </w:r>
    </w:p>
    <w:p w14:paraId="70092370" w14:textId="40739A52" w:rsidR="009C32A0" w:rsidRPr="005675B2" w:rsidRDefault="009C32A0" w:rsidP="000636C2">
      <w:pPr>
        <w:rPr>
          <w:b/>
          <w:rtl/>
        </w:rPr>
      </w:pPr>
      <w:r w:rsidRPr="005675B2">
        <w:rPr>
          <w:rFonts w:hint="cs"/>
          <w:rtl/>
        </w:rPr>
        <w:t>قال البيهقي</w:t>
      </w:r>
      <w:r w:rsidR="000636C2">
        <w:rPr>
          <w:rFonts w:hint="cs"/>
          <w:rtl/>
        </w:rPr>
        <w:t>:</w:t>
      </w:r>
      <w:r w:rsidRPr="005675B2">
        <w:rPr>
          <w:rFonts w:hint="cs"/>
          <w:rtl/>
        </w:rPr>
        <w:t xml:space="preserve"> استدل بعض أصحابنا بهذا الحديث على نفي المكان عن الله تعالى، فإذا لم يكن فوقه شيئ ولا دونه شيئ لم يكن في مكان</w:t>
      </w:r>
      <w:r w:rsidR="000636C2">
        <w:rPr>
          <w:rFonts w:hint="cs"/>
          <w:rtl/>
        </w:rPr>
        <w:t>،</w:t>
      </w:r>
      <w:r w:rsidRPr="005675B2">
        <w:rPr>
          <w:rFonts w:hint="cs"/>
          <w:rtl/>
        </w:rPr>
        <w:t xml:space="preserve"> </w:t>
      </w:r>
      <w:r w:rsidR="000636C2">
        <w:rPr>
          <w:rFonts w:hint="cs"/>
          <w:rtl/>
        </w:rPr>
        <w:t>[</w:t>
      </w:r>
      <w:r w:rsidRPr="005675B2">
        <w:rPr>
          <w:rFonts w:hint="cs"/>
          <w:sz w:val="24"/>
          <w:szCs w:val="24"/>
          <w:rtl/>
        </w:rPr>
        <w:t>الأسماء والصفات 40]</w:t>
      </w:r>
    </w:p>
    <w:p w14:paraId="29A162BF" w14:textId="455FA4D0" w:rsidR="009C32A0" w:rsidRPr="005675B2" w:rsidRDefault="009C32A0" w:rsidP="000636C2">
      <w:pPr>
        <w:rPr>
          <w:b/>
          <w:rtl/>
        </w:rPr>
      </w:pPr>
      <w:r w:rsidRPr="005675B2">
        <w:rPr>
          <w:rFonts w:hint="cs"/>
          <w:rtl/>
        </w:rPr>
        <w:t>وهذه الدلائل من المعقول والمنقول هي التى أدت بالطحاوي أن يقول في عقيدته الملقبة ببيان أهل السنة والجماعة</w:t>
      </w:r>
      <w:r w:rsidR="000636C2">
        <w:rPr>
          <w:rFonts w:hint="cs"/>
          <w:rtl/>
        </w:rPr>
        <w:t>:</w:t>
      </w:r>
      <w:r w:rsidRPr="005675B2">
        <w:rPr>
          <w:rFonts w:hint="cs"/>
          <w:rtl/>
        </w:rPr>
        <w:t xml:space="preserve"> </w:t>
      </w:r>
      <w:r w:rsidR="000636C2">
        <w:rPr>
          <w:rFonts w:hint="cs"/>
          <w:rtl/>
        </w:rPr>
        <w:t>(</w:t>
      </w:r>
      <w:r w:rsidRPr="005675B2">
        <w:rPr>
          <w:rFonts w:hint="cs"/>
          <w:rtl/>
        </w:rPr>
        <w:t>لا تحويه الجهات الست كسائر المبتدعات</w:t>
      </w:r>
      <w:r w:rsidR="000636C2">
        <w:rPr>
          <w:rFonts w:hint="cs"/>
          <w:rtl/>
        </w:rPr>
        <w:t>)</w:t>
      </w:r>
      <w:r w:rsidRPr="005675B2">
        <w:rPr>
          <w:rFonts w:hint="cs"/>
          <w:rtl/>
        </w:rPr>
        <w:t xml:space="preserve"> وأدت بشيخ الحنابلة القاضي أبي يعلى أن يقول</w:t>
      </w:r>
      <w:r w:rsidR="000636C2">
        <w:rPr>
          <w:rFonts w:hint="cs"/>
          <w:rtl/>
        </w:rPr>
        <w:t>:</w:t>
      </w:r>
      <w:r w:rsidRPr="005675B2">
        <w:rPr>
          <w:rFonts w:hint="cs"/>
          <w:rtl/>
        </w:rPr>
        <w:t xml:space="preserve"> </w:t>
      </w:r>
      <w:r w:rsidR="000636C2">
        <w:rPr>
          <w:rFonts w:hint="cs"/>
          <w:rtl/>
        </w:rPr>
        <w:t>(</w:t>
      </w:r>
      <w:r w:rsidRPr="005675B2">
        <w:rPr>
          <w:rFonts w:hint="cs"/>
          <w:rtl/>
        </w:rPr>
        <w:t>كما جازت رؤيته لا في جهة</w:t>
      </w:r>
      <w:r w:rsidR="000636C2">
        <w:rPr>
          <w:rFonts w:hint="cs"/>
          <w:rtl/>
        </w:rPr>
        <w:t>)</w:t>
      </w:r>
      <w:r w:rsidRPr="005675B2">
        <w:rPr>
          <w:rFonts w:hint="cs"/>
          <w:rtl/>
        </w:rPr>
        <w:t xml:space="preserve"> [</w:t>
      </w:r>
      <w:r w:rsidRPr="005675B2">
        <w:rPr>
          <w:rFonts w:hint="cs"/>
          <w:sz w:val="24"/>
          <w:szCs w:val="24"/>
          <w:rtl/>
        </w:rPr>
        <w:t>المعتمد 55]</w:t>
      </w:r>
    </w:p>
    <w:p w14:paraId="2F55F1F5" w14:textId="77777777" w:rsidR="009C32A0" w:rsidRPr="005675B2" w:rsidRDefault="009C32A0" w:rsidP="000636C2">
      <w:pPr>
        <w:rPr>
          <w:b/>
          <w:rtl/>
        </w:rPr>
      </w:pPr>
    </w:p>
    <w:p w14:paraId="0F30232B" w14:textId="4F5F416F" w:rsidR="009C32A0" w:rsidRPr="005675B2" w:rsidRDefault="009C32A0" w:rsidP="000636C2">
      <w:pPr>
        <w:rPr>
          <w:b/>
          <w:rtl/>
        </w:rPr>
      </w:pPr>
      <w:r w:rsidRPr="005675B2">
        <w:rPr>
          <w:rFonts w:hint="cs"/>
          <w:rtl/>
        </w:rPr>
        <w:t>71 - بيان قول الأشاعرة</w:t>
      </w:r>
      <w:r w:rsidR="000636C2">
        <w:rPr>
          <w:rFonts w:hint="cs"/>
          <w:rtl/>
        </w:rPr>
        <w:t>:</w:t>
      </w:r>
      <w:r w:rsidRPr="005675B2">
        <w:rPr>
          <w:rFonts w:hint="cs"/>
          <w:rtl/>
        </w:rPr>
        <w:t xml:space="preserve"> إن الله تعالى ليس داخل العالم ولا خارجه، ولا فوقه ولا تحته ولا عن يمينه ولا عن شماله</w:t>
      </w:r>
      <w:r w:rsidR="000636C2">
        <w:rPr>
          <w:rFonts w:hint="cs"/>
          <w:rtl/>
        </w:rPr>
        <w:t>:</w:t>
      </w:r>
    </w:p>
    <w:p w14:paraId="44C1CFF5" w14:textId="73B04E54" w:rsidR="009C32A0" w:rsidRPr="005675B2" w:rsidRDefault="009C32A0" w:rsidP="000636C2">
      <w:pPr>
        <w:rPr>
          <w:b/>
          <w:rtl/>
        </w:rPr>
      </w:pPr>
      <w:r w:rsidRPr="005675B2">
        <w:rPr>
          <w:rFonts w:hint="cs"/>
          <w:rtl/>
        </w:rPr>
        <w:t>قال الدكتور</w:t>
      </w:r>
      <w:r w:rsidR="000636C2">
        <w:rPr>
          <w:rFonts w:hint="cs"/>
          <w:rtl/>
        </w:rPr>
        <w:t>:</w:t>
      </w:r>
      <w:r w:rsidRPr="005675B2">
        <w:rPr>
          <w:rFonts w:hint="cs"/>
          <w:rtl/>
        </w:rPr>
        <w:t xml:space="preserve"> " قالوا بأن رفع النقيضين محال -وهو كذلك - محتجين بها في مسائل، ثم قالوا في صفة من أعظم وأبين الصفات </w:t>
      </w:r>
      <w:r w:rsidR="000636C2">
        <w:rPr>
          <w:rFonts w:hint="cs"/>
          <w:rtl/>
        </w:rPr>
        <w:t>(</w:t>
      </w:r>
      <w:r w:rsidRPr="005675B2">
        <w:rPr>
          <w:rFonts w:hint="cs"/>
          <w:rtl/>
        </w:rPr>
        <w:t>العلو</w:t>
      </w:r>
      <w:r w:rsidR="000636C2">
        <w:rPr>
          <w:rFonts w:hint="cs"/>
          <w:rtl/>
        </w:rPr>
        <w:t>):</w:t>
      </w:r>
      <w:r w:rsidRPr="005675B2">
        <w:rPr>
          <w:rFonts w:hint="cs"/>
          <w:rtl/>
        </w:rPr>
        <w:t xml:space="preserve"> إن الله لا داخل العالم ولا خارجه، ولا فوقه ولا تحته، ولا عن يمينه ولا عن شماله .. وقالوا عن الأحوال</w:t>
      </w:r>
      <w:r w:rsidR="000636C2">
        <w:rPr>
          <w:rFonts w:hint="cs"/>
          <w:rtl/>
        </w:rPr>
        <w:t>:</w:t>
      </w:r>
      <w:r w:rsidRPr="005675B2">
        <w:rPr>
          <w:rFonts w:hint="cs"/>
          <w:rtl/>
        </w:rPr>
        <w:t xml:space="preserve"> هي صفات لا معدومة ولا موجودة، فرفعوا النقيضين معا "</w:t>
      </w:r>
      <w:r w:rsidR="000636C2">
        <w:rPr>
          <w:rFonts w:hint="cs"/>
          <w:rtl/>
        </w:rPr>
        <w:t>،</w:t>
      </w:r>
    </w:p>
    <w:p w14:paraId="5A53D1B4" w14:textId="2DC99FA1"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أشار الدكتور بهذه الفقرة من كلامه إلى أربع مسائل</w:t>
      </w:r>
      <w:r w:rsidR="000636C2">
        <w:rPr>
          <w:rFonts w:hint="cs"/>
          <w:rtl/>
        </w:rPr>
        <w:t>:</w:t>
      </w:r>
      <w:r w:rsidRPr="005675B2">
        <w:rPr>
          <w:rFonts w:hint="cs"/>
          <w:rtl/>
        </w:rPr>
        <w:t xml:space="preserve"> الأولى</w:t>
      </w:r>
      <w:r w:rsidR="000636C2">
        <w:rPr>
          <w:rFonts w:hint="cs"/>
          <w:rtl/>
        </w:rPr>
        <w:t>:</w:t>
      </w:r>
      <w:r w:rsidRPr="005675B2">
        <w:rPr>
          <w:rFonts w:hint="cs"/>
          <w:rtl/>
        </w:rPr>
        <w:t xml:space="preserve"> أن رفع النقيضين محال، والثانية</w:t>
      </w:r>
      <w:r w:rsidR="000636C2">
        <w:rPr>
          <w:rFonts w:hint="cs"/>
          <w:rtl/>
        </w:rPr>
        <w:t>:</w:t>
      </w:r>
      <w:r w:rsidRPr="005675B2">
        <w:rPr>
          <w:rFonts w:hint="cs"/>
          <w:rtl/>
        </w:rPr>
        <w:t xml:space="preserve"> أن الله ليس داخل العالم ولا خارجه، والثالثة</w:t>
      </w:r>
      <w:r w:rsidR="000636C2">
        <w:rPr>
          <w:rFonts w:hint="cs"/>
          <w:rtl/>
        </w:rPr>
        <w:t>:</w:t>
      </w:r>
      <w:r w:rsidRPr="005675B2">
        <w:rPr>
          <w:rFonts w:hint="cs"/>
          <w:rtl/>
        </w:rPr>
        <w:t xml:space="preserve"> أن الله ليس فوق العالم ولا تحته ولا عن يمينه ولا عن شماله، والرابعة</w:t>
      </w:r>
      <w:r w:rsidR="000636C2">
        <w:rPr>
          <w:rFonts w:hint="cs"/>
          <w:rtl/>
        </w:rPr>
        <w:t>:</w:t>
      </w:r>
      <w:r w:rsidRPr="005675B2">
        <w:rPr>
          <w:rFonts w:hint="cs"/>
          <w:rtl/>
        </w:rPr>
        <w:t xml:space="preserve"> مسئلة الأحوال</w:t>
      </w:r>
      <w:r w:rsidR="000636C2">
        <w:rPr>
          <w:rFonts w:hint="cs"/>
          <w:rtl/>
        </w:rPr>
        <w:t>،</w:t>
      </w:r>
    </w:p>
    <w:p w14:paraId="5CA0CF37" w14:textId="127DE78D" w:rsidR="009C32A0" w:rsidRPr="005675B2" w:rsidRDefault="009C32A0" w:rsidP="000636C2">
      <w:pPr>
        <w:rPr>
          <w:b/>
          <w:rtl/>
        </w:rPr>
      </w:pPr>
      <w:r w:rsidRPr="005675B2">
        <w:rPr>
          <w:rFonts w:hint="cs"/>
          <w:rtl/>
        </w:rPr>
        <w:t>فنتكلم عليها واحدة واحدة، فنقول</w:t>
      </w:r>
      <w:r w:rsidR="000636C2">
        <w:rPr>
          <w:rFonts w:hint="cs"/>
          <w:rtl/>
        </w:rPr>
        <w:t>:</w:t>
      </w:r>
      <w:r w:rsidRPr="005675B2">
        <w:rPr>
          <w:rFonts w:hint="cs"/>
          <w:rtl/>
        </w:rPr>
        <w:t xml:space="preserve"> أما أن رفع النقيضين محال فهذا من مقررات العقول وبديهياتها، لكنه كثيرا ما يلتبس على بعض الناس النقيضين بالضدين فيحكمون على الضدين بحكم النقيضين فيتورطون في الخطأ</w:t>
      </w:r>
      <w:r w:rsidR="000636C2">
        <w:rPr>
          <w:rFonts w:hint="cs"/>
          <w:rtl/>
        </w:rPr>
        <w:t>،</w:t>
      </w:r>
      <w:r w:rsidRPr="005675B2">
        <w:rPr>
          <w:rFonts w:hint="cs"/>
          <w:rtl/>
        </w:rPr>
        <w:t xml:space="preserve"> وهذا ما تورط فيه الدكتور</w:t>
      </w:r>
      <w:r w:rsidR="000636C2">
        <w:rPr>
          <w:rFonts w:hint="cs"/>
          <w:rtl/>
        </w:rPr>
        <w:t>!</w:t>
      </w:r>
    </w:p>
    <w:p w14:paraId="203A4F3E" w14:textId="1C43AA8A" w:rsidR="009C32A0" w:rsidRPr="005675B2" w:rsidRDefault="009C32A0" w:rsidP="000636C2">
      <w:pPr>
        <w:rPr>
          <w:b/>
          <w:rtl/>
        </w:rPr>
      </w:pPr>
      <w:r w:rsidRPr="005675B2">
        <w:rPr>
          <w:rFonts w:hint="cs"/>
          <w:rtl/>
        </w:rPr>
        <w:t>فأقول</w:t>
      </w:r>
      <w:r w:rsidR="000636C2">
        <w:rPr>
          <w:rFonts w:hint="cs"/>
          <w:rtl/>
        </w:rPr>
        <w:t>:</w:t>
      </w:r>
      <w:r w:rsidRPr="005675B2">
        <w:rPr>
          <w:rFonts w:hint="cs"/>
          <w:rtl/>
        </w:rPr>
        <w:t xml:space="preserve"> الضدان هما الشيئان اللذان لا يمكن اجتماعهما معا في آن واحد على محل واحد، وكذلك الأضداد، ويجوز ارتفاعهما أو ارتفاعها معا</w:t>
      </w:r>
      <w:r w:rsidR="000636C2">
        <w:rPr>
          <w:rFonts w:hint="cs"/>
          <w:rtl/>
        </w:rPr>
        <w:t>،</w:t>
      </w:r>
      <w:r w:rsidRPr="005675B2">
        <w:rPr>
          <w:rFonts w:hint="cs"/>
          <w:rtl/>
        </w:rPr>
        <w:t xml:space="preserve"> وذلك كالألوان، فإنه يمتنع أي لا يمكن اجتماعها في محل واحد، ولا يمكن اجتماع اثنين منها أيضا، وأما ارتفاعها فممكن كما في اللالونى ومنه الماء والريح والروح والعقل والله تعالى</w:t>
      </w:r>
      <w:r w:rsidR="000636C2">
        <w:rPr>
          <w:rFonts w:hint="cs"/>
          <w:rtl/>
        </w:rPr>
        <w:t>،</w:t>
      </w:r>
    </w:p>
    <w:p w14:paraId="77FEC454" w14:textId="668C267F" w:rsidR="009C32A0" w:rsidRPr="005675B2" w:rsidRDefault="009C32A0" w:rsidP="000636C2">
      <w:pPr>
        <w:rPr>
          <w:b/>
          <w:rtl/>
        </w:rPr>
      </w:pPr>
      <w:r w:rsidRPr="005675B2">
        <w:rPr>
          <w:rFonts w:hint="cs"/>
          <w:rtl/>
        </w:rPr>
        <w:t>وأما النقيضان فهما الأمران الذان لا يجتمعان ولا يرتفعان</w:t>
      </w:r>
      <w:r w:rsidR="000636C2">
        <w:rPr>
          <w:rFonts w:hint="cs"/>
          <w:rtl/>
        </w:rPr>
        <w:t>،</w:t>
      </w:r>
      <w:r w:rsidRPr="005675B2">
        <w:rPr>
          <w:rFonts w:hint="cs"/>
          <w:rtl/>
        </w:rPr>
        <w:t xml:space="preserve"> أي إن اجتماعهما في محل واحد في وقت واحد محال وممتنع عقلا وكذلك ارتفاعهما أي لا بد من أن يتصف الموجود بواحد منهما، ولا يجوز ارتفاعهما معا عن الموجود، بأن لا يتصف الموجود بواحد منهما</w:t>
      </w:r>
      <w:r w:rsidR="000636C2">
        <w:rPr>
          <w:rFonts w:hint="cs"/>
          <w:rtl/>
        </w:rPr>
        <w:t>،</w:t>
      </w:r>
      <w:r w:rsidRPr="005675B2">
        <w:rPr>
          <w:rFonts w:hint="cs"/>
          <w:rtl/>
        </w:rPr>
        <w:t xml:space="preserve"> والتناقض لا يكون إلا بين شيئين فقط</w:t>
      </w:r>
      <w:r w:rsidR="000636C2">
        <w:rPr>
          <w:rFonts w:hint="cs"/>
          <w:rtl/>
        </w:rPr>
        <w:t>:</w:t>
      </w:r>
      <w:r w:rsidRPr="005675B2">
        <w:rPr>
          <w:rFonts w:hint="cs"/>
          <w:rtl/>
        </w:rPr>
        <w:t xml:space="preserve"> وهما اثبات الشيئ ونفيه</w:t>
      </w:r>
      <w:r w:rsidR="000636C2">
        <w:rPr>
          <w:rFonts w:hint="cs"/>
          <w:rtl/>
        </w:rPr>
        <w:t>،</w:t>
      </w:r>
      <w:r w:rsidRPr="005675B2">
        <w:rPr>
          <w:rFonts w:hint="cs"/>
          <w:rtl/>
        </w:rPr>
        <w:t xml:space="preserve"> وذلك كالزوجية واللازوجية للعدد، فإن العدد إما زوج أو لا زوج وهو الفرد، وأما التضاد فيكون بين شيئين، وبين أشياء كاللونين والألوان</w:t>
      </w:r>
      <w:r w:rsidR="000636C2">
        <w:rPr>
          <w:rFonts w:hint="cs"/>
          <w:rtl/>
        </w:rPr>
        <w:t>،</w:t>
      </w:r>
    </w:p>
    <w:p w14:paraId="03BEBD4F" w14:textId="3A7F3C5E" w:rsidR="009C32A0" w:rsidRPr="005675B2" w:rsidRDefault="009C32A0" w:rsidP="000636C2">
      <w:pPr>
        <w:rPr>
          <w:b/>
          <w:rtl/>
        </w:rPr>
      </w:pPr>
      <w:r w:rsidRPr="005675B2">
        <w:rPr>
          <w:rFonts w:hint="cs"/>
          <w:rtl/>
        </w:rPr>
        <w:t>وبعد هذا التمهيد نقول</w:t>
      </w:r>
      <w:r w:rsidR="000636C2">
        <w:rPr>
          <w:rFonts w:hint="cs"/>
          <w:rtl/>
        </w:rPr>
        <w:t>:</w:t>
      </w:r>
      <w:r w:rsidRPr="005675B2">
        <w:rPr>
          <w:rFonts w:hint="cs"/>
          <w:rtl/>
        </w:rPr>
        <w:t xml:space="preserve"> الذي جوزه الأشاعرة مما ذكره الدكتور إنما هو من قبيل رفع الضدين، وليس من قبيل رفع النقيضين حتى يكون محالا، وبيان ذلك كما يلى</w:t>
      </w:r>
      <w:r w:rsidR="000636C2">
        <w:rPr>
          <w:rFonts w:hint="cs"/>
          <w:rtl/>
        </w:rPr>
        <w:t>:</w:t>
      </w:r>
    </w:p>
    <w:p w14:paraId="47713DAA" w14:textId="6E1A8A64" w:rsidR="009C32A0" w:rsidRPr="005675B2" w:rsidRDefault="009C32A0" w:rsidP="000636C2">
      <w:pPr>
        <w:rPr>
          <w:b/>
          <w:rtl/>
        </w:rPr>
      </w:pPr>
      <w:r w:rsidRPr="005675B2">
        <w:rPr>
          <w:rFonts w:hint="cs"/>
          <w:rtl/>
        </w:rPr>
        <w:t>إن الأشاعرة أرادوا بقولهم</w:t>
      </w:r>
      <w:r w:rsidR="000636C2">
        <w:rPr>
          <w:rFonts w:hint="cs"/>
          <w:rtl/>
        </w:rPr>
        <w:t>:</w:t>
      </w:r>
      <w:r w:rsidRPr="005675B2">
        <w:rPr>
          <w:rFonts w:hint="cs"/>
          <w:rtl/>
        </w:rPr>
        <w:t xml:space="preserve"> « إن الله تعالى ليس بداخل العالم » نفي الحلول والإتحاد والممازجة، وإثبات المباينة لله تعالى عن العالم، كما قال الإمام أبو الحسن الأشعري وغيره من أئمة أصول الدين</w:t>
      </w:r>
      <w:r w:rsidR="000636C2">
        <w:rPr>
          <w:rFonts w:hint="cs"/>
          <w:rtl/>
        </w:rPr>
        <w:t>:</w:t>
      </w:r>
      <w:r w:rsidRPr="005675B2">
        <w:rPr>
          <w:rFonts w:hint="cs"/>
          <w:rtl/>
        </w:rPr>
        <w:t xml:space="preserve"> « إن الله تعالى بائن عن خلقه »، فإن الله تعالى لم يخلق العالم في نفسه، ولا حل فيه بعد أن خلقه، فكان مباينا له</w:t>
      </w:r>
      <w:r w:rsidR="000636C2">
        <w:rPr>
          <w:rFonts w:hint="cs"/>
          <w:rtl/>
        </w:rPr>
        <w:t>،</w:t>
      </w:r>
      <w:r w:rsidRPr="005675B2">
        <w:rPr>
          <w:rFonts w:hint="cs"/>
          <w:rtl/>
        </w:rPr>
        <w:t xml:space="preserve"> وأرادوا بقوله</w:t>
      </w:r>
      <w:r w:rsidR="000636C2">
        <w:rPr>
          <w:rFonts w:hint="cs"/>
          <w:rtl/>
        </w:rPr>
        <w:t>:</w:t>
      </w:r>
      <w:r w:rsidRPr="005675B2">
        <w:rPr>
          <w:rFonts w:hint="cs"/>
          <w:rtl/>
        </w:rPr>
        <w:t xml:space="preserve"> « ولا خارجه » نفي الإبتعاد بالمسافة ونفي الجهة، فليس في هذا الكلام رفع للنقيضين وذلك لأن كون الشيئ داخل الشيئ، وكونه خارجه، بمعنى الإبتعاد عنه بمسافة وكونه في جهة منه، ضدان لا يجوز العقل اجتماعهما، ويجوز ارتفاعهما في اللامكاني، والله تعالى لا مكاني، كما يجوز ارتفاع الألوان كلها عن اللالوني، وليسا بنقيضين لا يجوز اجتماعهما ولا ارتفاعهما</w:t>
      </w:r>
      <w:r w:rsidR="000636C2">
        <w:rPr>
          <w:rFonts w:hint="cs"/>
          <w:rtl/>
        </w:rPr>
        <w:t>،</w:t>
      </w:r>
      <w:r w:rsidRPr="005675B2">
        <w:rPr>
          <w:rFonts w:hint="cs"/>
          <w:rtl/>
        </w:rPr>
        <w:t xml:space="preserve"> وإنما النقيضان اللذان لا يجوز اجتماعهما ولا ارتفاعهما هو كون الشيئ داخل الشيئ ولا داخلا فيه، وكونه خارجا عنه ولا خارجا عنه، ولم يقل أحد من الأشاعرة</w:t>
      </w:r>
      <w:r w:rsidR="000636C2">
        <w:rPr>
          <w:rFonts w:hint="cs"/>
          <w:rtl/>
        </w:rPr>
        <w:t>:</w:t>
      </w:r>
      <w:r w:rsidRPr="005675B2">
        <w:rPr>
          <w:rFonts w:hint="cs"/>
          <w:rtl/>
        </w:rPr>
        <w:t xml:space="preserve"> إن الله تعالى داخل العالم ولا داخله، ولا أنه تعالى خارج العالم ولا خارجه حتى يكونوا جامعين بين النقيضين أو رافعين لهما</w:t>
      </w:r>
      <w:r w:rsidR="000636C2">
        <w:rPr>
          <w:rFonts w:hint="cs"/>
          <w:rtl/>
        </w:rPr>
        <w:t>،</w:t>
      </w:r>
      <w:r w:rsidRPr="005675B2">
        <w:rPr>
          <w:rFonts w:hint="cs"/>
          <w:rtl/>
        </w:rPr>
        <w:t xml:space="preserve"> ويقال نفس الشيئ في قول الأشاعرة</w:t>
      </w:r>
      <w:r w:rsidR="000636C2">
        <w:rPr>
          <w:rFonts w:hint="cs"/>
          <w:rtl/>
        </w:rPr>
        <w:t>:</w:t>
      </w:r>
      <w:r w:rsidRPr="005675B2">
        <w:rPr>
          <w:rFonts w:hint="cs"/>
          <w:rtl/>
        </w:rPr>
        <w:t xml:space="preserve"> </w:t>
      </w:r>
      <w:r w:rsidR="000636C2">
        <w:rPr>
          <w:rFonts w:hint="cs"/>
          <w:rtl/>
        </w:rPr>
        <w:t>(</w:t>
      </w:r>
      <w:r w:rsidRPr="005675B2">
        <w:rPr>
          <w:rFonts w:hint="cs"/>
          <w:rtl/>
        </w:rPr>
        <w:t>إن الله تعالى لا فوق العالم ولا تحته، ولا عن يمينه ولا عن شماله</w:t>
      </w:r>
      <w:r w:rsidR="000636C2">
        <w:rPr>
          <w:rFonts w:hint="cs"/>
          <w:rtl/>
        </w:rPr>
        <w:t>)</w:t>
      </w:r>
      <w:r w:rsidRPr="005675B2">
        <w:rPr>
          <w:rFonts w:hint="cs"/>
          <w:rtl/>
        </w:rPr>
        <w:t xml:space="preserve"> وذلك أن الفوق والتحت واليمين والشمال من الأضداد لا يجوز اجتماعها، ويجوز ارتفاعها كلها كما في اللامكاني، ولو كان الأشاعرة قالوا</w:t>
      </w:r>
      <w:r w:rsidR="000636C2">
        <w:rPr>
          <w:rFonts w:hint="cs"/>
          <w:rtl/>
        </w:rPr>
        <w:t>:</w:t>
      </w:r>
      <w:r w:rsidRPr="005675B2">
        <w:rPr>
          <w:rFonts w:hint="cs"/>
          <w:rtl/>
        </w:rPr>
        <w:t xml:space="preserve"> إن الله تعالى فوق العالم ولا فوقه .. الخ لكان قولا بالجمع بين النقيضين الذي قالوا بإمتناعه</w:t>
      </w:r>
      <w:r w:rsidR="000636C2">
        <w:rPr>
          <w:rFonts w:hint="cs"/>
          <w:rtl/>
        </w:rPr>
        <w:t>،</w:t>
      </w:r>
    </w:p>
    <w:p w14:paraId="5E5784EA" w14:textId="21DFC60D" w:rsidR="009C32A0" w:rsidRPr="005675B2" w:rsidRDefault="009C32A0" w:rsidP="000636C2">
      <w:pPr>
        <w:rPr>
          <w:b/>
          <w:rtl/>
        </w:rPr>
      </w:pPr>
      <w:r w:rsidRPr="005675B2">
        <w:rPr>
          <w:rFonts w:hint="cs"/>
          <w:rtl/>
        </w:rPr>
        <w:t>ونظير هذا أنه يجوز لك أن تقول في حق الحجر والشجر</w:t>
      </w:r>
      <w:r w:rsidR="000636C2">
        <w:rPr>
          <w:rFonts w:hint="cs"/>
          <w:rtl/>
        </w:rPr>
        <w:t>:</w:t>
      </w:r>
      <w:r w:rsidRPr="005675B2">
        <w:rPr>
          <w:rFonts w:hint="cs"/>
          <w:rtl/>
        </w:rPr>
        <w:t xml:space="preserve"> إنهما ليسا بجاهلين كما أنهما ليسا بعالمين، وإنهما ليسا بأعميين كما أنهما ليسا بمبصرين، وذلك لأن الجهل عدم العلم عما من شأنه أن يكون عالما، وأن العمى عدم الإبصار عما من شأنه أن يكون مبصرا، وأما ما ليس من شأنه أن يكون عالما، ولا من شأنه أن يكون مبصرا كالحجر والشجر فكما لا يوصف بالعلم والإبصار لا يوصف بالجهل والعمي أيضا، فالعلم والجهل ضدان لا يجتمعان وقد يرتفعان، وكذلك العمي والإبصار، ومن هذا القبيل قول الأشاعرة المذكور</w:t>
      </w:r>
      <w:r w:rsidR="000636C2">
        <w:rPr>
          <w:rFonts w:hint="cs"/>
          <w:rtl/>
        </w:rPr>
        <w:t>،</w:t>
      </w:r>
    </w:p>
    <w:p w14:paraId="5E92DCE6" w14:textId="243EB89E" w:rsidR="009C32A0" w:rsidRPr="005675B2" w:rsidRDefault="009C32A0" w:rsidP="000636C2">
      <w:pPr>
        <w:rPr>
          <w:b/>
          <w:rtl/>
        </w:rPr>
      </w:pPr>
      <w:r w:rsidRPr="005675B2">
        <w:rPr>
          <w:rFonts w:hint="cs"/>
          <w:rtl/>
        </w:rPr>
        <w:t>فظهر بهذا البيان خطأ قول من قال</w:t>
      </w:r>
      <w:r w:rsidR="000636C2">
        <w:rPr>
          <w:rFonts w:hint="cs"/>
          <w:rtl/>
        </w:rPr>
        <w:t>:</w:t>
      </w:r>
      <w:r w:rsidRPr="005675B2">
        <w:rPr>
          <w:rFonts w:hint="cs"/>
          <w:rtl/>
        </w:rPr>
        <w:t xml:space="preserve"> إنه لا فرق بين قول الأشاعرة « إن الله تعالى ليس داخل العالم ولا خارجه ولا فوقه ولا تحته ولا عن يمينه ولا عن شماله » وبين قول من يقول</w:t>
      </w:r>
      <w:r w:rsidR="000636C2">
        <w:rPr>
          <w:rFonts w:hint="cs"/>
          <w:rtl/>
        </w:rPr>
        <w:t>:</w:t>
      </w:r>
      <w:r w:rsidRPr="005675B2">
        <w:rPr>
          <w:rFonts w:hint="cs"/>
          <w:rtl/>
        </w:rPr>
        <w:t xml:space="preserve"> إن الله تعالى غير موجود</w:t>
      </w:r>
      <w:r w:rsidR="000636C2">
        <w:rPr>
          <w:rFonts w:hint="cs"/>
          <w:rtl/>
        </w:rPr>
        <w:t>،</w:t>
      </w:r>
      <w:r w:rsidRPr="005675B2">
        <w:rPr>
          <w:rFonts w:hint="cs"/>
          <w:rtl/>
        </w:rPr>
        <w:t xml:space="preserve"> وأن منشأ هذا الخطأ عدم تفرقة هذا القائل بين النقيضين والضدين</w:t>
      </w:r>
      <w:r w:rsidR="000636C2">
        <w:rPr>
          <w:rFonts w:hint="cs"/>
          <w:rtl/>
        </w:rPr>
        <w:t>،</w:t>
      </w:r>
    </w:p>
    <w:p w14:paraId="43313FDE" w14:textId="77777777" w:rsidR="009C32A0" w:rsidRPr="005675B2" w:rsidRDefault="009C32A0" w:rsidP="000636C2">
      <w:pPr>
        <w:rPr>
          <w:b/>
          <w:rtl/>
        </w:rPr>
      </w:pPr>
    </w:p>
    <w:p w14:paraId="536BF918" w14:textId="6254F5AC" w:rsidR="009C32A0" w:rsidRPr="005675B2" w:rsidRDefault="009C32A0" w:rsidP="000636C2">
      <w:pPr>
        <w:rPr>
          <w:b/>
          <w:rtl/>
        </w:rPr>
      </w:pPr>
      <w:r w:rsidRPr="005675B2">
        <w:rPr>
          <w:rFonts w:hint="cs"/>
          <w:rtl/>
        </w:rPr>
        <w:t>وقد كتبت رسالة في مسألة العلو والفوقية لله تعالى، فرأيت من المناسب أن أوردها هنا</w:t>
      </w:r>
      <w:r w:rsidR="000636C2">
        <w:rPr>
          <w:rFonts w:hint="cs"/>
          <w:rtl/>
        </w:rPr>
        <w:t>،</w:t>
      </w:r>
      <w:r w:rsidRPr="005675B2">
        <w:rPr>
          <w:rFonts w:hint="cs"/>
          <w:rtl/>
        </w:rPr>
        <w:t xml:space="preserve"> وهذا نص الرسالة</w:t>
      </w:r>
    </w:p>
    <w:p w14:paraId="703FF890" w14:textId="77777777" w:rsidR="009C32A0" w:rsidRPr="005675B2" w:rsidRDefault="009C32A0" w:rsidP="000636C2">
      <w:pPr>
        <w:rPr>
          <w:b/>
          <w:rtl/>
        </w:rPr>
      </w:pPr>
    </w:p>
    <w:p w14:paraId="612FAD43" w14:textId="6AEC41D3" w:rsidR="009C32A0" w:rsidRPr="005675B2" w:rsidRDefault="009C32A0" w:rsidP="000636C2">
      <w:pPr>
        <w:rPr>
          <w:b/>
          <w:rtl/>
        </w:rPr>
      </w:pPr>
      <w:r w:rsidRPr="005675B2">
        <w:rPr>
          <w:rFonts w:hint="cs"/>
          <w:rtl/>
        </w:rPr>
        <w:t>72 - العلو والفوقية لله تعالى</w:t>
      </w:r>
      <w:r w:rsidR="000636C2">
        <w:rPr>
          <w:rFonts w:hint="cs"/>
          <w:rtl/>
        </w:rPr>
        <w:t>:</w:t>
      </w:r>
    </w:p>
    <w:p w14:paraId="7D16D467" w14:textId="77777777" w:rsidR="009C32A0" w:rsidRPr="005675B2" w:rsidRDefault="009C32A0" w:rsidP="000636C2">
      <w:pPr>
        <w:rPr>
          <w:b/>
          <w:rtl/>
        </w:rPr>
      </w:pPr>
      <w:r w:rsidRPr="005675B2">
        <w:rPr>
          <w:rFonts w:hint="cs"/>
          <w:rtl/>
        </w:rPr>
        <w:t>بسم الله الرحمن الرحيم</w:t>
      </w:r>
    </w:p>
    <w:p w14:paraId="6FDF774A" w14:textId="77777777" w:rsidR="009C32A0" w:rsidRPr="005675B2" w:rsidRDefault="009C32A0" w:rsidP="000636C2">
      <w:pPr>
        <w:rPr>
          <w:b/>
          <w:rtl/>
        </w:rPr>
      </w:pPr>
      <w:r w:rsidRPr="005675B2">
        <w:rPr>
          <w:rFonts w:hint="cs"/>
          <w:rtl/>
        </w:rPr>
        <w:t>من عقائد أهل السنة أن الله تعالى منزه عن الجهة والمكان،</w:t>
      </w:r>
    </w:p>
    <w:p w14:paraId="6AF04618" w14:textId="184768F4" w:rsidR="009C32A0" w:rsidRPr="005675B2" w:rsidRDefault="009C32A0" w:rsidP="000636C2">
      <w:pPr>
        <w:rPr>
          <w:b/>
          <w:rtl/>
        </w:rPr>
      </w:pPr>
      <w:r w:rsidRPr="005675B2">
        <w:rPr>
          <w:rFonts w:hint="cs"/>
          <w:rtl/>
        </w:rPr>
        <w:t xml:space="preserve">فنورد </w:t>
      </w:r>
      <w:r w:rsidR="000636C2">
        <w:rPr>
          <w:rFonts w:hint="cs"/>
          <w:rtl/>
        </w:rPr>
        <w:t>(</w:t>
      </w:r>
      <w:r>
        <w:rPr>
          <w:rFonts w:hint="cs"/>
          <w:rtl/>
        </w:rPr>
        <w:t>أولا</w:t>
      </w:r>
      <w:r w:rsidR="000636C2">
        <w:rPr>
          <w:rFonts w:hint="cs"/>
          <w:rtl/>
        </w:rPr>
        <w:t>)</w:t>
      </w:r>
      <w:r w:rsidRPr="005675B2">
        <w:rPr>
          <w:rFonts w:hint="cs"/>
          <w:rtl/>
        </w:rPr>
        <w:t xml:space="preserve"> ما استدلوا به على المسألة، ثم نشرح ست كلمات متعلقة بها، ثم نحقق المسألة، ونحاول بذلك الجمع بين قول القائلين بالجهة وقول القائلين بتنزه الله تعالى عنها</w:t>
      </w:r>
      <w:r w:rsidR="000636C2">
        <w:rPr>
          <w:rFonts w:hint="cs"/>
          <w:rtl/>
        </w:rPr>
        <w:t>،</w:t>
      </w:r>
    </w:p>
    <w:p w14:paraId="1EBDFC6F" w14:textId="2F85BDB7" w:rsidR="009C32A0" w:rsidRPr="005675B2" w:rsidRDefault="000636C2" w:rsidP="000636C2">
      <w:pPr>
        <w:rPr>
          <w:b/>
          <w:rtl/>
        </w:rPr>
      </w:pPr>
      <w:r>
        <w:rPr>
          <w:rFonts w:hint="cs"/>
          <w:rtl/>
        </w:rPr>
        <w:t>[</w:t>
      </w:r>
      <w:r w:rsidR="009C32A0" w:rsidRPr="005675B2">
        <w:rPr>
          <w:rFonts w:hint="cs"/>
          <w:rtl/>
        </w:rPr>
        <w:t>الدلائل على أن الله تعالى منزه عن الجهة</w:t>
      </w:r>
      <w:r>
        <w:rPr>
          <w:rFonts w:hint="cs"/>
          <w:rtl/>
        </w:rPr>
        <w:t>]</w:t>
      </w:r>
    </w:p>
    <w:p w14:paraId="7989EF95" w14:textId="788F6F83" w:rsidR="009C32A0" w:rsidRPr="005675B2" w:rsidRDefault="009C32A0" w:rsidP="000636C2">
      <w:pPr>
        <w:rPr>
          <w:b/>
          <w:rtl/>
        </w:rPr>
      </w:pPr>
      <w:r w:rsidRPr="005675B2">
        <w:rPr>
          <w:rFonts w:hint="cs"/>
          <w:rtl/>
        </w:rPr>
        <w:t>1 - قال النسفي في شرح العمدة استدلالا على ذلك</w:t>
      </w:r>
      <w:r w:rsidR="000636C2">
        <w:rPr>
          <w:rFonts w:hint="cs"/>
          <w:rtl/>
        </w:rPr>
        <w:t>:</w:t>
      </w:r>
      <w:r w:rsidRPr="005675B2">
        <w:rPr>
          <w:rFonts w:hint="cs"/>
          <w:rtl/>
        </w:rPr>
        <w:t xml:space="preserve"> الصور والجهات مختلفة، واجتماعها عليه تعالى مستحيل لتنافيها في أنفسها، وليس البعض أولى من البعض لاستواء الكل في إفادة المدح والنقص وعدم دلالة المحدثات عليه، فلو اختص بجهة لكان بتخصيص مخصص وهذا من أمارات الحدوث</w:t>
      </w:r>
      <w:r w:rsidR="000636C2">
        <w:rPr>
          <w:rFonts w:hint="cs"/>
          <w:rtl/>
        </w:rPr>
        <w:t>،</w:t>
      </w:r>
    </w:p>
    <w:p w14:paraId="3BB92F59" w14:textId="2AF31349" w:rsidR="009C32A0" w:rsidRPr="005675B2" w:rsidRDefault="009C32A0" w:rsidP="000636C2">
      <w:pPr>
        <w:rPr>
          <w:b/>
          <w:rtl/>
        </w:rPr>
      </w:pPr>
      <w:r w:rsidRPr="005675B2">
        <w:rPr>
          <w:rFonts w:hint="cs"/>
          <w:rtl/>
        </w:rPr>
        <w:t>2 - وقال السبكي</w:t>
      </w:r>
      <w:r w:rsidR="000636C2">
        <w:rPr>
          <w:rFonts w:hint="cs"/>
          <w:rtl/>
        </w:rPr>
        <w:t>:</w:t>
      </w:r>
      <w:r w:rsidRPr="005675B2">
        <w:rPr>
          <w:rFonts w:hint="cs"/>
          <w:rtl/>
        </w:rPr>
        <w:t xml:space="preserve"> صانع العالم لا يكون في جهة لأنه لو كان في جهة لكان في مكان ضرورة أنها المكان أو المستلزمة له، ولو كان في مكان لكان متحيزاً، ولو كان متحيزاً لكان مفتقراً إلى حيزه ومكانه، فلا يكون واجب الوجود، وثبت أنه واجب الوجود، وهذا خلف</w:t>
      </w:r>
      <w:r w:rsidR="000636C2">
        <w:rPr>
          <w:rFonts w:hint="cs"/>
          <w:rtl/>
        </w:rPr>
        <w:t>،</w:t>
      </w:r>
    </w:p>
    <w:p w14:paraId="4A5A4BDD" w14:textId="47DD6A52" w:rsidR="009C32A0" w:rsidRPr="005675B2" w:rsidRDefault="009C32A0" w:rsidP="000636C2">
      <w:pPr>
        <w:rPr>
          <w:b/>
          <w:rtl/>
        </w:rPr>
      </w:pPr>
      <w:r w:rsidRPr="005675B2">
        <w:rPr>
          <w:rFonts w:hint="cs"/>
          <w:rtl/>
        </w:rPr>
        <w:t>3 -</w:t>
      </w:r>
      <w:r w:rsidR="000636C2">
        <w:rPr>
          <w:rFonts w:hint="cs"/>
          <w:rtl/>
        </w:rPr>
        <w:t xml:space="preserve"> </w:t>
      </w:r>
      <w:r w:rsidRPr="005675B2">
        <w:rPr>
          <w:rFonts w:hint="cs"/>
          <w:rtl/>
        </w:rPr>
        <w:t>وأيضاً لو كان في جهة فإما في كل الجهات، وهو محال وشنيع، وإما في البعض فيلزم الاختصاص المستلزم للافتقار إلى المخصص المنافي للوجوب</w:t>
      </w:r>
      <w:r w:rsidR="000636C2">
        <w:rPr>
          <w:rFonts w:hint="cs"/>
          <w:rtl/>
        </w:rPr>
        <w:t>،</w:t>
      </w:r>
      <w:r w:rsidRPr="005675B2">
        <w:rPr>
          <w:rFonts w:hint="cs"/>
          <w:rtl/>
        </w:rPr>
        <w:t xml:space="preserve"> نقل كلام النسفي والسبكي الزبيدي في “ إتحاف السادة المتقين 2/104</w:t>
      </w:r>
      <w:r w:rsidR="000636C2">
        <w:rPr>
          <w:rFonts w:hint="cs"/>
          <w:rtl/>
        </w:rPr>
        <w:t>،</w:t>
      </w:r>
    </w:p>
    <w:p w14:paraId="051D31A9" w14:textId="2BD94D38" w:rsidR="009C32A0" w:rsidRPr="005675B2" w:rsidRDefault="009C32A0" w:rsidP="000636C2">
      <w:pPr>
        <w:rPr>
          <w:b/>
          <w:rtl/>
        </w:rPr>
      </w:pPr>
      <w:r w:rsidRPr="005675B2">
        <w:rPr>
          <w:rFonts w:hint="cs"/>
          <w:rtl/>
        </w:rPr>
        <w:t xml:space="preserve">4 - ومن الدليل على تنزه الله تعالى عن الجهة والمكان من السنة ما رواه مسلم في صحيحه </w:t>
      </w:r>
      <w:r w:rsidR="000636C2">
        <w:rPr>
          <w:rFonts w:hint="cs"/>
          <w:rtl/>
        </w:rPr>
        <w:t>(</w:t>
      </w:r>
      <w:r w:rsidRPr="005675B2">
        <w:rPr>
          <w:rFonts w:hint="cs"/>
          <w:rtl/>
        </w:rPr>
        <w:t>4/2804</w:t>
      </w:r>
      <w:r w:rsidR="000636C2">
        <w:rPr>
          <w:rFonts w:hint="cs"/>
          <w:rtl/>
        </w:rPr>
        <w:t>)</w:t>
      </w:r>
      <w:r w:rsidRPr="005675B2">
        <w:rPr>
          <w:rFonts w:hint="cs"/>
          <w:rtl/>
        </w:rPr>
        <w:t xml:space="preserve"> عن أبي هريرة رضي الله تعالى عنه أن رسول الله صلى الله تعالى عليه وآله وسلم كان يقول في دعائه</w:t>
      </w:r>
      <w:r w:rsidR="000636C2">
        <w:rPr>
          <w:rFonts w:hint="cs"/>
          <w:rtl/>
        </w:rPr>
        <w:t>:</w:t>
      </w:r>
    </w:p>
    <w:p w14:paraId="4C06C1BD" w14:textId="2767F09D" w:rsidR="009C32A0" w:rsidRPr="005675B2" w:rsidRDefault="009C32A0" w:rsidP="000636C2">
      <w:pPr>
        <w:rPr>
          <w:b/>
          <w:rtl/>
        </w:rPr>
      </w:pPr>
      <w:r w:rsidRPr="005675B2">
        <w:rPr>
          <w:rFonts w:hint="cs"/>
          <w:rtl/>
        </w:rPr>
        <w:t>(</w:t>
      </w:r>
      <w:r w:rsidR="000636C2">
        <w:rPr>
          <w:rFonts w:hint="cs"/>
          <w:rtl/>
        </w:rPr>
        <w:t>(</w:t>
      </w:r>
      <w:r w:rsidRPr="005675B2">
        <w:rPr>
          <w:rFonts w:hint="cs"/>
          <w:rtl/>
        </w:rPr>
        <w:t>اللهم أنت الأول فليس قبلك شيء، وأنت الآخر فليس بعدك شيء، وأنت الظاهر فليس فوقك شيء، وأنت الباطن فليس دونك شيء، اقض عنا الدين وأغننا من الفقر</w:t>
      </w:r>
      <w:r w:rsidR="000636C2">
        <w:rPr>
          <w:rFonts w:hint="cs"/>
          <w:rtl/>
        </w:rPr>
        <w:t>)</w:t>
      </w:r>
      <w:r w:rsidRPr="005675B2">
        <w:rPr>
          <w:rFonts w:hint="cs"/>
          <w:rtl/>
        </w:rPr>
        <w:t xml:space="preserve"> قال الإمام الحافظ البيهقي في “ الأسماء الصفات “</w:t>
      </w:r>
      <w:r w:rsidR="000636C2">
        <w:rPr>
          <w:rFonts w:hint="cs"/>
          <w:rtl/>
        </w:rPr>
        <w:t xml:space="preserve"> </w:t>
      </w:r>
      <w:r w:rsidRPr="005675B2">
        <w:rPr>
          <w:rFonts w:hint="cs"/>
          <w:rtl/>
        </w:rPr>
        <w:t>ص41</w:t>
      </w:r>
      <w:r w:rsidR="000636C2">
        <w:rPr>
          <w:rFonts w:hint="cs"/>
          <w:rtl/>
        </w:rPr>
        <w:t>:</w:t>
      </w:r>
      <w:r w:rsidRPr="005675B2">
        <w:rPr>
          <w:rFonts w:hint="cs"/>
          <w:rtl/>
        </w:rPr>
        <w:t xml:space="preserve"> استدل بعض أصحابنا بهذا الحديث على نفي المكان عن الله، فإذا لم يكن فوقه شيء ولا دونه شيء لم يكن في مكان</w:t>
      </w:r>
      <w:r w:rsidR="000636C2">
        <w:rPr>
          <w:rFonts w:hint="cs"/>
          <w:rtl/>
        </w:rPr>
        <w:t>،</w:t>
      </w:r>
    </w:p>
    <w:p w14:paraId="3A4342FB" w14:textId="02F3AB1A" w:rsidR="009C32A0" w:rsidRPr="005675B2" w:rsidRDefault="000636C2" w:rsidP="000636C2">
      <w:pPr>
        <w:rPr>
          <w:b/>
          <w:rtl/>
        </w:rPr>
      </w:pPr>
      <w:r>
        <w:rPr>
          <w:rFonts w:hint="cs"/>
          <w:rtl/>
        </w:rPr>
        <w:t>[</w:t>
      </w:r>
      <w:r w:rsidR="009C32A0" w:rsidRPr="005675B2">
        <w:rPr>
          <w:rFonts w:hint="cs"/>
          <w:rtl/>
        </w:rPr>
        <w:t>الكلمات المتعلقة بالمسألة</w:t>
      </w:r>
      <w:r>
        <w:rPr>
          <w:rFonts w:hint="cs"/>
          <w:rtl/>
        </w:rPr>
        <w:t>]</w:t>
      </w:r>
    </w:p>
    <w:p w14:paraId="416D706C" w14:textId="7F975AC2" w:rsidR="009C32A0" w:rsidRPr="005675B2" w:rsidRDefault="009C32A0" w:rsidP="000636C2">
      <w:pPr>
        <w:rPr>
          <w:b/>
          <w:rtl/>
        </w:rPr>
      </w:pPr>
      <w:r w:rsidRPr="005675B2">
        <w:rPr>
          <w:rFonts w:hint="cs"/>
          <w:rtl/>
        </w:rPr>
        <w:t>ونشرح هنا ست كلمات متعلقة بهذه المسألة يكثر دورانها ويقع الاشتباه والزلل فيها، يكون شرحها مساعدا لتحقيق المسألة وفهمها وهي “ لفظ الجهة “</w:t>
      </w:r>
      <w:r w:rsidR="000636C2">
        <w:rPr>
          <w:rFonts w:hint="cs"/>
          <w:rtl/>
        </w:rPr>
        <w:t xml:space="preserve"> </w:t>
      </w:r>
      <w:r w:rsidRPr="005675B2">
        <w:rPr>
          <w:rFonts w:hint="cs"/>
          <w:rtl/>
        </w:rPr>
        <w:t>و “ أنه تعالى فوق عرشه “</w:t>
      </w:r>
      <w:r w:rsidR="000636C2">
        <w:rPr>
          <w:rFonts w:hint="cs"/>
          <w:rtl/>
        </w:rPr>
        <w:t xml:space="preserve"> </w:t>
      </w:r>
      <w:r w:rsidRPr="005675B2">
        <w:rPr>
          <w:rFonts w:hint="cs"/>
          <w:rtl/>
        </w:rPr>
        <w:t>وأنه “ بائن عن خلقه “</w:t>
      </w:r>
      <w:r w:rsidR="000636C2">
        <w:rPr>
          <w:rFonts w:hint="cs"/>
          <w:rtl/>
        </w:rPr>
        <w:t xml:space="preserve"> </w:t>
      </w:r>
      <w:r w:rsidRPr="005675B2">
        <w:rPr>
          <w:rFonts w:hint="cs"/>
          <w:rtl/>
        </w:rPr>
        <w:t>و “ أنه تعالى ليس بداخل العالم ولا خارجه “</w:t>
      </w:r>
      <w:r w:rsidR="000636C2">
        <w:rPr>
          <w:rFonts w:hint="cs"/>
          <w:rtl/>
        </w:rPr>
        <w:t xml:space="preserve"> </w:t>
      </w:r>
      <w:r w:rsidRPr="005675B2">
        <w:rPr>
          <w:rFonts w:hint="cs"/>
          <w:rtl/>
        </w:rPr>
        <w:t>و “ أنه استوى على العرش “</w:t>
      </w:r>
      <w:r w:rsidR="000636C2">
        <w:rPr>
          <w:rFonts w:hint="cs"/>
          <w:rtl/>
        </w:rPr>
        <w:t>،</w:t>
      </w:r>
      <w:r w:rsidRPr="005675B2">
        <w:rPr>
          <w:rFonts w:hint="cs"/>
          <w:rtl/>
        </w:rPr>
        <w:t xml:space="preserve"> و “ أنه تعالى في السماء “</w:t>
      </w:r>
      <w:r w:rsidR="000636C2">
        <w:rPr>
          <w:rFonts w:hint="cs"/>
          <w:rtl/>
        </w:rPr>
        <w:t>،</w:t>
      </w:r>
    </w:p>
    <w:p w14:paraId="1E7EC5E3" w14:textId="5B5A2441" w:rsidR="009C32A0" w:rsidRPr="005675B2" w:rsidRDefault="009C32A0" w:rsidP="000636C2">
      <w:pPr>
        <w:rPr>
          <w:b/>
          <w:rtl/>
        </w:rPr>
      </w:pPr>
      <w:r w:rsidRPr="005675B2">
        <w:rPr>
          <w:rFonts w:hint="cs"/>
          <w:rtl/>
        </w:rPr>
        <w:t xml:space="preserve">1 - </w:t>
      </w:r>
      <w:r w:rsidRPr="005675B2">
        <w:rPr>
          <w:rFonts w:hint="cs"/>
          <w:rtl/>
        </w:rPr>
        <w:tab/>
        <w:t xml:space="preserve">أما لفظ الجهة فلم يقع ذكره في حق الله تعالى في كتاب الله ولا في سنة رسول الله صلى الله تعالى عليه وآله وسلم، ولا في لفظ صحابي أو تابعي، ولا في كلام أحد ممن تكلم في ذات الله تعالى وصفاته سوى إقحام المجسمة، قاله الكوثري في تكملة الرد على نونية ابن القيم </w:t>
      </w:r>
      <w:r w:rsidR="000636C2">
        <w:rPr>
          <w:rFonts w:hint="cs"/>
          <w:rtl/>
        </w:rPr>
        <w:t>(</w:t>
      </w:r>
      <w:r w:rsidRPr="005675B2">
        <w:rPr>
          <w:rFonts w:hint="cs"/>
          <w:rtl/>
        </w:rPr>
        <w:t>117</w:t>
      </w:r>
      <w:r w:rsidR="000636C2">
        <w:rPr>
          <w:rFonts w:hint="cs"/>
          <w:rtl/>
        </w:rPr>
        <w:t>)</w:t>
      </w:r>
      <w:r w:rsidRPr="005675B2">
        <w:rPr>
          <w:rFonts w:hint="cs"/>
          <w:rtl/>
        </w:rPr>
        <w:t xml:space="preserve"> وقال في صفحة </w:t>
      </w:r>
      <w:r w:rsidR="000636C2">
        <w:rPr>
          <w:rFonts w:hint="cs"/>
          <w:rtl/>
        </w:rPr>
        <w:t>(</w:t>
      </w:r>
      <w:r w:rsidRPr="005675B2">
        <w:rPr>
          <w:rFonts w:hint="cs"/>
          <w:rtl/>
        </w:rPr>
        <w:t>54</w:t>
      </w:r>
      <w:r w:rsidR="000636C2">
        <w:rPr>
          <w:rFonts w:hint="cs"/>
          <w:rtl/>
        </w:rPr>
        <w:t>)،</w:t>
      </w:r>
    </w:p>
    <w:p w14:paraId="007A6977" w14:textId="0E6136F8" w:rsidR="009C32A0" w:rsidRPr="005675B2" w:rsidRDefault="009C32A0" w:rsidP="000636C2">
      <w:pPr>
        <w:rPr>
          <w:b/>
          <w:rtl/>
        </w:rPr>
      </w:pPr>
      <w:r w:rsidRPr="005675B2">
        <w:rPr>
          <w:rFonts w:hint="cs"/>
          <w:rtl/>
        </w:rPr>
        <w:t xml:space="preserve">2 - </w:t>
      </w:r>
      <w:r w:rsidRPr="005675B2">
        <w:rPr>
          <w:rFonts w:hint="cs"/>
          <w:rtl/>
        </w:rPr>
        <w:tab/>
        <w:t>وأما لفظ أنه تعالى فوق عرشه فلم يرد مرفوعاً إلا في بعض طرق حديث الأوعال من رواية ابن منده في كتاب التوحيد وأسانيده مثخنة بالجراح، بل خبر الأوعال ملفق من الإسرائيليات كما نص عليه أبو بكر بن العربي في شرح سنن الترمذي</w:t>
      </w:r>
      <w:r w:rsidR="000636C2">
        <w:rPr>
          <w:rFonts w:hint="cs"/>
          <w:rtl/>
        </w:rPr>
        <w:t>،</w:t>
      </w:r>
    </w:p>
    <w:p w14:paraId="732C9F18" w14:textId="51469DB3" w:rsidR="009C32A0" w:rsidRPr="005675B2" w:rsidRDefault="009C32A0" w:rsidP="000636C2">
      <w:pPr>
        <w:rPr>
          <w:b/>
          <w:rtl/>
        </w:rPr>
      </w:pPr>
      <w:r w:rsidRPr="005675B2">
        <w:rPr>
          <w:rFonts w:hint="cs"/>
          <w:rtl/>
        </w:rPr>
        <w:t xml:space="preserve">3 - </w:t>
      </w:r>
      <w:r w:rsidRPr="005675B2">
        <w:rPr>
          <w:rFonts w:hint="cs"/>
          <w:rtl/>
        </w:rPr>
        <w:tab/>
        <w:t xml:space="preserve">وأما أنه تعالى بائن عن خلقه فقد نقل البيهقي في “ الأسماء والصفات </w:t>
      </w:r>
      <w:smartTag w:uri="urn:schemas-microsoft-com:office:smarttags" w:element="metricconverter">
        <w:smartTagPr>
          <w:attr w:name="ProductID" w:val="411 “"/>
        </w:smartTagPr>
        <w:r w:rsidRPr="005675B2">
          <w:rPr>
            <w:rFonts w:hint="cs"/>
            <w:rtl/>
          </w:rPr>
          <w:t>411 “</w:t>
        </w:r>
      </w:smartTag>
      <w:r w:rsidR="000636C2">
        <w:rPr>
          <w:rFonts w:hint="cs"/>
          <w:rtl/>
        </w:rPr>
        <w:t xml:space="preserve"> </w:t>
      </w:r>
      <w:r w:rsidRPr="005675B2">
        <w:rPr>
          <w:rFonts w:hint="cs"/>
          <w:rtl/>
        </w:rPr>
        <w:t>عن أبي الحسن الأشعري أنه قال</w:t>
      </w:r>
      <w:r w:rsidR="000636C2">
        <w:rPr>
          <w:rFonts w:hint="cs"/>
          <w:rtl/>
        </w:rPr>
        <w:t>:</w:t>
      </w:r>
      <w:r w:rsidRPr="005675B2">
        <w:rPr>
          <w:rFonts w:hint="cs"/>
          <w:rtl/>
        </w:rPr>
        <w:t xml:space="preserve"> إن الله مستو على عرشه، وأنه فوق الأشياء بائن منها بمعنى أنها لا تحله ولا يحلها، ولا يمسها ولا يشبهها، وليست البينونة بالعزلة تعالى الله عن الحلول والمماثلة علواً كبيراً</w:t>
      </w:r>
      <w:r w:rsidR="000636C2">
        <w:rPr>
          <w:rFonts w:hint="cs"/>
          <w:rtl/>
        </w:rPr>
        <w:t>،</w:t>
      </w:r>
    </w:p>
    <w:p w14:paraId="11E043A6" w14:textId="0EC25785" w:rsidR="009C32A0" w:rsidRPr="005675B2" w:rsidRDefault="009C32A0" w:rsidP="000636C2">
      <w:pPr>
        <w:rPr>
          <w:b/>
          <w:rtl/>
        </w:rPr>
      </w:pPr>
      <w:r w:rsidRPr="005675B2">
        <w:rPr>
          <w:rFonts w:hint="cs"/>
          <w:rtl/>
        </w:rPr>
        <w:t>يعني أن البينونة التي أثبتها الإمام أبو الحسن وغيره لله تعالى بمعنى نفي الممازجة والاختلاط وليست بمعنى الاعتزال والتباعد، لأن المماسة والمباينة التي هي ضدها -كما قال - من أوصاف الأجسام، والله عز وجل أحد صمد لم يلد ولم يولد ولم يكن له كفواً أحد</w:t>
      </w:r>
      <w:r w:rsidR="000636C2">
        <w:rPr>
          <w:rFonts w:hint="cs"/>
          <w:rtl/>
        </w:rPr>
        <w:t>،</w:t>
      </w:r>
    </w:p>
    <w:p w14:paraId="638FF3EB" w14:textId="48F37B73" w:rsidR="009C32A0" w:rsidRPr="005675B2" w:rsidRDefault="009C32A0" w:rsidP="000636C2">
      <w:pPr>
        <w:rPr>
          <w:b/>
          <w:rtl/>
        </w:rPr>
      </w:pPr>
      <w:r w:rsidRPr="005675B2">
        <w:rPr>
          <w:rFonts w:hint="cs"/>
          <w:rtl/>
        </w:rPr>
        <w:t>فلا يجوز عليه ما يجوز على الأجسام</w:t>
      </w:r>
      <w:r w:rsidR="000636C2">
        <w:rPr>
          <w:rFonts w:hint="cs"/>
          <w:rtl/>
        </w:rPr>
        <w:t>،</w:t>
      </w:r>
    </w:p>
    <w:p w14:paraId="248D7C8D" w14:textId="6F900D61" w:rsidR="009C32A0" w:rsidRPr="005675B2" w:rsidRDefault="009C32A0" w:rsidP="000636C2">
      <w:pPr>
        <w:rPr>
          <w:b/>
          <w:rtl/>
        </w:rPr>
      </w:pPr>
      <w:r w:rsidRPr="005675B2">
        <w:rPr>
          <w:rFonts w:hint="cs"/>
          <w:rtl/>
        </w:rPr>
        <w:t xml:space="preserve">وقال العلامة المحقق محمد زاهد الكوثري في تكملة الرد على نونية ابن القيم </w:t>
      </w:r>
      <w:r w:rsidR="000636C2">
        <w:rPr>
          <w:rFonts w:hint="cs"/>
          <w:rtl/>
        </w:rPr>
        <w:t>(</w:t>
      </w:r>
      <w:r w:rsidRPr="005675B2">
        <w:rPr>
          <w:rFonts w:hint="cs"/>
          <w:rtl/>
        </w:rPr>
        <w:t>53 - 54</w:t>
      </w:r>
      <w:r w:rsidR="000636C2">
        <w:rPr>
          <w:rFonts w:hint="cs"/>
          <w:rtl/>
        </w:rPr>
        <w:t>):</w:t>
      </w:r>
    </w:p>
    <w:p w14:paraId="62F00290" w14:textId="717CB730" w:rsidR="009C32A0" w:rsidRPr="005675B2" w:rsidRDefault="009C32A0" w:rsidP="000636C2">
      <w:pPr>
        <w:rPr>
          <w:b/>
          <w:rtl/>
        </w:rPr>
      </w:pPr>
      <w:r w:rsidRPr="005675B2">
        <w:rPr>
          <w:rFonts w:hint="cs"/>
          <w:rtl/>
        </w:rPr>
        <w:t>ولفظ “ بائن عن خلقه “</w:t>
      </w:r>
      <w:r w:rsidR="000636C2">
        <w:rPr>
          <w:rFonts w:hint="cs"/>
          <w:rtl/>
        </w:rPr>
        <w:t xml:space="preserve"> </w:t>
      </w:r>
      <w:r w:rsidRPr="005675B2">
        <w:rPr>
          <w:rFonts w:hint="cs"/>
          <w:rtl/>
        </w:rPr>
        <w:t xml:space="preserve">لم يرد في كتاب ولا سنة، وإنما أطلقه من أطلقه من السلف بمعنى نفي الممازجة رداً على جهم، </w:t>
      </w:r>
      <w:r w:rsidR="000636C2">
        <w:rPr>
          <w:rFonts w:hint="cs"/>
          <w:rtl/>
        </w:rPr>
        <w:t>(</w:t>
      </w:r>
      <w:r w:rsidRPr="005675B2">
        <w:rPr>
          <w:rFonts w:hint="cs"/>
          <w:rtl/>
        </w:rPr>
        <w:t>يعنى في قوله</w:t>
      </w:r>
      <w:r w:rsidR="000636C2">
        <w:rPr>
          <w:rFonts w:hint="cs"/>
          <w:rtl/>
        </w:rPr>
        <w:t>:</w:t>
      </w:r>
      <w:r w:rsidRPr="005675B2">
        <w:rPr>
          <w:rFonts w:hint="cs"/>
          <w:rtl/>
        </w:rPr>
        <w:t xml:space="preserve"> إن الله في كل مكان</w:t>
      </w:r>
      <w:r w:rsidR="000636C2">
        <w:rPr>
          <w:rFonts w:hint="cs"/>
          <w:rtl/>
        </w:rPr>
        <w:t>)</w:t>
      </w:r>
      <w:r w:rsidRPr="005675B2">
        <w:rPr>
          <w:rFonts w:hint="cs"/>
          <w:rtl/>
        </w:rPr>
        <w:t xml:space="preserve"> لا بمعنى الابتعاد بالمسافة تعالى الله عن ذلك، ذكره البيهقي في الأسماء والصفات</w:t>
      </w:r>
      <w:r w:rsidR="000636C2">
        <w:rPr>
          <w:rFonts w:hint="cs"/>
          <w:rtl/>
        </w:rPr>
        <w:t>،</w:t>
      </w:r>
    </w:p>
    <w:p w14:paraId="2C9F4A3F" w14:textId="04583871" w:rsidR="009C32A0" w:rsidRPr="005675B2" w:rsidRDefault="009C32A0" w:rsidP="000636C2">
      <w:pPr>
        <w:rPr>
          <w:b/>
          <w:rtl/>
        </w:rPr>
      </w:pPr>
      <w:r w:rsidRPr="005675B2">
        <w:rPr>
          <w:rFonts w:hint="cs"/>
          <w:rtl/>
        </w:rPr>
        <w:t xml:space="preserve">4 - </w:t>
      </w:r>
      <w:r w:rsidRPr="005675B2">
        <w:rPr>
          <w:rFonts w:hint="cs"/>
          <w:rtl/>
        </w:rPr>
        <w:tab/>
        <w:t>أقول</w:t>
      </w:r>
      <w:r w:rsidR="000636C2">
        <w:rPr>
          <w:rFonts w:hint="cs"/>
          <w:rtl/>
        </w:rPr>
        <w:t>:</w:t>
      </w:r>
      <w:r w:rsidRPr="005675B2">
        <w:rPr>
          <w:rFonts w:hint="cs"/>
          <w:rtl/>
        </w:rPr>
        <w:t xml:space="preserve"> وهذا معنى قول المتكلمين</w:t>
      </w:r>
      <w:r w:rsidR="000636C2">
        <w:rPr>
          <w:rFonts w:hint="cs"/>
          <w:rtl/>
        </w:rPr>
        <w:t>:</w:t>
      </w:r>
      <w:r w:rsidRPr="005675B2">
        <w:rPr>
          <w:rFonts w:hint="cs"/>
          <w:rtl/>
        </w:rPr>
        <w:t xml:space="preserve"> </w:t>
      </w:r>
      <w:r w:rsidR="000636C2">
        <w:rPr>
          <w:rFonts w:hint="cs"/>
          <w:rtl/>
        </w:rPr>
        <w:t>(</w:t>
      </w:r>
      <w:r w:rsidRPr="005675B2">
        <w:rPr>
          <w:rFonts w:hint="cs"/>
          <w:rtl/>
        </w:rPr>
        <w:t>إن الله تعالى لا يكون داخل العالم</w:t>
      </w:r>
      <w:r w:rsidR="000636C2">
        <w:rPr>
          <w:rFonts w:hint="cs"/>
          <w:rtl/>
        </w:rPr>
        <w:t>)</w:t>
      </w:r>
      <w:r w:rsidRPr="005675B2">
        <w:rPr>
          <w:rFonts w:hint="cs"/>
          <w:rtl/>
        </w:rPr>
        <w:t xml:space="preserve"> قصدوا به نفي الممازجة لتعاليه تعالى عن الحلول والاتحاد، وأما قولهم</w:t>
      </w:r>
      <w:r w:rsidR="000636C2">
        <w:rPr>
          <w:rFonts w:hint="cs"/>
          <w:rtl/>
        </w:rPr>
        <w:t>:</w:t>
      </w:r>
      <w:r w:rsidRPr="005675B2">
        <w:rPr>
          <w:rFonts w:hint="cs"/>
          <w:rtl/>
        </w:rPr>
        <w:t xml:space="preserve"> </w:t>
      </w:r>
      <w:r w:rsidR="000636C2">
        <w:rPr>
          <w:rFonts w:hint="cs"/>
          <w:rtl/>
        </w:rPr>
        <w:t>(</w:t>
      </w:r>
      <w:r w:rsidRPr="005675B2">
        <w:rPr>
          <w:rFonts w:hint="cs"/>
          <w:rtl/>
        </w:rPr>
        <w:t>ولا خارجاً عنه</w:t>
      </w:r>
      <w:r w:rsidR="000636C2">
        <w:rPr>
          <w:rFonts w:hint="cs"/>
          <w:rtl/>
        </w:rPr>
        <w:t>)</w:t>
      </w:r>
      <w:r w:rsidRPr="005675B2">
        <w:rPr>
          <w:rFonts w:hint="cs"/>
          <w:rtl/>
        </w:rPr>
        <w:t xml:space="preserve"> فقد قصدوا به نفي الجهة ونفي الابتعاد بالمسافة، أشار إليه البياضي في إشارات المرام </w:t>
      </w:r>
      <w:r w:rsidR="000636C2">
        <w:rPr>
          <w:rFonts w:hint="cs"/>
          <w:rtl/>
        </w:rPr>
        <w:t>(</w:t>
      </w:r>
      <w:r w:rsidRPr="005675B2">
        <w:rPr>
          <w:rFonts w:hint="cs"/>
          <w:rtl/>
        </w:rPr>
        <w:t>197</w:t>
      </w:r>
      <w:r w:rsidR="000636C2">
        <w:rPr>
          <w:rFonts w:hint="cs"/>
          <w:rtl/>
        </w:rPr>
        <w:t>)</w:t>
      </w:r>
      <w:r w:rsidRPr="005675B2">
        <w:rPr>
          <w:rFonts w:hint="cs"/>
          <w:rtl/>
        </w:rPr>
        <w:t xml:space="preserve"> وإلا فمن الضروري أن الذي لا يكون داخل العالم يكون بائناً عنه وخارجاً عنه</w:t>
      </w:r>
      <w:r w:rsidR="000636C2">
        <w:rPr>
          <w:rFonts w:hint="cs"/>
          <w:rtl/>
        </w:rPr>
        <w:t>،</w:t>
      </w:r>
    </w:p>
    <w:p w14:paraId="75F016FE" w14:textId="2718894A" w:rsidR="009C32A0" w:rsidRPr="005675B2" w:rsidRDefault="009C32A0" w:rsidP="000636C2">
      <w:pPr>
        <w:rPr>
          <w:b/>
          <w:rtl/>
        </w:rPr>
      </w:pPr>
      <w:r w:rsidRPr="005675B2">
        <w:rPr>
          <w:rFonts w:hint="cs"/>
          <w:rtl/>
        </w:rPr>
        <w:t>5 -</w:t>
      </w:r>
      <w:r w:rsidR="000636C2">
        <w:rPr>
          <w:rFonts w:hint="cs"/>
          <w:rtl/>
        </w:rPr>
        <w:t xml:space="preserve"> </w:t>
      </w:r>
      <w:r w:rsidRPr="005675B2">
        <w:rPr>
          <w:rFonts w:hint="cs"/>
          <w:rtl/>
        </w:rPr>
        <w:t xml:space="preserve">وأما أنه تعالى استوى على العرش فقد قال البيهقي في "الأسماء والصفات" </w:t>
      </w:r>
      <w:r w:rsidR="000636C2">
        <w:rPr>
          <w:rFonts w:hint="cs"/>
          <w:rtl/>
        </w:rPr>
        <w:t>(</w:t>
      </w:r>
      <w:r w:rsidRPr="005675B2">
        <w:rPr>
          <w:rFonts w:hint="cs"/>
          <w:rtl/>
        </w:rPr>
        <w:t>396 - 397</w:t>
      </w:r>
      <w:r w:rsidR="000636C2">
        <w:rPr>
          <w:rFonts w:hint="cs"/>
          <w:rtl/>
        </w:rPr>
        <w:t>)</w:t>
      </w:r>
      <w:r w:rsidRPr="005675B2">
        <w:rPr>
          <w:rFonts w:hint="cs"/>
          <w:rtl/>
        </w:rPr>
        <w:t xml:space="preserve"> وليس معنى قول المسلمين</w:t>
      </w:r>
      <w:r w:rsidR="000636C2">
        <w:rPr>
          <w:rFonts w:hint="cs"/>
          <w:rtl/>
        </w:rPr>
        <w:t>:</w:t>
      </w:r>
      <w:r w:rsidRPr="005675B2">
        <w:rPr>
          <w:rFonts w:hint="cs"/>
          <w:rtl/>
        </w:rPr>
        <w:t xml:space="preserve"> إن الله استوى على العرش هو أنه مماس له أو متمكن فيه أو متحيز في جهة من جهاته لكنه بائن من جميع خلقه، وإنما خبر جاء به التوقيف</w:t>
      </w:r>
      <w:r w:rsidR="000636C2">
        <w:rPr>
          <w:rFonts w:hint="cs"/>
          <w:rtl/>
        </w:rPr>
        <w:t>،</w:t>
      </w:r>
      <w:r w:rsidRPr="005675B2">
        <w:rPr>
          <w:rFonts w:hint="cs"/>
          <w:rtl/>
        </w:rPr>
        <w:t xml:space="preserve"> فقلنا به، ونفينا عنه التكييف، إذ ليس كمثله شيء وهو السميع البصير</w:t>
      </w:r>
      <w:r w:rsidR="000636C2">
        <w:rPr>
          <w:rFonts w:hint="cs"/>
          <w:rtl/>
        </w:rPr>
        <w:t>،</w:t>
      </w:r>
      <w:r w:rsidRPr="005675B2">
        <w:rPr>
          <w:rFonts w:hint="cs"/>
          <w:rtl/>
        </w:rPr>
        <w:t xml:space="preserve"> وسننقل كلام الإمام الأشعري في الاستواء في آخر هذه الرسالة</w:t>
      </w:r>
      <w:r w:rsidR="000636C2">
        <w:rPr>
          <w:rFonts w:hint="cs"/>
          <w:rtl/>
        </w:rPr>
        <w:t>،</w:t>
      </w:r>
    </w:p>
    <w:p w14:paraId="16AF12C0" w14:textId="38BCC5BC" w:rsidR="009C32A0" w:rsidRPr="005675B2" w:rsidRDefault="009C32A0" w:rsidP="000636C2">
      <w:pPr>
        <w:rPr>
          <w:b/>
          <w:rtl/>
        </w:rPr>
      </w:pPr>
      <w:r w:rsidRPr="005675B2">
        <w:rPr>
          <w:rFonts w:hint="cs"/>
          <w:rtl/>
        </w:rPr>
        <w:t>6 - وأما أن الله تعالى في السماء فقد قال ابن تيمية</w:t>
      </w:r>
      <w:r w:rsidR="000636C2">
        <w:rPr>
          <w:rFonts w:hint="cs"/>
          <w:rtl/>
        </w:rPr>
        <w:t>:</w:t>
      </w:r>
      <w:r w:rsidRPr="005675B2">
        <w:rPr>
          <w:rFonts w:hint="cs"/>
          <w:rtl/>
        </w:rPr>
        <w:t xml:space="preserve"> ومن توهم أن كون الله تعالى في السماء بمعنى أن السماء تحيط به أو تحويه أو أنه محتاج إلى مخلوقاته، أو أنه محصور فيها، فهو مبطل كاذب إن نقله عن غيره، وضال إن اعتقده في ربه فإنه لم يقل به أحد من المسلمين، بل لو سئل العوام هل تفهمون من قول الله تعالى ورسوله صلى الله عليه وآله وسلم</w:t>
      </w:r>
      <w:r w:rsidR="000636C2">
        <w:rPr>
          <w:rFonts w:hint="cs"/>
          <w:rtl/>
        </w:rPr>
        <w:t>:</w:t>
      </w:r>
      <w:r w:rsidRPr="005675B2">
        <w:rPr>
          <w:rFonts w:hint="cs"/>
          <w:rtl/>
        </w:rPr>
        <w:t xml:space="preserve"> إن الله في السماء أن السماء تحويه</w:t>
      </w:r>
      <w:r w:rsidR="000636C2">
        <w:rPr>
          <w:rFonts w:hint="cs"/>
          <w:rtl/>
        </w:rPr>
        <w:t>؟</w:t>
      </w:r>
      <w:r w:rsidRPr="005675B2">
        <w:rPr>
          <w:rFonts w:hint="cs"/>
          <w:rtl/>
        </w:rPr>
        <w:t xml:space="preserve"> لبادر كل واحد منهم بقوله</w:t>
      </w:r>
      <w:r w:rsidR="000636C2">
        <w:rPr>
          <w:rFonts w:hint="cs"/>
          <w:rtl/>
        </w:rPr>
        <w:t>:</w:t>
      </w:r>
      <w:r w:rsidRPr="005675B2">
        <w:rPr>
          <w:rFonts w:hint="cs"/>
          <w:rtl/>
        </w:rPr>
        <w:t xml:space="preserve"> هذا شيء لم يخطر ببالنا، بل عند المسلمين أن معنى كون الله تعالى في السماء وكونه على العرش واحد، بمعنى أن الله تعالى في العلو لا في السفل</w:t>
      </w:r>
      <w:r w:rsidR="000636C2">
        <w:rPr>
          <w:rFonts w:hint="cs"/>
          <w:rtl/>
        </w:rPr>
        <w:t>،</w:t>
      </w:r>
    </w:p>
    <w:p w14:paraId="556F089F" w14:textId="63B2F8A9" w:rsidR="009C32A0" w:rsidRPr="005675B2" w:rsidRDefault="009C32A0" w:rsidP="000636C2">
      <w:pPr>
        <w:rPr>
          <w:b/>
          <w:rtl/>
        </w:rPr>
      </w:pPr>
      <w:r w:rsidRPr="005675B2">
        <w:rPr>
          <w:rFonts w:hint="cs"/>
          <w:rtl/>
        </w:rPr>
        <w:t xml:space="preserve">نقل هذا الكلام عن ابن تيمية زين الدين مرعي بن يوسف الكرمي في كتابه “ أقاويل الثقات </w:t>
      </w:r>
      <w:r w:rsidR="000636C2">
        <w:rPr>
          <w:rFonts w:hint="cs"/>
          <w:rtl/>
        </w:rPr>
        <w:t>(</w:t>
      </w:r>
      <w:r w:rsidRPr="005675B2">
        <w:rPr>
          <w:rFonts w:hint="cs"/>
          <w:rtl/>
        </w:rPr>
        <w:t>94</w:t>
      </w:r>
      <w:r w:rsidR="000636C2">
        <w:rPr>
          <w:rFonts w:hint="cs"/>
          <w:rtl/>
        </w:rPr>
        <w:t>)</w:t>
      </w:r>
    </w:p>
    <w:p w14:paraId="1FAA906F" w14:textId="5FB32D8B" w:rsidR="009C32A0" w:rsidRPr="005675B2" w:rsidRDefault="000636C2" w:rsidP="000636C2">
      <w:pPr>
        <w:rPr>
          <w:b/>
          <w:rtl/>
        </w:rPr>
      </w:pPr>
      <w:r>
        <w:rPr>
          <w:rFonts w:hint="cs"/>
          <w:rtl/>
        </w:rPr>
        <w:t>[</w:t>
      </w:r>
      <w:r w:rsidR="009C32A0" w:rsidRPr="005675B2">
        <w:rPr>
          <w:rFonts w:hint="cs"/>
          <w:rtl/>
        </w:rPr>
        <w:t>شرح المسألة وإيضاحها</w:t>
      </w:r>
      <w:r>
        <w:rPr>
          <w:rFonts w:hint="cs"/>
          <w:rtl/>
        </w:rPr>
        <w:t>]</w:t>
      </w:r>
    </w:p>
    <w:p w14:paraId="6D73AF8A" w14:textId="777C4F0F" w:rsidR="009C32A0" w:rsidRPr="005675B2" w:rsidRDefault="009C32A0" w:rsidP="000636C2">
      <w:pPr>
        <w:rPr>
          <w:b/>
          <w:rtl/>
        </w:rPr>
      </w:pPr>
      <w:r w:rsidRPr="005675B2">
        <w:rPr>
          <w:rFonts w:hint="cs"/>
          <w:rtl/>
        </w:rPr>
        <w:t>ونتكلم هنا على المسألة من ثلاث جهات</w:t>
      </w:r>
      <w:r w:rsidR="000636C2">
        <w:rPr>
          <w:rFonts w:hint="cs"/>
          <w:rtl/>
        </w:rPr>
        <w:t>:</w:t>
      </w:r>
      <w:r w:rsidRPr="005675B2">
        <w:rPr>
          <w:rFonts w:hint="cs"/>
          <w:rtl/>
        </w:rPr>
        <w:t xml:space="preserve"> من جهة التحقيق، فنحقق المسألة، ثم نتكلم عنها من جهة حكم الوهم فيها، ثم نتكلم عليها من جهة العرف</w:t>
      </w:r>
    </w:p>
    <w:p w14:paraId="0A222A56" w14:textId="78D154B7" w:rsidR="009C32A0" w:rsidRPr="005675B2" w:rsidRDefault="000636C2" w:rsidP="000636C2">
      <w:pPr>
        <w:rPr>
          <w:b/>
          <w:rtl/>
        </w:rPr>
      </w:pPr>
      <w:r>
        <w:rPr>
          <w:rFonts w:hint="cs"/>
          <w:rtl/>
        </w:rPr>
        <w:t>[</w:t>
      </w:r>
      <w:r w:rsidR="009C32A0" w:rsidRPr="005675B2">
        <w:rPr>
          <w:rFonts w:hint="cs"/>
          <w:rtl/>
        </w:rPr>
        <w:t>تحقيق المسألة</w:t>
      </w:r>
      <w:r>
        <w:rPr>
          <w:rFonts w:hint="cs"/>
          <w:rtl/>
        </w:rPr>
        <w:t>]</w:t>
      </w:r>
    </w:p>
    <w:p w14:paraId="5BBED99E" w14:textId="14641348"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قد شرح العلامة زين الدين الكرمي في كتابه </w:t>
      </w:r>
      <w:r w:rsidR="000636C2">
        <w:rPr>
          <w:rFonts w:hint="cs"/>
          <w:rtl/>
        </w:rPr>
        <w:t>(</w:t>
      </w:r>
      <w:r w:rsidRPr="005675B2">
        <w:rPr>
          <w:rFonts w:hint="cs"/>
          <w:rtl/>
        </w:rPr>
        <w:t>أقاويل الثقات</w:t>
      </w:r>
      <w:r w:rsidR="000636C2">
        <w:rPr>
          <w:rFonts w:hint="cs"/>
          <w:rtl/>
        </w:rPr>
        <w:t>)</w:t>
      </w:r>
      <w:r w:rsidRPr="005675B2">
        <w:rPr>
          <w:rFonts w:hint="cs"/>
          <w:rtl/>
        </w:rPr>
        <w:t xml:space="preserve"> قول القائلين بالجهة والعلو بوجه جيد لا يخالف مذهب النافين لهما من أهل السنة، فقال</w:t>
      </w:r>
      <w:r w:rsidR="000636C2">
        <w:rPr>
          <w:rFonts w:hint="cs"/>
          <w:rtl/>
        </w:rPr>
        <w:t>:</w:t>
      </w:r>
    </w:p>
    <w:p w14:paraId="43AF5AF7" w14:textId="67FB6335" w:rsidR="009C32A0" w:rsidRPr="005675B2" w:rsidRDefault="009C32A0" w:rsidP="000636C2">
      <w:pPr>
        <w:rPr>
          <w:b/>
          <w:rtl/>
        </w:rPr>
      </w:pPr>
      <w:r w:rsidRPr="005675B2">
        <w:rPr>
          <w:rFonts w:hint="cs"/>
          <w:rtl/>
        </w:rPr>
        <w:t>القائل بالجهة يقول</w:t>
      </w:r>
      <w:r w:rsidR="000636C2">
        <w:rPr>
          <w:rFonts w:hint="cs"/>
          <w:rtl/>
        </w:rPr>
        <w:t>:</w:t>
      </w:r>
      <w:r w:rsidRPr="005675B2">
        <w:rPr>
          <w:rFonts w:hint="cs"/>
          <w:rtl/>
        </w:rPr>
        <w:t xml:space="preserve"> إن الجهات تنقطع بانقطاع العالم، وتنتهي بانتهاء آخر جزء من الكون، والإشارة إلى الفوق تقع على أعلى جزء من الكون حقيقة</w:t>
      </w:r>
      <w:r w:rsidR="000636C2">
        <w:rPr>
          <w:rFonts w:hint="cs"/>
          <w:rtl/>
        </w:rPr>
        <w:t>،</w:t>
      </w:r>
    </w:p>
    <w:p w14:paraId="39418408" w14:textId="2545BAB0" w:rsidR="009C32A0" w:rsidRPr="005675B2" w:rsidRDefault="009C32A0" w:rsidP="000636C2">
      <w:pPr>
        <w:rPr>
          <w:b/>
          <w:rtl/>
        </w:rPr>
      </w:pPr>
      <w:r w:rsidRPr="005675B2">
        <w:rPr>
          <w:rFonts w:hint="cs"/>
          <w:rtl/>
        </w:rPr>
        <w:t>ومما يحقق هذا أن الكون الكلي لا في جهة لأن الجهات عبارة عن المكان</w:t>
      </w:r>
      <w:r w:rsidR="000636C2">
        <w:rPr>
          <w:rFonts w:hint="cs"/>
          <w:rtl/>
        </w:rPr>
        <w:t>،</w:t>
      </w:r>
    </w:p>
    <w:p w14:paraId="2172F9A1" w14:textId="245140B3" w:rsidR="009C32A0" w:rsidRPr="005675B2" w:rsidRDefault="009C32A0" w:rsidP="000636C2">
      <w:pPr>
        <w:rPr>
          <w:b/>
          <w:rtl/>
        </w:rPr>
      </w:pPr>
      <w:r w:rsidRPr="005675B2">
        <w:rPr>
          <w:rFonts w:hint="cs"/>
          <w:rtl/>
        </w:rPr>
        <w:t>والمكان الكلي لا في مكان، فلما عدمت الأماكن من جوانبه لم يقل</w:t>
      </w:r>
      <w:r w:rsidR="000636C2">
        <w:rPr>
          <w:rFonts w:hint="cs"/>
          <w:rtl/>
        </w:rPr>
        <w:t>:</w:t>
      </w:r>
      <w:r w:rsidRPr="005675B2">
        <w:rPr>
          <w:rFonts w:hint="cs"/>
          <w:rtl/>
        </w:rPr>
        <w:t xml:space="preserve"> إنه يمين، ولا يسار، ولا قدام، ولا وراء، ولا فوق ولا تحت</w:t>
      </w:r>
      <w:r w:rsidR="000636C2">
        <w:rPr>
          <w:rFonts w:hint="cs"/>
          <w:rtl/>
        </w:rPr>
        <w:t>،</w:t>
      </w:r>
    </w:p>
    <w:p w14:paraId="52DF5D58" w14:textId="185F3E09" w:rsidR="009C32A0" w:rsidRPr="005675B2" w:rsidRDefault="009C32A0" w:rsidP="000636C2">
      <w:pPr>
        <w:rPr>
          <w:b/>
          <w:rtl/>
        </w:rPr>
      </w:pPr>
      <w:r w:rsidRPr="005675B2">
        <w:rPr>
          <w:rFonts w:hint="cs"/>
          <w:rtl/>
        </w:rPr>
        <w:t>وقالوا</w:t>
      </w:r>
      <w:r w:rsidR="000636C2">
        <w:rPr>
          <w:rFonts w:hint="cs"/>
          <w:rtl/>
        </w:rPr>
        <w:t>:</w:t>
      </w:r>
      <w:r w:rsidRPr="005675B2">
        <w:rPr>
          <w:rFonts w:hint="cs"/>
          <w:rtl/>
        </w:rPr>
        <w:t xml:space="preserve"> إن ما عدى الكون الكلي وما خلا الذات القديمة ليس بشيء، ولا يشار إليه، ولا يعرف بخلاء ولا ملاء، وانفرد الكون الكلي بوصف التحت، لأن الله تعالى وصف نفسه بالعلو وتمدح به</w:t>
      </w:r>
      <w:r w:rsidR="000636C2">
        <w:rPr>
          <w:rFonts w:hint="cs"/>
          <w:rtl/>
        </w:rPr>
        <w:t>،</w:t>
      </w:r>
    </w:p>
    <w:p w14:paraId="5E0CDA39" w14:textId="3C4E6767" w:rsidR="009C32A0" w:rsidRPr="005675B2" w:rsidRDefault="009C32A0" w:rsidP="000636C2">
      <w:pPr>
        <w:rPr>
          <w:b/>
          <w:rtl/>
        </w:rPr>
      </w:pPr>
      <w:r w:rsidRPr="005675B2">
        <w:rPr>
          <w:rFonts w:hint="cs"/>
          <w:rtl/>
        </w:rPr>
        <w:t>وقالوا</w:t>
      </w:r>
      <w:r w:rsidR="000636C2">
        <w:rPr>
          <w:rFonts w:hint="cs"/>
          <w:rtl/>
        </w:rPr>
        <w:t>:</w:t>
      </w:r>
      <w:r w:rsidRPr="005675B2">
        <w:rPr>
          <w:rFonts w:hint="cs"/>
          <w:rtl/>
        </w:rPr>
        <w:t xml:space="preserve"> إن الله أوجد الأكوان لا في محل وحيز، وهو في قدمه تعالى منزه عن المحل والحيز، فيستحيل شرعاً وعقلاً عند حدوث العالم أن يحل فيه، أو يختلط به، لأن القديم لا يحل في الحادث وليس محلاً للحوادث، فيلزم أن يكون بائناً عنه، فإذا كان بائناً عنه، يستحيل أن يكون العالم من جهة الفوق والرب في جهة التحت، بل هو فوقه بالفوقية اللائقة التي لا تكيف ولا تمثل، بل تعلم من جهة الجملة والثبوت، لا من جهة التمثيل والكيف، فيوصف الرب بالفوقية كما يليق بجلاله وعظمته، ولا يفهم منها ما يفهم من صفات المخلوقين</w:t>
      </w:r>
      <w:r w:rsidR="000636C2">
        <w:rPr>
          <w:rFonts w:hint="cs"/>
          <w:rtl/>
        </w:rPr>
        <w:t>،</w:t>
      </w:r>
    </w:p>
    <w:p w14:paraId="2E1CB412" w14:textId="39D8F027" w:rsidR="009C32A0" w:rsidRPr="005675B2" w:rsidRDefault="009C32A0" w:rsidP="000636C2">
      <w:pPr>
        <w:rPr>
          <w:b/>
          <w:rtl/>
        </w:rPr>
      </w:pPr>
      <w:r w:rsidRPr="005675B2">
        <w:rPr>
          <w:rFonts w:hint="cs"/>
          <w:rtl/>
        </w:rPr>
        <w:t>وقالوا</w:t>
      </w:r>
      <w:r w:rsidR="000636C2">
        <w:rPr>
          <w:rFonts w:hint="cs"/>
          <w:rtl/>
        </w:rPr>
        <w:t>:</w:t>
      </w:r>
      <w:r w:rsidRPr="005675B2">
        <w:rPr>
          <w:rFonts w:hint="cs"/>
          <w:rtl/>
        </w:rPr>
        <w:t xml:space="preserve"> إن الدليل القاطع دل على وجود الباري وثبوت ذاته بحقيقة الثبوت</w:t>
      </w:r>
      <w:r w:rsidR="000636C2">
        <w:rPr>
          <w:rFonts w:hint="cs"/>
          <w:rtl/>
        </w:rPr>
        <w:t>،</w:t>
      </w:r>
      <w:r w:rsidRPr="005675B2">
        <w:rPr>
          <w:rFonts w:hint="cs"/>
          <w:rtl/>
        </w:rPr>
        <w:t xml:space="preserve"> وأنه لا يصلح أن يماس المخلوقين أو تماسه المخلوقات، حتى إن الخصم يسلم أنه تعالى لا يماس الخلق</w:t>
      </w:r>
      <w:r w:rsidR="000636C2">
        <w:rPr>
          <w:rFonts w:hint="cs"/>
          <w:rtl/>
        </w:rPr>
        <w:t>،</w:t>
      </w:r>
      <w:r w:rsidRPr="005675B2">
        <w:rPr>
          <w:rFonts w:hint="cs"/>
          <w:rtl/>
        </w:rPr>
        <w:t xml:space="preserve"> انتهى</w:t>
      </w:r>
      <w:r w:rsidR="000636C2">
        <w:rPr>
          <w:rFonts w:hint="cs"/>
          <w:rtl/>
        </w:rPr>
        <w:t>،</w:t>
      </w:r>
    </w:p>
    <w:p w14:paraId="1E34D794" w14:textId="0E85E879" w:rsidR="009C32A0" w:rsidRPr="005675B2" w:rsidRDefault="009C32A0" w:rsidP="000636C2">
      <w:pPr>
        <w:rPr>
          <w:b/>
          <w:rtl/>
        </w:rPr>
      </w:pPr>
      <w:r w:rsidRPr="005675B2">
        <w:rPr>
          <w:rFonts w:hint="cs"/>
          <w:rtl/>
        </w:rPr>
        <w:t>وهذا التوجيه الذي ذكره الكرمي ناسباً له إلى القائلين بالجهة توجيه جيد يجمع بين قول القائلين بالجهة، وقول القائلين بتنزه الله تعالى عنه، ويرتفع به ما وقع بين الفرق الإسلامية من الخلاف والنزاع الذي أدى بها إلى الفرقة والشحناء والبغضاء</w:t>
      </w:r>
      <w:r w:rsidR="000636C2">
        <w:rPr>
          <w:rFonts w:hint="cs"/>
          <w:rtl/>
        </w:rPr>
        <w:t>،</w:t>
      </w:r>
    </w:p>
    <w:p w14:paraId="6C3F15B7" w14:textId="01036A75" w:rsidR="009C32A0" w:rsidRPr="005675B2" w:rsidRDefault="009C32A0" w:rsidP="000636C2">
      <w:pPr>
        <w:rPr>
          <w:b/>
          <w:rtl/>
        </w:rPr>
      </w:pPr>
      <w:r w:rsidRPr="005675B2">
        <w:rPr>
          <w:rFonts w:hint="cs"/>
          <w:rtl/>
        </w:rPr>
        <w:t>وقد أشار إلى هذا الوجه القاضي عضد الدين الإيجي في كتابه المواقف</w:t>
      </w:r>
      <w:r w:rsidR="000636C2">
        <w:rPr>
          <w:rFonts w:hint="cs"/>
          <w:rtl/>
        </w:rPr>
        <w:t>،</w:t>
      </w:r>
      <w:r w:rsidRPr="005675B2">
        <w:rPr>
          <w:rFonts w:hint="cs"/>
          <w:rtl/>
        </w:rPr>
        <w:t xml:space="preserve"> قال</w:t>
      </w:r>
      <w:r w:rsidR="000636C2">
        <w:rPr>
          <w:rFonts w:hint="cs"/>
          <w:rtl/>
        </w:rPr>
        <w:t>:</w:t>
      </w:r>
      <w:r w:rsidRPr="005675B2">
        <w:rPr>
          <w:rFonts w:hint="cs"/>
          <w:rtl/>
        </w:rPr>
        <w:t xml:space="preserve"> ومنهم -أي من القائلين بالجهة - من قال ليس كونه في جهة ككون الأجسام في جهة</w:t>
      </w:r>
      <w:r w:rsidR="000636C2">
        <w:rPr>
          <w:rFonts w:hint="cs"/>
          <w:rtl/>
        </w:rPr>
        <w:t>،</w:t>
      </w:r>
      <w:r w:rsidRPr="005675B2">
        <w:rPr>
          <w:rFonts w:hint="cs"/>
          <w:rtl/>
        </w:rPr>
        <w:t xml:space="preserve"> قال السيد الشريف الجرجاني في شرحه </w:t>
      </w:r>
      <w:r w:rsidR="000636C2">
        <w:rPr>
          <w:rFonts w:hint="cs"/>
          <w:rtl/>
        </w:rPr>
        <w:t>(</w:t>
      </w:r>
      <w:r w:rsidRPr="005675B2">
        <w:rPr>
          <w:rFonts w:hint="cs"/>
          <w:rtl/>
        </w:rPr>
        <w:t>8/19</w:t>
      </w:r>
      <w:r w:rsidR="000636C2">
        <w:rPr>
          <w:rFonts w:hint="cs"/>
          <w:rtl/>
        </w:rPr>
        <w:t>)،</w:t>
      </w:r>
      <w:r w:rsidRPr="005675B2">
        <w:rPr>
          <w:rFonts w:hint="cs"/>
          <w:rtl/>
        </w:rPr>
        <w:t xml:space="preserve"> والمنازعة مع هذا القائل راجعة إلى اللفظ دون المعنى، والإطلاق اللفظي متوقف على ورود الشرع به</w:t>
      </w:r>
      <w:r w:rsidR="000636C2">
        <w:rPr>
          <w:rFonts w:hint="cs"/>
          <w:rtl/>
        </w:rPr>
        <w:t>،</w:t>
      </w:r>
      <w:r w:rsidRPr="005675B2">
        <w:rPr>
          <w:rFonts w:hint="cs"/>
          <w:rtl/>
        </w:rPr>
        <w:t xml:space="preserve"> انتهى</w:t>
      </w:r>
      <w:r w:rsidR="000636C2">
        <w:rPr>
          <w:rFonts w:hint="cs"/>
          <w:rtl/>
        </w:rPr>
        <w:t>،</w:t>
      </w:r>
    </w:p>
    <w:p w14:paraId="4B30FC39" w14:textId="6BC62765" w:rsidR="009C32A0" w:rsidRPr="005675B2" w:rsidRDefault="009C32A0" w:rsidP="000636C2">
      <w:pPr>
        <w:rPr>
          <w:b/>
          <w:rtl/>
        </w:rPr>
      </w:pPr>
      <w:r w:rsidRPr="005675B2">
        <w:rPr>
          <w:rFonts w:hint="cs"/>
          <w:rtl/>
        </w:rPr>
        <w:t>وحاصل هذا التوجيه أن الله تعالى ليس داخل العالم مختلطاً به ممازجاً إياه، كما أن العالم ليس بداخل فيه لأن الله تعالى لم يخلق العالم في نفسه وإنما خلق العالم خارجاً عن نفسه، كما أنه تعالى لم يحل فيه بعد أن خلقه، والا لزم الممازجة والمخالطة والحلول والاتحاد وقيام الحوادث به تعالى وهذه الأمور منتفية عن الله تعالى بالإجماع</w:t>
      </w:r>
      <w:r w:rsidR="000636C2">
        <w:rPr>
          <w:rFonts w:hint="cs"/>
          <w:rtl/>
        </w:rPr>
        <w:t>،</w:t>
      </w:r>
    </w:p>
    <w:p w14:paraId="31490288" w14:textId="222C8EE0" w:rsidR="009C32A0" w:rsidRPr="005675B2" w:rsidRDefault="009C32A0" w:rsidP="000636C2">
      <w:pPr>
        <w:rPr>
          <w:b/>
          <w:rtl/>
        </w:rPr>
      </w:pPr>
      <w:r w:rsidRPr="005675B2">
        <w:rPr>
          <w:rFonts w:hint="cs"/>
          <w:rtl/>
        </w:rPr>
        <w:t>بل الله تعالى بائن عن العالم ليس داخلاً فيه، وليس في جهة منه</w:t>
      </w:r>
      <w:r w:rsidR="000636C2">
        <w:rPr>
          <w:rFonts w:hint="cs"/>
          <w:rtl/>
        </w:rPr>
        <w:t>،</w:t>
      </w:r>
    </w:p>
    <w:p w14:paraId="58F2DD7E" w14:textId="09609B45" w:rsidR="009C32A0" w:rsidRPr="005675B2" w:rsidRDefault="009C32A0" w:rsidP="000636C2">
      <w:pPr>
        <w:rPr>
          <w:b/>
          <w:rtl/>
        </w:rPr>
      </w:pPr>
      <w:r w:rsidRPr="005675B2">
        <w:rPr>
          <w:rFonts w:hint="cs"/>
          <w:rtl/>
        </w:rPr>
        <w:t>وذلك لأن الجهات تنقطع بانقطاع العالم، وتنتهي بانتهاء آخر جزء منه، فلا يوصف العالم -وهو الكون الكلي بجملته - بأن له يميناً ولا يساراً، ولا قداماً ولا خلفاً، ولا فوقاً ولا تحتاً، كما لا يوصف الله تعالى بذلك، فلا يكون الله في جهة منه كما لا يكون هو في جهة من الله تعالى</w:t>
      </w:r>
      <w:r w:rsidR="000636C2">
        <w:rPr>
          <w:rFonts w:hint="cs"/>
          <w:rtl/>
        </w:rPr>
        <w:t>،</w:t>
      </w:r>
    </w:p>
    <w:p w14:paraId="78280C8D" w14:textId="06567238" w:rsidR="009C32A0" w:rsidRPr="005675B2" w:rsidRDefault="009C32A0" w:rsidP="000636C2">
      <w:pPr>
        <w:rPr>
          <w:b/>
          <w:rtl/>
        </w:rPr>
      </w:pPr>
      <w:r w:rsidRPr="005675B2">
        <w:rPr>
          <w:rFonts w:hint="cs"/>
          <w:rtl/>
        </w:rPr>
        <w:t>وقد وصف الله تعالى نفسه بالعلو والفوقية وتمدح بهما، فنثبتهما له تعالى على أنهما وصف مدح له تعالى، وبالمعنى اللائق به تعالى الذي لا يمثل ولا يكيف، ونعتقد العلو والفوقية لله تعالى من جهة الجملة والثبوت، مع نفي التمثيل والتكييف، فنعتقد وصف الرب بالعلو والفوقية كما يليق بجلاله وعظمته، بدون أن نفهم منها ما يفهم من صفات المخلوقين</w:t>
      </w:r>
      <w:r w:rsidR="000636C2">
        <w:rPr>
          <w:rFonts w:hint="cs"/>
          <w:rtl/>
        </w:rPr>
        <w:t>،</w:t>
      </w:r>
      <w:r w:rsidRPr="005675B2">
        <w:rPr>
          <w:rFonts w:hint="cs"/>
          <w:rtl/>
        </w:rPr>
        <w:t xml:space="preserve"> قال الحافظ ابن حجر في فتح الباري</w:t>
      </w:r>
      <w:r w:rsidR="000636C2">
        <w:rPr>
          <w:rFonts w:hint="cs"/>
          <w:rtl/>
        </w:rPr>
        <w:t>(</w:t>
      </w:r>
      <w:r w:rsidRPr="005675B2">
        <w:rPr>
          <w:rFonts w:hint="cs"/>
          <w:rtl/>
        </w:rPr>
        <w:t>6/136</w:t>
      </w:r>
      <w:r w:rsidR="000636C2">
        <w:rPr>
          <w:rFonts w:hint="cs"/>
          <w:rtl/>
        </w:rPr>
        <w:t>):</w:t>
      </w:r>
      <w:r w:rsidRPr="005675B2">
        <w:rPr>
          <w:rFonts w:hint="cs"/>
          <w:rtl/>
        </w:rPr>
        <w:t xml:space="preserve"> ولا يلزم من كون جهتي العلو والسفل محالا على الله تعالى أن لا يوصف بالعلو لأن وصفه بالعلو من جهة المعنى والمستحيل كون ذلك من جهة الحس، ولذلك ورد في صفته العالي والعلي والمتعالي ولم يرد ضد ذلك</w:t>
      </w:r>
      <w:r w:rsidR="000636C2">
        <w:rPr>
          <w:rFonts w:hint="cs"/>
          <w:rtl/>
        </w:rPr>
        <w:t>،</w:t>
      </w:r>
      <w:r w:rsidRPr="005675B2">
        <w:rPr>
          <w:rFonts w:hint="cs"/>
          <w:rtl/>
        </w:rPr>
        <w:t xml:space="preserve"> إنتها</w:t>
      </w:r>
      <w:r w:rsidR="000636C2">
        <w:rPr>
          <w:rFonts w:hint="cs"/>
          <w:rtl/>
        </w:rPr>
        <w:t xml:space="preserve">، </w:t>
      </w:r>
      <w:r w:rsidRPr="005675B2">
        <w:rPr>
          <w:rFonts w:hint="cs"/>
          <w:rtl/>
        </w:rPr>
        <w:t>هذا بحسب التحقيق</w:t>
      </w:r>
      <w:r w:rsidR="000636C2">
        <w:rPr>
          <w:rFonts w:hint="cs"/>
          <w:rtl/>
        </w:rPr>
        <w:t>،</w:t>
      </w:r>
    </w:p>
    <w:p w14:paraId="33767F00" w14:textId="6EBED625" w:rsidR="009C32A0" w:rsidRPr="005675B2" w:rsidRDefault="009C32A0" w:rsidP="000636C2">
      <w:pPr>
        <w:rPr>
          <w:b/>
          <w:rtl/>
        </w:rPr>
      </w:pPr>
      <w:r w:rsidRPr="005675B2">
        <w:rPr>
          <w:rFonts w:hint="cs"/>
          <w:rtl/>
        </w:rPr>
        <w:t>والحاصل أن الذين نفوا الجهة عن الله تعالى نفوها عنه بمعنى أن يكون في جهة معينة من العالم، وأما الذين أثبتوا الفوقية لله تعالى فلم يريدوا أنه تعالى في جهة معينة من العالم، بل أرادوا أنه تعالى بائن عن العالم وليس بداخل فيه، وأنه فوقه بالفوقية اللائقة بعزته وجلاله التى لاتمثل ولا تكيف، وتعلم من جهة الجملة والثبوت لا من جهة التمثيل والكيف، ولا يفهم منها ما يفهم من صفات المخلوقين وفوقيتهم</w:t>
      </w:r>
      <w:r w:rsidR="000636C2">
        <w:rPr>
          <w:rFonts w:hint="cs"/>
          <w:rtl/>
        </w:rPr>
        <w:t>،</w:t>
      </w:r>
      <w:r w:rsidRPr="005675B2">
        <w:rPr>
          <w:rFonts w:hint="cs"/>
          <w:rtl/>
        </w:rPr>
        <w:t xml:space="preserve"> والفوقية بهذا المعنى لله تعالى وكذلك البينونة مما يثبته الفريق الأول لله تعالى</w:t>
      </w:r>
      <w:r w:rsidR="000636C2">
        <w:rPr>
          <w:rFonts w:hint="cs"/>
          <w:rtl/>
        </w:rPr>
        <w:t>،</w:t>
      </w:r>
      <w:r w:rsidRPr="005675B2">
        <w:rPr>
          <w:rFonts w:hint="cs"/>
          <w:rtl/>
        </w:rPr>
        <w:t xml:space="preserve"> والذى ينفونه إنما هو الفوقية بمعنى الكون في جهة معينة من العالم التى هي من صفات المخلوقين</w:t>
      </w:r>
      <w:r w:rsidR="000636C2">
        <w:rPr>
          <w:rFonts w:hint="cs"/>
          <w:rtl/>
        </w:rPr>
        <w:t>،</w:t>
      </w:r>
      <w:r w:rsidRPr="005675B2">
        <w:rPr>
          <w:rFonts w:hint="cs"/>
          <w:rtl/>
        </w:rPr>
        <w:t xml:space="preserve"> وهذه الفوقية لم يثبتها الفريق الثاني بل قد نفوها عن الله تعالى، فلم يتوارد نفي الجهة عن الله تعالى ممن نفاها وإثباتها ممن أثبتها على معنى واحد، فليس بينهما خلاف</w:t>
      </w:r>
      <w:r w:rsidR="000636C2">
        <w:rPr>
          <w:rFonts w:hint="cs"/>
          <w:rtl/>
        </w:rPr>
        <w:t xml:space="preserve"> </w:t>
      </w:r>
      <w:r w:rsidRPr="005675B2">
        <w:rPr>
          <w:rFonts w:hint="cs"/>
          <w:rtl/>
        </w:rPr>
        <w:t>في الحقيقة، بناء على هذا التحقيق، بل خلافهم يعود إلى اللفظ، وأما الحقيقة فالفريقان متفقان فيها، فقد أثبت كل من الفريقين ما أثبته الفريق الآخر، ونفى ما نفاه</w:t>
      </w:r>
      <w:r w:rsidR="000636C2">
        <w:rPr>
          <w:rFonts w:hint="cs"/>
          <w:rtl/>
        </w:rPr>
        <w:t>،</w:t>
      </w:r>
    </w:p>
    <w:p w14:paraId="63F2ED8D" w14:textId="0CDE3415" w:rsidR="009C32A0" w:rsidRPr="005675B2" w:rsidRDefault="009C32A0" w:rsidP="000636C2">
      <w:pPr>
        <w:rPr>
          <w:b/>
          <w:rtl/>
        </w:rPr>
      </w:pPr>
      <w:r w:rsidRPr="005675B2">
        <w:rPr>
          <w:rFonts w:hint="cs"/>
          <w:rtl/>
        </w:rPr>
        <w:t xml:space="preserve">2 - </w:t>
      </w:r>
      <w:r w:rsidR="000636C2">
        <w:rPr>
          <w:rFonts w:hint="cs"/>
          <w:rtl/>
        </w:rPr>
        <w:t>[</w:t>
      </w:r>
      <w:r w:rsidRPr="005675B2">
        <w:rPr>
          <w:rFonts w:hint="cs"/>
          <w:rtl/>
        </w:rPr>
        <w:t>حكم الوهم بالعلو والفوقية لله تعالى</w:t>
      </w:r>
      <w:r w:rsidR="000636C2">
        <w:rPr>
          <w:rFonts w:hint="cs"/>
          <w:rtl/>
        </w:rPr>
        <w:t>]</w:t>
      </w:r>
    </w:p>
    <w:p w14:paraId="79903028" w14:textId="324877D4" w:rsidR="009C32A0" w:rsidRPr="005675B2" w:rsidRDefault="009C32A0" w:rsidP="000636C2">
      <w:pPr>
        <w:rPr>
          <w:b/>
        </w:rPr>
      </w:pPr>
      <w:r w:rsidRPr="005675B2">
        <w:rPr>
          <w:rFonts w:hint="cs"/>
          <w:rtl/>
        </w:rPr>
        <w:t>وأما الوهم فيحكم بأن ما وراء العالم فوق له، والله تعالى بائن عن خلقه ليس بداخل فيه، فيحكم الوهم بأنه فوقه، فالفوقية بحسب حكم الوهم تؤول إلى البينونة التي أثبتها العلماء لله تعالى، وهذه الفوقية الوهمية هي المركوزة في فطرة كل إنسان</w:t>
      </w:r>
      <w:r w:rsidR="000636C2">
        <w:rPr>
          <w:rFonts w:hint="cs"/>
          <w:rtl/>
        </w:rPr>
        <w:t>،</w:t>
      </w:r>
    </w:p>
    <w:p w14:paraId="2B946AFD" w14:textId="5A951AE3" w:rsidR="009C32A0" w:rsidRPr="005675B2" w:rsidRDefault="009C32A0" w:rsidP="000636C2">
      <w:pPr>
        <w:rPr>
          <w:b/>
          <w:rtl/>
        </w:rPr>
      </w:pPr>
      <w:r w:rsidRPr="005675B2">
        <w:rPr>
          <w:rFonts w:hint="cs"/>
          <w:rtl/>
        </w:rPr>
        <w:t>لا يذكر أحد من بني آدم الله تعالى إلا وهو يشعر بفوقيته تعالى</w:t>
      </w:r>
      <w:r w:rsidR="000636C2">
        <w:rPr>
          <w:rFonts w:hint="cs"/>
          <w:rtl/>
        </w:rPr>
        <w:t>،</w:t>
      </w:r>
    </w:p>
    <w:p w14:paraId="77D93A82" w14:textId="0DCE9E8A" w:rsidR="009C32A0" w:rsidRPr="005675B2" w:rsidRDefault="009C32A0" w:rsidP="000636C2">
      <w:pPr>
        <w:rPr>
          <w:b/>
          <w:rtl/>
        </w:rPr>
      </w:pPr>
      <w:r w:rsidRPr="005675B2">
        <w:rPr>
          <w:rFonts w:hint="cs"/>
          <w:rtl/>
        </w:rPr>
        <w:t>وهي فوقية يحكم بها الوهم مخالفاً لحكم العقل كما هو الحال في معظم أحكام الوهم، فإن معظم أحكامه مخالفة لحكم العقل، ومن أجل ذلك عد المناطقة القياس المؤلف من القضايا الوهمية من الأقيسة التي لا تفيد اليقين، وسموا هذا القياس بالمغالطة والسفسطة</w:t>
      </w:r>
      <w:r w:rsidR="000636C2">
        <w:rPr>
          <w:rFonts w:hint="cs"/>
          <w:rtl/>
        </w:rPr>
        <w:t>،</w:t>
      </w:r>
    </w:p>
    <w:p w14:paraId="63A67BD2" w14:textId="70514DEB" w:rsidR="009C32A0" w:rsidRPr="005675B2" w:rsidRDefault="009C32A0" w:rsidP="000636C2">
      <w:pPr>
        <w:rPr>
          <w:b/>
          <w:rtl/>
        </w:rPr>
      </w:pPr>
      <w:r w:rsidRPr="005675B2">
        <w:rPr>
          <w:rFonts w:hint="cs"/>
          <w:rtl/>
        </w:rPr>
        <w:t>وقالوا</w:t>
      </w:r>
      <w:r w:rsidR="000636C2">
        <w:rPr>
          <w:rFonts w:hint="cs"/>
          <w:rtl/>
        </w:rPr>
        <w:t>:</w:t>
      </w:r>
      <w:r w:rsidRPr="005675B2">
        <w:rPr>
          <w:rFonts w:hint="cs"/>
          <w:rtl/>
        </w:rPr>
        <w:t xml:space="preserve"> إن النفس أطوع للوهميات منها لليقينيات</w:t>
      </w:r>
      <w:r w:rsidR="000636C2">
        <w:rPr>
          <w:rFonts w:hint="cs"/>
          <w:rtl/>
        </w:rPr>
        <w:t>:</w:t>
      </w:r>
      <w:r w:rsidRPr="005675B2">
        <w:rPr>
          <w:rFonts w:hint="cs"/>
          <w:rtl/>
        </w:rPr>
        <w:t xml:space="preserve"> مثال ذلك أن العقل يحكم بأن الميت لا يخاف منه لأنه جماد وكل جماد لا يخاف منه، وأما الوهم فيحكم بأن الميت يخاف منه مخالفاً للعقل فالإنسان مع تيقنه بحكم العقل لا يطيعه ولا ينقاد له، وإنما ينقاد لحكم الوهم فيخاف من الميت،</w:t>
      </w:r>
    </w:p>
    <w:p w14:paraId="04E90507" w14:textId="68B099FA" w:rsidR="009C32A0" w:rsidRPr="005675B2" w:rsidRDefault="009C32A0" w:rsidP="000636C2">
      <w:pPr>
        <w:rPr>
          <w:b/>
          <w:rtl/>
        </w:rPr>
      </w:pPr>
      <w:r w:rsidRPr="005675B2">
        <w:rPr>
          <w:rFonts w:hint="cs"/>
          <w:rtl/>
        </w:rPr>
        <w:t>وكثيراً ما تلتبس الوهميات باليقينيات عند الإنسان فيعتقد الوهميات يقينيات ويجزم بها كجزمه باليقينيات حتى يتبين له بالدليل بطلانها، فيحكم ببطلانها ومع ذلك يبقى منقاداً لها</w:t>
      </w:r>
      <w:r w:rsidR="000636C2">
        <w:rPr>
          <w:rFonts w:hint="cs"/>
          <w:rtl/>
        </w:rPr>
        <w:t>،</w:t>
      </w:r>
      <w:r w:rsidRPr="005675B2">
        <w:rPr>
          <w:rFonts w:hint="cs"/>
          <w:rtl/>
        </w:rPr>
        <w:t xml:space="preserve"> ومن هذا القبيل الفوقية لله تعالى، فإن معظم بني آدم جازمون بها اتباعاً لحكم الوهم وانقيادا له وعندما يتبين لبعض العلماء بالدليل القطعي بطلانها يحكم ببطلانها ومع ذلك يبقى شاعراً بها في قرار نفسه</w:t>
      </w:r>
      <w:r w:rsidR="000636C2">
        <w:rPr>
          <w:rFonts w:hint="cs"/>
          <w:rtl/>
        </w:rPr>
        <w:t>،</w:t>
      </w:r>
    </w:p>
    <w:p w14:paraId="7A7299EF" w14:textId="74EC66BA" w:rsidR="009C32A0" w:rsidRPr="005675B2" w:rsidRDefault="009C32A0" w:rsidP="000636C2">
      <w:pPr>
        <w:rPr>
          <w:b/>
          <w:rtl/>
        </w:rPr>
      </w:pPr>
      <w:r w:rsidRPr="005675B2">
        <w:rPr>
          <w:rFonts w:hint="cs"/>
          <w:rtl/>
        </w:rPr>
        <w:t>ومن أجل صعوبة التخلص من هذا الحكم الوهمي رخص النبي صلى الله تعالى عليه وآله وسلم في اعتقاد الجهة في حديث الجارية حينما سألها أين الله</w:t>
      </w:r>
      <w:r w:rsidR="000636C2">
        <w:rPr>
          <w:rFonts w:hint="cs"/>
          <w:rtl/>
        </w:rPr>
        <w:t>؟</w:t>
      </w:r>
      <w:r w:rsidRPr="005675B2">
        <w:rPr>
          <w:rFonts w:hint="cs"/>
          <w:rtl/>
        </w:rPr>
        <w:t xml:space="preserve"> فقالت</w:t>
      </w:r>
      <w:r w:rsidR="000636C2">
        <w:rPr>
          <w:rFonts w:hint="cs"/>
          <w:rtl/>
        </w:rPr>
        <w:t>:</w:t>
      </w:r>
      <w:r w:rsidRPr="005675B2">
        <w:rPr>
          <w:rFonts w:hint="cs"/>
          <w:rtl/>
        </w:rPr>
        <w:t xml:space="preserve"> في السماء، فقال</w:t>
      </w:r>
      <w:r w:rsidR="000636C2">
        <w:rPr>
          <w:rFonts w:hint="cs"/>
          <w:rtl/>
        </w:rPr>
        <w:t>:</w:t>
      </w:r>
      <w:r w:rsidRPr="005675B2">
        <w:rPr>
          <w:rFonts w:hint="cs"/>
          <w:rtl/>
        </w:rPr>
        <w:t xml:space="preserve"> صلى الله تعالى عليه وسلم، إنها مؤمنة، ولم ينكر عليها، ولكنه لم يقل</w:t>
      </w:r>
      <w:r w:rsidR="000636C2">
        <w:rPr>
          <w:rFonts w:hint="cs"/>
          <w:rtl/>
        </w:rPr>
        <w:t>:</w:t>
      </w:r>
      <w:r w:rsidRPr="005675B2">
        <w:rPr>
          <w:rFonts w:hint="cs"/>
          <w:rtl/>
        </w:rPr>
        <w:t xml:space="preserve"> إنها صادقة، أو إنها على الحق، أو نحو هذا الكلام مما يفيد أن ما اعتقدته حق</w:t>
      </w:r>
      <w:r w:rsidR="000636C2">
        <w:rPr>
          <w:rFonts w:hint="cs"/>
          <w:rtl/>
        </w:rPr>
        <w:t>،</w:t>
      </w:r>
    </w:p>
    <w:p w14:paraId="19884F1A" w14:textId="77777777" w:rsidR="009C32A0" w:rsidRPr="005675B2" w:rsidRDefault="009C32A0" w:rsidP="000636C2">
      <w:pPr>
        <w:rPr>
          <w:b/>
          <w:rtl/>
        </w:rPr>
      </w:pPr>
      <w:r w:rsidRPr="005675B2">
        <w:rPr>
          <w:rFonts w:hint="cs"/>
          <w:rtl/>
        </w:rPr>
        <w:t>ومن أجل ذلك لم يحكم علماء أهل السنة بكفر معتقد الجهة لله تعالى، وقالوا إن هذا الاعتقاد معفو للعوام</w:t>
      </w:r>
    </w:p>
    <w:p w14:paraId="1D4F53DE" w14:textId="4C66BFFA" w:rsidR="009C32A0" w:rsidRPr="005675B2" w:rsidRDefault="009C32A0" w:rsidP="000636C2">
      <w:pPr>
        <w:rPr>
          <w:b/>
          <w:rtl/>
        </w:rPr>
      </w:pPr>
      <w:r w:rsidRPr="005675B2">
        <w:rPr>
          <w:rFonts w:hint="cs"/>
          <w:rtl/>
        </w:rPr>
        <w:t>وأما امتناعه صلى الله تعالى عليه وسلم عن بيان بطلان هذه العقيدة للجارية وعن بيان الحق في المسألة لها فلأن بيان الحق فيها يحتاج إلى فلسفة لم تكن الجارية أهلاً لأن تفهمها، كما أنها لم تكن مكلفة باعتقاد نفي الجهة عن الله تعالى، وقد أمر صلى الله عليه وسلم أن يكلم الناس على قدر عقولهم، فلم يكن هذا الامتناع من تأخير البيان عن وقت الحاجة، وهو ليس بجائز عليه صلى الله تعالى عليه وسلم، لأن هذا البيان ليس من البيان الواجب عليه صلى الله تعالى عليه وسلم حتى يكون تأخيره عن وقت الحاجة ممتنعاً عليه صلى الله تعالى عليه وسلم</w:t>
      </w:r>
      <w:r w:rsidR="000636C2">
        <w:rPr>
          <w:rFonts w:hint="cs"/>
          <w:rtl/>
        </w:rPr>
        <w:t>،</w:t>
      </w:r>
    </w:p>
    <w:p w14:paraId="075120B4" w14:textId="3DC69C44" w:rsidR="009C32A0" w:rsidRPr="005675B2" w:rsidRDefault="009C32A0" w:rsidP="000636C2">
      <w:pPr>
        <w:rPr>
          <w:b/>
          <w:rtl/>
        </w:rPr>
      </w:pPr>
      <w:r w:rsidRPr="005675B2">
        <w:rPr>
          <w:rFonts w:hint="cs"/>
          <w:rtl/>
        </w:rPr>
        <w:t xml:space="preserve">3 - </w:t>
      </w:r>
      <w:r w:rsidR="000636C2">
        <w:rPr>
          <w:rFonts w:hint="cs"/>
          <w:rtl/>
        </w:rPr>
        <w:t>[</w:t>
      </w:r>
      <w:r w:rsidRPr="005675B2">
        <w:rPr>
          <w:rFonts w:hint="cs"/>
          <w:rtl/>
        </w:rPr>
        <w:t>الفوقية العرفية لله تعالى</w:t>
      </w:r>
      <w:r w:rsidR="000636C2">
        <w:rPr>
          <w:rFonts w:hint="cs"/>
          <w:rtl/>
        </w:rPr>
        <w:t>]</w:t>
      </w:r>
    </w:p>
    <w:p w14:paraId="4E603D95" w14:textId="4AD444E6" w:rsidR="009C32A0" w:rsidRPr="005675B2" w:rsidRDefault="009C32A0" w:rsidP="000636C2">
      <w:pPr>
        <w:rPr>
          <w:b/>
          <w:rtl/>
        </w:rPr>
      </w:pPr>
      <w:r w:rsidRPr="005675B2">
        <w:rPr>
          <w:rFonts w:hint="cs"/>
          <w:rtl/>
        </w:rPr>
        <w:t>ثم إننا إذا صرفنا النظر عن التدقيق الفلسفي الذي قررنا به نفي الجهة عن الله تعالى فمما لا ريب فيه ولا ينبغي أن يختلف فيه اثنان أن ما وراء العالم فوق لبني آدم كلهم بحسب العرف كما أنه فوق لهم بحسب الوهم، لأنه مقابل لرؤسهم كما أن الأرض تحت لهم لأنها مقابلة لأرجلهم، وإن لم يكن فوقاً لهم بحسب التحقيق الذي نقله الكرمي عن القائلين بالجهة، لانقطاع الجهات بانقطاع العالم، والعرف هو الذي يقع به التخاطب في اللغة بين أهلها دون التدقيقات الفلسفية؛ والله تعالى بائن عن خلقه فهو فوقه بحسب العرف، فالفوقية العرفيةكالفوقية الوهمية تؤل إلى البينونة التي أثبتها العلماء لله تعالى،فالمعبر عنه بالبينونة في كلام العلماء هوالمعبرعنه بالفوقية والعلو أوبمايفيدهما في كلام الشارع</w:t>
      </w:r>
      <w:r w:rsidR="000636C2">
        <w:rPr>
          <w:rFonts w:hint="cs"/>
          <w:rtl/>
        </w:rPr>
        <w:t>،</w:t>
      </w:r>
    </w:p>
    <w:p w14:paraId="5D274CB4" w14:textId="6CCEF191" w:rsidR="009C32A0" w:rsidRPr="005675B2" w:rsidRDefault="009C32A0" w:rsidP="000636C2">
      <w:pPr>
        <w:rPr>
          <w:b/>
          <w:rtl/>
        </w:rPr>
      </w:pPr>
      <w:r w:rsidRPr="005675B2">
        <w:rPr>
          <w:rFonts w:hint="cs"/>
          <w:rtl/>
        </w:rPr>
        <w:t>وبهذا المعنى قال الإمام أبو الحسن الأشعري</w:t>
      </w:r>
      <w:r w:rsidR="000636C2">
        <w:rPr>
          <w:rFonts w:hint="cs"/>
          <w:rtl/>
        </w:rPr>
        <w:t>:</w:t>
      </w:r>
      <w:r w:rsidRPr="005675B2">
        <w:rPr>
          <w:rFonts w:hint="cs"/>
          <w:rtl/>
        </w:rPr>
        <w:t xml:space="preserve"> فيما نقله عنه البيهقي</w:t>
      </w:r>
      <w:r w:rsidR="000636C2">
        <w:rPr>
          <w:rFonts w:hint="cs"/>
          <w:rtl/>
        </w:rPr>
        <w:t>:</w:t>
      </w:r>
      <w:r w:rsidRPr="005675B2">
        <w:rPr>
          <w:rFonts w:hint="cs"/>
          <w:rtl/>
        </w:rPr>
        <w:t xml:space="preserve"> </w:t>
      </w:r>
      <w:r w:rsidR="000636C2">
        <w:rPr>
          <w:rFonts w:hint="cs"/>
          <w:rtl/>
        </w:rPr>
        <w:t>(</w:t>
      </w:r>
      <w:r w:rsidRPr="005675B2">
        <w:rPr>
          <w:rFonts w:hint="cs"/>
          <w:rtl/>
        </w:rPr>
        <w:t>وإنه فوق الأشياء بائن منها</w:t>
      </w:r>
      <w:r w:rsidR="000636C2">
        <w:rPr>
          <w:rFonts w:hint="cs"/>
          <w:rtl/>
        </w:rPr>
        <w:t>)</w:t>
      </w:r>
      <w:r w:rsidRPr="005675B2">
        <w:rPr>
          <w:rFonts w:hint="cs"/>
          <w:rtl/>
        </w:rPr>
        <w:t xml:space="preserve"> ومن أجل ذلك لم ينكر النبي صلى الله تعالى عليه وآله وسلم على الجارية إشارتها إلى فوق</w:t>
      </w:r>
      <w:r w:rsidR="000636C2">
        <w:rPr>
          <w:rFonts w:hint="cs"/>
          <w:rtl/>
        </w:rPr>
        <w:t>،</w:t>
      </w:r>
    </w:p>
    <w:p w14:paraId="47B66B7C" w14:textId="1991366D" w:rsidR="009C32A0" w:rsidRPr="005675B2" w:rsidRDefault="009C32A0" w:rsidP="000636C2">
      <w:pPr>
        <w:rPr>
          <w:b/>
          <w:rtl/>
        </w:rPr>
      </w:pPr>
      <w:r w:rsidRPr="005675B2">
        <w:rPr>
          <w:rFonts w:hint="cs"/>
          <w:rtl/>
        </w:rPr>
        <w:t>وبهذا المعنى جاء إثبات العلو والفوقية لله في نصوص الكتاب والسنة مما يصعب حصره،وهذه النصوص وإن كان حمل بعضهاعلى الفوقية بحسب المكانة والعلو بحسب الرتبة ممالابأس به لكن حمل بعضها الآخرعلى ذلك ممايأباه المقام والسياق؛ فنتثبت العلو والفوقية لله تعالى بهذا المعنى، بدون كيف ولا تمثيل ونتوقف عنده، ولا نتجاوزه إلى التفاصيل التي لم يرد بها شيء من الكتاب والسنة ونعترف بالعجز عما وراء ذلك</w:t>
      </w:r>
      <w:r w:rsidR="000636C2">
        <w:rPr>
          <w:rFonts w:hint="cs"/>
          <w:rtl/>
        </w:rPr>
        <w:t>،</w:t>
      </w:r>
    </w:p>
    <w:p w14:paraId="3C464293" w14:textId="694118DD" w:rsidR="009C32A0" w:rsidRPr="005675B2" w:rsidRDefault="009C32A0" w:rsidP="000636C2">
      <w:pPr>
        <w:rPr>
          <w:b/>
          <w:rtl/>
        </w:rPr>
      </w:pPr>
      <w:r w:rsidRPr="005675B2">
        <w:rPr>
          <w:rFonts w:hint="cs"/>
          <w:rtl/>
        </w:rPr>
        <w:t>ونورد هنا نبذة من نصوص الكتاب والسنة التي ورد فيها إثبات الفوقية والعلولله تعالى، قال الله تعالى</w:t>
      </w:r>
      <w:r w:rsidR="000636C2">
        <w:rPr>
          <w:rFonts w:hint="cs"/>
          <w:rtl/>
        </w:rPr>
        <w:t>:</w:t>
      </w:r>
      <w:r w:rsidRPr="005675B2">
        <w:rPr>
          <w:rFonts w:hint="cs"/>
          <w:rtl/>
        </w:rPr>
        <w:t xml:space="preserve"> </w:t>
      </w:r>
      <w:r w:rsidR="000636C2">
        <w:rPr>
          <w:rFonts w:hint="cs"/>
          <w:rtl/>
        </w:rPr>
        <w:t>(</w:t>
      </w:r>
      <w:r w:rsidRPr="005675B2">
        <w:rPr>
          <w:rFonts w:hint="cs"/>
          <w:rtl/>
        </w:rPr>
        <w:t>يخافون ربهم من فوقهم</w:t>
      </w:r>
      <w:r w:rsidR="000636C2">
        <w:rPr>
          <w:rFonts w:hint="cs"/>
          <w:rtl/>
        </w:rPr>
        <w:t>)</w:t>
      </w:r>
      <w:r w:rsidRPr="005675B2">
        <w:rPr>
          <w:rFonts w:hint="cs"/>
          <w:rtl/>
        </w:rPr>
        <w:t>، وقال</w:t>
      </w:r>
      <w:r w:rsidR="000636C2">
        <w:rPr>
          <w:rFonts w:hint="cs"/>
          <w:rtl/>
        </w:rPr>
        <w:t>:</w:t>
      </w:r>
      <w:r w:rsidRPr="005675B2">
        <w:rPr>
          <w:rFonts w:hint="cs"/>
          <w:rtl/>
        </w:rPr>
        <w:t xml:space="preserve"> </w:t>
      </w:r>
      <w:r w:rsidR="000636C2">
        <w:rPr>
          <w:rFonts w:hint="cs"/>
          <w:rtl/>
        </w:rPr>
        <w:t>(</w:t>
      </w:r>
      <w:r w:rsidRPr="005675B2">
        <w:rPr>
          <w:rFonts w:hint="cs"/>
          <w:rtl/>
        </w:rPr>
        <w:t>إليه يصعد الكلم الطيب</w:t>
      </w:r>
      <w:r w:rsidR="000636C2">
        <w:rPr>
          <w:rFonts w:hint="cs"/>
          <w:rtl/>
        </w:rPr>
        <w:t>)،</w:t>
      </w:r>
    </w:p>
    <w:p w14:paraId="6E74C2AA" w14:textId="48675C51" w:rsidR="009C32A0" w:rsidRPr="005675B2" w:rsidRDefault="009C32A0" w:rsidP="000636C2">
      <w:pPr>
        <w:rPr>
          <w:b/>
          <w:rtl/>
        </w:rPr>
      </w:pP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اأمنتم من في السماء أن يخسف بكم الأرض فإذا هي تمور أم أمنتم من في السماء أن يرسل عليكم حاصبا</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تعرج الملائكة والروح إليه في يوم كان مقداره خمسين ألف سنة</w:t>
      </w:r>
      <w:r w:rsidR="000636C2">
        <w:rPr>
          <w:rFonts w:hint="cs"/>
          <w:rtl/>
        </w:rPr>
        <w:t>)،</w:t>
      </w:r>
    </w:p>
    <w:p w14:paraId="105CD59E" w14:textId="76AC31C6" w:rsidR="009C32A0" w:rsidRPr="005675B2" w:rsidRDefault="009C32A0" w:rsidP="000636C2">
      <w:pPr>
        <w:rPr>
          <w:b/>
          <w:rtl/>
        </w:rPr>
      </w:pPr>
      <w:r w:rsidRPr="005675B2">
        <w:rPr>
          <w:rFonts w:hint="cs"/>
          <w:rtl/>
        </w:rPr>
        <w:t>وقال النبي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الراحمون يرحمهم الرحمن، ارحموا أهل الأرض يرحمكم من في السماء</w:t>
      </w:r>
      <w:r w:rsidR="000636C2">
        <w:rPr>
          <w:rFonts w:hint="cs"/>
          <w:rtl/>
        </w:rPr>
        <w:t>)</w:t>
      </w:r>
      <w:r w:rsidRPr="005675B2">
        <w:rPr>
          <w:rFonts w:hint="cs"/>
          <w:rtl/>
        </w:rPr>
        <w:t xml:space="preserve"> أخرجه الترمذي وقال</w:t>
      </w:r>
      <w:r w:rsidR="000636C2">
        <w:rPr>
          <w:rFonts w:hint="cs"/>
          <w:rtl/>
        </w:rPr>
        <w:t>:</w:t>
      </w:r>
      <w:r w:rsidRPr="005675B2">
        <w:rPr>
          <w:rFonts w:hint="cs"/>
          <w:rtl/>
        </w:rPr>
        <w:t xml:space="preserve"> حسن</w:t>
      </w:r>
      <w:r w:rsidR="000636C2">
        <w:rPr>
          <w:rFonts w:hint="cs"/>
          <w:rtl/>
        </w:rPr>
        <w:t>،</w:t>
      </w:r>
    </w:p>
    <w:p w14:paraId="547BCA91" w14:textId="2BC1BBCB" w:rsidR="009C32A0" w:rsidRPr="005675B2" w:rsidRDefault="009C32A0" w:rsidP="000636C2">
      <w:pPr>
        <w:rPr>
          <w:b/>
          <w:rtl/>
        </w:rPr>
      </w:pP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من اشتكى منكم شيئا أو اشتكى أخ له فليقل</w:t>
      </w:r>
      <w:r w:rsidR="000636C2">
        <w:rPr>
          <w:rFonts w:hint="cs"/>
          <w:rtl/>
        </w:rPr>
        <w:t>:</w:t>
      </w:r>
      <w:r w:rsidRPr="005675B2">
        <w:rPr>
          <w:rFonts w:hint="cs"/>
          <w:rtl/>
        </w:rPr>
        <w:t xml:space="preserve"> ربنا ألذي في السماء تقدس اسمك ..</w:t>
      </w:r>
      <w:r w:rsidR="000636C2">
        <w:rPr>
          <w:rFonts w:hint="cs"/>
          <w:rtl/>
        </w:rPr>
        <w:t>)</w:t>
      </w:r>
      <w:r w:rsidRPr="005675B2">
        <w:rPr>
          <w:rFonts w:hint="cs"/>
          <w:rtl/>
        </w:rPr>
        <w:t xml:space="preserve"> أخرجه أبو داود</w:t>
      </w:r>
      <w:r w:rsidR="000636C2">
        <w:rPr>
          <w:rFonts w:hint="cs"/>
          <w:rtl/>
        </w:rPr>
        <w:t>،</w:t>
      </w:r>
    </w:p>
    <w:p w14:paraId="2C16F10C" w14:textId="4941FE55" w:rsidR="009C32A0" w:rsidRPr="005675B2" w:rsidRDefault="009C32A0" w:rsidP="000636C2">
      <w:pPr>
        <w:rPr>
          <w:b/>
          <w:rtl/>
        </w:rPr>
      </w:pP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الآ تأمنوني وأنا أمين من في السماء يأتيني خبر من في السماء صباحا ومساء</w:t>
      </w:r>
      <w:r w:rsidR="000636C2">
        <w:rPr>
          <w:rFonts w:hint="cs"/>
          <w:rtl/>
        </w:rPr>
        <w:t>)</w:t>
      </w:r>
      <w:r w:rsidRPr="005675B2">
        <w:rPr>
          <w:rFonts w:hint="cs"/>
          <w:rtl/>
        </w:rPr>
        <w:t xml:space="preserve"> أخرجه البخاري ومسلم</w:t>
      </w:r>
      <w:r w:rsidR="000636C2">
        <w:rPr>
          <w:rFonts w:hint="cs"/>
          <w:rtl/>
        </w:rPr>
        <w:t>،</w:t>
      </w:r>
    </w:p>
    <w:p w14:paraId="072A2112" w14:textId="3762C026" w:rsidR="009C32A0" w:rsidRPr="005675B2" w:rsidRDefault="009C32A0" w:rsidP="000636C2">
      <w:pPr>
        <w:rPr>
          <w:b/>
          <w:rtl/>
        </w:rPr>
      </w:pP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والذي نفسي بيده ما من رجل يدعو امرائته إلى فراشها</w:t>
      </w:r>
      <w:r w:rsidR="000636C2">
        <w:rPr>
          <w:rFonts w:hint="cs"/>
          <w:rtl/>
        </w:rPr>
        <w:t xml:space="preserve"> </w:t>
      </w:r>
      <w:r w:rsidRPr="005675B2">
        <w:rPr>
          <w:rFonts w:hint="cs"/>
          <w:rtl/>
        </w:rPr>
        <w:t>فتأبى عليه إلا</w:t>
      </w:r>
      <w:r w:rsidR="000636C2">
        <w:rPr>
          <w:rFonts w:hint="cs"/>
          <w:rtl/>
        </w:rPr>
        <w:t xml:space="preserve"> </w:t>
      </w:r>
      <w:r w:rsidRPr="005675B2">
        <w:rPr>
          <w:rFonts w:hint="cs"/>
          <w:rtl/>
        </w:rPr>
        <w:t>كان الذي في السماء ساخطا عليها حتى يرضى عنها</w:t>
      </w:r>
      <w:r w:rsidR="000636C2">
        <w:rPr>
          <w:rFonts w:hint="cs"/>
          <w:rtl/>
        </w:rPr>
        <w:t>)</w:t>
      </w:r>
      <w:r w:rsidRPr="005675B2">
        <w:rPr>
          <w:rFonts w:hint="cs"/>
          <w:rtl/>
        </w:rPr>
        <w:t xml:space="preserve"> أخرجه الشيخان</w:t>
      </w:r>
      <w:r w:rsidR="000636C2">
        <w:rPr>
          <w:rFonts w:hint="cs"/>
          <w:rtl/>
        </w:rPr>
        <w:t>،</w:t>
      </w:r>
    </w:p>
    <w:p w14:paraId="76435C7E" w14:textId="0BB97E47" w:rsidR="009C32A0" w:rsidRPr="005675B2" w:rsidRDefault="009C32A0" w:rsidP="000636C2">
      <w:pPr>
        <w:rPr>
          <w:b/>
          <w:rtl/>
        </w:rPr>
      </w:pP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إن الله كتب كتابا قبل أن يخلق الخلق إن رحمتي سبقت غضبي فهو عنده فوق العرش</w:t>
      </w:r>
      <w:r w:rsidR="000636C2">
        <w:rPr>
          <w:rFonts w:hint="cs"/>
          <w:rtl/>
        </w:rPr>
        <w:t>)،</w:t>
      </w:r>
      <w:r w:rsidRPr="005675B2">
        <w:rPr>
          <w:rFonts w:hint="cs"/>
          <w:rtl/>
        </w:rPr>
        <w:t xml:space="preserve"> أخرجه الشيخان، إلى غير ذلك من نصوص الكتاب والسنة الواردة في ذلك</w:t>
      </w:r>
      <w:r w:rsidR="000636C2">
        <w:rPr>
          <w:rFonts w:hint="cs"/>
          <w:rtl/>
        </w:rPr>
        <w:t>،</w:t>
      </w:r>
    </w:p>
    <w:p w14:paraId="11404D61" w14:textId="532C28E0" w:rsidR="009C32A0" w:rsidRPr="005675B2" w:rsidRDefault="009C32A0" w:rsidP="000636C2">
      <w:pPr>
        <w:rPr>
          <w:b/>
          <w:rtl/>
        </w:rPr>
      </w:pPr>
      <w:r w:rsidRPr="005675B2">
        <w:rPr>
          <w:rFonts w:hint="cs"/>
          <w:rtl/>
        </w:rPr>
        <w:t>وقد تقدم قول ابن تيمية أن معنى كون الله تعالى في السماء وكونه على العرش واحد</w:t>
      </w:r>
      <w:r w:rsidR="000636C2">
        <w:rPr>
          <w:rFonts w:hint="cs"/>
          <w:rtl/>
        </w:rPr>
        <w:t>،</w:t>
      </w:r>
      <w:r w:rsidRPr="005675B2">
        <w:rPr>
          <w:rFonts w:hint="cs"/>
          <w:rtl/>
        </w:rPr>
        <w:t xml:space="preserve"> وهو أن الله تعالى في العلو لا في السفل</w:t>
      </w:r>
      <w:r w:rsidR="000636C2">
        <w:rPr>
          <w:rFonts w:hint="cs"/>
          <w:rtl/>
        </w:rPr>
        <w:t>،</w:t>
      </w:r>
      <w:r w:rsidRPr="005675B2">
        <w:rPr>
          <w:rFonts w:hint="cs"/>
          <w:rtl/>
        </w:rPr>
        <w:t xml:space="preserve"> وتقدم أن قلنا</w:t>
      </w:r>
      <w:r w:rsidR="000636C2">
        <w:rPr>
          <w:rFonts w:hint="cs"/>
          <w:rtl/>
        </w:rPr>
        <w:t>:</w:t>
      </w:r>
      <w:r w:rsidRPr="005675B2">
        <w:rPr>
          <w:rFonts w:hint="cs"/>
          <w:rtl/>
        </w:rPr>
        <w:t xml:space="preserve"> إن وصف العلو لله تعالى يؤل</w:t>
      </w:r>
      <w:r w:rsidR="000636C2">
        <w:rPr>
          <w:rFonts w:hint="cs"/>
          <w:rtl/>
        </w:rPr>
        <w:t xml:space="preserve"> </w:t>
      </w:r>
      <w:r w:rsidRPr="005675B2">
        <w:rPr>
          <w:rFonts w:hint="cs"/>
          <w:rtl/>
        </w:rPr>
        <w:t>إلى البينونة التي أثبتها العلماء لله تعالى</w:t>
      </w:r>
      <w:r w:rsidR="000636C2">
        <w:rPr>
          <w:rFonts w:hint="cs"/>
          <w:rtl/>
        </w:rPr>
        <w:t>،</w:t>
      </w:r>
    </w:p>
    <w:p w14:paraId="6AE54299" w14:textId="1EBF4E61" w:rsidR="009C32A0" w:rsidRPr="005675B2" w:rsidRDefault="009C32A0" w:rsidP="000636C2">
      <w:pPr>
        <w:rPr>
          <w:b/>
          <w:rtl/>
        </w:rPr>
      </w:pPr>
      <w:r w:rsidRPr="005675B2">
        <w:rPr>
          <w:rFonts w:hint="cs"/>
          <w:rtl/>
        </w:rPr>
        <w:t>ونختم بحثنا هذا بإيراد نص للإمام أبي الحسن الأشعري قال رحمه الله تعالى في كتاب “ الإبانة “ ص</w:t>
      </w:r>
      <w:r w:rsidR="000636C2">
        <w:rPr>
          <w:rFonts w:hint="cs"/>
          <w:rtl/>
        </w:rPr>
        <w:t xml:space="preserve"> </w:t>
      </w:r>
      <w:r w:rsidRPr="005675B2">
        <w:rPr>
          <w:rFonts w:hint="cs"/>
          <w:rtl/>
        </w:rPr>
        <w:t xml:space="preserve">- </w:t>
      </w:r>
      <w:r w:rsidR="000636C2">
        <w:rPr>
          <w:rFonts w:hint="cs"/>
          <w:rtl/>
        </w:rPr>
        <w:t>(</w:t>
      </w:r>
      <w:r w:rsidRPr="005675B2">
        <w:rPr>
          <w:rFonts w:hint="cs"/>
          <w:rtl/>
        </w:rPr>
        <w:t>71</w:t>
      </w:r>
      <w:r w:rsidR="000636C2">
        <w:rPr>
          <w:rFonts w:hint="cs"/>
          <w:rtl/>
        </w:rPr>
        <w:t>):</w:t>
      </w:r>
      <w:r w:rsidRPr="005675B2">
        <w:rPr>
          <w:rFonts w:hint="cs"/>
          <w:rtl/>
        </w:rPr>
        <w:t xml:space="preserve"> وأن الله استوى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وفوق كل شيء إلى تخوم الثرى فوقية لا تزيده قرباً إلى العرش والسماء، وهو رفيع الدرجات عن العرش كما أنه رفيع الدرجات عن الثرى، وهو مع ذلك قريب من كل موجود، وهو أقرب إلى العبد من حبل الوريد، وهو على كل شيء شهيد</w:t>
      </w:r>
      <w:r w:rsidR="000636C2">
        <w:rPr>
          <w:rFonts w:hint="cs"/>
          <w:rtl/>
        </w:rPr>
        <w:t>،</w:t>
      </w:r>
    </w:p>
    <w:p w14:paraId="7838E8E8" w14:textId="20F57470" w:rsidR="009C32A0" w:rsidRPr="005675B2" w:rsidRDefault="009C32A0" w:rsidP="000636C2">
      <w:pPr>
        <w:rPr>
          <w:b/>
          <w:rtl/>
        </w:rPr>
      </w:pPr>
      <w:r w:rsidRPr="005675B2">
        <w:rPr>
          <w:rFonts w:hint="cs"/>
          <w:rtl/>
        </w:rPr>
        <w:t>وهذا النص من الإبانة ليس بموجود في النسخ المطبوعة المتداولة، وهو ثابت في مخطوطة نسخة بلدية الإسكندرية، وقد قامت بتحقيقها الدكتورة فوقية حسين محمود، وطبعت الطبعة الأولى منها بدار الأنصار بالقاهرة، والطبعة الثانية بدار الكتاب للنشر والتوزيع بالقاهرة</w:t>
      </w:r>
      <w:r w:rsidR="000636C2">
        <w:rPr>
          <w:rFonts w:hint="cs"/>
          <w:rtl/>
        </w:rPr>
        <w:t>،</w:t>
      </w:r>
    </w:p>
    <w:p w14:paraId="3A4BF9E7" w14:textId="7C810F67" w:rsidR="009C32A0" w:rsidRPr="005675B2" w:rsidRDefault="009C32A0" w:rsidP="000636C2">
      <w:pPr>
        <w:rPr>
          <w:b/>
          <w:rtl/>
        </w:rPr>
      </w:pPr>
      <w:r w:rsidRPr="005675B2">
        <w:rPr>
          <w:rFonts w:hint="cs"/>
          <w:rtl/>
        </w:rPr>
        <w:t>والله تعالى أعلم، والحمد لله رب العالمين، والصلاة والسلام على سيدنا محمد وعلى آله وصحبه وسلم</w:t>
      </w:r>
      <w:r w:rsidR="000636C2">
        <w:rPr>
          <w:rFonts w:hint="cs"/>
          <w:rtl/>
        </w:rPr>
        <w:t>،</w:t>
      </w:r>
    </w:p>
    <w:p w14:paraId="0FBEE2DF" w14:textId="3C026D80" w:rsidR="009C32A0" w:rsidRPr="005675B2" w:rsidRDefault="009C32A0" w:rsidP="000636C2">
      <w:pPr>
        <w:rPr>
          <w:b/>
          <w:rtl/>
        </w:rPr>
      </w:pPr>
      <w:r w:rsidRPr="005675B2">
        <w:rPr>
          <w:rFonts w:hint="cs"/>
          <w:rtl/>
        </w:rPr>
        <w:t>73 - مسألة الأحوال</w:t>
      </w:r>
      <w:r w:rsidR="000636C2">
        <w:rPr>
          <w:rFonts w:hint="cs"/>
          <w:rtl/>
        </w:rPr>
        <w:t>:</w:t>
      </w:r>
    </w:p>
    <w:p w14:paraId="29123139" w14:textId="7A6182E3" w:rsidR="009C32A0" w:rsidRPr="005675B2" w:rsidRDefault="009C32A0" w:rsidP="000636C2">
      <w:pPr>
        <w:rPr>
          <w:b/>
          <w:rtl/>
        </w:rPr>
      </w:pPr>
      <w:r w:rsidRPr="005675B2">
        <w:rPr>
          <w:rFonts w:hint="cs"/>
          <w:rtl/>
        </w:rPr>
        <w:t>وأما قول الدكتور</w:t>
      </w:r>
      <w:r w:rsidR="000636C2">
        <w:rPr>
          <w:rFonts w:hint="cs"/>
          <w:rtl/>
        </w:rPr>
        <w:t>:</w:t>
      </w:r>
      <w:r w:rsidRPr="005675B2">
        <w:rPr>
          <w:rFonts w:hint="cs"/>
          <w:rtl/>
        </w:rPr>
        <w:t xml:space="preserve"> {وقالوا عن الأحوال</w:t>
      </w:r>
      <w:r w:rsidR="000636C2">
        <w:rPr>
          <w:rFonts w:hint="cs"/>
          <w:rtl/>
        </w:rPr>
        <w:t>:</w:t>
      </w:r>
      <w:r w:rsidRPr="005675B2">
        <w:rPr>
          <w:rFonts w:hint="cs"/>
          <w:rtl/>
        </w:rPr>
        <w:t xml:space="preserve"> هي صفات لا معدومة ولا موجودة، فرفعوا النقيضين معا "</w:t>
      </w:r>
      <w:r w:rsidR="000636C2">
        <w:rPr>
          <w:rFonts w:hint="cs"/>
          <w:rtl/>
        </w:rPr>
        <w:t>،</w:t>
      </w:r>
    </w:p>
    <w:p w14:paraId="39F711A1" w14:textId="071F9AAA" w:rsidR="009C32A0" w:rsidRPr="005675B2" w:rsidRDefault="009C32A0" w:rsidP="000636C2">
      <w:pPr>
        <w:rPr>
          <w:b/>
          <w:rtl/>
        </w:rPr>
      </w:pPr>
      <w:r w:rsidRPr="005675B2">
        <w:rPr>
          <w:rFonts w:hint="cs"/>
          <w:rtl/>
        </w:rPr>
        <w:t>فقد أخطأ فيه خطئين</w:t>
      </w:r>
      <w:r w:rsidR="000636C2">
        <w:rPr>
          <w:rFonts w:hint="cs"/>
          <w:rtl/>
        </w:rPr>
        <w:t>:</w:t>
      </w:r>
    </w:p>
    <w:p w14:paraId="566C109F" w14:textId="72E24C76" w:rsidR="009C32A0" w:rsidRPr="005675B2" w:rsidRDefault="009C32A0" w:rsidP="000636C2">
      <w:pPr>
        <w:rPr>
          <w:b/>
          <w:rtl/>
        </w:rPr>
      </w:pPr>
      <w:r w:rsidRPr="005675B2">
        <w:rPr>
          <w:rFonts w:hint="cs"/>
          <w:rtl/>
        </w:rPr>
        <w:t>الأول</w:t>
      </w:r>
      <w:r w:rsidR="000636C2">
        <w:rPr>
          <w:rFonts w:hint="cs"/>
          <w:rtl/>
        </w:rPr>
        <w:t>:</w:t>
      </w:r>
      <w:r w:rsidRPr="005675B2">
        <w:rPr>
          <w:rFonts w:hint="cs"/>
          <w:rtl/>
        </w:rPr>
        <w:t xml:space="preserve"> نسبته القول بالحال إلى الأشاعرة كلهم، مع أن القائل به من الأشاعرة إنما هو إمام الحرمين فقط، وقد قال به بعض المعتزلة أيضا</w:t>
      </w:r>
      <w:r w:rsidR="000636C2">
        <w:rPr>
          <w:rFonts w:hint="cs"/>
          <w:rtl/>
        </w:rPr>
        <w:t>،</w:t>
      </w:r>
    </w:p>
    <w:p w14:paraId="0AC69A60" w14:textId="0D90DB39" w:rsidR="009C32A0" w:rsidRPr="005675B2" w:rsidRDefault="009C32A0" w:rsidP="000636C2">
      <w:pPr>
        <w:rPr>
          <w:b/>
          <w:rtl/>
        </w:rPr>
      </w:pPr>
      <w:r w:rsidRPr="005675B2">
        <w:rPr>
          <w:rFonts w:hint="cs"/>
          <w:rtl/>
        </w:rPr>
        <w:t>والثاني قوله</w:t>
      </w:r>
      <w:r w:rsidR="000636C2">
        <w:rPr>
          <w:rFonts w:hint="cs"/>
          <w:rtl/>
        </w:rPr>
        <w:t>:</w:t>
      </w:r>
      <w:r w:rsidRPr="005675B2">
        <w:rPr>
          <w:rFonts w:hint="cs"/>
          <w:rtl/>
        </w:rPr>
        <w:t xml:space="preserve"> </w:t>
      </w:r>
      <w:r w:rsidR="000636C2">
        <w:rPr>
          <w:rFonts w:hint="cs"/>
          <w:rtl/>
        </w:rPr>
        <w:t>(</w:t>
      </w:r>
      <w:r w:rsidRPr="005675B2">
        <w:rPr>
          <w:rFonts w:hint="cs"/>
          <w:rtl/>
        </w:rPr>
        <w:t>فرفعوا النقيضين معا</w:t>
      </w:r>
      <w:r w:rsidR="000636C2">
        <w:rPr>
          <w:rFonts w:hint="cs"/>
          <w:rtl/>
        </w:rPr>
        <w:t>)</w:t>
      </w:r>
      <w:r w:rsidRPr="005675B2">
        <w:rPr>
          <w:rFonts w:hint="cs"/>
          <w:rtl/>
        </w:rPr>
        <w:t xml:space="preserve"> وذلك أن القائلين بالأحوال أثبتوا الواسطة بين الموجود والمعدوم، فلم يكن الموجود والمعدوم عندهم نقيضين، بل هما عندهم ضدان يجوز ارتفاعهما كما في الأحوال ولا يجوز اجتماعهما، فالموجودات عندهم هي ما له ثبوت وتحقق في الخارج، والأحوال عندهم ما له ثبوت وتحقق في نفسه دون الخارج، والمعدومات ما ليس له ثبوت وتحقق لا في الخارج ولا في نفسه، بل هو عدم محض</w:t>
      </w:r>
      <w:r w:rsidR="000636C2">
        <w:rPr>
          <w:rFonts w:hint="cs"/>
          <w:rtl/>
        </w:rPr>
        <w:t>،</w:t>
      </w:r>
      <w:r w:rsidRPr="005675B2">
        <w:rPr>
          <w:rFonts w:hint="cs"/>
          <w:rtl/>
        </w:rPr>
        <w:t xml:space="preserve"> وقد أثبت غير إمام الحرمين من الأشاعرة الأمور الإعتبارية، وقالوا</w:t>
      </w:r>
      <w:r w:rsidR="000636C2">
        <w:rPr>
          <w:rFonts w:hint="cs"/>
          <w:rtl/>
        </w:rPr>
        <w:t>:</w:t>
      </w:r>
      <w:r w:rsidRPr="005675B2">
        <w:rPr>
          <w:rFonts w:hint="cs"/>
          <w:rtl/>
        </w:rPr>
        <w:t xml:space="preserve"> إنها أمور ليس لها ثبوت وتحقق في الخارج ولا هي أعدام محضة، بل هي أقرب إلى الموجودات الخارجية منها إلى الأعدام المحضة، ولو قال قائل</w:t>
      </w:r>
      <w:r w:rsidR="000636C2">
        <w:rPr>
          <w:rFonts w:hint="cs"/>
          <w:rtl/>
        </w:rPr>
        <w:t>:</w:t>
      </w:r>
      <w:r w:rsidRPr="005675B2">
        <w:rPr>
          <w:rFonts w:hint="cs"/>
          <w:rtl/>
        </w:rPr>
        <w:t xml:space="preserve"> لنسمي الأحوال والأمور الإعتبارية بالموجودات حتى يكون التقابل بين الموجود والمعدوم تقابل التناقض لا التضاد، نقول له</w:t>
      </w:r>
      <w:r w:rsidR="000636C2">
        <w:rPr>
          <w:rFonts w:hint="cs"/>
          <w:rtl/>
        </w:rPr>
        <w:t>:</w:t>
      </w:r>
      <w:r w:rsidRPr="005675B2">
        <w:rPr>
          <w:rFonts w:hint="cs"/>
          <w:rtl/>
        </w:rPr>
        <w:t xml:space="preserve"> لك أن تصطلح على هذا، ولا مشاحة في الإصطلاح، ويكون الخلاف حينئذ راجعا إلى اللفظ والتسمية</w:t>
      </w:r>
      <w:r w:rsidR="000636C2">
        <w:rPr>
          <w:rFonts w:hint="cs"/>
          <w:rtl/>
        </w:rPr>
        <w:t>،</w:t>
      </w:r>
    </w:p>
    <w:p w14:paraId="001D1CF6" w14:textId="77777777" w:rsidR="009C32A0" w:rsidRPr="005675B2" w:rsidRDefault="009C32A0" w:rsidP="000636C2">
      <w:pPr>
        <w:rPr>
          <w:b/>
          <w:rtl/>
        </w:rPr>
      </w:pPr>
    </w:p>
    <w:p w14:paraId="77ECB2CD" w14:textId="2ED63F34" w:rsidR="009C32A0" w:rsidRPr="005675B2" w:rsidRDefault="009C32A0" w:rsidP="000636C2">
      <w:pPr>
        <w:rPr>
          <w:b/>
          <w:rtl/>
        </w:rPr>
      </w:pPr>
      <w:r w:rsidRPr="005675B2">
        <w:rPr>
          <w:rFonts w:hint="cs"/>
          <w:rtl/>
        </w:rPr>
        <w:t>74 - حكم من لم تبلغه دعوة الرسل</w:t>
      </w:r>
      <w:r w:rsidR="000636C2">
        <w:rPr>
          <w:rFonts w:hint="cs"/>
          <w:rtl/>
        </w:rPr>
        <w:t>:</w:t>
      </w:r>
    </w:p>
    <w:p w14:paraId="4E944D79" w14:textId="70EC99F4" w:rsidR="009C32A0" w:rsidRPr="005675B2" w:rsidRDefault="009C32A0" w:rsidP="000636C2">
      <w:pPr>
        <w:rPr>
          <w:b/>
          <w:rtl/>
        </w:rPr>
      </w:pPr>
      <w:r w:rsidRPr="005675B2">
        <w:rPr>
          <w:rFonts w:hint="cs"/>
          <w:rtl/>
        </w:rPr>
        <w:t>ثم قال الدكتور</w:t>
      </w:r>
      <w:r w:rsidR="000636C2">
        <w:rPr>
          <w:rFonts w:hint="cs"/>
          <w:rtl/>
        </w:rPr>
        <w:t>:</w:t>
      </w:r>
      <w:r w:rsidRPr="005675B2">
        <w:rPr>
          <w:rFonts w:hint="cs"/>
          <w:rtl/>
        </w:rPr>
        <w:t xml:space="preserve"> " جزموا بأن من لم يبلغه الشرع غير مؤاخذ بإطلاق، وردوا أو أولوا النصوص في ذلك "</w:t>
      </w:r>
      <w:r w:rsidR="000636C2">
        <w:rPr>
          <w:rFonts w:hint="cs"/>
          <w:rtl/>
        </w:rPr>
        <w:t>،</w:t>
      </w:r>
    </w:p>
    <w:p w14:paraId="2A6CEB82" w14:textId="4C710F79"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نعم جزم الأشاعرة بأن من لم تبلغه دعوة نبي من الأنبياء على وجهها غير مؤاخذ، وإن لم يعرف الله تعالى أو أشرك به</w:t>
      </w:r>
      <w:r w:rsidR="000636C2">
        <w:rPr>
          <w:rFonts w:hint="cs"/>
          <w:rtl/>
        </w:rPr>
        <w:t>،</w:t>
      </w:r>
      <w:r w:rsidRPr="005675B2">
        <w:rPr>
          <w:rFonts w:hint="cs"/>
          <w:rtl/>
        </w:rPr>
        <w:t xml:space="preserve"> ودليلهم في ذلك قوله تعالى</w:t>
      </w:r>
      <w:r w:rsidR="000636C2">
        <w:rPr>
          <w:rFonts w:hint="cs"/>
          <w:rtl/>
        </w:rPr>
        <w:t>:</w:t>
      </w:r>
      <w:r w:rsidRPr="005675B2">
        <w:rPr>
          <w:rFonts w:hint="cs"/>
          <w:rtl/>
        </w:rPr>
        <w:t xml:space="preserve"> </w:t>
      </w:r>
      <w:r w:rsidR="000636C2">
        <w:rPr>
          <w:rFonts w:hint="cs"/>
          <w:rtl/>
        </w:rPr>
        <w:t>(</w:t>
      </w:r>
      <w:r w:rsidRPr="005675B2">
        <w:rPr>
          <w:rFonts w:hint="cs"/>
          <w:rtl/>
        </w:rPr>
        <w:t>وما كنا معذبين حتى نبعث رسولا</w:t>
      </w:r>
      <w:r w:rsidR="000636C2">
        <w:rPr>
          <w:rFonts w:hint="cs"/>
          <w:rtl/>
        </w:rPr>
        <w:t>)</w:t>
      </w:r>
      <w:r w:rsidRPr="005675B2">
        <w:rPr>
          <w:rFonts w:hint="cs"/>
          <w:rtl/>
        </w:rPr>
        <w:t xml:space="preserve"> [</w:t>
      </w:r>
      <w:r w:rsidRPr="005675B2">
        <w:rPr>
          <w:rFonts w:hint="cs"/>
          <w:sz w:val="24"/>
          <w:szCs w:val="24"/>
          <w:rtl/>
        </w:rPr>
        <w:t>الإسراء 15]</w:t>
      </w:r>
      <w:r w:rsidRPr="005675B2">
        <w:rPr>
          <w:rFonts w:hint="cs"/>
          <w:rtl/>
        </w:rPr>
        <w:t xml:space="preserve"> وقوله تعالى</w:t>
      </w:r>
      <w:r w:rsidR="000636C2">
        <w:rPr>
          <w:rFonts w:hint="cs"/>
          <w:rtl/>
        </w:rPr>
        <w:t>:</w:t>
      </w:r>
      <w:r w:rsidRPr="005675B2">
        <w:rPr>
          <w:rFonts w:hint="cs"/>
          <w:rtl/>
        </w:rPr>
        <w:t xml:space="preserve"> </w:t>
      </w:r>
      <w:r w:rsidR="000636C2">
        <w:rPr>
          <w:rFonts w:hint="cs"/>
          <w:rtl/>
        </w:rPr>
        <w:t>(</w:t>
      </w:r>
      <w:r w:rsidRPr="005675B2">
        <w:rPr>
          <w:rFonts w:hint="cs"/>
          <w:rtl/>
        </w:rPr>
        <w:t>رسلا مبشرين ومنذرين لئلا يكون للناس على الله حجة بعد الرسل</w:t>
      </w:r>
      <w:r w:rsidR="000636C2">
        <w:rPr>
          <w:rFonts w:hint="cs"/>
          <w:rtl/>
        </w:rPr>
        <w:t>)</w:t>
      </w:r>
      <w:r w:rsidRPr="005675B2">
        <w:rPr>
          <w:rFonts w:hint="cs"/>
          <w:rtl/>
        </w:rPr>
        <w:t xml:space="preserve"> </w:t>
      </w:r>
      <w:r w:rsidR="000636C2">
        <w:rPr>
          <w:rFonts w:hint="cs"/>
          <w:rtl/>
        </w:rPr>
        <w:t>[</w:t>
      </w:r>
      <w:r w:rsidRPr="005675B2">
        <w:rPr>
          <w:rFonts w:hint="cs"/>
          <w:sz w:val="24"/>
          <w:szCs w:val="24"/>
          <w:rtl/>
        </w:rPr>
        <w:t>النساء 165]</w:t>
      </w:r>
      <w:r w:rsidRPr="005675B2">
        <w:rPr>
          <w:rFonts w:hint="cs"/>
          <w:rtl/>
        </w:rPr>
        <w:t xml:space="preserve"> هاتان الآيتان صريحتان فيما ذهب إليه الأشاعرة، ولا يوجد لا في الكتاب ولا في السنة نص واحد صريح مثل صراحة هاتين الآيتين يدل على مؤاخذة من لم تبلغه دعوة الرسل</w:t>
      </w:r>
      <w:r w:rsidR="000636C2">
        <w:rPr>
          <w:rFonts w:hint="cs"/>
          <w:rtl/>
        </w:rPr>
        <w:t>،</w:t>
      </w:r>
      <w:r w:rsidRPr="005675B2">
        <w:rPr>
          <w:rFonts w:hint="cs"/>
          <w:rtl/>
        </w:rPr>
        <w:t xml:space="preserve"> وليت الدكتور أورد نبذة من تلك النصوص التى زعم أن الأشاعرة ردوها أو أولوها</w:t>
      </w:r>
      <w:r w:rsidR="000636C2">
        <w:rPr>
          <w:rFonts w:hint="cs"/>
          <w:rtl/>
        </w:rPr>
        <w:t>،</w:t>
      </w:r>
    </w:p>
    <w:p w14:paraId="2F9397D2" w14:textId="05B4C175" w:rsidR="009C32A0" w:rsidRPr="005675B2" w:rsidRDefault="009C32A0" w:rsidP="000636C2">
      <w:pPr>
        <w:rPr>
          <w:b/>
          <w:rtl/>
        </w:rPr>
      </w:pPr>
      <w:r w:rsidRPr="005675B2">
        <w:rPr>
          <w:rFonts w:hint="cs"/>
          <w:rtl/>
        </w:rPr>
        <w:t>نعم قد ذهب الماتريدية والمعتزلة إلى وجوب معرفة الله تعالى بالعقل بدون بلوغ دعوة الرسل</w:t>
      </w:r>
      <w:r w:rsidR="000636C2">
        <w:rPr>
          <w:rFonts w:hint="cs"/>
          <w:rtl/>
        </w:rPr>
        <w:t>،</w:t>
      </w:r>
      <w:r w:rsidRPr="005675B2">
        <w:rPr>
          <w:rFonts w:hint="cs"/>
          <w:rtl/>
        </w:rPr>
        <w:t xml:space="preserve"> والخلاف في هذه المسألة مبني على الخلاف في الحسن والقبح العقليين، فمن أثبتهما قال بوجوب معرفة الله تعالى بالعقل، ومن نفاهما قال</w:t>
      </w:r>
      <w:r w:rsidR="000636C2">
        <w:rPr>
          <w:rFonts w:hint="cs"/>
          <w:rtl/>
        </w:rPr>
        <w:t>:</w:t>
      </w:r>
      <w:r w:rsidRPr="005675B2">
        <w:rPr>
          <w:rFonts w:hint="cs"/>
          <w:rtl/>
        </w:rPr>
        <w:t xml:space="preserve"> إنه لا يتحقق الوجوب في أمر من الأمور إلا بعد ورود الشرع وبلوغه</w:t>
      </w:r>
      <w:r w:rsidR="000636C2">
        <w:rPr>
          <w:rFonts w:hint="cs"/>
          <w:rtl/>
        </w:rPr>
        <w:t>،</w:t>
      </w:r>
      <w:r w:rsidRPr="005675B2">
        <w:rPr>
          <w:rFonts w:hint="cs"/>
          <w:rtl/>
        </w:rPr>
        <w:t xml:space="preserve"> وقد فصلنا المسألة فيما تقدم</w:t>
      </w:r>
      <w:r w:rsidR="000636C2">
        <w:rPr>
          <w:rFonts w:hint="cs"/>
          <w:rtl/>
        </w:rPr>
        <w:t>،</w:t>
      </w:r>
    </w:p>
    <w:p w14:paraId="4C34129A" w14:textId="6112E76D" w:rsidR="009C32A0" w:rsidRPr="005675B2" w:rsidRDefault="009C32A0" w:rsidP="000636C2">
      <w:pPr>
        <w:rPr>
          <w:b/>
          <w:rtl/>
        </w:rPr>
      </w:pPr>
      <w:r w:rsidRPr="005675B2">
        <w:rPr>
          <w:rFonts w:hint="cs"/>
          <w:rtl/>
        </w:rPr>
        <w:t>75 - مسألة وجوب النظر في معرفة الله تعالى، ومسألة أول واجب على المكلف</w:t>
      </w:r>
      <w:r w:rsidR="000636C2">
        <w:rPr>
          <w:rFonts w:hint="cs"/>
          <w:rtl/>
        </w:rPr>
        <w:t>:</w:t>
      </w:r>
    </w:p>
    <w:p w14:paraId="04BA8A72" w14:textId="53F92813" w:rsidR="009C32A0" w:rsidRPr="005675B2" w:rsidRDefault="009C32A0" w:rsidP="000636C2">
      <w:pPr>
        <w:rPr>
          <w:b/>
          <w:rtl/>
        </w:rPr>
      </w:pPr>
      <w:r w:rsidRPr="005675B2">
        <w:rPr>
          <w:rFonts w:hint="cs"/>
          <w:rtl/>
        </w:rPr>
        <w:t>ثم قال الدكتور</w:t>
      </w:r>
      <w:r w:rsidR="000636C2">
        <w:rPr>
          <w:rFonts w:hint="cs"/>
          <w:rtl/>
        </w:rPr>
        <w:t>:</w:t>
      </w:r>
      <w:r w:rsidRPr="005675B2">
        <w:rPr>
          <w:rFonts w:hint="cs"/>
          <w:rtl/>
        </w:rPr>
        <w:t xml:space="preserve"> " قالوا</w:t>
      </w:r>
      <w:r w:rsidR="000636C2">
        <w:rPr>
          <w:rFonts w:hint="cs"/>
          <w:rtl/>
        </w:rPr>
        <w:t>:</w:t>
      </w:r>
      <w:r w:rsidRPr="005675B2">
        <w:rPr>
          <w:rFonts w:hint="cs"/>
          <w:rtl/>
        </w:rPr>
        <w:t xml:space="preserve"> إن على المكلف وإن كان مولودا من أبوين مسلمين في ديار الإسلام وهو يظهر الإسلام عليه إذا بلغ سن التكليف أن ينظر في حدوث العالم ووجود الله، فمن مات قبل النظر أو في أثنائه اختلفوا في الحكم بإسلامه، وجزم بعضهم بكفره "</w:t>
      </w:r>
      <w:r w:rsidR="000636C2">
        <w:rPr>
          <w:rFonts w:hint="cs"/>
          <w:rtl/>
        </w:rPr>
        <w:t>،</w:t>
      </w:r>
    </w:p>
    <w:p w14:paraId="035DEB7E" w14:textId="50FD8E8C"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أكبر مشكلة عند الدكتور أنه لم يفهم كلام الأشاعرة على وجهه، فتورط في نقده لهم في مآت الأخطاء</w:t>
      </w:r>
      <w:r w:rsidR="000636C2">
        <w:rPr>
          <w:rFonts w:hint="cs"/>
          <w:rtl/>
        </w:rPr>
        <w:t>،</w:t>
      </w:r>
      <w:r w:rsidRPr="005675B2">
        <w:rPr>
          <w:rFonts w:hint="cs"/>
          <w:rtl/>
        </w:rPr>
        <w:t xml:space="preserve"> وكلام الدكتور هذا متعلق بمسألتين من مسائل علم الكلام</w:t>
      </w:r>
      <w:r w:rsidR="000636C2">
        <w:rPr>
          <w:rFonts w:hint="cs"/>
          <w:rtl/>
        </w:rPr>
        <w:t>:</w:t>
      </w:r>
      <w:r w:rsidRPr="005675B2">
        <w:rPr>
          <w:rFonts w:hint="cs"/>
          <w:rtl/>
        </w:rPr>
        <w:t xml:space="preserve"> الأولى مسألة وجوب النظر في معرفة الله تعالى</w:t>
      </w:r>
      <w:r w:rsidR="000636C2">
        <w:rPr>
          <w:rFonts w:hint="cs"/>
          <w:rtl/>
        </w:rPr>
        <w:t>،</w:t>
      </w:r>
      <w:r w:rsidRPr="005675B2">
        <w:rPr>
          <w:rFonts w:hint="cs"/>
          <w:rtl/>
        </w:rPr>
        <w:t xml:space="preserve"> والثانية</w:t>
      </w:r>
      <w:r w:rsidR="000636C2">
        <w:rPr>
          <w:rFonts w:hint="cs"/>
          <w:rtl/>
        </w:rPr>
        <w:t>:</w:t>
      </w:r>
      <w:r w:rsidRPr="005675B2">
        <w:rPr>
          <w:rFonts w:hint="cs"/>
          <w:rtl/>
        </w:rPr>
        <w:t xml:space="preserve"> مسألة أول واجب على المكلف، وقد تكلمنا على المسألتين فيما تقدم، ونلخص الكلام عليهما هنا ثم نعود إلى كلام الدكتور</w:t>
      </w:r>
      <w:r w:rsidR="000636C2">
        <w:rPr>
          <w:rFonts w:hint="cs"/>
          <w:rtl/>
        </w:rPr>
        <w:t>،</w:t>
      </w:r>
    </w:p>
    <w:p w14:paraId="451FFD77" w14:textId="38EDAE84" w:rsidR="009C32A0" w:rsidRPr="005675B2" w:rsidRDefault="009C32A0" w:rsidP="000636C2">
      <w:pPr>
        <w:rPr>
          <w:b/>
          <w:rtl/>
        </w:rPr>
      </w:pPr>
      <w:r w:rsidRPr="005675B2">
        <w:rPr>
          <w:rFonts w:hint="cs"/>
          <w:rtl/>
        </w:rPr>
        <w:t>قالت الأشاعرة وغيرهم من الماتريدية والمعتزلة</w:t>
      </w:r>
      <w:r w:rsidR="000636C2">
        <w:rPr>
          <w:rFonts w:hint="cs"/>
          <w:rtl/>
        </w:rPr>
        <w:t>:</w:t>
      </w:r>
      <w:r w:rsidRPr="005675B2">
        <w:rPr>
          <w:rFonts w:hint="cs"/>
          <w:rtl/>
        </w:rPr>
        <w:t xml:space="preserve"> يجب على المكلف معرفة الله تعالى بالنظر والدليل، وأرادوا بالوجوب بالنسبة إلى النظر أن الذي عرف الله تعالى بالتقليد بدون نظر عقلي يضطره إلى ذلك عاص بترك النظر إذا كان أهلا للنظر، ولم يريدوا أن المقلد في معرفة الله تعالى كافر غير مسلم، فإن هذا لم يقله أحد منهم إلا أبوهاشم من المعتزلة والسنوسي من الأشاعرة</w:t>
      </w:r>
      <w:r w:rsidR="000636C2">
        <w:rPr>
          <w:rFonts w:hint="cs"/>
          <w:rtl/>
        </w:rPr>
        <w:t>،</w:t>
      </w:r>
    </w:p>
    <w:p w14:paraId="774B9D03" w14:textId="4B6CBF03" w:rsidR="009C32A0" w:rsidRPr="005675B2" w:rsidRDefault="009C32A0" w:rsidP="000636C2">
      <w:pPr>
        <w:rPr>
          <w:b/>
          <w:rtl/>
        </w:rPr>
      </w:pPr>
      <w:r w:rsidRPr="005675B2">
        <w:rPr>
          <w:rFonts w:hint="cs"/>
          <w:rtl/>
        </w:rPr>
        <w:t>ثم إنهم أرادوا بالنظر الواجب، النظر الإجمالي الذي ينقدح في ذهن صاحبه، وإن لم يستطع صاحبه أن يقرره ويدفع الشبه عنه، ومنه الإستناد إلى صدق الرسول المؤيد بالمعجزات وقد قالوا</w:t>
      </w:r>
      <w:r w:rsidR="000636C2">
        <w:rPr>
          <w:rFonts w:hint="cs"/>
          <w:rtl/>
        </w:rPr>
        <w:t>:</w:t>
      </w:r>
      <w:r w:rsidRPr="005675B2">
        <w:rPr>
          <w:rFonts w:hint="cs"/>
          <w:rtl/>
        </w:rPr>
        <w:t xml:space="preserve"> إن الدليل الإجمالي لا يخلو عنه مسلم خالط المسلمين وعاش فيهم، والمسألة مفروضة فيمن نشأ في شاهق جبل مثلا بدون أن يخطر بباله وجود الله تعالى وبدون أن يعرفه، فأخبره مخبر بوجود صانع لهذا العالم، فصدقه وثوقا به بدون إستناد إلى دليل، فهذا هو الذي أجمع الأشاعرة على صحة إيمانه، وعلى عصيانه بترك النظر إذا كان أهلا له، وأما غيره ممن يخالط المسلمين ويعيش فيهم، فالعادة تقتضى أنه لابد أن يكون في إيمانه مستند إلى دليل وإن كان إجماليا</w:t>
      </w:r>
      <w:r w:rsidR="000636C2">
        <w:rPr>
          <w:rFonts w:hint="cs"/>
          <w:rtl/>
        </w:rPr>
        <w:t>،</w:t>
      </w:r>
      <w:r w:rsidRPr="005675B2">
        <w:rPr>
          <w:rFonts w:hint="cs"/>
          <w:rtl/>
        </w:rPr>
        <w:t xml:space="preserve"> هذا حاصل مسألة وجوب النظر</w:t>
      </w:r>
      <w:r w:rsidR="000636C2">
        <w:rPr>
          <w:rFonts w:hint="cs"/>
          <w:rtl/>
        </w:rPr>
        <w:t>،</w:t>
      </w:r>
    </w:p>
    <w:p w14:paraId="2AD373AD" w14:textId="4D3D7802" w:rsidR="009C32A0" w:rsidRPr="005675B2" w:rsidRDefault="009C32A0" w:rsidP="000636C2">
      <w:pPr>
        <w:rPr>
          <w:b/>
          <w:rtl/>
        </w:rPr>
      </w:pPr>
      <w:r w:rsidRPr="005675B2">
        <w:rPr>
          <w:rFonts w:hint="cs"/>
          <w:rtl/>
        </w:rPr>
        <w:t>وأما مسألة أول واجب على المكلف فننقل فيها كلام القاضي عضد الدين في "المواقف" بتلخيص له قال</w:t>
      </w:r>
      <w:r w:rsidR="000636C2">
        <w:rPr>
          <w:rFonts w:hint="cs"/>
          <w:rtl/>
        </w:rPr>
        <w:t>:</w:t>
      </w:r>
      <w:r w:rsidRPr="005675B2">
        <w:rPr>
          <w:rFonts w:hint="cs"/>
          <w:rtl/>
        </w:rPr>
        <w:t xml:space="preserve"> </w:t>
      </w:r>
      <w:r w:rsidR="000636C2">
        <w:rPr>
          <w:rFonts w:hint="cs"/>
          <w:rtl/>
        </w:rPr>
        <w:t>(</w:t>
      </w:r>
      <w:r w:rsidRPr="005675B2">
        <w:rPr>
          <w:rFonts w:hint="cs"/>
          <w:rtl/>
        </w:rPr>
        <w:t>قد اختلف في أول واجب على المكلف فالأكثر على أنه معرفة الله تعالى، إذ هو أصل المعارف الدينية، وعليه يتفرع وجوب كل واجب، وقيل هو النظر فيها لأنه واجب وهو قبلها، وقيل أول جزء من النظر، وقال القاضي واختاره ابن فورك القصد إلى النظر</w:t>
      </w:r>
    </w:p>
    <w:p w14:paraId="0D0989CB" w14:textId="77777777" w:rsidR="009C32A0" w:rsidRPr="005675B2" w:rsidRDefault="009C32A0" w:rsidP="000636C2">
      <w:pPr>
        <w:rPr>
          <w:b/>
          <w:rtl/>
        </w:rPr>
      </w:pPr>
      <w:r w:rsidRPr="005675B2">
        <w:rPr>
          <w:rFonts w:hint="cs"/>
          <w:rtl/>
        </w:rPr>
        <w:t>والنزاع لفظي لأنه لو أريد الواجب بالقصد الأول فهو المعرفة، وإلا فالقصد إلى النظر ..</w:t>
      </w:r>
    </w:p>
    <w:p w14:paraId="41F7F156" w14:textId="2B16F96C" w:rsidR="009C32A0" w:rsidRPr="005675B2" w:rsidRDefault="009C32A0" w:rsidP="000636C2">
      <w:pPr>
        <w:rPr>
          <w:b/>
          <w:rtl/>
        </w:rPr>
      </w:pPr>
      <w:r w:rsidRPr="005675B2">
        <w:rPr>
          <w:rFonts w:hint="cs"/>
          <w:rtl/>
        </w:rPr>
        <w:t>ثم قال القاضي</w:t>
      </w:r>
      <w:r w:rsidR="000636C2">
        <w:rPr>
          <w:rFonts w:hint="cs"/>
          <w:rtl/>
        </w:rPr>
        <w:t>:</w:t>
      </w:r>
      <w:r w:rsidRPr="005675B2">
        <w:rPr>
          <w:rFonts w:hint="cs"/>
          <w:rtl/>
        </w:rPr>
        <w:t xml:space="preserve"> إن قلنا</w:t>
      </w:r>
      <w:r w:rsidR="000636C2">
        <w:rPr>
          <w:rFonts w:hint="cs"/>
          <w:rtl/>
        </w:rPr>
        <w:t>:</w:t>
      </w:r>
      <w:r w:rsidRPr="005675B2">
        <w:rPr>
          <w:rFonts w:hint="cs"/>
          <w:rtl/>
        </w:rPr>
        <w:t xml:space="preserve"> الواجب النظر، فمن أمكنه زمن يسع فيه النظر التام ولم ينظر فهو عاص، ومن لم يمكنه زمان أصلا فهو كالصبي، ومن أمكنه ما يسع بعض النظر دون تمامه</w:t>
      </w:r>
      <w:r w:rsidR="000636C2">
        <w:rPr>
          <w:rFonts w:hint="cs"/>
          <w:rtl/>
        </w:rPr>
        <w:t>)</w:t>
      </w:r>
      <w:r w:rsidRPr="005675B2">
        <w:rPr>
          <w:rFonts w:hint="cs"/>
          <w:rtl/>
        </w:rPr>
        <w:t xml:space="preserve">، فإن شرع فيه بلا تأخير واخترمته المنية قبل انقضاء النظر وحصول المعرفة فلا عصيان، وأما إذا لم يشرع فيه، بل أخره بلا عذر ومات </w:t>
      </w:r>
      <w:r w:rsidR="000636C2">
        <w:rPr>
          <w:rFonts w:hint="cs"/>
          <w:rtl/>
        </w:rPr>
        <w:t>(</w:t>
      </w:r>
      <w:r w:rsidRPr="005675B2">
        <w:rPr>
          <w:rFonts w:hint="cs"/>
          <w:rtl/>
        </w:rPr>
        <w:t>ففيه احتمال والأظهر عصيانه</w:t>
      </w:r>
      <w:r w:rsidR="000636C2">
        <w:rPr>
          <w:rFonts w:hint="cs"/>
          <w:rtl/>
        </w:rPr>
        <w:t>)</w:t>
      </w:r>
      <w:r w:rsidRPr="005675B2">
        <w:rPr>
          <w:rFonts w:hint="cs"/>
          <w:rtl/>
        </w:rPr>
        <w:t xml:space="preserve"> لتقصيره بالتأخر</w:t>
      </w:r>
      <w:r w:rsidR="000636C2">
        <w:rPr>
          <w:rFonts w:hint="cs"/>
          <w:rtl/>
        </w:rPr>
        <w:t>،</w:t>
      </w:r>
      <w:r w:rsidRPr="005675B2">
        <w:rPr>
          <w:rFonts w:hint="cs"/>
          <w:rtl/>
        </w:rPr>
        <w:t xml:space="preserve"> انتهى مع شرحه للسيد الشريف</w:t>
      </w:r>
      <w:r w:rsidR="000636C2">
        <w:rPr>
          <w:rFonts w:hint="cs"/>
          <w:rtl/>
        </w:rPr>
        <w:t>،</w:t>
      </w:r>
      <w:r w:rsidRPr="005675B2">
        <w:rPr>
          <w:rFonts w:hint="cs"/>
          <w:rtl/>
        </w:rPr>
        <w:t xml:space="preserve"> </w:t>
      </w:r>
      <w:r w:rsidR="000636C2">
        <w:rPr>
          <w:rFonts w:hint="cs"/>
          <w:rtl/>
        </w:rPr>
        <w:t>[</w:t>
      </w:r>
      <w:r w:rsidRPr="005675B2">
        <w:rPr>
          <w:rFonts w:hint="cs"/>
          <w:sz w:val="24"/>
          <w:szCs w:val="24"/>
          <w:rtl/>
        </w:rPr>
        <w:t>شرح المواقف 1/280]</w:t>
      </w:r>
    </w:p>
    <w:p w14:paraId="5FF239BF" w14:textId="50DFA97A" w:rsidR="009C32A0" w:rsidRPr="005675B2" w:rsidRDefault="009C32A0" w:rsidP="000636C2">
      <w:pPr>
        <w:rPr>
          <w:b/>
          <w:rtl/>
        </w:rPr>
      </w:pPr>
      <w:r w:rsidRPr="005675B2">
        <w:rPr>
          <w:rFonts w:hint="cs"/>
          <w:rtl/>
        </w:rPr>
        <w:t>ومما ينبغي ال</w:t>
      </w:r>
      <w:r w:rsidR="000636C2">
        <w:rPr>
          <w:rFonts w:hint="cs"/>
          <w:rtl/>
        </w:rPr>
        <w:t>(</w:t>
      </w:r>
      <w:r>
        <w:rPr>
          <w:rFonts w:hint="cs"/>
          <w:rtl/>
        </w:rPr>
        <w:t>تنبيه</w:t>
      </w:r>
      <w:r w:rsidR="000636C2">
        <w:rPr>
          <w:rFonts w:hint="cs"/>
          <w:rtl/>
        </w:rPr>
        <w:t>)</w:t>
      </w:r>
      <w:r w:rsidRPr="005675B2">
        <w:rPr>
          <w:rFonts w:hint="cs"/>
          <w:rtl/>
        </w:rPr>
        <w:t xml:space="preserve"> عليه أن مراد القاضي وغيره بالواجب في قولهم</w:t>
      </w:r>
      <w:r w:rsidR="000636C2">
        <w:rPr>
          <w:rFonts w:hint="cs"/>
          <w:rtl/>
        </w:rPr>
        <w:t>:</w:t>
      </w:r>
      <w:r w:rsidRPr="005675B2">
        <w:rPr>
          <w:rFonts w:hint="cs"/>
          <w:rtl/>
        </w:rPr>
        <w:t xml:space="preserve"> « أول الواجب كذا » أعم مما يكون عدمه موجبا للكفر أو موجبا للعصيان، فالكافر المكلف الذي بلغته الدعوة ولم يكن قد حصل معرفة الله من قبل إذا لم ينظر في معرفة الله تعالى بعد بلوغ الدعوة له يبقي كافرا مستحقا للخلود في النار، وإنما ينجو من الخلود في النار إذا باشر في النظر عقب بلوغ الدعوة إليه وانتهى إلى معرفة الله تعالى وصدق بكل ما علم مجيئ الرسول به بالضرورة إذا أمكنه زمان يسع ذلك بعد الشروع في النظر</w:t>
      </w:r>
      <w:r w:rsidR="000636C2">
        <w:rPr>
          <w:rFonts w:hint="cs"/>
          <w:rtl/>
        </w:rPr>
        <w:t>،</w:t>
      </w:r>
    </w:p>
    <w:p w14:paraId="6A9E357E" w14:textId="0DBDEC04" w:rsidR="009C32A0" w:rsidRPr="005675B2" w:rsidRDefault="009C32A0" w:rsidP="000636C2">
      <w:pPr>
        <w:rPr>
          <w:b/>
          <w:rtl/>
        </w:rPr>
      </w:pPr>
      <w:r w:rsidRPr="005675B2">
        <w:rPr>
          <w:rFonts w:hint="cs"/>
          <w:rtl/>
        </w:rPr>
        <w:t>وأما المسلم الذي بلغ الحلم فإذا كان قد حصل النظر في معرفة الله تعالى قبل البلوغ، وإن كان ذلك النظر نظرا إجماليا، وهو ما لا يخل عنه مثله بحسب العادة، فلا يجب عليه النظر ثانيا لأنه موجود عنده، وأما إذا بلغ المسلم مقلدا في معرفة الله تعالى تقليدا محضا، فيجب عليه النظر في معرفة الله تعالى وإذا لم ينظر فيها فهو مؤمن ولكنه عاص بترك النظر</w:t>
      </w:r>
      <w:r w:rsidR="000636C2">
        <w:rPr>
          <w:rFonts w:hint="cs"/>
          <w:rtl/>
        </w:rPr>
        <w:t>،</w:t>
      </w:r>
    </w:p>
    <w:p w14:paraId="52770C32" w14:textId="23AD025A" w:rsidR="009C32A0" w:rsidRPr="005675B2" w:rsidRDefault="009C32A0" w:rsidP="000636C2">
      <w:pPr>
        <w:rPr>
          <w:b/>
          <w:rtl/>
        </w:rPr>
      </w:pPr>
      <w:r w:rsidRPr="005675B2">
        <w:rPr>
          <w:rFonts w:hint="cs"/>
          <w:rtl/>
        </w:rPr>
        <w:t>ومن أجل أن مراد القاضي بالوجوب ما ذكرناه عبر القاضي في كلامه بالعصيان الشامل للكفر والفسق، ولم يعبر بالكفر حيث قال</w:t>
      </w:r>
      <w:r w:rsidR="000636C2">
        <w:rPr>
          <w:rFonts w:hint="cs"/>
          <w:rtl/>
        </w:rPr>
        <w:t>:</w:t>
      </w:r>
      <w:r w:rsidRPr="005675B2">
        <w:rPr>
          <w:rFonts w:hint="cs"/>
          <w:rtl/>
        </w:rPr>
        <w:t xml:space="preserve"> « فهو عاص » وقال</w:t>
      </w:r>
      <w:r w:rsidR="000636C2">
        <w:rPr>
          <w:rFonts w:hint="cs"/>
          <w:rtl/>
        </w:rPr>
        <w:t>:</w:t>
      </w:r>
      <w:r w:rsidRPr="005675B2">
        <w:rPr>
          <w:rFonts w:hint="cs"/>
          <w:rtl/>
        </w:rPr>
        <w:t xml:space="preserve"> « والأظهر عصيانه » ولم يقل</w:t>
      </w:r>
      <w:r w:rsidR="000636C2">
        <w:rPr>
          <w:rFonts w:hint="cs"/>
          <w:rtl/>
        </w:rPr>
        <w:t>:</w:t>
      </w:r>
      <w:r w:rsidRPr="005675B2">
        <w:rPr>
          <w:rFonts w:hint="cs"/>
          <w:rtl/>
        </w:rPr>
        <w:t xml:space="preserve"> فهو كافر .. والأظهر كفره</w:t>
      </w:r>
      <w:r w:rsidR="000636C2">
        <w:rPr>
          <w:rFonts w:hint="cs"/>
          <w:rtl/>
        </w:rPr>
        <w:t>،</w:t>
      </w:r>
    </w:p>
    <w:p w14:paraId="3C1BC9CF" w14:textId="77777777" w:rsidR="009C32A0" w:rsidRPr="005675B2" w:rsidRDefault="009C32A0" w:rsidP="000636C2">
      <w:pPr>
        <w:rPr>
          <w:b/>
          <w:rtl/>
        </w:rPr>
      </w:pPr>
    </w:p>
    <w:p w14:paraId="1119D668" w14:textId="13CAB75B" w:rsidR="009C32A0" w:rsidRPr="005675B2" w:rsidRDefault="009C32A0" w:rsidP="000636C2">
      <w:pPr>
        <w:rPr>
          <w:b/>
          <w:rtl/>
        </w:rPr>
      </w:pPr>
      <w:r w:rsidRPr="005675B2">
        <w:rPr>
          <w:rFonts w:hint="cs"/>
          <w:rtl/>
        </w:rPr>
        <w:t>76 - أخطاء الدكتور في كلامه</w:t>
      </w:r>
      <w:r w:rsidR="000636C2">
        <w:rPr>
          <w:rFonts w:hint="cs"/>
          <w:rtl/>
        </w:rPr>
        <w:t>:</w:t>
      </w:r>
    </w:p>
    <w:p w14:paraId="2742FCD8" w14:textId="19705E4C" w:rsidR="009C32A0" w:rsidRPr="005675B2" w:rsidRDefault="009C32A0" w:rsidP="000636C2">
      <w:pPr>
        <w:rPr>
          <w:b/>
          <w:rtl/>
        </w:rPr>
      </w:pPr>
      <w:r w:rsidRPr="005675B2">
        <w:rPr>
          <w:rFonts w:hint="cs"/>
          <w:rtl/>
        </w:rPr>
        <w:t>فظهر بهذا أن كلام الدكتور هذا قد اشتمل على أخطاء</w:t>
      </w:r>
      <w:r w:rsidR="000636C2">
        <w:rPr>
          <w:rFonts w:hint="cs"/>
          <w:rtl/>
        </w:rPr>
        <w:t>:</w:t>
      </w:r>
    </w:p>
    <w:p w14:paraId="4FEAB2A0" w14:textId="126600A8" w:rsidR="009C32A0" w:rsidRPr="005675B2" w:rsidRDefault="009C32A0" w:rsidP="000636C2">
      <w:pPr>
        <w:rPr>
          <w:b/>
          <w:rtl/>
        </w:rPr>
      </w:pPr>
      <w:r w:rsidRPr="005675B2">
        <w:rPr>
          <w:rFonts w:hint="cs"/>
          <w:rtl/>
        </w:rPr>
        <w:t>الخطأ الأول</w:t>
      </w:r>
      <w:r w:rsidR="000636C2">
        <w:rPr>
          <w:rFonts w:hint="cs"/>
          <w:rtl/>
        </w:rPr>
        <w:t>:</w:t>
      </w:r>
      <w:r w:rsidRPr="005675B2">
        <w:rPr>
          <w:rFonts w:hint="cs"/>
          <w:rtl/>
        </w:rPr>
        <w:t xml:space="preserve"> فرضه المسألة في المسلم الذي بلغ الحلم، مع أن المسألة ليست مفروضة فيه فقط، بل المسألة مفروضة</w:t>
      </w:r>
      <w:r w:rsidR="000636C2">
        <w:rPr>
          <w:rFonts w:hint="cs"/>
          <w:rtl/>
        </w:rPr>
        <w:t xml:space="preserve"> </w:t>
      </w:r>
      <w:r w:rsidRPr="005675B2">
        <w:rPr>
          <w:rFonts w:hint="cs"/>
          <w:rtl/>
        </w:rPr>
        <w:t>- في الأصل - فيمن بلغته الدعوة من الكفار، وهو بالغ عاقل، وفي الكافر الذي بلغ الحلم عالما بالدعوة ويمكن جريانها في المسلم الذي بلغ الحلم كما قررناه</w:t>
      </w:r>
      <w:r w:rsidR="000636C2">
        <w:rPr>
          <w:rFonts w:hint="cs"/>
          <w:rtl/>
        </w:rPr>
        <w:t>،</w:t>
      </w:r>
    </w:p>
    <w:p w14:paraId="79D37AE4" w14:textId="4C44B0C1" w:rsidR="009C32A0" w:rsidRPr="005675B2" w:rsidRDefault="009C32A0" w:rsidP="000636C2">
      <w:pPr>
        <w:rPr>
          <w:b/>
          <w:rtl/>
        </w:rPr>
      </w:pPr>
      <w:r w:rsidRPr="005675B2">
        <w:rPr>
          <w:rFonts w:hint="cs"/>
          <w:rtl/>
        </w:rPr>
        <w:t>الخطأ الثاني والثالث والرابع قول</w:t>
      </w:r>
      <w:r w:rsidR="000636C2">
        <w:rPr>
          <w:rFonts w:hint="cs"/>
          <w:rtl/>
        </w:rPr>
        <w:t>:</w:t>
      </w:r>
      <w:r w:rsidRPr="005675B2">
        <w:rPr>
          <w:rFonts w:hint="cs"/>
          <w:rtl/>
        </w:rPr>
        <w:t xml:space="preserve"> </w:t>
      </w:r>
      <w:r w:rsidR="000636C2">
        <w:rPr>
          <w:rFonts w:hint="cs"/>
          <w:rtl/>
        </w:rPr>
        <w:t>(</w:t>
      </w:r>
      <w:r w:rsidRPr="005675B2">
        <w:rPr>
          <w:rFonts w:hint="cs"/>
          <w:rtl/>
        </w:rPr>
        <w:t>أن ينظر في حدوث العالم ووجود الله</w:t>
      </w:r>
      <w:r w:rsidR="000636C2">
        <w:rPr>
          <w:rFonts w:hint="cs"/>
          <w:rtl/>
        </w:rPr>
        <w:t>)</w:t>
      </w:r>
      <w:r w:rsidRPr="005675B2">
        <w:rPr>
          <w:rFonts w:hint="cs"/>
          <w:rtl/>
        </w:rPr>
        <w:t xml:space="preserve"> وذلك أن الواجب هو النظر في معرفة الله كما عبر به الأشاعرة الشامل لمعرفة وجوده ومعرفة صفاته، وليس النظر في وجوده فقط كما قال الدكتور، ولم يقل أحد من الأشاعرة</w:t>
      </w:r>
      <w:r w:rsidR="000636C2">
        <w:rPr>
          <w:rFonts w:hint="cs"/>
          <w:rtl/>
        </w:rPr>
        <w:t>:</w:t>
      </w:r>
      <w:r w:rsidRPr="005675B2">
        <w:rPr>
          <w:rFonts w:hint="cs"/>
          <w:rtl/>
        </w:rPr>
        <w:t xml:space="preserve"> إن النظر في حدوث العالم أول الواجبات كما قال الدكتور، ثم إن الواجب النظر بأي دليل كان سواء كان دليل الحدوث أو دليل النظام، أو الإستدلال بصدق الرسول المؤيد بالمعجزات على صحة كل ما يقوله</w:t>
      </w:r>
      <w:r w:rsidR="000636C2">
        <w:rPr>
          <w:rFonts w:hint="cs"/>
          <w:rtl/>
        </w:rPr>
        <w:t>،</w:t>
      </w:r>
      <w:r w:rsidRPr="005675B2">
        <w:rPr>
          <w:rFonts w:hint="cs"/>
          <w:rtl/>
        </w:rPr>
        <w:t xml:space="preserve"> وليس الواجب هو دليل الحدوث بخصوصه كما يفيده كلام الدكتور</w:t>
      </w:r>
      <w:r w:rsidR="000636C2">
        <w:rPr>
          <w:rFonts w:hint="cs"/>
          <w:rtl/>
        </w:rPr>
        <w:t>،</w:t>
      </w:r>
      <w:r w:rsidRPr="005675B2">
        <w:rPr>
          <w:rFonts w:hint="cs"/>
          <w:rtl/>
        </w:rPr>
        <w:t xml:space="preserve"> فقد اشتملت هذه الجملة على ثلاثة أخطاء</w:t>
      </w:r>
      <w:r w:rsidR="000636C2">
        <w:rPr>
          <w:rFonts w:hint="cs"/>
          <w:rtl/>
        </w:rPr>
        <w:t>!</w:t>
      </w:r>
    </w:p>
    <w:p w14:paraId="411E63B4" w14:textId="149CA1C3" w:rsidR="009C32A0" w:rsidRPr="005675B2" w:rsidRDefault="009C32A0" w:rsidP="000636C2">
      <w:pPr>
        <w:rPr>
          <w:b/>
          <w:rtl/>
        </w:rPr>
      </w:pPr>
      <w:r w:rsidRPr="005675B2">
        <w:rPr>
          <w:rFonts w:hint="cs"/>
          <w:rtl/>
        </w:rPr>
        <w:t>وأما قوله</w:t>
      </w:r>
      <w:r w:rsidR="000636C2">
        <w:rPr>
          <w:rFonts w:hint="cs"/>
          <w:rtl/>
        </w:rPr>
        <w:t>:</w:t>
      </w:r>
      <w:r w:rsidRPr="005675B2">
        <w:rPr>
          <w:rFonts w:hint="cs"/>
          <w:rtl/>
        </w:rPr>
        <w:t xml:space="preserve"> </w:t>
      </w:r>
      <w:r w:rsidR="000636C2">
        <w:rPr>
          <w:rFonts w:hint="cs"/>
          <w:rtl/>
        </w:rPr>
        <w:t>(</w:t>
      </w:r>
      <w:r w:rsidRPr="005675B2">
        <w:rPr>
          <w:rFonts w:hint="cs"/>
          <w:rtl/>
        </w:rPr>
        <w:t>فإن مات قبل النظر أو في أثنائه اختلفوا في الحكم بإسلامه، وجزم بعضهم بكفره</w:t>
      </w:r>
      <w:r w:rsidR="000636C2">
        <w:rPr>
          <w:rFonts w:hint="cs"/>
          <w:rtl/>
        </w:rPr>
        <w:t>)</w:t>
      </w:r>
      <w:r w:rsidRPr="005675B2">
        <w:rPr>
          <w:rFonts w:hint="cs"/>
          <w:rtl/>
        </w:rPr>
        <w:t xml:space="preserve"> فقد اشتمل على خمسة أخطاء</w:t>
      </w:r>
      <w:r w:rsidR="000636C2">
        <w:rPr>
          <w:rFonts w:hint="cs"/>
          <w:rtl/>
        </w:rPr>
        <w:t>:</w:t>
      </w:r>
      <w:r w:rsidRPr="005675B2">
        <w:rPr>
          <w:rFonts w:hint="cs"/>
          <w:rtl/>
        </w:rPr>
        <w:t xml:space="preserve"> الأول وهو</w:t>
      </w:r>
    </w:p>
    <w:p w14:paraId="45E3D95D" w14:textId="273842CE" w:rsidR="009C32A0" w:rsidRPr="005675B2" w:rsidRDefault="009C32A0" w:rsidP="000636C2">
      <w:pPr>
        <w:rPr>
          <w:b/>
          <w:rtl/>
        </w:rPr>
      </w:pPr>
      <w:r w:rsidRPr="005675B2">
        <w:rPr>
          <w:rFonts w:hint="cs"/>
          <w:rtl/>
        </w:rPr>
        <w:t>الخطأ الخامس</w:t>
      </w:r>
      <w:r w:rsidR="000636C2">
        <w:rPr>
          <w:rFonts w:hint="cs"/>
          <w:rtl/>
        </w:rPr>
        <w:t>:</w:t>
      </w:r>
      <w:r w:rsidRPr="005675B2">
        <w:rPr>
          <w:rFonts w:hint="cs"/>
          <w:rtl/>
        </w:rPr>
        <w:t>إطلاق قوله</w:t>
      </w:r>
      <w:r w:rsidR="000636C2">
        <w:rPr>
          <w:rFonts w:hint="cs"/>
          <w:rtl/>
        </w:rPr>
        <w:t>:</w:t>
      </w:r>
      <w:r w:rsidRPr="005675B2">
        <w:rPr>
          <w:rFonts w:hint="cs"/>
          <w:rtl/>
        </w:rPr>
        <w:t xml:space="preserve"> </w:t>
      </w:r>
      <w:r w:rsidR="000636C2">
        <w:rPr>
          <w:rFonts w:hint="cs"/>
          <w:rtl/>
        </w:rPr>
        <w:t>(</w:t>
      </w:r>
      <w:r w:rsidRPr="005675B2">
        <w:rPr>
          <w:rFonts w:hint="cs"/>
          <w:rtl/>
        </w:rPr>
        <w:t>فإن مات قبل النظر أو في أثنائه</w:t>
      </w:r>
      <w:r w:rsidR="000636C2">
        <w:rPr>
          <w:rFonts w:hint="cs"/>
          <w:rtl/>
        </w:rPr>
        <w:t>)</w:t>
      </w:r>
      <w:r w:rsidRPr="005675B2">
        <w:rPr>
          <w:rFonts w:hint="cs"/>
          <w:rtl/>
        </w:rPr>
        <w:t xml:space="preserve"> مع أن المسألة مفروضة فيمن أخر النظر بلا عذر فمات قبل النظر أو في أثنائه</w:t>
      </w:r>
      <w:r w:rsidR="000636C2">
        <w:rPr>
          <w:rFonts w:hint="cs"/>
          <w:rtl/>
        </w:rPr>
        <w:t>،</w:t>
      </w:r>
      <w:r w:rsidRPr="005675B2">
        <w:rPr>
          <w:rFonts w:hint="cs"/>
          <w:rtl/>
        </w:rPr>
        <w:t xml:space="preserve"> الأول عاص قطعا، والثاني في عصيانه احتمالان، والأظهر عصيانه، أما من مات بعد بلوغ الدعوة قبل التمكن من النظر أو شرع في النظر عقب بلوغ الدعوة فمات في أثنائه فلا عصيان له قطعا عند الأشاعرة</w:t>
      </w:r>
      <w:r w:rsidR="000636C2">
        <w:rPr>
          <w:rFonts w:hint="cs"/>
          <w:rtl/>
        </w:rPr>
        <w:t>،</w:t>
      </w:r>
    </w:p>
    <w:p w14:paraId="5116B0FB" w14:textId="0530B736" w:rsidR="009C32A0" w:rsidRPr="005675B2" w:rsidRDefault="009C32A0" w:rsidP="000636C2">
      <w:pPr>
        <w:rPr>
          <w:b/>
          <w:rtl/>
        </w:rPr>
      </w:pPr>
      <w:r w:rsidRPr="005675B2">
        <w:rPr>
          <w:rFonts w:hint="cs"/>
          <w:rtl/>
        </w:rPr>
        <w:t>الخطأ والسادس والسابع والثامن</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اختلفوا في الحكم بإسلامه</w:t>
      </w:r>
      <w:r w:rsidR="000636C2">
        <w:rPr>
          <w:rFonts w:hint="cs"/>
          <w:rtl/>
        </w:rPr>
        <w:t>)</w:t>
      </w:r>
      <w:r w:rsidRPr="005675B2">
        <w:rPr>
          <w:rFonts w:hint="cs"/>
          <w:rtl/>
        </w:rPr>
        <w:t xml:space="preserve"> حيث حكم بالإختلاف في الحكم بإسلام من مات قبل النظر أو في أثنائه، مع أن الموجود هو احتمالان أبداهما القاضي عضد الدين، واستظهر أحدهما، وليس الموجود هو الخلاف، ثم إن الإحتمالين إنما يجريان فيمن مات في أثناء النظر بعد التأخير بلا عذر، دون من مات قبل النظر بعد التأخير بلا عذر، فإنه عاص قطعا</w:t>
      </w:r>
      <w:r w:rsidR="000636C2">
        <w:rPr>
          <w:rFonts w:hint="cs"/>
          <w:rtl/>
        </w:rPr>
        <w:t>،</w:t>
      </w:r>
      <w:r w:rsidRPr="005675B2">
        <w:rPr>
          <w:rFonts w:hint="cs"/>
          <w:rtl/>
        </w:rPr>
        <w:t xml:space="preserve"> كما أن الإحتمالين ليسا في إسلامه، بل في عصيانه الشامل للكفر بالنسة إلى الكافر الذي بلغته الدعوة، والإثم بالنسبة إلى المسلم الذي بلغ الحلم</w:t>
      </w:r>
      <w:r w:rsidR="000636C2">
        <w:rPr>
          <w:rFonts w:hint="cs"/>
          <w:rtl/>
        </w:rPr>
        <w:t>،</w:t>
      </w:r>
    </w:p>
    <w:p w14:paraId="6E90721C" w14:textId="41BE31E8" w:rsidR="009C32A0" w:rsidRPr="005675B2" w:rsidRDefault="009C32A0" w:rsidP="000636C2">
      <w:pPr>
        <w:rPr>
          <w:b/>
          <w:rtl/>
        </w:rPr>
      </w:pPr>
      <w:r w:rsidRPr="005675B2">
        <w:rPr>
          <w:rFonts w:hint="cs"/>
          <w:rtl/>
        </w:rPr>
        <w:t>الخطأ التاسع</w:t>
      </w:r>
      <w:r w:rsidR="000636C2">
        <w:rPr>
          <w:rFonts w:hint="cs"/>
          <w:rtl/>
        </w:rPr>
        <w:t>:</w:t>
      </w:r>
      <w:r w:rsidRPr="005675B2">
        <w:rPr>
          <w:rFonts w:hint="cs"/>
          <w:rtl/>
        </w:rPr>
        <w:t xml:space="preserve"> قوله "وجزم بعضهم بكفره" فإنه لا يصح باطلاقه في المسلم الذي بلغ الحلم ولم ينظر في معرفة الله، فقد يكون هذا المسلم ناظرا فيه قبل بلوغ الحلم، وإن كان نظرا إجماليا</w:t>
      </w:r>
      <w:r w:rsidR="000636C2">
        <w:rPr>
          <w:rFonts w:hint="cs"/>
          <w:rtl/>
        </w:rPr>
        <w:t>،</w:t>
      </w:r>
      <w:r w:rsidRPr="005675B2">
        <w:rPr>
          <w:rFonts w:hint="cs"/>
          <w:rtl/>
        </w:rPr>
        <w:t xml:space="preserve"> وهذا هو الحال في السواد الأعظم من المسلمين أو لا يوجد فيهم من لم ينظر أصلا</w:t>
      </w:r>
      <w:r w:rsidR="000636C2">
        <w:rPr>
          <w:rFonts w:hint="cs"/>
          <w:rtl/>
        </w:rPr>
        <w:t>،</w:t>
      </w:r>
      <w:r w:rsidRPr="005675B2">
        <w:rPr>
          <w:rFonts w:hint="cs"/>
          <w:rtl/>
        </w:rPr>
        <w:t xml:space="preserve"> ثم إن الإبهام في قوله</w:t>
      </w:r>
      <w:r w:rsidR="000636C2">
        <w:rPr>
          <w:rFonts w:hint="cs"/>
          <w:rtl/>
        </w:rPr>
        <w:t>:</w:t>
      </w:r>
      <w:r w:rsidRPr="005675B2">
        <w:rPr>
          <w:rFonts w:hint="cs"/>
          <w:rtl/>
        </w:rPr>
        <w:t xml:space="preserve"> وجزم بعضهم بكفره</w:t>
      </w:r>
      <w:r w:rsidR="000636C2">
        <w:rPr>
          <w:rFonts w:hint="cs"/>
          <w:rtl/>
        </w:rPr>
        <w:t>،</w:t>
      </w:r>
      <w:r w:rsidRPr="005675B2">
        <w:rPr>
          <w:rFonts w:hint="cs"/>
          <w:rtl/>
        </w:rPr>
        <w:t xml:space="preserve"> يوهم أن قول هذا البعض قول له اعتبار عند الأشاعرة، مع أنه قول غير معتبر عندهم لم يقله قبل السنوسي أحد من الأشاعرة وانفرد هو بهذا القول، ولم يوافقه عليه أحد من الأشاعرة بعده، فاذا عددنا هذا الإيهام أيضا خطئا صارت الأخطاء عشرة</w:t>
      </w:r>
      <w:r w:rsidR="000636C2">
        <w:rPr>
          <w:rFonts w:hint="cs"/>
          <w:rtl/>
        </w:rPr>
        <w:t>،</w:t>
      </w:r>
    </w:p>
    <w:p w14:paraId="36768FB6" w14:textId="77777777" w:rsidR="009C32A0" w:rsidRPr="005675B2" w:rsidRDefault="009C32A0" w:rsidP="000636C2">
      <w:pPr>
        <w:rPr>
          <w:b/>
          <w:rtl/>
        </w:rPr>
      </w:pPr>
    </w:p>
    <w:p w14:paraId="7D74168D" w14:textId="235F00EE" w:rsidR="009C32A0" w:rsidRPr="005675B2" w:rsidRDefault="009C32A0" w:rsidP="000636C2">
      <w:pPr>
        <w:rPr>
          <w:b/>
          <w:rtl/>
        </w:rPr>
      </w:pPr>
      <w:r w:rsidRPr="005675B2">
        <w:rPr>
          <w:rFonts w:hint="cs"/>
          <w:rtl/>
        </w:rPr>
        <w:t>77 - الأخطاء العلمية عن الكون في كتب الأشاعرة ومسألة كروية الأرض وحركتها</w:t>
      </w:r>
      <w:r w:rsidR="000636C2">
        <w:rPr>
          <w:rFonts w:hint="cs"/>
          <w:rtl/>
        </w:rPr>
        <w:t>:</w:t>
      </w:r>
    </w:p>
    <w:p w14:paraId="69920C77" w14:textId="1DC403EF" w:rsidR="009C32A0" w:rsidRPr="005675B2" w:rsidRDefault="009C32A0" w:rsidP="000636C2">
      <w:pPr>
        <w:rPr>
          <w:b/>
          <w:rtl/>
        </w:rPr>
      </w:pPr>
      <w:r w:rsidRPr="005675B2">
        <w:rPr>
          <w:rFonts w:hint="cs"/>
          <w:rtl/>
        </w:rPr>
        <w:t>ثم قال الدكتور</w:t>
      </w:r>
      <w:r w:rsidR="000636C2">
        <w:rPr>
          <w:rFonts w:hint="cs"/>
          <w:rtl/>
        </w:rPr>
        <w:t>:</w:t>
      </w:r>
      <w:r w:rsidRPr="005675B2">
        <w:rPr>
          <w:rFonts w:hint="cs"/>
          <w:rtl/>
        </w:rPr>
        <w:t xml:space="preserve"> " وهناك قضية بالغة الخطورة لا سيما في هذا العصر، وهي الأخطاء العلمية عن الكون التي تمتلئ بها كتب الأشاعرة .. ومن ذلك قول البغدادي</w:t>
      </w:r>
      <w:r w:rsidR="000636C2">
        <w:rPr>
          <w:rFonts w:hint="cs"/>
          <w:rtl/>
        </w:rPr>
        <w:t>:</w:t>
      </w:r>
      <w:r w:rsidRPr="005675B2">
        <w:rPr>
          <w:rFonts w:hint="cs"/>
          <w:rtl/>
        </w:rPr>
        <w:t xml:space="preserve"> إن أهل السنة أجمعوا على وقوف الأرض وسكونها </w:t>
      </w:r>
      <w:r w:rsidRPr="005675B2">
        <w:rPr>
          <w:rFonts w:hint="cs"/>
          <w:rtl/>
          <w:lang w:bidi="ar-KW"/>
        </w:rPr>
        <w:t>[</w:t>
      </w:r>
      <w:r w:rsidRPr="005675B2">
        <w:rPr>
          <w:rFonts w:hint="cs"/>
          <w:sz w:val="24"/>
          <w:szCs w:val="24"/>
          <w:rtl/>
        </w:rPr>
        <w:t>الفرق بين الفرق 318]</w:t>
      </w:r>
      <w:r w:rsidR="000636C2">
        <w:rPr>
          <w:rFonts w:hint="cs"/>
          <w:rtl/>
          <w:lang w:bidi="ar-KW"/>
        </w:rPr>
        <w:t>،</w:t>
      </w:r>
      <w:r w:rsidRPr="005675B2">
        <w:rPr>
          <w:rFonts w:hint="cs"/>
          <w:rtl/>
        </w:rPr>
        <w:t xml:space="preserve"> وقد استدل على ذلك في كتابه "أصول الدين" بمعنى اسم الله الباسط، قال</w:t>
      </w:r>
      <w:r w:rsidR="000636C2">
        <w:rPr>
          <w:rFonts w:hint="cs"/>
          <w:rtl/>
        </w:rPr>
        <w:t>:</w:t>
      </w:r>
      <w:r w:rsidRPr="005675B2">
        <w:rPr>
          <w:rFonts w:hint="cs"/>
          <w:rtl/>
        </w:rPr>
        <w:t xml:space="preserve"> لأنه بسط الأرض وسماها بساطا خلاف قول من زعم من الفلاسفة والمنجمين</w:t>
      </w:r>
      <w:r w:rsidR="000636C2">
        <w:rPr>
          <w:rFonts w:hint="cs"/>
          <w:rtl/>
        </w:rPr>
        <w:t>:</w:t>
      </w:r>
      <w:r w:rsidRPr="005675B2">
        <w:rPr>
          <w:rFonts w:hint="cs"/>
          <w:rtl/>
        </w:rPr>
        <w:t xml:space="preserve"> إن الأرض كروية غير مبسوطة، </w:t>
      </w:r>
      <w:r w:rsidR="000636C2">
        <w:rPr>
          <w:rFonts w:hint="cs"/>
          <w:rtl/>
        </w:rPr>
        <w:t>[</w:t>
      </w:r>
      <w:r w:rsidRPr="005675B2">
        <w:rPr>
          <w:rFonts w:hint="cs"/>
          <w:sz w:val="24"/>
          <w:szCs w:val="24"/>
          <w:rtl/>
        </w:rPr>
        <w:t>أصول الدين 124]</w:t>
      </w:r>
      <w:r w:rsidRPr="005675B2">
        <w:rPr>
          <w:rFonts w:hint="cs"/>
          <w:rtl/>
        </w:rPr>
        <w:t xml:space="preserve"> ومثله صاحب الموافق الذي أكد أنها مبسوطة، وأن القول بأنها كرة زعم الفلاسفة "</w:t>
      </w:r>
      <w:r w:rsidR="000636C2">
        <w:rPr>
          <w:rFonts w:hint="cs"/>
          <w:rtl/>
        </w:rPr>
        <w:t>،</w:t>
      </w:r>
      <w:r w:rsidRPr="005675B2">
        <w:rPr>
          <w:rFonts w:hint="cs"/>
          <w:rtl/>
        </w:rPr>
        <w:t xml:space="preserve"> </w:t>
      </w:r>
      <w:r w:rsidR="000636C2">
        <w:rPr>
          <w:rFonts w:hint="cs"/>
          <w:rtl/>
        </w:rPr>
        <w:t>[</w:t>
      </w:r>
      <w:r w:rsidRPr="005675B2">
        <w:rPr>
          <w:rFonts w:hint="cs"/>
          <w:sz w:val="24"/>
          <w:szCs w:val="24"/>
          <w:rtl/>
        </w:rPr>
        <w:t>انظر الموافق، 199-217-219]</w:t>
      </w:r>
    </w:p>
    <w:p w14:paraId="22F52B24" w14:textId="06C67873"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أيها الدكتور إنك بصدد الكلام على منهج الأشاعرة في العقيدة، وهذا الأمور التي ذكرتها في هذا الفقرة ليست من العقيدة، في شيء، لا يؤثم المخطئ فيها فضلا عن أن يبدع أو يكفر، وإنما هي مسائل متعلقة بالكون، فلا وجه لايرادها في هذا الكتاب، ثم إن كتب الأشاعرة لم تمتلئ بالاخطاء عن الكون بل معظمها لم تتعرض للمسائل الكونية حتى يتصور وقوعها في الخطأ فيها، وما تعرض منها لهذه المسائل، فهل كل ما فيها من تلك المسائل خطأ</w:t>
      </w:r>
      <w:r w:rsidR="000636C2">
        <w:rPr>
          <w:rFonts w:hint="cs"/>
          <w:rtl/>
        </w:rPr>
        <w:t>؟!</w:t>
      </w:r>
      <w:r w:rsidRPr="005675B2">
        <w:rPr>
          <w:rFonts w:hint="cs"/>
          <w:rtl/>
        </w:rPr>
        <w:t xml:space="preserve"> وأقصى ما يمكن أن يقال</w:t>
      </w:r>
      <w:r w:rsidR="000636C2">
        <w:rPr>
          <w:rFonts w:hint="cs"/>
          <w:rtl/>
        </w:rPr>
        <w:t>:</w:t>
      </w:r>
      <w:r w:rsidRPr="005675B2">
        <w:rPr>
          <w:rFonts w:hint="cs"/>
          <w:rtl/>
        </w:rPr>
        <w:t xml:space="preserve"> إنها قد احتوت على جملة من الأخطاء، ثم إن أكثر هذه الأخطاء الوارد في كتبهم ليست أراءا لهم، وإنما هي أخطاء الفلاسفة والفلكيين أوردها الأشاعرة في كتبهم، وقد كانت معظمها من مقررات عصورهم ومن ثقافتها، ولم يتبين خطئها إلا بعد الحصول على وسائل الاكتشاف وآلاته الحديثة، وهل يتوقع من علماء تلك العصور أن يتوصلوا بدون هذه الوسائل إلى ما توصل إليه العلماء المحدثون عن طريق هذا الوسائل</w:t>
      </w:r>
      <w:r w:rsidR="000636C2">
        <w:rPr>
          <w:rFonts w:hint="cs"/>
          <w:rtl/>
        </w:rPr>
        <w:t>؟!</w:t>
      </w:r>
    </w:p>
    <w:p w14:paraId="3284CBDC" w14:textId="0597902E" w:rsidR="009C32A0" w:rsidRPr="005675B2" w:rsidRDefault="009C32A0" w:rsidP="000636C2">
      <w:pPr>
        <w:rPr>
          <w:b/>
          <w:rtl/>
        </w:rPr>
      </w:pPr>
      <w:r w:rsidRPr="005675B2">
        <w:rPr>
          <w:rFonts w:hint="cs"/>
          <w:rtl/>
        </w:rPr>
        <w:t>فعد هذه الأخطاء في معائبهم، والطعن فيهم من أجلها لا يقدم عليه عاقل</w:t>
      </w:r>
      <w:r w:rsidR="000636C2">
        <w:rPr>
          <w:rFonts w:hint="cs"/>
          <w:rtl/>
        </w:rPr>
        <w:t>،</w:t>
      </w:r>
    </w:p>
    <w:p w14:paraId="2B8D9136" w14:textId="454D0C43" w:rsidR="009C32A0" w:rsidRPr="005675B2" w:rsidRDefault="009C32A0" w:rsidP="000636C2">
      <w:pPr>
        <w:rPr>
          <w:b/>
          <w:rtl/>
        </w:rPr>
      </w:pPr>
      <w:r w:rsidRPr="005675B2">
        <w:rPr>
          <w:rFonts w:hint="cs"/>
          <w:rtl/>
        </w:rPr>
        <w:t>وأنت أيها الدكتور إذا تصفحت كلام من تسميهم بأهل السنة والجماعة تجد في كلامهم عين تلك الأخطاء أو قريبا منها أو مثيلات لها، فاقم الوزن بالقسط، ولا تكل بمكيالين</w:t>
      </w:r>
      <w:r w:rsidR="000636C2">
        <w:rPr>
          <w:rFonts w:hint="cs"/>
          <w:rtl/>
        </w:rPr>
        <w:t>!</w:t>
      </w:r>
    </w:p>
    <w:p w14:paraId="710899BC" w14:textId="15096D7F" w:rsidR="009C32A0" w:rsidRPr="005675B2" w:rsidRDefault="009C32A0" w:rsidP="000636C2">
      <w:pPr>
        <w:rPr>
          <w:b/>
          <w:rtl/>
        </w:rPr>
      </w:pPr>
      <w:r w:rsidRPr="005675B2">
        <w:rPr>
          <w:rFonts w:hint="cs"/>
          <w:rtl/>
        </w:rPr>
        <w:t>ثم إن كثيرا من الأشاعرة قد قرر كروية الأرض، ونكتفي هنا بنقل كلام إمامين عظيمين من أئمتهم</w:t>
      </w:r>
      <w:r w:rsidR="000636C2">
        <w:rPr>
          <w:rFonts w:hint="cs"/>
          <w:rtl/>
        </w:rPr>
        <w:t>:</w:t>
      </w:r>
      <w:r w:rsidRPr="005675B2">
        <w:rPr>
          <w:rFonts w:hint="cs"/>
          <w:rtl/>
        </w:rPr>
        <w:t xml:space="preserve"> الغزالي والرازي</w:t>
      </w:r>
      <w:r w:rsidR="000636C2">
        <w:rPr>
          <w:rFonts w:hint="cs"/>
          <w:rtl/>
        </w:rPr>
        <w:t>،</w:t>
      </w:r>
      <w:r w:rsidRPr="005675B2">
        <w:rPr>
          <w:rFonts w:hint="cs"/>
          <w:rtl/>
        </w:rPr>
        <w:t xml:space="preserve"> قال الغزالي</w:t>
      </w:r>
      <w:r w:rsidR="000636C2">
        <w:rPr>
          <w:rFonts w:hint="cs"/>
          <w:rtl/>
        </w:rPr>
        <w:t>:</w:t>
      </w:r>
      <w:r w:rsidRPr="005675B2">
        <w:rPr>
          <w:rFonts w:hint="cs"/>
          <w:rtl/>
        </w:rPr>
        <w:t xml:space="preserve"> « عرف العقل ببراهين لم يقدر الحس على المنازعة فيها أن قرص الشمس أكبر من كرة الأرض بأضعاف مضاعفة » وقال</w:t>
      </w:r>
      <w:r w:rsidR="000636C2">
        <w:rPr>
          <w:rFonts w:hint="cs"/>
          <w:rtl/>
        </w:rPr>
        <w:t>:</w:t>
      </w:r>
      <w:r w:rsidRPr="005675B2">
        <w:rPr>
          <w:rFonts w:hint="cs"/>
          <w:rtl/>
        </w:rPr>
        <w:t xml:space="preserve"> « إن الواقفين على نقطتين متقابلتين من كرة الأرض تتقابل أخمص أقدامهما، ونحن بالضرورة نعلم ذلك » [</w:t>
      </w:r>
      <w:r w:rsidRPr="005675B2">
        <w:rPr>
          <w:rFonts w:hint="cs"/>
          <w:sz w:val="24"/>
          <w:szCs w:val="24"/>
          <w:rtl/>
        </w:rPr>
        <w:t>معيار العلم 2-15 وانظر تهافت الفلاسفة 80]</w:t>
      </w:r>
      <w:r w:rsidRPr="005675B2">
        <w:rPr>
          <w:rFonts w:hint="cs"/>
          <w:rtl/>
        </w:rPr>
        <w:t>،</w:t>
      </w:r>
    </w:p>
    <w:p w14:paraId="71FEA852" w14:textId="55D43CEF" w:rsidR="009C32A0" w:rsidRPr="005675B2" w:rsidRDefault="009C32A0" w:rsidP="000636C2">
      <w:pPr>
        <w:rPr>
          <w:b/>
          <w:rtl/>
        </w:rPr>
      </w:pPr>
      <w:r w:rsidRPr="005675B2">
        <w:rPr>
          <w:rFonts w:hint="cs"/>
          <w:rtl/>
        </w:rPr>
        <w:t>وقال الامام الرازي في تفسيره</w:t>
      </w:r>
      <w:r w:rsidR="000636C2">
        <w:rPr>
          <w:rFonts w:hint="cs"/>
          <w:rtl/>
        </w:rPr>
        <w:t>:</w:t>
      </w:r>
      <w:r w:rsidRPr="005675B2">
        <w:rPr>
          <w:rFonts w:hint="cs"/>
          <w:rtl/>
        </w:rPr>
        <w:t xml:space="preserve"> « الأرض كرة</w:t>
      </w:r>
      <w:r w:rsidR="000636C2">
        <w:rPr>
          <w:rFonts w:hint="cs"/>
          <w:rtl/>
        </w:rPr>
        <w:t>،</w:t>
      </w:r>
      <w:r w:rsidRPr="005675B2">
        <w:rPr>
          <w:rFonts w:hint="cs"/>
          <w:rtl/>
        </w:rPr>
        <w:t xml:space="preserve"> وإذا كان كذلك فكل وقت يمكن أن يفرض فهو صبح لقوم، وظهر لثان، وعصر لثالث، ومغرب لرابع، وعشاء لخامس ..</w:t>
      </w:r>
      <w:r w:rsidR="000636C2">
        <w:rPr>
          <w:rFonts w:hint="cs"/>
          <w:rtl/>
        </w:rPr>
        <w:t xml:space="preserve"> </w:t>
      </w:r>
      <w:r w:rsidRPr="005675B2">
        <w:rPr>
          <w:rFonts w:hint="cs"/>
          <w:rtl/>
        </w:rPr>
        <w:t xml:space="preserve">» </w:t>
      </w:r>
      <w:r w:rsidR="000636C2">
        <w:rPr>
          <w:rFonts w:hint="cs"/>
          <w:rtl/>
        </w:rPr>
        <w:t>[</w:t>
      </w:r>
      <w:r w:rsidRPr="005675B2">
        <w:rPr>
          <w:rFonts w:hint="cs"/>
          <w:sz w:val="24"/>
          <w:szCs w:val="24"/>
          <w:rtl/>
        </w:rPr>
        <w:t>مفاتيح الغيب 4/319]</w:t>
      </w:r>
    </w:p>
    <w:p w14:paraId="518C48B3" w14:textId="61FB632D" w:rsidR="009C32A0" w:rsidRPr="005675B2" w:rsidRDefault="009C32A0" w:rsidP="000636C2">
      <w:pPr>
        <w:rPr>
          <w:b/>
          <w:rtl/>
        </w:rPr>
      </w:pPr>
      <w:r w:rsidRPr="005675B2">
        <w:rPr>
          <w:rFonts w:hint="cs"/>
          <w:rtl/>
        </w:rPr>
        <w:t>وقد أكد الرازي كروية الأرض في مواضع متعددة من تفسيره</w:t>
      </w:r>
      <w:r w:rsidR="000636C2">
        <w:rPr>
          <w:rFonts w:hint="cs"/>
          <w:rtl/>
        </w:rPr>
        <w:t>،</w:t>
      </w:r>
    </w:p>
    <w:p w14:paraId="0DCDDF0F" w14:textId="59554432" w:rsidR="009C32A0" w:rsidRPr="005675B2" w:rsidRDefault="009C32A0" w:rsidP="000636C2">
      <w:pPr>
        <w:rPr>
          <w:b/>
          <w:rtl/>
        </w:rPr>
      </w:pPr>
      <w:r w:rsidRPr="005675B2">
        <w:rPr>
          <w:rFonts w:hint="cs"/>
          <w:rtl/>
        </w:rPr>
        <w:t>ثم إن كلام الدكتور هذا قد اشتمل على خطئين في النقل</w:t>
      </w:r>
      <w:r w:rsidR="000636C2">
        <w:rPr>
          <w:rFonts w:hint="cs"/>
          <w:rtl/>
        </w:rPr>
        <w:t>:</w:t>
      </w:r>
    </w:p>
    <w:p w14:paraId="2DF308BC" w14:textId="19C4C7C8" w:rsidR="009C32A0" w:rsidRPr="005675B2" w:rsidRDefault="009C32A0" w:rsidP="000636C2">
      <w:pPr>
        <w:rPr>
          <w:b/>
          <w:rtl/>
        </w:rPr>
      </w:pPr>
      <w:r w:rsidRPr="005675B2">
        <w:rPr>
          <w:rFonts w:hint="cs"/>
          <w:rtl/>
        </w:rPr>
        <w:t>الأول</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واستدل على ذلك في كتابه اصول الدين بمعنى اسم الله الباسط</w:t>
      </w:r>
      <w:r w:rsidR="000636C2">
        <w:rPr>
          <w:rFonts w:hint="cs"/>
          <w:rtl/>
        </w:rPr>
        <w:t>)</w:t>
      </w:r>
      <w:r w:rsidRPr="005675B2">
        <w:rPr>
          <w:rFonts w:hint="cs"/>
          <w:rtl/>
        </w:rPr>
        <w:t>، فالبغدادي لم يستدل باسم الله الباسط على سكون الأرض، وإنما استدل به على كون الأرض مبسوطة، وليست كروية</w:t>
      </w:r>
      <w:r w:rsidR="000636C2">
        <w:rPr>
          <w:rFonts w:hint="cs"/>
          <w:rtl/>
        </w:rPr>
        <w:t>،</w:t>
      </w:r>
    </w:p>
    <w:p w14:paraId="5FA2D64F" w14:textId="4EF511F0" w:rsidR="009C32A0" w:rsidRPr="005675B2" w:rsidRDefault="009C32A0" w:rsidP="000636C2">
      <w:pPr>
        <w:rPr>
          <w:b/>
          <w:rtl/>
        </w:rPr>
      </w:pPr>
      <w:r w:rsidRPr="005675B2">
        <w:rPr>
          <w:rFonts w:hint="cs"/>
          <w:rtl/>
        </w:rPr>
        <w:t>والثاني</w:t>
      </w:r>
      <w:r w:rsidR="000636C2">
        <w:rPr>
          <w:rFonts w:hint="cs"/>
          <w:rtl/>
        </w:rPr>
        <w:t>:</w:t>
      </w:r>
      <w:r w:rsidRPr="005675B2">
        <w:rPr>
          <w:rFonts w:hint="cs"/>
          <w:rtl/>
        </w:rPr>
        <w:t xml:space="preserve"> قوله</w:t>
      </w:r>
      <w:r w:rsidR="000636C2">
        <w:rPr>
          <w:rFonts w:hint="cs"/>
          <w:rtl/>
        </w:rPr>
        <w:t>:</w:t>
      </w:r>
      <w:r w:rsidRPr="005675B2">
        <w:rPr>
          <w:rFonts w:hint="cs"/>
          <w:rtl/>
        </w:rPr>
        <w:t xml:space="preserve"> </w:t>
      </w:r>
      <w:r w:rsidR="000636C2">
        <w:rPr>
          <w:rFonts w:hint="cs"/>
          <w:rtl/>
        </w:rPr>
        <w:t>(</w:t>
      </w:r>
      <w:r w:rsidRPr="005675B2">
        <w:rPr>
          <w:rFonts w:hint="cs"/>
          <w:rtl/>
        </w:rPr>
        <w:t>ومثله صاحب المواقف الذي أكد أنها مبسوطة، وأن القول بأنها كرة من زعم الفلاسفة</w:t>
      </w:r>
      <w:r w:rsidR="000636C2">
        <w:rPr>
          <w:rFonts w:hint="cs"/>
          <w:rtl/>
        </w:rPr>
        <w:t>)</w:t>
      </w:r>
    </w:p>
    <w:p w14:paraId="05046F84" w14:textId="696CC721"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الدكتور على عادته في عدم فهم كلام الأشاعرة لم يفهم كلام صاحب المواقف، فإن الذي يدقق النظر في كلام صاحب المواقف يري أنه لم يبد في كلا المسألتين رأيا، وإنما نقل كلام الفلاسفة والفلكيين، ثم ذكر ما أُورِدَ عليهم من التشكيكات والاعتراضات، ثم أورد ما أجابوا به عن تلك الاعتراضات</w:t>
      </w:r>
      <w:r w:rsidR="000636C2">
        <w:rPr>
          <w:rFonts w:hint="cs"/>
          <w:rtl/>
        </w:rPr>
        <w:t>،</w:t>
      </w:r>
      <w:r w:rsidRPr="005675B2">
        <w:rPr>
          <w:rFonts w:hint="cs"/>
          <w:rtl/>
        </w:rPr>
        <w:t xml:space="preserve"> هذا ما فعله القاضي، وأما أن القاضي عضد الدين أكد أن الأرض مبسوطة وليست كروية، وأنها ساكنة وليست متحركة، واختار ذلك رأيا له، فليس ذلك بصحيح</w:t>
      </w:r>
      <w:r w:rsidR="000636C2">
        <w:rPr>
          <w:rFonts w:hint="cs"/>
          <w:rtl/>
        </w:rPr>
        <w:t>،</w:t>
      </w:r>
    </w:p>
    <w:p w14:paraId="1636D420" w14:textId="77777777" w:rsidR="009C32A0" w:rsidRPr="005675B2" w:rsidRDefault="009C32A0" w:rsidP="000636C2">
      <w:pPr>
        <w:rPr>
          <w:b/>
          <w:rtl/>
        </w:rPr>
      </w:pPr>
    </w:p>
    <w:p w14:paraId="507499CE" w14:textId="1D8D6FD8" w:rsidR="009C32A0" w:rsidRPr="005675B2" w:rsidRDefault="009C32A0" w:rsidP="000636C2">
      <w:pPr>
        <w:rPr>
          <w:b/>
          <w:rtl/>
        </w:rPr>
      </w:pPr>
      <w:r w:rsidRPr="005675B2">
        <w:rPr>
          <w:rFonts w:hint="cs"/>
          <w:rtl/>
        </w:rPr>
        <w:t>78 - المرجئة صنفان</w:t>
      </w:r>
      <w:r w:rsidR="000636C2">
        <w:rPr>
          <w:rFonts w:hint="cs"/>
          <w:rtl/>
        </w:rPr>
        <w:t>:</w:t>
      </w:r>
      <w:r w:rsidRPr="005675B2">
        <w:rPr>
          <w:rFonts w:hint="cs"/>
          <w:rtl/>
        </w:rPr>
        <w:t xml:space="preserve"> مرجئة البدعة، ومرجئة السنة</w:t>
      </w:r>
      <w:r w:rsidR="000636C2">
        <w:rPr>
          <w:rFonts w:hint="cs"/>
          <w:rtl/>
        </w:rPr>
        <w:t>:</w:t>
      </w:r>
    </w:p>
    <w:p w14:paraId="243D46EF" w14:textId="4F2C4E22" w:rsidR="009C32A0" w:rsidRPr="005675B2" w:rsidRDefault="009C32A0" w:rsidP="000636C2">
      <w:pPr>
        <w:rPr>
          <w:b/>
          <w:rtl/>
        </w:rPr>
      </w:pPr>
      <w:r w:rsidRPr="005675B2">
        <w:rPr>
          <w:rFonts w:hint="cs"/>
          <w:rtl/>
        </w:rPr>
        <w:t>قال الدكتور38</w:t>
      </w:r>
      <w:r w:rsidR="000636C2">
        <w:rPr>
          <w:rFonts w:hint="cs"/>
          <w:rtl/>
        </w:rPr>
        <w:t>:</w:t>
      </w:r>
      <w:r w:rsidRPr="005675B2">
        <w:rPr>
          <w:rFonts w:hint="cs"/>
          <w:rtl/>
        </w:rPr>
        <w:t xml:space="preserve"> {وكل من قال</w:t>
      </w:r>
      <w:r w:rsidR="000636C2">
        <w:rPr>
          <w:rFonts w:hint="cs"/>
          <w:rtl/>
        </w:rPr>
        <w:t>:</w:t>
      </w:r>
      <w:r w:rsidRPr="005675B2">
        <w:rPr>
          <w:rFonts w:hint="cs"/>
          <w:rtl/>
        </w:rPr>
        <w:t xml:space="preserve"> إن الإيمان هو المعرفة أو التصديق فهو مرجىء "</w:t>
      </w:r>
      <w:r w:rsidR="000636C2">
        <w:rPr>
          <w:rFonts w:hint="cs"/>
          <w:rtl/>
        </w:rPr>
        <w:t>،</w:t>
      </w:r>
    </w:p>
    <w:p w14:paraId="5DD70328" w14:textId="7516C301"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المرجئة صنفان</w:t>
      </w:r>
      <w:r w:rsidR="000636C2">
        <w:rPr>
          <w:rFonts w:hint="cs"/>
          <w:rtl/>
        </w:rPr>
        <w:t>:</w:t>
      </w:r>
    </w:p>
    <w:p w14:paraId="1CA1088C" w14:textId="1D2CAC5F" w:rsidR="009C32A0" w:rsidRPr="005675B2" w:rsidRDefault="009C32A0" w:rsidP="000636C2">
      <w:pPr>
        <w:rPr>
          <w:b/>
          <w:rtl/>
        </w:rPr>
      </w:pPr>
      <w:r w:rsidRPr="005675B2">
        <w:rPr>
          <w:rFonts w:hint="cs"/>
          <w:rtl/>
        </w:rPr>
        <w:t>مرجئة البدعة وهم الذين يقولون</w:t>
      </w:r>
      <w:r w:rsidR="000636C2">
        <w:rPr>
          <w:rFonts w:hint="cs"/>
          <w:rtl/>
        </w:rPr>
        <w:t>:</w:t>
      </w:r>
      <w:r w:rsidRPr="005675B2">
        <w:rPr>
          <w:rFonts w:hint="cs"/>
          <w:rtl/>
        </w:rPr>
        <w:t xml:space="preserve"> لا يضر مع الإيمان ذنب</w:t>
      </w:r>
      <w:r w:rsidR="000636C2">
        <w:rPr>
          <w:rFonts w:hint="cs"/>
          <w:rtl/>
        </w:rPr>
        <w:t>،</w:t>
      </w:r>
    </w:p>
    <w:p w14:paraId="68D1B5BA" w14:textId="7A12F386" w:rsidR="009C32A0" w:rsidRPr="005675B2" w:rsidRDefault="009C32A0" w:rsidP="000636C2">
      <w:pPr>
        <w:rPr>
          <w:b/>
          <w:rtl/>
        </w:rPr>
      </w:pPr>
      <w:r w:rsidRPr="005675B2">
        <w:rPr>
          <w:rFonts w:hint="cs"/>
          <w:rtl/>
        </w:rPr>
        <w:t>ومرجئة السنة وهم الذين يرجئون أمر العصاة إلى الله تعالى إن شاء عذبهم وإن شاء عفى عنهم</w:t>
      </w:r>
      <w:r w:rsidR="000636C2">
        <w:rPr>
          <w:rFonts w:hint="cs"/>
          <w:rtl/>
        </w:rPr>
        <w:t>،</w:t>
      </w:r>
      <w:r w:rsidRPr="005675B2">
        <w:rPr>
          <w:rFonts w:hint="cs"/>
          <w:rtl/>
        </w:rPr>
        <w:t xml:space="preserve"> كما قال الله تعالى</w:t>
      </w:r>
      <w:r w:rsidR="000636C2">
        <w:rPr>
          <w:rFonts w:hint="cs"/>
          <w:rtl/>
        </w:rPr>
        <w:t>:</w:t>
      </w:r>
      <w:r w:rsidRPr="005675B2">
        <w:rPr>
          <w:rFonts w:hint="cs"/>
          <w:rtl/>
        </w:rPr>
        <w:t xml:space="preserve"> </w:t>
      </w:r>
      <w:r w:rsidR="000636C2">
        <w:rPr>
          <w:rFonts w:hint="cs"/>
          <w:rtl/>
        </w:rPr>
        <w:t>(</w:t>
      </w:r>
      <w:r w:rsidRPr="005675B2">
        <w:rPr>
          <w:rFonts w:hint="cs"/>
          <w:rtl/>
        </w:rPr>
        <w:t>يعذب من يشاء ويغفر لمن يشاء</w:t>
      </w:r>
      <w:r w:rsidR="000636C2">
        <w:rPr>
          <w:rFonts w:hint="cs"/>
          <w:rtl/>
        </w:rPr>
        <w:t>)</w:t>
      </w:r>
      <w:r w:rsidRPr="005675B2">
        <w:rPr>
          <w:rFonts w:hint="cs"/>
          <w:rtl/>
        </w:rPr>
        <w:t xml:space="preserve"> وقال</w:t>
      </w:r>
      <w:r w:rsidR="000636C2">
        <w:rPr>
          <w:rFonts w:hint="cs"/>
          <w:rtl/>
        </w:rPr>
        <w:t>:</w:t>
      </w:r>
      <w:r w:rsidRPr="005675B2">
        <w:rPr>
          <w:rFonts w:hint="cs"/>
          <w:rtl/>
        </w:rPr>
        <w:t xml:space="preserve"> </w:t>
      </w:r>
      <w:r w:rsidR="000636C2">
        <w:rPr>
          <w:rFonts w:hint="cs"/>
          <w:rtl/>
        </w:rPr>
        <w:t>(</w:t>
      </w:r>
      <w:r w:rsidRPr="005675B2">
        <w:rPr>
          <w:rFonts w:hint="cs"/>
          <w:rtl/>
        </w:rPr>
        <w:t>إن الله لا يغفر أن يشرك به ويغفر ما دون ذلك لمن يشاء</w:t>
      </w:r>
      <w:r w:rsidR="000636C2">
        <w:rPr>
          <w:rFonts w:hint="cs"/>
          <w:rtl/>
        </w:rPr>
        <w:t>)</w:t>
      </w:r>
      <w:r w:rsidRPr="005675B2">
        <w:rPr>
          <w:rFonts w:hint="cs"/>
          <w:rtl/>
        </w:rPr>
        <w:t xml:space="preserve"> والأشاعرة من مرجئة السنة، كما أن الدكتور منهم</w:t>
      </w:r>
      <w:r w:rsidR="000636C2">
        <w:rPr>
          <w:rFonts w:hint="cs"/>
          <w:rtl/>
        </w:rPr>
        <w:t>،</w:t>
      </w:r>
    </w:p>
    <w:p w14:paraId="50359CBA" w14:textId="7F67C1D1" w:rsidR="009C32A0" w:rsidRPr="005675B2" w:rsidRDefault="009C32A0" w:rsidP="000636C2">
      <w:pPr>
        <w:rPr>
          <w:b/>
          <w:rtl/>
        </w:rPr>
      </w:pPr>
      <w:r w:rsidRPr="005675B2">
        <w:rPr>
          <w:rFonts w:hint="cs"/>
          <w:rtl/>
        </w:rPr>
        <w:t>وأما من قال</w:t>
      </w:r>
      <w:r w:rsidR="000636C2">
        <w:rPr>
          <w:rFonts w:hint="cs"/>
          <w:rtl/>
        </w:rPr>
        <w:t>:</w:t>
      </w:r>
      <w:r w:rsidRPr="005675B2">
        <w:rPr>
          <w:rFonts w:hint="cs"/>
          <w:rtl/>
        </w:rPr>
        <w:t xml:space="preserve"> الإيمان هو المعرفة، فقوله غير صحيح لأن كثيراً من الكفار يعرفون الحق ولكنهم لا يصدقون به ولا يذعنون له، كما قال الله تعالى</w:t>
      </w:r>
      <w:r w:rsidR="000636C2">
        <w:rPr>
          <w:rFonts w:hint="cs"/>
          <w:rtl/>
        </w:rPr>
        <w:t>:</w:t>
      </w:r>
      <w:r w:rsidRPr="005675B2">
        <w:rPr>
          <w:rFonts w:hint="cs"/>
          <w:rtl/>
        </w:rPr>
        <w:t xml:space="preserve"> </w:t>
      </w:r>
      <w:r w:rsidR="000636C2">
        <w:rPr>
          <w:rFonts w:hint="cs"/>
          <w:rtl/>
        </w:rPr>
        <w:t>(</w:t>
      </w:r>
      <w:r w:rsidRPr="005675B2">
        <w:rPr>
          <w:rFonts w:hint="cs"/>
          <w:rtl/>
        </w:rPr>
        <w:t>الذين آتيناهم الكتاب يعرفونه كما يعرفون أبنائهم وإن فريقا منهم ليكتمون الحق وهم يعلمون</w:t>
      </w:r>
      <w:r w:rsidR="000636C2">
        <w:rPr>
          <w:rFonts w:hint="cs"/>
          <w:rtl/>
        </w:rPr>
        <w:t>)</w:t>
      </w:r>
    </w:p>
    <w:p w14:paraId="33CA6496" w14:textId="2EE24186" w:rsidR="009C32A0" w:rsidRPr="005675B2" w:rsidRDefault="009C32A0" w:rsidP="000636C2">
      <w:pPr>
        <w:rPr>
          <w:b/>
          <w:rtl/>
        </w:rPr>
      </w:pPr>
      <w:r w:rsidRPr="005675B2">
        <w:rPr>
          <w:rFonts w:hint="cs"/>
          <w:rtl/>
        </w:rPr>
        <w:t>وأما أن الإيمان هو التصديق فهو مذهب أهل السنة على خلاف بينهم في النطق بالشهادتين</w:t>
      </w:r>
      <w:r w:rsidR="000636C2">
        <w:rPr>
          <w:rFonts w:hint="cs"/>
          <w:rtl/>
        </w:rPr>
        <w:t>:</w:t>
      </w:r>
      <w:r w:rsidRPr="005675B2">
        <w:rPr>
          <w:rFonts w:hint="cs"/>
          <w:rtl/>
        </w:rPr>
        <w:t xml:space="preserve"> هل هو داخل في الإيمان أو خارج عنه شرط أو ليس بشرط</w:t>
      </w:r>
      <w:r w:rsidR="000636C2">
        <w:rPr>
          <w:rFonts w:hint="cs"/>
          <w:rtl/>
        </w:rPr>
        <w:t>،</w:t>
      </w:r>
    </w:p>
    <w:p w14:paraId="7681A03C" w14:textId="2FDDB037" w:rsidR="009C32A0" w:rsidRPr="005675B2" w:rsidRDefault="009C32A0" w:rsidP="000636C2">
      <w:pPr>
        <w:rPr>
          <w:b/>
          <w:rtl/>
        </w:rPr>
      </w:pPr>
      <w:r w:rsidRPr="005675B2">
        <w:rPr>
          <w:rFonts w:hint="cs"/>
          <w:rtl/>
        </w:rPr>
        <w:t>وأما الأعمال فمن قال من أهل السنة</w:t>
      </w:r>
      <w:r w:rsidR="000636C2">
        <w:rPr>
          <w:rFonts w:hint="cs"/>
          <w:rtl/>
        </w:rPr>
        <w:t>:</w:t>
      </w:r>
      <w:r w:rsidRPr="005675B2">
        <w:rPr>
          <w:rFonts w:hint="cs"/>
          <w:rtl/>
        </w:rPr>
        <w:t xml:space="preserve"> إنها داخلة في الإيمان وهو المروي عن معظم السلف، حيث جاء عنهم أنهم قالوا</w:t>
      </w:r>
      <w:r w:rsidR="000636C2">
        <w:rPr>
          <w:rFonts w:hint="cs"/>
          <w:rtl/>
        </w:rPr>
        <w:t>:</w:t>
      </w:r>
      <w:r w:rsidRPr="005675B2">
        <w:rPr>
          <w:rFonts w:hint="cs"/>
          <w:rtl/>
        </w:rPr>
        <w:t xml:space="preserve"> </w:t>
      </w:r>
      <w:r w:rsidR="000636C2">
        <w:rPr>
          <w:rFonts w:hint="cs"/>
          <w:rtl/>
        </w:rPr>
        <w:t>(</w:t>
      </w:r>
      <w:r w:rsidRPr="005675B2">
        <w:rPr>
          <w:rFonts w:hint="cs"/>
          <w:rtl/>
        </w:rPr>
        <w:t>الإيمان اعتقاد، وقول، وعمل</w:t>
      </w:r>
      <w:r w:rsidR="000636C2">
        <w:rPr>
          <w:rFonts w:hint="cs"/>
          <w:rtl/>
        </w:rPr>
        <w:t>)</w:t>
      </w:r>
      <w:r w:rsidRPr="005675B2">
        <w:rPr>
          <w:rFonts w:hint="cs"/>
          <w:rtl/>
        </w:rPr>
        <w:t>، أراد الدخول لأجل كمال الإيمان، لا لأجل تحقق أصل الإيمان المنقذ من الخلود في النار، وذلك نظير دخول الثمار والورق والأغصان في مسمى الشجرة مع تحقق أصل الشجرة بدونها</w:t>
      </w:r>
      <w:r w:rsidR="000636C2">
        <w:rPr>
          <w:rFonts w:hint="cs"/>
          <w:rtl/>
        </w:rPr>
        <w:t>،</w:t>
      </w:r>
      <w:r w:rsidRPr="005675B2">
        <w:rPr>
          <w:rFonts w:hint="cs"/>
          <w:rtl/>
        </w:rPr>
        <w:t xml:space="preserve"> وهذا ما لا يخالف فيه أحد من أهل السنة، ومن قال</w:t>
      </w:r>
      <w:r w:rsidR="000636C2">
        <w:rPr>
          <w:rFonts w:hint="cs"/>
          <w:rtl/>
        </w:rPr>
        <w:t>:</w:t>
      </w:r>
      <w:r w:rsidRPr="005675B2">
        <w:rPr>
          <w:rFonts w:hint="cs"/>
          <w:rtl/>
        </w:rPr>
        <w:t xml:space="preserve"> إن الأعمال غير داخلة في الإيمان، أراد أنها غير معتبرة في تحقق أصل الإيمان، وهذا الأخير مروي عن أبي حنيفة، فالخلاف لفظي</w:t>
      </w:r>
      <w:r w:rsidR="000636C2">
        <w:rPr>
          <w:rFonts w:hint="cs"/>
          <w:rtl/>
        </w:rPr>
        <w:t>،</w:t>
      </w:r>
    </w:p>
    <w:p w14:paraId="65ED2484" w14:textId="019AEC99" w:rsidR="009C32A0" w:rsidRPr="005675B2" w:rsidRDefault="009C32A0" w:rsidP="000636C2">
      <w:pPr>
        <w:rPr>
          <w:b/>
          <w:rtl/>
        </w:rPr>
      </w:pPr>
      <w:r w:rsidRPr="005675B2">
        <w:rPr>
          <w:rFonts w:hint="cs"/>
          <w:rtl/>
        </w:rPr>
        <w:t>وقالت المعتزلة والخوارج</w:t>
      </w:r>
      <w:r w:rsidR="000636C2">
        <w:rPr>
          <w:rFonts w:hint="cs"/>
          <w:rtl/>
        </w:rPr>
        <w:t>:</w:t>
      </w:r>
      <w:r w:rsidRPr="005675B2">
        <w:rPr>
          <w:rFonts w:hint="cs"/>
          <w:rtl/>
        </w:rPr>
        <w:t xml:space="preserve"> إن الأعمال داخلة في الإيمان ومعتبرة في تحقق أصله، فكفرت الخوارج مرتكب الكبيرة، وأثبتت له المعتزلة المنزلة بين المنزلتين</w:t>
      </w:r>
      <w:r w:rsidR="000636C2">
        <w:rPr>
          <w:rFonts w:hint="cs"/>
          <w:rtl/>
        </w:rPr>
        <w:t>،</w:t>
      </w:r>
    </w:p>
    <w:p w14:paraId="559ECC92" w14:textId="750B598C" w:rsidR="009C32A0" w:rsidRPr="005675B2" w:rsidRDefault="009C32A0" w:rsidP="000636C2">
      <w:pPr>
        <w:rPr>
          <w:b/>
          <w:rtl/>
        </w:rPr>
      </w:pPr>
      <w:r w:rsidRPr="005675B2">
        <w:rPr>
          <w:rFonts w:hint="cs"/>
          <w:rtl/>
        </w:rPr>
        <w:t>قال الشيخ عبد الحي اللكنوي</w:t>
      </w:r>
      <w:r w:rsidR="000636C2">
        <w:rPr>
          <w:rFonts w:hint="cs"/>
          <w:rtl/>
        </w:rPr>
        <w:t>:</w:t>
      </w:r>
      <w:r w:rsidRPr="005675B2">
        <w:rPr>
          <w:rFonts w:hint="cs"/>
          <w:rtl/>
        </w:rPr>
        <w:t xml:space="preserve"> إن الإرجاء قد يطلق على أهل السنة والجماعة من مخالفيهم المعتزلة الزاعمين بالخلود الناري لصاحب الكبيرة</w:t>
      </w:r>
      <w:r w:rsidR="000636C2">
        <w:rPr>
          <w:rFonts w:hint="cs"/>
          <w:rtl/>
        </w:rPr>
        <w:t>،</w:t>
      </w:r>
    </w:p>
    <w:p w14:paraId="481AD71A" w14:textId="3B6501D3" w:rsidR="009C32A0" w:rsidRPr="005675B2" w:rsidRDefault="009C32A0" w:rsidP="000636C2">
      <w:pPr>
        <w:rPr>
          <w:b/>
          <w:rtl/>
        </w:rPr>
      </w:pPr>
      <w:r w:rsidRPr="005675B2">
        <w:rPr>
          <w:rFonts w:hint="cs"/>
          <w:rtl/>
        </w:rPr>
        <w:t>وقد يطلق على الأئمة القائلين بأن الأعمال ليست بداخلة في الإيمان، وبعدم الزيادة والنقصان</w:t>
      </w:r>
      <w:r w:rsidR="000636C2">
        <w:rPr>
          <w:rFonts w:hint="cs"/>
          <w:rtl/>
        </w:rPr>
        <w:t xml:space="preserve"> </w:t>
      </w:r>
      <w:r w:rsidRPr="005675B2">
        <w:rPr>
          <w:rFonts w:hint="cs"/>
          <w:rtl/>
        </w:rPr>
        <w:t>- وهو مذهب أبي حنيفة وأتباعه</w:t>
      </w:r>
      <w:r w:rsidR="000636C2">
        <w:rPr>
          <w:rFonts w:hint="cs"/>
          <w:rtl/>
        </w:rPr>
        <w:t xml:space="preserve"> </w:t>
      </w:r>
      <w:r w:rsidRPr="005675B2">
        <w:rPr>
          <w:rFonts w:hint="cs"/>
          <w:rtl/>
        </w:rPr>
        <w:t>- من جانب المحدثين القائلين بالزيادة والنقصان وبدخول الأعمال في الإيمان</w:t>
      </w:r>
      <w:r w:rsidR="000636C2">
        <w:rPr>
          <w:rFonts w:hint="cs"/>
          <w:rtl/>
        </w:rPr>
        <w:t>،</w:t>
      </w:r>
      <w:r w:rsidRPr="005675B2">
        <w:rPr>
          <w:rFonts w:hint="cs"/>
          <w:rtl/>
        </w:rPr>
        <w:t xml:space="preserve"> وهذا النزاع وإن كان لفظياً كما حققه المحققون من الأولين والآخرين، لكنه لما طال، وآل الأمر إلى بسط كلام الفريقين من المتقدمين والمتأخرين أدى ذلك إلى أن أطلقوا الإرجاء على مخالفيهم، وشنعوا بذلك عليهم، وهو ليس بطعن في الحقيقة كما لا يخفى على مهرة الشريعة</w:t>
      </w:r>
      <w:r w:rsidR="000636C2">
        <w:rPr>
          <w:rFonts w:hint="cs"/>
          <w:rtl/>
        </w:rPr>
        <w:t>،</w:t>
      </w:r>
      <w:r w:rsidRPr="005675B2">
        <w:rPr>
          <w:rFonts w:hint="cs"/>
          <w:rtl/>
        </w:rPr>
        <w:t xml:space="preserve"> وقال الإمام أنور شاه الكشميري في "فيض الباري على صحيح البخاري"</w:t>
      </w:r>
      <w:r w:rsidR="000636C2">
        <w:rPr>
          <w:rFonts w:hint="cs"/>
          <w:rtl/>
        </w:rPr>
        <w:t>:</w:t>
      </w:r>
      <w:r w:rsidRPr="005675B2">
        <w:rPr>
          <w:rFonts w:hint="cs"/>
          <w:rtl/>
        </w:rPr>
        <w:t xml:space="preserve"> الإيمان عند السلف عبارة عن ثلاثة أشياء</w:t>
      </w:r>
      <w:r w:rsidR="000636C2">
        <w:rPr>
          <w:rFonts w:hint="cs"/>
          <w:rtl/>
        </w:rPr>
        <w:t>:</w:t>
      </w:r>
      <w:r w:rsidRPr="005675B2">
        <w:rPr>
          <w:rFonts w:hint="cs"/>
          <w:rtl/>
        </w:rPr>
        <w:t xml:space="preserve"> اعتقاد، وقول، وعمل، وقد مر الكلام</w:t>
      </w:r>
      <w:r w:rsidR="000636C2">
        <w:rPr>
          <w:rFonts w:hint="cs"/>
          <w:rtl/>
        </w:rPr>
        <w:t xml:space="preserve"> </w:t>
      </w:r>
      <w:r w:rsidRPr="005675B2">
        <w:rPr>
          <w:rFonts w:hint="cs"/>
          <w:rtl/>
        </w:rPr>
        <w:t>- يعني في كتابه</w:t>
      </w:r>
      <w:r w:rsidR="000636C2">
        <w:rPr>
          <w:rFonts w:hint="cs"/>
          <w:rtl/>
        </w:rPr>
        <w:t xml:space="preserve"> </w:t>
      </w:r>
      <w:r w:rsidRPr="005675B2">
        <w:rPr>
          <w:rFonts w:hint="cs"/>
          <w:rtl/>
        </w:rPr>
        <w:t>- على الأولين</w:t>
      </w:r>
      <w:r w:rsidR="000636C2">
        <w:rPr>
          <w:rFonts w:hint="cs"/>
          <w:rtl/>
        </w:rPr>
        <w:t xml:space="preserve"> </w:t>
      </w:r>
      <w:r w:rsidRPr="005675B2">
        <w:rPr>
          <w:rFonts w:hint="cs"/>
          <w:rtl/>
        </w:rPr>
        <w:t>- أي</w:t>
      </w:r>
      <w:r w:rsidR="000636C2">
        <w:rPr>
          <w:rFonts w:hint="cs"/>
          <w:rtl/>
        </w:rPr>
        <w:t>:</w:t>
      </w:r>
      <w:r w:rsidRPr="005675B2">
        <w:rPr>
          <w:rFonts w:hint="cs"/>
          <w:rtl/>
        </w:rPr>
        <w:t xml:space="preserve"> التصديق والإقرار</w:t>
      </w:r>
      <w:r w:rsidR="000636C2">
        <w:rPr>
          <w:rFonts w:hint="cs"/>
          <w:rtl/>
        </w:rPr>
        <w:t>،</w:t>
      </w:r>
      <w:r w:rsidRPr="005675B2">
        <w:rPr>
          <w:rFonts w:hint="cs"/>
          <w:rtl/>
        </w:rPr>
        <w:t xml:space="preserve"> بقي العمل هل هو جزء للإيمان أم لا</w:t>
      </w:r>
      <w:r w:rsidR="000636C2">
        <w:rPr>
          <w:rFonts w:hint="cs"/>
          <w:rtl/>
        </w:rPr>
        <w:t>؟</w:t>
      </w:r>
      <w:r w:rsidRPr="005675B2">
        <w:rPr>
          <w:rFonts w:hint="cs"/>
          <w:rtl/>
        </w:rPr>
        <w:t xml:space="preserve"> فالمذاهب فيه أربعة</w:t>
      </w:r>
      <w:r w:rsidR="000636C2">
        <w:rPr>
          <w:rFonts w:hint="cs"/>
          <w:rtl/>
        </w:rPr>
        <w:t>:</w:t>
      </w:r>
      <w:r w:rsidRPr="005675B2">
        <w:rPr>
          <w:rFonts w:hint="cs"/>
          <w:rtl/>
        </w:rPr>
        <w:t xml:space="preserve"> قالت الخوارج والمعتزلة</w:t>
      </w:r>
      <w:r w:rsidR="000636C2">
        <w:rPr>
          <w:rFonts w:hint="cs"/>
          <w:rtl/>
        </w:rPr>
        <w:t>:</w:t>
      </w:r>
      <w:r w:rsidRPr="005675B2">
        <w:rPr>
          <w:rFonts w:hint="cs"/>
          <w:rtl/>
        </w:rPr>
        <w:t xml:space="preserve"> إن الأعمال أجزاء للإيمان، فالتارك للعمل خارج عن الإيمان عندهما، ثم اختلفوا، فالخوارج أخرجوه من الإيمان وأدخلوه في الكفر، والمعتزلة لم يدخلوه في الكفر، بل قالوا بالمنزلة بين المنزلتين</w:t>
      </w:r>
      <w:r w:rsidR="000636C2">
        <w:rPr>
          <w:rFonts w:hint="cs"/>
          <w:rtl/>
        </w:rPr>
        <w:t>،</w:t>
      </w:r>
      <w:r w:rsidRPr="005675B2">
        <w:rPr>
          <w:rFonts w:hint="cs"/>
          <w:rtl/>
        </w:rPr>
        <w:t xml:space="preserve"> والثالث مذهب المرجئة فقالوا</w:t>
      </w:r>
      <w:r w:rsidR="000636C2">
        <w:rPr>
          <w:rFonts w:hint="cs"/>
          <w:rtl/>
        </w:rPr>
        <w:t>:</w:t>
      </w:r>
      <w:r w:rsidRPr="005675B2">
        <w:rPr>
          <w:rFonts w:hint="cs"/>
          <w:rtl/>
        </w:rPr>
        <w:t xml:space="preserve"> لا حاجة إلى العمل، ومدار النجاة هو التصديق فقط، فصار الأولون والمرجئة على طرفي النقيض</w:t>
      </w:r>
      <w:r w:rsidR="000636C2">
        <w:rPr>
          <w:rFonts w:hint="cs"/>
          <w:rtl/>
        </w:rPr>
        <w:t>،</w:t>
      </w:r>
      <w:r w:rsidRPr="005675B2">
        <w:rPr>
          <w:rFonts w:hint="cs"/>
          <w:rtl/>
        </w:rPr>
        <w:t xml:space="preserve"> والرابع مذهب أهل السنة والجماعة وهم بين بين فقالوا</w:t>
      </w:r>
      <w:r w:rsidR="000636C2">
        <w:rPr>
          <w:rFonts w:hint="cs"/>
          <w:rtl/>
        </w:rPr>
        <w:t>:</w:t>
      </w:r>
      <w:r w:rsidRPr="005675B2">
        <w:rPr>
          <w:rFonts w:hint="cs"/>
          <w:rtl/>
        </w:rPr>
        <w:t xml:space="preserve"> إن الأعمال أيضا لا بد منها لكن تاركها مفسق لا مكفر، فلم يشددوا فيها كالخوارج والمعتزلة، ولم يهونوا أمرها كالمرجئة</w:t>
      </w:r>
      <w:r w:rsidR="000636C2">
        <w:rPr>
          <w:rFonts w:hint="cs"/>
          <w:rtl/>
        </w:rPr>
        <w:t>،</w:t>
      </w:r>
      <w:r w:rsidRPr="005675B2">
        <w:rPr>
          <w:rFonts w:hint="cs"/>
          <w:rtl/>
        </w:rPr>
        <w:t xml:space="preserve"> ثم هؤلاء أي أهل السنة والجماعة افترقوا فرقتين فأكثر المحدثين ذهب إلى أن الإيمان مركب من الأعمال، وإمامنا الأعظم رحمه الله تعالى وأكثر الفقهاء والمتكلمين إلى أن الأعمال غير داخلة في الإيمان مع اتفاقهم جميعا على أن فاقد التصديق كافر، وفاقد العمل فاسق، فلم يبق الخلاف إلا في التعبير فإن السلف وإن جعلوا الأعمال جزأ لكن لا بحيث ينعدم الكل بانعدامه، بل يبقى الإيمان مع انتفائها</w:t>
      </w:r>
      <w:r w:rsidR="000636C2">
        <w:rPr>
          <w:rFonts w:hint="cs"/>
          <w:rtl/>
        </w:rPr>
        <w:t>،</w:t>
      </w:r>
      <w:r w:rsidRPr="005675B2">
        <w:rPr>
          <w:rFonts w:hint="cs"/>
          <w:rtl/>
        </w:rPr>
        <w:t xml:space="preserve"> وإمامنا أبو حنيفة وإن لم يجعل الأعمال جزءا لكنه إهتم بها وحرض عليها، وجعلها أسبابا سارية في نماء الإيمان، فلم يهدرها هدر المرجئة، إلا أن تعبير المحدثين القائلين بجزئية الأعمال لما كان أبعد من المرجئة المنكرين جزئية الأعمال، بخلاف تعبير إمامنا الأعظم رحمه الله تعالى فإنه كان أقرب إليهم من حيث نفي جزئية الأعمال رمي الحنيفية بالإرجاء، وهذا كما ترى جور علينا فالله المستعان</w:t>
      </w:r>
      <w:r w:rsidR="000636C2">
        <w:rPr>
          <w:rFonts w:hint="cs"/>
          <w:rtl/>
        </w:rPr>
        <w:t>،</w:t>
      </w:r>
      <w:r w:rsidRPr="005675B2">
        <w:rPr>
          <w:rFonts w:hint="cs"/>
          <w:rtl/>
        </w:rPr>
        <w:t xml:space="preserve"> ولو كان الإشتراك مع المرجئة بوجه من الوجوه التعبيرية كافيا لنسبة الإرجاء إلينا لزم نسبة الإعتزال إليهم -أي إلى المحدثين - فإنهم -أي المعتزلة - قائلون بجزئية الأعمال أيضا كالمحدثين، ولكن حاشاهم من الإعتزال</w:t>
      </w:r>
      <w:r w:rsidR="000636C2">
        <w:rPr>
          <w:rFonts w:hint="cs"/>
          <w:rtl/>
        </w:rPr>
        <w:t>،</w:t>
      </w:r>
      <w:r w:rsidRPr="005675B2">
        <w:rPr>
          <w:rFonts w:hint="cs"/>
          <w:rtl/>
        </w:rPr>
        <w:t xml:space="preserve"> وعفى الله عمن تعصب ونسب إلينا الإرجاء، فإن الدين كله نصح لا مراماة ومنابزة بالألقاب</w:t>
      </w:r>
      <w:r w:rsidR="000636C2">
        <w:rPr>
          <w:rFonts w:hint="cs"/>
          <w:rtl/>
        </w:rPr>
        <w:t>،</w:t>
      </w:r>
      <w:r w:rsidRPr="005675B2">
        <w:rPr>
          <w:rFonts w:hint="cs"/>
          <w:rtl/>
        </w:rPr>
        <w:t xml:space="preserve"> ولا حول ولا قوة إلا بالله العلي العظيم</w:t>
      </w:r>
      <w:r w:rsidR="000636C2">
        <w:rPr>
          <w:rFonts w:hint="cs"/>
          <w:rtl/>
        </w:rPr>
        <w:t>،</w:t>
      </w:r>
      <w:r w:rsidRPr="005675B2">
        <w:rPr>
          <w:rFonts w:hint="cs"/>
          <w:rtl/>
        </w:rPr>
        <w:t xml:space="preserve"> انتهى</w:t>
      </w:r>
      <w:r w:rsidR="000636C2">
        <w:rPr>
          <w:rFonts w:hint="cs"/>
          <w:rtl/>
        </w:rPr>
        <w:t>،</w:t>
      </w:r>
    </w:p>
    <w:p w14:paraId="48BAE706" w14:textId="2283FD5F" w:rsidR="009C32A0" w:rsidRPr="005675B2" w:rsidRDefault="009C32A0" w:rsidP="000636C2">
      <w:pPr>
        <w:rPr>
          <w:b/>
          <w:rtl/>
        </w:rPr>
      </w:pPr>
      <w:r w:rsidRPr="005675B2">
        <w:rPr>
          <w:rFonts w:hint="cs"/>
          <w:rtl/>
        </w:rPr>
        <w:t xml:space="preserve">قال الدكتور في حاشيته المرقومة بالرقم </w:t>
      </w:r>
      <w:r w:rsidR="000636C2">
        <w:rPr>
          <w:rFonts w:hint="cs"/>
          <w:rtl/>
        </w:rPr>
        <w:t>(</w:t>
      </w:r>
      <w:r w:rsidRPr="005675B2">
        <w:rPr>
          <w:rFonts w:hint="cs"/>
          <w:rtl/>
        </w:rPr>
        <w:t>1</w:t>
      </w:r>
      <w:r w:rsidR="000636C2">
        <w:rPr>
          <w:rFonts w:hint="cs"/>
          <w:rtl/>
        </w:rPr>
        <w:t>):</w:t>
      </w:r>
      <w:r w:rsidRPr="005675B2">
        <w:rPr>
          <w:rFonts w:hint="cs"/>
          <w:rtl/>
        </w:rPr>
        <w:t xml:space="preserve"> " ومن العجيب أنَّ الماتريدية يُخْرجون الأشاعرة من أهل السنة ويدَّعونه لأنفسهم، وهم أكثرُ فرقتين في الإسلام تقارباً واشتراكاً في الأصول</w:t>
      </w:r>
      <w:r w:rsidR="000636C2">
        <w:rPr>
          <w:rFonts w:hint="cs"/>
          <w:rtl/>
        </w:rPr>
        <w:t>،</w:t>
      </w:r>
      <w:r w:rsidRPr="005675B2">
        <w:rPr>
          <w:rFonts w:hint="cs"/>
          <w:rtl/>
        </w:rPr>
        <w:t xml:space="preserve"> انظر حاشية على شرح العضدية</w:t>
      </w:r>
      <w:r w:rsidR="000636C2">
        <w:rPr>
          <w:rFonts w:hint="cs"/>
          <w:rtl/>
        </w:rPr>
        <w:t>:</w:t>
      </w:r>
      <w:r w:rsidRPr="005675B2">
        <w:rPr>
          <w:rFonts w:hint="cs"/>
          <w:rtl/>
        </w:rPr>
        <w:t xml:space="preserve"> 38، أما ما يتعلق بالخلاف بين الأشاعرة والمعتزلة فهو برمَّته خلافٌ داخليٌّ ضمن المدرسة العقلية التي هي مدرسة الهوى والبدعة</w:t>
      </w:r>
      <w:r w:rsidR="000636C2">
        <w:rPr>
          <w:rFonts w:hint="cs"/>
          <w:rtl/>
        </w:rPr>
        <w:t>،</w:t>
      </w:r>
      <w:r w:rsidRPr="005675B2">
        <w:rPr>
          <w:rFonts w:hint="cs"/>
          <w:rtl/>
        </w:rPr>
        <w:t xml:space="preserve"> ولا بأس أن يستفيد أهلُ السنةِ من ردودِ الأشاعرة عليهم إذا كانت حقاً "</w:t>
      </w:r>
      <w:r w:rsidR="000636C2">
        <w:rPr>
          <w:rFonts w:hint="cs"/>
          <w:rtl/>
        </w:rPr>
        <w:t>،</w:t>
      </w:r>
    </w:p>
    <w:p w14:paraId="453D9E35" w14:textId="2D622652" w:rsidR="009C32A0" w:rsidRPr="005675B2" w:rsidRDefault="009C32A0" w:rsidP="000636C2">
      <w:pPr>
        <w:rPr>
          <w:b/>
          <w:rtl/>
        </w:rPr>
      </w:pPr>
      <w:r w:rsidRPr="005675B2">
        <w:rPr>
          <w:rFonts w:hint="cs"/>
          <w:rtl/>
        </w:rPr>
        <w:t>أقول</w:t>
      </w:r>
      <w:r w:rsidR="000636C2">
        <w:rPr>
          <w:rFonts w:hint="cs"/>
          <w:rtl/>
        </w:rPr>
        <w:t>:</w:t>
      </w:r>
      <w:r w:rsidRPr="005675B2">
        <w:rPr>
          <w:rFonts w:hint="cs"/>
          <w:rtl/>
        </w:rPr>
        <w:t xml:space="preserve"> أما إخراج الماتريدية الأشاعرة من أهل السنة، فهذا ما لا أعلم أحدا من الماتريدية فعله، وإن كان قد قال به بعض متعصبة الماتريدية فهو رأيٌ انفرد به هذا البعض</w:t>
      </w:r>
      <w:r w:rsidR="000636C2">
        <w:rPr>
          <w:rFonts w:hint="cs"/>
          <w:rtl/>
        </w:rPr>
        <w:t>،</w:t>
      </w:r>
      <w:r w:rsidRPr="005675B2">
        <w:rPr>
          <w:rFonts w:hint="cs"/>
          <w:rtl/>
        </w:rPr>
        <w:t xml:space="preserve"> ولا يصحُّ نسبتُهُ إلى الماتريدية كلِّهم</w:t>
      </w:r>
      <w:r w:rsidR="000636C2">
        <w:rPr>
          <w:rFonts w:hint="cs"/>
          <w:rtl/>
        </w:rPr>
        <w:t>،</w:t>
      </w:r>
      <w:r w:rsidRPr="005675B2">
        <w:rPr>
          <w:rFonts w:hint="cs"/>
          <w:rtl/>
        </w:rPr>
        <w:t xml:space="preserve"> فإنَّه من المقرَّر أنَّ الأشاعرة والماتريدية لم يبدعْ بعضُهم البعض،، لأنَّ الخلافَ بينَهُمْ ليس في الأصول التي يُبَدَّع فيها المخالفُ</w:t>
      </w:r>
      <w:r w:rsidR="000636C2">
        <w:rPr>
          <w:rFonts w:hint="cs"/>
          <w:rtl/>
        </w:rPr>
        <w:t>،</w:t>
      </w:r>
      <w:r w:rsidRPr="005675B2">
        <w:rPr>
          <w:rFonts w:hint="cs"/>
          <w:rtl/>
        </w:rPr>
        <w:t xml:space="preserve"> وأما الخلافُ بين الأشعرية والمعتزلة فهو خلافٌ بين مدرستين جمعت إحداهما بين النقل والعقل، واستعملت كلاًّ منهما في مجاله الذي يجب أن يستعمل فيه وهم الأشاعرةُ</w:t>
      </w:r>
      <w:r w:rsidR="000636C2">
        <w:rPr>
          <w:rFonts w:hint="cs"/>
          <w:rtl/>
        </w:rPr>
        <w:t>،</w:t>
      </w:r>
      <w:r w:rsidRPr="005675B2">
        <w:rPr>
          <w:rFonts w:hint="cs"/>
          <w:rtl/>
        </w:rPr>
        <w:t xml:space="preserve"> وغلت الأخرى في الإعتماد على العقل، وردَّتْ بذلك جملةً من النصوصِ المجمعِ على صحتها وأولتْ جملةً من الآيات التي تنقُضُ مذهبَهُمْ، وهم المعتزلة</w:t>
      </w:r>
      <w:r w:rsidR="000636C2">
        <w:rPr>
          <w:rFonts w:hint="cs"/>
          <w:rtl/>
        </w:rPr>
        <w:t>،</w:t>
      </w:r>
    </w:p>
    <w:p w14:paraId="67EB269A" w14:textId="4023E443" w:rsidR="009C32A0" w:rsidRPr="005675B2" w:rsidRDefault="009C32A0" w:rsidP="000636C2">
      <w:pPr>
        <w:rPr>
          <w:b/>
          <w:rtl/>
        </w:rPr>
      </w:pPr>
      <w:r w:rsidRPr="005675B2">
        <w:rPr>
          <w:rFonts w:hint="cs"/>
          <w:rtl/>
        </w:rPr>
        <w:t>قال الدكتور</w:t>
      </w:r>
      <w:r w:rsidR="000636C2">
        <w:rPr>
          <w:rFonts w:hint="cs"/>
          <w:rtl/>
        </w:rPr>
        <w:t>:</w:t>
      </w:r>
      <w:r w:rsidRPr="005675B2">
        <w:rPr>
          <w:rFonts w:hint="cs"/>
          <w:rtl/>
        </w:rPr>
        <w:t xml:space="preserve"> " بل نحن نزيدكم إيضاحاً فنقول</w:t>
      </w:r>
      <w:r w:rsidR="000636C2">
        <w:rPr>
          <w:rFonts w:hint="cs"/>
          <w:rtl/>
        </w:rPr>
        <w:t>:</w:t>
      </w:r>
      <w:r w:rsidRPr="005675B2">
        <w:rPr>
          <w:rFonts w:hint="cs"/>
          <w:rtl/>
        </w:rPr>
        <w:t xml:space="preserve"> إنَّ هذه العقائد التي أدخلتموها في الإسلام وجعلتموها عقيدة الفرقة الناجية بزعمكم، هي ما كان عليه فلاسفةُ اليونان ومشركوا الصابئة وزنادقة أهل الكتاب، لكن ورثها عنهم الجهمِ بنُ صفوانَ وبشرُ المريسي وابنُ كُلاّب</w:t>
      </w:r>
      <w:r w:rsidR="000636C2">
        <w:rPr>
          <w:rFonts w:hint="cs"/>
          <w:rtl/>
        </w:rPr>
        <w:t>،</w:t>
      </w:r>
      <w:r w:rsidRPr="005675B2">
        <w:rPr>
          <w:rFonts w:hint="cs"/>
          <w:rtl/>
        </w:rPr>
        <w:t xml:space="preserve"> وأنتم ورثتموها عن هؤلاء، فهي من تركة الفلاسفة والابتداع وليست من ميراث النبوة والكتاب "</w:t>
      </w:r>
      <w:r w:rsidR="000636C2">
        <w:rPr>
          <w:rFonts w:hint="cs"/>
          <w:rtl/>
        </w:rPr>
        <w:t>،</w:t>
      </w:r>
    </w:p>
    <w:p w14:paraId="4334C97F" w14:textId="41B51586" w:rsidR="009C32A0" w:rsidRPr="005675B2" w:rsidRDefault="009C32A0" w:rsidP="000636C2">
      <w:pPr>
        <w:rPr>
          <w:rtl/>
        </w:rPr>
      </w:pPr>
      <w:r w:rsidRPr="005675B2">
        <w:rPr>
          <w:rFonts w:hint="cs"/>
          <w:rtl/>
        </w:rPr>
        <w:t>أقول</w:t>
      </w:r>
      <w:r w:rsidR="000636C2">
        <w:rPr>
          <w:rFonts w:hint="cs"/>
          <w:rtl/>
        </w:rPr>
        <w:t>:</w:t>
      </w:r>
      <w:r w:rsidRPr="005675B2">
        <w:rPr>
          <w:rFonts w:hint="cs"/>
          <w:rtl/>
        </w:rPr>
        <w:t xml:space="preserve"> أصلحنا الله وإياك أيها الدكتور</w:t>
      </w:r>
      <w:r w:rsidR="000636C2">
        <w:rPr>
          <w:rFonts w:hint="cs"/>
          <w:rtl/>
        </w:rPr>
        <w:t>،</w:t>
      </w:r>
      <w:r w:rsidRPr="005675B2">
        <w:rPr>
          <w:rFonts w:hint="cs"/>
          <w:rtl/>
        </w:rPr>
        <w:t xml:space="preserve"> كيل التهم العظيمة للمخالفين بضاعة الذين يشعرون بضعفهم أمام مخالفيهم، ويحاولون ستر ضعفهم بكيل التهم للمخالفين، والناقد البصير لهم بالمرصاد، والله من ورائهم محيط</w:t>
      </w:r>
      <w:r w:rsidR="000636C2">
        <w:rPr>
          <w:rFonts w:hint="cs"/>
          <w:rtl/>
        </w:rPr>
        <w:t>،</w:t>
      </w:r>
      <w:r w:rsidRPr="005675B2">
        <w:rPr>
          <w:rFonts w:hint="cs"/>
          <w:rtl/>
        </w:rPr>
        <w:t xml:space="preserve"> ثم إن هذه التهم ينقضها ما علقناهُ سابقاً على كلامِ الدكتور، فعلى القارئ أن يقرأه بتمعن وإنصاف وحياد حتى يعلم ما هو نصيب هذه التهم العظيمة من الصحة</w:t>
      </w:r>
      <w:r w:rsidR="000636C2">
        <w:rPr>
          <w:rFonts w:hint="cs"/>
          <w:rtl/>
        </w:rPr>
        <w:t>،</w:t>
      </w:r>
      <w:r w:rsidRPr="005675B2">
        <w:rPr>
          <w:rFonts w:hint="cs"/>
          <w:rtl/>
        </w:rPr>
        <w:t xml:space="preserve"> ولو أعطي الناسُ بدعواهم لادّعى ناسٌ دماءَ أقوامٍ وأموالَهم، ولكنَّ البيِّنةَ على المدَّعي</w:t>
      </w:r>
      <w:r w:rsidR="000636C2">
        <w:rPr>
          <w:rFonts w:hint="cs"/>
          <w:rtl/>
        </w:rPr>
        <w:t>،</w:t>
      </w:r>
      <w:r w:rsidRPr="005675B2">
        <w:rPr>
          <w:rFonts w:hint="cs"/>
          <w:rtl/>
        </w:rPr>
        <w:t xml:space="preserve"> والله تعالى يتولى هدانا وهو يتولى الصالحين</w:t>
      </w:r>
      <w:r w:rsidR="000636C2">
        <w:rPr>
          <w:rFonts w:hint="cs"/>
          <w:rtl/>
        </w:rPr>
        <w:t>،</w:t>
      </w:r>
      <w:r w:rsidRPr="005675B2">
        <w:rPr>
          <w:rFonts w:hint="cs"/>
          <w:rtl/>
        </w:rPr>
        <w:t xml:space="preserve"> ومن أجل أن الدين النصيحة أنصح الأخ الفاضل الدكتور سفر بتلاوة آيات الإفك من سورة النور بتدبر من قوله عز وجل</w:t>
      </w:r>
      <w:r w:rsidR="000636C2">
        <w:rPr>
          <w:rFonts w:hint="cs"/>
          <w:rtl/>
        </w:rPr>
        <w:t>:</w:t>
      </w:r>
      <w:r w:rsidRPr="005675B2">
        <w:rPr>
          <w:rFonts w:hint="cs"/>
          <w:rtl/>
        </w:rPr>
        <w:t xml:space="preserve"> </w:t>
      </w:r>
      <w:r w:rsidR="000636C2">
        <w:rPr>
          <w:rFonts w:hint="cs"/>
          <w:rtl/>
        </w:rPr>
        <w:t>(</w:t>
      </w:r>
      <w:r w:rsidRPr="005675B2">
        <w:rPr>
          <w:rFonts w:hint="cs"/>
          <w:rtl/>
        </w:rPr>
        <w:t>إن الذين جائوا بالإفك عصبة منكم .. إلى قوله تعالى</w:t>
      </w:r>
      <w:r w:rsidR="000636C2">
        <w:rPr>
          <w:rFonts w:hint="cs"/>
          <w:rtl/>
        </w:rPr>
        <w:t>:</w:t>
      </w:r>
      <w:r w:rsidRPr="005675B2">
        <w:rPr>
          <w:rFonts w:hint="cs"/>
          <w:rtl/>
        </w:rPr>
        <w:t xml:space="preserve"> 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w:t>
      </w:r>
      <w:r w:rsidR="000636C2">
        <w:rPr>
          <w:rFonts w:hint="cs"/>
          <w:rtl/>
        </w:rPr>
        <w:t>)</w:t>
      </w:r>
      <w:r w:rsidRPr="005675B2">
        <w:rPr>
          <w:rFonts w:hint="cs"/>
          <w:rtl/>
        </w:rPr>
        <w:t xml:space="preserve"> </w:t>
      </w:r>
      <w:r w:rsidR="000636C2">
        <w:rPr>
          <w:rFonts w:hint="cs"/>
          <w:rtl/>
        </w:rPr>
        <w:t>[</w:t>
      </w:r>
      <w:r w:rsidRPr="005675B2">
        <w:rPr>
          <w:rFonts w:hint="cs"/>
          <w:rtl/>
        </w:rPr>
        <w:t>النور 11 - 21</w:t>
      </w:r>
      <w:r w:rsidR="000636C2">
        <w:rPr>
          <w:rFonts w:hint="cs"/>
          <w:rtl/>
        </w:rPr>
        <w:t>]،</w:t>
      </w:r>
      <w:r w:rsidRPr="005675B2">
        <w:rPr>
          <w:rFonts w:hint="cs"/>
          <w:rtl/>
        </w:rPr>
        <w:t xml:space="preserve"> وأذكره منهاخاصة بقوله تعالى</w:t>
      </w:r>
      <w:r w:rsidR="000636C2">
        <w:rPr>
          <w:rFonts w:hint="cs"/>
          <w:rtl/>
        </w:rPr>
        <w:t>:</w:t>
      </w:r>
      <w:r w:rsidRPr="005675B2">
        <w:rPr>
          <w:rFonts w:hint="cs"/>
          <w:rtl/>
        </w:rPr>
        <w:t xml:space="preserve"> يعظكم الله أن تعودوا لمثله أبدا إن كنتم مؤمنين</w:t>
      </w:r>
      <w:r w:rsidR="000636C2">
        <w:rPr>
          <w:rFonts w:hint="cs"/>
          <w:rtl/>
        </w:rPr>
        <w:t>،</w:t>
      </w:r>
      <w:r w:rsidRPr="005675B2">
        <w:rPr>
          <w:rFonts w:hint="cs"/>
          <w:rtl/>
        </w:rPr>
        <w:t xml:space="preserve"> وأدعو لنفسي وله بما يلى</w:t>
      </w:r>
      <w:r w:rsidR="000636C2">
        <w:rPr>
          <w:rFonts w:hint="cs"/>
          <w:rtl/>
        </w:rPr>
        <w:t>:</w:t>
      </w:r>
      <w:r w:rsidRPr="005675B2">
        <w:rPr>
          <w:rFonts w:hint="cs"/>
          <w:rtl/>
        </w:rPr>
        <w:t xml:space="preserve"> ربنا آتنا في الدنيا حسنة وفي الآخرة حسنة وقنا عذاب النار</w:t>
      </w:r>
      <w:r w:rsidR="000636C2">
        <w:rPr>
          <w:rFonts w:hint="cs"/>
          <w:rtl/>
        </w:rPr>
        <w:t>،</w:t>
      </w:r>
      <w:r w:rsidRPr="005675B2">
        <w:rPr>
          <w:rFonts w:hint="cs"/>
          <w:rtl/>
        </w:rPr>
        <w:t xml:space="preserve"> ربنا اغفر لنا ولإخواننا الذين سبقونا بالإيمان ولا تجعل في قلوبنا غلا للذين آمنوا ربنا إنك رؤوف رحيم</w:t>
      </w:r>
      <w:r w:rsidR="000636C2">
        <w:rPr>
          <w:rFonts w:hint="cs"/>
          <w:rtl/>
        </w:rPr>
        <w:t>،</w:t>
      </w:r>
      <w:r w:rsidRPr="005675B2">
        <w:rPr>
          <w:rFonts w:hint="cs"/>
          <w:rtl/>
        </w:rPr>
        <w:t xml:space="preserve"> اللهم أرنا الحق حقا وارزقنا اتباعه، وأرنا الباطل باطلا وارزقنا اجتنابه</w:t>
      </w:r>
      <w:r w:rsidR="000636C2">
        <w:rPr>
          <w:rFonts w:hint="cs"/>
          <w:rtl/>
        </w:rPr>
        <w:t>،</w:t>
      </w:r>
      <w:r w:rsidRPr="005675B2">
        <w:rPr>
          <w:rFonts w:hint="cs"/>
          <w:rtl/>
        </w:rPr>
        <w:t xml:space="preserve"> يا حي يا قيوم برحمتك استغيث أصلح لنا شؤننا كلها ولا تكلنا إلى أنفسنا طرفة عين</w:t>
      </w:r>
      <w:r w:rsidR="000636C2">
        <w:rPr>
          <w:rFonts w:hint="cs"/>
          <w:rtl/>
        </w:rPr>
        <w:t>،</w:t>
      </w:r>
      <w:r w:rsidRPr="005675B2">
        <w:rPr>
          <w:rFonts w:hint="cs"/>
          <w:rtl/>
        </w:rPr>
        <w:t xml:space="preserve"> والحمد لله رب العالمين</w:t>
      </w:r>
      <w:r w:rsidR="000636C2">
        <w:rPr>
          <w:rFonts w:hint="cs"/>
          <w:rtl/>
        </w:rPr>
        <w:t>،</w:t>
      </w:r>
      <w:r w:rsidRPr="005675B2">
        <w:rPr>
          <w:rFonts w:hint="cs"/>
          <w:rtl/>
        </w:rPr>
        <w:t xml:space="preserve"> وصلى الله على سيدنا محمد وعلى آله وصحبه وسلم</w:t>
      </w:r>
      <w:r w:rsidR="000636C2">
        <w:rPr>
          <w:rFonts w:hint="cs"/>
          <w:rtl/>
        </w:rPr>
        <w:t>]</w:t>
      </w:r>
      <w:r w:rsidRPr="005675B2">
        <w:rPr>
          <w:rFonts w:hint="cs"/>
          <w:rtl/>
        </w:rPr>
        <w:t xml:space="preserve">] انتهى من كتاب </w:t>
      </w:r>
      <w:r w:rsidRPr="005675B2">
        <w:rPr>
          <w:rtl/>
          <w:lang w:bidi="ar-KW"/>
        </w:rPr>
        <w:t>منهج الأشاعرة في العقيدة بين الحقائق والأوهام للشيخ محمد صالح الغرسي</w:t>
      </w:r>
      <w:r w:rsidRPr="005675B2">
        <w:rPr>
          <w:rtl/>
        </w:rPr>
        <w:t xml:space="preserve"> حفظه الله</w:t>
      </w:r>
      <w:r w:rsidR="000636C2">
        <w:rPr>
          <w:rFonts w:hint="cs"/>
          <w:rtl/>
        </w:rPr>
        <w:t>،</w:t>
      </w:r>
      <w:r w:rsidRPr="005675B2">
        <w:rPr>
          <w:rFonts w:hint="cs"/>
          <w:rtl/>
        </w:rPr>
        <w:t xml:space="preserve"> </w:t>
      </w:r>
    </w:p>
    <w:p w14:paraId="5B22E806" w14:textId="77777777" w:rsidR="009C32A0" w:rsidRPr="005675B2" w:rsidRDefault="009C32A0" w:rsidP="000636C2">
      <w:pPr>
        <w:jc w:val="center"/>
        <w:rPr>
          <w:rtl/>
        </w:rPr>
      </w:pPr>
      <w:r>
        <w:rPr>
          <w:rFonts w:hint="cs"/>
          <w:rtl/>
        </w:rPr>
        <w:t>***</w:t>
      </w:r>
    </w:p>
    <w:p w14:paraId="652C14AE" w14:textId="77777777" w:rsidR="009C32A0" w:rsidRPr="005675B2" w:rsidRDefault="009C32A0" w:rsidP="000636C2">
      <w:pPr>
        <w:rPr>
          <w:rtl/>
        </w:rPr>
      </w:pPr>
    </w:p>
    <w:p w14:paraId="672243A1" w14:textId="77777777" w:rsidR="009C32A0" w:rsidRPr="005675B2" w:rsidRDefault="009C32A0" w:rsidP="000636C2">
      <w:pPr>
        <w:rPr>
          <w:rtl/>
        </w:rPr>
      </w:pPr>
    </w:p>
    <w:p w14:paraId="28897153" w14:textId="77777777" w:rsidR="009C32A0" w:rsidRDefault="009C32A0" w:rsidP="000636C2">
      <w:pPr>
        <w:spacing w:after="240"/>
        <w:rPr>
          <w:rtl/>
        </w:rPr>
      </w:pPr>
    </w:p>
    <w:p w14:paraId="3BCD3DF7" w14:textId="77777777" w:rsidR="009C32A0" w:rsidRDefault="009C32A0" w:rsidP="000636C2">
      <w:pPr>
        <w:spacing w:after="240"/>
        <w:rPr>
          <w:rtl/>
        </w:rPr>
      </w:pPr>
    </w:p>
    <w:p w14:paraId="4BCF0B24" w14:textId="77777777" w:rsidR="009C32A0" w:rsidRPr="005675B2" w:rsidRDefault="009C32A0" w:rsidP="000636C2">
      <w:pPr>
        <w:spacing w:after="240"/>
        <w:rPr>
          <w:rtl/>
        </w:rPr>
      </w:pPr>
    </w:p>
    <w:p w14:paraId="5E2D15EC" w14:textId="06C3D2B4" w:rsidR="009C32A0" w:rsidRPr="00182D66" w:rsidRDefault="009C32A0" w:rsidP="00182D66">
      <w:pPr>
        <w:pStyle w:val="1"/>
        <w:rPr>
          <w:u w:val="none"/>
          <w:rtl/>
          <w:lang w:bidi="ar-KW"/>
        </w:rPr>
      </w:pPr>
      <w:r w:rsidRPr="00182D66">
        <w:rPr>
          <w:u w:val="none"/>
          <w:rtl/>
          <w:lang w:bidi="ar-KW"/>
        </w:rPr>
        <w:t xml:space="preserve">الملحق </w:t>
      </w:r>
      <w:r w:rsidRPr="00182D66">
        <w:rPr>
          <w:rFonts w:hint="cs"/>
          <w:u w:val="none"/>
          <w:rtl/>
          <w:lang w:bidi="ar-KW"/>
        </w:rPr>
        <w:t>الخامس</w:t>
      </w:r>
      <w:r w:rsidR="00627D1B" w:rsidRPr="00182D66">
        <w:rPr>
          <w:rFonts w:hint="cs"/>
          <w:u w:val="none"/>
          <w:rtl/>
          <w:lang w:bidi="ar-KW"/>
        </w:rPr>
        <w:t xml:space="preserve"> </w:t>
      </w:r>
      <w:r w:rsidRPr="00182D66">
        <w:rPr>
          <w:u w:val="none"/>
          <w:rtl/>
          <w:lang w:bidi="ar-KW"/>
        </w:rPr>
        <w:t>كتاب درر الألفاظ العوالي</w:t>
      </w:r>
      <w:r w:rsidR="00627D1B" w:rsidRPr="00182D66">
        <w:rPr>
          <w:rFonts w:hint="cs"/>
          <w:u w:val="none"/>
          <w:rtl/>
          <w:lang w:bidi="ar-KW"/>
        </w:rPr>
        <w:t xml:space="preserve"> </w:t>
      </w:r>
      <w:r w:rsidRPr="00182D66">
        <w:rPr>
          <w:u w:val="none"/>
          <w:rtl/>
          <w:lang w:bidi="ar-KW"/>
        </w:rPr>
        <w:t>في الرد على الموجان والحوالي</w:t>
      </w:r>
      <w:r w:rsidR="00627D1B" w:rsidRPr="00182D66">
        <w:rPr>
          <w:rFonts w:hint="cs"/>
          <w:u w:val="none"/>
          <w:rtl/>
          <w:lang w:bidi="ar-KW"/>
        </w:rPr>
        <w:t xml:space="preserve"> </w:t>
      </w:r>
      <w:r w:rsidRPr="00182D66">
        <w:rPr>
          <w:u w:val="none"/>
          <w:rtl/>
          <w:lang w:bidi="ar-KW"/>
        </w:rPr>
        <w:t>دفاع عن الأشاعرة</w:t>
      </w:r>
      <w:r w:rsidR="00627D1B" w:rsidRPr="00182D66">
        <w:rPr>
          <w:rFonts w:hint="cs"/>
          <w:u w:val="none"/>
          <w:rtl/>
          <w:lang w:bidi="ar-KW"/>
        </w:rPr>
        <w:t xml:space="preserve"> </w:t>
      </w:r>
      <w:r w:rsidRPr="00182D66">
        <w:rPr>
          <w:u w:val="none"/>
          <w:rtl/>
          <w:lang w:bidi="ar-KW"/>
        </w:rPr>
        <w:t>تأليف</w:t>
      </w:r>
      <w:r w:rsidR="000636C2" w:rsidRPr="00182D66">
        <w:rPr>
          <w:u w:val="none"/>
          <w:rtl/>
          <w:lang w:bidi="ar-KW"/>
        </w:rPr>
        <w:t>:</w:t>
      </w:r>
      <w:r w:rsidRPr="00182D66">
        <w:rPr>
          <w:u w:val="none"/>
          <w:rtl/>
          <w:lang w:bidi="ar-KW"/>
        </w:rPr>
        <w:t xml:space="preserve"> غيث بن عبدالله الغالبي</w:t>
      </w:r>
    </w:p>
    <w:p w14:paraId="0DADD7EA" w14:textId="77777777" w:rsidR="009C32A0" w:rsidRDefault="009C32A0" w:rsidP="000636C2">
      <w:pPr>
        <w:rPr>
          <w:bCs/>
          <w:rtl/>
          <w:lang w:bidi="ar-KW"/>
        </w:rPr>
      </w:pPr>
    </w:p>
    <w:p w14:paraId="6140F2F7" w14:textId="479CED64" w:rsidR="009C32A0" w:rsidRPr="005675B2" w:rsidRDefault="009C32A0" w:rsidP="000636C2">
      <w:pPr>
        <w:rPr>
          <w:b/>
          <w:rtl/>
        </w:rPr>
      </w:pPr>
      <w:r w:rsidRPr="005675B2">
        <w:rPr>
          <w:rFonts w:hint="cs"/>
          <w:bCs/>
          <w:rtl/>
          <w:lang w:bidi="ar-KW"/>
        </w:rPr>
        <w:t>قال الشيخ غيث بن عبدالله الغالبي في كتابه درر الألفاظ العوالي في الرد على الموجان والحوالي</w:t>
      </w:r>
      <w:r w:rsidR="000636C2">
        <w:rPr>
          <w:rFonts w:hint="cs"/>
          <w:bCs/>
          <w:rtl/>
          <w:lang w:bidi="ar-KW"/>
        </w:rPr>
        <w:t>:</w:t>
      </w:r>
      <w:r w:rsidRPr="005675B2">
        <w:rPr>
          <w:rFonts w:hint="cs"/>
          <w:bCs/>
          <w:rtl/>
          <w:lang w:bidi="ar-KW"/>
        </w:rPr>
        <w:t xml:space="preserve"> [</w:t>
      </w:r>
      <w:r w:rsidR="000636C2">
        <w:rPr>
          <w:rFonts w:hint="cs"/>
          <w:bCs/>
          <w:rtl/>
          <w:lang w:bidi="ar-KW"/>
        </w:rPr>
        <w:t>[</w:t>
      </w:r>
      <w:r w:rsidRPr="005675B2">
        <w:rPr>
          <w:rFonts w:hint="cs"/>
          <w:rtl/>
        </w:rPr>
        <w:t>الحمد لله نحمده</w:t>
      </w:r>
      <w:r w:rsidR="000636C2">
        <w:rPr>
          <w:rFonts w:hint="cs"/>
          <w:rtl/>
        </w:rPr>
        <w:t>،</w:t>
      </w:r>
      <w:r w:rsidRPr="005675B2">
        <w:rPr>
          <w:rFonts w:hint="cs"/>
          <w:rtl/>
        </w:rPr>
        <w:t>ونستعينه</w:t>
      </w:r>
      <w:r w:rsidR="000636C2">
        <w:rPr>
          <w:rFonts w:hint="cs"/>
          <w:rtl/>
        </w:rPr>
        <w:t>،</w:t>
      </w:r>
      <w:r w:rsidRPr="005675B2">
        <w:rPr>
          <w:rFonts w:hint="cs"/>
          <w:rtl/>
        </w:rPr>
        <w:t>ونستغفره، ونتوب إليه</w:t>
      </w:r>
      <w:r w:rsidR="000636C2">
        <w:rPr>
          <w:rFonts w:hint="cs"/>
          <w:rtl/>
        </w:rPr>
        <w:t>،</w:t>
      </w:r>
      <w:r w:rsidRPr="005675B2">
        <w:rPr>
          <w:rFonts w:hint="cs"/>
          <w:rtl/>
        </w:rPr>
        <w:t>ونعوذ بالله من شرور أنفسنا</w:t>
      </w:r>
      <w:r w:rsidR="000636C2">
        <w:rPr>
          <w:rFonts w:hint="cs"/>
          <w:rtl/>
        </w:rPr>
        <w:t>،</w:t>
      </w:r>
      <w:r w:rsidRPr="005675B2">
        <w:rPr>
          <w:rFonts w:hint="cs"/>
          <w:rtl/>
        </w:rPr>
        <w:t>ومن سيئات أعمالنا</w:t>
      </w:r>
      <w:r w:rsidR="000636C2">
        <w:rPr>
          <w:rFonts w:hint="cs"/>
          <w:rtl/>
        </w:rPr>
        <w:t xml:space="preserve"> </w:t>
      </w:r>
      <w:r w:rsidRPr="005675B2">
        <w:rPr>
          <w:rFonts w:hint="cs"/>
          <w:rtl/>
        </w:rPr>
        <w:t>والصلاة والسلام على سيدنا محمد وعلى آله وصحبه</w:t>
      </w:r>
      <w:r w:rsidR="000636C2">
        <w:rPr>
          <w:rFonts w:hint="cs"/>
          <w:rtl/>
        </w:rPr>
        <w:t>،</w:t>
      </w:r>
      <w:r w:rsidRPr="005675B2">
        <w:rPr>
          <w:rFonts w:hint="cs"/>
          <w:rtl/>
        </w:rPr>
        <w:t xml:space="preserve"> أما بعد</w:t>
      </w:r>
      <w:r w:rsidR="000636C2">
        <w:rPr>
          <w:rFonts w:hint="cs"/>
          <w:rtl/>
        </w:rPr>
        <w:t xml:space="preserve">: </w:t>
      </w:r>
      <w:r w:rsidRPr="005675B2">
        <w:rPr>
          <w:rFonts w:hint="cs"/>
          <w:rtl/>
        </w:rPr>
        <w:t>فقد سبق أن كتبت</w:t>
      </w:r>
      <w:r w:rsidR="000636C2">
        <w:rPr>
          <w:rFonts w:hint="cs"/>
          <w:rtl/>
        </w:rPr>
        <w:t xml:space="preserve"> </w:t>
      </w:r>
      <w:r w:rsidRPr="005675B2">
        <w:rPr>
          <w:rFonts w:hint="cs"/>
          <w:rtl/>
        </w:rPr>
        <w:t>من مدة طويلة رداً على الأخ الشيخ سفر الحوالي</w:t>
      </w:r>
      <w:r w:rsidR="000636C2">
        <w:rPr>
          <w:rFonts w:hint="cs"/>
          <w:rtl/>
        </w:rPr>
        <w:t>،</w:t>
      </w:r>
      <w:r w:rsidRPr="005675B2">
        <w:rPr>
          <w:rFonts w:hint="cs"/>
          <w:rtl/>
        </w:rPr>
        <w:t xml:space="preserve"> وتمنيت أن يكون ذلك الرد وافياً بالغرض</w:t>
      </w:r>
      <w:r w:rsidR="000636C2">
        <w:rPr>
          <w:rFonts w:hint="cs"/>
          <w:rtl/>
        </w:rPr>
        <w:t>،</w:t>
      </w:r>
      <w:r w:rsidRPr="005675B2">
        <w:rPr>
          <w:rFonts w:hint="cs"/>
          <w:rtl/>
        </w:rPr>
        <w:t xml:space="preserve"> وكنت اعتقد أن الأمر من أعوام مديدة</w:t>
      </w:r>
      <w:r w:rsidR="000636C2">
        <w:rPr>
          <w:rFonts w:hint="cs"/>
          <w:rtl/>
        </w:rPr>
        <w:t xml:space="preserve"> </w:t>
      </w:r>
      <w:r w:rsidRPr="005675B2">
        <w:rPr>
          <w:rFonts w:hint="cs"/>
          <w:rtl/>
        </w:rPr>
        <w:t>إلى يومنا هذا سيكون للأفضل</w:t>
      </w:r>
      <w:r w:rsidR="000636C2">
        <w:rPr>
          <w:rFonts w:hint="cs"/>
          <w:rtl/>
        </w:rPr>
        <w:t>،</w:t>
      </w:r>
      <w:r w:rsidRPr="005675B2">
        <w:rPr>
          <w:rFonts w:hint="cs"/>
          <w:rtl/>
        </w:rPr>
        <w:t xml:space="preserve"> ولكن للأسف فلا زال هناك من طلبة العلم</w:t>
      </w:r>
      <w:r w:rsidR="000636C2">
        <w:rPr>
          <w:rFonts w:hint="cs"/>
          <w:rtl/>
        </w:rPr>
        <w:t xml:space="preserve"> </w:t>
      </w:r>
      <w:r w:rsidRPr="005675B2">
        <w:rPr>
          <w:rFonts w:hint="cs"/>
          <w:rtl/>
        </w:rPr>
        <w:t>في بعض البلاد</w:t>
      </w:r>
      <w:r w:rsidR="000636C2">
        <w:rPr>
          <w:rFonts w:hint="cs"/>
          <w:rtl/>
        </w:rPr>
        <w:t xml:space="preserve"> </w:t>
      </w:r>
      <w:r w:rsidRPr="005675B2">
        <w:rPr>
          <w:rFonts w:hint="cs"/>
          <w:rtl/>
        </w:rPr>
        <w:t>من لا يريد أن ينصف من نفسه</w:t>
      </w:r>
      <w:r w:rsidR="000636C2">
        <w:rPr>
          <w:rFonts w:hint="cs"/>
          <w:rtl/>
        </w:rPr>
        <w:t>،</w:t>
      </w:r>
      <w:r w:rsidRPr="005675B2">
        <w:rPr>
          <w:rFonts w:hint="cs"/>
          <w:rtl/>
        </w:rPr>
        <w:t>ولا أن يعود عن خطأه</w:t>
      </w:r>
      <w:r w:rsidR="000636C2">
        <w:rPr>
          <w:rFonts w:hint="cs"/>
          <w:rtl/>
        </w:rPr>
        <w:t>،</w:t>
      </w:r>
      <w:r w:rsidRPr="005675B2">
        <w:rPr>
          <w:rFonts w:hint="cs"/>
          <w:rtl/>
        </w:rPr>
        <w:t xml:space="preserve"> بل كأن طلبة العلم مغيبون عن الحقائق العلمية</w:t>
      </w:r>
      <w:r w:rsidR="000636C2">
        <w:rPr>
          <w:rFonts w:hint="cs"/>
          <w:rtl/>
        </w:rPr>
        <w:t>،</w:t>
      </w:r>
      <w:r w:rsidRPr="005675B2">
        <w:rPr>
          <w:rFonts w:hint="cs"/>
          <w:rtl/>
        </w:rPr>
        <w:t xml:space="preserve"> وغارقون فيما لا ينفعهم</w:t>
      </w:r>
      <w:r w:rsidR="000636C2">
        <w:rPr>
          <w:rFonts w:hint="cs"/>
          <w:rtl/>
        </w:rPr>
        <w:t>،</w:t>
      </w:r>
      <w:r w:rsidRPr="005675B2">
        <w:rPr>
          <w:rFonts w:hint="cs"/>
          <w:rtl/>
        </w:rPr>
        <w:t xml:space="preserve"> والأمة تتكالب عليها الأمم من سائر الجهات</w:t>
      </w:r>
      <w:r w:rsidR="000636C2">
        <w:rPr>
          <w:rFonts w:hint="cs"/>
          <w:rtl/>
        </w:rPr>
        <w:t>،</w:t>
      </w:r>
      <w:r w:rsidRPr="005675B2">
        <w:rPr>
          <w:rFonts w:hint="cs"/>
          <w:rtl/>
        </w:rPr>
        <w:t xml:space="preserve"> في عقائدنا</w:t>
      </w:r>
      <w:r w:rsidR="000636C2">
        <w:rPr>
          <w:rFonts w:hint="cs"/>
          <w:rtl/>
        </w:rPr>
        <w:t>،</w:t>
      </w:r>
      <w:r w:rsidRPr="005675B2">
        <w:rPr>
          <w:rFonts w:hint="cs"/>
          <w:rtl/>
        </w:rPr>
        <w:t>وثوابتنا</w:t>
      </w:r>
      <w:r w:rsidR="000636C2">
        <w:rPr>
          <w:rFonts w:hint="cs"/>
          <w:rtl/>
        </w:rPr>
        <w:t>،</w:t>
      </w:r>
      <w:r w:rsidRPr="005675B2">
        <w:rPr>
          <w:rFonts w:hint="cs"/>
          <w:rtl/>
        </w:rPr>
        <w:t xml:space="preserve"> ومساجدنا فإلى الله المشتكى</w:t>
      </w:r>
      <w:r w:rsidR="000636C2">
        <w:rPr>
          <w:rFonts w:hint="cs"/>
          <w:rtl/>
        </w:rPr>
        <w:t>،</w:t>
      </w:r>
      <w:r w:rsidRPr="005675B2">
        <w:rPr>
          <w:rFonts w:hint="cs"/>
          <w:rtl/>
        </w:rPr>
        <w:t xml:space="preserve"> ورغبة مني في إيصال الحقيقة كما هي قررت إعادة نشر هذا المكتوب مرة أخرى لمن كان له قلب</w:t>
      </w:r>
      <w:r w:rsidR="000636C2">
        <w:rPr>
          <w:rFonts w:hint="cs"/>
          <w:rtl/>
        </w:rPr>
        <w:t>،</w:t>
      </w:r>
      <w:r w:rsidRPr="005675B2">
        <w:rPr>
          <w:rFonts w:hint="cs"/>
          <w:rtl/>
        </w:rPr>
        <w:t>وإقبال على معرفة الحق</w:t>
      </w:r>
      <w:r w:rsidR="000636C2">
        <w:rPr>
          <w:rFonts w:hint="cs"/>
          <w:rtl/>
        </w:rPr>
        <w:t>،</w:t>
      </w:r>
      <w:r w:rsidRPr="005675B2">
        <w:rPr>
          <w:rFonts w:hint="cs"/>
          <w:rtl/>
        </w:rPr>
        <w:t xml:space="preserve"> خصوصاً بعد أن رأيت في شهر رمضان المبارك أثناء زيارتي إلى تلك الديار المباركة كتاباً</w:t>
      </w:r>
      <w:r w:rsidR="000636C2">
        <w:rPr>
          <w:rFonts w:hint="cs"/>
          <w:rtl/>
        </w:rPr>
        <w:t xml:space="preserve"> </w:t>
      </w:r>
      <w:r w:rsidRPr="005675B2">
        <w:rPr>
          <w:rFonts w:hint="cs"/>
          <w:rtl/>
        </w:rPr>
        <w:t>للشيخ عبدالله الموجان عفا الله عنه</w:t>
      </w:r>
      <w:r w:rsidR="000636C2">
        <w:rPr>
          <w:rFonts w:hint="cs"/>
          <w:rtl/>
        </w:rPr>
        <w:t>،</w:t>
      </w:r>
      <w:r w:rsidRPr="005675B2">
        <w:rPr>
          <w:rFonts w:hint="cs"/>
          <w:rtl/>
        </w:rPr>
        <w:t xml:space="preserve"> فدفعني ذلك إلى تصحيح وبيان ما يمكن بيانه</w:t>
      </w:r>
      <w:r w:rsidR="000636C2">
        <w:rPr>
          <w:rFonts w:hint="cs"/>
          <w:rtl/>
        </w:rPr>
        <w:t>،</w:t>
      </w:r>
      <w:r w:rsidRPr="005675B2">
        <w:rPr>
          <w:rFonts w:hint="cs"/>
          <w:rtl/>
        </w:rPr>
        <w:t xml:space="preserve"> والهداية بيد الله وحده عليه توكلت</w:t>
      </w:r>
      <w:r w:rsidR="000636C2">
        <w:rPr>
          <w:rFonts w:hint="cs"/>
          <w:rtl/>
        </w:rPr>
        <w:t>،</w:t>
      </w:r>
      <w:r w:rsidRPr="005675B2">
        <w:rPr>
          <w:rFonts w:hint="cs"/>
          <w:rtl/>
        </w:rPr>
        <w:t>وإليه أنيب</w:t>
      </w:r>
      <w:r w:rsidR="000636C2">
        <w:rPr>
          <w:rFonts w:hint="cs"/>
          <w:rtl/>
        </w:rPr>
        <w:t>،</w:t>
      </w:r>
      <w:r w:rsidRPr="005675B2">
        <w:rPr>
          <w:rFonts w:hint="cs"/>
          <w:rtl/>
        </w:rPr>
        <w:t xml:space="preserve"> وقد زدت</w:t>
      </w:r>
      <w:r w:rsidR="000636C2">
        <w:rPr>
          <w:rFonts w:hint="cs"/>
          <w:rtl/>
        </w:rPr>
        <w:t xml:space="preserve"> </w:t>
      </w:r>
      <w:r w:rsidRPr="005675B2">
        <w:rPr>
          <w:rFonts w:hint="cs"/>
          <w:rtl/>
        </w:rPr>
        <w:t>في بعض المواضع بما يناسب التطورات الحالية</w:t>
      </w:r>
      <w:r w:rsidR="000636C2">
        <w:rPr>
          <w:rFonts w:hint="cs"/>
          <w:rtl/>
        </w:rPr>
        <w:t>،</w:t>
      </w:r>
      <w:r w:rsidRPr="005675B2">
        <w:rPr>
          <w:rFonts w:hint="cs"/>
          <w:rtl/>
        </w:rPr>
        <w:t xml:space="preserve"> وزدت في النقل والتوثيق</w:t>
      </w:r>
      <w:r w:rsidR="000636C2">
        <w:rPr>
          <w:rFonts w:hint="cs"/>
          <w:rtl/>
        </w:rPr>
        <w:t>،</w:t>
      </w:r>
      <w:r w:rsidRPr="005675B2">
        <w:rPr>
          <w:rFonts w:hint="cs"/>
          <w:rtl/>
        </w:rPr>
        <w:t>وزدت ما رأيته مفيداً من بعض الكتب التي ألفت حديثاً</w:t>
      </w:r>
      <w:r w:rsidR="000636C2">
        <w:rPr>
          <w:rFonts w:hint="cs"/>
          <w:rtl/>
        </w:rPr>
        <w:t>،</w:t>
      </w:r>
      <w:r w:rsidRPr="005675B2">
        <w:rPr>
          <w:rFonts w:hint="cs"/>
          <w:rtl/>
        </w:rPr>
        <w:t>ككتاب الأشاعرة ودعاوى المناوئين،وكتاب أهل السنة الأشاعرة</w:t>
      </w:r>
      <w:r w:rsidR="000636C2">
        <w:rPr>
          <w:rFonts w:hint="cs"/>
          <w:rtl/>
        </w:rPr>
        <w:t>،</w:t>
      </w:r>
      <w:r w:rsidRPr="005675B2">
        <w:rPr>
          <w:rFonts w:hint="cs"/>
          <w:rtl/>
        </w:rPr>
        <w:t>وغيرهما</w:t>
      </w:r>
      <w:r w:rsidR="000636C2">
        <w:rPr>
          <w:rFonts w:hint="cs"/>
          <w:rtl/>
        </w:rPr>
        <w:t>،</w:t>
      </w:r>
      <w:r w:rsidRPr="005675B2">
        <w:rPr>
          <w:rFonts w:hint="cs"/>
          <w:rtl/>
        </w:rPr>
        <w:t xml:space="preserve"> وحذفت بعض الأشياء التي تغيرت إلى الأفضل</w:t>
      </w:r>
      <w:r w:rsidR="000636C2">
        <w:rPr>
          <w:rFonts w:hint="cs"/>
          <w:rtl/>
        </w:rPr>
        <w:t>،</w:t>
      </w:r>
      <w:r w:rsidRPr="005675B2">
        <w:rPr>
          <w:rFonts w:hint="cs"/>
          <w:rtl/>
        </w:rPr>
        <w:t xml:space="preserve"> وأصل الرد هنا على رسالة الشيخ الحوالي</w:t>
      </w:r>
      <w:r w:rsidR="000636C2">
        <w:rPr>
          <w:rFonts w:hint="cs"/>
          <w:rtl/>
        </w:rPr>
        <w:t>،</w:t>
      </w:r>
      <w:r w:rsidRPr="005675B2">
        <w:rPr>
          <w:rFonts w:hint="cs"/>
          <w:rtl/>
        </w:rPr>
        <w:t>وأما الموجان فالرد عليه</w:t>
      </w:r>
      <w:r w:rsidR="000636C2">
        <w:rPr>
          <w:rFonts w:hint="cs"/>
          <w:rtl/>
        </w:rPr>
        <w:t xml:space="preserve"> </w:t>
      </w:r>
      <w:r w:rsidRPr="005675B2">
        <w:rPr>
          <w:rFonts w:hint="cs"/>
          <w:rtl/>
        </w:rPr>
        <w:t>تبعاً</w:t>
      </w:r>
      <w:r w:rsidR="000636C2">
        <w:rPr>
          <w:rFonts w:hint="cs"/>
          <w:rtl/>
        </w:rPr>
        <w:t xml:space="preserve"> </w:t>
      </w:r>
      <w:r w:rsidRPr="005675B2">
        <w:rPr>
          <w:rFonts w:hint="cs"/>
          <w:rtl/>
        </w:rPr>
        <w:t>في مسائل عديدة</w:t>
      </w:r>
      <w:r w:rsidR="000636C2">
        <w:rPr>
          <w:rFonts w:hint="cs"/>
          <w:rtl/>
        </w:rPr>
        <w:t>،</w:t>
      </w:r>
      <w:r w:rsidRPr="005675B2">
        <w:rPr>
          <w:rFonts w:hint="cs"/>
          <w:rtl/>
        </w:rPr>
        <w:t xml:space="preserve"> ونسأل الله للجميع الهداية</w:t>
      </w:r>
      <w:r w:rsidR="000636C2">
        <w:rPr>
          <w:rFonts w:hint="cs"/>
          <w:rtl/>
        </w:rPr>
        <w:t>،</w:t>
      </w:r>
      <w:r w:rsidRPr="005675B2">
        <w:rPr>
          <w:rFonts w:hint="cs"/>
          <w:rtl/>
        </w:rPr>
        <w:t>وصلى الله وسلم على سيدنا محمد وآله وصحبه</w:t>
      </w:r>
      <w:r w:rsidR="000636C2">
        <w:rPr>
          <w:rFonts w:hint="cs"/>
          <w:rtl/>
        </w:rPr>
        <w:t>،</w:t>
      </w:r>
    </w:p>
    <w:p w14:paraId="13B5DF1A" w14:textId="7EF7CCB8" w:rsidR="009C32A0" w:rsidRPr="005675B2" w:rsidRDefault="009C32A0" w:rsidP="000636C2">
      <w:pPr>
        <w:rPr>
          <w:b/>
          <w:rtl/>
        </w:rPr>
      </w:pPr>
      <w:r w:rsidRPr="005675B2">
        <w:rPr>
          <w:rFonts w:hint="cs"/>
          <w:bCs/>
          <w:rtl/>
        </w:rPr>
        <w:t>مقدمة</w:t>
      </w:r>
      <w:r w:rsidR="000636C2">
        <w:rPr>
          <w:rFonts w:hint="cs"/>
          <w:bCs/>
          <w:rtl/>
        </w:rPr>
        <w:t xml:space="preserve"> </w:t>
      </w:r>
      <w:r w:rsidRPr="005675B2">
        <w:rPr>
          <w:rFonts w:hint="cs"/>
          <w:bCs/>
          <w:rtl/>
        </w:rPr>
        <w:t>الإصدار</w:t>
      </w:r>
      <w:r w:rsidR="000636C2">
        <w:rPr>
          <w:rFonts w:hint="cs"/>
          <w:bCs/>
          <w:rtl/>
        </w:rPr>
        <w:t xml:space="preserve"> </w:t>
      </w:r>
      <w:r w:rsidRPr="005675B2">
        <w:rPr>
          <w:rFonts w:hint="cs"/>
          <w:bCs/>
          <w:rtl/>
        </w:rPr>
        <w:t>الأول</w:t>
      </w:r>
      <w:r w:rsidR="000636C2">
        <w:rPr>
          <w:rFonts w:hint="cs"/>
          <w:rtl/>
        </w:rPr>
        <w:t>:</w:t>
      </w:r>
      <w:r w:rsidRPr="005675B2">
        <w:rPr>
          <w:rFonts w:hint="cs"/>
          <w:rtl/>
        </w:rPr>
        <w:t xml:space="preserve"> قال الله تعالى</w:t>
      </w:r>
      <w:r w:rsidR="000636C2">
        <w:rPr>
          <w:rFonts w:hint="cs"/>
          <w:rtl/>
        </w:rPr>
        <w:t>:</w:t>
      </w:r>
      <w:r w:rsidRPr="005675B2">
        <w:rPr>
          <w:rFonts w:hint="cs"/>
          <w:rtl/>
          <w:lang w:bidi="ar-KW"/>
        </w:rPr>
        <w:t xml:space="preserve"> </w:t>
      </w:r>
      <w:r w:rsidR="000636C2">
        <w:rPr>
          <w:rFonts w:hint="cs"/>
          <w:rtl/>
          <w:lang w:bidi="ar-KW"/>
        </w:rPr>
        <w:t>{</w:t>
      </w:r>
      <w:r w:rsidRPr="005675B2">
        <w:rPr>
          <w:rFonts w:hint="cs"/>
          <w:rtl/>
        </w:rPr>
        <w:t>ومن أحسن قولاً ممّن دعا إلى الله وعمل صالحاً</w:t>
      </w:r>
      <w:r w:rsidRPr="005675B2">
        <w:rPr>
          <w:rFonts w:hint="cs"/>
        </w:rPr>
        <w:t xml:space="preserve"> </w:t>
      </w:r>
      <w:r w:rsidRPr="005675B2">
        <w:rPr>
          <w:rFonts w:hint="cs"/>
          <w:rtl/>
        </w:rPr>
        <w:t>وقال إنّني من المسلمين</w:t>
      </w:r>
      <w:r w:rsidR="000636C2">
        <w:rPr>
          <w:rFonts w:hint="cs"/>
          <w:rtl/>
        </w:rPr>
        <w:t>}</w:t>
      </w:r>
      <w:r w:rsidRPr="005675B2">
        <w:rPr>
          <w:rFonts w:hint="cs"/>
          <w:rtl/>
        </w:rPr>
        <w:t xml:space="preserve"> إن من أعظم الواجبات الملقاة على عواتق</w:t>
      </w:r>
      <w:r w:rsidRPr="005675B2">
        <w:rPr>
          <w:rFonts w:hint="cs"/>
        </w:rPr>
        <w:t xml:space="preserve"> </w:t>
      </w:r>
      <w:r w:rsidRPr="005675B2">
        <w:rPr>
          <w:rFonts w:hint="cs"/>
          <w:rtl/>
        </w:rPr>
        <w:t>العلماء، والكتاب، وقادة الأُمّة</w:t>
      </w:r>
      <w:r w:rsidR="000636C2">
        <w:rPr>
          <w:rFonts w:hint="cs"/>
          <w:rtl/>
        </w:rPr>
        <w:t xml:space="preserve"> </w:t>
      </w:r>
      <w:r w:rsidRPr="005675B2">
        <w:rPr>
          <w:rFonts w:hint="cs"/>
          <w:rtl/>
        </w:rPr>
        <w:t>في هذا العصر وكل عصر أن يخلصوا نيّاتهم، وينزّهوا أقلامهم عن كل ما يورث الوهن، والفشل ويؤدي إلى الضعف في صفوف المسلمين، وأن يتّقوا الله فيما يقولون</w:t>
      </w:r>
      <w:r w:rsidR="000636C2">
        <w:rPr>
          <w:rFonts w:hint="cs"/>
          <w:rtl/>
        </w:rPr>
        <w:t>،</w:t>
      </w:r>
      <w:r w:rsidRPr="005675B2">
        <w:rPr>
          <w:rFonts w:hint="cs"/>
          <w:rtl/>
        </w:rPr>
        <w:t xml:space="preserve"> فلا يكتموا الحق</w:t>
      </w:r>
      <w:r w:rsidR="000636C2">
        <w:rPr>
          <w:rFonts w:hint="cs"/>
          <w:rtl/>
        </w:rPr>
        <w:t>،</w:t>
      </w:r>
      <w:r w:rsidRPr="005675B2">
        <w:rPr>
          <w:rFonts w:hint="cs"/>
          <w:rtl/>
        </w:rPr>
        <w:t xml:space="preserve"> ولاينشروا الأباطيل، التي تثير</w:t>
      </w:r>
      <w:r w:rsidR="000636C2">
        <w:rPr>
          <w:rFonts w:hint="cs"/>
          <w:rtl/>
        </w:rPr>
        <w:t xml:space="preserve"> </w:t>
      </w:r>
      <w:r w:rsidRPr="005675B2">
        <w:rPr>
          <w:rFonts w:hint="cs"/>
          <w:rtl/>
        </w:rPr>
        <w:t>العصبيات البغيضة الممزّقة</w:t>
      </w:r>
      <w:r w:rsidR="000636C2">
        <w:rPr>
          <w:rFonts w:hint="cs"/>
          <w:rtl/>
        </w:rPr>
        <w:t xml:space="preserve"> </w:t>
      </w:r>
      <w:r w:rsidRPr="005675B2">
        <w:rPr>
          <w:rFonts w:hint="cs"/>
          <w:rtl/>
        </w:rPr>
        <w:t>للأمّة بدون وجه حق، بل هي أفتراءات</w:t>
      </w:r>
      <w:r w:rsidR="000636C2">
        <w:rPr>
          <w:rFonts w:hint="cs"/>
          <w:rtl/>
        </w:rPr>
        <w:t xml:space="preserve"> </w:t>
      </w:r>
      <w:r w:rsidRPr="005675B2">
        <w:rPr>
          <w:rFonts w:hint="cs"/>
          <w:rtl/>
        </w:rPr>
        <w:t>لا رصيد لها من الواقع</w:t>
      </w:r>
      <w:r w:rsidR="000636C2">
        <w:rPr>
          <w:rFonts w:hint="cs"/>
          <w:rtl/>
        </w:rPr>
        <w:t>،</w:t>
      </w:r>
      <w:r w:rsidRPr="005675B2">
        <w:rPr>
          <w:rFonts w:hint="cs"/>
          <w:rtl/>
        </w:rPr>
        <w:t xml:space="preserve"> وقد دفعت</w:t>
      </w:r>
      <w:r w:rsidR="000636C2">
        <w:rPr>
          <w:rFonts w:hint="cs"/>
          <w:rtl/>
        </w:rPr>
        <w:t xml:space="preserve"> </w:t>
      </w:r>
      <w:r w:rsidRPr="005675B2">
        <w:rPr>
          <w:rFonts w:hint="cs"/>
          <w:rtl/>
        </w:rPr>
        <w:t>الجهلاء إلى تنمية التباغض والصّدام، وفعل ما</w:t>
      </w:r>
      <w:r w:rsidRPr="005675B2">
        <w:rPr>
          <w:rFonts w:hint="cs"/>
        </w:rPr>
        <w:t xml:space="preserve"> </w:t>
      </w:r>
      <w:r w:rsidRPr="005675B2">
        <w:rPr>
          <w:rFonts w:hint="cs"/>
          <w:rtl/>
        </w:rPr>
        <w:t>لايرضي الخالق</w:t>
      </w:r>
      <w:r w:rsidR="000636C2">
        <w:rPr>
          <w:rFonts w:hint="cs"/>
          <w:rtl/>
        </w:rPr>
        <w:t xml:space="preserve"> </w:t>
      </w:r>
      <w:r w:rsidRPr="005675B2">
        <w:rPr>
          <w:rFonts w:hint="cs"/>
          <w:rtl/>
        </w:rPr>
        <w:t>العلام</w:t>
      </w:r>
      <w:r w:rsidR="000636C2">
        <w:rPr>
          <w:rFonts w:hint="cs"/>
          <w:rtl/>
        </w:rPr>
        <w:t>،</w:t>
      </w:r>
      <w:r w:rsidRPr="005675B2">
        <w:rPr>
          <w:rFonts w:hint="cs"/>
          <w:rtl/>
        </w:rPr>
        <w:t xml:space="preserve"> ولا يسر من عنده أدنى فقه بواقع الحال</w:t>
      </w:r>
      <w:r w:rsidR="000636C2">
        <w:rPr>
          <w:rFonts w:hint="cs"/>
          <w:rtl/>
        </w:rPr>
        <w:t xml:space="preserve">، </w:t>
      </w:r>
      <w:r w:rsidRPr="005675B2">
        <w:rPr>
          <w:rFonts w:hint="cs"/>
          <w:rtl/>
        </w:rPr>
        <w:t>ولابد لأصحاب</w:t>
      </w:r>
      <w:r w:rsidR="000636C2">
        <w:rPr>
          <w:rFonts w:hint="cs"/>
          <w:rtl/>
        </w:rPr>
        <w:t xml:space="preserve"> </w:t>
      </w:r>
      <w:r w:rsidRPr="005675B2">
        <w:rPr>
          <w:rFonts w:hint="cs"/>
          <w:rtl/>
        </w:rPr>
        <w:t>العلم أن ينتهجوا أُسلوب الأنبياء عليهم السّلام في</w:t>
      </w:r>
      <w:r w:rsidRPr="005675B2">
        <w:rPr>
          <w:rFonts w:hint="cs"/>
        </w:rPr>
        <w:t xml:space="preserve"> </w:t>
      </w:r>
      <w:r w:rsidRPr="005675B2">
        <w:rPr>
          <w:rFonts w:hint="cs"/>
          <w:rtl/>
        </w:rPr>
        <w:t>المناقشة</w:t>
      </w:r>
      <w:r w:rsidR="000636C2">
        <w:rPr>
          <w:rFonts w:hint="cs"/>
          <w:rtl/>
        </w:rPr>
        <w:t>،</w:t>
      </w:r>
      <w:r w:rsidRPr="005675B2">
        <w:rPr>
          <w:rFonts w:hint="cs"/>
          <w:rtl/>
        </w:rPr>
        <w:t xml:space="preserve"> والجدال</w:t>
      </w:r>
      <w:r w:rsidR="000636C2">
        <w:rPr>
          <w:rFonts w:hint="cs"/>
          <w:rtl/>
        </w:rPr>
        <w:t>،</w:t>
      </w:r>
      <w:r w:rsidRPr="005675B2">
        <w:rPr>
          <w:rFonts w:hint="cs"/>
          <w:rtl/>
        </w:rPr>
        <w:t>والدّعوة إلى الحق ؛على ضوء ما أدّبنا</w:t>
      </w:r>
      <w:r w:rsidR="000636C2">
        <w:rPr>
          <w:rFonts w:hint="cs"/>
          <w:rtl/>
        </w:rPr>
        <w:t xml:space="preserve"> </w:t>
      </w:r>
      <w:r w:rsidRPr="005675B2">
        <w:rPr>
          <w:rFonts w:hint="cs"/>
          <w:rtl/>
        </w:rPr>
        <w:t>به المولى - عزوجل -</w:t>
      </w:r>
      <w:r w:rsidR="000636C2">
        <w:rPr>
          <w:rFonts w:hint="cs"/>
          <w:rtl/>
        </w:rPr>
        <w:t xml:space="preserve"> </w:t>
      </w:r>
      <w:r w:rsidRPr="005675B2">
        <w:rPr>
          <w:rFonts w:hint="cs"/>
          <w:rtl/>
        </w:rPr>
        <w:t>في كتابه العزيز حيث</w:t>
      </w:r>
      <w:r w:rsidRPr="005675B2">
        <w:rPr>
          <w:rFonts w:hint="cs"/>
        </w:rPr>
        <w:t xml:space="preserve"> </w:t>
      </w:r>
      <w:r w:rsidRPr="005675B2">
        <w:rPr>
          <w:rFonts w:hint="cs"/>
          <w:rtl/>
        </w:rPr>
        <w:t>قال تعالى</w:t>
      </w:r>
      <w:r w:rsidR="000636C2">
        <w:rPr>
          <w:rFonts w:hint="cs"/>
          <w:rtl/>
        </w:rPr>
        <w:t>:</w:t>
      </w:r>
      <w:r w:rsidRPr="005675B2">
        <w:rPr>
          <w:rFonts w:hint="cs"/>
        </w:rPr>
        <w:t xml:space="preserve"> </w:t>
      </w:r>
      <w:r w:rsidR="000636C2">
        <w:rPr>
          <w:rFonts w:hint="cs"/>
          <w:rtl/>
        </w:rPr>
        <w:t>{</w:t>
      </w:r>
      <w:r w:rsidRPr="005675B2">
        <w:rPr>
          <w:rFonts w:hint="cs"/>
          <w:rtl/>
        </w:rPr>
        <w:t>ولا تجادلوا أهل الكتاب إلا بالّتي هي أحسن(</w:t>
      </w:r>
      <w:r w:rsidR="000636C2">
        <w:rPr>
          <w:rFonts w:hint="cs"/>
          <w:rtl/>
        </w:rPr>
        <w:t>(</w:t>
      </w:r>
      <w:r w:rsidRPr="005675B2">
        <w:rPr>
          <w:rFonts w:hint="cs"/>
          <w:rtl/>
        </w:rPr>
        <w:t>وقال سبحانه (</w:t>
      </w:r>
      <w:r w:rsidR="000636C2">
        <w:rPr>
          <w:rFonts w:hint="cs"/>
          <w:rtl/>
        </w:rPr>
        <w:t>(</w:t>
      </w:r>
      <w:r w:rsidRPr="005675B2">
        <w:rPr>
          <w:rFonts w:hint="cs"/>
          <w:rtl/>
        </w:rPr>
        <w:t>ادع إلى سبيل ربك بالحكمة والموعظة الحسنة وجادلهم</w:t>
      </w:r>
      <w:r w:rsidRPr="005675B2">
        <w:rPr>
          <w:rFonts w:hint="cs"/>
        </w:rPr>
        <w:t xml:space="preserve"> </w:t>
      </w:r>
      <w:r w:rsidRPr="005675B2">
        <w:rPr>
          <w:rFonts w:hint="cs"/>
          <w:rtl/>
        </w:rPr>
        <w:t>بالتي هي أحسن</w:t>
      </w:r>
      <w:r w:rsidR="000636C2">
        <w:rPr>
          <w:rFonts w:hint="cs"/>
          <w:rtl/>
        </w:rPr>
        <w:t>}،</w:t>
      </w:r>
      <w:r w:rsidRPr="005675B2">
        <w:rPr>
          <w:rFonts w:hint="cs"/>
          <w:rtl/>
        </w:rPr>
        <w:t xml:space="preserve"> وقد اطلعت على رسالة للأخ الشيخ - سفر الحوالي -</w:t>
      </w:r>
      <w:r w:rsidR="000636C2">
        <w:rPr>
          <w:rFonts w:hint="cs"/>
          <w:rtl/>
        </w:rPr>
        <w:t xml:space="preserve"> </w:t>
      </w:r>
      <w:r w:rsidRPr="005675B2">
        <w:rPr>
          <w:rFonts w:hint="cs"/>
          <w:rtl/>
        </w:rPr>
        <w:t>كان</w:t>
      </w:r>
      <w:r w:rsidR="000636C2">
        <w:rPr>
          <w:rFonts w:hint="cs"/>
          <w:rtl/>
        </w:rPr>
        <w:t xml:space="preserve"> </w:t>
      </w:r>
      <w:r w:rsidRPr="005675B2">
        <w:rPr>
          <w:rFonts w:hint="cs"/>
          <w:rtl/>
        </w:rPr>
        <w:t>الغرض منها</w:t>
      </w:r>
      <w:r w:rsidR="000636C2">
        <w:rPr>
          <w:rFonts w:hint="cs"/>
          <w:rtl/>
        </w:rPr>
        <w:t>:</w:t>
      </w:r>
      <w:r w:rsidRPr="005675B2">
        <w:rPr>
          <w:rFonts w:hint="cs"/>
          <w:rtl/>
        </w:rPr>
        <w:t>نقد السادة الأشاعرة ..وقد خرج الشيخ الحوالي من رسالته بنتيجة مفادها</w:t>
      </w:r>
      <w:r w:rsidR="000636C2">
        <w:rPr>
          <w:rFonts w:hint="cs"/>
          <w:rtl/>
        </w:rPr>
        <w:t>:</w:t>
      </w:r>
      <w:r w:rsidRPr="005675B2">
        <w:rPr>
          <w:rFonts w:hint="cs"/>
          <w:rtl/>
        </w:rPr>
        <w:t>كون الأشاعرة - رحمهم الله -</w:t>
      </w:r>
      <w:r w:rsidR="000636C2">
        <w:rPr>
          <w:rFonts w:hint="cs"/>
          <w:rtl/>
        </w:rPr>
        <w:t xml:space="preserve"> </w:t>
      </w:r>
      <w:r w:rsidRPr="005675B2">
        <w:rPr>
          <w:rFonts w:hint="cs"/>
          <w:u w:val="single"/>
          <w:rtl/>
        </w:rPr>
        <w:t>مبتدعة ضلال</w:t>
      </w:r>
      <w:r w:rsidR="000636C2">
        <w:rPr>
          <w:rFonts w:hint="cs"/>
          <w:u w:val="single"/>
          <w:rtl/>
        </w:rPr>
        <w:t>،</w:t>
      </w:r>
      <w:r w:rsidRPr="005675B2">
        <w:rPr>
          <w:rFonts w:hint="cs"/>
          <w:u w:val="single"/>
          <w:rtl/>
        </w:rPr>
        <w:t>ومتوعدون بالنار</w:t>
      </w:r>
      <w:r w:rsidR="000636C2">
        <w:rPr>
          <w:rFonts w:hint="cs"/>
          <w:u w:val="single"/>
          <w:rtl/>
        </w:rPr>
        <w:t>،</w:t>
      </w:r>
      <w:r w:rsidRPr="005675B2">
        <w:rPr>
          <w:rFonts w:hint="cs"/>
          <w:u w:val="single"/>
          <w:rtl/>
        </w:rPr>
        <w:t>وليسوا من الفرقة الناجية</w:t>
      </w:r>
      <w:r w:rsidR="000636C2">
        <w:rPr>
          <w:rFonts w:hint="cs"/>
          <w:rtl/>
        </w:rPr>
        <w:t>،</w:t>
      </w:r>
      <w:r w:rsidRPr="005675B2">
        <w:rPr>
          <w:rFonts w:hint="cs"/>
          <w:rtl/>
        </w:rPr>
        <w:t xml:space="preserve"> وقد كانت هذه النتيجة حتمية</w:t>
      </w:r>
      <w:r w:rsidR="000636C2">
        <w:rPr>
          <w:rFonts w:hint="cs"/>
          <w:rtl/>
        </w:rPr>
        <w:t>،</w:t>
      </w:r>
      <w:r w:rsidRPr="005675B2">
        <w:rPr>
          <w:rFonts w:hint="cs"/>
          <w:rtl/>
        </w:rPr>
        <w:t>بناء على تصوراته المسبقة عن المسائل العقدية التي تكلم عنها</w:t>
      </w:r>
      <w:r w:rsidR="000636C2">
        <w:rPr>
          <w:rFonts w:hint="cs"/>
          <w:rtl/>
        </w:rPr>
        <w:t>،</w:t>
      </w:r>
      <w:r w:rsidRPr="005675B2">
        <w:rPr>
          <w:rFonts w:hint="cs"/>
          <w:rtl/>
        </w:rPr>
        <w:t xml:space="preserve"> وقد اعتمد اعتماداً كلياً على كتب الإمام ابن تيمية</w:t>
      </w:r>
      <w:r w:rsidR="000636C2">
        <w:rPr>
          <w:rFonts w:hint="cs"/>
          <w:rtl/>
        </w:rPr>
        <w:t>،</w:t>
      </w:r>
      <w:r w:rsidRPr="005675B2">
        <w:rPr>
          <w:rFonts w:hint="cs"/>
          <w:rtl/>
        </w:rPr>
        <w:t xml:space="preserve"> فرأيت في هذه الرسالة بمقدماتها</w:t>
      </w:r>
      <w:r w:rsidR="000636C2">
        <w:rPr>
          <w:rFonts w:hint="cs"/>
          <w:rtl/>
        </w:rPr>
        <w:t>،</w:t>
      </w:r>
      <w:r w:rsidRPr="005675B2">
        <w:rPr>
          <w:rFonts w:hint="cs"/>
          <w:rtl/>
        </w:rPr>
        <w:t>ومضمونها</w:t>
      </w:r>
      <w:r w:rsidR="000636C2">
        <w:rPr>
          <w:rFonts w:hint="cs"/>
          <w:rtl/>
        </w:rPr>
        <w:t>،</w:t>
      </w:r>
      <w:r w:rsidRPr="005675B2">
        <w:rPr>
          <w:rFonts w:hint="cs"/>
          <w:rtl/>
        </w:rPr>
        <w:t>ونتائجها، من الظلم والتجني مالايسرني أن يلقى الله به</w:t>
      </w:r>
      <w:r w:rsidR="000636C2">
        <w:rPr>
          <w:rFonts w:hint="cs"/>
          <w:rtl/>
        </w:rPr>
        <w:t xml:space="preserve">، </w:t>
      </w:r>
      <w:r w:rsidRPr="005675B2">
        <w:rPr>
          <w:rFonts w:hint="cs"/>
          <w:rtl/>
        </w:rPr>
        <w:t>وأرجو أن يكون قد تاب مما خط بيمناه</w:t>
      </w:r>
      <w:r w:rsidR="000636C2">
        <w:rPr>
          <w:rFonts w:hint="cs"/>
          <w:rtl/>
        </w:rPr>
        <w:t>،</w:t>
      </w:r>
      <w:r w:rsidRPr="005675B2">
        <w:rPr>
          <w:rFonts w:hint="cs"/>
          <w:rtl/>
        </w:rPr>
        <w:t xml:space="preserve"> ولعله اندفاع في زمن</w:t>
      </w:r>
      <w:r w:rsidR="000636C2">
        <w:rPr>
          <w:rFonts w:hint="cs"/>
          <w:rtl/>
        </w:rPr>
        <w:t xml:space="preserve"> </w:t>
      </w:r>
      <w:r w:rsidRPr="005675B2">
        <w:rPr>
          <w:rFonts w:hint="cs"/>
          <w:rtl/>
        </w:rPr>
        <w:t>الشباب</w:t>
      </w:r>
      <w:r w:rsidR="000636C2">
        <w:rPr>
          <w:rFonts w:hint="cs"/>
          <w:rtl/>
        </w:rPr>
        <w:t>،</w:t>
      </w:r>
      <w:r w:rsidRPr="005675B2">
        <w:rPr>
          <w:rFonts w:hint="cs"/>
          <w:rtl/>
        </w:rPr>
        <w:t>فغفر الله لنا وله</w:t>
      </w:r>
      <w:r w:rsidR="000636C2">
        <w:rPr>
          <w:rFonts w:hint="cs"/>
          <w:rtl/>
        </w:rPr>
        <w:t>،</w:t>
      </w:r>
      <w:r w:rsidRPr="005675B2">
        <w:rPr>
          <w:rFonts w:hint="cs"/>
          <w:rtl/>
        </w:rPr>
        <w:t xml:space="preserve"> </w:t>
      </w:r>
      <w:r w:rsidR="000636C2">
        <w:rPr>
          <w:rFonts w:hint="cs"/>
          <w:sz w:val="24"/>
          <w:szCs w:val="24"/>
          <w:rtl/>
        </w:rPr>
        <w:t>[</w:t>
      </w:r>
      <w:r w:rsidRPr="005675B2">
        <w:rPr>
          <w:rFonts w:hint="cs"/>
          <w:sz w:val="24"/>
          <w:szCs w:val="24"/>
          <w:rtl/>
        </w:rPr>
        <w:t>الفهم الخاطىء لمعتقد الأشاعرة وقع فيه كتّاب ومشايخ كثر</w:t>
      </w:r>
      <w:r w:rsidR="000636C2">
        <w:rPr>
          <w:rFonts w:hint="cs"/>
          <w:sz w:val="24"/>
          <w:szCs w:val="24"/>
          <w:rtl/>
        </w:rPr>
        <w:t>،</w:t>
      </w:r>
      <w:r w:rsidRPr="005675B2">
        <w:rPr>
          <w:rFonts w:hint="cs"/>
          <w:sz w:val="24"/>
          <w:szCs w:val="24"/>
          <w:rtl/>
        </w:rPr>
        <w:t xml:space="preserve"> بل وموسوعات كتبت في الفرق</w:t>
      </w:r>
      <w:r w:rsidR="000636C2">
        <w:rPr>
          <w:rFonts w:hint="cs"/>
          <w:sz w:val="24"/>
          <w:szCs w:val="24"/>
          <w:rtl/>
        </w:rPr>
        <w:t>،</w:t>
      </w:r>
      <w:r w:rsidRPr="005675B2">
        <w:rPr>
          <w:rFonts w:hint="cs"/>
          <w:sz w:val="24"/>
          <w:szCs w:val="24"/>
          <w:rtl/>
        </w:rPr>
        <w:t xml:space="preserve"> وإنما كانت رسالة الحوالي أنموذجا لذلك فقط، بفحصها والبحث عن حقائق ما فيها</w:t>
      </w:r>
      <w:r w:rsidR="000636C2">
        <w:rPr>
          <w:rFonts w:hint="cs"/>
          <w:sz w:val="24"/>
          <w:szCs w:val="24"/>
          <w:rtl/>
        </w:rPr>
        <w:t xml:space="preserve"> </w:t>
      </w:r>
      <w:r w:rsidRPr="005675B2">
        <w:rPr>
          <w:rFonts w:hint="cs"/>
          <w:sz w:val="24"/>
          <w:szCs w:val="24"/>
          <w:rtl/>
        </w:rPr>
        <w:t>ـ إن شاء الله ـ يتبين الحق لمن أراد الحق (فقط)</w:t>
      </w:r>
      <w:r w:rsidR="000636C2">
        <w:rPr>
          <w:rFonts w:hint="cs"/>
          <w:sz w:val="24"/>
          <w:szCs w:val="24"/>
          <w:rtl/>
        </w:rPr>
        <w:t>]،</w:t>
      </w:r>
      <w:r w:rsidRPr="005675B2">
        <w:rPr>
          <w:rFonts w:hint="cs"/>
          <w:sz w:val="24"/>
          <w:szCs w:val="24"/>
          <w:rtl/>
        </w:rPr>
        <w:t xml:space="preserve"> </w:t>
      </w:r>
      <w:r w:rsidRPr="005675B2">
        <w:rPr>
          <w:rFonts w:hint="cs"/>
          <w:rtl/>
        </w:rPr>
        <w:t>وقد بينت المسائل بقدر ما استطعت</w:t>
      </w:r>
      <w:r w:rsidR="000636C2">
        <w:rPr>
          <w:rFonts w:hint="cs"/>
          <w:rtl/>
        </w:rPr>
        <w:t>:</w:t>
      </w:r>
    </w:p>
    <w:p w14:paraId="433C951A" w14:textId="678EBEB4"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فبحثت كل مسألة منها بمراجعة كتب الأشاعرة نفسها</w:t>
      </w:r>
      <w:r w:rsidR="000636C2">
        <w:rPr>
          <w:rFonts w:hint="cs"/>
          <w:rtl/>
        </w:rPr>
        <w:t>،</w:t>
      </w:r>
      <w:r w:rsidRPr="005675B2">
        <w:rPr>
          <w:rFonts w:hint="cs"/>
          <w:rtl/>
        </w:rPr>
        <w:t xml:space="preserve"> وصورت المسائل على ماهي عليه عند أربابها من العقائديين</w:t>
      </w:r>
      <w:r w:rsidR="000636C2">
        <w:rPr>
          <w:rFonts w:hint="cs"/>
          <w:rtl/>
        </w:rPr>
        <w:t>،</w:t>
      </w:r>
      <w:r w:rsidRPr="005675B2">
        <w:rPr>
          <w:rFonts w:hint="cs"/>
          <w:rtl/>
        </w:rPr>
        <w:t>لأن الأحكام فرع عن التصورات</w:t>
      </w:r>
      <w:r w:rsidR="000636C2">
        <w:rPr>
          <w:rFonts w:hint="cs"/>
          <w:rtl/>
        </w:rPr>
        <w:t>،</w:t>
      </w:r>
      <w:r w:rsidRPr="005675B2">
        <w:rPr>
          <w:rFonts w:hint="cs"/>
          <w:rtl/>
        </w:rPr>
        <w:t xml:space="preserve"> ولا أعول في ذلك إلا على القول المعتمد عندهم على ما بينه علماؤهم</w:t>
      </w:r>
      <w:r w:rsidR="000636C2">
        <w:rPr>
          <w:rFonts w:hint="cs"/>
          <w:rtl/>
        </w:rPr>
        <w:t>،</w:t>
      </w:r>
      <w:r w:rsidRPr="005675B2">
        <w:rPr>
          <w:rFonts w:hint="cs"/>
          <w:rtl/>
        </w:rPr>
        <w:t xml:space="preserve"> مجانباً لشذوذات من شذ عن أرائهم ولو كان من رؤوسهم لأن خطأ الفرد لا يعم الجماعة</w:t>
      </w:r>
      <w:r w:rsidR="000636C2">
        <w:rPr>
          <w:rFonts w:hint="cs"/>
          <w:rtl/>
        </w:rPr>
        <w:t>،</w:t>
      </w:r>
      <w:r w:rsidRPr="005675B2">
        <w:rPr>
          <w:rFonts w:hint="cs"/>
          <w:rtl/>
        </w:rPr>
        <w:t xml:space="preserve"> خصوصاً بعد </w:t>
      </w:r>
      <w:r w:rsidR="000636C2">
        <w:rPr>
          <w:rFonts w:hint="cs"/>
          <w:rtl/>
        </w:rPr>
        <w:t>(</w:t>
      </w:r>
      <w:r>
        <w:rPr>
          <w:rFonts w:hint="cs"/>
          <w:rtl/>
        </w:rPr>
        <w:t>تنبيه</w:t>
      </w:r>
      <w:r w:rsidR="000636C2">
        <w:rPr>
          <w:rFonts w:hint="cs"/>
          <w:rtl/>
        </w:rPr>
        <w:t>)</w:t>
      </w:r>
      <w:r w:rsidRPr="005675B2">
        <w:rPr>
          <w:rFonts w:hint="cs"/>
          <w:rtl/>
        </w:rPr>
        <w:t>هم عليه كما هو شأنهم رحمهم الله تعالى</w:t>
      </w:r>
      <w:r w:rsidR="000636C2">
        <w:rPr>
          <w:rFonts w:hint="cs"/>
          <w:rtl/>
        </w:rPr>
        <w:t>،</w:t>
      </w:r>
      <w:r w:rsidRPr="005675B2">
        <w:rPr>
          <w:rFonts w:hint="cs"/>
          <w:rtl/>
        </w:rPr>
        <w:t xml:space="preserve"> 2</w:t>
      </w:r>
      <w:r w:rsidR="000636C2">
        <w:rPr>
          <w:rFonts w:hint="cs"/>
          <w:rtl/>
        </w:rPr>
        <w:t xml:space="preserve"> </w:t>
      </w:r>
      <w:r w:rsidRPr="005675B2">
        <w:rPr>
          <w:rFonts w:hint="cs"/>
          <w:rtl/>
        </w:rPr>
        <w:t>- ذكرت مذهب أصحاب الحديث في بعض المسائل إن احتاج الأمر إلى ذلك</w:t>
      </w:r>
      <w:r w:rsidR="000636C2">
        <w:rPr>
          <w:rFonts w:hint="cs"/>
          <w:rtl/>
        </w:rPr>
        <w:t>،</w:t>
      </w:r>
      <w:r w:rsidRPr="005675B2">
        <w:rPr>
          <w:rFonts w:hint="cs"/>
          <w:rtl/>
        </w:rPr>
        <w:t xml:space="preserve"> 3</w:t>
      </w:r>
      <w:r w:rsidR="000636C2">
        <w:rPr>
          <w:rFonts w:hint="cs"/>
          <w:rtl/>
        </w:rPr>
        <w:t xml:space="preserve"> </w:t>
      </w:r>
      <w:r w:rsidRPr="005675B2">
        <w:rPr>
          <w:rFonts w:hint="cs"/>
          <w:rtl/>
        </w:rPr>
        <w:t>- ووثقت النقول عن الكتب التي نقلت عنها</w:t>
      </w:r>
      <w:r w:rsidR="000636C2">
        <w:rPr>
          <w:rFonts w:hint="cs"/>
          <w:rtl/>
        </w:rPr>
        <w:t>،</w:t>
      </w:r>
      <w:r w:rsidRPr="005675B2">
        <w:rPr>
          <w:rFonts w:hint="cs"/>
          <w:rtl/>
        </w:rPr>
        <w:t xml:space="preserve"> 4</w:t>
      </w:r>
      <w:r w:rsidR="000636C2">
        <w:rPr>
          <w:rFonts w:hint="cs"/>
          <w:rtl/>
        </w:rPr>
        <w:t xml:space="preserve"> </w:t>
      </w:r>
      <w:r w:rsidRPr="005675B2">
        <w:rPr>
          <w:rFonts w:hint="cs"/>
          <w:rtl/>
        </w:rPr>
        <w:t>-</w:t>
      </w:r>
      <w:r w:rsidR="000636C2">
        <w:rPr>
          <w:rFonts w:hint="cs"/>
          <w:rtl/>
        </w:rPr>
        <w:t xml:space="preserve"> </w:t>
      </w:r>
      <w:r w:rsidRPr="005675B2">
        <w:rPr>
          <w:rFonts w:hint="cs"/>
          <w:rtl/>
        </w:rPr>
        <w:t>وكتبت كلام مؤلف الرسالة كماهو في أغلب</w:t>
      </w:r>
      <w:r w:rsidR="000636C2">
        <w:rPr>
          <w:rFonts w:hint="cs"/>
          <w:rtl/>
        </w:rPr>
        <w:t xml:space="preserve"> </w:t>
      </w:r>
      <w:r w:rsidRPr="005675B2">
        <w:rPr>
          <w:rFonts w:hint="cs"/>
          <w:rtl/>
        </w:rPr>
        <w:t>المسائل تقريباً</w:t>
      </w:r>
      <w:r w:rsidR="000636C2">
        <w:rPr>
          <w:rFonts w:hint="cs"/>
          <w:rtl/>
        </w:rPr>
        <w:t>،</w:t>
      </w:r>
      <w:r w:rsidRPr="005675B2">
        <w:rPr>
          <w:rFonts w:hint="cs"/>
          <w:rtl/>
        </w:rPr>
        <w:t xml:space="preserve"> 5</w:t>
      </w:r>
      <w:r w:rsidR="000636C2">
        <w:rPr>
          <w:rFonts w:hint="cs"/>
          <w:rtl/>
        </w:rPr>
        <w:t xml:space="preserve"> </w:t>
      </w:r>
      <w:r w:rsidRPr="005675B2">
        <w:rPr>
          <w:rFonts w:hint="cs"/>
          <w:rtl/>
        </w:rPr>
        <w:t>- ذكرت تعريفا بالأشاعرة رحمهم الله تعالى وذكر</w:t>
      </w:r>
      <w:r w:rsidR="000636C2">
        <w:rPr>
          <w:rFonts w:hint="cs"/>
          <w:rtl/>
        </w:rPr>
        <w:t xml:space="preserve"> </w:t>
      </w:r>
      <w:r w:rsidRPr="005675B2">
        <w:rPr>
          <w:rFonts w:hint="cs"/>
          <w:rtl/>
        </w:rPr>
        <w:t>بعض علمائهم في شتى الفنون</w:t>
      </w:r>
      <w:r w:rsidR="000636C2">
        <w:rPr>
          <w:rFonts w:hint="cs"/>
          <w:rtl/>
        </w:rPr>
        <w:t>،</w:t>
      </w:r>
      <w:r w:rsidRPr="005675B2">
        <w:rPr>
          <w:rFonts w:hint="cs"/>
          <w:rtl/>
        </w:rPr>
        <w:t xml:space="preserve"> 6</w:t>
      </w:r>
      <w:r w:rsidR="000636C2">
        <w:rPr>
          <w:rFonts w:hint="cs"/>
          <w:rtl/>
        </w:rPr>
        <w:t xml:space="preserve"> </w:t>
      </w:r>
      <w:r w:rsidRPr="005675B2">
        <w:rPr>
          <w:rFonts w:hint="cs"/>
          <w:rtl/>
        </w:rPr>
        <w:t>- قدمت بمقدمات</w:t>
      </w:r>
      <w:r w:rsidR="000636C2">
        <w:rPr>
          <w:rFonts w:hint="cs"/>
          <w:rtl/>
        </w:rPr>
        <w:t xml:space="preserve"> </w:t>
      </w:r>
      <w:r w:rsidRPr="005675B2">
        <w:rPr>
          <w:rFonts w:hint="cs"/>
          <w:rtl/>
        </w:rPr>
        <w:t>لابد منها</w:t>
      </w:r>
      <w:r w:rsidR="000636C2">
        <w:rPr>
          <w:rFonts w:hint="cs"/>
          <w:rtl/>
        </w:rPr>
        <w:t>،</w:t>
      </w:r>
      <w:r w:rsidRPr="005675B2">
        <w:rPr>
          <w:rFonts w:hint="cs"/>
          <w:rtl/>
        </w:rPr>
        <w:t xml:space="preserve"> </w:t>
      </w:r>
      <w:r w:rsidRPr="005675B2">
        <w:rPr>
          <w:rFonts w:hint="cs"/>
          <w:u w:val="single"/>
          <w:rtl/>
        </w:rPr>
        <w:t>وللعلم</w:t>
      </w:r>
      <w:r w:rsidR="000636C2">
        <w:rPr>
          <w:rFonts w:hint="cs"/>
          <w:u w:val="single"/>
          <w:rtl/>
        </w:rPr>
        <w:t xml:space="preserve"> </w:t>
      </w:r>
      <w:r w:rsidRPr="005675B2">
        <w:rPr>
          <w:rFonts w:hint="cs"/>
          <w:u w:val="single"/>
          <w:rtl/>
        </w:rPr>
        <w:t>فإن</w:t>
      </w:r>
      <w:r w:rsidR="000636C2">
        <w:rPr>
          <w:rFonts w:hint="cs"/>
          <w:u w:val="single"/>
          <w:rtl/>
        </w:rPr>
        <w:t xml:space="preserve"> </w:t>
      </w:r>
      <w:r w:rsidRPr="005675B2">
        <w:rPr>
          <w:rFonts w:hint="cs"/>
          <w:u w:val="single"/>
          <w:rtl/>
        </w:rPr>
        <w:t>محتوى هذه الورقات</w:t>
      </w:r>
      <w:r w:rsidRPr="005675B2">
        <w:rPr>
          <w:rFonts w:hint="cs"/>
          <w:rtl/>
        </w:rPr>
        <w:t xml:space="preserve"> ماهو</w:t>
      </w:r>
      <w:r w:rsidR="000636C2">
        <w:rPr>
          <w:rFonts w:hint="cs"/>
          <w:rtl/>
        </w:rPr>
        <w:t xml:space="preserve"> </w:t>
      </w:r>
      <w:r w:rsidRPr="005675B2">
        <w:rPr>
          <w:rFonts w:hint="cs"/>
          <w:rtl/>
        </w:rPr>
        <w:t>إلابعض جهود علماء</w:t>
      </w:r>
      <w:r w:rsidR="000636C2">
        <w:rPr>
          <w:rFonts w:hint="cs"/>
          <w:rtl/>
        </w:rPr>
        <w:t xml:space="preserve"> </w:t>
      </w:r>
      <w:r w:rsidRPr="005675B2">
        <w:rPr>
          <w:rFonts w:hint="cs"/>
          <w:rtl/>
        </w:rPr>
        <w:t>الأمة على مر السنين</w:t>
      </w:r>
      <w:r w:rsidRPr="005675B2">
        <w:rPr>
          <w:rFonts w:hint="cs"/>
          <w:u w:val="single"/>
          <w:rtl/>
        </w:rPr>
        <w:t xml:space="preserve"> إلى عصرنا هذا، </w:t>
      </w:r>
      <w:r w:rsidRPr="005675B2">
        <w:rPr>
          <w:rFonts w:hint="cs"/>
          <w:rtl/>
        </w:rPr>
        <w:t>وما أنا إلا ناقل لعلمهم</w:t>
      </w:r>
      <w:r w:rsidR="000636C2">
        <w:rPr>
          <w:rFonts w:hint="cs"/>
          <w:rtl/>
        </w:rPr>
        <w:t>،</w:t>
      </w:r>
      <w:r w:rsidRPr="005675B2">
        <w:rPr>
          <w:rFonts w:hint="cs"/>
          <w:rtl/>
        </w:rPr>
        <w:t>ومرتب لجهودهم</w:t>
      </w:r>
      <w:r w:rsidR="000636C2">
        <w:rPr>
          <w:rFonts w:hint="cs"/>
          <w:rtl/>
        </w:rPr>
        <w:t>،</w:t>
      </w:r>
      <w:r w:rsidRPr="005675B2">
        <w:rPr>
          <w:rFonts w:hint="cs"/>
          <w:rtl/>
        </w:rPr>
        <w:t>مع زيادات</w:t>
      </w:r>
      <w:r w:rsidR="000636C2">
        <w:rPr>
          <w:rFonts w:hint="cs"/>
          <w:rtl/>
        </w:rPr>
        <w:t xml:space="preserve"> </w:t>
      </w:r>
      <w:r w:rsidRPr="005675B2">
        <w:rPr>
          <w:rFonts w:hint="cs"/>
          <w:rtl/>
        </w:rPr>
        <w:t>للبيان والإيضاح</w:t>
      </w:r>
      <w:r w:rsidR="000636C2">
        <w:rPr>
          <w:rFonts w:hint="cs"/>
          <w:rtl/>
        </w:rPr>
        <w:t>،</w:t>
      </w:r>
      <w:r w:rsidRPr="005675B2">
        <w:rPr>
          <w:rFonts w:hint="cs"/>
          <w:rtl/>
        </w:rPr>
        <w:t xml:space="preserve"> والثمرة من هذه الرسالة</w:t>
      </w:r>
      <w:r w:rsidR="000636C2">
        <w:rPr>
          <w:rFonts w:hint="cs"/>
          <w:rtl/>
        </w:rPr>
        <w:t>:</w:t>
      </w:r>
      <w:r w:rsidRPr="005675B2">
        <w:rPr>
          <w:rFonts w:hint="cs"/>
          <w:rtl/>
        </w:rPr>
        <w:t xml:space="preserve"> إحقاق الحق، وإزهاق الباطل</w:t>
      </w:r>
      <w:r w:rsidR="000636C2">
        <w:rPr>
          <w:rFonts w:hint="cs"/>
          <w:rtl/>
        </w:rPr>
        <w:t>،</w:t>
      </w:r>
      <w:r w:rsidRPr="005675B2">
        <w:rPr>
          <w:rFonts w:hint="cs"/>
          <w:rtl/>
        </w:rPr>
        <w:t>وتجلية الحقائق كما هي</w:t>
      </w:r>
      <w:r w:rsidR="000636C2">
        <w:rPr>
          <w:rFonts w:hint="cs"/>
          <w:rtl/>
        </w:rPr>
        <w:t>،</w:t>
      </w:r>
      <w:r w:rsidRPr="005675B2">
        <w:rPr>
          <w:rFonts w:hint="cs"/>
          <w:rtl/>
        </w:rPr>
        <w:t xml:space="preserve"> والذب عن سادة الأمة من علماء الأشاعرة رحمهم الله تعالى</w:t>
      </w:r>
      <w:r w:rsidR="000636C2">
        <w:rPr>
          <w:rFonts w:hint="cs"/>
          <w:rtl/>
        </w:rPr>
        <w:t>،</w:t>
      </w:r>
      <w:r w:rsidRPr="005675B2">
        <w:rPr>
          <w:rFonts w:hint="cs"/>
          <w:rtl/>
        </w:rPr>
        <w:t>لقول المصطفى صلى الله عليه وسلم (</w:t>
      </w:r>
      <w:r w:rsidR="000636C2">
        <w:rPr>
          <w:rFonts w:hint="cs"/>
          <w:rtl/>
        </w:rPr>
        <w:t>(</w:t>
      </w:r>
      <w:r w:rsidRPr="005675B2">
        <w:rPr>
          <w:rFonts w:hint="cs"/>
          <w:rtl/>
        </w:rPr>
        <w:t>من ذب عن عرض أخيه ذب الله عن وجهه النار يوم القيامة</w:t>
      </w:r>
      <w:r w:rsidR="000636C2">
        <w:rPr>
          <w:rFonts w:hint="cs"/>
          <w:rtl/>
        </w:rPr>
        <w:t>)</w:t>
      </w:r>
      <w:r w:rsidRPr="005675B2">
        <w:rPr>
          <w:rFonts w:hint="cs"/>
          <w:rtl/>
        </w:rPr>
        <w:t>)</w:t>
      </w:r>
      <w:r w:rsidR="000636C2">
        <w:rPr>
          <w:rFonts w:hint="cs"/>
          <w:rtl/>
        </w:rPr>
        <w:t>،</w:t>
      </w:r>
      <w:r w:rsidRPr="005675B2">
        <w:rPr>
          <w:rFonts w:hint="cs"/>
          <w:rtl/>
        </w:rPr>
        <w:t xml:space="preserve"> ولم يكن الذب عنهم ذباً عن الباطل أو تلميعاً لأقوالهم، أو زخرفة لاختياراتهم</w:t>
      </w:r>
      <w:r w:rsidR="000636C2">
        <w:rPr>
          <w:rFonts w:hint="cs"/>
          <w:rtl/>
        </w:rPr>
        <w:t>،</w:t>
      </w:r>
      <w:r w:rsidRPr="005675B2">
        <w:rPr>
          <w:rFonts w:hint="cs"/>
          <w:rtl/>
        </w:rPr>
        <w:t xml:space="preserve"> وإنما أتيت بمذهبهم كما هو في جميع المسائل دون</w:t>
      </w:r>
      <w:r w:rsidR="000636C2">
        <w:rPr>
          <w:rFonts w:hint="cs"/>
          <w:rtl/>
        </w:rPr>
        <w:t xml:space="preserve"> </w:t>
      </w:r>
      <w:r w:rsidRPr="005675B2">
        <w:rPr>
          <w:rFonts w:hint="cs"/>
          <w:rtl/>
        </w:rPr>
        <w:t>خلط للمصطلحات</w:t>
      </w:r>
      <w:r w:rsidR="000636C2">
        <w:rPr>
          <w:rFonts w:hint="cs"/>
          <w:rtl/>
        </w:rPr>
        <w:t>،</w:t>
      </w:r>
      <w:r w:rsidRPr="005675B2">
        <w:rPr>
          <w:rFonts w:hint="cs"/>
          <w:rtl/>
        </w:rPr>
        <w:t xml:space="preserve"> فإن خلط المصطلحات ظاهرة</w:t>
      </w:r>
      <w:r w:rsidR="000636C2">
        <w:rPr>
          <w:rFonts w:hint="cs"/>
          <w:rtl/>
        </w:rPr>
        <w:t xml:space="preserve"> </w:t>
      </w:r>
      <w:r w:rsidRPr="005675B2">
        <w:rPr>
          <w:rFonts w:hint="cs"/>
          <w:rtl/>
        </w:rPr>
        <w:t>نعايشها في عصرنا والله المستعان</w:t>
      </w:r>
      <w:r w:rsidR="000636C2">
        <w:rPr>
          <w:rFonts w:hint="cs"/>
          <w:rtl/>
        </w:rPr>
        <w:t>،</w:t>
      </w:r>
      <w:r w:rsidRPr="005675B2">
        <w:rPr>
          <w:rFonts w:hint="cs"/>
          <w:rtl/>
        </w:rPr>
        <w:t xml:space="preserve"> فأرجو أن يكون في هذا</w:t>
      </w:r>
      <w:r w:rsidR="000636C2">
        <w:rPr>
          <w:rFonts w:hint="cs"/>
          <w:rtl/>
        </w:rPr>
        <w:t xml:space="preserve"> </w:t>
      </w:r>
      <w:r w:rsidRPr="005675B2">
        <w:rPr>
          <w:rFonts w:hint="cs"/>
          <w:rtl/>
        </w:rPr>
        <w:t>سلامة للأخ الكاتب من تبعات أقواله</w:t>
      </w:r>
      <w:r w:rsidR="000636C2">
        <w:rPr>
          <w:rFonts w:hint="cs"/>
          <w:rtl/>
        </w:rPr>
        <w:t>،</w:t>
      </w:r>
      <w:r w:rsidRPr="005675B2">
        <w:rPr>
          <w:rFonts w:hint="cs"/>
          <w:rtl/>
        </w:rPr>
        <w:t>وأن لا يجد الأخ الحوالي من هذه الرسالة امتعاضاً فهي مدخرة ليوم لاريب فيه</w:t>
      </w:r>
      <w:r w:rsidR="000636C2">
        <w:rPr>
          <w:rFonts w:hint="cs"/>
          <w:rtl/>
        </w:rPr>
        <w:t>،</w:t>
      </w:r>
      <w:r w:rsidRPr="005675B2">
        <w:rPr>
          <w:rFonts w:hint="cs"/>
          <w:rtl/>
        </w:rPr>
        <w:t xml:space="preserve"> ومن ثمراتها المرجوة بإذن الله</w:t>
      </w:r>
      <w:r w:rsidR="000636C2">
        <w:rPr>
          <w:rFonts w:hint="cs"/>
          <w:rtl/>
        </w:rPr>
        <w:t xml:space="preserve"> </w:t>
      </w:r>
      <w:r w:rsidRPr="005675B2">
        <w:rPr>
          <w:rFonts w:hint="cs"/>
          <w:rtl/>
        </w:rPr>
        <w:t>ترشيد مسار الصحوة العلمية والفكرية</w:t>
      </w:r>
      <w:r w:rsidR="000636C2">
        <w:rPr>
          <w:rFonts w:hint="cs"/>
          <w:rtl/>
        </w:rPr>
        <w:t>،</w:t>
      </w:r>
      <w:r w:rsidRPr="005675B2">
        <w:rPr>
          <w:rFonts w:hint="cs"/>
          <w:rtl/>
        </w:rPr>
        <w:t>فإن صاحب العلم إذا تيقن أن ما فهمه عن الأشاعرة أو غيرهم من أهل السنة أنه مجرد مبالغات لا أساس لها في موازين العلم فمن اليسير عليه عند ذلك أن يتعاون مع رجال الأمة من أهل العلم الأشاعرة في أي قطر من الأرض</w:t>
      </w:r>
      <w:r w:rsidR="000636C2">
        <w:rPr>
          <w:rFonts w:hint="cs"/>
          <w:rtl/>
        </w:rPr>
        <w:t>،</w:t>
      </w:r>
      <w:r w:rsidRPr="005675B2">
        <w:rPr>
          <w:rFonts w:hint="cs"/>
          <w:rtl/>
        </w:rPr>
        <w:t xml:space="preserve"> ومما أرجوه أيضاً أن يتفرغ للقضايا الحقيقية التي تحتاج الأمة إليه فيها</w:t>
      </w:r>
      <w:r w:rsidR="000636C2">
        <w:rPr>
          <w:rFonts w:hint="cs"/>
          <w:rtl/>
        </w:rPr>
        <w:t>،</w:t>
      </w:r>
      <w:r w:rsidRPr="005675B2">
        <w:rPr>
          <w:rFonts w:hint="cs"/>
          <w:rtl/>
        </w:rPr>
        <w:t>فلا يضيع الوقت بعد ذلك في سماع المغالطات والمهاترات العقيمة والتي لاتصدر إلا من ظلوم غشوم،إذن فالرسالة مشكاة إيضاح للحقائق</w:t>
      </w:r>
      <w:r w:rsidR="000636C2">
        <w:rPr>
          <w:rFonts w:hint="cs"/>
          <w:rtl/>
        </w:rPr>
        <w:t>،</w:t>
      </w:r>
      <w:r w:rsidRPr="005675B2">
        <w:rPr>
          <w:rFonts w:hint="cs"/>
          <w:rtl/>
        </w:rPr>
        <w:t>وقنطرة عبور نحو القضايا الحقيقية التي تهم الأمة</w:t>
      </w:r>
      <w:r w:rsidR="000636C2">
        <w:rPr>
          <w:rFonts w:hint="cs"/>
          <w:rtl/>
        </w:rPr>
        <w:t>،</w:t>
      </w:r>
      <w:r w:rsidRPr="005675B2">
        <w:rPr>
          <w:rFonts w:hint="cs"/>
          <w:rtl/>
        </w:rPr>
        <w:t xml:space="preserve"> وأسأل الله أن ينفع بها كل من قرأها مبتغياً وجه الله</w:t>
      </w:r>
      <w:r w:rsidR="000636C2">
        <w:rPr>
          <w:rFonts w:hint="cs"/>
          <w:rtl/>
        </w:rPr>
        <w:t>،</w:t>
      </w:r>
      <w:r w:rsidRPr="005675B2">
        <w:rPr>
          <w:rFonts w:hint="cs"/>
          <w:rtl/>
        </w:rPr>
        <w:t>والدار الآخرة</w:t>
      </w:r>
      <w:r w:rsidR="000636C2">
        <w:rPr>
          <w:rFonts w:hint="cs"/>
          <w:rtl/>
        </w:rPr>
        <w:t>،</w:t>
      </w:r>
      <w:r w:rsidRPr="005675B2">
        <w:rPr>
          <w:rFonts w:hint="cs"/>
          <w:rtl/>
        </w:rPr>
        <w:t>وصلى الله و سلم على سيدنا محمد وعلى آله وصحبه أجمعين</w:t>
      </w:r>
      <w:r w:rsidR="000636C2">
        <w:rPr>
          <w:rFonts w:hint="cs"/>
          <w:rtl/>
        </w:rPr>
        <w:t>،</w:t>
      </w:r>
    </w:p>
    <w:p w14:paraId="0630EA2E" w14:textId="77777777" w:rsidR="009C32A0" w:rsidRPr="005675B2" w:rsidRDefault="009C32A0" w:rsidP="000636C2">
      <w:pPr>
        <w:jc w:val="center"/>
        <w:rPr>
          <w:bCs/>
          <w:rtl/>
        </w:rPr>
      </w:pPr>
      <w:r w:rsidRPr="005675B2">
        <w:rPr>
          <w:rFonts w:hint="cs"/>
          <w:bCs/>
          <w:rtl/>
        </w:rPr>
        <w:t>***</w:t>
      </w:r>
    </w:p>
    <w:p w14:paraId="1D94911F" w14:textId="1F790966" w:rsidR="009C32A0" w:rsidRPr="005675B2" w:rsidRDefault="000636C2" w:rsidP="000636C2">
      <w:pPr>
        <w:jc w:val="center"/>
        <w:rPr>
          <w:bCs/>
          <w:rtl/>
        </w:rPr>
      </w:pPr>
      <w:r>
        <w:rPr>
          <w:rFonts w:hint="cs"/>
          <w:bCs/>
          <w:rtl/>
        </w:rPr>
        <w:t>[</w:t>
      </w:r>
      <w:r w:rsidR="009C32A0" w:rsidRPr="005675B2">
        <w:rPr>
          <w:rFonts w:hint="cs"/>
          <w:bCs/>
          <w:rtl/>
        </w:rPr>
        <w:t>المقدمة الأولى</w:t>
      </w:r>
      <w:r>
        <w:rPr>
          <w:rFonts w:hint="cs"/>
          <w:bCs/>
          <w:rtl/>
        </w:rPr>
        <w:t>:</w:t>
      </w:r>
      <w:r w:rsidR="009C32A0" w:rsidRPr="005675B2">
        <w:rPr>
          <w:rFonts w:hint="cs"/>
          <w:bCs/>
          <w:rtl/>
        </w:rPr>
        <w:t xml:space="preserve"> التعريف بالأشاعرة رحمهم الله تعالى</w:t>
      </w:r>
      <w:r>
        <w:rPr>
          <w:rFonts w:hint="cs"/>
          <w:bCs/>
          <w:rtl/>
        </w:rPr>
        <w:t>]</w:t>
      </w:r>
    </w:p>
    <w:p w14:paraId="679024C1" w14:textId="04D1E7CC" w:rsidR="009C32A0" w:rsidRPr="005675B2" w:rsidRDefault="009C32A0" w:rsidP="000636C2">
      <w:pPr>
        <w:rPr>
          <w:b/>
          <w:rtl/>
        </w:rPr>
      </w:pPr>
      <w:r w:rsidRPr="005675B2">
        <w:rPr>
          <w:rFonts w:hint="cs"/>
          <w:rtl/>
        </w:rPr>
        <w:t>من المؤسف أن يحتاج المرء إلى التعريف بالمعارف الغنية عن مثله</w:t>
      </w:r>
      <w:r w:rsidR="000636C2">
        <w:rPr>
          <w:rFonts w:hint="cs"/>
          <w:rtl/>
        </w:rPr>
        <w:t>،</w:t>
      </w:r>
      <w:r w:rsidRPr="005675B2">
        <w:rPr>
          <w:rFonts w:hint="cs"/>
          <w:rtl/>
        </w:rPr>
        <w:t>فالأشاعرة هم الأشاعرة وكفى</w:t>
      </w:r>
      <w:r w:rsidR="000636C2">
        <w:rPr>
          <w:rFonts w:hint="cs"/>
          <w:rtl/>
        </w:rPr>
        <w:t>،</w:t>
      </w:r>
      <w:r w:rsidRPr="005675B2">
        <w:rPr>
          <w:rFonts w:hint="cs"/>
          <w:rtl/>
        </w:rPr>
        <w:t xml:space="preserve"> هكذا كان يجب أن يقال وبه يكتفى</w:t>
      </w:r>
      <w:r w:rsidR="000636C2">
        <w:rPr>
          <w:rFonts w:hint="cs"/>
          <w:rtl/>
        </w:rPr>
        <w:t>،</w:t>
      </w:r>
      <w:r w:rsidRPr="005675B2">
        <w:rPr>
          <w:rFonts w:hint="cs"/>
          <w:rtl/>
        </w:rPr>
        <w:t>ولكن حين زيفت الحقائق وأحلولك الظلام في بعض المجتمعات</w:t>
      </w:r>
      <w:r w:rsidR="000636C2">
        <w:rPr>
          <w:rFonts w:hint="cs"/>
          <w:rtl/>
        </w:rPr>
        <w:t>،</w:t>
      </w:r>
      <w:r w:rsidRPr="005675B2">
        <w:rPr>
          <w:rFonts w:hint="cs"/>
          <w:rtl/>
        </w:rPr>
        <w:t>فقد يُذّكر الإنسان بنبذ</w:t>
      </w:r>
      <w:r w:rsidR="000636C2">
        <w:rPr>
          <w:rFonts w:hint="cs"/>
          <w:rtl/>
        </w:rPr>
        <w:t xml:space="preserve"> </w:t>
      </w:r>
      <w:r w:rsidRPr="005675B2">
        <w:rPr>
          <w:rFonts w:hint="cs"/>
          <w:rtl/>
        </w:rPr>
        <w:t>مختصرة جداً عن مثل هؤلاء القوم، وهو مقام تذكير بهم لا مقام تعريف</w:t>
      </w:r>
      <w:r w:rsidR="000636C2">
        <w:rPr>
          <w:rFonts w:hint="cs"/>
          <w:rtl/>
        </w:rPr>
        <w:t xml:space="preserve">، </w:t>
      </w:r>
      <w:r w:rsidRPr="005675B2">
        <w:rPr>
          <w:rFonts w:hint="cs"/>
          <w:rtl/>
        </w:rPr>
        <w:t>ما ضرَّ شمسَ الضحى في الأفْقِ طالعة ... أنْ لا يَرى ضَوْءَها من ليس ذا بصرِ</w:t>
      </w:r>
      <w:r w:rsidR="000636C2">
        <w:rPr>
          <w:rFonts w:hint="cs"/>
          <w:rtl/>
        </w:rPr>
        <w:t xml:space="preserve">، </w:t>
      </w:r>
      <w:r w:rsidRPr="005675B2">
        <w:rPr>
          <w:rFonts w:hint="cs"/>
          <w:rtl/>
        </w:rPr>
        <w:t>فإذا كان</w:t>
      </w:r>
      <w:r w:rsidR="000636C2">
        <w:rPr>
          <w:rFonts w:hint="cs"/>
          <w:rtl/>
        </w:rPr>
        <w:t xml:space="preserve"> </w:t>
      </w:r>
      <w:r w:rsidRPr="005675B2">
        <w:rPr>
          <w:rFonts w:hint="cs"/>
          <w:rtl/>
        </w:rPr>
        <w:t>التعريف بسيد الخلق صلى الله عليه وسلم صار ضرورة في بعض المجتمعات التي أصابتها لوثة التغريب عن دينهم، فكيف بمن هو دونه من البشر</w:t>
      </w:r>
      <w:r w:rsidR="000636C2">
        <w:rPr>
          <w:rFonts w:hint="cs"/>
          <w:rtl/>
        </w:rPr>
        <w:t>؟!،</w:t>
      </w:r>
      <w:r w:rsidRPr="005675B2">
        <w:rPr>
          <w:rFonts w:hint="cs"/>
          <w:rtl/>
        </w:rPr>
        <w:t xml:space="preserve"> ومن هذا الباب فقط أذكر</w:t>
      </w:r>
      <w:r w:rsidR="000636C2">
        <w:rPr>
          <w:rFonts w:hint="cs"/>
          <w:rtl/>
        </w:rPr>
        <w:t xml:space="preserve"> </w:t>
      </w:r>
      <w:r w:rsidRPr="005675B2">
        <w:rPr>
          <w:rFonts w:hint="cs"/>
          <w:rtl/>
        </w:rPr>
        <w:t>القارىء الكريم بعظيم منزلتهم في حمل الشريعة الإسلامية وتعليمها</w:t>
      </w:r>
      <w:r w:rsidR="000636C2">
        <w:rPr>
          <w:rFonts w:hint="cs"/>
          <w:rtl/>
        </w:rPr>
        <w:t>،</w:t>
      </w:r>
      <w:r w:rsidRPr="005675B2">
        <w:rPr>
          <w:rFonts w:hint="cs"/>
          <w:rtl/>
        </w:rPr>
        <w:t xml:space="preserve"> </w:t>
      </w:r>
    </w:p>
    <w:p w14:paraId="1FDEFFCB" w14:textId="7EB7E491" w:rsidR="009C32A0" w:rsidRPr="005675B2" w:rsidRDefault="009C32A0" w:rsidP="000636C2">
      <w:pPr>
        <w:rPr>
          <w:b/>
          <w:rtl/>
        </w:rPr>
      </w:pPr>
      <w:r w:rsidRPr="005675B2">
        <w:rPr>
          <w:rFonts w:hint="cs"/>
          <w:bCs/>
          <w:rtl/>
        </w:rPr>
        <w:t>كتب الشيخ أبو إسحاق الشيرازي</w:t>
      </w:r>
      <w:r w:rsidRPr="005675B2">
        <w:rPr>
          <w:rFonts w:hint="cs"/>
          <w:rtl/>
        </w:rPr>
        <w:t xml:space="preserve"> رحمه الله فقال</w:t>
      </w:r>
      <w:r w:rsidR="000636C2">
        <w:rPr>
          <w:rFonts w:hint="cs"/>
          <w:rtl/>
        </w:rPr>
        <w:t>:</w:t>
      </w:r>
      <w:r w:rsidRPr="005675B2">
        <w:rPr>
          <w:rFonts w:hint="cs"/>
          <w:rtl/>
        </w:rPr>
        <w:t xml:space="preserve"> </w:t>
      </w:r>
      <w:r w:rsidR="000636C2">
        <w:rPr>
          <w:rFonts w:hint="cs"/>
          <w:rtl/>
        </w:rPr>
        <w:t>(</w:t>
      </w:r>
      <w:r w:rsidRPr="005675B2">
        <w:rPr>
          <w:rFonts w:hint="cs"/>
          <w:rtl/>
        </w:rPr>
        <w:t>الأشعرية أعيان أهل السنة وأنصار الشريعة</w:t>
      </w:r>
      <w:r w:rsidR="000636C2">
        <w:rPr>
          <w:rFonts w:hint="cs"/>
          <w:rtl/>
        </w:rPr>
        <w:t>،</w:t>
      </w:r>
      <w:r w:rsidRPr="005675B2">
        <w:rPr>
          <w:rFonts w:hint="cs"/>
          <w:rtl/>
        </w:rPr>
        <w:t xml:space="preserve">انتصبوا للرد على المبتدعة من القدرية وغيرهم، </w:t>
      </w:r>
      <w:r w:rsidRPr="005675B2">
        <w:rPr>
          <w:rFonts w:hint="cs"/>
          <w:u w:val="single"/>
          <w:rtl/>
        </w:rPr>
        <w:t>فمن طعن فيهم فقد طعن على أهل السنة، وإذا رٌفع أمر من يفعل ذلك إلى الناظر في أمر المسلمين وجب عليه تأديبه بما يرتدع به كل أحد"</w:t>
      </w:r>
      <w:r w:rsidR="000636C2">
        <w:rPr>
          <w:rFonts w:hint="cs"/>
          <w:u w:val="single"/>
          <w:rtl/>
        </w:rPr>
        <w:t>،</w:t>
      </w:r>
      <w:r w:rsidRPr="005675B2">
        <w:rPr>
          <w:rFonts w:hint="cs"/>
          <w:u w:val="single"/>
          <w:rtl/>
        </w:rPr>
        <w:t xml:space="preserve"> </w:t>
      </w:r>
      <w:r w:rsidRPr="005675B2">
        <w:rPr>
          <w:rFonts w:hint="cs"/>
          <w:rtl/>
        </w:rPr>
        <w:t xml:space="preserve">ووقع على هذا </w:t>
      </w:r>
      <w:r w:rsidR="000636C2">
        <w:rPr>
          <w:rFonts w:hint="cs"/>
          <w:rtl/>
        </w:rPr>
        <w:t>[</w:t>
      </w:r>
      <w:r>
        <w:rPr>
          <w:rFonts w:hint="cs"/>
          <w:rtl/>
        </w:rPr>
        <w:t>الجواب</w:t>
      </w:r>
      <w:r w:rsidR="000636C2">
        <w:rPr>
          <w:rFonts w:hint="cs"/>
          <w:rtl/>
        </w:rPr>
        <w:t xml:space="preserve">] </w:t>
      </w:r>
      <w:r w:rsidRPr="005675B2">
        <w:rPr>
          <w:rFonts w:hint="cs"/>
          <w:rtl/>
        </w:rPr>
        <w:t>أيضاً بالموافـقة الشيخ أبو بكر محمد بن أحـمد الشاشي تلميذ الشيخ أبي اسحاق</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p>
    <w:p w14:paraId="4907D601" w14:textId="7BF30159"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فمن حيث العلم فهم جمهور أمة محمد صلى الله عليه وسلم</w:t>
      </w:r>
      <w:r w:rsidR="000636C2">
        <w:rPr>
          <w:rFonts w:hint="cs"/>
          <w:rtl/>
        </w:rPr>
        <w:t>،</w:t>
      </w:r>
      <w:r w:rsidRPr="005675B2">
        <w:rPr>
          <w:rFonts w:hint="cs"/>
          <w:rtl/>
        </w:rPr>
        <w:t xml:space="preserve"> فلا تكاد تقلب فناً من الفنون إلا ووجدتهم رؤو س ذلك العلم</w:t>
      </w:r>
      <w:r w:rsidR="000636C2">
        <w:rPr>
          <w:rFonts w:hint="cs"/>
          <w:rtl/>
        </w:rPr>
        <w:t>،</w:t>
      </w:r>
      <w:r w:rsidRPr="005675B2">
        <w:rPr>
          <w:rFonts w:hint="cs"/>
          <w:rtl/>
        </w:rPr>
        <w:t xml:space="preserve"> في علم العقيدة</w:t>
      </w:r>
      <w:r w:rsidR="000636C2">
        <w:rPr>
          <w:rFonts w:hint="cs"/>
          <w:rtl/>
        </w:rPr>
        <w:t>،</w:t>
      </w:r>
      <w:r w:rsidRPr="005675B2">
        <w:rPr>
          <w:rFonts w:hint="cs"/>
          <w:rtl/>
        </w:rPr>
        <w:t>وعلم الفقه</w:t>
      </w:r>
      <w:r w:rsidR="000636C2">
        <w:rPr>
          <w:rFonts w:hint="cs"/>
          <w:rtl/>
        </w:rPr>
        <w:t>،</w:t>
      </w:r>
      <w:r w:rsidRPr="005675B2">
        <w:rPr>
          <w:rFonts w:hint="cs"/>
          <w:rtl/>
        </w:rPr>
        <w:t>وأصول الفقه، والحديث بجميع علومه</w:t>
      </w:r>
      <w:r w:rsidR="000636C2">
        <w:rPr>
          <w:rFonts w:hint="cs"/>
          <w:rtl/>
        </w:rPr>
        <w:t>،</w:t>
      </w:r>
      <w:r w:rsidRPr="005675B2">
        <w:rPr>
          <w:rFonts w:hint="cs"/>
          <w:rtl/>
        </w:rPr>
        <w:t>والتفسير</w:t>
      </w:r>
      <w:r w:rsidR="000636C2">
        <w:rPr>
          <w:rFonts w:hint="cs"/>
          <w:rtl/>
        </w:rPr>
        <w:t>،</w:t>
      </w:r>
      <w:r w:rsidRPr="005675B2">
        <w:rPr>
          <w:rFonts w:hint="cs"/>
          <w:rtl/>
        </w:rPr>
        <w:t>واللغة بجميع علومها</w:t>
      </w:r>
      <w:r w:rsidR="000636C2">
        <w:rPr>
          <w:rFonts w:hint="cs"/>
          <w:rtl/>
        </w:rPr>
        <w:t>،</w:t>
      </w:r>
      <w:r w:rsidRPr="005675B2">
        <w:rPr>
          <w:rFonts w:hint="cs"/>
          <w:rtl/>
        </w:rPr>
        <w:t xml:space="preserve"> والتاريخ</w:t>
      </w:r>
      <w:r w:rsidR="000636C2">
        <w:rPr>
          <w:rFonts w:hint="cs"/>
          <w:rtl/>
        </w:rPr>
        <w:t>،</w:t>
      </w:r>
      <w:r w:rsidRPr="005675B2">
        <w:rPr>
          <w:rFonts w:hint="cs"/>
          <w:rtl/>
        </w:rPr>
        <w:t>والقراءات</w:t>
      </w:r>
      <w:r w:rsidR="000636C2">
        <w:rPr>
          <w:rFonts w:hint="cs"/>
          <w:rtl/>
        </w:rPr>
        <w:t>،</w:t>
      </w:r>
      <w:r w:rsidRPr="005675B2">
        <w:rPr>
          <w:rFonts w:hint="cs"/>
          <w:rtl/>
        </w:rPr>
        <w:t>والتجويد</w:t>
      </w:r>
      <w:r w:rsidR="000636C2">
        <w:rPr>
          <w:rFonts w:hint="cs"/>
          <w:rtl/>
        </w:rPr>
        <w:t>،</w:t>
      </w:r>
      <w:r w:rsidRPr="005675B2">
        <w:rPr>
          <w:rFonts w:hint="cs"/>
          <w:rtl/>
        </w:rPr>
        <w:t>وليس هناك علم إلا والناس عالة عليهم فيه</w:t>
      </w:r>
      <w:r w:rsidR="000636C2">
        <w:rPr>
          <w:rFonts w:hint="cs"/>
          <w:rtl/>
        </w:rPr>
        <w:t>،</w:t>
      </w:r>
    </w:p>
    <w:p w14:paraId="4CA9B43D" w14:textId="147845C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من حيث العبادة</w:t>
      </w:r>
      <w:r w:rsidR="000636C2">
        <w:rPr>
          <w:rFonts w:hint="cs"/>
          <w:rtl/>
        </w:rPr>
        <w:t>:</w:t>
      </w:r>
      <w:r w:rsidRPr="005675B2">
        <w:rPr>
          <w:rFonts w:hint="cs"/>
          <w:rtl/>
        </w:rPr>
        <w:t xml:space="preserve"> فهم من سادة الناس في الزهد و العبادة رحمهم الله تعالى</w:t>
      </w:r>
      <w:r w:rsidR="000636C2">
        <w:rPr>
          <w:rFonts w:hint="cs"/>
          <w:rtl/>
        </w:rPr>
        <w:t>،</w:t>
      </w:r>
      <w:r w:rsidRPr="005675B2">
        <w:rPr>
          <w:rFonts w:hint="cs"/>
          <w:rtl/>
        </w:rPr>
        <w:t xml:space="preserve"> وانظر كتاب صفة الصفوة لابن الجوزي</w:t>
      </w:r>
      <w:r w:rsidR="000636C2">
        <w:rPr>
          <w:rFonts w:hint="cs"/>
          <w:rtl/>
        </w:rPr>
        <w:t>،</w:t>
      </w:r>
      <w:r w:rsidRPr="005675B2">
        <w:rPr>
          <w:rFonts w:hint="cs"/>
          <w:rtl/>
        </w:rPr>
        <w:t xml:space="preserve"> تجد الجم الغفير</w:t>
      </w:r>
      <w:r w:rsidR="000636C2">
        <w:rPr>
          <w:rFonts w:hint="cs"/>
          <w:rtl/>
        </w:rPr>
        <w:t xml:space="preserve"> </w:t>
      </w:r>
      <w:r w:rsidRPr="005675B2">
        <w:rPr>
          <w:rFonts w:hint="cs"/>
          <w:rtl/>
        </w:rPr>
        <w:t>من عبّادهم</w:t>
      </w:r>
      <w:r w:rsidR="000636C2">
        <w:rPr>
          <w:rFonts w:hint="cs"/>
          <w:rtl/>
        </w:rPr>
        <w:t>،</w:t>
      </w:r>
      <w:r w:rsidRPr="005675B2">
        <w:rPr>
          <w:rFonts w:hint="cs"/>
          <w:rtl/>
        </w:rPr>
        <w:t>وتجّول بناظريك في كتاب إحياء علوم الدين ومنهاج العابدين للإمام الغزالي</w:t>
      </w:r>
      <w:r w:rsidR="000636C2">
        <w:rPr>
          <w:rFonts w:hint="cs"/>
          <w:rtl/>
        </w:rPr>
        <w:t>،</w:t>
      </w:r>
      <w:r w:rsidRPr="005675B2">
        <w:rPr>
          <w:rFonts w:hint="cs"/>
          <w:rtl/>
        </w:rPr>
        <w:t>وكٌتب الإمام النووي</w:t>
      </w:r>
      <w:r w:rsidR="000636C2">
        <w:rPr>
          <w:rFonts w:hint="cs"/>
          <w:rtl/>
        </w:rPr>
        <w:t>،</w:t>
      </w:r>
      <w:r w:rsidRPr="005675B2">
        <w:rPr>
          <w:rFonts w:hint="cs"/>
          <w:rtl/>
        </w:rPr>
        <w:t>وكتاب التذكرة بأحوال الموتى للإمام القرطبي</w:t>
      </w:r>
      <w:r w:rsidR="000636C2">
        <w:rPr>
          <w:rFonts w:hint="cs"/>
          <w:rtl/>
        </w:rPr>
        <w:t>،</w:t>
      </w:r>
      <w:r w:rsidRPr="005675B2">
        <w:rPr>
          <w:rFonts w:hint="cs"/>
          <w:rtl/>
        </w:rPr>
        <w:t>والرسالة القشيرية، وكتاب أصناف المغترين وغيرها كثير</w:t>
      </w:r>
      <w:r w:rsidR="000636C2">
        <w:rPr>
          <w:rFonts w:hint="cs"/>
          <w:rtl/>
        </w:rPr>
        <w:t>،</w:t>
      </w:r>
    </w:p>
    <w:p w14:paraId="257453C4" w14:textId="1E90CCD8"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w:t>
      </w:r>
      <w:r w:rsidR="000636C2">
        <w:rPr>
          <w:rFonts w:hint="cs"/>
          <w:rtl/>
        </w:rPr>
        <w:t xml:space="preserve"> </w:t>
      </w:r>
      <w:r w:rsidRPr="005675B2">
        <w:rPr>
          <w:rFonts w:hint="cs"/>
          <w:rtl/>
        </w:rPr>
        <w:t>الأشاعرة</w:t>
      </w:r>
      <w:r w:rsidR="000636C2">
        <w:rPr>
          <w:rFonts w:hint="cs"/>
          <w:rtl/>
        </w:rPr>
        <w:t xml:space="preserve"> </w:t>
      </w:r>
      <w:r w:rsidRPr="005675B2">
        <w:rPr>
          <w:rFonts w:hint="cs"/>
          <w:rtl/>
        </w:rPr>
        <w:t>ينصرون منهج السلف بالعقل والنقل</w:t>
      </w:r>
      <w:r w:rsidR="000636C2">
        <w:rPr>
          <w:rFonts w:hint="cs"/>
          <w:rtl/>
        </w:rPr>
        <w:t>،</w:t>
      </w:r>
      <w:r w:rsidRPr="005675B2">
        <w:rPr>
          <w:rFonts w:hint="cs"/>
          <w:rtl/>
        </w:rPr>
        <w:t>وقد صنّف إمام</w:t>
      </w:r>
      <w:r w:rsidR="000636C2">
        <w:rPr>
          <w:rFonts w:hint="cs"/>
          <w:rtl/>
        </w:rPr>
        <w:t xml:space="preserve"> </w:t>
      </w:r>
      <w:r w:rsidRPr="005675B2">
        <w:rPr>
          <w:rFonts w:hint="cs"/>
          <w:rtl/>
        </w:rPr>
        <w:t>أهل السنّة والجماعة في عصره</w:t>
      </w:r>
      <w:r w:rsidR="000636C2">
        <w:rPr>
          <w:rFonts w:hint="cs"/>
          <w:rtl/>
        </w:rPr>
        <w:t xml:space="preserve"> </w:t>
      </w:r>
      <w:r w:rsidRPr="005675B2">
        <w:rPr>
          <w:rFonts w:hint="cs"/>
          <w:rtl/>
        </w:rPr>
        <w:t>وبعده إلى يومنا هذا</w:t>
      </w:r>
      <w:r w:rsidR="000636C2">
        <w:rPr>
          <w:rFonts w:hint="cs"/>
          <w:rtl/>
        </w:rPr>
        <w:t xml:space="preserve"> </w:t>
      </w:r>
      <w:r w:rsidRPr="005675B2">
        <w:rPr>
          <w:rFonts w:hint="cs"/>
          <w:rtl/>
        </w:rPr>
        <w:t>الإمام</w:t>
      </w:r>
      <w:r w:rsidR="000636C2">
        <w:rPr>
          <w:rFonts w:hint="cs"/>
          <w:rtl/>
        </w:rPr>
        <w:t xml:space="preserve"> </w:t>
      </w:r>
      <w:r w:rsidRPr="005675B2">
        <w:rPr>
          <w:rFonts w:hint="cs"/>
          <w:rtl/>
        </w:rPr>
        <w:t>الأشعري</w:t>
      </w:r>
      <w:r w:rsidR="000636C2">
        <w:rPr>
          <w:rFonts w:hint="cs"/>
          <w:rtl/>
        </w:rPr>
        <w:t>،</w:t>
      </w:r>
      <w:r w:rsidRPr="005675B2">
        <w:rPr>
          <w:rFonts w:hint="cs"/>
          <w:rtl/>
        </w:rPr>
        <w:t xml:space="preserve"> المصنفات العظيمة في الردّ على طوائف المبتدعة والمخالفين للإسلام، مملوءة بحجج المنقول والمعقول، وكانت وفاة الأشعري في سنة أربع وعشرين وثلاثمائة للهجرة</w:t>
      </w:r>
      <w:r w:rsidR="000636C2">
        <w:rPr>
          <w:rFonts w:hint="cs"/>
          <w:rtl/>
        </w:rPr>
        <w:t>،</w:t>
      </w:r>
    </w:p>
    <w:p w14:paraId="7ABE443E" w14:textId="3B30459F" w:rsidR="009C32A0" w:rsidRPr="005675B2" w:rsidRDefault="009C32A0" w:rsidP="000636C2">
      <w:pPr>
        <w:rPr>
          <w:b/>
          <w:rtl/>
        </w:rPr>
      </w:pPr>
      <w:r w:rsidRPr="005675B2">
        <w:rPr>
          <w:rFonts w:hint="cs"/>
          <w:rtl/>
        </w:rPr>
        <w:t>وصنّف أتباعه من بعده</w:t>
      </w:r>
      <w:r w:rsidR="000636C2">
        <w:rPr>
          <w:rFonts w:hint="cs"/>
          <w:rtl/>
        </w:rPr>
        <w:t xml:space="preserve"> </w:t>
      </w:r>
      <w:r w:rsidRPr="005675B2">
        <w:rPr>
          <w:rFonts w:hint="cs"/>
          <w:rtl/>
        </w:rPr>
        <w:t>المئات من المجلدات في الردّ على المبتدعة والمخالفين للإسلام بالحجج الدامغة الكثيرة</w:t>
      </w:r>
      <w:r w:rsidR="000636C2">
        <w:rPr>
          <w:rFonts w:hint="cs"/>
          <w:rtl/>
        </w:rPr>
        <w:t>،</w:t>
      </w:r>
      <w:r w:rsidRPr="005675B2">
        <w:rPr>
          <w:rFonts w:hint="cs"/>
          <w:rtl/>
        </w:rPr>
        <w:t>والمناظرات العديدة</w:t>
      </w:r>
      <w:r w:rsidR="000636C2">
        <w:rPr>
          <w:rFonts w:hint="cs"/>
          <w:rtl/>
        </w:rPr>
        <w:t>،</w:t>
      </w:r>
      <w:r w:rsidRPr="005675B2">
        <w:rPr>
          <w:rFonts w:hint="cs"/>
          <w:rtl/>
        </w:rPr>
        <w:t>قطعوا بها</w:t>
      </w:r>
      <w:r w:rsidR="000636C2">
        <w:rPr>
          <w:rFonts w:hint="cs"/>
          <w:rtl/>
        </w:rPr>
        <w:t xml:space="preserve"> </w:t>
      </w:r>
      <w:r w:rsidRPr="005675B2">
        <w:rPr>
          <w:rFonts w:hint="cs"/>
          <w:rtl/>
        </w:rPr>
        <w:t>أفحل طوائف المبتدعة من</w:t>
      </w:r>
      <w:r w:rsidR="000636C2">
        <w:rPr>
          <w:rFonts w:hint="cs"/>
          <w:rtl/>
        </w:rPr>
        <w:t xml:space="preserve"> </w:t>
      </w:r>
      <w:r w:rsidRPr="005675B2">
        <w:rPr>
          <w:rFonts w:hint="cs"/>
          <w:rtl/>
        </w:rPr>
        <w:t>المعطلة والمشبهة والدهريين</w:t>
      </w:r>
      <w:r w:rsidR="000636C2">
        <w:rPr>
          <w:rFonts w:hint="cs"/>
          <w:rtl/>
        </w:rPr>
        <w:t>،</w:t>
      </w:r>
      <w:r w:rsidRPr="005675B2">
        <w:rPr>
          <w:rFonts w:hint="cs"/>
          <w:rtl/>
        </w:rPr>
        <w:t>والفلاسفة</w:t>
      </w:r>
      <w:r w:rsidR="000636C2">
        <w:rPr>
          <w:rFonts w:hint="cs"/>
          <w:rtl/>
        </w:rPr>
        <w:t>،</w:t>
      </w:r>
      <w:r w:rsidRPr="005675B2">
        <w:rPr>
          <w:rFonts w:hint="cs"/>
          <w:rtl/>
        </w:rPr>
        <w:t>والمنجّمين، ورفعوا</w:t>
      </w:r>
      <w:r w:rsidR="000636C2">
        <w:rPr>
          <w:rFonts w:hint="cs"/>
          <w:rtl/>
        </w:rPr>
        <w:t xml:space="preserve"> </w:t>
      </w:r>
      <w:r w:rsidRPr="005675B2">
        <w:rPr>
          <w:rFonts w:hint="cs"/>
          <w:rtl/>
        </w:rPr>
        <w:t>لواء مذهب أهل السنة والجماعة</w:t>
      </w:r>
      <w:r w:rsidR="000636C2">
        <w:rPr>
          <w:rFonts w:hint="cs"/>
          <w:rtl/>
        </w:rPr>
        <w:t xml:space="preserve"> </w:t>
      </w:r>
      <w:r w:rsidRPr="005675B2">
        <w:rPr>
          <w:rFonts w:hint="cs"/>
          <w:rtl/>
        </w:rPr>
        <w:t>في الخافِقَيْن وأبرزهم في نشره ثلاثة</w:t>
      </w:r>
      <w:r w:rsidR="000636C2">
        <w:rPr>
          <w:rFonts w:hint="cs"/>
          <w:rtl/>
        </w:rPr>
        <w:t>:</w:t>
      </w:r>
      <w:r w:rsidRPr="005675B2">
        <w:rPr>
          <w:rFonts w:hint="cs"/>
          <w:rtl/>
        </w:rPr>
        <w:t xml:space="preserve"> الأستاذ أبو بكر بن فُورَك، وأبو إسحاق الإسفراييني، والقاضي</w:t>
      </w:r>
      <w:r w:rsidR="000636C2">
        <w:rPr>
          <w:rFonts w:hint="cs"/>
          <w:rtl/>
        </w:rPr>
        <w:t xml:space="preserve"> </w:t>
      </w:r>
      <w:r w:rsidRPr="005675B2">
        <w:rPr>
          <w:rFonts w:hint="cs"/>
          <w:rtl/>
        </w:rPr>
        <w:t>الباقلاني، فالأولان</w:t>
      </w:r>
      <w:r w:rsidR="000636C2">
        <w:rPr>
          <w:rFonts w:hint="cs"/>
          <w:rtl/>
        </w:rPr>
        <w:t xml:space="preserve"> </w:t>
      </w:r>
      <w:r w:rsidRPr="005675B2">
        <w:rPr>
          <w:rFonts w:hint="cs"/>
          <w:rtl/>
        </w:rPr>
        <w:t>نشراه في المشرق، والقاضي نشره في المشرق والمغرب، فما جاءت المائة الخامسة إلا والأمة الإسلامية أشعرية وماتريدية</w:t>
      </w:r>
      <w:r w:rsidR="000636C2">
        <w:rPr>
          <w:rFonts w:hint="cs"/>
          <w:rtl/>
        </w:rPr>
        <w:t xml:space="preserve">، </w:t>
      </w:r>
      <w:r w:rsidRPr="005675B2">
        <w:rPr>
          <w:rFonts w:hint="cs"/>
          <w:rtl/>
        </w:rPr>
        <w:t>ومفوضة لم يشذّ عنها سوى نزر من المعتزلة وشرذمة من المشبّهة وطائفة من الخوارج؛ فلا تجد عالمًا محقّقًا أو فقيهًا مدققًا إلا وهو أشعري أو ماتريدي</w:t>
      </w:r>
      <w:r w:rsidR="000636C2">
        <w:rPr>
          <w:rFonts w:hint="cs"/>
          <w:rtl/>
        </w:rPr>
        <w:t xml:space="preserve"> </w:t>
      </w:r>
      <w:r w:rsidRPr="005675B2">
        <w:rPr>
          <w:rFonts w:hint="cs"/>
          <w:rtl/>
        </w:rPr>
        <w:t>أو حنبلي مفوض</w:t>
      </w:r>
      <w:r w:rsidR="000636C2">
        <w:rPr>
          <w:rFonts w:hint="cs"/>
          <w:rtl/>
        </w:rPr>
        <w:t>،</w:t>
      </w:r>
      <w:r w:rsidRPr="005675B2">
        <w:rPr>
          <w:rFonts w:hint="cs"/>
          <w:rtl/>
        </w:rPr>
        <w:t>وهو موافق لمذهب السلف غير مخالف</w:t>
      </w:r>
      <w:r w:rsidR="000636C2">
        <w:rPr>
          <w:rFonts w:hint="cs"/>
          <w:rtl/>
        </w:rPr>
        <w:t>،</w:t>
      </w:r>
      <w:r w:rsidRPr="005675B2">
        <w:rPr>
          <w:rFonts w:hint="cs"/>
          <w:rtl/>
        </w:rPr>
        <w:t xml:space="preserve"> وكان منهجهم توضيح للنوازل التي تشكل نحو الثوابت العقدية، فردعوا شبهات الفلاسفة والماديين</w:t>
      </w:r>
      <w:r w:rsidR="000636C2">
        <w:rPr>
          <w:rFonts w:hint="cs"/>
          <w:rtl/>
        </w:rPr>
        <w:t>،</w:t>
      </w:r>
      <w:r w:rsidRPr="005675B2">
        <w:rPr>
          <w:rFonts w:hint="cs"/>
          <w:rtl/>
        </w:rPr>
        <w:t>ونحوهم بكتب عظيمة إلى يومنا هذا</w:t>
      </w:r>
      <w:r w:rsidR="000636C2">
        <w:rPr>
          <w:rFonts w:hint="cs"/>
          <w:rtl/>
        </w:rPr>
        <w:t>،</w:t>
      </w:r>
      <w:r w:rsidRPr="005675B2">
        <w:rPr>
          <w:rFonts w:hint="cs"/>
          <w:rtl/>
        </w:rPr>
        <w:t>ولم تكن كتب عويل</w:t>
      </w:r>
      <w:r w:rsidR="000636C2">
        <w:rPr>
          <w:rFonts w:hint="cs"/>
          <w:rtl/>
        </w:rPr>
        <w:t>،</w:t>
      </w:r>
      <w:r w:rsidRPr="005675B2">
        <w:rPr>
          <w:rFonts w:hint="cs"/>
          <w:rtl/>
        </w:rPr>
        <w:t>وصراخ عاطفي وإنما كتب منظمة بمقدمات علمية أصيلة يتفق عليها كل العقلاء</w:t>
      </w:r>
      <w:r w:rsidR="000636C2">
        <w:rPr>
          <w:rFonts w:hint="cs"/>
          <w:rtl/>
        </w:rPr>
        <w:t xml:space="preserve"> </w:t>
      </w:r>
      <w:r w:rsidRPr="005675B2">
        <w:rPr>
          <w:rFonts w:hint="cs"/>
          <w:rtl/>
        </w:rPr>
        <w:t>مسلمهم و،كافرهم</w:t>
      </w:r>
      <w:r w:rsidR="000636C2">
        <w:rPr>
          <w:rFonts w:hint="cs"/>
          <w:rtl/>
        </w:rPr>
        <w:t>،</w:t>
      </w:r>
      <w:r w:rsidRPr="005675B2">
        <w:rPr>
          <w:rFonts w:hint="cs"/>
          <w:rtl/>
        </w:rPr>
        <w:t xml:space="preserve"> لا يكابر في ذلك إلا أهل الفوضى الفكرية بأصنافهم فلا كلام يتوجه لهم أصلاً</w:t>
      </w:r>
      <w:r w:rsidR="000636C2">
        <w:rPr>
          <w:rFonts w:hint="cs"/>
          <w:rtl/>
        </w:rPr>
        <w:t>،</w:t>
      </w:r>
    </w:p>
    <w:p w14:paraId="704CE7A5" w14:textId="5DE0B405" w:rsidR="009C32A0" w:rsidRPr="005675B2" w:rsidRDefault="009C32A0" w:rsidP="000636C2">
      <w:pPr>
        <w:rPr>
          <w:b/>
          <w:rtl/>
        </w:rPr>
      </w:pPr>
      <w:r w:rsidRPr="005675B2">
        <w:rPr>
          <w:rFonts w:hint="cs"/>
          <w:rtl/>
        </w:rPr>
        <w:t>فالمذهب الحق الذي كان عليه السلف الصالح هو ما عليه الأشعرية والماتريدية والمفوضة</w:t>
      </w:r>
      <w:r w:rsidR="000636C2">
        <w:rPr>
          <w:rFonts w:hint="cs"/>
          <w:rtl/>
        </w:rPr>
        <w:t>،</w:t>
      </w:r>
      <w:r w:rsidRPr="005675B2">
        <w:rPr>
          <w:rFonts w:hint="cs"/>
          <w:rtl/>
        </w:rPr>
        <w:t xml:space="preserve"> وهم مئات الملايين من المسلمين فكيف يكون هؤلاء السواد الأعظم على ضلال</w:t>
      </w:r>
      <w:r w:rsidR="000636C2">
        <w:rPr>
          <w:rFonts w:hint="cs"/>
          <w:rtl/>
        </w:rPr>
        <w:t>؟!</w:t>
      </w:r>
      <w:r w:rsidRPr="005675B2">
        <w:rPr>
          <w:rFonts w:hint="cs"/>
          <w:rtl/>
        </w:rPr>
        <w:t xml:space="preserve"> ويدل على ذلك ما رواه الترمذي وابن ماجة وغيرهما</w:t>
      </w:r>
      <w:r w:rsidR="000636C2">
        <w:rPr>
          <w:rFonts w:hint="cs"/>
          <w:rtl/>
        </w:rPr>
        <w:t>:</w:t>
      </w:r>
      <w:r w:rsidRPr="005675B2">
        <w:rPr>
          <w:rFonts w:hint="cs"/>
          <w:rtl/>
        </w:rPr>
        <w:t xml:space="preserve"> "إن الله لا يجمع أمتي على ضلالة" وعند ابن ماجة زيادة</w:t>
      </w:r>
      <w:r w:rsidR="000636C2">
        <w:rPr>
          <w:rFonts w:hint="cs"/>
          <w:rtl/>
        </w:rPr>
        <w:t xml:space="preserve">: </w:t>
      </w:r>
      <w:r w:rsidRPr="005675B2">
        <w:rPr>
          <w:rFonts w:hint="cs"/>
          <w:rtl/>
        </w:rPr>
        <w:t>(</w:t>
      </w:r>
      <w:r w:rsidR="000636C2">
        <w:rPr>
          <w:rFonts w:hint="cs"/>
          <w:rtl/>
        </w:rPr>
        <w:t>(</w:t>
      </w:r>
      <w:r w:rsidRPr="005675B2">
        <w:rPr>
          <w:rFonts w:hint="cs"/>
          <w:rtl/>
        </w:rPr>
        <w:t>فإذا رأيتم اختلافًا فعليكم بالسواد الأعظم</w:t>
      </w:r>
      <w:r w:rsidR="000636C2">
        <w:rPr>
          <w:rFonts w:hint="cs"/>
          <w:rtl/>
        </w:rPr>
        <w:t>)</w:t>
      </w:r>
      <w:r w:rsidRPr="005675B2">
        <w:rPr>
          <w:rFonts w:hint="cs"/>
          <w:rtl/>
        </w:rPr>
        <w:t>)</w:t>
      </w:r>
      <w:r w:rsidR="000636C2">
        <w:rPr>
          <w:rFonts w:hint="cs"/>
          <w:rtl/>
        </w:rPr>
        <w:t>،</w:t>
      </w:r>
    </w:p>
    <w:p w14:paraId="515F9F26" w14:textId="630EA408" w:rsidR="009C32A0" w:rsidRPr="005675B2" w:rsidRDefault="009C32A0" w:rsidP="000636C2">
      <w:pPr>
        <w:rPr>
          <w:b/>
          <w:rtl/>
        </w:rPr>
      </w:pPr>
      <w:r w:rsidRPr="005675B2">
        <w:rPr>
          <w:rFonts w:hint="cs"/>
          <w:rtl/>
        </w:rPr>
        <w:t>ويقوي هذا الحديث الحديث الموقوف على أبي مسعود البدري</w:t>
      </w:r>
      <w:r w:rsidR="000636C2">
        <w:rPr>
          <w:rFonts w:hint="cs"/>
          <w:rtl/>
        </w:rPr>
        <w:t>:</w:t>
      </w:r>
      <w:r w:rsidRPr="005675B2">
        <w:rPr>
          <w:rFonts w:hint="cs"/>
          <w:rtl/>
        </w:rPr>
        <w:t xml:space="preserve"> "وعليكم بالجماعة فإن الله لا يجمع هذه الأمة على ضلالة" قال الحافظ ابن حجر</w:t>
      </w:r>
      <w:r w:rsidR="000636C2">
        <w:rPr>
          <w:rFonts w:hint="cs"/>
          <w:rtl/>
        </w:rPr>
        <w:t>:</w:t>
      </w:r>
      <w:r w:rsidRPr="005675B2">
        <w:rPr>
          <w:rFonts w:hint="cs"/>
          <w:rtl/>
        </w:rPr>
        <w:t xml:space="preserve"> "وإسناده حسن"، والحديث الموقوف على عبد الله بن مسعود وهو أيضًا ثابت عنه</w:t>
      </w:r>
      <w:r w:rsidR="000636C2">
        <w:rPr>
          <w:rFonts w:hint="cs"/>
          <w:rtl/>
        </w:rPr>
        <w:t>:</w:t>
      </w:r>
      <w:r w:rsidRPr="005675B2">
        <w:rPr>
          <w:rFonts w:hint="cs"/>
          <w:rtl/>
        </w:rPr>
        <w:t xml:space="preserve"> "ما رأه المسلمون حسنًا فهو عند الله حسن، وما رأه المسلمون قبيحًا فهو عند الله قبيح"، قال الحافظ ابن حجر</w:t>
      </w:r>
      <w:r w:rsidR="000636C2">
        <w:rPr>
          <w:rFonts w:hint="cs"/>
          <w:rtl/>
        </w:rPr>
        <w:t>:</w:t>
      </w:r>
      <w:r w:rsidRPr="005675B2">
        <w:rPr>
          <w:rFonts w:hint="cs"/>
          <w:rtl/>
        </w:rPr>
        <w:t xml:space="preserve"> "هذا موقوف حسن"</w:t>
      </w:r>
      <w:r w:rsidR="000636C2">
        <w:rPr>
          <w:rFonts w:hint="cs"/>
          <w:rtl/>
        </w:rPr>
        <w:t>،</w:t>
      </w:r>
    </w:p>
    <w:p w14:paraId="5C695888" w14:textId="5D70C16C" w:rsidR="009C32A0" w:rsidRPr="005675B2" w:rsidRDefault="009C32A0" w:rsidP="000636C2">
      <w:pPr>
        <w:rPr>
          <w:b/>
          <w:rtl/>
        </w:rPr>
      </w:pPr>
      <w:r w:rsidRPr="005675B2">
        <w:rPr>
          <w:rFonts w:hint="cs"/>
          <w:rtl/>
        </w:rPr>
        <w:t>وكذا</w:t>
      </w:r>
      <w:r w:rsidR="000636C2">
        <w:rPr>
          <w:rFonts w:hint="cs"/>
          <w:rtl/>
        </w:rPr>
        <w:t xml:space="preserve"> </w:t>
      </w:r>
      <w:r w:rsidRPr="005675B2">
        <w:rPr>
          <w:rFonts w:hint="cs"/>
          <w:rtl/>
        </w:rPr>
        <w:t>ما صح مرفوعًا إلى النبي صلى الله عليه سلم من قوله</w:t>
      </w:r>
      <w:r w:rsidR="000636C2">
        <w:rPr>
          <w:rFonts w:hint="cs"/>
          <w:rtl/>
        </w:rPr>
        <w:t>:</w:t>
      </w:r>
      <w:r w:rsidRPr="005675B2">
        <w:rPr>
          <w:rFonts w:hint="cs"/>
          <w:rtl/>
        </w:rPr>
        <w:t xml:space="preserve"> " لا تزال طائفة من أمتي ظاهرين على الحق حتى تقوم الساعة"</w:t>
      </w:r>
      <w:r w:rsidR="000636C2">
        <w:rPr>
          <w:rFonts w:hint="cs"/>
          <w:rtl/>
        </w:rPr>
        <w:t>،</w:t>
      </w:r>
    </w:p>
    <w:p w14:paraId="5076508B" w14:textId="6F838FF8" w:rsidR="009C32A0" w:rsidRPr="005675B2" w:rsidRDefault="009C32A0" w:rsidP="000636C2">
      <w:pPr>
        <w:rPr>
          <w:b/>
          <w:rtl/>
        </w:rPr>
      </w:pPr>
      <w:r w:rsidRPr="005675B2">
        <w:rPr>
          <w:rFonts w:hint="cs"/>
          <w:bCs/>
          <w:rtl/>
        </w:rPr>
        <w:t>شبهة المراحل</w:t>
      </w:r>
      <w:r w:rsidR="000636C2">
        <w:rPr>
          <w:rFonts w:hint="cs"/>
          <w:bCs/>
          <w:rtl/>
        </w:rPr>
        <w:t xml:space="preserve"> </w:t>
      </w:r>
      <w:r w:rsidRPr="005675B2">
        <w:rPr>
          <w:rFonts w:hint="cs"/>
          <w:bCs/>
          <w:rtl/>
        </w:rPr>
        <w:t>الثلاث</w:t>
      </w:r>
      <w:r w:rsidR="000636C2">
        <w:rPr>
          <w:rFonts w:hint="cs"/>
          <w:bCs/>
          <w:rtl/>
        </w:rPr>
        <w:t xml:space="preserve"> </w:t>
      </w:r>
      <w:r w:rsidRPr="005675B2">
        <w:rPr>
          <w:rFonts w:hint="cs"/>
          <w:bCs/>
          <w:rtl/>
        </w:rPr>
        <w:t xml:space="preserve">للإمام أبي الحسن الأشعري </w:t>
      </w:r>
      <w:r w:rsidR="000636C2">
        <w:rPr>
          <w:rFonts w:hint="cs"/>
          <w:rtl/>
        </w:rPr>
        <w:t>[</w:t>
      </w:r>
      <w:r w:rsidRPr="005675B2">
        <w:rPr>
          <w:rFonts w:hint="cs"/>
          <w:bCs/>
          <w:sz w:val="24"/>
          <w:szCs w:val="24"/>
          <w:rtl/>
        </w:rPr>
        <w:t>انظر طبقات الشافعية الكبرى 3/360</w:t>
      </w:r>
      <w:r w:rsidR="000636C2">
        <w:rPr>
          <w:rFonts w:hint="cs"/>
          <w:bCs/>
          <w:sz w:val="24"/>
          <w:szCs w:val="24"/>
          <w:rtl/>
        </w:rPr>
        <w:t>،</w:t>
      </w:r>
      <w:r w:rsidRPr="005675B2">
        <w:rPr>
          <w:rFonts w:hint="cs"/>
          <w:bCs/>
          <w:sz w:val="24"/>
          <w:szCs w:val="24"/>
          <w:rtl/>
        </w:rPr>
        <w:t xml:space="preserve"> وكتاب تبيين كذب المفتري . وكتاب نظرة علمية في نسبة كتاب الإبانة جميعه إلى الإمام أبي الحسن الأشعري . تأليف الشيخ وهبي سليمان غاوجي</w:t>
      </w:r>
      <w:r w:rsidR="000636C2">
        <w:rPr>
          <w:rFonts w:hint="cs"/>
          <w:bCs/>
          <w:sz w:val="24"/>
          <w:szCs w:val="24"/>
          <w:rtl/>
        </w:rPr>
        <w:t>]</w:t>
      </w:r>
      <w:r w:rsidR="000636C2">
        <w:rPr>
          <w:rFonts w:hint="cs"/>
          <w:rtl/>
        </w:rPr>
        <w:t xml:space="preserve">: </w:t>
      </w:r>
      <w:r w:rsidRPr="005675B2">
        <w:rPr>
          <w:rFonts w:hint="cs"/>
          <w:rtl/>
        </w:rPr>
        <w:t>هو أبو الحسن علي بن إسماعيل بن أبي بشر إسحاق بن سالم بن إسماعيل بن عبد الله بن موسى بن بلال بن أبي بُردَةَ عامر ابن صاحب رسول الله صلى الله عليه وسلم أبي موسى الأشعري</w:t>
      </w:r>
      <w:r w:rsidR="000636C2">
        <w:rPr>
          <w:rFonts w:hint="cs"/>
          <w:rtl/>
        </w:rPr>
        <w:t>،</w:t>
      </w:r>
      <w:r w:rsidRPr="005675B2">
        <w:rPr>
          <w:rFonts w:hint="cs"/>
          <w:rtl/>
        </w:rPr>
        <w:t xml:space="preserve"> ولد رحمه الله سنة ستين ومائتين بالبصرة.. وفي تاريخ وفاته اختلاف منها أنه توفي سنة ثلاث وثلاثين وثلاثمائة، وقيل</w:t>
      </w:r>
      <w:r w:rsidR="000636C2">
        <w:rPr>
          <w:rFonts w:hint="cs"/>
          <w:rtl/>
        </w:rPr>
        <w:t>:</w:t>
      </w:r>
      <w:r w:rsidRPr="005675B2">
        <w:rPr>
          <w:rFonts w:hint="cs"/>
          <w:rtl/>
        </w:rPr>
        <w:t xml:space="preserve"> سنة أربع وعشرين، وقيل</w:t>
      </w:r>
      <w:r w:rsidR="000636C2">
        <w:rPr>
          <w:rFonts w:hint="cs"/>
          <w:rtl/>
        </w:rPr>
        <w:t>:</w:t>
      </w:r>
      <w:r w:rsidRPr="005675B2">
        <w:rPr>
          <w:rFonts w:hint="cs"/>
          <w:rtl/>
        </w:rPr>
        <w:t xml:space="preserve"> سنة ثلاثين، توفي رحمه الله ببغداد ودفن بين الكرخ وباب البصرة</w:t>
      </w:r>
      <w:r w:rsidR="000636C2">
        <w:rPr>
          <w:rFonts w:hint="cs"/>
          <w:rtl/>
        </w:rPr>
        <w:t>،</w:t>
      </w:r>
      <w:r w:rsidRPr="005675B2">
        <w:rPr>
          <w:rFonts w:hint="cs"/>
          <w:rtl/>
        </w:rPr>
        <w:t xml:space="preserve"> كان أبو الحسن الأشعري سنّيـاًمن بيت سنّة</w:t>
      </w:r>
      <w:r w:rsidR="000636C2">
        <w:rPr>
          <w:rFonts w:hint="cs"/>
          <w:rtl/>
        </w:rPr>
        <w:t>،</w:t>
      </w:r>
      <w:r w:rsidRPr="005675B2">
        <w:rPr>
          <w:rFonts w:hint="cs"/>
          <w:rtl/>
        </w:rPr>
        <w:t>ثم درس الاعتزال على أبي علي الجبَّائي وتبعه في الاعتزال، ثم تاب، ورَقِيَ كرسيّاً في المسجد الجامع بالبصرة يوم الجمعة،ونادى بأعلى صوته</w:t>
      </w:r>
      <w:r w:rsidR="000636C2">
        <w:rPr>
          <w:rFonts w:hint="cs"/>
          <w:rtl/>
        </w:rPr>
        <w:t>:</w:t>
      </w:r>
      <w:r w:rsidRPr="005675B2">
        <w:rPr>
          <w:rFonts w:hint="cs"/>
          <w:rtl/>
        </w:rPr>
        <w:t xml:space="preserve"> من عرفني فقد عرفني ومن لم يعرفني فإني أعرفه بنفسي، ثم أعلن توبته من الاعتزال والرجوع إلى طريقة أهل السنة ولجماعة</w:t>
      </w:r>
      <w:r w:rsidR="000636C2">
        <w:rPr>
          <w:rFonts w:hint="cs"/>
          <w:rtl/>
        </w:rPr>
        <w:t>،</w:t>
      </w:r>
      <w:r w:rsidRPr="005675B2">
        <w:rPr>
          <w:rFonts w:hint="cs"/>
          <w:rtl/>
        </w:rPr>
        <w:t xml:space="preserve"> وكانت هي العقيدة التي دافع عنها حتى مات رحمه الله فقد كان تارة يبينها بطريقة التأويل الشرعي الصحيح</w:t>
      </w:r>
      <w:r w:rsidR="000636C2">
        <w:rPr>
          <w:rFonts w:hint="cs"/>
          <w:rtl/>
        </w:rPr>
        <w:t>،</w:t>
      </w:r>
      <w:r w:rsidRPr="005675B2">
        <w:rPr>
          <w:rFonts w:hint="cs"/>
          <w:rtl/>
        </w:rPr>
        <w:t>وتارة بالتفويض الشرعي الصحيح</w:t>
      </w:r>
      <w:r w:rsidR="000636C2">
        <w:rPr>
          <w:rFonts w:hint="cs"/>
          <w:rtl/>
        </w:rPr>
        <w:t>،</w:t>
      </w:r>
      <w:r w:rsidRPr="005675B2">
        <w:rPr>
          <w:rFonts w:hint="cs"/>
          <w:rtl/>
        </w:rPr>
        <w:t>فكلاهما مسلكان صحيحان لأهل السنة</w:t>
      </w:r>
      <w:r w:rsidR="000636C2">
        <w:rPr>
          <w:rFonts w:hint="cs"/>
          <w:rtl/>
        </w:rPr>
        <w:t>،</w:t>
      </w:r>
      <w:r w:rsidRPr="005675B2">
        <w:rPr>
          <w:rFonts w:hint="cs"/>
          <w:rtl/>
        </w:rPr>
        <w:t xml:space="preserve"> قال الفقيه أبو بكر الصَّيرَفي</w:t>
      </w:r>
      <w:r w:rsidR="000636C2">
        <w:rPr>
          <w:rFonts w:hint="cs"/>
          <w:rtl/>
        </w:rPr>
        <w:t>:</w:t>
      </w:r>
      <w:r w:rsidRPr="005675B2">
        <w:rPr>
          <w:rFonts w:hint="cs"/>
          <w:rtl/>
        </w:rPr>
        <w:t xml:space="preserve"> "كانت المعتزلة قد رفعوا رءوسهم حتى نشأ الأشعري فحجزهم في أقماع السَّماسم</w:t>
      </w:r>
      <w:r w:rsidR="000636C2">
        <w:rPr>
          <w:rFonts w:hint="cs"/>
          <w:rtl/>
        </w:rPr>
        <w:t>،</w:t>
      </w:r>
      <w:r w:rsidRPr="005675B2">
        <w:rPr>
          <w:rFonts w:hint="cs"/>
          <w:rtl/>
        </w:rPr>
        <w:t xml:space="preserve"> ونقل ذلك</w:t>
      </w:r>
      <w:r w:rsidR="000636C2">
        <w:rPr>
          <w:rFonts w:hint="cs"/>
          <w:rtl/>
        </w:rPr>
        <w:t xml:space="preserve"> </w:t>
      </w:r>
      <w:r w:rsidRPr="005675B2">
        <w:rPr>
          <w:rFonts w:hint="cs"/>
          <w:rtl/>
        </w:rPr>
        <w:t>غيره</w:t>
      </w:r>
      <w:r w:rsidR="000636C2">
        <w:rPr>
          <w:rFonts w:hint="cs"/>
          <w:rtl/>
        </w:rPr>
        <w:t>،،</w:t>
      </w:r>
      <w:r w:rsidRPr="005675B2">
        <w:rPr>
          <w:rFonts w:hint="cs"/>
          <w:rtl/>
        </w:rPr>
        <w:t xml:space="preserve"> وقدكتب عنه وعن فضله</w:t>
      </w:r>
      <w:r w:rsidR="000636C2">
        <w:rPr>
          <w:rFonts w:hint="cs"/>
          <w:rtl/>
        </w:rPr>
        <w:t xml:space="preserve"> </w:t>
      </w:r>
      <w:r w:rsidRPr="005675B2">
        <w:rPr>
          <w:rFonts w:hint="cs"/>
          <w:rtl/>
        </w:rPr>
        <w:t>مؤرخ الشام وحافظها أبو القاسم علي بن الحسن</w:t>
      </w:r>
      <w:r w:rsidR="000636C2">
        <w:rPr>
          <w:rFonts w:hint="cs"/>
          <w:rtl/>
        </w:rPr>
        <w:t xml:space="preserve"> </w:t>
      </w:r>
      <w:r w:rsidRPr="005675B2">
        <w:rPr>
          <w:rFonts w:hint="cs"/>
          <w:rtl/>
        </w:rPr>
        <w:t>بن عساكر في كتابه الذي ألفه في الدفاع عن الشيخ أبي الحسن الأشعري</w:t>
      </w:r>
      <w:r w:rsidR="000636C2">
        <w:rPr>
          <w:rFonts w:hint="cs"/>
          <w:rtl/>
        </w:rPr>
        <w:t>،</w:t>
      </w:r>
      <w:r w:rsidRPr="005675B2">
        <w:rPr>
          <w:rFonts w:hint="cs"/>
          <w:rtl/>
        </w:rPr>
        <w:t>مع ذكر مناقبه</w:t>
      </w:r>
      <w:r w:rsidR="000636C2">
        <w:rPr>
          <w:rFonts w:hint="cs"/>
          <w:rtl/>
        </w:rPr>
        <w:t>،</w:t>
      </w:r>
      <w:r w:rsidRPr="005675B2">
        <w:rPr>
          <w:rFonts w:hint="cs"/>
          <w:rtl/>
        </w:rPr>
        <w:t>ومؤلفاته</w:t>
      </w:r>
      <w:r w:rsidR="000636C2">
        <w:rPr>
          <w:rFonts w:hint="cs"/>
          <w:rtl/>
        </w:rPr>
        <w:t>،</w:t>
      </w:r>
      <w:r w:rsidRPr="005675B2">
        <w:rPr>
          <w:rFonts w:hint="cs"/>
          <w:rtl/>
        </w:rPr>
        <w:t>وثناء الأئمة عليه</w:t>
      </w:r>
      <w:r w:rsidR="000636C2">
        <w:rPr>
          <w:rFonts w:hint="cs"/>
          <w:rtl/>
        </w:rPr>
        <w:t>،</w:t>
      </w:r>
      <w:r w:rsidRPr="005675B2">
        <w:rPr>
          <w:rFonts w:hint="cs"/>
          <w:rtl/>
        </w:rPr>
        <w:t xml:space="preserve"> وقد أفرد قاضي القضاة الشيخ تاج الدين ابن الإمام قاضي القضاة تقي الدين السبكي فصلا ًخاصاً بذكر أكابر المنتسبين إلى الشيخ أبي الحسن الأشعري</w:t>
      </w:r>
      <w:r w:rsidR="000636C2">
        <w:rPr>
          <w:rFonts w:hint="cs"/>
          <w:rtl/>
        </w:rPr>
        <w:t>،</w:t>
      </w:r>
      <w:r w:rsidRPr="005675B2">
        <w:rPr>
          <w:rFonts w:hint="cs"/>
          <w:rtl/>
        </w:rPr>
        <w:t>وذلك أثناء ترجمته في كتابه طبقات الشافعية</w:t>
      </w:r>
      <w:r w:rsidR="000636C2">
        <w:rPr>
          <w:rFonts w:hint="cs"/>
          <w:rtl/>
        </w:rPr>
        <w:t xml:space="preserve">، </w:t>
      </w:r>
      <w:r w:rsidRPr="005675B2">
        <w:rPr>
          <w:rFonts w:hint="cs"/>
          <w:rtl/>
        </w:rPr>
        <w:t>قال</w:t>
      </w:r>
      <w:r w:rsidR="000636C2">
        <w:rPr>
          <w:rFonts w:hint="cs"/>
          <w:rtl/>
        </w:rPr>
        <w:t xml:space="preserve"> </w:t>
      </w:r>
      <w:r w:rsidRPr="005675B2">
        <w:rPr>
          <w:rFonts w:hint="cs"/>
          <w:rtl/>
        </w:rPr>
        <w:t>التّاج السبكي في طبقاته</w:t>
      </w:r>
      <w:r w:rsidR="000636C2">
        <w:rPr>
          <w:rFonts w:hint="cs"/>
          <w:rtl/>
        </w:rPr>
        <w:t xml:space="preserve"> </w:t>
      </w:r>
      <w:r w:rsidRPr="005675B2">
        <w:rPr>
          <w:rFonts w:hint="cs"/>
          <w:rtl/>
        </w:rPr>
        <w:t>أثناء ترجمة الأشعري ما نصه</w:t>
      </w:r>
      <w:r w:rsidR="000636C2">
        <w:rPr>
          <w:rFonts w:hint="cs"/>
          <w:rtl/>
        </w:rPr>
        <w:t>:</w:t>
      </w:r>
      <w:r w:rsidRPr="005675B2">
        <w:rPr>
          <w:rFonts w:hint="cs"/>
          <w:rtl/>
        </w:rPr>
        <w:t xml:space="preserve"> ذكر بيان أن طريقة الشيخ - يعني الأشعري - هي التي عليها المعتبرون من علماء الاسلام</w:t>
      </w:r>
      <w:r w:rsidR="000636C2">
        <w:rPr>
          <w:rFonts w:hint="cs"/>
          <w:rtl/>
        </w:rPr>
        <w:t>،</w:t>
      </w:r>
      <w:r w:rsidRPr="005675B2">
        <w:rPr>
          <w:rFonts w:hint="cs"/>
          <w:rtl/>
        </w:rPr>
        <w:t>والمتميزون من المذاهب الأربعة في معرفة الحلال والحرام</w:t>
      </w:r>
      <w:r w:rsidR="000636C2">
        <w:rPr>
          <w:rFonts w:hint="cs"/>
          <w:rtl/>
        </w:rPr>
        <w:t>،</w:t>
      </w:r>
      <w:r w:rsidRPr="005675B2">
        <w:rPr>
          <w:rFonts w:hint="cs"/>
          <w:rtl/>
        </w:rPr>
        <w:t>والقائمون بنصرة دين سيدنا محمد عليه أفضل الصلاة والسلام</w:t>
      </w:r>
      <w:r w:rsidR="000636C2">
        <w:rPr>
          <w:rFonts w:hint="cs"/>
          <w:rtl/>
        </w:rPr>
        <w:t>:</w:t>
      </w:r>
      <w:r w:rsidRPr="005675B2">
        <w:rPr>
          <w:rFonts w:hint="cs"/>
          <w:rtl/>
        </w:rPr>
        <w:t xml:space="preserve"> قدمنا في تضاعيف الكلام ما يدل على ذلك، وحكينا لك مقالة الشيخ العز ابن عبد السلام ومن سبقه إلى مثلها، وتلاه على قولها حيث ذكروا أن المالكية</w:t>
      </w:r>
      <w:r w:rsidR="000636C2">
        <w:rPr>
          <w:rFonts w:hint="cs"/>
          <w:rtl/>
        </w:rPr>
        <w:t>،</w:t>
      </w:r>
      <w:r w:rsidRPr="005675B2">
        <w:rPr>
          <w:rFonts w:hint="cs"/>
          <w:rtl/>
        </w:rPr>
        <w:t>والشافعية والحنفية</w:t>
      </w:r>
      <w:r w:rsidR="000636C2">
        <w:rPr>
          <w:rFonts w:hint="cs"/>
          <w:rtl/>
        </w:rPr>
        <w:t>،</w:t>
      </w:r>
      <w:r w:rsidRPr="005675B2">
        <w:rPr>
          <w:rFonts w:hint="cs"/>
          <w:rtl/>
        </w:rPr>
        <w:t>وفضلاء الحنابلة أشعريون</w:t>
      </w:r>
      <w:r w:rsidR="000636C2">
        <w:rPr>
          <w:rFonts w:hint="cs"/>
          <w:rtl/>
        </w:rPr>
        <w:t>،</w:t>
      </w:r>
      <w:r w:rsidRPr="005675B2">
        <w:rPr>
          <w:rFonts w:hint="cs"/>
          <w:rtl/>
        </w:rPr>
        <w:t>هذه عبارة سلطان العلماء العز</w:t>
      </w:r>
      <w:r w:rsidR="000636C2">
        <w:rPr>
          <w:rFonts w:hint="cs"/>
          <w:rtl/>
        </w:rPr>
        <w:t xml:space="preserve"> </w:t>
      </w:r>
      <w:r w:rsidRPr="005675B2">
        <w:rPr>
          <w:rFonts w:hint="cs"/>
          <w:rtl/>
        </w:rPr>
        <w:t>ابن عبد السلام شيخ الشافعية، وابن الحاجب شيخ المالكية، والحصيري شيخ الحنفية، ومن كلام ابن عساكر حافظ هذه الأمة الثقة الثبت</w:t>
      </w:r>
      <w:r w:rsidR="000636C2">
        <w:rPr>
          <w:rFonts w:hint="cs"/>
          <w:rtl/>
        </w:rPr>
        <w:t>:</w:t>
      </w:r>
      <w:r w:rsidRPr="005675B2">
        <w:rPr>
          <w:rFonts w:hint="cs"/>
          <w:rtl/>
        </w:rPr>
        <w:t xml:space="preserve"> هل من الفقهاء الحنفية والمالكية والشافعية إلا موافق للأشعري ومنتسب له وراض بحميد سعيه في دين الله، مثنٍ بكثرة العلم عليه غير شرذمة قليلة تضمر التشبيه، وتعادي كل موحد يعتقد التنزيه، أو تضاهي قول المعتزلة في ذمه، وتباهي بإظهار جهلها بقدر سعة علمه"</w:t>
      </w:r>
      <w:r w:rsidR="000636C2">
        <w:rPr>
          <w:rFonts w:hint="cs"/>
          <w:rtl/>
        </w:rPr>
        <w:t>،</w:t>
      </w:r>
      <w:r w:rsidRPr="005675B2">
        <w:rPr>
          <w:rFonts w:hint="cs"/>
          <w:rtl/>
        </w:rPr>
        <w:t xml:space="preserve"> ا 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طبقات الشافعية 2/245</w:t>
      </w:r>
      <w:r w:rsidRPr="005675B2">
        <w:rPr>
          <w:rFonts w:hint="cs"/>
          <w:rtl/>
        </w:rPr>
        <w:t>]</w:t>
      </w:r>
    </w:p>
    <w:p w14:paraId="65FCB6FD" w14:textId="5ADDDA00" w:rsidR="009C32A0" w:rsidRPr="005675B2" w:rsidRDefault="009C32A0" w:rsidP="000636C2">
      <w:pPr>
        <w:rPr>
          <w:b/>
          <w:rtl/>
        </w:rPr>
      </w:pPr>
      <w:r w:rsidRPr="005675B2">
        <w:rPr>
          <w:rFonts w:hint="cs"/>
          <w:bCs/>
          <w:u w:val="single"/>
          <w:rtl/>
        </w:rPr>
        <w:t>وقال الأستاذ أبو القاسم القشيري</w:t>
      </w:r>
      <w:r w:rsidRPr="005675B2">
        <w:rPr>
          <w:rFonts w:hint="cs"/>
          <w:u w:val="single"/>
          <w:rtl/>
        </w:rPr>
        <w:t xml:space="preserve"> رحمه الله</w:t>
      </w:r>
      <w:r w:rsidR="000636C2">
        <w:rPr>
          <w:rFonts w:hint="cs"/>
          <w:u w:val="single"/>
          <w:rtl/>
        </w:rPr>
        <w:t>:</w:t>
      </w:r>
      <w:r w:rsidRPr="005675B2">
        <w:rPr>
          <w:rFonts w:hint="cs"/>
          <w:u w:val="single"/>
          <w:rtl/>
        </w:rPr>
        <w:t xml:space="preserve"> "اتفق أصحاب الحديث أن أبا الحسن علي بن إسماعيل الأشعري كان إماماً من أئمة أصحاب الحديث، </w:t>
      </w:r>
      <w:r w:rsidR="000636C2">
        <w:rPr>
          <w:rFonts w:hint="cs"/>
          <w:u w:val="single"/>
          <w:rtl/>
        </w:rPr>
        <w:t>[</w:t>
      </w:r>
      <w:r w:rsidRPr="005675B2">
        <w:rPr>
          <w:rFonts w:hint="cs"/>
          <w:bCs/>
          <w:sz w:val="24"/>
          <w:szCs w:val="24"/>
          <w:rtl/>
        </w:rPr>
        <w:t>مصطلح اصحاب الحديث يوازي مصطلح أهل السنة والجماعة]</w:t>
      </w:r>
      <w:r w:rsidRPr="005675B2">
        <w:rPr>
          <w:rFonts w:hint="cs"/>
          <w:u w:val="single"/>
          <w:rtl/>
        </w:rPr>
        <w:t xml:space="preserve"> ومذهبه مذهب أصحاب الحديث</w:t>
      </w:r>
      <w:r w:rsidR="000636C2">
        <w:rPr>
          <w:rFonts w:hint="cs"/>
          <w:u w:val="single"/>
          <w:rtl/>
        </w:rPr>
        <w:t>،</w:t>
      </w:r>
      <w:r w:rsidRPr="005675B2">
        <w:rPr>
          <w:rFonts w:hint="cs"/>
          <w:u w:val="single"/>
          <w:rtl/>
        </w:rPr>
        <w:t xml:space="preserve"> تكلم في أصول الدين على طريقة أهل السنة</w:t>
      </w:r>
      <w:r w:rsidR="000636C2">
        <w:rPr>
          <w:rFonts w:hint="cs"/>
          <w:u w:val="single"/>
          <w:rtl/>
        </w:rPr>
        <w:t>،</w:t>
      </w:r>
      <w:r w:rsidRPr="005675B2">
        <w:rPr>
          <w:rFonts w:hint="cs"/>
          <w:u w:val="single"/>
          <w:rtl/>
        </w:rPr>
        <w:t>ورد على المخالفين من أهل الزيغ والبـدع، وكان على المعتزلة والمبتدعين من أهل القبلة والخارجين عن الملة سيفا ًمسلولاً، ومن طعن فيه</w:t>
      </w:r>
      <w:r w:rsidR="000636C2">
        <w:rPr>
          <w:rFonts w:hint="cs"/>
          <w:u w:val="single"/>
          <w:rtl/>
        </w:rPr>
        <w:t>،</w:t>
      </w:r>
      <w:r w:rsidRPr="005675B2">
        <w:rPr>
          <w:rFonts w:hint="cs"/>
          <w:u w:val="single"/>
          <w:rtl/>
        </w:rPr>
        <w:t>أو قدح</w:t>
      </w:r>
      <w:r w:rsidR="000636C2">
        <w:rPr>
          <w:rFonts w:hint="cs"/>
          <w:u w:val="single"/>
          <w:rtl/>
        </w:rPr>
        <w:t xml:space="preserve">، </w:t>
      </w:r>
      <w:r w:rsidRPr="005675B2">
        <w:rPr>
          <w:rFonts w:hint="cs"/>
          <w:u w:val="single"/>
          <w:rtl/>
        </w:rPr>
        <w:t>أو سبه فقد بسط لسان السوء في جميع أهل السنة"أهـ</w:t>
      </w:r>
      <w:r w:rsidR="000636C2">
        <w:rPr>
          <w:rFonts w:hint="cs"/>
          <w:u w:val="single"/>
          <w:rtl/>
        </w:rPr>
        <w:t>،</w:t>
      </w:r>
    </w:p>
    <w:p w14:paraId="2B050797" w14:textId="5C5BE272" w:rsidR="009C32A0" w:rsidRPr="005675B2" w:rsidRDefault="009C32A0" w:rsidP="000636C2">
      <w:pPr>
        <w:rPr>
          <w:b/>
          <w:rtl/>
        </w:rPr>
      </w:pPr>
      <w:r w:rsidRPr="005675B2">
        <w:rPr>
          <w:rFonts w:hint="cs"/>
          <w:bCs/>
          <w:rtl/>
        </w:rPr>
        <w:t>ووصفه المؤرخ ابن العماد</w:t>
      </w:r>
      <w:r w:rsidRPr="005675B2">
        <w:rPr>
          <w:rFonts w:hint="cs"/>
          <w:bCs/>
          <w:u w:val="single"/>
          <w:rtl/>
        </w:rPr>
        <w:t xml:space="preserve"> الحنبلي</w:t>
      </w:r>
      <w:r w:rsidR="000636C2">
        <w:rPr>
          <w:rFonts w:hint="cs"/>
          <w:bCs/>
          <w:rtl/>
        </w:rPr>
        <w:t xml:space="preserve"> </w:t>
      </w:r>
      <w:r w:rsidRPr="005675B2">
        <w:rPr>
          <w:rFonts w:hint="cs"/>
          <w:rtl/>
        </w:rPr>
        <w:t>بالإمام العلامة البحر الفهامة المتكلم صاحب المصنفات، ثم قـال</w:t>
      </w:r>
      <w:r w:rsidR="000636C2">
        <w:rPr>
          <w:rFonts w:hint="cs"/>
          <w:rtl/>
        </w:rPr>
        <w:t>:</w:t>
      </w:r>
      <w:r w:rsidRPr="005675B2">
        <w:rPr>
          <w:rFonts w:hint="cs"/>
          <w:rtl/>
        </w:rPr>
        <w:t xml:space="preserve"> "</w:t>
      </w:r>
      <w:r w:rsidRPr="005675B2">
        <w:rPr>
          <w:rFonts w:hint="cs"/>
          <w:u w:val="single"/>
          <w:rtl/>
        </w:rPr>
        <w:t>وممّا بيض به وجوه أهل السنة النبوية</w:t>
      </w:r>
      <w:r w:rsidR="000636C2">
        <w:rPr>
          <w:rFonts w:hint="cs"/>
          <w:u w:val="single"/>
          <w:rtl/>
        </w:rPr>
        <w:t>،</w:t>
      </w:r>
      <w:r w:rsidRPr="005675B2">
        <w:rPr>
          <w:rFonts w:hint="cs"/>
          <w:rtl/>
        </w:rPr>
        <w:t>وسود به رايات أهل الاعتزال</w:t>
      </w:r>
      <w:r w:rsidR="000636C2">
        <w:rPr>
          <w:rFonts w:hint="cs"/>
          <w:rtl/>
        </w:rPr>
        <w:t>،</w:t>
      </w:r>
      <w:r w:rsidRPr="005675B2">
        <w:rPr>
          <w:rFonts w:hint="cs"/>
          <w:rtl/>
        </w:rPr>
        <w:t>والجهمية</w:t>
      </w:r>
      <w:r w:rsidR="000636C2">
        <w:rPr>
          <w:rFonts w:hint="cs"/>
          <w:rtl/>
        </w:rPr>
        <w:t>،</w:t>
      </w:r>
      <w:r w:rsidRPr="005675B2">
        <w:rPr>
          <w:rFonts w:hint="cs"/>
          <w:rtl/>
        </w:rPr>
        <w:t>فأبان به وجه الحق الأبلج، ولصدور أهل ا لإيمان والعرفان أثلج، مناظرته مع شيخه الجبائي التي قصم فيها ظهر كل مبتدع مرائي " أهـ</w:t>
      </w:r>
      <w:r w:rsidR="000636C2">
        <w:rPr>
          <w:rFonts w:hint="cs"/>
          <w:rtl/>
        </w:rPr>
        <w:t>،</w:t>
      </w:r>
      <w:r w:rsidRPr="005675B2">
        <w:rPr>
          <w:rFonts w:hint="cs"/>
          <w:rtl/>
        </w:rPr>
        <w:t xml:space="preserve"> [</w:t>
      </w:r>
      <w:r w:rsidRPr="005675B2">
        <w:rPr>
          <w:rFonts w:hint="cs"/>
          <w:bCs/>
          <w:sz w:val="24"/>
          <w:szCs w:val="24"/>
          <w:rtl/>
        </w:rPr>
        <w:t>شذرات الذهب</w:t>
      </w:r>
      <w:r w:rsidR="000636C2">
        <w:rPr>
          <w:rFonts w:hint="cs"/>
          <w:bCs/>
          <w:sz w:val="24"/>
          <w:szCs w:val="24"/>
          <w:rtl/>
        </w:rPr>
        <w:t>]</w:t>
      </w:r>
      <w:r w:rsidRPr="005675B2">
        <w:rPr>
          <w:rFonts w:hint="cs"/>
          <w:rtl/>
        </w:rPr>
        <w:t xml:space="preserve"> وذكر ه شمس الدين بن خلكان في الأعيان</w:t>
      </w:r>
      <w:r w:rsidR="000636C2">
        <w:rPr>
          <w:rFonts w:hint="cs"/>
          <w:rtl/>
        </w:rPr>
        <w:t xml:space="preserve"> </w:t>
      </w:r>
      <w:r w:rsidRPr="005675B2">
        <w:rPr>
          <w:rFonts w:hint="cs"/>
          <w:rtl/>
        </w:rPr>
        <w:t>ووصفه بقوله " صاحب الأصول، والقائم بنصرة مذهب أهل السنة، وإليه تنسب الطائفة الأشعرية، وشهرته تغني عن الإطالة في تعريفه [</w:t>
      </w:r>
      <w:r w:rsidRPr="005675B2">
        <w:rPr>
          <w:rFonts w:hint="cs"/>
          <w:bCs/>
          <w:sz w:val="24"/>
          <w:szCs w:val="24"/>
          <w:rtl/>
        </w:rPr>
        <w:t>وفيات ا لأعيان (3/ 284-286)</w:t>
      </w:r>
      <w:r w:rsidRPr="005675B2">
        <w:rPr>
          <w:rFonts w:hint="cs"/>
          <w:rtl/>
        </w:rPr>
        <w:t>] " أهـ</w:t>
      </w:r>
      <w:r w:rsidR="000636C2">
        <w:rPr>
          <w:rFonts w:hint="cs"/>
          <w:rtl/>
        </w:rPr>
        <w:t>،</w:t>
      </w:r>
      <w:r w:rsidRPr="005675B2">
        <w:rPr>
          <w:rFonts w:hint="cs"/>
          <w:rtl/>
        </w:rPr>
        <w:t xml:space="preserve"> وقال أبو بكر بن قاضي شهبة في طبقاته</w:t>
      </w:r>
      <w:r w:rsidR="000636C2">
        <w:rPr>
          <w:rFonts w:hint="cs"/>
          <w:rtl/>
        </w:rPr>
        <w:t>:</w:t>
      </w:r>
      <w:r w:rsidRPr="005675B2">
        <w:rPr>
          <w:rFonts w:hint="cs"/>
          <w:rtl/>
        </w:rPr>
        <w:t xml:space="preserve"> "الشيخ أبو الحسن الأشعري البصري إمام المتكلمين في العقائد وناصر سنة سيد المرسلين، والذاب عن الدين" أهـ</w:t>
      </w:r>
      <w:r w:rsidR="000636C2">
        <w:rPr>
          <w:rFonts w:hint="cs"/>
          <w:rtl/>
        </w:rPr>
        <w:t>،،</w:t>
      </w:r>
      <w:r w:rsidRPr="005675B2">
        <w:rPr>
          <w:rFonts w:hint="cs"/>
          <w:rtl/>
        </w:rPr>
        <w:t xml:space="preserve"> [</w:t>
      </w:r>
      <w:r w:rsidRPr="005675B2">
        <w:rPr>
          <w:rFonts w:hint="cs"/>
          <w:bCs/>
          <w:sz w:val="24"/>
          <w:szCs w:val="24"/>
          <w:rtl/>
        </w:rPr>
        <w:t>طبقات الشافعية (1/ 113)]</w:t>
      </w:r>
      <w:r w:rsidRPr="005675B2">
        <w:rPr>
          <w:rFonts w:hint="cs"/>
          <w:rtl/>
        </w:rPr>
        <w:t xml:space="preserve"> </w:t>
      </w:r>
      <w:r w:rsidRPr="005675B2">
        <w:rPr>
          <w:rFonts w:hint="cs"/>
          <w:u w:val="single"/>
          <w:rtl/>
        </w:rPr>
        <w:t>ويكفي في بيان فضل أبي الحسن الأشعري ثناء الحافظ البيهقي</w:t>
      </w:r>
      <w:r w:rsidRPr="005675B2">
        <w:rPr>
          <w:rFonts w:hint="cs"/>
          <w:rtl/>
        </w:rPr>
        <w:t xml:space="preserve"> عليه</w:t>
      </w:r>
      <w:r w:rsidR="000636C2">
        <w:rPr>
          <w:rFonts w:hint="cs"/>
          <w:rtl/>
        </w:rPr>
        <w:t>،</w:t>
      </w:r>
      <w:r w:rsidRPr="005675B2">
        <w:rPr>
          <w:rFonts w:hint="cs"/>
          <w:rtl/>
        </w:rPr>
        <w:t>وهو محدث زمانه وشيخ أهل السنة في وقته</w:t>
      </w:r>
      <w:r w:rsidR="000636C2">
        <w:rPr>
          <w:rFonts w:hint="cs"/>
          <w:rtl/>
        </w:rPr>
        <w:t>،</w:t>
      </w:r>
      <w:r w:rsidRPr="005675B2">
        <w:rPr>
          <w:rFonts w:hint="cs"/>
          <w:rtl/>
        </w:rPr>
        <w:t>فقال كلاماً أورده التاج السبكي بطوله</w:t>
      </w:r>
      <w:r w:rsidR="000636C2">
        <w:rPr>
          <w:rFonts w:hint="cs"/>
          <w:rtl/>
        </w:rPr>
        <w:t>،</w:t>
      </w:r>
      <w:r w:rsidRPr="005675B2">
        <w:rPr>
          <w:rFonts w:hint="cs"/>
          <w:rtl/>
        </w:rPr>
        <w:t>و فيه ذكر شرف</w:t>
      </w:r>
      <w:r w:rsidR="000636C2">
        <w:rPr>
          <w:rFonts w:hint="cs"/>
          <w:rtl/>
        </w:rPr>
        <w:t xml:space="preserve"> </w:t>
      </w:r>
      <w:r w:rsidRPr="005675B2">
        <w:rPr>
          <w:rFonts w:hint="cs"/>
          <w:rtl/>
        </w:rPr>
        <w:t>الإمام الأشعري علماً</w:t>
      </w:r>
      <w:r w:rsidR="000636C2">
        <w:rPr>
          <w:rFonts w:hint="cs"/>
          <w:rtl/>
        </w:rPr>
        <w:t>،</w:t>
      </w:r>
      <w:r w:rsidRPr="005675B2">
        <w:rPr>
          <w:rFonts w:hint="cs"/>
          <w:rtl/>
        </w:rPr>
        <w:t>ونسباً، وحسن اعتقاد،وذكر</w:t>
      </w:r>
      <w:r w:rsidR="000636C2">
        <w:rPr>
          <w:rFonts w:hint="cs"/>
          <w:rtl/>
        </w:rPr>
        <w:t xml:space="preserve"> </w:t>
      </w:r>
      <w:r w:rsidRPr="005675B2">
        <w:rPr>
          <w:rFonts w:hint="cs"/>
          <w:rtl/>
        </w:rPr>
        <w:t>فضله</w:t>
      </w:r>
      <w:r w:rsidR="000636C2">
        <w:rPr>
          <w:rFonts w:hint="cs"/>
          <w:rtl/>
        </w:rPr>
        <w:t>،</w:t>
      </w:r>
      <w:r w:rsidRPr="005675B2">
        <w:rPr>
          <w:rFonts w:hint="cs"/>
          <w:rtl/>
        </w:rPr>
        <w:t>وكثرة أصحابه</w:t>
      </w:r>
      <w:r w:rsidR="000636C2">
        <w:rPr>
          <w:rFonts w:hint="cs"/>
          <w:rtl/>
        </w:rPr>
        <w:t>،</w:t>
      </w:r>
      <w:r w:rsidRPr="005675B2">
        <w:rPr>
          <w:rFonts w:hint="cs"/>
          <w:rtl/>
        </w:rPr>
        <w:t xml:space="preserve"> ثم قال البيهقي رحمه الله</w:t>
      </w:r>
      <w:r w:rsidR="000636C2">
        <w:rPr>
          <w:rFonts w:hint="cs"/>
          <w:rtl/>
        </w:rPr>
        <w:t>:</w:t>
      </w:r>
      <w:r w:rsidRPr="005675B2">
        <w:rPr>
          <w:rFonts w:hint="cs"/>
          <w:rtl/>
        </w:rPr>
        <w:t xml:space="preserve"> "إلى أن بلغت النوبة إلى شيخنا أبي الحسن الأشعري </w:t>
      </w:r>
      <w:r w:rsidRPr="005675B2">
        <w:rPr>
          <w:rFonts w:hint="cs"/>
          <w:u w:val="single"/>
          <w:rtl/>
        </w:rPr>
        <w:t>فلم يحدث في دين الله حَدَثًا ولم يأت فيه ببدعة، بل أخذ أقاويل الصحابة والتابعين ومن بعدهم من الأئمة في أصول الدين فنصرها بزيادة شرح وتبيين " أهـ</w:t>
      </w:r>
      <w:r w:rsidR="000636C2">
        <w:rPr>
          <w:rFonts w:hint="cs"/>
          <w:u w:val="single"/>
          <w:rtl/>
        </w:rPr>
        <w:t>،</w:t>
      </w:r>
      <w:r w:rsidRPr="005675B2">
        <w:rPr>
          <w:rFonts w:hint="cs"/>
          <w:u w:val="single"/>
          <w:rtl/>
        </w:rPr>
        <w:t xml:space="preserve"> [</w:t>
      </w:r>
      <w:r w:rsidRPr="005675B2">
        <w:rPr>
          <w:rFonts w:hint="cs"/>
          <w:bCs/>
          <w:sz w:val="24"/>
          <w:szCs w:val="24"/>
          <w:rtl/>
        </w:rPr>
        <w:t>تبيين كذب المفتري 103، والطبقات الكبرى للتاج السبكي 3/ 397</w:t>
      </w:r>
      <w:r w:rsidRPr="005675B2">
        <w:rPr>
          <w:rFonts w:hint="cs"/>
          <w:u w:val="single"/>
          <w:rtl/>
        </w:rPr>
        <w:t xml:space="preserve">] </w:t>
      </w:r>
      <w:r w:rsidRPr="005675B2">
        <w:rPr>
          <w:rFonts w:hint="cs"/>
          <w:rtl/>
        </w:rPr>
        <w:t>وقد صنف الشيخ العلامة ضياء الدين أبو العباس أحمد بن محمد بن عمر بن يوسف بن عمر القرطبي رسالة سماها "زجر المفتري على أبي الحسن الأشعري " رد فيها على بعض المبتدعة الذين تاجسروا على</w:t>
      </w:r>
      <w:r w:rsidR="000636C2">
        <w:rPr>
          <w:rFonts w:hint="cs"/>
          <w:rtl/>
        </w:rPr>
        <w:t xml:space="preserve"> </w:t>
      </w:r>
      <w:r w:rsidRPr="005675B2">
        <w:rPr>
          <w:rFonts w:hint="cs"/>
          <w:rtl/>
        </w:rPr>
        <w:t>الإمام الأشعري</w:t>
      </w:r>
      <w:r w:rsidR="000636C2">
        <w:rPr>
          <w:rFonts w:hint="cs"/>
          <w:rtl/>
        </w:rPr>
        <w:t>،</w:t>
      </w:r>
      <w:r w:rsidRPr="005675B2">
        <w:rPr>
          <w:rFonts w:hint="cs"/>
          <w:rtl/>
        </w:rPr>
        <w:t>ولما وقف عليها الشيخ تقي الدين بن دقيق العيد قرظهاتقريظاً مفيداً</w:t>
      </w:r>
      <w:r w:rsidR="000636C2">
        <w:rPr>
          <w:rFonts w:hint="cs"/>
          <w:rtl/>
        </w:rPr>
        <w:t>،</w:t>
      </w:r>
      <w:r w:rsidRPr="005675B2">
        <w:rPr>
          <w:rFonts w:hint="cs"/>
          <w:rtl/>
        </w:rPr>
        <w:t xml:space="preserve"> أما مؤلفات الشيخ الأشعري رحمه الله فكثيرة قـيل إنها بلغت ما يقارب الخمسين مصنفاً وقيل أكثر من ذلك</w:t>
      </w:r>
      <w:r w:rsidR="000636C2">
        <w:rPr>
          <w:rFonts w:hint="cs"/>
          <w:rtl/>
        </w:rPr>
        <w:t>،</w:t>
      </w:r>
      <w:r w:rsidRPr="005675B2">
        <w:rPr>
          <w:rFonts w:hint="cs"/>
          <w:rtl/>
        </w:rPr>
        <w:t xml:space="preserve"> وكان رحمه الله يقصد إلى مواطن المعتزلة ليناظرهم، فقيل له</w:t>
      </w:r>
      <w:r w:rsidR="000636C2">
        <w:rPr>
          <w:rFonts w:hint="cs"/>
          <w:rtl/>
        </w:rPr>
        <w:t>:</w:t>
      </w:r>
      <w:r w:rsidRPr="005675B2">
        <w:rPr>
          <w:rFonts w:hint="cs"/>
          <w:rtl/>
        </w:rPr>
        <w:t xml:space="preserve"> كيف تخالط أهل البدع، وتقصدهم بنفسك، وقد أمرت بهجرهم</w:t>
      </w:r>
      <w:r w:rsidR="000636C2">
        <w:rPr>
          <w:rFonts w:hint="cs"/>
          <w:rtl/>
        </w:rPr>
        <w:t>؟</w:t>
      </w:r>
      <w:r w:rsidRPr="005675B2">
        <w:rPr>
          <w:rFonts w:hint="cs"/>
          <w:rtl/>
        </w:rPr>
        <w:t xml:space="preserve"> فقال</w:t>
      </w:r>
      <w:r w:rsidR="000636C2">
        <w:rPr>
          <w:rFonts w:hint="cs"/>
          <w:rtl/>
        </w:rPr>
        <w:t>:</w:t>
      </w:r>
      <w:r w:rsidRPr="005675B2">
        <w:rPr>
          <w:rFonts w:hint="cs"/>
          <w:rtl/>
        </w:rPr>
        <w:t xml:space="preserve"> هم أولو رئاسة</w:t>
      </w:r>
      <w:r w:rsidR="000636C2">
        <w:rPr>
          <w:rFonts w:hint="cs"/>
          <w:rtl/>
        </w:rPr>
        <w:t>:</w:t>
      </w:r>
      <w:r w:rsidRPr="005675B2">
        <w:rPr>
          <w:rFonts w:hint="cs"/>
          <w:rtl/>
        </w:rPr>
        <w:t xml:space="preserve"> منهم الوالي والقاضي، ولرئاستهم لا ينـزلون إليّ، فإذا كانوا هم لا ينـزلون إليّ، ولا أسير أنا إليهم، فكيف يظهر الحق، ويعلمون أن لأهل السنة ناصراً بالحجة</w:t>
      </w:r>
      <w:r w:rsidR="000636C2">
        <w:rPr>
          <w:rFonts w:hint="cs"/>
          <w:rtl/>
        </w:rPr>
        <w:t>!،</w:t>
      </w:r>
      <w:r w:rsidRPr="005675B2">
        <w:rPr>
          <w:rFonts w:hint="cs"/>
          <w:rtl/>
        </w:rPr>
        <w:t xml:space="preserve"> وكان لا يبتدئ مناظريه بالسؤال، بل يقف موقف المجيب المدافع، حضر الأستاذ أبو عبدالله بن خفيف مناظرة بين الأشعري وبعض مخالفيه، فقضى العجب من علمه وفصاحته، وقال له</w:t>
      </w:r>
      <w:r w:rsidR="000636C2">
        <w:rPr>
          <w:rFonts w:hint="cs"/>
          <w:rtl/>
        </w:rPr>
        <w:t>:</w:t>
      </w:r>
      <w:r w:rsidRPr="005675B2">
        <w:rPr>
          <w:rFonts w:hint="cs"/>
          <w:rtl/>
        </w:rPr>
        <w:t xml:space="preserve"> لم لا تسأل أنت ابتداء</w:t>
      </w:r>
      <w:r w:rsidR="000636C2">
        <w:rPr>
          <w:rFonts w:hint="cs"/>
          <w:rtl/>
        </w:rPr>
        <w:t>؟</w:t>
      </w:r>
      <w:r w:rsidRPr="005675B2">
        <w:rPr>
          <w:rFonts w:hint="cs"/>
          <w:rtl/>
        </w:rPr>
        <w:t xml:space="preserve"> فقال الأشعري</w:t>
      </w:r>
      <w:r w:rsidR="000636C2">
        <w:rPr>
          <w:rFonts w:hint="cs"/>
          <w:rtl/>
        </w:rPr>
        <w:t>:</w:t>
      </w:r>
      <w:r w:rsidRPr="005675B2">
        <w:rPr>
          <w:rFonts w:hint="cs"/>
          <w:rtl/>
        </w:rPr>
        <w:t xml:space="preserve"> أنا لا أكلم هؤلاء ابتداء، ولكن إذا خاضوا في ذكر ما لا يجوز في دين الله، رددنا عليهم بحكم ما فرض الله سبحانه وتعالى علينا من الرد على مخالفي الحق</w:t>
      </w:r>
      <w:r w:rsidR="000636C2">
        <w:rPr>
          <w:rFonts w:hint="cs"/>
          <w:rtl/>
        </w:rPr>
        <w:t>،</w:t>
      </w:r>
      <w:r w:rsidRPr="005675B2">
        <w:rPr>
          <w:rFonts w:hint="cs"/>
          <w:rtl/>
        </w:rPr>
        <w:t xml:space="preserve"> [</w:t>
      </w:r>
      <w:r w:rsidRPr="005675B2">
        <w:rPr>
          <w:rFonts w:hint="cs"/>
          <w:bCs/>
          <w:sz w:val="24"/>
          <w:szCs w:val="24"/>
          <w:rtl/>
        </w:rPr>
        <w:t>صفحة من حياة الإمام أبي الحسن الأشعري بقلم الإمام محمد الخضر حسين رحمه الله تعالى شيخ الجامع الأزهر]</w:t>
      </w:r>
      <w:r w:rsidR="000636C2">
        <w:rPr>
          <w:rFonts w:hint="cs"/>
          <w:rtl/>
        </w:rPr>
        <w:t>،</w:t>
      </w:r>
      <w:r w:rsidRPr="005675B2">
        <w:rPr>
          <w:rFonts w:hint="cs"/>
          <w:rtl/>
        </w:rPr>
        <w:t xml:space="preserve"> إذا علمنا ذلك فإن شبهة تنقل الأشعري بين أطوار ثلاثة هي مجرد دعوى عارية عن الدليل للأسباب التالية</w:t>
      </w:r>
      <w:r w:rsidR="000636C2">
        <w:rPr>
          <w:rFonts w:hint="cs"/>
          <w:rtl/>
        </w:rPr>
        <w:t>:</w:t>
      </w:r>
    </w:p>
    <w:p w14:paraId="7B00F31C" w14:textId="3104433B"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الإمام الأشعري كان على طريقة المعتزلة</w:t>
      </w:r>
      <w:r w:rsidR="000636C2">
        <w:rPr>
          <w:rFonts w:hint="cs"/>
          <w:rtl/>
        </w:rPr>
        <w:t>،</w:t>
      </w:r>
      <w:r w:rsidRPr="005675B2">
        <w:rPr>
          <w:rFonts w:hint="cs"/>
          <w:rtl/>
        </w:rPr>
        <w:t>ثم هداه الله تعالى إلى طريقة أهل السنة والجماعة</w:t>
      </w:r>
      <w:r w:rsidR="000636C2">
        <w:rPr>
          <w:rFonts w:hint="cs"/>
          <w:rtl/>
        </w:rPr>
        <w:t>،</w:t>
      </w:r>
      <w:r w:rsidRPr="005675B2">
        <w:rPr>
          <w:rFonts w:hint="cs"/>
          <w:rtl/>
        </w:rPr>
        <w:t xml:space="preserve"> وجعله</w:t>
      </w:r>
      <w:r w:rsidR="000636C2">
        <w:rPr>
          <w:rFonts w:hint="cs"/>
          <w:rtl/>
        </w:rPr>
        <w:t xml:space="preserve"> </w:t>
      </w:r>
      <w:r w:rsidRPr="005675B2">
        <w:rPr>
          <w:rFonts w:hint="cs"/>
          <w:rtl/>
        </w:rPr>
        <w:t>شوكة في نحور طوائف أهل البدعة من المعتزلة والمشبهة وغيرهم وهذا أمر لا خلاف فيه</w:t>
      </w:r>
      <w:r w:rsidR="000636C2">
        <w:rPr>
          <w:rFonts w:hint="cs"/>
          <w:rtl/>
        </w:rPr>
        <w:t>،</w:t>
      </w:r>
    </w:p>
    <w:p w14:paraId="6E7B6F68" w14:textId="1CE0BA34"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أن طريقة أهل السنة والجماعة مبنية على مسلكين اجتهاديين</w:t>
      </w:r>
      <w:r w:rsidR="000636C2">
        <w:rPr>
          <w:rFonts w:hint="cs"/>
          <w:rtl/>
        </w:rPr>
        <w:t xml:space="preserve">: </w:t>
      </w:r>
      <w:r w:rsidRPr="005675B2">
        <w:rPr>
          <w:rFonts w:hint="cs"/>
          <w:rtl/>
        </w:rPr>
        <w:t>الأول</w:t>
      </w:r>
      <w:r w:rsidR="000636C2">
        <w:rPr>
          <w:rFonts w:hint="cs"/>
          <w:rtl/>
        </w:rPr>
        <w:t>:</w:t>
      </w:r>
      <w:r w:rsidRPr="005675B2">
        <w:rPr>
          <w:rFonts w:hint="cs"/>
          <w:rtl/>
        </w:rPr>
        <w:t xml:space="preserve"> مسلك التفويض</w:t>
      </w:r>
      <w:r w:rsidR="000636C2">
        <w:rPr>
          <w:rFonts w:hint="cs"/>
          <w:rtl/>
        </w:rPr>
        <w:t>:</w:t>
      </w:r>
      <w:r w:rsidRPr="005675B2">
        <w:rPr>
          <w:rFonts w:hint="cs"/>
          <w:rtl/>
        </w:rPr>
        <w:t xml:space="preserve"> وعليه أكثر السلف</w:t>
      </w:r>
      <w:r w:rsidR="000636C2">
        <w:rPr>
          <w:rFonts w:hint="cs"/>
          <w:rtl/>
        </w:rPr>
        <w:t>،</w:t>
      </w:r>
      <w:r w:rsidRPr="005675B2">
        <w:rPr>
          <w:rFonts w:hint="cs"/>
          <w:rtl/>
        </w:rPr>
        <w:t xml:space="preserve"> الثاني</w:t>
      </w:r>
      <w:r w:rsidR="000636C2">
        <w:rPr>
          <w:rFonts w:hint="cs"/>
          <w:rtl/>
        </w:rPr>
        <w:t>:</w:t>
      </w:r>
      <w:r w:rsidRPr="005675B2">
        <w:rPr>
          <w:rFonts w:hint="cs"/>
          <w:rtl/>
        </w:rPr>
        <w:t xml:space="preserve"> مسلك التأويل</w:t>
      </w:r>
      <w:r w:rsidR="000636C2">
        <w:rPr>
          <w:rFonts w:hint="cs"/>
          <w:rtl/>
        </w:rPr>
        <w:t>:</w:t>
      </w:r>
      <w:r w:rsidRPr="005675B2">
        <w:rPr>
          <w:rFonts w:hint="cs"/>
          <w:rtl/>
        </w:rPr>
        <w:t xml:space="preserve"> وقد ثبت أن السلف أولوا في عدة مواضع يأتي بيانها إن شاء الله</w:t>
      </w:r>
      <w:r w:rsidR="000636C2">
        <w:rPr>
          <w:rFonts w:hint="cs"/>
          <w:rtl/>
        </w:rPr>
        <w:t>،</w:t>
      </w:r>
      <w:r w:rsidRPr="005675B2">
        <w:rPr>
          <w:rFonts w:hint="cs"/>
          <w:rtl/>
        </w:rPr>
        <w:t xml:space="preserve"> وعلى هذا فالأشعري دار في كتبه على المسلكين تارة بالتأويل وتارة بالتفويض والأشاعرة إلى اليوم - كقاعدة أغلبية - مقرون بأن التفويض أولى إذا اندحر التشبيه والتجسيم</w:t>
      </w:r>
      <w:r w:rsidR="000636C2">
        <w:rPr>
          <w:rFonts w:hint="cs"/>
          <w:rtl/>
        </w:rPr>
        <w:t>،</w:t>
      </w:r>
    </w:p>
    <w:p w14:paraId="106DDAE6" w14:textId="2D3E32FB"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w:t>
      </w:r>
      <w:r w:rsidR="000636C2">
        <w:rPr>
          <w:rFonts w:hint="cs"/>
          <w:rtl/>
        </w:rPr>
        <w:t xml:space="preserve"> </w:t>
      </w:r>
      <w:r w:rsidRPr="005675B2">
        <w:rPr>
          <w:rFonts w:hint="cs"/>
          <w:rtl/>
        </w:rPr>
        <w:t>أن الإمام الأشعري أشهر من نار على علم</w:t>
      </w:r>
      <w:r w:rsidR="000636C2">
        <w:rPr>
          <w:rFonts w:hint="cs"/>
          <w:rtl/>
        </w:rPr>
        <w:t>،</w:t>
      </w:r>
      <w:r w:rsidRPr="005675B2">
        <w:rPr>
          <w:rFonts w:hint="cs"/>
          <w:rtl/>
        </w:rPr>
        <w:t xml:space="preserve"> ولو كان لهذه الدعوى رصيد من الحق لاشتهرت بين المؤرخين</w:t>
      </w:r>
      <w:r w:rsidR="000636C2">
        <w:rPr>
          <w:rFonts w:hint="cs"/>
          <w:rtl/>
        </w:rPr>
        <w:t>،</w:t>
      </w:r>
      <w:r w:rsidRPr="005675B2">
        <w:rPr>
          <w:rFonts w:hint="cs"/>
          <w:rtl/>
        </w:rPr>
        <w:t xml:space="preserve"> والمترجمين لسيرته</w:t>
      </w:r>
      <w:r w:rsidR="000636C2">
        <w:rPr>
          <w:rFonts w:hint="cs"/>
          <w:rtl/>
        </w:rPr>
        <w:t>،</w:t>
      </w:r>
      <w:r w:rsidRPr="005675B2">
        <w:rPr>
          <w:rFonts w:hint="cs"/>
          <w:rtl/>
        </w:rPr>
        <w:t xml:space="preserve"> و لا يوجد من أصحاب الأشعري وهم أقرب الناس إليه من ذكر أن الإمام له مراحل ثلاث</w:t>
      </w:r>
      <w:r w:rsidR="000636C2">
        <w:rPr>
          <w:rFonts w:hint="cs"/>
          <w:rtl/>
        </w:rPr>
        <w:t>،</w:t>
      </w:r>
      <w:r w:rsidRPr="005675B2">
        <w:rPr>
          <w:rFonts w:hint="cs"/>
          <w:rtl/>
        </w:rPr>
        <w:t xml:space="preserve"> بل ولم يقله الماتريدية</w:t>
      </w:r>
      <w:r w:rsidR="000636C2">
        <w:rPr>
          <w:rFonts w:hint="cs"/>
          <w:rtl/>
        </w:rPr>
        <w:t>،</w:t>
      </w:r>
      <w:r w:rsidRPr="005675B2">
        <w:rPr>
          <w:rFonts w:hint="cs"/>
          <w:rtl/>
        </w:rPr>
        <w:t xml:space="preserve"> ولا حتى أعداءه المعتزلة</w:t>
      </w:r>
      <w:r w:rsidR="000636C2">
        <w:rPr>
          <w:rFonts w:hint="cs"/>
          <w:rtl/>
        </w:rPr>
        <w:t>،</w:t>
      </w:r>
      <w:r w:rsidRPr="005675B2">
        <w:rPr>
          <w:rFonts w:hint="cs"/>
          <w:rtl/>
        </w:rPr>
        <w:t xml:space="preserve"> </w:t>
      </w:r>
      <w:r w:rsidRPr="005675B2">
        <w:rPr>
          <w:rFonts w:hint="cs"/>
          <w:bCs/>
          <w:rtl/>
        </w:rPr>
        <w:t>وأهل السير والتاريخ</w:t>
      </w:r>
      <w:r w:rsidR="000636C2">
        <w:rPr>
          <w:rFonts w:hint="cs"/>
          <w:bCs/>
          <w:rtl/>
        </w:rPr>
        <w:t xml:space="preserve"> </w:t>
      </w:r>
      <w:r w:rsidRPr="005675B2">
        <w:rPr>
          <w:rFonts w:hint="cs"/>
          <w:bCs/>
          <w:rtl/>
        </w:rPr>
        <w:t>لم يذكروا هذه المراحل الثلاث أبداً في جميع من ترجم له</w:t>
      </w:r>
      <w:r w:rsidR="000636C2">
        <w:rPr>
          <w:rFonts w:hint="cs"/>
          <w:rtl/>
        </w:rPr>
        <w:t>،</w:t>
      </w:r>
      <w:r w:rsidRPr="005675B2">
        <w:rPr>
          <w:rFonts w:hint="cs"/>
          <w:rtl/>
        </w:rPr>
        <w:t xml:space="preserve"> انظر ترجمته في وفيات الأعيان لابن خلكان 3/ 284، وسير أعلام النبلاء للذهبي 15/89، ومقدمة ابن خلدون ص853، وكذلك كتب جميع كتب السير التي ترجمة له</w:t>
      </w:r>
      <w:r w:rsidR="000636C2">
        <w:rPr>
          <w:rFonts w:hint="cs"/>
          <w:rtl/>
        </w:rPr>
        <w:t>،</w:t>
      </w:r>
      <w:r w:rsidRPr="005675B2">
        <w:rPr>
          <w:rFonts w:hint="cs"/>
          <w:rtl/>
        </w:rPr>
        <w:t xml:space="preserve"> طبقات الشافعية للسبكي </w:t>
      </w:r>
      <w:r w:rsidR="000636C2">
        <w:rPr>
          <w:rFonts w:hint="cs"/>
          <w:rtl/>
        </w:rPr>
        <w:t>(</w:t>
      </w:r>
      <w:r w:rsidRPr="005675B2">
        <w:rPr>
          <w:rFonts w:hint="cs"/>
          <w:rtl/>
        </w:rPr>
        <w:t>2/ 245</w:t>
      </w:r>
      <w:r w:rsidR="000636C2">
        <w:rPr>
          <w:rFonts w:hint="cs"/>
          <w:rtl/>
        </w:rPr>
        <w:t>)،</w:t>
      </w:r>
      <w:r w:rsidRPr="005675B2">
        <w:rPr>
          <w:rFonts w:hint="cs"/>
          <w:rtl/>
        </w:rPr>
        <w:t xml:space="preserve"> تاريخ بغداد للخطيب البغدادي</w:t>
      </w:r>
      <w:r w:rsidR="000636C2">
        <w:rPr>
          <w:rFonts w:hint="cs"/>
          <w:rtl/>
        </w:rPr>
        <w:t xml:space="preserve"> (</w:t>
      </w:r>
      <w:r w:rsidRPr="005675B2">
        <w:rPr>
          <w:rFonts w:hint="cs"/>
          <w:rtl/>
        </w:rPr>
        <w:t>1 1/ 346 - 347</w:t>
      </w:r>
      <w:r w:rsidR="000636C2">
        <w:rPr>
          <w:rFonts w:hint="cs"/>
          <w:rtl/>
        </w:rPr>
        <w:t xml:space="preserve">)، </w:t>
      </w:r>
      <w:r w:rsidRPr="005675B2">
        <w:rPr>
          <w:rFonts w:hint="cs"/>
          <w:rtl/>
        </w:rPr>
        <w:t xml:space="preserve">شذرات الذهب لابن العماد الحنبلي </w:t>
      </w:r>
      <w:r w:rsidR="000636C2">
        <w:rPr>
          <w:rFonts w:hint="cs"/>
          <w:rtl/>
        </w:rPr>
        <w:t>(</w:t>
      </w:r>
      <w:r w:rsidRPr="005675B2">
        <w:rPr>
          <w:rFonts w:hint="cs"/>
          <w:rtl/>
        </w:rPr>
        <w:t>2/ 303 - 305</w:t>
      </w:r>
      <w:r w:rsidR="000636C2">
        <w:rPr>
          <w:rFonts w:hint="cs"/>
          <w:rtl/>
        </w:rPr>
        <w:t>)،</w:t>
      </w:r>
      <w:r w:rsidRPr="005675B2">
        <w:rPr>
          <w:rFonts w:hint="cs"/>
          <w:rtl/>
        </w:rPr>
        <w:t xml:space="preserve"> مرءاة الجنان لليافعي </w:t>
      </w:r>
      <w:r w:rsidR="000636C2">
        <w:rPr>
          <w:rFonts w:hint="cs"/>
          <w:rtl/>
        </w:rPr>
        <w:t>(</w:t>
      </w:r>
      <w:r w:rsidRPr="005675B2">
        <w:rPr>
          <w:rFonts w:hint="cs"/>
          <w:rtl/>
        </w:rPr>
        <w:t>2/ 298</w:t>
      </w:r>
      <w:r w:rsidR="000636C2">
        <w:rPr>
          <w:rFonts w:hint="cs"/>
          <w:rtl/>
        </w:rPr>
        <w:t>)،</w:t>
      </w:r>
      <w:r w:rsidRPr="005675B2">
        <w:rPr>
          <w:rFonts w:hint="cs"/>
          <w:rtl/>
        </w:rPr>
        <w:t xml:space="preserve"> الجواهر المضية في طبقات الحنفية 21/ 544 - ه 54</w:t>
      </w:r>
      <w:r w:rsidR="000636C2">
        <w:rPr>
          <w:rFonts w:hint="cs"/>
          <w:rtl/>
        </w:rPr>
        <w:t>)</w:t>
      </w:r>
      <w:r w:rsidRPr="005675B2">
        <w:rPr>
          <w:rFonts w:hint="cs"/>
          <w:rtl/>
        </w:rPr>
        <w:t>للقرشي الحنفي</w:t>
      </w:r>
      <w:r w:rsidR="000636C2">
        <w:rPr>
          <w:rFonts w:hint="cs"/>
          <w:rtl/>
        </w:rPr>
        <w:t>،</w:t>
      </w:r>
      <w:r w:rsidRPr="005675B2">
        <w:rPr>
          <w:rFonts w:hint="cs"/>
          <w:rtl/>
        </w:rPr>
        <w:t xml:space="preserve"> طبقات الشافعية لابن قاضي شهبة </w:t>
      </w:r>
      <w:r w:rsidR="000636C2">
        <w:rPr>
          <w:rFonts w:hint="cs"/>
          <w:rtl/>
        </w:rPr>
        <w:t>(</w:t>
      </w:r>
      <w:r w:rsidRPr="005675B2">
        <w:rPr>
          <w:rFonts w:hint="cs"/>
          <w:rtl/>
        </w:rPr>
        <w:t>1/ 113</w:t>
      </w:r>
      <w:r w:rsidR="000636C2">
        <w:rPr>
          <w:rFonts w:hint="cs"/>
          <w:rtl/>
        </w:rPr>
        <w:t>)،</w:t>
      </w:r>
    </w:p>
    <w:p w14:paraId="6173759B" w14:textId="50CA10A4"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أن مبنى هذه الشبهة هو أن الإمام الأشعري على طريقة ابن كُلّاب</w:t>
      </w:r>
      <w:r w:rsidR="000636C2">
        <w:rPr>
          <w:rFonts w:hint="cs"/>
          <w:rtl/>
        </w:rPr>
        <w:t>،</w:t>
      </w:r>
      <w:r w:rsidRPr="005675B2">
        <w:rPr>
          <w:rFonts w:hint="cs"/>
          <w:rtl/>
        </w:rPr>
        <w:t xml:space="preserve"> قال ابن تيمية رحمه الله في درء التعارض </w:t>
      </w:r>
      <w:r w:rsidR="000636C2">
        <w:rPr>
          <w:rFonts w:hint="cs"/>
          <w:rtl/>
        </w:rPr>
        <w:t>(</w:t>
      </w:r>
      <w:r w:rsidRPr="005675B2">
        <w:rPr>
          <w:rFonts w:hint="cs"/>
          <w:rtl/>
        </w:rPr>
        <w:t>2/16</w:t>
      </w:r>
      <w:r w:rsidR="000636C2">
        <w:rPr>
          <w:rFonts w:hint="cs"/>
          <w:rtl/>
        </w:rPr>
        <w:t>):</w:t>
      </w:r>
      <w:r w:rsidRPr="005675B2">
        <w:rPr>
          <w:rFonts w:hint="cs"/>
          <w:rtl/>
        </w:rPr>
        <w:t xml:space="preserve"> (</w:t>
      </w:r>
      <w:r w:rsidR="000636C2">
        <w:rPr>
          <w:rFonts w:hint="cs"/>
          <w:rtl/>
        </w:rPr>
        <w:t>(</w:t>
      </w:r>
      <w:r w:rsidRPr="005675B2">
        <w:rPr>
          <w:rFonts w:hint="cs"/>
          <w:rtl/>
        </w:rPr>
        <w:t>وأبو الحسن الاشعري لما رجع عن</w:t>
      </w:r>
      <w:r w:rsidRPr="005675B2">
        <w:rPr>
          <w:rFonts w:hint="cs"/>
        </w:rPr>
        <w:t xml:space="preserve"> </w:t>
      </w:r>
      <w:r w:rsidRPr="005675B2">
        <w:rPr>
          <w:rFonts w:hint="cs"/>
          <w:rtl/>
        </w:rPr>
        <w:t>مذهب المعتزلة سلك طريقة ابن كّلاب</w:t>
      </w:r>
      <w:r w:rsidR="000636C2">
        <w:rPr>
          <w:rFonts w:hint="cs"/>
          <w:rtl/>
        </w:rPr>
        <w:t>،</w:t>
      </w:r>
      <w:r w:rsidRPr="005675B2">
        <w:rPr>
          <w:rFonts w:hint="cs"/>
          <w:rtl/>
        </w:rPr>
        <w:t xml:space="preserve"> ومال إلى أهل السنة والحديث</w:t>
      </w:r>
      <w:r w:rsidR="000636C2">
        <w:rPr>
          <w:rFonts w:hint="cs"/>
          <w:rtl/>
        </w:rPr>
        <w:t>،</w:t>
      </w:r>
      <w:r w:rsidRPr="005675B2">
        <w:rPr>
          <w:rFonts w:hint="cs"/>
          <w:rtl/>
        </w:rPr>
        <w:t xml:space="preserve"> وانتسب إلى</w:t>
      </w:r>
      <w:r w:rsidRPr="005675B2">
        <w:rPr>
          <w:rFonts w:hint="cs"/>
        </w:rPr>
        <w:t xml:space="preserve"> </w:t>
      </w:r>
      <w:r w:rsidRPr="005675B2">
        <w:rPr>
          <w:rFonts w:hint="cs"/>
          <w:rtl/>
        </w:rPr>
        <w:t>الإمام أحمد كما قد ذكر ذلك في كتبه كلها ؛ كالابانة والموجز والمقالات وغيرهه</w:t>
      </w:r>
      <w:r w:rsidR="000636C2">
        <w:rPr>
          <w:rFonts w:hint="cs"/>
          <w:rtl/>
        </w:rPr>
        <w:t>)</w:t>
      </w:r>
      <w:r w:rsidRPr="005675B2">
        <w:rPr>
          <w:rFonts w:hint="cs"/>
          <w:rtl/>
        </w:rPr>
        <w:t>)أهـ</w:t>
      </w:r>
      <w:r w:rsidR="000636C2">
        <w:rPr>
          <w:rFonts w:hint="cs"/>
          <w:rtl/>
        </w:rPr>
        <w:t xml:space="preserve"> </w:t>
      </w:r>
      <w:r w:rsidRPr="005675B2">
        <w:rPr>
          <w:rFonts w:hint="cs"/>
          <w:rtl/>
        </w:rPr>
        <w:t>وعلى هذا فليعلم الجميع أن الأشعري رأس من رؤوس أهل السنة بلا ريب</w:t>
      </w:r>
      <w:r w:rsidR="000636C2">
        <w:rPr>
          <w:rFonts w:hint="cs"/>
          <w:rtl/>
        </w:rPr>
        <w:t>،</w:t>
      </w:r>
      <w:r w:rsidRPr="005675B2">
        <w:rPr>
          <w:rFonts w:hint="cs"/>
          <w:rtl/>
        </w:rPr>
        <w:t xml:space="preserve"> وأما ابن كلاب رحمه الله فسوف يأتي الكلام عنه</w:t>
      </w:r>
      <w:r w:rsidR="000636C2">
        <w:rPr>
          <w:rFonts w:hint="cs"/>
          <w:rtl/>
        </w:rPr>
        <w:t>،</w:t>
      </w:r>
      <w:r w:rsidRPr="005675B2">
        <w:rPr>
          <w:rFonts w:hint="cs"/>
          <w:rtl/>
        </w:rPr>
        <w:t xml:space="preserve"> وهو من رؤوس أهل السنة والسلف الصالح رضي الله عنه</w:t>
      </w:r>
      <w:r w:rsidR="000636C2">
        <w:rPr>
          <w:rFonts w:hint="cs"/>
          <w:rtl/>
        </w:rPr>
        <w:t>،</w:t>
      </w:r>
    </w:p>
    <w:p w14:paraId="2573A329" w14:textId="77777777" w:rsidR="009C32A0" w:rsidRPr="005675B2" w:rsidRDefault="009C32A0" w:rsidP="000636C2">
      <w:pPr>
        <w:rPr>
          <w:b/>
          <w:rtl/>
        </w:rPr>
      </w:pPr>
    </w:p>
    <w:p w14:paraId="60472C4A" w14:textId="77777777" w:rsidR="009C32A0" w:rsidRPr="005675B2" w:rsidRDefault="009C32A0" w:rsidP="000636C2">
      <w:pPr>
        <w:rPr>
          <w:b/>
          <w:rtl/>
        </w:rPr>
      </w:pPr>
    </w:p>
    <w:p w14:paraId="257B0F44" w14:textId="1608D920" w:rsidR="009C32A0" w:rsidRPr="005675B2" w:rsidRDefault="009C32A0" w:rsidP="000636C2">
      <w:pPr>
        <w:rPr>
          <w:b/>
          <w:rtl/>
        </w:rPr>
      </w:pPr>
      <w:r w:rsidRPr="005675B2">
        <w:rPr>
          <w:rFonts w:hint="cs"/>
          <w:bCs/>
          <w:rtl/>
        </w:rPr>
        <w:t>ذكر اسماء بعض الأشاعرة والماتريدية في بعض العلوم</w:t>
      </w:r>
      <w:r w:rsidR="000636C2">
        <w:rPr>
          <w:rFonts w:hint="cs"/>
          <w:rtl/>
        </w:rPr>
        <w:t xml:space="preserve">: </w:t>
      </w:r>
      <w:r w:rsidRPr="005675B2">
        <w:rPr>
          <w:rFonts w:hint="cs"/>
          <w:rtl/>
        </w:rPr>
        <w:t>ملحق بأسماء بعض علماء الأشاعرة والماتريدية المشاركين في مختلف العلوم وأكتفي بما أورده الشيخ عبدالفتاح اليافعي في تعليقه على فتوى المشايخ المدافعين عن الأشاعرة ضد من ظلمهم</w:t>
      </w:r>
      <w:r w:rsidR="000636C2">
        <w:rPr>
          <w:rFonts w:hint="cs"/>
          <w:rtl/>
        </w:rPr>
        <w:t>،</w:t>
      </w:r>
    </w:p>
    <w:p w14:paraId="7D056B42" w14:textId="47CFB584" w:rsidR="009C32A0" w:rsidRPr="005675B2" w:rsidRDefault="009C32A0" w:rsidP="000636C2">
      <w:pPr>
        <w:rPr>
          <w:b/>
          <w:rtl/>
        </w:rPr>
      </w:pPr>
      <w:r w:rsidRPr="005675B2">
        <w:rPr>
          <w:rFonts w:hint="cs"/>
          <w:bCs/>
          <w:rtl/>
        </w:rPr>
        <w:t>الأشاعرة والماتردية</w:t>
      </w:r>
      <w:r w:rsidR="000636C2">
        <w:rPr>
          <w:rFonts w:hint="cs"/>
          <w:bCs/>
          <w:rtl/>
        </w:rPr>
        <w:t>:</w:t>
      </w:r>
      <w:r w:rsidRPr="005675B2">
        <w:rPr>
          <w:rFonts w:hint="cs"/>
          <w:bCs/>
          <w:rtl/>
        </w:rPr>
        <w:t xml:space="preserve"> من أهل التفسير وعلوم القرآن</w:t>
      </w:r>
      <w:r w:rsidR="000636C2">
        <w:rPr>
          <w:rFonts w:hint="cs"/>
          <w:rtl/>
        </w:rPr>
        <w:t>:</w:t>
      </w:r>
      <w:r w:rsidRPr="005675B2">
        <w:rPr>
          <w:rFonts w:hint="cs"/>
          <w:rtl/>
        </w:rPr>
        <w:t>القرطبي وابن العربي والرازي وابن عطية والمحلي</w:t>
      </w:r>
      <w:r w:rsidRPr="005675B2">
        <w:rPr>
          <w:rFonts w:hint="cs"/>
        </w:rPr>
        <w:t xml:space="preserve"> </w:t>
      </w:r>
      <w:r w:rsidRPr="005675B2">
        <w:rPr>
          <w:rFonts w:hint="cs"/>
          <w:rtl/>
        </w:rPr>
        <w:t>والبيضاوي والثعالبي وأبو حيان وابن الجزري والزركشي والسيوطي والآلوسي والزرقاني</w:t>
      </w:r>
      <w:r w:rsidRPr="005675B2">
        <w:rPr>
          <w:rFonts w:hint="cs"/>
        </w:rPr>
        <w:t xml:space="preserve"> </w:t>
      </w:r>
      <w:r w:rsidRPr="005675B2">
        <w:rPr>
          <w:rFonts w:hint="cs"/>
          <w:rtl/>
        </w:rPr>
        <w:t>والنسفي والقاسمي وغيرهم كثير</w:t>
      </w:r>
      <w:r w:rsidR="000636C2">
        <w:rPr>
          <w:rFonts w:hint="cs"/>
          <w:rtl/>
        </w:rPr>
        <w:t>،</w:t>
      </w:r>
      <w:r w:rsidRPr="005675B2">
        <w:rPr>
          <w:rFonts w:hint="cs"/>
          <w:rtl/>
        </w:rPr>
        <w:t xml:space="preserve"> </w:t>
      </w:r>
      <w:r w:rsidRPr="005675B2">
        <w:rPr>
          <w:rFonts w:hint="cs"/>
          <w:bCs/>
          <w:rtl/>
        </w:rPr>
        <w:t>ومن أهل الحديث وعلومه</w:t>
      </w:r>
      <w:r w:rsidR="000636C2">
        <w:rPr>
          <w:rFonts w:hint="cs"/>
          <w:rtl/>
        </w:rPr>
        <w:t>:</w:t>
      </w:r>
      <w:r w:rsidRPr="005675B2">
        <w:rPr>
          <w:rFonts w:hint="cs"/>
          <w:rtl/>
        </w:rPr>
        <w:t>الحاكم والبيهقي</w:t>
      </w:r>
      <w:r w:rsidRPr="005675B2">
        <w:rPr>
          <w:rFonts w:hint="cs"/>
        </w:rPr>
        <w:t xml:space="preserve"> </w:t>
      </w:r>
      <w:r w:rsidRPr="005675B2">
        <w:rPr>
          <w:rFonts w:hint="cs"/>
          <w:rtl/>
        </w:rPr>
        <w:t>والخطيب البغدادي وابن عساكر والخطابي وأبو نعيم الأصبهاني والقاضي عياض وابن</w:t>
      </w:r>
      <w:r w:rsidRPr="005675B2">
        <w:rPr>
          <w:rFonts w:hint="cs"/>
        </w:rPr>
        <w:t xml:space="preserve"> </w:t>
      </w:r>
      <w:r w:rsidRPr="005675B2">
        <w:rPr>
          <w:rFonts w:hint="cs"/>
          <w:rtl/>
        </w:rPr>
        <w:t>الصلاح والمنذري والنووي والعز بن عبد السلام والهيثمي والمزي وابن حجر وابن المنير</w:t>
      </w:r>
      <w:r w:rsidRPr="005675B2">
        <w:rPr>
          <w:rFonts w:hint="cs"/>
        </w:rPr>
        <w:t xml:space="preserve"> </w:t>
      </w:r>
      <w:r w:rsidRPr="005675B2">
        <w:rPr>
          <w:rFonts w:hint="cs"/>
          <w:rtl/>
        </w:rPr>
        <w:t>وابن بطال وشراح الصحيحين , وشراح السنن , والعراقي وابنه وابن جماعة والعيني</w:t>
      </w:r>
      <w:r w:rsidRPr="005675B2">
        <w:rPr>
          <w:rFonts w:hint="cs"/>
        </w:rPr>
        <w:t xml:space="preserve"> </w:t>
      </w:r>
      <w:r w:rsidRPr="005675B2">
        <w:rPr>
          <w:rFonts w:hint="cs"/>
          <w:rtl/>
        </w:rPr>
        <w:t>والعلائي وابن فورك وابن الملقن وابن دقيق العيد وابن الزملكاني والزيلعي والسيوطي</w:t>
      </w:r>
      <w:r w:rsidRPr="005675B2">
        <w:rPr>
          <w:rFonts w:hint="cs"/>
        </w:rPr>
        <w:t xml:space="preserve"> </w:t>
      </w:r>
      <w:r w:rsidRPr="005675B2">
        <w:rPr>
          <w:rFonts w:hint="cs"/>
          <w:rtl/>
        </w:rPr>
        <w:t>وابن علان والسخاوي والمناوي وعلي القاري والبيقوني واللكنوي والزبيدي وغيرهم كثيرومن أهل الفقه وأصوله</w:t>
      </w:r>
      <w:r w:rsidR="000636C2">
        <w:rPr>
          <w:rFonts w:hint="cs"/>
          <w:rtl/>
        </w:rPr>
        <w:t>:</w:t>
      </w:r>
      <w:r w:rsidRPr="005675B2">
        <w:rPr>
          <w:rFonts w:hint="cs"/>
          <w:rtl/>
        </w:rPr>
        <w:t>فمن الحنفية</w:t>
      </w:r>
      <w:r w:rsidR="000636C2">
        <w:rPr>
          <w:rFonts w:hint="cs"/>
          <w:rtl/>
        </w:rPr>
        <w:t>:</w:t>
      </w:r>
      <w:r w:rsidRPr="005675B2">
        <w:t xml:space="preserve"> </w:t>
      </w:r>
      <w:r w:rsidRPr="005675B2">
        <w:rPr>
          <w:rFonts w:hint="cs"/>
          <w:rtl/>
        </w:rPr>
        <w:t>ابن نجيم والكاساني والسرخسي</w:t>
      </w:r>
      <w:r w:rsidRPr="005675B2">
        <w:rPr>
          <w:rFonts w:hint="cs"/>
        </w:rPr>
        <w:t xml:space="preserve"> </w:t>
      </w:r>
      <w:r w:rsidRPr="005675B2">
        <w:rPr>
          <w:rFonts w:hint="cs"/>
          <w:rtl/>
        </w:rPr>
        <w:t>والزيلعي والحصكفي والميرغناني والكمال بن الهمام والشرنبلالي وابن أمير الحاج</w:t>
      </w:r>
      <w:r w:rsidRPr="005675B2">
        <w:rPr>
          <w:rFonts w:hint="cs"/>
        </w:rPr>
        <w:t xml:space="preserve"> </w:t>
      </w:r>
      <w:r w:rsidRPr="005675B2">
        <w:rPr>
          <w:rFonts w:hint="cs"/>
          <w:rtl/>
        </w:rPr>
        <w:t>والبزدوي والخادمي وعبد العزيز البخاري وابن عابدين والطحطاوي وغيرهم كثير</w:t>
      </w:r>
      <w:r w:rsidRPr="005675B2">
        <w:rPr>
          <w:rFonts w:hint="cs"/>
        </w:rPr>
        <w:t xml:space="preserve"> </w:t>
      </w:r>
      <w:r w:rsidRPr="005675B2">
        <w:rPr>
          <w:rFonts w:hint="cs"/>
          <w:rtl/>
        </w:rPr>
        <w:t>ومن</w:t>
      </w:r>
      <w:r w:rsidRPr="005675B2">
        <w:rPr>
          <w:rFonts w:hint="cs"/>
        </w:rPr>
        <w:t xml:space="preserve"> </w:t>
      </w:r>
      <w:r w:rsidRPr="005675B2">
        <w:rPr>
          <w:rFonts w:hint="cs"/>
          <w:rtl/>
        </w:rPr>
        <w:t>المالكية</w:t>
      </w:r>
      <w:r w:rsidR="000636C2">
        <w:rPr>
          <w:rFonts w:hint="cs"/>
          <w:rtl/>
        </w:rPr>
        <w:t>:</w:t>
      </w:r>
      <w:r w:rsidRPr="005675B2">
        <w:t xml:space="preserve"> </w:t>
      </w:r>
      <w:r w:rsidRPr="005675B2">
        <w:rPr>
          <w:rFonts w:hint="cs"/>
          <w:rtl/>
        </w:rPr>
        <w:t>ابن رشد والقرافي والشاطبي وابن الحاجب وخليل والدردير والدسوقي</w:t>
      </w:r>
      <w:r w:rsidRPr="005675B2">
        <w:rPr>
          <w:rFonts w:hint="cs"/>
        </w:rPr>
        <w:t xml:space="preserve"> </w:t>
      </w:r>
      <w:r w:rsidRPr="005675B2">
        <w:rPr>
          <w:rFonts w:hint="cs"/>
          <w:rtl/>
        </w:rPr>
        <w:t>وزروق واللقاني والزرقاني والنفراوي وابن جزي والعدوي وابن الحاج والسنوسي وابن</w:t>
      </w:r>
      <w:r w:rsidRPr="005675B2">
        <w:rPr>
          <w:rFonts w:hint="cs"/>
        </w:rPr>
        <w:t xml:space="preserve"> </w:t>
      </w:r>
      <w:r w:rsidRPr="005675B2">
        <w:rPr>
          <w:rFonts w:hint="cs"/>
          <w:rtl/>
        </w:rPr>
        <w:t>عليش وغيرهم كثير</w:t>
      </w:r>
      <w:r w:rsidRPr="005675B2">
        <w:t xml:space="preserve"> </w:t>
      </w:r>
      <w:r w:rsidRPr="005675B2">
        <w:br/>
      </w:r>
      <w:r w:rsidRPr="005675B2">
        <w:rPr>
          <w:rFonts w:hint="cs"/>
          <w:rtl/>
        </w:rPr>
        <w:t>ومن الشافعية</w:t>
      </w:r>
      <w:r w:rsidR="000636C2">
        <w:rPr>
          <w:rFonts w:hint="cs"/>
          <w:rtl/>
        </w:rPr>
        <w:t>:</w:t>
      </w:r>
      <w:r w:rsidRPr="005675B2">
        <w:t xml:space="preserve"> </w:t>
      </w:r>
      <w:r w:rsidRPr="005675B2">
        <w:rPr>
          <w:rFonts w:hint="cs"/>
          <w:rtl/>
        </w:rPr>
        <w:t>الجويني وابنه والرازي والغزالي والآمدي</w:t>
      </w:r>
      <w:r w:rsidRPr="005675B2">
        <w:rPr>
          <w:rFonts w:hint="cs"/>
        </w:rPr>
        <w:t xml:space="preserve"> </w:t>
      </w:r>
      <w:r w:rsidRPr="005675B2">
        <w:rPr>
          <w:rFonts w:hint="cs"/>
          <w:rtl/>
        </w:rPr>
        <w:t>والشيرازي والاسفرائيني والباقلاني والمتولي والسمعاني وابن الصلاح والنووي</w:t>
      </w:r>
      <w:r w:rsidRPr="005675B2">
        <w:rPr>
          <w:rFonts w:hint="cs"/>
        </w:rPr>
        <w:t xml:space="preserve"> </w:t>
      </w:r>
      <w:r w:rsidRPr="005675B2">
        <w:rPr>
          <w:rFonts w:hint="cs"/>
          <w:rtl/>
        </w:rPr>
        <w:t>والرافعي والعز بن عبد السلام وابن دقيق العيد وابن الرفعة والأذرعي والإسنوي</w:t>
      </w:r>
      <w:r w:rsidRPr="005675B2">
        <w:rPr>
          <w:rFonts w:hint="cs"/>
        </w:rPr>
        <w:t xml:space="preserve"> </w:t>
      </w:r>
      <w:r w:rsidRPr="005675B2">
        <w:rPr>
          <w:rFonts w:hint="cs"/>
          <w:rtl/>
        </w:rPr>
        <w:t>والسبكي وابنه والبيضاوي والحصني وزكريا الأنصاري وابن حجر الهيتمي والرملي</w:t>
      </w:r>
      <w:r w:rsidRPr="005675B2">
        <w:rPr>
          <w:rFonts w:hint="cs"/>
        </w:rPr>
        <w:t xml:space="preserve"> </w:t>
      </w:r>
      <w:r w:rsidRPr="005675B2">
        <w:rPr>
          <w:rFonts w:hint="cs"/>
          <w:rtl/>
        </w:rPr>
        <w:t>والشربيني والمحلي وابن المقري والبجيرمي والبيجوري , وابن القاسم وقلوبي وعميرة</w:t>
      </w:r>
      <w:r w:rsidRPr="005675B2">
        <w:rPr>
          <w:rFonts w:hint="cs"/>
        </w:rPr>
        <w:t xml:space="preserve"> </w:t>
      </w:r>
      <w:r w:rsidRPr="005675B2">
        <w:rPr>
          <w:rFonts w:hint="cs"/>
          <w:rtl/>
        </w:rPr>
        <w:t>والغزي وابن النقيب والعطار والبناني والدمياطي وآل الأهدل وغيرهم كثير</w:t>
      </w:r>
      <w:r w:rsidR="000636C2">
        <w:rPr>
          <w:rFonts w:hint="cs"/>
          <w:rtl/>
        </w:rPr>
        <w:t>،</w:t>
      </w:r>
      <w:r w:rsidRPr="005675B2">
        <w:rPr>
          <w:rFonts w:hint="cs"/>
          <w:rtl/>
        </w:rPr>
        <w:t xml:space="preserve"> ومن أهل</w:t>
      </w:r>
      <w:r w:rsidRPr="005675B2">
        <w:rPr>
          <w:rFonts w:hint="cs"/>
        </w:rPr>
        <w:t xml:space="preserve"> </w:t>
      </w:r>
      <w:r w:rsidRPr="005675B2">
        <w:rPr>
          <w:rFonts w:hint="cs"/>
          <w:rtl/>
        </w:rPr>
        <w:t>التواريخ والسير والتراجم</w:t>
      </w:r>
      <w:r w:rsidR="000636C2">
        <w:rPr>
          <w:rFonts w:hint="cs"/>
          <w:rtl/>
        </w:rPr>
        <w:t>:</w:t>
      </w:r>
      <w:r w:rsidRPr="005675B2">
        <w:rPr>
          <w:rFonts w:hint="cs"/>
          <w:rtl/>
        </w:rPr>
        <w:t>القاضي عياض والمحب الطبري وابن عساكر والخطيب</w:t>
      </w:r>
      <w:r w:rsidRPr="005675B2">
        <w:rPr>
          <w:rFonts w:hint="cs"/>
        </w:rPr>
        <w:t xml:space="preserve"> </w:t>
      </w:r>
      <w:r w:rsidRPr="005675B2">
        <w:rPr>
          <w:rFonts w:hint="cs"/>
          <w:rtl/>
        </w:rPr>
        <w:t>البغدادي وأبو نعيم الأصبهاني وابن حجر والمزي والسهيلي والصالحي والسيوطي وابن</w:t>
      </w:r>
      <w:r w:rsidRPr="005675B2">
        <w:rPr>
          <w:rFonts w:hint="cs"/>
        </w:rPr>
        <w:t xml:space="preserve"> </w:t>
      </w:r>
      <w:r w:rsidRPr="005675B2">
        <w:rPr>
          <w:rFonts w:hint="cs"/>
          <w:rtl/>
        </w:rPr>
        <w:t>الأثير وابن خلدون والتلمساني والصفدي وابن خليكان وغيرهم كثير</w:t>
      </w:r>
      <w:r w:rsidRPr="005675B2">
        <w:rPr>
          <w:rFonts w:hint="cs"/>
        </w:rPr>
        <w:t xml:space="preserve"> </w:t>
      </w:r>
      <w:r w:rsidRPr="005675B2">
        <w:rPr>
          <w:rFonts w:hint="cs"/>
          <w:rtl/>
        </w:rPr>
        <w:t>ومن أهل اللغة</w:t>
      </w:r>
      <w:r w:rsidR="000636C2">
        <w:rPr>
          <w:rFonts w:hint="cs"/>
          <w:rtl/>
        </w:rPr>
        <w:t>:</w:t>
      </w:r>
      <w:r w:rsidRPr="005675B2">
        <w:rPr>
          <w:rFonts w:hint="cs"/>
          <w:rtl/>
        </w:rPr>
        <w:t>الجرجاني والغزويني وابن الأنباري والسيوطي وابن مالك وابن عقيل وابن هشام</w:t>
      </w:r>
      <w:r w:rsidRPr="005675B2">
        <w:rPr>
          <w:rFonts w:hint="cs"/>
        </w:rPr>
        <w:t xml:space="preserve"> </w:t>
      </w:r>
      <w:r w:rsidRPr="005675B2">
        <w:rPr>
          <w:rFonts w:hint="cs"/>
          <w:rtl/>
        </w:rPr>
        <w:t>وابن منظور والفيروزآبادي والزبيدي وابن الحاجب والأزهري وأبو حيان وابن الأثير</w:t>
      </w:r>
      <w:r w:rsidRPr="005675B2">
        <w:rPr>
          <w:rFonts w:hint="cs"/>
        </w:rPr>
        <w:t xml:space="preserve"> </w:t>
      </w:r>
      <w:r w:rsidRPr="005675B2">
        <w:rPr>
          <w:rFonts w:hint="cs"/>
          <w:rtl/>
        </w:rPr>
        <w:t>والجرجاني والحموي وابن فارس والكفوي وابن آجروم والحطاب والأهدل وغيرهم</w:t>
      </w:r>
      <w:r w:rsidRPr="005675B2">
        <w:rPr>
          <w:rFonts w:hint="cs"/>
        </w:rPr>
        <w:t xml:space="preserve"> </w:t>
      </w:r>
      <w:r w:rsidRPr="005675B2">
        <w:rPr>
          <w:rFonts w:hint="cs"/>
          <w:rtl/>
        </w:rPr>
        <w:t>كثيرومن القادة</w:t>
      </w:r>
      <w:r w:rsidR="000636C2">
        <w:rPr>
          <w:rFonts w:hint="cs"/>
          <w:rtl/>
        </w:rPr>
        <w:t>:</w:t>
      </w:r>
      <w:r w:rsidRPr="005675B2">
        <w:rPr>
          <w:rFonts w:hint="cs"/>
          <w:rtl/>
        </w:rPr>
        <w:t>نور الدين الشهيد وصلاح الدين الأيوبي والمظفر قطز والظاهر</w:t>
      </w:r>
      <w:r w:rsidRPr="005675B2">
        <w:rPr>
          <w:rFonts w:hint="cs"/>
        </w:rPr>
        <w:t xml:space="preserve"> </w:t>
      </w:r>
      <w:r w:rsidRPr="005675B2">
        <w:rPr>
          <w:rFonts w:hint="cs"/>
          <w:rtl/>
        </w:rPr>
        <w:t>بيبرس وسلاطين الأيوبيين والمماليك , والسلطان محمد الفاتح وسلاطين العثمانيين</w:t>
      </w:r>
      <w:r w:rsidRPr="005675B2">
        <w:rPr>
          <w:rFonts w:hint="cs"/>
        </w:rPr>
        <w:t xml:space="preserve"> </w:t>
      </w:r>
      <w:r w:rsidRPr="005675B2">
        <w:rPr>
          <w:rFonts w:hint="cs"/>
          <w:rtl/>
        </w:rPr>
        <w:t>وغيرهم كثير</w:t>
      </w:r>
      <w:r w:rsidR="000636C2">
        <w:rPr>
          <w:rFonts w:hint="cs"/>
          <w:rtl/>
        </w:rPr>
        <w:t>،</w:t>
      </w:r>
      <w:r w:rsidRPr="005675B2">
        <w:rPr>
          <w:rFonts w:hint="cs"/>
          <w:rtl/>
        </w:rPr>
        <w:t xml:space="preserve"> كل أولئك أشاعرة أو ماتريدية وهم طائفة قليلة من المشهورين منهم ولو</w:t>
      </w:r>
      <w:r w:rsidRPr="005675B2">
        <w:rPr>
          <w:rFonts w:hint="cs"/>
        </w:rPr>
        <w:t xml:space="preserve"> </w:t>
      </w:r>
      <w:r w:rsidRPr="005675B2">
        <w:rPr>
          <w:rFonts w:hint="cs"/>
          <w:rtl/>
        </w:rPr>
        <w:t>أردنا أن نعدد لطال بنا المقام ومن أراد المزيد فعليه بكتب التراجم والسير والتاريخ</w:t>
      </w:r>
      <w:r w:rsidRPr="005675B2">
        <w:rPr>
          <w:rFonts w:hint="cs"/>
        </w:rPr>
        <w:t xml:space="preserve"> </w:t>
      </w:r>
      <w:r w:rsidRPr="005675B2">
        <w:rPr>
          <w:rFonts w:hint="cs"/>
          <w:rtl/>
        </w:rPr>
        <w:t>بل لو أردنا أن نعدد من لم يكن أشعريا أو ماتريديا</w:t>
      </w:r>
      <w:r w:rsidR="000636C2">
        <w:rPr>
          <w:rFonts w:hint="cs"/>
          <w:rtl/>
        </w:rPr>
        <w:t xml:space="preserve"> </w:t>
      </w:r>
      <w:r w:rsidRPr="005675B2">
        <w:rPr>
          <w:rFonts w:hint="cs"/>
          <w:rtl/>
        </w:rPr>
        <w:t>- من غير الحنابلة</w:t>
      </w:r>
      <w:r w:rsidR="000636C2">
        <w:rPr>
          <w:rFonts w:hint="cs"/>
          <w:rtl/>
        </w:rPr>
        <w:t xml:space="preserve"> </w:t>
      </w:r>
      <w:r w:rsidRPr="005675B2">
        <w:rPr>
          <w:rFonts w:hint="cs"/>
          <w:rtl/>
        </w:rPr>
        <w:t>- لما</w:t>
      </w:r>
      <w:r w:rsidRPr="005675B2">
        <w:rPr>
          <w:rFonts w:hint="cs"/>
        </w:rPr>
        <w:t xml:space="preserve"> </w:t>
      </w:r>
      <w:r w:rsidRPr="005675B2">
        <w:rPr>
          <w:rFonts w:hint="cs"/>
          <w:rtl/>
        </w:rPr>
        <w:t>استطعنا أن نعد بقدر الأصابع , وفي الجملة فإن الحنفية ماتريدية إلا ما ندر</w:t>
      </w:r>
      <w:r w:rsidRPr="005675B2">
        <w:t xml:space="preserve"> , </w:t>
      </w:r>
      <w:r w:rsidRPr="005675B2">
        <w:rPr>
          <w:rFonts w:hint="cs"/>
          <w:rtl/>
        </w:rPr>
        <w:t>والمالكية والشافعية أشعرية إلا ما ندر , والحنابلة أثرية</w:t>
      </w:r>
      <w:r w:rsidR="000636C2">
        <w:rPr>
          <w:rFonts w:hint="cs"/>
          <w:rtl/>
        </w:rPr>
        <w:t>(</w:t>
      </w:r>
      <w:r w:rsidRPr="005675B2">
        <w:rPr>
          <w:rFonts w:hint="cs"/>
          <w:rtl/>
        </w:rPr>
        <w:t>مفوضة</w:t>
      </w:r>
      <w:r w:rsidR="000636C2">
        <w:rPr>
          <w:rFonts w:hint="cs"/>
          <w:rtl/>
        </w:rPr>
        <w:t>)</w:t>
      </w:r>
      <w:r w:rsidRPr="005675B2">
        <w:rPr>
          <w:rFonts w:hint="cs"/>
          <w:rtl/>
        </w:rPr>
        <w:t xml:space="preserve"> [</w:t>
      </w:r>
      <w:r w:rsidRPr="005675B2">
        <w:rPr>
          <w:rFonts w:hint="cs"/>
          <w:bCs/>
          <w:sz w:val="24"/>
          <w:szCs w:val="24"/>
          <w:rtl/>
        </w:rPr>
        <w:t>مابين القوسين أدرجته للإيضاح]</w:t>
      </w:r>
      <w:r w:rsidRPr="005675B2">
        <w:rPr>
          <w:rFonts w:hint="cs"/>
          <w:rtl/>
        </w:rPr>
        <w:t xml:space="preserve"> إلا ما ندر</w:t>
      </w:r>
      <w:r w:rsidR="000636C2">
        <w:rPr>
          <w:rFonts w:hint="cs"/>
          <w:rtl/>
        </w:rPr>
        <w:t>،</w:t>
      </w:r>
      <w:r w:rsidRPr="005675B2">
        <w:rPr>
          <w:rFonts w:hint="cs"/>
          <w:rtl/>
        </w:rPr>
        <w:t xml:space="preserve"> فإذا كان</w:t>
      </w:r>
      <w:r w:rsidRPr="005675B2">
        <w:rPr>
          <w:rFonts w:hint="cs"/>
        </w:rPr>
        <w:t xml:space="preserve"> </w:t>
      </w:r>
      <w:r w:rsidRPr="005675B2">
        <w:rPr>
          <w:rFonts w:hint="cs"/>
          <w:rtl/>
        </w:rPr>
        <w:t>أولئك الأئمة الذين ذكرناهم</w:t>
      </w:r>
      <w:r w:rsidR="000636C2">
        <w:rPr>
          <w:rFonts w:hint="cs"/>
          <w:rtl/>
        </w:rPr>
        <w:t xml:space="preserve"> </w:t>
      </w:r>
      <w:r w:rsidRPr="005675B2">
        <w:rPr>
          <w:rFonts w:hint="cs"/>
          <w:rtl/>
        </w:rPr>
        <w:t>- وغيرهم كثير ممن لم نذكرهم</w:t>
      </w:r>
      <w:r w:rsidR="000636C2">
        <w:rPr>
          <w:rFonts w:hint="cs"/>
          <w:rtl/>
        </w:rPr>
        <w:t xml:space="preserve"> </w:t>
      </w:r>
      <w:r w:rsidRPr="005675B2">
        <w:rPr>
          <w:rFonts w:hint="cs"/>
          <w:rtl/>
        </w:rPr>
        <w:t>- مبتدعين ضالين خارجين عن</w:t>
      </w:r>
      <w:r w:rsidRPr="005675B2">
        <w:rPr>
          <w:rFonts w:hint="cs"/>
        </w:rPr>
        <w:t xml:space="preserve"> </w:t>
      </w:r>
      <w:r w:rsidRPr="005675B2">
        <w:rPr>
          <w:rFonts w:hint="cs"/>
          <w:rtl/>
        </w:rPr>
        <w:t>أهل السنة والجماعة ومن الفرق الهالكة ومن المتوعدين بالنار , أو كان ما هم عليه</w:t>
      </w:r>
      <w:r w:rsidRPr="005675B2">
        <w:rPr>
          <w:rFonts w:hint="cs"/>
        </w:rPr>
        <w:t xml:space="preserve"> </w:t>
      </w:r>
      <w:r w:rsidRPr="005675B2">
        <w:rPr>
          <w:rFonts w:hint="cs"/>
          <w:rtl/>
        </w:rPr>
        <w:t>بدعة وضلالة وخروج عن السنة والجماعة ومتوعدون بسببه بالهلاك والنار فواخسارة</w:t>
      </w:r>
      <w:r w:rsidRPr="005675B2">
        <w:rPr>
          <w:rFonts w:hint="cs"/>
        </w:rPr>
        <w:t xml:space="preserve"> </w:t>
      </w:r>
      <w:r w:rsidRPr="005675B2">
        <w:rPr>
          <w:rFonts w:hint="cs"/>
          <w:rtl/>
        </w:rPr>
        <w:t>الإسلام والمسلمين</w:t>
      </w:r>
      <w:r w:rsidR="000636C2">
        <w:rPr>
          <w:rFonts w:hint="cs"/>
          <w:rtl/>
        </w:rPr>
        <w:t>،</w:t>
      </w:r>
      <w:r w:rsidRPr="005675B2">
        <w:rPr>
          <w:rFonts w:hint="cs"/>
          <w:rtl/>
        </w:rPr>
        <w:t xml:space="preserve"> أهـ </w:t>
      </w:r>
    </w:p>
    <w:p w14:paraId="53F0AEB9" w14:textId="22A0AE1B" w:rsidR="009C32A0" w:rsidRPr="005675B2" w:rsidRDefault="009C32A0" w:rsidP="000636C2">
      <w:pPr>
        <w:rPr>
          <w:b/>
          <w:rtl/>
        </w:rPr>
      </w:pPr>
      <w:r w:rsidRPr="005675B2">
        <w:rPr>
          <w:rFonts w:hint="cs"/>
          <w:bCs/>
          <w:rtl/>
        </w:rPr>
        <w:t>فتوى ابن رشد في منتقص الأشاعرة</w:t>
      </w:r>
      <w:r w:rsidR="000636C2">
        <w:rPr>
          <w:rFonts w:hint="cs"/>
          <w:bCs/>
          <w:rtl/>
        </w:rPr>
        <w:t>:</w:t>
      </w:r>
      <w:r w:rsidRPr="005675B2">
        <w:rPr>
          <w:rFonts w:hint="cs"/>
          <w:bCs/>
          <w:rtl/>
        </w:rPr>
        <w:t xml:space="preserve"> </w:t>
      </w:r>
      <w:r w:rsidRPr="005675B2">
        <w:rPr>
          <w:rFonts w:hint="cs"/>
          <w:rtl/>
        </w:rPr>
        <w:t xml:space="preserve">سئل الإمام ابن رشد الجد المالكي رحمه الله تعالى الملقب عند المالكية بشيخ المذهب عن رأي المالكية في السادة الأشاعرة وحكم من ينتقصهم كما في فتاواه </w:t>
      </w:r>
      <w:r w:rsidR="000636C2">
        <w:rPr>
          <w:rFonts w:hint="cs"/>
          <w:rtl/>
        </w:rPr>
        <w:t>(</w:t>
      </w:r>
      <w:r w:rsidRPr="005675B2">
        <w:rPr>
          <w:rFonts w:hint="cs"/>
          <w:rtl/>
        </w:rPr>
        <w:t>2 / 802</w:t>
      </w:r>
      <w:r w:rsidR="000636C2">
        <w:rPr>
          <w:rFonts w:hint="cs"/>
          <w:rtl/>
        </w:rPr>
        <w:t>)</w:t>
      </w:r>
      <w:r w:rsidRPr="005675B2">
        <w:rPr>
          <w:rFonts w:hint="cs"/>
          <w:rtl/>
        </w:rPr>
        <w:t xml:space="preserve"> وهذا نص السؤال و</w:t>
      </w:r>
      <w:r w:rsidR="000636C2">
        <w:rPr>
          <w:rFonts w:hint="cs"/>
          <w:rtl/>
        </w:rPr>
        <w:t>[</w:t>
      </w:r>
      <w:r>
        <w:rPr>
          <w:rFonts w:hint="cs"/>
          <w:rtl/>
        </w:rPr>
        <w:t>الجواب</w:t>
      </w:r>
      <w:r w:rsidR="000636C2">
        <w:rPr>
          <w:rFonts w:hint="cs"/>
          <w:rtl/>
        </w:rPr>
        <w:t xml:space="preserve">] </w:t>
      </w:r>
      <w:r w:rsidRPr="005675B2">
        <w:rPr>
          <w:rFonts w:hint="cs"/>
          <w:rtl/>
        </w:rPr>
        <w:t>السؤاال</w:t>
      </w:r>
      <w:r w:rsidR="000636C2">
        <w:rPr>
          <w:rFonts w:hint="cs"/>
          <w:rtl/>
        </w:rPr>
        <w:t>:</w:t>
      </w:r>
      <w:r w:rsidRPr="005675B2">
        <w:rPr>
          <w:rFonts w:hint="cs"/>
          <w:rtl/>
        </w:rPr>
        <w:t>ما يقول الفقيه القاضي الأجل</w:t>
      </w:r>
      <w:r w:rsidR="000636C2">
        <w:rPr>
          <w:rFonts w:hint="cs"/>
          <w:rtl/>
        </w:rPr>
        <w:t>،</w:t>
      </w:r>
      <w:r w:rsidRPr="005675B2">
        <w:rPr>
          <w:rFonts w:hint="cs"/>
          <w:rtl/>
        </w:rPr>
        <w:t xml:space="preserve"> أبو الوليد وصل الله توفيقه وتسديده</w:t>
      </w:r>
      <w:r w:rsidR="000636C2">
        <w:rPr>
          <w:rFonts w:hint="cs"/>
          <w:rtl/>
        </w:rPr>
        <w:t>،</w:t>
      </w:r>
      <w:r w:rsidRPr="005675B2">
        <w:rPr>
          <w:rFonts w:hint="cs"/>
          <w:rtl/>
        </w:rPr>
        <w:t xml:space="preserve"> ونهج إلى كل صالحة طريقه</w:t>
      </w:r>
      <w:r w:rsidR="000636C2">
        <w:rPr>
          <w:rFonts w:hint="cs"/>
          <w:rtl/>
        </w:rPr>
        <w:t>،</w:t>
      </w:r>
      <w:r w:rsidRPr="005675B2">
        <w:rPr>
          <w:rFonts w:hint="cs"/>
          <w:rtl/>
        </w:rPr>
        <w:t xml:space="preserve"> في أبي الحسن الأشعري وأبي إسحاق الإسفراييني وأبي بكر الباقلاني [</w:t>
      </w:r>
      <w:r w:rsidRPr="005675B2">
        <w:rPr>
          <w:rFonts w:hint="cs"/>
          <w:sz w:val="24"/>
          <w:szCs w:val="24"/>
          <w:rtl/>
        </w:rPr>
        <w:t>طاهر بن عبد الله بن طاهر بن عمر الإمام الجليل القاضي أبو الطيب الطبري</w:t>
      </w:r>
      <w:r w:rsidR="000636C2">
        <w:rPr>
          <w:rFonts w:hint="cs"/>
          <w:sz w:val="24"/>
          <w:szCs w:val="24"/>
          <w:rtl/>
        </w:rPr>
        <w:t xml:space="preserve"> </w:t>
      </w:r>
      <w:r w:rsidRPr="005675B2">
        <w:rPr>
          <w:rFonts w:hint="cs"/>
          <w:sz w:val="24"/>
          <w:szCs w:val="24"/>
          <w:rtl/>
        </w:rPr>
        <w:t>أحد حملة المذهب ورفعائه</w:t>
      </w:r>
      <w:r w:rsidR="000636C2">
        <w:rPr>
          <w:rFonts w:hint="cs"/>
          <w:sz w:val="24"/>
          <w:szCs w:val="24"/>
          <w:rtl/>
        </w:rPr>
        <w:t xml:space="preserve"> </w:t>
      </w:r>
      <w:r w:rsidRPr="005675B2">
        <w:rPr>
          <w:rFonts w:hint="cs"/>
          <w:sz w:val="24"/>
          <w:szCs w:val="24"/>
          <w:rtl/>
        </w:rPr>
        <w:t>كان إماما جليلا بحرا غواصا متسع الدائرة عظيم العلم جليل القدر كبير المحل أخذ العراقيون عنه العلم وحملوا المذهب الشافعي ولد القاضي بآمل طبرستان سنة ثمان وأربعين وثلاثمائة</w:t>
      </w:r>
      <w:r w:rsidR="000636C2">
        <w:rPr>
          <w:rFonts w:hint="cs"/>
          <w:sz w:val="24"/>
          <w:szCs w:val="24"/>
          <w:rtl/>
        </w:rPr>
        <w:t xml:space="preserve"> </w:t>
      </w:r>
      <w:r w:rsidRPr="005675B2">
        <w:rPr>
          <w:rFonts w:hint="cs"/>
          <w:sz w:val="24"/>
          <w:szCs w:val="24"/>
          <w:rtl/>
        </w:rPr>
        <w:t>وسمع بنيسابور من شيخه أبي الحسن الماسرجسي وببغداد من الحافظ أبي الحسن الدارقطني وأسند عنه كثيرا في كتابه المنهاج روى عنه الخطيب البغدادي وأبو إسحاق الشيرازي وهو أخص تلامذته به ..... ذكره تلميذه الشيخ أبو إسحاق فقال فيما أخبرناه أبو عبد الله الحافظ بقراءتي عليه أخبرنا ابن القواس أخبرنا الكندي إجازة أخبرنا أبو الحسن بن عبد السلام أخبرنا أبو إسحاق إبراهيم بن علي الشيرازي قال ومنهم شيخنا وأستاذنا أبو الطيب توفي عن مائة وسنتين لم يختل عقله ولا تغير فهمه يفتى مع الفقهاء ويستدرك عليهم الخطأ ويقضي ويشهد ويحضر المواكب إلى أن مات .... وحضر مجلس الشيخ أبي حامد ولم أر فيمن رأيت أكمل اجتهادا وأسد تحقيقا وأجود نظرا منه</w:t>
      </w:r>
      <w:r w:rsidR="000636C2">
        <w:rPr>
          <w:rFonts w:hint="cs"/>
          <w:sz w:val="24"/>
          <w:szCs w:val="24"/>
          <w:rtl/>
        </w:rPr>
        <w:t xml:space="preserve"> </w:t>
      </w:r>
      <w:r w:rsidRPr="005675B2">
        <w:rPr>
          <w:rFonts w:hint="cs"/>
          <w:sz w:val="24"/>
          <w:szCs w:val="24"/>
          <w:rtl/>
        </w:rPr>
        <w:t xml:space="preserve">شرح المزني وصنف في الخلاف والمذهب والأصول والجدل كتبا كثيرة ليس لأحد مثلها ........... </w:t>
      </w:r>
      <w:r w:rsidRPr="005675B2">
        <w:rPr>
          <w:rFonts w:hint="cs"/>
          <w:sz w:val="24"/>
          <w:szCs w:val="24"/>
          <w:u w:val="single"/>
          <w:rtl/>
        </w:rPr>
        <w:t>وقال الخطيب كان أبو الطيب ورعا</w:t>
      </w:r>
      <w:r w:rsidRPr="005675B2">
        <w:rPr>
          <w:rFonts w:hint="cs"/>
          <w:sz w:val="24"/>
          <w:szCs w:val="24"/>
          <w:rtl/>
        </w:rPr>
        <w:t xml:space="preserve"> عارفا بالأصول والفروع محققا </w:t>
      </w:r>
      <w:r w:rsidRPr="005675B2">
        <w:rPr>
          <w:rFonts w:hint="cs"/>
          <w:sz w:val="24"/>
          <w:szCs w:val="24"/>
          <w:u w:val="single"/>
          <w:rtl/>
        </w:rPr>
        <w:t>حسن الخلق</w:t>
      </w:r>
      <w:r w:rsidRPr="005675B2">
        <w:rPr>
          <w:rFonts w:hint="cs"/>
          <w:sz w:val="24"/>
          <w:szCs w:val="24"/>
          <w:rtl/>
        </w:rPr>
        <w:t xml:space="preserve"> صحيح المذهب</w:t>
      </w:r>
      <w:r w:rsidR="000636C2">
        <w:rPr>
          <w:rFonts w:hint="cs"/>
          <w:sz w:val="24"/>
          <w:szCs w:val="24"/>
          <w:rtl/>
        </w:rPr>
        <w:t xml:space="preserve"> </w:t>
      </w:r>
      <w:r w:rsidRPr="005675B2">
        <w:rPr>
          <w:rFonts w:hint="cs"/>
          <w:sz w:val="24"/>
          <w:szCs w:val="24"/>
          <w:rtl/>
        </w:rPr>
        <w:t>وذكره أبو عاصم في آخر الطبقة السادسة وهو آخر مذكور في كتابه وقال فيه فاتحة هذه الطبقة شيخ العراق أبو الطيب طاهر بن عبد الله الطبري وقال أبو الحسن محمد بن محمد بن عبد الله القاضي ابتدأ القاضي أبو الطيب يدرس الفقه ويتعلم العلم وله أربع عشرة سنة فلم يخل به يوما واحدا إلى أن مات</w:t>
      </w:r>
      <w:r w:rsidR="000636C2">
        <w:rPr>
          <w:rFonts w:hint="cs"/>
          <w:sz w:val="24"/>
          <w:szCs w:val="24"/>
          <w:rtl/>
        </w:rPr>
        <w:t xml:space="preserve"> </w:t>
      </w:r>
      <w:r w:rsidRPr="005675B2">
        <w:rPr>
          <w:rFonts w:hint="cs"/>
          <w:sz w:val="24"/>
          <w:szCs w:val="24"/>
          <w:rtl/>
        </w:rPr>
        <w:t xml:space="preserve">وعن أبي محمد الباقي أبو الطيب الطبري أفقه من أبي حامد الإسفرايني وقال القاضي أبو بكر الشامي </w:t>
      </w:r>
      <w:r w:rsidRPr="005675B2">
        <w:rPr>
          <w:rFonts w:hint="cs"/>
          <w:sz w:val="24"/>
          <w:szCs w:val="24"/>
          <w:u w:val="single"/>
          <w:rtl/>
        </w:rPr>
        <w:t>قلت للقاضي أبي الطيب شيخنا وقد عمر لقد متعت بجوارحك فقال لم لا وما عصيت الله بواحدة منها قط</w:t>
      </w:r>
      <w:r w:rsidR="000636C2">
        <w:rPr>
          <w:rFonts w:hint="cs"/>
          <w:sz w:val="24"/>
          <w:szCs w:val="24"/>
          <w:u w:val="single"/>
          <w:rtl/>
        </w:rPr>
        <w:t xml:space="preserve"> </w:t>
      </w:r>
      <w:r w:rsidRPr="005675B2">
        <w:rPr>
          <w:rFonts w:hint="cs"/>
          <w:sz w:val="24"/>
          <w:szCs w:val="24"/>
          <w:u w:val="single"/>
          <w:rtl/>
        </w:rPr>
        <w:t>وعن القاضي أبي الطيب أنه رأى النبي المنام وقال له يا فقيه وأنه كان يفرح بذلك ويقول سماني رسول الله</w:t>
      </w:r>
      <w:r w:rsidRPr="005675B2">
        <w:rPr>
          <w:rFonts w:hint="cs"/>
          <w:sz w:val="24"/>
          <w:szCs w:val="24"/>
          <w:rtl/>
        </w:rPr>
        <w:t>.أ ـ هـ مختصراً من طبقات الشافعية</w:t>
      </w:r>
      <w:r w:rsidR="000636C2">
        <w:rPr>
          <w:rFonts w:hint="cs"/>
          <w:sz w:val="24"/>
          <w:szCs w:val="24"/>
          <w:rtl/>
        </w:rPr>
        <w:t>]</w:t>
      </w:r>
      <w:r w:rsidRPr="005675B2">
        <w:rPr>
          <w:rFonts w:hint="cs"/>
          <w:rtl/>
        </w:rPr>
        <w:t xml:space="preserve"> وأبي بكر بن فورك وأبي المعالي</w:t>
      </w:r>
      <w:r w:rsidR="000636C2">
        <w:rPr>
          <w:rFonts w:hint="cs"/>
          <w:rtl/>
        </w:rPr>
        <w:t>،</w:t>
      </w:r>
      <w:r w:rsidRPr="005675B2">
        <w:rPr>
          <w:rFonts w:hint="cs"/>
          <w:rtl/>
        </w:rPr>
        <w:t xml:space="preserve"> ونظرائهم ممن ينتحل علم الكلام ويتكلم في أصول الديانات ويصنف للرد على أهل الأهواء</w:t>
      </w:r>
      <w:r w:rsidR="000636C2">
        <w:rPr>
          <w:rFonts w:hint="cs"/>
          <w:rtl/>
        </w:rPr>
        <w:t>؟</w:t>
      </w:r>
      <w:r w:rsidRPr="005675B2">
        <w:rPr>
          <w:rFonts w:hint="cs"/>
          <w:rtl/>
        </w:rPr>
        <w:t xml:space="preserve"> أهم أئمة رشاد وهداية</w:t>
      </w:r>
      <w:r w:rsidR="000636C2">
        <w:rPr>
          <w:rFonts w:hint="cs"/>
          <w:rtl/>
        </w:rPr>
        <w:t>،</w:t>
      </w:r>
      <w:r w:rsidRPr="005675B2">
        <w:rPr>
          <w:rFonts w:hint="cs"/>
          <w:rtl/>
        </w:rPr>
        <w:t>أم هم قادة حيرة وعماية</w:t>
      </w:r>
      <w:r w:rsidR="000636C2">
        <w:rPr>
          <w:rFonts w:hint="cs"/>
          <w:rtl/>
        </w:rPr>
        <w:t>؟</w:t>
      </w:r>
      <w:r w:rsidRPr="005675B2">
        <w:rPr>
          <w:rFonts w:hint="cs"/>
          <w:rtl/>
        </w:rPr>
        <w:t xml:space="preserve"> وما تقول في قوم يسبونهم وينتقصونهم</w:t>
      </w:r>
      <w:r w:rsidR="000636C2">
        <w:rPr>
          <w:rFonts w:hint="cs"/>
          <w:rtl/>
        </w:rPr>
        <w:t>،</w:t>
      </w:r>
      <w:r w:rsidRPr="005675B2">
        <w:rPr>
          <w:rFonts w:hint="cs"/>
          <w:rtl/>
        </w:rPr>
        <w:t xml:space="preserve"> ويسبون كل من ينتمي إلى علم الأشعرية</w:t>
      </w:r>
      <w:r w:rsidR="000636C2">
        <w:rPr>
          <w:rFonts w:hint="cs"/>
          <w:rtl/>
        </w:rPr>
        <w:t>،</w:t>
      </w:r>
      <w:r w:rsidRPr="005675B2">
        <w:rPr>
          <w:rFonts w:hint="cs"/>
          <w:rtl/>
        </w:rPr>
        <w:t xml:space="preserve"> ويكفرونهم ويتبرأون منهم</w:t>
      </w:r>
      <w:r w:rsidR="000636C2">
        <w:rPr>
          <w:rFonts w:hint="cs"/>
          <w:rtl/>
        </w:rPr>
        <w:t>،</w:t>
      </w:r>
      <w:r w:rsidRPr="005675B2">
        <w:rPr>
          <w:rFonts w:hint="cs"/>
          <w:rtl/>
        </w:rPr>
        <w:t xml:space="preserve"> وينحرفون بالولاية عنهم</w:t>
      </w:r>
      <w:r w:rsidR="000636C2">
        <w:rPr>
          <w:rFonts w:hint="cs"/>
          <w:rtl/>
        </w:rPr>
        <w:t>،</w:t>
      </w:r>
      <w:r w:rsidRPr="005675B2">
        <w:rPr>
          <w:rFonts w:hint="cs"/>
          <w:rtl/>
        </w:rPr>
        <w:t xml:space="preserve"> ويعتقدون أنهم على ضلالة</w:t>
      </w:r>
      <w:r w:rsidR="000636C2">
        <w:rPr>
          <w:rFonts w:hint="cs"/>
          <w:rtl/>
        </w:rPr>
        <w:t>،</w:t>
      </w:r>
      <w:r w:rsidRPr="005675B2">
        <w:rPr>
          <w:rFonts w:hint="cs"/>
          <w:rtl/>
        </w:rPr>
        <w:t xml:space="preserve"> وخائضون في جهالة</w:t>
      </w:r>
      <w:r w:rsidR="000636C2">
        <w:rPr>
          <w:rFonts w:hint="cs"/>
          <w:rtl/>
        </w:rPr>
        <w:t>،</w:t>
      </w:r>
      <w:r w:rsidRPr="005675B2">
        <w:rPr>
          <w:rFonts w:hint="cs"/>
          <w:rtl/>
        </w:rPr>
        <w:t xml:space="preserve"> فماذا يقال لهم ويصنع بهم ويعتقد فيهم</w:t>
      </w:r>
      <w:r w:rsidR="000636C2">
        <w:rPr>
          <w:rFonts w:hint="cs"/>
          <w:rtl/>
        </w:rPr>
        <w:t>؟</w:t>
      </w:r>
      <w:r w:rsidRPr="005675B2">
        <w:rPr>
          <w:rFonts w:hint="cs"/>
          <w:rtl/>
        </w:rPr>
        <w:t xml:space="preserve"> أيتركون على أهوائهم</w:t>
      </w:r>
      <w:r w:rsidR="000636C2">
        <w:rPr>
          <w:rFonts w:hint="cs"/>
          <w:rtl/>
        </w:rPr>
        <w:t>،</w:t>
      </w:r>
      <w:r w:rsidRPr="005675B2">
        <w:rPr>
          <w:rFonts w:hint="cs"/>
          <w:rtl/>
        </w:rPr>
        <w:t xml:space="preserve"> أم يكف عن غلوائهم</w:t>
      </w:r>
      <w:r w:rsidR="000636C2">
        <w:rPr>
          <w:rFonts w:hint="cs"/>
          <w:rtl/>
        </w:rPr>
        <w:t>؟،</w:t>
      </w:r>
      <w:r w:rsidRPr="005675B2">
        <w:rPr>
          <w:rFonts w:hint="cs"/>
          <w:rtl/>
        </w:rPr>
        <w:t xml:space="preserve"> فأجاب رحمه الله</w:t>
      </w:r>
      <w:r w:rsidR="000636C2">
        <w:rPr>
          <w:rFonts w:hint="cs"/>
          <w:rtl/>
        </w:rPr>
        <w:t>:</w:t>
      </w:r>
      <w:r w:rsidRPr="005675B2">
        <w:rPr>
          <w:rFonts w:hint="cs"/>
          <w:rtl/>
        </w:rPr>
        <w:t>تصفحت عصمنا الله وإياك سؤالك هذا</w:t>
      </w:r>
      <w:r w:rsidR="000636C2">
        <w:rPr>
          <w:rFonts w:hint="cs"/>
          <w:rtl/>
        </w:rPr>
        <w:t>،</w:t>
      </w:r>
      <w:r w:rsidRPr="005675B2">
        <w:rPr>
          <w:rFonts w:hint="cs"/>
          <w:rtl/>
        </w:rPr>
        <w:t xml:space="preserve"> ووقفت على الذين سميت من العلماء، فهؤلاء أئمة خير وهدى</w:t>
      </w:r>
      <w:r w:rsidR="000636C2">
        <w:rPr>
          <w:rFonts w:hint="cs"/>
          <w:rtl/>
        </w:rPr>
        <w:t>،</w:t>
      </w:r>
      <w:r w:rsidRPr="005675B2">
        <w:rPr>
          <w:rFonts w:hint="cs"/>
          <w:rtl/>
        </w:rPr>
        <w:t xml:space="preserve"> وممن يجب بهم الاقتداء</w:t>
      </w:r>
      <w:r w:rsidR="000636C2">
        <w:rPr>
          <w:rFonts w:hint="cs"/>
          <w:rtl/>
        </w:rPr>
        <w:t>،</w:t>
      </w:r>
      <w:r w:rsidRPr="005675B2">
        <w:rPr>
          <w:rFonts w:hint="cs"/>
          <w:rtl/>
        </w:rPr>
        <w:t xml:space="preserve"> لأنهم قاموا بنصر الشريعة</w:t>
      </w:r>
      <w:r w:rsidR="000636C2">
        <w:rPr>
          <w:rFonts w:hint="cs"/>
          <w:rtl/>
        </w:rPr>
        <w:t>،</w:t>
      </w:r>
      <w:r w:rsidRPr="005675B2">
        <w:rPr>
          <w:rFonts w:hint="cs"/>
          <w:rtl/>
        </w:rPr>
        <w:t xml:space="preserve"> وأبطلوا شبه أهل الزيغ والضلالة</w:t>
      </w:r>
      <w:r w:rsidR="000636C2">
        <w:rPr>
          <w:rFonts w:hint="cs"/>
          <w:rtl/>
        </w:rPr>
        <w:t>،</w:t>
      </w:r>
      <w:r w:rsidRPr="005675B2">
        <w:rPr>
          <w:rFonts w:hint="cs"/>
          <w:rtl/>
        </w:rPr>
        <w:t xml:space="preserve"> وأوضحوا المشكلات</w:t>
      </w:r>
      <w:r w:rsidR="000636C2">
        <w:rPr>
          <w:rFonts w:hint="cs"/>
          <w:rtl/>
        </w:rPr>
        <w:t>،</w:t>
      </w:r>
      <w:r w:rsidRPr="005675B2">
        <w:rPr>
          <w:rFonts w:hint="cs"/>
          <w:rtl/>
        </w:rPr>
        <w:t xml:space="preserve"> وبينوا ما يجب أن يدان به من المعتقدات</w:t>
      </w:r>
      <w:r w:rsidR="000636C2">
        <w:rPr>
          <w:rFonts w:hint="cs"/>
          <w:rtl/>
        </w:rPr>
        <w:t>،</w:t>
      </w:r>
      <w:r w:rsidRPr="005675B2">
        <w:rPr>
          <w:rFonts w:hint="cs"/>
          <w:rtl/>
        </w:rPr>
        <w:t xml:space="preserve"> فهم بمعرفتهم بأصول الديانات العلماء على الحقيقة</w:t>
      </w:r>
      <w:r w:rsidR="000636C2">
        <w:rPr>
          <w:rFonts w:hint="cs"/>
          <w:rtl/>
        </w:rPr>
        <w:t>،</w:t>
      </w:r>
      <w:r w:rsidRPr="005675B2">
        <w:rPr>
          <w:rFonts w:hint="cs"/>
          <w:rtl/>
        </w:rPr>
        <w:t xml:space="preserve"> لعلمهم بالله عزوجل وما يجب له وما يجوز عليه</w:t>
      </w:r>
      <w:r w:rsidR="000636C2">
        <w:rPr>
          <w:rFonts w:hint="cs"/>
          <w:rtl/>
        </w:rPr>
        <w:t>،</w:t>
      </w:r>
      <w:r w:rsidRPr="005675B2">
        <w:rPr>
          <w:rFonts w:hint="cs"/>
          <w:rtl/>
        </w:rPr>
        <w:t xml:space="preserve"> وما ينتفي عنه</w:t>
      </w:r>
      <w:r w:rsidR="000636C2">
        <w:rPr>
          <w:rFonts w:hint="cs"/>
          <w:rtl/>
        </w:rPr>
        <w:t>،</w:t>
      </w:r>
      <w:r w:rsidRPr="005675B2">
        <w:rPr>
          <w:rFonts w:hint="cs"/>
          <w:rtl/>
        </w:rPr>
        <w:t xml:space="preserve"> إذ لا تعلم الفروع إلا بعد معرفة الاصول</w:t>
      </w:r>
      <w:r w:rsidR="000636C2">
        <w:rPr>
          <w:rFonts w:hint="cs"/>
          <w:rtl/>
        </w:rPr>
        <w:t>،</w:t>
      </w:r>
      <w:r w:rsidRPr="005675B2">
        <w:rPr>
          <w:rFonts w:hint="cs"/>
          <w:rtl/>
        </w:rPr>
        <w:t xml:space="preserve"> فمن الواجب أن يعترف بفضائلهم</w:t>
      </w:r>
      <w:r w:rsidR="000636C2">
        <w:rPr>
          <w:rFonts w:hint="cs"/>
          <w:rtl/>
        </w:rPr>
        <w:t>،</w:t>
      </w:r>
      <w:r w:rsidRPr="005675B2">
        <w:rPr>
          <w:rFonts w:hint="cs"/>
          <w:rtl/>
        </w:rPr>
        <w:t xml:space="preserve"> ويقر لهم بسوابقهم</w:t>
      </w:r>
      <w:r w:rsidR="000636C2">
        <w:rPr>
          <w:rFonts w:hint="cs"/>
          <w:rtl/>
        </w:rPr>
        <w:t>،</w:t>
      </w:r>
      <w:r w:rsidRPr="005675B2">
        <w:rPr>
          <w:rFonts w:hint="cs"/>
          <w:rtl/>
        </w:rPr>
        <w:t xml:space="preserve"> فهم الذين عنى رسول الله صلى الله عليه وسلم بقوله</w:t>
      </w:r>
      <w:r w:rsidR="000636C2">
        <w:rPr>
          <w:rFonts w:hint="cs"/>
          <w:rtl/>
        </w:rPr>
        <w:t>:</w:t>
      </w:r>
      <w:r w:rsidRPr="005675B2">
        <w:rPr>
          <w:rFonts w:hint="cs"/>
          <w:rtl/>
        </w:rPr>
        <w:t xml:space="preserve"> </w:t>
      </w:r>
      <w:r w:rsidR="000636C2">
        <w:rPr>
          <w:rFonts w:hint="cs"/>
          <w:rtl/>
        </w:rPr>
        <w:t>(</w:t>
      </w:r>
      <w:r w:rsidRPr="005675B2">
        <w:rPr>
          <w:rFonts w:hint="cs"/>
          <w:rtl/>
        </w:rPr>
        <w:t>يحمل هذا العلم من كل خلف عدوله</w:t>
      </w:r>
      <w:r w:rsidR="000636C2">
        <w:rPr>
          <w:rFonts w:hint="cs"/>
          <w:rtl/>
        </w:rPr>
        <w:t>،</w:t>
      </w:r>
      <w:r w:rsidRPr="005675B2">
        <w:rPr>
          <w:rFonts w:hint="cs"/>
          <w:rtl/>
        </w:rPr>
        <w:t xml:space="preserve"> ينفون عنه تحريف الغالين</w:t>
      </w:r>
      <w:r w:rsidR="000636C2">
        <w:rPr>
          <w:rFonts w:hint="cs"/>
          <w:rtl/>
        </w:rPr>
        <w:t>،</w:t>
      </w:r>
      <w:r w:rsidRPr="005675B2">
        <w:rPr>
          <w:rFonts w:hint="cs"/>
          <w:rtl/>
        </w:rPr>
        <w:t xml:space="preserve"> وانتحال المبطلين</w:t>
      </w:r>
      <w:r w:rsidR="000636C2">
        <w:rPr>
          <w:rFonts w:hint="cs"/>
          <w:rtl/>
        </w:rPr>
        <w:t>،</w:t>
      </w:r>
      <w:r w:rsidRPr="005675B2">
        <w:rPr>
          <w:rFonts w:hint="cs"/>
          <w:rtl/>
        </w:rPr>
        <w:t xml:space="preserve"> وتأويل الجاهلين</w:t>
      </w:r>
      <w:r w:rsidR="000636C2">
        <w:rPr>
          <w:rFonts w:hint="cs"/>
          <w:rtl/>
        </w:rPr>
        <w:t>)،</w:t>
      </w:r>
      <w:r w:rsidRPr="005675B2">
        <w:rPr>
          <w:rFonts w:hint="cs"/>
          <w:rtl/>
        </w:rPr>
        <w:t xml:space="preserve"> فلايعتقد أنهم على ضلالة وجهالة إلا غبي جاهل</w:t>
      </w:r>
      <w:r w:rsidR="000636C2">
        <w:rPr>
          <w:rFonts w:hint="cs"/>
          <w:rtl/>
        </w:rPr>
        <w:t>،</w:t>
      </w:r>
      <w:r w:rsidRPr="005675B2">
        <w:rPr>
          <w:rFonts w:hint="cs"/>
          <w:rtl/>
        </w:rPr>
        <w:t xml:space="preserve"> أو مبتدع زائغ عن الحق مائل</w:t>
      </w:r>
      <w:r w:rsidR="000636C2">
        <w:rPr>
          <w:rFonts w:hint="cs"/>
          <w:rtl/>
        </w:rPr>
        <w:t>،</w:t>
      </w:r>
      <w:r w:rsidRPr="005675B2">
        <w:rPr>
          <w:rFonts w:hint="cs"/>
          <w:rtl/>
        </w:rPr>
        <w:t xml:space="preserve"> ولا يسبهم وينسب إليهم خلاف ما هم عليه إلا فاسق</w:t>
      </w:r>
      <w:r w:rsidR="000636C2">
        <w:rPr>
          <w:rFonts w:hint="cs"/>
          <w:rtl/>
        </w:rPr>
        <w:t>،</w:t>
      </w:r>
      <w:r w:rsidRPr="005675B2">
        <w:rPr>
          <w:rFonts w:hint="cs"/>
          <w:rtl/>
        </w:rPr>
        <w:t xml:space="preserve"> وقد قال الله عز وجل</w:t>
      </w:r>
      <w:r w:rsidR="000636C2">
        <w:rPr>
          <w:rFonts w:hint="cs"/>
          <w:rtl/>
        </w:rPr>
        <w:t>:</w:t>
      </w:r>
      <w:r w:rsidRPr="005675B2">
        <w:rPr>
          <w:rFonts w:hint="cs"/>
          <w:rtl/>
        </w:rPr>
        <w:t xml:space="preserve"> </w:t>
      </w:r>
      <w:r w:rsidR="000636C2">
        <w:rPr>
          <w:rFonts w:hint="cs"/>
          <w:rtl/>
        </w:rPr>
        <w:t>(</w:t>
      </w:r>
      <w:r w:rsidRPr="005675B2">
        <w:rPr>
          <w:rFonts w:hint="cs"/>
          <w:rtl/>
        </w:rPr>
        <w:t>والذين يؤذون المؤمنين والمؤمنات بغير ما اكتسبوا فقد احتملوا بهتاناً وإثماً مبينا</w:t>
      </w:r>
      <w:r w:rsidR="000636C2">
        <w:rPr>
          <w:rFonts w:hint="cs"/>
          <w:rtl/>
        </w:rPr>
        <w:t>)،</w:t>
      </w:r>
      <w:r w:rsidRPr="005675B2">
        <w:rPr>
          <w:rFonts w:hint="cs"/>
          <w:rtl/>
        </w:rPr>
        <w:t xml:space="preserve"> فيجب أن يبصر الجاهل منهم</w:t>
      </w:r>
      <w:r w:rsidR="000636C2">
        <w:rPr>
          <w:rFonts w:hint="cs"/>
          <w:rtl/>
        </w:rPr>
        <w:t>،</w:t>
      </w:r>
      <w:r w:rsidRPr="005675B2">
        <w:rPr>
          <w:rFonts w:hint="cs"/>
          <w:rtl/>
        </w:rPr>
        <w:t xml:space="preserve"> ويؤدب الفاسق</w:t>
      </w:r>
      <w:r w:rsidR="000636C2">
        <w:rPr>
          <w:rFonts w:hint="cs"/>
          <w:rtl/>
        </w:rPr>
        <w:t>،</w:t>
      </w:r>
      <w:r w:rsidRPr="005675B2">
        <w:rPr>
          <w:rFonts w:hint="cs"/>
          <w:rtl/>
        </w:rPr>
        <w:t xml:space="preserve"> ويستتاب المبتدع الزائغ عن الحق إذا كان مستسهلا ببدعة</w:t>
      </w:r>
      <w:r w:rsidR="000636C2">
        <w:rPr>
          <w:rFonts w:hint="cs"/>
          <w:rtl/>
        </w:rPr>
        <w:t>،</w:t>
      </w:r>
      <w:r w:rsidRPr="005675B2">
        <w:rPr>
          <w:rFonts w:hint="cs"/>
          <w:rtl/>
        </w:rPr>
        <w:t xml:space="preserve"> فإن تاب وإلا ضرب أبداً حتى يتوب</w:t>
      </w:r>
      <w:r w:rsidR="000636C2">
        <w:rPr>
          <w:rFonts w:hint="cs"/>
          <w:rtl/>
        </w:rPr>
        <w:t>،</w:t>
      </w:r>
      <w:r w:rsidRPr="005675B2">
        <w:rPr>
          <w:rFonts w:hint="cs"/>
          <w:rtl/>
        </w:rPr>
        <w:t xml:space="preserve"> كما فعل عمر بن الخطاب رضي الله عنه بصبيغ المتهم في اعتقاده</w:t>
      </w:r>
      <w:r w:rsidR="000636C2">
        <w:rPr>
          <w:rFonts w:hint="cs"/>
          <w:rtl/>
        </w:rPr>
        <w:t>،</w:t>
      </w:r>
      <w:r w:rsidRPr="005675B2">
        <w:rPr>
          <w:rFonts w:hint="cs"/>
          <w:rtl/>
        </w:rPr>
        <w:t xml:space="preserve"> من ضربه إياه حتى قال</w:t>
      </w:r>
      <w:r w:rsidR="000636C2">
        <w:rPr>
          <w:rFonts w:hint="cs"/>
          <w:rtl/>
        </w:rPr>
        <w:t>:</w:t>
      </w:r>
      <w:r w:rsidRPr="005675B2">
        <w:rPr>
          <w:rFonts w:hint="cs"/>
          <w:rtl/>
        </w:rPr>
        <w:t xml:space="preserve"> يا أمير المؤمنين إن كنت تريد دوائي فقد بلغت مني موضع الداء</w:t>
      </w:r>
      <w:r w:rsidR="000636C2">
        <w:rPr>
          <w:rFonts w:hint="cs"/>
          <w:rtl/>
        </w:rPr>
        <w:t>،</w:t>
      </w:r>
      <w:r w:rsidRPr="005675B2">
        <w:rPr>
          <w:rFonts w:hint="cs"/>
          <w:rtl/>
        </w:rPr>
        <w:t xml:space="preserve"> وإن كنت تريد قتلي فأجهز علي</w:t>
      </w:r>
      <w:r w:rsidR="000636C2">
        <w:rPr>
          <w:rFonts w:hint="cs"/>
          <w:rtl/>
        </w:rPr>
        <w:t>،</w:t>
      </w:r>
      <w:r w:rsidRPr="005675B2">
        <w:rPr>
          <w:rFonts w:hint="cs"/>
          <w:rtl/>
        </w:rPr>
        <w:t xml:space="preserve"> فخلى سبيله</w:t>
      </w:r>
      <w:r w:rsidR="000636C2">
        <w:rPr>
          <w:rFonts w:hint="cs"/>
          <w:rtl/>
        </w:rPr>
        <w:t>،</w:t>
      </w:r>
      <w:r w:rsidRPr="005675B2">
        <w:rPr>
          <w:rFonts w:hint="cs"/>
          <w:rtl/>
        </w:rPr>
        <w:t xml:space="preserve"> والله أسأل العصمة والتوفيق برحمته</w:t>
      </w:r>
      <w:r w:rsidR="000636C2">
        <w:rPr>
          <w:rFonts w:hint="cs"/>
          <w:rtl/>
        </w:rPr>
        <w:t>،</w:t>
      </w:r>
      <w:r w:rsidRPr="005675B2">
        <w:rPr>
          <w:rFonts w:hint="cs"/>
          <w:rtl/>
        </w:rPr>
        <w:t xml:space="preserve"> قاله</w:t>
      </w:r>
      <w:r w:rsidR="000636C2">
        <w:rPr>
          <w:rFonts w:hint="cs"/>
          <w:rtl/>
        </w:rPr>
        <w:t>:</w:t>
      </w:r>
      <w:r w:rsidRPr="005675B2">
        <w:rPr>
          <w:rFonts w:hint="cs"/>
          <w:rtl/>
        </w:rPr>
        <w:t xml:space="preserve"> محمدبن رشد</w:t>
      </w:r>
      <w:r w:rsidR="000636C2">
        <w:rPr>
          <w:rFonts w:hint="cs"/>
          <w:rtl/>
        </w:rPr>
        <w:t>،</w:t>
      </w:r>
    </w:p>
    <w:p w14:paraId="536BD0D6" w14:textId="77777777" w:rsidR="009C32A0" w:rsidRPr="005675B2" w:rsidRDefault="009C32A0" w:rsidP="000636C2">
      <w:pPr>
        <w:jc w:val="center"/>
        <w:rPr>
          <w:b/>
          <w:rtl/>
        </w:rPr>
      </w:pPr>
      <w:r w:rsidRPr="005675B2">
        <w:rPr>
          <w:rFonts w:hint="cs"/>
          <w:rtl/>
        </w:rPr>
        <w:t>***</w:t>
      </w:r>
    </w:p>
    <w:p w14:paraId="6A379594" w14:textId="0757C9C2" w:rsidR="009C32A0" w:rsidRPr="005675B2" w:rsidRDefault="000636C2" w:rsidP="000636C2">
      <w:pPr>
        <w:jc w:val="center"/>
        <w:rPr>
          <w:bCs/>
          <w:rtl/>
        </w:rPr>
      </w:pPr>
      <w:r>
        <w:rPr>
          <w:rFonts w:hint="cs"/>
          <w:bCs/>
          <w:rtl/>
        </w:rPr>
        <w:t>[</w:t>
      </w:r>
      <w:r w:rsidR="009C32A0" w:rsidRPr="005675B2">
        <w:rPr>
          <w:rFonts w:hint="cs"/>
          <w:bCs/>
          <w:rtl/>
        </w:rPr>
        <w:t>المقدمة الثانية</w:t>
      </w:r>
      <w:r>
        <w:rPr>
          <w:rFonts w:hint="cs"/>
          <w:bCs/>
          <w:rtl/>
        </w:rPr>
        <w:t>:</w:t>
      </w:r>
      <w:r w:rsidR="009C32A0" w:rsidRPr="005675B2">
        <w:rPr>
          <w:rFonts w:hint="cs"/>
          <w:bCs/>
          <w:rtl/>
        </w:rPr>
        <w:t xml:space="preserve"> التحريف في كتاب الإبانة</w:t>
      </w:r>
      <w:r>
        <w:rPr>
          <w:rFonts w:hint="cs"/>
          <w:bCs/>
          <w:rtl/>
        </w:rPr>
        <w:t>]</w:t>
      </w:r>
    </w:p>
    <w:p w14:paraId="717247EC" w14:textId="0F577096" w:rsidR="009C32A0" w:rsidRPr="005675B2" w:rsidRDefault="009C32A0" w:rsidP="000636C2">
      <w:pPr>
        <w:rPr>
          <w:b/>
          <w:rtl/>
        </w:rPr>
      </w:pPr>
      <w:r w:rsidRPr="005675B2">
        <w:rPr>
          <w:rFonts w:hint="cs"/>
          <w:rtl/>
        </w:rPr>
        <w:t>من تأمل</w:t>
      </w:r>
      <w:r w:rsidR="000636C2">
        <w:rPr>
          <w:rFonts w:hint="cs"/>
          <w:rtl/>
        </w:rPr>
        <w:t xml:space="preserve"> </w:t>
      </w:r>
      <w:r w:rsidRPr="005675B2">
        <w:rPr>
          <w:rFonts w:hint="cs"/>
          <w:rtl/>
        </w:rPr>
        <w:t>كتاب الإبانة المتداول حالياً علم خطأ من يحكم</w:t>
      </w:r>
      <w:r w:rsidR="000636C2">
        <w:rPr>
          <w:rFonts w:hint="cs"/>
          <w:rtl/>
        </w:rPr>
        <w:t xml:space="preserve"> </w:t>
      </w:r>
      <w:r w:rsidRPr="005675B2">
        <w:rPr>
          <w:rFonts w:hint="cs"/>
          <w:rtl/>
        </w:rPr>
        <w:t>على عقيدة الإمام الأشعري</w:t>
      </w:r>
      <w:r w:rsidR="000636C2">
        <w:rPr>
          <w:rFonts w:hint="cs"/>
          <w:rtl/>
        </w:rPr>
        <w:t xml:space="preserve"> </w:t>
      </w:r>
      <w:r w:rsidRPr="005675B2">
        <w:rPr>
          <w:rFonts w:hint="cs"/>
          <w:rtl/>
        </w:rPr>
        <w:t>من خلال هذا الكتاب بوضعه الراهن</w:t>
      </w:r>
      <w:r w:rsidR="000636C2">
        <w:rPr>
          <w:rFonts w:hint="cs"/>
          <w:rtl/>
        </w:rPr>
        <w:t xml:space="preserve">، </w:t>
      </w:r>
      <w:r w:rsidRPr="005675B2">
        <w:rPr>
          <w:rFonts w:hint="cs"/>
          <w:rtl/>
        </w:rPr>
        <w:t>لأن الكتاب عثت فيه أيدي التحريف والتغيير</w:t>
      </w:r>
      <w:r w:rsidR="000636C2">
        <w:rPr>
          <w:rFonts w:hint="cs"/>
          <w:rtl/>
        </w:rPr>
        <w:t xml:space="preserve"> </w:t>
      </w:r>
      <w:r w:rsidRPr="005675B2">
        <w:rPr>
          <w:rFonts w:hint="cs"/>
          <w:rtl/>
        </w:rPr>
        <w:t>حتى لا يثق به إلا مغفل</w:t>
      </w:r>
      <w:r w:rsidR="000636C2">
        <w:rPr>
          <w:rFonts w:hint="cs"/>
          <w:rtl/>
        </w:rPr>
        <w:t>،</w:t>
      </w:r>
      <w:r w:rsidRPr="005675B2">
        <w:rPr>
          <w:rFonts w:hint="cs"/>
          <w:rtl/>
        </w:rPr>
        <w:t xml:space="preserve"> فمن قارن بين</w:t>
      </w:r>
      <w:r w:rsidR="000636C2">
        <w:rPr>
          <w:rFonts w:hint="cs"/>
          <w:rtl/>
        </w:rPr>
        <w:t xml:space="preserve"> </w:t>
      </w:r>
      <w:r w:rsidRPr="005675B2">
        <w:rPr>
          <w:rFonts w:hint="cs"/>
          <w:rtl/>
        </w:rPr>
        <w:t>طبعات الإبانة المتداولة</w:t>
      </w:r>
      <w:r w:rsidR="000636C2">
        <w:rPr>
          <w:rFonts w:hint="cs"/>
          <w:rtl/>
        </w:rPr>
        <w:t>،</w:t>
      </w:r>
      <w:r w:rsidRPr="005675B2">
        <w:rPr>
          <w:rFonts w:hint="cs"/>
          <w:rtl/>
        </w:rPr>
        <w:t xml:space="preserve"> وبين نسخة الإبانة التي أعتنت بتحقيقها</w:t>
      </w:r>
      <w:r w:rsidR="000636C2">
        <w:rPr>
          <w:rFonts w:hint="cs"/>
          <w:rtl/>
        </w:rPr>
        <w:t xml:space="preserve"> </w:t>
      </w:r>
      <w:r w:rsidRPr="005675B2">
        <w:rPr>
          <w:rFonts w:hint="cs"/>
          <w:rtl/>
        </w:rPr>
        <w:t>الدكتورة فوقية والتي طبعت في مصر</w:t>
      </w:r>
      <w:r w:rsidR="000636C2">
        <w:rPr>
          <w:rFonts w:hint="cs"/>
          <w:rtl/>
        </w:rPr>
        <w:t>،</w:t>
      </w:r>
      <w:r w:rsidRPr="005675B2">
        <w:rPr>
          <w:rFonts w:hint="cs"/>
          <w:rtl/>
        </w:rPr>
        <w:t>وهي أقدمهن طباعة وأكثرهن تحر ياً للدقة</w:t>
      </w:r>
      <w:r w:rsidR="000636C2">
        <w:rPr>
          <w:rFonts w:hint="cs"/>
          <w:rtl/>
        </w:rPr>
        <w:t>،</w:t>
      </w:r>
      <w:r w:rsidRPr="005675B2">
        <w:rPr>
          <w:rFonts w:hint="cs"/>
          <w:rtl/>
        </w:rPr>
        <w:t>بسبب اعتمادها على أربع نسخ مخطوطة</w:t>
      </w:r>
      <w:r w:rsidR="000636C2">
        <w:rPr>
          <w:rFonts w:hint="cs"/>
          <w:rtl/>
        </w:rPr>
        <w:t>،</w:t>
      </w:r>
      <w:r w:rsidRPr="005675B2">
        <w:rPr>
          <w:rFonts w:hint="cs"/>
          <w:rtl/>
        </w:rPr>
        <w:t xml:space="preserve"> مع العلم أن نسخة الدكتورة فوقية لم تسلم هي الأخرى من السقط والتغيير،ولكنها نقلت كل ما وجدته في المخطوطات الأربعة التي حصلت عليها، ولم تنزع منها شيئا</w:t>
      </w:r>
      <w:r w:rsidR="000636C2">
        <w:rPr>
          <w:rFonts w:hint="cs"/>
          <w:rtl/>
        </w:rPr>
        <w:t>،</w:t>
      </w:r>
      <w:r w:rsidRPr="005675B2">
        <w:rPr>
          <w:rFonts w:hint="cs"/>
          <w:rtl/>
        </w:rPr>
        <w:t xml:space="preserve"> ثم بالمقارنة</w:t>
      </w:r>
      <w:r w:rsidR="000636C2">
        <w:rPr>
          <w:rFonts w:hint="cs"/>
          <w:rtl/>
        </w:rPr>
        <w:t xml:space="preserve"> </w:t>
      </w:r>
      <w:r w:rsidRPr="005675B2">
        <w:rPr>
          <w:rFonts w:hint="cs"/>
          <w:rtl/>
        </w:rPr>
        <w:t xml:space="preserve">مع الجزء الذي نقله الحافظ ابن عساكر من الإبانة في كتابه "تبيين كذب المفتري فيما نسبه إلى الإمام أبي الحسن الأشعري" </w:t>
      </w:r>
      <w:r w:rsidRPr="005675B2">
        <w:rPr>
          <w:rFonts w:hint="cs"/>
          <w:u w:val="single"/>
          <w:rtl/>
        </w:rPr>
        <w:t>فسيجد</w:t>
      </w:r>
      <w:r w:rsidR="000636C2">
        <w:rPr>
          <w:rFonts w:hint="cs"/>
          <w:u w:val="single"/>
          <w:rtl/>
        </w:rPr>
        <w:t xml:space="preserve"> </w:t>
      </w:r>
      <w:r w:rsidRPr="005675B2">
        <w:rPr>
          <w:rFonts w:hint="cs"/>
          <w:u w:val="single"/>
          <w:rtl/>
        </w:rPr>
        <w:t>الاختلاف الكبير والبون الشاسع بين هذه المطبوعات</w:t>
      </w:r>
      <w:r w:rsidR="000636C2">
        <w:rPr>
          <w:rFonts w:hint="cs"/>
          <w:u w:val="single"/>
          <w:rtl/>
        </w:rPr>
        <w:t xml:space="preserve"> </w:t>
      </w:r>
      <w:r w:rsidRPr="005675B2">
        <w:rPr>
          <w:rFonts w:hint="cs"/>
          <w:u w:val="single"/>
          <w:rtl/>
        </w:rPr>
        <w:t xml:space="preserve">وبين ما نقله الحافظ ابن عساكر، وكذلك يجد اختلافاً كبيراً فيما بين هذه النسخ المطبوعة بعضها مع بعض، وسيعلم يقيناً مدى تحريف بعض النساخ، لهذا الكتاب </w:t>
      </w:r>
      <w:r w:rsidRPr="005675B2">
        <w:rPr>
          <w:rFonts w:hint="cs"/>
          <w:rtl/>
        </w:rPr>
        <w:t>ومما يقدح بصحة ما في الكتاب بوضعه المطبوع حالياً أن متقدمي الأشاعرة فضلاً عن متأخريهم لم ينقلوا ما ورد في هذا الكتاب عن إمامهم، بل نقلوا خلاف ذلك، وكتاب "مقالات الأشعري" لابن فورك خير شاهد على هذا</w:t>
      </w:r>
      <w:r w:rsidR="000636C2">
        <w:rPr>
          <w:rFonts w:hint="cs"/>
          <w:rtl/>
        </w:rPr>
        <w:t>،</w:t>
      </w:r>
      <w:r w:rsidRPr="005675B2">
        <w:rPr>
          <w:rFonts w:hint="cs"/>
          <w:rtl/>
        </w:rPr>
        <w:t xml:space="preserve"> وأهل السنة يطالبون هؤلاء الذين ينسبون</w:t>
      </w:r>
      <w:r w:rsidR="000636C2">
        <w:rPr>
          <w:rFonts w:hint="cs"/>
          <w:rtl/>
        </w:rPr>
        <w:t xml:space="preserve"> </w:t>
      </w:r>
      <w:r w:rsidRPr="005675B2">
        <w:rPr>
          <w:rFonts w:hint="cs"/>
          <w:rtl/>
        </w:rPr>
        <w:t xml:space="preserve">هذه النسخ المطبوعة التي لم تثبت عن الإمام الأشعري </w:t>
      </w:r>
      <w:r w:rsidRPr="005675B2">
        <w:rPr>
          <w:rFonts w:hint="cs"/>
          <w:u w:val="single"/>
          <w:rtl/>
        </w:rPr>
        <w:t>بصورتها الحالية</w:t>
      </w:r>
      <w:r w:rsidR="000636C2">
        <w:rPr>
          <w:rFonts w:hint="cs"/>
          <w:u w:val="single"/>
          <w:rtl/>
        </w:rPr>
        <w:t>،</w:t>
      </w:r>
      <w:r w:rsidRPr="005675B2">
        <w:rPr>
          <w:rFonts w:hint="cs"/>
          <w:rtl/>
        </w:rPr>
        <w:t>أن يأتوا بسند صحيح متصل لهذا الكتاب بصورته الحالية</w:t>
      </w:r>
      <w:r w:rsidR="000636C2">
        <w:rPr>
          <w:rFonts w:hint="cs"/>
          <w:rtl/>
        </w:rPr>
        <w:t>؟</w:t>
      </w:r>
      <w:r w:rsidRPr="005675B2">
        <w:rPr>
          <w:rFonts w:hint="cs"/>
          <w:rtl/>
        </w:rPr>
        <w:t xml:space="preserve"> وهم يعلمون أن هذا العلم يروى بالسند، وأن الإسناد من خصائص هذه الأمة، وهيهـــــات أن يقدروا</w:t>
      </w:r>
      <w:r w:rsidR="000636C2">
        <w:rPr>
          <w:rFonts w:hint="cs"/>
          <w:rtl/>
        </w:rPr>
        <w:t>،</w:t>
      </w:r>
      <w:r w:rsidRPr="005675B2">
        <w:rPr>
          <w:rFonts w:hint="cs"/>
          <w:rtl/>
        </w:rPr>
        <w:t xml:space="preserve"> مع العلم أن أهل السنة</w:t>
      </w:r>
      <w:r w:rsidR="000636C2">
        <w:rPr>
          <w:rFonts w:hint="cs"/>
          <w:rtl/>
        </w:rPr>
        <w:t xml:space="preserve"> </w:t>
      </w:r>
      <w:r w:rsidRPr="005675B2">
        <w:rPr>
          <w:rFonts w:hint="cs"/>
          <w:rtl/>
        </w:rPr>
        <w:t>لا ينكرون</w:t>
      </w:r>
      <w:r w:rsidR="000636C2">
        <w:rPr>
          <w:rFonts w:hint="cs"/>
          <w:rtl/>
        </w:rPr>
        <w:t xml:space="preserve"> </w:t>
      </w:r>
      <w:r w:rsidRPr="005675B2">
        <w:rPr>
          <w:rFonts w:hint="cs"/>
          <w:rtl/>
        </w:rPr>
        <w:t xml:space="preserve">أن الإمام أبا الحسن الأشعري قد ألف كتاباً أسماه الإبانة، </w:t>
      </w:r>
      <w:r w:rsidRPr="005675B2">
        <w:rPr>
          <w:rFonts w:hint="cs"/>
          <w:u w:val="single"/>
          <w:rtl/>
        </w:rPr>
        <w:t>ولكنهم</w:t>
      </w:r>
      <w:r w:rsidR="000636C2">
        <w:rPr>
          <w:rFonts w:hint="cs"/>
          <w:u w:val="single"/>
          <w:rtl/>
        </w:rPr>
        <w:t xml:space="preserve"> </w:t>
      </w:r>
      <w:r w:rsidRPr="005675B2">
        <w:rPr>
          <w:rFonts w:hint="cs"/>
          <w:u w:val="single"/>
          <w:rtl/>
        </w:rPr>
        <w:t>ينكرون</w:t>
      </w:r>
      <w:r w:rsidR="000636C2">
        <w:rPr>
          <w:rFonts w:hint="cs"/>
          <w:u w:val="single"/>
          <w:rtl/>
        </w:rPr>
        <w:t xml:space="preserve"> </w:t>
      </w:r>
      <w:r w:rsidRPr="005675B2">
        <w:rPr>
          <w:rFonts w:hint="cs"/>
          <w:u w:val="single"/>
          <w:rtl/>
        </w:rPr>
        <w:t>صورته المطبوعة حالياً</w:t>
      </w:r>
      <w:r w:rsidRPr="005675B2">
        <w:rPr>
          <w:rFonts w:hint="cs"/>
          <w:rtl/>
        </w:rPr>
        <w:t xml:space="preserve"> لأسباب كثيرة منها</w:t>
      </w:r>
      <w:r w:rsidR="000636C2">
        <w:rPr>
          <w:rFonts w:hint="cs"/>
          <w:rtl/>
        </w:rPr>
        <w:t xml:space="preserve"> </w:t>
      </w:r>
      <w:r w:rsidRPr="005675B2">
        <w:rPr>
          <w:rFonts w:hint="cs"/>
          <w:rtl/>
        </w:rPr>
        <w:t>بعض ما ذكرآنفاً</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للتوسع في ذلك يراجع رسالة الشيخ وهبه غاوجي (نظرة علمية في نسبة كتاب الإبانة جميعه إلى الإمام أبي الحسن</w:t>
      </w:r>
      <w:r w:rsidR="000636C2">
        <w:rPr>
          <w:rFonts w:hint="cs"/>
          <w:bCs/>
          <w:sz w:val="24"/>
          <w:szCs w:val="24"/>
          <w:rtl/>
        </w:rPr>
        <w:t>)</w:t>
      </w:r>
      <w:r w:rsidRPr="005675B2">
        <w:rPr>
          <w:rFonts w:hint="cs"/>
          <w:bCs/>
          <w:sz w:val="24"/>
          <w:szCs w:val="24"/>
          <w:rtl/>
        </w:rPr>
        <w:t>. وكتاب أهل السنة الأشاعرة ص58 ففيه تحقيق نفيس.ومذاهب الإسلاميين لعبدرحمن بدوي 1/517</w:t>
      </w:r>
      <w:r w:rsidRPr="005675B2">
        <w:rPr>
          <w:rFonts w:hint="cs"/>
          <w:rtl/>
        </w:rPr>
        <w:t>]</w:t>
      </w:r>
    </w:p>
    <w:p w14:paraId="483E1DEC" w14:textId="77777777" w:rsidR="009C32A0" w:rsidRPr="005675B2" w:rsidRDefault="009C32A0" w:rsidP="000636C2">
      <w:pPr>
        <w:jc w:val="center"/>
        <w:rPr>
          <w:bCs/>
          <w:rtl/>
        </w:rPr>
      </w:pPr>
      <w:r w:rsidRPr="005675B2">
        <w:rPr>
          <w:rFonts w:hint="cs"/>
          <w:bCs/>
          <w:rtl/>
        </w:rPr>
        <w:t>***</w:t>
      </w:r>
    </w:p>
    <w:p w14:paraId="120EC3E0" w14:textId="396BE79A" w:rsidR="009C32A0" w:rsidRPr="005675B2" w:rsidRDefault="000636C2" w:rsidP="000636C2">
      <w:pPr>
        <w:jc w:val="center"/>
        <w:rPr>
          <w:bCs/>
          <w:rtl/>
        </w:rPr>
      </w:pPr>
      <w:r>
        <w:rPr>
          <w:rFonts w:hint="cs"/>
          <w:bCs/>
          <w:rtl/>
        </w:rPr>
        <w:t>[</w:t>
      </w:r>
      <w:r w:rsidR="009C32A0" w:rsidRPr="005675B2">
        <w:rPr>
          <w:rFonts w:hint="cs"/>
          <w:bCs/>
          <w:rtl/>
        </w:rPr>
        <w:t>المقدمة الثالثة</w:t>
      </w:r>
      <w:r>
        <w:rPr>
          <w:rFonts w:hint="cs"/>
          <w:bCs/>
          <w:rtl/>
        </w:rPr>
        <w:t>:</w:t>
      </w:r>
      <w:r w:rsidR="009C32A0" w:rsidRPr="005675B2">
        <w:rPr>
          <w:rFonts w:hint="cs"/>
          <w:bCs/>
          <w:rtl/>
        </w:rPr>
        <w:t xml:space="preserve"> توبة الإمام تقي الدين ابن تيمية</w:t>
      </w:r>
      <w:r>
        <w:rPr>
          <w:rFonts w:hint="cs"/>
          <w:bCs/>
          <w:rtl/>
        </w:rPr>
        <w:t>]</w:t>
      </w:r>
    </w:p>
    <w:p w14:paraId="5B7D1362" w14:textId="59741F76" w:rsidR="009C32A0" w:rsidRPr="005675B2" w:rsidRDefault="009C32A0" w:rsidP="000636C2">
      <w:pPr>
        <w:rPr>
          <w:b/>
          <w:rtl/>
        </w:rPr>
      </w:pPr>
      <w:r w:rsidRPr="005675B2">
        <w:rPr>
          <w:rFonts w:hint="cs"/>
          <w:rtl/>
        </w:rPr>
        <w:t>يتكئ</w:t>
      </w:r>
      <w:r w:rsidR="000636C2">
        <w:rPr>
          <w:rFonts w:hint="cs"/>
          <w:rtl/>
        </w:rPr>
        <w:t xml:space="preserve"> </w:t>
      </w:r>
      <w:r w:rsidRPr="005675B2">
        <w:rPr>
          <w:rFonts w:hint="cs"/>
          <w:rtl/>
        </w:rPr>
        <w:t>كثير من الكتاب في تقريرهم للعقيدة على أقوال ومؤلفات تنسب إلى الإمام تقي الدين أحمد</w:t>
      </w:r>
      <w:r w:rsidR="000636C2">
        <w:rPr>
          <w:rFonts w:hint="cs"/>
          <w:rtl/>
        </w:rPr>
        <w:t xml:space="preserve"> </w:t>
      </w:r>
      <w:r w:rsidRPr="005675B2">
        <w:rPr>
          <w:rFonts w:hint="cs"/>
          <w:rtl/>
        </w:rPr>
        <w:t>بن تيمية رحمه الله جهلاً من بعضهم بأن هذا الإمام قد تاب من تلك العقائد ورجع إلى الحق</w:t>
      </w:r>
      <w:r w:rsidR="000636C2">
        <w:rPr>
          <w:rFonts w:hint="cs"/>
          <w:rtl/>
        </w:rPr>
        <w:t>،</w:t>
      </w:r>
      <w:r w:rsidRPr="005675B2">
        <w:rPr>
          <w:rFonts w:hint="cs"/>
          <w:rtl/>
        </w:rPr>
        <w:t xml:space="preserve"> وأنقل هنا تاريخ ونص التوبة من </w:t>
      </w:r>
      <w:r w:rsidR="000636C2">
        <w:rPr>
          <w:rFonts w:hint="cs"/>
          <w:rtl/>
        </w:rPr>
        <w:t>(</w:t>
      </w:r>
      <w:r w:rsidRPr="005675B2">
        <w:rPr>
          <w:rFonts w:hint="cs"/>
          <w:rtl/>
        </w:rPr>
        <w:t>الدرر الكامنة في أعيان المائة الثامنة</w:t>
      </w:r>
      <w:r w:rsidR="000636C2">
        <w:rPr>
          <w:rFonts w:hint="cs"/>
          <w:rtl/>
        </w:rPr>
        <w:t>)</w:t>
      </w:r>
      <w:r w:rsidRPr="005675B2">
        <w:rPr>
          <w:rFonts w:hint="cs"/>
          <w:rtl/>
        </w:rPr>
        <w:t xml:space="preserve"> من تصنيف أمير المؤمنين في الحديث الإمام الحافظ أبي الفضل ابن حجر العسقلاني ط1414ه</w:t>
      </w:r>
      <w:r w:rsidR="000636C2">
        <w:rPr>
          <w:rFonts w:hint="cs"/>
          <w:rtl/>
        </w:rPr>
        <w:t xml:space="preserve"> </w:t>
      </w:r>
      <w:r w:rsidRPr="005675B2">
        <w:rPr>
          <w:rFonts w:hint="cs"/>
          <w:rtl/>
        </w:rPr>
        <w:t>- - دار الجيل - ج1 / ص148 وقبل ذلك كلام الإمام النويري وهو معاصر للإمام ابن تيمية</w:t>
      </w:r>
      <w:r w:rsidR="000636C2">
        <w:rPr>
          <w:rFonts w:hint="cs"/>
          <w:rtl/>
        </w:rPr>
        <w:t xml:space="preserve"> </w:t>
      </w:r>
      <w:r w:rsidRPr="005675B2">
        <w:rPr>
          <w:rFonts w:hint="cs"/>
          <w:rtl/>
        </w:rPr>
        <w:t>وممن شهد</w:t>
      </w:r>
      <w:r w:rsidR="000636C2">
        <w:rPr>
          <w:rFonts w:hint="cs"/>
          <w:rtl/>
        </w:rPr>
        <w:t xml:space="preserve"> </w:t>
      </w:r>
      <w:r w:rsidRPr="005675B2">
        <w:rPr>
          <w:rFonts w:hint="cs"/>
          <w:rtl/>
        </w:rPr>
        <w:t>توبته</w:t>
      </w:r>
      <w:r w:rsidR="000636C2">
        <w:rPr>
          <w:rFonts w:hint="cs"/>
          <w:rtl/>
        </w:rPr>
        <w:t>،</w:t>
      </w:r>
      <w:r w:rsidRPr="005675B2">
        <w:rPr>
          <w:rFonts w:hint="cs"/>
          <w:rtl/>
        </w:rPr>
        <w:t xml:space="preserve"> وقال أنه شهد على توبته جماعة من العدول</w:t>
      </w:r>
      <w:r w:rsidR="000636C2">
        <w:rPr>
          <w:rFonts w:hint="cs"/>
          <w:rtl/>
        </w:rPr>
        <w:t>،</w:t>
      </w:r>
      <w:r w:rsidRPr="005675B2">
        <w:rPr>
          <w:rFonts w:hint="cs"/>
          <w:rtl/>
        </w:rPr>
        <w:t xml:space="preserve"> وقال ابن حجر</w:t>
      </w:r>
      <w:r w:rsidR="000636C2">
        <w:rPr>
          <w:rFonts w:hint="cs"/>
          <w:rtl/>
        </w:rPr>
        <w:t>:</w:t>
      </w:r>
      <w:r w:rsidRPr="005675B2">
        <w:rPr>
          <w:rFonts w:hint="cs"/>
          <w:rtl/>
        </w:rPr>
        <w:t xml:space="preserve"> وشهد عليه بذلك جمع جم من العلماء وغيرهم</w:t>
      </w:r>
      <w:r w:rsidR="000636C2">
        <w:rPr>
          <w:rFonts w:hint="cs"/>
          <w:rtl/>
        </w:rPr>
        <w:t>،</w:t>
      </w:r>
      <w:r w:rsidRPr="005675B2">
        <w:rPr>
          <w:rFonts w:hint="cs"/>
          <w:rtl/>
        </w:rPr>
        <w:t xml:space="preserve"> وإليكم نقل ذلك بحروفه موثقاً</w:t>
      </w:r>
      <w:r w:rsidR="000636C2">
        <w:rPr>
          <w:rFonts w:hint="cs"/>
          <w:rtl/>
        </w:rPr>
        <w:t>،</w:t>
      </w:r>
      <w:r w:rsidRPr="005675B2">
        <w:rPr>
          <w:rFonts w:hint="cs"/>
          <w:rtl/>
        </w:rPr>
        <w:t xml:space="preserve"> قال الإمام النويري</w:t>
      </w:r>
      <w:r w:rsidR="000636C2">
        <w:rPr>
          <w:rFonts w:hint="cs"/>
          <w:rtl/>
        </w:rPr>
        <w:t>:</w:t>
      </w:r>
      <w:r w:rsidRPr="005675B2">
        <w:rPr>
          <w:rFonts w:hint="cs"/>
          <w:rtl/>
        </w:rPr>
        <w:t xml:space="preserve"> وأما تقي الدين فإنه استمر في الجب بقلعة الجبل إلى أن وصل الأمير حسام الدين مهنا إلى الأبواب السلطانية في شهر ربيع الأول سنة سبع وسبعمائة</w:t>
      </w:r>
      <w:r w:rsidR="000636C2">
        <w:rPr>
          <w:rFonts w:hint="cs"/>
          <w:rtl/>
        </w:rPr>
        <w:t>،</w:t>
      </w:r>
      <w:r w:rsidRPr="005675B2">
        <w:rPr>
          <w:rFonts w:hint="cs"/>
          <w:rtl/>
        </w:rPr>
        <w:t xml:space="preserve"> فسأل السلطان في أمره وشفع فيه</w:t>
      </w:r>
      <w:r w:rsidR="000636C2">
        <w:rPr>
          <w:rFonts w:hint="cs"/>
          <w:rtl/>
        </w:rPr>
        <w:t>،</w:t>
      </w:r>
      <w:r w:rsidRPr="005675B2">
        <w:rPr>
          <w:rFonts w:hint="cs"/>
          <w:rtl/>
        </w:rPr>
        <w:t xml:space="preserve"> فأمر بإخراجه</w:t>
      </w:r>
      <w:r w:rsidR="000636C2">
        <w:rPr>
          <w:rFonts w:hint="cs"/>
          <w:rtl/>
        </w:rPr>
        <w:t>،</w:t>
      </w:r>
      <w:r w:rsidRPr="005675B2">
        <w:rPr>
          <w:rFonts w:hint="cs"/>
          <w:rtl/>
        </w:rPr>
        <w:t xml:space="preserve"> فأخرج في يوم الجمعة الثالث والعشرين من الشهر وأحضر إلى دار النيابة بقلعة الجبل</w:t>
      </w:r>
      <w:r w:rsidR="000636C2">
        <w:rPr>
          <w:rFonts w:hint="cs"/>
          <w:rtl/>
        </w:rPr>
        <w:t>،</w:t>
      </w:r>
      <w:r w:rsidRPr="005675B2">
        <w:rPr>
          <w:rFonts w:hint="cs"/>
          <w:rtl/>
        </w:rPr>
        <w:t xml:space="preserve"> وحصل بحث مع الفقهاء</w:t>
      </w:r>
      <w:r w:rsidR="000636C2">
        <w:rPr>
          <w:rFonts w:hint="cs"/>
          <w:rtl/>
        </w:rPr>
        <w:t>،</w:t>
      </w:r>
      <w:r w:rsidRPr="005675B2">
        <w:rPr>
          <w:rFonts w:hint="cs"/>
          <w:rtl/>
        </w:rPr>
        <w:t xml:space="preserve"> ثم اجتمع جماعة من أعيان العلماء ولم تحضره القضاة</w:t>
      </w:r>
      <w:r w:rsidR="000636C2">
        <w:rPr>
          <w:rFonts w:hint="cs"/>
          <w:rtl/>
        </w:rPr>
        <w:t>،</w:t>
      </w:r>
      <w:r w:rsidRPr="005675B2">
        <w:rPr>
          <w:rFonts w:hint="cs"/>
          <w:rtl/>
        </w:rPr>
        <w:t xml:space="preserve"> وذلك لمرض قاضي القضاة زين الدين المالكي</w:t>
      </w:r>
      <w:r w:rsidR="000636C2">
        <w:rPr>
          <w:rFonts w:hint="cs"/>
          <w:rtl/>
        </w:rPr>
        <w:t>،</w:t>
      </w:r>
      <w:r w:rsidRPr="005675B2">
        <w:rPr>
          <w:rFonts w:hint="cs"/>
          <w:rtl/>
        </w:rPr>
        <w:t xml:space="preserve"> ولم يحضر غيره من القضاة</w:t>
      </w:r>
      <w:r w:rsidR="000636C2">
        <w:rPr>
          <w:rFonts w:hint="cs"/>
          <w:rtl/>
        </w:rPr>
        <w:t>،</w:t>
      </w:r>
      <w:r w:rsidRPr="005675B2">
        <w:rPr>
          <w:rFonts w:hint="cs"/>
          <w:rtl/>
        </w:rPr>
        <w:t xml:space="preserve"> وحصل البحث</w:t>
      </w:r>
      <w:r w:rsidR="000636C2">
        <w:rPr>
          <w:rFonts w:hint="cs"/>
          <w:rtl/>
        </w:rPr>
        <w:t>،</w:t>
      </w:r>
      <w:r w:rsidRPr="005675B2">
        <w:rPr>
          <w:rFonts w:hint="cs"/>
          <w:rtl/>
        </w:rPr>
        <w:t xml:space="preserve"> وكتب خطه ووقع الإشهاد عليه وكتب بصورة المجلس مكتوب مضمونه</w:t>
      </w:r>
      <w:r w:rsidR="000636C2">
        <w:rPr>
          <w:rFonts w:hint="cs"/>
          <w:rtl/>
        </w:rPr>
        <w:t xml:space="preserve">: </w:t>
      </w:r>
      <w:r w:rsidRPr="005675B2">
        <w:rPr>
          <w:rFonts w:hint="cs"/>
          <w:rtl/>
        </w:rPr>
        <w:t>بسم الله الرحمن الرحيم شهد من يضع خطه آخره أنه لما عقد مجلس لتقي الدين أحمد بن تيمية الحراني الحنبلي بحضرة المقر الأشرف العالي المولوي الأميري العادلي السيفي ملك الأمراء سلار الملكي الناصري نائب السلطنة المعظمة أسبغ الله ظله</w:t>
      </w:r>
      <w:r w:rsidR="000636C2">
        <w:rPr>
          <w:rFonts w:hint="cs"/>
          <w:rtl/>
        </w:rPr>
        <w:t>،</w:t>
      </w:r>
      <w:r w:rsidRPr="005675B2">
        <w:rPr>
          <w:rFonts w:hint="cs"/>
          <w:rtl/>
        </w:rPr>
        <w:t xml:space="preserve"> وحضر فيه جماعة من السادة العلماء الفضلاء أهل الفتيا بالديار المصرية بسبب ما نقل عنه ووجد بخطه الذي عرف به قبل ذلك من الأمور المتعلقة باعتقاده أن الله تعالى يتكلم بصوت</w:t>
      </w:r>
      <w:r w:rsidR="000636C2">
        <w:rPr>
          <w:rFonts w:hint="cs"/>
          <w:rtl/>
        </w:rPr>
        <w:t>،</w:t>
      </w:r>
      <w:r w:rsidRPr="005675B2">
        <w:rPr>
          <w:rFonts w:hint="cs"/>
          <w:rtl/>
        </w:rPr>
        <w:t xml:space="preserve"> وأن الاستواء على حقيقته [</w:t>
      </w:r>
      <w:r w:rsidRPr="005675B2">
        <w:rPr>
          <w:rFonts w:hint="cs"/>
          <w:bCs/>
          <w:sz w:val="24"/>
          <w:szCs w:val="24"/>
          <w:rtl/>
        </w:rPr>
        <w:t>أي أن الاستواء هو الجلوس وهذا لا يليق بالله أما وصف الله بأنه على العرش استوى فهو حق ويأتي بيان معناه فليس عن مماسة ولا حلول في العرش ولا غيره من الخيالات الفاسدة]</w:t>
      </w:r>
      <w:r w:rsidR="000636C2">
        <w:rPr>
          <w:rFonts w:hint="cs"/>
          <w:rtl/>
        </w:rPr>
        <w:t>،</w:t>
      </w:r>
      <w:r w:rsidRPr="005675B2">
        <w:rPr>
          <w:rFonts w:hint="cs"/>
          <w:rtl/>
        </w:rPr>
        <w:t xml:space="preserve"> وغير ذلك مما هو مخالف لأهل الحق</w:t>
      </w:r>
      <w:r w:rsidR="000636C2">
        <w:rPr>
          <w:rFonts w:hint="cs"/>
          <w:rtl/>
        </w:rPr>
        <w:t>،</w:t>
      </w:r>
      <w:r w:rsidRPr="005675B2">
        <w:rPr>
          <w:rFonts w:hint="cs"/>
          <w:rtl/>
        </w:rPr>
        <w:t xml:space="preserve"> انتهى المجلس بعد أن جرت فيه مباحث معه ليرجع عن اعتقاده في ذلك</w:t>
      </w:r>
      <w:r w:rsidR="000636C2">
        <w:rPr>
          <w:rFonts w:hint="cs"/>
          <w:rtl/>
        </w:rPr>
        <w:t>،</w:t>
      </w:r>
      <w:r w:rsidRPr="005675B2">
        <w:rPr>
          <w:rFonts w:hint="cs"/>
          <w:rtl/>
        </w:rPr>
        <w:t xml:space="preserve"> إلى أن قال بحضرة شهود</w:t>
      </w:r>
      <w:r w:rsidR="000636C2">
        <w:rPr>
          <w:rFonts w:hint="cs"/>
          <w:rtl/>
        </w:rPr>
        <w:t>:</w:t>
      </w:r>
      <w:r w:rsidRPr="005675B2">
        <w:rPr>
          <w:rFonts w:hint="cs"/>
          <w:rtl/>
        </w:rPr>
        <w:t xml:space="preserve"> </w:t>
      </w:r>
      <w:r w:rsidR="000636C2">
        <w:rPr>
          <w:rFonts w:hint="cs"/>
          <w:rtl/>
        </w:rPr>
        <w:t>(</w:t>
      </w:r>
      <w:r w:rsidRPr="005675B2">
        <w:rPr>
          <w:rFonts w:hint="cs"/>
          <w:rtl/>
        </w:rPr>
        <w:t>أنا أشعري</w:t>
      </w:r>
      <w:r w:rsidR="000636C2">
        <w:rPr>
          <w:rFonts w:hint="cs"/>
          <w:rtl/>
        </w:rPr>
        <w:t>)</w:t>
      </w:r>
      <w:r w:rsidRPr="005675B2">
        <w:rPr>
          <w:rFonts w:hint="cs"/>
          <w:rtl/>
        </w:rPr>
        <w:t xml:space="preserve"> ورفع كتاب الأشعرية على رأسه</w:t>
      </w:r>
      <w:r w:rsidR="000636C2">
        <w:rPr>
          <w:rFonts w:hint="cs"/>
          <w:rtl/>
        </w:rPr>
        <w:t>،</w:t>
      </w:r>
      <w:r w:rsidRPr="005675B2">
        <w:rPr>
          <w:rFonts w:hint="cs"/>
          <w:rtl/>
        </w:rPr>
        <w:t xml:space="preserve"> وأشهد عليه بما كتب خطاً وصورته</w:t>
      </w:r>
      <w:r w:rsidR="000636C2">
        <w:rPr>
          <w:rFonts w:hint="cs"/>
          <w:rtl/>
        </w:rPr>
        <w:t>:</w:t>
      </w:r>
      <w:r w:rsidRPr="005675B2">
        <w:rPr>
          <w:rFonts w:hint="cs"/>
          <w:rtl/>
        </w:rPr>
        <w:t xml:space="preserve"> (</w:t>
      </w:r>
      <w:r w:rsidR="000636C2">
        <w:rPr>
          <w:rFonts w:hint="cs"/>
          <w:rtl/>
        </w:rPr>
        <w:t>(</w:t>
      </w:r>
      <w:r w:rsidRPr="005675B2">
        <w:rPr>
          <w:rFonts w:hint="cs"/>
          <w:rtl/>
        </w:rPr>
        <w:t>الحمد لله</w:t>
      </w:r>
      <w:r w:rsidR="000636C2">
        <w:rPr>
          <w:rFonts w:hint="cs"/>
          <w:rtl/>
        </w:rPr>
        <w:t>،</w:t>
      </w:r>
      <w:r w:rsidRPr="005675B2">
        <w:rPr>
          <w:rFonts w:hint="cs"/>
          <w:rtl/>
        </w:rPr>
        <w:t xml:space="preserve"> الذي أعتقده أن القرآن معنى قائم بذات الله</w:t>
      </w:r>
      <w:r w:rsidR="000636C2">
        <w:rPr>
          <w:rFonts w:hint="cs"/>
          <w:rtl/>
        </w:rPr>
        <w:t>،</w:t>
      </w:r>
      <w:r w:rsidRPr="005675B2">
        <w:rPr>
          <w:rFonts w:hint="cs"/>
          <w:rtl/>
        </w:rPr>
        <w:t xml:space="preserve"> وهو صفة من صفات ذاته القديمة الأزلية</w:t>
      </w:r>
      <w:r w:rsidR="000636C2">
        <w:rPr>
          <w:rFonts w:hint="cs"/>
          <w:rtl/>
        </w:rPr>
        <w:t>،</w:t>
      </w:r>
      <w:r w:rsidRPr="005675B2">
        <w:rPr>
          <w:rFonts w:hint="cs"/>
          <w:rtl/>
        </w:rPr>
        <w:t xml:space="preserve"> وهو غير مخلوق</w:t>
      </w:r>
      <w:r w:rsidR="000636C2">
        <w:rPr>
          <w:rFonts w:hint="cs"/>
          <w:rtl/>
        </w:rPr>
        <w:t>،</w:t>
      </w:r>
      <w:r w:rsidRPr="005675B2">
        <w:rPr>
          <w:rFonts w:hint="cs"/>
          <w:rtl/>
        </w:rPr>
        <w:t xml:space="preserve"> وليس بحرف ولا صوت</w:t>
      </w:r>
      <w:r w:rsidR="000636C2">
        <w:rPr>
          <w:rFonts w:hint="cs"/>
          <w:rtl/>
        </w:rPr>
        <w:t>،</w:t>
      </w:r>
      <w:r w:rsidRPr="005675B2">
        <w:rPr>
          <w:rFonts w:hint="cs"/>
          <w:rtl/>
        </w:rPr>
        <w:t xml:space="preserve"> كتبه أحمد بن تيمية</w:t>
      </w:r>
      <w:r w:rsidR="000636C2">
        <w:rPr>
          <w:rFonts w:hint="cs"/>
          <w:rtl/>
        </w:rPr>
        <w:t>،</w:t>
      </w:r>
      <w:r w:rsidRPr="005675B2">
        <w:rPr>
          <w:rFonts w:hint="cs"/>
          <w:rtl/>
        </w:rPr>
        <w:t xml:space="preserve"> [</w:t>
      </w:r>
      <w:r w:rsidRPr="005675B2">
        <w:rPr>
          <w:rFonts w:hint="cs"/>
          <w:bCs/>
          <w:sz w:val="24"/>
          <w:szCs w:val="24"/>
          <w:rtl/>
        </w:rPr>
        <w:t>وهذا توبة من قوله</w:t>
      </w:r>
      <w:r w:rsidR="000636C2">
        <w:rPr>
          <w:rFonts w:hint="cs"/>
          <w:bCs/>
          <w:sz w:val="24"/>
          <w:szCs w:val="24"/>
          <w:rtl/>
        </w:rPr>
        <w:t>:</w:t>
      </w:r>
      <w:r w:rsidRPr="005675B2">
        <w:rPr>
          <w:rFonts w:hint="cs"/>
          <w:bCs/>
          <w:sz w:val="24"/>
          <w:szCs w:val="24"/>
          <w:rtl/>
        </w:rPr>
        <w:t xml:space="preserve"> أن كلام الله قديم النوع حادث الأفراد يحدثه الله في ذاته]</w:t>
      </w:r>
      <w:r w:rsidRPr="005675B2">
        <w:rPr>
          <w:rFonts w:hint="cs"/>
          <w:rtl/>
        </w:rPr>
        <w:br/>
        <w:t>والذي أعتقده من قوله</w:t>
      </w:r>
      <w:r w:rsidR="000636C2">
        <w:rPr>
          <w:rFonts w:hint="cs"/>
          <w:rtl/>
        </w:rPr>
        <w:t>:</w:t>
      </w:r>
      <w:r w:rsidRPr="005675B2">
        <w:rPr>
          <w:rFonts w:hint="cs"/>
          <w:rtl/>
        </w:rPr>
        <w:t xml:space="preserve">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أنه على ما قاله الجماعة</w:t>
      </w:r>
      <w:r w:rsidR="000636C2">
        <w:rPr>
          <w:rFonts w:hint="cs"/>
          <w:rtl/>
        </w:rPr>
        <w:t>،</w:t>
      </w:r>
      <w:r w:rsidRPr="005675B2">
        <w:rPr>
          <w:rFonts w:hint="cs"/>
          <w:rtl/>
        </w:rPr>
        <w:t xml:space="preserve"> وأنه ليس على حقيقته وظاهره</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وظاهره على الحقيقة في اللغة هو الاستقرار والجلوس على العرش سبحانه عن ذلك]</w:t>
      </w:r>
      <w:r w:rsidRPr="005675B2">
        <w:rPr>
          <w:rFonts w:hint="cs"/>
          <w:rtl/>
        </w:rPr>
        <w:t xml:space="preserve"> ولا أعلم كنه المراد منه</w:t>
      </w:r>
      <w:r w:rsidR="000636C2">
        <w:rPr>
          <w:rFonts w:hint="cs"/>
          <w:rtl/>
        </w:rPr>
        <w:t>،</w:t>
      </w:r>
      <w:r w:rsidRPr="005675B2">
        <w:rPr>
          <w:rFonts w:hint="cs"/>
          <w:rtl/>
        </w:rPr>
        <w:t xml:space="preserve"> بل لا يعلم ذلك إلا الله تعالى</w:t>
      </w:r>
      <w:r w:rsidR="000636C2">
        <w:rPr>
          <w:rFonts w:hint="cs"/>
          <w:rtl/>
        </w:rPr>
        <w:t>،</w:t>
      </w:r>
      <w:r w:rsidRPr="005675B2">
        <w:rPr>
          <w:rFonts w:hint="cs"/>
          <w:rtl/>
        </w:rPr>
        <w:t xml:space="preserve"> كتبه أحمد بن تيمية</w:t>
      </w:r>
      <w:r w:rsidR="000636C2">
        <w:rPr>
          <w:rFonts w:hint="cs"/>
          <w:rtl/>
        </w:rPr>
        <w:t>،</w:t>
      </w:r>
      <w:r w:rsidRPr="005675B2">
        <w:rPr>
          <w:rFonts w:hint="cs"/>
          <w:rtl/>
        </w:rPr>
        <w:t xml:space="preserve"> والقول في النزول كالقول في الاستواء</w:t>
      </w:r>
      <w:r w:rsidR="000636C2">
        <w:rPr>
          <w:rFonts w:hint="cs"/>
          <w:rtl/>
        </w:rPr>
        <w:t>،</w:t>
      </w:r>
      <w:r w:rsidRPr="005675B2">
        <w:rPr>
          <w:rFonts w:hint="cs"/>
          <w:rtl/>
        </w:rPr>
        <w:t xml:space="preserve"> أقول فيه ما أقول فيه</w:t>
      </w:r>
      <w:r w:rsidR="000636C2">
        <w:rPr>
          <w:rFonts w:hint="cs"/>
          <w:rtl/>
        </w:rPr>
        <w:t>،</w:t>
      </w:r>
      <w:r w:rsidRPr="005675B2">
        <w:rPr>
          <w:rFonts w:hint="cs"/>
          <w:rtl/>
        </w:rPr>
        <w:t xml:space="preserve"> ولا أعلم كنه المراد به بل لا يعلم ذلك إلا الله تعالى</w:t>
      </w:r>
      <w:r w:rsidR="000636C2">
        <w:rPr>
          <w:rFonts w:hint="cs"/>
          <w:rtl/>
        </w:rPr>
        <w:t>،</w:t>
      </w:r>
      <w:r w:rsidRPr="005675B2">
        <w:rPr>
          <w:rFonts w:hint="cs"/>
          <w:rtl/>
        </w:rPr>
        <w:t xml:space="preserve"> وليس على حقيقته وظاهره [</w:t>
      </w:r>
      <w:r w:rsidRPr="005675B2">
        <w:rPr>
          <w:rFonts w:hint="cs"/>
          <w:bCs/>
          <w:sz w:val="24"/>
          <w:szCs w:val="24"/>
          <w:rtl/>
        </w:rPr>
        <w:t>وهذا توبة عن قوله أنه نزول حقيقي</w:t>
      </w:r>
      <w:r w:rsidR="000636C2">
        <w:rPr>
          <w:rFonts w:hint="cs"/>
          <w:bCs/>
          <w:sz w:val="24"/>
          <w:szCs w:val="24"/>
          <w:rtl/>
        </w:rPr>
        <w:t xml:space="preserve"> </w:t>
      </w:r>
      <w:r w:rsidRPr="005675B2">
        <w:rPr>
          <w:rFonts w:hint="cs"/>
          <w:bCs/>
          <w:sz w:val="24"/>
          <w:szCs w:val="24"/>
          <w:rtl/>
        </w:rPr>
        <w:t>أي بحركات وانتقالات . فتوهم أن الله في العرش وأنه ينزل نزول انتقال ولذا قال ابن عبد البر رحمه الله في كتابه التمهيد 7/137</w:t>
      </w:r>
      <w:r w:rsidR="000636C2">
        <w:rPr>
          <w:bCs/>
          <w:sz w:val="24"/>
          <w:szCs w:val="24"/>
          <w:rtl/>
        </w:rPr>
        <w:t xml:space="preserve">: </w:t>
      </w:r>
      <w:r w:rsidRPr="005675B2">
        <w:rPr>
          <w:rFonts w:hint="cs"/>
          <w:bCs/>
          <w:sz w:val="24"/>
          <w:szCs w:val="24"/>
          <w:rtl/>
        </w:rPr>
        <w:t>وليس</w:t>
      </w:r>
      <w:r w:rsidRPr="005675B2">
        <w:rPr>
          <w:rFonts w:hint="cs"/>
          <w:bCs/>
          <w:sz w:val="24"/>
          <w:szCs w:val="24"/>
        </w:rPr>
        <w:t xml:space="preserve"> </w:t>
      </w:r>
      <w:r w:rsidRPr="005675B2">
        <w:rPr>
          <w:rFonts w:hint="cs"/>
          <w:bCs/>
          <w:sz w:val="24"/>
          <w:szCs w:val="24"/>
          <w:rtl/>
        </w:rPr>
        <w:t>مجيئه حركة ولا زوالاً ولا انتقالاً، لأن ذلك إنما يكون إذا كان الجائي جسماً أو</w:t>
      </w:r>
      <w:r w:rsidRPr="005675B2">
        <w:rPr>
          <w:rFonts w:hint="cs"/>
          <w:bCs/>
          <w:sz w:val="24"/>
          <w:szCs w:val="24"/>
        </w:rPr>
        <w:t xml:space="preserve"> </w:t>
      </w:r>
      <w:r w:rsidRPr="005675B2">
        <w:rPr>
          <w:rFonts w:hint="cs"/>
          <w:bCs/>
          <w:sz w:val="24"/>
          <w:szCs w:val="24"/>
          <w:rtl/>
        </w:rPr>
        <w:t>جوهراً، فلما ثبت أنه ليس بجسم ولا جوهر، لم يجب أن يكون مجيئه حركة ولا نقلة، ولو</w:t>
      </w:r>
      <w:r w:rsidRPr="005675B2">
        <w:rPr>
          <w:rFonts w:hint="cs"/>
          <w:bCs/>
          <w:sz w:val="24"/>
          <w:szCs w:val="24"/>
        </w:rPr>
        <w:t xml:space="preserve"> </w:t>
      </w:r>
      <w:r w:rsidRPr="005675B2">
        <w:rPr>
          <w:rFonts w:hint="cs"/>
          <w:bCs/>
          <w:sz w:val="24"/>
          <w:szCs w:val="24"/>
          <w:rtl/>
        </w:rPr>
        <w:t>اعتبرت ذلك بقولهم</w:t>
      </w:r>
      <w:r w:rsidR="000636C2">
        <w:rPr>
          <w:rFonts w:hint="cs"/>
          <w:bCs/>
          <w:sz w:val="24"/>
          <w:szCs w:val="24"/>
          <w:rtl/>
        </w:rPr>
        <w:t>:</w:t>
      </w:r>
      <w:r w:rsidRPr="005675B2">
        <w:rPr>
          <w:rFonts w:hint="cs"/>
          <w:bCs/>
          <w:sz w:val="24"/>
          <w:szCs w:val="24"/>
          <w:rtl/>
        </w:rPr>
        <w:t xml:space="preserve"> جاءت فلاناً قيامته، وجاءه الموت، وجاءه المرض، وشبه ذلك، مما</w:t>
      </w:r>
      <w:r w:rsidRPr="005675B2">
        <w:rPr>
          <w:rFonts w:hint="cs"/>
          <w:bCs/>
          <w:sz w:val="24"/>
          <w:szCs w:val="24"/>
        </w:rPr>
        <w:t xml:space="preserve"> </w:t>
      </w:r>
      <w:r w:rsidRPr="005675B2">
        <w:rPr>
          <w:rFonts w:hint="cs"/>
          <w:bCs/>
          <w:sz w:val="24"/>
          <w:szCs w:val="24"/>
          <w:rtl/>
        </w:rPr>
        <w:t xml:space="preserve">هو موجود نازل به، </w:t>
      </w:r>
      <w:r w:rsidRPr="005675B2">
        <w:rPr>
          <w:rFonts w:hint="cs"/>
          <w:bCs/>
          <w:sz w:val="24"/>
          <w:szCs w:val="24"/>
          <w:u w:val="single"/>
          <w:rtl/>
        </w:rPr>
        <w:t>ولا مجيء</w:t>
      </w:r>
      <w:r w:rsidRPr="005675B2">
        <w:rPr>
          <w:rFonts w:hint="cs"/>
          <w:bCs/>
          <w:sz w:val="24"/>
          <w:szCs w:val="24"/>
          <w:rtl/>
        </w:rPr>
        <w:t>، لبان لك، وبالله العصمة والتوفيق . اـ هـ</w:t>
      </w:r>
      <w:r w:rsidRPr="005675B2">
        <w:rPr>
          <w:rFonts w:hint="cs"/>
          <w:rtl/>
        </w:rPr>
        <w:t>]</w:t>
      </w:r>
      <w:r w:rsidR="000636C2">
        <w:rPr>
          <w:rFonts w:hint="cs"/>
          <w:rtl/>
        </w:rPr>
        <w:t>،</w:t>
      </w:r>
      <w:r w:rsidRPr="005675B2">
        <w:rPr>
          <w:rFonts w:hint="cs"/>
          <w:rtl/>
        </w:rPr>
        <w:t xml:space="preserve"> كتبه أحمد بن تيمية</w:t>
      </w:r>
      <w:r w:rsidR="000636C2">
        <w:rPr>
          <w:rFonts w:hint="cs"/>
          <w:rtl/>
        </w:rPr>
        <w:t>،</w:t>
      </w:r>
      <w:r w:rsidRPr="005675B2">
        <w:rPr>
          <w:rFonts w:hint="cs"/>
          <w:rtl/>
        </w:rPr>
        <w:t xml:space="preserve"> وذلك في يوم الأحد خامس عشرين شهر ربيع الأول سنة سبع وسبعمائة</w:t>
      </w:r>
      <w:r w:rsidR="000636C2">
        <w:rPr>
          <w:rFonts w:hint="cs"/>
          <w:rtl/>
        </w:rPr>
        <w:t>)</w:t>
      </w:r>
      <w:r w:rsidRPr="005675B2">
        <w:rPr>
          <w:rFonts w:hint="cs"/>
          <w:rtl/>
        </w:rPr>
        <w:t>) هذا صورة ما كتبه بخطه</w:t>
      </w:r>
      <w:r w:rsidR="000636C2">
        <w:rPr>
          <w:rFonts w:hint="cs"/>
          <w:rtl/>
        </w:rPr>
        <w:t>،</w:t>
      </w:r>
      <w:r w:rsidRPr="005675B2">
        <w:rPr>
          <w:rFonts w:hint="cs"/>
          <w:rtl/>
        </w:rPr>
        <w:t xml:space="preserve"> </w:t>
      </w:r>
      <w:r w:rsidRPr="005675B2">
        <w:rPr>
          <w:rFonts w:hint="cs"/>
          <w:u w:val="single"/>
          <w:rtl/>
        </w:rPr>
        <w:t>وأشهد عليه أيضا أنه تاب إلى الله تعالى مما ينافي هذا الاعتقاد في المسائل الأربع المذكورة بخطه</w:t>
      </w:r>
      <w:r w:rsidR="000636C2">
        <w:rPr>
          <w:rFonts w:hint="cs"/>
          <w:u w:val="single"/>
          <w:rtl/>
        </w:rPr>
        <w:t>،</w:t>
      </w:r>
      <w:r w:rsidRPr="005675B2">
        <w:rPr>
          <w:rFonts w:hint="cs"/>
          <w:u w:val="single"/>
          <w:rtl/>
        </w:rPr>
        <w:t xml:space="preserve"> وتلفظ بالشهادتين المعظمتين</w:t>
      </w:r>
      <w:r w:rsidR="000636C2">
        <w:rPr>
          <w:rFonts w:hint="cs"/>
          <w:u w:val="single"/>
          <w:rtl/>
        </w:rPr>
        <w:t>،</w:t>
      </w:r>
      <w:r w:rsidRPr="005675B2">
        <w:rPr>
          <w:rFonts w:hint="cs"/>
          <w:u w:val="single"/>
          <w:rtl/>
        </w:rPr>
        <w:t xml:space="preserve"> وأشهد عليه بالطواعية والاختيار في ذلك كله بقلعة الجبل المحروسة من الديار المصرية</w:t>
      </w:r>
      <w:r w:rsidRPr="005675B2">
        <w:rPr>
          <w:rFonts w:hint="cs"/>
          <w:rtl/>
        </w:rPr>
        <w:t xml:space="preserve"> حرسها الله تعالى بتاريخ يوم الأحد الخامس والعشرين من شهر ربيع الأول سنة سبع وسبعمائة</w:t>
      </w:r>
      <w:r w:rsidR="000636C2">
        <w:rPr>
          <w:rFonts w:hint="cs"/>
          <w:rtl/>
        </w:rPr>
        <w:t>،</w:t>
      </w:r>
      <w:r w:rsidRPr="005675B2">
        <w:rPr>
          <w:rFonts w:hint="cs"/>
          <w:rtl/>
        </w:rPr>
        <w:t xml:space="preserve"> وشهد عليه في هذا المحضر جماعة من الأعيان المقنتين</w:t>
      </w:r>
      <w:r w:rsidRPr="005675B2">
        <w:rPr>
          <w:rFonts w:hint="cs"/>
          <w:u w:val="single"/>
          <w:rtl/>
        </w:rPr>
        <w:t xml:space="preserve"> والعدول</w:t>
      </w:r>
      <w:r w:rsidR="000636C2">
        <w:rPr>
          <w:rFonts w:hint="cs"/>
          <w:rtl/>
        </w:rPr>
        <w:t>،</w:t>
      </w:r>
      <w:r w:rsidRPr="005675B2">
        <w:rPr>
          <w:rFonts w:hint="cs"/>
          <w:rtl/>
        </w:rPr>
        <w:t xml:space="preserve"> وأفرج عنه واستقر بالقاهرة ..</w:t>
      </w:r>
      <w:r w:rsidR="000636C2">
        <w:rPr>
          <w:rFonts w:hint="cs"/>
          <w:rtl/>
        </w:rPr>
        <w:t xml:space="preserve"> </w:t>
      </w:r>
      <w:r w:rsidRPr="005675B2">
        <w:rPr>
          <w:rFonts w:hint="cs"/>
          <w:rtl/>
        </w:rPr>
        <w:t>أهـ</w:t>
      </w:r>
      <w:r w:rsidR="000636C2">
        <w:rPr>
          <w:rFonts w:hint="cs"/>
          <w:rtl/>
        </w:rPr>
        <w:t xml:space="preserve"> </w:t>
      </w:r>
      <w:r w:rsidRPr="005675B2">
        <w:rPr>
          <w:rFonts w:hint="cs"/>
          <w:rtl/>
        </w:rPr>
        <w:t xml:space="preserve">كلام الإمام النويري </w:t>
      </w:r>
      <w:r w:rsidR="000636C2">
        <w:rPr>
          <w:rFonts w:hint="cs"/>
          <w:rtl/>
        </w:rPr>
        <w:t>[</w:t>
      </w:r>
      <w:r w:rsidRPr="005675B2">
        <w:rPr>
          <w:rFonts w:hint="cs"/>
          <w:bCs/>
          <w:sz w:val="24"/>
          <w:szCs w:val="24"/>
          <w:rtl/>
        </w:rPr>
        <w:t xml:space="preserve">من كتاب </w:t>
      </w:r>
      <w:r w:rsidR="000636C2">
        <w:rPr>
          <w:rFonts w:hint="cs"/>
          <w:bCs/>
          <w:sz w:val="24"/>
          <w:szCs w:val="24"/>
          <w:rtl/>
        </w:rPr>
        <w:t>(</w:t>
      </w:r>
      <w:r w:rsidRPr="005675B2">
        <w:rPr>
          <w:rFonts w:hint="cs"/>
          <w:bCs/>
          <w:sz w:val="24"/>
          <w:szCs w:val="24"/>
          <w:rtl/>
        </w:rPr>
        <w:t>نهاية الأرب في فنون الأدب</w:t>
      </w:r>
      <w:r w:rsidR="000636C2">
        <w:rPr>
          <w:rFonts w:hint="cs"/>
          <w:bCs/>
          <w:sz w:val="24"/>
          <w:szCs w:val="24"/>
          <w:rtl/>
        </w:rPr>
        <w:t>)</w:t>
      </w:r>
      <w:r w:rsidRPr="005675B2">
        <w:rPr>
          <w:rFonts w:hint="cs"/>
          <w:bCs/>
          <w:sz w:val="24"/>
          <w:szCs w:val="24"/>
          <w:rtl/>
        </w:rPr>
        <w:t xml:space="preserve"> للإمام القاضي شهاب الدين النويري المعاين للحادثة والمتوفى سنة 733هـ ط دار الكتب المصرية 1998م ج32 / ص115 ـ 116</w:t>
      </w:r>
      <w:r w:rsidR="000636C2">
        <w:rPr>
          <w:rFonts w:hint="cs"/>
          <w:bCs/>
          <w:sz w:val="24"/>
          <w:szCs w:val="24"/>
          <w:rtl/>
        </w:rPr>
        <w:t xml:space="preserve">]، </w:t>
      </w:r>
      <w:r w:rsidRPr="005675B2">
        <w:rPr>
          <w:rFonts w:hint="cs"/>
          <w:bCs/>
          <w:rtl/>
        </w:rPr>
        <w:t>وقال الإمام الحافظ ابن حجر</w:t>
      </w:r>
      <w:r w:rsidRPr="005675B2">
        <w:rPr>
          <w:rFonts w:hint="cs"/>
          <w:rtl/>
        </w:rPr>
        <w:t xml:space="preserve"> العسقلاني</w:t>
      </w:r>
      <w:r w:rsidR="000636C2">
        <w:rPr>
          <w:rFonts w:hint="cs"/>
          <w:rtl/>
        </w:rPr>
        <w:t>:</w:t>
      </w:r>
      <w:r w:rsidRPr="005675B2">
        <w:rPr>
          <w:rFonts w:hint="cs"/>
          <w:rtl/>
        </w:rPr>
        <w:t xml:space="preserve"> ولم يزل ابن تيمية في الجب إلى أن شفع فيه مهنا أميرآل فضل، فأخرج في ربيع الأول في الثالث وعشرين منه وأحضر إلى القلعة ووقع البحث مع بعض الفقهاء فكتب عليه محضر بأنه قال أنا أشعري</w:t>
      </w:r>
      <w:r w:rsidR="000636C2">
        <w:rPr>
          <w:rFonts w:hint="cs"/>
          <w:rtl/>
        </w:rPr>
        <w:t>،</w:t>
      </w:r>
      <w:r w:rsidRPr="005675B2">
        <w:rPr>
          <w:rFonts w:hint="cs"/>
          <w:rtl/>
        </w:rPr>
        <w:t xml:space="preserve"> ثم وجد بخطه ما نصه</w:t>
      </w:r>
      <w:r w:rsidR="000636C2">
        <w:rPr>
          <w:rFonts w:hint="cs"/>
          <w:rtl/>
        </w:rPr>
        <w:t>:</w:t>
      </w:r>
      <w:r w:rsidRPr="005675B2">
        <w:rPr>
          <w:rFonts w:hint="cs"/>
          <w:rtl/>
        </w:rPr>
        <w:t xml:space="preserve"> الذي اعتقد أن القرءان معنى قائم بذات الله وهو صفة من صفات ذاته القديمة وهو غير مخلوق وليس بحرف ولا صوت، وأن قوله</w:t>
      </w:r>
      <w:r w:rsidR="000636C2">
        <w:rPr>
          <w:rFonts w:hint="cs"/>
          <w:rtl/>
        </w:rPr>
        <w:t>:</w:t>
      </w:r>
      <w:r w:rsidRPr="005675B2">
        <w:rPr>
          <w:rFonts w:hint="cs"/>
          <w:rtl/>
        </w:rPr>
        <w:t xml:space="preserve"> ? الرَّحْمَنُ عَلَى الْعَرْشِ اسْتَوَى ?</w:t>
      </w:r>
      <w:r w:rsidR="000636C2">
        <w:rPr>
          <w:rFonts w:hint="cs"/>
          <w:rtl/>
        </w:rPr>
        <w:t xml:space="preserve"> </w:t>
      </w:r>
      <w:r w:rsidRPr="005675B2">
        <w:rPr>
          <w:rFonts w:hint="cs"/>
          <w:rtl/>
        </w:rPr>
        <w:t>ليس على ظاهره ولا أعلم كنه المراد به بل لا يعلمه إلا الله، والقول في النزول كالقول في الاستواء</w:t>
      </w:r>
      <w:r w:rsidR="000636C2">
        <w:rPr>
          <w:rFonts w:hint="cs"/>
          <w:rtl/>
        </w:rPr>
        <w:t>،</w:t>
      </w:r>
      <w:r w:rsidRPr="005675B2">
        <w:rPr>
          <w:rFonts w:hint="cs"/>
          <w:rtl/>
        </w:rPr>
        <w:t xml:space="preserve"> وكتبه أحمد بن تيمية</w:t>
      </w:r>
      <w:r w:rsidR="000636C2">
        <w:rPr>
          <w:rFonts w:hint="cs"/>
          <w:rtl/>
        </w:rPr>
        <w:t>،</w:t>
      </w:r>
      <w:r w:rsidRPr="005675B2">
        <w:rPr>
          <w:rFonts w:hint="cs"/>
          <w:rtl/>
        </w:rPr>
        <w:t xml:space="preserve"> ثم أشهدوا عليه أنه تاب مما ينافي ذلك مختارا وذلك في خامس عشري ربيع الأول سنة 707، وشهد عليه بذلك جمع جم من العلماء وغيرهم وسكن الحال وأفرج عنه وسكن القاهرة</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sz w:val="24"/>
          <w:szCs w:val="24"/>
          <w:rtl/>
        </w:rPr>
        <w:t>الدرر الكامنة (1/144)]</w:t>
      </w:r>
      <w:r w:rsidRPr="005675B2">
        <w:rPr>
          <w:rFonts w:hint="cs"/>
          <w:rtl/>
        </w:rPr>
        <w:t xml:space="preserve"> وذكر توبته غيرهما من العلماء والمؤرخين</w:t>
      </w:r>
      <w:r w:rsidR="000636C2">
        <w:rPr>
          <w:rFonts w:hint="cs"/>
          <w:rtl/>
        </w:rPr>
        <w:t>:</w:t>
      </w:r>
      <w:r w:rsidRPr="005675B2">
        <w:rPr>
          <w:rFonts w:hint="cs"/>
          <w:rtl/>
        </w:rPr>
        <w:t xml:space="preserve">ابن المعلم </w:t>
      </w:r>
      <w:r w:rsidR="000636C2">
        <w:rPr>
          <w:rFonts w:hint="cs"/>
          <w:rtl/>
        </w:rPr>
        <w:t>(</w:t>
      </w:r>
      <w:r w:rsidRPr="005675B2">
        <w:rPr>
          <w:rFonts w:hint="cs"/>
          <w:rtl/>
        </w:rPr>
        <w:t>725</w:t>
      </w:r>
      <w:r w:rsidR="000636C2">
        <w:rPr>
          <w:rFonts w:hint="cs"/>
          <w:rtl/>
        </w:rPr>
        <w:t>)</w:t>
      </w:r>
      <w:r w:rsidRPr="005675B2">
        <w:rPr>
          <w:rFonts w:hint="cs"/>
          <w:rtl/>
        </w:rPr>
        <w:t xml:space="preserve"> في &lt;نجم المهتدي ورجم المعتدي&gt; </w:t>
      </w:r>
      <w:r w:rsidR="000636C2">
        <w:rPr>
          <w:rFonts w:hint="cs"/>
          <w:rtl/>
        </w:rPr>
        <w:t>(</w:t>
      </w:r>
      <w:r w:rsidRPr="005675B2">
        <w:rPr>
          <w:rFonts w:hint="cs"/>
          <w:rtl/>
        </w:rPr>
        <w:t>نسخة باريس رقم 638</w:t>
      </w:r>
      <w:r w:rsidR="000636C2">
        <w:rPr>
          <w:rFonts w:hint="cs"/>
          <w:rtl/>
        </w:rPr>
        <w:t xml:space="preserve">) </w:t>
      </w:r>
      <w:r w:rsidRPr="005675B2">
        <w:rPr>
          <w:rFonts w:hint="cs"/>
          <w:rtl/>
        </w:rPr>
        <w:t xml:space="preserve">- ذكر الدواداي </w:t>
      </w:r>
      <w:r w:rsidR="000636C2">
        <w:rPr>
          <w:rFonts w:hint="cs"/>
          <w:rtl/>
        </w:rPr>
        <w:t>(</w:t>
      </w:r>
      <w:r w:rsidRPr="005675B2">
        <w:rPr>
          <w:rFonts w:hint="cs"/>
          <w:rtl/>
        </w:rPr>
        <w:t>بعد 736</w:t>
      </w:r>
      <w:r w:rsidR="000636C2">
        <w:rPr>
          <w:rFonts w:hint="cs"/>
          <w:rtl/>
        </w:rPr>
        <w:t>)</w:t>
      </w:r>
      <w:r w:rsidRPr="005675B2">
        <w:rPr>
          <w:rFonts w:hint="cs"/>
          <w:rtl/>
        </w:rPr>
        <w:t xml:space="preserve"> في &lt; كنـز الدرر</w:t>
      </w:r>
      <w:r w:rsidR="000636C2">
        <w:rPr>
          <w:rFonts w:hint="cs"/>
          <w:rtl/>
        </w:rPr>
        <w:t xml:space="preserve"> </w:t>
      </w:r>
      <w:r w:rsidRPr="005675B2">
        <w:rPr>
          <w:rFonts w:hint="cs"/>
          <w:rtl/>
        </w:rPr>
        <w:t>- الجامع</w:t>
      </w:r>
      <w:r w:rsidR="000636C2">
        <w:rPr>
          <w:rFonts w:hint="cs"/>
          <w:rtl/>
        </w:rPr>
        <w:t>:</w:t>
      </w:r>
      <w:r w:rsidRPr="005675B2">
        <w:rPr>
          <w:rFonts w:hint="cs"/>
          <w:rtl/>
        </w:rPr>
        <w:t xml:space="preserve"> 239&gt;</w:t>
      </w:r>
      <w:r w:rsidR="000636C2">
        <w:rPr>
          <w:rFonts w:hint="cs"/>
          <w:rtl/>
        </w:rPr>
        <w:t xml:space="preserve"> </w:t>
      </w:r>
      <w:r w:rsidRPr="005675B2">
        <w:rPr>
          <w:rFonts w:hint="cs"/>
          <w:rtl/>
        </w:rPr>
        <w:t>- ذكر ابن تغري بردي الحنفي</w:t>
      </w:r>
      <w:r w:rsidR="000636C2">
        <w:rPr>
          <w:rFonts w:hint="cs"/>
          <w:rtl/>
        </w:rPr>
        <w:t>(</w:t>
      </w:r>
      <w:r w:rsidRPr="005675B2">
        <w:rPr>
          <w:rFonts w:hint="cs"/>
          <w:rtl/>
        </w:rPr>
        <w:t>874</w:t>
      </w:r>
      <w:r w:rsidR="000636C2">
        <w:rPr>
          <w:rFonts w:hint="cs"/>
          <w:rtl/>
        </w:rPr>
        <w:t>)</w:t>
      </w:r>
      <w:r w:rsidRPr="005675B2">
        <w:rPr>
          <w:rFonts w:hint="cs"/>
          <w:rtl/>
        </w:rPr>
        <w:t xml:space="preserve"> في &lt;المنهل الصافي</w:t>
      </w:r>
      <w:r w:rsidR="000636C2">
        <w:rPr>
          <w:rFonts w:hint="cs"/>
          <w:rtl/>
        </w:rPr>
        <w:t xml:space="preserve"> </w:t>
      </w:r>
      <w:r w:rsidRPr="005675B2">
        <w:rPr>
          <w:rFonts w:hint="cs"/>
          <w:rtl/>
        </w:rPr>
        <w:t>- الجامع 576&gt; نحو ماذكر ابن حجر</w:t>
      </w:r>
      <w:r w:rsidR="000636C2">
        <w:rPr>
          <w:rFonts w:hint="cs"/>
          <w:rtl/>
        </w:rPr>
        <w:t>،</w:t>
      </w:r>
      <w:r w:rsidRPr="005675B2">
        <w:rPr>
          <w:rFonts w:hint="cs"/>
          <w:rtl/>
        </w:rPr>
        <w:t xml:space="preserve"> وقد نقل منها</w:t>
      </w:r>
      <w:r w:rsidR="000636C2">
        <w:rPr>
          <w:rFonts w:hint="cs"/>
          <w:rtl/>
        </w:rPr>
        <w:t xml:space="preserve"> </w:t>
      </w:r>
      <w:r w:rsidRPr="005675B2">
        <w:rPr>
          <w:rFonts w:hint="cs"/>
          <w:rtl/>
        </w:rPr>
        <w:t xml:space="preserve">- أيضا - في </w:t>
      </w:r>
      <w:r w:rsidR="000636C2">
        <w:rPr>
          <w:rFonts w:hint="cs"/>
          <w:rtl/>
        </w:rPr>
        <w:t>(</w:t>
      </w:r>
      <w:r w:rsidRPr="005675B2">
        <w:rPr>
          <w:rFonts w:hint="cs"/>
          <w:rtl/>
        </w:rPr>
        <w:t>النجوم الزاهرة</w:t>
      </w:r>
      <w:r w:rsidR="000636C2">
        <w:rPr>
          <w:rFonts w:hint="cs"/>
          <w:rtl/>
        </w:rPr>
        <w:t xml:space="preserve"> </w:t>
      </w:r>
      <w:r w:rsidRPr="005675B2">
        <w:rPr>
          <w:rFonts w:hint="cs"/>
          <w:rtl/>
        </w:rPr>
        <w:t>- الجامع 580</w:t>
      </w:r>
      <w:r w:rsidR="000636C2">
        <w:rPr>
          <w:rFonts w:hint="cs"/>
          <w:rtl/>
        </w:rPr>
        <w:t>)،</w:t>
      </w:r>
      <w:r w:rsidRPr="005675B2">
        <w:rPr>
          <w:rFonts w:hint="cs"/>
          <w:rtl/>
        </w:rPr>
        <w:t xml:space="preserve"> </w:t>
      </w:r>
    </w:p>
    <w:p w14:paraId="685D7A7B" w14:textId="05029C9A" w:rsidR="009C32A0" w:rsidRPr="005675B2" w:rsidRDefault="009C32A0" w:rsidP="000636C2">
      <w:pPr>
        <w:rPr>
          <w:b/>
          <w:rtl/>
        </w:rPr>
      </w:pPr>
      <w:r w:rsidRPr="005675B2">
        <w:rPr>
          <w:rFonts w:hint="cs"/>
          <w:bCs/>
          <w:rtl/>
        </w:rPr>
        <w:t>موقف الناس من توبته</w:t>
      </w:r>
      <w:r w:rsidR="000636C2">
        <w:rPr>
          <w:rFonts w:hint="cs"/>
          <w:rtl/>
        </w:rPr>
        <w:t>:</w:t>
      </w:r>
      <w:r w:rsidRPr="005675B2">
        <w:rPr>
          <w:rFonts w:hint="cs"/>
          <w:rtl/>
        </w:rPr>
        <w:t xml:space="preserve"> اتفق العلماء جميعاً على صدق حادثة توبة الإمام ابن تيمية رحمه الله</w:t>
      </w:r>
      <w:r w:rsidR="000636C2">
        <w:rPr>
          <w:rFonts w:hint="cs"/>
          <w:rtl/>
        </w:rPr>
        <w:t>،</w:t>
      </w:r>
      <w:r w:rsidRPr="005675B2">
        <w:rPr>
          <w:rFonts w:hint="cs"/>
          <w:rtl/>
        </w:rPr>
        <w:t xml:space="preserve"> ثم اختلفوا بعد ذلك في كون الإمام صادق في توبته أم أراد مجرد التورية والتقية على قولين</w:t>
      </w:r>
      <w:r w:rsidR="000636C2">
        <w:rPr>
          <w:rFonts w:hint="cs"/>
          <w:rtl/>
        </w:rPr>
        <w:t>:</w:t>
      </w:r>
      <w:r w:rsidRPr="005675B2">
        <w:rPr>
          <w:rFonts w:hint="cs"/>
          <w:rtl/>
        </w:rPr>
        <w:t xml:space="preserve"> </w:t>
      </w:r>
      <w:r w:rsidR="000636C2">
        <w:rPr>
          <w:rFonts w:hint="cs"/>
          <w:rtl/>
        </w:rPr>
        <w:t>(</w:t>
      </w:r>
      <w:r w:rsidRPr="005675B2">
        <w:rPr>
          <w:rFonts w:hint="cs"/>
          <w:rtl/>
        </w:rPr>
        <w:t>الأول</w:t>
      </w:r>
      <w:r w:rsidR="000636C2">
        <w:rPr>
          <w:rFonts w:hint="cs"/>
          <w:rtl/>
        </w:rPr>
        <w:t>):</w:t>
      </w:r>
      <w:r w:rsidRPr="005675B2">
        <w:rPr>
          <w:rFonts w:hint="cs"/>
          <w:rtl/>
        </w:rPr>
        <w:t xml:space="preserve"> مصدق له في توبته</w:t>
      </w:r>
      <w:r w:rsidR="000636C2">
        <w:rPr>
          <w:rFonts w:hint="cs"/>
          <w:rtl/>
        </w:rPr>
        <w:t xml:space="preserve"> </w:t>
      </w:r>
      <w:r w:rsidRPr="005675B2">
        <w:rPr>
          <w:rFonts w:hint="cs"/>
          <w:rtl/>
        </w:rPr>
        <w:t>مترحم عليه لأن الأصل حمل المسلمين</w:t>
      </w:r>
      <w:r w:rsidR="000636C2">
        <w:rPr>
          <w:rFonts w:hint="cs"/>
          <w:rtl/>
        </w:rPr>
        <w:t xml:space="preserve"> </w:t>
      </w:r>
      <w:r w:rsidRPr="005675B2">
        <w:rPr>
          <w:rFonts w:hint="cs"/>
          <w:rtl/>
        </w:rPr>
        <w:t>على أحسن المحامل وعلى هذا كثير من العلماء ولذا دافعوا عنه ورّدوا على من بدعه</w:t>
      </w:r>
      <w:r w:rsidR="000636C2">
        <w:rPr>
          <w:rFonts w:hint="cs"/>
          <w:rtl/>
        </w:rPr>
        <w:t>،</w:t>
      </w:r>
      <w:r w:rsidRPr="005675B2">
        <w:rPr>
          <w:rFonts w:hint="cs"/>
          <w:rtl/>
        </w:rPr>
        <w:t xml:space="preserve"> </w:t>
      </w:r>
      <w:r w:rsidR="000636C2">
        <w:rPr>
          <w:rFonts w:hint="cs"/>
          <w:rtl/>
        </w:rPr>
        <w:t>(</w:t>
      </w:r>
      <w:r w:rsidRPr="005675B2">
        <w:rPr>
          <w:rFonts w:hint="cs"/>
          <w:rtl/>
        </w:rPr>
        <w:t>الثاني</w:t>
      </w:r>
      <w:r w:rsidR="000636C2">
        <w:rPr>
          <w:rFonts w:hint="cs"/>
          <w:rtl/>
        </w:rPr>
        <w:t>):</w:t>
      </w:r>
      <w:r w:rsidRPr="005675B2">
        <w:rPr>
          <w:rFonts w:hint="cs"/>
          <w:rtl/>
        </w:rPr>
        <w:t xml:space="preserve"> غير مثبت لتوبته</w:t>
      </w:r>
      <w:r w:rsidR="000636C2">
        <w:rPr>
          <w:rFonts w:hint="cs"/>
          <w:rtl/>
        </w:rPr>
        <w:t xml:space="preserve"> </w:t>
      </w:r>
      <w:r w:rsidRPr="005675B2">
        <w:rPr>
          <w:rFonts w:hint="cs"/>
          <w:rtl/>
        </w:rPr>
        <w:t>ثم هؤلاء</w:t>
      </w:r>
      <w:r w:rsidR="000636C2">
        <w:rPr>
          <w:rFonts w:hint="cs"/>
          <w:rtl/>
        </w:rPr>
        <w:t xml:space="preserve"> </w:t>
      </w:r>
      <w:r w:rsidRPr="005675B2">
        <w:rPr>
          <w:rFonts w:hint="cs"/>
          <w:rtl/>
        </w:rPr>
        <w:t>على طرفين</w:t>
      </w:r>
      <w:r w:rsidR="000636C2">
        <w:rPr>
          <w:rFonts w:hint="cs"/>
          <w:rtl/>
        </w:rPr>
        <w:t xml:space="preserve">: </w:t>
      </w:r>
      <w:r w:rsidRPr="005675B2">
        <w:rPr>
          <w:rFonts w:hint="cs"/>
          <w:rtl/>
        </w:rPr>
        <w:t>الطرف الأول</w:t>
      </w:r>
      <w:r w:rsidR="000636C2">
        <w:rPr>
          <w:rFonts w:hint="cs"/>
          <w:rtl/>
        </w:rPr>
        <w:t>:</w:t>
      </w:r>
      <w:r w:rsidRPr="005675B2">
        <w:rPr>
          <w:rFonts w:hint="cs"/>
          <w:rtl/>
        </w:rPr>
        <w:t>مبدع له مخرج له عن عقيدة أهل الحق بحكم ماهو مكتوب عنه في كتبه أو منقول عن بعض المتعصبين له وبحكم كونه مات سجيناً</w:t>
      </w:r>
      <w:r w:rsidR="000636C2">
        <w:rPr>
          <w:rFonts w:hint="cs"/>
          <w:rtl/>
        </w:rPr>
        <w:t>،</w:t>
      </w:r>
      <w:r w:rsidRPr="005675B2">
        <w:rPr>
          <w:rFonts w:hint="cs"/>
          <w:rtl/>
        </w:rPr>
        <w:t xml:space="preserve"> فقولهم أنه مات في السجن جوابه</w:t>
      </w:r>
      <w:r w:rsidR="000636C2">
        <w:rPr>
          <w:rFonts w:hint="cs"/>
          <w:rtl/>
        </w:rPr>
        <w:t>:</w:t>
      </w:r>
      <w:r w:rsidRPr="005675B2">
        <w:rPr>
          <w:rFonts w:hint="cs"/>
          <w:rtl/>
        </w:rPr>
        <w:t xml:space="preserve"> أن سجنه الأخير كان في مسائل فقهية فرعية كمسألة تحريم السفر</w:t>
      </w:r>
      <w:r w:rsidR="000636C2">
        <w:rPr>
          <w:rFonts w:hint="cs"/>
          <w:rtl/>
        </w:rPr>
        <w:t xml:space="preserve"> </w:t>
      </w:r>
      <w:r w:rsidRPr="005675B2">
        <w:rPr>
          <w:rFonts w:hint="cs"/>
          <w:rtl/>
        </w:rPr>
        <w:t>لزيارة النبي صلى الله عليه وسلم ونحوها وليس في المسائل العقدية التي قد تاب منها</w:t>
      </w:r>
      <w:r w:rsidR="000636C2">
        <w:rPr>
          <w:rFonts w:hint="cs"/>
          <w:rtl/>
        </w:rPr>
        <w:t>،</w:t>
      </w:r>
      <w:r w:rsidRPr="005675B2">
        <w:rPr>
          <w:rFonts w:hint="cs"/>
          <w:rtl/>
        </w:rPr>
        <w:t xml:space="preserve"> والله أعلم</w:t>
      </w:r>
      <w:r w:rsidR="000636C2">
        <w:rPr>
          <w:rFonts w:hint="cs"/>
          <w:rtl/>
        </w:rPr>
        <w:t>،</w:t>
      </w:r>
      <w:r w:rsidRPr="005675B2">
        <w:rPr>
          <w:rFonts w:hint="cs"/>
          <w:rtl/>
        </w:rPr>
        <w:t xml:space="preserve"> وأما أنه لا يوجد ما يؤيد صدق توبته من أقوال في كتبه أو تراجعات عن ما كان عليه</w:t>
      </w:r>
      <w:r w:rsidR="000636C2">
        <w:rPr>
          <w:rFonts w:hint="cs"/>
          <w:rtl/>
        </w:rPr>
        <w:t xml:space="preserve">؟ </w:t>
      </w:r>
      <w:r w:rsidRPr="005675B2">
        <w:rPr>
          <w:rFonts w:hint="cs"/>
          <w:rtl/>
        </w:rPr>
        <w:t>فجوابه</w:t>
      </w:r>
      <w:r w:rsidR="000636C2">
        <w:rPr>
          <w:rFonts w:hint="cs"/>
          <w:rtl/>
        </w:rPr>
        <w:t>:</w:t>
      </w:r>
      <w:r w:rsidRPr="005675B2">
        <w:rPr>
          <w:rFonts w:hint="cs"/>
          <w:rtl/>
        </w:rPr>
        <w:t xml:space="preserve"> 1</w:t>
      </w:r>
      <w:r w:rsidR="000636C2">
        <w:rPr>
          <w:rFonts w:hint="cs"/>
          <w:rtl/>
        </w:rPr>
        <w:t xml:space="preserve"> </w:t>
      </w:r>
      <w:r w:rsidRPr="005675B2">
        <w:rPr>
          <w:rFonts w:hint="cs"/>
          <w:rtl/>
        </w:rPr>
        <w:t>- أن</w:t>
      </w:r>
      <w:r w:rsidR="000636C2">
        <w:rPr>
          <w:rFonts w:hint="cs"/>
          <w:rtl/>
        </w:rPr>
        <w:t xml:space="preserve"> </w:t>
      </w:r>
      <w:r w:rsidRPr="005675B2">
        <w:rPr>
          <w:rFonts w:hint="cs"/>
          <w:rtl/>
        </w:rPr>
        <w:t>ابن تيمية لم تطبع</w:t>
      </w:r>
      <w:r w:rsidR="000636C2">
        <w:rPr>
          <w:rFonts w:hint="cs"/>
          <w:rtl/>
        </w:rPr>
        <w:t xml:space="preserve"> </w:t>
      </w:r>
      <w:r w:rsidRPr="005675B2">
        <w:rPr>
          <w:rFonts w:hint="cs"/>
          <w:rtl/>
        </w:rPr>
        <w:t>جميع كتبه حتى نؤيد الأخذ بهذه القرينة</w:t>
      </w:r>
      <w:r w:rsidR="000636C2">
        <w:rPr>
          <w:rFonts w:hint="cs"/>
          <w:rtl/>
        </w:rPr>
        <w:t xml:space="preserve">، </w:t>
      </w:r>
      <w:r w:rsidRPr="005675B2">
        <w:rPr>
          <w:rFonts w:hint="cs"/>
          <w:rtl/>
        </w:rPr>
        <w:t>2</w:t>
      </w:r>
      <w:r w:rsidR="000636C2">
        <w:rPr>
          <w:rFonts w:hint="cs"/>
          <w:rtl/>
        </w:rPr>
        <w:t xml:space="preserve"> </w:t>
      </w:r>
      <w:r w:rsidRPr="005675B2">
        <w:rPr>
          <w:rFonts w:hint="cs"/>
          <w:rtl/>
        </w:rPr>
        <w:t>- والأمر الآخر</w:t>
      </w:r>
      <w:r w:rsidR="000636C2">
        <w:rPr>
          <w:rFonts w:hint="cs"/>
          <w:rtl/>
        </w:rPr>
        <w:t xml:space="preserve"> </w:t>
      </w:r>
      <w:r w:rsidRPr="005675B2">
        <w:rPr>
          <w:rFonts w:hint="cs"/>
          <w:rtl/>
        </w:rPr>
        <w:t>أن كتبه المطبوعة فيها السقط الكثير بعشرات الصفحات كما في الفتاوي فضلاً عن الأسطر</w:t>
      </w:r>
      <w:r w:rsidR="000636C2">
        <w:rPr>
          <w:rFonts w:hint="cs"/>
          <w:rtl/>
        </w:rPr>
        <w:t xml:space="preserve"> </w:t>
      </w:r>
      <w:r w:rsidRPr="005675B2">
        <w:rPr>
          <w:rFonts w:hint="cs"/>
          <w:rtl/>
        </w:rPr>
        <w:t>والكلمات</w:t>
      </w:r>
      <w:r w:rsidR="000636C2">
        <w:rPr>
          <w:rFonts w:hint="cs"/>
          <w:rtl/>
        </w:rPr>
        <w:t>،</w:t>
      </w:r>
      <w:r w:rsidRPr="005675B2">
        <w:rPr>
          <w:rFonts w:hint="cs"/>
          <w:rtl/>
        </w:rPr>
        <w:t xml:space="preserve"> فمن الخطأ أن نجزم بعدم تراجعه أو حتى نرجح عدم رجوعه إلى الحق</w:t>
      </w:r>
      <w:r w:rsidR="000636C2">
        <w:rPr>
          <w:rFonts w:hint="cs"/>
          <w:rtl/>
        </w:rPr>
        <w:t xml:space="preserve">، </w:t>
      </w:r>
      <w:r w:rsidRPr="005675B2">
        <w:rPr>
          <w:rFonts w:hint="cs"/>
          <w:rtl/>
        </w:rPr>
        <w:t>3</w:t>
      </w:r>
      <w:r w:rsidR="000636C2">
        <w:rPr>
          <w:rFonts w:hint="cs"/>
          <w:rtl/>
        </w:rPr>
        <w:t xml:space="preserve"> </w:t>
      </w:r>
      <w:r w:rsidRPr="005675B2">
        <w:rPr>
          <w:rFonts w:hint="cs"/>
          <w:rtl/>
        </w:rPr>
        <w:t>- أن ما يتداول من كتب وفتاوي تنسب إليه جمعت بعد وفاته</w:t>
      </w:r>
      <w:r w:rsidR="000636C2">
        <w:rPr>
          <w:rFonts w:hint="cs"/>
          <w:rtl/>
        </w:rPr>
        <w:t xml:space="preserve"> </w:t>
      </w:r>
      <w:r w:rsidRPr="005675B2">
        <w:rPr>
          <w:rFonts w:hint="cs"/>
          <w:rtl/>
        </w:rPr>
        <w:t>بخمسة قرون أو أكثر</w:t>
      </w:r>
      <w:r w:rsidR="000636C2">
        <w:rPr>
          <w:rFonts w:hint="cs"/>
          <w:rtl/>
        </w:rPr>
        <w:t>،</w:t>
      </w:r>
      <w:r w:rsidRPr="005675B2">
        <w:rPr>
          <w:rFonts w:hint="cs"/>
          <w:rtl/>
        </w:rPr>
        <w:t xml:space="preserve"> وهي مجرد مسودات لم يهذبها</w:t>
      </w:r>
      <w:r w:rsidR="000636C2">
        <w:rPr>
          <w:rFonts w:hint="cs"/>
          <w:rtl/>
        </w:rPr>
        <w:t>،</w:t>
      </w:r>
      <w:r w:rsidRPr="005675B2">
        <w:rPr>
          <w:rFonts w:hint="cs"/>
          <w:rtl/>
        </w:rPr>
        <w:t>ولم يبيضها فكيف يؤاخذ بما فيها</w:t>
      </w:r>
      <w:r w:rsidR="000636C2">
        <w:rPr>
          <w:rFonts w:hint="cs"/>
          <w:rtl/>
        </w:rPr>
        <w:t xml:space="preserve">، </w:t>
      </w:r>
      <w:r w:rsidRPr="005675B2">
        <w:rPr>
          <w:rFonts w:hint="cs"/>
          <w:rtl/>
        </w:rPr>
        <w:t>الطرف الثاني</w:t>
      </w:r>
      <w:r w:rsidR="000636C2">
        <w:rPr>
          <w:rFonts w:hint="cs"/>
          <w:rtl/>
        </w:rPr>
        <w:t>:</w:t>
      </w:r>
      <w:r w:rsidRPr="005675B2">
        <w:rPr>
          <w:rFonts w:hint="cs"/>
          <w:rtl/>
        </w:rPr>
        <w:t xml:space="preserve"> مبجل لهذه العقيدة التي تاب عنها بزعم</w:t>
      </w:r>
      <w:r w:rsidR="000636C2">
        <w:rPr>
          <w:rFonts w:hint="cs"/>
          <w:rtl/>
        </w:rPr>
        <w:t xml:space="preserve"> </w:t>
      </w:r>
      <w:r w:rsidRPr="005675B2">
        <w:rPr>
          <w:rFonts w:hint="cs"/>
          <w:rtl/>
        </w:rPr>
        <w:t xml:space="preserve">أن توبته </w:t>
      </w:r>
      <w:r w:rsidRPr="005675B2">
        <w:rPr>
          <w:rFonts w:hint="cs"/>
          <w:u w:val="single"/>
          <w:rtl/>
        </w:rPr>
        <w:t>تورية وتقية</w:t>
      </w:r>
      <w:r w:rsidRPr="005675B2">
        <w:rPr>
          <w:rFonts w:hint="cs"/>
          <w:rtl/>
        </w:rPr>
        <w:t xml:space="preserve"> ليس إلا</w:t>
      </w:r>
      <w:r w:rsidR="000636C2">
        <w:rPr>
          <w:rFonts w:hint="cs"/>
          <w:rtl/>
        </w:rPr>
        <w:t xml:space="preserve">، </w:t>
      </w:r>
      <w:r w:rsidRPr="005675B2">
        <w:rPr>
          <w:rFonts w:hint="cs"/>
          <w:rtl/>
        </w:rPr>
        <w:t>وهذا ما عليه كثير من أتباعه اليوم</w:t>
      </w:r>
      <w:r w:rsidR="000636C2">
        <w:rPr>
          <w:rFonts w:hint="cs"/>
          <w:rtl/>
        </w:rPr>
        <w:t>،</w:t>
      </w:r>
      <w:r w:rsidRPr="005675B2">
        <w:rPr>
          <w:rFonts w:hint="cs"/>
          <w:rtl/>
        </w:rPr>
        <w:t>وهذا لايصح نسبته لابن تيمية رحمه الله تعالى لأنه إن كان يعتقد</w:t>
      </w:r>
      <w:r w:rsidR="000636C2">
        <w:rPr>
          <w:rFonts w:hint="cs"/>
          <w:rtl/>
        </w:rPr>
        <w:t xml:space="preserve"> </w:t>
      </w:r>
      <w:r w:rsidRPr="005675B2">
        <w:rPr>
          <w:rFonts w:hint="cs"/>
          <w:rtl/>
        </w:rPr>
        <w:t>أنه على الحق فكيف لم يصمد وهو رأس وقدوة في هذا الحق بزعمهم كما صبر الإمام</w:t>
      </w:r>
      <w:r w:rsidR="000636C2">
        <w:rPr>
          <w:rFonts w:hint="cs"/>
          <w:rtl/>
        </w:rPr>
        <w:t xml:space="preserve"> </w:t>
      </w:r>
      <w:r w:rsidRPr="005675B2">
        <w:rPr>
          <w:rFonts w:hint="cs"/>
          <w:rtl/>
        </w:rPr>
        <w:t>أحمد بن حنبل وغيره من العلماء</w:t>
      </w:r>
      <w:r w:rsidR="000636C2">
        <w:rPr>
          <w:rFonts w:hint="cs"/>
          <w:rtl/>
        </w:rPr>
        <w:t>،</w:t>
      </w:r>
      <w:r w:rsidRPr="005675B2">
        <w:rPr>
          <w:rFonts w:hint="cs"/>
          <w:rtl/>
        </w:rPr>
        <w:t xml:space="preserve"> </w:t>
      </w:r>
      <w:r w:rsidRPr="005675B2">
        <w:rPr>
          <w:rFonts w:hint="cs"/>
          <w:u w:val="single"/>
          <w:rtl/>
        </w:rPr>
        <w:t>والحق الذي يترجح</w:t>
      </w:r>
      <w:r w:rsidR="000636C2">
        <w:rPr>
          <w:rFonts w:hint="cs"/>
          <w:u w:val="single"/>
          <w:rtl/>
        </w:rPr>
        <w:t xml:space="preserve"> </w:t>
      </w:r>
      <w:r w:rsidRPr="005675B2">
        <w:rPr>
          <w:rFonts w:hint="cs"/>
          <w:u w:val="single"/>
          <w:rtl/>
        </w:rPr>
        <w:t>أنه قد تاب منها ولله الحمد</w:t>
      </w:r>
      <w:r w:rsidR="000636C2">
        <w:rPr>
          <w:rFonts w:hint="cs"/>
          <w:u w:val="single"/>
          <w:rtl/>
        </w:rPr>
        <w:t>،</w:t>
      </w:r>
      <w:r w:rsidRPr="005675B2">
        <w:rPr>
          <w:rFonts w:hint="cs"/>
          <w:rtl/>
        </w:rPr>
        <w:t xml:space="preserve"> وغرضي من ذلك أن كل رد في هذه الرسالة فأنا لا أقصد به الإمام ابن تيمية بذاته وإنما أقصد ما يذكر في كتبه سواء كان هو قائله قبل توبته أو أنه كلام مختلق</w:t>
      </w:r>
      <w:r w:rsidR="000636C2">
        <w:rPr>
          <w:rFonts w:hint="cs"/>
          <w:rtl/>
        </w:rPr>
        <w:t xml:space="preserve"> </w:t>
      </w:r>
      <w:r w:rsidRPr="005675B2">
        <w:rPr>
          <w:rFonts w:hint="cs"/>
          <w:rtl/>
        </w:rPr>
        <w:t>عليه رحمه الله تعالى</w:t>
      </w:r>
      <w:r w:rsidR="000636C2">
        <w:rPr>
          <w:rFonts w:hint="cs"/>
          <w:rtl/>
        </w:rPr>
        <w:t>،</w:t>
      </w:r>
      <w:r w:rsidRPr="005675B2">
        <w:rPr>
          <w:rFonts w:hint="cs"/>
          <w:rtl/>
        </w:rPr>
        <w:t xml:space="preserve"> فالرد إذن هو على القول لاعلى القائل كائن من كان</w:t>
      </w:r>
      <w:r w:rsidR="000636C2">
        <w:rPr>
          <w:rFonts w:hint="cs"/>
          <w:rtl/>
        </w:rPr>
        <w:t>،</w:t>
      </w:r>
    </w:p>
    <w:p w14:paraId="65309F64" w14:textId="52B5FD80" w:rsidR="009C32A0" w:rsidRPr="005675B2" w:rsidRDefault="009C32A0" w:rsidP="000636C2">
      <w:pPr>
        <w:rPr>
          <w:b/>
          <w:rtl/>
        </w:rPr>
      </w:pPr>
      <w:r w:rsidRPr="005675B2">
        <w:rPr>
          <w:rFonts w:hint="cs"/>
          <w:rtl/>
        </w:rPr>
        <w:t>وأخيراً نبدأ في الرد على ماحوته الرسالة ونسأل الله التوفيق والإخلاص</w:t>
      </w:r>
      <w:r w:rsidR="000636C2">
        <w:rPr>
          <w:rFonts w:hint="cs"/>
          <w:rtl/>
        </w:rPr>
        <w:t>،</w:t>
      </w:r>
      <w:r w:rsidRPr="005675B2">
        <w:rPr>
          <w:rFonts w:hint="cs"/>
          <w:rtl/>
        </w:rPr>
        <w:t xml:space="preserve"> </w:t>
      </w:r>
    </w:p>
    <w:p w14:paraId="155FAFF3" w14:textId="63E20843" w:rsidR="009C32A0" w:rsidRPr="005675B2" w:rsidRDefault="009C32A0" w:rsidP="000636C2">
      <w:pPr>
        <w:rPr>
          <w:b/>
        </w:rPr>
      </w:pPr>
      <w:r w:rsidRPr="005675B2">
        <w:rPr>
          <w:rFonts w:hint="cs"/>
          <w:bCs/>
          <w:rtl/>
        </w:rPr>
        <w:t>قال الأخ الكاتب وفقه الله لرضاه</w:t>
      </w:r>
      <w:r w:rsidR="000636C2">
        <w:rPr>
          <w:rFonts w:hint="cs"/>
          <w:rtl/>
        </w:rPr>
        <w:t>:</w:t>
      </w:r>
      <w:r w:rsidRPr="005675B2">
        <w:rPr>
          <w:rFonts w:hint="cs"/>
          <w:rtl/>
        </w:rPr>
        <w:t xml:space="preserve"> إذا كان من حق أي قارئ</w:t>
      </w:r>
      <w:r w:rsidRPr="005675B2">
        <w:rPr>
          <w:rFonts w:hint="cs"/>
        </w:rPr>
        <w:t xml:space="preserve"> </w:t>
      </w:r>
      <w:r w:rsidRPr="005675B2">
        <w:rPr>
          <w:rFonts w:hint="cs"/>
          <w:rtl/>
        </w:rPr>
        <w:t>مسلم أن يهتم بالموضوع وأن يدلي برأيه إن كان لديه جديد</w:t>
      </w:r>
      <w:r w:rsidR="000636C2">
        <w:rPr>
          <w:rFonts w:hint="cs"/>
          <w:rtl/>
        </w:rPr>
        <w:t>،</w:t>
      </w:r>
      <w:r w:rsidRPr="005675B2">
        <w:rPr>
          <w:rFonts w:hint="cs"/>
          <w:rtl/>
        </w:rPr>
        <w:t xml:space="preserve"> فكيف بمن هو متخصص في هذا</w:t>
      </w:r>
      <w:r w:rsidRPr="005675B2">
        <w:rPr>
          <w:rFonts w:hint="cs"/>
        </w:rPr>
        <w:t xml:space="preserve"> </w:t>
      </w:r>
      <w:r w:rsidRPr="005675B2">
        <w:rPr>
          <w:rFonts w:hint="cs"/>
          <w:rtl/>
        </w:rPr>
        <w:t>الموضوع مثلي</w:t>
      </w:r>
      <w:r w:rsidR="000636C2">
        <w:rPr>
          <w:rFonts w:hint="cs"/>
          <w:rtl/>
        </w:rPr>
        <w:t xml:space="preserve">؟ </w:t>
      </w:r>
      <w:r w:rsidRPr="005675B2">
        <w:rPr>
          <w:rFonts w:hint="cs"/>
          <w:rtl/>
        </w:rPr>
        <w:t>فالأشاعرة جزء من موضوع</w:t>
      </w:r>
      <w:r w:rsidRPr="005675B2">
        <w:rPr>
          <w:rFonts w:hint="cs"/>
        </w:rPr>
        <w:t xml:space="preserve"> </w:t>
      </w:r>
      <w:r w:rsidRPr="005675B2">
        <w:rPr>
          <w:rFonts w:hint="cs"/>
          <w:rtl/>
        </w:rPr>
        <w:t>رسالتي للدكتوراه</w:t>
      </w:r>
      <w:r w:rsidRPr="005675B2">
        <w:rPr>
          <w:rFonts w:hint="cs"/>
        </w:rPr>
        <w:t xml:space="preserve"> </w:t>
      </w:r>
      <w:r w:rsidRPr="005675B2">
        <w:rPr>
          <w:rFonts w:hint="cs"/>
          <w:rtl/>
        </w:rPr>
        <w:t>"</w:t>
      </w:r>
      <w:r w:rsidRPr="005675B2">
        <w:rPr>
          <w:rFonts w:hint="cs"/>
        </w:rPr>
        <w:t xml:space="preserve"> </w:t>
      </w:r>
      <w:r w:rsidRPr="005675B2">
        <w:rPr>
          <w:rFonts w:hint="cs"/>
          <w:rtl/>
        </w:rPr>
        <w:t>ظاهرة الإرجاء في الفكر الإسلامي</w:t>
      </w:r>
      <w:r w:rsidRPr="005675B2">
        <w:rPr>
          <w:rFonts w:hint="cs"/>
        </w:rPr>
        <w:t xml:space="preserve"> </w:t>
      </w:r>
      <w:r w:rsidRPr="005675B2">
        <w:rPr>
          <w:rFonts w:hint="cs"/>
          <w:rtl/>
        </w:rPr>
        <w:t>"</w:t>
      </w:r>
      <w:r w:rsidRPr="005675B2">
        <w:rPr>
          <w:rFonts w:hint="cs"/>
        </w:rPr>
        <w:t xml:space="preserve"> </w:t>
      </w:r>
      <w:r w:rsidRPr="005675B2">
        <w:rPr>
          <w:rFonts w:hint="cs"/>
          <w:rtl/>
        </w:rPr>
        <w:t>إذ هي أكبر فرق المرجئة الغلاة</w:t>
      </w:r>
      <w:r w:rsidR="000636C2">
        <w:rPr>
          <w:rFonts w:hint="cs"/>
          <w:rtl/>
        </w:rPr>
        <w:t>،</w:t>
      </w:r>
      <w:r w:rsidRPr="005675B2">
        <w:rPr>
          <w:rFonts w:hint="cs"/>
          <w:rtl/>
        </w:rPr>
        <w:t xml:space="preserve"> ولن أستعجل نتائج بحثي</w:t>
      </w:r>
      <w:r w:rsidR="000636C2">
        <w:rPr>
          <w:rFonts w:hint="cs"/>
          <w:rtl/>
        </w:rPr>
        <w:t>،</w:t>
      </w:r>
      <w:r w:rsidRPr="005675B2">
        <w:rPr>
          <w:rFonts w:hint="cs"/>
          <w:rtl/>
        </w:rPr>
        <w:t xml:space="preserve"> ولكن حسبي أن</w:t>
      </w:r>
      <w:r w:rsidRPr="005675B2">
        <w:rPr>
          <w:rFonts w:hint="cs"/>
        </w:rPr>
        <w:t xml:space="preserve"> </w:t>
      </w:r>
      <w:r w:rsidRPr="005675B2">
        <w:rPr>
          <w:rFonts w:hint="cs"/>
          <w:rtl/>
        </w:rPr>
        <w:t>أدّعي دعوى وأطرحها للمناقشة وأقبل بكل سرور من يدلي بوجهة نظره فيها</w:t>
      </w:r>
      <w:r w:rsidR="000636C2">
        <w:rPr>
          <w:rFonts w:hint="cs"/>
          <w:rtl/>
        </w:rPr>
        <w:t>،</w:t>
      </w:r>
    </w:p>
    <w:p w14:paraId="12EDB0FB" w14:textId="757F1633" w:rsidR="009C32A0" w:rsidRPr="005675B2" w:rsidRDefault="009C32A0" w:rsidP="000636C2">
      <w:pPr>
        <w:rPr>
          <w:b/>
          <w:rtl/>
        </w:rPr>
      </w:pPr>
      <w:r w:rsidRPr="005675B2">
        <w:rPr>
          <w:rFonts w:hint="cs"/>
          <w:bCs/>
          <w:rtl/>
        </w:rPr>
        <w:t>ذكر الكاتب هداه الله ثلاثة أمور</w:t>
      </w:r>
      <w:r w:rsidR="000636C2">
        <w:rPr>
          <w:rFonts w:hint="cs"/>
          <w:rtl/>
        </w:rPr>
        <w:t xml:space="preserve">: </w:t>
      </w:r>
      <w:r w:rsidRPr="005675B2">
        <w:rPr>
          <w:rFonts w:hint="cs"/>
          <w:rtl/>
        </w:rPr>
        <w:t>الأمر الأول</w:t>
      </w:r>
      <w:r w:rsidR="000636C2">
        <w:rPr>
          <w:rFonts w:hint="cs"/>
          <w:rtl/>
        </w:rPr>
        <w:t>:</w:t>
      </w:r>
      <w:r w:rsidRPr="005675B2">
        <w:rPr>
          <w:rFonts w:hint="cs"/>
          <w:rtl/>
        </w:rPr>
        <w:t xml:space="preserve"> دعوى أن </w:t>
      </w:r>
      <w:r w:rsidRPr="005675B2">
        <w:rPr>
          <w:rFonts w:hint="cs"/>
          <w:u w:val="single"/>
          <w:rtl/>
        </w:rPr>
        <w:t>كل قارئ</w:t>
      </w:r>
      <w:r w:rsidR="000636C2">
        <w:rPr>
          <w:rFonts w:hint="cs"/>
          <w:u w:val="single"/>
          <w:rtl/>
        </w:rPr>
        <w:t xml:space="preserve"> </w:t>
      </w:r>
      <w:r w:rsidRPr="005675B2">
        <w:rPr>
          <w:rFonts w:hint="cs"/>
          <w:rtl/>
        </w:rPr>
        <w:t>مسلم</w:t>
      </w:r>
      <w:r w:rsidR="000636C2">
        <w:rPr>
          <w:rFonts w:hint="cs"/>
          <w:rtl/>
        </w:rPr>
        <w:t>،</w:t>
      </w:r>
      <w:r w:rsidRPr="005675B2">
        <w:rPr>
          <w:rFonts w:hint="cs"/>
          <w:rtl/>
        </w:rPr>
        <w:t xml:space="preserve">من </w:t>
      </w:r>
      <w:r w:rsidRPr="005675B2">
        <w:rPr>
          <w:rFonts w:hint="cs"/>
          <w:u w:val="single"/>
          <w:rtl/>
        </w:rPr>
        <w:t>حقه</w:t>
      </w:r>
      <w:r w:rsidRPr="005675B2">
        <w:rPr>
          <w:rFonts w:hint="cs"/>
          <w:rtl/>
        </w:rPr>
        <w:t xml:space="preserve"> أن يدلي برأيه في مباحث علم الاعتقاد</w:t>
      </w:r>
      <w:r w:rsidR="000636C2">
        <w:rPr>
          <w:rFonts w:hint="cs"/>
          <w:rtl/>
        </w:rPr>
        <w:t>،</w:t>
      </w:r>
      <w:r w:rsidRPr="005675B2">
        <w:rPr>
          <w:rFonts w:hint="cs"/>
          <w:rtl/>
        </w:rPr>
        <w:t>بل وفي مسائل الردود على الفرق</w:t>
      </w:r>
      <w:r w:rsidR="000636C2">
        <w:rPr>
          <w:rFonts w:hint="cs"/>
          <w:rtl/>
        </w:rPr>
        <w:t>،</w:t>
      </w:r>
      <w:r w:rsidRPr="005675B2">
        <w:rPr>
          <w:rFonts w:hint="cs"/>
          <w:rtl/>
        </w:rPr>
        <w:t xml:space="preserve"> وقد خطا فيما قاله</w:t>
      </w:r>
      <w:r w:rsidR="000636C2">
        <w:rPr>
          <w:rFonts w:hint="cs"/>
          <w:rtl/>
        </w:rPr>
        <w:t xml:space="preserve"> </w:t>
      </w:r>
      <w:r w:rsidRPr="005675B2">
        <w:rPr>
          <w:rFonts w:hint="cs"/>
          <w:rtl/>
        </w:rPr>
        <w:t>أول خطوة</w:t>
      </w:r>
      <w:r w:rsidR="000636C2">
        <w:rPr>
          <w:rFonts w:hint="cs"/>
          <w:rtl/>
        </w:rPr>
        <w:t xml:space="preserve"> </w:t>
      </w:r>
      <w:r w:rsidRPr="005675B2">
        <w:rPr>
          <w:rFonts w:hint="cs"/>
          <w:rtl/>
        </w:rPr>
        <w:t>نحو الخطأ</w:t>
      </w:r>
      <w:r w:rsidR="000636C2">
        <w:rPr>
          <w:rFonts w:hint="cs"/>
          <w:rtl/>
        </w:rPr>
        <w:t>،</w:t>
      </w:r>
      <w:r w:rsidRPr="005675B2">
        <w:rPr>
          <w:rFonts w:hint="cs"/>
          <w:rtl/>
        </w:rPr>
        <w:t xml:space="preserve"> فإذا كانت أمور الآداب المستحبة في الشريعة لا يجوز أن يتكلم فيها المرء بغير علم</w:t>
      </w:r>
      <w:r w:rsidR="000636C2">
        <w:rPr>
          <w:rFonts w:hint="cs"/>
          <w:rtl/>
        </w:rPr>
        <w:t>،</w:t>
      </w:r>
      <w:r w:rsidRPr="005675B2">
        <w:rPr>
          <w:rFonts w:hint="cs"/>
          <w:rtl/>
        </w:rPr>
        <w:t xml:space="preserve"> فكيف بالعقيدة</w:t>
      </w:r>
      <w:r w:rsidR="000636C2">
        <w:rPr>
          <w:rFonts w:hint="cs"/>
          <w:rtl/>
        </w:rPr>
        <w:t>؟!</w:t>
      </w:r>
      <w:r w:rsidRPr="005675B2">
        <w:rPr>
          <w:rFonts w:hint="cs"/>
          <w:rtl/>
        </w:rPr>
        <w:t>وأي رأي للعامة</w:t>
      </w:r>
      <w:r w:rsidR="000636C2">
        <w:rPr>
          <w:rFonts w:hint="cs"/>
          <w:rtl/>
        </w:rPr>
        <w:t xml:space="preserve"> </w:t>
      </w:r>
      <w:r w:rsidRPr="005675B2">
        <w:rPr>
          <w:rFonts w:hint="cs"/>
          <w:rtl/>
        </w:rPr>
        <w:t>أو أنصاف المتعلمين ليقوله في نقد الفرق</w:t>
      </w:r>
      <w:r w:rsidR="000636C2">
        <w:rPr>
          <w:rFonts w:hint="cs"/>
          <w:rtl/>
        </w:rPr>
        <w:t xml:space="preserve"> </w:t>
      </w:r>
      <w:r w:rsidRPr="005675B2">
        <w:rPr>
          <w:rFonts w:hint="cs"/>
          <w:rtl/>
        </w:rPr>
        <w:t>والطوائف</w:t>
      </w:r>
      <w:r w:rsidR="000636C2">
        <w:rPr>
          <w:rFonts w:hint="cs"/>
          <w:rtl/>
        </w:rPr>
        <w:t>؟!</w:t>
      </w:r>
      <w:r w:rsidRPr="005675B2">
        <w:rPr>
          <w:rFonts w:hint="cs"/>
          <w:rtl/>
        </w:rPr>
        <w:t>!، والعبرة ليس بكون رأيه جديداً</w:t>
      </w:r>
      <w:r w:rsidR="000636C2">
        <w:rPr>
          <w:rFonts w:hint="cs"/>
          <w:rtl/>
        </w:rPr>
        <w:t>،</w:t>
      </w:r>
      <w:r w:rsidRPr="005675B2">
        <w:rPr>
          <w:rFonts w:hint="cs"/>
          <w:rtl/>
        </w:rPr>
        <w:t>بل بكونه عالم قادر على أن يخوض في مثل هذه المسائل</w:t>
      </w:r>
      <w:r w:rsidR="000636C2">
        <w:rPr>
          <w:rFonts w:hint="cs"/>
          <w:rtl/>
        </w:rPr>
        <w:t>،</w:t>
      </w:r>
      <w:r w:rsidRPr="005675B2">
        <w:rPr>
          <w:rFonts w:hint="cs"/>
          <w:rtl/>
        </w:rPr>
        <w:t xml:space="preserve"> ألست القائل في رسالتك هذه (</w:t>
      </w:r>
      <w:r w:rsidR="000636C2">
        <w:rPr>
          <w:rFonts w:hint="cs"/>
          <w:rtl/>
        </w:rPr>
        <w:t>(</w:t>
      </w:r>
      <w:r w:rsidRPr="005675B2">
        <w:rPr>
          <w:rFonts w:hint="cs"/>
          <w:rtl/>
        </w:rPr>
        <w:t>ظاهرة الإرجاء في الفكر الإسلامي</w:t>
      </w:r>
      <w:r w:rsidR="000636C2">
        <w:rPr>
          <w:rFonts w:hint="cs"/>
          <w:rtl/>
        </w:rPr>
        <w:t>)</w:t>
      </w:r>
      <w:r w:rsidRPr="005675B2">
        <w:rPr>
          <w:rFonts w:hint="cs"/>
          <w:rtl/>
        </w:rPr>
        <w:t xml:space="preserve"> ما نصه</w:t>
      </w:r>
      <w:r w:rsidR="000636C2">
        <w:rPr>
          <w:rFonts w:hint="cs"/>
          <w:rtl/>
        </w:rPr>
        <w:t>:</w:t>
      </w:r>
      <w:r w:rsidRPr="005675B2">
        <w:rPr>
          <w:rFonts w:hint="cs"/>
          <w:rtl/>
        </w:rPr>
        <w:t xml:space="preserve"> في شرحك</w:t>
      </w:r>
      <w:r w:rsidR="000636C2">
        <w:rPr>
          <w:rFonts w:hint="cs"/>
          <w:rtl/>
        </w:rPr>
        <w:t xml:space="preserve"> </w:t>
      </w:r>
      <w:r w:rsidRPr="005675B2">
        <w:rPr>
          <w:rFonts w:hint="cs"/>
          <w:rtl/>
        </w:rPr>
        <w:t>للتيار العصراني، قلت بالحرف الواحد</w:t>
      </w:r>
      <w:r w:rsidR="000636C2">
        <w:rPr>
          <w:rFonts w:hint="cs"/>
          <w:rtl/>
        </w:rPr>
        <w:t>:</w:t>
      </w:r>
      <w:r w:rsidRPr="005675B2">
        <w:rPr>
          <w:rFonts w:hint="cs"/>
          <w:rtl/>
        </w:rPr>
        <w:t xml:space="preserve"> "وهي زندقة عصرية يروّج لها عصابة من الكتّاب يتسترون بالتجديد، </w:t>
      </w:r>
      <w:r w:rsidRPr="005675B2">
        <w:rPr>
          <w:rFonts w:hint="cs"/>
          <w:u w:val="single"/>
          <w:rtl/>
        </w:rPr>
        <w:t>وفتح باب الاجتهاد لمن هب ودب</w:t>
      </w:r>
      <w:r w:rsidRPr="005675B2">
        <w:rPr>
          <w:rFonts w:hint="cs"/>
          <w:rtl/>
        </w:rPr>
        <w:t xml:space="preserve"> ..</w:t>
      </w:r>
      <w:r w:rsidR="000636C2">
        <w:rPr>
          <w:rFonts w:hint="cs"/>
          <w:rtl/>
        </w:rPr>
        <w:t>)</w:t>
      </w:r>
      <w:r w:rsidRPr="005675B2">
        <w:rPr>
          <w:rFonts w:hint="cs"/>
          <w:rtl/>
        </w:rPr>
        <w:t>) إذن كيف</w:t>
      </w:r>
      <w:r w:rsidR="000636C2">
        <w:rPr>
          <w:rFonts w:hint="cs"/>
          <w:rtl/>
        </w:rPr>
        <w:t xml:space="preserve"> </w:t>
      </w:r>
      <w:r w:rsidRPr="005675B2">
        <w:rPr>
          <w:rFonts w:hint="cs"/>
          <w:rtl/>
        </w:rPr>
        <w:t>تنهى عن خلق وتأتي مثله</w:t>
      </w:r>
      <w:r w:rsidR="000636C2">
        <w:rPr>
          <w:rFonts w:hint="cs"/>
          <w:rtl/>
        </w:rPr>
        <w:t>؟!،</w:t>
      </w:r>
      <w:r w:rsidR="000636C2">
        <w:rPr>
          <w:rFonts w:hint="cs"/>
          <w:rtl/>
          <w:lang w:bidi="ar-KW"/>
        </w:rPr>
        <w:t xml:space="preserve"> </w:t>
      </w:r>
      <w:r w:rsidRPr="005675B2">
        <w:rPr>
          <w:rFonts w:hint="cs"/>
          <w:rtl/>
        </w:rPr>
        <w:t>الثاني</w:t>
      </w:r>
      <w:r w:rsidR="000636C2">
        <w:rPr>
          <w:rFonts w:hint="cs"/>
          <w:rtl/>
        </w:rPr>
        <w:t>:</w:t>
      </w:r>
      <w:r w:rsidRPr="005675B2">
        <w:rPr>
          <w:rFonts w:hint="cs"/>
          <w:rtl/>
        </w:rPr>
        <w:t xml:space="preserve"> أنه متخصص في نقد الأشاعرة لأنه عالم بمذهبهم لكونه كان جزء من رسالته [</w:t>
      </w:r>
      <w:r w:rsidRPr="005675B2">
        <w:rPr>
          <w:rFonts w:hint="cs"/>
          <w:bCs/>
          <w:sz w:val="24"/>
          <w:szCs w:val="24"/>
          <w:rtl/>
        </w:rPr>
        <w:t>رد على رسالته هذه الدكتور</w:t>
      </w:r>
      <w:r w:rsidR="000636C2">
        <w:rPr>
          <w:rFonts w:hint="cs"/>
          <w:bCs/>
          <w:sz w:val="24"/>
          <w:szCs w:val="24"/>
          <w:rtl/>
        </w:rPr>
        <w:t>:</w:t>
      </w:r>
      <w:r w:rsidRPr="005675B2">
        <w:rPr>
          <w:rFonts w:hint="cs"/>
          <w:bCs/>
          <w:sz w:val="24"/>
          <w:szCs w:val="24"/>
          <w:rtl/>
        </w:rPr>
        <w:t xml:space="preserve"> ياسر برهامي قراءة نقدية لكتاب رظاهرة الإرجاء . ط الدار السلفية للنشر]</w:t>
      </w:r>
      <w:r w:rsidRPr="005675B2">
        <w:rPr>
          <w:rFonts w:hint="cs"/>
          <w:rtl/>
        </w:rPr>
        <w:t xml:space="preserve"> وسنرى هل دعوى</w:t>
      </w:r>
      <w:r w:rsidR="000636C2">
        <w:rPr>
          <w:rFonts w:hint="cs"/>
          <w:rtl/>
        </w:rPr>
        <w:t xml:space="preserve"> </w:t>
      </w:r>
      <w:r w:rsidRPr="005675B2">
        <w:rPr>
          <w:rFonts w:hint="cs"/>
          <w:rtl/>
        </w:rPr>
        <w:t>علمه بمذهبهم صحيحة أم لا</w:t>
      </w:r>
      <w:r w:rsidR="000636C2">
        <w:rPr>
          <w:rFonts w:hint="cs"/>
          <w:rtl/>
        </w:rPr>
        <w:t xml:space="preserve">؟ </w:t>
      </w:r>
      <w:r w:rsidRPr="005675B2">
        <w:rPr>
          <w:rFonts w:hint="cs"/>
          <w:rtl/>
        </w:rPr>
        <w:t>الثالث</w:t>
      </w:r>
      <w:r w:rsidR="000636C2">
        <w:rPr>
          <w:rFonts w:hint="cs"/>
          <w:rtl/>
        </w:rPr>
        <w:t xml:space="preserve">: </w:t>
      </w:r>
      <w:r w:rsidRPr="005675B2">
        <w:rPr>
          <w:rFonts w:hint="cs"/>
          <w:rtl/>
        </w:rPr>
        <w:t>أن السادة الأشاعرة</w:t>
      </w:r>
      <w:r w:rsidR="000636C2">
        <w:rPr>
          <w:rFonts w:hint="cs"/>
          <w:rtl/>
        </w:rPr>
        <w:t xml:space="preserve"> </w:t>
      </w:r>
      <w:r w:rsidRPr="005675B2">
        <w:rPr>
          <w:rFonts w:hint="cs"/>
          <w:rtl/>
        </w:rPr>
        <w:t>أكبر فرق المرجئة وليست أي مرجئة بل غلاة المرجئة</w:t>
      </w:r>
      <w:r w:rsidR="000636C2">
        <w:rPr>
          <w:rFonts w:hint="cs"/>
          <w:rtl/>
        </w:rPr>
        <w:t>،</w:t>
      </w:r>
      <w:r w:rsidRPr="005675B2">
        <w:rPr>
          <w:rFonts w:hint="cs"/>
          <w:rtl/>
        </w:rPr>
        <w:t xml:space="preserve"> وهذا باطل قطعاً وليس معتقد</w:t>
      </w:r>
      <w:r w:rsidR="000636C2">
        <w:rPr>
          <w:rFonts w:hint="cs"/>
          <w:rtl/>
        </w:rPr>
        <w:t xml:space="preserve"> </w:t>
      </w:r>
      <w:r w:rsidRPr="005675B2">
        <w:rPr>
          <w:rFonts w:hint="cs"/>
          <w:rtl/>
        </w:rPr>
        <w:t>علماء الأمة مسرحاً للاجتهاد من كل طالب يريد أن يأخذ منصباً أكاديمياً</w:t>
      </w:r>
      <w:r w:rsidR="000636C2">
        <w:rPr>
          <w:rFonts w:hint="cs"/>
          <w:rtl/>
        </w:rPr>
        <w:t xml:space="preserve"> </w:t>
      </w:r>
      <w:r w:rsidRPr="005675B2">
        <w:rPr>
          <w:rFonts w:hint="cs"/>
          <w:rtl/>
        </w:rPr>
        <w:t>أو شهادة</w:t>
      </w:r>
      <w:r w:rsidR="000636C2">
        <w:rPr>
          <w:rFonts w:hint="cs"/>
          <w:rtl/>
        </w:rPr>
        <w:t xml:space="preserve"> </w:t>
      </w:r>
      <w:r w:rsidRPr="005675B2">
        <w:rPr>
          <w:rFonts w:hint="cs"/>
          <w:rtl/>
        </w:rPr>
        <w:t>أو غيرها</w:t>
      </w:r>
      <w:r w:rsidR="000636C2">
        <w:rPr>
          <w:rFonts w:hint="cs"/>
          <w:rtl/>
        </w:rPr>
        <w:t>،</w:t>
      </w:r>
      <w:r w:rsidRPr="005675B2">
        <w:rPr>
          <w:rFonts w:hint="cs"/>
          <w:rtl/>
        </w:rPr>
        <w:t xml:space="preserve"> فليس الأمر بالتجارب</w:t>
      </w:r>
      <w:r w:rsidR="000636C2">
        <w:rPr>
          <w:rFonts w:hint="cs"/>
          <w:rtl/>
        </w:rPr>
        <w:t>،</w:t>
      </w:r>
      <w:r w:rsidRPr="005675B2">
        <w:rPr>
          <w:rFonts w:hint="cs"/>
          <w:rtl/>
        </w:rPr>
        <w:t xml:space="preserve"> فيقول قائلهم</w:t>
      </w:r>
      <w:r w:rsidR="000636C2">
        <w:rPr>
          <w:rFonts w:hint="cs"/>
          <w:rtl/>
        </w:rPr>
        <w:t>:</w:t>
      </w:r>
      <w:r w:rsidRPr="005675B2">
        <w:rPr>
          <w:rFonts w:hint="cs"/>
          <w:rtl/>
        </w:rPr>
        <w:t xml:space="preserve"> نجرب نقد جمهور علماء الأمة</w:t>
      </w:r>
      <w:r w:rsidR="000636C2">
        <w:rPr>
          <w:rFonts w:hint="cs"/>
          <w:rtl/>
        </w:rPr>
        <w:t xml:space="preserve"> </w:t>
      </w:r>
      <w:r w:rsidRPr="005675B2">
        <w:rPr>
          <w:rFonts w:hint="cs"/>
          <w:rtl/>
        </w:rPr>
        <w:t>فإن أصبنا وإلا فهو مجرد نقاش ووجهات نظر</w:t>
      </w:r>
      <w:r w:rsidR="000636C2">
        <w:rPr>
          <w:rFonts w:hint="cs"/>
          <w:rtl/>
        </w:rPr>
        <w:t xml:space="preserve">، </w:t>
      </w:r>
      <w:r w:rsidRPr="005675B2">
        <w:rPr>
          <w:rFonts w:hint="cs"/>
          <w:rtl/>
        </w:rPr>
        <w:t>لأن</w:t>
      </w:r>
      <w:r w:rsidR="000636C2">
        <w:rPr>
          <w:rFonts w:hint="cs"/>
          <w:rtl/>
        </w:rPr>
        <w:t xml:space="preserve"> </w:t>
      </w:r>
      <w:r w:rsidRPr="005675B2">
        <w:rPr>
          <w:rFonts w:hint="cs"/>
          <w:rtl/>
        </w:rPr>
        <w:t>عقائد علماء الأمة يا بني الإسلام ليست مسرحاً لذلك</w:t>
      </w:r>
      <w:r w:rsidR="000636C2">
        <w:rPr>
          <w:rFonts w:hint="cs"/>
          <w:rtl/>
        </w:rPr>
        <w:t>،</w:t>
      </w:r>
    </w:p>
    <w:p w14:paraId="43AB4D66" w14:textId="21EFA0E7" w:rsidR="009C32A0" w:rsidRPr="005675B2" w:rsidRDefault="009C32A0" w:rsidP="000636C2">
      <w:pPr>
        <w:rPr>
          <w:b/>
          <w:rtl/>
        </w:rPr>
      </w:pPr>
      <w:r w:rsidRPr="005675B2">
        <w:rPr>
          <w:rFonts w:hint="cs"/>
          <w:bCs/>
          <w:rtl/>
        </w:rPr>
        <w:t>قال الحوالي</w:t>
      </w:r>
      <w:r w:rsidR="000636C2">
        <w:rPr>
          <w:rFonts w:hint="cs"/>
          <w:rtl/>
        </w:rPr>
        <w:t>:</w:t>
      </w:r>
      <w:r w:rsidRPr="005675B2">
        <w:rPr>
          <w:rFonts w:hint="cs"/>
          <w:rtl/>
        </w:rPr>
        <w:t xml:space="preserve"> إنها مسألة مذهب بدعي له وجوده الواقعي الضخم في الفكر الإسلامي حيث تمتلئ به</w:t>
      </w:r>
      <w:r w:rsidRPr="005675B2">
        <w:rPr>
          <w:rFonts w:hint="cs"/>
        </w:rPr>
        <w:t xml:space="preserve"> </w:t>
      </w:r>
      <w:r w:rsidRPr="005675B2">
        <w:rPr>
          <w:rFonts w:hint="cs"/>
          <w:rtl/>
        </w:rPr>
        <w:t>كثير من كتب التفسير وشروح الحديث وكتب اللغة والبلاغة والأصول</w:t>
      </w:r>
      <w:r w:rsidR="000636C2">
        <w:rPr>
          <w:rFonts w:hint="cs"/>
          <w:rtl/>
        </w:rPr>
        <w:t>،</w:t>
      </w:r>
      <w:r w:rsidRPr="005675B2">
        <w:rPr>
          <w:rFonts w:hint="cs"/>
          <w:rtl/>
        </w:rPr>
        <w:t xml:space="preserve"> فضلاً عن كتب</w:t>
      </w:r>
      <w:r w:rsidRPr="005675B2">
        <w:rPr>
          <w:rFonts w:hint="cs"/>
        </w:rPr>
        <w:t xml:space="preserve"> </w:t>
      </w:r>
      <w:r w:rsidRPr="005675B2">
        <w:rPr>
          <w:rFonts w:hint="cs"/>
          <w:rtl/>
        </w:rPr>
        <w:t>العقائد والفكر</w:t>
      </w:r>
      <w:r w:rsidR="000636C2">
        <w:rPr>
          <w:rFonts w:hint="cs"/>
          <w:rtl/>
        </w:rPr>
        <w:t>،</w:t>
      </w:r>
      <w:r w:rsidRPr="005675B2">
        <w:rPr>
          <w:rFonts w:hint="cs"/>
          <w:rtl/>
        </w:rPr>
        <w:t xml:space="preserve"> كما أن له جامعاته الكبرى ومعاهده المنتشرة في أكثر بلاد الإسلام</w:t>
      </w:r>
      <w:r w:rsidRPr="005675B2">
        <w:rPr>
          <w:rFonts w:hint="cs"/>
        </w:rPr>
        <w:t xml:space="preserve"> </w:t>
      </w:r>
      <w:r w:rsidRPr="005675B2">
        <w:rPr>
          <w:rFonts w:hint="cs"/>
          <w:rtl/>
        </w:rPr>
        <w:t>من الفلبين إلى السنغال</w:t>
      </w:r>
      <w:r w:rsidR="000636C2">
        <w:rPr>
          <w:rFonts w:hint="cs"/>
          <w:rtl/>
        </w:rPr>
        <w:t>،</w:t>
      </w:r>
    </w:p>
    <w:p w14:paraId="1DC50F15" w14:textId="72CA3C81" w:rsidR="009C32A0" w:rsidRPr="005675B2" w:rsidRDefault="009C32A0" w:rsidP="000636C2">
      <w:pPr>
        <w:rPr>
          <w:b/>
          <w:rtl/>
        </w:rPr>
      </w:pPr>
      <w:r w:rsidRPr="005675B2">
        <w:rPr>
          <w:rFonts w:hint="cs"/>
          <w:rtl/>
        </w:rPr>
        <w:t>هنا ذكر الكاتب أموراً صحيحة وأموراً باطلة</w:t>
      </w:r>
      <w:r w:rsidR="000636C2">
        <w:rPr>
          <w:rFonts w:hint="cs"/>
          <w:rtl/>
        </w:rPr>
        <w:t>:</w:t>
      </w:r>
      <w:r w:rsidRPr="005675B2">
        <w:rPr>
          <w:rFonts w:hint="cs"/>
          <w:rtl/>
        </w:rPr>
        <w:t xml:space="preserve"> </w:t>
      </w:r>
    </w:p>
    <w:p w14:paraId="2BE067FB" w14:textId="358D45EA"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xml:space="preserve">- فقوله </w:t>
      </w:r>
      <w:r w:rsidR="000636C2">
        <w:rPr>
          <w:rFonts w:hint="cs"/>
          <w:rtl/>
        </w:rPr>
        <w:t>(</w:t>
      </w:r>
      <w:r w:rsidRPr="005675B2">
        <w:rPr>
          <w:rFonts w:hint="cs"/>
          <w:rtl/>
        </w:rPr>
        <w:t>أنه مذهب بدعي</w:t>
      </w:r>
      <w:r w:rsidR="000636C2">
        <w:rPr>
          <w:rFonts w:hint="cs"/>
          <w:rtl/>
        </w:rPr>
        <w:t>)</w:t>
      </w:r>
      <w:r w:rsidRPr="005675B2">
        <w:rPr>
          <w:rFonts w:hint="cs"/>
          <w:rtl/>
        </w:rPr>
        <w:t>فهذا باطل بلا ريب بل هو مذهب عقدي سني تميز بتفصيل المسائل التي أجمل فيهامن سبقهم من علماء أهل السنة والجماعة</w:t>
      </w:r>
      <w:r w:rsidR="000636C2">
        <w:rPr>
          <w:rFonts w:hint="cs"/>
          <w:rtl/>
        </w:rPr>
        <w:t>،</w:t>
      </w:r>
      <w:r w:rsidRPr="005675B2">
        <w:rPr>
          <w:rFonts w:hint="cs"/>
          <w:rtl/>
        </w:rPr>
        <w:t>فحفظ الله به عقيدة أهل الحق والسنة في مشرق الأرض ومغربها</w:t>
      </w:r>
      <w:r w:rsidR="000636C2">
        <w:rPr>
          <w:rFonts w:hint="cs"/>
          <w:rtl/>
        </w:rPr>
        <w:t xml:space="preserve">، </w:t>
      </w:r>
      <w:r w:rsidRPr="005675B2">
        <w:rPr>
          <w:rFonts w:hint="cs"/>
          <w:rtl/>
        </w:rPr>
        <w:t>وإذا قال قائل</w:t>
      </w:r>
      <w:r w:rsidR="000636C2">
        <w:rPr>
          <w:rFonts w:hint="cs"/>
          <w:rtl/>
        </w:rPr>
        <w:t>:</w:t>
      </w:r>
      <w:r w:rsidRPr="005675B2">
        <w:rPr>
          <w:rFonts w:hint="cs"/>
          <w:rtl/>
        </w:rPr>
        <w:t xml:space="preserve"> أن علماء أهل السنة والجماعة من الأشعرية مبتدعة في العقيدة فهذا يعني إما بدعة مفسقة</w:t>
      </w:r>
      <w:r w:rsidR="000636C2">
        <w:rPr>
          <w:rFonts w:hint="cs"/>
          <w:rtl/>
        </w:rPr>
        <w:t>،</w:t>
      </w:r>
      <w:r w:rsidRPr="005675B2">
        <w:rPr>
          <w:rFonts w:hint="cs"/>
          <w:rtl/>
        </w:rPr>
        <w:t>أو مكفرة</w:t>
      </w:r>
      <w:r w:rsidR="000636C2">
        <w:rPr>
          <w:rFonts w:hint="cs"/>
          <w:rtl/>
        </w:rPr>
        <w:t>،</w:t>
      </w:r>
      <w:r w:rsidRPr="005675B2">
        <w:rPr>
          <w:rFonts w:hint="cs"/>
          <w:rtl/>
        </w:rPr>
        <w:t xml:space="preserve"> ولا خيار غير ذلك عند العلماء</w:t>
      </w:r>
      <w:r w:rsidR="000636C2">
        <w:rPr>
          <w:rFonts w:hint="cs"/>
          <w:rtl/>
        </w:rPr>
        <w:t>،</w:t>
      </w:r>
      <w:r w:rsidRPr="005675B2">
        <w:rPr>
          <w:rFonts w:hint="cs"/>
          <w:rtl/>
        </w:rPr>
        <w:t xml:space="preserve"> فإن زاد فوق ذلك أن الماتريدية مبتدعة ضلال</w:t>
      </w:r>
      <w:r w:rsidR="000636C2">
        <w:rPr>
          <w:rFonts w:hint="cs"/>
          <w:rtl/>
        </w:rPr>
        <w:t>،</w:t>
      </w:r>
      <w:r w:rsidRPr="005675B2">
        <w:rPr>
          <w:rFonts w:hint="cs"/>
          <w:rtl/>
        </w:rPr>
        <w:t>والمفوضة من الحنابلة وغيرهم ضّلال</w:t>
      </w:r>
      <w:r w:rsidR="000636C2">
        <w:rPr>
          <w:rFonts w:hint="cs"/>
          <w:rtl/>
        </w:rPr>
        <w:t>،</w:t>
      </w:r>
      <w:r w:rsidRPr="005675B2">
        <w:rPr>
          <w:rFonts w:hint="cs"/>
          <w:rtl/>
        </w:rPr>
        <w:t>فكيف نثق بدين حمله إلينا الفسقة على أقل أحوال الحكم</w:t>
      </w:r>
      <w:r w:rsidR="000636C2">
        <w:rPr>
          <w:rFonts w:hint="cs"/>
          <w:rtl/>
        </w:rPr>
        <w:t>؟!</w:t>
      </w:r>
      <w:r w:rsidRPr="005675B2">
        <w:rPr>
          <w:rFonts w:hint="cs"/>
          <w:rtl/>
        </w:rPr>
        <w:t>فإن قال أحدهم</w:t>
      </w:r>
      <w:r w:rsidR="000636C2">
        <w:rPr>
          <w:rFonts w:hint="cs"/>
          <w:rtl/>
        </w:rPr>
        <w:t xml:space="preserve"> </w:t>
      </w:r>
      <w:r w:rsidRPr="005675B2">
        <w:rPr>
          <w:rFonts w:hint="cs"/>
          <w:rtl/>
        </w:rPr>
        <w:t>أنا</w:t>
      </w:r>
      <w:r w:rsidR="000636C2">
        <w:rPr>
          <w:rFonts w:hint="cs"/>
          <w:rtl/>
        </w:rPr>
        <w:t xml:space="preserve"> </w:t>
      </w:r>
      <w:r w:rsidRPr="005675B2">
        <w:rPr>
          <w:rFonts w:hint="cs"/>
          <w:rtl/>
        </w:rPr>
        <w:t>لا أفسقهم</w:t>
      </w:r>
      <w:r w:rsidR="000636C2">
        <w:rPr>
          <w:rFonts w:hint="cs"/>
          <w:rtl/>
        </w:rPr>
        <w:t xml:space="preserve"> </w:t>
      </w:r>
      <w:r w:rsidRPr="005675B2">
        <w:rPr>
          <w:rFonts w:hint="cs"/>
          <w:rtl/>
        </w:rPr>
        <w:t>بأعيانهم</w:t>
      </w:r>
      <w:r w:rsidR="000636C2">
        <w:rPr>
          <w:rFonts w:hint="cs"/>
          <w:rtl/>
        </w:rPr>
        <w:t xml:space="preserve"> </w:t>
      </w:r>
      <w:r w:rsidRPr="005675B2">
        <w:rPr>
          <w:rFonts w:hint="cs"/>
          <w:rtl/>
        </w:rPr>
        <w:t>أو لا</w:t>
      </w:r>
      <w:r w:rsidR="000636C2">
        <w:rPr>
          <w:rFonts w:hint="cs"/>
          <w:rtl/>
        </w:rPr>
        <w:t xml:space="preserve"> </w:t>
      </w:r>
      <w:r w:rsidRPr="005675B2">
        <w:rPr>
          <w:rFonts w:hint="cs"/>
          <w:rtl/>
        </w:rPr>
        <w:t>أكفرهم</w:t>
      </w:r>
      <w:r w:rsidR="000636C2">
        <w:rPr>
          <w:rFonts w:hint="cs"/>
          <w:rtl/>
        </w:rPr>
        <w:t xml:space="preserve"> </w:t>
      </w:r>
      <w:r w:rsidRPr="005675B2">
        <w:rPr>
          <w:rFonts w:hint="cs"/>
          <w:rtl/>
        </w:rPr>
        <w:t>بأعيانهم</w:t>
      </w:r>
      <w:r w:rsidR="000636C2">
        <w:rPr>
          <w:rFonts w:hint="cs"/>
          <w:rtl/>
        </w:rPr>
        <w:t xml:space="preserve"> </w:t>
      </w:r>
      <w:r w:rsidRPr="005675B2">
        <w:rPr>
          <w:rFonts w:hint="cs"/>
          <w:rtl/>
        </w:rPr>
        <w:t>وإنما أنا أتكلم عن الفعل فقط</w:t>
      </w:r>
      <w:r w:rsidR="000636C2">
        <w:rPr>
          <w:rFonts w:hint="cs"/>
          <w:rtl/>
        </w:rPr>
        <w:t>،</w:t>
      </w:r>
      <w:r w:rsidRPr="005675B2">
        <w:rPr>
          <w:rFonts w:hint="cs"/>
          <w:rtl/>
        </w:rPr>
        <w:t xml:space="preserve"> فكلامه باطل لسببين</w:t>
      </w:r>
      <w:r w:rsidR="000636C2">
        <w:rPr>
          <w:rFonts w:hint="cs"/>
          <w:rtl/>
        </w:rPr>
        <w:t xml:space="preserve">: </w:t>
      </w:r>
      <w:r w:rsidRPr="005675B2">
        <w:rPr>
          <w:rFonts w:hint="cs"/>
          <w:rtl/>
        </w:rPr>
        <w:t>السبب الأول</w:t>
      </w:r>
      <w:r w:rsidR="000636C2">
        <w:rPr>
          <w:rFonts w:hint="cs"/>
          <w:rtl/>
        </w:rPr>
        <w:t>:</w:t>
      </w:r>
      <w:r w:rsidRPr="005675B2">
        <w:rPr>
          <w:rFonts w:hint="cs"/>
          <w:rtl/>
        </w:rPr>
        <w:t xml:space="preserve"> أن الكلام عن جماعة </w:t>
      </w:r>
      <w:r w:rsidRPr="005675B2">
        <w:rPr>
          <w:rFonts w:hint="cs"/>
          <w:u w:val="single"/>
          <w:rtl/>
        </w:rPr>
        <w:t>معينة معلومة</w:t>
      </w:r>
      <w:r w:rsidRPr="005675B2">
        <w:rPr>
          <w:rFonts w:hint="cs"/>
          <w:rtl/>
        </w:rPr>
        <w:t xml:space="preserve"> وهم السادة الأشاعرة</w:t>
      </w:r>
      <w:r w:rsidR="000636C2">
        <w:rPr>
          <w:rFonts w:hint="cs"/>
          <w:rtl/>
        </w:rPr>
        <w:t>،</w:t>
      </w:r>
      <w:r w:rsidRPr="005675B2">
        <w:rPr>
          <w:rFonts w:hint="cs"/>
          <w:rtl/>
        </w:rPr>
        <w:t xml:space="preserve"> الثاني</w:t>
      </w:r>
      <w:r w:rsidR="000636C2">
        <w:rPr>
          <w:rFonts w:hint="cs"/>
          <w:rtl/>
        </w:rPr>
        <w:t>:</w:t>
      </w:r>
      <w:r w:rsidRPr="005675B2">
        <w:rPr>
          <w:rFonts w:hint="cs"/>
          <w:rtl/>
        </w:rPr>
        <w:t xml:space="preserve"> أن الحكم على الفعل بكونه كفر مع عدم تكفير صاحبه أو أنه فسق مع عدم تفسيق</w:t>
      </w:r>
      <w:r w:rsidR="000636C2">
        <w:rPr>
          <w:rFonts w:hint="cs"/>
          <w:rtl/>
        </w:rPr>
        <w:t xml:space="preserve"> </w:t>
      </w:r>
      <w:r w:rsidRPr="005675B2">
        <w:rPr>
          <w:rFonts w:hint="cs"/>
          <w:rtl/>
        </w:rPr>
        <w:t>صاحبه يتبعه أحكام شرعية مبسوطة في كتب الفقهاء فكيف وقدأخرجهم من الفرقة الناجية</w:t>
      </w:r>
      <w:r w:rsidR="000636C2">
        <w:rPr>
          <w:rFonts w:hint="cs"/>
          <w:rtl/>
        </w:rPr>
        <w:t>؟!</w:t>
      </w:r>
      <w:r w:rsidRPr="005675B2">
        <w:rPr>
          <w:rFonts w:hint="cs"/>
          <w:rtl/>
        </w:rPr>
        <w:t>،وسيأتي بيان الفرقة الناجية إن شاءالله تعالى</w:t>
      </w:r>
      <w:r w:rsidR="000636C2">
        <w:rPr>
          <w:rFonts w:hint="cs"/>
          <w:rtl/>
        </w:rPr>
        <w:t>،</w:t>
      </w:r>
    </w:p>
    <w:p w14:paraId="5B01C95F" w14:textId="6A980C3A"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قول الحوالي</w:t>
      </w:r>
      <w:r w:rsidR="000636C2">
        <w:rPr>
          <w:rFonts w:hint="cs"/>
          <w:rtl/>
        </w:rPr>
        <w:t>:</w:t>
      </w:r>
      <w:r w:rsidRPr="005675B2">
        <w:rPr>
          <w:rFonts w:hint="cs"/>
          <w:rtl/>
        </w:rPr>
        <w:t xml:space="preserve"> (</w:t>
      </w:r>
      <w:r w:rsidR="000636C2">
        <w:rPr>
          <w:rFonts w:hint="cs"/>
          <w:rtl/>
        </w:rPr>
        <w:t>(</w:t>
      </w:r>
      <w:r w:rsidRPr="005675B2">
        <w:rPr>
          <w:rFonts w:hint="cs"/>
          <w:rtl/>
        </w:rPr>
        <w:t>أن معتقد الأشاعرة له وجوده الواقعي الضخم في الفكر الإسلامي حيث تمتلئ به</w:t>
      </w:r>
      <w:r w:rsidRPr="005675B2">
        <w:rPr>
          <w:rFonts w:hint="cs"/>
        </w:rPr>
        <w:t xml:space="preserve"> </w:t>
      </w:r>
      <w:r w:rsidRPr="005675B2">
        <w:rPr>
          <w:rFonts w:hint="cs"/>
          <w:rtl/>
        </w:rPr>
        <w:t>كثير من كتب التفسير وشروح الحديث .. ..</w:t>
      </w:r>
      <w:r w:rsidR="000636C2">
        <w:rPr>
          <w:rFonts w:hint="cs"/>
          <w:rtl/>
        </w:rPr>
        <w:t>،</w:t>
      </w:r>
      <w:r w:rsidRPr="005675B2">
        <w:rPr>
          <w:rFonts w:hint="cs"/>
          <w:rtl/>
        </w:rPr>
        <w:t xml:space="preserve"> ومعاهده المنتشرة في أكثر بلاد الإسلام</w:t>
      </w:r>
      <w:r w:rsidRPr="005675B2">
        <w:rPr>
          <w:rFonts w:hint="cs"/>
        </w:rPr>
        <w:t xml:space="preserve"> </w:t>
      </w:r>
      <w:r w:rsidRPr="005675B2">
        <w:rPr>
          <w:rFonts w:hint="cs"/>
          <w:rtl/>
        </w:rPr>
        <w:t>من الفلبين إلى السنغال</w:t>
      </w:r>
      <w:r w:rsidR="000636C2">
        <w:rPr>
          <w:rFonts w:hint="cs"/>
          <w:rtl/>
        </w:rPr>
        <w:t>،)</w:t>
      </w:r>
      <w:r w:rsidRPr="005675B2">
        <w:rPr>
          <w:rFonts w:hint="cs"/>
          <w:rtl/>
        </w:rPr>
        <w:t>)</w:t>
      </w:r>
      <w:r w:rsidR="000636C2">
        <w:rPr>
          <w:rFonts w:hint="cs"/>
          <w:rtl/>
        </w:rPr>
        <w:t>،</w:t>
      </w:r>
      <w:r w:rsidRPr="005675B2">
        <w:rPr>
          <w:rFonts w:hint="cs"/>
          <w:rtl/>
        </w:rPr>
        <w:t xml:space="preserve"> أقول</w:t>
      </w:r>
      <w:r w:rsidR="000636C2">
        <w:rPr>
          <w:rFonts w:hint="cs"/>
          <w:rtl/>
        </w:rPr>
        <w:t>:</w:t>
      </w:r>
      <w:r w:rsidRPr="005675B2">
        <w:rPr>
          <w:rFonts w:hint="cs"/>
          <w:rtl/>
        </w:rPr>
        <w:t xml:space="preserve"> هذا صحيح ولله الحمد</w:t>
      </w:r>
      <w:r w:rsidR="000636C2">
        <w:rPr>
          <w:rFonts w:hint="cs"/>
          <w:rtl/>
        </w:rPr>
        <w:t>،</w:t>
      </w:r>
      <w:r w:rsidRPr="005675B2">
        <w:rPr>
          <w:rFonts w:hint="cs"/>
          <w:rtl/>
        </w:rPr>
        <w:t>وليس مشكلة خطيرة</w:t>
      </w:r>
      <w:r w:rsidR="000636C2">
        <w:rPr>
          <w:rFonts w:hint="cs"/>
          <w:rtl/>
        </w:rPr>
        <w:t>،</w:t>
      </w:r>
      <w:r w:rsidRPr="005675B2">
        <w:rPr>
          <w:rFonts w:hint="cs"/>
          <w:rtl/>
        </w:rPr>
        <w:t xml:space="preserve"> بل هو امتداد طبيعي لحفظ دين الله</w:t>
      </w:r>
      <w:r w:rsidR="000636C2">
        <w:rPr>
          <w:rFonts w:hint="cs"/>
          <w:rtl/>
        </w:rPr>
        <w:t>،</w:t>
      </w:r>
    </w:p>
    <w:p w14:paraId="6E971C66" w14:textId="7F011D5F" w:rsidR="009C32A0" w:rsidRPr="005675B2" w:rsidRDefault="000636C2" w:rsidP="000636C2">
      <w:pPr>
        <w:rPr>
          <w:rtl/>
        </w:rPr>
      </w:pPr>
      <w:r>
        <w:rPr>
          <w:rFonts w:hint="cs"/>
          <w:bCs/>
          <w:rtl/>
        </w:rPr>
        <w:t>(</w:t>
      </w:r>
      <w:r w:rsidR="009C32A0">
        <w:rPr>
          <w:rFonts w:hint="cs"/>
          <w:bCs/>
          <w:rtl/>
        </w:rPr>
        <w:t>تنبيه</w:t>
      </w:r>
      <w:r>
        <w:rPr>
          <w:rFonts w:hint="cs"/>
          <w:bCs/>
          <w:rtl/>
        </w:rPr>
        <w:t>)</w:t>
      </w:r>
      <w:r>
        <w:rPr>
          <w:rFonts w:hint="cs"/>
          <w:rtl/>
        </w:rPr>
        <w:t>:</w:t>
      </w:r>
      <w:r w:rsidR="009C32A0" w:rsidRPr="005675B2">
        <w:rPr>
          <w:rFonts w:hint="cs"/>
          <w:rtl/>
        </w:rPr>
        <w:t xml:space="preserve"> أعجب للدكتور عبدالله الموجان في رده على الشيخ عمر كامل</w:t>
      </w:r>
      <w:r>
        <w:rPr>
          <w:rFonts w:hint="cs"/>
          <w:rtl/>
        </w:rPr>
        <w:t>،</w:t>
      </w:r>
      <w:r w:rsidR="009C32A0" w:rsidRPr="005675B2">
        <w:rPr>
          <w:rFonts w:hint="cs"/>
          <w:rtl/>
        </w:rPr>
        <w:t>حيث أسقط الموجان هداه الله هذه الجملة التي أستشهد بها كامل على أن الحوالي مقر</w:t>
      </w:r>
      <w:r>
        <w:rPr>
          <w:rFonts w:hint="cs"/>
          <w:rtl/>
        </w:rPr>
        <w:t xml:space="preserve"> </w:t>
      </w:r>
      <w:r w:rsidR="009C32A0" w:rsidRPr="005675B2">
        <w:rPr>
          <w:rFonts w:hint="cs"/>
          <w:rtl/>
        </w:rPr>
        <w:t>بأن الأشاعرة هم جمهور الأمة</w:t>
      </w:r>
      <w:r>
        <w:rPr>
          <w:rFonts w:hint="cs"/>
          <w:rtl/>
        </w:rPr>
        <w:t>،</w:t>
      </w:r>
      <w:r w:rsidR="009C32A0" w:rsidRPr="005675B2">
        <w:rPr>
          <w:rFonts w:hint="cs"/>
          <w:rtl/>
        </w:rPr>
        <w:t xml:space="preserve"> فقال الموجان</w:t>
      </w:r>
      <w:r>
        <w:rPr>
          <w:rFonts w:hint="cs"/>
          <w:rtl/>
        </w:rPr>
        <w:t>:</w:t>
      </w:r>
      <w:r w:rsidR="009C32A0" w:rsidRPr="005675B2">
        <w:rPr>
          <w:rFonts w:hint="cs"/>
          <w:rtl/>
        </w:rPr>
        <w:t xml:space="preserve"> أن الدكتور سفر</w:t>
      </w:r>
      <w:r>
        <w:rPr>
          <w:rFonts w:hint="cs"/>
          <w:rtl/>
        </w:rPr>
        <w:t xml:space="preserve"> </w:t>
      </w:r>
      <w:r w:rsidR="009C32A0" w:rsidRPr="005675B2">
        <w:rPr>
          <w:rFonts w:hint="cs"/>
          <w:rtl/>
        </w:rPr>
        <w:t xml:space="preserve">يذكر عن المذهب الأشعري أنه </w:t>
      </w:r>
      <w:r>
        <w:rPr>
          <w:rFonts w:hint="cs"/>
          <w:rtl/>
        </w:rPr>
        <w:t>(</w:t>
      </w:r>
      <w:r w:rsidR="009C32A0" w:rsidRPr="005675B2">
        <w:rPr>
          <w:rFonts w:hint="cs"/>
          <w:rtl/>
        </w:rPr>
        <w:t>مذهب بدعي له وجوده الواقعي الضخم في الفكر الإسلامي</w:t>
      </w:r>
      <w:r>
        <w:rPr>
          <w:rFonts w:hint="cs"/>
          <w:rtl/>
        </w:rPr>
        <w:t>)</w:t>
      </w:r>
      <w:r w:rsidR="009C32A0" w:rsidRPr="005675B2">
        <w:rPr>
          <w:rFonts w:hint="cs"/>
          <w:rtl/>
        </w:rPr>
        <w:t xml:space="preserve"> ولم يذكر جملة جمهور الأمة من قريب</w:t>
      </w:r>
      <w:r>
        <w:rPr>
          <w:rFonts w:hint="cs"/>
          <w:rtl/>
        </w:rPr>
        <w:t>،</w:t>
      </w:r>
      <w:r w:rsidR="009C32A0" w:rsidRPr="005675B2">
        <w:rPr>
          <w:rFonts w:hint="cs"/>
          <w:rtl/>
        </w:rPr>
        <w:t xml:space="preserve"> ولا من بعيد</w:t>
      </w:r>
      <w:r>
        <w:rPr>
          <w:rFonts w:hint="cs"/>
          <w:rtl/>
        </w:rPr>
        <w:t>،</w:t>
      </w:r>
      <w:r w:rsidR="009C32A0" w:rsidRPr="005675B2">
        <w:rPr>
          <w:rFonts w:hint="cs"/>
          <w:rtl/>
        </w:rPr>
        <w:t xml:space="preserve"> أهـ</w:t>
      </w:r>
      <w:r>
        <w:rPr>
          <w:rFonts w:hint="cs"/>
          <w:rtl/>
        </w:rPr>
        <w:t>،</w:t>
      </w:r>
      <w:r w:rsidR="009C32A0" w:rsidRPr="005675B2">
        <w:rPr>
          <w:rFonts w:hint="cs"/>
          <w:rtl/>
        </w:rPr>
        <w:t>وفعله هذا</w:t>
      </w:r>
      <w:r>
        <w:rPr>
          <w:rFonts w:hint="cs"/>
          <w:rtl/>
        </w:rPr>
        <w:t xml:space="preserve"> </w:t>
      </w:r>
      <w:r w:rsidR="009C32A0" w:rsidRPr="005675B2">
        <w:rPr>
          <w:rFonts w:hint="cs"/>
          <w:rtl/>
        </w:rPr>
        <w:t>مغالطة مكشوفة</w:t>
      </w:r>
      <w:r>
        <w:rPr>
          <w:rFonts w:hint="cs"/>
          <w:rtl/>
        </w:rPr>
        <w:t xml:space="preserve"> </w:t>
      </w:r>
      <w:r w:rsidR="009C32A0" w:rsidRPr="005675B2">
        <w:rPr>
          <w:rFonts w:hint="cs"/>
          <w:rtl/>
        </w:rPr>
        <w:t>لأنه بتر لكلام الحوالي الذي كان هو موطن</w:t>
      </w:r>
      <w:r>
        <w:rPr>
          <w:rFonts w:hint="cs"/>
          <w:rtl/>
        </w:rPr>
        <w:t xml:space="preserve"> </w:t>
      </w:r>
      <w:r w:rsidR="009C32A0" w:rsidRPr="005675B2">
        <w:rPr>
          <w:rFonts w:hint="cs"/>
          <w:rtl/>
        </w:rPr>
        <w:t>الشاهد في كلام الشيخ عمر كامل</w:t>
      </w:r>
      <w:r>
        <w:rPr>
          <w:rFonts w:hint="cs"/>
          <w:rtl/>
        </w:rPr>
        <w:t xml:space="preserve"> </w:t>
      </w:r>
      <w:r w:rsidR="009C32A0" w:rsidRPr="005675B2">
        <w:rPr>
          <w:rFonts w:hint="cs"/>
          <w:rtl/>
        </w:rPr>
        <w:t>فدقق النظر في قول الحوالي</w:t>
      </w:r>
      <w:r>
        <w:rPr>
          <w:rFonts w:hint="cs"/>
          <w:rtl/>
        </w:rPr>
        <w:t>:(</w:t>
      </w:r>
      <w:r w:rsidR="009C32A0" w:rsidRPr="005675B2">
        <w:rPr>
          <w:rFonts w:hint="cs"/>
          <w:rtl/>
        </w:rPr>
        <w:t xml:space="preserve">حيث تمتلئ </w:t>
      </w:r>
      <w:r w:rsidR="009C32A0" w:rsidRPr="005675B2">
        <w:rPr>
          <w:rFonts w:hint="cs"/>
          <w:i/>
          <w:iCs/>
          <w:rtl/>
        </w:rPr>
        <w:t>به</w:t>
      </w:r>
      <w:r w:rsidR="009C32A0" w:rsidRPr="005675B2">
        <w:rPr>
          <w:rFonts w:hint="cs"/>
          <w:i/>
          <w:iCs/>
        </w:rPr>
        <w:t xml:space="preserve"> </w:t>
      </w:r>
      <w:r w:rsidR="009C32A0" w:rsidRPr="005675B2">
        <w:rPr>
          <w:rFonts w:hint="cs"/>
          <w:i/>
          <w:iCs/>
          <w:u w:val="single"/>
          <w:rtl/>
        </w:rPr>
        <w:t>كثير</w:t>
      </w:r>
      <w:r w:rsidR="009C32A0" w:rsidRPr="005675B2">
        <w:rPr>
          <w:rFonts w:hint="cs"/>
          <w:u w:val="single"/>
          <w:rtl/>
        </w:rPr>
        <w:t xml:space="preserve"> </w:t>
      </w:r>
      <w:r w:rsidR="009C32A0" w:rsidRPr="005675B2">
        <w:rPr>
          <w:rFonts w:hint="cs"/>
          <w:rtl/>
        </w:rPr>
        <w:t>من كتب التفسير وشروح الحديث وكتب اللغة والبلاغة والأصول</w:t>
      </w:r>
      <w:r>
        <w:rPr>
          <w:rFonts w:hint="cs"/>
          <w:rtl/>
        </w:rPr>
        <w:t>،</w:t>
      </w:r>
      <w:r w:rsidR="009C32A0" w:rsidRPr="005675B2">
        <w:rPr>
          <w:rFonts w:hint="cs"/>
          <w:rtl/>
        </w:rPr>
        <w:t xml:space="preserve"> فضلاً عن كتب</w:t>
      </w:r>
      <w:r w:rsidR="009C32A0" w:rsidRPr="005675B2">
        <w:rPr>
          <w:rFonts w:hint="cs"/>
        </w:rPr>
        <w:t xml:space="preserve"> </w:t>
      </w:r>
      <w:r w:rsidR="009C32A0" w:rsidRPr="005675B2">
        <w:rPr>
          <w:rFonts w:hint="cs"/>
          <w:rtl/>
        </w:rPr>
        <w:t>العقائد والفكر</w:t>
      </w:r>
      <w:r>
        <w:rPr>
          <w:rFonts w:hint="cs"/>
          <w:rtl/>
        </w:rPr>
        <w:t>،</w:t>
      </w:r>
      <w:r w:rsidR="009C32A0" w:rsidRPr="005675B2">
        <w:rPr>
          <w:rFonts w:hint="cs"/>
          <w:rtl/>
        </w:rPr>
        <w:t xml:space="preserve"> كما أن له جامعاته الكبرى ومعاهده المنتشرة </w:t>
      </w:r>
      <w:r w:rsidR="009C32A0" w:rsidRPr="005675B2">
        <w:rPr>
          <w:rFonts w:hint="cs"/>
          <w:u w:val="single"/>
          <w:rtl/>
        </w:rPr>
        <w:t>في أكثر بلاد الإسلام</w:t>
      </w:r>
      <w:r w:rsidR="009C32A0" w:rsidRPr="005675B2">
        <w:rPr>
          <w:rFonts w:hint="cs"/>
          <w:u w:val="single"/>
        </w:rPr>
        <w:t xml:space="preserve"> </w:t>
      </w:r>
      <w:r w:rsidR="009C32A0" w:rsidRPr="005675B2">
        <w:rPr>
          <w:rFonts w:hint="cs"/>
          <w:u w:val="single"/>
          <w:rtl/>
        </w:rPr>
        <w:t>من الفلبين إلى السنغال</w:t>
      </w:r>
      <w:r>
        <w:rPr>
          <w:rFonts w:hint="cs"/>
          <w:rtl/>
        </w:rPr>
        <w:t>،</w:t>
      </w:r>
      <w:r w:rsidR="009C32A0" w:rsidRPr="005675B2">
        <w:rPr>
          <w:rFonts w:hint="cs"/>
          <w:rtl/>
        </w:rPr>
        <w:t xml:space="preserve"> فهل بعد هذا من وضوح في كونهم جمهور الأمة</w:t>
      </w:r>
      <w:r>
        <w:rPr>
          <w:rFonts w:hint="cs"/>
          <w:rtl/>
        </w:rPr>
        <w:t>؟،</w:t>
      </w:r>
    </w:p>
    <w:p w14:paraId="36295B8F" w14:textId="0E3B5000" w:rsidR="009C32A0" w:rsidRPr="005675B2" w:rsidRDefault="009C32A0" w:rsidP="000636C2">
      <w:pPr>
        <w:rPr>
          <w:b/>
          <w:rtl/>
        </w:rPr>
      </w:pPr>
      <w:r w:rsidRPr="005675B2">
        <w:rPr>
          <w:rFonts w:hint="cs"/>
          <w:b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 xml:space="preserve">فات فضيلته </w:t>
      </w:r>
      <w:r w:rsidR="000636C2">
        <w:rPr>
          <w:rFonts w:hint="cs"/>
          <w:rtl/>
        </w:rPr>
        <w:t>(</w:t>
      </w:r>
      <w:r w:rsidRPr="005675B2">
        <w:rPr>
          <w:rFonts w:hint="cs"/>
          <w:rtl/>
        </w:rPr>
        <w:t>الفوزان</w:t>
      </w:r>
      <w:r w:rsidR="000636C2">
        <w:rPr>
          <w:rFonts w:hint="cs"/>
          <w:rtl/>
        </w:rPr>
        <w:t>)</w:t>
      </w:r>
      <w:r w:rsidRPr="005675B2">
        <w:rPr>
          <w:rFonts w:hint="cs"/>
          <w:rtl/>
        </w:rPr>
        <w:t xml:space="preserve"> أن يرد</w:t>
      </w:r>
      <w:r w:rsidRPr="005675B2">
        <w:rPr>
          <w:rFonts w:hint="cs"/>
        </w:rPr>
        <w:t xml:space="preserve"> </w:t>
      </w:r>
      <w:r w:rsidRPr="005675B2">
        <w:rPr>
          <w:rFonts w:hint="cs"/>
          <w:rtl/>
        </w:rPr>
        <w:t>على الصابوني فيما عزاه إلى شيخ الإسلام</w:t>
      </w:r>
      <w:r w:rsidR="000636C2">
        <w:rPr>
          <w:rFonts w:hint="cs"/>
          <w:rtl/>
        </w:rPr>
        <w:t xml:space="preserve"> </w:t>
      </w:r>
      <w:r w:rsidRPr="005675B2">
        <w:rPr>
          <w:rFonts w:hint="cs"/>
          <w:rtl/>
        </w:rPr>
        <w:t>- مكرراً إيأهـ من قوله</w:t>
      </w:r>
      <w:r w:rsidR="000636C2">
        <w:rPr>
          <w:rFonts w:hint="cs"/>
          <w:rtl/>
        </w:rPr>
        <w:t>:</w:t>
      </w:r>
      <w:r w:rsidRPr="005675B2">
        <w:rPr>
          <w:rFonts w:hint="cs"/>
          <w:rtl/>
        </w:rPr>
        <w:t xml:space="preserve"> "</w:t>
      </w:r>
      <w:r w:rsidRPr="005675B2">
        <w:rPr>
          <w:rFonts w:hint="cs"/>
        </w:rPr>
        <w:t xml:space="preserve"> </w:t>
      </w:r>
      <w:r w:rsidRPr="005675B2">
        <w:rPr>
          <w:rFonts w:hint="cs"/>
          <w:rtl/>
        </w:rPr>
        <w:t>الأشعرية أنصار أصول الدين والعلماء أنصار فروع الدين"</w:t>
      </w:r>
      <w:r w:rsidR="000636C2">
        <w:rPr>
          <w:rFonts w:hint="cs"/>
          <w:rtl/>
        </w:rPr>
        <w:t>،</w:t>
      </w:r>
      <w:r w:rsidRPr="005675B2">
        <w:rPr>
          <w:rFonts w:hint="cs"/>
          <w:rtl/>
        </w:rPr>
        <w:t xml:space="preserve"> ولعل الشيخ وثق في نقل</w:t>
      </w:r>
      <w:r w:rsidRPr="005675B2">
        <w:rPr>
          <w:rFonts w:hint="cs"/>
        </w:rPr>
        <w:t xml:space="preserve"> </w:t>
      </w:r>
      <w:r w:rsidRPr="005675B2">
        <w:rPr>
          <w:rFonts w:hint="cs"/>
          <w:rtl/>
        </w:rPr>
        <w:t>الصابوني مع أن الصابوني</w:t>
      </w:r>
      <w:r w:rsidR="000636C2">
        <w:rPr>
          <w:rFonts w:hint="cs"/>
          <w:rtl/>
        </w:rPr>
        <w:t xml:space="preserve"> </w:t>
      </w:r>
      <w:r w:rsidRPr="005675B2">
        <w:rPr>
          <w:rFonts w:hint="cs"/>
          <w:rtl/>
        </w:rPr>
        <w:t>- على ما أرجح</w:t>
      </w:r>
      <w:r w:rsidR="000636C2">
        <w:rPr>
          <w:rFonts w:hint="cs"/>
          <w:rtl/>
        </w:rPr>
        <w:t xml:space="preserve"> </w:t>
      </w:r>
      <w:r w:rsidRPr="005675B2">
        <w:rPr>
          <w:rFonts w:hint="cs"/>
          <w:rtl/>
        </w:rPr>
        <w:t>- أول من يعلم بطلان نسبة هذا الكلام لشيخ</w:t>
      </w:r>
      <w:r w:rsidRPr="005675B2">
        <w:rPr>
          <w:rFonts w:hint="cs"/>
        </w:rPr>
        <w:t xml:space="preserve"> </w:t>
      </w:r>
      <w:r w:rsidRPr="005675B2">
        <w:rPr>
          <w:rFonts w:hint="cs"/>
          <w:rtl/>
        </w:rPr>
        <w:t>الإسلام ابن تيمية</w:t>
      </w:r>
      <w:r w:rsidR="000636C2">
        <w:rPr>
          <w:rFonts w:hint="cs"/>
          <w:rtl/>
        </w:rPr>
        <w:t>،</w:t>
      </w:r>
      <w:r w:rsidRPr="005675B2">
        <w:rPr>
          <w:rFonts w:hint="cs"/>
          <w:rtl/>
        </w:rPr>
        <w:t xml:space="preserve"> ولغة العبارة نفسها ليست من أسلوب شيخ الإسلام</w:t>
      </w:r>
      <w:r w:rsidR="000636C2">
        <w:rPr>
          <w:rFonts w:hint="cs"/>
          <w:rtl/>
        </w:rPr>
        <w:t>،</w:t>
      </w:r>
      <w:r w:rsidRPr="005675B2">
        <w:rPr>
          <w:rFonts w:hint="cs"/>
          <w:rtl/>
        </w:rPr>
        <w:t xml:space="preserve"> والغريب حقاً</w:t>
      </w:r>
      <w:r w:rsidRPr="005675B2">
        <w:rPr>
          <w:rFonts w:hint="cs"/>
        </w:rPr>
        <w:t xml:space="preserve"> </w:t>
      </w:r>
      <w:r w:rsidRPr="005675B2">
        <w:rPr>
          <w:rFonts w:hint="cs"/>
          <w:rtl/>
        </w:rPr>
        <w:t>أنه أعاد هذا العزو في بيانه الأخير بالعدد 646 مؤكداً إصراره على التمويه والتدليس</w:t>
      </w:r>
      <w:r w:rsidR="000636C2">
        <w:rPr>
          <w:rFonts w:hint="cs"/>
          <w:rtl/>
        </w:rPr>
        <w:t xml:space="preserve">، </w:t>
      </w:r>
      <w:r w:rsidRPr="005675B2">
        <w:rPr>
          <w:rFonts w:hint="cs"/>
          <w:rtl/>
        </w:rPr>
        <w:t>وأنا أطلب من كل قارئ أن</w:t>
      </w:r>
      <w:r w:rsidRPr="005675B2">
        <w:rPr>
          <w:rFonts w:hint="cs"/>
        </w:rPr>
        <w:t xml:space="preserve"> </w:t>
      </w:r>
      <w:r w:rsidRPr="005675B2">
        <w:rPr>
          <w:rFonts w:hint="cs"/>
          <w:rtl/>
        </w:rPr>
        <w:t>يراجع النص في ج 4 ص 16 من مجموع الفتاوى ليجد بنفسه قبل تلك العبارة نفسها كلمة</w:t>
      </w:r>
      <w:r w:rsidRPr="005675B2">
        <w:rPr>
          <w:rFonts w:hint="cs"/>
        </w:rPr>
        <w:t xml:space="preserve"> </w:t>
      </w:r>
      <w:r w:rsidRPr="005675B2">
        <w:rPr>
          <w:rFonts w:hint="cs"/>
          <w:rtl/>
        </w:rPr>
        <w:t>"</w:t>
      </w:r>
      <w:r w:rsidRPr="005675B2">
        <w:rPr>
          <w:rFonts w:hint="cs"/>
        </w:rPr>
        <w:t xml:space="preserve"> </w:t>
      </w:r>
      <w:r w:rsidRPr="005675B2">
        <w:rPr>
          <w:rFonts w:hint="cs"/>
          <w:rtl/>
        </w:rPr>
        <w:t>قال</w:t>
      </w:r>
      <w:r w:rsidRPr="005675B2">
        <w:rPr>
          <w:rFonts w:hint="cs"/>
        </w:rPr>
        <w:t xml:space="preserve"> </w:t>
      </w:r>
      <w:r w:rsidRPr="005675B2">
        <w:rPr>
          <w:rFonts w:hint="cs"/>
          <w:rtl/>
        </w:rPr>
        <w:t>"</w:t>
      </w:r>
      <w:r w:rsidRPr="005675B2">
        <w:rPr>
          <w:rFonts w:hint="cs"/>
        </w:rPr>
        <w:t xml:space="preserve"> </w:t>
      </w:r>
      <w:r w:rsidRPr="005675B2">
        <w:rPr>
          <w:rFonts w:hint="cs"/>
          <w:rtl/>
        </w:rPr>
        <w:t>فالكلام محكي منقول</w:t>
      </w:r>
      <w:r w:rsidRPr="005675B2">
        <w:rPr>
          <w:rFonts w:hint="cs"/>
        </w:rPr>
        <w:t xml:space="preserve"> </w:t>
      </w:r>
      <w:r w:rsidRPr="005675B2">
        <w:rPr>
          <w:rFonts w:hint="cs"/>
          <w:rtl/>
        </w:rPr>
        <w:t>وقائله هو المذكور في أول الكلام</w:t>
      </w:r>
      <w:r w:rsidR="000636C2">
        <w:rPr>
          <w:rFonts w:hint="cs"/>
          <w:rtl/>
        </w:rPr>
        <w:t xml:space="preserve"> </w:t>
      </w:r>
      <w:r w:rsidRPr="005675B2">
        <w:rPr>
          <w:rFonts w:hint="cs"/>
          <w:rtl/>
        </w:rPr>
        <w:t>- آخر سطر من ص 15</w:t>
      </w:r>
      <w:r w:rsidR="000636C2">
        <w:rPr>
          <w:rFonts w:hint="cs"/>
          <w:rtl/>
        </w:rPr>
        <w:t xml:space="preserve"> </w:t>
      </w:r>
      <w:r w:rsidRPr="005675B2">
        <w:rPr>
          <w:rFonts w:hint="cs"/>
          <w:rtl/>
        </w:rPr>
        <w:t>- حيث يقول شيخ الإسلام</w:t>
      </w:r>
      <w:r w:rsidR="000636C2">
        <w:rPr>
          <w:rFonts w:hint="cs"/>
          <w:rtl/>
        </w:rPr>
        <w:t xml:space="preserve">: </w:t>
      </w:r>
      <w:r w:rsidRPr="005675B2">
        <w:rPr>
          <w:rFonts w:hint="cs"/>
          <w:rtl/>
        </w:rPr>
        <w:t>"</w:t>
      </w:r>
      <w:r w:rsidRPr="005675B2">
        <w:rPr>
          <w:rFonts w:hint="cs"/>
        </w:rPr>
        <w:t xml:space="preserve"> </w:t>
      </w:r>
      <w:r w:rsidRPr="005675B2">
        <w:rPr>
          <w:rFonts w:hint="cs"/>
          <w:rtl/>
        </w:rPr>
        <w:t xml:space="preserve">وكذلك رأيت في فتاوي الفقيه أبي محمد هو والد إمام الحرمين أبو المعالي الجويني </w:t>
      </w:r>
      <w:r w:rsidR="000636C2">
        <w:rPr>
          <w:rFonts w:hint="cs"/>
          <w:rtl/>
        </w:rPr>
        <w:t>(</w:t>
      </w:r>
      <w:r w:rsidRPr="005675B2">
        <w:rPr>
          <w:rFonts w:hint="cs"/>
          <w:rtl/>
        </w:rPr>
        <w:t>وهو أشعري</w:t>
      </w:r>
      <w:r w:rsidR="000636C2">
        <w:rPr>
          <w:rFonts w:hint="cs"/>
          <w:rtl/>
        </w:rPr>
        <w:t>)</w:t>
      </w:r>
      <w:r w:rsidRPr="005675B2">
        <w:rPr>
          <w:rFonts w:hint="cs"/>
          <w:rtl/>
        </w:rPr>
        <w:t xml:space="preserve"> رجع آخر عمره إلى عقيدة السلف فتوى طويلة</w:t>
      </w:r>
      <w:r w:rsidRPr="005675B2">
        <w:t xml:space="preserve"> … </w:t>
      </w:r>
      <w:r w:rsidRPr="005675B2">
        <w:rPr>
          <w:rFonts w:hint="cs"/>
          <w:rtl/>
        </w:rPr>
        <w:t>قال فيها</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إلى أن يقول</w:t>
      </w:r>
      <w:r w:rsidR="000636C2">
        <w:rPr>
          <w:rFonts w:hint="cs"/>
          <w:rtl/>
        </w:rPr>
        <w:t xml:space="preserve">: </w:t>
      </w:r>
      <w:r w:rsidRPr="005675B2">
        <w:rPr>
          <w:rFonts w:hint="cs"/>
          <w:rtl/>
        </w:rPr>
        <w:t>"قال</w:t>
      </w:r>
      <w:r w:rsidR="000636C2">
        <w:rPr>
          <w:rFonts w:hint="cs"/>
          <w:rtl/>
        </w:rPr>
        <w:t>:</w:t>
      </w:r>
      <w:r w:rsidRPr="005675B2">
        <w:rPr>
          <w:rFonts w:hint="cs"/>
        </w:rPr>
        <w:t xml:space="preserve"> </w:t>
      </w:r>
      <w:r w:rsidRPr="005675B2">
        <w:rPr>
          <w:rFonts w:hint="cs"/>
          <w:rtl/>
        </w:rPr>
        <w:t>وأما لعن العلماء الأئمة الأشعرية فمن لعنهم عزر وعادت اللعنة عليه …</w:t>
      </w:r>
      <w:r w:rsidRPr="005675B2">
        <w:rPr>
          <w:rFonts w:hint="cs"/>
        </w:rPr>
        <w:t xml:space="preserve"> </w:t>
      </w:r>
      <w:r w:rsidRPr="005675B2">
        <w:rPr>
          <w:rFonts w:hint="cs"/>
          <w:rtl/>
        </w:rPr>
        <w:t>والعلماء أنصار فروع الدين والأشعرية أنصار أصول الدين</w:t>
      </w:r>
      <w:r w:rsidR="000636C2">
        <w:rPr>
          <w:rFonts w:hint="cs"/>
          <w:rtl/>
        </w:rPr>
        <w:t xml:space="preserve">]، </w:t>
      </w:r>
    </w:p>
    <w:p w14:paraId="6BAA4301" w14:textId="5407FB6C" w:rsidR="009C32A0" w:rsidRPr="005675B2" w:rsidRDefault="000636C2" w:rsidP="000636C2">
      <w:pPr>
        <w:rPr>
          <w:b/>
          <w:rtl/>
        </w:rPr>
      </w:pPr>
      <w:r>
        <w:rPr>
          <w:rFonts w:hint="cs"/>
          <w:bCs/>
          <w:rtl/>
        </w:rPr>
        <w:t>[</w:t>
      </w:r>
      <w:r w:rsidR="009C32A0">
        <w:rPr>
          <w:rFonts w:hint="cs"/>
          <w:bCs/>
          <w:rtl/>
        </w:rPr>
        <w:t>الجواب</w:t>
      </w:r>
      <w:r>
        <w:rPr>
          <w:rFonts w:hint="cs"/>
          <w:bCs/>
          <w:rtl/>
        </w:rPr>
        <w:t>]:</w:t>
      </w:r>
      <w:r w:rsidR="009C32A0" w:rsidRPr="005675B2">
        <w:rPr>
          <w:rFonts w:hint="cs"/>
          <w:rtl/>
        </w:rPr>
        <w:t xml:space="preserve"> راجعت العبارة كما طلب الكاتب</w:t>
      </w:r>
      <w:r>
        <w:rPr>
          <w:rFonts w:hint="cs"/>
          <w:rtl/>
        </w:rPr>
        <w:t>،</w:t>
      </w:r>
      <w:r w:rsidR="009C32A0" w:rsidRPr="005675B2">
        <w:rPr>
          <w:rFonts w:hint="cs"/>
          <w:rtl/>
        </w:rPr>
        <w:t xml:space="preserve"> ولو دقق الكاتب النظر في الجملة لوجدها كانت بهذا النص</w:t>
      </w:r>
      <w:r>
        <w:rPr>
          <w:rFonts w:hint="cs"/>
          <w:rtl/>
        </w:rPr>
        <w:t>:</w:t>
      </w:r>
      <w:r w:rsidR="009C32A0" w:rsidRPr="005675B2">
        <w:rPr>
          <w:rFonts w:hint="cs"/>
          <w:rtl/>
        </w:rPr>
        <w:t xml:space="preserve">وكذلك رأيت في فتاوي الفقيه أبي محمد فتوى </w:t>
      </w:r>
      <w:r w:rsidR="009C32A0" w:rsidRPr="005675B2">
        <w:rPr>
          <w:rFonts w:hint="cs"/>
          <w:u w:val="single"/>
          <w:rtl/>
        </w:rPr>
        <w:t>طويلة</w:t>
      </w:r>
      <w:r w:rsidR="009C32A0" w:rsidRPr="005675B2">
        <w:rPr>
          <w:rFonts w:hint="cs"/>
          <w:u w:val="single"/>
        </w:rPr>
        <w:t xml:space="preserve"> </w:t>
      </w:r>
      <w:r w:rsidR="009C32A0" w:rsidRPr="005675B2">
        <w:rPr>
          <w:rFonts w:hint="cs"/>
          <w:u w:val="single"/>
          <w:rtl/>
        </w:rPr>
        <w:t>فيها أشياء حسنة</w:t>
      </w:r>
      <w:r w:rsidR="009C32A0" w:rsidRPr="005675B2">
        <w:rPr>
          <w:rFonts w:hint="cs"/>
          <w:rtl/>
        </w:rPr>
        <w:t xml:space="preserve"> قد سئل عنها بها مسائل متعددة قال فيها</w:t>
      </w:r>
      <w:r>
        <w:rPr>
          <w:rFonts w:hint="cs"/>
          <w:rtl/>
        </w:rPr>
        <w:t>:</w:t>
      </w:r>
      <w:r w:rsidR="009C32A0" w:rsidRPr="005675B2">
        <w:rPr>
          <w:rFonts w:hint="cs"/>
          <w:rtl/>
        </w:rPr>
        <w:t>إلخ ..</w:t>
      </w:r>
      <w:r>
        <w:rPr>
          <w:rFonts w:hint="cs"/>
          <w:rtl/>
        </w:rPr>
        <w:t xml:space="preserve"> </w:t>
      </w:r>
      <w:r w:rsidR="009C32A0" w:rsidRPr="005675B2">
        <w:rPr>
          <w:rFonts w:hint="cs"/>
          <w:rtl/>
        </w:rPr>
        <w:t>فالجملة التي تُركت</w:t>
      </w:r>
      <w:r>
        <w:rPr>
          <w:rFonts w:hint="cs"/>
          <w:rtl/>
        </w:rPr>
        <w:t xml:space="preserve"> </w:t>
      </w:r>
      <w:r w:rsidR="009C32A0" w:rsidRPr="005675B2">
        <w:rPr>
          <w:rFonts w:hint="cs"/>
          <w:rtl/>
        </w:rPr>
        <w:t>هي قول ابن تيمية</w:t>
      </w:r>
      <w:r>
        <w:rPr>
          <w:rFonts w:hint="cs"/>
          <w:rtl/>
        </w:rPr>
        <w:t>:(</w:t>
      </w:r>
      <w:r w:rsidR="009C32A0" w:rsidRPr="005675B2">
        <w:rPr>
          <w:rFonts w:hint="cs"/>
          <w:rtl/>
        </w:rPr>
        <w:t>فيها أشياء حسنة</w:t>
      </w:r>
      <w:r>
        <w:rPr>
          <w:rFonts w:hint="cs"/>
          <w:rtl/>
        </w:rPr>
        <w:t>)</w:t>
      </w:r>
      <w:r w:rsidR="009C32A0" w:rsidRPr="005675B2">
        <w:rPr>
          <w:rFonts w:hint="cs"/>
          <w:rtl/>
        </w:rPr>
        <w:t>،وهي جملة مهمة تبين سبب</w:t>
      </w:r>
      <w:r>
        <w:rPr>
          <w:rFonts w:hint="cs"/>
          <w:rtl/>
        </w:rPr>
        <w:t xml:space="preserve"> </w:t>
      </w:r>
      <w:r w:rsidR="009C32A0" w:rsidRPr="005675B2">
        <w:rPr>
          <w:rFonts w:hint="cs"/>
          <w:rtl/>
        </w:rPr>
        <w:t>اعتمادالشيخ</w:t>
      </w:r>
      <w:r>
        <w:rPr>
          <w:rFonts w:hint="cs"/>
          <w:rtl/>
        </w:rPr>
        <w:t xml:space="preserve"> </w:t>
      </w:r>
      <w:r w:rsidR="009C32A0" w:rsidRPr="005675B2">
        <w:rPr>
          <w:rFonts w:hint="cs"/>
          <w:rtl/>
        </w:rPr>
        <w:t xml:space="preserve">الصابوني على كلام الإمام ابن تيمية، </w:t>
      </w:r>
      <w:r w:rsidR="009C32A0" w:rsidRPr="005675B2">
        <w:rPr>
          <w:rFonts w:hint="cs"/>
          <w:u w:val="single"/>
          <w:rtl/>
        </w:rPr>
        <w:t>وقد بتر</w:t>
      </w:r>
      <w:r>
        <w:rPr>
          <w:rFonts w:hint="cs"/>
          <w:u w:val="single"/>
          <w:rtl/>
        </w:rPr>
        <w:t xml:space="preserve"> </w:t>
      </w:r>
      <w:r w:rsidR="009C32A0" w:rsidRPr="005675B2">
        <w:rPr>
          <w:rFonts w:hint="cs"/>
          <w:u w:val="single"/>
          <w:rtl/>
        </w:rPr>
        <w:t>الأخ الحوالي</w:t>
      </w:r>
      <w:r>
        <w:rPr>
          <w:rFonts w:hint="cs"/>
          <w:u w:val="single"/>
          <w:rtl/>
        </w:rPr>
        <w:t xml:space="preserve"> </w:t>
      </w:r>
      <w:r w:rsidR="009C32A0" w:rsidRPr="005675B2">
        <w:rPr>
          <w:rFonts w:hint="cs"/>
          <w:u w:val="single"/>
          <w:rtl/>
        </w:rPr>
        <w:t>هذه الجملة بتراً</w:t>
      </w:r>
      <w:r>
        <w:rPr>
          <w:rFonts w:hint="cs"/>
          <w:u w:val="single"/>
          <w:rtl/>
        </w:rPr>
        <w:t xml:space="preserve"> </w:t>
      </w:r>
      <w:r w:rsidR="009C32A0" w:rsidRPr="005675B2">
        <w:rPr>
          <w:rFonts w:hint="cs"/>
          <w:u w:val="single"/>
          <w:rtl/>
        </w:rPr>
        <w:t>لا يستساغ</w:t>
      </w:r>
      <w:r w:rsidR="009C32A0" w:rsidRPr="005675B2">
        <w:rPr>
          <w:rFonts w:hint="cs"/>
          <w:rtl/>
        </w:rPr>
        <w:t xml:space="preserve"> أبداً</w:t>
      </w:r>
      <w:r>
        <w:rPr>
          <w:rFonts w:hint="cs"/>
          <w:rtl/>
        </w:rPr>
        <w:t>،</w:t>
      </w:r>
      <w:r w:rsidR="009C32A0" w:rsidRPr="005675B2">
        <w:rPr>
          <w:rFonts w:hint="cs"/>
          <w:rtl/>
        </w:rPr>
        <w:t>فنسأل الله الإنصاف فيما نقول</w:t>
      </w:r>
      <w:r>
        <w:rPr>
          <w:rFonts w:hint="cs"/>
          <w:rtl/>
        </w:rPr>
        <w:t>،</w:t>
      </w:r>
    </w:p>
    <w:p w14:paraId="7DD97731" w14:textId="6623727B" w:rsidR="009C32A0" w:rsidRPr="005675B2" w:rsidRDefault="009C32A0" w:rsidP="000636C2">
      <w:pPr>
        <w:rPr>
          <w:b/>
          <w:rtl/>
        </w:rPr>
      </w:pPr>
      <w:r w:rsidRPr="005675B2">
        <w:rPr>
          <w:rFonts w:hint="cs"/>
          <w:bCs/>
          <w:rtl/>
        </w:rPr>
        <w:t>قال الكاتب</w:t>
      </w:r>
      <w:r w:rsidR="000636C2">
        <w:rPr>
          <w:rFonts w:hint="cs"/>
          <w:rtl/>
        </w:rPr>
        <w:t>:</w:t>
      </w:r>
      <w:r w:rsidRPr="005675B2">
        <w:rPr>
          <w:rFonts w:hint="cs"/>
          <w:rtl/>
        </w:rPr>
        <w:t xml:space="preserve">كتاب </w:t>
      </w:r>
      <w:r w:rsidR="000636C2">
        <w:rPr>
          <w:rFonts w:hint="cs"/>
          <w:rtl/>
        </w:rPr>
        <w:t>(</w:t>
      </w:r>
      <w:r w:rsidRPr="005675B2">
        <w:rPr>
          <w:rFonts w:hint="cs"/>
          <w:rtl/>
        </w:rPr>
        <w:t>براءة الأشعريين</w:t>
      </w:r>
      <w:r w:rsidRPr="005675B2">
        <w:rPr>
          <w:rFonts w:hint="cs"/>
        </w:rPr>
        <w:t xml:space="preserve"> </w:t>
      </w:r>
      <w:r w:rsidRPr="005675B2">
        <w:rPr>
          <w:rFonts w:hint="cs"/>
          <w:rtl/>
        </w:rPr>
        <w:t>"</w:t>
      </w:r>
      <w:r w:rsidRPr="005675B2">
        <w:rPr>
          <w:rFonts w:hint="cs"/>
        </w:rPr>
        <w:t xml:space="preserve"> </w:t>
      </w:r>
      <w:r w:rsidRPr="005675B2">
        <w:rPr>
          <w:rFonts w:hint="cs"/>
          <w:rtl/>
        </w:rPr>
        <w:t>نقل لنا بعض أهل العلم أن صاحبه هو عبدالفتاح أبو غدة</w:t>
      </w:r>
      <w:r w:rsidR="000636C2">
        <w:rPr>
          <w:rFonts w:hint="cs"/>
          <w:rtl/>
        </w:rPr>
        <w:t xml:space="preserve">)، </w:t>
      </w:r>
      <w:r w:rsidRPr="005675B2">
        <w:rPr>
          <w:rFonts w:hint="cs"/>
          <w:rtl/>
        </w:rPr>
        <w:t>وهذا باطل ومن أخبرك لم يصدقك الخبر</w:t>
      </w:r>
      <w:r w:rsidR="000636C2">
        <w:rPr>
          <w:rFonts w:hint="cs"/>
          <w:rtl/>
        </w:rPr>
        <w:t>،</w:t>
      </w:r>
      <w:r w:rsidRPr="005675B2">
        <w:rPr>
          <w:rFonts w:hint="cs"/>
          <w:rtl/>
        </w:rPr>
        <w:t>وقد بلينا في هذا الزمن بالقيل والقال</w:t>
      </w:r>
      <w:r w:rsidR="000636C2">
        <w:rPr>
          <w:rFonts w:hint="cs"/>
          <w:rtl/>
        </w:rPr>
        <w:t>،</w:t>
      </w:r>
      <w:r w:rsidRPr="005675B2">
        <w:rPr>
          <w:rFonts w:hint="cs"/>
          <w:rtl/>
        </w:rPr>
        <w:t>وكل يدعي أن من حدثه ثقة فإذا تبينت وجدت أنه محض أوهام وتخرصات فإلى الله المشتكى</w:t>
      </w:r>
      <w:r w:rsidR="000636C2">
        <w:rPr>
          <w:rFonts w:hint="cs"/>
          <w:rtl/>
        </w:rPr>
        <w:t>،</w:t>
      </w:r>
      <w:r w:rsidRPr="005675B2">
        <w:rPr>
          <w:rFonts w:hint="cs"/>
          <w:rtl/>
        </w:rPr>
        <w:t xml:space="preserve"> و أما</w:t>
      </w:r>
      <w:r w:rsidR="000636C2">
        <w:rPr>
          <w:rFonts w:hint="cs"/>
          <w:rtl/>
        </w:rPr>
        <w:t xml:space="preserve"> </w:t>
      </w:r>
      <w:r w:rsidRPr="005675B2">
        <w:rPr>
          <w:rFonts w:hint="cs"/>
          <w:rtl/>
        </w:rPr>
        <w:t xml:space="preserve">صاحب الكتاب فليس الشيخ عبدالفتاح كما حدثك من حدثك بل صاحبه هو المحدث </w:t>
      </w:r>
      <w:r w:rsidR="000636C2">
        <w:rPr>
          <w:rFonts w:hint="cs"/>
          <w:rtl/>
        </w:rPr>
        <w:t>(</w:t>
      </w:r>
      <w:r w:rsidRPr="005675B2">
        <w:rPr>
          <w:rFonts w:hint="cs"/>
          <w:rtl/>
        </w:rPr>
        <w:t>أبو حامدبن مرزوق</w:t>
      </w:r>
      <w:r w:rsidR="000636C2">
        <w:rPr>
          <w:rFonts w:hint="cs"/>
          <w:rtl/>
        </w:rPr>
        <w:t>)</w:t>
      </w:r>
      <w:r w:rsidRPr="005675B2">
        <w:rPr>
          <w:rFonts w:hint="cs"/>
          <w:rtl/>
        </w:rPr>
        <w:t xml:space="preserve"> الشيخ محـمد عربي التبان المالكي المدرس بمدرسة الفلاح في مكة المكرمة ت سنة 1395ه</w:t>
      </w:r>
      <w:r w:rsidR="000636C2">
        <w:rPr>
          <w:rFonts w:hint="cs"/>
          <w:rtl/>
        </w:rPr>
        <w:t xml:space="preserve"> </w:t>
      </w:r>
      <w:r w:rsidRPr="005675B2">
        <w:rPr>
          <w:rFonts w:hint="cs"/>
          <w:rtl/>
        </w:rPr>
        <w:t>-</w:t>
      </w:r>
      <w:r w:rsidR="000636C2">
        <w:rPr>
          <w:rFonts w:hint="cs"/>
          <w:rtl/>
        </w:rPr>
        <w:t>،</w:t>
      </w:r>
      <w:r w:rsidRPr="005675B2">
        <w:rPr>
          <w:rFonts w:hint="cs"/>
          <w:rtl/>
        </w:rPr>
        <w:t xml:space="preserve"> والكتاب مطبوع ونسبته إلى الشيخ محمد التبان مشهورة بين أهل العلم</w:t>
      </w:r>
      <w:r w:rsidR="000636C2">
        <w:rPr>
          <w:rFonts w:hint="cs"/>
          <w:rtl/>
        </w:rPr>
        <w:t>،</w:t>
      </w:r>
      <w:r w:rsidRPr="005675B2">
        <w:rPr>
          <w:rFonts w:hint="cs"/>
          <w:rtl/>
        </w:rPr>
        <w:t xml:space="preserve"> ولم يطبع الكتاب باسمه الصريح نظراً للظلم والاضطهاد الذي كان يتعرض له علماء أهل السنة من مشايخ البلدوخصوصاً في ذلك الزمن</w:t>
      </w:r>
      <w:r w:rsidR="000636C2">
        <w:rPr>
          <w:rFonts w:hint="cs"/>
          <w:rtl/>
        </w:rPr>
        <w:t>،</w:t>
      </w:r>
      <w:r w:rsidRPr="005675B2">
        <w:rPr>
          <w:rFonts w:hint="cs"/>
          <w:rtl/>
        </w:rPr>
        <w:t xml:space="preserve"> ولذا قال الإمام ابن النجارالحنبلي</w:t>
      </w:r>
      <w:r w:rsidR="000636C2">
        <w:rPr>
          <w:rFonts w:hint="cs"/>
          <w:rtl/>
        </w:rPr>
        <w:t xml:space="preserve"> </w:t>
      </w:r>
      <w:r w:rsidRPr="005675B2">
        <w:rPr>
          <w:rFonts w:hint="cs"/>
          <w:rtl/>
        </w:rPr>
        <w:t>في شرحه على مختصر التحرير</w:t>
      </w:r>
      <w:r w:rsidR="000636C2">
        <w:rPr>
          <w:rFonts w:hint="cs"/>
          <w:rtl/>
        </w:rPr>
        <w:t>:</w:t>
      </w:r>
      <w:r w:rsidRPr="005675B2">
        <w:rPr>
          <w:rFonts w:hint="cs"/>
          <w:rtl/>
        </w:rPr>
        <w:t>وينبغي أن لايتكلم</w:t>
      </w:r>
      <w:r w:rsidR="000636C2">
        <w:rPr>
          <w:rFonts w:hint="cs"/>
          <w:rtl/>
        </w:rPr>
        <w:t xml:space="preserve"> </w:t>
      </w:r>
      <w:r w:rsidRPr="005675B2">
        <w:rPr>
          <w:rFonts w:hint="cs"/>
          <w:rtl/>
        </w:rPr>
        <w:t>- أي صاحب العلم - في المجالس التي لا إنصاف فيها</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الكوكب المنير 4/386</w:t>
      </w:r>
      <w:r w:rsidRPr="005675B2">
        <w:rPr>
          <w:rFonts w:hint="cs"/>
          <w:rtl/>
        </w:rPr>
        <w:t>] ولذا فلا بد من التثبت فيما يقال وينقل وتربية طلاب العلم على ذلك</w:t>
      </w:r>
      <w:r w:rsidR="000636C2">
        <w:rPr>
          <w:rFonts w:hint="cs"/>
          <w:rtl/>
        </w:rPr>
        <w:t>،</w:t>
      </w:r>
    </w:p>
    <w:p w14:paraId="1ABEA07E" w14:textId="11334EA2" w:rsidR="009C32A0" w:rsidRPr="005675B2" w:rsidRDefault="009C32A0" w:rsidP="000636C2">
      <w:r w:rsidRPr="005675B2">
        <w:rPr>
          <w:rFonts w:hint="cs"/>
          <w:rtl/>
        </w:rPr>
        <w:t>قال الكاتب غفر الله له</w:t>
      </w:r>
      <w:r w:rsidR="000636C2">
        <w:rPr>
          <w:rFonts w:hint="cs"/>
          <w:rtl/>
        </w:rPr>
        <w:t>:</w:t>
      </w:r>
      <w:r w:rsidRPr="005675B2">
        <w:rPr>
          <w:rFonts w:hint="cs"/>
          <w:rtl/>
        </w:rPr>
        <w:t xml:space="preserve"> إن مصطلح أهل السنة</w:t>
      </w:r>
      <w:r w:rsidRPr="005675B2">
        <w:rPr>
          <w:rFonts w:hint="cs"/>
        </w:rPr>
        <w:t xml:space="preserve"> </w:t>
      </w:r>
      <w:r w:rsidRPr="005675B2">
        <w:rPr>
          <w:rFonts w:hint="cs"/>
          <w:rtl/>
        </w:rPr>
        <w:t>والجماعة يطلق ويراد به معنيان</w:t>
      </w:r>
      <w:r w:rsidR="000636C2">
        <w:rPr>
          <w:rFonts w:hint="cs"/>
          <w:rtl/>
        </w:rPr>
        <w:t xml:space="preserve">: </w:t>
      </w:r>
      <w:r w:rsidRPr="005675B2">
        <w:rPr>
          <w:rFonts w:hint="cs"/>
          <w:rtl/>
        </w:rPr>
        <w:t>أ - المعنى الأعم</w:t>
      </w:r>
      <w:r w:rsidR="000636C2">
        <w:rPr>
          <w:rFonts w:hint="cs"/>
          <w:rtl/>
        </w:rPr>
        <w:t>:</w:t>
      </w:r>
      <w:r w:rsidRPr="005675B2">
        <w:rPr>
          <w:rFonts w:hint="cs"/>
          <w:rtl/>
        </w:rPr>
        <w:t xml:space="preserve"> وهو ما</w:t>
      </w:r>
      <w:r w:rsidRPr="005675B2">
        <w:rPr>
          <w:rFonts w:hint="cs"/>
        </w:rPr>
        <w:t xml:space="preserve"> </w:t>
      </w:r>
      <w:r w:rsidRPr="005675B2">
        <w:rPr>
          <w:rFonts w:hint="cs"/>
          <w:rtl/>
        </w:rPr>
        <w:t>يقابل الشيعة فيقال</w:t>
      </w:r>
      <w:r w:rsidR="000636C2">
        <w:rPr>
          <w:rFonts w:hint="cs"/>
          <w:rtl/>
        </w:rPr>
        <w:t>:</w:t>
      </w:r>
      <w:r w:rsidRPr="005675B2">
        <w:rPr>
          <w:rFonts w:hint="cs"/>
          <w:rtl/>
        </w:rPr>
        <w:t xml:space="preserve"> المنتسبون للإسلام قسمان</w:t>
      </w:r>
      <w:r w:rsidR="000636C2">
        <w:rPr>
          <w:rFonts w:hint="cs"/>
          <w:rtl/>
        </w:rPr>
        <w:t>:</w:t>
      </w:r>
      <w:r w:rsidRPr="005675B2">
        <w:rPr>
          <w:rFonts w:hint="cs"/>
          <w:rtl/>
        </w:rPr>
        <w:t xml:space="preserve"> أهل السنة والشيعة</w:t>
      </w:r>
      <w:r w:rsidR="000636C2">
        <w:rPr>
          <w:rFonts w:hint="cs"/>
          <w:rtl/>
        </w:rPr>
        <w:t>،</w:t>
      </w:r>
      <w:r w:rsidRPr="005675B2">
        <w:rPr>
          <w:rFonts w:hint="cs"/>
          <w:rtl/>
        </w:rPr>
        <w:t xml:space="preserve"> مثلما عنون</w:t>
      </w:r>
      <w:r w:rsidRPr="005675B2">
        <w:rPr>
          <w:rFonts w:hint="cs"/>
        </w:rPr>
        <w:t xml:space="preserve"> </w:t>
      </w:r>
      <w:r w:rsidRPr="005675B2">
        <w:rPr>
          <w:rFonts w:hint="cs"/>
          <w:rtl/>
        </w:rPr>
        <w:t>شيخ الإسلام كتابه في الرد على الرافضي</w:t>
      </w:r>
      <w:r w:rsidRPr="005675B2">
        <w:rPr>
          <w:rFonts w:hint="cs"/>
        </w:rPr>
        <w:t xml:space="preserve"> </w:t>
      </w:r>
      <w:r w:rsidRPr="005675B2">
        <w:rPr>
          <w:rFonts w:hint="cs"/>
          <w:rtl/>
        </w:rPr>
        <w:t>"</w:t>
      </w:r>
      <w:r w:rsidRPr="005675B2">
        <w:rPr>
          <w:rFonts w:hint="cs"/>
        </w:rPr>
        <w:t xml:space="preserve"> </w:t>
      </w:r>
      <w:r w:rsidRPr="005675B2">
        <w:rPr>
          <w:rFonts w:hint="cs"/>
          <w:rtl/>
        </w:rPr>
        <w:t>منهاج السنة</w:t>
      </w:r>
      <w:r w:rsidRPr="005675B2">
        <w:rPr>
          <w:rFonts w:hint="cs"/>
        </w:rPr>
        <w:t xml:space="preserve"> </w:t>
      </w:r>
      <w:r w:rsidRPr="005675B2">
        <w:rPr>
          <w:rFonts w:hint="cs"/>
          <w:rtl/>
        </w:rPr>
        <w:t>"</w:t>
      </w:r>
      <w:r w:rsidRPr="005675B2">
        <w:rPr>
          <w:rFonts w:hint="cs"/>
        </w:rPr>
        <w:t xml:space="preserve"> </w:t>
      </w:r>
      <w:r w:rsidRPr="005675B2">
        <w:rPr>
          <w:rFonts w:hint="cs"/>
          <w:rtl/>
        </w:rPr>
        <w:t>وفيه بين هذين المعنيين</w:t>
      </w:r>
      <w:r w:rsidR="000636C2">
        <w:rPr>
          <w:rFonts w:hint="cs"/>
          <w:rtl/>
        </w:rPr>
        <w:t xml:space="preserve"> </w:t>
      </w:r>
      <w:r w:rsidRPr="005675B2">
        <w:rPr>
          <w:rFonts w:hint="cs"/>
          <w:rtl/>
        </w:rPr>
        <w:t>وصرح أن ما ذهبت إليه الطوائف المبتدعة من أهل</w:t>
      </w:r>
      <w:r w:rsidRPr="005675B2">
        <w:rPr>
          <w:rFonts w:hint="cs"/>
        </w:rPr>
        <w:t xml:space="preserve"> </w:t>
      </w:r>
      <w:r w:rsidRPr="005675B2">
        <w:rPr>
          <w:rFonts w:hint="cs"/>
          <w:rtl/>
        </w:rPr>
        <w:t>السنة بالمعنى الأخص</w:t>
      </w:r>
      <w:r w:rsidR="000636C2">
        <w:rPr>
          <w:rFonts w:hint="cs"/>
          <w:rtl/>
        </w:rPr>
        <w:t>،</w:t>
      </w:r>
    </w:p>
    <w:p w14:paraId="1E1FC7D5" w14:textId="5B797336" w:rsidR="009C32A0" w:rsidRPr="005675B2" w:rsidRDefault="009C32A0" w:rsidP="000636C2">
      <w:pPr>
        <w:rPr>
          <w:b/>
        </w:rPr>
      </w:pPr>
      <w:r w:rsidRPr="005675B2">
        <w:rPr>
          <w:rFonts w:hint="cs"/>
          <w:rtl/>
        </w:rPr>
        <w:t>وهذا المعنى يدخل فيه كل من</w:t>
      </w:r>
      <w:r w:rsidRPr="005675B2">
        <w:rPr>
          <w:rFonts w:hint="cs"/>
        </w:rPr>
        <w:t xml:space="preserve"> </w:t>
      </w:r>
      <w:r w:rsidRPr="005675B2">
        <w:rPr>
          <w:rFonts w:hint="cs"/>
          <w:rtl/>
        </w:rPr>
        <w:t>سوى الشيعة كالأشاعرة</w:t>
      </w:r>
      <w:r w:rsidR="000636C2">
        <w:rPr>
          <w:rFonts w:hint="cs"/>
          <w:rtl/>
        </w:rPr>
        <w:t>،</w:t>
      </w:r>
      <w:r w:rsidRPr="005675B2">
        <w:rPr>
          <w:rFonts w:hint="cs"/>
          <w:rtl/>
        </w:rPr>
        <w:t xml:space="preserve"> لاسيما والأشاعرة فيما يتعلق بموضوع الصحابة والخلفاء</w:t>
      </w:r>
      <w:r w:rsidRPr="005675B2">
        <w:rPr>
          <w:rFonts w:hint="cs"/>
        </w:rPr>
        <w:t xml:space="preserve"> </w:t>
      </w:r>
      <w:r w:rsidRPr="005675B2">
        <w:rPr>
          <w:rFonts w:hint="cs"/>
          <w:rtl/>
        </w:rPr>
        <w:t>متفقون مع أهل السنة وهي نقطة الاتفاق المنهجية الوحيدة كما سيأتي</w:t>
      </w:r>
      <w:r w:rsidR="000636C2">
        <w:rPr>
          <w:rFonts w:hint="cs"/>
          <w:rtl/>
        </w:rPr>
        <w:t xml:space="preserve">، </w:t>
      </w:r>
      <w:r w:rsidRPr="005675B2">
        <w:rPr>
          <w:rFonts w:hint="cs"/>
          <w:rtl/>
        </w:rPr>
        <w:t>ب - المعنى الأخص</w:t>
      </w:r>
      <w:r w:rsidR="000636C2">
        <w:rPr>
          <w:rFonts w:hint="cs"/>
          <w:rtl/>
        </w:rPr>
        <w:t>:</w:t>
      </w:r>
      <w:r w:rsidRPr="005675B2">
        <w:rPr>
          <w:rFonts w:hint="cs"/>
          <w:rtl/>
        </w:rPr>
        <w:t xml:space="preserve"> وهو ما</w:t>
      </w:r>
      <w:r w:rsidRPr="005675B2">
        <w:rPr>
          <w:rFonts w:hint="cs"/>
        </w:rPr>
        <w:t xml:space="preserve"> </w:t>
      </w:r>
      <w:r w:rsidRPr="005675B2">
        <w:rPr>
          <w:rFonts w:hint="cs"/>
          <w:rtl/>
        </w:rPr>
        <w:t>يقابل المبتدعة وأهل الأهواء</w:t>
      </w:r>
      <w:r w:rsidR="000636C2">
        <w:rPr>
          <w:rFonts w:hint="cs"/>
          <w:rtl/>
        </w:rPr>
        <w:t>،</w:t>
      </w:r>
      <w:r w:rsidRPr="005675B2">
        <w:rPr>
          <w:rFonts w:hint="cs"/>
          <w:rtl/>
        </w:rPr>
        <w:t xml:space="preserve"> وهو الأكثر استعمالاً في كتب الجرح والتعديل</w:t>
      </w:r>
      <w:r w:rsidR="000636C2">
        <w:rPr>
          <w:rFonts w:hint="cs"/>
          <w:rtl/>
        </w:rPr>
        <w:t>،</w:t>
      </w:r>
      <w:r w:rsidRPr="005675B2">
        <w:rPr>
          <w:rFonts w:hint="cs"/>
        </w:rPr>
        <w:t xml:space="preserve"> </w:t>
      </w:r>
      <w:r w:rsidRPr="005675B2">
        <w:rPr>
          <w:rFonts w:hint="cs"/>
          <w:rtl/>
        </w:rPr>
        <w:t>فإذا قالوا عن الرجل أنه صاحب سنة أو كان سنياً أو من أهل السنة ونحوها</w:t>
      </w:r>
      <w:r w:rsidR="000636C2">
        <w:rPr>
          <w:rFonts w:hint="cs"/>
          <w:rtl/>
        </w:rPr>
        <w:t>،</w:t>
      </w:r>
      <w:r w:rsidRPr="005675B2">
        <w:rPr>
          <w:rFonts w:hint="cs"/>
          <w:rtl/>
        </w:rPr>
        <w:t xml:space="preserve"> فالمراد</w:t>
      </w:r>
      <w:r w:rsidRPr="005675B2">
        <w:rPr>
          <w:rFonts w:hint="cs"/>
        </w:rPr>
        <w:t xml:space="preserve"> </w:t>
      </w:r>
      <w:r w:rsidRPr="005675B2">
        <w:rPr>
          <w:rFonts w:hint="cs"/>
          <w:rtl/>
        </w:rPr>
        <w:t>أنه ليس من إحدى الطوائف البدعية كالخوارج والمعتزلة والشيعة</w:t>
      </w:r>
      <w:r w:rsidR="000636C2">
        <w:rPr>
          <w:rFonts w:hint="cs"/>
          <w:rtl/>
        </w:rPr>
        <w:t>،</w:t>
      </w:r>
      <w:r w:rsidRPr="005675B2">
        <w:rPr>
          <w:rFonts w:hint="cs"/>
          <w:rtl/>
        </w:rPr>
        <w:t xml:space="preserve"> وليس صاحب كلام وهوى</w:t>
      </w:r>
      <w:r w:rsidR="000636C2">
        <w:rPr>
          <w:rFonts w:hint="cs"/>
          <w:rtl/>
        </w:rPr>
        <w:t xml:space="preserve">، </w:t>
      </w:r>
      <w:r w:rsidRPr="005675B2">
        <w:rPr>
          <w:rFonts w:hint="cs"/>
          <w:rtl/>
        </w:rPr>
        <w:t>وهذا المعنى لا يدخل فيه</w:t>
      </w:r>
      <w:r w:rsidRPr="005675B2">
        <w:rPr>
          <w:rFonts w:hint="cs"/>
        </w:rPr>
        <w:t xml:space="preserve"> </w:t>
      </w:r>
      <w:r w:rsidRPr="005675B2">
        <w:rPr>
          <w:rFonts w:hint="cs"/>
          <w:rtl/>
        </w:rPr>
        <w:t>الأشاعرة أبداً</w:t>
      </w:r>
      <w:r w:rsidR="000636C2">
        <w:rPr>
          <w:rFonts w:hint="cs"/>
          <w:rtl/>
        </w:rPr>
        <w:t>،</w:t>
      </w:r>
      <w:r w:rsidRPr="005675B2">
        <w:rPr>
          <w:rFonts w:hint="cs"/>
          <w:rtl/>
        </w:rPr>
        <w:t xml:space="preserve"> بل هم خارجون عنه وقد نص الإمام أحمد وابن المديني على أن من خاض</w:t>
      </w:r>
      <w:r w:rsidRPr="005675B2">
        <w:rPr>
          <w:rFonts w:hint="cs"/>
        </w:rPr>
        <w:t xml:space="preserve"> </w:t>
      </w:r>
      <w:r w:rsidRPr="005675B2">
        <w:rPr>
          <w:rFonts w:hint="cs"/>
          <w:rtl/>
        </w:rPr>
        <w:t>في شيء من علم الكلام لا يعتبر من أهل السنة وإن أصاب بكلامه السنة حتى يدع الجدل</w:t>
      </w:r>
      <w:r w:rsidRPr="005675B2">
        <w:rPr>
          <w:rFonts w:hint="cs"/>
        </w:rPr>
        <w:t xml:space="preserve"> </w:t>
      </w:r>
      <w:r w:rsidRPr="005675B2">
        <w:rPr>
          <w:rFonts w:hint="cs"/>
          <w:rtl/>
        </w:rPr>
        <w:t>ويسلم للنصوص</w:t>
      </w:r>
      <w:r w:rsidR="000636C2">
        <w:rPr>
          <w:rFonts w:hint="cs"/>
          <w:rtl/>
        </w:rPr>
        <w:t>،</w:t>
      </w:r>
      <w:r w:rsidRPr="005675B2">
        <w:rPr>
          <w:rFonts w:hint="cs"/>
          <w:rtl/>
        </w:rPr>
        <w:t xml:space="preserve"> فلم يشترطوا موافقة السنة فحسب</w:t>
      </w:r>
      <w:r w:rsidR="000636C2">
        <w:rPr>
          <w:rFonts w:hint="cs"/>
          <w:rtl/>
        </w:rPr>
        <w:t>،</w:t>
      </w:r>
      <w:r w:rsidRPr="005675B2">
        <w:rPr>
          <w:rFonts w:hint="cs"/>
          <w:rtl/>
        </w:rPr>
        <w:t xml:space="preserve"> بل التلقي والاستمداد منها</w:t>
      </w:r>
      <w:r w:rsidR="000636C2">
        <w:rPr>
          <w:rFonts w:hint="cs"/>
          <w:rtl/>
        </w:rPr>
        <w:t>،</w:t>
      </w:r>
      <w:r w:rsidRPr="005675B2">
        <w:rPr>
          <w:rFonts w:hint="cs"/>
          <w:rtl/>
        </w:rPr>
        <w:t xml:space="preserve"> فمن</w:t>
      </w:r>
      <w:r w:rsidRPr="005675B2">
        <w:rPr>
          <w:rFonts w:hint="cs"/>
        </w:rPr>
        <w:t xml:space="preserve"> </w:t>
      </w:r>
      <w:r w:rsidRPr="005675B2">
        <w:rPr>
          <w:rFonts w:hint="cs"/>
          <w:rtl/>
        </w:rPr>
        <w:t>تلقى من السنة فهو من أهلها وإن أخطأ</w:t>
      </w:r>
      <w:r w:rsidR="000636C2">
        <w:rPr>
          <w:rFonts w:hint="cs"/>
          <w:rtl/>
        </w:rPr>
        <w:t>،</w:t>
      </w:r>
      <w:r w:rsidRPr="005675B2">
        <w:rPr>
          <w:rFonts w:hint="cs"/>
          <w:rtl/>
        </w:rPr>
        <w:t xml:space="preserve"> ومن تلقى من غيرها فقد أخطأ وإن وافقها في</w:t>
      </w:r>
      <w:r w:rsidRPr="005675B2">
        <w:rPr>
          <w:rFonts w:hint="cs"/>
        </w:rPr>
        <w:t xml:space="preserve"> </w:t>
      </w:r>
      <w:r w:rsidRPr="005675B2">
        <w:rPr>
          <w:rFonts w:hint="cs"/>
          <w:rtl/>
        </w:rPr>
        <w:t>النتيجة</w:t>
      </w:r>
      <w:r w:rsidR="000636C2">
        <w:rPr>
          <w:rFonts w:hint="cs"/>
          <w:rtl/>
        </w:rPr>
        <w:t>،</w:t>
      </w:r>
    </w:p>
    <w:p w14:paraId="444209D9" w14:textId="16698CFA" w:rsidR="009C32A0" w:rsidRPr="005675B2" w:rsidRDefault="000636C2" w:rsidP="000636C2">
      <w:pPr>
        <w:rPr>
          <w:b/>
          <w:rtl/>
        </w:rPr>
      </w:pPr>
      <w:r>
        <w:rPr>
          <w:rFonts w:hint="cs"/>
          <w:bCs/>
          <w:rtl/>
        </w:rPr>
        <w:t>[</w:t>
      </w:r>
      <w:r w:rsidR="009C32A0">
        <w:rPr>
          <w:rFonts w:hint="cs"/>
          <w:bCs/>
          <w:rtl/>
        </w:rPr>
        <w:t>الجواب</w:t>
      </w:r>
      <w:r>
        <w:rPr>
          <w:rFonts w:hint="cs"/>
          <w:bCs/>
          <w:rtl/>
        </w:rPr>
        <w:t>]:</w:t>
      </w:r>
      <w:r w:rsidR="009C32A0" w:rsidRPr="005675B2">
        <w:rPr>
          <w:rFonts w:hint="cs"/>
          <w:rtl/>
        </w:rPr>
        <w:t xml:space="preserve"> طبعاً اجتهد الأخ الحوالي هداه الله فقاس الأشاعرة على أهل الكلام البدعي كالخوارج والجهمية</w:t>
      </w:r>
      <w:r>
        <w:rPr>
          <w:rFonts w:hint="cs"/>
          <w:rtl/>
        </w:rPr>
        <w:t>،</w:t>
      </w:r>
      <w:r w:rsidR="009C32A0" w:rsidRPr="005675B2">
        <w:rPr>
          <w:rFonts w:hint="cs"/>
          <w:rtl/>
        </w:rPr>
        <w:t>ثم اجتهد أخرى فحكم بكونهم مبتدعة</w:t>
      </w:r>
      <w:r>
        <w:rPr>
          <w:rFonts w:hint="cs"/>
          <w:rtl/>
        </w:rPr>
        <w:t xml:space="preserve">،! </w:t>
      </w:r>
      <w:r w:rsidR="009C32A0" w:rsidRPr="005675B2">
        <w:rPr>
          <w:rFonts w:hint="cs"/>
          <w:rtl/>
        </w:rPr>
        <w:t>وأقول</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 xml:space="preserve">): </w:t>
      </w:r>
      <w:r w:rsidR="009C32A0" w:rsidRPr="005675B2">
        <w:rPr>
          <w:rFonts w:hint="cs"/>
          <w:rtl/>
        </w:rPr>
        <w:t>قياسه باطل</w:t>
      </w:r>
      <w:r>
        <w:rPr>
          <w:rFonts w:hint="cs"/>
          <w:rtl/>
        </w:rPr>
        <w:t>،</w:t>
      </w:r>
      <w:r w:rsidR="009C32A0" w:rsidRPr="005675B2">
        <w:rPr>
          <w:rFonts w:hint="cs"/>
          <w:rtl/>
        </w:rPr>
        <w:t>فليس</w:t>
      </w:r>
      <w:r>
        <w:rPr>
          <w:rFonts w:hint="cs"/>
          <w:rtl/>
        </w:rPr>
        <w:t xml:space="preserve"> </w:t>
      </w:r>
      <w:r w:rsidR="009C32A0" w:rsidRPr="005675B2">
        <w:rPr>
          <w:rFonts w:hint="cs"/>
          <w:rtl/>
        </w:rPr>
        <w:t>الأشعرية كالمعتزلة</w:t>
      </w:r>
      <w:r>
        <w:rPr>
          <w:rFonts w:hint="cs"/>
          <w:rtl/>
        </w:rPr>
        <w:t>،</w:t>
      </w:r>
      <w:r w:rsidR="009C32A0" w:rsidRPr="005675B2">
        <w:rPr>
          <w:rFonts w:hint="cs"/>
          <w:rtl/>
        </w:rPr>
        <w:t>ولا كالرافضة</w:t>
      </w:r>
      <w:r>
        <w:rPr>
          <w:rFonts w:hint="cs"/>
          <w:rtl/>
        </w:rPr>
        <w:t>،</w:t>
      </w:r>
      <w:r w:rsidR="009C32A0" w:rsidRPr="005675B2">
        <w:rPr>
          <w:rFonts w:hint="cs"/>
          <w:rtl/>
        </w:rPr>
        <w:t>ولا الخوارج</w:t>
      </w:r>
      <w:r>
        <w:rPr>
          <w:rFonts w:hint="cs"/>
          <w:rtl/>
        </w:rPr>
        <w:t>،</w:t>
      </w:r>
      <w:r w:rsidR="009C32A0" w:rsidRPr="005675B2">
        <w:rPr>
          <w:rFonts w:hint="cs"/>
          <w:rtl/>
        </w:rPr>
        <w:t>بل أئمة الجرح والتعديل من أهل السنة والجماعة كانوا أشاعرة</w:t>
      </w:r>
      <w:r>
        <w:rPr>
          <w:rFonts w:hint="cs"/>
          <w:rtl/>
        </w:rPr>
        <w:t>،</w:t>
      </w:r>
      <w:r w:rsidR="009C32A0" w:rsidRPr="005675B2">
        <w:rPr>
          <w:rFonts w:hint="cs"/>
          <w:rtl/>
        </w:rPr>
        <w:t xml:space="preserve"> منهم الشيخ كمال الدين ابن قاضي شهبة</w:t>
      </w:r>
      <w:r>
        <w:rPr>
          <w:rFonts w:hint="cs"/>
          <w:rtl/>
        </w:rPr>
        <w:t>،</w:t>
      </w:r>
      <w:r w:rsidR="009C32A0" w:rsidRPr="005675B2">
        <w:rPr>
          <w:rFonts w:hint="cs"/>
          <w:rtl/>
        </w:rPr>
        <w:t>والحافظ النووي</w:t>
      </w:r>
      <w:r>
        <w:rPr>
          <w:rFonts w:hint="cs"/>
          <w:rtl/>
        </w:rPr>
        <w:t>،</w:t>
      </w:r>
      <w:r w:rsidR="009C32A0" w:rsidRPr="005675B2">
        <w:rPr>
          <w:rFonts w:hint="cs"/>
          <w:rtl/>
        </w:rPr>
        <w:t>والحافظ ابن حجر</w:t>
      </w:r>
      <w:r>
        <w:rPr>
          <w:rFonts w:hint="cs"/>
          <w:rtl/>
        </w:rPr>
        <w:t>،</w:t>
      </w:r>
      <w:r w:rsidR="009C32A0" w:rsidRPr="005675B2">
        <w:rPr>
          <w:rFonts w:hint="cs"/>
          <w:rtl/>
        </w:rPr>
        <w:t>وابن الصلاح</w:t>
      </w:r>
      <w:r>
        <w:rPr>
          <w:rFonts w:hint="cs"/>
          <w:rtl/>
        </w:rPr>
        <w:t>،</w:t>
      </w:r>
      <w:r w:rsidR="009C32A0" w:rsidRPr="005675B2">
        <w:rPr>
          <w:rFonts w:hint="cs"/>
          <w:rtl/>
        </w:rPr>
        <w:t xml:space="preserve"> والخطيب</w:t>
      </w:r>
      <w:r>
        <w:rPr>
          <w:rFonts w:hint="cs"/>
          <w:rtl/>
        </w:rPr>
        <w:t>،</w:t>
      </w:r>
      <w:r w:rsidR="009C32A0" w:rsidRPr="005675B2">
        <w:rPr>
          <w:rFonts w:hint="cs"/>
          <w:rtl/>
        </w:rPr>
        <w:t xml:space="preserve"> والسيوطي وغيرهم كثير</w:t>
      </w:r>
      <w:r>
        <w:rPr>
          <w:rFonts w:hint="cs"/>
          <w:rtl/>
        </w:rPr>
        <w:t xml:space="preserve">، </w:t>
      </w:r>
      <w:r w:rsidR="009C32A0" w:rsidRPr="005675B2">
        <w:rPr>
          <w:rFonts w:hint="cs"/>
          <w:rtl/>
        </w:rPr>
        <w:t>فإذا كان هؤلاء الأشاعرة</w:t>
      </w:r>
      <w:r>
        <w:rPr>
          <w:rFonts w:hint="cs"/>
          <w:rtl/>
        </w:rPr>
        <w:t xml:space="preserve"> </w:t>
      </w:r>
      <w:r w:rsidR="009C32A0" w:rsidRPr="005675B2">
        <w:rPr>
          <w:rFonts w:hint="cs"/>
          <w:rtl/>
        </w:rPr>
        <w:t>الذين نقلوا الأحاديث</w:t>
      </w:r>
      <w:r>
        <w:rPr>
          <w:rFonts w:hint="cs"/>
          <w:rtl/>
        </w:rPr>
        <w:t>،</w:t>
      </w:r>
      <w:r w:rsidR="009C32A0" w:rsidRPr="005675B2">
        <w:rPr>
          <w:rFonts w:hint="cs"/>
          <w:rtl/>
        </w:rPr>
        <w:t>وبينوا العلم وهم أئمة في علم الحديث والرجال صاروا في زماننا مبتدعة ضلال وخارجون</w:t>
      </w:r>
      <w:r>
        <w:rPr>
          <w:rFonts w:hint="cs"/>
          <w:rtl/>
        </w:rPr>
        <w:t xml:space="preserve"> </w:t>
      </w:r>
      <w:r w:rsidR="009C32A0" w:rsidRPr="005675B2">
        <w:rPr>
          <w:rFonts w:hint="cs"/>
          <w:rtl/>
        </w:rPr>
        <w:t>عن السنة والجماعة ومتوعدون</w:t>
      </w:r>
      <w:r>
        <w:rPr>
          <w:rFonts w:hint="cs"/>
          <w:rtl/>
        </w:rPr>
        <w:t xml:space="preserve"> </w:t>
      </w:r>
      <w:r w:rsidR="009C32A0" w:rsidRPr="005675B2">
        <w:rPr>
          <w:rFonts w:hint="cs"/>
          <w:rtl/>
        </w:rPr>
        <w:t>بالهلاك والنار فهي والله مصيبة ما بعدها مصيبة</w:t>
      </w:r>
      <w:r>
        <w:rPr>
          <w:rFonts w:hint="cs"/>
          <w:rtl/>
        </w:rPr>
        <w:t>، (</w:t>
      </w:r>
      <w:r w:rsidR="009C32A0">
        <w:rPr>
          <w:rFonts w:hint="cs"/>
          <w:rtl/>
        </w:rPr>
        <w:t>ثانيا</w:t>
      </w:r>
      <w:r>
        <w:rPr>
          <w:rFonts w:hint="cs"/>
          <w:rtl/>
        </w:rPr>
        <w:t>):</w:t>
      </w:r>
      <w:r w:rsidR="009C32A0" w:rsidRPr="005675B2">
        <w:rPr>
          <w:rFonts w:hint="cs"/>
          <w:rtl/>
        </w:rPr>
        <w:t xml:space="preserve"> ما قلته يا أخي هو مجرد دعوى</w:t>
      </w:r>
      <w:r>
        <w:rPr>
          <w:rFonts w:hint="cs"/>
          <w:rtl/>
        </w:rPr>
        <w:t>،</w:t>
      </w:r>
      <w:r w:rsidR="009C32A0" w:rsidRPr="005675B2">
        <w:rPr>
          <w:rFonts w:hint="cs"/>
          <w:rtl/>
        </w:rPr>
        <w:t>لأن قول القائل</w:t>
      </w:r>
      <w:r>
        <w:rPr>
          <w:rFonts w:hint="cs"/>
          <w:rtl/>
        </w:rPr>
        <w:t>:</w:t>
      </w:r>
      <w:r w:rsidR="009C32A0" w:rsidRPr="005675B2">
        <w:rPr>
          <w:rFonts w:hint="cs"/>
          <w:rtl/>
        </w:rPr>
        <w:t>أن فلاناً صاحب سنة</w:t>
      </w:r>
      <w:r>
        <w:rPr>
          <w:rFonts w:hint="cs"/>
          <w:rtl/>
        </w:rPr>
        <w:t xml:space="preserve"> </w:t>
      </w:r>
      <w:r w:rsidR="009C32A0" w:rsidRPr="005675B2">
        <w:rPr>
          <w:rFonts w:hint="cs"/>
          <w:rtl/>
        </w:rPr>
        <w:t>فمعناه</w:t>
      </w:r>
      <w:r>
        <w:rPr>
          <w:rFonts w:hint="cs"/>
          <w:rtl/>
        </w:rPr>
        <w:t xml:space="preserve"> </w:t>
      </w:r>
      <w:r w:rsidR="009C32A0" w:rsidRPr="005675B2">
        <w:rPr>
          <w:rFonts w:hint="cs"/>
          <w:rtl/>
        </w:rPr>
        <w:t>أنه على السنة أي الطريقة التي كان عليها الرسول صلى الله عليه وسلم وأ صحابه</w:t>
      </w:r>
      <w:r>
        <w:rPr>
          <w:rFonts w:hint="cs"/>
          <w:rtl/>
        </w:rPr>
        <w:t>،</w:t>
      </w:r>
      <w:r w:rsidR="009C32A0" w:rsidRPr="005675B2">
        <w:rPr>
          <w:rFonts w:hint="cs"/>
          <w:rtl/>
        </w:rPr>
        <w:t xml:space="preserve"> هذا معنى أنه من أهل السنة</w:t>
      </w:r>
      <w:r>
        <w:rPr>
          <w:rFonts w:hint="cs"/>
          <w:rtl/>
        </w:rPr>
        <w:t xml:space="preserve">، </w:t>
      </w:r>
      <w:r w:rsidR="009C32A0" w:rsidRPr="005675B2">
        <w:rPr>
          <w:rFonts w:hint="cs"/>
          <w:rtl/>
        </w:rPr>
        <w:t>وإلا فعلى كلامك يقال أن الإمام مالك</w:t>
      </w:r>
      <w:r>
        <w:rPr>
          <w:rFonts w:hint="cs"/>
          <w:rtl/>
        </w:rPr>
        <w:t>،</w:t>
      </w:r>
      <w:r w:rsidR="009C32A0" w:rsidRPr="005675B2">
        <w:rPr>
          <w:rFonts w:hint="cs"/>
          <w:rtl/>
        </w:rPr>
        <w:t>وأحمد</w:t>
      </w:r>
      <w:r>
        <w:rPr>
          <w:rFonts w:hint="cs"/>
          <w:rtl/>
        </w:rPr>
        <w:t>،</w:t>
      </w:r>
      <w:r w:rsidR="009C32A0" w:rsidRPr="005675B2">
        <w:rPr>
          <w:rFonts w:hint="cs"/>
          <w:rtl/>
        </w:rPr>
        <w:t xml:space="preserve"> والشافعي هم أصحاب سنة بمعنى أنهم ليسوا من</w:t>
      </w:r>
      <w:r>
        <w:rPr>
          <w:rFonts w:hint="cs"/>
          <w:rtl/>
        </w:rPr>
        <w:t xml:space="preserve"> </w:t>
      </w:r>
      <w:r w:rsidR="009C32A0" w:rsidRPr="005675B2">
        <w:rPr>
          <w:rFonts w:hint="cs"/>
          <w:rtl/>
        </w:rPr>
        <w:t>الجهمية والمشبهة</w:t>
      </w:r>
      <w:r>
        <w:rPr>
          <w:rFonts w:hint="cs"/>
          <w:rtl/>
        </w:rPr>
        <w:t>،</w:t>
      </w:r>
      <w:r w:rsidR="009C32A0" w:rsidRPr="005675B2">
        <w:rPr>
          <w:rFonts w:hint="cs"/>
          <w:rtl/>
        </w:rPr>
        <w:t>وليس</w:t>
      </w:r>
      <w:r>
        <w:rPr>
          <w:rFonts w:hint="cs"/>
          <w:rtl/>
        </w:rPr>
        <w:t xml:space="preserve"> </w:t>
      </w:r>
      <w:r w:rsidR="009C32A0" w:rsidRPr="005675B2">
        <w:rPr>
          <w:rFonts w:hint="cs"/>
          <w:rtl/>
        </w:rPr>
        <w:t>المعنى أنهم مثل الصحابة لأن الصحابة لم يخوضوا في تفاصيل العقائد،إنما كان همهم الجهاد والعمل، لا الردود والجدل</w:t>
      </w:r>
      <w:r>
        <w:rPr>
          <w:rFonts w:hint="cs"/>
          <w:rtl/>
        </w:rPr>
        <w:t xml:space="preserve">،!، </w:t>
      </w:r>
      <w:r w:rsidR="009C32A0" w:rsidRPr="005675B2">
        <w:rPr>
          <w:rFonts w:hint="cs"/>
          <w:rtl/>
        </w:rPr>
        <w:t>فنعم لقد خاض الشافعي</w:t>
      </w:r>
      <w:r>
        <w:rPr>
          <w:rFonts w:hint="cs"/>
          <w:rtl/>
        </w:rPr>
        <w:t>،</w:t>
      </w:r>
      <w:r w:rsidR="009C32A0" w:rsidRPr="005675B2">
        <w:rPr>
          <w:rFonts w:hint="cs"/>
          <w:rtl/>
        </w:rPr>
        <w:t>وأحمد، وأبو حنيفة</w:t>
      </w:r>
      <w:r>
        <w:rPr>
          <w:rFonts w:hint="cs"/>
          <w:rtl/>
        </w:rPr>
        <w:t>،</w:t>
      </w:r>
      <w:r w:rsidR="009C32A0" w:rsidRPr="005675B2">
        <w:rPr>
          <w:rFonts w:hint="cs"/>
          <w:rtl/>
        </w:rPr>
        <w:t>ومالك</w:t>
      </w:r>
      <w:r>
        <w:rPr>
          <w:rFonts w:hint="cs"/>
          <w:rtl/>
        </w:rPr>
        <w:t>،</w:t>
      </w:r>
      <w:r w:rsidR="009C32A0" w:rsidRPr="005675B2">
        <w:rPr>
          <w:rFonts w:hint="cs"/>
          <w:rtl/>
        </w:rPr>
        <w:t>وغيرهم فيما لم يخض فيه الصحابة</w:t>
      </w:r>
      <w:r>
        <w:rPr>
          <w:rFonts w:hint="cs"/>
          <w:rtl/>
        </w:rPr>
        <w:t>،</w:t>
      </w:r>
      <w:r w:rsidR="009C32A0" w:rsidRPr="005675B2">
        <w:rPr>
          <w:rFonts w:hint="cs"/>
          <w:rtl/>
        </w:rPr>
        <w:t>وكان خوضهم واجب متحتم لرد شبه الزائغين</w:t>
      </w:r>
      <w:r>
        <w:rPr>
          <w:rFonts w:hint="cs"/>
          <w:rtl/>
        </w:rPr>
        <w:t>،</w:t>
      </w:r>
      <w:r w:rsidR="009C32A0" w:rsidRPr="005675B2">
        <w:rPr>
          <w:rFonts w:hint="cs"/>
          <w:rtl/>
        </w:rPr>
        <w:t xml:space="preserve"> وكذا خاض غيرهم</w:t>
      </w:r>
      <w:r>
        <w:rPr>
          <w:rFonts w:hint="cs"/>
          <w:rtl/>
        </w:rPr>
        <w:t xml:space="preserve"> </w:t>
      </w:r>
      <w:r w:rsidR="009C32A0" w:rsidRPr="005675B2">
        <w:rPr>
          <w:rFonts w:hint="cs"/>
          <w:rtl/>
        </w:rPr>
        <w:t>من أئمة أهل السنة كابن كلاب والأشعري</w:t>
      </w:r>
      <w:r>
        <w:rPr>
          <w:rFonts w:hint="cs"/>
          <w:rtl/>
        </w:rPr>
        <w:t>،</w:t>
      </w:r>
      <w:r w:rsidR="009C32A0" w:rsidRPr="005675B2">
        <w:rPr>
          <w:rFonts w:hint="cs"/>
          <w:rtl/>
        </w:rPr>
        <w:t xml:space="preserve"> والبخاري</w:t>
      </w:r>
      <w:r>
        <w:rPr>
          <w:rFonts w:hint="cs"/>
          <w:rtl/>
        </w:rPr>
        <w:t>،</w:t>
      </w:r>
      <w:r w:rsidR="009C32A0" w:rsidRPr="005675B2">
        <w:rPr>
          <w:rFonts w:hint="cs"/>
          <w:rtl/>
        </w:rPr>
        <w:t>وهو واجب بلا ريب لدحض الشبه وردها</w:t>
      </w:r>
      <w:r>
        <w:rPr>
          <w:rFonts w:hint="cs"/>
          <w:rtl/>
        </w:rPr>
        <w:t>،</w:t>
      </w:r>
      <w:r w:rsidR="009C32A0" w:rsidRPr="005675B2">
        <w:rPr>
          <w:rFonts w:hint="cs"/>
          <w:rtl/>
        </w:rPr>
        <w:t xml:space="preserve"> وكان الأشعري رحمه الله يقصد إلى مواطن المعتزلة ليناظرهم، فقيل له</w:t>
      </w:r>
      <w:r>
        <w:rPr>
          <w:rFonts w:hint="cs"/>
          <w:rtl/>
        </w:rPr>
        <w:t>:</w:t>
      </w:r>
      <w:r w:rsidR="009C32A0" w:rsidRPr="005675B2">
        <w:rPr>
          <w:rFonts w:hint="cs"/>
          <w:rtl/>
        </w:rPr>
        <w:t xml:space="preserve"> كيف تخالط أهل البدع، وتقصدهم بنفسك، وقد أمرت بهجرهم</w:t>
      </w:r>
      <w:r>
        <w:rPr>
          <w:rFonts w:hint="cs"/>
          <w:rtl/>
        </w:rPr>
        <w:t>؟</w:t>
      </w:r>
      <w:r w:rsidR="009C32A0" w:rsidRPr="005675B2">
        <w:rPr>
          <w:rFonts w:hint="cs"/>
          <w:rtl/>
        </w:rPr>
        <w:t xml:space="preserve"> فقال</w:t>
      </w:r>
      <w:r>
        <w:rPr>
          <w:rFonts w:hint="cs"/>
          <w:rtl/>
        </w:rPr>
        <w:t>:</w:t>
      </w:r>
      <w:r w:rsidR="009C32A0" w:rsidRPr="005675B2">
        <w:rPr>
          <w:rFonts w:hint="cs"/>
          <w:rtl/>
        </w:rPr>
        <w:t xml:space="preserve"> هم أولو رئاسة</w:t>
      </w:r>
      <w:r>
        <w:rPr>
          <w:rFonts w:hint="cs"/>
          <w:rtl/>
        </w:rPr>
        <w:t>:</w:t>
      </w:r>
      <w:r w:rsidR="009C32A0" w:rsidRPr="005675B2">
        <w:rPr>
          <w:rFonts w:hint="cs"/>
          <w:rtl/>
        </w:rPr>
        <w:t xml:space="preserve"> منهم الوالي والقاضي، ولرئاستهم لا ينـزلون إليّ، فإذا كانوا هم لا ينـزلون إليّ، ولا أسير أنا إليهم، </w:t>
      </w:r>
      <w:r w:rsidR="009C32A0" w:rsidRPr="005675B2">
        <w:rPr>
          <w:rFonts w:hint="cs"/>
          <w:u w:val="single"/>
          <w:rtl/>
        </w:rPr>
        <w:t>فكيف يظهر الحق، ويعلمون أن لأهل السنة ناصراً بالحجة</w:t>
      </w:r>
      <w:r>
        <w:rPr>
          <w:rFonts w:hint="cs"/>
          <w:u w:val="single"/>
          <w:rtl/>
        </w:rPr>
        <w:t xml:space="preserve">!، </w:t>
      </w:r>
      <w:r w:rsidR="009C32A0" w:rsidRPr="005675B2">
        <w:rPr>
          <w:rFonts w:hint="cs"/>
          <w:rtl/>
        </w:rPr>
        <w:t>ثالثاً</w:t>
      </w:r>
      <w:r>
        <w:rPr>
          <w:rFonts w:hint="cs"/>
          <w:rtl/>
        </w:rPr>
        <w:t>:</w:t>
      </w:r>
      <w:r w:rsidR="009C32A0" w:rsidRPr="005675B2">
        <w:rPr>
          <w:rFonts w:hint="cs"/>
          <w:rtl/>
        </w:rPr>
        <w:t xml:space="preserve"> قولكم (</w:t>
      </w:r>
      <w:r>
        <w:rPr>
          <w:rFonts w:hint="cs"/>
          <w:rtl/>
        </w:rPr>
        <w:t>(</w:t>
      </w:r>
      <w:r w:rsidR="009C32A0" w:rsidRPr="005675B2">
        <w:rPr>
          <w:rFonts w:hint="cs"/>
          <w:rtl/>
        </w:rPr>
        <w:t>وقد نص الإمام أحمد وابن المديني على أن من خاض</w:t>
      </w:r>
      <w:r w:rsidR="009C32A0" w:rsidRPr="005675B2">
        <w:rPr>
          <w:rFonts w:hint="cs"/>
        </w:rPr>
        <w:t xml:space="preserve"> </w:t>
      </w:r>
      <w:r w:rsidR="009C32A0" w:rsidRPr="005675B2">
        <w:rPr>
          <w:rFonts w:hint="cs"/>
          <w:rtl/>
        </w:rPr>
        <w:t>في شيء من علم الكلام لا يعتبر من أهل السنة وإن أصاب بكلامه السنة حتى يدع الجدل</w:t>
      </w:r>
      <w:r w:rsidR="009C32A0" w:rsidRPr="005675B2">
        <w:rPr>
          <w:rFonts w:hint="cs"/>
        </w:rPr>
        <w:t xml:space="preserve"> </w:t>
      </w:r>
      <w:r w:rsidR="009C32A0" w:rsidRPr="005675B2">
        <w:rPr>
          <w:rFonts w:hint="cs"/>
          <w:rtl/>
        </w:rPr>
        <w:t>ويسلم للنصوص</w:t>
      </w:r>
      <w:r>
        <w:rPr>
          <w:rFonts w:hint="cs"/>
          <w:rtl/>
        </w:rPr>
        <w:t>،</w:t>
      </w:r>
      <w:r w:rsidR="009C32A0" w:rsidRPr="005675B2">
        <w:rPr>
          <w:rFonts w:hint="cs"/>
          <w:rtl/>
        </w:rPr>
        <w:t xml:space="preserve"> فلم يشترطوا موافقة السنة فحسب</w:t>
      </w:r>
      <w:r>
        <w:rPr>
          <w:rFonts w:hint="cs"/>
          <w:rtl/>
        </w:rPr>
        <w:t>،</w:t>
      </w:r>
      <w:r w:rsidR="009C32A0" w:rsidRPr="005675B2">
        <w:rPr>
          <w:rFonts w:hint="cs"/>
          <w:rtl/>
        </w:rPr>
        <w:t xml:space="preserve"> بل التلقي والاستمداد منها</w:t>
      </w:r>
      <w:r>
        <w:rPr>
          <w:rFonts w:hint="cs"/>
          <w:rtl/>
        </w:rPr>
        <w:t>،</w:t>
      </w:r>
      <w:r w:rsidR="009C32A0" w:rsidRPr="005675B2">
        <w:rPr>
          <w:rFonts w:hint="cs"/>
          <w:rtl/>
        </w:rPr>
        <w:t xml:space="preserve"> فمن</w:t>
      </w:r>
      <w:r w:rsidR="009C32A0" w:rsidRPr="005675B2">
        <w:rPr>
          <w:rFonts w:hint="cs"/>
        </w:rPr>
        <w:t xml:space="preserve"> </w:t>
      </w:r>
      <w:r w:rsidR="009C32A0" w:rsidRPr="005675B2">
        <w:rPr>
          <w:rFonts w:hint="cs"/>
          <w:rtl/>
        </w:rPr>
        <w:t>تلقى من السنة فهو من أهلها وإن أخطأ</w:t>
      </w:r>
      <w:r>
        <w:rPr>
          <w:rFonts w:hint="cs"/>
          <w:rtl/>
        </w:rPr>
        <w:t>،</w:t>
      </w:r>
      <w:r w:rsidR="009C32A0" w:rsidRPr="005675B2">
        <w:rPr>
          <w:rFonts w:hint="cs"/>
          <w:rtl/>
        </w:rPr>
        <w:t xml:space="preserve"> ومن تلقى من غيرها فقد أخطأ وإن وافقها في</w:t>
      </w:r>
      <w:r w:rsidR="009C32A0" w:rsidRPr="005675B2">
        <w:rPr>
          <w:rFonts w:hint="cs"/>
        </w:rPr>
        <w:t xml:space="preserve"> </w:t>
      </w:r>
      <w:r w:rsidR="009C32A0" w:rsidRPr="005675B2">
        <w:rPr>
          <w:rFonts w:hint="cs"/>
          <w:rtl/>
        </w:rPr>
        <w:t>النتيجة</w:t>
      </w:r>
      <w:r>
        <w:rPr>
          <w:rFonts w:hint="cs"/>
          <w:rtl/>
        </w:rPr>
        <w:t>)</w:t>
      </w:r>
      <w:r w:rsidR="009C32A0" w:rsidRPr="005675B2">
        <w:rPr>
          <w:rFonts w:hint="cs"/>
          <w:rtl/>
        </w:rPr>
        <w:t>)</w:t>
      </w:r>
      <w:r>
        <w:rPr>
          <w:rFonts w:hint="cs"/>
          <w:rtl/>
        </w:rPr>
        <w:t xml:space="preserve">، </w:t>
      </w:r>
      <w:r w:rsidR="009C32A0" w:rsidRPr="005675B2">
        <w:rPr>
          <w:rFonts w:hint="cs"/>
          <w:rtl/>
        </w:rPr>
        <w:t>نحتاج أولاً لنعلم ما هوعلم الكلام الذي نهوا عنه</w:t>
      </w:r>
      <w:r>
        <w:rPr>
          <w:rFonts w:hint="cs"/>
          <w:rtl/>
        </w:rPr>
        <w:t>؟</w:t>
      </w:r>
      <w:r w:rsidR="009C32A0" w:rsidRPr="005675B2">
        <w:rPr>
          <w:rFonts w:hint="cs"/>
          <w:rtl/>
        </w:rPr>
        <w:t xml:space="preserve"> وما سبب نهيهم عن ذلك</w:t>
      </w:r>
      <w:r>
        <w:rPr>
          <w:rFonts w:hint="cs"/>
          <w:rtl/>
        </w:rPr>
        <w:t>؟</w:t>
      </w:r>
      <w:r w:rsidR="009C32A0" w:rsidRPr="005675B2">
        <w:rPr>
          <w:rFonts w:hint="cs"/>
          <w:rtl/>
        </w:rPr>
        <w:t xml:space="preserve"> وهل ينطبق ذلك على الأشاعرة وغيرهم من أهل السنة أم لا</w:t>
      </w:r>
      <w:r>
        <w:rPr>
          <w:rFonts w:hint="cs"/>
          <w:rtl/>
        </w:rPr>
        <w:t>؟ (</w:t>
      </w:r>
      <w:r w:rsidR="009C32A0">
        <w:rPr>
          <w:rFonts w:hint="cs"/>
          <w:rtl/>
        </w:rPr>
        <w:t>أولا</w:t>
      </w:r>
      <w:r>
        <w:rPr>
          <w:rFonts w:hint="cs"/>
          <w:rtl/>
        </w:rPr>
        <w:t>):</w:t>
      </w:r>
      <w:r w:rsidR="009C32A0" w:rsidRPr="005675B2">
        <w:rPr>
          <w:rFonts w:hint="cs"/>
          <w:rtl/>
        </w:rPr>
        <w:t xml:space="preserve"> ماهو الكلام الذي نهوا عنه</w:t>
      </w:r>
      <w:r>
        <w:rPr>
          <w:rFonts w:hint="cs"/>
          <w:rtl/>
        </w:rPr>
        <w:t xml:space="preserve">؟ </w:t>
      </w:r>
      <w:r w:rsidR="009C32A0" w:rsidRPr="005675B2">
        <w:rPr>
          <w:rFonts w:hint="cs"/>
          <w:rtl/>
        </w:rPr>
        <w:t>قال ابن تيمية</w:t>
      </w:r>
      <w:r>
        <w:rPr>
          <w:rFonts w:hint="cs"/>
          <w:u w:val="single"/>
          <w:rtl/>
        </w:rPr>
        <w:t>:</w:t>
      </w:r>
      <w:r w:rsidR="009C32A0" w:rsidRPr="005675B2">
        <w:rPr>
          <w:rFonts w:hint="cs"/>
          <w:u w:val="single"/>
          <w:rtl/>
        </w:rPr>
        <w:t xml:space="preserve"> إن الكلام المذموم الذي ذمه السلف هو الكلام الباطل المخالف لصحيح المنقول وصريح المعقول</w:t>
      </w:r>
      <w:r>
        <w:rPr>
          <w:rFonts w:hint="cs"/>
          <w:u w:val="single"/>
          <w:rtl/>
        </w:rPr>
        <w:t>،</w:t>
      </w:r>
      <w:r w:rsidR="009C32A0" w:rsidRPr="005675B2">
        <w:rPr>
          <w:rFonts w:hint="cs"/>
          <w:u w:val="single"/>
          <w:rtl/>
        </w:rPr>
        <w:t xml:space="preserve"> [</w:t>
      </w:r>
      <w:r w:rsidR="009C32A0" w:rsidRPr="005675B2">
        <w:rPr>
          <w:rFonts w:hint="cs"/>
          <w:bCs/>
          <w:sz w:val="24"/>
          <w:szCs w:val="24"/>
          <w:rtl/>
        </w:rPr>
        <w:t>مجموع الفتاوي 12/212</w:t>
      </w:r>
      <w:r w:rsidR="009C32A0" w:rsidRPr="005675B2">
        <w:rPr>
          <w:rFonts w:hint="cs"/>
          <w:u w:val="single"/>
          <w:rtl/>
        </w:rPr>
        <w:t>] أ هـ</w:t>
      </w:r>
      <w:r>
        <w:rPr>
          <w:rFonts w:hint="cs"/>
          <w:u w:val="single"/>
          <w:rtl/>
        </w:rPr>
        <w:t>،</w:t>
      </w:r>
      <w:r w:rsidR="009C32A0" w:rsidRPr="005675B2">
        <w:rPr>
          <w:rFonts w:hint="cs"/>
          <w:rtl/>
        </w:rPr>
        <w:t xml:space="preserve"> ونعرف ذلك بأمور منها</w:t>
      </w:r>
      <w:r>
        <w:rPr>
          <w:rFonts w:hint="cs"/>
          <w:rtl/>
        </w:rPr>
        <w:t>:</w:t>
      </w:r>
      <w:r w:rsidR="009C32A0" w:rsidRPr="005675B2">
        <w:rPr>
          <w:rFonts w:hint="cs"/>
          <w:rtl/>
        </w:rPr>
        <w:t>الأمر الأول</w:t>
      </w:r>
      <w:r>
        <w:rPr>
          <w:rFonts w:hint="cs"/>
          <w:rtl/>
        </w:rPr>
        <w:t>:</w:t>
      </w:r>
      <w:r w:rsidR="009C32A0" w:rsidRPr="005675B2">
        <w:rPr>
          <w:rFonts w:hint="cs"/>
          <w:rtl/>
        </w:rPr>
        <w:t xml:space="preserve"> بالنقل عنهم</w:t>
      </w:r>
      <w:r>
        <w:rPr>
          <w:rFonts w:hint="cs"/>
          <w:rtl/>
        </w:rPr>
        <w:t>:</w:t>
      </w:r>
      <w:r w:rsidR="009C32A0" w:rsidRPr="005675B2">
        <w:rPr>
          <w:rFonts w:hint="cs"/>
          <w:rtl/>
        </w:rPr>
        <w:t xml:space="preserve"> فقد ورد عن السلف كلام مجمل</w:t>
      </w:r>
      <w:r>
        <w:rPr>
          <w:rFonts w:hint="cs"/>
          <w:rtl/>
        </w:rPr>
        <w:t>،</w:t>
      </w:r>
      <w:r w:rsidR="009C32A0" w:rsidRPr="005675B2">
        <w:rPr>
          <w:rFonts w:hint="cs"/>
          <w:rtl/>
        </w:rPr>
        <w:t>وكلام مفصل في النهي عن الكلام</w:t>
      </w:r>
      <w:r>
        <w:rPr>
          <w:rFonts w:hint="cs"/>
          <w:rtl/>
        </w:rPr>
        <w:t>،</w:t>
      </w:r>
      <w:r w:rsidR="009C32A0" w:rsidRPr="005675B2">
        <w:rPr>
          <w:rFonts w:hint="cs"/>
          <w:rtl/>
        </w:rPr>
        <w:t xml:space="preserve"> والمجمل لا يمكن أن نصل منه إلى جواب واضح</w:t>
      </w:r>
      <w:r>
        <w:rPr>
          <w:rFonts w:hint="cs"/>
          <w:rtl/>
        </w:rPr>
        <w:t>،</w:t>
      </w:r>
      <w:r w:rsidR="009C32A0" w:rsidRPr="005675B2">
        <w:rPr>
          <w:rFonts w:hint="cs"/>
          <w:rtl/>
        </w:rPr>
        <w:t>ولا يصح الأخذ بالمجمل مع وجود المبين له</w:t>
      </w:r>
      <w:r>
        <w:rPr>
          <w:rFonts w:hint="cs"/>
          <w:rtl/>
        </w:rPr>
        <w:t>،</w:t>
      </w:r>
      <w:r w:rsidR="009C32A0" w:rsidRPr="005675B2">
        <w:rPr>
          <w:rFonts w:hint="cs"/>
          <w:rtl/>
        </w:rPr>
        <w:t>فإليكم المبين</w:t>
      </w:r>
      <w:r>
        <w:rPr>
          <w:rFonts w:hint="cs"/>
          <w:rtl/>
        </w:rPr>
        <w:t>:</w:t>
      </w:r>
      <w:r w:rsidR="009C32A0" w:rsidRPr="005675B2">
        <w:rPr>
          <w:rFonts w:hint="cs"/>
          <w:rtl/>
        </w:rPr>
        <w:t xml:space="preserve"> قال مصعب الزبيري</w:t>
      </w:r>
      <w:r>
        <w:rPr>
          <w:rFonts w:hint="cs"/>
          <w:rtl/>
        </w:rPr>
        <w:t>:</w:t>
      </w:r>
      <w:r w:rsidR="009C32A0" w:rsidRPr="005675B2">
        <w:rPr>
          <w:rFonts w:hint="cs"/>
          <w:rtl/>
        </w:rPr>
        <w:t xml:space="preserve"> بلغني عن مالك بن أنس أنه كان يقول</w:t>
      </w:r>
      <w:r>
        <w:rPr>
          <w:rFonts w:hint="cs"/>
          <w:rtl/>
        </w:rPr>
        <w:t>:</w:t>
      </w:r>
      <w:r w:rsidR="009C32A0" w:rsidRPr="005675B2">
        <w:rPr>
          <w:rFonts w:hint="cs"/>
          <w:rtl/>
        </w:rPr>
        <w:t xml:space="preserve"> الكلام في الدين كله أكرهه ولم يزل أهل بلدنا يكرهونه</w:t>
      </w:r>
      <w:r>
        <w:rPr>
          <w:rFonts w:hint="cs"/>
          <w:rtl/>
        </w:rPr>
        <w:t>:</w:t>
      </w:r>
      <w:r w:rsidR="009C32A0" w:rsidRPr="005675B2">
        <w:rPr>
          <w:rFonts w:hint="cs"/>
          <w:rtl/>
        </w:rPr>
        <w:t>القدر</w:t>
      </w:r>
      <w:r>
        <w:rPr>
          <w:rFonts w:hint="cs"/>
          <w:rtl/>
        </w:rPr>
        <w:t>،</w:t>
      </w:r>
      <w:r w:rsidR="009C32A0" w:rsidRPr="005675B2">
        <w:rPr>
          <w:rFonts w:hint="cs"/>
          <w:rtl/>
        </w:rPr>
        <w:t xml:space="preserve"> ورأي جهم</w:t>
      </w:r>
      <w:r>
        <w:rPr>
          <w:rFonts w:hint="cs"/>
          <w:rtl/>
        </w:rPr>
        <w:t>،</w:t>
      </w:r>
      <w:r w:rsidR="009C32A0" w:rsidRPr="005675B2">
        <w:rPr>
          <w:rFonts w:hint="cs"/>
          <w:rtl/>
        </w:rPr>
        <w:t>وكل ما أشبهه ولا أحب الكلام إلا فيما كان تحته عمل</w:t>
      </w:r>
      <w:r>
        <w:rPr>
          <w:rFonts w:hint="cs"/>
          <w:rtl/>
        </w:rPr>
        <w:t>،</w:t>
      </w:r>
      <w:r w:rsidR="009C32A0" w:rsidRPr="005675B2">
        <w:rPr>
          <w:rFonts w:hint="cs"/>
          <w:rtl/>
        </w:rPr>
        <w:t>فأما الكلام في الله فالسكوت عنه [</w:t>
      </w:r>
      <w:r w:rsidR="009C32A0" w:rsidRPr="005675B2">
        <w:rPr>
          <w:rFonts w:hint="cs"/>
          <w:bCs/>
          <w:sz w:val="24"/>
          <w:szCs w:val="24"/>
          <w:rtl/>
        </w:rPr>
        <w:t>اللالكائي 1/ 143</w:t>
      </w:r>
      <w:r>
        <w:rPr>
          <w:rFonts w:hint="cs"/>
          <w:bCs/>
          <w:sz w:val="24"/>
          <w:szCs w:val="24"/>
          <w:rtl/>
        </w:rPr>
        <w:t>،</w:t>
      </w:r>
      <w:r w:rsidR="009C32A0" w:rsidRPr="005675B2">
        <w:rPr>
          <w:rFonts w:hint="cs"/>
          <w:bCs/>
          <w:sz w:val="24"/>
          <w:szCs w:val="24"/>
          <w:rtl/>
        </w:rPr>
        <w:t xml:space="preserve"> وجامع العلم لابن عبدالبر 309</w:t>
      </w:r>
      <w:r w:rsidR="009C32A0" w:rsidRPr="005675B2">
        <w:rPr>
          <w:rFonts w:hint="cs"/>
          <w:rtl/>
        </w:rPr>
        <w:t>]</w:t>
      </w:r>
      <w:r>
        <w:rPr>
          <w:rFonts w:hint="cs"/>
          <w:rtl/>
        </w:rPr>
        <w:t>،</w:t>
      </w:r>
      <w:r w:rsidR="009C32A0" w:rsidRPr="005675B2">
        <w:rPr>
          <w:rFonts w:hint="cs"/>
          <w:rtl/>
        </w:rPr>
        <w:t xml:space="preserve"> أ هـ</w:t>
      </w:r>
      <w:r>
        <w:rPr>
          <w:rFonts w:hint="cs"/>
          <w:rtl/>
        </w:rPr>
        <w:t xml:space="preserve">، </w:t>
      </w:r>
      <w:r w:rsidR="009C32A0" w:rsidRPr="005675B2">
        <w:rPr>
          <w:rFonts w:hint="cs"/>
          <w:rtl/>
        </w:rPr>
        <w:t>إذن الكلام المنهي عنه هو الكلام الباطل لا الكلام الحق بقرائن منها</w:t>
      </w:r>
      <w:r>
        <w:rPr>
          <w:rFonts w:hint="cs"/>
          <w:rtl/>
        </w:rPr>
        <w:t>:</w:t>
      </w:r>
    </w:p>
    <w:p w14:paraId="3480B102" w14:textId="32550EF2"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السلف قد تكلموا في القدر للرد على المعتزلة</w:t>
      </w:r>
      <w:r w:rsidR="000636C2">
        <w:rPr>
          <w:rFonts w:hint="cs"/>
          <w:rtl/>
        </w:rPr>
        <w:t>،</w:t>
      </w:r>
      <w:r w:rsidRPr="005675B2">
        <w:rPr>
          <w:rFonts w:hint="cs"/>
          <w:rtl/>
        </w:rPr>
        <w:t>وتكلموا في الله للرد على الحلولية والجهمية</w:t>
      </w:r>
      <w:r w:rsidR="000636C2">
        <w:rPr>
          <w:rFonts w:hint="cs"/>
          <w:rtl/>
        </w:rPr>
        <w:t>،</w:t>
      </w:r>
    </w:p>
    <w:p w14:paraId="48137823" w14:textId="060060B9"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أن الإمام مالك حدد نوع الكلام المراد ذمه بضرب الأمثلة فقال</w:t>
      </w:r>
      <w:r w:rsidR="000636C2">
        <w:rPr>
          <w:rFonts w:hint="cs"/>
          <w:rtl/>
        </w:rPr>
        <w:t>:</w:t>
      </w:r>
      <w:r w:rsidRPr="005675B2">
        <w:rPr>
          <w:rFonts w:hint="cs"/>
          <w:rtl/>
        </w:rPr>
        <w:t xml:space="preserve"> </w:t>
      </w:r>
      <w:r w:rsidR="000636C2">
        <w:rPr>
          <w:rFonts w:hint="cs"/>
          <w:rtl/>
        </w:rPr>
        <w:t>(</w:t>
      </w:r>
      <w:r w:rsidRPr="005675B2">
        <w:rPr>
          <w:rFonts w:hint="cs"/>
          <w:rtl/>
        </w:rPr>
        <w:t>القدر</w:t>
      </w:r>
      <w:r w:rsidR="000636C2">
        <w:rPr>
          <w:rFonts w:hint="cs"/>
          <w:rtl/>
        </w:rPr>
        <w:t>)</w:t>
      </w:r>
      <w:r w:rsidRPr="005675B2">
        <w:rPr>
          <w:rFonts w:hint="cs"/>
          <w:rtl/>
        </w:rPr>
        <w:t xml:space="preserve"> أي - رأي القدرية في مسألة القدر - </w:t>
      </w:r>
      <w:r w:rsidR="000636C2">
        <w:rPr>
          <w:rFonts w:hint="cs"/>
          <w:rtl/>
        </w:rPr>
        <w:t>(</w:t>
      </w:r>
      <w:r w:rsidRPr="005675B2">
        <w:rPr>
          <w:rFonts w:hint="cs"/>
          <w:rtl/>
        </w:rPr>
        <w:t>ورأي جهم</w:t>
      </w:r>
      <w:r w:rsidR="000636C2">
        <w:rPr>
          <w:rFonts w:hint="cs"/>
          <w:rtl/>
        </w:rPr>
        <w:t>)</w:t>
      </w:r>
      <w:r w:rsidRPr="005675B2">
        <w:rPr>
          <w:rFonts w:hint="cs"/>
          <w:rtl/>
        </w:rPr>
        <w:t xml:space="preserve"> وهو إنكار الصفات والقول بفناء الجنة</w:t>
      </w:r>
      <w:r w:rsidR="000636C2">
        <w:rPr>
          <w:rFonts w:hint="cs"/>
          <w:rtl/>
        </w:rPr>
        <w:t>،</w:t>
      </w:r>
      <w:r w:rsidRPr="005675B2">
        <w:rPr>
          <w:rFonts w:hint="cs"/>
          <w:rtl/>
        </w:rPr>
        <w:t>وبفناءالنار، والقول بالحلول وغيرها من طوامّه</w:t>
      </w:r>
      <w:r w:rsidR="000636C2">
        <w:rPr>
          <w:rFonts w:hint="cs"/>
          <w:rtl/>
        </w:rPr>
        <w:t>،</w:t>
      </w:r>
    </w:p>
    <w:p w14:paraId="2DF4AB76" w14:textId="17235A93"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المنكر هو الكلام فيما ليس تحته عمل، وإنما هو مجرد خصومة بالباطل</w:t>
      </w:r>
      <w:r w:rsidR="000636C2">
        <w:rPr>
          <w:rFonts w:hint="cs"/>
          <w:rtl/>
        </w:rPr>
        <w:t>،</w:t>
      </w:r>
      <w:r w:rsidRPr="005675B2">
        <w:rPr>
          <w:rFonts w:hint="cs"/>
          <w:rtl/>
        </w:rPr>
        <w:t>أما ماكان تحته عمل أو كان لإظهار الحق فلا ينكره عاقل</w:t>
      </w:r>
      <w:r w:rsidR="000636C2">
        <w:rPr>
          <w:rFonts w:hint="cs"/>
          <w:rtl/>
        </w:rPr>
        <w:t>،</w:t>
      </w:r>
      <w:r w:rsidRPr="005675B2">
        <w:rPr>
          <w:rFonts w:hint="cs"/>
          <w:rtl/>
        </w:rPr>
        <w:t>ولذا فعله كثير من السلف</w:t>
      </w:r>
      <w:r w:rsidR="000636C2">
        <w:rPr>
          <w:rFonts w:hint="cs"/>
          <w:rtl/>
        </w:rPr>
        <w:t>،</w:t>
      </w:r>
      <w:r w:rsidRPr="005675B2">
        <w:rPr>
          <w:rFonts w:hint="cs"/>
          <w:rtl/>
        </w:rPr>
        <w:t>وأي عمل أعظم من تصحيح الاعتقاد</w:t>
      </w:r>
      <w:r w:rsidR="000636C2">
        <w:rPr>
          <w:rFonts w:hint="cs"/>
          <w:rtl/>
        </w:rPr>
        <w:t>،</w:t>
      </w:r>
    </w:p>
    <w:p w14:paraId="1E62920E" w14:textId="7ABA13D8"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أن المذموم هو كلام يعارض الكتاب والسنة الصحيحة</w:t>
      </w:r>
      <w:r w:rsidR="000636C2">
        <w:rPr>
          <w:rFonts w:hint="cs"/>
          <w:rtl/>
        </w:rPr>
        <w:t>،</w:t>
      </w:r>
      <w:r w:rsidRPr="005675B2">
        <w:rPr>
          <w:rFonts w:hint="cs"/>
          <w:rtl/>
        </w:rPr>
        <w:t>أما ما يؤيدها</w:t>
      </w:r>
      <w:r w:rsidR="000636C2">
        <w:rPr>
          <w:rFonts w:hint="cs"/>
          <w:rtl/>
        </w:rPr>
        <w:t>،</w:t>
      </w:r>
      <w:r w:rsidRPr="005675B2">
        <w:rPr>
          <w:rFonts w:hint="cs"/>
          <w:rtl/>
        </w:rPr>
        <w:t>وينصرها، ويبّينها فهو مطلوب</w:t>
      </w:r>
      <w:r w:rsidR="000636C2">
        <w:rPr>
          <w:rFonts w:hint="cs"/>
          <w:rtl/>
        </w:rPr>
        <w:t xml:space="preserve"> </w:t>
      </w:r>
      <w:r w:rsidRPr="005675B2">
        <w:rPr>
          <w:rFonts w:hint="cs"/>
          <w:rtl/>
        </w:rPr>
        <w:t>وهذا ما فعله الأشاعرة وغيرهم من أهل السنة</w:t>
      </w:r>
      <w:r w:rsidR="000636C2">
        <w:rPr>
          <w:rFonts w:hint="cs"/>
          <w:rtl/>
        </w:rPr>
        <w:t>،</w:t>
      </w:r>
    </w:p>
    <w:p w14:paraId="4689E1CD" w14:textId="10DA5E9C" w:rsidR="009C32A0" w:rsidRPr="005675B2" w:rsidRDefault="009C32A0" w:rsidP="000636C2">
      <w:pPr>
        <w:rPr>
          <w:b/>
          <w:rtl/>
        </w:rPr>
      </w:pPr>
      <w:r w:rsidRPr="005675B2">
        <w:rPr>
          <w:rFonts w:hint="cs"/>
          <w:rtl/>
        </w:rPr>
        <w:t>الأمر الثاني</w:t>
      </w:r>
      <w:r w:rsidR="000636C2">
        <w:rPr>
          <w:rFonts w:hint="cs"/>
          <w:rtl/>
        </w:rPr>
        <w:t>:</w:t>
      </w:r>
      <w:r w:rsidRPr="005675B2">
        <w:rPr>
          <w:rFonts w:hint="cs"/>
          <w:rtl/>
        </w:rPr>
        <w:t xml:space="preserve"> من الدلائل الدالة على معنى الكلام المنهي عنه</w:t>
      </w:r>
      <w:r w:rsidR="000636C2">
        <w:rPr>
          <w:rFonts w:hint="cs"/>
          <w:rtl/>
        </w:rPr>
        <w:t>:</w:t>
      </w:r>
      <w:r w:rsidRPr="005675B2">
        <w:rPr>
          <w:rFonts w:hint="cs"/>
          <w:rtl/>
        </w:rPr>
        <w:t>معرفة أصحاب الكلام الذين كان يذمهم علماء السلف، وهذا يعرف بواقع عصرهم</w:t>
      </w:r>
      <w:r w:rsidR="000636C2">
        <w:rPr>
          <w:rFonts w:hint="cs"/>
          <w:rtl/>
        </w:rPr>
        <w:t>،</w:t>
      </w:r>
      <w:r w:rsidRPr="005675B2">
        <w:rPr>
          <w:rFonts w:hint="cs"/>
          <w:rtl/>
        </w:rPr>
        <w:t xml:space="preserve"> والبدعة المنتشرة في عصرهم هي نفي الصفات ورأي القدرية الخبيث</w:t>
      </w:r>
      <w:r w:rsidR="000636C2">
        <w:rPr>
          <w:rFonts w:hint="cs"/>
          <w:rtl/>
        </w:rPr>
        <w:t>:</w:t>
      </w:r>
      <w:r w:rsidRPr="005675B2">
        <w:rPr>
          <w:rFonts w:hint="cs"/>
          <w:rtl/>
        </w:rPr>
        <w:t>ــ</w:t>
      </w:r>
      <w:r w:rsidR="000636C2">
        <w:rPr>
          <w:rFonts w:hint="cs"/>
          <w:rtl/>
        </w:rPr>
        <w:t xml:space="preserve"> </w:t>
      </w:r>
      <w:r w:rsidRPr="005675B2">
        <w:rPr>
          <w:rFonts w:hint="cs"/>
          <w:rtl/>
        </w:rPr>
        <w:t>- ففي عصر مالك</w:t>
      </w:r>
      <w:r w:rsidR="000636C2">
        <w:rPr>
          <w:rFonts w:hint="cs"/>
          <w:rtl/>
        </w:rPr>
        <w:t>،</w:t>
      </w:r>
      <w:r w:rsidRPr="005675B2">
        <w:rPr>
          <w:rFonts w:hint="cs"/>
          <w:rtl/>
        </w:rPr>
        <w:t>والنعمان بن ثابت ومن قبلهما - رحمهم الله -</w:t>
      </w:r>
      <w:r w:rsidR="000636C2">
        <w:rPr>
          <w:rFonts w:hint="cs"/>
          <w:rtl/>
        </w:rPr>
        <w:t xml:space="preserve"> </w:t>
      </w:r>
      <w:r w:rsidRPr="005675B2">
        <w:rPr>
          <w:rFonts w:hint="cs"/>
          <w:rtl/>
        </w:rPr>
        <w:t>ابتدع رأي القدرية</w:t>
      </w:r>
      <w:r w:rsidR="000636C2">
        <w:rPr>
          <w:rFonts w:hint="cs"/>
          <w:rtl/>
        </w:rPr>
        <w:t>،</w:t>
      </w:r>
      <w:r w:rsidRPr="005675B2">
        <w:rPr>
          <w:rFonts w:hint="cs"/>
          <w:rtl/>
        </w:rPr>
        <w:t>والجهمية</w:t>
      </w:r>
      <w:r w:rsidR="000636C2">
        <w:rPr>
          <w:rFonts w:hint="cs"/>
          <w:rtl/>
        </w:rPr>
        <w:t>،</w:t>
      </w:r>
      <w:r w:rsidRPr="005675B2">
        <w:rPr>
          <w:rFonts w:hint="cs"/>
          <w:rtl/>
        </w:rPr>
        <w:t>والمشبهة ونحوهم كما سبق</w:t>
      </w:r>
      <w:r w:rsidR="000636C2">
        <w:rPr>
          <w:rFonts w:hint="cs"/>
          <w:rtl/>
        </w:rPr>
        <w:t>،</w:t>
      </w:r>
    </w:p>
    <w:p w14:paraId="32A85096" w14:textId="0B07E9E7" w:rsidR="009C32A0" w:rsidRPr="005675B2" w:rsidRDefault="009C32A0" w:rsidP="000636C2">
      <w:pPr>
        <w:rPr>
          <w:b/>
          <w:rtl/>
        </w:rPr>
      </w:pPr>
      <w:r w:rsidRPr="005675B2">
        <w:rPr>
          <w:rFonts w:hint="cs"/>
          <w:rtl/>
        </w:rPr>
        <w:t>ـــ</w:t>
      </w:r>
      <w:r w:rsidR="000636C2">
        <w:rPr>
          <w:rFonts w:hint="cs"/>
          <w:rtl/>
        </w:rPr>
        <w:t xml:space="preserve"> </w:t>
      </w:r>
      <w:r w:rsidRPr="005675B2">
        <w:rPr>
          <w:rFonts w:hint="cs"/>
          <w:rtl/>
        </w:rPr>
        <w:t>- وفي عصر</w:t>
      </w:r>
      <w:r w:rsidR="000636C2">
        <w:rPr>
          <w:rFonts w:hint="cs"/>
          <w:rtl/>
        </w:rPr>
        <w:t xml:space="preserve"> </w:t>
      </w:r>
      <w:r w:rsidRPr="005675B2">
        <w:rPr>
          <w:rFonts w:hint="cs"/>
          <w:rtl/>
        </w:rPr>
        <w:t>الشافعي، وأحمد</w:t>
      </w:r>
      <w:r w:rsidR="000636C2">
        <w:rPr>
          <w:rFonts w:hint="cs"/>
          <w:rtl/>
        </w:rPr>
        <w:t>،</w:t>
      </w:r>
      <w:r w:rsidRPr="005675B2">
        <w:rPr>
          <w:rFonts w:hint="cs"/>
          <w:rtl/>
        </w:rPr>
        <w:t>وابن كٌلاب</w:t>
      </w:r>
      <w:r w:rsidR="000636C2">
        <w:rPr>
          <w:rFonts w:hint="cs"/>
          <w:rtl/>
        </w:rPr>
        <w:t>،</w:t>
      </w:r>
      <w:r w:rsidRPr="005675B2">
        <w:rPr>
          <w:rFonts w:hint="cs"/>
          <w:rtl/>
        </w:rPr>
        <w:t>وأبو الحسن الأشعري</w:t>
      </w:r>
      <w:r w:rsidR="000636C2">
        <w:rPr>
          <w:rFonts w:hint="cs"/>
          <w:rtl/>
        </w:rPr>
        <w:t>،</w:t>
      </w:r>
      <w:r w:rsidRPr="005675B2">
        <w:rPr>
          <w:rFonts w:hint="cs"/>
          <w:rtl/>
        </w:rPr>
        <w:t>انتشر رأي المعتزلة</w:t>
      </w:r>
      <w:r w:rsidR="000636C2">
        <w:rPr>
          <w:rFonts w:hint="cs"/>
          <w:rtl/>
        </w:rPr>
        <w:t>،</w:t>
      </w:r>
    </w:p>
    <w:p w14:paraId="7E285F88" w14:textId="1C402D24" w:rsidR="009C32A0" w:rsidRPr="005675B2" w:rsidRDefault="009C32A0" w:rsidP="000636C2">
      <w:pPr>
        <w:rPr>
          <w:b/>
          <w:rtl/>
        </w:rPr>
      </w:pPr>
      <w:r w:rsidRPr="005675B2">
        <w:rPr>
          <w:rFonts w:hint="cs"/>
          <w:rtl/>
        </w:rPr>
        <w:t>إذن</w:t>
      </w:r>
      <w:r w:rsidR="000636C2">
        <w:rPr>
          <w:rFonts w:hint="cs"/>
          <w:rtl/>
        </w:rPr>
        <w:t xml:space="preserve"> </w:t>
      </w:r>
      <w:r w:rsidRPr="005675B2">
        <w:rPr>
          <w:rFonts w:hint="cs"/>
          <w:rtl/>
        </w:rPr>
        <w:t>كانوا يقصدون ذم شيء رأوه وعرفوه في عصرهم</w:t>
      </w:r>
      <w:r w:rsidR="000636C2">
        <w:rPr>
          <w:rFonts w:hint="cs"/>
          <w:rtl/>
        </w:rPr>
        <w:t>،</w:t>
      </w:r>
      <w:r w:rsidRPr="005675B2">
        <w:rPr>
          <w:rFonts w:hint="cs"/>
          <w:rtl/>
        </w:rPr>
        <w:t xml:space="preserve"> وهو كلام أهل الكلام في عصرهم، من</w:t>
      </w:r>
      <w:r w:rsidR="000636C2">
        <w:rPr>
          <w:rFonts w:hint="cs"/>
          <w:rtl/>
        </w:rPr>
        <w:t xml:space="preserve"> </w:t>
      </w:r>
      <w:r w:rsidRPr="005675B2">
        <w:rPr>
          <w:rFonts w:hint="cs"/>
          <w:rtl/>
        </w:rPr>
        <w:t>المعتزلة والجهمية</w:t>
      </w:r>
      <w:r w:rsidR="000636C2">
        <w:rPr>
          <w:rFonts w:hint="cs"/>
          <w:rtl/>
        </w:rPr>
        <w:t>،</w:t>
      </w:r>
      <w:r w:rsidRPr="005675B2">
        <w:rPr>
          <w:rFonts w:hint="cs"/>
          <w:rtl/>
        </w:rPr>
        <w:t>والمشبهة</w:t>
      </w:r>
      <w:r w:rsidR="000636C2">
        <w:rPr>
          <w:rFonts w:hint="cs"/>
          <w:rtl/>
        </w:rPr>
        <w:t>،</w:t>
      </w:r>
      <w:r w:rsidRPr="005675B2">
        <w:rPr>
          <w:rFonts w:hint="cs"/>
          <w:rtl/>
        </w:rPr>
        <w:t xml:space="preserve"> أما أهل السنة من الأشاعرة فليسوا مثل هؤلاء أبداً لسببين</w:t>
      </w:r>
      <w:r w:rsidR="000636C2">
        <w:rPr>
          <w:rFonts w:hint="cs"/>
          <w:rtl/>
        </w:rPr>
        <w:t>:</w:t>
      </w:r>
    </w:p>
    <w:p w14:paraId="6DE5EAD3" w14:textId="58A030AE" w:rsidR="009C32A0" w:rsidRPr="005675B2" w:rsidRDefault="009C32A0" w:rsidP="000636C2">
      <w:pPr>
        <w:rPr>
          <w:b/>
          <w:rtl/>
        </w:rPr>
      </w:pPr>
      <w:r w:rsidRPr="005675B2">
        <w:rPr>
          <w:rFonts w:hint="cs"/>
          <w:rtl/>
        </w:rPr>
        <w:t>السبب الأول</w:t>
      </w:r>
      <w:r w:rsidR="000636C2">
        <w:rPr>
          <w:rFonts w:hint="cs"/>
          <w:rtl/>
        </w:rPr>
        <w:t>:</w:t>
      </w:r>
      <w:r w:rsidRPr="005675B2">
        <w:rPr>
          <w:rFonts w:hint="cs"/>
          <w:rtl/>
        </w:rPr>
        <w:t xml:space="preserve"> أن كلامهم لم يكن إلا كلاماً محموداً</w:t>
      </w:r>
      <w:r w:rsidR="000636C2">
        <w:rPr>
          <w:rFonts w:hint="cs"/>
          <w:rtl/>
        </w:rPr>
        <w:t>،</w:t>
      </w:r>
      <w:r w:rsidRPr="005675B2">
        <w:rPr>
          <w:rFonts w:hint="cs"/>
          <w:rtl/>
        </w:rPr>
        <w:t>فالكلام وسيلة إلى أمر مقصود، فإن كانت النتيجة موافقة للحق فهو حق</w:t>
      </w:r>
      <w:r w:rsidR="000636C2">
        <w:rPr>
          <w:rFonts w:hint="cs"/>
          <w:rtl/>
        </w:rPr>
        <w:t>،</w:t>
      </w:r>
      <w:r w:rsidRPr="005675B2">
        <w:rPr>
          <w:rFonts w:hint="cs"/>
          <w:rtl/>
        </w:rPr>
        <w:t>وإن كانت باطلة فهو باطل</w:t>
      </w:r>
      <w:r w:rsidR="000636C2">
        <w:rPr>
          <w:rFonts w:hint="cs"/>
          <w:rtl/>
        </w:rPr>
        <w:t>،</w:t>
      </w:r>
      <w:r w:rsidRPr="005675B2">
        <w:rPr>
          <w:rFonts w:hint="cs"/>
          <w:rtl/>
        </w:rPr>
        <w:t>مادام أن الكلام المتكلم به في حد ذاته لم يأت نهي عنه في كتاب ولا سنة فالأصل أن الكلام مباح</w:t>
      </w:r>
      <w:r w:rsidR="000636C2">
        <w:rPr>
          <w:rFonts w:hint="cs"/>
          <w:rtl/>
        </w:rPr>
        <w:t>،</w:t>
      </w:r>
      <w:r w:rsidRPr="005675B2">
        <w:rPr>
          <w:rFonts w:hint="cs"/>
          <w:rtl/>
        </w:rPr>
        <w:t>وكلام المعتزلة في أغلبه بمقدماته ونتائجه باطل، فضلاً عن الجهمية</w:t>
      </w:r>
      <w:r w:rsidR="000636C2">
        <w:rPr>
          <w:rFonts w:hint="cs"/>
          <w:rtl/>
        </w:rPr>
        <w:t>،</w:t>
      </w:r>
      <w:r w:rsidRPr="005675B2">
        <w:rPr>
          <w:rFonts w:hint="cs"/>
          <w:rtl/>
        </w:rPr>
        <w:t>والمشبهة</w:t>
      </w:r>
      <w:r w:rsidR="000636C2">
        <w:rPr>
          <w:rFonts w:hint="cs"/>
          <w:rtl/>
        </w:rPr>
        <w:t>،</w:t>
      </w:r>
    </w:p>
    <w:p w14:paraId="286E9BC3" w14:textId="478FD054" w:rsidR="009C32A0" w:rsidRPr="005675B2" w:rsidRDefault="009C32A0" w:rsidP="000636C2">
      <w:pPr>
        <w:rPr>
          <w:b/>
          <w:rtl/>
        </w:rPr>
      </w:pPr>
      <w:r w:rsidRPr="005675B2">
        <w:rPr>
          <w:rFonts w:hint="cs"/>
          <w:rtl/>
        </w:rPr>
        <w:t>السبب الثاني</w:t>
      </w:r>
      <w:r w:rsidR="000636C2">
        <w:rPr>
          <w:rFonts w:hint="cs"/>
          <w:rtl/>
        </w:rPr>
        <w:t>:</w:t>
      </w:r>
      <w:r w:rsidRPr="005675B2">
        <w:rPr>
          <w:rFonts w:hint="cs"/>
          <w:rtl/>
        </w:rPr>
        <w:t xml:space="preserve"> أن مصدر التلقي عند الأشاعرة هو الأدلة الشرعية بشرط العقل فمن لا عقل له لا تكليف عليه لأن القلم عنه مرفوع</w:t>
      </w:r>
      <w:r w:rsidR="000636C2">
        <w:rPr>
          <w:rFonts w:hint="cs"/>
          <w:rtl/>
        </w:rPr>
        <w:t>،</w:t>
      </w:r>
      <w:r w:rsidRPr="005675B2">
        <w:rPr>
          <w:rFonts w:hint="cs"/>
          <w:rtl/>
        </w:rPr>
        <w:t>وهم بذلك يخالفون المعتزلة في مصدر التلقي، إذ هو عند المعتزلة أن الأحكام كلها ثبتت بالعقل</w:t>
      </w:r>
      <w:r w:rsidR="000636C2">
        <w:rPr>
          <w:rFonts w:hint="cs"/>
          <w:rtl/>
        </w:rPr>
        <w:t>،</w:t>
      </w:r>
      <w:r w:rsidRPr="005675B2">
        <w:rPr>
          <w:rFonts w:hint="cs"/>
          <w:rtl/>
        </w:rPr>
        <w:t>يقول القاضي عبدالجبار المعتزلي</w:t>
      </w:r>
      <w:r w:rsidR="000636C2">
        <w:rPr>
          <w:rFonts w:hint="cs"/>
          <w:rtl/>
        </w:rPr>
        <w:t>:</w:t>
      </w:r>
      <w:r w:rsidRPr="005675B2">
        <w:rPr>
          <w:rFonts w:hint="cs"/>
          <w:rtl/>
        </w:rPr>
        <w:t xml:space="preserve"> معرفة الله لا تنال إلا بحجة العقل</w:t>
      </w:r>
      <w:r w:rsidR="000636C2">
        <w:rPr>
          <w:rFonts w:hint="cs"/>
          <w:rtl/>
        </w:rPr>
        <w:t>،</w:t>
      </w:r>
      <w:r w:rsidRPr="005675B2">
        <w:rPr>
          <w:rFonts w:hint="cs"/>
          <w:rtl/>
        </w:rPr>
        <w:t>لأن ما عداها فرع على معرفة الله تعالى</w:t>
      </w:r>
      <w:r w:rsidR="000636C2">
        <w:rPr>
          <w:rFonts w:hint="cs"/>
          <w:rtl/>
        </w:rPr>
        <w:t>،</w:t>
      </w:r>
      <w:r w:rsidRPr="005675B2">
        <w:rPr>
          <w:rFonts w:hint="cs"/>
          <w:rtl/>
        </w:rPr>
        <w:t>فلو استدللنا بشيء منها على الله والحال هذه، كنا مستدلين بفرع للشيء على أصله وذلك لا يجوز</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شرح الأصول الخمسة للقاضي عبد الجبار ص50]</w:t>
      </w:r>
      <w:r w:rsidRPr="005675B2">
        <w:rPr>
          <w:rFonts w:hint="cs"/>
          <w:rtl/>
        </w:rPr>
        <w:t xml:space="preserve"> هذا هومذهب المعتزلة</w:t>
      </w:r>
      <w:r w:rsidR="000636C2">
        <w:rPr>
          <w:rFonts w:hint="cs"/>
          <w:rtl/>
        </w:rPr>
        <w:t>،</w:t>
      </w:r>
      <w:r w:rsidRPr="005675B2">
        <w:rPr>
          <w:rFonts w:hint="cs"/>
          <w:rtl/>
        </w:rPr>
        <w:t xml:space="preserve"> و الأشاعرة يخالفونهم في ذلك لأن مصدر التلقي عندهم هما الكتاب والسنة</w:t>
      </w:r>
      <w:r w:rsidR="000636C2">
        <w:rPr>
          <w:rFonts w:hint="cs"/>
          <w:rtl/>
        </w:rPr>
        <w:t>،</w:t>
      </w:r>
      <w:r w:rsidRPr="005675B2">
        <w:rPr>
          <w:rFonts w:hint="cs"/>
          <w:rtl/>
        </w:rPr>
        <w:t xml:space="preserve"> وسأزيد مسألة مصدر التلقي بحثاً في موضعها من المسائل التي ذكرها الكاتب في الرد</w:t>
      </w:r>
      <w:r w:rsidR="000636C2">
        <w:rPr>
          <w:rFonts w:hint="cs"/>
          <w:rtl/>
        </w:rPr>
        <w:t xml:space="preserve"> </w:t>
      </w:r>
      <w:r w:rsidRPr="005675B2">
        <w:rPr>
          <w:rFonts w:hint="cs"/>
          <w:rtl/>
        </w:rPr>
        <w:t>إن شاء الله</w:t>
      </w:r>
      <w:r w:rsidR="000636C2">
        <w:rPr>
          <w:rFonts w:hint="cs"/>
          <w:rtl/>
        </w:rPr>
        <w:t>،</w:t>
      </w:r>
      <w:r w:rsidRPr="005675B2">
        <w:rPr>
          <w:rFonts w:hint="cs"/>
          <w:rtl/>
        </w:rPr>
        <w:t xml:space="preserve"> فإيهامك أن الأشاعرة ليس الأصل عندهم الكتاب والسنة في التلقي وهو ما صرحت به فيما يأتي من شبهات هو كلام غير صحيح</w:t>
      </w:r>
      <w:r w:rsidR="000636C2">
        <w:rPr>
          <w:rFonts w:hint="cs"/>
          <w:rtl/>
        </w:rPr>
        <w:t>،</w:t>
      </w:r>
    </w:p>
    <w:p w14:paraId="365A4C1A" w14:textId="005CB26E" w:rsidR="009C32A0" w:rsidRPr="005675B2" w:rsidRDefault="009C32A0" w:rsidP="000636C2">
      <w:pPr>
        <w:rPr>
          <w:b/>
          <w:rtl/>
        </w:rPr>
      </w:pPr>
      <w:r w:rsidRPr="005675B2">
        <w:rPr>
          <w:rFonts w:hint="cs"/>
          <w:rtl/>
        </w:rPr>
        <w:t>فوائد</w:t>
      </w:r>
      <w:r w:rsidR="000636C2">
        <w:rPr>
          <w:rFonts w:hint="cs"/>
          <w:rtl/>
        </w:rPr>
        <w:t>:</w:t>
      </w:r>
      <w:r w:rsidRPr="005675B2">
        <w:rPr>
          <w:rFonts w:hint="cs"/>
          <w:rtl/>
        </w:rPr>
        <w:t xml:space="preserve"> الفائدة الأولى</w:t>
      </w:r>
      <w:r w:rsidR="000636C2">
        <w:rPr>
          <w:rFonts w:hint="cs"/>
          <w:rtl/>
        </w:rPr>
        <w:t>:</w:t>
      </w:r>
      <w:r w:rsidRPr="005675B2">
        <w:rPr>
          <w:rFonts w:hint="cs"/>
          <w:rtl/>
        </w:rPr>
        <w:t>إن أساليب وطرق تقرير الحق غير توقيفية</w:t>
      </w:r>
      <w:r w:rsidR="000636C2">
        <w:rPr>
          <w:rFonts w:hint="cs"/>
          <w:rtl/>
        </w:rPr>
        <w:t>،</w:t>
      </w:r>
      <w:r w:rsidRPr="005675B2">
        <w:rPr>
          <w:rFonts w:hint="cs"/>
          <w:rtl/>
        </w:rPr>
        <w:t>بل تارة تكون بالنقل إن وجد النقل</w:t>
      </w:r>
      <w:r w:rsidR="000636C2">
        <w:rPr>
          <w:rFonts w:hint="cs"/>
          <w:rtl/>
        </w:rPr>
        <w:t>،</w:t>
      </w:r>
      <w:r w:rsidRPr="005675B2">
        <w:rPr>
          <w:rFonts w:hint="cs"/>
          <w:rtl/>
        </w:rPr>
        <w:t>وتارة تكون بالعقل</w:t>
      </w:r>
      <w:r w:rsidR="000636C2">
        <w:rPr>
          <w:rFonts w:hint="cs"/>
          <w:rtl/>
        </w:rPr>
        <w:t>،</w:t>
      </w:r>
      <w:r w:rsidRPr="005675B2">
        <w:rPr>
          <w:rFonts w:hint="cs"/>
          <w:rtl/>
        </w:rPr>
        <w:t xml:space="preserve"> قال الإمام الحافظ ابن عساكر في كتابه الذي ألّفه في الدفاع عن الإمام الأشعري وبيّن فيه كذب من افترى عليه ما نصّه</w:t>
      </w:r>
      <w:r w:rsidR="000636C2">
        <w:rPr>
          <w:rFonts w:hint="cs"/>
          <w:rtl/>
        </w:rPr>
        <w:t>:</w:t>
      </w:r>
      <w:r w:rsidRPr="005675B2">
        <w:rPr>
          <w:rFonts w:hint="cs"/>
          <w:rtl/>
        </w:rPr>
        <w:t>"والكلامُ المذموم كلام أصحاب الأهوية وما يزخرفه أرباب البدع المُرْدية، فأما الكلام الموافق للكتاب والسنّة الموضح لحقائق الأصول عند ظهور الفتنة فهو محمود عند العلماء، ومن يعلمه، وقد كان الشافعي يحسنه ويفهمه، وقد تكلم مع غير واحد ممن ابتدع، وأقام الحجة عليه حتى انقطع"</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تبيين كذب المفتري فيما نسب إلى الإمام الأشعري]</w:t>
      </w:r>
    </w:p>
    <w:p w14:paraId="41264721" w14:textId="682FDEA0" w:rsidR="009C32A0" w:rsidRPr="005675B2" w:rsidRDefault="009C32A0" w:rsidP="000636C2">
      <w:pPr>
        <w:rPr>
          <w:rtl/>
        </w:rPr>
      </w:pPr>
      <w:r w:rsidRPr="005675B2">
        <w:rPr>
          <w:rFonts w:hint="cs"/>
          <w:rtl/>
        </w:rPr>
        <w:t>الفائدة الثانية</w:t>
      </w:r>
      <w:r w:rsidR="000636C2">
        <w:rPr>
          <w:rFonts w:hint="cs"/>
          <w:rtl/>
        </w:rPr>
        <w:t>:</w:t>
      </w:r>
      <w:r w:rsidRPr="005675B2">
        <w:rPr>
          <w:rFonts w:hint="cs"/>
          <w:rtl/>
        </w:rPr>
        <w:t xml:space="preserve"> -</w:t>
      </w:r>
      <w:r w:rsidR="000636C2">
        <w:rPr>
          <w:rFonts w:hint="cs"/>
          <w:rtl/>
        </w:rPr>
        <w:t xml:space="preserve"> </w:t>
      </w:r>
      <w:r w:rsidRPr="005675B2">
        <w:rPr>
          <w:rFonts w:hint="cs"/>
          <w:rtl/>
        </w:rPr>
        <w:t>إن</w:t>
      </w:r>
      <w:r w:rsidR="000636C2">
        <w:rPr>
          <w:rFonts w:hint="cs"/>
          <w:rtl/>
        </w:rPr>
        <w:t xml:space="preserve"> </w:t>
      </w:r>
      <w:r w:rsidRPr="005675B2">
        <w:rPr>
          <w:rFonts w:hint="cs"/>
          <w:rtl/>
        </w:rPr>
        <w:t>الأئمة قد خاضوا في علم الكلام المحمود</w:t>
      </w:r>
      <w:r w:rsidR="000636C2">
        <w:rPr>
          <w:rFonts w:hint="cs"/>
          <w:rtl/>
        </w:rPr>
        <w:t>،</w:t>
      </w:r>
      <w:r w:rsidRPr="005675B2">
        <w:rPr>
          <w:rFonts w:hint="cs"/>
          <w:rtl/>
        </w:rPr>
        <w:t>فقد اشتغل عدد من علماء السلف بعلم الكلام إلى جانب اشتغالهم</w:t>
      </w:r>
      <w:r w:rsidRPr="005675B2">
        <w:rPr>
          <w:rFonts w:hint="cs"/>
        </w:rPr>
        <w:t xml:space="preserve"> </w:t>
      </w:r>
      <w:r w:rsidRPr="005675B2">
        <w:rPr>
          <w:rFonts w:hint="cs"/>
          <w:rtl/>
        </w:rPr>
        <w:t>بالقرآن والسنة، و ‏ذلك ‏لحاجة الرد على أهل البدع والدفاع عن</w:t>
      </w:r>
      <w:r w:rsidRPr="005675B2">
        <w:rPr>
          <w:rFonts w:hint="cs"/>
        </w:rPr>
        <w:t xml:space="preserve"> </w:t>
      </w:r>
      <w:r w:rsidRPr="005675B2">
        <w:rPr>
          <w:rFonts w:hint="cs"/>
          <w:rtl/>
        </w:rPr>
        <w:t>عقيدة أهل الحق وحراستها من تشويشات وشُبَه ‏هؤلاء ‏المنحرفين</w:t>
      </w:r>
      <w:r w:rsidR="000636C2">
        <w:rPr>
          <w:rFonts w:hint="cs"/>
          <w:rtl/>
        </w:rPr>
        <w:t>،</w:t>
      </w:r>
      <w:r w:rsidRPr="005675B2">
        <w:rPr>
          <w:rFonts w:hint="cs"/>
          <w:rtl/>
        </w:rPr>
        <w:t xml:space="preserve"> ‏</w:t>
      </w:r>
    </w:p>
    <w:p w14:paraId="748393FA" w14:textId="6B7DE980" w:rsidR="009C32A0" w:rsidRPr="005675B2" w:rsidRDefault="009C32A0" w:rsidP="000636C2">
      <w:pPr>
        <w:rPr>
          <w:b/>
          <w:rtl/>
        </w:rPr>
      </w:pPr>
      <w:r w:rsidRPr="005675B2">
        <w:rPr>
          <w:rFonts w:hint="cs"/>
          <w:rtl/>
        </w:rPr>
        <w:t>وقد ذكر الأستاذ عبد القاهر البغدادي أن أول متكلمي أهل السنّة من الفقهاء أبي حنيفة</w:t>
      </w:r>
      <w:r w:rsidR="000636C2">
        <w:rPr>
          <w:rFonts w:hint="cs"/>
          <w:rtl/>
        </w:rPr>
        <w:t>،</w:t>
      </w:r>
      <w:r w:rsidRPr="005675B2">
        <w:rPr>
          <w:rFonts w:hint="cs"/>
          <w:rtl/>
        </w:rPr>
        <w:t>والشافعي، ألفّ فيه الفقه الأكبر</w:t>
      </w:r>
      <w:r w:rsidR="000636C2">
        <w:rPr>
          <w:rFonts w:hint="cs"/>
          <w:rtl/>
        </w:rPr>
        <w:t>،</w:t>
      </w:r>
      <w:r w:rsidRPr="005675B2">
        <w:rPr>
          <w:rFonts w:hint="cs"/>
          <w:rtl/>
        </w:rPr>
        <w:t>والرسالة في نصرة أهل السنّة إلى مقاتل ابن سليمان وكان مجسّمًا، وقد ناظر فرقة الخوارج</w:t>
      </w:r>
      <w:r w:rsidR="000636C2">
        <w:rPr>
          <w:rFonts w:hint="cs"/>
          <w:rtl/>
        </w:rPr>
        <w:t>،</w:t>
      </w:r>
      <w:r w:rsidRPr="005675B2">
        <w:rPr>
          <w:rFonts w:hint="cs"/>
          <w:rtl/>
        </w:rPr>
        <w:t>والروافض</w:t>
      </w:r>
      <w:r w:rsidR="000636C2">
        <w:rPr>
          <w:rFonts w:hint="cs"/>
          <w:rtl/>
        </w:rPr>
        <w:t>،</w:t>
      </w:r>
      <w:r w:rsidRPr="005675B2">
        <w:rPr>
          <w:rFonts w:hint="cs"/>
          <w:rtl/>
        </w:rPr>
        <w:t>والقدرية</w:t>
      </w:r>
      <w:r w:rsidR="000636C2">
        <w:rPr>
          <w:rFonts w:hint="cs"/>
          <w:rtl/>
        </w:rPr>
        <w:t>،</w:t>
      </w:r>
      <w:r w:rsidRPr="005675B2">
        <w:rPr>
          <w:rFonts w:hint="cs"/>
          <w:rtl/>
        </w:rPr>
        <w:t>والدهرية</w:t>
      </w:r>
      <w:r w:rsidR="000636C2">
        <w:rPr>
          <w:rFonts w:hint="cs"/>
          <w:rtl/>
        </w:rPr>
        <w:t>،</w:t>
      </w:r>
      <w:r w:rsidRPr="005675B2">
        <w:rPr>
          <w:rFonts w:hint="cs"/>
          <w:rtl/>
        </w:rPr>
        <w:t>وكان من</w:t>
      </w:r>
      <w:r w:rsidR="000636C2">
        <w:rPr>
          <w:rFonts w:hint="cs"/>
          <w:rtl/>
        </w:rPr>
        <w:t xml:space="preserve"> </w:t>
      </w:r>
      <w:r w:rsidRPr="005675B2">
        <w:rPr>
          <w:rFonts w:hint="cs"/>
          <w:rtl/>
        </w:rPr>
        <w:t>دعاتهم بالبصرة، فسافر إليها نيفًا وعشرين مرةً، وفضّهم بالأدلة الباهرة، وبلغ في الكلام ـ</w:t>
      </w:r>
      <w:r w:rsidR="000636C2">
        <w:rPr>
          <w:rFonts w:hint="cs"/>
          <w:rtl/>
        </w:rPr>
        <w:t>(</w:t>
      </w:r>
      <w:r w:rsidRPr="005675B2">
        <w:rPr>
          <w:rFonts w:hint="cs"/>
          <w:rtl/>
        </w:rPr>
        <w:t>أي علم</w:t>
      </w:r>
      <w:r w:rsidR="000636C2">
        <w:rPr>
          <w:rFonts w:hint="cs"/>
          <w:rtl/>
        </w:rPr>
        <w:t xml:space="preserve"> </w:t>
      </w:r>
      <w:r w:rsidRPr="005675B2">
        <w:rPr>
          <w:rFonts w:hint="cs"/>
          <w:rtl/>
        </w:rPr>
        <w:t>التوحيد</w:t>
      </w:r>
      <w:r w:rsidR="000636C2">
        <w:rPr>
          <w:rFonts w:hint="cs"/>
          <w:rtl/>
        </w:rPr>
        <w:t xml:space="preserve">) </w:t>
      </w:r>
      <w:r w:rsidRPr="005675B2">
        <w:rPr>
          <w:rFonts w:hint="cs"/>
          <w:rtl/>
        </w:rPr>
        <w:t>- إلى أنه كان المشار إليه بين الأنام، واقتدى به تلامذته الأعلام</w:t>
      </w:r>
      <w:r w:rsidR="000636C2">
        <w:rPr>
          <w:rFonts w:hint="cs"/>
          <w:rtl/>
        </w:rPr>
        <w:t>،</w:t>
      </w:r>
    </w:p>
    <w:p w14:paraId="76D0D999" w14:textId="6E317646" w:rsidR="009C32A0" w:rsidRPr="005675B2" w:rsidRDefault="009C32A0" w:rsidP="000636C2">
      <w:pPr>
        <w:rPr>
          <w:b/>
          <w:rtl/>
        </w:rPr>
      </w:pPr>
      <w:r w:rsidRPr="005675B2">
        <w:rPr>
          <w:rFonts w:hint="cs"/>
          <w:rtl/>
        </w:rPr>
        <w:t>وقال الفقيه الأصولي الزركشي</w:t>
      </w:r>
      <w:r w:rsidR="000636C2">
        <w:rPr>
          <w:rFonts w:hint="cs"/>
          <w:rtl/>
        </w:rPr>
        <w:t>:</w:t>
      </w:r>
      <w:r w:rsidRPr="005675B2">
        <w:rPr>
          <w:rFonts w:hint="cs"/>
          <w:rtl/>
        </w:rPr>
        <w:t xml:space="preserve"> في تشنيف المسامع</w:t>
      </w:r>
      <w:r w:rsidR="000636C2">
        <w:rPr>
          <w:rFonts w:hint="cs"/>
          <w:rtl/>
        </w:rPr>
        <w:t>:</w:t>
      </w:r>
      <w:r w:rsidRPr="005675B2">
        <w:rPr>
          <w:rFonts w:hint="cs"/>
          <w:rtl/>
        </w:rPr>
        <w:t xml:space="preserve"> "إن الأئمة</w:t>
      </w:r>
      <w:r w:rsidR="000636C2">
        <w:rPr>
          <w:rFonts w:hint="cs"/>
          <w:rtl/>
        </w:rPr>
        <w:t xml:space="preserve"> </w:t>
      </w:r>
      <w:r w:rsidRPr="005675B2">
        <w:rPr>
          <w:rFonts w:hint="cs"/>
          <w:rtl/>
        </w:rPr>
        <w:t xml:space="preserve">انتدبوا للرد على أهل البدع والضلال، وقد صنّف الشافعيّ كتاب </w:t>
      </w:r>
      <w:r w:rsidR="000636C2">
        <w:rPr>
          <w:rFonts w:hint="cs"/>
          <w:rtl/>
        </w:rPr>
        <w:t>(</w:t>
      </w:r>
      <w:r w:rsidRPr="005675B2">
        <w:rPr>
          <w:rFonts w:hint="cs"/>
          <w:rtl/>
        </w:rPr>
        <w:t>القياس</w:t>
      </w:r>
      <w:r w:rsidR="000636C2">
        <w:rPr>
          <w:rFonts w:hint="cs"/>
          <w:rtl/>
        </w:rPr>
        <w:t>)</w:t>
      </w:r>
      <w:r w:rsidRPr="005675B2">
        <w:rPr>
          <w:rFonts w:hint="cs"/>
          <w:rtl/>
        </w:rPr>
        <w:t xml:space="preserve"> ردّ فيه على من قال بقدم العالم من الملحدين، وكتاب </w:t>
      </w:r>
      <w:r w:rsidR="000636C2">
        <w:rPr>
          <w:rFonts w:hint="cs"/>
          <w:rtl/>
        </w:rPr>
        <w:t>(</w:t>
      </w:r>
      <w:r w:rsidRPr="005675B2">
        <w:rPr>
          <w:rFonts w:hint="cs"/>
          <w:rtl/>
        </w:rPr>
        <w:t>الرد على البراهمة</w:t>
      </w:r>
      <w:r w:rsidR="000636C2">
        <w:rPr>
          <w:rFonts w:hint="cs"/>
          <w:rtl/>
        </w:rPr>
        <w:t>)</w:t>
      </w:r>
      <w:r w:rsidRPr="005675B2">
        <w:rPr>
          <w:rFonts w:hint="cs"/>
          <w:rtl/>
        </w:rPr>
        <w:t xml:space="preserve"> وغير ذلك، وصنف أبو حنيفة كتاب </w:t>
      </w:r>
      <w:r w:rsidR="000636C2">
        <w:rPr>
          <w:rFonts w:hint="cs"/>
          <w:rtl/>
        </w:rPr>
        <w:t>(</w:t>
      </w:r>
      <w:r w:rsidRPr="005675B2">
        <w:rPr>
          <w:rFonts w:hint="cs"/>
          <w:rtl/>
        </w:rPr>
        <w:t>الفقه الأكبر</w:t>
      </w:r>
      <w:r w:rsidR="000636C2">
        <w:rPr>
          <w:rFonts w:hint="cs"/>
          <w:rtl/>
        </w:rPr>
        <w:t>)</w:t>
      </w:r>
      <w:r w:rsidRPr="005675B2">
        <w:rPr>
          <w:rFonts w:hint="cs"/>
          <w:rtl/>
        </w:rPr>
        <w:t xml:space="preserve"> وكتاب </w:t>
      </w:r>
      <w:r w:rsidR="000636C2">
        <w:rPr>
          <w:rFonts w:hint="cs"/>
          <w:rtl/>
        </w:rPr>
        <w:t>(</w:t>
      </w:r>
      <w:r w:rsidRPr="005675B2">
        <w:rPr>
          <w:rFonts w:hint="cs"/>
          <w:rtl/>
        </w:rPr>
        <w:t>العالم والمتعلّم</w:t>
      </w:r>
      <w:r w:rsidR="000636C2">
        <w:rPr>
          <w:rFonts w:hint="cs"/>
          <w:rtl/>
        </w:rPr>
        <w:t>)</w:t>
      </w:r>
      <w:r w:rsidRPr="005675B2">
        <w:rPr>
          <w:rFonts w:hint="cs"/>
          <w:rtl/>
        </w:rPr>
        <w:t xml:space="preserve"> رد فيه على المخالفين، وكذلك مالك سئل عن مسائل هذا العلم فأجاب عنها بالطريق القويم، وكذلك الإمام أحمد"</w:t>
      </w:r>
      <w:r w:rsidR="000636C2">
        <w:rPr>
          <w:rFonts w:hint="cs"/>
          <w:rtl/>
        </w:rPr>
        <w:t>،</w:t>
      </w:r>
      <w:r w:rsidRPr="005675B2">
        <w:rPr>
          <w:rFonts w:hint="cs"/>
          <w:rtl/>
        </w:rPr>
        <w:t xml:space="preserve"> أهـ</w:t>
      </w:r>
      <w:r w:rsidR="000636C2">
        <w:rPr>
          <w:rFonts w:hint="cs"/>
          <w:rtl/>
        </w:rPr>
        <w:t>،</w:t>
      </w:r>
    </w:p>
    <w:p w14:paraId="4538C57B" w14:textId="36120263" w:rsidR="009C32A0" w:rsidRPr="005675B2" w:rsidRDefault="009C32A0" w:rsidP="000636C2">
      <w:pPr>
        <w:rPr>
          <w:b/>
          <w:rtl/>
        </w:rPr>
      </w:pPr>
      <w:r w:rsidRPr="005675B2">
        <w:rPr>
          <w:rFonts w:hint="cs"/>
          <w:rtl/>
        </w:rPr>
        <w:t>رد الإمام الأشعري على من بدع الخائضين في علم الكلام المحمود</w:t>
      </w:r>
      <w:r w:rsidR="000636C2">
        <w:rPr>
          <w:rFonts w:hint="cs"/>
          <w:rtl/>
        </w:rPr>
        <w:t xml:space="preserve">: </w:t>
      </w:r>
      <w:r w:rsidRPr="005675B2">
        <w:rPr>
          <w:rFonts w:hint="cs"/>
          <w:rtl/>
        </w:rPr>
        <w:t>أسوق كلامه باختصار</w:t>
      </w:r>
      <w:r w:rsidR="000636C2">
        <w:rPr>
          <w:rFonts w:hint="cs"/>
          <w:rtl/>
        </w:rPr>
        <w:t>،</w:t>
      </w:r>
      <w:r w:rsidRPr="005675B2">
        <w:rPr>
          <w:rFonts w:hint="cs"/>
          <w:rtl/>
        </w:rPr>
        <w:t xml:space="preserve"> قال الإمام الأشعري</w:t>
      </w:r>
      <w:r w:rsidR="000636C2">
        <w:rPr>
          <w:rFonts w:hint="cs"/>
          <w:rtl/>
        </w:rPr>
        <w:t>:</w:t>
      </w:r>
      <w:r w:rsidRPr="005675B2">
        <w:rPr>
          <w:rFonts w:hint="cs"/>
          <w:rtl/>
        </w:rPr>
        <w:t xml:space="preserve"> </w:t>
      </w:r>
      <w:r w:rsidR="000636C2">
        <w:rPr>
          <w:rFonts w:hint="cs"/>
          <w:rtl/>
        </w:rPr>
        <w:t>[</w:t>
      </w:r>
      <w:r>
        <w:rPr>
          <w:rFonts w:hint="cs"/>
          <w:rtl/>
        </w:rPr>
        <w:t>الجواب</w:t>
      </w:r>
      <w:r w:rsidR="000636C2">
        <w:rPr>
          <w:rFonts w:hint="cs"/>
          <w:rtl/>
        </w:rPr>
        <w:t xml:space="preserve">] </w:t>
      </w:r>
      <w:r w:rsidRPr="005675B2">
        <w:rPr>
          <w:rFonts w:hint="cs"/>
          <w:rtl/>
        </w:rPr>
        <w:t>من</w:t>
      </w:r>
      <w:r w:rsidRPr="005675B2">
        <w:rPr>
          <w:rFonts w:hint="cs"/>
        </w:rPr>
        <w:t xml:space="preserve"> </w:t>
      </w:r>
      <w:r w:rsidRPr="005675B2">
        <w:rPr>
          <w:rFonts w:hint="cs"/>
          <w:rtl/>
        </w:rPr>
        <w:t>ثلاثة أوجه</w:t>
      </w:r>
      <w:r w:rsidR="000636C2">
        <w:rPr>
          <w:rFonts w:hint="cs"/>
          <w:rtl/>
        </w:rPr>
        <w:t>:</w:t>
      </w:r>
      <w:r w:rsidRPr="005675B2">
        <w:rPr>
          <w:rFonts w:hint="cs"/>
          <w:rtl/>
        </w:rPr>
        <w:t xml:space="preserve"> أحدها</w:t>
      </w:r>
      <w:r w:rsidR="000636C2">
        <w:rPr>
          <w:rFonts w:hint="cs"/>
          <w:rtl/>
        </w:rPr>
        <w:t>:</w:t>
      </w:r>
      <w:r w:rsidRPr="005675B2">
        <w:rPr>
          <w:rFonts w:hint="cs"/>
          <w:rtl/>
        </w:rPr>
        <w:t xml:space="preserve"> قلب السؤال عليهم بأن يقال</w:t>
      </w:r>
      <w:r w:rsidR="000636C2">
        <w:rPr>
          <w:rFonts w:hint="cs"/>
          <w:rtl/>
        </w:rPr>
        <w:t>:</w:t>
      </w:r>
      <w:r w:rsidRPr="005675B2">
        <w:rPr>
          <w:rFonts w:hint="cs"/>
          <w:rtl/>
        </w:rPr>
        <w:t xml:space="preserve"> النبي </w:t>
      </w:r>
      <w:r w:rsidR="000636C2">
        <w:rPr>
          <w:rFonts w:hint="cs"/>
          <w:rtl/>
        </w:rPr>
        <w:t>(</w:t>
      </w:r>
      <w:r w:rsidRPr="005675B2">
        <w:rPr>
          <w:rFonts w:hint="cs"/>
          <w:rtl/>
        </w:rPr>
        <w:t>صلى الله عليه وآله</w:t>
      </w:r>
      <w:r w:rsidRPr="005675B2">
        <w:rPr>
          <w:rFonts w:hint="cs"/>
        </w:rPr>
        <w:t xml:space="preserve"> </w:t>
      </w:r>
      <w:r w:rsidRPr="005675B2">
        <w:rPr>
          <w:rFonts w:hint="cs"/>
          <w:rtl/>
        </w:rPr>
        <w:t>وسلم</w:t>
      </w:r>
      <w:r w:rsidR="000636C2">
        <w:rPr>
          <w:rFonts w:hint="cs"/>
          <w:rtl/>
        </w:rPr>
        <w:t>)</w:t>
      </w:r>
      <w:r w:rsidRPr="005675B2">
        <w:rPr>
          <w:rFonts w:hint="cs"/>
          <w:rtl/>
        </w:rPr>
        <w:t xml:space="preserve"> لم يقل أيضاً</w:t>
      </w:r>
      <w:r w:rsidR="000636C2">
        <w:rPr>
          <w:rFonts w:hint="cs"/>
          <w:rtl/>
        </w:rPr>
        <w:t>:</w:t>
      </w:r>
      <w:r w:rsidRPr="005675B2">
        <w:rPr>
          <w:rFonts w:hint="cs"/>
          <w:rtl/>
        </w:rPr>
        <w:t xml:space="preserve"> </w:t>
      </w:r>
      <w:r w:rsidR="000636C2">
        <w:rPr>
          <w:rFonts w:hint="cs"/>
          <w:rtl/>
        </w:rPr>
        <w:t>(</w:t>
      </w:r>
      <w:r w:rsidRPr="005675B2">
        <w:rPr>
          <w:rFonts w:hint="cs"/>
          <w:rtl/>
        </w:rPr>
        <w:t>أن من بحث عن ذلك وتكلم فيه فاجعلوه مبتدعاً ضالاً</w:t>
      </w:r>
      <w:r w:rsidR="000636C2">
        <w:rPr>
          <w:rFonts w:hint="cs"/>
          <w:rtl/>
        </w:rPr>
        <w:t>)</w:t>
      </w:r>
      <w:r w:rsidRPr="005675B2">
        <w:rPr>
          <w:rFonts w:hint="cs"/>
          <w:rtl/>
        </w:rPr>
        <w:t xml:space="preserve"> فقد</w:t>
      </w:r>
      <w:r w:rsidRPr="005675B2">
        <w:rPr>
          <w:rFonts w:hint="cs"/>
        </w:rPr>
        <w:t xml:space="preserve"> </w:t>
      </w:r>
      <w:r w:rsidRPr="005675B2">
        <w:rPr>
          <w:rFonts w:hint="cs"/>
          <w:rtl/>
        </w:rPr>
        <w:t xml:space="preserve">لزمكم أن تكونوا مبتدعة ضُلالاً إذ تكلمتم في شيء لم يتكلم فيه النبي </w:t>
      </w:r>
      <w:r w:rsidR="000636C2">
        <w:rPr>
          <w:rFonts w:hint="cs"/>
          <w:rtl/>
        </w:rPr>
        <w:t>(</w:t>
      </w:r>
      <w:r w:rsidRPr="005675B2">
        <w:rPr>
          <w:rFonts w:hint="cs"/>
          <w:rtl/>
        </w:rPr>
        <w:t>صلى الله وآله</w:t>
      </w:r>
      <w:r w:rsidRPr="005675B2">
        <w:rPr>
          <w:rFonts w:hint="cs"/>
        </w:rPr>
        <w:t xml:space="preserve"> </w:t>
      </w:r>
      <w:r w:rsidRPr="005675B2">
        <w:rPr>
          <w:rFonts w:hint="cs"/>
          <w:rtl/>
        </w:rPr>
        <w:t>وسلم</w:t>
      </w:r>
      <w:r w:rsidR="000636C2">
        <w:rPr>
          <w:rFonts w:hint="cs"/>
          <w:rtl/>
        </w:rPr>
        <w:t>)</w:t>
      </w:r>
      <w:r w:rsidRPr="005675B2">
        <w:rPr>
          <w:rFonts w:hint="cs"/>
          <w:rtl/>
        </w:rPr>
        <w:t xml:space="preserve"> وضللتم من لم يضلله النبي </w:t>
      </w:r>
      <w:r w:rsidR="000636C2">
        <w:rPr>
          <w:rFonts w:hint="cs"/>
          <w:rtl/>
        </w:rPr>
        <w:t>(</w:t>
      </w:r>
      <w:r w:rsidRPr="005675B2">
        <w:rPr>
          <w:rFonts w:hint="cs"/>
          <w:rtl/>
        </w:rPr>
        <w:t>صلى الله عليه وآله وسلم</w:t>
      </w:r>
      <w:r w:rsidR="000636C2">
        <w:rPr>
          <w:rFonts w:hint="cs"/>
          <w:rtl/>
        </w:rPr>
        <w:t>)!</w:t>
      </w:r>
      <w:r w:rsidRPr="005675B2">
        <w:rPr>
          <w:rFonts w:hint="cs"/>
          <w:rtl/>
        </w:rPr>
        <w:t xml:space="preserve">!0 </w:t>
      </w:r>
      <w:r w:rsidR="000636C2">
        <w:rPr>
          <w:rFonts w:hint="cs"/>
          <w:rtl/>
        </w:rPr>
        <w:t>[</w:t>
      </w:r>
      <w:r>
        <w:rPr>
          <w:rFonts w:hint="cs"/>
          <w:rtl/>
        </w:rPr>
        <w:t>الجواب</w:t>
      </w:r>
      <w:r w:rsidR="000636C2">
        <w:rPr>
          <w:rFonts w:hint="cs"/>
          <w:rtl/>
        </w:rPr>
        <w:t xml:space="preserve">] </w:t>
      </w:r>
      <w:r w:rsidRPr="005675B2">
        <w:rPr>
          <w:rFonts w:hint="cs"/>
          <w:rtl/>
        </w:rPr>
        <w:t>الثاني</w:t>
      </w:r>
      <w:r w:rsidR="000636C2">
        <w:rPr>
          <w:rFonts w:hint="cs"/>
          <w:rtl/>
        </w:rPr>
        <w:t>:</w:t>
      </w:r>
      <w:r w:rsidRPr="005675B2">
        <w:rPr>
          <w:rFonts w:hint="cs"/>
          <w:rtl/>
        </w:rPr>
        <w:t xml:space="preserve"> أن يقال لهم</w:t>
      </w:r>
      <w:r w:rsidR="000636C2">
        <w:rPr>
          <w:rFonts w:hint="cs"/>
          <w:rtl/>
        </w:rPr>
        <w:t>:</w:t>
      </w:r>
      <w:r w:rsidRPr="005675B2">
        <w:rPr>
          <w:rFonts w:hint="cs"/>
          <w:rtl/>
        </w:rPr>
        <w:t xml:space="preserve"> أن النبي </w:t>
      </w:r>
      <w:r w:rsidR="000636C2">
        <w:rPr>
          <w:rFonts w:hint="cs"/>
          <w:rtl/>
        </w:rPr>
        <w:t>(</w:t>
      </w:r>
      <w:r w:rsidRPr="005675B2">
        <w:rPr>
          <w:rFonts w:hint="cs"/>
          <w:rtl/>
        </w:rPr>
        <w:t>صلى الله عليه وآله وسلم</w:t>
      </w:r>
      <w:r w:rsidR="000636C2">
        <w:rPr>
          <w:rFonts w:hint="cs"/>
          <w:rtl/>
        </w:rPr>
        <w:t>)</w:t>
      </w:r>
      <w:r w:rsidRPr="005675B2">
        <w:rPr>
          <w:rFonts w:hint="cs"/>
          <w:rtl/>
        </w:rPr>
        <w:t xml:space="preserve"> لم يجهل شيئاً مما</w:t>
      </w:r>
      <w:r w:rsidRPr="005675B2">
        <w:rPr>
          <w:rFonts w:hint="cs"/>
        </w:rPr>
        <w:t xml:space="preserve"> </w:t>
      </w:r>
      <w:r w:rsidRPr="005675B2">
        <w:rPr>
          <w:rFonts w:hint="cs"/>
          <w:rtl/>
        </w:rPr>
        <w:t>ذكرتموه من الكلام في الجسم والعرض .. وإن لم يتكلم في</w:t>
      </w:r>
      <w:r w:rsidRPr="005675B2">
        <w:rPr>
          <w:rFonts w:hint="cs"/>
        </w:rPr>
        <w:t xml:space="preserve"> </w:t>
      </w:r>
      <w:r w:rsidRPr="005675B2">
        <w:rPr>
          <w:rFonts w:hint="cs"/>
          <w:rtl/>
        </w:rPr>
        <w:t xml:space="preserve">كل واحد من ذلك </w:t>
      </w:r>
      <w:r w:rsidR="000636C2">
        <w:rPr>
          <w:rFonts w:hint="cs"/>
          <w:rtl/>
        </w:rPr>
        <w:t>(</w:t>
      </w:r>
      <w:r w:rsidRPr="005675B2">
        <w:rPr>
          <w:rFonts w:hint="cs"/>
          <w:rtl/>
        </w:rPr>
        <w:t>كلاماً</w:t>
      </w:r>
      <w:r w:rsidR="000636C2">
        <w:rPr>
          <w:rFonts w:hint="cs"/>
          <w:rtl/>
        </w:rPr>
        <w:t>)</w:t>
      </w:r>
      <w:r w:rsidRPr="005675B2">
        <w:rPr>
          <w:rFonts w:hint="cs"/>
          <w:rtl/>
        </w:rPr>
        <w:t xml:space="preserve"> معيناً، وكذلك الفقهاء والعلماء من الصحابة،غير أن هذه</w:t>
      </w:r>
      <w:r w:rsidRPr="005675B2">
        <w:rPr>
          <w:rFonts w:hint="cs"/>
        </w:rPr>
        <w:t xml:space="preserve"> </w:t>
      </w:r>
      <w:r w:rsidRPr="005675B2">
        <w:rPr>
          <w:rFonts w:hint="cs"/>
          <w:rtl/>
        </w:rPr>
        <w:t xml:space="preserve">الأشياء التي ذكرتموها </w:t>
      </w:r>
      <w:r w:rsidRPr="005675B2">
        <w:rPr>
          <w:rFonts w:hint="cs"/>
          <w:u w:val="single"/>
          <w:rtl/>
        </w:rPr>
        <w:t>معّينة أصولها</w:t>
      </w:r>
      <w:r w:rsidRPr="005675B2">
        <w:rPr>
          <w:rFonts w:hint="cs"/>
          <w:rtl/>
        </w:rPr>
        <w:t>، موجودة في القرآن والسنة جملة غير</w:t>
      </w:r>
      <w:r w:rsidR="000636C2">
        <w:rPr>
          <w:rFonts w:hint="cs"/>
          <w:rtl/>
        </w:rPr>
        <w:t xml:space="preserve"> </w:t>
      </w:r>
      <w:r w:rsidRPr="005675B2">
        <w:rPr>
          <w:rFonts w:hint="cs"/>
          <w:rtl/>
        </w:rPr>
        <w:t>مفصلة</w:t>
      </w:r>
      <w:r w:rsidR="000636C2">
        <w:rPr>
          <w:rFonts w:hint="cs"/>
          <w:rtl/>
        </w:rPr>
        <w:t>:</w:t>
      </w:r>
      <w:r w:rsidRPr="005675B2">
        <w:br/>
      </w:r>
      <w:r w:rsidRPr="005675B2">
        <w:rPr>
          <w:rFonts w:hint="cs"/>
          <w:rtl/>
        </w:rPr>
        <w:t>1</w:t>
      </w:r>
      <w:r w:rsidR="000636C2">
        <w:rPr>
          <w:rFonts w:hint="cs"/>
          <w:rtl/>
        </w:rPr>
        <w:t xml:space="preserve"> </w:t>
      </w:r>
      <w:r w:rsidRPr="005675B2">
        <w:rPr>
          <w:rFonts w:hint="cs"/>
          <w:rtl/>
        </w:rPr>
        <w:t>- أما الحركة والسكون والكلام فيهما</w:t>
      </w:r>
      <w:r w:rsidR="000636C2">
        <w:rPr>
          <w:rFonts w:hint="cs"/>
          <w:rtl/>
        </w:rPr>
        <w:t>:</w:t>
      </w:r>
      <w:r w:rsidRPr="005675B2">
        <w:rPr>
          <w:rFonts w:hint="cs"/>
          <w:rtl/>
        </w:rPr>
        <w:t xml:space="preserve"> فأصلهما موجود في القرآن</w:t>
      </w:r>
      <w:r w:rsidR="000636C2">
        <w:rPr>
          <w:rFonts w:hint="cs"/>
          <w:rtl/>
        </w:rPr>
        <w:t>،</w:t>
      </w:r>
      <w:r w:rsidRPr="005675B2">
        <w:rPr>
          <w:rFonts w:hint="cs"/>
          <w:rtl/>
        </w:rPr>
        <w:t>وهما يدلان على</w:t>
      </w:r>
      <w:r w:rsidRPr="005675B2">
        <w:rPr>
          <w:rFonts w:hint="cs"/>
        </w:rPr>
        <w:t xml:space="preserve"> </w:t>
      </w:r>
      <w:r w:rsidRPr="005675B2">
        <w:rPr>
          <w:rFonts w:hint="cs"/>
          <w:rtl/>
        </w:rPr>
        <w:t>التوحيد</w:t>
      </w:r>
      <w:r w:rsidR="000636C2">
        <w:rPr>
          <w:rFonts w:hint="cs"/>
          <w:rtl/>
        </w:rPr>
        <w:t>،</w:t>
      </w:r>
      <w:r w:rsidRPr="005675B2">
        <w:rPr>
          <w:rFonts w:hint="cs"/>
          <w:rtl/>
        </w:rPr>
        <w:t xml:space="preserve"> وكذلك الاجتماع والافتراق، قال الله تعالى مخبراً عن خليله إبراهيم صلوات</w:t>
      </w:r>
      <w:r w:rsidRPr="005675B2">
        <w:rPr>
          <w:rFonts w:hint="cs"/>
        </w:rPr>
        <w:t xml:space="preserve"> </w:t>
      </w:r>
      <w:r w:rsidRPr="005675B2">
        <w:rPr>
          <w:rFonts w:hint="cs"/>
          <w:rtl/>
        </w:rPr>
        <w:t>الله عليه وسلامه في قصة أفول الكواكب والشمس والقمر وتحركهما من مكان إلى مكان ما</w:t>
      </w:r>
      <w:r w:rsidRPr="005675B2">
        <w:rPr>
          <w:rFonts w:hint="cs"/>
        </w:rPr>
        <w:t xml:space="preserve"> </w:t>
      </w:r>
      <w:r w:rsidRPr="005675B2">
        <w:rPr>
          <w:rFonts w:hint="cs"/>
          <w:rtl/>
        </w:rPr>
        <w:t>دل على أن ربه عز وجل لا يجوز عليه شيء من ذلك0 وأن من جاز عليه الأفول والانتقال</w:t>
      </w:r>
      <w:r w:rsidRPr="005675B2">
        <w:rPr>
          <w:rFonts w:hint="cs"/>
        </w:rPr>
        <w:t xml:space="preserve"> </w:t>
      </w:r>
      <w:r w:rsidRPr="005675B2">
        <w:rPr>
          <w:rFonts w:hint="cs"/>
          <w:rtl/>
        </w:rPr>
        <w:t>من مكان إلى مكان فليس بإله</w:t>
      </w:r>
      <w:r w:rsidR="000636C2">
        <w:rPr>
          <w:rFonts w:hint="cs"/>
          <w:rtl/>
        </w:rPr>
        <w:t>،</w:t>
      </w:r>
      <w:r w:rsidRPr="005675B2">
        <w:rPr>
          <w:rFonts w:hint="cs"/>
          <w:rtl/>
        </w:rPr>
        <w:t xml:space="preserve"> </w:t>
      </w:r>
    </w:p>
    <w:p w14:paraId="2DFCE61D" w14:textId="47ADE94E" w:rsidR="009C32A0" w:rsidRPr="005675B2" w:rsidRDefault="009C32A0" w:rsidP="000636C2">
      <w:pPr>
        <w:rPr>
          <w:rtl/>
          <w:lang w:bidi="ar-KW"/>
        </w:rPr>
      </w:pPr>
      <w:r w:rsidRPr="005675B2">
        <w:rPr>
          <w:rFonts w:hint="cs"/>
          <w:rtl/>
        </w:rPr>
        <w:t>2</w:t>
      </w:r>
      <w:r w:rsidR="000636C2">
        <w:rPr>
          <w:rFonts w:hint="cs"/>
          <w:rtl/>
        </w:rPr>
        <w:t xml:space="preserve"> </w:t>
      </w:r>
      <w:r w:rsidRPr="005675B2">
        <w:rPr>
          <w:rFonts w:hint="cs"/>
          <w:rtl/>
        </w:rPr>
        <w:t>- أما الكلام في أصول التوحيد فمأخوذ أيضاً من</w:t>
      </w:r>
      <w:r w:rsidRPr="005675B2">
        <w:rPr>
          <w:rFonts w:hint="cs"/>
        </w:rPr>
        <w:t xml:space="preserve"> </w:t>
      </w:r>
      <w:r w:rsidRPr="005675B2">
        <w:rPr>
          <w:rFonts w:hint="cs"/>
          <w:rtl/>
        </w:rPr>
        <w:t>الكتاب، قال الله تعالى</w:t>
      </w:r>
      <w:r w:rsidR="000636C2">
        <w:rPr>
          <w:rFonts w:hint="cs"/>
          <w:rtl/>
        </w:rPr>
        <w:t>:</w:t>
      </w:r>
      <w:r w:rsidRPr="005675B2">
        <w:rPr>
          <w:rFonts w:hint="cs"/>
          <w:rtl/>
        </w:rPr>
        <w:t xml:space="preserve"> </w:t>
      </w:r>
      <w:r w:rsidR="000636C2">
        <w:rPr>
          <w:rFonts w:hint="cs"/>
          <w:rtl/>
        </w:rPr>
        <w:t>(</w:t>
      </w:r>
      <w:r w:rsidRPr="005675B2">
        <w:rPr>
          <w:rFonts w:hint="cs"/>
          <w:rtl/>
        </w:rPr>
        <w:t>لو كان فيهما آلهة إلا الله لفسدتا</w:t>
      </w:r>
      <w:r w:rsidR="000636C2">
        <w:rPr>
          <w:rFonts w:hint="cs"/>
          <w:rtl/>
        </w:rPr>
        <w:t xml:space="preserve">) </w:t>
      </w:r>
      <w:r w:rsidRPr="005675B2">
        <w:rPr>
          <w:rFonts w:hint="cs"/>
          <w:rtl/>
        </w:rPr>
        <w:t>وهذا الكلام موجز منبه على الحجة بأنه واحد لا شريك له0وكلام</w:t>
      </w:r>
      <w:r w:rsidRPr="005675B2">
        <w:rPr>
          <w:rFonts w:hint="cs"/>
        </w:rPr>
        <w:t xml:space="preserve"> </w:t>
      </w:r>
      <w:r w:rsidRPr="005675B2">
        <w:rPr>
          <w:rFonts w:hint="cs"/>
          <w:rtl/>
        </w:rPr>
        <w:t>المتكلمين في الحجاج في التوحيد بالتمانع والتغالب</w:t>
      </w:r>
      <w:r w:rsidR="000636C2">
        <w:rPr>
          <w:rFonts w:hint="cs"/>
          <w:rtl/>
        </w:rPr>
        <w:t>،</w:t>
      </w:r>
      <w:r w:rsidRPr="005675B2">
        <w:rPr>
          <w:rFonts w:hint="cs"/>
          <w:rtl/>
        </w:rPr>
        <w:t>فإنما مرجعه إلى هذه الآية وقوله</w:t>
      </w:r>
      <w:r w:rsidRPr="005675B2">
        <w:rPr>
          <w:rFonts w:hint="cs"/>
        </w:rPr>
        <w:t xml:space="preserve"> </w:t>
      </w:r>
      <w:r w:rsidRPr="005675B2">
        <w:rPr>
          <w:rFonts w:hint="cs"/>
          <w:rtl/>
        </w:rPr>
        <w:t>عز وجل</w:t>
      </w:r>
      <w:r w:rsidR="000636C2">
        <w:rPr>
          <w:rFonts w:hint="cs"/>
          <w:rtl/>
        </w:rPr>
        <w:t>:</w:t>
      </w:r>
      <w:r w:rsidRPr="005675B2">
        <w:rPr>
          <w:rFonts w:hint="cs"/>
          <w:rtl/>
        </w:rPr>
        <w:t xml:space="preserve"> </w:t>
      </w:r>
      <w:r w:rsidR="000636C2">
        <w:rPr>
          <w:rFonts w:hint="cs"/>
          <w:rtl/>
        </w:rPr>
        <w:t>(</w:t>
      </w:r>
      <w:r w:rsidRPr="005675B2">
        <w:rPr>
          <w:rFonts w:hint="cs"/>
          <w:rtl/>
        </w:rPr>
        <w:t>ما اتخذ الله من ولد وما كان معه من إله إذاً لذهب كل إله بما خلق ولعلا</w:t>
      </w:r>
      <w:r w:rsidRPr="005675B2">
        <w:rPr>
          <w:rFonts w:hint="cs"/>
        </w:rPr>
        <w:t xml:space="preserve"> </w:t>
      </w:r>
      <w:r w:rsidRPr="005675B2">
        <w:rPr>
          <w:rFonts w:hint="cs"/>
          <w:rtl/>
        </w:rPr>
        <w:t>بعضهم على بعض</w:t>
      </w:r>
      <w:r w:rsidR="000636C2">
        <w:rPr>
          <w:rFonts w:hint="cs"/>
          <w:rtl/>
        </w:rPr>
        <w:t xml:space="preserve">) </w:t>
      </w:r>
      <w:r w:rsidRPr="005675B2">
        <w:rPr>
          <w:rFonts w:hint="cs"/>
          <w:rtl/>
        </w:rPr>
        <w:t>إلى قوله عز وجل</w:t>
      </w:r>
      <w:r w:rsidR="000636C2">
        <w:rPr>
          <w:rFonts w:hint="cs"/>
          <w:rtl/>
        </w:rPr>
        <w:t>:</w:t>
      </w:r>
      <w:r w:rsidRPr="005675B2">
        <w:rPr>
          <w:rFonts w:hint="cs"/>
          <w:rtl/>
        </w:rPr>
        <w:t xml:space="preserve"> </w:t>
      </w:r>
      <w:r w:rsidR="000636C2">
        <w:rPr>
          <w:rFonts w:hint="cs"/>
          <w:rtl/>
        </w:rPr>
        <w:t>(</w:t>
      </w:r>
      <w:r w:rsidRPr="005675B2">
        <w:rPr>
          <w:rFonts w:hint="cs"/>
          <w:rtl/>
        </w:rPr>
        <w:t>أم جعلوا لله شركاء خلقوا</w:t>
      </w:r>
      <w:r w:rsidRPr="005675B2">
        <w:rPr>
          <w:rFonts w:hint="cs"/>
        </w:rPr>
        <w:t xml:space="preserve"> </w:t>
      </w:r>
      <w:r w:rsidRPr="005675B2">
        <w:rPr>
          <w:rFonts w:hint="cs"/>
          <w:rtl/>
        </w:rPr>
        <w:t>كخلقه فتشابه الخلق عليهم</w:t>
      </w:r>
      <w:r w:rsidR="000636C2">
        <w:rPr>
          <w:rFonts w:hint="cs"/>
          <w:rtl/>
        </w:rPr>
        <w:t xml:space="preserve">) </w:t>
      </w:r>
      <w:r w:rsidRPr="005675B2">
        <w:rPr>
          <w:rFonts w:hint="cs"/>
          <w:rtl/>
        </w:rPr>
        <w:t>وكلام المتكلمين في الحجاج في توحيد</w:t>
      </w:r>
      <w:r w:rsidRPr="005675B2">
        <w:rPr>
          <w:rFonts w:hint="cs"/>
        </w:rPr>
        <w:t xml:space="preserve"> </w:t>
      </w:r>
      <w:r w:rsidRPr="005675B2">
        <w:rPr>
          <w:rFonts w:hint="cs"/>
          <w:rtl/>
        </w:rPr>
        <w:t>الله إنما مرجعه إلى هذه الآيات التي ذكرناها0 وكذلك سائر الكلام في تفصيل فروع</w:t>
      </w:r>
      <w:r w:rsidRPr="005675B2">
        <w:rPr>
          <w:rFonts w:hint="cs"/>
        </w:rPr>
        <w:t xml:space="preserve"> </w:t>
      </w:r>
      <w:r w:rsidRPr="005675B2">
        <w:rPr>
          <w:rFonts w:hint="cs"/>
          <w:rtl/>
        </w:rPr>
        <w:t>التوحيد</w:t>
      </w:r>
      <w:r w:rsidR="000636C2">
        <w:rPr>
          <w:rFonts w:hint="cs"/>
          <w:rtl/>
        </w:rPr>
        <w:t xml:space="preserve"> </w:t>
      </w:r>
      <w:r w:rsidRPr="005675B2">
        <w:rPr>
          <w:rFonts w:hint="cs"/>
          <w:rtl/>
        </w:rPr>
        <w:t>إنما هو مأخوذ من القرآن</w:t>
      </w:r>
      <w:r w:rsidR="000636C2">
        <w:rPr>
          <w:rFonts w:hint="cs"/>
          <w:rtl/>
        </w:rPr>
        <w:t>،</w:t>
      </w:r>
      <w:r w:rsidRPr="005675B2">
        <w:rPr>
          <w:rFonts w:hint="cs"/>
          <w:rtl/>
        </w:rPr>
        <w:t xml:space="preserve"> </w:t>
      </w:r>
    </w:p>
    <w:p w14:paraId="5A14A5A0" w14:textId="7D72A44E" w:rsidR="009C32A0" w:rsidRPr="005675B2" w:rsidRDefault="009C32A0" w:rsidP="000636C2">
      <w:pPr>
        <w:rPr>
          <w:b/>
        </w:rPr>
      </w:pPr>
      <w:r w:rsidRPr="005675B2">
        <w:rPr>
          <w:rFonts w:hint="cs"/>
          <w:rtl/>
        </w:rPr>
        <w:t>3</w:t>
      </w:r>
      <w:r w:rsidR="000636C2">
        <w:rPr>
          <w:rFonts w:hint="cs"/>
          <w:rtl/>
        </w:rPr>
        <w:t xml:space="preserve"> </w:t>
      </w:r>
      <w:r w:rsidRPr="005675B2">
        <w:rPr>
          <w:rFonts w:hint="cs"/>
          <w:rtl/>
        </w:rPr>
        <w:t xml:space="preserve">- </w:t>
      </w:r>
      <w:r w:rsidRPr="005675B2">
        <w:rPr>
          <w:rFonts w:hint="cs"/>
          <w:u w:val="single"/>
          <w:rtl/>
        </w:rPr>
        <w:t>وعلم نبيه -صلى الله عليه وآله</w:t>
      </w:r>
      <w:r w:rsidRPr="005675B2">
        <w:rPr>
          <w:rFonts w:hint="cs"/>
          <w:u w:val="single"/>
        </w:rPr>
        <w:t xml:space="preserve"> </w:t>
      </w:r>
      <w:r w:rsidRPr="005675B2">
        <w:rPr>
          <w:rFonts w:hint="cs"/>
          <w:u w:val="single"/>
          <w:rtl/>
        </w:rPr>
        <w:t>وسلم - ولقنه الحجاج عليهم في إنكارهم البعث من وجهين على طائفتين منهم</w:t>
      </w:r>
      <w:r w:rsidR="000636C2">
        <w:rPr>
          <w:rFonts w:hint="cs"/>
          <w:u w:val="single"/>
          <w:rtl/>
        </w:rPr>
        <w:t>:</w:t>
      </w:r>
      <w:r w:rsidRPr="005675B2">
        <w:rPr>
          <w:rFonts w:hint="cs"/>
          <w:u w:val="single"/>
          <w:rtl/>
        </w:rPr>
        <w:t xml:space="preserve"> طائفة أقرت</w:t>
      </w:r>
      <w:r w:rsidRPr="005675B2">
        <w:rPr>
          <w:rFonts w:hint="cs"/>
          <w:u w:val="single"/>
        </w:rPr>
        <w:t xml:space="preserve"> </w:t>
      </w:r>
      <w:r w:rsidRPr="005675B2">
        <w:rPr>
          <w:rFonts w:hint="cs"/>
          <w:u w:val="single"/>
          <w:rtl/>
        </w:rPr>
        <w:t>بالخلق الأول وأنكرت الثاني، وطائفة جحدت ذلك بقدم العالم</w:t>
      </w:r>
      <w:r w:rsidR="000636C2">
        <w:rPr>
          <w:rFonts w:hint="cs"/>
          <w:u w:val="single"/>
          <w:rtl/>
        </w:rPr>
        <w:t xml:space="preserve">: </w:t>
      </w:r>
      <w:r w:rsidRPr="005675B2">
        <w:rPr>
          <w:rFonts w:hint="cs"/>
          <w:rtl/>
        </w:rPr>
        <w:t>فاحتج على المقر</w:t>
      </w:r>
      <w:r w:rsidRPr="005675B2">
        <w:rPr>
          <w:rFonts w:hint="cs"/>
        </w:rPr>
        <w:t xml:space="preserve"> </w:t>
      </w:r>
      <w:r w:rsidRPr="005675B2">
        <w:rPr>
          <w:rFonts w:hint="cs"/>
          <w:rtl/>
        </w:rPr>
        <w:t>منهما بالخلق الأول بقوله</w:t>
      </w:r>
      <w:r w:rsidR="000636C2">
        <w:rPr>
          <w:rFonts w:hint="cs"/>
          <w:rtl/>
        </w:rPr>
        <w:t>:</w:t>
      </w:r>
      <w:r w:rsidRPr="005675B2">
        <w:rPr>
          <w:rFonts w:hint="cs"/>
          <w:rtl/>
        </w:rPr>
        <w:t xml:space="preserve"> </w:t>
      </w:r>
      <w:r w:rsidR="000636C2">
        <w:rPr>
          <w:rFonts w:hint="cs"/>
          <w:rtl/>
        </w:rPr>
        <w:t>(</w:t>
      </w:r>
      <w:r w:rsidRPr="005675B2">
        <w:rPr>
          <w:rFonts w:hint="cs"/>
          <w:rtl/>
        </w:rPr>
        <w:t>قل يحييها الذي أنشأها أول مرة</w:t>
      </w:r>
      <w:r w:rsidR="000636C2">
        <w:rPr>
          <w:rFonts w:hint="cs"/>
          <w:rtl/>
        </w:rPr>
        <w:t xml:space="preserve">) </w:t>
      </w:r>
      <w:r w:rsidRPr="005675B2">
        <w:rPr>
          <w:rFonts w:hint="cs"/>
          <w:rtl/>
        </w:rPr>
        <w:t>وبقوله</w:t>
      </w:r>
      <w:r w:rsidR="000636C2">
        <w:rPr>
          <w:rFonts w:hint="cs"/>
          <w:rtl/>
        </w:rPr>
        <w:t>:</w:t>
      </w:r>
      <w:r w:rsidRPr="005675B2">
        <w:rPr>
          <w:rFonts w:hint="cs"/>
          <w:rtl/>
        </w:rPr>
        <w:t xml:space="preserve"> </w:t>
      </w:r>
      <w:r w:rsidR="000636C2">
        <w:rPr>
          <w:rFonts w:hint="cs"/>
          <w:rtl/>
        </w:rPr>
        <w:t>(</w:t>
      </w:r>
      <w:r w:rsidRPr="005675B2">
        <w:rPr>
          <w:rFonts w:hint="cs"/>
          <w:rtl/>
        </w:rPr>
        <w:t>وهو الذي بدأ الخلق ثم يعيده وهو أهون عليه</w:t>
      </w:r>
      <w:r w:rsidR="000636C2">
        <w:rPr>
          <w:rFonts w:hint="cs"/>
          <w:rtl/>
        </w:rPr>
        <w:t>)</w:t>
      </w:r>
      <w:r w:rsidRPr="005675B2">
        <w:rPr>
          <w:rFonts w:hint="cs"/>
          <w:rtl/>
        </w:rPr>
        <w:t xml:space="preserve"> وبقوله</w:t>
      </w:r>
      <w:r w:rsidR="000636C2">
        <w:rPr>
          <w:rFonts w:hint="cs"/>
          <w:rtl/>
        </w:rPr>
        <w:t>: (</w:t>
      </w:r>
      <w:r w:rsidRPr="005675B2">
        <w:rPr>
          <w:rFonts w:hint="cs"/>
          <w:rtl/>
        </w:rPr>
        <w:t>كما بدأكم تعودون</w:t>
      </w:r>
      <w:r w:rsidR="000636C2">
        <w:rPr>
          <w:rFonts w:hint="cs"/>
          <w:rtl/>
        </w:rPr>
        <w:t xml:space="preserve">) </w:t>
      </w:r>
      <w:r w:rsidRPr="005675B2">
        <w:rPr>
          <w:rFonts w:hint="cs"/>
          <w:rtl/>
        </w:rPr>
        <w:t>فنبههم بهذه الآيات على أن من قدر أن</w:t>
      </w:r>
      <w:r w:rsidRPr="005675B2">
        <w:rPr>
          <w:rFonts w:hint="cs"/>
        </w:rPr>
        <w:t xml:space="preserve"> </w:t>
      </w:r>
      <w:r w:rsidRPr="005675B2">
        <w:rPr>
          <w:rFonts w:hint="cs"/>
          <w:rtl/>
        </w:rPr>
        <w:t>يفعل فعلاً على غير مثال سابق فهو أقدر أن يفعل فعلاً محدثاً فهو أهون عليه فيما</w:t>
      </w:r>
      <w:r w:rsidRPr="005675B2">
        <w:rPr>
          <w:rFonts w:hint="cs"/>
        </w:rPr>
        <w:t xml:space="preserve"> </w:t>
      </w:r>
      <w:r w:rsidRPr="005675B2">
        <w:rPr>
          <w:rFonts w:hint="cs"/>
          <w:rtl/>
        </w:rPr>
        <w:t>بينكم وتعارفكم وأما الباري -جل ثناؤه وتقدست أسماؤه - فليس خلق شيء بأهون عليه من الآخر</w:t>
      </w:r>
      <w:r w:rsidR="000636C2">
        <w:rPr>
          <w:rFonts w:hint="cs"/>
          <w:rtl/>
        </w:rPr>
        <w:t xml:space="preserve">، </w:t>
      </w:r>
      <w:r w:rsidRPr="005675B2">
        <w:rPr>
          <w:rFonts w:hint="cs"/>
          <w:rtl/>
        </w:rPr>
        <w:t>ثم يقول</w:t>
      </w:r>
      <w:r w:rsidR="000636C2">
        <w:rPr>
          <w:rFonts w:hint="cs"/>
          <w:rtl/>
        </w:rPr>
        <w:t>:</w:t>
      </w:r>
      <w:r w:rsidRPr="005675B2">
        <w:rPr>
          <w:rFonts w:hint="cs"/>
          <w:rtl/>
        </w:rPr>
        <w:t xml:space="preserve"> وأما الطائفة التي أنكرت الخلق</w:t>
      </w:r>
      <w:r w:rsidRPr="005675B2">
        <w:rPr>
          <w:rFonts w:hint="cs"/>
        </w:rPr>
        <w:t xml:space="preserve"> </w:t>
      </w:r>
      <w:r w:rsidRPr="005675B2">
        <w:rPr>
          <w:rFonts w:hint="cs"/>
          <w:rtl/>
        </w:rPr>
        <w:t>الأول والثاني، وقالت بقدم العالم فإنما دخلت عليهم شبهة بأن قالوا</w:t>
      </w:r>
      <w:r w:rsidR="000636C2">
        <w:rPr>
          <w:rFonts w:hint="cs"/>
          <w:rtl/>
        </w:rPr>
        <w:t>:</w:t>
      </w:r>
      <w:r w:rsidRPr="005675B2">
        <w:rPr>
          <w:rFonts w:hint="cs"/>
          <w:rtl/>
        </w:rPr>
        <w:t xml:space="preserve"> وجدنا الحياة</w:t>
      </w:r>
      <w:r w:rsidRPr="005675B2">
        <w:rPr>
          <w:rFonts w:hint="cs"/>
        </w:rPr>
        <w:t xml:space="preserve"> </w:t>
      </w:r>
      <w:r w:rsidRPr="005675B2">
        <w:rPr>
          <w:rFonts w:hint="cs"/>
          <w:rtl/>
        </w:rPr>
        <w:t>رطبة حارة والموت بارداً يابساً وهو من طبع التراب، فكيف يجوز أن يجمع بين الحياة</w:t>
      </w:r>
      <w:r w:rsidRPr="005675B2">
        <w:rPr>
          <w:rFonts w:hint="cs"/>
        </w:rPr>
        <w:t xml:space="preserve"> </w:t>
      </w:r>
      <w:r w:rsidRPr="005675B2">
        <w:rPr>
          <w:rFonts w:hint="cs"/>
          <w:rtl/>
        </w:rPr>
        <w:t>والتراب والعظام النخرة فيصير خلقاً سوياً والضدان لا يجتمعان</w:t>
      </w:r>
      <w:r w:rsidR="000636C2">
        <w:rPr>
          <w:rFonts w:hint="cs"/>
          <w:rtl/>
        </w:rPr>
        <w:t>!</w:t>
      </w:r>
      <w:r w:rsidRPr="005675B2">
        <w:rPr>
          <w:rFonts w:hint="cs"/>
          <w:rtl/>
        </w:rPr>
        <w:t>! فأنكروا البعث من</w:t>
      </w:r>
      <w:r w:rsidRPr="005675B2">
        <w:rPr>
          <w:rFonts w:hint="cs"/>
        </w:rPr>
        <w:t xml:space="preserve"> </w:t>
      </w:r>
      <w:r w:rsidRPr="005675B2">
        <w:rPr>
          <w:rFonts w:hint="cs"/>
          <w:rtl/>
        </w:rPr>
        <w:t>هذه الجهة .. إلخ</w:t>
      </w:r>
      <w:r w:rsidR="000636C2">
        <w:rPr>
          <w:rFonts w:hint="cs"/>
          <w:rtl/>
        </w:rPr>
        <w:t>،</w:t>
      </w:r>
      <w:r w:rsidRPr="005675B2">
        <w:rPr>
          <w:rFonts w:hint="cs"/>
          <w:rtl/>
        </w:rPr>
        <w:t xml:space="preserve"> ثم أطال الأشعري الكلام على هذه المسألة في</w:t>
      </w:r>
      <w:r w:rsidRPr="005675B2">
        <w:rPr>
          <w:rFonts w:hint="cs"/>
        </w:rPr>
        <w:t xml:space="preserve"> </w:t>
      </w:r>
      <w:r w:rsidRPr="005675B2">
        <w:rPr>
          <w:rFonts w:hint="cs"/>
          <w:rtl/>
        </w:rPr>
        <w:t xml:space="preserve">نحو خمس صفحات ثم قال </w:t>
      </w:r>
    </w:p>
    <w:p w14:paraId="6522C2B7" w14:textId="5CF282EE"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xml:space="preserve">- </w:t>
      </w:r>
      <w:r w:rsidR="000636C2">
        <w:rPr>
          <w:rFonts w:hint="cs"/>
          <w:rtl/>
        </w:rPr>
        <w:t>(</w:t>
      </w:r>
      <w:r w:rsidRPr="005675B2">
        <w:rPr>
          <w:rFonts w:hint="cs"/>
          <w:u w:val="single"/>
          <w:rtl/>
        </w:rPr>
        <w:t>يقال لهم</w:t>
      </w:r>
      <w:r w:rsidR="000636C2">
        <w:rPr>
          <w:rFonts w:hint="cs"/>
          <w:u w:val="single"/>
          <w:rtl/>
        </w:rPr>
        <w:t>):</w:t>
      </w:r>
      <w:r w:rsidRPr="005675B2">
        <w:rPr>
          <w:rFonts w:hint="cs"/>
          <w:u w:val="single"/>
          <w:rtl/>
        </w:rPr>
        <w:t xml:space="preserve"> النبي صلى الله عليه وآله وسلم لم يصح عنه حديث</w:t>
      </w:r>
      <w:r w:rsidRPr="005675B2">
        <w:rPr>
          <w:rFonts w:hint="cs"/>
          <w:u w:val="single"/>
        </w:rPr>
        <w:t xml:space="preserve"> </w:t>
      </w:r>
      <w:r w:rsidRPr="005675B2">
        <w:rPr>
          <w:rFonts w:hint="cs"/>
          <w:u w:val="single"/>
          <w:rtl/>
        </w:rPr>
        <w:t>في أن القرآن غير مخلوق أو هو مخلوق فلم قلتم أنه غير مخلوق</w:t>
      </w:r>
      <w:r w:rsidR="000636C2">
        <w:rPr>
          <w:rFonts w:hint="cs"/>
          <w:u w:val="single"/>
          <w:rtl/>
        </w:rPr>
        <w:t>؟</w:t>
      </w:r>
      <w:r w:rsidRPr="005675B2">
        <w:rPr>
          <w:rFonts w:hint="cs"/>
          <w:rtl/>
        </w:rPr>
        <w:t xml:space="preserve"> فإن قالوا</w:t>
      </w:r>
      <w:r w:rsidR="000636C2">
        <w:rPr>
          <w:rFonts w:hint="cs"/>
          <w:rtl/>
        </w:rPr>
        <w:t>:</w:t>
      </w:r>
      <w:r w:rsidRPr="005675B2">
        <w:rPr>
          <w:rFonts w:hint="cs"/>
          <w:rtl/>
        </w:rPr>
        <w:t xml:space="preserve"> قاله بعض التابعين قيل لهم</w:t>
      </w:r>
      <w:r w:rsidR="000636C2">
        <w:rPr>
          <w:rFonts w:hint="cs"/>
          <w:rtl/>
        </w:rPr>
        <w:t>:</w:t>
      </w:r>
      <w:r w:rsidRPr="005675B2">
        <w:rPr>
          <w:rFonts w:hint="cs"/>
          <w:rtl/>
        </w:rPr>
        <w:t xml:space="preserve"> يلزم التابعي مثل ما يلزمكم</w:t>
      </w:r>
      <w:r w:rsidR="000636C2">
        <w:rPr>
          <w:rFonts w:hint="cs"/>
          <w:rtl/>
        </w:rPr>
        <w:t xml:space="preserve"> </w:t>
      </w:r>
      <w:r w:rsidRPr="005675B2">
        <w:rPr>
          <w:rFonts w:hint="cs"/>
          <w:rtl/>
        </w:rPr>
        <w:t>من أن يكون</w:t>
      </w:r>
      <w:r w:rsidRPr="005675B2">
        <w:rPr>
          <w:rFonts w:hint="cs"/>
        </w:rPr>
        <w:t xml:space="preserve"> </w:t>
      </w:r>
      <w:r w:rsidRPr="005675B2">
        <w:rPr>
          <w:rFonts w:hint="cs"/>
          <w:rtl/>
        </w:rPr>
        <w:t>مبتدعاً ضالاً إذ قال ما لم يقله الرسول صلى الله عليه وآله وسلم</w:t>
      </w:r>
      <w:r w:rsidR="000636C2">
        <w:rPr>
          <w:rFonts w:hint="cs"/>
          <w:rtl/>
        </w:rPr>
        <w:t>!</w:t>
      </w:r>
      <w:r w:rsidRPr="005675B2">
        <w:rPr>
          <w:rFonts w:hint="cs"/>
          <w:rtl/>
        </w:rPr>
        <w:t>!</w:t>
      </w:r>
      <w:r w:rsidR="000636C2">
        <w:rPr>
          <w:rFonts w:hint="cs"/>
          <w:rtl/>
        </w:rPr>
        <w:t>،</w:t>
      </w:r>
      <w:r w:rsidRPr="005675B2">
        <w:rPr>
          <w:rFonts w:hint="cs"/>
          <w:rtl/>
        </w:rPr>
        <w:t xml:space="preserve"> فإن قال</w:t>
      </w:r>
      <w:r w:rsidRPr="005675B2">
        <w:rPr>
          <w:rFonts w:hint="cs"/>
        </w:rPr>
        <w:t xml:space="preserve"> </w:t>
      </w:r>
      <w:r w:rsidRPr="005675B2">
        <w:rPr>
          <w:rFonts w:hint="cs"/>
          <w:rtl/>
        </w:rPr>
        <w:t>قائل</w:t>
      </w:r>
      <w:r w:rsidR="000636C2">
        <w:rPr>
          <w:rFonts w:hint="cs"/>
          <w:rtl/>
        </w:rPr>
        <w:t>:</w:t>
      </w:r>
      <w:r w:rsidRPr="005675B2">
        <w:rPr>
          <w:rFonts w:hint="cs"/>
          <w:rtl/>
        </w:rPr>
        <w:t xml:space="preserve"> فأنا أتوقف في ذلك فلا أقول مخلوق، ولا غير مخلوق، قيل له</w:t>
      </w:r>
      <w:r w:rsidR="000636C2">
        <w:rPr>
          <w:rFonts w:hint="cs"/>
          <w:rtl/>
        </w:rPr>
        <w:t>:</w:t>
      </w:r>
      <w:r w:rsidRPr="005675B2">
        <w:rPr>
          <w:rFonts w:hint="cs"/>
          <w:rtl/>
        </w:rPr>
        <w:t xml:space="preserve"> أنت في توقفك في</w:t>
      </w:r>
      <w:r w:rsidRPr="005675B2">
        <w:rPr>
          <w:rFonts w:hint="cs"/>
        </w:rPr>
        <w:t xml:space="preserve"> </w:t>
      </w:r>
      <w:r w:rsidRPr="005675B2">
        <w:rPr>
          <w:rFonts w:hint="cs"/>
          <w:rtl/>
        </w:rPr>
        <w:t>ذلك مبتدع</w:t>
      </w:r>
      <w:r w:rsidR="000636C2">
        <w:rPr>
          <w:rFonts w:hint="cs"/>
          <w:rtl/>
        </w:rPr>
        <w:t>!</w:t>
      </w:r>
      <w:r w:rsidRPr="005675B2">
        <w:rPr>
          <w:rFonts w:hint="cs"/>
          <w:rtl/>
        </w:rPr>
        <w:t>!، لأن النبي صلى الله عليه وآله وسلم لم يقل</w:t>
      </w:r>
      <w:r w:rsidR="000636C2">
        <w:rPr>
          <w:rFonts w:hint="cs"/>
          <w:rtl/>
        </w:rPr>
        <w:t xml:space="preserve">: </w:t>
      </w:r>
      <w:r w:rsidRPr="005675B2">
        <w:rPr>
          <w:rFonts w:hint="cs"/>
          <w:rtl/>
        </w:rPr>
        <w:t>إن حدثت هذه الحادثة</w:t>
      </w:r>
      <w:r w:rsidRPr="005675B2">
        <w:rPr>
          <w:rFonts w:hint="cs"/>
        </w:rPr>
        <w:t xml:space="preserve"> </w:t>
      </w:r>
      <w:r w:rsidRPr="005675B2">
        <w:rPr>
          <w:rFonts w:hint="cs"/>
          <w:rtl/>
        </w:rPr>
        <w:t>بعدي توقفوا فيها ولا تقولوا فيها شيئاً</w:t>
      </w:r>
      <w:r w:rsidR="000636C2">
        <w:rPr>
          <w:rFonts w:hint="cs"/>
          <w:rtl/>
        </w:rPr>
        <w:t>!</w:t>
      </w:r>
      <w:r w:rsidRPr="005675B2">
        <w:rPr>
          <w:rFonts w:hint="cs"/>
          <w:rtl/>
        </w:rPr>
        <w:t>! ولا قال</w:t>
      </w:r>
      <w:r w:rsidR="000636C2">
        <w:rPr>
          <w:rFonts w:hint="cs"/>
          <w:rtl/>
        </w:rPr>
        <w:t>:</w:t>
      </w:r>
      <w:r w:rsidRPr="005675B2">
        <w:rPr>
          <w:rFonts w:hint="cs"/>
          <w:rtl/>
        </w:rPr>
        <w:t xml:space="preserve"> </w:t>
      </w:r>
      <w:r w:rsidR="000636C2">
        <w:rPr>
          <w:rFonts w:hint="cs"/>
          <w:rtl/>
        </w:rPr>
        <w:t>(</w:t>
      </w:r>
      <w:r w:rsidRPr="005675B2">
        <w:rPr>
          <w:rFonts w:hint="cs"/>
          <w:rtl/>
        </w:rPr>
        <w:t>ضللوا وكفروا من قال بخلقه أو</w:t>
      </w:r>
      <w:r w:rsidRPr="005675B2">
        <w:rPr>
          <w:rFonts w:hint="cs"/>
        </w:rPr>
        <w:t xml:space="preserve"> </w:t>
      </w:r>
      <w:r w:rsidRPr="005675B2">
        <w:rPr>
          <w:rFonts w:hint="cs"/>
          <w:rtl/>
        </w:rPr>
        <w:t>من قال بنفي خلقه</w:t>
      </w:r>
      <w:r w:rsidR="000636C2">
        <w:rPr>
          <w:rFonts w:hint="cs"/>
          <w:rtl/>
        </w:rPr>
        <w:t>!</w:t>
      </w:r>
      <w:r w:rsidRPr="005675B2">
        <w:rPr>
          <w:rFonts w:hint="cs"/>
          <w:rtl/>
        </w:rPr>
        <w:t>!</w:t>
      </w:r>
      <w:r w:rsidR="000636C2">
        <w:rPr>
          <w:rFonts w:hint="cs"/>
          <w:rtl/>
        </w:rPr>
        <w:t>،</w:t>
      </w:r>
      <w:r w:rsidRPr="005675B2">
        <w:rPr>
          <w:rFonts w:hint="cs"/>
          <w:rtl/>
        </w:rPr>
        <w:t xml:space="preserve"> </w:t>
      </w:r>
    </w:p>
    <w:p w14:paraId="0194CD49" w14:textId="6A21211D"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وخبرونا</w:t>
      </w:r>
      <w:r w:rsidR="000636C2">
        <w:rPr>
          <w:rFonts w:hint="cs"/>
          <w:rtl/>
        </w:rPr>
        <w:t>:</w:t>
      </w:r>
      <w:r w:rsidRPr="005675B2">
        <w:rPr>
          <w:rFonts w:hint="cs"/>
          <w:rtl/>
        </w:rPr>
        <w:t xml:space="preserve"> لو قال قائل</w:t>
      </w:r>
      <w:r w:rsidR="000636C2">
        <w:rPr>
          <w:rFonts w:hint="cs"/>
          <w:rtl/>
        </w:rPr>
        <w:t>:</w:t>
      </w:r>
      <w:r w:rsidRPr="005675B2">
        <w:rPr>
          <w:rFonts w:hint="cs"/>
          <w:rtl/>
        </w:rPr>
        <w:t xml:space="preserve"> إن علم الله مخلوق</w:t>
      </w:r>
      <w:r w:rsidR="000636C2">
        <w:rPr>
          <w:rFonts w:hint="cs"/>
          <w:rtl/>
        </w:rPr>
        <w:t>:</w:t>
      </w:r>
      <w:r w:rsidRPr="005675B2">
        <w:rPr>
          <w:rFonts w:hint="cs"/>
          <w:rtl/>
        </w:rPr>
        <w:t xml:space="preserve"> أكنتم</w:t>
      </w:r>
      <w:r w:rsidRPr="005675B2">
        <w:rPr>
          <w:rFonts w:hint="cs"/>
        </w:rPr>
        <w:t xml:space="preserve"> </w:t>
      </w:r>
      <w:r w:rsidRPr="005675B2">
        <w:rPr>
          <w:rFonts w:hint="cs"/>
          <w:rtl/>
        </w:rPr>
        <w:t>تتوقفون فيه أم لا</w:t>
      </w:r>
      <w:r w:rsidR="000636C2">
        <w:rPr>
          <w:rFonts w:hint="cs"/>
          <w:rtl/>
        </w:rPr>
        <w:t>؟:</w:t>
      </w:r>
      <w:r w:rsidRPr="005675B2">
        <w:rPr>
          <w:rFonts w:hint="cs"/>
          <w:rtl/>
        </w:rPr>
        <w:t xml:space="preserve"> فإن قالوا</w:t>
      </w:r>
      <w:r w:rsidR="000636C2">
        <w:rPr>
          <w:rFonts w:hint="cs"/>
          <w:rtl/>
        </w:rPr>
        <w:t>:</w:t>
      </w:r>
      <w:r w:rsidRPr="005675B2">
        <w:rPr>
          <w:rFonts w:hint="cs"/>
          <w:rtl/>
        </w:rPr>
        <w:t xml:space="preserve"> </w:t>
      </w:r>
      <w:r w:rsidR="000636C2">
        <w:rPr>
          <w:rFonts w:hint="cs"/>
          <w:rtl/>
        </w:rPr>
        <w:t>(</w:t>
      </w:r>
      <w:r w:rsidRPr="005675B2">
        <w:rPr>
          <w:rFonts w:hint="cs"/>
          <w:rtl/>
        </w:rPr>
        <w:t>لا</w:t>
      </w:r>
      <w:r w:rsidR="000636C2">
        <w:rPr>
          <w:rFonts w:hint="cs"/>
          <w:rtl/>
        </w:rPr>
        <w:t>)</w:t>
      </w:r>
      <w:r w:rsidRPr="005675B2">
        <w:rPr>
          <w:rFonts w:hint="cs"/>
          <w:rtl/>
        </w:rPr>
        <w:t xml:space="preserve"> قيل لهم</w:t>
      </w:r>
      <w:r w:rsidR="000636C2">
        <w:rPr>
          <w:rFonts w:hint="cs"/>
          <w:rtl/>
        </w:rPr>
        <w:t>:</w:t>
      </w:r>
      <w:r w:rsidRPr="005675B2">
        <w:rPr>
          <w:rFonts w:hint="cs"/>
          <w:rtl/>
        </w:rPr>
        <w:t xml:space="preserve"> لم يقل النبي صلى الله عليه وآله وسلم</w:t>
      </w:r>
      <w:r w:rsidRPr="005675B2">
        <w:rPr>
          <w:rFonts w:hint="cs"/>
        </w:rPr>
        <w:t xml:space="preserve"> </w:t>
      </w:r>
      <w:r w:rsidRPr="005675B2">
        <w:rPr>
          <w:rFonts w:hint="cs"/>
          <w:rtl/>
        </w:rPr>
        <w:t>ولا أصحابه في ذلك شيئاً، وكذلك لو قال قائل</w:t>
      </w:r>
      <w:r w:rsidR="000636C2">
        <w:rPr>
          <w:rFonts w:hint="cs"/>
          <w:rtl/>
        </w:rPr>
        <w:t>:</w:t>
      </w:r>
      <w:r w:rsidRPr="005675B2">
        <w:rPr>
          <w:rFonts w:hint="cs"/>
          <w:rtl/>
        </w:rPr>
        <w:t xml:space="preserve"> هذا ربكم شبعان أو ريان أو مكتس أو</w:t>
      </w:r>
      <w:r w:rsidRPr="005675B2">
        <w:rPr>
          <w:rFonts w:hint="cs"/>
        </w:rPr>
        <w:t xml:space="preserve"> </w:t>
      </w:r>
      <w:r w:rsidRPr="005675B2">
        <w:rPr>
          <w:rFonts w:hint="cs"/>
          <w:rtl/>
        </w:rPr>
        <w:t>عريان .. أو جسم أو عرض أو يشم الريح أو لا يشمها .. ونحو ذلك من المسائل أكان</w:t>
      </w:r>
      <w:r w:rsidR="000636C2">
        <w:rPr>
          <w:rFonts w:hint="cs"/>
          <w:rtl/>
        </w:rPr>
        <w:t xml:space="preserve"> </w:t>
      </w:r>
      <w:r w:rsidRPr="005675B2">
        <w:rPr>
          <w:rFonts w:hint="cs"/>
          <w:rtl/>
        </w:rPr>
        <w:t>ينبغي أن تسكت عنه لأن رسول الله صلى الله</w:t>
      </w:r>
      <w:r w:rsidRPr="005675B2">
        <w:rPr>
          <w:rFonts w:hint="cs"/>
        </w:rPr>
        <w:t xml:space="preserve"> </w:t>
      </w:r>
      <w:r w:rsidRPr="005675B2">
        <w:rPr>
          <w:rFonts w:hint="cs"/>
          <w:rtl/>
        </w:rPr>
        <w:t>عليه وآله وسلم لم يتكلم في شيء من ذلك ولا أصحابه، أو كنت لا تسكت فكنت تبين بكلامك</w:t>
      </w:r>
      <w:r w:rsidRPr="005675B2">
        <w:rPr>
          <w:rFonts w:hint="cs"/>
        </w:rPr>
        <w:t xml:space="preserve"> </w:t>
      </w:r>
      <w:r w:rsidRPr="005675B2">
        <w:rPr>
          <w:rFonts w:hint="cs"/>
          <w:rtl/>
        </w:rPr>
        <w:t>أن شيئاً من ذلك لا يجوز على الله عز وجل وتقدس كذا وكذا بحجة كذا وكذا</w:t>
      </w:r>
      <w:r w:rsidR="000636C2">
        <w:rPr>
          <w:rFonts w:hint="cs"/>
          <w:rtl/>
        </w:rPr>
        <w:t>،</w:t>
      </w:r>
      <w:r w:rsidRPr="005675B2">
        <w:rPr>
          <w:rFonts w:hint="cs"/>
          <w:rtl/>
        </w:rPr>
        <w:t xml:space="preserve"> </w:t>
      </w:r>
      <w:r w:rsidRPr="005675B2">
        <w:br/>
      </w:r>
      <w:r w:rsidRPr="005675B2">
        <w:br/>
      </w:r>
      <w:r w:rsidRPr="005675B2">
        <w:rPr>
          <w:rFonts w:hint="cs"/>
          <w:rtl/>
        </w:rPr>
        <w:t>فإن</w:t>
      </w:r>
      <w:r w:rsidRPr="005675B2">
        <w:rPr>
          <w:rFonts w:hint="cs"/>
        </w:rPr>
        <w:t xml:space="preserve"> </w:t>
      </w:r>
      <w:r w:rsidRPr="005675B2">
        <w:rPr>
          <w:rFonts w:hint="cs"/>
          <w:rtl/>
        </w:rPr>
        <w:t>قال قائل</w:t>
      </w:r>
      <w:r w:rsidR="000636C2">
        <w:rPr>
          <w:rFonts w:hint="cs"/>
          <w:rtl/>
        </w:rPr>
        <w:t>:</w:t>
      </w:r>
      <w:r w:rsidRPr="005675B2">
        <w:rPr>
          <w:rFonts w:hint="cs"/>
          <w:rtl/>
        </w:rPr>
        <w:t xml:space="preserve"> أسكت عنه -أي عن القائل - ولا أجيبه بشيء، أو أهجره، أو أقوم عنه، أو لا</w:t>
      </w:r>
      <w:r w:rsidRPr="005675B2">
        <w:rPr>
          <w:rFonts w:hint="cs"/>
        </w:rPr>
        <w:t xml:space="preserve"> </w:t>
      </w:r>
      <w:r w:rsidRPr="005675B2">
        <w:rPr>
          <w:rFonts w:hint="cs"/>
          <w:rtl/>
        </w:rPr>
        <w:t>أسلم عليه أو لا أعوده إذا مرض، أو لا أشهد جنازته إذا مات قيل له</w:t>
      </w:r>
      <w:r w:rsidR="000636C2">
        <w:rPr>
          <w:rFonts w:hint="cs"/>
          <w:rtl/>
        </w:rPr>
        <w:t>:</w:t>
      </w:r>
      <w:r w:rsidRPr="005675B2">
        <w:rPr>
          <w:rFonts w:hint="cs"/>
          <w:rtl/>
        </w:rPr>
        <w:t xml:space="preserve"> فيلزمك أن تكون</w:t>
      </w:r>
      <w:r w:rsidRPr="005675B2">
        <w:rPr>
          <w:rFonts w:hint="cs"/>
        </w:rPr>
        <w:t xml:space="preserve"> </w:t>
      </w:r>
      <w:r w:rsidRPr="005675B2">
        <w:rPr>
          <w:rFonts w:hint="cs"/>
          <w:rtl/>
        </w:rPr>
        <w:t>في جميع هذه الصيغ التي ذكرتها مبتدعاً ضالاً</w:t>
      </w:r>
      <w:r w:rsidR="000636C2">
        <w:rPr>
          <w:rFonts w:hint="cs"/>
          <w:rtl/>
        </w:rPr>
        <w:t>!</w:t>
      </w:r>
      <w:r w:rsidRPr="005675B2">
        <w:rPr>
          <w:rFonts w:hint="cs"/>
          <w:rtl/>
        </w:rPr>
        <w:t>! لأن رسول الله صلى الله عليه وآله</w:t>
      </w:r>
      <w:r w:rsidRPr="005675B2">
        <w:rPr>
          <w:rFonts w:hint="cs"/>
        </w:rPr>
        <w:t xml:space="preserve"> </w:t>
      </w:r>
      <w:r w:rsidRPr="005675B2">
        <w:rPr>
          <w:rFonts w:hint="cs"/>
          <w:rtl/>
        </w:rPr>
        <w:t>وسلم لم يقل</w:t>
      </w:r>
      <w:r w:rsidR="000636C2">
        <w:rPr>
          <w:rFonts w:hint="cs"/>
          <w:rtl/>
        </w:rPr>
        <w:t>:</w:t>
      </w:r>
      <w:r w:rsidRPr="005675B2">
        <w:rPr>
          <w:rFonts w:hint="cs"/>
          <w:rtl/>
        </w:rPr>
        <w:t xml:space="preserve"> </w:t>
      </w:r>
      <w:r w:rsidR="000636C2">
        <w:rPr>
          <w:rFonts w:hint="cs"/>
          <w:rtl/>
        </w:rPr>
        <w:t>(</w:t>
      </w:r>
      <w:r w:rsidRPr="005675B2">
        <w:rPr>
          <w:rFonts w:hint="cs"/>
          <w:rtl/>
        </w:rPr>
        <w:t>من سأل عن شيء من ذلك فاسكتوا عنه</w:t>
      </w:r>
      <w:r w:rsidR="000636C2">
        <w:rPr>
          <w:rFonts w:hint="cs"/>
          <w:rtl/>
        </w:rPr>
        <w:t>)</w:t>
      </w:r>
      <w:r w:rsidRPr="005675B2">
        <w:rPr>
          <w:rFonts w:hint="cs"/>
          <w:rtl/>
        </w:rPr>
        <w:t xml:space="preserve"> ولا قال</w:t>
      </w:r>
      <w:r w:rsidR="000636C2">
        <w:rPr>
          <w:rFonts w:hint="cs"/>
          <w:rtl/>
        </w:rPr>
        <w:t>:</w:t>
      </w:r>
      <w:r w:rsidRPr="005675B2">
        <w:rPr>
          <w:rFonts w:hint="cs"/>
          <w:rtl/>
        </w:rPr>
        <w:t xml:space="preserve"> </w:t>
      </w:r>
      <w:r w:rsidR="000636C2">
        <w:rPr>
          <w:rFonts w:hint="cs"/>
          <w:rtl/>
        </w:rPr>
        <w:t>(</w:t>
      </w:r>
      <w:r w:rsidRPr="005675B2">
        <w:rPr>
          <w:rFonts w:hint="cs"/>
          <w:rtl/>
        </w:rPr>
        <w:t>لا تسلموا عليه</w:t>
      </w:r>
      <w:r w:rsidR="000636C2">
        <w:rPr>
          <w:rFonts w:hint="cs"/>
          <w:rtl/>
        </w:rPr>
        <w:t>)</w:t>
      </w:r>
      <w:r w:rsidRPr="005675B2">
        <w:rPr>
          <w:rFonts w:hint="cs"/>
          <w:rtl/>
        </w:rPr>
        <w:t xml:space="preserve"> ولا</w:t>
      </w:r>
      <w:r w:rsidRPr="005675B2">
        <w:rPr>
          <w:rFonts w:hint="cs"/>
        </w:rPr>
        <w:t xml:space="preserve"> </w:t>
      </w:r>
      <w:r w:rsidR="000636C2">
        <w:rPr>
          <w:rFonts w:hint="cs"/>
          <w:rtl/>
        </w:rPr>
        <w:t>(</w:t>
      </w:r>
      <w:r w:rsidRPr="005675B2">
        <w:rPr>
          <w:rFonts w:hint="cs"/>
          <w:rtl/>
        </w:rPr>
        <w:t>قوموا عنه</w:t>
      </w:r>
      <w:r w:rsidR="000636C2">
        <w:rPr>
          <w:rFonts w:hint="cs"/>
          <w:rtl/>
        </w:rPr>
        <w:t>)</w:t>
      </w:r>
      <w:r w:rsidRPr="005675B2">
        <w:rPr>
          <w:rFonts w:hint="cs"/>
          <w:rtl/>
        </w:rPr>
        <w:t xml:space="preserve"> ولا قال شيئاً من ذلك فأنتم مبتدعة إذا فعلتم ذلك ويقال</w:t>
      </w:r>
      <w:r w:rsidRPr="005675B2">
        <w:rPr>
          <w:rFonts w:hint="cs"/>
        </w:rPr>
        <w:t xml:space="preserve"> </w:t>
      </w:r>
      <w:r w:rsidRPr="005675B2">
        <w:rPr>
          <w:rFonts w:hint="cs"/>
          <w:rtl/>
        </w:rPr>
        <w:t>لهم</w:t>
      </w:r>
      <w:r w:rsidR="000636C2">
        <w:rPr>
          <w:rFonts w:hint="cs"/>
          <w:rtl/>
        </w:rPr>
        <w:t>:</w:t>
      </w:r>
      <w:r w:rsidRPr="005675B2">
        <w:rPr>
          <w:rFonts w:hint="cs"/>
          <w:rtl/>
        </w:rPr>
        <w:t xml:space="preserve"> ولِمَ لم تسكتوا عمن قال بخلق القرآن</w:t>
      </w:r>
      <w:r w:rsidR="000636C2">
        <w:rPr>
          <w:rFonts w:hint="cs"/>
          <w:rtl/>
        </w:rPr>
        <w:t>؟</w:t>
      </w:r>
      <w:r w:rsidRPr="005675B2">
        <w:rPr>
          <w:rFonts w:hint="cs"/>
          <w:rtl/>
        </w:rPr>
        <w:t xml:space="preserve"> ولِمَ كفرتموه ولم يرد عن النبي </w:t>
      </w:r>
      <w:r w:rsidR="000636C2">
        <w:rPr>
          <w:rFonts w:hint="cs"/>
          <w:rtl/>
        </w:rPr>
        <w:t>(</w:t>
      </w:r>
      <w:r w:rsidRPr="005675B2">
        <w:rPr>
          <w:rFonts w:hint="cs"/>
          <w:rtl/>
        </w:rPr>
        <w:t>صلى</w:t>
      </w:r>
      <w:r w:rsidRPr="005675B2">
        <w:rPr>
          <w:rFonts w:hint="cs"/>
        </w:rPr>
        <w:t xml:space="preserve"> </w:t>
      </w:r>
      <w:r w:rsidRPr="005675B2">
        <w:rPr>
          <w:rFonts w:hint="cs"/>
          <w:rtl/>
        </w:rPr>
        <w:t>الله عليه وآله وسلم</w:t>
      </w:r>
      <w:r w:rsidR="000636C2">
        <w:rPr>
          <w:rFonts w:hint="cs"/>
          <w:rtl/>
        </w:rPr>
        <w:t>)</w:t>
      </w:r>
      <w:r w:rsidRPr="005675B2">
        <w:rPr>
          <w:rFonts w:hint="cs"/>
          <w:rtl/>
        </w:rPr>
        <w:t xml:space="preserve"> حديث صحيح في نفي خلقه وتكفير من قال بخلقه</w:t>
      </w:r>
      <w:r w:rsidR="000636C2">
        <w:rPr>
          <w:rFonts w:hint="cs"/>
          <w:rtl/>
        </w:rPr>
        <w:t>؟</w:t>
      </w:r>
      <w:r w:rsidRPr="005675B2">
        <w:rPr>
          <w:rFonts w:hint="cs"/>
          <w:rtl/>
        </w:rPr>
        <w:t xml:space="preserve"> فإن قالوا</w:t>
      </w:r>
      <w:r w:rsidR="000636C2">
        <w:rPr>
          <w:rFonts w:hint="cs"/>
          <w:rtl/>
        </w:rPr>
        <w:t>:</w:t>
      </w:r>
      <w:r w:rsidRPr="005675B2">
        <w:rPr>
          <w:rFonts w:hint="cs"/>
          <w:rtl/>
        </w:rPr>
        <w:t xml:space="preserve"> لأن</w:t>
      </w:r>
      <w:r w:rsidRPr="005675B2">
        <w:rPr>
          <w:rFonts w:hint="cs"/>
        </w:rPr>
        <w:t xml:space="preserve"> </w:t>
      </w:r>
      <w:r w:rsidRPr="005675B2">
        <w:rPr>
          <w:rFonts w:hint="cs"/>
          <w:rtl/>
        </w:rPr>
        <w:t>أحمد بن حنبل رضي الله عنه قال بنفي خلقه وتكفير من قال بخلقه، قيل لهم</w:t>
      </w:r>
      <w:r w:rsidR="000636C2">
        <w:rPr>
          <w:rFonts w:hint="cs"/>
          <w:rtl/>
        </w:rPr>
        <w:t>:</w:t>
      </w:r>
      <w:r w:rsidRPr="005675B2">
        <w:rPr>
          <w:rFonts w:hint="cs"/>
          <w:rtl/>
        </w:rPr>
        <w:t xml:space="preserve"> ولِمَ لم</w:t>
      </w:r>
      <w:r w:rsidRPr="005675B2">
        <w:rPr>
          <w:rFonts w:hint="cs"/>
        </w:rPr>
        <w:t xml:space="preserve"> </w:t>
      </w:r>
      <w:r w:rsidRPr="005675B2">
        <w:rPr>
          <w:rFonts w:hint="cs"/>
          <w:rtl/>
        </w:rPr>
        <w:t>يسكت أحمد عن ذلك، بل لِمَ تكلم فيه</w:t>
      </w:r>
      <w:r w:rsidR="000636C2">
        <w:rPr>
          <w:rFonts w:hint="cs"/>
          <w:rtl/>
        </w:rPr>
        <w:t>؟</w:t>
      </w:r>
      <w:r w:rsidRPr="005675B2">
        <w:rPr>
          <w:rFonts w:hint="cs"/>
          <w:rtl/>
        </w:rPr>
        <w:t xml:space="preserve"> فإن قالوا</w:t>
      </w:r>
      <w:r w:rsidR="000636C2">
        <w:rPr>
          <w:rFonts w:hint="cs"/>
          <w:rtl/>
        </w:rPr>
        <w:t>:</w:t>
      </w:r>
      <w:r w:rsidRPr="005675B2">
        <w:rPr>
          <w:rFonts w:hint="cs"/>
          <w:rtl/>
        </w:rPr>
        <w:t xml:space="preserve"> لأن عباس العنبري</w:t>
      </w:r>
      <w:r w:rsidR="000636C2">
        <w:rPr>
          <w:rFonts w:hint="cs"/>
          <w:rtl/>
        </w:rPr>
        <w:t>،</w:t>
      </w:r>
      <w:r w:rsidRPr="005675B2">
        <w:rPr>
          <w:rFonts w:hint="cs"/>
          <w:rtl/>
        </w:rPr>
        <w:t>ووكيعاً، وعبد</w:t>
      </w:r>
      <w:r w:rsidRPr="005675B2">
        <w:rPr>
          <w:rFonts w:hint="cs"/>
        </w:rPr>
        <w:t xml:space="preserve"> </w:t>
      </w:r>
      <w:r w:rsidRPr="005675B2">
        <w:rPr>
          <w:rFonts w:hint="cs"/>
          <w:rtl/>
        </w:rPr>
        <w:t>الرحمن بن مهدي</w:t>
      </w:r>
      <w:r w:rsidR="000636C2">
        <w:rPr>
          <w:rFonts w:hint="cs"/>
          <w:rtl/>
        </w:rPr>
        <w:t>،</w:t>
      </w:r>
      <w:r w:rsidRPr="005675B2">
        <w:rPr>
          <w:rFonts w:hint="cs"/>
          <w:rtl/>
        </w:rPr>
        <w:t>وفلاناً وفلاناً قالوا إنه غير مخلوق ومن قال بأنه مخلوق فهو كافر،</w:t>
      </w:r>
      <w:r w:rsidRPr="005675B2">
        <w:rPr>
          <w:rFonts w:hint="cs"/>
        </w:rPr>
        <w:t xml:space="preserve"> </w:t>
      </w:r>
      <w:r w:rsidRPr="005675B2">
        <w:rPr>
          <w:rFonts w:hint="cs"/>
          <w:rtl/>
        </w:rPr>
        <w:t>قيل لهم</w:t>
      </w:r>
      <w:r w:rsidR="000636C2">
        <w:rPr>
          <w:rFonts w:hint="cs"/>
          <w:rtl/>
        </w:rPr>
        <w:t>:</w:t>
      </w:r>
      <w:r w:rsidRPr="005675B2">
        <w:rPr>
          <w:rFonts w:hint="cs"/>
          <w:rtl/>
        </w:rPr>
        <w:t xml:space="preserve"> ولم لم يسكت أولئك عما سكت عنه </w:t>
      </w:r>
      <w:r w:rsidR="000636C2">
        <w:rPr>
          <w:rFonts w:hint="cs"/>
          <w:rtl/>
        </w:rPr>
        <w:t>(</w:t>
      </w:r>
      <w:r w:rsidRPr="005675B2">
        <w:rPr>
          <w:rFonts w:hint="cs"/>
          <w:rtl/>
        </w:rPr>
        <w:t>النبي</w:t>
      </w:r>
      <w:r w:rsidR="000636C2">
        <w:rPr>
          <w:rFonts w:hint="cs"/>
          <w:rtl/>
        </w:rPr>
        <w:t>)</w:t>
      </w:r>
      <w:r w:rsidRPr="005675B2">
        <w:rPr>
          <w:rFonts w:hint="cs"/>
          <w:rtl/>
        </w:rPr>
        <w:t xml:space="preserve"> صلى الله عليه وآله وسلم</w:t>
      </w:r>
      <w:r w:rsidR="000636C2">
        <w:rPr>
          <w:rFonts w:hint="cs"/>
          <w:rtl/>
        </w:rPr>
        <w:t>؟!</w:t>
      </w:r>
      <w:r w:rsidRPr="005675B2">
        <w:rPr>
          <w:rFonts w:hint="cs"/>
          <w:rtl/>
        </w:rPr>
        <w:t xml:space="preserve"> فإن أحالوا ذلك على الصحابة</w:t>
      </w:r>
      <w:r w:rsidRPr="005675B2">
        <w:rPr>
          <w:rFonts w:hint="cs"/>
        </w:rPr>
        <w:t xml:space="preserve"> </w:t>
      </w:r>
      <w:r w:rsidRPr="005675B2">
        <w:rPr>
          <w:rFonts w:hint="cs"/>
          <w:rtl/>
        </w:rPr>
        <w:t>أو جماعة منهم، كان ذلك مكابرة</w:t>
      </w:r>
      <w:r w:rsidR="000636C2">
        <w:rPr>
          <w:rFonts w:hint="cs"/>
          <w:rtl/>
        </w:rPr>
        <w:t>،</w:t>
      </w:r>
      <w:r w:rsidRPr="005675B2">
        <w:rPr>
          <w:rFonts w:hint="cs"/>
          <w:rtl/>
        </w:rPr>
        <w:t xml:space="preserve"> فإنه </w:t>
      </w:r>
      <w:r w:rsidR="000636C2">
        <w:rPr>
          <w:rFonts w:hint="cs"/>
          <w:rtl/>
        </w:rPr>
        <w:t>(</w:t>
      </w:r>
      <w:r w:rsidRPr="005675B2">
        <w:rPr>
          <w:rFonts w:hint="cs"/>
          <w:rtl/>
        </w:rPr>
        <w:t>مع هذا</w:t>
      </w:r>
      <w:r w:rsidR="000636C2">
        <w:rPr>
          <w:rFonts w:hint="cs"/>
          <w:rtl/>
        </w:rPr>
        <w:t>)</w:t>
      </w:r>
      <w:r w:rsidRPr="005675B2">
        <w:rPr>
          <w:rFonts w:hint="cs"/>
          <w:rtl/>
        </w:rPr>
        <w:t xml:space="preserve"> يقال لهم</w:t>
      </w:r>
      <w:r w:rsidR="000636C2">
        <w:rPr>
          <w:rFonts w:hint="cs"/>
          <w:rtl/>
        </w:rPr>
        <w:t>:</w:t>
      </w:r>
      <w:r w:rsidRPr="005675B2">
        <w:rPr>
          <w:rFonts w:hint="cs"/>
          <w:rtl/>
        </w:rPr>
        <w:t xml:space="preserve"> فلم لم يسكتوا عن</w:t>
      </w:r>
      <w:r w:rsidRPr="005675B2">
        <w:rPr>
          <w:rFonts w:hint="cs"/>
        </w:rPr>
        <w:t xml:space="preserve"> </w:t>
      </w:r>
      <w:r w:rsidRPr="005675B2">
        <w:rPr>
          <w:rFonts w:hint="cs"/>
          <w:rtl/>
        </w:rPr>
        <w:t>ذلك ولم يتكلم فيه النبي صلى الله عليه وآله وسلم ولا قال</w:t>
      </w:r>
      <w:r w:rsidR="000636C2">
        <w:rPr>
          <w:rFonts w:hint="cs"/>
          <w:rtl/>
        </w:rPr>
        <w:t>:</w:t>
      </w:r>
      <w:r w:rsidRPr="005675B2">
        <w:rPr>
          <w:rFonts w:hint="cs"/>
          <w:rtl/>
        </w:rPr>
        <w:t xml:space="preserve"> </w:t>
      </w:r>
      <w:r w:rsidR="000636C2">
        <w:rPr>
          <w:rFonts w:hint="cs"/>
          <w:rtl/>
        </w:rPr>
        <w:t>(</w:t>
      </w:r>
      <w:r w:rsidRPr="005675B2">
        <w:rPr>
          <w:rFonts w:hint="cs"/>
          <w:rtl/>
        </w:rPr>
        <w:t>كفروا قائله</w:t>
      </w:r>
      <w:r w:rsidR="000636C2">
        <w:rPr>
          <w:rFonts w:hint="cs"/>
          <w:u w:val="single"/>
          <w:rtl/>
        </w:rPr>
        <w:t>)؟</w:t>
      </w:r>
      <w:r w:rsidRPr="005675B2">
        <w:rPr>
          <w:rFonts w:hint="cs"/>
          <w:u w:val="single"/>
          <w:rtl/>
        </w:rPr>
        <w:t xml:space="preserve"> وإن</w:t>
      </w:r>
      <w:r w:rsidRPr="005675B2">
        <w:rPr>
          <w:rFonts w:hint="cs"/>
          <w:u w:val="single"/>
        </w:rPr>
        <w:t xml:space="preserve"> </w:t>
      </w:r>
      <w:r w:rsidRPr="005675B2">
        <w:rPr>
          <w:rFonts w:hint="cs"/>
          <w:u w:val="single"/>
          <w:rtl/>
        </w:rPr>
        <w:t>قالوا</w:t>
      </w:r>
      <w:r w:rsidR="000636C2">
        <w:rPr>
          <w:rFonts w:hint="cs"/>
          <w:u w:val="single"/>
          <w:rtl/>
        </w:rPr>
        <w:t>:</w:t>
      </w:r>
      <w:r w:rsidRPr="005675B2">
        <w:rPr>
          <w:rFonts w:hint="cs"/>
          <w:u w:val="single"/>
          <w:rtl/>
        </w:rPr>
        <w:t xml:space="preserve"> لا بد للعلماء من الكلام في الحادثة ليعلم الجاهل حكمها، قيل لهم</w:t>
      </w:r>
      <w:r w:rsidR="000636C2">
        <w:rPr>
          <w:rFonts w:hint="cs"/>
          <w:u w:val="single"/>
          <w:rtl/>
        </w:rPr>
        <w:t>:</w:t>
      </w:r>
      <w:r w:rsidRPr="005675B2">
        <w:rPr>
          <w:rFonts w:hint="cs"/>
          <w:u w:val="single"/>
        </w:rPr>
        <w:t xml:space="preserve"> </w:t>
      </w:r>
      <w:r w:rsidRPr="005675B2">
        <w:rPr>
          <w:rFonts w:hint="cs"/>
          <w:u w:val="single"/>
          <w:rtl/>
        </w:rPr>
        <w:t>هذا الذي</w:t>
      </w:r>
      <w:r w:rsidRPr="005675B2">
        <w:rPr>
          <w:rFonts w:hint="cs"/>
          <w:u w:val="single"/>
        </w:rPr>
        <w:t xml:space="preserve"> </w:t>
      </w:r>
      <w:r w:rsidRPr="005675B2">
        <w:rPr>
          <w:rFonts w:hint="cs"/>
          <w:u w:val="single"/>
          <w:rtl/>
        </w:rPr>
        <w:t>أردناه منكم0 فلم منعتم الكلام</w:t>
      </w:r>
      <w:r w:rsidR="000636C2">
        <w:rPr>
          <w:rFonts w:hint="cs"/>
          <w:u w:val="single"/>
          <w:rtl/>
        </w:rPr>
        <w:t>؟</w:t>
      </w:r>
      <w:r w:rsidRPr="005675B2">
        <w:rPr>
          <w:rFonts w:hint="cs"/>
          <w:u w:val="single"/>
          <w:rtl/>
        </w:rPr>
        <w:t xml:space="preserve"> فأنتم إن شئتم تكلمتم، حتى إذا انقطعتم قلتم نهينا</w:t>
      </w:r>
      <w:r w:rsidRPr="005675B2">
        <w:rPr>
          <w:rFonts w:hint="cs"/>
          <w:u w:val="single"/>
        </w:rPr>
        <w:t xml:space="preserve"> </w:t>
      </w:r>
      <w:r w:rsidRPr="005675B2">
        <w:rPr>
          <w:rFonts w:hint="cs"/>
          <w:u w:val="single"/>
          <w:rtl/>
        </w:rPr>
        <w:t>عن الكلام</w:t>
      </w:r>
      <w:r w:rsidR="000636C2">
        <w:rPr>
          <w:rFonts w:hint="cs"/>
          <w:u w:val="single"/>
          <w:rtl/>
        </w:rPr>
        <w:t>!</w:t>
      </w:r>
      <w:r w:rsidRPr="005675B2">
        <w:rPr>
          <w:rFonts w:hint="cs"/>
          <w:u w:val="single"/>
          <w:rtl/>
        </w:rPr>
        <w:t>!، وإن شئتم قلدتم من كان قبلكم بلا حجة ولا بيان، وهذه شهوة وتحكم</w:t>
      </w:r>
      <w:r w:rsidR="000636C2">
        <w:rPr>
          <w:rFonts w:hint="cs"/>
          <w:u w:val="single"/>
          <w:rtl/>
        </w:rPr>
        <w:t>،</w:t>
      </w:r>
      <w:r w:rsidRPr="005675B2">
        <w:rPr>
          <w:rFonts w:hint="cs"/>
          <w:u w:val="single"/>
          <w:rtl/>
        </w:rPr>
        <w:t xml:space="preserve"> ‏ انتهى [</w:t>
      </w:r>
      <w:r w:rsidRPr="005675B2">
        <w:rPr>
          <w:rFonts w:hint="cs"/>
          <w:bCs/>
          <w:sz w:val="24"/>
          <w:szCs w:val="24"/>
          <w:rtl/>
        </w:rPr>
        <w:t>الرسالة نشرها د عبد الرحمن بدوي</w:t>
      </w:r>
      <w:r w:rsidRPr="005675B2">
        <w:rPr>
          <w:bCs/>
          <w:sz w:val="24"/>
          <w:szCs w:val="24"/>
        </w:rPr>
        <w:t xml:space="preserve"> " </w:t>
      </w:r>
      <w:r w:rsidRPr="005675B2">
        <w:rPr>
          <w:rFonts w:hint="cs"/>
          <w:bCs/>
          <w:sz w:val="24"/>
          <w:szCs w:val="24"/>
          <w:rtl/>
        </w:rPr>
        <w:t>كتابه مذاهب الاسلاميين .استحسان الخوض في علم الكلام]</w:t>
      </w:r>
      <w:r w:rsidR="000636C2">
        <w:rPr>
          <w:rFonts w:hint="cs"/>
          <w:u w:val="single"/>
          <w:rtl/>
        </w:rPr>
        <w:t xml:space="preserve"> </w:t>
      </w:r>
      <w:r w:rsidRPr="005675B2">
        <w:rPr>
          <w:rFonts w:hint="cs"/>
          <w:u w:val="single"/>
          <w:rtl/>
        </w:rPr>
        <w:t>[</w:t>
      </w:r>
      <w:r w:rsidRPr="005675B2">
        <w:rPr>
          <w:rFonts w:hint="cs"/>
          <w:sz w:val="24"/>
          <w:szCs w:val="24"/>
          <w:rtl/>
        </w:rPr>
        <w:t>قال أبو إسحاق المَرْوَزي</w:t>
      </w:r>
      <w:r w:rsidRPr="005675B2">
        <w:rPr>
          <w:sz w:val="24"/>
          <w:szCs w:val="24"/>
        </w:rPr>
        <w:t xml:space="preserve">: </w:t>
      </w:r>
      <w:r w:rsidRPr="005675B2">
        <w:rPr>
          <w:rFonts w:hint="cs"/>
          <w:sz w:val="24"/>
          <w:szCs w:val="24"/>
          <w:rtl/>
        </w:rPr>
        <w:t>سمعت المحاملي يقول في أبي الحسن ‏الأشعري: لو أتى ‏الله بقُراب الأرض ذنوباً رجوت</w:t>
      </w:r>
      <w:r w:rsidRPr="005675B2">
        <w:rPr>
          <w:rFonts w:hint="cs"/>
          <w:sz w:val="24"/>
          <w:szCs w:val="24"/>
        </w:rPr>
        <w:t xml:space="preserve"> </w:t>
      </w:r>
      <w:r w:rsidRPr="005675B2">
        <w:rPr>
          <w:rFonts w:hint="cs"/>
          <w:sz w:val="24"/>
          <w:szCs w:val="24"/>
          <w:rtl/>
        </w:rPr>
        <w:t>أن يغفر الله له لدفعه عن دينه، وقال ابن العربي المفسر: ‏كانت المعتزلة قد رفعوا ‏رءوسهم</w:t>
      </w:r>
      <w:r w:rsidRPr="005675B2">
        <w:rPr>
          <w:rFonts w:hint="cs"/>
          <w:sz w:val="24"/>
          <w:szCs w:val="24"/>
        </w:rPr>
        <w:t xml:space="preserve"> </w:t>
      </w:r>
      <w:r w:rsidRPr="005675B2">
        <w:rPr>
          <w:rFonts w:hint="cs"/>
          <w:sz w:val="24"/>
          <w:szCs w:val="24"/>
          <w:rtl/>
        </w:rPr>
        <w:t>حتى أظهر الله الأشعري فحجزهم في أقماع السماسم " اهـ. كما في تشنيف المسامع للزركشي</w:t>
      </w:r>
      <w:r w:rsidRPr="005675B2">
        <w:rPr>
          <w:rFonts w:hint="cs"/>
          <w:rtl/>
        </w:rPr>
        <w:t>]</w:t>
      </w:r>
      <w:r w:rsidR="000636C2">
        <w:rPr>
          <w:rFonts w:hint="cs"/>
          <w:rtl/>
        </w:rPr>
        <w:t>،</w:t>
      </w:r>
      <w:r w:rsidRPr="005675B2">
        <w:rPr>
          <w:rFonts w:hint="cs"/>
          <w:u w:val="single"/>
          <w:rtl/>
        </w:rPr>
        <w:t xml:space="preserve"> قال النووي</w:t>
      </w:r>
      <w:r w:rsidR="000636C2">
        <w:rPr>
          <w:rFonts w:hint="cs"/>
          <w:u w:val="single"/>
          <w:rtl/>
        </w:rPr>
        <w:t xml:space="preserve"> </w:t>
      </w:r>
      <w:r w:rsidRPr="005675B2">
        <w:rPr>
          <w:rFonts w:hint="cs"/>
          <w:u w:val="single"/>
          <w:rtl/>
        </w:rPr>
        <w:t>- رحمه الله - في مقدمة</w:t>
      </w:r>
      <w:r w:rsidRPr="005675B2">
        <w:rPr>
          <w:rFonts w:hint="cs"/>
          <w:u w:val="single"/>
        </w:rPr>
        <w:t xml:space="preserve"> </w:t>
      </w:r>
      <w:r w:rsidRPr="005675B2">
        <w:rPr>
          <w:rFonts w:hint="cs"/>
          <w:u w:val="single"/>
          <w:rtl/>
        </w:rPr>
        <w:t>كتاب المجموع</w:t>
      </w:r>
      <w:r w:rsidR="000636C2">
        <w:rPr>
          <w:rFonts w:hint="cs"/>
          <w:u w:val="single"/>
          <w:rtl/>
        </w:rPr>
        <w:t>:</w:t>
      </w:r>
      <w:r w:rsidRPr="005675B2">
        <w:rPr>
          <w:rFonts w:hint="cs"/>
          <w:rtl/>
        </w:rPr>
        <w:t>ولو تشكك</w:t>
      </w:r>
      <w:r w:rsidR="000636C2">
        <w:rPr>
          <w:rFonts w:hint="cs"/>
          <w:rtl/>
        </w:rPr>
        <w:t xml:space="preserve"> </w:t>
      </w:r>
      <w:r w:rsidRPr="005675B2">
        <w:rPr>
          <w:rFonts w:hint="cs"/>
          <w:rtl/>
        </w:rPr>
        <w:t>- والعياذ بالله - في شيء من أصول العقائد مما لابد من اعتقاده</w:t>
      </w:r>
      <w:r w:rsidRPr="005675B2">
        <w:t xml:space="preserve">, </w:t>
      </w:r>
      <w:r w:rsidRPr="005675B2">
        <w:rPr>
          <w:rFonts w:hint="cs"/>
          <w:rtl/>
        </w:rPr>
        <w:t xml:space="preserve">ولم يزل شكه إلا بتعليم دليل من أدلة المتكلمين </w:t>
      </w:r>
      <w:r w:rsidRPr="005675B2">
        <w:rPr>
          <w:rFonts w:hint="cs"/>
          <w:u w:val="single"/>
          <w:rtl/>
        </w:rPr>
        <w:t>وجب تعلم</w:t>
      </w:r>
      <w:r w:rsidRPr="005675B2">
        <w:rPr>
          <w:rFonts w:hint="cs"/>
          <w:rtl/>
        </w:rPr>
        <w:t xml:space="preserve"> ذلك لإزالة الشك وتحصيل</w:t>
      </w:r>
      <w:r w:rsidRPr="005675B2">
        <w:rPr>
          <w:rFonts w:hint="cs"/>
        </w:rPr>
        <w:t xml:space="preserve"> </w:t>
      </w:r>
      <w:r w:rsidRPr="005675B2">
        <w:rPr>
          <w:rFonts w:hint="cs"/>
          <w:rtl/>
        </w:rPr>
        <w:t>ذلك الأصل</w:t>
      </w:r>
      <w:r w:rsidR="000636C2">
        <w:rPr>
          <w:rFonts w:hint="cs"/>
          <w:rtl/>
        </w:rPr>
        <w:t>،</w:t>
      </w:r>
      <w:r w:rsidRPr="005675B2">
        <w:rPr>
          <w:rFonts w:hint="cs"/>
          <w:rtl/>
        </w:rPr>
        <w:t xml:space="preserve"> " أهـ</w:t>
      </w:r>
      <w:r w:rsidR="000636C2">
        <w:rPr>
          <w:rFonts w:hint="cs"/>
          <w:rtl/>
        </w:rPr>
        <w:t>،</w:t>
      </w:r>
      <w:r w:rsidRPr="005675B2">
        <w:rPr>
          <w:rFonts w:hint="cs"/>
          <w:rtl/>
        </w:rPr>
        <w:t xml:space="preserve"> قال الذهبي</w:t>
      </w:r>
      <w:r w:rsidR="000636C2">
        <w:rPr>
          <w:rFonts w:hint="cs"/>
          <w:rtl/>
        </w:rPr>
        <w:t>:</w:t>
      </w:r>
      <w:r w:rsidRPr="005675B2">
        <w:rPr>
          <w:rFonts w:hint="cs"/>
          <w:rtl/>
        </w:rPr>
        <w:t xml:space="preserve"> في التذكرة إن المزي كان يقرر طريقة السلف في السنة </w:t>
      </w:r>
      <w:r w:rsidRPr="005675B2">
        <w:rPr>
          <w:rFonts w:hint="cs"/>
          <w:u w:val="single"/>
          <w:rtl/>
        </w:rPr>
        <w:t>فيعضد ذلك بقواعد كلامية ومباحث نظرية</w:t>
      </w:r>
      <w:r w:rsidR="000636C2">
        <w:rPr>
          <w:rFonts w:hint="cs"/>
          <w:rtl/>
        </w:rPr>
        <w:t>،</w:t>
      </w:r>
    </w:p>
    <w:p w14:paraId="44942516" w14:textId="76EDBDFE" w:rsidR="009C32A0" w:rsidRPr="005675B2" w:rsidRDefault="009C32A0" w:rsidP="000636C2">
      <w:pPr>
        <w:rPr>
          <w:b/>
          <w:rtl/>
        </w:rPr>
      </w:pPr>
      <w:r w:rsidRPr="005675B2">
        <w:rPr>
          <w:rFonts w:hint="cs"/>
          <w:rtl/>
        </w:rPr>
        <w:t>وقال الإمام محمد بن إبراهيم ابن الوزير اليماني</w:t>
      </w:r>
      <w:r w:rsidR="000636C2">
        <w:rPr>
          <w:rFonts w:hint="cs"/>
          <w:rtl/>
        </w:rPr>
        <w:t>:</w:t>
      </w:r>
      <w:r w:rsidRPr="005675B2">
        <w:rPr>
          <w:rFonts w:hint="cs"/>
          <w:rtl/>
        </w:rPr>
        <w:t xml:space="preserve"> رحمه الله في العواصم والقواصم 3 /331</w:t>
      </w:r>
      <w:r w:rsidR="000636C2">
        <w:rPr>
          <w:rFonts w:hint="cs"/>
          <w:rtl/>
        </w:rPr>
        <w:t>:</w:t>
      </w:r>
      <w:r w:rsidRPr="005675B2">
        <w:rPr>
          <w:rFonts w:hint="cs"/>
          <w:rtl/>
        </w:rPr>
        <w:t xml:space="preserve"> </w:t>
      </w:r>
      <w:r w:rsidR="000636C2">
        <w:rPr>
          <w:rFonts w:hint="cs"/>
          <w:rtl/>
        </w:rPr>
        <w:t>(</w:t>
      </w:r>
      <w:r w:rsidRPr="005675B2">
        <w:rPr>
          <w:rFonts w:hint="cs"/>
          <w:rtl/>
        </w:rPr>
        <w:t>مذهب أحمد بن حنبل وأمثاله من أئمة الحديث وهم طائفتان</w:t>
      </w:r>
      <w:r w:rsidR="000636C2">
        <w:rPr>
          <w:rFonts w:hint="cs"/>
          <w:rtl/>
        </w:rPr>
        <w:t>:</w:t>
      </w:r>
      <w:r w:rsidRPr="005675B2">
        <w:rPr>
          <w:rFonts w:hint="cs"/>
          <w:rtl/>
        </w:rPr>
        <w:t xml:space="preserve"> الطائفة الأولى</w:t>
      </w:r>
      <w:r w:rsidR="000636C2">
        <w:rPr>
          <w:rFonts w:hint="cs"/>
          <w:rtl/>
        </w:rPr>
        <w:t>:</w:t>
      </w:r>
      <w:r w:rsidRPr="005675B2">
        <w:rPr>
          <w:rFonts w:hint="cs"/>
          <w:rtl/>
        </w:rPr>
        <w:t xml:space="preserve"> أهل الحديث والأثر وأتباع السنن والسلف الذين ينهون عن الخوض في علم الكلام .. ثم قرر مذهب أهل الحديث وهو أن حقيقة الصفات وكنهها مما استأثر الله بعلمه , ثم ذكر كلام الغزالي في كتابه إلجام العوام في تقرير عقيدة السلف ,</w:t>
      </w:r>
      <w:r w:rsidR="000636C2">
        <w:rPr>
          <w:rFonts w:hint="cs"/>
          <w:rtl/>
        </w:rPr>
        <w:t xml:space="preserve"> </w:t>
      </w:r>
      <w:r w:rsidRPr="005675B2">
        <w:rPr>
          <w:rFonts w:hint="cs"/>
          <w:rtl/>
        </w:rPr>
        <w:t>ثم تكلم في النهي عن علم الكلام كل ذلك في صفحات طويلة جدا</w:t>
      </w:r>
      <w:r w:rsidR="000636C2">
        <w:rPr>
          <w:rFonts w:hint="cs"/>
          <w:rtl/>
        </w:rPr>
        <w:t xml:space="preserve">، </w:t>
      </w:r>
      <w:r w:rsidRPr="005675B2">
        <w:rPr>
          <w:rFonts w:hint="cs"/>
          <w:rtl/>
        </w:rPr>
        <w:t>ثم قال 4/118</w:t>
      </w:r>
      <w:r w:rsidR="000636C2">
        <w:rPr>
          <w:rFonts w:hint="cs"/>
          <w:rtl/>
        </w:rPr>
        <w:t>:</w:t>
      </w:r>
      <w:r w:rsidRPr="005675B2">
        <w:rPr>
          <w:rFonts w:hint="cs"/>
          <w:rtl/>
        </w:rPr>
        <w:t xml:space="preserve"> هذا آخر ما أردت الإشارة إليه من جملة عقائد المحدثين وهم الطائفة الأولى الطائفة الثانية</w:t>
      </w:r>
      <w:r w:rsidR="000636C2">
        <w:rPr>
          <w:rFonts w:hint="cs"/>
          <w:rtl/>
        </w:rPr>
        <w:t>:</w:t>
      </w:r>
      <w:r w:rsidRPr="005675B2">
        <w:rPr>
          <w:rFonts w:hint="cs"/>
          <w:rtl/>
        </w:rPr>
        <w:t xml:space="preserve"> أهل النظر في علم الكلام والمنطق والمعقولات وهم فرقتان</w:t>
      </w:r>
      <w:r w:rsidR="000636C2">
        <w:rPr>
          <w:rFonts w:hint="cs"/>
          <w:rtl/>
        </w:rPr>
        <w:t>:</w:t>
      </w:r>
      <w:r w:rsidRPr="005675B2">
        <w:rPr>
          <w:rFonts w:hint="cs"/>
          <w:rtl/>
        </w:rPr>
        <w:t xml:space="preserve"> أحدهما</w:t>
      </w:r>
      <w:r w:rsidR="000636C2">
        <w:rPr>
          <w:rFonts w:hint="cs"/>
          <w:rtl/>
        </w:rPr>
        <w:t>:</w:t>
      </w:r>
      <w:r w:rsidRPr="005675B2">
        <w:rPr>
          <w:rFonts w:hint="cs"/>
          <w:rtl/>
        </w:rPr>
        <w:t xml:space="preserve"> الأشعرية ..</w:t>
      </w:r>
      <w:r w:rsidR="000636C2">
        <w:rPr>
          <w:rFonts w:hint="cs"/>
          <w:rtl/>
        </w:rPr>
        <w:t>،</w:t>
      </w:r>
      <w:r w:rsidRPr="005675B2">
        <w:rPr>
          <w:rFonts w:hint="cs"/>
          <w:rtl/>
        </w:rPr>
        <w:t xml:space="preserve"> والفرقة الثانية من المتكلمين منهم</w:t>
      </w:r>
      <w:r w:rsidR="000636C2">
        <w:rPr>
          <w:rFonts w:hint="cs"/>
          <w:rtl/>
        </w:rPr>
        <w:t>:</w:t>
      </w:r>
      <w:r w:rsidRPr="005675B2">
        <w:rPr>
          <w:rFonts w:hint="cs"/>
          <w:rtl/>
        </w:rPr>
        <w:t xml:space="preserve"> الأثرية كابن تيمية وأصحابه فهؤلاء من أهل الحديث لا يخالفونهم إلا في استحسان الخوض في الكلام وفي التجاسر على بعض العبارات وفيما تفرد به من الخوض في الدقائق الخفيات </w:t>
      </w:r>
      <w:r w:rsidRPr="005675B2">
        <w:rPr>
          <w:rFonts w:hint="cs"/>
          <w:u w:val="single"/>
          <w:rtl/>
        </w:rPr>
        <w:t>والمحدثون ينكرون ذلك عليهم لأنه ربما أدى ذلك إلى بدعة</w:t>
      </w:r>
      <w:r w:rsidRPr="005675B2">
        <w:rPr>
          <w:rFonts w:hint="cs"/>
          <w:rtl/>
        </w:rPr>
        <w:t xml:space="preserve"> أو قدح في الدين</w:t>
      </w:r>
      <w:r w:rsidR="000636C2">
        <w:rPr>
          <w:rFonts w:hint="cs"/>
          <w:rtl/>
        </w:rPr>
        <w:t>)</w:t>
      </w:r>
      <w:r w:rsidRPr="005675B2">
        <w:rPr>
          <w:rFonts w:hint="cs"/>
          <w:rtl/>
        </w:rPr>
        <w:t xml:space="preserve"> اهـ [</w:t>
      </w:r>
      <w:r w:rsidRPr="005675B2">
        <w:rPr>
          <w:rFonts w:hint="cs"/>
          <w:bCs/>
          <w:sz w:val="24"/>
          <w:szCs w:val="24"/>
          <w:rtl/>
        </w:rPr>
        <w:t>كلام ابن الوزيراليماني</w:t>
      </w:r>
      <w:r w:rsidR="000636C2">
        <w:rPr>
          <w:rFonts w:hint="cs"/>
          <w:bCs/>
          <w:sz w:val="24"/>
          <w:szCs w:val="24"/>
          <w:rtl/>
        </w:rPr>
        <w:t xml:space="preserve"> </w:t>
      </w:r>
      <w:r w:rsidRPr="005675B2">
        <w:rPr>
          <w:rFonts w:hint="cs"/>
          <w:bCs/>
          <w:sz w:val="24"/>
          <w:szCs w:val="24"/>
          <w:rtl/>
        </w:rPr>
        <w:t>بنصه استفدته من تعليق لللشيخ عبدالفتاح اليافعي</w:t>
      </w:r>
      <w:r w:rsidR="000636C2">
        <w:rPr>
          <w:rFonts w:hint="cs"/>
          <w:bCs/>
          <w:sz w:val="24"/>
          <w:szCs w:val="24"/>
          <w:rtl/>
        </w:rPr>
        <w:t xml:space="preserve"> </w:t>
      </w:r>
      <w:r w:rsidRPr="005675B2">
        <w:rPr>
          <w:rFonts w:hint="cs"/>
          <w:bCs/>
          <w:sz w:val="24"/>
          <w:szCs w:val="24"/>
          <w:rtl/>
        </w:rPr>
        <w:t>في تأيده لفتوى الشيخ الغنيمان</w:t>
      </w:r>
      <w:r w:rsidR="000636C2">
        <w:rPr>
          <w:rFonts w:hint="cs"/>
          <w:bCs/>
          <w:sz w:val="24"/>
          <w:szCs w:val="24"/>
          <w:rtl/>
        </w:rPr>
        <w:t>]</w:t>
      </w:r>
      <w:r w:rsidR="000636C2">
        <w:rPr>
          <w:rFonts w:hint="cs"/>
          <w:rtl/>
        </w:rPr>
        <w:t xml:space="preserve">، </w:t>
      </w:r>
      <w:r w:rsidRPr="005675B2">
        <w:rPr>
          <w:rFonts w:hint="cs"/>
          <w:rtl/>
        </w:rPr>
        <w:t>وفيما سبق كفاية لبيان أهمية علم الكلام إذا كان بحق</w:t>
      </w:r>
      <w:r w:rsidR="000636C2">
        <w:rPr>
          <w:rFonts w:hint="cs"/>
          <w:rtl/>
        </w:rPr>
        <w:t xml:space="preserve"> </w:t>
      </w:r>
      <w:r w:rsidRPr="005675B2">
        <w:rPr>
          <w:rFonts w:hint="cs"/>
          <w:rtl/>
        </w:rPr>
        <w:t>وهو مجرد وسيلة لا تأخذ حكماً بالنهي أو الطلب لها</w:t>
      </w:r>
      <w:r w:rsidR="000636C2">
        <w:rPr>
          <w:rFonts w:hint="cs"/>
          <w:rtl/>
        </w:rPr>
        <w:t xml:space="preserve"> </w:t>
      </w:r>
      <w:r w:rsidRPr="005675B2">
        <w:rPr>
          <w:rFonts w:hint="cs"/>
          <w:rtl/>
        </w:rPr>
        <w:t>إلا بما يعرض لها</w:t>
      </w:r>
      <w:r w:rsidR="000636C2">
        <w:rPr>
          <w:rFonts w:hint="cs"/>
          <w:rtl/>
        </w:rPr>
        <w:t>،</w:t>
      </w:r>
      <w:r w:rsidRPr="005675B2">
        <w:rPr>
          <w:rFonts w:hint="cs"/>
          <w:rtl/>
        </w:rPr>
        <w:t xml:space="preserve"> قال السعد التفتازاني في شرحه على</w:t>
      </w:r>
      <w:r w:rsidR="000636C2">
        <w:rPr>
          <w:rFonts w:hint="cs"/>
          <w:rtl/>
        </w:rPr>
        <w:t xml:space="preserve"> </w:t>
      </w:r>
      <w:r w:rsidRPr="005675B2">
        <w:rPr>
          <w:rFonts w:hint="cs"/>
          <w:rtl/>
        </w:rPr>
        <w:t>العقائد النسفية</w:t>
      </w:r>
      <w:r w:rsidR="000636C2">
        <w:rPr>
          <w:rFonts w:hint="cs"/>
          <w:rtl/>
        </w:rPr>
        <w:t>:</w:t>
      </w:r>
      <w:r w:rsidRPr="005675B2">
        <w:rPr>
          <w:rFonts w:hint="cs"/>
          <w:rtl/>
        </w:rPr>
        <w:t xml:space="preserve"> وسموا معرفة العقائد عن أدلتها بالكلام، لأن عنوان مباحثه كان قولهم</w:t>
      </w:r>
      <w:r w:rsidR="000636C2">
        <w:rPr>
          <w:rFonts w:hint="cs"/>
          <w:rtl/>
        </w:rPr>
        <w:t>:</w:t>
      </w:r>
      <w:r w:rsidRPr="005675B2">
        <w:rPr>
          <w:rFonts w:hint="cs"/>
        </w:rPr>
        <w:t xml:space="preserve"> </w:t>
      </w:r>
      <w:r w:rsidRPr="005675B2">
        <w:rPr>
          <w:rFonts w:hint="cs"/>
          <w:rtl/>
        </w:rPr>
        <w:t>الكلام في كذا وكذا</w:t>
      </w:r>
      <w:r w:rsidR="000636C2">
        <w:rPr>
          <w:rFonts w:hint="cs"/>
          <w:rtl/>
        </w:rPr>
        <w:t>،</w:t>
      </w:r>
      <w:r w:rsidRPr="005675B2">
        <w:rPr>
          <w:rFonts w:hint="cs"/>
          <w:rtl/>
        </w:rPr>
        <w:t xml:space="preserve"> ولأن مسألة الكلام كانت أشهر مباحثه وأكثرها نزاعاً</w:t>
      </w:r>
      <w:r w:rsidRPr="005675B2">
        <w:rPr>
          <w:rFonts w:hint="cs"/>
        </w:rPr>
        <w:t xml:space="preserve"> </w:t>
      </w:r>
      <w:r w:rsidRPr="005675B2">
        <w:rPr>
          <w:rFonts w:hint="cs"/>
          <w:rtl/>
        </w:rPr>
        <w:t>وجدالاً، حتى إن بعض المتغلبة قتل كثيراً من أهل الحق لعدم قولهم بخلق القرآن</w:t>
      </w:r>
      <w:r w:rsidR="000636C2">
        <w:rPr>
          <w:rFonts w:hint="cs"/>
          <w:rtl/>
        </w:rPr>
        <w:t>،</w:t>
      </w:r>
      <w:r w:rsidRPr="005675B2">
        <w:rPr>
          <w:rFonts w:hint="cs"/>
          <w:rtl/>
        </w:rPr>
        <w:t xml:space="preserve"> ولأنه يورث القدرة على الكلام في تحقيق الشرعيات وإلزام الخصوم، كالمنطق</w:t>
      </w:r>
      <w:r w:rsidRPr="005675B2">
        <w:rPr>
          <w:rFonts w:hint="cs"/>
        </w:rPr>
        <w:t xml:space="preserve"> </w:t>
      </w:r>
      <w:r w:rsidRPr="005675B2">
        <w:rPr>
          <w:rFonts w:hint="cs"/>
          <w:rtl/>
        </w:rPr>
        <w:t>للفلسفة</w:t>
      </w:r>
      <w:r w:rsidR="000636C2">
        <w:rPr>
          <w:rFonts w:hint="cs"/>
          <w:rtl/>
        </w:rPr>
        <w:t>،</w:t>
      </w:r>
      <w:r w:rsidRPr="005675B2">
        <w:rPr>
          <w:rFonts w:hint="cs"/>
          <w:rtl/>
        </w:rPr>
        <w:t xml:space="preserve"> ولأنه أول ما يجب من العلوم التي إنما تعلم وتتعلم بالكلام، فأطلق</w:t>
      </w:r>
      <w:r w:rsidRPr="005675B2">
        <w:rPr>
          <w:rFonts w:hint="cs"/>
        </w:rPr>
        <w:t xml:space="preserve"> </w:t>
      </w:r>
      <w:r w:rsidRPr="005675B2">
        <w:rPr>
          <w:rFonts w:hint="cs"/>
          <w:rtl/>
        </w:rPr>
        <w:t>عليه هذا الاسم لذلك، ثم خص به، ولم يطلق على غيره تمييزاً</w:t>
      </w:r>
      <w:r w:rsidR="000636C2">
        <w:rPr>
          <w:rFonts w:hint="cs"/>
          <w:rtl/>
        </w:rPr>
        <w:t>،</w:t>
      </w:r>
      <w:r w:rsidRPr="005675B2">
        <w:rPr>
          <w:rFonts w:hint="cs"/>
          <w:rtl/>
        </w:rPr>
        <w:t xml:space="preserve"> ولأنه إنما يتحقق</w:t>
      </w:r>
      <w:r w:rsidRPr="005675B2">
        <w:rPr>
          <w:rFonts w:hint="cs"/>
        </w:rPr>
        <w:t xml:space="preserve"> </w:t>
      </w:r>
      <w:r w:rsidRPr="005675B2">
        <w:rPr>
          <w:rFonts w:hint="cs"/>
          <w:rtl/>
        </w:rPr>
        <w:t>بالمباحثة وإدارة الكلام من الجانبين وغيره قد يتحقق بالتأمل ومطالعة الكتب</w:t>
      </w:r>
      <w:r w:rsidR="000636C2">
        <w:rPr>
          <w:rtl/>
        </w:rPr>
        <w:t>،</w:t>
      </w:r>
      <w:r w:rsidRPr="005675B2">
        <w:rPr>
          <w:rFonts w:hint="cs"/>
          <w:rtl/>
        </w:rPr>
        <w:t xml:space="preserve"> ولأنه لابتنائه على الأدلة القطعية</w:t>
      </w:r>
      <w:r w:rsidRPr="005675B2">
        <w:rPr>
          <w:rFonts w:hint="cs"/>
        </w:rPr>
        <w:t xml:space="preserve"> </w:t>
      </w:r>
      <w:r w:rsidRPr="005675B2">
        <w:rPr>
          <w:rFonts w:hint="cs"/>
          <w:rtl/>
        </w:rPr>
        <w:t>المؤيد أكثرها بالأدلة السمعية أشد العلوم تأثيراً في القلب وتغلغلاً فيه، فسمي</w:t>
      </w:r>
      <w:r w:rsidRPr="005675B2">
        <w:rPr>
          <w:rFonts w:hint="cs"/>
        </w:rPr>
        <w:t xml:space="preserve"> </w:t>
      </w:r>
      <w:r w:rsidRPr="005675B2">
        <w:rPr>
          <w:rFonts w:hint="cs"/>
          <w:rtl/>
        </w:rPr>
        <w:t>بالكلام المشتق من الكلم وهو الجرح، وهذا هو كلام القدماء ..</w:t>
      </w:r>
      <w:r w:rsidR="000636C2">
        <w:rPr>
          <w:rFonts w:hint="cs"/>
          <w:rtl/>
        </w:rPr>
        <w:t>،</w:t>
      </w:r>
      <w:r w:rsidRPr="005675B2">
        <w:rPr>
          <w:rFonts w:hint="cs"/>
          <w:rtl/>
        </w:rPr>
        <w:t xml:space="preserve"> إلى أن قال</w:t>
      </w:r>
      <w:r w:rsidR="000636C2">
        <w:rPr>
          <w:rFonts w:hint="cs"/>
          <w:rtl/>
        </w:rPr>
        <w:t>:</w:t>
      </w:r>
      <w:r w:rsidRPr="005675B2">
        <w:rPr>
          <w:rFonts w:hint="cs"/>
          <w:rtl/>
        </w:rPr>
        <w:t>وبالجملة هو أشرف العلوم، لكونه أساس الأحكام الشرعية ورئيس العلوم</w:t>
      </w:r>
      <w:r w:rsidRPr="005675B2">
        <w:rPr>
          <w:rFonts w:hint="cs"/>
        </w:rPr>
        <w:t xml:space="preserve"> </w:t>
      </w:r>
      <w:r w:rsidRPr="005675B2">
        <w:rPr>
          <w:rFonts w:hint="cs"/>
          <w:rtl/>
        </w:rPr>
        <w:t>الدينية، وكون معلوماته العقائد الإسلامية، وغايته الفوز بالسعادات الدينية</w:t>
      </w:r>
      <w:r w:rsidRPr="005675B2">
        <w:rPr>
          <w:rFonts w:hint="cs"/>
        </w:rPr>
        <w:t xml:space="preserve"> </w:t>
      </w:r>
      <w:r w:rsidRPr="005675B2">
        <w:rPr>
          <w:rFonts w:hint="cs"/>
          <w:rtl/>
        </w:rPr>
        <w:t xml:space="preserve">والدنيوية، </w:t>
      </w:r>
      <w:r w:rsidRPr="005675B2">
        <w:rPr>
          <w:rFonts w:hint="cs"/>
          <w:u w:val="single"/>
          <w:rtl/>
        </w:rPr>
        <w:t>وبراهينه الحجج القطعية المؤيد أكثرها بالأدلة السمعية</w:t>
      </w:r>
      <w:r w:rsidR="000636C2">
        <w:rPr>
          <w:rFonts w:hint="cs"/>
          <w:rtl/>
        </w:rPr>
        <w:t>،</w:t>
      </w:r>
      <w:r w:rsidRPr="005675B2">
        <w:rPr>
          <w:rFonts w:hint="cs"/>
          <w:rtl/>
        </w:rPr>
        <w:t xml:space="preserve"> وما نقل عن</w:t>
      </w:r>
      <w:r w:rsidRPr="005675B2">
        <w:rPr>
          <w:rFonts w:hint="cs"/>
        </w:rPr>
        <w:t xml:space="preserve"> </w:t>
      </w:r>
      <w:r w:rsidRPr="005675B2">
        <w:rPr>
          <w:rFonts w:hint="cs"/>
          <w:rtl/>
        </w:rPr>
        <w:t>بعض السلف من الطعن فيه والمنع عنه فإنما هو للمتعصب في الدين والقاصر عن تحصيل</w:t>
      </w:r>
      <w:r w:rsidRPr="005675B2">
        <w:rPr>
          <w:rFonts w:hint="cs"/>
        </w:rPr>
        <w:t xml:space="preserve"> </w:t>
      </w:r>
      <w:r w:rsidRPr="005675B2">
        <w:rPr>
          <w:rFonts w:hint="cs"/>
          <w:rtl/>
        </w:rPr>
        <w:t>اليقين، والقاصد إفساد عقائد المسلمين، والخائض فيما لا يفتقر إليه من غوامض</w:t>
      </w:r>
      <w:r w:rsidRPr="005675B2">
        <w:rPr>
          <w:rFonts w:hint="cs"/>
        </w:rPr>
        <w:t xml:space="preserve"> </w:t>
      </w:r>
      <w:r w:rsidRPr="005675B2">
        <w:rPr>
          <w:rFonts w:hint="cs"/>
          <w:rtl/>
        </w:rPr>
        <w:t>المتفلسفين</w:t>
      </w:r>
      <w:r w:rsidR="000636C2">
        <w:rPr>
          <w:rFonts w:hint="cs"/>
          <w:rtl/>
        </w:rPr>
        <w:t>،</w:t>
      </w:r>
      <w:r w:rsidRPr="005675B2">
        <w:rPr>
          <w:rFonts w:hint="cs"/>
          <w:rtl/>
        </w:rPr>
        <w:t xml:space="preserve"> وإلا فكيف يتصور المنع عما هو من أصل الواجبات وأساس المشروعات</w:t>
      </w:r>
      <w:r w:rsidR="000636C2">
        <w:rPr>
          <w:rFonts w:hint="cs"/>
          <w:rtl/>
        </w:rPr>
        <w:t>،</w:t>
      </w:r>
      <w:r w:rsidRPr="005675B2">
        <w:rPr>
          <w:rFonts w:hint="cs"/>
          <w:rtl/>
        </w:rPr>
        <w:t xml:space="preserve"> </w:t>
      </w:r>
      <w:r w:rsidRPr="005675B2">
        <w:t>"</w:t>
      </w:r>
      <w:r w:rsidRPr="005675B2">
        <w:rPr>
          <w:rFonts w:hint="cs"/>
          <w:rtl/>
        </w:rPr>
        <w:t>أهـ</w:t>
      </w:r>
      <w:r w:rsidR="000636C2">
        <w:rPr>
          <w:rFonts w:hint="cs"/>
          <w:rtl/>
        </w:rPr>
        <w:t>،</w:t>
      </w:r>
    </w:p>
    <w:p w14:paraId="025FA659" w14:textId="77777777" w:rsidR="009C32A0" w:rsidRPr="005675B2" w:rsidRDefault="009C32A0" w:rsidP="000636C2">
      <w:pPr>
        <w:rPr>
          <w:bCs/>
          <w:rtl/>
        </w:rPr>
      </w:pPr>
      <w:r w:rsidRPr="005675B2">
        <w:rPr>
          <w:rFonts w:hint="cs"/>
          <w:bCs/>
          <w:rtl/>
        </w:rPr>
        <w:t>الرد على دعوى تضليلهم في المذاهب الأربعة</w:t>
      </w:r>
    </w:p>
    <w:p w14:paraId="2A7D4BBF" w14:textId="329B6B8B" w:rsidR="009C32A0" w:rsidRPr="005675B2" w:rsidRDefault="009C32A0" w:rsidP="000636C2">
      <w:pPr>
        <w:rPr>
          <w:rtl/>
        </w:rPr>
      </w:pPr>
      <w:r w:rsidRPr="005675B2">
        <w:rPr>
          <w:rFonts w:hint="cs"/>
          <w:rtl/>
        </w:rPr>
        <w:t>قال الشيخ الحوالي غفر الله لنا وله</w:t>
      </w:r>
      <w:r w:rsidR="000636C2">
        <w:rPr>
          <w:rFonts w:hint="cs"/>
          <w:rtl/>
        </w:rPr>
        <w:t>:</w:t>
      </w:r>
      <w:r w:rsidRPr="005675B2">
        <w:rPr>
          <w:rFonts w:hint="cs"/>
          <w:rtl/>
        </w:rPr>
        <w:t>وسنأتي بحكمهم عند أئمة</w:t>
      </w:r>
      <w:r w:rsidRPr="005675B2">
        <w:rPr>
          <w:rFonts w:hint="cs"/>
        </w:rPr>
        <w:t xml:space="preserve"> </w:t>
      </w:r>
      <w:r w:rsidRPr="005675B2">
        <w:rPr>
          <w:rFonts w:hint="cs"/>
          <w:rtl/>
        </w:rPr>
        <w:t>المذاهب الأربعة من الفقهاء فما بالك بأئمة الجرح والتعديل من أصحاب الحديث</w:t>
      </w:r>
      <w:r w:rsidR="000636C2">
        <w:rPr>
          <w:rFonts w:hint="cs"/>
          <w:rtl/>
        </w:rPr>
        <w:t>:</w:t>
      </w:r>
    </w:p>
    <w:p w14:paraId="23CFA6B2" w14:textId="6B744580" w:rsidR="009C32A0" w:rsidRPr="005675B2" w:rsidRDefault="009C32A0" w:rsidP="000636C2">
      <w:pPr>
        <w:rPr>
          <w:b/>
        </w:rPr>
      </w:pPr>
      <w:r w:rsidRPr="005675B2">
        <w:rPr>
          <w:rFonts w:hint="cs"/>
          <w:rtl/>
        </w:rPr>
        <w:t>1 - عند المالكية</w:t>
      </w:r>
      <w:r w:rsidR="000636C2">
        <w:rPr>
          <w:rFonts w:hint="cs"/>
          <w:rtl/>
        </w:rPr>
        <w:t xml:space="preserve">: </w:t>
      </w:r>
      <w:r w:rsidRPr="005675B2">
        <w:rPr>
          <w:rFonts w:hint="cs"/>
          <w:rtl/>
        </w:rPr>
        <w:t>روى حافظ المغرب وعلمها</w:t>
      </w:r>
      <w:r w:rsidRPr="005675B2">
        <w:rPr>
          <w:rFonts w:hint="cs"/>
        </w:rPr>
        <w:t xml:space="preserve"> </w:t>
      </w:r>
      <w:r w:rsidRPr="005675B2">
        <w:rPr>
          <w:rFonts w:hint="cs"/>
          <w:rtl/>
        </w:rPr>
        <w:t>الفذ ابن عبد البر بسنده عن فقيه المالكية بالمشرق ابن خويز منداذ أنه قال في كتاب</w:t>
      </w:r>
      <w:r w:rsidRPr="005675B2">
        <w:rPr>
          <w:rFonts w:hint="cs"/>
        </w:rPr>
        <w:t xml:space="preserve"> </w:t>
      </w:r>
      <w:r w:rsidRPr="005675B2">
        <w:rPr>
          <w:rFonts w:hint="cs"/>
          <w:rtl/>
        </w:rPr>
        <w:t>الشهادات شرحاً لقول مالك</w:t>
      </w:r>
      <w:r w:rsidR="000636C2">
        <w:rPr>
          <w:rFonts w:hint="cs"/>
          <w:rtl/>
        </w:rPr>
        <w:t>:</w:t>
      </w:r>
      <w:r w:rsidRPr="005675B2">
        <w:rPr>
          <w:rFonts w:hint="cs"/>
          <w:rtl/>
        </w:rPr>
        <w:t xml:space="preserve"> لا تجوز شهادة أهل البدع والأهواء</w:t>
      </w:r>
      <w:r w:rsidR="000636C2">
        <w:rPr>
          <w:rFonts w:hint="cs"/>
          <w:rtl/>
        </w:rPr>
        <w:t>،</w:t>
      </w:r>
      <w:r w:rsidRPr="005675B2">
        <w:rPr>
          <w:rFonts w:hint="cs"/>
          <w:rtl/>
        </w:rPr>
        <w:t xml:space="preserve"> وقال</w:t>
      </w:r>
      <w:r w:rsidR="000636C2">
        <w:rPr>
          <w:rFonts w:hint="cs"/>
          <w:rtl/>
        </w:rPr>
        <w:t xml:space="preserve">: </w:t>
      </w:r>
      <w:r w:rsidRPr="005675B2">
        <w:rPr>
          <w:rFonts w:hint="cs"/>
          <w:rtl/>
        </w:rPr>
        <w:t>"</w:t>
      </w:r>
      <w:r w:rsidRPr="005675B2">
        <w:rPr>
          <w:rFonts w:hint="cs"/>
        </w:rPr>
        <w:t xml:space="preserve"> </w:t>
      </w:r>
      <w:r w:rsidRPr="005675B2">
        <w:rPr>
          <w:rFonts w:hint="cs"/>
          <w:rtl/>
        </w:rPr>
        <w:t>أهل الأهواء عند مالك وسائر أصحابنا هم أهل</w:t>
      </w:r>
      <w:r w:rsidRPr="005675B2">
        <w:rPr>
          <w:rFonts w:hint="cs"/>
        </w:rPr>
        <w:t xml:space="preserve"> </w:t>
      </w:r>
      <w:r w:rsidRPr="005675B2">
        <w:rPr>
          <w:rFonts w:hint="cs"/>
          <w:rtl/>
        </w:rPr>
        <w:t>الكلام</w:t>
      </w:r>
      <w:r w:rsidR="000636C2">
        <w:rPr>
          <w:rFonts w:hint="cs"/>
          <w:rtl/>
        </w:rPr>
        <w:t>،</w:t>
      </w:r>
      <w:r w:rsidRPr="005675B2">
        <w:rPr>
          <w:rFonts w:hint="cs"/>
          <w:rtl/>
        </w:rPr>
        <w:t xml:space="preserve"> فكل متكلم فهو من أهل الأهواء والبدع أشعرياً كان أو غير أشعري</w:t>
      </w:r>
      <w:r w:rsidR="000636C2">
        <w:rPr>
          <w:rFonts w:hint="cs"/>
          <w:rtl/>
        </w:rPr>
        <w:t>،</w:t>
      </w:r>
      <w:r w:rsidRPr="005675B2">
        <w:rPr>
          <w:rFonts w:hint="cs"/>
          <w:rtl/>
        </w:rPr>
        <w:t xml:space="preserve"> ولا تقبل</w:t>
      </w:r>
      <w:r w:rsidRPr="005675B2">
        <w:rPr>
          <w:rFonts w:hint="cs"/>
        </w:rPr>
        <w:t xml:space="preserve"> </w:t>
      </w:r>
      <w:r w:rsidRPr="005675B2">
        <w:rPr>
          <w:rFonts w:hint="cs"/>
          <w:rtl/>
        </w:rPr>
        <w:t>له شهادة في الإسلام أبداً</w:t>
      </w:r>
      <w:r w:rsidR="000636C2">
        <w:rPr>
          <w:rFonts w:hint="cs"/>
          <w:rtl/>
        </w:rPr>
        <w:t>،</w:t>
      </w:r>
      <w:r w:rsidRPr="005675B2">
        <w:rPr>
          <w:rFonts w:hint="cs"/>
          <w:rtl/>
        </w:rPr>
        <w:t xml:space="preserve"> ويهجر ويؤدب على بدعته</w:t>
      </w:r>
      <w:r w:rsidR="000636C2">
        <w:rPr>
          <w:rFonts w:hint="cs"/>
          <w:rtl/>
        </w:rPr>
        <w:t>،</w:t>
      </w:r>
      <w:r w:rsidRPr="005675B2">
        <w:rPr>
          <w:rFonts w:hint="cs"/>
          <w:rtl/>
        </w:rPr>
        <w:t xml:space="preserve"> فإن تمادى عليها استتيب</w:t>
      </w:r>
      <w:r w:rsidRPr="005675B2">
        <w:rPr>
          <w:rFonts w:hint="cs"/>
        </w:rPr>
        <w:t xml:space="preserve"> </w:t>
      </w:r>
      <w:r w:rsidRPr="005675B2">
        <w:rPr>
          <w:rFonts w:hint="cs"/>
          <w:rtl/>
        </w:rPr>
        <w:t>منها</w:t>
      </w:r>
      <w:r w:rsidR="000636C2">
        <w:rPr>
          <w:rFonts w:hint="cs"/>
          <w:rtl/>
        </w:rPr>
        <w:t>،</w:t>
      </w:r>
    </w:p>
    <w:p w14:paraId="703AD001" w14:textId="4E8648A3"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بداية</w:t>
      </w:r>
      <w:r>
        <w:rPr>
          <w:rFonts w:hint="cs"/>
          <w:rtl/>
        </w:rPr>
        <w:t xml:space="preserve"> </w:t>
      </w:r>
      <w:r w:rsidR="009C32A0" w:rsidRPr="005675B2">
        <w:rPr>
          <w:rFonts w:hint="cs"/>
          <w:rtl/>
        </w:rPr>
        <w:t>أحب أن أنبه على وهم توهمه الموجان في دفاعه عن الحوالي من أن عمر كامل لم يفهم كلام الحوالي</w:t>
      </w:r>
      <w:r>
        <w:rPr>
          <w:rFonts w:hint="cs"/>
          <w:rtl/>
        </w:rPr>
        <w:t>،</w:t>
      </w:r>
      <w:r w:rsidR="009C32A0" w:rsidRPr="005675B2">
        <w:rPr>
          <w:rFonts w:hint="cs"/>
          <w:rtl/>
        </w:rPr>
        <w:t>ولذا فحكم الدكتور عمر كامل على الحوالي بالتدليس سوء فهم منه لأن الحوالي لايقصد الأئمة الأربعة وإنما هو يقصد أتباعه من الفقهاء</w:t>
      </w:r>
      <w:r>
        <w:rPr>
          <w:rFonts w:hint="cs"/>
          <w:rtl/>
        </w:rPr>
        <w:t>،</w:t>
      </w:r>
      <w:r w:rsidR="009C32A0" w:rsidRPr="005675B2">
        <w:rPr>
          <w:rFonts w:hint="cs"/>
          <w:rtl/>
        </w:rPr>
        <w:t xml:space="preserve"> [</w:t>
      </w:r>
      <w:r w:rsidR="009C32A0" w:rsidRPr="005675B2">
        <w:rPr>
          <w:rFonts w:hint="cs"/>
          <w:bCs/>
          <w:sz w:val="24"/>
          <w:szCs w:val="24"/>
          <w:rtl/>
        </w:rPr>
        <w:t>الرد الشامل للموجان ص24</w:t>
      </w:r>
      <w:r w:rsidR="009C32A0" w:rsidRPr="005675B2">
        <w:rPr>
          <w:rFonts w:hint="cs"/>
          <w:rtl/>
        </w:rPr>
        <w:t>] وكلام الموجان باطل لأن الحوالي يقول بالحرف الواحد</w:t>
      </w:r>
      <w:r>
        <w:rPr>
          <w:rFonts w:hint="cs"/>
          <w:rtl/>
        </w:rPr>
        <w:t>:</w:t>
      </w:r>
      <w:r w:rsidR="009C32A0" w:rsidRPr="005675B2">
        <w:rPr>
          <w:rFonts w:hint="cs"/>
          <w:rtl/>
        </w:rPr>
        <w:t>أن ابن خويز منداد قال</w:t>
      </w:r>
      <w:r>
        <w:rPr>
          <w:rFonts w:hint="cs"/>
          <w:rtl/>
        </w:rPr>
        <w:t>:</w:t>
      </w:r>
      <w:r w:rsidR="009C32A0" w:rsidRPr="005675B2">
        <w:rPr>
          <w:rFonts w:hint="cs"/>
          <w:rtl/>
        </w:rPr>
        <w:t xml:space="preserve"> أهل الأهواء عند مالك وسائر أصحابنا هم أهل</w:t>
      </w:r>
      <w:r w:rsidR="009C32A0" w:rsidRPr="005675B2">
        <w:rPr>
          <w:rFonts w:hint="cs"/>
        </w:rPr>
        <w:t xml:space="preserve"> </w:t>
      </w:r>
      <w:r w:rsidR="009C32A0" w:rsidRPr="005675B2">
        <w:rPr>
          <w:rFonts w:hint="cs"/>
          <w:rtl/>
        </w:rPr>
        <w:t>الكلام .. أشعرياً كان أو غير أشعري .. أهـ</w:t>
      </w:r>
      <w:r>
        <w:rPr>
          <w:rFonts w:hint="cs"/>
          <w:rtl/>
        </w:rPr>
        <w:t xml:space="preserve"> </w:t>
      </w:r>
      <w:r w:rsidR="009C32A0" w:rsidRPr="005675B2">
        <w:rPr>
          <w:rFonts w:hint="cs"/>
          <w:rtl/>
        </w:rPr>
        <w:t>وبهذا يتبين أن سوء الفهم من الموجان هداه الله - وليس من د</w:t>
      </w:r>
      <w:r>
        <w:rPr>
          <w:rFonts w:hint="cs"/>
          <w:rtl/>
        </w:rPr>
        <w:t>:</w:t>
      </w:r>
      <w:r w:rsidR="009C32A0" w:rsidRPr="005675B2">
        <w:rPr>
          <w:rFonts w:hint="cs"/>
          <w:rtl/>
        </w:rPr>
        <w:t xml:space="preserve"> عمر كامل</w:t>
      </w:r>
      <w:r>
        <w:rPr>
          <w:rFonts w:hint="cs"/>
          <w:rtl/>
        </w:rPr>
        <w:t xml:space="preserve">، </w:t>
      </w:r>
      <w:r w:rsidR="009C32A0" w:rsidRPr="005675B2">
        <w:rPr>
          <w:rFonts w:hint="cs"/>
          <w:rtl/>
        </w:rPr>
        <w:t>وأما التعليق على ما قال الحوالي فأقول وبربي أستعين</w:t>
      </w:r>
      <w:r>
        <w:rPr>
          <w:rFonts w:hint="cs"/>
          <w:rtl/>
        </w:rPr>
        <w:t>:</w:t>
      </w:r>
    </w:p>
    <w:p w14:paraId="1B4AB24C" w14:textId="1A927C6B" w:rsidR="009C32A0" w:rsidRPr="005675B2" w:rsidRDefault="009C32A0" w:rsidP="000636C2">
      <w:pPr>
        <w:rPr>
          <w:b/>
          <w:rtl/>
        </w:rPr>
      </w:pPr>
      <w:r w:rsidRPr="005675B2">
        <w:rPr>
          <w:rFonts w:hint="cs"/>
          <w:rtl/>
        </w:rPr>
        <w:t>1ـ</w:t>
      </w:r>
      <w:r w:rsidR="000636C2">
        <w:rPr>
          <w:rFonts w:hint="cs"/>
          <w:rtl/>
        </w:rPr>
        <w:t xml:space="preserve"> </w:t>
      </w:r>
      <w:r w:rsidRPr="005675B2">
        <w:rPr>
          <w:rFonts w:hint="cs"/>
          <w:rtl/>
        </w:rPr>
        <w:t>- أن تنزيل أقوال الأئمة كمالك وغيره على الأشعرية</w:t>
      </w:r>
      <w:r w:rsidR="000636C2">
        <w:rPr>
          <w:rFonts w:hint="cs"/>
          <w:rtl/>
        </w:rPr>
        <w:t xml:space="preserve"> </w:t>
      </w:r>
      <w:r w:rsidRPr="005675B2">
        <w:rPr>
          <w:rFonts w:hint="cs"/>
          <w:rtl/>
        </w:rPr>
        <w:t>خطأ محض</w:t>
      </w:r>
      <w:r w:rsidR="000636C2">
        <w:rPr>
          <w:rFonts w:hint="cs"/>
          <w:rtl/>
        </w:rPr>
        <w:t>،</w:t>
      </w:r>
      <w:r w:rsidRPr="005675B2">
        <w:rPr>
          <w:rFonts w:hint="cs"/>
          <w:rtl/>
        </w:rPr>
        <w:t>لأن الأشعري ولد بعد وفاة الإمام أحمد وهو آخر الأئمة الأربعة وفاة</w:t>
      </w:r>
      <w:r w:rsidR="000636C2">
        <w:rPr>
          <w:rFonts w:hint="cs"/>
          <w:rtl/>
        </w:rPr>
        <w:t>،</w:t>
      </w:r>
      <w:r w:rsidRPr="005675B2">
        <w:rPr>
          <w:rFonts w:hint="cs"/>
          <w:rtl/>
        </w:rPr>
        <w:t>فكيف بمالك</w:t>
      </w:r>
      <w:r w:rsidR="000636C2">
        <w:rPr>
          <w:rFonts w:hint="cs"/>
          <w:rtl/>
        </w:rPr>
        <w:t>؟</w:t>
      </w:r>
      <w:r w:rsidRPr="005675B2">
        <w:rPr>
          <w:rFonts w:hint="cs"/>
          <w:rtl/>
        </w:rPr>
        <w:t xml:space="preserve"> ثم أن أهل الكلام في عصر مالك هم الجهمية والمعتزلة الذين تكلموا بالباطل</w:t>
      </w:r>
      <w:r w:rsidR="000636C2">
        <w:rPr>
          <w:rFonts w:hint="cs"/>
          <w:rtl/>
        </w:rPr>
        <w:t>،</w:t>
      </w:r>
      <w:r w:rsidRPr="005675B2">
        <w:rPr>
          <w:rFonts w:hint="cs"/>
          <w:rtl/>
        </w:rPr>
        <w:t>وليس مقصودهم من ذب عن اعتقاد أهل الحق ونصره</w:t>
      </w:r>
      <w:r w:rsidR="000636C2">
        <w:rPr>
          <w:rFonts w:hint="cs"/>
          <w:rtl/>
        </w:rPr>
        <w:t>،</w:t>
      </w:r>
      <w:r w:rsidRPr="005675B2">
        <w:rPr>
          <w:rFonts w:hint="cs"/>
          <w:rtl/>
        </w:rPr>
        <w:t xml:space="preserve"> وقد أجاب الحافظ</w:t>
      </w:r>
      <w:r w:rsidR="000636C2">
        <w:rPr>
          <w:rFonts w:hint="cs"/>
          <w:rtl/>
        </w:rPr>
        <w:t xml:space="preserve"> </w:t>
      </w:r>
      <w:r w:rsidRPr="005675B2">
        <w:rPr>
          <w:rFonts w:hint="cs"/>
          <w:rtl/>
        </w:rPr>
        <w:t>البيهقي عن هذه الشبهة</w:t>
      </w:r>
      <w:r w:rsidR="000636C2">
        <w:rPr>
          <w:rFonts w:hint="cs"/>
          <w:rtl/>
        </w:rPr>
        <w:t xml:space="preserve"> </w:t>
      </w:r>
      <w:r w:rsidRPr="005675B2">
        <w:rPr>
          <w:rFonts w:hint="cs"/>
          <w:rtl/>
        </w:rPr>
        <w:t>بقوله</w:t>
      </w:r>
      <w:r w:rsidR="000636C2">
        <w:rPr>
          <w:rFonts w:hint="cs"/>
          <w:rtl/>
        </w:rPr>
        <w:t>:</w:t>
      </w:r>
      <w:r w:rsidRPr="005675B2">
        <w:rPr>
          <w:rFonts w:hint="cs"/>
          <w:rtl/>
        </w:rPr>
        <w:t xml:space="preserve"> "إنما يريدون والله أعلم بالكلام كلام أهل البدع، فإن في عصرهم إنما كان يعرف بالكلام أهل البدع، فأما أهل السنّة فقلَّما كانوا يخوضون في الكلام حتى اضطروا إليه بعد"</w:t>
      </w:r>
      <w:r w:rsidR="000636C2">
        <w:rPr>
          <w:rFonts w:hint="cs"/>
          <w:rtl/>
        </w:rPr>
        <w:t>،</w:t>
      </w:r>
      <w:r w:rsidRPr="005675B2">
        <w:rPr>
          <w:rFonts w:hint="cs"/>
          <w:rtl/>
        </w:rPr>
        <w:t xml:space="preserve"> أهـ</w:t>
      </w:r>
      <w:r w:rsidR="000636C2">
        <w:rPr>
          <w:rFonts w:hint="cs"/>
          <w:rtl/>
        </w:rPr>
        <w:t>،</w:t>
      </w:r>
    </w:p>
    <w:p w14:paraId="1BA6D1DF" w14:textId="4FB9CB48"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أن الكاتب</w:t>
      </w:r>
      <w:r w:rsidR="000636C2">
        <w:rPr>
          <w:rFonts w:hint="cs"/>
          <w:rtl/>
        </w:rPr>
        <w:t xml:space="preserve"> </w:t>
      </w:r>
      <w:r w:rsidRPr="005675B2">
        <w:rPr>
          <w:rFonts w:hint="cs"/>
          <w:rtl/>
        </w:rPr>
        <w:t>هداه الله</w:t>
      </w:r>
      <w:r w:rsidR="000636C2">
        <w:rPr>
          <w:rFonts w:hint="cs"/>
          <w:rtl/>
        </w:rPr>
        <w:t>:</w:t>
      </w:r>
      <w:r w:rsidRPr="005675B2">
        <w:rPr>
          <w:rFonts w:hint="cs"/>
          <w:rtl/>
        </w:rPr>
        <w:t xml:space="preserve"> يحتج بقول ابن خويز منداد المالكي وهو مطعون فيه من جهة علمه ومن جهة نقله قال الحافظ ابن حجر العسقلاني في "لسان الميزان" ما نصه</w:t>
      </w:r>
      <w:r w:rsidR="000636C2">
        <w:rPr>
          <w:rFonts w:hint="cs"/>
          <w:rtl/>
        </w:rPr>
        <w:t xml:space="preserve">: </w:t>
      </w:r>
      <w:r w:rsidRPr="005675B2">
        <w:rPr>
          <w:rFonts w:hint="cs"/>
          <w:rtl/>
        </w:rPr>
        <w:t>"عنده شواذ عن مالك، واختيارات وتأويلات لم يعرّد عليها حذّاق المذهب كقوله إن العبيد لا يدخلون في خطاب الأحرار وأن خبر الواحد مفيد العلم ..</w:t>
      </w:r>
      <w:r w:rsidR="000636C2">
        <w:rPr>
          <w:rFonts w:hint="cs"/>
          <w:rtl/>
        </w:rPr>
        <w:t>،</w:t>
      </w:r>
      <w:r w:rsidRPr="005675B2">
        <w:rPr>
          <w:rFonts w:hint="cs"/>
          <w:rtl/>
        </w:rPr>
        <w:t xml:space="preserve"> وقد تكلّم فيه أبو الوليد الباجي ولم يكن بالجيد النظر</w:t>
      </w:r>
      <w:r w:rsidR="000636C2">
        <w:rPr>
          <w:rFonts w:hint="cs"/>
          <w:rtl/>
        </w:rPr>
        <w:t>،</w:t>
      </w:r>
      <w:r w:rsidRPr="005675B2">
        <w:rPr>
          <w:rFonts w:hint="cs"/>
          <w:rtl/>
        </w:rPr>
        <w:t>ولا بالقوي في الفقه، وكان يزعم أن مذهب مالك أنه لا يشهد جنازة متكلّم</w:t>
      </w:r>
      <w:r w:rsidR="000636C2">
        <w:rPr>
          <w:rFonts w:hint="cs"/>
          <w:rtl/>
        </w:rPr>
        <w:t>،</w:t>
      </w:r>
      <w:r w:rsidRPr="005675B2">
        <w:rPr>
          <w:rFonts w:hint="cs"/>
          <w:rtl/>
        </w:rPr>
        <w:t>ولا يجوّز شهادتهم</w:t>
      </w:r>
      <w:r w:rsidR="000636C2">
        <w:rPr>
          <w:rFonts w:hint="cs"/>
          <w:rtl/>
        </w:rPr>
        <w:t>،</w:t>
      </w:r>
      <w:r w:rsidRPr="005675B2">
        <w:rPr>
          <w:rFonts w:hint="cs"/>
          <w:rtl/>
        </w:rPr>
        <w:t>ولا مناكحتهم، ولا أماناتهم</w:t>
      </w:r>
      <w:r w:rsidRPr="005675B2">
        <w:rPr>
          <w:rFonts w:hint="cs"/>
          <w:u w:val="single"/>
          <w:rtl/>
        </w:rPr>
        <w:t>، وطعن ابن عبد البر فيه أيضاً"</w:t>
      </w:r>
      <w:r w:rsidRPr="005675B2">
        <w:rPr>
          <w:rFonts w:hint="cs"/>
          <w:rtl/>
        </w:rPr>
        <w:t xml:space="preserve"> انتهى كلام الحافظ ابن حجر</w:t>
      </w:r>
      <w:r w:rsidR="000636C2">
        <w:rPr>
          <w:rFonts w:hint="cs"/>
          <w:rtl/>
        </w:rPr>
        <w:t>،</w:t>
      </w:r>
      <w:r w:rsidRPr="005675B2">
        <w:rPr>
          <w:rFonts w:hint="cs"/>
          <w:rtl/>
        </w:rPr>
        <w:t xml:space="preserve"> [</w:t>
      </w:r>
      <w:r w:rsidRPr="005675B2">
        <w:rPr>
          <w:rFonts w:hint="cs"/>
          <w:bCs/>
          <w:sz w:val="24"/>
          <w:szCs w:val="24"/>
          <w:rtl/>
        </w:rPr>
        <w:t>5/329 من طبعة دار الفكر</w:t>
      </w:r>
      <w:r w:rsidRPr="005675B2">
        <w:rPr>
          <w:rFonts w:hint="cs"/>
          <w:rtl/>
        </w:rPr>
        <w:t>]</w:t>
      </w:r>
      <w:r w:rsidR="000636C2">
        <w:rPr>
          <w:rFonts w:hint="cs"/>
          <w:rtl/>
        </w:rPr>
        <w:t xml:space="preserve">، </w:t>
      </w:r>
      <w:r w:rsidRPr="005675B2">
        <w:rPr>
          <w:rFonts w:hint="cs"/>
          <w:rtl/>
        </w:rPr>
        <w:t>قال فيه الإمام الباجي</w:t>
      </w:r>
      <w:r w:rsidR="000636C2">
        <w:rPr>
          <w:rFonts w:hint="cs"/>
          <w:rtl/>
        </w:rPr>
        <w:t>:</w:t>
      </w:r>
      <w:r w:rsidRPr="005675B2">
        <w:rPr>
          <w:rFonts w:hint="cs"/>
          <w:rtl/>
        </w:rPr>
        <w:t xml:space="preserve"> </w:t>
      </w:r>
      <w:r w:rsidR="000636C2">
        <w:rPr>
          <w:rFonts w:hint="cs"/>
          <w:rtl/>
        </w:rPr>
        <w:t>[</w:t>
      </w:r>
      <w:r w:rsidRPr="005675B2">
        <w:rPr>
          <w:rFonts w:hint="cs"/>
          <w:rtl/>
        </w:rPr>
        <w:t>لم أسمع له في علماء العراقيين ذكراً</w:t>
      </w:r>
      <w:r w:rsidR="000636C2">
        <w:rPr>
          <w:rFonts w:hint="cs"/>
          <w:rtl/>
        </w:rPr>
        <w:t>،</w:t>
      </w:r>
      <w:r w:rsidRPr="005675B2">
        <w:rPr>
          <w:rFonts w:hint="cs"/>
          <w:rtl/>
        </w:rPr>
        <w:t xml:space="preserve"> وكان يجانب الكلام جملة</w:t>
      </w:r>
      <w:r w:rsidR="000636C2">
        <w:rPr>
          <w:rFonts w:hint="cs"/>
          <w:rtl/>
        </w:rPr>
        <w:t>،</w:t>
      </w:r>
      <w:r w:rsidRPr="005675B2">
        <w:rPr>
          <w:rFonts w:hint="cs"/>
          <w:rtl/>
        </w:rPr>
        <w:t xml:space="preserve"> وينافر أهله</w:t>
      </w:r>
      <w:r w:rsidR="000636C2">
        <w:rPr>
          <w:rFonts w:hint="cs"/>
          <w:rtl/>
        </w:rPr>
        <w:t>،</w:t>
      </w:r>
      <w:r w:rsidRPr="005675B2">
        <w:rPr>
          <w:rFonts w:hint="cs"/>
          <w:rtl/>
        </w:rPr>
        <w:t xml:space="preserve"> حتى يؤدي إلى منافرة المتكلمين من أهل السنة</w:t>
      </w:r>
      <w:r w:rsidR="000636C2">
        <w:rPr>
          <w:rFonts w:hint="cs"/>
          <w:rtl/>
        </w:rPr>
        <w:t>،</w:t>
      </w:r>
      <w:r w:rsidRPr="005675B2">
        <w:rPr>
          <w:rFonts w:hint="cs"/>
          <w:rtl/>
        </w:rPr>
        <w:t xml:space="preserve"> وحكم على أهل الكلام أنهم من أهل الأهواء الذين قال مالك في مناكحتهم وشهادتهم ما قال</w:t>
      </w:r>
      <w:r w:rsidR="000636C2">
        <w:rPr>
          <w:rFonts w:hint="cs"/>
          <w:rtl/>
        </w:rPr>
        <w:t xml:space="preserve">]، </w:t>
      </w:r>
      <w:r w:rsidRPr="005675B2">
        <w:rPr>
          <w:rFonts w:hint="cs"/>
          <w:rtl/>
        </w:rPr>
        <w:t>وقال فيه القاضي عياض</w:t>
      </w:r>
      <w:r w:rsidR="000636C2">
        <w:rPr>
          <w:rFonts w:hint="cs"/>
          <w:rtl/>
        </w:rPr>
        <w:t>:</w:t>
      </w:r>
      <w:r w:rsidRPr="005675B2">
        <w:rPr>
          <w:rFonts w:hint="cs"/>
          <w:rtl/>
        </w:rPr>
        <w:t xml:space="preserve"> </w:t>
      </w:r>
      <w:r w:rsidR="000636C2">
        <w:rPr>
          <w:rFonts w:hint="cs"/>
          <w:rtl/>
        </w:rPr>
        <w:t>[</w:t>
      </w:r>
      <w:r w:rsidRPr="005675B2">
        <w:rPr>
          <w:rFonts w:hint="cs"/>
          <w:rtl/>
        </w:rPr>
        <w:t>وعنده شواذ عن مالك</w:t>
      </w:r>
      <w:r w:rsidR="000636C2">
        <w:rPr>
          <w:rFonts w:hint="cs"/>
          <w:rtl/>
        </w:rPr>
        <w:t>،</w:t>
      </w:r>
      <w:r w:rsidRPr="005675B2">
        <w:rPr>
          <w:rFonts w:hint="cs"/>
          <w:rtl/>
        </w:rPr>
        <w:t xml:space="preserve"> وله اختيارات لم يعرج عليها حذاق المذهب</w:t>
      </w:r>
      <w:r w:rsidR="000636C2">
        <w:rPr>
          <w:rFonts w:hint="cs"/>
          <w:rtl/>
        </w:rPr>
        <w:t>،</w:t>
      </w:r>
      <w:r w:rsidRPr="005675B2">
        <w:rPr>
          <w:rFonts w:hint="cs"/>
          <w:rtl/>
        </w:rPr>
        <w:t xml:space="preserve"> ولم يكن بالجيد النظر ولا بالقوي الفقه</w:t>
      </w:r>
      <w:r w:rsidR="000636C2">
        <w:rPr>
          <w:rFonts w:hint="cs"/>
          <w:rtl/>
        </w:rPr>
        <w:t>]</w:t>
      </w:r>
      <w:r w:rsidRPr="005675B2">
        <w:rPr>
          <w:rFonts w:hint="cs"/>
          <w:rtl/>
        </w:rPr>
        <w:t xml:space="preserve"> </w:t>
      </w:r>
      <w:r w:rsidRPr="005675B2">
        <w:rPr>
          <w:rFonts w:hint="cs"/>
          <w:bCs/>
          <w:rtl/>
        </w:rPr>
        <w:t>[</w:t>
      </w:r>
      <w:r w:rsidRPr="005675B2">
        <w:rPr>
          <w:rFonts w:hint="cs"/>
          <w:bCs/>
          <w:sz w:val="24"/>
          <w:szCs w:val="24"/>
          <w:rtl/>
        </w:rPr>
        <w:t>انظر: ترتيب المدارك للقاضي عياض: 4 / 606 . الديباج المذهب لابن فرحون: 2 / 229 . تاريخ الإسلام للإمام الذهبي: الطبقة 39 – 40: ص 217 . الوافي بالوفيات للصفدي: 2 / 52 .عقائد الأشاعرة للشيخ الأردبلي</w:t>
      </w:r>
      <w:r w:rsidRPr="005675B2">
        <w:rPr>
          <w:rFonts w:hint="cs"/>
          <w:bCs/>
          <w:rtl/>
        </w:rPr>
        <w:t>]</w:t>
      </w:r>
      <w:r w:rsidR="000636C2">
        <w:rPr>
          <w:rStyle w:val="a5"/>
          <w:rFonts w:hint="cs"/>
          <w:b/>
          <w:rtl/>
        </w:rPr>
        <w:t>،</w:t>
      </w:r>
      <w:r w:rsidRPr="005675B2">
        <w:rPr>
          <w:rFonts w:hint="cs"/>
          <w:rtl/>
        </w:rPr>
        <w:t xml:space="preserve"> وفـي قول الباجي إشـارة إلى أن الأشـاعرة الذين خاضوا في علم الكلام ليسـوا من أهل الأهواء والكلام المذموم الذين قال فيهم الإمام مالك ما قال</w:t>
      </w:r>
      <w:r w:rsidR="000636C2">
        <w:rPr>
          <w:rFonts w:hint="cs"/>
          <w:rtl/>
        </w:rPr>
        <w:t xml:space="preserve">، </w:t>
      </w:r>
      <w:r w:rsidRPr="005675B2">
        <w:rPr>
          <w:rFonts w:hint="cs"/>
          <w:rtl/>
        </w:rPr>
        <w:t>فهذا هو حاله عند أئمة المذهب المالكي كابن عبدالبر</w:t>
      </w:r>
      <w:r w:rsidR="000636C2">
        <w:rPr>
          <w:rFonts w:hint="cs"/>
          <w:rtl/>
        </w:rPr>
        <w:t>،</w:t>
      </w:r>
      <w:r w:rsidRPr="005675B2">
        <w:rPr>
          <w:rFonts w:hint="cs"/>
          <w:rtl/>
        </w:rPr>
        <w:t>والباجي، والقاضي عياض</w:t>
      </w:r>
      <w:r w:rsidR="000636C2">
        <w:rPr>
          <w:rFonts w:hint="cs"/>
          <w:rtl/>
        </w:rPr>
        <w:t>،</w:t>
      </w:r>
      <w:r w:rsidRPr="005675B2">
        <w:rPr>
          <w:rFonts w:hint="cs"/>
          <w:rtl/>
        </w:rPr>
        <w:t>وعند علماء الجرح والتعديل كالحافظ ابن حجر</w:t>
      </w:r>
      <w:r w:rsidR="000636C2">
        <w:rPr>
          <w:rFonts w:hint="cs"/>
          <w:rtl/>
        </w:rPr>
        <w:t>،</w:t>
      </w:r>
      <w:r w:rsidRPr="005675B2">
        <w:rPr>
          <w:rFonts w:hint="cs"/>
          <w:rtl/>
        </w:rPr>
        <w:t xml:space="preserve"> ولا يشك عاقل أن أكثر المالكية أشعرية</w:t>
      </w:r>
      <w:r w:rsidR="000636C2">
        <w:rPr>
          <w:rFonts w:hint="cs"/>
          <w:rtl/>
        </w:rPr>
        <w:t>،</w:t>
      </w:r>
      <w:r w:rsidRPr="005675B2">
        <w:rPr>
          <w:rFonts w:hint="cs"/>
          <w:rtl/>
        </w:rPr>
        <w:t xml:space="preserve"> </w:t>
      </w:r>
    </w:p>
    <w:p w14:paraId="69CE1DB1" w14:textId="13ACE6C2" w:rsidR="009C32A0" w:rsidRPr="005675B2" w:rsidRDefault="009C32A0" w:rsidP="000636C2">
      <w:pPr>
        <w:rPr>
          <w:b/>
          <w:rtl/>
        </w:rPr>
      </w:pPr>
      <w:r w:rsidRPr="005675B2">
        <w:rPr>
          <w:rFonts w:hint="cs"/>
          <w:bCs/>
          <w:rtl/>
        </w:rPr>
        <w:t>قال الكاتب</w:t>
      </w:r>
      <w:r w:rsidR="000636C2">
        <w:rPr>
          <w:rFonts w:hint="cs"/>
          <w:bCs/>
          <w:rtl/>
        </w:rPr>
        <w:t>:</w:t>
      </w:r>
      <w:r w:rsidRPr="005675B2">
        <w:rPr>
          <w:rFonts w:hint="cs"/>
          <w:bCs/>
        </w:rPr>
        <w:t xml:space="preserve"> </w:t>
      </w:r>
      <w:r w:rsidRPr="005675B2">
        <w:rPr>
          <w:rFonts w:hint="cs"/>
          <w:bCs/>
          <w:rtl/>
        </w:rPr>
        <w:t>عند الشافعية</w:t>
      </w:r>
      <w:r w:rsidR="000636C2">
        <w:rPr>
          <w:rFonts w:hint="cs"/>
          <w:rtl/>
        </w:rPr>
        <w:t xml:space="preserve">: </w:t>
      </w:r>
      <w:r w:rsidRPr="005675B2">
        <w:rPr>
          <w:rFonts w:hint="cs"/>
          <w:rtl/>
        </w:rPr>
        <w:t>قال الإمام أبو العباس بن</w:t>
      </w:r>
      <w:r w:rsidRPr="005675B2">
        <w:rPr>
          <w:rFonts w:hint="cs"/>
        </w:rPr>
        <w:t xml:space="preserve"> </w:t>
      </w:r>
      <w:r w:rsidRPr="005675B2">
        <w:rPr>
          <w:rFonts w:hint="cs"/>
          <w:rtl/>
        </w:rPr>
        <w:t>سريج الملقب بالشافعي الثاني</w:t>
      </w:r>
      <w:r w:rsidR="000636C2">
        <w:rPr>
          <w:rFonts w:hint="cs"/>
          <w:rtl/>
        </w:rPr>
        <w:t>،</w:t>
      </w:r>
      <w:r w:rsidRPr="005675B2">
        <w:rPr>
          <w:rFonts w:hint="cs"/>
          <w:rtl/>
        </w:rPr>
        <w:t xml:space="preserve"> وقد كان معاصراً للأشعري</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لا نقول بتأويل المعتزلة والأشعرية والجهمية والملحدة والمجسمة والمشبهة</w:t>
      </w:r>
      <w:r w:rsidRPr="005675B2">
        <w:rPr>
          <w:rFonts w:hint="cs"/>
        </w:rPr>
        <w:t xml:space="preserve"> </w:t>
      </w:r>
      <w:r w:rsidRPr="005675B2">
        <w:rPr>
          <w:rFonts w:hint="cs"/>
          <w:rtl/>
        </w:rPr>
        <w:t>والكرامية والمكيفة بل نقبلها بلا تأويل ونؤمن بها بلا تمثيل</w:t>
      </w:r>
      <w:r w:rsidRPr="005675B2">
        <w:rPr>
          <w:rFonts w:hint="cs"/>
        </w:rPr>
        <w:t xml:space="preserve"> </w:t>
      </w:r>
      <w:r w:rsidRPr="005675B2">
        <w:rPr>
          <w:rFonts w:hint="cs"/>
          <w:rtl/>
        </w:rPr>
        <w:t>"</w:t>
      </w:r>
      <w:r w:rsidR="000636C2">
        <w:rPr>
          <w:rFonts w:hint="cs"/>
          <w:rtl/>
        </w:rPr>
        <w:t xml:space="preserve">، </w:t>
      </w:r>
      <w:r w:rsidRPr="005675B2">
        <w:rPr>
          <w:rFonts w:hint="cs"/>
          <w:rtl/>
        </w:rPr>
        <w:t>استشهد الكاتب -</w:t>
      </w:r>
      <w:r w:rsidR="000636C2">
        <w:rPr>
          <w:rFonts w:hint="cs"/>
          <w:rtl/>
        </w:rPr>
        <w:t xml:space="preserve"> </w:t>
      </w:r>
      <w:r w:rsidRPr="005675B2">
        <w:rPr>
          <w:rFonts w:hint="cs"/>
          <w:rtl/>
        </w:rPr>
        <w:t>هداه الله - بكلام ابن سريج</w:t>
      </w:r>
      <w:r w:rsidR="000636C2">
        <w:rPr>
          <w:rFonts w:hint="cs"/>
          <w:rtl/>
        </w:rPr>
        <w:t>،</w:t>
      </w:r>
      <w:r w:rsidRPr="005675B2">
        <w:rPr>
          <w:rFonts w:hint="cs"/>
          <w:rtl/>
        </w:rPr>
        <w:t>ليثبت أن الشافعية يذمون الأشعرية وهذا باطل من وجهين</w:t>
      </w:r>
      <w:r w:rsidR="000636C2">
        <w:rPr>
          <w:rFonts w:hint="cs"/>
          <w:rtl/>
        </w:rPr>
        <w:t>:</w:t>
      </w:r>
      <w:r w:rsidRPr="005675B2">
        <w:rPr>
          <w:rFonts w:hint="cs"/>
          <w:rtl/>
        </w:rPr>
        <w:t xml:space="preserve"> الوجه الأول</w:t>
      </w:r>
      <w:r w:rsidR="000636C2">
        <w:rPr>
          <w:rFonts w:hint="cs"/>
          <w:rtl/>
        </w:rPr>
        <w:t xml:space="preserve">: </w:t>
      </w:r>
      <w:r w:rsidRPr="005675B2">
        <w:rPr>
          <w:rFonts w:hint="cs"/>
          <w:rtl/>
        </w:rPr>
        <w:t>بطلان نسبة هذا القول لابن سريج لسببين</w:t>
      </w:r>
      <w:r w:rsidR="000636C2">
        <w:rPr>
          <w:rFonts w:hint="cs"/>
          <w:rtl/>
        </w:rPr>
        <w:t>:</w:t>
      </w:r>
    </w:p>
    <w:p w14:paraId="23560CA8" w14:textId="290A8AAF" w:rsidR="009C32A0" w:rsidRPr="005675B2" w:rsidRDefault="009C32A0" w:rsidP="000636C2">
      <w:pPr>
        <w:rPr>
          <w:b/>
          <w:rtl/>
        </w:rPr>
      </w:pPr>
      <w:r w:rsidRPr="005675B2">
        <w:rPr>
          <w:rFonts w:hint="cs"/>
          <w:rtl/>
        </w:rPr>
        <w:t>السبب الأول</w:t>
      </w:r>
      <w:r w:rsidR="000636C2">
        <w:rPr>
          <w:rFonts w:hint="cs"/>
          <w:rtl/>
        </w:rPr>
        <w:t>:</w:t>
      </w:r>
      <w:r w:rsidRPr="005675B2">
        <w:rPr>
          <w:rFonts w:hint="cs"/>
          <w:rtl/>
        </w:rPr>
        <w:t xml:space="preserve"> أن الأشعرية لم تظهر</w:t>
      </w:r>
      <w:r w:rsidR="000636C2">
        <w:rPr>
          <w:rFonts w:hint="cs"/>
          <w:rtl/>
        </w:rPr>
        <w:t xml:space="preserve"> </w:t>
      </w:r>
      <w:r w:rsidRPr="005675B2">
        <w:rPr>
          <w:rFonts w:hint="cs"/>
          <w:rtl/>
        </w:rPr>
        <w:t>بعد</w:t>
      </w:r>
      <w:r w:rsidR="000636C2">
        <w:rPr>
          <w:rFonts w:hint="cs"/>
          <w:rtl/>
        </w:rPr>
        <w:t>:</w:t>
      </w:r>
      <w:r w:rsidRPr="005675B2">
        <w:rPr>
          <w:rFonts w:hint="cs"/>
          <w:rtl/>
        </w:rPr>
        <w:t xml:space="preserve"> فقد توفي ابن سريج سنة 303، وتوفي الأشعري 324 وولد سنة 260 فإذا كان الأشعري لازم الاعتزال أربعين سنة</w:t>
      </w:r>
      <w:r w:rsidR="000636C2">
        <w:rPr>
          <w:rFonts w:hint="cs"/>
          <w:rtl/>
        </w:rPr>
        <w:t>،</w:t>
      </w:r>
      <w:r w:rsidRPr="005675B2">
        <w:rPr>
          <w:rFonts w:hint="cs"/>
          <w:rtl/>
        </w:rPr>
        <w:t>ثم فارق الجبائي بعد ذلك فإن كان طلب العلم على الجبائي وعمره عشر سنوات مثلاً ولازمه أربعين سنة فهذا يعني أن ابن سريج مات قبل توبة الإمام الأشعري عن الاعتزال بأعوام مد</w:t>
      </w:r>
      <w:r w:rsidR="000636C2">
        <w:rPr>
          <w:rFonts w:hint="cs"/>
          <w:rtl/>
        </w:rPr>
        <w:t xml:space="preserve"> </w:t>
      </w:r>
      <w:r w:rsidRPr="005675B2">
        <w:rPr>
          <w:rFonts w:hint="cs"/>
          <w:rtl/>
        </w:rPr>
        <w:t>بل هب أنه مات قبل رجوع الأشعري عن الاعتزال بيوم واحد فكيف يذم مذهبا لم يولد بعد</w:t>
      </w:r>
      <w:r w:rsidR="000636C2">
        <w:rPr>
          <w:rFonts w:hint="cs"/>
          <w:rtl/>
        </w:rPr>
        <w:t>؟!</w:t>
      </w:r>
      <w:r w:rsidRPr="005675B2">
        <w:rPr>
          <w:rFonts w:hint="cs"/>
          <w:rtl/>
        </w:rPr>
        <w:t>!فهذا لم يقله ابن سريج قطعاً لأن ابن سريج لا يعلم الغيب</w:t>
      </w:r>
      <w:r w:rsidR="000636C2">
        <w:rPr>
          <w:rFonts w:hint="cs"/>
          <w:rtl/>
        </w:rPr>
        <w:t>،</w:t>
      </w:r>
    </w:p>
    <w:p w14:paraId="37305E73" w14:textId="359FBEBE" w:rsidR="009C32A0" w:rsidRPr="005675B2" w:rsidRDefault="009C32A0" w:rsidP="000636C2">
      <w:pPr>
        <w:rPr>
          <w:b/>
          <w:rtl/>
        </w:rPr>
      </w:pPr>
      <w:r w:rsidRPr="005675B2">
        <w:rPr>
          <w:rFonts w:hint="cs"/>
          <w:rtl/>
        </w:rPr>
        <w:t>السبب الثاني</w:t>
      </w:r>
      <w:r w:rsidR="000636C2">
        <w:rPr>
          <w:rFonts w:hint="cs"/>
          <w:rtl/>
        </w:rPr>
        <w:t>:</w:t>
      </w:r>
      <w:r w:rsidRPr="005675B2">
        <w:rPr>
          <w:rFonts w:hint="cs"/>
          <w:rtl/>
        </w:rPr>
        <w:t xml:space="preserve"> وهو أن الزنجاني هذا الذي يحكي هذا الكلام عن ابن سريج ولد بعد وفاة ابن سريج بنحو </w:t>
      </w:r>
      <w:r w:rsidR="000636C2">
        <w:rPr>
          <w:rFonts w:hint="cs"/>
          <w:rtl/>
        </w:rPr>
        <w:t>(</w:t>
      </w:r>
      <w:r w:rsidRPr="005675B2">
        <w:rPr>
          <w:rFonts w:hint="cs"/>
          <w:rtl/>
        </w:rPr>
        <w:t>80</w:t>
      </w:r>
      <w:r w:rsidR="000636C2">
        <w:rPr>
          <w:rFonts w:hint="cs"/>
          <w:rtl/>
        </w:rPr>
        <w:t>)</w:t>
      </w:r>
      <w:r w:rsidRPr="005675B2">
        <w:rPr>
          <w:rFonts w:hint="cs"/>
          <w:rtl/>
        </w:rPr>
        <w:t xml:space="preserve"> سنة تقريباً فالإسناد منقطع</w:t>
      </w:r>
      <w:r w:rsidR="000636C2">
        <w:rPr>
          <w:rFonts w:hint="cs"/>
          <w:rtl/>
        </w:rPr>
        <w:t>،</w:t>
      </w:r>
      <w:r w:rsidRPr="005675B2">
        <w:rPr>
          <w:rFonts w:hint="cs"/>
          <w:rtl/>
        </w:rPr>
        <w:t xml:space="preserve"> فقد توفي ابن سريج كما في</w:t>
      </w:r>
      <w:r w:rsidR="000636C2">
        <w:rPr>
          <w:rFonts w:hint="cs"/>
          <w:rtl/>
        </w:rPr>
        <w:t xml:space="preserve"> </w:t>
      </w:r>
      <w:r w:rsidRPr="005675B2">
        <w:rPr>
          <w:rFonts w:hint="cs"/>
          <w:rtl/>
        </w:rPr>
        <w:t xml:space="preserve">"سير أعلام النبلاء" سنة </w:t>
      </w:r>
      <w:r w:rsidR="000636C2">
        <w:rPr>
          <w:rFonts w:hint="cs"/>
          <w:rtl/>
        </w:rPr>
        <w:t>(</w:t>
      </w:r>
      <w:r w:rsidRPr="005675B2">
        <w:rPr>
          <w:rFonts w:hint="cs"/>
          <w:rtl/>
        </w:rPr>
        <w:t>303</w:t>
      </w:r>
      <w:r w:rsidR="000636C2">
        <w:rPr>
          <w:rFonts w:hint="cs"/>
          <w:rtl/>
        </w:rPr>
        <w:t>)</w:t>
      </w:r>
      <w:r w:rsidRPr="005675B2">
        <w:rPr>
          <w:rFonts w:hint="cs"/>
          <w:rtl/>
        </w:rPr>
        <w:t xml:space="preserve"> ه</w:t>
      </w:r>
      <w:r w:rsidR="000636C2">
        <w:rPr>
          <w:rFonts w:hint="cs"/>
          <w:rtl/>
        </w:rPr>
        <w:t xml:space="preserve"> </w:t>
      </w:r>
      <w:r w:rsidRPr="005675B2">
        <w:rPr>
          <w:rFonts w:hint="cs"/>
          <w:rtl/>
        </w:rPr>
        <w:t xml:space="preserve">- والزنجاني ولد سنة </w:t>
      </w:r>
      <w:r w:rsidR="000636C2">
        <w:rPr>
          <w:rFonts w:hint="cs"/>
          <w:rtl/>
        </w:rPr>
        <w:t>(</w:t>
      </w:r>
      <w:r w:rsidRPr="005675B2">
        <w:rPr>
          <w:rFonts w:hint="cs"/>
          <w:rtl/>
        </w:rPr>
        <w:t>380</w:t>
      </w:r>
      <w:r w:rsidR="000636C2">
        <w:rPr>
          <w:rFonts w:hint="cs"/>
          <w:rtl/>
        </w:rPr>
        <w:t>)</w:t>
      </w:r>
      <w:r w:rsidRPr="005675B2">
        <w:rPr>
          <w:rFonts w:hint="cs"/>
          <w:rtl/>
        </w:rPr>
        <w:t xml:space="preserve"> هـ</w:t>
      </w:r>
      <w:r w:rsidR="000636C2">
        <w:rPr>
          <w:rFonts w:hint="cs"/>
          <w:rtl/>
        </w:rPr>
        <w:t xml:space="preserve">، </w:t>
      </w:r>
      <w:r w:rsidRPr="005675B2">
        <w:rPr>
          <w:rFonts w:hint="cs"/>
          <w:rtl/>
        </w:rPr>
        <w:t xml:space="preserve">كما في "سير أعلام النبلاء" </w:t>
      </w:r>
      <w:r w:rsidR="000636C2">
        <w:rPr>
          <w:rFonts w:hint="cs"/>
          <w:rtl/>
        </w:rPr>
        <w:t>(</w:t>
      </w:r>
      <w:r w:rsidRPr="005675B2">
        <w:rPr>
          <w:rFonts w:hint="cs"/>
          <w:rtl/>
        </w:rPr>
        <w:t>18/385</w:t>
      </w:r>
      <w:r w:rsidR="000636C2">
        <w:rPr>
          <w:rFonts w:hint="cs"/>
          <w:rtl/>
        </w:rPr>
        <w:t>)،</w:t>
      </w:r>
      <w:r w:rsidRPr="005675B2">
        <w:rPr>
          <w:rFonts w:hint="cs"/>
          <w:rtl/>
        </w:rPr>
        <w:t xml:space="preserve"> فكيفما قلبت الأمر وجد ته باطلاً</w:t>
      </w:r>
      <w:r w:rsidR="000636C2">
        <w:rPr>
          <w:rFonts w:hint="cs"/>
          <w:rtl/>
        </w:rPr>
        <w:t>،</w:t>
      </w:r>
      <w:r w:rsidRPr="005675B2">
        <w:rPr>
          <w:rFonts w:hint="cs"/>
          <w:rtl/>
        </w:rPr>
        <w:t xml:space="preserve"> [</w:t>
      </w:r>
      <w:r w:rsidRPr="005675B2">
        <w:rPr>
          <w:rFonts w:hint="cs"/>
          <w:bCs/>
          <w:sz w:val="24"/>
          <w:szCs w:val="24"/>
          <w:rtl/>
        </w:rPr>
        <w:t>انظر لزيادة الفائدة رسالة تهنئة الصديق المحبوب]</w:t>
      </w:r>
      <w:r w:rsidRPr="005675B2">
        <w:rPr>
          <w:rFonts w:hint="cs"/>
          <w:rtl/>
        </w:rPr>
        <w:t xml:space="preserve"> فابن القيم ذكر</w:t>
      </w:r>
      <w:r w:rsidR="000636C2">
        <w:rPr>
          <w:rFonts w:hint="cs"/>
          <w:rtl/>
        </w:rPr>
        <w:t xml:space="preserve"> </w:t>
      </w:r>
      <w:r w:rsidRPr="005675B2">
        <w:rPr>
          <w:rFonts w:hint="cs"/>
          <w:rtl/>
        </w:rPr>
        <w:t>هذه الرواية في كتابه اجتماع الجيوش دون تمحيص لها سنداً ومتناً، واغتر الكاتب بذلك فنقله بثقة تامة</w:t>
      </w:r>
      <w:r w:rsidR="000636C2">
        <w:rPr>
          <w:rFonts w:hint="cs"/>
          <w:rtl/>
        </w:rPr>
        <w:t xml:space="preserve">، </w:t>
      </w:r>
    </w:p>
    <w:p w14:paraId="55A43E50" w14:textId="677F02E9" w:rsidR="009C32A0" w:rsidRPr="005675B2" w:rsidRDefault="009C32A0" w:rsidP="000636C2">
      <w:pPr>
        <w:rPr>
          <w:b/>
          <w:rtl/>
        </w:rPr>
      </w:pPr>
      <w:r w:rsidRPr="005675B2">
        <w:rPr>
          <w:rFonts w:hint="cs"/>
          <w:rtl/>
        </w:rPr>
        <w:t>الوجه الثاني</w:t>
      </w:r>
      <w:r w:rsidR="000636C2">
        <w:rPr>
          <w:rFonts w:hint="cs"/>
          <w:rtl/>
        </w:rPr>
        <w:t>:</w:t>
      </w:r>
      <w:r w:rsidRPr="005675B2">
        <w:rPr>
          <w:rFonts w:hint="cs"/>
          <w:rtl/>
        </w:rPr>
        <w:t xml:space="preserve"> أن علماء الأشعرية ورؤوس أهل السنة من الأشعرية هم على مذهب الإمام الشافعي كالغزالي صاحب الوجيز والبسيط والوسيط في الفقه الشافعي، و</w:t>
      </w:r>
      <w:r w:rsidR="000636C2">
        <w:rPr>
          <w:rFonts w:hint="cs"/>
          <w:rtl/>
        </w:rPr>
        <w:t xml:space="preserve"> </w:t>
      </w:r>
      <w:r w:rsidRPr="005675B2">
        <w:rPr>
          <w:rFonts w:hint="cs"/>
          <w:rtl/>
        </w:rPr>
        <w:t>إمام الحرمين، والنووي وابن حجر</w:t>
      </w:r>
      <w:r w:rsidR="000636C2">
        <w:rPr>
          <w:rFonts w:hint="cs"/>
          <w:rtl/>
        </w:rPr>
        <w:t>،</w:t>
      </w:r>
      <w:r w:rsidRPr="005675B2">
        <w:rPr>
          <w:rFonts w:hint="cs"/>
          <w:rtl/>
        </w:rPr>
        <w:t>والرازي</w:t>
      </w:r>
      <w:r w:rsidR="000636C2">
        <w:rPr>
          <w:rFonts w:hint="cs"/>
          <w:rtl/>
        </w:rPr>
        <w:t>،</w:t>
      </w:r>
      <w:r w:rsidRPr="005675B2">
        <w:rPr>
          <w:rFonts w:hint="cs"/>
          <w:rtl/>
        </w:rPr>
        <w:t>والسبكي، وابن الصلاح، وانظر طبقات الشافعية لتعرف أنهم أشعرية</w:t>
      </w:r>
      <w:r w:rsidR="000636C2">
        <w:rPr>
          <w:rFonts w:hint="cs"/>
          <w:rtl/>
        </w:rPr>
        <w:t>،</w:t>
      </w:r>
      <w:r w:rsidRPr="005675B2">
        <w:rPr>
          <w:rFonts w:hint="cs"/>
          <w:rtl/>
        </w:rPr>
        <w:t xml:space="preserve"> فسبحان الله كيف غاب هذا عن الكاتب</w:t>
      </w:r>
      <w:r w:rsidR="000636C2">
        <w:rPr>
          <w:rFonts w:hint="cs"/>
          <w:rtl/>
        </w:rPr>
        <w:t>؟!،</w:t>
      </w:r>
    </w:p>
    <w:p w14:paraId="18F7696B" w14:textId="1C5BD7D4"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قال الإمام أبو الحسن</w:t>
      </w:r>
      <w:r w:rsidRPr="005675B2">
        <w:rPr>
          <w:rFonts w:hint="cs"/>
        </w:rPr>
        <w:t xml:space="preserve"> </w:t>
      </w:r>
      <w:r w:rsidRPr="005675B2">
        <w:rPr>
          <w:rFonts w:hint="cs"/>
          <w:rtl/>
        </w:rPr>
        <w:t>الكرجي من علماء القرن الخامس الشافعية ما نصه</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لم يزل الأئمة الشافعية يأنفون ويستنكفون أن ينسبوا إلى الأشعري ويتبرأون</w:t>
      </w:r>
      <w:r w:rsidRPr="005675B2">
        <w:rPr>
          <w:rFonts w:hint="cs"/>
        </w:rPr>
        <w:t xml:space="preserve"> </w:t>
      </w:r>
      <w:r w:rsidRPr="005675B2">
        <w:rPr>
          <w:rFonts w:hint="cs"/>
          <w:rtl/>
        </w:rPr>
        <w:t>مما بنى الأشعري مذهبه عليه وينهون أصحابهم وأحبابهم عن الحوم حواليه على ما سمعت</w:t>
      </w:r>
      <w:r w:rsidRPr="005675B2">
        <w:rPr>
          <w:rFonts w:hint="cs"/>
        </w:rPr>
        <w:t xml:space="preserve"> </w:t>
      </w:r>
      <w:r w:rsidRPr="005675B2">
        <w:rPr>
          <w:rFonts w:hint="cs"/>
          <w:rtl/>
        </w:rPr>
        <w:t>من عدة من المشايخ والأئمة</w:t>
      </w:r>
      <w:r w:rsidRPr="005675B2">
        <w:rPr>
          <w:rFonts w:hint="cs"/>
        </w:rPr>
        <w:t xml:space="preserve"> </w:t>
      </w:r>
      <w:r w:rsidRPr="005675B2">
        <w:rPr>
          <w:rFonts w:hint="cs"/>
          <w:rtl/>
        </w:rPr>
        <w:t>"</w:t>
      </w:r>
      <w:r w:rsidR="000636C2">
        <w:rPr>
          <w:rFonts w:hint="cs"/>
          <w:rtl/>
        </w:rPr>
        <w:t>،</w:t>
      </w:r>
      <w:r w:rsidRPr="005675B2">
        <w:rPr>
          <w:rFonts w:hint="cs"/>
          <w:rtl/>
        </w:rPr>
        <w:t xml:space="preserve"> وضرب مثالاً بشيخ</w:t>
      </w:r>
      <w:r w:rsidRPr="005675B2">
        <w:rPr>
          <w:rFonts w:hint="cs"/>
        </w:rPr>
        <w:t xml:space="preserve"> </w:t>
      </w:r>
      <w:r w:rsidRPr="005675B2">
        <w:rPr>
          <w:rFonts w:hint="cs"/>
          <w:rtl/>
        </w:rPr>
        <w:t>الشافعية في عصره الإمام أبو حامد الإسفرائيني</w:t>
      </w:r>
      <w:r w:rsidRPr="005675B2">
        <w:rPr>
          <w:rFonts w:hint="cs"/>
        </w:rPr>
        <w:t xml:space="preserve"> </w:t>
      </w:r>
      <w:r w:rsidRPr="005675B2">
        <w:rPr>
          <w:rFonts w:hint="cs"/>
          <w:rtl/>
        </w:rPr>
        <w:t>الملقب "الشافعي</w:t>
      </w:r>
      <w:r w:rsidRPr="005675B2">
        <w:rPr>
          <w:rFonts w:hint="cs"/>
        </w:rPr>
        <w:t xml:space="preserve"> </w:t>
      </w:r>
      <w:r w:rsidRPr="005675B2">
        <w:rPr>
          <w:rFonts w:hint="cs"/>
          <w:rtl/>
        </w:rPr>
        <w:t>الثالث" قائلاً</w:t>
      </w:r>
      <w:r w:rsidR="000636C2">
        <w:rPr>
          <w:rFonts w:hint="cs"/>
          <w:rtl/>
        </w:rPr>
        <w:t xml:space="preserve">: </w:t>
      </w:r>
      <w:r w:rsidRPr="005675B2">
        <w:rPr>
          <w:rFonts w:hint="cs"/>
          <w:rtl/>
        </w:rPr>
        <w:t>"</w:t>
      </w:r>
      <w:r w:rsidRPr="005675B2">
        <w:rPr>
          <w:rFonts w:hint="cs"/>
        </w:rPr>
        <w:t xml:space="preserve"> </w:t>
      </w:r>
      <w:r w:rsidRPr="005675B2">
        <w:rPr>
          <w:rFonts w:hint="cs"/>
          <w:rtl/>
        </w:rPr>
        <w:t>ومعلوم شدة الشيخ على أصحاب الكلام حتى ميز أصول</w:t>
      </w:r>
      <w:r w:rsidRPr="005675B2">
        <w:rPr>
          <w:rFonts w:hint="cs"/>
        </w:rPr>
        <w:t xml:space="preserve"> </w:t>
      </w:r>
      <w:r w:rsidRPr="005675B2">
        <w:rPr>
          <w:rFonts w:hint="cs"/>
          <w:rtl/>
        </w:rPr>
        <w:t>فقه الشافعي من أصول الأشعري</w:t>
      </w:r>
      <w:r w:rsidR="000636C2">
        <w:rPr>
          <w:rFonts w:hint="cs"/>
          <w:rtl/>
        </w:rPr>
        <w:t>،</w:t>
      </w:r>
      <w:r w:rsidRPr="005675B2">
        <w:rPr>
          <w:rFonts w:hint="cs"/>
          <w:rtl/>
        </w:rPr>
        <w:t xml:space="preserve"> وعلق عنه أبو بكر الراذقاني وهو عندي</w:t>
      </w:r>
      <w:r w:rsidR="000636C2">
        <w:rPr>
          <w:rFonts w:hint="cs"/>
          <w:rtl/>
        </w:rPr>
        <w:t>،</w:t>
      </w:r>
      <w:r w:rsidRPr="005675B2">
        <w:rPr>
          <w:rFonts w:hint="cs"/>
          <w:rtl/>
        </w:rPr>
        <w:t xml:space="preserve"> وبه اقتدى</w:t>
      </w:r>
      <w:r w:rsidRPr="005675B2">
        <w:rPr>
          <w:rFonts w:hint="cs"/>
        </w:rPr>
        <w:t xml:space="preserve"> </w:t>
      </w:r>
      <w:r w:rsidRPr="005675B2">
        <w:rPr>
          <w:rFonts w:hint="cs"/>
          <w:rtl/>
        </w:rPr>
        <w:t>الشيخ أبو إسحاق الشيرازي في كتابيه اللمع والتبصرة حتى لو وافق قول الأشعري وجهاً</w:t>
      </w:r>
      <w:r w:rsidRPr="005675B2">
        <w:rPr>
          <w:rFonts w:hint="cs"/>
        </w:rPr>
        <w:t xml:space="preserve"> </w:t>
      </w:r>
      <w:r w:rsidRPr="005675B2">
        <w:rPr>
          <w:rFonts w:hint="cs"/>
          <w:rtl/>
        </w:rPr>
        <w:t>لأصحابنا ميزه وقال</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هو قول بعض أصحابنا وبه</w:t>
      </w:r>
      <w:r w:rsidRPr="005675B2">
        <w:rPr>
          <w:rFonts w:hint="cs"/>
        </w:rPr>
        <w:t xml:space="preserve"> </w:t>
      </w:r>
      <w:r w:rsidRPr="005675B2">
        <w:rPr>
          <w:rFonts w:hint="cs"/>
          <w:rtl/>
        </w:rPr>
        <w:t>قالت الأشعرية ولم يعدهم من أصحاب الشافعي</w:t>
      </w:r>
      <w:r w:rsidR="000636C2">
        <w:rPr>
          <w:rFonts w:hint="cs"/>
          <w:rtl/>
        </w:rPr>
        <w:t>،</w:t>
      </w:r>
      <w:r w:rsidRPr="005675B2">
        <w:rPr>
          <w:rFonts w:hint="cs"/>
          <w:rtl/>
        </w:rPr>
        <w:t xml:space="preserve"> استنكفوا منهم ومن مذهبهم في أصول</w:t>
      </w:r>
      <w:r w:rsidRPr="005675B2">
        <w:rPr>
          <w:rFonts w:hint="cs"/>
        </w:rPr>
        <w:t xml:space="preserve"> </w:t>
      </w:r>
      <w:r w:rsidRPr="005675B2">
        <w:rPr>
          <w:rFonts w:hint="cs"/>
          <w:rtl/>
        </w:rPr>
        <w:t>الفقه فضلاً عن أصول الدين</w:t>
      </w:r>
      <w:r w:rsidRPr="005675B2">
        <w:rPr>
          <w:rFonts w:hint="cs"/>
        </w:rPr>
        <w:t xml:space="preserve"> </w:t>
      </w:r>
      <w:r w:rsidRPr="005675B2">
        <w:rPr>
          <w:rFonts w:hint="cs"/>
          <w:rtl/>
        </w:rPr>
        <w:t>" أهـ</w:t>
      </w:r>
      <w:r w:rsidR="000636C2">
        <w:rPr>
          <w:rFonts w:hint="cs"/>
          <w:rtl/>
        </w:rPr>
        <w:t>،</w:t>
      </w:r>
    </w:p>
    <w:p w14:paraId="6693E5FE" w14:textId="051F102F" w:rsidR="009C32A0" w:rsidRPr="005675B2" w:rsidRDefault="000636C2" w:rsidP="000636C2">
      <w:pPr>
        <w:rPr>
          <w:b/>
          <w:rtl/>
        </w:rPr>
      </w:pPr>
      <w:r>
        <w:rPr>
          <w:rFonts w:hint="cs"/>
          <w:rtl/>
        </w:rPr>
        <w:t>(</w:t>
      </w:r>
      <w:r w:rsidR="009C32A0">
        <w:rPr>
          <w:rFonts w:hint="cs"/>
          <w:rtl/>
        </w:rPr>
        <w:t>أولا</w:t>
      </w:r>
      <w:r>
        <w:rPr>
          <w:rFonts w:hint="cs"/>
          <w:rtl/>
        </w:rPr>
        <w:t>):</w:t>
      </w:r>
      <w:r w:rsidR="009C32A0" w:rsidRPr="005675B2">
        <w:rPr>
          <w:rFonts w:hint="cs"/>
          <w:rtl/>
        </w:rPr>
        <w:t xml:space="preserve"> أخذ كلام عالم من علماء مذهب معين شذ به عن بقية علماء مذهبه لا يعتبر قول لهم بل هو قول له فقط</w:t>
      </w:r>
      <w:r>
        <w:rPr>
          <w:rFonts w:hint="cs"/>
          <w:rtl/>
        </w:rPr>
        <w:t>،</w:t>
      </w:r>
    </w:p>
    <w:p w14:paraId="52EB1CFC" w14:textId="0F3BB6F5"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الكرجي عالم من علماء الشافعية أثنى على عقيدته الإمام السمعاني وهو أشعري العقيدة كما لا يخفى</w:t>
      </w:r>
      <w:r>
        <w:rPr>
          <w:rFonts w:hint="cs"/>
          <w:rtl/>
        </w:rPr>
        <w:t>،</w:t>
      </w:r>
      <w:r w:rsidR="009C32A0" w:rsidRPr="005675B2">
        <w:rPr>
          <w:rFonts w:hint="cs"/>
          <w:rtl/>
        </w:rPr>
        <w:t>والنقل الذي ذكره الكاتب لا سند له بل هو كلام ذكره ابن القيم، وشيخه الإمام ابن تيمية ومعروف حطهم على الأشعرية</w:t>
      </w:r>
      <w:r>
        <w:rPr>
          <w:rFonts w:hint="cs"/>
          <w:rtl/>
        </w:rPr>
        <w:t>،</w:t>
      </w:r>
      <w:r w:rsidR="009C32A0" w:rsidRPr="005675B2">
        <w:rPr>
          <w:rFonts w:hint="cs"/>
          <w:rtl/>
        </w:rPr>
        <w:t>وكلام الخصوم لا يؤخذ في بعضهم إلا بتثبت ولم يثبت</w:t>
      </w:r>
      <w:r>
        <w:rPr>
          <w:rFonts w:hint="cs"/>
          <w:rtl/>
        </w:rPr>
        <w:t>،</w:t>
      </w:r>
      <w:r w:rsidR="009C32A0" w:rsidRPr="005675B2">
        <w:rPr>
          <w:rFonts w:hint="cs"/>
          <w:rtl/>
        </w:rPr>
        <w:t>فالكلام لا يصح عن الكرجي</w:t>
      </w:r>
      <w:r>
        <w:rPr>
          <w:rFonts w:hint="cs"/>
          <w:rtl/>
        </w:rPr>
        <w:t xml:space="preserve">، </w:t>
      </w:r>
    </w:p>
    <w:p w14:paraId="20C3D5FA" w14:textId="2D5741A5" w:rsidR="009C32A0" w:rsidRPr="005675B2" w:rsidRDefault="009C32A0" w:rsidP="000636C2">
      <w:pPr>
        <w:rPr>
          <w:b/>
          <w:rtl/>
        </w:rPr>
      </w:pPr>
      <w:r w:rsidRPr="005675B2">
        <w:rPr>
          <w:rFonts w:hint="cs"/>
          <w:rtl/>
        </w:rPr>
        <w:t>- وقد نُسب للكرجي قصيدة فيها شيء من التجسيم وهي لا تصح عنه لأسباب ثلاثة</w:t>
      </w:r>
      <w:r w:rsidR="000636C2">
        <w:rPr>
          <w:rFonts w:hint="cs"/>
          <w:rtl/>
        </w:rPr>
        <w:t xml:space="preserve">: </w:t>
      </w:r>
      <w:r w:rsidRPr="005675B2">
        <w:rPr>
          <w:rFonts w:hint="cs"/>
          <w:rtl/>
        </w:rPr>
        <w:t>السبب الأول - أن السمعاني الأشعري أثنى على القصيدة ولا يمكن أن يثني على التشبيه</w:t>
      </w:r>
      <w:r w:rsidR="000636C2">
        <w:rPr>
          <w:rFonts w:hint="cs"/>
          <w:rtl/>
        </w:rPr>
        <w:t>،</w:t>
      </w:r>
      <w:r w:rsidRPr="005675B2">
        <w:rPr>
          <w:rFonts w:hint="cs"/>
          <w:rtl/>
        </w:rPr>
        <w:t>وفيها سب للأشعري ولا يمكن أن يثني السمعاني على ذلك بل فيه كلام لا يصدر من عالم</w:t>
      </w:r>
      <w:r w:rsidR="000636C2">
        <w:rPr>
          <w:rFonts w:hint="cs"/>
          <w:rtl/>
        </w:rPr>
        <w:t xml:space="preserve">، </w:t>
      </w:r>
      <w:r w:rsidRPr="005675B2">
        <w:rPr>
          <w:rFonts w:hint="cs"/>
          <w:rtl/>
        </w:rPr>
        <w:t>الثاني</w:t>
      </w:r>
      <w:r w:rsidR="000636C2">
        <w:rPr>
          <w:rFonts w:hint="cs"/>
          <w:rtl/>
        </w:rPr>
        <w:t xml:space="preserve">: </w:t>
      </w:r>
      <w:r w:rsidRPr="005675B2">
        <w:rPr>
          <w:rFonts w:hint="cs"/>
          <w:rtl/>
        </w:rPr>
        <w:t>- أن الشاعر يتهم الأشعري بأنه مات مقتولاً وأن موته في الأحساءوهذا باطل لأنه مات على فراشه موتة طبيعية</w:t>
      </w:r>
      <w:r w:rsidR="000636C2">
        <w:rPr>
          <w:rFonts w:hint="cs"/>
          <w:rtl/>
        </w:rPr>
        <w:t xml:space="preserve"> </w:t>
      </w:r>
      <w:r w:rsidRPr="005675B2">
        <w:rPr>
          <w:rFonts w:hint="cs"/>
          <w:rtl/>
        </w:rPr>
        <w:t>في بيته، لا في الأحساء</w:t>
      </w:r>
      <w:r w:rsidR="000636C2">
        <w:rPr>
          <w:rFonts w:hint="cs"/>
          <w:rtl/>
        </w:rPr>
        <w:t>،</w:t>
      </w:r>
      <w:r w:rsidRPr="005675B2">
        <w:rPr>
          <w:rFonts w:hint="cs"/>
          <w:rtl/>
        </w:rPr>
        <w:t>ولم يقتل بل مات موتة طبيعية</w:t>
      </w:r>
      <w:r w:rsidR="000636C2">
        <w:rPr>
          <w:rFonts w:hint="cs"/>
          <w:rtl/>
        </w:rPr>
        <w:t xml:space="preserve"> </w:t>
      </w:r>
      <w:r w:rsidRPr="005675B2">
        <w:rPr>
          <w:rFonts w:hint="cs"/>
          <w:rtl/>
        </w:rPr>
        <w:t>وأهل السنة يبكون عليه</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 أن الأبيات قال السمعاني أنها تزيد على المائتين بينما القصيدة التي فيها التجسيم تزيد على المائتين والأربعين بيتاً</w:t>
      </w:r>
      <w:r w:rsidR="000636C2">
        <w:rPr>
          <w:rFonts w:hint="cs"/>
          <w:rtl/>
        </w:rPr>
        <w:t>،</w:t>
      </w:r>
      <w:r w:rsidRPr="005675B2">
        <w:rPr>
          <w:rFonts w:hint="cs"/>
          <w:rtl/>
        </w:rPr>
        <w:t>وهذا معناه أن هناك دس واضح</w:t>
      </w:r>
      <w:r w:rsidR="000636C2">
        <w:rPr>
          <w:rFonts w:hint="cs"/>
          <w:rtl/>
        </w:rPr>
        <w:t>،</w:t>
      </w:r>
      <w:r w:rsidRPr="005675B2">
        <w:rPr>
          <w:rFonts w:hint="cs"/>
          <w:rtl/>
        </w:rPr>
        <w:t>ويؤيد ذلك أن أبياتها غير متناسبة وخصوصاً مافيه التجسيم</w:t>
      </w:r>
      <w:r w:rsidR="000636C2">
        <w:rPr>
          <w:rFonts w:hint="cs"/>
          <w:rtl/>
        </w:rPr>
        <w:t>،</w:t>
      </w:r>
      <w:r w:rsidRPr="005675B2">
        <w:rPr>
          <w:rFonts w:hint="cs"/>
          <w:rtl/>
        </w:rPr>
        <w:t xml:space="preserve"> قال ابن السمعاني</w:t>
      </w:r>
      <w:r w:rsidR="000636C2">
        <w:rPr>
          <w:rFonts w:hint="cs"/>
          <w:rtl/>
        </w:rPr>
        <w:t>:</w:t>
      </w:r>
      <w:r w:rsidRPr="005675B2">
        <w:rPr>
          <w:rFonts w:hint="cs"/>
          <w:rtl/>
        </w:rPr>
        <w:t xml:space="preserve"> </w:t>
      </w:r>
      <w:r w:rsidR="000636C2">
        <w:rPr>
          <w:rFonts w:hint="cs"/>
          <w:rtl/>
        </w:rPr>
        <w:t>[</w:t>
      </w:r>
      <w:r w:rsidRPr="005675B2">
        <w:rPr>
          <w:rFonts w:hint="cs"/>
          <w:rtl/>
        </w:rPr>
        <w:t>وله قصيدة بائية في السُّنة شرح فيها اعتقاده واعتقاد السلف</w:t>
      </w:r>
      <w:r w:rsidR="000636C2">
        <w:rPr>
          <w:rFonts w:hint="cs"/>
          <w:rtl/>
        </w:rPr>
        <w:t>،</w:t>
      </w:r>
      <w:r w:rsidRPr="005675B2">
        <w:rPr>
          <w:rFonts w:hint="cs"/>
          <w:rtl/>
        </w:rPr>
        <w:t xml:space="preserve"> تزيد على مئتي بيت</w:t>
      </w:r>
      <w:r w:rsidR="000636C2">
        <w:rPr>
          <w:rFonts w:hint="cs"/>
          <w:rtl/>
        </w:rPr>
        <w:t>،</w:t>
      </w:r>
      <w:r w:rsidRPr="005675B2">
        <w:rPr>
          <w:rFonts w:hint="cs"/>
          <w:rtl/>
        </w:rPr>
        <w:t xml:space="preserve"> قرأتها عليه في داره بالكرج</w:t>
      </w:r>
      <w:r w:rsidR="000636C2">
        <w:rPr>
          <w:rFonts w:hint="cs"/>
          <w:rtl/>
        </w:rPr>
        <w:t>]</w:t>
      </w:r>
      <w:r w:rsidRPr="005675B2">
        <w:rPr>
          <w:rFonts w:hint="cs"/>
          <w:rtl/>
        </w:rPr>
        <w:t> فكل هذه الطوام تجعل المسلم ينفي عن الكرجي هذه الزيادات الباطلة لما فيها من الكذب</w:t>
      </w:r>
      <w:r w:rsidR="000636C2">
        <w:rPr>
          <w:rFonts w:hint="cs"/>
          <w:rtl/>
        </w:rPr>
        <w:t>،</w:t>
      </w:r>
      <w:r w:rsidRPr="005675B2">
        <w:rPr>
          <w:rFonts w:hint="cs"/>
          <w:rtl/>
        </w:rPr>
        <w:t>بل لو قالها الكرجي لدل على أنه كاذب إذ كيف يقول أن الأشعري مات مقتولاً</w:t>
      </w:r>
      <w:r w:rsidR="000636C2">
        <w:rPr>
          <w:rFonts w:hint="cs"/>
          <w:rtl/>
        </w:rPr>
        <w:t>،</w:t>
      </w:r>
      <w:r w:rsidRPr="005675B2">
        <w:rPr>
          <w:rFonts w:hint="cs"/>
          <w:rtl/>
        </w:rPr>
        <w:t xml:space="preserve"> ومات بالأحساء وهما كذبتان واضحتان</w:t>
      </w:r>
      <w:r w:rsidR="000636C2">
        <w:rPr>
          <w:rFonts w:hint="cs"/>
          <w:rtl/>
        </w:rPr>
        <w:t>،</w:t>
      </w:r>
      <w:r w:rsidRPr="005675B2">
        <w:rPr>
          <w:rFonts w:hint="cs"/>
          <w:rtl/>
        </w:rPr>
        <w:t xml:space="preserve"> ولكن حاشه رحمه الله عن ذلك</w:t>
      </w:r>
      <w:r w:rsidR="000636C2">
        <w:rPr>
          <w:rFonts w:hint="cs"/>
          <w:rtl/>
        </w:rPr>
        <w:t>،</w:t>
      </w:r>
      <w:r w:rsidRPr="005675B2">
        <w:rPr>
          <w:rFonts w:hint="cs"/>
          <w:rtl/>
        </w:rPr>
        <w:t>بل هذه الزيادات من أناس لا يخشون الله أتوا بها نصرة لباطلهم</w:t>
      </w:r>
      <w:r w:rsidR="000636C2">
        <w:rPr>
          <w:rFonts w:hint="cs"/>
          <w:rtl/>
        </w:rPr>
        <w:t>،</w:t>
      </w:r>
      <w:r w:rsidRPr="005675B2">
        <w:rPr>
          <w:rFonts w:hint="cs"/>
          <w:rtl/>
        </w:rPr>
        <w:t>فالله يعامل من زادها عليه بعدله</w:t>
      </w:r>
      <w:r w:rsidR="000636C2">
        <w:rPr>
          <w:rFonts w:hint="cs"/>
          <w:rtl/>
        </w:rPr>
        <w:t xml:space="preserve">، </w:t>
      </w:r>
      <w:r w:rsidRPr="005675B2">
        <w:rPr>
          <w:rFonts w:hint="cs"/>
          <w:rtl/>
        </w:rPr>
        <w:t>[</w:t>
      </w:r>
      <w:r w:rsidRPr="005675B2">
        <w:rPr>
          <w:rFonts w:hint="cs"/>
          <w:sz w:val="24"/>
          <w:szCs w:val="24"/>
          <w:rtl/>
        </w:rPr>
        <w:t>طبقات الشافعية 3/ 384 طبعة دار الكتب العلمية تحقيق عبدالقادر أحمد عطا</w:t>
      </w:r>
      <w:r w:rsidR="000636C2">
        <w:rPr>
          <w:rFonts w:hint="cs"/>
          <w:sz w:val="24"/>
          <w:szCs w:val="24"/>
          <w:rtl/>
        </w:rPr>
        <w:t>]</w:t>
      </w:r>
    </w:p>
    <w:p w14:paraId="13F496EA" w14:textId="52F9CB66"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قولكم يا أخي</w:t>
      </w:r>
      <w:r w:rsidR="000636C2">
        <w:rPr>
          <w:rFonts w:hint="cs"/>
          <w:rtl/>
        </w:rPr>
        <w:t>:(</w:t>
      </w:r>
      <w:r w:rsidRPr="005675B2">
        <w:rPr>
          <w:rFonts w:hint="cs"/>
          <w:rtl/>
        </w:rPr>
        <w:t>وبه اقتدى</w:t>
      </w:r>
      <w:r w:rsidRPr="005675B2">
        <w:rPr>
          <w:rFonts w:hint="cs"/>
        </w:rPr>
        <w:t xml:space="preserve"> </w:t>
      </w:r>
      <w:r w:rsidRPr="005675B2">
        <w:rPr>
          <w:rFonts w:hint="cs"/>
          <w:rtl/>
        </w:rPr>
        <w:t>الشيخ أبو إسحاق الشيرازي في كتابيه اللمع</w:t>
      </w:r>
      <w:r w:rsidR="000636C2">
        <w:rPr>
          <w:rFonts w:hint="cs"/>
          <w:rtl/>
        </w:rPr>
        <w:t xml:space="preserve">): </w:t>
      </w:r>
      <w:r w:rsidRPr="005675B2">
        <w:rPr>
          <w:rFonts w:hint="cs"/>
          <w:rtl/>
        </w:rPr>
        <w:t>أقول</w:t>
      </w:r>
      <w:r w:rsidR="000636C2">
        <w:rPr>
          <w:rFonts w:hint="cs"/>
          <w:rtl/>
        </w:rPr>
        <w:t>:</w:t>
      </w:r>
      <w:r w:rsidRPr="005675B2">
        <w:rPr>
          <w:rFonts w:hint="cs"/>
          <w:rtl/>
        </w:rPr>
        <w:t>هو دليل آخر على أن الأسفراييني لم يقل ذلك</w:t>
      </w:r>
      <w:r w:rsidR="000636C2">
        <w:rPr>
          <w:rFonts w:hint="cs"/>
          <w:rtl/>
        </w:rPr>
        <w:t xml:space="preserve"> </w:t>
      </w:r>
      <w:r w:rsidRPr="005675B2">
        <w:rPr>
          <w:rFonts w:hint="cs"/>
          <w:rtl/>
        </w:rPr>
        <w:t>لأن كون الإمام الشيرازي ليس بأشعري ولا</w:t>
      </w:r>
      <w:r w:rsidR="000636C2">
        <w:rPr>
          <w:rFonts w:hint="cs"/>
          <w:rtl/>
        </w:rPr>
        <w:t xml:space="preserve"> </w:t>
      </w:r>
      <w:r w:rsidRPr="005675B2">
        <w:rPr>
          <w:rFonts w:hint="cs"/>
          <w:rtl/>
        </w:rPr>
        <w:t>مناصر للأشعرية غير صحيح وإليكم البراهين على ذلك</w:t>
      </w:r>
      <w:r w:rsidR="000636C2">
        <w:rPr>
          <w:rFonts w:hint="cs"/>
          <w:rtl/>
        </w:rPr>
        <w:t xml:space="preserve">: </w:t>
      </w:r>
      <w:r w:rsidRPr="005675B2">
        <w:rPr>
          <w:rFonts w:hint="cs"/>
          <w:rtl/>
        </w:rPr>
        <w:t>الأول</w:t>
      </w:r>
      <w:r w:rsidR="000636C2">
        <w:rPr>
          <w:rFonts w:hint="cs"/>
          <w:rtl/>
        </w:rPr>
        <w:t>:</w:t>
      </w:r>
      <w:r w:rsidRPr="005675B2">
        <w:rPr>
          <w:rFonts w:hint="cs"/>
          <w:rtl/>
        </w:rPr>
        <w:t xml:space="preserve"> كان الإمام الشيرازي ممن وقع المحضر الذي كتبه القشيري أيام فتنة بغداد </w:t>
      </w:r>
      <w:r w:rsidR="000636C2">
        <w:rPr>
          <w:rFonts w:hint="cs"/>
          <w:rtl/>
        </w:rPr>
        <w:t>[</w:t>
      </w:r>
      <w:r w:rsidRPr="005675B2">
        <w:rPr>
          <w:rFonts w:hint="cs"/>
          <w:bCs/>
          <w:sz w:val="24"/>
          <w:szCs w:val="24"/>
          <w:rtl/>
        </w:rPr>
        <w:t>هذه الفتنة يسميها البعض فتنة الحنابلة والبعض فتنة القشيري والبعض فتنة بغداد فاخترت ذلك للبعد</w:t>
      </w:r>
      <w:r w:rsidR="000636C2">
        <w:rPr>
          <w:rFonts w:hint="cs"/>
          <w:bCs/>
          <w:sz w:val="24"/>
          <w:szCs w:val="24"/>
          <w:rtl/>
        </w:rPr>
        <w:t xml:space="preserve"> </w:t>
      </w:r>
      <w:r w:rsidRPr="005675B2">
        <w:rPr>
          <w:rFonts w:hint="cs"/>
          <w:bCs/>
          <w:sz w:val="24"/>
          <w:szCs w:val="24"/>
          <w:rtl/>
        </w:rPr>
        <w:t>عن التعصب]</w:t>
      </w:r>
      <w:r w:rsidRPr="005675B2">
        <w:rPr>
          <w:rFonts w:hint="cs"/>
          <w:rtl/>
        </w:rPr>
        <w:t xml:space="preserve"> المشهورة فيقول الشيرازي</w:t>
      </w:r>
      <w:r w:rsidR="000636C2">
        <w:rPr>
          <w:rFonts w:hint="cs"/>
          <w:rtl/>
        </w:rPr>
        <w:t>:</w:t>
      </w:r>
      <w:r w:rsidRPr="005675B2">
        <w:rPr>
          <w:rFonts w:hint="cs"/>
          <w:rtl/>
        </w:rPr>
        <w:t xml:space="preserve"> (</w:t>
      </w:r>
      <w:r w:rsidR="000636C2">
        <w:rPr>
          <w:rFonts w:hint="cs"/>
          <w:rtl/>
        </w:rPr>
        <w:t>(</w:t>
      </w:r>
      <w:r w:rsidRPr="005675B2">
        <w:rPr>
          <w:rFonts w:hint="cs"/>
          <w:rtl/>
        </w:rPr>
        <w:t>الأمر على ماذكر في هذا المحضر من حال لشيخ الإمام الأوحد أبي نصر القشيري أكثر الله في أئمة</w:t>
      </w:r>
      <w:r w:rsidR="000636C2">
        <w:rPr>
          <w:rFonts w:hint="cs"/>
          <w:rtl/>
        </w:rPr>
        <w:t xml:space="preserve"> </w:t>
      </w:r>
      <w:r w:rsidRPr="005675B2">
        <w:rPr>
          <w:rFonts w:hint="cs"/>
          <w:rtl/>
        </w:rPr>
        <w:t>الدين مثله من عقد المجالس وذكر الله بمايليق به من توحيده وصفاته ونفي التشبيه عنه ولم أسمع منه غير مذهب أهل الحق من أهل السنة والجماعة وبه أدين الله عزوجل، وإياه أعتقد</w:t>
      </w:r>
      <w:r w:rsidR="000636C2">
        <w:rPr>
          <w:rFonts w:hint="cs"/>
          <w:rtl/>
        </w:rPr>
        <w:t>،</w:t>
      </w:r>
      <w:r w:rsidRPr="005675B2">
        <w:rPr>
          <w:rFonts w:hint="cs"/>
          <w:rtl/>
        </w:rPr>
        <w:t>وهو الذي ادركت أئمة أصحابنا عليه</w:t>
      </w:r>
      <w:r w:rsidR="000636C2">
        <w:rPr>
          <w:rFonts w:hint="cs"/>
          <w:rtl/>
        </w:rPr>
        <w:t>،</w:t>
      </w:r>
      <w:r w:rsidRPr="005675B2">
        <w:rPr>
          <w:rFonts w:hint="cs"/>
          <w:u w:val="single"/>
          <w:rtl/>
        </w:rPr>
        <w:t>واهتدى به خلق كثير من المجسمة، وصار كلهم على مذهب أهل الحق ولم يبق من لمبتدعة إلا نفير يسير ..</w:t>
      </w:r>
      <w:r w:rsidR="000636C2">
        <w:rPr>
          <w:rFonts w:hint="cs"/>
          <w:u w:val="single"/>
          <w:rtl/>
        </w:rPr>
        <w:t>)</w:t>
      </w:r>
      <w:r w:rsidRPr="005675B2">
        <w:rPr>
          <w:rFonts w:hint="cs"/>
          <w:rtl/>
        </w:rPr>
        <w:t>)فهذا نص كلام الشيرازي رحمه الله تعالى فهل في أشعريته شك</w:t>
      </w:r>
      <w:r w:rsidR="000636C2">
        <w:rPr>
          <w:rFonts w:hint="cs"/>
          <w:rtl/>
        </w:rPr>
        <w:t xml:space="preserve">؟! </w:t>
      </w:r>
      <w:r w:rsidRPr="005675B2">
        <w:rPr>
          <w:rFonts w:hint="cs"/>
          <w:rtl/>
        </w:rPr>
        <w:t>فكيف تتدعي أنه استنكف عن الأشعرية</w:t>
      </w:r>
      <w:r w:rsidR="000636C2">
        <w:rPr>
          <w:rFonts w:hint="cs"/>
          <w:rtl/>
        </w:rPr>
        <w:t>؟!</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طبقات الشافعية للسبكي 3/99 وتبيين كذب المفتري ص313</w:t>
      </w:r>
      <w:r w:rsidRPr="005675B2">
        <w:rPr>
          <w:rFonts w:hint="cs"/>
          <w:rtl/>
        </w:rPr>
        <w:t xml:space="preserve">] </w:t>
      </w:r>
    </w:p>
    <w:p w14:paraId="294E403D" w14:textId="744BACAF" w:rsidR="009C32A0" w:rsidRPr="005675B2" w:rsidRDefault="009C32A0" w:rsidP="000636C2">
      <w:pPr>
        <w:rPr>
          <w:b/>
          <w:rtl/>
        </w:rPr>
      </w:pPr>
      <w:r w:rsidRPr="005675B2">
        <w:rPr>
          <w:rFonts w:hint="cs"/>
          <w:rtl/>
        </w:rPr>
        <w:t>الثاني</w:t>
      </w:r>
      <w:r w:rsidR="000636C2">
        <w:rPr>
          <w:rFonts w:hint="cs"/>
          <w:rtl/>
        </w:rPr>
        <w:t xml:space="preserve">: </w:t>
      </w:r>
      <w:r w:rsidRPr="005675B2">
        <w:rPr>
          <w:rFonts w:hint="cs"/>
          <w:rtl/>
        </w:rPr>
        <w:t>- وقال الشيرازي رحمه الله تعالى في بعض كتبه</w:t>
      </w:r>
      <w:r w:rsidR="000636C2">
        <w:rPr>
          <w:rFonts w:hint="cs"/>
          <w:rtl/>
        </w:rPr>
        <w:t>:</w:t>
      </w:r>
      <w:r w:rsidRPr="005675B2">
        <w:rPr>
          <w:rFonts w:hint="cs"/>
          <w:rtl/>
        </w:rPr>
        <w:t xml:space="preserve"> فمن كان في الفروع على مذهب الشافعي </w:t>
      </w:r>
      <w:r w:rsidRPr="005675B2">
        <w:rPr>
          <w:rFonts w:hint="cs"/>
          <w:u w:val="single"/>
          <w:rtl/>
        </w:rPr>
        <w:t xml:space="preserve">وفي الأصول على اعتقاد الأشعري فهو معلم الطريق وهو على لحق المبين .. .. </w:t>
      </w:r>
      <w:r w:rsidRPr="005675B2">
        <w:rPr>
          <w:rFonts w:hint="cs"/>
          <w:rtl/>
        </w:rPr>
        <w:t>فأما قول الجهلة نحن شافعية الفروع حنبلية الأصول فلا يعتد به لأن الإمام أحمد رضي الله عنه لم يصنف كتابا</w:t>
      </w:r>
      <w:r w:rsidR="000636C2">
        <w:rPr>
          <w:rFonts w:hint="cs"/>
          <w:rtl/>
        </w:rPr>
        <w:t xml:space="preserve"> </w:t>
      </w:r>
      <w:r w:rsidRPr="005675B2">
        <w:rPr>
          <w:rFonts w:hint="cs"/>
          <w:rtl/>
        </w:rPr>
        <w:t xml:space="preserve">في الأصول </w:t>
      </w:r>
      <w:r w:rsidR="000636C2">
        <w:rPr>
          <w:rFonts w:hint="cs"/>
          <w:rtl/>
        </w:rPr>
        <w:t>(</w:t>
      </w:r>
      <w:r w:rsidRPr="005675B2">
        <w:rPr>
          <w:rFonts w:hint="cs"/>
          <w:rtl/>
        </w:rPr>
        <w:t>أي في العقائد</w:t>
      </w:r>
      <w:r w:rsidR="000636C2">
        <w:rPr>
          <w:rFonts w:hint="cs"/>
          <w:rtl/>
        </w:rPr>
        <w:t>)،</w:t>
      </w:r>
      <w:r w:rsidRPr="005675B2">
        <w:rPr>
          <w:rFonts w:hint="cs"/>
          <w:rtl/>
        </w:rPr>
        <w:t>ولم ينقل عنه في ذلك شيء إلا صبره على الضرب والحبس حين دعاه المعتزلة إلى الموافقة في القول بخلق القرآن فلم يوافق</w:t>
      </w:r>
      <w:r w:rsidR="000636C2">
        <w:rPr>
          <w:rFonts w:hint="cs"/>
          <w:rtl/>
        </w:rPr>
        <w:t>،</w:t>
      </w:r>
      <w:r w:rsidRPr="005675B2">
        <w:rPr>
          <w:rFonts w:hint="cs"/>
          <w:rtl/>
        </w:rPr>
        <w:t>ودعي إلى المناظرة فلم يناظر</w:t>
      </w:r>
      <w:r w:rsidR="000636C2">
        <w:rPr>
          <w:rFonts w:hint="cs"/>
          <w:rtl/>
        </w:rPr>
        <w:t>،</w:t>
      </w:r>
      <w:r w:rsidRPr="005675B2">
        <w:rPr>
          <w:rFonts w:hint="cs"/>
          <w:rtl/>
        </w:rPr>
        <w:t>والاقتداء بمن صنف في ذلك وتكلم فيه وقمع المبتدعة بالأدلة القاطعة والحجج الباهرة أولى وأحرى</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الإشارة إلى مذهب أهل الحق ص283</w:t>
      </w:r>
      <w:r w:rsidRPr="005675B2">
        <w:rPr>
          <w:rFonts w:hint="cs"/>
          <w:rtl/>
        </w:rPr>
        <w:t>]</w:t>
      </w:r>
    </w:p>
    <w:p w14:paraId="3A032499" w14:textId="125E63C6" w:rsidR="009C32A0" w:rsidRPr="005675B2" w:rsidRDefault="000636C2" w:rsidP="000636C2">
      <w:pPr>
        <w:rPr>
          <w:b/>
          <w:rtl/>
        </w:rPr>
      </w:pPr>
      <w:r>
        <w:rPr>
          <w:rFonts w:hint="cs"/>
          <w:rtl/>
        </w:rPr>
        <w:t>(</w:t>
      </w:r>
      <w:r w:rsidR="009C32A0">
        <w:rPr>
          <w:rFonts w:hint="cs"/>
          <w:rtl/>
        </w:rPr>
        <w:t>تنبيه</w:t>
      </w:r>
      <w:r>
        <w:rPr>
          <w:rFonts w:hint="cs"/>
          <w:rtl/>
        </w:rPr>
        <w:t>):</w:t>
      </w:r>
      <w:r w:rsidR="009C32A0" w:rsidRPr="005675B2">
        <w:rPr>
          <w:rFonts w:hint="cs"/>
          <w:rtl/>
        </w:rPr>
        <w:t xml:space="preserve"> لا يظن أهل الظنون</w:t>
      </w:r>
      <w:r>
        <w:rPr>
          <w:rFonts w:hint="cs"/>
          <w:rtl/>
        </w:rPr>
        <w:t xml:space="preserve"> </w:t>
      </w:r>
      <w:r w:rsidR="009C32A0" w:rsidRPr="005675B2">
        <w:rPr>
          <w:rFonts w:hint="cs"/>
          <w:rtl/>
        </w:rPr>
        <w:t>ان الإمام الشيرازي يمنع أي تمذهب بغير الشافعية أو اعتقاد سني غير طريقة</w:t>
      </w:r>
      <w:r>
        <w:rPr>
          <w:rFonts w:hint="cs"/>
          <w:rtl/>
        </w:rPr>
        <w:t xml:space="preserve"> </w:t>
      </w:r>
      <w:r w:rsidR="009C32A0" w:rsidRPr="005675B2">
        <w:rPr>
          <w:rFonts w:hint="cs"/>
          <w:rtl/>
        </w:rPr>
        <w:t>تقرير الأشعرية</w:t>
      </w:r>
      <w:r>
        <w:rPr>
          <w:rFonts w:hint="cs"/>
          <w:rtl/>
        </w:rPr>
        <w:t>،</w:t>
      </w:r>
      <w:r w:rsidR="009C32A0" w:rsidRPr="005675B2">
        <w:rPr>
          <w:rFonts w:hint="cs"/>
          <w:rtl/>
        </w:rPr>
        <w:t>وإنما هو يبين أن من كان على هذه الطريقة فهو على الحق</w:t>
      </w:r>
      <w:r>
        <w:rPr>
          <w:rFonts w:hint="cs"/>
          <w:rtl/>
        </w:rPr>
        <w:t>،</w:t>
      </w:r>
      <w:r w:rsidR="009C32A0" w:rsidRPr="005675B2">
        <w:rPr>
          <w:rFonts w:hint="cs"/>
          <w:rtl/>
        </w:rPr>
        <w:t>خلافاً لمن يبدعهم ممن لم يحفظ قدرهم</w:t>
      </w:r>
      <w:r>
        <w:rPr>
          <w:rFonts w:hint="cs"/>
          <w:rtl/>
        </w:rPr>
        <w:t>،</w:t>
      </w:r>
      <w:r w:rsidR="009C32A0" w:rsidRPr="005675B2">
        <w:rPr>
          <w:rFonts w:hint="cs"/>
          <w:rtl/>
        </w:rPr>
        <w:t>ويبين أن الأشعري صنّف</w:t>
      </w:r>
      <w:r>
        <w:rPr>
          <w:rFonts w:hint="cs"/>
          <w:rtl/>
        </w:rPr>
        <w:t>،</w:t>
      </w:r>
      <w:r w:rsidR="009C32A0" w:rsidRPr="005675B2">
        <w:rPr>
          <w:rFonts w:hint="cs"/>
          <w:rtl/>
        </w:rPr>
        <w:t>وأصّل، وفصّل في العقيدة، ولم يجمل كغيره من العلماء</w:t>
      </w:r>
      <w:r>
        <w:rPr>
          <w:rFonts w:hint="cs"/>
          <w:rtl/>
        </w:rPr>
        <w:t xml:space="preserve"> </w:t>
      </w:r>
      <w:r w:rsidR="009C32A0" w:rsidRPr="005675B2">
        <w:rPr>
          <w:rFonts w:hint="cs"/>
          <w:rtl/>
        </w:rPr>
        <w:t>فمذهبه أحق بالاتباع</w:t>
      </w:r>
      <w:r>
        <w:rPr>
          <w:rFonts w:hint="cs"/>
          <w:rtl/>
        </w:rPr>
        <w:t>،</w:t>
      </w:r>
      <w:r w:rsidR="009C32A0" w:rsidRPr="005675B2">
        <w:rPr>
          <w:rFonts w:hint="cs"/>
          <w:rtl/>
        </w:rPr>
        <w:t xml:space="preserve"> وللعلم يا أخي</w:t>
      </w:r>
      <w:r>
        <w:rPr>
          <w:rFonts w:hint="cs"/>
          <w:rtl/>
        </w:rPr>
        <w:t xml:space="preserve"> </w:t>
      </w:r>
      <w:r w:rsidR="009C32A0" w:rsidRPr="005675B2">
        <w:rPr>
          <w:rFonts w:hint="cs"/>
          <w:rtl/>
        </w:rPr>
        <w:t>فإن مما</w:t>
      </w:r>
      <w:r>
        <w:rPr>
          <w:rFonts w:hint="cs"/>
          <w:rtl/>
        </w:rPr>
        <w:t xml:space="preserve"> </w:t>
      </w:r>
      <w:r w:rsidR="009C32A0" w:rsidRPr="005675B2">
        <w:rPr>
          <w:rFonts w:hint="cs"/>
          <w:rtl/>
        </w:rPr>
        <w:t>جاءعن مالك بن أنس رضي الله عنه أنه قال</w:t>
      </w:r>
      <w:r>
        <w:rPr>
          <w:rFonts w:hint="cs"/>
          <w:rtl/>
        </w:rPr>
        <w:t>:</w:t>
      </w:r>
      <w:r w:rsidR="009C32A0" w:rsidRPr="005675B2">
        <w:rPr>
          <w:rFonts w:hint="cs"/>
          <w:rtl/>
        </w:rPr>
        <w:t xml:space="preserve"> إن الله قد قسم الأعمال كما قسم لأرزاق</w:t>
      </w:r>
      <w:r>
        <w:rPr>
          <w:rFonts w:hint="cs"/>
          <w:rtl/>
        </w:rPr>
        <w:t>،</w:t>
      </w:r>
      <w:r w:rsidR="009C32A0" w:rsidRPr="005675B2">
        <w:rPr>
          <w:rFonts w:hint="cs"/>
          <w:rtl/>
        </w:rPr>
        <w:t>فقد رضيت بما قسم الله لي</w:t>
      </w:r>
      <w:r>
        <w:rPr>
          <w:rFonts w:hint="cs"/>
          <w:rtl/>
        </w:rPr>
        <w:t>،</w:t>
      </w:r>
      <w:r w:rsidR="009C32A0" w:rsidRPr="005675B2">
        <w:rPr>
          <w:rFonts w:hint="cs"/>
          <w:rtl/>
        </w:rPr>
        <w:t xml:space="preserve"> هكذا قال مالك لرجل ينصحه بالتعبد وترك العلم</w:t>
      </w:r>
      <w:r>
        <w:rPr>
          <w:rFonts w:hint="cs"/>
          <w:rtl/>
        </w:rPr>
        <w:t>،</w:t>
      </w:r>
      <w:r w:rsidR="009C32A0" w:rsidRPr="005675B2">
        <w:rPr>
          <w:rFonts w:hint="cs"/>
          <w:rtl/>
        </w:rPr>
        <w:t xml:space="preserve"> ولا شك في صحة كلام</w:t>
      </w:r>
      <w:r>
        <w:rPr>
          <w:rFonts w:hint="cs"/>
          <w:rtl/>
        </w:rPr>
        <w:t xml:space="preserve"> </w:t>
      </w:r>
      <w:r w:rsidR="009C32A0" w:rsidRPr="005675B2">
        <w:rPr>
          <w:rFonts w:hint="cs"/>
          <w:rtl/>
        </w:rPr>
        <w:t>الإمام مالك - رحمه الله تعالى -</w:t>
      </w:r>
      <w:r>
        <w:rPr>
          <w:rFonts w:hint="cs"/>
          <w:rtl/>
        </w:rPr>
        <w:t>،</w:t>
      </w:r>
      <w:r w:rsidR="009C32A0" w:rsidRPr="005675B2">
        <w:rPr>
          <w:rFonts w:hint="cs"/>
          <w:rtl/>
        </w:rPr>
        <w:t xml:space="preserve"> فإن الله قد فتح على أناس في العبادة وآخرين في العلم</w:t>
      </w:r>
      <w:r>
        <w:rPr>
          <w:rFonts w:hint="cs"/>
          <w:rtl/>
        </w:rPr>
        <w:t>،</w:t>
      </w:r>
      <w:r w:rsidR="009C32A0" w:rsidRPr="005675B2">
        <w:rPr>
          <w:rFonts w:hint="cs"/>
          <w:rtl/>
        </w:rPr>
        <w:t xml:space="preserve"> والعلم أنواع</w:t>
      </w:r>
      <w:r>
        <w:rPr>
          <w:rFonts w:hint="cs"/>
          <w:rtl/>
        </w:rPr>
        <w:t>:</w:t>
      </w:r>
      <w:r w:rsidR="009C32A0" w:rsidRPr="005675B2">
        <w:rPr>
          <w:rFonts w:hint="cs"/>
          <w:rtl/>
        </w:rPr>
        <w:t>فمنه علم في الحديث والرجال</w:t>
      </w:r>
      <w:r>
        <w:rPr>
          <w:rFonts w:hint="cs"/>
          <w:rtl/>
        </w:rPr>
        <w:t>،</w:t>
      </w:r>
      <w:r w:rsidR="009C32A0" w:rsidRPr="005675B2">
        <w:rPr>
          <w:rFonts w:hint="cs"/>
          <w:rtl/>
        </w:rPr>
        <w:t xml:space="preserve"> وعلم في الاعتقاد ودقائقه</w:t>
      </w:r>
      <w:r>
        <w:rPr>
          <w:rFonts w:hint="cs"/>
          <w:rtl/>
        </w:rPr>
        <w:t>،</w:t>
      </w:r>
      <w:r w:rsidR="009C32A0" w:rsidRPr="005675B2">
        <w:rPr>
          <w:rFonts w:hint="cs"/>
          <w:rtl/>
        </w:rPr>
        <w:t>وعلم في الفروع وغير ذلك</w:t>
      </w:r>
      <w:r>
        <w:rPr>
          <w:rFonts w:hint="cs"/>
          <w:rtl/>
        </w:rPr>
        <w:t>،</w:t>
      </w:r>
      <w:r w:rsidR="009C32A0" w:rsidRPr="005675B2">
        <w:rPr>
          <w:rFonts w:hint="cs"/>
          <w:rtl/>
        </w:rPr>
        <w:t xml:space="preserve"> ولذا فلا ريب أن الله عظيم الفضل والمنة قد فتح</w:t>
      </w:r>
      <w:r>
        <w:rPr>
          <w:rFonts w:hint="cs"/>
          <w:rtl/>
        </w:rPr>
        <w:t xml:space="preserve"> </w:t>
      </w:r>
      <w:r w:rsidR="009C32A0" w:rsidRPr="005675B2">
        <w:rPr>
          <w:rFonts w:hint="cs"/>
          <w:rtl/>
        </w:rPr>
        <w:t>على</w:t>
      </w:r>
      <w:r>
        <w:rPr>
          <w:rFonts w:hint="cs"/>
          <w:rtl/>
        </w:rPr>
        <w:t xml:space="preserve"> </w:t>
      </w:r>
      <w:r w:rsidR="009C32A0" w:rsidRPr="005675B2">
        <w:rPr>
          <w:rFonts w:hint="cs"/>
          <w:rtl/>
        </w:rPr>
        <w:t>الأشعري</w:t>
      </w:r>
      <w:r>
        <w:rPr>
          <w:rFonts w:hint="cs"/>
          <w:rtl/>
        </w:rPr>
        <w:t>،</w:t>
      </w:r>
      <w:r w:rsidR="009C32A0" w:rsidRPr="005675B2">
        <w:rPr>
          <w:rFonts w:hint="cs"/>
          <w:rtl/>
        </w:rPr>
        <w:t>والإمام الماتريدي في العقيدة أكثر</w:t>
      </w:r>
      <w:r>
        <w:rPr>
          <w:rFonts w:hint="cs"/>
          <w:rtl/>
        </w:rPr>
        <w:t xml:space="preserve"> </w:t>
      </w:r>
      <w:r w:rsidR="009C32A0" w:rsidRPr="005675B2">
        <w:rPr>
          <w:rFonts w:hint="cs"/>
          <w:rtl/>
        </w:rPr>
        <w:t>من غيرهما وذلك فضل الله يؤتيه من يشاء،ولا يعني ذلك</w:t>
      </w:r>
      <w:r>
        <w:rPr>
          <w:rFonts w:hint="cs"/>
          <w:rtl/>
        </w:rPr>
        <w:t xml:space="preserve"> </w:t>
      </w:r>
      <w:r w:rsidR="009C32A0" w:rsidRPr="005675B2">
        <w:rPr>
          <w:rFonts w:hint="cs"/>
          <w:rtl/>
        </w:rPr>
        <w:t>أن غيرهم من أقرانهم</w:t>
      </w:r>
      <w:r>
        <w:rPr>
          <w:rFonts w:hint="cs"/>
          <w:rtl/>
        </w:rPr>
        <w:t>،</w:t>
      </w:r>
      <w:r w:rsidR="009C32A0" w:rsidRPr="005675B2">
        <w:rPr>
          <w:rFonts w:hint="cs"/>
          <w:rtl/>
        </w:rPr>
        <w:t>ومن سبقهم على جهل بالعقيدة</w:t>
      </w:r>
      <w:r>
        <w:rPr>
          <w:rFonts w:hint="cs"/>
          <w:rtl/>
        </w:rPr>
        <w:t>،</w:t>
      </w:r>
      <w:r w:rsidR="009C32A0" w:rsidRPr="005675B2">
        <w:rPr>
          <w:rFonts w:hint="cs"/>
          <w:rtl/>
        </w:rPr>
        <w:t xml:space="preserve"> حاشاهم والله ولكن لم يتوسعوا في ذلك ولم يدونوا في العقيدة شيء مفصل واضح</w:t>
      </w:r>
      <w:r>
        <w:rPr>
          <w:rFonts w:hint="cs"/>
          <w:rtl/>
        </w:rPr>
        <w:t>،</w:t>
      </w:r>
      <w:r w:rsidR="009C32A0" w:rsidRPr="005675B2">
        <w:rPr>
          <w:rFonts w:hint="cs"/>
          <w:rtl/>
        </w:rPr>
        <w:t>أعني في كل مسائل الاعتقاد</w:t>
      </w:r>
      <w:r>
        <w:rPr>
          <w:rFonts w:hint="cs"/>
          <w:rtl/>
        </w:rPr>
        <w:t>،</w:t>
      </w:r>
      <w:r w:rsidR="009C32A0" w:rsidRPr="005675B2">
        <w:rPr>
          <w:rFonts w:hint="cs"/>
          <w:rtl/>
        </w:rPr>
        <w:t>إلا مرويات يسيرة في العقيدة ولكن ليس كعلم مؤصل مفصل</w:t>
      </w:r>
      <w:r>
        <w:rPr>
          <w:rFonts w:hint="cs"/>
          <w:rtl/>
        </w:rPr>
        <w:t>،</w:t>
      </w:r>
      <w:r w:rsidR="009C32A0" w:rsidRPr="005675B2">
        <w:rPr>
          <w:rFonts w:hint="cs"/>
          <w:rtl/>
        </w:rPr>
        <w:t>والعمر ينقضي دون أن يدرك من العلم إلا اليسير فقسم الله هذه التركة بين رجال الأمة الناجية أهل السنة والجماعة</w:t>
      </w:r>
      <w:r>
        <w:rPr>
          <w:rFonts w:hint="cs"/>
          <w:rtl/>
        </w:rPr>
        <w:t>،</w:t>
      </w:r>
      <w:r w:rsidR="009C32A0" w:rsidRPr="005675B2">
        <w:rPr>
          <w:rFonts w:hint="cs"/>
          <w:rtl/>
        </w:rPr>
        <w:t xml:space="preserve"> </w:t>
      </w:r>
      <w:r>
        <w:rPr>
          <w:rFonts w:hint="cs"/>
          <w:rtl/>
        </w:rPr>
        <w:t>[</w:t>
      </w:r>
      <w:r w:rsidR="009C32A0" w:rsidRPr="005675B2">
        <w:rPr>
          <w:rFonts w:hint="cs"/>
          <w:bCs/>
          <w:sz w:val="24"/>
          <w:szCs w:val="24"/>
          <w:rtl/>
        </w:rPr>
        <w:t>سيأتي إثبات كونهم من أهل السنة والجماعة والكلام عن التأويل والتفويض مع ذكر الأدلة إن شاء الله ليتجلى الأمر لطالب الحق]</w:t>
      </w:r>
      <w:r>
        <w:rPr>
          <w:rFonts w:hint="cs"/>
          <w:rtl/>
        </w:rPr>
        <w:t xml:space="preserve"> </w:t>
      </w:r>
      <w:r w:rsidR="009C32A0" w:rsidRPr="005675B2">
        <w:rPr>
          <w:rFonts w:hint="cs"/>
          <w:rtl/>
        </w:rPr>
        <w:t>مع التنبه إلى أن</w:t>
      </w:r>
      <w:r>
        <w:rPr>
          <w:rFonts w:hint="cs"/>
          <w:rtl/>
        </w:rPr>
        <w:t xml:space="preserve"> </w:t>
      </w:r>
      <w:r w:rsidR="009C32A0" w:rsidRPr="005675B2">
        <w:rPr>
          <w:rFonts w:hint="cs"/>
          <w:rtl/>
        </w:rPr>
        <w:t>ترك الأخ الحوالي غفر الله له</w:t>
      </w:r>
      <w:r>
        <w:rPr>
          <w:rFonts w:hint="cs"/>
          <w:rtl/>
        </w:rPr>
        <w:t xml:space="preserve"> </w:t>
      </w:r>
      <w:r w:rsidR="009C32A0" w:rsidRPr="005675B2">
        <w:rPr>
          <w:rFonts w:hint="cs"/>
          <w:rtl/>
        </w:rPr>
        <w:t>الأئمة الذين يعوّل على</w:t>
      </w:r>
      <w:r>
        <w:rPr>
          <w:rFonts w:hint="cs"/>
          <w:rtl/>
        </w:rPr>
        <w:t xml:space="preserve"> </w:t>
      </w:r>
      <w:r w:rsidR="009C32A0" w:rsidRPr="005675B2">
        <w:rPr>
          <w:rFonts w:hint="cs"/>
          <w:rtl/>
        </w:rPr>
        <w:t>كلامهم ويرجع إليهم حقاً وصدقاً عند الشافعية</w:t>
      </w:r>
      <w:r>
        <w:rPr>
          <w:rFonts w:hint="cs"/>
          <w:rtl/>
        </w:rPr>
        <w:t>،</w:t>
      </w:r>
      <w:r w:rsidR="009C32A0" w:rsidRPr="005675B2">
        <w:rPr>
          <w:rFonts w:hint="cs"/>
          <w:rtl/>
        </w:rPr>
        <w:t xml:space="preserve"> كالحافظ البيهقي</w:t>
      </w:r>
      <w:r>
        <w:rPr>
          <w:rFonts w:hint="cs"/>
          <w:rtl/>
        </w:rPr>
        <w:t>،</w:t>
      </w:r>
      <w:r w:rsidR="009C32A0" w:rsidRPr="005675B2">
        <w:rPr>
          <w:rFonts w:hint="cs"/>
          <w:rtl/>
        </w:rPr>
        <w:t xml:space="preserve"> و الشيرازي صاحب المهذب</w:t>
      </w:r>
      <w:r>
        <w:rPr>
          <w:rFonts w:hint="cs"/>
          <w:rtl/>
        </w:rPr>
        <w:t>،</w:t>
      </w:r>
      <w:r w:rsidR="009C32A0" w:rsidRPr="005675B2">
        <w:rPr>
          <w:rFonts w:hint="cs"/>
          <w:rtl/>
        </w:rPr>
        <w:t>و إمام الحرمين الجويني</w:t>
      </w:r>
      <w:r>
        <w:rPr>
          <w:rFonts w:hint="cs"/>
          <w:rtl/>
        </w:rPr>
        <w:t>،</w:t>
      </w:r>
      <w:r w:rsidR="009C32A0" w:rsidRPr="005675B2">
        <w:rPr>
          <w:rFonts w:hint="cs"/>
          <w:rtl/>
        </w:rPr>
        <w:t>الغزالي</w:t>
      </w:r>
      <w:r>
        <w:rPr>
          <w:rFonts w:hint="cs"/>
          <w:rtl/>
        </w:rPr>
        <w:t>،</w:t>
      </w:r>
      <w:r w:rsidR="009C32A0" w:rsidRPr="005675B2">
        <w:rPr>
          <w:rFonts w:hint="cs"/>
          <w:rtl/>
        </w:rPr>
        <w:t>وأبو بكر الشاسي</w:t>
      </w:r>
      <w:r>
        <w:rPr>
          <w:rFonts w:hint="cs"/>
          <w:rtl/>
        </w:rPr>
        <w:t>،</w:t>
      </w:r>
      <w:r w:rsidR="009C32A0" w:rsidRPr="005675B2">
        <w:rPr>
          <w:rFonts w:hint="cs"/>
          <w:rtl/>
        </w:rPr>
        <w:t>والإمام النووي وابن عساكر</w:t>
      </w:r>
      <w:r>
        <w:rPr>
          <w:rFonts w:hint="cs"/>
          <w:rtl/>
        </w:rPr>
        <w:t>،</w:t>
      </w:r>
      <w:r w:rsidR="009C32A0" w:rsidRPr="005675B2">
        <w:rPr>
          <w:rFonts w:hint="cs"/>
          <w:rtl/>
        </w:rPr>
        <w:t>والخطيب البغدادي</w:t>
      </w:r>
      <w:r>
        <w:rPr>
          <w:rFonts w:hint="cs"/>
          <w:rtl/>
        </w:rPr>
        <w:t>،</w:t>
      </w:r>
      <w:r w:rsidR="009C32A0" w:rsidRPr="005675B2">
        <w:rPr>
          <w:rFonts w:hint="cs"/>
          <w:rtl/>
        </w:rPr>
        <w:t>والحافظ العراقي</w:t>
      </w:r>
      <w:r>
        <w:rPr>
          <w:rFonts w:hint="cs"/>
          <w:rtl/>
        </w:rPr>
        <w:t>،</w:t>
      </w:r>
      <w:r w:rsidR="009C32A0" w:rsidRPr="005675B2">
        <w:rPr>
          <w:rFonts w:hint="cs"/>
          <w:rtl/>
        </w:rPr>
        <w:t>والحافظ ابن حجر وغيرهم كثير، وكثير من المتأخرين أيضاً كالشيخ زكريا الأنصاري</w:t>
      </w:r>
      <w:r>
        <w:rPr>
          <w:rFonts w:hint="cs"/>
          <w:rtl/>
        </w:rPr>
        <w:t>،</w:t>
      </w:r>
      <w:r w:rsidR="009C32A0" w:rsidRPr="005675B2">
        <w:rPr>
          <w:rFonts w:hint="cs"/>
          <w:rtl/>
        </w:rPr>
        <w:t>وابن حجر الهيثمي، والرملي والخطيب الشربيني إلى يومنا هذا فيه مافيه من عدم البحث المنصف</w:t>
      </w:r>
      <w:r>
        <w:rPr>
          <w:rFonts w:hint="cs"/>
          <w:rtl/>
        </w:rPr>
        <w:t>،</w:t>
      </w:r>
    </w:p>
    <w:p w14:paraId="259FE384" w14:textId="3C56BC3B"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الحنفية</w:t>
      </w:r>
      <w:r w:rsidR="000636C2">
        <w:rPr>
          <w:rFonts w:hint="cs"/>
          <w:rtl/>
        </w:rPr>
        <w:t>:</w:t>
      </w:r>
      <w:r w:rsidRPr="005675B2">
        <w:rPr>
          <w:rFonts w:hint="cs"/>
          <w:rtl/>
        </w:rPr>
        <w:t xml:space="preserve"> معلوم أن واضع</w:t>
      </w:r>
      <w:r w:rsidRPr="005675B2">
        <w:rPr>
          <w:rFonts w:hint="cs"/>
        </w:rPr>
        <w:t xml:space="preserve"> </w:t>
      </w:r>
      <w:r w:rsidRPr="005675B2">
        <w:rPr>
          <w:rFonts w:hint="cs"/>
          <w:rtl/>
        </w:rPr>
        <w:t>الطحاوية وشارحها كلاهما حنفيان</w:t>
      </w:r>
      <w:r w:rsidR="000636C2">
        <w:rPr>
          <w:rFonts w:hint="cs"/>
          <w:rtl/>
        </w:rPr>
        <w:t>،</w:t>
      </w:r>
      <w:r w:rsidRPr="005675B2">
        <w:rPr>
          <w:rFonts w:hint="cs"/>
          <w:rtl/>
        </w:rPr>
        <w:t xml:space="preserve"> وكان الإمام الطحاوي معاصراً للأشعري وكتب هذه</w:t>
      </w:r>
      <w:r w:rsidRPr="005675B2">
        <w:rPr>
          <w:rFonts w:hint="cs"/>
        </w:rPr>
        <w:t xml:space="preserve"> </w:t>
      </w:r>
      <w:r w:rsidRPr="005675B2">
        <w:rPr>
          <w:rFonts w:hint="cs"/>
          <w:rtl/>
        </w:rPr>
        <w:t>العقيدة لبيان معتقد الإمام أبي حنيفة وأصحابه</w:t>
      </w:r>
      <w:r w:rsidR="000636C2">
        <w:rPr>
          <w:rFonts w:hint="cs"/>
          <w:rtl/>
        </w:rPr>
        <w:t>،</w:t>
      </w:r>
      <w:r w:rsidRPr="005675B2">
        <w:rPr>
          <w:rFonts w:hint="cs"/>
          <w:rtl/>
        </w:rPr>
        <w:t xml:space="preserve"> وهي مشابهة لما في الفقه الأكبر</w:t>
      </w:r>
      <w:r w:rsidRPr="005675B2">
        <w:rPr>
          <w:rFonts w:hint="cs"/>
        </w:rPr>
        <w:t xml:space="preserve"> </w:t>
      </w:r>
      <w:r w:rsidRPr="005675B2">
        <w:rPr>
          <w:rFonts w:hint="cs"/>
          <w:rtl/>
        </w:rPr>
        <w:t>عنه وقد نقلوا عن الإمام أنه صرح بكفر من قال إن الله ليس على العرش أو توقف فيه</w:t>
      </w:r>
      <w:r w:rsidR="000636C2">
        <w:rPr>
          <w:rFonts w:hint="cs"/>
          <w:rtl/>
        </w:rPr>
        <w:t>،</w:t>
      </w:r>
      <w:r w:rsidRPr="005675B2">
        <w:rPr>
          <w:rFonts w:hint="cs"/>
        </w:rPr>
        <w:t xml:space="preserve"> </w:t>
      </w:r>
      <w:r w:rsidRPr="005675B2">
        <w:rPr>
          <w:rFonts w:hint="cs"/>
          <w:rtl/>
        </w:rPr>
        <w:t>وتلميذه أبو يوسف كفر بشراً المريسي</w:t>
      </w:r>
      <w:r w:rsidR="000636C2">
        <w:rPr>
          <w:rFonts w:hint="cs"/>
          <w:rtl/>
        </w:rPr>
        <w:t>،</w:t>
      </w:r>
      <w:r w:rsidRPr="005675B2">
        <w:rPr>
          <w:rFonts w:hint="cs"/>
          <w:rtl/>
        </w:rPr>
        <w:t xml:space="preserve"> ومعلوم أن الأشاعرة ينفون العلو وينكرون كونه</w:t>
      </w:r>
      <w:r w:rsidRPr="005675B2">
        <w:rPr>
          <w:rFonts w:hint="cs"/>
        </w:rPr>
        <w:t xml:space="preserve"> </w:t>
      </w:r>
      <w:r w:rsidRPr="005675B2">
        <w:rPr>
          <w:rFonts w:hint="cs"/>
          <w:rtl/>
        </w:rPr>
        <w:t>تعالى على</w:t>
      </w:r>
      <w:r w:rsidRPr="005675B2">
        <w:rPr>
          <w:rFonts w:hint="cs"/>
        </w:rPr>
        <w:t xml:space="preserve"> </w:t>
      </w:r>
      <w:r w:rsidRPr="005675B2">
        <w:rPr>
          <w:rFonts w:hint="cs"/>
          <w:rtl/>
        </w:rPr>
        <w:t>العرش ومعلوم أيضاً أن أصولهم مستمدة من بشر المريسي</w:t>
      </w:r>
      <w:r w:rsidR="000636C2">
        <w:rPr>
          <w:rFonts w:hint="cs"/>
          <w:rtl/>
        </w:rPr>
        <w:t>،</w:t>
      </w:r>
      <w:r w:rsidRPr="005675B2">
        <w:rPr>
          <w:rFonts w:hint="cs"/>
          <w:rtl/>
        </w:rPr>
        <w:t xml:space="preserve"> </w:t>
      </w:r>
    </w:p>
    <w:p w14:paraId="01E801F1" w14:textId="14461C4B"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فيما</w:t>
      </w:r>
      <w:r>
        <w:rPr>
          <w:rFonts w:hint="cs"/>
          <w:rtl/>
        </w:rPr>
        <w:t xml:space="preserve"> </w:t>
      </w:r>
      <w:r w:rsidR="009C32A0" w:rsidRPr="005675B2">
        <w:rPr>
          <w:rFonts w:hint="cs"/>
          <w:rtl/>
        </w:rPr>
        <w:t>قلت يا أخي هداك الله وختم لنا ولك بالخاتمة الطيبة عدة دعاوى</w:t>
      </w:r>
      <w:r>
        <w:rPr>
          <w:rFonts w:hint="cs"/>
          <w:rtl/>
        </w:rPr>
        <w:t>:</w:t>
      </w:r>
    </w:p>
    <w:p w14:paraId="3C9F3CDD" w14:textId="1532345A" w:rsidR="009C32A0" w:rsidRPr="005675B2" w:rsidRDefault="000636C2" w:rsidP="000636C2">
      <w:pPr>
        <w:rPr>
          <w:b/>
          <w:rtl/>
        </w:rPr>
      </w:pPr>
      <w:r>
        <w:rPr>
          <w:rFonts w:hint="cs"/>
          <w:rtl/>
        </w:rPr>
        <w:t>(</w:t>
      </w:r>
      <w:r w:rsidR="009C32A0">
        <w:rPr>
          <w:rFonts w:hint="cs"/>
          <w:rtl/>
        </w:rPr>
        <w:t>أولا</w:t>
      </w:r>
      <w:r>
        <w:rPr>
          <w:rFonts w:hint="cs"/>
          <w:rtl/>
        </w:rPr>
        <w:t>):</w:t>
      </w:r>
      <w:r w:rsidR="009C32A0" w:rsidRPr="005675B2">
        <w:rPr>
          <w:rFonts w:hint="cs"/>
          <w:rtl/>
        </w:rPr>
        <w:t xml:space="preserve"> كلام ذكرته عن أبي حنيفة بفهمك لا بنصه وهو لايفيدك في إثباتك لعقيدة الجهة التي تسميها العلو</w:t>
      </w:r>
      <w:r>
        <w:rPr>
          <w:rFonts w:hint="cs"/>
          <w:rtl/>
        </w:rPr>
        <w:t>:</w:t>
      </w:r>
      <w:r w:rsidR="009C32A0" w:rsidRPr="005675B2">
        <w:rPr>
          <w:rFonts w:hint="cs"/>
          <w:rtl/>
        </w:rPr>
        <w:t>وذلك</w:t>
      </w:r>
      <w:r>
        <w:rPr>
          <w:rFonts w:hint="cs"/>
          <w:rtl/>
        </w:rPr>
        <w:t xml:space="preserve"> </w:t>
      </w:r>
      <w:r w:rsidR="009C32A0" w:rsidRPr="005675B2">
        <w:rPr>
          <w:rFonts w:hint="cs"/>
          <w:rtl/>
        </w:rPr>
        <w:t>لمخالفة النص الموجود في شرح الفقه الأكبر لما تعتقده من كون الله في جهة وها أنا ذا أنقله بنصه</w:t>
      </w:r>
      <w:r>
        <w:rPr>
          <w:rFonts w:hint="cs"/>
          <w:rtl/>
        </w:rPr>
        <w:t>:</w:t>
      </w:r>
    </w:p>
    <w:p w14:paraId="43EEBA9C" w14:textId="60C0FA0C" w:rsidR="009C32A0" w:rsidRPr="005675B2" w:rsidRDefault="009C32A0" w:rsidP="000636C2">
      <w:pPr>
        <w:rPr>
          <w:b/>
          <w:rtl/>
        </w:rPr>
      </w:pPr>
      <w:r w:rsidRPr="005675B2">
        <w:rPr>
          <w:rFonts w:hint="cs"/>
          <w:rtl/>
        </w:rPr>
        <w:t>قال الإمام</w:t>
      </w:r>
      <w:r w:rsidR="000636C2">
        <w:rPr>
          <w:rFonts w:hint="cs"/>
          <w:rtl/>
        </w:rPr>
        <w:t xml:space="preserve"> </w:t>
      </w:r>
      <w:r w:rsidRPr="005675B2">
        <w:rPr>
          <w:rFonts w:hint="cs"/>
          <w:rtl/>
        </w:rPr>
        <w:t>أبو حنيفة في كتابه الوصية</w:t>
      </w:r>
      <w:r w:rsidR="000636C2">
        <w:rPr>
          <w:rFonts w:hint="cs"/>
          <w:rtl/>
        </w:rPr>
        <w:t>:</w:t>
      </w:r>
      <w:r w:rsidRPr="005675B2">
        <w:rPr>
          <w:rFonts w:hint="cs"/>
          <w:rtl/>
        </w:rPr>
        <w:t xml:space="preserve"> نقر بأن الله على العرش استوى من غير أن يكون له حاجة إليه، واستقرار عليه، وهو الحافظ للعرش وغير العرش</w:t>
      </w:r>
      <w:r w:rsidR="000636C2">
        <w:rPr>
          <w:rFonts w:hint="cs"/>
          <w:rtl/>
        </w:rPr>
        <w:t>،</w:t>
      </w:r>
      <w:r w:rsidRPr="005675B2">
        <w:rPr>
          <w:rFonts w:hint="cs"/>
          <w:rtl/>
        </w:rPr>
        <w:t>فلو كان محتاجاً لما قدر على إيجاد العالم وتدبيره كالمخلوق</w:t>
      </w:r>
      <w:r w:rsidR="000636C2">
        <w:rPr>
          <w:rFonts w:hint="cs"/>
          <w:rtl/>
        </w:rPr>
        <w:t>،</w:t>
      </w:r>
      <w:r w:rsidRPr="005675B2">
        <w:rPr>
          <w:rFonts w:hint="cs"/>
          <w:rtl/>
        </w:rPr>
        <w:t>ولو كان محتاجاً إلى الجلوس والقرار فقبل خلق العرش أين كان الله تعالى</w:t>
      </w:r>
      <w:r w:rsidR="000636C2">
        <w:rPr>
          <w:rFonts w:hint="cs"/>
          <w:rtl/>
        </w:rPr>
        <w:t>؟</w:t>
      </w:r>
      <w:r w:rsidRPr="005675B2">
        <w:rPr>
          <w:rFonts w:hint="cs"/>
          <w:rtl/>
        </w:rPr>
        <w:t>فهو منزه عن ذلك علواً كبيراً</w:t>
      </w:r>
      <w:r w:rsidR="000636C2">
        <w:rPr>
          <w:rFonts w:hint="cs"/>
          <w:rtl/>
        </w:rPr>
        <w:t>،</w:t>
      </w:r>
      <w:r w:rsidRPr="005675B2">
        <w:rPr>
          <w:rFonts w:hint="cs"/>
          <w:rtl/>
        </w:rPr>
        <w:t xml:space="preserve"> انتهى بتمامه من شرح الفقه الأكبر</w:t>
      </w:r>
      <w:r w:rsidR="000636C2">
        <w:rPr>
          <w:rFonts w:hint="cs"/>
          <w:rtl/>
        </w:rPr>
        <w:t xml:space="preserve"> [</w:t>
      </w:r>
      <w:r w:rsidRPr="005675B2">
        <w:rPr>
          <w:rFonts w:hint="cs"/>
          <w:bCs/>
          <w:sz w:val="24"/>
          <w:szCs w:val="24"/>
          <w:rtl/>
        </w:rPr>
        <w:t>شرح الفقه الأكبر ص126</w:t>
      </w:r>
      <w:r w:rsidRPr="005675B2">
        <w:rPr>
          <w:rFonts w:hint="cs"/>
          <w:rtl/>
        </w:rPr>
        <w:t>]</w:t>
      </w:r>
      <w:r w:rsidR="000636C2">
        <w:rPr>
          <w:rFonts w:hint="cs"/>
          <w:rtl/>
        </w:rPr>
        <w:t>،</w:t>
      </w:r>
      <w:r w:rsidRPr="005675B2">
        <w:rPr>
          <w:rFonts w:hint="cs"/>
          <w:rtl/>
        </w:rPr>
        <w:t xml:space="preserve"> هذا هو الموجود يا أخي وهو لايفيد في كون الله حل في جهة</w:t>
      </w:r>
      <w:r w:rsidR="000636C2">
        <w:rPr>
          <w:rFonts w:hint="cs"/>
          <w:rtl/>
        </w:rPr>
        <w:t xml:space="preserve"> </w:t>
      </w:r>
      <w:r w:rsidRPr="005675B2">
        <w:rPr>
          <w:rFonts w:hint="cs"/>
          <w:rtl/>
        </w:rPr>
        <w:t>بل هو صريح في أن الله لا يتغير ولا يتبدل فقال الإمام</w:t>
      </w:r>
      <w:r w:rsidR="000636C2">
        <w:rPr>
          <w:rFonts w:hint="cs"/>
          <w:rtl/>
        </w:rPr>
        <w:t>:</w:t>
      </w:r>
      <w:r w:rsidRPr="005675B2">
        <w:rPr>
          <w:rFonts w:hint="cs"/>
          <w:rtl/>
        </w:rPr>
        <w:t xml:space="preserve"> فقبل خلق العرش أين كان الله</w:t>
      </w:r>
      <w:r w:rsidR="000636C2">
        <w:rPr>
          <w:rFonts w:hint="cs"/>
          <w:rtl/>
        </w:rPr>
        <w:t>؟!</w:t>
      </w:r>
      <w:r w:rsidRPr="005675B2">
        <w:rPr>
          <w:rFonts w:hint="cs"/>
          <w:rtl/>
        </w:rPr>
        <w:t>!</w:t>
      </w:r>
    </w:p>
    <w:p w14:paraId="3879D8BA" w14:textId="100827BB" w:rsidR="009C32A0" w:rsidRPr="005675B2" w:rsidRDefault="009C32A0" w:rsidP="000636C2">
      <w:pPr>
        <w:rPr>
          <w:b/>
          <w:rtl/>
        </w:rPr>
      </w:pPr>
      <w:r w:rsidRPr="005675B2">
        <w:rPr>
          <w:rFonts w:hint="cs"/>
          <w:rtl/>
        </w:rPr>
        <w:t>فالعلو - بارك الله بكم - صفة من صفات الله، ليس معناها الحلول في جهة السماءكما تقول الكرامية</w:t>
      </w:r>
      <w:r w:rsidR="000636C2">
        <w:rPr>
          <w:rFonts w:hint="cs"/>
          <w:rtl/>
        </w:rPr>
        <w:t>،</w:t>
      </w:r>
      <w:r w:rsidRPr="005675B2">
        <w:rPr>
          <w:rFonts w:hint="cs"/>
          <w:rtl/>
        </w:rPr>
        <w:t>ولا في الأرض كما تقول الجهمية</w:t>
      </w:r>
      <w:r w:rsidR="000636C2">
        <w:rPr>
          <w:rFonts w:hint="cs"/>
          <w:rtl/>
        </w:rPr>
        <w:t>،</w:t>
      </w:r>
      <w:r w:rsidRPr="005675B2">
        <w:rPr>
          <w:rFonts w:hint="cs"/>
          <w:rtl/>
        </w:rPr>
        <w:t xml:space="preserve"> وسيأتي مزيدإيضاح وافٍ عن صفة العلو الثابتة لله والرد على المخالفين</w:t>
      </w:r>
      <w:r w:rsidR="000636C2">
        <w:rPr>
          <w:rFonts w:hint="cs"/>
          <w:rtl/>
        </w:rPr>
        <w:t>،</w:t>
      </w:r>
    </w:p>
    <w:p w14:paraId="357C1A2F" w14:textId="170655D1" w:rsidR="009C32A0" w:rsidRPr="005675B2" w:rsidRDefault="009C32A0" w:rsidP="000636C2">
      <w:pPr>
        <w:rPr>
          <w:b/>
          <w:rtl/>
        </w:rPr>
      </w:pPr>
      <w:r w:rsidRPr="005675B2">
        <w:rPr>
          <w:rFonts w:hint="cs"/>
          <w:rtl/>
        </w:rPr>
        <w:t>الدعوى الثانية</w:t>
      </w:r>
      <w:r w:rsidR="000636C2">
        <w:rPr>
          <w:rFonts w:hint="cs"/>
          <w:rtl/>
        </w:rPr>
        <w:t>:</w:t>
      </w:r>
      <w:r w:rsidRPr="005675B2">
        <w:rPr>
          <w:rFonts w:hint="cs"/>
          <w:rtl/>
        </w:rPr>
        <w:t xml:space="preserve"> قولك ومعلوم أن الأشاعرة ينفون العلو وينكرون كونه</w:t>
      </w:r>
      <w:r w:rsidRPr="005675B2">
        <w:rPr>
          <w:rFonts w:hint="cs"/>
        </w:rPr>
        <w:t xml:space="preserve"> </w:t>
      </w:r>
      <w:r w:rsidRPr="005675B2">
        <w:rPr>
          <w:rFonts w:hint="cs"/>
          <w:rtl/>
        </w:rPr>
        <w:t>تعالى على</w:t>
      </w:r>
      <w:r w:rsidRPr="005675B2">
        <w:rPr>
          <w:rFonts w:hint="cs"/>
        </w:rPr>
        <w:t xml:space="preserve"> </w:t>
      </w:r>
      <w:r w:rsidRPr="005675B2">
        <w:rPr>
          <w:rFonts w:hint="cs"/>
          <w:rtl/>
        </w:rPr>
        <w:t>العرش</w:t>
      </w:r>
      <w:r w:rsidR="000636C2">
        <w:rPr>
          <w:rFonts w:hint="cs"/>
          <w:rtl/>
        </w:rPr>
        <w:t xml:space="preserve">، </w:t>
      </w:r>
      <w:r w:rsidRPr="005675B2">
        <w:rPr>
          <w:rFonts w:hint="cs"/>
          <w:rtl/>
        </w:rPr>
        <w:t>وهذا باطل فإن الأشاعرة لا ينكرون صفة العلو لله سبحانه وتعالى ولا ينكرون كون الله استوى على العرش كما أخبر لا كما يخطر في أوهام البشر</w:t>
      </w:r>
      <w:r w:rsidR="000636C2">
        <w:rPr>
          <w:rFonts w:hint="cs"/>
          <w:rtl/>
        </w:rPr>
        <w:t>،</w:t>
      </w:r>
      <w:r w:rsidRPr="005675B2">
        <w:rPr>
          <w:rFonts w:hint="cs"/>
          <w:rtl/>
        </w:rPr>
        <w:t xml:space="preserve"> وإنما الذي ينكره كل أهل السنة والجماعة أن الله حال في جهة أو مكان</w:t>
      </w:r>
      <w:r w:rsidR="000636C2">
        <w:rPr>
          <w:rFonts w:hint="cs"/>
          <w:u w:val="single"/>
          <w:rtl/>
        </w:rPr>
        <w:t>،</w:t>
      </w:r>
      <w:r w:rsidRPr="005675B2">
        <w:rPr>
          <w:rFonts w:hint="cs"/>
          <w:u w:val="single"/>
          <w:rtl/>
        </w:rPr>
        <w:t>وينكرون تفسيرالاستواء بالجلوس أو الاستقرار أو نحوها من النقائص التي لا تليق بالله تعالى</w:t>
      </w:r>
      <w:r w:rsidR="000636C2">
        <w:rPr>
          <w:rFonts w:hint="cs"/>
          <w:u w:val="single"/>
          <w:rtl/>
        </w:rPr>
        <w:t>،</w:t>
      </w:r>
      <w:r w:rsidRPr="005675B2">
        <w:rPr>
          <w:rFonts w:hint="cs"/>
          <w:u w:val="single"/>
          <w:rtl/>
        </w:rPr>
        <w:t>هذا الذي ينكره الأشاعرة وسائر أهل السنة</w:t>
      </w:r>
      <w:r w:rsidR="000636C2">
        <w:rPr>
          <w:rFonts w:hint="cs"/>
          <w:u w:val="single"/>
          <w:rtl/>
        </w:rPr>
        <w:t>،</w:t>
      </w:r>
      <w:r w:rsidRPr="005675B2">
        <w:rPr>
          <w:rFonts w:hint="cs"/>
          <w:u w:val="single"/>
          <w:rtl/>
        </w:rPr>
        <w:t>وإليك النقول الصريحة عن أئمة أهل السنة من الأشاعرة من المتقدمين منهم والمتأخرين ليعلم أن قول القائل فرق بين متقدمي الأشاعرة ومتأخرهم في العقيدة هو مغالطة متهورة</w:t>
      </w:r>
      <w:r w:rsidR="000636C2">
        <w:rPr>
          <w:rFonts w:hint="cs"/>
          <w:u w:val="single"/>
          <w:rtl/>
        </w:rPr>
        <w:t>:</w:t>
      </w:r>
    </w:p>
    <w:p w14:paraId="750542E8" w14:textId="35437BC6" w:rsidR="009C32A0" w:rsidRPr="005675B2" w:rsidRDefault="009C32A0" w:rsidP="000636C2">
      <w:pPr>
        <w:rPr>
          <w:bCs/>
          <w:rtl/>
        </w:rPr>
      </w:pPr>
      <w:r w:rsidRPr="005675B2">
        <w:rPr>
          <w:rFonts w:hint="cs"/>
          <w:bCs/>
          <w:rtl/>
        </w:rPr>
        <w:t>النقول الصريحة عن علماء الأشاعرة المتقدمين والمتأخرين في إثبات الاستواءوالعلو</w:t>
      </w:r>
      <w:r w:rsidR="000636C2">
        <w:rPr>
          <w:rFonts w:hint="cs"/>
          <w:bCs/>
          <w:rtl/>
        </w:rPr>
        <w:t>:</w:t>
      </w:r>
      <w:r w:rsidRPr="005675B2">
        <w:rPr>
          <w:rFonts w:hint="cs"/>
          <w:bCs/>
          <w:rtl/>
        </w:rPr>
        <w:t xml:space="preserve"> </w:t>
      </w:r>
    </w:p>
    <w:p w14:paraId="65E4A335" w14:textId="03C5A36E" w:rsidR="009C32A0" w:rsidRPr="005675B2" w:rsidRDefault="009C32A0" w:rsidP="000636C2">
      <w:pPr>
        <w:rPr>
          <w:b/>
          <w:u w:val="single"/>
          <w:rtl/>
        </w:rPr>
      </w:pPr>
      <w:r w:rsidRPr="005675B2">
        <w:rPr>
          <w:rFonts w:hint="cs"/>
          <w:u w:val="single"/>
          <w:rtl/>
        </w:rPr>
        <w:t>1</w:t>
      </w:r>
      <w:r w:rsidRPr="005675B2">
        <w:rPr>
          <w:rFonts w:hint="cs"/>
          <w:rtl/>
        </w:rPr>
        <w:t>ـ</w:t>
      </w:r>
      <w:r w:rsidR="000636C2">
        <w:rPr>
          <w:rFonts w:hint="cs"/>
          <w:rtl/>
        </w:rPr>
        <w:t xml:space="preserve"> </w:t>
      </w:r>
      <w:r w:rsidRPr="005675B2">
        <w:rPr>
          <w:rFonts w:hint="cs"/>
          <w:rtl/>
        </w:rPr>
        <w:t xml:space="preserve">- وقال إمام أهل السنة أبو الحسن الأشعري </w:t>
      </w:r>
      <w:r w:rsidR="000636C2">
        <w:rPr>
          <w:rFonts w:hint="cs"/>
          <w:rtl/>
        </w:rPr>
        <w:t>(</w:t>
      </w:r>
      <w:r w:rsidRPr="005675B2">
        <w:rPr>
          <w:rFonts w:hint="cs"/>
          <w:rtl/>
        </w:rPr>
        <w:t>324 ه</w:t>
      </w:r>
      <w:r w:rsidR="000636C2">
        <w:rPr>
          <w:rFonts w:hint="cs"/>
          <w:rtl/>
        </w:rPr>
        <w:t xml:space="preserve"> </w:t>
      </w:r>
      <w:r w:rsidRPr="005675B2">
        <w:rPr>
          <w:rFonts w:hint="cs"/>
          <w:rtl/>
        </w:rPr>
        <w:t>-</w:t>
      </w:r>
      <w:r w:rsidR="000636C2">
        <w:rPr>
          <w:rFonts w:hint="cs"/>
          <w:rtl/>
        </w:rPr>
        <w:t>)</w:t>
      </w:r>
      <w:r w:rsidRPr="005675B2">
        <w:rPr>
          <w:rFonts w:hint="cs"/>
          <w:rtl/>
        </w:rPr>
        <w:t xml:space="preserve"> رضي الله عنه ما نصه</w:t>
      </w:r>
      <w:r w:rsidR="000636C2">
        <w:rPr>
          <w:rFonts w:hint="cs"/>
          <w:rtl/>
        </w:rPr>
        <w:t>:</w:t>
      </w:r>
      <w:r w:rsidRPr="005675B2">
        <w:rPr>
          <w:rFonts w:hint="cs"/>
          <w:rtl/>
        </w:rPr>
        <w:t xml:space="preserve"> " كان الله</w:t>
      </w:r>
      <w:r w:rsidRPr="005675B2">
        <w:rPr>
          <w:rFonts w:hint="cs"/>
        </w:rPr>
        <w:t xml:space="preserve"> </w:t>
      </w:r>
      <w:r w:rsidRPr="005675B2">
        <w:rPr>
          <w:rFonts w:hint="cs"/>
          <w:rtl/>
        </w:rPr>
        <w:t>ولا مكان فخلق العرش والكرسي ولم يحتج إلى مكان، وهو بعد خلق المكان كما كان قبل</w:t>
      </w:r>
      <w:r w:rsidRPr="005675B2">
        <w:rPr>
          <w:rFonts w:hint="cs"/>
        </w:rPr>
        <w:t xml:space="preserve"> </w:t>
      </w:r>
      <w:r w:rsidRPr="005675B2">
        <w:rPr>
          <w:rFonts w:hint="cs"/>
          <w:rtl/>
        </w:rPr>
        <w:t>خلقه " أهـ نقله الحافظ ابن</w:t>
      </w:r>
      <w:r w:rsidRPr="005675B2">
        <w:rPr>
          <w:rFonts w:hint="cs"/>
        </w:rPr>
        <w:t xml:space="preserve"> </w:t>
      </w:r>
      <w:r w:rsidRPr="005675B2">
        <w:rPr>
          <w:rFonts w:hint="cs"/>
          <w:rtl/>
        </w:rPr>
        <w:t>عساكر نقلا عن القاضي أبي المعالي الجويني</w:t>
      </w:r>
      <w:r w:rsidR="000636C2">
        <w:rPr>
          <w:rFonts w:hint="cs"/>
          <w:rtl/>
        </w:rPr>
        <w:t>،</w:t>
      </w:r>
      <w:r w:rsidRPr="005675B2">
        <w:rPr>
          <w:rFonts w:hint="cs"/>
          <w:rtl/>
        </w:rPr>
        <w:t xml:space="preserve"> </w:t>
      </w:r>
      <w:r w:rsidR="000636C2">
        <w:rPr>
          <w:rFonts w:hint="cs"/>
          <w:u w:val="single"/>
          <w:rtl/>
        </w:rPr>
        <w:t>[</w:t>
      </w:r>
      <w:r w:rsidRPr="005675B2">
        <w:rPr>
          <w:rFonts w:hint="cs"/>
          <w:bCs/>
          <w:sz w:val="24"/>
          <w:szCs w:val="24"/>
          <w:rtl/>
        </w:rPr>
        <w:t>تبيين كذب المفتري ص150</w:t>
      </w:r>
      <w:r w:rsidRPr="005675B2">
        <w:rPr>
          <w:rFonts w:hint="cs"/>
          <w:u w:val="single"/>
          <w:rtl/>
        </w:rPr>
        <w:t>]</w:t>
      </w:r>
    </w:p>
    <w:p w14:paraId="0F561BDF" w14:textId="26BF4A0D" w:rsidR="009C32A0" w:rsidRPr="005675B2" w:rsidRDefault="009C32A0" w:rsidP="000636C2">
      <w:pPr>
        <w:rPr>
          <w:b/>
          <w:u w:val="single"/>
          <w:rtl/>
        </w:rPr>
      </w:pPr>
      <w:r w:rsidRPr="005675B2">
        <w:rPr>
          <w:rFonts w:hint="cs"/>
          <w:u w:val="single"/>
          <w:rtl/>
        </w:rPr>
        <w:t>2</w:t>
      </w:r>
      <w:r w:rsidR="000636C2">
        <w:rPr>
          <w:rFonts w:hint="cs"/>
          <w:u w:val="single"/>
          <w:rtl/>
        </w:rPr>
        <w:t xml:space="preserve"> </w:t>
      </w:r>
      <w:r w:rsidRPr="005675B2">
        <w:rPr>
          <w:rFonts w:hint="cs"/>
          <w:u w:val="single"/>
          <w:rtl/>
        </w:rPr>
        <w:t>- وقال</w:t>
      </w:r>
      <w:r w:rsidR="000636C2">
        <w:rPr>
          <w:rFonts w:hint="cs"/>
          <w:u w:val="single"/>
          <w:rtl/>
        </w:rPr>
        <w:t xml:space="preserve"> </w:t>
      </w:r>
      <w:r w:rsidRPr="005675B2">
        <w:rPr>
          <w:rFonts w:hint="cs"/>
          <w:rtl/>
        </w:rPr>
        <w:t>القاضي أبي بكر بن الباقلاني</w:t>
      </w:r>
      <w:r w:rsidR="000636C2">
        <w:rPr>
          <w:rFonts w:hint="cs"/>
          <w:u w:val="single"/>
          <w:rtl/>
        </w:rPr>
        <w:t xml:space="preserve">: </w:t>
      </w:r>
      <w:r w:rsidRPr="005675B2">
        <w:rPr>
          <w:rFonts w:hint="cs"/>
          <w:u w:val="single"/>
          <w:rtl/>
        </w:rPr>
        <w:t>وأن الله تعالى مستو على العرش ومستول على جميع خلقه كما قال تعالى (</w:t>
      </w:r>
      <w:r w:rsidR="000636C2">
        <w:rPr>
          <w:rFonts w:hint="cs"/>
          <w:u w:val="single"/>
          <w:rtl/>
        </w:rPr>
        <w:t>(</w:t>
      </w:r>
      <w:r w:rsidRPr="005675B2">
        <w:rPr>
          <w:rFonts w:hint="cs"/>
          <w:u w:val="single"/>
          <w:rtl/>
        </w:rPr>
        <w:t>الرحمن على العرش استوى</w:t>
      </w:r>
      <w:r w:rsidR="000636C2">
        <w:rPr>
          <w:rFonts w:hint="cs"/>
          <w:u w:val="single"/>
          <w:rtl/>
        </w:rPr>
        <w:t>)</w:t>
      </w:r>
      <w:r w:rsidRPr="005675B2">
        <w:rPr>
          <w:rFonts w:hint="cs"/>
          <w:u w:val="single"/>
          <w:rtl/>
        </w:rPr>
        <w:t>) بغير مماسة ولا كيفية ولا مجاورة وأنه في السماء إله وفي الأرض إله كما أخبر بذلك</w:t>
      </w:r>
      <w:r w:rsidR="000636C2">
        <w:rPr>
          <w:rFonts w:hint="cs"/>
          <w:u w:val="single"/>
          <w:rtl/>
        </w:rPr>
        <w:t>،</w:t>
      </w:r>
      <w:r w:rsidRPr="005675B2">
        <w:rPr>
          <w:rFonts w:hint="cs"/>
          <w:u w:val="single"/>
          <w:rtl/>
        </w:rPr>
        <w:t xml:space="preserve"> [</w:t>
      </w:r>
      <w:r w:rsidRPr="005675B2">
        <w:rPr>
          <w:rFonts w:hint="cs"/>
          <w:bCs/>
          <w:sz w:val="24"/>
          <w:szCs w:val="24"/>
          <w:rtl/>
        </w:rPr>
        <w:t>كتابه الإنصاف ص36</w:t>
      </w:r>
      <w:r w:rsidRPr="005675B2">
        <w:rPr>
          <w:rFonts w:hint="cs"/>
          <w:u w:val="single"/>
          <w:rtl/>
        </w:rPr>
        <w:t>]</w:t>
      </w:r>
    </w:p>
    <w:p w14:paraId="7577F7E6" w14:textId="20E9247D"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xml:space="preserve">- وقال اللغوي الزجاج أحد مشاهير اللغويين </w:t>
      </w:r>
      <w:r w:rsidR="000636C2">
        <w:rPr>
          <w:rFonts w:hint="cs"/>
          <w:rtl/>
        </w:rPr>
        <w:t>(</w:t>
      </w:r>
      <w:r w:rsidRPr="005675B2">
        <w:rPr>
          <w:rFonts w:hint="cs"/>
          <w:rtl/>
        </w:rPr>
        <w:t>311 ه</w:t>
      </w:r>
      <w:r w:rsidR="000636C2">
        <w:rPr>
          <w:rFonts w:hint="cs"/>
          <w:rtl/>
        </w:rPr>
        <w:t xml:space="preserve"> </w:t>
      </w:r>
      <w:r w:rsidRPr="005675B2">
        <w:rPr>
          <w:rFonts w:hint="cs"/>
          <w:rtl/>
        </w:rPr>
        <w:t>-</w:t>
      </w:r>
      <w:r w:rsidR="000636C2">
        <w:rPr>
          <w:rFonts w:hint="cs"/>
          <w:rtl/>
        </w:rPr>
        <w:t>)</w:t>
      </w:r>
      <w:r w:rsidRPr="005675B2">
        <w:rPr>
          <w:rFonts w:hint="cs"/>
          <w:rtl/>
        </w:rPr>
        <w:t xml:space="preserve"> ما نصه</w:t>
      </w:r>
      <w:r w:rsidR="000636C2">
        <w:rPr>
          <w:rFonts w:hint="cs"/>
          <w:rtl/>
        </w:rPr>
        <w:t>:</w:t>
      </w:r>
      <w:r w:rsidRPr="005675B2">
        <w:rPr>
          <w:rFonts w:hint="cs"/>
          <w:rtl/>
        </w:rPr>
        <w:t xml:space="preserve"> العلي</w:t>
      </w:r>
      <w:r w:rsidR="000636C2">
        <w:rPr>
          <w:rFonts w:hint="cs"/>
          <w:rtl/>
        </w:rPr>
        <w:t>:</w:t>
      </w:r>
      <w:r w:rsidRPr="005675B2">
        <w:rPr>
          <w:rFonts w:hint="cs"/>
        </w:rPr>
        <w:t xml:space="preserve"> </w:t>
      </w:r>
      <w:r w:rsidRPr="005675B2">
        <w:rPr>
          <w:rFonts w:hint="cs"/>
          <w:rtl/>
        </w:rPr>
        <w:t>هو فعيل في معنى فاعل، فالله تعالى عال على خلقه وهو عليٌّ عليهم بقدرته، ولا يجب</w:t>
      </w:r>
      <w:r w:rsidRPr="005675B2">
        <w:rPr>
          <w:rFonts w:hint="cs"/>
        </w:rPr>
        <w:t xml:space="preserve"> </w:t>
      </w:r>
      <w:r w:rsidRPr="005675B2">
        <w:rPr>
          <w:rFonts w:hint="cs"/>
          <w:rtl/>
        </w:rPr>
        <w:t>أن يذهب بالعلو ارتفاع مكاني، إذ قد بينا أن ذلك لا يجوز في صفاته تقدست، ولا يجوز</w:t>
      </w:r>
      <w:r w:rsidRPr="005675B2">
        <w:rPr>
          <w:rFonts w:hint="cs"/>
        </w:rPr>
        <w:t xml:space="preserve"> </w:t>
      </w:r>
      <w:r w:rsidRPr="005675B2">
        <w:rPr>
          <w:rFonts w:hint="cs"/>
          <w:rtl/>
        </w:rPr>
        <w:t>أن يكون على أن يتصور بذهن، تعالى الله عن ذلك علوا كبيرا" أهـ</w:t>
      </w:r>
      <w:r w:rsidR="000636C2">
        <w:rPr>
          <w:rFonts w:hint="cs"/>
          <w:rtl/>
        </w:rPr>
        <w:t>،</w:t>
      </w:r>
      <w:r w:rsidRPr="005675B2">
        <w:rPr>
          <w:rFonts w:hint="cs"/>
          <w:rtl/>
        </w:rPr>
        <w:t xml:space="preserve"> [</w:t>
      </w:r>
      <w:r w:rsidRPr="005675B2">
        <w:rPr>
          <w:rFonts w:hint="cs"/>
          <w:bCs/>
          <w:sz w:val="24"/>
          <w:szCs w:val="24"/>
          <w:rtl/>
        </w:rPr>
        <w:t>.</w:t>
      </w:r>
      <w:r w:rsidR="000636C2">
        <w:rPr>
          <w:rFonts w:hint="cs"/>
          <w:bCs/>
          <w:sz w:val="24"/>
          <w:szCs w:val="24"/>
          <w:rtl/>
        </w:rPr>
        <w:t>(</w:t>
      </w:r>
      <w:r w:rsidRPr="005675B2">
        <w:rPr>
          <w:rFonts w:hint="cs"/>
          <w:bCs/>
          <w:sz w:val="24"/>
          <w:szCs w:val="24"/>
          <w:rtl/>
        </w:rPr>
        <w:t>تفسير اسماء الله</w:t>
      </w:r>
      <w:r w:rsidRPr="005675B2">
        <w:rPr>
          <w:rFonts w:hint="cs"/>
          <w:bCs/>
          <w:sz w:val="24"/>
          <w:szCs w:val="24"/>
        </w:rPr>
        <w:t xml:space="preserve"> </w:t>
      </w:r>
      <w:r w:rsidRPr="005675B2">
        <w:rPr>
          <w:rFonts w:hint="cs"/>
          <w:bCs/>
          <w:sz w:val="24"/>
          <w:szCs w:val="24"/>
          <w:rtl/>
        </w:rPr>
        <w:t>الحسنى</w:t>
      </w:r>
      <w:r w:rsidRPr="005675B2">
        <w:rPr>
          <w:bCs/>
          <w:sz w:val="24"/>
          <w:szCs w:val="24"/>
        </w:rPr>
        <w:t xml:space="preserve"> (</w:t>
      </w:r>
      <w:r w:rsidRPr="005675B2">
        <w:rPr>
          <w:rFonts w:hint="cs"/>
          <w:bCs/>
          <w:sz w:val="24"/>
          <w:szCs w:val="24"/>
          <w:rtl/>
        </w:rPr>
        <w:t>ص/48</w:t>
      </w:r>
      <w:r w:rsidRPr="005675B2">
        <w:rPr>
          <w:rFonts w:hint="cs"/>
          <w:rtl/>
        </w:rPr>
        <w:t>]</w:t>
      </w:r>
    </w:p>
    <w:p w14:paraId="166E341C" w14:textId="53C3DEA7" w:rsidR="009C32A0" w:rsidRPr="005675B2" w:rsidRDefault="009C32A0" w:rsidP="000636C2">
      <w:pPr>
        <w:rPr>
          <w:rtl/>
        </w:rPr>
      </w:pPr>
      <w:r w:rsidRPr="005675B2">
        <w:rPr>
          <w:rFonts w:hint="cs"/>
          <w:rtl/>
        </w:rPr>
        <w:t>4</w:t>
      </w:r>
      <w:r w:rsidR="000636C2">
        <w:rPr>
          <w:rFonts w:hint="cs"/>
          <w:rtl/>
        </w:rPr>
        <w:t xml:space="preserve"> </w:t>
      </w:r>
      <w:r w:rsidRPr="005675B2">
        <w:rPr>
          <w:rFonts w:hint="cs"/>
          <w:rtl/>
        </w:rPr>
        <w:t>- قال الإمام</w:t>
      </w:r>
      <w:r w:rsidR="000636C2">
        <w:rPr>
          <w:rFonts w:hint="cs"/>
          <w:rtl/>
        </w:rPr>
        <w:t xml:space="preserve"> </w:t>
      </w:r>
      <w:r w:rsidRPr="005675B2">
        <w:rPr>
          <w:rFonts w:hint="cs"/>
          <w:rtl/>
        </w:rPr>
        <w:t>ابن بطال المالكي</w:t>
      </w:r>
      <w:r w:rsidR="000636C2">
        <w:rPr>
          <w:rFonts w:hint="cs"/>
          <w:rtl/>
        </w:rPr>
        <w:t xml:space="preserve"> </w:t>
      </w:r>
      <w:r w:rsidRPr="005675B2">
        <w:rPr>
          <w:rFonts w:hint="cs"/>
          <w:rtl/>
        </w:rPr>
        <w:t xml:space="preserve">أحد شراح البخاري </w:t>
      </w:r>
      <w:r w:rsidR="000636C2">
        <w:rPr>
          <w:rFonts w:hint="cs"/>
          <w:rtl/>
        </w:rPr>
        <w:t>(</w:t>
      </w:r>
      <w:r w:rsidRPr="005675B2">
        <w:rPr>
          <w:rFonts w:hint="cs"/>
          <w:rtl/>
        </w:rPr>
        <w:t>449ه</w:t>
      </w:r>
      <w:r w:rsidR="000636C2">
        <w:rPr>
          <w:rFonts w:hint="cs"/>
          <w:rtl/>
        </w:rPr>
        <w:t xml:space="preserve"> </w:t>
      </w:r>
      <w:r w:rsidRPr="005675B2">
        <w:rPr>
          <w:rFonts w:hint="cs"/>
          <w:rtl/>
        </w:rPr>
        <w:t>-</w:t>
      </w:r>
      <w:r w:rsidR="000636C2">
        <w:rPr>
          <w:rFonts w:hint="cs"/>
          <w:rtl/>
        </w:rPr>
        <w:t>)</w:t>
      </w:r>
      <w:r w:rsidRPr="005675B2">
        <w:rPr>
          <w:rFonts w:hint="cs"/>
          <w:rtl/>
        </w:rPr>
        <w:t xml:space="preserve"> ما نصه</w:t>
      </w:r>
      <w:r w:rsidR="000636C2">
        <w:rPr>
          <w:rFonts w:hint="cs"/>
          <w:rtl/>
        </w:rPr>
        <w:t>:</w:t>
      </w:r>
      <w:r w:rsidRPr="005675B2">
        <w:rPr>
          <w:rFonts w:hint="cs"/>
          <w:rtl/>
        </w:rPr>
        <w:t xml:space="preserve"> "غرض البخاري في هذا الباب الرد على</w:t>
      </w:r>
      <w:r w:rsidRPr="005675B2">
        <w:rPr>
          <w:rFonts w:hint="cs"/>
        </w:rPr>
        <w:t xml:space="preserve"> </w:t>
      </w:r>
      <w:r w:rsidRPr="005675B2">
        <w:rPr>
          <w:rFonts w:hint="cs"/>
          <w:rtl/>
        </w:rPr>
        <w:t xml:space="preserve">الجهمية المجسمة في تعلقها بهذه الظواهر، وقد تقرر أن الله ليس بجسم </w:t>
      </w:r>
      <w:r w:rsidRPr="005675B2">
        <w:rPr>
          <w:rFonts w:hint="cs"/>
          <w:u w:val="single"/>
          <w:rtl/>
        </w:rPr>
        <w:t>فلا يحتاج إلى</w:t>
      </w:r>
      <w:r w:rsidRPr="005675B2">
        <w:rPr>
          <w:rFonts w:hint="cs"/>
          <w:u w:val="single"/>
        </w:rPr>
        <w:t xml:space="preserve"> </w:t>
      </w:r>
      <w:r w:rsidRPr="005675B2">
        <w:rPr>
          <w:rFonts w:hint="cs"/>
          <w:u w:val="single"/>
          <w:rtl/>
        </w:rPr>
        <w:t>مكان</w:t>
      </w:r>
      <w:r w:rsidRPr="005675B2">
        <w:rPr>
          <w:rFonts w:hint="cs"/>
          <w:rtl/>
        </w:rPr>
        <w:t xml:space="preserve"> يستقر فيه، فقد كان ولا مكان، </w:t>
      </w:r>
      <w:r w:rsidRPr="005675B2">
        <w:rPr>
          <w:rFonts w:hint="cs"/>
          <w:u w:val="single"/>
          <w:rtl/>
        </w:rPr>
        <w:t>وانما أضاف المعارج اليه إضافة تشريف، ومعنى</w:t>
      </w:r>
      <w:r w:rsidRPr="005675B2">
        <w:rPr>
          <w:rFonts w:hint="cs"/>
          <w:u w:val="single"/>
        </w:rPr>
        <w:t xml:space="preserve"> </w:t>
      </w:r>
      <w:r w:rsidRPr="005675B2">
        <w:rPr>
          <w:rFonts w:hint="cs"/>
          <w:u w:val="single"/>
          <w:rtl/>
        </w:rPr>
        <w:t>الارتفاع إليه اعتلاؤه - أي تعاليه - مع تنزيهه عن المكان " أهـ</w:t>
      </w:r>
      <w:r w:rsidR="000636C2">
        <w:rPr>
          <w:rFonts w:hint="cs"/>
          <w:u w:val="single"/>
          <w:rtl/>
        </w:rPr>
        <w:t>،</w:t>
      </w:r>
      <w:r w:rsidRPr="005675B2">
        <w:rPr>
          <w:rFonts w:hint="cs"/>
          <w:u w:val="single"/>
          <w:rtl/>
        </w:rPr>
        <w:t xml:space="preserve"> [</w:t>
      </w:r>
      <w:r w:rsidRPr="005675B2">
        <w:rPr>
          <w:rFonts w:hint="cs"/>
          <w:bCs/>
          <w:sz w:val="24"/>
          <w:szCs w:val="24"/>
          <w:rtl/>
        </w:rPr>
        <w:t>فتح الباري</w:t>
      </w:r>
      <w:r w:rsidRPr="005675B2">
        <w:rPr>
          <w:rFonts w:hint="cs"/>
          <w:bCs/>
          <w:sz w:val="24"/>
          <w:szCs w:val="24"/>
        </w:rPr>
        <w:t xml:space="preserve"> </w:t>
      </w:r>
      <w:r w:rsidRPr="005675B2">
        <w:rPr>
          <w:rFonts w:hint="cs"/>
          <w:bCs/>
          <w:sz w:val="24"/>
          <w:szCs w:val="24"/>
          <w:rtl/>
        </w:rPr>
        <w:t>13/416]</w:t>
      </w:r>
      <w:r w:rsidR="000636C2">
        <w:rPr>
          <w:rFonts w:hint="cs"/>
          <w:rtl/>
        </w:rPr>
        <w:t>،</w:t>
      </w:r>
      <w:r w:rsidRPr="005675B2">
        <w:rPr>
          <w:rFonts w:hint="cs"/>
          <w:rtl/>
        </w:rPr>
        <w:t xml:space="preserve"> </w:t>
      </w:r>
    </w:p>
    <w:p w14:paraId="1CD1CBE6" w14:textId="7F142765" w:rsidR="009C32A0" w:rsidRPr="005675B2" w:rsidRDefault="009C32A0" w:rsidP="000636C2">
      <w:pPr>
        <w:rPr>
          <w:rtl/>
        </w:rPr>
      </w:pPr>
      <w:r w:rsidRPr="005675B2">
        <w:rPr>
          <w:rFonts w:hint="cs"/>
          <w:rtl/>
        </w:rPr>
        <w:t>5</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وقال الشيخ ابن المنيِّر المالكي </w:t>
      </w:r>
      <w:r w:rsidR="000636C2">
        <w:rPr>
          <w:rFonts w:hint="cs"/>
          <w:rtl/>
        </w:rPr>
        <w:t>(</w:t>
      </w:r>
      <w:r w:rsidRPr="005675B2">
        <w:rPr>
          <w:rFonts w:hint="cs"/>
          <w:rtl/>
        </w:rPr>
        <w:t>695 ه</w:t>
      </w:r>
      <w:r w:rsidR="000636C2">
        <w:rPr>
          <w:rFonts w:hint="cs"/>
          <w:rtl/>
        </w:rPr>
        <w:t xml:space="preserve"> </w:t>
      </w:r>
      <w:r w:rsidRPr="005675B2">
        <w:rPr>
          <w:rFonts w:hint="cs"/>
          <w:rtl/>
        </w:rPr>
        <w:t>-</w:t>
      </w:r>
      <w:r w:rsidR="000636C2">
        <w:rPr>
          <w:rFonts w:hint="cs"/>
          <w:rtl/>
        </w:rPr>
        <w:t>)</w:t>
      </w:r>
      <w:r w:rsidRPr="005675B2">
        <w:rPr>
          <w:rFonts w:hint="cs"/>
          <w:rtl/>
        </w:rPr>
        <w:t xml:space="preserve"> ما نصه</w:t>
      </w:r>
      <w:r w:rsidR="000636C2">
        <w:rPr>
          <w:rFonts w:hint="cs"/>
          <w:rtl/>
        </w:rPr>
        <w:t>:</w:t>
      </w:r>
      <w:r w:rsidRPr="005675B2">
        <w:rPr>
          <w:rFonts w:hint="cs"/>
          <w:rtl/>
        </w:rPr>
        <w:t>"جميع</w:t>
      </w:r>
      <w:r w:rsidRPr="005675B2">
        <w:rPr>
          <w:rFonts w:hint="cs"/>
        </w:rPr>
        <w:t xml:space="preserve"> </w:t>
      </w:r>
      <w:r w:rsidRPr="005675B2">
        <w:rPr>
          <w:rFonts w:hint="cs"/>
          <w:rtl/>
        </w:rPr>
        <w:t>الأحاديث في هذه الترجمة مطابقة لها إلا حديث ابن عباس فليس فيه إلا قوله "رب</w:t>
      </w:r>
      <w:r w:rsidRPr="005675B2">
        <w:rPr>
          <w:rFonts w:hint="cs"/>
        </w:rPr>
        <w:t xml:space="preserve"> </w:t>
      </w:r>
      <w:r w:rsidRPr="005675B2">
        <w:rPr>
          <w:rFonts w:hint="cs"/>
          <w:rtl/>
        </w:rPr>
        <w:t>العرش" ومطابقته، والله أعلم من جهة أنه نبه على بطلان قول من أثبت الجهة أخذا من</w:t>
      </w:r>
      <w:r w:rsidRPr="005675B2">
        <w:rPr>
          <w:rFonts w:hint="cs"/>
        </w:rPr>
        <w:t xml:space="preserve"> </w:t>
      </w:r>
      <w:r w:rsidRPr="005675B2">
        <w:rPr>
          <w:rFonts w:hint="cs"/>
          <w:rtl/>
        </w:rPr>
        <w:t xml:space="preserve">قوله </w:t>
      </w:r>
      <w:r w:rsidR="000636C2">
        <w:rPr>
          <w:rFonts w:hint="cs"/>
          <w:rtl/>
        </w:rPr>
        <w:t>(</w:t>
      </w:r>
      <w:r w:rsidRPr="005675B2">
        <w:rPr>
          <w:rFonts w:hint="cs"/>
          <w:rtl/>
        </w:rPr>
        <w:t>ذِى المَعَارِجِ</w:t>
      </w:r>
      <w:r w:rsidR="000636C2">
        <w:rPr>
          <w:rFonts w:hint="cs"/>
          <w:rtl/>
        </w:rPr>
        <w:t>)</w:t>
      </w:r>
      <w:r w:rsidRPr="005675B2">
        <w:rPr>
          <w:rFonts w:hint="cs"/>
          <w:rtl/>
        </w:rPr>
        <w:t xml:space="preserve"> </w:t>
      </w:r>
      <w:r w:rsidR="000636C2">
        <w:rPr>
          <w:rFonts w:hint="cs"/>
          <w:rtl/>
        </w:rPr>
        <w:t>(</w:t>
      </w:r>
      <w:r w:rsidRPr="005675B2">
        <w:rPr>
          <w:rFonts w:hint="cs"/>
          <w:rtl/>
        </w:rPr>
        <w:t>سورة المعارج/3</w:t>
      </w:r>
      <w:r w:rsidR="000636C2">
        <w:rPr>
          <w:rFonts w:hint="cs"/>
          <w:rtl/>
        </w:rPr>
        <w:t>)،</w:t>
      </w:r>
      <w:r w:rsidRPr="005675B2">
        <w:rPr>
          <w:rFonts w:hint="cs"/>
          <w:rtl/>
        </w:rPr>
        <w:t xml:space="preserve"> ففهم أن العلو الفوقي مضاف إلى الله</w:t>
      </w:r>
      <w:r w:rsidRPr="005675B2">
        <w:rPr>
          <w:rFonts w:hint="cs"/>
        </w:rPr>
        <w:t xml:space="preserve"> </w:t>
      </w:r>
      <w:r w:rsidRPr="005675B2">
        <w:rPr>
          <w:rFonts w:hint="cs"/>
          <w:rtl/>
        </w:rPr>
        <w:t>تعالى، فبيَّن المصنف - يعني البخاري - أن الجهة التي يصدق عليها أنها سماء والجهة</w:t>
      </w:r>
      <w:r w:rsidRPr="005675B2">
        <w:rPr>
          <w:rFonts w:hint="cs"/>
        </w:rPr>
        <w:t xml:space="preserve"> </w:t>
      </w:r>
      <w:r w:rsidRPr="005675B2">
        <w:rPr>
          <w:rFonts w:hint="cs"/>
          <w:rtl/>
        </w:rPr>
        <w:t>التي يصدق عليها أنها عرش، كل منهما مخلوق مربوب محدث، وقد كان الله قبل ذلك وغيره،</w:t>
      </w:r>
      <w:r w:rsidRPr="005675B2">
        <w:rPr>
          <w:rFonts w:hint="cs"/>
        </w:rPr>
        <w:t xml:space="preserve"> </w:t>
      </w:r>
      <w:r w:rsidRPr="005675B2">
        <w:rPr>
          <w:rFonts w:hint="cs"/>
          <w:rtl/>
        </w:rPr>
        <w:t>فحدثت هذه الأمكنة، وقدمه يحيل وصفه بالتحيز فيها" اهـ، نقله عنه الحافظ ابن حجر</w:t>
      </w:r>
      <w:r w:rsidRPr="005675B2">
        <w:rPr>
          <w:rFonts w:hint="cs"/>
        </w:rPr>
        <w:t xml:space="preserve"> </w:t>
      </w:r>
      <w:r w:rsidRPr="005675B2">
        <w:rPr>
          <w:rFonts w:hint="cs"/>
          <w:rtl/>
        </w:rPr>
        <w:t>وأقره عليه</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فتح الباري (13/ 418- 419]</w:t>
      </w:r>
      <w:r w:rsidR="000636C2">
        <w:rPr>
          <w:rFonts w:hint="cs"/>
          <w:rtl/>
        </w:rPr>
        <w:t>،</w:t>
      </w:r>
      <w:r w:rsidRPr="005675B2">
        <w:rPr>
          <w:rFonts w:hint="cs"/>
          <w:rtl/>
        </w:rPr>
        <w:t xml:space="preserve"> </w:t>
      </w:r>
    </w:p>
    <w:p w14:paraId="3787F319" w14:textId="3D09D73A" w:rsidR="009C32A0" w:rsidRPr="005675B2" w:rsidRDefault="009C32A0" w:rsidP="000636C2">
      <w:pPr>
        <w:rPr>
          <w:b/>
          <w:rtl/>
        </w:rPr>
      </w:pPr>
      <w:r w:rsidRPr="005675B2">
        <w:rPr>
          <w:rFonts w:hint="cs"/>
          <w:rtl/>
        </w:rPr>
        <w:t>6</w:t>
      </w:r>
      <w:r w:rsidR="000636C2">
        <w:rPr>
          <w:rFonts w:hint="cs"/>
          <w:rtl/>
        </w:rPr>
        <w:t xml:space="preserve"> </w:t>
      </w:r>
      <w:r w:rsidRPr="005675B2">
        <w:rPr>
          <w:rFonts w:hint="cs"/>
          <w:rtl/>
        </w:rPr>
        <w:t>-</w:t>
      </w:r>
      <w:r w:rsidR="000636C2">
        <w:rPr>
          <w:rFonts w:hint="cs"/>
          <w:rtl/>
        </w:rPr>
        <w:t xml:space="preserve"> </w:t>
      </w:r>
      <w:r w:rsidRPr="005675B2">
        <w:rPr>
          <w:rFonts w:hint="cs"/>
          <w:rtl/>
        </w:rPr>
        <w:t>وقال الفقيه الإمام الشيخ أبو إسحاق الشيرازي</w:t>
      </w:r>
      <w:r w:rsidR="000636C2">
        <w:rPr>
          <w:rFonts w:hint="cs"/>
          <w:rtl/>
        </w:rPr>
        <w:t xml:space="preserve"> (</w:t>
      </w:r>
      <w:r w:rsidRPr="005675B2">
        <w:rPr>
          <w:rFonts w:hint="cs"/>
          <w:rtl/>
        </w:rPr>
        <w:t>476 ه</w:t>
      </w:r>
      <w:r w:rsidR="000636C2">
        <w:rPr>
          <w:rFonts w:hint="cs"/>
          <w:rtl/>
        </w:rPr>
        <w:t xml:space="preserve"> </w:t>
      </w:r>
      <w:r w:rsidRPr="005675B2">
        <w:rPr>
          <w:rFonts w:hint="cs"/>
          <w:rtl/>
        </w:rPr>
        <w:t>-</w:t>
      </w:r>
      <w:r w:rsidR="000636C2">
        <w:rPr>
          <w:rFonts w:hint="cs"/>
          <w:rtl/>
        </w:rPr>
        <w:t>)</w:t>
      </w:r>
      <w:r w:rsidRPr="005675B2">
        <w:rPr>
          <w:rFonts w:hint="cs"/>
          <w:rtl/>
        </w:rPr>
        <w:t xml:space="preserve"> في عقيدته</w:t>
      </w:r>
      <w:r w:rsidRPr="005675B2">
        <w:rPr>
          <w:rFonts w:hint="cs"/>
        </w:rPr>
        <w:t xml:space="preserve"> </w:t>
      </w:r>
      <w:r w:rsidRPr="005675B2">
        <w:rPr>
          <w:rFonts w:hint="cs"/>
          <w:rtl/>
        </w:rPr>
        <w:t xml:space="preserve">ما نصه </w:t>
      </w:r>
      <w:r w:rsidR="000636C2">
        <w:rPr>
          <w:rFonts w:hint="cs"/>
          <w:rtl/>
        </w:rPr>
        <w:t>(</w:t>
      </w:r>
      <w:r w:rsidRPr="005675B2">
        <w:rPr>
          <w:rFonts w:hint="cs"/>
          <w:rtl/>
        </w:rPr>
        <w:t>20</w:t>
      </w:r>
      <w:r w:rsidR="000636C2">
        <w:rPr>
          <w:rFonts w:hint="cs"/>
          <w:rtl/>
        </w:rPr>
        <w:t>):</w:t>
      </w:r>
      <w:r w:rsidRPr="005675B2">
        <w:rPr>
          <w:rFonts w:hint="cs"/>
          <w:rtl/>
        </w:rPr>
        <w:t xml:space="preserve"> "وان استواءه ليس باستقرار ولا ملاصقة لأن الاستقرار والملاصقة صفة</w:t>
      </w:r>
      <w:r w:rsidRPr="005675B2">
        <w:rPr>
          <w:rFonts w:hint="cs"/>
        </w:rPr>
        <w:t xml:space="preserve"> </w:t>
      </w:r>
      <w:r w:rsidRPr="005675B2">
        <w:rPr>
          <w:rFonts w:hint="cs"/>
          <w:rtl/>
        </w:rPr>
        <w:t>الأجسام المخلوقة، والرب عز وجل قديم أزلي، فدل على أنه كان ولا مكان ثم خلق المكان</w:t>
      </w:r>
      <w:r w:rsidRPr="005675B2">
        <w:rPr>
          <w:rFonts w:hint="cs"/>
        </w:rPr>
        <w:t xml:space="preserve"> </w:t>
      </w:r>
      <w:r w:rsidRPr="005675B2">
        <w:rPr>
          <w:rFonts w:hint="cs"/>
          <w:rtl/>
        </w:rPr>
        <w:t>وهو على ما عليه كان</w:t>
      </w:r>
      <w:r w:rsidRPr="005675B2">
        <w:rPr>
          <w:rFonts w:hint="cs"/>
          <w:rtl/>
          <w:lang w:bidi="ar-KW"/>
        </w:rPr>
        <w:t xml:space="preserve"> </w:t>
      </w:r>
      <w:r w:rsidR="000636C2">
        <w:rPr>
          <w:rFonts w:hint="cs"/>
          <w:rtl/>
          <w:lang w:bidi="ar-KW"/>
        </w:rPr>
        <w:t>[</w:t>
      </w:r>
      <w:r w:rsidRPr="005675B2">
        <w:rPr>
          <w:rFonts w:hint="cs"/>
          <w:bCs/>
          <w:sz w:val="24"/>
          <w:szCs w:val="24"/>
          <w:rtl/>
        </w:rPr>
        <w:t>انظر عقيدة الشيرازي في مقدمة كتابه شرح</w:t>
      </w:r>
      <w:r w:rsidRPr="005675B2">
        <w:rPr>
          <w:rFonts w:hint="cs"/>
          <w:bCs/>
          <w:sz w:val="24"/>
          <w:szCs w:val="24"/>
        </w:rPr>
        <w:t xml:space="preserve"> </w:t>
      </w:r>
      <w:r w:rsidRPr="005675B2">
        <w:rPr>
          <w:rFonts w:hint="cs"/>
          <w:bCs/>
          <w:sz w:val="24"/>
          <w:szCs w:val="24"/>
          <w:rtl/>
        </w:rPr>
        <w:t>اللمع (1/ 101</w:t>
      </w:r>
      <w:r w:rsidRPr="005675B2">
        <w:rPr>
          <w:rFonts w:hint="cs"/>
          <w:rtl/>
          <w:lang w:bidi="ar-KW"/>
        </w:rPr>
        <w:t>]</w:t>
      </w:r>
      <w:r w:rsidRPr="005675B2">
        <w:t xml:space="preserve"> " </w:t>
      </w:r>
      <w:r w:rsidRPr="005675B2">
        <w:rPr>
          <w:rFonts w:hint="cs"/>
          <w:rtl/>
        </w:rPr>
        <w:t>أهـ</w:t>
      </w:r>
      <w:r w:rsidR="000636C2">
        <w:rPr>
          <w:rFonts w:hint="cs"/>
          <w:rtl/>
        </w:rPr>
        <w:t>،</w:t>
      </w:r>
      <w:r w:rsidRPr="005675B2">
        <w:rPr>
          <w:rFonts w:hint="cs"/>
          <w:rtl/>
        </w:rPr>
        <w:t xml:space="preserve"> 7</w:t>
      </w:r>
      <w:r w:rsidR="000636C2">
        <w:rPr>
          <w:rFonts w:hint="cs"/>
          <w:rtl/>
        </w:rPr>
        <w:t xml:space="preserve"> </w:t>
      </w:r>
      <w:r w:rsidRPr="005675B2">
        <w:rPr>
          <w:rFonts w:hint="cs"/>
          <w:rtl/>
        </w:rPr>
        <w:t>-</w:t>
      </w:r>
      <w:r w:rsidR="000636C2">
        <w:rPr>
          <w:rFonts w:hint="cs"/>
          <w:rtl/>
        </w:rPr>
        <w:t xml:space="preserve"> </w:t>
      </w:r>
      <w:r w:rsidRPr="005675B2">
        <w:rPr>
          <w:rFonts w:hint="cs"/>
          <w:rtl/>
        </w:rPr>
        <w:t>وقال الإمام أبو بكر بن فورك</w:t>
      </w:r>
      <w:r w:rsidR="000636C2">
        <w:rPr>
          <w:rFonts w:hint="cs"/>
          <w:rtl/>
        </w:rPr>
        <w:t>:</w:t>
      </w:r>
      <w:r w:rsidRPr="005675B2">
        <w:rPr>
          <w:rFonts w:hint="cs"/>
          <w:rtl/>
        </w:rPr>
        <w:t xml:space="preserve"> "واعلم أنا إذا قلنا إن الله عز وجل فوق ما خلق لم يرجع به</w:t>
      </w:r>
      <w:r w:rsidRPr="005675B2">
        <w:rPr>
          <w:rFonts w:hint="cs"/>
        </w:rPr>
        <w:t xml:space="preserve"> </w:t>
      </w:r>
      <w:r w:rsidRPr="005675B2">
        <w:rPr>
          <w:rFonts w:hint="cs"/>
          <w:rtl/>
        </w:rPr>
        <w:t>إلى فوقية المكان والارتفاع على الأمكنه بالمسافة والإشراف عليها بالمماسة لشيءمنها</w:t>
      </w:r>
      <w:r w:rsidRPr="005675B2">
        <w:rPr>
          <w:rFonts w:hint="cs"/>
        </w:rPr>
        <w:t xml:space="preserve"> </w:t>
      </w:r>
      <w:r w:rsidRPr="005675B2">
        <w:rPr>
          <w:rFonts w:hint="cs"/>
          <w:rtl/>
        </w:rPr>
        <w:t>أهـ</w:t>
      </w:r>
      <w:r w:rsidR="000636C2">
        <w:rPr>
          <w:rFonts w:hint="cs"/>
          <w:rtl/>
        </w:rPr>
        <w:t>،</w:t>
      </w:r>
      <w:r w:rsidRPr="005675B2">
        <w:rPr>
          <w:rFonts w:hint="cs"/>
          <w:rtl/>
        </w:rPr>
        <w:t xml:space="preserve"> [</w:t>
      </w:r>
      <w:r w:rsidRPr="005675B2">
        <w:rPr>
          <w:rFonts w:hint="cs"/>
          <w:bCs/>
          <w:sz w:val="24"/>
          <w:szCs w:val="24"/>
          <w:rtl/>
        </w:rPr>
        <w:t>مشكل الحديث</w:t>
      </w:r>
      <w:r w:rsidR="000636C2">
        <w:rPr>
          <w:bCs/>
          <w:sz w:val="24"/>
          <w:szCs w:val="24"/>
          <w:rtl/>
        </w:rPr>
        <w:t xml:space="preserve"> </w:t>
      </w:r>
      <w:r w:rsidRPr="005675B2">
        <w:rPr>
          <w:rFonts w:hint="cs"/>
          <w:bCs/>
          <w:sz w:val="24"/>
          <w:szCs w:val="24"/>
          <w:rtl/>
        </w:rPr>
        <w:t>ص/ 64</w:t>
      </w:r>
      <w:r w:rsidRPr="005675B2">
        <w:rPr>
          <w:rFonts w:hint="cs"/>
          <w:rtl/>
        </w:rPr>
        <w:t>] 8</w:t>
      </w:r>
      <w:r w:rsidR="000636C2">
        <w:rPr>
          <w:rFonts w:hint="cs"/>
          <w:rtl/>
        </w:rPr>
        <w:t xml:space="preserve"> </w:t>
      </w:r>
      <w:r w:rsidRPr="005675B2">
        <w:rPr>
          <w:rFonts w:hint="cs"/>
          <w:rtl/>
        </w:rPr>
        <w:t>-</w:t>
      </w:r>
      <w:r w:rsidR="000636C2">
        <w:rPr>
          <w:rFonts w:hint="cs"/>
          <w:rtl/>
        </w:rPr>
        <w:t xml:space="preserve"> </w:t>
      </w:r>
      <w:r w:rsidRPr="005675B2">
        <w:rPr>
          <w:rFonts w:hint="cs"/>
          <w:rtl/>
        </w:rPr>
        <w:t>قال ابن عجيبة في تفسير قوله تعالى</w:t>
      </w:r>
      <w:r w:rsidR="000636C2">
        <w:rPr>
          <w:rFonts w:hint="cs"/>
          <w:rtl/>
        </w:rPr>
        <w:t>)</w:t>
      </w:r>
      <w:r w:rsidRPr="005675B2">
        <w:rPr>
          <w:rFonts w:hint="cs"/>
          <w:rtl/>
        </w:rPr>
        <w:t xml:space="preserve">)رَبَّكُمُ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sidR="000636C2">
        <w:rPr>
          <w:rFonts w:hint="cs"/>
          <w:rtl/>
        </w:rPr>
        <w:t>(</w:t>
      </w:r>
      <w:r w:rsidRPr="005675B2">
        <w:rPr>
          <w:rFonts w:hint="cs"/>
          <w:rtl/>
        </w:rPr>
        <w:t>54</w:t>
      </w:r>
      <w:r w:rsidR="000636C2">
        <w:rPr>
          <w:rFonts w:hint="cs"/>
          <w:rtl/>
        </w:rPr>
        <w:t>)</w:t>
      </w:r>
      <w:r w:rsidRPr="005675B2">
        <w:rPr>
          <w:rFonts w:hint="cs"/>
          <w:rtl/>
        </w:rPr>
        <w:t xml:space="preserve"> ادْعُوا رَبَّكُمْ تَضَرُّعًا وَخُفْيَةً إِنَّهُ لَا يُحِبُّ الْمُعْتَدِينَ </w:t>
      </w:r>
      <w:r w:rsidR="000636C2">
        <w:rPr>
          <w:rFonts w:hint="cs"/>
          <w:rtl/>
        </w:rPr>
        <w:t>(</w:t>
      </w:r>
      <w:r w:rsidRPr="005675B2">
        <w:rPr>
          <w:rFonts w:hint="cs"/>
          <w:rtl/>
        </w:rPr>
        <w:t>55</w:t>
      </w:r>
      <w:r w:rsidR="000636C2">
        <w:rPr>
          <w:rFonts w:hint="cs"/>
          <w:rtl/>
        </w:rPr>
        <w:t>)</w:t>
      </w:r>
      <w:r w:rsidRPr="005675B2">
        <w:rPr>
          <w:rFonts w:hint="cs"/>
          <w:rtl/>
        </w:rPr>
        <w:t xml:space="preserve"> وَلَا تُفْسِدُوا فِي الْأَرْضِ بَعْدَ إِصْلَاحِهَا وَادْعُوهُ خَوْفًا وَطَمَعًا إِنَّ رَحْمَةَ اللَّهِ قَرِيبٌ مِنَ الْمُحْسِنِينَ </w:t>
      </w:r>
      <w:r w:rsidR="000636C2">
        <w:rPr>
          <w:rFonts w:hint="cs"/>
          <w:rtl/>
        </w:rPr>
        <w:t>(</w:t>
      </w:r>
      <w:r w:rsidRPr="005675B2">
        <w:rPr>
          <w:rFonts w:hint="cs"/>
          <w:rtl/>
        </w:rPr>
        <w:t>56</w:t>
      </w:r>
      <w:r w:rsidR="000636C2">
        <w:rPr>
          <w:rFonts w:hint="cs"/>
          <w:rtl/>
        </w:rPr>
        <w:t>)</w:t>
      </w:r>
      <w:r w:rsidRPr="005675B2">
        <w:rPr>
          <w:rFonts w:hint="cs"/>
          <w:rtl/>
        </w:rPr>
        <w:t xml:space="preserve"> ثم استوى على العرش (</w:t>
      </w:r>
      <w:r w:rsidR="000636C2">
        <w:rPr>
          <w:rFonts w:hint="cs"/>
          <w:rtl/>
        </w:rPr>
        <w:t>(</w:t>
      </w:r>
      <w:r w:rsidRPr="005675B2">
        <w:rPr>
          <w:rFonts w:hint="cs"/>
          <w:u w:val="single"/>
          <w:rtl/>
        </w:rPr>
        <w:t>استواء يليق به</w:t>
      </w:r>
      <w:r w:rsidR="000636C2">
        <w:rPr>
          <w:rFonts w:hint="cs"/>
          <w:rtl/>
        </w:rPr>
        <w:t>،</w:t>
      </w:r>
      <w:r w:rsidRPr="005675B2">
        <w:rPr>
          <w:rFonts w:hint="cs"/>
          <w:rtl/>
        </w:rPr>
        <w:t xml:space="preserve"> والعرش</w:t>
      </w:r>
      <w:r w:rsidR="000636C2">
        <w:rPr>
          <w:rFonts w:hint="cs"/>
          <w:rtl/>
        </w:rPr>
        <w:t>:</w:t>
      </w:r>
      <w:r w:rsidRPr="005675B2">
        <w:rPr>
          <w:rFonts w:hint="cs"/>
          <w:rtl/>
        </w:rPr>
        <w:t xml:space="preserve"> جسم عظيم محيط بالأكوان</w:t>
      </w:r>
      <w:r w:rsidR="000636C2">
        <w:rPr>
          <w:rFonts w:hint="cs"/>
          <w:rtl/>
        </w:rPr>
        <w:t>،</w:t>
      </w:r>
      <w:r w:rsidRPr="005675B2">
        <w:rPr>
          <w:rFonts w:hint="cs"/>
          <w:rtl/>
        </w:rPr>
        <w:t xml:space="preserve"> ..</w:t>
      </w:r>
      <w:r w:rsidR="000636C2">
        <w:rPr>
          <w:rFonts w:hint="cs"/>
          <w:rtl/>
        </w:rPr>
        <w:t>،</w:t>
      </w:r>
      <w:r w:rsidRPr="005675B2">
        <w:rPr>
          <w:rFonts w:hint="cs"/>
          <w:rtl/>
        </w:rPr>
        <w:t xml:space="preserve"> وقال القشيري</w:t>
      </w:r>
      <w:r w:rsidR="000636C2">
        <w:rPr>
          <w:rFonts w:hint="cs"/>
          <w:rtl/>
        </w:rPr>
        <w:t>:</w:t>
      </w:r>
      <w:r w:rsidRPr="005675B2">
        <w:rPr>
          <w:rFonts w:hint="cs"/>
          <w:rtl/>
        </w:rPr>
        <w:t xml:space="preserve"> ثم استوى على العرش</w:t>
      </w:r>
      <w:r w:rsidR="000636C2">
        <w:rPr>
          <w:rFonts w:hint="cs"/>
          <w:rtl/>
        </w:rPr>
        <w:t>،</w:t>
      </w:r>
      <w:r w:rsidRPr="005675B2">
        <w:rPr>
          <w:rFonts w:hint="cs"/>
          <w:rtl/>
        </w:rPr>
        <w:t xml:space="preserve"> أي</w:t>
      </w:r>
      <w:r w:rsidR="000636C2">
        <w:rPr>
          <w:rFonts w:hint="cs"/>
          <w:rtl/>
        </w:rPr>
        <w:t>:</w:t>
      </w:r>
      <w:r w:rsidRPr="005675B2">
        <w:rPr>
          <w:rFonts w:hint="cs"/>
          <w:rtl/>
        </w:rPr>
        <w:t xml:space="preserve"> تَوَحَّدَ بجلال الكبرياء بوصف الملكوت</w:t>
      </w:r>
      <w:r w:rsidR="000636C2">
        <w:rPr>
          <w:rFonts w:hint="cs"/>
          <w:rtl/>
        </w:rPr>
        <w:t>،</w:t>
      </w:r>
      <w:r w:rsidRPr="005675B2">
        <w:rPr>
          <w:rFonts w:hint="cs"/>
          <w:rtl/>
        </w:rPr>
        <w:t xml:space="preserve"> وملوكنا إذا أرادوا التجلِّي والظهور للحَشَم والرعية؛ برزوا لهم على سرير مُلكِهم في إيوان مشاهدتهم</w:t>
      </w:r>
      <w:r w:rsidR="000636C2">
        <w:rPr>
          <w:rFonts w:hint="cs"/>
          <w:rtl/>
        </w:rPr>
        <w:t>،</w:t>
      </w:r>
      <w:r w:rsidRPr="005675B2">
        <w:rPr>
          <w:rFonts w:hint="cs"/>
          <w:rtl/>
        </w:rPr>
        <w:t xml:space="preserve"> فأخبر الحقُّ سبحانه وتعالى </w:t>
      </w:r>
      <w:r w:rsidRPr="005675B2">
        <w:rPr>
          <w:rFonts w:hint="cs"/>
          <w:u w:val="single"/>
          <w:rtl/>
        </w:rPr>
        <w:t>بما يَقرُب من فَهم الخلقِ</w:t>
      </w:r>
      <w:r w:rsidR="000636C2">
        <w:rPr>
          <w:rFonts w:hint="cs"/>
          <w:u w:val="single"/>
          <w:rtl/>
        </w:rPr>
        <w:t>،</w:t>
      </w:r>
      <w:r w:rsidRPr="005675B2">
        <w:rPr>
          <w:rFonts w:hint="cs"/>
          <w:u w:val="single"/>
          <w:rtl/>
        </w:rPr>
        <w:t xml:space="preserve"> بما ألقى إليهم من هذه الكلمات</w:t>
      </w:r>
      <w:r w:rsidR="000636C2">
        <w:rPr>
          <w:rFonts w:hint="cs"/>
          <w:u w:val="single"/>
          <w:rtl/>
        </w:rPr>
        <w:t>،</w:t>
      </w:r>
      <w:r w:rsidRPr="005675B2">
        <w:rPr>
          <w:rFonts w:hint="cs"/>
          <w:rtl/>
        </w:rPr>
        <w:t xml:space="preserve"> </w:t>
      </w:r>
      <w:r w:rsidRPr="005675B2">
        <w:rPr>
          <w:rFonts w:hint="cs"/>
          <w:u w:val="single"/>
          <w:rtl/>
        </w:rPr>
        <w:t>بأنه استوى على العرش</w:t>
      </w:r>
      <w:r w:rsidR="000636C2">
        <w:rPr>
          <w:rFonts w:hint="cs"/>
          <w:u w:val="single"/>
          <w:rtl/>
        </w:rPr>
        <w:t>،</w:t>
      </w:r>
      <w:r w:rsidRPr="005675B2">
        <w:rPr>
          <w:rFonts w:hint="cs"/>
          <w:rtl/>
        </w:rPr>
        <w:t xml:space="preserve"> ومعناه</w:t>
      </w:r>
      <w:r w:rsidR="000636C2">
        <w:rPr>
          <w:rFonts w:hint="cs"/>
          <w:rtl/>
        </w:rPr>
        <w:t>:</w:t>
      </w:r>
      <w:r w:rsidRPr="005675B2">
        <w:rPr>
          <w:rFonts w:hint="cs"/>
          <w:rtl/>
        </w:rPr>
        <w:t xml:space="preserve"> اتصافه بعز الصمدية وجلال الأحدية</w:t>
      </w:r>
      <w:r w:rsidR="000636C2">
        <w:rPr>
          <w:rFonts w:hint="cs"/>
          <w:rtl/>
        </w:rPr>
        <w:t>،</w:t>
      </w:r>
      <w:r w:rsidRPr="005675B2">
        <w:rPr>
          <w:rFonts w:hint="cs"/>
          <w:rtl/>
        </w:rPr>
        <w:t xml:space="preserve"> وانفراده بنعت الجبروت وجلاء الربوبية</w:t>
      </w:r>
      <w:r w:rsidR="000636C2">
        <w:rPr>
          <w:rFonts w:hint="cs"/>
          <w:rtl/>
        </w:rPr>
        <w:t>،</w:t>
      </w:r>
      <w:r w:rsidRPr="005675B2">
        <w:rPr>
          <w:rFonts w:hint="cs"/>
          <w:rtl/>
        </w:rPr>
        <w:t xml:space="preserve"> </w:t>
      </w:r>
      <w:r w:rsidRPr="005675B2">
        <w:rPr>
          <w:rFonts w:hint="cs"/>
          <w:u w:val="single"/>
          <w:rtl/>
        </w:rPr>
        <w:t>وتقدَّس الجبَّارُ عن الأقطار</w:t>
      </w:r>
      <w:r w:rsidR="000636C2">
        <w:rPr>
          <w:rFonts w:hint="cs"/>
          <w:u w:val="single"/>
          <w:rtl/>
        </w:rPr>
        <w:t>،</w:t>
      </w:r>
      <w:r w:rsidRPr="005675B2">
        <w:rPr>
          <w:rFonts w:hint="cs"/>
          <w:u w:val="single"/>
          <w:rtl/>
        </w:rPr>
        <w:t xml:space="preserve"> والمعبودُ عن الحدود</w:t>
      </w:r>
      <w:r w:rsidR="000636C2">
        <w:rPr>
          <w:rFonts w:hint="cs"/>
          <w:u w:val="single"/>
          <w:rtl/>
        </w:rPr>
        <w:t>،</w:t>
      </w:r>
      <w:r w:rsidRPr="005675B2">
        <w:rPr>
          <w:rFonts w:hint="cs"/>
          <w:rtl/>
        </w:rPr>
        <w:t xml:space="preserve"> أهـ</w:t>
      </w:r>
      <w:r w:rsidR="000636C2">
        <w:rPr>
          <w:rFonts w:hint="cs"/>
          <w:rtl/>
        </w:rPr>
        <w:t xml:space="preserve"> </w:t>
      </w:r>
      <w:r w:rsidRPr="005675B2">
        <w:rPr>
          <w:rFonts w:hint="cs"/>
          <w:rtl/>
        </w:rPr>
        <w:t>من تفسير ابن عجيبه</w:t>
      </w:r>
      <w:r w:rsidR="000636C2">
        <w:rPr>
          <w:rFonts w:hint="cs"/>
          <w:rtl/>
        </w:rPr>
        <w:t>،</w:t>
      </w:r>
    </w:p>
    <w:p w14:paraId="7585D6ED" w14:textId="24658E31" w:rsidR="009C32A0" w:rsidRPr="005675B2" w:rsidRDefault="009C32A0" w:rsidP="000636C2">
      <w:pPr>
        <w:rPr>
          <w:b/>
          <w:rtl/>
        </w:rPr>
      </w:pPr>
      <w:r w:rsidRPr="005675B2">
        <w:rPr>
          <w:rFonts w:hint="cs"/>
          <w:rtl/>
        </w:rPr>
        <w:t>10</w:t>
      </w:r>
      <w:r w:rsidR="000636C2">
        <w:rPr>
          <w:rFonts w:hint="cs"/>
          <w:rtl/>
        </w:rPr>
        <w:t xml:space="preserve"> </w:t>
      </w:r>
      <w:r w:rsidRPr="005675B2">
        <w:rPr>
          <w:rFonts w:hint="cs"/>
          <w:rtl/>
        </w:rPr>
        <w:t>- وقال الإمام الرازي في تفسيره</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w:t>
      </w:r>
      <w:r w:rsidR="000636C2">
        <w:rPr>
          <w:rFonts w:hint="cs"/>
          <w:rtl/>
        </w:rPr>
        <w:t>{</w:t>
      </w:r>
      <w:r w:rsidRPr="005675B2">
        <w:rPr>
          <w:rFonts w:hint="cs"/>
          <w:rtl/>
        </w:rPr>
        <w:t>ثُمَّ استوى عَلَى العرش</w:t>
      </w:r>
      <w:r w:rsidR="000636C2">
        <w:rPr>
          <w:rFonts w:hint="cs"/>
          <w:rtl/>
        </w:rPr>
        <w:t xml:space="preserve"> </w:t>
      </w:r>
      <w:r w:rsidRPr="005675B2">
        <w:rPr>
          <w:rFonts w:hint="cs"/>
          <w:rtl/>
        </w:rPr>
        <w:t>"</w:t>
      </w:r>
      <w:r w:rsidR="000636C2">
        <w:rPr>
          <w:rFonts w:hint="cs"/>
          <w:rtl/>
        </w:rPr>
        <w:t xml:space="preserve">، </w:t>
      </w:r>
      <w:r w:rsidRPr="005675B2">
        <w:rPr>
          <w:rFonts w:hint="cs"/>
          <w:rtl/>
        </w:rPr>
        <w:t>ا</w:t>
      </w:r>
      <w:r w:rsidRPr="005675B2">
        <w:rPr>
          <w:rFonts w:hint="cs"/>
          <w:u w:val="single"/>
          <w:rtl/>
        </w:rPr>
        <w:t>علم أن مذهب العلماء في هذه الآية وأمثالها على وجهين أحدهما</w:t>
      </w:r>
      <w:r w:rsidR="000636C2">
        <w:rPr>
          <w:rFonts w:hint="cs"/>
          <w:u w:val="single"/>
          <w:rtl/>
        </w:rPr>
        <w:t>:</w:t>
      </w:r>
      <w:r w:rsidRPr="005675B2">
        <w:rPr>
          <w:rFonts w:hint="cs"/>
          <w:u w:val="single"/>
          <w:rtl/>
        </w:rPr>
        <w:t xml:space="preserve"> ترك التعرض إلى بيان المراد وثانيهما</w:t>
      </w:r>
      <w:r w:rsidR="000636C2">
        <w:rPr>
          <w:rFonts w:hint="cs"/>
          <w:u w:val="single"/>
          <w:rtl/>
        </w:rPr>
        <w:t>:</w:t>
      </w:r>
      <w:r w:rsidRPr="005675B2">
        <w:rPr>
          <w:rFonts w:hint="cs"/>
          <w:u w:val="single"/>
          <w:rtl/>
        </w:rPr>
        <w:t xml:space="preserve"> التعرض إليه</w:t>
      </w:r>
      <w:r w:rsidRPr="005675B2">
        <w:rPr>
          <w:rFonts w:hint="cs"/>
          <w:rtl/>
        </w:rPr>
        <w:t xml:space="preserve"> .. .. </w:t>
      </w:r>
      <w:r w:rsidRPr="005675B2">
        <w:rPr>
          <w:rFonts w:hint="cs"/>
          <w:u w:val="single"/>
          <w:rtl/>
        </w:rPr>
        <w:t>وصفة الاستواء مما لا يجب العلم بمعناها</w:t>
      </w:r>
      <w:r w:rsidR="000636C2">
        <w:rPr>
          <w:rFonts w:hint="cs"/>
          <w:rtl/>
        </w:rPr>
        <w:t xml:space="preserve"> </w:t>
      </w:r>
      <w:r w:rsidRPr="005675B2">
        <w:rPr>
          <w:rFonts w:hint="cs"/>
          <w:rtl/>
        </w:rPr>
        <w:t>فمن ترك التعرض إليه لم يترك واجباً</w:t>
      </w:r>
      <w:r w:rsidR="000636C2">
        <w:rPr>
          <w:rFonts w:hint="cs"/>
          <w:rtl/>
        </w:rPr>
        <w:t>،</w:t>
      </w:r>
      <w:r w:rsidRPr="005675B2">
        <w:rPr>
          <w:rFonts w:hint="cs"/>
          <w:rtl/>
        </w:rPr>
        <w:t xml:space="preserve"> وأما من يتعرض إليه فقد يخطىء فيه فيعتقد خلاف ما هو عليه فالأول غاية ما يلزمه أنه لا يعلم</w:t>
      </w:r>
      <w:r w:rsidR="000636C2">
        <w:rPr>
          <w:rFonts w:hint="cs"/>
          <w:rtl/>
        </w:rPr>
        <w:t>،</w:t>
      </w:r>
      <w:r w:rsidRPr="005675B2">
        <w:rPr>
          <w:rFonts w:hint="cs"/>
          <w:rtl/>
        </w:rPr>
        <w:t xml:space="preserve"> والثاني يكاد أن يقع في أن يكون جاهلاً مركباً .. والمذهب الثاني</w:t>
      </w:r>
      <w:r w:rsidR="000636C2">
        <w:rPr>
          <w:rFonts w:hint="cs"/>
          <w:rtl/>
        </w:rPr>
        <w:t>:</w:t>
      </w:r>
      <w:r w:rsidRPr="005675B2">
        <w:rPr>
          <w:rFonts w:hint="cs"/>
          <w:rtl/>
        </w:rPr>
        <w:t xml:space="preserve"> خطر ومن يذهب إليه فريقان أحدهما</w:t>
      </w:r>
      <w:r w:rsidR="000636C2">
        <w:rPr>
          <w:rFonts w:hint="cs"/>
          <w:rtl/>
        </w:rPr>
        <w:t>:</w:t>
      </w:r>
      <w:r w:rsidRPr="005675B2">
        <w:rPr>
          <w:rFonts w:hint="cs"/>
          <w:rtl/>
        </w:rPr>
        <w:t xml:space="preserve"> من يقول المراد ظاهره وهو القيام والانتصاب أو الاستقرار المكاني وثانيهما</w:t>
      </w:r>
      <w:r w:rsidR="000636C2">
        <w:rPr>
          <w:rFonts w:hint="cs"/>
          <w:rtl/>
        </w:rPr>
        <w:t>:</w:t>
      </w:r>
      <w:r w:rsidRPr="005675B2">
        <w:rPr>
          <w:rFonts w:hint="cs"/>
          <w:rtl/>
        </w:rPr>
        <w:t xml:space="preserve"> من يقول المراد الاستيلاء والأول جهل محض والثاني يجوز أن يكون جهلاً والأول مع كونه جهلاً هو بدعة وكاد يكون كفراً</w:t>
      </w:r>
      <w:r w:rsidR="000636C2">
        <w:rPr>
          <w:rFonts w:hint="cs"/>
          <w:rtl/>
        </w:rPr>
        <w:t>،</w:t>
      </w:r>
      <w:r w:rsidRPr="005675B2">
        <w:rPr>
          <w:rFonts w:hint="cs"/>
          <w:rtl/>
        </w:rPr>
        <w:t xml:space="preserve"> والثاني وإن كان جهلاً فليس بجهل يورث بدعة</w:t>
      </w:r>
      <w:r w:rsidR="000636C2">
        <w:rPr>
          <w:rFonts w:hint="cs"/>
          <w:rtl/>
        </w:rPr>
        <w:t>،</w:t>
      </w:r>
      <w:r w:rsidRPr="005675B2">
        <w:rPr>
          <w:rFonts w:hint="cs"/>
          <w:rtl/>
        </w:rPr>
        <w:t xml:space="preserve"> وهذا كما أن واحداً إذا اعتقد أن الله يرحم الكفار ولا يعاقب أحداً منهم يكون جهلاً وبدعة وكفراً</w:t>
      </w:r>
      <w:r w:rsidR="000636C2">
        <w:rPr>
          <w:rFonts w:hint="cs"/>
          <w:rtl/>
        </w:rPr>
        <w:t>،</w:t>
      </w:r>
      <w:r w:rsidRPr="005675B2">
        <w:rPr>
          <w:rFonts w:hint="cs"/>
          <w:rtl/>
        </w:rPr>
        <w:t xml:space="preserve"> وإذا اعتقد أنه يرحم زيداً الذي هو مستور الحال لا يكون بدعة</w:t>
      </w:r>
      <w:r w:rsidR="000636C2">
        <w:rPr>
          <w:rFonts w:hint="cs"/>
          <w:rtl/>
        </w:rPr>
        <w:t>،</w:t>
      </w:r>
      <w:r w:rsidRPr="005675B2">
        <w:rPr>
          <w:rFonts w:hint="cs"/>
          <w:rtl/>
        </w:rPr>
        <w:t xml:space="preserve"> غاية ما يكون أنه اعتقاد غير مطابق</w:t>
      </w:r>
      <w:r w:rsidR="000636C2">
        <w:rPr>
          <w:rFonts w:hint="cs"/>
          <w:rtl/>
        </w:rPr>
        <w:t>،</w:t>
      </w:r>
      <w:r w:rsidRPr="005675B2">
        <w:rPr>
          <w:rFonts w:hint="cs"/>
          <w:rtl/>
        </w:rPr>
        <w:t xml:space="preserve"> ومما قيل فيه</w:t>
      </w:r>
      <w:r w:rsidR="000636C2">
        <w:rPr>
          <w:rFonts w:hint="cs"/>
          <w:rtl/>
        </w:rPr>
        <w:t>:</w:t>
      </w:r>
      <w:r w:rsidRPr="005675B2">
        <w:rPr>
          <w:rFonts w:hint="cs"/>
          <w:rtl/>
        </w:rPr>
        <w:t xml:space="preserve"> إن المراد منه استوى على ملكه</w:t>
      </w:r>
      <w:r w:rsidR="000636C2">
        <w:rPr>
          <w:rFonts w:hint="cs"/>
          <w:rtl/>
        </w:rPr>
        <w:t>،</w:t>
      </w:r>
      <w:r w:rsidRPr="005675B2">
        <w:rPr>
          <w:rFonts w:hint="cs"/>
          <w:rtl/>
        </w:rPr>
        <w:t xml:space="preserve"> والعرش يعبر به عن الملك</w:t>
      </w:r>
      <w:r w:rsidR="000636C2">
        <w:rPr>
          <w:rFonts w:hint="cs"/>
          <w:rtl/>
        </w:rPr>
        <w:t>،</w:t>
      </w:r>
      <w:r w:rsidRPr="005675B2">
        <w:rPr>
          <w:rFonts w:hint="cs"/>
          <w:rtl/>
        </w:rPr>
        <w:t xml:space="preserve"> يقال الملك قعد على سرير المملكة بالبلدة الفلانية وإن لم يدخلها</w:t>
      </w:r>
      <w:r w:rsidR="000636C2">
        <w:rPr>
          <w:rFonts w:hint="cs"/>
          <w:rtl/>
        </w:rPr>
        <w:t>،</w:t>
      </w:r>
      <w:r w:rsidRPr="005675B2">
        <w:rPr>
          <w:rFonts w:hint="cs"/>
          <w:rtl/>
        </w:rPr>
        <w:t xml:space="preserve"> أ هـ</w:t>
      </w:r>
      <w:r w:rsidR="000636C2">
        <w:rPr>
          <w:rFonts w:hint="cs"/>
          <w:rtl/>
        </w:rPr>
        <w:t xml:space="preserve">، </w:t>
      </w:r>
      <w:r w:rsidRPr="005675B2">
        <w:rPr>
          <w:rFonts w:hint="cs"/>
          <w:rtl/>
        </w:rPr>
        <w:t>وقال الألوسي في تفسيره للآية في سورة يونس</w:t>
      </w:r>
      <w:r w:rsidR="000636C2">
        <w:rPr>
          <w:rFonts w:hint="cs"/>
          <w:rtl/>
        </w:rPr>
        <w:t>:</w:t>
      </w:r>
      <w:r w:rsidRPr="005675B2">
        <w:rPr>
          <w:rFonts w:hint="cs"/>
          <w:rtl/>
        </w:rPr>
        <w:t xml:space="preserve"> وأنت تعلم أن المشهور من مذهب السلف في مثل ذلك تفويض المراد منه إلى الله تعالى فهم يقولون</w:t>
      </w:r>
      <w:r w:rsidR="000636C2">
        <w:rPr>
          <w:rFonts w:hint="cs"/>
          <w:rtl/>
        </w:rPr>
        <w:t>:</w:t>
      </w:r>
      <w:r w:rsidRPr="005675B2">
        <w:rPr>
          <w:rFonts w:hint="cs"/>
          <w:rtl/>
        </w:rPr>
        <w:t xml:space="preserve"> استوى على العرش على الوجه الذي عناه سبحانه منزها عن الاستقرار والتمكن</w:t>
      </w:r>
      <w:r w:rsidR="000636C2">
        <w:rPr>
          <w:rFonts w:hint="cs"/>
          <w:rtl/>
        </w:rPr>
        <w:t>،</w:t>
      </w:r>
      <w:r w:rsidRPr="005675B2">
        <w:rPr>
          <w:rFonts w:hint="cs"/>
          <w:rtl/>
        </w:rPr>
        <w:t xml:space="preserve"> أ هـ</w:t>
      </w:r>
      <w:r w:rsidR="000636C2">
        <w:rPr>
          <w:rFonts w:hint="cs"/>
          <w:rtl/>
        </w:rPr>
        <w:t xml:space="preserve">، </w:t>
      </w:r>
      <w:r w:rsidRPr="005675B2">
        <w:rPr>
          <w:rFonts w:hint="cs"/>
          <w:rtl/>
        </w:rPr>
        <w:t>وقال الإمام الصاوي المتوفى</w:t>
      </w:r>
      <w:r w:rsidR="000636C2">
        <w:rPr>
          <w:rFonts w:hint="cs"/>
          <w:rtl/>
        </w:rPr>
        <w:t xml:space="preserve"> </w:t>
      </w:r>
      <w:r w:rsidRPr="005675B2">
        <w:rPr>
          <w:rFonts w:hint="cs"/>
          <w:rtl/>
        </w:rPr>
        <w:t>في القرن الثاني عشر الهجري</w:t>
      </w:r>
      <w:r w:rsidR="000636C2">
        <w:rPr>
          <w:rFonts w:hint="cs"/>
          <w:rtl/>
        </w:rPr>
        <w:t>:</w:t>
      </w:r>
      <w:r w:rsidRPr="005675B2">
        <w:rPr>
          <w:rFonts w:hint="cs"/>
          <w:rtl/>
        </w:rPr>
        <w:t>استوى استواء يليق به وهذه طريقة السلف الذين يفوضون علم المتشابه إلى الله وهذا نظير ماوقع للإمام مالك .. فالاستواء يطلق حقيقة على الركوب وهو مستحيل على الله وعلى الاستيلاء والتصرف التام في ملكه وهو المراد</w:t>
      </w:r>
      <w:r w:rsidR="000636C2">
        <w:rPr>
          <w:rFonts w:hint="cs"/>
          <w:rtl/>
        </w:rPr>
        <w:t>،</w:t>
      </w:r>
      <w:r w:rsidRPr="005675B2">
        <w:rPr>
          <w:rFonts w:hint="cs"/>
          <w:rtl/>
        </w:rPr>
        <w:t xml:space="preserve"> أهـ</w:t>
      </w:r>
      <w:r w:rsidR="000636C2">
        <w:rPr>
          <w:rFonts w:hint="cs"/>
          <w:rtl/>
        </w:rPr>
        <w:t xml:space="preserve"> </w:t>
      </w:r>
      <w:r w:rsidRPr="005675B2">
        <w:rPr>
          <w:rFonts w:hint="cs"/>
          <w:rtl/>
        </w:rPr>
        <w:t>من تفسير آية الأعراف</w:t>
      </w:r>
      <w:r w:rsidR="000636C2">
        <w:rPr>
          <w:rFonts w:hint="cs"/>
          <w:rtl/>
        </w:rPr>
        <w:t>،</w:t>
      </w:r>
    </w:p>
    <w:p w14:paraId="2A9341ED" w14:textId="07474AB6" w:rsidR="009C32A0" w:rsidRPr="005675B2" w:rsidRDefault="009C32A0" w:rsidP="000636C2">
      <w:pPr>
        <w:rPr>
          <w:b/>
          <w:rtl/>
        </w:rPr>
      </w:pPr>
      <w:r w:rsidRPr="005675B2">
        <w:rPr>
          <w:rFonts w:hint="cs"/>
          <w:bCs/>
          <w:rtl/>
        </w:rPr>
        <w:t>الفائدة من النقول السابقة</w:t>
      </w:r>
      <w:r w:rsidR="000636C2">
        <w:rPr>
          <w:rFonts w:hint="cs"/>
          <w:rtl/>
        </w:rPr>
        <w:t>:</w:t>
      </w:r>
    </w:p>
    <w:p w14:paraId="6E54F670" w14:textId="6F793A13"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الأشاعرة متقدمهم ومتأخرهم يثبتون صفة الاستواء لله تعالى خلافاً لمن يزعم أنهم ينكرون صفة الاستواء والعلو</w:t>
      </w:r>
      <w:r w:rsidR="000636C2">
        <w:rPr>
          <w:rFonts w:hint="cs"/>
          <w:rtl/>
        </w:rPr>
        <w:t>،</w:t>
      </w:r>
    </w:p>
    <w:p w14:paraId="4C7F229E" w14:textId="16E97279"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بعد إثبات صفة الاستواء يجزمون جزماً بالاتفاق بين أهل السنة والجماعة أن المراد منه ليس الجلوس أو الركوب على العرش</w:t>
      </w:r>
      <w:r w:rsidR="000636C2">
        <w:rPr>
          <w:rFonts w:hint="cs"/>
          <w:rtl/>
        </w:rPr>
        <w:t>،</w:t>
      </w:r>
      <w:r w:rsidRPr="005675B2">
        <w:rPr>
          <w:rFonts w:hint="cs"/>
          <w:rtl/>
        </w:rPr>
        <w:t>أو فوق العرش بمسافة</w:t>
      </w:r>
      <w:r w:rsidR="000636C2">
        <w:rPr>
          <w:rFonts w:hint="cs"/>
          <w:rtl/>
        </w:rPr>
        <w:t>،</w:t>
      </w:r>
      <w:r w:rsidRPr="005675B2">
        <w:rPr>
          <w:rFonts w:hint="cs"/>
          <w:rtl/>
        </w:rPr>
        <w:t>ونحوها من معاني الحلول في المخلوقات</w:t>
      </w:r>
      <w:r w:rsidR="000636C2">
        <w:rPr>
          <w:rFonts w:hint="cs"/>
          <w:rtl/>
        </w:rPr>
        <w:t>،</w:t>
      </w:r>
      <w:r w:rsidRPr="005675B2">
        <w:rPr>
          <w:rFonts w:hint="cs"/>
          <w:rtl/>
        </w:rPr>
        <w:t>والتحيز في الجهات</w:t>
      </w:r>
      <w:r w:rsidR="000636C2">
        <w:rPr>
          <w:rFonts w:hint="cs"/>
          <w:rtl/>
        </w:rPr>
        <w:t>،</w:t>
      </w:r>
    </w:p>
    <w:p w14:paraId="445FF205" w14:textId="49D65AAE"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بعد نفيهم للمعنى الباطل الذي يتنزه الله عنه اختلفوا في هل الأولى السكوت عن معنى الاستواءلتعددالمعاني في لغة العرب</w:t>
      </w:r>
      <w:r w:rsidR="000636C2">
        <w:rPr>
          <w:rFonts w:hint="cs"/>
          <w:rtl/>
        </w:rPr>
        <w:t xml:space="preserve"> </w:t>
      </w:r>
      <w:r w:rsidRPr="005675B2">
        <w:rPr>
          <w:rFonts w:hint="cs"/>
          <w:rtl/>
        </w:rPr>
        <w:t>وعدم الدليل القاطع على تحديد أحدها</w:t>
      </w:r>
      <w:r w:rsidR="000636C2">
        <w:rPr>
          <w:rFonts w:hint="cs"/>
          <w:rtl/>
        </w:rPr>
        <w:t xml:space="preserve"> </w:t>
      </w:r>
      <w:r w:rsidRPr="005675B2">
        <w:rPr>
          <w:rFonts w:hint="cs"/>
          <w:rtl/>
        </w:rPr>
        <w:t>أو أنه يبين</w:t>
      </w:r>
      <w:r w:rsidR="000636C2">
        <w:rPr>
          <w:rFonts w:hint="cs"/>
          <w:rtl/>
        </w:rPr>
        <w:t xml:space="preserve"> </w:t>
      </w:r>
      <w:r w:rsidRPr="005675B2">
        <w:rPr>
          <w:rFonts w:hint="cs"/>
          <w:rtl/>
        </w:rPr>
        <w:t>معناه على قولين وهي مسألة اجتهادية لأن الخلاف ليس في إثبات الاستواء أو نفيه وإنما الخلاف في بيان المعنى فقط</w:t>
      </w:r>
      <w:r w:rsidR="000636C2">
        <w:rPr>
          <w:rFonts w:hint="cs"/>
          <w:rtl/>
        </w:rPr>
        <w:t>،</w:t>
      </w:r>
    </w:p>
    <w:p w14:paraId="2FD495DD" w14:textId="1F928239"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أن المنكر عليهم كالكرامية والكاتب وغيرهم إنما ينكرون عليهم أنه عطلوا المعنى</w:t>
      </w:r>
      <w:r w:rsidR="000636C2">
        <w:rPr>
          <w:rFonts w:hint="cs"/>
          <w:rtl/>
        </w:rPr>
        <w:t>!</w:t>
      </w:r>
      <w:r w:rsidRPr="005675B2">
        <w:rPr>
          <w:rFonts w:hint="cs"/>
          <w:rtl/>
        </w:rPr>
        <w:t>!وماهو المعنى الذي عطلوه</w:t>
      </w:r>
      <w:r w:rsidR="000636C2">
        <w:rPr>
          <w:rFonts w:hint="cs"/>
          <w:rtl/>
        </w:rPr>
        <w:t>؟</w:t>
      </w:r>
      <w:r w:rsidRPr="005675B2">
        <w:rPr>
          <w:rFonts w:hint="cs"/>
          <w:rtl/>
        </w:rPr>
        <w:t>هو اعتقاد أن الله في جهة أو جالس في العرش أو نحوها من المعان الباطلة الذي يعتقد الأشاعرة وسائر أهل السنة والجماعة أنها لا تليق بالله</w:t>
      </w:r>
      <w:r w:rsidR="000636C2">
        <w:rPr>
          <w:rFonts w:hint="cs"/>
          <w:rtl/>
        </w:rPr>
        <w:t>،</w:t>
      </w:r>
    </w:p>
    <w:p w14:paraId="09861648" w14:textId="02FA417A" w:rsidR="009C32A0" w:rsidRPr="005675B2" w:rsidRDefault="009C32A0" w:rsidP="000636C2">
      <w:pPr>
        <w:rPr>
          <w:b/>
          <w:u w:val="single"/>
          <w:rtl/>
        </w:rPr>
      </w:pPr>
      <w:r w:rsidRPr="005675B2">
        <w:rPr>
          <w:rFonts w:hint="cs"/>
          <w:rtl/>
        </w:rPr>
        <w:t>وقد انقسم الناس في المراد بالعلو</w:t>
      </w:r>
      <w:r w:rsidR="000636C2">
        <w:rPr>
          <w:rFonts w:hint="cs"/>
          <w:rtl/>
        </w:rPr>
        <w:t xml:space="preserve">: </w:t>
      </w:r>
      <w:r w:rsidRPr="005675B2">
        <w:rPr>
          <w:rFonts w:hint="cs"/>
          <w:rtl/>
        </w:rPr>
        <w:t>فأجمعوا جميعاً على إثبات العلو المعنوي</w:t>
      </w:r>
      <w:r w:rsidR="000636C2">
        <w:rPr>
          <w:rFonts w:hint="cs"/>
          <w:rtl/>
        </w:rPr>
        <w:t>:</w:t>
      </w:r>
      <w:r w:rsidRPr="005675B2">
        <w:rPr>
          <w:rFonts w:hint="cs"/>
          <w:rtl/>
        </w:rPr>
        <w:t xml:space="preserve"> وهو علو القهر، والغلبة</w:t>
      </w:r>
      <w:r w:rsidR="000636C2">
        <w:rPr>
          <w:rFonts w:hint="cs"/>
          <w:rtl/>
        </w:rPr>
        <w:t>،</w:t>
      </w:r>
      <w:r w:rsidRPr="005675B2">
        <w:rPr>
          <w:rFonts w:hint="cs"/>
          <w:rtl/>
        </w:rPr>
        <w:t>والقدر، والمنزلة</w:t>
      </w:r>
      <w:r w:rsidR="000636C2">
        <w:rPr>
          <w:rFonts w:hint="cs"/>
          <w:rtl/>
        </w:rPr>
        <w:t xml:space="preserve">، </w:t>
      </w:r>
      <w:r w:rsidRPr="005675B2">
        <w:rPr>
          <w:rFonts w:hint="cs"/>
          <w:rtl/>
        </w:rPr>
        <w:t>ثم زاد آخرون معنى آخر عارضهم فيه جمهور المسلمين الا وهو</w:t>
      </w:r>
      <w:r w:rsidR="000636C2">
        <w:rPr>
          <w:rFonts w:hint="cs"/>
          <w:rtl/>
        </w:rPr>
        <w:t xml:space="preserve">: </w:t>
      </w:r>
      <w:r w:rsidRPr="005675B2">
        <w:rPr>
          <w:rFonts w:hint="cs"/>
          <w:u w:val="single"/>
          <w:rtl/>
        </w:rPr>
        <w:t>العلو الحسي المكاني</w:t>
      </w:r>
      <w:r w:rsidR="000636C2">
        <w:rPr>
          <w:rFonts w:hint="cs"/>
          <w:u w:val="single"/>
          <w:rtl/>
        </w:rPr>
        <w:t>:</w:t>
      </w:r>
      <w:r w:rsidRPr="005675B2">
        <w:rPr>
          <w:rFonts w:hint="cs"/>
          <w:u w:val="single"/>
          <w:rtl/>
        </w:rPr>
        <w:t xml:space="preserve"> وهو الجلوس والاستقرار والتمكن سواء أسموه مكان عدمي أم وجودي فالعبرة بالمعاني</w:t>
      </w:r>
      <w:r w:rsidR="000636C2">
        <w:rPr>
          <w:rFonts w:hint="cs"/>
          <w:u w:val="single"/>
          <w:rtl/>
        </w:rPr>
        <w:t>،</w:t>
      </w:r>
    </w:p>
    <w:p w14:paraId="78117735" w14:textId="3C8E1219" w:rsidR="009C32A0" w:rsidRPr="005675B2" w:rsidRDefault="009C32A0" w:rsidP="000636C2">
      <w:pPr>
        <w:rPr>
          <w:b/>
          <w:rtl/>
        </w:rPr>
      </w:pPr>
      <w:r w:rsidRPr="005675B2">
        <w:rPr>
          <w:rFonts w:hint="cs"/>
          <w:rtl/>
        </w:rPr>
        <w:t>فقال هؤلاء</w:t>
      </w:r>
      <w:r w:rsidR="000636C2">
        <w:rPr>
          <w:rFonts w:hint="cs"/>
          <w:rtl/>
        </w:rPr>
        <w:t>:</w:t>
      </w:r>
      <w:r w:rsidRPr="005675B2">
        <w:rPr>
          <w:rFonts w:hint="cs"/>
          <w:rtl/>
        </w:rPr>
        <w:t>إن</w:t>
      </w:r>
      <w:r w:rsidR="000636C2">
        <w:rPr>
          <w:rFonts w:hint="cs"/>
          <w:rtl/>
        </w:rPr>
        <w:t xml:space="preserve"> </w:t>
      </w:r>
      <w:r w:rsidRPr="005675B2">
        <w:rPr>
          <w:rFonts w:hint="cs"/>
          <w:rtl/>
        </w:rPr>
        <w:t>من علو الله أن يكون في جهة</w:t>
      </w:r>
      <w:r w:rsidR="000636C2">
        <w:rPr>
          <w:rFonts w:hint="cs"/>
          <w:rtl/>
        </w:rPr>
        <w:t xml:space="preserve">، </w:t>
      </w:r>
      <w:r w:rsidRPr="005675B2">
        <w:rPr>
          <w:rFonts w:hint="cs"/>
          <w:rtl/>
        </w:rPr>
        <w:t>ثم اختلفوا أصحاب الجهة فيما بينهم</w:t>
      </w:r>
      <w:r w:rsidR="000636C2">
        <w:rPr>
          <w:rFonts w:hint="cs"/>
          <w:rtl/>
        </w:rPr>
        <w:t>:</w:t>
      </w:r>
      <w:r w:rsidRPr="005675B2">
        <w:rPr>
          <w:rFonts w:hint="cs"/>
          <w:rtl/>
        </w:rPr>
        <w:t>فقال أبو عبدالله بن كرام رأس الكرامية</w:t>
      </w:r>
      <w:r w:rsidR="000636C2">
        <w:rPr>
          <w:rFonts w:hint="cs"/>
          <w:rtl/>
        </w:rPr>
        <w:t>:</w:t>
      </w:r>
      <w:r w:rsidRPr="005675B2">
        <w:rPr>
          <w:rFonts w:hint="cs"/>
          <w:rtl/>
        </w:rPr>
        <w:t xml:space="preserve"> أن الله مماس للعرش من الصفحة العليا</w:t>
      </w:r>
      <w:r w:rsidR="000636C2">
        <w:rPr>
          <w:rFonts w:hint="cs"/>
          <w:rtl/>
        </w:rPr>
        <w:t>،</w:t>
      </w:r>
      <w:r w:rsidRPr="005675B2">
        <w:rPr>
          <w:rFonts w:hint="cs"/>
          <w:rtl/>
        </w:rPr>
        <w:t xml:space="preserve"> ومن الكرامية</w:t>
      </w:r>
      <w:r w:rsidR="000636C2">
        <w:rPr>
          <w:rFonts w:hint="cs"/>
          <w:rtl/>
        </w:rPr>
        <w:t xml:space="preserve"> </w:t>
      </w:r>
      <w:r w:rsidRPr="005675B2">
        <w:rPr>
          <w:rFonts w:hint="cs"/>
          <w:rtl/>
        </w:rPr>
        <w:t>من قال</w:t>
      </w:r>
      <w:r w:rsidR="000636C2">
        <w:rPr>
          <w:rFonts w:hint="cs"/>
          <w:rtl/>
        </w:rPr>
        <w:t>:</w:t>
      </w:r>
      <w:r w:rsidRPr="005675B2">
        <w:rPr>
          <w:rFonts w:hint="cs"/>
          <w:rtl/>
        </w:rPr>
        <w:t xml:space="preserve"> إنه على بعض اجزاء العرش</w:t>
      </w:r>
      <w:r w:rsidR="000636C2">
        <w:rPr>
          <w:rFonts w:hint="cs"/>
          <w:rtl/>
        </w:rPr>
        <w:t>،</w:t>
      </w:r>
      <w:r w:rsidRPr="005675B2">
        <w:rPr>
          <w:rFonts w:hint="cs"/>
          <w:rtl/>
        </w:rPr>
        <w:t xml:space="preserve"> وقال بعضهم</w:t>
      </w:r>
      <w:r w:rsidR="000636C2">
        <w:rPr>
          <w:rFonts w:hint="cs"/>
          <w:rtl/>
        </w:rPr>
        <w:t>:</w:t>
      </w:r>
      <w:r w:rsidRPr="005675B2">
        <w:rPr>
          <w:rFonts w:hint="cs"/>
          <w:rtl/>
        </w:rPr>
        <w:t>امتلأ العرش به والمتأخرون منهم قالوا</w:t>
      </w:r>
      <w:r w:rsidR="000636C2">
        <w:rPr>
          <w:rFonts w:hint="cs"/>
          <w:rtl/>
        </w:rPr>
        <w:t>:</w:t>
      </w:r>
      <w:r w:rsidRPr="005675B2">
        <w:rPr>
          <w:rFonts w:hint="cs"/>
          <w:rtl/>
        </w:rPr>
        <w:t xml:space="preserve"> أنه بجهة فوق محاذ للعرش</w:t>
      </w:r>
      <w:r w:rsidR="000636C2">
        <w:rPr>
          <w:rFonts w:hint="cs"/>
          <w:rtl/>
        </w:rPr>
        <w:t>،</w:t>
      </w:r>
      <w:r w:rsidRPr="005675B2">
        <w:rPr>
          <w:rFonts w:hint="cs"/>
          <w:rtl/>
        </w:rPr>
        <w:t xml:space="preserve"> [</w:t>
      </w:r>
      <w:r w:rsidRPr="005675B2">
        <w:rPr>
          <w:rFonts w:hint="cs"/>
          <w:bCs/>
          <w:sz w:val="24"/>
          <w:szCs w:val="24"/>
          <w:rtl/>
        </w:rPr>
        <w:t>الملل والنحل 1/109</w:t>
      </w:r>
      <w:r w:rsidRPr="005675B2">
        <w:rPr>
          <w:rFonts w:hint="cs"/>
          <w:rtl/>
        </w:rPr>
        <w:t>]</w:t>
      </w:r>
      <w:r w:rsidR="000636C2">
        <w:rPr>
          <w:rFonts w:hint="cs"/>
          <w:rtl/>
        </w:rPr>
        <w:t xml:space="preserve">، </w:t>
      </w:r>
      <w:r w:rsidRPr="005675B2">
        <w:rPr>
          <w:rFonts w:hint="cs"/>
          <w:u w:val="single"/>
          <w:rtl/>
        </w:rPr>
        <w:t xml:space="preserve">ثم </w:t>
      </w:r>
      <w:r w:rsidRPr="005675B2">
        <w:rPr>
          <w:rFonts w:hint="cs"/>
          <w:rtl/>
        </w:rPr>
        <w:t>اختلفوا فقالت العابدية</w:t>
      </w:r>
      <w:r w:rsidR="000636C2">
        <w:rPr>
          <w:rFonts w:hint="cs"/>
          <w:rtl/>
        </w:rPr>
        <w:t>:</w:t>
      </w:r>
      <w:r w:rsidRPr="005675B2">
        <w:rPr>
          <w:rFonts w:hint="cs"/>
          <w:rtl/>
        </w:rPr>
        <w:t xml:space="preserve"> إن بينه وبين العرش من البعد مسافة مالو قدر مشغول بالجواهر لاتصلت به</w:t>
      </w:r>
      <w:r w:rsidR="000636C2">
        <w:rPr>
          <w:rFonts w:hint="cs"/>
          <w:rtl/>
        </w:rPr>
        <w:t xml:space="preserve">، </w:t>
      </w:r>
      <w:r w:rsidRPr="005675B2">
        <w:rPr>
          <w:rFonts w:hint="cs"/>
          <w:rtl/>
        </w:rPr>
        <w:t>وقال ابن الهيصم</w:t>
      </w:r>
      <w:r w:rsidR="000636C2">
        <w:rPr>
          <w:rFonts w:hint="cs"/>
          <w:rtl/>
        </w:rPr>
        <w:t>:</w:t>
      </w:r>
      <w:r w:rsidRPr="005675B2">
        <w:rPr>
          <w:rFonts w:hint="cs"/>
          <w:rtl/>
        </w:rPr>
        <w:t xml:space="preserve"> إن بينه وبين العرش بعد لا يتناهى وأنه مباين ونفى التحيز والمحاذاة وأثبت الفوقية الحسية والمباينة</w:t>
      </w:r>
      <w:r w:rsidR="000636C2">
        <w:rPr>
          <w:rFonts w:hint="cs"/>
          <w:rtl/>
        </w:rPr>
        <w:t xml:space="preserve">، </w:t>
      </w:r>
      <w:r w:rsidRPr="005675B2">
        <w:rPr>
          <w:rFonts w:hint="cs"/>
          <w:rtl/>
        </w:rPr>
        <w:t>ثم لهم اختلافات في النهاية والحد فمنهم من أثبتها من الجهات الست</w:t>
      </w:r>
      <w:r w:rsidR="000636C2">
        <w:rPr>
          <w:rFonts w:hint="cs"/>
          <w:rtl/>
        </w:rPr>
        <w:t>،</w:t>
      </w:r>
      <w:r w:rsidRPr="005675B2">
        <w:rPr>
          <w:rFonts w:hint="cs"/>
          <w:rtl/>
        </w:rPr>
        <w:t>ومنهم من أثبتها من جهة تحت، ومنهم من أنكر ذلك</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الملل والنحل 1/111</w:t>
      </w:r>
      <w:r w:rsidRPr="005675B2">
        <w:rPr>
          <w:rFonts w:hint="cs"/>
          <w:rtl/>
        </w:rPr>
        <w:t xml:space="preserve">] وأثبت ابن الهيصم الكرامي أنه في جهة فوق في الخلاء </w:t>
      </w:r>
      <w:r w:rsidRPr="005675B2">
        <w:rPr>
          <w:rFonts w:hint="cs"/>
          <w:u w:val="single"/>
          <w:rtl/>
        </w:rPr>
        <w:t>فأثبت ما أثبتته الفلاسفة</w:t>
      </w:r>
      <w:r w:rsidR="000636C2">
        <w:rPr>
          <w:rFonts w:hint="cs"/>
          <w:rtl/>
        </w:rPr>
        <w:t xml:space="preserve"> </w:t>
      </w:r>
      <w:r w:rsidRPr="005675B2">
        <w:rPr>
          <w:rFonts w:hint="cs"/>
          <w:rtl/>
        </w:rPr>
        <w:t>وهو نفس ما قرره الإمام ابن تيمية قبل توبته</w:t>
      </w:r>
      <w:r w:rsidR="000636C2">
        <w:rPr>
          <w:rFonts w:hint="cs"/>
          <w:rtl/>
        </w:rPr>
        <w:t>،</w:t>
      </w:r>
      <w:r w:rsidRPr="005675B2">
        <w:rPr>
          <w:rFonts w:hint="cs"/>
          <w:rtl/>
        </w:rPr>
        <w:t xml:space="preserve"> [</w:t>
      </w:r>
      <w:r w:rsidRPr="005675B2">
        <w:rPr>
          <w:rFonts w:hint="cs"/>
          <w:bCs/>
          <w:sz w:val="24"/>
          <w:szCs w:val="24"/>
          <w:rtl/>
        </w:rPr>
        <w:t>نفس المصدر 1/112</w:t>
      </w:r>
      <w:r w:rsidRPr="005675B2">
        <w:rPr>
          <w:rFonts w:hint="cs"/>
          <w:rtl/>
        </w:rPr>
        <w:t>] وهذا مضاد لعقيدة أهل السنة</w:t>
      </w:r>
      <w:r w:rsidR="000636C2">
        <w:rPr>
          <w:rFonts w:hint="cs"/>
          <w:rtl/>
        </w:rPr>
        <w:t>،</w:t>
      </w:r>
      <w:r w:rsidRPr="005675B2">
        <w:rPr>
          <w:rFonts w:hint="cs"/>
          <w:rtl/>
        </w:rPr>
        <w:t xml:space="preserve"> قال الإمام أحمد رضي الله عنه ورحمه</w:t>
      </w:r>
      <w:r w:rsidR="000636C2">
        <w:rPr>
          <w:rFonts w:hint="cs"/>
          <w:rtl/>
        </w:rPr>
        <w:t>:</w:t>
      </w:r>
      <w:r w:rsidRPr="005675B2">
        <w:rPr>
          <w:rFonts w:hint="cs"/>
          <w:rtl/>
        </w:rPr>
        <w:t xml:space="preserve"> ولا يجوز أن يقال أنه استوى بمماسة ولا بملاقاة تعالى الله عن ذلك علواً كبيراً</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اعتقاد الإمام أحمد ص41</w:t>
      </w:r>
      <w:r w:rsidRPr="005675B2">
        <w:rPr>
          <w:rFonts w:hint="cs"/>
          <w:rtl/>
        </w:rPr>
        <w:t>]</w:t>
      </w:r>
    </w:p>
    <w:p w14:paraId="51172F27" w14:textId="20864242" w:rsidR="009C32A0" w:rsidRPr="005675B2" w:rsidRDefault="009C32A0" w:rsidP="000636C2">
      <w:pPr>
        <w:rPr>
          <w:b/>
          <w:rtl/>
        </w:rPr>
      </w:pPr>
      <w:r w:rsidRPr="005675B2">
        <w:rPr>
          <w:rFonts w:hint="cs"/>
          <w:rtl/>
        </w:rPr>
        <w:t>وقال الإمام</w:t>
      </w:r>
      <w:r w:rsidR="000636C2">
        <w:rPr>
          <w:rFonts w:hint="cs"/>
          <w:rtl/>
        </w:rPr>
        <w:t xml:space="preserve"> </w:t>
      </w:r>
      <w:r w:rsidRPr="005675B2">
        <w:rPr>
          <w:rFonts w:hint="cs"/>
          <w:rtl/>
        </w:rPr>
        <w:t xml:space="preserve">أبو سليمان الخطابي </w:t>
      </w:r>
      <w:r w:rsidR="000636C2">
        <w:rPr>
          <w:rFonts w:hint="cs"/>
          <w:rtl/>
        </w:rPr>
        <w:t>(</w:t>
      </w:r>
      <w:r w:rsidRPr="005675B2">
        <w:rPr>
          <w:rFonts w:hint="cs"/>
          <w:rtl/>
        </w:rPr>
        <w:t>388 ه</w:t>
      </w:r>
      <w:r w:rsidR="000636C2">
        <w:rPr>
          <w:rFonts w:hint="cs"/>
          <w:rtl/>
        </w:rPr>
        <w:t xml:space="preserve"> </w:t>
      </w:r>
      <w:r w:rsidRPr="005675B2">
        <w:rPr>
          <w:rFonts w:hint="cs"/>
          <w:rtl/>
        </w:rPr>
        <w:t>-</w:t>
      </w:r>
      <w:r w:rsidR="000636C2">
        <w:rPr>
          <w:rFonts w:hint="cs"/>
          <w:rtl/>
        </w:rPr>
        <w:t>)</w:t>
      </w:r>
      <w:r w:rsidRPr="005675B2">
        <w:rPr>
          <w:rFonts w:hint="cs"/>
          <w:rtl/>
        </w:rPr>
        <w:t xml:space="preserve"> وهو من أصحاب الحديث صاحب "معالم السنن" ما نصه</w:t>
      </w:r>
      <w:r w:rsidRPr="005675B2">
        <w:t xml:space="preserve"> "</w:t>
      </w:r>
      <w:r w:rsidRPr="005675B2">
        <w:rPr>
          <w:rFonts w:hint="cs"/>
          <w:rtl/>
        </w:rPr>
        <w:t>وليس معنى قول المسلمين إن الله على العرش هو أنه تعالى مماس له أو متمكن فيه، أو</w:t>
      </w:r>
      <w:r w:rsidRPr="005675B2">
        <w:rPr>
          <w:rFonts w:hint="cs"/>
        </w:rPr>
        <w:t xml:space="preserve"> </w:t>
      </w:r>
      <w:r w:rsidRPr="005675B2">
        <w:rPr>
          <w:rFonts w:hint="cs"/>
          <w:rtl/>
        </w:rPr>
        <w:t>متحيز في جهة من جهاته، لكنه بائن من جميع خلقه، وإنما هو خبر جاء به التوقيف فقلنا</w:t>
      </w:r>
      <w:r w:rsidRPr="005675B2">
        <w:rPr>
          <w:rFonts w:hint="cs"/>
        </w:rPr>
        <w:t xml:space="preserve"> </w:t>
      </w:r>
      <w:r w:rsidRPr="005675B2">
        <w:rPr>
          <w:rFonts w:hint="cs"/>
          <w:rtl/>
        </w:rPr>
        <w:t xml:space="preserve">به ونفينا عنه التكييف إذ </w:t>
      </w:r>
      <w:r w:rsidR="000636C2">
        <w:rPr>
          <w:rFonts w:hint="cs"/>
          <w:rtl/>
        </w:rPr>
        <w:t>(</w:t>
      </w:r>
      <w:r w:rsidRPr="005675B2">
        <w:rPr>
          <w:rFonts w:hint="cs"/>
          <w:rtl/>
        </w:rPr>
        <w:t>لَيْسَ كَمِثْلِهِ شَيْءٌ وَهُوَ السَّمِيعُ البَصِيرُ</w:t>
      </w:r>
      <w:r w:rsidR="000636C2">
        <w:rPr>
          <w:rFonts w:hint="cs"/>
          <w:rtl/>
        </w:rPr>
        <w:t>)</w:t>
      </w:r>
      <w:r w:rsidRPr="005675B2">
        <w:rPr>
          <w:rFonts w:hint="cs"/>
          <w:rtl/>
        </w:rPr>
        <w:t>ا</w:t>
      </w:r>
      <w:r w:rsidRPr="005675B2">
        <w:rPr>
          <w:rFonts w:hint="cs"/>
        </w:rPr>
        <w:t xml:space="preserve"> </w:t>
      </w:r>
      <w:r w:rsidRPr="005675B2">
        <w:rPr>
          <w:rFonts w:hint="cs"/>
          <w:rtl/>
        </w:rPr>
        <w:t>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أعلام الحديث</w:t>
      </w:r>
      <w:r w:rsidR="000636C2">
        <w:rPr>
          <w:rFonts w:hint="cs"/>
          <w:rtl/>
        </w:rPr>
        <w:t>:</w:t>
      </w:r>
      <w:r w:rsidRPr="005675B2">
        <w:rPr>
          <w:rFonts w:hint="cs"/>
          <w:rtl/>
        </w:rPr>
        <w:t xml:space="preserve"> كتاب بدء الخلق، باب ما جاء في قوله تعالى</w:t>
      </w:r>
      <w:r w:rsidR="000636C2">
        <w:rPr>
          <w:rFonts w:hint="cs"/>
          <w:rtl/>
        </w:rPr>
        <w:t>:</w:t>
      </w:r>
      <w:r w:rsidRPr="005675B2">
        <w:rPr>
          <w:rFonts w:hint="cs"/>
          <w:rtl/>
        </w:rPr>
        <w:t xml:space="preserve"> {هُوَ الَّذِي</w:t>
      </w:r>
      <w:r w:rsidRPr="005675B2">
        <w:rPr>
          <w:rFonts w:hint="cs"/>
        </w:rPr>
        <w:t xml:space="preserve"> </w:t>
      </w:r>
      <w:r w:rsidRPr="005675B2">
        <w:rPr>
          <w:rFonts w:hint="cs"/>
          <w:rtl/>
        </w:rPr>
        <w:t>يَبْدَأُ الْخَلْقَ ثُمَّ يُعِيدُهُ وَهُوَ أَهْوَنُ عَلَيْهِ} [</w:t>
      </w:r>
      <w:r w:rsidRPr="005675B2">
        <w:rPr>
          <w:rFonts w:hint="cs"/>
          <w:bCs/>
          <w:sz w:val="24"/>
          <w:szCs w:val="24"/>
          <w:rtl/>
        </w:rPr>
        <w:t>2/147</w:t>
      </w:r>
      <w:r w:rsidRPr="005675B2">
        <w:rPr>
          <w:rFonts w:hint="cs"/>
          <w:rtl/>
        </w:rPr>
        <w:t>]</w:t>
      </w:r>
      <w:r w:rsidR="000636C2">
        <w:rPr>
          <w:rFonts w:hint="cs"/>
          <w:rtl/>
        </w:rPr>
        <w:t>،</w:t>
      </w:r>
      <w:r w:rsidRPr="005675B2">
        <w:rPr>
          <w:rFonts w:hint="cs"/>
          <w:rtl/>
        </w:rPr>
        <w:t xml:space="preserve"> وقد تمسكوا بإثبات الجهة المكانية لله بأدلة أجاب عنها أهل السنة والجماعة وستجد شبهاتهم والرد عليها في ثناياالبحث إن شاء الله</w:t>
      </w:r>
      <w:r w:rsidR="000636C2">
        <w:rPr>
          <w:rFonts w:hint="cs"/>
          <w:rtl/>
        </w:rPr>
        <w:t>،</w:t>
      </w:r>
    </w:p>
    <w:p w14:paraId="0178D199" w14:textId="0C10560F" w:rsidR="009C32A0" w:rsidRPr="005675B2" w:rsidRDefault="009C32A0" w:rsidP="000636C2">
      <w:pPr>
        <w:rPr>
          <w:b/>
          <w:rtl/>
        </w:rPr>
      </w:pPr>
      <w:r w:rsidRPr="005675B2">
        <w:rPr>
          <w:rFonts w:hint="cs"/>
          <w:rtl/>
        </w:rPr>
        <w:t>الدعوى الثالثة</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w:t>
      </w:r>
      <w:r w:rsidR="000636C2">
        <w:rPr>
          <w:rFonts w:hint="cs"/>
          <w:rtl/>
        </w:rPr>
        <w:t>(</w:t>
      </w:r>
      <w:r w:rsidRPr="005675B2">
        <w:rPr>
          <w:rFonts w:hint="cs"/>
          <w:rtl/>
        </w:rPr>
        <w:t>ومعلوم أيضاً أن أصولهم مستمدة من بشر المريسي</w:t>
      </w:r>
      <w:r w:rsidR="000636C2">
        <w:rPr>
          <w:rFonts w:hint="cs"/>
          <w:rtl/>
        </w:rPr>
        <w:t>)،!</w:t>
      </w:r>
      <w:r w:rsidRPr="005675B2">
        <w:rPr>
          <w:rFonts w:hint="cs"/>
          <w:rtl/>
        </w:rPr>
        <w:t>!</w:t>
      </w:r>
      <w:r w:rsidR="000636C2">
        <w:rPr>
          <w:rFonts w:hint="cs"/>
          <w:rtl/>
        </w:rPr>
        <w:t xml:space="preserve"> </w:t>
      </w:r>
      <w:r w:rsidRPr="005675B2">
        <w:rPr>
          <w:rFonts w:hint="cs"/>
          <w:rtl/>
        </w:rPr>
        <w:t>وهذا باطل</w:t>
      </w:r>
      <w:r w:rsidR="000636C2">
        <w:rPr>
          <w:rFonts w:hint="cs"/>
          <w:rtl/>
        </w:rPr>
        <w:t>:</w:t>
      </w:r>
      <w:r w:rsidRPr="005675B2">
        <w:rPr>
          <w:rFonts w:hint="cs"/>
          <w:rtl/>
        </w:rPr>
        <w:t xml:space="preserve"> وتجاسر من الكاتب هداه الله</w:t>
      </w:r>
      <w:r w:rsidR="000636C2">
        <w:rPr>
          <w:rFonts w:hint="cs"/>
          <w:rtl/>
        </w:rPr>
        <w:t>،</w:t>
      </w:r>
      <w:r w:rsidRPr="005675B2">
        <w:rPr>
          <w:rFonts w:hint="cs"/>
          <w:rtl/>
        </w:rPr>
        <w:t>فليت خصمه واحد</w:t>
      </w:r>
      <w:r w:rsidR="000636C2">
        <w:rPr>
          <w:rFonts w:hint="cs"/>
          <w:rtl/>
        </w:rPr>
        <w:t xml:space="preserve"> </w:t>
      </w:r>
      <w:r w:rsidRPr="005675B2">
        <w:rPr>
          <w:rFonts w:hint="cs"/>
          <w:rtl/>
        </w:rPr>
        <w:t>ولكنهم جمهور علماء أهل السنة</w:t>
      </w:r>
      <w:r w:rsidR="000636C2">
        <w:rPr>
          <w:rFonts w:hint="cs"/>
          <w:rtl/>
        </w:rPr>
        <w:t>،</w:t>
      </w:r>
      <w:r w:rsidRPr="005675B2">
        <w:rPr>
          <w:rFonts w:hint="cs"/>
          <w:rtl/>
        </w:rPr>
        <w:t xml:space="preserve"> وأما المريسي فذكر في ترجمته أنه جرد القول بخلق القرآن</w:t>
      </w:r>
      <w:r w:rsidR="000636C2">
        <w:rPr>
          <w:rFonts w:hint="cs"/>
          <w:rtl/>
        </w:rPr>
        <w:t>،</w:t>
      </w:r>
      <w:r w:rsidRPr="005675B2">
        <w:rPr>
          <w:rFonts w:hint="cs"/>
          <w:rtl/>
        </w:rPr>
        <w:t xml:space="preserve"> ودعا إليه</w:t>
      </w:r>
      <w:r w:rsidR="000636C2">
        <w:rPr>
          <w:rFonts w:hint="cs"/>
          <w:rtl/>
        </w:rPr>
        <w:t>،</w:t>
      </w:r>
      <w:r w:rsidRPr="005675B2">
        <w:rPr>
          <w:rFonts w:hint="cs"/>
          <w:rtl/>
        </w:rPr>
        <w:t xml:space="preserve"> حتى كان عين الجهمية في عصره وعالمهم</w:t>
      </w:r>
      <w:r w:rsidR="000636C2">
        <w:rPr>
          <w:rFonts w:hint="cs"/>
          <w:rtl/>
        </w:rPr>
        <w:t>،</w:t>
      </w:r>
      <w:r w:rsidRPr="005675B2">
        <w:rPr>
          <w:rFonts w:hint="cs"/>
          <w:rtl/>
        </w:rPr>
        <w:t xml:space="preserve"> فمقته</w:t>
      </w:r>
      <w:r w:rsidRPr="005675B2">
        <w:rPr>
          <w:rFonts w:hint="cs"/>
        </w:rPr>
        <w:t xml:space="preserve"> </w:t>
      </w:r>
      <w:r w:rsidRPr="005675B2">
        <w:rPr>
          <w:rFonts w:hint="cs"/>
          <w:rtl/>
        </w:rPr>
        <w:t>أهل العلم</w:t>
      </w:r>
      <w:r w:rsidR="000636C2">
        <w:rPr>
          <w:rFonts w:hint="cs"/>
          <w:rtl/>
        </w:rPr>
        <w:t>،</w:t>
      </w:r>
      <w:r w:rsidRPr="005675B2">
        <w:rPr>
          <w:rFonts w:hint="cs"/>
          <w:rtl/>
        </w:rPr>
        <w:t xml:space="preserve"> وكفره عدة</w:t>
      </w:r>
      <w:r w:rsidR="000636C2">
        <w:rPr>
          <w:rFonts w:hint="cs"/>
          <w:rtl/>
        </w:rPr>
        <w:t>،</w:t>
      </w:r>
      <w:r w:rsidRPr="005675B2">
        <w:rPr>
          <w:rFonts w:hint="cs"/>
          <w:rtl/>
        </w:rPr>
        <w:t xml:space="preserve"> ولم يدرك جهم بن صفوان</w:t>
      </w:r>
      <w:r w:rsidR="000636C2">
        <w:rPr>
          <w:rFonts w:hint="cs"/>
          <w:rtl/>
        </w:rPr>
        <w:t>،</w:t>
      </w:r>
      <w:r w:rsidRPr="005675B2">
        <w:rPr>
          <w:rFonts w:hint="cs"/>
          <w:rtl/>
        </w:rPr>
        <w:t xml:space="preserve"> بل تلقف مقالاته من أتباعه</w:t>
      </w:r>
      <w:r w:rsidR="000636C2">
        <w:rPr>
          <w:rFonts w:hint="cs"/>
          <w:rtl/>
        </w:rPr>
        <w:t>،</w:t>
      </w:r>
      <w:r w:rsidRPr="005675B2">
        <w:rPr>
          <w:rFonts w:hint="cs"/>
          <w:rtl/>
        </w:rPr>
        <w:t xml:space="preserve"> فهل تجعل هذا قدوة للأشاعرة رحمهم الله تعالى</w:t>
      </w:r>
      <w:r w:rsidR="000636C2">
        <w:rPr>
          <w:rFonts w:hint="cs"/>
          <w:rtl/>
        </w:rPr>
        <w:t>؟،</w:t>
      </w:r>
      <w:r w:rsidRPr="005675B2">
        <w:rPr>
          <w:rFonts w:hint="cs"/>
          <w:rtl/>
        </w:rPr>
        <w:t xml:space="preserve"> والأشاعرة منذ ظهروا وهم شوكة في حلوق المعتزلة فضل عن لجهمية</w:t>
      </w:r>
      <w:r w:rsidR="000636C2">
        <w:rPr>
          <w:rFonts w:hint="cs"/>
          <w:rtl/>
        </w:rPr>
        <w:t xml:space="preserve">، </w:t>
      </w:r>
    </w:p>
    <w:p w14:paraId="130D99AD" w14:textId="2EA646CF"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الحنابلة</w:t>
      </w:r>
      <w:r w:rsidR="000636C2">
        <w:rPr>
          <w:rFonts w:hint="cs"/>
          <w:rtl/>
        </w:rPr>
        <w:t>:</w:t>
      </w:r>
      <w:r w:rsidRPr="005675B2">
        <w:rPr>
          <w:rFonts w:hint="cs"/>
          <w:rtl/>
        </w:rPr>
        <w:t xml:space="preserve"> موقف</w:t>
      </w:r>
      <w:r w:rsidRPr="005675B2">
        <w:rPr>
          <w:rFonts w:hint="cs"/>
        </w:rPr>
        <w:t xml:space="preserve"> </w:t>
      </w:r>
      <w:r w:rsidRPr="005675B2">
        <w:rPr>
          <w:rFonts w:hint="cs"/>
          <w:rtl/>
        </w:rPr>
        <w:t>الحنابلة من الأشاعرة أشهر من أن يذكر فمنذ بدّع الإماه م أحمد</w:t>
      </w:r>
      <w:r w:rsidRPr="005675B2">
        <w:rPr>
          <w:rFonts w:hint="cs"/>
        </w:rPr>
        <w:t xml:space="preserve"> </w:t>
      </w:r>
      <w:r w:rsidRPr="005675B2">
        <w:rPr>
          <w:rFonts w:hint="cs"/>
          <w:rtl/>
        </w:rPr>
        <w:t>"</w:t>
      </w:r>
      <w:r w:rsidRPr="005675B2">
        <w:rPr>
          <w:rFonts w:hint="cs"/>
        </w:rPr>
        <w:t xml:space="preserve"> </w:t>
      </w:r>
      <w:r w:rsidRPr="005675B2">
        <w:rPr>
          <w:rFonts w:hint="cs"/>
          <w:rtl/>
        </w:rPr>
        <w:t>ابن كلاب</w:t>
      </w:r>
      <w:r w:rsidRPr="005675B2">
        <w:rPr>
          <w:rFonts w:hint="cs"/>
        </w:rPr>
        <w:t xml:space="preserve"> </w:t>
      </w:r>
      <w:r w:rsidRPr="005675B2">
        <w:rPr>
          <w:rFonts w:hint="cs"/>
          <w:rtl/>
        </w:rPr>
        <w:t>"</w:t>
      </w:r>
      <w:r w:rsidRPr="005675B2">
        <w:rPr>
          <w:rFonts w:hint="cs"/>
        </w:rPr>
        <w:t xml:space="preserve"> </w:t>
      </w:r>
      <w:r w:rsidRPr="005675B2">
        <w:rPr>
          <w:rFonts w:hint="cs"/>
          <w:rtl/>
        </w:rPr>
        <w:t>وأمر بهجره</w:t>
      </w:r>
      <w:r w:rsidR="000636C2">
        <w:rPr>
          <w:rFonts w:hint="cs"/>
          <w:rtl/>
        </w:rPr>
        <w:t xml:space="preserve"> </w:t>
      </w:r>
      <w:r w:rsidRPr="005675B2">
        <w:rPr>
          <w:rFonts w:hint="cs"/>
          <w:rtl/>
        </w:rPr>
        <w:t>- وهو المؤسس الحقيقي للمذهب الأشعري</w:t>
      </w:r>
      <w:r w:rsidR="000636C2">
        <w:rPr>
          <w:rFonts w:hint="cs"/>
          <w:rtl/>
        </w:rPr>
        <w:t xml:space="preserve"> </w:t>
      </w:r>
      <w:r w:rsidRPr="005675B2">
        <w:rPr>
          <w:rFonts w:hint="cs"/>
          <w:rtl/>
        </w:rPr>
        <w:t>- لم يزل الحنابلة معهم في معركة طويلة</w:t>
      </w:r>
      <w:r w:rsidR="000636C2">
        <w:rPr>
          <w:rFonts w:hint="cs"/>
          <w:rtl/>
        </w:rPr>
        <w:t>،</w:t>
      </w:r>
      <w:r w:rsidRPr="005675B2">
        <w:rPr>
          <w:rFonts w:hint="cs"/>
          <w:rtl/>
        </w:rPr>
        <w:t xml:space="preserve"> وحتى في أيام دولة نظام الملك</w:t>
      </w:r>
      <w:r w:rsidR="000636C2">
        <w:rPr>
          <w:rFonts w:hint="cs"/>
          <w:rtl/>
        </w:rPr>
        <w:t xml:space="preserve"> </w:t>
      </w:r>
      <w:r w:rsidRPr="005675B2">
        <w:rPr>
          <w:rFonts w:hint="cs"/>
          <w:rtl/>
        </w:rPr>
        <w:t>- التي</w:t>
      </w:r>
      <w:r w:rsidRPr="005675B2">
        <w:rPr>
          <w:rFonts w:hint="cs"/>
        </w:rPr>
        <w:t xml:space="preserve"> </w:t>
      </w:r>
      <w:r w:rsidRPr="005675B2">
        <w:rPr>
          <w:rFonts w:hint="cs"/>
          <w:rtl/>
        </w:rPr>
        <w:t>استطالوا فيها</w:t>
      </w:r>
      <w:r w:rsidR="000636C2">
        <w:rPr>
          <w:rFonts w:hint="cs"/>
          <w:rtl/>
        </w:rPr>
        <w:t xml:space="preserve"> </w:t>
      </w:r>
      <w:r w:rsidRPr="005675B2">
        <w:rPr>
          <w:rFonts w:hint="cs"/>
          <w:rtl/>
        </w:rPr>
        <w:t>- وبعدها كان الحنابلة يخرجون من بغداد كل واعظ يخلط قصصه بشيء من</w:t>
      </w:r>
      <w:r w:rsidRPr="005675B2">
        <w:rPr>
          <w:rFonts w:hint="cs"/>
        </w:rPr>
        <w:t xml:space="preserve"> </w:t>
      </w:r>
      <w:r w:rsidRPr="005675B2">
        <w:rPr>
          <w:rFonts w:hint="cs"/>
          <w:rtl/>
        </w:rPr>
        <w:t>مذهب الأشاعرة</w:t>
      </w:r>
      <w:r w:rsidR="000636C2">
        <w:rPr>
          <w:rFonts w:hint="cs"/>
          <w:rtl/>
        </w:rPr>
        <w:t>،</w:t>
      </w:r>
      <w:r w:rsidRPr="005675B2">
        <w:rPr>
          <w:rFonts w:hint="cs"/>
          <w:rtl/>
        </w:rPr>
        <w:t xml:space="preserve"> ولم يكن ابن القشيري إلا واحداً ممن تعرض لذلك</w:t>
      </w:r>
      <w:r w:rsidR="000636C2">
        <w:rPr>
          <w:rFonts w:hint="cs"/>
          <w:rtl/>
        </w:rPr>
        <w:t>،</w:t>
      </w:r>
      <w:r w:rsidRPr="005675B2">
        <w:rPr>
          <w:rFonts w:hint="cs"/>
          <w:rtl/>
        </w:rPr>
        <w:t xml:space="preserve"> وبسبب انتشار</w:t>
      </w:r>
      <w:r w:rsidRPr="005675B2">
        <w:rPr>
          <w:rFonts w:hint="cs"/>
        </w:rPr>
        <w:t xml:space="preserve"> </w:t>
      </w:r>
      <w:r w:rsidRPr="005675B2">
        <w:rPr>
          <w:rFonts w:hint="cs"/>
          <w:rtl/>
        </w:rPr>
        <w:t>مذهبهم وإجماع علماء الدولة سيما الحنابلة على محاربته أصدر الخليفة القادر منشور</w:t>
      </w:r>
      <w:r w:rsidRPr="005675B2">
        <w:rPr>
          <w:rFonts w:hint="cs"/>
        </w:rPr>
        <w:t xml:space="preserve"> </w:t>
      </w:r>
      <w:r w:rsidRPr="005675B2">
        <w:rPr>
          <w:rFonts w:hint="cs"/>
          <w:rtl/>
        </w:rPr>
        <w:t>"</w:t>
      </w:r>
      <w:r w:rsidRPr="005675B2">
        <w:rPr>
          <w:rFonts w:hint="cs"/>
        </w:rPr>
        <w:t xml:space="preserve"> </w:t>
      </w:r>
      <w:r w:rsidRPr="005675B2">
        <w:rPr>
          <w:rFonts w:hint="cs"/>
          <w:rtl/>
        </w:rPr>
        <w:t>الاعتقاد القادري</w:t>
      </w:r>
      <w:r w:rsidRPr="005675B2">
        <w:rPr>
          <w:rFonts w:hint="cs"/>
        </w:rPr>
        <w:t xml:space="preserve"> </w:t>
      </w:r>
      <w:r w:rsidRPr="005675B2">
        <w:rPr>
          <w:rFonts w:hint="cs"/>
          <w:rtl/>
        </w:rPr>
        <w:t>"</w:t>
      </w:r>
      <w:r w:rsidRPr="005675B2">
        <w:rPr>
          <w:rFonts w:hint="cs"/>
        </w:rPr>
        <w:t xml:space="preserve"> </w:t>
      </w:r>
      <w:r w:rsidRPr="005675B2">
        <w:rPr>
          <w:rFonts w:hint="cs"/>
          <w:rtl/>
        </w:rPr>
        <w:t>أوضح فيه العقيدة الواجب على الأمة اعتقادها سنة 433 ه</w:t>
      </w:r>
      <w:r w:rsidR="000636C2">
        <w:rPr>
          <w:rFonts w:hint="cs"/>
          <w:rtl/>
        </w:rPr>
        <w:t xml:space="preserve"> </w:t>
      </w:r>
      <w:r w:rsidRPr="005675B2">
        <w:rPr>
          <w:rFonts w:hint="cs"/>
          <w:rtl/>
        </w:rPr>
        <w:t>-</w:t>
      </w:r>
      <w:r w:rsidR="000636C2">
        <w:rPr>
          <w:rFonts w:hint="cs"/>
          <w:rtl/>
        </w:rPr>
        <w:t>،</w:t>
      </w:r>
    </w:p>
    <w:p w14:paraId="0BCD3315" w14:textId="61945821" w:rsidR="009C32A0" w:rsidRPr="005675B2" w:rsidRDefault="000636C2" w:rsidP="000636C2">
      <w:pPr>
        <w:rPr>
          <w:b/>
          <w:rtl/>
        </w:rPr>
      </w:pPr>
      <w:r>
        <w:rPr>
          <w:rFonts w:hint="cs"/>
          <w:rtl/>
        </w:rPr>
        <w:t>[</w:t>
      </w:r>
      <w:r w:rsidR="009C32A0">
        <w:rPr>
          <w:rFonts w:hint="cs"/>
          <w:rtl/>
        </w:rPr>
        <w:t>الجواب</w:t>
      </w:r>
      <w:r>
        <w:rPr>
          <w:rFonts w:hint="cs"/>
          <w:rtl/>
        </w:rPr>
        <w:t xml:space="preserve">] </w:t>
      </w:r>
      <w:r w:rsidR="009C32A0" w:rsidRPr="005675B2">
        <w:rPr>
          <w:rFonts w:hint="cs"/>
          <w:rtl/>
        </w:rPr>
        <w:t>على هذه الشبهة</w:t>
      </w:r>
      <w:r>
        <w:rPr>
          <w:rFonts w:hint="cs"/>
          <w:rtl/>
        </w:rPr>
        <w:t>:</w:t>
      </w:r>
      <w:r w:rsidR="009C32A0" w:rsidRPr="005675B2">
        <w:rPr>
          <w:rFonts w:hint="cs"/>
          <w:rtl/>
        </w:rPr>
        <w:t xml:space="preserve"> وفي كلامكم أخي رعاك الله عدة مسائل</w:t>
      </w:r>
      <w:r>
        <w:rPr>
          <w:rFonts w:hint="cs"/>
          <w:rtl/>
        </w:rPr>
        <w:t xml:space="preserve">: </w:t>
      </w:r>
    </w:p>
    <w:p w14:paraId="5A2D5234" w14:textId="607BA97A" w:rsidR="009C32A0" w:rsidRPr="005675B2" w:rsidRDefault="009C32A0" w:rsidP="000636C2">
      <w:pPr>
        <w:rPr>
          <w:b/>
          <w:rtl/>
        </w:rPr>
      </w:pPr>
      <w:r w:rsidRPr="005675B2">
        <w:rPr>
          <w:rFonts w:hint="cs"/>
          <w:rtl/>
        </w:rPr>
        <w:t>الأولى</w:t>
      </w:r>
      <w:r w:rsidR="000636C2">
        <w:rPr>
          <w:rFonts w:hint="cs"/>
          <w:rtl/>
        </w:rPr>
        <w:t>:</w:t>
      </w:r>
      <w:r w:rsidRPr="005675B2">
        <w:rPr>
          <w:rFonts w:hint="cs"/>
          <w:rtl/>
        </w:rPr>
        <w:t xml:space="preserve"> قول الكاتب </w:t>
      </w:r>
      <w:r w:rsidR="000636C2">
        <w:rPr>
          <w:rFonts w:hint="cs"/>
          <w:rtl/>
        </w:rPr>
        <w:t>[</w:t>
      </w:r>
      <w:r w:rsidRPr="005675B2">
        <w:rPr>
          <w:rFonts w:hint="cs"/>
          <w:rtl/>
        </w:rPr>
        <w:t>فمنذ بدّع الإمام أحمد</w:t>
      </w:r>
      <w:r w:rsidRPr="005675B2">
        <w:rPr>
          <w:rFonts w:hint="cs"/>
        </w:rPr>
        <w:t xml:space="preserve"> </w:t>
      </w:r>
      <w:r w:rsidRPr="005675B2">
        <w:rPr>
          <w:rFonts w:hint="cs"/>
          <w:rtl/>
        </w:rPr>
        <w:t>"</w:t>
      </w:r>
      <w:r w:rsidRPr="005675B2">
        <w:rPr>
          <w:rFonts w:hint="cs"/>
        </w:rPr>
        <w:t xml:space="preserve"> </w:t>
      </w:r>
      <w:r w:rsidRPr="005675B2">
        <w:rPr>
          <w:rFonts w:hint="cs"/>
          <w:rtl/>
        </w:rPr>
        <w:t>ابن كلاب</w:t>
      </w:r>
      <w:r w:rsidRPr="005675B2">
        <w:rPr>
          <w:rFonts w:hint="cs"/>
        </w:rPr>
        <w:t xml:space="preserve"> </w:t>
      </w:r>
      <w:r w:rsidRPr="005675B2">
        <w:rPr>
          <w:rFonts w:hint="cs"/>
          <w:rtl/>
        </w:rPr>
        <w:t>"</w:t>
      </w:r>
      <w:r w:rsidRPr="005675B2">
        <w:rPr>
          <w:rFonts w:hint="cs"/>
        </w:rPr>
        <w:t xml:space="preserve"> </w:t>
      </w:r>
      <w:r w:rsidRPr="005675B2">
        <w:rPr>
          <w:rFonts w:hint="cs"/>
          <w:rtl/>
        </w:rPr>
        <w:t>وأمر بهجره ..</w:t>
      </w:r>
      <w:r w:rsidR="000636C2">
        <w:rPr>
          <w:rFonts w:hint="cs"/>
          <w:rtl/>
        </w:rPr>
        <w:t>]،</w:t>
      </w:r>
      <w:r w:rsidRPr="005675B2">
        <w:rPr>
          <w:rFonts w:hint="cs"/>
          <w:rtl/>
        </w:rPr>
        <w:t xml:space="preserve"> أقول للأخ الكاتب - غفر الله له - إن الإمام أحمد رضي الله</w:t>
      </w:r>
      <w:r w:rsidR="000636C2">
        <w:rPr>
          <w:rFonts w:hint="cs"/>
          <w:rtl/>
        </w:rPr>
        <w:t xml:space="preserve"> </w:t>
      </w:r>
      <w:r w:rsidRPr="005675B2">
        <w:rPr>
          <w:rFonts w:hint="cs"/>
          <w:rtl/>
        </w:rPr>
        <w:t>عنه بدع الإمام ابن كلاب</w:t>
      </w:r>
      <w:r w:rsidR="000636C2">
        <w:rPr>
          <w:rFonts w:hint="cs"/>
          <w:rtl/>
        </w:rPr>
        <w:t>،</w:t>
      </w:r>
      <w:r w:rsidRPr="005675B2">
        <w:rPr>
          <w:rFonts w:hint="cs"/>
          <w:rtl/>
        </w:rPr>
        <w:t xml:space="preserve"> والإمام</w:t>
      </w:r>
      <w:r w:rsidR="000636C2">
        <w:rPr>
          <w:rFonts w:hint="cs"/>
          <w:rtl/>
        </w:rPr>
        <w:t xml:space="preserve"> </w:t>
      </w:r>
      <w:r w:rsidRPr="005675B2">
        <w:rPr>
          <w:rFonts w:hint="cs"/>
          <w:rtl/>
        </w:rPr>
        <w:t>الكرابيسي</w:t>
      </w:r>
      <w:r w:rsidR="000636C2">
        <w:rPr>
          <w:rFonts w:hint="cs"/>
          <w:rtl/>
        </w:rPr>
        <w:t>،</w:t>
      </w:r>
      <w:r w:rsidRPr="005675B2">
        <w:rPr>
          <w:rFonts w:hint="cs"/>
          <w:rtl/>
        </w:rPr>
        <w:t>والإمام داود الظاهري</w:t>
      </w:r>
      <w:r w:rsidR="000636C2">
        <w:rPr>
          <w:rFonts w:hint="cs"/>
          <w:rtl/>
        </w:rPr>
        <w:t>،</w:t>
      </w:r>
      <w:r w:rsidRPr="005675B2">
        <w:rPr>
          <w:rFonts w:hint="cs"/>
          <w:rtl/>
        </w:rPr>
        <w:t xml:space="preserve"> وليس المجتهد حجة على المجتهد الآخر</w:t>
      </w:r>
      <w:r w:rsidR="000636C2">
        <w:rPr>
          <w:rFonts w:hint="cs"/>
          <w:rtl/>
        </w:rPr>
        <w:t>،</w:t>
      </w:r>
      <w:r w:rsidRPr="005675B2">
        <w:rPr>
          <w:rFonts w:hint="cs"/>
          <w:rtl/>
        </w:rPr>
        <w:t xml:space="preserve"> فالعبرة بالدليل والإمام أحمد رضي الله عنه قد يصيب</w:t>
      </w:r>
      <w:r w:rsidR="000636C2">
        <w:rPr>
          <w:rFonts w:hint="cs"/>
          <w:rtl/>
        </w:rPr>
        <w:t>،</w:t>
      </w:r>
      <w:r w:rsidRPr="005675B2">
        <w:rPr>
          <w:rFonts w:hint="cs"/>
          <w:rtl/>
        </w:rPr>
        <w:t>وقد يخطىء فليس بمعصوم</w:t>
      </w:r>
      <w:r w:rsidR="000636C2">
        <w:rPr>
          <w:rFonts w:hint="cs"/>
          <w:rtl/>
        </w:rPr>
        <w:t>،</w:t>
      </w:r>
      <w:r w:rsidRPr="005675B2">
        <w:rPr>
          <w:rFonts w:hint="cs"/>
          <w:rtl/>
        </w:rPr>
        <w:t xml:space="preserve"> والمسألة التي هجر فيها الإمام أحمد إخوانه من أهل السنة</w:t>
      </w:r>
      <w:r w:rsidR="000636C2">
        <w:rPr>
          <w:rFonts w:hint="cs"/>
          <w:rtl/>
        </w:rPr>
        <w:t>،</w:t>
      </w:r>
      <w:r w:rsidRPr="005675B2">
        <w:rPr>
          <w:rFonts w:hint="cs"/>
          <w:rtl/>
        </w:rPr>
        <w:t>هي مسألة اللفظ وهي</w:t>
      </w:r>
      <w:r w:rsidR="000636C2">
        <w:rPr>
          <w:rFonts w:hint="cs"/>
          <w:rtl/>
        </w:rPr>
        <w:t>:</w:t>
      </w:r>
      <w:r w:rsidRPr="005675B2">
        <w:rPr>
          <w:rFonts w:hint="cs"/>
          <w:rtl/>
        </w:rPr>
        <w:t>هل لفظي بالقرآن مخلوق</w:t>
      </w:r>
      <w:r w:rsidR="000636C2">
        <w:rPr>
          <w:rFonts w:hint="cs"/>
          <w:rtl/>
        </w:rPr>
        <w:t>؟</w:t>
      </w:r>
      <w:r w:rsidRPr="005675B2">
        <w:rPr>
          <w:rFonts w:hint="cs"/>
          <w:rtl/>
        </w:rPr>
        <w:t xml:space="preserve"> فقال الكرابيسي نعم لأن أفعال العباد مخلوقة قال تعالى </w:t>
      </w:r>
      <w:r w:rsidR="000636C2">
        <w:rPr>
          <w:rFonts w:hint="cs"/>
          <w:rtl/>
        </w:rPr>
        <w:t>(</w:t>
      </w:r>
      <w:r w:rsidRPr="005675B2">
        <w:rPr>
          <w:rFonts w:hint="cs"/>
          <w:rtl/>
        </w:rPr>
        <w:t>والله خلقكم وما تعملون</w:t>
      </w:r>
      <w:r w:rsidR="000636C2">
        <w:rPr>
          <w:rFonts w:hint="cs"/>
          <w:rtl/>
        </w:rPr>
        <w:t>)</w:t>
      </w:r>
      <w:r w:rsidRPr="005675B2">
        <w:rPr>
          <w:rFonts w:hint="cs"/>
          <w:rtl/>
        </w:rPr>
        <w:t>) وألف الإمام البخاري كتاباً في ذلك أيد</w:t>
      </w:r>
      <w:r w:rsidR="000636C2">
        <w:rPr>
          <w:rFonts w:hint="cs"/>
          <w:rtl/>
        </w:rPr>
        <w:t xml:space="preserve"> </w:t>
      </w:r>
      <w:r w:rsidRPr="005675B2">
        <w:rPr>
          <w:rFonts w:hint="cs"/>
          <w:rtl/>
        </w:rPr>
        <w:t>ما كان عليه ابن كّلاب [</w:t>
      </w:r>
      <w:r w:rsidRPr="005675B2">
        <w:rPr>
          <w:rFonts w:hint="cs"/>
          <w:sz w:val="24"/>
          <w:szCs w:val="24"/>
          <w:rtl/>
        </w:rPr>
        <w:t>جاء في لسان الميزان</w:t>
      </w:r>
      <w:r w:rsidR="000636C2">
        <w:rPr>
          <w:rFonts w:hint="cs"/>
          <w:sz w:val="24"/>
          <w:szCs w:val="24"/>
          <w:rtl/>
        </w:rPr>
        <w:t>:</w:t>
      </w:r>
      <w:r w:rsidRPr="005675B2">
        <w:rPr>
          <w:rFonts w:hint="cs"/>
          <w:snapToGrid w:val="0"/>
          <w:sz w:val="24"/>
          <w:szCs w:val="24"/>
          <w:rtl/>
        </w:rPr>
        <w:t xml:space="preserve">عبد الله بن سعيد بن محمد بن كلاب القطان البصري ذكره العبادي في الفقهاء الشافعية مختصرا فقال عبد الله بن سعيد بن كلاب القطان ونقل الحاكم في تاريخه عن بن خزيمة أنه كان يعيب مذهب الكلابية ويذكر عن أحمد بن حنبل أنه كان أشد الناس على عبد الله بن سعيد وأصحابه ويقال أنه قيل له بن كلاب لأنه كان يخطف الذي يناظره وهو بضم الكاف تشديد اللام وقول الضياء أنه كان أخا يحيى بن سعيد القطان غلط وإنما هو من توافق الإسمين والنسبة وقول بن النديم أنه من الحشوية </w:t>
      </w:r>
      <w:r w:rsidRPr="005675B2">
        <w:rPr>
          <w:rFonts w:hint="cs"/>
          <w:snapToGrid w:val="0"/>
          <w:sz w:val="24"/>
          <w:szCs w:val="24"/>
          <w:u w:val="single"/>
          <w:rtl/>
        </w:rPr>
        <w:t>يريد من يكون على طريق السلف في ترك التأويل للآيات والأحاديث المتعلقة بالصفات ويقال لهم المفوضة وعلى طريقته مشى الأشعري في كتاب الإبانة .أ ـ هـ</w:t>
      </w:r>
      <w:r w:rsidRPr="005675B2">
        <w:rPr>
          <w:rFonts w:hint="cs"/>
          <w:rtl/>
        </w:rPr>
        <w:t>]</w:t>
      </w:r>
      <w:r w:rsidR="000636C2">
        <w:rPr>
          <w:rFonts w:hint="cs"/>
          <w:rtl/>
        </w:rPr>
        <w:t>،</w:t>
      </w:r>
      <w:r w:rsidRPr="005675B2">
        <w:rPr>
          <w:rFonts w:hint="cs"/>
          <w:rtl/>
        </w:rPr>
        <w:t xml:space="preserve"> وكان ابن كلاب من أئمة السلف كما قال الحافظ ابن حجر في</w:t>
      </w:r>
      <w:r w:rsidR="000636C2">
        <w:rPr>
          <w:rFonts w:hint="cs"/>
          <w:rtl/>
        </w:rPr>
        <w:t xml:space="preserve"> </w:t>
      </w:r>
      <w:r w:rsidRPr="005675B2">
        <w:rPr>
          <w:rFonts w:hint="cs"/>
          <w:rtl/>
        </w:rPr>
        <w:t>لسان الميزان</w:t>
      </w:r>
      <w:r w:rsidR="000636C2">
        <w:rPr>
          <w:rFonts w:hint="cs"/>
          <w:rtl/>
        </w:rPr>
        <w:t>،</w:t>
      </w:r>
      <w:r w:rsidRPr="005675B2">
        <w:rPr>
          <w:rFonts w:hint="cs"/>
          <w:rtl/>
        </w:rPr>
        <w:t xml:space="preserve"> وكان الإمام مسلم على ذلك أيضاً</w:t>
      </w:r>
      <w:r w:rsidR="000636C2">
        <w:rPr>
          <w:rFonts w:hint="cs"/>
          <w:rtl/>
        </w:rPr>
        <w:t>،</w:t>
      </w:r>
      <w:r w:rsidRPr="005675B2">
        <w:rPr>
          <w:rFonts w:hint="cs"/>
          <w:rtl/>
        </w:rPr>
        <w:t xml:space="preserve"> وتأمل فيما جرى من</w:t>
      </w:r>
      <w:r w:rsidR="000636C2">
        <w:rPr>
          <w:rFonts w:hint="cs"/>
          <w:rtl/>
        </w:rPr>
        <w:t xml:space="preserve"> </w:t>
      </w:r>
      <w:r w:rsidRPr="005675B2">
        <w:rPr>
          <w:rFonts w:hint="cs"/>
          <w:rtl/>
        </w:rPr>
        <w:t>المخالفين للبخاري فيما ذهب إليه والمخالفين للكرابيسي</w:t>
      </w:r>
      <w:r w:rsidR="000636C2">
        <w:rPr>
          <w:rFonts w:hint="cs"/>
          <w:rtl/>
        </w:rPr>
        <w:t>،</w:t>
      </w:r>
      <w:r w:rsidRPr="005675B2">
        <w:rPr>
          <w:rFonts w:hint="cs"/>
          <w:rtl/>
        </w:rPr>
        <w:t>وابن كلاب</w:t>
      </w:r>
      <w:r w:rsidR="000636C2">
        <w:rPr>
          <w:rFonts w:hint="cs"/>
          <w:rtl/>
        </w:rPr>
        <w:t>،</w:t>
      </w:r>
      <w:r w:rsidRPr="005675B2">
        <w:rPr>
          <w:rFonts w:hint="cs"/>
          <w:rtl/>
        </w:rPr>
        <w:t>وداود الظاهري</w:t>
      </w:r>
      <w:r w:rsidR="000636C2">
        <w:rPr>
          <w:rFonts w:hint="cs"/>
          <w:rtl/>
        </w:rPr>
        <w:t>،</w:t>
      </w:r>
      <w:r w:rsidRPr="005675B2">
        <w:rPr>
          <w:rFonts w:hint="cs"/>
          <w:rtl/>
        </w:rPr>
        <w:t xml:space="preserve"> ورحم الله</w:t>
      </w:r>
      <w:r w:rsidR="000636C2">
        <w:rPr>
          <w:rFonts w:hint="cs"/>
          <w:rtl/>
        </w:rPr>
        <w:t xml:space="preserve"> </w:t>
      </w:r>
      <w:r w:rsidRPr="005675B2">
        <w:rPr>
          <w:rFonts w:hint="cs"/>
          <w:rtl/>
        </w:rPr>
        <w:t>أئمة الإسلام فقد وصل الحال إلى تبديع الإمام أحمد لقرنه الكرابيسي [</w:t>
      </w:r>
      <w:r w:rsidRPr="005675B2">
        <w:rPr>
          <w:rFonts w:hint="cs"/>
          <w:bCs/>
          <w:sz w:val="24"/>
          <w:szCs w:val="24"/>
          <w:rtl/>
        </w:rPr>
        <w:t>انظر ترجمة الكرابيسي في كتاب الإنتقاء في مناقب الثلاثة الفقهاء لابن عبدالبر 106]</w:t>
      </w:r>
      <w:r w:rsidRPr="005675B2">
        <w:rPr>
          <w:rFonts w:hint="cs"/>
          <w:rtl/>
        </w:rPr>
        <w:t xml:space="preserve"> وقول الكرابيسي ماذا نفعل لهذا الصبي</w:t>
      </w:r>
      <w:r w:rsidR="000636C2">
        <w:rPr>
          <w:rFonts w:hint="cs"/>
          <w:rtl/>
        </w:rPr>
        <w:t>؟!</w:t>
      </w:r>
      <w:r w:rsidRPr="005675B2">
        <w:rPr>
          <w:rFonts w:hint="cs"/>
          <w:rtl/>
        </w:rPr>
        <w:t xml:space="preserve"> [</w:t>
      </w:r>
      <w:r w:rsidRPr="005675B2">
        <w:rPr>
          <w:rFonts w:hint="cs"/>
          <w:bCs/>
          <w:sz w:val="24"/>
          <w:szCs w:val="24"/>
          <w:rtl/>
        </w:rPr>
        <w:t>انظر فتح الباري لابن حجر (13/492) وسير اعلام النبلاء (11/288)</w:t>
      </w:r>
      <w:r w:rsidRPr="005675B2">
        <w:rPr>
          <w:rFonts w:hint="cs"/>
          <w:rtl/>
        </w:rPr>
        <w:t>] ووصل الحال إلى نهي أبي زرعة عن الأخذ عن البخاري</w:t>
      </w:r>
      <w:r w:rsidR="000636C2">
        <w:rPr>
          <w:rFonts w:hint="cs"/>
          <w:rtl/>
        </w:rPr>
        <w:t>،</w:t>
      </w:r>
      <w:r w:rsidRPr="005675B2">
        <w:rPr>
          <w:rFonts w:hint="cs"/>
          <w:rtl/>
        </w:rPr>
        <w:t>ومفارقة الإمام مسلم [</w:t>
      </w:r>
      <w:r w:rsidRPr="005675B2">
        <w:rPr>
          <w:rFonts w:hint="cs"/>
          <w:bCs/>
          <w:sz w:val="24"/>
          <w:szCs w:val="24"/>
          <w:rtl/>
        </w:rPr>
        <w:t>السير 12/572</w:t>
      </w:r>
      <w:r w:rsidRPr="005675B2">
        <w:rPr>
          <w:rFonts w:hint="cs"/>
          <w:rtl/>
        </w:rPr>
        <w:t>] لهم ومشايعته للبخاري</w:t>
      </w:r>
      <w:r w:rsidR="000636C2">
        <w:rPr>
          <w:rFonts w:hint="cs"/>
          <w:rtl/>
        </w:rPr>
        <w:t>،</w:t>
      </w:r>
      <w:r w:rsidRPr="005675B2">
        <w:rPr>
          <w:rFonts w:hint="cs"/>
          <w:rtl/>
        </w:rPr>
        <w:t xml:space="preserve"> </w:t>
      </w:r>
      <w:r w:rsidRPr="005675B2">
        <w:rPr>
          <w:rFonts w:hint="cs"/>
          <w:u w:val="single"/>
          <w:rtl/>
        </w:rPr>
        <w:t>والحق أن هناك مسائل من فروع العقيدة ليست بقطعية</w:t>
      </w:r>
      <w:r w:rsidR="000636C2">
        <w:rPr>
          <w:rFonts w:hint="cs"/>
          <w:u w:val="single"/>
          <w:rtl/>
        </w:rPr>
        <w:t>،</w:t>
      </w:r>
      <w:r w:rsidRPr="005675B2">
        <w:rPr>
          <w:rFonts w:hint="cs"/>
          <w:u w:val="single"/>
          <w:rtl/>
        </w:rPr>
        <w:t>ولذا فمن الطبيعي جداً أن يختلف فيها العلماء</w:t>
      </w:r>
      <w:r w:rsidR="000636C2">
        <w:rPr>
          <w:rFonts w:hint="cs"/>
          <w:u w:val="single"/>
          <w:rtl/>
        </w:rPr>
        <w:t>،</w:t>
      </w:r>
      <w:r w:rsidRPr="005675B2">
        <w:rPr>
          <w:rFonts w:hint="cs"/>
          <w:u w:val="single"/>
          <w:rtl/>
        </w:rPr>
        <w:t xml:space="preserve"> </w:t>
      </w:r>
      <w:r w:rsidRPr="005675B2">
        <w:rPr>
          <w:rFonts w:hint="cs"/>
          <w:rtl/>
        </w:rPr>
        <w:t>ثم إن كلام الأقران يطوى ولا يروى كما قرر ذلك جمع من أهل العلم</w:t>
      </w:r>
      <w:r w:rsidR="000636C2">
        <w:rPr>
          <w:rFonts w:hint="cs"/>
          <w:rtl/>
        </w:rPr>
        <w:t>،</w:t>
      </w:r>
      <w:r w:rsidRPr="005675B2">
        <w:rPr>
          <w:rFonts w:hint="cs"/>
          <w:rtl/>
        </w:rPr>
        <w:t xml:space="preserve"> ولولا أن المقام مقام ايضاح ما تكلمنا بهذا</w:t>
      </w:r>
      <w:r w:rsidR="000636C2">
        <w:rPr>
          <w:rFonts w:hint="cs"/>
          <w:rtl/>
        </w:rPr>
        <w:t>،</w:t>
      </w:r>
      <w:r w:rsidRPr="005675B2">
        <w:rPr>
          <w:rFonts w:hint="cs"/>
          <w:rtl/>
        </w:rPr>
        <w:t xml:space="preserve"> </w:t>
      </w:r>
      <w:r w:rsidRPr="005675B2">
        <w:rPr>
          <w:rFonts w:hint="cs"/>
          <w:u w:val="single"/>
          <w:rtl/>
        </w:rPr>
        <w:t>إذن فتعصب بعض</w:t>
      </w:r>
      <w:r w:rsidR="000636C2">
        <w:rPr>
          <w:rFonts w:hint="cs"/>
          <w:u w:val="single"/>
          <w:rtl/>
        </w:rPr>
        <w:t xml:space="preserve"> </w:t>
      </w:r>
      <w:r w:rsidRPr="005675B2">
        <w:rPr>
          <w:rFonts w:hint="cs"/>
          <w:u w:val="single"/>
          <w:rtl/>
        </w:rPr>
        <w:t>السادة الحنابلة على الكرابيسي وابن كلاب لا يعني أن ابن كلاب ليس من أهل السنة هداك الله</w:t>
      </w:r>
      <w:r w:rsidR="000636C2">
        <w:rPr>
          <w:rFonts w:hint="cs"/>
          <w:u w:val="single"/>
          <w:rtl/>
        </w:rPr>
        <w:t>،</w:t>
      </w:r>
      <w:r w:rsidRPr="005675B2">
        <w:rPr>
          <w:rFonts w:hint="cs"/>
          <w:u w:val="single"/>
          <w:rtl/>
        </w:rPr>
        <w:t xml:space="preserve"> </w:t>
      </w:r>
      <w:r w:rsidRPr="005675B2">
        <w:rPr>
          <w:rFonts w:hint="cs"/>
          <w:rtl/>
        </w:rPr>
        <w:t>قال الذهبي</w:t>
      </w:r>
      <w:r w:rsidR="000636C2">
        <w:rPr>
          <w:rFonts w:hint="cs"/>
          <w:rtl/>
        </w:rPr>
        <w:t>:</w:t>
      </w:r>
      <w:r w:rsidRPr="005675B2">
        <w:rPr>
          <w:rFonts w:hint="cs"/>
          <w:rtl/>
        </w:rPr>
        <w:t xml:space="preserve"> ولا ريب أن ما ابتدعه الكرابيسي وحرره في مسألة اللفظ وأنه مخلوق هو حق</w:t>
      </w:r>
      <w:r w:rsidR="000636C2">
        <w:rPr>
          <w:rFonts w:hint="cs"/>
          <w:rtl/>
        </w:rPr>
        <w:t>،</w:t>
      </w:r>
      <w:r w:rsidRPr="005675B2">
        <w:rPr>
          <w:rFonts w:hint="cs"/>
          <w:rtl/>
        </w:rPr>
        <w:t xml:space="preserve"> لكن أباه الإمام أحمد لئلا يتذرع به إلى القول بخلق القرآن</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السير 12/ 82 و11/ 510</w:t>
      </w:r>
      <w:r w:rsidRPr="005675B2">
        <w:rPr>
          <w:rFonts w:hint="cs"/>
          <w:rtl/>
        </w:rPr>
        <w:t>] ذن هي على رأي الإمام أحمد من باب سد الذرائع فقط</w:t>
      </w:r>
      <w:r w:rsidR="000636C2">
        <w:rPr>
          <w:rFonts w:hint="cs"/>
          <w:rtl/>
        </w:rPr>
        <w:t>،</w:t>
      </w:r>
      <w:r w:rsidRPr="005675B2">
        <w:rPr>
          <w:rFonts w:hint="cs"/>
          <w:rtl/>
        </w:rPr>
        <w:t xml:space="preserve"> قال الذهبي</w:t>
      </w:r>
      <w:r w:rsidR="000636C2">
        <w:rPr>
          <w:rFonts w:hint="cs"/>
          <w:rtl/>
        </w:rPr>
        <w:t>:</w:t>
      </w:r>
      <w:r w:rsidRPr="005675B2">
        <w:rPr>
          <w:rFonts w:hint="cs"/>
          <w:rtl/>
        </w:rPr>
        <w:t xml:space="preserve"> والرجل - ابن كلاب - أقرب المتكلمين إلى السنة </w:t>
      </w:r>
      <w:r w:rsidRPr="005675B2">
        <w:rPr>
          <w:rFonts w:hint="cs"/>
          <w:u w:val="single"/>
          <w:rtl/>
        </w:rPr>
        <w:t>بل هو في مناظريهم</w:t>
      </w:r>
      <w:r w:rsidR="000636C2">
        <w:rPr>
          <w:rFonts w:hint="cs"/>
          <w:u w:val="single"/>
          <w:rtl/>
        </w:rPr>
        <w:t>،</w:t>
      </w:r>
      <w:r w:rsidR="000636C2">
        <w:rPr>
          <w:rFonts w:hint="cs"/>
          <w:rtl/>
        </w:rPr>
        <w:t>[</w:t>
      </w:r>
      <w:r w:rsidRPr="005675B2">
        <w:rPr>
          <w:rFonts w:hint="cs"/>
          <w:bCs/>
          <w:sz w:val="24"/>
          <w:szCs w:val="24"/>
          <w:rtl/>
        </w:rPr>
        <w:t>السير 11/175</w:t>
      </w:r>
      <w:r w:rsidRPr="005675B2">
        <w:rPr>
          <w:rFonts w:hint="cs"/>
          <w:rtl/>
        </w:rPr>
        <w:t>] ويحزنني تحامل</w:t>
      </w:r>
      <w:r w:rsidR="000636C2">
        <w:rPr>
          <w:rFonts w:hint="cs"/>
          <w:rtl/>
        </w:rPr>
        <w:t xml:space="preserve"> </w:t>
      </w:r>
      <w:r w:rsidRPr="005675B2">
        <w:rPr>
          <w:rFonts w:hint="cs"/>
          <w:rtl/>
        </w:rPr>
        <w:t>الموجان في رده</w:t>
      </w:r>
      <w:r w:rsidR="000636C2">
        <w:rPr>
          <w:rFonts w:hint="cs"/>
          <w:rtl/>
        </w:rPr>
        <w:t xml:space="preserve"> </w:t>
      </w:r>
      <w:r w:rsidRPr="005675B2">
        <w:rPr>
          <w:rFonts w:hint="cs"/>
          <w:rtl/>
        </w:rPr>
        <w:t>على الدكتور عمر</w:t>
      </w:r>
      <w:r w:rsidR="000636C2">
        <w:rPr>
          <w:rFonts w:hint="cs"/>
          <w:rtl/>
        </w:rPr>
        <w:t xml:space="preserve"> </w:t>
      </w:r>
      <w:r w:rsidRPr="005675B2">
        <w:rPr>
          <w:rFonts w:hint="cs"/>
          <w:rtl/>
        </w:rPr>
        <w:t>حيث قال معلقاً على كلام الذهبي</w:t>
      </w:r>
      <w:r w:rsidR="000636C2">
        <w:rPr>
          <w:rFonts w:hint="cs"/>
          <w:rtl/>
        </w:rPr>
        <w:t>:</w:t>
      </w:r>
      <w:r w:rsidRPr="005675B2">
        <w:rPr>
          <w:rFonts w:hint="cs"/>
          <w:rtl/>
        </w:rPr>
        <w:t xml:space="preserve"> واضح أنه ليس من أهل السنة بل أقرب إليهم يعني مقارنة بالمعتزلة والجهمية</w:t>
      </w:r>
      <w:r w:rsidR="000636C2">
        <w:rPr>
          <w:rFonts w:hint="cs"/>
          <w:rtl/>
        </w:rPr>
        <w:t>!</w:t>
      </w:r>
      <w:r w:rsidRPr="005675B2">
        <w:rPr>
          <w:rFonts w:hint="cs"/>
          <w:rtl/>
        </w:rPr>
        <w:t>!أ هـ</w:t>
      </w:r>
      <w:r w:rsidR="000636C2">
        <w:rPr>
          <w:rFonts w:hint="cs"/>
          <w:rtl/>
        </w:rPr>
        <w:t xml:space="preserve"> </w:t>
      </w:r>
      <w:r w:rsidRPr="005675B2">
        <w:rPr>
          <w:rFonts w:hint="cs"/>
          <w:rtl/>
        </w:rPr>
        <w:t>[</w:t>
      </w:r>
      <w:r w:rsidRPr="005675B2">
        <w:rPr>
          <w:rFonts w:hint="cs"/>
          <w:bCs/>
          <w:sz w:val="24"/>
          <w:szCs w:val="24"/>
          <w:rtl/>
        </w:rPr>
        <w:t>الرد الشامل 29</w:t>
      </w:r>
      <w:r w:rsidRPr="005675B2">
        <w:rPr>
          <w:rFonts w:hint="cs"/>
          <w:rtl/>
        </w:rPr>
        <w:t>] فأتى من رأسه بأن كلام الذهبي معناه أقرب مقارنة بالجهمية والمعتزلة</w:t>
      </w:r>
      <w:r w:rsidR="000636C2">
        <w:rPr>
          <w:rFonts w:hint="cs"/>
          <w:rtl/>
        </w:rPr>
        <w:t>،</w:t>
      </w:r>
      <w:r w:rsidRPr="005675B2">
        <w:rPr>
          <w:rFonts w:hint="cs"/>
          <w:rtl/>
        </w:rPr>
        <w:t xml:space="preserve"> فلا أدري ماذا يصنع ببقية كلام الذهبي المفسر لما اشتبه على الموجان وهو قول الذهبي </w:t>
      </w:r>
      <w:r w:rsidR="000636C2">
        <w:rPr>
          <w:rFonts w:hint="cs"/>
          <w:rtl/>
        </w:rPr>
        <w:t>(</w:t>
      </w:r>
      <w:r w:rsidRPr="005675B2">
        <w:rPr>
          <w:rFonts w:hint="cs"/>
          <w:rtl/>
        </w:rPr>
        <w:t>بل هو في مناظريهم</w:t>
      </w:r>
      <w:r w:rsidR="000636C2">
        <w:rPr>
          <w:rFonts w:hint="cs"/>
          <w:rtl/>
        </w:rPr>
        <w:t>)،</w:t>
      </w:r>
      <w:r w:rsidRPr="005675B2">
        <w:rPr>
          <w:rFonts w:hint="cs"/>
          <w:rtl/>
        </w:rPr>
        <w:t xml:space="preserve"> وقال ابن أبي زيد القيرواني</w:t>
      </w:r>
      <w:r w:rsidR="000636C2">
        <w:rPr>
          <w:rFonts w:hint="cs"/>
          <w:rtl/>
        </w:rPr>
        <w:t>:</w:t>
      </w:r>
      <w:r w:rsidRPr="005675B2">
        <w:rPr>
          <w:rFonts w:hint="cs"/>
          <w:rtl/>
        </w:rPr>
        <w:t xml:space="preserve"> وما علمنا من نسب ابن كلاب إلى البدعة</w:t>
      </w:r>
      <w:r w:rsidR="000636C2">
        <w:rPr>
          <w:rFonts w:hint="cs"/>
          <w:rtl/>
        </w:rPr>
        <w:t>،</w:t>
      </w:r>
      <w:r w:rsidRPr="005675B2">
        <w:rPr>
          <w:rFonts w:hint="cs"/>
          <w:rtl/>
        </w:rPr>
        <w:t>والذي بلغنا أنه يتقلد السنة ويتولى الرد على الجهمية وغيرهم من أهل البدع</w:t>
      </w:r>
      <w:r w:rsidR="000636C2">
        <w:rPr>
          <w:rFonts w:hint="cs"/>
          <w:rtl/>
        </w:rPr>
        <w:t xml:space="preserve"> </w:t>
      </w:r>
      <w:r w:rsidRPr="005675B2">
        <w:rPr>
          <w:rFonts w:hint="cs"/>
          <w:rtl/>
        </w:rPr>
        <w:t>أهـ</w:t>
      </w:r>
      <w:r w:rsidR="000636C2">
        <w:rPr>
          <w:rFonts w:hint="cs"/>
          <w:rtl/>
        </w:rPr>
        <w:t xml:space="preserve"> </w:t>
      </w:r>
      <w:r w:rsidRPr="005675B2">
        <w:rPr>
          <w:rFonts w:hint="cs"/>
          <w:rtl/>
        </w:rPr>
        <w:t>[</w:t>
      </w:r>
      <w:r w:rsidRPr="005675B2">
        <w:rPr>
          <w:rFonts w:hint="cs"/>
          <w:bCs/>
          <w:sz w:val="24"/>
          <w:szCs w:val="24"/>
          <w:rtl/>
        </w:rPr>
        <w:t>تبيين كذب المفتري للحافظ ابن عساكر ص50</w:t>
      </w:r>
      <w:r w:rsidRPr="005675B2">
        <w:rPr>
          <w:rFonts w:hint="cs"/>
          <w:rtl/>
        </w:rPr>
        <w:t>]</w:t>
      </w:r>
      <w:r w:rsidR="000636C2">
        <w:rPr>
          <w:rFonts w:hint="cs"/>
          <w:rtl/>
        </w:rPr>
        <w:t>،</w:t>
      </w:r>
      <w:r w:rsidRPr="005675B2">
        <w:rPr>
          <w:rFonts w:hint="cs"/>
          <w:rtl/>
        </w:rPr>
        <w:t xml:space="preserve"> وقال</w:t>
      </w:r>
      <w:r w:rsidR="000636C2">
        <w:rPr>
          <w:rFonts w:hint="cs"/>
          <w:rtl/>
        </w:rPr>
        <w:t xml:space="preserve"> </w:t>
      </w:r>
      <w:r w:rsidRPr="005675B2">
        <w:rPr>
          <w:rFonts w:hint="cs"/>
          <w:rtl/>
        </w:rPr>
        <w:t>الحافظ ابن حجر</w:t>
      </w:r>
      <w:r w:rsidR="000636C2">
        <w:rPr>
          <w:rFonts w:hint="cs"/>
          <w:rtl/>
        </w:rPr>
        <w:t>:</w:t>
      </w:r>
      <w:r w:rsidRPr="005675B2">
        <w:rPr>
          <w:rFonts w:hint="cs"/>
          <w:rtl/>
        </w:rPr>
        <w:t xml:space="preserve"> و البخاري في جميع ما يورده من تفسير الغريب إنما ينقله عن أهل ذلك الفن كأبي عبيدة ..</w:t>
      </w:r>
      <w:r w:rsidR="000636C2">
        <w:rPr>
          <w:rFonts w:hint="cs"/>
          <w:rtl/>
        </w:rPr>
        <w:t>،</w:t>
      </w:r>
      <w:r w:rsidRPr="005675B2">
        <w:rPr>
          <w:rFonts w:hint="cs"/>
          <w:rtl/>
        </w:rPr>
        <w:t xml:space="preserve"> إلى أن قال وأما المسائل الكلامية فأكثرها من الكرابيسي وابن كلاب ونحوهما</w:t>
      </w:r>
      <w:r w:rsidR="000636C2">
        <w:rPr>
          <w:rFonts w:hint="cs"/>
          <w:rtl/>
        </w:rPr>
        <w:t>،</w:t>
      </w:r>
      <w:r w:rsidRPr="005675B2">
        <w:rPr>
          <w:rFonts w:hint="cs"/>
          <w:rtl/>
        </w:rPr>
        <w:t xml:space="preserve"> أ نتهى كلامه رحمه الله </w:t>
      </w:r>
      <w:r w:rsidR="000636C2">
        <w:rPr>
          <w:rFonts w:hint="cs"/>
          <w:rtl/>
        </w:rPr>
        <w:t>[</w:t>
      </w:r>
      <w:r w:rsidRPr="005675B2">
        <w:rPr>
          <w:rFonts w:hint="cs"/>
          <w:bCs/>
          <w:sz w:val="24"/>
          <w:szCs w:val="24"/>
          <w:rtl/>
        </w:rPr>
        <w:t>فتح الباري 1/ 293]</w:t>
      </w:r>
      <w:r w:rsidR="000636C2">
        <w:rPr>
          <w:rFonts w:hint="cs"/>
          <w:rtl/>
        </w:rPr>
        <w:t>،</w:t>
      </w:r>
      <w:r w:rsidRPr="005675B2">
        <w:rPr>
          <w:rFonts w:hint="cs"/>
          <w:rtl/>
        </w:rPr>
        <w:t xml:space="preserve"> وأتعجب من الموجان عندما أعيته هذه النقول عن أئمة الدين في بيان فضل الإمام ابن كلاب</w:t>
      </w:r>
      <w:r w:rsidR="000636C2">
        <w:rPr>
          <w:rFonts w:hint="cs"/>
          <w:rtl/>
        </w:rPr>
        <w:t>،</w:t>
      </w:r>
      <w:r w:rsidRPr="005675B2">
        <w:rPr>
          <w:rFonts w:hint="cs"/>
          <w:rtl/>
        </w:rPr>
        <w:t>وكون البخاري على عقيدته قال</w:t>
      </w:r>
      <w:r w:rsidR="000636C2">
        <w:rPr>
          <w:rFonts w:hint="cs"/>
          <w:rtl/>
        </w:rPr>
        <w:t>:</w:t>
      </w:r>
      <w:r w:rsidRPr="005675B2">
        <w:rPr>
          <w:rFonts w:hint="cs"/>
          <w:rtl/>
        </w:rPr>
        <w:t xml:space="preserve"> ماهذا القول السقيم</w:t>
      </w:r>
      <w:r w:rsidR="000636C2">
        <w:rPr>
          <w:rFonts w:hint="cs"/>
          <w:rtl/>
        </w:rPr>
        <w:t xml:space="preserve">؟! </w:t>
      </w:r>
      <w:r w:rsidRPr="005675B2">
        <w:rPr>
          <w:rFonts w:hint="cs"/>
          <w:rtl/>
        </w:rPr>
        <w:t>هذا هو القول السقيم عند الموجان أن البخاري توافق مع ابن كلاب في المعتقد ولا أدري ماذا يغضبه</w:t>
      </w:r>
      <w:r w:rsidR="000636C2">
        <w:rPr>
          <w:rFonts w:hint="cs"/>
          <w:rtl/>
        </w:rPr>
        <w:t xml:space="preserve">؟ </w:t>
      </w:r>
      <w:r w:rsidRPr="005675B2">
        <w:rPr>
          <w:rFonts w:hint="cs"/>
          <w:rtl/>
        </w:rPr>
        <w:t>أكل هذا نصرة للشيخ سفر فوالله للإمام ابن كلاب، والأشعري</w:t>
      </w:r>
      <w:r w:rsidR="000636C2">
        <w:rPr>
          <w:rFonts w:hint="cs"/>
          <w:rtl/>
        </w:rPr>
        <w:t>،</w:t>
      </w:r>
      <w:r w:rsidRPr="005675B2">
        <w:rPr>
          <w:rFonts w:hint="cs"/>
          <w:rtl/>
        </w:rPr>
        <w:t>والكرابيسي</w:t>
      </w:r>
      <w:r w:rsidR="000636C2">
        <w:rPr>
          <w:rFonts w:hint="cs"/>
          <w:rtl/>
        </w:rPr>
        <w:t xml:space="preserve"> </w:t>
      </w:r>
      <w:r w:rsidRPr="005675B2">
        <w:rPr>
          <w:rFonts w:hint="cs"/>
          <w:rtl/>
        </w:rPr>
        <w:t>أولى بذلك</w:t>
      </w:r>
      <w:r w:rsidR="000636C2">
        <w:rPr>
          <w:rFonts w:hint="cs"/>
          <w:rtl/>
        </w:rPr>
        <w:t>،</w:t>
      </w:r>
    </w:p>
    <w:p w14:paraId="17B78579" w14:textId="7F1EF42F" w:rsidR="009C32A0" w:rsidRPr="005675B2" w:rsidRDefault="009C32A0" w:rsidP="000636C2">
      <w:pPr>
        <w:rPr>
          <w:b/>
          <w:rtl/>
        </w:rPr>
      </w:pPr>
      <w:r w:rsidRPr="005675B2">
        <w:rPr>
          <w:rFonts w:hint="cs"/>
          <w:rtl/>
        </w:rPr>
        <w:t>المسألة الثانية</w:t>
      </w:r>
      <w:r w:rsidR="000636C2">
        <w:rPr>
          <w:rFonts w:hint="cs"/>
          <w:rtl/>
        </w:rPr>
        <w:t>:</w:t>
      </w:r>
      <w:r w:rsidRPr="005675B2">
        <w:rPr>
          <w:rFonts w:hint="cs"/>
          <w:rtl/>
        </w:rPr>
        <w:t xml:space="preserve"> قولك</w:t>
      </w:r>
      <w:r w:rsidR="000636C2">
        <w:rPr>
          <w:rFonts w:hint="cs"/>
          <w:rtl/>
        </w:rPr>
        <w:t>:[</w:t>
      </w:r>
      <w:r w:rsidRPr="005675B2">
        <w:rPr>
          <w:rFonts w:hint="cs"/>
          <w:rtl/>
        </w:rPr>
        <w:t>لم يزل الحنابلة معهم في معركة طويلة</w:t>
      </w:r>
      <w:r w:rsidR="000636C2">
        <w:rPr>
          <w:rFonts w:hint="cs"/>
          <w:rtl/>
        </w:rPr>
        <w:t>،</w:t>
      </w:r>
      <w:r w:rsidRPr="005675B2">
        <w:rPr>
          <w:rFonts w:hint="cs"/>
          <w:rtl/>
        </w:rPr>
        <w:t xml:space="preserve"> وحتى في أيام دولة نظام الملك</w:t>
      </w:r>
      <w:r w:rsidR="000636C2">
        <w:rPr>
          <w:rFonts w:hint="cs"/>
          <w:rtl/>
        </w:rPr>
        <w:t xml:space="preserve"> </w:t>
      </w:r>
      <w:r w:rsidRPr="005675B2">
        <w:rPr>
          <w:rFonts w:hint="cs"/>
          <w:rtl/>
        </w:rPr>
        <w:t>- التي</w:t>
      </w:r>
      <w:r w:rsidRPr="005675B2">
        <w:rPr>
          <w:rFonts w:hint="cs"/>
        </w:rPr>
        <w:t xml:space="preserve"> </w:t>
      </w:r>
      <w:r w:rsidRPr="005675B2">
        <w:rPr>
          <w:rFonts w:hint="cs"/>
          <w:rtl/>
        </w:rPr>
        <w:t>استطالوا فيها</w:t>
      </w:r>
      <w:r w:rsidR="000636C2">
        <w:rPr>
          <w:rFonts w:hint="cs"/>
          <w:rtl/>
        </w:rPr>
        <w:t xml:space="preserve"> </w:t>
      </w:r>
      <w:r w:rsidRPr="005675B2">
        <w:rPr>
          <w:rFonts w:hint="cs"/>
          <w:rtl/>
        </w:rPr>
        <w:t>- وبعدها كان الحنابلة يخرجون من بغداد كل واعظ يخلط قصصه بشيء من</w:t>
      </w:r>
      <w:r w:rsidRPr="005675B2">
        <w:rPr>
          <w:rFonts w:hint="cs"/>
        </w:rPr>
        <w:t xml:space="preserve"> </w:t>
      </w:r>
      <w:r w:rsidRPr="005675B2">
        <w:rPr>
          <w:rFonts w:hint="cs"/>
          <w:rtl/>
        </w:rPr>
        <w:t>مذهب الأشاعرة</w:t>
      </w:r>
      <w:r w:rsidR="000636C2">
        <w:rPr>
          <w:rFonts w:hint="cs"/>
          <w:rtl/>
        </w:rPr>
        <w:t>]</w:t>
      </w:r>
    </w:p>
    <w:p w14:paraId="76883664" w14:textId="34D3CA7F" w:rsidR="009C32A0" w:rsidRPr="005675B2" w:rsidRDefault="009C32A0" w:rsidP="000636C2">
      <w:pPr>
        <w:rPr>
          <w:b/>
          <w:rtl/>
        </w:rPr>
      </w:pPr>
      <w:r w:rsidRPr="005675B2">
        <w:rPr>
          <w:rFonts w:hint="cs"/>
          <w:rtl/>
        </w:rPr>
        <w:t>أخي غفر الله لك</w:t>
      </w:r>
      <w:r w:rsidR="000636C2">
        <w:rPr>
          <w:rFonts w:hint="cs"/>
          <w:rtl/>
        </w:rPr>
        <w:t>:</w:t>
      </w:r>
      <w:r w:rsidRPr="005675B2">
        <w:rPr>
          <w:rFonts w:hint="cs"/>
          <w:rtl/>
        </w:rPr>
        <w:t xml:space="preserve"> هذا من بعض علماء الحنابلة تعصب فقط ولا يعني أنهم أصابوا فيما فعلوه</w:t>
      </w:r>
      <w:r w:rsidR="000636C2">
        <w:rPr>
          <w:rFonts w:hint="cs"/>
          <w:rtl/>
        </w:rPr>
        <w:t>،</w:t>
      </w:r>
      <w:r w:rsidRPr="005675B2">
        <w:rPr>
          <w:rFonts w:hint="cs"/>
          <w:rtl/>
        </w:rPr>
        <w:t>ولا يدل على أن السادة الشافعية أو الأشعرية مبتدعة أو ضلال</w:t>
      </w:r>
      <w:r w:rsidR="000636C2">
        <w:rPr>
          <w:rFonts w:hint="cs"/>
          <w:rtl/>
        </w:rPr>
        <w:t>،</w:t>
      </w:r>
      <w:r w:rsidRPr="005675B2">
        <w:rPr>
          <w:rFonts w:hint="cs"/>
          <w:rtl/>
        </w:rPr>
        <w:t>غاية مافي الأمر أنه تعصب مذهبي زال مع الأيام ولله الحمد</w:t>
      </w:r>
      <w:r w:rsidR="000636C2">
        <w:rPr>
          <w:rFonts w:hint="cs"/>
          <w:rtl/>
        </w:rPr>
        <w:t>،</w:t>
      </w:r>
      <w:r w:rsidRPr="005675B2">
        <w:rPr>
          <w:rFonts w:hint="cs"/>
          <w:rtl/>
        </w:rPr>
        <w:t xml:space="preserve"> وأنت تشاهده في واقعنا اليوم من تعصب الجماعات على بعضها البعض</w:t>
      </w:r>
      <w:r w:rsidR="000636C2">
        <w:rPr>
          <w:rFonts w:hint="cs"/>
          <w:rtl/>
        </w:rPr>
        <w:t>،</w:t>
      </w:r>
      <w:r w:rsidRPr="005675B2">
        <w:rPr>
          <w:rFonts w:hint="cs"/>
          <w:rtl/>
        </w:rPr>
        <w:t>وظلم الأقران لبعضهم</w:t>
      </w:r>
      <w:r w:rsidR="000636C2">
        <w:rPr>
          <w:rFonts w:hint="cs"/>
          <w:rtl/>
        </w:rPr>
        <w:t>،</w:t>
      </w:r>
      <w:r w:rsidRPr="005675B2">
        <w:rPr>
          <w:rFonts w:hint="cs"/>
          <w:rtl/>
        </w:rPr>
        <w:t xml:space="preserve"> وإليك هذه الحكاية حتى يتبين لذي بصيرة أن</w:t>
      </w:r>
      <w:r w:rsidR="000636C2">
        <w:rPr>
          <w:rFonts w:hint="cs"/>
          <w:rtl/>
        </w:rPr>
        <w:t xml:space="preserve"> </w:t>
      </w:r>
      <w:r w:rsidRPr="005675B2">
        <w:rPr>
          <w:rFonts w:hint="cs"/>
          <w:rtl/>
        </w:rPr>
        <w:t>التعصب ليس</w:t>
      </w:r>
      <w:r w:rsidR="000636C2">
        <w:rPr>
          <w:rFonts w:hint="cs"/>
          <w:rtl/>
        </w:rPr>
        <w:t xml:space="preserve"> </w:t>
      </w:r>
      <w:r w:rsidRPr="005675B2">
        <w:rPr>
          <w:rFonts w:hint="cs"/>
          <w:rtl/>
        </w:rPr>
        <w:t>بميزان للحكم بين المختلفين</w:t>
      </w:r>
      <w:r w:rsidR="000636C2">
        <w:rPr>
          <w:rFonts w:hint="cs"/>
          <w:rtl/>
        </w:rPr>
        <w:t>:</w:t>
      </w:r>
    </w:p>
    <w:p w14:paraId="629B8673" w14:textId="7A3B7960" w:rsidR="009C32A0" w:rsidRPr="005675B2" w:rsidRDefault="009C32A0" w:rsidP="000636C2">
      <w:pPr>
        <w:rPr>
          <w:b/>
          <w:u w:val="single"/>
          <w:rtl/>
        </w:rPr>
      </w:pPr>
      <w:r w:rsidRPr="005675B2">
        <w:rPr>
          <w:rFonts w:hint="cs"/>
          <w:rtl/>
        </w:rPr>
        <w:t>حكاية الحنابلة رحمهم الله تعالى مع الإمام الطبري رحمه الله قال الحموي في ترجمة الإمام المفسر المجتهد ابن جرير الطبري</w:t>
      </w:r>
      <w:r w:rsidR="000636C2">
        <w:rPr>
          <w:rFonts w:hint="cs"/>
          <w:rtl/>
        </w:rPr>
        <w:t>:</w:t>
      </w:r>
      <w:r w:rsidRPr="005675B2">
        <w:rPr>
          <w:rFonts w:hint="cs"/>
          <w:rtl/>
        </w:rPr>
        <w:t>فلما قدم إلى بغداد من طبرستان بعد رجوعه إليها تعصب عليه أبو عبد الله الجصاص وجعفر بن عرفة والبياضي</w:t>
      </w:r>
      <w:r w:rsidR="000636C2">
        <w:rPr>
          <w:rFonts w:hint="cs"/>
          <w:rtl/>
        </w:rPr>
        <w:t>،</w:t>
      </w:r>
      <w:r w:rsidRPr="005675B2">
        <w:rPr>
          <w:rFonts w:hint="cs"/>
          <w:rtl/>
        </w:rPr>
        <w:t xml:space="preserve"> وقصده الحنابلة فسألوه عن أحمد بن حنبل في الجامع يوم الجمعة وعن حديث الجلوس على العرش</w:t>
      </w:r>
      <w:r w:rsidR="000636C2">
        <w:rPr>
          <w:rFonts w:hint="cs"/>
          <w:rtl/>
        </w:rPr>
        <w:t>،</w:t>
      </w:r>
      <w:r w:rsidRPr="005675B2">
        <w:rPr>
          <w:rFonts w:hint="cs"/>
          <w:rtl/>
        </w:rPr>
        <w:t xml:space="preserve"> فقال أبو جعفر</w:t>
      </w:r>
      <w:r w:rsidR="000636C2">
        <w:rPr>
          <w:rFonts w:hint="cs"/>
          <w:rtl/>
        </w:rPr>
        <w:t>:</w:t>
      </w:r>
      <w:r w:rsidRPr="005675B2">
        <w:rPr>
          <w:rFonts w:hint="cs"/>
          <w:rtl/>
        </w:rPr>
        <w:t xml:space="preserve"> أما أحمد بن حنبل فلا يعد خلافه</w:t>
      </w:r>
      <w:r w:rsidR="000636C2">
        <w:rPr>
          <w:rFonts w:hint="cs"/>
          <w:rtl/>
        </w:rPr>
        <w:t>،</w:t>
      </w:r>
      <w:r w:rsidRPr="005675B2">
        <w:rPr>
          <w:rFonts w:hint="cs"/>
          <w:rtl/>
        </w:rPr>
        <w:t xml:space="preserve"> فقالوا له</w:t>
      </w:r>
      <w:r w:rsidR="000636C2">
        <w:rPr>
          <w:rFonts w:hint="cs"/>
          <w:rtl/>
        </w:rPr>
        <w:t>:</w:t>
      </w:r>
      <w:r w:rsidRPr="005675B2">
        <w:rPr>
          <w:rFonts w:hint="cs"/>
          <w:rtl/>
        </w:rPr>
        <w:t xml:space="preserve"> فقد ذكره العلماء في الاِختلاف</w:t>
      </w:r>
      <w:r w:rsidR="000636C2">
        <w:rPr>
          <w:rFonts w:hint="cs"/>
          <w:rtl/>
        </w:rPr>
        <w:t>،</w:t>
      </w:r>
      <w:r w:rsidRPr="005675B2">
        <w:rPr>
          <w:rFonts w:hint="cs"/>
          <w:rtl/>
        </w:rPr>
        <w:t xml:space="preserve"> فقال</w:t>
      </w:r>
      <w:r w:rsidR="000636C2">
        <w:rPr>
          <w:rFonts w:hint="cs"/>
          <w:rtl/>
        </w:rPr>
        <w:t>:</w:t>
      </w:r>
      <w:r w:rsidRPr="005675B2">
        <w:rPr>
          <w:rFonts w:hint="cs"/>
          <w:rtl/>
        </w:rPr>
        <w:t xml:space="preserve"> ما رأيته روي عنه</w:t>
      </w:r>
      <w:r w:rsidR="000636C2">
        <w:rPr>
          <w:rFonts w:hint="cs"/>
          <w:rtl/>
        </w:rPr>
        <w:t>،</w:t>
      </w:r>
      <w:r w:rsidRPr="005675B2">
        <w:rPr>
          <w:rFonts w:hint="cs"/>
          <w:rtl/>
        </w:rPr>
        <w:t xml:space="preserve"> ولا رأيت له أصحاباً يعول عليهم</w:t>
      </w:r>
      <w:r w:rsidR="000636C2">
        <w:rPr>
          <w:rFonts w:hint="cs"/>
          <w:rtl/>
        </w:rPr>
        <w:t>،</w:t>
      </w:r>
      <w:r w:rsidRPr="005675B2">
        <w:rPr>
          <w:rFonts w:hint="cs"/>
          <w:rtl/>
        </w:rPr>
        <w:t xml:space="preserve"> وأما حديث الجلوس على العرش فمحال [</w:t>
      </w:r>
      <w:r w:rsidRPr="005675B2">
        <w:rPr>
          <w:rFonts w:hint="cs"/>
          <w:bCs/>
          <w:sz w:val="24"/>
          <w:szCs w:val="24"/>
          <w:rtl/>
        </w:rPr>
        <w:t xml:space="preserve">جاء في كتاب السُّنة لأَبي بكر ابن أَبي عاصم إِذ قال: وقال أَبو بكر: حدثنا ابن فضيل عن ليث عن مجاهد </w:t>
      </w:r>
      <w:r w:rsidR="000636C2">
        <w:rPr>
          <w:rFonts w:hint="cs"/>
          <w:bCs/>
          <w:sz w:val="24"/>
          <w:szCs w:val="24"/>
          <w:rtl/>
        </w:rPr>
        <w:t>(</w:t>
      </w:r>
      <w:r w:rsidRPr="005675B2">
        <w:rPr>
          <w:rFonts w:hint="cs"/>
          <w:bCs/>
          <w:sz w:val="24"/>
          <w:szCs w:val="24"/>
          <w:rtl/>
        </w:rPr>
        <w:t>عَسَى أَنْ يَبْعَثَكَ رَبُّكَ مَقَاماً مَحْمُوداً)</w:t>
      </w:r>
      <w:r w:rsidR="000636C2">
        <w:rPr>
          <w:rFonts w:hint="cs"/>
          <w:bCs/>
          <w:sz w:val="24"/>
          <w:szCs w:val="24"/>
          <w:rtl/>
        </w:rPr>
        <w:t xml:space="preserve"> </w:t>
      </w:r>
      <w:r w:rsidRPr="005675B2">
        <w:rPr>
          <w:rFonts w:hint="cs"/>
          <w:bCs/>
          <w:sz w:val="24"/>
          <w:szCs w:val="24"/>
          <w:rtl/>
        </w:rPr>
        <w:t xml:space="preserve">قال: </w:t>
      </w:r>
      <w:r w:rsidR="000636C2">
        <w:rPr>
          <w:rFonts w:hint="cs"/>
          <w:bCs/>
          <w:sz w:val="24"/>
          <w:szCs w:val="24"/>
          <w:rtl/>
        </w:rPr>
        <w:t>(</w:t>
      </w:r>
      <w:r w:rsidRPr="005675B2">
        <w:rPr>
          <w:rFonts w:hint="cs"/>
          <w:bCs/>
          <w:sz w:val="24"/>
          <w:szCs w:val="24"/>
          <w:rtl/>
        </w:rPr>
        <w:t>يُقعده معه على العرش)</w:t>
      </w:r>
      <w:r w:rsidR="000636C2">
        <w:rPr>
          <w:rFonts w:hint="cs"/>
          <w:bCs/>
          <w:sz w:val="24"/>
          <w:szCs w:val="24"/>
          <w:rtl/>
        </w:rPr>
        <w:t xml:space="preserve"> </w:t>
      </w:r>
      <w:r w:rsidRPr="005675B2">
        <w:rPr>
          <w:rFonts w:hint="cs"/>
          <w:bCs/>
          <w:sz w:val="24"/>
          <w:szCs w:val="24"/>
          <w:rtl/>
        </w:rPr>
        <w:t>ليثهذا وهو ابن أبي سليم كان قد أختلط فهو ضعيف</w:t>
      </w:r>
      <w:r w:rsidR="000636C2">
        <w:rPr>
          <w:rFonts w:hint="cs"/>
          <w:bCs/>
          <w:sz w:val="24"/>
          <w:szCs w:val="24"/>
          <w:rtl/>
        </w:rPr>
        <w:t xml:space="preserve"> </w:t>
      </w:r>
      <w:r w:rsidRPr="005675B2">
        <w:rPr>
          <w:rFonts w:hint="cs"/>
          <w:bCs/>
          <w:sz w:val="24"/>
          <w:szCs w:val="24"/>
          <w:rtl/>
        </w:rPr>
        <w:t>فالأثرغير ثابت عن مجاهد فتنبه لذلك]</w:t>
      </w:r>
      <w:r w:rsidRPr="005675B2">
        <w:rPr>
          <w:rFonts w:hint="cs"/>
          <w:rtl/>
        </w:rPr>
        <w:t xml:space="preserve"> ثم أنشد</w:t>
      </w:r>
      <w:r w:rsidR="000636C2">
        <w:rPr>
          <w:rFonts w:hint="cs"/>
          <w:rtl/>
        </w:rPr>
        <w:t>:</w:t>
      </w:r>
      <w:r w:rsidRPr="005675B2">
        <w:rPr>
          <w:rFonts w:hint="cs"/>
          <w:rtl/>
        </w:rPr>
        <w:br/>
        <w:t>سبحان من ليس له أنيس * ولا له في عرشه جليس</w:t>
      </w:r>
      <w:r w:rsidR="000636C2">
        <w:rPr>
          <w:rFonts w:hint="cs"/>
          <w:rtl/>
        </w:rPr>
        <w:t xml:space="preserve">، </w:t>
      </w:r>
      <w:r w:rsidRPr="005675B2">
        <w:rPr>
          <w:rFonts w:hint="cs"/>
          <w:rtl/>
        </w:rPr>
        <w:t>فلما سمع ذلك</w:t>
      </w:r>
      <w:r w:rsidR="000636C2">
        <w:rPr>
          <w:rFonts w:hint="cs"/>
          <w:rtl/>
        </w:rPr>
        <w:t xml:space="preserve"> </w:t>
      </w:r>
      <w:r w:rsidRPr="005675B2">
        <w:rPr>
          <w:rFonts w:hint="cs"/>
          <w:rtl/>
        </w:rPr>
        <w:t>الحنابلة منه</w:t>
      </w:r>
      <w:r w:rsidR="000636C2">
        <w:rPr>
          <w:rFonts w:hint="cs"/>
          <w:rtl/>
        </w:rPr>
        <w:t xml:space="preserve"> </w:t>
      </w:r>
      <w:r w:rsidRPr="005675B2">
        <w:rPr>
          <w:rFonts w:hint="cs"/>
          <w:rtl/>
        </w:rPr>
        <w:t>وثبوا ورموه بمحابرهم</w:t>
      </w:r>
      <w:r w:rsidR="000636C2">
        <w:rPr>
          <w:rFonts w:hint="cs"/>
          <w:rtl/>
        </w:rPr>
        <w:t>،</w:t>
      </w:r>
      <w:r w:rsidRPr="005675B2">
        <w:rPr>
          <w:rFonts w:hint="cs"/>
          <w:rtl/>
        </w:rPr>
        <w:t xml:space="preserve"> وقيل كانت ألوفاً فقام أبوجعفر بنفسه ودخل داره فرموا داره بالحجارة حتى صار على بابه كالتل العظيم</w:t>
      </w:r>
      <w:r w:rsidR="000636C2">
        <w:rPr>
          <w:rFonts w:hint="cs"/>
          <w:rtl/>
        </w:rPr>
        <w:t>،</w:t>
      </w:r>
      <w:r w:rsidRPr="005675B2">
        <w:rPr>
          <w:rFonts w:hint="cs"/>
          <w:rtl/>
        </w:rPr>
        <w:t xml:space="preserve"> [</w:t>
      </w:r>
      <w:r w:rsidRPr="005675B2">
        <w:rPr>
          <w:rFonts w:hint="cs"/>
          <w:bCs/>
          <w:sz w:val="24"/>
          <w:szCs w:val="24"/>
          <w:rtl/>
        </w:rPr>
        <w:t>في معجم الاَدباء ج 9 جزء 18 ص 57</w:t>
      </w:r>
      <w:r w:rsidRPr="005675B2">
        <w:rPr>
          <w:rFonts w:hint="cs"/>
          <w:rtl/>
        </w:rPr>
        <w:t>]</w:t>
      </w:r>
      <w:r w:rsidR="000636C2">
        <w:rPr>
          <w:rFonts w:hint="cs"/>
          <w:rtl/>
        </w:rPr>
        <w:t xml:space="preserve">، </w:t>
      </w:r>
      <w:r w:rsidRPr="005675B2">
        <w:rPr>
          <w:rFonts w:hint="cs"/>
          <w:u w:val="single"/>
          <w:rtl/>
        </w:rPr>
        <w:t>أليس ابن جرير علم من أعلام الأمة</w:t>
      </w:r>
      <w:r w:rsidR="000636C2">
        <w:rPr>
          <w:rFonts w:hint="cs"/>
          <w:u w:val="single"/>
          <w:rtl/>
        </w:rPr>
        <w:t>؟!</w:t>
      </w:r>
      <w:r w:rsidRPr="005675B2">
        <w:rPr>
          <w:rFonts w:hint="cs"/>
          <w:u w:val="single"/>
          <w:rtl/>
        </w:rPr>
        <w:t>أم انه مبتدع لأن الحنابلة قاموا عليها يا اخي العزيز ماهو إلا التعصب المذهبي فلا تنفخ في ناره فهو نتيجة طبيعية للجهل أو قلة الورع</w:t>
      </w:r>
      <w:r w:rsidR="000636C2">
        <w:rPr>
          <w:rFonts w:hint="cs"/>
          <w:u w:val="single"/>
          <w:rtl/>
        </w:rPr>
        <w:t>،</w:t>
      </w:r>
      <w:r w:rsidRPr="005675B2">
        <w:rPr>
          <w:rFonts w:hint="cs"/>
          <w:u w:val="single"/>
          <w:rtl/>
        </w:rPr>
        <w:t xml:space="preserve"> </w:t>
      </w:r>
      <w:r w:rsidR="000636C2">
        <w:rPr>
          <w:rFonts w:hint="cs"/>
          <w:u w:val="single"/>
          <w:rtl/>
        </w:rPr>
        <w:t>[</w:t>
      </w:r>
      <w:r w:rsidRPr="005675B2">
        <w:rPr>
          <w:rFonts w:hint="cs"/>
          <w:bCs/>
          <w:sz w:val="24"/>
          <w:szCs w:val="24"/>
          <w:rtl/>
        </w:rPr>
        <w:t>لكن تعصب أهل زماننا ليس تعصب مذهبي فقد جفوا المذاهب بل هو تعصب إقليمي أو حزبي</w:t>
      </w:r>
      <w:r w:rsidR="000636C2">
        <w:rPr>
          <w:rFonts w:hint="cs"/>
          <w:bCs/>
          <w:sz w:val="24"/>
          <w:szCs w:val="24"/>
          <w:rtl/>
        </w:rPr>
        <w:t>]</w:t>
      </w:r>
    </w:p>
    <w:p w14:paraId="0381C7D1" w14:textId="5B366DD8" w:rsidR="009C32A0" w:rsidRPr="005675B2" w:rsidRDefault="009C32A0" w:rsidP="000636C2">
      <w:pPr>
        <w:rPr>
          <w:b/>
          <w:rtl/>
        </w:rPr>
      </w:pPr>
      <w:r w:rsidRPr="005675B2">
        <w:rPr>
          <w:rFonts w:hint="cs"/>
          <w:rtl/>
        </w:rPr>
        <w:t>قال الحافظ الذهبي في ترجمة الإمام مسلم</w:t>
      </w:r>
      <w:r w:rsidR="000636C2">
        <w:rPr>
          <w:rFonts w:hint="cs"/>
          <w:rtl/>
        </w:rPr>
        <w:t xml:space="preserve">: </w:t>
      </w:r>
      <w:r w:rsidRPr="005675B2">
        <w:rPr>
          <w:rFonts w:hint="cs"/>
          <w:rtl/>
        </w:rPr>
        <w:t>كان مسلم بن الحجاج يظهر القول باللفظ ولا يكتمه، فلما استوطن البخاري نيسابور أكثر مسلم الاختلاف إليه، فلما وقع بين البخاري والذهلي ما وقع في مسألة اللفظ ونادى عليه ومنع الناس من الاختلاف إليه حتى هجر</w:t>
      </w:r>
      <w:r w:rsidR="000636C2">
        <w:rPr>
          <w:rFonts w:hint="cs"/>
          <w:rtl/>
        </w:rPr>
        <w:t xml:space="preserve"> </w:t>
      </w:r>
      <w:r w:rsidRPr="005675B2">
        <w:rPr>
          <w:rFonts w:hint="cs"/>
          <w:rtl/>
        </w:rPr>
        <w:t>- البخاري - وسافر من نيسابور، قال</w:t>
      </w:r>
      <w:r w:rsidR="000636C2">
        <w:rPr>
          <w:rFonts w:hint="cs"/>
          <w:rtl/>
        </w:rPr>
        <w:t>:</w:t>
      </w:r>
      <w:r w:rsidRPr="005675B2">
        <w:rPr>
          <w:rFonts w:hint="cs"/>
          <w:rtl/>
        </w:rPr>
        <w:t xml:space="preserve"> فقطعه أكثر الناس غير مسلم فبلغ محمد بن يحيى فقال يوماً</w:t>
      </w:r>
      <w:r w:rsidR="000636C2">
        <w:rPr>
          <w:rFonts w:hint="cs"/>
          <w:rtl/>
        </w:rPr>
        <w:t>:</w:t>
      </w:r>
      <w:r w:rsidRPr="005675B2">
        <w:rPr>
          <w:rFonts w:hint="cs"/>
          <w:rtl/>
        </w:rPr>
        <w:t xml:space="preserve"> ألا من قال باللفظ فلا يحل له أن يحضر مجلسنا، فأخذ مسلم رداءه فوق عمامته وقام على رؤوس الناس ثم بعث إليه بما كتب عنه على ظهر حمال، قال</w:t>
      </w:r>
      <w:r w:rsidR="000636C2">
        <w:rPr>
          <w:rFonts w:hint="cs"/>
          <w:rtl/>
        </w:rPr>
        <w:t>:</w:t>
      </w:r>
      <w:r w:rsidRPr="005675B2">
        <w:rPr>
          <w:rFonts w:hint="cs"/>
          <w:rtl/>
        </w:rPr>
        <w:t xml:space="preserve"> وكان مسلم </w:t>
      </w:r>
      <w:r w:rsidRPr="005675B2">
        <w:rPr>
          <w:rFonts w:hint="cs"/>
          <w:u w:val="single"/>
          <w:rtl/>
        </w:rPr>
        <w:t>يظهر القول باللفظ ولا يكتمه</w:t>
      </w:r>
      <w:r w:rsidRPr="005675B2">
        <w:rPr>
          <w:rFonts w:hint="cs"/>
          <w:rtl/>
        </w:rPr>
        <w:t>" انتهى</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سير أعلام النبلاء" (12/572)</w:t>
      </w:r>
      <w:r w:rsidRPr="005675B2">
        <w:rPr>
          <w:rFonts w:hint="cs"/>
          <w:rtl/>
        </w:rPr>
        <w:t>]</w:t>
      </w:r>
      <w:r w:rsidR="000636C2">
        <w:rPr>
          <w:rFonts w:hint="cs"/>
          <w:rtl/>
        </w:rPr>
        <w:t>،</w:t>
      </w:r>
      <w:r w:rsidRPr="005675B2">
        <w:rPr>
          <w:rFonts w:hint="cs"/>
          <w:rtl/>
        </w:rPr>
        <w:t xml:space="preserve"> فإذا تبين لك أن ابن كلاب رأس من رؤوس السلف بل هو في مناظريهم علمت خطأ وظلم من يتحامل عليه وعلى من استمد</w:t>
      </w:r>
      <w:r w:rsidR="000636C2">
        <w:rPr>
          <w:rFonts w:hint="cs"/>
          <w:rtl/>
        </w:rPr>
        <w:t xml:space="preserve"> </w:t>
      </w:r>
      <w:r w:rsidRPr="005675B2">
        <w:rPr>
          <w:rFonts w:hint="cs"/>
          <w:rtl/>
        </w:rPr>
        <w:t>منه معتقد أهل السنة كالأشعري والبخاري</w:t>
      </w:r>
      <w:r w:rsidR="000636C2">
        <w:rPr>
          <w:rFonts w:hint="cs"/>
          <w:rtl/>
        </w:rPr>
        <w:t>،</w:t>
      </w:r>
      <w:r w:rsidRPr="005675B2">
        <w:rPr>
          <w:rFonts w:hint="cs"/>
          <w:rtl/>
        </w:rPr>
        <w:t xml:space="preserve"> </w:t>
      </w:r>
    </w:p>
    <w:p w14:paraId="24DB4ED4" w14:textId="06EDC7CF"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هذا وليس ذم الأشاعرة</w:t>
      </w:r>
      <w:r w:rsidRPr="005675B2">
        <w:rPr>
          <w:rFonts w:hint="cs"/>
        </w:rPr>
        <w:t xml:space="preserve"> </w:t>
      </w:r>
      <w:r w:rsidRPr="005675B2">
        <w:rPr>
          <w:rFonts w:hint="cs"/>
          <w:rtl/>
        </w:rPr>
        <w:t>وتبديعهم خاصة بأئمة المذاهب المعتبرين</w:t>
      </w:r>
      <w:r w:rsidR="000636C2">
        <w:rPr>
          <w:rFonts w:hint="cs"/>
          <w:rtl/>
        </w:rPr>
        <w:t>،</w:t>
      </w:r>
      <w:r w:rsidRPr="005675B2">
        <w:rPr>
          <w:rFonts w:hint="cs"/>
          <w:rtl/>
        </w:rPr>
        <w:t xml:space="preserve"> بل هو منقول أيضاً عن أئمة السلوك الذين</w:t>
      </w:r>
      <w:r w:rsidRPr="005675B2">
        <w:rPr>
          <w:rFonts w:hint="cs"/>
        </w:rPr>
        <w:t xml:space="preserve"> </w:t>
      </w:r>
      <w:r w:rsidRPr="005675B2">
        <w:rPr>
          <w:rFonts w:hint="cs"/>
          <w:rtl/>
        </w:rPr>
        <w:t>كانوا أقرب إلى السنة واتباع السلف</w:t>
      </w:r>
      <w:r w:rsidR="000636C2">
        <w:rPr>
          <w:rFonts w:hint="cs"/>
          <w:rtl/>
        </w:rPr>
        <w:t>،</w:t>
      </w:r>
      <w:r w:rsidRPr="005675B2">
        <w:rPr>
          <w:rFonts w:hint="cs"/>
          <w:rtl/>
        </w:rPr>
        <w:t xml:space="preserve"> فقد نقل شيخ الإسلام في الاستقامة كثيراً من</w:t>
      </w:r>
      <w:r w:rsidRPr="005675B2">
        <w:rPr>
          <w:rFonts w:hint="cs"/>
        </w:rPr>
        <w:t xml:space="preserve"> </w:t>
      </w:r>
      <w:r w:rsidRPr="005675B2">
        <w:rPr>
          <w:rFonts w:hint="cs"/>
          <w:rtl/>
        </w:rPr>
        <w:t>أقوالهم في ذلك [</w:t>
      </w:r>
      <w:r w:rsidRPr="005675B2">
        <w:rPr>
          <w:rFonts w:hint="cs"/>
          <w:bCs/>
          <w:sz w:val="24"/>
          <w:szCs w:val="24"/>
          <w:rtl/>
        </w:rPr>
        <w:t>يظهر بجلاء التقليد التام من الأخ الحوالي لابن تيمية وكأنه معصوم]</w:t>
      </w:r>
      <w:r w:rsidRPr="005675B2">
        <w:rPr>
          <w:rFonts w:hint="cs"/>
          <w:rtl/>
        </w:rPr>
        <w:t>، وأنهم يعتبرون موافقة عقيدة الأشعرية منافياً لسلوك طريق الولاية</w:t>
      </w:r>
      <w:r w:rsidRPr="005675B2">
        <w:rPr>
          <w:rFonts w:hint="cs"/>
        </w:rPr>
        <w:t xml:space="preserve"> </w:t>
      </w:r>
      <w:r w:rsidRPr="005675B2">
        <w:rPr>
          <w:rFonts w:hint="cs"/>
          <w:rtl/>
        </w:rPr>
        <w:t>والاستقامة حتى أن عبد القادر الجيلاني لما سئل</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هل كان لله ولي على غير اعتقاد أحمد بن حنبل</w:t>
      </w:r>
      <w:r w:rsidR="000636C2">
        <w:rPr>
          <w:rFonts w:hint="cs"/>
          <w:rtl/>
        </w:rPr>
        <w:t>؟</w:t>
      </w:r>
      <w:r w:rsidRPr="005675B2">
        <w:rPr>
          <w:rFonts w:hint="cs"/>
          <w:rtl/>
        </w:rPr>
        <w:t xml:space="preserve"> قال</w:t>
      </w:r>
      <w:r w:rsidR="000636C2">
        <w:rPr>
          <w:rFonts w:hint="cs"/>
          <w:rtl/>
        </w:rPr>
        <w:t>:</w:t>
      </w:r>
      <w:r w:rsidRPr="005675B2">
        <w:rPr>
          <w:rFonts w:hint="cs"/>
          <w:rtl/>
        </w:rPr>
        <w:t xml:space="preserve"> ما كان ولا يكون</w:t>
      </w:r>
      <w:r w:rsidRPr="005675B2">
        <w:rPr>
          <w:rFonts w:hint="cs"/>
        </w:rPr>
        <w:t xml:space="preserve"> </w:t>
      </w:r>
      <w:r w:rsidRPr="005675B2">
        <w:rPr>
          <w:rFonts w:hint="cs"/>
          <w:rtl/>
        </w:rPr>
        <w:t>"</w:t>
      </w:r>
    </w:p>
    <w:p w14:paraId="0C6BF3CF" w14:textId="229453AA"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أخي الحبيب هداك الله</w:t>
      </w:r>
      <w:r>
        <w:rPr>
          <w:rFonts w:hint="cs"/>
          <w:rtl/>
        </w:rPr>
        <w:t xml:space="preserve">: </w:t>
      </w:r>
      <w:r w:rsidR="009C32A0" w:rsidRPr="005675B2">
        <w:rPr>
          <w:rFonts w:hint="cs"/>
          <w:rtl/>
        </w:rPr>
        <w:t>لايوجد</w:t>
      </w:r>
      <w:r>
        <w:rPr>
          <w:rFonts w:hint="cs"/>
          <w:rtl/>
        </w:rPr>
        <w:t xml:space="preserve"> </w:t>
      </w:r>
      <w:r w:rsidR="009C32A0" w:rsidRPr="005675B2">
        <w:rPr>
          <w:rFonts w:hint="cs"/>
          <w:rtl/>
        </w:rPr>
        <w:t>منافاة بين كلام الإمام الجيلاني وبين اعتقاد أهل السنة والجماعة</w:t>
      </w:r>
      <w:r>
        <w:rPr>
          <w:rFonts w:hint="cs"/>
          <w:rtl/>
        </w:rPr>
        <w:t>،</w:t>
      </w:r>
      <w:r w:rsidR="009C32A0" w:rsidRPr="005675B2">
        <w:rPr>
          <w:rFonts w:hint="cs"/>
          <w:rtl/>
        </w:rPr>
        <w:t>سواء كانوا على مسلك الأشاعرة أو الإمام أحمد</w:t>
      </w:r>
      <w:r>
        <w:rPr>
          <w:rFonts w:hint="cs"/>
          <w:rtl/>
        </w:rPr>
        <w:t>،</w:t>
      </w:r>
      <w:r w:rsidR="009C32A0" w:rsidRPr="005675B2">
        <w:rPr>
          <w:rFonts w:hint="cs"/>
          <w:rtl/>
        </w:rPr>
        <w:t xml:space="preserve"> فالثناء على عقيدة الإمام أحمد هو ثناء على عقيدة أهل الحق جميعاً</w:t>
      </w:r>
      <w:r>
        <w:rPr>
          <w:rFonts w:hint="cs"/>
          <w:rtl/>
        </w:rPr>
        <w:t>،</w:t>
      </w:r>
      <w:r w:rsidR="009C32A0" w:rsidRPr="005675B2">
        <w:rPr>
          <w:rFonts w:hint="cs"/>
          <w:rtl/>
        </w:rPr>
        <w:t xml:space="preserve"> وليس في كلامه ذم</w:t>
      </w:r>
      <w:r>
        <w:rPr>
          <w:rFonts w:hint="cs"/>
          <w:rtl/>
        </w:rPr>
        <w:t xml:space="preserve"> </w:t>
      </w:r>
      <w:r w:rsidR="009C32A0" w:rsidRPr="005675B2">
        <w:rPr>
          <w:rFonts w:hint="cs"/>
          <w:rtl/>
        </w:rPr>
        <w:t>للأشاعرة ولا لغيرهم، وإنما هي استنتاجات مبنية عند الكاتب على خلفيات مسبقة يلقي فيها الكلام على ألسنة العلماء بحسب وهمه هداه الله</w:t>
      </w:r>
      <w:r>
        <w:rPr>
          <w:rFonts w:hint="cs"/>
          <w:rtl/>
        </w:rPr>
        <w:t>،</w:t>
      </w:r>
    </w:p>
    <w:p w14:paraId="2475090B" w14:textId="4C219D9C" w:rsidR="009C32A0" w:rsidRPr="005675B2" w:rsidRDefault="009C32A0" w:rsidP="000636C2">
      <w:pPr>
        <w:rPr>
          <w:b/>
        </w:rPr>
      </w:pPr>
      <w:r w:rsidRPr="005675B2">
        <w:rPr>
          <w:rFonts w:hint="cs"/>
          <w:bCs/>
          <w:rtl/>
        </w:rPr>
        <w:t>دعوى تراجع كبار الأشاعرة</w:t>
      </w:r>
      <w:r w:rsidR="000636C2">
        <w:rPr>
          <w:rFonts w:hint="cs"/>
          <w:bCs/>
          <w:rtl/>
        </w:rPr>
        <w:t xml:space="preserve"> </w:t>
      </w:r>
      <w:r w:rsidRPr="005675B2">
        <w:rPr>
          <w:rFonts w:hint="cs"/>
          <w:bCs/>
          <w:rtl/>
        </w:rPr>
        <w:t>عن مذهب الأشاعرة</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وهاهنا حقيقة كبرى أثبتها</w:t>
      </w:r>
      <w:r w:rsidRPr="005675B2">
        <w:rPr>
          <w:rFonts w:hint="cs"/>
        </w:rPr>
        <w:t xml:space="preserve"> </w:t>
      </w:r>
      <w:r w:rsidRPr="005675B2">
        <w:rPr>
          <w:rFonts w:hint="cs"/>
          <w:rtl/>
        </w:rPr>
        <w:t>علماء الأشعرية الكبار بأنفسهم</w:t>
      </w:r>
      <w:r w:rsidR="000636C2">
        <w:rPr>
          <w:rFonts w:hint="cs"/>
          <w:rtl/>
        </w:rPr>
        <w:t xml:space="preserve"> </w:t>
      </w:r>
      <w:r w:rsidRPr="005675B2">
        <w:rPr>
          <w:rFonts w:hint="cs"/>
          <w:rtl/>
        </w:rPr>
        <w:t>- كالجويني وابن أبي المعالي والرازي والغزالي</w:t>
      </w:r>
      <w:r w:rsidRPr="005675B2">
        <w:rPr>
          <w:rFonts w:hint="cs"/>
        </w:rPr>
        <w:t xml:space="preserve"> </w:t>
      </w:r>
      <w:r w:rsidRPr="005675B2">
        <w:rPr>
          <w:rFonts w:hint="cs"/>
          <w:rtl/>
        </w:rPr>
        <w:t>وغيرهم</w:t>
      </w:r>
      <w:r w:rsidR="000636C2">
        <w:rPr>
          <w:rFonts w:hint="cs"/>
          <w:rtl/>
        </w:rPr>
        <w:t xml:space="preserve"> </w:t>
      </w:r>
      <w:r w:rsidRPr="005675B2">
        <w:rPr>
          <w:rFonts w:hint="cs"/>
          <w:rtl/>
        </w:rPr>
        <w:t>- وهي حقيقة إعلان حيرتهم وتوبتهم ورجوعهم إلى مذهب السلف</w:t>
      </w:r>
      <w:r w:rsidR="000636C2">
        <w:rPr>
          <w:rFonts w:hint="cs"/>
          <w:rtl/>
        </w:rPr>
        <w:t>،</w:t>
      </w:r>
      <w:r w:rsidRPr="005675B2">
        <w:rPr>
          <w:rFonts w:hint="cs"/>
          <w:rtl/>
        </w:rPr>
        <w:t xml:space="preserve"> وكتب الأشعرية</w:t>
      </w:r>
      <w:r w:rsidRPr="005675B2">
        <w:rPr>
          <w:rFonts w:hint="cs"/>
        </w:rPr>
        <w:t xml:space="preserve"> </w:t>
      </w:r>
      <w:r w:rsidRPr="005675B2">
        <w:rPr>
          <w:rFonts w:hint="cs"/>
          <w:rtl/>
        </w:rPr>
        <w:t>المتعصبة مثل طبقات الشافعية أوردت ذلك في تراجمهم أو بعضه فما دلالة ذلك</w:t>
      </w:r>
      <w:r w:rsidR="000636C2">
        <w:rPr>
          <w:rFonts w:hint="cs"/>
          <w:rtl/>
        </w:rPr>
        <w:t xml:space="preserve">؟ </w:t>
      </w:r>
      <w:r w:rsidRPr="005675B2">
        <w:rPr>
          <w:rFonts w:hint="cs"/>
          <w:rtl/>
        </w:rPr>
        <w:t>إذا كانوا من أصلهم على</w:t>
      </w:r>
      <w:r w:rsidRPr="005675B2">
        <w:rPr>
          <w:rFonts w:hint="cs"/>
        </w:rPr>
        <w:t xml:space="preserve"> </w:t>
      </w:r>
      <w:r w:rsidRPr="005675B2">
        <w:rPr>
          <w:rFonts w:hint="cs"/>
          <w:rtl/>
        </w:rPr>
        <w:t>عقيدة أهل السنة والجماعة فعن أي شيء رجعوا</w:t>
      </w:r>
      <w:r w:rsidR="000636C2">
        <w:rPr>
          <w:rFonts w:hint="cs"/>
          <w:rtl/>
        </w:rPr>
        <w:t>؟</w:t>
      </w:r>
      <w:r w:rsidRPr="005675B2">
        <w:rPr>
          <w:rFonts w:hint="cs"/>
          <w:rtl/>
        </w:rPr>
        <w:t xml:space="preserve"> ولماذا رجعوا</w:t>
      </w:r>
      <w:r w:rsidR="000636C2">
        <w:rPr>
          <w:rFonts w:hint="cs"/>
          <w:rtl/>
        </w:rPr>
        <w:t>؟</w:t>
      </w:r>
      <w:r w:rsidRPr="005675B2">
        <w:rPr>
          <w:rFonts w:hint="cs"/>
          <w:rtl/>
        </w:rPr>
        <w:t xml:space="preserve"> وإلى أي عقيدة رجعوا</w:t>
      </w:r>
      <w:r w:rsidR="000636C2">
        <w:rPr>
          <w:rFonts w:hint="cs"/>
          <w:rtl/>
        </w:rPr>
        <w:t>؟</w:t>
      </w:r>
    </w:p>
    <w:p w14:paraId="38E8B15B" w14:textId="57E66BD8"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w:t>
      </w:r>
      <w:r w:rsidR="009C32A0" w:rsidRPr="005675B2">
        <w:rPr>
          <w:rFonts w:hint="cs"/>
          <w:rtl/>
        </w:rPr>
        <w:t xml:space="preserve"> ليفهم طالب العلم</w:t>
      </w:r>
      <w:r>
        <w:rPr>
          <w:rFonts w:hint="cs"/>
          <w:rtl/>
        </w:rPr>
        <w:t xml:space="preserve"> </w:t>
      </w:r>
      <w:r w:rsidR="009C32A0" w:rsidRPr="005675B2">
        <w:rPr>
          <w:rFonts w:hint="cs"/>
          <w:rtl/>
        </w:rPr>
        <w:t>مذهب الأشاعرة غفر الله لك فأقول وبالله التوفيق</w:t>
      </w:r>
      <w:r>
        <w:rPr>
          <w:rFonts w:hint="cs"/>
          <w:rtl/>
        </w:rPr>
        <w:t xml:space="preserve">: </w:t>
      </w:r>
      <w:r w:rsidR="009C32A0" w:rsidRPr="005675B2">
        <w:rPr>
          <w:rFonts w:hint="cs"/>
          <w:rtl/>
        </w:rPr>
        <w:t>هؤلاء</w:t>
      </w:r>
      <w:r>
        <w:rPr>
          <w:rFonts w:hint="cs"/>
          <w:rtl/>
        </w:rPr>
        <w:t xml:space="preserve"> </w:t>
      </w:r>
      <w:r w:rsidR="009C32A0" w:rsidRPr="005675B2">
        <w:rPr>
          <w:rFonts w:hint="cs"/>
          <w:rtl/>
        </w:rPr>
        <w:t>العلماء من أهل السنة والجماعة من الأشاعرة كالإمام الرازي</w:t>
      </w:r>
      <w:r>
        <w:rPr>
          <w:rFonts w:hint="cs"/>
          <w:rtl/>
        </w:rPr>
        <w:t>،</w:t>
      </w:r>
      <w:r w:rsidR="009C32A0" w:rsidRPr="005675B2">
        <w:rPr>
          <w:rFonts w:hint="cs"/>
          <w:rtl/>
        </w:rPr>
        <w:t>والجويني</w:t>
      </w:r>
      <w:r>
        <w:rPr>
          <w:rFonts w:hint="cs"/>
          <w:rtl/>
        </w:rPr>
        <w:t>،</w:t>
      </w:r>
      <w:r w:rsidR="009C32A0" w:rsidRPr="005675B2">
        <w:rPr>
          <w:rFonts w:hint="cs"/>
          <w:rtl/>
        </w:rPr>
        <w:t>والغزالي وغيرهم</w:t>
      </w:r>
      <w:r>
        <w:rPr>
          <w:rFonts w:hint="cs"/>
          <w:rtl/>
        </w:rPr>
        <w:t xml:space="preserve"> </w:t>
      </w:r>
      <w:r w:rsidR="009C32A0" w:rsidRPr="005675B2">
        <w:rPr>
          <w:rFonts w:hint="cs"/>
          <w:rtl/>
        </w:rPr>
        <w:t>في آخر حياتهم لم يرجعوا عن معتقد الأشاعرة كما يقال</w:t>
      </w:r>
      <w:r>
        <w:rPr>
          <w:rFonts w:hint="cs"/>
          <w:rtl/>
        </w:rPr>
        <w:t>،</w:t>
      </w:r>
      <w:r w:rsidR="009C32A0" w:rsidRPr="005675B2">
        <w:rPr>
          <w:rFonts w:hint="cs"/>
          <w:rtl/>
        </w:rPr>
        <w:t>وإنما أخذوا في آخر حياتهم بأحد المسلكين الجائزين عندالأشاعرة</w:t>
      </w:r>
      <w:r>
        <w:rPr>
          <w:rFonts w:hint="cs"/>
          <w:rtl/>
        </w:rPr>
        <w:t xml:space="preserve"> </w:t>
      </w:r>
      <w:r w:rsidR="009C32A0" w:rsidRPr="005675B2">
        <w:rPr>
          <w:rFonts w:hint="cs"/>
          <w:rtl/>
        </w:rPr>
        <w:t>ألا وهو التفويض</w:t>
      </w:r>
      <w:r>
        <w:rPr>
          <w:rFonts w:hint="cs"/>
          <w:rtl/>
        </w:rPr>
        <w:t>،</w:t>
      </w:r>
      <w:r w:rsidR="009C32A0" w:rsidRPr="005675B2">
        <w:rPr>
          <w:rFonts w:hint="cs"/>
          <w:rtl/>
        </w:rPr>
        <w:t>فقدّموا التفويض على التأويل، وهم يدندنون حوله في كثير من كتبهم</w:t>
      </w:r>
      <w:r>
        <w:rPr>
          <w:rFonts w:hint="cs"/>
          <w:rtl/>
        </w:rPr>
        <w:t>،</w:t>
      </w:r>
      <w:r w:rsidR="009C32A0" w:rsidRPr="005675B2">
        <w:rPr>
          <w:rFonts w:hint="cs"/>
          <w:rtl/>
        </w:rPr>
        <w:t>وليست المسألة أن هذا لم</w:t>
      </w:r>
      <w:r>
        <w:rPr>
          <w:rFonts w:hint="cs"/>
          <w:rtl/>
        </w:rPr>
        <w:t xml:space="preserve"> </w:t>
      </w:r>
      <w:r w:rsidR="009C32A0" w:rsidRPr="005675B2">
        <w:rPr>
          <w:rFonts w:hint="cs"/>
          <w:rtl/>
        </w:rPr>
        <w:t>يحصل لهم إلا في الرمق الأخير كما يتوهم كثير من الكتبة</w:t>
      </w:r>
      <w:r>
        <w:rPr>
          <w:rFonts w:hint="cs"/>
          <w:rtl/>
        </w:rPr>
        <w:t>،</w:t>
      </w:r>
      <w:r w:rsidR="009C32A0" w:rsidRPr="005675B2">
        <w:rPr>
          <w:rFonts w:hint="cs"/>
          <w:rtl/>
        </w:rPr>
        <w:t xml:space="preserve"> ولا شك أن جهودهم تبيض وجوههم نرجوا ذلك لهم عند الله</w:t>
      </w:r>
      <w:r>
        <w:rPr>
          <w:rFonts w:hint="cs"/>
          <w:rtl/>
        </w:rPr>
        <w:t>،</w:t>
      </w:r>
      <w:r w:rsidR="009C32A0" w:rsidRPr="005675B2">
        <w:rPr>
          <w:rFonts w:hint="cs"/>
          <w:u w:val="single"/>
          <w:rtl/>
        </w:rPr>
        <w:t xml:space="preserve"> وهم لم يبطلوها </w:t>
      </w:r>
      <w:r w:rsidR="009C32A0" w:rsidRPr="005675B2">
        <w:rPr>
          <w:rFonts w:hint="cs"/>
          <w:rtl/>
        </w:rPr>
        <w:t>ولم يقل أحد منهم أن أهل التأويل ليسوا على</w:t>
      </w:r>
      <w:r>
        <w:rPr>
          <w:rFonts w:hint="cs"/>
          <w:rtl/>
        </w:rPr>
        <w:t xml:space="preserve"> </w:t>
      </w:r>
      <w:r w:rsidR="009C32A0" w:rsidRPr="005675B2">
        <w:rPr>
          <w:rFonts w:hint="cs"/>
          <w:rtl/>
        </w:rPr>
        <w:t>مذهب أهل السنة والجماعة أو أنهم مبتدعة ضلال</w:t>
      </w:r>
      <w:r>
        <w:rPr>
          <w:rFonts w:hint="cs"/>
          <w:rtl/>
        </w:rPr>
        <w:t>،</w:t>
      </w:r>
      <w:r w:rsidR="009C32A0" w:rsidRPr="005675B2">
        <w:rPr>
          <w:rFonts w:hint="cs"/>
          <w:rtl/>
        </w:rPr>
        <w:t>وإنما حالهم حال</w:t>
      </w:r>
      <w:r>
        <w:rPr>
          <w:rFonts w:hint="cs"/>
          <w:rtl/>
        </w:rPr>
        <w:t xml:space="preserve"> </w:t>
      </w:r>
      <w:r w:rsidR="009C32A0" w:rsidRPr="005675B2">
        <w:rPr>
          <w:rFonts w:hint="cs"/>
          <w:rtl/>
        </w:rPr>
        <w:t>الإنسان</w:t>
      </w:r>
      <w:r>
        <w:rPr>
          <w:rFonts w:hint="cs"/>
          <w:rtl/>
        </w:rPr>
        <w:t xml:space="preserve"> </w:t>
      </w:r>
      <w:r w:rsidR="009C32A0" w:rsidRPr="005675B2">
        <w:rPr>
          <w:rFonts w:hint="cs"/>
          <w:rtl/>
        </w:rPr>
        <w:t>الحريص على الأولى؛ وإن ترك أمر اًغير ه مع أنه جائز أو مستحب، فيتركه إلى أمر أكثر استحباباً</w:t>
      </w:r>
      <w:r>
        <w:rPr>
          <w:rFonts w:hint="cs"/>
          <w:rtl/>
        </w:rPr>
        <w:t>،</w:t>
      </w:r>
      <w:r w:rsidR="009C32A0" w:rsidRPr="005675B2">
        <w:rPr>
          <w:rFonts w:hint="cs"/>
          <w:rtl/>
        </w:rPr>
        <w:t xml:space="preserve"> أو فيه خروج من الخلاف</w:t>
      </w:r>
      <w:r>
        <w:rPr>
          <w:rFonts w:hint="cs"/>
          <w:rtl/>
        </w:rPr>
        <w:t>،</w:t>
      </w:r>
      <w:r w:rsidR="009C32A0" w:rsidRPr="005675B2">
        <w:rPr>
          <w:rFonts w:hint="cs"/>
          <w:rtl/>
        </w:rPr>
        <w:t xml:space="preserve"> بل قد يجتهد فيراه محرماً</w:t>
      </w:r>
      <w:r>
        <w:rPr>
          <w:rFonts w:hint="cs"/>
          <w:rtl/>
        </w:rPr>
        <w:t>،</w:t>
      </w:r>
      <w:r w:rsidR="009C32A0" w:rsidRPr="005675B2">
        <w:rPr>
          <w:rFonts w:hint="cs"/>
          <w:rtl/>
        </w:rPr>
        <w:t>ويراه الآخر جائزاً</w:t>
      </w:r>
      <w:r>
        <w:rPr>
          <w:rFonts w:hint="cs"/>
          <w:rtl/>
        </w:rPr>
        <w:t>،</w:t>
      </w:r>
      <w:r w:rsidR="009C32A0" w:rsidRPr="005675B2">
        <w:rPr>
          <w:rFonts w:hint="cs"/>
          <w:rtl/>
        </w:rPr>
        <w:t xml:space="preserve"> هذا كل مافي الأمر</w:t>
      </w:r>
      <w:r>
        <w:rPr>
          <w:rFonts w:hint="cs"/>
          <w:rtl/>
        </w:rPr>
        <w:t>،</w:t>
      </w:r>
      <w:r w:rsidR="009C32A0" w:rsidRPr="005675B2">
        <w:rPr>
          <w:rFonts w:hint="cs"/>
          <w:u w:val="single"/>
          <w:rtl/>
        </w:rPr>
        <w:t xml:space="preserve"> وتنبه إلى أنهم لم يخرجوا القائلين بالتأويل</w:t>
      </w:r>
      <w:r>
        <w:rPr>
          <w:rFonts w:hint="cs"/>
          <w:u w:val="single"/>
          <w:rtl/>
        </w:rPr>
        <w:t xml:space="preserve"> </w:t>
      </w:r>
      <w:r w:rsidR="009C32A0" w:rsidRPr="005675B2">
        <w:rPr>
          <w:rFonts w:hint="cs"/>
          <w:u w:val="single"/>
          <w:rtl/>
        </w:rPr>
        <w:t>عن عقيدة أهل السنة والجماعة</w:t>
      </w:r>
      <w:r>
        <w:rPr>
          <w:rFonts w:hint="cs"/>
          <w:u w:val="single"/>
          <w:rtl/>
        </w:rPr>
        <w:t>،</w:t>
      </w:r>
      <w:r w:rsidR="009C32A0" w:rsidRPr="005675B2">
        <w:rPr>
          <w:rFonts w:hint="cs"/>
          <w:u w:val="single"/>
          <w:rtl/>
        </w:rPr>
        <w:t>ولا قالوا أنهم من الفرق الهالكة فهنا مربط الفرس</w:t>
      </w:r>
      <w:r>
        <w:rPr>
          <w:rFonts w:hint="cs"/>
          <w:u w:val="single"/>
          <w:rtl/>
        </w:rPr>
        <w:t>،</w:t>
      </w:r>
      <w:r w:rsidR="009C32A0" w:rsidRPr="005675B2">
        <w:rPr>
          <w:rFonts w:hint="cs"/>
          <w:u w:val="single"/>
          <w:rtl/>
        </w:rPr>
        <w:t xml:space="preserve"> </w:t>
      </w:r>
      <w:r w:rsidR="009C32A0" w:rsidRPr="005675B2">
        <w:rPr>
          <w:rFonts w:hint="cs"/>
          <w:rtl/>
        </w:rPr>
        <w:t>قال الإمام اللقاني في جوهرة التوحيد</w:t>
      </w:r>
      <w:r>
        <w:rPr>
          <w:rFonts w:hint="cs"/>
          <w:rtl/>
        </w:rPr>
        <w:t>: (</w:t>
      </w:r>
      <w:r w:rsidR="009C32A0" w:rsidRPr="005675B2">
        <w:rPr>
          <w:rFonts w:hint="cs"/>
          <w:rtl/>
        </w:rPr>
        <w:t>وكل نص أوهم التشبيه أوله</w:t>
      </w:r>
      <w:r>
        <w:rPr>
          <w:rFonts w:hint="cs"/>
          <w:rtl/>
        </w:rPr>
        <w:t xml:space="preserve"> </w:t>
      </w:r>
      <w:r w:rsidR="009C32A0" w:rsidRPr="005675B2">
        <w:rPr>
          <w:rFonts w:hint="cs"/>
          <w:rtl/>
        </w:rPr>
        <w:t>أو فوض ورم تنزيها</w:t>
      </w:r>
      <w:r>
        <w:rPr>
          <w:rFonts w:hint="cs"/>
          <w:rtl/>
        </w:rPr>
        <w:t xml:space="preserve">)، </w:t>
      </w:r>
      <w:r w:rsidR="009C32A0" w:rsidRPr="005675B2">
        <w:rPr>
          <w:rFonts w:hint="cs"/>
          <w:rtl/>
        </w:rPr>
        <w:t>إذن لديهم مسلكان صحيحان بأيهما أخذ العبد فهو على السنة</w:t>
      </w:r>
      <w:r>
        <w:rPr>
          <w:rFonts w:hint="cs"/>
          <w:rtl/>
        </w:rPr>
        <w:t xml:space="preserve">، </w:t>
      </w:r>
      <w:r w:rsidR="009C32A0" w:rsidRPr="005675B2">
        <w:rPr>
          <w:rFonts w:hint="cs"/>
          <w:rtl/>
        </w:rPr>
        <w:t>قال الإمام النووي رحمه الله تعالى</w:t>
      </w:r>
      <w:r>
        <w:rPr>
          <w:rFonts w:hint="cs"/>
          <w:rtl/>
        </w:rPr>
        <w:t>:</w:t>
      </w:r>
      <w:r w:rsidR="009C32A0" w:rsidRPr="005675B2">
        <w:rPr>
          <w:rFonts w:hint="cs"/>
          <w:rtl/>
        </w:rPr>
        <w:t xml:space="preserve"> "اعلم أن لأهل العلم في أحاديث الصفات وآيات الصفات قولين</w:t>
      </w:r>
      <w:r>
        <w:rPr>
          <w:rFonts w:hint="cs"/>
          <w:rtl/>
        </w:rPr>
        <w:t>:</w:t>
      </w:r>
    </w:p>
    <w:p w14:paraId="51E8B90A" w14:textId="03B90D6C" w:rsidR="009C32A0" w:rsidRPr="005675B2" w:rsidRDefault="009C32A0" w:rsidP="000636C2">
      <w:pPr>
        <w:rPr>
          <w:b/>
          <w:rtl/>
        </w:rPr>
      </w:pPr>
      <w:r w:rsidRPr="005675B2">
        <w:rPr>
          <w:rFonts w:hint="cs"/>
          <w:rtl/>
        </w:rPr>
        <w:t>أحدهما</w:t>
      </w:r>
      <w:r w:rsidR="000636C2">
        <w:rPr>
          <w:rFonts w:hint="cs"/>
          <w:rtl/>
        </w:rPr>
        <w:t>:</w:t>
      </w:r>
      <w:r w:rsidRPr="005675B2">
        <w:rPr>
          <w:rFonts w:hint="cs"/>
          <w:rtl/>
        </w:rPr>
        <w:t xml:space="preserve">وهو مذهب معظم السلف أو كلهم أنه لا يتكلم في معناها، بل يقولون يجب علينا أن نؤمن بها ونعتقد لها معنى يليق بجلال الله تعالى وعظمته اعتقادنا الجازم أن الله تعالى ليس كمثله شيئ وأنه منزه </w:t>
      </w:r>
      <w:r w:rsidRPr="005675B2">
        <w:rPr>
          <w:rFonts w:hint="cs"/>
          <w:u w:val="single"/>
          <w:rtl/>
        </w:rPr>
        <w:t>عن التجسيم والانتقال والتحيز في جهة وعن سائر صفات المخلوق</w:t>
      </w:r>
      <w:r w:rsidRPr="005675B2">
        <w:rPr>
          <w:rFonts w:hint="cs"/>
          <w:rtl/>
        </w:rPr>
        <w:t>، وهذا القول مذهب جماعة من المتكلمين واختاره جماعة من محققيهم وهو أسلم</w:t>
      </w:r>
      <w:r w:rsidR="000636C2">
        <w:rPr>
          <w:rFonts w:hint="cs"/>
          <w:rtl/>
        </w:rPr>
        <w:t>،</w:t>
      </w:r>
    </w:p>
    <w:p w14:paraId="680F8B53" w14:textId="36992E88" w:rsidR="009C32A0" w:rsidRPr="005675B2" w:rsidRDefault="009C32A0" w:rsidP="000636C2">
      <w:pPr>
        <w:rPr>
          <w:b/>
          <w:rtl/>
        </w:rPr>
      </w:pPr>
      <w:r w:rsidRPr="005675B2">
        <w:rPr>
          <w:rFonts w:hint="cs"/>
          <w:rtl/>
        </w:rPr>
        <w:t>والقول الثاني</w:t>
      </w:r>
      <w:r w:rsidR="000636C2">
        <w:rPr>
          <w:rFonts w:hint="cs"/>
          <w:rtl/>
        </w:rPr>
        <w:t>:</w:t>
      </w:r>
      <w:r w:rsidRPr="005675B2">
        <w:rPr>
          <w:rFonts w:hint="cs"/>
          <w:rtl/>
        </w:rPr>
        <w:t xml:space="preserve"> وهو مذهب معظم المتكلمين أنها تُتَأول على ما يليق بها على حسب مواقعها، وإنما يسوغ </w:t>
      </w:r>
      <w:r w:rsidRPr="005675B2">
        <w:rPr>
          <w:rFonts w:hint="cs"/>
          <w:u w:val="single"/>
          <w:rtl/>
        </w:rPr>
        <w:t>تأويلها لمن كان من أهله بأن يكون عارفاً بلسان العرب</w:t>
      </w:r>
      <w:r w:rsidRPr="005675B2">
        <w:rPr>
          <w:rFonts w:hint="cs"/>
          <w:rtl/>
        </w:rPr>
        <w:t xml:space="preserve"> وقواعد الأصول والفروع ذا رياضة في العلم"أ</w:t>
      </w:r>
      <w:r w:rsidR="000636C2">
        <w:rPr>
          <w:rFonts w:hint="cs"/>
          <w:rtl/>
        </w:rPr>
        <w:t xml:space="preserve"> </w:t>
      </w:r>
      <w:r w:rsidRPr="005675B2">
        <w:rPr>
          <w:rFonts w:hint="cs"/>
          <w:rtl/>
        </w:rPr>
        <w:t>- 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Pr="005675B2">
        <w:rPr>
          <w:rFonts w:hint="cs"/>
          <w:bCs/>
          <w:sz w:val="24"/>
          <w:szCs w:val="24"/>
          <w:rtl/>
        </w:rPr>
        <w:t>شرح صحيح مسلم" (3/19):</w:t>
      </w:r>
      <w:r w:rsidRPr="005675B2">
        <w:rPr>
          <w:rFonts w:hint="cs"/>
          <w:rtl/>
        </w:rPr>
        <w:t>]</w:t>
      </w:r>
    </w:p>
    <w:p w14:paraId="3760CF10" w14:textId="10D30215" w:rsidR="009C32A0" w:rsidRPr="005675B2" w:rsidRDefault="000636C2" w:rsidP="000636C2">
      <w:pPr>
        <w:rPr>
          <w:b/>
          <w:u w:val="single"/>
          <w:rtl/>
        </w:rPr>
      </w:pPr>
      <w:r>
        <w:rPr>
          <w:rFonts w:hint="cs"/>
          <w:rtl/>
        </w:rPr>
        <w:t>(</w:t>
      </w:r>
      <w:r w:rsidR="009C32A0">
        <w:rPr>
          <w:rFonts w:hint="cs"/>
          <w:rtl/>
        </w:rPr>
        <w:t>ثانيا</w:t>
      </w:r>
      <w:r>
        <w:rPr>
          <w:rFonts w:hint="cs"/>
          <w:rtl/>
        </w:rPr>
        <w:t>):</w:t>
      </w:r>
      <w:r w:rsidR="009C32A0" w:rsidRPr="005675B2">
        <w:rPr>
          <w:rFonts w:hint="cs"/>
          <w:rtl/>
        </w:rPr>
        <w:t xml:space="preserve"> أين وجدت أنهم جعلوا ما رجعوا عنه في آخر حياتهم </w:t>
      </w:r>
      <w:r>
        <w:rPr>
          <w:rFonts w:hint="cs"/>
          <w:rtl/>
        </w:rPr>
        <w:t>(</w:t>
      </w:r>
      <w:r w:rsidR="009C32A0" w:rsidRPr="005675B2">
        <w:rPr>
          <w:rFonts w:hint="cs"/>
          <w:u w:val="single"/>
          <w:rtl/>
        </w:rPr>
        <w:t>ضلال</w:t>
      </w:r>
      <w:r>
        <w:rPr>
          <w:rFonts w:hint="cs"/>
          <w:u w:val="single"/>
          <w:rtl/>
        </w:rPr>
        <w:t>)</w:t>
      </w:r>
      <w:r w:rsidR="009C32A0" w:rsidRPr="005675B2">
        <w:rPr>
          <w:rFonts w:hint="cs"/>
          <w:u w:val="single"/>
          <w:rtl/>
        </w:rPr>
        <w:t xml:space="preserve"> </w:t>
      </w:r>
      <w:r>
        <w:rPr>
          <w:rFonts w:hint="cs"/>
          <w:u w:val="single"/>
          <w:rtl/>
        </w:rPr>
        <w:t>(</w:t>
      </w:r>
      <w:r w:rsidR="009C32A0" w:rsidRPr="005675B2">
        <w:rPr>
          <w:rFonts w:hint="cs"/>
          <w:u w:val="single"/>
          <w:rtl/>
        </w:rPr>
        <w:t>وصاحبه ليس من أهل السنة والجماعة</w:t>
      </w:r>
      <w:r>
        <w:rPr>
          <w:rFonts w:hint="cs"/>
          <w:u w:val="single"/>
          <w:rtl/>
        </w:rPr>
        <w:t>)؟!</w:t>
      </w:r>
      <w:r w:rsidR="009C32A0" w:rsidRPr="005675B2">
        <w:rPr>
          <w:rFonts w:hint="cs"/>
          <w:rtl/>
        </w:rPr>
        <w:t xml:space="preserve"> فلم يقل ذلك أحد منهم لا الإمام الأشعري</w:t>
      </w:r>
      <w:r>
        <w:rPr>
          <w:rFonts w:hint="cs"/>
          <w:rtl/>
        </w:rPr>
        <w:t>،</w:t>
      </w:r>
      <w:r w:rsidR="009C32A0" w:rsidRPr="005675B2">
        <w:rPr>
          <w:rFonts w:hint="cs"/>
          <w:rtl/>
        </w:rPr>
        <w:t>ولا الإمام الجويني</w:t>
      </w:r>
      <w:r>
        <w:rPr>
          <w:rFonts w:hint="cs"/>
          <w:rtl/>
        </w:rPr>
        <w:t>،</w:t>
      </w:r>
      <w:r w:rsidR="009C32A0" w:rsidRPr="005675B2">
        <w:rPr>
          <w:rFonts w:hint="cs"/>
          <w:rtl/>
        </w:rPr>
        <w:t xml:space="preserve"> ولا الرازي</w:t>
      </w:r>
      <w:r>
        <w:rPr>
          <w:rFonts w:hint="cs"/>
          <w:rtl/>
        </w:rPr>
        <w:t>،</w:t>
      </w:r>
      <w:r w:rsidR="009C32A0" w:rsidRPr="005675B2">
        <w:rPr>
          <w:rFonts w:hint="cs"/>
          <w:rtl/>
        </w:rPr>
        <w:t xml:space="preserve"> ولا غيرهم</w:t>
      </w:r>
      <w:r>
        <w:rPr>
          <w:rFonts w:hint="cs"/>
          <w:rtl/>
        </w:rPr>
        <w:t>،</w:t>
      </w:r>
      <w:r w:rsidR="009C32A0" w:rsidRPr="005675B2">
        <w:rPr>
          <w:rFonts w:hint="cs"/>
          <w:rtl/>
        </w:rPr>
        <w:t xml:space="preserve"> </w:t>
      </w:r>
      <w:r w:rsidR="009C32A0" w:rsidRPr="005675B2">
        <w:rPr>
          <w:rFonts w:hint="cs"/>
          <w:u w:val="single"/>
          <w:rtl/>
        </w:rPr>
        <w:t>[</w:t>
      </w:r>
      <w:r w:rsidR="009C32A0" w:rsidRPr="005675B2">
        <w:rPr>
          <w:rFonts w:hint="cs"/>
          <w:bCs/>
          <w:sz w:val="24"/>
          <w:szCs w:val="24"/>
          <w:rtl/>
        </w:rPr>
        <w:t>دقق في الكلام لم يقل أحد منهم أنه ضلالة ولم يقل أنه مخالف لمذهب أهل السنة والجماعة</w:t>
      </w:r>
      <w:r>
        <w:rPr>
          <w:rFonts w:hint="cs"/>
          <w:bCs/>
          <w:sz w:val="24"/>
          <w:szCs w:val="24"/>
          <w:rtl/>
        </w:rPr>
        <w:t>]</w:t>
      </w:r>
    </w:p>
    <w:p w14:paraId="17F45F79" w14:textId="4CA4F362"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قرأنا كلاما للصحب الكرام رضي الله عنهم يتأسفون فيه على أنفسهم، فيقول قائلهم</w:t>
      </w:r>
      <w:r w:rsidR="000636C2">
        <w:rPr>
          <w:rFonts w:hint="cs"/>
          <w:rtl/>
        </w:rPr>
        <w:t>:</w:t>
      </w:r>
      <w:r w:rsidRPr="005675B2">
        <w:rPr>
          <w:rFonts w:hint="cs"/>
          <w:rtl/>
        </w:rPr>
        <w:t xml:space="preserve"> ليت أمي لم تلدني ليتني كنت شجرة تعضد</w:t>
      </w:r>
      <w:r w:rsidR="000636C2">
        <w:rPr>
          <w:rFonts w:hint="cs"/>
          <w:rtl/>
        </w:rPr>
        <w:t>،</w:t>
      </w:r>
      <w:r w:rsidRPr="005675B2">
        <w:rPr>
          <w:rFonts w:hint="cs"/>
          <w:rtl/>
        </w:rPr>
        <w:t xml:space="preserve"> ونحو ذلك مما يحصل لأهل التقوى</w:t>
      </w:r>
      <w:r w:rsidR="000636C2">
        <w:rPr>
          <w:rFonts w:hint="cs"/>
          <w:rtl/>
        </w:rPr>
        <w:t>،</w:t>
      </w:r>
      <w:r w:rsidRPr="005675B2">
        <w:rPr>
          <w:rFonts w:hint="cs"/>
          <w:rtl/>
        </w:rPr>
        <w:t xml:space="preserve"> فهل نقول</w:t>
      </w:r>
      <w:r w:rsidR="000636C2">
        <w:rPr>
          <w:rFonts w:hint="cs"/>
          <w:rtl/>
        </w:rPr>
        <w:t>:</w:t>
      </w:r>
      <w:r w:rsidRPr="005675B2">
        <w:rPr>
          <w:rFonts w:hint="cs"/>
          <w:rtl/>
        </w:rPr>
        <w:t>أنهم يتأسفون على معاص أمضوا العمر فيها</w:t>
      </w:r>
      <w:r w:rsidR="000636C2">
        <w:rPr>
          <w:rFonts w:hint="cs"/>
          <w:rtl/>
        </w:rPr>
        <w:t>؟!</w:t>
      </w:r>
      <w:r w:rsidRPr="005675B2">
        <w:rPr>
          <w:rFonts w:hint="cs"/>
          <w:rtl/>
        </w:rPr>
        <w:t>!ألا وإن بعض الرافضة قد قالوا ذلك</w:t>
      </w:r>
      <w:r w:rsidR="000636C2">
        <w:rPr>
          <w:rFonts w:hint="cs"/>
          <w:rtl/>
        </w:rPr>
        <w:t>،</w:t>
      </w:r>
      <w:r w:rsidRPr="005675B2">
        <w:rPr>
          <w:rFonts w:hint="cs"/>
          <w:rtl/>
        </w:rPr>
        <w:t>فسلطوا ألسنتهم على الصحب الكرام</w:t>
      </w:r>
      <w:r w:rsidR="000636C2">
        <w:rPr>
          <w:rFonts w:hint="cs"/>
          <w:rtl/>
        </w:rPr>
        <w:t>،</w:t>
      </w:r>
      <w:r w:rsidRPr="005675B2">
        <w:rPr>
          <w:rFonts w:hint="cs"/>
          <w:rtl/>
        </w:rPr>
        <w:t>كما سلط غيرهم لسانه على العلماء الكرام</w:t>
      </w:r>
      <w:r w:rsidR="000636C2">
        <w:rPr>
          <w:rFonts w:hint="cs"/>
          <w:rtl/>
        </w:rPr>
        <w:t>،</w:t>
      </w:r>
      <w:r w:rsidRPr="005675B2">
        <w:rPr>
          <w:rFonts w:hint="cs"/>
          <w:rtl/>
        </w:rPr>
        <w:t xml:space="preserve"> فنسأل الله أن يحفظنا من مضلات الفتن</w:t>
      </w:r>
      <w:r w:rsidR="000636C2">
        <w:rPr>
          <w:rFonts w:hint="cs"/>
          <w:rtl/>
        </w:rPr>
        <w:t>،</w:t>
      </w:r>
    </w:p>
    <w:p w14:paraId="14FF6373" w14:textId="4644262E" w:rsidR="009C32A0" w:rsidRPr="005675B2" w:rsidRDefault="009C32A0" w:rsidP="000636C2">
      <w:pPr>
        <w:rPr>
          <w:b/>
        </w:rPr>
      </w:pPr>
      <w:r w:rsidRPr="005675B2">
        <w:rPr>
          <w:rFonts w:hint="cs"/>
          <w:bCs/>
          <w:rtl/>
        </w:rPr>
        <w:t>الفرق بين معنى الفطرة عند الكاتب والعلماء</w:t>
      </w:r>
      <w:r w:rsidR="000636C2">
        <w:rPr>
          <w:rFonts w:hint="cs"/>
          <w:bCs/>
          <w:rtl/>
        </w:rPr>
        <w:t xml:space="preserve">: </w:t>
      </w:r>
      <w:r w:rsidRPr="005675B2">
        <w:rPr>
          <w:rFonts w:hint="cs"/>
          <w:rtl/>
        </w:rPr>
        <w:t>قال الكاتب</w:t>
      </w:r>
      <w:r w:rsidR="000636C2">
        <w:rPr>
          <w:rFonts w:hint="cs"/>
          <w:rtl/>
        </w:rPr>
        <w:t>:</w:t>
      </w:r>
      <w:r w:rsidRPr="005675B2">
        <w:rPr>
          <w:rFonts w:hint="cs"/>
          <w:rtl/>
        </w:rPr>
        <w:t xml:space="preserve"> أما عوام المسلمين فالأصل</w:t>
      </w:r>
      <w:r w:rsidRPr="005675B2">
        <w:rPr>
          <w:rFonts w:hint="cs"/>
        </w:rPr>
        <w:t xml:space="preserve"> </w:t>
      </w:r>
      <w:r w:rsidRPr="005675B2">
        <w:rPr>
          <w:rFonts w:hint="cs"/>
          <w:rtl/>
        </w:rPr>
        <w:t>فيهم أنهم على عقيدة السلف ؛ لأنها الفطرة التي يولد عليها الإنسان</w:t>
      </w:r>
      <w:r w:rsidR="000636C2">
        <w:rPr>
          <w:rFonts w:hint="cs"/>
          <w:rtl/>
        </w:rPr>
        <w:t>،</w:t>
      </w:r>
      <w:r w:rsidRPr="005675B2">
        <w:rPr>
          <w:rFonts w:hint="cs"/>
          <w:rtl/>
        </w:rPr>
        <w:t xml:space="preserve"> وينشأ عليها</w:t>
      </w:r>
      <w:r w:rsidRPr="005675B2">
        <w:rPr>
          <w:rFonts w:hint="cs"/>
        </w:rPr>
        <w:t xml:space="preserve"> </w:t>
      </w:r>
      <w:r w:rsidRPr="005675B2">
        <w:rPr>
          <w:rFonts w:hint="cs"/>
          <w:rtl/>
        </w:rPr>
        <w:t>المسلم</w:t>
      </w:r>
      <w:r w:rsidR="000636C2">
        <w:rPr>
          <w:rFonts w:hint="cs"/>
          <w:rtl/>
        </w:rPr>
        <w:t>،</w:t>
      </w:r>
      <w:r w:rsidRPr="005675B2">
        <w:rPr>
          <w:rFonts w:hint="cs"/>
          <w:rtl/>
        </w:rPr>
        <w:t xml:space="preserve"> بلا تلقين ولا تعليم</w:t>
      </w:r>
      <w:r w:rsidR="000636C2">
        <w:rPr>
          <w:rFonts w:hint="cs"/>
          <w:rtl/>
        </w:rPr>
        <w:t xml:space="preserve"> </w:t>
      </w:r>
      <w:r w:rsidRPr="005675B2">
        <w:rPr>
          <w:rFonts w:hint="cs"/>
          <w:rtl/>
        </w:rPr>
        <w:t>- من حيث الأصل</w:t>
      </w:r>
      <w:r w:rsidR="000636C2">
        <w:rPr>
          <w:rFonts w:hint="cs"/>
          <w:rtl/>
        </w:rPr>
        <w:t xml:space="preserve"> </w:t>
      </w:r>
      <w:r w:rsidRPr="005675B2">
        <w:rPr>
          <w:rFonts w:hint="cs"/>
          <w:rtl/>
        </w:rPr>
        <w:t>- فكل من لم يلقنه المبتدعة بدعتهم</w:t>
      </w:r>
      <w:r w:rsidRPr="005675B2">
        <w:rPr>
          <w:rFonts w:hint="cs"/>
        </w:rPr>
        <w:t xml:space="preserve"> </w:t>
      </w:r>
      <w:r w:rsidRPr="005675B2">
        <w:rPr>
          <w:rFonts w:hint="cs"/>
          <w:rtl/>
        </w:rPr>
        <w:t>ويدرسوه كتبهم</w:t>
      </w:r>
      <w:r w:rsidR="000636C2">
        <w:rPr>
          <w:rFonts w:hint="cs"/>
          <w:rtl/>
        </w:rPr>
        <w:t>،</w:t>
      </w:r>
      <w:r w:rsidRPr="005675B2">
        <w:rPr>
          <w:rFonts w:hint="cs"/>
          <w:rtl/>
        </w:rPr>
        <w:t xml:space="preserve"> فليس من حق أي فرقة أن تدعيه إلا أهل السنة والجماعة</w:t>
      </w:r>
      <w:r w:rsidR="000636C2">
        <w:rPr>
          <w:rFonts w:hint="cs"/>
          <w:rtl/>
        </w:rPr>
        <w:t xml:space="preserve">، </w:t>
      </w:r>
      <w:r w:rsidRPr="005675B2">
        <w:rPr>
          <w:rFonts w:hint="cs"/>
          <w:rtl/>
        </w:rPr>
        <w:t>ومن الأدلة على ذلك الإنسان</w:t>
      </w:r>
      <w:r w:rsidRPr="005675B2">
        <w:rPr>
          <w:rFonts w:hint="cs"/>
        </w:rPr>
        <w:t xml:space="preserve"> </w:t>
      </w:r>
      <w:r w:rsidRPr="005675B2">
        <w:rPr>
          <w:rFonts w:hint="cs"/>
          <w:rtl/>
        </w:rPr>
        <w:t>الذي يدخل في الإسلام حديثاً</w:t>
      </w:r>
      <w:r w:rsidR="000636C2">
        <w:rPr>
          <w:rFonts w:hint="cs"/>
          <w:rtl/>
        </w:rPr>
        <w:t>،</w:t>
      </w:r>
      <w:r w:rsidRPr="005675B2">
        <w:rPr>
          <w:rFonts w:hint="cs"/>
          <w:rtl/>
        </w:rPr>
        <w:t xml:space="preserve"> فهل تستطيع أي فرقة أن تقول أنه معتزلي أو أشعري</w:t>
      </w:r>
      <w:r w:rsidR="000636C2">
        <w:rPr>
          <w:rFonts w:hint="cs"/>
          <w:rtl/>
        </w:rPr>
        <w:t>؟</w:t>
      </w:r>
      <w:r w:rsidRPr="005675B2">
        <w:rPr>
          <w:rFonts w:hint="cs"/>
        </w:rPr>
        <w:t xml:space="preserve"> </w:t>
      </w:r>
      <w:r w:rsidRPr="005675B2">
        <w:rPr>
          <w:rFonts w:hint="cs"/>
          <w:rtl/>
        </w:rPr>
        <w:t>أما نحن فبمجرد إسلامه يصبح واحداً منا</w:t>
      </w:r>
      <w:r w:rsidR="000636C2">
        <w:rPr>
          <w:rFonts w:hint="cs"/>
          <w:rtl/>
        </w:rPr>
        <w:t>،</w:t>
      </w:r>
    </w:p>
    <w:p w14:paraId="2496F8FD" w14:textId="3334A45D"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نبحث </w:t>
      </w:r>
      <w:r>
        <w:rPr>
          <w:rFonts w:hint="cs"/>
          <w:rtl/>
        </w:rPr>
        <w:t>(</w:t>
      </w:r>
      <w:r w:rsidR="009C32A0">
        <w:rPr>
          <w:rFonts w:hint="cs"/>
          <w:rtl/>
        </w:rPr>
        <w:t>أولا</w:t>
      </w:r>
      <w:r>
        <w:rPr>
          <w:rFonts w:hint="cs"/>
          <w:rtl/>
        </w:rPr>
        <w:t>)</w:t>
      </w:r>
      <w:r w:rsidR="009C32A0" w:rsidRPr="005675B2">
        <w:rPr>
          <w:rFonts w:hint="cs"/>
          <w:rtl/>
        </w:rPr>
        <w:t xml:space="preserve"> في معنى الفطرة عند العلماء هل هي عقيدتكم بوضعها الراهن كما تقول يا أخي الكريم</w:t>
      </w:r>
      <w:r>
        <w:rPr>
          <w:rFonts w:hint="cs"/>
          <w:rtl/>
        </w:rPr>
        <w:t>؟</w:t>
      </w:r>
      <w:r w:rsidR="009C32A0" w:rsidRPr="005675B2">
        <w:rPr>
          <w:rFonts w:hint="cs"/>
          <w:rtl/>
        </w:rPr>
        <w:t xml:space="preserve"> أم لا</w:t>
      </w:r>
      <w:r>
        <w:rPr>
          <w:rFonts w:hint="cs"/>
          <w:rtl/>
        </w:rPr>
        <w:t xml:space="preserve">؟ </w:t>
      </w:r>
      <w:r w:rsidR="009C32A0" w:rsidRPr="005675B2">
        <w:rPr>
          <w:rFonts w:hint="cs"/>
          <w:rtl/>
        </w:rPr>
        <w:t>جاء في بعض التفاسير مايلي</w:t>
      </w:r>
      <w:r>
        <w:rPr>
          <w:rFonts w:hint="cs"/>
          <w:rtl/>
        </w:rPr>
        <w:t>:</w:t>
      </w:r>
      <w:r w:rsidR="009C32A0" w:rsidRPr="005675B2">
        <w:rPr>
          <w:rFonts w:hint="cs"/>
          <w:rtl/>
        </w:rPr>
        <w:t xml:space="preserve"> قال البغوي في تفسيره الفطرة</w:t>
      </w:r>
      <w:r>
        <w:rPr>
          <w:rFonts w:hint="cs"/>
          <w:rtl/>
        </w:rPr>
        <w:t>:</w:t>
      </w:r>
      <w:r w:rsidR="009C32A0" w:rsidRPr="005675B2">
        <w:rPr>
          <w:rFonts w:hint="cs"/>
          <w:rtl/>
        </w:rPr>
        <w:t>هي الدين وهو الإسلام</w:t>
      </w:r>
      <w:r>
        <w:rPr>
          <w:rFonts w:hint="cs"/>
          <w:rtl/>
        </w:rPr>
        <w:t>،</w:t>
      </w:r>
      <w:r w:rsidR="009C32A0" w:rsidRPr="005675B2">
        <w:rPr>
          <w:rFonts w:hint="cs"/>
          <w:rtl/>
        </w:rPr>
        <w:t xml:space="preserve"> وذهب قوم إلى أن الآية خاصة في المؤمنين هم الذين فطرهم الله على الإسلام </w:t>
      </w:r>
      <w:r>
        <w:rPr>
          <w:rFonts w:hint="cs"/>
          <w:rtl/>
        </w:rPr>
        <w:t>{</w:t>
      </w:r>
      <w:r w:rsidR="009C32A0" w:rsidRPr="005675B2">
        <w:rPr>
          <w:rFonts w:hint="cs"/>
          <w:rtl/>
        </w:rPr>
        <w:t>لَا تَبْدِيلَ لِخَلْقِ اللَّهِ</w:t>
      </w:r>
      <w:r>
        <w:rPr>
          <w:rFonts w:hint="cs"/>
          <w:rtl/>
        </w:rPr>
        <w:t>}</w:t>
      </w:r>
      <w:r w:rsidR="009C32A0" w:rsidRPr="005675B2">
        <w:rPr>
          <w:rFonts w:hint="cs"/>
          <w:rtl/>
        </w:rPr>
        <w:t xml:space="preserve"> فمن حمل الفطرة على الدين قال</w:t>
      </w:r>
      <w:r>
        <w:rPr>
          <w:rFonts w:hint="cs"/>
          <w:rtl/>
        </w:rPr>
        <w:t>:</w:t>
      </w:r>
      <w:r w:rsidR="009C32A0" w:rsidRPr="005675B2">
        <w:rPr>
          <w:rFonts w:hint="cs"/>
          <w:rtl/>
        </w:rPr>
        <w:t xml:space="preserve"> معناه</w:t>
      </w:r>
      <w:r>
        <w:rPr>
          <w:rFonts w:hint="cs"/>
          <w:rtl/>
        </w:rPr>
        <w:t>،</w:t>
      </w:r>
      <w:r w:rsidR="009C32A0" w:rsidRPr="005675B2">
        <w:rPr>
          <w:rFonts w:hint="cs"/>
          <w:rtl/>
        </w:rPr>
        <w:t xml:space="preserve"> لا تبديل لدين الله وهو خبر بمعنى النهي أي لا تبدلوا دين الله</w:t>
      </w:r>
      <w:r>
        <w:rPr>
          <w:rFonts w:hint="cs"/>
          <w:rtl/>
        </w:rPr>
        <w:t>،</w:t>
      </w:r>
      <w:r w:rsidR="009C32A0" w:rsidRPr="005675B2">
        <w:rPr>
          <w:rFonts w:hint="cs"/>
          <w:rtl/>
        </w:rPr>
        <w:t xml:space="preserve"> قال مجاهد وإبراهيم</w:t>
      </w:r>
      <w:r>
        <w:rPr>
          <w:rFonts w:hint="cs"/>
          <w:rtl/>
        </w:rPr>
        <w:t>:</w:t>
      </w:r>
      <w:r w:rsidR="009C32A0" w:rsidRPr="005675B2">
        <w:rPr>
          <w:rFonts w:hint="cs"/>
          <w:rtl/>
        </w:rPr>
        <w:t xml:space="preserve"> معنى الآية الزموا فطرة الله أي دين الله واتبعوه ولا تبدلوا التوحيد بالشرك</w:t>
      </w:r>
      <w:r>
        <w:rPr>
          <w:rFonts w:hint="cs"/>
          <w:rtl/>
        </w:rPr>
        <w:t>،</w:t>
      </w:r>
      <w:r w:rsidR="009C32A0" w:rsidRPr="005675B2">
        <w:rPr>
          <w:rFonts w:hint="cs"/>
          <w:rtl/>
        </w:rPr>
        <w:t xml:space="preserve"> </w:t>
      </w:r>
      <w:r>
        <w:rPr>
          <w:rFonts w:hint="cs"/>
          <w:rtl/>
        </w:rPr>
        <w:t>{</w:t>
      </w:r>
      <w:r w:rsidR="009C32A0" w:rsidRPr="005675B2">
        <w:rPr>
          <w:rFonts w:hint="cs"/>
          <w:rtl/>
        </w:rPr>
        <w:t>ذَلِكَ الدِّينُ الْقَيِّمُ</w:t>
      </w:r>
      <w:r>
        <w:rPr>
          <w:rFonts w:hint="cs"/>
          <w:rtl/>
        </w:rPr>
        <w:t>}،</w:t>
      </w:r>
      <w:r w:rsidR="009C32A0" w:rsidRPr="005675B2">
        <w:rPr>
          <w:rFonts w:hint="cs"/>
          <w:rtl/>
        </w:rPr>
        <w:t xml:space="preserve"> المستقيم</w:t>
      </w:r>
      <w:r>
        <w:rPr>
          <w:rFonts w:hint="cs"/>
          <w:rtl/>
        </w:rPr>
        <w:t>،</w:t>
      </w:r>
      <w:r w:rsidR="009C32A0" w:rsidRPr="005675B2">
        <w:rPr>
          <w:rFonts w:hint="cs"/>
          <w:rtl/>
        </w:rPr>
        <w:t xml:space="preserve"> </w:t>
      </w:r>
      <w:r>
        <w:rPr>
          <w:rFonts w:hint="cs"/>
          <w:rtl/>
        </w:rPr>
        <w:t>{</w:t>
      </w:r>
      <w:r w:rsidR="009C32A0" w:rsidRPr="005675B2">
        <w:rPr>
          <w:rFonts w:hint="cs"/>
          <w:rtl/>
        </w:rPr>
        <w:t>وَلَكِنَّ أَكْثَرَ النَّاسِ لَا يَعْلَمُونَ</w:t>
      </w:r>
      <w:r>
        <w:rPr>
          <w:rFonts w:hint="cs"/>
          <w:rtl/>
        </w:rPr>
        <w:t>}،</w:t>
      </w:r>
      <w:r w:rsidR="009C32A0" w:rsidRPr="005675B2">
        <w:rPr>
          <w:rFonts w:hint="cs"/>
          <w:rtl/>
        </w:rPr>
        <w:t xml:space="preserve"> وقيل</w:t>
      </w:r>
      <w:r>
        <w:rPr>
          <w:rFonts w:hint="cs"/>
          <w:rtl/>
        </w:rPr>
        <w:t>:</w:t>
      </w:r>
      <w:r w:rsidR="009C32A0" w:rsidRPr="005675B2">
        <w:rPr>
          <w:rFonts w:hint="cs"/>
          <w:rtl/>
        </w:rPr>
        <w:t xml:space="preserve"> لا تبديل لخلق الله أي ما جبل عليه الإنسان من السعادة والشقاء لا يبدل فلا يصير السعيد شقيا ولا الشقي سعيدا</w:t>
      </w:r>
      <w:r>
        <w:rPr>
          <w:rFonts w:hint="cs"/>
          <w:rtl/>
        </w:rPr>
        <w:t>،</w:t>
      </w:r>
    </w:p>
    <w:p w14:paraId="4EDABCF4" w14:textId="7034169A" w:rsidR="009C32A0" w:rsidRPr="005675B2" w:rsidRDefault="009C32A0" w:rsidP="000636C2">
      <w:pPr>
        <w:rPr>
          <w:b/>
          <w:u w:val="single"/>
          <w:rtl/>
        </w:rPr>
      </w:pPr>
      <w:r w:rsidRPr="005675B2">
        <w:rPr>
          <w:rFonts w:hint="cs"/>
          <w:rtl/>
        </w:rPr>
        <w:t>2</w:t>
      </w:r>
      <w:r w:rsidR="000636C2">
        <w:rPr>
          <w:rFonts w:hint="cs"/>
          <w:rtl/>
        </w:rPr>
        <w:t xml:space="preserve"> </w:t>
      </w:r>
      <w:r w:rsidRPr="005675B2">
        <w:rPr>
          <w:rFonts w:hint="cs"/>
          <w:rtl/>
        </w:rPr>
        <w:t>- قال الثعالبي</w:t>
      </w:r>
      <w:r w:rsidR="000636C2">
        <w:rPr>
          <w:rFonts w:hint="cs"/>
          <w:rtl/>
        </w:rPr>
        <w:t>:</w:t>
      </w:r>
      <w:r w:rsidRPr="005675B2">
        <w:rPr>
          <w:rFonts w:hint="cs"/>
          <w:rtl/>
        </w:rPr>
        <w:t xml:space="preserve"> والذي يعتمد عليه في تفسير هذه اللفظةِ أَنها الخِلْقَةُ والهَيْئَةُ التي في نفسِ الطفلِ التي هي مُعَدَّةٌ مُهَيَّئَةٌ لأَنْ يَمِيزَ بها مصنوعات اللّه</w:t>
      </w:r>
      <w:r w:rsidR="000636C2">
        <w:rPr>
          <w:rFonts w:hint="cs"/>
          <w:rtl/>
        </w:rPr>
        <w:t>،</w:t>
      </w:r>
      <w:r w:rsidRPr="005675B2">
        <w:rPr>
          <w:rFonts w:hint="cs"/>
          <w:rtl/>
        </w:rPr>
        <w:t xml:space="preserve"> ويستدلَّ بها على ربِّهِ</w:t>
      </w:r>
      <w:r w:rsidR="000636C2">
        <w:rPr>
          <w:rFonts w:hint="cs"/>
          <w:rtl/>
        </w:rPr>
        <w:t>،</w:t>
      </w:r>
      <w:r w:rsidRPr="005675B2">
        <w:rPr>
          <w:rFonts w:hint="cs"/>
          <w:rtl/>
        </w:rPr>
        <w:t xml:space="preserve"> ويعرف شرائعه؛ ويؤمن به</w:t>
      </w:r>
      <w:r w:rsidR="000636C2">
        <w:rPr>
          <w:rFonts w:hint="cs"/>
          <w:rtl/>
        </w:rPr>
        <w:t>،</w:t>
      </w:r>
      <w:r w:rsidRPr="005675B2">
        <w:rPr>
          <w:rFonts w:hint="cs"/>
          <w:rtl/>
        </w:rPr>
        <w:t xml:space="preserve"> فكأنه تعالى</w:t>
      </w:r>
      <w:r w:rsidR="000636C2">
        <w:rPr>
          <w:rFonts w:hint="cs"/>
          <w:rtl/>
        </w:rPr>
        <w:t>،</w:t>
      </w:r>
      <w:r w:rsidRPr="005675B2">
        <w:rPr>
          <w:rFonts w:hint="cs"/>
          <w:rtl/>
        </w:rPr>
        <w:t xml:space="preserve"> قال</w:t>
      </w:r>
      <w:r w:rsidR="000636C2">
        <w:rPr>
          <w:rFonts w:hint="cs"/>
          <w:rtl/>
        </w:rPr>
        <w:t>:</w:t>
      </w:r>
      <w:r w:rsidRPr="005675B2">
        <w:rPr>
          <w:rFonts w:hint="cs"/>
          <w:rtl/>
        </w:rPr>
        <w:t xml:space="preserve"> أقم وَجْهَك للدِّينِ الذي هو الحنيفُ</w:t>
      </w:r>
      <w:r w:rsidR="000636C2">
        <w:rPr>
          <w:rFonts w:hint="cs"/>
          <w:rtl/>
        </w:rPr>
        <w:t>،</w:t>
      </w:r>
      <w:r w:rsidRPr="005675B2">
        <w:rPr>
          <w:rFonts w:hint="cs"/>
          <w:rtl/>
        </w:rPr>
        <w:t xml:space="preserve"> وهو فطرة اللّه الذي على الإعداد له</w:t>
      </w:r>
      <w:r w:rsidR="000636C2">
        <w:rPr>
          <w:rFonts w:hint="cs"/>
          <w:rtl/>
        </w:rPr>
        <w:t>،</w:t>
      </w:r>
      <w:r w:rsidRPr="005675B2">
        <w:rPr>
          <w:rFonts w:hint="cs"/>
          <w:rtl/>
        </w:rPr>
        <w:t xml:space="preserve"> فُطِرَ البشرِ؛ لكن تعرضهم العوارضُ؛ ومنه قوله صلى الله عليه وسلم في الحديث الصحيح</w:t>
      </w:r>
      <w:r w:rsidR="000636C2">
        <w:rPr>
          <w:rFonts w:hint="cs"/>
          <w:rtl/>
        </w:rPr>
        <w:t>:</w:t>
      </w:r>
      <w:r w:rsidRPr="005675B2">
        <w:rPr>
          <w:rFonts w:hint="cs"/>
          <w:rtl/>
        </w:rPr>
        <w:t xml:space="preserve"> «</w:t>
      </w:r>
      <w:r w:rsidR="000636C2">
        <w:rPr>
          <w:rFonts w:hint="cs"/>
          <w:rtl/>
        </w:rPr>
        <w:t xml:space="preserve"> </w:t>
      </w:r>
      <w:r w:rsidRPr="005675B2">
        <w:rPr>
          <w:rFonts w:hint="cs"/>
          <w:rtl/>
        </w:rPr>
        <w:t>كُلُّ مَوْلُودٍ يُولَدُ عَلَى الْفِطْرَةِ فَأَبَوَاهُ يُهَوِّدَانِهِ</w:t>
      </w:r>
      <w:r w:rsidR="000636C2">
        <w:rPr>
          <w:rFonts w:hint="cs"/>
          <w:rtl/>
        </w:rPr>
        <w:t>،</w:t>
      </w:r>
      <w:r w:rsidRPr="005675B2">
        <w:rPr>
          <w:rFonts w:hint="cs"/>
          <w:rtl/>
        </w:rPr>
        <w:t xml:space="preserve"> أَوْ يُنَصِّرَانِهِ</w:t>
      </w:r>
      <w:r w:rsidR="000636C2">
        <w:rPr>
          <w:rFonts w:hint="cs"/>
          <w:rtl/>
        </w:rPr>
        <w:t xml:space="preserve">،، </w:t>
      </w:r>
      <w:r w:rsidRPr="005675B2">
        <w:rPr>
          <w:rFonts w:hint="cs"/>
          <w:rtl/>
        </w:rPr>
        <w:t>» الحديث</w:t>
      </w:r>
      <w:r w:rsidR="000636C2">
        <w:rPr>
          <w:rFonts w:hint="cs"/>
          <w:rtl/>
        </w:rPr>
        <w:t>،</w:t>
      </w:r>
      <w:r w:rsidRPr="005675B2">
        <w:rPr>
          <w:rFonts w:hint="cs"/>
          <w:rtl/>
        </w:rPr>
        <w:t xml:space="preserve"> ثم يقول</w:t>
      </w:r>
      <w:r w:rsidR="000636C2">
        <w:rPr>
          <w:rFonts w:hint="cs"/>
          <w:rtl/>
        </w:rPr>
        <w:t>:</w:t>
      </w:r>
      <w:r w:rsidRPr="005675B2">
        <w:rPr>
          <w:rFonts w:hint="cs"/>
          <w:rtl/>
        </w:rPr>
        <w:t xml:space="preserve"> </w:t>
      </w:r>
      <w:r w:rsidR="000636C2">
        <w:rPr>
          <w:rFonts w:hint="cs"/>
          <w:rtl/>
        </w:rPr>
        <w:t>{</w:t>
      </w:r>
      <w:r w:rsidRPr="005675B2">
        <w:rPr>
          <w:rFonts w:hint="cs"/>
          <w:rtl/>
        </w:rPr>
        <w:t>فِطْرَتَ الله</w:t>
      </w:r>
      <w:r w:rsidR="000636C2">
        <w:rPr>
          <w:rFonts w:hint="cs"/>
          <w:rtl/>
        </w:rPr>
        <w:t>}</w:t>
      </w:r>
      <w:r w:rsidRPr="005675B2">
        <w:rPr>
          <w:rFonts w:hint="cs"/>
          <w:rtl/>
        </w:rPr>
        <w:t xml:space="preserve"> الآية</w:t>
      </w:r>
      <w:r w:rsidR="000636C2">
        <w:rPr>
          <w:rFonts w:hint="cs"/>
          <w:rtl/>
        </w:rPr>
        <w:t>،</w:t>
      </w:r>
      <w:r w:rsidRPr="005675B2">
        <w:rPr>
          <w:rFonts w:hint="cs"/>
          <w:rtl/>
        </w:rPr>
        <w:t xml:space="preserve"> إلى </w:t>
      </w:r>
      <w:r w:rsidR="000636C2">
        <w:rPr>
          <w:rFonts w:hint="cs"/>
          <w:rtl/>
        </w:rPr>
        <w:t>{</w:t>
      </w:r>
      <w:r w:rsidRPr="005675B2">
        <w:rPr>
          <w:rFonts w:hint="cs"/>
          <w:rtl/>
        </w:rPr>
        <w:t>القيم</w:t>
      </w:r>
      <w:r w:rsidR="000636C2">
        <w:rPr>
          <w:rFonts w:hint="cs"/>
          <w:rtl/>
        </w:rPr>
        <w:t>}</w:t>
      </w:r>
      <w:r w:rsidRPr="005675B2">
        <w:rPr>
          <w:rFonts w:hint="cs"/>
          <w:rtl/>
        </w:rPr>
        <w:t xml:space="preserve"> فذكرُ الأبوين إنما هما مثالٌ للعَوارِض التي هي كثيرةُ</w:t>
      </w:r>
      <w:r w:rsidR="000636C2">
        <w:rPr>
          <w:rFonts w:hint="cs"/>
          <w:rtl/>
        </w:rPr>
        <w:t>،</w:t>
      </w:r>
      <w:r w:rsidRPr="005675B2">
        <w:rPr>
          <w:rFonts w:hint="cs"/>
          <w:rtl/>
        </w:rPr>
        <w:t xml:space="preserve"> وقال البخاريُّ</w:t>
      </w:r>
      <w:r w:rsidR="000636C2">
        <w:rPr>
          <w:rFonts w:hint="cs"/>
          <w:rtl/>
        </w:rPr>
        <w:t>:</w:t>
      </w:r>
      <w:r w:rsidRPr="005675B2">
        <w:rPr>
          <w:rFonts w:hint="cs"/>
          <w:rtl/>
        </w:rPr>
        <w:t xml:space="preserve"> فِطْرَةُ اللّهِ</w:t>
      </w:r>
      <w:r w:rsidR="000636C2">
        <w:rPr>
          <w:rFonts w:hint="cs"/>
          <w:rtl/>
        </w:rPr>
        <w:t>:</w:t>
      </w:r>
      <w:r w:rsidRPr="005675B2">
        <w:rPr>
          <w:rFonts w:hint="cs"/>
          <w:rtl/>
        </w:rPr>
        <w:t xml:space="preserve"> هِيَ الإسْلاَمُ</w:t>
      </w:r>
      <w:r w:rsidR="000636C2">
        <w:rPr>
          <w:rFonts w:hint="cs"/>
          <w:rtl/>
        </w:rPr>
        <w:t>،</w:t>
      </w:r>
      <w:r w:rsidRPr="005675B2">
        <w:rPr>
          <w:rFonts w:hint="cs"/>
          <w:rtl/>
        </w:rPr>
        <w:t xml:space="preserve"> انتهى</w:t>
      </w:r>
      <w:r w:rsidR="000636C2">
        <w:rPr>
          <w:rFonts w:hint="cs"/>
          <w:rtl/>
        </w:rPr>
        <w:t>،</w:t>
      </w:r>
      <w:r w:rsidRPr="005675B2">
        <w:rPr>
          <w:rFonts w:hint="cs"/>
          <w:rtl/>
        </w:rPr>
        <w:t xml:space="preserve"> تفسير</w:t>
      </w:r>
      <w:r w:rsidR="000636C2">
        <w:rPr>
          <w:rFonts w:hint="cs"/>
          <w:rtl/>
        </w:rPr>
        <w:t xml:space="preserve"> </w:t>
      </w:r>
      <w:r w:rsidRPr="005675B2">
        <w:rPr>
          <w:rFonts w:hint="cs"/>
          <w:rtl/>
        </w:rPr>
        <w:t xml:space="preserve">الثعالبي </w:t>
      </w:r>
      <w:r w:rsidR="000636C2">
        <w:rPr>
          <w:rFonts w:hint="cs"/>
          <w:rtl/>
        </w:rPr>
        <w:t>[</w:t>
      </w:r>
      <w:r w:rsidRPr="005675B2">
        <w:rPr>
          <w:rFonts w:hint="cs"/>
          <w:bCs/>
          <w:sz w:val="24"/>
          <w:szCs w:val="24"/>
          <w:rtl/>
        </w:rPr>
        <w:t>الفطرة آية 32 من سورة الروم</w:t>
      </w:r>
      <w:r w:rsidR="000636C2">
        <w:rPr>
          <w:rFonts w:hint="cs"/>
          <w:rtl/>
        </w:rPr>
        <w:t>]،</w:t>
      </w:r>
      <w:r w:rsidRPr="005675B2">
        <w:rPr>
          <w:rFonts w:hint="cs"/>
          <w:rtl/>
        </w:rPr>
        <w:t xml:space="preserve"> </w:t>
      </w:r>
      <w:r w:rsidRPr="005675B2">
        <w:rPr>
          <w:rFonts w:hint="cs"/>
          <w:u w:val="single"/>
          <w:rtl/>
        </w:rPr>
        <w:t>إذن دار تفسيرها في أقوى الأقوال على الأقوال لتالية</w:t>
      </w:r>
      <w:r w:rsidR="000636C2">
        <w:rPr>
          <w:rFonts w:hint="cs"/>
          <w:u w:val="single"/>
          <w:rtl/>
        </w:rPr>
        <w:t>:</w:t>
      </w:r>
    </w:p>
    <w:p w14:paraId="388FBB93" w14:textId="29FDBDFF"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أنها بمعنى الإسلام فلا يبدل التوحيد بالشرك</w:t>
      </w:r>
      <w:r w:rsidR="000636C2">
        <w:rPr>
          <w:rFonts w:hint="cs"/>
          <w:rtl/>
        </w:rPr>
        <w:t>،</w:t>
      </w:r>
      <w:r w:rsidRPr="005675B2">
        <w:rPr>
          <w:rFonts w:hint="cs"/>
          <w:rtl/>
        </w:rPr>
        <w:t>قال البخاريُّ</w:t>
      </w:r>
      <w:r w:rsidR="000636C2">
        <w:rPr>
          <w:rFonts w:hint="cs"/>
          <w:rtl/>
        </w:rPr>
        <w:t>:</w:t>
      </w:r>
      <w:r w:rsidRPr="005675B2">
        <w:rPr>
          <w:rFonts w:hint="cs"/>
          <w:rtl/>
        </w:rPr>
        <w:t xml:space="preserve"> فِطْرَةُ اللّهِ</w:t>
      </w:r>
      <w:r w:rsidR="000636C2">
        <w:rPr>
          <w:rFonts w:hint="cs"/>
          <w:rtl/>
        </w:rPr>
        <w:t>:</w:t>
      </w:r>
      <w:r w:rsidRPr="005675B2">
        <w:rPr>
          <w:rFonts w:hint="cs"/>
          <w:rtl/>
        </w:rPr>
        <w:t xml:space="preserve"> هِيَ الإسْلاَمُ</w:t>
      </w:r>
      <w:r w:rsidR="000636C2">
        <w:rPr>
          <w:rFonts w:hint="cs"/>
          <w:rtl/>
        </w:rPr>
        <w:t>،</w:t>
      </w:r>
      <w:r w:rsidRPr="005675B2">
        <w:rPr>
          <w:rFonts w:hint="cs"/>
          <w:rtl/>
        </w:rPr>
        <w:t xml:space="preserve"> بناء على هذه الأقوال فكلامك يا أخي</w:t>
      </w:r>
      <w:r w:rsidR="000636C2">
        <w:rPr>
          <w:rFonts w:hint="cs"/>
          <w:rtl/>
        </w:rPr>
        <w:t xml:space="preserve"> </w:t>
      </w:r>
      <w:r w:rsidRPr="005675B2">
        <w:rPr>
          <w:rFonts w:hint="cs"/>
          <w:rtl/>
        </w:rPr>
        <w:t>باطل فإن الأشعري والماتر يدي وأصحاب الحديث والخوارج والمعتزلة</w:t>
      </w:r>
      <w:r w:rsidR="000636C2">
        <w:rPr>
          <w:rFonts w:hint="cs"/>
          <w:rtl/>
        </w:rPr>
        <w:t>،</w:t>
      </w:r>
      <w:r w:rsidRPr="005675B2">
        <w:rPr>
          <w:rFonts w:hint="cs"/>
          <w:rtl/>
        </w:rPr>
        <w:t xml:space="preserve"> كلهم مسلمون</w:t>
      </w:r>
      <w:r w:rsidR="000636C2">
        <w:rPr>
          <w:rFonts w:hint="cs"/>
          <w:rtl/>
        </w:rPr>
        <w:t>،</w:t>
      </w:r>
      <w:r w:rsidRPr="005675B2">
        <w:rPr>
          <w:rFonts w:hint="cs"/>
          <w:rtl/>
        </w:rPr>
        <w:t xml:space="preserve"> إذن فالفطرة هي الإسلام المضاد للشرك فيدخل فيه جميع أهل القلبة</w:t>
      </w:r>
      <w:r w:rsidR="000636C2">
        <w:rPr>
          <w:rFonts w:hint="cs"/>
          <w:rtl/>
        </w:rPr>
        <w:t xml:space="preserve">، </w:t>
      </w:r>
      <w:r w:rsidRPr="005675B2">
        <w:rPr>
          <w:rFonts w:hint="cs"/>
          <w:rtl/>
        </w:rPr>
        <w:t>وهذا الكلام هو صحيح نقلاً وعقلاً قال الرسول صلى الله عليه وسلم (</w:t>
      </w:r>
      <w:r w:rsidR="000636C2">
        <w:rPr>
          <w:rFonts w:hint="cs"/>
          <w:rtl/>
        </w:rPr>
        <w:t>(</w:t>
      </w:r>
      <w:r w:rsidRPr="005675B2">
        <w:rPr>
          <w:rFonts w:hint="cs"/>
          <w:rtl/>
        </w:rPr>
        <w:t>كل مولود يولد على الفطرة فأبواه يهودانه أو ينصرانه أو يمجسانه</w:t>
      </w:r>
      <w:r w:rsidR="000636C2">
        <w:rPr>
          <w:rFonts w:hint="cs"/>
          <w:rtl/>
        </w:rPr>
        <w:t>)</w:t>
      </w:r>
      <w:r w:rsidRPr="005675B2">
        <w:rPr>
          <w:rFonts w:hint="cs"/>
          <w:rtl/>
        </w:rPr>
        <w:t>)</w:t>
      </w:r>
      <w:r w:rsidR="000636C2">
        <w:rPr>
          <w:rFonts w:hint="cs"/>
          <w:rtl/>
        </w:rPr>
        <w:t xml:space="preserve">، </w:t>
      </w:r>
      <w:r w:rsidRPr="005675B2">
        <w:rPr>
          <w:rFonts w:hint="cs"/>
          <w:rtl/>
        </w:rPr>
        <w:t>إذن ليس في المسألة مذهب حنبلي</w:t>
      </w:r>
      <w:r w:rsidR="000636C2">
        <w:rPr>
          <w:rFonts w:hint="cs"/>
          <w:rtl/>
        </w:rPr>
        <w:t>،</w:t>
      </w:r>
      <w:r w:rsidRPr="005675B2">
        <w:rPr>
          <w:rFonts w:hint="cs"/>
          <w:rtl/>
        </w:rPr>
        <w:t>ولا أشعري</w:t>
      </w:r>
      <w:r w:rsidR="000636C2">
        <w:rPr>
          <w:rFonts w:hint="cs"/>
          <w:rtl/>
        </w:rPr>
        <w:t>،</w:t>
      </w:r>
      <w:r w:rsidRPr="005675B2">
        <w:rPr>
          <w:rFonts w:hint="cs"/>
          <w:rtl/>
        </w:rPr>
        <w:t>ولا معتزلي، وإنما المسألة مسألة إسلام وضده الكفر</w:t>
      </w:r>
      <w:r w:rsidR="000636C2">
        <w:rPr>
          <w:rFonts w:hint="cs"/>
          <w:rtl/>
        </w:rPr>
        <w:t>،</w:t>
      </w:r>
      <w:r w:rsidRPr="005675B2">
        <w:rPr>
          <w:rFonts w:hint="cs"/>
          <w:rtl/>
        </w:rPr>
        <w:t>وهذا صريح في الحديث،وتفسير ابن عباس</w:t>
      </w:r>
      <w:r w:rsidR="000636C2">
        <w:rPr>
          <w:rFonts w:hint="cs"/>
          <w:rtl/>
        </w:rPr>
        <w:t>،</w:t>
      </w:r>
      <w:r w:rsidRPr="005675B2">
        <w:rPr>
          <w:rFonts w:hint="cs"/>
          <w:rtl/>
        </w:rPr>
        <w:t>والبخاري وغيرهما بكونها الإسلام وانتفاء الشرك</w:t>
      </w:r>
      <w:r w:rsidR="000636C2">
        <w:rPr>
          <w:rFonts w:hint="cs"/>
          <w:rtl/>
        </w:rPr>
        <w:t>،</w:t>
      </w:r>
    </w:p>
    <w:p w14:paraId="7D1BD58F" w14:textId="607AF2BE" w:rsidR="009C32A0" w:rsidRPr="005675B2" w:rsidRDefault="009C32A0" w:rsidP="000636C2">
      <w:pPr>
        <w:rPr>
          <w:rtl/>
        </w:rPr>
      </w:pPr>
      <w:r w:rsidRPr="005675B2">
        <w:rPr>
          <w:rFonts w:hint="cs"/>
          <w:rtl/>
        </w:rPr>
        <w:t>2</w:t>
      </w:r>
      <w:r w:rsidR="000636C2">
        <w:rPr>
          <w:rFonts w:hint="cs"/>
          <w:rtl/>
        </w:rPr>
        <w:t xml:space="preserve"> </w:t>
      </w:r>
      <w:r w:rsidRPr="005675B2">
        <w:rPr>
          <w:rFonts w:hint="cs"/>
          <w:rtl/>
        </w:rPr>
        <w:t>- أنها بمعنى</w:t>
      </w:r>
      <w:r w:rsidR="000636C2">
        <w:rPr>
          <w:rFonts w:hint="cs"/>
          <w:rtl/>
        </w:rPr>
        <w:t xml:space="preserve"> </w:t>
      </w:r>
      <w:r w:rsidRPr="005675B2">
        <w:rPr>
          <w:rFonts w:hint="cs"/>
          <w:rtl/>
        </w:rPr>
        <w:t>الخِلْقَةُ والهَيْئَةُ التي في نفسِ الطفلِ التي هي مُعَدَّةٌ مُهَيَّئَةٌ لأَنْ يَمِيزَ بها مصنوعات اللّه</w:t>
      </w:r>
      <w:r w:rsidR="000636C2">
        <w:rPr>
          <w:rFonts w:hint="cs"/>
          <w:rtl/>
        </w:rPr>
        <w:t>،</w:t>
      </w:r>
      <w:r w:rsidRPr="005675B2">
        <w:rPr>
          <w:rFonts w:hint="cs"/>
          <w:rtl/>
        </w:rPr>
        <w:t xml:space="preserve"> ويستدلَّ بها على ربِّهِ</w:t>
      </w:r>
      <w:r w:rsidR="000636C2">
        <w:rPr>
          <w:rFonts w:hint="cs"/>
          <w:rtl/>
        </w:rPr>
        <w:t>،</w:t>
      </w:r>
      <w:r w:rsidRPr="005675B2">
        <w:rPr>
          <w:rFonts w:hint="cs"/>
          <w:rtl/>
        </w:rPr>
        <w:t xml:space="preserve"> ويعرف شرائعه؛ ويؤمن به</w:t>
      </w:r>
      <w:r w:rsidR="000636C2">
        <w:rPr>
          <w:rFonts w:hint="cs"/>
          <w:rtl/>
        </w:rPr>
        <w:t>،</w:t>
      </w:r>
      <w:r w:rsidRPr="005675B2">
        <w:rPr>
          <w:rFonts w:hint="cs"/>
          <w:rtl/>
        </w:rPr>
        <w:t xml:space="preserve"> وعلى هذا القول فالإنسان مهيأ لما يلقى إليه، فإن ألقي إليه الرفض صار رافضياً</w:t>
      </w:r>
      <w:r w:rsidR="000636C2">
        <w:rPr>
          <w:rFonts w:hint="cs"/>
          <w:rtl/>
        </w:rPr>
        <w:t>،</w:t>
      </w:r>
      <w:r w:rsidRPr="005675B2">
        <w:rPr>
          <w:rFonts w:hint="cs"/>
          <w:rtl/>
        </w:rPr>
        <w:t>أو النصب صار ناصبياً أو التجسيم صار منهم</w:t>
      </w:r>
      <w:r w:rsidR="000636C2">
        <w:rPr>
          <w:rFonts w:hint="cs"/>
          <w:rtl/>
        </w:rPr>
        <w:t>،</w:t>
      </w:r>
      <w:r w:rsidRPr="005675B2">
        <w:rPr>
          <w:rFonts w:hint="cs"/>
          <w:rtl/>
        </w:rPr>
        <w:t>أو النصرانية صار منهم أو الإسلام صار منهم وهكذا</w:t>
      </w:r>
      <w:r w:rsidR="000636C2">
        <w:rPr>
          <w:rFonts w:hint="cs"/>
          <w:rtl/>
        </w:rPr>
        <w:t xml:space="preserve">، </w:t>
      </w:r>
      <w:r w:rsidRPr="005675B2">
        <w:rPr>
          <w:rtl/>
        </w:rPr>
        <w:t>ويدل له قوله تعالى (</w:t>
      </w:r>
      <w:r w:rsidR="000636C2">
        <w:rPr>
          <w:rtl/>
        </w:rPr>
        <w:t>(</w:t>
      </w:r>
      <w:r w:rsidRPr="005675B2">
        <w:rPr>
          <w:rtl/>
        </w:rPr>
        <w:t>والله أخرجكم من بطون أمهاتكم لا تعلمون شيئاً</w:t>
      </w:r>
      <w:r w:rsidR="000636C2">
        <w:rPr>
          <w:rtl/>
        </w:rPr>
        <w:t>)</w:t>
      </w:r>
      <w:r w:rsidRPr="005675B2">
        <w:rPr>
          <w:rtl/>
        </w:rPr>
        <w:t>)</w:t>
      </w:r>
      <w:r w:rsidR="000636C2">
        <w:rPr>
          <w:sz w:val="24"/>
          <w:szCs w:val="24"/>
          <w:rtl/>
        </w:rPr>
        <w:t xml:space="preserve"> </w:t>
      </w:r>
      <w:r w:rsidRPr="005675B2">
        <w:rPr>
          <w:sz w:val="24"/>
          <w:szCs w:val="24"/>
          <w:rtl/>
        </w:rPr>
        <w:t>[</w:t>
      </w:r>
      <w:r w:rsidRPr="005675B2">
        <w:rPr>
          <w:bCs/>
          <w:sz w:val="24"/>
          <w:szCs w:val="24"/>
          <w:rtl/>
        </w:rPr>
        <w:t>جاء في طرح التثريب شرح التقريب</w:t>
      </w:r>
      <w:r w:rsidR="000636C2">
        <w:rPr>
          <w:bCs/>
          <w:sz w:val="24"/>
          <w:szCs w:val="24"/>
          <w:rtl/>
        </w:rPr>
        <w:t>:</w:t>
      </w:r>
      <w:r w:rsidRPr="005675B2">
        <w:rPr>
          <w:bCs/>
          <w:sz w:val="24"/>
          <w:szCs w:val="24"/>
          <w:rtl/>
        </w:rPr>
        <w:t xml:space="preserve"> باب أولاد المشركين اختلف في المراد بالفطرة هنا على أقوال</w:t>
      </w:r>
      <w:r w:rsidRPr="005675B2">
        <w:rPr>
          <w:bCs/>
          <w:sz w:val="24"/>
          <w:szCs w:val="24"/>
        </w:rPr>
        <w:t>:</w:t>
      </w:r>
      <w:r w:rsidR="000636C2">
        <w:rPr>
          <w:bCs/>
          <w:sz w:val="24"/>
          <w:szCs w:val="24"/>
          <w:rtl/>
        </w:rPr>
        <w:t xml:space="preserve"> </w:t>
      </w:r>
      <w:r w:rsidRPr="005675B2">
        <w:rPr>
          <w:bCs/>
          <w:sz w:val="24"/>
          <w:szCs w:val="24"/>
          <w:rtl/>
        </w:rPr>
        <w:t>أحدها</w:t>
      </w:r>
      <w:r w:rsidR="000636C2">
        <w:rPr>
          <w:bCs/>
          <w:sz w:val="24"/>
          <w:szCs w:val="24"/>
          <w:rtl/>
        </w:rPr>
        <w:t>)</w:t>
      </w:r>
      <w:r w:rsidRPr="005675B2">
        <w:rPr>
          <w:bCs/>
          <w:sz w:val="24"/>
          <w:szCs w:val="24"/>
          <w:rtl/>
        </w:rPr>
        <w:t xml:space="preserve"> أن المراد الخلقة فإن الفطر بمعنى الخلق</w:t>
      </w:r>
      <w:r w:rsidR="000636C2">
        <w:rPr>
          <w:bCs/>
          <w:sz w:val="24"/>
          <w:szCs w:val="24"/>
          <w:rtl/>
        </w:rPr>
        <w:t>،</w:t>
      </w:r>
      <w:r w:rsidRPr="005675B2">
        <w:rPr>
          <w:bCs/>
          <w:sz w:val="24"/>
          <w:szCs w:val="24"/>
          <w:rtl/>
        </w:rPr>
        <w:t xml:space="preserve"> والمراد الخلقة المعروفة الأولى</w:t>
      </w:r>
      <w:r w:rsidRPr="005675B2">
        <w:rPr>
          <w:bCs/>
          <w:sz w:val="24"/>
          <w:szCs w:val="24"/>
        </w:rPr>
        <w:t xml:space="preserve"> </w:t>
      </w:r>
      <w:r w:rsidRPr="005675B2">
        <w:rPr>
          <w:bCs/>
          <w:sz w:val="24"/>
          <w:szCs w:val="24"/>
          <w:rtl/>
        </w:rPr>
        <w:t>المخالفة لخلق البهائم أي على خلقة يعرف بها ربه إذا بلغ مبلغ المعرفة ؛ ذكره ابن</w:t>
      </w:r>
      <w:r w:rsidRPr="005675B2">
        <w:rPr>
          <w:bCs/>
          <w:sz w:val="24"/>
          <w:szCs w:val="24"/>
        </w:rPr>
        <w:t xml:space="preserve"> </w:t>
      </w:r>
      <w:r w:rsidRPr="005675B2">
        <w:rPr>
          <w:bCs/>
          <w:sz w:val="24"/>
          <w:szCs w:val="24"/>
          <w:rtl/>
        </w:rPr>
        <w:t>عبد البر عن جماعة من أهل الفقه والنظر قال</w:t>
      </w:r>
      <w:r w:rsidR="000636C2">
        <w:rPr>
          <w:bCs/>
          <w:sz w:val="24"/>
          <w:szCs w:val="24"/>
          <w:rtl/>
        </w:rPr>
        <w:t>:</w:t>
      </w:r>
      <w:r w:rsidRPr="005675B2">
        <w:rPr>
          <w:bCs/>
          <w:sz w:val="24"/>
          <w:szCs w:val="24"/>
          <w:rtl/>
        </w:rPr>
        <w:t xml:space="preserve"> وأنكروا أن يفطر المولود على كفر أو</w:t>
      </w:r>
      <w:r w:rsidRPr="005675B2">
        <w:rPr>
          <w:bCs/>
          <w:sz w:val="24"/>
          <w:szCs w:val="24"/>
        </w:rPr>
        <w:t xml:space="preserve"> </w:t>
      </w:r>
      <w:r w:rsidRPr="005675B2">
        <w:rPr>
          <w:bCs/>
          <w:sz w:val="24"/>
          <w:szCs w:val="24"/>
          <w:rtl/>
        </w:rPr>
        <w:t>إيمان</w:t>
      </w:r>
      <w:r w:rsidR="000636C2">
        <w:rPr>
          <w:bCs/>
          <w:sz w:val="24"/>
          <w:szCs w:val="24"/>
          <w:rtl/>
        </w:rPr>
        <w:t>،</w:t>
      </w:r>
      <w:r w:rsidRPr="005675B2">
        <w:rPr>
          <w:bCs/>
          <w:sz w:val="24"/>
          <w:szCs w:val="24"/>
          <w:rtl/>
        </w:rPr>
        <w:t xml:space="preserve"> وإنما يعتقد ذلك بعد البلوغ إذا ميز . ولو فطر في أول أمره على شيء ما</w:t>
      </w:r>
      <w:r w:rsidRPr="005675B2">
        <w:rPr>
          <w:bCs/>
          <w:sz w:val="24"/>
          <w:szCs w:val="24"/>
        </w:rPr>
        <w:t xml:space="preserve"> </w:t>
      </w:r>
      <w:r w:rsidRPr="005675B2">
        <w:rPr>
          <w:bCs/>
          <w:sz w:val="24"/>
          <w:szCs w:val="24"/>
          <w:rtl/>
        </w:rPr>
        <w:t>انتقل عنه وقد نجدهم يؤمنون ثم يكفرون</w:t>
      </w:r>
      <w:r w:rsidR="000636C2">
        <w:rPr>
          <w:bCs/>
          <w:sz w:val="24"/>
          <w:szCs w:val="24"/>
          <w:rtl/>
        </w:rPr>
        <w:t>،</w:t>
      </w:r>
      <w:r w:rsidRPr="005675B2">
        <w:rPr>
          <w:bCs/>
          <w:sz w:val="24"/>
          <w:szCs w:val="24"/>
          <w:rtl/>
        </w:rPr>
        <w:t xml:space="preserve"> ومحال أن يعقل الطفل حال ولادته كفرا أو</w:t>
      </w:r>
      <w:r w:rsidRPr="005675B2">
        <w:rPr>
          <w:bCs/>
          <w:sz w:val="24"/>
          <w:szCs w:val="24"/>
        </w:rPr>
        <w:t xml:space="preserve"> </w:t>
      </w:r>
      <w:r w:rsidRPr="005675B2">
        <w:rPr>
          <w:bCs/>
          <w:sz w:val="24"/>
          <w:szCs w:val="24"/>
          <w:rtl/>
        </w:rPr>
        <w:t>إيمانا</w:t>
      </w:r>
      <w:r w:rsidR="000636C2">
        <w:rPr>
          <w:bCs/>
          <w:sz w:val="24"/>
          <w:szCs w:val="24"/>
          <w:rtl/>
        </w:rPr>
        <w:t>،</w:t>
      </w:r>
      <w:r w:rsidRPr="005675B2">
        <w:rPr>
          <w:bCs/>
          <w:sz w:val="24"/>
          <w:szCs w:val="24"/>
          <w:rtl/>
        </w:rPr>
        <w:t xml:space="preserve"> والله تعالى يقول </w:t>
      </w:r>
      <w:r w:rsidR="000636C2">
        <w:rPr>
          <w:bCs/>
          <w:sz w:val="24"/>
          <w:szCs w:val="24"/>
          <w:rtl/>
        </w:rPr>
        <w:t>{</w:t>
      </w:r>
      <w:r w:rsidRPr="005675B2">
        <w:rPr>
          <w:bCs/>
          <w:sz w:val="24"/>
          <w:szCs w:val="24"/>
          <w:rtl/>
        </w:rPr>
        <w:t>والله أخرجكم من بطون أمهاتكم لا تعلمون شيئا</w:t>
      </w:r>
      <w:r w:rsidR="000636C2">
        <w:rPr>
          <w:bCs/>
          <w:sz w:val="24"/>
          <w:szCs w:val="24"/>
          <w:rtl/>
        </w:rPr>
        <w:t>}</w:t>
      </w:r>
      <w:r w:rsidRPr="005675B2">
        <w:rPr>
          <w:bCs/>
          <w:sz w:val="24"/>
          <w:szCs w:val="24"/>
          <w:rtl/>
        </w:rPr>
        <w:t xml:space="preserve"> فمن لا</w:t>
      </w:r>
      <w:r w:rsidRPr="005675B2">
        <w:rPr>
          <w:bCs/>
          <w:sz w:val="24"/>
          <w:szCs w:val="24"/>
        </w:rPr>
        <w:t xml:space="preserve"> </w:t>
      </w:r>
      <w:r w:rsidRPr="005675B2">
        <w:rPr>
          <w:bCs/>
          <w:sz w:val="24"/>
          <w:szCs w:val="24"/>
          <w:rtl/>
        </w:rPr>
        <w:t>يعلم شيئا استحال منه الكفر والإيمان قال ابن عبد البر . هذا القول أصح ما قيل في</w:t>
      </w:r>
      <w:r w:rsidRPr="005675B2">
        <w:rPr>
          <w:bCs/>
          <w:sz w:val="24"/>
          <w:szCs w:val="24"/>
        </w:rPr>
        <w:t xml:space="preserve"> </w:t>
      </w:r>
      <w:r w:rsidRPr="005675B2">
        <w:rPr>
          <w:bCs/>
          <w:sz w:val="24"/>
          <w:szCs w:val="24"/>
          <w:rtl/>
        </w:rPr>
        <w:t>ذلك</w:t>
      </w:r>
      <w:r w:rsidRPr="005675B2">
        <w:rPr>
          <w:bCs/>
          <w:sz w:val="24"/>
          <w:szCs w:val="24"/>
        </w:rPr>
        <w:t xml:space="preserve"> . </w:t>
      </w:r>
      <w:r w:rsidRPr="005675B2">
        <w:rPr>
          <w:bCs/>
          <w:sz w:val="24"/>
          <w:szCs w:val="24"/>
          <w:rtl/>
        </w:rPr>
        <w:t>القول الثاني</w:t>
      </w:r>
      <w:r w:rsidR="000636C2">
        <w:rPr>
          <w:bCs/>
          <w:sz w:val="24"/>
          <w:szCs w:val="24"/>
          <w:rtl/>
        </w:rPr>
        <w:t>:</w:t>
      </w:r>
      <w:r w:rsidRPr="005675B2">
        <w:rPr>
          <w:bCs/>
          <w:sz w:val="24"/>
          <w:szCs w:val="24"/>
          <w:rtl/>
        </w:rPr>
        <w:t xml:space="preserve"> أن المراد هنا الإسلام حكاه ابن عبد البر عن أبي</w:t>
      </w:r>
      <w:r w:rsidRPr="005675B2">
        <w:rPr>
          <w:bCs/>
          <w:sz w:val="24"/>
          <w:szCs w:val="24"/>
        </w:rPr>
        <w:t xml:space="preserve"> </w:t>
      </w:r>
      <w:r w:rsidRPr="005675B2">
        <w:rPr>
          <w:bCs/>
          <w:sz w:val="24"/>
          <w:szCs w:val="24"/>
          <w:rtl/>
        </w:rPr>
        <w:t>هريرة</w:t>
      </w:r>
      <w:r w:rsidR="000636C2">
        <w:rPr>
          <w:bCs/>
          <w:sz w:val="24"/>
          <w:szCs w:val="24"/>
          <w:rtl/>
        </w:rPr>
        <w:t>،</w:t>
      </w:r>
      <w:r w:rsidRPr="005675B2">
        <w:rPr>
          <w:bCs/>
          <w:sz w:val="24"/>
          <w:szCs w:val="24"/>
          <w:rtl/>
        </w:rPr>
        <w:t xml:space="preserve"> والزهري</w:t>
      </w:r>
      <w:r w:rsidR="000636C2">
        <w:rPr>
          <w:bCs/>
          <w:sz w:val="24"/>
          <w:szCs w:val="24"/>
          <w:rtl/>
        </w:rPr>
        <w:t>،</w:t>
      </w:r>
      <w:r w:rsidRPr="005675B2">
        <w:rPr>
          <w:bCs/>
          <w:sz w:val="24"/>
          <w:szCs w:val="24"/>
          <w:rtl/>
        </w:rPr>
        <w:t xml:space="preserve"> وغيرهما . </w:t>
      </w:r>
      <w:r w:rsidR="000636C2">
        <w:rPr>
          <w:bCs/>
          <w:sz w:val="24"/>
          <w:szCs w:val="24"/>
          <w:rtl/>
        </w:rPr>
        <w:t>(</w:t>
      </w:r>
      <w:r w:rsidRPr="005675B2">
        <w:rPr>
          <w:bCs/>
          <w:sz w:val="24"/>
          <w:szCs w:val="24"/>
          <w:rtl/>
        </w:rPr>
        <w:t>القول الثالث</w:t>
      </w:r>
      <w:r w:rsidR="000636C2">
        <w:rPr>
          <w:bCs/>
          <w:sz w:val="24"/>
          <w:szCs w:val="24"/>
          <w:rtl/>
        </w:rPr>
        <w:t>)</w:t>
      </w:r>
      <w:r w:rsidRPr="005675B2">
        <w:rPr>
          <w:bCs/>
          <w:sz w:val="24"/>
          <w:szCs w:val="24"/>
          <w:rtl/>
        </w:rPr>
        <w:t xml:space="preserve"> أن المراد البداءة التي ابتدأهم عليها أي على ما فطر الله</w:t>
      </w:r>
      <w:r w:rsidRPr="005675B2">
        <w:rPr>
          <w:bCs/>
          <w:sz w:val="24"/>
          <w:szCs w:val="24"/>
        </w:rPr>
        <w:t xml:space="preserve"> </w:t>
      </w:r>
      <w:r w:rsidRPr="005675B2">
        <w:rPr>
          <w:bCs/>
          <w:sz w:val="24"/>
          <w:szCs w:val="24"/>
          <w:rtl/>
        </w:rPr>
        <w:t>عليه خلقه من أنه ابتدأهم للحياة</w:t>
      </w:r>
      <w:r w:rsidR="000636C2">
        <w:rPr>
          <w:bCs/>
          <w:sz w:val="24"/>
          <w:szCs w:val="24"/>
          <w:rtl/>
        </w:rPr>
        <w:t>،</w:t>
      </w:r>
      <w:r w:rsidRPr="005675B2">
        <w:rPr>
          <w:bCs/>
          <w:sz w:val="24"/>
          <w:szCs w:val="24"/>
          <w:rtl/>
        </w:rPr>
        <w:t xml:space="preserve"> والموت</w:t>
      </w:r>
      <w:r w:rsidR="000636C2">
        <w:rPr>
          <w:bCs/>
          <w:sz w:val="24"/>
          <w:szCs w:val="24"/>
          <w:rtl/>
        </w:rPr>
        <w:t>،</w:t>
      </w:r>
      <w:r w:rsidRPr="005675B2">
        <w:rPr>
          <w:bCs/>
          <w:sz w:val="24"/>
          <w:szCs w:val="24"/>
          <w:rtl/>
        </w:rPr>
        <w:t xml:space="preserve"> والشقاء</w:t>
      </w:r>
      <w:r w:rsidR="000636C2">
        <w:rPr>
          <w:bCs/>
          <w:sz w:val="24"/>
          <w:szCs w:val="24"/>
          <w:rtl/>
        </w:rPr>
        <w:t>،</w:t>
      </w:r>
      <w:r w:rsidRPr="005675B2">
        <w:rPr>
          <w:bCs/>
          <w:sz w:val="24"/>
          <w:szCs w:val="24"/>
          <w:rtl/>
        </w:rPr>
        <w:t xml:space="preserve"> والسعادة قال محمد بن نصر</w:t>
      </w:r>
      <w:r w:rsidRPr="005675B2">
        <w:rPr>
          <w:bCs/>
          <w:sz w:val="24"/>
          <w:szCs w:val="24"/>
        </w:rPr>
        <w:t xml:space="preserve"> </w:t>
      </w:r>
      <w:r w:rsidRPr="005675B2">
        <w:rPr>
          <w:bCs/>
          <w:sz w:val="24"/>
          <w:szCs w:val="24"/>
          <w:rtl/>
        </w:rPr>
        <w:t>المروزي .</w:t>
      </w:r>
      <w:r w:rsidR="000636C2">
        <w:rPr>
          <w:bCs/>
          <w:sz w:val="24"/>
          <w:szCs w:val="24"/>
          <w:rtl/>
        </w:rPr>
        <w:t>(</w:t>
      </w:r>
      <w:r w:rsidRPr="005675B2">
        <w:rPr>
          <w:bCs/>
          <w:sz w:val="24"/>
          <w:szCs w:val="24"/>
          <w:rtl/>
        </w:rPr>
        <w:t>القول الرابع</w:t>
      </w:r>
      <w:r w:rsidR="000636C2">
        <w:rPr>
          <w:bCs/>
          <w:sz w:val="24"/>
          <w:szCs w:val="24"/>
          <w:rtl/>
        </w:rPr>
        <w:t>)</w:t>
      </w:r>
      <w:r w:rsidRPr="005675B2">
        <w:rPr>
          <w:bCs/>
          <w:sz w:val="24"/>
          <w:szCs w:val="24"/>
          <w:rtl/>
        </w:rPr>
        <w:t xml:space="preserve"> أن معناه أن الله تعالى قد فطرهم على الإنكار</w:t>
      </w:r>
      <w:r w:rsidR="000636C2">
        <w:rPr>
          <w:bCs/>
          <w:sz w:val="24"/>
          <w:szCs w:val="24"/>
          <w:rtl/>
        </w:rPr>
        <w:t>،</w:t>
      </w:r>
      <w:r w:rsidRPr="005675B2">
        <w:rPr>
          <w:bCs/>
          <w:sz w:val="24"/>
          <w:szCs w:val="24"/>
        </w:rPr>
        <w:t xml:space="preserve"> </w:t>
      </w:r>
      <w:r w:rsidRPr="005675B2">
        <w:rPr>
          <w:bCs/>
          <w:sz w:val="24"/>
          <w:szCs w:val="24"/>
          <w:rtl/>
        </w:rPr>
        <w:t>والمعرفة</w:t>
      </w:r>
      <w:r w:rsidR="000636C2">
        <w:rPr>
          <w:bCs/>
          <w:sz w:val="24"/>
          <w:szCs w:val="24"/>
          <w:rtl/>
        </w:rPr>
        <w:t>،</w:t>
      </w:r>
      <w:r w:rsidRPr="005675B2">
        <w:rPr>
          <w:bCs/>
          <w:sz w:val="24"/>
          <w:szCs w:val="24"/>
          <w:rtl/>
        </w:rPr>
        <w:t xml:space="preserve"> </w:t>
      </w:r>
      <w:r w:rsidR="000636C2">
        <w:rPr>
          <w:bCs/>
          <w:sz w:val="24"/>
          <w:szCs w:val="24"/>
          <w:rtl/>
        </w:rPr>
        <w:t>(</w:t>
      </w:r>
      <w:r w:rsidRPr="005675B2">
        <w:rPr>
          <w:bCs/>
          <w:sz w:val="24"/>
          <w:szCs w:val="24"/>
          <w:rtl/>
        </w:rPr>
        <w:t>القول الخامس</w:t>
      </w:r>
      <w:r w:rsidR="000636C2">
        <w:rPr>
          <w:bCs/>
          <w:sz w:val="24"/>
          <w:szCs w:val="24"/>
          <w:rtl/>
        </w:rPr>
        <w:t>)</w:t>
      </w:r>
      <w:r w:rsidRPr="005675B2">
        <w:rPr>
          <w:bCs/>
          <w:sz w:val="24"/>
          <w:szCs w:val="24"/>
          <w:rtl/>
        </w:rPr>
        <w:t xml:space="preserve"> أن معناه ما أخذ الله من ذرية آدم</w:t>
      </w:r>
      <w:r w:rsidRPr="005675B2">
        <w:rPr>
          <w:bCs/>
          <w:sz w:val="24"/>
          <w:szCs w:val="24"/>
        </w:rPr>
        <w:t xml:space="preserve"> </w:t>
      </w:r>
      <w:r w:rsidRPr="005675B2">
        <w:rPr>
          <w:bCs/>
          <w:sz w:val="24"/>
          <w:szCs w:val="24"/>
          <w:rtl/>
        </w:rPr>
        <w:t xml:space="preserve">من الميثاق قبل أن يخرجوا إلى الدنيا </w:t>
      </w:r>
      <w:r w:rsidR="000636C2">
        <w:rPr>
          <w:bCs/>
          <w:sz w:val="24"/>
          <w:szCs w:val="24"/>
          <w:rtl/>
        </w:rPr>
        <w:t>(</w:t>
      </w:r>
      <w:r w:rsidRPr="005675B2">
        <w:rPr>
          <w:bCs/>
          <w:sz w:val="24"/>
          <w:szCs w:val="24"/>
          <w:rtl/>
        </w:rPr>
        <w:t>القول السادس</w:t>
      </w:r>
      <w:r w:rsidR="000636C2">
        <w:rPr>
          <w:bCs/>
          <w:sz w:val="24"/>
          <w:szCs w:val="24"/>
          <w:rtl/>
        </w:rPr>
        <w:t>)</w:t>
      </w:r>
      <w:r w:rsidRPr="005675B2">
        <w:rPr>
          <w:bCs/>
          <w:sz w:val="24"/>
          <w:szCs w:val="24"/>
          <w:rtl/>
        </w:rPr>
        <w:t xml:space="preserve"> أن</w:t>
      </w:r>
      <w:r w:rsidRPr="005675B2">
        <w:rPr>
          <w:bCs/>
          <w:sz w:val="24"/>
          <w:szCs w:val="24"/>
        </w:rPr>
        <w:t xml:space="preserve"> </w:t>
      </w:r>
      <w:r w:rsidRPr="005675B2">
        <w:rPr>
          <w:bCs/>
          <w:sz w:val="24"/>
          <w:szCs w:val="24"/>
          <w:rtl/>
        </w:rPr>
        <w:t>المراد بالفطرة ما يقلب الله قلوب الخلق إليه بما يريد فقد يكفر العبد ثم يؤمن</w:t>
      </w:r>
      <w:r w:rsidRPr="005675B2">
        <w:rPr>
          <w:bCs/>
          <w:sz w:val="24"/>
          <w:szCs w:val="24"/>
        </w:rPr>
        <w:t xml:space="preserve"> </w:t>
      </w:r>
      <w:r w:rsidRPr="005675B2">
        <w:rPr>
          <w:bCs/>
          <w:sz w:val="24"/>
          <w:szCs w:val="24"/>
          <w:rtl/>
        </w:rPr>
        <w:t>.</w:t>
      </w:r>
      <w:r w:rsidRPr="005675B2">
        <w:rPr>
          <w:bCs/>
          <w:sz w:val="24"/>
          <w:szCs w:val="24"/>
        </w:rPr>
        <w:t xml:space="preserve"> </w:t>
      </w:r>
      <w:r w:rsidR="000636C2">
        <w:rPr>
          <w:bCs/>
          <w:sz w:val="24"/>
          <w:szCs w:val="24"/>
          <w:rtl/>
        </w:rPr>
        <w:t>(</w:t>
      </w:r>
      <w:r w:rsidRPr="005675B2">
        <w:rPr>
          <w:bCs/>
          <w:sz w:val="24"/>
          <w:szCs w:val="24"/>
          <w:rtl/>
        </w:rPr>
        <w:t>القول السابع</w:t>
      </w:r>
      <w:r w:rsidR="000636C2">
        <w:rPr>
          <w:bCs/>
          <w:sz w:val="24"/>
          <w:szCs w:val="24"/>
          <w:rtl/>
        </w:rPr>
        <w:t>)</w:t>
      </w:r>
      <w:r w:rsidRPr="005675B2">
        <w:rPr>
          <w:bCs/>
          <w:sz w:val="24"/>
          <w:szCs w:val="24"/>
          <w:rtl/>
        </w:rPr>
        <w:t xml:space="preserve"> أن</w:t>
      </w:r>
      <w:r w:rsidRPr="005675B2">
        <w:rPr>
          <w:bCs/>
          <w:sz w:val="24"/>
          <w:szCs w:val="24"/>
        </w:rPr>
        <w:t xml:space="preserve"> </w:t>
      </w:r>
      <w:r w:rsidRPr="005675B2">
        <w:rPr>
          <w:bCs/>
          <w:sz w:val="24"/>
          <w:szCs w:val="24"/>
          <w:rtl/>
        </w:rPr>
        <w:t>المراد بالفطرة ملة أبيه أي دينه بمعنى أن له حكمه حكاه القاضي عياض . أ ـ هـ</w:t>
      </w:r>
      <w:r w:rsidR="000636C2">
        <w:rPr>
          <w:bCs/>
          <w:sz w:val="24"/>
          <w:szCs w:val="24"/>
          <w:rtl/>
        </w:rPr>
        <w:t>]</w:t>
      </w:r>
      <w:r w:rsidRPr="005675B2">
        <w:rPr>
          <w:rFonts w:hint="cs"/>
          <w:rtl/>
        </w:rPr>
        <w:t xml:space="preserve"> </w:t>
      </w:r>
    </w:p>
    <w:p w14:paraId="2FDCC304" w14:textId="64964B3D"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لا تبديل لخلق الله أي ما جبل عليه الإنسان من السعادة والشقاء لا يبدل</w:t>
      </w:r>
      <w:r w:rsidR="000636C2">
        <w:rPr>
          <w:rFonts w:hint="cs"/>
          <w:rtl/>
        </w:rPr>
        <w:t>،</w:t>
      </w:r>
      <w:r w:rsidRPr="005675B2">
        <w:rPr>
          <w:rFonts w:hint="cs"/>
          <w:rtl/>
        </w:rPr>
        <w:t>فلا يصير السعيد شقياً ولا الشقي سعيداً</w:t>
      </w:r>
      <w:r w:rsidR="000636C2">
        <w:rPr>
          <w:rFonts w:hint="cs"/>
          <w:rtl/>
        </w:rPr>
        <w:t>،</w:t>
      </w:r>
      <w:r w:rsidRPr="005675B2">
        <w:rPr>
          <w:rFonts w:hint="cs"/>
          <w:rtl/>
        </w:rPr>
        <w:t xml:space="preserve"> قال</w:t>
      </w:r>
      <w:r w:rsidR="000636C2">
        <w:rPr>
          <w:rFonts w:hint="cs"/>
          <w:rtl/>
        </w:rPr>
        <w:t xml:space="preserve"> </w:t>
      </w:r>
      <w:r w:rsidRPr="005675B2">
        <w:rPr>
          <w:rFonts w:hint="cs"/>
          <w:rtl/>
        </w:rPr>
        <w:t>محمد بن الحسين</w:t>
      </w:r>
      <w:r w:rsidR="000636C2">
        <w:rPr>
          <w:rFonts w:hint="cs"/>
          <w:rtl/>
        </w:rPr>
        <w:t>:</w:t>
      </w:r>
      <w:r w:rsidRPr="005675B2">
        <w:rPr>
          <w:rFonts w:hint="cs"/>
          <w:rtl/>
        </w:rPr>
        <w:t xml:space="preserve">أن الفضل حدثهم وأخبرني عصمة بن عصام قال ثنا حنبل وأخبرني محمد بن أبي هارون ومحمد بن جعفر أن أبا الحارث حدثهم سمعوا أبا عبدالله </w:t>
      </w:r>
      <w:r w:rsidR="000636C2">
        <w:rPr>
          <w:rFonts w:hint="cs"/>
          <w:rtl/>
        </w:rPr>
        <w:t>(</w:t>
      </w:r>
      <w:r w:rsidRPr="005675B2">
        <w:rPr>
          <w:rFonts w:hint="cs"/>
          <w:rtl/>
        </w:rPr>
        <w:t>أحمد بن حنبل</w:t>
      </w:r>
      <w:r w:rsidR="000636C2">
        <w:rPr>
          <w:rFonts w:hint="cs"/>
          <w:rtl/>
        </w:rPr>
        <w:t>)</w:t>
      </w:r>
      <w:r w:rsidRPr="005675B2">
        <w:rPr>
          <w:rFonts w:hint="cs"/>
          <w:rtl/>
        </w:rPr>
        <w:t>في هذه المسألة قال</w:t>
      </w:r>
      <w:r w:rsidR="000636C2">
        <w:rPr>
          <w:rFonts w:hint="cs"/>
          <w:rtl/>
        </w:rPr>
        <w:t>:</w:t>
      </w:r>
      <w:r w:rsidRPr="005675B2">
        <w:rPr>
          <w:rFonts w:hint="cs"/>
          <w:rtl/>
        </w:rPr>
        <w:t>الفطرة التي فطر الله عز وجل العباد عليها من الشقاء والسعادة</w:t>
      </w:r>
      <w:r w:rsidR="000636C2">
        <w:rPr>
          <w:rFonts w:hint="cs"/>
          <w:rtl/>
        </w:rPr>
        <w:t>،</w:t>
      </w:r>
      <w:r w:rsidRPr="005675B2">
        <w:rPr>
          <w:rFonts w:hint="cs"/>
          <w:rtl/>
        </w:rPr>
        <w:t xml:space="preserve"> </w:t>
      </w:r>
      <w:r w:rsidRPr="005675B2">
        <w:rPr>
          <w:rStyle w:val="text1"/>
          <w:rtl/>
        </w:rPr>
        <w:t>إسناده صحيح</w:t>
      </w:r>
      <w:r w:rsidRPr="005675B2">
        <w:rPr>
          <w:rFonts w:hint="cs"/>
          <w:rtl/>
        </w:rPr>
        <w:t xml:space="preserve"> </w:t>
      </w:r>
      <w:r w:rsidR="000636C2">
        <w:rPr>
          <w:rFonts w:hint="cs"/>
          <w:rtl/>
        </w:rPr>
        <w:t>[</w:t>
      </w:r>
      <w:r w:rsidRPr="005675B2">
        <w:rPr>
          <w:rFonts w:hint="cs"/>
          <w:bCs/>
          <w:sz w:val="24"/>
          <w:szCs w:val="24"/>
          <w:rtl/>
        </w:rPr>
        <w:t>كتاب السنة للخلال أبي بكر</w:t>
      </w:r>
      <w:r w:rsidR="000636C2">
        <w:rPr>
          <w:rFonts w:hint="cs"/>
          <w:bCs/>
          <w:sz w:val="24"/>
          <w:szCs w:val="24"/>
          <w:rtl/>
        </w:rPr>
        <w:t>]</w:t>
      </w:r>
      <w:r w:rsidR="000636C2">
        <w:rPr>
          <w:rFonts w:hint="cs"/>
          <w:bCs/>
          <w:rtl/>
        </w:rPr>
        <w:t>،</w:t>
      </w:r>
      <w:r w:rsidRPr="005675B2">
        <w:rPr>
          <w:rFonts w:hint="cs"/>
          <w:rtl/>
        </w:rPr>
        <w:t xml:space="preserve"> إذن فالفطرة على هذا القول هي التقدير الأزلي الذي قدره الله للعبد من شقاء، أوسعادة</w:t>
      </w:r>
      <w:r w:rsidR="000636C2">
        <w:rPr>
          <w:rFonts w:hint="cs"/>
          <w:rtl/>
        </w:rPr>
        <w:t>،</w:t>
      </w:r>
    </w:p>
    <w:p w14:paraId="433231DE" w14:textId="11288561"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قول الكاتب</w:t>
      </w:r>
      <w:r>
        <w:rPr>
          <w:rFonts w:hint="cs"/>
          <w:rtl/>
        </w:rPr>
        <w:t>:</w:t>
      </w:r>
      <w:r w:rsidR="009C32A0" w:rsidRPr="005675B2">
        <w:rPr>
          <w:rFonts w:hint="cs"/>
          <w:rtl/>
        </w:rPr>
        <w:t xml:space="preserve"> ومن الأدلة على ذلك الإنسان</w:t>
      </w:r>
      <w:r w:rsidR="009C32A0" w:rsidRPr="005675B2">
        <w:rPr>
          <w:rFonts w:hint="cs"/>
        </w:rPr>
        <w:t xml:space="preserve"> </w:t>
      </w:r>
      <w:r w:rsidR="009C32A0" w:rsidRPr="005675B2">
        <w:rPr>
          <w:rFonts w:hint="cs"/>
          <w:rtl/>
        </w:rPr>
        <w:t>الذي يدخل في الإسلام حديثاً</w:t>
      </w:r>
      <w:r>
        <w:rPr>
          <w:rFonts w:hint="cs"/>
          <w:rtl/>
        </w:rPr>
        <w:t>،</w:t>
      </w:r>
      <w:r w:rsidR="009C32A0" w:rsidRPr="005675B2">
        <w:rPr>
          <w:rFonts w:hint="cs"/>
          <w:rtl/>
        </w:rPr>
        <w:t xml:space="preserve"> فهل تستطيع أي فرقة أن تقول أنه معتزلي أو أشعري</w:t>
      </w:r>
      <w:r>
        <w:rPr>
          <w:rFonts w:hint="cs"/>
          <w:rtl/>
        </w:rPr>
        <w:t>؟</w:t>
      </w:r>
      <w:r w:rsidR="009C32A0" w:rsidRPr="005675B2">
        <w:rPr>
          <w:rFonts w:hint="cs"/>
        </w:rPr>
        <w:t xml:space="preserve"> </w:t>
      </w:r>
      <w:r w:rsidR="009C32A0" w:rsidRPr="005675B2">
        <w:rPr>
          <w:rFonts w:hint="cs"/>
          <w:rtl/>
        </w:rPr>
        <w:t>أما نحن فبمجرد إسلامه يصبح واحداً منا</w:t>
      </w:r>
      <w:r>
        <w:rPr>
          <w:rFonts w:hint="cs"/>
          <w:rtl/>
        </w:rPr>
        <w:t>،</w:t>
      </w:r>
      <w:r w:rsidR="009C32A0" w:rsidRPr="005675B2">
        <w:rPr>
          <w:rFonts w:hint="cs"/>
          <w:rtl/>
        </w:rPr>
        <w:t xml:space="preserve"> </w:t>
      </w:r>
      <w:r>
        <w:rPr>
          <w:rFonts w:hint="cs"/>
          <w:u w:val="single"/>
          <w:rtl/>
        </w:rPr>
        <w:t>[</w:t>
      </w:r>
      <w:r w:rsidR="009C32A0">
        <w:rPr>
          <w:rFonts w:hint="cs"/>
          <w:u w:val="single"/>
          <w:rtl/>
        </w:rPr>
        <w:t>الجواب</w:t>
      </w:r>
      <w:r>
        <w:rPr>
          <w:rFonts w:hint="cs"/>
          <w:u w:val="single"/>
          <w:rtl/>
        </w:rPr>
        <w:t>]:</w:t>
      </w:r>
      <w:r w:rsidR="009C32A0" w:rsidRPr="005675B2">
        <w:rPr>
          <w:rFonts w:hint="cs"/>
          <w:u w:val="single"/>
          <w:rtl/>
        </w:rPr>
        <w:t>لا يا أخي وإنما بمجرد إسلامه يصير مسلماً</w:t>
      </w:r>
      <w:r>
        <w:rPr>
          <w:rFonts w:hint="cs"/>
          <w:u w:val="single"/>
          <w:rtl/>
        </w:rPr>
        <w:t>،</w:t>
      </w:r>
      <w:r w:rsidR="009C32A0" w:rsidRPr="005675B2">
        <w:rPr>
          <w:rFonts w:hint="cs"/>
          <w:u w:val="single"/>
          <w:rtl/>
        </w:rPr>
        <w:t>فكل فرقة يسلم على يديها فستعلمه مالديها</w:t>
      </w:r>
      <w:r>
        <w:rPr>
          <w:rFonts w:hint="cs"/>
          <w:rtl/>
        </w:rPr>
        <w:t>،</w:t>
      </w:r>
      <w:r w:rsidR="009C32A0" w:rsidRPr="005675B2">
        <w:rPr>
          <w:rFonts w:hint="cs"/>
          <w:rtl/>
        </w:rPr>
        <w:t>فإن قصدت أنه منكم قبل أن تعلموه أن الله محدود، وله جهة عدمية يحل فيها</w:t>
      </w:r>
      <w:r>
        <w:rPr>
          <w:rFonts w:hint="cs"/>
          <w:rtl/>
        </w:rPr>
        <w:t>،</w:t>
      </w:r>
      <w:r w:rsidR="009C32A0" w:rsidRPr="005675B2">
        <w:rPr>
          <w:rFonts w:hint="cs"/>
          <w:rtl/>
        </w:rPr>
        <w:t xml:space="preserve"> وأن له كلام قديم النوع حادث الأفراد يحدث في ذاته شيء بعد شيء</w:t>
      </w:r>
      <w:r>
        <w:rPr>
          <w:rFonts w:hint="cs"/>
          <w:rtl/>
        </w:rPr>
        <w:t>،</w:t>
      </w:r>
      <w:r w:rsidR="009C32A0" w:rsidRPr="005675B2">
        <w:rPr>
          <w:rFonts w:hint="cs"/>
          <w:rtl/>
        </w:rPr>
        <w:t>وقياس الغائب سبحانه وتعالى على الشاهد المخلوق</w:t>
      </w:r>
      <w:r>
        <w:rPr>
          <w:rFonts w:hint="cs"/>
          <w:rtl/>
        </w:rPr>
        <w:t>،</w:t>
      </w:r>
      <w:r w:rsidR="009C32A0" w:rsidRPr="005675B2">
        <w:rPr>
          <w:rFonts w:hint="cs"/>
          <w:rtl/>
        </w:rPr>
        <w:t>وأن كل كمال للمخلوق فالله أولى به [</w:t>
      </w:r>
      <w:r w:rsidR="009C32A0" w:rsidRPr="005675B2">
        <w:rPr>
          <w:rFonts w:hint="cs"/>
          <w:bCs/>
          <w:sz w:val="24"/>
          <w:szCs w:val="24"/>
          <w:rtl/>
        </w:rPr>
        <w:t>هذه القاعدة باطلة لأن من كمال المخلوق أن يكون له ولد ومنزل ومركب ونحوه وكل هذا لا يليق بالله .والقاعدة عند أهل السنة من الأشعرية وغيرهم</w:t>
      </w:r>
      <w:r>
        <w:rPr>
          <w:rFonts w:hint="cs"/>
          <w:bCs/>
          <w:sz w:val="24"/>
          <w:szCs w:val="24"/>
          <w:rtl/>
        </w:rPr>
        <w:t>:</w:t>
      </w:r>
      <w:r w:rsidR="009C32A0" w:rsidRPr="005675B2">
        <w:rPr>
          <w:rFonts w:hint="cs"/>
          <w:bCs/>
          <w:sz w:val="24"/>
          <w:szCs w:val="24"/>
          <w:rtl/>
        </w:rPr>
        <w:t xml:space="preserve">أن كل كمال </w:t>
      </w:r>
      <w:r w:rsidR="009C32A0" w:rsidRPr="005675B2">
        <w:rPr>
          <w:rFonts w:hint="cs"/>
          <w:bCs/>
          <w:sz w:val="24"/>
          <w:szCs w:val="24"/>
          <w:u w:val="single"/>
          <w:rtl/>
        </w:rPr>
        <w:t xml:space="preserve">لا نقص فيه بوجه </w:t>
      </w:r>
      <w:r w:rsidR="009C32A0" w:rsidRPr="005675B2">
        <w:rPr>
          <w:rFonts w:hint="cs"/>
          <w:bCs/>
          <w:sz w:val="24"/>
          <w:szCs w:val="24"/>
          <w:rtl/>
        </w:rPr>
        <w:t xml:space="preserve">من الوجوه </w:t>
      </w:r>
      <w:r w:rsidR="009C32A0" w:rsidRPr="005675B2">
        <w:rPr>
          <w:rFonts w:hint="cs"/>
          <w:bCs/>
          <w:sz w:val="24"/>
          <w:szCs w:val="24"/>
          <w:u w:val="single"/>
          <w:rtl/>
        </w:rPr>
        <w:t>فيجب إثباته لله</w:t>
      </w:r>
      <w:r w:rsidR="009C32A0" w:rsidRPr="005675B2">
        <w:rPr>
          <w:rFonts w:hint="cs"/>
          <w:bCs/>
          <w:sz w:val="24"/>
          <w:szCs w:val="24"/>
          <w:rtl/>
        </w:rPr>
        <w:t xml:space="preserve"> تعالى . أ ـ هـ فانظر أخي إلى دقة التعبير في تقعيد العقائد]</w:t>
      </w:r>
      <w:r>
        <w:rPr>
          <w:rFonts w:hint="cs"/>
          <w:rtl/>
        </w:rPr>
        <w:t>،</w:t>
      </w:r>
      <w:r w:rsidR="009C32A0" w:rsidRPr="005675B2">
        <w:rPr>
          <w:rFonts w:hint="cs"/>
          <w:rtl/>
        </w:rPr>
        <w:t>ونحوها من الأخطاء الجسيمة</w:t>
      </w:r>
      <w:r>
        <w:rPr>
          <w:rFonts w:hint="cs"/>
          <w:rtl/>
        </w:rPr>
        <w:t>،</w:t>
      </w:r>
      <w:r w:rsidR="009C32A0" w:rsidRPr="005675B2">
        <w:rPr>
          <w:rFonts w:hint="cs"/>
          <w:rtl/>
        </w:rPr>
        <w:t xml:space="preserve"> كقدم العالم النوعي</w:t>
      </w:r>
      <w:r>
        <w:rPr>
          <w:rFonts w:hint="cs"/>
          <w:rtl/>
        </w:rPr>
        <w:t>،</w:t>
      </w:r>
      <w:r w:rsidR="009C32A0" w:rsidRPr="005675B2">
        <w:rPr>
          <w:rFonts w:hint="cs"/>
          <w:rtl/>
        </w:rPr>
        <w:t>فأنا أخالفك في هذا، إلا في حالة واحدة وهي</w:t>
      </w:r>
      <w:r>
        <w:rPr>
          <w:rFonts w:hint="cs"/>
          <w:rtl/>
        </w:rPr>
        <w:t>:</w:t>
      </w:r>
      <w:r w:rsidR="009C32A0" w:rsidRPr="005675B2">
        <w:rPr>
          <w:rFonts w:hint="cs"/>
          <w:rtl/>
        </w:rPr>
        <w:t>التلقين لهذه البدع</w:t>
      </w:r>
      <w:r>
        <w:rPr>
          <w:rFonts w:hint="cs"/>
          <w:rtl/>
        </w:rPr>
        <w:t>،</w:t>
      </w:r>
      <w:r w:rsidR="009C32A0" w:rsidRPr="005675B2">
        <w:rPr>
          <w:rFonts w:hint="cs"/>
          <w:rtl/>
        </w:rPr>
        <w:t>فحينها فقط يصبح واحد</w:t>
      </w:r>
      <w:r>
        <w:rPr>
          <w:rFonts w:hint="cs"/>
          <w:rtl/>
        </w:rPr>
        <w:t xml:space="preserve"> </w:t>
      </w:r>
      <w:r w:rsidR="009C32A0" w:rsidRPr="005675B2">
        <w:rPr>
          <w:rFonts w:hint="cs"/>
          <w:rtl/>
        </w:rPr>
        <w:t>منكم هذا شيء</w:t>
      </w:r>
      <w:r>
        <w:rPr>
          <w:rFonts w:hint="cs"/>
          <w:rtl/>
        </w:rPr>
        <w:t xml:space="preserve">، </w:t>
      </w:r>
      <w:r w:rsidR="009C32A0" w:rsidRPr="005675B2">
        <w:rPr>
          <w:rFonts w:hint="cs"/>
          <w:rtl/>
        </w:rPr>
        <w:t>الشيء الثاني</w:t>
      </w:r>
      <w:r>
        <w:rPr>
          <w:rFonts w:hint="cs"/>
          <w:rtl/>
        </w:rPr>
        <w:t>:</w:t>
      </w:r>
      <w:r w:rsidR="009C32A0" w:rsidRPr="005675B2">
        <w:rPr>
          <w:rFonts w:hint="cs"/>
          <w:rtl/>
        </w:rPr>
        <w:t xml:space="preserve"> هناك فرق بين كون المسلم</w:t>
      </w:r>
      <w:r>
        <w:rPr>
          <w:rFonts w:hint="cs"/>
          <w:rtl/>
        </w:rPr>
        <w:t xml:space="preserve"> </w:t>
      </w:r>
      <w:r w:rsidR="009C32A0" w:rsidRPr="005675B2">
        <w:rPr>
          <w:rFonts w:hint="cs"/>
          <w:rtl/>
        </w:rPr>
        <w:t>عامي</w:t>
      </w:r>
      <w:r>
        <w:rPr>
          <w:rFonts w:hint="cs"/>
          <w:rtl/>
        </w:rPr>
        <w:t xml:space="preserve"> </w:t>
      </w:r>
      <w:r w:rsidR="009C32A0" w:rsidRPr="005675B2">
        <w:rPr>
          <w:rFonts w:hint="cs"/>
          <w:rtl/>
        </w:rPr>
        <w:t>أشعري</w:t>
      </w:r>
      <w:r>
        <w:rPr>
          <w:rFonts w:hint="cs"/>
          <w:rtl/>
        </w:rPr>
        <w:t>،</w:t>
      </w:r>
      <w:r w:rsidR="009C32A0" w:rsidRPr="005675B2">
        <w:rPr>
          <w:rFonts w:hint="cs"/>
          <w:rtl/>
        </w:rPr>
        <w:t xml:space="preserve"> وكونه عالم أشعري ولمزيد إيضاح</w:t>
      </w:r>
      <w:r>
        <w:rPr>
          <w:rFonts w:hint="cs"/>
          <w:rtl/>
        </w:rPr>
        <w:t>:</w:t>
      </w:r>
      <w:r w:rsidR="009C32A0" w:rsidRPr="005675B2">
        <w:rPr>
          <w:rFonts w:hint="cs"/>
          <w:rtl/>
        </w:rPr>
        <w:t xml:space="preserve"> فإن هناك ثلاثة أشياء</w:t>
      </w:r>
      <w:r>
        <w:rPr>
          <w:rFonts w:hint="cs"/>
          <w:rtl/>
        </w:rPr>
        <w:t>:</w:t>
      </w:r>
    </w:p>
    <w:p w14:paraId="77AFDB13" w14:textId="2F27151B" w:rsidR="009C32A0" w:rsidRPr="005675B2" w:rsidRDefault="009C32A0" w:rsidP="000636C2">
      <w:pPr>
        <w:rPr>
          <w:b/>
          <w:rtl/>
        </w:rPr>
      </w:pPr>
      <w:r w:rsidRPr="005675B2">
        <w:rPr>
          <w:rFonts w:hint="cs"/>
          <w:rtl/>
        </w:rPr>
        <w:t>الشيء الأول</w:t>
      </w:r>
      <w:r w:rsidR="000636C2">
        <w:rPr>
          <w:rFonts w:hint="cs"/>
          <w:rtl/>
        </w:rPr>
        <w:t>:</w:t>
      </w:r>
      <w:r w:rsidRPr="005675B2">
        <w:rPr>
          <w:rFonts w:hint="cs"/>
          <w:rtl/>
        </w:rPr>
        <w:t xml:space="preserve"> المسميات فأماالتسمية</w:t>
      </w:r>
      <w:r w:rsidR="000636C2">
        <w:rPr>
          <w:rFonts w:hint="cs"/>
          <w:rtl/>
        </w:rPr>
        <w:t xml:space="preserve"> </w:t>
      </w:r>
      <w:r w:rsidRPr="005675B2">
        <w:rPr>
          <w:rFonts w:hint="cs"/>
          <w:rtl/>
        </w:rPr>
        <w:t>فليست هي الهدف ولا المقصود</w:t>
      </w:r>
      <w:r w:rsidR="000636C2">
        <w:rPr>
          <w:rFonts w:hint="cs"/>
          <w:rtl/>
        </w:rPr>
        <w:t>،</w:t>
      </w:r>
      <w:r w:rsidRPr="005675B2">
        <w:rPr>
          <w:rFonts w:hint="cs"/>
          <w:rtl/>
        </w:rPr>
        <w:t>سواء كان</w:t>
      </w:r>
      <w:r w:rsidR="000636C2">
        <w:rPr>
          <w:rFonts w:hint="cs"/>
          <w:rtl/>
        </w:rPr>
        <w:t xml:space="preserve"> </w:t>
      </w:r>
      <w:r w:rsidRPr="005675B2">
        <w:rPr>
          <w:rFonts w:hint="cs"/>
          <w:rtl/>
        </w:rPr>
        <w:t>مسمى أهل الحديث</w:t>
      </w:r>
      <w:r w:rsidR="000636C2">
        <w:rPr>
          <w:rFonts w:hint="cs"/>
          <w:rtl/>
        </w:rPr>
        <w:t>،</w:t>
      </w:r>
      <w:r w:rsidRPr="005675B2">
        <w:rPr>
          <w:rFonts w:hint="cs"/>
          <w:rtl/>
        </w:rPr>
        <w:t>أو مسمى أهل السنة والجماعة، أو مسمى الأشعرية</w:t>
      </w:r>
      <w:r w:rsidR="000636C2">
        <w:rPr>
          <w:rFonts w:hint="cs"/>
          <w:rtl/>
        </w:rPr>
        <w:t>،</w:t>
      </w:r>
      <w:r w:rsidRPr="005675B2">
        <w:rPr>
          <w:rFonts w:hint="cs"/>
          <w:rtl/>
        </w:rPr>
        <w:t>أو الماتريدية أوغيرها من المسميات، فإنما هي</w:t>
      </w:r>
      <w:r w:rsidR="000636C2">
        <w:rPr>
          <w:rFonts w:hint="cs"/>
          <w:rtl/>
        </w:rPr>
        <w:t xml:space="preserve"> </w:t>
      </w:r>
      <w:r w:rsidRPr="005675B2">
        <w:rPr>
          <w:rFonts w:hint="cs"/>
          <w:rtl/>
        </w:rPr>
        <w:t>مجرد دلائل و شعارات تدل على حملة الحق</w:t>
      </w:r>
      <w:r w:rsidR="000636C2">
        <w:rPr>
          <w:rFonts w:hint="cs"/>
          <w:rtl/>
        </w:rPr>
        <w:t>،</w:t>
      </w:r>
      <w:r w:rsidRPr="005675B2">
        <w:rPr>
          <w:rFonts w:hint="cs"/>
          <w:rtl/>
        </w:rPr>
        <w:t xml:space="preserve"> ولا يعني أن كل من تسمى بها على الحق فعلاً</w:t>
      </w:r>
      <w:r w:rsidR="000636C2">
        <w:rPr>
          <w:rFonts w:hint="cs"/>
          <w:rtl/>
        </w:rPr>
        <w:t>،</w:t>
      </w:r>
      <w:r w:rsidRPr="005675B2">
        <w:rPr>
          <w:rFonts w:hint="cs"/>
          <w:rtl/>
        </w:rPr>
        <w:t xml:space="preserve"> إلا بمراعاة الشق الآخر في المسألة</w:t>
      </w:r>
      <w:r w:rsidR="000636C2">
        <w:rPr>
          <w:rFonts w:hint="cs"/>
          <w:rtl/>
        </w:rPr>
        <w:t xml:space="preserve"> </w:t>
      </w:r>
      <w:r w:rsidRPr="005675B2">
        <w:rPr>
          <w:rFonts w:hint="cs"/>
          <w:rtl/>
        </w:rPr>
        <w:t>ألا وهو المعنى</w:t>
      </w:r>
      <w:r w:rsidR="000636C2">
        <w:rPr>
          <w:rFonts w:hint="cs"/>
          <w:rtl/>
        </w:rPr>
        <w:t>،</w:t>
      </w:r>
    </w:p>
    <w:p w14:paraId="30746868" w14:textId="7969AEA9" w:rsidR="009C32A0" w:rsidRPr="005675B2" w:rsidRDefault="009C32A0" w:rsidP="000636C2">
      <w:pPr>
        <w:rPr>
          <w:b/>
          <w:rtl/>
        </w:rPr>
      </w:pPr>
      <w:r w:rsidRPr="005675B2">
        <w:rPr>
          <w:rFonts w:hint="cs"/>
          <w:rtl/>
        </w:rPr>
        <w:t>الشيء الثاني</w:t>
      </w:r>
      <w:r w:rsidR="000636C2">
        <w:rPr>
          <w:rFonts w:hint="cs"/>
          <w:rtl/>
        </w:rPr>
        <w:t>:</w:t>
      </w:r>
      <w:r w:rsidRPr="005675B2">
        <w:rPr>
          <w:rFonts w:hint="cs"/>
          <w:rtl/>
        </w:rPr>
        <w:t xml:space="preserve"> مراعاة المعاني</w:t>
      </w:r>
      <w:r w:rsidR="000636C2">
        <w:rPr>
          <w:rFonts w:hint="cs"/>
          <w:rtl/>
        </w:rPr>
        <w:t>::</w:t>
      </w:r>
      <w:r w:rsidRPr="005675B2">
        <w:rPr>
          <w:rFonts w:hint="cs"/>
          <w:rtl/>
        </w:rPr>
        <w:t xml:space="preserve"> فالمعنى</w:t>
      </w:r>
      <w:r w:rsidR="000636C2">
        <w:rPr>
          <w:rFonts w:hint="cs"/>
          <w:rtl/>
        </w:rPr>
        <w:t xml:space="preserve"> </w:t>
      </w:r>
      <w:r w:rsidRPr="005675B2">
        <w:rPr>
          <w:rFonts w:hint="cs"/>
          <w:rtl/>
        </w:rPr>
        <w:t>هو</w:t>
      </w:r>
      <w:r w:rsidR="000636C2">
        <w:rPr>
          <w:rFonts w:hint="cs"/>
          <w:rtl/>
        </w:rPr>
        <w:t xml:space="preserve"> </w:t>
      </w:r>
      <w:r w:rsidRPr="005675B2">
        <w:rPr>
          <w:rFonts w:hint="cs"/>
          <w:rtl/>
        </w:rPr>
        <w:t>إثبات ما يليق بالله مع تنزيهه عن مشابهة المخلوق على أي مشابهة كانت أو أي اشتراك كان إلا مجرد الألفاظ</w:t>
      </w:r>
      <w:r w:rsidR="000636C2">
        <w:rPr>
          <w:rFonts w:hint="cs"/>
          <w:rtl/>
        </w:rPr>
        <w:t>،</w:t>
      </w:r>
      <w:r w:rsidRPr="005675B2">
        <w:rPr>
          <w:rFonts w:hint="cs"/>
          <w:rtl/>
        </w:rPr>
        <w:t xml:space="preserve"> فمسمى الأشاعرة</w:t>
      </w:r>
      <w:r w:rsidR="000636C2">
        <w:rPr>
          <w:rFonts w:hint="cs"/>
          <w:rtl/>
        </w:rPr>
        <w:t>،</w:t>
      </w:r>
      <w:r w:rsidRPr="005675B2">
        <w:rPr>
          <w:rFonts w:hint="cs"/>
          <w:rtl/>
        </w:rPr>
        <w:t>والماتريدية</w:t>
      </w:r>
      <w:r w:rsidR="000636C2">
        <w:rPr>
          <w:rFonts w:hint="cs"/>
          <w:rtl/>
        </w:rPr>
        <w:t>،</w:t>
      </w:r>
      <w:r w:rsidRPr="005675B2">
        <w:rPr>
          <w:rFonts w:hint="cs"/>
          <w:rtl/>
        </w:rPr>
        <w:t>وأهل السنة</w:t>
      </w:r>
      <w:r w:rsidR="000636C2">
        <w:rPr>
          <w:rFonts w:hint="cs"/>
          <w:rtl/>
        </w:rPr>
        <w:t>،</w:t>
      </w:r>
      <w:r w:rsidRPr="005675B2">
        <w:rPr>
          <w:rFonts w:hint="cs"/>
          <w:rtl/>
        </w:rPr>
        <w:t>وأصحاب الحديث دال على معنى التنزيه والاعتقاد الصحيح</w:t>
      </w:r>
      <w:r w:rsidR="000636C2">
        <w:rPr>
          <w:rFonts w:hint="cs"/>
          <w:rtl/>
        </w:rPr>
        <w:t>،</w:t>
      </w:r>
      <w:r w:rsidRPr="005675B2">
        <w:rPr>
          <w:rFonts w:hint="cs"/>
          <w:rtl/>
        </w:rPr>
        <w:t>فأما كون أي فرقة كالكرامية، أو المعتزلة</w:t>
      </w:r>
      <w:r w:rsidR="000636C2">
        <w:rPr>
          <w:rFonts w:hint="cs"/>
          <w:rtl/>
        </w:rPr>
        <w:t>،</w:t>
      </w:r>
      <w:r w:rsidRPr="005675B2">
        <w:rPr>
          <w:rFonts w:hint="cs"/>
          <w:rtl/>
        </w:rPr>
        <w:t>أو غيرهم يّدعون أنهم أهل السنة والجماعة</w:t>
      </w:r>
      <w:r w:rsidR="000636C2">
        <w:rPr>
          <w:rFonts w:hint="cs"/>
          <w:rtl/>
        </w:rPr>
        <w:t>،</w:t>
      </w:r>
      <w:r w:rsidRPr="005675B2">
        <w:rPr>
          <w:rFonts w:hint="cs"/>
          <w:rtl/>
        </w:rPr>
        <w:t>فلا يغير هذا الأدعاء من حقيقتهم شيئاً</w:t>
      </w:r>
      <w:r w:rsidR="000636C2">
        <w:rPr>
          <w:rFonts w:hint="cs"/>
          <w:rtl/>
        </w:rPr>
        <w:t xml:space="preserve"> </w:t>
      </w:r>
      <w:r w:rsidRPr="005675B2">
        <w:rPr>
          <w:rFonts w:hint="cs"/>
          <w:u w:val="single"/>
          <w:rtl/>
        </w:rPr>
        <w:t>من حيث حقيقة</w:t>
      </w:r>
      <w:r w:rsidR="000636C2">
        <w:rPr>
          <w:rFonts w:hint="cs"/>
          <w:u w:val="single"/>
          <w:rtl/>
        </w:rPr>
        <w:t xml:space="preserve"> </w:t>
      </w:r>
      <w:r w:rsidRPr="005675B2">
        <w:rPr>
          <w:rFonts w:hint="cs"/>
          <w:u w:val="single"/>
          <w:rtl/>
        </w:rPr>
        <w:t>المعتقد</w:t>
      </w:r>
      <w:r w:rsidR="000636C2">
        <w:rPr>
          <w:rFonts w:hint="cs"/>
          <w:rtl/>
        </w:rPr>
        <w:t>،</w:t>
      </w:r>
    </w:p>
    <w:p w14:paraId="7CD62509" w14:textId="129F0587" w:rsidR="009C32A0" w:rsidRPr="005675B2" w:rsidRDefault="009C32A0" w:rsidP="000636C2">
      <w:pPr>
        <w:rPr>
          <w:b/>
          <w:rtl/>
        </w:rPr>
      </w:pPr>
      <w:r w:rsidRPr="005675B2">
        <w:rPr>
          <w:rFonts w:hint="cs"/>
          <w:rtl/>
        </w:rPr>
        <w:t>الشيء الثالث</w:t>
      </w:r>
      <w:r w:rsidR="000636C2">
        <w:rPr>
          <w:rFonts w:hint="cs"/>
          <w:rtl/>
        </w:rPr>
        <w:t>:</w:t>
      </w:r>
      <w:r w:rsidRPr="005675B2">
        <w:rPr>
          <w:rFonts w:hint="cs"/>
          <w:rtl/>
        </w:rPr>
        <w:t xml:space="preserve"> التفريق بين العالم الأشعري والعامي الأشعري</w:t>
      </w:r>
      <w:r w:rsidR="000636C2">
        <w:rPr>
          <w:rFonts w:hint="cs"/>
          <w:rtl/>
        </w:rPr>
        <w:t>،</w:t>
      </w:r>
      <w:r w:rsidRPr="005675B2">
        <w:rPr>
          <w:rFonts w:hint="cs"/>
          <w:rtl/>
        </w:rPr>
        <w:t>وكذا بين العالم بالحديث وبين العامي من أتباع أصحاب الحديث</w:t>
      </w:r>
      <w:r w:rsidR="000636C2">
        <w:rPr>
          <w:rFonts w:hint="cs"/>
          <w:rtl/>
        </w:rPr>
        <w:t>،</w:t>
      </w:r>
      <w:r w:rsidRPr="005675B2">
        <w:rPr>
          <w:rFonts w:hint="cs"/>
          <w:rtl/>
        </w:rPr>
        <w:t xml:space="preserve"> فإننا</w:t>
      </w:r>
      <w:r w:rsidR="000636C2">
        <w:rPr>
          <w:rFonts w:hint="cs"/>
          <w:rtl/>
        </w:rPr>
        <w:t xml:space="preserve"> </w:t>
      </w:r>
      <w:r w:rsidRPr="005675B2">
        <w:rPr>
          <w:rFonts w:hint="cs"/>
          <w:rtl/>
        </w:rPr>
        <w:t>نعلم جميعاً</w:t>
      </w:r>
      <w:r w:rsidR="000636C2">
        <w:rPr>
          <w:rFonts w:hint="cs"/>
          <w:rtl/>
        </w:rPr>
        <w:t xml:space="preserve"> </w:t>
      </w:r>
      <w:r w:rsidRPr="005675B2">
        <w:rPr>
          <w:rFonts w:hint="cs"/>
          <w:rtl/>
        </w:rPr>
        <w:t>أن قول الرجل العامي</w:t>
      </w:r>
      <w:r w:rsidR="000636C2">
        <w:rPr>
          <w:rFonts w:hint="cs"/>
          <w:rtl/>
        </w:rPr>
        <w:t>:</w:t>
      </w:r>
      <w:r w:rsidRPr="005675B2">
        <w:rPr>
          <w:rFonts w:hint="cs"/>
          <w:rtl/>
        </w:rPr>
        <w:t xml:space="preserve"> أنا من جماعة أصحاب الحديث لا يعني أنه محدث عالم بعلوم الحديث</w:t>
      </w:r>
      <w:r w:rsidR="000636C2">
        <w:rPr>
          <w:rFonts w:hint="cs"/>
          <w:rtl/>
        </w:rPr>
        <w:t>،</w:t>
      </w:r>
      <w:r w:rsidRPr="005675B2">
        <w:rPr>
          <w:rFonts w:hint="cs"/>
          <w:rtl/>
        </w:rPr>
        <w:t xml:space="preserve"> وكون العامي على عقيدة السادة الأشاعرة لا يعني أنه عالم بعلم العقائد ورد الشبهات</w:t>
      </w:r>
      <w:r w:rsidR="000636C2">
        <w:rPr>
          <w:rFonts w:hint="cs"/>
          <w:rtl/>
        </w:rPr>
        <w:t>،</w:t>
      </w:r>
      <w:r w:rsidRPr="005675B2">
        <w:rPr>
          <w:rFonts w:hint="cs"/>
          <w:rtl/>
        </w:rPr>
        <w:t xml:space="preserve"> وإلجام خصوم الحق</w:t>
      </w:r>
      <w:r w:rsidR="000636C2">
        <w:rPr>
          <w:rFonts w:hint="cs"/>
          <w:rtl/>
        </w:rPr>
        <w:t>،</w:t>
      </w:r>
      <w:r w:rsidRPr="005675B2">
        <w:rPr>
          <w:rFonts w:hint="cs"/>
          <w:rtl/>
        </w:rPr>
        <w:t xml:space="preserve"> ولا غيرها من العلوم الشرعية</w:t>
      </w:r>
      <w:r w:rsidR="000636C2">
        <w:rPr>
          <w:rFonts w:hint="cs"/>
          <w:rtl/>
        </w:rPr>
        <w:t>،</w:t>
      </w:r>
      <w:r w:rsidRPr="005675B2">
        <w:rPr>
          <w:rFonts w:hint="cs"/>
          <w:rtl/>
        </w:rPr>
        <w:t xml:space="preserve"> إذن</w:t>
      </w:r>
      <w:r w:rsidR="000636C2">
        <w:rPr>
          <w:rFonts w:hint="cs"/>
          <w:rtl/>
        </w:rPr>
        <w:t>:</w:t>
      </w:r>
      <w:r w:rsidRPr="005675B2">
        <w:rPr>
          <w:rFonts w:hint="cs"/>
          <w:rtl/>
        </w:rPr>
        <w:t>فلا وجه لقولك يا أخي أن العامي لا يكون أشعرياً</w:t>
      </w:r>
      <w:r w:rsidR="000636C2">
        <w:rPr>
          <w:rFonts w:hint="cs"/>
          <w:rtl/>
        </w:rPr>
        <w:t>،</w:t>
      </w:r>
      <w:r w:rsidRPr="005675B2">
        <w:rPr>
          <w:rFonts w:hint="cs"/>
          <w:rtl/>
        </w:rPr>
        <w:t>فإن عنيت أنه لا يكون عالم بتفاصيل الاعتقاد والردود ونحوها فصحيح وهذا شأن العوام</w:t>
      </w:r>
      <w:r w:rsidR="000636C2">
        <w:rPr>
          <w:rFonts w:hint="cs"/>
          <w:rtl/>
        </w:rPr>
        <w:t>،</w:t>
      </w:r>
      <w:r w:rsidRPr="005675B2">
        <w:rPr>
          <w:rFonts w:hint="cs"/>
          <w:rtl/>
        </w:rPr>
        <w:t xml:space="preserve">وأما إن قصدت أنه على غير عقيدتهم في الإثبات مع التنزيه ودفع التشبيه فغير مسلم، والأمر </w:t>
      </w:r>
      <w:r w:rsidRPr="005675B2">
        <w:rPr>
          <w:rFonts w:hint="cs"/>
          <w:u w:val="single"/>
          <w:rtl/>
        </w:rPr>
        <w:t>كما نشاهده أن العامي يتأثر بعلماء بلده</w:t>
      </w:r>
      <w:r w:rsidR="000636C2">
        <w:rPr>
          <w:rFonts w:hint="cs"/>
          <w:u w:val="single"/>
          <w:rtl/>
        </w:rPr>
        <w:t xml:space="preserve">، </w:t>
      </w:r>
      <w:r w:rsidRPr="005675B2">
        <w:rPr>
          <w:rFonts w:hint="cs"/>
          <w:rtl/>
        </w:rPr>
        <w:t>وأما طرق التفصيل والحجاج والبيان فليست إلا للعلماء</w:t>
      </w:r>
      <w:r w:rsidR="000636C2">
        <w:rPr>
          <w:rFonts w:hint="cs"/>
          <w:rtl/>
        </w:rPr>
        <w:t>،</w:t>
      </w:r>
      <w:r w:rsidRPr="005675B2">
        <w:rPr>
          <w:rFonts w:hint="cs"/>
          <w:rtl/>
        </w:rPr>
        <w:t>حتى على مستوى فروع الدين، لن تجد عامي يعرف تفاصيل أحكام الحج</w:t>
      </w:r>
      <w:r w:rsidR="000636C2">
        <w:rPr>
          <w:rFonts w:hint="cs"/>
          <w:rtl/>
        </w:rPr>
        <w:t>،</w:t>
      </w:r>
      <w:r w:rsidRPr="005675B2">
        <w:rPr>
          <w:rFonts w:hint="cs"/>
          <w:rtl/>
        </w:rPr>
        <w:t>والزكاة، والصيام</w:t>
      </w:r>
      <w:r w:rsidR="000636C2">
        <w:rPr>
          <w:rFonts w:hint="cs"/>
          <w:rtl/>
        </w:rPr>
        <w:t>،</w:t>
      </w:r>
      <w:r w:rsidRPr="005675B2">
        <w:rPr>
          <w:rFonts w:hint="cs"/>
          <w:rtl/>
        </w:rPr>
        <w:t>وغيرها من العبادات، وإلا لما كان هناك فضل لعالم على جاهل</w:t>
      </w:r>
      <w:r w:rsidR="000636C2">
        <w:rPr>
          <w:rFonts w:hint="cs"/>
          <w:rtl/>
        </w:rPr>
        <w:t>،</w:t>
      </w:r>
      <w:r w:rsidRPr="005675B2">
        <w:rPr>
          <w:rFonts w:hint="cs"/>
          <w:rtl/>
        </w:rPr>
        <w:t xml:space="preserve"> فتبين مما سبق أنك أخطأت يا أخي الكريم في بيان معنى الفطرة</w:t>
      </w:r>
      <w:r w:rsidR="000636C2">
        <w:rPr>
          <w:rFonts w:hint="cs"/>
          <w:rtl/>
        </w:rPr>
        <w:t>،</w:t>
      </w:r>
      <w:r w:rsidRPr="005675B2">
        <w:rPr>
          <w:rFonts w:hint="cs"/>
          <w:rtl/>
        </w:rPr>
        <w:t>و</w:t>
      </w:r>
      <w:r w:rsidR="000636C2">
        <w:rPr>
          <w:rFonts w:hint="cs"/>
          <w:rtl/>
        </w:rPr>
        <w:t xml:space="preserve"> </w:t>
      </w:r>
      <w:r w:rsidRPr="005675B2">
        <w:rPr>
          <w:rFonts w:hint="cs"/>
          <w:rtl/>
        </w:rPr>
        <w:t>في استجرار وإنزال النصوص عليكم بوضعكم الراهن</w:t>
      </w:r>
      <w:r w:rsidR="000636C2">
        <w:rPr>
          <w:rFonts w:hint="cs"/>
          <w:rtl/>
        </w:rPr>
        <w:t>،</w:t>
      </w:r>
      <w:r w:rsidRPr="005675B2">
        <w:rPr>
          <w:rFonts w:hint="cs"/>
          <w:rtl/>
        </w:rPr>
        <w:t>و في عدم التفريق بين مقام العلماء والعامة</w:t>
      </w:r>
      <w:r w:rsidR="000636C2">
        <w:rPr>
          <w:rFonts w:hint="cs"/>
          <w:rtl/>
        </w:rPr>
        <w:t>،</w:t>
      </w:r>
      <w:r w:rsidRPr="005675B2">
        <w:rPr>
          <w:rFonts w:hint="cs"/>
          <w:rtl/>
        </w:rPr>
        <w:t xml:space="preserve"> وفقنا الله وإياك لهداه</w:t>
      </w:r>
      <w:r w:rsidR="000636C2">
        <w:rPr>
          <w:rFonts w:hint="cs"/>
          <w:rtl/>
        </w:rPr>
        <w:t>،</w:t>
      </w:r>
    </w:p>
    <w:p w14:paraId="3E57C082" w14:textId="527B73A5" w:rsidR="009C32A0" w:rsidRPr="005675B2" w:rsidRDefault="009C32A0" w:rsidP="000636C2">
      <w:pPr>
        <w:rPr>
          <w:b/>
          <w:rtl/>
        </w:rPr>
      </w:pPr>
      <w:r w:rsidRPr="005675B2">
        <w:rPr>
          <w:rFonts w:hint="cs"/>
          <w:bCs/>
          <w:u w:val="single"/>
          <w:rtl/>
        </w:rPr>
        <w:t>وقد وقع الموجان فيما وقع فيه الحوالي</w:t>
      </w:r>
      <w:r w:rsidRPr="005675B2">
        <w:rPr>
          <w:rFonts w:hint="cs"/>
          <w:rtl/>
        </w:rPr>
        <w:t xml:space="preserve"> وتخبط تخبطاً شديداً</w:t>
      </w:r>
      <w:r w:rsidR="000636C2">
        <w:rPr>
          <w:rFonts w:hint="cs"/>
          <w:rtl/>
        </w:rPr>
        <w:t>،</w:t>
      </w:r>
      <w:r w:rsidRPr="005675B2">
        <w:rPr>
          <w:rFonts w:hint="cs"/>
          <w:rtl/>
        </w:rPr>
        <w:t>فنقل كلام الإمام القرطبي الأشعري في رده على متكلمي المعتزلة</w:t>
      </w:r>
      <w:r w:rsidR="000636C2">
        <w:rPr>
          <w:rFonts w:hint="cs"/>
          <w:rtl/>
        </w:rPr>
        <w:t>،</w:t>
      </w:r>
      <w:r w:rsidRPr="005675B2">
        <w:rPr>
          <w:rFonts w:hint="cs"/>
          <w:rtl/>
        </w:rPr>
        <w:t xml:space="preserve"> وتلهى عن كون الحافظ ابن حجر والقرطبي</w:t>
      </w:r>
      <w:r w:rsidR="000636C2">
        <w:rPr>
          <w:rFonts w:hint="cs"/>
          <w:rtl/>
        </w:rPr>
        <w:t xml:space="preserve"> </w:t>
      </w:r>
      <w:r w:rsidRPr="005675B2">
        <w:rPr>
          <w:rFonts w:hint="cs"/>
          <w:rtl/>
        </w:rPr>
        <w:t>أشعريان</w:t>
      </w:r>
      <w:r w:rsidR="000636C2">
        <w:rPr>
          <w:rFonts w:hint="cs"/>
          <w:rtl/>
        </w:rPr>
        <w:t>،</w:t>
      </w:r>
      <w:r w:rsidRPr="005675B2">
        <w:rPr>
          <w:rFonts w:hint="cs"/>
          <w:rtl/>
        </w:rPr>
        <w:t xml:space="preserve"> فقال الموجان</w:t>
      </w:r>
      <w:r w:rsidR="000636C2">
        <w:rPr>
          <w:rFonts w:hint="cs"/>
          <w:rtl/>
        </w:rPr>
        <w:t xml:space="preserve"> </w:t>
      </w:r>
      <w:r w:rsidRPr="005675B2">
        <w:rPr>
          <w:rFonts w:hint="cs"/>
          <w:rtl/>
        </w:rPr>
        <w:t>ـــــــ</w:t>
      </w:r>
      <w:r w:rsidR="000636C2">
        <w:rPr>
          <w:rFonts w:hint="cs"/>
          <w:rtl/>
        </w:rPr>
        <w:t xml:space="preserve"> </w:t>
      </w:r>
      <w:r w:rsidRPr="005675B2">
        <w:rPr>
          <w:rFonts w:hint="cs"/>
          <w:rtl/>
        </w:rPr>
        <w:t>- معللاً طول النقل الذي نقله عن الأشعريين القرطبي وابن حجر ــــ</w:t>
      </w:r>
      <w:r w:rsidR="000636C2">
        <w:rPr>
          <w:rFonts w:hint="cs"/>
          <w:rtl/>
        </w:rPr>
        <w:t xml:space="preserve"> </w:t>
      </w:r>
      <w:r w:rsidRPr="005675B2">
        <w:rPr>
          <w:rFonts w:hint="cs"/>
          <w:rtl/>
        </w:rPr>
        <w:t>قال مانصه</w:t>
      </w:r>
      <w:r w:rsidR="000636C2">
        <w:rPr>
          <w:rFonts w:hint="cs"/>
          <w:rtl/>
        </w:rPr>
        <w:t>:</w:t>
      </w:r>
      <w:r w:rsidRPr="005675B2">
        <w:rPr>
          <w:rFonts w:hint="cs"/>
          <w:rtl/>
        </w:rPr>
        <w:t xml:space="preserve"> </w:t>
      </w:r>
    </w:p>
    <w:p w14:paraId="478106FB" w14:textId="3E272B76" w:rsidR="009C32A0" w:rsidRPr="005675B2" w:rsidRDefault="009C32A0" w:rsidP="000636C2">
      <w:pPr>
        <w:rPr>
          <w:b/>
          <w:rtl/>
        </w:rPr>
      </w:pPr>
      <w:r w:rsidRPr="005675B2">
        <w:rPr>
          <w:rFonts w:hint="cs"/>
          <w:rtl/>
        </w:rPr>
        <w:t>الأول</w:t>
      </w:r>
      <w:r w:rsidR="000636C2">
        <w:rPr>
          <w:rFonts w:hint="cs"/>
          <w:rtl/>
        </w:rPr>
        <w:t>:</w:t>
      </w:r>
      <w:r w:rsidRPr="005675B2">
        <w:rPr>
          <w:rFonts w:hint="cs"/>
          <w:rtl/>
        </w:rPr>
        <w:t xml:space="preserve"> فيه فوائد من الفوائد ولا سيما بيان مذهب الأشاعرة في وجوب النظر والرد عليه</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126</w:t>
      </w:r>
      <w:r w:rsidRPr="005675B2">
        <w:rPr>
          <w:rFonts w:hint="cs"/>
          <w:rtl/>
        </w:rPr>
        <w:t>]</w:t>
      </w:r>
      <w:r w:rsidR="000636C2">
        <w:rPr>
          <w:rFonts w:hint="cs"/>
          <w:rtl/>
        </w:rPr>
        <w:t>،</w:t>
      </w:r>
      <w:r w:rsidRPr="005675B2">
        <w:rPr>
          <w:rFonts w:hint="cs"/>
          <w:rtl/>
        </w:rPr>
        <w:t xml:space="preserve"> وكلامه باطل</w:t>
      </w:r>
      <w:r w:rsidR="000636C2">
        <w:rPr>
          <w:rFonts w:hint="cs"/>
          <w:rtl/>
        </w:rPr>
        <w:t>:</w:t>
      </w:r>
      <w:r w:rsidRPr="005675B2">
        <w:rPr>
          <w:rFonts w:hint="cs"/>
          <w:rtl/>
        </w:rPr>
        <w:t xml:space="preserve"> فإن رد السمعاني والقرطبي كان على من يزعم أن دعوة الرسل ما كانت إلا لبيان الفروع</w:t>
      </w:r>
      <w:r w:rsidR="000636C2">
        <w:rPr>
          <w:rFonts w:hint="cs"/>
          <w:rtl/>
        </w:rPr>
        <w:t>،</w:t>
      </w:r>
      <w:r w:rsidRPr="005675B2">
        <w:rPr>
          <w:rFonts w:hint="cs"/>
          <w:rtl/>
        </w:rPr>
        <w:t xml:space="preserve"> وعلى من يقول</w:t>
      </w:r>
      <w:r w:rsidR="000636C2">
        <w:rPr>
          <w:rFonts w:hint="cs"/>
          <w:rtl/>
        </w:rPr>
        <w:t>:</w:t>
      </w:r>
      <w:r w:rsidRPr="005675B2">
        <w:rPr>
          <w:rFonts w:hint="cs"/>
          <w:rtl/>
        </w:rPr>
        <w:t xml:space="preserve"> أن العقل هو الداعي إلى الله لا الرسول</w:t>
      </w:r>
      <w:r w:rsidR="000636C2">
        <w:rPr>
          <w:rFonts w:hint="cs"/>
          <w:rtl/>
        </w:rPr>
        <w:t>،</w:t>
      </w:r>
      <w:r w:rsidRPr="005675B2">
        <w:rPr>
          <w:rFonts w:hint="cs"/>
          <w:rtl/>
        </w:rPr>
        <w:t xml:space="preserve"> هذا هو محل النزاع الذي تدعي أنك تحرره فأغفلته ولم تتصوره أصلاً</w:t>
      </w:r>
      <w:r w:rsidR="000636C2">
        <w:rPr>
          <w:rFonts w:hint="cs"/>
          <w:rtl/>
        </w:rPr>
        <w:t>،</w:t>
      </w:r>
      <w:r w:rsidRPr="005675B2">
        <w:rPr>
          <w:rFonts w:hint="cs"/>
          <w:rtl/>
        </w:rPr>
        <w:t xml:space="preserve"> ولذا قال السمعاني</w:t>
      </w:r>
      <w:r w:rsidR="000636C2">
        <w:rPr>
          <w:rFonts w:hint="cs"/>
          <w:rtl/>
        </w:rPr>
        <w:t>:</w:t>
      </w:r>
      <w:r w:rsidRPr="005675B2">
        <w:rPr>
          <w:rFonts w:hint="cs"/>
          <w:rtl/>
        </w:rPr>
        <w:t xml:space="preserve"> ونحن</w:t>
      </w:r>
      <w:r w:rsidR="000636C2">
        <w:rPr>
          <w:rFonts w:hint="cs"/>
          <w:rtl/>
        </w:rPr>
        <w:t xml:space="preserve"> </w:t>
      </w:r>
      <w:r w:rsidRPr="005675B2">
        <w:rPr>
          <w:rFonts w:hint="cs"/>
          <w:rtl/>
        </w:rPr>
        <w:t>لا ننكر أن العقل يرشد إلى التوحيد وإنما ننكر أنه يستقل بإيجاب ذلك</w:t>
      </w:r>
      <w:r w:rsidR="000636C2">
        <w:rPr>
          <w:rFonts w:hint="cs"/>
          <w:rtl/>
        </w:rPr>
        <w:t xml:space="preserve"> </w:t>
      </w:r>
      <w:r w:rsidRPr="005675B2">
        <w:rPr>
          <w:rFonts w:hint="cs"/>
          <w:rtl/>
        </w:rPr>
        <w:t>حتى لا يصح إسلام إلا بطريقه مع قطع النظر عن السمعيات</w:t>
      </w:r>
      <w:r w:rsidR="000636C2">
        <w:rPr>
          <w:rFonts w:hint="cs"/>
          <w:rtl/>
        </w:rPr>
        <w:t>،</w:t>
      </w:r>
      <w:r w:rsidRPr="005675B2">
        <w:rPr>
          <w:rFonts w:hint="cs"/>
          <w:rtl/>
        </w:rPr>
        <w:t xml:space="preserve"> أ نتهى [</w:t>
      </w:r>
      <w:r w:rsidRPr="005675B2">
        <w:rPr>
          <w:rFonts w:hint="cs"/>
          <w:bCs/>
          <w:sz w:val="24"/>
          <w:szCs w:val="24"/>
          <w:rtl/>
        </w:rPr>
        <w:t>الرد الشامل 125</w:t>
      </w:r>
      <w:r w:rsidRPr="005675B2">
        <w:rPr>
          <w:rFonts w:hint="cs"/>
          <w:rtl/>
        </w:rPr>
        <w:t>]</w:t>
      </w:r>
      <w:r w:rsidR="000636C2">
        <w:rPr>
          <w:rFonts w:hint="cs"/>
          <w:rtl/>
        </w:rPr>
        <w:t xml:space="preserve">، </w:t>
      </w:r>
      <w:r w:rsidRPr="005675B2">
        <w:rPr>
          <w:rFonts w:hint="cs"/>
          <w:rtl/>
        </w:rPr>
        <w:t xml:space="preserve">إذن ما ينكره السمعاني والقرطبي المستشهد بكلام السمعاني إنما هو أن يكون العقل هو مصدر التلقي دون الشرع </w:t>
      </w:r>
      <w:r w:rsidR="000636C2">
        <w:rPr>
          <w:rFonts w:hint="cs"/>
          <w:rtl/>
        </w:rPr>
        <w:t>(</w:t>
      </w:r>
      <w:r w:rsidRPr="005675B2">
        <w:rPr>
          <w:rFonts w:hint="cs"/>
          <w:rtl/>
        </w:rPr>
        <w:t>السمعيات</w:t>
      </w:r>
      <w:r w:rsidR="000636C2">
        <w:rPr>
          <w:rFonts w:hint="cs"/>
          <w:rtl/>
        </w:rPr>
        <w:t>)،</w:t>
      </w:r>
      <w:r w:rsidRPr="005675B2">
        <w:rPr>
          <w:rFonts w:hint="cs"/>
          <w:rtl/>
        </w:rPr>
        <w:t xml:space="preserve"> وهو معتقد الأشاعرة وغيرهم من أهل السنة قال عبدالسلام اللقاني الأشعري في تحفة المريدشرح جوهرة التوحيد</w:t>
      </w:r>
      <w:r w:rsidR="000636C2">
        <w:rPr>
          <w:rFonts w:hint="cs"/>
          <w:rtl/>
        </w:rPr>
        <w:t>:</w:t>
      </w:r>
      <w:r w:rsidRPr="005675B2">
        <w:rPr>
          <w:rFonts w:hint="cs"/>
          <w:rtl/>
        </w:rPr>
        <w:t xml:space="preserve"> لا يجب على المكلف معرفة ماقدوجب لله عقلاً إلا </w:t>
      </w:r>
      <w:r w:rsidRPr="005675B2">
        <w:rPr>
          <w:rFonts w:hint="cs"/>
          <w:u w:val="single"/>
          <w:rtl/>
        </w:rPr>
        <w:t>بالشر</w:t>
      </w:r>
      <w:r w:rsidRPr="005675B2">
        <w:rPr>
          <w:rFonts w:hint="cs"/>
          <w:rtl/>
        </w:rPr>
        <w:t>ع إذ قبله لا حكم أصلاً لا أصلياً ولا فرعياً كما هو المنقول عن الأشاعرة وجمع من غيرهم</w:t>
      </w:r>
      <w:r w:rsidR="000636C2">
        <w:rPr>
          <w:rFonts w:hint="cs"/>
          <w:rtl/>
        </w:rPr>
        <w:t>،</w:t>
      </w:r>
      <w:r w:rsidRPr="005675B2">
        <w:rPr>
          <w:rFonts w:hint="cs"/>
          <w:rtl/>
        </w:rPr>
        <w:t xml:space="preserve"> أ هـ</w:t>
      </w:r>
      <w:r w:rsidR="000636C2">
        <w:rPr>
          <w:rFonts w:hint="cs"/>
          <w:rtl/>
        </w:rPr>
        <w:t xml:space="preserve"> </w:t>
      </w:r>
      <w:r w:rsidRPr="005675B2">
        <w:rPr>
          <w:rFonts w:hint="cs"/>
          <w:rtl/>
        </w:rPr>
        <w:t>[</w:t>
      </w:r>
      <w:r w:rsidRPr="005675B2">
        <w:rPr>
          <w:rFonts w:hint="cs"/>
          <w:bCs/>
          <w:sz w:val="24"/>
          <w:szCs w:val="24"/>
          <w:rtl/>
        </w:rPr>
        <w:t>تحفة المريد مع حاشية ابن الأمير ص60</w:t>
      </w:r>
      <w:r w:rsidRPr="005675B2">
        <w:rPr>
          <w:rFonts w:hint="cs"/>
          <w:rtl/>
        </w:rPr>
        <w:t>] ويأتي مزيد بيان</w:t>
      </w:r>
      <w:r w:rsidR="000636C2">
        <w:rPr>
          <w:rFonts w:hint="cs"/>
          <w:rtl/>
        </w:rPr>
        <w:t xml:space="preserve"> </w:t>
      </w:r>
      <w:r w:rsidRPr="005675B2">
        <w:rPr>
          <w:rFonts w:hint="cs"/>
          <w:rtl/>
        </w:rPr>
        <w:t>لعقيدة الأشاعرة</w:t>
      </w:r>
      <w:r w:rsidR="000636C2">
        <w:rPr>
          <w:rFonts w:hint="cs"/>
          <w:rtl/>
        </w:rPr>
        <w:t xml:space="preserve"> </w:t>
      </w:r>
      <w:r w:rsidRPr="005675B2">
        <w:rPr>
          <w:rFonts w:hint="cs"/>
          <w:rtl/>
        </w:rPr>
        <w:t>في ذلك عند الكلام على مصدر التلقي</w:t>
      </w:r>
      <w:r w:rsidR="000636C2">
        <w:rPr>
          <w:rFonts w:hint="cs"/>
          <w:rtl/>
        </w:rPr>
        <w:t>،</w:t>
      </w:r>
      <w:r w:rsidRPr="005675B2">
        <w:rPr>
          <w:rFonts w:hint="cs"/>
          <w:rtl/>
        </w:rPr>
        <w:t xml:space="preserve"> وسبق شيء من ذلك</w:t>
      </w:r>
      <w:r w:rsidR="000636C2">
        <w:rPr>
          <w:rFonts w:hint="cs"/>
          <w:rtl/>
        </w:rPr>
        <w:t>،</w:t>
      </w:r>
      <w:r w:rsidRPr="005675B2">
        <w:rPr>
          <w:rFonts w:hint="cs"/>
          <w:rtl/>
        </w:rPr>
        <w:t xml:space="preserve"> وما نقل هنا يؤيد مذهب الأشاعرة وليس قول غير قولهم</w:t>
      </w:r>
      <w:r w:rsidR="000636C2">
        <w:rPr>
          <w:rFonts w:hint="cs"/>
          <w:rtl/>
        </w:rPr>
        <w:t>،</w:t>
      </w:r>
      <w:r w:rsidRPr="005675B2">
        <w:rPr>
          <w:rFonts w:hint="cs"/>
          <w:rtl/>
        </w:rPr>
        <w:t xml:space="preserve"> لكن الوهم أتاك من تصورك أن كلمة المتكلمين تخص الأشاعرة</w:t>
      </w:r>
      <w:r w:rsidR="000636C2">
        <w:rPr>
          <w:rFonts w:hint="cs"/>
          <w:rtl/>
        </w:rPr>
        <w:t xml:space="preserve"> </w:t>
      </w:r>
      <w:r w:rsidRPr="005675B2">
        <w:rPr>
          <w:rFonts w:hint="cs"/>
          <w:rtl/>
        </w:rPr>
        <w:t>إذا أوردها علماء الأشاعرة</w:t>
      </w:r>
      <w:r w:rsidR="000636C2">
        <w:rPr>
          <w:rFonts w:hint="cs"/>
          <w:rtl/>
        </w:rPr>
        <w:t>،</w:t>
      </w:r>
      <w:r w:rsidRPr="005675B2">
        <w:rPr>
          <w:rFonts w:hint="cs"/>
          <w:rtl/>
        </w:rPr>
        <w:t xml:space="preserve"> والحق أن مرادهم المعتزلة ونحوهم</w:t>
      </w:r>
      <w:r w:rsidR="000636C2">
        <w:rPr>
          <w:rFonts w:hint="cs"/>
          <w:rtl/>
        </w:rPr>
        <w:t>،</w:t>
      </w:r>
      <w:r w:rsidRPr="005675B2">
        <w:rPr>
          <w:rFonts w:hint="cs"/>
          <w:rtl/>
        </w:rPr>
        <w:t xml:space="preserve"> بل كان من ضمن ما نقله الموجان كلام صلاح الدين العلائي الأشعري حيث قال</w:t>
      </w:r>
      <w:r w:rsidR="000636C2">
        <w:rPr>
          <w:rFonts w:hint="cs"/>
          <w:rtl/>
        </w:rPr>
        <w:t>:</w:t>
      </w:r>
      <w:r w:rsidRPr="005675B2">
        <w:rPr>
          <w:rFonts w:hint="cs"/>
          <w:rtl/>
        </w:rPr>
        <w:t xml:space="preserve"> يمكن أن يفصل فيقال</w:t>
      </w:r>
      <w:r w:rsidR="000636C2">
        <w:rPr>
          <w:rFonts w:hint="cs"/>
          <w:rtl/>
        </w:rPr>
        <w:t>:</w:t>
      </w:r>
      <w:r w:rsidRPr="005675B2">
        <w:rPr>
          <w:rFonts w:hint="cs"/>
          <w:rtl/>
        </w:rPr>
        <w:t>من ليس له أهلية لفهم شيء من الأدلة أصلاً وحصل له اليقين التام بالمطلوب إما بنشأته على ذلك أو بنور يقذفه الله في قلبه فإنه يكتفى منه بذلك، ومن فيه أهلية لفهم الأدلة لم يكتف منه إلا بالإيمان عن دليل</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125ـ 126</w:t>
      </w:r>
      <w:r w:rsidRPr="005675B2">
        <w:rPr>
          <w:rFonts w:hint="cs"/>
          <w:rtl/>
        </w:rPr>
        <w:t>] فعجبي للشيخ الموجان غفر الله له كيف ينقل ثم لا يعتبر ولا يدقق</w:t>
      </w:r>
      <w:r w:rsidR="000636C2">
        <w:rPr>
          <w:rFonts w:hint="cs"/>
          <w:rtl/>
        </w:rPr>
        <w:t>،!</w:t>
      </w:r>
      <w:r w:rsidRPr="005675B2">
        <w:rPr>
          <w:rFonts w:hint="cs"/>
          <w:rtl/>
        </w:rPr>
        <w:t>فإن كلام الحافظ العلائي هو عين معتقد الأشعرية المعتمد</w:t>
      </w:r>
      <w:r w:rsidR="000636C2">
        <w:rPr>
          <w:rFonts w:hint="cs"/>
          <w:rtl/>
        </w:rPr>
        <w:t>،</w:t>
      </w:r>
      <w:r w:rsidRPr="005675B2">
        <w:rPr>
          <w:rFonts w:hint="cs"/>
          <w:rtl/>
        </w:rPr>
        <w:t xml:space="preserve"> وانظر إلى ما في الحاشية بعاليه في معنى الفطرة ومنه أقوال أصحاب الحديث لتعلم إلى أين بلغ بكم التعصب غفر الله لنا جميعاً</w:t>
      </w:r>
      <w:r w:rsidR="000636C2">
        <w:rPr>
          <w:rFonts w:hint="cs"/>
          <w:rtl/>
        </w:rPr>
        <w:t>،</w:t>
      </w:r>
    </w:p>
    <w:p w14:paraId="3BF59729" w14:textId="01382194"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وإن شئت المثال على عقيدة</w:t>
      </w:r>
      <w:r w:rsidRPr="005675B2">
        <w:rPr>
          <w:rFonts w:hint="cs"/>
        </w:rPr>
        <w:t xml:space="preserve"> </w:t>
      </w:r>
      <w:r w:rsidRPr="005675B2">
        <w:rPr>
          <w:rFonts w:hint="cs"/>
          <w:rtl/>
        </w:rPr>
        <w:t>العوام فاسأل الملايين من المسلمين شرقاً وغرباً هل فيهم من يعتقد أن الله لا داخل</w:t>
      </w:r>
      <w:r w:rsidRPr="005675B2">
        <w:rPr>
          <w:rFonts w:hint="cs"/>
        </w:rPr>
        <w:t xml:space="preserve"> </w:t>
      </w:r>
      <w:r w:rsidRPr="005675B2">
        <w:rPr>
          <w:rFonts w:hint="cs"/>
          <w:rtl/>
        </w:rPr>
        <w:t>العالم ولا خارجه ولا فوقه ولا تحته كما تقول الأشاعرة</w:t>
      </w:r>
      <w:r w:rsidR="000636C2">
        <w:rPr>
          <w:rFonts w:hint="cs"/>
          <w:rtl/>
        </w:rPr>
        <w:t>)،</w:t>
      </w:r>
      <w:r w:rsidRPr="005675B2">
        <w:rPr>
          <w:rFonts w:hint="cs"/>
          <w:rtl/>
        </w:rPr>
        <w:t xml:space="preserve"> </w:t>
      </w:r>
    </w:p>
    <w:p w14:paraId="57B4E0C7" w14:textId="31EF9511"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وليس فيهم من يعتقد الجهة العدمية</w:t>
      </w:r>
      <w:r>
        <w:rPr>
          <w:rFonts w:hint="cs"/>
          <w:rtl/>
        </w:rPr>
        <w:t>،</w:t>
      </w:r>
      <w:r w:rsidR="009C32A0" w:rsidRPr="005675B2">
        <w:rPr>
          <w:rFonts w:hint="cs"/>
          <w:rtl/>
        </w:rPr>
        <w:t xml:space="preserve"> ولا القدم النوعي ولا نحوها من الطوام</w:t>
      </w:r>
      <w:r>
        <w:rPr>
          <w:rFonts w:hint="cs"/>
          <w:rtl/>
        </w:rPr>
        <w:t>،</w:t>
      </w:r>
      <w:r w:rsidR="009C32A0" w:rsidRPr="005675B2">
        <w:rPr>
          <w:rFonts w:hint="cs"/>
          <w:rtl/>
        </w:rPr>
        <w:t xml:space="preserve"> وقول الأشاعرة</w:t>
      </w:r>
      <w:r>
        <w:rPr>
          <w:rFonts w:hint="cs"/>
          <w:rtl/>
        </w:rPr>
        <w:t>:</w:t>
      </w:r>
      <w:r w:rsidR="009C32A0" w:rsidRPr="005675B2">
        <w:rPr>
          <w:rFonts w:hint="cs"/>
          <w:rtl/>
        </w:rPr>
        <w:t xml:space="preserve"> أن الله لاداخل المخلوقات ولا يوصف بأنه خارجها ولا شرقها ولا غربها</w:t>
      </w:r>
      <w:r>
        <w:rPr>
          <w:rFonts w:hint="cs"/>
          <w:rtl/>
        </w:rPr>
        <w:t xml:space="preserve"> </w:t>
      </w:r>
      <w:r w:rsidR="009C32A0" w:rsidRPr="005675B2">
        <w:rPr>
          <w:rFonts w:hint="cs"/>
          <w:rtl/>
        </w:rPr>
        <w:t>فمعناه أن الله لا يحل في مخلوق سواء اسميته عدمي أم مخلوق وجودي</w:t>
      </w:r>
      <w:r>
        <w:rPr>
          <w:rFonts w:hint="cs"/>
          <w:rtl/>
        </w:rPr>
        <w:t>،</w:t>
      </w:r>
      <w:r w:rsidR="009C32A0" w:rsidRPr="005675B2">
        <w:rPr>
          <w:rFonts w:hint="cs"/>
          <w:rtl/>
        </w:rPr>
        <w:t xml:space="preserve"> وليس هذا من رفع االنقيضين كما تتوهمون</w:t>
      </w:r>
      <w:r>
        <w:rPr>
          <w:rFonts w:hint="cs"/>
          <w:rtl/>
        </w:rPr>
        <w:t>،</w:t>
      </w:r>
      <w:r w:rsidR="009C32A0" w:rsidRPr="005675B2">
        <w:rPr>
          <w:rFonts w:hint="cs"/>
          <w:rtl/>
        </w:rPr>
        <w:t>بل هو من قبيل الملكة وعدمها</w:t>
      </w:r>
      <w:r>
        <w:rPr>
          <w:rFonts w:hint="cs"/>
          <w:rtl/>
        </w:rPr>
        <w:t>:</w:t>
      </w:r>
      <w:r w:rsidR="009C32A0" w:rsidRPr="005675B2">
        <w:rPr>
          <w:rFonts w:hint="cs"/>
          <w:rtl/>
        </w:rPr>
        <w:t xml:space="preserve"> أي أن الله</w:t>
      </w:r>
      <w:r>
        <w:rPr>
          <w:rFonts w:hint="cs"/>
          <w:rtl/>
        </w:rPr>
        <w:t xml:space="preserve"> </w:t>
      </w:r>
      <w:r w:rsidR="009C32A0" w:rsidRPr="005675B2">
        <w:rPr>
          <w:rFonts w:hint="cs"/>
          <w:rtl/>
        </w:rPr>
        <w:t>لا يصح وصفه بأنه في شرق ولا غرب ولا نحو ما ذكرت ولا يعني ذلك أنه غير موجود لأن الأشياء في الوجود على قسمين</w:t>
      </w:r>
      <w:r>
        <w:rPr>
          <w:rFonts w:hint="cs"/>
          <w:rtl/>
        </w:rPr>
        <w:t>:</w:t>
      </w:r>
    </w:p>
    <w:p w14:paraId="512006D0" w14:textId="79623C12" w:rsidR="009C32A0" w:rsidRPr="005675B2" w:rsidRDefault="009C32A0" w:rsidP="000636C2">
      <w:pPr>
        <w:rPr>
          <w:b/>
          <w:rtl/>
        </w:rPr>
      </w:pPr>
      <w:r w:rsidRPr="005675B2">
        <w:rPr>
          <w:rFonts w:hint="cs"/>
          <w:rtl/>
        </w:rPr>
        <w:t>القسم الأول</w:t>
      </w:r>
      <w:r w:rsidR="000636C2">
        <w:rPr>
          <w:rFonts w:hint="cs"/>
          <w:rtl/>
        </w:rPr>
        <w:t>:</w:t>
      </w:r>
      <w:r w:rsidRPr="005675B2">
        <w:rPr>
          <w:rFonts w:hint="cs"/>
          <w:rtl/>
        </w:rPr>
        <w:t xml:space="preserve"> وجود الخالق سبحانه وتعالى</w:t>
      </w:r>
      <w:r w:rsidR="000636C2">
        <w:rPr>
          <w:rFonts w:hint="cs"/>
          <w:rtl/>
        </w:rPr>
        <w:t>:</w:t>
      </w:r>
      <w:r w:rsidRPr="005675B2">
        <w:rPr>
          <w:rFonts w:hint="cs"/>
          <w:rtl/>
        </w:rPr>
        <w:t xml:space="preserve"> وهو وجود نؤمن به بما يليق بجلاله من غير حلول في مخلوقاته</w:t>
      </w:r>
      <w:r w:rsidR="000636C2">
        <w:rPr>
          <w:rFonts w:hint="cs"/>
          <w:rtl/>
        </w:rPr>
        <w:t>،</w:t>
      </w:r>
      <w:r w:rsidRPr="005675B2">
        <w:rPr>
          <w:rFonts w:hint="cs"/>
          <w:rtl/>
        </w:rPr>
        <w:t>ولا مزاحمة بين وجودها ووجوده</w:t>
      </w:r>
      <w:r w:rsidR="000636C2">
        <w:rPr>
          <w:rFonts w:hint="cs"/>
          <w:rtl/>
        </w:rPr>
        <w:t>،</w:t>
      </w:r>
      <w:r w:rsidRPr="005675B2">
        <w:rPr>
          <w:rFonts w:hint="cs"/>
          <w:rtl/>
        </w:rPr>
        <w:t>فلا تتخيل أنه في مكان ومخلوقاته في مكان آخر</w:t>
      </w:r>
      <w:r w:rsidR="000636C2">
        <w:rPr>
          <w:rFonts w:hint="cs"/>
          <w:rtl/>
        </w:rPr>
        <w:t>،</w:t>
      </w:r>
      <w:r w:rsidRPr="005675B2">
        <w:rPr>
          <w:rFonts w:hint="cs"/>
          <w:rtl/>
        </w:rPr>
        <w:t>لأن الله موجود قبل خلق المكان وقبل كل مخلوق</w:t>
      </w:r>
      <w:r w:rsidR="000636C2">
        <w:rPr>
          <w:rFonts w:hint="cs"/>
          <w:rtl/>
        </w:rPr>
        <w:t>،</w:t>
      </w:r>
      <w:r w:rsidRPr="005675B2">
        <w:rPr>
          <w:rFonts w:hint="cs"/>
          <w:rtl/>
        </w:rPr>
        <w:t xml:space="preserve"> فإن قلت كيف يكون هذا الوجود</w:t>
      </w:r>
      <w:r w:rsidR="000636C2">
        <w:rPr>
          <w:rFonts w:hint="cs"/>
          <w:rtl/>
        </w:rPr>
        <w:t>؟!</w:t>
      </w:r>
      <w:r w:rsidRPr="005675B2">
        <w:rPr>
          <w:rFonts w:hint="cs"/>
          <w:rtl/>
        </w:rPr>
        <w:t>!فأقول لك</w:t>
      </w:r>
      <w:r w:rsidR="000636C2">
        <w:rPr>
          <w:rFonts w:hint="cs"/>
          <w:rtl/>
        </w:rPr>
        <w:t xml:space="preserve">: </w:t>
      </w:r>
      <w:r w:rsidRPr="005675B2">
        <w:rPr>
          <w:rFonts w:hint="cs"/>
          <w:rtl/>
        </w:rPr>
        <w:t>بلا كيف وكيف عنه مرفوع إنما وجوده كسائر صفاته نؤمن به ولا ندخل فيه متوهمين بأرائنا</w:t>
      </w:r>
      <w:r w:rsidR="000636C2">
        <w:rPr>
          <w:rFonts w:hint="cs"/>
          <w:rtl/>
        </w:rPr>
        <w:t>،</w:t>
      </w:r>
    </w:p>
    <w:p w14:paraId="54B22F34" w14:textId="476299C8" w:rsidR="009C32A0" w:rsidRPr="005675B2" w:rsidRDefault="009C32A0" w:rsidP="000636C2">
      <w:pPr>
        <w:rPr>
          <w:b/>
          <w:rtl/>
        </w:rPr>
      </w:pPr>
      <w:r w:rsidRPr="005675B2">
        <w:rPr>
          <w:rFonts w:hint="cs"/>
          <w:rtl/>
        </w:rPr>
        <w:t>القسم الثاني</w:t>
      </w:r>
      <w:r w:rsidR="000636C2">
        <w:rPr>
          <w:rFonts w:hint="cs"/>
          <w:rtl/>
        </w:rPr>
        <w:t>:</w:t>
      </w:r>
      <w:r w:rsidRPr="005675B2">
        <w:rPr>
          <w:rFonts w:hint="cs"/>
          <w:rtl/>
        </w:rPr>
        <w:t xml:space="preserve"> وجود المخلوقات</w:t>
      </w:r>
      <w:r w:rsidR="000636C2">
        <w:rPr>
          <w:rFonts w:hint="cs"/>
          <w:rtl/>
        </w:rPr>
        <w:t>:</w:t>
      </w:r>
      <w:r w:rsidRPr="005675B2">
        <w:rPr>
          <w:rFonts w:hint="cs"/>
          <w:rtl/>
        </w:rPr>
        <w:t xml:space="preserve"> وهو وجود على مايليق بها من نقص</w:t>
      </w:r>
      <w:r w:rsidR="000636C2">
        <w:rPr>
          <w:rFonts w:hint="cs"/>
          <w:rtl/>
        </w:rPr>
        <w:t>،</w:t>
      </w:r>
      <w:r w:rsidRPr="005675B2">
        <w:rPr>
          <w:rFonts w:hint="cs"/>
          <w:rtl/>
        </w:rPr>
        <w:t>وقصور</w:t>
      </w:r>
      <w:r w:rsidR="000636C2">
        <w:rPr>
          <w:rFonts w:hint="cs"/>
          <w:rtl/>
        </w:rPr>
        <w:t>،</w:t>
      </w:r>
      <w:r w:rsidRPr="005675B2">
        <w:rPr>
          <w:rFonts w:hint="cs"/>
          <w:rtl/>
        </w:rPr>
        <w:t>وافتقار إلى بعضها</w:t>
      </w:r>
      <w:r w:rsidR="000636C2">
        <w:rPr>
          <w:rFonts w:hint="cs"/>
          <w:rtl/>
        </w:rPr>
        <w:t>،</w:t>
      </w:r>
      <w:r w:rsidRPr="005675B2">
        <w:rPr>
          <w:rFonts w:hint="cs"/>
          <w:rtl/>
        </w:rPr>
        <w:t>وافتقار جميعها إلى موجدها عز وجل</w:t>
      </w:r>
      <w:r w:rsidR="000636C2">
        <w:rPr>
          <w:rFonts w:hint="cs"/>
          <w:rtl/>
        </w:rPr>
        <w:t>،</w:t>
      </w:r>
      <w:r w:rsidRPr="005675B2">
        <w:rPr>
          <w:rFonts w:hint="cs"/>
          <w:rtl/>
        </w:rPr>
        <w:t xml:space="preserve"> مثال على الملكة وعدمها</w:t>
      </w:r>
      <w:r w:rsidR="000636C2">
        <w:rPr>
          <w:rFonts w:hint="cs"/>
          <w:rtl/>
        </w:rPr>
        <w:t>:</w:t>
      </w:r>
      <w:r w:rsidRPr="005675B2">
        <w:rPr>
          <w:rFonts w:hint="cs"/>
          <w:rtl/>
        </w:rPr>
        <w:t xml:space="preserve"> نحن نؤمن بأن الله يستحيل أن يوصف بأنه متزوج سبحانه وتعالى عن ذلك ولا يعني أيضاً أن العكس هو الحاصل أي كونه أعزباً فلا يوصف بالعزوبة ولا بالزواج</w:t>
      </w:r>
      <w:r w:rsidR="000636C2">
        <w:rPr>
          <w:rFonts w:hint="cs"/>
          <w:rtl/>
        </w:rPr>
        <w:t>،</w:t>
      </w:r>
      <w:r w:rsidRPr="005675B2">
        <w:rPr>
          <w:rFonts w:hint="cs"/>
          <w:rtl/>
        </w:rPr>
        <w:t>وليس في هذا بعد ولا غرابة بل هو الحق قطعاً لأن ذلك أصلاً لا يجوز أن يوصف به</w:t>
      </w:r>
      <w:r w:rsidR="000636C2">
        <w:rPr>
          <w:rFonts w:hint="cs"/>
          <w:rtl/>
        </w:rPr>
        <w:t xml:space="preserve">، </w:t>
      </w:r>
      <w:r w:rsidRPr="005675B2">
        <w:rPr>
          <w:rFonts w:hint="cs"/>
          <w:rtl/>
        </w:rPr>
        <w:t>وكذا قل في وجوده</w:t>
      </w:r>
      <w:r w:rsidR="000636C2">
        <w:rPr>
          <w:rFonts w:hint="cs"/>
          <w:rtl/>
        </w:rPr>
        <w:t>،</w:t>
      </w:r>
      <w:r w:rsidRPr="005675B2">
        <w:rPr>
          <w:rFonts w:hint="cs"/>
          <w:rtl/>
        </w:rPr>
        <w:t>فنحن نؤمن به من غير حلول في مخلوقاته سواء كان حلول في مخلوق اسمه الجهة أو غيرها من المخلوقات</w:t>
      </w:r>
      <w:r w:rsidR="000636C2">
        <w:rPr>
          <w:rFonts w:hint="cs"/>
          <w:rtl/>
        </w:rPr>
        <w:t>،</w:t>
      </w:r>
      <w:r w:rsidRPr="005675B2">
        <w:rPr>
          <w:rFonts w:hint="cs"/>
          <w:rtl/>
        </w:rPr>
        <w:t xml:space="preserve"> وأما وهم الفضاء الذي فوق العرش وكونه فضاء غير مخلوق، فهذا مكابرة</w:t>
      </w:r>
      <w:r w:rsidR="000636C2">
        <w:rPr>
          <w:rFonts w:hint="cs"/>
          <w:rtl/>
        </w:rPr>
        <w:t xml:space="preserve"> </w:t>
      </w:r>
      <w:r w:rsidRPr="005675B2">
        <w:rPr>
          <w:rFonts w:hint="cs"/>
          <w:rtl/>
        </w:rPr>
        <w:t>للحقائق</w:t>
      </w:r>
      <w:r w:rsidR="000636C2">
        <w:rPr>
          <w:rFonts w:hint="cs"/>
          <w:rtl/>
        </w:rPr>
        <w:t>،</w:t>
      </w:r>
      <w:r w:rsidRPr="005675B2">
        <w:rPr>
          <w:rFonts w:hint="cs"/>
          <w:rtl/>
        </w:rPr>
        <w:t>لأن العدم يعني لا شيء</w:t>
      </w:r>
      <w:r w:rsidR="000636C2">
        <w:rPr>
          <w:rFonts w:hint="cs"/>
          <w:rtl/>
        </w:rPr>
        <w:t>،</w:t>
      </w:r>
      <w:r w:rsidRPr="005675B2">
        <w:rPr>
          <w:rFonts w:hint="cs"/>
          <w:rtl/>
        </w:rPr>
        <w:t xml:space="preserve"> فقولكم</w:t>
      </w:r>
      <w:r w:rsidR="000636C2">
        <w:rPr>
          <w:rFonts w:hint="cs"/>
          <w:rtl/>
        </w:rPr>
        <w:t>:</w:t>
      </w:r>
      <w:r w:rsidRPr="005675B2">
        <w:rPr>
          <w:rFonts w:hint="cs"/>
          <w:rtl/>
        </w:rPr>
        <w:t xml:space="preserve"> أن الله حل في الفضاء أو الجهة العدمية بدعة أتت</w:t>
      </w:r>
      <w:r w:rsidR="000636C2">
        <w:rPr>
          <w:rFonts w:hint="cs"/>
          <w:rtl/>
        </w:rPr>
        <w:t xml:space="preserve"> </w:t>
      </w:r>
      <w:r w:rsidRPr="005675B2">
        <w:rPr>
          <w:rFonts w:hint="cs"/>
          <w:rtl/>
        </w:rPr>
        <w:t>من الكرامية</w:t>
      </w:r>
      <w:r w:rsidR="000636C2">
        <w:rPr>
          <w:rFonts w:hint="cs"/>
          <w:rtl/>
        </w:rPr>
        <w:t xml:space="preserve"> </w:t>
      </w:r>
      <w:r w:rsidRPr="005675B2">
        <w:rPr>
          <w:rFonts w:hint="cs"/>
          <w:rtl/>
        </w:rPr>
        <w:t>والفلاسفة فواليتم وعاديتم عليها</w:t>
      </w:r>
      <w:r w:rsidR="000636C2">
        <w:rPr>
          <w:rFonts w:hint="cs"/>
          <w:rtl/>
        </w:rPr>
        <w:t>،</w:t>
      </w:r>
      <w:r w:rsidRPr="005675B2">
        <w:rPr>
          <w:rFonts w:hint="cs"/>
          <w:rtl/>
        </w:rPr>
        <w:t xml:space="preserve"> وليس في الكون إلا الخالق وهو الله وحده بأسماءه وصفاته</w:t>
      </w:r>
      <w:r w:rsidR="000636C2">
        <w:rPr>
          <w:rFonts w:hint="cs"/>
          <w:rtl/>
        </w:rPr>
        <w:t>،</w:t>
      </w:r>
      <w:r w:rsidRPr="005675B2">
        <w:rPr>
          <w:rFonts w:hint="cs"/>
          <w:rtl/>
        </w:rPr>
        <w:t xml:space="preserve"> وكل ماسواه مخلوق</w:t>
      </w:r>
      <w:r w:rsidR="000636C2">
        <w:rPr>
          <w:rFonts w:hint="cs"/>
          <w:rtl/>
        </w:rPr>
        <w:t>،</w:t>
      </w:r>
      <w:r w:rsidRPr="005675B2">
        <w:rPr>
          <w:rFonts w:hint="cs"/>
          <w:rtl/>
        </w:rPr>
        <w:t xml:space="preserve"> فمن أين أتيتم بفضاء غير مخلوق</w:t>
      </w:r>
      <w:r w:rsidR="000636C2">
        <w:rPr>
          <w:rFonts w:hint="cs"/>
          <w:rtl/>
        </w:rPr>
        <w:t>؟!</w:t>
      </w:r>
      <w:r w:rsidRPr="005675B2">
        <w:rPr>
          <w:rFonts w:hint="cs"/>
          <w:rtl/>
        </w:rPr>
        <w:t>! فالواجب أن نثبت لله صفة العلو وهي علو معنوي معناه علو ذاته وصفاته قدراًوسلطة كما أخبر سبحانه لا كما تتخيل يا أخي من حلوله في جهة عدمية</w:t>
      </w:r>
      <w:r w:rsidR="000636C2">
        <w:rPr>
          <w:rFonts w:hint="cs"/>
          <w:rtl/>
        </w:rPr>
        <w:t>،!</w:t>
      </w:r>
      <w:r w:rsidRPr="005675B2">
        <w:rPr>
          <w:rFonts w:hint="cs"/>
          <w:rtl/>
        </w:rPr>
        <w:t>!</w:t>
      </w:r>
      <w:r w:rsidR="000636C2">
        <w:rPr>
          <w:rFonts w:hint="cs"/>
          <w:rtl/>
        </w:rPr>
        <w:t>!</w:t>
      </w:r>
      <w:r w:rsidRPr="005675B2">
        <w:rPr>
          <w:rFonts w:hint="cs"/>
          <w:rtl/>
        </w:rPr>
        <w:t>! الاستدلال بفهم العوام</w:t>
      </w:r>
      <w:r w:rsidRPr="005675B2">
        <w:rPr>
          <w:rFonts w:hint="cs"/>
          <w:vanish/>
          <w:rtl/>
        </w:rPr>
        <w:t>خبر سبحانه وليس أأأااا</w:t>
      </w:r>
    </w:p>
    <w:p w14:paraId="52C9CF55" w14:textId="282557D5"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أم أنهم كلهم مفطورون على</w:t>
      </w:r>
      <w:r w:rsidRPr="005675B2">
        <w:rPr>
          <w:rFonts w:hint="cs"/>
        </w:rPr>
        <w:t xml:space="preserve"> </w:t>
      </w:r>
      <w:r w:rsidRPr="005675B2">
        <w:rPr>
          <w:rFonts w:hint="cs"/>
          <w:rtl/>
        </w:rPr>
        <w:t>أنه تعالى فوق المخلوقات</w:t>
      </w:r>
      <w:r w:rsidR="000636C2">
        <w:rPr>
          <w:rFonts w:hint="cs"/>
          <w:rtl/>
        </w:rPr>
        <w:t>،</w:t>
      </w:r>
      <w:r w:rsidRPr="005675B2">
        <w:rPr>
          <w:rFonts w:hint="cs"/>
          <w:rtl/>
        </w:rPr>
        <w:t xml:space="preserve"> وهذه الفطرة تظل ثابتة في قلوبهم حتى وإن وجدوا من</w:t>
      </w:r>
      <w:r w:rsidRPr="005675B2">
        <w:rPr>
          <w:rFonts w:hint="cs"/>
        </w:rPr>
        <w:t xml:space="preserve"> </w:t>
      </w:r>
      <w:r w:rsidRPr="005675B2">
        <w:rPr>
          <w:rFonts w:hint="cs"/>
          <w:rtl/>
        </w:rPr>
        <w:t>يلقنهم في أذهانهم تلك المقولة الموروثة عن فلاسفة اليونان</w:t>
      </w:r>
      <w:r w:rsidR="000636C2">
        <w:rPr>
          <w:rFonts w:hint="cs"/>
          <w:rtl/>
        </w:rPr>
        <w:t>،</w:t>
      </w:r>
    </w:p>
    <w:p w14:paraId="2323C9DF" w14:textId="5246114F"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بأجوبة ثلاث</w:t>
      </w:r>
      <w:r>
        <w:rPr>
          <w:rFonts w:hint="cs"/>
          <w:rtl/>
        </w:rPr>
        <w:t>:</w:t>
      </w:r>
      <w:r w:rsidR="009C32A0" w:rsidRPr="005675B2">
        <w:rPr>
          <w:rFonts w:hint="cs"/>
          <w:rtl/>
        </w:rPr>
        <w:t xml:space="preserve"> </w:t>
      </w:r>
    </w:p>
    <w:p w14:paraId="2F042942" w14:textId="7A927C55" w:rsidR="009C32A0" w:rsidRPr="005675B2" w:rsidRDefault="009C32A0" w:rsidP="000636C2">
      <w:pPr>
        <w:rPr>
          <w:b/>
          <w:rtl/>
        </w:rPr>
      </w:pPr>
      <w:r w:rsidRPr="005675B2">
        <w:rPr>
          <w:rFonts w:hint="cs"/>
          <w:rtl/>
        </w:rPr>
        <w:t>الأول</w:t>
      </w:r>
      <w:r w:rsidR="000636C2">
        <w:rPr>
          <w:rFonts w:hint="cs"/>
          <w:rtl/>
        </w:rPr>
        <w:t>:</w:t>
      </w:r>
      <w:r w:rsidRPr="005675B2">
        <w:rPr>
          <w:rFonts w:hint="cs"/>
          <w:rtl/>
        </w:rPr>
        <w:t xml:space="preserve"> أن كلامك صحيح في كون الله فوق مخلوقاته</w:t>
      </w:r>
      <w:r w:rsidR="000636C2">
        <w:rPr>
          <w:rFonts w:hint="cs"/>
          <w:rtl/>
        </w:rPr>
        <w:t>،</w:t>
      </w:r>
      <w:r w:rsidRPr="005675B2">
        <w:rPr>
          <w:rFonts w:hint="cs"/>
          <w:rtl/>
        </w:rPr>
        <w:t>لكنها عند أهل السنة من الأشاعرة وغيرهم فوقية معنوية هي فوقية القدر والقهر والسلطة</w:t>
      </w:r>
      <w:r w:rsidR="000636C2">
        <w:rPr>
          <w:rFonts w:hint="cs"/>
          <w:rtl/>
        </w:rPr>
        <w:t>،</w:t>
      </w:r>
      <w:r w:rsidRPr="005675B2">
        <w:rPr>
          <w:rFonts w:hint="cs"/>
          <w:rtl/>
        </w:rPr>
        <w:t xml:space="preserve"> وعندكم زيادة كونها حسية مكانية وهذا هو نوع من الحلول</w:t>
      </w:r>
      <w:r w:rsidR="000636C2">
        <w:rPr>
          <w:rFonts w:hint="cs"/>
          <w:rtl/>
        </w:rPr>
        <w:t>،</w:t>
      </w:r>
      <w:r w:rsidRPr="005675B2">
        <w:rPr>
          <w:rFonts w:hint="cs"/>
          <w:rtl/>
        </w:rPr>
        <w:t>وهو اعتقاد بدعي يـنـكره</w:t>
      </w:r>
      <w:r w:rsidR="000636C2">
        <w:rPr>
          <w:rFonts w:hint="cs"/>
          <w:rtl/>
        </w:rPr>
        <w:t xml:space="preserve"> </w:t>
      </w:r>
      <w:r w:rsidRPr="005675B2">
        <w:rPr>
          <w:rFonts w:hint="cs"/>
          <w:rtl/>
        </w:rPr>
        <w:t>عليكم أهل السنة سراً وجهاراً</w:t>
      </w:r>
      <w:r w:rsidR="000636C2">
        <w:rPr>
          <w:rFonts w:hint="cs"/>
          <w:rtl/>
        </w:rPr>
        <w:t>،</w:t>
      </w:r>
    </w:p>
    <w:p w14:paraId="4DAF9A20" w14:textId="3EE2A361" w:rsidR="009C32A0" w:rsidRPr="005675B2" w:rsidRDefault="009C32A0" w:rsidP="000636C2">
      <w:pPr>
        <w:rPr>
          <w:b/>
          <w:rtl/>
        </w:rPr>
      </w:pPr>
      <w:r w:rsidRPr="005675B2">
        <w:rPr>
          <w:rFonts w:hint="cs"/>
          <w:rtl/>
        </w:rPr>
        <w:t>الثاني</w:t>
      </w:r>
      <w:r w:rsidR="000636C2">
        <w:rPr>
          <w:rFonts w:hint="cs"/>
          <w:rtl/>
        </w:rPr>
        <w:t>:</w:t>
      </w:r>
      <w:r w:rsidRPr="005675B2">
        <w:rPr>
          <w:rFonts w:hint="cs"/>
          <w:rtl/>
        </w:rPr>
        <w:t>أن العلم الشرعي لايؤخذ عن العامة في أمور الآداب</w:t>
      </w:r>
      <w:r w:rsidR="000636C2">
        <w:rPr>
          <w:rFonts w:hint="cs"/>
          <w:rtl/>
        </w:rPr>
        <w:t xml:space="preserve"> </w:t>
      </w:r>
      <w:r w:rsidRPr="005675B2">
        <w:rPr>
          <w:rFonts w:hint="cs"/>
          <w:rtl/>
        </w:rPr>
        <w:t>ونحوها فضلاً عن علم العقيدة</w:t>
      </w:r>
      <w:r w:rsidR="000636C2">
        <w:rPr>
          <w:rFonts w:hint="cs"/>
          <w:rtl/>
        </w:rPr>
        <w:t>،</w:t>
      </w:r>
      <w:r w:rsidRPr="005675B2">
        <w:rPr>
          <w:rFonts w:hint="cs"/>
          <w:rtl/>
        </w:rPr>
        <w:t>فإذا كان مستندك في إثبات فلسفة الجهة العدمية</w:t>
      </w:r>
      <w:r w:rsidR="000636C2">
        <w:rPr>
          <w:rFonts w:hint="cs"/>
          <w:rtl/>
        </w:rPr>
        <w:t xml:space="preserve"> </w:t>
      </w:r>
      <w:r w:rsidRPr="005675B2">
        <w:rPr>
          <w:rFonts w:hint="cs"/>
          <w:rtl/>
        </w:rPr>
        <w:t>هوكلام العامة فهذا باطل يا أخي الكريم</w:t>
      </w:r>
      <w:r w:rsidR="000636C2">
        <w:rPr>
          <w:rFonts w:hint="cs"/>
          <w:rtl/>
        </w:rPr>
        <w:t>،</w:t>
      </w:r>
    </w:p>
    <w:p w14:paraId="64B88C99" w14:textId="2EA08C34" w:rsidR="009C32A0" w:rsidRPr="005675B2" w:rsidRDefault="009C32A0" w:rsidP="000636C2">
      <w:pPr>
        <w:rPr>
          <w:b/>
          <w:rtl/>
        </w:rPr>
      </w:pPr>
      <w:r w:rsidRPr="005675B2">
        <w:rPr>
          <w:rFonts w:hint="cs"/>
          <w:rtl/>
        </w:rPr>
        <w:t>الثالث</w:t>
      </w:r>
      <w:r w:rsidR="000636C2">
        <w:rPr>
          <w:rFonts w:hint="cs"/>
          <w:rtl/>
        </w:rPr>
        <w:t>:</w:t>
      </w:r>
      <w:r w:rsidRPr="005675B2">
        <w:rPr>
          <w:rFonts w:hint="cs"/>
          <w:rtl/>
        </w:rPr>
        <w:t xml:space="preserve"> أن العامة تبع لعلمائهم وخطبائهم</w:t>
      </w:r>
      <w:r w:rsidR="000636C2">
        <w:rPr>
          <w:rFonts w:hint="cs"/>
          <w:rtl/>
        </w:rPr>
        <w:t>،</w:t>
      </w:r>
      <w:r w:rsidRPr="005675B2">
        <w:rPr>
          <w:rFonts w:hint="cs"/>
          <w:rtl/>
        </w:rPr>
        <w:t>فإن لقنوهم البدعة تلقنوا</w:t>
      </w:r>
      <w:r w:rsidR="000636C2">
        <w:rPr>
          <w:rFonts w:hint="cs"/>
          <w:rtl/>
        </w:rPr>
        <w:t>،</w:t>
      </w:r>
      <w:r w:rsidRPr="005675B2">
        <w:rPr>
          <w:rFonts w:hint="cs"/>
          <w:rtl/>
        </w:rPr>
        <w:t xml:space="preserve"> وأجزم جزماً يا أخي الكريم أن العامة لايدرون أن في الكون</w:t>
      </w:r>
      <w:r w:rsidR="000636C2">
        <w:rPr>
          <w:rFonts w:hint="cs"/>
          <w:rtl/>
        </w:rPr>
        <w:t xml:space="preserve"> </w:t>
      </w:r>
      <w:r w:rsidRPr="005675B2">
        <w:rPr>
          <w:rFonts w:hint="cs"/>
          <w:rtl/>
        </w:rPr>
        <w:t>أناس يهرفون بوجود الله في مكان معدوم</w:t>
      </w:r>
      <w:r w:rsidR="000636C2">
        <w:rPr>
          <w:rFonts w:hint="cs"/>
          <w:rtl/>
        </w:rPr>
        <w:t xml:space="preserve">، </w:t>
      </w:r>
      <w:r w:rsidRPr="005675B2">
        <w:rPr>
          <w:rFonts w:hint="cs"/>
          <w:rtl/>
        </w:rPr>
        <w:t>والخلاء العدمي هو أمر قرره الفلاسفة فشغف به أتباعهم في المعنى وإن شنعوا على التسمية</w:t>
      </w:r>
      <w:r w:rsidR="000636C2">
        <w:rPr>
          <w:rFonts w:hint="cs"/>
          <w:rtl/>
        </w:rPr>
        <w:t>،</w:t>
      </w:r>
    </w:p>
    <w:p w14:paraId="16F6B4A8" w14:textId="72E02E9A" w:rsidR="009C32A0" w:rsidRPr="005675B2" w:rsidRDefault="009C32A0" w:rsidP="000636C2">
      <w:pPr>
        <w:rPr>
          <w:b/>
          <w:u w:val="single"/>
          <w:rtl/>
        </w:rPr>
      </w:pPr>
      <w:r w:rsidRPr="005675B2">
        <w:rPr>
          <w:rFonts w:hint="cs"/>
          <w:bCs/>
          <w:rtl/>
        </w:rPr>
        <w:t>عقيدة الجهة</w:t>
      </w:r>
      <w:r w:rsidR="000636C2">
        <w:rPr>
          <w:rFonts w:hint="cs"/>
          <w:rtl/>
        </w:rPr>
        <w:t>:</w:t>
      </w:r>
      <w:r w:rsidRPr="005675B2">
        <w:rPr>
          <w:rFonts w:hint="cs"/>
          <w:rtl/>
        </w:rPr>
        <w:t xml:space="preserve"> يقول الأخ الحوالي في شرحه للطحاوية</w:t>
      </w:r>
      <w:r w:rsidR="000636C2">
        <w:rPr>
          <w:rFonts w:hint="cs"/>
          <w:rtl/>
        </w:rPr>
        <w:t>:</w:t>
      </w:r>
      <w:r w:rsidRPr="005675B2">
        <w:rPr>
          <w:rFonts w:hint="cs"/>
          <w:bCs/>
          <w:rtl/>
        </w:rPr>
        <w:t xml:space="preserve"> </w:t>
      </w:r>
      <w:r w:rsidRPr="005675B2">
        <w:rPr>
          <w:rStyle w:val="fouaid1"/>
          <w:rFonts w:hint="cs"/>
          <w:bCs/>
          <w:rtl/>
        </w:rPr>
        <w:t>(</w:t>
      </w:r>
      <w:r w:rsidR="000636C2">
        <w:rPr>
          <w:rStyle w:val="fouaid1"/>
          <w:rFonts w:hint="cs"/>
          <w:bCs/>
          <w:rtl/>
        </w:rPr>
        <w:t>(</w:t>
      </w:r>
      <w:r w:rsidRPr="005675B2">
        <w:rPr>
          <w:rStyle w:val="fouaid1"/>
          <w:rFonts w:hint="cs"/>
          <w:bCs/>
          <w:rtl/>
        </w:rPr>
        <w:t>والمقصود</w:t>
      </w:r>
      <w:r w:rsidRPr="005675B2">
        <w:rPr>
          <w:rStyle w:val="fouaid1"/>
          <w:rFonts w:hint="cs"/>
          <w:bCs/>
        </w:rPr>
        <w:t xml:space="preserve"> </w:t>
      </w:r>
      <w:r w:rsidRPr="005675B2">
        <w:rPr>
          <w:rStyle w:val="fouaid1"/>
          <w:rFonts w:hint="cs"/>
          <w:bCs/>
          <w:rtl/>
        </w:rPr>
        <w:t>أنه</w:t>
      </w:r>
      <w:r w:rsidRPr="005675B2">
        <w:rPr>
          <w:rStyle w:val="fouaid1"/>
          <w:rFonts w:hint="cs"/>
          <w:bCs/>
        </w:rPr>
        <w:t xml:space="preserve"> </w:t>
      </w:r>
      <w:r w:rsidRPr="005675B2">
        <w:rPr>
          <w:rStyle w:val="fouaid1"/>
          <w:rFonts w:hint="cs"/>
          <w:bCs/>
          <w:rtl/>
        </w:rPr>
        <w:t>إذا أريد بالجهة أمر وجودي، أو جهة من الجهات الموجودة، ونحن لا نثبتها لك ولا</w:t>
      </w:r>
      <w:r w:rsidRPr="005675B2">
        <w:rPr>
          <w:rStyle w:val="fouaid1"/>
          <w:rFonts w:hint="cs"/>
          <w:bCs/>
        </w:rPr>
        <w:t xml:space="preserve"> </w:t>
      </w:r>
      <w:r w:rsidRPr="005675B2">
        <w:rPr>
          <w:rStyle w:val="fouaid1"/>
          <w:rFonts w:hint="cs"/>
          <w:bCs/>
          <w:rtl/>
        </w:rPr>
        <w:t>يصح</w:t>
      </w:r>
      <w:r w:rsidRPr="005675B2">
        <w:rPr>
          <w:rStyle w:val="fouaid1"/>
          <w:rFonts w:hint="cs"/>
          <w:bCs/>
        </w:rPr>
        <w:t xml:space="preserve"> </w:t>
      </w:r>
      <w:r w:rsidRPr="005675B2">
        <w:rPr>
          <w:rStyle w:val="fouaid1"/>
          <w:rFonts w:hint="cs"/>
          <w:bCs/>
          <w:rtl/>
        </w:rPr>
        <w:t>ذلك، فإن الله</w:t>
      </w:r>
      <w:r w:rsidR="000636C2">
        <w:rPr>
          <w:rStyle w:val="fouaid1"/>
          <w:rFonts w:hint="cs"/>
          <w:bCs/>
          <w:rtl/>
        </w:rPr>
        <w:t xml:space="preserve"> </w:t>
      </w:r>
      <w:r w:rsidRPr="005675B2">
        <w:rPr>
          <w:rStyle w:val="fouaid1"/>
          <w:rFonts w:hint="cs"/>
          <w:bCs/>
          <w:rtl/>
        </w:rPr>
        <w:t>- سُبْحَانَهُ وَتَعَالَى - أعظم من كل هذه الموجودات، ونحن لا</w:t>
      </w:r>
      <w:r w:rsidRPr="005675B2">
        <w:rPr>
          <w:rStyle w:val="fouaid1"/>
          <w:rFonts w:hint="cs"/>
          <w:bCs/>
        </w:rPr>
        <w:t xml:space="preserve"> </w:t>
      </w:r>
      <w:r w:rsidRPr="005675B2">
        <w:rPr>
          <w:rStyle w:val="fouaid1"/>
          <w:rFonts w:hint="cs"/>
          <w:bCs/>
          <w:rtl/>
        </w:rPr>
        <w:t>نثبتها</w:t>
      </w:r>
      <w:r w:rsidRPr="005675B2">
        <w:rPr>
          <w:rStyle w:val="fouaid1"/>
          <w:rFonts w:hint="cs"/>
          <w:bCs/>
        </w:rPr>
        <w:t xml:space="preserve"> </w:t>
      </w:r>
      <w:r w:rsidRPr="005675B2">
        <w:rPr>
          <w:rStyle w:val="fouaid1"/>
          <w:rFonts w:hint="cs"/>
          <w:bCs/>
          <w:rtl/>
        </w:rPr>
        <w:t xml:space="preserve">له ولا يصح ذلك، </w:t>
      </w:r>
      <w:r w:rsidRPr="005675B2">
        <w:rPr>
          <w:rStyle w:val="fouaid1"/>
          <w:rFonts w:hint="cs"/>
          <w:bCs/>
          <w:u w:val="single"/>
          <w:rtl/>
        </w:rPr>
        <w:t>وإن أُريدَ بالجهة أمر عدمي، وهو ما فوق العالم، فليس هناك</w:t>
      </w:r>
      <w:r w:rsidRPr="005675B2">
        <w:rPr>
          <w:rStyle w:val="fouaid1"/>
          <w:rFonts w:hint="cs"/>
          <w:bCs/>
          <w:u w:val="single"/>
        </w:rPr>
        <w:t xml:space="preserve"> </w:t>
      </w:r>
      <w:r w:rsidRPr="005675B2">
        <w:rPr>
          <w:rStyle w:val="fouaid1"/>
          <w:rFonts w:hint="cs"/>
          <w:bCs/>
          <w:u w:val="single"/>
          <w:rtl/>
        </w:rPr>
        <w:t>إلا</w:t>
      </w:r>
      <w:r w:rsidRPr="005675B2">
        <w:rPr>
          <w:rStyle w:val="fouaid1"/>
          <w:rFonts w:hint="cs"/>
          <w:bCs/>
          <w:u w:val="single"/>
        </w:rPr>
        <w:t xml:space="preserve"> </w:t>
      </w:r>
      <w:r w:rsidRPr="005675B2">
        <w:rPr>
          <w:rStyle w:val="fouaid1"/>
          <w:rFonts w:hint="cs"/>
          <w:bCs/>
          <w:u w:val="single"/>
          <w:rtl/>
        </w:rPr>
        <w:t>الله وحده، فإذا قيل</w:t>
      </w:r>
      <w:r w:rsidR="000636C2">
        <w:rPr>
          <w:rStyle w:val="fouaid1"/>
          <w:rFonts w:hint="cs"/>
          <w:bCs/>
          <w:u w:val="single"/>
          <w:rtl/>
        </w:rPr>
        <w:t>:</w:t>
      </w:r>
      <w:r w:rsidRPr="005675B2">
        <w:rPr>
          <w:rStyle w:val="fouaid1"/>
          <w:rFonts w:hint="cs"/>
          <w:bCs/>
          <w:u w:val="single"/>
          <w:rtl/>
        </w:rPr>
        <w:t xml:space="preserve"> إنه في جهة بهذا الاعتبار فهو صحيح، ومعناه</w:t>
      </w:r>
      <w:r w:rsidR="000636C2">
        <w:rPr>
          <w:rStyle w:val="fouaid1"/>
          <w:rFonts w:hint="cs"/>
          <w:bCs/>
          <w:u w:val="single"/>
          <w:rtl/>
        </w:rPr>
        <w:t>:</w:t>
      </w:r>
      <w:r w:rsidRPr="005675B2">
        <w:rPr>
          <w:rStyle w:val="fouaid1"/>
          <w:rFonts w:hint="cs"/>
          <w:bCs/>
          <w:u w:val="single"/>
          <w:rtl/>
        </w:rPr>
        <w:t xml:space="preserve"> أنه فوق</w:t>
      </w:r>
      <w:r w:rsidRPr="005675B2">
        <w:rPr>
          <w:rStyle w:val="fouaid1"/>
          <w:rFonts w:hint="cs"/>
          <w:bCs/>
          <w:u w:val="single"/>
        </w:rPr>
        <w:t xml:space="preserve"> </w:t>
      </w:r>
      <w:r w:rsidRPr="005675B2">
        <w:rPr>
          <w:rStyle w:val="fouaid1"/>
          <w:rFonts w:hint="cs"/>
          <w:bCs/>
          <w:u w:val="single"/>
          <w:rtl/>
        </w:rPr>
        <w:t>العالم</w:t>
      </w:r>
      <w:r w:rsidRPr="005675B2">
        <w:rPr>
          <w:rStyle w:val="fouaid1"/>
          <w:rFonts w:hint="cs"/>
          <w:bCs/>
          <w:u w:val="single"/>
        </w:rPr>
        <w:t xml:space="preserve"> </w:t>
      </w:r>
      <w:r w:rsidRPr="005675B2">
        <w:rPr>
          <w:rStyle w:val="fouaid1"/>
          <w:rFonts w:hint="cs"/>
          <w:bCs/>
          <w:u w:val="single"/>
          <w:rtl/>
        </w:rPr>
        <w:t>حيث انتهت المخلوقات فهو فوق الجميع عالٍ عليهم</w:t>
      </w:r>
      <w:r w:rsidR="000636C2">
        <w:rPr>
          <w:rStyle w:val="fouaid1"/>
          <w:rFonts w:hint="cs"/>
          <w:bCs/>
          <w:u w:val="single"/>
          <w:rtl/>
        </w:rPr>
        <w:t>،</w:t>
      </w:r>
      <w:r w:rsidRPr="005675B2">
        <w:rPr>
          <w:rStyle w:val="fouaid1"/>
          <w:rFonts w:hint="cs"/>
          <w:bCs/>
          <w:u w:val="single"/>
          <w:rtl/>
        </w:rPr>
        <w:t xml:space="preserve"> </w:t>
      </w:r>
      <w:r w:rsidRPr="005675B2">
        <w:rPr>
          <w:rFonts w:hint="cs"/>
          <w:rtl/>
        </w:rPr>
        <w:t>فلم</w:t>
      </w:r>
      <w:r w:rsidRPr="005675B2">
        <w:rPr>
          <w:rFonts w:hint="cs"/>
        </w:rPr>
        <w:t xml:space="preserve"> </w:t>
      </w:r>
      <w:r w:rsidRPr="005675B2">
        <w:rPr>
          <w:rFonts w:hint="cs"/>
          <w:rtl/>
        </w:rPr>
        <w:t xml:space="preserve">نقصد بكلمة الجهة حيزاً معيناً، وإنما أردنا شيئاً اعتبارياً </w:t>
      </w:r>
      <w:r w:rsidRPr="005675B2">
        <w:rPr>
          <w:rFonts w:hint="cs"/>
          <w:u w:val="single"/>
          <w:rtl/>
        </w:rPr>
        <w:t>أي</w:t>
      </w:r>
      <w:r w:rsidR="000636C2">
        <w:rPr>
          <w:rFonts w:hint="cs"/>
          <w:u w:val="single"/>
          <w:rtl/>
        </w:rPr>
        <w:t>:</w:t>
      </w:r>
      <w:r w:rsidRPr="005675B2">
        <w:rPr>
          <w:rFonts w:hint="cs"/>
          <w:u w:val="single"/>
          <w:rtl/>
        </w:rPr>
        <w:t xml:space="preserve"> بالنسبة</w:t>
      </w:r>
      <w:r w:rsidRPr="005675B2">
        <w:rPr>
          <w:rFonts w:hint="cs"/>
          <w:u w:val="single"/>
        </w:rPr>
        <w:t xml:space="preserve"> </w:t>
      </w:r>
      <w:r w:rsidRPr="005675B2">
        <w:rPr>
          <w:rFonts w:hint="cs"/>
          <w:u w:val="single"/>
          <w:rtl/>
        </w:rPr>
        <w:t>للكون</w:t>
      </w:r>
      <w:r w:rsidRPr="005675B2">
        <w:rPr>
          <w:rFonts w:hint="cs"/>
          <w:u w:val="single"/>
        </w:rPr>
        <w:t xml:space="preserve"> </w:t>
      </w:r>
      <w:r w:rsidRPr="005675B2">
        <w:rPr>
          <w:rFonts w:hint="cs"/>
          <w:u w:val="single"/>
          <w:rtl/>
        </w:rPr>
        <w:t>فإنه توجد جهة ينتهي إليها فنقول ما فوق الكون، فلو قلنا</w:t>
      </w:r>
      <w:r w:rsidR="000636C2">
        <w:rPr>
          <w:rFonts w:hint="cs"/>
          <w:u w:val="single"/>
          <w:rtl/>
        </w:rPr>
        <w:t>:</w:t>
      </w:r>
      <w:r w:rsidRPr="005675B2">
        <w:rPr>
          <w:rFonts w:hint="cs"/>
          <w:u w:val="single"/>
          <w:rtl/>
        </w:rPr>
        <w:t xml:space="preserve"> الكرسي فوق</w:t>
      </w:r>
      <w:r w:rsidRPr="005675B2">
        <w:rPr>
          <w:rFonts w:hint="cs"/>
          <w:u w:val="single"/>
        </w:rPr>
        <w:t xml:space="preserve"> </w:t>
      </w:r>
      <w:r w:rsidRPr="005675B2">
        <w:rPr>
          <w:rFonts w:hint="cs"/>
          <w:u w:val="single"/>
          <w:rtl/>
        </w:rPr>
        <w:t>السماوات</w:t>
      </w:r>
      <w:r w:rsidRPr="005675B2">
        <w:rPr>
          <w:rFonts w:hint="cs"/>
          <w:u w:val="single"/>
        </w:rPr>
        <w:t xml:space="preserve"> </w:t>
      </w:r>
      <w:r w:rsidRPr="005675B2">
        <w:rPr>
          <w:rFonts w:hint="cs"/>
          <w:u w:val="single"/>
          <w:rtl/>
        </w:rPr>
        <w:t>السبع، وفوقه العرش والله</w:t>
      </w:r>
      <w:r w:rsidR="000636C2">
        <w:rPr>
          <w:rFonts w:hint="cs"/>
          <w:u w:val="single"/>
          <w:rtl/>
        </w:rPr>
        <w:t xml:space="preserve"> </w:t>
      </w:r>
      <w:r w:rsidRPr="005675B2">
        <w:rPr>
          <w:rFonts w:hint="cs"/>
          <w:u w:val="single"/>
          <w:rtl/>
        </w:rPr>
        <w:t>- سُبْحَانَهُ وَتَعَالَى - فوق العرش، إذاً الجهة</w:t>
      </w:r>
      <w:r w:rsidRPr="005675B2">
        <w:rPr>
          <w:rFonts w:hint="cs"/>
          <w:u w:val="single"/>
        </w:rPr>
        <w:t xml:space="preserve"> </w:t>
      </w:r>
      <w:r w:rsidRPr="005675B2">
        <w:rPr>
          <w:rFonts w:hint="cs"/>
          <w:u w:val="single"/>
          <w:rtl/>
        </w:rPr>
        <w:t>هنا</w:t>
      </w:r>
      <w:r w:rsidRPr="005675B2">
        <w:rPr>
          <w:rFonts w:hint="cs"/>
          <w:u w:val="single"/>
        </w:rPr>
        <w:t xml:space="preserve"> </w:t>
      </w:r>
      <w:r w:rsidRPr="005675B2">
        <w:rPr>
          <w:rFonts w:hint="cs"/>
          <w:u w:val="single"/>
          <w:rtl/>
        </w:rPr>
        <w:t>ليست شيئاً وجودياً وإنما شيئاً اعتبارياً، وقد قلنا</w:t>
      </w:r>
      <w:r w:rsidR="000636C2">
        <w:rPr>
          <w:rFonts w:hint="cs"/>
          <w:u w:val="single"/>
          <w:rtl/>
        </w:rPr>
        <w:t xml:space="preserve"> </w:t>
      </w:r>
      <w:r w:rsidRPr="005675B2">
        <w:rPr>
          <w:rFonts w:hint="cs"/>
          <w:u w:val="single"/>
          <w:rtl/>
        </w:rPr>
        <w:t>- ونعيد -</w:t>
      </w:r>
      <w:r w:rsidR="000636C2">
        <w:rPr>
          <w:rFonts w:hint="cs"/>
          <w:u w:val="single"/>
          <w:rtl/>
        </w:rPr>
        <w:t>:</w:t>
      </w:r>
      <w:r w:rsidRPr="005675B2">
        <w:rPr>
          <w:rFonts w:hint="cs"/>
          <w:u w:val="single"/>
          <w:rtl/>
        </w:rPr>
        <w:t xml:space="preserve"> إن الجهة يمكن أن</w:t>
      </w:r>
      <w:r w:rsidRPr="005675B2">
        <w:rPr>
          <w:rFonts w:hint="cs"/>
          <w:u w:val="single"/>
        </w:rPr>
        <w:t xml:space="preserve"> </w:t>
      </w:r>
      <w:r w:rsidRPr="005675B2">
        <w:rPr>
          <w:rFonts w:hint="cs"/>
          <w:u w:val="single"/>
          <w:rtl/>
        </w:rPr>
        <w:t>تكون</w:t>
      </w:r>
      <w:r w:rsidRPr="005675B2">
        <w:rPr>
          <w:rFonts w:hint="cs"/>
          <w:u w:val="single"/>
        </w:rPr>
        <w:t xml:space="preserve"> </w:t>
      </w:r>
      <w:r w:rsidRPr="005675B2">
        <w:rPr>
          <w:rFonts w:hint="cs"/>
          <w:u w:val="single"/>
          <w:rtl/>
        </w:rPr>
        <w:t>أشياء اعتبارية فقط، فنحن</w:t>
      </w:r>
      <w:r w:rsidR="000636C2">
        <w:rPr>
          <w:rFonts w:hint="cs"/>
          <w:u w:val="single"/>
          <w:rtl/>
        </w:rPr>
        <w:t xml:space="preserve"> </w:t>
      </w:r>
      <w:r w:rsidRPr="005675B2">
        <w:rPr>
          <w:rFonts w:hint="cs"/>
          <w:u w:val="single"/>
          <w:rtl/>
        </w:rPr>
        <w:t>- مثلاً - نقول للسقف</w:t>
      </w:r>
      <w:r w:rsidR="000636C2">
        <w:rPr>
          <w:rFonts w:hint="cs"/>
          <w:u w:val="single"/>
          <w:rtl/>
        </w:rPr>
        <w:t>:</w:t>
      </w:r>
      <w:r w:rsidRPr="005675B2">
        <w:rPr>
          <w:rFonts w:hint="cs"/>
          <w:u w:val="single"/>
          <w:rtl/>
        </w:rPr>
        <w:t xml:space="preserve"> إنه عالٍ علينا وما ذلك إلا</w:t>
      </w:r>
      <w:r w:rsidRPr="005675B2">
        <w:rPr>
          <w:rFonts w:hint="cs"/>
          <w:u w:val="single"/>
        </w:rPr>
        <w:t xml:space="preserve"> </w:t>
      </w:r>
      <w:r w:rsidRPr="005675B2">
        <w:rPr>
          <w:rFonts w:hint="cs"/>
          <w:u w:val="single"/>
          <w:rtl/>
        </w:rPr>
        <w:t>باعتبارنا</w:t>
      </w:r>
      <w:r w:rsidRPr="005675B2">
        <w:rPr>
          <w:rFonts w:hint="cs"/>
          <w:u w:val="single"/>
        </w:rPr>
        <w:t xml:space="preserve"> </w:t>
      </w:r>
      <w:r w:rsidRPr="005675B2">
        <w:rPr>
          <w:rFonts w:hint="cs"/>
          <w:u w:val="single"/>
          <w:rtl/>
        </w:rPr>
        <w:t>نَحْنُ لأننا تحته</w:t>
      </w:r>
      <w:r w:rsidR="000636C2">
        <w:rPr>
          <w:rFonts w:hint="cs"/>
          <w:u w:val="single"/>
          <w:rtl/>
        </w:rPr>
        <w:t xml:space="preserve">، </w:t>
      </w:r>
      <w:r w:rsidRPr="005675B2">
        <w:rPr>
          <w:rFonts w:hint="cs"/>
          <w:u w:val="single"/>
          <w:rtl/>
        </w:rPr>
        <w:t>ولو</w:t>
      </w:r>
      <w:r w:rsidRPr="005675B2">
        <w:rPr>
          <w:rFonts w:hint="cs"/>
          <w:u w:val="single"/>
        </w:rPr>
        <w:t xml:space="preserve"> </w:t>
      </w:r>
      <w:r w:rsidRPr="005675B2">
        <w:rPr>
          <w:rFonts w:hint="cs"/>
          <w:u w:val="single"/>
          <w:rtl/>
        </w:rPr>
        <w:t>أن هنالك بيتاً للنمل في سقف، والنمل يمشي فيه، فبالنسبة للنملة يكون العلو</w:t>
      </w:r>
      <w:r w:rsidRPr="005675B2">
        <w:rPr>
          <w:rFonts w:hint="cs"/>
          <w:u w:val="single"/>
        </w:rPr>
        <w:t xml:space="preserve"> </w:t>
      </w:r>
      <w:r w:rsidRPr="005675B2">
        <w:rPr>
          <w:rFonts w:hint="cs"/>
          <w:u w:val="single"/>
          <w:rtl/>
        </w:rPr>
        <w:t>ما</w:t>
      </w:r>
      <w:r w:rsidRPr="005675B2">
        <w:rPr>
          <w:rFonts w:hint="cs"/>
          <w:u w:val="single"/>
        </w:rPr>
        <w:t xml:space="preserve"> </w:t>
      </w:r>
      <w:r w:rsidRPr="005675B2">
        <w:rPr>
          <w:rFonts w:hint="cs"/>
          <w:u w:val="single"/>
          <w:rtl/>
        </w:rPr>
        <w:t>نَحْنُ عليه ونعده أسفل، فالقصد أن هذا شيئاً اعتبارياً</w:t>
      </w:r>
      <w:r w:rsidR="000636C2">
        <w:rPr>
          <w:rFonts w:hint="cs"/>
          <w:u w:val="single"/>
          <w:rtl/>
        </w:rPr>
        <w:t xml:space="preserve">، </w:t>
      </w:r>
      <w:r w:rsidRPr="005675B2">
        <w:rPr>
          <w:rFonts w:hint="cs"/>
          <w:rtl/>
        </w:rPr>
        <w:t>فباعتبار</w:t>
      </w:r>
      <w:r w:rsidRPr="005675B2">
        <w:rPr>
          <w:rFonts w:hint="cs"/>
        </w:rPr>
        <w:t xml:space="preserve"> </w:t>
      </w:r>
      <w:r w:rsidRPr="005675B2">
        <w:rPr>
          <w:rFonts w:hint="cs"/>
          <w:rtl/>
        </w:rPr>
        <w:t>الكون وأنه كله ضئيل وحقير بالنسبة لله سُبْحَانَهُ وَتَعَالَى، هل</w:t>
      </w:r>
      <w:r w:rsidRPr="005675B2">
        <w:rPr>
          <w:rFonts w:hint="cs"/>
        </w:rPr>
        <w:t xml:space="preserve"> </w:t>
      </w:r>
      <w:r w:rsidRPr="005675B2">
        <w:rPr>
          <w:rFonts w:hint="cs"/>
          <w:rtl/>
        </w:rPr>
        <w:t>هناك</w:t>
      </w:r>
      <w:r w:rsidRPr="005675B2">
        <w:rPr>
          <w:rFonts w:hint="cs"/>
        </w:rPr>
        <w:t xml:space="preserve"> </w:t>
      </w:r>
      <w:r w:rsidRPr="005675B2">
        <w:rPr>
          <w:rFonts w:hint="cs"/>
          <w:rtl/>
        </w:rPr>
        <w:t>جهة لله سُبْحَانَهُ وَتَعَالَى</w:t>
      </w:r>
      <w:r w:rsidR="000636C2">
        <w:rPr>
          <w:rFonts w:hint="cs"/>
          <w:rtl/>
        </w:rPr>
        <w:t>؟</w:t>
      </w:r>
      <w:r w:rsidRPr="005675B2">
        <w:rPr>
          <w:rFonts w:hint="cs"/>
          <w:rtl/>
        </w:rPr>
        <w:t xml:space="preserve"> نعم، جهة الفوقية، أي</w:t>
      </w:r>
      <w:r w:rsidR="000636C2">
        <w:rPr>
          <w:rFonts w:hint="cs"/>
          <w:rtl/>
        </w:rPr>
        <w:t>:</w:t>
      </w:r>
      <w:r w:rsidRPr="005675B2">
        <w:rPr>
          <w:rFonts w:hint="cs"/>
          <w:rtl/>
        </w:rPr>
        <w:t xml:space="preserve"> أن الله فوق هذا</w:t>
      </w:r>
      <w:r w:rsidRPr="005675B2">
        <w:rPr>
          <w:rFonts w:hint="cs"/>
        </w:rPr>
        <w:t xml:space="preserve"> </w:t>
      </w:r>
      <w:r w:rsidRPr="005675B2">
        <w:rPr>
          <w:rFonts w:hint="cs"/>
          <w:rtl/>
        </w:rPr>
        <w:t>الكون،</w:t>
      </w:r>
      <w:r w:rsidRPr="005675B2">
        <w:rPr>
          <w:rFonts w:hint="cs"/>
        </w:rPr>
        <w:t xml:space="preserve"> </w:t>
      </w:r>
      <w:r w:rsidRPr="005675B2">
        <w:rPr>
          <w:rFonts w:hint="cs"/>
          <w:rtl/>
        </w:rPr>
        <w:t>ولكن نفاة لفظ الجهة نفوا الاحتمال الصحيح ويريدون بذلك نفي العلو</w:t>
      </w:r>
      <w:r w:rsidR="000636C2">
        <w:rPr>
          <w:rFonts w:hint="cs"/>
          <w:rtl/>
        </w:rPr>
        <w:t>،)</w:t>
      </w:r>
      <w:r w:rsidRPr="005675B2">
        <w:rPr>
          <w:rFonts w:hint="cs"/>
          <w:rtl/>
        </w:rPr>
        <w:t>)أ نتهى كلام الكاتب</w:t>
      </w:r>
      <w:r w:rsidR="000636C2">
        <w:rPr>
          <w:rFonts w:hint="cs"/>
          <w:rtl/>
        </w:rPr>
        <w:t>،</w:t>
      </w:r>
      <w:r w:rsidRPr="005675B2">
        <w:rPr>
          <w:rFonts w:hint="cs"/>
          <w:rtl/>
        </w:rPr>
        <w:t xml:space="preserve"> </w:t>
      </w:r>
      <w:r w:rsidRPr="005675B2">
        <w:rPr>
          <w:rFonts w:hint="cs"/>
          <w:u w:val="single"/>
          <w:rtl/>
        </w:rPr>
        <w:t>انظر إلى التنافضات في كلام الكاتب</w:t>
      </w:r>
      <w:r w:rsidR="000636C2">
        <w:rPr>
          <w:rFonts w:hint="cs"/>
          <w:u w:val="single"/>
          <w:rtl/>
        </w:rPr>
        <w:t>:</w:t>
      </w:r>
      <w:r w:rsidRPr="005675B2">
        <w:rPr>
          <w:rFonts w:hint="cs"/>
          <w:u w:val="single"/>
          <w:rtl/>
        </w:rPr>
        <w:t xml:space="preserve"> </w:t>
      </w:r>
      <w:r w:rsidRPr="005675B2">
        <w:rPr>
          <w:rFonts w:hint="cs"/>
          <w:rtl/>
        </w:rPr>
        <w:t>1</w:t>
      </w:r>
      <w:r w:rsidR="000636C2">
        <w:rPr>
          <w:rFonts w:hint="cs"/>
          <w:rtl/>
        </w:rPr>
        <w:t xml:space="preserve"> </w:t>
      </w:r>
      <w:r w:rsidRPr="005675B2">
        <w:rPr>
          <w:rFonts w:hint="cs"/>
          <w:rtl/>
        </w:rPr>
        <w:t>- ادعى</w:t>
      </w:r>
      <w:r w:rsidR="000636C2">
        <w:rPr>
          <w:rFonts w:hint="cs"/>
          <w:rtl/>
        </w:rPr>
        <w:t xml:space="preserve"> </w:t>
      </w:r>
      <w:r w:rsidRPr="005675B2">
        <w:rPr>
          <w:rFonts w:hint="cs"/>
          <w:rtl/>
        </w:rPr>
        <w:t>الأخ الكاتب</w:t>
      </w:r>
      <w:r w:rsidR="000636C2">
        <w:rPr>
          <w:rFonts w:hint="cs"/>
          <w:rtl/>
        </w:rPr>
        <w:t xml:space="preserve"> </w:t>
      </w:r>
      <w:r w:rsidRPr="005675B2">
        <w:rPr>
          <w:rFonts w:hint="cs"/>
          <w:rtl/>
        </w:rPr>
        <w:t>- هداه الله - أنه لا يقول إلا بقول الله ورسوله ثم جاء بما لم يقل الله ولا رسوله صلى الله عليه وسلم</w:t>
      </w:r>
      <w:r w:rsidR="000636C2">
        <w:rPr>
          <w:rFonts w:hint="cs"/>
          <w:rtl/>
        </w:rPr>
        <w:t>،</w:t>
      </w:r>
      <w:r w:rsidRPr="005675B2">
        <w:rPr>
          <w:rFonts w:hint="cs"/>
          <w:rtl/>
        </w:rPr>
        <w:t>ثم زاد</w:t>
      </w:r>
      <w:r w:rsidR="000636C2">
        <w:rPr>
          <w:rFonts w:hint="cs"/>
          <w:rtl/>
        </w:rPr>
        <w:t xml:space="preserve"> </w:t>
      </w:r>
      <w:r w:rsidRPr="005675B2">
        <w:rPr>
          <w:rFonts w:hint="cs"/>
          <w:rtl/>
        </w:rPr>
        <w:t>على ذلك</w:t>
      </w:r>
      <w:r w:rsidR="000636C2">
        <w:rPr>
          <w:rFonts w:hint="cs"/>
          <w:rtl/>
        </w:rPr>
        <w:t xml:space="preserve"> </w:t>
      </w:r>
      <w:r w:rsidRPr="005675B2">
        <w:rPr>
          <w:rFonts w:hint="cs"/>
          <w:rtl/>
        </w:rPr>
        <w:t>فنسبه إلى السلف وليس له سلف في ذلك إلا الفلاسفة والكرامية</w:t>
      </w:r>
      <w:r w:rsidR="000636C2">
        <w:rPr>
          <w:rFonts w:hint="cs"/>
          <w:rtl/>
        </w:rPr>
        <w:t>،</w:t>
      </w:r>
    </w:p>
    <w:p w14:paraId="117D5A2A" w14:textId="268B379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xml:space="preserve">- قول الكاتب </w:t>
      </w:r>
      <w:r w:rsidR="000636C2">
        <w:rPr>
          <w:rFonts w:hint="cs"/>
          <w:rtl/>
        </w:rPr>
        <w:t>(</w:t>
      </w:r>
      <w:r w:rsidRPr="005675B2">
        <w:rPr>
          <w:rFonts w:hint="cs"/>
          <w:rtl/>
        </w:rPr>
        <w:t>نفاة لفظ الجهة</w:t>
      </w:r>
      <w:r w:rsidR="000636C2">
        <w:rPr>
          <w:rFonts w:hint="cs"/>
          <w:rtl/>
        </w:rPr>
        <w:t>)</w:t>
      </w:r>
      <w:r w:rsidRPr="005675B2">
        <w:rPr>
          <w:rFonts w:hint="cs"/>
          <w:rtl/>
        </w:rPr>
        <w:t xml:space="preserve"> وكذلك ردد الموجان في كتابه نفس كلام الحوالي وزاد الموجان فقال</w:t>
      </w:r>
      <w:r w:rsidR="000636C2">
        <w:rPr>
          <w:rFonts w:hint="cs"/>
          <w:rtl/>
        </w:rPr>
        <w:t>:</w:t>
      </w:r>
      <w:r w:rsidRPr="005675B2">
        <w:rPr>
          <w:rFonts w:hint="cs"/>
          <w:rtl/>
        </w:rPr>
        <w:t xml:space="preserve"> بل لفظ المكان ذكر الذهبي أنه في الصحيح</w:t>
      </w:r>
      <w:r w:rsidR="000636C2">
        <w:rPr>
          <w:rFonts w:hint="cs"/>
          <w:rtl/>
        </w:rPr>
        <w:t>،</w:t>
      </w:r>
      <w:r w:rsidRPr="005675B2">
        <w:rPr>
          <w:rFonts w:hint="cs"/>
          <w:rtl/>
        </w:rPr>
        <w:t xml:space="preserve"> وقال في الحاشية</w:t>
      </w:r>
      <w:r w:rsidR="000636C2">
        <w:rPr>
          <w:rFonts w:hint="cs"/>
          <w:rtl/>
        </w:rPr>
        <w:t>:</w:t>
      </w:r>
      <w:r w:rsidRPr="005675B2">
        <w:rPr>
          <w:rFonts w:hint="cs"/>
          <w:rtl/>
        </w:rPr>
        <w:t xml:space="preserve"> ولعل الذهبي أراد حديث الإسراء وفيه (</w:t>
      </w:r>
      <w:r w:rsidR="000636C2">
        <w:rPr>
          <w:rFonts w:hint="cs"/>
          <w:rtl/>
        </w:rPr>
        <w:t>(</w:t>
      </w:r>
      <w:r w:rsidRPr="005675B2">
        <w:rPr>
          <w:rFonts w:hint="cs"/>
          <w:rtl/>
        </w:rPr>
        <w:t>فعلا إلى الجبار جل جلاله وهو في مكانه</w:t>
      </w:r>
      <w:r w:rsidR="000636C2">
        <w:rPr>
          <w:rFonts w:hint="cs"/>
          <w:rtl/>
        </w:rPr>
        <w:t>)</w:t>
      </w:r>
      <w:r w:rsidRPr="005675B2">
        <w:rPr>
          <w:rFonts w:hint="cs"/>
          <w:rtl/>
        </w:rPr>
        <w:t>)وإن كان السياق ليس</w:t>
      </w:r>
      <w:r w:rsidR="000636C2">
        <w:rPr>
          <w:rFonts w:hint="cs"/>
          <w:rtl/>
        </w:rPr>
        <w:t xml:space="preserve"> </w:t>
      </w:r>
      <w:r w:rsidRPr="005675B2">
        <w:rPr>
          <w:rFonts w:hint="cs"/>
          <w:rtl/>
        </w:rPr>
        <w:t>مجزوماً فيه أن المراد الرب تعالى</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ص71</w:t>
      </w:r>
      <w:r w:rsidRPr="005675B2">
        <w:rPr>
          <w:rFonts w:hint="cs"/>
          <w:rtl/>
        </w:rPr>
        <w:t>] أقول فإذا كان السياق ليس مجزوماً به فلماذا تورده لإيهام القراء أن الله سبحانه في مكان أو جهة</w:t>
      </w:r>
      <w:r w:rsidR="000636C2">
        <w:rPr>
          <w:rFonts w:hint="cs"/>
          <w:rtl/>
        </w:rPr>
        <w:t>،</w:t>
      </w:r>
      <w:r w:rsidRPr="005675B2">
        <w:rPr>
          <w:rFonts w:hint="cs"/>
          <w:rtl/>
        </w:rPr>
        <w:t xml:space="preserve"> وكلام الحوالي</w:t>
      </w:r>
      <w:r w:rsidR="000636C2">
        <w:rPr>
          <w:rFonts w:hint="cs"/>
          <w:rtl/>
        </w:rPr>
        <w:t xml:space="preserve"> </w:t>
      </w:r>
      <w:r w:rsidRPr="005675B2">
        <w:rPr>
          <w:rFonts w:hint="cs"/>
          <w:rtl/>
        </w:rPr>
        <w:t>يوهم أن الخلاف في مجرد اللفظ وأن المبتدع هو اللفظ فقط</w:t>
      </w:r>
      <w:r w:rsidR="000636C2">
        <w:rPr>
          <w:rFonts w:hint="cs"/>
          <w:rtl/>
        </w:rPr>
        <w:t>،</w:t>
      </w:r>
      <w:r w:rsidRPr="005675B2">
        <w:rPr>
          <w:rFonts w:hint="cs"/>
          <w:rtl/>
        </w:rPr>
        <w:t>وهذا باطل</w:t>
      </w:r>
      <w:r w:rsidR="000636C2">
        <w:rPr>
          <w:rFonts w:hint="cs"/>
          <w:rtl/>
        </w:rPr>
        <w:t>،</w:t>
      </w:r>
      <w:r w:rsidRPr="005675B2">
        <w:rPr>
          <w:rFonts w:hint="cs"/>
          <w:rtl/>
        </w:rPr>
        <w:t>فالذي ينكره الأشاعرة وسائر أهل السنة هو كون الله في جهة باللفظ والمعنى</w:t>
      </w:r>
      <w:r w:rsidR="000636C2">
        <w:rPr>
          <w:rFonts w:hint="cs"/>
          <w:rtl/>
        </w:rPr>
        <w:t>،</w:t>
      </w:r>
      <w:r w:rsidRPr="005675B2">
        <w:rPr>
          <w:rFonts w:hint="cs"/>
          <w:rtl/>
        </w:rPr>
        <w:t>فعند أهل السنة أن الله لا يحل في مكان سواء أسميته مغالطة بالمكان أو الجهة العدمية</w:t>
      </w:r>
      <w:r w:rsidR="000636C2">
        <w:rPr>
          <w:rFonts w:hint="cs"/>
          <w:rtl/>
        </w:rPr>
        <w:t>،</w:t>
      </w:r>
      <w:r w:rsidRPr="005675B2">
        <w:rPr>
          <w:rFonts w:hint="cs"/>
          <w:rtl/>
        </w:rPr>
        <w:t>أوأسميته بالجهة الوجودية</w:t>
      </w:r>
      <w:r w:rsidR="000636C2">
        <w:rPr>
          <w:rFonts w:hint="cs"/>
          <w:rtl/>
        </w:rPr>
        <w:t>،</w:t>
      </w:r>
      <w:r w:rsidRPr="005675B2">
        <w:rPr>
          <w:rFonts w:hint="cs"/>
          <w:rtl/>
        </w:rPr>
        <w:t>أوأسميتة علواً أو ارتفاعاً،أو ما أردت من أسماء</w:t>
      </w:r>
      <w:r w:rsidR="000636C2">
        <w:rPr>
          <w:rFonts w:hint="cs"/>
          <w:rtl/>
        </w:rPr>
        <w:t>،</w:t>
      </w:r>
      <w:r w:rsidRPr="005675B2">
        <w:rPr>
          <w:rFonts w:hint="cs"/>
          <w:rtl/>
        </w:rPr>
        <w:t xml:space="preserve"> وليست المسألة مجرد لفظ</w:t>
      </w:r>
      <w:r w:rsidR="000636C2">
        <w:rPr>
          <w:rFonts w:hint="cs"/>
          <w:rtl/>
        </w:rPr>
        <w:t>،</w:t>
      </w:r>
      <w:r w:rsidRPr="005675B2">
        <w:rPr>
          <w:rFonts w:hint="cs"/>
          <w:rtl/>
        </w:rPr>
        <w:t xml:space="preserve"> - يقول الكاتب</w:t>
      </w:r>
      <w:r w:rsidR="000636C2">
        <w:rPr>
          <w:rFonts w:hint="cs"/>
          <w:rtl/>
        </w:rPr>
        <w:t>:</w:t>
      </w:r>
      <w:r w:rsidRPr="005675B2">
        <w:rPr>
          <w:rFonts w:hint="cs"/>
          <w:rtl/>
        </w:rPr>
        <w:t xml:space="preserve"> [</w:t>
      </w:r>
      <w:r w:rsidR="000636C2">
        <w:rPr>
          <w:rFonts w:hint="cs"/>
          <w:rtl/>
        </w:rPr>
        <w:t>[</w:t>
      </w:r>
      <w:r w:rsidRPr="005675B2">
        <w:rPr>
          <w:rFonts w:hint="cs"/>
          <w:rtl/>
        </w:rPr>
        <w:t>فإنه توجد جهة ينتهي إليها فنقول ما فوق الكون، فلو قلنا</w:t>
      </w:r>
      <w:r w:rsidR="000636C2">
        <w:rPr>
          <w:rFonts w:hint="cs"/>
          <w:rtl/>
        </w:rPr>
        <w:t>:</w:t>
      </w:r>
      <w:r w:rsidRPr="005675B2">
        <w:rPr>
          <w:rFonts w:hint="cs"/>
          <w:rtl/>
        </w:rPr>
        <w:t xml:space="preserve"> الكرسي فوق</w:t>
      </w:r>
      <w:r w:rsidRPr="005675B2">
        <w:rPr>
          <w:rFonts w:hint="cs"/>
        </w:rPr>
        <w:t xml:space="preserve"> </w:t>
      </w:r>
      <w:r w:rsidRPr="005675B2">
        <w:rPr>
          <w:rFonts w:hint="cs"/>
          <w:rtl/>
        </w:rPr>
        <w:t>السماوات</w:t>
      </w:r>
      <w:r w:rsidRPr="005675B2">
        <w:rPr>
          <w:rFonts w:hint="cs"/>
        </w:rPr>
        <w:t xml:space="preserve"> </w:t>
      </w:r>
      <w:r w:rsidRPr="005675B2">
        <w:rPr>
          <w:rFonts w:hint="cs"/>
          <w:rtl/>
        </w:rPr>
        <w:t>السبع، وفوقه العرش والله</w:t>
      </w:r>
      <w:r w:rsidR="000636C2">
        <w:rPr>
          <w:rFonts w:hint="cs"/>
          <w:rtl/>
        </w:rPr>
        <w:t xml:space="preserve"> </w:t>
      </w:r>
      <w:r w:rsidRPr="005675B2">
        <w:rPr>
          <w:rFonts w:hint="cs"/>
          <w:rtl/>
        </w:rPr>
        <w:t>- سُبْحَانَهُ وَتَعَالَى - فوق العرش، إذاً الجهة</w:t>
      </w:r>
      <w:r w:rsidRPr="005675B2">
        <w:rPr>
          <w:rFonts w:hint="cs"/>
        </w:rPr>
        <w:t xml:space="preserve"> </w:t>
      </w:r>
      <w:r w:rsidRPr="005675B2">
        <w:rPr>
          <w:rFonts w:hint="cs"/>
          <w:rtl/>
        </w:rPr>
        <w:t>هنا</w:t>
      </w:r>
      <w:r w:rsidRPr="005675B2">
        <w:rPr>
          <w:rFonts w:hint="cs"/>
        </w:rPr>
        <w:t xml:space="preserve"> </w:t>
      </w:r>
      <w:r w:rsidRPr="005675B2">
        <w:rPr>
          <w:rFonts w:hint="cs"/>
          <w:rtl/>
        </w:rPr>
        <w:t>ليست شيئاً وجودياً وإنما شيئاً اعتبارياً</w:t>
      </w:r>
      <w:r w:rsidR="000636C2">
        <w:rPr>
          <w:rFonts w:hint="cs"/>
          <w:rtl/>
        </w:rPr>
        <w:t>]</w:t>
      </w:r>
    </w:p>
    <w:p w14:paraId="10F8BB87" w14:textId="74CA4CCC" w:rsidR="009C32A0" w:rsidRPr="005675B2" w:rsidRDefault="000636C2" w:rsidP="000636C2">
      <w:pPr>
        <w:rPr>
          <w:b/>
          <w:rtl/>
        </w:rPr>
      </w:pPr>
      <w:r>
        <w:rPr>
          <w:rFonts w:hint="cs"/>
          <w:rtl/>
        </w:rPr>
        <w:t>[</w:t>
      </w:r>
      <w:r w:rsidR="009C32A0">
        <w:rPr>
          <w:rFonts w:hint="cs"/>
          <w:rtl/>
        </w:rPr>
        <w:t>الجواب</w:t>
      </w:r>
      <w:r>
        <w:rPr>
          <w:rFonts w:hint="cs"/>
          <w:rtl/>
        </w:rPr>
        <w:t xml:space="preserve">]: </w:t>
      </w:r>
      <w:r w:rsidR="009C32A0" w:rsidRPr="005675B2">
        <w:rPr>
          <w:rFonts w:hint="cs"/>
          <w:rtl/>
        </w:rPr>
        <w:t>يدعي الدكتور الحوالي وكذا الموجان - غفر الله لي</w:t>
      </w:r>
      <w:r>
        <w:rPr>
          <w:rFonts w:hint="cs"/>
          <w:rtl/>
        </w:rPr>
        <w:t xml:space="preserve"> </w:t>
      </w:r>
      <w:r w:rsidR="009C32A0" w:rsidRPr="005675B2">
        <w:rPr>
          <w:rFonts w:hint="cs"/>
          <w:rtl/>
        </w:rPr>
        <w:t>ولهما -</w:t>
      </w:r>
      <w:r>
        <w:rPr>
          <w:rFonts w:hint="cs"/>
          <w:rtl/>
        </w:rPr>
        <w:t xml:space="preserve"> </w:t>
      </w:r>
      <w:r w:rsidR="009C32A0" w:rsidRPr="005675B2">
        <w:rPr>
          <w:rFonts w:hint="cs"/>
          <w:rtl/>
        </w:rPr>
        <w:t>أن الجهة أمراً اعتبارياً</w:t>
      </w:r>
      <w:r>
        <w:rPr>
          <w:rFonts w:hint="cs"/>
          <w:rtl/>
        </w:rPr>
        <w:t>،</w:t>
      </w:r>
      <w:r w:rsidR="009C32A0" w:rsidRPr="005675B2">
        <w:rPr>
          <w:rFonts w:hint="cs"/>
          <w:rtl/>
        </w:rPr>
        <w:t xml:space="preserve"> وليس وجودياً</w:t>
      </w:r>
      <w:r>
        <w:rPr>
          <w:rFonts w:hint="cs"/>
          <w:rtl/>
        </w:rPr>
        <w:t>،</w:t>
      </w:r>
      <w:r w:rsidR="009C32A0" w:rsidRPr="005675B2">
        <w:rPr>
          <w:rFonts w:hint="cs"/>
          <w:rtl/>
        </w:rPr>
        <w:t xml:space="preserve"> مع تسليمهم بأن الله تعالى لا يحل في الجهة الوجودية لكنه في الجهة الاعتبارية</w:t>
      </w:r>
      <w:r>
        <w:rPr>
          <w:rFonts w:hint="cs"/>
          <w:rtl/>
        </w:rPr>
        <w:t>،</w:t>
      </w:r>
      <w:r w:rsidR="009C32A0" w:rsidRPr="005675B2">
        <w:rPr>
          <w:rFonts w:hint="cs"/>
          <w:rtl/>
        </w:rPr>
        <w:t xml:space="preserve"> </w:t>
      </w:r>
    </w:p>
    <w:p w14:paraId="313EDB59" w14:textId="42083253" w:rsidR="009C32A0" w:rsidRPr="005675B2" w:rsidRDefault="009C32A0" w:rsidP="000636C2">
      <w:pPr>
        <w:rPr>
          <w:b/>
          <w:rtl/>
        </w:rPr>
      </w:pPr>
      <w:r w:rsidRPr="005675B2">
        <w:rPr>
          <w:rFonts w:hint="cs"/>
          <w:rtl/>
        </w:rPr>
        <w:t>قال الموجان</w:t>
      </w:r>
      <w:r w:rsidR="000636C2">
        <w:rPr>
          <w:rFonts w:hint="cs"/>
          <w:rtl/>
        </w:rPr>
        <w:t>:</w:t>
      </w:r>
      <w:r w:rsidRPr="005675B2">
        <w:rPr>
          <w:rFonts w:hint="cs"/>
          <w:rtl/>
        </w:rPr>
        <w:t xml:space="preserve"> إن الجهات لا نهاية لها</w:t>
      </w:r>
      <w:r w:rsidR="000636C2">
        <w:rPr>
          <w:rFonts w:hint="cs"/>
          <w:rtl/>
        </w:rPr>
        <w:t>،</w:t>
      </w:r>
      <w:r w:rsidRPr="005675B2">
        <w:rPr>
          <w:rFonts w:hint="cs"/>
          <w:rtl/>
        </w:rPr>
        <w:t>وما لا يوجد فيما لانهاية له فليس بموجود</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للموجان 71</w:t>
      </w:r>
      <w:r w:rsidRPr="005675B2">
        <w:rPr>
          <w:rFonts w:hint="cs"/>
          <w:rtl/>
        </w:rPr>
        <w:t>]</w:t>
      </w:r>
      <w:r w:rsidR="000636C2">
        <w:rPr>
          <w:rFonts w:hint="cs"/>
          <w:rtl/>
        </w:rPr>
        <w:t>،</w:t>
      </w:r>
      <w:r w:rsidRPr="005675B2">
        <w:rPr>
          <w:rFonts w:hint="cs"/>
          <w:rtl/>
        </w:rPr>
        <w:t xml:space="preserve"> فأقول</w:t>
      </w:r>
      <w:r w:rsidR="000636C2">
        <w:rPr>
          <w:rFonts w:hint="cs"/>
          <w:rtl/>
        </w:rPr>
        <w:t>:</w:t>
      </w:r>
      <w:r w:rsidRPr="005675B2">
        <w:rPr>
          <w:rFonts w:hint="cs"/>
          <w:rtl/>
        </w:rPr>
        <w:t xml:space="preserve"> تأملوا هذا الذي</w:t>
      </w:r>
      <w:r w:rsidR="000636C2">
        <w:rPr>
          <w:rFonts w:hint="cs"/>
          <w:rtl/>
        </w:rPr>
        <w:t xml:space="preserve"> </w:t>
      </w:r>
      <w:r w:rsidRPr="005675B2">
        <w:rPr>
          <w:rFonts w:hint="cs"/>
          <w:rtl/>
        </w:rPr>
        <w:t>يصفه الحوالي والموجان</w:t>
      </w:r>
      <w:r w:rsidR="000636C2">
        <w:rPr>
          <w:rFonts w:hint="cs"/>
          <w:rtl/>
        </w:rPr>
        <w:t xml:space="preserve"> </w:t>
      </w:r>
      <w:r w:rsidRPr="005675B2">
        <w:rPr>
          <w:rFonts w:hint="cs"/>
          <w:rtl/>
        </w:rPr>
        <w:t>هل يسمى</w:t>
      </w:r>
      <w:r w:rsidR="000636C2">
        <w:rPr>
          <w:rFonts w:hint="cs"/>
          <w:rtl/>
        </w:rPr>
        <w:t xml:space="preserve"> </w:t>
      </w:r>
      <w:r w:rsidRPr="005675B2">
        <w:rPr>
          <w:rFonts w:hint="cs"/>
          <w:rtl/>
        </w:rPr>
        <w:t>شيئاً اعتبارياً</w:t>
      </w:r>
      <w:r w:rsidR="000636C2">
        <w:rPr>
          <w:rFonts w:hint="cs"/>
          <w:rtl/>
        </w:rPr>
        <w:t>؟!</w:t>
      </w:r>
      <w:r w:rsidRPr="005675B2">
        <w:rPr>
          <w:rFonts w:hint="cs"/>
          <w:rtl/>
        </w:rPr>
        <w:t>!</w:t>
      </w:r>
    </w:p>
    <w:p w14:paraId="5371ACBD" w14:textId="690A3800" w:rsidR="009C32A0" w:rsidRPr="005675B2" w:rsidRDefault="009C32A0" w:rsidP="000636C2">
      <w:pPr>
        <w:rPr>
          <w:b/>
          <w:rtl/>
        </w:rPr>
      </w:pPr>
      <w:r w:rsidRPr="005675B2">
        <w:rPr>
          <w:rFonts w:hint="cs"/>
          <w:rtl/>
        </w:rPr>
        <w:t>قال الحوالي</w:t>
      </w:r>
      <w:r w:rsidR="000636C2">
        <w:rPr>
          <w:rFonts w:hint="cs"/>
          <w:rtl/>
        </w:rPr>
        <w:t>:</w:t>
      </w:r>
      <w:r w:rsidRPr="005675B2">
        <w:rPr>
          <w:rFonts w:hint="cs"/>
          <w:rtl/>
        </w:rPr>
        <w:t xml:space="preserve"> تقول </w:t>
      </w:r>
      <w:r w:rsidR="000636C2">
        <w:rPr>
          <w:rFonts w:hint="cs"/>
          <w:rtl/>
        </w:rPr>
        <w:t>[</w:t>
      </w:r>
      <w:r w:rsidRPr="005675B2">
        <w:rPr>
          <w:rFonts w:hint="cs"/>
          <w:rtl/>
        </w:rPr>
        <w:t>الكرسي فوقه العرش</w:t>
      </w:r>
      <w:r w:rsidR="000636C2">
        <w:rPr>
          <w:rFonts w:hint="cs"/>
          <w:rtl/>
        </w:rPr>
        <w:t>]</w:t>
      </w:r>
      <w:r w:rsidRPr="005675B2">
        <w:rPr>
          <w:rFonts w:hint="cs"/>
          <w:rtl/>
        </w:rPr>
        <w:t xml:space="preserve"> هل هذا حسي أم اعتباري</w:t>
      </w:r>
      <w:r w:rsidR="000636C2">
        <w:rPr>
          <w:rFonts w:hint="cs"/>
          <w:rtl/>
        </w:rPr>
        <w:t>؟</w:t>
      </w:r>
      <w:r w:rsidRPr="005675B2">
        <w:rPr>
          <w:rFonts w:hint="cs"/>
          <w:rtl/>
        </w:rPr>
        <w:t xml:space="preserve"> ثم الله سبحانه فوق العرش</w:t>
      </w:r>
      <w:r w:rsidR="000636C2">
        <w:rPr>
          <w:rFonts w:hint="cs"/>
          <w:rtl/>
        </w:rPr>
        <w:t>،</w:t>
      </w:r>
      <w:r w:rsidRPr="005675B2">
        <w:rPr>
          <w:rFonts w:hint="cs"/>
          <w:rtl/>
        </w:rPr>
        <w:t xml:space="preserve"> فكلامك يفيد إثبات مكان حسي</w:t>
      </w:r>
      <w:r w:rsidR="000636C2">
        <w:rPr>
          <w:rFonts w:hint="cs"/>
          <w:rtl/>
        </w:rPr>
        <w:t xml:space="preserve"> </w:t>
      </w:r>
      <w:r w:rsidRPr="005675B2">
        <w:rPr>
          <w:rFonts w:hint="cs"/>
          <w:rtl/>
        </w:rPr>
        <w:t>وليس اعتبارياً</w:t>
      </w:r>
      <w:r w:rsidR="000636C2">
        <w:rPr>
          <w:rFonts w:hint="cs"/>
          <w:rtl/>
        </w:rPr>
        <w:t>،</w:t>
      </w:r>
      <w:r w:rsidRPr="005675B2">
        <w:rPr>
          <w:rFonts w:hint="cs"/>
          <w:rtl/>
        </w:rPr>
        <w:t xml:space="preserve"> ويؤكد ذلك قولك في صدر كلامك</w:t>
      </w:r>
      <w:r w:rsidR="000636C2">
        <w:rPr>
          <w:rFonts w:hint="cs"/>
          <w:rtl/>
        </w:rPr>
        <w:t>:</w:t>
      </w:r>
      <w:r w:rsidRPr="005675B2">
        <w:rPr>
          <w:rFonts w:hint="cs"/>
          <w:rtl/>
        </w:rPr>
        <w:t xml:space="preserve"> </w:t>
      </w:r>
      <w:r w:rsidR="000636C2">
        <w:rPr>
          <w:rFonts w:hint="cs"/>
          <w:rtl/>
        </w:rPr>
        <w:t>(</w:t>
      </w:r>
      <w:r w:rsidRPr="005675B2">
        <w:rPr>
          <w:rStyle w:val="fouaid1"/>
          <w:rFonts w:hint="cs"/>
          <w:bCs/>
          <w:rtl/>
        </w:rPr>
        <w:t>ومعناه</w:t>
      </w:r>
      <w:r w:rsidR="000636C2">
        <w:rPr>
          <w:rStyle w:val="fouaid1"/>
          <w:rFonts w:hint="cs"/>
          <w:bCs/>
          <w:rtl/>
        </w:rPr>
        <w:t>:</w:t>
      </w:r>
      <w:r w:rsidRPr="005675B2">
        <w:rPr>
          <w:rStyle w:val="fouaid1"/>
          <w:rFonts w:hint="cs"/>
          <w:bCs/>
          <w:rtl/>
        </w:rPr>
        <w:t xml:space="preserve"> أنه فوق</w:t>
      </w:r>
      <w:r w:rsidRPr="005675B2">
        <w:rPr>
          <w:rStyle w:val="fouaid1"/>
          <w:rFonts w:hint="cs"/>
          <w:bCs/>
        </w:rPr>
        <w:t xml:space="preserve"> </w:t>
      </w:r>
      <w:r w:rsidRPr="005675B2">
        <w:rPr>
          <w:rStyle w:val="fouaid1"/>
          <w:rFonts w:hint="cs"/>
          <w:bCs/>
          <w:rtl/>
        </w:rPr>
        <w:t>العالم</w:t>
      </w:r>
      <w:r w:rsidRPr="005675B2">
        <w:rPr>
          <w:rStyle w:val="fouaid1"/>
          <w:rFonts w:hint="cs"/>
          <w:bCs/>
        </w:rPr>
        <w:t xml:space="preserve"> </w:t>
      </w:r>
      <w:r w:rsidRPr="005675B2">
        <w:rPr>
          <w:rStyle w:val="fouaid1"/>
          <w:rFonts w:hint="cs"/>
          <w:bCs/>
          <w:u w:val="single"/>
          <w:rtl/>
        </w:rPr>
        <w:t>حيث انتهت المخلوقات</w:t>
      </w:r>
      <w:r w:rsidR="000636C2">
        <w:rPr>
          <w:rFonts w:hint="cs"/>
          <w:rtl/>
        </w:rPr>
        <w:t>)،</w:t>
      </w:r>
      <w:r w:rsidRPr="005675B2">
        <w:rPr>
          <w:rFonts w:hint="cs"/>
          <w:rtl/>
        </w:rPr>
        <w:t>فهل بعد هذا من تصريح بجهة حسية يحل الله فيها</w:t>
      </w:r>
      <w:r w:rsidR="000636C2">
        <w:rPr>
          <w:rFonts w:hint="cs"/>
          <w:rtl/>
        </w:rPr>
        <w:t>؟!</w:t>
      </w:r>
      <w:r w:rsidRPr="005675B2">
        <w:rPr>
          <w:rFonts w:hint="cs"/>
          <w:rtl/>
        </w:rPr>
        <w:t>فالأمور الاعتبارية تنقسم إلى قسمين</w:t>
      </w:r>
      <w:r w:rsidR="000636C2">
        <w:rPr>
          <w:rFonts w:hint="cs"/>
          <w:rtl/>
        </w:rPr>
        <w:t>:</w:t>
      </w:r>
    </w:p>
    <w:p w14:paraId="4AFCAC78" w14:textId="28AFFA20" w:rsidR="009C32A0" w:rsidRPr="005675B2" w:rsidRDefault="009C32A0" w:rsidP="000636C2">
      <w:pPr>
        <w:rPr>
          <w:b/>
          <w:rtl/>
        </w:rPr>
      </w:pPr>
      <w:r w:rsidRPr="005675B2">
        <w:rPr>
          <w:rFonts w:hint="cs"/>
          <w:rtl/>
        </w:rPr>
        <w:t>أ</w:t>
      </w:r>
      <w:r w:rsidR="000636C2">
        <w:rPr>
          <w:rFonts w:hint="cs"/>
          <w:rtl/>
        </w:rPr>
        <w:t>)</w:t>
      </w:r>
      <w:r w:rsidRPr="005675B2">
        <w:rPr>
          <w:rFonts w:hint="cs"/>
          <w:rtl/>
        </w:rPr>
        <w:t xml:space="preserve"> أمور اعتبارية انتزاعية</w:t>
      </w:r>
      <w:r w:rsidR="000636C2">
        <w:rPr>
          <w:rFonts w:hint="cs"/>
          <w:rtl/>
        </w:rPr>
        <w:t xml:space="preserve">، </w:t>
      </w:r>
      <w:r w:rsidRPr="005675B2">
        <w:rPr>
          <w:rFonts w:hint="cs"/>
          <w:rtl/>
        </w:rPr>
        <w:t>ب</w:t>
      </w:r>
      <w:r w:rsidR="000636C2">
        <w:rPr>
          <w:rFonts w:hint="cs"/>
          <w:rtl/>
        </w:rPr>
        <w:t>)</w:t>
      </w:r>
      <w:r w:rsidRPr="005675B2">
        <w:rPr>
          <w:rFonts w:hint="cs"/>
          <w:rtl/>
        </w:rPr>
        <w:t xml:space="preserve"> أمو راعتبارية اختراعية كبحر من زئبق فهو أمر اعتباري اختراعي أي ابتداعي لأنه ابتداع</w:t>
      </w:r>
      <w:r w:rsidR="000636C2">
        <w:rPr>
          <w:rFonts w:hint="cs"/>
          <w:rtl/>
        </w:rPr>
        <w:t xml:space="preserve"> </w:t>
      </w:r>
      <w:r w:rsidRPr="005675B2">
        <w:rPr>
          <w:rFonts w:hint="cs"/>
          <w:rtl/>
        </w:rPr>
        <w:t>الشخص</w:t>
      </w:r>
      <w:r w:rsidR="000636C2">
        <w:rPr>
          <w:rFonts w:hint="cs"/>
          <w:rtl/>
        </w:rPr>
        <w:t>،</w:t>
      </w:r>
      <w:r w:rsidRPr="005675B2">
        <w:rPr>
          <w:rFonts w:hint="cs"/>
          <w:rtl/>
        </w:rPr>
        <w:t xml:space="preserve"> وكلا الأمرين لا يثبت في مسألتك، لأنها من قبل المستحيل</w:t>
      </w:r>
      <w:r w:rsidR="000636C2">
        <w:rPr>
          <w:rFonts w:hint="cs"/>
          <w:rtl/>
        </w:rPr>
        <w:t>،</w:t>
      </w:r>
      <w:r w:rsidRPr="005675B2">
        <w:rPr>
          <w:rFonts w:hint="cs"/>
          <w:rtl/>
        </w:rPr>
        <w:t>فدعوى وجود محيط من زئبق أيسر من دعواك وجود الخالق في جهة عدمية</w:t>
      </w:r>
      <w:r w:rsidR="000636C2">
        <w:rPr>
          <w:rFonts w:hint="cs"/>
          <w:rtl/>
        </w:rPr>
        <w:t>،</w:t>
      </w:r>
      <w:r w:rsidRPr="005675B2">
        <w:rPr>
          <w:rFonts w:hint="cs"/>
          <w:rtl/>
        </w:rPr>
        <w:t xml:space="preserve"> والعلو الثابت لله</w:t>
      </w:r>
      <w:r w:rsidR="000636C2">
        <w:rPr>
          <w:rFonts w:hint="cs"/>
          <w:rtl/>
        </w:rPr>
        <w:t xml:space="preserve"> </w:t>
      </w:r>
      <w:r w:rsidRPr="005675B2">
        <w:rPr>
          <w:rFonts w:hint="cs"/>
          <w:rtl/>
        </w:rPr>
        <w:t>يا أخي هداك الله هو علومعنوي</w:t>
      </w:r>
      <w:r w:rsidR="000636C2">
        <w:rPr>
          <w:rFonts w:hint="cs"/>
          <w:rtl/>
        </w:rPr>
        <w:t>،</w:t>
      </w:r>
      <w:r w:rsidRPr="005675B2">
        <w:rPr>
          <w:rFonts w:hint="cs"/>
          <w:rtl/>
        </w:rPr>
        <w:t>لا جسماني فهو علو القهر والغلبة والسلطة وليس علواً حسياً في جهة عدمية فلسفية</w:t>
      </w:r>
      <w:r w:rsidR="000636C2">
        <w:rPr>
          <w:rFonts w:hint="cs"/>
          <w:rtl/>
        </w:rPr>
        <w:t>،!</w:t>
      </w:r>
      <w:r w:rsidRPr="005675B2">
        <w:rPr>
          <w:rFonts w:hint="cs"/>
          <w:rtl/>
        </w:rPr>
        <w:t>!وإنما أوتيتم من قبل قياسكم وجود الخالق على وجود المخلوق، فلم تعرفوا مخلوقا إلا وهو في جهة أو مكان، وإن لم يكن كذلك فهو معدوم</w:t>
      </w:r>
      <w:r w:rsidR="000636C2">
        <w:rPr>
          <w:rFonts w:hint="cs"/>
          <w:rtl/>
        </w:rPr>
        <w:t>،</w:t>
      </w:r>
      <w:r w:rsidRPr="005675B2">
        <w:rPr>
          <w:rFonts w:hint="cs"/>
          <w:rtl/>
        </w:rPr>
        <w:t>فجعلتم الخالق كالمخلوق</w:t>
      </w:r>
      <w:r w:rsidR="000636C2">
        <w:rPr>
          <w:rFonts w:hint="cs"/>
          <w:rtl/>
        </w:rPr>
        <w:t>،</w:t>
      </w:r>
      <w:r w:rsidRPr="005675B2">
        <w:rPr>
          <w:rFonts w:hint="cs"/>
          <w:rtl/>
        </w:rPr>
        <w:t xml:space="preserve"> وقد ذكر ابن تيمية رحمه الله حديث الأوعال</w:t>
      </w:r>
      <w:r w:rsidR="000636C2">
        <w:rPr>
          <w:rFonts w:hint="cs"/>
          <w:rtl/>
        </w:rPr>
        <w:t>،</w:t>
      </w:r>
      <w:r w:rsidRPr="005675B2">
        <w:rPr>
          <w:rFonts w:hint="cs"/>
          <w:rtl/>
        </w:rPr>
        <w:t xml:space="preserve"> ورد على من حاول الطعن فيه وقال </w:t>
      </w:r>
      <w:r w:rsidR="000636C2">
        <w:rPr>
          <w:rFonts w:hint="cs"/>
          <w:rtl/>
        </w:rPr>
        <w:t>[</w:t>
      </w:r>
      <w:r w:rsidRPr="005675B2">
        <w:rPr>
          <w:rFonts w:hint="cs"/>
          <w:rtl/>
        </w:rPr>
        <w:t>هذا الحديث مع أنه رواه أهل السنن كأبي داود وابن ماجه والترمذي وغيرهم فهو مروي من طريقين مشهورين</w:t>
      </w:r>
      <w:r w:rsidR="000636C2">
        <w:rPr>
          <w:rFonts w:hint="cs"/>
          <w:rtl/>
        </w:rPr>
        <w:t>،</w:t>
      </w:r>
      <w:r w:rsidRPr="005675B2">
        <w:rPr>
          <w:rFonts w:hint="cs"/>
          <w:rtl/>
        </w:rPr>
        <w:t xml:space="preserve"> فالقدح في أحدهما لا يقدح في الآخر</w:t>
      </w:r>
      <w:r w:rsidR="000636C2">
        <w:rPr>
          <w:rFonts w:hint="cs"/>
          <w:rtl/>
        </w:rPr>
        <w:t>]</w:t>
      </w:r>
      <w:r w:rsidRPr="005675B2">
        <w:rPr>
          <w:rFonts w:hint="cs"/>
          <w:rtl/>
        </w:rPr>
        <w:t xml:space="preserve"> [</w:t>
      </w:r>
      <w:r w:rsidRPr="005675B2">
        <w:rPr>
          <w:rFonts w:hint="cs"/>
          <w:bCs/>
          <w:sz w:val="24"/>
          <w:szCs w:val="24"/>
          <w:rtl/>
        </w:rPr>
        <w:t>مجموع فتاوى ابن تيمية: 3 / 192</w:t>
      </w:r>
      <w:r w:rsidR="000636C2">
        <w:rPr>
          <w:rFonts w:hint="cs"/>
          <w:bCs/>
          <w:sz w:val="24"/>
          <w:szCs w:val="24"/>
          <w:rtl/>
        </w:rPr>
        <w:t>]</w:t>
      </w:r>
      <w:r w:rsidR="000636C2">
        <w:rPr>
          <w:rFonts w:hint="cs"/>
          <w:rtl/>
        </w:rPr>
        <w:t>،</w:t>
      </w:r>
    </w:p>
    <w:p w14:paraId="5A716151" w14:textId="5673AB74"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حديث الأوعال روي من طرق عن سماك بن حرب عن عبد الله بن عَميرة عن الأحنف بن قيس عن العباس بن عبد المطلب عن النبي صلى الله عليه وسلم أنه قال</w:t>
      </w:r>
      <w:r>
        <w:rPr>
          <w:rFonts w:hint="cs"/>
          <w:rtl/>
        </w:rPr>
        <w:t>:</w:t>
      </w:r>
      <w:r w:rsidR="009C32A0" w:rsidRPr="005675B2">
        <w:rPr>
          <w:rFonts w:hint="cs"/>
          <w:rtl/>
        </w:rPr>
        <w:t xml:space="preserve"> </w:t>
      </w:r>
      <w:r>
        <w:rPr>
          <w:rFonts w:hint="cs"/>
          <w:rtl/>
        </w:rPr>
        <w:t>[</w:t>
      </w:r>
      <w:r w:rsidR="009C32A0" w:rsidRPr="005675B2">
        <w:rPr>
          <w:rFonts w:hint="cs"/>
          <w:rtl/>
        </w:rPr>
        <w:t>هل تدرون بعد ما بين السماء والأرض</w:t>
      </w:r>
      <w:r>
        <w:rPr>
          <w:rFonts w:hint="cs"/>
          <w:rtl/>
        </w:rPr>
        <w:t>؟]،</w:t>
      </w:r>
      <w:r w:rsidR="009C32A0" w:rsidRPr="005675B2">
        <w:rPr>
          <w:rFonts w:hint="cs"/>
          <w:rtl/>
        </w:rPr>
        <w:t xml:space="preserve"> فقالوا</w:t>
      </w:r>
      <w:r>
        <w:rPr>
          <w:rFonts w:hint="cs"/>
          <w:rtl/>
        </w:rPr>
        <w:t>:</w:t>
      </w:r>
      <w:r w:rsidR="009C32A0" w:rsidRPr="005675B2">
        <w:rPr>
          <w:rFonts w:hint="cs"/>
          <w:rtl/>
        </w:rPr>
        <w:t xml:space="preserve"> لا</w:t>
      </w:r>
      <w:r>
        <w:rPr>
          <w:rFonts w:hint="cs"/>
          <w:rtl/>
        </w:rPr>
        <w:t>،</w:t>
      </w:r>
      <w:r w:rsidR="009C32A0" w:rsidRPr="005675B2">
        <w:rPr>
          <w:rFonts w:hint="cs"/>
          <w:rtl/>
        </w:rPr>
        <w:t xml:space="preserve"> فقال</w:t>
      </w:r>
      <w:r>
        <w:rPr>
          <w:rFonts w:hint="cs"/>
          <w:rtl/>
        </w:rPr>
        <w:t>:</w:t>
      </w:r>
      <w:r w:rsidR="009C32A0" w:rsidRPr="005675B2">
        <w:rPr>
          <w:rFonts w:hint="cs"/>
          <w:rtl/>
        </w:rPr>
        <w:t xml:space="preserve"> </w:t>
      </w:r>
      <w:r>
        <w:rPr>
          <w:rFonts w:hint="cs"/>
          <w:rtl/>
        </w:rPr>
        <w:t>[</w:t>
      </w:r>
      <w:r w:rsidR="009C32A0" w:rsidRPr="005675B2">
        <w:rPr>
          <w:rFonts w:hint="cs"/>
          <w:rtl/>
        </w:rPr>
        <w:t>إن بعد ما بينهما ..</w:t>
      </w:r>
      <w:r>
        <w:rPr>
          <w:rFonts w:hint="cs"/>
          <w:rtl/>
        </w:rPr>
        <w:t>،</w:t>
      </w:r>
      <w:r w:rsidR="009C32A0" w:rsidRPr="005675B2">
        <w:rPr>
          <w:rFonts w:hint="cs"/>
          <w:rtl/>
        </w:rPr>
        <w:t xml:space="preserve"> ثم السماء فوقها كذلك ..</w:t>
      </w:r>
      <w:r>
        <w:rPr>
          <w:rFonts w:hint="cs"/>
          <w:rtl/>
        </w:rPr>
        <w:t>،</w:t>
      </w:r>
      <w:r w:rsidR="009C32A0" w:rsidRPr="005675B2">
        <w:rPr>
          <w:rFonts w:hint="cs"/>
          <w:rtl/>
        </w:rPr>
        <w:t xml:space="preserve"> ثم فوق السابعة بحر ..</w:t>
      </w:r>
      <w:r>
        <w:rPr>
          <w:rFonts w:hint="cs"/>
          <w:rtl/>
        </w:rPr>
        <w:t>،</w:t>
      </w:r>
      <w:r w:rsidR="009C32A0" w:rsidRPr="005675B2">
        <w:rPr>
          <w:rFonts w:hint="cs"/>
          <w:rtl/>
        </w:rPr>
        <w:t xml:space="preserve"> ثم فوق ذلك ثمانية أوعال بين أظلافهم وركبهم مثل ما بين سماء إلى سماء</w:t>
      </w:r>
      <w:r>
        <w:rPr>
          <w:rFonts w:hint="cs"/>
          <w:rtl/>
        </w:rPr>
        <w:t>،</w:t>
      </w:r>
      <w:r w:rsidR="009C32A0" w:rsidRPr="005675B2">
        <w:rPr>
          <w:rFonts w:hint="cs"/>
          <w:rtl/>
        </w:rPr>
        <w:t xml:space="preserve"> ثم الله تبارك وتعالى فوق ذلك</w:t>
      </w:r>
      <w:r>
        <w:rPr>
          <w:rFonts w:hint="cs"/>
          <w:rtl/>
        </w:rPr>
        <w:t>]،</w:t>
      </w:r>
      <w:r w:rsidR="009C32A0" w:rsidRPr="005675B2">
        <w:rPr>
          <w:rFonts w:hint="cs"/>
          <w:rtl/>
        </w:rPr>
        <w:t xml:space="preserve"> فقوله</w:t>
      </w:r>
      <w:r>
        <w:rPr>
          <w:rFonts w:hint="cs"/>
          <w:rtl/>
        </w:rPr>
        <w:t>:</w:t>
      </w:r>
      <w:r w:rsidR="009C32A0" w:rsidRPr="005675B2">
        <w:rPr>
          <w:rFonts w:hint="cs"/>
          <w:rtl/>
        </w:rPr>
        <w:t xml:space="preserve"> الحديث مروي من طريقين مشهورين وأن القدح في أحدهما لا يقدح في الآخر</w:t>
      </w:r>
      <w:r>
        <w:rPr>
          <w:rFonts w:hint="cs"/>
          <w:rtl/>
        </w:rPr>
        <w:t>!</w:t>
      </w:r>
      <w:r w:rsidR="009C32A0" w:rsidRPr="005675B2">
        <w:rPr>
          <w:rFonts w:hint="cs"/>
          <w:rtl/>
        </w:rPr>
        <w:t>!</w:t>
      </w:r>
      <w:r>
        <w:rPr>
          <w:rFonts w:hint="cs"/>
          <w:rtl/>
        </w:rPr>
        <w:t xml:space="preserve">، </w:t>
      </w:r>
      <w:r w:rsidR="009C32A0" w:rsidRPr="005675B2">
        <w:rPr>
          <w:rFonts w:hint="cs"/>
          <w:rtl/>
        </w:rPr>
        <w:t>غير صحيح فهذا الحديث معروف ومشهور في عدد من المصادر بالسند المذكور بعاليه و ليس له غيره</w:t>
      </w:r>
      <w:r>
        <w:rPr>
          <w:rFonts w:hint="cs"/>
          <w:rtl/>
        </w:rPr>
        <w:t>،</w:t>
      </w:r>
      <w:r w:rsidR="009C32A0" w:rsidRPr="005675B2">
        <w:rPr>
          <w:rFonts w:hint="cs"/>
          <w:rtl/>
        </w:rPr>
        <w:t xml:space="preserve"> وهو سند ضعيف بيِّن الضعف</w:t>
      </w:r>
      <w:r>
        <w:rPr>
          <w:rFonts w:hint="cs"/>
          <w:rtl/>
        </w:rPr>
        <w:t>،</w:t>
      </w:r>
      <w:r w:rsidR="009C32A0" w:rsidRPr="005675B2">
        <w:rPr>
          <w:rFonts w:hint="cs"/>
          <w:rtl/>
        </w:rPr>
        <w:t xml:space="preserve"> فيه سماك بن حرب وعبد الله بن عميرة</w:t>
      </w:r>
      <w:r>
        <w:rPr>
          <w:rFonts w:hint="cs"/>
          <w:rtl/>
        </w:rPr>
        <w:t xml:space="preserve">: </w:t>
      </w:r>
      <w:r w:rsidR="009C32A0" w:rsidRPr="005675B2">
        <w:rPr>
          <w:rFonts w:hint="cs"/>
          <w:rtl/>
        </w:rPr>
        <w:t>فأما سماك بن حرب فقد وثقه ابن معين وأبو حاتم</w:t>
      </w:r>
      <w:r>
        <w:rPr>
          <w:rFonts w:hint="cs"/>
          <w:rtl/>
        </w:rPr>
        <w:t>،</w:t>
      </w:r>
      <w:r w:rsidR="009C32A0" w:rsidRPr="005675B2">
        <w:rPr>
          <w:rFonts w:hint="cs"/>
          <w:rtl/>
        </w:rPr>
        <w:t xml:space="preserve"> لكن ضعفه شعبة وعبد الله بن المبارك وسفيان الثوري وغيرهم</w:t>
      </w:r>
      <w:r>
        <w:rPr>
          <w:rFonts w:hint="cs"/>
          <w:rtl/>
        </w:rPr>
        <w:t>،</w:t>
      </w:r>
      <w:r w:rsidR="009C32A0" w:rsidRPr="005675B2">
        <w:rPr>
          <w:rFonts w:hint="cs"/>
          <w:rtl/>
        </w:rPr>
        <w:t xml:space="preserve"> وقال أحمد</w:t>
      </w:r>
      <w:r>
        <w:rPr>
          <w:rFonts w:hint="cs"/>
          <w:rtl/>
        </w:rPr>
        <w:t>:</w:t>
      </w:r>
      <w:r w:rsidR="009C32A0" w:rsidRPr="005675B2">
        <w:rPr>
          <w:rFonts w:hint="cs"/>
          <w:rtl/>
        </w:rPr>
        <w:t xml:space="preserve"> مضطرب الحديث</w:t>
      </w:r>
      <w:r>
        <w:rPr>
          <w:rFonts w:hint="cs"/>
          <w:rtl/>
        </w:rPr>
        <w:t>،</w:t>
      </w:r>
      <w:r w:rsidR="009C32A0" w:rsidRPr="005675B2">
        <w:rPr>
          <w:rFonts w:hint="cs"/>
          <w:rtl/>
        </w:rPr>
        <w:t xml:space="preserve"> وقال النسائي</w:t>
      </w:r>
      <w:r>
        <w:rPr>
          <w:rFonts w:hint="cs"/>
          <w:rtl/>
        </w:rPr>
        <w:t>:</w:t>
      </w:r>
      <w:r w:rsidR="009C32A0" w:rsidRPr="005675B2">
        <w:rPr>
          <w:rFonts w:hint="cs"/>
          <w:rtl/>
        </w:rPr>
        <w:t xml:space="preserve"> ليس ممن يعتمد عليه إذا انفرد بالحديث لأنه كان يقبل التلقين</w:t>
      </w:r>
      <w:r>
        <w:rPr>
          <w:rFonts w:hint="cs"/>
          <w:rtl/>
        </w:rPr>
        <w:t>،</w:t>
      </w:r>
      <w:r w:rsidR="009C32A0" w:rsidRPr="005675B2">
        <w:rPr>
          <w:rFonts w:hint="cs"/>
          <w:rtl/>
        </w:rPr>
        <w:t xml:space="preserve"> وأما عبد الله بن عَميرة فقد ذكره ابن حبان في الثقات</w:t>
      </w:r>
      <w:r>
        <w:rPr>
          <w:rFonts w:hint="cs"/>
          <w:rtl/>
        </w:rPr>
        <w:t>،</w:t>
      </w:r>
      <w:r w:rsidR="009C32A0" w:rsidRPr="005675B2">
        <w:rPr>
          <w:rFonts w:hint="cs"/>
          <w:rtl/>
        </w:rPr>
        <w:t xml:space="preserve"> وقال الإمام مسلم</w:t>
      </w:r>
      <w:r>
        <w:rPr>
          <w:rFonts w:hint="cs"/>
          <w:rtl/>
        </w:rPr>
        <w:t>:</w:t>
      </w:r>
      <w:r w:rsidR="009C32A0" w:rsidRPr="005675B2">
        <w:rPr>
          <w:rFonts w:hint="cs"/>
          <w:rtl/>
        </w:rPr>
        <w:t xml:space="preserve"> تفرد سماك بالرواية عنه</w:t>
      </w:r>
      <w:r>
        <w:rPr>
          <w:rFonts w:hint="cs"/>
          <w:rtl/>
        </w:rPr>
        <w:t>،</w:t>
      </w:r>
      <w:r w:rsidR="009C32A0" w:rsidRPr="005675B2">
        <w:rPr>
          <w:rFonts w:hint="cs"/>
          <w:rtl/>
        </w:rPr>
        <w:t xml:space="preserve"> وقال إبراهيم الحربي</w:t>
      </w:r>
      <w:r>
        <w:rPr>
          <w:rFonts w:hint="cs"/>
          <w:rtl/>
        </w:rPr>
        <w:t>:</w:t>
      </w:r>
      <w:r w:rsidR="009C32A0" w:rsidRPr="005675B2">
        <w:rPr>
          <w:rFonts w:hint="cs"/>
          <w:rtl/>
        </w:rPr>
        <w:t xml:space="preserve"> لا أعرفه</w:t>
      </w:r>
      <w:r>
        <w:rPr>
          <w:rFonts w:hint="cs"/>
          <w:rtl/>
        </w:rPr>
        <w:t>،</w:t>
      </w:r>
      <w:r w:rsidR="009C32A0" w:rsidRPr="005675B2">
        <w:rPr>
          <w:rFonts w:hint="cs"/>
          <w:rtl/>
        </w:rPr>
        <w:t xml:space="preserve"> وقال ابن حجر في التقريب</w:t>
      </w:r>
      <w:r>
        <w:rPr>
          <w:rFonts w:hint="cs"/>
          <w:rtl/>
        </w:rPr>
        <w:t>:</w:t>
      </w:r>
      <w:r w:rsidR="009C32A0" w:rsidRPr="005675B2">
        <w:rPr>
          <w:rFonts w:hint="cs"/>
          <w:rtl/>
        </w:rPr>
        <w:t xml:space="preserve"> مقبول</w:t>
      </w:r>
      <w:r>
        <w:rPr>
          <w:rFonts w:hint="cs"/>
          <w:rtl/>
        </w:rPr>
        <w:t>،</w:t>
      </w:r>
      <w:r w:rsidR="009C32A0" w:rsidRPr="005675B2">
        <w:rPr>
          <w:rFonts w:hint="cs"/>
          <w:rtl/>
        </w:rPr>
        <w:t xml:space="preserve"> ومراد ابن حجر بقوله هذا أنه يقبل في المتابعات لا فيما انفرد به</w:t>
      </w:r>
      <w:r>
        <w:rPr>
          <w:rFonts w:hint="cs"/>
          <w:rtl/>
        </w:rPr>
        <w:t>،</w:t>
      </w:r>
      <w:r w:rsidR="009C32A0" w:rsidRPr="005675B2">
        <w:rPr>
          <w:rFonts w:hint="cs"/>
          <w:rtl/>
        </w:rPr>
        <w:t xml:space="preserve"> وذكره في ثقات ابن حبان لا ينفعه لما عرف من تساهل ابن حبان</w:t>
      </w:r>
      <w:r>
        <w:rPr>
          <w:rFonts w:hint="cs"/>
          <w:rtl/>
        </w:rPr>
        <w:t>،</w:t>
      </w:r>
      <w:r w:rsidR="009C32A0" w:rsidRPr="005675B2">
        <w:rPr>
          <w:rFonts w:hint="cs"/>
          <w:rtl/>
        </w:rPr>
        <w:t xml:space="preserve"> فمثل هذا السند لا يصلح للاحتجاج به في الأحكام فكيف يحتج به في العقائد</w:t>
      </w:r>
      <w:r>
        <w:rPr>
          <w:rFonts w:hint="cs"/>
          <w:rtl/>
        </w:rPr>
        <w:t>؟،</w:t>
      </w:r>
      <w:r w:rsidR="009C32A0" w:rsidRPr="005675B2">
        <w:rPr>
          <w:rFonts w:hint="cs"/>
          <w:rtl/>
        </w:rPr>
        <w:t xml:space="preserve"> </w:t>
      </w:r>
      <w:r>
        <w:rPr>
          <w:rFonts w:hint="cs"/>
          <w:sz w:val="24"/>
          <w:szCs w:val="24"/>
          <w:rtl/>
        </w:rPr>
        <w:t>[</w:t>
      </w:r>
      <w:r w:rsidR="009C32A0" w:rsidRPr="005675B2">
        <w:rPr>
          <w:rFonts w:hint="cs"/>
          <w:bCs/>
          <w:sz w:val="24"/>
          <w:szCs w:val="24"/>
          <w:rtl/>
        </w:rPr>
        <w:t>وانظر ذلك بحروفه في رد الأشاعرة ودعاوى المناوئين للأدلبي</w:t>
      </w:r>
      <w:r>
        <w:rPr>
          <w:rFonts w:hint="cs"/>
          <w:bCs/>
          <w:sz w:val="24"/>
          <w:szCs w:val="24"/>
          <w:rtl/>
        </w:rPr>
        <w:t>]</w:t>
      </w:r>
    </w:p>
    <w:p w14:paraId="4AAF4594" w14:textId="70811BE5"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w:t>
      </w:r>
      <w:r w:rsidR="000636C2">
        <w:rPr>
          <w:rFonts w:hint="cs"/>
          <w:rtl/>
        </w:rPr>
        <w:t xml:space="preserve"> </w:t>
      </w:r>
      <w:r w:rsidRPr="005675B2">
        <w:rPr>
          <w:rFonts w:hint="cs"/>
          <w:rtl/>
        </w:rPr>
        <w:t>قولك يا أخي الكريم</w:t>
      </w:r>
      <w:r w:rsidR="000636C2">
        <w:rPr>
          <w:rFonts w:hint="cs"/>
          <w:rtl/>
        </w:rPr>
        <w:t>:</w:t>
      </w:r>
      <w:r w:rsidRPr="005675B2">
        <w:rPr>
          <w:rFonts w:hint="cs"/>
          <w:rtl/>
        </w:rPr>
        <w:t>أن الله في جهة معدومة</w:t>
      </w:r>
      <w:r w:rsidR="000636C2">
        <w:rPr>
          <w:rFonts w:hint="cs"/>
          <w:rtl/>
        </w:rPr>
        <w:t>!</w:t>
      </w:r>
      <w:r w:rsidRPr="005675B2">
        <w:rPr>
          <w:rFonts w:hint="cs"/>
          <w:rtl/>
        </w:rPr>
        <w:t>تناقض تام</w:t>
      </w:r>
      <w:r w:rsidR="000636C2">
        <w:rPr>
          <w:rFonts w:hint="cs"/>
          <w:rtl/>
        </w:rPr>
        <w:t>،</w:t>
      </w:r>
      <w:r w:rsidRPr="005675B2">
        <w:rPr>
          <w:rFonts w:hint="cs"/>
          <w:rtl/>
        </w:rPr>
        <w:t xml:space="preserve"> فكون الموجود حل في المعدوم هو نفي له</w:t>
      </w:r>
      <w:r w:rsidR="000636C2">
        <w:rPr>
          <w:rFonts w:hint="cs"/>
          <w:rtl/>
        </w:rPr>
        <w:t>،</w:t>
      </w:r>
      <w:r w:rsidRPr="005675B2">
        <w:rPr>
          <w:rFonts w:hint="cs"/>
          <w:rtl/>
        </w:rPr>
        <w:t xml:space="preserve"> و كأني</w:t>
      </w:r>
      <w:r w:rsidR="000636C2">
        <w:rPr>
          <w:rFonts w:hint="cs"/>
          <w:rtl/>
        </w:rPr>
        <w:t xml:space="preserve"> </w:t>
      </w:r>
      <w:r w:rsidRPr="005675B2">
        <w:rPr>
          <w:rFonts w:hint="cs"/>
          <w:rtl/>
        </w:rPr>
        <w:t>ببعض الناس لا يؤمن</w:t>
      </w:r>
      <w:r w:rsidR="000636C2">
        <w:rPr>
          <w:rFonts w:hint="cs"/>
          <w:rtl/>
        </w:rPr>
        <w:t xml:space="preserve"> </w:t>
      </w:r>
      <w:r w:rsidRPr="005675B2">
        <w:rPr>
          <w:rFonts w:hint="cs"/>
          <w:rtl/>
        </w:rPr>
        <w:t>إلا بموجود في مكان</w:t>
      </w:r>
      <w:r w:rsidR="000636C2">
        <w:rPr>
          <w:rFonts w:hint="cs"/>
          <w:rtl/>
        </w:rPr>
        <w:t>،</w:t>
      </w:r>
      <w:r w:rsidRPr="005675B2">
        <w:rPr>
          <w:rFonts w:hint="cs"/>
          <w:rtl/>
        </w:rPr>
        <w:t>فلما وجد</w:t>
      </w:r>
      <w:r w:rsidR="000636C2">
        <w:rPr>
          <w:rFonts w:hint="cs"/>
          <w:rtl/>
        </w:rPr>
        <w:t xml:space="preserve"> </w:t>
      </w:r>
      <w:r w:rsidRPr="005675B2">
        <w:rPr>
          <w:rFonts w:hint="cs"/>
          <w:rtl/>
        </w:rPr>
        <w:t>أن</w:t>
      </w:r>
      <w:r w:rsidR="000636C2">
        <w:rPr>
          <w:rFonts w:hint="cs"/>
          <w:rtl/>
        </w:rPr>
        <w:t xml:space="preserve"> </w:t>
      </w:r>
      <w:r w:rsidRPr="005675B2">
        <w:rPr>
          <w:rFonts w:hint="cs"/>
          <w:rtl/>
        </w:rPr>
        <w:t>العلماء قد أجمعوا على تكفير الحلولية قال</w:t>
      </w:r>
      <w:r w:rsidR="000636C2">
        <w:rPr>
          <w:rFonts w:hint="cs"/>
          <w:rtl/>
        </w:rPr>
        <w:t>:</w:t>
      </w:r>
      <w:r w:rsidRPr="005675B2">
        <w:rPr>
          <w:rFonts w:hint="cs"/>
          <w:rtl/>
        </w:rPr>
        <w:t>ليس موجود في موجود بل هو موجود في معدوم</w:t>
      </w:r>
      <w:r w:rsidR="000636C2">
        <w:rPr>
          <w:rFonts w:hint="cs"/>
          <w:rtl/>
        </w:rPr>
        <w:t xml:space="preserve">،! </w:t>
      </w:r>
      <w:r w:rsidRPr="005675B2">
        <w:rPr>
          <w:rFonts w:hint="cs"/>
          <w:rtl/>
        </w:rPr>
        <w:t>لأن العدم لا شيء ولو كنتم قصدتم ذلك لاستوى</w:t>
      </w:r>
      <w:r w:rsidR="000636C2">
        <w:rPr>
          <w:rFonts w:hint="cs"/>
          <w:rtl/>
        </w:rPr>
        <w:t xml:space="preserve"> </w:t>
      </w:r>
      <w:r w:rsidRPr="005675B2">
        <w:rPr>
          <w:rFonts w:hint="cs"/>
          <w:rtl/>
        </w:rPr>
        <w:t>قولكم</w:t>
      </w:r>
      <w:r w:rsidR="000636C2">
        <w:rPr>
          <w:rFonts w:hint="cs"/>
          <w:rtl/>
        </w:rPr>
        <w:t xml:space="preserve"> </w:t>
      </w:r>
      <w:r w:rsidRPr="005675B2">
        <w:rPr>
          <w:rFonts w:hint="cs"/>
          <w:rtl/>
        </w:rPr>
        <w:t>أنه في الجهة العدمية مع قول الأشاعرة وجميع أهل السنة أنه لا يحل في مكان ولا جهة لأن الجهة العدمية لا شيء ويصبح الخلاف لفظياً</w:t>
      </w:r>
      <w:r w:rsidR="000636C2">
        <w:rPr>
          <w:rFonts w:hint="cs"/>
          <w:rtl/>
        </w:rPr>
        <w:t>،</w:t>
      </w:r>
      <w:r w:rsidRPr="005675B2">
        <w:rPr>
          <w:rFonts w:hint="cs"/>
          <w:rtl/>
        </w:rPr>
        <w:t xml:space="preserve"> ولكن تفاصيل كلامكم تبين أنكم تتصورون وجود الخالق في جهة وجودية تبدأ تحديداً</w:t>
      </w:r>
      <w:r w:rsidR="000636C2">
        <w:rPr>
          <w:rFonts w:hint="cs"/>
          <w:rtl/>
        </w:rPr>
        <w:t xml:space="preserve"> </w:t>
      </w:r>
      <w:r w:rsidRPr="005675B2">
        <w:rPr>
          <w:rFonts w:hint="cs"/>
          <w:rtl/>
        </w:rPr>
        <w:t>بانتهاء العرش</w:t>
      </w:r>
      <w:r w:rsidR="000636C2">
        <w:rPr>
          <w:rFonts w:hint="cs"/>
          <w:rtl/>
        </w:rPr>
        <w:t>،</w:t>
      </w:r>
      <w:r w:rsidRPr="005675B2">
        <w:rPr>
          <w:rFonts w:hint="cs"/>
          <w:rtl/>
        </w:rPr>
        <w:t xml:space="preserve"> وهذا هو حقيقة الخلاف في المسألة</w:t>
      </w:r>
      <w:r w:rsidR="000636C2">
        <w:rPr>
          <w:rFonts w:hint="cs"/>
          <w:rtl/>
        </w:rPr>
        <w:t>،</w:t>
      </w:r>
    </w:p>
    <w:p w14:paraId="410D20D9" w14:textId="3AD3D04E"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وإنما أوتيتم من قبل قياسكم وجود الخالق على وجود المخلوق</w:t>
      </w:r>
      <w:r w:rsidR="000636C2">
        <w:rPr>
          <w:rFonts w:hint="cs"/>
          <w:rtl/>
        </w:rPr>
        <w:t>،</w:t>
      </w:r>
      <w:r w:rsidRPr="005675B2">
        <w:rPr>
          <w:rFonts w:hint="cs"/>
          <w:rtl/>
        </w:rPr>
        <w:t xml:space="preserve"> فلم تعرفوا مخلوقاً إلا وهو في جهة أو مكان وإن لم يكن كذلك فهو معدوم،فجعلتم الخالق كالمخلوق</w:t>
      </w:r>
      <w:r w:rsidR="000636C2">
        <w:rPr>
          <w:rFonts w:hint="cs"/>
          <w:rtl/>
        </w:rPr>
        <w:t xml:space="preserve">، </w:t>
      </w:r>
      <w:r w:rsidRPr="005675B2">
        <w:rPr>
          <w:rFonts w:hint="cs"/>
          <w:u w:val="single"/>
          <w:rtl/>
        </w:rPr>
        <w:t>والذي عليه</w:t>
      </w:r>
      <w:r w:rsidR="000636C2">
        <w:rPr>
          <w:rFonts w:hint="cs"/>
          <w:u w:val="single"/>
          <w:rtl/>
        </w:rPr>
        <w:t xml:space="preserve"> </w:t>
      </w:r>
      <w:r w:rsidRPr="005675B2">
        <w:rPr>
          <w:rFonts w:hint="cs"/>
          <w:u w:val="single"/>
          <w:rtl/>
        </w:rPr>
        <w:t>أهل السنة والجماعة أن الله موجود قبل خلق الزمان والمكان، فإن استطعت أن تتخيل أو يتخيل غيرك بالذهن البشري</w:t>
      </w:r>
      <w:r w:rsidR="000636C2">
        <w:rPr>
          <w:rFonts w:hint="cs"/>
          <w:u w:val="single"/>
          <w:rtl/>
        </w:rPr>
        <w:t xml:space="preserve"> </w:t>
      </w:r>
      <w:r w:rsidRPr="005675B2">
        <w:rPr>
          <w:rFonts w:hint="cs"/>
          <w:u w:val="single"/>
          <w:rtl/>
        </w:rPr>
        <w:t>القاصر</w:t>
      </w:r>
      <w:r w:rsidR="000636C2">
        <w:rPr>
          <w:rFonts w:hint="cs"/>
          <w:u w:val="single"/>
          <w:rtl/>
        </w:rPr>
        <w:t xml:space="preserve"> </w:t>
      </w:r>
      <w:r w:rsidRPr="005675B2">
        <w:rPr>
          <w:rFonts w:hint="cs"/>
          <w:u w:val="single"/>
          <w:rtl/>
        </w:rPr>
        <w:t>حقيقة صفة</w:t>
      </w:r>
      <w:r w:rsidR="000636C2">
        <w:rPr>
          <w:rFonts w:hint="cs"/>
          <w:u w:val="single"/>
          <w:rtl/>
        </w:rPr>
        <w:t xml:space="preserve"> </w:t>
      </w:r>
      <w:r w:rsidRPr="005675B2">
        <w:rPr>
          <w:rFonts w:hint="cs"/>
          <w:u w:val="single"/>
          <w:rtl/>
        </w:rPr>
        <w:t>وجوده قبل خلق السموات</w:t>
      </w:r>
      <w:r w:rsidR="000636C2">
        <w:rPr>
          <w:rFonts w:hint="cs"/>
          <w:u w:val="single"/>
          <w:rtl/>
        </w:rPr>
        <w:t>،</w:t>
      </w:r>
      <w:r w:rsidRPr="005675B2">
        <w:rPr>
          <w:rFonts w:hint="cs"/>
          <w:u w:val="single"/>
          <w:rtl/>
        </w:rPr>
        <w:t>والأرض</w:t>
      </w:r>
      <w:r w:rsidR="000636C2">
        <w:rPr>
          <w:rFonts w:hint="cs"/>
          <w:u w:val="single"/>
          <w:rtl/>
        </w:rPr>
        <w:t>،</w:t>
      </w:r>
      <w:r w:rsidRPr="005675B2">
        <w:rPr>
          <w:rFonts w:hint="cs"/>
          <w:u w:val="single"/>
          <w:rtl/>
        </w:rPr>
        <w:t>والعرش، والزمان</w:t>
      </w:r>
      <w:r w:rsidR="000636C2">
        <w:rPr>
          <w:rFonts w:hint="cs"/>
          <w:u w:val="single"/>
          <w:rtl/>
        </w:rPr>
        <w:t>،</w:t>
      </w:r>
      <w:r w:rsidRPr="005675B2">
        <w:rPr>
          <w:rFonts w:hint="cs"/>
          <w:u w:val="single"/>
          <w:rtl/>
        </w:rPr>
        <w:t>والمكان</w:t>
      </w:r>
      <w:r w:rsidR="000636C2">
        <w:rPr>
          <w:rFonts w:hint="cs"/>
          <w:rtl/>
        </w:rPr>
        <w:t>:</w:t>
      </w:r>
      <w:r w:rsidRPr="005675B2">
        <w:rPr>
          <w:rFonts w:hint="cs"/>
          <w:rtl/>
        </w:rPr>
        <w:t>فيمكن أن تتخيله</w:t>
      </w:r>
      <w:r w:rsidR="000636C2">
        <w:rPr>
          <w:rFonts w:hint="cs"/>
          <w:rtl/>
        </w:rPr>
        <w:t xml:space="preserve"> </w:t>
      </w:r>
      <w:r w:rsidRPr="005675B2">
        <w:rPr>
          <w:rFonts w:hint="cs"/>
          <w:rtl/>
        </w:rPr>
        <w:t>بعد خلقها</w:t>
      </w:r>
      <w:r w:rsidR="000636C2">
        <w:rPr>
          <w:rFonts w:hint="cs"/>
          <w:rtl/>
        </w:rPr>
        <w:t>،</w:t>
      </w:r>
      <w:r w:rsidRPr="005675B2">
        <w:rPr>
          <w:rFonts w:hint="cs"/>
          <w:rtl/>
        </w:rPr>
        <w:t>وإن عجز ذهنك وخيالك</w:t>
      </w:r>
      <w:r w:rsidR="000636C2">
        <w:rPr>
          <w:rFonts w:hint="cs"/>
          <w:rtl/>
        </w:rPr>
        <w:t>:</w:t>
      </w:r>
      <w:r w:rsidRPr="005675B2">
        <w:rPr>
          <w:rFonts w:hint="cs"/>
          <w:rtl/>
        </w:rPr>
        <w:t>فأرح عقلك</w:t>
      </w:r>
      <w:r w:rsidR="000636C2">
        <w:rPr>
          <w:rFonts w:hint="cs"/>
          <w:rtl/>
        </w:rPr>
        <w:t>،</w:t>
      </w:r>
      <w:r w:rsidRPr="005675B2">
        <w:rPr>
          <w:rFonts w:hint="cs"/>
          <w:rtl/>
        </w:rPr>
        <w:t>وسلم لربك يا أخي</w:t>
      </w:r>
      <w:r w:rsidR="000636C2">
        <w:rPr>
          <w:rFonts w:hint="cs"/>
          <w:rtl/>
        </w:rPr>
        <w:t>،</w:t>
      </w:r>
      <w:r w:rsidRPr="005675B2">
        <w:rPr>
          <w:rFonts w:hint="cs"/>
          <w:rtl/>
        </w:rPr>
        <w:t>واعلم بأنه سبحانه لا يتغير ولا يتبدل</w:t>
      </w:r>
      <w:r w:rsidR="000636C2">
        <w:rPr>
          <w:rFonts w:hint="cs"/>
          <w:rtl/>
        </w:rPr>
        <w:t>،</w:t>
      </w:r>
      <w:r w:rsidRPr="005675B2">
        <w:rPr>
          <w:rFonts w:hint="cs"/>
          <w:rtl/>
        </w:rPr>
        <w:t xml:space="preserve"> فإن ظننت أنه تغير بعد خلقه للمخلوقات، أو أن وجودها أثر عليه سبحانه وتعالى ؛فانحاز في فضاء وهي في فضاء</w:t>
      </w:r>
      <w:r w:rsidR="000636C2">
        <w:rPr>
          <w:rFonts w:hint="cs"/>
          <w:rtl/>
        </w:rPr>
        <w:t>،</w:t>
      </w:r>
      <w:r w:rsidRPr="005675B2">
        <w:rPr>
          <w:rFonts w:hint="cs"/>
          <w:rtl/>
        </w:rPr>
        <w:t xml:space="preserve"> أو أن وجوده كوجودها فظننت أن المخلوق مادام أنه في فراغ فالخالق كذلك</w:t>
      </w:r>
      <w:r w:rsidR="000636C2">
        <w:rPr>
          <w:rFonts w:hint="cs"/>
          <w:rtl/>
        </w:rPr>
        <w:t>،</w:t>
      </w:r>
      <w:r w:rsidRPr="005675B2">
        <w:rPr>
          <w:rFonts w:hint="cs"/>
          <w:rtl/>
        </w:rPr>
        <w:t xml:space="preserve"> فهذا نسج من خيال</w:t>
      </w:r>
      <w:r w:rsidR="000636C2">
        <w:rPr>
          <w:rFonts w:hint="cs"/>
          <w:rtl/>
        </w:rPr>
        <w:t xml:space="preserve"> </w:t>
      </w:r>
      <w:r w:rsidRPr="005675B2">
        <w:rPr>
          <w:rFonts w:hint="cs"/>
          <w:u w:val="single"/>
          <w:rtl/>
        </w:rPr>
        <w:t>والله لا يقاس بخلقه ولا يتغير ولا يتبدل</w:t>
      </w:r>
      <w:r w:rsidR="000636C2">
        <w:rPr>
          <w:rFonts w:hint="cs"/>
          <w:u w:val="single"/>
          <w:rtl/>
        </w:rPr>
        <w:t>،</w:t>
      </w:r>
      <w:r w:rsidRPr="005675B2">
        <w:rPr>
          <w:rFonts w:hint="cs"/>
          <w:u w:val="single"/>
          <w:rtl/>
        </w:rPr>
        <w:t xml:space="preserve"> لأنك</w:t>
      </w:r>
      <w:r w:rsidR="000636C2">
        <w:rPr>
          <w:rFonts w:hint="cs"/>
          <w:u w:val="single"/>
          <w:rtl/>
        </w:rPr>
        <w:t xml:space="preserve"> </w:t>
      </w:r>
      <w:r w:rsidRPr="005675B2">
        <w:rPr>
          <w:rFonts w:hint="cs"/>
          <w:u w:val="single"/>
          <w:rtl/>
        </w:rPr>
        <w:t>إن ظننت أنه تغير</w:t>
      </w:r>
      <w:r w:rsidR="000636C2">
        <w:rPr>
          <w:rFonts w:hint="cs"/>
          <w:u w:val="single"/>
          <w:rtl/>
        </w:rPr>
        <w:t>:</w:t>
      </w:r>
      <w:r w:rsidRPr="005675B2">
        <w:rPr>
          <w:rFonts w:hint="cs"/>
          <w:u w:val="single"/>
          <w:rtl/>
        </w:rPr>
        <w:t>فإما أن يتغير إلى حال أفضل مما كان عليه قبل خلق المخلوقات</w:t>
      </w:r>
      <w:r w:rsidR="000636C2">
        <w:rPr>
          <w:rFonts w:hint="cs"/>
          <w:u w:val="single"/>
          <w:rtl/>
        </w:rPr>
        <w:t>،</w:t>
      </w:r>
      <w:r w:rsidRPr="005675B2">
        <w:rPr>
          <w:rFonts w:hint="cs"/>
          <w:u w:val="single"/>
          <w:rtl/>
        </w:rPr>
        <w:t>وإما إلى حال أقل</w:t>
      </w:r>
      <w:r w:rsidR="000636C2">
        <w:rPr>
          <w:rFonts w:hint="cs"/>
          <w:u w:val="single"/>
          <w:rtl/>
        </w:rPr>
        <w:t>،</w:t>
      </w:r>
      <w:r w:rsidRPr="005675B2">
        <w:rPr>
          <w:rFonts w:hint="cs"/>
          <w:u w:val="single"/>
          <w:rtl/>
        </w:rPr>
        <w:t>وعلى كلا الاحتمالين فهو إما أن يكون في حال نقص أعقبه كمال</w:t>
      </w:r>
      <w:r w:rsidR="000636C2">
        <w:rPr>
          <w:rFonts w:hint="cs"/>
          <w:u w:val="single"/>
          <w:rtl/>
        </w:rPr>
        <w:t>،</w:t>
      </w:r>
      <w:r w:rsidRPr="005675B2">
        <w:rPr>
          <w:rFonts w:hint="cs"/>
          <w:u w:val="single"/>
          <w:rtl/>
        </w:rPr>
        <w:t xml:space="preserve"> أو في حال كمال فتغير إلى نقص والله منزه عن كل ذلك</w:t>
      </w:r>
      <w:r w:rsidR="000636C2">
        <w:rPr>
          <w:rFonts w:hint="cs"/>
          <w:u w:val="single"/>
          <w:rtl/>
        </w:rPr>
        <w:t xml:space="preserve">، </w:t>
      </w:r>
      <w:r w:rsidRPr="005675B2">
        <w:rPr>
          <w:rFonts w:hint="cs"/>
          <w:rtl/>
        </w:rPr>
        <w:t>ولذا جاء في الحديث</w:t>
      </w:r>
      <w:r w:rsidR="000636C2">
        <w:rPr>
          <w:rFonts w:hint="cs"/>
          <w:rtl/>
        </w:rPr>
        <w:t>:</w:t>
      </w:r>
      <w:r w:rsidRPr="005675B2">
        <w:rPr>
          <w:rFonts w:hint="cs"/>
          <w:rtl/>
        </w:rPr>
        <w:t xml:space="preserve"> (</w:t>
      </w:r>
      <w:r w:rsidR="000636C2">
        <w:rPr>
          <w:rFonts w:hint="cs"/>
          <w:rtl/>
        </w:rPr>
        <w:t>(</w:t>
      </w:r>
      <w:r w:rsidRPr="005675B2">
        <w:rPr>
          <w:rFonts w:hint="cs"/>
          <w:rtl/>
        </w:rPr>
        <w:t>وأنت الظاهر فليس فوقك شئ وأنت الباطن فليس دونك شىء</w:t>
      </w:r>
      <w:r w:rsidR="000636C2">
        <w:rPr>
          <w:rFonts w:hint="cs"/>
          <w:rtl/>
        </w:rPr>
        <w:t>)</w:t>
      </w:r>
      <w:r w:rsidRPr="005675B2">
        <w:rPr>
          <w:rFonts w:hint="cs"/>
          <w:rtl/>
        </w:rPr>
        <w:t>)فأين أنتم</w:t>
      </w:r>
      <w:r w:rsidR="000636C2">
        <w:rPr>
          <w:rFonts w:hint="cs"/>
          <w:rtl/>
        </w:rPr>
        <w:t xml:space="preserve"> </w:t>
      </w:r>
      <w:r w:rsidRPr="005675B2">
        <w:rPr>
          <w:rFonts w:hint="cs"/>
          <w:rtl/>
        </w:rPr>
        <w:t>يا أخي الكريم من هذا الحديث الذي يصرح بأنه لايحد عزوجل - ليس فوقك شيءولادونك شيء -</w:t>
      </w:r>
      <w:r w:rsidR="000636C2">
        <w:rPr>
          <w:rFonts w:hint="cs"/>
          <w:rtl/>
        </w:rPr>
        <w:t>،</w:t>
      </w:r>
      <w:r w:rsidRPr="005675B2">
        <w:rPr>
          <w:rFonts w:hint="cs"/>
          <w:rtl/>
        </w:rPr>
        <w:t xml:space="preserve"> [</w:t>
      </w:r>
      <w:r w:rsidRPr="005675B2">
        <w:rPr>
          <w:rFonts w:hint="cs"/>
          <w:bCs/>
          <w:sz w:val="24"/>
          <w:szCs w:val="24"/>
          <w:rtl/>
        </w:rPr>
        <w:t>يراجع للفائدة رسالة الشيخ عبدالله زايد ـ رسالة الرد الجميل ـ وهي موجودة على الشبكة]</w:t>
      </w:r>
    </w:p>
    <w:p w14:paraId="2FB1F5C2" w14:textId="1FF499C5" w:rsidR="009C32A0" w:rsidRPr="005675B2" w:rsidRDefault="009C32A0" w:rsidP="000636C2">
      <w:pPr>
        <w:rPr>
          <w:b/>
          <w:rtl/>
        </w:rPr>
      </w:pPr>
      <w:r w:rsidRPr="005675B2">
        <w:rPr>
          <w:rFonts w:hint="cs"/>
          <w:rtl/>
        </w:rPr>
        <w:t>6</w:t>
      </w:r>
      <w:r w:rsidR="000636C2">
        <w:rPr>
          <w:rFonts w:hint="cs"/>
          <w:rtl/>
        </w:rPr>
        <w:t xml:space="preserve"> </w:t>
      </w:r>
      <w:r w:rsidRPr="005675B2">
        <w:rPr>
          <w:rFonts w:hint="cs"/>
          <w:rtl/>
        </w:rPr>
        <w:t>- أنت كأي مسلم</w:t>
      </w:r>
      <w:r w:rsidR="000636C2">
        <w:rPr>
          <w:rFonts w:hint="cs"/>
          <w:rtl/>
        </w:rPr>
        <w:t>،</w:t>
      </w:r>
      <w:r w:rsidRPr="005675B2">
        <w:rPr>
          <w:rFonts w:hint="cs"/>
          <w:rtl/>
        </w:rPr>
        <w:t>تُسلّم أن الله موجود بغير زمان</w:t>
      </w:r>
      <w:r w:rsidR="000636C2">
        <w:rPr>
          <w:rFonts w:hint="cs"/>
          <w:rtl/>
        </w:rPr>
        <w:t>،</w:t>
      </w:r>
      <w:r w:rsidRPr="005675B2">
        <w:rPr>
          <w:rFonts w:hint="cs"/>
          <w:rtl/>
        </w:rPr>
        <w:t>أي أنه موجود قبل خلق الزمان</w:t>
      </w:r>
      <w:r w:rsidR="000636C2">
        <w:rPr>
          <w:rFonts w:hint="cs"/>
          <w:rtl/>
        </w:rPr>
        <w:t>،</w:t>
      </w:r>
      <w:r w:rsidRPr="005675B2">
        <w:rPr>
          <w:rFonts w:hint="cs"/>
          <w:rtl/>
        </w:rPr>
        <w:t>فأزليته غير مرتبطة بزمن</w:t>
      </w:r>
      <w:r w:rsidR="000636C2">
        <w:rPr>
          <w:rFonts w:hint="cs"/>
          <w:rtl/>
        </w:rPr>
        <w:t>،</w:t>
      </w:r>
      <w:r w:rsidRPr="005675B2">
        <w:rPr>
          <w:rFonts w:hint="cs"/>
          <w:rtl/>
        </w:rPr>
        <w:t xml:space="preserve"> والناس لا يعقلون فيما نشاهد إلا أسبقية مرتبطة بزمن، فيقال موجود قبل ألف سنة</w:t>
      </w:r>
      <w:r w:rsidR="000636C2">
        <w:rPr>
          <w:rFonts w:hint="cs"/>
          <w:rtl/>
        </w:rPr>
        <w:t>،</w:t>
      </w:r>
      <w:r w:rsidRPr="005675B2">
        <w:rPr>
          <w:rFonts w:hint="cs"/>
          <w:rtl/>
        </w:rPr>
        <w:t>أو منذ بداية الزمان</w:t>
      </w:r>
      <w:r w:rsidR="000636C2">
        <w:rPr>
          <w:rFonts w:hint="cs"/>
          <w:rtl/>
        </w:rPr>
        <w:t>،</w:t>
      </w:r>
      <w:r w:rsidRPr="005675B2">
        <w:rPr>
          <w:rFonts w:hint="cs"/>
          <w:rtl/>
        </w:rPr>
        <w:t>أو نحو ذلك</w:t>
      </w:r>
      <w:r w:rsidR="000636C2">
        <w:rPr>
          <w:rFonts w:hint="cs"/>
          <w:rtl/>
        </w:rPr>
        <w:t>،</w:t>
      </w:r>
      <w:r w:rsidRPr="005675B2">
        <w:rPr>
          <w:rFonts w:hint="cs"/>
          <w:rtl/>
        </w:rPr>
        <w:t>فكما عقلت وجود الله غير مرتبط بزمن، كذا فاعقل وجود الله غير حال في جهة</w:t>
      </w:r>
      <w:r w:rsidR="000636C2">
        <w:rPr>
          <w:rFonts w:hint="cs"/>
          <w:rtl/>
        </w:rPr>
        <w:t>،</w:t>
      </w:r>
      <w:r w:rsidRPr="005675B2">
        <w:rPr>
          <w:rFonts w:hint="cs"/>
          <w:rtl/>
        </w:rPr>
        <w:t xml:space="preserve"> لأن الأزمنة</w:t>
      </w:r>
      <w:r w:rsidR="000636C2">
        <w:rPr>
          <w:rFonts w:hint="cs"/>
          <w:rtl/>
        </w:rPr>
        <w:t>،</w:t>
      </w:r>
      <w:r w:rsidRPr="005675B2">
        <w:rPr>
          <w:rFonts w:hint="cs"/>
          <w:rtl/>
        </w:rPr>
        <w:t>والأمكنة</w:t>
      </w:r>
      <w:r w:rsidR="000636C2">
        <w:rPr>
          <w:rFonts w:hint="cs"/>
          <w:rtl/>
        </w:rPr>
        <w:t>،</w:t>
      </w:r>
      <w:r w:rsidRPr="005675B2">
        <w:rPr>
          <w:rFonts w:hint="cs"/>
          <w:rtl/>
        </w:rPr>
        <w:t>والجهات حادثات</w:t>
      </w:r>
      <w:r w:rsidR="000636C2">
        <w:rPr>
          <w:rFonts w:hint="cs"/>
          <w:rtl/>
        </w:rPr>
        <w:t xml:space="preserve"> </w:t>
      </w:r>
      <w:r w:rsidRPr="005675B2">
        <w:rPr>
          <w:rFonts w:hint="cs"/>
          <w:rtl/>
        </w:rPr>
        <w:t>مخلوقة، ووجود الله أزلي</w:t>
      </w:r>
      <w:r w:rsidR="000636C2">
        <w:rPr>
          <w:rFonts w:hint="cs"/>
          <w:rtl/>
        </w:rPr>
        <w:t xml:space="preserve"> </w:t>
      </w:r>
      <w:r w:rsidRPr="005675B2">
        <w:rPr>
          <w:rFonts w:hint="cs"/>
          <w:rtl/>
        </w:rPr>
        <w:t>لا يرتبط وجوده بوجودها</w:t>
      </w:r>
      <w:r w:rsidR="000636C2">
        <w:rPr>
          <w:rFonts w:hint="cs"/>
          <w:rtl/>
        </w:rPr>
        <w:t>،</w:t>
      </w:r>
    </w:p>
    <w:p w14:paraId="592DCD8B" w14:textId="54C30B46" w:rsidR="009C32A0" w:rsidRPr="005675B2" w:rsidRDefault="000636C2" w:rsidP="000636C2">
      <w:pPr>
        <w:rPr>
          <w:b/>
          <w:u w:val="single"/>
          <w:rtl/>
        </w:rPr>
      </w:pPr>
      <w:r>
        <w:rPr>
          <w:rFonts w:hint="cs"/>
          <w:rtl/>
        </w:rPr>
        <w:t>(</w:t>
      </w:r>
      <w:r w:rsidR="009C32A0">
        <w:rPr>
          <w:rFonts w:hint="cs"/>
          <w:rtl/>
        </w:rPr>
        <w:t>تنبيه</w:t>
      </w:r>
      <w:r>
        <w:rPr>
          <w:rFonts w:hint="cs"/>
          <w:rtl/>
        </w:rPr>
        <w:t>):</w:t>
      </w:r>
      <w:r w:rsidR="009C32A0" w:rsidRPr="005675B2">
        <w:rPr>
          <w:rFonts w:hint="cs"/>
          <w:rtl/>
        </w:rPr>
        <w:t xml:space="preserve"> الدهرية يعقلون وجود الله في غير جهة ومكان</w:t>
      </w:r>
      <w:r>
        <w:rPr>
          <w:rFonts w:hint="cs"/>
          <w:rtl/>
        </w:rPr>
        <w:t>،</w:t>
      </w:r>
      <w:r w:rsidR="009C32A0" w:rsidRPr="005675B2">
        <w:rPr>
          <w:rFonts w:hint="cs"/>
          <w:rtl/>
        </w:rPr>
        <w:t>ولكن لا يعقلون أزلية الله إلا مرتبطة بزمن</w:t>
      </w:r>
      <w:r>
        <w:rPr>
          <w:rFonts w:hint="cs"/>
          <w:rtl/>
        </w:rPr>
        <w:t>،</w:t>
      </w:r>
      <w:r w:rsidR="009C32A0" w:rsidRPr="005675B2">
        <w:rPr>
          <w:rFonts w:hint="cs"/>
          <w:rtl/>
        </w:rPr>
        <w:t xml:space="preserve"> والكرامية</w:t>
      </w:r>
      <w:r>
        <w:rPr>
          <w:rFonts w:hint="cs"/>
          <w:rtl/>
        </w:rPr>
        <w:t>،</w:t>
      </w:r>
      <w:r w:rsidR="009C32A0" w:rsidRPr="005675B2">
        <w:rPr>
          <w:rFonts w:hint="cs"/>
          <w:rtl/>
        </w:rPr>
        <w:t>وكذا أتباع منهج</w:t>
      </w:r>
      <w:r>
        <w:rPr>
          <w:rFonts w:hint="cs"/>
          <w:rtl/>
        </w:rPr>
        <w:t xml:space="preserve"> </w:t>
      </w:r>
      <w:r w:rsidR="009C32A0" w:rsidRPr="005675B2">
        <w:rPr>
          <w:rFonts w:hint="cs"/>
          <w:rtl/>
        </w:rPr>
        <w:t>ابن تيمية</w:t>
      </w:r>
      <w:r>
        <w:rPr>
          <w:rFonts w:hint="cs"/>
          <w:rtl/>
        </w:rPr>
        <w:t>:</w:t>
      </w:r>
      <w:r w:rsidR="009C32A0" w:rsidRPr="005675B2">
        <w:rPr>
          <w:rFonts w:hint="cs"/>
          <w:rtl/>
        </w:rPr>
        <w:t xml:space="preserve"> يعقلون أزلية</w:t>
      </w:r>
      <w:r>
        <w:rPr>
          <w:rFonts w:hint="cs"/>
          <w:rtl/>
        </w:rPr>
        <w:t xml:space="preserve"> </w:t>
      </w:r>
      <w:r w:rsidR="009C32A0" w:rsidRPr="005675B2">
        <w:rPr>
          <w:rFonts w:hint="cs"/>
          <w:rtl/>
        </w:rPr>
        <w:t xml:space="preserve">الله بغير زمن، ولكن لا يعقلون </w:t>
      </w:r>
      <w:r w:rsidR="009C32A0" w:rsidRPr="005675B2">
        <w:rPr>
          <w:rFonts w:hint="cs"/>
          <w:u w:val="single"/>
          <w:rtl/>
        </w:rPr>
        <w:t>وجود الله إلا في جهة</w:t>
      </w:r>
      <w:r>
        <w:rPr>
          <w:rFonts w:hint="cs"/>
          <w:rtl/>
        </w:rPr>
        <w:t xml:space="preserve">، </w:t>
      </w:r>
      <w:r w:rsidR="009C32A0" w:rsidRPr="005675B2">
        <w:rPr>
          <w:rFonts w:hint="cs"/>
          <w:rtl/>
        </w:rPr>
        <w:t>ووفق الله أهل السنة والجماعة للإيمان بوجود الله</w:t>
      </w:r>
      <w:r>
        <w:rPr>
          <w:rFonts w:hint="cs"/>
          <w:rtl/>
        </w:rPr>
        <w:t xml:space="preserve"> </w:t>
      </w:r>
      <w:r w:rsidR="009C32A0" w:rsidRPr="005675B2">
        <w:rPr>
          <w:rFonts w:hint="cs"/>
          <w:rtl/>
        </w:rPr>
        <w:t>من قبل الزمان والجهات</w:t>
      </w:r>
      <w:r>
        <w:rPr>
          <w:rFonts w:hint="cs"/>
          <w:rtl/>
        </w:rPr>
        <w:t xml:space="preserve"> </w:t>
      </w:r>
      <w:r w:rsidR="009C32A0" w:rsidRPr="005675B2">
        <w:rPr>
          <w:rFonts w:hint="cs"/>
          <w:rtl/>
        </w:rPr>
        <w:t>ولا يتغير ولايتبدل سبحانه عز شأنه ؛ فكانوا أمة وسطاً</w:t>
      </w:r>
      <w:r>
        <w:rPr>
          <w:rFonts w:hint="cs"/>
          <w:rtl/>
        </w:rPr>
        <w:t>،</w:t>
      </w:r>
      <w:r w:rsidR="009C32A0" w:rsidRPr="005675B2">
        <w:rPr>
          <w:rFonts w:hint="cs"/>
          <w:rtl/>
        </w:rPr>
        <w:t xml:space="preserve"> </w:t>
      </w:r>
      <w:r w:rsidR="009C32A0" w:rsidRPr="005675B2">
        <w:rPr>
          <w:rFonts w:hint="cs"/>
          <w:u w:val="single"/>
          <w:rtl/>
        </w:rPr>
        <w:t>قال الإمام أحمد (</w:t>
      </w:r>
      <w:r>
        <w:rPr>
          <w:rFonts w:hint="cs"/>
          <w:u w:val="single"/>
          <w:rtl/>
        </w:rPr>
        <w:t>(</w:t>
      </w:r>
      <w:r w:rsidR="009C32A0" w:rsidRPr="005675B2">
        <w:rPr>
          <w:rFonts w:hint="cs"/>
          <w:u w:val="single"/>
          <w:rtl/>
        </w:rPr>
        <w:t>والله تعالى لم يلحقه تغير ولا تبديل</w:t>
      </w:r>
      <w:r>
        <w:rPr>
          <w:rFonts w:hint="cs"/>
          <w:u w:val="single"/>
          <w:rtl/>
        </w:rPr>
        <w:t>،</w:t>
      </w:r>
      <w:r w:rsidR="009C32A0" w:rsidRPr="005675B2">
        <w:rPr>
          <w:rFonts w:hint="cs"/>
          <w:u w:val="single"/>
          <w:rtl/>
        </w:rPr>
        <w:t>ولا تلحقه الحدود قبل خلق العرش ولا بعد خلق العرش</w:t>
      </w:r>
      <w:r>
        <w:rPr>
          <w:rFonts w:hint="cs"/>
          <w:u w:val="single"/>
          <w:rtl/>
        </w:rPr>
        <w:t>)</w:t>
      </w:r>
      <w:r w:rsidR="009C32A0" w:rsidRPr="005675B2">
        <w:rPr>
          <w:rFonts w:hint="cs"/>
          <w:u w:val="single"/>
          <w:rtl/>
        </w:rPr>
        <w:t>)أهـ</w:t>
      </w:r>
      <w:r>
        <w:rPr>
          <w:rFonts w:hint="cs"/>
          <w:u w:val="single"/>
          <w:rtl/>
        </w:rPr>
        <w:t xml:space="preserve"> </w:t>
      </w:r>
      <w:r w:rsidR="009C32A0" w:rsidRPr="005675B2">
        <w:rPr>
          <w:rFonts w:hint="cs"/>
          <w:u w:val="single"/>
          <w:rtl/>
        </w:rPr>
        <w:t>[</w:t>
      </w:r>
      <w:r w:rsidR="009C32A0" w:rsidRPr="005675B2">
        <w:rPr>
          <w:rFonts w:hint="cs"/>
          <w:bCs/>
          <w:sz w:val="24"/>
          <w:szCs w:val="24"/>
          <w:rtl/>
        </w:rPr>
        <w:t>أعتقاد الإمام أحمد ص41</w:t>
      </w:r>
      <w:r w:rsidR="009C32A0" w:rsidRPr="005675B2">
        <w:rPr>
          <w:rFonts w:hint="cs"/>
          <w:u w:val="single"/>
          <w:rtl/>
        </w:rPr>
        <w:t>]</w:t>
      </w:r>
    </w:p>
    <w:p w14:paraId="4D3344EE" w14:textId="2C39D5AB" w:rsidR="009C32A0" w:rsidRPr="005675B2" w:rsidRDefault="009C32A0" w:rsidP="000636C2">
      <w:pPr>
        <w:rPr>
          <w:b/>
          <w:rtl/>
        </w:rPr>
      </w:pPr>
      <w:r w:rsidRPr="005675B2">
        <w:rPr>
          <w:rFonts w:hint="cs"/>
          <w:rtl/>
        </w:rPr>
        <w:t>7</w:t>
      </w:r>
      <w:r w:rsidR="000636C2">
        <w:rPr>
          <w:rFonts w:hint="cs"/>
          <w:rtl/>
        </w:rPr>
        <w:t xml:space="preserve"> </w:t>
      </w:r>
      <w:r w:rsidRPr="005675B2">
        <w:rPr>
          <w:rFonts w:hint="cs"/>
          <w:rtl/>
        </w:rPr>
        <w:t>-</w:t>
      </w:r>
      <w:r w:rsidR="000636C2">
        <w:rPr>
          <w:rFonts w:hint="cs"/>
          <w:rtl/>
        </w:rPr>
        <w:t xml:space="preserve"> </w:t>
      </w:r>
      <w:r w:rsidRPr="005675B2">
        <w:rPr>
          <w:rFonts w:hint="cs"/>
          <w:rtl/>
        </w:rPr>
        <w:t>قد وردت آيات وآحاديث</w:t>
      </w:r>
      <w:r w:rsidR="000636C2">
        <w:rPr>
          <w:rFonts w:hint="cs"/>
          <w:rtl/>
        </w:rPr>
        <w:t>،</w:t>
      </w:r>
      <w:r w:rsidRPr="005675B2">
        <w:rPr>
          <w:rFonts w:hint="cs"/>
          <w:rtl/>
        </w:rPr>
        <w:t>أشكلت على فئام من الناس ؛فظنوا أن الله يحل في الأرض كقوله تعالى (</w:t>
      </w:r>
      <w:r w:rsidR="000636C2">
        <w:rPr>
          <w:rFonts w:hint="cs"/>
          <w:rtl/>
        </w:rPr>
        <w:t>(</w:t>
      </w:r>
      <w:r w:rsidRPr="005675B2">
        <w:rPr>
          <w:rFonts w:hint="cs"/>
          <w:rtl/>
        </w:rPr>
        <w:t>ما يكون من نجوى ثلاثة إلا هو رابعهم</w:t>
      </w:r>
      <w:r w:rsidR="000636C2">
        <w:rPr>
          <w:rFonts w:hint="cs"/>
          <w:rtl/>
        </w:rPr>
        <w:t>)</w:t>
      </w:r>
      <w:r w:rsidRPr="005675B2">
        <w:rPr>
          <w:rFonts w:hint="cs"/>
          <w:rtl/>
        </w:rPr>
        <w:t>)،وقوله (</w:t>
      </w:r>
      <w:r w:rsidR="000636C2">
        <w:rPr>
          <w:rFonts w:hint="cs"/>
          <w:rtl/>
        </w:rPr>
        <w:t>(</w:t>
      </w:r>
      <w:r w:rsidRPr="005675B2">
        <w:rPr>
          <w:rFonts w:hint="cs"/>
          <w:rtl/>
        </w:rPr>
        <w:t>وهو معكم أينما كنتم</w:t>
      </w:r>
      <w:r w:rsidR="000636C2">
        <w:rPr>
          <w:rFonts w:hint="cs"/>
          <w:rtl/>
        </w:rPr>
        <w:t>)</w:t>
      </w:r>
      <w:r w:rsidRPr="005675B2">
        <w:rPr>
          <w:rFonts w:hint="cs"/>
          <w:rtl/>
        </w:rPr>
        <w:t>)</w:t>
      </w:r>
      <w:r w:rsidR="000636C2">
        <w:rPr>
          <w:rFonts w:hint="cs"/>
          <w:rtl/>
        </w:rPr>
        <w:t>،</w:t>
      </w:r>
      <w:r w:rsidRPr="005675B2">
        <w:rPr>
          <w:rFonts w:hint="cs"/>
          <w:rtl/>
        </w:rPr>
        <w:t xml:space="preserve"> وقوله (</w:t>
      </w:r>
      <w:r w:rsidR="000636C2">
        <w:rPr>
          <w:rFonts w:hint="cs"/>
          <w:rtl/>
        </w:rPr>
        <w:t>(</w:t>
      </w:r>
      <w:r w:rsidRPr="005675B2">
        <w:rPr>
          <w:rFonts w:hint="cs"/>
          <w:rtl/>
        </w:rPr>
        <w:t>ونحن أقرب إليه من حبل الوريد</w:t>
      </w:r>
      <w:r w:rsidR="000636C2">
        <w:rPr>
          <w:rFonts w:hint="cs"/>
          <w:rtl/>
        </w:rPr>
        <w:t>)</w:t>
      </w:r>
      <w:r w:rsidRPr="005675B2">
        <w:rPr>
          <w:rFonts w:hint="cs"/>
          <w:rtl/>
        </w:rPr>
        <w:t>)</w:t>
      </w:r>
      <w:r w:rsidR="000636C2">
        <w:rPr>
          <w:rFonts w:hint="cs"/>
          <w:rtl/>
        </w:rPr>
        <w:t>،</w:t>
      </w:r>
      <w:r w:rsidRPr="005675B2">
        <w:rPr>
          <w:rFonts w:hint="cs"/>
          <w:rtl/>
        </w:rPr>
        <w:t>فتأولها أهل السنة على معنى لائق بالله ونفوا</w:t>
      </w:r>
      <w:r w:rsidR="000636C2">
        <w:rPr>
          <w:rFonts w:hint="cs"/>
          <w:rtl/>
        </w:rPr>
        <w:t xml:space="preserve"> </w:t>
      </w:r>
      <w:r w:rsidRPr="005675B2">
        <w:rPr>
          <w:rFonts w:hint="cs"/>
          <w:rtl/>
        </w:rPr>
        <w:t>أن يكون معناها على ظاهرهاالمتبادر</w:t>
      </w:r>
      <w:r w:rsidR="000636C2">
        <w:rPr>
          <w:rFonts w:hint="cs"/>
          <w:rtl/>
        </w:rPr>
        <w:t xml:space="preserve"> </w:t>
      </w:r>
      <w:r w:rsidRPr="005675B2">
        <w:rPr>
          <w:rFonts w:hint="cs"/>
          <w:rtl/>
        </w:rPr>
        <w:t>للأذهان</w:t>
      </w:r>
      <w:r w:rsidR="000636C2">
        <w:rPr>
          <w:rFonts w:hint="cs"/>
          <w:rtl/>
        </w:rPr>
        <w:t>،</w:t>
      </w:r>
      <w:r w:rsidRPr="005675B2">
        <w:rPr>
          <w:rFonts w:hint="cs"/>
          <w:rtl/>
        </w:rPr>
        <w:t xml:space="preserve">وقالوا </w:t>
      </w:r>
      <w:r w:rsidR="000636C2">
        <w:rPr>
          <w:rFonts w:hint="cs"/>
          <w:rtl/>
        </w:rPr>
        <w:t>(</w:t>
      </w:r>
      <w:r w:rsidRPr="005675B2">
        <w:rPr>
          <w:rFonts w:hint="cs"/>
          <w:rtl/>
        </w:rPr>
        <w:t>معنا</w:t>
      </w:r>
      <w:r w:rsidR="000636C2">
        <w:rPr>
          <w:rFonts w:hint="cs"/>
          <w:rtl/>
        </w:rPr>
        <w:t>)</w:t>
      </w:r>
      <w:r w:rsidRPr="005675B2">
        <w:rPr>
          <w:rFonts w:hint="cs"/>
          <w:rtl/>
        </w:rPr>
        <w:t xml:space="preserve">ليس بذاته وإنما </w:t>
      </w:r>
      <w:r w:rsidR="000636C2">
        <w:rPr>
          <w:rFonts w:hint="cs"/>
          <w:rtl/>
        </w:rPr>
        <w:t>(</w:t>
      </w:r>
      <w:r w:rsidRPr="005675B2">
        <w:rPr>
          <w:rFonts w:hint="cs"/>
          <w:rtl/>
        </w:rPr>
        <w:t>معنا</w:t>
      </w:r>
      <w:r w:rsidR="000636C2">
        <w:rPr>
          <w:rFonts w:hint="cs"/>
          <w:rtl/>
        </w:rPr>
        <w:t>)</w:t>
      </w:r>
      <w:r w:rsidRPr="005675B2">
        <w:rPr>
          <w:rFonts w:hint="cs"/>
          <w:rtl/>
        </w:rPr>
        <w:t>بعلمه،وكذا يقول أهل السنة في النصوص التي أوهمت حلول الله في العرش</w:t>
      </w:r>
      <w:r w:rsidR="000636C2">
        <w:rPr>
          <w:rFonts w:hint="cs"/>
          <w:rtl/>
        </w:rPr>
        <w:t>،</w:t>
      </w:r>
      <w:r w:rsidRPr="005675B2">
        <w:rPr>
          <w:rFonts w:hint="cs"/>
          <w:rtl/>
        </w:rPr>
        <w:t>أو في السماء</w:t>
      </w:r>
      <w:r w:rsidR="000636C2">
        <w:rPr>
          <w:rFonts w:hint="cs"/>
          <w:rtl/>
        </w:rPr>
        <w:t>،</w:t>
      </w:r>
      <w:r w:rsidRPr="005675B2">
        <w:rPr>
          <w:rFonts w:hint="cs"/>
          <w:rtl/>
        </w:rPr>
        <w:t>أو الجهة</w:t>
      </w:r>
      <w:r w:rsidR="000636C2">
        <w:rPr>
          <w:rFonts w:hint="cs"/>
          <w:rtl/>
        </w:rPr>
        <w:t>،</w:t>
      </w:r>
      <w:r w:rsidRPr="005675B2">
        <w:rPr>
          <w:rFonts w:hint="cs"/>
          <w:rtl/>
        </w:rPr>
        <w:t>أو غيرها من المخلوقات</w:t>
      </w:r>
      <w:r w:rsidR="000636C2">
        <w:rPr>
          <w:rFonts w:hint="cs"/>
          <w:rtl/>
        </w:rPr>
        <w:t>،</w:t>
      </w:r>
      <w:r w:rsidRPr="005675B2">
        <w:rPr>
          <w:rFonts w:hint="cs"/>
          <w:u w:val="single"/>
          <w:rtl/>
        </w:rPr>
        <w:t>فكيف بمن يقول بأنه يحل في المعدومات</w:t>
      </w:r>
      <w:r w:rsidR="000636C2">
        <w:rPr>
          <w:rFonts w:hint="cs"/>
          <w:rtl/>
        </w:rPr>
        <w:t xml:space="preserve">؟! </w:t>
      </w:r>
      <w:r w:rsidRPr="005675B2">
        <w:rPr>
          <w:rFonts w:hint="cs"/>
          <w:rtl/>
        </w:rPr>
        <w:t>الأدلة الموهمة لحلول الله في الجهة</w:t>
      </w:r>
      <w:r w:rsidR="000636C2">
        <w:rPr>
          <w:rFonts w:hint="cs"/>
          <w:rtl/>
        </w:rPr>
        <w:t>:</w:t>
      </w:r>
      <w:r w:rsidRPr="005675B2">
        <w:rPr>
          <w:rFonts w:hint="cs"/>
          <w:rtl/>
        </w:rPr>
        <w:t xml:space="preserve"> قد تمسكوا بإثبات الجهة المكانية لله بأدلة أجاب عنها علماء أهل السنة والجماعة</w:t>
      </w:r>
      <w:r w:rsidR="000636C2">
        <w:rPr>
          <w:rFonts w:hint="cs"/>
          <w:rtl/>
        </w:rPr>
        <w:t xml:space="preserve"> </w:t>
      </w:r>
      <w:r w:rsidRPr="005675B2">
        <w:rPr>
          <w:rFonts w:hint="cs"/>
          <w:rtl/>
        </w:rPr>
        <w:t>أسوقها باختصار</w:t>
      </w:r>
      <w:r w:rsidR="000636C2">
        <w:rPr>
          <w:rFonts w:hint="cs"/>
          <w:rtl/>
        </w:rPr>
        <w:t>:</w:t>
      </w:r>
      <w:r w:rsidRPr="005675B2">
        <w:rPr>
          <w:rFonts w:hint="cs"/>
          <w:rtl/>
        </w:rPr>
        <w:t xml:space="preserve"> ولكن بداية فلابد من التأكيد على النقاط التالية</w:t>
      </w:r>
      <w:r w:rsidR="000636C2">
        <w:rPr>
          <w:rFonts w:hint="cs"/>
          <w:rtl/>
        </w:rPr>
        <w:t>:</w:t>
      </w:r>
    </w:p>
    <w:p w14:paraId="42E84CD5" w14:textId="51798E96" w:rsidR="009C32A0" w:rsidRPr="005675B2" w:rsidRDefault="000636C2" w:rsidP="000636C2">
      <w:pPr>
        <w:rPr>
          <w:b/>
          <w:rtl/>
        </w:rPr>
      </w:pPr>
      <w:r>
        <w:rPr>
          <w:rFonts w:hint="cs"/>
          <w:rtl/>
        </w:rPr>
        <w:t>(</w:t>
      </w:r>
      <w:r w:rsidR="009C32A0">
        <w:rPr>
          <w:rFonts w:hint="cs"/>
          <w:rtl/>
        </w:rPr>
        <w:t>أولا</w:t>
      </w:r>
      <w:r>
        <w:rPr>
          <w:rFonts w:hint="cs"/>
          <w:rtl/>
        </w:rPr>
        <w:t>):</w:t>
      </w:r>
      <w:r w:rsidR="009C32A0" w:rsidRPr="005675B2">
        <w:rPr>
          <w:rFonts w:hint="cs"/>
          <w:rtl/>
        </w:rPr>
        <w:t xml:space="preserve"> 1</w:t>
      </w:r>
      <w:r>
        <w:rPr>
          <w:rFonts w:hint="cs"/>
          <w:rtl/>
        </w:rPr>
        <w:t xml:space="preserve"> </w:t>
      </w:r>
      <w:r w:rsidR="009C32A0" w:rsidRPr="005675B2">
        <w:rPr>
          <w:rFonts w:hint="cs"/>
          <w:rtl/>
        </w:rPr>
        <w:t xml:space="preserve">- أن أهل السنة والجماعة من الأشعرية وغيرهم يؤمنون بوجود الله فكان الله ولم يكن شيء </w:t>
      </w:r>
      <w:r w:rsidR="009C32A0" w:rsidRPr="005675B2">
        <w:rPr>
          <w:rFonts w:hint="cs"/>
          <w:u w:val="single"/>
          <w:rtl/>
        </w:rPr>
        <w:t>معه</w:t>
      </w:r>
      <w:r w:rsidR="009C32A0" w:rsidRPr="005675B2">
        <w:rPr>
          <w:rFonts w:hint="cs"/>
          <w:rtl/>
        </w:rPr>
        <w:t>، ولا قبله</w:t>
      </w:r>
      <w:r>
        <w:rPr>
          <w:rFonts w:hint="cs"/>
          <w:rtl/>
        </w:rPr>
        <w:t>،</w:t>
      </w:r>
      <w:r w:rsidR="009C32A0" w:rsidRPr="005675B2">
        <w:rPr>
          <w:rFonts w:hint="cs"/>
          <w:rtl/>
        </w:rPr>
        <w:t xml:space="preserve"> 2</w:t>
      </w:r>
      <w:r>
        <w:rPr>
          <w:rFonts w:hint="cs"/>
          <w:rtl/>
        </w:rPr>
        <w:t xml:space="preserve"> </w:t>
      </w:r>
      <w:r w:rsidR="009C32A0" w:rsidRPr="005675B2">
        <w:rPr>
          <w:rFonts w:hint="cs"/>
          <w:rtl/>
        </w:rPr>
        <w:t>- أن الله غير حال في مخلوقاته ومنها</w:t>
      </w:r>
      <w:r>
        <w:rPr>
          <w:rFonts w:hint="cs"/>
          <w:rtl/>
        </w:rPr>
        <w:t xml:space="preserve"> </w:t>
      </w:r>
      <w:r w:rsidR="009C32A0" w:rsidRPr="005675B2">
        <w:rPr>
          <w:rFonts w:hint="cs"/>
          <w:rtl/>
        </w:rPr>
        <w:t>الجهات والأحياز</w:t>
      </w:r>
      <w:r>
        <w:rPr>
          <w:rFonts w:hint="cs"/>
          <w:rtl/>
        </w:rPr>
        <w:t>،</w:t>
      </w:r>
      <w:r w:rsidR="009C32A0" w:rsidRPr="005675B2">
        <w:rPr>
          <w:rFonts w:hint="cs"/>
          <w:rtl/>
        </w:rPr>
        <w:t xml:space="preserve"> 3</w:t>
      </w:r>
      <w:r>
        <w:rPr>
          <w:rFonts w:hint="cs"/>
          <w:rtl/>
        </w:rPr>
        <w:t xml:space="preserve"> </w:t>
      </w:r>
      <w:r w:rsidR="009C32A0" w:rsidRPr="005675B2">
        <w:rPr>
          <w:rFonts w:hint="cs"/>
          <w:rtl/>
        </w:rPr>
        <w:t>- أن ذات الله وصفاته ومنها صفة الوجود لا يقاس بالحس و الخيال، فلا نكيفها</w:t>
      </w:r>
      <w:r>
        <w:rPr>
          <w:rFonts w:hint="cs"/>
          <w:rtl/>
        </w:rPr>
        <w:t>،</w:t>
      </w:r>
      <w:r w:rsidR="009C32A0" w:rsidRPr="005675B2">
        <w:rPr>
          <w:rFonts w:hint="cs"/>
          <w:rtl/>
        </w:rPr>
        <w:t>ولا نقيسها على وجود المخلوقات</w:t>
      </w:r>
      <w:r>
        <w:rPr>
          <w:rFonts w:hint="cs"/>
          <w:rtl/>
        </w:rPr>
        <w:t>،</w:t>
      </w:r>
      <w:r w:rsidR="009C32A0" w:rsidRPr="005675B2">
        <w:rPr>
          <w:rFonts w:hint="cs"/>
          <w:rtl/>
        </w:rPr>
        <w:t xml:space="preserve"> </w:t>
      </w:r>
    </w:p>
    <w:p w14:paraId="64D85035" w14:textId="3B74B860" w:rsidR="009C32A0" w:rsidRPr="005675B2" w:rsidRDefault="000636C2" w:rsidP="000636C2">
      <w:pPr>
        <w:rPr>
          <w:b/>
          <w:noProof/>
          <w:rtl/>
        </w:rPr>
      </w:pPr>
      <w:r>
        <w:rPr>
          <w:rFonts w:hint="cs"/>
          <w:rtl/>
        </w:rPr>
        <w:t>(</w:t>
      </w:r>
      <w:r w:rsidR="009C32A0">
        <w:rPr>
          <w:rFonts w:hint="cs"/>
          <w:rtl/>
        </w:rPr>
        <w:t>ثانيا</w:t>
      </w:r>
      <w:r>
        <w:rPr>
          <w:rFonts w:hint="cs"/>
          <w:rtl/>
        </w:rPr>
        <w:t>):</w:t>
      </w:r>
      <w:r w:rsidR="009C32A0" w:rsidRPr="005675B2">
        <w:rPr>
          <w:rFonts w:hint="cs"/>
          <w:rtl/>
        </w:rPr>
        <w:t xml:space="preserve"> كما أن أهل السنة والجماعة يؤمنون بآيات وأحاديث وردت في كتابه وسنة رسوله فيثبتونها لله مع القطع بأنها ليست على المعنى</w:t>
      </w:r>
      <w:r>
        <w:rPr>
          <w:rFonts w:hint="cs"/>
          <w:rtl/>
        </w:rPr>
        <w:t xml:space="preserve"> </w:t>
      </w:r>
      <w:r w:rsidR="009C32A0" w:rsidRPr="005675B2">
        <w:rPr>
          <w:rFonts w:hint="cs"/>
          <w:rtl/>
        </w:rPr>
        <w:t>الذي لا يليق بالله</w:t>
      </w:r>
      <w:r>
        <w:rPr>
          <w:rFonts w:hint="cs"/>
          <w:rtl/>
        </w:rPr>
        <w:t>،</w:t>
      </w:r>
      <w:r w:rsidR="009C32A0" w:rsidRPr="005675B2">
        <w:rPr>
          <w:rFonts w:hint="cs"/>
          <w:rtl/>
        </w:rPr>
        <w:t>كصفة اليد،والوجه</w:t>
      </w:r>
      <w:r>
        <w:rPr>
          <w:rFonts w:hint="cs"/>
          <w:rtl/>
        </w:rPr>
        <w:t>،</w:t>
      </w:r>
      <w:r w:rsidR="009C32A0" w:rsidRPr="005675B2">
        <w:rPr>
          <w:rFonts w:hint="cs"/>
          <w:rtl/>
        </w:rPr>
        <w:t>والعين</w:t>
      </w:r>
      <w:r>
        <w:rPr>
          <w:rFonts w:hint="cs"/>
          <w:rtl/>
        </w:rPr>
        <w:t xml:space="preserve"> </w:t>
      </w:r>
      <w:r w:rsidR="009C32A0" w:rsidRPr="005675B2">
        <w:rPr>
          <w:rFonts w:hint="cs"/>
          <w:rtl/>
        </w:rPr>
        <w:t>فليست بجوارح ولا أعضاء وهذا لا يعقل فيما نشاهد إلا كونها أعضاء، فكذلك وجود الله واستواؤه</w:t>
      </w:r>
      <w:r>
        <w:rPr>
          <w:rFonts w:hint="cs"/>
          <w:rtl/>
        </w:rPr>
        <w:t>،</w:t>
      </w:r>
      <w:r w:rsidR="009C32A0" w:rsidRPr="005675B2">
        <w:rPr>
          <w:rFonts w:hint="cs"/>
          <w:rtl/>
        </w:rPr>
        <w:t>وعلوه نثبته لله مع القطع بنفي المعنى الباطل الذي لا يليق به</w:t>
      </w:r>
      <w:r>
        <w:rPr>
          <w:rFonts w:hint="cs"/>
          <w:rtl/>
        </w:rPr>
        <w:t>،</w:t>
      </w:r>
      <w:r w:rsidR="009C32A0" w:rsidRPr="005675B2">
        <w:rPr>
          <w:rFonts w:hint="cs"/>
          <w:rtl/>
        </w:rPr>
        <w:t>كوجوده في المخلوقات أو الأحياز والجهات</w:t>
      </w:r>
      <w:r>
        <w:rPr>
          <w:rFonts w:hint="cs"/>
          <w:rtl/>
        </w:rPr>
        <w:t>،</w:t>
      </w:r>
      <w:r w:rsidR="009C32A0" w:rsidRPr="005675B2">
        <w:rPr>
          <w:rFonts w:hint="cs"/>
          <w:rtl/>
        </w:rPr>
        <w:t>وهذا مخالف لما نراه في وجود المخلوقات لأنه لا قياس بين الخالق والمخلوق</w:t>
      </w:r>
      <w:r>
        <w:rPr>
          <w:rFonts w:hint="cs"/>
          <w:rtl/>
        </w:rPr>
        <w:t>،</w:t>
      </w:r>
      <w:r w:rsidR="009C32A0" w:rsidRPr="005675B2">
        <w:rPr>
          <w:rFonts w:hint="cs"/>
          <w:rtl/>
        </w:rPr>
        <w:t xml:space="preserve"> قال الإمام أحمد</w:t>
      </w:r>
      <w:r>
        <w:rPr>
          <w:rFonts w:hint="cs"/>
          <w:rtl/>
        </w:rPr>
        <w:t>:</w:t>
      </w:r>
      <w:r w:rsidR="009C32A0" w:rsidRPr="005675B2">
        <w:rPr>
          <w:rFonts w:hint="cs"/>
          <w:rtl/>
        </w:rPr>
        <w:t xml:space="preserve"> من قال أنه بذاته في كل مكان أو في مكان فكافر لأنه يلزم منه قدم المكان</w:t>
      </w:r>
      <w:r>
        <w:rPr>
          <w:rFonts w:hint="cs"/>
          <w:rtl/>
        </w:rPr>
        <w:t>،</w:t>
      </w:r>
      <w:r w:rsidR="009C32A0" w:rsidRPr="005675B2">
        <w:rPr>
          <w:rFonts w:hint="cs"/>
          <w:rtl/>
        </w:rPr>
        <w:t xml:space="preserve"> [</w:t>
      </w:r>
      <w:r w:rsidR="009C32A0" w:rsidRPr="005675B2">
        <w:rPr>
          <w:rFonts w:hint="cs"/>
          <w:bCs/>
          <w:sz w:val="24"/>
          <w:szCs w:val="24"/>
          <w:rtl/>
        </w:rPr>
        <w:t>نهاية المبتدئين 31</w:t>
      </w:r>
      <w:r w:rsidR="009C32A0" w:rsidRPr="005675B2">
        <w:rPr>
          <w:rFonts w:hint="cs"/>
          <w:rtl/>
        </w:rPr>
        <w:t>]</w:t>
      </w:r>
      <w:r>
        <w:rPr>
          <w:rFonts w:hint="cs"/>
          <w:rtl/>
        </w:rPr>
        <w:t>،</w:t>
      </w:r>
      <w:r w:rsidR="009C32A0" w:rsidRPr="005675B2">
        <w:rPr>
          <w:rFonts w:hint="cs"/>
          <w:rtl/>
        </w:rPr>
        <w:t xml:space="preserve"> وقال ايضاً</w:t>
      </w:r>
      <w:r>
        <w:rPr>
          <w:rFonts w:hint="cs"/>
          <w:rtl/>
        </w:rPr>
        <w:t>:</w:t>
      </w:r>
      <w:r w:rsidR="009C32A0" w:rsidRPr="005675B2">
        <w:rPr>
          <w:rFonts w:hint="cs"/>
          <w:rtl/>
        </w:rPr>
        <w:t xml:space="preserve"> والله تعالى لم يلحقه تغير ولا تبديل</w:t>
      </w:r>
      <w:r>
        <w:rPr>
          <w:rFonts w:hint="cs"/>
          <w:rtl/>
        </w:rPr>
        <w:t>،</w:t>
      </w:r>
      <w:r w:rsidR="009C32A0" w:rsidRPr="005675B2">
        <w:rPr>
          <w:rFonts w:hint="cs"/>
          <w:rtl/>
        </w:rPr>
        <w:t>ولا تلحقه الحدود قبل خلق العرش ولا بعد خلقه</w:t>
      </w:r>
      <w:r>
        <w:rPr>
          <w:rFonts w:hint="cs"/>
          <w:rtl/>
        </w:rPr>
        <w:t>،</w:t>
      </w:r>
      <w:r w:rsidR="009C32A0" w:rsidRPr="005675B2">
        <w:rPr>
          <w:rFonts w:hint="cs"/>
          <w:rtl/>
        </w:rPr>
        <w:t xml:space="preserve"> وقال</w:t>
      </w:r>
      <w:r>
        <w:rPr>
          <w:rFonts w:hint="cs"/>
          <w:rtl/>
        </w:rPr>
        <w:t>:</w:t>
      </w:r>
      <w:r w:rsidR="009C32A0" w:rsidRPr="005675B2">
        <w:rPr>
          <w:rFonts w:hint="cs"/>
          <w:rtl/>
        </w:rPr>
        <w:t xml:space="preserve"> وهو عالم بالأشياء ومدبرها</w:t>
      </w:r>
      <w:r w:rsidR="009C32A0" w:rsidRPr="005675B2">
        <w:rPr>
          <w:rFonts w:hint="cs"/>
          <w:u w:val="single"/>
          <w:rtl/>
        </w:rPr>
        <w:t xml:space="preserve"> من غير مخالطة ولا موالجة</w:t>
      </w:r>
      <w:r>
        <w:rPr>
          <w:rFonts w:hint="cs"/>
          <w:u w:val="single"/>
          <w:rtl/>
        </w:rPr>
        <w:t>،</w:t>
      </w:r>
      <w:r w:rsidR="009C32A0" w:rsidRPr="005675B2">
        <w:rPr>
          <w:rFonts w:hint="cs"/>
          <w:rtl/>
        </w:rPr>
        <w:t xml:space="preserve"> [</w:t>
      </w:r>
      <w:r w:rsidR="009C32A0" w:rsidRPr="005675B2">
        <w:rPr>
          <w:rFonts w:hint="cs"/>
          <w:bCs/>
          <w:sz w:val="24"/>
          <w:szCs w:val="24"/>
          <w:rtl/>
        </w:rPr>
        <w:t>أعتقاد الإمام أحمد 41</w:t>
      </w:r>
      <w:r w:rsidR="009C32A0" w:rsidRPr="005675B2">
        <w:rPr>
          <w:rFonts w:hint="cs"/>
          <w:rtl/>
        </w:rPr>
        <w:t>] وقال</w:t>
      </w:r>
      <w:r>
        <w:rPr>
          <w:rFonts w:hint="cs"/>
          <w:rtl/>
        </w:rPr>
        <w:t>:</w:t>
      </w:r>
      <w:r w:rsidR="009C32A0" w:rsidRPr="005675B2">
        <w:rPr>
          <w:rFonts w:hint="cs"/>
          <w:rtl/>
        </w:rPr>
        <w:t xml:space="preserve"> إن لله تعالى يدين وهما صفة له</w:t>
      </w:r>
      <w:r>
        <w:rPr>
          <w:rFonts w:hint="cs"/>
          <w:rtl/>
        </w:rPr>
        <w:t>،</w:t>
      </w:r>
      <w:r w:rsidR="009C32A0" w:rsidRPr="005675B2">
        <w:rPr>
          <w:rFonts w:hint="cs"/>
          <w:u w:val="single"/>
          <w:rtl/>
        </w:rPr>
        <w:t>وليستا بجارحتين</w:t>
      </w:r>
      <w:r>
        <w:rPr>
          <w:rFonts w:hint="cs"/>
          <w:u w:val="single"/>
          <w:rtl/>
        </w:rPr>
        <w:t>،</w:t>
      </w:r>
      <w:r w:rsidR="009C32A0" w:rsidRPr="005675B2">
        <w:rPr>
          <w:rFonts w:hint="cs"/>
          <w:u w:val="single"/>
          <w:rtl/>
        </w:rPr>
        <w:t>وليستا بمركبتين</w:t>
      </w:r>
      <w:r>
        <w:rPr>
          <w:rFonts w:hint="cs"/>
          <w:u w:val="single"/>
          <w:rtl/>
        </w:rPr>
        <w:t>،</w:t>
      </w:r>
      <w:r w:rsidR="009C32A0" w:rsidRPr="005675B2">
        <w:rPr>
          <w:rFonts w:hint="cs"/>
          <w:u w:val="single"/>
          <w:rtl/>
        </w:rPr>
        <w:t>ولا جسم</w:t>
      </w:r>
      <w:r>
        <w:rPr>
          <w:rFonts w:hint="cs"/>
          <w:u w:val="single"/>
          <w:rtl/>
        </w:rPr>
        <w:t>،</w:t>
      </w:r>
      <w:r w:rsidR="009C32A0" w:rsidRPr="005675B2">
        <w:rPr>
          <w:rFonts w:hint="cs"/>
          <w:u w:val="single"/>
          <w:rtl/>
        </w:rPr>
        <w:t>ولا من جنس الأجسام، ولا من جنس التركيب</w:t>
      </w:r>
      <w:r>
        <w:rPr>
          <w:rFonts w:hint="cs"/>
          <w:u w:val="single"/>
          <w:rtl/>
        </w:rPr>
        <w:t>،</w:t>
      </w:r>
      <w:r w:rsidR="009C32A0" w:rsidRPr="005675B2">
        <w:rPr>
          <w:rFonts w:hint="cs"/>
          <w:u w:val="single"/>
          <w:rtl/>
        </w:rPr>
        <w:t>والأبعاض</w:t>
      </w:r>
      <w:r>
        <w:rPr>
          <w:rFonts w:hint="cs"/>
          <w:u w:val="single"/>
          <w:rtl/>
        </w:rPr>
        <w:t>،</w:t>
      </w:r>
      <w:r w:rsidR="009C32A0" w:rsidRPr="005675B2">
        <w:rPr>
          <w:rFonts w:hint="cs"/>
          <w:u w:val="single"/>
          <w:rtl/>
        </w:rPr>
        <w:t>والجوارح ولا يقاس على ذلك .. أهـ</w:t>
      </w:r>
      <w:r>
        <w:rPr>
          <w:rFonts w:hint="cs"/>
          <w:u w:val="single"/>
          <w:rtl/>
        </w:rPr>
        <w:t xml:space="preserve"> </w:t>
      </w:r>
      <w:r w:rsidR="009C32A0" w:rsidRPr="005675B2">
        <w:rPr>
          <w:rFonts w:hint="cs"/>
          <w:rtl/>
        </w:rPr>
        <w:t>[</w:t>
      </w:r>
      <w:r w:rsidR="009C32A0" w:rsidRPr="005675B2">
        <w:rPr>
          <w:rFonts w:hint="cs"/>
          <w:bCs/>
          <w:sz w:val="24"/>
          <w:szCs w:val="24"/>
          <w:rtl/>
        </w:rPr>
        <w:t>أعتقاد الإمام أحمد 33 وهو بذلك رد على المشبهة والجهمية والمعتزلة فأثبت الصفة ونفى المعنى الباطل وهو عين عقيدة الأشاعرة وراجع تفسير الرازي وغيره لترى ذلك]</w:t>
      </w:r>
      <w:r>
        <w:rPr>
          <w:rFonts w:hint="cs"/>
          <w:rtl/>
        </w:rPr>
        <w:t>،</w:t>
      </w:r>
      <w:r w:rsidR="009C32A0" w:rsidRPr="005675B2">
        <w:rPr>
          <w:rFonts w:hint="cs"/>
          <w:rtl/>
        </w:rPr>
        <w:t xml:space="preserve"> قال الإمام الرازي</w:t>
      </w:r>
      <w:r>
        <w:rPr>
          <w:rFonts w:hint="cs"/>
          <w:rtl/>
        </w:rPr>
        <w:t xml:space="preserve">: </w:t>
      </w:r>
      <w:r w:rsidR="009C32A0" w:rsidRPr="005675B2">
        <w:rPr>
          <w:rFonts w:hint="cs"/>
          <w:noProof/>
          <w:rtl/>
        </w:rPr>
        <w:t>إن كل موجودين</w:t>
      </w:r>
      <w:r>
        <w:rPr>
          <w:rFonts w:hint="cs"/>
          <w:noProof/>
          <w:rtl/>
        </w:rPr>
        <w:t>،</w:t>
      </w:r>
      <w:r w:rsidR="009C32A0" w:rsidRPr="005675B2">
        <w:rPr>
          <w:rFonts w:hint="cs"/>
          <w:noProof/>
          <w:rtl/>
        </w:rPr>
        <w:t xml:space="preserve"> فإن وجودهما يحتمل ثلاث احتمالات</w:t>
      </w:r>
      <w:r>
        <w:rPr>
          <w:rFonts w:hint="cs"/>
          <w:noProof/>
          <w:rtl/>
        </w:rPr>
        <w:t>:</w:t>
      </w:r>
    </w:p>
    <w:p w14:paraId="5989F05F" w14:textId="74266275" w:rsidR="009C32A0" w:rsidRPr="005675B2" w:rsidRDefault="009C32A0" w:rsidP="000636C2">
      <w:pPr>
        <w:rPr>
          <w:b/>
          <w:noProof/>
          <w:u w:val="single"/>
          <w:rtl/>
        </w:rPr>
      </w:pPr>
      <w:r w:rsidRPr="005675B2">
        <w:rPr>
          <w:rFonts w:hint="cs"/>
          <w:noProof/>
          <w:rtl/>
        </w:rPr>
        <w:t>1</w:t>
      </w:r>
      <w:r w:rsidR="000636C2">
        <w:rPr>
          <w:rFonts w:hint="cs"/>
          <w:noProof/>
          <w:rtl/>
        </w:rPr>
        <w:t xml:space="preserve"> </w:t>
      </w:r>
      <w:r w:rsidRPr="005675B2">
        <w:rPr>
          <w:rFonts w:hint="cs"/>
          <w:noProof/>
          <w:rtl/>
        </w:rPr>
        <w:t>- لا بد أن يكون أحدهما حالاً في الآخر</w:t>
      </w:r>
      <w:r w:rsidR="000636C2">
        <w:rPr>
          <w:rFonts w:hint="cs"/>
          <w:noProof/>
          <w:rtl/>
        </w:rPr>
        <w:t xml:space="preserve"> </w:t>
      </w:r>
      <w:r w:rsidRPr="005675B2">
        <w:rPr>
          <w:rFonts w:hint="cs"/>
          <w:noProof/>
          <w:rtl/>
        </w:rPr>
        <w:t>2</w:t>
      </w:r>
      <w:r w:rsidR="000636C2">
        <w:rPr>
          <w:rFonts w:hint="cs"/>
          <w:noProof/>
          <w:rtl/>
        </w:rPr>
        <w:t xml:space="preserve"> </w:t>
      </w:r>
      <w:r w:rsidRPr="005675B2">
        <w:rPr>
          <w:rFonts w:hint="cs"/>
          <w:noProof/>
          <w:rtl/>
        </w:rPr>
        <w:t>-</w:t>
      </w:r>
      <w:r w:rsidR="000636C2">
        <w:rPr>
          <w:rFonts w:hint="cs"/>
          <w:noProof/>
          <w:rtl/>
        </w:rPr>
        <w:t xml:space="preserve"> </w:t>
      </w:r>
      <w:r w:rsidRPr="005675B2">
        <w:rPr>
          <w:rFonts w:hint="cs"/>
          <w:noProof/>
          <w:rtl/>
        </w:rPr>
        <w:t>أو مبايناً عنه</w:t>
      </w:r>
      <w:r w:rsidR="000636C2">
        <w:rPr>
          <w:rFonts w:hint="cs"/>
          <w:noProof/>
          <w:rtl/>
        </w:rPr>
        <w:t>،</w:t>
      </w:r>
      <w:r w:rsidRPr="005675B2">
        <w:rPr>
          <w:rFonts w:hint="cs"/>
          <w:noProof/>
          <w:rtl/>
        </w:rPr>
        <w:t xml:space="preserve"> مختصاً بجهة من الجهات الست المحيطة به 3</w:t>
      </w:r>
      <w:r w:rsidR="000636C2">
        <w:rPr>
          <w:rFonts w:hint="cs"/>
          <w:noProof/>
          <w:rtl/>
        </w:rPr>
        <w:t xml:space="preserve"> </w:t>
      </w:r>
      <w:r w:rsidRPr="005675B2">
        <w:rPr>
          <w:rFonts w:hint="cs"/>
          <w:noProof/>
          <w:rtl/>
        </w:rPr>
        <w:t>-</w:t>
      </w:r>
      <w:r w:rsidR="000636C2">
        <w:rPr>
          <w:rFonts w:hint="cs"/>
          <w:noProof/>
          <w:rtl/>
        </w:rPr>
        <w:t xml:space="preserve"> </w:t>
      </w:r>
      <w:r w:rsidRPr="005675B2">
        <w:rPr>
          <w:rFonts w:hint="cs"/>
          <w:noProof/>
          <w:rtl/>
        </w:rPr>
        <w:t>أو غير حال في العالم [</w:t>
      </w:r>
      <w:r w:rsidRPr="005675B2">
        <w:rPr>
          <w:rFonts w:hint="cs"/>
          <w:bCs/>
          <w:sz w:val="24"/>
          <w:szCs w:val="24"/>
          <w:rtl/>
        </w:rPr>
        <w:t>العالم</w:t>
      </w:r>
      <w:r w:rsidR="000636C2">
        <w:rPr>
          <w:rFonts w:hint="cs"/>
          <w:bCs/>
          <w:sz w:val="24"/>
          <w:szCs w:val="24"/>
          <w:rtl/>
        </w:rPr>
        <w:t>:</w:t>
      </w:r>
      <w:r w:rsidRPr="005675B2">
        <w:rPr>
          <w:rFonts w:hint="cs"/>
          <w:bCs/>
          <w:sz w:val="24"/>
          <w:szCs w:val="24"/>
          <w:rtl/>
        </w:rPr>
        <w:t>أي المخلوقات]</w:t>
      </w:r>
      <w:r w:rsidRPr="005675B2">
        <w:rPr>
          <w:rFonts w:hint="cs"/>
          <w:noProof/>
          <w:rtl/>
        </w:rPr>
        <w:t xml:space="preserve"> ولا مباين عنه بالجهة</w:t>
      </w:r>
      <w:r w:rsidR="000636C2">
        <w:rPr>
          <w:rFonts w:hint="cs"/>
          <w:noProof/>
          <w:rtl/>
        </w:rPr>
        <w:t xml:space="preserve">: </w:t>
      </w:r>
      <w:r w:rsidRPr="005675B2">
        <w:rPr>
          <w:rFonts w:hint="cs"/>
          <w:noProof/>
          <w:rtl/>
        </w:rPr>
        <w:t>وإن جمهور العقلاء المعتبرين</w:t>
      </w:r>
      <w:r w:rsidR="000636C2">
        <w:rPr>
          <w:rFonts w:hint="cs"/>
          <w:noProof/>
          <w:rtl/>
        </w:rPr>
        <w:t>،</w:t>
      </w:r>
      <w:r w:rsidRPr="005675B2">
        <w:rPr>
          <w:rFonts w:hint="cs"/>
          <w:noProof/>
          <w:rtl/>
        </w:rPr>
        <w:t xml:space="preserve"> اتفقوا على أنه تعالى ليس بمتحيز</w:t>
      </w:r>
      <w:r w:rsidR="000636C2">
        <w:rPr>
          <w:rFonts w:hint="cs"/>
          <w:noProof/>
          <w:rtl/>
        </w:rPr>
        <w:t xml:space="preserve"> </w:t>
      </w:r>
      <w:r w:rsidRPr="005675B2">
        <w:rPr>
          <w:rFonts w:hint="cs"/>
          <w:noProof/>
          <w:rtl/>
        </w:rPr>
        <w:t>ولا مختص بشيء من الجهات</w:t>
      </w:r>
      <w:r w:rsidR="000636C2">
        <w:rPr>
          <w:rFonts w:hint="cs"/>
          <w:noProof/>
          <w:rtl/>
        </w:rPr>
        <w:t>،</w:t>
      </w:r>
      <w:r w:rsidRPr="005675B2">
        <w:rPr>
          <w:rFonts w:hint="cs"/>
          <w:noProof/>
          <w:rtl/>
        </w:rPr>
        <w:t xml:space="preserve"> وأنه تعالى غير حال في العالم</w:t>
      </w:r>
      <w:r w:rsidR="000636C2">
        <w:rPr>
          <w:rFonts w:hint="cs"/>
          <w:noProof/>
          <w:rtl/>
        </w:rPr>
        <w:t>،</w:t>
      </w:r>
      <w:r w:rsidRPr="005675B2">
        <w:rPr>
          <w:rFonts w:hint="cs"/>
          <w:noProof/>
          <w:rtl/>
        </w:rPr>
        <w:t xml:space="preserve"> ولا مباين عنه في شيء من الجهات</w:t>
      </w:r>
      <w:r w:rsidR="000636C2">
        <w:rPr>
          <w:rFonts w:hint="cs"/>
          <w:noProof/>
          <w:rtl/>
        </w:rPr>
        <w:t xml:space="preserve">، </w:t>
      </w:r>
      <w:r w:rsidRPr="005675B2">
        <w:rPr>
          <w:rFonts w:hint="cs"/>
          <w:noProof/>
          <w:u w:val="single"/>
          <w:rtl/>
        </w:rPr>
        <w:t>و</w:t>
      </w:r>
      <w:r w:rsidRPr="005675B2">
        <w:rPr>
          <w:rFonts w:hint="cs"/>
          <w:u w:val="single"/>
          <w:rtl/>
        </w:rPr>
        <w:t xml:space="preserve"> إن المخالفين</w:t>
      </w:r>
      <w:r w:rsidR="000636C2">
        <w:rPr>
          <w:rFonts w:hint="cs"/>
          <w:u w:val="single"/>
          <w:rtl/>
        </w:rPr>
        <w:t xml:space="preserve"> </w:t>
      </w:r>
      <w:r w:rsidRPr="005675B2">
        <w:rPr>
          <w:rFonts w:hint="cs"/>
          <w:u w:val="single"/>
          <w:rtl/>
        </w:rPr>
        <w:t>لا بد لهم من الاعتراف بوجود شيء على خلاف حكم الحس والخيال</w:t>
      </w:r>
      <w:r w:rsidR="000636C2">
        <w:rPr>
          <w:rFonts w:hint="cs"/>
          <w:u w:val="single"/>
          <w:rtl/>
        </w:rPr>
        <w:t>،</w:t>
      </w:r>
      <w:r w:rsidRPr="005675B2">
        <w:rPr>
          <w:rFonts w:hint="cs"/>
          <w:u w:val="single"/>
          <w:rtl/>
        </w:rPr>
        <w:t xml:space="preserve"> أ هـ </w:t>
      </w:r>
    </w:p>
    <w:p w14:paraId="1BD754AA" w14:textId="3933C943" w:rsidR="009C32A0" w:rsidRPr="005675B2" w:rsidRDefault="009C32A0" w:rsidP="000636C2">
      <w:pPr>
        <w:rPr>
          <w:b/>
          <w:rtl/>
        </w:rPr>
      </w:pPr>
      <w:r w:rsidRPr="005675B2">
        <w:rPr>
          <w:rFonts w:hint="cs"/>
          <w:noProof/>
          <w:u w:val="single"/>
          <w:rtl/>
        </w:rPr>
        <w:t>مقارنة بين رأي الجهوية والدهرية</w:t>
      </w:r>
      <w:r w:rsidR="000636C2">
        <w:rPr>
          <w:rFonts w:hint="cs"/>
          <w:noProof/>
          <w:u w:val="single"/>
          <w:rtl/>
        </w:rPr>
        <w:t xml:space="preserve">: </w:t>
      </w:r>
      <w:r w:rsidRPr="005675B2">
        <w:rPr>
          <w:rFonts w:hint="cs"/>
          <w:noProof/>
          <w:rtl/>
        </w:rPr>
        <w:t>قال الإمام الرازي</w:t>
      </w:r>
      <w:r w:rsidR="000636C2">
        <w:rPr>
          <w:rFonts w:hint="cs"/>
          <w:noProof/>
          <w:rtl/>
        </w:rPr>
        <w:t>:</w:t>
      </w:r>
      <w:r w:rsidRPr="005675B2">
        <w:rPr>
          <w:rFonts w:hint="cs"/>
          <w:noProof/>
          <w:rtl/>
        </w:rPr>
        <w:t>إن أهل التشبيه قالوا</w:t>
      </w:r>
      <w:r w:rsidR="000636C2">
        <w:rPr>
          <w:rFonts w:hint="cs"/>
          <w:noProof/>
          <w:rtl/>
        </w:rPr>
        <w:t>:</w:t>
      </w:r>
      <w:r w:rsidRPr="005675B2">
        <w:rPr>
          <w:rFonts w:hint="cs"/>
          <w:noProof/>
          <w:rtl/>
        </w:rPr>
        <w:t xml:space="preserve"> العالم المخلوق والباري موجودان</w:t>
      </w:r>
      <w:r w:rsidR="000636C2">
        <w:rPr>
          <w:rFonts w:hint="cs"/>
          <w:noProof/>
          <w:rtl/>
        </w:rPr>
        <w:t>،</w:t>
      </w:r>
      <w:r w:rsidRPr="005675B2">
        <w:rPr>
          <w:rFonts w:hint="cs"/>
          <w:noProof/>
          <w:rtl/>
        </w:rPr>
        <w:t xml:space="preserve"> وكل موجودين فإما أن يكون أحدهما حالاً في الآخر أو مبايناً عنه في جهة</w:t>
      </w:r>
      <w:r w:rsidR="000636C2">
        <w:rPr>
          <w:rFonts w:hint="cs"/>
          <w:noProof/>
          <w:rtl/>
        </w:rPr>
        <w:t>،</w:t>
      </w:r>
      <w:r w:rsidRPr="005675B2">
        <w:rPr>
          <w:rFonts w:hint="cs"/>
          <w:noProof/>
          <w:rtl/>
        </w:rPr>
        <w:t xml:space="preserve"> قالوا</w:t>
      </w:r>
      <w:r w:rsidR="000636C2">
        <w:rPr>
          <w:rFonts w:hint="cs"/>
          <w:noProof/>
          <w:rtl/>
        </w:rPr>
        <w:t>:</w:t>
      </w:r>
      <w:r w:rsidRPr="005675B2">
        <w:rPr>
          <w:rFonts w:hint="cs"/>
          <w:noProof/>
          <w:rtl/>
        </w:rPr>
        <w:t xml:space="preserve"> والقول بوجوب</w:t>
      </w:r>
      <w:r w:rsidR="000636C2">
        <w:rPr>
          <w:rFonts w:hint="cs"/>
          <w:rtl/>
        </w:rPr>
        <w:t xml:space="preserve"> </w:t>
      </w:r>
      <w:r w:rsidRPr="005675B2">
        <w:rPr>
          <w:rFonts w:hint="cs"/>
          <w:rtl/>
        </w:rPr>
        <w:t>هذا الحصر معلوم بالضرورة</w:t>
      </w:r>
      <w:r w:rsidR="000636C2">
        <w:rPr>
          <w:rFonts w:hint="cs"/>
          <w:rtl/>
        </w:rPr>
        <w:t>،</w:t>
      </w:r>
      <w:r w:rsidRPr="005675B2">
        <w:rPr>
          <w:rFonts w:hint="cs"/>
          <w:rtl/>
        </w:rPr>
        <w:t xml:space="preserve"> والقول بالحلول محال</w:t>
      </w:r>
      <w:r w:rsidR="000636C2">
        <w:rPr>
          <w:rFonts w:hint="cs"/>
          <w:rtl/>
        </w:rPr>
        <w:t xml:space="preserve">، </w:t>
      </w:r>
      <w:r w:rsidRPr="005675B2">
        <w:rPr>
          <w:rFonts w:hint="cs"/>
          <w:rtl/>
        </w:rPr>
        <w:t xml:space="preserve">فتعين كونه </w:t>
      </w:r>
      <w:r w:rsidRPr="005675B2">
        <w:rPr>
          <w:rFonts w:hint="cs"/>
          <w:noProof/>
          <w:rtl/>
        </w:rPr>
        <w:t>مباينا</w:t>
      </w:r>
      <w:r w:rsidRPr="005675B2">
        <w:rPr>
          <w:rFonts w:hint="cs"/>
          <w:rtl/>
        </w:rPr>
        <w:t>ً للعالم بالجهة</w:t>
      </w:r>
      <w:r w:rsidR="000636C2">
        <w:rPr>
          <w:rFonts w:hint="cs"/>
          <w:rtl/>
        </w:rPr>
        <w:t>،</w:t>
      </w:r>
      <w:r w:rsidRPr="005675B2">
        <w:rPr>
          <w:rFonts w:hint="cs"/>
          <w:rtl/>
        </w:rPr>
        <w:t xml:space="preserve"> وبهذا الطريق احتجوا بأنه تعالى مختص بالحيز والجهة</w:t>
      </w:r>
      <w:r w:rsidR="000636C2">
        <w:rPr>
          <w:rFonts w:hint="cs"/>
          <w:rtl/>
        </w:rPr>
        <w:t>،</w:t>
      </w:r>
      <w:r w:rsidRPr="005675B2">
        <w:rPr>
          <w:rFonts w:hint="cs"/>
          <w:rtl/>
        </w:rPr>
        <w:t xml:space="preserve"> وأهل الدهر</w:t>
      </w:r>
      <w:r w:rsidR="000636C2">
        <w:rPr>
          <w:rFonts w:hint="cs"/>
          <w:rtl/>
        </w:rPr>
        <w:t>،</w:t>
      </w:r>
      <w:r w:rsidRPr="005675B2">
        <w:rPr>
          <w:rFonts w:hint="cs"/>
          <w:rtl/>
        </w:rPr>
        <w:t xml:space="preserve"> قالوا</w:t>
      </w:r>
      <w:r w:rsidR="000636C2">
        <w:rPr>
          <w:rFonts w:hint="cs"/>
          <w:rtl/>
        </w:rPr>
        <w:t>:</w:t>
      </w:r>
      <w:r w:rsidRPr="005675B2">
        <w:rPr>
          <w:rFonts w:hint="cs"/>
          <w:rtl/>
        </w:rPr>
        <w:t xml:space="preserve"> العالم والباري موجودان</w:t>
      </w:r>
      <w:r w:rsidR="000636C2">
        <w:rPr>
          <w:rFonts w:hint="cs"/>
          <w:rtl/>
        </w:rPr>
        <w:t>،</w:t>
      </w:r>
      <w:r w:rsidRPr="005675B2">
        <w:rPr>
          <w:rFonts w:hint="cs"/>
          <w:rtl/>
        </w:rPr>
        <w:t xml:space="preserve"> وكل موجودين فإما أن يكون وجودهما معاً أو أحدهما قبل الآخر</w:t>
      </w:r>
      <w:r w:rsidR="000636C2">
        <w:rPr>
          <w:rFonts w:hint="cs"/>
          <w:rtl/>
        </w:rPr>
        <w:t>،</w:t>
      </w:r>
      <w:r w:rsidRPr="005675B2">
        <w:rPr>
          <w:rFonts w:hint="cs"/>
          <w:rtl/>
        </w:rPr>
        <w:t xml:space="preserve"> ومحال أن العالم والباري معاً وإلا لزم</w:t>
      </w:r>
      <w:r w:rsidR="000636C2">
        <w:rPr>
          <w:rFonts w:hint="cs"/>
          <w:rtl/>
        </w:rPr>
        <w:t>:</w:t>
      </w:r>
      <w:r w:rsidRPr="005675B2">
        <w:rPr>
          <w:rFonts w:hint="cs"/>
          <w:rtl/>
        </w:rPr>
        <w:t xml:space="preserve"> إما قدم العالم</w:t>
      </w:r>
      <w:r w:rsidR="000636C2">
        <w:rPr>
          <w:rFonts w:hint="cs"/>
          <w:rtl/>
        </w:rPr>
        <w:t>،</w:t>
      </w:r>
      <w:r w:rsidRPr="005675B2">
        <w:rPr>
          <w:rFonts w:hint="cs"/>
          <w:rtl/>
        </w:rPr>
        <w:t xml:space="preserve"> أو حدوث الباري</w:t>
      </w:r>
      <w:r w:rsidR="000636C2">
        <w:rPr>
          <w:rFonts w:hint="cs"/>
          <w:rtl/>
        </w:rPr>
        <w:t>،</w:t>
      </w:r>
      <w:r w:rsidRPr="005675B2">
        <w:rPr>
          <w:rFonts w:hint="cs"/>
          <w:rtl/>
        </w:rPr>
        <w:t xml:space="preserve"> وهما محالان</w:t>
      </w:r>
      <w:r w:rsidR="000636C2">
        <w:rPr>
          <w:rFonts w:hint="cs"/>
          <w:rtl/>
        </w:rPr>
        <w:t>،</w:t>
      </w:r>
      <w:r w:rsidRPr="005675B2">
        <w:rPr>
          <w:rFonts w:hint="cs"/>
          <w:rtl/>
        </w:rPr>
        <w:t xml:space="preserve"> فثبت</w:t>
      </w:r>
      <w:r w:rsidR="000636C2">
        <w:rPr>
          <w:rFonts w:hint="cs"/>
          <w:rtl/>
        </w:rPr>
        <w:t>:</w:t>
      </w:r>
      <w:r w:rsidRPr="005675B2">
        <w:rPr>
          <w:rFonts w:hint="cs"/>
          <w:rtl/>
        </w:rPr>
        <w:t xml:space="preserve"> أن الباري قبل العالم</w:t>
      </w:r>
      <w:r w:rsidR="000636C2">
        <w:rPr>
          <w:rFonts w:hint="cs"/>
          <w:rtl/>
        </w:rPr>
        <w:t>،</w:t>
      </w:r>
      <w:r w:rsidRPr="005675B2">
        <w:rPr>
          <w:rFonts w:hint="cs"/>
          <w:rtl/>
        </w:rPr>
        <w:t xml:space="preserve"> ثم قالوا</w:t>
      </w:r>
      <w:r w:rsidR="000636C2">
        <w:rPr>
          <w:rFonts w:hint="cs"/>
          <w:rtl/>
        </w:rPr>
        <w:t>:</w:t>
      </w:r>
      <w:r w:rsidRPr="005675B2">
        <w:rPr>
          <w:rFonts w:hint="cs"/>
          <w:rtl/>
        </w:rPr>
        <w:t xml:space="preserve"> والعلم الضروري حاصل </w:t>
      </w:r>
      <w:r w:rsidRPr="005675B2">
        <w:rPr>
          <w:rFonts w:hint="cs"/>
          <w:u w:val="single"/>
          <w:rtl/>
        </w:rPr>
        <w:t>بأن هذه الأزلية</w:t>
      </w:r>
      <w:r w:rsidR="000636C2">
        <w:rPr>
          <w:rFonts w:hint="cs"/>
          <w:u w:val="single"/>
          <w:rtl/>
        </w:rPr>
        <w:t xml:space="preserve"> </w:t>
      </w:r>
      <w:r w:rsidRPr="005675B2">
        <w:rPr>
          <w:rFonts w:hint="cs"/>
          <w:u w:val="single"/>
          <w:rtl/>
        </w:rPr>
        <w:t>لا تكون إلا بالزمان والمدة</w:t>
      </w:r>
      <w:r w:rsidR="000636C2">
        <w:rPr>
          <w:rFonts w:hint="cs"/>
          <w:rtl/>
        </w:rPr>
        <w:t>،</w:t>
      </w:r>
      <w:r w:rsidRPr="005675B2">
        <w:rPr>
          <w:rFonts w:hint="cs"/>
          <w:rtl/>
        </w:rPr>
        <w:t xml:space="preserve"> وإذا ثبت هذا فتقدم الباري </w:t>
      </w:r>
      <w:r w:rsidR="000636C2">
        <w:rPr>
          <w:rFonts w:hint="cs"/>
          <w:rtl/>
        </w:rPr>
        <w:t>(</w:t>
      </w:r>
      <w:r w:rsidRPr="005675B2">
        <w:rPr>
          <w:rFonts w:hint="cs"/>
          <w:rtl/>
        </w:rPr>
        <w:t>على العالم</w:t>
      </w:r>
      <w:r w:rsidR="000636C2">
        <w:rPr>
          <w:rFonts w:hint="cs"/>
          <w:rtl/>
        </w:rPr>
        <w:t xml:space="preserve">) </w:t>
      </w:r>
      <w:r w:rsidRPr="005675B2">
        <w:rPr>
          <w:rFonts w:hint="cs"/>
          <w:rtl/>
        </w:rPr>
        <w:t>إن كان بمدة متناهية لزم حدوث الباري</w:t>
      </w:r>
      <w:r w:rsidR="000636C2">
        <w:rPr>
          <w:rFonts w:hint="cs"/>
          <w:rtl/>
        </w:rPr>
        <w:t>،</w:t>
      </w:r>
      <w:r w:rsidRPr="005675B2">
        <w:rPr>
          <w:rFonts w:hint="cs"/>
          <w:rtl/>
        </w:rPr>
        <w:t xml:space="preserve"> وإن كان بمدة لا أول لها</w:t>
      </w:r>
      <w:r w:rsidR="000636C2">
        <w:rPr>
          <w:rFonts w:hint="cs"/>
          <w:rtl/>
        </w:rPr>
        <w:t>،</w:t>
      </w:r>
      <w:r w:rsidRPr="005675B2">
        <w:rPr>
          <w:rFonts w:hint="cs"/>
          <w:rtl/>
        </w:rPr>
        <w:t xml:space="preserve"> لزم كون المدة قديمة</w:t>
      </w:r>
      <w:r w:rsidR="000636C2">
        <w:rPr>
          <w:rFonts w:hint="cs"/>
          <w:rtl/>
        </w:rPr>
        <w:t>،</w:t>
      </w:r>
      <w:r w:rsidRPr="005675B2">
        <w:rPr>
          <w:rFonts w:hint="cs"/>
          <w:rtl/>
        </w:rPr>
        <w:t xml:space="preserve"> فأنتجوا بهذا الطريق قدم المدة والزمان</w:t>
      </w:r>
      <w:r w:rsidR="000636C2">
        <w:rPr>
          <w:rFonts w:hint="cs"/>
          <w:rtl/>
        </w:rPr>
        <w:t>،</w:t>
      </w:r>
      <w:r w:rsidRPr="005675B2">
        <w:rPr>
          <w:rFonts w:hint="cs"/>
          <w:rtl/>
        </w:rPr>
        <w:t xml:space="preserve"> </w:t>
      </w:r>
      <w:r w:rsidRPr="005675B2">
        <w:rPr>
          <w:rFonts w:hint="cs"/>
          <w:noProof/>
          <w:rtl/>
        </w:rPr>
        <w:t>فنقول</w:t>
      </w:r>
      <w:r w:rsidR="000636C2">
        <w:rPr>
          <w:rFonts w:hint="cs"/>
          <w:noProof/>
          <w:rtl/>
        </w:rPr>
        <w:t>:</w:t>
      </w:r>
      <w:r w:rsidRPr="005675B2">
        <w:rPr>
          <w:rFonts w:hint="cs"/>
          <w:noProof/>
          <w:rtl/>
        </w:rPr>
        <w:t xml:space="preserve"> حاصل هذا الكلام</w:t>
      </w:r>
      <w:r w:rsidR="000636C2">
        <w:rPr>
          <w:rFonts w:hint="cs"/>
          <w:noProof/>
          <w:rtl/>
        </w:rPr>
        <w:t>:</w:t>
      </w:r>
      <w:r w:rsidRPr="005675B2">
        <w:rPr>
          <w:rFonts w:hint="cs"/>
          <w:noProof/>
          <w:rtl/>
        </w:rPr>
        <w:t xml:space="preserve"> أن المشبهة زعمت أن مباينة الباري تعالى عن العالم</w:t>
      </w:r>
      <w:r w:rsidR="000636C2">
        <w:rPr>
          <w:rFonts w:hint="cs"/>
          <w:noProof/>
          <w:rtl/>
        </w:rPr>
        <w:t>،</w:t>
      </w:r>
      <w:r w:rsidRPr="005675B2">
        <w:rPr>
          <w:rFonts w:hint="cs"/>
          <w:noProof/>
          <w:rtl/>
        </w:rPr>
        <w:t xml:space="preserve"> لا يعقل حصولها إلا بالجهة</w:t>
      </w:r>
      <w:r w:rsidR="000636C2">
        <w:rPr>
          <w:rFonts w:hint="cs"/>
          <w:noProof/>
          <w:rtl/>
        </w:rPr>
        <w:t>،</w:t>
      </w:r>
      <w:r w:rsidRPr="005675B2">
        <w:rPr>
          <w:rFonts w:hint="cs"/>
          <w:noProof/>
          <w:rtl/>
        </w:rPr>
        <w:t xml:space="preserve"> وأنتجوا منه</w:t>
      </w:r>
      <w:r w:rsidR="000636C2">
        <w:rPr>
          <w:rFonts w:hint="cs"/>
          <w:noProof/>
          <w:rtl/>
        </w:rPr>
        <w:t>:</w:t>
      </w:r>
      <w:r w:rsidRPr="005675B2">
        <w:rPr>
          <w:rFonts w:hint="cs"/>
          <w:noProof/>
          <w:rtl/>
        </w:rPr>
        <w:t xml:space="preserve"> كون الإله في الجهة</w:t>
      </w:r>
      <w:r w:rsidR="000636C2">
        <w:rPr>
          <w:rFonts w:hint="cs"/>
          <w:noProof/>
          <w:rtl/>
        </w:rPr>
        <w:t>،</w:t>
      </w:r>
      <w:r w:rsidRPr="005675B2">
        <w:rPr>
          <w:rFonts w:hint="cs"/>
          <w:noProof/>
          <w:rtl/>
        </w:rPr>
        <w:t xml:space="preserve"> وزعمت الدهرية</w:t>
      </w:r>
      <w:r w:rsidR="000636C2">
        <w:rPr>
          <w:rFonts w:hint="cs"/>
          <w:noProof/>
          <w:rtl/>
        </w:rPr>
        <w:t>:</w:t>
      </w:r>
      <w:r w:rsidRPr="005675B2">
        <w:rPr>
          <w:rFonts w:hint="cs"/>
          <w:noProof/>
          <w:rtl/>
        </w:rPr>
        <w:t xml:space="preserve"> أن تقدم الباري </w:t>
      </w:r>
      <w:r w:rsidR="000636C2">
        <w:rPr>
          <w:rFonts w:hint="cs"/>
          <w:noProof/>
          <w:rtl/>
        </w:rPr>
        <w:t>(</w:t>
      </w:r>
      <w:r w:rsidRPr="005675B2">
        <w:rPr>
          <w:rFonts w:hint="cs"/>
          <w:noProof/>
          <w:rtl/>
        </w:rPr>
        <w:t>تعالى</w:t>
      </w:r>
      <w:r w:rsidR="000636C2">
        <w:rPr>
          <w:rFonts w:hint="cs"/>
          <w:rtl/>
        </w:rPr>
        <w:t xml:space="preserve">) </w:t>
      </w:r>
      <w:r w:rsidRPr="005675B2">
        <w:rPr>
          <w:rFonts w:hint="cs"/>
          <w:rtl/>
        </w:rPr>
        <w:t>على العالم لا يعقل حصوله إلا بالزمان</w:t>
      </w:r>
      <w:r w:rsidR="000636C2">
        <w:rPr>
          <w:rFonts w:hint="cs"/>
          <w:rtl/>
        </w:rPr>
        <w:t>،</w:t>
      </w:r>
      <w:r w:rsidRPr="005675B2">
        <w:rPr>
          <w:rFonts w:hint="cs"/>
          <w:rtl/>
        </w:rPr>
        <w:t xml:space="preserve"> وأنتجوا منه</w:t>
      </w:r>
      <w:r w:rsidR="000636C2">
        <w:rPr>
          <w:rFonts w:hint="cs"/>
          <w:rtl/>
        </w:rPr>
        <w:t>:</w:t>
      </w:r>
      <w:r w:rsidRPr="005675B2">
        <w:rPr>
          <w:rFonts w:hint="cs"/>
          <w:rtl/>
        </w:rPr>
        <w:t xml:space="preserve"> قدم المدة</w:t>
      </w:r>
      <w:r w:rsidR="000636C2">
        <w:rPr>
          <w:rFonts w:hint="cs"/>
          <w:rtl/>
        </w:rPr>
        <w:t>،</w:t>
      </w:r>
      <w:r w:rsidRPr="005675B2">
        <w:rPr>
          <w:rFonts w:hint="cs"/>
          <w:rtl/>
        </w:rPr>
        <w:t xml:space="preserve"> وإذا ثبت هذا فنقول</w:t>
      </w:r>
      <w:r w:rsidR="000636C2">
        <w:rPr>
          <w:rFonts w:hint="cs"/>
          <w:rtl/>
        </w:rPr>
        <w:t>:</w:t>
      </w:r>
      <w:r w:rsidRPr="005675B2">
        <w:rPr>
          <w:rFonts w:hint="cs"/>
          <w:rtl/>
        </w:rPr>
        <w:t xml:space="preserve"> حكم الخيال في حق الله تعالى</w:t>
      </w:r>
      <w:r w:rsidR="000636C2">
        <w:rPr>
          <w:rFonts w:hint="cs"/>
          <w:rtl/>
        </w:rPr>
        <w:t>،</w:t>
      </w:r>
      <w:r w:rsidRPr="005675B2">
        <w:rPr>
          <w:rFonts w:hint="cs"/>
          <w:rtl/>
        </w:rPr>
        <w:t xml:space="preserve"> إما أن يكون مقبولاً أو غير مقبول</w:t>
      </w:r>
      <w:r w:rsidR="000636C2">
        <w:rPr>
          <w:rFonts w:hint="cs"/>
          <w:rtl/>
        </w:rPr>
        <w:t>،</w:t>
      </w:r>
      <w:r w:rsidRPr="005675B2">
        <w:rPr>
          <w:rFonts w:hint="cs"/>
          <w:rtl/>
        </w:rPr>
        <w:t xml:space="preserve"> فإن كان مقبولاً</w:t>
      </w:r>
      <w:r w:rsidR="000636C2">
        <w:rPr>
          <w:rFonts w:hint="cs"/>
          <w:rtl/>
        </w:rPr>
        <w:t>،</w:t>
      </w:r>
      <w:r w:rsidRPr="005675B2">
        <w:rPr>
          <w:rFonts w:hint="cs"/>
          <w:rtl/>
        </w:rPr>
        <w:t xml:space="preserve"> فالمشبهة يلزم عليهم مذهب الدهرية</w:t>
      </w:r>
      <w:r w:rsidR="000636C2">
        <w:rPr>
          <w:rFonts w:hint="cs"/>
          <w:rtl/>
        </w:rPr>
        <w:t>،</w:t>
      </w:r>
      <w:r w:rsidRPr="005675B2">
        <w:rPr>
          <w:rFonts w:hint="cs"/>
          <w:rtl/>
        </w:rPr>
        <w:t xml:space="preserve"> وهو أن يكون الباري </w:t>
      </w:r>
      <w:r w:rsidR="000636C2">
        <w:rPr>
          <w:rFonts w:hint="cs"/>
          <w:rtl/>
        </w:rPr>
        <w:t>(</w:t>
      </w:r>
      <w:r w:rsidRPr="005675B2">
        <w:rPr>
          <w:rFonts w:hint="cs"/>
          <w:rtl/>
        </w:rPr>
        <w:t>تعالى</w:t>
      </w:r>
      <w:r w:rsidR="000636C2">
        <w:rPr>
          <w:rFonts w:hint="cs"/>
          <w:rtl/>
        </w:rPr>
        <w:t xml:space="preserve">) </w:t>
      </w:r>
      <w:r w:rsidRPr="005675B2">
        <w:rPr>
          <w:rFonts w:hint="cs"/>
          <w:rtl/>
        </w:rPr>
        <w:t>متقدما على العالم بمدة غير متناهية</w:t>
      </w:r>
      <w:r w:rsidR="000636C2">
        <w:rPr>
          <w:rFonts w:hint="cs"/>
          <w:rtl/>
        </w:rPr>
        <w:t>،</w:t>
      </w:r>
      <w:r w:rsidRPr="005675B2">
        <w:rPr>
          <w:rFonts w:hint="cs"/>
          <w:rtl/>
        </w:rPr>
        <w:t xml:space="preserve"> ويلزمهم القول بكون الزمان أزلياً</w:t>
      </w:r>
      <w:r w:rsidR="000636C2">
        <w:rPr>
          <w:rFonts w:hint="cs"/>
          <w:rtl/>
        </w:rPr>
        <w:t>،</w:t>
      </w:r>
      <w:r w:rsidRPr="005675B2">
        <w:rPr>
          <w:rFonts w:hint="cs"/>
          <w:rtl/>
        </w:rPr>
        <w:t xml:space="preserve"> والمشبهة لا يقولون بذلك</w:t>
      </w:r>
      <w:r w:rsidR="000636C2">
        <w:rPr>
          <w:rFonts w:hint="cs"/>
          <w:rtl/>
        </w:rPr>
        <w:t>،</w:t>
      </w:r>
      <w:r w:rsidRPr="005675B2">
        <w:rPr>
          <w:rFonts w:hint="cs"/>
          <w:rtl/>
        </w:rPr>
        <w:t xml:space="preserve"> والدهرية يلزم عليهم مذهب المشبهة</w:t>
      </w:r>
      <w:r w:rsidR="000636C2">
        <w:rPr>
          <w:rFonts w:hint="cs"/>
          <w:rtl/>
        </w:rPr>
        <w:t xml:space="preserve"> </w:t>
      </w:r>
      <w:r w:rsidRPr="005675B2">
        <w:rPr>
          <w:rFonts w:hint="cs"/>
          <w:rtl/>
        </w:rPr>
        <w:t xml:space="preserve">- وهو مباينة الباري </w:t>
      </w:r>
      <w:r w:rsidR="000636C2">
        <w:rPr>
          <w:rFonts w:hint="cs"/>
          <w:rtl/>
        </w:rPr>
        <w:t>(</w:t>
      </w:r>
      <w:r w:rsidRPr="005675B2">
        <w:rPr>
          <w:rFonts w:hint="cs"/>
          <w:rtl/>
        </w:rPr>
        <w:t>تعالى</w:t>
      </w:r>
      <w:r w:rsidR="000636C2">
        <w:rPr>
          <w:rFonts w:hint="cs"/>
          <w:rtl/>
        </w:rPr>
        <w:t xml:space="preserve">) </w:t>
      </w:r>
      <w:r w:rsidRPr="005675B2">
        <w:rPr>
          <w:rFonts w:hint="cs"/>
          <w:rtl/>
        </w:rPr>
        <w:t>عن العالم بالجهة والمكان</w:t>
      </w:r>
      <w:r w:rsidR="000636C2">
        <w:rPr>
          <w:rFonts w:hint="cs"/>
          <w:rtl/>
        </w:rPr>
        <w:t xml:space="preserve"> </w:t>
      </w:r>
      <w:r w:rsidRPr="005675B2">
        <w:rPr>
          <w:rFonts w:hint="cs"/>
          <w:rtl/>
        </w:rPr>
        <w:t xml:space="preserve">- فيلزمهم القول بكون الباري </w:t>
      </w:r>
      <w:r w:rsidR="000636C2">
        <w:rPr>
          <w:rFonts w:hint="cs"/>
          <w:rtl/>
        </w:rPr>
        <w:t>(</w:t>
      </w:r>
      <w:r w:rsidRPr="005675B2">
        <w:rPr>
          <w:rFonts w:hint="cs"/>
          <w:rtl/>
        </w:rPr>
        <w:t>تعالى</w:t>
      </w:r>
      <w:r w:rsidR="000636C2">
        <w:rPr>
          <w:rFonts w:hint="cs"/>
          <w:rtl/>
        </w:rPr>
        <w:t xml:space="preserve"> </w:t>
      </w:r>
      <w:r w:rsidRPr="005675B2">
        <w:rPr>
          <w:rFonts w:hint="cs"/>
          <w:rtl/>
        </w:rPr>
        <w:t>مكانياً</w:t>
      </w:r>
      <w:r w:rsidR="000636C2">
        <w:rPr>
          <w:rFonts w:hint="cs"/>
          <w:rtl/>
        </w:rPr>
        <w:t xml:space="preserve"> </w:t>
      </w:r>
      <w:r w:rsidRPr="005675B2">
        <w:rPr>
          <w:rFonts w:hint="cs"/>
          <w:rtl/>
        </w:rPr>
        <w:t>- وهم لا يقولون به</w:t>
      </w:r>
      <w:r w:rsidR="000636C2">
        <w:rPr>
          <w:rFonts w:hint="cs"/>
          <w:rtl/>
        </w:rPr>
        <w:t xml:space="preserve"> </w:t>
      </w:r>
      <w:r w:rsidRPr="005675B2">
        <w:rPr>
          <w:rFonts w:hint="cs"/>
          <w:rtl/>
        </w:rPr>
        <w:t>- فصار هذا التناقض</w:t>
      </w:r>
      <w:r w:rsidR="000636C2">
        <w:rPr>
          <w:rFonts w:hint="cs"/>
          <w:rtl/>
        </w:rPr>
        <w:t xml:space="preserve"> </w:t>
      </w:r>
      <w:r w:rsidRPr="005675B2">
        <w:rPr>
          <w:rFonts w:hint="cs"/>
          <w:rtl/>
        </w:rPr>
        <w:t>وارداً على الفريقين</w:t>
      </w:r>
      <w:r w:rsidR="000636C2">
        <w:rPr>
          <w:rFonts w:hint="cs"/>
          <w:rtl/>
        </w:rPr>
        <w:t>،</w:t>
      </w:r>
    </w:p>
    <w:p w14:paraId="2ED7C3AB" w14:textId="1714810E" w:rsidR="009C32A0" w:rsidRPr="005675B2" w:rsidRDefault="009C32A0" w:rsidP="000636C2">
      <w:pPr>
        <w:rPr>
          <w:b/>
          <w:u w:val="single"/>
          <w:rtl/>
        </w:rPr>
      </w:pPr>
      <w:r w:rsidRPr="005675B2">
        <w:rPr>
          <w:rFonts w:hint="cs"/>
          <w:rtl/>
        </w:rPr>
        <w:t>وأما إن قلنا</w:t>
      </w:r>
      <w:r w:rsidR="000636C2">
        <w:rPr>
          <w:rFonts w:hint="cs"/>
          <w:rtl/>
        </w:rPr>
        <w:t>:</w:t>
      </w:r>
      <w:r w:rsidRPr="005675B2">
        <w:rPr>
          <w:rFonts w:hint="cs"/>
          <w:rtl/>
        </w:rPr>
        <w:t xml:space="preserve"> حكم الوهم والخيال غير مقبول البتة في ذات الله تعالى وفي صفاته</w:t>
      </w:r>
      <w:r w:rsidR="000636C2">
        <w:rPr>
          <w:rFonts w:hint="cs"/>
          <w:rtl/>
        </w:rPr>
        <w:t>،</w:t>
      </w:r>
      <w:r w:rsidRPr="005675B2">
        <w:rPr>
          <w:rFonts w:hint="cs"/>
          <w:rtl/>
        </w:rPr>
        <w:t xml:space="preserve"> فحينئذ نقول</w:t>
      </w:r>
      <w:r w:rsidR="000636C2">
        <w:rPr>
          <w:rFonts w:hint="cs"/>
          <w:rtl/>
        </w:rPr>
        <w:t>:</w:t>
      </w:r>
      <w:r w:rsidR="000636C2">
        <w:rPr>
          <w:rFonts w:hint="cs"/>
          <w:noProof/>
          <w:rtl/>
        </w:rPr>
        <w:t xml:space="preserve"> </w:t>
      </w:r>
      <w:r w:rsidRPr="005675B2">
        <w:rPr>
          <w:rFonts w:hint="cs"/>
          <w:noProof/>
          <w:rtl/>
        </w:rPr>
        <w:t>قول الكرامية</w:t>
      </w:r>
      <w:r w:rsidR="000636C2">
        <w:rPr>
          <w:rFonts w:hint="cs"/>
          <w:noProof/>
          <w:rtl/>
        </w:rPr>
        <w:t>:</w:t>
      </w:r>
      <w:r w:rsidRPr="005675B2">
        <w:rPr>
          <w:rFonts w:hint="cs"/>
          <w:noProof/>
          <w:rtl/>
        </w:rPr>
        <w:t xml:space="preserve"> إن كل موجودين فلا بد وأن يكون أحدهما حالاً في الآخر</w:t>
      </w:r>
      <w:r w:rsidR="000636C2">
        <w:rPr>
          <w:rFonts w:hint="cs"/>
          <w:noProof/>
          <w:rtl/>
        </w:rPr>
        <w:t>،</w:t>
      </w:r>
      <w:r w:rsidRPr="005675B2">
        <w:rPr>
          <w:rFonts w:hint="cs"/>
          <w:noProof/>
          <w:rtl/>
        </w:rPr>
        <w:t xml:space="preserve"> أو مبايناً عنه بالجهة</w:t>
      </w:r>
      <w:r w:rsidR="000636C2">
        <w:rPr>
          <w:rFonts w:hint="cs"/>
          <w:noProof/>
          <w:rtl/>
        </w:rPr>
        <w:t>:</w:t>
      </w:r>
      <w:r w:rsidRPr="005675B2">
        <w:rPr>
          <w:rFonts w:hint="cs"/>
          <w:noProof/>
          <w:rtl/>
        </w:rPr>
        <w:t xml:space="preserve"> قول خيالي باطل</w:t>
      </w:r>
      <w:r w:rsidR="000636C2">
        <w:rPr>
          <w:rFonts w:hint="cs"/>
          <w:noProof/>
          <w:rtl/>
        </w:rPr>
        <w:t>،</w:t>
      </w:r>
      <w:r w:rsidRPr="005675B2">
        <w:rPr>
          <w:rFonts w:hint="cs"/>
          <w:noProof/>
          <w:rtl/>
        </w:rPr>
        <w:t xml:space="preserve"> وقول الدهرية</w:t>
      </w:r>
      <w:r w:rsidR="000636C2">
        <w:rPr>
          <w:rFonts w:hint="cs"/>
          <w:rtl/>
        </w:rPr>
        <w:t xml:space="preserve"> </w:t>
      </w:r>
      <w:r w:rsidRPr="005675B2">
        <w:rPr>
          <w:rFonts w:hint="cs"/>
          <w:rtl/>
        </w:rPr>
        <w:t xml:space="preserve">بأن تقدم الباري </w:t>
      </w:r>
      <w:r w:rsidR="000636C2">
        <w:rPr>
          <w:rFonts w:hint="cs"/>
          <w:rtl/>
        </w:rPr>
        <w:t>(</w:t>
      </w:r>
      <w:r w:rsidRPr="005675B2">
        <w:rPr>
          <w:rFonts w:hint="cs"/>
          <w:rtl/>
        </w:rPr>
        <w:t>تعالى</w:t>
      </w:r>
      <w:r w:rsidR="000636C2">
        <w:rPr>
          <w:rFonts w:hint="cs"/>
          <w:rtl/>
        </w:rPr>
        <w:t xml:space="preserve">) </w:t>
      </w:r>
      <w:r w:rsidRPr="005675B2">
        <w:rPr>
          <w:rFonts w:hint="cs"/>
          <w:rtl/>
        </w:rPr>
        <w:t>على العالم</w:t>
      </w:r>
      <w:r w:rsidR="000636C2">
        <w:rPr>
          <w:rFonts w:hint="cs"/>
          <w:rtl/>
        </w:rPr>
        <w:t>،</w:t>
      </w:r>
      <w:r w:rsidRPr="005675B2">
        <w:rPr>
          <w:rFonts w:hint="cs"/>
          <w:rtl/>
        </w:rPr>
        <w:t xml:space="preserve"> لا بد وأن يكون بالمدة والزمان</w:t>
      </w:r>
      <w:r w:rsidR="000636C2">
        <w:rPr>
          <w:rFonts w:hint="cs"/>
          <w:rtl/>
        </w:rPr>
        <w:t>:</w:t>
      </w:r>
      <w:r w:rsidRPr="005675B2">
        <w:rPr>
          <w:rFonts w:hint="cs"/>
          <w:rtl/>
        </w:rPr>
        <w:t xml:space="preserve"> قول خيالي باطل</w:t>
      </w:r>
      <w:r w:rsidR="000636C2">
        <w:rPr>
          <w:rFonts w:hint="cs"/>
          <w:rtl/>
        </w:rPr>
        <w:t>،</w:t>
      </w:r>
      <w:r w:rsidRPr="005675B2">
        <w:rPr>
          <w:rFonts w:hint="cs"/>
          <w:rtl/>
        </w:rPr>
        <w:t xml:space="preserve"> </w:t>
      </w:r>
      <w:r w:rsidRPr="005675B2">
        <w:rPr>
          <w:rFonts w:hint="cs"/>
          <w:u w:val="single"/>
          <w:rtl/>
        </w:rPr>
        <w:t>وهذا هو قول أصحابنا أهل التوحيد والتنزيه</w:t>
      </w:r>
      <w:r w:rsidR="000636C2">
        <w:rPr>
          <w:rFonts w:hint="cs"/>
          <w:u w:val="single"/>
          <w:rtl/>
        </w:rPr>
        <w:t>،</w:t>
      </w:r>
      <w:r w:rsidRPr="005675B2">
        <w:rPr>
          <w:rFonts w:hint="cs"/>
          <w:u w:val="single"/>
          <w:rtl/>
        </w:rPr>
        <w:t xml:space="preserve"> الذين عزلوا حكم الوهم والخيال عن</w:t>
      </w:r>
      <w:r w:rsidR="000636C2">
        <w:rPr>
          <w:rFonts w:hint="cs"/>
          <w:u w:val="single"/>
          <w:rtl/>
        </w:rPr>
        <w:t xml:space="preserve"> </w:t>
      </w:r>
      <w:r w:rsidRPr="005675B2">
        <w:rPr>
          <w:rFonts w:hint="cs"/>
          <w:u w:val="single"/>
          <w:rtl/>
        </w:rPr>
        <w:t>ذات الله تعالى وصفاته</w:t>
      </w:r>
      <w:r w:rsidR="000636C2">
        <w:rPr>
          <w:rFonts w:hint="cs"/>
          <w:u w:val="single"/>
          <w:rtl/>
        </w:rPr>
        <w:t>،</w:t>
      </w:r>
      <w:r w:rsidRPr="005675B2">
        <w:rPr>
          <w:rFonts w:hint="cs"/>
          <w:u w:val="single"/>
          <w:rtl/>
        </w:rPr>
        <w:t xml:space="preserve"> وذلك هو المنهج القويم</w:t>
      </w:r>
      <w:r w:rsidR="000636C2">
        <w:rPr>
          <w:rFonts w:hint="cs"/>
          <w:u w:val="single"/>
          <w:rtl/>
        </w:rPr>
        <w:t>،</w:t>
      </w:r>
      <w:r w:rsidRPr="005675B2">
        <w:rPr>
          <w:rFonts w:hint="cs"/>
          <w:u w:val="single"/>
          <w:rtl/>
        </w:rPr>
        <w:t xml:space="preserve"> والصراط المستقيم</w:t>
      </w:r>
      <w:r w:rsidR="000636C2">
        <w:rPr>
          <w:rFonts w:hint="cs"/>
          <w:u w:val="single"/>
          <w:rtl/>
        </w:rPr>
        <w:t>،</w:t>
      </w:r>
    </w:p>
    <w:p w14:paraId="267A3CA8" w14:textId="582A8CC2" w:rsidR="009C32A0" w:rsidRPr="005675B2" w:rsidRDefault="009C32A0" w:rsidP="000636C2">
      <w:pPr>
        <w:rPr>
          <w:b/>
          <w:rtl/>
        </w:rPr>
      </w:pPr>
      <w:r w:rsidRPr="005675B2">
        <w:rPr>
          <w:rFonts w:hint="cs"/>
          <w:noProof/>
          <w:u w:val="single"/>
          <w:rtl/>
        </w:rPr>
        <w:t>برهان آخر</w:t>
      </w:r>
      <w:r w:rsidR="000636C2">
        <w:rPr>
          <w:rFonts w:hint="cs"/>
          <w:noProof/>
          <w:u w:val="single"/>
          <w:rtl/>
        </w:rPr>
        <w:t>:</w:t>
      </w:r>
      <w:r w:rsidRPr="005675B2">
        <w:rPr>
          <w:rFonts w:hint="cs"/>
          <w:noProof/>
          <w:rtl/>
        </w:rPr>
        <w:t xml:space="preserve"> إن معرفة أفعال الله تعالى وصفاته</w:t>
      </w:r>
      <w:r w:rsidR="000636C2">
        <w:rPr>
          <w:rFonts w:hint="cs"/>
          <w:noProof/>
          <w:rtl/>
        </w:rPr>
        <w:t>،</w:t>
      </w:r>
      <w:r w:rsidRPr="005675B2">
        <w:rPr>
          <w:rFonts w:hint="cs"/>
          <w:noProof/>
          <w:rtl/>
        </w:rPr>
        <w:t xml:space="preserve"> أقرب إلى العقول</w:t>
      </w:r>
      <w:r w:rsidR="000636C2">
        <w:rPr>
          <w:rFonts w:hint="cs"/>
          <w:noProof/>
          <w:rtl/>
        </w:rPr>
        <w:t>،</w:t>
      </w:r>
      <w:r w:rsidRPr="005675B2">
        <w:rPr>
          <w:rFonts w:hint="cs"/>
          <w:noProof/>
          <w:rtl/>
        </w:rPr>
        <w:t xml:space="preserve"> من معرفة ذات الله تعالى</w:t>
      </w:r>
      <w:r w:rsidR="000636C2">
        <w:rPr>
          <w:rFonts w:hint="cs"/>
          <w:noProof/>
          <w:rtl/>
        </w:rPr>
        <w:t>،</w:t>
      </w:r>
      <w:r w:rsidRPr="005675B2">
        <w:rPr>
          <w:rFonts w:hint="cs"/>
          <w:noProof/>
          <w:rtl/>
        </w:rPr>
        <w:t xml:space="preserve"> ثم القائلين بأن الله في الجهة وافقونا على أن معرفة أفعال الله تعالى وصفاته على خلاف حكم الحس والخيال</w:t>
      </w:r>
      <w:r w:rsidR="000636C2">
        <w:rPr>
          <w:rFonts w:hint="cs"/>
          <w:noProof/>
          <w:rtl/>
        </w:rPr>
        <w:t>،</w:t>
      </w:r>
      <w:r w:rsidRPr="005675B2">
        <w:rPr>
          <w:rFonts w:hint="cs"/>
          <w:noProof/>
          <w:rtl/>
        </w:rPr>
        <w:t xml:space="preserve"> </w:t>
      </w:r>
      <w:r w:rsidRPr="005675B2">
        <w:rPr>
          <w:rFonts w:hint="cs"/>
          <w:noProof/>
          <w:u w:val="single"/>
          <w:rtl/>
        </w:rPr>
        <w:t>إلى أن قال</w:t>
      </w:r>
      <w:r w:rsidR="000636C2">
        <w:rPr>
          <w:rFonts w:hint="cs"/>
          <w:noProof/>
          <w:u w:val="single"/>
          <w:rtl/>
        </w:rPr>
        <w:t>:،</w:t>
      </w:r>
      <w:r w:rsidRPr="005675B2">
        <w:rPr>
          <w:rFonts w:hint="cs"/>
          <w:vertAlign w:val="superscript"/>
          <w:rtl/>
        </w:rPr>
        <w:t xml:space="preserve"> </w:t>
      </w:r>
      <w:r w:rsidRPr="005675B2">
        <w:rPr>
          <w:rFonts w:hint="cs"/>
          <w:noProof/>
          <w:u w:val="single"/>
          <w:rtl/>
        </w:rPr>
        <w:t>وأما تقرير هذا المعنى في الصفات</w:t>
      </w:r>
      <w:r w:rsidR="000636C2">
        <w:rPr>
          <w:rFonts w:hint="cs"/>
          <w:noProof/>
          <w:u w:val="single"/>
          <w:rtl/>
        </w:rPr>
        <w:t>،</w:t>
      </w:r>
      <w:r w:rsidRPr="005675B2">
        <w:rPr>
          <w:rFonts w:hint="cs"/>
          <w:noProof/>
          <w:u w:val="single"/>
          <w:rtl/>
        </w:rPr>
        <w:t xml:space="preserve"> فذلك من وجوه</w:t>
      </w:r>
      <w:r w:rsidR="000636C2">
        <w:rPr>
          <w:rFonts w:hint="cs"/>
          <w:noProof/>
          <w:rtl/>
        </w:rPr>
        <w:t>:</w:t>
      </w:r>
      <w:r w:rsidR="000636C2">
        <w:rPr>
          <w:rFonts w:hint="cs"/>
          <w:rtl/>
        </w:rPr>
        <w:t xml:space="preserve"> </w:t>
      </w:r>
    </w:p>
    <w:p w14:paraId="3A75C216" w14:textId="4A24406C" w:rsidR="009C32A0" w:rsidRPr="005675B2" w:rsidRDefault="009C32A0" w:rsidP="000636C2">
      <w:pPr>
        <w:rPr>
          <w:b/>
          <w:noProof/>
          <w:rtl/>
        </w:rPr>
      </w:pPr>
      <w:r w:rsidRPr="005675B2">
        <w:rPr>
          <w:rFonts w:hint="cs"/>
          <w:noProof/>
          <w:u w:val="single"/>
          <w:rtl/>
        </w:rPr>
        <w:t>أحدها</w:t>
      </w:r>
      <w:r w:rsidR="000636C2">
        <w:rPr>
          <w:rFonts w:hint="cs"/>
          <w:noProof/>
          <w:rtl/>
        </w:rPr>
        <w:t>:</w:t>
      </w:r>
      <w:r w:rsidRPr="005675B2">
        <w:rPr>
          <w:rFonts w:hint="cs"/>
          <w:noProof/>
          <w:rtl/>
        </w:rPr>
        <w:t xml:space="preserve"> إنا لا نعقل ذاتاً </w:t>
      </w:r>
      <w:r w:rsidR="000636C2">
        <w:rPr>
          <w:rFonts w:hint="cs"/>
          <w:noProof/>
          <w:rtl/>
        </w:rPr>
        <w:t>(</w:t>
      </w:r>
      <w:r w:rsidRPr="005675B2">
        <w:rPr>
          <w:rFonts w:hint="cs"/>
          <w:noProof/>
          <w:rtl/>
        </w:rPr>
        <w:t>تكون عالمة</w:t>
      </w:r>
      <w:r w:rsidR="000636C2">
        <w:rPr>
          <w:rFonts w:hint="cs"/>
          <w:noProof/>
          <w:rtl/>
        </w:rPr>
        <w:t>)</w:t>
      </w:r>
      <w:r w:rsidR="000636C2">
        <w:rPr>
          <w:rFonts w:hint="cs"/>
          <w:rtl/>
        </w:rPr>
        <w:t xml:space="preserve"> </w:t>
      </w:r>
      <w:r w:rsidRPr="005675B2">
        <w:rPr>
          <w:rFonts w:hint="cs"/>
          <w:rtl/>
        </w:rPr>
        <w:t xml:space="preserve">بمعلومات لا نهاية لها على التفصيل دفعة </w:t>
      </w:r>
      <w:r w:rsidR="000636C2">
        <w:rPr>
          <w:rFonts w:hint="cs"/>
          <w:rtl/>
        </w:rPr>
        <w:t>(</w:t>
      </w:r>
      <w:r w:rsidRPr="005675B2">
        <w:rPr>
          <w:rFonts w:hint="cs"/>
          <w:rtl/>
        </w:rPr>
        <w:t>واحدة</w:t>
      </w:r>
      <w:r w:rsidR="000636C2">
        <w:rPr>
          <w:rFonts w:hint="cs"/>
          <w:rtl/>
        </w:rPr>
        <w:t xml:space="preserve">) </w:t>
      </w:r>
      <w:r w:rsidRPr="005675B2">
        <w:rPr>
          <w:rFonts w:hint="cs"/>
          <w:rtl/>
        </w:rPr>
        <w:t>فإنا إذا جربنا أنفسنا</w:t>
      </w:r>
      <w:r w:rsidR="000636C2">
        <w:rPr>
          <w:rFonts w:hint="cs"/>
          <w:rtl/>
        </w:rPr>
        <w:t>،</w:t>
      </w:r>
      <w:r w:rsidRPr="005675B2">
        <w:rPr>
          <w:rFonts w:hint="cs"/>
          <w:rtl/>
        </w:rPr>
        <w:t xml:space="preserve"> وجدناها متى اشتغلت باستحضار معلوم معين</w:t>
      </w:r>
      <w:r w:rsidR="000636C2">
        <w:rPr>
          <w:rFonts w:hint="cs"/>
          <w:rtl/>
        </w:rPr>
        <w:t>،</w:t>
      </w:r>
      <w:r w:rsidRPr="005675B2">
        <w:rPr>
          <w:rFonts w:hint="cs"/>
          <w:rtl/>
        </w:rPr>
        <w:t xml:space="preserve"> امتنع عليها</w:t>
      </w:r>
      <w:r w:rsidR="000636C2">
        <w:rPr>
          <w:rFonts w:hint="cs"/>
          <w:rtl/>
        </w:rPr>
        <w:t xml:space="preserve"> </w:t>
      </w:r>
      <w:r w:rsidRPr="005675B2">
        <w:rPr>
          <w:rFonts w:hint="cs"/>
          <w:rtl/>
        </w:rPr>
        <w:t>في تلك الحالة</w:t>
      </w:r>
      <w:r w:rsidR="000636C2">
        <w:rPr>
          <w:rFonts w:hint="cs"/>
          <w:rtl/>
        </w:rPr>
        <w:t>،</w:t>
      </w:r>
      <w:r w:rsidRPr="005675B2">
        <w:rPr>
          <w:rFonts w:hint="cs"/>
          <w:rtl/>
        </w:rPr>
        <w:t xml:space="preserve"> استحضار معلوم آخر</w:t>
      </w:r>
      <w:r w:rsidR="000636C2">
        <w:rPr>
          <w:rFonts w:hint="cs"/>
          <w:rtl/>
        </w:rPr>
        <w:t>،</w:t>
      </w:r>
      <w:r w:rsidRPr="005675B2">
        <w:rPr>
          <w:rFonts w:hint="cs"/>
          <w:rtl/>
        </w:rPr>
        <w:t xml:space="preserve"> ثم إنا مع ذلك نعتقد</w:t>
      </w:r>
      <w:r w:rsidR="000636C2">
        <w:rPr>
          <w:rFonts w:hint="cs"/>
          <w:rtl/>
        </w:rPr>
        <w:t>:</w:t>
      </w:r>
      <w:r w:rsidRPr="005675B2">
        <w:rPr>
          <w:rFonts w:hint="cs"/>
          <w:rtl/>
        </w:rPr>
        <w:t xml:space="preserve"> أنه</w:t>
      </w:r>
      <w:r w:rsidR="000636C2">
        <w:rPr>
          <w:rFonts w:hint="cs"/>
          <w:rtl/>
        </w:rPr>
        <w:t xml:space="preserve"> </w:t>
      </w:r>
      <w:r w:rsidRPr="005675B2">
        <w:rPr>
          <w:rFonts w:hint="cs"/>
          <w:rtl/>
        </w:rPr>
        <w:t>- تعالى</w:t>
      </w:r>
      <w:r w:rsidR="000636C2">
        <w:rPr>
          <w:rFonts w:hint="cs"/>
          <w:rtl/>
        </w:rPr>
        <w:t xml:space="preserve"> </w:t>
      </w:r>
      <w:r w:rsidRPr="005675B2">
        <w:rPr>
          <w:rFonts w:hint="cs"/>
          <w:rtl/>
        </w:rPr>
        <w:t>- عالم بما لا نهاية له من المعلومات على التفصيل من غير أن يحصل فيه اشتباه والتباس</w:t>
      </w:r>
      <w:r w:rsidR="000636C2">
        <w:rPr>
          <w:rFonts w:hint="cs"/>
          <w:rtl/>
        </w:rPr>
        <w:t>،</w:t>
      </w:r>
      <w:r w:rsidRPr="005675B2">
        <w:rPr>
          <w:rFonts w:hint="cs"/>
          <w:rtl/>
        </w:rPr>
        <w:t xml:space="preserve"> فكان كونه</w:t>
      </w:r>
      <w:r w:rsidR="000636C2">
        <w:rPr>
          <w:rFonts w:hint="cs"/>
          <w:rtl/>
        </w:rPr>
        <w:t xml:space="preserve"> </w:t>
      </w:r>
      <w:r w:rsidRPr="005675B2">
        <w:rPr>
          <w:rFonts w:hint="cs"/>
          <w:rtl/>
        </w:rPr>
        <w:t>- تعالى</w:t>
      </w:r>
      <w:r w:rsidR="000636C2">
        <w:rPr>
          <w:rFonts w:hint="cs"/>
          <w:rtl/>
        </w:rPr>
        <w:t xml:space="preserve"> </w:t>
      </w:r>
      <w:r w:rsidRPr="005675B2">
        <w:rPr>
          <w:rFonts w:hint="cs"/>
          <w:rtl/>
        </w:rPr>
        <w:t>- عالماً بجميع المعلومات</w:t>
      </w:r>
      <w:r w:rsidR="000636C2">
        <w:rPr>
          <w:rFonts w:hint="cs"/>
          <w:rtl/>
        </w:rPr>
        <w:t>:</w:t>
      </w:r>
      <w:r w:rsidRPr="005675B2">
        <w:rPr>
          <w:rFonts w:hint="cs"/>
          <w:rtl/>
        </w:rPr>
        <w:t xml:space="preserve"> أمراً على خلاف مقتضى الوهم والخيال</w:t>
      </w:r>
      <w:r w:rsidR="000636C2">
        <w:rPr>
          <w:rFonts w:hint="cs"/>
          <w:rtl/>
        </w:rPr>
        <w:t>،</w:t>
      </w:r>
    </w:p>
    <w:p w14:paraId="52A3A3A7" w14:textId="51FF394F" w:rsidR="009C32A0" w:rsidRPr="005675B2" w:rsidRDefault="009C32A0" w:rsidP="000636C2">
      <w:pPr>
        <w:rPr>
          <w:b/>
          <w:rtl/>
        </w:rPr>
      </w:pPr>
      <w:r w:rsidRPr="005675B2">
        <w:rPr>
          <w:rFonts w:hint="cs"/>
          <w:noProof/>
          <w:u w:val="single"/>
          <w:rtl/>
        </w:rPr>
        <w:t>وثانيها</w:t>
      </w:r>
      <w:r w:rsidR="000636C2">
        <w:rPr>
          <w:rFonts w:hint="cs"/>
          <w:noProof/>
          <w:rtl/>
        </w:rPr>
        <w:t>:</w:t>
      </w:r>
      <w:r w:rsidRPr="005675B2">
        <w:rPr>
          <w:rFonts w:hint="cs"/>
          <w:noProof/>
          <w:rtl/>
        </w:rPr>
        <w:t xml:space="preserve"> إنا نرى أن كل من فعل فعلاً</w:t>
      </w:r>
      <w:r w:rsidR="000636C2">
        <w:rPr>
          <w:rFonts w:hint="cs"/>
          <w:noProof/>
          <w:rtl/>
        </w:rPr>
        <w:t>،</w:t>
      </w:r>
      <w:r w:rsidRPr="005675B2">
        <w:rPr>
          <w:rFonts w:hint="cs"/>
          <w:noProof/>
          <w:rtl/>
        </w:rPr>
        <w:t xml:space="preserve"> فلابد له من آلة وأداة</w:t>
      </w:r>
      <w:r w:rsidR="000636C2">
        <w:rPr>
          <w:rFonts w:hint="cs"/>
          <w:noProof/>
          <w:rtl/>
        </w:rPr>
        <w:t>،</w:t>
      </w:r>
      <w:r w:rsidRPr="005675B2">
        <w:rPr>
          <w:rFonts w:hint="cs"/>
          <w:noProof/>
          <w:rtl/>
        </w:rPr>
        <w:t xml:space="preserve"> وأن الأفعال الشاقة تكون سبباً للكلالة والمشقة لذلك الفاعل</w:t>
      </w:r>
      <w:r w:rsidR="000636C2">
        <w:rPr>
          <w:rFonts w:hint="cs"/>
          <w:noProof/>
          <w:rtl/>
        </w:rPr>
        <w:t>،</w:t>
      </w:r>
      <w:r w:rsidRPr="005675B2">
        <w:rPr>
          <w:rFonts w:hint="cs"/>
          <w:noProof/>
          <w:rtl/>
        </w:rPr>
        <w:t xml:space="preserve"> ثم إنا نعتقد أنه</w:t>
      </w:r>
      <w:r w:rsidR="000636C2">
        <w:rPr>
          <w:rFonts w:hint="cs"/>
          <w:noProof/>
          <w:rtl/>
        </w:rPr>
        <w:t xml:space="preserve"> </w:t>
      </w:r>
      <w:r w:rsidRPr="005675B2">
        <w:rPr>
          <w:rFonts w:hint="cs"/>
          <w:noProof/>
          <w:rtl/>
        </w:rPr>
        <w:t>- تعالى</w:t>
      </w:r>
      <w:r w:rsidR="000636C2">
        <w:rPr>
          <w:rFonts w:hint="cs"/>
          <w:noProof/>
          <w:rtl/>
        </w:rPr>
        <w:t xml:space="preserve"> </w:t>
      </w:r>
      <w:r w:rsidRPr="005675B2">
        <w:rPr>
          <w:rFonts w:hint="cs"/>
          <w:noProof/>
          <w:rtl/>
        </w:rPr>
        <w:t>- يدبر من العرش إلى ما تحت الثرى</w:t>
      </w:r>
      <w:r w:rsidR="000636C2">
        <w:rPr>
          <w:rFonts w:hint="cs"/>
          <w:noProof/>
          <w:rtl/>
        </w:rPr>
        <w:t>،</w:t>
      </w:r>
      <w:r w:rsidRPr="005675B2">
        <w:rPr>
          <w:rFonts w:hint="cs"/>
          <w:noProof/>
          <w:rtl/>
        </w:rPr>
        <w:t xml:space="preserve"> مع أنه منزه عن المشقة واللغوب والكلالة</w:t>
      </w:r>
      <w:r w:rsidR="000636C2">
        <w:rPr>
          <w:rFonts w:hint="cs"/>
          <w:noProof/>
          <w:rtl/>
        </w:rPr>
        <w:t>،</w:t>
      </w:r>
      <w:r w:rsidRPr="005675B2">
        <w:rPr>
          <w:rFonts w:hint="cs"/>
          <w:noProof/>
          <w:rtl/>
        </w:rPr>
        <w:t xml:space="preserve"> فثبت أن الوهم والخيال قاصران عن معرفة أفعال الله</w:t>
      </w:r>
      <w:r w:rsidR="000636C2">
        <w:rPr>
          <w:rFonts w:hint="cs"/>
          <w:noProof/>
          <w:rtl/>
        </w:rPr>
        <w:t xml:space="preserve"> </w:t>
      </w:r>
      <w:r w:rsidRPr="005675B2">
        <w:rPr>
          <w:rFonts w:hint="cs"/>
          <w:noProof/>
          <w:rtl/>
        </w:rPr>
        <w:t>- سبحانه وتعالى</w:t>
      </w:r>
      <w:r w:rsidR="000636C2">
        <w:rPr>
          <w:rFonts w:hint="cs"/>
          <w:noProof/>
          <w:rtl/>
        </w:rPr>
        <w:t xml:space="preserve"> </w:t>
      </w:r>
      <w:r w:rsidRPr="005675B2">
        <w:rPr>
          <w:rFonts w:hint="cs"/>
          <w:noProof/>
          <w:rtl/>
        </w:rPr>
        <w:t>- وصفاته</w:t>
      </w:r>
      <w:r w:rsidR="000636C2">
        <w:rPr>
          <w:rFonts w:hint="cs"/>
          <w:noProof/>
          <w:rtl/>
        </w:rPr>
        <w:t>،</w:t>
      </w:r>
      <w:r w:rsidRPr="005675B2">
        <w:rPr>
          <w:rFonts w:hint="cs"/>
          <w:noProof/>
          <w:rtl/>
        </w:rPr>
        <w:t xml:space="preserve"> ومع ذلك فإنا نثبت الأفعال والصفات على مخالفة الوهم والخيال</w:t>
      </w:r>
      <w:r w:rsidR="000636C2">
        <w:rPr>
          <w:rFonts w:hint="cs"/>
          <w:noProof/>
          <w:rtl/>
        </w:rPr>
        <w:t>،</w:t>
      </w:r>
      <w:r w:rsidRPr="005675B2">
        <w:rPr>
          <w:rFonts w:hint="cs"/>
          <w:noProof/>
          <w:rtl/>
        </w:rPr>
        <w:t xml:space="preserve"> وقد ثبت</w:t>
      </w:r>
      <w:r w:rsidR="000636C2">
        <w:rPr>
          <w:rFonts w:hint="cs"/>
          <w:noProof/>
          <w:rtl/>
        </w:rPr>
        <w:t>:</w:t>
      </w:r>
      <w:r w:rsidRPr="005675B2">
        <w:rPr>
          <w:rFonts w:hint="cs"/>
          <w:noProof/>
          <w:rtl/>
        </w:rPr>
        <w:t xml:space="preserve"> أن معرفة كنه الذات أعلى وأجل وأغمض</w:t>
      </w:r>
      <w:r w:rsidR="000636C2">
        <w:rPr>
          <w:rFonts w:hint="cs"/>
          <w:noProof/>
          <w:rtl/>
        </w:rPr>
        <w:t>،</w:t>
      </w:r>
      <w:r w:rsidRPr="005675B2">
        <w:rPr>
          <w:rFonts w:hint="cs"/>
          <w:noProof/>
          <w:rtl/>
        </w:rPr>
        <w:t xml:space="preserve"> من معرفة كنه الصفات</w:t>
      </w:r>
      <w:r w:rsidR="000636C2">
        <w:rPr>
          <w:rFonts w:hint="cs"/>
          <w:noProof/>
          <w:rtl/>
        </w:rPr>
        <w:t>،</w:t>
      </w:r>
      <w:r w:rsidRPr="005675B2">
        <w:rPr>
          <w:rFonts w:hint="cs"/>
          <w:noProof/>
          <w:rtl/>
        </w:rPr>
        <w:t xml:space="preserve"> </w:t>
      </w:r>
      <w:r w:rsidRPr="005675B2">
        <w:rPr>
          <w:rFonts w:hint="cs"/>
          <w:noProof/>
          <w:u w:val="single"/>
          <w:rtl/>
        </w:rPr>
        <w:t>ولما عزلنا الوهم والخيال في معرفة</w:t>
      </w:r>
      <w:r w:rsidR="000636C2">
        <w:rPr>
          <w:rFonts w:hint="cs"/>
          <w:noProof/>
          <w:u w:val="single"/>
          <w:rtl/>
        </w:rPr>
        <w:t xml:space="preserve"> </w:t>
      </w:r>
      <w:r w:rsidRPr="005675B2">
        <w:rPr>
          <w:rFonts w:hint="cs"/>
          <w:noProof/>
          <w:u w:val="single"/>
          <w:rtl/>
        </w:rPr>
        <w:t>الصفات</w:t>
      </w:r>
      <w:r w:rsidR="000636C2">
        <w:rPr>
          <w:rFonts w:hint="cs"/>
          <w:u w:val="single"/>
          <w:rtl/>
        </w:rPr>
        <w:t xml:space="preserve"> </w:t>
      </w:r>
      <w:r w:rsidRPr="005675B2">
        <w:rPr>
          <w:rFonts w:hint="cs"/>
          <w:u w:val="single"/>
          <w:rtl/>
        </w:rPr>
        <w:t>والأفعال</w:t>
      </w:r>
      <w:r w:rsidR="000636C2">
        <w:rPr>
          <w:rFonts w:hint="cs"/>
          <w:u w:val="single"/>
          <w:rtl/>
        </w:rPr>
        <w:t>،</w:t>
      </w:r>
      <w:r w:rsidRPr="005675B2">
        <w:rPr>
          <w:rFonts w:hint="cs"/>
          <w:u w:val="single"/>
          <w:rtl/>
        </w:rPr>
        <w:t xml:space="preserve"> فلأن نعزلهما في معرفة الذات</w:t>
      </w:r>
      <w:r w:rsidR="000636C2">
        <w:rPr>
          <w:rFonts w:hint="cs"/>
          <w:u w:val="single"/>
          <w:rtl/>
        </w:rPr>
        <w:t xml:space="preserve"> </w:t>
      </w:r>
      <w:r w:rsidRPr="005675B2">
        <w:rPr>
          <w:rFonts w:hint="cs"/>
          <w:u w:val="single"/>
          <w:rtl/>
        </w:rPr>
        <w:t>كان</w:t>
      </w:r>
      <w:r w:rsidR="000636C2">
        <w:rPr>
          <w:rFonts w:hint="cs"/>
          <w:u w:val="single"/>
          <w:rtl/>
        </w:rPr>
        <w:t xml:space="preserve"> </w:t>
      </w:r>
      <w:r w:rsidRPr="005675B2">
        <w:rPr>
          <w:rFonts w:hint="cs"/>
          <w:u w:val="single"/>
          <w:rtl/>
        </w:rPr>
        <w:t>أولى وأحرى</w:t>
      </w:r>
      <w:r w:rsidR="000636C2">
        <w:rPr>
          <w:rFonts w:hint="cs"/>
          <w:u w:val="single"/>
          <w:rtl/>
        </w:rPr>
        <w:t>،</w:t>
      </w:r>
      <w:r w:rsidRPr="005675B2">
        <w:rPr>
          <w:rFonts w:hint="cs"/>
          <w:noProof/>
          <w:u w:val="single"/>
          <w:rtl/>
        </w:rPr>
        <w:t xml:space="preserve"> </w:t>
      </w:r>
      <w:r w:rsidRPr="005675B2">
        <w:rPr>
          <w:rFonts w:hint="cs"/>
          <w:noProof/>
          <w:rtl/>
        </w:rPr>
        <w:t>فهذه الدلائل</w:t>
      </w:r>
      <w:r w:rsidR="000636C2">
        <w:rPr>
          <w:rFonts w:hint="cs"/>
          <w:noProof/>
          <w:rtl/>
        </w:rPr>
        <w:t xml:space="preserve"> </w:t>
      </w:r>
      <w:r w:rsidRPr="005675B2">
        <w:rPr>
          <w:rFonts w:hint="cs"/>
          <w:noProof/>
          <w:rtl/>
        </w:rPr>
        <w:t>دالة على كونه</w:t>
      </w:r>
      <w:r w:rsidR="000636C2">
        <w:rPr>
          <w:rFonts w:hint="cs"/>
          <w:noProof/>
          <w:rtl/>
        </w:rPr>
        <w:t xml:space="preserve"> </w:t>
      </w:r>
      <w:r w:rsidRPr="005675B2">
        <w:rPr>
          <w:rFonts w:hint="cs"/>
          <w:noProof/>
          <w:rtl/>
        </w:rPr>
        <w:t>- سبحانه وتعالى</w:t>
      </w:r>
      <w:r w:rsidR="000636C2">
        <w:rPr>
          <w:rFonts w:hint="cs"/>
          <w:noProof/>
          <w:rtl/>
        </w:rPr>
        <w:t xml:space="preserve"> </w:t>
      </w:r>
      <w:r w:rsidRPr="005675B2">
        <w:rPr>
          <w:rFonts w:hint="cs"/>
          <w:noProof/>
          <w:rtl/>
        </w:rPr>
        <w:t>- منزه عن الحيز والجهة</w:t>
      </w:r>
      <w:r w:rsidR="000636C2">
        <w:rPr>
          <w:rFonts w:hint="cs"/>
          <w:noProof/>
          <w:rtl/>
        </w:rPr>
        <w:t>:</w:t>
      </w:r>
      <w:r w:rsidRPr="005675B2">
        <w:rPr>
          <w:rFonts w:hint="cs"/>
          <w:noProof/>
          <w:rtl/>
        </w:rPr>
        <w:t xml:space="preserve"> ليس أمراً يدفعه صريح العقل</w:t>
      </w:r>
      <w:r w:rsidR="000636C2">
        <w:rPr>
          <w:rFonts w:hint="cs"/>
          <w:noProof/>
          <w:rtl/>
        </w:rPr>
        <w:t xml:space="preserve"> </w:t>
      </w:r>
      <w:r w:rsidRPr="005675B2">
        <w:rPr>
          <w:rFonts w:hint="cs"/>
          <w:noProof/>
          <w:rtl/>
        </w:rPr>
        <w:t>وذلك هو تمام المطلوب</w:t>
      </w:r>
      <w:r w:rsidR="000636C2">
        <w:rPr>
          <w:rFonts w:hint="cs"/>
          <w:noProof/>
          <w:rtl/>
        </w:rPr>
        <w:t xml:space="preserve">، </w:t>
      </w:r>
      <w:r w:rsidRPr="005675B2">
        <w:rPr>
          <w:rFonts w:hint="cs"/>
          <w:rtl/>
        </w:rPr>
        <w:t>[</w:t>
      </w:r>
      <w:r w:rsidRPr="005675B2">
        <w:rPr>
          <w:rFonts w:hint="cs"/>
          <w:bCs/>
          <w:sz w:val="24"/>
          <w:szCs w:val="24"/>
          <w:rtl/>
        </w:rPr>
        <w:t>مختصر بتصرف من مقدمة أساس التقديس]</w:t>
      </w:r>
    </w:p>
    <w:p w14:paraId="6ACA1974" w14:textId="5C69540D" w:rsidR="009C32A0" w:rsidRPr="005675B2" w:rsidRDefault="009C32A0" w:rsidP="000636C2">
      <w:pPr>
        <w:rPr>
          <w:b/>
          <w:noProof/>
          <w:rtl/>
        </w:rPr>
      </w:pPr>
      <w:r w:rsidRPr="005675B2">
        <w:rPr>
          <w:rFonts w:hint="cs"/>
          <w:u w:val="single"/>
          <w:rtl/>
        </w:rPr>
        <w:t xml:space="preserve">وللعلماء في </w:t>
      </w:r>
      <w:r w:rsidR="000636C2">
        <w:rPr>
          <w:rFonts w:hint="cs"/>
          <w:u w:val="single"/>
          <w:rtl/>
        </w:rPr>
        <w:t>[</w:t>
      </w:r>
      <w:r>
        <w:rPr>
          <w:rFonts w:hint="cs"/>
          <w:u w:val="single"/>
          <w:rtl/>
        </w:rPr>
        <w:t>الجواب</w:t>
      </w:r>
      <w:r w:rsidR="000636C2">
        <w:rPr>
          <w:rFonts w:hint="cs"/>
          <w:u w:val="single"/>
          <w:rtl/>
        </w:rPr>
        <w:t xml:space="preserve">] </w:t>
      </w:r>
      <w:r w:rsidRPr="005675B2">
        <w:rPr>
          <w:rFonts w:hint="cs"/>
          <w:u w:val="single"/>
          <w:rtl/>
        </w:rPr>
        <w:t>عن هذه الكلمات أي دعوى كون الله في الجهة</w:t>
      </w:r>
      <w:r w:rsidR="000636C2">
        <w:rPr>
          <w:rFonts w:hint="cs"/>
          <w:u w:val="single"/>
          <w:rtl/>
        </w:rPr>
        <w:t>:</w:t>
      </w:r>
      <w:r w:rsidRPr="005675B2">
        <w:rPr>
          <w:rFonts w:hint="cs"/>
          <w:u w:val="single"/>
          <w:rtl/>
        </w:rPr>
        <w:t xml:space="preserve"> نوعان من </w:t>
      </w:r>
      <w:r w:rsidR="000636C2">
        <w:rPr>
          <w:rFonts w:hint="cs"/>
          <w:u w:val="single"/>
          <w:rtl/>
        </w:rPr>
        <w:t>[</w:t>
      </w:r>
      <w:r>
        <w:rPr>
          <w:rFonts w:hint="cs"/>
          <w:u w:val="single"/>
          <w:rtl/>
        </w:rPr>
        <w:t>الجواب</w:t>
      </w:r>
      <w:r w:rsidR="000636C2">
        <w:rPr>
          <w:rFonts w:hint="cs"/>
          <w:u w:val="single"/>
          <w:rtl/>
        </w:rPr>
        <w:t>]:</w:t>
      </w:r>
      <w:r w:rsidR="000636C2">
        <w:rPr>
          <w:rFonts w:hint="cs"/>
          <w:noProof/>
          <w:rtl/>
        </w:rPr>
        <w:t xml:space="preserve"> </w:t>
      </w:r>
    </w:p>
    <w:p w14:paraId="663F6489" w14:textId="216A2000" w:rsidR="009C32A0" w:rsidRPr="005675B2" w:rsidRDefault="009C32A0" w:rsidP="000636C2">
      <w:pPr>
        <w:rPr>
          <w:b/>
          <w:u w:val="single"/>
          <w:rtl/>
        </w:rPr>
      </w:pPr>
      <w:r w:rsidRPr="005675B2">
        <w:rPr>
          <w:rFonts w:hint="cs"/>
          <w:u w:val="single"/>
          <w:rtl/>
        </w:rPr>
        <w:t>النوع الأول</w:t>
      </w:r>
      <w:r w:rsidR="000636C2">
        <w:rPr>
          <w:rFonts w:hint="cs"/>
          <w:rtl/>
        </w:rPr>
        <w:t>:</w:t>
      </w:r>
      <w:r w:rsidRPr="005675B2">
        <w:rPr>
          <w:rFonts w:hint="cs"/>
          <w:rtl/>
        </w:rPr>
        <w:t xml:space="preserve"> أنتم ساعدتمونا على أن ظواهر القرآن</w:t>
      </w:r>
      <w:r w:rsidR="000636C2">
        <w:rPr>
          <w:rFonts w:hint="cs"/>
          <w:rtl/>
        </w:rPr>
        <w:t>،</w:t>
      </w:r>
      <w:r w:rsidRPr="005675B2">
        <w:rPr>
          <w:rFonts w:hint="cs"/>
          <w:rtl/>
        </w:rPr>
        <w:t xml:space="preserve"> وإن دلت على إثبات الأعضاء والجوارح لله تعالى</w:t>
      </w:r>
      <w:r w:rsidR="000636C2">
        <w:rPr>
          <w:rFonts w:hint="cs"/>
          <w:rtl/>
        </w:rPr>
        <w:t>،</w:t>
      </w:r>
      <w:r w:rsidRPr="005675B2">
        <w:rPr>
          <w:rFonts w:hint="cs"/>
          <w:rtl/>
        </w:rPr>
        <w:t xml:space="preserve"> فإنه يجب القطع بنفيها عن الله تعالى</w:t>
      </w:r>
      <w:r w:rsidR="000636C2">
        <w:rPr>
          <w:rFonts w:hint="cs"/>
          <w:rtl/>
        </w:rPr>
        <w:t>،</w:t>
      </w:r>
      <w:r w:rsidRPr="005675B2">
        <w:rPr>
          <w:rFonts w:hint="cs"/>
          <w:rtl/>
        </w:rPr>
        <w:t xml:space="preserve"> والجزم بأنه منزه عنها</w:t>
      </w:r>
      <w:r w:rsidR="000636C2">
        <w:rPr>
          <w:rFonts w:hint="cs"/>
          <w:rtl/>
        </w:rPr>
        <w:t>،</w:t>
      </w:r>
      <w:r w:rsidRPr="005675B2">
        <w:rPr>
          <w:rFonts w:hint="cs"/>
          <w:rtl/>
        </w:rPr>
        <w:t xml:space="preserve"> وما ذاك إلا أنه لما قامت الدلائل القطعية على استحالة الأعضاء والجوارح على الله تعالى</w:t>
      </w:r>
      <w:r w:rsidR="000636C2">
        <w:rPr>
          <w:rFonts w:hint="cs"/>
          <w:rtl/>
        </w:rPr>
        <w:t>،</w:t>
      </w:r>
      <w:r w:rsidRPr="005675B2">
        <w:rPr>
          <w:rFonts w:hint="cs"/>
          <w:rtl/>
        </w:rPr>
        <w:t xml:space="preserve"> وجب القطع بتنزيه الله عنها</w:t>
      </w:r>
      <w:r w:rsidR="000636C2">
        <w:rPr>
          <w:rFonts w:hint="cs"/>
          <w:rtl/>
        </w:rPr>
        <w:t>،</w:t>
      </w:r>
      <w:r w:rsidRPr="005675B2">
        <w:rPr>
          <w:rFonts w:hint="cs"/>
          <w:rtl/>
        </w:rPr>
        <w:t xml:space="preserve"> والجزم بأن مراد الله تعالى من تلك الظواهر</w:t>
      </w:r>
      <w:r w:rsidR="000636C2">
        <w:rPr>
          <w:rFonts w:hint="cs"/>
          <w:rtl/>
        </w:rPr>
        <w:t>،</w:t>
      </w:r>
      <w:r w:rsidRPr="005675B2">
        <w:rPr>
          <w:rFonts w:hint="cs"/>
          <w:rtl/>
        </w:rPr>
        <w:t xml:space="preserve"> شيء آخر</w:t>
      </w:r>
      <w:r w:rsidR="000636C2">
        <w:rPr>
          <w:rFonts w:hint="cs"/>
          <w:rtl/>
        </w:rPr>
        <w:t>،</w:t>
      </w:r>
      <w:r w:rsidRPr="005675B2">
        <w:rPr>
          <w:rFonts w:hint="cs"/>
          <w:rtl/>
        </w:rPr>
        <w:t xml:space="preserve"> فكذا في هذه المسألة</w:t>
      </w:r>
      <w:r w:rsidR="000636C2">
        <w:rPr>
          <w:rFonts w:hint="cs"/>
          <w:rtl/>
        </w:rPr>
        <w:t>:</w:t>
      </w:r>
      <w:r w:rsidRPr="005675B2">
        <w:rPr>
          <w:rFonts w:hint="cs"/>
          <w:rtl/>
        </w:rPr>
        <w:t xml:space="preserve"> نحن ذكرنا الدلائل العقلية القاطعة في أنه تعالى يمتنع أن يكون مختصاً بالمكان والجهة والحيز</w:t>
      </w:r>
      <w:r w:rsidR="000636C2">
        <w:rPr>
          <w:rFonts w:hint="cs"/>
          <w:rtl/>
        </w:rPr>
        <w:t>،</w:t>
      </w:r>
      <w:r w:rsidRPr="005675B2">
        <w:rPr>
          <w:rFonts w:hint="cs"/>
          <w:rtl/>
        </w:rPr>
        <w:t xml:space="preserve"> وإذا كان الأمر كذلك</w:t>
      </w:r>
      <w:r w:rsidR="000636C2">
        <w:rPr>
          <w:rFonts w:hint="cs"/>
          <w:rtl/>
        </w:rPr>
        <w:t>،</w:t>
      </w:r>
      <w:r w:rsidRPr="005675B2">
        <w:rPr>
          <w:rFonts w:hint="cs"/>
          <w:rtl/>
        </w:rPr>
        <w:t xml:space="preserve"> وجب القطع بأن مراد الله تعالى من هذه الظواهر التي تمسكتم بها</w:t>
      </w:r>
      <w:r w:rsidR="000636C2">
        <w:rPr>
          <w:rFonts w:hint="cs"/>
          <w:rtl/>
        </w:rPr>
        <w:t>،</w:t>
      </w:r>
      <w:r w:rsidRPr="005675B2">
        <w:rPr>
          <w:rFonts w:hint="cs"/>
          <w:rtl/>
        </w:rPr>
        <w:t xml:space="preserve"> شيء آخر سوى إثبات الجهة لله تعالى</w:t>
      </w:r>
      <w:r w:rsidR="000636C2">
        <w:rPr>
          <w:rFonts w:hint="cs"/>
          <w:rtl/>
        </w:rPr>
        <w:t>،</w:t>
      </w:r>
      <w:r w:rsidRPr="005675B2">
        <w:rPr>
          <w:rFonts w:hint="cs"/>
          <w:rtl/>
        </w:rPr>
        <w:t xml:space="preserve"> وهذا إلزام قاطع</w:t>
      </w:r>
      <w:r w:rsidR="000636C2">
        <w:rPr>
          <w:rFonts w:hint="cs"/>
          <w:rtl/>
        </w:rPr>
        <w:t>،</w:t>
      </w:r>
      <w:r w:rsidRPr="005675B2">
        <w:rPr>
          <w:rFonts w:hint="cs"/>
          <w:rtl/>
        </w:rPr>
        <w:t xml:space="preserve"> وكلام قوي</w:t>
      </w:r>
      <w:r w:rsidR="000636C2">
        <w:rPr>
          <w:rFonts w:hint="cs"/>
          <w:rtl/>
        </w:rPr>
        <w:t>،</w:t>
      </w:r>
      <w:r w:rsidRPr="005675B2">
        <w:rPr>
          <w:rFonts w:hint="cs"/>
          <w:rtl/>
        </w:rPr>
        <w:t xml:space="preserve"> إلا أنا نقول</w:t>
      </w:r>
      <w:r w:rsidR="000636C2">
        <w:rPr>
          <w:rFonts w:hint="cs"/>
          <w:rtl/>
        </w:rPr>
        <w:t>:</w:t>
      </w:r>
      <w:r w:rsidRPr="005675B2">
        <w:rPr>
          <w:rFonts w:hint="cs"/>
          <w:rtl/>
        </w:rPr>
        <w:t xml:space="preserve"> إن تلك الدلائل </w:t>
      </w:r>
      <w:r w:rsidRPr="005675B2">
        <w:rPr>
          <w:rFonts w:hint="cs"/>
          <w:u w:val="single"/>
          <w:rtl/>
        </w:rPr>
        <w:t>العقلية التي تمسكتم بها</w:t>
      </w:r>
      <w:r w:rsidR="000636C2">
        <w:rPr>
          <w:rFonts w:hint="cs"/>
          <w:u w:val="single"/>
          <w:rtl/>
        </w:rPr>
        <w:t>،</w:t>
      </w:r>
      <w:r w:rsidRPr="005675B2">
        <w:rPr>
          <w:rFonts w:hint="cs"/>
          <w:u w:val="single"/>
          <w:rtl/>
        </w:rPr>
        <w:t xml:space="preserve"> ليست قطعية [</w:t>
      </w:r>
      <w:r w:rsidRPr="005675B2">
        <w:rPr>
          <w:rFonts w:hint="cs"/>
          <w:bCs/>
          <w:sz w:val="24"/>
          <w:szCs w:val="24"/>
          <w:rtl/>
        </w:rPr>
        <w:t>لابد لطالب العلم من التفريق بين القطعي والظني في الأدلة والدلالات</w:t>
      </w:r>
      <w:r w:rsidR="000636C2">
        <w:rPr>
          <w:rFonts w:hint="cs"/>
          <w:bCs/>
          <w:sz w:val="24"/>
          <w:szCs w:val="24"/>
          <w:rtl/>
        </w:rPr>
        <w:t xml:space="preserve"> </w:t>
      </w:r>
      <w:r w:rsidRPr="005675B2">
        <w:rPr>
          <w:rFonts w:hint="cs"/>
          <w:bCs/>
          <w:sz w:val="24"/>
          <w:szCs w:val="24"/>
          <w:rtl/>
        </w:rPr>
        <w:t>وهذا يستفاد من كتب أصول الفقه</w:t>
      </w:r>
      <w:r w:rsidR="000636C2">
        <w:rPr>
          <w:rFonts w:hint="cs"/>
          <w:bCs/>
          <w:sz w:val="24"/>
          <w:szCs w:val="24"/>
          <w:rtl/>
        </w:rPr>
        <w:t>]</w:t>
      </w:r>
      <w:r w:rsidR="000636C2">
        <w:rPr>
          <w:rFonts w:hint="cs"/>
          <w:u w:val="single"/>
          <w:rtl/>
        </w:rPr>
        <w:t>،</w:t>
      </w:r>
      <w:r w:rsidRPr="005675B2">
        <w:rPr>
          <w:rFonts w:hint="cs"/>
          <w:u w:val="single"/>
          <w:rtl/>
        </w:rPr>
        <w:t xml:space="preserve"> بل محتملة</w:t>
      </w:r>
      <w:r w:rsidR="000636C2">
        <w:rPr>
          <w:rFonts w:hint="cs"/>
          <w:rtl/>
        </w:rPr>
        <w:t>،</w:t>
      </w:r>
      <w:r w:rsidRPr="005675B2">
        <w:rPr>
          <w:rFonts w:hint="cs"/>
          <w:rtl/>
        </w:rPr>
        <w:t xml:space="preserve"> فنحن إذاً يجب علينا أن نتكلم معكم في تقرير تلك الدلائل</w:t>
      </w:r>
      <w:r w:rsidR="000636C2">
        <w:rPr>
          <w:rFonts w:hint="cs"/>
          <w:rtl/>
        </w:rPr>
        <w:t>،</w:t>
      </w:r>
      <w:r w:rsidRPr="005675B2">
        <w:rPr>
          <w:rFonts w:hint="cs"/>
          <w:rtl/>
        </w:rPr>
        <w:t xml:space="preserve"> ودفع وجوه الاحتمال عنها [</w:t>
      </w:r>
      <w:r w:rsidRPr="005675B2">
        <w:rPr>
          <w:rFonts w:hint="cs"/>
          <w:bCs/>
          <w:sz w:val="24"/>
          <w:szCs w:val="24"/>
          <w:rtl/>
        </w:rPr>
        <w:t>أي أن وجود الاحتمال دخل عليهم من تمسكهم بظواهرالأدلة على فهمهم كما تمسكت الحلولية على حلول الله في الأرض بظواهر الأدلة الدالة على ذلك حسب فهمهم .فلوجود هذه الاحتمالات اللفظية اشتبه على الكرامية وجود الله في الجهة فكان لابد من إزالة هذه الشبه عنهم بتوجيه الأدلة النقلية المحتملة وذلك بحملها على الأدلة النقلية الأخرى التي تنفي التشبيه وكذلك الأدلة القطعية العقلية التي تنزه الله عن الحلول والانحصار.فبين لهم الإمام وغيره من أئمة السنة توجيه الأدلة وظهر جلياً أنها محتملة لعدة معان وليست بقطعية فبطل الاستدلال بها</w:t>
      </w:r>
      <w:r w:rsidR="000636C2">
        <w:rPr>
          <w:rFonts w:hint="cs"/>
          <w:bCs/>
          <w:sz w:val="24"/>
          <w:szCs w:val="24"/>
          <w:rtl/>
        </w:rPr>
        <w:t>]</w:t>
      </w:r>
      <w:r w:rsidR="000636C2">
        <w:rPr>
          <w:rFonts w:hint="cs"/>
          <w:rtl/>
        </w:rPr>
        <w:t>،</w:t>
      </w:r>
      <w:r w:rsidRPr="005675B2">
        <w:rPr>
          <w:rFonts w:hint="cs"/>
          <w:rtl/>
        </w:rPr>
        <w:t xml:space="preserve"> فثبت بهذا الطريق</w:t>
      </w:r>
      <w:r w:rsidR="000636C2">
        <w:rPr>
          <w:rFonts w:hint="cs"/>
          <w:rtl/>
        </w:rPr>
        <w:t>:</w:t>
      </w:r>
      <w:r w:rsidRPr="005675B2">
        <w:rPr>
          <w:rFonts w:hint="cs"/>
          <w:rtl/>
        </w:rPr>
        <w:t xml:space="preserve"> أنا متى بينا أن تلك الدلائل العقلية قاطعة يقينية لم تقدر الكرامية على معارضة تلك العقليات اليقينية بهذه الظواهر</w:t>
      </w:r>
      <w:r w:rsidR="000636C2">
        <w:rPr>
          <w:rFonts w:hint="cs"/>
          <w:rtl/>
        </w:rPr>
        <w:t>،</w:t>
      </w:r>
      <w:r w:rsidRPr="005675B2">
        <w:rPr>
          <w:rFonts w:hint="cs"/>
          <w:rtl/>
        </w:rPr>
        <w:t xml:space="preserve"> وهذا كلام في غاية القوة</w:t>
      </w:r>
      <w:r w:rsidR="000636C2">
        <w:rPr>
          <w:rFonts w:hint="cs"/>
          <w:rtl/>
        </w:rPr>
        <w:t>،</w:t>
      </w:r>
      <w:r w:rsidRPr="005675B2">
        <w:rPr>
          <w:rFonts w:hint="cs"/>
          <w:rtl/>
        </w:rPr>
        <w:t xml:space="preserve"> </w:t>
      </w:r>
      <w:r w:rsidRPr="005675B2">
        <w:rPr>
          <w:rFonts w:hint="cs"/>
          <w:u w:val="single"/>
          <w:rtl/>
        </w:rPr>
        <w:t>وعند هذا نختار مذهب السلف</w:t>
      </w:r>
      <w:r w:rsidR="000636C2">
        <w:rPr>
          <w:rFonts w:hint="cs"/>
          <w:u w:val="single"/>
          <w:rtl/>
        </w:rPr>
        <w:t>،</w:t>
      </w:r>
      <w:r w:rsidRPr="005675B2">
        <w:rPr>
          <w:rFonts w:hint="cs"/>
          <w:u w:val="single"/>
          <w:rtl/>
        </w:rPr>
        <w:t xml:space="preserve"> ونقول</w:t>
      </w:r>
      <w:r w:rsidR="000636C2">
        <w:rPr>
          <w:rFonts w:hint="cs"/>
          <w:u w:val="single"/>
          <w:rtl/>
        </w:rPr>
        <w:t>:</w:t>
      </w:r>
      <w:r w:rsidRPr="005675B2">
        <w:rPr>
          <w:rFonts w:hint="cs"/>
          <w:u w:val="single"/>
          <w:rtl/>
        </w:rPr>
        <w:t xml:space="preserve"> لما عرفنا بتلك القواطع العقلية</w:t>
      </w:r>
      <w:r w:rsidR="000636C2">
        <w:rPr>
          <w:rFonts w:hint="cs"/>
          <w:u w:val="single"/>
          <w:rtl/>
        </w:rPr>
        <w:t>:</w:t>
      </w:r>
      <w:r w:rsidRPr="005675B2">
        <w:rPr>
          <w:rFonts w:hint="cs"/>
          <w:u w:val="single"/>
          <w:rtl/>
        </w:rPr>
        <w:t xml:space="preserve"> أنه ليس مراد الله تعالى من هذه الآيات</w:t>
      </w:r>
      <w:r w:rsidR="000636C2">
        <w:rPr>
          <w:rFonts w:hint="cs"/>
          <w:u w:val="single"/>
          <w:rtl/>
        </w:rPr>
        <w:t>:</w:t>
      </w:r>
      <w:r w:rsidRPr="005675B2">
        <w:rPr>
          <w:rFonts w:hint="cs"/>
          <w:u w:val="single"/>
          <w:rtl/>
        </w:rPr>
        <w:t xml:space="preserve"> إثبات الجهة لله تعالى</w:t>
      </w:r>
      <w:r w:rsidR="000636C2">
        <w:rPr>
          <w:rFonts w:hint="cs"/>
          <w:u w:val="single"/>
          <w:rtl/>
        </w:rPr>
        <w:t>،</w:t>
      </w:r>
      <w:r w:rsidRPr="005675B2">
        <w:rPr>
          <w:rFonts w:hint="cs"/>
          <w:u w:val="single"/>
          <w:rtl/>
        </w:rPr>
        <w:t xml:space="preserve"> فلا حاجة بنا بعد ذلك إلى بيان أن مراد الله تعالى من هذه الآيات</w:t>
      </w:r>
      <w:r w:rsidR="000636C2">
        <w:rPr>
          <w:rFonts w:hint="cs"/>
          <w:u w:val="single"/>
          <w:rtl/>
        </w:rPr>
        <w:t>،</w:t>
      </w:r>
      <w:r w:rsidRPr="005675B2">
        <w:rPr>
          <w:rFonts w:hint="cs"/>
          <w:u w:val="single"/>
          <w:rtl/>
        </w:rPr>
        <w:t xml:space="preserve"> ما هو</w:t>
      </w:r>
      <w:r w:rsidR="000636C2">
        <w:rPr>
          <w:rFonts w:hint="cs"/>
          <w:u w:val="single"/>
          <w:rtl/>
        </w:rPr>
        <w:t>؟</w:t>
      </w:r>
      <w:r w:rsidRPr="005675B2">
        <w:rPr>
          <w:rFonts w:hint="cs"/>
          <w:u w:val="single"/>
          <w:rtl/>
        </w:rPr>
        <w:t xml:space="preserve"> وهذا الطريق أسلم في ذوق النظر</w:t>
      </w:r>
      <w:r w:rsidR="000636C2">
        <w:rPr>
          <w:rFonts w:hint="cs"/>
          <w:u w:val="single"/>
          <w:rtl/>
        </w:rPr>
        <w:t>،</w:t>
      </w:r>
      <w:r w:rsidRPr="005675B2">
        <w:rPr>
          <w:rFonts w:hint="cs"/>
          <w:u w:val="single"/>
          <w:rtl/>
        </w:rPr>
        <w:t>وعن الشغب أبعد</w:t>
      </w:r>
      <w:r w:rsidR="000636C2">
        <w:rPr>
          <w:rFonts w:hint="cs"/>
          <w:u w:val="single"/>
          <w:rtl/>
        </w:rPr>
        <w:t>،</w:t>
      </w:r>
    </w:p>
    <w:p w14:paraId="2900BD1A" w14:textId="75167541" w:rsidR="009C32A0" w:rsidRPr="005675B2" w:rsidRDefault="009C32A0" w:rsidP="000636C2">
      <w:pPr>
        <w:rPr>
          <w:b/>
          <w:rtl/>
        </w:rPr>
      </w:pPr>
      <w:r w:rsidRPr="005675B2">
        <w:rPr>
          <w:rFonts w:hint="cs"/>
          <w:u w:val="single"/>
          <w:rtl/>
        </w:rPr>
        <w:t>النوع الثاني</w:t>
      </w:r>
      <w:r w:rsidR="000636C2">
        <w:rPr>
          <w:rFonts w:hint="cs"/>
          <w:rtl/>
        </w:rPr>
        <w:t>:</w:t>
      </w:r>
      <w:r w:rsidRPr="005675B2">
        <w:rPr>
          <w:rFonts w:hint="cs"/>
          <w:rtl/>
        </w:rPr>
        <w:t xml:space="preserve"> أن نتكلم عن كل واحد من هذه الوجوه على سبيل التفصيل</w:t>
      </w:r>
      <w:r w:rsidR="000636C2">
        <w:rPr>
          <w:rFonts w:hint="cs"/>
          <w:rtl/>
        </w:rPr>
        <w:t>:(</w:t>
      </w:r>
      <w:r w:rsidRPr="005675B2">
        <w:rPr>
          <w:rFonts w:hint="cs"/>
          <w:rtl/>
        </w:rPr>
        <w:t>لغرض التوضيح ودفع الشبه</w:t>
      </w:r>
      <w:r w:rsidR="000636C2">
        <w:rPr>
          <w:rFonts w:hint="cs"/>
          <w:rtl/>
        </w:rPr>
        <w:t xml:space="preserve">) </w:t>
      </w:r>
      <w:r w:rsidRPr="005675B2">
        <w:rPr>
          <w:rFonts w:hint="cs"/>
          <w:u w:val="single"/>
          <w:rtl/>
        </w:rPr>
        <w:t>وعلى العموم فلقد تمسكوا بأدلة ترد عليها كثير من الاحتمالات فحملوها على أسوء المحامل التي لاتليق بالله</w:t>
      </w:r>
      <w:r w:rsidR="000636C2">
        <w:rPr>
          <w:rFonts w:hint="cs"/>
          <w:rtl/>
        </w:rPr>
        <w:t>،</w:t>
      </w:r>
    </w:p>
    <w:p w14:paraId="1C63666A" w14:textId="640C1AB0" w:rsidR="009C32A0" w:rsidRPr="005675B2" w:rsidRDefault="009C32A0" w:rsidP="000636C2">
      <w:pPr>
        <w:rPr>
          <w:b/>
          <w:rtl/>
        </w:rPr>
      </w:pPr>
      <w:r w:rsidRPr="005675B2">
        <w:rPr>
          <w:rFonts w:hint="cs"/>
          <w:rtl/>
        </w:rPr>
        <w:t>والحجة الأولى عليهم</w:t>
      </w:r>
      <w:r w:rsidR="000636C2">
        <w:rPr>
          <w:rFonts w:hint="cs"/>
          <w:rtl/>
        </w:rPr>
        <w:t>:</w:t>
      </w:r>
      <w:r w:rsidRPr="005675B2">
        <w:rPr>
          <w:rFonts w:hint="cs"/>
          <w:rtl/>
        </w:rPr>
        <w:t xml:space="preserve"> </w:t>
      </w:r>
      <w:r w:rsidRPr="005675B2">
        <w:rPr>
          <w:rFonts w:hint="cs"/>
          <w:u w:val="single"/>
          <w:rtl/>
        </w:rPr>
        <w:t>أن نصوص الفوقية لو حملت على المكان الحسي فيقابلها مثلها</w:t>
      </w:r>
      <w:r w:rsidRPr="005675B2">
        <w:rPr>
          <w:rFonts w:hint="cs"/>
          <w:u w:val="single"/>
        </w:rPr>
        <w:t xml:space="preserve"> </w:t>
      </w:r>
      <w:r w:rsidRPr="005675B2">
        <w:rPr>
          <w:rFonts w:hint="cs"/>
          <w:rtl/>
        </w:rPr>
        <w:t>في نفي الفوقية فمن الآيات قوله سبحانه</w:t>
      </w:r>
      <w:r w:rsidR="000636C2">
        <w:rPr>
          <w:rFonts w:hint="cs"/>
          <w:rtl/>
        </w:rPr>
        <w:t>:</w:t>
      </w:r>
      <w:r w:rsidRPr="005675B2">
        <w:rPr>
          <w:rFonts w:hint="cs"/>
          <w:rtl/>
        </w:rPr>
        <w:t xml:space="preserve"> {فلما أتاها نُودِيَ من شَاطِئِ</w:t>
      </w:r>
      <w:r w:rsidRPr="005675B2">
        <w:rPr>
          <w:rFonts w:hint="cs"/>
        </w:rPr>
        <w:t xml:space="preserve"> </w:t>
      </w:r>
      <w:r w:rsidRPr="005675B2">
        <w:rPr>
          <w:rFonts w:hint="cs"/>
          <w:rtl/>
        </w:rPr>
        <w:t>الوادِ الأَيْمَنِ في البُقعَةِ المُبَارَكِةِ مِنْ الشَّجَرَةِ أَن يَا مُوسَى</w:t>
      </w:r>
      <w:r w:rsidRPr="005675B2">
        <w:rPr>
          <w:rFonts w:hint="cs"/>
        </w:rPr>
        <w:t xml:space="preserve"> </w:t>
      </w:r>
      <w:r w:rsidRPr="005675B2">
        <w:rPr>
          <w:rFonts w:hint="cs"/>
          <w:rtl/>
        </w:rPr>
        <w:t>إِنِّي أَنا الله ربُّ العالمين} وظاهره إثبات وجود ذات الله في الأرض في وادي طوى عند</w:t>
      </w:r>
      <w:r w:rsidRPr="005675B2">
        <w:rPr>
          <w:rFonts w:hint="cs"/>
        </w:rPr>
        <w:t xml:space="preserve"> </w:t>
      </w:r>
      <w:r w:rsidRPr="005675B2">
        <w:rPr>
          <w:rFonts w:hint="cs"/>
          <w:rtl/>
        </w:rPr>
        <w:t>الشجرة</w:t>
      </w:r>
      <w:r w:rsidR="000636C2">
        <w:rPr>
          <w:rFonts w:hint="cs"/>
          <w:rtl/>
        </w:rPr>
        <w:t>،</w:t>
      </w:r>
      <w:r w:rsidRPr="005675B2">
        <w:rPr>
          <w:rFonts w:hint="cs"/>
          <w:rtl/>
        </w:rPr>
        <w:t xml:space="preserve"> </w:t>
      </w:r>
      <w:r w:rsidRPr="005675B2">
        <w:br/>
      </w:r>
      <w:r w:rsidRPr="005675B2">
        <w:rPr>
          <w:rFonts w:hint="cs"/>
          <w:rtl/>
        </w:rPr>
        <w:t>و قوله</w:t>
      </w:r>
      <w:r w:rsidR="000636C2">
        <w:rPr>
          <w:rFonts w:hint="cs"/>
          <w:rtl/>
        </w:rPr>
        <w:t>:</w:t>
      </w:r>
      <w:r w:rsidRPr="005675B2">
        <w:rPr>
          <w:rFonts w:hint="cs"/>
          <w:rtl/>
        </w:rPr>
        <w:t xml:space="preserve"> {ووَجَدَ الله عنده} وكذا قوله تعالى</w:t>
      </w:r>
      <w:r w:rsidR="000636C2">
        <w:rPr>
          <w:rFonts w:hint="cs"/>
          <w:rtl/>
        </w:rPr>
        <w:t>:</w:t>
      </w:r>
      <w:r w:rsidRPr="005675B2">
        <w:rPr>
          <w:rFonts w:hint="cs"/>
          <w:rtl/>
        </w:rPr>
        <w:t xml:space="preserve"> </w:t>
      </w:r>
      <w:r w:rsidR="000636C2">
        <w:rPr>
          <w:rFonts w:hint="cs"/>
          <w:rtl/>
        </w:rPr>
        <w:t>{</w:t>
      </w:r>
      <w:r w:rsidRPr="005675B2">
        <w:rPr>
          <w:rFonts w:hint="cs"/>
          <w:rtl/>
        </w:rPr>
        <w:t>ونحن أقرب إليه منكم ولكن لا تبصرون}</w:t>
      </w:r>
      <w:r w:rsidR="000636C2">
        <w:rPr>
          <w:rFonts w:hint="cs"/>
          <w:rtl/>
        </w:rPr>
        <w:t>،</w:t>
      </w:r>
      <w:r w:rsidRPr="005675B2">
        <w:rPr>
          <w:rFonts w:hint="cs"/>
          <w:rtl/>
        </w:rPr>
        <w:t xml:space="preserve"> وقوله تعالى {وهو معكم أينما كنتم</w:t>
      </w:r>
      <w:r w:rsidR="000636C2">
        <w:rPr>
          <w:rFonts w:hint="cs"/>
          <w:rtl/>
        </w:rPr>
        <w:t xml:space="preserve">}، </w:t>
      </w:r>
      <w:r w:rsidRPr="005675B2">
        <w:rPr>
          <w:rFonts w:hint="cs"/>
          <w:rtl/>
        </w:rPr>
        <w:t>ومن الأحاديث</w:t>
      </w:r>
      <w:r w:rsidR="000636C2">
        <w:rPr>
          <w:rFonts w:hint="cs"/>
          <w:rtl/>
        </w:rPr>
        <w:t>:</w:t>
      </w:r>
      <w:r w:rsidRPr="005675B2">
        <w:rPr>
          <w:rFonts w:hint="cs"/>
          <w:rtl/>
        </w:rPr>
        <w:t xml:space="preserve"> حديث أبي هريرة رضي الله عنه وفيه يقول النبي صلى الله عليه وسلم (</w:t>
      </w:r>
      <w:r w:rsidR="000636C2">
        <w:rPr>
          <w:rFonts w:hint="cs"/>
          <w:rtl/>
        </w:rPr>
        <w:t>(</w:t>
      </w:r>
      <w:r w:rsidRPr="005675B2">
        <w:rPr>
          <w:rFonts w:hint="cs"/>
          <w:rtl/>
        </w:rPr>
        <w:t>أقرب ما</w:t>
      </w:r>
      <w:r w:rsidR="000636C2">
        <w:rPr>
          <w:rFonts w:hint="cs"/>
          <w:rtl/>
        </w:rPr>
        <w:t xml:space="preserve"> </w:t>
      </w:r>
      <w:r w:rsidRPr="005675B2">
        <w:rPr>
          <w:rFonts w:hint="cs"/>
          <w:rtl/>
        </w:rPr>
        <w:t xml:space="preserve">يكون العبد من ربه وهو ساجد" أخرجه مسلم </w:t>
      </w:r>
      <w:r w:rsidR="000636C2">
        <w:rPr>
          <w:rFonts w:hint="cs"/>
          <w:rtl/>
        </w:rPr>
        <w:t>(</w:t>
      </w:r>
      <w:r w:rsidRPr="005675B2">
        <w:rPr>
          <w:rFonts w:hint="cs"/>
          <w:rtl/>
        </w:rPr>
        <w:t>1/350</w:t>
      </w:r>
      <w:r w:rsidR="000636C2">
        <w:rPr>
          <w:rFonts w:hint="cs"/>
          <w:rtl/>
        </w:rPr>
        <w:t>)،</w:t>
      </w:r>
      <w:r w:rsidRPr="005675B2">
        <w:rPr>
          <w:rFonts w:hint="cs"/>
          <w:rtl/>
        </w:rPr>
        <w:t xml:space="preserve"> فقد يفهم منه</w:t>
      </w:r>
      <w:r w:rsidR="000636C2">
        <w:rPr>
          <w:rFonts w:hint="cs"/>
          <w:rtl/>
        </w:rPr>
        <w:t xml:space="preserve"> </w:t>
      </w:r>
      <w:r w:rsidRPr="005675B2">
        <w:rPr>
          <w:rFonts w:hint="cs"/>
          <w:rtl/>
        </w:rPr>
        <w:t>قرب الذات الإلهية حساً من</w:t>
      </w:r>
      <w:r w:rsidRPr="005675B2">
        <w:rPr>
          <w:rFonts w:hint="cs"/>
        </w:rPr>
        <w:t xml:space="preserve"> </w:t>
      </w:r>
      <w:r w:rsidRPr="005675B2">
        <w:rPr>
          <w:rFonts w:hint="cs"/>
          <w:rtl/>
        </w:rPr>
        <w:t>العبد أثناء السجود</w:t>
      </w:r>
      <w:r w:rsidR="000636C2">
        <w:rPr>
          <w:rFonts w:hint="cs"/>
          <w:rtl/>
        </w:rPr>
        <w:t>،</w:t>
      </w:r>
      <w:r w:rsidRPr="005675B2">
        <w:rPr>
          <w:rFonts w:hint="cs"/>
          <w:rtl/>
        </w:rPr>
        <w:t xml:space="preserve"> وكذا حديث أنس مرفوعاً</w:t>
      </w:r>
      <w:r w:rsidR="000636C2">
        <w:rPr>
          <w:rFonts w:hint="cs"/>
          <w:rtl/>
        </w:rPr>
        <w:t>:</w:t>
      </w:r>
      <w:r w:rsidRPr="005675B2">
        <w:rPr>
          <w:rFonts w:hint="cs"/>
          <w:rtl/>
        </w:rPr>
        <w:t xml:space="preserve"> (</w:t>
      </w:r>
      <w:r w:rsidR="000636C2">
        <w:rPr>
          <w:rFonts w:hint="cs"/>
          <w:rtl/>
        </w:rPr>
        <w:t>(</w:t>
      </w:r>
      <w:r w:rsidRPr="005675B2">
        <w:rPr>
          <w:rFonts w:hint="cs"/>
          <w:rtl/>
        </w:rPr>
        <w:t>إن أحدكم إذا قام في صلاته فإنه</w:t>
      </w:r>
      <w:r w:rsidRPr="005675B2">
        <w:rPr>
          <w:rFonts w:hint="cs"/>
        </w:rPr>
        <w:t xml:space="preserve"> </w:t>
      </w:r>
      <w:r w:rsidRPr="005675B2">
        <w:rPr>
          <w:rFonts w:hint="cs"/>
          <w:rtl/>
        </w:rPr>
        <w:t>يناجي ربه</w:t>
      </w:r>
      <w:r w:rsidR="000636C2">
        <w:rPr>
          <w:rFonts w:hint="cs"/>
          <w:rtl/>
        </w:rPr>
        <w:t>)</w:t>
      </w:r>
      <w:r w:rsidRPr="005675B2">
        <w:rPr>
          <w:rFonts w:hint="cs"/>
          <w:rtl/>
        </w:rPr>
        <w:t>)</w:t>
      </w:r>
      <w:r w:rsidR="000636C2">
        <w:rPr>
          <w:rFonts w:hint="cs"/>
          <w:rtl/>
        </w:rPr>
        <w:t>،</w:t>
      </w:r>
      <w:r w:rsidRPr="005675B2">
        <w:rPr>
          <w:rFonts w:hint="cs"/>
          <w:rtl/>
        </w:rPr>
        <w:t xml:space="preserve"> أو (</w:t>
      </w:r>
      <w:r w:rsidR="000636C2">
        <w:rPr>
          <w:rFonts w:hint="cs"/>
          <w:rtl/>
        </w:rPr>
        <w:t>(</w:t>
      </w:r>
      <w:r w:rsidRPr="005675B2">
        <w:rPr>
          <w:rFonts w:hint="cs"/>
          <w:rtl/>
        </w:rPr>
        <w:t>إن ربه بينه وبين القبلة فلا يبزقن أحدكم قبل قبلته</w:t>
      </w:r>
      <w:r w:rsidR="000636C2">
        <w:rPr>
          <w:rFonts w:hint="cs"/>
          <w:rtl/>
        </w:rPr>
        <w:t>،</w:t>
      </w:r>
      <w:r w:rsidRPr="005675B2">
        <w:rPr>
          <w:rFonts w:hint="cs"/>
          <w:rtl/>
        </w:rPr>
        <w:t xml:space="preserve"> ولكن عن يساره</w:t>
      </w:r>
      <w:r w:rsidRPr="005675B2">
        <w:rPr>
          <w:rFonts w:hint="cs"/>
        </w:rPr>
        <w:t xml:space="preserve"> </w:t>
      </w:r>
      <w:r w:rsidRPr="005675B2">
        <w:rPr>
          <w:rFonts w:hint="cs"/>
          <w:rtl/>
        </w:rPr>
        <w:t>أو تحت قدميه</w:t>
      </w:r>
      <w:r w:rsidR="000636C2">
        <w:rPr>
          <w:rFonts w:hint="cs"/>
          <w:rtl/>
        </w:rPr>
        <w:t>)</w:t>
      </w:r>
      <w:r w:rsidRPr="005675B2">
        <w:rPr>
          <w:rFonts w:hint="cs"/>
          <w:rtl/>
        </w:rPr>
        <w:t xml:space="preserve">) خرجه البخاري برقم </w:t>
      </w:r>
      <w:r w:rsidR="000636C2">
        <w:rPr>
          <w:rFonts w:hint="cs"/>
          <w:rtl/>
        </w:rPr>
        <w:t>(</w:t>
      </w:r>
      <w:r w:rsidRPr="005675B2">
        <w:rPr>
          <w:rFonts w:hint="cs"/>
          <w:rtl/>
        </w:rPr>
        <w:t>450</w:t>
      </w:r>
      <w:r w:rsidR="000636C2">
        <w:rPr>
          <w:rFonts w:hint="cs"/>
          <w:rtl/>
        </w:rPr>
        <w:t>)</w:t>
      </w:r>
      <w:r w:rsidR="000636C2">
        <w:rPr>
          <w:rtl/>
        </w:rPr>
        <w:t>،</w:t>
      </w:r>
      <w:r w:rsidRPr="005675B2">
        <w:rPr>
          <w:rFonts w:hint="cs"/>
          <w:rtl/>
        </w:rPr>
        <w:t xml:space="preserve"> وقول بعض الأئمة للمصلين</w:t>
      </w:r>
      <w:r w:rsidR="000636C2">
        <w:rPr>
          <w:rFonts w:hint="cs"/>
          <w:rtl/>
        </w:rPr>
        <w:t>:</w:t>
      </w:r>
      <w:r w:rsidRPr="005675B2">
        <w:rPr>
          <w:rFonts w:hint="cs"/>
          <w:rtl/>
        </w:rPr>
        <w:t xml:space="preserve"> استووا واعتدلوا فأنتم بين يد الله</w:t>
      </w:r>
      <w:r w:rsidR="000636C2">
        <w:rPr>
          <w:rFonts w:hint="cs"/>
          <w:rtl/>
        </w:rPr>
        <w:t>،</w:t>
      </w:r>
      <w:r w:rsidRPr="005675B2">
        <w:rPr>
          <w:rFonts w:hint="cs"/>
          <w:rtl/>
        </w:rPr>
        <w:t xml:space="preserve"> وهو حتماً لا يقصد ظاهر الكلام حرفياً</w:t>
      </w:r>
      <w:r w:rsidR="000636C2">
        <w:rPr>
          <w:rFonts w:hint="cs"/>
          <w:rtl/>
        </w:rPr>
        <w:t>،</w:t>
      </w:r>
      <w:r w:rsidRPr="005675B2">
        <w:rPr>
          <w:rFonts w:hint="cs"/>
          <w:rtl/>
        </w:rPr>
        <w:t xml:space="preserve"> وعليه فليس الأخذ بظاهر نصوص الفوقية</w:t>
      </w:r>
      <w:r w:rsidRPr="005675B2">
        <w:rPr>
          <w:rFonts w:hint="cs"/>
        </w:rPr>
        <w:t xml:space="preserve"> </w:t>
      </w:r>
      <w:r w:rsidRPr="005675B2">
        <w:rPr>
          <w:rFonts w:hint="cs"/>
          <w:rtl/>
        </w:rPr>
        <w:t>بأولى من الأخذ بظاهر النصوص الأخرى التي حُكي شيء منها</w:t>
      </w:r>
      <w:r w:rsidR="000636C2">
        <w:rPr>
          <w:rFonts w:hint="cs"/>
          <w:rtl/>
        </w:rPr>
        <w:t>،</w:t>
      </w:r>
      <w:r w:rsidRPr="005675B2">
        <w:rPr>
          <w:rFonts w:hint="cs"/>
          <w:rtl/>
        </w:rPr>
        <w:t xml:space="preserve"> وعليه فإن الأخذ بالفوقية</w:t>
      </w:r>
      <w:r w:rsidRPr="005675B2">
        <w:rPr>
          <w:rFonts w:hint="cs"/>
        </w:rPr>
        <w:t xml:space="preserve"> </w:t>
      </w:r>
      <w:r w:rsidRPr="005675B2">
        <w:rPr>
          <w:rFonts w:hint="cs"/>
          <w:rtl/>
        </w:rPr>
        <w:t>في المكانة والقدر هو الواجب</w:t>
      </w:r>
      <w:r w:rsidR="000636C2">
        <w:rPr>
          <w:rFonts w:hint="cs"/>
          <w:rtl/>
        </w:rPr>
        <w:t xml:space="preserve"> </w:t>
      </w:r>
      <w:r w:rsidRPr="005675B2">
        <w:rPr>
          <w:rFonts w:hint="cs"/>
          <w:rtl/>
        </w:rPr>
        <w:t>إذ غيرهذا المعنى</w:t>
      </w:r>
      <w:r w:rsidR="000636C2">
        <w:rPr>
          <w:rFonts w:hint="cs"/>
          <w:rtl/>
        </w:rPr>
        <w:t xml:space="preserve"> </w:t>
      </w:r>
      <w:r w:rsidRPr="005675B2">
        <w:rPr>
          <w:rFonts w:hint="cs"/>
          <w:rtl/>
        </w:rPr>
        <w:t>ممتنع على الله</w:t>
      </w:r>
      <w:r w:rsidR="000636C2">
        <w:rPr>
          <w:rFonts w:hint="cs"/>
          <w:rtl/>
        </w:rPr>
        <w:t>،</w:t>
      </w:r>
      <w:r w:rsidRPr="005675B2">
        <w:rPr>
          <w:rFonts w:hint="cs"/>
          <w:rtl/>
        </w:rPr>
        <w:t xml:space="preserve"> وقد ورد عند العرب</w:t>
      </w:r>
      <w:r w:rsidRPr="005675B2">
        <w:rPr>
          <w:rFonts w:hint="cs"/>
        </w:rPr>
        <w:t xml:space="preserve"> </w:t>
      </w:r>
      <w:r w:rsidRPr="005675B2">
        <w:rPr>
          <w:rFonts w:hint="cs"/>
          <w:rtl/>
        </w:rPr>
        <w:t>الفصحاء ذكر الفوقية المعنوية</w:t>
      </w:r>
      <w:r w:rsidR="000636C2">
        <w:rPr>
          <w:rFonts w:hint="cs"/>
          <w:rtl/>
        </w:rPr>
        <w:t>،</w:t>
      </w:r>
      <w:r w:rsidRPr="005675B2">
        <w:rPr>
          <w:rFonts w:hint="cs"/>
          <w:rtl/>
        </w:rPr>
        <w:t xml:space="preserve"> وكذا ذكر السماء والصعود</w:t>
      </w:r>
      <w:r w:rsidR="000636C2">
        <w:rPr>
          <w:rFonts w:hint="cs"/>
          <w:rtl/>
        </w:rPr>
        <w:t>،</w:t>
      </w:r>
      <w:r w:rsidRPr="005675B2">
        <w:rPr>
          <w:rFonts w:hint="cs"/>
          <w:rtl/>
        </w:rPr>
        <w:t xml:space="preserve"> ومنه قول عنترة - كما في</w:t>
      </w:r>
      <w:r w:rsidRPr="005675B2">
        <w:rPr>
          <w:rFonts w:hint="cs"/>
        </w:rPr>
        <w:t xml:space="preserve"> </w:t>
      </w:r>
      <w:r w:rsidRPr="005675B2">
        <w:rPr>
          <w:rFonts w:hint="cs"/>
          <w:rtl/>
        </w:rPr>
        <w:t xml:space="preserve">ديوانه في شرحه للتبريزي ص </w:t>
      </w:r>
      <w:r w:rsidR="000636C2">
        <w:rPr>
          <w:rFonts w:hint="cs"/>
          <w:rtl/>
        </w:rPr>
        <w:t>(</w:t>
      </w:r>
      <w:r w:rsidRPr="005675B2">
        <w:rPr>
          <w:rFonts w:hint="cs"/>
          <w:rtl/>
        </w:rPr>
        <w:t>35</w:t>
      </w:r>
      <w:r w:rsidR="000636C2">
        <w:rPr>
          <w:rFonts w:hint="cs"/>
          <w:rtl/>
        </w:rPr>
        <w:t>)</w:t>
      </w:r>
      <w:r w:rsidRPr="005675B2">
        <w:rPr>
          <w:rFonts w:hint="cs"/>
          <w:rtl/>
        </w:rPr>
        <w:t xml:space="preserve"> -</w:t>
      </w:r>
      <w:r w:rsidR="000636C2">
        <w:rPr>
          <w:rFonts w:hint="cs"/>
          <w:rtl/>
        </w:rPr>
        <w:t>:</w:t>
      </w:r>
      <w:r w:rsidRPr="005675B2">
        <w:t xml:space="preserve"> </w:t>
      </w:r>
      <w:r w:rsidRPr="005675B2">
        <w:rPr>
          <w:rFonts w:hint="cs"/>
          <w:rtl/>
        </w:rPr>
        <w:t>مقامكم في جو السماء مكانه</w:t>
      </w:r>
      <w:r w:rsidR="000636C2">
        <w:rPr>
          <w:rFonts w:hint="cs"/>
          <w:rtl/>
        </w:rPr>
        <w:t>،</w:t>
      </w:r>
      <w:r w:rsidRPr="005675B2">
        <w:rPr>
          <w:rFonts w:hint="cs"/>
          <w:rtl/>
        </w:rPr>
        <w:t xml:space="preserve"> وباعي قصير</w:t>
      </w:r>
      <w:r w:rsidRPr="005675B2">
        <w:rPr>
          <w:rFonts w:hint="cs"/>
        </w:rPr>
        <w:t xml:space="preserve"> </w:t>
      </w:r>
      <w:r w:rsidRPr="005675B2">
        <w:rPr>
          <w:rFonts w:hint="cs"/>
          <w:rtl/>
        </w:rPr>
        <w:t>عن نوال الكواكب ومنه قول الناس</w:t>
      </w:r>
      <w:r w:rsidR="000636C2">
        <w:rPr>
          <w:rFonts w:hint="cs"/>
          <w:rtl/>
        </w:rPr>
        <w:t>:</w:t>
      </w:r>
      <w:r w:rsidRPr="005675B2">
        <w:rPr>
          <w:rFonts w:hint="cs"/>
          <w:rtl/>
        </w:rPr>
        <w:t xml:space="preserve"> فلان فوق فلان، أي في المنـزلة، وكذا</w:t>
      </w:r>
      <w:r w:rsidRPr="005675B2">
        <w:rPr>
          <w:rFonts w:hint="cs"/>
        </w:rPr>
        <w:t xml:space="preserve"> </w:t>
      </w:r>
      <w:r w:rsidRPr="005675B2">
        <w:rPr>
          <w:rFonts w:hint="cs"/>
          <w:rtl/>
        </w:rPr>
        <w:t>كل من في الشركة</w:t>
      </w:r>
      <w:r w:rsidR="000636C2">
        <w:rPr>
          <w:rFonts w:hint="cs"/>
          <w:rtl/>
        </w:rPr>
        <w:t xml:space="preserve"> </w:t>
      </w:r>
      <w:r w:rsidRPr="005675B2">
        <w:rPr>
          <w:rFonts w:hint="cs"/>
          <w:rtl/>
        </w:rPr>
        <w:t>يخاف ممن فوقه من المسؤلين</w:t>
      </w:r>
      <w:r w:rsidR="000636C2">
        <w:rPr>
          <w:rFonts w:hint="cs"/>
          <w:rtl/>
        </w:rPr>
        <w:t>،</w:t>
      </w:r>
      <w:r w:rsidRPr="005675B2">
        <w:rPr>
          <w:rFonts w:hint="cs"/>
          <w:rtl/>
        </w:rPr>
        <w:t xml:space="preserve"> </w:t>
      </w:r>
    </w:p>
    <w:p w14:paraId="2C5CAD6D" w14:textId="274B45AD" w:rsidR="009C32A0" w:rsidRPr="005675B2" w:rsidRDefault="009C32A0" w:rsidP="000636C2">
      <w:pPr>
        <w:rPr>
          <w:b/>
          <w:rtl/>
        </w:rPr>
      </w:pPr>
      <w:r w:rsidRPr="005675B2">
        <w:rPr>
          <w:rFonts w:hint="cs"/>
          <w:rtl/>
        </w:rPr>
        <w:t>تفصيل المسائل</w:t>
      </w:r>
      <w:r w:rsidR="000636C2">
        <w:rPr>
          <w:rFonts w:hint="cs"/>
          <w:rtl/>
        </w:rPr>
        <w:t>:</w:t>
      </w:r>
    </w:p>
    <w:p w14:paraId="7A75FBEC" w14:textId="4FA4F74A" w:rsidR="009C32A0" w:rsidRPr="005675B2" w:rsidRDefault="009C32A0" w:rsidP="000636C2">
      <w:pPr>
        <w:rPr>
          <w:b/>
          <w:rtl/>
        </w:rPr>
      </w:pPr>
      <w:r w:rsidRPr="005675B2">
        <w:rPr>
          <w:rFonts w:hint="cs"/>
          <w:u w:val="single"/>
          <w:rtl/>
        </w:rPr>
        <w:t>أما الذي تمسكوا به أولاً</w:t>
      </w:r>
      <w:r w:rsidR="000636C2">
        <w:rPr>
          <w:rFonts w:hint="cs"/>
          <w:u w:val="single"/>
          <w:rtl/>
        </w:rPr>
        <w:t>،</w:t>
      </w:r>
      <w:r w:rsidRPr="005675B2">
        <w:rPr>
          <w:rFonts w:hint="cs"/>
          <w:u w:val="single"/>
          <w:rtl/>
        </w:rPr>
        <w:t xml:space="preserve"> وهو الآيات</w:t>
      </w:r>
      <w:r w:rsidR="000636C2">
        <w:rPr>
          <w:rFonts w:hint="cs"/>
          <w:u w:val="single"/>
          <w:rtl/>
        </w:rPr>
        <w:t xml:space="preserve"> </w:t>
      </w:r>
      <w:r w:rsidRPr="005675B2">
        <w:rPr>
          <w:rFonts w:hint="cs"/>
          <w:u w:val="single"/>
          <w:rtl/>
        </w:rPr>
        <w:t xml:space="preserve">الدالة على استواء الله تعالى </w:t>
      </w:r>
      <w:r w:rsidRPr="005675B2">
        <w:rPr>
          <w:rFonts w:hint="cs"/>
          <w:rtl/>
        </w:rPr>
        <w:t>على العرش</w:t>
      </w:r>
      <w:r w:rsidR="000636C2">
        <w:rPr>
          <w:rFonts w:hint="cs"/>
          <w:rtl/>
        </w:rPr>
        <w:t>،</w:t>
      </w:r>
      <w:r w:rsidRPr="005675B2">
        <w:rPr>
          <w:rFonts w:hint="cs"/>
          <w:rtl/>
        </w:rPr>
        <w:t xml:space="preserve"> </w:t>
      </w:r>
      <w:r w:rsidRPr="005675B2">
        <w:rPr>
          <w:rFonts w:hint="cs"/>
          <w:u w:val="single"/>
          <w:rtl/>
        </w:rPr>
        <w:t>فلابد أن نفهم لأن القرآن للتدبر</w:t>
      </w:r>
      <w:r w:rsidR="000636C2">
        <w:rPr>
          <w:rFonts w:hint="cs"/>
          <w:u w:val="single"/>
          <w:rtl/>
        </w:rPr>
        <w:t>:</w:t>
      </w:r>
      <w:r w:rsidRPr="005675B2">
        <w:rPr>
          <w:rFonts w:hint="cs"/>
          <w:rtl/>
        </w:rPr>
        <w:t>قال تعالى</w:t>
      </w:r>
      <w:r w:rsidR="000636C2">
        <w:rPr>
          <w:rFonts w:hint="cs"/>
          <w:rtl/>
        </w:rPr>
        <w:t>:</w:t>
      </w:r>
      <w:r w:rsidRPr="005675B2">
        <w:rPr>
          <w:rFonts w:hint="cs"/>
          <w:rtl/>
        </w:rPr>
        <w:t xml:space="preserve"> </w:t>
      </w:r>
      <w:r w:rsidR="000636C2">
        <w:rPr>
          <w:rFonts w:hint="cs"/>
          <w:rtl/>
        </w:rPr>
        <w:t>{</w:t>
      </w:r>
      <w:r w:rsidRPr="005675B2">
        <w:rPr>
          <w:rFonts w:hint="cs"/>
          <w:rtl/>
        </w:rPr>
        <w:t>إن ربكم الله الذى خلق السموات والأرض فى ستة أيام ثم استوى على العرش يغشى اليل النهار يطلبه حثيثا والشمس والقمر والنجوم مسخرات بأمره ألا له الخلق والأمر تبارك الله رب العالمين</w:t>
      </w:r>
      <w:r w:rsidR="000636C2">
        <w:rPr>
          <w:rFonts w:hint="cs"/>
          <w:rtl/>
        </w:rPr>
        <w:t>}، (</w:t>
      </w:r>
      <w:r w:rsidRPr="005675B2">
        <w:rPr>
          <w:rFonts w:hint="cs"/>
          <w:rtl/>
        </w:rPr>
        <w:t>54</w:t>
      </w:r>
      <w:r w:rsidR="000636C2">
        <w:rPr>
          <w:rFonts w:hint="cs"/>
          <w:rtl/>
        </w:rPr>
        <w:t>)</w:t>
      </w:r>
      <w:r w:rsidRPr="005675B2">
        <w:rPr>
          <w:rFonts w:hint="cs"/>
          <w:rtl/>
        </w:rPr>
        <w:t xml:space="preserve"> </w:t>
      </w:r>
      <w:r w:rsidR="000636C2">
        <w:rPr>
          <w:rFonts w:hint="cs"/>
          <w:rtl/>
        </w:rPr>
        <w:t>(</w:t>
      </w:r>
      <w:r w:rsidRPr="005675B2">
        <w:rPr>
          <w:rFonts w:hint="cs"/>
          <w:rtl/>
        </w:rPr>
        <w:t>سورة الأعراف</w:t>
      </w:r>
      <w:r w:rsidR="000636C2">
        <w:rPr>
          <w:rFonts w:hint="cs"/>
          <w:rtl/>
        </w:rPr>
        <w:t>)،</w:t>
      </w:r>
      <w:r w:rsidRPr="005675B2">
        <w:rPr>
          <w:rFonts w:hint="cs"/>
          <w:rtl/>
        </w:rPr>
        <w:t xml:space="preserve"> من نظر إلى الآية وجد أنها تتكلم عن أفعال الله في مخلوقاته وهي كالتالي</w:t>
      </w:r>
      <w:r w:rsidR="000636C2">
        <w:rPr>
          <w:rFonts w:hint="cs"/>
          <w:rtl/>
        </w:rPr>
        <w:t>:</w:t>
      </w:r>
      <w:r w:rsidRPr="005675B2">
        <w:rPr>
          <w:rFonts w:hint="cs"/>
          <w:rtl/>
        </w:rPr>
        <w:t xml:space="preserve"> 1</w:t>
      </w:r>
      <w:r w:rsidR="000636C2">
        <w:rPr>
          <w:rFonts w:hint="cs"/>
          <w:rtl/>
        </w:rPr>
        <w:t xml:space="preserve"> </w:t>
      </w:r>
      <w:r w:rsidRPr="005675B2">
        <w:rPr>
          <w:rFonts w:hint="cs"/>
          <w:rtl/>
        </w:rPr>
        <w:t>- خلق السموات والأرض</w:t>
      </w:r>
      <w:r w:rsidR="000636C2">
        <w:rPr>
          <w:rFonts w:hint="cs"/>
          <w:rtl/>
        </w:rPr>
        <w:t>،</w:t>
      </w:r>
      <w:r w:rsidRPr="005675B2">
        <w:rPr>
          <w:rFonts w:hint="cs"/>
          <w:rtl/>
        </w:rPr>
        <w:t xml:space="preserve"> 2</w:t>
      </w:r>
      <w:r w:rsidR="000636C2">
        <w:rPr>
          <w:rFonts w:hint="cs"/>
          <w:rtl/>
        </w:rPr>
        <w:t xml:space="preserve"> </w:t>
      </w:r>
      <w:r w:rsidRPr="005675B2">
        <w:rPr>
          <w:rFonts w:hint="cs"/>
          <w:rtl/>
        </w:rPr>
        <w:t>- أنه استوى على العرش 3</w:t>
      </w:r>
      <w:r w:rsidR="000636C2">
        <w:rPr>
          <w:rFonts w:hint="cs"/>
          <w:rtl/>
        </w:rPr>
        <w:t xml:space="preserve"> </w:t>
      </w:r>
      <w:r w:rsidRPr="005675B2">
        <w:rPr>
          <w:rFonts w:hint="cs"/>
          <w:rtl/>
        </w:rPr>
        <w:t>- أنه يغشي الليل النهار 4</w:t>
      </w:r>
      <w:r w:rsidR="000636C2">
        <w:rPr>
          <w:rFonts w:hint="cs"/>
          <w:rtl/>
        </w:rPr>
        <w:t xml:space="preserve"> </w:t>
      </w:r>
      <w:r w:rsidRPr="005675B2">
        <w:rPr>
          <w:rFonts w:hint="cs"/>
          <w:rtl/>
        </w:rPr>
        <w:t>- أن الشمس والقمروالنجوم</w:t>
      </w:r>
      <w:r w:rsidR="000636C2">
        <w:rPr>
          <w:rFonts w:hint="cs"/>
          <w:rtl/>
        </w:rPr>
        <w:t xml:space="preserve"> </w:t>
      </w:r>
      <w:r w:rsidRPr="005675B2">
        <w:rPr>
          <w:rFonts w:hint="cs"/>
          <w:rtl/>
        </w:rPr>
        <w:t>مسخرات بأمره</w:t>
      </w:r>
      <w:r w:rsidR="000636C2">
        <w:rPr>
          <w:rFonts w:hint="cs"/>
          <w:rtl/>
        </w:rPr>
        <w:t>،</w:t>
      </w:r>
      <w:r w:rsidRPr="005675B2">
        <w:rPr>
          <w:rFonts w:hint="cs"/>
          <w:rtl/>
        </w:rPr>
        <w:t xml:space="preserve"> ثم نبه على ذلك بقوله </w:t>
      </w:r>
      <w:r w:rsidR="000636C2">
        <w:rPr>
          <w:rFonts w:hint="cs"/>
          <w:rtl/>
        </w:rPr>
        <w:t>(</w:t>
      </w:r>
      <w:r w:rsidRPr="005675B2">
        <w:rPr>
          <w:rFonts w:hint="cs"/>
          <w:rtl/>
        </w:rPr>
        <w:t>ألا له الخلق</w:t>
      </w:r>
      <w:r w:rsidR="000636C2">
        <w:rPr>
          <w:rFonts w:hint="cs"/>
          <w:rtl/>
        </w:rPr>
        <w:t>)</w:t>
      </w:r>
      <w:r w:rsidRPr="005675B2">
        <w:rPr>
          <w:rFonts w:hint="cs"/>
          <w:rtl/>
        </w:rPr>
        <w:t xml:space="preserve"> </w:t>
      </w:r>
      <w:r w:rsidR="000636C2">
        <w:rPr>
          <w:rFonts w:hint="cs"/>
          <w:rtl/>
        </w:rPr>
        <w:t>(</w:t>
      </w:r>
      <w:r w:rsidRPr="005675B2">
        <w:rPr>
          <w:rFonts w:hint="cs"/>
          <w:rtl/>
        </w:rPr>
        <w:t>والأمر</w:t>
      </w:r>
      <w:r w:rsidR="000636C2">
        <w:rPr>
          <w:rFonts w:hint="cs"/>
          <w:rtl/>
        </w:rPr>
        <w:t xml:space="preserve">) </w:t>
      </w:r>
      <w:r w:rsidRPr="005675B2">
        <w:rPr>
          <w:rFonts w:hint="cs"/>
          <w:rtl/>
        </w:rPr>
        <w:t>إذا علمت هذا فالمفهوم من الآية لأول وهلة أنه تعالى خلق السموات والأرض</w:t>
      </w:r>
      <w:r w:rsidR="000636C2">
        <w:rPr>
          <w:rFonts w:hint="cs"/>
          <w:rtl/>
        </w:rPr>
        <w:t xml:space="preserve"> </w:t>
      </w:r>
      <w:r w:rsidRPr="005675B2">
        <w:rPr>
          <w:rFonts w:hint="cs"/>
          <w:rtl/>
        </w:rPr>
        <w:t>- ثم دبرها وأمرها بما أراده منها فصارت مسخرة بأمره</w:t>
      </w:r>
      <w:r w:rsidR="000636C2">
        <w:rPr>
          <w:rFonts w:hint="cs"/>
          <w:rtl/>
        </w:rPr>
        <w:t xml:space="preserve"> </w:t>
      </w:r>
      <w:r w:rsidRPr="005675B2">
        <w:rPr>
          <w:rFonts w:hint="cs"/>
          <w:rtl/>
        </w:rPr>
        <w:t>- فله الخلق والأمر</w:t>
      </w:r>
      <w:r w:rsidR="000636C2">
        <w:rPr>
          <w:rFonts w:hint="cs"/>
          <w:rtl/>
        </w:rPr>
        <w:t>،</w:t>
      </w:r>
      <w:r w:rsidRPr="005675B2">
        <w:rPr>
          <w:rFonts w:hint="cs"/>
          <w:rtl/>
        </w:rPr>
        <w:t xml:space="preserve"> وهذا دليل على تمام القدرة وإذن يجب أن يفهم من الاستواء المعنى المطابق لذلك مع ملاحظة البلاغة وقواعد اللغة</w:t>
      </w:r>
      <w:r w:rsidR="000636C2">
        <w:rPr>
          <w:rFonts w:hint="cs"/>
          <w:rtl/>
        </w:rPr>
        <w:t>،</w:t>
      </w:r>
      <w:r w:rsidRPr="005675B2">
        <w:rPr>
          <w:rFonts w:hint="cs"/>
          <w:rtl/>
        </w:rPr>
        <w:t xml:space="preserve"> فيجب أن يفهم من </w:t>
      </w:r>
      <w:r w:rsidR="000636C2">
        <w:rPr>
          <w:rFonts w:hint="cs"/>
          <w:rtl/>
        </w:rPr>
        <w:t>(</w:t>
      </w:r>
      <w:r w:rsidRPr="005675B2">
        <w:rPr>
          <w:rFonts w:hint="cs"/>
          <w:rtl/>
        </w:rPr>
        <w:t>استوى</w:t>
      </w:r>
      <w:r w:rsidR="000636C2">
        <w:rPr>
          <w:rFonts w:hint="cs"/>
          <w:rtl/>
        </w:rPr>
        <w:t>)</w:t>
      </w:r>
      <w:r w:rsidRPr="005675B2">
        <w:rPr>
          <w:rFonts w:hint="cs"/>
          <w:rtl/>
        </w:rPr>
        <w:t xml:space="preserve"> المعنى الذى يصح أن يكون متأخراً عن خلق السموات والأرض وليس ذلك إلا الكناية عن تدبير الملك</w:t>
      </w:r>
      <w:r w:rsidR="000636C2">
        <w:rPr>
          <w:rFonts w:hint="cs"/>
          <w:rtl/>
        </w:rPr>
        <w:t xml:space="preserve"> </w:t>
      </w:r>
      <w:r w:rsidRPr="005675B2">
        <w:rPr>
          <w:rFonts w:hint="cs"/>
          <w:rtl/>
        </w:rPr>
        <w:t xml:space="preserve">وبذلك يكون المفهوم من </w:t>
      </w:r>
      <w:r w:rsidR="000636C2">
        <w:rPr>
          <w:rFonts w:hint="cs"/>
          <w:rtl/>
        </w:rPr>
        <w:t>(</w:t>
      </w:r>
      <w:r w:rsidRPr="005675B2">
        <w:rPr>
          <w:rFonts w:hint="cs"/>
          <w:rtl/>
        </w:rPr>
        <w:t>استوى</w:t>
      </w:r>
      <w:r w:rsidR="000636C2">
        <w:rPr>
          <w:rFonts w:hint="cs"/>
          <w:rtl/>
        </w:rPr>
        <w:t>)</w:t>
      </w:r>
      <w:r w:rsidRPr="005675B2">
        <w:rPr>
          <w:rFonts w:hint="cs"/>
          <w:rtl/>
        </w:rPr>
        <w:t xml:space="preserve"> بمعنى </w:t>
      </w:r>
      <w:r w:rsidR="000636C2">
        <w:rPr>
          <w:rFonts w:hint="cs"/>
          <w:rtl/>
        </w:rPr>
        <w:t>(</w:t>
      </w:r>
      <w:r w:rsidRPr="005675B2">
        <w:rPr>
          <w:rFonts w:hint="cs"/>
          <w:rtl/>
        </w:rPr>
        <w:t>قام بتدبير المخلوقات</w:t>
      </w:r>
      <w:r w:rsidR="000636C2">
        <w:rPr>
          <w:rFonts w:hint="cs"/>
          <w:rtl/>
        </w:rPr>
        <w:t>)</w:t>
      </w:r>
      <w:r w:rsidRPr="005675B2">
        <w:rPr>
          <w:rFonts w:hint="cs"/>
          <w:rtl/>
        </w:rPr>
        <w:t xml:space="preserve"> مناسباً لخلق السموات والأرض ومرتباً عليه</w:t>
      </w:r>
      <w:r w:rsidR="000636C2">
        <w:rPr>
          <w:rFonts w:hint="cs"/>
          <w:rtl/>
        </w:rPr>
        <w:t>،</w:t>
      </w:r>
      <w:r w:rsidRPr="005675B2">
        <w:rPr>
          <w:rFonts w:hint="cs"/>
          <w:rtl/>
        </w:rPr>
        <w:t xml:space="preserve"> لأن التدبير لا يكون إلا بعد الخلق</w:t>
      </w:r>
      <w:r w:rsidR="000636C2">
        <w:rPr>
          <w:rFonts w:hint="cs"/>
          <w:rtl/>
        </w:rPr>
        <w:t>،</w:t>
      </w:r>
      <w:r w:rsidRPr="005675B2">
        <w:rPr>
          <w:rFonts w:hint="cs"/>
          <w:rtl/>
        </w:rPr>
        <w:t xml:space="preserve"> ويؤيد لك ما يفهم من قوله تعالى </w:t>
      </w:r>
      <w:r w:rsidR="000636C2">
        <w:rPr>
          <w:rFonts w:hint="cs"/>
          <w:rtl/>
        </w:rPr>
        <w:t>{</w:t>
      </w:r>
      <w:r w:rsidRPr="005675B2">
        <w:rPr>
          <w:rFonts w:hint="cs"/>
          <w:rtl/>
        </w:rPr>
        <w:t>يغشى اليل النهار يطلبه حثيثا والشمس والقمر والنجوم مسخرات بأمره ألا له الخلق والأمر تبارك الله</w:t>
      </w:r>
      <w:r w:rsidR="000636C2">
        <w:rPr>
          <w:rFonts w:hint="cs"/>
          <w:rtl/>
        </w:rPr>
        <w:t xml:space="preserve">}، </w:t>
      </w:r>
      <w:r w:rsidRPr="005675B2">
        <w:rPr>
          <w:rFonts w:hint="cs"/>
          <w:rtl/>
        </w:rPr>
        <w:t>ولذلك يذكر الاستواء بعد الخلق دائما</w:t>
      </w:r>
      <w:r w:rsidR="000636C2">
        <w:rPr>
          <w:rFonts w:hint="cs"/>
          <w:rtl/>
        </w:rPr>
        <w:t xml:space="preserve">، </w:t>
      </w:r>
      <w:r w:rsidRPr="005675B2">
        <w:rPr>
          <w:rFonts w:hint="cs"/>
          <w:rtl/>
        </w:rPr>
        <w:t>ويؤكده أيضا قوله تعالى</w:t>
      </w:r>
      <w:r w:rsidR="000636C2">
        <w:rPr>
          <w:rFonts w:hint="cs"/>
          <w:rtl/>
        </w:rPr>
        <w:t>:</w:t>
      </w:r>
      <w:r w:rsidRPr="005675B2">
        <w:rPr>
          <w:rFonts w:hint="cs"/>
          <w:rtl/>
        </w:rPr>
        <w:t xml:space="preserve"> </w:t>
      </w:r>
      <w:r w:rsidR="000636C2">
        <w:rPr>
          <w:rFonts w:hint="cs"/>
          <w:rtl/>
        </w:rPr>
        <w:t>{</w:t>
      </w:r>
      <w:r w:rsidRPr="005675B2">
        <w:rPr>
          <w:rFonts w:hint="cs"/>
          <w:rtl/>
        </w:rPr>
        <w:t>ألا له الخلق والأمر</w:t>
      </w:r>
      <w:r w:rsidR="000636C2">
        <w:rPr>
          <w:rFonts w:hint="cs"/>
          <w:rtl/>
        </w:rPr>
        <w:t xml:space="preserve">}، </w:t>
      </w:r>
      <w:r w:rsidRPr="005675B2">
        <w:rPr>
          <w:rFonts w:hint="cs"/>
          <w:rtl/>
        </w:rPr>
        <w:t>فهو لف ونشر مرتب،فالخلق يشير إلى خلق السموات والأرض</w:t>
      </w:r>
      <w:r w:rsidR="000636C2">
        <w:rPr>
          <w:rFonts w:hint="cs"/>
          <w:rtl/>
        </w:rPr>
        <w:t>،</w:t>
      </w:r>
      <w:r w:rsidRPr="005675B2">
        <w:rPr>
          <w:rFonts w:hint="cs"/>
          <w:rtl/>
        </w:rPr>
        <w:t xml:space="preserve"> والأمر يشير إلى الاستواء على العرش</w:t>
      </w:r>
      <w:r w:rsidR="000636C2">
        <w:rPr>
          <w:rFonts w:hint="cs"/>
          <w:rtl/>
        </w:rPr>
        <w:t>،</w:t>
      </w:r>
      <w:r w:rsidRPr="005675B2">
        <w:rPr>
          <w:rFonts w:hint="cs"/>
          <w:rtl/>
        </w:rPr>
        <w:t>فلا يجوز أن يكون مراد الله تعالى من ذلك الاستواء</w:t>
      </w:r>
      <w:r w:rsidR="000636C2">
        <w:rPr>
          <w:rFonts w:hint="cs"/>
          <w:rtl/>
        </w:rPr>
        <w:t>:</w:t>
      </w:r>
      <w:r w:rsidRPr="005675B2">
        <w:rPr>
          <w:rFonts w:hint="cs"/>
          <w:rtl/>
        </w:rPr>
        <w:t xml:space="preserve"> هو الاستقرار على العرش</w:t>
      </w:r>
      <w:r w:rsidR="000636C2">
        <w:rPr>
          <w:rFonts w:hint="cs"/>
          <w:rtl/>
        </w:rPr>
        <w:t>،</w:t>
      </w:r>
      <w:r w:rsidRPr="005675B2">
        <w:rPr>
          <w:rFonts w:hint="cs"/>
          <w:rtl/>
        </w:rPr>
        <w:t xml:space="preserve"> ويدل عليه وجوه</w:t>
      </w:r>
      <w:r w:rsidR="000636C2">
        <w:rPr>
          <w:rFonts w:hint="cs"/>
          <w:rtl/>
        </w:rPr>
        <w:t>:</w:t>
      </w:r>
      <w:r w:rsidRPr="005675B2">
        <w:rPr>
          <w:rFonts w:hint="cs"/>
          <w:rtl/>
        </w:rPr>
        <w:t xml:space="preserve"> أن ما قبل هذه الآية وما بعدها</w:t>
      </w:r>
      <w:r w:rsidR="000636C2">
        <w:rPr>
          <w:rFonts w:hint="cs"/>
          <w:rtl/>
        </w:rPr>
        <w:t>:</w:t>
      </w:r>
      <w:r w:rsidRPr="005675B2">
        <w:rPr>
          <w:rFonts w:hint="cs"/>
          <w:rtl/>
        </w:rPr>
        <w:t xml:space="preserve"> مذكور لبيان كمال قدرة الله تعالى</w:t>
      </w:r>
      <w:r w:rsidR="000636C2">
        <w:rPr>
          <w:rFonts w:hint="cs"/>
          <w:rtl/>
        </w:rPr>
        <w:t>،</w:t>
      </w:r>
      <w:r w:rsidRPr="005675B2">
        <w:rPr>
          <w:rFonts w:hint="cs"/>
          <w:rtl/>
        </w:rPr>
        <w:t xml:space="preserve"> وغاية عظمته في الإلهية</w:t>
      </w:r>
      <w:r w:rsidR="000636C2">
        <w:rPr>
          <w:rFonts w:hint="cs"/>
          <w:rtl/>
        </w:rPr>
        <w:t>،</w:t>
      </w:r>
      <w:r w:rsidRPr="005675B2">
        <w:rPr>
          <w:rFonts w:hint="cs"/>
          <w:rtl/>
        </w:rPr>
        <w:t xml:space="preserve"> وكمال التصرف</w:t>
      </w:r>
      <w:r w:rsidR="000636C2">
        <w:rPr>
          <w:rFonts w:hint="cs"/>
          <w:rtl/>
        </w:rPr>
        <w:t>،</w:t>
      </w:r>
      <w:r w:rsidRPr="005675B2">
        <w:rPr>
          <w:rFonts w:hint="cs"/>
          <w:rtl/>
        </w:rPr>
        <w:t xml:space="preserve"> ولذلك تجد في الآية الأخرى في سورة طه</w:t>
      </w:r>
      <w:r w:rsidR="000636C2">
        <w:rPr>
          <w:rFonts w:hint="cs"/>
          <w:rtl/>
        </w:rPr>
        <w:t xml:space="preserve"> </w:t>
      </w:r>
      <w:r w:rsidRPr="005675B2">
        <w:rPr>
          <w:rFonts w:hint="cs"/>
          <w:rtl/>
        </w:rPr>
        <w:t>»تنزيلاً ممن خلق الأرض والسموات العلى</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له ما في السموات وما في الأرض وما بينهما وما تحت الثرى</w:t>
      </w:r>
      <w:r w:rsidR="000636C2">
        <w:rPr>
          <w:rFonts w:hint="cs"/>
          <w:rtl/>
        </w:rPr>
        <w:t>)</w:t>
      </w:r>
      <w:r w:rsidRPr="005675B2">
        <w:rPr>
          <w:rFonts w:hint="cs"/>
          <w:rtl/>
        </w:rPr>
        <w:t>) فكلها أفعال فعلها لمخلوقاته تتجلى فيها عظمته</w:t>
      </w:r>
      <w:r w:rsidR="000636C2">
        <w:rPr>
          <w:rFonts w:hint="cs"/>
          <w:rtl/>
        </w:rPr>
        <w:t>،</w:t>
      </w:r>
      <w:r w:rsidRPr="005675B2">
        <w:rPr>
          <w:rFonts w:hint="cs"/>
          <w:rtl/>
        </w:rPr>
        <w:t>فالعباد أنزل عليهم القرآن</w:t>
      </w:r>
      <w:r w:rsidR="000636C2">
        <w:rPr>
          <w:rFonts w:hint="cs"/>
          <w:rtl/>
        </w:rPr>
        <w:t>،</w:t>
      </w:r>
      <w:r w:rsidRPr="005675B2">
        <w:rPr>
          <w:rFonts w:hint="cs"/>
          <w:rtl/>
        </w:rPr>
        <w:t xml:space="preserve"> والأرض والسموات خلقها</w:t>
      </w:r>
      <w:r w:rsidR="000636C2">
        <w:rPr>
          <w:rFonts w:hint="cs"/>
          <w:rtl/>
        </w:rPr>
        <w:t>،</w:t>
      </w:r>
      <w:r w:rsidRPr="005675B2">
        <w:rPr>
          <w:rFonts w:hint="cs"/>
          <w:rtl/>
        </w:rPr>
        <w:t xml:space="preserve"> والعرش استوى عليه</w:t>
      </w:r>
      <w:r w:rsidR="000636C2">
        <w:rPr>
          <w:rFonts w:hint="cs"/>
          <w:rtl/>
        </w:rPr>
        <w:t xml:space="preserve">، </w:t>
      </w:r>
      <w:r w:rsidRPr="005675B2">
        <w:rPr>
          <w:rFonts w:hint="cs"/>
          <w:rtl/>
        </w:rPr>
        <w:t>لا شك أن المفهوم منه</w:t>
      </w:r>
      <w:r w:rsidR="000636C2">
        <w:rPr>
          <w:rFonts w:hint="cs"/>
          <w:rtl/>
        </w:rPr>
        <w:t>:</w:t>
      </w:r>
      <w:r w:rsidRPr="005675B2">
        <w:rPr>
          <w:rFonts w:hint="cs"/>
          <w:rtl/>
        </w:rPr>
        <w:t xml:space="preserve"> بيان كمال قدرة الله تعالى، وكمال إلهيته</w:t>
      </w:r>
      <w:r w:rsidR="000636C2">
        <w:rPr>
          <w:rFonts w:hint="cs"/>
          <w:rtl/>
        </w:rPr>
        <w:t>،</w:t>
      </w:r>
      <w:r w:rsidRPr="005675B2">
        <w:rPr>
          <w:rFonts w:hint="cs"/>
          <w:rtl/>
        </w:rPr>
        <w:t xml:space="preserve"> فقوله</w:t>
      </w:r>
      <w:r w:rsidR="000636C2">
        <w:rPr>
          <w:rFonts w:hint="cs"/>
          <w:rtl/>
        </w:rPr>
        <w:t>:</w:t>
      </w:r>
      <w:r w:rsidRPr="005675B2">
        <w:rPr>
          <w:rFonts w:hint="cs"/>
          <w:rtl/>
        </w:rPr>
        <w:t xml:space="preserve"> </w:t>
      </w:r>
      <w:r w:rsidR="000636C2">
        <w:rPr>
          <w:rFonts w:hint="cs"/>
          <w:rtl/>
        </w:rPr>
        <w:t>{</w:t>
      </w:r>
      <w:r w:rsidRPr="005675B2">
        <w:rPr>
          <w:rFonts w:hint="cs"/>
          <w:rtl/>
        </w:rPr>
        <w:t>له ما في السموات وما في الأرض وما بينهما وما تحت الثرى</w:t>
      </w:r>
      <w:r w:rsidR="000636C2">
        <w:rPr>
          <w:rFonts w:hint="cs"/>
          <w:rtl/>
        </w:rPr>
        <w:t>}</w:t>
      </w:r>
      <w:r w:rsidRPr="005675B2">
        <w:rPr>
          <w:rFonts w:hint="cs"/>
          <w:rtl/>
        </w:rPr>
        <w:t xml:space="preserve">بيان أيضاً </w:t>
      </w:r>
      <w:r w:rsidRPr="005675B2">
        <w:rPr>
          <w:rFonts w:hint="cs"/>
          <w:u w:val="single"/>
          <w:rtl/>
        </w:rPr>
        <w:t>لكمال ملكه</w:t>
      </w:r>
      <w:r w:rsidR="000636C2">
        <w:rPr>
          <w:rFonts w:hint="cs"/>
          <w:vertAlign w:val="superscript"/>
          <w:rtl/>
        </w:rPr>
        <w:t xml:space="preserve"> </w:t>
      </w:r>
      <w:r w:rsidRPr="005675B2">
        <w:rPr>
          <w:rFonts w:hint="cs"/>
          <w:rtl/>
        </w:rPr>
        <w:t>وإلهيته</w:t>
      </w:r>
      <w:r w:rsidR="000636C2">
        <w:rPr>
          <w:rFonts w:hint="cs"/>
          <w:rtl/>
        </w:rPr>
        <w:t>،</w:t>
      </w:r>
      <w:r w:rsidRPr="005675B2">
        <w:rPr>
          <w:rFonts w:hint="cs"/>
          <w:rtl/>
        </w:rPr>
        <w:t xml:space="preserve"> </w:t>
      </w:r>
      <w:r w:rsidRPr="005675B2">
        <w:rPr>
          <w:rFonts w:hint="cs"/>
          <w:u w:val="single"/>
          <w:rtl/>
        </w:rPr>
        <w:t>وإذا كان الأمر كذلك، وجب أن يكون قوله</w:t>
      </w:r>
      <w:r w:rsidR="000636C2">
        <w:rPr>
          <w:rFonts w:hint="cs"/>
          <w:rtl/>
        </w:rPr>
        <w:t>:</w:t>
      </w:r>
      <w:r w:rsidRPr="005675B2">
        <w:rPr>
          <w:rFonts w:hint="cs"/>
          <w:rtl/>
        </w:rPr>
        <w:t xml:space="preserve"> </w:t>
      </w:r>
      <w:r w:rsidR="000636C2">
        <w:rPr>
          <w:rFonts w:hint="cs"/>
          <w:rtl/>
        </w:rPr>
        <w:t>{</w:t>
      </w:r>
      <w:r w:rsidRPr="005675B2">
        <w:rPr>
          <w:rFonts w:hint="cs"/>
          <w:u w:val="single"/>
          <w:rtl/>
        </w:rPr>
        <w:t>الرحمن على العرش استوى} كذلك</w:t>
      </w:r>
      <w:r w:rsidR="000636C2">
        <w:rPr>
          <w:rFonts w:hint="cs"/>
          <w:rtl/>
        </w:rPr>
        <w:t>،</w:t>
      </w:r>
      <w:r w:rsidRPr="005675B2">
        <w:rPr>
          <w:rFonts w:hint="cs"/>
          <w:rtl/>
        </w:rPr>
        <w:t xml:space="preserve"> وإلا لزم أن يكون ذلك كلاماً أجنبياً عما قبله وعما بعده</w:t>
      </w:r>
      <w:r w:rsidR="000636C2">
        <w:rPr>
          <w:rFonts w:hint="cs"/>
          <w:rtl/>
        </w:rPr>
        <w:t>،</w:t>
      </w:r>
      <w:r w:rsidRPr="005675B2">
        <w:rPr>
          <w:rFonts w:hint="cs"/>
          <w:rtl/>
        </w:rPr>
        <w:t xml:space="preserve"> ..</w:t>
      </w:r>
    </w:p>
    <w:p w14:paraId="1B4E77F6" w14:textId="7BBD879F" w:rsidR="009C32A0" w:rsidRPr="005675B2" w:rsidRDefault="009C32A0" w:rsidP="000636C2">
      <w:pPr>
        <w:rPr>
          <w:b/>
          <w:rtl/>
        </w:rPr>
      </w:pPr>
      <w:r w:rsidRPr="005675B2">
        <w:rPr>
          <w:rFonts w:hint="cs"/>
          <w:rtl/>
        </w:rPr>
        <w:t>ويؤيد هذا المعنى آية سورة يونس لأن نصها</w:t>
      </w:r>
      <w:r w:rsidR="000636C2">
        <w:rPr>
          <w:rFonts w:hint="cs"/>
          <w:rtl/>
        </w:rPr>
        <w:t>:</w:t>
      </w:r>
      <w:r w:rsidRPr="005675B2">
        <w:rPr>
          <w:rFonts w:hint="cs"/>
          <w:rtl/>
        </w:rPr>
        <w:t xml:space="preserve"> {إن ربكم الله الذى خلق السموات والأرض</w:t>
      </w:r>
      <w:r w:rsidR="000636C2">
        <w:rPr>
          <w:rFonts w:hint="cs"/>
          <w:rtl/>
        </w:rPr>
        <w:t xml:space="preserve"> </w:t>
      </w:r>
      <w:r w:rsidRPr="005675B2">
        <w:rPr>
          <w:rFonts w:hint="cs"/>
          <w:rtl/>
        </w:rPr>
        <w:t>فى ستة أيام ثم استوى على العرش يدبر الأمر} فذكر التدبير بعد الاستواء فهو كالتفسير له فى شرح المفهوم من آيات الاستواء على العرش بما يطابق أصول اللغة والتوحيد وبلاغة القرآن العظيم،فالمقصود هو لازم معناه</w:t>
      </w:r>
      <w:r w:rsidR="000636C2">
        <w:rPr>
          <w:rFonts w:hint="cs"/>
          <w:rtl/>
        </w:rPr>
        <w:t>،</w:t>
      </w:r>
      <w:r w:rsidRPr="005675B2">
        <w:rPr>
          <w:rFonts w:hint="cs"/>
          <w:rtl/>
        </w:rPr>
        <w:t xml:space="preserve"> وهو التدبير</w:t>
      </w:r>
      <w:r w:rsidR="000636C2">
        <w:rPr>
          <w:rFonts w:hint="cs"/>
          <w:rtl/>
        </w:rPr>
        <w:t xml:space="preserve"> </w:t>
      </w:r>
      <w:r w:rsidRPr="005675B2">
        <w:rPr>
          <w:rFonts w:hint="cs"/>
          <w:rtl/>
        </w:rPr>
        <w:t>وتسخير ما فيها</w:t>
      </w:r>
      <w:r w:rsidR="000636C2">
        <w:rPr>
          <w:rFonts w:hint="cs"/>
          <w:rtl/>
        </w:rPr>
        <w:t>،</w:t>
      </w:r>
      <w:r w:rsidRPr="005675B2">
        <w:rPr>
          <w:rFonts w:hint="cs"/>
          <w:rtl/>
        </w:rPr>
        <w:t xml:space="preserve"> وهو وصف فعلي تأثيره حاصل فى السموات والأرض وما فيها،وليس وصف ذاتي كالعلم والحياة</w:t>
      </w:r>
      <w:r w:rsidR="000636C2">
        <w:rPr>
          <w:rFonts w:hint="cs"/>
          <w:rtl/>
        </w:rPr>
        <w:t>،</w:t>
      </w:r>
      <w:r w:rsidRPr="005675B2">
        <w:rPr>
          <w:rFonts w:hint="cs"/>
          <w:rtl/>
        </w:rPr>
        <w:t xml:space="preserve"> ولزيادة تأكيد استحالته على الله تعالى نورد الآيات المناقضة لمعنى الاستقرار على العرش</w:t>
      </w:r>
      <w:r w:rsidR="000636C2">
        <w:rPr>
          <w:rFonts w:hint="cs"/>
          <w:rtl/>
        </w:rPr>
        <w:t>،</w:t>
      </w:r>
      <w:r w:rsidRPr="005675B2">
        <w:rPr>
          <w:rFonts w:hint="cs"/>
          <w:rtl/>
        </w:rPr>
        <w:t>فنقول الآيات المناقضة لمعنى الاستقرار ثلاث وهي</w:t>
      </w:r>
      <w:r w:rsidR="000636C2">
        <w:rPr>
          <w:rFonts w:hint="cs"/>
          <w:rtl/>
        </w:rPr>
        <w:t>:</w:t>
      </w:r>
    </w:p>
    <w:p w14:paraId="2C5CC926" w14:textId="7E12BB3E" w:rsidR="009C32A0" w:rsidRPr="005675B2" w:rsidRDefault="000636C2" w:rsidP="000636C2">
      <w:pPr>
        <w:rPr>
          <w:b/>
          <w:rtl/>
        </w:rPr>
      </w:pPr>
      <w:r>
        <w:rPr>
          <w:rFonts w:hint="cs"/>
          <w:rtl/>
        </w:rPr>
        <w:t>(</w:t>
      </w:r>
      <w:r w:rsidR="009C32A0">
        <w:rPr>
          <w:rFonts w:hint="cs"/>
          <w:rtl/>
        </w:rPr>
        <w:t>أولا</w:t>
      </w:r>
      <w:r>
        <w:rPr>
          <w:rFonts w:hint="cs"/>
          <w:rtl/>
        </w:rPr>
        <w:t>):</w:t>
      </w:r>
      <w:r w:rsidR="009C32A0" w:rsidRPr="005675B2">
        <w:rPr>
          <w:rFonts w:hint="cs"/>
          <w:rtl/>
        </w:rPr>
        <w:t xml:space="preserve"> قال الله تعالى فى سورة الحديد</w:t>
      </w:r>
      <w:r>
        <w:rPr>
          <w:rFonts w:hint="cs"/>
          <w:rtl/>
        </w:rPr>
        <w:t>:</w:t>
      </w:r>
      <w:r w:rsidR="009C32A0" w:rsidRPr="005675B2">
        <w:rPr>
          <w:rFonts w:hint="cs"/>
          <w:rtl/>
        </w:rPr>
        <w:t xml:space="preserve"> </w:t>
      </w:r>
      <w:r>
        <w:rPr>
          <w:rFonts w:hint="cs"/>
          <w:rtl/>
        </w:rPr>
        <w:t>{</w:t>
      </w:r>
      <w:r w:rsidR="009C32A0" w:rsidRPr="005675B2">
        <w:rPr>
          <w:rFonts w:hint="cs"/>
          <w:rtl/>
        </w:rPr>
        <w:t>هو الذى خلق السموات والأرض فى ستة أيام ثم استوى على العرش يعلم ما يلج فى الأرض وما يخرج منها وما ينزل من السماء وما يعرج فيها وهو معكم أين ما كنتم والله بما تعملون بصير</w:t>
      </w:r>
      <w:r>
        <w:rPr>
          <w:rFonts w:hint="cs"/>
          <w:rtl/>
        </w:rPr>
        <w:t>}،</w:t>
      </w:r>
      <w:r w:rsidR="009C32A0" w:rsidRPr="005675B2">
        <w:rPr>
          <w:rFonts w:hint="cs"/>
          <w:rtl/>
        </w:rPr>
        <w:t xml:space="preserve"> فإذا فهم من الاستواء والمعية ظاهرهما الذي هو الظرفية المكانية لزم التناقض</w:t>
      </w:r>
      <w:r>
        <w:rPr>
          <w:rFonts w:hint="cs"/>
          <w:rtl/>
        </w:rPr>
        <w:t>،</w:t>
      </w:r>
      <w:r w:rsidR="009C32A0" w:rsidRPr="005675B2">
        <w:rPr>
          <w:rFonts w:hint="cs"/>
          <w:rtl/>
        </w:rPr>
        <w:t>لأن الاستقرار على العرش يمنع المعية المكانية مع أهل الأرض</w:t>
      </w:r>
      <w:r>
        <w:rPr>
          <w:rFonts w:hint="cs"/>
          <w:rtl/>
        </w:rPr>
        <w:t>،</w:t>
      </w:r>
      <w:r w:rsidR="009C32A0" w:rsidRPr="005675B2">
        <w:rPr>
          <w:rFonts w:hint="cs"/>
          <w:rtl/>
        </w:rPr>
        <w:t xml:space="preserve"> والتناقض فى كلامه تعالى محال</w:t>
      </w:r>
      <w:r>
        <w:rPr>
          <w:rFonts w:hint="cs"/>
          <w:rtl/>
        </w:rPr>
        <w:t>،</w:t>
      </w:r>
      <w:r w:rsidR="009C32A0" w:rsidRPr="005675B2">
        <w:rPr>
          <w:rFonts w:hint="cs"/>
          <w:rtl/>
        </w:rPr>
        <w:t xml:space="preserve"> ولزم اتصاف القديم جل وعلا بصفات الحوادث وهي المعية المكانية وما يتبعها وهو محال</w:t>
      </w:r>
      <w:r>
        <w:rPr>
          <w:rFonts w:hint="cs"/>
          <w:rtl/>
        </w:rPr>
        <w:t>،</w:t>
      </w:r>
      <w:r w:rsidR="009C32A0" w:rsidRPr="005675B2">
        <w:rPr>
          <w:rFonts w:hint="cs"/>
          <w:rtl/>
        </w:rPr>
        <w:t xml:space="preserve"> فإن قيل</w:t>
      </w:r>
      <w:r>
        <w:rPr>
          <w:rFonts w:hint="cs"/>
          <w:rtl/>
        </w:rPr>
        <w:t>:</w:t>
      </w:r>
      <w:r w:rsidR="009C32A0" w:rsidRPr="005675B2">
        <w:rPr>
          <w:rFonts w:hint="cs"/>
          <w:rtl/>
        </w:rPr>
        <w:t xml:space="preserve"> المقصود من المعية لازمها وهو </w:t>
      </w:r>
      <w:r>
        <w:rPr>
          <w:rFonts w:hint="cs"/>
          <w:rtl/>
        </w:rPr>
        <w:t>(</w:t>
      </w:r>
      <w:r w:rsidR="009C32A0" w:rsidRPr="005675B2">
        <w:rPr>
          <w:rFonts w:hint="cs"/>
          <w:rtl/>
        </w:rPr>
        <w:t>العلم</w:t>
      </w:r>
      <w:r>
        <w:rPr>
          <w:rFonts w:hint="cs"/>
          <w:rtl/>
        </w:rPr>
        <w:t>)</w:t>
      </w:r>
      <w:r w:rsidR="009C32A0" w:rsidRPr="005675B2">
        <w:rPr>
          <w:rFonts w:hint="cs"/>
          <w:rtl/>
        </w:rPr>
        <w:t xml:space="preserve"> بقصد التخلص من مماثلة الحوادث وهذا حق بلا ريب</w:t>
      </w:r>
      <w:r>
        <w:rPr>
          <w:rFonts w:hint="cs"/>
          <w:rtl/>
        </w:rPr>
        <w:t xml:space="preserve"> </w:t>
      </w:r>
      <w:r w:rsidR="009C32A0" w:rsidRPr="005675B2">
        <w:rPr>
          <w:rFonts w:hint="cs"/>
          <w:rtl/>
        </w:rPr>
        <w:t>فكذلك المقصود من الاستواء لازمه وهو تدبير خلقه</w:t>
      </w:r>
      <w:r>
        <w:rPr>
          <w:rFonts w:hint="cs"/>
          <w:rtl/>
        </w:rPr>
        <w:t xml:space="preserve"> </w:t>
      </w:r>
      <w:r w:rsidR="009C32A0" w:rsidRPr="005675B2">
        <w:rPr>
          <w:rFonts w:hint="cs"/>
          <w:rtl/>
        </w:rPr>
        <w:t xml:space="preserve">لأن الموجب في الاستواء والمعية لازمها وهو </w:t>
      </w:r>
      <w:r>
        <w:rPr>
          <w:rFonts w:hint="cs"/>
          <w:rtl/>
        </w:rPr>
        <w:t>(</w:t>
      </w:r>
      <w:r w:rsidR="009C32A0" w:rsidRPr="005675B2">
        <w:rPr>
          <w:rFonts w:hint="cs"/>
          <w:rtl/>
        </w:rPr>
        <w:t>العلم</w:t>
      </w:r>
      <w:r>
        <w:rPr>
          <w:rFonts w:hint="cs"/>
          <w:rtl/>
        </w:rPr>
        <w:t xml:space="preserve">) </w:t>
      </w:r>
      <w:r w:rsidR="009C32A0" w:rsidRPr="005675B2">
        <w:rPr>
          <w:rFonts w:hint="cs"/>
          <w:rtl/>
        </w:rPr>
        <w:t>والتدبير بقصد التخلص من مماثلة الحوادث</w:t>
      </w:r>
      <w:r>
        <w:rPr>
          <w:rFonts w:hint="cs"/>
          <w:rtl/>
        </w:rPr>
        <w:t>،</w:t>
      </w:r>
      <w:r w:rsidR="009C32A0" w:rsidRPr="005675B2">
        <w:rPr>
          <w:rFonts w:hint="cs"/>
          <w:rtl/>
        </w:rPr>
        <w:t xml:space="preserve"> وفضلاً عن ذلك فإن الموجبات لفهم الاستواء بالتدبير أكثر من موجبات فهم المعية بلازمها مناسب لمعنى التدبير لمملوكاته، ومرتبط به فى المعنى بخلاف الاستقرار الذى لا يتوقف عليه التدبير</w:t>
      </w:r>
      <w:r>
        <w:rPr>
          <w:rFonts w:hint="cs"/>
          <w:rtl/>
        </w:rPr>
        <w:t>،</w:t>
      </w:r>
      <w:r w:rsidR="009C32A0" w:rsidRPr="005675B2">
        <w:rPr>
          <w:rFonts w:hint="cs"/>
          <w:rtl/>
        </w:rPr>
        <w:t xml:space="preserve"> - كونه تعالى معنا بعلمه وصفاته كما يليق بتقديسه</w:t>
      </w:r>
      <w:r>
        <w:rPr>
          <w:rFonts w:hint="cs"/>
          <w:rtl/>
        </w:rPr>
        <w:t>،</w:t>
      </w:r>
      <w:r w:rsidR="009C32A0" w:rsidRPr="005675B2">
        <w:rPr>
          <w:rFonts w:hint="cs"/>
          <w:rtl/>
        </w:rPr>
        <w:t xml:space="preserve"> وكونه بصيراً بأعمالنا</w:t>
      </w:r>
      <w:r>
        <w:rPr>
          <w:rFonts w:hint="cs"/>
          <w:rtl/>
        </w:rPr>
        <w:t>،</w:t>
      </w:r>
      <w:r w:rsidR="009C32A0" w:rsidRPr="005675B2">
        <w:rPr>
          <w:rFonts w:hint="cs"/>
          <w:rtl/>
        </w:rPr>
        <w:t xml:space="preserve"> كل هذا يدل على المراقبة</w:t>
      </w:r>
      <w:r>
        <w:rPr>
          <w:rFonts w:hint="cs"/>
          <w:rtl/>
        </w:rPr>
        <w:t>،</w:t>
      </w:r>
      <w:r w:rsidR="009C32A0" w:rsidRPr="005675B2">
        <w:rPr>
          <w:rFonts w:hint="cs"/>
          <w:rtl/>
        </w:rPr>
        <w:t>والمراقبة تقتضي الإجراءات والتصرفات التي أرادها الله تعالى بكل مخلوق وهذا كله يدخل ضمن التدبير بخلاف الاستقرار الحسي</w:t>
      </w:r>
      <w:r>
        <w:rPr>
          <w:rFonts w:hint="cs"/>
          <w:rtl/>
        </w:rPr>
        <w:t>،</w:t>
      </w:r>
    </w:p>
    <w:p w14:paraId="7E9D73CB" w14:textId="7FC5BB2A" w:rsidR="009C32A0" w:rsidRPr="005675B2" w:rsidRDefault="009C32A0" w:rsidP="000636C2">
      <w:pPr>
        <w:rPr>
          <w:b/>
          <w:rtl/>
        </w:rPr>
      </w:pPr>
      <w:r w:rsidRPr="005675B2">
        <w:rPr>
          <w:rFonts w:hint="cs"/>
          <w:u w:val="single"/>
          <w:rtl/>
        </w:rPr>
        <w:t>الرابع</w:t>
      </w:r>
      <w:r w:rsidR="000636C2">
        <w:rPr>
          <w:rFonts w:hint="cs"/>
          <w:u w:val="single"/>
          <w:rtl/>
        </w:rPr>
        <w:t>:</w:t>
      </w:r>
      <w:r w:rsidRPr="005675B2">
        <w:rPr>
          <w:rFonts w:hint="cs"/>
          <w:rtl/>
        </w:rPr>
        <w:t xml:space="preserve"> إن ظاهر قوله تعالى</w:t>
      </w:r>
      <w:r w:rsidR="000636C2">
        <w:rPr>
          <w:rFonts w:hint="cs"/>
          <w:rtl/>
        </w:rPr>
        <w:t>:</w:t>
      </w:r>
      <w:r w:rsidRPr="005675B2">
        <w:rPr>
          <w:rFonts w:hint="cs"/>
          <w:rtl/>
        </w:rPr>
        <w:t xml:space="preserve"> </w:t>
      </w:r>
      <w:r w:rsidR="000636C2">
        <w:rPr>
          <w:rFonts w:hint="cs"/>
          <w:rtl/>
        </w:rPr>
        <w:t>{</w:t>
      </w:r>
      <w:r w:rsidRPr="005675B2">
        <w:rPr>
          <w:rFonts w:hint="cs"/>
          <w:rtl/>
        </w:rPr>
        <w:t>ونحن أقرب إليه من حبل الوريد</w:t>
      </w:r>
      <w:r w:rsidR="000636C2">
        <w:rPr>
          <w:rFonts w:hint="cs"/>
          <w:rtl/>
        </w:rPr>
        <w:t>}</w:t>
      </w:r>
      <w:r w:rsidRPr="005675B2">
        <w:rPr>
          <w:rFonts w:hint="cs"/>
          <w:rtl/>
        </w:rPr>
        <w:t xml:space="preserve"> وقوله</w:t>
      </w:r>
      <w:r w:rsidR="000636C2">
        <w:rPr>
          <w:rFonts w:hint="cs"/>
          <w:rtl/>
        </w:rPr>
        <w:t>:</w:t>
      </w:r>
      <w:r w:rsidRPr="005675B2">
        <w:rPr>
          <w:rFonts w:hint="cs"/>
          <w:rtl/>
        </w:rPr>
        <w:t xml:space="preserve"> </w:t>
      </w:r>
      <w:r w:rsidR="000636C2">
        <w:rPr>
          <w:rFonts w:hint="cs"/>
          <w:rtl/>
        </w:rPr>
        <w:t>{</w:t>
      </w:r>
      <w:r w:rsidRPr="005675B2">
        <w:rPr>
          <w:rFonts w:hint="cs"/>
          <w:rtl/>
        </w:rPr>
        <w:t>وهو معكم أينما كنتم</w:t>
      </w:r>
      <w:r w:rsidR="000636C2">
        <w:rPr>
          <w:rFonts w:hint="cs"/>
          <w:rtl/>
        </w:rPr>
        <w:t>}</w:t>
      </w:r>
      <w:r w:rsidRPr="005675B2">
        <w:rPr>
          <w:rFonts w:hint="cs"/>
          <w:rtl/>
        </w:rPr>
        <w:t xml:space="preserve"> وقوله</w:t>
      </w:r>
      <w:r w:rsidR="000636C2">
        <w:rPr>
          <w:rFonts w:hint="cs"/>
          <w:rtl/>
        </w:rPr>
        <w:t>:</w:t>
      </w:r>
      <w:r w:rsidRPr="005675B2">
        <w:rPr>
          <w:rFonts w:hint="cs"/>
          <w:rtl/>
        </w:rPr>
        <w:t xml:space="preserve"> {وهو الذي في السماء إله</w:t>
      </w:r>
      <w:r w:rsidR="000636C2">
        <w:rPr>
          <w:rFonts w:hint="cs"/>
          <w:rtl/>
        </w:rPr>
        <w:t>،</w:t>
      </w:r>
      <w:r w:rsidRPr="005675B2">
        <w:rPr>
          <w:rFonts w:hint="cs"/>
          <w:rtl/>
        </w:rPr>
        <w:t xml:space="preserve"> وفي الأرض إله</w:t>
      </w:r>
      <w:r w:rsidR="000636C2">
        <w:rPr>
          <w:rFonts w:hint="cs"/>
          <w:rtl/>
        </w:rPr>
        <w:t xml:space="preserve">} </w:t>
      </w:r>
      <w:r w:rsidRPr="005675B2">
        <w:rPr>
          <w:rFonts w:hint="cs"/>
          <w:rtl/>
        </w:rPr>
        <w:t>[</w:t>
      </w:r>
      <w:r w:rsidRPr="005675B2">
        <w:rPr>
          <w:rFonts w:hint="cs"/>
          <w:bCs/>
          <w:sz w:val="24"/>
          <w:szCs w:val="24"/>
          <w:rtl/>
        </w:rPr>
        <w:t>وحديث النزول وغيره من الأدلة التي تبين أن المقصود ليس وجود في مكان وانتقال إلى مكان</w:t>
      </w:r>
      <w:r w:rsidR="000636C2">
        <w:rPr>
          <w:rFonts w:hint="cs"/>
          <w:bCs/>
          <w:sz w:val="24"/>
          <w:szCs w:val="24"/>
          <w:rtl/>
        </w:rPr>
        <w:t>]</w:t>
      </w:r>
      <w:r w:rsidRPr="005675B2">
        <w:rPr>
          <w:rFonts w:hint="cs"/>
          <w:rtl/>
        </w:rPr>
        <w:t xml:space="preserve"> ينفي كونه مستقراً على العرش</w:t>
      </w:r>
      <w:r w:rsidR="000636C2">
        <w:rPr>
          <w:rFonts w:hint="cs"/>
          <w:rtl/>
        </w:rPr>
        <w:t>،</w:t>
      </w:r>
      <w:r w:rsidRPr="005675B2">
        <w:rPr>
          <w:rFonts w:hint="cs"/>
          <w:rtl/>
        </w:rPr>
        <w:t xml:space="preserve"> وليس تأويل هذه الآيات لنفي الآيات التي تمسكوا بها على ظاهرها</w:t>
      </w:r>
      <w:r w:rsidR="000636C2">
        <w:rPr>
          <w:rFonts w:hint="cs"/>
          <w:rtl/>
        </w:rPr>
        <w:t>:</w:t>
      </w:r>
      <w:r w:rsidRPr="005675B2">
        <w:rPr>
          <w:rFonts w:hint="cs"/>
          <w:rtl/>
        </w:rPr>
        <w:t xml:space="preserve"> أولى من العكس</w:t>
      </w:r>
      <w:r w:rsidR="000636C2">
        <w:rPr>
          <w:rFonts w:hint="cs"/>
          <w:rtl/>
        </w:rPr>
        <w:t>،</w:t>
      </w:r>
      <w:r w:rsidRPr="005675B2">
        <w:rPr>
          <w:rFonts w:hint="cs"/>
          <w:rtl/>
        </w:rPr>
        <w:t xml:space="preserve"> [</w:t>
      </w:r>
      <w:r w:rsidRPr="005675B2">
        <w:rPr>
          <w:rFonts w:hint="cs"/>
          <w:bCs/>
          <w:sz w:val="24"/>
          <w:szCs w:val="24"/>
          <w:rtl/>
        </w:rPr>
        <w:t>يقولون</w:t>
      </w:r>
      <w:r w:rsidR="000636C2">
        <w:rPr>
          <w:rFonts w:hint="cs"/>
          <w:bCs/>
          <w:sz w:val="24"/>
          <w:szCs w:val="24"/>
          <w:rtl/>
        </w:rPr>
        <w:t>:</w:t>
      </w:r>
      <w:r w:rsidRPr="005675B2">
        <w:rPr>
          <w:rFonts w:hint="cs"/>
          <w:bCs/>
          <w:sz w:val="24"/>
          <w:szCs w:val="24"/>
          <w:rtl/>
        </w:rPr>
        <w:t xml:space="preserve"> الاستلاء لا يكون إلا عن مغالبة . فيقال لهم والاستقرار لا يكون إلا بعد اضطراب فسبحان الله عن ذلك، وقد قال تعالى</w:t>
      </w:r>
      <w:r w:rsidR="000636C2">
        <w:rPr>
          <w:rFonts w:hint="cs"/>
          <w:bCs/>
          <w:sz w:val="24"/>
          <w:szCs w:val="24"/>
          <w:rtl/>
        </w:rPr>
        <w:t>:</w:t>
      </w:r>
      <w:r w:rsidRPr="005675B2">
        <w:rPr>
          <w:rFonts w:hint="cs"/>
          <w:bCs/>
          <w:sz w:val="24"/>
          <w:szCs w:val="24"/>
          <w:rtl/>
        </w:rPr>
        <w:t xml:space="preserve"> {والله غالب على أمره</w:t>
      </w:r>
      <w:r w:rsidR="000636C2">
        <w:rPr>
          <w:rFonts w:hint="cs"/>
          <w:bCs/>
          <w:sz w:val="24"/>
          <w:szCs w:val="24"/>
          <w:rtl/>
        </w:rPr>
        <w:t>}</w:t>
      </w:r>
      <w:r w:rsidRPr="005675B2">
        <w:rPr>
          <w:rFonts w:hint="cs"/>
          <w:bCs/>
          <w:sz w:val="24"/>
          <w:szCs w:val="24"/>
          <w:rtl/>
        </w:rPr>
        <w:t xml:space="preserve"> فهل كان ذلك عن مغالبة</w:t>
      </w:r>
      <w:r w:rsidR="000636C2">
        <w:rPr>
          <w:rFonts w:hint="cs"/>
          <w:bCs/>
          <w:sz w:val="24"/>
          <w:szCs w:val="24"/>
          <w:rtl/>
        </w:rPr>
        <w:t>؟</w:t>
      </w:r>
      <w:r w:rsidRPr="005675B2">
        <w:rPr>
          <w:rFonts w:hint="cs"/>
          <w:bCs/>
          <w:sz w:val="24"/>
          <w:szCs w:val="24"/>
          <w:rtl/>
        </w:rPr>
        <w:t>! سبحانه وتعالى عن ذلك]</w:t>
      </w:r>
      <w:r w:rsidRPr="005675B2">
        <w:rPr>
          <w:rFonts w:hint="cs"/>
          <w:rtl/>
        </w:rPr>
        <w:t xml:space="preserve"> فجاز أن يكون المراد</w:t>
      </w:r>
      <w:r w:rsidR="000636C2">
        <w:rPr>
          <w:rFonts w:hint="cs"/>
          <w:rtl/>
        </w:rPr>
        <w:t>:</w:t>
      </w:r>
      <w:r w:rsidRPr="005675B2">
        <w:rPr>
          <w:rFonts w:hint="cs"/>
          <w:rtl/>
        </w:rPr>
        <w:t xml:space="preserve"> هو</w:t>
      </w:r>
      <w:r w:rsidR="000636C2">
        <w:rPr>
          <w:rFonts w:hint="cs"/>
          <w:rtl/>
        </w:rPr>
        <w:t>،</w:t>
      </w:r>
      <w:r w:rsidRPr="005675B2">
        <w:rPr>
          <w:rFonts w:hint="cs"/>
          <w:rtl/>
        </w:rPr>
        <w:t xml:space="preserve"> القهر</w:t>
      </w:r>
      <w:r w:rsidR="000636C2">
        <w:rPr>
          <w:rFonts w:hint="cs"/>
          <w:rtl/>
        </w:rPr>
        <w:t xml:space="preserve"> </w:t>
      </w:r>
      <w:r w:rsidRPr="005675B2">
        <w:rPr>
          <w:rFonts w:hint="cs"/>
          <w:rtl/>
        </w:rPr>
        <w:t>ونفاذ القدر</w:t>
      </w:r>
      <w:r w:rsidR="000636C2">
        <w:rPr>
          <w:rFonts w:hint="cs"/>
          <w:rtl/>
        </w:rPr>
        <w:t>،</w:t>
      </w:r>
      <w:r w:rsidRPr="005675B2">
        <w:rPr>
          <w:rFonts w:hint="cs"/>
          <w:rtl/>
        </w:rPr>
        <w:t xml:space="preserve"> وجريان الأحكام الإلهية</w:t>
      </w:r>
      <w:r w:rsidR="000636C2">
        <w:rPr>
          <w:rFonts w:hint="cs"/>
          <w:rtl/>
        </w:rPr>
        <w:t>،</w:t>
      </w:r>
      <w:r w:rsidRPr="005675B2">
        <w:rPr>
          <w:rFonts w:hint="cs"/>
          <w:rtl/>
        </w:rPr>
        <w:t xml:space="preserve"> </w:t>
      </w:r>
    </w:p>
    <w:p w14:paraId="79702D67" w14:textId="1AA6BD8A" w:rsidR="009C32A0" w:rsidRPr="005675B2" w:rsidRDefault="009C32A0" w:rsidP="000636C2">
      <w:pPr>
        <w:rPr>
          <w:b/>
          <w:rtl/>
        </w:rPr>
      </w:pPr>
      <w:r w:rsidRPr="005675B2">
        <w:rPr>
          <w:rFonts w:hint="cs"/>
          <w:u w:val="single"/>
          <w:rtl/>
        </w:rPr>
        <w:t>أما الذي ذكروه ثانياً وهو التمسك بالآيات المشتملة على ذكر الفوقية</w:t>
      </w:r>
      <w:r w:rsidR="000636C2">
        <w:rPr>
          <w:rFonts w:hint="cs"/>
          <w:rtl/>
        </w:rPr>
        <w:t>،</w:t>
      </w:r>
      <w:r w:rsidRPr="005675B2">
        <w:rPr>
          <w:rFonts w:hint="cs"/>
          <w:rtl/>
        </w:rPr>
        <w:t xml:space="preserve"> فجوابه</w:t>
      </w:r>
      <w:r w:rsidR="000636C2">
        <w:rPr>
          <w:rFonts w:hint="cs"/>
          <w:rtl/>
        </w:rPr>
        <w:t>:</w:t>
      </w:r>
      <w:r w:rsidRPr="005675B2">
        <w:rPr>
          <w:rFonts w:hint="cs"/>
          <w:rtl/>
        </w:rPr>
        <w:t xml:space="preserve"> أن لفظ الفوق </w:t>
      </w:r>
      <w:r w:rsidR="000636C2">
        <w:rPr>
          <w:rFonts w:hint="cs"/>
          <w:rtl/>
        </w:rPr>
        <w:t>(</w:t>
      </w:r>
      <w:r w:rsidRPr="005675B2">
        <w:rPr>
          <w:rFonts w:hint="cs"/>
          <w:rtl/>
        </w:rPr>
        <w:t>يستعمل</w:t>
      </w:r>
      <w:r w:rsidR="000636C2">
        <w:rPr>
          <w:rFonts w:hint="cs"/>
          <w:rtl/>
        </w:rPr>
        <w:t>)</w:t>
      </w:r>
      <w:r w:rsidRPr="005675B2">
        <w:rPr>
          <w:rFonts w:hint="cs"/>
          <w:rtl/>
        </w:rPr>
        <w:t xml:space="preserve"> في الرتبة والقدرة</w:t>
      </w:r>
      <w:r w:rsidR="000636C2">
        <w:rPr>
          <w:rFonts w:hint="cs"/>
          <w:rtl/>
        </w:rPr>
        <w:t>،</w:t>
      </w:r>
      <w:r w:rsidRPr="005675B2">
        <w:rPr>
          <w:rFonts w:hint="cs"/>
          <w:rtl/>
        </w:rPr>
        <w:t xml:space="preserve"> فقد قال الله تعالى</w:t>
      </w:r>
      <w:r w:rsidR="000636C2">
        <w:rPr>
          <w:rFonts w:hint="cs"/>
          <w:rtl/>
        </w:rPr>
        <w:t>:</w:t>
      </w:r>
      <w:r w:rsidRPr="005675B2">
        <w:rPr>
          <w:rFonts w:hint="cs"/>
          <w:rtl/>
        </w:rPr>
        <w:t xml:space="preserve"> {وفوق كل ذي علم عليم</w:t>
      </w:r>
      <w:r w:rsidR="000636C2">
        <w:rPr>
          <w:rFonts w:hint="cs"/>
          <w:rtl/>
        </w:rPr>
        <w:t>}</w:t>
      </w:r>
      <w:r w:rsidRPr="005675B2">
        <w:rPr>
          <w:rFonts w:hint="cs"/>
          <w:rtl/>
        </w:rPr>
        <w:t xml:space="preserve"> {وإنا فوقهم قاهرون}</w:t>
      </w:r>
      <w:r w:rsidR="000636C2">
        <w:rPr>
          <w:rFonts w:hint="cs"/>
          <w:rtl/>
        </w:rPr>
        <w:t xml:space="preserve"> </w:t>
      </w:r>
      <w:r w:rsidRPr="005675B2">
        <w:rPr>
          <w:rFonts w:hint="cs"/>
          <w:rtl/>
        </w:rPr>
        <w:t>{يد الله فوق أيديهم</w:t>
      </w:r>
      <w:r w:rsidR="000636C2">
        <w:rPr>
          <w:rFonts w:hint="cs"/>
          <w:rtl/>
        </w:rPr>
        <w:t>}</w:t>
      </w:r>
      <w:r w:rsidRPr="005675B2">
        <w:rPr>
          <w:rFonts w:hint="cs"/>
          <w:rtl/>
        </w:rPr>
        <w:t>والمراد بالفوقية في هذه الآيات</w:t>
      </w:r>
      <w:r w:rsidR="000636C2">
        <w:rPr>
          <w:rFonts w:hint="cs"/>
          <w:rtl/>
        </w:rPr>
        <w:t>:</w:t>
      </w:r>
      <w:r w:rsidRPr="005675B2">
        <w:rPr>
          <w:rFonts w:hint="cs"/>
          <w:rtl/>
        </w:rPr>
        <w:t xml:space="preserve"> </w:t>
      </w:r>
      <w:r w:rsidRPr="005675B2">
        <w:rPr>
          <w:rFonts w:hint="cs"/>
          <w:u w:val="single"/>
          <w:rtl/>
        </w:rPr>
        <w:t>الفوقية بالقهر والقدرة</w:t>
      </w:r>
      <w:r w:rsidRPr="005675B2">
        <w:rPr>
          <w:rFonts w:hint="cs"/>
          <w:rtl/>
        </w:rPr>
        <w:t xml:space="preserve"> </w:t>
      </w:r>
      <w:r w:rsidR="000636C2">
        <w:rPr>
          <w:rFonts w:hint="cs"/>
          <w:rtl/>
        </w:rPr>
        <w:t>(</w:t>
      </w:r>
      <w:r w:rsidRPr="005675B2">
        <w:rPr>
          <w:rFonts w:hint="cs"/>
          <w:rtl/>
        </w:rPr>
        <w:t>ويستعمل في الفوق الذي هو بمعنى الجهة</w:t>
      </w:r>
      <w:r w:rsidR="000636C2">
        <w:rPr>
          <w:rFonts w:hint="cs"/>
          <w:rtl/>
        </w:rPr>
        <w:t xml:space="preserve"> </w:t>
      </w:r>
      <w:r w:rsidRPr="005675B2">
        <w:rPr>
          <w:rFonts w:hint="cs"/>
          <w:rtl/>
        </w:rPr>
        <w:t>قال تعالى</w:t>
      </w:r>
      <w:r w:rsidR="000636C2">
        <w:rPr>
          <w:rFonts w:hint="cs"/>
          <w:rtl/>
        </w:rPr>
        <w:t>:</w:t>
      </w:r>
      <w:r w:rsidRPr="005675B2">
        <w:rPr>
          <w:rFonts w:hint="cs"/>
          <w:rtl/>
        </w:rPr>
        <w:t xml:space="preserve"> {بعوضة فما فوقها</w:t>
      </w:r>
      <w:r w:rsidR="000636C2">
        <w:rPr>
          <w:rFonts w:hint="cs"/>
          <w:rtl/>
        </w:rPr>
        <w:t>}</w:t>
      </w:r>
      <w:r w:rsidRPr="005675B2">
        <w:rPr>
          <w:rFonts w:hint="cs"/>
          <w:rtl/>
        </w:rPr>
        <w:t xml:space="preserve"> أي أزيد منها في صفة الصغر والحقارة</w:t>
      </w:r>
      <w:r w:rsidR="000636C2">
        <w:rPr>
          <w:rFonts w:hint="cs"/>
          <w:rtl/>
        </w:rPr>
        <w:t>،</w:t>
      </w:r>
      <w:r w:rsidRPr="005675B2">
        <w:rPr>
          <w:rFonts w:hint="cs"/>
          <w:rtl/>
        </w:rPr>
        <w:t xml:space="preserve"> وإذا كان لفظ الفوق محتملاً للفوق في الرتبة</w:t>
      </w:r>
      <w:r w:rsidR="000636C2">
        <w:rPr>
          <w:rFonts w:hint="cs"/>
          <w:rtl/>
        </w:rPr>
        <w:t>،</w:t>
      </w:r>
      <w:r w:rsidRPr="005675B2">
        <w:rPr>
          <w:rFonts w:hint="cs"/>
          <w:rtl/>
        </w:rPr>
        <w:t xml:space="preserve"> والفوق في الجهة</w:t>
      </w:r>
      <w:r w:rsidR="000636C2">
        <w:rPr>
          <w:rFonts w:hint="cs"/>
          <w:rtl/>
        </w:rPr>
        <w:t>،</w:t>
      </w:r>
      <w:r w:rsidRPr="005675B2">
        <w:rPr>
          <w:rFonts w:hint="cs"/>
          <w:rtl/>
        </w:rPr>
        <w:t xml:space="preserve"> فلم حملتوه على الفوق في الجهة</w:t>
      </w:r>
      <w:r w:rsidR="000636C2">
        <w:rPr>
          <w:rFonts w:hint="cs"/>
          <w:rtl/>
        </w:rPr>
        <w:t>؟!</w:t>
      </w:r>
      <w:r w:rsidRPr="005675B2">
        <w:rPr>
          <w:rFonts w:hint="cs"/>
          <w:rtl/>
        </w:rPr>
        <w:t xml:space="preserve"> مع أن اللآئق بالله هو فوقية الرتبة لا الحلول في الجهة</w:t>
      </w:r>
      <w:r w:rsidR="000636C2">
        <w:rPr>
          <w:rFonts w:hint="cs"/>
          <w:rtl/>
        </w:rPr>
        <w:t>،</w:t>
      </w:r>
      <w:r w:rsidRPr="005675B2">
        <w:rPr>
          <w:rFonts w:hint="cs"/>
          <w:rtl/>
        </w:rPr>
        <w:t xml:space="preserve"> </w:t>
      </w:r>
      <w:r w:rsidRPr="005675B2">
        <w:rPr>
          <w:rFonts w:hint="cs"/>
          <w:u w:val="single"/>
          <w:rtl/>
        </w:rPr>
        <w:t>والذي يدل على أن المراد بلفظ الفوق ههنا</w:t>
      </w:r>
      <w:r w:rsidR="000636C2">
        <w:rPr>
          <w:rFonts w:hint="cs"/>
          <w:u w:val="single"/>
          <w:rtl/>
        </w:rPr>
        <w:t>:</w:t>
      </w:r>
      <w:r w:rsidRPr="005675B2">
        <w:rPr>
          <w:rFonts w:hint="cs"/>
          <w:u w:val="single"/>
          <w:rtl/>
        </w:rPr>
        <w:t xml:space="preserve"> الفوق بالقدرة والمكنة وجوه</w:t>
      </w:r>
      <w:r w:rsidR="000636C2">
        <w:rPr>
          <w:rFonts w:hint="cs"/>
          <w:rtl/>
        </w:rPr>
        <w:t>:</w:t>
      </w:r>
    </w:p>
    <w:p w14:paraId="5F8AAF98" w14:textId="217CAEEB" w:rsidR="009C32A0" w:rsidRPr="005675B2" w:rsidRDefault="009C32A0" w:rsidP="000636C2">
      <w:pPr>
        <w:rPr>
          <w:b/>
          <w:rtl/>
        </w:rPr>
      </w:pPr>
      <w:r w:rsidRPr="005675B2">
        <w:rPr>
          <w:rFonts w:hint="cs"/>
          <w:u w:val="single"/>
          <w:rtl/>
        </w:rPr>
        <w:t>الأول</w:t>
      </w:r>
      <w:r w:rsidR="000636C2">
        <w:rPr>
          <w:rFonts w:hint="cs"/>
          <w:rtl/>
        </w:rPr>
        <w:t>:</w:t>
      </w:r>
      <w:r w:rsidRPr="005675B2">
        <w:rPr>
          <w:rFonts w:hint="cs"/>
          <w:rtl/>
        </w:rPr>
        <w:t xml:space="preserve"> إنه قال</w:t>
      </w:r>
      <w:r w:rsidR="000636C2">
        <w:rPr>
          <w:rFonts w:hint="cs"/>
          <w:rtl/>
        </w:rPr>
        <w:t>:</w:t>
      </w:r>
      <w:r w:rsidRPr="005675B2">
        <w:rPr>
          <w:rFonts w:hint="cs"/>
          <w:rtl/>
        </w:rPr>
        <w:t xml:space="preserve"> </w:t>
      </w:r>
      <w:r w:rsidR="000636C2">
        <w:rPr>
          <w:rFonts w:hint="cs"/>
          <w:rtl/>
        </w:rPr>
        <w:t>{</w:t>
      </w:r>
      <w:r w:rsidRPr="005675B2">
        <w:rPr>
          <w:rFonts w:hint="cs"/>
          <w:rtl/>
        </w:rPr>
        <w:t>وهو القاهر فوق عباده</w:t>
      </w:r>
      <w:r w:rsidR="000636C2">
        <w:rPr>
          <w:rFonts w:hint="cs"/>
          <w:rtl/>
        </w:rPr>
        <w:t>}</w:t>
      </w:r>
      <w:r w:rsidRPr="005675B2">
        <w:rPr>
          <w:rFonts w:hint="cs"/>
          <w:rtl/>
        </w:rPr>
        <w:t xml:space="preserve"> والفوقية المقرونة بالقهر</w:t>
      </w:r>
      <w:r w:rsidR="000636C2">
        <w:rPr>
          <w:rFonts w:hint="cs"/>
          <w:rtl/>
        </w:rPr>
        <w:t>،</w:t>
      </w:r>
      <w:r w:rsidRPr="005675B2">
        <w:rPr>
          <w:rFonts w:hint="cs"/>
          <w:rtl/>
        </w:rPr>
        <w:t xml:space="preserve"> هي الفوقية بالقدرة والمكنة، لا بمعنى الجهة</w:t>
      </w:r>
      <w:r w:rsidR="000636C2">
        <w:rPr>
          <w:rFonts w:hint="cs"/>
          <w:rtl/>
        </w:rPr>
        <w:t>،</w:t>
      </w:r>
      <w:r w:rsidRPr="005675B2">
        <w:rPr>
          <w:rFonts w:hint="cs"/>
          <w:rtl/>
        </w:rPr>
        <w:t xml:space="preserve"> بدليل</w:t>
      </w:r>
      <w:r w:rsidR="000636C2">
        <w:rPr>
          <w:rFonts w:hint="cs"/>
          <w:rtl/>
        </w:rPr>
        <w:t>:</w:t>
      </w:r>
      <w:r w:rsidRPr="005675B2">
        <w:rPr>
          <w:rFonts w:hint="cs"/>
          <w:rtl/>
        </w:rPr>
        <w:t xml:space="preserve"> أن الحارس قد يكون فوق السلطان في الجهة </w:t>
      </w:r>
      <w:r w:rsidR="000636C2">
        <w:rPr>
          <w:rFonts w:hint="cs"/>
          <w:rtl/>
        </w:rPr>
        <w:t>(</w:t>
      </w:r>
      <w:r w:rsidRPr="005675B2">
        <w:rPr>
          <w:rFonts w:hint="cs"/>
          <w:rtl/>
        </w:rPr>
        <w:t>فيكون في سطح المنزل مثلاً</w:t>
      </w:r>
      <w:r w:rsidR="000636C2">
        <w:rPr>
          <w:rFonts w:hint="cs"/>
          <w:rtl/>
        </w:rPr>
        <w:t>)</w:t>
      </w:r>
      <w:r w:rsidRPr="005675B2">
        <w:rPr>
          <w:rFonts w:hint="cs"/>
          <w:rtl/>
        </w:rPr>
        <w:t>، ولا يقال إنه أعلى من السلطان</w:t>
      </w:r>
      <w:r w:rsidR="000636C2">
        <w:rPr>
          <w:rFonts w:hint="cs"/>
          <w:vertAlign w:val="superscript"/>
          <w:rtl/>
        </w:rPr>
        <w:t>،</w:t>
      </w:r>
      <w:r w:rsidRPr="005675B2">
        <w:rPr>
          <w:rFonts w:hint="cs"/>
          <w:rtl/>
        </w:rPr>
        <w:t xml:space="preserve"> </w:t>
      </w:r>
    </w:p>
    <w:p w14:paraId="667F38B4" w14:textId="5BF9C564" w:rsidR="009C32A0" w:rsidRPr="005675B2" w:rsidRDefault="009C32A0" w:rsidP="000636C2">
      <w:pPr>
        <w:rPr>
          <w:b/>
          <w:rtl/>
        </w:rPr>
      </w:pPr>
      <w:r w:rsidRPr="005675B2">
        <w:rPr>
          <w:rFonts w:hint="cs"/>
          <w:u w:val="single"/>
          <w:rtl/>
        </w:rPr>
        <w:t>الثاني</w:t>
      </w:r>
      <w:r w:rsidR="000636C2">
        <w:rPr>
          <w:rFonts w:hint="cs"/>
          <w:rtl/>
        </w:rPr>
        <w:t>:</w:t>
      </w:r>
      <w:r w:rsidRPr="005675B2">
        <w:rPr>
          <w:rFonts w:hint="cs"/>
          <w:rtl/>
        </w:rPr>
        <w:t xml:space="preserve"> أنه تعالى وصف نفسه بأنه مع عبيده</w:t>
      </w:r>
      <w:r w:rsidR="000636C2">
        <w:rPr>
          <w:rFonts w:hint="cs"/>
          <w:rtl/>
        </w:rPr>
        <w:t xml:space="preserve"> </w:t>
      </w:r>
      <w:r w:rsidRPr="005675B2">
        <w:rPr>
          <w:rFonts w:hint="cs"/>
          <w:rtl/>
        </w:rPr>
        <w:t>فقــال</w:t>
      </w:r>
      <w:r w:rsidR="000636C2">
        <w:rPr>
          <w:rFonts w:hint="cs"/>
          <w:rtl/>
        </w:rPr>
        <w:t>:</w:t>
      </w:r>
      <w:r w:rsidRPr="005675B2">
        <w:rPr>
          <w:rFonts w:hint="cs"/>
          <w:rtl/>
        </w:rPr>
        <w:t xml:space="preserve"> </w:t>
      </w:r>
      <w:r w:rsidR="000636C2">
        <w:rPr>
          <w:rFonts w:hint="cs"/>
          <w:rtl/>
        </w:rPr>
        <w:t>{</w:t>
      </w:r>
      <w:r w:rsidRPr="005675B2">
        <w:rPr>
          <w:rFonts w:hint="cs"/>
          <w:rtl/>
        </w:rPr>
        <w:t>إن الله مع الذين اتقوا، والذين هم محسنون}</w:t>
      </w:r>
      <w:r w:rsidR="000636C2">
        <w:rPr>
          <w:rFonts w:hint="cs"/>
          <w:vertAlign w:val="superscript"/>
          <w:rtl/>
        </w:rPr>
        <w:t xml:space="preserve"> </w:t>
      </w:r>
      <w:r w:rsidR="000636C2">
        <w:rPr>
          <w:rFonts w:hint="cs"/>
          <w:rtl/>
        </w:rPr>
        <w:t>(</w:t>
      </w: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إن الله مع الصابرين</w:t>
      </w:r>
      <w:r w:rsidR="000636C2">
        <w:rPr>
          <w:rFonts w:hint="cs"/>
          <w:rtl/>
        </w:rPr>
        <w:t>}</w:t>
      </w:r>
      <w:r w:rsidRPr="005675B2">
        <w:rPr>
          <w:rFonts w:hint="cs"/>
          <w:rtl/>
        </w:rPr>
        <w:t>وقال</w:t>
      </w:r>
      <w:r w:rsidR="000636C2">
        <w:rPr>
          <w:rFonts w:hint="cs"/>
          <w:rtl/>
        </w:rPr>
        <w:t>:</w:t>
      </w:r>
      <w:r w:rsidRPr="005675B2">
        <w:rPr>
          <w:rFonts w:hint="cs"/>
          <w:rtl/>
        </w:rPr>
        <w:t xml:space="preserve"> {وهو معكم أينما كنتم</w:t>
      </w:r>
      <w:r w:rsidR="000636C2">
        <w:rPr>
          <w:rFonts w:hint="cs"/>
          <w:rtl/>
        </w:rPr>
        <w:t>}</w:t>
      </w:r>
      <w:r w:rsidR="000636C2">
        <w:rPr>
          <w:rFonts w:hint="cs"/>
          <w:vertAlign w:val="superscript"/>
          <w:rtl/>
        </w:rPr>
        <w:t xml:space="preserve"> </w:t>
      </w:r>
      <w:r w:rsidRPr="005675B2">
        <w:rPr>
          <w:rFonts w:hint="cs"/>
          <w:rtl/>
        </w:rPr>
        <w:t>وقال</w:t>
      </w:r>
      <w:r w:rsidR="000636C2">
        <w:rPr>
          <w:rFonts w:hint="cs"/>
          <w:rtl/>
        </w:rPr>
        <w:t>:</w:t>
      </w:r>
      <w:r w:rsidRPr="005675B2">
        <w:rPr>
          <w:rFonts w:hint="cs"/>
          <w:rtl/>
        </w:rPr>
        <w:t xml:space="preserve"> </w:t>
      </w:r>
      <w:r w:rsidR="000636C2">
        <w:rPr>
          <w:rFonts w:hint="cs"/>
          <w:rtl/>
        </w:rPr>
        <w:t>{</w:t>
      </w:r>
      <w:r w:rsidRPr="005675B2">
        <w:rPr>
          <w:rFonts w:hint="cs"/>
          <w:rtl/>
        </w:rPr>
        <w:t>ونحن أقرب إليه من حبل الوريد</w:t>
      </w:r>
      <w:r w:rsidR="000636C2">
        <w:rPr>
          <w:rFonts w:hint="cs"/>
          <w:vertAlign w:val="superscript"/>
          <w:rtl/>
        </w:rPr>
        <w:t>}</w:t>
      </w:r>
      <w:r w:rsidRPr="005675B2">
        <w:rPr>
          <w:rFonts w:hint="cs"/>
          <w:rtl/>
        </w:rPr>
        <w:t xml:space="preserve"> وقال</w:t>
      </w:r>
      <w:r w:rsidR="000636C2">
        <w:rPr>
          <w:rFonts w:hint="cs"/>
          <w:rtl/>
        </w:rPr>
        <w:t>:</w:t>
      </w:r>
      <w:r w:rsidRPr="005675B2">
        <w:rPr>
          <w:rFonts w:hint="cs"/>
          <w:rtl/>
        </w:rPr>
        <w:t>{وإذا سألك عبادي عني</w:t>
      </w:r>
      <w:r w:rsidR="000636C2">
        <w:rPr>
          <w:rFonts w:hint="cs"/>
          <w:rtl/>
        </w:rPr>
        <w:t xml:space="preserve"> </w:t>
      </w:r>
      <w:r w:rsidRPr="005675B2">
        <w:rPr>
          <w:rFonts w:hint="cs"/>
          <w:rtl/>
        </w:rPr>
        <w:t>فإني قريب</w:t>
      </w:r>
      <w:r w:rsidR="000636C2">
        <w:rPr>
          <w:rFonts w:hint="cs"/>
          <w:vertAlign w:val="superscript"/>
          <w:rtl/>
        </w:rPr>
        <w:t>}</w:t>
      </w:r>
      <w:r w:rsidRPr="005675B2">
        <w:rPr>
          <w:rFonts w:hint="cs"/>
          <w:rtl/>
        </w:rPr>
        <w:t xml:space="preserve"> وقال</w:t>
      </w:r>
      <w:r w:rsidR="000636C2">
        <w:rPr>
          <w:rFonts w:hint="cs"/>
          <w:rtl/>
        </w:rPr>
        <w:t>:</w:t>
      </w:r>
      <w:r w:rsidRPr="005675B2">
        <w:rPr>
          <w:rFonts w:hint="cs"/>
          <w:rtl/>
        </w:rPr>
        <w:t xml:space="preserve"> {ما يكون من نجوى ثلاثة إلا هو رابعهم</w:t>
      </w:r>
      <w:r w:rsidRPr="005675B2">
        <w:rPr>
          <w:rFonts w:hint="cs"/>
          <w:vertAlign w:val="superscript"/>
          <w:rtl/>
        </w:rPr>
        <w:t>}</w:t>
      </w:r>
      <w:r w:rsidR="000636C2">
        <w:rPr>
          <w:rFonts w:hint="cs"/>
          <w:vertAlign w:val="superscript"/>
          <w:rtl/>
        </w:rPr>
        <w:t xml:space="preserve"> </w:t>
      </w:r>
      <w:r w:rsidRPr="005675B2">
        <w:rPr>
          <w:rFonts w:hint="cs"/>
          <w:u w:val="single"/>
          <w:rtl/>
        </w:rPr>
        <w:t>وإذا جاز حمل المعية في هذه الآيات</w:t>
      </w:r>
      <w:r w:rsidR="000636C2">
        <w:rPr>
          <w:rFonts w:hint="cs"/>
          <w:u w:val="single"/>
          <w:rtl/>
        </w:rPr>
        <w:t>:</w:t>
      </w:r>
      <w:r w:rsidRPr="005675B2">
        <w:rPr>
          <w:rFonts w:hint="cs"/>
          <w:u w:val="single"/>
          <w:rtl/>
        </w:rPr>
        <w:t xml:space="preserve"> على المعية بمعنى العلم والحفظ والحراسة</w:t>
      </w:r>
      <w:r w:rsidR="000636C2">
        <w:rPr>
          <w:rFonts w:hint="cs"/>
          <w:u w:val="single"/>
          <w:rtl/>
        </w:rPr>
        <w:t>،</w:t>
      </w:r>
      <w:r w:rsidRPr="005675B2">
        <w:rPr>
          <w:rFonts w:hint="cs"/>
          <w:u w:val="single"/>
          <w:rtl/>
        </w:rPr>
        <w:t xml:space="preserve"> فلم لا يجوز حمل الفوقية في الآيات التي ذكرتم على الفوقية بالقهر والقدرة والسلطة</w:t>
      </w:r>
      <w:r w:rsidR="000636C2">
        <w:rPr>
          <w:rFonts w:hint="cs"/>
          <w:u w:val="single"/>
          <w:rtl/>
        </w:rPr>
        <w:t>؟</w:t>
      </w:r>
      <w:r w:rsidRPr="005675B2">
        <w:rPr>
          <w:rFonts w:hint="cs"/>
          <w:u w:val="single"/>
          <w:rtl/>
        </w:rPr>
        <w:t xml:space="preserve"> وأما الذي ذكروه ثالثاً</w:t>
      </w:r>
      <w:r w:rsidR="000636C2">
        <w:rPr>
          <w:rFonts w:hint="cs"/>
          <w:u w:val="single"/>
          <w:rtl/>
        </w:rPr>
        <w:t>،</w:t>
      </w:r>
      <w:r w:rsidRPr="005675B2">
        <w:rPr>
          <w:rFonts w:hint="cs"/>
          <w:u w:val="single"/>
          <w:rtl/>
        </w:rPr>
        <w:t xml:space="preserve"> وهو التمسك بالآيات المشتملة على لفظ العلو</w:t>
      </w:r>
      <w:r w:rsidR="000636C2">
        <w:rPr>
          <w:rFonts w:hint="cs"/>
          <w:rtl/>
        </w:rPr>
        <w:t>:</w:t>
      </w:r>
      <w:r w:rsidRPr="005675B2">
        <w:rPr>
          <w:rFonts w:hint="cs"/>
          <w:rtl/>
        </w:rPr>
        <w:t xml:space="preserve"> ف</w:t>
      </w:r>
      <w:r w:rsidR="000636C2">
        <w:rPr>
          <w:rFonts w:hint="cs"/>
          <w:rtl/>
        </w:rPr>
        <w:t>[</w:t>
      </w:r>
      <w:r>
        <w:rPr>
          <w:rFonts w:hint="cs"/>
          <w:rtl/>
        </w:rPr>
        <w:t>الجواب</w:t>
      </w:r>
      <w:r w:rsidR="000636C2">
        <w:rPr>
          <w:rFonts w:hint="cs"/>
          <w:rtl/>
        </w:rPr>
        <w:t>]:</w:t>
      </w:r>
      <w:r w:rsidRPr="005675B2">
        <w:rPr>
          <w:rFonts w:hint="cs"/>
          <w:rtl/>
        </w:rPr>
        <w:t xml:space="preserve"> أن لفظ العلوكما يفهم منه علو في</w:t>
      </w:r>
      <w:r w:rsidR="000636C2">
        <w:rPr>
          <w:rFonts w:hint="cs"/>
          <w:rtl/>
        </w:rPr>
        <w:t xml:space="preserve"> </w:t>
      </w:r>
      <w:r w:rsidRPr="005675B2">
        <w:rPr>
          <w:rFonts w:hint="cs"/>
          <w:rtl/>
        </w:rPr>
        <w:t>الجهات</w:t>
      </w:r>
      <w:r w:rsidR="000636C2">
        <w:rPr>
          <w:rFonts w:hint="cs"/>
          <w:rtl/>
        </w:rPr>
        <w:t>،</w:t>
      </w:r>
      <w:r w:rsidRPr="005675B2">
        <w:rPr>
          <w:rFonts w:hint="cs"/>
          <w:rtl/>
        </w:rPr>
        <w:t xml:space="preserve"> فكذا</w:t>
      </w:r>
      <w:r w:rsidR="000636C2">
        <w:rPr>
          <w:rFonts w:hint="cs"/>
          <w:rtl/>
        </w:rPr>
        <w:t xml:space="preserve"> </w:t>
      </w:r>
      <w:r w:rsidRPr="005675B2">
        <w:rPr>
          <w:rFonts w:hint="cs"/>
          <w:rtl/>
        </w:rPr>
        <w:t>يستعمل أيضا في العلو بمعنى المكانة والمنزلة</w:t>
      </w:r>
      <w:r w:rsidR="000636C2">
        <w:rPr>
          <w:rFonts w:hint="cs"/>
          <w:rtl/>
        </w:rPr>
        <w:t>،</w:t>
      </w:r>
      <w:r w:rsidRPr="005675B2">
        <w:rPr>
          <w:rFonts w:hint="cs"/>
          <w:rtl/>
        </w:rPr>
        <w:t xml:space="preserve"> فإنه يقال</w:t>
      </w:r>
      <w:r w:rsidR="000636C2">
        <w:rPr>
          <w:rFonts w:hint="cs"/>
          <w:rtl/>
        </w:rPr>
        <w:t>:</w:t>
      </w:r>
      <w:r w:rsidRPr="005675B2">
        <w:rPr>
          <w:rFonts w:hint="cs"/>
          <w:rtl/>
        </w:rPr>
        <w:t xml:space="preserve"> السلطان أعلى من غيره</w:t>
      </w:r>
      <w:r w:rsidR="000636C2">
        <w:rPr>
          <w:rFonts w:hint="cs"/>
          <w:rtl/>
        </w:rPr>
        <w:t>،</w:t>
      </w:r>
      <w:r w:rsidRPr="005675B2">
        <w:rPr>
          <w:rFonts w:hint="cs"/>
          <w:rtl/>
        </w:rPr>
        <w:t xml:space="preserve"> ويكتب في أمثلة السلاطين</w:t>
      </w:r>
      <w:r w:rsidR="000636C2">
        <w:rPr>
          <w:rFonts w:hint="cs"/>
          <w:rtl/>
        </w:rPr>
        <w:t>:</w:t>
      </w:r>
      <w:r w:rsidRPr="005675B2">
        <w:rPr>
          <w:rFonts w:hint="cs"/>
          <w:rtl/>
        </w:rPr>
        <w:t xml:space="preserve"> الديوان الأعلى</w:t>
      </w:r>
      <w:r w:rsidR="000636C2">
        <w:rPr>
          <w:rFonts w:hint="cs"/>
          <w:rtl/>
        </w:rPr>
        <w:t>،</w:t>
      </w:r>
      <w:r w:rsidRPr="005675B2">
        <w:rPr>
          <w:rFonts w:hint="cs"/>
          <w:rtl/>
        </w:rPr>
        <w:t xml:space="preserve"> ويقال لأمرهم</w:t>
      </w:r>
      <w:r w:rsidR="000636C2">
        <w:rPr>
          <w:rFonts w:hint="cs"/>
          <w:vertAlign w:val="superscript"/>
          <w:rtl/>
        </w:rPr>
        <w:t xml:space="preserve"> </w:t>
      </w:r>
      <w:r w:rsidRPr="005675B2">
        <w:rPr>
          <w:rFonts w:hint="cs"/>
          <w:rtl/>
        </w:rPr>
        <w:t>الأمر الأعلى ويقال</w:t>
      </w:r>
      <w:r w:rsidRPr="005675B2">
        <w:rPr>
          <w:rFonts w:hint="cs"/>
          <w:vertAlign w:val="superscript"/>
          <w:rtl/>
        </w:rPr>
        <w:t xml:space="preserve"> </w:t>
      </w:r>
      <w:r w:rsidRPr="005675B2">
        <w:rPr>
          <w:rFonts w:hint="cs"/>
          <w:rtl/>
        </w:rPr>
        <w:t>لمجالسهم</w:t>
      </w:r>
      <w:r w:rsidR="000636C2">
        <w:rPr>
          <w:rFonts w:hint="cs"/>
          <w:rtl/>
        </w:rPr>
        <w:t>:</w:t>
      </w:r>
      <w:r w:rsidRPr="005675B2">
        <w:rPr>
          <w:rFonts w:hint="cs"/>
          <w:rtl/>
        </w:rPr>
        <w:t xml:space="preserve"> المجلس الأعلى </w:t>
      </w:r>
      <w:r w:rsidR="000636C2">
        <w:rPr>
          <w:rFonts w:hint="cs"/>
          <w:rtl/>
        </w:rPr>
        <w:t>[</w:t>
      </w:r>
      <w:r w:rsidRPr="005675B2">
        <w:rPr>
          <w:rFonts w:hint="cs"/>
          <w:bCs/>
          <w:sz w:val="24"/>
          <w:szCs w:val="24"/>
          <w:rtl/>
        </w:rPr>
        <w:t>ومنه الدارج بيننا في هذا الزمن بقول: مجلس القضاء الأعلى</w:t>
      </w:r>
      <w:r w:rsidR="000636C2">
        <w:rPr>
          <w:rFonts w:hint="cs"/>
          <w:bCs/>
          <w:sz w:val="24"/>
          <w:szCs w:val="24"/>
          <w:rtl/>
        </w:rPr>
        <w:t>،</w:t>
      </w:r>
      <w:r w:rsidRPr="005675B2">
        <w:rPr>
          <w:rFonts w:hint="cs"/>
          <w:bCs/>
          <w:sz w:val="24"/>
          <w:szCs w:val="24"/>
          <w:rtl/>
        </w:rPr>
        <w:t>والمجلس الأعلى لهيئة الأمم... إلخ]</w:t>
      </w:r>
      <w:r w:rsidR="000636C2">
        <w:rPr>
          <w:rFonts w:hint="cs"/>
          <w:rtl/>
        </w:rPr>
        <w:t>،</w:t>
      </w:r>
      <w:r w:rsidRPr="005675B2">
        <w:rPr>
          <w:rFonts w:hint="cs"/>
          <w:rtl/>
        </w:rPr>
        <w:t xml:space="preserve"> والمراد في الكل</w:t>
      </w:r>
      <w:r w:rsidR="000636C2">
        <w:rPr>
          <w:rFonts w:hint="cs"/>
          <w:rtl/>
        </w:rPr>
        <w:t>:</w:t>
      </w:r>
      <w:r w:rsidRPr="005675B2">
        <w:rPr>
          <w:rFonts w:hint="cs"/>
          <w:rtl/>
        </w:rPr>
        <w:t xml:space="preserve"> العلو</w:t>
      </w:r>
      <w:r w:rsidR="000636C2">
        <w:rPr>
          <w:rFonts w:hint="cs"/>
          <w:rtl/>
        </w:rPr>
        <w:t>،</w:t>
      </w:r>
      <w:r w:rsidRPr="005675B2">
        <w:rPr>
          <w:rFonts w:hint="cs"/>
          <w:rtl/>
        </w:rPr>
        <w:t xml:space="preserve"> بمعنى</w:t>
      </w:r>
      <w:r w:rsidR="000636C2">
        <w:rPr>
          <w:rFonts w:hint="cs"/>
          <w:rtl/>
        </w:rPr>
        <w:t>:</w:t>
      </w:r>
      <w:r w:rsidRPr="005675B2">
        <w:rPr>
          <w:rFonts w:hint="cs"/>
          <w:rtl/>
        </w:rPr>
        <w:t xml:space="preserve"> القهر والقدرة و</w:t>
      </w:r>
      <w:r w:rsidR="000636C2">
        <w:rPr>
          <w:rFonts w:hint="cs"/>
          <w:rtl/>
        </w:rPr>
        <w:t>(</w:t>
      </w:r>
      <w:r w:rsidRPr="005675B2">
        <w:rPr>
          <w:rFonts w:hint="cs"/>
          <w:rtl/>
        </w:rPr>
        <w:t>السلطة</w:t>
      </w:r>
      <w:r w:rsidR="000636C2">
        <w:rPr>
          <w:rFonts w:hint="cs"/>
          <w:rtl/>
        </w:rPr>
        <w:t>)</w:t>
      </w:r>
      <w:r w:rsidRPr="005675B2">
        <w:rPr>
          <w:rFonts w:hint="cs"/>
          <w:rtl/>
        </w:rPr>
        <w:t>،</w:t>
      </w:r>
      <w:r w:rsidR="000636C2">
        <w:rPr>
          <w:rFonts w:hint="cs"/>
          <w:rtl/>
        </w:rPr>
        <w:t xml:space="preserve"> </w:t>
      </w:r>
      <w:r w:rsidRPr="005675B2">
        <w:rPr>
          <w:rFonts w:hint="cs"/>
          <w:u w:val="single"/>
          <w:rtl/>
        </w:rPr>
        <w:t>لا بمعنى الحلول في</w:t>
      </w:r>
      <w:r w:rsidR="000636C2">
        <w:rPr>
          <w:rFonts w:hint="cs"/>
          <w:u w:val="single"/>
          <w:rtl/>
        </w:rPr>
        <w:t xml:space="preserve"> </w:t>
      </w:r>
      <w:r w:rsidRPr="005675B2">
        <w:rPr>
          <w:rFonts w:hint="cs"/>
          <w:u w:val="single"/>
          <w:rtl/>
        </w:rPr>
        <w:t>المكان والجهة</w:t>
      </w:r>
      <w:r w:rsidR="000636C2">
        <w:rPr>
          <w:rFonts w:hint="cs"/>
          <w:rtl/>
        </w:rPr>
        <w:t>،</w:t>
      </w:r>
      <w:r w:rsidRPr="005675B2">
        <w:rPr>
          <w:rFonts w:hint="cs"/>
          <w:rtl/>
        </w:rPr>
        <w:t xml:space="preserve"> وأيضاً</w:t>
      </w:r>
      <w:r w:rsidR="000636C2">
        <w:rPr>
          <w:rFonts w:hint="cs"/>
          <w:rtl/>
        </w:rPr>
        <w:t>:</w:t>
      </w:r>
      <w:r w:rsidRPr="005675B2">
        <w:rPr>
          <w:rFonts w:hint="cs"/>
          <w:rtl/>
        </w:rPr>
        <w:t xml:space="preserve"> قال الله تعالى لموسى</w:t>
      </w:r>
      <w:r w:rsidR="000636C2">
        <w:rPr>
          <w:rFonts w:hint="cs"/>
          <w:rtl/>
        </w:rPr>
        <w:t xml:space="preserve">: </w:t>
      </w:r>
      <w:r w:rsidRPr="005675B2">
        <w:rPr>
          <w:rFonts w:hint="cs"/>
          <w:rtl/>
        </w:rPr>
        <w:t>» لا تخف إنك أنت الأعلىُ«</w:t>
      </w:r>
      <w:r w:rsidR="000636C2">
        <w:rPr>
          <w:rFonts w:hint="cs"/>
          <w:rtl/>
        </w:rPr>
        <w:t xml:space="preserve"> </w:t>
      </w:r>
      <w:r w:rsidRPr="005675B2">
        <w:rPr>
          <w:rFonts w:hint="cs"/>
          <w:rtl/>
        </w:rPr>
        <w:t>وقال</w:t>
      </w:r>
      <w:r w:rsidR="000636C2">
        <w:rPr>
          <w:rFonts w:hint="cs"/>
          <w:rtl/>
        </w:rPr>
        <w:t xml:space="preserve">: </w:t>
      </w:r>
      <w:r w:rsidRPr="005675B2">
        <w:rPr>
          <w:rFonts w:hint="cs"/>
          <w:rtl/>
        </w:rPr>
        <w:t>» ولا تهنوا ولا تحزنوا</w:t>
      </w:r>
      <w:r w:rsidR="000636C2">
        <w:rPr>
          <w:rFonts w:hint="cs"/>
          <w:rtl/>
        </w:rPr>
        <w:t>،</w:t>
      </w:r>
      <w:r w:rsidRPr="005675B2">
        <w:rPr>
          <w:rFonts w:hint="cs"/>
          <w:rtl/>
        </w:rPr>
        <w:t xml:space="preserve"> وأنتم</w:t>
      </w:r>
    </w:p>
    <w:p w14:paraId="39AF2D1B" w14:textId="4908649E" w:rsidR="009C32A0" w:rsidRPr="005675B2" w:rsidRDefault="009C32A0" w:rsidP="000636C2">
      <w:pPr>
        <w:rPr>
          <w:b/>
          <w:rtl/>
        </w:rPr>
      </w:pPr>
      <w:r w:rsidRPr="005675B2">
        <w:rPr>
          <w:rFonts w:hint="cs"/>
          <w:rtl/>
        </w:rPr>
        <w:t>الأعلون</w:t>
      </w:r>
      <w:r w:rsidR="000636C2">
        <w:rPr>
          <w:rFonts w:hint="cs"/>
          <w:vertAlign w:val="superscript"/>
          <w:rtl/>
        </w:rPr>
        <w:t xml:space="preserve"> </w:t>
      </w:r>
      <w:r w:rsidRPr="005675B2">
        <w:rPr>
          <w:rFonts w:hint="cs"/>
          <w:rtl/>
        </w:rPr>
        <w:t>« وقال</w:t>
      </w:r>
      <w:r w:rsidR="000636C2">
        <w:rPr>
          <w:rFonts w:hint="cs"/>
          <w:rtl/>
        </w:rPr>
        <w:t xml:space="preserve">: </w:t>
      </w:r>
      <w:r w:rsidRPr="005675B2">
        <w:rPr>
          <w:rFonts w:hint="cs"/>
          <w:rtl/>
        </w:rPr>
        <w:t>(</w:t>
      </w:r>
      <w:r w:rsidR="000636C2">
        <w:rPr>
          <w:rFonts w:hint="cs"/>
          <w:rtl/>
        </w:rPr>
        <w:t>(</w:t>
      </w:r>
      <w:r w:rsidRPr="005675B2">
        <w:rPr>
          <w:rFonts w:hint="cs"/>
          <w:rtl/>
        </w:rPr>
        <w:t>وكلمة الله هي العليا</w:t>
      </w:r>
      <w:r w:rsidR="000636C2">
        <w:rPr>
          <w:rFonts w:hint="cs"/>
          <w:vertAlign w:val="superscript"/>
          <w:rtl/>
        </w:rPr>
        <w:t>)</w:t>
      </w:r>
      <w:r w:rsidRPr="005675B2">
        <w:rPr>
          <w:rFonts w:hint="cs"/>
          <w:rtl/>
        </w:rPr>
        <w:t>)</w:t>
      </w:r>
      <w:r w:rsidR="000636C2">
        <w:rPr>
          <w:rFonts w:hint="cs"/>
          <w:rtl/>
        </w:rPr>
        <w:t>،</w:t>
      </w:r>
      <w:r w:rsidRPr="005675B2">
        <w:rPr>
          <w:rFonts w:hint="cs"/>
          <w:rtl/>
        </w:rPr>
        <w:t xml:space="preserve"> وقال فرعون</w:t>
      </w:r>
      <w:r w:rsidR="000636C2">
        <w:rPr>
          <w:rFonts w:hint="cs"/>
          <w:rtl/>
        </w:rPr>
        <w:t xml:space="preserve">: </w:t>
      </w:r>
      <w:r w:rsidRPr="005675B2">
        <w:rPr>
          <w:rFonts w:hint="cs"/>
          <w:rtl/>
        </w:rPr>
        <w:t>(</w:t>
      </w:r>
      <w:r w:rsidR="000636C2">
        <w:rPr>
          <w:rFonts w:hint="cs"/>
          <w:rtl/>
        </w:rPr>
        <w:t>(</w:t>
      </w:r>
      <w:r w:rsidRPr="005675B2">
        <w:rPr>
          <w:rFonts w:hint="cs"/>
          <w:rtl/>
        </w:rPr>
        <w:t>أنا ربكم الأعلى</w:t>
      </w:r>
      <w:r w:rsidR="000636C2">
        <w:rPr>
          <w:rFonts w:hint="cs"/>
          <w:vertAlign w:val="superscript"/>
          <w:rtl/>
        </w:rPr>
        <w:t>)</w:t>
      </w:r>
      <w:r w:rsidRPr="005675B2">
        <w:rPr>
          <w:rFonts w:hint="cs"/>
          <w:rtl/>
        </w:rPr>
        <w:t>)</w:t>
      </w:r>
      <w:r w:rsidR="000636C2">
        <w:rPr>
          <w:rFonts w:hint="cs"/>
          <w:rtl/>
        </w:rPr>
        <w:t xml:space="preserve"> </w:t>
      </w:r>
      <w:r w:rsidRPr="005675B2">
        <w:rPr>
          <w:rFonts w:hint="cs"/>
          <w:rtl/>
        </w:rPr>
        <w:t>والعلو في هذه المواضع بمعنى العلو بالقدرة</w:t>
      </w:r>
      <w:r w:rsidR="000636C2">
        <w:rPr>
          <w:rFonts w:hint="cs"/>
          <w:rtl/>
        </w:rPr>
        <w:t>،</w:t>
      </w:r>
      <w:r w:rsidRPr="005675B2">
        <w:rPr>
          <w:rFonts w:hint="cs"/>
          <w:rtl/>
        </w:rPr>
        <w:t xml:space="preserve"> لا بمعنى العلو</w:t>
      </w:r>
      <w:r w:rsidR="000636C2">
        <w:rPr>
          <w:rFonts w:hint="cs"/>
          <w:rtl/>
        </w:rPr>
        <w:t xml:space="preserve"> </w:t>
      </w:r>
      <w:r w:rsidRPr="005675B2">
        <w:rPr>
          <w:rFonts w:hint="cs"/>
          <w:rtl/>
        </w:rPr>
        <w:t>بالجهة</w:t>
      </w:r>
      <w:r w:rsidR="000636C2">
        <w:rPr>
          <w:rFonts w:hint="cs"/>
          <w:rtl/>
        </w:rPr>
        <w:t>،</w:t>
      </w:r>
      <w:r w:rsidR="000636C2">
        <w:rPr>
          <w:rFonts w:hint="cs"/>
          <w:vertAlign w:val="superscript"/>
          <w:rtl/>
        </w:rPr>
        <w:t xml:space="preserve"> </w:t>
      </w:r>
      <w:r w:rsidRPr="005675B2">
        <w:rPr>
          <w:rFonts w:hint="cs"/>
          <w:u w:val="single"/>
          <w:rtl/>
        </w:rPr>
        <w:t>والذي يدل على أن المراد ما ذكرناه</w:t>
      </w:r>
      <w:r w:rsidR="000636C2">
        <w:rPr>
          <w:rFonts w:hint="cs"/>
          <w:u w:val="single"/>
          <w:rtl/>
        </w:rPr>
        <w:t>:</w:t>
      </w:r>
      <w:r w:rsidRPr="005675B2">
        <w:rPr>
          <w:rFonts w:hint="cs"/>
          <w:u w:val="single"/>
          <w:rtl/>
        </w:rPr>
        <w:t xml:space="preserve"> وجوه</w:t>
      </w:r>
      <w:r w:rsidR="000636C2">
        <w:rPr>
          <w:rFonts w:hint="cs"/>
          <w:u w:val="single"/>
          <w:rtl/>
        </w:rPr>
        <w:t>:</w:t>
      </w:r>
    </w:p>
    <w:p w14:paraId="106224E0" w14:textId="17737A31" w:rsidR="009C32A0" w:rsidRPr="005675B2" w:rsidRDefault="009C32A0" w:rsidP="000636C2">
      <w:pPr>
        <w:rPr>
          <w:b/>
          <w:rtl/>
        </w:rPr>
      </w:pPr>
      <w:r w:rsidRPr="005675B2">
        <w:rPr>
          <w:rFonts w:hint="cs"/>
          <w:u w:val="single"/>
          <w:rtl/>
        </w:rPr>
        <w:t>الأول</w:t>
      </w:r>
      <w:r w:rsidR="000636C2">
        <w:rPr>
          <w:rFonts w:hint="cs"/>
          <w:rtl/>
        </w:rPr>
        <w:t>:</w:t>
      </w:r>
      <w:r w:rsidRPr="005675B2">
        <w:rPr>
          <w:rFonts w:hint="cs"/>
          <w:rtl/>
        </w:rPr>
        <w:t xml:space="preserve"> أنه تعالى قال</w:t>
      </w:r>
      <w:r w:rsidR="000636C2">
        <w:rPr>
          <w:rFonts w:hint="cs"/>
          <w:rtl/>
        </w:rPr>
        <w:t xml:space="preserve">: </w:t>
      </w:r>
      <w:r w:rsidRPr="005675B2">
        <w:rPr>
          <w:rFonts w:hint="cs"/>
          <w:rtl/>
        </w:rPr>
        <w:t>» سبح اسم ربك الأعلى</w:t>
      </w:r>
      <w:r w:rsidR="000636C2">
        <w:rPr>
          <w:rFonts w:hint="cs"/>
          <w:vertAlign w:val="superscript"/>
          <w:rtl/>
        </w:rPr>
        <w:t xml:space="preserve"> </w:t>
      </w:r>
      <w:r w:rsidRPr="005675B2">
        <w:rPr>
          <w:rFonts w:hint="cs"/>
          <w:rtl/>
        </w:rPr>
        <w:t>«</w:t>
      </w:r>
      <w:r w:rsidR="000636C2">
        <w:rPr>
          <w:rFonts w:hint="cs"/>
          <w:rtl/>
        </w:rPr>
        <w:t xml:space="preserve"> </w:t>
      </w:r>
      <w:r w:rsidRPr="005675B2">
        <w:rPr>
          <w:rFonts w:hint="cs"/>
          <w:rtl/>
        </w:rPr>
        <w:t>فحكم بأنه تعالى أعلى من كل ما سواه</w:t>
      </w:r>
      <w:r w:rsidR="000636C2">
        <w:rPr>
          <w:rFonts w:hint="cs"/>
          <w:rtl/>
        </w:rPr>
        <w:t xml:space="preserve">، </w:t>
      </w:r>
      <w:r w:rsidRPr="005675B2">
        <w:rPr>
          <w:rFonts w:hint="cs"/>
          <w:rtl/>
        </w:rPr>
        <w:t>والجهة شيء سواه</w:t>
      </w:r>
      <w:r w:rsidR="000636C2">
        <w:rPr>
          <w:rFonts w:hint="cs"/>
          <w:rtl/>
        </w:rPr>
        <w:t>،</w:t>
      </w:r>
      <w:r w:rsidRPr="005675B2">
        <w:rPr>
          <w:rFonts w:hint="cs"/>
          <w:rtl/>
        </w:rPr>
        <w:t xml:space="preserve"> فوجب أن تكون ذاته أعلى من الجهة</w:t>
      </w:r>
      <w:r w:rsidR="000636C2">
        <w:rPr>
          <w:rFonts w:hint="cs"/>
          <w:rtl/>
        </w:rPr>
        <w:t>،</w:t>
      </w:r>
      <w:r w:rsidRPr="005675B2">
        <w:rPr>
          <w:rFonts w:hint="cs"/>
          <w:rtl/>
        </w:rPr>
        <w:t xml:space="preserve"> وما كان أعلى من الجهة امتنع أن يكون علوه بسبب الجهة</w:t>
      </w:r>
      <w:r w:rsidR="000636C2">
        <w:rPr>
          <w:rFonts w:hint="cs"/>
          <w:rtl/>
        </w:rPr>
        <w:t>،</w:t>
      </w:r>
      <w:r w:rsidRPr="005675B2">
        <w:rPr>
          <w:rFonts w:hint="cs"/>
          <w:rtl/>
        </w:rPr>
        <w:t xml:space="preserve"> </w:t>
      </w:r>
      <w:r w:rsidRPr="005675B2">
        <w:rPr>
          <w:rFonts w:hint="cs"/>
          <w:u w:val="single"/>
          <w:rtl/>
        </w:rPr>
        <w:t>فثبت</w:t>
      </w:r>
      <w:r w:rsidR="000636C2">
        <w:rPr>
          <w:rFonts w:hint="cs"/>
          <w:u w:val="single"/>
          <w:rtl/>
        </w:rPr>
        <w:t>:</w:t>
      </w:r>
      <w:r w:rsidRPr="005675B2">
        <w:rPr>
          <w:rFonts w:hint="cs"/>
          <w:u w:val="single"/>
          <w:rtl/>
        </w:rPr>
        <w:t xml:space="preserve"> أن علوه لنفس ذاته</w:t>
      </w:r>
      <w:r w:rsidR="000636C2">
        <w:rPr>
          <w:rFonts w:hint="cs"/>
          <w:u w:val="single"/>
          <w:rtl/>
        </w:rPr>
        <w:t>،</w:t>
      </w:r>
      <w:r w:rsidRPr="005675B2">
        <w:rPr>
          <w:rFonts w:hint="cs"/>
          <w:u w:val="single"/>
          <w:rtl/>
        </w:rPr>
        <w:t xml:space="preserve"> لا بسبب الجهة</w:t>
      </w:r>
      <w:r w:rsidR="000636C2">
        <w:rPr>
          <w:rFonts w:hint="cs"/>
          <w:u w:val="single"/>
          <w:rtl/>
        </w:rPr>
        <w:t>،</w:t>
      </w:r>
      <w:r w:rsidRPr="005675B2">
        <w:rPr>
          <w:rFonts w:hint="cs"/>
          <w:u w:val="single"/>
          <w:rtl/>
        </w:rPr>
        <w:t xml:space="preserve"> </w:t>
      </w:r>
      <w:r w:rsidRPr="005675B2">
        <w:rPr>
          <w:rFonts w:hint="cs"/>
          <w:rtl/>
        </w:rPr>
        <w:t>ولا يقال</w:t>
      </w:r>
      <w:r w:rsidR="000636C2">
        <w:rPr>
          <w:rFonts w:hint="cs"/>
          <w:rtl/>
        </w:rPr>
        <w:t>:</w:t>
      </w:r>
      <w:r w:rsidRPr="005675B2">
        <w:rPr>
          <w:rFonts w:hint="cs"/>
          <w:rtl/>
        </w:rPr>
        <w:t xml:space="preserve"> الجهة ليست بشيء موجود حتى تدخل تحت قوله</w:t>
      </w:r>
      <w:r w:rsidR="000636C2">
        <w:rPr>
          <w:rFonts w:hint="cs"/>
          <w:rtl/>
        </w:rPr>
        <w:t xml:space="preserve">: </w:t>
      </w:r>
      <w:r w:rsidRPr="005675B2">
        <w:rPr>
          <w:rFonts w:hint="cs"/>
          <w:rtl/>
        </w:rPr>
        <w:t>(</w:t>
      </w:r>
      <w:r w:rsidR="000636C2">
        <w:rPr>
          <w:rFonts w:hint="cs"/>
          <w:rtl/>
        </w:rPr>
        <w:t>(</w:t>
      </w:r>
      <w:r w:rsidRPr="005675B2">
        <w:rPr>
          <w:rFonts w:hint="cs"/>
          <w:rtl/>
        </w:rPr>
        <w:t>سبح اسم ربك الأعلى</w:t>
      </w:r>
      <w:r w:rsidR="000636C2">
        <w:rPr>
          <w:rFonts w:hint="cs"/>
          <w:rtl/>
        </w:rPr>
        <w:t>)</w:t>
      </w:r>
      <w:r w:rsidRPr="005675B2">
        <w:rPr>
          <w:rFonts w:hint="cs"/>
          <w:rtl/>
        </w:rPr>
        <w:t>)</w:t>
      </w:r>
      <w:r w:rsidR="000636C2">
        <w:rPr>
          <w:rFonts w:hint="cs"/>
          <w:rtl/>
        </w:rPr>
        <w:t xml:space="preserve"> </w:t>
      </w:r>
      <w:r w:rsidRPr="005675B2">
        <w:rPr>
          <w:rFonts w:hint="cs"/>
          <w:rtl/>
        </w:rPr>
        <w:t>لأن العلماء ومنهم الإمام</w:t>
      </w:r>
      <w:r w:rsidR="000636C2">
        <w:rPr>
          <w:rFonts w:hint="cs"/>
          <w:rtl/>
        </w:rPr>
        <w:t>:</w:t>
      </w:r>
      <w:r w:rsidRPr="005675B2">
        <w:rPr>
          <w:rFonts w:hint="cs"/>
          <w:rtl/>
        </w:rPr>
        <w:t xml:space="preserve"> قد بينوا</w:t>
      </w:r>
      <w:r w:rsidR="000636C2">
        <w:rPr>
          <w:rFonts w:hint="cs"/>
          <w:rtl/>
        </w:rPr>
        <w:t xml:space="preserve"> </w:t>
      </w:r>
      <w:r w:rsidRPr="005675B2">
        <w:rPr>
          <w:rFonts w:hint="cs"/>
          <w:rtl/>
        </w:rPr>
        <w:t>في باب الدلائل العقلية</w:t>
      </w:r>
      <w:r w:rsidR="000636C2">
        <w:rPr>
          <w:rFonts w:hint="cs"/>
          <w:rtl/>
        </w:rPr>
        <w:t>:</w:t>
      </w:r>
      <w:r w:rsidRPr="005675B2">
        <w:rPr>
          <w:rFonts w:hint="cs"/>
          <w:rtl/>
        </w:rPr>
        <w:t xml:space="preserve"> أنها لا بد وأن تكون الجهة أمراً موجوداً</w:t>
      </w:r>
      <w:r w:rsidR="000636C2">
        <w:rPr>
          <w:rFonts w:hint="cs"/>
          <w:rtl/>
        </w:rPr>
        <w:t xml:space="preserve">، </w:t>
      </w:r>
      <w:r w:rsidRPr="005675B2">
        <w:rPr>
          <w:rFonts w:hint="cs"/>
          <w:u w:val="single"/>
          <w:rtl/>
        </w:rPr>
        <w:t>وأما الذي تمسكوا به رابعاً</w:t>
      </w:r>
      <w:r w:rsidR="000636C2">
        <w:rPr>
          <w:rFonts w:hint="cs"/>
          <w:u w:val="single"/>
          <w:rtl/>
        </w:rPr>
        <w:t>:</w:t>
      </w:r>
      <w:r w:rsidRPr="005675B2">
        <w:rPr>
          <w:rFonts w:hint="cs"/>
          <w:u w:val="single"/>
          <w:rtl/>
        </w:rPr>
        <w:t xml:space="preserve"> وهو الآيات المشتملة على لفظ العروج</w:t>
      </w:r>
      <w:r w:rsidRPr="005675B2">
        <w:rPr>
          <w:rFonts w:hint="cs"/>
          <w:rtl/>
        </w:rPr>
        <w:t xml:space="preserve"> أو الصعود</w:t>
      </w:r>
      <w:r w:rsidR="000636C2">
        <w:rPr>
          <w:rFonts w:hint="cs"/>
          <w:rtl/>
        </w:rPr>
        <w:t>،</w:t>
      </w:r>
      <w:r w:rsidRPr="005675B2">
        <w:rPr>
          <w:rFonts w:hint="cs"/>
          <w:rtl/>
        </w:rPr>
        <w:t xml:space="preserve"> كقوله تعالى</w:t>
      </w:r>
      <w:r w:rsidR="000636C2">
        <w:rPr>
          <w:rFonts w:hint="cs"/>
          <w:rtl/>
        </w:rPr>
        <w:t xml:space="preserve">: </w:t>
      </w:r>
      <w:r w:rsidRPr="005675B2">
        <w:rPr>
          <w:rFonts w:hint="cs"/>
          <w:rtl/>
        </w:rPr>
        <w:t>(</w:t>
      </w:r>
      <w:r w:rsidR="000636C2">
        <w:rPr>
          <w:rFonts w:hint="cs"/>
          <w:rtl/>
        </w:rPr>
        <w:t>(</w:t>
      </w:r>
      <w:r w:rsidRPr="005675B2">
        <w:rPr>
          <w:rFonts w:hint="cs"/>
          <w:rtl/>
        </w:rPr>
        <w:t>ذي المعارج</w:t>
      </w:r>
      <w:r w:rsidR="000636C2">
        <w:rPr>
          <w:rFonts w:hint="cs"/>
          <w:rtl/>
        </w:rPr>
        <w:t>،</w:t>
      </w:r>
      <w:r w:rsidRPr="005675B2">
        <w:rPr>
          <w:rFonts w:hint="cs"/>
          <w:rtl/>
        </w:rPr>
        <w:t xml:space="preserve"> تعرج الملائكة والروح</w:t>
      </w:r>
      <w:r w:rsidR="000636C2">
        <w:rPr>
          <w:rFonts w:hint="cs"/>
          <w:vertAlign w:val="superscript"/>
          <w:rtl/>
        </w:rPr>
        <w:t xml:space="preserve"> </w:t>
      </w:r>
      <w:r w:rsidRPr="005675B2">
        <w:rPr>
          <w:rFonts w:hint="cs"/>
          <w:rtl/>
        </w:rPr>
        <w:t>إليه</w:t>
      </w:r>
      <w:r w:rsidR="000636C2">
        <w:rPr>
          <w:rFonts w:hint="cs"/>
          <w:rtl/>
        </w:rPr>
        <w:t>)</w:t>
      </w:r>
      <w:r w:rsidRPr="005675B2">
        <w:rPr>
          <w:rFonts w:hint="cs"/>
          <w:rtl/>
        </w:rPr>
        <w:t xml:space="preserve">) </w:t>
      </w:r>
    </w:p>
    <w:p w14:paraId="202D6478" w14:textId="30B9D4B0" w:rsidR="009C32A0" w:rsidRPr="005675B2" w:rsidRDefault="009C32A0" w:rsidP="000636C2">
      <w:pPr>
        <w:rPr>
          <w:b/>
        </w:rPr>
      </w:pPr>
      <w:r w:rsidRPr="005675B2">
        <w:rPr>
          <w:rFonts w:hint="cs"/>
          <w:rtl/>
        </w:rPr>
        <w:t>فجوابه</w:t>
      </w:r>
      <w:r w:rsidR="000636C2">
        <w:rPr>
          <w:rFonts w:hint="cs"/>
          <w:rtl/>
        </w:rPr>
        <w:t>:</w:t>
      </w:r>
      <w:r w:rsidRPr="005675B2">
        <w:rPr>
          <w:rFonts w:hint="cs"/>
          <w:rtl/>
        </w:rPr>
        <w:t xml:space="preserve"> ليس المراد من حرف "إلى" في قوله "إليه"</w:t>
      </w:r>
      <w:r w:rsidR="000636C2">
        <w:rPr>
          <w:rFonts w:hint="cs"/>
          <w:rtl/>
        </w:rPr>
        <w:t>:</w:t>
      </w:r>
      <w:r w:rsidRPr="005675B2">
        <w:rPr>
          <w:rFonts w:hint="cs"/>
          <w:rtl/>
        </w:rPr>
        <w:t xml:space="preserve"> المكان</w:t>
      </w:r>
      <w:r w:rsidR="000636C2">
        <w:rPr>
          <w:rFonts w:hint="cs"/>
          <w:rtl/>
        </w:rPr>
        <w:t>،</w:t>
      </w:r>
      <w:r w:rsidRPr="005675B2">
        <w:rPr>
          <w:rFonts w:hint="cs"/>
          <w:rtl/>
        </w:rPr>
        <w:t xml:space="preserve"> بل المراد</w:t>
      </w:r>
      <w:r w:rsidR="000636C2">
        <w:rPr>
          <w:rFonts w:hint="cs"/>
          <w:rtl/>
        </w:rPr>
        <w:t>:</w:t>
      </w:r>
      <w:r w:rsidRPr="005675B2">
        <w:rPr>
          <w:rFonts w:hint="cs"/>
          <w:rtl/>
        </w:rPr>
        <w:t xml:space="preserve"> انتهاء الأمور إلى مراده عزوجل</w:t>
      </w:r>
      <w:r w:rsidR="000636C2">
        <w:rPr>
          <w:rFonts w:hint="cs"/>
          <w:rtl/>
        </w:rPr>
        <w:t>،</w:t>
      </w:r>
      <w:r w:rsidRPr="005675B2">
        <w:rPr>
          <w:rFonts w:hint="cs"/>
          <w:rtl/>
        </w:rPr>
        <w:t xml:space="preserve"> ونظيره</w:t>
      </w:r>
      <w:r w:rsidR="000636C2">
        <w:rPr>
          <w:rFonts w:hint="cs"/>
          <w:rtl/>
        </w:rPr>
        <w:t>:</w:t>
      </w:r>
      <w:r w:rsidRPr="005675B2">
        <w:rPr>
          <w:rFonts w:hint="cs"/>
          <w:rtl/>
        </w:rPr>
        <w:t xml:space="preserve"> قوله تعالى</w:t>
      </w:r>
      <w:r w:rsidR="000636C2">
        <w:rPr>
          <w:rFonts w:hint="cs"/>
          <w:rtl/>
        </w:rPr>
        <w:t xml:space="preserve">: </w:t>
      </w:r>
      <w:r w:rsidRPr="005675B2">
        <w:rPr>
          <w:rFonts w:hint="cs"/>
          <w:rtl/>
        </w:rPr>
        <w:t>» وإليه يرجع الأمر كله«</w:t>
      </w:r>
      <w:r w:rsidR="000636C2">
        <w:rPr>
          <w:rFonts w:hint="cs"/>
          <w:rtl/>
        </w:rPr>
        <w:t xml:space="preserve"> </w:t>
      </w:r>
      <w:r w:rsidRPr="005675B2">
        <w:rPr>
          <w:rFonts w:hint="cs"/>
          <w:rtl/>
        </w:rPr>
        <w:t>وهو</w:t>
      </w:r>
      <w:r w:rsidR="000636C2">
        <w:rPr>
          <w:rFonts w:hint="cs"/>
          <w:rtl/>
        </w:rPr>
        <w:t xml:space="preserve"> </w:t>
      </w:r>
      <w:r w:rsidRPr="005675B2">
        <w:rPr>
          <w:rFonts w:hint="cs"/>
          <w:rtl/>
        </w:rPr>
        <w:t>كقوله تعالى في الظل (</w:t>
      </w:r>
      <w:r w:rsidR="000636C2">
        <w:rPr>
          <w:rFonts w:hint="cs"/>
          <w:rtl/>
        </w:rPr>
        <w:t>(</w:t>
      </w:r>
      <w:r w:rsidRPr="005675B2">
        <w:rPr>
          <w:rFonts w:hint="cs"/>
          <w:rtl/>
        </w:rPr>
        <w:t>ثم قبضناه إليناقبضاً يسيراً</w:t>
      </w:r>
      <w:r w:rsidR="000636C2">
        <w:rPr>
          <w:rFonts w:hint="cs"/>
          <w:rtl/>
        </w:rPr>
        <w:t>)</w:t>
      </w:r>
      <w:r w:rsidRPr="005675B2">
        <w:rPr>
          <w:rFonts w:hint="cs"/>
          <w:rtl/>
        </w:rPr>
        <w:t>)ومعلوم أن المقصود ليس وجود الله في مكان فتبين أن المراد شيءآخر</w:t>
      </w:r>
      <w:r w:rsidR="000636C2">
        <w:rPr>
          <w:rFonts w:hint="cs"/>
          <w:rtl/>
        </w:rPr>
        <w:t>،</w:t>
      </w:r>
      <w:r w:rsidRPr="005675B2">
        <w:rPr>
          <w:rFonts w:hint="cs"/>
          <w:rtl/>
        </w:rPr>
        <w:t xml:space="preserve"> وهو كقول إبراهيم</w:t>
      </w:r>
      <w:r w:rsidR="000636C2">
        <w:rPr>
          <w:rFonts w:hint="cs"/>
          <w:rtl/>
        </w:rPr>
        <w:t xml:space="preserve">: </w:t>
      </w:r>
      <w:r w:rsidRPr="005675B2">
        <w:rPr>
          <w:rFonts w:hint="cs"/>
          <w:rtl/>
        </w:rPr>
        <w:t>» إني ذاهب إلى ربي سيهدين</w:t>
      </w:r>
      <w:r w:rsidR="000636C2">
        <w:rPr>
          <w:rFonts w:hint="cs"/>
          <w:vertAlign w:val="superscript"/>
          <w:rtl/>
        </w:rPr>
        <w:t xml:space="preserve"> </w:t>
      </w:r>
      <w:r w:rsidRPr="005675B2">
        <w:rPr>
          <w:rFonts w:hint="cs"/>
          <w:rtl/>
        </w:rPr>
        <w:t>«</w:t>
      </w:r>
      <w:r w:rsidR="000636C2">
        <w:rPr>
          <w:rFonts w:hint="cs"/>
          <w:rtl/>
        </w:rPr>
        <w:t xml:space="preserve"> </w:t>
      </w:r>
      <w:r w:rsidRPr="005675B2">
        <w:rPr>
          <w:rFonts w:hint="cs"/>
          <w:rtl/>
        </w:rPr>
        <w:t>ويمتنع</w:t>
      </w:r>
      <w:r w:rsidR="000636C2">
        <w:rPr>
          <w:rFonts w:hint="cs"/>
          <w:rtl/>
        </w:rPr>
        <w:t xml:space="preserve"> </w:t>
      </w:r>
      <w:r w:rsidRPr="005675B2">
        <w:rPr>
          <w:rFonts w:hint="cs"/>
          <w:rtl/>
        </w:rPr>
        <w:t>أن يراد به مكان وجودي لله يقطع بالمسافة</w:t>
      </w:r>
      <w:r w:rsidR="000636C2">
        <w:rPr>
          <w:rFonts w:hint="cs"/>
          <w:rtl/>
        </w:rPr>
        <w:t>،</w:t>
      </w:r>
      <w:r w:rsidRPr="005675B2">
        <w:rPr>
          <w:rFonts w:hint="cs"/>
          <w:rtl/>
        </w:rPr>
        <w:t xml:space="preserve"> </w:t>
      </w:r>
      <w:r w:rsidRPr="005675B2">
        <w:rPr>
          <w:rFonts w:hint="cs"/>
          <w:u w:val="single"/>
          <w:rtl/>
        </w:rPr>
        <w:t>وعلم منه أن مثل هذه الآيات لاتؤخذ بظاهرها</w:t>
      </w:r>
      <w:r w:rsidR="000636C2">
        <w:rPr>
          <w:rFonts w:hint="cs"/>
          <w:u w:val="single"/>
          <w:rtl/>
        </w:rPr>
        <w:t>،</w:t>
      </w:r>
      <w:r w:rsidRPr="005675B2">
        <w:rPr>
          <w:rFonts w:hint="cs"/>
          <w:rtl/>
        </w:rPr>
        <w:t xml:space="preserve"> </w:t>
      </w:r>
    </w:p>
    <w:p w14:paraId="087400D3" w14:textId="7C52A053" w:rsidR="009C32A0" w:rsidRPr="005675B2" w:rsidRDefault="009C32A0" w:rsidP="000636C2">
      <w:pPr>
        <w:rPr>
          <w:b/>
          <w:rtl/>
        </w:rPr>
      </w:pPr>
      <w:r w:rsidRPr="005675B2">
        <w:rPr>
          <w:rFonts w:hint="cs"/>
          <w:rtl/>
        </w:rPr>
        <w:t>حجة الصعود إلى الله كقوله {إليه يصعد الكلم الطيب والعمل الصالح يرفعه} حيث إن المراد قبول الله للطاعة قولاً أو عملاً، نص عليه أئمة ومنهم أبو حيان في "البحر المحيط" حيث قال وصعود الكلام إليه تعالى مجاز في الفاعل وفي المسمى إليه لأنه تعالى ليس في جهة؛ ولأن الكلم ألفاظ لا توصف بالصعود</w:t>
      </w:r>
      <w:r w:rsidR="000636C2">
        <w:rPr>
          <w:rFonts w:hint="cs"/>
          <w:rtl/>
        </w:rPr>
        <w:t>(</w:t>
      </w:r>
      <w:r w:rsidRPr="005675B2">
        <w:rPr>
          <w:rFonts w:hint="cs"/>
          <w:rtl/>
        </w:rPr>
        <w:t>الحسي</w:t>
      </w:r>
      <w:r w:rsidR="000636C2">
        <w:rPr>
          <w:rFonts w:hint="cs"/>
          <w:rtl/>
        </w:rPr>
        <w:t>)</w:t>
      </w:r>
      <w:r w:rsidRPr="005675B2">
        <w:rPr>
          <w:rFonts w:hint="cs"/>
          <w:rtl/>
        </w:rPr>
        <w:t>؛ لأن الصعود يكون من الأجرام، وإنما ذلك كناية عن القبول ووصفه بالكمال، كما يقال</w:t>
      </w:r>
      <w:r w:rsidR="000636C2">
        <w:rPr>
          <w:rFonts w:hint="cs"/>
          <w:rtl/>
        </w:rPr>
        <w:t>:</w:t>
      </w:r>
      <w:r w:rsidRPr="005675B2">
        <w:rPr>
          <w:rFonts w:hint="cs"/>
          <w:rtl/>
        </w:rPr>
        <w:t xml:space="preserve"> علا كعبه</w:t>
      </w:r>
      <w:r w:rsidR="000636C2">
        <w:rPr>
          <w:rFonts w:hint="cs"/>
          <w:rtl/>
        </w:rPr>
        <w:t>،</w:t>
      </w:r>
      <w:r w:rsidRPr="005675B2">
        <w:rPr>
          <w:rFonts w:hint="cs"/>
          <w:rtl/>
        </w:rPr>
        <w:t xml:space="preserve"> وارتفع شأنه</w:t>
      </w:r>
      <w:r w:rsidR="000636C2">
        <w:rPr>
          <w:rFonts w:hint="cs"/>
          <w:rtl/>
        </w:rPr>
        <w:t>،</w:t>
      </w:r>
      <w:r w:rsidRPr="005675B2">
        <w:rPr>
          <w:rFonts w:hint="cs"/>
          <w:rtl/>
        </w:rPr>
        <w:t xml:space="preserve"> ومنه ترافعوا إلى الحاكم ورفع الأمر إليه، وليس هناك علو في الجهة"</w:t>
      </w:r>
      <w:r w:rsidR="000636C2">
        <w:rPr>
          <w:rFonts w:hint="cs"/>
          <w:rtl/>
        </w:rPr>
        <w:t>،</w:t>
      </w:r>
      <w:r w:rsidRPr="005675B2">
        <w:rPr>
          <w:rFonts w:hint="cs"/>
          <w:rtl/>
        </w:rPr>
        <w:t xml:space="preserve"> أهـ</w:t>
      </w:r>
      <w:r w:rsidR="000636C2">
        <w:rPr>
          <w:rFonts w:hint="cs"/>
          <w:rtl/>
        </w:rPr>
        <w:t xml:space="preserve"> </w:t>
      </w:r>
      <w:r w:rsidR="000636C2">
        <w:rPr>
          <w:rFonts w:hint="cs"/>
          <w:sz w:val="24"/>
          <w:szCs w:val="24"/>
          <w:rtl/>
        </w:rPr>
        <w:t>[</w:t>
      </w:r>
      <w:r w:rsidRPr="005675B2">
        <w:rPr>
          <w:rFonts w:hint="cs"/>
          <w:bCs/>
          <w:sz w:val="24"/>
          <w:szCs w:val="24"/>
          <w:rtl/>
        </w:rPr>
        <w:t>البحر المحيط 7/303</w:t>
      </w:r>
      <w:r w:rsidR="000636C2">
        <w:rPr>
          <w:rFonts w:hint="cs"/>
          <w:sz w:val="24"/>
          <w:szCs w:val="24"/>
          <w:rtl/>
        </w:rPr>
        <w:t>]</w:t>
      </w:r>
    </w:p>
    <w:p w14:paraId="65505F17" w14:textId="0EA3AFC0" w:rsidR="009C32A0" w:rsidRPr="005675B2" w:rsidRDefault="009C32A0" w:rsidP="000636C2">
      <w:pPr>
        <w:rPr>
          <w:b/>
          <w:rtl/>
        </w:rPr>
      </w:pPr>
      <w:r w:rsidRPr="005675B2">
        <w:rPr>
          <w:rFonts w:hint="cs"/>
          <w:u w:val="single"/>
          <w:rtl/>
        </w:rPr>
        <w:t>وأما الذي تمسكوا به خامساً</w:t>
      </w:r>
      <w:r w:rsidR="000636C2">
        <w:rPr>
          <w:rFonts w:hint="cs"/>
          <w:u w:val="single"/>
          <w:rtl/>
        </w:rPr>
        <w:t>:</w:t>
      </w:r>
      <w:r w:rsidRPr="005675B2">
        <w:rPr>
          <w:rFonts w:hint="cs"/>
          <w:u w:val="single"/>
          <w:rtl/>
        </w:rPr>
        <w:t xml:space="preserve"> وهو لفظ الإنزال والتنزيل</w:t>
      </w:r>
      <w:r w:rsidR="000636C2">
        <w:rPr>
          <w:rFonts w:hint="cs"/>
          <w:rtl/>
        </w:rPr>
        <w:t>،</w:t>
      </w:r>
      <w:r w:rsidRPr="005675B2">
        <w:rPr>
          <w:rFonts w:hint="cs"/>
          <w:rtl/>
        </w:rPr>
        <w:t xml:space="preserve"> فجوابه</w:t>
      </w:r>
      <w:r w:rsidR="000636C2">
        <w:rPr>
          <w:rFonts w:hint="cs"/>
          <w:rtl/>
        </w:rPr>
        <w:t>:</w:t>
      </w:r>
      <w:r w:rsidRPr="005675B2">
        <w:rPr>
          <w:rFonts w:hint="cs"/>
          <w:rtl/>
        </w:rPr>
        <w:t xml:space="preserve"> يمتنع حمل النـزول على الهبوط في قوله</w:t>
      </w:r>
      <w:r w:rsidR="000636C2">
        <w:rPr>
          <w:rFonts w:hint="cs"/>
          <w:rtl/>
        </w:rPr>
        <w:t>:</w:t>
      </w:r>
      <w:r w:rsidRPr="005675B2">
        <w:rPr>
          <w:rFonts w:hint="cs"/>
          <w:rtl/>
        </w:rPr>
        <w:t xml:space="preserve"> {وأنزل لكم من الأنعام ثمانية أزواج} قال المفسرون كما في تفسير ابن جرير </w:t>
      </w:r>
      <w:r w:rsidR="000636C2">
        <w:rPr>
          <w:rFonts w:hint="cs"/>
          <w:rtl/>
        </w:rPr>
        <w:t>(</w:t>
      </w:r>
      <w:r w:rsidRPr="005675B2">
        <w:rPr>
          <w:rFonts w:hint="cs"/>
          <w:rtl/>
        </w:rPr>
        <w:t>13/194</w:t>
      </w:r>
      <w:r w:rsidR="000636C2">
        <w:rPr>
          <w:rFonts w:hint="cs"/>
          <w:rtl/>
        </w:rPr>
        <w:t>):</w:t>
      </w:r>
      <w:r w:rsidRPr="005675B2">
        <w:rPr>
          <w:rFonts w:hint="cs"/>
          <w:rtl/>
        </w:rPr>
        <w:t xml:space="preserve"> أي جعل لكم من الأنعام</w:t>
      </w:r>
      <w:r w:rsidR="000636C2">
        <w:rPr>
          <w:rFonts w:hint="cs"/>
          <w:rtl/>
        </w:rPr>
        <w:t>،</w:t>
      </w:r>
      <w:r w:rsidRPr="005675B2">
        <w:rPr>
          <w:rFonts w:hint="cs"/>
          <w:rtl/>
        </w:rPr>
        <w:t xml:space="preserve"> إذن معناها جعل</w:t>
      </w:r>
      <w:r w:rsidR="000636C2">
        <w:rPr>
          <w:rFonts w:hint="cs"/>
          <w:rtl/>
        </w:rPr>
        <w:t>،</w:t>
      </w:r>
      <w:r w:rsidRPr="005675B2">
        <w:rPr>
          <w:rFonts w:hint="cs"/>
          <w:rtl/>
        </w:rPr>
        <w:t xml:space="preserve"> </w:t>
      </w:r>
    </w:p>
    <w:p w14:paraId="575CD749" w14:textId="68ADDF96" w:rsidR="009C32A0" w:rsidRPr="005675B2" w:rsidRDefault="009C32A0" w:rsidP="000636C2">
      <w:pPr>
        <w:rPr>
          <w:b/>
          <w:rtl/>
        </w:rPr>
      </w:pPr>
      <w:r w:rsidRPr="005675B2">
        <w:rPr>
          <w:rFonts w:hint="cs"/>
          <w:rtl/>
        </w:rPr>
        <w:t>ومن أقوال الحنابلة في المسألة</w:t>
      </w:r>
      <w:r w:rsidR="000636C2">
        <w:rPr>
          <w:rFonts w:hint="cs"/>
          <w:rtl/>
        </w:rPr>
        <w:t>:</w:t>
      </w:r>
      <w:r w:rsidRPr="005675B2">
        <w:rPr>
          <w:rFonts w:hint="cs"/>
          <w:rtl/>
        </w:rPr>
        <w:t>[</w:t>
      </w:r>
      <w:r w:rsidR="000636C2">
        <w:rPr>
          <w:rFonts w:hint="cs"/>
          <w:rtl/>
        </w:rPr>
        <w:t>[</w:t>
      </w:r>
      <w:r w:rsidRPr="005675B2">
        <w:rPr>
          <w:rFonts w:hint="cs"/>
          <w:rtl/>
        </w:rPr>
        <w:t>قال القاضي أبو يعلى</w:t>
      </w:r>
      <w:r w:rsidR="000636C2">
        <w:rPr>
          <w:rFonts w:hint="cs"/>
          <w:rtl/>
        </w:rPr>
        <w:t>:</w:t>
      </w:r>
      <w:r w:rsidRPr="005675B2">
        <w:rPr>
          <w:rFonts w:hint="cs"/>
          <w:rtl/>
        </w:rPr>
        <w:t xml:space="preserve"> وصفه بالنزول والعلو لا على جهة الانتقال والحركة وقال ابن عقيل الحنبلي</w:t>
      </w:r>
      <w:r w:rsidR="000636C2">
        <w:rPr>
          <w:rFonts w:hint="cs"/>
          <w:rtl/>
        </w:rPr>
        <w:t>:</w:t>
      </w:r>
      <w:r w:rsidRPr="005675B2">
        <w:rPr>
          <w:rFonts w:hint="cs"/>
          <w:rtl/>
        </w:rPr>
        <w:t xml:space="preserve"> ليس بزوال ولا انتقال ولا كنزولنا</w:t>
      </w:r>
      <w:r w:rsidR="000636C2">
        <w:rPr>
          <w:rFonts w:hint="cs"/>
          <w:rtl/>
        </w:rPr>
        <w:t>]،</w:t>
      </w:r>
      <w:r w:rsidRPr="005675B2">
        <w:rPr>
          <w:rFonts w:hint="cs"/>
          <w:rtl/>
        </w:rPr>
        <w:t xml:space="preserve"> وقال السجزي</w:t>
      </w:r>
      <w:r w:rsidR="000636C2">
        <w:rPr>
          <w:rFonts w:hint="cs"/>
          <w:rtl/>
        </w:rPr>
        <w:t>:</w:t>
      </w:r>
      <w:r w:rsidRPr="005675B2">
        <w:rPr>
          <w:rFonts w:hint="cs"/>
          <w:rtl/>
        </w:rPr>
        <w:t xml:space="preserve"> لأن الله كان ولا مكان</w:t>
      </w:r>
      <w:r w:rsidR="000636C2">
        <w:rPr>
          <w:rFonts w:hint="cs"/>
          <w:rtl/>
        </w:rPr>
        <w:t>،</w:t>
      </w:r>
      <w:r w:rsidRPr="005675B2">
        <w:rPr>
          <w:rFonts w:hint="cs"/>
          <w:rtl/>
        </w:rPr>
        <w:t>ثم خلق المكان وهو كما كان قبل خلق المكان</w:t>
      </w:r>
      <w:r w:rsidR="000636C2">
        <w:rPr>
          <w:rFonts w:hint="cs"/>
          <w:rtl/>
        </w:rPr>
        <w:t>،</w:t>
      </w:r>
      <w:r w:rsidRPr="005675B2">
        <w:rPr>
          <w:rFonts w:hint="cs"/>
          <w:rtl/>
        </w:rPr>
        <w:t xml:space="preserve"> [</w:t>
      </w:r>
      <w:r w:rsidRPr="005675B2">
        <w:rPr>
          <w:rFonts w:hint="cs"/>
          <w:bCs/>
          <w:sz w:val="24"/>
          <w:szCs w:val="24"/>
          <w:rtl/>
        </w:rPr>
        <w:t>نهاية المبتدئين ص32</w:t>
      </w:r>
      <w:r w:rsidRPr="005675B2">
        <w:rPr>
          <w:rFonts w:hint="cs"/>
          <w:rtl/>
        </w:rPr>
        <w:t xml:space="preserve">]] </w:t>
      </w:r>
      <w:r w:rsidRPr="005675B2">
        <w:rPr>
          <w:rFonts w:hint="cs"/>
          <w:u w:val="single"/>
          <w:rtl/>
        </w:rPr>
        <w:t>وأما الذي تمسكوا به سادساً</w:t>
      </w:r>
      <w:r w:rsidR="000636C2">
        <w:rPr>
          <w:rFonts w:hint="cs"/>
          <w:u w:val="single"/>
          <w:rtl/>
        </w:rPr>
        <w:t>،</w:t>
      </w:r>
      <w:r w:rsidRPr="005675B2">
        <w:rPr>
          <w:rFonts w:hint="cs"/>
          <w:u w:val="single"/>
          <w:rtl/>
        </w:rPr>
        <w:t xml:space="preserve"> وهو قوله تعالى</w:t>
      </w:r>
      <w:r w:rsidR="000636C2">
        <w:rPr>
          <w:rFonts w:hint="cs"/>
          <w:u w:val="single"/>
          <w:rtl/>
        </w:rPr>
        <w:t xml:space="preserve">: </w:t>
      </w:r>
      <w:r w:rsidRPr="005675B2">
        <w:rPr>
          <w:rFonts w:hint="cs"/>
          <w:u w:val="single"/>
          <w:rtl/>
        </w:rPr>
        <w:t>» أم أمنتم من في السماء «</w:t>
      </w:r>
      <w:r w:rsidR="000636C2">
        <w:rPr>
          <w:rFonts w:hint="cs"/>
          <w:u w:val="single"/>
          <w:rtl/>
        </w:rPr>
        <w:t>؟</w:t>
      </w:r>
      <w:r w:rsidRPr="005675B2">
        <w:rPr>
          <w:rFonts w:hint="cs"/>
          <w:rtl/>
        </w:rPr>
        <w:t xml:space="preserve"> فجوابه</w:t>
      </w:r>
      <w:r w:rsidR="000636C2">
        <w:rPr>
          <w:rFonts w:hint="cs"/>
          <w:rtl/>
        </w:rPr>
        <w:t>:</w:t>
      </w:r>
      <w:r w:rsidRPr="005675B2">
        <w:rPr>
          <w:rFonts w:hint="cs"/>
          <w:rtl/>
        </w:rPr>
        <w:t xml:space="preserve"> لم يقل المولى عزوجل</w:t>
      </w:r>
      <w:r w:rsidR="000636C2">
        <w:rPr>
          <w:rFonts w:hint="cs"/>
          <w:rtl/>
        </w:rPr>
        <w:t>:</w:t>
      </w:r>
      <w:r w:rsidRPr="005675B2">
        <w:rPr>
          <w:rFonts w:hint="cs"/>
          <w:rtl/>
        </w:rPr>
        <w:t xml:space="preserve"> </w:t>
      </w:r>
      <w:r w:rsidR="000636C2">
        <w:rPr>
          <w:rFonts w:hint="cs"/>
          <w:rtl/>
        </w:rPr>
        <w:t>(</w:t>
      </w:r>
      <w:r w:rsidRPr="005675B2">
        <w:rPr>
          <w:rFonts w:hint="cs"/>
          <w:rtl/>
        </w:rPr>
        <w:t>أم أمنتم الله</w:t>
      </w:r>
      <w:r w:rsidR="000636C2">
        <w:rPr>
          <w:rFonts w:hint="cs"/>
          <w:rtl/>
        </w:rPr>
        <w:t>)</w:t>
      </w:r>
      <w:r w:rsidRPr="005675B2">
        <w:rPr>
          <w:rFonts w:hint="cs"/>
          <w:rtl/>
        </w:rPr>
        <w:t xml:space="preserve"> فمن أين أتوا بذلك</w:t>
      </w:r>
      <w:r w:rsidR="000636C2">
        <w:rPr>
          <w:rFonts w:hint="cs"/>
          <w:rtl/>
        </w:rPr>
        <w:t>؟،</w:t>
      </w:r>
      <w:r w:rsidRPr="005675B2">
        <w:rPr>
          <w:rFonts w:hint="cs"/>
          <w:rtl/>
        </w:rPr>
        <w:t xml:space="preserve"> والآية</w:t>
      </w:r>
      <w:r w:rsidR="000636C2">
        <w:rPr>
          <w:rFonts w:hint="cs"/>
          <w:rtl/>
        </w:rPr>
        <w:t xml:space="preserve"> </w:t>
      </w:r>
      <w:r w:rsidRPr="005675B2">
        <w:rPr>
          <w:rFonts w:hint="cs"/>
          <w:rtl/>
        </w:rPr>
        <w:t>يمكن إجراؤ ها</w:t>
      </w:r>
      <w:r w:rsidR="000636C2">
        <w:rPr>
          <w:rFonts w:hint="cs"/>
          <w:rtl/>
        </w:rPr>
        <w:t xml:space="preserve"> </w:t>
      </w:r>
      <w:r w:rsidRPr="005675B2">
        <w:rPr>
          <w:rFonts w:hint="cs"/>
          <w:rtl/>
        </w:rPr>
        <w:t>على ظاهرها ولما تبين أنه ليس فيها ذكر للفظ الجلالة</w:t>
      </w:r>
      <w:r w:rsidR="000636C2">
        <w:rPr>
          <w:rFonts w:hint="cs"/>
          <w:rtl/>
        </w:rPr>
        <w:t xml:space="preserve"> </w:t>
      </w:r>
      <w:r w:rsidRPr="005675B2">
        <w:rPr>
          <w:rFonts w:hint="cs"/>
          <w:rtl/>
        </w:rPr>
        <w:t>فلم لا يجوز أن يكون المراد من قوله تعالى (</w:t>
      </w:r>
      <w:r w:rsidR="000636C2">
        <w:rPr>
          <w:rFonts w:hint="cs"/>
          <w:rtl/>
        </w:rPr>
        <w:t>(</w:t>
      </w:r>
      <w:r w:rsidRPr="005675B2">
        <w:rPr>
          <w:rFonts w:hint="cs"/>
          <w:rtl/>
        </w:rPr>
        <w:t>أم أمنتم من في السماء</w:t>
      </w:r>
      <w:r w:rsidR="000636C2">
        <w:rPr>
          <w:rFonts w:hint="cs"/>
          <w:vertAlign w:val="superscript"/>
          <w:rtl/>
        </w:rPr>
        <w:t>)</w:t>
      </w:r>
      <w:r w:rsidRPr="005675B2">
        <w:rPr>
          <w:rFonts w:hint="cs"/>
          <w:vertAlign w:val="superscript"/>
          <w:rtl/>
        </w:rPr>
        <w:t>)</w:t>
      </w:r>
      <w:r w:rsidRPr="005675B2">
        <w:rPr>
          <w:rFonts w:hint="cs"/>
          <w:rtl/>
        </w:rPr>
        <w:t xml:space="preserve"> الملائكة الذين هم في السماء</w:t>
      </w:r>
      <w:r w:rsidR="000636C2">
        <w:rPr>
          <w:rFonts w:hint="cs"/>
          <w:rtl/>
        </w:rPr>
        <w:t>؟</w:t>
      </w:r>
      <w:r w:rsidRPr="005675B2">
        <w:rPr>
          <w:rFonts w:hint="cs"/>
          <w:rtl/>
        </w:rPr>
        <w:t xml:space="preserve"> لأنه ليس في الآية ما يدل على أن الذي في السماء هو الإله لا الملائكة</w:t>
      </w:r>
      <w:r w:rsidR="000636C2">
        <w:rPr>
          <w:rFonts w:hint="cs"/>
          <w:rtl/>
        </w:rPr>
        <w:t>،</w:t>
      </w:r>
      <w:r w:rsidRPr="005675B2">
        <w:rPr>
          <w:rFonts w:hint="cs"/>
          <w:rtl/>
        </w:rPr>
        <w:t xml:space="preserve"> ولا شك أن الملائكة أعداء الكفار والفساق وأن جبريل حمل أربع قرى حتى عنان السماء ثم خسف بهم الأرض</w:t>
      </w:r>
      <w:r w:rsidR="000636C2">
        <w:rPr>
          <w:rFonts w:hint="cs"/>
          <w:rtl/>
        </w:rPr>
        <w:t xml:space="preserve">، </w:t>
      </w:r>
      <w:r w:rsidRPr="005675B2">
        <w:rPr>
          <w:rFonts w:hint="cs"/>
          <w:rtl/>
        </w:rPr>
        <w:t>بل حتى لو قيل أن</w:t>
      </w:r>
      <w:r w:rsidR="000636C2">
        <w:rPr>
          <w:rFonts w:hint="cs"/>
          <w:rtl/>
        </w:rPr>
        <w:t xml:space="preserve"> </w:t>
      </w:r>
      <w:r w:rsidRPr="005675B2">
        <w:rPr>
          <w:rFonts w:hint="cs"/>
          <w:rtl/>
        </w:rPr>
        <w:t>المراد من</w:t>
      </w:r>
      <w:r w:rsidR="000636C2">
        <w:rPr>
          <w:rFonts w:hint="cs"/>
          <w:rtl/>
        </w:rPr>
        <w:t xml:space="preserve"> </w:t>
      </w:r>
      <w:r w:rsidRPr="005675B2">
        <w:rPr>
          <w:rFonts w:hint="cs"/>
          <w:rtl/>
        </w:rPr>
        <w:t>» أم أمنتم من في السماء «</w:t>
      </w:r>
      <w:r w:rsidR="000636C2">
        <w:rPr>
          <w:rFonts w:hint="cs"/>
          <w:rtl/>
        </w:rPr>
        <w:t>:</w:t>
      </w:r>
      <w:r w:rsidRPr="005675B2">
        <w:rPr>
          <w:rFonts w:hint="cs"/>
          <w:rtl/>
        </w:rPr>
        <w:t xml:space="preserve"> أي ملكه أو سلطانه</w:t>
      </w:r>
      <w:r w:rsidR="000636C2">
        <w:rPr>
          <w:rFonts w:hint="cs"/>
          <w:rtl/>
        </w:rPr>
        <w:t>؟</w:t>
      </w:r>
      <w:r w:rsidRPr="005675B2">
        <w:rPr>
          <w:rFonts w:hint="cs"/>
          <w:rtl/>
        </w:rPr>
        <w:t xml:space="preserve"> وخص السماء</w:t>
      </w:r>
      <w:r w:rsidR="000636C2">
        <w:rPr>
          <w:rFonts w:hint="cs"/>
          <w:rtl/>
        </w:rPr>
        <w:t>،</w:t>
      </w:r>
      <w:r w:rsidRPr="005675B2">
        <w:rPr>
          <w:rFonts w:hint="cs"/>
          <w:rtl/>
        </w:rPr>
        <w:t xml:space="preserve"> بالذكر لأنها أعظم من الأرض تفخيماً للشأن</w:t>
      </w:r>
      <w:r w:rsidR="000636C2">
        <w:rPr>
          <w:rFonts w:hint="cs"/>
          <w:rtl/>
        </w:rPr>
        <w:t>،</w:t>
      </w:r>
      <w:r w:rsidRPr="005675B2">
        <w:rPr>
          <w:rFonts w:hint="cs"/>
          <w:rtl/>
        </w:rPr>
        <w:t xml:space="preserve"> فإذا وردت كل هذه الاحتمالات فالاستدلال باطل</w:t>
      </w:r>
      <w:r w:rsidR="000636C2">
        <w:rPr>
          <w:rFonts w:hint="cs"/>
          <w:rtl/>
        </w:rPr>
        <w:t>،</w:t>
      </w:r>
      <w:r w:rsidRPr="005675B2">
        <w:rPr>
          <w:rFonts w:hint="cs"/>
          <w:rtl/>
        </w:rPr>
        <w:t xml:space="preserve"> ومن الآيات</w:t>
      </w:r>
      <w:r w:rsidR="000636C2">
        <w:rPr>
          <w:rFonts w:hint="cs"/>
          <w:rtl/>
        </w:rPr>
        <w:t xml:space="preserve"> </w:t>
      </w:r>
      <w:r w:rsidRPr="005675B2">
        <w:rPr>
          <w:rFonts w:hint="cs"/>
          <w:rtl/>
        </w:rPr>
        <w:t>التي يستدلون بها على حلول الله في الجهة</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وهو الله في السموات</w:t>
      </w:r>
      <w:r w:rsidRPr="005675B2">
        <w:rPr>
          <w:rFonts w:hint="cs"/>
        </w:rPr>
        <w:t xml:space="preserve"> </w:t>
      </w:r>
      <w:r w:rsidRPr="005675B2">
        <w:rPr>
          <w:rFonts w:hint="cs"/>
          <w:rtl/>
        </w:rPr>
        <w:t>وفي الأرض</w:t>
      </w:r>
      <w:r w:rsidR="000636C2">
        <w:rPr>
          <w:rFonts w:hint="cs"/>
          <w:rtl/>
        </w:rPr>
        <w:t>)</w:t>
      </w:r>
      <w:r w:rsidRPr="005675B2">
        <w:rPr>
          <w:rFonts w:hint="cs"/>
          <w:rtl/>
        </w:rPr>
        <w:t>)</w:t>
      </w:r>
      <w:r w:rsidR="000636C2">
        <w:rPr>
          <w:rFonts w:hint="cs"/>
          <w:rtl/>
        </w:rPr>
        <w:t xml:space="preserve"> </w:t>
      </w:r>
      <w:r w:rsidRPr="005675B2">
        <w:rPr>
          <w:rFonts w:hint="cs"/>
          <w:rtl/>
        </w:rPr>
        <w:t>- وهذا باطل</w:t>
      </w:r>
      <w:r w:rsidR="000636C2">
        <w:rPr>
          <w:rFonts w:hint="cs"/>
          <w:rtl/>
        </w:rPr>
        <w:t xml:space="preserve"> </w:t>
      </w:r>
      <w:r w:rsidRPr="005675B2">
        <w:rPr>
          <w:rFonts w:hint="cs"/>
          <w:rtl/>
        </w:rPr>
        <w:t>بدليل قوله تعالى (</w:t>
      </w:r>
      <w:r w:rsidR="000636C2">
        <w:rPr>
          <w:rFonts w:hint="cs"/>
          <w:rtl/>
        </w:rPr>
        <w:t>(</w:t>
      </w:r>
      <w:r w:rsidRPr="005675B2">
        <w:rPr>
          <w:rFonts w:hint="cs"/>
          <w:rtl/>
        </w:rPr>
        <w:t>وهو الذي في السماء إله وفي الأرض إله</w:t>
      </w:r>
      <w:r w:rsidR="000636C2">
        <w:rPr>
          <w:rFonts w:hint="cs"/>
          <w:rtl/>
        </w:rPr>
        <w:t>)</w:t>
      </w:r>
      <w:r w:rsidRPr="005675B2">
        <w:rPr>
          <w:rFonts w:hint="cs"/>
          <w:rtl/>
        </w:rPr>
        <w:t>) فبطل تمسكهم بكونه حالاً فيها أو عليها</w:t>
      </w:r>
      <w:r w:rsidR="000636C2">
        <w:rPr>
          <w:rFonts w:hint="cs"/>
          <w:rtl/>
        </w:rPr>
        <w:t>،</w:t>
      </w:r>
      <w:r w:rsidRPr="005675B2">
        <w:rPr>
          <w:rFonts w:hint="cs"/>
          <w:rtl/>
        </w:rPr>
        <w:t xml:space="preserve"> ولما كان كونه في الأرض ليس بمعنى الاستقرار</w:t>
      </w:r>
      <w:r w:rsidR="000636C2">
        <w:rPr>
          <w:rFonts w:hint="cs"/>
          <w:rtl/>
        </w:rPr>
        <w:t>،</w:t>
      </w:r>
      <w:r w:rsidRPr="005675B2">
        <w:rPr>
          <w:rFonts w:hint="cs"/>
          <w:rtl/>
        </w:rPr>
        <w:t xml:space="preserve"> فكذلك كونه في السماء</w:t>
      </w:r>
      <w:r w:rsidR="000636C2">
        <w:rPr>
          <w:rFonts w:hint="cs"/>
          <w:rtl/>
        </w:rPr>
        <w:t>،</w:t>
      </w:r>
      <w:r w:rsidRPr="005675B2">
        <w:rPr>
          <w:rFonts w:hint="cs"/>
          <w:rtl/>
        </w:rPr>
        <w:t xml:space="preserve"> يجب أن لا يكون بمعنى الاستقرار وإنما هو بمعنى أنه معبودمن في السموات ومن في الأرض</w:t>
      </w:r>
      <w:r w:rsidR="000636C2">
        <w:rPr>
          <w:rFonts w:hint="cs"/>
          <w:rtl/>
        </w:rPr>
        <w:t xml:space="preserve"> </w:t>
      </w:r>
      <w:r w:rsidRPr="005675B2">
        <w:rPr>
          <w:rFonts w:hint="cs"/>
          <w:rtl/>
        </w:rPr>
        <w:t>لأن هذا هو معنى الألوهية</w:t>
      </w:r>
      <w:r w:rsidR="000636C2">
        <w:rPr>
          <w:rFonts w:hint="cs"/>
          <w:rtl/>
        </w:rPr>
        <w:t>،</w:t>
      </w:r>
    </w:p>
    <w:p w14:paraId="1FBBF4DF" w14:textId="272ECB4A" w:rsidR="009C32A0" w:rsidRPr="005675B2" w:rsidRDefault="009C32A0" w:rsidP="000636C2">
      <w:pPr>
        <w:rPr>
          <w:b/>
          <w:rtl/>
        </w:rPr>
      </w:pPr>
      <w:r w:rsidRPr="005675B2">
        <w:rPr>
          <w:rFonts w:hint="cs"/>
          <w:u w:val="single"/>
          <w:rtl/>
        </w:rPr>
        <w:t>وأما الذي تمسكوا به سابعاً</w:t>
      </w:r>
      <w:r w:rsidR="000636C2">
        <w:rPr>
          <w:rFonts w:hint="cs"/>
          <w:u w:val="single"/>
          <w:rtl/>
        </w:rPr>
        <w:t>،</w:t>
      </w:r>
      <w:r w:rsidRPr="005675B2">
        <w:rPr>
          <w:rFonts w:hint="cs"/>
          <w:u w:val="single"/>
          <w:rtl/>
        </w:rPr>
        <w:t xml:space="preserve"> وهو الآيات المشتملة على الرفع</w:t>
      </w:r>
      <w:r w:rsidRPr="005675B2">
        <w:rPr>
          <w:rFonts w:hint="cs"/>
          <w:rtl/>
        </w:rPr>
        <w:t xml:space="preserve"> كقوله تعالى</w:t>
      </w:r>
      <w:r w:rsidR="000636C2">
        <w:rPr>
          <w:rFonts w:hint="cs"/>
          <w:rtl/>
        </w:rPr>
        <w:t xml:space="preserve">: </w:t>
      </w:r>
      <w:r w:rsidRPr="005675B2">
        <w:rPr>
          <w:rFonts w:hint="cs"/>
          <w:rtl/>
        </w:rPr>
        <w:t>» والعمل الصالح يرفعه «</w:t>
      </w:r>
      <w:r w:rsidR="000636C2">
        <w:rPr>
          <w:rFonts w:hint="cs"/>
          <w:rtl/>
        </w:rPr>
        <w:t xml:space="preserve"> </w:t>
      </w:r>
      <w:r w:rsidRPr="005675B2">
        <w:rPr>
          <w:rFonts w:hint="cs"/>
          <w:rtl/>
        </w:rPr>
        <w:t>ف</w:t>
      </w:r>
      <w:r w:rsidR="000636C2">
        <w:rPr>
          <w:rFonts w:hint="cs"/>
          <w:rtl/>
        </w:rPr>
        <w:t>[</w:t>
      </w:r>
      <w:r>
        <w:rPr>
          <w:rFonts w:hint="cs"/>
          <w:rtl/>
        </w:rPr>
        <w:t>الجواب</w:t>
      </w:r>
      <w:r w:rsidR="000636C2">
        <w:rPr>
          <w:rFonts w:hint="cs"/>
          <w:rtl/>
        </w:rPr>
        <w:t>]:</w:t>
      </w:r>
      <w:r w:rsidRPr="005675B2">
        <w:rPr>
          <w:rFonts w:hint="cs"/>
          <w:rtl/>
        </w:rPr>
        <w:t xml:space="preserve"> يفسره قول النبي صلى الله عليه وسلم</w:t>
      </w:r>
      <w:r w:rsidR="000636C2">
        <w:rPr>
          <w:rFonts w:hint="cs"/>
          <w:rtl/>
        </w:rPr>
        <w:t xml:space="preserve"> </w:t>
      </w:r>
      <w:r w:rsidRPr="005675B2">
        <w:rPr>
          <w:rFonts w:hint="cs"/>
          <w:rtl/>
        </w:rPr>
        <w:t>(</w:t>
      </w:r>
      <w:r w:rsidR="000636C2">
        <w:rPr>
          <w:rFonts w:hint="cs"/>
          <w:rtl/>
        </w:rPr>
        <w:t>(</w:t>
      </w:r>
      <w:r w:rsidRPr="005675B2">
        <w:rPr>
          <w:rFonts w:hint="cs"/>
          <w:rtl/>
        </w:rPr>
        <w:t>إن الله طيب لا يقبل إلا طيبا</w:t>
      </w:r>
      <w:r w:rsidR="000636C2">
        <w:rPr>
          <w:rFonts w:hint="cs"/>
          <w:rtl/>
        </w:rPr>
        <w:t>)</w:t>
      </w:r>
      <w:r w:rsidRPr="005675B2">
        <w:rPr>
          <w:rFonts w:hint="cs"/>
          <w:rtl/>
        </w:rPr>
        <w:t>)</w:t>
      </w:r>
      <w:r w:rsidR="000636C2">
        <w:rPr>
          <w:rFonts w:hint="cs"/>
          <w:rtl/>
        </w:rPr>
        <w:t xml:space="preserve"> </w:t>
      </w:r>
      <w:r w:rsidRPr="005675B2">
        <w:rPr>
          <w:rFonts w:hint="cs"/>
          <w:rtl/>
        </w:rPr>
        <w:t>فرفع العمل الصالح هو قبوله وتنميته - وليس دليل على وجود مكان يحل الله فيه</w:t>
      </w:r>
      <w:r w:rsidR="000636C2">
        <w:rPr>
          <w:rFonts w:hint="cs"/>
          <w:rtl/>
        </w:rPr>
        <w:t>،</w:t>
      </w:r>
      <w:r w:rsidRPr="005675B2">
        <w:rPr>
          <w:rFonts w:hint="cs"/>
          <w:rtl/>
        </w:rPr>
        <w:t xml:space="preserve"> </w:t>
      </w:r>
    </w:p>
    <w:p w14:paraId="08ADD154" w14:textId="5C6962CD" w:rsidR="009C32A0" w:rsidRPr="005675B2" w:rsidRDefault="009C32A0" w:rsidP="000636C2">
      <w:pPr>
        <w:rPr>
          <w:b/>
          <w:rtl/>
        </w:rPr>
      </w:pPr>
      <w:r w:rsidRPr="005675B2">
        <w:rPr>
          <w:rFonts w:hint="cs"/>
          <w:u w:val="single"/>
          <w:rtl/>
        </w:rPr>
        <w:t>وأما الذي تمسكوا به ثامناً</w:t>
      </w:r>
      <w:r w:rsidR="000636C2">
        <w:rPr>
          <w:rFonts w:hint="cs"/>
          <w:u w:val="single"/>
          <w:rtl/>
        </w:rPr>
        <w:t>،</w:t>
      </w:r>
      <w:r w:rsidRPr="005675B2">
        <w:rPr>
          <w:rFonts w:hint="cs"/>
          <w:u w:val="single"/>
          <w:rtl/>
        </w:rPr>
        <w:t xml:space="preserve"> وهو الآيات المشتملة على </w:t>
      </w:r>
      <w:r w:rsidR="000636C2">
        <w:rPr>
          <w:rFonts w:hint="cs"/>
          <w:u w:val="single"/>
          <w:rtl/>
        </w:rPr>
        <w:t>(</w:t>
      </w:r>
      <w:r w:rsidRPr="005675B2">
        <w:rPr>
          <w:rFonts w:hint="cs"/>
          <w:u w:val="single"/>
          <w:rtl/>
        </w:rPr>
        <w:t>لفظ</w:t>
      </w:r>
      <w:r w:rsidR="000636C2">
        <w:rPr>
          <w:rFonts w:hint="cs"/>
          <w:u w:val="single"/>
          <w:vertAlign w:val="superscript"/>
          <w:rtl/>
        </w:rPr>
        <w:t xml:space="preserve"> </w:t>
      </w:r>
      <w:r w:rsidRPr="005675B2">
        <w:rPr>
          <w:rFonts w:hint="cs"/>
          <w:u w:val="single"/>
          <w:rtl/>
        </w:rPr>
        <w:t>العندية</w:t>
      </w:r>
      <w:r w:rsidR="000636C2">
        <w:rPr>
          <w:rFonts w:hint="cs"/>
          <w:rtl/>
        </w:rPr>
        <w:t>:</w:t>
      </w:r>
      <w:r w:rsidRPr="005675B2">
        <w:rPr>
          <w:rFonts w:hint="cs"/>
          <w:rtl/>
        </w:rPr>
        <w:t xml:space="preserve"> </w:t>
      </w:r>
      <w:r w:rsidR="000636C2">
        <w:rPr>
          <w:rFonts w:hint="cs"/>
          <w:rtl/>
        </w:rPr>
        <w:t>(</w:t>
      </w:r>
      <w:r w:rsidRPr="005675B2">
        <w:rPr>
          <w:rFonts w:hint="cs"/>
          <w:rtl/>
        </w:rPr>
        <w:t>فلم لا يجوز أن يكون المراد بالعندية</w:t>
      </w:r>
      <w:r w:rsidR="000636C2">
        <w:rPr>
          <w:rFonts w:hint="cs"/>
          <w:rtl/>
        </w:rPr>
        <w:t>:</w:t>
      </w:r>
      <w:r w:rsidRPr="005675B2">
        <w:rPr>
          <w:rFonts w:hint="cs"/>
          <w:rtl/>
        </w:rPr>
        <w:t xml:space="preserve"> العندية بالشرف</w:t>
      </w:r>
      <w:r w:rsidR="000636C2">
        <w:rPr>
          <w:rFonts w:hint="cs"/>
          <w:vertAlign w:val="superscript"/>
          <w:rtl/>
        </w:rPr>
        <w:t xml:space="preserve"> </w:t>
      </w:r>
      <w:r w:rsidRPr="005675B2">
        <w:rPr>
          <w:rFonts w:hint="cs"/>
          <w:rtl/>
        </w:rPr>
        <w:t>والدليل عليه</w:t>
      </w:r>
      <w:r w:rsidR="000636C2">
        <w:rPr>
          <w:rFonts w:hint="cs"/>
          <w:rtl/>
        </w:rPr>
        <w:t>:</w:t>
      </w:r>
      <w:r w:rsidRPr="005675B2">
        <w:rPr>
          <w:rFonts w:hint="cs"/>
          <w:rtl/>
        </w:rPr>
        <w:t xml:space="preserve"> قوله عليه الصلاة والسلام</w:t>
      </w:r>
      <w:r w:rsidR="000636C2">
        <w:rPr>
          <w:rFonts w:hint="cs"/>
          <w:rtl/>
        </w:rPr>
        <w:t xml:space="preserve"> </w:t>
      </w:r>
      <w:r w:rsidRPr="005675B2">
        <w:rPr>
          <w:rFonts w:hint="cs"/>
          <w:rtl/>
        </w:rPr>
        <w:t>- حكاية عن رب العزة</w:t>
      </w:r>
      <w:r w:rsidR="000636C2">
        <w:rPr>
          <w:rFonts w:hint="cs"/>
          <w:rtl/>
        </w:rPr>
        <w:t xml:space="preserve"> </w:t>
      </w:r>
      <w:r w:rsidRPr="005675B2">
        <w:rPr>
          <w:rFonts w:hint="cs"/>
          <w:rtl/>
        </w:rPr>
        <w:t>-</w:t>
      </w:r>
      <w:r w:rsidR="000636C2">
        <w:rPr>
          <w:rFonts w:hint="cs"/>
          <w:rtl/>
        </w:rPr>
        <w:t xml:space="preserve">: </w:t>
      </w:r>
      <w:r w:rsidRPr="005675B2">
        <w:rPr>
          <w:rFonts w:hint="cs"/>
          <w:rtl/>
        </w:rPr>
        <w:t>» أنا عند المنكسرة قلوبهم لأجلي «</w:t>
      </w:r>
      <w:r w:rsidR="000636C2">
        <w:rPr>
          <w:rFonts w:hint="cs"/>
          <w:rtl/>
        </w:rPr>
        <w:t xml:space="preserve"> </w:t>
      </w:r>
      <w:r w:rsidRPr="005675B2">
        <w:rPr>
          <w:rFonts w:hint="cs"/>
          <w:rtl/>
        </w:rPr>
        <w:t>وقوله</w:t>
      </w:r>
      <w:r w:rsidR="000636C2">
        <w:rPr>
          <w:rFonts w:hint="cs"/>
          <w:rtl/>
        </w:rPr>
        <w:t xml:space="preserve"> </w:t>
      </w:r>
      <w:r w:rsidRPr="005675B2">
        <w:rPr>
          <w:rFonts w:hint="cs"/>
          <w:rtl/>
        </w:rPr>
        <w:t>» أنا عند ظن عبدي بي «</w:t>
      </w:r>
      <w:r w:rsidR="000636C2">
        <w:rPr>
          <w:rFonts w:hint="cs"/>
          <w:rtl/>
        </w:rPr>
        <w:t xml:space="preserve"> </w:t>
      </w:r>
      <w:r w:rsidRPr="005675B2">
        <w:rPr>
          <w:rFonts w:hint="cs"/>
          <w:rtl/>
        </w:rPr>
        <w:t>بل هذا أقوى لأن النصوص التي ذكروها تدل على أن الملائكة عند الله وهذه النصوص تدل على أن الله تعالى عند العبد</w:t>
      </w:r>
      <w:r w:rsidR="000636C2">
        <w:rPr>
          <w:rFonts w:hint="cs"/>
          <w:rtl/>
        </w:rPr>
        <w:t>،</w:t>
      </w:r>
      <w:r w:rsidRPr="005675B2">
        <w:rPr>
          <w:rFonts w:hint="cs"/>
          <w:rtl/>
        </w:rPr>
        <w:t xml:space="preserve"> وأيضاً قال</w:t>
      </w:r>
      <w:r w:rsidR="000636C2">
        <w:rPr>
          <w:rFonts w:hint="cs"/>
          <w:rtl/>
        </w:rPr>
        <w:t xml:space="preserve"> </w:t>
      </w:r>
      <w:r w:rsidRPr="005675B2">
        <w:rPr>
          <w:rFonts w:hint="cs"/>
          <w:rtl/>
        </w:rPr>
        <w:t>تعالى</w:t>
      </w:r>
      <w:r w:rsidR="000636C2">
        <w:rPr>
          <w:rFonts w:hint="cs"/>
          <w:rtl/>
        </w:rPr>
        <w:t xml:space="preserve">: </w:t>
      </w:r>
      <w:r w:rsidRPr="005675B2">
        <w:rPr>
          <w:rFonts w:hint="cs"/>
          <w:rtl/>
        </w:rPr>
        <w:t>» وإن له عندنا لزلفى «</w:t>
      </w:r>
      <w:r w:rsidR="000636C2">
        <w:rPr>
          <w:rFonts w:hint="cs"/>
          <w:rtl/>
        </w:rPr>
        <w:t xml:space="preserve"> </w:t>
      </w:r>
      <w:r w:rsidRPr="005675B2">
        <w:rPr>
          <w:rFonts w:hint="cs"/>
          <w:rtl/>
        </w:rPr>
        <w:t xml:space="preserve">وليس المراد بهذه العندية </w:t>
      </w:r>
      <w:r w:rsidR="000636C2">
        <w:rPr>
          <w:rFonts w:hint="cs"/>
          <w:rtl/>
        </w:rPr>
        <w:t>(</w:t>
      </w:r>
      <w:r w:rsidRPr="005675B2">
        <w:rPr>
          <w:rFonts w:hint="cs"/>
          <w:rtl/>
        </w:rPr>
        <w:t>العندية</w:t>
      </w:r>
      <w:r w:rsidR="000636C2">
        <w:rPr>
          <w:rFonts w:hint="cs"/>
          <w:rtl/>
        </w:rPr>
        <w:t>)</w:t>
      </w:r>
      <w:r w:rsidRPr="005675B2">
        <w:rPr>
          <w:rFonts w:hint="cs"/>
          <w:rtl/>
        </w:rPr>
        <w:t xml:space="preserve"> بالجهة فكذا ههنا</w:t>
      </w:r>
      <w:r w:rsidR="000636C2">
        <w:rPr>
          <w:rFonts w:hint="cs"/>
          <w:rtl/>
        </w:rPr>
        <w:t>،</w:t>
      </w:r>
      <w:r w:rsidRPr="005675B2">
        <w:rPr>
          <w:rFonts w:hint="cs"/>
          <w:rtl/>
        </w:rPr>
        <w:t xml:space="preserve"> فهذا هو الإشارة إلى </w:t>
      </w:r>
      <w:r w:rsidR="000636C2">
        <w:rPr>
          <w:rFonts w:hint="cs"/>
          <w:rtl/>
        </w:rPr>
        <w:t>[</w:t>
      </w:r>
      <w:r>
        <w:rPr>
          <w:rFonts w:hint="cs"/>
          <w:rtl/>
        </w:rPr>
        <w:t>الجواب</w:t>
      </w:r>
      <w:r w:rsidR="000636C2">
        <w:rPr>
          <w:rFonts w:hint="cs"/>
          <w:rtl/>
        </w:rPr>
        <w:t xml:space="preserve">] </w:t>
      </w:r>
      <w:r w:rsidRPr="005675B2">
        <w:rPr>
          <w:rFonts w:hint="cs"/>
          <w:rtl/>
        </w:rPr>
        <w:t>عن الوجوه التي تمسكوا بها من القرآن في إثبات الجهة لله تعالى</w:t>
      </w:r>
      <w:r w:rsidR="000636C2">
        <w:rPr>
          <w:rFonts w:hint="cs"/>
          <w:rtl/>
        </w:rPr>
        <w:t>،</w:t>
      </w:r>
    </w:p>
    <w:p w14:paraId="0F442D7B" w14:textId="7333E670" w:rsidR="009C32A0" w:rsidRPr="005675B2" w:rsidRDefault="009C32A0" w:rsidP="000636C2">
      <w:pPr>
        <w:rPr>
          <w:b/>
          <w:rtl/>
        </w:rPr>
      </w:pPr>
      <w:r w:rsidRPr="005675B2">
        <w:rPr>
          <w:rFonts w:hint="cs"/>
          <w:u w:val="single"/>
          <w:rtl/>
        </w:rPr>
        <w:t>وأما الأخبار التي تمسكوا بها</w:t>
      </w:r>
      <w:r w:rsidR="000636C2">
        <w:rPr>
          <w:rFonts w:hint="cs"/>
          <w:u w:val="single"/>
          <w:rtl/>
        </w:rPr>
        <w:t>،</w:t>
      </w:r>
      <w:r w:rsidRPr="005675B2">
        <w:rPr>
          <w:rFonts w:hint="cs"/>
          <w:u w:val="single"/>
          <w:rtl/>
        </w:rPr>
        <w:t xml:space="preserve"> فنقول</w:t>
      </w:r>
      <w:r w:rsidR="000636C2">
        <w:rPr>
          <w:rFonts w:hint="cs"/>
          <w:rtl/>
        </w:rPr>
        <w:t>:</w:t>
      </w:r>
    </w:p>
    <w:p w14:paraId="4591705F" w14:textId="5DBE5880" w:rsidR="009C32A0" w:rsidRPr="005675B2" w:rsidRDefault="009C32A0" w:rsidP="000636C2">
      <w:pPr>
        <w:rPr>
          <w:b/>
          <w:rtl/>
        </w:rPr>
      </w:pPr>
      <w:r w:rsidRPr="005675B2">
        <w:rPr>
          <w:rFonts w:hint="cs"/>
          <w:u w:val="single"/>
          <w:rtl/>
        </w:rPr>
        <w:t>أما الخبر الأول</w:t>
      </w:r>
      <w:r w:rsidR="000636C2">
        <w:rPr>
          <w:rFonts w:hint="cs"/>
          <w:rtl/>
        </w:rPr>
        <w:t>:</w:t>
      </w:r>
      <w:r w:rsidRPr="005675B2">
        <w:rPr>
          <w:rFonts w:hint="cs"/>
          <w:rtl/>
        </w:rPr>
        <w:t xml:space="preserve"> وهو قوله عليه السلام</w:t>
      </w:r>
      <w:r w:rsidR="000636C2">
        <w:rPr>
          <w:rFonts w:hint="cs"/>
          <w:rtl/>
        </w:rPr>
        <w:t xml:space="preserve">: </w:t>
      </w:r>
      <w:r w:rsidRPr="005675B2">
        <w:rPr>
          <w:rFonts w:hint="cs"/>
          <w:rtl/>
        </w:rPr>
        <w:t>» لما قضى الله الخلق</w:t>
      </w:r>
      <w:r w:rsidR="000636C2">
        <w:rPr>
          <w:rFonts w:hint="cs"/>
          <w:rtl/>
        </w:rPr>
        <w:t>،</w:t>
      </w:r>
      <w:r w:rsidRPr="005675B2">
        <w:rPr>
          <w:rFonts w:hint="cs"/>
          <w:rtl/>
        </w:rPr>
        <w:t xml:space="preserve"> كتب كتاباً فهو عنده فوق العرش «</w:t>
      </w:r>
      <w:r w:rsidR="000636C2">
        <w:rPr>
          <w:rFonts w:hint="cs"/>
          <w:rtl/>
        </w:rPr>
        <w:t xml:space="preserve"> </w:t>
      </w:r>
      <w:r w:rsidRPr="005675B2">
        <w:rPr>
          <w:rFonts w:hint="cs"/>
          <w:rtl/>
        </w:rPr>
        <w:t>ف</w:t>
      </w:r>
      <w:r w:rsidR="000636C2">
        <w:rPr>
          <w:rFonts w:hint="cs"/>
          <w:rtl/>
        </w:rPr>
        <w:t>[</w:t>
      </w:r>
      <w:r>
        <w:rPr>
          <w:rFonts w:hint="cs"/>
          <w:rtl/>
        </w:rPr>
        <w:t>الجواب</w:t>
      </w:r>
      <w:r w:rsidR="000636C2">
        <w:rPr>
          <w:rFonts w:hint="cs"/>
          <w:rtl/>
        </w:rPr>
        <w:t xml:space="preserve">] </w:t>
      </w:r>
      <w:r w:rsidRPr="005675B2">
        <w:rPr>
          <w:rFonts w:hint="cs"/>
          <w:rtl/>
        </w:rPr>
        <w:t>عنه بجوابين</w:t>
      </w:r>
      <w:r w:rsidR="000636C2">
        <w:rPr>
          <w:rFonts w:hint="cs"/>
          <w:rtl/>
        </w:rPr>
        <w:t>:</w:t>
      </w:r>
      <w:r w:rsidRPr="005675B2">
        <w:rPr>
          <w:rFonts w:hint="cs"/>
          <w:rtl/>
        </w:rPr>
        <w:t xml:space="preserve"> ما تقدم من لفظ</w:t>
      </w:r>
      <w:r w:rsidR="000636C2">
        <w:rPr>
          <w:rFonts w:hint="cs"/>
          <w:rtl/>
        </w:rPr>
        <w:t xml:space="preserve"> </w:t>
      </w:r>
      <w:r w:rsidRPr="005675B2">
        <w:rPr>
          <w:rFonts w:hint="cs"/>
          <w:rtl/>
        </w:rPr>
        <w:t>» عند «</w:t>
      </w:r>
      <w:r w:rsidR="000636C2">
        <w:rPr>
          <w:rFonts w:hint="cs"/>
          <w:rtl/>
        </w:rPr>
        <w:t xml:space="preserve"> </w:t>
      </w:r>
      <w:r w:rsidRPr="005675B2">
        <w:rPr>
          <w:rFonts w:hint="cs"/>
          <w:rtl/>
        </w:rPr>
        <w:t>في القرآن</w:t>
      </w:r>
      <w:r w:rsidR="000636C2">
        <w:rPr>
          <w:rFonts w:hint="cs"/>
          <w:rtl/>
        </w:rPr>
        <w:t>،</w:t>
      </w:r>
    </w:p>
    <w:p w14:paraId="7790B830" w14:textId="69107E4D" w:rsidR="009C32A0" w:rsidRPr="005675B2" w:rsidRDefault="000636C2" w:rsidP="000636C2">
      <w:pPr>
        <w:rPr>
          <w:b/>
          <w:rtl/>
        </w:rPr>
      </w:pPr>
      <w:r>
        <w:rPr>
          <w:rFonts w:hint="cs"/>
          <w:u w:val="single"/>
          <w:rtl/>
        </w:rPr>
        <w:t>[</w:t>
      </w:r>
      <w:r w:rsidR="009C32A0">
        <w:rPr>
          <w:rFonts w:hint="cs"/>
          <w:u w:val="single"/>
          <w:rtl/>
        </w:rPr>
        <w:t>الجواب</w:t>
      </w:r>
      <w:r>
        <w:rPr>
          <w:rFonts w:hint="cs"/>
          <w:u w:val="single"/>
          <w:rtl/>
        </w:rPr>
        <w:t xml:space="preserve">] </w:t>
      </w:r>
      <w:r w:rsidR="009C32A0" w:rsidRPr="005675B2">
        <w:rPr>
          <w:rFonts w:hint="cs"/>
          <w:u w:val="single"/>
          <w:rtl/>
        </w:rPr>
        <w:t>الثاني</w:t>
      </w:r>
      <w:r>
        <w:rPr>
          <w:rFonts w:hint="cs"/>
          <w:rtl/>
        </w:rPr>
        <w:t>:</w:t>
      </w:r>
      <w:r w:rsidR="009C32A0" w:rsidRPr="005675B2">
        <w:rPr>
          <w:rFonts w:hint="cs"/>
          <w:rtl/>
        </w:rPr>
        <w:t xml:space="preserve"> أنه قد ورد في "الصحيحين" قول النبي </w:t>
      </w:r>
      <w:r w:rsidR="009C32A0" w:rsidRPr="005675B2">
        <w:rPr>
          <w:rtl/>
        </w:rPr>
        <w:t>صلى الله عليه وسلم</w:t>
      </w:r>
      <w:r>
        <w:rPr>
          <w:rFonts w:hint="cs"/>
          <w:rtl/>
        </w:rPr>
        <w:t>:</w:t>
      </w:r>
      <w:r w:rsidR="009C32A0" w:rsidRPr="005675B2">
        <w:rPr>
          <w:rFonts w:hint="cs"/>
          <w:rtl/>
        </w:rPr>
        <w:t xml:space="preserve"> "إن الله كتب كتاباً لما قضى الخلق أن رحمته سبحانه سبقت غضبه فهو عنده فوق العرش" البخاري </w:t>
      </w:r>
      <w:r>
        <w:rPr>
          <w:rFonts w:hint="cs"/>
          <w:rtl/>
        </w:rPr>
        <w:t>(</w:t>
      </w:r>
      <w:r w:rsidR="009C32A0" w:rsidRPr="005675B2">
        <w:rPr>
          <w:rFonts w:hint="cs"/>
          <w:rtl/>
        </w:rPr>
        <w:t>13/522</w:t>
      </w:r>
      <w:r>
        <w:rPr>
          <w:rFonts w:hint="cs"/>
          <w:rtl/>
        </w:rPr>
        <w:t>)</w:t>
      </w:r>
      <w:r w:rsidR="009C32A0" w:rsidRPr="005675B2">
        <w:rPr>
          <w:rFonts w:hint="cs"/>
          <w:rtl/>
        </w:rPr>
        <w:t xml:space="preserve"> ومسلم </w:t>
      </w:r>
      <w:r>
        <w:rPr>
          <w:rFonts w:hint="cs"/>
          <w:rtl/>
        </w:rPr>
        <w:t>(</w:t>
      </w:r>
      <w:r w:rsidR="009C32A0" w:rsidRPr="005675B2">
        <w:rPr>
          <w:rFonts w:hint="cs"/>
          <w:rtl/>
        </w:rPr>
        <w:t>4/2107</w:t>
      </w:r>
      <w:r>
        <w:rPr>
          <w:rFonts w:hint="cs"/>
          <w:rtl/>
        </w:rPr>
        <w:t xml:space="preserve">)، </w:t>
      </w:r>
      <w:r w:rsidR="009C32A0" w:rsidRPr="005675B2">
        <w:rPr>
          <w:rFonts w:hint="cs"/>
          <w:rtl/>
        </w:rPr>
        <w:t xml:space="preserve">قال الحافظ في "الفتح" </w:t>
      </w:r>
      <w:r>
        <w:rPr>
          <w:rFonts w:hint="cs"/>
          <w:rtl/>
        </w:rPr>
        <w:t>(</w:t>
      </w:r>
      <w:r w:rsidR="009C32A0" w:rsidRPr="005675B2">
        <w:rPr>
          <w:rFonts w:hint="cs"/>
          <w:rtl/>
        </w:rPr>
        <w:t>13/526</w:t>
      </w:r>
      <w:r>
        <w:rPr>
          <w:rFonts w:hint="cs"/>
          <w:rtl/>
        </w:rPr>
        <w:t>):</w:t>
      </w:r>
      <w:r w:rsidR="009C32A0" w:rsidRPr="005675B2">
        <w:rPr>
          <w:rFonts w:hint="cs"/>
          <w:rtl/>
        </w:rPr>
        <w:t xml:space="preserve"> والغرض منه الإشارة إلى أن اللوح المحفوظ فوق العرش</w:t>
      </w:r>
      <w:r>
        <w:rPr>
          <w:rFonts w:hint="cs"/>
          <w:rtl/>
        </w:rPr>
        <w:t>،</w:t>
      </w:r>
      <w:r w:rsidR="009C32A0" w:rsidRPr="005675B2">
        <w:rPr>
          <w:rFonts w:hint="cs"/>
          <w:rtl/>
        </w:rPr>
        <w:t xml:space="preserve"> أهـ</w:t>
      </w:r>
      <w:r>
        <w:rPr>
          <w:rFonts w:hint="cs"/>
          <w:rtl/>
        </w:rPr>
        <w:t>،</w:t>
      </w:r>
      <w:r w:rsidR="009C32A0" w:rsidRPr="005675B2">
        <w:rPr>
          <w:rFonts w:hint="cs"/>
          <w:rtl/>
        </w:rPr>
        <w:t xml:space="preserve"> وعلى هذا</w:t>
      </w:r>
      <w:r>
        <w:rPr>
          <w:rFonts w:hint="cs"/>
          <w:rtl/>
        </w:rPr>
        <w:t xml:space="preserve"> </w:t>
      </w:r>
      <w:r w:rsidR="009C32A0" w:rsidRPr="005675B2">
        <w:rPr>
          <w:rFonts w:hint="cs"/>
          <w:rtl/>
        </w:rPr>
        <w:t>فتبطل دعوى أنه لا وجود لشيء فوق العرش سوى الله</w:t>
      </w:r>
      <w:r>
        <w:rPr>
          <w:rFonts w:hint="cs"/>
          <w:rtl/>
        </w:rPr>
        <w:t>،</w:t>
      </w:r>
    </w:p>
    <w:p w14:paraId="05F6F4D0" w14:textId="44C31C66" w:rsidR="009C32A0" w:rsidRPr="005675B2" w:rsidRDefault="000636C2" w:rsidP="000636C2">
      <w:pPr>
        <w:rPr>
          <w:b/>
          <w:rtl/>
        </w:rPr>
      </w:pPr>
      <w:r>
        <w:rPr>
          <w:rFonts w:hint="cs"/>
          <w:rtl/>
        </w:rPr>
        <w:t>(</w:t>
      </w:r>
      <w:r w:rsidR="009C32A0">
        <w:rPr>
          <w:rFonts w:hint="cs"/>
          <w:rtl/>
        </w:rPr>
        <w:t>تنبيه</w:t>
      </w:r>
      <w:r>
        <w:rPr>
          <w:rFonts w:hint="cs"/>
          <w:rtl/>
        </w:rPr>
        <w:t>):</w:t>
      </w:r>
      <w:r w:rsidR="009C32A0" w:rsidRPr="005675B2">
        <w:rPr>
          <w:rFonts w:hint="cs"/>
          <w:rtl/>
        </w:rPr>
        <w:t xml:space="preserve"> بعض الطلبة هداه الله تأول ذلك بأنه كتب ذلك على نفس العرش</w:t>
      </w:r>
      <w:r>
        <w:rPr>
          <w:rFonts w:hint="cs"/>
          <w:rtl/>
        </w:rPr>
        <w:t>،</w:t>
      </w:r>
      <w:r w:rsidR="009C32A0" w:rsidRPr="005675B2">
        <w:rPr>
          <w:rFonts w:hint="cs"/>
          <w:rtl/>
        </w:rPr>
        <w:t xml:space="preserve"> وهذا باطل لأن الرواية صريحة في كونه ليس على نفس العرش بل كتب </w:t>
      </w:r>
      <w:r w:rsidR="009C32A0" w:rsidRPr="005675B2">
        <w:rPr>
          <w:rFonts w:hint="cs"/>
          <w:u w:val="single"/>
          <w:rtl/>
        </w:rPr>
        <w:t>كتاباً</w:t>
      </w:r>
      <w:r w:rsidR="009C32A0" w:rsidRPr="005675B2">
        <w:rPr>
          <w:rFonts w:hint="cs"/>
          <w:rtl/>
        </w:rPr>
        <w:t xml:space="preserve"> فبطل تأوله</w:t>
      </w:r>
      <w:r>
        <w:rPr>
          <w:rFonts w:hint="cs"/>
          <w:rtl/>
        </w:rPr>
        <w:t>،</w:t>
      </w:r>
      <w:r w:rsidR="009C32A0" w:rsidRPr="005675B2">
        <w:rPr>
          <w:rFonts w:hint="cs"/>
          <w:rtl/>
        </w:rPr>
        <w:t xml:space="preserve"> </w:t>
      </w:r>
      <w:r w:rsidR="009C32A0" w:rsidRPr="005675B2">
        <w:rPr>
          <w:rFonts w:hint="cs"/>
          <w:u w:val="single"/>
          <w:rtl/>
        </w:rPr>
        <w:t>وأما الخبر الثاني</w:t>
      </w:r>
      <w:r>
        <w:rPr>
          <w:rFonts w:hint="cs"/>
          <w:rtl/>
        </w:rPr>
        <w:t>:</w:t>
      </w:r>
      <w:r w:rsidR="009C32A0" w:rsidRPr="005675B2">
        <w:rPr>
          <w:rFonts w:hint="cs"/>
          <w:rtl/>
        </w:rPr>
        <w:t>وهو حديث الجارية</w:t>
      </w:r>
      <w:r>
        <w:rPr>
          <w:rFonts w:hint="cs"/>
          <w:rtl/>
        </w:rPr>
        <w:t>،</w:t>
      </w:r>
      <w:r w:rsidR="009C32A0" w:rsidRPr="005675B2">
        <w:rPr>
          <w:rFonts w:hint="cs"/>
          <w:rtl/>
        </w:rPr>
        <w:t xml:space="preserve"> وجوابه</w:t>
      </w:r>
      <w:r>
        <w:rPr>
          <w:rFonts w:hint="cs"/>
          <w:rtl/>
        </w:rPr>
        <w:t>:</w:t>
      </w:r>
      <w:r w:rsidR="009C32A0" w:rsidRPr="005675B2">
        <w:rPr>
          <w:rFonts w:hint="cs"/>
          <w:rtl/>
        </w:rPr>
        <w:t xml:space="preserve"> بجوابين</w:t>
      </w:r>
      <w:r>
        <w:rPr>
          <w:rFonts w:hint="cs"/>
          <w:rtl/>
        </w:rPr>
        <w:t xml:space="preserve">: </w:t>
      </w:r>
    </w:p>
    <w:p w14:paraId="6E1A8E46" w14:textId="0157AFC5"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إن لفظ</w:t>
      </w:r>
      <w:r w:rsidR="000636C2">
        <w:rPr>
          <w:rFonts w:hint="cs"/>
          <w:rtl/>
        </w:rPr>
        <w:t xml:space="preserve"> (</w:t>
      </w:r>
      <w:r w:rsidRPr="005675B2">
        <w:rPr>
          <w:rFonts w:hint="cs"/>
          <w:rtl/>
        </w:rPr>
        <w:t>أين</w:t>
      </w:r>
      <w:r w:rsidR="000636C2">
        <w:rPr>
          <w:rFonts w:hint="cs"/>
          <w:rtl/>
        </w:rPr>
        <w:t xml:space="preserve">)؟ </w:t>
      </w:r>
      <w:r w:rsidRPr="005675B2">
        <w:rPr>
          <w:rFonts w:hint="cs"/>
          <w:rtl/>
        </w:rPr>
        <w:t>كما يجعل سؤالاً عن المكان فقد يجعل سؤالاً عن المنزلة والدرجة</w:t>
      </w:r>
      <w:r w:rsidR="000636C2">
        <w:rPr>
          <w:rFonts w:hint="cs"/>
          <w:rtl/>
        </w:rPr>
        <w:t xml:space="preserve"> </w:t>
      </w:r>
      <w:r w:rsidRPr="005675B2">
        <w:rPr>
          <w:rFonts w:hint="cs"/>
          <w:rtl/>
        </w:rPr>
        <w:t>يقال</w:t>
      </w:r>
      <w:r w:rsidR="000636C2">
        <w:rPr>
          <w:rFonts w:hint="cs"/>
          <w:rtl/>
        </w:rPr>
        <w:t>:</w:t>
      </w:r>
      <w:r w:rsidRPr="005675B2">
        <w:rPr>
          <w:rFonts w:hint="cs"/>
          <w:rtl/>
        </w:rPr>
        <w:t xml:space="preserve"> أين فلان من فلان</w:t>
      </w:r>
      <w:r w:rsidR="000636C2">
        <w:rPr>
          <w:rFonts w:hint="cs"/>
          <w:rtl/>
        </w:rPr>
        <w:t>؟</w:t>
      </w:r>
      <w:r w:rsidRPr="005675B2">
        <w:rPr>
          <w:rFonts w:hint="cs"/>
          <w:rtl/>
        </w:rPr>
        <w:t xml:space="preserve"> فلعل السؤال كان عن المنزلة</w:t>
      </w:r>
      <w:r w:rsidR="000636C2">
        <w:rPr>
          <w:rFonts w:hint="cs"/>
          <w:rtl/>
        </w:rPr>
        <w:t>،</w:t>
      </w:r>
      <w:r w:rsidRPr="005675B2">
        <w:rPr>
          <w:rFonts w:hint="cs"/>
          <w:rtl/>
        </w:rPr>
        <w:t xml:space="preserve"> وإشارتها إلى السماء</w:t>
      </w:r>
      <w:r w:rsidR="000636C2">
        <w:rPr>
          <w:rFonts w:hint="cs"/>
          <w:rtl/>
        </w:rPr>
        <w:t>،</w:t>
      </w:r>
      <w:r w:rsidRPr="005675B2">
        <w:rPr>
          <w:rFonts w:hint="cs"/>
          <w:rtl/>
        </w:rPr>
        <w:t xml:space="preserve"> أي هو رفيع القدر جداً</w:t>
      </w:r>
      <w:r w:rsidR="000636C2">
        <w:rPr>
          <w:rFonts w:hint="cs"/>
          <w:rtl/>
        </w:rPr>
        <w:t>،</w:t>
      </w:r>
      <w:r w:rsidRPr="005675B2">
        <w:rPr>
          <w:rFonts w:hint="cs"/>
          <w:rtl/>
        </w:rPr>
        <w:t xml:space="preserve"> ومن ذلك قول العرب في المدح</w:t>
      </w:r>
      <w:r w:rsidR="000636C2">
        <w:rPr>
          <w:rFonts w:hint="cs"/>
          <w:rtl/>
        </w:rPr>
        <w:t>:</w:t>
      </w:r>
      <w:r w:rsidRPr="005675B2">
        <w:rPr>
          <w:rFonts w:hint="cs"/>
          <w:rtl/>
        </w:rPr>
        <w:t xml:space="preserve"> فلان على رأسي</w:t>
      </w:r>
      <w:r w:rsidR="000636C2">
        <w:rPr>
          <w:rFonts w:hint="cs"/>
          <w:rtl/>
        </w:rPr>
        <w:t>،</w:t>
      </w:r>
      <w:r w:rsidRPr="005675B2">
        <w:rPr>
          <w:rFonts w:hint="cs"/>
          <w:rtl/>
        </w:rPr>
        <w:t xml:space="preserve"> يقصدون مكانة ومنزلة لا مكاناً واستقراراً</w:t>
      </w:r>
      <w:r w:rsidR="000636C2">
        <w:rPr>
          <w:rFonts w:hint="cs"/>
          <w:rtl/>
        </w:rPr>
        <w:t>،</w:t>
      </w:r>
      <w:r w:rsidRPr="005675B2">
        <w:rPr>
          <w:rFonts w:hint="cs"/>
          <w:rtl/>
        </w:rPr>
        <w:t xml:space="preserve"> فالسماء تأتي بمعنى الجرم المعهود</w:t>
      </w:r>
      <w:r w:rsidR="000636C2">
        <w:rPr>
          <w:rFonts w:hint="cs"/>
          <w:rtl/>
        </w:rPr>
        <w:t>،</w:t>
      </w:r>
      <w:r w:rsidRPr="005675B2">
        <w:rPr>
          <w:rFonts w:hint="cs"/>
          <w:rtl/>
        </w:rPr>
        <w:t>وتأتي بمعنى العلو المعنوي ومنه قول عنترة - كما في</w:t>
      </w:r>
      <w:r w:rsidRPr="005675B2">
        <w:rPr>
          <w:rFonts w:hint="cs"/>
        </w:rPr>
        <w:t xml:space="preserve"> </w:t>
      </w:r>
      <w:r w:rsidRPr="005675B2">
        <w:rPr>
          <w:rFonts w:hint="cs"/>
          <w:rtl/>
        </w:rPr>
        <w:t xml:space="preserve">ديوانه في شرحه للتبريزي ص </w:t>
      </w:r>
      <w:r w:rsidR="000636C2">
        <w:rPr>
          <w:rFonts w:hint="cs"/>
          <w:rtl/>
        </w:rPr>
        <w:t>(</w:t>
      </w:r>
      <w:r w:rsidRPr="005675B2">
        <w:rPr>
          <w:rFonts w:hint="cs"/>
          <w:rtl/>
        </w:rPr>
        <w:t>35</w:t>
      </w:r>
      <w:r w:rsidR="000636C2">
        <w:rPr>
          <w:rFonts w:hint="cs"/>
          <w:rtl/>
        </w:rPr>
        <w:t>)</w:t>
      </w:r>
      <w:r w:rsidRPr="005675B2">
        <w:rPr>
          <w:rFonts w:hint="cs"/>
          <w:rtl/>
        </w:rPr>
        <w:t xml:space="preserve"> -</w:t>
      </w:r>
      <w:r w:rsidR="000636C2">
        <w:rPr>
          <w:rFonts w:hint="cs"/>
          <w:rtl/>
        </w:rPr>
        <w:t xml:space="preserve"> </w:t>
      </w:r>
      <w:r w:rsidRPr="005675B2">
        <w:rPr>
          <w:rFonts w:hint="cs"/>
          <w:rtl/>
        </w:rPr>
        <w:t>مقامكم في جو السماء مكانه</w:t>
      </w:r>
      <w:r w:rsidR="000636C2">
        <w:rPr>
          <w:rFonts w:hint="cs"/>
          <w:rtl/>
        </w:rPr>
        <w:t xml:space="preserve"> </w:t>
      </w:r>
      <w:r w:rsidRPr="005675B2">
        <w:rPr>
          <w:rFonts w:hint="cs"/>
          <w:rtl/>
        </w:rPr>
        <w:t xml:space="preserve">وباعي قصييرعن نوال الكواكب </w:t>
      </w:r>
    </w:p>
    <w:p w14:paraId="0BD114E9" w14:textId="037375C9"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w:t>
      </w:r>
      <w:r w:rsidRPr="005675B2">
        <w:rPr>
          <w:rFonts w:hint="cs"/>
          <w:rtl/>
        </w:rPr>
        <w:t xml:space="preserve"> أن لفظة </w:t>
      </w:r>
      <w:r w:rsidR="000636C2">
        <w:rPr>
          <w:rFonts w:hint="cs"/>
          <w:rtl/>
        </w:rPr>
        <w:t>(</w:t>
      </w:r>
      <w:r w:rsidRPr="005675B2">
        <w:rPr>
          <w:rFonts w:hint="cs"/>
          <w:rtl/>
        </w:rPr>
        <w:t>"أين الله" قالت في السماء</w:t>
      </w:r>
      <w:r w:rsidR="000636C2">
        <w:rPr>
          <w:rFonts w:hint="cs"/>
          <w:rtl/>
        </w:rPr>
        <w:t>)</w:t>
      </w:r>
      <w:r w:rsidRPr="005675B2">
        <w:rPr>
          <w:rFonts w:hint="cs"/>
          <w:rtl/>
        </w:rPr>
        <w:t xml:space="preserve"> المحفوظ خلافها قرره جماعة ومنهم البزار في المسند </w:t>
      </w:r>
      <w:r w:rsidR="000636C2">
        <w:rPr>
          <w:rFonts w:hint="cs"/>
          <w:rtl/>
        </w:rPr>
        <w:t>(</w:t>
      </w:r>
      <w:r w:rsidRPr="005675B2">
        <w:rPr>
          <w:rFonts w:hint="cs"/>
          <w:rtl/>
        </w:rPr>
        <w:t>1/14</w:t>
      </w:r>
      <w:r w:rsidR="000636C2">
        <w:rPr>
          <w:rFonts w:hint="cs"/>
          <w:rtl/>
        </w:rPr>
        <w:t>)</w:t>
      </w:r>
      <w:r w:rsidRPr="005675B2">
        <w:rPr>
          <w:rFonts w:hint="cs"/>
          <w:rtl/>
        </w:rPr>
        <w:t xml:space="preserve"> كما في "الكشف"</w:t>
      </w:r>
      <w:r w:rsidR="000636C2">
        <w:rPr>
          <w:rFonts w:hint="cs"/>
          <w:rtl/>
        </w:rPr>
        <w:t>،</w:t>
      </w:r>
      <w:r w:rsidRPr="005675B2">
        <w:rPr>
          <w:rFonts w:hint="cs"/>
          <w:rtl/>
        </w:rPr>
        <w:t xml:space="preserve"> والحافظ كما في "التلخيص الحبير" </w:t>
      </w:r>
      <w:r w:rsidR="000636C2">
        <w:rPr>
          <w:rFonts w:hint="cs"/>
          <w:rtl/>
        </w:rPr>
        <w:t>(</w:t>
      </w:r>
      <w:r w:rsidRPr="005675B2">
        <w:rPr>
          <w:rFonts w:hint="cs"/>
          <w:rtl/>
        </w:rPr>
        <w:t>3/223</w:t>
      </w:r>
      <w:r w:rsidR="000636C2">
        <w:rPr>
          <w:rFonts w:hint="cs"/>
          <w:rtl/>
        </w:rPr>
        <w:t>)</w:t>
      </w:r>
      <w:r w:rsidRPr="005675B2">
        <w:rPr>
          <w:rFonts w:hint="cs"/>
          <w:rtl/>
        </w:rPr>
        <w:t>، ذلك أن لفظة "</w:t>
      </w:r>
      <w:r w:rsidR="000636C2">
        <w:rPr>
          <w:rFonts w:hint="cs"/>
          <w:rtl/>
        </w:rPr>
        <w:t>(</w:t>
      </w:r>
      <w:r w:rsidRPr="005675B2">
        <w:rPr>
          <w:rFonts w:hint="cs"/>
          <w:rtl/>
        </w:rPr>
        <w:t>أين الله</w:t>
      </w:r>
      <w:r w:rsidR="000636C2">
        <w:rPr>
          <w:rFonts w:hint="cs"/>
          <w:rtl/>
        </w:rPr>
        <w:t>)</w:t>
      </w:r>
      <w:r w:rsidRPr="005675B2">
        <w:rPr>
          <w:rFonts w:hint="cs"/>
          <w:rtl/>
        </w:rPr>
        <w:t xml:space="preserve"> قالت في السماء" في سندها هلال بن علي بن أسامة</w:t>
      </w:r>
      <w:r w:rsidR="000636C2">
        <w:rPr>
          <w:rFonts w:hint="cs"/>
          <w:rtl/>
        </w:rPr>
        <w:t>،</w:t>
      </w:r>
      <w:r w:rsidRPr="005675B2">
        <w:rPr>
          <w:rFonts w:hint="cs"/>
          <w:rtl/>
        </w:rPr>
        <w:t xml:space="preserve"> وقد ضعفه أبو حاتم الرازي كما في "تهذيب الكمال" للمزي، ولو قيل بعدم ضعفه فهناك من روى القصة بغير لفظة أين</w:t>
      </w:r>
      <w:r w:rsidR="000636C2">
        <w:rPr>
          <w:rFonts w:hint="cs"/>
          <w:rtl/>
        </w:rPr>
        <w:t>؟</w:t>
      </w:r>
      <w:r w:rsidRPr="005675B2">
        <w:rPr>
          <w:rFonts w:hint="cs"/>
          <w:rtl/>
        </w:rPr>
        <w:t xml:space="preserve">، مع كونه أوثق منه وذلك هو ما خرجه عبد الرزاق في مصنفه </w:t>
      </w:r>
      <w:r w:rsidR="000636C2">
        <w:rPr>
          <w:rFonts w:hint="cs"/>
          <w:rtl/>
        </w:rPr>
        <w:t>(</w:t>
      </w:r>
      <w:r w:rsidRPr="005675B2">
        <w:rPr>
          <w:rFonts w:hint="cs"/>
          <w:rtl/>
        </w:rPr>
        <w:t>9/175</w:t>
      </w:r>
      <w:r w:rsidR="000636C2">
        <w:rPr>
          <w:rFonts w:hint="cs"/>
          <w:rtl/>
        </w:rPr>
        <w:t>)</w:t>
      </w:r>
      <w:r w:rsidRPr="005675B2">
        <w:rPr>
          <w:rFonts w:hint="cs"/>
          <w:rtl/>
        </w:rPr>
        <w:t xml:space="preserve"> عن ابن جريج أنه قال أخبرني عطاء فذكر الحديث وفيه</w:t>
      </w:r>
      <w:r w:rsidR="000636C2">
        <w:rPr>
          <w:rFonts w:hint="cs"/>
          <w:rtl/>
        </w:rPr>
        <w:t>:</w:t>
      </w:r>
      <w:r w:rsidRPr="005675B2">
        <w:rPr>
          <w:rFonts w:hint="cs"/>
          <w:rtl/>
        </w:rPr>
        <w:t xml:space="preserve"> ائتني بها فسألها النبي </w:t>
      </w:r>
      <w:r w:rsidRPr="005675B2">
        <w:rPr>
          <w:rtl/>
        </w:rPr>
        <w:t>صلى الله عليه وسلم</w:t>
      </w:r>
      <w:r w:rsidRPr="005675B2">
        <w:rPr>
          <w:rFonts w:hint="cs"/>
          <w:rtl/>
        </w:rPr>
        <w:t xml:space="preserve"> "أتشهدين أن لا إله إلا الله</w:t>
      </w:r>
      <w:r w:rsidR="000636C2">
        <w:rPr>
          <w:rFonts w:hint="cs"/>
          <w:rtl/>
        </w:rPr>
        <w:t>؟</w:t>
      </w:r>
      <w:r w:rsidRPr="005675B2">
        <w:rPr>
          <w:rFonts w:hint="cs"/>
          <w:rtl/>
        </w:rPr>
        <w:t>" قالت نعم</w:t>
      </w:r>
      <w:r w:rsidR="000636C2">
        <w:rPr>
          <w:rFonts w:hint="cs"/>
          <w:rtl/>
        </w:rPr>
        <w:t>،</w:t>
      </w:r>
      <w:r w:rsidRPr="005675B2">
        <w:rPr>
          <w:rFonts w:hint="cs"/>
          <w:rtl/>
        </w:rPr>
        <w:t xml:space="preserve"> وخرج عبد الرزاق في مصنفه </w:t>
      </w:r>
      <w:r w:rsidR="000636C2">
        <w:rPr>
          <w:rFonts w:hint="cs"/>
          <w:rtl/>
        </w:rPr>
        <w:t>(</w:t>
      </w:r>
      <w:r w:rsidRPr="005675B2">
        <w:rPr>
          <w:rFonts w:hint="cs"/>
          <w:rtl/>
        </w:rPr>
        <w:t>9/175</w:t>
      </w:r>
      <w:r w:rsidR="000636C2">
        <w:rPr>
          <w:rFonts w:hint="cs"/>
          <w:rtl/>
        </w:rPr>
        <w:t>)</w:t>
      </w:r>
      <w:r w:rsidRPr="005675B2">
        <w:rPr>
          <w:rFonts w:hint="cs"/>
          <w:rtl/>
        </w:rPr>
        <w:t xml:space="preserve">، ومالك في الموطأ </w:t>
      </w:r>
      <w:r w:rsidR="000636C2">
        <w:rPr>
          <w:rFonts w:hint="cs"/>
          <w:rtl/>
        </w:rPr>
        <w:t>(</w:t>
      </w:r>
      <w:r w:rsidRPr="005675B2">
        <w:rPr>
          <w:rFonts w:hint="cs"/>
          <w:rtl/>
        </w:rPr>
        <w:t>ص777</w:t>
      </w:r>
      <w:r w:rsidR="000636C2">
        <w:rPr>
          <w:rFonts w:hint="cs"/>
          <w:rtl/>
        </w:rPr>
        <w:t>)</w:t>
      </w:r>
      <w:r w:rsidRPr="005675B2">
        <w:rPr>
          <w:rFonts w:hint="cs"/>
          <w:rtl/>
        </w:rPr>
        <w:t xml:space="preserve"> وأحمد في المسند </w:t>
      </w:r>
      <w:r w:rsidR="000636C2">
        <w:rPr>
          <w:rFonts w:hint="cs"/>
          <w:rtl/>
        </w:rPr>
        <w:t>(</w:t>
      </w:r>
      <w:r w:rsidRPr="005675B2">
        <w:rPr>
          <w:rFonts w:hint="cs"/>
          <w:rtl/>
        </w:rPr>
        <w:t>3/451</w:t>
      </w:r>
      <w:r w:rsidR="000636C2">
        <w:rPr>
          <w:rFonts w:hint="cs"/>
          <w:rtl/>
        </w:rPr>
        <w:t>)</w:t>
      </w:r>
      <w:r w:rsidRPr="005675B2">
        <w:rPr>
          <w:rFonts w:hint="cs"/>
          <w:rtl/>
        </w:rPr>
        <w:t xml:space="preserve"> عن ابن شهاب - أي الزهري - عن عبيد الله بن عبد الله بن عتبة أن رجلاً من الأنصار جاء إلى رسول الله </w:t>
      </w:r>
      <w:r w:rsidRPr="005675B2">
        <w:rPr>
          <w:rtl/>
        </w:rPr>
        <w:t>صلى الله عليه وسلم</w:t>
      </w:r>
      <w:r w:rsidRPr="005675B2">
        <w:rPr>
          <w:rFonts w:hint="cs"/>
          <w:rtl/>
        </w:rPr>
        <w:t xml:space="preserve"> .. الحديث بمثل لفظ عطاء</w:t>
      </w:r>
      <w:r w:rsidR="000636C2">
        <w:rPr>
          <w:rFonts w:hint="cs"/>
          <w:rtl/>
        </w:rPr>
        <w:t>،</w:t>
      </w:r>
      <w:r w:rsidRPr="005675B2">
        <w:rPr>
          <w:rFonts w:hint="cs"/>
          <w:rtl/>
        </w:rPr>
        <w:t xml:space="preserve"> قال ابن كثير في "التفسير" </w:t>
      </w:r>
      <w:r w:rsidR="000636C2">
        <w:rPr>
          <w:rFonts w:hint="cs"/>
          <w:rtl/>
        </w:rPr>
        <w:t>(</w:t>
      </w:r>
      <w:r w:rsidRPr="005675B2">
        <w:rPr>
          <w:rFonts w:hint="cs"/>
          <w:rtl/>
        </w:rPr>
        <w:t>1/547</w:t>
      </w:r>
      <w:r w:rsidR="000636C2">
        <w:rPr>
          <w:rFonts w:hint="cs"/>
          <w:rtl/>
        </w:rPr>
        <w:t>):</w:t>
      </w:r>
      <w:r w:rsidRPr="005675B2">
        <w:rPr>
          <w:rFonts w:hint="cs"/>
          <w:rtl/>
        </w:rPr>
        <w:t xml:space="preserve"> إسناده صحيح وجهالة الصحابي لا تضر أهـ</w:t>
      </w:r>
      <w:r w:rsidR="000636C2">
        <w:rPr>
          <w:rFonts w:hint="cs"/>
          <w:rtl/>
        </w:rPr>
        <w:t>،</w:t>
      </w:r>
      <w:r w:rsidRPr="005675B2">
        <w:rPr>
          <w:rFonts w:hint="cs"/>
          <w:rtl/>
        </w:rPr>
        <w:t xml:space="preserve"> وحمل السند على الاتصال جماعة ومنهم ابن عبد البر في التمهيد </w:t>
      </w:r>
      <w:r w:rsidR="000636C2">
        <w:rPr>
          <w:rFonts w:hint="cs"/>
          <w:rtl/>
        </w:rPr>
        <w:t>(</w:t>
      </w:r>
      <w:r w:rsidRPr="005675B2">
        <w:rPr>
          <w:rFonts w:hint="cs"/>
          <w:rtl/>
        </w:rPr>
        <w:t>9/114</w:t>
      </w:r>
      <w:r w:rsidR="000636C2">
        <w:rPr>
          <w:rFonts w:hint="cs"/>
          <w:rtl/>
        </w:rPr>
        <w:t>)</w:t>
      </w:r>
      <w:r w:rsidRPr="005675B2">
        <w:rPr>
          <w:rFonts w:hint="cs"/>
          <w:rtl/>
        </w:rPr>
        <w:t xml:space="preserve"> وللفظ </w:t>
      </w:r>
      <w:r w:rsidR="000636C2">
        <w:rPr>
          <w:rFonts w:hint="cs"/>
          <w:rtl/>
        </w:rPr>
        <w:t>(</w:t>
      </w:r>
      <w:r w:rsidRPr="005675B2">
        <w:rPr>
          <w:rFonts w:hint="cs"/>
          <w:rtl/>
        </w:rPr>
        <w:t>أتشهدين</w:t>
      </w:r>
      <w:r w:rsidR="000636C2">
        <w:rPr>
          <w:rFonts w:hint="cs"/>
          <w:rtl/>
        </w:rPr>
        <w:t>)</w:t>
      </w:r>
      <w:r w:rsidRPr="005675B2">
        <w:rPr>
          <w:rFonts w:hint="cs"/>
          <w:rtl/>
        </w:rPr>
        <w:t xml:space="preserve"> شواهد عند الدارمي </w:t>
      </w:r>
      <w:r w:rsidR="000636C2">
        <w:rPr>
          <w:rFonts w:hint="cs"/>
          <w:rtl/>
        </w:rPr>
        <w:t>(</w:t>
      </w:r>
      <w:r w:rsidRPr="005675B2">
        <w:rPr>
          <w:rFonts w:hint="cs"/>
          <w:rtl/>
        </w:rPr>
        <w:t>2/187</w:t>
      </w:r>
      <w:r w:rsidR="000636C2">
        <w:rPr>
          <w:rFonts w:hint="cs"/>
          <w:rtl/>
        </w:rPr>
        <w:t>)،</w:t>
      </w:r>
      <w:r w:rsidRPr="005675B2">
        <w:rPr>
          <w:rFonts w:hint="cs"/>
          <w:rtl/>
        </w:rPr>
        <w:t xml:space="preserve"> وعند البزار في "المسند" </w:t>
      </w:r>
      <w:r w:rsidR="000636C2">
        <w:rPr>
          <w:rFonts w:hint="cs"/>
          <w:rtl/>
        </w:rPr>
        <w:t>(</w:t>
      </w:r>
      <w:r w:rsidRPr="005675B2">
        <w:rPr>
          <w:rFonts w:hint="cs"/>
          <w:rtl/>
        </w:rPr>
        <w:t>1/14</w:t>
      </w:r>
      <w:r w:rsidR="000636C2">
        <w:rPr>
          <w:rFonts w:hint="cs"/>
          <w:rtl/>
        </w:rPr>
        <w:t>)</w:t>
      </w:r>
      <w:r w:rsidRPr="005675B2">
        <w:rPr>
          <w:rFonts w:hint="cs"/>
          <w:rtl/>
        </w:rPr>
        <w:t xml:space="preserve"> كما في "الكشف"</w:t>
      </w:r>
      <w:r w:rsidR="000636C2">
        <w:rPr>
          <w:rFonts w:hint="cs"/>
          <w:rtl/>
        </w:rPr>
        <w:t>،</w:t>
      </w:r>
      <w:r w:rsidRPr="005675B2">
        <w:rPr>
          <w:rFonts w:hint="cs"/>
          <w:rtl/>
        </w:rPr>
        <w:t xml:space="preserve"> وحمله على هذا أولى لأننا نعلم أنه لوجاء يهودي فسألته أين الله فقال في السماء، لما حكمنا بإسلامه لأن الإقرار يكون بالشهادتين لا بقول أن الله في السماء</w:t>
      </w:r>
      <w:r w:rsidR="000636C2">
        <w:rPr>
          <w:rFonts w:hint="cs"/>
          <w:rtl/>
        </w:rPr>
        <w:t>،</w:t>
      </w:r>
      <w:r w:rsidRPr="005675B2">
        <w:rPr>
          <w:rFonts w:hint="cs"/>
          <w:rtl/>
        </w:rPr>
        <w:t xml:space="preserve"> </w:t>
      </w:r>
      <w:r w:rsidRPr="005675B2">
        <w:rPr>
          <w:rFonts w:hint="cs"/>
          <w:u w:val="single"/>
          <w:rtl/>
        </w:rPr>
        <w:t>ومن هذا الباب أيضاً</w:t>
      </w:r>
      <w:r w:rsidR="000636C2">
        <w:rPr>
          <w:rFonts w:hint="cs"/>
          <w:rtl/>
        </w:rPr>
        <w:t>:</w:t>
      </w:r>
      <w:r w:rsidRPr="005675B2">
        <w:rPr>
          <w:rFonts w:hint="cs"/>
          <w:rtl/>
        </w:rPr>
        <w:t xml:space="preserve"> ما روى أنس بن مالك</w:t>
      </w:r>
      <w:r w:rsidR="000636C2">
        <w:rPr>
          <w:rFonts w:hint="cs"/>
          <w:rtl/>
        </w:rPr>
        <w:t xml:space="preserve"> </w:t>
      </w:r>
      <w:r w:rsidRPr="005675B2">
        <w:rPr>
          <w:rFonts w:hint="cs"/>
          <w:rtl/>
        </w:rPr>
        <w:t>- رضي الله عنه</w:t>
      </w:r>
      <w:r w:rsidR="000636C2">
        <w:rPr>
          <w:rFonts w:hint="cs"/>
          <w:rtl/>
        </w:rPr>
        <w:t xml:space="preserve"> </w:t>
      </w:r>
      <w:r w:rsidRPr="005675B2">
        <w:rPr>
          <w:rFonts w:hint="cs"/>
          <w:rtl/>
        </w:rPr>
        <w:t>- قال</w:t>
      </w:r>
      <w:r w:rsidR="000636C2">
        <w:rPr>
          <w:rFonts w:hint="cs"/>
          <w:rtl/>
        </w:rPr>
        <w:t>:</w:t>
      </w:r>
      <w:r w:rsidRPr="005675B2">
        <w:rPr>
          <w:rFonts w:hint="cs"/>
          <w:rtl/>
        </w:rPr>
        <w:t xml:space="preserve"> كان جبريل عند النبي </w:t>
      </w:r>
      <w:r w:rsidRPr="005675B2">
        <w:rPr>
          <w:rtl/>
        </w:rPr>
        <w:t>صلى الله عليه وسلم</w:t>
      </w:r>
      <w:r w:rsidRPr="005675B2">
        <w:rPr>
          <w:rFonts w:hint="cs"/>
          <w:rtl/>
        </w:rPr>
        <w:t xml:space="preserve"> فأتاه ملك</w:t>
      </w:r>
      <w:r w:rsidR="000636C2">
        <w:rPr>
          <w:rFonts w:hint="cs"/>
          <w:rtl/>
        </w:rPr>
        <w:t>،</w:t>
      </w:r>
      <w:r w:rsidRPr="005675B2">
        <w:rPr>
          <w:rFonts w:hint="cs"/>
          <w:rtl/>
        </w:rPr>
        <w:t xml:space="preserve"> فقال أين تركت ربنا</w:t>
      </w:r>
      <w:r w:rsidR="000636C2">
        <w:rPr>
          <w:rFonts w:hint="cs"/>
          <w:rtl/>
        </w:rPr>
        <w:t>؟</w:t>
      </w:r>
      <w:r w:rsidRPr="005675B2">
        <w:rPr>
          <w:rFonts w:hint="cs"/>
          <w:rtl/>
        </w:rPr>
        <w:t xml:space="preserve"> فقال</w:t>
      </w:r>
      <w:r w:rsidR="000636C2">
        <w:rPr>
          <w:rFonts w:hint="cs"/>
          <w:rtl/>
        </w:rPr>
        <w:t>:</w:t>
      </w:r>
      <w:r w:rsidRPr="005675B2">
        <w:rPr>
          <w:rFonts w:hint="cs"/>
          <w:rtl/>
        </w:rPr>
        <w:t xml:space="preserve"> في الأرضين</w:t>
      </w:r>
      <w:r w:rsidR="000636C2">
        <w:rPr>
          <w:rFonts w:hint="cs"/>
          <w:rtl/>
        </w:rPr>
        <w:t xml:space="preserve"> </w:t>
      </w:r>
      <w:r w:rsidRPr="005675B2">
        <w:rPr>
          <w:rFonts w:hint="cs"/>
          <w:rtl/>
        </w:rPr>
        <w:t>فجاء آخر</w:t>
      </w:r>
      <w:r w:rsidR="000636C2">
        <w:rPr>
          <w:rFonts w:hint="cs"/>
          <w:rtl/>
        </w:rPr>
        <w:t>،</w:t>
      </w:r>
      <w:r w:rsidRPr="005675B2">
        <w:rPr>
          <w:rFonts w:hint="cs"/>
          <w:rtl/>
        </w:rPr>
        <w:t xml:space="preserve"> فقال</w:t>
      </w:r>
      <w:r w:rsidR="000636C2">
        <w:rPr>
          <w:rFonts w:hint="cs"/>
          <w:rtl/>
        </w:rPr>
        <w:t>:</w:t>
      </w:r>
      <w:r w:rsidRPr="005675B2">
        <w:rPr>
          <w:rFonts w:hint="cs"/>
          <w:rtl/>
        </w:rPr>
        <w:t xml:space="preserve"> أين تركت ربنا</w:t>
      </w:r>
      <w:r w:rsidR="000636C2">
        <w:rPr>
          <w:rFonts w:hint="cs"/>
          <w:rtl/>
        </w:rPr>
        <w:t>؟</w:t>
      </w:r>
      <w:r w:rsidRPr="005675B2">
        <w:rPr>
          <w:rFonts w:hint="cs"/>
          <w:rtl/>
        </w:rPr>
        <w:t xml:space="preserve"> فقال</w:t>
      </w:r>
      <w:r w:rsidR="000636C2">
        <w:rPr>
          <w:rFonts w:hint="cs"/>
          <w:rtl/>
        </w:rPr>
        <w:t>:</w:t>
      </w:r>
      <w:r w:rsidRPr="005675B2">
        <w:rPr>
          <w:rFonts w:hint="cs"/>
          <w:rtl/>
        </w:rPr>
        <w:t xml:space="preserve"> في سبع سموات</w:t>
      </w:r>
      <w:r w:rsidR="000636C2">
        <w:rPr>
          <w:rFonts w:hint="cs"/>
          <w:rtl/>
        </w:rPr>
        <w:t xml:space="preserve"> </w:t>
      </w:r>
      <w:r w:rsidRPr="005675B2">
        <w:rPr>
          <w:rFonts w:hint="cs"/>
          <w:rtl/>
        </w:rPr>
        <w:t>فجاءه آخر</w:t>
      </w:r>
      <w:r w:rsidR="000636C2">
        <w:rPr>
          <w:rFonts w:hint="cs"/>
          <w:rtl/>
        </w:rPr>
        <w:t>،</w:t>
      </w:r>
      <w:r w:rsidRPr="005675B2">
        <w:rPr>
          <w:rFonts w:hint="cs"/>
          <w:rtl/>
        </w:rPr>
        <w:t xml:space="preserve"> فسأله عنه</w:t>
      </w:r>
      <w:r w:rsidR="000636C2">
        <w:rPr>
          <w:rFonts w:hint="cs"/>
          <w:rtl/>
        </w:rPr>
        <w:t>؟</w:t>
      </w:r>
      <w:r w:rsidRPr="005675B2">
        <w:rPr>
          <w:rFonts w:hint="cs"/>
          <w:rtl/>
        </w:rPr>
        <w:t xml:space="preserve"> فقال</w:t>
      </w:r>
      <w:r w:rsidR="000636C2">
        <w:rPr>
          <w:rFonts w:hint="cs"/>
          <w:rtl/>
        </w:rPr>
        <w:t>:</w:t>
      </w:r>
      <w:r w:rsidRPr="005675B2">
        <w:rPr>
          <w:rFonts w:hint="cs"/>
          <w:rtl/>
        </w:rPr>
        <w:t xml:space="preserve"> في المشرق</w:t>
      </w:r>
      <w:r w:rsidR="000636C2">
        <w:rPr>
          <w:rFonts w:hint="cs"/>
          <w:rtl/>
        </w:rPr>
        <w:t>،</w:t>
      </w:r>
      <w:r w:rsidRPr="005675B2">
        <w:rPr>
          <w:rFonts w:hint="cs"/>
          <w:rtl/>
        </w:rPr>
        <w:t xml:space="preserve"> وآخر في المغرب</w:t>
      </w:r>
      <w:r w:rsidR="000636C2">
        <w:rPr>
          <w:rFonts w:hint="cs"/>
          <w:rtl/>
        </w:rPr>
        <w:t>،</w:t>
      </w:r>
      <w:r w:rsidRPr="005675B2">
        <w:rPr>
          <w:rFonts w:hint="cs"/>
          <w:rtl/>
        </w:rPr>
        <w:t xml:space="preserve"> والتأويل</w:t>
      </w:r>
      <w:r w:rsidR="000636C2">
        <w:rPr>
          <w:rFonts w:hint="cs"/>
          <w:rtl/>
        </w:rPr>
        <w:t>:</w:t>
      </w:r>
      <w:r w:rsidRPr="005675B2">
        <w:rPr>
          <w:rFonts w:hint="cs"/>
          <w:rtl/>
        </w:rPr>
        <w:t xml:space="preserve"> إنه على وفق قوله تعالى</w:t>
      </w:r>
      <w:r w:rsidR="000636C2">
        <w:rPr>
          <w:rFonts w:hint="cs"/>
          <w:rtl/>
        </w:rPr>
        <w:t xml:space="preserve">: </w:t>
      </w:r>
      <w:r w:rsidRPr="005675B2">
        <w:rPr>
          <w:rFonts w:hint="cs"/>
          <w:rtl/>
        </w:rPr>
        <w:t>» وهو الذي في السماء إله</w:t>
      </w:r>
      <w:r w:rsidR="000636C2">
        <w:rPr>
          <w:rFonts w:hint="cs"/>
          <w:rtl/>
        </w:rPr>
        <w:t>،</w:t>
      </w:r>
      <w:r w:rsidRPr="005675B2">
        <w:rPr>
          <w:rFonts w:hint="cs"/>
          <w:rtl/>
        </w:rPr>
        <w:t xml:space="preserve"> وفي الأرض إله</w:t>
      </w:r>
      <w:r w:rsidR="000636C2">
        <w:rPr>
          <w:rFonts w:hint="cs"/>
          <w:vertAlign w:val="superscript"/>
          <w:rtl/>
        </w:rPr>
        <w:t xml:space="preserve"> </w:t>
      </w:r>
      <w:r w:rsidRPr="005675B2">
        <w:rPr>
          <w:rFonts w:hint="cs"/>
          <w:rtl/>
        </w:rPr>
        <w:t>«</w:t>
      </w:r>
      <w:r w:rsidR="000636C2">
        <w:rPr>
          <w:rFonts w:hint="cs"/>
          <w:rtl/>
        </w:rPr>
        <w:t xml:space="preserve"> </w:t>
      </w:r>
      <w:r w:rsidRPr="005675B2">
        <w:rPr>
          <w:rFonts w:hint="cs"/>
          <w:rtl/>
        </w:rPr>
        <w:t>وقوله</w:t>
      </w:r>
      <w:r w:rsidR="000636C2">
        <w:rPr>
          <w:rFonts w:hint="cs"/>
          <w:rtl/>
        </w:rPr>
        <w:t xml:space="preserve">: </w:t>
      </w:r>
      <w:r w:rsidRPr="005675B2">
        <w:rPr>
          <w:rFonts w:hint="cs"/>
          <w:rtl/>
        </w:rPr>
        <w:t>» وهو الله في السموات وفي الأرض</w:t>
      </w:r>
      <w:r w:rsidR="000636C2">
        <w:rPr>
          <w:rFonts w:hint="cs"/>
          <w:vertAlign w:val="superscript"/>
          <w:rtl/>
        </w:rPr>
        <w:t xml:space="preserve"> </w:t>
      </w:r>
      <w:r w:rsidRPr="005675B2">
        <w:rPr>
          <w:rFonts w:hint="cs"/>
          <w:rtl/>
        </w:rPr>
        <w:t>«</w:t>
      </w:r>
      <w:r w:rsidR="000636C2">
        <w:rPr>
          <w:rFonts w:hint="cs"/>
          <w:rtl/>
        </w:rPr>
        <w:t xml:space="preserve"> </w:t>
      </w:r>
      <w:r w:rsidRPr="005675B2">
        <w:rPr>
          <w:rFonts w:hint="cs"/>
          <w:rtl/>
        </w:rPr>
        <w:t>وقوله</w:t>
      </w:r>
      <w:r w:rsidR="000636C2">
        <w:rPr>
          <w:rFonts w:hint="cs"/>
          <w:rtl/>
        </w:rPr>
        <w:t xml:space="preserve">: </w:t>
      </w:r>
      <w:r w:rsidRPr="005675B2">
        <w:rPr>
          <w:rFonts w:hint="cs"/>
          <w:rtl/>
        </w:rPr>
        <w:t>» فأينما تولوا فثم وجه الله</w:t>
      </w:r>
      <w:r w:rsidRPr="005675B2">
        <w:rPr>
          <w:rFonts w:hint="cs"/>
          <w:vertAlign w:val="superscript"/>
          <w:rtl/>
        </w:rPr>
        <w:t xml:space="preserve"> </w:t>
      </w:r>
      <w:r w:rsidRPr="005675B2">
        <w:rPr>
          <w:rFonts w:hint="cs"/>
          <w:rtl/>
        </w:rPr>
        <w:t>«</w:t>
      </w:r>
      <w:r w:rsidR="000636C2">
        <w:rPr>
          <w:rFonts w:hint="cs"/>
          <w:rtl/>
        </w:rPr>
        <w:t xml:space="preserve"> </w:t>
      </w:r>
      <w:r w:rsidRPr="005675B2">
        <w:rPr>
          <w:rFonts w:hint="cs"/>
          <w:rtl/>
        </w:rPr>
        <w:t>أي أنه تعالى في كل مكان بالحفظ والتدبير والإلهية لا بالحلول في الجهات</w:t>
      </w:r>
      <w:r w:rsidR="000636C2">
        <w:rPr>
          <w:rFonts w:hint="cs"/>
          <w:rtl/>
        </w:rPr>
        <w:t>،</w:t>
      </w:r>
    </w:p>
    <w:p w14:paraId="6F1BDD53" w14:textId="13D72B60" w:rsidR="009C32A0" w:rsidRPr="005675B2" w:rsidRDefault="009C32A0" w:rsidP="000636C2">
      <w:pPr>
        <w:rPr>
          <w:b/>
          <w:rtl/>
        </w:rPr>
      </w:pPr>
      <w:r w:rsidRPr="005675B2">
        <w:rPr>
          <w:rFonts w:hint="cs"/>
          <w:u w:val="single"/>
          <w:rtl/>
        </w:rPr>
        <w:t>وأما قصة المعراج</w:t>
      </w:r>
      <w:r w:rsidR="000636C2">
        <w:rPr>
          <w:rFonts w:hint="cs"/>
          <w:rtl/>
        </w:rPr>
        <w:t>،</w:t>
      </w:r>
      <w:r w:rsidRPr="005675B2">
        <w:rPr>
          <w:rFonts w:hint="cs"/>
          <w:rtl/>
        </w:rPr>
        <w:t xml:space="preserve"> فالمقصود</w:t>
      </w:r>
      <w:r w:rsidR="000636C2">
        <w:rPr>
          <w:rFonts w:hint="cs"/>
          <w:rtl/>
        </w:rPr>
        <w:t>:</w:t>
      </w:r>
      <w:r w:rsidRPr="005675B2">
        <w:rPr>
          <w:rFonts w:hint="cs"/>
          <w:rtl/>
        </w:rPr>
        <w:t xml:space="preserve"> أنه يريه الله</w:t>
      </w:r>
      <w:r w:rsidR="000636C2">
        <w:rPr>
          <w:rFonts w:hint="cs"/>
          <w:rtl/>
        </w:rPr>
        <w:t xml:space="preserve"> </w:t>
      </w:r>
      <w:r w:rsidRPr="005675B2">
        <w:rPr>
          <w:rFonts w:hint="cs"/>
          <w:rtl/>
        </w:rPr>
        <w:t>- تعالى</w:t>
      </w:r>
      <w:r w:rsidR="000636C2">
        <w:rPr>
          <w:rFonts w:hint="cs"/>
          <w:rtl/>
        </w:rPr>
        <w:t xml:space="preserve"> </w:t>
      </w:r>
      <w:r w:rsidRPr="005675B2">
        <w:rPr>
          <w:rFonts w:hint="cs"/>
          <w:rtl/>
        </w:rPr>
        <w:t>-</w:t>
      </w:r>
      <w:r w:rsidR="000636C2">
        <w:rPr>
          <w:rFonts w:hint="cs"/>
          <w:rtl/>
        </w:rPr>
        <w:t xml:space="preserve"> </w:t>
      </w:r>
      <w:r w:rsidRPr="005675B2">
        <w:rPr>
          <w:rFonts w:hint="cs"/>
          <w:rtl/>
        </w:rPr>
        <w:t>أنواع مخلوقاته في العالم العلوي والعالم السفلي</w:t>
      </w:r>
      <w:r w:rsidR="000636C2">
        <w:rPr>
          <w:rFonts w:hint="cs"/>
          <w:rtl/>
        </w:rPr>
        <w:t>،</w:t>
      </w:r>
      <w:r w:rsidRPr="005675B2">
        <w:rPr>
          <w:rFonts w:hint="cs"/>
          <w:rtl/>
        </w:rPr>
        <w:t xml:space="preserve"> لتكون مشاهداته للدلائل أكثر</w:t>
      </w:r>
      <w:r w:rsidR="000636C2">
        <w:rPr>
          <w:rFonts w:hint="cs"/>
          <w:rtl/>
        </w:rPr>
        <w:t>،</w:t>
      </w:r>
      <w:r w:rsidRPr="005675B2">
        <w:rPr>
          <w:rFonts w:hint="cs"/>
          <w:rtl/>
        </w:rPr>
        <w:t xml:space="preserve"> فتصير نفسه أقوى وأكمل</w:t>
      </w:r>
      <w:r w:rsidR="000636C2">
        <w:rPr>
          <w:rFonts w:hint="cs"/>
          <w:rtl/>
        </w:rPr>
        <w:t>،</w:t>
      </w:r>
      <w:r w:rsidRPr="005675B2">
        <w:rPr>
          <w:rFonts w:hint="cs"/>
          <w:rtl/>
        </w:rPr>
        <w:t xml:space="preserve"> كما في حق الخليل</w:t>
      </w:r>
      <w:r w:rsidR="000636C2">
        <w:rPr>
          <w:rFonts w:hint="cs"/>
          <w:rtl/>
        </w:rPr>
        <w:t xml:space="preserve"> </w:t>
      </w:r>
      <w:r w:rsidRPr="005675B2">
        <w:rPr>
          <w:rFonts w:hint="cs"/>
          <w:rtl/>
        </w:rPr>
        <w:t>- عليه السلام</w:t>
      </w:r>
      <w:r w:rsidR="000636C2">
        <w:rPr>
          <w:rFonts w:hint="cs"/>
          <w:rtl/>
        </w:rPr>
        <w:t xml:space="preserve"> </w:t>
      </w:r>
      <w:r w:rsidRPr="005675B2">
        <w:rPr>
          <w:rFonts w:hint="cs"/>
          <w:rtl/>
        </w:rPr>
        <w:t>-</w:t>
      </w:r>
      <w:r w:rsidR="000636C2">
        <w:rPr>
          <w:rFonts w:hint="cs"/>
          <w:rtl/>
        </w:rPr>
        <w:t>،</w:t>
      </w:r>
    </w:p>
    <w:p w14:paraId="1B069937" w14:textId="5F74C35D" w:rsidR="009C32A0" w:rsidRPr="005675B2" w:rsidRDefault="009C32A0" w:rsidP="000636C2">
      <w:pPr>
        <w:rPr>
          <w:b/>
          <w:rtl/>
        </w:rPr>
      </w:pPr>
      <w:r w:rsidRPr="005675B2">
        <w:rPr>
          <w:rFonts w:hint="cs"/>
          <w:rtl/>
        </w:rPr>
        <w:t>وأما قوله</w:t>
      </w:r>
      <w:r w:rsidR="000636C2">
        <w:rPr>
          <w:rFonts w:hint="cs"/>
          <w:rtl/>
        </w:rPr>
        <w:t xml:space="preserve">: </w:t>
      </w:r>
      <w:r w:rsidRPr="005675B2">
        <w:rPr>
          <w:rFonts w:hint="cs"/>
          <w:rtl/>
        </w:rPr>
        <w:t>» ثم دنى فتدلى فكان قاب قوسين أو أدنى</w:t>
      </w:r>
      <w:r w:rsidR="000636C2">
        <w:rPr>
          <w:rFonts w:hint="cs"/>
          <w:vertAlign w:val="superscript"/>
          <w:rtl/>
        </w:rPr>
        <w:t xml:space="preserve"> </w:t>
      </w:r>
      <w:r w:rsidRPr="005675B2">
        <w:rPr>
          <w:rFonts w:hint="cs"/>
          <w:rtl/>
        </w:rPr>
        <w:t>«</w:t>
      </w:r>
      <w:r w:rsidR="000636C2">
        <w:rPr>
          <w:rFonts w:hint="cs"/>
          <w:rtl/>
        </w:rPr>
        <w:t xml:space="preserve"> </w:t>
      </w:r>
      <w:r w:rsidRPr="005675B2">
        <w:rPr>
          <w:rFonts w:hint="cs"/>
          <w:rtl/>
        </w:rPr>
        <w:t>ففيه وجوه</w:t>
      </w:r>
      <w:r w:rsidR="000636C2">
        <w:rPr>
          <w:rFonts w:hint="cs"/>
          <w:rtl/>
        </w:rPr>
        <w:t xml:space="preserve">: </w:t>
      </w:r>
      <w:r w:rsidRPr="005675B2">
        <w:rPr>
          <w:rFonts w:hint="cs"/>
          <w:rtl/>
        </w:rPr>
        <w:t>(</w:t>
      </w:r>
      <w:r w:rsidR="000636C2">
        <w:rPr>
          <w:rFonts w:hint="cs"/>
          <w:rtl/>
        </w:rPr>
        <w:t>(</w:t>
      </w:r>
      <w:r w:rsidRPr="005675B2">
        <w:rPr>
          <w:rFonts w:hint="cs"/>
          <w:rtl/>
        </w:rPr>
        <w:t>ثم دنا فتدلى</w:t>
      </w:r>
      <w:r w:rsidR="000636C2">
        <w:rPr>
          <w:rFonts w:hint="cs"/>
          <w:rtl/>
        </w:rPr>
        <w:t>)</w:t>
      </w:r>
      <w:r w:rsidRPr="005675B2">
        <w:rPr>
          <w:rFonts w:hint="cs"/>
          <w:rtl/>
        </w:rPr>
        <w:t>)</w:t>
      </w:r>
      <w:r w:rsidR="000636C2">
        <w:rPr>
          <w:rFonts w:hint="cs"/>
          <w:rtl/>
        </w:rPr>
        <w:t xml:space="preserve"> </w:t>
      </w:r>
      <w:r w:rsidRPr="005675B2">
        <w:rPr>
          <w:rFonts w:hint="cs"/>
          <w:rtl/>
        </w:rPr>
        <w:t>أي جبريل دنا من محمد</w:t>
      </w:r>
      <w:r w:rsidR="000636C2">
        <w:rPr>
          <w:rFonts w:hint="cs"/>
          <w:rtl/>
        </w:rPr>
        <w:t xml:space="preserve"> </w:t>
      </w:r>
      <w:r w:rsidRPr="005675B2">
        <w:rPr>
          <w:rFonts w:hint="cs"/>
          <w:rtl/>
        </w:rPr>
        <w:t>- عليهما السلام</w:t>
      </w:r>
      <w:r w:rsidR="000636C2">
        <w:rPr>
          <w:rFonts w:hint="cs"/>
          <w:rtl/>
        </w:rPr>
        <w:t xml:space="preserve"> </w:t>
      </w:r>
      <w:r w:rsidRPr="005675B2">
        <w:rPr>
          <w:rFonts w:hint="cs"/>
          <w:rtl/>
        </w:rPr>
        <w:t>- والدليل عليه</w:t>
      </w:r>
      <w:r w:rsidR="000636C2">
        <w:rPr>
          <w:rFonts w:hint="cs"/>
          <w:rtl/>
        </w:rPr>
        <w:t>:</w:t>
      </w:r>
      <w:r w:rsidRPr="005675B2">
        <w:rPr>
          <w:rFonts w:hint="cs"/>
          <w:rtl/>
        </w:rPr>
        <w:t xml:space="preserve"> قوله تعالى في آية أخرى</w:t>
      </w:r>
      <w:r w:rsidR="000636C2">
        <w:rPr>
          <w:rFonts w:hint="cs"/>
          <w:rtl/>
        </w:rPr>
        <w:t xml:space="preserve">: </w:t>
      </w:r>
      <w:r w:rsidRPr="005675B2">
        <w:rPr>
          <w:rFonts w:hint="cs"/>
          <w:rtl/>
        </w:rPr>
        <w:t>(</w:t>
      </w:r>
      <w:r w:rsidR="000636C2">
        <w:rPr>
          <w:rFonts w:hint="cs"/>
          <w:rtl/>
        </w:rPr>
        <w:t>(</w:t>
      </w:r>
      <w:r w:rsidRPr="005675B2">
        <w:rPr>
          <w:rFonts w:hint="cs"/>
          <w:rtl/>
        </w:rPr>
        <w:t>ولقد رآه بالأفق المبين</w:t>
      </w:r>
      <w:r w:rsidR="000636C2">
        <w:rPr>
          <w:rFonts w:hint="cs"/>
          <w:vertAlign w:val="superscript"/>
          <w:rtl/>
        </w:rPr>
        <w:t>)</w:t>
      </w:r>
      <w:r w:rsidRPr="005675B2">
        <w:rPr>
          <w:rFonts w:hint="cs"/>
          <w:rtl/>
        </w:rPr>
        <w:t>)</w:t>
      </w:r>
      <w:r w:rsidR="000636C2">
        <w:rPr>
          <w:rFonts w:hint="cs"/>
          <w:rtl/>
        </w:rPr>
        <w:t xml:space="preserve"> </w:t>
      </w:r>
      <w:r w:rsidRPr="005675B2">
        <w:rPr>
          <w:rFonts w:hint="cs"/>
          <w:rtl/>
        </w:rPr>
        <w:t>ثم لما دنا جبريل من محمد</w:t>
      </w:r>
      <w:r w:rsidR="000636C2">
        <w:rPr>
          <w:rFonts w:hint="cs"/>
          <w:rtl/>
        </w:rPr>
        <w:t xml:space="preserve"> </w:t>
      </w:r>
      <w:r w:rsidRPr="005675B2">
        <w:rPr>
          <w:rFonts w:hint="cs"/>
          <w:rtl/>
        </w:rPr>
        <w:t>- عليهما السلام</w:t>
      </w:r>
      <w:r w:rsidR="000636C2">
        <w:rPr>
          <w:rFonts w:hint="cs"/>
          <w:rtl/>
        </w:rPr>
        <w:t xml:space="preserve"> </w:t>
      </w:r>
      <w:r w:rsidRPr="005675B2">
        <w:rPr>
          <w:rFonts w:hint="cs"/>
          <w:rtl/>
        </w:rPr>
        <w:t>- حصل الوحي من الله تعالى إليه ولهذا قال</w:t>
      </w:r>
      <w:r w:rsidR="000636C2">
        <w:rPr>
          <w:rFonts w:hint="cs"/>
          <w:vertAlign w:val="superscript"/>
          <w:rtl/>
        </w:rPr>
        <w:t>:</w:t>
      </w:r>
      <w:r w:rsidR="000636C2">
        <w:rPr>
          <w:rFonts w:hint="cs"/>
          <w:rtl/>
        </w:rPr>
        <w:t xml:space="preserve"> </w:t>
      </w:r>
      <w:r w:rsidRPr="005675B2">
        <w:rPr>
          <w:rFonts w:hint="cs"/>
          <w:rtl/>
        </w:rPr>
        <w:t>(</w:t>
      </w:r>
      <w:r w:rsidR="000636C2">
        <w:rPr>
          <w:rFonts w:hint="cs"/>
          <w:rtl/>
        </w:rPr>
        <w:t>(</w:t>
      </w:r>
      <w:r w:rsidRPr="005675B2">
        <w:rPr>
          <w:rFonts w:hint="cs"/>
          <w:rtl/>
        </w:rPr>
        <w:t>فأوحى إلى عبده ما أوحى</w:t>
      </w:r>
      <w:r w:rsidR="000636C2">
        <w:rPr>
          <w:rFonts w:hint="cs"/>
          <w:rtl/>
        </w:rPr>
        <w:t>)</w:t>
      </w:r>
      <w:r w:rsidRPr="005675B2">
        <w:rPr>
          <w:rFonts w:hint="cs"/>
          <w:rtl/>
        </w:rPr>
        <w:t>)</w:t>
      </w:r>
      <w:r w:rsidR="000636C2">
        <w:rPr>
          <w:rFonts w:hint="cs"/>
          <w:rtl/>
        </w:rPr>
        <w:t>،</w:t>
      </w:r>
      <w:r w:rsidRPr="005675B2">
        <w:rPr>
          <w:rFonts w:hint="cs"/>
          <w:rtl/>
        </w:rPr>
        <w:t xml:space="preserve"> </w:t>
      </w:r>
    </w:p>
    <w:p w14:paraId="6730815C" w14:textId="0A4FB2C3" w:rsidR="009C32A0" w:rsidRPr="005675B2" w:rsidRDefault="009C32A0" w:rsidP="000636C2">
      <w:pPr>
        <w:rPr>
          <w:b/>
          <w:rtl/>
        </w:rPr>
      </w:pPr>
      <w:r w:rsidRPr="005675B2">
        <w:rPr>
          <w:rFonts w:hint="cs"/>
          <w:u w:val="single"/>
          <w:rtl/>
        </w:rPr>
        <w:t xml:space="preserve">وأما </w:t>
      </w:r>
      <w:r w:rsidR="000636C2">
        <w:rPr>
          <w:rFonts w:hint="cs"/>
          <w:u w:val="single"/>
          <w:rtl/>
        </w:rPr>
        <w:t>[</w:t>
      </w:r>
      <w:r>
        <w:rPr>
          <w:rFonts w:hint="cs"/>
          <w:u w:val="single"/>
          <w:rtl/>
        </w:rPr>
        <w:t>الجواب</w:t>
      </w:r>
      <w:r w:rsidR="000636C2">
        <w:rPr>
          <w:rFonts w:hint="cs"/>
          <w:u w:val="single"/>
          <w:rtl/>
        </w:rPr>
        <w:t xml:space="preserve">] </w:t>
      </w:r>
      <w:r w:rsidRPr="005675B2">
        <w:rPr>
          <w:rFonts w:hint="cs"/>
          <w:u w:val="single"/>
          <w:rtl/>
        </w:rPr>
        <w:t>عن التمسك بقول فرعون</w:t>
      </w:r>
      <w:r w:rsidR="000636C2">
        <w:rPr>
          <w:rFonts w:hint="cs"/>
          <w:u w:val="single"/>
          <w:rtl/>
        </w:rPr>
        <w:t xml:space="preserve"> </w:t>
      </w:r>
      <w:r w:rsidRPr="005675B2">
        <w:rPr>
          <w:rFonts w:hint="cs"/>
          <w:u w:val="single"/>
          <w:rtl/>
        </w:rPr>
        <w:t>» يا هامان ابن لي صرحاً « ُ</w:t>
      </w:r>
      <w:r w:rsidR="000636C2">
        <w:rPr>
          <w:rFonts w:hint="cs"/>
          <w:u w:val="single"/>
          <w:vertAlign w:val="superscript"/>
          <w:rtl/>
        </w:rPr>
        <w:t xml:space="preserve"> </w:t>
      </w:r>
      <w:r w:rsidRPr="005675B2">
        <w:rPr>
          <w:rFonts w:hint="cs"/>
          <w:rtl/>
        </w:rPr>
        <w:t>فهو أن هذا الكلام من فرعون</w:t>
      </w:r>
      <w:r w:rsidR="000636C2">
        <w:rPr>
          <w:rFonts w:hint="cs"/>
          <w:rtl/>
        </w:rPr>
        <w:t>،</w:t>
      </w:r>
      <w:r w:rsidRPr="005675B2">
        <w:rPr>
          <w:rFonts w:hint="cs"/>
          <w:rtl/>
        </w:rPr>
        <w:t xml:space="preserve"> وهو معارض بأن موسى</w:t>
      </w:r>
      <w:r w:rsidR="000636C2">
        <w:rPr>
          <w:rFonts w:hint="cs"/>
          <w:rtl/>
        </w:rPr>
        <w:t xml:space="preserve"> </w:t>
      </w:r>
      <w:r w:rsidRPr="005675B2">
        <w:rPr>
          <w:rFonts w:hint="cs"/>
          <w:rtl/>
        </w:rPr>
        <w:t>- عليه السلام</w:t>
      </w:r>
      <w:r w:rsidR="000636C2">
        <w:rPr>
          <w:rFonts w:hint="cs"/>
          <w:rtl/>
        </w:rPr>
        <w:t xml:space="preserve"> </w:t>
      </w:r>
      <w:r w:rsidRPr="005675B2">
        <w:rPr>
          <w:rFonts w:hint="cs"/>
          <w:rtl/>
        </w:rPr>
        <w:t>- لم</w:t>
      </w:r>
      <w:r w:rsidR="000636C2">
        <w:rPr>
          <w:rFonts w:hint="cs"/>
          <w:rtl/>
        </w:rPr>
        <w:t>:</w:t>
      </w:r>
      <w:r w:rsidRPr="005675B2">
        <w:rPr>
          <w:rFonts w:hint="cs"/>
          <w:rtl/>
        </w:rPr>
        <w:t xml:space="preserve"> يقل الرب في السماء</w:t>
      </w:r>
      <w:r w:rsidR="000636C2">
        <w:rPr>
          <w:rFonts w:hint="cs"/>
          <w:rtl/>
        </w:rPr>
        <w:t>،</w:t>
      </w:r>
      <w:r w:rsidRPr="005675B2">
        <w:rPr>
          <w:rFonts w:hint="cs"/>
          <w:rtl/>
        </w:rPr>
        <w:t xml:space="preserve"> بل قال</w:t>
      </w:r>
      <w:r w:rsidR="000636C2">
        <w:rPr>
          <w:rFonts w:hint="cs"/>
          <w:rtl/>
        </w:rPr>
        <w:t xml:space="preserve">: </w:t>
      </w:r>
      <w:r w:rsidRPr="005675B2">
        <w:rPr>
          <w:rFonts w:hint="cs"/>
          <w:rtl/>
        </w:rPr>
        <w:t>» رب السماء«</w:t>
      </w:r>
      <w:r w:rsidR="000636C2">
        <w:rPr>
          <w:rFonts w:hint="cs"/>
          <w:rtl/>
        </w:rPr>
        <w:t xml:space="preserve"> </w:t>
      </w:r>
      <w:r w:rsidRPr="005675B2">
        <w:rPr>
          <w:rFonts w:hint="cs"/>
          <w:rtl/>
        </w:rPr>
        <w:t>ثم إن فرعون كان قد ظن فيه أن الإله مستقر في السماء</w:t>
      </w:r>
      <w:r w:rsidR="000636C2">
        <w:rPr>
          <w:rFonts w:hint="cs"/>
          <w:rtl/>
        </w:rPr>
        <w:t>،</w:t>
      </w:r>
      <w:r w:rsidRPr="005675B2">
        <w:rPr>
          <w:rFonts w:hint="cs"/>
          <w:rtl/>
        </w:rPr>
        <w:t xml:space="preserve"> - أي فلا نأخذ بظنون فرعون في إثبات عقيدتنا -</w:t>
      </w:r>
      <w:r w:rsidR="000636C2">
        <w:rPr>
          <w:rFonts w:hint="cs"/>
          <w:rtl/>
        </w:rPr>
        <w:t xml:space="preserve"> </w:t>
      </w:r>
      <w:r w:rsidRPr="005675B2">
        <w:rPr>
          <w:rFonts w:hint="cs"/>
          <w:rtl/>
        </w:rPr>
        <w:t xml:space="preserve">فهذا هو </w:t>
      </w:r>
      <w:r w:rsidR="000636C2">
        <w:rPr>
          <w:rFonts w:hint="cs"/>
          <w:rtl/>
        </w:rPr>
        <w:t>[</w:t>
      </w:r>
      <w:r>
        <w:rPr>
          <w:rFonts w:hint="cs"/>
          <w:rtl/>
        </w:rPr>
        <w:t>الجواب</w:t>
      </w:r>
      <w:r w:rsidR="000636C2">
        <w:rPr>
          <w:rFonts w:hint="cs"/>
          <w:rtl/>
        </w:rPr>
        <w:t xml:space="preserve">] </w:t>
      </w:r>
      <w:r w:rsidRPr="005675B2">
        <w:rPr>
          <w:rFonts w:hint="cs"/>
          <w:rtl/>
        </w:rPr>
        <w:t>عن هذه الشبه أ</w:t>
      </w:r>
      <w:r w:rsidR="000636C2">
        <w:rPr>
          <w:rFonts w:hint="cs"/>
          <w:rtl/>
        </w:rPr>
        <w:t xml:space="preserve"> </w:t>
      </w:r>
      <w:r w:rsidRPr="005675B2">
        <w:rPr>
          <w:rFonts w:hint="cs"/>
          <w:rtl/>
        </w:rPr>
        <w:t>- ه [</w:t>
      </w:r>
      <w:r w:rsidRPr="005675B2">
        <w:rPr>
          <w:rFonts w:hint="cs"/>
          <w:bCs/>
          <w:sz w:val="24"/>
          <w:szCs w:val="24"/>
          <w:rtl/>
        </w:rPr>
        <w:t>جمعت الكلام السابق من مواطن متفرقة للعلماء فمن ذلك كتاب اساس التقديس</w:t>
      </w:r>
      <w:r w:rsidR="000636C2">
        <w:rPr>
          <w:rFonts w:hint="cs"/>
          <w:bCs/>
          <w:sz w:val="24"/>
          <w:szCs w:val="24"/>
          <w:rtl/>
        </w:rPr>
        <w:t xml:space="preserve"> </w:t>
      </w:r>
      <w:r w:rsidRPr="005675B2">
        <w:rPr>
          <w:rFonts w:hint="cs"/>
          <w:bCs/>
          <w:sz w:val="24"/>
          <w:szCs w:val="24"/>
          <w:rtl/>
        </w:rPr>
        <w:t>وغيره من الكتب وكتاب المشبهة والمجسمة لعبدالرحمن خليفة رحمه الله وغيرها من كتابات علماء الأمة</w:t>
      </w:r>
      <w:r w:rsidR="000636C2">
        <w:rPr>
          <w:rFonts w:hint="cs"/>
          <w:bCs/>
          <w:sz w:val="24"/>
          <w:szCs w:val="24"/>
          <w:rtl/>
        </w:rPr>
        <w:t>]</w:t>
      </w:r>
    </w:p>
    <w:p w14:paraId="4ADF90F8" w14:textId="7588BB4F" w:rsidR="009C32A0" w:rsidRPr="005675B2" w:rsidRDefault="009C32A0" w:rsidP="000636C2">
      <w:pPr>
        <w:rPr>
          <w:b/>
          <w:rtl/>
        </w:rPr>
      </w:pPr>
      <w:r w:rsidRPr="005675B2">
        <w:rPr>
          <w:rFonts w:hint="cs"/>
          <w:u w:val="single"/>
          <w:rtl/>
        </w:rPr>
        <w:t>فالخلاصة</w:t>
      </w:r>
      <w:r w:rsidR="000636C2">
        <w:rPr>
          <w:rFonts w:hint="cs"/>
          <w:u w:val="single"/>
          <w:rtl/>
        </w:rPr>
        <w:t>:</w:t>
      </w:r>
      <w:r w:rsidRPr="005675B2">
        <w:rPr>
          <w:rFonts w:hint="cs"/>
          <w:u w:val="single"/>
          <w:rtl/>
        </w:rPr>
        <w:t xml:space="preserve"> أن الكرامية تمسكوا بالمتشابه لإثبات أن الله حال في العرش أو في جهة فوق العرش وتابعهم ابن تيمية</w:t>
      </w:r>
      <w:r w:rsidR="000636C2">
        <w:rPr>
          <w:rFonts w:hint="cs"/>
          <w:u w:val="single"/>
          <w:rtl/>
        </w:rPr>
        <w:t>،</w:t>
      </w:r>
      <w:r w:rsidRPr="005675B2">
        <w:rPr>
          <w:rFonts w:hint="cs"/>
          <w:u w:val="single"/>
          <w:rtl/>
        </w:rPr>
        <w:t>ثم أتى أناس في عصرنا فمزقوالأمة بعقيدة غير صحيحة</w:t>
      </w:r>
      <w:r w:rsidR="000636C2">
        <w:rPr>
          <w:rFonts w:hint="cs"/>
          <w:u w:val="single"/>
          <w:rtl/>
        </w:rPr>
        <w:t>،</w:t>
      </w:r>
      <w:r w:rsidRPr="005675B2">
        <w:rPr>
          <w:rFonts w:hint="cs"/>
          <w:u w:val="single"/>
          <w:rtl/>
        </w:rPr>
        <w:t>وزادوا الطين بلة بنسبتها للسلف الصالح</w:t>
      </w:r>
      <w:r w:rsidR="000636C2">
        <w:rPr>
          <w:rFonts w:hint="cs"/>
          <w:u w:val="single"/>
          <w:rtl/>
        </w:rPr>
        <w:t>،!</w:t>
      </w:r>
      <w:r w:rsidRPr="005675B2">
        <w:rPr>
          <w:rFonts w:hint="cs"/>
          <w:u w:val="single"/>
          <w:rtl/>
        </w:rPr>
        <w:t>!ولا شك أنه الله لا يحل في مخلوقاته خلافاً للحلولية</w:t>
      </w:r>
      <w:r w:rsidR="000636C2">
        <w:rPr>
          <w:rFonts w:hint="cs"/>
          <w:u w:val="single"/>
          <w:rtl/>
        </w:rPr>
        <w:t>،</w:t>
      </w:r>
      <w:r w:rsidRPr="005675B2">
        <w:rPr>
          <w:rFonts w:hint="cs"/>
          <w:u w:val="single"/>
          <w:rtl/>
        </w:rPr>
        <w:t>وقد تمسك حلولية الأرض بآيات وأحاديث فوقعوا في الزيغ</w:t>
      </w:r>
      <w:r w:rsidR="000636C2">
        <w:rPr>
          <w:rFonts w:hint="cs"/>
          <w:u w:val="single"/>
          <w:rtl/>
        </w:rPr>
        <w:t>،</w:t>
      </w:r>
      <w:r w:rsidRPr="005675B2">
        <w:rPr>
          <w:rFonts w:hint="cs"/>
          <w:u w:val="single"/>
          <w:rtl/>
        </w:rPr>
        <w:t xml:space="preserve"> وتمسك حلولية الجهة</w:t>
      </w:r>
      <w:r w:rsidR="000636C2">
        <w:rPr>
          <w:rFonts w:hint="cs"/>
          <w:u w:val="single"/>
          <w:rtl/>
        </w:rPr>
        <w:t xml:space="preserve"> </w:t>
      </w:r>
      <w:r w:rsidRPr="005675B2">
        <w:rPr>
          <w:rFonts w:hint="cs"/>
          <w:u w:val="single"/>
          <w:rtl/>
        </w:rPr>
        <w:t>بآيات وأحاديث</w:t>
      </w:r>
      <w:r w:rsidR="000636C2">
        <w:rPr>
          <w:rFonts w:hint="cs"/>
          <w:u w:val="single"/>
          <w:rtl/>
        </w:rPr>
        <w:t>،</w:t>
      </w:r>
      <w:r w:rsidRPr="005675B2">
        <w:rPr>
          <w:rFonts w:hint="cs"/>
          <w:u w:val="single"/>
          <w:rtl/>
        </w:rPr>
        <w:t>ظنوا بها أن الله حل في مخلوق اسموه الجهة</w:t>
      </w:r>
      <w:r w:rsidR="000636C2">
        <w:rPr>
          <w:rFonts w:hint="cs"/>
          <w:u w:val="single"/>
          <w:rtl/>
        </w:rPr>
        <w:t>،</w:t>
      </w:r>
      <w:r w:rsidRPr="005675B2">
        <w:rPr>
          <w:rFonts w:hint="cs"/>
          <w:u w:val="single"/>
          <w:rtl/>
        </w:rPr>
        <w:t xml:space="preserve"> بل بعضهم كابر فقال</w:t>
      </w:r>
      <w:r w:rsidR="000636C2">
        <w:rPr>
          <w:rFonts w:hint="cs"/>
          <w:u w:val="single"/>
          <w:rtl/>
        </w:rPr>
        <w:t>:</w:t>
      </w:r>
      <w:r w:rsidRPr="005675B2">
        <w:rPr>
          <w:rFonts w:hint="cs"/>
          <w:u w:val="single"/>
          <w:rtl/>
        </w:rPr>
        <w:t>إنها غير مخلوقة</w:t>
      </w:r>
      <w:r w:rsidR="000636C2">
        <w:rPr>
          <w:rFonts w:hint="cs"/>
          <w:u w:val="single"/>
          <w:rtl/>
        </w:rPr>
        <w:t>،</w:t>
      </w:r>
      <w:r w:rsidRPr="005675B2">
        <w:rPr>
          <w:rFonts w:hint="cs"/>
          <w:u w:val="single"/>
          <w:rtl/>
        </w:rPr>
        <w:t xml:space="preserve"> والمسلم لا يعلم إلا خالقا ومخلوقاً فكيف يقال أن الجهة غير مخلوقة</w:t>
      </w:r>
      <w:r w:rsidR="000636C2">
        <w:rPr>
          <w:rFonts w:hint="cs"/>
          <w:u w:val="single"/>
          <w:rtl/>
        </w:rPr>
        <w:t>؟</w:t>
      </w:r>
      <w:r w:rsidRPr="005675B2">
        <w:rPr>
          <w:rFonts w:hint="cs"/>
          <w:u w:val="single"/>
          <w:rtl/>
        </w:rPr>
        <w:t>والناظر في ألفاظهم وتصريحاتهم يتبين له</w:t>
      </w:r>
      <w:r w:rsidR="000636C2">
        <w:rPr>
          <w:rFonts w:hint="cs"/>
          <w:u w:val="single"/>
          <w:rtl/>
        </w:rPr>
        <w:t xml:space="preserve"> </w:t>
      </w:r>
      <w:r w:rsidRPr="005675B2">
        <w:rPr>
          <w:rFonts w:hint="cs"/>
          <w:u w:val="single"/>
          <w:rtl/>
        </w:rPr>
        <w:t>أنهم يثبتون جهة حسية لا مجرد أمر اعتباري، وقد سبق بيان ذلك</w:t>
      </w:r>
      <w:r w:rsidR="000636C2">
        <w:rPr>
          <w:rFonts w:hint="cs"/>
          <w:u w:val="single"/>
          <w:rtl/>
        </w:rPr>
        <w:t>،</w:t>
      </w:r>
      <w:r w:rsidR="000636C2">
        <w:rPr>
          <w:rFonts w:hint="cs"/>
          <w:rtl/>
        </w:rPr>
        <w:t xml:space="preserve"> </w:t>
      </w:r>
      <w:r w:rsidRPr="005675B2">
        <w:rPr>
          <w:rFonts w:hint="cs"/>
          <w:rtl/>
        </w:rPr>
        <w:t>إذن فالأشاعرة وسائر أهل السنة والجماعة يثبتون صفة العلو لله تعالى ويفسرونه بعلو القدر والسلطة والمنزلة لابمعنى العلو الحسي المعروف في المخلوقات</w:t>
      </w:r>
    </w:p>
    <w:p w14:paraId="7DC95F2B" w14:textId="420F6558" w:rsidR="009C32A0" w:rsidRPr="005675B2" w:rsidRDefault="009C32A0" w:rsidP="000636C2">
      <w:pPr>
        <w:rPr>
          <w:rFonts w:eastAsia="Calibri"/>
          <w:rtl/>
        </w:rPr>
      </w:pPr>
      <w:r w:rsidRPr="005675B2">
        <w:rPr>
          <w:rFonts w:hint="cs"/>
          <w:rtl/>
        </w:rPr>
        <w:t>أخيراً</w:t>
      </w:r>
      <w:r w:rsidR="000636C2">
        <w:rPr>
          <w:rFonts w:hint="cs"/>
          <w:rtl/>
        </w:rPr>
        <w:t>:</w:t>
      </w:r>
      <w:r w:rsidRPr="005675B2">
        <w:rPr>
          <w:rFonts w:hint="cs"/>
          <w:rtl/>
        </w:rPr>
        <w:t xml:space="preserve"> إذا علمت أن كلام الله ورسوله صلى الله عليه وسلم يرد عليه احتمالات في معناه</w:t>
      </w:r>
      <w:r w:rsidR="000636C2">
        <w:rPr>
          <w:rFonts w:hint="cs"/>
          <w:rtl/>
        </w:rPr>
        <w:t>،</w:t>
      </w:r>
      <w:r w:rsidRPr="005675B2">
        <w:rPr>
          <w:rFonts w:hint="cs"/>
          <w:rtl/>
        </w:rPr>
        <w:t xml:space="preserve"> فإن البشر من السلف الصالح رضي الله عنهم يرد على كلامهم احتمالات من جهتين</w:t>
      </w:r>
      <w:r w:rsidR="000636C2">
        <w:rPr>
          <w:rFonts w:hint="cs"/>
          <w:rtl/>
        </w:rPr>
        <w:t>:</w:t>
      </w:r>
      <w:r w:rsidRPr="005675B2">
        <w:rPr>
          <w:rFonts w:hint="cs"/>
          <w:rtl/>
        </w:rPr>
        <w:t xml:space="preserve"> الاحتمال الأول</w:t>
      </w:r>
      <w:r w:rsidR="000636C2">
        <w:rPr>
          <w:rFonts w:hint="cs"/>
          <w:rtl/>
        </w:rPr>
        <w:t>:</w:t>
      </w:r>
      <w:r w:rsidRPr="005675B2">
        <w:rPr>
          <w:rFonts w:hint="cs"/>
          <w:rtl/>
        </w:rPr>
        <w:t xml:space="preserve"> من جهة معناه في لغة العرب فإن اللسان العربي يحتمل المعاني بشرط أن يكون ذلك ثابت من جهة اللغة ولا ئق بالله</w:t>
      </w:r>
      <w:r w:rsidR="000636C2">
        <w:rPr>
          <w:rFonts w:hint="cs"/>
          <w:rtl/>
        </w:rPr>
        <w:t>،</w:t>
      </w:r>
      <w:r w:rsidRPr="005675B2">
        <w:rPr>
          <w:rFonts w:hint="cs"/>
          <w:rtl/>
        </w:rPr>
        <w:t>فإذا أتى كلام في معناه احتمالات فيحمل على اللائق بالله الذي لا يتصور أن الأئمة يقصدون غيره من المعاني القاضية بالتشبيه الاحتمال الثاني</w:t>
      </w:r>
      <w:r w:rsidR="000636C2">
        <w:rPr>
          <w:rFonts w:hint="cs"/>
          <w:rtl/>
        </w:rPr>
        <w:t>:</w:t>
      </w:r>
      <w:r w:rsidRPr="005675B2">
        <w:rPr>
          <w:rFonts w:hint="cs"/>
          <w:rtl/>
        </w:rPr>
        <w:t xml:space="preserve"> ضعف الرواية عنهم، إما من جهة السند، وإما من جهة المتن</w:t>
      </w:r>
      <w:r w:rsidR="000636C2">
        <w:rPr>
          <w:rFonts w:hint="cs"/>
          <w:rtl/>
        </w:rPr>
        <w:t>،</w:t>
      </w:r>
      <w:r w:rsidRPr="005675B2">
        <w:rPr>
          <w:rFonts w:hint="cs"/>
          <w:rtl/>
        </w:rPr>
        <w:t>كأن يكون الكلام المنقول</w:t>
      </w:r>
      <w:r w:rsidR="000636C2">
        <w:rPr>
          <w:rFonts w:hint="cs"/>
          <w:rtl/>
        </w:rPr>
        <w:t xml:space="preserve"> </w:t>
      </w:r>
      <w:r w:rsidRPr="005675B2">
        <w:rPr>
          <w:rFonts w:hint="cs"/>
          <w:rtl/>
        </w:rPr>
        <w:t>فيه نكارة يخالف مقطوعا به من الآيات أو الأحاديث</w:t>
      </w:r>
      <w:r w:rsidR="000636C2">
        <w:rPr>
          <w:rFonts w:hint="cs"/>
          <w:rtl/>
        </w:rPr>
        <w:t>،</w:t>
      </w:r>
      <w:r w:rsidRPr="005675B2">
        <w:rPr>
          <w:rFonts w:hint="cs"/>
          <w:rtl/>
        </w:rPr>
        <w:t xml:space="preserve"> وهذا الكلام القصير يغني عن تتبع النقول التي توهموا منها تشبيه الله بخلقه فإذا غلط الناس في فهم معاني كلام الله تعالى</w:t>
      </w:r>
      <w:r w:rsidR="000636C2">
        <w:rPr>
          <w:rFonts w:hint="cs"/>
          <w:rtl/>
        </w:rPr>
        <w:t>،</w:t>
      </w:r>
      <w:r w:rsidRPr="005675B2">
        <w:rPr>
          <w:rFonts w:hint="cs"/>
          <w:rtl/>
        </w:rPr>
        <w:t xml:space="preserve"> ورسوله فكيف بما دونهم من البشر</w:t>
      </w:r>
      <w:r w:rsidR="000636C2">
        <w:rPr>
          <w:rFonts w:hint="cs"/>
          <w:rtl/>
        </w:rPr>
        <w:t>،</w:t>
      </w:r>
      <w:r w:rsidRPr="005675B2">
        <w:rPr>
          <w:rFonts w:hint="cs"/>
          <w:rtl/>
        </w:rPr>
        <w:t xml:space="preserve"> وأخيراً</w:t>
      </w:r>
      <w:r w:rsidR="000636C2">
        <w:rPr>
          <w:rFonts w:hint="cs"/>
          <w:rtl/>
        </w:rPr>
        <w:t>:</w:t>
      </w:r>
      <w:r w:rsidRPr="005675B2">
        <w:rPr>
          <w:rFonts w:hint="cs"/>
          <w:rtl/>
        </w:rPr>
        <w:t xml:space="preserve"> فإليكم صورة للكون</w:t>
      </w:r>
      <w:r w:rsidR="000636C2">
        <w:rPr>
          <w:rFonts w:hint="cs"/>
          <w:rtl/>
        </w:rPr>
        <w:t>،</w:t>
      </w:r>
      <w:r w:rsidRPr="005675B2">
        <w:rPr>
          <w:rFonts w:hint="cs"/>
          <w:rtl/>
        </w:rPr>
        <w:t xml:space="preserve"> والأرض من ضمنه</w:t>
      </w:r>
      <w:r w:rsidR="000636C2">
        <w:rPr>
          <w:rFonts w:hint="cs"/>
          <w:rtl/>
        </w:rPr>
        <w:t>،</w:t>
      </w:r>
      <w:r w:rsidRPr="005675B2">
        <w:rPr>
          <w:rFonts w:hint="cs"/>
          <w:rtl/>
        </w:rPr>
        <w:t xml:space="preserve"> يتضح فيها بجلاء خطأ اعتقاد كون الله في جهة منه</w:t>
      </w:r>
      <w:r w:rsidR="000636C2">
        <w:rPr>
          <w:rFonts w:hint="cs"/>
          <w:rtl/>
        </w:rPr>
        <w:t>،</w:t>
      </w:r>
      <w:r w:rsidRPr="005675B2">
        <w:rPr>
          <w:rFonts w:hint="cs"/>
          <w:rtl/>
        </w:rPr>
        <w:t xml:space="preserve"> أو في جهة اسمها العلو</w:t>
      </w:r>
      <w:r w:rsidR="000636C2">
        <w:rPr>
          <w:rFonts w:hint="cs"/>
          <w:rtl/>
        </w:rPr>
        <w:t>،</w:t>
      </w:r>
      <w:r w:rsidRPr="005675B2">
        <w:rPr>
          <w:rFonts w:hint="cs"/>
          <w:rtl/>
        </w:rPr>
        <w:t xml:space="preserve"> وقد كان الناس قديماً يظنون أن الأرض ليست كروية بيضاوية</w:t>
      </w:r>
      <w:r w:rsidR="000636C2">
        <w:rPr>
          <w:rFonts w:hint="cs"/>
          <w:rtl/>
        </w:rPr>
        <w:t>،</w:t>
      </w:r>
      <w:r w:rsidRPr="005675B2">
        <w:rPr>
          <w:rFonts w:hint="cs"/>
          <w:rtl/>
        </w:rPr>
        <w:t xml:space="preserve"> وإنما هي منبسطة</w:t>
      </w:r>
      <w:r w:rsidR="000636C2">
        <w:rPr>
          <w:rFonts w:hint="cs"/>
          <w:rtl/>
        </w:rPr>
        <w:t>،</w:t>
      </w:r>
      <w:r w:rsidRPr="005675B2">
        <w:rPr>
          <w:rFonts w:hint="cs"/>
          <w:rtl/>
        </w:rPr>
        <w:t>وكانوا يظنون أنها ثابتة لا تتحرك</w:t>
      </w:r>
      <w:r w:rsidR="000636C2">
        <w:rPr>
          <w:rFonts w:hint="cs"/>
          <w:rtl/>
        </w:rPr>
        <w:t>،</w:t>
      </w:r>
      <w:r w:rsidRPr="005675B2">
        <w:rPr>
          <w:rFonts w:hint="cs"/>
          <w:rtl/>
        </w:rPr>
        <w:t xml:space="preserve"> فبنى بعض هؤلاء على ضوء هذه الفكرة الحسية كون الله في جهة</w:t>
      </w:r>
      <w:r w:rsidR="000636C2">
        <w:rPr>
          <w:rFonts w:hint="cs"/>
          <w:rtl/>
        </w:rPr>
        <w:t>،</w:t>
      </w:r>
      <w:r w:rsidRPr="005675B2">
        <w:rPr>
          <w:rFonts w:hint="cs"/>
          <w:rtl/>
        </w:rPr>
        <w:t xml:space="preserve"> وقد تبين قطعاً في هذا الزمن أن الأرض تدور</w:t>
      </w:r>
      <w:r w:rsidR="000636C2">
        <w:rPr>
          <w:rFonts w:hint="cs"/>
          <w:rtl/>
        </w:rPr>
        <w:t>،</w:t>
      </w:r>
      <w:r w:rsidRPr="005675B2">
        <w:rPr>
          <w:rFonts w:hint="cs"/>
          <w:rtl/>
        </w:rPr>
        <w:t>وأنها بيضاوية الشكل وسترى في الصورة التالية موقع الأرض من الفضاء</w:t>
      </w:r>
      <w:r w:rsidR="000636C2">
        <w:rPr>
          <w:rFonts w:hint="cs"/>
          <w:rtl/>
        </w:rPr>
        <w:t>،</w:t>
      </w:r>
      <w:r w:rsidRPr="005675B2">
        <w:rPr>
          <w:rFonts w:hint="cs"/>
          <w:rtl/>
        </w:rPr>
        <w:t xml:space="preserve"> وشكلها [</w:t>
      </w:r>
      <w:r w:rsidRPr="005675B2">
        <w:rPr>
          <w:rFonts w:hint="cs"/>
          <w:bCs/>
          <w:sz w:val="24"/>
          <w:szCs w:val="24"/>
          <w:rtl/>
        </w:rPr>
        <w:t>وهي كالنقطة الصغيرة في هذا الفضاء.فما تكون فيها أيه الإنسان الظلوم الجهول]</w:t>
      </w:r>
      <w:r w:rsidR="000636C2">
        <w:rPr>
          <w:rFonts w:hint="cs"/>
          <w:rtl/>
        </w:rPr>
        <w:t>،</w:t>
      </w:r>
      <w:r w:rsidRPr="005675B2">
        <w:rPr>
          <w:rFonts w:hint="cs"/>
          <w:rtl/>
        </w:rPr>
        <w:t xml:space="preserve"> وترى كلاً في فلك يسبحون</w:t>
      </w:r>
      <w:r w:rsidR="000636C2">
        <w:rPr>
          <w:rFonts w:hint="cs"/>
          <w:rtl/>
        </w:rPr>
        <w:t>،</w:t>
      </w:r>
      <w:r w:rsidRPr="005675B2">
        <w:rPr>
          <w:rFonts w:hint="cs"/>
          <w:rtl/>
        </w:rPr>
        <w:t xml:space="preserve"> وتعلم أن القياسات التي كان يقيسها الكرامية وغيرهم</w:t>
      </w:r>
      <w:r w:rsidR="000636C2">
        <w:rPr>
          <w:rFonts w:hint="cs"/>
          <w:rtl/>
        </w:rPr>
        <w:t>،</w:t>
      </w:r>
      <w:r w:rsidRPr="005675B2">
        <w:rPr>
          <w:rFonts w:hint="cs"/>
          <w:rtl/>
        </w:rPr>
        <w:t xml:space="preserve"> والخيالات التي بنوا عليها عقيدة الجهة لا أساس لها من الصحة</w:t>
      </w:r>
      <w:r w:rsidR="000636C2">
        <w:rPr>
          <w:rFonts w:hint="cs"/>
          <w:rtl/>
        </w:rPr>
        <w:t>،</w:t>
      </w:r>
      <w:r w:rsidRPr="005675B2">
        <w:rPr>
          <w:rFonts w:hint="cs"/>
          <w:rtl/>
        </w:rPr>
        <w:t xml:space="preserve"> ولذا فلا وجه للتمادي في الباطل بعد أن تبين الحق لكل مبتغ له</w:t>
      </w:r>
      <w:r w:rsidR="000636C2">
        <w:rPr>
          <w:rFonts w:hint="cs"/>
          <w:rtl/>
        </w:rPr>
        <w:t>،</w:t>
      </w:r>
      <w:r w:rsidRPr="005675B2">
        <w:rPr>
          <w:rFonts w:hint="cs"/>
          <w:rtl/>
        </w:rPr>
        <w:t xml:space="preserve"> إلا إذا وصل الخيال الفاسد ببعضهم إلى أن يتخيل أن الله - سبحانه وتعالى عن ذلك - ذو جسم ممتد حول الكون بشكل دائري</w:t>
      </w:r>
      <w:r w:rsidR="000636C2">
        <w:rPr>
          <w:rFonts w:hint="cs"/>
          <w:rtl/>
        </w:rPr>
        <w:t>،</w:t>
      </w:r>
      <w:r w:rsidRPr="005675B2">
        <w:rPr>
          <w:rFonts w:hint="cs"/>
          <w:rtl/>
        </w:rPr>
        <w:t xml:space="preserve"> فهذا والله ضلال مبين</w:t>
      </w:r>
      <w:r w:rsidR="000636C2">
        <w:rPr>
          <w:rFonts w:hint="cs"/>
          <w:rtl/>
        </w:rPr>
        <w:t>،</w:t>
      </w:r>
      <w:r w:rsidRPr="005675B2">
        <w:rPr>
          <w:rFonts w:hint="cs"/>
          <w:rtl/>
        </w:rPr>
        <w:t xml:space="preserve"> إذن فنؤمن بصفة العلو لله وليست حلولا ًفي الجهات</w:t>
      </w:r>
      <w:r w:rsidR="000636C2">
        <w:rPr>
          <w:rFonts w:hint="cs"/>
          <w:rtl/>
        </w:rPr>
        <w:t>،</w:t>
      </w:r>
      <w:r w:rsidRPr="005675B2">
        <w:rPr>
          <w:rFonts w:hint="cs"/>
          <w:rtl/>
        </w:rPr>
        <w:t xml:space="preserve"> وقد سبق الكفاية</w:t>
      </w:r>
    </w:p>
    <w:p w14:paraId="3154F619" w14:textId="2DD214BD" w:rsidR="009C32A0" w:rsidRPr="005675B2" w:rsidRDefault="009C32A0" w:rsidP="000636C2">
      <w:pPr>
        <w:rPr>
          <w:b/>
          <w:rtl/>
        </w:rPr>
      </w:pPr>
      <w:r w:rsidRPr="005675B2">
        <w:rPr>
          <w:rFonts w:hint="cs"/>
          <w:bCs/>
          <w:rtl/>
        </w:rPr>
        <w:t>دعاوى ضد علماء من أهل السنة</w:t>
      </w:r>
      <w:r w:rsidR="000636C2">
        <w:rPr>
          <w:rFonts w:hint="cs"/>
          <w:bCs/>
          <w:rtl/>
          <w:lang w:bidi="ar-KW"/>
        </w:rPr>
        <w:t xml:space="preserve">: </w:t>
      </w:r>
      <w:r w:rsidRPr="005675B2">
        <w:rPr>
          <w:rFonts w:hint="cs"/>
          <w:rtl/>
        </w:rPr>
        <w:t>قال الكاتب</w:t>
      </w:r>
      <w:r w:rsidR="000636C2">
        <w:rPr>
          <w:rFonts w:hint="cs"/>
          <w:rtl/>
        </w:rPr>
        <w:t>:</w:t>
      </w:r>
      <w:r w:rsidRPr="005675B2">
        <w:rPr>
          <w:rFonts w:hint="cs"/>
          <w:rtl/>
        </w:rPr>
        <w:t xml:space="preserve"> من المعلوم أن إمام</w:t>
      </w:r>
      <w:r w:rsidRPr="005675B2">
        <w:rPr>
          <w:rFonts w:hint="cs"/>
        </w:rPr>
        <w:t xml:space="preserve"> </w:t>
      </w:r>
      <w:r w:rsidRPr="005675B2">
        <w:rPr>
          <w:rFonts w:hint="cs"/>
          <w:rtl/>
        </w:rPr>
        <w:t xml:space="preserve">الأشعرية المتأخر الذي ضبط المذهب وقعد أصوله هو الفخر الرازي </w:t>
      </w:r>
      <w:r w:rsidR="000636C2">
        <w:rPr>
          <w:rFonts w:hint="cs"/>
          <w:rtl/>
        </w:rPr>
        <w:t>(</w:t>
      </w:r>
      <w:r w:rsidRPr="005675B2">
        <w:rPr>
          <w:rFonts w:hint="cs"/>
          <w:rtl/>
        </w:rPr>
        <w:t>ت 606 ه</w:t>
      </w:r>
      <w:r w:rsidR="000636C2">
        <w:rPr>
          <w:rFonts w:hint="cs"/>
          <w:rtl/>
        </w:rPr>
        <w:t xml:space="preserve"> </w:t>
      </w:r>
      <w:r w:rsidRPr="005675B2">
        <w:rPr>
          <w:rFonts w:hint="cs"/>
          <w:rtl/>
        </w:rPr>
        <w:t>-</w:t>
      </w:r>
      <w:r w:rsidR="000636C2">
        <w:rPr>
          <w:rFonts w:hint="cs"/>
          <w:rtl/>
        </w:rPr>
        <w:t>)</w:t>
      </w:r>
      <w:r w:rsidRPr="005675B2">
        <w:rPr>
          <w:rFonts w:hint="cs"/>
          <w:rtl/>
        </w:rPr>
        <w:t xml:space="preserve"> ثم خلفه</w:t>
      </w:r>
      <w:r w:rsidRPr="005675B2">
        <w:rPr>
          <w:rFonts w:hint="cs"/>
        </w:rPr>
        <w:t xml:space="preserve"> </w:t>
      </w:r>
      <w:r w:rsidRPr="005675B2">
        <w:rPr>
          <w:rFonts w:hint="cs"/>
          <w:rtl/>
        </w:rPr>
        <w:t xml:space="preserve">الآمدي </w:t>
      </w:r>
      <w:r w:rsidR="000636C2">
        <w:rPr>
          <w:rFonts w:hint="cs"/>
          <w:rtl/>
        </w:rPr>
        <w:t>(</w:t>
      </w:r>
      <w:r w:rsidRPr="005675B2">
        <w:rPr>
          <w:rFonts w:hint="cs"/>
          <w:rtl/>
        </w:rPr>
        <w:t>631 ه</w:t>
      </w:r>
      <w:r w:rsidR="000636C2">
        <w:rPr>
          <w:rFonts w:hint="cs"/>
          <w:rtl/>
        </w:rPr>
        <w:t xml:space="preserve"> </w:t>
      </w:r>
      <w:r w:rsidRPr="005675B2">
        <w:rPr>
          <w:rFonts w:hint="cs"/>
          <w:rtl/>
        </w:rPr>
        <w:t>-</w:t>
      </w:r>
      <w:r w:rsidR="000636C2">
        <w:rPr>
          <w:rFonts w:hint="cs"/>
          <w:rtl/>
        </w:rPr>
        <w:t>)</w:t>
      </w:r>
      <w:r w:rsidRPr="005675B2">
        <w:rPr>
          <w:rFonts w:hint="cs"/>
          <w:rtl/>
        </w:rPr>
        <w:t xml:space="preserve"> والآرموي </w:t>
      </w:r>
      <w:r w:rsidR="000636C2">
        <w:rPr>
          <w:rFonts w:hint="cs"/>
          <w:rtl/>
        </w:rPr>
        <w:t>(</w:t>
      </w:r>
      <w:r w:rsidRPr="005675B2">
        <w:rPr>
          <w:rFonts w:hint="cs"/>
          <w:rtl/>
        </w:rPr>
        <w:t>682 ه</w:t>
      </w:r>
      <w:r w:rsidR="000636C2">
        <w:rPr>
          <w:rFonts w:hint="cs"/>
          <w:rtl/>
        </w:rPr>
        <w:t xml:space="preserve"> </w:t>
      </w:r>
      <w:r w:rsidRPr="005675B2">
        <w:rPr>
          <w:rFonts w:hint="cs"/>
          <w:rtl/>
        </w:rPr>
        <w:t>-</w:t>
      </w:r>
      <w:r w:rsidR="000636C2">
        <w:rPr>
          <w:rFonts w:hint="cs"/>
          <w:rtl/>
        </w:rPr>
        <w:t>)</w:t>
      </w:r>
      <w:r w:rsidRPr="005675B2">
        <w:rPr>
          <w:rFonts w:hint="cs"/>
          <w:rtl/>
        </w:rPr>
        <w:t xml:space="preserve"> فنشرا فكره في الشام ومصر واستوفيا بعض</w:t>
      </w:r>
      <w:r w:rsidRPr="005675B2">
        <w:rPr>
          <w:rFonts w:hint="cs"/>
        </w:rPr>
        <w:t xml:space="preserve"> </w:t>
      </w:r>
      <w:r w:rsidRPr="005675B2">
        <w:rPr>
          <w:rFonts w:hint="cs"/>
          <w:rtl/>
        </w:rPr>
        <w:t xml:space="preserve">القضايا في المذهب </w:t>
      </w:r>
      <w:r w:rsidR="000636C2">
        <w:rPr>
          <w:rFonts w:hint="cs"/>
          <w:rtl/>
        </w:rPr>
        <w:t>(</w:t>
      </w:r>
      <w:r w:rsidRPr="005675B2">
        <w:rPr>
          <w:rFonts w:hint="cs"/>
          <w:rtl/>
        </w:rPr>
        <w:t>وفكر هؤلاء الثلاثة هو الذي كان الموضوع الرئيسي في كتاب درء</w:t>
      </w:r>
      <w:r w:rsidRPr="005675B2">
        <w:rPr>
          <w:rFonts w:hint="cs"/>
        </w:rPr>
        <w:t xml:space="preserve"> </w:t>
      </w:r>
      <w:r w:rsidRPr="005675B2">
        <w:rPr>
          <w:rFonts w:hint="cs"/>
          <w:rtl/>
        </w:rPr>
        <w:t>التعارض</w:t>
      </w:r>
      <w:r w:rsidR="000636C2">
        <w:rPr>
          <w:rFonts w:hint="cs"/>
          <w:rtl/>
        </w:rPr>
        <w:t>)</w:t>
      </w:r>
      <w:r w:rsidRPr="005675B2">
        <w:rPr>
          <w:rFonts w:hint="cs"/>
          <w:rtl/>
        </w:rPr>
        <w:t xml:space="preserve"> وأعقبهم الأيجي صاحب المواقف </w:t>
      </w:r>
      <w:r w:rsidR="000636C2">
        <w:rPr>
          <w:rFonts w:hint="cs"/>
          <w:rtl/>
        </w:rPr>
        <w:t>(</w:t>
      </w:r>
      <w:r w:rsidRPr="005675B2">
        <w:rPr>
          <w:rFonts w:hint="cs"/>
          <w:rtl/>
        </w:rPr>
        <w:t>الذي كان معاصراً لشيخ الإسلام ابن تيمية</w:t>
      </w:r>
      <w:r w:rsidR="000636C2">
        <w:rPr>
          <w:rFonts w:hint="cs"/>
          <w:rtl/>
        </w:rPr>
        <w:t>)</w:t>
      </w:r>
      <w:r w:rsidRPr="005675B2">
        <w:t xml:space="preserve"> </w:t>
      </w:r>
      <w:r w:rsidRPr="005675B2">
        <w:rPr>
          <w:rFonts w:hint="cs"/>
          <w:rtl/>
        </w:rPr>
        <w:t>فألف</w:t>
      </w:r>
      <w:r w:rsidRPr="005675B2">
        <w:rPr>
          <w:rFonts w:hint="cs"/>
        </w:rPr>
        <w:t xml:space="preserve"> </w:t>
      </w:r>
      <w:r w:rsidRPr="005675B2">
        <w:rPr>
          <w:rFonts w:hint="cs"/>
          <w:rtl/>
        </w:rPr>
        <w:t>"</w:t>
      </w:r>
      <w:r w:rsidRPr="005675B2">
        <w:rPr>
          <w:rFonts w:hint="cs"/>
        </w:rPr>
        <w:t xml:space="preserve"> </w:t>
      </w:r>
      <w:r w:rsidRPr="005675B2">
        <w:rPr>
          <w:rFonts w:hint="cs"/>
          <w:rtl/>
        </w:rPr>
        <w:t>المواقف</w:t>
      </w:r>
      <w:r w:rsidRPr="005675B2">
        <w:rPr>
          <w:rFonts w:hint="cs"/>
        </w:rPr>
        <w:t xml:space="preserve"> </w:t>
      </w:r>
      <w:r w:rsidRPr="005675B2">
        <w:rPr>
          <w:rFonts w:hint="cs"/>
          <w:rtl/>
        </w:rPr>
        <w:t>"</w:t>
      </w:r>
      <w:r w:rsidRPr="005675B2">
        <w:rPr>
          <w:rFonts w:hint="cs"/>
        </w:rPr>
        <w:t xml:space="preserve"> </w:t>
      </w:r>
      <w:r w:rsidRPr="005675B2">
        <w:rPr>
          <w:rFonts w:hint="cs"/>
          <w:rtl/>
        </w:rPr>
        <w:t>الذي هو تقنين وتنظيم</w:t>
      </w:r>
      <w:r w:rsidRPr="005675B2">
        <w:rPr>
          <w:rFonts w:hint="cs"/>
        </w:rPr>
        <w:t xml:space="preserve"> </w:t>
      </w:r>
      <w:r w:rsidRPr="005675B2">
        <w:rPr>
          <w:rFonts w:hint="cs"/>
          <w:rtl/>
        </w:rPr>
        <w:t>لفكر الرازي ومدرسته وهذا الكتاب هو عمدة المذهب قديماً وحديثاً</w:t>
      </w:r>
      <w:r w:rsidR="000636C2">
        <w:rPr>
          <w:rFonts w:hint="cs"/>
          <w:rtl/>
        </w:rPr>
        <w:t>،</w:t>
      </w:r>
      <w:r w:rsidRPr="005675B2">
        <w:rPr>
          <w:rFonts w:hint="cs"/>
          <w:rtl/>
        </w:rPr>
        <w:t xml:space="preserve"> وقد ترجم الحافظ الذهبي</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في الميزان وغيره للرازي والآمدي بما هم أهله</w:t>
      </w:r>
      <w:r w:rsidR="000636C2">
        <w:rPr>
          <w:rFonts w:hint="cs"/>
          <w:rtl/>
        </w:rPr>
        <w:t>،</w:t>
      </w:r>
      <w:r w:rsidRPr="005675B2">
        <w:rPr>
          <w:rFonts w:hint="cs"/>
          <w:rtl/>
        </w:rPr>
        <w:t xml:space="preserve"> ثم جاء ابن السبكي</w:t>
      </w:r>
      <w:r w:rsidR="000636C2">
        <w:rPr>
          <w:rFonts w:hint="cs"/>
          <w:rtl/>
        </w:rPr>
        <w:t xml:space="preserve"> </w:t>
      </w:r>
      <w:r w:rsidRPr="005675B2">
        <w:rPr>
          <w:rFonts w:hint="cs"/>
          <w:rtl/>
        </w:rPr>
        <w:t>- ذلك</w:t>
      </w:r>
      <w:r w:rsidRPr="005675B2">
        <w:rPr>
          <w:rFonts w:hint="cs"/>
        </w:rPr>
        <w:t xml:space="preserve"> </w:t>
      </w:r>
      <w:r w:rsidRPr="005675B2">
        <w:rPr>
          <w:rFonts w:hint="cs"/>
          <w:rtl/>
        </w:rPr>
        <w:t>الأشعري المتعصب</w:t>
      </w:r>
      <w:r w:rsidR="000636C2">
        <w:rPr>
          <w:rFonts w:hint="cs"/>
          <w:rtl/>
        </w:rPr>
        <w:t xml:space="preserve"> </w:t>
      </w:r>
      <w:r w:rsidRPr="005675B2">
        <w:rPr>
          <w:rFonts w:hint="cs"/>
          <w:rtl/>
        </w:rPr>
        <w:t>- فتعقبه وعنف عليه ظلماً</w:t>
      </w:r>
      <w:r w:rsidR="000636C2">
        <w:rPr>
          <w:rFonts w:hint="cs"/>
          <w:rtl/>
        </w:rPr>
        <w:t>،</w:t>
      </w:r>
      <w:r w:rsidRPr="005675B2">
        <w:rPr>
          <w:rFonts w:hint="cs"/>
          <w:rtl/>
        </w:rPr>
        <w:t xml:space="preserve"> ثم جاء ابن حجر</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فألف</w:t>
      </w:r>
      <w:r w:rsidRPr="005675B2">
        <w:rPr>
          <w:rFonts w:hint="cs"/>
        </w:rPr>
        <w:t xml:space="preserve"> </w:t>
      </w:r>
      <w:r w:rsidRPr="005675B2">
        <w:rPr>
          <w:rFonts w:hint="cs"/>
          <w:rtl/>
        </w:rPr>
        <w:t>لسان الميزان فترجم لهما بطبيعة الحال</w:t>
      </w:r>
      <w:r w:rsidR="000636C2">
        <w:rPr>
          <w:rFonts w:hint="cs"/>
          <w:rtl/>
        </w:rPr>
        <w:t xml:space="preserve"> </w:t>
      </w:r>
      <w:r w:rsidRPr="005675B2">
        <w:rPr>
          <w:rFonts w:hint="cs"/>
          <w:rtl/>
        </w:rPr>
        <w:t>- ناقلاً كلام ابن السبكي ونقده للذهبي ولم</w:t>
      </w:r>
      <w:r w:rsidRPr="005675B2">
        <w:rPr>
          <w:rFonts w:hint="cs"/>
        </w:rPr>
        <w:t xml:space="preserve"> </w:t>
      </w:r>
      <w:r w:rsidRPr="005675B2">
        <w:rPr>
          <w:rFonts w:hint="cs"/>
          <w:rtl/>
        </w:rPr>
        <w:t>يكن بخاف عليه مكانتهما وإمامتهما في المذهب كما ذكر طرفاً من شنائع الآرموي ضمن</w:t>
      </w:r>
      <w:r w:rsidRPr="005675B2">
        <w:rPr>
          <w:rFonts w:hint="cs"/>
        </w:rPr>
        <w:t xml:space="preserve"> </w:t>
      </w:r>
      <w:r w:rsidRPr="005675B2">
        <w:rPr>
          <w:rFonts w:hint="cs"/>
          <w:rtl/>
        </w:rPr>
        <w:t>ترجمة الرازي</w:t>
      </w:r>
      <w:r w:rsidR="000636C2">
        <w:rPr>
          <w:rFonts w:hint="cs"/>
          <w:rtl/>
        </w:rPr>
        <w:t>،</w:t>
      </w:r>
    </w:p>
    <w:p w14:paraId="2371F221" w14:textId="68A801C0" w:rsidR="009C32A0" w:rsidRPr="005675B2" w:rsidRDefault="000636C2" w:rsidP="000636C2">
      <w:pPr>
        <w:rPr>
          <w:b/>
          <w:snapToGrid w:val="0"/>
          <w:rtl/>
        </w:rPr>
      </w:pPr>
      <w:r>
        <w:rPr>
          <w:rFonts w:hint="cs"/>
          <w:rtl/>
        </w:rPr>
        <w:t>[</w:t>
      </w:r>
      <w:r w:rsidR="009C32A0">
        <w:rPr>
          <w:rFonts w:hint="cs"/>
          <w:rtl/>
        </w:rPr>
        <w:t>الجواب</w:t>
      </w:r>
      <w:r>
        <w:rPr>
          <w:rFonts w:hint="cs"/>
          <w:rtl/>
        </w:rPr>
        <w:t>]:</w:t>
      </w:r>
      <w:r w:rsidR="009C32A0" w:rsidRPr="005675B2">
        <w:rPr>
          <w:rFonts w:hint="cs"/>
          <w:rtl/>
        </w:rPr>
        <w:t xml:space="preserve"> </w:t>
      </w:r>
      <w:r w:rsidR="009C32A0" w:rsidRPr="005675B2">
        <w:rPr>
          <w:rFonts w:hint="cs"/>
          <w:snapToGrid w:val="0"/>
          <w:rtl/>
        </w:rPr>
        <w:t>بالنسبة للإمام الرازي رحمه الله تعالى فهنا مسائل</w:t>
      </w:r>
      <w:r>
        <w:rPr>
          <w:rFonts w:hint="cs"/>
          <w:snapToGrid w:val="0"/>
          <w:rtl/>
        </w:rPr>
        <w:t>:</w:t>
      </w:r>
    </w:p>
    <w:p w14:paraId="656295AE" w14:textId="17F89CFF" w:rsidR="009C32A0" w:rsidRPr="005675B2" w:rsidRDefault="000636C2" w:rsidP="000636C2">
      <w:pPr>
        <w:rPr>
          <w:b/>
          <w:snapToGrid w:val="0"/>
          <w:rtl/>
        </w:rPr>
      </w:pPr>
      <w:r>
        <w:rPr>
          <w:rFonts w:hint="cs"/>
          <w:snapToGrid w:val="0"/>
          <w:rtl/>
        </w:rPr>
        <w:t>(</w:t>
      </w:r>
      <w:r w:rsidR="009C32A0">
        <w:rPr>
          <w:rFonts w:hint="cs"/>
          <w:snapToGrid w:val="0"/>
          <w:rtl/>
        </w:rPr>
        <w:t>أولا</w:t>
      </w:r>
      <w:r>
        <w:rPr>
          <w:rFonts w:hint="cs"/>
          <w:snapToGrid w:val="0"/>
          <w:rtl/>
        </w:rPr>
        <w:t>):</w:t>
      </w:r>
      <w:r w:rsidR="009C32A0" w:rsidRPr="005675B2">
        <w:rPr>
          <w:rFonts w:hint="cs"/>
          <w:snapToGrid w:val="0"/>
          <w:rtl/>
        </w:rPr>
        <w:t xml:space="preserve"> التشغيب على الإمام الرازي</w:t>
      </w:r>
      <w:r>
        <w:rPr>
          <w:rFonts w:hint="cs"/>
          <w:snapToGrid w:val="0"/>
          <w:rtl/>
        </w:rPr>
        <w:t>:</w:t>
      </w:r>
      <w:r w:rsidR="009C32A0" w:rsidRPr="005675B2">
        <w:rPr>
          <w:rFonts w:hint="cs"/>
          <w:snapToGrid w:val="0"/>
          <w:rtl/>
        </w:rPr>
        <w:t>فأقدم بما يلي</w:t>
      </w:r>
      <w:r>
        <w:rPr>
          <w:rFonts w:hint="cs"/>
          <w:snapToGrid w:val="0"/>
          <w:rtl/>
        </w:rPr>
        <w:t xml:space="preserve">: </w:t>
      </w:r>
      <w:r w:rsidR="009C32A0" w:rsidRPr="005675B2">
        <w:rPr>
          <w:rFonts w:hint="cs"/>
          <w:snapToGrid w:val="0"/>
          <w:rtl/>
        </w:rPr>
        <w:t>1</w:t>
      </w:r>
      <w:r>
        <w:rPr>
          <w:rFonts w:hint="cs"/>
          <w:snapToGrid w:val="0"/>
          <w:rtl/>
        </w:rPr>
        <w:t xml:space="preserve"> </w:t>
      </w:r>
      <w:r w:rsidR="009C32A0" w:rsidRPr="005675B2">
        <w:rPr>
          <w:rFonts w:hint="cs"/>
          <w:snapToGrid w:val="0"/>
          <w:rtl/>
        </w:rPr>
        <w:t>-</w:t>
      </w:r>
      <w:r>
        <w:rPr>
          <w:rFonts w:hint="cs"/>
          <w:snapToGrid w:val="0"/>
          <w:rtl/>
        </w:rPr>
        <w:t xml:space="preserve"> </w:t>
      </w:r>
      <w:r w:rsidR="009C32A0" w:rsidRPr="005675B2">
        <w:rPr>
          <w:rFonts w:hint="cs"/>
          <w:snapToGrid w:val="0"/>
          <w:rtl/>
        </w:rPr>
        <w:t>أطبقت كتب السير والتاريخ</w:t>
      </w:r>
      <w:r>
        <w:rPr>
          <w:rFonts w:hint="cs"/>
          <w:snapToGrid w:val="0"/>
          <w:rtl/>
        </w:rPr>
        <w:t xml:space="preserve"> </w:t>
      </w:r>
      <w:r w:rsidR="009C32A0" w:rsidRPr="005675B2">
        <w:rPr>
          <w:rFonts w:hint="cs"/>
          <w:snapToGrid w:val="0"/>
          <w:rtl/>
        </w:rPr>
        <w:t>كلها على أنه مات على</w:t>
      </w:r>
      <w:r>
        <w:rPr>
          <w:rFonts w:hint="cs"/>
          <w:snapToGrid w:val="0"/>
          <w:rtl/>
        </w:rPr>
        <w:t xml:space="preserve"> </w:t>
      </w:r>
      <w:r w:rsidR="009C32A0" w:rsidRPr="005675B2">
        <w:rPr>
          <w:rFonts w:hint="cs"/>
          <w:snapToGrid w:val="0"/>
          <w:rtl/>
        </w:rPr>
        <w:t>أحسن حال ولله الحمد</w:t>
      </w:r>
      <w:r>
        <w:rPr>
          <w:rFonts w:hint="cs"/>
          <w:snapToGrid w:val="0"/>
          <w:rtl/>
        </w:rPr>
        <w:t>،</w:t>
      </w:r>
      <w:r w:rsidR="009C32A0" w:rsidRPr="005675B2">
        <w:rPr>
          <w:rFonts w:hint="cs"/>
          <w:snapToGrid w:val="0"/>
          <w:rtl/>
        </w:rPr>
        <w:t xml:space="preserve"> هذه نقطة</w:t>
      </w:r>
      <w:r>
        <w:rPr>
          <w:rFonts w:hint="cs"/>
          <w:snapToGrid w:val="0"/>
          <w:rtl/>
        </w:rPr>
        <w:t>،</w:t>
      </w:r>
      <w:r w:rsidR="009C32A0" w:rsidRPr="005675B2">
        <w:rPr>
          <w:rFonts w:hint="cs"/>
          <w:snapToGrid w:val="0"/>
          <w:rtl/>
        </w:rPr>
        <w:t xml:space="preserve"> 2</w:t>
      </w:r>
      <w:r>
        <w:rPr>
          <w:rFonts w:hint="cs"/>
          <w:snapToGrid w:val="0"/>
          <w:rtl/>
        </w:rPr>
        <w:t xml:space="preserve"> </w:t>
      </w:r>
      <w:r w:rsidR="009C32A0" w:rsidRPr="005675B2">
        <w:rPr>
          <w:rFonts w:hint="cs"/>
          <w:snapToGrid w:val="0"/>
          <w:rtl/>
        </w:rPr>
        <w:t>- أن الإمام الرازي ليس بمعصوم فقد يخطئ</w:t>
      </w:r>
      <w:r>
        <w:rPr>
          <w:rFonts w:hint="cs"/>
          <w:snapToGrid w:val="0"/>
          <w:rtl/>
        </w:rPr>
        <w:t xml:space="preserve"> </w:t>
      </w:r>
      <w:r w:rsidR="009C32A0" w:rsidRPr="005675B2">
        <w:rPr>
          <w:rFonts w:hint="cs"/>
          <w:snapToGrid w:val="0"/>
          <w:rtl/>
        </w:rPr>
        <w:t>لكنه من أهل السنة والجماعة بلا شك، فإن ثبت أنه أخطأ في مسائل فلا يعني هذا أن الأشاعرة كلهم غلطوا لأنه غلط</w:t>
      </w:r>
      <w:r>
        <w:rPr>
          <w:rFonts w:hint="cs"/>
          <w:snapToGrid w:val="0"/>
          <w:rtl/>
        </w:rPr>
        <w:t>،</w:t>
      </w:r>
      <w:r w:rsidR="009C32A0" w:rsidRPr="005675B2">
        <w:rPr>
          <w:rFonts w:hint="cs"/>
          <w:snapToGrid w:val="0"/>
          <w:rtl/>
        </w:rPr>
        <w:t xml:space="preserve"> 3</w:t>
      </w:r>
      <w:r>
        <w:rPr>
          <w:rFonts w:hint="cs"/>
          <w:snapToGrid w:val="0"/>
          <w:rtl/>
        </w:rPr>
        <w:t xml:space="preserve"> </w:t>
      </w:r>
      <w:r w:rsidR="009C32A0" w:rsidRPr="005675B2">
        <w:rPr>
          <w:rFonts w:hint="cs"/>
          <w:snapToGrid w:val="0"/>
          <w:rtl/>
        </w:rPr>
        <w:t>- وهذا بعض ما نسب إليه</w:t>
      </w:r>
      <w:r>
        <w:rPr>
          <w:rFonts w:hint="cs"/>
          <w:snapToGrid w:val="0"/>
          <w:rtl/>
        </w:rPr>
        <w:t>،</w:t>
      </w:r>
      <w:r w:rsidR="009C32A0" w:rsidRPr="005675B2">
        <w:rPr>
          <w:rFonts w:hint="cs"/>
          <w:snapToGrid w:val="0"/>
          <w:rtl/>
        </w:rPr>
        <w:t xml:space="preserve"> فقد نسب إليه كتاب في السحر وهذا باطل</w:t>
      </w:r>
      <w:r>
        <w:rPr>
          <w:rFonts w:hint="cs"/>
          <w:snapToGrid w:val="0"/>
          <w:rtl/>
        </w:rPr>
        <w:t>،</w:t>
      </w:r>
      <w:r w:rsidR="009C32A0" w:rsidRPr="005675B2">
        <w:rPr>
          <w:rFonts w:hint="cs"/>
          <w:snapToGrid w:val="0"/>
          <w:rtl/>
        </w:rPr>
        <w:t xml:space="preserve"> لا يصلح أن ينسب إلى عامي فضلاً عن عالم من علماء الأمة إلا بيقين</w:t>
      </w:r>
      <w:r>
        <w:rPr>
          <w:rFonts w:hint="cs"/>
          <w:snapToGrid w:val="0"/>
          <w:rtl/>
        </w:rPr>
        <w:t>،</w:t>
      </w:r>
      <w:r w:rsidR="009C32A0" w:rsidRPr="005675B2">
        <w:rPr>
          <w:rFonts w:hint="cs"/>
          <w:snapToGrid w:val="0"/>
          <w:u w:val="single"/>
          <w:rtl/>
        </w:rPr>
        <w:t>أو التماس عذرله في ذلك</w:t>
      </w:r>
      <w:r w:rsidR="009C32A0" w:rsidRPr="005675B2">
        <w:rPr>
          <w:rFonts w:hint="cs"/>
          <w:snapToGrid w:val="0"/>
          <w:rtl/>
        </w:rPr>
        <w:t>، ولكن</w:t>
      </w:r>
      <w:r>
        <w:rPr>
          <w:rFonts w:hint="cs"/>
          <w:snapToGrid w:val="0"/>
          <w:rtl/>
        </w:rPr>
        <w:t xml:space="preserve"> </w:t>
      </w:r>
      <w:r w:rsidR="009C32A0" w:rsidRPr="005675B2">
        <w:rPr>
          <w:rFonts w:hint="cs"/>
          <w:snapToGrid w:val="0"/>
          <w:rtl/>
        </w:rPr>
        <w:t>يشكك دعوى نسبة الكتاب إليه مايلي</w:t>
      </w:r>
      <w:r>
        <w:rPr>
          <w:rFonts w:hint="cs"/>
          <w:snapToGrid w:val="0"/>
          <w:rtl/>
        </w:rPr>
        <w:t>:</w:t>
      </w:r>
      <w:r w:rsidR="009C32A0" w:rsidRPr="005675B2">
        <w:rPr>
          <w:rFonts w:hint="cs"/>
          <w:snapToGrid w:val="0"/>
          <w:rtl/>
        </w:rPr>
        <w:t xml:space="preserve"> الأول</w:t>
      </w:r>
      <w:r>
        <w:rPr>
          <w:rFonts w:hint="cs"/>
          <w:snapToGrid w:val="0"/>
          <w:rtl/>
        </w:rPr>
        <w:t>:</w:t>
      </w:r>
      <w:r w:rsidR="009C32A0" w:rsidRPr="005675B2">
        <w:rPr>
          <w:rFonts w:hint="cs"/>
          <w:snapToGrid w:val="0"/>
          <w:rtl/>
        </w:rPr>
        <w:t xml:space="preserve"> حكم السحر فيما دوّنه في مؤلفاته الثابتة عنه</w:t>
      </w:r>
      <w:r>
        <w:rPr>
          <w:rFonts w:hint="cs"/>
          <w:snapToGrid w:val="0"/>
          <w:rtl/>
        </w:rPr>
        <w:t>،</w:t>
      </w:r>
      <w:r w:rsidR="009C32A0" w:rsidRPr="005675B2">
        <w:rPr>
          <w:rFonts w:hint="cs"/>
          <w:snapToGrid w:val="0"/>
          <w:rtl/>
        </w:rPr>
        <w:t>حيث حكم بأنه كفر مخرج من الملة وساق المسألة بتفصيل نفيس يستحق أن يعلمه أهل العلم</w:t>
      </w:r>
      <w:r>
        <w:rPr>
          <w:rFonts w:hint="cs"/>
          <w:snapToGrid w:val="0"/>
          <w:rtl/>
        </w:rPr>
        <w:t>،</w:t>
      </w:r>
      <w:r w:rsidR="009C32A0" w:rsidRPr="005675B2">
        <w:rPr>
          <w:rFonts w:hint="cs"/>
          <w:snapToGrid w:val="0"/>
          <w:rtl/>
        </w:rPr>
        <w:t xml:space="preserve"> [</w:t>
      </w:r>
      <w:r w:rsidR="009C32A0" w:rsidRPr="005675B2">
        <w:rPr>
          <w:rFonts w:hint="cs"/>
          <w:bCs/>
          <w:sz w:val="24"/>
          <w:szCs w:val="24"/>
          <w:rtl/>
        </w:rPr>
        <w:t>التفسير الكبير 1/ 626 تفسير آية رقم (102) من سورة البقرة]</w:t>
      </w:r>
      <w:r w:rsidR="009C32A0" w:rsidRPr="005675B2">
        <w:rPr>
          <w:rFonts w:hint="cs"/>
          <w:snapToGrid w:val="0"/>
          <w:rtl/>
        </w:rPr>
        <w:t xml:space="preserve"> فإذن كونه يستحل السحر أو ألف كتاباً لتعليم الناس السحر باطل بلا ريب</w:t>
      </w:r>
      <w:r>
        <w:rPr>
          <w:rFonts w:hint="cs"/>
          <w:snapToGrid w:val="0"/>
          <w:rtl/>
        </w:rPr>
        <w:t>،</w:t>
      </w:r>
      <w:r w:rsidR="009C32A0" w:rsidRPr="005675B2">
        <w:rPr>
          <w:rFonts w:hint="cs"/>
          <w:snapToGrid w:val="0"/>
          <w:rtl/>
        </w:rPr>
        <w:t xml:space="preserve"> الثاني</w:t>
      </w:r>
      <w:r>
        <w:rPr>
          <w:rFonts w:hint="cs"/>
          <w:snapToGrid w:val="0"/>
          <w:rtl/>
        </w:rPr>
        <w:t>:</w:t>
      </w:r>
      <w:r w:rsidR="009C32A0" w:rsidRPr="005675B2">
        <w:rPr>
          <w:rFonts w:hint="cs"/>
          <w:snapToGrid w:val="0"/>
          <w:rtl/>
        </w:rPr>
        <w:t xml:space="preserve"> </w:t>
      </w:r>
      <w:r w:rsidR="009C32A0" w:rsidRPr="005675B2">
        <w:rPr>
          <w:rFonts w:hint="cs"/>
          <w:rtl/>
        </w:rPr>
        <w:t>قال تاج الدين السبكي</w:t>
      </w:r>
      <w:r>
        <w:rPr>
          <w:rFonts w:hint="cs"/>
          <w:rtl/>
        </w:rPr>
        <w:t>:</w:t>
      </w:r>
      <w:r w:rsidR="009C32A0" w:rsidRPr="005675B2">
        <w:rPr>
          <w:rFonts w:hint="cs"/>
          <w:rtl/>
        </w:rPr>
        <w:t xml:space="preserve"> </w:t>
      </w:r>
      <w:r>
        <w:rPr>
          <w:rFonts w:hint="cs"/>
          <w:rtl/>
        </w:rPr>
        <w:t>[</w:t>
      </w:r>
      <w:r w:rsidR="009C32A0" w:rsidRPr="005675B2">
        <w:rPr>
          <w:rFonts w:hint="cs"/>
          <w:rtl/>
        </w:rPr>
        <w:t>لم يصح أنه له</w:t>
      </w:r>
      <w:r>
        <w:rPr>
          <w:rFonts w:hint="cs"/>
          <w:rtl/>
        </w:rPr>
        <w:t>،</w:t>
      </w:r>
      <w:r w:rsidR="009C32A0" w:rsidRPr="005675B2">
        <w:rPr>
          <w:rFonts w:hint="cs"/>
          <w:rtl/>
        </w:rPr>
        <w:t xml:space="preserve"> بل قيل إنه مختلق عليه</w:t>
      </w:r>
      <w:r>
        <w:rPr>
          <w:rFonts w:hint="cs"/>
          <w:rtl/>
        </w:rPr>
        <w:t xml:space="preserve">] </w:t>
      </w:r>
      <w:r w:rsidR="009C32A0" w:rsidRPr="005675B2">
        <w:rPr>
          <w:rFonts w:hint="cs"/>
          <w:rtl/>
        </w:rPr>
        <w:t>[</w:t>
      </w:r>
      <w:r w:rsidR="009C32A0" w:rsidRPr="005675B2">
        <w:rPr>
          <w:rFonts w:hint="cs"/>
          <w:bCs/>
          <w:sz w:val="24"/>
          <w:szCs w:val="24"/>
          <w:rtl/>
        </w:rPr>
        <w:t>طبقات الشافعية الكبرى للسبكي: 8 / 87</w:t>
      </w:r>
      <w:r>
        <w:rPr>
          <w:rFonts w:hint="cs"/>
          <w:bCs/>
          <w:sz w:val="24"/>
          <w:szCs w:val="24"/>
          <w:rtl/>
        </w:rPr>
        <w:t>]</w:t>
      </w:r>
      <w:r>
        <w:rPr>
          <w:rStyle w:val="a5"/>
          <w:rFonts w:hint="cs"/>
          <w:b/>
          <w:rtl/>
        </w:rPr>
        <w:t>،</w:t>
      </w:r>
      <w:r w:rsidR="009C32A0" w:rsidRPr="005675B2">
        <w:rPr>
          <w:rFonts w:hint="cs"/>
          <w:rtl/>
        </w:rPr>
        <w:t xml:space="preserve"> وهذا هو الصحيح إن شاء الله</w:t>
      </w:r>
      <w:r>
        <w:rPr>
          <w:rFonts w:hint="cs"/>
          <w:rtl/>
        </w:rPr>
        <w:t>،</w:t>
      </w:r>
      <w:r w:rsidR="009C32A0" w:rsidRPr="005675B2">
        <w:rPr>
          <w:rFonts w:hint="cs"/>
          <w:rtl/>
        </w:rPr>
        <w:t xml:space="preserve"> وقطع بعدم صحة نسبته إليه أيضاً صاحب الفوائد البهية</w:t>
      </w:r>
      <w:r>
        <w:rPr>
          <w:rFonts w:hint="cs"/>
          <w:rtl/>
        </w:rPr>
        <w:t>،</w:t>
      </w:r>
      <w:r w:rsidR="009C32A0" w:rsidRPr="005675B2">
        <w:rPr>
          <w:rFonts w:hint="cs"/>
          <w:rtl/>
        </w:rPr>
        <w:t>وصاحب كفة الإرشاد</w:t>
      </w:r>
      <w:r>
        <w:rPr>
          <w:rFonts w:hint="cs"/>
          <w:rtl/>
        </w:rPr>
        <w:t xml:space="preserve">، </w:t>
      </w:r>
      <w:r w:rsidR="009C32A0" w:rsidRPr="005675B2">
        <w:rPr>
          <w:rFonts w:hint="cs"/>
          <w:snapToGrid w:val="0"/>
          <w:rtl/>
        </w:rPr>
        <w:t>الثالث</w:t>
      </w:r>
      <w:r>
        <w:rPr>
          <w:rFonts w:hint="cs"/>
          <w:snapToGrid w:val="0"/>
          <w:rtl/>
        </w:rPr>
        <w:t>:</w:t>
      </w:r>
      <w:r w:rsidR="009C32A0" w:rsidRPr="005675B2">
        <w:rPr>
          <w:rFonts w:hint="cs"/>
          <w:snapToGrid w:val="0"/>
          <w:rtl/>
        </w:rPr>
        <w:t xml:space="preserve"> على فرض أن الكتاب له فعلاً فهل جمعه الرازي ليعلم لناس لسحر</w:t>
      </w:r>
      <w:r>
        <w:rPr>
          <w:rFonts w:hint="cs"/>
          <w:snapToGrid w:val="0"/>
          <w:rtl/>
        </w:rPr>
        <w:t>؟!</w:t>
      </w:r>
      <w:r w:rsidR="009C32A0" w:rsidRPr="005675B2">
        <w:rPr>
          <w:rFonts w:hint="cs"/>
          <w:snapToGrid w:val="0"/>
          <w:rtl/>
        </w:rPr>
        <w:t>أو يستحله كما يزعم بعض التكفريين</w:t>
      </w:r>
      <w:r>
        <w:rPr>
          <w:rFonts w:hint="cs"/>
          <w:snapToGrid w:val="0"/>
          <w:rtl/>
        </w:rPr>
        <w:t>؟!</w:t>
      </w:r>
      <w:r w:rsidR="009C32A0" w:rsidRPr="005675B2">
        <w:rPr>
          <w:rFonts w:hint="cs"/>
          <w:snapToGrid w:val="0"/>
          <w:rtl/>
        </w:rPr>
        <w:t>إن</w:t>
      </w:r>
      <w:r>
        <w:rPr>
          <w:rFonts w:hint="cs"/>
          <w:snapToGrid w:val="0"/>
          <w:rtl/>
        </w:rPr>
        <w:t xml:space="preserve"> </w:t>
      </w:r>
      <w:r w:rsidR="009C32A0" w:rsidRPr="005675B2">
        <w:rPr>
          <w:rFonts w:hint="cs"/>
          <w:snapToGrid w:val="0"/>
          <w:rtl/>
        </w:rPr>
        <w:t>العالم قديكتب كتباً أو و يقرأ في كتب يعرف بها طرائق السحرة لتفنيد ذلك</w:t>
      </w:r>
      <w:r>
        <w:rPr>
          <w:rFonts w:hint="cs"/>
          <w:snapToGrid w:val="0"/>
          <w:rtl/>
        </w:rPr>
        <w:t xml:space="preserve"> </w:t>
      </w:r>
      <w:r w:rsidR="009C32A0" w:rsidRPr="005675B2">
        <w:rPr>
          <w:rFonts w:hint="cs"/>
          <w:snapToGrid w:val="0"/>
          <w:rtl/>
        </w:rPr>
        <w:t>؛وبيان طرقهم ؛وتفنيد شبهاتهم والتحذير منهم ؛ وبيان وسائلهم ؛وهذا لا يخفى على أهل العلم أنه أمر مهم</w:t>
      </w:r>
      <w:r>
        <w:rPr>
          <w:rFonts w:hint="cs"/>
          <w:snapToGrid w:val="0"/>
          <w:rtl/>
        </w:rPr>
        <w:t>،</w:t>
      </w:r>
      <w:r w:rsidR="009C32A0" w:rsidRPr="005675B2">
        <w:rPr>
          <w:rFonts w:hint="cs"/>
          <w:snapToGrid w:val="0"/>
          <w:rtl/>
        </w:rPr>
        <w:t>بخلاف من يقرأه ليسحر الناس بنفع أو مضرة،أي بصرف أو عطف</w:t>
      </w:r>
      <w:r>
        <w:rPr>
          <w:rFonts w:hint="cs"/>
          <w:snapToGrid w:val="0"/>
          <w:rtl/>
        </w:rPr>
        <w:t>،</w:t>
      </w:r>
      <w:r w:rsidR="009C32A0" w:rsidRPr="005675B2">
        <w:rPr>
          <w:rFonts w:hint="cs"/>
          <w:snapToGrid w:val="0"/>
          <w:rtl/>
        </w:rPr>
        <w:t>أو غيرها من الشعوذات</w:t>
      </w:r>
      <w:r>
        <w:rPr>
          <w:rFonts w:hint="cs"/>
          <w:snapToGrid w:val="0"/>
          <w:rtl/>
        </w:rPr>
        <w:t>،</w:t>
      </w:r>
      <w:r w:rsidR="009C32A0" w:rsidRPr="005675B2">
        <w:rPr>
          <w:rFonts w:hint="cs"/>
          <w:snapToGrid w:val="0"/>
          <w:rtl/>
        </w:rPr>
        <w:t xml:space="preserve"> ولذا قال الرازي في وصيته</w:t>
      </w:r>
      <w:r>
        <w:rPr>
          <w:rFonts w:hint="cs"/>
          <w:snapToGrid w:val="0"/>
          <w:rtl/>
        </w:rPr>
        <w:t>:</w:t>
      </w:r>
      <w:r w:rsidR="009C32A0" w:rsidRPr="005675B2">
        <w:rPr>
          <w:rFonts w:hint="cs"/>
          <w:snapToGrid w:val="0"/>
          <w:rtl/>
        </w:rPr>
        <w:t xml:space="preserve"> </w:t>
      </w:r>
      <w:r w:rsidR="009C32A0" w:rsidRPr="005675B2">
        <w:rPr>
          <w:rFonts w:hint="cs"/>
          <w:rtl/>
        </w:rPr>
        <w:t>اعلموا أني كنت رجلاً محباً للعلم</w:t>
      </w:r>
      <w:r>
        <w:rPr>
          <w:rFonts w:hint="cs"/>
          <w:rtl/>
        </w:rPr>
        <w:t>،</w:t>
      </w:r>
      <w:r w:rsidR="009C32A0" w:rsidRPr="005675B2">
        <w:rPr>
          <w:rFonts w:hint="cs"/>
          <w:rtl/>
        </w:rPr>
        <w:t xml:space="preserve"> فكنت أكتب من كل شيء شيئاً لأقف على كميته وكيفيته</w:t>
      </w:r>
      <w:r>
        <w:rPr>
          <w:rFonts w:hint="cs"/>
          <w:rtl/>
        </w:rPr>
        <w:t>،</w:t>
      </w:r>
      <w:r w:rsidR="009C32A0" w:rsidRPr="005675B2">
        <w:rPr>
          <w:rFonts w:hint="cs"/>
          <w:rtl/>
        </w:rPr>
        <w:t xml:space="preserve"> </w:t>
      </w:r>
      <w:r w:rsidR="009C32A0" w:rsidRPr="005675B2">
        <w:rPr>
          <w:rFonts w:hint="cs"/>
          <w:u w:val="single"/>
          <w:rtl/>
        </w:rPr>
        <w:t>سواء كان حقاً أو باطلاً</w:t>
      </w:r>
      <w:r>
        <w:rPr>
          <w:rFonts w:hint="cs"/>
          <w:rtl/>
        </w:rPr>
        <w:t>،</w:t>
      </w:r>
      <w:r w:rsidR="009C32A0" w:rsidRPr="005675B2">
        <w:rPr>
          <w:rFonts w:hint="cs"/>
          <w:rtl/>
        </w:rPr>
        <w:t xml:space="preserve"> انتهى كلامه</w:t>
      </w:r>
      <w:r>
        <w:rPr>
          <w:rFonts w:hint="cs"/>
          <w:snapToGrid w:val="0"/>
          <w:rtl/>
        </w:rPr>
        <w:t>،</w:t>
      </w:r>
      <w:r w:rsidR="009C32A0" w:rsidRPr="005675B2">
        <w:rPr>
          <w:rFonts w:hint="cs"/>
          <w:snapToGrid w:val="0"/>
          <w:rtl/>
        </w:rPr>
        <w:t xml:space="preserve"> وأقول يا أخي</w:t>
      </w:r>
      <w:r>
        <w:rPr>
          <w:rFonts w:hint="cs"/>
          <w:snapToGrid w:val="0"/>
          <w:rtl/>
        </w:rPr>
        <w:t xml:space="preserve"> </w:t>
      </w:r>
      <w:r w:rsidR="009C32A0" w:rsidRPr="005675B2">
        <w:rPr>
          <w:rFonts w:hint="cs"/>
          <w:snapToGrid w:val="0"/>
          <w:rtl/>
        </w:rPr>
        <w:t xml:space="preserve">لو أخذنا الكلام بميزان العدل لعلمنا أن انتصار السبكي للإمام الرازي </w:t>
      </w:r>
      <w:r>
        <w:rPr>
          <w:rFonts w:hint="cs"/>
          <w:snapToGrid w:val="0"/>
          <w:rtl/>
        </w:rPr>
        <w:t>[</w:t>
      </w:r>
      <w:r w:rsidR="009C32A0" w:rsidRPr="005675B2">
        <w:rPr>
          <w:rFonts w:hint="cs"/>
          <w:sz w:val="24"/>
          <w:szCs w:val="24"/>
          <w:rtl/>
        </w:rPr>
        <w:t>هو محمد بن عمر بن الحسين بن علي القرشي التيمي البكري الطبرستاني، ابن خطيب الري المشهور بفخر الدين الرازي . ولد في شهر رمضان من عام (544 هـ) في مدينة الري واليها نسبته بالرازي. كان ربع القامة، عبل الجسم، كث اللحية، جهوري الصوت،</w:t>
      </w:r>
      <w:r>
        <w:rPr>
          <w:rFonts w:hint="cs"/>
          <w:sz w:val="24"/>
          <w:szCs w:val="24"/>
          <w:rtl/>
        </w:rPr>
        <w:t xml:space="preserve"> </w:t>
      </w:r>
      <w:r w:rsidR="009C32A0" w:rsidRPr="005675B2">
        <w:rPr>
          <w:rFonts w:hint="cs"/>
          <w:sz w:val="24"/>
          <w:szCs w:val="24"/>
          <w:rtl/>
        </w:rPr>
        <w:t>صاحب وقار وحشمة، له ثروة ومماليك وبزة حسنة وهيئة جميلة. كان فريد عصره ومتكلم زمانه جمع كثيراً من العلوم ونبغ فيها، فكان اماماً في التفسير والكلام والعلوم العقلية وعلوم اللغة، ولقد اكسبه نبوغه العلمي شهرة عظيمة، فكان العلماء يقصدونه من البلاد ويشدون اليه الرحال من مختلف الاقطار. اخذ العلم عن والده ضياء الدين وعن الكمال السمعاني والمجد الجيلي وغيرهم من العلماء الذين عاصرهم ولقيهم، والى جانب شهرته العلمية فقد اشتهر بالوعظ حتى قيل انه كان يعظ باللسان العربي واللسان العجمي. وكان يلحقه عظيم الخشوع</w:t>
      </w:r>
      <w:r>
        <w:rPr>
          <w:rFonts w:hint="cs"/>
          <w:sz w:val="24"/>
          <w:szCs w:val="24"/>
          <w:rtl/>
        </w:rPr>
        <w:t xml:space="preserve"> </w:t>
      </w:r>
      <w:r w:rsidR="009C32A0" w:rsidRPr="005675B2">
        <w:rPr>
          <w:rFonts w:hint="cs"/>
          <w:sz w:val="24"/>
          <w:szCs w:val="24"/>
          <w:rtl/>
        </w:rPr>
        <w:t>في حال الوعظ ويكثر البكاء فيبكي سامعوه كثيراً من شدة وقع مواعظه في قلوبهم وسحرها في افئدتهم. التفسير والمفسرون ج1، ص 290.</w:t>
      </w:r>
      <w:r>
        <w:rPr>
          <w:rFonts w:hint="cs"/>
          <w:sz w:val="24"/>
          <w:szCs w:val="24"/>
          <w:rtl/>
        </w:rPr>
        <w:t>]</w:t>
      </w:r>
      <w:r w:rsidR="009C32A0" w:rsidRPr="005675B2">
        <w:rPr>
          <w:rFonts w:hint="cs"/>
          <w:snapToGrid w:val="0"/>
          <w:rtl/>
        </w:rPr>
        <w:t xml:space="preserve"> انتصاراً في مكانه لتحامل الإمام الذهبي عليه</w:t>
      </w:r>
      <w:r>
        <w:rPr>
          <w:rFonts w:hint="cs"/>
          <w:snapToGrid w:val="0"/>
          <w:rtl/>
        </w:rPr>
        <w:t>،</w:t>
      </w:r>
      <w:r w:rsidR="009C32A0" w:rsidRPr="005675B2">
        <w:rPr>
          <w:rFonts w:hint="cs"/>
          <w:snapToGrid w:val="0"/>
          <w:rtl/>
        </w:rPr>
        <w:t>وكان الإمام الذهبي من تلاميذ الإمام ابن تيمية</w:t>
      </w:r>
      <w:r>
        <w:rPr>
          <w:rFonts w:hint="cs"/>
          <w:snapToGrid w:val="0"/>
          <w:rtl/>
        </w:rPr>
        <w:t>،</w:t>
      </w:r>
      <w:r w:rsidR="009C32A0" w:rsidRPr="005675B2">
        <w:rPr>
          <w:rFonts w:hint="cs"/>
          <w:snapToGrid w:val="0"/>
          <w:rtl/>
        </w:rPr>
        <w:t>غفر الله للجميع</w:t>
      </w:r>
      <w:r>
        <w:rPr>
          <w:rFonts w:hint="cs"/>
          <w:snapToGrid w:val="0"/>
          <w:rtl/>
        </w:rPr>
        <w:t>،</w:t>
      </w:r>
      <w:r w:rsidR="009C32A0" w:rsidRPr="005675B2">
        <w:rPr>
          <w:rFonts w:hint="cs"/>
          <w:snapToGrid w:val="0"/>
          <w:rtl/>
        </w:rPr>
        <w:t>ورغم ذلك فليس الذهبي</w:t>
      </w:r>
      <w:r>
        <w:rPr>
          <w:rFonts w:hint="cs"/>
          <w:snapToGrid w:val="0"/>
          <w:rtl/>
        </w:rPr>
        <w:t xml:space="preserve"> </w:t>
      </w:r>
      <w:r w:rsidR="009C32A0" w:rsidRPr="005675B2">
        <w:rPr>
          <w:rFonts w:hint="cs"/>
          <w:snapToGrid w:val="0"/>
          <w:rtl/>
        </w:rPr>
        <w:t>حجة على الرازي والآمدي</w:t>
      </w:r>
      <w:r>
        <w:rPr>
          <w:rFonts w:hint="cs"/>
          <w:snapToGrid w:val="0"/>
          <w:rtl/>
        </w:rPr>
        <w:t>،</w:t>
      </w:r>
      <w:r w:rsidR="009C32A0" w:rsidRPr="005675B2">
        <w:rPr>
          <w:rFonts w:hint="cs"/>
          <w:snapToGrid w:val="0"/>
          <w:rtl/>
        </w:rPr>
        <w:t xml:space="preserve"> ولا الرازي والآمدي حجة عليه</w:t>
      </w:r>
      <w:r>
        <w:rPr>
          <w:rFonts w:hint="cs"/>
          <w:snapToGrid w:val="0"/>
          <w:rtl/>
        </w:rPr>
        <w:t>،</w:t>
      </w:r>
      <w:r w:rsidR="009C32A0" w:rsidRPr="005675B2">
        <w:rPr>
          <w:rFonts w:hint="cs"/>
          <w:snapToGrid w:val="0"/>
          <w:rtl/>
        </w:rPr>
        <w:t>فكلهم علماء لهم قدرهم ويستفاد</w:t>
      </w:r>
      <w:r>
        <w:rPr>
          <w:rFonts w:hint="cs"/>
          <w:snapToGrid w:val="0"/>
          <w:rtl/>
        </w:rPr>
        <w:t xml:space="preserve"> </w:t>
      </w:r>
      <w:r w:rsidR="009C32A0" w:rsidRPr="005675B2">
        <w:rPr>
          <w:rFonts w:hint="cs"/>
          <w:snapToGrid w:val="0"/>
          <w:rtl/>
        </w:rPr>
        <w:t>من علومهم</w:t>
      </w:r>
      <w:r>
        <w:rPr>
          <w:rFonts w:hint="cs"/>
          <w:snapToGrid w:val="0"/>
          <w:rtl/>
        </w:rPr>
        <w:t>،</w:t>
      </w:r>
      <w:r w:rsidR="009C32A0" w:rsidRPr="005675B2">
        <w:rPr>
          <w:rFonts w:hint="cs"/>
          <w:snapToGrid w:val="0"/>
          <w:rtl/>
        </w:rPr>
        <w:t xml:space="preserve"> ولم </w:t>
      </w:r>
      <w:r w:rsidR="009C32A0" w:rsidRPr="005675B2">
        <w:rPr>
          <w:rFonts w:hint="cs"/>
          <w:snapToGrid w:val="0"/>
          <w:u w:val="single"/>
          <w:rtl/>
        </w:rPr>
        <w:t xml:space="preserve">أجد فيما ترجمه الحافظ ابن حجر ولا الذهبي إخراج لهم عن عقيدة أهل السنة والجماعة ولا إلحاقاً لهم بالمرجئة أو الجهمية </w:t>
      </w:r>
      <w:r w:rsidR="009C32A0" w:rsidRPr="005675B2">
        <w:rPr>
          <w:rFonts w:hint="cs"/>
          <w:snapToGrid w:val="0"/>
          <w:rtl/>
        </w:rPr>
        <w:t>كما تفعل في هذا الزمن</w:t>
      </w:r>
      <w:r>
        <w:rPr>
          <w:rFonts w:hint="cs"/>
          <w:snapToGrid w:val="0"/>
          <w:rtl/>
        </w:rPr>
        <w:t>،</w:t>
      </w:r>
    </w:p>
    <w:p w14:paraId="12152F2C" w14:textId="5FD10E15" w:rsidR="009C32A0" w:rsidRPr="005675B2" w:rsidRDefault="009C32A0" w:rsidP="000636C2">
      <w:pPr>
        <w:rPr>
          <w:b/>
          <w:snapToGrid w:val="0"/>
          <w:rtl/>
        </w:rPr>
      </w:pPr>
      <w:r w:rsidRPr="005675B2">
        <w:rPr>
          <w:rFonts w:hint="cs"/>
          <w:rtl/>
        </w:rPr>
        <w:t xml:space="preserve">قال الذهبي في ترجمة فخر الدين الرازي محمد بن عمر المتوفى سنة </w:t>
      </w:r>
      <w:r w:rsidR="000636C2">
        <w:rPr>
          <w:rFonts w:hint="cs"/>
          <w:rtl/>
        </w:rPr>
        <w:t>(</w:t>
      </w:r>
      <w:r w:rsidRPr="005675B2">
        <w:rPr>
          <w:rFonts w:hint="cs"/>
          <w:rtl/>
        </w:rPr>
        <w:t>606ه</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رأس في الذكاء والعقليات</w:t>
      </w:r>
      <w:r w:rsidR="000636C2">
        <w:rPr>
          <w:rFonts w:hint="cs"/>
          <w:rtl/>
        </w:rPr>
        <w:t>،</w:t>
      </w:r>
      <w:r w:rsidRPr="005675B2">
        <w:rPr>
          <w:rFonts w:hint="cs"/>
          <w:rtl/>
        </w:rPr>
        <w:t xml:space="preserve"> له كتاب السر المكتوم في مخاطبة النجوم</w:t>
      </w:r>
      <w:r w:rsidR="000636C2">
        <w:rPr>
          <w:rFonts w:hint="cs"/>
          <w:rtl/>
        </w:rPr>
        <w:t>،</w:t>
      </w:r>
      <w:r w:rsidRPr="005675B2">
        <w:rPr>
          <w:rFonts w:hint="cs"/>
          <w:rtl/>
        </w:rPr>
        <w:t xml:space="preserve"> سحر صريح</w:t>
      </w:r>
      <w:r w:rsidR="000636C2">
        <w:rPr>
          <w:rFonts w:hint="cs"/>
          <w:rtl/>
        </w:rPr>
        <w:t>،</w:t>
      </w:r>
      <w:r w:rsidRPr="005675B2">
        <w:rPr>
          <w:rFonts w:hint="cs"/>
          <w:rtl/>
        </w:rPr>
        <w:t xml:space="preserve"> فلعله تاب من تأليفه إن شاء الله</w:t>
      </w:r>
      <w:r w:rsidR="000636C2">
        <w:rPr>
          <w:rFonts w:hint="cs"/>
          <w:rtl/>
        </w:rPr>
        <w:t>،</w:t>
      </w:r>
      <w:r w:rsidRPr="005675B2">
        <w:rPr>
          <w:rFonts w:hint="cs"/>
          <w:rtl/>
        </w:rPr>
        <w:t xml:space="preserve"> وله تشكيكات على مسائل من دعائم الدين تورث حيرة</w:t>
      </w:r>
      <w:r w:rsidR="000636C2">
        <w:rPr>
          <w:rFonts w:hint="cs"/>
          <w:rtl/>
        </w:rPr>
        <w:t>]</w:t>
      </w:r>
      <w:r w:rsidRPr="005675B2">
        <w:rPr>
          <w:rFonts w:hint="cs"/>
          <w:rtl/>
        </w:rPr>
        <w:t xml:space="preserve"> [</w:t>
      </w:r>
      <w:r w:rsidRPr="005675B2">
        <w:rPr>
          <w:rFonts w:hint="cs"/>
          <w:bCs/>
          <w:sz w:val="24"/>
          <w:szCs w:val="24"/>
          <w:rtl/>
        </w:rPr>
        <w:t>ميزان الاعتدال</w:t>
      </w:r>
      <w:r w:rsidR="000636C2">
        <w:rPr>
          <w:rFonts w:hint="cs"/>
          <w:bCs/>
          <w:sz w:val="24"/>
          <w:szCs w:val="24"/>
          <w:rtl/>
        </w:rPr>
        <w:t>:</w:t>
      </w:r>
      <w:r w:rsidRPr="005675B2">
        <w:rPr>
          <w:rFonts w:hint="cs"/>
          <w:bCs/>
          <w:sz w:val="24"/>
          <w:szCs w:val="24"/>
          <w:rtl/>
        </w:rPr>
        <w:t xml:space="preserve"> 3 / 340</w:t>
      </w:r>
      <w:r w:rsidRPr="005675B2">
        <w:rPr>
          <w:rFonts w:hint="cs"/>
          <w:rtl/>
        </w:rPr>
        <w:t>]</w:t>
      </w:r>
      <w:r w:rsidR="000636C2">
        <w:rPr>
          <w:rFonts w:hint="cs"/>
          <w:rtl/>
        </w:rPr>
        <w:t xml:space="preserve">، </w:t>
      </w:r>
      <w:r w:rsidRPr="005675B2">
        <w:rPr>
          <w:rFonts w:hint="cs"/>
          <w:snapToGrid w:val="0"/>
          <w:rtl/>
        </w:rPr>
        <w:t>وأنقل لكم كلام الإمام ابن تيمية في الإمام الرازي غفر الله لهما لتعلم سر تحامل الإمام الذهبي</w:t>
      </w:r>
      <w:r w:rsidR="000636C2">
        <w:rPr>
          <w:rFonts w:hint="cs"/>
          <w:snapToGrid w:val="0"/>
          <w:rtl/>
        </w:rPr>
        <w:t xml:space="preserve">، </w:t>
      </w:r>
      <w:r w:rsidRPr="005675B2">
        <w:rPr>
          <w:rFonts w:hint="cs"/>
          <w:snapToGrid w:val="0"/>
          <w:rtl/>
        </w:rPr>
        <w:t>قال ابن تيمية</w:t>
      </w:r>
      <w:r w:rsidR="000636C2">
        <w:rPr>
          <w:rFonts w:hint="cs"/>
          <w:snapToGrid w:val="0"/>
          <w:rtl/>
        </w:rPr>
        <w:t>:</w:t>
      </w:r>
      <w:r w:rsidRPr="005675B2">
        <w:rPr>
          <w:rFonts w:hint="cs"/>
          <w:snapToGrid w:val="0"/>
          <w:rtl/>
        </w:rPr>
        <w:t xml:space="preserve"> وهذا موجود في كلام متقدمي الجهمية ومتأخريهم</w:t>
      </w:r>
      <w:r w:rsidR="000636C2">
        <w:rPr>
          <w:rFonts w:hint="cs"/>
          <w:snapToGrid w:val="0"/>
          <w:rtl/>
        </w:rPr>
        <w:t>،</w:t>
      </w:r>
      <w:r w:rsidRPr="005675B2">
        <w:rPr>
          <w:rFonts w:hint="cs"/>
          <w:snapToGrid w:val="0"/>
          <w:rtl/>
        </w:rPr>
        <w:t xml:space="preserve"> مثل أبو عبدالله محمد بن عمر الرازي </w:t>
      </w:r>
      <w:r w:rsidRPr="005675B2">
        <w:rPr>
          <w:rFonts w:hint="cs"/>
          <w:snapToGrid w:val="0"/>
          <w:u w:val="single"/>
          <w:rtl/>
        </w:rPr>
        <w:t>الجهمي الجبري</w:t>
      </w:r>
      <w:r w:rsidRPr="005675B2">
        <w:rPr>
          <w:rFonts w:hint="cs"/>
          <w:snapToGrid w:val="0"/>
          <w:rtl/>
        </w:rPr>
        <w:t xml:space="preserve"> وإن كان قد يخرج إلى </w:t>
      </w:r>
      <w:r w:rsidRPr="005675B2">
        <w:rPr>
          <w:rFonts w:hint="cs"/>
          <w:snapToGrid w:val="0"/>
          <w:u w:val="single"/>
          <w:rtl/>
        </w:rPr>
        <w:t>حقيقة الشرك وعبادة الأوثان</w:t>
      </w:r>
      <w:r w:rsidRPr="005675B2">
        <w:rPr>
          <w:rFonts w:hint="cs"/>
          <w:snapToGrid w:val="0"/>
          <w:rtl/>
        </w:rPr>
        <w:t xml:space="preserve"> في بعض الأوقات وصنـف في ذلك كتابه المعروف </w:t>
      </w:r>
      <w:r w:rsidRPr="005675B2">
        <w:rPr>
          <w:rFonts w:hint="cs"/>
          <w:snapToGrid w:val="0"/>
          <w:u w:val="single"/>
          <w:rtl/>
        </w:rPr>
        <w:t>في السحر وعبادة الأوثان</w:t>
      </w:r>
      <w:r w:rsidR="000636C2">
        <w:rPr>
          <w:rFonts w:hint="cs"/>
          <w:snapToGrid w:val="0"/>
          <w:rtl/>
        </w:rPr>
        <w:t>،!</w:t>
      </w:r>
      <w:r w:rsidRPr="005675B2">
        <w:rPr>
          <w:rFonts w:hint="cs"/>
          <w:snapToGrid w:val="0"/>
          <w:rtl/>
        </w:rPr>
        <w:t>! مجموع الفتاوى 16/213إذا كان هذا رأي ابن تيمية في إمام المسلمين الفخر الرازي فماذا تتصور من تلاميذه بعد هذه التهمة له نسأل الله العافية</w:t>
      </w:r>
      <w:r w:rsidR="000636C2">
        <w:rPr>
          <w:rFonts w:hint="cs"/>
          <w:snapToGrid w:val="0"/>
          <w:rtl/>
        </w:rPr>
        <w:t>؟!</w:t>
      </w:r>
      <w:r w:rsidRPr="005675B2">
        <w:rPr>
          <w:rFonts w:hint="cs"/>
          <w:snapToGrid w:val="0"/>
          <w:rtl/>
        </w:rPr>
        <w:t>!</w:t>
      </w:r>
      <w:r w:rsidR="000636C2">
        <w:rPr>
          <w:rFonts w:hint="cs"/>
          <w:snapToGrid w:val="0"/>
          <w:rtl/>
        </w:rPr>
        <w:t xml:space="preserve"> </w:t>
      </w:r>
    </w:p>
    <w:p w14:paraId="51BF613B" w14:textId="1C5A5537" w:rsidR="009C32A0" w:rsidRPr="005675B2" w:rsidRDefault="009C32A0" w:rsidP="000636C2">
      <w:pPr>
        <w:rPr>
          <w:b/>
          <w:snapToGrid w:val="0"/>
          <w:rtl/>
        </w:rPr>
      </w:pPr>
      <w:r w:rsidRPr="005675B2">
        <w:rPr>
          <w:rFonts w:hint="cs"/>
          <w:snapToGrid w:val="0"/>
          <w:rtl/>
        </w:rPr>
        <w:t>وقد تأثر به تلاميذه وأتباعه ومنهم الإمام الطوفي الحنبلي وغيره،ولذافقد تأثر الشيخ محمد بن عبدالوهاب النجدي بكلام ابن تيمية ف</w:t>
      </w:r>
      <w:r w:rsidRPr="005675B2">
        <w:rPr>
          <w:rFonts w:hint="cs"/>
          <w:rtl/>
        </w:rPr>
        <w:t>قال ناقلاً عن ابن تيمية</w:t>
      </w:r>
      <w:r w:rsidR="000636C2">
        <w:rPr>
          <w:rFonts w:hint="cs"/>
          <w:rtl/>
        </w:rPr>
        <w:t>:</w:t>
      </w:r>
      <w:r w:rsidRPr="005675B2">
        <w:rPr>
          <w:rFonts w:hint="cs"/>
          <w:rtl/>
        </w:rPr>
        <w:t>وأبلغ من ذلك أن منهم من صنف في الردة كما صنف الفخر الرازي في عبادة الكواكب</w:t>
      </w:r>
      <w:r w:rsidR="000636C2">
        <w:rPr>
          <w:rFonts w:hint="cs"/>
          <w:rtl/>
        </w:rPr>
        <w:t>،</w:t>
      </w:r>
      <w:r w:rsidRPr="005675B2">
        <w:rPr>
          <w:rFonts w:hint="cs"/>
          <w:u w:val="single"/>
          <w:rtl/>
        </w:rPr>
        <w:t>وهذه ردة عن الإسلام باتفاق المسلمين</w:t>
      </w:r>
      <w:r w:rsidR="000636C2">
        <w:rPr>
          <w:rFonts w:hint="cs"/>
          <w:rtl/>
        </w:rPr>
        <w:t>،</w:t>
      </w:r>
      <w:r w:rsidRPr="005675B2">
        <w:rPr>
          <w:rFonts w:hint="cs"/>
          <w:rtl/>
        </w:rPr>
        <w:t xml:space="preserve"> أهـ</w:t>
      </w:r>
      <w:r w:rsidR="000636C2">
        <w:rPr>
          <w:rFonts w:hint="cs"/>
          <w:rtl/>
        </w:rPr>
        <w:t xml:space="preserve"> </w:t>
      </w:r>
      <w:r w:rsidRPr="005675B2">
        <w:rPr>
          <w:rFonts w:hint="cs"/>
          <w:rtl/>
        </w:rPr>
        <w:t>تاريخ نجد 348</w:t>
      </w:r>
      <w:r w:rsidRPr="005675B2">
        <w:rPr>
          <w:rFonts w:hint="cs"/>
          <w:snapToGrid w:val="0"/>
          <w:rtl/>
        </w:rPr>
        <w:t>قال الشيخ محمد بن عبدالوهاب</w:t>
      </w:r>
      <w:r w:rsidR="000636C2">
        <w:rPr>
          <w:rFonts w:hint="cs"/>
          <w:snapToGrid w:val="0"/>
          <w:rtl/>
        </w:rPr>
        <w:t>:</w:t>
      </w:r>
      <w:r w:rsidRPr="005675B2">
        <w:rPr>
          <w:rFonts w:hint="cs"/>
          <w:snapToGrid w:val="0"/>
          <w:rtl/>
        </w:rPr>
        <w:t xml:space="preserve"> فانظر كلامه </w:t>
      </w:r>
      <w:r w:rsidR="000636C2">
        <w:rPr>
          <w:rFonts w:hint="cs"/>
          <w:snapToGrid w:val="0"/>
          <w:rtl/>
        </w:rPr>
        <w:t>(</w:t>
      </w:r>
      <w:r w:rsidRPr="005675B2">
        <w:rPr>
          <w:rFonts w:hint="cs"/>
          <w:snapToGrid w:val="0"/>
          <w:rtl/>
        </w:rPr>
        <w:t>أي ابن تيمية</w:t>
      </w:r>
      <w:r w:rsidR="000636C2">
        <w:rPr>
          <w:rFonts w:hint="cs"/>
          <w:snapToGrid w:val="0"/>
          <w:rtl/>
        </w:rPr>
        <w:t>)</w:t>
      </w:r>
      <w:r w:rsidRPr="005675B2">
        <w:rPr>
          <w:rFonts w:hint="cs"/>
          <w:snapToGrid w:val="0"/>
          <w:rtl/>
        </w:rPr>
        <w:t xml:space="preserve"> في التفرقة بين المقالات الخفية وبين مانحن فيه في تكفير المعين</w:t>
      </w:r>
      <w:r w:rsidR="000636C2">
        <w:rPr>
          <w:rFonts w:hint="cs"/>
          <w:snapToGrid w:val="0"/>
          <w:rtl/>
        </w:rPr>
        <w:t>،</w:t>
      </w:r>
      <w:r w:rsidRPr="005675B2">
        <w:rPr>
          <w:rFonts w:hint="cs"/>
          <w:snapToGrid w:val="0"/>
          <w:rtl/>
        </w:rPr>
        <w:t>وتأمل تكفيره رؤوسهم</w:t>
      </w:r>
      <w:r w:rsidR="000636C2">
        <w:rPr>
          <w:rFonts w:hint="cs"/>
          <w:snapToGrid w:val="0"/>
          <w:rtl/>
        </w:rPr>
        <w:t>:</w:t>
      </w:r>
      <w:r w:rsidRPr="005675B2">
        <w:rPr>
          <w:rFonts w:hint="cs"/>
          <w:snapToGrid w:val="0"/>
          <w:rtl/>
        </w:rPr>
        <w:t>فلاناً وفلاناً بأعيانهم</w:t>
      </w:r>
      <w:r w:rsidR="000636C2">
        <w:rPr>
          <w:rFonts w:hint="cs"/>
          <w:snapToGrid w:val="0"/>
          <w:rtl/>
        </w:rPr>
        <w:t>،</w:t>
      </w:r>
      <w:r w:rsidRPr="005675B2">
        <w:rPr>
          <w:rFonts w:hint="cs"/>
          <w:snapToGrid w:val="0"/>
          <w:rtl/>
        </w:rPr>
        <w:t>وردتهم ردة صريحة</w:t>
      </w:r>
      <w:r w:rsidR="000636C2">
        <w:rPr>
          <w:rFonts w:hint="cs"/>
          <w:snapToGrid w:val="0"/>
          <w:rtl/>
        </w:rPr>
        <w:t>،</w:t>
      </w:r>
      <w:r w:rsidRPr="005675B2">
        <w:rPr>
          <w:rFonts w:hint="cs"/>
          <w:snapToGrid w:val="0"/>
          <w:rtl/>
        </w:rPr>
        <w:t xml:space="preserve"> </w:t>
      </w:r>
      <w:r w:rsidRPr="005675B2">
        <w:rPr>
          <w:rFonts w:hint="cs"/>
          <w:snapToGrid w:val="0"/>
          <w:u w:val="single"/>
          <w:rtl/>
        </w:rPr>
        <w:t>وتأمل تصريحه بحكاية الاجماع على ردة الفخر الرازي عن الإسلام</w:t>
      </w:r>
      <w:r w:rsidR="000636C2">
        <w:rPr>
          <w:rFonts w:hint="cs"/>
          <w:snapToGrid w:val="0"/>
          <w:rtl/>
        </w:rPr>
        <w:t>،</w:t>
      </w:r>
      <w:r w:rsidRPr="005675B2">
        <w:rPr>
          <w:rFonts w:hint="cs"/>
          <w:snapToGrid w:val="0"/>
          <w:rtl/>
        </w:rPr>
        <w:t xml:space="preserve"> انتهى كلام الشيخ محمد بن عبدالوهاب بحروفه [</w:t>
      </w:r>
      <w:r w:rsidRPr="005675B2">
        <w:rPr>
          <w:rFonts w:hint="cs"/>
          <w:bCs/>
          <w:sz w:val="24"/>
          <w:szCs w:val="24"/>
          <w:rtl/>
        </w:rPr>
        <w:t>في الرسالة (21) المودعة في تاريخ نجد ص348ـ 349 لابن غنام تحقيق ناصر الدين الأسد]</w:t>
      </w:r>
      <w:r w:rsidR="000636C2">
        <w:rPr>
          <w:rFonts w:hint="cs"/>
          <w:snapToGrid w:val="0"/>
          <w:rtl/>
        </w:rPr>
        <w:t xml:space="preserve">، </w:t>
      </w:r>
      <w:r w:rsidRPr="005675B2">
        <w:rPr>
          <w:rFonts w:hint="cs"/>
          <w:snapToGrid w:val="0"/>
          <w:rtl/>
        </w:rPr>
        <w:t>ومنه يتبين للقارىء الكريم عدة أشياء</w:t>
      </w:r>
      <w:r w:rsidR="000636C2">
        <w:rPr>
          <w:rFonts w:hint="cs"/>
          <w:snapToGrid w:val="0"/>
          <w:rtl/>
        </w:rPr>
        <w:t>:</w:t>
      </w:r>
    </w:p>
    <w:p w14:paraId="360201C1" w14:textId="2802B4A5" w:rsidR="009C32A0" w:rsidRPr="005675B2" w:rsidRDefault="009C32A0" w:rsidP="000636C2">
      <w:pPr>
        <w:rPr>
          <w:b/>
          <w:snapToGrid w:val="0"/>
          <w:u w:val="single"/>
          <w:rtl/>
        </w:rPr>
      </w:pPr>
      <w:r w:rsidRPr="005675B2">
        <w:rPr>
          <w:rFonts w:hint="cs"/>
          <w:snapToGrid w:val="0"/>
          <w:u w:val="single"/>
          <w:rtl/>
        </w:rPr>
        <w:t>1</w:t>
      </w:r>
      <w:r w:rsidR="000636C2">
        <w:rPr>
          <w:rFonts w:hint="cs"/>
          <w:snapToGrid w:val="0"/>
          <w:u w:val="single"/>
          <w:rtl/>
        </w:rPr>
        <w:t xml:space="preserve"> </w:t>
      </w:r>
      <w:r w:rsidRPr="005675B2">
        <w:rPr>
          <w:rFonts w:hint="cs"/>
          <w:snapToGrid w:val="0"/>
          <w:u w:val="single"/>
          <w:rtl/>
        </w:rPr>
        <w:t>- تكفير ابن تيمية وابن عبدالوهاب للعلماء بأعيانهم وليس</w:t>
      </w:r>
      <w:r w:rsidR="000636C2">
        <w:rPr>
          <w:rFonts w:hint="cs"/>
          <w:snapToGrid w:val="0"/>
          <w:u w:val="single"/>
          <w:rtl/>
        </w:rPr>
        <w:t xml:space="preserve"> </w:t>
      </w:r>
      <w:r w:rsidRPr="005675B2">
        <w:rPr>
          <w:rFonts w:hint="cs"/>
          <w:snapToGrid w:val="0"/>
          <w:u w:val="single"/>
          <w:rtl/>
        </w:rPr>
        <w:t>التكفير الوصفي فحسب كما يدعي المدعون</w:t>
      </w:r>
      <w:r w:rsidR="000636C2">
        <w:rPr>
          <w:rFonts w:hint="cs"/>
          <w:snapToGrid w:val="0"/>
          <w:u w:val="single"/>
          <w:rtl/>
        </w:rPr>
        <w:t>،</w:t>
      </w:r>
    </w:p>
    <w:p w14:paraId="060A237B" w14:textId="3D7EC9AB" w:rsidR="009C32A0" w:rsidRPr="005675B2" w:rsidRDefault="009C32A0" w:rsidP="000636C2">
      <w:pPr>
        <w:rPr>
          <w:b/>
          <w:snapToGrid w:val="0"/>
          <w:rtl/>
        </w:rPr>
      </w:pPr>
      <w:r w:rsidRPr="005675B2">
        <w:rPr>
          <w:rFonts w:hint="cs"/>
          <w:snapToGrid w:val="0"/>
          <w:rtl/>
        </w:rPr>
        <w:t>2</w:t>
      </w:r>
      <w:r w:rsidR="000636C2">
        <w:rPr>
          <w:rFonts w:hint="cs"/>
          <w:snapToGrid w:val="0"/>
          <w:rtl/>
        </w:rPr>
        <w:t xml:space="preserve"> </w:t>
      </w:r>
      <w:r w:rsidRPr="005675B2">
        <w:rPr>
          <w:rFonts w:hint="cs"/>
          <w:snapToGrid w:val="0"/>
          <w:rtl/>
        </w:rPr>
        <w:t>- دعوى الإجماع على تكفير الإمام الرازي وكونه يؤلف في عبادة الأوثان</w:t>
      </w:r>
      <w:r w:rsidR="000636C2">
        <w:rPr>
          <w:rFonts w:hint="cs"/>
          <w:snapToGrid w:val="0"/>
          <w:rtl/>
        </w:rPr>
        <w:t>،!</w:t>
      </w:r>
      <w:r w:rsidRPr="005675B2">
        <w:rPr>
          <w:rFonts w:hint="cs"/>
          <w:snapToGrid w:val="0"/>
          <w:rtl/>
        </w:rPr>
        <w:t>!فالله المستعان</w:t>
      </w:r>
      <w:r w:rsidR="000636C2">
        <w:rPr>
          <w:rFonts w:hint="cs"/>
          <w:snapToGrid w:val="0"/>
          <w:rtl/>
        </w:rPr>
        <w:t>،</w:t>
      </w:r>
      <w:r w:rsidRPr="005675B2">
        <w:rPr>
          <w:rFonts w:hint="cs"/>
          <w:snapToGrid w:val="0"/>
          <w:rtl/>
        </w:rPr>
        <w:t xml:space="preserve"> </w:t>
      </w:r>
    </w:p>
    <w:p w14:paraId="4DFFDB68" w14:textId="77E0C873" w:rsidR="009C32A0" w:rsidRPr="005675B2" w:rsidRDefault="009C32A0" w:rsidP="000636C2">
      <w:pPr>
        <w:rPr>
          <w:b/>
          <w:rtl/>
        </w:rPr>
      </w:pPr>
      <w:r w:rsidRPr="005675B2">
        <w:rPr>
          <w:rFonts w:hint="cs"/>
          <w:snapToGrid w:val="0"/>
          <w:rtl/>
        </w:rPr>
        <w:t>وقارن بينه وبين كلام إمام من أئمة الجرح والتعديل وهو الحافظ ابن حجر حيث قال</w:t>
      </w:r>
      <w:r w:rsidR="000636C2">
        <w:rPr>
          <w:rFonts w:hint="cs"/>
          <w:snapToGrid w:val="0"/>
          <w:rtl/>
        </w:rPr>
        <w:t>::</w:t>
      </w:r>
      <w:r w:rsidRPr="005675B2">
        <w:rPr>
          <w:rFonts w:hint="cs"/>
          <w:rtl/>
        </w:rPr>
        <w:t xml:space="preserve"> </w:t>
      </w:r>
      <w:r w:rsidR="000636C2">
        <w:rPr>
          <w:rFonts w:hint="cs"/>
          <w:rtl/>
        </w:rPr>
        <w:t>[</w:t>
      </w:r>
      <w:r w:rsidRPr="005675B2">
        <w:rPr>
          <w:rFonts w:hint="cs"/>
          <w:rtl/>
        </w:rPr>
        <w:t>والفخر كان من أئمة الأصول</w:t>
      </w:r>
      <w:r w:rsidR="000636C2">
        <w:rPr>
          <w:rFonts w:hint="cs"/>
          <w:rtl/>
        </w:rPr>
        <w:t>،</w:t>
      </w:r>
      <w:r w:rsidRPr="005675B2">
        <w:rPr>
          <w:rFonts w:hint="cs"/>
          <w:rtl/>
        </w:rPr>
        <w:t xml:space="preserve"> وكتبه في الأصلين شهيرة سائرة</w:t>
      </w:r>
      <w:r w:rsidR="000636C2">
        <w:rPr>
          <w:rFonts w:hint="cs"/>
          <w:rtl/>
        </w:rPr>
        <w:t>،</w:t>
      </w:r>
      <w:r w:rsidRPr="005675B2">
        <w:rPr>
          <w:rFonts w:hint="cs"/>
          <w:rtl/>
        </w:rPr>
        <w:t xml:space="preserve"> وله ما يُـقبل وما يُـرد</w:t>
      </w:r>
      <w:r w:rsidR="000636C2">
        <w:rPr>
          <w:rFonts w:hint="cs"/>
          <w:rtl/>
        </w:rPr>
        <w:t xml:space="preserve">] </w:t>
      </w:r>
      <w:r w:rsidRPr="005675B2">
        <w:rPr>
          <w:rFonts w:hint="cs"/>
          <w:rtl/>
        </w:rPr>
        <w:t>[</w:t>
      </w:r>
      <w:r w:rsidRPr="005675B2">
        <w:rPr>
          <w:rFonts w:hint="cs"/>
          <w:bCs/>
          <w:sz w:val="24"/>
          <w:szCs w:val="24"/>
          <w:rtl/>
        </w:rPr>
        <w:t>لسان الميزان: 4 / 427</w:t>
      </w:r>
      <w:r w:rsidR="000636C2">
        <w:rPr>
          <w:rFonts w:hint="cs"/>
          <w:bCs/>
          <w:sz w:val="24"/>
          <w:szCs w:val="24"/>
          <w:rtl/>
        </w:rPr>
        <w:t>]</w:t>
      </w:r>
      <w:r w:rsidR="000636C2">
        <w:rPr>
          <w:rFonts w:hint="cs"/>
          <w:rtl/>
        </w:rPr>
        <w:t>،</w:t>
      </w:r>
      <w:r w:rsidRPr="005675B2">
        <w:rPr>
          <w:rFonts w:hint="cs"/>
          <w:rtl/>
        </w:rPr>
        <w:t xml:space="preserve"> فجزاه الله خيراًما أعظم إنصافه</w:t>
      </w:r>
      <w:r w:rsidR="000636C2">
        <w:rPr>
          <w:rFonts w:hint="cs"/>
          <w:rtl/>
        </w:rPr>
        <w:t xml:space="preserve">، </w:t>
      </w:r>
      <w:r w:rsidRPr="005675B2">
        <w:rPr>
          <w:rFonts w:hint="cs"/>
          <w:rtl/>
        </w:rPr>
        <w:t>قال الإمام السبكي يتحدث عن الرازي</w:t>
      </w:r>
      <w:r w:rsidR="000636C2">
        <w:rPr>
          <w:rFonts w:hint="cs"/>
          <w:rtl/>
        </w:rPr>
        <w:t>:</w:t>
      </w:r>
      <w:r w:rsidRPr="005675B2">
        <w:rPr>
          <w:rFonts w:hint="cs"/>
          <w:rtl/>
        </w:rPr>
        <w:t xml:space="preserve"> فإنه يعتبر مجدد القرن السادس</w:t>
      </w:r>
      <w:r w:rsidR="000636C2">
        <w:rPr>
          <w:rFonts w:hint="cs"/>
          <w:rtl/>
        </w:rPr>
        <w:t>،</w:t>
      </w:r>
      <w:r w:rsidRPr="005675B2">
        <w:rPr>
          <w:rFonts w:hint="cs"/>
          <w:rtl/>
        </w:rPr>
        <w:t xml:space="preserve"> وقال وهو يرد على شيخه الذهبي لتنقصه للرازي</w:t>
      </w:r>
      <w:r w:rsidR="000636C2">
        <w:rPr>
          <w:rFonts w:hint="cs"/>
          <w:rtl/>
        </w:rPr>
        <w:t>:</w:t>
      </w:r>
      <w:r w:rsidRPr="005675B2">
        <w:rPr>
          <w:rFonts w:hint="cs"/>
          <w:rtl/>
        </w:rPr>
        <w:t xml:space="preserve"> ليس لذكره في هذا المكان معنى ولا يجوز من وجوه عدة</w:t>
      </w:r>
      <w:r w:rsidR="000636C2">
        <w:rPr>
          <w:rFonts w:hint="cs"/>
          <w:rtl/>
        </w:rPr>
        <w:t>:</w:t>
      </w:r>
      <w:r w:rsidRPr="005675B2">
        <w:rPr>
          <w:rFonts w:hint="cs"/>
          <w:rtl/>
        </w:rPr>
        <w:t xml:space="preserve"> أعلاها أنه ثقة حبر من أحبار الأمة</w:t>
      </w:r>
      <w:r w:rsidR="000636C2">
        <w:rPr>
          <w:rFonts w:hint="cs"/>
          <w:rtl/>
        </w:rPr>
        <w:t>،</w:t>
      </w:r>
      <w:r w:rsidRPr="005675B2">
        <w:rPr>
          <w:rFonts w:hint="cs"/>
          <w:rtl/>
        </w:rPr>
        <w:t xml:space="preserve"> وأدناها أنه لا رواية له</w:t>
      </w:r>
      <w:r w:rsidR="000636C2">
        <w:rPr>
          <w:rFonts w:hint="cs"/>
          <w:rtl/>
        </w:rPr>
        <w:t>،</w:t>
      </w:r>
      <w:r w:rsidRPr="005675B2">
        <w:rPr>
          <w:rFonts w:hint="cs"/>
          <w:rtl/>
        </w:rPr>
        <w:t>وذكره في كتاب الرواة مجرد فضول وتعصب</w:t>
      </w:r>
      <w:r w:rsidR="000636C2">
        <w:rPr>
          <w:rFonts w:hint="cs"/>
          <w:rtl/>
        </w:rPr>
        <w:t>،</w:t>
      </w:r>
      <w:r w:rsidRPr="005675B2">
        <w:rPr>
          <w:rFonts w:hint="cs"/>
          <w:rtl/>
        </w:rPr>
        <w:t>وتحامل تقشعر منه الجلود</w:t>
      </w:r>
      <w:r w:rsidR="000636C2">
        <w:rPr>
          <w:rFonts w:hint="cs"/>
          <w:rtl/>
        </w:rPr>
        <w:t>،</w:t>
      </w:r>
      <w:r w:rsidRPr="005675B2">
        <w:rPr>
          <w:rFonts w:hint="cs"/>
          <w:rtl/>
        </w:rPr>
        <w:t xml:space="preserve"> وقال في الميزان</w:t>
      </w:r>
      <w:r w:rsidR="000636C2">
        <w:rPr>
          <w:rFonts w:hint="cs"/>
          <w:rtl/>
        </w:rPr>
        <w:t>:</w:t>
      </w:r>
      <w:r w:rsidRPr="005675B2">
        <w:rPr>
          <w:rFonts w:hint="cs"/>
          <w:rtl/>
        </w:rPr>
        <w:t xml:space="preserve"> له كتاب أسرار النجوم سحر صريح، قلت</w:t>
      </w:r>
      <w:r w:rsidR="000636C2">
        <w:rPr>
          <w:rFonts w:hint="cs"/>
          <w:rtl/>
        </w:rPr>
        <w:t>:</w:t>
      </w:r>
      <w:r w:rsidRPr="005675B2">
        <w:rPr>
          <w:rFonts w:hint="cs"/>
          <w:rtl/>
        </w:rPr>
        <w:t xml:space="preserve"> </w:t>
      </w:r>
      <w:r w:rsidRPr="005675B2">
        <w:rPr>
          <w:rFonts w:hint="cs"/>
          <w:u w:val="single"/>
          <w:rtl/>
        </w:rPr>
        <w:t>وقد عرّفناك أن هذا الكتاب مختلق عليه</w:t>
      </w:r>
      <w:r w:rsidR="000636C2">
        <w:rPr>
          <w:rFonts w:hint="cs"/>
          <w:u w:val="single"/>
          <w:rtl/>
        </w:rPr>
        <w:t>،</w:t>
      </w:r>
      <w:r w:rsidRPr="005675B2">
        <w:rPr>
          <w:rFonts w:hint="cs"/>
          <w:rtl/>
        </w:rPr>
        <w:t>وبتقدير صحة نسبته إليه ليس بسحر فليتأمله من يحسن السحر</w:t>
      </w:r>
      <w:r w:rsidR="000636C2">
        <w:rPr>
          <w:rFonts w:hint="cs"/>
          <w:rtl/>
        </w:rPr>
        <w:t>،</w:t>
      </w:r>
      <w:r w:rsidRPr="005675B2">
        <w:rPr>
          <w:rFonts w:hint="cs"/>
          <w:rtl/>
        </w:rPr>
        <w:t xml:space="preserve"> يكفيك شاهداً على تعصب شيخنا عليه ذكره إياه في حرف الفاء حيث قال</w:t>
      </w:r>
      <w:r w:rsidR="000636C2">
        <w:rPr>
          <w:rFonts w:hint="cs"/>
          <w:rtl/>
        </w:rPr>
        <w:t>:</w:t>
      </w:r>
      <w:r w:rsidRPr="005675B2">
        <w:rPr>
          <w:rFonts w:hint="cs"/>
          <w:rtl/>
        </w:rPr>
        <w:t>الفخر الرازي ولا يخفى أنه لا يُعرف بهذا ولا هو اسمه</w:t>
      </w:r>
      <w:r w:rsidR="000636C2">
        <w:rPr>
          <w:rFonts w:hint="cs"/>
          <w:rtl/>
        </w:rPr>
        <w:t>،</w:t>
      </w:r>
      <w:r w:rsidRPr="005675B2">
        <w:rPr>
          <w:rFonts w:hint="cs"/>
          <w:rtl/>
        </w:rPr>
        <w:t xml:space="preserve"> أما اسمه فمحمد</w:t>
      </w:r>
      <w:r w:rsidR="000636C2">
        <w:rPr>
          <w:rFonts w:hint="cs"/>
          <w:rtl/>
        </w:rPr>
        <w:t>،</w:t>
      </w:r>
      <w:r w:rsidRPr="005675B2">
        <w:rPr>
          <w:rFonts w:hint="cs"/>
          <w:rtl/>
        </w:rPr>
        <w:t>وأما ما اشتهر به فابن الخطيب</w:t>
      </w:r>
      <w:r w:rsidR="000636C2">
        <w:rPr>
          <w:rFonts w:hint="cs"/>
          <w:rtl/>
        </w:rPr>
        <w:t>،</w:t>
      </w:r>
      <w:r w:rsidRPr="005675B2">
        <w:rPr>
          <w:rFonts w:hint="cs"/>
          <w:rtl/>
        </w:rPr>
        <w:t>والإمام .. انتهى [</w:t>
      </w:r>
      <w:r w:rsidRPr="005675B2">
        <w:rPr>
          <w:rFonts w:hint="cs"/>
          <w:bCs/>
          <w:sz w:val="24"/>
          <w:szCs w:val="24"/>
          <w:rtl/>
        </w:rPr>
        <w:t>طبقات الشافعية</w:t>
      </w:r>
      <w:r w:rsidR="000636C2">
        <w:rPr>
          <w:rFonts w:hint="cs"/>
          <w:bCs/>
          <w:sz w:val="24"/>
          <w:szCs w:val="24"/>
          <w:rtl/>
        </w:rPr>
        <w:t>:</w:t>
      </w:r>
      <w:r w:rsidRPr="005675B2">
        <w:rPr>
          <w:rFonts w:hint="cs"/>
          <w:bCs/>
          <w:sz w:val="24"/>
          <w:szCs w:val="24"/>
          <w:rtl/>
        </w:rPr>
        <w:t xml:space="preserve"> 5/37</w:t>
      </w:r>
      <w:r w:rsidRPr="005675B2">
        <w:rPr>
          <w:rFonts w:hint="cs"/>
          <w:rtl/>
        </w:rPr>
        <w:t>]</w:t>
      </w:r>
    </w:p>
    <w:p w14:paraId="6B9107AF" w14:textId="7D474E3B" w:rsidR="009C32A0" w:rsidRPr="005675B2" w:rsidRDefault="009C32A0" w:rsidP="000636C2">
      <w:pPr>
        <w:rPr>
          <w:b/>
          <w:rtl/>
        </w:rPr>
      </w:pPr>
      <w:r w:rsidRPr="005675B2">
        <w:rPr>
          <w:rFonts w:hint="cs"/>
          <w:rtl/>
        </w:rPr>
        <w:t>بل يعلق طاش كبري زاده على كتاب السر المكتوم المكذوب على الرازي قيقول</w:t>
      </w:r>
      <w:r w:rsidR="000636C2">
        <w:rPr>
          <w:rFonts w:hint="cs"/>
          <w:rtl/>
        </w:rPr>
        <w:t>:</w:t>
      </w:r>
      <w:r w:rsidRPr="005675B2">
        <w:rPr>
          <w:rFonts w:hint="cs"/>
          <w:rtl/>
        </w:rPr>
        <w:t xml:space="preserve"> إن الكهانة في السر المكتوم على قسمين</w:t>
      </w:r>
      <w:r w:rsidR="000636C2">
        <w:rPr>
          <w:rFonts w:hint="cs"/>
          <w:rtl/>
        </w:rPr>
        <w:t>:</w:t>
      </w:r>
      <w:r w:rsidRPr="005675B2">
        <w:rPr>
          <w:rFonts w:hint="cs"/>
          <w:rtl/>
        </w:rPr>
        <w:t xml:space="preserve"> قسم يكون من خواص بعض النفوس وهذا ليس بمكتسب</w:t>
      </w:r>
      <w:r w:rsidR="000636C2">
        <w:rPr>
          <w:rFonts w:hint="cs"/>
          <w:rtl/>
        </w:rPr>
        <w:t>،</w:t>
      </w:r>
      <w:r w:rsidRPr="005675B2">
        <w:rPr>
          <w:rFonts w:hint="cs"/>
          <w:rtl/>
        </w:rPr>
        <w:t xml:space="preserve"> وقسم يحصل بالاشتغال بالعزائم</w:t>
      </w:r>
      <w:r w:rsidR="000636C2">
        <w:rPr>
          <w:rFonts w:hint="cs"/>
          <w:rtl/>
        </w:rPr>
        <w:t>،</w:t>
      </w:r>
      <w:r w:rsidRPr="005675B2">
        <w:rPr>
          <w:rFonts w:hint="cs"/>
          <w:rtl/>
        </w:rPr>
        <w:t>ودعوة الكواكب وله طرق</w:t>
      </w:r>
      <w:r w:rsidR="000636C2">
        <w:rPr>
          <w:rFonts w:hint="cs"/>
          <w:rtl/>
        </w:rPr>
        <w:t>،</w:t>
      </w:r>
      <w:r w:rsidRPr="005675B2">
        <w:rPr>
          <w:rFonts w:hint="cs"/>
          <w:rtl/>
        </w:rPr>
        <w:t xml:space="preserve"> ثم إن المفهوم من ذلك الكتاب </w:t>
      </w:r>
      <w:r w:rsidRPr="005675B2">
        <w:rPr>
          <w:rFonts w:hint="cs"/>
          <w:u w:val="single"/>
          <w:rtl/>
        </w:rPr>
        <w:t xml:space="preserve">أن سلوك هذا الطريق محرم في شريعتنا فيجب التحرز عن اكتسابه </w:t>
      </w:r>
      <w:r w:rsidR="000636C2">
        <w:rPr>
          <w:rFonts w:hint="cs"/>
          <w:u w:val="single"/>
          <w:rtl/>
        </w:rPr>
        <w:t>(</w:t>
      </w:r>
      <w:r w:rsidRPr="005675B2">
        <w:rPr>
          <w:rFonts w:hint="cs"/>
          <w:u w:val="single"/>
          <w:rtl/>
        </w:rPr>
        <w:t>أي فعله</w:t>
      </w:r>
      <w:r w:rsidR="000636C2">
        <w:rPr>
          <w:rFonts w:hint="cs"/>
          <w:u w:val="single"/>
          <w:rtl/>
        </w:rPr>
        <w:t>)</w:t>
      </w:r>
      <w:r w:rsidRPr="005675B2">
        <w:rPr>
          <w:rFonts w:hint="cs"/>
          <w:u w:val="single"/>
          <w:rtl/>
        </w:rPr>
        <w:t xml:space="preserve"> وتحصيله</w:t>
      </w:r>
      <w:r w:rsidR="000636C2">
        <w:rPr>
          <w:rFonts w:hint="cs"/>
          <w:u w:val="single"/>
          <w:rtl/>
        </w:rPr>
        <w:t>،</w:t>
      </w:r>
      <w:r w:rsidRPr="005675B2">
        <w:rPr>
          <w:rFonts w:hint="cs"/>
          <w:u w:val="single"/>
          <w:rtl/>
        </w:rPr>
        <w:t xml:space="preserve"> أ</w:t>
      </w:r>
      <w:r w:rsidR="000636C2">
        <w:rPr>
          <w:rFonts w:hint="cs"/>
          <w:u w:val="single"/>
          <w:rtl/>
        </w:rPr>
        <w:t xml:space="preserve"> </w:t>
      </w:r>
      <w:r w:rsidRPr="005675B2">
        <w:rPr>
          <w:rFonts w:hint="cs"/>
          <w:u w:val="single"/>
          <w:rtl/>
        </w:rPr>
        <w:t>- ه</w:t>
      </w:r>
      <w:r w:rsidR="000636C2">
        <w:rPr>
          <w:rFonts w:hint="cs"/>
          <w:u w:val="single"/>
          <w:rtl/>
        </w:rPr>
        <w:t xml:space="preserve"> </w:t>
      </w:r>
      <w:r w:rsidRPr="005675B2">
        <w:rPr>
          <w:rFonts w:hint="cs"/>
          <w:u w:val="single"/>
          <w:rtl/>
        </w:rPr>
        <w:t>- [</w:t>
      </w:r>
      <w:r w:rsidRPr="005675B2">
        <w:rPr>
          <w:rFonts w:hint="cs"/>
          <w:bCs/>
          <w:sz w:val="24"/>
          <w:szCs w:val="24"/>
          <w:rtl/>
        </w:rPr>
        <w:t>مفتاح دار السعادة ومصباح السيادة 1/31</w:t>
      </w:r>
      <w:r w:rsidRPr="005675B2">
        <w:rPr>
          <w:rFonts w:hint="cs"/>
          <w:u w:val="single"/>
          <w:rtl/>
        </w:rPr>
        <w:t xml:space="preserve">] </w:t>
      </w:r>
      <w:r w:rsidRPr="005675B2">
        <w:rPr>
          <w:rFonts w:hint="cs"/>
          <w:rtl/>
        </w:rPr>
        <w:t>ويقول ابن خلدون</w:t>
      </w:r>
      <w:r w:rsidR="000636C2">
        <w:rPr>
          <w:rFonts w:hint="cs"/>
          <w:rtl/>
        </w:rPr>
        <w:t>:</w:t>
      </w:r>
      <w:r w:rsidRPr="005675B2">
        <w:rPr>
          <w:rFonts w:hint="cs"/>
          <w:rtl/>
        </w:rPr>
        <w:t xml:space="preserve"> ونحن لم نقف عليه والإمام الرازي لم</w:t>
      </w:r>
      <w:r w:rsidR="000636C2">
        <w:rPr>
          <w:rFonts w:hint="cs"/>
          <w:rtl/>
        </w:rPr>
        <w:t xml:space="preserve"> </w:t>
      </w:r>
      <w:r w:rsidRPr="005675B2">
        <w:rPr>
          <w:rFonts w:hint="cs"/>
          <w:rtl/>
        </w:rPr>
        <w:t>يكن من أئمة الشأن فيما نظن</w:t>
      </w:r>
      <w:r w:rsidR="000636C2">
        <w:rPr>
          <w:rFonts w:hint="cs"/>
          <w:rtl/>
        </w:rPr>
        <w:t xml:space="preserve">، </w:t>
      </w:r>
      <w:r w:rsidRPr="005675B2">
        <w:rPr>
          <w:rFonts w:hint="cs"/>
          <w:rtl/>
        </w:rPr>
        <w:t>[</w:t>
      </w:r>
      <w:r w:rsidRPr="005675B2">
        <w:rPr>
          <w:rFonts w:hint="cs"/>
          <w:bCs/>
          <w:sz w:val="24"/>
          <w:szCs w:val="24"/>
          <w:rtl/>
        </w:rPr>
        <w:t>مقدمة ابن خلدون ص930</w:t>
      </w:r>
      <w:r w:rsidRPr="005675B2">
        <w:rPr>
          <w:rFonts w:hint="cs"/>
          <w:rtl/>
        </w:rPr>
        <w:t>]</w:t>
      </w:r>
    </w:p>
    <w:p w14:paraId="35E0BBC9" w14:textId="4DFAF913" w:rsidR="009C32A0" w:rsidRPr="005675B2" w:rsidRDefault="009C32A0" w:rsidP="000636C2">
      <w:pPr>
        <w:rPr>
          <w:b/>
          <w:u w:val="single"/>
          <w:rtl/>
        </w:rPr>
      </w:pPr>
      <w:r w:rsidRPr="005675B2">
        <w:rPr>
          <w:rFonts w:hint="cs"/>
          <w:rtl/>
        </w:rPr>
        <w:t>فالناتج من كلامهم</w:t>
      </w:r>
      <w:r w:rsidR="000636C2">
        <w:rPr>
          <w:rFonts w:hint="cs"/>
          <w:rtl/>
        </w:rPr>
        <w:t xml:space="preserve"> </w:t>
      </w:r>
      <w:r w:rsidRPr="005675B2">
        <w:rPr>
          <w:rFonts w:hint="cs"/>
          <w:rtl/>
        </w:rPr>
        <w:t>مسائل</w:t>
      </w:r>
      <w:r w:rsidR="000636C2">
        <w:rPr>
          <w:rFonts w:hint="cs"/>
          <w:rtl/>
        </w:rPr>
        <w:t xml:space="preserve">: </w:t>
      </w:r>
      <w:r w:rsidRPr="005675B2">
        <w:rPr>
          <w:rFonts w:hint="cs"/>
          <w:rtl/>
        </w:rPr>
        <w:t>الأولى</w:t>
      </w:r>
      <w:r w:rsidR="000636C2">
        <w:rPr>
          <w:rFonts w:hint="cs"/>
          <w:rtl/>
        </w:rPr>
        <w:t>:</w:t>
      </w:r>
      <w:r w:rsidRPr="005675B2">
        <w:rPr>
          <w:rFonts w:hint="cs"/>
          <w:rtl/>
        </w:rPr>
        <w:t>عدم صحة نسبة الكتاب للإمام الرازي رحمه الله تعالى</w:t>
      </w:r>
      <w:r w:rsidR="000636C2">
        <w:rPr>
          <w:rFonts w:hint="cs"/>
          <w:rtl/>
        </w:rPr>
        <w:t xml:space="preserve">، </w:t>
      </w:r>
      <w:r w:rsidRPr="005675B2">
        <w:rPr>
          <w:rFonts w:hint="cs"/>
          <w:rtl/>
        </w:rPr>
        <w:t>الثانية</w:t>
      </w:r>
      <w:r w:rsidR="000636C2">
        <w:rPr>
          <w:rFonts w:hint="cs"/>
          <w:rtl/>
        </w:rPr>
        <w:t>:</w:t>
      </w:r>
      <w:r w:rsidRPr="005675B2">
        <w:rPr>
          <w:rFonts w:hint="cs"/>
          <w:rtl/>
        </w:rPr>
        <w:t xml:space="preserve"> أن كتاب السر المكتوم بوضعه الذي رآه العلماء في زمنهم ليس فيه تقرير لعبادة الأوثان كما قال ابن تيمية</w:t>
      </w:r>
      <w:r w:rsidR="000636C2">
        <w:rPr>
          <w:rFonts w:hint="cs"/>
          <w:rtl/>
        </w:rPr>
        <w:t>،</w:t>
      </w:r>
      <w:r w:rsidRPr="005675B2">
        <w:rPr>
          <w:rFonts w:hint="cs"/>
          <w:rtl/>
        </w:rPr>
        <w:t>بل حاصله أن سلوك طريق السحر والكهانة محرم في شريعتنا</w:t>
      </w:r>
      <w:r w:rsidR="000636C2">
        <w:rPr>
          <w:rFonts w:hint="cs"/>
          <w:rtl/>
        </w:rPr>
        <w:t>،</w:t>
      </w:r>
      <w:r w:rsidRPr="005675B2">
        <w:rPr>
          <w:rFonts w:hint="cs"/>
          <w:rtl/>
        </w:rPr>
        <w:t>هكذا صرح به من اطلع عليه من العلماء</w:t>
      </w:r>
      <w:r w:rsidR="000636C2">
        <w:rPr>
          <w:rFonts w:hint="cs"/>
          <w:rtl/>
        </w:rPr>
        <w:t>،</w:t>
      </w:r>
      <w:r w:rsidRPr="005675B2">
        <w:rPr>
          <w:rFonts w:hint="cs"/>
          <w:rtl/>
        </w:rPr>
        <w:t xml:space="preserve"> ولا يخفى أن حكاية الكفر وتوصيفه</w:t>
      </w:r>
      <w:r w:rsidR="000636C2">
        <w:rPr>
          <w:rFonts w:hint="cs"/>
          <w:rtl/>
        </w:rPr>
        <w:t xml:space="preserve"> </w:t>
      </w:r>
      <w:r w:rsidRPr="005675B2">
        <w:rPr>
          <w:rFonts w:hint="cs"/>
          <w:rtl/>
        </w:rPr>
        <w:t>للتحذير منه والوقوف على صورته</w:t>
      </w:r>
      <w:r w:rsidR="000636C2">
        <w:rPr>
          <w:rFonts w:hint="cs"/>
          <w:rtl/>
        </w:rPr>
        <w:t xml:space="preserve"> </w:t>
      </w:r>
      <w:r w:rsidRPr="005675B2">
        <w:rPr>
          <w:rFonts w:hint="cs"/>
          <w:rtl/>
        </w:rPr>
        <w:t>جائز</w:t>
      </w:r>
      <w:r w:rsidR="000636C2">
        <w:rPr>
          <w:rFonts w:hint="cs"/>
          <w:rtl/>
        </w:rPr>
        <w:t xml:space="preserve">، </w:t>
      </w:r>
      <w:r w:rsidRPr="005675B2">
        <w:rPr>
          <w:rFonts w:hint="cs"/>
          <w:rtl/>
        </w:rPr>
        <w:t>الثالث</w:t>
      </w:r>
      <w:r w:rsidR="000636C2">
        <w:rPr>
          <w:rFonts w:hint="cs"/>
          <w:rtl/>
        </w:rPr>
        <w:t>:</w:t>
      </w:r>
      <w:r w:rsidRPr="005675B2">
        <w:rPr>
          <w:rFonts w:hint="cs"/>
          <w:rtl/>
        </w:rPr>
        <w:t xml:space="preserve"> أن مؤلف كتاب السر المكتوم سواء كان هو الرازي</w:t>
      </w:r>
      <w:r w:rsidR="000636C2">
        <w:rPr>
          <w:rFonts w:hint="cs"/>
          <w:rtl/>
        </w:rPr>
        <w:t>،</w:t>
      </w:r>
      <w:r w:rsidRPr="005675B2">
        <w:rPr>
          <w:rFonts w:hint="cs"/>
          <w:rtl/>
        </w:rPr>
        <w:t xml:space="preserve"> أو غيره قد قال في مقدمة الكتاب</w:t>
      </w:r>
      <w:r w:rsidR="000636C2">
        <w:rPr>
          <w:rFonts w:hint="cs"/>
          <w:rtl/>
        </w:rPr>
        <w:t>:</w:t>
      </w:r>
      <w:r w:rsidRPr="005675B2">
        <w:rPr>
          <w:rFonts w:hint="cs"/>
          <w:rtl/>
        </w:rPr>
        <w:t xml:space="preserve">أما بعد فهذا كتاب نجمع فيه ملخص ما وصل إلينا من علم الطلمسات والسحريات .. </w:t>
      </w:r>
      <w:r w:rsidRPr="005675B2">
        <w:rPr>
          <w:rFonts w:hint="cs"/>
          <w:u w:val="single"/>
          <w:rtl/>
        </w:rPr>
        <w:t>مع التبري عن كل ما يخالف الدين واليقين</w:t>
      </w:r>
      <w:r w:rsidR="000636C2">
        <w:rPr>
          <w:rFonts w:hint="cs"/>
          <w:u w:val="single"/>
          <w:rtl/>
        </w:rPr>
        <w:t>،</w:t>
      </w:r>
      <w:r w:rsidRPr="005675B2">
        <w:rPr>
          <w:rFonts w:hint="cs"/>
          <w:u w:val="single"/>
          <w:rtl/>
        </w:rPr>
        <w:t xml:space="preserve"> أهـ</w:t>
      </w:r>
      <w:r w:rsidR="000636C2">
        <w:rPr>
          <w:rFonts w:hint="cs"/>
          <w:u w:val="single"/>
          <w:rtl/>
        </w:rPr>
        <w:t xml:space="preserve"> </w:t>
      </w:r>
      <w:r w:rsidRPr="005675B2">
        <w:rPr>
          <w:rFonts w:hint="cs"/>
          <w:u w:val="single"/>
          <w:rtl/>
        </w:rPr>
        <w:t>[</w:t>
      </w:r>
      <w:r w:rsidRPr="005675B2">
        <w:rPr>
          <w:rFonts w:hint="cs"/>
          <w:bCs/>
          <w:sz w:val="24"/>
          <w:szCs w:val="24"/>
          <w:rtl/>
        </w:rPr>
        <w:t>مقدمة القضاء والقدر للشيخ محمد البغدادي]</w:t>
      </w:r>
    </w:p>
    <w:p w14:paraId="0990E790" w14:textId="11E32979"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تهمة ابن تيمية للرازي بتهمة أخرى باطلة</w:t>
      </w:r>
      <w:r w:rsidR="000636C2">
        <w:rPr>
          <w:rFonts w:hint="cs"/>
          <w:rtl/>
        </w:rPr>
        <w:t>:</w:t>
      </w:r>
      <w:r w:rsidRPr="005675B2">
        <w:rPr>
          <w:rFonts w:hint="cs"/>
          <w:rtl/>
        </w:rPr>
        <w:t xml:space="preserve"> قال ابن تيمية - غفر الله له -</w:t>
      </w:r>
      <w:r w:rsidR="000636C2">
        <w:rPr>
          <w:rFonts w:hint="cs"/>
          <w:rtl/>
        </w:rPr>
        <w:t>:</w:t>
      </w:r>
      <w:r w:rsidRPr="005675B2">
        <w:rPr>
          <w:rFonts w:hint="cs"/>
          <w:rtl/>
        </w:rPr>
        <w:t xml:space="preserve"> </w:t>
      </w:r>
      <w:r w:rsidR="000636C2">
        <w:rPr>
          <w:rFonts w:hint="cs"/>
          <w:rtl/>
        </w:rPr>
        <w:t>[</w:t>
      </w:r>
      <w:r w:rsidRPr="005675B2">
        <w:rPr>
          <w:rFonts w:hint="cs"/>
          <w:rtl/>
        </w:rPr>
        <w:t>وقد قيل إن الأشعري في آخر عمره أقرَّ بتكافؤ الأدلة</w:t>
      </w:r>
      <w:r w:rsidR="000636C2">
        <w:rPr>
          <w:rFonts w:hint="cs"/>
          <w:rtl/>
        </w:rPr>
        <w:t>،</w:t>
      </w:r>
      <w:r w:rsidRPr="005675B2">
        <w:rPr>
          <w:rFonts w:hint="cs"/>
          <w:rtl/>
        </w:rPr>
        <w:t xml:space="preserve"> واعتبر ذلك بالرازي</w:t>
      </w:r>
      <w:r w:rsidR="000636C2">
        <w:rPr>
          <w:rFonts w:hint="cs"/>
          <w:rtl/>
        </w:rPr>
        <w:t>،</w:t>
      </w:r>
      <w:r w:rsidRPr="005675B2">
        <w:rPr>
          <w:rFonts w:hint="cs"/>
          <w:rtl/>
        </w:rPr>
        <w:t xml:space="preserve"> فإنه في هذه وهي مسألة حدوث الأجسام يذكر أدلة الطائفتين</w:t>
      </w:r>
      <w:r w:rsidR="000636C2">
        <w:rPr>
          <w:rFonts w:hint="cs"/>
          <w:rtl/>
        </w:rPr>
        <w:t>،</w:t>
      </w:r>
      <w:r w:rsidRPr="005675B2">
        <w:rPr>
          <w:rFonts w:hint="cs"/>
          <w:rtl/>
        </w:rPr>
        <w:t xml:space="preserve"> ويصرح في آخر كتبه وآخر عمره وهو كتاب المطالب العالية بتكافؤ الأدلة وأن المسألة من محارات العقول</w:t>
      </w:r>
      <w:r w:rsidR="000636C2">
        <w:rPr>
          <w:rFonts w:hint="cs"/>
          <w:rtl/>
        </w:rPr>
        <w:t>،</w:t>
      </w:r>
      <w:r w:rsidRPr="005675B2">
        <w:rPr>
          <w:rFonts w:hint="cs"/>
          <w:rtl/>
        </w:rPr>
        <w:t xml:space="preserve"> ولهذا كان الغالب على أتباعهم الشك والارتياب في الإسـلام</w:t>
      </w:r>
      <w:r w:rsidR="000636C2">
        <w:rPr>
          <w:rFonts w:hint="cs"/>
          <w:rtl/>
        </w:rPr>
        <w:t>]</w:t>
      </w:r>
      <w:r w:rsidRPr="005675B2">
        <w:rPr>
          <w:rFonts w:hint="cs"/>
          <w:rtl/>
        </w:rPr>
        <w:t xml:space="preserve"> [</w:t>
      </w:r>
      <w:r w:rsidRPr="005675B2">
        <w:rPr>
          <w:rFonts w:hint="cs"/>
          <w:bCs/>
          <w:sz w:val="24"/>
          <w:szCs w:val="24"/>
          <w:rtl/>
        </w:rPr>
        <w:t>التسعينية ص201</w:t>
      </w:r>
      <w:r w:rsidRPr="005675B2">
        <w:rPr>
          <w:rFonts w:hint="cs"/>
          <w:rtl/>
        </w:rPr>
        <w:t>]</w:t>
      </w:r>
      <w:r w:rsidR="000636C2">
        <w:rPr>
          <w:rFonts w:hint="cs"/>
          <w:rtl/>
        </w:rPr>
        <w:t xml:space="preserve">، </w:t>
      </w:r>
      <w:r w:rsidRPr="005675B2">
        <w:rPr>
          <w:rFonts w:hint="cs"/>
          <w:rtl/>
        </w:rPr>
        <w:t>ومعلوم أن الشاك في الإسلام كافر فضلاً عن المرتاب</w:t>
      </w:r>
      <w:r w:rsidR="000636C2">
        <w:rPr>
          <w:rFonts w:hint="cs"/>
          <w:rtl/>
        </w:rPr>
        <w:t>!</w:t>
      </w:r>
      <w:r w:rsidRPr="005675B2">
        <w:rPr>
          <w:rFonts w:hint="cs"/>
          <w:rtl/>
        </w:rPr>
        <w:t>!والذي ذكره الإمام فخر الدين الرازي في هذه المسألة في هذا الكتاب هو أنه فصَّل دلائل الفلاسفة فيها</w:t>
      </w:r>
      <w:r w:rsidR="000636C2">
        <w:rPr>
          <w:rFonts w:hint="cs"/>
          <w:rtl/>
        </w:rPr>
        <w:t>،</w:t>
      </w:r>
      <w:r w:rsidRPr="005675B2">
        <w:rPr>
          <w:rFonts w:hint="cs"/>
          <w:rtl/>
        </w:rPr>
        <w:t xml:space="preserve"> واستقصى في تقرير الوجوه المستخرجة من اعتبار حال الفاعلية والمؤثّرية والدلائل المستنبطة من صفة القدرة والإرادة والحركة والسكون وغير ذلك</w:t>
      </w:r>
      <w:r w:rsidR="000636C2">
        <w:rPr>
          <w:rFonts w:hint="cs"/>
          <w:rtl/>
        </w:rPr>
        <w:t>،</w:t>
      </w:r>
      <w:r w:rsidRPr="005675B2">
        <w:rPr>
          <w:rFonts w:hint="cs"/>
          <w:rtl/>
        </w:rPr>
        <w:t xml:space="preserve"> كل ذلك على مذهب أصحاب القدم منهم وعلى مذهب أصحاب الحدوث</w:t>
      </w:r>
      <w:r w:rsidR="000636C2">
        <w:rPr>
          <w:rFonts w:hint="cs"/>
          <w:rtl/>
        </w:rPr>
        <w:t>،</w:t>
      </w:r>
      <w:r w:rsidRPr="005675B2">
        <w:rPr>
          <w:rFonts w:hint="cs"/>
          <w:rtl/>
        </w:rPr>
        <w:t xml:space="preserve"> وختم هذه المباحث بقوله</w:t>
      </w:r>
      <w:r w:rsidR="000636C2">
        <w:rPr>
          <w:rFonts w:hint="cs"/>
          <w:rtl/>
        </w:rPr>
        <w:t>:</w:t>
      </w:r>
      <w:r w:rsidRPr="005675B2">
        <w:rPr>
          <w:rFonts w:hint="cs"/>
          <w:rtl/>
        </w:rPr>
        <w:t xml:space="preserve"> </w:t>
      </w:r>
      <w:r w:rsidR="000636C2">
        <w:rPr>
          <w:rFonts w:hint="cs"/>
          <w:rtl/>
        </w:rPr>
        <w:t>[</w:t>
      </w:r>
      <w:r w:rsidRPr="005675B2">
        <w:rPr>
          <w:rFonts w:hint="cs"/>
          <w:rtl/>
        </w:rPr>
        <w:t>وههنا آخر الكلام في هذا البحث المهيب والمطلوب الهائل</w:t>
      </w:r>
      <w:r w:rsidR="000636C2">
        <w:rPr>
          <w:rFonts w:hint="cs"/>
          <w:rtl/>
        </w:rPr>
        <w:t>][</w:t>
      </w:r>
      <w:r w:rsidRPr="005675B2">
        <w:rPr>
          <w:rFonts w:hint="cs"/>
          <w:bCs/>
          <w:sz w:val="24"/>
          <w:szCs w:val="24"/>
          <w:rtl/>
        </w:rPr>
        <w:t>المطالب العالية 4/ 322</w:t>
      </w:r>
      <w:r w:rsidRPr="005675B2">
        <w:rPr>
          <w:rFonts w:hint="cs"/>
          <w:rtl/>
        </w:rPr>
        <w:t>]</w:t>
      </w:r>
      <w:r w:rsidR="000636C2">
        <w:rPr>
          <w:rFonts w:hint="cs"/>
          <w:rtl/>
        </w:rPr>
        <w:t>،</w:t>
      </w:r>
      <w:r w:rsidRPr="005675B2">
        <w:rPr>
          <w:rFonts w:hint="cs"/>
          <w:rtl/>
        </w:rPr>
        <w:t xml:space="preserve"> ولم يصرح بتكافؤ الأدلة وأن هذه المسألة من محارات العقول</w:t>
      </w:r>
      <w:r w:rsidR="000636C2">
        <w:rPr>
          <w:rFonts w:hint="cs"/>
          <w:rtl/>
        </w:rPr>
        <w:t>!</w:t>
      </w:r>
      <w:r w:rsidRPr="005675B2">
        <w:rPr>
          <w:rFonts w:hint="cs"/>
          <w:rtl/>
        </w:rPr>
        <w:t> كما ذكر ابن تيمية</w:t>
      </w:r>
      <w:r w:rsidR="000636C2">
        <w:rPr>
          <w:rFonts w:hint="cs"/>
          <w:rtl/>
        </w:rPr>
        <w:t>،</w:t>
      </w:r>
      <w:r w:rsidRPr="005675B2">
        <w:rPr>
          <w:rFonts w:hint="cs"/>
          <w:rtl/>
        </w:rPr>
        <w:t xml:space="preserve"> وكأنه - رحمه الله - يبين في ذلك الفصل ما عند الفلاسفة من الاستدلال والاستدلال المضاد دون أن يذكر قوله هو،من باب عرض أقوال الناس كما هي لأنه في معرض البحث والنقل لا في مبحث الحكم</w:t>
      </w:r>
      <w:r w:rsidR="000636C2">
        <w:rPr>
          <w:rFonts w:hint="cs"/>
          <w:rtl/>
        </w:rPr>
        <w:t>،</w:t>
      </w:r>
      <w:r w:rsidRPr="005675B2">
        <w:rPr>
          <w:rFonts w:hint="cs"/>
          <w:rtl/>
        </w:rPr>
        <w:t xml:space="preserve"> ثم يذكر قوله معرباً ومفصحاً عنه بعد ذلك إذ يقول بعد ورقات أربع</w:t>
      </w:r>
      <w:r w:rsidR="000636C2">
        <w:rPr>
          <w:rFonts w:hint="cs"/>
          <w:rtl/>
        </w:rPr>
        <w:t>:</w:t>
      </w:r>
      <w:r w:rsidRPr="005675B2">
        <w:rPr>
          <w:rFonts w:hint="cs"/>
          <w:rtl/>
        </w:rPr>
        <w:t xml:space="preserve"> </w:t>
      </w:r>
      <w:r w:rsidR="000636C2">
        <w:rPr>
          <w:rFonts w:hint="cs"/>
          <w:rtl/>
        </w:rPr>
        <w:t>[</w:t>
      </w:r>
      <w:r w:rsidRPr="005675B2">
        <w:rPr>
          <w:rFonts w:hint="cs"/>
          <w:rtl/>
        </w:rPr>
        <w:t>فإذا تأملنا في السموات وفي الكواكب وفي أحوال العناصر الأربعة وفي أحوال الآثار العلوية والمعادن والنبات والحيوان ولا سيما الإنسان ؛ وجدنا من الحكم القاهرة والدلائل الباهرة ما غرقت العقول فيها وحارت الألباب في وصفها</w:t>
      </w:r>
      <w:r w:rsidR="000636C2">
        <w:rPr>
          <w:rFonts w:hint="cs"/>
          <w:rtl/>
        </w:rPr>
        <w:t>،</w:t>
      </w:r>
      <w:r w:rsidRPr="005675B2">
        <w:rPr>
          <w:rFonts w:hint="cs"/>
          <w:rtl/>
        </w:rPr>
        <w:t xml:space="preserve"> </w:t>
      </w:r>
      <w:r w:rsidRPr="005675B2">
        <w:rPr>
          <w:rFonts w:hint="cs"/>
          <w:u w:val="single"/>
          <w:rtl/>
        </w:rPr>
        <w:t>لاجرم كانت هذه الاعتبارات بالدلالة على وجود الفاعل المختار الحكيم الرحيم أولى</w:t>
      </w:r>
      <w:r w:rsidR="000636C2">
        <w:rPr>
          <w:rFonts w:hint="cs"/>
          <w:u w:val="single"/>
          <w:rtl/>
        </w:rPr>
        <w:t>،</w:t>
      </w:r>
      <w:r w:rsidRPr="005675B2">
        <w:rPr>
          <w:rFonts w:hint="cs"/>
          <w:u w:val="single"/>
          <w:rtl/>
        </w:rPr>
        <w:t xml:space="preserve"> ومتى ثبت القول بالفاعل المختار فقد ثبت القول بحدوث العالم لا محالة</w:t>
      </w:r>
      <w:r w:rsidR="000636C2">
        <w:rPr>
          <w:rFonts w:hint="cs"/>
          <w:u w:val="single"/>
          <w:rtl/>
        </w:rPr>
        <w:t>]</w:t>
      </w:r>
      <w:r w:rsidRPr="005675B2">
        <w:rPr>
          <w:rFonts w:hint="cs"/>
          <w:u w:val="single"/>
          <w:rtl/>
        </w:rPr>
        <w:t xml:space="preserve"> </w:t>
      </w:r>
      <w:r w:rsidR="000636C2">
        <w:rPr>
          <w:rFonts w:hint="cs"/>
          <w:rtl/>
        </w:rPr>
        <w:t>[</w:t>
      </w:r>
      <w:r w:rsidRPr="005675B2">
        <w:rPr>
          <w:rFonts w:hint="cs"/>
          <w:bCs/>
          <w:sz w:val="24"/>
          <w:szCs w:val="24"/>
          <w:rtl/>
        </w:rPr>
        <w:t>المطالب العالية 4/ 327 ـ ورد الشيخ صلاح الدين الأردبلي</w:t>
      </w:r>
      <w:r w:rsidR="000636C2">
        <w:rPr>
          <w:rFonts w:hint="cs"/>
          <w:bCs/>
          <w:sz w:val="24"/>
          <w:szCs w:val="24"/>
          <w:rtl/>
        </w:rPr>
        <w:t>]</w:t>
      </w:r>
      <w:r w:rsidR="000636C2">
        <w:rPr>
          <w:rFonts w:hint="cs"/>
          <w:rtl/>
        </w:rPr>
        <w:t>،</w:t>
      </w:r>
      <w:r w:rsidRPr="005675B2">
        <w:rPr>
          <w:rFonts w:hint="cs"/>
          <w:rtl/>
        </w:rPr>
        <w:t xml:space="preserve"> فهل يصح أن ينسب للإمام فخر الدين الرازي رحمه الله أنه يقول بتكافؤ الأدلة في مسألة حدوث الأجسام وأن هذه المسألة من محارات العقول</w:t>
      </w:r>
      <w:r w:rsidR="000636C2">
        <w:rPr>
          <w:rFonts w:hint="cs"/>
          <w:rtl/>
        </w:rPr>
        <w:t>؟،</w:t>
      </w:r>
    </w:p>
    <w:p w14:paraId="1710351D" w14:textId="35027828" w:rsidR="009C32A0" w:rsidRPr="005675B2" w:rsidRDefault="009C32A0" w:rsidP="000636C2">
      <w:pPr>
        <w:rPr>
          <w:b/>
          <w:rtl/>
        </w:rPr>
      </w:pPr>
      <w:r w:rsidRPr="005675B2">
        <w:rPr>
          <w:rFonts w:hint="cs"/>
          <w:rtl/>
        </w:rPr>
        <w:t>وأما مسألة التشكيكات والشبه فقد تبرأ من تبعاتها</w:t>
      </w:r>
      <w:r w:rsidR="000636C2">
        <w:rPr>
          <w:rFonts w:hint="cs"/>
          <w:rtl/>
        </w:rPr>
        <w:t xml:space="preserve"> </w:t>
      </w:r>
      <w:r w:rsidRPr="005675B2">
        <w:rPr>
          <w:rFonts w:hint="cs"/>
          <w:rtl/>
        </w:rPr>
        <w:t>- رحمه الله تعالى - في وصيته التي أوصى بها حالة الاحتضار</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اعلموا أني كنت رجلاً محباً للعلم</w:t>
      </w:r>
      <w:r w:rsidR="000636C2">
        <w:rPr>
          <w:rFonts w:hint="cs"/>
          <w:rtl/>
        </w:rPr>
        <w:t>،</w:t>
      </w:r>
      <w:r w:rsidRPr="005675B2">
        <w:rPr>
          <w:rFonts w:hint="cs"/>
          <w:rtl/>
        </w:rPr>
        <w:t xml:space="preserve"> فكنت أكتب من كل شيء شيئاً لأقف على كميته وكيفيته</w:t>
      </w:r>
      <w:r w:rsidR="000636C2">
        <w:rPr>
          <w:rFonts w:hint="cs"/>
          <w:rtl/>
        </w:rPr>
        <w:t>،</w:t>
      </w:r>
      <w:r w:rsidRPr="005675B2">
        <w:rPr>
          <w:rFonts w:hint="cs"/>
          <w:rtl/>
        </w:rPr>
        <w:t xml:space="preserve"> سواء كان حقاً أو باطلاً ..</w:t>
      </w:r>
      <w:r w:rsidR="000636C2">
        <w:rPr>
          <w:rFonts w:hint="cs"/>
          <w:rtl/>
        </w:rPr>
        <w:t>،</w:t>
      </w:r>
      <w:r w:rsidRPr="005675B2">
        <w:rPr>
          <w:rFonts w:hint="cs"/>
          <w:rtl/>
        </w:rPr>
        <w:t xml:space="preserve"> ولقد اختبرت الطرق الكلامية والمناهج الفلسفية فما رأيت فيها فائدة تساوي الفائدة التي وجدتها في القرآن</w:t>
      </w:r>
      <w:r w:rsidR="000636C2">
        <w:rPr>
          <w:rFonts w:hint="cs"/>
          <w:rtl/>
        </w:rPr>
        <w:t>،</w:t>
      </w:r>
      <w:r w:rsidRPr="005675B2">
        <w:rPr>
          <w:rFonts w:hint="cs"/>
          <w:rtl/>
        </w:rPr>
        <w:t xml:space="preserve"> لأنه يسعى في تسليم العظمة والجلال لله</w:t>
      </w:r>
      <w:r w:rsidR="000636C2">
        <w:rPr>
          <w:rFonts w:hint="cs"/>
          <w:rtl/>
        </w:rPr>
        <w:t>،</w:t>
      </w:r>
      <w:r w:rsidRPr="005675B2">
        <w:rPr>
          <w:rFonts w:hint="cs"/>
          <w:rtl/>
        </w:rPr>
        <w:t xml:space="preserve"> ويمنع عن التعمق في إيراد المعارضات والمناقضات</w:t>
      </w:r>
      <w:r w:rsidR="000636C2">
        <w:rPr>
          <w:rFonts w:hint="cs"/>
          <w:rtl/>
        </w:rPr>
        <w:t>،</w:t>
      </w:r>
      <w:r w:rsidRPr="005675B2">
        <w:rPr>
          <w:rFonts w:hint="cs"/>
          <w:rtl/>
        </w:rPr>
        <w:t xml:space="preserve"> .. وأما الكتب التي صنفتها واستكثرت فيها من إيراد السؤالات فليذكرني من نظر فيها بصالح دعائه</w:t>
      </w:r>
      <w:r w:rsidR="000636C2">
        <w:rPr>
          <w:rFonts w:hint="cs"/>
          <w:rtl/>
        </w:rPr>
        <w:t>،</w:t>
      </w:r>
      <w:r w:rsidRPr="005675B2">
        <w:rPr>
          <w:rFonts w:hint="cs"/>
          <w:rtl/>
        </w:rPr>
        <w:t xml:space="preserve"> على سبيل التفضل والإنعام</w:t>
      </w:r>
      <w:r w:rsidR="000636C2">
        <w:rPr>
          <w:rFonts w:hint="cs"/>
          <w:rtl/>
        </w:rPr>
        <w:t>،</w:t>
      </w:r>
      <w:r w:rsidRPr="005675B2">
        <w:rPr>
          <w:rFonts w:hint="cs"/>
          <w:rtl/>
        </w:rPr>
        <w:t xml:space="preserve"> </w:t>
      </w:r>
      <w:r w:rsidRPr="005675B2">
        <w:rPr>
          <w:rFonts w:hint="cs"/>
          <w:u w:val="single"/>
          <w:rtl/>
        </w:rPr>
        <w:t>وإلا فليحذف القول السيء</w:t>
      </w:r>
      <w:r w:rsidR="000636C2">
        <w:rPr>
          <w:rFonts w:hint="cs"/>
          <w:u w:val="single"/>
          <w:rtl/>
        </w:rPr>
        <w:t>،</w:t>
      </w:r>
      <w:r w:rsidRPr="005675B2">
        <w:rPr>
          <w:rFonts w:hint="cs"/>
          <w:u w:val="single"/>
          <w:rtl/>
        </w:rPr>
        <w:t xml:space="preserve"> فإني ما أردت إلا تكثير البحث وشحذ الخاطر</w:t>
      </w:r>
      <w:r w:rsidR="000636C2">
        <w:rPr>
          <w:rFonts w:hint="cs"/>
          <w:rtl/>
        </w:rPr>
        <w:t xml:space="preserve">] </w:t>
      </w:r>
      <w:r w:rsidRPr="005675B2">
        <w:rPr>
          <w:rFonts w:hint="cs"/>
          <w:rtl/>
        </w:rPr>
        <w:t>[</w:t>
      </w:r>
      <w:r w:rsidRPr="005675B2">
        <w:rPr>
          <w:rFonts w:hint="cs"/>
          <w:bCs/>
          <w:sz w:val="24"/>
          <w:szCs w:val="24"/>
          <w:rtl/>
        </w:rPr>
        <w:t>انظر سير أعلام النبلاء للذهبي: 21 / 500 ـ 501 .ورد الشيخ صلاح الدين الأردبلي على الكاتب]</w:t>
      </w:r>
      <w:r w:rsidR="000636C2">
        <w:rPr>
          <w:rFonts w:hint="cs"/>
          <w:rtl/>
        </w:rPr>
        <w:t>،</w:t>
      </w:r>
    </w:p>
    <w:p w14:paraId="63D25D0B" w14:textId="1BD25730" w:rsidR="009C32A0" w:rsidRPr="005675B2" w:rsidRDefault="000636C2" w:rsidP="000636C2">
      <w:pPr>
        <w:rPr>
          <w:b/>
          <w:rtl/>
        </w:rPr>
      </w:pPr>
      <w:r>
        <w:rPr>
          <w:rFonts w:hint="cs"/>
          <w:u w:val="single"/>
          <w:rtl/>
        </w:rPr>
        <w:t>(</w:t>
      </w:r>
      <w:r w:rsidR="009C32A0">
        <w:rPr>
          <w:rFonts w:hint="cs"/>
          <w:u w:val="single"/>
          <w:rtl/>
        </w:rPr>
        <w:t>تنبيه</w:t>
      </w:r>
      <w:r>
        <w:rPr>
          <w:rFonts w:hint="cs"/>
          <w:u w:val="single"/>
          <w:rtl/>
        </w:rPr>
        <w:t>):</w:t>
      </w:r>
      <w:r w:rsidR="009C32A0" w:rsidRPr="005675B2">
        <w:rPr>
          <w:rFonts w:hint="cs"/>
          <w:rtl/>
        </w:rPr>
        <w:t xml:space="preserve"> يشاع في كتابات الكاتب وغيره</w:t>
      </w:r>
      <w:r>
        <w:rPr>
          <w:rFonts w:hint="cs"/>
          <w:rtl/>
        </w:rPr>
        <w:t xml:space="preserve"> </w:t>
      </w:r>
      <w:r w:rsidR="009C32A0" w:rsidRPr="005675B2">
        <w:rPr>
          <w:rFonts w:hint="cs"/>
          <w:rtl/>
        </w:rPr>
        <w:t xml:space="preserve">أن ابن حجر قال في لسان الميزان في آخر ترجمة فخر الدين الرازي </w:t>
      </w:r>
      <w:r>
        <w:rPr>
          <w:rFonts w:hint="cs"/>
          <w:rtl/>
        </w:rPr>
        <w:t>[</w:t>
      </w:r>
      <w:r w:rsidR="009C32A0" w:rsidRPr="005675B2">
        <w:rPr>
          <w:rFonts w:hint="cs"/>
          <w:rtl/>
        </w:rPr>
        <w:t>أوصى بوصية تدل على أنه حسّن اعتقاده</w:t>
      </w:r>
      <w:r>
        <w:rPr>
          <w:rFonts w:hint="cs"/>
          <w:rtl/>
        </w:rPr>
        <w:t xml:space="preserve">]!، </w:t>
      </w:r>
      <w:r w:rsidR="009C32A0" w:rsidRPr="005675B2">
        <w:rPr>
          <w:rFonts w:hint="cs"/>
          <w:rtl/>
        </w:rPr>
        <w:t>ولكن من نظر في طبعة</w:t>
      </w:r>
      <w:r>
        <w:rPr>
          <w:rFonts w:hint="cs"/>
          <w:rtl/>
        </w:rPr>
        <w:t xml:space="preserve"> </w:t>
      </w:r>
      <w:r w:rsidR="009C32A0" w:rsidRPr="005675B2">
        <w:rPr>
          <w:rFonts w:hint="cs"/>
          <w:rtl/>
        </w:rPr>
        <w:t>لسان الميزان</w:t>
      </w:r>
      <w:r>
        <w:rPr>
          <w:rFonts w:hint="cs"/>
          <w:rtl/>
        </w:rPr>
        <w:t xml:space="preserve"> </w:t>
      </w:r>
      <w:r w:rsidR="009C32A0" w:rsidRPr="005675B2">
        <w:rPr>
          <w:rFonts w:hint="cs"/>
          <w:rtl/>
        </w:rPr>
        <w:t>المحققة</w:t>
      </w:r>
      <w:r>
        <w:rPr>
          <w:rFonts w:hint="cs"/>
          <w:rtl/>
        </w:rPr>
        <w:t xml:space="preserve"> </w:t>
      </w:r>
      <w:r w:rsidR="009C32A0" w:rsidRPr="005675B2">
        <w:rPr>
          <w:rFonts w:hint="cs"/>
          <w:rtl/>
        </w:rPr>
        <w:t>على عدة نسخ خطية</w:t>
      </w:r>
      <w:r>
        <w:rPr>
          <w:rFonts w:hint="cs"/>
          <w:rtl/>
        </w:rPr>
        <w:t>،</w:t>
      </w:r>
      <w:r w:rsidR="009C32A0" w:rsidRPr="005675B2">
        <w:rPr>
          <w:rFonts w:hint="cs"/>
          <w:rtl/>
        </w:rPr>
        <w:t xml:space="preserve"> بعناية الشيخ عبدالفتاح أبو غدة رحمه الله</w:t>
      </w:r>
      <w:r>
        <w:rPr>
          <w:rFonts w:hint="cs"/>
          <w:rtl/>
        </w:rPr>
        <w:t>،</w:t>
      </w:r>
      <w:r w:rsidR="009C32A0" w:rsidRPr="005675B2">
        <w:rPr>
          <w:rFonts w:hint="cs"/>
          <w:rtl/>
        </w:rPr>
        <w:t xml:space="preserve"> تبين له</w:t>
      </w:r>
      <w:r>
        <w:rPr>
          <w:rFonts w:hint="cs"/>
          <w:rtl/>
        </w:rPr>
        <w:t xml:space="preserve"> </w:t>
      </w:r>
      <w:r w:rsidR="009C32A0" w:rsidRPr="005675B2">
        <w:rPr>
          <w:rFonts w:hint="cs"/>
          <w:rtl/>
        </w:rPr>
        <w:t>أن تلك الكلمة ليست في شيء من النسخ الخطية</w:t>
      </w:r>
      <w:r>
        <w:rPr>
          <w:rFonts w:hint="cs"/>
          <w:rtl/>
        </w:rPr>
        <w:t>،</w:t>
      </w:r>
      <w:r w:rsidR="009C32A0" w:rsidRPr="005675B2">
        <w:rPr>
          <w:rFonts w:hint="cs"/>
          <w:rtl/>
        </w:rPr>
        <w:t xml:space="preserve"> بل مكتوبة في حاشية إحدى النسخ</w:t>
      </w:r>
      <w:r>
        <w:rPr>
          <w:rFonts w:hint="cs"/>
          <w:rtl/>
        </w:rPr>
        <w:t>،</w:t>
      </w:r>
      <w:r w:rsidR="009C32A0" w:rsidRPr="005675B2">
        <w:rPr>
          <w:rFonts w:hint="cs"/>
          <w:rtl/>
        </w:rPr>
        <w:t xml:space="preserve"> فبطل إثبات تلك الكلمة عن الحافظ ابن حجر رحمه الله والاستدلال بها والبناء عليها وعلم أن آفات الكتب من نساخها المتعصبين أو المتهاونين</w:t>
      </w:r>
      <w:r>
        <w:rPr>
          <w:rFonts w:hint="cs"/>
          <w:rtl/>
        </w:rPr>
        <w:t>،</w:t>
      </w:r>
      <w:r w:rsidR="009C32A0" w:rsidRPr="005675B2">
        <w:rPr>
          <w:rFonts w:hint="cs"/>
          <w:rtl/>
        </w:rPr>
        <w:t xml:space="preserve"> [</w:t>
      </w:r>
      <w:r w:rsidR="009C32A0" w:rsidRPr="005675B2">
        <w:rPr>
          <w:rFonts w:hint="cs"/>
          <w:bCs/>
          <w:sz w:val="24"/>
          <w:szCs w:val="24"/>
          <w:rtl/>
        </w:rPr>
        <w:t>مستفاد من رد الشيخ صلاح الدين الإدلبي</w:t>
      </w:r>
      <w:r>
        <w:rPr>
          <w:rFonts w:hint="cs"/>
          <w:bCs/>
          <w:sz w:val="24"/>
          <w:szCs w:val="24"/>
          <w:rtl/>
        </w:rPr>
        <w:t>]</w:t>
      </w:r>
    </w:p>
    <w:p w14:paraId="18486217" w14:textId="7E992A83" w:rsidR="009C32A0" w:rsidRPr="005675B2" w:rsidRDefault="009C32A0" w:rsidP="000636C2">
      <w:pPr>
        <w:rPr>
          <w:b/>
          <w:rtl/>
        </w:rPr>
      </w:pPr>
      <w:r w:rsidRPr="005675B2">
        <w:rPr>
          <w:rFonts w:hint="cs"/>
          <w:rtl/>
        </w:rPr>
        <w:t>تحامل ابن تيمية على الرازي</w:t>
      </w:r>
      <w:r w:rsidR="000636C2">
        <w:rPr>
          <w:rFonts w:hint="cs"/>
          <w:rtl/>
        </w:rPr>
        <w:t>: (</w:t>
      </w:r>
      <w:r>
        <w:rPr>
          <w:rFonts w:hint="cs"/>
          <w:rtl/>
        </w:rPr>
        <w:t>أولا</w:t>
      </w:r>
      <w:r w:rsidR="000636C2">
        <w:rPr>
          <w:rFonts w:hint="cs"/>
          <w:rtl/>
        </w:rPr>
        <w:t>):</w:t>
      </w:r>
      <w:r w:rsidRPr="005675B2">
        <w:rPr>
          <w:rFonts w:hint="cs"/>
          <w:rtl/>
        </w:rPr>
        <w:t xml:space="preserve"> ليعلم الجميع أن كتب الرازي كانت هي المقررة في تعليم الناس في زمان ابن تيمية فابن تيمية مما استفاد منها بلا شك</w:t>
      </w:r>
      <w:r w:rsidR="000636C2">
        <w:rPr>
          <w:rFonts w:hint="cs"/>
          <w:rtl/>
        </w:rPr>
        <w:t>، (</w:t>
      </w:r>
      <w:r>
        <w:rPr>
          <w:rFonts w:hint="cs"/>
          <w:rtl/>
        </w:rPr>
        <w:t>ثانيا</w:t>
      </w:r>
      <w:r w:rsidR="000636C2">
        <w:rPr>
          <w:rFonts w:hint="cs"/>
          <w:rtl/>
        </w:rPr>
        <w:t>):</w:t>
      </w:r>
      <w:r w:rsidRPr="005675B2">
        <w:rPr>
          <w:rFonts w:hint="cs"/>
          <w:rtl/>
        </w:rPr>
        <w:t xml:space="preserve"> كان ابن تيمية يدرس لطلابه كتب الإمام الرازي ومنها الأربعين في أصول الدين</w:t>
      </w:r>
      <w:r w:rsidR="000636C2">
        <w:rPr>
          <w:rFonts w:hint="cs"/>
          <w:rtl/>
        </w:rPr>
        <w:t xml:space="preserve">، </w:t>
      </w:r>
      <w:r w:rsidRPr="005675B2">
        <w:rPr>
          <w:rFonts w:hint="cs"/>
          <w:rtl/>
        </w:rPr>
        <w:t>قال ابن رجب</w:t>
      </w:r>
      <w:r w:rsidR="000636C2">
        <w:rPr>
          <w:rFonts w:hint="cs"/>
          <w:rtl/>
        </w:rPr>
        <w:t>:</w:t>
      </w:r>
      <w:r w:rsidRPr="005675B2">
        <w:rPr>
          <w:rFonts w:hint="cs"/>
          <w:rtl/>
        </w:rPr>
        <w:t xml:space="preserve"> في ص14من العقود الدرية (</w:t>
      </w:r>
      <w:r w:rsidR="000636C2">
        <w:rPr>
          <w:rFonts w:hint="cs"/>
          <w:rtl/>
        </w:rPr>
        <w:t>(</w:t>
      </w:r>
      <w:r w:rsidRPr="005675B2">
        <w:rPr>
          <w:rFonts w:hint="cs"/>
          <w:rtl/>
        </w:rPr>
        <w:t>ولا زم الشيخ تقي الدين ابن تيمية مدة</w:t>
      </w:r>
      <w:r w:rsidR="000636C2">
        <w:rPr>
          <w:rFonts w:hint="cs"/>
          <w:rtl/>
        </w:rPr>
        <w:t>،</w:t>
      </w:r>
      <w:r w:rsidRPr="005675B2">
        <w:rPr>
          <w:rFonts w:hint="cs"/>
          <w:rtl/>
        </w:rPr>
        <w:t xml:space="preserve">وقرأ عليه قطعة من </w:t>
      </w:r>
      <w:r w:rsidRPr="005675B2">
        <w:rPr>
          <w:rFonts w:hint="cs"/>
          <w:u w:val="single"/>
          <w:rtl/>
        </w:rPr>
        <w:t>الأربعين في أصول الدين للرازي</w:t>
      </w:r>
      <w:r w:rsidR="000636C2">
        <w:rPr>
          <w:rFonts w:hint="cs"/>
          <w:rtl/>
        </w:rPr>
        <w:t>،</w:t>
      </w:r>
      <w:r w:rsidRPr="005675B2">
        <w:rPr>
          <w:rFonts w:hint="cs"/>
          <w:rtl/>
        </w:rPr>
        <w:t xml:space="preserve"> انتهى</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كتاب الأربعين في أصول الدين تحقيق د/أحمد حجازي ص6]</w:t>
      </w:r>
      <w:r w:rsidR="000636C2">
        <w:rPr>
          <w:rFonts w:hint="cs"/>
          <w:rtl/>
        </w:rPr>
        <w:t>،</w:t>
      </w:r>
      <w:r w:rsidRPr="005675B2">
        <w:rPr>
          <w:rFonts w:hint="cs"/>
          <w:rtl/>
        </w:rPr>
        <w:t xml:space="preserve"> ثالثاً</w:t>
      </w:r>
      <w:r w:rsidR="000636C2">
        <w:rPr>
          <w:rFonts w:hint="cs"/>
          <w:rtl/>
        </w:rPr>
        <w:t>:</w:t>
      </w:r>
      <w:r w:rsidRPr="005675B2">
        <w:rPr>
          <w:rFonts w:hint="cs"/>
          <w:rtl/>
        </w:rPr>
        <w:t xml:space="preserve"> إليكم بعد ذلك صوراً من تحامل الإمام ابن تيمية على الإمام الرازي يتبين به مدى تحامله عليه</w:t>
      </w:r>
      <w:r w:rsidR="000636C2">
        <w:rPr>
          <w:rFonts w:hint="cs"/>
          <w:rtl/>
        </w:rPr>
        <w:t>:</w:t>
      </w:r>
    </w:p>
    <w:p w14:paraId="2BE7BFD5" w14:textId="2445E150"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تدرج في تحامله عليه فبدأ بتنقصه من حيث ما يستمد منه الرازي علمه</w:t>
      </w:r>
      <w:r w:rsidR="000636C2">
        <w:rPr>
          <w:rFonts w:hint="cs"/>
          <w:rtl/>
        </w:rPr>
        <w:t>:</w:t>
      </w:r>
      <w:r w:rsidRPr="005675B2">
        <w:rPr>
          <w:rFonts w:hint="cs"/>
          <w:rtl/>
        </w:rPr>
        <w:t>فيقول وأما قول أئمة الحديث والتصوف والتفسير فكلام الرازي يدل على أنه لم يكن مطلعاً على ذلك</w:t>
      </w:r>
      <w:r w:rsidR="000636C2">
        <w:rPr>
          <w:rFonts w:hint="cs"/>
          <w:rtl/>
        </w:rPr>
        <w:t>،</w:t>
      </w:r>
      <w:r w:rsidRPr="005675B2">
        <w:rPr>
          <w:rFonts w:hint="cs"/>
          <w:rtl/>
        </w:rPr>
        <w:t xml:space="preserve"> وكذلك كلام الصحابة والتابعين لهم بإحسان</w:t>
      </w:r>
      <w:r w:rsidR="000636C2">
        <w:rPr>
          <w:rFonts w:hint="cs"/>
          <w:rtl/>
        </w:rPr>
        <w:t>،</w:t>
      </w:r>
      <w:r w:rsidRPr="005675B2">
        <w:rPr>
          <w:rFonts w:hint="cs"/>
          <w:rtl/>
        </w:rPr>
        <w:t xml:space="preserve"> انتهى كلامه كما في موافقة صريح المنقول 2/82</w:t>
      </w:r>
      <w:r w:rsidR="000636C2">
        <w:rPr>
          <w:rFonts w:hint="cs"/>
          <w:rtl/>
        </w:rPr>
        <w:t xml:space="preserve">، </w:t>
      </w:r>
      <w:r w:rsidRPr="005675B2">
        <w:rPr>
          <w:rFonts w:hint="cs"/>
          <w:rtl/>
        </w:rPr>
        <w:t>مع أن الرازي ملأ تفسيره بالنقل عن أئمة الفقه والحديث والصحب الكرام</w:t>
      </w:r>
      <w:r w:rsidR="000636C2">
        <w:rPr>
          <w:rFonts w:hint="cs"/>
          <w:rtl/>
        </w:rPr>
        <w:t>،</w:t>
      </w:r>
      <w:r w:rsidRPr="005675B2">
        <w:rPr>
          <w:rFonts w:hint="cs"/>
          <w:rtl/>
        </w:rPr>
        <w:t xml:space="preserve"> والتابعين وانظره لتستيقن</w:t>
      </w:r>
      <w:r w:rsidR="000636C2">
        <w:rPr>
          <w:rFonts w:hint="cs"/>
          <w:rtl/>
        </w:rPr>
        <w:t>،</w:t>
      </w:r>
    </w:p>
    <w:p w14:paraId="74B7200C" w14:textId="0F599F30"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حين رد على الرازي في القانون الكلي</w:t>
      </w:r>
      <w:r w:rsidR="000636C2">
        <w:rPr>
          <w:rFonts w:hint="cs"/>
          <w:rtl/>
        </w:rPr>
        <w:t>:</w:t>
      </w:r>
      <w:r w:rsidRPr="005675B2">
        <w:rPr>
          <w:rFonts w:hint="cs"/>
          <w:rtl/>
        </w:rPr>
        <w:t>يقول ابن تيمية</w:t>
      </w:r>
      <w:r w:rsidR="000636C2">
        <w:rPr>
          <w:rFonts w:hint="cs"/>
          <w:rtl/>
        </w:rPr>
        <w:t>:</w:t>
      </w:r>
      <w:r w:rsidRPr="005675B2">
        <w:rPr>
          <w:rFonts w:hint="cs"/>
          <w:rtl/>
        </w:rPr>
        <w:t xml:space="preserve"> فالنصارى أقرب إلى تعظيم الرسل والأنبياء من هؤلاء</w:t>
      </w:r>
      <w:r w:rsidR="000636C2">
        <w:rPr>
          <w:rFonts w:hint="cs"/>
          <w:rtl/>
        </w:rPr>
        <w:t>،</w:t>
      </w:r>
      <w:r w:rsidRPr="005675B2">
        <w:rPr>
          <w:rFonts w:hint="cs"/>
          <w:rtl/>
        </w:rPr>
        <w:t xml:space="preserve"> أهـ</w:t>
      </w:r>
      <w:r w:rsidR="000636C2">
        <w:rPr>
          <w:rFonts w:hint="cs"/>
          <w:rtl/>
        </w:rPr>
        <w:t xml:space="preserve"> </w:t>
      </w:r>
      <w:r w:rsidRPr="005675B2">
        <w:rPr>
          <w:rFonts w:hint="cs"/>
          <w:rtl/>
        </w:rPr>
        <w:t>الموافقة 1/4ـ7</w:t>
      </w:r>
      <w:r w:rsidR="000636C2">
        <w:rPr>
          <w:rFonts w:hint="cs"/>
          <w:rtl/>
        </w:rPr>
        <w:t>،</w:t>
      </w:r>
      <w:r w:rsidRPr="005675B2">
        <w:rPr>
          <w:rFonts w:hint="cs"/>
          <w:rtl/>
        </w:rPr>
        <w:t xml:space="preserve"> وهذه لا تحتاج إلى رد فبينهما </w:t>
      </w:r>
      <w:r w:rsidR="000636C2">
        <w:rPr>
          <w:rFonts w:hint="cs"/>
          <w:rtl/>
        </w:rPr>
        <w:t>(</w:t>
      </w:r>
      <w:r w:rsidRPr="005675B2">
        <w:rPr>
          <w:rFonts w:hint="cs"/>
          <w:rtl/>
        </w:rPr>
        <w:t>شهادة التوحيد يوم الموقف العظيم</w:t>
      </w:r>
      <w:r w:rsidR="000636C2">
        <w:rPr>
          <w:rFonts w:hint="cs"/>
          <w:rtl/>
        </w:rPr>
        <w:t>)،</w:t>
      </w:r>
      <w:r w:rsidRPr="005675B2">
        <w:rPr>
          <w:rFonts w:hint="cs"/>
          <w:rtl/>
        </w:rPr>
        <w:t xml:space="preserve"> ولا نعلم إلا أن النصارى كان تعظيمهم لنبيهم عبادة له</w:t>
      </w:r>
      <w:r w:rsidR="000636C2">
        <w:rPr>
          <w:rFonts w:hint="cs"/>
          <w:rtl/>
        </w:rPr>
        <w:t>،</w:t>
      </w:r>
      <w:r w:rsidRPr="005675B2">
        <w:rPr>
          <w:rFonts w:hint="cs"/>
          <w:rtl/>
        </w:rPr>
        <w:t xml:space="preserve"> فهل نرتضي هذا المقام للرازي</w:t>
      </w:r>
      <w:r w:rsidR="000636C2">
        <w:rPr>
          <w:rFonts w:hint="cs"/>
          <w:rtl/>
        </w:rPr>
        <w:t>،</w:t>
      </w:r>
    </w:p>
    <w:p w14:paraId="30556C1D" w14:textId="5A6AA480"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يتهم الإمام الرازي بالحيرة ولا يكاد يخلو كتاب من كتبه من الكلام عن هذا</w:t>
      </w:r>
      <w:r w:rsidR="000636C2">
        <w:rPr>
          <w:rFonts w:hint="cs"/>
          <w:rtl/>
        </w:rPr>
        <w:t>،</w:t>
      </w:r>
      <w:r w:rsidRPr="005675B2">
        <w:rPr>
          <w:rFonts w:hint="cs"/>
          <w:rtl/>
        </w:rPr>
        <w:t xml:space="preserve">فترى ذلك مثلاً في الفرقان </w:t>
      </w:r>
      <w:r w:rsidR="000636C2">
        <w:rPr>
          <w:rFonts w:hint="cs"/>
          <w:rtl/>
        </w:rPr>
        <w:t>(</w:t>
      </w:r>
      <w:r w:rsidRPr="005675B2">
        <w:rPr>
          <w:rFonts w:hint="cs"/>
          <w:rtl/>
        </w:rPr>
        <w:t>1/97</w:t>
      </w:r>
      <w:r w:rsidR="000636C2">
        <w:rPr>
          <w:rFonts w:hint="cs"/>
          <w:rtl/>
        </w:rPr>
        <w:t>)</w:t>
      </w:r>
      <w:r w:rsidRPr="005675B2">
        <w:rPr>
          <w:rFonts w:hint="cs"/>
          <w:rtl/>
        </w:rPr>
        <w:t xml:space="preserve"> مج الرسائل الكبرى - معارج الوصول </w:t>
      </w:r>
      <w:r w:rsidR="000636C2">
        <w:rPr>
          <w:rFonts w:hint="cs"/>
          <w:rtl/>
        </w:rPr>
        <w:t>(</w:t>
      </w:r>
      <w:r w:rsidRPr="005675B2">
        <w:rPr>
          <w:rFonts w:hint="cs"/>
          <w:rtl/>
        </w:rPr>
        <w:t>1/185</w:t>
      </w:r>
      <w:r w:rsidR="000636C2">
        <w:rPr>
          <w:rFonts w:hint="cs"/>
          <w:rtl/>
        </w:rPr>
        <w:t>)</w:t>
      </w:r>
      <w:r w:rsidRPr="005675B2">
        <w:rPr>
          <w:rFonts w:hint="cs"/>
          <w:rtl/>
        </w:rPr>
        <w:t xml:space="preserve">، الرد على المنطقيين </w:t>
      </w:r>
      <w:r w:rsidR="000636C2">
        <w:rPr>
          <w:rFonts w:hint="cs"/>
          <w:rtl/>
        </w:rPr>
        <w:t>(</w:t>
      </w:r>
      <w:r w:rsidRPr="005675B2">
        <w:rPr>
          <w:rFonts w:hint="cs"/>
          <w:rtl/>
        </w:rPr>
        <w:t>321</w:t>
      </w:r>
      <w:r w:rsidR="000636C2">
        <w:rPr>
          <w:rFonts w:hint="cs"/>
          <w:rtl/>
        </w:rPr>
        <w:t>)</w:t>
      </w:r>
      <w:r w:rsidRPr="005675B2">
        <w:rPr>
          <w:rFonts w:hint="cs"/>
          <w:rtl/>
        </w:rPr>
        <w:t>تفسير سورة الإخلاص 137</w:t>
      </w:r>
      <w:r w:rsidR="000636C2">
        <w:rPr>
          <w:rFonts w:hint="cs"/>
          <w:rtl/>
        </w:rPr>
        <w:t>،</w:t>
      </w:r>
      <w:r w:rsidRPr="005675B2">
        <w:rPr>
          <w:rFonts w:hint="cs"/>
          <w:rtl/>
        </w:rPr>
        <w:t xml:space="preserve"> [</w:t>
      </w:r>
      <w:r w:rsidRPr="005675B2">
        <w:rPr>
          <w:rFonts w:hint="cs"/>
          <w:bCs/>
          <w:sz w:val="24"/>
          <w:szCs w:val="24"/>
          <w:rtl/>
        </w:rPr>
        <w:t>مقدمة كتاب القدر للرازي بتحقيق محمد البغداديص22]</w:t>
      </w:r>
      <w:r w:rsidRPr="005675B2">
        <w:rPr>
          <w:rFonts w:hint="cs"/>
          <w:rtl/>
        </w:rPr>
        <w:t xml:space="preserve"> فلا يخفى والله أن هذا يدل على حقد عظيم على الرازي غفر الله لهما</w:t>
      </w:r>
      <w:r w:rsidR="000636C2">
        <w:rPr>
          <w:rFonts w:hint="cs"/>
          <w:rtl/>
        </w:rPr>
        <w:t xml:space="preserve">، </w:t>
      </w:r>
      <w:r w:rsidRPr="005675B2">
        <w:rPr>
          <w:rFonts w:hint="cs"/>
          <w:rtl/>
        </w:rPr>
        <w:t>وقد سبق أن ذكرت أن الصحابي إذا قال</w:t>
      </w:r>
      <w:r w:rsidR="000636C2">
        <w:rPr>
          <w:rFonts w:hint="cs"/>
          <w:rtl/>
        </w:rPr>
        <w:t>:</w:t>
      </w:r>
      <w:r w:rsidRPr="005675B2">
        <w:rPr>
          <w:rFonts w:hint="cs"/>
          <w:rtl/>
        </w:rPr>
        <w:t>ليتني شجرة تعضد</w:t>
      </w:r>
      <w:r w:rsidR="000636C2">
        <w:rPr>
          <w:rFonts w:hint="cs"/>
          <w:rtl/>
        </w:rPr>
        <w:t>،</w:t>
      </w:r>
      <w:r w:rsidRPr="005675B2">
        <w:rPr>
          <w:rFonts w:hint="cs"/>
          <w:rtl/>
        </w:rPr>
        <w:t>أو ليت أمي لم تلدني</w:t>
      </w:r>
      <w:r w:rsidR="000636C2">
        <w:rPr>
          <w:rFonts w:hint="cs"/>
          <w:rtl/>
        </w:rPr>
        <w:t>،</w:t>
      </w:r>
      <w:r w:rsidRPr="005675B2">
        <w:rPr>
          <w:rFonts w:hint="cs"/>
          <w:rtl/>
        </w:rPr>
        <w:t xml:space="preserve"> ونحو هذا الكلام وكذا قول الرازي تأملت الطرق الكلامية .. إلى أن قال</w:t>
      </w:r>
      <w:r w:rsidR="000636C2">
        <w:rPr>
          <w:rFonts w:hint="cs"/>
          <w:rtl/>
        </w:rPr>
        <w:t>:</w:t>
      </w:r>
      <w:r w:rsidRPr="005675B2">
        <w:rPr>
          <w:rFonts w:hint="cs"/>
          <w:rtl/>
        </w:rPr>
        <w:t xml:space="preserve"> فلم أجد كالكتاب والسنة فلا شك والله في فضل هذا الكلام وفضل قائله</w:t>
      </w:r>
      <w:r w:rsidR="000636C2">
        <w:rPr>
          <w:rFonts w:hint="cs"/>
          <w:rtl/>
        </w:rPr>
        <w:t>،</w:t>
      </w:r>
      <w:r w:rsidRPr="005675B2">
        <w:rPr>
          <w:rFonts w:hint="cs"/>
          <w:rtl/>
        </w:rPr>
        <w:t>وهو يدل على عظيم محاسبته لنفسه وخوفه من ربه وهذا دأب الخاشعين</w:t>
      </w:r>
      <w:r w:rsidR="000636C2">
        <w:rPr>
          <w:rFonts w:hint="cs"/>
          <w:rtl/>
        </w:rPr>
        <w:t xml:space="preserve"> </w:t>
      </w:r>
      <w:r w:rsidRPr="005675B2">
        <w:rPr>
          <w:rFonts w:hint="cs"/>
          <w:rtl/>
        </w:rPr>
        <w:t>المخلصين</w:t>
      </w:r>
      <w:r w:rsidR="000636C2">
        <w:rPr>
          <w:rFonts w:hint="cs"/>
          <w:rtl/>
        </w:rPr>
        <w:t>،</w:t>
      </w:r>
      <w:r w:rsidRPr="005675B2">
        <w:rPr>
          <w:rFonts w:hint="cs"/>
          <w:rtl/>
        </w:rPr>
        <w:t xml:space="preserve"> رحمه الله تعالى رحمة واسعة</w:t>
      </w:r>
      <w:r w:rsidR="000636C2">
        <w:rPr>
          <w:rFonts w:hint="cs"/>
          <w:rtl/>
        </w:rPr>
        <w:t>،</w:t>
      </w:r>
      <w:r w:rsidRPr="005675B2">
        <w:rPr>
          <w:rFonts w:hint="cs"/>
          <w:rtl/>
        </w:rPr>
        <w:t xml:space="preserve"> ولا شك أنه</w:t>
      </w:r>
      <w:r w:rsidR="000636C2">
        <w:rPr>
          <w:rFonts w:hint="cs"/>
          <w:rtl/>
        </w:rPr>
        <w:t xml:space="preserve"> </w:t>
      </w:r>
      <w:r w:rsidRPr="005675B2">
        <w:rPr>
          <w:rFonts w:hint="cs"/>
          <w:rtl/>
        </w:rPr>
        <w:t>لا أهدى</w:t>
      </w:r>
      <w:r w:rsidR="000636C2">
        <w:rPr>
          <w:rFonts w:hint="cs"/>
          <w:rtl/>
        </w:rPr>
        <w:t xml:space="preserve"> </w:t>
      </w:r>
      <w:r w:rsidRPr="005675B2">
        <w:rPr>
          <w:rFonts w:hint="cs"/>
          <w:rtl/>
        </w:rPr>
        <w:t>من الكتاب والسنة</w:t>
      </w:r>
      <w:r w:rsidR="000636C2">
        <w:rPr>
          <w:rFonts w:hint="cs"/>
          <w:rtl/>
        </w:rPr>
        <w:t>،</w:t>
      </w:r>
    </w:p>
    <w:p w14:paraId="582162D6" w14:textId="4F957AEB"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يتهمه بالكذب كما في المناظرة في العقيدة الواسطية فيقول أنه قال</w:t>
      </w:r>
      <w:r w:rsidR="000636C2">
        <w:rPr>
          <w:rFonts w:hint="cs"/>
          <w:rtl/>
        </w:rPr>
        <w:t>:</w:t>
      </w:r>
      <w:r w:rsidRPr="005675B2">
        <w:rPr>
          <w:rFonts w:hint="cs"/>
          <w:rtl/>
        </w:rPr>
        <w:t xml:space="preserve">أبكذب ابن الخطيب </w:t>
      </w:r>
      <w:r w:rsidR="000636C2">
        <w:rPr>
          <w:rFonts w:hint="cs"/>
          <w:rtl/>
        </w:rPr>
        <w:t>(</w:t>
      </w:r>
      <w:r w:rsidRPr="005675B2">
        <w:rPr>
          <w:rFonts w:hint="cs"/>
          <w:rtl/>
        </w:rPr>
        <w:t>أي الرازي</w:t>
      </w:r>
      <w:r w:rsidR="000636C2">
        <w:rPr>
          <w:rFonts w:hint="cs"/>
          <w:rtl/>
        </w:rPr>
        <w:t>)</w:t>
      </w:r>
      <w:r w:rsidRPr="005675B2">
        <w:rPr>
          <w:rFonts w:hint="cs"/>
          <w:rtl/>
        </w:rPr>
        <w:t>وافترائه على الناس في مذاهبهم تبطل الشريعة وتندرس معالم الدين</w:t>
      </w:r>
      <w:r w:rsidR="000636C2">
        <w:rPr>
          <w:rFonts w:hint="cs"/>
          <w:rtl/>
        </w:rPr>
        <w:t>،!</w:t>
      </w:r>
      <w:r w:rsidRPr="005675B2">
        <w:rPr>
          <w:rFonts w:hint="cs"/>
          <w:rtl/>
        </w:rPr>
        <w:t>!</w:t>
      </w:r>
      <w:r w:rsidR="000636C2">
        <w:rPr>
          <w:rFonts w:hint="cs"/>
          <w:rtl/>
        </w:rPr>
        <w:t>!</w:t>
      </w:r>
    </w:p>
    <w:p w14:paraId="13D97E77" w14:textId="5AA25E19"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ثم وصل</w:t>
      </w:r>
      <w:r w:rsidR="000636C2">
        <w:rPr>
          <w:rFonts w:hint="cs"/>
          <w:rtl/>
        </w:rPr>
        <w:t xml:space="preserve"> </w:t>
      </w:r>
      <w:r w:rsidRPr="005675B2">
        <w:rPr>
          <w:rFonts w:hint="cs"/>
          <w:rtl/>
        </w:rPr>
        <w:t>به الحال والمقال حتى كفر الإمام الرازي وقال (</w:t>
      </w:r>
      <w:r w:rsidR="000636C2">
        <w:rPr>
          <w:rFonts w:hint="cs"/>
          <w:rtl/>
        </w:rPr>
        <w:t>(</w:t>
      </w:r>
      <w:r w:rsidRPr="005675B2">
        <w:rPr>
          <w:rFonts w:hint="cs"/>
          <w:rtl/>
        </w:rPr>
        <w:t>عبادة الأصنام باح بها متأخروهم كالرازي وصنف فيها مصنفاً</w:t>
      </w:r>
      <w:r w:rsidR="000636C2">
        <w:rPr>
          <w:rFonts w:hint="cs"/>
          <w:rtl/>
        </w:rPr>
        <w:t>،</w:t>
      </w:r>
      <w:r w:rsidRPr="005675B2">
        <w:rPr>
          <w:rFonts w:hint="cs"/>
          <w:rtl/>
        </w:rPr>
        <w:t xml:space="preserve"> مجموعة الرسائل الكبرى </w:t>
      </w:r>
      <w:r w:rsidR="000636C2">
        <w:rPr>
          <w:rFonts w:hint="cs"/>
          <w:rtl/>
        </w:rPr>
        <w:t>(</w:t>
      </w:r>
      <w:r w:rsidRPr="005675B2">
        <w:rPr>
          <w:rFonts w:hint="cs"/>
          <w:rtl/>
        </w:rPr>
        <w:t>1/159</w:t>
      </w:r>
      <w:r w:rsidR="000636C2">
        <w:rPr>
          <w:rFonts w:hint="cs"/>
          <w:rtl/>
        </w:rPr>
        <w:t>)،</w:t>
      </w:r>
      <w:r w:rsidRPr="005675B2">
        <w:rPr>
          <w:rFonts w:hint="cs"/>
          <w:rtl/>
        </w:rPr>
        <w:t xml:space="preserve"> وقال أيضاً</w:t>
      </w:r>
      <w:r w:rsidR="000636C2">
        <w:rPr>
          <w:rFonts w:hint="cs"/>
          <w:rtl/>
        </w:rPr>
        <w:t>:</w:t>
      </w:r>
      <w:r w:rsidRPr="005675B2">
        <w:rPr>
          <w:rFonts w:hint="cs"/>
          <w:rtl/>
        </w:rPr>
        <w:t xml:space="preserve"> وأبلغ من ذلك أن منهم من صنف في الردة كما صنف الفخر الرازي في عبادة الكواكب</w:t>
      </w:r>
      <w:r w:rsidR="000636C2">
        <w:rPr>
          <w:rFonts w:hint="cs"/>
          <w:rtl/>
        </w:rPr>
        <w:t>،</w:t>
      </w:r>
      <w:r w:rsidRPr="005675B2">
        <w:rPr>
          <w:rFonts w:hint="cs"/>
          <w:rtl/>
        </w:rPr>
        <w:t>وهذه ردة عن الإسلام باتفاق المسلمين</w:t>
      </w:r>
      <w:r w:rsidR="000636C2">
        <w:rPr>
          <w:rFonts w:hint="cs"/>
          <w:rtl/>
        </w:rPr>
        <w:t>،</w:t>
      </w:r>
      <w:r w:rsidRPr="005675B2">
        <w:rPr>
          <w:rFonts w:hint="cs"/>
          <w:rtl/>
        </w:rPr>
        <w:t xml:space="preserve"> أهـ</w:t>
      </w:r>
      <w:r w:rsidR="000636C2">
        <w:rPr>
          <w:rFonts w:hint="cs"/>
          <w:rtl/>
        </w:rPr>
        <w:t xml:space="preserve"> </w:t>
      </w:r>
      <w:r w:rsidRPr="005675B2">
        <w:rPr>
          <w:rFonts w:hint="cs"/>
          <w:rtl/>
        </w:rPr>
        <w:t>تاريخ نجد 348ولا تعليق فقد سبق ما فيه شفاء</w:t>
      </w:r>
      <w:r w:rsidR="000636C2">
        <w:rPr>
          <w:rFonts w:hint="cs"/>
          <w:rtl/>
        </w:rPr>
        <w:t>،</w:t>
      </w:r>
    </w:p>
    <w:p w14:paraId="19D56317" w14:textId="02421D6E"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حتى نعلم هل كان السبكي متعصباً أم أن الإمام الذهبي غفر الله له أكثر التحامل على الأشعرية</w:t>
      </w:r>
      <w:r>
        <w:rPr>
          <w:rFonts w:hint="cs"/>
          <w:rtl/>
        </w:rPr>
        <w:t>،</w:t>
      </w:r>
      <w:r w:rsidR="009C32A0" w:rsidRPr="005675B2">
        <w:rPr>
          <w:rFonts w:hint="cs"/>
          <w:rtl/>
        </w:rPr>
        <w:t xml:space="preserve"> فبالإضافة إلى ما سبق انظر كلامه في الإمام الآمدي قال الإمام الذهبي في ترجـمة سـيف الدين الآمـدي</w:t>
      </w:r>
      <w:r>
        <w:rPr>
          <w:rFonts w:hint="cs"/>
          <w:rtl/>
        </w:rPr>
        <w:t>:</w:t>
      </w:r>
      <w:r w:rsidR="009C32A0" w:rsidRPr="005675B2">
        <w:rPr>
          <w:rFonts w:hint="cs"/>
          <w:rtl/>
        </w:rPr>
        <w:t xml:space="preserve"> </w:t>
      </w:r>
      <w:r>
        <w:rPr>
          <w:rFonts w:hint="cs"/>
          <w:rtl/>
        </w:rPr>
        <w:t>[</w:t>
      </w:r>
      <w:r w:rsidR="009C32A0" w:rsidRPr="005675B2">
        <w:rPr>
          <w:rFonts w:hint="cs"/>
          <w:rtl/>
        </w:rPr>
        <w:t>قد نفي من دمشق لسوء اعتقاده</w:t>
      </w:r>
      <w:r>
        <w:rPr>
          <w:rFonts w:hint="cs"/>
          <w:rtl/>
        </w:rPr>
        <w:t>،</w:t>
      </w:r>
      <w:r w:rsidR="009C32A0" w:rsidRPr="005675B2">
        <w:rPr>
          <w:rFonts w:hint="cs"/>
          <w:rtl/>
        </w:rPr>
        <w:t xml:space="preserve"> وصح عنه أنه كان يترك الصلاة</w:t>
      </w:r>
      <w:r>
        <w:rPr>
          <w:rFonts w:hint="cs"/>
          <w:rtl/>
        </w:rPr>
        <w:t>)</w:t>
      </w:r>
      <w:r w:rsidR="009C32A0" w:rsidRPr="005675B2">
        <w:rPr>
          <w:rFonts w:hint="cs"/>
          <w:rtl/>
        </w:rPr>
        <w:t xml:space="preserve"> </w:t>
      </w:r>
      <w:r>
        <w:rPr>
          <w:rFonts w:hint="cs"/>
          <w:rtl/>
        </w:rPr>
        <w:t>[</w:t>
      </w:r>
      <w:r w:rsidR="009C32A0" w:rsidRPr="005675B2">
        <w:rPr>
          <w:rFonts w:hint="cs"/>
          <w:bCs/>
          <w:sz w:val="24"/>
          <w:szCs w:val="24"/>
          <w:rtl/>
        </w:rPr>
        <w:t>ميزان الاعتدال: 2 / 259</w:t>
      </w:r>
      <w:r w:rsidR="009C32A0" w:rsidRPr="005675B2">
        <w:rPr>
          <w:rFonts w:hint="cs"/>
          <w:rtl/>
        </w:rPr>
        <w:t>]</w:t>
      </w:r>
      <w:r>
        <w:rPr>
          <w:rFonts w:hint="cs"/>
          <w:rtl/>
        </w:rPr>
        <w:t xml:space="preserve">، </w:t>
      </w:r>
      <w:r w:rsidR="009C32A0" w:rsidRPr="005675B2">
        <w:rPr>
          <w:rFonts w:hint="cs"/>
          <w:u w:val="single"/>
          <w:rtl/>
        </w:rPr>
        <w:t>ثم قارن بينه وبين الإمام ابن كثير حيث قال ابن كثير</w:t>
      </w:r>
      <w:r>
        <w:rPr>
          <w:rFonts w:hint="cs"/>
          <w:rtl/>
        </w:rPr>
        <w:t>:</w:t>
      </w:r>
      <w:r w:rsidR="009C32A0" w:rsidRPr="005675B2">
        <w:rPr>
          <w:rFonts w:hint="cs"/>
          <w:rtl/>
        </w:rPr>
        <w:t xml:space="preserve"> في ترجمة الآمدي</w:t>
      </w:r>
      <w:r>
        <w:rPr>
          <w:rFonts w:hint="cs"/>
          <w:rtl/>
        </w:rPr>
        <w:t>:</w:t>
      </w:r>
      <w:r w:rsidR="009C32A0" w:rsidRPr="005675B2">
        <w:rPr>
          <w:rFonts w:hint="cs"/>
          <w:rtl/>
        </w:rPr>
        <w:t xml:space="preserve"> </w:t>
      </w:r>
      <w:r>
        <w:rPr>
          <w:rFonts w:hint="cs"/>
          <w:rtl/>
        </w:rPr>
        <w:t>[</w:t>
      </w:r>
      <w:r w:rsidR="009C32A0" w:rsidRPr="005675B2">
        <w:rPr>
          <w:rFonts w:hint="cs"/>
          <w:rtl/>
        </w:rPr>
        <w:t>وكان كثير البكاء رقيق القلب</w:t>
      </w:r>
      <w:r>
        <w:rPr>
          <w:rFonts w:hint="cs"/>
          <w:rtl/>
        </w:rPr>
        <w:t>،</w:t>
      </w:r>
      <w:r w:rsidR="009C32A0" w:rsidRPr="005675B2">
        <w:rPr>
          <w:rFonts w:hint="cs"/>
          <w:rtl/>
        </w:rPr>
        <w:t xml:space="preserve"> وقد تكلموا فيه بأشياء</w:t>
      </w:r>
      <w:r>
        <w:rPr>
          <w:rFonts w:hint="cs"/>
          <w:rtl/>
        </w:rPr>
        <w:t>،</w:t>
      </w:r>
      <w:r w:rsidR="009C32A0" w:rsidRPr="005675B2">
        <w:rPr>
          <w:rFonts w:hint="cs"/>
          <w:rtl/>
        </w:rPr>
        <w:t xml:space="preserve"> الله أعلم بصحتها</w:t>
      </w:r>
      <w:r>
        <w:rPr>
          <w:rFonts w:hint="cs"/>
          <w:rtl/>
        </w:rPr>
        <w:t>،</w:t>
      </w:r>
      <w:r w:rsidR="009C32A0" w:rsidRPr="005675B2">
        <w:rPr>
          <w:rFonts w:hint="cs"/>
          <w:rtl/>
        </w:rPr>
        <w:t xml:space="preserve"> والذي يغلب على الظن أنه ليس لغالبها صحة</w:t>
      </w:r>
      <w:r>
        <w:rPr>
          <w:rFonts w:hint="cs"/>
          <w:rtl/>
        </w:rPr>
        <w:t>]</w:t>
      </w:r>
      <w:r w:rsidR="009C32A0" w:rsidRPr="005675B2">
        <w:rPr>
          <w:rFonts w:hint="cs"/>
          <w:rtl/>
        </w:rPr>
        <w:t xml:space="preserve"> [</w:t>
      </w:r>
      <w:r w:rsidR="009C32A0" w:rsidRPr="005675B2">
        <w:rPr>
          <w:rFonts w:hint="cs"/>
          <w:bCs/>
          <w:sz w:val="24"/>
          <w:szCs w:val="24"/>
          <w:rtl/>
        </w:rPr>
        <w:t>البداية والنهاية لابن كثير: 13 / 151</w:t>
      </w:r>
      <w:r w:rsidR="009C32A0" w:rsidRPr="005675B2">
        <w:rPr>
          <w:rFonts w:hint="cs"/>
          <w:rtl/>
        </w:rPr>
        <w:t>]</w:t>
      </w:r>
      <w:r>
        <w:rPr>
          <w:rFonts w:hint="cs"/>
          <w:rtl/>
        </w:rPr>
        <w:t>،</w:t>
      </w:r>
      <w:r w:rsidR="009C32A0" w:rsidRPr="005675B2">
        <w:rPr>
          <w:rFonts w:hint="cs"/>
          <w:rtl/>
        </w:rPr>
        <w:t xml:space="preserve"> وقال ابن حجر</w:t>
      </w:r>
      <w:r>
        <w:rPr>
          <w:rFonts w:hint="cs"/>
          <w:rtl/>
        </w:rPr>
        <w:t>: [</w:t>
      </w:r>
      <w:r w:rsidR="009C32A0" w:rsidRPr="005675B2">
        <w:rPr>
          <w:rFonts w:hint="cs"/>
          <w:rtl/>
        </w:rPr>
        <w:t>تفقه لأحمد ابن حنبل</w:t>
      </w:r>
      <w:r>
        <w:rPr>
          <w:rFonts w:hint="cs"/>
          <w:rtl/>
        </w:rPr>
        <w:t>،</w:t>
      </w:r>
      <w:r w:rsidR="009C32A0" w:rsidRPr="005675B2">
        <w:rPr>
          <w:rFonts w:hint="cs"/>
          <w:rtl/>
        </w:rPr>
        <w:t xml:space="preserve"> ثم تحول شافعياً</w:t>
      </w:r>
      <w:r>
        <w:rPr>
          <w:rFonts w:hint="cs"/>
          <w:rtl/>
        </w:rPr>
        <w:t>،</w:t>
      </w:r>
      <w:r w:rsidR="009C32A0" w:rsidRPr="005675B2">
        <w:rPr>
          <w:rFonts w:hint="cs"/>
          <w:rtl/>
        </w:rPr>
        <w:t xml:space="preserve"> .. وكان يظهر منه رقة قلب وسرعة دمعة ..</w:t>
      </w:r>
      <w:r>
        <w:rPr>
          <w:rFonts w:hint="cs"/>
          <w:rtl/>
        </w:rPr>
        <w:t>]</w:t>
      </w:r>
      <w:r w:rsidR="009C32A0" w:rsidRPr="005675B2">
        <w:rPr>
          <w:rFonts w:hint="cs"/>
          <w:rtl/>
        </w:rPr>
        <w:t xml:space="preserve"> أهـ</w:t>
      </w:r>
      <w:r>
        <w:rPr>
          <w:rFonts w:hint="cs"/>
          <w:rtl/>
        </w:rPr>
        <w:t xml:space="preserve"> </w:t>
      </w:r>
      <w:r w:rsidR="009C32A0" w:rsidRPr="005675B2">
        <w:rPr>
          <w:rFonts w:hint="cs"/>
          <w:rtl/>
        </w:rPr>
        <w:t xml:space="preserve">ثم نقل قول القائل </w:t>
      </w:r>
      <w:r>
        <w:rPr>
          <w:rFonts w:hint="cs"/>
          <w:rtl/>
        </w:rPr>
        <w:t>[</w:t>
      </w:r>
      <w:r w:rsidR="009C32A0" w:rsidRPr="005675B2">
        <w:rPr>
          <w:rFonts w:hint="cs"/>
          <w:rtl/>
        </w:rPr>
        <w:t>شككنا هل يصلي</w:t>
      </w:r>
      <w:r>
        <w:rPr>
          <w:rFonts w:hint="cs"/>
          <w:rtl/>
        </w:rPr>
        <w:t xml:space="preserve">؟ </w:t>
      </w:r>
      <w:r w:rsidR="009C32A0" w:rsidRPr="005675B2">
        <w:rPr>
          <w:rFonts w:hint="cs"/>
          <w:rtl/>
        </w:rPr>
        <w:t>فهل رقيق القلب لا يصلي</w:t>
      </w:r>
      <w:r>
        <w:rPr>
          <w:rFonts w:hint="cs"/>
          <w:rtl/>
        </w:rPr>
        <w:t>؟!</w:t>
      </w:r>
      <w:r w:rsidR="009C32A0" w:rsidRPr="005675B2">
        <w:rPr>
          <w:rFonts w:hint="cs"/>
          <w:rtl/>
        </w:rPr>
        <w:t>رجل سريع الدمعة لايصلي</w:t>
      </w:r>
      <w:r>
        <w:rPr>
          <w:rFonts w:hint="cs"/>
          <w:rtl/>
        </w:rPr>
        <w:t>!</w:t>
      </w:r>
      <w:r w:rsidR="009C32A0" w:rsidRPr="005675B2">
        <w:rPr>
          <w:rFonts w:hint="cs"/>
          <w:rtl/>
        </w:rPr>
        <w:t>!وماهو الدليل على أنه لا يصلي</w:t>
      </w:r>
      <w:r>
        <w:rPr>
          <w:rFonts w:hint="cs"/>
          <w:rtl/>
        </w:rPr>
        <w:t xml:space="preserve">؟ </w:t>
      </w:r>
      <w:r w:rsidR="009C32A0" w:rsidRPr="005675B2">
        <w:rPr>
          <w:rFonts w:hint="cs"/>
          <w:rtl/>
        </w:rPr>
        <w:t>الدليل عندهم أن قوماً</w:t>
      </w:r>
      <w:r>
        <w:rPr>
          <w:rFonts w:hint="cs"/>
          <w:rtl/>
        </w:rPr>
        <w:t xml:space="preserve"> </w:t>
      </w:r>
      <w:r w:rsidR="009C32A0" w:rsidRPr="005675B2">
        <w:rPr>
          <w:rFonts w:hint="cs"/>
          <w:rtl/>
        </w:rPr>
        <w:t>تركوا الإمام الآمدي</w:t>
      </w:r>
      <w:r>
        <w:rPr>
          <w:rFonts w:hint="cs"/>
          <w:rtl/>
        </w:rPr>
        <w:t xml:space="preserve"> </w:t>
      </w:r>
      <w:r w:rsidR="009C32A0" w:rsidRPr="005675B2">
        <w:rPr>
          <w:rFonts w:hint="cs"/>
          <w:rtl/>
        </w:rPr>
        <w:t>حتى نام</w:t>
      </w:r>
      <w:r>
        <w:rPr>
          <w:rFonts w:hint="cs"/>
          <w:rtl/>
        </w:rPr>
        <w:t>،</w:t>
      </w:r>
      <w:r w:rsidR="009C32A0" w:rsidRPr="005675B2">
        <w:rPr>
          <w:rFonts w:hint="cs"/>
          <w:rtl/>
        </w:rPr>
        <w:t xml:space="preserve"> قالوا وعلمنا على رجله بالحبر</w:t>
      </w:r>
      <w:r>
        <w:rPr>
          <w:rFonts w:hint="cs"/>
          <w:rtl/>
        </w:rPr>
        <w:t>،</w:t>
      </w:r>
      <w:r w:rsidR="009C32A0" w:rsidRPr="005675B2">
        <w:rPr>
          <w:rFonts w:hint="cs"/>
          <w:rtl/>
        </w:rPr>
        <w:t xml:space="preserve"> فبقيت العلامة نحو يومين مكانها </w:t>
      </w:r>
      <w:r>
        <w:rPr>
          <w:rFonts w:hint="cs"/>
          <w:rtl/>
        </w:rPr>
        <w:t>[</w:t>
      </w:r>
      <w:r w:rsidR="009C32A0" w:rsidRPr="005675B2">
        <w:rPr>
          <w:rFonts w:hint="cs"/>
          <w:bCs/>
          <w:sz w:val="24"/>
          <w:szCs w:val="24"/>
          <w:rtl/>
        </w:rPr>
        <w:t>لسان الميزان: 3 / 134 – 135</w:t>
      </w:r>
      <w:r>
        <w:rPr>
          <w:rFonts w:hint="cs"/>
          <w:bCs/>
          <w:sz w:val="24"/>
          <w:szCs w:val="24"/>
          <w:rtl/>
        </w:rPr>
        <w:t>]</w:t>
      </w:r>
      <w:r>
        <w:rPr>
          <w:rFonts w:hint="cs"/>
          <w:rtl/>
        </w:rPr>
        <w:t>،</w:t>
      </w:r>
      <w:r w:rsidR="009C32A0" w:rsidRPr="005675B2">
        <w:rPr>
          <w:rFonts w:hint="cs"/>
          <w:rtl/>
        </w:rPr>
        <w:t xml:space="preserve"> أي أن الآمدي لم يشعر بحبر يسكب على رجله ولم يستيقظ</w:t>
      </w:r>
      <w:r>
        <w:rPr>
          <w:rFonts w:hint="cs"/>
          <w:rtl/>
        </w:rPr>
        <w:t>!</w:t>
      </w:r>
      <w:r w:rsidR="009C32A0" w:rsidRPr="005675B2">
        <w:rPr>
          <w:rFonts w:hint="cs"/>
          <w:rtl/>
        </w:rPr>
        <w:t>!</w:t>
      </w:r>
      <w:r>
        <w:rPr>
          <w:rFonts w:hint="cs"/>
          <w:rtl/>
        </w:rPr>
        <w:t xml:space="preserve"> </w:t>
      </w:r>
      <w:r w:rsidR="009C32A0" w:rsidRPr="005675B2">
        <w:rPr>
          <w:rFonts w:hint="cs"/>
          <w:rtl/>
        </w:rPr>
        <w:t>1</w:t>
      </w:r>
      <w:r>
        <w:rPr>
          <w:rFonts w:hint="cs"/>
          <w:rtl/>
        </w:rPr>
        <w:t xml:space="preserve"> </w:t>
      </w:r>
      <w:r w:rsidR="009C32A0" w:rsidRPr="005675B2">
        <w:rPr>
          <w:rFonts w:hint="cs"/>
          <w:rtl/>
        </w:rPr>
        <w:t>- وهذه القصة باطلة سنداً ومتناً فأما السند فقد رويت بصيغة التمريض</w:t>
      </w:r>
      <w:r>
        <w:rPr>
          <w:rFonts w:hint="cs"/>
          <w:rtl/>
        </w:rPr>
        <w:t xml:space="preserve">، </w:t>
      </w:r>
      <w:r w:rsidR="009C32A0" w:rsidRPr="005675B2">
        <w:rPr>
          <w:rFonts w:hint="cs"/>
          <w:rtl/>
        </w:rPr>
        <w:t>2</w:t>
      </w:r>
      <w:r>
        <w:rPr>
          <w:rFonts w:hint="cs"/>
          <w:rtl/>
        </w:rPr>
        <w:t xml:space="preserve"> </w:t>
      </w:r>
      <w:r w:rsidR="009C32A0" w:rsidRPr="005675B2">
        <w:rPr>
          <w:rFonts w:hint="cs"/>
          <w:rtl/>
        </w:rPr>
        <w:t>- من جهة المتن ففيه نكارة إذ كيف رجل رقيق القلب سريع الدمعة من خشية الله ولا يصلي</w:t>
      </w:r>
      <w:r>
        <w:rPr>
          <w:rFonts w:hint="cs"/>
          <w:rtl/>
        </w:rPr>
        <w:t xml:space="preserve">، </w:t>
      </w:r>
      <w:r w:rsidR="009C32A0" w:rsidRPr="005675B2">
        <w:rPr>
          <w:rFonts w:hint="cs"/>
          <w:rtl/>
        </w:rPr>
        <w:t>3</w:t>
      </w:r>
      <w:r>
        <w:rPr>
          <w:rFonts w:hint="cs"/>
          <w:rtl/>
        </w:rPr>
        <w:t xml:space="preserve"> </w:t>
      </w:r>
      <w:r w:rsidR="009C32A0" w:rsidRPr="005675B2">
        <w:rPr>
          <w:rFonts w:hint="cs"/>
          <w:rtl/>
        </w:rPr>
        <w:t>- على فرض ثبوت قصة الحبر فقد</w:t>
      </w:r>
      <w:r>
        <w:rPr>
          <w:rFonts w:hint="cs"/>
          <w:rtl/>
        </w:rPr>
        <w:t xml:space="preserve"> </w:t>
      </w:r>
      <w:r w:rsidR="009C32A0" w:rsidRPr="005675B2">
        <w:rPr>
          <w:rFonts w:hint="cs"/>
          <w:rtl/>
        </w:rPr>
        <w:t>قال الشيخ عبدالرزاق العفيفي</w:t>
      </w:r>
      <w:r>
        <w:rPr>
          <w:rFonts w:hint="cs"/>
          <w:rtl/>
        </w:rPr>
        <w:t>:</w:t>
      </w:r>
      <w:r w:rsidR="009C32A0" w:rsidRPr="005675B2">
        <w:rPr>
          <w:rFonts w:hint="cs"/>
          <w:rtl/>
        </w:rPr>
        <w:t xml:space="preserve"> أقول قد يبقى الحبر أياماً على العضو مع تتابع الوضوء والغسل وخاصة عضو من لا يرى التدليك فرضاً في الطهارة بل يكتفي بإسالة الماء</w:t>
      </w:r>
      <w:r>
        <w:rPr>
          <w:rFonts w:hint="cs"/>
          <w:rtl/>
        </w:rPr>
        <w:t>:</w:t>
      </w:r>
      <w:r w:rsidR="009C32A0" w:rsidRPr="005675B2">
        <w:rPr>
          <w:rFonts w:hint="cs"/>
          <w:rtl/>
        </w:rPr>
        <w:t>والأصل البراءة حتى تثبت التهمة</w:t>
      </w:r>
      <w:r>
        <w:rPr>
          <w:rFonts w:hint="cs"/>
          <w:rtl/>
        </w:rPr>
        <w:t>،</w:t>
      </w:r>
      <w:r w:rsidR="009C32A0" w:rsidRPr="005675B2">
        <w:rPr>
          <w:rFonts w:hint="cs"/>
          <w:rtl/>
        </w:rPr>
        <w:t xml:space="preserve"> أهـ</w:t>
      </w:r>
      <w:r>
        <w:rPr>
          <w:rFonts w:hint="cs"/>
          <w:rtl/>
        </w:rPr>
        <w:t xml:space="preserve"> </w:t>
      </w:r>
      <w:r w:rsidR="009C32A0" w:rsidRPr="005675B2">
        <w:rPr>
          <w:rFonts w:hint="cs"/>
          <w:rtl/>
        </w:rPr>
        <w:t>كلام الشيخ العفيفي</w:t>
      </w:r>
      <w:r>
        <w:rPr>
          <w:rFonts w:hint="cs"/>
          <w:rtl/>
        </w:rPr>
        <w:t xml:space="preserve"> </w:t>
      </w:r>
      <w:r w:rsidR="009C32A0" w:rsidRPr="005675B2">
        <w:rPr>
          <w:rFonts w:hint="cs"/>
          <w:rtl/>
        </w:rPr>
        <w:t>[</w:t>
      </w:r>
      <w:r w:rsidR="009C32A0" w:rsidRPr="005675B2">
        <w:rPr>
          <w:rFonts w:hint="cs"/>
          <w:bCs/>
          <w:sz w:val="24"/>
          <w:szCs w:val="24"/>
          <w:rtl/>
        </w:rPr>
        <w:t>كتاب اتهامات كاذبة ص45 تأليف إبراهيم الحازمي]</w:t>
      </w:r>
      <w:r w:rsidR="009C32A0" w:rsidRPr="005675B2">
        <w:rPr>
          <w:rFonts w:hint="cs"/>
          <w:rtl/>
        </w:rPr>
        <w:t xml:space="preserve"> فليت في هذا إيقاظ لذوي الديانة</w:t>
      </w:r>
      <w:r>
        <w:rPr>
          <w:rFonts w:hint="cs"/>
          <w:rtl/>
        </w:rPr>
        <w:t>،</w:t>
      </w:r>
    </w:p>
    <w:p w14:paraId="2A472440" w14:textId="119579E5"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إمام الحرمين رحمه الله</w:t>
      </w:r>
      <w:r w:rsidR="000636C2">
        <w:rPr>
          <w:rFonts w:hint="cs"/>
          <w:rtl/>
        </w:rPr>
        <w:t>،</w:t>
      </w:r>
      <w:r w:rsidRPr="005675B2">
        <w:rPr>
          <w:rFonts w:hint="cs"/>
          <w:rtl/>
        </w:rPr>
        <w:t xml:space="preserve"> وهو أبو المعالي عبد الملك</w:t>
      </w:r>
      <w:r w:rsidR="000636C2">
        <w:rPr>
          <w:rFonts w:hint="cs"/>
          <w:rtl/>
        </w:rPr>
        <w:t xml:space="preserve"> </w:t>
      </w:r>
      <w:r w:rsidRPr="005675B2">
        <w:rPr>
          <w:rFonts w:hint="cs"/>
          <w:rtl/>
        </w:rPr>
        <w:t>الجويني</w:t>
      </w:r>
      <w:r w:rsidR="000636C2">
        <w:rPr>
          <w:rFonts w:hint="cs"/>
          <w:rtl/>
        </w:rPr>
        <w:t xml:space="preserve"> </w:t>
      </w:r>
      <w:r w:rsidRPr="005675B2">
        <w:rPr>
          <w:rFonts w:hint="cs"/>
          <w:rtl/>
        </w:rPr>
        <w:t>ذكر أهل السير حكاية حيرته وقد رويت الحكاية من طريق الحافظ أبي العلاء العطار الهمذاني الحسن بن أحمد بن الحسن</w:t>
      </w:r>
      <w:r w:rsidR="000636C2">
        <w:rPr>
          <w:rFonts w:hint="cs"/>
          <w:rtl/>
        </w:rPr>
        <w:t>،</w:t>
      </w:r>
      <w:r w:rsidRPr="005675B2">
        <w:rPr>
          <w:rFonts w:hint="cs"/>
          <w:rtl/>
        </w:rPr>
        <w:t xml:space="preserve"> عن الشيخ الصوفي أبي جعفر الهمذاني محمد بن الحسن بن محمد</w:t>
      </w:r>
      <w:r w:rsidR="000636C2">
        <w:rPr>
          <w:rFonts w:hint="cs"/>
          <w:rtl/>
        </w:rPr>
        <w:t>،</w:t>
      </w:r>
      <w:r w:rsidRPr="005675B2">
        <w:rPr>
          <w:rFonts w:hint="cs"/>
          <w:rtl/>
        </w:rPr>
        <w:t xml:space="preserve"> أنه قال</w:t>
      </w:r>
      <w:r w:rsidR="000636C2">
        <w:rPr>
          <w:rFonts w:hint="cs"/>
          <w:rtl/>
        </w:rPr>
        <w:t>:</w:t>
      </w:r>
      <w:r w:rsidRPr="005675B2">
        <w:rPr>
          <w:rFonts w:hint="cs"/>
          <w:rtl/>
        </w:rPr>
        <w:t xml:space="preserve"> سمعت أبا المعالي وسئل عن قوله تعالى </w:t>
      </w:r>
      <w:r w:rsidR="000636C2">
        <w:rPr>
          <w:rFonts w:hint="cs"/>
          <w:rtl/>
        </w:rPr>
        <w:t>[</w:t>
      </w:r>
      <w:r w:rsidRPr="005675B2">
        <w:rPr>
          <w:rFonts w:hint="cs"/>
          <w:rtl/>
        </w:rPr>
        <w:t>الرَّحْمَنُ عَلَى الْعَرْشِ اسْتَوَى</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آية 5 سورة طه</w:t>
      </w:r>
      <w:r w:rsidR="000636C2">
        <w:rPr>
          <w:rFonts w:hint="cs"/>
          <w:bCs/>
          <w:sz w:val="24"/>
          <w:szCs w:val="24"/>
          <w:rtl/>
        </w:rPr>
        <w:t>]</w:t>
      </w:r>
      <w:r w:rsidR="000636C2">
        <w:rPr>
          <w:rFonts w:hint="cs"/>
          <w:rtl/>
        </w:rPr>
        <w:t>،</w:t>
      </w:r>
      <w:r w:rsidRPr="005675B2">
        <w:rPr>
          <w:rFonts w:hint="cs"/>
          <w:rtl/>
        </w:rPr>
        <w:t xml:space="preserve"> فقال</w:t>
      </w:r>
      <w:r w:rsidR="000636C2">
        <w:rPr>
          <w:rFonts w:hint="cs"/>
          <w:rtl/>
        </w:rPr>
        <w:t>:</w:t>
      </w:r>
      <w:r w:rsidRPr="005675B2">
        <w:rPr>
          <w:rFonts w:hint="cs"/>
          <w:rtl/>
        </w:rPr>
        <w:t xml:space="preserve"> كان الله ولا عرش</w:t>
      </w:r>
      <w:r w:rsidR="000636C2">
        <w:rPr>
          <w:rFonts w:hint="cs"/>
          <w:rtl/>
        </w:rPr>
        <w:t>،</w:t>
      </w:r>
      <w:r w:rsidRPr="005675B2">
        <w:rPr>
          <w:rFonts w:hint="cs"/>
          <w:rtl/>
        </w:rPr>
        <w:t xml:space="preserve"> وجعل يتخبط</w:t>
      </w:r>
      <w:r w:rsidR="000636C2">
        <w:rPr>
          <w:rFonts w:hint="cs"/>
          <w:rtl/>
        </w:rPr>
        <w:t>،</w:t>
      </w:r>
      <w:r w:rsidRPr="005675B2">
        <w:rPr>
          <w:rFonts w:hint="cs"/>
          <w:rtl/>
        </w:rPr>
        <w:t xml:space="preserve"> فقلت</w:t>
      </w:r>
      <w:r w:rsidR="000636C2">
        <w:rPr>
          <w:rFonts w:hint="cs"/>
          <w:rtl/>
        </w:rPr>
        <w:t>:</w:t>
      </w:r>
      <w:r w:rsidRPr="005675B2">
        <w:rPr>
          <w:rFonts w:hint="cs"/>
          <w:rtl/>
        </w:rPr>
        <w:t xml:space="preserve"> هل عندك للضرورات من حيلة</w:t>
      </w:r>
      <w:r w:rsidR="000636C2">
        <w:rPr>
          <w:rFonts w:hint="cs"/>
          <w:rtl/>
        </w:rPr>
        <w:t>؟،</w:t>
      </w:r>
      <w:r w:rsidRPr="005675B2">
        <w:rPr>
          <w:rFonts w:hint="cs"/>
          <w:rtl/>
        </w:rPr>
        <w:t xml:space="preserve"> فقال</w:t>
      </w:r>
      <w:r w:rsidR="000636C2">
        <w:rPr>
          <w:rFonts w:hint="cs"/>
          <w:rtl/>
        </w:rPr>
        <w:t>:</w:t>
      </w:r>
      <w:r w:rsidRPr="005675B2">
        <w:rPr>
          <w:rFonts w:hint="cs"/>
          <w:rtl/>
        </w:rPr>
        <w:t xml:space="preserve"> ما معنى هذه الإشارة</w:t>
      </w:r>
      <w:r w:rsidR="000636C2">
        <w:rPr>
          <w:rFonts w:hint="cs"/>
          <w:rtl/>
        </w:rPr>
        <w:t>؟،</w:t>
      </w:r>
      <w:r w:rsidRPr="005675B2">
        <w:rPr>
          <w:rFonts w:hint="cs"/>
          <w:rtl/>
        </w:rPr>
        <w:t xml:space="preserve"> قلت</w:t>
      </w:r>
      <w:r w:rsidR="000636C2">
        <w:rPr>
          <w:rFonts w:hint="cs"/>
          <w:rtl/>
        </w:rPr>
        <w:t>:</w:t>
      </w:r>
      <w:r w:rsidRPr="005675B2">
        <w:rPr>
          <w:rFonts w:hint="cs"/>
          <w:rtl/>
        </w:rPr>
        <w:t xml:space="preserve"> ما قال عارف قط يا رباه إلا قبل أن يتحرك لسانه قام من باطنه قصد لا يلتفت يمنة ولا يسرة - يقصد الفوق - ,</w:t>
      </w:r>
      <w:r w:rsidR="000636C2">
        <w:rPr>
          <w:rFonts w:hint="cs"/>
          <w:rtl/>
        </w:rPr>
        <w:t xml:space="preserve"> </w:t>
      </w:r>
      <w:r w:rsidRPr="005675B2">
        <w:rPr>
          <w:rFonts w:hint="cs"/>
          <w:rtl/>
        </w:rPr>
        <w:t>فهل لهذا القصد الضروري عندك من حيلة فتنبئنا نتخلص من الفوق والتحت</w:t>
      </w:r>
      <w:r w:rsidR="000636C2">
        <w:rPr>
          <w:rFonts w:hint="cs"/>
          <w:rtl/>
        </w:rPr>
        <w:t>؟،</w:t>
      </w:r>
      <w:r w:rsidRPr="005675B2">
        <w:rPr>
          <w:rFonts w:hint="cs"/>
          <w:rtl/>
        </w:rPr>
        <w:t xml:space="preserve"> وبكيت</w:t>
      </w:r>
      <w:r w:rsidR="000636C2">
        <w:rPr>
          <w:rFonts w:hint="cs"/>
          <w:rtl/>
        </w:rPr>
        <w:t>،</w:t>
      </w:r>
      <w:r w:rsidRPr="005675B2">
        <w:rPr>
          <w:rFonts w:hint="cs"/>
          <w:rtl/>
        </w:rPr>
        <w:t xml:space="preserve"> وبكى الخلق</w:t>
      </w:r>
      <w:r w:rsidR="000636C2">
        <w:rPr>
          <w:rFonts w:hint="cs"/>
          <w:rtl/>
        </w:rPr>
        <w:t>،</w:t>
      </w:r>
      <w:r w:rsidRPr="005675B2">
        <w:rPr>
          <w:rFonts w:hint="cs"/>
          <w:rtl/>
        </w:rPr>
        <w:t xml:space="preserve"> فضرب بكمه على السرير</w:t>
      </w:r>
      <w:r w:rsidR="000636C2">
        <w:rPr>
          <w:rFonts w:hint="cs"/>
          <w:rtl/>
        </w:rPr>
        <w:t>،</w:t>
      </w:r>
      <w:r w:rsidRPr="005675B2">
        <w:rPr>
          <w:rFonts w:hint="cs"/>
          <w:rtl/>
        </w:rPr>
        <w:t xml:space="preserve"> وصاح بالحيرة</w:t>
      </w:r>
      <w:r w:rsidR="000636C2">
        <w:rPr>
          <w:rFonts w:hint="cs"/>
          <w:rtl/>
        </w:rPr>
        <w:t>،</w:t>
      </w:r>
      <w:r w:rsidRPr="005675B2">
        <w:rPr>
          <w:rFonts w:hint="cs"/>
          <w:rtl/>
        </w:rPr>
        <w:t xml:space="preserve"> ومزق ما كان عليه</w:t>
      </w:r>
      <w:r w:rsidR="000636C2">
        <w:rPr>
          <w:rFonts w:hint="cs"/>
          <w:rtl/>
        </w:rPr>
        <w:t>،</w:t>
      </w:r>
      <w:r w:rsidRPr="005675B2">
        <w:rPr>
          <w:rFonts w:hint="cs"/>
          <w:rtl/>
        </w:rPr>
        <w:t xml:space="preserve"> وصارت قيامة في المسجد</w:t>
      </w:r>
      <w:r w:rsidR="000636C2">
        <w:rPr>
          <w:rFonts w:hint="cs"/>
          <w:rtl/>
        </w:rPr>
        <w:t>،</w:t>
      </w:r>
      <w:r w:rsidRPr="005675B2">
        <w:rPr>
          <w:rFonts w:hint="cs"/>
          <w:rtl/>
        </w:rPr>
        <w:t xml:space="preserve"> ونزل يقول</w:t>
      </w:r>
      <w:r w:rsidR="000636C2">
        <w:rPr>
          <w:rFonts w:hint="cs"/>
          <w:rtl/>
        </w:rPr>
        <w:t>:</w:t>
      </w:r>
      <w:r w:rsidRPr="005675B2">
        <w:rPr>
          <w:rFonts w:hint="cs"/>
          <w:rtl/>
        </w:rPr>
        <w:t xml:space="preserve"> يا حبيبي</w:t>
      </w:r>
      <w:r w:rsidR="000636C2">
        <w:rPr>
          <w:rFonts w:hint="cs"/>
          <w:rtl/>
        </w:rPr>
        <w:t>،</w:t>
      </w:r>
      <w:r w:rsidRPr="005675B2">
        <w:rPr>
          <w:rFonts w:hint="cs"/>
          <w:rtl/>
        </w:rPr>
        <w:t xml:space="preserve"> الحيرة الحيرة</w:t>
      </w:r>
      <w:r w:rsidR="000636C2">
        <w:rPr>
          <w:rFonts w:hint="cs"/>
          <w:rtl/>
        </w:rPr>
        <w:t>،</w:t>
      </w:r>
      <w:r w:rsidRPr="005675B2">
        <w:rPr>
          <w:rFonts w:hint="cs"/>
          <w:rtl/>
        </w:rPr>
        <w:t xml:space="preserve"> والدهشة الدهشة </w:t>
      </w:r>
      <w:r w:rsidR="000636C2">
        <w:rPr>
          <w:rFonts w:hint="cs"/>
          <w:rtl/>
        </w:rPr>
        <w:t>[</w:t>
      </w:r>
      <w:r w:rsidRPr="005675B2">
        <w:rPr>
          <w:rFonts w:hint="cs"/>
          <w:bCs/>
          <w:sz w:val="24"/>
          <w:szCs w:val="24"/>
          <w:rtl/>
        </w:rPr>
        <w:t>سير أعلام النبلاء للذهبي: 18 / 477</w:t>
      </w:r>
      <w:r w:rsidR="000636C2">
        <w:rPr>
          <w:rFonts w:hint="cs"/>
          <w:bCs/>
          <w:sz w:val="24"/>
          <w:szCs w:val="24"/>
          <w:rtl/>
        </w:rPr>
        <w:t>،</w:t>
      </w:r>
      <w:r w:rsidRPr="005675B2">
        <w:rPr>
          <w:rFonts w:hint="cs"/>
          <w:bCs/>
          <w:sz w:val="24"/>
          <w:szCs w:val="24"/>
          <w:rtl/>
        </w:rPr>
        <w:t xml:space="preserve"> وانظر: 18 / 474 – 475</w:t>
      </w:r>
      <w:r w:rsidR="000636C2">
        <w:rPr>
          <w:rFonts w:hint="cs"/>
          <w:bCs/>
          <w:sz w:val="24"/>
          <w:szCs w:val="24"/>
          <w:rtl/>
        </w:rPr>
        <w:t>]</w:t>
      </w:r>
      <w:r w:rsidR="000636C2">
        <w:rPr>
          <w:rFonts w:hint="cs"/>
          <w:rtl/>
        </w:rPr>
        <w:t>،</w:t>
      </w:r>
      <w:r w:rsidRPr="005675B2">
        <w:rPr>
          <w:rFonts w:hint="cs"/>
          <w:rtl/>
        </w:rPr>
        <w:t xml:space="preserve"> وفي الطريق الآخر أنه قال فيما بعد</w:t>
      </w:r>
      <w:r w:rsidR="000636C2">
        <w:rPr>
          <w:rFonts w:hint="cs"/>
          <w:rtl/>
        </w:rPr>
        <w:t>:</w:t>
      </w:r>
      <w:r w:rsidRPr="005675B2">
        <w:rPr>
          <w:rFonts w:hint="cs"/>
          <w:rtl/>
        </w:rPr>
        <w:t xml:space="preserve"> حيرني الهمذاني</w:t>
      </w:r>
      <w:r w:rsidR="000636C2">
        <w:rPr>
          <w:rFonts w:hint="cs"/>
          <w:rtl/>
        </w:rPr>
        <w:t xml:space="preserve">، </w:t>
      </w:r>
      <w:r w:rsidRPr="005675B2">
        <w:rPr>
          <w:rFonts w:hint="cs"/>
          <w:rtl/>
        </w:rPr>
        <w:t>وهي قصة لا تثبت سنداً ولا متناً</w:t>
      </w:r>
      <w:r w:rsidR="000636C2">
        <w:rPr>
          <w:rFonts w:hint="cs"/>
          <w:rtl/>
        </w:rPr>
        <w:t xml:space="preserve">: </w:t>
      </w:r>
      <w:r w:rsidRPr="005675B2">
        <w:rPr>
          <w:rFonts w:hint="cs"/>
          <w:rtl/>
        </w:rPr>
        <w:t xml:space="preserve">أما متناً فانظر إلى صياغة هذه المسرحية </w:t>
      </w:r>
      <w:r w:rsidR="000636C2">
        <w:rPr>
          <w:rFonts w:hint="cs"/>
          <w:rtl/>
        </w:rPr>
        <w:t>(</w:t>
      </w:r>
      <w:r w:rsidRPr="005675B2">
        <w:rPr>
          <w:rFonts w:hint="cs"/>
          <w:rtl/>
        </w:rPr>
        <w:t>1</w:t>
      </w:r>
      <w:r w:rsidR="000636C2">
        <w:rPr>
          <w:rFonts w:hint="cs"/>
          <w:rtl/>
        </w:rPr>
        <w:t xml:space="preserve"> </w:t>
      </w:r>
      <w:r w:rsidRPr="005675B2">
        <w:rPr>
          <w:rFonts w:hint="cs"/>
          <w:rtl/>
        </w:rPr>
        <w:t>- صاح بالحيرة</w:t>
      </w:r>
      <w:r w:rsidR="000636C2">
        <w:rPr>
          <w:rFonts w:hint="cs"/>
          <w:rtl/>
        </w:rPr>
        <w:t>،</w:t>
      </w:r>
      <w:r w:rsidRPr="005675B2">
        <w:rPr>
          <w:rFonts w:hint="cs"/>
          <w:rtl/>
        </w:rPr>
        <w:t xml:space="preserve"> 2</w:t>
      </w:r>
      <w:r w:rsidR="000636C2">
        <w:rPr>
          <w:rFonts w:hint="cs"/>
          <w:rtl/>
        </w:rPr>
        <w:t xml:space="preserve"> </w:t>
      </w:r>
      <w:r w:rsidRPr="005675B2">
        <w:rPr>
          <w:rFonts w:hint="cs"/>
          <w:rtl/>
        </w:rPr>
        <w:t>- ومزق ما كان عليه</w:t>
      </w:r>
      <w:r w:rsidR="000636C2">
        <w:rPr>
          <w:rFonts w:hint="cs"/>
          <w:rtl/>
        </w:rPr>
        <w:t>،</w:t>
      </w:r>
      <w:r w:rsidRPr="005675B2">
        <w:rPr>
          <w:rFonts w:hint="cs"/>
          <w:rtl/>
        </w:rPr>
        <w:t xml:space="preserve"> وصارت قيامة في المسجد</w:t>
      </w:r>
      <w:r w:rsidR="000636C2">
        <w:rPr>
          <w:rFonts w:hint="cs"/>
          <w:rtl/>
        </w:rPr>
        <w:t>،</w:t>
      </w:r>
      <w:r w:rsidRPr="005675B2">
        <w:rPr>
          <w:rFonts w:hint="cs"/>
          <w:rtl/>
        </w:rPr>
        <w:t xml:space="preserve"> 3</w:t>
      </w:r>
      <w:r w:rsidR="000636C2">
        <w:rPr>
          <w:rFonts w:hint="cs"/>
          <w:rtl/>
        </w:rPr>
        <w:t xml:space="preserve"> </w:t>
      </w:r>
      <w:r w:rsidRPr="005675B2">
        <w:rPr>
          <w:rFonts w:hint="cs"/>
          <w:rtl/>
        </w:rPr>
        <w:t>- ونزل يقول</w:t>
      </w:r>
      <w:r w:rsidR="000636C2">
        <w:rPr>
          <w:rFonts w:hint="cs"/>
          <w:rtl/>
        </w:rPr>
        <w:t>:</w:t>
      </w:r>
      <w:r w:rsidRPr="005675B2">
        <w:rPr>
          <w:rFonts w:hint="cs"/>
          <w:rtl/>
        </w:rPr>
        <w:t xml:space="preserve"> يا حبيبي</w:t>
      </w:r>
      <w:r w:rsidR="000636C2">
        <w:rPr>
          <w:rFonts w:hint="cs"/>
          <w:rtl/>
        </w:rPr>
        <w:t>،</w:t>
      </w:r>
      <w:r w:rsidRPr="005675B2">
        <w:rPr>
          <w:rFonts w:hint="cs"/>
          <w:rtl/>
        </w:rPr>
        <w:t xml:space="preserve"> الحيرة الحيرة</w:t>
      </w:r>
      <w:r w:rsidR="000636C2">
        <w:rPr>
          <w:rFonts w:hint="cs"/>
          <w:rtl/>
        </w:rPr>
        <w:t>،</w:t>
      </w:r>
      <w:r w:rsidRPr="005675B2">
        <w:rPr>
          <w:rFonts w:hint="cs"/>
          <w:rtl/>
        </w:rPr>
        <w:t xml:space="preserve"> والدهشة الدهشة</w:t>
      </w:r>
      <w:r w:rsidR="000636C2">
        <w:rPr>
          <w:rFonts w:hint="cs"/>
          <w:rtl/>
        </w:rPr>
        <w:t>،!</w:t>
      </w:r>
      <w:r w:rsidRPr="005675B2">
        <w:rPr>
          <w:rFonts w:hint="cs"/>
          <w:rtl/>
        </w:rPr>
        <w:t>!</w:t>
      </w:r>
      <w:r w:rsidR="000636C2">
        <w:rPr>
          <w:rFonts w:hint="cs"/>
          <w:rtl/>
        </w:rPr>
        <w:t xml:space="preserve"> </w:t>
      </w:r>
      <w:r w:rsidRPr="005675B2">
        <w:rPr>
          <w:rFonts w:hint="cs"/>
          <w:rtl/>
        </w:rPr>
        <w:t>يقوله من</w:t>
      </w:r>
      <w:r w:rsidR="000636C2">
        <w:rPr>
          <w:rFonts w:hint="cs"/>
          <w:rtl/>
        </w:rPr>
        <w:t>؟!</w:t>
      </w:r>
      <w:r w:rsidRPr="005675B2">
        <w:rPr>
          <w:rFonts w:hint="cs"/>
          <w:rtl/>
        </w:rPr>
        <w:t>!</w:t>
      </w:r>
      <w:r w:rsidR="000636C2">
        <w:rPr>
          <w:rFonts w:hint="cs"/>
          <w:rtl/>
        </w:rPr>
        <w:t xml:space="preserve"> </w:t>
      </w:r>
      <w:r w:rsidRPr="005675B2">
        <w:rPr>
          <w:rFonts w:hint="cs"/>
          <w:rtl/>
        </w:rPr>
        <w:t>إمام من أئمة الأمة في الفقه والاعتقاد</w:t>
      </w:r>
      <w:r w:rsidR="000636C2">
        <w:rPr>
          <w:rFonts w:hint="cs"/>
          <w:rtl/>
        </w:rPr>
        <w:t>،!</w:t>
      </w:r>
      <w:r w:rsidRPr="005675B2">
        <w:rPr>
          <w:rFonts w:hint="cs"/>
          <w:rtl/>
        </w:rPr>
        <w:t>!</w:t>
      </w:r>
      <w:r w:rsidR="000636C2">
        <w:rPr>
          <w:rFonts w:hint="cs"/>
          <w:rtl/>
        </w:rPr>
        <w:t xml:space="preserve"> </w:t>
      </w:r>
      <w:r w:rsidRPr="005675B2">
        <w:rPr>
          <w:rFonts w:hint="cs"/>
          <w:rtl/>
        </w:rPr>
        <w:t>أما من جهة السندفأتت بسندين</w:t>
      </w:r>
      <w:r w:rsidR="000636C2">
        <w:rPr>
          <w:rFonts w:hint="cs"/>
          <w:rtl/>
        </w:rPr>
        <w:t>:</w:t>
      </w:r>
      <w:r w:rsidRPr="005675B2">
        <w:rPr>
          <w:rFonts w:hint="cs"/>
          <w:rtl/>
        </w:rPr>
        <w:t xml:space="preserve"> الأول</w:t>
      </w:r>
      <w:r w:rsidR="000636C2">
        <w:rPr>
          <w:rFonts w:hint="cs"/>
          <w:rtl/>
        </w:rPr>
        <w:t>:</w:t>
      </w:r>
      <w:r w:rsidRPr="005675B2">
        <w:rPr>
          <w:rFonts w:hint="cs"/>
          <w:rtl/>
        </w:rPr>
        <w:t xml:space="preserve"> ضعيف لأن</w:t>
      </w:r>
      <w:r w:rsidR="000636C2">
        <w:rPr>
          <w:rFonts w:hint="cs"/>
          <w:rtl/>
        </w:rPr>
        <w:t xml:space="preserve"> </w:t>
      </w:r>
      <w:r w:rsidRPr="005675B2">
        <w:rPr>
          <w:rFonts w:hint="cs"/>
          <w:rtl/>
        </w:rPr>
        <w:t>الذهبي الذي أورد القصة نقلها عن أبي منصور بن الوليد فالذهبي</w:t>
      </w:r>
      <w:r w:rsidR="000636C2">
        <w:rPr>
          <w:rFonts w:hint="cs"/>
          <w:rtl/>
        </w:rPr>
        <w:t xml:space="preserve"> </w:t>
      </w:r>
      <w:r w:rsidRPr="005675B2">
        <w:rPr>
          <w:rFonts w:hint="cs"/>
          <w:rtl/>
        </w:rPr>
        <w:t>ولد</w:t>
      </w:r>
      <w:r w:rsidR="000636C2">
        <w:rPr>
          <w:rFonts w:hint="cs"/>
          <w:rtl/>
        </w:rPr>
        <w:t>:</w:t>
      </w:r>
      <w:r w:rsidRPr="005675B2">
        <w:rPr>
          <w:rFonts w:hint="cs"/>
          <w:rtl/>
        </w:rPr>
        <w:t xml:space="preserve"> 673 ه</w:t>
      </w:r>
      <w:r w:rsidR="000636C2">
        <w:rPr>
          <w:rFonts w:hint="cs"/>
          <w:rtl/>
        </w:rPr>
        <w:t xml:space="preserve"> </w:t>
      </w:r>
      <w:r w:rsidRPr="005675B2">
        <w:rPr>
          <w:rFonts w:hint="cs"/>
          <w:rtl/>
        </w:rPr>
        <w:t>- وتوفي</w:t>
      </w:r>
      <w:r w:rsidR="000636C2">
        <w:rPr>
          <w:rFonts w:hint="cs"/>
          <w:rtl/>
        </w:rPr>
        <w:t>:</w:t>
      </w:r>
      <w:r w:rsidRPr="005675B2">
        <w:rPr>
          <w:rFonts w:hint="cs"/>
          <w:rtl/>
        </w:rPr>
        <w:t xml:space="preserve"> 748 ه</w:t>
      </w:r>
      <w:r w:rsidR="000636C2">
        <w:rPr>
          <w:rFonts w:hint="cs"/>
          <w:rtl/>
        </w:rPr>
        <w:t xml:space="preserve"> </w:t>
      </w:r>
      <w:r w:rsidRPr="005675B2">
        <w:rPr>
          <w:rFonts w:hint="cs"/>
          <w:rtl/>
        </w:rPr>
        <w:t>-</w:t>
      </w:r>
      <w:r w:rsidR="000636C2">
        <w:rPr>
          <w:rFonts w:hint="cs"/>
          <w:rtl/>
        </w:rPr>
        <w:t xml:space="preserve"> </w:t>
      </w:r>
      <w:r w:rsidRPr="005675B2">
        <w:rPr>
          <w:rFonts w:hint="cs"/>
          <w:rtl/>
        </w:rPr>
        <w:t>وأبو منصور بن الوليد الحريمي الحنبلي الذي روى عنه</w:t>
      </w:r>
      <w:r w:rsidRPr="005675B2">
        <w:rPr>
          <w:rFonts w:hint="cs"/>
        </w:rPr>
        <w:t xml:space="preserve"> </w:t>
      </w:r>
      <w:r w:rsidRPr="005675B2">
        <w:rPr>
          <w:rFonts w:hint="cs"/>
          <w:rtl/>
        </w:rPr>
        <w:t>الذهبي القصة</w:t>
      </w:r>
      <w:r w:rsidR="000636C2">
        <w:rPr>
          <w:rFonts w:hint="cs"/>
          <w:rtl/>
        </w:rPr>
        <w:t>:</w:t>
      </w:r>
      <w:r w:rsidRPr="005675B2">
        <w:t xml:space="preserve"> </w:t>
      </w:r>
      <w:r w:rsidRPr="005675B2">
        <w:rPr>
          <w:rFonts w:hint="cs"/>
          <w:rtl/>
        </w:rPr>
        <w:t>توفي</w:t>
      </w:r>
      <w:r w:rsidR="000636C2">
        <w:rPr>
          <w:rFonts w:hint="cs"/>
          <w:rtl/>
        </w:rPr>
        <w:t>:</w:t>
      </w:r>
      <w:r w:rsidRPr="005675B2">
        <w:rPr>
          <w:rFonts w:hint="cs"/>
          <w:rtl/>
        </w:rPr>
        <w:t xml:space="preserve"> 643 ه</w:t>
      </w:r>
      <w:r w:rsidR="000636C2">
        <w:rPr>
          <w:rFonts w:hint="cs"/>
          <w:rtl/>
        </w:rPr>
        <w:t xml:space="preserve"> </w:t>
      </w:r>
      <w:r w:rsidRPr="005675B2">
        <w:rPr>
          <w:rFonts w:hint="cs"/>
          <w:rtl/>
        </w:rPr>
        <w:t>- أي أن الحريمي توفي قبل ولادة الذهبي</w:t>
      </w:r>
      <w:r w:rsidRPr="005675B2">
        <w:rPr>
          <w:rFonts w:hint="cs"/>
        </w:rPr>
        <w:t xml:space="preserve"> </w:t>
      </w:r>
      <w:r w:rsidRPr="005675B2">
        <w:rPr>
          <w:rFonts w:hint="cs"/>
          <w:rtl/>
        </w:rPr>
        <w:t>بثلاثين عاماً</w:t>
      </w:r>
      <w:r w:rsidR="000636C2">
        <w:rPr>
          <w:rFonts w:hint="cs"/>
          <w:rtl/>
        </w:rPr>
        <w:t>،</w:t>
      </w:r>
      <w:r w:rsidRPr="005675B2">
        <w:rPr>
          <w:rFonts w:hint="cs"/>
          <w:rtl/>
        </w:rPr>
        <w:t xml:space="preserve"> فيعني ذلك أن الذهبي لم يسمع منه القصة بنفسه مباشرة</w:t>
      </w:r>
      <w:r w:rsidR="000636C2">
        <w:rPr>
          <w:rFonts w:hint="cs"/>
          <w:rtl/>
        </w:rPr>
        <w:t>!</w:t>
      </w:r>
      <w:r w:rsidRPr="005675B2">
        <w:t xml:space="preserve">! </w:t>
      </w:r>
      <w:r w:rsidRPr="005675B2">
        <w:rPr>
          <w:rFonts w:hint="cs"/>
          <w:rtl/>
        </w:rPr>
        <w:t>وكتاب</w:t>
      </w:r>
      <w:r w:rsidR="000636C2">
        <w:rPr>
          <w:rtl/>
        </w:rPr>
        <w:t xml:space="preserve"> </w:t>
      </w:r>
      <w:r w:rsidRPr="005675B2">
        <w:rPr>
          <w:rFonts w:hint="cs"/>
          <w:rtl/>
        </w:rPr>
        <w:t>العلو</w:t>
      </w:r>
      <w:r w:rsidR="000636C2">
        <w:rPr>
          <w:rFonts w:hint="cs"/>
          <w:rtl/>
        </w:rPr>
        <w:t xml:space="preserve"> </w:t>
      </w:r>
      <w:r w:rsidRPr="005675B2">
        <w:rPr>
          <w:rFonts w:hint="cs"/>
          <w:rtl/>
        </w:rPr>
        <w:t>ألفه الذهبي في عشرينيات عمره</w:t>
      </w:r>
      <w:r w:rsidR="000636C2">
        <w:rPr>
          <w:rFonts w:hint="cs"/>
          <w:rtl/>
        </w:rPr>
        <w:t>!</w:t>
      </w:r>
      <w:r w:rsidRPr="005675B2">
        <w:t xml:space="preserve">! </w:t>
      </w:r>
      <w:r w:rsidRPr="005675B2">
        <w:rPr>
          <w:rFonts w:hint="cs"/>
          <w:rtl/>
        </w:rPr>
        <w:t>أي بعد أكثر من خمسين عاماً من وفاة</w:t>
      </w:r>
      <w:r w:rsidRPr="005675B2">
        <w:rPr>
          <w:rFonts w:hint="cs"/>
        </w:rPr>
        <w:t xml:space="preserve"> </w:t>
      </w:r>
      <w:r w:rsidRPr="005675B2">
        <w:rPr>
          <w:rFonts w:hint="cs"/>
          <w:rtl/>
        </w:rPr>
        <w:t>الحريمي</w:t>
      </w:r>
      <w:r w:rsidR="000636C2">
        <w:rPr>
          <w:rFonts w:hint="cs"/>
          <w:rtl/>
        </w:rPr>
        <w:t>،</w:t>
      </w:r>
      <w:r w:rsidRPr="005675B2">
        <w:rPr>
          <w:rFonts w:hint="cs"/>
          <w:rtl/>
          <w:lang w:bidi="ar-KW"/>
        </w:rPr>
        <w:t xml:space="preserve"> </w:t>
      </w:r>
      <w:r w:rsidRPr="005675B2">
        <w:rPr>
          <w:rFonts w:hint="cs"/>
          <w:rtl/>
        </w:rPr>
        <w:t>والحريمي وجه رسالة إلى الزنجاني نقل عنها الذهبي هذا</w:t>
      </w:r>
      <w:r w:rsidRPr="005675B2">
        <w:rPr>
          <w:rFonts w:hint="cs"/>
        </w:rPr>
        <w:t xml:space="preserve"> </w:t>
      </w:r>
      <w:r w:rsidRPr="005675B2">
        <w:rPr>
          <w:rFonts w:hint="cs"/>
          <w:rtl/>
        </w:rPr>
        <w:t>الكلام</w:t>
      </w:r>
      <w:r w:rsidR="000636C2">
        <w:rPr>
          <w:rtl/>
        </w:rPr>
        <w:t xml:space="preserve"> </w:t>
      </w:r>
      <w:r w:rsidRPr="005675B2">
        <w:rPr>
          <w:rFonts w:hint="cs"/>
          <w:rtl/>
        </w:rPr>
        <w:t>لكن الزنجاني الموجهة إليه الرسالة هنا هو</w:t>
      </w:r>
      <w:r w:rsidR="000636C2">
        <w:rPr>
          <w:rFonts w:hint="cs"/>
          <w:rtl/>
        </w:rPr>
        <w:t xml:space="preserve"> </w:t>
      </w:r>
      <w:r w:rsidRPr="005675B2">
        <w:rPr>
          <w:rFonts w:hint="cs"/>
          <w:rtl/>
        </w:rPr>
        <w:t>سعد بن</w:t>
      </w:r>
      <w:r w:rsidRPr="005675B2">
        <w:rPr>
          <w:rFonts w:hint="cs"/>
        </w:rPr>
        <w:t xml:space="preserve"> </w:t>
      </w:r>
      <w:r w:rsidRPr="005675B2">
        <w:rPr>
          <w:rFonts w:hint="cs"/>
          <w:rtl/>
        </w:rPr>
        <w:t>علي الزنجاني</w:t>
      </w:r>
      <w:r w:rsidR="000636C2">
        <w:rPr>
          <w:rFonts w:hint="cs"/>
          <w:rtl/>
        </w:rPr>
        <w:t>:</w:t>
      </w:r>
      <w:r w:rsidRPr="005675B2">
        <w:t xml:space="preserve"> </w:t>
      </w:r>
      <w:r w:rsidRPr="005675B2">
        <w:rPr>
          <w:rFonts w:hint="cs"/>
          <w:rtl/>
        </w:rPr>
        <w:t>ولد</w:t>
      </w:r>
      <w:r w:rsidR="000636C2">
        <w:rPr>
          <w:rFonts w:hint="cs"/>
          <w:rtl/>
        </w:rPr>
        <w:t>:</w:t>
      </w:r>
      <w:r w:rsidRPr="005675B2">
        <w:rPr>
          <w:rFonts w:hint="cs"/>
          <w:rtl/>
        </w:rPr>
        <w:t xml:space="preserve"> 380 ه</w:t>
      </w:r>
      <w:r w:rsidR="000636C2">
        <w:rPr>
          <w:rFonts w:hint="cs"/>
          <w:rtl/>
        </w:rPr>
        <w:t xml:space="preserve"> </w:t>
      </w:r>
      <w:r w:rsidRPr="005675B2">
        <w:rPr>
          <w:rFonts w:hint="cs"/>
          <w:rtl/>
        </w:rPr>
        <w:t>- توفي</w:t>
      </w:r>
      <w:r w:rsidR="000636C2">
        <w:rPr>
          <w:rFonts w:hint="cs"/>
          <w:rtl/>
        </w:rPr>
        <w:t>:</w:t>
      </w:r>
      <w:r w:rsidRPr="005675B2">
        <w:rPr>
          <w:rFonts w:hint="cs"/>
          <w:rtl/>
        </w:rPr>
        <w:t xml:space="preserve"> 471 ه</w:t>
      </w:r>
      <w:r w:rsidR="000636C2">
        <w:rPr>
          <w:rFonts w:hint="cs"/>
          <w:rtl/>
        </w:rPr>
        <w:t xml:space="preserve"> </w:t>
      </w:r>
      <w:r w:rsidRPr="005675B2">
        <w:rPr>
          <w:rFonts w:hint="cs"/>
          <w:rtl/>
        </w:rPr>
        <w:t>- فتأمل</w:t>
      </w:r>
      <w:r w:rsidR="000636C2">
        <w:rPr>
          <w:rFonts w:hint="cs"/>
          <w:rtl/>
        </w:rPr>
        <w:t>!</w:t>
      </w:r>
    </w:p>
    <w:p w14:paraId="06467C40" w14:textId="64E5CDE7" w:rsidR="009C32A0" w:rsidRPr="005675B2" w:rsidRDefault="009C32A0" w:rsidP="000636C2">
      <w:pPr>
        <w:rPr>
          <w:b/>
          <w:rtl/>
        </w:rPr>
      </w:pPr>
      <w:r w:rsidRPr="005675B2">
        <w:rPr>
          <w:rFonts w:hint="cs"/>
          <w:rtl/>
        </w:rPr>
        <w:t>السند الثاني</w:t>
      </w:r>
      <w:r w:rsidR="000636C2">
        <w:rPr>
          <w:rFonts w:hint="cs"/>
          <w:rtl/>
        </w:rPr>
        <w:t>:</w:t>
      </w:r>
      <w:r w:rsidRPr="005675B2">
        <w:rPr>
          <w:rFonts w:hint="cs"/>
          <w:rtl/>
        </w:rPr>
        <w:t xml:space="preserve"> ضعيف أيضاً</w:t>
      </w:r>
      <w:r w:rsidR="000636C2">
        <w:rPr>
          <w:rFonts w:hint="cs"/>
          <w:rtl/>
        </w:rPr>
        <w:t xml:space="preserve"> </w:t>
      </w:r>
      <w:r w:rsidRPr="005675B2">
        <w:rPr>
          <w:rFonts w:hint="cs"/>
          <w:rtl/>
        </w:rPr>
        <w:t>أوردها</w:t>
      </w:r>
      <w:r w:rsidR="000636C2">
        <w:rPr>
          <w:rFonts w:hint="cs"/>
          <w:rtl/>
        </w:rPr>
        <w:t xml:space="preserve"> </w:t>
      </w:r>
      <w:r w:rsidRPr="005675B2">
        <w:rPr>
          <w:rFonts w:hint="cs"/>
          <w:rtl/>
        </w:rPr>
        <w:t>أيضا الذهبي في السير</w:t>
      </w:r>
      <w:r w:rsidR="000636C2">
        <w:rPr>
          <w:rFonts w:hint="cs"/>
          <w:rtl/>
        </w:rPr>
        <w:t>:</w:t>
      </w:r>
      <w:r w:rsidRPr="005675B2">
        <w:rPr>
          <w:rFonts w:hint="cs"/>
        </w:rPr>
        <w:t xml:space="preserve"> </w:t>
      </w:r>
      <w:r w:rsidRPr="005675B2">
        <w:rPr>
          <w:rFonts w:hint="cs"/>
          <w:rtl/>
        </w:rPr>
        <w:t>أخبرنا يحيى بن أبي منصور</w:t>
      </w:r>
      <w:r w:rsidRPr="005675B2">
        <w:rPr>
          <w:rFonts w:hint="cs"/>
        </w:rPr>
        <w:t xml:space="preserve"> </w:t>
      </w:r>
      <w:r w:rsidRPr="005675B2">
        <w:rPr>
          <w:rFonts w:hint="cs"/>
          <w:rtl/>
        </w:rPr>
        <w:t>الفقيه في كتابه، عن عبد القادر الحافظ، أخبرنا أبو العلاء الهمذاني، أخبرني أبو</w:t>
      </w:r>
      <w:r w:rsidRPr="005675B2">
        <w:rPr>
          <w:rFonts w:hint="cs"/>
        </w:rPr>
        <w:t xml:space="preserve"> </w:t>
      </w:r>
      <w:r w:rsidRPr="005675B2">
        <w:rPr>
          <w:rFonts w:hint="cs"/>
          <w:rtl/>
        </w:rPr>
        <w:t>جعفر الحافظ، سمعت أبا المعالي وسئل عن قوله</w:t>
      </w:r>
      <w:r w:rsidR="000636C2">
        <w:rPr>
          <w:rFonts w:hint="cs"/>
          <w:rtl/>
        </w:rPr>
        <w:t>:</w:t>
      </w:r>
      <w:r w:rsidRPr="005675B2">
        <w:rPr>
          <w:rFonts w:hint="cs"/>
          <w:rtl/>
        </w:rPr>
        <w:t xml:space="preserve"> "الرَّحْمنُ عَلى العَرْشِ" طه ..</w:t>
      </w:r>
      <w:r w:rsidR="000636C2">
        <w:rPr>
          <w:rFonts w:hint="cs"/>
          <w:rtl/>
        </w:rPr>
        <w:t>،</w:t>
      </w:r>
      <w:r w:rsidRPr="005675B2">
        <w:rPr>
          <w:rFonts w:hint="cs"/>
          <w:rtl/>
        </w:rPr>
        <w:t xml:space="preserve"> إلخ يقول الذهبي أخبرنا</w:t>
      </w:r>
      <w:r w:rsidR="000636C2">
        <w:rPr>
          <w:rFonts w:hint="cs"/>
          <w:rtl/>
        </w:rPr>
        <w:t xml:space="preserve"> </w:t>
      </w:r>
      <w:r w:rsidRPr="005675B2">
        <w:rPr>
          <w:rFonts w:hint="cs"/>
          <w:rtl/>
        </w:rPr>
        <w:t>يحيى بن أبي منصور الفقيه</w:t>
      </w:r>
      <w:r w:rsidR="000636C2">
        <w:rPr>
          <w:rFonts w:hint="cs"/>
          <w:rtl/>
        </w:rPr>
        <w:t>:</w:t>
      </w:r>
      <w:r w:rsidRPr="005675B2">
        <w:t xml:space="preserve"> </w:t>
      </w:r>
      <w:r w:rsidRPr="005675B2">
        <w:rPr>
          <w:rFonts w:hint="cs"/>
          <w:rtl/>
        </w:rPr>
        <w:t>يحيى بن أبي منصور بن أبي الفتح بن رافع بن علي بن إبراهيم الصيرفي</w:t>
      </w:r>
      <w:r w:rsidRPr="005675B2">
        <w:rPr>
          <w:rFonts w:hint="cs"/>
        </w:rPr>
        <w:t xml:space="preserve"> </w:t>
      </w:r>
      <w:r w:rsidRPr="005675B2">
        <w:rPr>
          <w:rFonts w:hint="cs"/>
          <w:rtl/>
        </w:rPr>
        <w:t>الحراني الفقيه الحنبلي</w:t>
      </w:r>
      <w:r w:rsidR="000636C2">
        <w:rPr>
          <w:rFonts w:hint="cs"/>
          <w:rtl/>
        </w:rPr>
        <w:t>،</w:t>
      </w:r>
      <w:r w:rsidRPr="005675B2">
        <w:rPr>
          <w:rFonts w:hint="cs"/>
          <w:rtl/>
        </w:rPr>
        <w:t xml:space="preserve"> وانظر ترجمته في</w:t>
      </w:r>
      <w:r w:rsidR="000636C2">
        <w:rPr>
          <w:rFonts w:hint="cs"/>
          <w:rtl/>
        </w:rPr>
        <w:t xml:space="preserve"> </w:t>
      </w:r>
      <w:r w:rsidRPr="005675B2">
        <w:rPr>
          <w:rFonts w:hint="cs"/>
          <w:rtl/>
        </w:rPr>
        <w:t>ذيل طبقات الحنابلة</w:t>
      </w:r>
      <w:r w:rsidR="000636C2">
        <w:rPr>
          <w:rFonts w:hint="cs"/>
          <w:rtl/>
        </w:rPr>
        <w:t xml:space="preserve"> </w:t>
      </w:r>
      <w:r w:rsidRPr="005675B2">
        <w:rPr>
          <w:rFonts w:hint="cs"/>
          <w:rtl/>
        </w:rPr>
        <w:t>لابن رجب</w:t>
      </w:r>
      <w:r w:rsidR="000636C2">
        <w:rPr>
          <w:rFonts w:hint="cs"/>
          <w:rtl/>
        </w:rPr>
        <w:t>،</w:t>
      </w:r>
      <w:r w:rsidRPr="005675B2">
        <w:rPr>
          <w:rFonts w:hint="cs"/>
          <w:rtl/>
        </w:rPr>
        <w:t xml:space="preserve"> ولد</w:t>
      </w:r>
      <w:r w:rsidR="000636C2">
        <w:rPr>
          <w:rFonts w:hint="cs"/>
          <w:rtl/>
        </w:rPr>
        <w:t>:</w:t>
      </w:r>
      <w:r w:rsidRPr="005675B2">
        <w:rPr>
          <w:rFonts w:hint="cs"/>
          <w:rtl/>
        </w:rPr>
        <w:t xml:space="preserve"> 583ه</w:t>
      </w:r>
      <w:r w:rsidR="000636C2">
        <w:rPr>
          <w:rFonts w:hint="cs"/>
          <w:rtl/>
        </w:rPr>
        <w:t xml:space="preserve"> </w:t>
      </w:r>
      <w:r w:rsidRPr="005675B2">
        <w:rPr>
          <w:rFonts w:hint="cs"/>
          <w:rtl/>
        </w:rPr>
        <w:t>- توفي</w:t>
      </w:r>
      <w:r w:rsidR="000636C2">
        <w:rPr>
          <w:rFonts w:hint="cs"/>
          <w:rtl/>
        </w:rPr>
        <w:t>:</w:t>
      </w:r>
      <w:r w:rsidRPr="005675B2">
        <w:rPr>
          <w:rFonts w:hint="cs"/>
          <w:rtl/>
        </w:rPr>
        <w:t xml:space="preserve"> 678ه</w:t>
      </w:r>
      <w:r w:rsidR="000636C2">
        <w:rPr>
          <w:rFonts w:hint="cs"/>
          <w:rtl/>
        </w:rPr>
        <w:t xml:space="preserve"> </w:t>
      </w:r>
      <w:r w:rsidRPr="005675B2">
        <w:rPr>
          <w:rFonts w:hint="cs"/>
          <w:rtl/>
        </w:rPr>
        <w:t>- يحيى</w:t>
      </w:r>
      <w:r w:rsidRPr="005675B2">
        <w:rPr>
          <w:rFonts w:hint="cs"/>
        </w:rPr>
        <w:t xml:space="preserve"> </w:t>
      </w:r>
      <w:r w:rsidRPr="005675B2">
        <w:rPr>
          <w:rFonts w:hint="cs"/>
          <w:rtl/>
        </w:rPr>
        <w:t>الصيرفي الحنبلي الحراني وهذا</w:t>
      </w:r>
      <w:r w:rsidR="000636C2">
        <w:rPr>
          <w:rFonts w:hint="cs"/>
          <w:rtl/>
        </w:rPr>
        <w:t xml:space="preserve"> </w:t>
      </w:r>
      <w:r w:rsidRPr="005675B2">
        <w:rPr>
          <w:rFonts w:hint="cs"/>
          <w:rtl/>
        </w:rPr>
        <w:t>يعني أن</w:t>
      </w:r>
      <w:r w:rsidRPr="005675B2">
        <w:rPr>
          <w:rFonts w:hint="cs"/>
        </w:rPr>
        <w:t xml:space="preserve"> </w:t>
      </w:r>
      <w:r w:rsidRPr="005675B2">
        <w:rPr>
          <w:rFonts w:hint="cs"/>
          <w:rtl/>
        </w:rPr>
        <w:t>الذهبي لما توفي هذا الفقيه الحنبلي</w:t>
      </w:r>
      <w:r w:rsidR="000636C2">
        <w:rPr>
          <w:rFonts w:hint="cs"/>
          <w:rtl/>
        </w:rPr>
        <w:t xml:space="preserve"> </w:t>
      </w:r>
      <w:r w:rsidRPr="005675B2">
        <w:rPr>
          <w:rFonts w:hint="cs"/>
          <w:rtl/>
        </w:rPr>
        <w:t>كان له من العمر 5 سنوات فقط</w:t>
      </w:r>
      <w:r w:rsidR="000636C2">
        <w:rPr>
          <w:rFonts w:hint="cs"/>
          <w:rtl/>
        </w:rPr>
        <w:t>!</w:t>
      </w:r>
      <w:r w:rsidRPr="005675B2">
        <w:t xml:space="preserve"> </w:t>
      </w:r>
      <w:r w:rsidRPr="005675B2">
        <w:rPr>
          <w:rFonts w:hint="cs"/>
          <w:rtl/>
        </w:rPr>
        <w:t>فكيف</w:t>
      </w:r>
      <w:r w:rsidR="000636C2">
        <w:rPr>
          <w:rFonts w:hint="cs"/>
          <w:rtl/>
        </w:rPr>
        <w:t xml:space="preserve"> </w:t>
      </w:r>
      <w:r w:rsidRPr="005675B2">
        <w:rPr>
          <w:rFonts w:hint="cs"/>
          <w:rtl/>
        </w:rPr>
        <w:t>يروي طفل عمره خمس سنوات لا يميز</w:t>
      </w:r>
      <w:r w:rsidR="000636C2">
        <w:rPr>
          <w:rFonts w:hint="cs"/>
          <w:rtl/>
        </w:rPr>
        <w:t xml:space="preserve"> </w:t>
      </w:r>
      <w:r w:rsidRPr="005675B2">
        <w:rPr>
          <w:rFonts w:hint="cs"/>
          <w:rtl/>
        </w:rPr>
        <w:t>عن شيخ</w:t>
      </w:r>
      <w:r w:rsidRPr="005675B2">
        <w:rPr>
          <w:rFonts w:hint="cs"/>
        </w:rPr>
        <w:t xml:space="preserve"> </w:t>
      </w:r>
      <w:r w:rsidRPr="005675B2">
        <w:rPr>
          <w:rFonts w:hint="cs"/>
          <w:rtl/>
        </w:rPr>
        <w:t>متغير الحال</w:t>
      </w:r>
      <w:r w:rsidR="000636C2">
        <w:rPr>
          <w:rFonts w:hint="cs"/>
          <w:rtl/>
        </w:rPr>
        <w:t xml:space="preserve">؟ </w:t>
      </w:r>
      <w:r w:rsidRPr="005675B2">
        <w:rPr>
          <w:rFonts w:hint="cs"/>
          <w:rtl/>
        </w:rPr>
        <w:t>فإن الإمام</w:t>
      </w:r>
      <w:r w:rsidR="000636C2">
        <w:rPr>
          <w:rFonts w:hint="cs"/>
          <w:rtl/>
        </w:rPr>
        <w:t xml:space="preserve"> </w:t>
      </w:r>
      <w:r w:rsidRPr="005675B2">
        <w:rPr>
          <w:rFonts w:hint="cs"/>
          <w:rtl/>
        </w:rPr>
        <w:t>الصيرفي قد اختلط</w:t>
      </w:r>
      <w:r w:rsidRPr="005675B2">
        <w:rPr>
          <w:rFonts w:hint="cs"/>
        </w:rPr>
        <w:t xml:space="preserve"> </w:t>
      </w:r>
      <w:r w:rsidRPr="005675B2">
        <w:rPr>
          <w:rFonts w:hint="cs"/>
          <w:rtl/>
        </w:rPr>
        <w:t>آخر عمره فحجبه أبناؤه عن الناس</w:t>
      </w:r>
      <w:r w:rsidR="000636C2">
        <w:rPr>
          <w:rFonts w:hint="cs"/>
          <w:rtl/>
        </w:rPr>
        <w:t>،</w:t>
      </w:r>
      <w:r w:rsidRPr="005675B2">
        <w:rPr>
          <w:rFonts w:hint="cs"/>
          <w:rtl/>
        </w:rPr>
        <w:t xml:space="preserve"> فهو إذن لم يرى</w:t>
      </w:r>
      <w:r w:rsidR="000636C2">
        <w:rPr>
          <w:rFonts w:hint="cs"/>
          <w:rtl/>
        </w:rPr>
        <w:t xml:space="preserve"> </w:t>
      </w:r>
      <w:r w:rsidRPr="005675B2">
        <w:rPr>
          <w:rFonts w:hint="cs"/>
          <w:rtl/>
        </w:rPr>
        <w:t>أي شخص في آخر سنتين من</w:t>
      </w:r>
      <w:r w:rsidRPr="005675B2">
        <w:rPr>
          <w:rFonts w:hint="cs"/>
        </w:rPr>
        <w:t xml:space="preserve"> </w:t>
      </w:r>
      <w:r w:rsidRPr="005675B2">
        <w:rPr>
          <w:rFonts w:hint="cs"/>
          <w:rtl/>
        </w:rPr>
        <w:t>عمره ولم يره أحد</w:t>
      </w:r>
      <w:r w:rsidR="000636C2">
        <w:rPr>
          <w:rFonts w:hint="cs"/>
          <w:rtl/>
        </w:rPr>
        <w:t>،</w:t>
      </w:r>
      <w:r w:rsidRPr="005675B2">
        <w:rPr>
          <w:rFonts w:hint="cs"/>
          <w:rtl/>
        </w:rPr>
        <w:t xml:space="preserve"> وهذا يعني أن هذا</w:t>
      </w:r>
      <w:r w:rsidRPr="005675B2">
        <w:rPr>
          <w:rFonts w:hint="cs"/>
        </w:rPr>
        <w:t xml:space="preserve"> </w:t>
      </w:r>
      <w:r w:rsidRPr="005675B2">
        <w:rPr>
          <w:rFonts w:hint="cs"/>
          <w:rtl/>
        </w:rPr>
        <w:t>الفقيه الحنبلي غاب عن الناس وللذهبي ثلاثة</w:t>
      </w:r>
      <w:r w:rsidR="000636C2">
        <w:rPr>
          <w:rFonts w:hint="cs"/>
          <w:rtl/>
        </w:rPr>
        <w:t xml:space="preserve"> </w:t>
      </w:r>
      <w:r w:rsidRPr="005675B2">
        <w:rPr>
          <w:rFonts w:hint="cs"/>
          <w:rtl/>
        </w:rPr>
        <w:t>أعوام فقط</w:t>
      </w:r>
      <w:r w:rsidR="000636C2">
        <w:rPr>
          <w:rFonts w:hint="cs"/>
          <w:rtl/>
        </w:rPr>
        <w:t>،</w:t>
      </w:r>
      <w:r w:rsidRPr="005675B2">
        <w:rPr>
          <w:rFonts w:hint="cs"/>
          <w:rtl/>
        </w:rPr>
        <w:t xml:space="preserve"> يقول ابن رجب في ترجمته</w:t>
      </w:r>
      <w:r w:rsidR="000636C2">
        <w:rPr>
          <w:rFonts w:hint="cs"/>
          <w:rtl/>
        </w:rPr>
        <w:t>:</w:t>
      </w:r>
      <w:r w:rsidRPr="005675B2">
        <w:t xml:space="preserve"> </w:t>
      </w:r>
      <w:r w:rsidRPr="005675B2">
        <w:rPr>
          <w:rFonts w:hint="cs"/>
          <w:rtl/>
        </w:rPr>
        <w:t>وكان قد عمر وتغير من الهرم قبل موته</w:t>
      </w:r>
      <w:r w:rsidRPr="005675B2">
        <w:rPr>
          <w:rFonts w:hint="cs"/>
        </w:rPr>
        <w:t xml:space="preserve"> </w:t>
      </w:r>
      <w:r w:rsidRPr="005675B2">
        <w:rPr>
          <w:rFonts w:hint="cs"/>
          <w:rtl/>
        </w:rPr>
        <w:t>بعامين أو أكثر</w:t>
      </w:r>
      <w:r w:rsidR="000636C2">
        <w:rPr>
          <w:rFonts w:hint="cs"/>
          <w:rtl/>
        </w:rPr>
        <w:t>،</w:t>
      </w:r>
      <w:r w:rsidRPr="005675B2">
        <w:rPr>
          <w:rFonts w:hint="cs"/>
          <w:rtl/>
        </w:rPr>
        <w:t xml:space="preserve"> فحجبه ولده</w:t>
      </w:r>
      <w:r w:rsidR="000636C2">
        <w:rPr>
          <w:rFonts w:hint="cs"/>
          <w:rtl/>
        </w:rPr>
        <w:t>،</w:t>
      </w:r>
      <w:r w:rsidRPr="005675B2">
        <w:rPr>
          <w:rFonts w:hint="cs"/>
          <w:rtl/>
        </w:rPr>
        <w:t xml:space="preserve"> انظر ذيل طبقات الحنابلة</w:t>
      </w:r>
      <w:r w:rsidR="000636C2">
        <w:rPr>
          <w:rFonts w:hint="cs"/>
          <w:rtl/>
        </w:rPr>
        <w:t>،</w:t>
      </w:r>
      <w:r w:rsidRPr="005675B2">
        <w:rPr>
          <w:rFonts w:hint="cs"/>
          <w:rtl/>
        </w:rPr>
        <w:t xml:space="preserve"> والمعروف إذن أن الذهبي</w:t>
      </w:r>
      <w:r w:rsidR="000636C2">
        <w:rPr>
          <w:rFonts w:hint="cs"/>
          <w:rtl/>
        </w:rPr>
        <w:t>،</w:t>
      </w:r>
      <w:r w:rsidRPr="005675B2">
        <w:rPr>
          <w:rFonts w:hint="cs"/>
          <w:rtl/>
        </w:rPr>
        <w:t xml:space="preserve"> إنما روى عنه بالإجازة كما قال ابن رجب</w:t>
      </w:r>
      <w:r w:rsidR="000636C2">
        <w:rPr>
          <w:rFonts w:hint="cs"/>
          <w:rtl/>
        </w:rPr>
        <w:t>،</w:t>
      </w:r>
      <w:r w:rsidRPr="005675B2">
        <w:rPr>
          <w:rFonts w:hint="cs"/>
          <w:rtl/>
        </w:rPr>
        <w:t xml:space="preserve"> بل وهي في الإجازات من أضعف أنواع</w:t>
      </w:r>
      <w:r w:rsidRPr="005675B2">
        <w:rPr>
          <w:rFonts w:hint="cs"/>
        </w:rPr>
        <w:t xml:space="preserve"> </w:t>
      </w:r>
      <w:r w:rsidRPr="005675B2">
        <w:rPr>
          <w:rFonts w:hint="cs"/>
          <w:rtl/>
        </w:rPr>
        <w:t>الإجازة</w:t>
      </w:r>
      <w:r w:rsidR="000636C2">
        <w:rPr>
          <w:rFonts w:hint="cs"/>
          <w:rtl/>
        </w:rPr>
        <w:t>!</w:t>
      </w:r>
      <w:r w:rsidRPr="005675B2">
        <w:rPr>
          <w:rFonts w:hint="cs"/>
          <w:rtl/>
        </w:rPr>
        <w:t xml:space="preserve"> فبطل التعلق بهذه القصص الواهية سنداً ومتناً</w:t>
      </w:r>
      <w:r w:rsidR="000636C2">
        <w:rPr>
          <w:rFonts w:hint="cs"/>
          <w:rtl/>
        </w:rPr>
        <w:t>،</w:t>
      </w:r>
      <w:r w:rsidRPr="005675B2">
        <w:rPr>
          <w:rFonts w:hint="cs"/>
          <w:rtl/>
        </w:rPr>
        <w:t xml:space="preserve"> وبذا نعلم تعجل الشيخ الألباني في قوله بثبوتها</w:t>
      </w:r>
      <w:r w:rsidR="000636C2">
        <w:rPr>
          <w:rFonts w:hint="cs"/>
          <w:rtl/>
        </w:rPr>
        <w:t>،</w:t>
      </w:r>
    </w:p>
    <w:p w14:paraId="59196449" w14:textId="44AAB11F" w:rsidR="009C32A0" w:rsidRPr="005675B2" w:rsidRDefault="009C32A0" w:rsidP="000636C2">
      <w:pPr>
        <w:rPr>
          <w:b/>
        </w:rPr>
      </w:pPr>
      <w:r w:rsidRPr="005675B2">
        <w:rPr>
          <w:rFonts w:hint="cs"/>
          <w:snapToGrid w:val="0"/>
          <w:rtl/>
        </w:rPr>
        <w:t>تقييم الكاتب للإمام الحافظ ابن حجر العسقلاني</w:t>
      </w:r>
      <w:r w:rsidR="000636C2">
        <w:rPr>
          <w:rFonts w:hint="cs"/>
          <w:snapToGrid w:val="0"/>
          <w:rtl/>
        </w:rPr>
        <w:t>:</w:t>
      </w:r>
      <w:r w:rsidRPr="005675B2">
        <w:rPr>
          <w:rFonts w:hint="cs"/>
          <w:snapToGrid w:val="0"/>
          <w:rtl/>
        </w:rPr>
        <w:t xml:space="preserve"> </w:t>
      </w:r>
      <w:r w:rsidRPr="005675B2">
        <w:rPr>
          <w:rFonts w:hint="cs"/>
          <w:rtl/>
        </w:rPr>
        <w:t>قال الكاتب هداه الله</w:t>
      </w:r>
      <w:r w:rsidR="000636C2">
        <w:rPr>
          <w:rFonts w:hint="cs"/>
          <w:rtl/>
        </w:rPr>
        <w:t>:</w:t>
      </w:r>
      <w:r w:rsidRPr="005675B2">
        <w:rPr>
          <w:rFonts w:hint="cs"/>
          <w:rtl/>
        </w:rPr>
        <w:t xml:space="preserve"> والذي أراه أن الحافظ</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أقرب شيء إلى عقيدة مفوضة الحنابلة كأبي يعلى ونحوه ممن ذكرهم شيخ</w:t>
      </w:r>
      <w:r w:rsidRPr="005675B2">
        <w:rPr>
          <w:rFonts w:hint="cs"/>
        </w:rPr>
        <w:t xml:space="preserve"> </w:t>
      </w:r>
      <w:r w:rsidRPr="005675B2">
        <w:rPr>
          <w:rFonts w:hint="cs"/>
          <w:rtl/>
        </w:rPr>
        <w:t>الإسلام في درء تعارض العقل والنقل</w:t>
      </w:r>
      <w:r w:rsidR="000636C2">
        <w:rPr>
          <w:rFonts w:hint="cs"/>
          <w:rtl/>
        </w:rPr>
        <w:t xml:space="preserve"> </w:t>
      </w:r>
      <w:r w:rsidRPr="005675B2">
        <w:rPr>
          <w:rFonts w:hint="cs"/>
          <w:rtl/>
        </w:rPr>
        <w:t>ووصفهم بمحبة الآثار والتمسك بها</w:t>
      </w:r>
      <w:r w:rsidR="000636C2">
        <w:rPr>
          <w:rFonts w:hint="cs"/>
          <w:rtl/>
        </w:rPr>
        <w:t>،</w:t>
      </w:r>
      <w:r w:rsidRPr="005675B2">
        <w:rPr>
          <w:rFonts w:hint="cs"/>
        </w:rPr>
        <w:t xml:space="preserve"> </w:t>
      </w:r>
      <w:r w:rsidRPr="005675B2">
        <w:rPr>
          <w:rFonts w:hint="cs"/>
          <w:rtl/>
        </w:rPr>
        <w:t>لكنهم وافقوا بعض أصول المتكلمين وتابعوهم ظانين صحتها عن حسن نية</w:t>
      </w:r>
      <w:r w:rsidR="000636C2">
        <w:rPr>
          <w:rFonts w:hint="cs"/>
          <w:rtl/>
        </w:rPr>
        <w:t>،</w:t>
      </w:r>
      <w:r w:rsidRPr="005675B2">
        <w:rPr>
          <w:rFonts w:hint="cs"/>
          <w:rtl/>
        </w:rPr>
        <w:t xml:space="preserve"> ولو قيل إن الحافظ</w:t>
      </w:r>
      <w:r w:rsidR="000636C2">
        <w:rPr>
          <w:rFonts w:hint="cs"/>
          <w:rtl/>
        </w:rPr>
        <w:t xml:space="preserve"> </w:t>
      </w:r>
      <w:r w:rsidRPr="005675B2">
        <w:rPr>
          <w:rFonts w:hint="cs"/>
          <w:rtl/>
        </w:rPr>
        <w:t>- رحمه الله</w:t>
      </w:r>
      <w:r w:rsidR="000636C2">
        <w:rPr>
          <w:rFonts w:hint="cs"/>
          <w:rtl/>
        </w:rPr>
        <w:t xml:space="preserve"> </w:t>
      </w:r>
      <w:r w:rsidRPr="005675B2">
        <w:rPr>
          <w:rFonts w:hint="cs"/>
          <w:rtl/>
        </w:rPr>
        <w:t xml:space="preserve">- </w:t>
      </w:r>
      <w:r w:rsidRPr="005675B2">
        <w:rPr>
          <w:rFonts w:hint="cs"/>
          <w:u w:val="single"/>
          <w:rtl/>
        </w:rPr>
        <w:t>كان متذبذبا في عقيدته</w:t>
      </w:r>
      <w:r w:rsidRPr="005675B2">
        <w:rPr>
          <w:rFonts w:hint="cs"/>
          <w:rtl/>
        </w:rPr>
        <w:t xml:space="preserve"> لكان ذلك أقرب إلى الصواب كما يدل عليه شرحه لكتاب التوحيد والله أعلم</w:t>
      </w:r>
      <w:r w:rsidR="000636C2">
        <w:rPr>
          <w:rFonts w:hint="cs"/>
          <w:rtl/>
        </w:rPr>
        <w:t>،</w:t>
      </w:r>
      <w:r w:rsidRPr="005675B2">
        <w:rPr>
          <w:rFonts w:hint="cs"/>
          <w:rtl/>
        </w:rPr>
        <w:t xml:space="preserve"> وقد كان من الحنابلة من ذهب</w:t>
      </w:r>
      <w:r w:rsidRPr="005675B2">
        <w:rPr>
          <w:rFonts w:hint="cs"/>
        </w:rPr>
        <w:t xml:space="preserve"> </w:t>
      </w:r>
      <w:r w:rsidRPr="005675B2">
        <w:rPr>
          <w:rFonts w:hint="cs"/>
          <w:rtl/>
        </w:rPr>
        <w:t>إلى أبعد من هذا كابن الجوزي وابن عقيل وابن الزاغوني</w:t>
      </w:r>
      <w:r w:rsidR="000636C2">
        <w:rPr>
          <w:rFonts w:hint="cs"/>
          <w:rtl/>
        </w:rPr>
        <w:t>،</w:t>
      </w:r>
      <w:r w:rsidRPr="005675B2">
        <w:rPr>
          <w:rFonts w:hint="cs"/>
          <w:rtl/>
        </w:rPr>
        <w:t xml:space="preserve"> ومع ذلك فهؤلاء كانوا أعداء</w:t>
      </w:r>
      <w:r w:rsidRPr="005675B2">
        <w:rPr>
          <w:rFonts w:hint="cs"/>
        </w:rPr>
        <w:t xml:space="preserve"> </w:t>
      </w:r>
      <w:r w:rsidRPr="005675B2">
        <w:rPr>
          <w:rFonts w:hint="cs"/>
          <w:rtl/>
        </w:rPr>
        <w:t>ألداء للأشاعرة</w:t>
      </w:r>
      <w:r w:rsidR="000636C2">
        <w:rPr>
          <w:rFonts w:hint="cs"/>
          <w:rtl/>
        </w:rPr>
        <w:t>،</w:t>
      </w:r>
      <w:r w:rsidRPr="005675B2">
        <w:rPr>
          <w:rFonts w:hint="cs"/>
          <w:rtl/>
        </w:rPr>
        <w:t xml:space="preserve"> ولا يجوز بحال أن يعتبروا أشاعرة فما بالك بأولئك</w:t>
      </w:r>
      <w:r w:rsidR="000636C2">
        <w:rPr>
          <w:rFonts w:hint="cs"/>
          <w:rtl/>
        </w:rPr>
        <w:t>،</w:t>
      </w:r>
      <w:r w:rsidR="000636C2">
        <w:rPr>
          <w:rFonts w:hint="cs"/>
          <w:snapToGrid w:val="0"/>
          <w:rtl/>
        </w:rPr>
        <w:t xml:space="preserve"> </w:t>
      </w:r>
      <w:r w:rsidRPr="005675B2">
        <w:rPr>
          <w:rFonts w:hint="cs"/>
          <w:rtl/>
        </w:rPr>
        <w:t>.. إلى أن قال</w:t>
      </w:r>
      <w:r w:rsidR="000636C2">
        <w:rPr>
          <w:rFonts w:hint="cs"/>
          <w:rtl/>
        </w:rPr>
        <w:t>:</w:t>
      </w:r>
      <w:r w:rsidRPr="005675B2">
        <w:rPr>
          <w:rFonts w:hint="cs"/>
          <w:rtl/>
        </w:rPr>
        <w:t xml:space="preserve"> وكثيراً ما تجد في كتب</w:t>
      </w:r>
      <w:r w:rsidRPr="005675B2">
        <w:rPr>
          <w:rFonts w:hint="cs"/>
        </w:rPr>
        <w:t xml:space="preserve"> </w:t>
      </w:r>
      <w:r w:rsidRPr="005675B2">
        <w:rPr>
          <w:rFonts w:hint="cs"/>
          <w:rtl/>
        </w:rPr>
        <w:t>الجرح والتعديل</w:t>
      </w:r>
      <w:r w:rsidR="000636C2">
        <w:rPr>
          <w:rFonts w:hint="cs"/>
          <w:rtl/>
        </w:rPr>
        <w:t xml:space="preserve"> </w:t>
      </w:r>
      <w:r w:rsidRPr="005675B2">
        <w:rPr>
          <w:rFonts w:hint="cs"/>
          <w:rtl/>
        </w:rPr>
        <w:t>- ومنها لسان الميزان للحافظ ابن حجر</w:t>
      </w:r>
      <w:r w:rsidR="000636C2">
        <w:rPr>
          <w:rFonts w:hint="cs"/>
          <w:rtl/>
        </w:rPr>
        <w:t xml:space="preserve"> </w:t>
      </w:r>
      <w:r w:rsidRPr="005675B2">
        <w:rPr>
          <w:rFonts w:hint="cs"/>
          <w:rtl/>
        </w:rPr>
        <w:t>- قولهم عن الرجل أنه وافق</w:t>
      </w:r>
      <w:r w:rsidRPr="005675B2">
        <w:rPr>
          <w:rFonts w:hint="cs"/>
        </w:rPr>
        <w:t xml:space="preserve"> </w:t>
      </w:r>
      <w:r w:rsidRPr="005675B2">
        <w:rPr>
          <w:rFonts w:hint="cs"/>
          <w:rtl/>
        </w:rPr>
        <w:t>المعتزلة في أشياء من مصنفاته أو وافق الخوارج في بعض أقوالهم وهكذا</w:t>
      </w:r>
      <w:r w:rsidR="000636C2">
        <w:rPr>
          <w:rFonts w:hint="cs"/>
          <w:rtl/>
        </w:rPr>
        <w:t>،</w:t>
      </w:r>
      <w:r w:rsidRPr="005675B2">
        <w:rPr>
          <w:rFonts w:hint="cs"/>
          <w:rtl/>
        </w:rPr>
        <w:t xml:space="preserve"> ومع هذا لا</w:t>
      </w:r>
      <w:r w:rsidRPr="005675B2">
        <w:rPr>
          <w:rFonts w:hint="cs"/>
        </w:rPr>
        <w:t xml:space="preserve"> </w:t>
      </w:r>
      <w:r w:rsidRPr="005675B2">
        <w:rPr>
          <w:rFonts w:hint="cs"/>
          <w:rtl/>
        </w:rPr>
        <w:t>يعتبرونه معتزلياً أو خارجياً</w:t>
      </w:r>
      <w:r w:rsidR="000636C2">
        <w:rPr>
          <w:rFonts w:hint="cs"/>
          <w:rtl/>
        </w:rPr>
        <w:t>،</w:t>
      </w:r>
      <w:r w:rsidRPr="005675B2">
        <w:rPr>
          <w:rFonts w:hint="cs"/>
          <w:rtl/>
        </w:rPr>
        <w:t xml:space="preserve"> وهذا المنهج إذا طبقناه على الحافظ وعلى النووي</w:t>
      </w:r>
      <w:r w:rsidRPr="005675B2">
        <w:rPr>
          <w:rFonts w:hint="cs"/>
        </w:rPr>
        <w:t xml:space="preserve"> </w:t>
      </w:r>
      <w:r w:rsidRPr="005675B2">
        <w:rPr>
          <w:rFonts w:hint="cs"/>
          <w:rtl/>
        </w:rPr>
        <w:t>وأمثالهما لم يصح اعتبارهم أشاعرة وإنما يقال وافقوا الأشاعرة في أشياء</w:t>
      </w:r>
      <w:r w:rsidR="000636C2">
        <w:rPr>
          <w:rFonts w:hint="cs"/>
          <w:rtl/>
        </w:rPr>
        <w:t>،</w:t>
      </w:r>
      <w:r w:rsidRPr="005675B2">
        <w:rPr>
          <w:rFonts w:hint="cs"/>
          <w:rtl/>
        </w:rPr>
        <w:t xml:space="preserve"> مع ضرورة</w:t>
      </w:r>
      <w:r w:rsidRPr="005675B2">
        <w:rPr>
          <w:rFonts w:hint="cs"/>
        </w:rPr>
        <w:t xml:space="preserve"> </w:t>
      </w:r>
      <w:r w:rsidRPr="005675B2">
        <w:rPr>
          <w:rFonts w:hint="cs"/>
          <w:rtl/>
        </w:rPr>
        <w:t>بيان هذه الأشياء واستدراكها عليهم حتى يمكن الاستفادة من كتبهم بلا توجس في</w:t>
      </w:r>
      <w:r w:rsidRPr="005675B2">
        <w:rPr>
          <w:rFonts w:hint="cs"/>
        </w:rPr>
        <w:t xml:space="preserve"> </w:t>
      </w:r>
      <w:r w:rsidRPr="005675B2">
        <w:rPr>
          <w:rFonts w:hint="cs"/>
          <w:rtl/>
        </w:rPr>
        <w:t>موضوعات العقيدة</w:t>
      </w:r>
      <w:r w:rsidR="000636C2">
        <w:rPr>
          <w:rFonts w:hint="cs"/>
          <w:rtl/>
        </w:rPr>
        <w:t>،</w:t>
      </w:r>
    </w:p>
    <w:p w14:paraId="3E2937D6" w14:textId="3A48A610"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w:t>
      </w:r>
      <w:r w:rsidR="009C32A0" w:rsidRPr="005675B2">
        <w:rPr>
          <w:rFonts w:hint="cs"/>
          <w:rtl/>
        </w:rPr>
        <w:t>بالنسبة لمفوضة الحنابلة وهم أكثر الحنابلة فهم من أهل السنة والجماعة وهذا هو المطلوب، فابن لجوزي</w:t>
      </w:r>
      <w:r>
        <w:rPr>
          <w:rFonts w:hint="cs"/>
          <w:rtl/>
        </w:rPr>
        <w:t>،</w:t>
      </w:r>
      <w:r w:rsidR="009C32A0" w:rsidRPr="005675B2">
        <w:rPr>
          <w:rFonts w:hint="cs"/>
          <w:rtl/>
        </w:rPr>
        <w:t xml:space="preserve"> وابن هبيرة</w:t>
      </w:r>
      <w:r>
        <w:rPr>
          <w:rFonts w:hint="cs"/>
          <w:rtl/>
        </w:rPr>
        <w:t>،</w:t>
      </w:r>
      <w:r w:rsidR="009C32A0" w:rsidRPr="005675B2">
        <w:rPr>
          <w:rFonts w:hint="cs"/>
          <w:rtl/>
        </w:rPr>
        <w:t xml:space="preserve"> وابن حمدان</w:t>
      </w:r>
      <w:r>
        <w:rPr>
          <w:rFonts w:hint="cs"/>
          <w:rtl/>
        </w:rPr>
        <w:t>،</w:t>
      </w:r>
      <w:r w:rsidR="009C32A0" w:rsidRPr="005675B2">
        <w:rPr>
          <w:rFonts w:hint="cs"/>
          <w:rtl/>
        </w:rPr>
        <w:t xml:space="preserve"> والتميمي</w:t>
      </w:r>
      <w:r>
        <w:rPr>
          <w:rFonts w:hint="cs"/>
          <w:rtl/>
        </w:rPr>
        <w:t>،</w:t>
      </w:r>
      <w:r w:rsidR="009C32A0" w:rsidRPr="005675B2">
        <w:rPr>
          <w:rFonts w:hint="cs"/>
          <w:rtl/>
        </w:rPr>
        <w:t xml:space="preserve"> وجمهورالحنابلة</w:t>
      </w:r>
      <w:r>
        <w:rPr>
          <w:rFonts w:hint="cs"/>
          <w:rtl/>
        </w:rPr>
        <w:t xml:space="preserve"> </w:t>
      </w:r>
      <w:r w:rsidR="009C32A0" w:rsidRPr="005675B2">
        <w:rPr>
          <w:rFonts w:hint="cs"/>
          <w:rtl/>
        </w:rPr>
        <w:t>من أهل السنة والجماعة على مسلك التفويض</w:t>
      </w:r>
      <w:r>
        <w:rPr>
          <w:rFonts w:hint="cs"/>
          <w:rtl/>
        </w:rPr>
        <w:t>،</w:t>
      </w:r>
      <w:r w:rsidR="009C32A0" w:rsidRPr="005675B2">
        <w:rPr>
          <w:rFonts w:hint="cs"/>
          <w:rtl/>
        </w:rPr>
        <w:t xml:space="preserve"> وسيأتي بيان معنى التأويل والتفويض</w:t>
      </w:r>
      <w:r>
        <w:rPr>
          <w:rFonts w:hint="cs"/>
          <w:rtl/>
        </w:rPr>
        <w:t>،</w:t>
      </w:r>
      <w:r w:rsidR="009C32A0" w:rsidRPr="005675B2">
        <w:rPr>
          <w:rFonts w:hint="cs"/>
          <w:rtl/>
        </w:rPr>
        <w:t xml:space="preserve"> وكون ابن عقيل أو ابن الجوزي يخالفون بعض الأشاعرة في بعض المسائل فليست المسألة عداوات كما تتصوريا أخي الكريم، وإنما هذا حال العلماء فبعضهم يرد على بعض</w:t>
      </w:r>
      <w:r>
        <w:rPr>
          <w:rFonts w:hint="cs"/>
          <w:rtl/>
        </w:rPr>
        <w:t>،</w:t>
      </w:r>
      <w:r w:rsidR="009C32A0" w:rsidRPr="005675B2">
        <w:rPr>
          <w:rFonts w:hint="cs"/>
          <w:rtl/>
        </w:rPr>
        <w:t>وقد سبق أن بينت لكم حال الإمام أحمد مع الإمام الكرابيسي وحال أبي زرعة مع البخاري</w:t>
      </w:r>
      <w:r>
        <w:rPr>
          <w:rFonts w:hint="cs"/>
          <w:rtl/>
        </w:rPr>
        <w:t>،</w:t>
      </w:r>
      <w:r w:rsidR="009C32A0" w:rsidRPr="005675B2">
        <w:rPr>
          <w:rFonts w:hint="cs"/>
          <w:rtl/>
        </w:rPr>
        <w:t xml:space="preserve"> فإذن ليس كل من خالف عالماً كان معادياً</w:t>
      </w:r>
      <w:r>
        <w:rPr>
          <w:rFonts w:hint="cs"/>
          <w:rtl/>
        </w:rPr>
        <w:t xml:space="preserve"> </w:t>
      </w:r>
      <w:r w:rsidR="009C32A0" w:rsidRPr="005675B2">
        <w:rPr>
          <w:rFonts w:hint="cs"/>
          <w:rtl/>
        </w:rPr>
        <w:t>له وإلا فهو هوى وليس بعلم</w:t>
      </w:r>
      <w:r>
        <w:rPr>
          <w:rFonts w:hint="cs"/>
          <w:rtl/>
        </w:rPr>
        <w:t>،</w:t>
      </w:r>
      <w:r w:rsidR="009C32A0" w:rsidRPr="005675B2">
        <w:rPr>
          <w:rFonts w:hint="cs"/>
          <w:rtl/>
        </w:rPr>
        <w:t xml:space="preserve"> فإن كان عداء فلا يعني أن يخرجه من الفرقة الناجية</w:t>
      </w:r>
      <w:r>
        <w:rPr>
          <w:rFonts w:hint="cs"/>
          <w:rtl/>
        </w:rPr>
        <w:t>،</w:t>
      </w:r>
      <w:r w:rsidR="009C32A0" w:rsidRPr="005675B2">
        <w:rPr>
          <w:rFonts w:hint="cs"/>
          <w:rtl/>
        </w:rPr>
        <w:t>بل قد يخالف في مسألة اجتهادية أو في طلب أسلوب أفضل</w:t>
      </w:r>
      <w:r>
        <w:rPr>
          <w:rFonts w:hint="cs"/>
          <w:rtl/>
        </w:rPr>
        <w:t>،</w:t>
      </w:r>
      <w:r w:rsidR="009C32A0" w:rsidRPr="005675B2">
        <w:rPr>
          <w:rFonts w:hint="cs"/>
          <w:rtl/>
        </w:rPr>
        <w:t>أو في الرد على شخص معين أخطأ في تقرير مذهب الأشاعرة</w:t>
      </w:r>
      <w:r>
        <w:rPr>
          <w:rFonts w:hint="cs"/>
          <w:rtl/>
        </w:rPr>
        <w:t>،</w:t>
      </w:r>
      <w:r w:rsidR="009C32A0" w:rsidRPr="005675B2">
        <w:rPr>
          <w:rFonts w:hint="cs"/>
          <w:rtl/>
        </w:rPr>
        <w:t>أواعتراض على أساليب التعليم بالنظر إلى حال المتعلمين</w:t>
      </w:r>
      <w:r>
        <w:rPr>
          <w:rFonts w:hint="cs"/>
          <w:rtl/>
        </w:rPr>
        <w:t>،</w:t>
      </w:r>
      <w:r w:rsidR="009C32A0" w:rsidRPr="005675B2">
        <w:rPr>
          <w:rFonts w:hint="cs"/>
          <w:rtl/>
        </w:rPr>
        <w:t>أو على التوسع في التأويل من بعضهم</w:t>
      </w:r>
      <w:r>
        <w:rPr>
          <w:rFonts w:hint="cs"/>
          <w:rtl/>
        </w:rPr>
        <w:t>،</w:t>
      </w:r>
      <w:r w:rsidR="009C32A0" w:rsidRPr="005675B2">
        <w:rPr>
          <w:rFonts w:hint="cs"/>
          <w:rtl/>
        </w:rPr>
        <w:t>وليس اعتراض على التأويل</w:t>
      </w:r>
      <w:r>
        <w:rPr>
          <w:rFonts w:hint="cs"/>
          <w:rtl/>
        </w:rPr>
        <w:t>،</w:t>
      </w:r>
      <w:r w:rsidR="009C32A0" w:rsidRPr="005675B2">
        <w:rPr>
          <w:rFonts w:hint="cs"/>
          <w:rtl/>
        </w:rPr>
        <w:t xml:space="preserve"> وكل الخلاف بين الأشاعرة والحنابلة كقاعدة أغلبية فإنما هو في التأويل والتفويض وهي مسألة اجتهادية لن ينتهي الخلاف فيها إلا أن يشاء الله، ولا يعني ذلك إخراج أحدالمسلكين من حيز الفرقة الناجية أهل السنة والجماعة، وهي كخلاف العلماء في كفر تارك الصلاة ونحوها من المسائل الاجتهادية</w:t>
      </w:r>
      <w:r>
        <w:rPr>
          <w:rFonts w:hint="cs"/>
          <w:rtl/>
        </w:rPr>
        <w:t>،</w:t>
      </w:r>
      <w:r w:rsidR="009C32A0" w:rsidRPr="005675B2">
        <w:rPr>
          <w:rFonts w:hint="cs"/>
          <w:rtl/>
        </w:rPr>
        <w:t>فسيقول الحنبلي بكفر تاركها ويقول الجمهور بعدم كفره ولن ينتهي الخلاف فيها لأنها مسألة ظنية</w:t>
      </w:r>
      <w:r>
        <w:rPr>
          <w:rFonts w:hint="cs"/>
          <w:rtl/>
        </w:rPr>
        <w:t>،</w:t>
      </w:r>
    </w:p>
    <w:p w14:paraId="4E4FD51F" w14:textId="600078C9"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بالنسة لعقيدة الحافظ</w:t>
      </w:r>
      <w:r>
        <w:rPr>
          <w:rFonts w:hint="cs"/>
          <w:rtl/>
        </w:rPr>
        <w:t xml:space="preserve"> </w:t>
      </w:r>
      <w:r w:rsidR="009C32A0" w:rsidRPr="005675B2">
        <w:rPr>
          <w:rFonts w:hint="cs"/>
          <w:rtl/>
        </w:rPr>
        <w:t>ابن حجر</w:t>
      </w:r>
      <w:r>
        <w:rPr>
          <w:rFonts w:hint="cs"/>
          <w:rtl/>
        </w:rPr>
        <w:t>:</w:t>
      </w:r>
      <w:r w:rsidR="009C32A0" w:rsidRPr="005675B2">
        <w:rPr>
          <w:rFonts w:hint="cs"/>
          <w:rtl/>
        </w:rPr>
        <w:t xml:space="preserve"> فأشعري لا محالة، وتأويلاته الكثيرة في فتح الباري تدل على ذلك فمن ذلك قوله - رحمه الله تعالى -</w:t>
      </w:r>
      <w:r>
        <w:rPr>
          <w:rFonts w:hint="cs"/>
          <w:rtl/>
        </w:rPr>
        <w:t>:</w:t>
      </w:r>
      <w:r w:rsidR="009C32A0" w:rsidRPr="005675B2">
        <w:rPr>
          <w:rFonts w:hint="cs"/>
          <w:rtl/>
        </w:rPr>
        <w:t xml:space="preserve"> ولا يلزم من كون جهتي العلو والسفل محالتين على الله أن لا يوصف بالعلو</w:t>
      </w:r>
      <w:r>
        <w:rPr>
          <w:rFonts w:hint="cs"/>
          <w:rtl/>
        </w:rPr>
        <w:t>،</w:t>
      </w:r>
      <w:r w:rsidR="009C32A0" w:rsidRPr="005675B2">
        <w:rPr>
          <w:rFonts w:hint="cs"/>
          <w:rtl/>
        </w:rPr>
        <w:t xml:space="preserve"> لأن وصفه بالعلو من جهة المعنى</w:t>
      </w:r>
      <w:r>
        <w:rPr>
          <w:rFonts w:hint="cs"/>
          <w:rtl/>
        </w:rPr>
        <w:t>،</w:t>
      </w:r>
      <w:r w:rsidR="009C32A0" w:rsidRPr="005675B2">
        <w:rPr>
          <w:rFonts w:hint="cs"/>
          <w:rtl/>
        </w:rPr>
        <w:t xml:space="preserve"> والمستحيل هو أن يكون ذلك من جهة الحس</w:t>
      </w:r>
      <w:r>
        <w:rPr>
          <w:rFonts w:hint="cs"/>
          <w:rtl/>
        </w:rPr>
        <w:t>)</w:t>
      </w:r>
      <w:r w:rsidR="009C32A0" w:rsidRPr="005675B2">
        <w:rPr>
          <w:rFonts w:hint="cs"/>
          <w:rtl/>
        </w:rPr>
        <w:t>)أهـ</w:t>
      </w:r>
      <w:r>
        <w:rPr>
          <w:rFonts w:hint="cs"/>
          <w:rtl/>
        </w:rPr>
        <w:t xml:space="preserve"> </w:t>
      </w:r>
      <w:r w:rsidR="009C32A0" w:rsidRPr="005675B2">
        <w:rPr>
          <w:rFonts w:hint="cs"/>
          <w:rtl/>
        </w:rPr>
        <w:t>[</w:t>
      </w:r>
      <w:r w:rsidR="009C32A0" w:rsidRPr="005675B2">
        <w:rPr>
          <w:rFonts w:hint="cs"/>
          <w:bCs/>
          <w:sz w:val="24"/>
          <w:szCs w:val="24"/>
          <w:rtl/>
        </w:rPr>
        <w:t>الفتح</w:t>
      </w:r>
      <w:r>
        <w:rPr>
          <w:rFonts w:hint="cs"/>
          <w:bCs/>
          <w:sz w:val="24"/>
          <w:szCs w:val="24"/>
          <w:rtl/>
        </w:rPr>
        <w:t>:</w:t>
      </w:r>
      <w:r w:rsidR="009C32A0" w:rsidRPr="005675B2">
        <w:rPr>
          <w:rFonts w:hint="cs"/>
          <w:bCs/>
          <w:sz w:val="24"/>
          <w:szCs w:val="24"/>
          <w:rtl/>
        </w:rPr>
        <w:t xml:space="preserve"> 6/158</w:t>
      </w:r>
      <w:r w:rsidR="009C32A0" w:rsidRPr="005675B2">
        <w:rPr>
          <w:rFonts w:hint="cs"/>
          <w:rtl/>
        </w:rPr>
        <w:t>]</w:t>
      </w:r>
      <w:r>
        <w:rPr>
          <w:rFonts w:hint="cs"/>
          <w:rtl/>
        </w:rPr>
        <w:t>،</w:t>
      </w:r>
      <w:r w:rsidR="009C32A0" w:rsidRPr="005675B2">
        <w:rPr>
          <w:rFonts w:hint="cs"/>
          <w:rtl/>
        </w:rPr>
        <w:t>أما تعريفه للإيمان فهو</w:t>
      </w:r>
      <w:r>
        <w:rPr>
          <w:rFonts w:hint="cs"/>
          <w:rtl/>
        </w:rPr>
        <w:t xml:space="preserve"> </w:t>
      </w:r>
      <w:r w:rsidR="009C32A0" w:rsidRPr="005675B2">
        <w:rPr>
          <w:rFonts w:hint="cs"/>
          <w:rtl/>
        </w:rPr>
        <w:t>عين تعريف الأشاعرة وسيأتي إيضاح ذلك في الرد على النقاط التي اشتبهت على</w:t>
      </w:r>
      <w:r>
        <w:rPr>
          <w:rFonts w:hint="cs"/>
          <w:rtl/>
        </w:rPr>
        <w:t xml:space="preserve"> </w:t>
      </w:r>
      <w:r w:rsidR="009C32A0" w:rsidRPr="005675B2">
        <w:rPr>
          <w:rFonts w:hint="cs"/>
          <w:rtl/>
        </w:rPr>
        <w:t>الكاتب عن</w:t>
      </w:r>
      <w:r>
        <w:rPr>
          <w:rFonts w:hint="cs"/>
          <w:rtl/>
        </w:rPr>
        <w:t xml:space="preserve"> </w:t>
      </w:r>
      <w:r w:rsidR="009C32A0" w:rsidRPr="005675B2">
        <w:rPr>
          <w:rFonts w:hint="cs"/>
          <w:rtl/>
        </w:rPr>
        <w:t>علماء أهل السنة والجماعة</w:t>
      </w:r>
      <w:r>
        <w:rPr>
          <w:rFonts w:hint="cs"/>
          <w:rtl/>
        </w:rPr>
        <w:t>،</w:t>
      </w:r>
      <w:r w:rsidR="009C32A0" w:rsidRPr="005675B2">
        <w:rPr>
          <w:rFonts w:hint="cs"/>
          <w:rtl/>
        </w:rPr>
        <w:t xml:space="preserve"> وقال الحافظ في مقدمة الفتح ص</w:t>
      </w:r>
      <w:r>
        <w:rPr>
          <w:rFonts w:hint="cs"/>
          <w:rtl/>
        </w:rPr>
        <w:t xml:space="preserve"> </w:t>
      </w:r>
      <w:r w:rsidR="009C32A0" w:rsidRPr="005675B2">
        <w:rPr>
          <w:rFonts w:hint="cs"/>
          <w:rtl/>
        </w:rPr>
        <w:t>208</w:t>
      </w:r>
      <w:r>
        <w:rPr>
          <w:rFonts w:hint="cs"/>
          <w:rtl/>
        </w:rPr>
        <w:t>:</w:t>
      </w:r>
      <w:r w:rsidR="009C32A0" w:rsidRPr="005675B2">
        <w:rPr>
          <w:rFonts w:hint="cs"/>
          <w:rtl/>
        </w:rPr>
        <w:t xml:space="preserve"> قوله</w:t>
      </w:r>
      <w:r>
        <w:rPr>
          <w:rFonts w:hint="cs"/>
          <w:rtl/>
        </w:rPr>
        <w:t>:</w:t>
      </w:r>
      <w:r w:rsidR="009C32A0" w:rsidRPr="005675B2">
        <w:rPr>
          <w:rFonts w:hint="cs"/>
          <w:rtl/>
        </w:rPr>
        <w:t xml:space="preserve"> </w:t>
      </w:r>
      <w:r>
        <w:rPr>
          <w:rFonts w:hint="cs"/>
          <w:rtl/>
        </w:rPr>
        <w:t>(</w:t>
      </w:r>
      <w:r w:rsidR="009C32A0" w:rsidRPr="005675B2">
        <w:rPr>
          <w:rFonts w:hint="cs"/>
          <w:rtl/>
        </w:rPr>
        <w:t>أطولهن يدًا</w:t>
      </w:r>
      <w:r>
        <w:rPr>
          <w:rFonts w:hint="cs"/>
          <w:rtl/>
        </w:rPr>
        <w:t>)</w:t>
      </w:r>
      <w:r w:rsidR="009C32A0" w:rsidRPr="005675B2">
        <w:rPr>
          <w:rFonts w:hint="cs"/>
          <w:rtl/>
        </w:rPr>
        <w:t xml:space="preserve"> أي</w:t>
      </w:r>
      <w:r>
        <w:rPr>
          <w:rFonts w:hint="cs"/>
          <w:rtl/>
        </w:rPr>
        <w:t>:</w:t>
      </w:r>
      <w:r w:rsidR="009C32A0" w:rsidRPr="005675B2">
        <w:rPr>
          <w:rFonts w:hint="cs"/>
          <w:rtl/>
        </w:rPr>
        <w:t xml:space="preserve"> أسمحهن، ووقــع ذكر اليد في القرآن والحديث مضافًا إلى الله تعالى، </w:t>
      </w:r>
      <w:r w:rsidR="009C32A0" w:rsidRPr="005675B2">
        <w:rPr>
          <w:rFonts w:hint="cs"/>
          <w:u w:val="single"/>
          <w:rtl/>
        </w:rPr>
        <w:t>واتفق أهل السنة والجماعة</w:t>
      </w:r>
      <w:r w:rsidR="009C32A0" w:rsidRPr="005675B2">
        <w:rPr>
          <w:rFonts w:hint="cs"/>
          <w:rtl/>
        </w:rPr>
        <w:t xml:space="preserve"> على أنه ليس المراد باليد الجارحة التي هي من صفات المحدثات</w:t>
      </w:r>
      <w:r>
        <w:rPr>
          <w:rFonts w:hint="cs"/>
          <w:rtl/>
        </w:rPr>
        <w:t>،</w:t>
      </w:r>
      <w:r w:rsidR="009C32A0" w:rsidRPr="005675B2">
        <w:rPr>
          <w:rFonts w:hint="cs"/>
          <w:rtl/>
        </w:rPr>
        <w:t xml:space="preserve"> وأثبتوا ما جاء من ذلك وآمنوا به ؛ فمنهم من وقف ولم يتأول، ومنهم من حمل كل لفظ منهــا على المعنى الــذي ظهر له، وهكذا عملوا في جميع ما جاء من أمثال ذلك</w:t>
      </w:r>
      <w:r>
        <w:rPr>
          <w:rFonts w:hint="cs"/>
          <w:rtl/>
        </w:rPr>
        <w:t>،</w:t>
      </w:r>
      <w:r w:rsidR="009C32A0" w:rsidRPr="005675B2">
        <w:rPr>
          <w:rFonts w:hint="cs"/>
          <w:rtl/>
        </w:rPr>
        <w:t xml:space="preserve"> اهـ</w:t>
      </w:r>
    </w:p>
    <w:p w14:paraId="67AFF1EE" w14:textId="1F7B4C76" w:rsidR="009C32A0" w:rsidRPr="005675B2" w:rsidRDefault="009C32A0" w:rsidP="000636C2">
      <w:pPr>
        <w:rPr>
          <w:b/>
          <w:rtl/>
        </w:rPr>
      </w:pPr>
      <w:r w:rsidRPr="005675B2">
        <w:rPr>
          <w:rFonts w:hint="cs"/>
          <w:rtl/>
        </w:rPr>
        <w:t>قال الحافظ في الفتح 1 / 229</w:t>
      </w:r>
      <w:r w:rsidR="000636C2">
        <w:rPr>
          <w:rFonts w:hint="cs"/>
          <w:rtl/>
        </w:rPr>
        <w:t>:</w:t>
      </w:r>
      <w:r w:rsidRPr="005675B2">
        <w:rPr>
          <w:rFonts w:hint="cs"/>
          <w:rtl/>
        </w:rPr>
        <w:t xml:space="preserve"> قوله</w:t>
      </w:r>
      <w:r w:rsidR="000636C2">
        <w:rPr>
          <w:rFonts w:hint="cs"/>
          <w:rtl/>
        </w:rPr>
        <w:t>:</w:t>
      </w:r>
      <w:r w:rsidRPr="005675B2">
        <w:rPr>
          <w:rFonts w:hint="cs"/>
          <w:rtl/>
        </w:rPr>
        <w:t xml:space="preserve"> "إن الله لا يستحيي من الحق" أي لا يأمر بالحياء في الحق</w:t>
      </w:r>
      <w:r w:rsidR="000636C2">
        <w:rPr>
          <w:rFonts w:hint="cs"/>
          <w:rtl/>
        </w:rPr>
        <w:t>،</w:t>
      </w:r>
      <w:r w:rsidRPr="005675B2">
        <w:rPr>
          <w:rFonts w:hint="cs"/>
          <w:rtl/>
        </w:rPr>
        <w:t xml:space="preserve"> قال الحافظ في الفتح 1 / 352</w:t>
      </w:r>
      <w:r w:rsidR="000636C2">
        <w:rPr>
          <w:rFonts w:hint="cs"/>
          <w:rtl/>
        </w:rPr>
        <w:t>:</w:t>
      </w:r>
      <w:r w:rsidRPr="005675B2">
        <w:rPr>
          <w:rFonts w:hint="cs"/>
          <w:rtl/>
        </w:rPr>
        <w:t xml:space="preserve"> "والمراد باليد هنا القدرة"</w:t>
      </w:r>
      <w:r w:rsidR="000636C2">
        <w:rPr>
          <w:rFonts w:hint="cs"/>
          <w:rtl/>
        </w:rPr>
        <w:t>،</w:t>
      </w:r>
      <w:r w:rsidRPr="005675B2">
        <w:rPr>
          <w:rFonts w:hint="cs"/>
          <w:rtl/>
        </w:rPr>
        <w:t xml:space="preserve"> أي</w:t>
      </w:r>
      <w:r w:rsidR="000636C2">
        <w:rPr>
          <w:rFonts w:hint="cs"/>
          <w:rtl/>
        </w:rPr>
        <w:t xml:space="preserve"> </w:t>
      </w:r>
      <w:r w:rsidRPr="005675B2">
        <w:rPr>
          <w:rFonts w:hint="cs"/>
          <w:rtl/>
        </w:rPr>
        <w:t>في قول ابن مسعود</w:t>
      </w:r>
      <w:r w:rsidR="000636C2">
        <w:rPr>
          <w:rFonts w:hint="cs"/>
          <w:rtl/>
        </w:rPr>
        <w:t>:</w:t>
      </w:r>
      <w:r w:rsidRPr="005675B2">
        <w:rPr>
          <w:rFonts w:hint="cs"/>
          <w:rtl/>
        </w:rPr>
        <w:t xml:space="preserve"> "والذي نفسي بيده"، قال الحافظ ابن حجر 1/508</w:t>
      </w:r>
      <w:r w:rsidR="000636C2">
        <w:rPr>
          <w:rFonts w:hint="cs"/>
          <w:rtl/>
        </w:rPr>
        <w:t>:</w:t>
      </w:r>
      <w:r w:rsidRPr="005675B2">
        <w:rPr>
          <w:rFonts w:hint="cs"/>
          <w:rtl/>
        </w:rPr>
        <w:t xml:space="preserve"> "وفيه الرد على من زعم أنه على العرش بذاته "</w:t>
      </w:r>
      <w:r w:rsidR="000636C2">
        <w:rPr>
          <w:rFonts w:hint="cs"/>
          <w:rtl/>
        </w:rPr>
        <w:t>[</w:t>
      </w:r>
      <w:r w:rsidRPr="005675B2">
        <w:rPr>
          <w:rFonts w:hint="cs"/>
          <w:rtl/>
        </w:rPr>
        <w:t>أي</w:t>
      </w:r>
      <w:r w:rsidR="000636C2">
        <w:rPr>
          <w:rFonts w:hint="cs"/>
          <w:rtl/>
        </w:rPr>
        <w:t>:</w:t>
      </w:r>
      <w:r w:rsidRPr="005675B2">
        <w:rPr>
          <w:rFonts w:hint="cs"/>
          <w:rtl/>
        </w:rPr>
        <w:t>حديث</w:t>
      </w:r>
      <w:r w:rsidR="000636C2">
        <w:rPr>
          <w:rFonts w:hint="cs"/>
          <w:rtl/>
        </w:rPr>
        <w:t>:</w:t>
      </w:r>
      <w:r w:rsidRPr="005675B2">
        <w:rPr>
          <w:rFonts w:hint="cs"/>
          <w:rtl/>
        </w:rPr>
        <w:t xml:space="preserve"> إن ربه بينه وبين القبلة</w:t>
      </w:r>
      <w:r w:rsidR="000636C2">
        <w:rPr>
          <w:rFonts w:hint="cs"/>
          <w:rtl/>
        </w:rPr>
        <w:t>]</w:t>
      </w:r>
      <w:r w:rsidRPr="005675B2">
        <w:rPr>
          <w:rFonts w:hint="cs"/>
          <w:rtl/>
        </w:rPr>
        <w:t>وقال الحافظ 1 / 514</w:t>
      </w:r>
      <w:r w:rsidR="000636C2">
        <w:rPr>
          <w:rFonts w:hint="cs"/>
          <w:rtl/>
        </w:rPr>
        <w:t>:</w:t>
      </w:r>
      <w:r w:rsidRPr="005675B2">
        <w:rPr>
          <w:rFonts w:hint="cs"/>
          <w:rtl/>
        </w:rPr>
        <w:t xml:space="preserve"> " لأن الحق عند أهل السنة أن الرؤية لا يشترط لها عقلاً عضو مخصوص</w:t>
      </w:r>
      <w:r w:rsidR="000636C2">
        <w:rPr>
          <w:rFonts w:hint="cs"/>
          <w:rtl/>
        </w:rPr>
        <w:t>،</w:t>
      </w:r>
      <w:r w:rsidRPr="005675B2">
        <w:rPr>
          <w:rFonts w:hint="cs"/>
          <w:rtl/>
        </w:rPr>
        <w:t xml:space="preserve"> ولا مقابلة</w:t>
      </w:r>
      <w:r w:rsidR="000636C2">
        <w:rPr>
          <w:rFonts w:hint="cs"/>
          <w:rtl/>
        </w:rPr>
        <w:t>،</w:t>
      </w:r>
      <w:r w:rsidRPr="005675B2">
        <w:rPr>
          <w:rFonts w:hint="cs"/>
          <w:rtl/>
        </w:rPr>
        <w:t xml:space="preserve"> ولا قرب .. "</w:t>
      </w:r>
      <w:r w:rsidR="000636C2">
        <w:rPr>
          <w:rFonts w:hint="cs"/>
          <w:rtl/>
        </w:rPr>
        <w:t>،</w:t>
      </w:r>
      <w:r w:rsidRPr="005675B2">
        <w:rPr>
          <w:rFonts w:hint="cs"/>
          <w:rtl/>
        </w:rPr>
        <w:t xml:space="preserve"> فلا شك في أشعريته رحمه الله تعالى شأنه في ذلك شأن السواد الأعظم من علماء الأمة</w:t>
      </w:r>
      <w:r w:rsidR="000636C2">
        <w:rPr>
          <w:rFonts w:hint="cs"/>
          <w:rtl/>
        </w:rPr>
        <w:t>،</w:t>
      </w:r>
      <w:r w:rsidRPr="005675B2">
        <w:rPr>
          <w:rFonts w:hint="cs"/>
          <w:rtl/>
        </w:rPr>
        <w:t xml:space="preserve"> فإذا كان الحافظ ابن حجر في الصفات على مسلك التأويل</w:t>
      </w:r>
      <w:r w:rsidR="000636C2">
        <w:rPr>
          <w:rFonts w:hint="cs"/>
          <w:rtl/>
        </w:rPr>
        <w:t>،</w:t>
      </w:r>
      <w:r w:rsidRPr="005675B2">
        <w:rPr>
          <w:rFonts w:hint="cs"/>
          <w:rtl/>
        </w:rPr>
        <w:t>وفي العلو ينفي وجود الله في الجهة</w:t>
      </w:r>
      <w:r w:rsidR="000636C2">
        <w:rPr>
          <w:rFonts w:hint="cs"/>
          <w:rtl/>
        </w:rPr>
        <w:t>،</w:t>
      </w:r>
      <w:r w:rsidRPr="005675B2">
        <w:rPr>
          <w:rFonts w:hint="cs"/>
          <w:rtl/>
        </w:rPr>
        <w:t>وفي الإيمان لايدخل العمل في أصل الإيمان فكيف تخرجه عن معتقد الأشاعرة أهل السنة رحمهم الله تعالى وقد أثبت لك بالنقول كل ما أقول</w:t>
      </w:r>
      <w:r w:rsidR="000636C2">
        <w:rPr>
          <w:rFonts w:hint="cs"/>
          <w:rtl/>
        </w:rPr>
        <w:t>،</w:t>
      </w:r>
      <w:r w:rsidRPr="005675B2">
        <w:rPr>
          <w:rFonts w:hint="cs"/>
          <w:rtl/>
        </w:rPr>
        <w:t xml:space="preserve"> </w:t>
      </w:r>
    </w:p>
    <w:p w14:paraId="63E13856" w14:textId="4D789558" w:rsidR="009C32A0" w:rsidRPr="005675B2" w:rsidRDefault="009C32A0" w:rsidP="000636C2">
      <w:pPr>
        <w:rPr>
          <w:b/>
          <w:u w:val="single"/>
          <w:rtl/>
        </w:rPr>
      </w:pPr>
      <w:r w:rsidRPr="005675B2">
        <w:rPr>
          <w:rFonts w:hint="cs"/>
          <w:rtl/>
        </w:rPr>
        <w:t>ثالثاً</w:t>
      </w:r>
      <w:r w:rsidR="000636C2">
        <w:rPr>
          <w:rFonts w:hint="cs"/>
          <w:rtl/>
        </w:rPr>
        <w:t>:</w:t>
      </w:r>
      <w:r w:rsidRPr="005675B2">
        <w:rPr>
          <w:rFonts w:hint="cs"/>
          <w:rtl/>
        </w:rPr>
        <w:t xml:space="preserve"> بالنسبة للإمام النووي فأشعري يدور بين التأويل والتفويض</w:t>
      </w:r>
      <w:r w:rsidR="000636C2">
        <w:rPr>
          <w:rFonts w:hint="cs"/>
          <w:rtl/>
        </w:rPr>
        <w:t xml:space="preserve"> </w:t>
      </w:r>
      <w:r w:rsidRPr="005675B2">
        <w:rPr>
          <w:rFonts w:hint="cs"/>
          <w:rtl/>
        </w:rPr>
        <w:t>وإليك بعض أقواله الدالة على ذلك والتي يثني فيها على المتكلمين من الأشعرية</w:t>
      </w:r>
      <w:r w:rsidR="000636C2">
        <w:rPr>
          <w:rFonts w:hint="cs"/>
          <w:rtl/>
        </w:rPr>
        <w:t>:</w:t>
      </w:r>
      <w:r w:rsidRPr="005675B2">
        <w:rPr>
          <w:rFonts w:hint="cs"/>
          <w:rtl/>
        </w:rPr>
        <w:t>يقول في مسألة الكسب والقدر</w:t>
      </w:r>
      <w:r w:rsidR="000636C2">
        <w:rPr>
          <w:rFonts w:hint="cs"/>
          <w:rtl/>
        </w:rPr>
        <w:t>:</w:t>
      </w:r>
      <w:r w:rsidRPr="005675B2">
        <w:rPr>
          <w:rFonts w:hint="cs"/>
          <w:rtl/>
        </w:rPr>
        <w:t xml:space="preserve"> وقد قرر </w:t>
      </w:r>
      <w:r w:rsidRPr="005675B2">
        <w:rPr>
          <w:rFonts w:hint="cs"/>
          <w:u w:val="single"/>
          <w:rtl/>
        </w:rPr>
        <w:t>أئمتنا من المتكلمين ذلك أحسن تقرير</w:t>
      </w:r>
      <w:r w:rsidRPr="005675B2">
        <w:rPr>
          <w:rFonts w:hint="cs"/>
          <w:rtl/>
        </w:rPr>
        <w:t xml:space="preserve"> بدلائلهم القطعية السمعية والعقلية</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شرح صحيح مسلم 1/110</w:t>
      </w:r>
      <w:r w:rsidRPr="005675B2">
        <w:rPr>
          <w:rFonts w:hint="cs"/>
          <w:rtl/>
        </w:rPr>
        <w:t>]</w:t>
      </w:r>
      <w:r w:rsidR="000636C2">
        <w:rPr>
          <w:rFonts w:hint="cs"/>
          <w:rtl/>
        </w:rPr>
        <w:t>،</w:t>
      </w:r>
      <w:r w:rsidRPr="005675B2">
        <w:rPr>
          <w:rFonts w:hint="cs"/>
          <w:rtl/>
        </w:rPr>
        <w:t xml:space="preserve"> ويقول</w:t>
      </w:r>
      <w:r w:rsidR="000636C2">
        <w:rPr>
          <w:rFonts w:hint="cs"/>
          <w:rtl/>
        </w:rPr>
        <w:t>:</w:t>
      </w:r>
      <w:r w:rsidRPr="005675B2">
        <w:rPr>
          <w:rFonts w:hint="cs"/>
          <w:rtl/>
        </w:rPr>
        <w:t xml:space="preserve"> اتفق أهل السنة من المحدثين والفقهاء والمتكلمين .. [</w:t>
      </w:r>
      <w:r w:rsidRPr="005675B2">
        <w:rPr>
          <w:rFonts w:hint="cs"/>
          <w:bCs/>
          <w:sz w:val="24"/>
          <w:szCs w:val="24"/>
          <w:rtl/>
        </w:rPr>
        <w:t>شرح صحيح مسلم 1/106</w:t>
      </w:r>
      <w:r w:rsidRPr="005675B2">
        <w:rPr>
          <w:rFonts w:hint="cs"/>
          <w:rtl/>
        </w:rPr>
        <w:t>]</w:t>
      </w:r>
      <w:r w:rsidRPr="005675B2">
        <w:rPr>
          <w:rStyle w:val="a5"/>
          <w:rFonts w:hint="cs"/>
          <w:b/>
          <w:rtl/>
        </w:rPr>
        <w:t xml:space="preserve"> </w:t>
      </w:r>
      <w:r w:rsidRPr="005675B2">
        <w:rPr>
          <w:rFonts w:hint="cs"/>
          <w:u w:val="single"/>
          <w:rtl/>
        </w:rPr>
        <w:t>وتنبه لقوله أهل السنة</w:t>
      </w:r>
      <w:r w:rsidR="000636C2">
        <w:rPr>
          <w:rFonts w:hint="cs"/>
          <w:u w:val="single"/>
          <w:rtl/>
        </w:rPr>
        <w:t>،</w:t>
      </w:r>
    </w:p>
    <w:p w14:paraId="523B2544" w14:textId="6D7746A9" w:rsidR="009C32A0" w:rsidRPr="005675B2" w:rsidRDefault="000636C2" w:rsidP="000636C2">
      <w:pPr>
        <w:rPr>
          <w:b/>
          <w:rtl/>
        </w:rPr>
      </w:pPr>
      <w:r>
        <w:rPr>
          <w:rFonts w:hint="cs"/>
          <w:u w:val="single"/>
          <w:rtl/>
        </w:rPr>
        <w:t>(</w:t>
      </w:r>
      <w:r w:rsidR="009C32A0">
        <w:rPr>
          <w:rFonts w:hint="cs"/>
          <w:u w:val="single"/>
          <w:rtl/>
        </w:rPr>
        <w:t>تنبيه</w:t>
      </w:r>
      <w:r>
        <w:rPr>
          <w:rFonts w:hint="cs"/>
          <w:u w:val="single"/>
          <w:rtl/>
        </w:rPr>
        <w:t>):</w:t>
      </w:r>
      <w:r w:rsidR="009C32A0" w:rsidRPr="005675B2">
        <w:rPr>
          <w:rFonts w:hint="cs"/>
          <w:u w:val="single"/>
          <w:rtl/>
        </w:rPr>
        <w:t xml:space="preserve"> تأويل الموجان لكلام</w:t>
      </w:r>
      <w:r>
        <w:rPr>
          <w:rFonts w:hint="cs"/>
          <w:u w:val="single"/>
          <w:rtl/>
        </w:rPr>
        <w:t xml:space="preserve"> </w:t>
      </w:r>
      <w:r w:rsidR="009C32A0" w:rsidRPr="005675B2">
        <w:rPr>
          <w:rFonts w:hint="cs"/>
          <w:u w:val="single"/>
          <w:rtl/>
        </w:rPr>
        <w:t>النووي</w:t>
      </w:r>
      <w:r>
        <w:rPr>
          <w:rFonts w:hint="cs"/>
          <w:u w:val="single"/>
          <w:rtl/>
        </w:rPr>
        <w:t>:</w:t>
      </w:r>
      <w:r w:rsidR="009C32A0" w:rsidRPr="005675B2">
        <w:rPr>
          <w:rFonts w:hint="cs"/>
          <w:rtl/>
        </w:rPr>
        <w:t xml:space="preserve"> يدعي الوجان هداه الله أن النووي لما قال</w:t>
      </w:r>
      <w:r>
        <w:rPr>
          <w:rFonts w:hint="cs"/>
          <w:rtl/>
        </w:rPr>
        <w:t>:</w:t>
      </w:r>
      <w:r w:rsidR="009C32A0" w:rsidRPr="005675B2">
        <w:rPr>
          <w:rFonts w:hint="cs"/>
          <w:rtl/>
        </w:rPr>
        <w:t xml:space="preserve"> قرر أئمتنا من المتكلمين أنه يقصد الشافعية أي من جهة الفقه لا العقيدة</w:t>
      </w:r>
      <w:r>
        <w:rPr>
          <w:rFonts w:hint="cs"/>
          <w:rtl/>
        </w:rPr>
        <w:t>،</w:t>
      </w:r>
      <w:r w:rsidR="009C32A0" w:rsidRPr="005675B2">
        <w:rPr>
          <w:rFonts w:hint="cs"/>
          <w:rtl/>
        </w:rPr>
        <w:t xml:space="preserve"> هكذا أدعى</w:t>
      </w:r>
      <w:r>
        <w:rPr>
          <w:rFonts w:hint="cs"/>
          <w:rtl/>
        </w:rPr>
        <w:t>!</w:t>
      </w:r>
      <w:r w:rsidR="009C32A0" w:rsidRPr="005675B2">
        <w:rPr>
          <w:rFonts w:hint="cs"/>
          <w:rtl/>
        </w:rPr>
        <w:t>!فلا أدري ما ذا يصنع بقول النووي</w:t>
      </w:r>
      <w:r>
        <w:rPr>
          <w:rFonts w:hint="cs"/>
          <w:rtl/>
        </w:rPr>
        <w:t>:</w:t>
      </w:r>
      <w:r w:rsidR="009C32A0" w:rsidRPr="005675B2">
        <w:rPr>
          <w:rFonts w:hint="cs"/>
          <w:rtl/>
        </w:rPr>
        <w:t xml:space="preserve"> اتفق </w:t>
      </w:r>
      <w:r w:rsidR="009C32A0" w:rsidRPr="005675B2">
        <w:rPr>
          <w:rFonts w:hint="cs"/>
          <w:u w:val="single"/>
          <w:rtl/>
        </w:rPr>
        <w:t>أهل السنة</w:t>
      </w:r>
      <w:r w:rsidR="009C32A0" w:rsidRPr="005675B2">
        <w:rPr>
          <w:rFonts w:hint="cs"/>
          <w:rtl/>
        </w:rPr>
        <w:t xml:space="preserve"> من المحدثين والفقهاء والمتكلمين</w:t>
      </w:r>
      <w:r>
        <w:rPr>
          <w:rFonts w:hint="cs"/>
          <w:rtl/>
        </w:rPr>
        <w:t>،</w:t>
      </w:r>
      <w:r w:rsidR="009C32A0" w:rsidRPr="005675B2">
        <w:rPr>
          <w:rFonts w:hint="cs"/>
          <w:rtl/>
        </w:rPr>
        <w:t xml:space="preserve"> فهو يقول</w:t>
      </w:r>
      <w:r>
        <w:rPr>
          <w:rFonts w:hint="cs"/>
          <w:rtl/>
        </w:rPr>
        <w:t>:</w:t>
      </w:r>
      <w:r w:rsidR="009C32A0" w:rsidRPr="005675B2">
        <w:rPr>
          <w:rFonts w:hint="cs"/>
          <w:rtl/>
        </w:rPr>
        <w:t>أهل السنة</w:t>
      </w:r>
      <w:r>
        <w:rPr>
          <w:rFonts w:hint="cs"/>
          <w:rtl/>
        </w:rPr>
        <w:t xml:space="preserve">، </w:t>
      </w:r>
      <w:r w:rsidR="009C32A0" w:rsidRPr="005675B2">
        <w:rPr>
          <w:rFonts w:hint="cs"/>
          <w:rtl/>
        </w:rPr>
        <w:t>ويقول محدثين</w:t>
      </w:r>
      <w:r>
        <w:rPr>
          <w:rFonts w:hint="cs"/>
          <w:rtl/>
        </w:rPr>
        <w:t>،</w:t>
      </w:r>
      <w:r w:rsidR="009C32A0" w:rsidRPr="005675B2">
        <w:rPr>
          <w:rFonts w:hint="cs"/>
          <w:rtl/>
        </w:rPr>
        <w:t>وفقهاء</w:t>
      </w:r>
      <w:r>
        <w:rPr>
          <w:rFonts w:hint="cs"/>
          <w:rtl/>
        </w:rPr>
        <w:t>،</w:t>
      </w:r>
      <w:r w:rsidR="009C32A0" w:rsidRPr="005675B2">
        <w:rPr>
          <w:rFonts w:hint="cs"/>
          <w:u w:val="single"/>
          <w:rtl/>
        </w:rPr>
        <w:t>والمتكلمين</w:t>
      </w:r>
      <w:r>
        <w:rPr>
          <w:rFonts w:hint="cs"/>
          <w:u w:val="single"/>
          <w:rtl/>
        </w:rPr>
        <w:t>،</w:t>
      </w:r>
      <w:r w:rsidR="009C32A0" w:rsidRPr="005675B2">
        <w:rPr>
          <w:rFonts w:hint="cs"/>
          <w:rtl/>
        </w:rPr>
        <w:t xml:space="preserve"> أرجو أن يكون في ذلك بيان لكل عاقل منصف</w:t>
      </w:r>
      <w:r>
        <w:rPr>
          <w:rFonts w:hint="cs"/>
          <w:rtl/>
        </w:rPr>
        <w:t>،</w:t>
      </w:r>
      <w:r w:rsidR="009C32A0" w:rsidRPr="005675B2">
        <w:rPr>
          <w:rFonts w:hint="cs"/>
          <w:rtl/>
        </w:rPr>
        <w:t>هداكم الله لقبول الحق</w:t>
      </w:r>
      <w:r>
        <w:rPr>
          <w:rFonts w:hint="cs"/>
          <w:rtl/>
        </w:rPr>
        <w:t xml:space="preserve">، </w:t>
      </w:r>
      <w:r w:rsidR="009C32A0" w:rsidRPr="005675B2">
        <w:rPr>
          <w:rFonts w:hint="cs"/>
          <w:rtl/>
        </w:rPr>
        <w:t xml:space="preserve">قال الذهبي في ترجمة </w:t>
      </w:r>
      <w:r>
        <w:rPr>
          <w:rFonts w:hint="cs"/>
          <w:rtl/>
        </w:rPr>
        <w:t>(</w:t>
      </w:r>
      <w:r w:rsidR="009C32A0" w:rsidRPr="005675B2">
        <w:rPr>
          <w:rFonts w:hint="cs"/>
          <w:rtl/>
        </w:rPr>
        <w:t>النووي</w:t>
      </w:r>
      <w:r>
        <w:rPr>
          <w:rFonts w:hint="cs"/>
          <w:rtl/>
        </w:rPr>
        <w:t>)</w:t>
      </w:r>
      <w:r w:rsidR="009C32A0" w:rsidRPr="005675B2">
        <w:rPr>
          <w:rFonts w:hint="cs"/>
          <w:rtl/>
        </w:rPr>
        <w:t xml:space="preserve"> في (</w:t>
      </w:r>
      <w:r>
        <w:rPr>
          <w:rFonts w:hint="cs"/>
          <w:rtl/>
        </w:rPr>
        <w:t>(</w:t>
      </w:r>
      <w:r w:rsidR="009C32A0" w:rsidRPr="005675B2">
        <w:rPr>
          <w:rFonts w:hint="cs"/>
          <w:rtl/>
        </w:rPr>
        <w:t>تاريخ الإسلا م إن مذهبه في</w:t>
      </w:r>
      <w:r w:rsidR="009C32A0" w:rsidRPr="005675B2">
        <w:rPr>
          <w:rFonts w:hint="cs"/>
        </w:rPr>
        <w:t xml:space="preserve"> </w:t>
      </w:r>
      <w:r w:rsidR="009C32A0" w:rsidRPr="005675B2">
        <w:rPr>
          <w:rFonts w:hint="cs"/>
          <w:rtl/>
        </w:rPr>
        <w:t>الصفات السمعية السكوت</w:t>
      </w:r>
      <w:r>
        <w:rPr>
          <w:rFonts w:hint="cs"/>
          <w:rtl/>
        </w:rPr>
        <w:t>،</w:t>
      </w:r>
      <w:r w:rsidR="009C32A0" w:rsidRPr="005675B2">
        <w:rPr>
          <w:rFonts w:hint="cs"/>
          <w:rtl/>
        </w:rPr>
        <w:t xml:space="preserve"> وإمرارها كما جاءت</w:t>
      </w:r>
      <w:r>
        <w:rPr>
          <w:rFonts w:hint="cs"/>
          <w:rtl/>
        </w:rPr>
        <w:t>،</w:t>
      </w:r>
      <w:r w:rsidR="009C32A0" w:rsidRPr="005675B2">
        <w:rPr>
          <w:rFonts w:hint="cs"/>
          <w:rtl/>
        </w:rPr>
        <w:t xml:space="preserve">وربما </w:t>
      </w:r>
      <w:r w:rsidR="009C32A0" w:rsidRPr="005675B2">
        <w:rPr>
          <w:rFonts w:hint="cs"/>
          <w:u w:val="single"/>
          <w:rtl/>
        </w:rPr>
        <w:t>تأول قليلاً</w:t>
      </w:r>
      <w:r w:rsidR="009C32A0" w:rsidRPr="005675B2">
        <w:rPr>
          <w:rFonts w:hint="cs"/>
          <w:rtl/>
        </w:rPr>
        <w:t xml:space="preserve"> في</w:t>
      </w:r>
      <w:r>
        <w:rPr>
          <w:rFonts w:hint="cs"/>
          <w:rtl/>
        </w:rPr>
        <w:t xml:space="preserve"> </w:t>
      </w:r>
      <w:r w:rsidR="009C32A0" w:rsidRPr="005675B2">
        <w:rPr>
          <w:rFonts w:hint="cs"/>
          <w:rtl/>
        </w:rPr>
        <w:t>شرح مسلم</w:t>
      </w:r>
      <w:r>
        <w:rPr>
          <w:rtl/>
        </w:rPr>
        <w:t>،</w:t>
      </w:r>
      <w:r w:rsidR="009C32A0" w:rsidRPr="005675B2">
        <w:rPr>
          <w:rFonts w:hint="cs"/>
          <w:rtl/>
        </w:rPr>
        <w:t xml:space="preserve"> وقد نقل الإمام</w:t>
      </w:r>
      <w:r>
        <w:rPr>
          <w:rFonts w:hint="cs"/>
          <w:rtl/>
        </w:rPr>
        <w:t xml:space="preserve"> </w:t>
      </w:r>
      <w:r w:rsidR="009C32A0" w:rsidRPr="005675B2">
        <w:rPr>
          <w:rFonts w:hint="cs"/>
          <w:rtl/>
        </w:rPr>
        <w:t>السَّخاوي كلام الذهبي في (</w:t>
      </w:r>
      <w:r>
        <w:rPr>
          <w:rFonts w:hint="cs"/>
          <w:rtl/>
        </w:rPr>
        <w:t>(</w:t>
      </w:r>
      <w:r w:rsidR="009C32A0" w:rsidRPr="005675B2">
        <w:rPr>
          <w:rFonts w:hint="cs"/>
          <w:rtl/>
        </w:rPr>
        <w:t>ترجمة الإمام النووي</w:t>
      </w:r>
      <w:r>
        <w:rPr>
          <w:rFonts w:hint="cs"/>
          <w:rtl/>
        </w:rPr>
        <w:t>)</w:t>
      </w:r>
      <w:r w:rsidR="009C32A0" w:rsidRPr="005675B2">
        <w:rPr>
          <w:rFonts w:hint="cs"/>
          <w:rtl/>
        </w:rPr>
        <w:t xml:space="preserve">) </w:t>
      </w:r>
      <w:r>
        <w:rPr>
          <w:rFonts w:hint="cs"/>
          <w:rtl/>
        </w:rPr>
        <w:t>(</w:t>
      </w:r>
      <w:r w:rsidR="009C32A0" w:rsidRPr="005675B2">
        <w:rPr>
          <w:rFonts w:hint="cs"/>
          <w:rtl/>
        </w:rPr>
        <w:t>36</w:t>
      </w:r>
      <w:r>
        <w:rPr>
          <w:rFonts w:hint="cs"/>
          <w:rtl/>
        </w:rPr>
        <w:t>)</w:t>
      </w:r>
      <w:r w:rsidR="009C32A0" w:rsidRPr="005675B2">
        <w:rPr>
          <w:rFonts w:hint="cs"/>
          <w:rtl/>
        </w:rPr>
        <w:t>عنه</w:t>
      </w:r>
      <w:r>
        <w:rPr>
          <w:rFonts w:hint="cs"/>
          <w:rtl/>
        </w:rPr>
        <w:t>،</w:t>
      </w:r>
      <w:r w:rsidR="009C32A0" w:rsidRPr="005675B2">
        <w:rPr>
          <w:rFonts w:hint="cs"/>
          <w:rtl/>
        </w:rPr>
        <w:t xml:space="preserve"> وتعقبه متعجباً بقوله</w:t>
      </w:r>
      <w:r>
        <w:rPr>
          <w:rFonts w:hint="cs"/>
          <w:rtl/>
        </w:rPr>
        <w:t>:</w:t>
      </w:r>
      <w:r w:rsidR="009C32A0" w:rsidRPr="005675B2">
        <w:rPr>
          <w:rFonts w:hint="cs"/>
        </w:rPr>
        <w:t xml:space="preserve"> </w:t>
      </w:r>
      <w:r w:rsidR="009C32A0" w:rsidRPr="005675B2">
        <w:rPr>
          <w:rFonts w:hint="cs"/>
          <w:rtl/>
        </w:rPr>
        <w:t>كذا قال</w:t>
      </w:r>
      <w:r>
        <w:rPr>
          <w:rFonts w:hint="cs"/>
          <w:rtl/>
        </w:rPr>
        <w:t>!</w:t>
      </w:r>
      <w:r w:rsidR="009C32A0" w:rsidRPr="005675B2">
        <w:rPr>
          <w:rFonts w:hint="cs"/>
          <w:rtl/>
        </w:rPr>
        <w:t xml:space="preserve">!، و </w:t>
      </w:r>
      <w:r w:rsidR="009C32A0" w:rsidRPr="005675B2">
        <w:rPr>
          <w:rFonts w:hint="cs"/>
          <w:u w:val="single"/>
          <w:rtl/>
        </w:rPr>
        <w:t>التأويل كثير</w:t>
      </w:r>
      <w:r w:rsidR="009C32A0" w:rsidRPr="005675B2">
        <w:rPr>
          <w:rFonts w:hint="cs"/>
          <w:rtl/>
        </w:rPr>
        <w:t xml:space="preserve"> في كلامه</w:t>
      </w:r>
      <w:r>
        <w:rPr>
          <w:rtl/>
        </w:rPr>
        <w:t xml:space="preserve"> </w:t>
      </w:r>
      <w:r w:rsidR="009C32A0" w:rsidRPr="005675B2">
        <w:rPr>
          <w:rFonts w:hint="cs"/>
          <w:rtl/>
        </w:rPr>
        <w:t>أنتهى</w:t>
      </w:r>
      <w:r>
        <w:rPr>
          <w:rFonts w:hint="cs"/>
          <w:rtl/>
        </w:rPr>
        <w:t>،</w:t>
      </w:r>
      <w:r w:rsidR="009C32A0" w:rsidRPr="005675B2">
        <w:rPr>
          <w:rFonts w:hint="cs"/>
          <w:rtl/>
        </w:rPr>
        <w:t xml:space="preserve"> ونقل السَّخاوي قبل ذلك عن بعض مترجميه</w:t>
      </w:r>
      <w:r w:rsidR="009C32A0" w:rsidRPr="005675B2">
        <w:rPr>
          <w:rFonts w:hint="cs"/>
        </w:rPr>
        <w:t xml:space="preserve"> </w:t>
      </w:r>
      <w:r w:rsidR="009C32A0" w:rsidRPr="005675B2">
        <w:rPr>
          <w:rFonts w:hint="cs"/>
          <w:rtl/>
        </w:rPr>
        <w:t>أنه وصفه بأنه أشعري</w:t>
      </w:r>
      <w:r>
        <w:rPr>
          <w:rFonts w:hint="cs"/>
          <w:rtl/>
        </w:rPr>
        <w:t>،</w:t>
      </w:r>
      <w:r w:rsidR="009C32A0" w:rsidRPr="005675B2">
        <w:rPr>
          <w:rFonts w:hint="cs"/>
          <w:rtl/>
        </w:rPr>
        <w:t xml:space="preserve"> فقال</w:t>
      </w:r>
      <w:r>
        <w:rPr>
          <w:rFonts w:hint="cs"/>
          <w:rtl/>
        </w:rPr>
        <w:t>:</w:t>
      </w:r>
      <w:r w:rsidR="009C32A0" w:rsidRPr="005675B2">
        <w:rPr>
          <w:rFonts w:hint="cs"/>
          <w:rtl/>
        </w:rPr>
        <w:t xml:space="preserve"> </w:t>
      </w:r>
      <w:r>
        <w:rPr>
          <w:rFonts w:hint="cs"/>
          <w:rtl/>
        </w:rPr>
        <w:t>(</w:t>
      </w:r>
      <w:r w:rsidR="009C32A0" w:rsidRPr="005675B2">
        <w:rPr>
          <w:rFonts w:hint="cs"/>
          <w:rtl/>
        </w:rPr>
        <w:t>ص 36</w:t>
      </w:r>
      <w:r>
        <w:rPr>
          <w:rFonts w:hint="cs"/>
          <w:rtl/>
        </w:rPr>
        <w:t xml:space="preserve">): </w:t>
      </w:r>
      <w:r w:rsidR="009C32A0" w:rsidRPr="005675B2">
        <w:rPr>
          <w:rFonts w:hint="cs"/>
          <w:rtl/>
        </w:rPr>
        <w:t>وصرح اليافعي والتاج السُّبكي _ رحمهما</w:t>
      </w:r>
      <w:r w:rsidR="009C32A0" w:rsidRPr="005675B2">
        <w:rPr>
          <w:rFonts w:hint="cs"/>
        </w:rPr>
        <w:t xml:space="preserve"> </w:t>
      </w:r>
      <w:r w:rsidR="009C32A0" w:rsidRPr="005675B2">
        <w:rPr>
          <w:rFonts w:hint="cs"/>
          <w:rtl/>
        </w:rPr>
        <w:t>الله _ أنه أشعري</w:t>
      </w:r>
      <w:r>
        <w:rPr>
          <w:rFonts w:hint="cs"/>
          <w:rtl/>
        </w:rPr>
        <w:t>،</w:t>
      </w:r>
      <w:r w:rsidR="009C32A0" w:rsidRPr="005675B2">
        <w:rPr>
          <w:rFonts w:hint="cs"/>
          <w:rtl/>
        </w:rPr>
        <w:t xml:space="preserve"> انتهى</w:t>
      </w:r>
      <w:r>
        <w:rPr>
          <w:rFonts w:hint="cs"/>
          <w:rtl/>
        </w:rPr>
        <w:t>،</w:t>
      </w:r>
      <w:r w:rsidR="009C32A0" w:rsidRPr="005675B2">
        <w:rPr>
          <w:rFonts w:hint="cs"/>
          <w:rtl/>
        </w:rPr>
        <w:t xml:space="preserve"> وانظر إلى هذا القول الذي لا يمكن دفعه الدال قطعاً على عقيدة النووي قال النووي</w:t>
      </w:r>
      <w:r>
        <w:rPr>
          <w:rFonts w:hint="cs"/>
          <w:rtl/>
        </w:rPr>
        <w:t>:</w:t>
      </w:r>
      <w:r w:rsidR="009C32A0" w:rsidRPr="005675B2">
        <w:rPr>
          <w:rFonts w:hint="cs"/>
          <w:rtl/>
        </w:rPr>
        <w:t xml:space="preserve"> من اعتقد قدم العالم أو حدوث</w:t>
      </w:r>
      <w:r>
        <w:rPr>
          <w:rFonts w:hint="cs"/>
          <w:rtl/>
        </w:rPr>
        <w:t xml:space="preserve"> </w:t>
      </w:r>
      <w:r w:rsidR="009C32A0" w:rsidRPr="005675B2">
        <w:rPr>
          <w:rFonts w:hint="cs"/>
          <w:rtl/>
        </w:rPr>
        <w:t>الصانع .. أو أثبت له الاتصال أو الانفصال</w:t>
      </w:r>
      <w:r>
        <w:rPr>
          <w:rFonts w:hint="cs"/>
          <w:rtl/>
        </w:rPr>
        <w:t>،</w:t>
      </w:r>
      <w:r w:rsidR="009C32A0" w:rsidRPr="005675B2">
        <w:rPr>
          <w:rFonts w:hint="cs"/>
          <w:rtl/>
        </w:rPr>
        <w:t>كان كافراً</w:t>
      </w:r>
      <w:r>
        <w:rPr>
          <w:rFonts w:hint="cs"/>
          <w:rtl/>
        </w:rPr>
        <w:t>،</w:t>
      </w:r>
      <w:r w:rsidR="009C32A0" w:rsidRPr="005675B2">
        <w:rPr>
          <w:rFonts w:hint="cs"/>
          <w:rtl/>
        </w:rPr>
        <w:t xml:space="preserve"> [</w:t>
      </w:r>
      <w:r w:rsidR="009C32A0" w:rsidRPr="005675B2">
        <w:rPr>
          <w:rFonts w:hint="cs"/>
          <w:bCs/>
          <w:sz w:val="24"/>
          <w:szCs w:val="24"/>
          <w:rtl/>
        </w:rPr>
        <w:t>روضة الطالبين 10/64</w:t>
      </w:r>
      <w:r w:rsidR="009C32A0" w:rsidRPr="005675B2">
        <w:rPr>
          <w:rFonts w:hint="cs"/>
          <w:rtl/>
        </w:rPr>
        <w:t>] أ نتهى</w:t>
      </w:r>
    </w:p>
    <w:p w14:paraId="42117C5E" w14:textId="72898389" w:rsidR="009C32A0" w:rsidRPr="005675B2" w:rsidRDefault="009C32A0" w:rsidP="000636C2">
      <w:pPr>
        <w:rPr>
          <w:b/>
          <w:rtl/>
        </w:rPr>
      </w:pPr>
      <w:r w:rsidRPr="005675B2">
        <w:rPr>
          <w:rFonts w:hint="cs"/>
          <w:rtl/>
        </w:rPr>
        <w:t>رابعاً</w:t>
      </w:r>
      <w:r w:rsidR="000636C2">
        <w:rPr>
          <w:rFonts w:hint="cs"/>
          <w:rtl/>
        </w:rPr>
        <w:t>:</w:t>
      </w:r>
      <w:r w:rsidRPr="005675B2">
        <w:rPr>
          <w:rFonts w:hint="cs"/>
          <w:rtl/>
        </w:rPr>
        <w:t xml:space="preserve"> بالنسبة لمذهب المفوضة فهو أيضاً عندكم من أشر المذاهب فسواء كان الحافظ النووي، والحافظ ابن حجر</w:t>
      </w:r>
      <w:r w:rsidR="000636C2">
        <w:rPr>
          <w:rFonts w:hint="cs"/>
          <w:rtl/>
        </w:rPr>
        <w:t>،</w:t>
      </w:r>
      <w:r w:rsidRPr="005675B2">
        <w:rPr>
          <w:rFonts w:hint="cs"/>
          <w:rtl/>
        </w:rPr>
        <w:t>وابن الجوزي أشعرية</w:t>
      </w:r>
      <w:r w:rsidR="000636C2">
        <w:rPr>
          <w:rFonts w:hint="cs"/>
          <w:rtl/>
        </w:rPr>
        <w:t xml:space="preserve"> </w:t>
      </w:r>
      <w:r w:rsidRPr="005675B2">
        <w:rPr>
          <w:rFonts w:hint="cs"/>
          <w:rtl/>
        </w:rPr>
        <w:t>أم مفوضة فكلا المذهبين ليسوا من أهل السنة والجماعة بميزانكم - فإنا لله وإنا إليه راجعون -</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قال فضيلة الشيخ</w:t>
      </w:r>
      <w:r w:rsidRPr="005675B2">
        <w:rPr>
          <w:rFonts w:hint="cs"/>
        </w:rPr>
        <w:t xml:space="preserve"> </w:t>
      </w:r>
      <w:r w:rsidRPr="005675B2">
        <w:rPr>
          <w:rFonts w:hint="cs"/>
          <w:rtl/>
        </w:rPr>
        <w:t>الفوزان عن الأشاعرة</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نعم هم من أهل السنة</w:t>
      </w:r>
      <w:r w:rsidRPr="005675B2">
        <w:rPr>
          <w:rFonts w:hint="cs"/>
        </w:rPr>
        <w:t xml:space="preserve"> </w:t>
      </w:r>
      <w:r w:rsidRPr="005675B2">
        <w:rPr>
          <w:rFonts w:hint="cs"/>
          <w:rtl/>
        </w:rPr>
        <w:t>والجماعة في بقية أبواب الإيمان والعقيدة وليسوا منهم في باب الصفات</w:t>
      </w:r>
      <w:r w:rsidRPr="005675B2">
        <w:rPr>
          <w:rFonts w:hint="cs"/>
        </w:rPr>
        <w:t xml:space="preserve"> </w:t>
      </w:r>
      <w:r w:rsidRPr="005675B2">
        <w:rPr>
          <w:rFonts w:hint="cs"/>
          <w:rtl/>
        </w:rPr>
        <w:t>"</w:t>
      </w:r>
      <w:r w:rsidR="000636C2">
        <w:rPr>
          <w:rFonts w:hint="cs"/>
          <w:rtl/>
        </w:rPr>
        <w:t>،</w:t>
      </w:r>
      <w:r w:rsidRPr="005675B2">
        <w:rPr>
          <w:rFonts w:hint="cs"/>
          <w:rtl/>
        </w:rPr>
        <w:t xml:space="preserve"> وهذا سبق قلم من فضيلته</w:t>
      </w:r>
      <w:r w:rsidR="000636C2">
        <w:rPr>
          <w:rFonts w:hint="cs"/>
          <w:rtl/>
        </w:rPr>
        <w:t>،</w:t>
      </w:r>
      <w:r w:rsidRPr="005675B2">
        <w:rPr>
          <w:rFonts w:hint="cs"/>
        </w:rPr>
        <w:t xml:space="preserve"> </w:t>
      </w:r>
      <w:r w:rsidRPr="005675B2">
        <w:rPr>
          <w:rFonts w:hint="cs"/>
          <w:rtl/>
        </w:rPr>
        <w:t>ومثل هذه الدعوى هي التي يهش لها الأشاعرة المعاصرون ويروجونها</w:t>
      </w:r>
      <w:r w:rsidR="000636C2">
        <w:rPr>
          <w:rFonts w:hint="cs"/>
          <w:rtl/>
        </w:rPr>
        <w:t>،</w:t>
      </w:r>
      <w:r w:rsidRPr="005675B2">
        <w:rPr>
          <w:rFonts w:hint="cs"/>
          <w:rtl/>
        </w:rPr>
        <w:t xml:space="preserve"> لأنه إذا كان</w:t>
      </w:r>
      <w:r w:rsidRPr="005675B2">
        <w:rPr>
          <w:rFonts w:hint="cs"/>
        </w:rPr>
        <w:t xml:space="preserve"> </w:t>
      </w:r>
      <w:r w:rsidRPr="005675B2">
        <w:rPr>
          <w:rFonts w:hint="cs"/>
          <w:rtl/>
        </w:rPr>
        <w:t>الفارق هو الصفات فقط قالوا إن الخلاف فيها أصله الاجتهاد والكل متفقون على التنزيه</w:t>
      </w:r>
      <w:r w:rsidRPr="005675B2">
        <w:rPr>
          <w:rFonts w:hint="cs"/>
        </w:rPr>
        <w:t xml:space="preserve"> </w:t>
      </w:r>
      <w:r w:rsidRPr="005675B2">
        <w:rPr>
          <w:rFonts w:hint="cs"/>
          <w:rtl/>
        </w:rPr>
        <w:t>فكأنه لا خلاف إذن</w:t>
      </w:r>
      <w:r w:rsidR="000636C2">
        <w:rPr>
          <w:rFonts w:hint="cs"/>
          <w:rtl/>
        </w:rPr>
        <w:t>،</w:t>
      </w:r>
      <w:r w:rsidRPr="005675B2">
        <w:rPr>
          <w:rFonts w:hint="cs"/>
          <w:rtl/>
        </w:rPr>
        <w:t xml:space="preserve"> وربما قالوا نحن مستعدون أن نثبت لله يداً وعيناً وسائر الصفات</w:t>
      </w:r>
      <w:r w:rsidRPr="005675B2">
        <w:rPr>
          <w:rFonts w:hint="cs"/>
        </w:rPr>
        <w:t xml:space="preserve"> </w:t>
      </w:r>
      <w:r w:rsidRPr="005675B2">
        <w:rPr>
          <w:rFonts w:hint="cs"/>
          <w:rtl/>
        </w:rPr>
        <w:t>في سبيل توحيد الصف ووحدة الكلمة</w:t>
      </w:r>
      <w:r w:rsidR="000636C2">
        <w:rPr>
          <w:rFonts w:hint="cs"/>
          <w:rtl/>
        </w:rPr>
        <w:t>!</w:t>
      </w:r>
      <w:r w:rsidRPr="005675B2">
        <w:rPr>
          <w:rFonts w:hint="cs"/>
          <w:rtl/>
        </w:rPr>
        <w:t xml:space="preserve">! </w:t>
      </w:r>
    </w:p>
    <w:p w14:paraId="33DCF3BF" w14:textId="6162D706" w:rsidR="009C32A0" w:rsidRPr="005675B2" w:rsidRDefault="000636C2" w:rsidP="000636C2">
      <w:pPr>
        <w:rPr>
          <w:rtl/>
        </w:rPr>
      </w:pPr>
      <w:r>
        <w:rPr>
          <w:rFonts w:hint="cs"/>
          <w:rtl/>
        </w:rPr>
        <w:t>[</w:t>
      </w:r>
      <w:r w:rsidR="009C32A0">
        <w:rPr>
          <w:rFonts w:hint="cs"/>
          <w:rtl/>
        </w:rPr>
        <w:t>الجواب</w:t>
      </w:r>
      <w:r>
        <w:rPr>
          <w:rFonts w:hint="cs"/>
          <w:rtl/>
        </w:rPr>
        <w:t>]:</w:t>
      </w:r>
      <w:r w:rsidR="009C32A0" w:rsidRPr="005675B2">
        <w:rPr>
          <w:rFonts w:hint="cs"/>
          <w:rtl/>
        </w:rPr>
        <w:t xml:space="preserve"> وهل</w:t>
      </w:r>
      <w:r>
        <w:rPr>
          <w:rFonts w:hint="cs"/>
          <w:rtl/>
        </w:rPr>
        <w:t xml:space="preserve"> </w:t>
      </w:r>
      <w:r w:rsidR="009C32A0" w:rsidRPr="005675B2">
        <w:rPr>
          <w:rFonts w:hint="cs"/>
          <w:rtl/>
        </w:rPr>
        <w:t>هذا</w:t>
      </w:r>
      <w:r>
        <w:rPr>
          <w:rFonts w:hint="cs"/>
          <w:rtl/>
        </w:rPr>
        <w:t xml:space="preserve"> </w:t>
      </w:r>
      <w:r w:rsidR="009C32A0" w:rsidRPr="005675B2">
        <w:rPr>
          <w:rFonts w:hint="cs"/>
          <w:rtl/>
        </w:rPr>
        <w:t>ما يقلقك هداك الله</w:t>
      </w:r>
      <w:r>
        <w:rPr>
          <w:rFonts w:hint="cs"/>
          <w:rtl/>
        </w:rPr>
        <w:t>؟</w:t>
      </w:r>
      <w:r w:rsidR="009C32A0" w:rsidRPr="005675B2">
        <w:rPr>
          <w:rFonts w:hint="cs"/>
          <w:rtl/>
        </w:rPr>
        <w:t>أم تريد أن تحمل سائر أهل لسنة والجماعة على فهمك وليتك مصيب</w:t>
      </w:r>
      <w:r>
        <w:rPr>
          <w:rFonts w:hint="cs"/>
          <w:rtl/>
        </w:rPr>
        <w:t>؟!</w:t>
      </w:r>
      <w:r w:rsidR="009C32A0" w:rsidRPr="005675B2">
        <w:rPr>
          <w:rFonts w:hint="cs"/>
          <w:rtl/>
        </w:rPr>
        <w:t>!</w:t>
      </w:r>
      <w:r>
        <w:rPr>
          <w:rFonts w:hint="cs"/>
          <w:rtl/>
        </w:rPr>
        <w:t xml:space="preserve"> </w:t>
      </w:r>
      <w:r w:rsidR="009C32A0" w:rsidRPr="005675B2">
        <w:rPr>
          <w:rFonts w:hint="cs"/>
          <w:rtl/>
        </w:rPr>
        <w:t>ثم من قال لك أن الأشاعرة ينفون صفة العين، واليد فكثير من لأشاعرة وسائر أهل السنة والجماعة يثبتون ذلك ولكنهم ينفون المعنى الباطل</w:t>
      </w:r>
      <w:r>
        <w:rPr>
          <w:rFonts w:hint="cs"/>
          <w:rtl/>
        </w:rPr>
        <w:t>،</w:t>
      </w:r>
      <w:r w:rsidR="009C32A0" w:rsidRPr="005675B2">
        <w:rPr>
          <w:rFonts w:hint="cs"/>
          <w:rtl/>
        </w:rPr>
        <w:t xml:space="preserve"> فينفون كون اليد هي العضو والجارحة</w:t>
      </w:r>
      <w:r>
        <w:rPr>
          <w:rFonts w:hint="cs"/>
          <w:rtl/>
        </w:rPr>
        <w:t>،</w:t>
      </w:r>
      <w:r w:rsidR="009C32A0" w:rsidRPr="005675B2">
        <w:rPr>
          <w:rFonts w:hint="cs"/>
          <w:rtl/>
        </w:rPr>
        <w:t xml:space="preserve"> وينفون كون العين هي الحدقة المحاطة بجفن فهم يثبتون العين</w:t>
      </w:r>
      <w:r>
        <w:rPr>
          <w:rFonts w:hint="cs"/>
          <w:rtl/>
        </w:rPr>
        <w:t xml:space="preserve"> </w:t>
      </w:r>
      <w:r w:rsidR="009C32A0" w:rsidRPr="005675B2">
        <w:rPr>
          <w:rFonts w:hint="cs"/>
          <w:rtl/>
        </w:rPr>
        <w:t>لله تعالى ثم بعد ذلك إما أن يخاض في بيان معناها على الوجه الأئق بالله السائغ في لغة العرب وهذا هو التأويل</w:t>
      </w:r>
      <w:r>
        <w:rPr>
          <w:rFonts w:hint="cs"/>
          <w:rtl/>
        </w:rPr>
        <w:t>،</w:t>
      </w:r>
      <w:r w:rsidR="009C32A0" w:rsidRPr="005675B2">
        <w:rPr>
          <w:rFonts w:hint="cs"/>
          <w:rtl/>
        </w:rPr>
        <w:t>أو تمر بلا تفسير لمعناها ويكتفى بمعرفة المراد من خلال السياق</w:t>
      </w:r>
      <w:r>
        <w:rPr>
          <w:rFonts w:hint="cs"/>
          <w:rtl/>
        </w:rPr>
        <w:t xml:space="preserve"> </w:t>
      </w:r>
      <w:r w:rsidR="009C32A0" w:rsidRPr="005675B2">
        <w:rPr>
          <w:rFonts w:hint="cs"/>
          <w:rtl/>
        </w:rPr>
        <w:t>مع نفي عضو ونحوه من معاني التشبيه</w:t>
      </w:r>
      <w:r>
        <w:rPr>
          <w:rFonts w:hint="cs"/>
          <w:rtl/>
        </w:rPr>
        <w:t>،</w:t>
      </w:r>
      <w:r w:rsidR="009C32A0" w:rsidRPr="005675B2">
        <w:rPr>
          <w:rFonts w:hint="cs"/>
          <w:rtl/>
        </w:rPr>
        <w:t xml:space="preserve"> وهذا هو التفويض</w:t>
      </w:r>
      <w:r>
        <w:rPr>
          <w:rFonts w:hint="cs"/>
          <w:rtl/>
        </w:rPr>
        <w:t>،</w:t>
      </w:r>
      <w:r w:rsidR="009C32A0" w:rsidRPr="005675B2">
        <w:rPr>
          <w:rFonts w:hint="cs"/>
          <w:rtl/>
        </w:rPr>
        <w:t xml:space="preserve"> وسيأتي بيان خطأك العظيم في فهم المسائل عند الأشاعرة إن شاء الله وتوضيح أكثر لهذه المسألة</w:t>
      </w:r>
      <w:r>
        <w:rPr>
          <w:rFonts w:hint="cs"/>
          <w:rtl/>
        </w:rPr>
        <w:t>،</w:t>
      </w:r>
    </w:p>
    <w:p w14:paraId="3E7FB8CF" w14:textId="0E49C908" w:rsidR="009C32A0" w:rsidRPr="005675B2" w:rsidRDefault="009C32A0" w:rsidP="000636C2">
      <w:pPr>
        <w:rPr>
          <w:b/>
          <w:rtl/>
        </w:rPr>
      </w:pPr>
      <w:r w:rsidRPr="005675B2">
        <w:rPr>
          <w:rFonts w:hint="cs"/>
          <w:bCs/>
          <w:rtl/>
        </w:rPr>
        <w:t>شروع الكاتب في نقد المسائل بعد كيل التهم</w:t>
      </w:r>
      <w:r w:rsidR="000636C2">
        <w:rPr>
          <w:rFonts w:hint="cs"/>
          <w:bCs/>
          <w:rtl/>
        </w:rPr>
        <w:t>،</w:t>
      </w:r>
      <w:r w:rsidRPr="005675B2">
        <w:rPr>
          <w:rFonts w:hint="cs"/>
          <w:bCs/>
          <w:rtl/>
        </w:rPr>
        <w:t xml:space="preserve"> </w:t>
      </w:r>
      <w:r w:rsidRPr="005675B2">
        <w:rPr>
          <w:rFonts w:hint="cs"/>
          <w:rtl/>
        </w:rPr>
        <w:t>قال الأخ الكاتب وفقه الله لرضاه</w:t>
      </w:r>
      <w:r w:rsidR="000636C2">
        <w:rPr>
          <w:rFonts w:hint="cs"/>
          <w:rtl/>
        </w:rPr>
        <w:t>:</w:t>
      </w:r>
      <w:r w:rsidRPr="005675B2">
        <w:rPr>
          <w:rFonts w:hint="cs"/>
          <w:rtl/>
        </w:rPr>
        <w:t xml:space="preserve"> </w:t>
      </w:r>
    </w:p>
    <w:p w14:paraId="44E1AF8C" w14:textId="595BBF05" w:rsidR="009C32A0" w:rsidRPr="005675B2" w:rsidRDefault="009C32A0" w:rsidP="000636C2">
      <w:pPr>
        <w:rPr>
          <w:b/>
        </w:rPr>
      </w:pPr>
      <w:r w:rsidRPr="005675B2">
        <w:rPr>
          <w:rFonts w:hint="cs"/>
          <w:bCs/>
          <w:rtl/>
        </w:rPr>
        <w:t>مصدر التلقي</w:t>
      </w:r>
      <w:r w:rsidR="000636C2">
        <w:rPr>
          <w:rFonts w:hint="cs"/>
          <w:rtl/>
        </w:rPr>
        <w:t>:</w:t>
      </w:r>
      <w:r w:rsidRPr="005675B2">
        <w:rPr>
          <w:rFonts w:hint="cs"/>
          <w:rtl/>
        </w:rPr>
        <w:t xml:space="preserve"> مصدر التلقي عند</w:t>
      </w:r>
      <w:r w:rsidRPr="005675B2">
        <w:rPr>
          <w:rFonts w:hint="cs"/>
        </w:rPr>
        <w:t xml:space="preserve"> </w:t>
      </w:r>
      <w:r w:rsidRPr="005675B2">
        <w:rPr>
          <w:rFonts w:hint="cs"/>
          <w:rtl/>
        </w:rPr>
        <w:t>الأشاعرة هو العقل</w:t>
      </w:r>
      <w:r w:rsidR="000636C2">
        <w:rPr>
          <w:rFonts w:hint="cs"/>
          <w:rtl/>
        </w:rPr>
        <w:t>،</w:t>
      </w:r>
      <w:r w:rsidRPr="005675B2">
        <w:rPr>
          <w:rFonts w:hint="cs"/>
          <w:rtl/>
        </w:rPr>
        <w:t xml:space="preserve"> وقد صرح الجويني والرازي والبغدادي والغزالي والآمدي والأيجي</w:t>
      </w:r>
      <w:r w:rsidRPr="005675B2">
        <w:rPr>
          <w:rFonts w:hint="cs"/>
        </w:rPr>
        <w:t xml:space="preserve"> </w:t>
      </w:r>
      <w:r w:rsidRPr="005675B2">
        <w:rPr>
          <w:rFonts w:hint="cs"/>
          <w:rtl/>
        </w:rPr>
        <w:t>وابن فورك والسنوسي وشراح الجوهرة وسائر أئمتهم بتقديم العقل على النقل عند التعارض</w:t>
      </w:r>
      <w:r w:rsidR="000636C2">
        <w:rPr>
          <w:rFonts w:hint="cs"/>
          <w:rtl/>
        </w:rPr>
        <w:t xml:space="preserve">، </w:t>
      </w:r>
    </w:p>
    <w:p w14:paraId="2118593D" w14:textId="532CB19D"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ذكر الكاتب مسألتين</w:t>
      </w:r>
      <w:r>
        <w:rPr>
          <w:rFonts w:hint="cs"/>
          <w:rtl/>
        </w:rPr>
        <w:t xml:space="preserve"> </w:t>
      </w:r>
      <w:r w:rsidR="009C32A0" w:rsidRPr="005675B2">
        <w:rPr>
          <w:rFonts w:hint="cs"/>
          <w:rtl/>
        </w:rPr>
        <w:t>في هذه الفقرة</w:t>
      </w:r>
      <w:r>
        <w:rPr>
          <w:rFonts w:hint="cs"/>
          <w:rtl/>
        </w:rPr>
        <w:t xml:space="preserve">: </w:t>
      </w:r>
      <w:r w:rsidR="009C32A0" w:rsidRPr="005675B2">
        <w:rPr>
          <w:rFonts w:hint="cs"/>
          <w:rtl/>
        </w:rPr>
        <w:t>الأولى</w:t>
      </w:r>
      <w:r>
        <w:rPr>
          <w:rFonts w:hint="cs"/>
          <w:rtl/>
        </w:rPr>
        <w:t>:</w:t>
      </w:r>
      <w:r w:rsidR="009C32A0" w:rsidRPr="005675B2">
        <w:rPr>
          <w:rFonts w:hint="cs"/>
          <w:rtl/>
        </w:rPr>
        <w:t xml:space="preserve"> مصدر التلقي</w:t>
      </w:r>
      <w:r>
        <w:rPr>
          <w:rFonts w:hint="cs"/>
          <w:rtl/>
        </w:rPr>
        <w:t>،</w:t>
      </w:r>
      <w:r w:rsidR="009C32A0" w:rsidRPr="005675B2">
        <w:rPr>
          <w:rFonts w:hint="cs"/>
          <w:rtl/>
        </w:rPr>
        <w:t xml:space="preserve"> والثانية مسألة تقديم العقل على النقل عند التعارض</w:t>
      </w:r>
      <w:r>
        <w:rPr>
          <w:rFonts w:hint="cs"/>
          <w:rtl/>
        </w:rPr>
        <w:t xml:space="preserve">، </w:t>
      </w:r>
      <w:r w:rsidR="009C32A0" w:rsidRPr="005675B2">
        <w:rPr>
          <w:rFonts w:hint="cs"/>
          <w:rtl/>
        </w:rPr>
        <w:t>جواب المسألة</w:t>
      </w:r>
      <w:r>
        <w:rPr>
          <w:rFonts w:hint="cs"/>
          <w:rtl/>
        </w:rPr>
        <w:t xml:space="preserve"> </w:t>
      </w:r>
      <w:r w:rsidR="009C32A0" w:rsidRPr="005675B2">
        <w:rPr>
          <w:rFonts w:hint="cs"/>
          <w:rtl/>
        </w:rPr>
        <w:t>الأولى</w:t>
      </w:r>
      <w:r>
        <w:rPr>
          <w:rFonts w:hint="cs"/>
          <w:rtl/>
        </w:rPr>
        <w:t>:</w:t>
      </w:r>
      <w:r w:rsidR="009C32A0" w:rsidRPr="005675B2">
        <w:rPr>
          <w:rFonts w:hint="cs"/>
          <w:rtl/>
        </w:rPr>
        <w:t>ليس بصحيح أن مصدر التلقي عندهم هو مجرد العقل وإنما العقل فقط شرط</w:t>
      </w:r>
      <w:r>
        <w:rPr>
          <w:rFonts w:hint="cs"/>
          <w:rtl/>
        </w:rPr>
        <w:t xml:space="preserve"> </w:t>
      </w:r>
      <w:r w:rsidR="009C32A0" w:rsidRPr="005675B2">
        <w:rPr>
          <w:rFonts w:hint="cs"/>
          <w:rtl/>
        </w:rPr>
        <w:t>للفهم والتكليف</w:t>
      </w:r>
      <w:r>
        <w:rPr>
          <w:rFonts w:hint="cs"/>
          <w:rtl/>
        </w:rPr>
        <w:t xml:space="preserve"> </w:t>
      </w:r>
      <w:r w:rsidR="009C32A0" w:rsidRPr="005675B2">
        <w:rPr>
          <w:rFonts w:hint="cs"/>
          <w:rtl/>
        </w:rPr>
        <w:t>واما الأحكام كلها فتثبت بالشرع</w:t>
      </w:r>
      <w:r>
        <w:rPr>
          <w:rFonts w:hint="cs"/>
          <w:rtl/>
        </w:rPr>
        <w:t xml:space="preserve">، </w:t>
      </w:r>
      <w:r w:rsidR="009C32A0" w:rsidRPr="005675B2">
        <w:rPr>
          <w:rFonts w:hint="cs"/>
          <w:rtl/>
        </w:rPr>
        <w:t>1</w:t>
      </w:r>
      <w:r>
        <w:rPr>
          <w:rFonts w:hint="cs"/>
          <w:rtl/>
        </w:rPr>
        <w:t xml:space="preserve"> </w:t>
      </w:r>
      <w:r w:rsidR="009C32A0" w:rsidRPr="005675B2">
        <w:rPr>
          <w:rFonts w:hint="cs"/>
          <w:rtl/>
        </w:rPr>
        <w:t>- قال</w:t>
      </w:r>
      <w:r>
        <w:rPr>
          <w:rFonts w:hint="cs"/>
          <w:rtl/>
        </w:rPr>
        <w:t xml:space="preserve"> </w:t>
      </w:r>
      <w:r w:rsidR="009C32A0" w:rsidRPr="005675B2">
        <w:rPr>
          <w:rFonts w:hint="cs"/>
          <w:rtl/>
        </w:rPr>
        <w:t>الإمام الباجوري</w:t>
      </w:r>
      <w:r>
        <w:rPr>
          <w:rFonts w:hint="cs"/>
          <w:rtl/>
        </w:rPr>
        <w:t xml:space="preserve">: </w:t>
      </w:r>
      <w:r w:rsidR="009C32A0" w:rsidRPr="005675B2">
        <w:rPr>
          <w:rFonts w:hint="cs"/>
          <w:rtl/>
        </w:rPr>
        <w:t>مذهب الأشاعرة أن الأحكام كلها ثبتت بالشرع لكن</w:t>
      </w:r>
      <w:r>
        <w:rPr>
          <w:rFonts w:hint="cs"/>
          <w:rtl/>
        </w:rPr>
        <w:t xml:space="preserve"> </w:t>
      </w:r>
      <w:r w:rsidR="009C32A0" w:rsidRPr="005675B2">
        <w:rPr>
          <w:rFonts w:hint="cs"/>
          <w:rtl/>
        </w:rPr>
        <w:t>بشرط العقل</w:t>
      </w:r>
      <w:r>
        <w:rPr>
          <w:rFonts w:hint="cs"/>
          <w:rtl/>
        </w:rPr>
        <w:t>،[</w:t>
      </w:r>
      <w:r w:rsidR="009C32A0" w:rsidRPr="005675B2">
        <w:rPr>
          <w:rFonts w:hint="cs"/>
          <w:bCs/>
          <w:sz w:val="24"/>
          <w:szCs w:val="24"/>
          <w:rtl/>
        </w:rPr>
        <w:t>حاشية الباجوري ص85 طبعة دار البيروني]</w:t>
      </w:r>
      <w:r w:rsidR="009C32A0" w:rsidRPr="005675B2">
        <w:rPr>
          <w:rFonts w:hint="cs"/>
          <w:rtl/>
        </w:rPr>
        <w:t xml:space="preserve"> وهم بذلك يخالفون المعتزلة الذين يقولون</w:t>
      </w:r>
      <w:r>
        <w:rPr>
          <w:rFonts w:hint="cs"/>
          <w:rtl/>
        </w:rPr>
        <w:t>:</w:t>
      </w:r>
      <w:r w:rsidR="009C32A0" w:rsidRPr="005675B2">
        <w:rPr>
          <w:rFonts w:hint="cs"/>
          <w:rtl/>
        </w:rPr>
        <w:t xml:space="preserve"> إن الأحكام كلها ثبتت بالعقل</w:t>
      </w:r>
      <w:r>
        <w:rPr>
          <w:rFonts w:hint="cs"/>
          <w:rtl/>
        </w:rPr>
        <w:t>،</w:t>
      </w:r>
      <w:r w:rsidR="009C32A0" w:rsidRPr="005675B2">
        <w:rPr>
          <w:rFonts w:hint="cs"/>
          <w:rtl/>
        </w:rPr>
        <w:t xml:space="preserve"> [</w:t>
      </w:r>
      <w:r w:rsidR="009C32A0" w:rsidRPr="005675B2">
        <w:rPr>
          <w:rFonts w:hint="cs"/>
          <w:sz w:val="24"/>
          <w:szCs w:val="24"/>
          <w:rtl/>
        </w:rPr>
        <w:t>والمعتزلة لا ينفون الشرع اصلاً وإلا لكفروا قطعاً بل قالوا</w:t>
      </w:r>
      <w:r>
        <w:rPr>
          <w:rFonts w:hint="cs"/>
          <w:sz w:val="24"/>
          <w:szCs w:val="24"/>
          <w:rtl/>
        </w:rPr>
        <w:t>:</w:t>
      </w:r>
      <w:r w:rsidR="009C32A0" w:rsidRPr="005675B2">
        <w:rPr>
          <w:rFonts w:hint="cs"/>
          <w:sz w:val="24"/>
          <w:szCs w:val="24"/>
          <w:rtl/>
        </w:rPr>
        <w:t xml:space="preserve"> أن الشرع جاء مقوياً ومؤكداً للعقل .نفس المصدر</w:t>
      </w:r>
      <w:r w:rsidR="009C32A0" w:rsidRPr="005675B2">
        <w:rPr>
          <w:rFonts w:hint="cs"/>
          <w:rtl/>
        </w:rPr>
        <w:t>]</w:t>
      </w:r>
      <w:r>
        <w:rPr>
          <w:rFonts w:hint="cs"/>
          <w:rtl/>
        </w:rPr>
        <w:t xml:space="preserve">، </w:t>
      </w:r>
      <w:r w:rsidR="009C32A0" w:rsidRPr="005675B2">
        <w:rPr>
          <w:rFonts w:hint="cs"/>
          <w:rtl/>
        </w:rPr>
        <w:t>2</w:t>
      </w:r>
      <w:r>
        <w:rPr>
          <w:rFonts w:hint="cs"/>
          <w:rtl/>
        </w:rPr>
        <w:t xml:space="preserve"> </w:t>
      </w:r>
      <w:r w:rsidR="009C32A0" w:rsidRPr="005675B2">
        <w:rPr>
          <w:rFonts w:hint="cs"/>
          <w:rtl/>
        </w:rPr>
        <w:t>- وقال الإمام الباقلاني</w:t>
      </w:r>
      <w:r>
        <w:rPr>
          <w:rFonts w:hint="cs"/>
          <w:rtl/>
        </w:rPr>
        <w:t>:</w:t>
      </w:r>
      <w:r w:rsidR="009C32A0" w:rsidRPr="005675B2">
        <w:rPr>
          <w:rFonts w:hint="cs"/>
          <w:rtl/>
        </w:rPr>
        <w:t xml:space="preserve"> واعلم أن طرق المباين عن الأدلة</w:t>
      </w:r>
      <w:r>
        <w:rPr>
          <w:rFonts w:hint="cs"/>
          <w:rtl/>
        </w:rPr>
        <w:t xml:space="preserve"> </w:t>
      </w:r>
      <w:r w:rsidR="009C32A0" w:rsidRPr="005675B2">
        <w:rPr>
          <w:rFonts w:hint="cs"/>
          <w:rtl/>
        </w:rPr>
        <w:t>التي يدرك بها الحق والباطل خمسة أوجه</w:t>
      </w:r>
      <w:r>
        <w:rPr>
          <w:rFonts w:hint="cs"/>
          <w:rtl/>
        </w:rPr>
        <w:t>:</w:t>
      </w:r>
      <w:r w:rsidR="009C32A0" w:rsidRPr="005675B2">
        <w:rPr>
          <w:rFonts w:hint="cs"/>
          <w:rtl/>
        </w:rPr>
        <w:t>كتاب الله عزوجل وسنة رسوله وإجماع الأمة</w:t>
      </w:r>
      <w:r>
        <w:rPr>
          <w:rFonts w:hint="cs"/>
          <w:rtl/>
        </w:rPr>
        <w:t>،</w:t>
      </w:r>
      <w:r w:rsidR="009C32A0" w:rsidRPr="005675B2">
        <w:rPr>
          <w:rFonts w:hint="cs"/>
          <w:rtl/>
        </w:rPr>
        <w:t xml:space="preserve"> وما استخرج من هذه النصوص وبني عليها</w:t>
      </w:r>
      <w:r>
        <w:rPr>
          <w:rFonts w:hint="cs"/>
          <w:rtl/>
        </w:rPr>
        <w:t xml:space="preserve"> </w:t>
      </w:r>
      <w:r w:rsidR="009C32A0" w:rsidRPr="005675B2">
        <w:rPr>
          <w:rFonts w:hint="cs"/>
          <w:rtl/>
        </w:rPr>
        <w:t>بطريق القياس والاجتهاد وحجج العقول</w:t>
      </w:r>
      <w:r>
        <w:rPr>
          <w:rFonts w:hint="cs"/>
          <w:rtl/>
        </w:rPr>
        <w:t>،</w:t>
      </w:r>
      <w:r w:rsidR="009C32A0" w:rsidRPr="005675B2">
        <w:rPr>
          <w:rFonts w:hint="cs"/>
          <w:rtl/>
        </w:rPr>
        <w:t xml:space="preserve"> [</w:t>
      </w:r>
      <w:r w:rsidR="009C32A0" w:rsidRPr="005675B2">
        <w:rPr>
          <w:rFonts w:hint="cs"/>
          <w:bCs/>
          <w:sz w:val="24"/>
          <w:szCs w:val="24"/>
          <w:rtl/>
        </w:rPr>
        <w:t>الإنصاف ص30</w:t>
      </w:r>
      <w:r w:rsidR="009C32A0" w:rsidRPr="005675B2">
        <w:rPr>
          <w:rFonts w:hint="cs"/>
          <w:rtl/>
        </w:rPr>
        <w:t>]</w:t>
      </w:r>
    </w:p>
    <w:p w14:paraId="3E2448A9" w14:textId="33F6B303"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w:t>
      </w:r>
      <w:r w:rsidR="000636C2">
        <w:rPr>
          <w:rFonts w:hint="cs"/>
          <w:rtl/>
        </w:rPr>
        <w:t xml:space="preserve"> </w:t>
      </w:r>
      <w:r w:rsidRPr="005675B2">
        <w:rPr>
          <w:rFonts w:hint="cs"/>
          <w:rtl/>
        </w:rPr>
        <w:t>وقال عبدالسلام اللقاني في تحفة المريد</w:t>
      </w:r>
      <w:r w:rsidR="000636C2">
        <w:rPr>
          <w:rFonts w:hint="cs"/>
          <w:rtl/>
        </w:rPr>
        <w:t>:</w:t>
      </w:r>
      <w:r w:rsidRPr="005675B2">
        <w:rPr>
          <w:rFonts w:hint="cs"/>
          <w:rtl/>
        </w:rPr>
        <w:t xml:space="preserve"> لا يجب على المكلف معرفة ماقدوجب لله عقلاً إلا </w:t>
      </w:r>
      <w:r w:rsidRPr="005675B2">
        <w:rPr>
          <w:rFonts w:hint="cs"/>
          <w:u w:val="single"/>
          <w:rtl/>
        </w:rPr>
        <w:t>بالشرع إذ قبله لا حكم أصلاً لا</w:t>
      </w:r>
      <w:r w:rsidRPr="005675B2">
        <w:rPr>
          <w:rFonts w:hint="cs"/>
          <w:rtl/>
        </w:rPr>
        <w:t xml:space="preserve"> أصلياً ولا فرعياً كما هو المنقول عن الأشاعرة وجمع من غيرهم</w:t>
      </w:r>
      <w:r w:rsidR="000636C2">
        <w:rPr>
          <w:rFonts w:hint="cs"/>
          <w:rtl/>
        </w:rPr>
        <w:t>،</w:t>
      </w:r>
      <w:r w:rsidRPr="005675B2">
        <w:rPr>
          <w:rFonts w:hint="cs"/>
          <w:rtl/>
        </w:rPr>
        <w:t xml:space="preserve"> أ هـ</w:t>
      </w:r>
      <w:r w:rsidR="000636C2">
        <w:rPr>
          <w:rFonts w:hint="cs"/>
          <w:rtl/>
        </w:rPr>
        <w:t xml:space="preserve"> </w:t>
      </w:r>
      <w:r w:rsidRPr="005675B2">
        <w:rPr>
          <w:rFonts w:hint="cs"/>
          <w:rtl/>
        </w:rPr>
        <w:t>[</w:t>
      </w:r>
      <w:r w:rsidRPr="005675B2">
        <w:rPr>
          <w:rFonts w:hint="cs"/>
          <w:bCs/>
          <w:sz w:val="24"/>
          <w:szCs w:val="24"/>
          <w:rtl/>
        </w:rPr>
        <w:t>تحفة المريد مع حاشية ابن الأمير ص60</w:t>
      </w:r>
      <w:r w:rsidRPr="005675B2">
        <w:rPr>
          <w:rFonts w:hint="cs"/>
          <w:rtl/>
        </w:rPr>
        <w:t>]</w:t>
      </w:r>
    </w:p>
    <w:p w14:paraId="11044A86" w14:textId="54CA52BE"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قال ابن الأمير في حاشيته</w:t>
      </w:r>
      <w:r w:rsidR="000636C2">
        <w:rPr>
          <w:rFonts w:hint="cs"/>
          <w:rtl/>
        </w:rPr>
        <w:t>:</w:t>
      </w:r>
      <w:r w:rsidRPr="005675B2">
        <w:rPr>
          <w:rFonts w:hint="cs"/>
          <w:rtl/>
        </w:rPr>
        <w:t xml:space="preserve"> متى تقرر الحكم في الواقع تعلق به ووجب الامتثال بمجرد إخبار الرسول فإن قال قائل</w:t>
      </w:r>
      <w:r w:rsidR="000636C2">
        <w:rPr>
          <w:rFonts w:hint="cs"/>
          <w:rtl/>
        </w:rPr>
        <w:t>:</w:t>
      </w:r>
      <w:r w:rsidRPr="005675B2">
        <w:rPr>
          <w:rFonts w:hint="cs"/>
          <w:rtl/>
        </w:rPr>
        <w:t xml:space="preserve"> من أين صحة رسالته لنا</w:t>
      </w:r>
      <w:r w:rsidR="000636C2">
        <w:rPr>
          <w:rFonts w:hint="cs"/>
          <w:rtl/>
        </w:rPr>
        <w:t>؟</w:t>
      </w:r>
      <w:r w:rsidRPr="005675B2">
        <w:rPr>
          <w:rFonts w:hint="cs"/>
          <w:rtl/>
        </w:rPr>
        <w:t xml:space="preserve"> قلنا دليله معجزة مقارنة لا يقبل الإعراض عند العاقل تمسكاً بهذا الهذيان</w:t>
      </w:r>
      <w:r w:rsidR="000636C2">
        <w:rPr>
          <w:rFonts w:hint="cs"/>
          <w:rtl/>
        </w:rPr>
        <w:t>،</w:t>
      </w:r>
      <w:r w:rsidRPr="005675B2">
        <w:rPr>
          <w:rFonts w:hint="cs"/>
          <w:rtl/>
        </w:rPr>
        <w:t xml:space="preserve"> أ نتهى [</w:t>
      </w:r>
      <w:r w:rsidRPr="005675B2">
        <w:rPr>
          <w:rFonts w:hint="cs"/>
          <w:bCs/>
          <w:sz w:val="24"/>
          <w:szCs w:val="24"/>
          <w:rtl/>
        </w:rPr>
        <w:t>حاشية ابن الأمير 61،62</w:t>
      </w:r>
      <w:r w:rsidRPr="005675B2">
        <w:rPr>
          <w:rFonts w:hint="cs"/>
          <w:rtl/>
        </w:rPr>
        <w:t>] كلامه</w:t>
      </w:r>
      <w:r w:rsidR="000636C2">
        <w:rPr>
          <w:rFonts w:hint="cs"/>
          <w:rtl/>
        </w:rPr>
        <w:t xml:space="preserve"> </w:t>
      </w:r>
      <w:r w:rsidRPr="005675B2">
        <w:rPr>
          <w:rFonts w:hint="cs"/>
          <w:rtl/>
        </w:rPr>
        <w:t>رحمه الله فانظر كيف جعل من يجعل مصدر التلقي هو العقل هو ضرب من الهذيان</w:t>
      </w:r>
      <w:r w:rsidR="000636C2">
        <w:rPr>
          <w:rFonts w:hint="cs"/>
          <w:rtl/>
        </w:rPr>
        <w:t>،</w:t>
      </w:r>
      <w:r w:rsidRPr="005675B2">
        <w:rPr>
          <w:rFonts w:hint="cs"/>
          <w:rtl/>
        </w:rPr>
        <w:t>لأن الامتثال يكون بمجرد إخبار الرسول</w:t>
      </w:r>
      <w:r w:rsidR="000636C2">
        <w:rPr>
          <w:rFonts w:hint="cs"/>
          <w:rtl/>
        </w:rPr>
        <w:t>،</w:t>
      </w:r>
      <w:r w:rsidRPr="005675B2">
        <w:rPr>
          <w:rFonts w:hint="cs"/>
          <w:rtl/>
        </w:rPr>
        <w:t xml:space="preserve"> فقول القائل</w:t>
      </w:r>
      <w:r w:rsidR="000636C2">
        <w:rPr>
          <w:rFonts w:hint="cs"/>
          <w:rtl/>
        </w:rPr>
        <w:t>:</w:t>
      </w:r>
      <w:r w:rsidRPr="005675B2">
        <w:rPr>
          <w:rFonts w:hint="cs"/>
          <w:rtl/>
        </w:rPr>
        <w:t xml:space="preserve"> أن العقل هو مصدر التلقي عند الأشاعرة باطل وغير صحيح</w:t>
      </w:r>
      <w:r w:rsidR="000636C2">
        <w:rPr>
          <w:rFonts w:hint="cs"/>
          <w:rtl/>
        </w:rPr>
        <w:t xml:space="preserve"> </w:t>
      </w:r>
      <w:r w:rsidRPr="005675B2">
        <w:rPr>
          <w:rFonts w:hint="cs"/>
          <w:rtl/>
        </w:rPr>
        <w:t>ولكن العقل عندهم شرط لفهم الأحكام والتكليف بها ليخرج بذلك المجنون ونحوه من غير المكلفين</w:t>
      </w:r>
      <w:r w:rsidR="000636C2">
        <w:rPr>
          <w:rFonts w:hint="cs"/>
          <w:rtl/>
        </w:rPr>
        <w:t>،</w:t>
      </w:r>
      <w:r w:rsidRPr="005675B2">
        <w:rPr>
          <w:rFonts w:hint="cs"/>
          <w:rtl/>
        </w:rPr>
        <w:t xml:space="preserve"> وأما المصدر عندهم فهو الشرع فقط كما سبق بيانه</w:t>
      </w:r>
      <w:r w:rsidR="000636C2">
        <w:rPr>
          <w:rFonts w:hint="cs"/>
          <w:rtl/>
        </w:rPr>
        <w:t>،</w:t>
      </w:r>
      <w:r w:rsidRPr="005675B2">
        <w:rPr>
          <w:rFonts w:hint="cs"/>
          <w:rtl/>
        </w:rPr>
        <w:t xml:space="preserve"> </w:t>
      </w:r>
      <w:r w:rsidRPr="005675B2">
        <w:rPr>
          <w:rFonts w:hint="cs"/>
          <w:u w:val="single"/>
          <w:rtl/>
        </w:rPr>
        <w:t>فإذا علمت ذلك فلك أن تتعجب من الشيخ الموجان</w:t>
      </w:r>
      <w:r w:rsidRPr="005675B2">
        <w:rPr>
          <w:rFonts w:hint="cs"/>
          <w:rtl/>
        </w:rPr>
        <w:t xml:space="preserve"> هداه الله حين أبهرته النقول التي تبطل مزاعم قوم شغف بأقوالهم بدون تمحيص، بل بمحض التقليد، قرر في كتابه الشامل فقال</w:t>
      </w:r>
      <w:r w:rsidR="000636C2">
        <w:rPr>
          <w:rFonts w:hint="cs"/>
          <w:rtl/>
        </w:rPr>
        <w:t>:</w:t>
      </w:r>
      <w:r w:rsidRPr="005675B2">
        <w:rPr>
          <w:rFonts w:hint="cs"/>
          <w:rtl/>
        </w:rPr>
        <w:t xml:space="preserve"> إن مذهب الأشاعرة والماتريدية انبنى في حقيقة أمره على التلقي من العقل لاالسمع شاء ذلك الدكتور عمر أو لم يشأ</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الرد الشامل ص34</w:t>
      </w:r>
      <w:r w:rsidRPr="005675B2">
        <w:rPr>
          <w:rFonts w:hint="cs"/>
          <w:rtl/>
        </w:rPr>
        <w:t>]</w:t>
      </w:r>
      <w:r w:rsidR="000636C2">
        <w:rPr>
          <w:rFonts w:hint="cs"/>
          <w:rtl/>
        </w:rPr>
        <w:t>،</w:t>
      </w:r>
      <w:r w:rsidRPr="005675B2">
        <w:rPr>
          <w:rFonts w:hint="cs"/>
          <w:rtl/>
        </w:rPr>
        <w:t xml:space="preserve"> هكذا بالقوة لا بالحجة لطلب الحق</w:t>
      </w:r>
      <w:r w:rsidR="000636C2">
        <w:rPr>
          <w:rFonts w:hint="cs"/>
          <w:rtl/>
        </w:rPr>
        <w:t>!</w:t>
      </w:r>
      <w:r w:rsidRPr="005675B2">
        <w:rPr>
          <w:rFonts w:hint="cs"/>
          <w:rtl/>
        </w:rPr>
        <w:t xml:space="preserve"> ثم قال الموجان</w:t>
      </w:r>
      <w:r w:rsidR="000636C2">
        <w:rPr>
          <w:rFonts w:hint="cs"/>
          <w:rtl/>
        </w:rPr>
        <w:t>:</w:t>
      </w:r>
      <w:r w:rsidRPr="005675B2">
        <w:rPr>
          <w:rFonts w:hint="cs"/>
          <w:rtl/>
        </w:rPr>
        <w:t xml:space="preserve">قد أوضح صاحب المسامرة حقيقة ذلك بأن </w:t>
      </w:r>
      <w:r w:rsidR="000636C2">
        <w:rPr>
          <w:rFonts w:hint="cs"/>
          <w:rtl/>
        </w:rPr>
        <w:t>(</w:t>
      </w:r>
      <w:r w:rsidRPr="005675B2">
        <w:rPr>
          <w:rFonts w:hint="cs"/>
          <w:rtl/>
        </w:rPr>
        <w:t>الشرع إنما يثبت بالعقل</w:t>
      </w:r>
      <w:r w:rsidR="000636C2">
        <w:rPr>
          <w:rFonts w:hint="cs"/>
          <w:rtl/>
        </w:rPr>
        <w:t>،</w:t>
      </w:r>
      <w:r w:rsidRPr="005675B2">
        <w:rPr>
          <w:rFonts w:hint="cs"/>
          <w:rtl/>
        </w:rPr>
        <w:t>فإن ثبوته يتوقف على دلالة المعجزة على صدق المبلغ</w:t>
      </w:r>
      <w:r w:rsidR="000636C2">
        <w:rPr>
          <w:rFonts w:hint="cs"/>
          <w:rtl/>
        </w:rPr>
        <w:t>،</w:t>
      </w:r>
      <w:r w:rsidRPr="005675B2">
        <w:rPr>
          <w:rFonts w:hint="cs"/>
          <w:rtl/>
        </w:rPr>
        <w:t>وإنما ثبتت هذه الدلالة بالعقل</w:t>
      </w:r>
      <w:r w:rsidR="000636C2">
        <w:rPr>
          <w:rFonts w:hint="cs"/>
          <w:rtl/>
        </w:rPr>
        <w:t>،</w:t>
      </w:r>
      <w:r w:rsidRPr="005675B2">
        <w:rPr>
          <w:rFonts w:hint="cs"/>
          <w:rtl/>
        </w:rPr>
        <w:t>فلو أتى الشرع بما يكذب العقل وهو شاهد له لبطل الشرع والعقل معاً</w:t>
      </w:r>
      <w:r w:rsidR="000636C2">
        <w:rPr>
          <w:rFonts w:hint="cs"/>
          <w:rtl/>
        </w:rPr>
        <w:t>)</w:t>
      </w:r>
      <w:r w:rsidRPr="005675B2">
        <w:rPr>
          <w:rFonts w:hint="cs"/>
          <w:rtl/>
        </w:rPr>
        <w:t xml:space="preserve"> [</w:t>
      </w:r>
      <w:r w:rsidRPr="005675B2">
        <w:rPr>
          <w:rFonts w:hint="cs"/>
          <w:bCs/>
          <w:sz w:val="24"/>
          <w:szCs w:val="24"/>
          <w:rtl/>
        </w:rPr>
        <w:t>الرد الشامل 34</w:t>
      </w:r>
      <w:r w:rsidRPr="005675B2">
        <w:rPr>
          <w:rFonts w:hint="cs"/>
          <w:rtl/>
        </w:rPr>
        <w:t>] ثم عزاه إلى كتاب المسامرة شرح المسايرة</w:t>
      </w:r>
      <w:r w:rsidR="000636C2">
        <w:rPr>
          <w:rFonts w:hint="cs"/>
          <w:rtl/>
        </w:rPr>
        <w:t xml:space="preserve"> </w:t>
      </w:r>
      <w:r w:rsidRPr="005675B2">
        <w:rPr>
          <w:rFonts w:hint="cs"/>
          <w:rtl/>
        </w:rPr>
        <w:t>ص31وهذا الكلام لايوجد</w:t>
      </w:r>
      <w:r w:rsidR="000636C2">
        <w:rPr>
          <w:rFonts w:hint="cs"/>
          <w:rtl/>
        </w:rPr>
        <w:t xml:space="preserve"> </w:t>
      </w:r>
      <w:r w:rsidRPr="005675B2">
        <w:rPr>
          <w:rFonts w:hint="cs"/>
          <w:rtl/>
        </w:rPr>
        <w:t>في المسامرة فقد بحثته فلم أجده بل الموجود في المسامرة ما نصه</w:t>
      </w:r>
      <w:r w:rsidR="000636C2">
        <w:rPr>
          <w:rFonts w:hint="cs"/>
          <w:rtl/>
        </w:rPr>
        <w:t>:</w:t>
      </w:r>
      <w:r w:rsidRPr="005675B2">
        <w:rPr>
          <w:rFonts w:hint="cs"/>
          <w:rtl/>
        </w:rPr>
        <w:t xml:space="preserve"> وأولى ما يستضاء به من الأنوار</w:t>
      </w:r>
      <w:r w:rsidR="000636C2">
        <w:rPr>
          <w:rFonts w:hint="cs"/>
          <w:rtl/>
        </w:rPr>
        <w:t>،</w:t>
      </w:r>
      <w:r w:rsidRPr="005675B2">
        <w:rPr>
          <w:rFonts w:hint="cs"/>
          <w:rtl/>
        </w:rPr>
        <w:t xml:space="preserve"> ويسلك من طرق الاعتبار</w:t>
      </w:r>
      <w:r w:rsidR="000636C2">
        <w:rPr>
          <w:rFonts w:hint="cs"/>
          <w:rtl/>
        </w:rPr>
        <w:t>،</w:t>
      </w:r>
      <w:r w:rsidRPr="005675B2">
        <w:rPr>
          <w:rFonts w:hint="cs"/>
          <w:rtl/>
        </w:rPr>
        <w:t>ما اشتمل عليه القرآن فليس بعد بيان الله بيان .. ثم ساق الأدلة من الكتاب الكريم</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المسامرة ص39</w:t>
      </w:r>
      <w:r w:rsidRPr="005675B2">
        <w:rPr>
          <w:rFonts w:hint="cs"/>
          <w:rtl/>
        </w:rPr>
        <w:t>] هذا الكلام بنصه</w:t>
      </w:r>
      <w:r w:rsidR="000636C2">
        <w:rPr>
          <w:rFonts w:hint="cs"/>
          <w:rtl/>
        </w:rPr>
        <w:t>،</w:t>
      </w:r>
      <w:r w:rsidRPr="005675B2">
        <w:rPr>
          <w:rFonts w:hint="cs"/>
          <w:rtl/>
        </w:rPr>
        <w:t xml:space="preserve"> وليس هذا قول الأشاعرة فقط بل هو قول بقية أهل السنة والجماعة ومنهم الحنابلة وغيرهم</w:t>
      </w:r>
      <w:r w:rsidR="000636C2">
        <w:rPr>
          <w:rFonts w:hint="cs"/>
          <w:rtl/>
        </w:rPr>
        <w:t>،</w:t>
      </w:r>
      <w:r w:rsidRPr="005675B2">
        <w:rPr>
          <w:rFonts w:hint="cs"/>
          <w:rtl/>
        </w:rPr>
        <w:t xml:space="preserve"> وبه بطلت دعوى الموجان والحوالي هدانا الله وهماإلى الحق وأماتنا عليه</w:t>
      </w:r>
      <w:r w:rsidR="000636C2">
        <w:rPr>
          <w:rFonts w:hint="cs"/>
          <w:rtl/>
        </w:rPr>
        <w:t>،</w:t>
      </w:r>
    </w:p>
    <w:p w14:paraId="6CABA2F6" w14:textId="3EBAAE2D" w:rsidR="009C32A0" w:rsidRPr="005675B2" w:rsidRDefault="009C32A0" w:rsidP="000636C2">
      <w:pPr>
        <w:rPr>
          <w:b/>
        </w:rPr>
      </w:pPr>
      <w:r w:rsidRPr="005675B2">
        <w:rPr>
          <w:rFonts w:hint="cs"/>
          <w:bCs/>
          <w:rtl/>
        </w:rPr>
        <w:t>شواهد خضع فيها الكفار</w:t>
      </w:r>
      <w:r w:rsidR="000636C2">
        <w:rPr>
          <w:rFonts w:hint="cs"/>
          <w:bCs/>
          <w:rtl/>
        </w:rPr>
        <w:t xml:space="preserve"> </w:t>
      </w:r>
      <w:r w:rsidRPr="005675B2">
        <w:rPr>
          <w:rFonts w:hint="cs"/>
          <w:bCs/>
          <w:rtl/>
        </w:rPr>
        <w:t>لديننا لاحترامه العقل</w:t>
      </w:r>
      <w:r w:rsidR="000636C2">
        <w:rPr>
          <w:rFonts w:hint="cs"/>
          <w:rtl/>
        </w:rPr>
        <w:t>:</w:t>
      </w:r>
      <w:r w:rsidRPr="005675B2">
        <w:rPr>
          <w:rFonts w:hint="cs"/>
          <w:rtl/>
        </w:rPr>
        <w:t xml:space="preserve"> بينما يشنشن الكثير من السطحيين حول تهميش العقل في كونه وسيلة للعلم اليقيني</w:t>
      </w:r>
      <w:r w:rsidR="000636C2">
        <w:rPr>
          <w:rFonts w:hint="cs"/>
          <w:rtl/>
        </w:rPr>
        <w:t>،</w:t>
      </w:r>
      <w:r w:rsidRPr="005675B2">
        <w:rPr>
          <w:rFonts w:hint="cs"/>
          <w:rtl/>
        </w:rPr>
        <w:t>نرى مدى</w:t>
      </w:r>
      <w:r w:rsidR="000636C2">
        <w:rPr>
          <w:rFonts w:hint="cs"/>
          <w:rtl/>
        </w:rPr>
        <w:t xml:space="preserve"> </w:t>
      </w:r>
      <w:r w:rsidRPr="005675B2">
        <w:rPr>
          <w:rFonts w:hint="cs"/>
          <w:rtl/>
        </w:rPr>
        <w:t>تفاعل وتأثر</w:t>
      </w:r>
      <w:r w:rsidR="000636C2">
        <w:rPr>
          <w:rFonts w:hint="cs"/>
          <w:rtl/>
        </w:rPr>
        <w:t xml:space="preserve"> </w:t>
      </w:r>
      <w:r w:rsidRPr="005675B2">
        <w:rPr>
          <w:rFonts w:hint="cs"/>
          <w:rtl/>
        </w:rPr>
        <w:t>كثير من الباحثين بقوة هذا المبدأ</w:t>
      </w:r>
      <w:r w:rsidR="000636C2">
        <w:rPr>
          <w:rFonts w:hint="cs"/>
          <w:rtl/>
        </w:rPr>
        <w:t>،</w:t>
      </w:r>
      <w:r w:rsidRPr="005675B2">
        <w:rPr>
          <w:rFonts w:hint="cs"/>
          <w:rtl/>
        </w:rPr>
        <w:t xml:space="preserve"> وإليكم مثال</w:t>
      </w:r>
      <w:r w:rsidR="000636C2">
        <w:rPr>
          <w:rFonts w:hint="cs"/>
          <w:rtl/>
        </w:rPr>
        <w:t>:</w:t>
      </w:r>
      <w:r w:rsidRPr="005675B2">
        <w:rPr>
          <w:rFonts w:hint="cs"/>
          <w:rtl/>
        </w:rPr>
        <w:t xml:space="preserve"> فهذا الكاتب الماركسي "مسكيم رودنسون" يقول في</w:t>
      </w:r>
      <w:r w:rsidRPr="005675B2">
        <w:rPr>
          <w:rFonts w:hint="cs"/>
        </w:rPr>
        <w:t xml:space="preserve"> </w:t>
      </w:r>
      <w:r w:rsidRPr="005675B2">
        <w:rPr>
          <w:rFonts w:hint="cs"/>
          <w:rtl/>
        </w:rPr>
        <w:t>حديثه عن "العقيدة القرآنية"</w:t>
      </w:r>
      <w:r w:rsidR="000636C2">
        <w:rPr>
          <w:rFonts w:hint="cs"/>
          <w:rtl/>
        </w:rPr>
        <w:t>:</w:t>
      </w:r>
      <w:r w:rsidRPr="005675B2">
        <w:rPr>
          <w:rFonts w:hint="cs"/>
          <w:rtl/>
        </w:rPr>
        <w:t xml:space="preserve"> "القرآن كتاب مقدس، تحتل فيه العقلانية مكانا جد</w:t>
      </w:r>
      <w:r w:rsidRPr="005675B2">
        <w:rPr>
          <w:rFonts w:hint="cs"/>
        </w:rPr>
        <w:t xml:space="preserve"> </w:t>
      </w:r>
      <w:r w:rsidRPr="005675B2">
        <w:rPr>
          <w:rFonts w:hint="cs"/>
          <w:rtl/>
        </w:rPr>
        <w:t>كبير، فالله لا ينفك فيه يناقش ويقيم البراهين، بل إن أكثر ما يلفت النظر هو أن</w:t>
      </w:r>
      <w:r w:rsidRPr="005675B2">
        <w:rPr>
          <w:rFonts w:hint="cs"/>
        </w:rPr>
        <w:t xml:space="preserve"> </w:t>
      </w:r>
      <w:r w:rsidRPr="005675B2">
        <w:rPr>
          <w:rFonts w:hint="cs"/>
          <w:rtl/>
        </w:rPr>
        <w:t>الوحي نفسه</w:t>
      </w:r>
      <w:r w:rsidR="000636C2">
        <w:rPr>
          <w:rFonts w:hint="cs"/>
          <w:rtl/>
        </w:rPr>
        <w:t xml:space="preserve"> </w:t>
      </w:r>
      <w:r w:rsidRPr="005675B2">
        <w:rPr>
          <w:rFonts w:hint="cs"/>
          <w:rtl/>
        </w:rPr>
        <w:t>- هذه الظاهرة الأقل اتساما بالعقلانية في أي دين، الوحي الذي أنزله</w:t>
      </w:r>
      <w:r w:rsidRPr="005675B2">
        <w:rPr>
          <w:rFonts w:hint="cs"/>
        </w:rPr>
        <w:t xml:space="preserve"> </w:t>
      </w:r>
      <w:r w:rsidRPr="005675B2">
        <w:rPr>
          <w:rFonts w:hint="cs"/>
          <w:rtl/>
        </w:rPr>
        <w:t>الله على مختلف الرسل عبر العصور، وعلى خاتمهم محمد</w:t>
      </w:r>
      <w:r w:rsidR="000636C2">
        <w:rPr>
          <w:rFonts w:hint="cs"/>
          <w:rtl/>
        </w:rPr>
        <w:t xml:space="preserve"> </w:t>
      </w:r>
      <w:r w:rsidRPr="005675B2">
        <w:rPr>
          <w:rFonts w:hint="cs"/>
          <w:rtl/>
        </w:rPr>
        <w:t>- يعتبره القرآن هو نفسه أداة</w:t>
      </w:r>
      <w:r w:rsidRPr="005675B2">
        <w:rPr>
          <w:rFonts w:hint="cs"/>
        </w:rPr>
        <w:t xml:space="preserve"> </w:t>
      </w:r>
      <w:r w:rsidRPr="005675B2">
        <w:rPr>
          <w:rFonts w:hint="cs"/>
          <w:rtl/>
        </w:rPr>
        <w:t>للبرهان، فهو في مناسبات عديدة يكرر لنا أن الرسل قد جاءوا "بالبينات" وهو لا يأل</w:t>
      </w:r>
      <w:r w:rsidRPr="005675B2">
        <w:rPr>
          <w:rFonts w:hint="cs"/>
        </w:rPr>
        <w:t xml:space="preserve"> </w:t>
      </w:r>
      <w:r w:rsidRPr="005675B2">
        <w:rPr>
          <w:rFonts w:hint="cs"/>
          <w:rtl/>
        </w:rPr>
        <w:t>يتحدى معارضيه، أن يأتوا بمثله</w:t>
      </w:r>
      <w:r w:rsidR="000636C2">
        <w:rPr>
          <w:rFonts w:hint="cs"/>
          <w:rtl/>
        </w:rPr>
        <w:t>،</w:t>
      </w:r>
      <w:r w:rsidRPr="005675B2">
        <w:rPr>
          <w:rFonts w:hint="cs"/>
          <w:rtl/>
        </w:rPr>
        <w:t xml:space="preserve"> والقرآن ما ينفك يقدم البراهين العقلانية على</w:t>
      </w:r>
      <w:r w:rsidRPr="005675B2">
        <w:rPr>
          <w:rFonts w:hint="cs"/>
        </w:rPr>
        <w:t xml:space="preserve"> </w:t>
      </w:r>
      <w:r w:rsidRPr="005675B2">
        <w:rPr>
          <w:rFonts w:hint="cs"/>
          <w:rtl/>
        </w:rPr>
        <w:t>القدرة الإلهية، ففي خلق السماوات والأرض، واختلاف الليل والنهار، وتوالد الحيوان،</w:t>
      </w:r>
      <w:r w:rsidRPr="005675B2">
        <w:rPr>
          <w:rFonts w:hint="cs"/>
        </w:rPr>
        <w:t xml:space="preserve"> </w:t>
      </w:r>
      <w:r w:rsidRPr="005675B2">
        <w:rPr>
          <w:rFonts w:hint="cs"/>
          <w:rtl/>
        </w:rPr>
        <w:t>ودوران الكواكب والأفلاك، وتنوع الخيرات</w:t>
      </w:r>
      <w:r w:rsidR="000636C2">
        <w:rPr>
          <w:rFonts w:hint="cs"/>
          <w:rtl/>
        </w:rPr>
        <w:t>،</w:t>
      </w:r>
      <w:r w:rsidRPr="005675B2">
        <w:rPr>
          <w:rFonts w:hint="cs"/>
          <w:rtl/>
        </w:rPr>
        <w:t>والحياة الحيوانية والنباتية، تنوعاً رائع</w:t>
      </w:r>
      <w:r w:rsidRPr="005675B2">
        <w:rPr>
          <w:rFonts w:hint="cs"/>
        </w:rPr>
        <w:t xml:space="preserve"> </w:t>
      </w:r>
      <w:r w:rsidRPr="005675B2">
        <w:rPr>
          <w:rFonts w:hint="cs"/>
          <w:rtl/>
        </w:rPr>
        <w:t>التطابق مع حاجات البشر، لآيات لأولي الألباب</w:t>
      </w:r>
      <w:r w:rsidR="000636C2">
        <w:rPr>
          <w:rFonts w:hint="cs"/>
          <w:rtl/>
        </w:rPr>
        <w:t xml:space="preserve"> </w:t>
      </w:r>
      <w:r w:rsidRPr="005675B2">
        <w:rPr>
          <w:rFonts w:hint="cs"/>
          <w:rtl/>
        </w:rPr>
        <w:t>سورة آل عمران</w:t>
      </w:r>
      <w:r w:rsidR="000636C2">
        <w:rPr>
          <w:rFonts w:hint="cs"/>
          <w:rtl/>
        </w:rPr>
        <w:t>:</w:t>
      </w:r>
      <w:r w:rsidRPr="005675B2">
        <w:rPr>
          <w:rFonts w:hint="cs"/>
          <w:rtl/>
        </w:rPr>
        <w:t>180</w:t>
      </w:r>
      <w:r w:rsidR="000636C2">
        <w:rPr>
          <w:rFonts w:hint="cs"/>
          <w:rtl/>
        </w:rPr>
        <w:t xml:space="preserve">، </w:t>
      </w:r>
      <w:r w:rsidRPr="005675B2">
        <w:rPr>
          <w:rFonts w:hint="cs"/>
          <w:rtl/>
        </w:rPr>
        <w:t xml:space="preserve">وفعل "عقل" "بمعنى ربط الأفكار بعضها ببعض .. </w:t>
      </w:r>
      <w:r w:rsidRPr="005675B2">
        <w:rPr>
          <w:rFonts w:hint="cs"/>
          <w:u w:val="single"/>
          <w:rtl/>
        </w:rPr>
        <w:t>حاكم البرهان العقلي" يتكرر في القرآن حوالي خمسين مرة، ويتكرر ثلاث عشرة مرة هذا</w:t>
      </w:r>
      <w:r w:rsidRPr="005675B2">
        <w:rPr>
          <w:rFonts w:hint="cs"/>
          <w:u w:val="single"/>
        </w:rPr>
        <w:t xml:space="preserve"> </w:t>
      </w:r>
      <w:r w:rsidRPr="005675B2">
        <w:rPr>
          <w:rFonts w:hint="cs"/>
          <w:u w:val="single"/>
          <w:rtl/>
        </w:rPr>
        <w:t>السؤال الاستنكاري، وكأنه لازمة {أفلا تعقلون}</w:t>
      </w:r>
      <w:r w:rsidRPr="005675B2">
        <w:rPr>
          <w:rFonts w:hint="cs"/>
          <w:rtl/>
        </w:rPr>
        <w:t xml:space="preserve"> </w:t>
      </w:r>
      <w:r w:rsidR="000636C2">
        <w:rPr>
          <w:rFonts w:hint="cs"/>
          <w:rtl/>
        </w:rPr>
        <w:t>(</w:t>
      </w:r>
      <w:r w:rsidRPr="005675B2">
        <w:rPr>
          <w:rFonts w:hint="cs"/>
          <w:rtl/>
        </w:rPr>
        <w:t>سورة البقرة</w:t>
      </w:r>
      <w:r w:rsidR="000636C2">
        <w:rPr>
          <w:rFonts w:hint="cs"/>
          <w:rtl/>
        </w:rPr>
        <w:t>:</w:t>
      </w:r>
      <w:r w:rsidRPr="005675B2">
        <w:rPr>
          <w:rFonts w:hint="cs"/>
          <w:rtl/>
        </w:rPr>
        <w:t>44</w:t>
      </w:r>
      <w:r w:rsidR="000636C2">
        <w:rPr>
          <w:rFonts w:hint="cs"/>
          <w:rtl/>
        </w:rPr>
        <w:t xml:space="preserve">)، </w:t>
      </w:r>
      <w:r w:rsidRPr="005675B2">
        <w:t>"</w:t>
      </w:r>
      <w:r w:rsidRPr="005675B2">
        <w:rPr>
          <w:rFonts w:hint="cs"/>
          <w:rtl/>
        </w:rPr>
        <w:t>والكفار أولئك الذين يرفضون الاستماع إلى دعوة</w:t>
      </w:r>
      <w:r w:rsidRPr="005675B2">
        <w:rPr>
          <w:rFonts w:hint="cs"/>
        </w:rPr>
        <w:t xml:space="preserve"> </w:t>
      </w:r>
      <w:r w:rsidRPr="005675B2">
        <w:rPr>
          <w:rFonts w:hint="cs"/>
          <w:rtl/>
        </w:rPr>
        <w:t>محمد، يوصفون بأنهم "قوم لا يعقلون"، لأنهم قاصرون عن أي جهد عقلي، يهز تقاليدهم</w:t>
      </w:r>
      <w:r w:rsidRPr="005675B2">
        <w:rPr>
          <w:rFonts w:hint="cs"/>
        </w:rPr>
        <w:t xml:space="preserve"> </w:t>
      </w:r>
      <w:r w:rsidRPr="005675B2">
        <w:rPr>
          <w:rFonts w:hint="cs"/>
          <w:rtl/>
        </w:rPr>
        <w:t>الموروثة، وهم بهذا كالجمادات والأنعام، بل أكثر عجمة، ولذلك يكره الله هؤلاء</w:t>
      </w:r>
      <w:r w:rsidRPr="005675B2">
        <w:rPr>
          <w:rFonts w:hint="cs"/>
        </w:rPr>
        <w:t xml:space="preserve"> </w:t>
      </w:r>
      <w:r w:rsidRPr="005675B2">
        <w:rPr>
          <w:rFonts w:hint="cs"/>
          <w:rtl/>
        </w:rPr>
        <w:t>الناس، الذين لا يريدون أن يعيدوا النظر في أسس تفكيرهم</w:t>
      </w:r>
      <w:r w:rsidRPr="005675B2">
        <w:t>"</w:t>
      </w:r>
      <w:r w:rsidR="000636C2">
        <w:rPr>
          <w:rFonts w:hint="cs"/>
          <w:rtl/>
        </w:rPr>
        <w:t xml:space="preserve">، </w:t>
      </w:r>
      <w:r w:rsidRPr="005675B2">
        <w:t>"</w:t>
      </w:r>
      <w:r w:rsidRPr="005675B2">
        <w:rPr>
          <w:rFonts w:hint="cs"/>
          <w:rtl/>
        </w:rPr>
        <w:t>ولئن كان "يعني الله سبحانه" يرسل الآيات</w:t>
      </w:r>
      <w:r w:rsidRPr="005675B2">
        <w:t xml:space="preserve"> "</w:t>
      </w:r>
      <w:r w:rsidRPr="005675B2">
        <w:rPr>
          <w:rFonts w:hint="cs"/>
          <w:rtl/>
        </w:rPr>
        <w:t>الدالة" على وجوده وإرادته، وأهمها الآيات المنزلة على نبيه محمد، فلكي يفهمها</w:t>
      </w:r>
      <w:r w:rsidRPr="005675B2">
        <w:rPr>
          <w:rFonts w:hint="cs"/>
        </w:rPr>
        <w:t xml:space="preserve"> </w:t>
      </w:r>
      <w:r w:rsidRPr="005675B2">
        <w:rPr>
          <w:rFonts w:hint="cs"/>
          <w:rtl/>
        </w:rPr>
        <w:t>الناس، ويجعلوا منها أساسا لتفكيرهم، ونرى الله يقيم البينة الفاصلة، ثم يختتم</w:t>
      </w:r>
      <w:r w:rsidRPr="005675B2">
        <w:rPr>
          <w:rFonts w:hint="cs"/>
        </w:rPr>
        <w:t xml:space="preserve"> </w:t>
      </w:r>
      <w:r w:rsidRPr="005675B2">
        <w:rPr>
          <w:rFonts w:hint="cs"/>
          <w:rtl/>
        </w:rPr>
        <w:t>البرهان بقوله</w:t>
      </w:r>
      <w:r w:rsidR="000636C2">
        <w:rPr>
          <w:rFonts w:hint="cs"/>
          <w:rtl/>
        </w:rPr>
        <w:t>:</w:t>
      </w:r>
      <w:r w:rsidRPr="005675B2">
        <w:rPr>
          <w:rFonts w:hint="cs"/>
          <w:rtl/>
        </w:rPr>
        <w:t xml:space="preserve"> {كذلك نفصل الآيات لقوم يعقلون}</w:t>
      </w:r>
      <w:r w:rsidR="000636C2">
        <w:rPr>
          <w:rFonts w:hint="cs"/>
          <w:rtl/>
        </w:rPr>
        <w:t>(</w:t>
      </w:r>
      <w:r w:rsidRPr="005675B2">
        <w:rPr>
          <w:rFonts w:hint="cs"/>
          <w:rtl/>
        </w:rPr>
        <w:t>سورة الروم</w:t>
      </w:r>
      <w:r w:rsidR="000636C2">
        <w:rPr>
          <w:rFonts w:hint="cs"/>
          <w:rtl/>
        </w:rPr>
        <w:t>:</w:t>
      </w:r>
      <w:r w:rsidRPr="005675B2">
        <w:rPr>
          <w:rFonts w:hint="cs"/>
          <w:rtl/>
        </w:rPr>
        <w:t>28</w:t>
      </w:r>
      <w:r w:rsidR="000636C2">
        <w:rPr>
          <w:rFonts w:hint="cs"/>
          <w:rtl/>
        </w:rPr>
        <w:t xml:space="preserve">)، </w:t>
      </w:r>
      <w:r w:rsidRPr="005675B2">
        <w:rPr>
          <w:rFonts w:hint="cs"/>
          <w:rtl/>
        </w:rPr>
        <w:t>ويستمر الكاتب في بيان احترام عقلانية الإسلام، مقارنا</w:t>
      </w:r>
      <w:r w:rsidRPr="005675B2">
        <w:rPr>
          <w:rFonts w:hint="cs"/>
        </w:rPr>
        <w:t xml:space="preserve"> </w:t>
      </w:r>
      <w:r w:rsidRPr="005675B2">
        <w:rPr>
          <w:rFonts w:hint="cs"/>
          <w:rtl/>
        </w:rPr>
        <w:t>هذه بما جاء في العهدين القديم والجديد، لليهود والمسيحيين، إلى أن يقول "في مقابلة</w:t>
      </w:r>
      <w:r w:rsidRPr="005675B2">
        <w:rPr>
          <w:rFonts w:hint="cs"/>
        </w:rPr>
        <w:t xml:space="preserve"> </w:t>
      </w:r>
      <w:r w:rsidRPr="005675B2">
        <w:rPr>
          <w:rFonts w:hint="cs"/>
          <w:rtl/>
        </w:rPr>
        <w:t>هذا، تبدو العقلانية القرآنية صلبة، كأنها الصخر"</w:t>
      </w:r>
      <w:r w:rsidR="000636C2">
        <w:rPr>
          <w:rFonts w:hint="cs"/>
          <w:rtl/>
        </w:rPr>
        <w:t>،</w:t>
      </w:r>
      <w:r w:rsidRPr="005675B2">
        <w:rPr>
          <w:rFonts w:hint="cs"/>
          <w:rtl/>
        </w:rPr>
        <w:t xml:space="preserve"> انتهى</w:t>
      </w:r>
      <w:r w:rsidR="000636C2">
        <w:rPr>
          <w:rFonts w:hint="cs"/>
          <w:rtl/>
        </w:rPr>
        <w:t>،</w:t>
      </w:r>
    </w:p>
    <w:p w14:paraId="0F979E9F" w14:textId="00453E5E" w:rsidR="009C32A0" w:rsidRPr="005675B2" w:rsidRDefault="009C32A0" w:rsidP="000636C2">
      <w:pPr>
        <w:rPr>
          <w:b/>
          <w:rtl/>
        </w:rPr>
      </w:pPr>
      <w:r w:rsidRPr="005675B2">
        <w:rPr>
          <w:rFonts w:hint="cs"/>
          <w:bCs/>
          <w:rtl/>
        </w:rPr>
        <w:t>الشق الثاني</w:t>
      </w:r>
      <w:r w:rsidR="000636C2">
        <w:rPr>
          <w:rFonts w:hint="cs"/>
          <w:bCs/>
          <w:rtl/>
        </w:rPr>
        <w:t>:</w:t>
      </w:r>
      <w:r w:rsidRPr="005675B2">
        <w:rPr>
          <w:rFonts w:hint="cs"/>
          <w:bCs/>
          <w:rtl/>
        </w:rPr>
        <w:t xml:space="preserve"> هل يقدم العقل على النقل عند التعارض</w:t>
      </w:r>
      <w:r w:rsidR="000636C2">
        <w:rPr>
          <w:rFonts w:hint="cs"/>
          <w:rtl/>
        </w:rPr>
        <w:t xml:space="preserve">؟ </w:t>
      </w:r>
      <w:r w:rsidRPr="005675B2">
        <w:rPr>
          <w:rFonts w:hint="cs"/>
          <w:rtl/>
        </w:rPr>
        <w:t>أخي الكريم فلتعلم أنه لابد أولاً</w:t>
      </w:r>
      <w:r w:rsidR="000636C2">
        <w:rPr>
          <w:rFonts w:hint="cs"/>
          <w:rtl/>
        </w:rPr>
        <w:t xml:space="preserve"> </w:t>
      </w:r>
      <w:r w:rsidRPr="005675B2">
        <w:rPr>
          <w:rFonts w:hint="cs"/>
          <w:rtl/>
        </w:rPr>
        <w:t>من معرفة أن الدليل</w:t>
      </w:r>
      <w:r w:rsidR="000636C2">
        <w:rPr>
          <w:rFonts w:hint="cs"/>
          <w:rtl/>
        </w:rPr>
        <w:t xml:space="preserve"> </w:t>
      </w:r>
      <w:r w:rsidRPr="005675B2">
        <w:rPr>
          <w:rFonts w:hint="cs"/>
          <w:rtl/>
        </w:rPr>
        <w:t>ينقسم إلى ظني وقطعي</w:t>
      </w:r>
      <w:r w:rsidR="000636C2">
        <w:rPr>
          <w:rFonts w:hint="cs"/>
          <w:rtl/>
        </w:rPr>
        <w:t xml:space="preserve">، </w:t>
      </w:r>
    </w:p>
    <w:p w14:paraId="46ACF8ED" w14:textId="3E915BB2" w:rsidR="009C32A0" w:rsidRPr="005675B2" w:rsidRDefault="009C32A0" w:rsidP="000636C2">
      <w:pPr>
        <w:rPr>
          <w:b/>
          <w:rtl/>
        </w:rPr>
      </w:pPr>
      <w:r w:rsidRPr="005675B2">
        <w:rPr>
          <w:rFonts w:hint="cs"/>
          <w:rtl/>
        </w:rPr>
        <w:t>فأولاً</w:t>
      </w:r>
      <w:r w:rsidR="000636C2">
        <w:rPr>
          <w:rFonts w:hint="cs"/>
          <w:rtl/>
        </w:rPr>
        <w:t>:</w:t>
      </w:r>
      <w:r w:rsidRPr="005675B2">
        <w:rPr>
          <w:rFonts w:hint="cs"/>
          <w:rtl/>
        </w:rPr>
        <w:t xml:space="preserve"> لابد أن نعرف ماهو الدليل ثم أذكر تعريف القطعي والظني وبالله التوفيق</w:t>
      </w:r>
      <w:r w:rsidR="000636C2">
        <w:rPr>
          <w:rFonts w:hint="cs"/>
          <w:rtl/>
        </w:rPr>
        <w:t xml:space="preserve">، </w:t>
      </w:r>
      <w:r w:rsidRPr="005675B2">
        <w:rPr>
          <w:rFonts w:hint="cs"/>
          <w:rtl/>
        </w:rPr>
        <w:t>الدليل</w:t>
      </w:r>
      <w:r w:rsidR="000636C2">
        <w:rPr>
          <w:rFonts w:hint="cs"/>
          <w:rtl/>
        </w:rPr>
        <w:t>:</w:t>
      </w:r>
      <w:r w:rsidRPr="005675B2">
        <w:rPr>
          <w:rFonts w:hint="cs"/>
          <w:rtl/>
        </w:rPr>
        <w:t>اصطلاحاً له معنيان فالمعنى الأعم له</w:t>
      </w:r>
      <w:r w:rsidR="000636C2">
        <w:rPr>
          <w:rFonts w:hint="cs"/>
          <w:rtl/>
        </w:rPr>
        <w:t>:</w:t>
      </w:r>
      <w:r w:rsidRPr="005675B2">
        <w:rPr>
          <w:rFonts w:hint="cs"/>
          <w:rtl/>
        </w:rPr>
        <w:t>هو ماتوصل بصحيح</w:t>
      </w:r>
      <w:r w:rsidR="000636C2">
        <w:rPr>
          <w:rFonts w:hint="cs"/>
          <w:rtl/>
        </w:rPr>
        <w:t xml:space="preserve"> </w:t>
      </w:r>
      <w:r w:rsidRPr="005675B2">
        <w:rPr>
          <w:rFonts w:hint="cs"/>
          <w:rtl/>
        </w:rPr>
        <w:t>النظر فيه إلى مطلوب خبري</w:t>
      </w:r>
      <w:r w:rsidR="000636C2">
        <w:rPr>
          <w:rFonts w:hint="cs"/>
          <w:rtl/>
        </w:rPr>
        <w:t>،</w:t>
      </w:r>
      <w:r w:rsidRPr="005675B2">
        <w:rPr>
          <w:rFonts w:hint="cs"/>
          <w:rtl/>
        </w:rPr>
        <w:t xml:space="preserve"> فهو يشمل الدليل القطعي والظني</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الإحكام للإمام الآمدي 1/12 شرح الكوكب المنير 1/51</w:t>
      </w:r>
      <w:r w:rsidRPr="005675B2">
        <w:rPr>
          <w:rFonts w:hint="cs"/>
          <w:rtl/>
        </w:rPr>
        <w:t>]</w:t>
      </w:r>
      <w:r w:rsidR="000636C2">
        <w:rPr>
          <w:rFonts w:hint="cs"/>
          <w:rtl/>
        </w:rPr>
        <w:t>،</w:t>
      </w:r>
      <w:r w:rsidRPr="005675B2">
        <w:rPr>
          <w:rFonts w:hint="cs"/>
          <w:rtl/>
        </w:rPr>
        <w:t xml:space="preserve"> فالقطعي نجزم بلا تردد بثبوته وبدلالته على المعنى المراد لأنه لا يتطرق إليه</w:t>
      </w:r>
      <w:r w:rsidR="000636C2">
        <w:rPr>
          <w:rFonts w:hint="cs"/>
          <w:rtl/>
        </w:rPr>
        <w:t xml:space="preserve"> </w:t>
      </w:r>
      <w:r w:rsidRPr="005675B2">
        <w:rPr>
          <w:rFonts w:hint="cs"/>
          <w:rtl/>
        </w:rPr>
        <w:t>الاحتمال</w:t>
      </w:r>
      <w:r w:rsidR="000636C2">
        <w:rPr>
          <w:rFonts w:hint="cs"/>
          <w:rtl/>
        </w:rPr>
        <w:t>،</w:t>
      </w:r>
      <w:r w:rsidRPr="005675B2">
        <w:rPr>
          <w:rFonts w:hint="cs"/>
          <w:rtl/>
        </w:rPr>
        <w:t xml:space="preserve"> </w:t>
      </w:r>
      <w:r w:rsidR="000636C2">
        <w:rPr>
          <w:rFonts w:hint="cs"/>
          <w:rtl/>
        </w:rPr>
        <w:t>(</w:t>
      </w:r>
      <w:r w:rsidRPr="005675B2">
        <w:rPr>
          <w:rFonts w:hint="cs"/>
          <w:rtl/>
        </w:rPr>
        <w:t>تعريف القطعي</w:t>
      </w:r>
      <w:r w:rsidR="000636C2">
        <w:rPr>
          <w:rFonts w:hint="cs"/>
          <w:rtl/>
        </w:rPr>
        <w:t>):</w:t>
      </w:r>
      <w:r w:rsidRPr="005675B2">
        <w:rPr>
          <w:rFonts w:hint="cs"/>
          <w:rtl/>
        </w:rPr>
        <w:t xml:space="preserve"> قال التفتازاني</w:t>
      </w:r>
      <w:r w:rsidR="000636C2">
        <w:rPr>
          <w:rFonts w:hint="cs"/>
          <w:rtl/>
        </w:rPr>
        <w:t>:</w:t>
      </w:r>
      <w:r w:rsidRPr="005675B2">
        <w:rPr>
          <w:rFonts w:hint="cs"/>
          <w:rtl/>
        </w:rPr>
        <w:t xml:space="preserve"> القطع يطلق على نفي الاحتمال أصلاً</w:t>
      </w:r>
      <w:r w:rsidR="000636C2">
        <w:rPr>
          <w:rFonts w:hint="cs"/>
          <w:rtl/>
        </w:rPr>
        <w:t>،</w:t>
      </w:r>
      <w:r w:rsidRPr="005675B2">
        <w:rPr>
          <w:rFonts w:hint="cs"/>
          <w:rtl/>
        </w:rPr>
        <w:t>وعلى نفي الاحتمال الناشئ عن دليل</w:t>
      </w:r>
      <w:r w:rsidR="000636C2">
        <w:rPr>
          <w:rFonts w:hint="cs"/>
          <w:rtl/>
        </w:rPr>
        <w:t xml:space="preserve">، </w:t>
      </w:r>
      <w:r w:rsidRPr="005675B2">
        <w:rPr>
          <w:rFonts w:hint="cs"/>
          <w:rtl/>
        </w:rPr>
        <w:t>[</w:t>
      </w:r>
      <w:r w:rsidRPr="005675B2">
        <w:rPr>
          <w:rFonts w:hint="cs"/>
          <w:bCs/>
          <w:sz w:val="24"/>
          <w:szCs w:val="24"/>
          <w:rtl/>
        </w:rPr>
        <w:t>شرح التلويح 1/35</w:t>
      </w:r>
      <w:r w:rsidRPr="005675B2">
        <w:rPr>
          <w:rFonts w:hint="cs"/>
          <w:rtl/>
        </w:rPr>
        <w:t>]</w:t>
      </w:r>
      <w:r w:rsidR="000636C2">
        <w:rPr>
          <w:rFonts w:hint="cs"/>
          <w:rtl/>
        </w:rPr>
        <w:t>،</w:t>
      </w:r>
      <w:r w:rsidRPr="005675B2">
        <w:rPr>
          <w:rFonts w:hint="cs"/>
          <w:rtl/>
        </w:rPr>
        <w:t xml:space="preserve"> ثمرة الدليل القطعي</w:t>
      </w:r>
      <w:r w:rsidR="000636C2">
        <w:rPr>
          <w:rFonts w:hint="cs"/>
          <w:rtl/>
        </w:rPr>
        <w:t>:</w:t>
      </w:r>
      <w:r w:rsidRPr="005675B2">
        <w:rPr>
          <w:rFonts w:hint="cs"/>
          <w:rtl/>
        </w:rPr>
        <w:t xml:space="preserve"> أنه يفيد العلم اليقيني الذي لاتردد ولا شك فيه</w:t>
      </w:r>
      <w:r w:rsidR="000636C2">
        <w:rPr>
          <w:rFonts w:hint="cs"/>
          <w:rtl/>
        </w:rPr>
        <w:t>،</w:t>
      </w:r>
      <w:r w:rsidRPr="005675B2">
        <w:rPr>
          <w:rFonts w:hint="cs"/>
          <w:rtl/>
        </w:rPr>
        <w:t xml:space="preserve"> قال الإمام السبكي</w:t>
      </w:r>
      <w:r w:rsidR="000636C2">
        <w:rPr>
          <w:rFonts w:hint="cs"/>
          <w:rtl/>
        </w:rPr>
        <w:t>:</w:t>
      </w:r>
      <w:r w:rsidRPr="005675B2">
        <w:rPr>
          <w:rFonts w:hint="cs"/>
          <w:rtl/>
        </w:rPr>
        <w:t xml:space="preserve"> الدليل القطعي هو ما يفيد العلم اليقيني</w:t>
      </w:r>
      <w:r w:rsidR="000636C2">
        <w:rPr>
          <w:rFonts w:hint="cs"/>
          <w:rtl/>
        </w:rPr>
        <w:t>،</w:t>
      </w:r>
      <w:r w:rsidRPr="005675B2">
        <w:rPr>
          <w:rFonts w:hint="cs"/>
          <w:rtl/>
        </w:rPr>
        <w:t xml:space="preserve"> [</w:t>
      </w:r>
      <w:r w:rsidRPr="005675B2">
        <w:rPr>
          <w:rFonts w:hint="cs"/>
          <w:bCs/>
          <w:sz w:val="24"/>
          <w:szCs w:val="24"/>
          <w:rtl/>
        </w:rPr>
        <w:t>الإبهاج 3/210</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تعريف الظني</w:t>
      </w:r>
      <w:r w:rsidR="000636C2">
        <w:rPr>
          <w:rFonts w:hint="cs"/>
          <w:rtl/>
        </w:rPr>
        <w:t>):</w:t>
      </w:r>
      <w:r w:rsidRPr="005675B2">
        <w:rPr>
          <w:rFonts w:hint="cs"/>
          <w:rtl/>
        </w:rPr>
        <w:t xml:space="preserve"> قال الطوفي هو حكم راجح غير جازم</w:t>
      </w:r>
      <w:r w:rsidR="000636C2">
        <w:rPr>
          <w:rFonts w:hint="cs"/>
          <w:rtl/>
        </w:rPr>
        <w:t>،</w:t>
      </w:r>
      <w:r w:rsidRPr="005675B2">
        <w:rPr>
          <w:rFonts w:hint="cs"/>
          <w:rtl/>
        </w:rPr>
        <w:t xml:space="preserve"> وقال الآمدي</w:t>
      </w:r>
      <w:r w:rsidR="000636C2">
        <w:rPr>
          <w:rFonts w:hint="cs"/>
          <w:rtl/>
        </w:rPr>
        <w:t>:</w:t>
      </w:r>
      <w:r w:rsidRPr="005675B2">
        <w:rPr>
          <w:rFonts w:hint="cs"/>
          <w:rtl/>
        </w:rPr>
        <w:t xml:space="preserve"> ترجح أحد الاحتمالين على الآخر من غير قطع</w:t>
      </w:r>
      <w:r w:rsidR="000636C2">
        <w:rPr>
          <w:rFonts w:hint="cs"/>
          <w:rtl/>
        </w:rPr>
        <w:t xml:space="preserve">، </w:t>
      </w:r>
      <w:r w:rsidRPr="005675B2">
        <w:rPr>
          <w:rFonts w:hint="cs"/>
          <w:rtl/>
        </w:rPr>
        <w:t>[</w:t>
      </w:r>
      <w:r w:rsidRPr="005675B2">
        <w:rPr>
          <w:rFonts w:hint="cs"/>
          <w:bCs/>
          <w:sz w:val="24"/>
          <w:szCs w:val="24"/>
          <w:rtl/>
        </w:rPr>
        <w:t>شرح البلبل 1/161</w:t>
      </w:r>
      <w:r w:rsidR="000636C2">
        <w:rPr>
          <w:rFonts w:hint="cs"/>
          <w:bCs/>
          <w:sz w:val="24"/>
          <w:szCs w:val="24"/>
          <w:rtl/>
        </w:rPr>
        <w:t xml:space="preserve"> </w:t>
      </w:r>
      <w:r w:rsidRPr="005675B2">
        <w:rPr>
          <w:rFonts w:hint="cs"/>
          <w:bCs/>
          <w:sz w:val="24"/>
          <w:szCs w:val="24"/>
          <w:rtl/>
        </w:rPr>
        <w:t>والإحكام للآمدي 1/30</w:t>
      </w:r>
      <w:r w:rsidRPr="005675B2">
        <w:rPr>
          <w:rFonts w:hint="cs"/>
          <w:rtl/>
        </w:rPr>
        <w:t>]</w:t>
      </w:r>
      <w:r w:rsidR="000636C2">
        <w:rPr>
          <w:rFonts w:hint="cs"/>
          <w:rtl/>
        </w:rPr>
        <w:t>،</w:t>
      </w:r>
      <w:r w:rsidRPr="005675B2">
        <w:rPr>
          <w:rFonts w:hint="cs"/>
          <w:rtl/>
        </w:rPr>
        <w:t xml:space="preserve"> وعلى ما سبق فإن الحديث الشريف قد يكون ظني الثبوت وهو كل ماسوى المتواتر</w:t>
      </w:r>
      <w:r w:rsidR="000636C2">
        <w:rPr>
          <w:rFonts w:hint="cs"/>
          <w:rtl/>
        </w:rPr>
        <w:t xml:space="preserve">، </w:t>
      </w:r>
      <w:r w:rsidRPr="005675B2">
        <w:rPr>
          <w:rFonts w:hint="cs"/>
          <w:rtl/>
        </w:rPr>
        <w:t>وقديكون الدليل ظني الدلالة وهو مالم تكن دلالته دلالة نص أي دلالة تدل قطعاًعلى أن المراد هذا المعنى دون غيره فيخرج بذلك بقية أنواع الدلالة</w:t>
      </w:r>
      <w:r w:rsidR="000636C2">
        <w:rPr>
          <w:rFonts w:hint="cs"/>
          <w:rtl/>
        </w:rPr>
        <w:t xml:space="preserve">، </w:t>
      </w:r>
      <w:r w:rsidRPr="005675B2">
        <w:rPr>
          <w:rFonts w:hint="cs"/>
          <w:rtl/>
        </w:rPr>
        <w:t>وهذا التقسيم يترتب عليه أحكام عند العلماء فلم يوضع عبثاً</w:t>
      </w:r>
      <w:r w:rsidR="000636C2">
        <w:rPr>
          <w:rFonts w:hint="cs"/>
          <w:rtl/>
        </w:rPr>
        <w:t>،</w:t>
      </w:r>
      <w:r w:rsidRPr="005675B2">
        <w:rPr>
          <w:rFonts w:hint="cs"/>
          <w:rtl/>
        </w:rPr>
        <w:t xml:space="preserve"> وأذكركم أن</w:t>
      </w:r>
      <w:r w:rsidR="000636C2">
        <w:rPr>
          <w:rFonts w:hint="cs"/>
          <w:rtl/>
        </w:rPr>
        <w:t xml:space="preserve"> </w:t>
      </w:r>
      <w:r w:rsidRPr="005675B2">
        <w:rPr>
          <w:rFonts w:hint="cs"/>
          <w:rtl/>
        </w:rPr>
        <w:t>الاحتمالات في اللفظ ثلاثة</w:t>
      </w:r>
      <w:r w:rsidR="000636C2">
        <w:rPr>
          <w:rFonts w:hint="cs"/>
          <w:rtl/>
        </w:rPr>
        <w:t>:</w:t>
      </w:r>
    </w:p>
    <w:p w14:paraId="74D67AA7" w14:textId="153B9BD8" w:rsidR="009C32A0" w:rsidRPr="005675B2" w:rsidRDefault="009C32A0" w:rsidP="000636C2">
      <w:pPr>
        <w:rPr>
          <w:rtl/>
        </w:rPr>
      </w:pPr>
      <w:r w:rsidRPr="005675B2">
        <w:rPr>
          <w:rFonts w:hint="cs"/>
          <w:u w:val="single"/>
          <w:rtl/>
        </w:rPr>
        <w:t>الأولى</w:t>
      </w:r>
      <w:r w:rsidR="000636C2">
        <w:rPr>
          <w:rFonts w:hint="cs"/>
          <w:rtl/>
        </w:rPr>
        <w:t>:</w:t>
      </w:r>
      <w:r w:rsidRPr="005675B2">
        <w:rPr>
          <w:rFonts w:hint="cs"/>
          <w:rtl/>
        </w:rPr>
        <w:t xml:space="preserve"> دلالة النص</w:t>
      </w:r>
      <w:r w:rsidR="000636C2">
        <w:rPr>
          <w:rFonts w:hint="cs"/>
          <w:rtl/>
        </w:rPr>
        <w:t>:</w:t>
      </w:r>
      <w:r w:rsidRPr="005675B2">
        <w:rPr>
          <w:rFonts w:hint="cs"/>
          <w:rtl/>
        </w:rPr>
        <w:t xml:space="preserve"> أو الصريح</w:t>
      </w:r>
      <w:r w:rsidR="000636C2">
        <w:rPr>
          <w:rFonts w:hint="cs"/>
          <w:rtl/>
        </w:rPr>
        <w:t>:</w:t>
      </w:r>
      <w:r w:rsidRPr="005675B2">
        <w:rPr>
          <w:rFonts w:hint="cs"/>
          <w:rtl/>
        </w:rPr>
        <w:t xml:space="preserve"> وهو ما لا يرد عليه الاحتمال قطعاً بلا لبس أو شك</w:t>
      </w:r>
      <w:r w:rsidR="000636C2">
        <w:rPr>
          <w:rFonts w:hint="cs"/>
          <w:rtl/>
        </w:rPr>
        <w:t>،</w:t>
      </w:r>
      <w:r w:rsidRPr="005675B2">
        <w:rPr>
          <w:rFonts w:hint="cs"/>
          <w:rtl/>
        </w:rPr>
        <w:t xml:space="preserve"> </w:t>
      </w:r>
      <w:r w:rsidRPr="005675B2">
        <w:rPr>
          <w:rFonts w:hint="cs"/>
          <w:u w:val="single"/>
          <w:rtl/>
        </w:rPr>
        <w:t>ولذا فلا يمكن أن يتعارض قطعي النقل مع قطعي العقل في هذه الحالة</w:t>
      </w:r>
      <w:r w:rsidR="000636C2">
        <w:rPr>
          <w:rFonts w:hint="cs"/>
          <w:u w:val="single"/>
          <w:rtl/>
        </w:rPr>
        <w:t xml:space="preserve">، </w:t>
      </w:r>
      <w:r w:rsidRPr="005675B2">
        <w:rPr>
          <w:rFonts w:hint="cs"/>
          <w:rtl/>
        </w:rPr>
        <w:t>قال السرخسي</w:t>
      </w:r>
      <w:r w:rsidR="000636C2">
        <w:rPr>
          <w:rFonts w:hint="cs"/>
          <w:rtl/>
        </w:rPr>
        <w:t>:</w:t>
      </w:r>
      <w:r w:rsidRPr="005675B2">
        <w:rPr>
          <w:rFonts w:hint="cs"/>
          <w:rtl/>
        </w:rPr>
        <w:t xml:space="preserve"> النص المطلق يوجب الحكم قطعاً</w:t>
      </w:r>
      <w:r w:rsidR="000636C2">
        <w:rPr>
          <w:rFonts w:hint="cs"/>
          <w:rtl/>
        </w:rPr>
        <w:t>،</w:t>
      </w:r>
      <w:r w:rsidRPr="005675B2">
        <w:rPr>
          <w:rFonts w:hint="cs"/>
          <w:rtl/>
        </w:rPr>
        <w:t xml:space="preserve"> [</w:t>
      </w:r>
      <w:r w:rsidRPr="005675B2">
        <w:rPr>
          <w:rFonts w:hint="cs"/>
          <w:bCs/>
          <w:sz w:val="24"/>
          <w:szCs w:val="24"/>
          <w:rtl/>
        </w:rPr>
        <w:t>اصول السرخسي 1/ 138</w:t>
      </w:r>
      <w:r w:rsidRPr="005675B2">
        <w:rPr>
          <w:rFonts w:hint="cs"/>
          <w:rtl/>
        </w:rPr>
        <w:t xml:space="preserve">] </w:t>
      </w:r>
    </w:p>
    <w:p w14:paraId="632C61B6" w14:textId="2C787E7C" w:rsidR="009C32A0" w:rsidRPr="005675B2" w:rsidRDefault="009C32A0" w:rsidP="000636C2">
      <w:pPr>
        <w:rPr>
          <w:b/>
          <w:rtl/>
        </w:rPr>
      </w:pPr>
      <w:r w:rsidRPr="005675B2">
        <w:rPr>
          <w:rFonts w:hint="cs"/>
          <w:u w:val="single"/>
          <w:rtl/>
        </w:rPr>
        <w:t>الثانية</w:t>
      </w:r>
      <w:r w:rsidR="000636C2">
        <w:rPr>
          <w:rFonts w:hint="cs"/>
          <w:rtl/>
        </w:rPr>
        <w:t>:</w:t>
      </w:r>
      <w:r w:rsidRPr="005675B2">
        <w:rPr>
          <w:rFonts w:hint="cs"/>
          <w:rtl/>
        </w:rPr>
        <w:t xml:space="preserve"> الظاهر</w:t>
      </w:r>
      <w:r w:rsidR="000636C2">
        <w:rPr>
          <w:rFonts w:hint="cs"/>
          <w:rtl/>
        </w:rPr>
        <w:t>:</w:t>
      </w:r>
      <w:r w:rsidRPr="005675B2">
        <w:rPr>
          <w:rFonts w:hint="cs"/>
          <w:rtl/>
        </w:rPr>
        <w:t xml:space="preserve"> وهو ما احتمل معنيين هو في أحدهما أظهر من الآخر</w:t>
      </w:r>
      <w:r w:rsidR="000636C2">
        <w:rPr>
          <w:rFonts w:hint="cs"/>
          <w:rtl/>
        </w:rPr>
        <w:t xml:space="preserve">، </w:t>
      </w:r>
      <w:r w:rsidRPr="005675B2">
        <w:rPr>
          <w:rFonts w:hint="cs"/>
          <w:rtl/>
        </w:rPr>
        <w:t>[</w:t>
      </w:r>
      <w:r w:rsidRPr="005675B2">
        <w:rPr>
          <w:rFonts w:hint="cs"/>
          <w:bCs/>
          <w:sz w:val="24"/>
          <w:szCs w:val="24"/>
          <w:rtl/>
        </w:rPr>
        <w:t>العدة1/141</w:t>
      </w:r>
      <w:r w:rsidR="000636C2">
        <w:rPr>
          <w:rFonts w:hint="cs"/>
          <w:bCs/>
          <w:sz w:val="24"/>
          <w:szCs w:val="24"/>
          <w:rtl/>
        </w:rPr>
        <w:t xml:space="preserve"> </w:t>
      </w:r>
      <w:r w:rsidRPr="005675B2">
        <w:rPr>
          <w:rFonts w:hint="cs"/>
          <w:bCs/>
          <w:sz w:val="24"/>
          <w:szCs w:val="24"/>
          <w:rtl/>
        </w:rPr>
        <w:t>قواطع الأدلة 2/480</w:t>
      </w:r>
      <w:r w:rsidRPr="005675B2">
        <w:rPr>
          <w:rFonts w:hint="cs"/>
          <w:rtl/>
        </w:rPr>
        <w:t>]</w:t>
      </w:r>
      <w:r w:rsidR="000636C2">
        <w:rPr>
          <w:rFonts w:hint="cs"/>
          <w:rtl/>
        </w:rPr>
        <w:t>،</w:t>
      </w:r>
      <w:r w:rsidRPr="005675B2">
        <w:rPr>
          <w:rFonts w:hint="cs"/>
          <w:rtl/>
        </w:rPr>
        <w:t xml:space="preserve"> فالظاهر</w:t>
      </w:r>
      <w:r w:rsidR="000636C2">
        <w:rPr>
          <w:rFonts w:hint="cs"/>
          <w:rtl/>
        </w:rPr>
        <w:t>:</w:t>
      </w:r>
      <w:r w:rsidRPr="005675B2">
        <w:rPr>
          <w:rFonts w:hint="cs"/>
          <w:rtl/>
        </w:rPr>
        <w:t xml:space="preserve"> يفيد الظن ولا يفيد القطع عند الجمهور</w:t>
      </w:r>
      <w:r w:rsidR="000636C2">
        <w:rPr>
          <w:rFonts w:hint="cs"/>
          <w:rtl/>
        </w:rPr>
        <w:t>،</w:t>
      </w:r>
      <w:r w:rsidRPr="005675B2">
        <w:rPr>
          <w:rFonts w:hint="cs"/>
          <w:rtl/>
        </w:rPr>
        <w:t xml:space="preserve"> [</w:t>
      </w:r>
      <w:r w:rsidRPr="005675B2">
        <w:rPr>
          <w:rFonts w:hint="cs"/>
          <w:bCs/>
          <w:sz w:val="24"/>
          <w:szCs w:val="24"/>
          <w:rtl/>
        </w:rPr>
        <w:t>البرهان 1/513والمستصفى 3/85</w:t>
      </w:r>
      <w:r w:rsidRPr="005675B2">
        <w:rPr>
          <w:rFonts w:hint="cs"/>
          <w:rtl/>
        </w:rPr>
        <w:t>]</w:t>
      </w:r>
    </w:p>
    <w:p w14:paraId="38AD6580" w14:textId="67D02C5B" w:rsidR="009C32A0" w:rsidRPr="005675B2" w:rsidRDefault="009C32A0" w:rsidP="000636C2">
      <w:pPr>
        <w:rPr>
          <w:b/>
        </w:rPr>
      </w:pPr>
      <w:r w:rsidRPr="005675B2">
        <w:rPr>
          <w:rFonts w:hint="cs"/>
          <w:u w:val="single"/>
          <w:rtl/>
        </w:rPr>
        <w:t>الثالثة</w:t>
      </w:r>
      <w:r w:rsidR="000636C2">
        <w:rPr>
          <w:rFonts w:hint="cs"/>
          <w:u w:val="single"/>
          <w:rtl/>
        </w:rPr>
        <w:t>:</w:t>
      </w:r>
      <w:r w:rsidRPr="005675B2">
        <w:rPr>
          <w:rFonts w:hint="cs"/>
          <w:rtl/>
        </w:rPr>
        <w:t xml:space="preserve"> المجمل</w:t>
      </w:r>
      <w:r w:rsidR="000636C2">
        <w:rPr>
          <w:rFonts w:hint="cs"/>
          <w:rtl/>
        </w:rPr>
        <w:t>:</w:t>
      </w:r>
      <w:r w:rsidRPr="005675B2">
        <w:rPr>
          <w:rFonts w:hint="cs"/>
          <w:rtl/>
        </w:rPr>
        <w:t xml:space="preserve"> مالا ينبئ عن المراد بنفسه</w:t>
      </w:r>
      <w:r w:rsidR="000636C2">
        <w:rPr>
          <w:rFonts w:hint="cs"/>
          <w:rtl/>
        </w:rPr>
        <w:t>،</w:t>
      </w:r>
      <w:r w:rsidRPr="005675B2">
        <w:rPr>
          <w:rFonts w:hint="cs"/>
          <w:rtl/>
        </w:rPr>
        <w:t xml:space="preserve"> [</w:t>
      </w:r>
      <w:r w:rsidRPr="005675B2">
        <w:rPr>
          <w:rFonts w:hint="cs"/>
          <w:bCs/>
          <w:sz w:val="24"/>
          <w:szCs w:val="24"/>
          <w:rtl/>
        </w:rPr>
        <w:t>العدة 1/142</w:t>
      </w:r>
      <w:r w:rsidR="000636C2">
        <w:rPr>
          <w:rFonts w:hint="cs"/>
          <w:bCs/>
          <w:sz w:val="24"/>
          <w:szCs w:val="24"/>
          <w:rtl/>
        </w:rPr>
        <w:t xml:space="preserve"> </w:t>
      </w:r>
      <w:r w:rsidRPr="005675B2">
        <w:rPr>
          <w:rFonts w:hint="cs"/>
          <w:bCs/>
          <w:sz w:val="24"/>
          <w:szCs w:val="24"/>
          <w:rtl/>
        </w:rPr>
        <w:t>روضة الناظر 2/570</w:t>
      </w:r>
      <w:r w:rsidRPr="005675B2">
        <w:rPr>
          <w:rFonts w:hint="cs"/>
          <w:rtl/>
        </w:rPr>
        <w:t>] ولذا فهو يحتاج مرجحا من غيره</w:t>
      </w:r>
      <w:r w:rsidR="000636C2">
        <w:rPr>
          <w:rFonts w:hint="cs"/>
          <w:rtl/>
        </w:rPr>
        <w:t>،</w:t>
      </w:r>
      <w:r w:rsidRPr="005675B2">
        <w:rPr>
          <w:rFonts w:hint="cs"/>
          <w:rtl/>
        </w:rPr>
        <w:t xml:space="preserve"> ولذا فإن المجمل وأيضاً ما يسمى بالمشكل والخفي والمتشابه لايفيد قطعاً ولا ظناً بل يتوقف فيه حتى يرد ما يرجح معناه</w:t>
      </w:r>
      <w:r w:rsidR="000636C2">
        <w:rPr>
          <w:rFonts w:hint="cs"/>
          <w:rtl/>
        </w:rPr>
        <w:t>،</w:t>
      </w:r>
      <w:r w:rsidRPr="005675B2">
        <w:rPr>
          <w:rFonts w:hint="cs"/>
          <w:rtl/>
        </w:rPr>
        <w:t xml:space="preserve"> ولذا فمعرفة أصول الفقه أمر لازم لفهم مسائل الاعتقاد والذي يقول أنه عالم في العقيدة وهو لا يفهم أصول الفقه فهماً جيداً، ولا يفهم البلاغة، ولا المنطق</w:t>
      </w:r>
      <w:r w:rsidR="000636C2">
        <w:rPr>
          <w:rFonts w:hint="cs"/>
          <w:rtl/>
        </w:rPr>
        <w:t>،</w:t>
      </w:r>
      <w:r w:rsidRPr="005675B2">
        <w:rPr>
          <w:rFonts w:hint="cs"/>
          <w:rtl/>
        </w:rPr>
        <w:t>فقد ظلم نفسه وظلم غيره ولابد من فهم اللغة العربية - بلاغة</w:t>
      </w:r>
      <w:r w:rsidR="000636C2">
        <w:rPr>
          <w:rFonts w:hint="cs"/>
          <w:rtl/>
        </w:rPr>
        <w:t>،</w:t>
      </w:r>
      <w:r w:rsidRPr="005675B2">
        <w:rPr>
          <w:rFonts w:hint="cs"/>
          <w:rtl/>
        </w:rPr>
        <w:t>وتصريفاً</w:t>
      </w:r>
      <w:r w:rsidR="000636C2">
        <w:rPr>
          <w:rFonts w:hint="cs"/>
          <w:rtl/>
        </w:rPr>
        <w:t>،</w:t>
      </w:r>
      <w:r w:rsidRPr="005675B2">
        <w:rPr>
          <w:rFonts w:hint="cs"/>
          <w:rtl/>
        </w:rPr>
        <w:t>ونحواً -</w:t>
      </w:r>
      <w:r w:rsidR="000636C2">
        <w:rPr>
          <w:rFonts w:hint="cs"/>
          <w:rtl/>
        </w:rPr>
        <w:t xml:space="preserve"> </w:t>
      </w:r>
      <w:r w:rsidRPr="005675B2">
        <w:rPr>
          <w:rFonts w:hint="cs"/>
          <w:rtl/>
        </w:rPr>
        <w:t>وغير ذلك من علوم الآلة</w:t>
      </w:r>
      <w:r w:rsidR="000636C2">
        <w:rPr>
          <w:rFonts w:hint="cs"/>
          <w:rtl/>
        </w:rPr>
        <w:t>،</w:t>
      </w:r>
    </w:p>
    <w:p w14:paraId="6F1BA5EE" w14:textId="38F89BFE" w:rsidR="009C32A0" w:rsidRPr="005675B2" w:rsidRDefault="009C32A0" w:rsidP="000636C2">
      <w:pPr>
        <w:rPr>
          <w:b/>
          <w:rtl/>
        </w:rPr>
      </w:pPr>
      <w:r w:rsidRPr="005675B2">
        <w:rPr>
          <w:rFonts w:hint="cs"/>
          <w:bCs/>
          <w:rtl/>
        </w:rPr>
        <w:t>نتيجة ما سبق</w:t>
      </w:r>
      <w:r w:rsidR="000636C2">
        <w:rPr>
          <w:rFonts w:hint="cs"/>
          <w:rtl/>
        </w:rPr>
        <w:t>:</w:t>
      </w:r>
      <w:r w:rsidRPr="005675B2">
        <w:rPr>
          <w:rFonts w:hint="cs"/>
          <w:rtl/>
        </w:rPr>
        <w:t xml:space="preserve"> إذا تعارض دليل شرعي</w:t>
      </w:r>
      <w:r w:rsidR="000636C2">
        <w:rPr>
          <w:rFonts w:hint="cs"/>
          <w:rtl/>
        </w:rPr>
        <w:t xml:space="preserve"> </w:t>
      </w:r>
      <w:r w:rsidRPr="005675B2">
        <w:rPr>
          <w:rFonts w:hint="cs"/>
          <w:rtl/>
        </w:rPr>
        <w:t>ظني الثبوت أو الدلالة مع قطعي العقل أو قطعي النقل فلا يرد النقلي هكذا اعتباطاً بل</w:t>
      </w:r>
      <w:r w:rsidR="000636C2">
        <w:rPr>
          <w:rFonts w:hint="cs"/>
          <w:rtl/>
        </w:rPr>
        <w:t xml:space="preserve"> </w:t>
      </w:r>
      <w:r w:rsidRPr="005675B2">
        <w:rPr>
          <w:rFonts w:hint="cs"/>
          <w:rtl/>
        </w:rPr>
        <w:t>يحمل</w:t>
      </w:r>
      <w:r w:rsidR="000636C2">
        <w:rPr>
          <w:rFonts w:hint="cs"/>
          <w:rtl/>
        </w:rPr>
        <w:t xml:space="preserve"> </w:t>
      </w:r>
      <w:r w:rsidRPr="005675B2">
        <w:rPr>
          <w:rFonts w:hint="cs"/>
          <w:rtl/>
        </w:rPr>
        <w:t>على محمل صحيح</w:t>
      </w:r>
      <w:r w:rsidR="000636C2">
        <w:rPr>
          <w:rFonts w:hint="cs"/>
          <w:rtl/>
        </w:rPr>
        <w:t>،</w:t>
      </w:r>
      <w:r w:rsidRPr="005675B2">
        <w:rPr>
          <w:rFonts w:hint="cs"/>
          <w:rtl/>
        </w:rPr>
        <w:t>فإذا أمكن الجمع بينهما لم يرد، وإن لم يمكن الجمع بينهما فحينئذ يعدل إلى الترجيح فيقدم</w:t>
      </w:r>
      <w:r w:rsidR="000636C2">
        <w:rPr>
          <w:rFonts w:hint="cs"/>
          <w:rtl/>
        </w:rPr>
        <w:t>،</w:t>
      </w:r>
      <w:r w:rsidRPr="005675B2">
        <w:rPr>
          <w:rFonts w:hint="cs"/>
          <w:rtl/>
        </w:rPr>
        <w:t xml:space="preserve"> وهذا معنى كلام الإمام الرازي الذي نقله الكاتب فلا داعي للتشنيع على علماء الأمة</w:t>
      </w:r>
      <w:r w:rsidR="000636C2">
        <w:rPr>
          <w:rFonts w:hint="cs"/>
          <w:rtl/>
        </w:rPr>
        <w:t>،</w:t>
      </w:r>
      <w:r w:rsidRPr="005675B2">
        <w:rPr>
          <w:rFonts w:hint="cs"/>
          <w:rtl/>
        </w:rPr>
        <w:t xml:space="preserve"> لأن القطعي لا يمكن أن يعارض القطعي ولذا فوجوده أصلاً محال</w:t>
      </w:r>
      <w:r w:rsidR="000636C2">
        <w:rPr>
          <w:rFonts w:hint="cs"/>
          <w:rtl/>
        </w:rPr>
        <w:t>،</w:t>
      </w:r>
    </w:p>
    <w:p w14:paraId="12B991C7" w14:textId="27BC4C93" w:rsidR="009C32A0" w:rsidRPr="005675B2" w:rsidRDefault="009C32A0" w:rsidP="000636C2">
      <w:pPr>
        <w:rPr>
          <w:b/>
          <w:rtl/>
        </w:rPr>
      </w:pPr>
      <w:r w:rsidRPr="005675B2">
        <w:rPr>
          <w:rFonts w:hint="cs"/>
          <w:u w:val="single"/>
          <w:rtl/>
        </w:rPr>
        <w:t>مثال لمعارضة ظني النقل للدليل العقلي القطعي</w:t>
      </w:r>
      <w:r w:rsidR="000636C2">
        <w:rPr>
          <w:rFonts w:hint="cs"/>
          <w:rtl/>
        </w:rPr>
        <w:t>:</w:t>
      </w:r>
      <w:r w:rsidRPr="005675B2">
        <w:rPr>
          <w:rFonts w:hint="cs"/>
          <w:rtl/>
        </w:rPr>
        <w:t xml:space="preserve"> لدينا قطعي عقلي وهو أن الله عز وجل لا يمكن أن يمرض أو يموت سبحانه وتعالى</w:t>
      </w:r>
      <w:r w:rsidR="000636C2">
        <w:rPr>
          <w:rFonts w:hint="cs"/>
          <w:rtl/>
        </w:rPr>
        <w:t>،</w:t>
      </w:r>
      <w:r w:rsidRPr="005675B2">
        <w:rPr>
          <w:rFonts w:hint="cs"/>
          <w:rtl/>
        </w:rPr>
        <w:t xml:space="preserve"> لكن</w:t>
      </w:r>
      <w:r w:rsidR="000636C2">
        <w:rPr>
          <w:rFonts w:hint="cs"/>
          <w:rtl/>
        </w:rPr>
        <w:t xml:space="preserve"> </w:t>
      </w:r>
      <w:r w:rsidRPr="005675B2">
        <w:rPr>
          <w:rFonts w:hint="cs"/>
          <w:rtl/>
        </w:rPr>
        <w:t xml:space="preserve">قد يعارضه أخذ بعض الناس بظاهر حديث </w:t>
      </w:r>
      <w:r w:rsidR="000636C2">
        <w:rPr>
          <w:rFonts w:hint="cs"/>
          <w:rtl/>
        </w:rPr>
        <w:t>(</w:t>
      </w:r>
      <w:r w:rsidRPr="005675B2">
        <w:rPr>
          <w:rFonts w:hint="cs"/>
          <w:rtl/>
        </w:rPr>
        <w:t>عبدي مرضت فلم تعدني</w:t>
      </w:r>
      <w:r w:rsidR="000636C2">
        <w:rPr>
          <w:rFonts w:hint="cs"/>
          <w:rtl/>
        </w:rPr>
        <w:t>)،</w:t>
      </w:r>
      <w:r w:rsidRPr="005675B2">
        <w:rPr>
          <w:rFonts w:hint="cs"/>
          <w:rtl/>
        </w:rPr>
        <w:t xml:space="preserve"> ففي الحديث إثبات إضافة المرض لله سبحانه و تعالى وهو معارض بالدليل العقلي القاطع وهو أنه يستحيل أن يمرض الخالق</w:t>
      </w:r>
      <w:r w:rsidR="000636C2">
        <w:rPr>
          <w:rFonts w:hint="cs"/>
          <w:rtl/>
        </w:rPr>
        <w:t xml:space="preserve"> </w:t>
      </w:r>
      <w:r w:rsidRPr="005675B2">
        <w:rPr>
          <w:rFonts w:hint="cs"/>
          <w:rtl/>
        </w:rPr>
        <w:t>جل شأنه</w:t>
      </w:r>
      <w:r w:rsidR="000636C2">
        <w:rPr>
          <w:rFonts w:hint="cs"/>
          <w:rtl/>
        </w:rPr>
        <w:t>،</w:t>
      </w:r>
      <w:r w:rsidRPr="005675B2">
        <w:rPr>
          <w:rFonts w:hint="cs"/>
          <w:rtl/>
        </w:rPr>
        <w:t xml:space="preserve"> فوجب على الواقف على الحديث أن يرد هذا المعنى المحتمل في ظاهر اللفظ</w:t>
      </w:r>
      <w:r w:rsidR="000636C2">
        <w:rPr>
          <w:rFonts w:hint="cs"/>
          <w:rtl/>
        </w:rPr>
        <w:t xml:space="preserve"> </w:t>
      </w:r>
      <w:r w:rsidRPr="005675B2">
        <w:rPr>
          <w:rFonts w:hint="cs"/>
          <w:rtl/>
        </w:rPr>
        <w:t>بدلالة العقل القطعية إلى معنى صحيح</w:t>
      </w:r>
      <w:r w:rsidR="000636C2">
        <w:rPr>
          <w:rFonts w:hint="cs"/>
          <w:rtl/>
        </w:rPr>
        <w:t>،</w:t>
      </w:r>
      <w:r w:rsidRPr="005675B2">
        <w:rPr>
          <w:rFonts w:hint="cs"/>
          <w:rtl/>
        </w:rPr>
        <w:t xml:space="preserve"> لأننا لوقلنا أن هذا النقل يسلم على ظاهره ويثبت منه صفة المرض لله فهذا يعارض إثبات كون الله يستحيل عليه النقص</w:t>
      </w:r>
      <w:r w:rsidR="000636C2">
        <w:rPr>
          <w:rFonts w:hint="cs"/>
          <w:rtl/>
        </w:rPr>
        <w:t>،</w:t>
      </w:r>
      <w:r w:rsidRPr="005675B2">
        <w:rPr>
          <w:rFonts w:hint="cs"/>
          <w:rtl/>
        </w:rPr>
        <w:t xml:space="preserve"> قال الإمام الرازي رحمه الله</w:t>
      </w:r>
      <w:r w:rsidR="000636C2">
        <w:rPr>
          <w:rFonts w:hint="cs"/>
          <w:rtl/>
        </w:rPr>
        <w:t>:</w:t>
      </w:r>
      <w:r w:rsidRPr="005675B2">
        <w:rPr>
          <w:rFonts w:hint="cs"/>
          <w:rtl/>
        </w:rPr>
        <w:t>ثم إن جوزنا التأويل</w:t>
      </w:r>
      <w:r w:rsidRPr="005675B2">
        <w:rPr>
          <w:rFonts w:hint="cs"/>
        </w:rPr>
        <w:t xml:space="preserve"> </w:t>
      </w:r>
      <w:r w:rsidRPr="005675B2">
        <w:rPr>
          <w:rFonts w:hint="cs"/>
          <w:rtl/>
        </w:rPr>
        <w:t>اشتغلنا على سبيل التبرع</w:t>
      </w:r>
      <w:r w:rsidR="000636C2">
        <w:rPr>
          <w:rFonts w:hint="cs"/>
          <w:rtl/>
        </w:rPr>
        <w:t xml:space="preserve"> </w:t>
      </w:r>
      <w:r w:rsidRPr="005675B2">
        <w:rPr>
          <w:rFonts w:hint="cs"/>
          <w:rtl/>
        </w:rPr>
        <w:t>بذكر تلك التأويلات على التفصيل</w:t>
      </w:r>
      <w:r w:rsidR="000636C2">
        <w:rPr>
          <w:rFonts w:hint="cs"/>
          <w:rtl/>
        </w:rPr>
        <w:t>،</w:t>
      </w:r>
      <w:r w:rsidRPr="005675B2">
        <w:rPr>
          <w:rFonts w:hint="cs"/>
          <w:rtl/>
        </w:rPr>
        <w:t xml:space="preserve"> </w:t>
      </w:r>
      <w:r w:rsidRPr="005675B2">
        <w:rPr>
          <w:rFonts w:hint="cs"/>
          <w:u w:val="single"/>
          <w:rtl/>
        </w:rPr>
        <w:t>وإن لم يجز التأويل فوضنا</w:t>
      </w:r>
      <w:r w:rsidRPr="005675B2">
        <w:rPr>
          <w:rFonts w:hint="cs"/>
          <w:u w:val="single"/>
        </w:rPr>
        <w:t xml:space="preserve"> </w:t>
      </w:r>
      <w:r w:rsidRPr="005675B2">
        <w:rPr>
          <w:rFonts w:hint="cs"/>
          <w:u w:val="single"/>
          <w:rtl/>
        </w:rPr>
        <w:t>العلم بها إلى الله تعالى</w:t>
      </w:r>
      <w:r w:rsidR="000636C2">
        <w:rPr>
          <w:rFonts w:hint="cs"/>
          <w:rtl/>
        </w:rPr>
        <w:t>،</w:t>
      </w:r>
      <w:r w:rsidRPr="005675B2">
        <w:rPr>
          <w:rFonts w:hint="cs"/>
          <w:rtl/>
        </w:rPr>
        <w:t xml:space="preserve"> فهذا هو القانون الكلي المرجوع إليه في جميع المتشابهات</w:t>
      </w:r>
      <w:r w:rsidRPr="005675B2">
        <w:rPr>
          <w:rFonts w:hint="cs"/>
        </w:rPr>
        <w:t xml:space="preserve"> </w:t>
      </w:r>
      <w:r w:rsidRPr="005675B2">
        <w:rPr>
          <w:rFonts w:hint="cs"/>
          <w:rtl/>
        </w:rPr>
        <w:t>وبالله التوفيق</w:t>
      </w:r>
      <w:r w:rsidRPr="005675B2">
        <w:rPr>
          <w:rFonts w:hint="cs"/>
        </w:rPr>
        <w:t xml:space="preserve"> </w:t>
      </w:r>
      <w:r w:rsidRPr="005675B2">
        <w:rPr>
          <w:rFonts w:hint="cs"/>
          <w:rtl/>
        </w:rPr>
        <w:t>"</w:t>
      </w:r>
      <w:r w:rsidR="000636C2">
        <w:rPr>
          <w:rFonts w:hint="cs"/>
          <w:rtl/>
        </w:rPr>
        <w:t>،</w:t>
      </w:r>
      <w:r w:rsidRPr="005675B2">
        <w:rPr>
          <w:rFonts w:hint="cs"/>
          <w:rtl/>
        </w:rPr>
        <w:t xml:space="preserve"> أ هـ </w:t>
      </w:r>
    </w:p>
    <w:p w14:paraId="741A2B93" w14:textId="0C52A546" w:rsidR="009C32A0" w:rsidRPr="005675B2" w:rsidRDefault="009C32A0" w:rsidP="000636C2">
      <w:pPr>
        <w:rPr>
          <w:b/>
          <w:rtl/>
        </w:rPr>
      </w:pPr>
      <w:r w:rsidRPr="005675B2">
        <w:rPr>
          <w:rFonts w:hint="cs"/>
          <w:rtl/>
        </w:rPr>
        <w:t>لفتة</w:t>
      </w:r>
      <w:r w:rsidR="000636C2">
        <w:rPr>
          <w:rFonts w:hint="cs"/>
          <w:rtl/>
        </w:rPr>
        <w:t>:</w:t>
      </w:r>
      <w:r w:rsidRPr="005675B2">
        <w:rPr>
          <w:rFonts w:hint="cs"/>
          <w:rtl/>
        </w:rPr>
        <w:t xml:space="preserve"> تجد أن الإمام الرازي رحمه الله تعالى يذكر الطريقين الذي يمشي الأشاعرة وغيرهم من أهل السنة عليها وهما </w:t>
      </w:r>
      <w:r w:rsidRPr="005675B2">
        <w:rPr>
          <w:rFonts w:hint="cs"/>
          <w:u w:val="single"/>
          <w:rtl/>
        </w:rPr>
        <w:t xml:space="preserve">طريق التفويض </w:t>
      </w:r>
      <w:r w:rsidRPr="005675B2">
        <w:rPr>
          <w:rFonts w:hint="cs"/>
          <w:rtl/>
        </w:rPr>
        <w:t>وطريق التأويل</w:t>
      </w:r>
      <w:r w:rsidR="000636C2">
        <w:rPr>
          <w:rFonts w:hint="cs"/>
          <w:rtl/>
        </w:rPr>
        <w:t>،</w:t>
      </w:r>
      <w:r w:rsidRPr="005675B2">
        <w:rPr>
          <w:rFonts w:hint="cs"/>
          <w:rtl/>
        </w:rPr>
        <w:t xml:space="preserve"> فهذا هو القانون الكلي وهو من عهد الصحابة إلى يومنا ولم يخترعه الرازي كما يتوهمون</w:t>
      </w:r>
      <w:r w:rsidR="000636C2">
        <w:rPr>
          <w:rFonts w:hint="cs"/>
          <w:rtl/>
        </w:rPr>
        <w:t>،</w:t>
      </w:r>
      <w:r w:rsidRPr="005675B2">
        <w:rPr>
          <w:rFonts w:hint="cs"/>
          <w:rtl/>
        </w:rPr>
        <w:t xml:space="preserve"> وقد كرر الموجان نفس شبهة الحوالي فقال الموجان</w:t>
      </w:r>
      <w:r w:rsidR="000636C2">
        <w:rPr>
          <w:rFonts w:hint="cs"/>
          <w:rtl/>
        </w:rPr>
        <w:t>:</w:t>
      </w:r>
      <w:r w:rsidRPr="005675B2">
        <w:rPr>
          <w:rFonts w:hint="cs"/>
          <w:rtl/>
        </w:rPr>
        <w:t xml:space="preserve"> فالدكتور سفر أخذ من مبدأ تقديم العقل على النقل</w:t>
      </w:r>
      <w:r w:rsidR="000636C2">
        <w:rPr>
          <w:rFonts w:hint="cs"/>
          <w:rtl/>
        </w:rPr>
        <w:t>،</w:t>
      </w:r>
      <w:r w:rsidRPr="005675B2">
        <w:rPr>
          <w:rFonts w:hint="cs"/>
          <w:rtl/>
        </w:rPr>
        <w:t xml:space="preserve"> أن النقل أصل يقدم على ماسواه ..</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الشامل69</w:t>
      </w:r>
      <w:r w:rsidRPr="005675B2">
        <w:rPr>
          <w:rFonts w:hint="cs"/>
          <w:rtl/>
        </w:rPr>
        <w:t>] وقد تبين مما سبق أن هذا افتراء لا أساس له من الصحة بل هو مجرد مكابرة للحقائق المنقولة عنهم</w:t>
      </w:r>
      <w:r w:rsidR="000636C2">
        <w:rPr>
          <w:rFonts w:hint="cs"/>
          <w:rtl/>
        </w:rPr>
        <w:t>،</w:t>
      </w:r>
    </w:p>
    <w:p w14:paraId="2B068DA8" w14:textId="2D542B45" w:rsidR="009C32A0" w:rsidRPr="005675B2" w:rsidRDefault="009C32A0" w:rsidP="000636C2">
      <w:pPr>
        <w:rPr>
          <w:b/>
        </w:rPr>
      </w:pPr>
      <w:r w:rsidRPr="005675B2">
        <w:rPr>
          <w:rFonts w:hint="cs"/>
          <w:bCs/>
          <w:rtl/>
        </w:rPr>
        <w:t>اعتراض الكاتب على الإمام السنوسي</w:t>
      </w:r>
      <w:r w:rsidR="000636C2">
        <w:rPr>
          <w:rFonts w:hint="cs"/>
          <w:bCs/>
          <w:rtl/>
          <w:lang w:bidi="ar-KW"/>
        </w:rPr>
        <w:t>:</w:t>
      </w:r>
      <w:r w:rsidRPr="005675B2">
        <w:rPr>
          <w:rFonts w:hint="cs"/>
          <w:bCs/>
          <w:rtl/>
          <w:lang w:bidi="ar-KW"/>
        </w:rPr>
        <w:t xml:space="preserve"> </w:t>
      </w:r>
      <w:r w:rsidRPr="005675B2">
        <w:rPr>
          <w:rFonts w:hint="cs"/>
          <w:rtl/>
        </w:rPr>
        <w:t>قال الكاتب</w:t>
      </w:r>
      <w:r w:rsidR="000636C2">
        <w:rPr>
          <w:rFonts w:hint="cs"/>
          <w:rtl/>
        </w:rPr>
        <w:t>:</w:t>
      </w:r>
      <w:r w:rsidRPr="005675B2">
        <w:rPr>
          <w:rFonts w:hint="cs"/>
          <w:rtl/>
        </w:rPr>
        <w:t xml:space="preserve"> يقول السنوسي </w:t>
      </w:r>
      <w:r w:rsidR="000636C2">
        <w:rPr>
          <w:rFonts w:hint="cs"/>
          <w:rtl/>
        </w:rPr>
        <w:t>(</w:t>
      </w:r>
      <w:r w:rsidRPr="005675B2">
        <w:rPr>
          <w:rFonts w:hint="cs"/>
          <w:rtl/>
        </w:rPr>
        <w:t>ت</w:t>
      </w:r>
      <w:r w:rsidRPr="005675B2">
        <w:rPr>
          <w:rFonts w:hint="cs"/>
        </w:rPr>
        <w:t xml:space="preserve"> </w:t>
      </w:r>
      <w:r w:rsidR="000636C2">
        <w:t>(</w:t>
      </w:r>
      <w:r w:rsidRPr="005675B2">
        <w:t xml:space="preserve">885 </w:t>
      </w:r>
      <w:r w:rsidRPr="005675B2">
        <w:rPr>
          <w:rFonts w:hint="cs"/>
          <w:rtl/>
        </w:rPr>
        <w:t>في شرح الكبرى</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وأما من زعم أن الطريق بدأ إلى معرفة الحق</w:t>
      </w:r>
      <w:r w:rsidRPr="005675B2">
        <w:rPr>
          <w:rFonts w:hint="cs"/>
        </w:rPr>
        <w:t xml:space="preserve"> </w:t>
      </w:r>
      <w:r w:rsidRPr="005675B2">
        <w:rPr>
          <w:rFonts w:hint="cs"/>
          <w:rtl/>
        </w:rPr>
        <w:t>الكتاب والسنة ويحرم ما سواهما فالرد عليه أن حجتيهما لا تعرف إلا بالنظر العقلي</w:t>
      </w:r>
      <w:r w:rsidR="000636C2">
        <w:rPr>
          <w:rFonts w:hint="cs"/>
          <w:rtl/>
        </w:rPr>
        <w:t>،</w:t>
      </w:r>
      <w:r w:rsidRPr="005675B2">
        <w:rPr>
          <w:rFonts w:hint="cs"/>
        </w:rPr>
        <w:t xml:space="preserve"> </w:t>
      </w:r>
      <w:r w:rsidRPr="005675B2">
        <w:rPr>
          <w:rFonts w:hint="cs"/>
          <w:rtl/>
        </w:rPr>
        <w:t>وأيضاً فقد وقعت فيهما ظواهر من اعتقدها على ظاهرها كفر عند جماعة وابتدع ويقول</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أصول الكفر ستة …</w:t>
      </w:r>
      <w:r w:rsidRPr="005675B2">
        <w:rPr>
          <w:rFonts w:hint="cs"/>
        </w:rPr>
        <w:t xml:space="preserve"> </w:t>
      </w:r>
      <w:r w:rsidRPr="005675B2">
        <w:rPr>
          <w:rFonts w:hint="cs"/>
          <w:rtl/>
        </w:rPr>
        <w:t>"</w:t>
      </w:r>
      <w:r w:rsidRPr="005675B2">
        <w:rPr>
          <w:rFonts w:hint="cs"/>
        </w:rPr>
        <w:t xml:space="preserve"> </w:t>
      </w:r>
      <w:r w:rsidRPr="005675B2">
        <w:rPr>
          <w:rFonts w:hint="cs"/>
          <w:rtl/>
        </w:rPr>
        <w:t>ذكر خمسة ثم قال</w:t>
      </w:r>
      <w:r w:rsidR="000636C2">
        <w:rPr>
          <w:rFonts w:hint="cs"/>
          <w:rtl/>
        </w:rPr>
        <w:t xml:space="preserve">: </w:t>
      </w:r>
      <w:r w:rsidRPr="005675B2">
        <w:rPr>
          <w:rFonts w:hint="cs"/>
          <w:rtl/>
        </w:rPr>
        <w:t>"</w:t>
      </w:r>
      <w:r w:rsidRPr="005675B2">
        <w:rPr>
          <w:rFonts w:hint="cs"/>
        </w:rPr>
        <w:t xml:space="preserve"> </w:t>
      </w:r>
      <w:r w:rsidRPr="005675B2">
        <w:rPr>
          <w:rFonts w:hint="cs"/>
          <w:rtl/>
        </w:rPr>
        <w:t>سادساً</w:t>
      </w:r>
      <w:r w:rsidR="000636C2">
        <w:rPr>
          <w:rFonts w:hint="cs"/>
          <w:rtl/>
        </w:rPr>
        <w:t>:</w:t>
      </w:r>
      <w:r w:rsidRPr="005675B2">
        <w:rPr>
          <w:rFonts w:hint="cs"/>
          <w:rtl/>
        </w:rPr>
        <w:t xml:space="preserve"> التمسك في أصول العقائد بمجرد ظواهر</w:t>
      </w:r>
      <w:r w:rsidRPr="005675B2">
        <w:rPr>
          <w:rFonts w:hint="cs"/>
        </w:rPr>
        <w:t xml:space="preserve"> </w:t>
      </w:r>
      <w:r w:rsidRPr="005675B2">
        <w:rPr>
          <w:rFonts w:hint="cs"/>
          <w:rtl/>
        </w:rPr>
        <w:t>الكتاب والسنة من غير عرضها على البراهين العقلية والقواطع الشرعية</w:t>
      </w:r>
      <w:r w:rsidRPr="005675B2">
        <w:rPr>
          <w:rFonts w:hint="cs"/>
        </w:rPr>
        <w:t xml:space="preserve"> </w:t>
      </w:r>
      <w:r w:rsidRPr="005675B2">
        <w:rPr>
          <w:rFonts w:hint="cs"/>
          <w:rtl/>
        </w:rPr>
        <w:t>"</w:t>
      </w:r>
      <w:r w:rsidR="000636C2">
        <w:rPr>
          <w:rFonts w:hint="cs"/>
          <w:rtl/>
        </w:rPr>
        <w:t>،</w:t>
      </w:r>
      <w:r w:rsidRPr="005675B2">
        <w:rPr>
          <w:rFonts w:hint="cs"/>
          <w:rtl/>
        </w:rPr>
        <w:t xml:space="preserve"> </w:t>
      </w:r>
    </w:p>
    <w:p w14:paraId="35752532" w14:textId="2EDF3F03"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w:t>
      </w:r>
      <w:r w:rsidR="009C32A0" w:rsidRPr="005675B2">
        <w:rPr>
          <w:rFonts w:hint="cs"/>
          <w:rtl/>
        </w:rPr>
        <w:t>كلام الإمام السنوسي كلام عظيم لمن يفهم العلم على ماهو عليه</w:t>
      </w:r>
      <w:r>
        <w:rPr>
          <w:rFonts w:hint="cs"/>
          <w:rtl/>
        </w:rPr>
        <w:t>،</w:t>
      </w:r>
      <w:r w:rsidR="009C32A0" w:rsidRPr="005675B2">
        <w:rPr>
          <w:rFonts w:hint="cs"/>
          <w:rtl/>
        </w:rPr>
        <w:t xml:space="preserve"> وأضرب لذلك مثالاً من كتاب الله رده علماء أهل السنة بدلائل العقل القطعية وبه</w:t>
      </w:r>
      <w:r>
        <w:rPr>
          <w:rFonts w:hint="cs"/>
          <w:rtl/>
        </w:rPr>
        <w:t xml:space="preserve"> </w:t>
      </w:r>
      <w:r w:rsidR="009C32A0" w:rsidRPr="005675B2">
        <w:rPr>
          <w:rFonts w:hint="cs"/>
          <w:rtl/>
        </w:rPr>
        <w:t>يتضح معنى كلام الإمام السنوسي إن شاء الله</w:t>
      </w:r>
      <w:r>
        <w:rPr>
          <w:rFonts w:hint="cs"/>
          <w:rtl/>
        </w:rPr>
        <w:t>،</w:t>
      </w:r>
      <w:r w:rsidR="009C32A0" w:rsidRPr="005675B2">
        <w:rPr>
          <w:rFonts w:hint="cs"/>
          <w:rtl/>
        </w:rPr>
        <w:t xml:space="preserve"> قال الله تعالى (</w:t>
      </w:r>
      <w:r>
        <w:rPr>
          <w:rFonts w:hint="cs"/>
          <w:rtl/>
        </w:rPr>
        <w:t>(</w:t>
      </w:r>
      <w:r w:rsidR="009C32A0" w:rsidRPr="005675B2">
        <w:rPr>
          <w:rFonts w:hint="cs"/>
          <w:rtl/>
        </w:rPr>
        <w:t>مايكون من نجوى ثلاثة إلا هو رابعهم</w:t>
      </w:r>
      <w:r>
        <w:rPr>
          <w:rFonts w:hint="cs"/>
          <w:rtl/>
        </w:rPr>
        <w:t>)</w:t>
      </w:r>
      <w:r w:rsidR="009C32A0" w:rsidRPr="005675B2">
        <w:rPr>
          <w:rFonts w:hint="cs"/>
          <w:rtl/>
        </w:rPr>
        <w:t>) أخذ بذلك أناس من الأمة فقالوا إن الله معنا في هذه الأرض فكفرهم السلف بهذا</w:t>
      </w:r>
      <w:r>
        <w:rPr>
          <w:rFonts w:hint="cs"/>
          <w:rtl/>
        </w:rPr>
        <w:t>،</w:t>
      </w:r>
      <w:r w:rsidR="009C32A0" w:rsidRPr="005675B2">
        <w:rPr>
          <w:rFonts w:hint="cs"/>
          <w:rtl/>
        </w:rPr>
        <w:t xml:space="preserve"> وشبهتهم أنهم أخذوا بظاهر الآيات والأحاديث في ذلك</w:t>
      </w:r>
      <w:r>
        <w:rPr>
          <w:rFonts w:hint="cs"/>
          <w:rtl/>
        </w:rPr>
        <w:t>،</w:t>
      </w:r>
      <w:r w:rsidR="009C32A0" w:rsidRPr="005675B2">
        <w:rPr>
          <w:rFonts w:hint="cs"/>
          <w:rtl/>
        </w:rPr>
        <w:t>رغم أن هناك أصل قطعي يعلمه العقلاء</w:t>
      </w:r>
      <w:r>
        <w:rPr>
          <w:rFonts w:hint="cs"/>
          <w:rtl/>
        </w:rPr>
        <w:t>،</w:t>
      </w:r>
      <w:r w:rsidR="009C32A0" w:rsidRPr="005675B2">
        <w:rPr>
          <w:rFonts w:hint="cs"/>
          <w:rtl/>
        </w:rPr>
        <w:t>وهو أن الله يستحيل أن يحل في مخلوقاته</w:t>
      </w:r>
      <w:r>
        <w:rPr>
          <w:rFonts w:hint="cs"/>
          <w:rtl/>
        </w:rPr>
        <w:t>،</w:t>
      </w:r>
      <w:r w:rsidR="009C32A0" w:rsidRPr="005675B2">
        <w:rPr>
          <w:rFonts w:hint="cs"/>
          <w:rtl/>
        </w:rPr>
        <w:t xml:space="preserve"> ومن هنا تعلم أن كلام السنوسي صحيح لاغبار عليه</w:t>
      </w:r>
      <w:r>
        <w:rPr>
          <w:rFonts w:hint="cs"/>
          <w:rtl/>
        </w:rPr>
        <w:t>،</w:t>
      </w:r>
    </w:p>
    <w:p w14:paraId="6A20CDB9" w14:textId="07779661"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دقق يا أخي الكريم في قول السنوسي</w:t>
      </w:r>
      <w:r>
        <w:rPr>
          <w:rFonts w:hint="cs"/>
          <w:rtl/>
        </w:rPr>
        <w:t>:</w:t>
      </w:r>
      <w:r w:rsidR="009C32A0" w:rsidRPr="005675B2">
        <w:rPr>
          <w:rFonts w:hint="cs"/>
          <w:rtl/>
        </w:rPr>
        <w:t>التمسك في أصول العقائد بمجرد ظواهر</w:t>
      </w:r>
      <w:r w:rsidR="009C32A0" w:rsidRPr="005675B2">
        <w:rPr>
          <w:rFonts w:hint="cs"/>
        </w:rPr>
        <w:t xml:space="preserve"> </w:t>
      </w:r>
      <w:r w:rsidR="009C32A0" w:rsidRPr="005675B2">
        <w:rPr>
          <w:rFonts w:hint="cs"/>
          <w:rtl/>
        </w:rPr>
        <w:t xml:space="preserve">الكتاب والسنة من غير </w:t>
      </w:r>
      <w:r w:rsidR="009C32A0" w:rsidRPr="005675B2">
        <w:rPr>
          <w:rFonts w:hint="cs"/>
          <w:u w:val="single"/>
          <w:rtl/>
        </w:rPr>
        <w:t xml:space="preserve">عرضها على </w:t>
      </w:r>
      <w:r>
        <w:rPr>
          <w:rFonts w:hint="cs"/>
          <w:u w:val="single"/>
          <w:rtl/>
        </w:rPr>
        <w:t>[</w:t>
      </w:r>
      <w:r w:rsidR="009C32A0" w:rsidRPr="005675B2">
        <w:rPr>
          <w:rFonts w:hint="cs"/>
          <w:u w:val="single"/>
          <w:rtl/>
        </w:rPr>
        <w:t xml:space="preserve">البراهين العقلية </w:t>
      </w:r>
      <w:r>
        <w:rPr>
          <w:rFonts w:hint="cs"/>
          <w:u w:val="single"/>
          <w:rtl/>
        </w:rPr>
        <w:t>]</w:t>
      </w:r>
      <w:r w:rsidR="009C32A0" w:rsidRPr="005675B2">
        <w:rPr>
          <w:rFonts w:hint="cs"/>
          <w:u w:val="single"/>
          <w:rtl/>
        </w:rPr>
        <w:t xml:space="preserve"> و </w:t>
      </w:r>
      <w:r>
        <w:rPr>
          <w:rFonts w:hint="cs"/>
          <w:u w:val="single"/>
          <w:rtl/>
        </w:rPr>
        <w:t>[</w:t>
      </w:r>
      <w:r w:rsidR="009C32A0" w:rsidRPr="005675B2">
        <w:rPr>
          <w:rFonts w:hint="cs"/>
          <w:u w:val="single"/>
          <w:rtl/>
        </w:rPr>
        <w:t>القواطع الشرعية</w:t>
      </w:r>
      <w:r w:rsidR="009C32A0" w:rsidRPr="005675B2">
        <w:rPr>
          <w:rFonts w:hint="cs"/>
        </w:rPr>
        <w:t xml:space="preserve"> </w:t>
      </w:r>
      <w:r w:rsidR="009C32A0" w:rsidRPr="005675B2">
        <w:rPr>
          <w:rFonts w:hint="cs"/>
          <w:rtl/>
        </w:rPr>
        <w:t>"</w:t>
      </w:r>
      <w:r>
        <w:rPr>
          <w:rFonts w:hint="cs"/>
          <w:rtl/>
        </w:rPr>
        <w:t>]:</w:t>
      </w:r>
      <w:r w:rsidR="009C32A0" w:rsidRPr="005675B2">
        <w:rPr>
          <w:rFonts w:hint="cs"/>
          <w:rtl/>
        </w:rPr>
        <w:t xml:space="preserve"> فهو يتكلم عن الظواهر التي تخالف القطعيات من الأدلة الشرعية والقطعيات من البراهين</w:t>
      </w:r>
      <w:r>
        <w:rPr>
          <w:rFonts w:hint="cs"/>
          <w:rtl/>
        </w:rPr>
        <w:t xml:space="preserve"> </w:t>
      </w:r>
      <w:r w:rsidR="009C32A0" w:rsidRPr="005675B2">
        <w:rPr>
          <w:rFonts w:hint="cs"/>
          <w:rtl/>
        </w:rPr>
        <w:t>العقلية وليس مجرد تحكيم لأهواء العقول كما يظن بعض الناس هداهم الله</w:t>
      </w:r>
      <w:r>
        <w:rPr>
          <w:rFonts w:hint="cs"/>
          <w:rtl/>
        </w:rPr>
        <w:t>،</w:t>
      </w:r>
    </w:p>
    <w:p w14:paraId="078114E4" w14:textId="6D02F049"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ذكر السنوسي في كتابه المقدمات أن </w:t>
      </w:r>
      <w:r w:rsidR="000636C2">
        <w:rPr>
          <w:rFonts w:hint="cs"/>
          <w:rtl/>
        </w:rPr>
        <w:t>[</w:t>
      </w:r>
      <w:r w:rsidRPr="005675B2">
        <w:rPr>
          <w:rFonts w:hint="cs"/>
          <w:rtl/>
        </w:rPr>
        <w:t>من أصول الكفر والبدع التمسك في عقائد الإيمان بمجرد ظواهر الكتاب والسنة من غير تفصيل بين ما يستحيل ظاهره منها</w:t>
      </w:r>
      <w:r w:rsidR="000636C2">
        <w:rPr>
          <w:rFonts w:hint="cs"/>
          <w:rtl/>
        </w:rPr>
        <w:t>،</w:t>
      </w:r>
      <w:r w:rsidRPr="005675B2">
        <w:rPr>
          <w:rFonts w:hint="cs"/>
          <w:rtl/>
        </w:rPr>
        <w:t>وما لا يستحيل</w:t>
      </w:r>
      <w:r w:rsidR="000636C2">
        <w:rPr>
          <w:rFonts w:hint="cs"/>
          <w:rtl/>
        </w:rPr>
        <w:t>]،</w:t>
      </w:r>
      <w:r w:rsidRPr="005675B2">
        <w:rPr>
          <w:rFonts w:hint="cs"/>
          <w:rtl/>
        </w:rPr>
        <w:t xml:space="preserve"> ثم قال في الشرح</w:t>
      </w:r>
      <w:r w:rsidR="000636C2">
        <w:rPr>
          <w:rFonts w:hint="cs"/>
          <w:rtl/>
        </w:rPr>
        <w:t>:</w:t>
      </w:r>
      <w:r w:rsidRPr="005675B2">
        <w:rPr>
          <w:rFonts w:hint="cs"/>
          <w:rtl/>
        </w:rPr>
        <w:t xml:space="preserve"> أما الكفر فكأخذ الثنوية القائلين بألوهية النور والظلمة من قوله تعالى </w:t>
      </w:r>
      <w:r w:rsidR="000636C2">
        <w:rPr>
          <w:rFonts w:hint="cs"/>
          <w:rtl/>
        </w:rPr>
        <w:t>[</w:t>
      </w:r>
      <w:r w:rsidRPr="005675B2">
        <w:rPr>
          <w:rFonts w:hint="cs"/>
          <w:rtl/>
        </w:rPr>
        <w:t>اللَّهُ نُورُ السَّمَاوَاتِ وَالْأَرْضِ</w:t>
      </w:r>
      <w:r w:rsidR="000636C2">
        <w:rPr>
          <w:rFonts w:hint="cs"/>
          <w:rtl/>
        </w:rPr>
        <w:t>]</w:t>
      </w:r>
      <w:r w:rsidRPr="005675B2">
        <w:rPr>
          <w:rFonts w:hint="cs"/>
          <w:rtl/>
        </w:rPr>
        <w:t xml:space="preserve"> وأن النور أحد الإلهين واسمه الله</w:t>
      </w:r>
      <w:r w:rsidR="000636C2">
        <w:rPr>
          <w:rFonts w:hint="cs"/>
          <w:rtl/>
        </w:rPr>
        <w:t>،</w:t>
      </w:r>
      <w:r w:rsidRPr="005675B2">
        <w:rPr>
          <w:rFonts w:hint="cs"/>
          <w:rtl/>
        </w:rPr>
        <w:t xml:space="preserve"> ولم ينظروا إلى استحالة كون النور إلهاً لأنه متغير حادث</w:t>
      </w:r>
      <w:r w:rsidR="000636C2">
        <w:rPr>
          <w:rFonts w:hint="cs"/>
          <w:rtl/>
        </w:rPr>
        <w:t>،</w:t>
      </w:r>
      <w:r w:rsidRPr="005675B2">
        <w:rPr>
          <w:rFonts w:hint="cs"/>
          <w:rtl/>
        </w:rPr>
        <w:t xml:space="preserve"> [</w:t>
      </w:r>
      <w:r w:rsidRPr="005675B2">
        <w:rPr>
          <w:rFonts w:hint="cs"/>
          <w:bCs/>
          <w:sz w:val="24"/>
          <w:szCs w:val="24"/>
          <w:rtl/>
        </w:rPr>
        <w:t>شرح المقدمات للسنوسي: ص 45</w:t>
      </w:r>
      <w:r w:rsidR="000636C2">
        <w:rPr>
          <w:rFonts w:hint="cs"/>
          <w:bCs/>
          <w:sz w:val="24"/>
          <w:szCs w:val="24"/>
          <w:rtl/>
        </w:rPr>
        <w:t>،</w:t>
      </w:r>
      <w:r w:rsidRPr="005675B2">
        <w:rPr>
          <w:rFonts w:hint="cs"/>
          <w:bCs/>
          <w:sz w:val="24"/>
          <w:szCs w:val="24"/>
          <w:rtl/>
        </w:rPr>
        <w:t xml:space="preserve"> 48</w:t>
      </w:r>
      <w:r w:rsidR="000636C2">
        <w:rPr>
          <w:rFonts w:hint="cs"/>
          <w:bCs/>
          <w:sz w:val="24"/>
          <w:szCs w:val="24"/>
          <w:rtl/>
        </w:rPr>
        <w:t>]</w:t>
      </w:r>
      <w:r w:rsidR="000636C2">
        <w:rPr>
          <w:rFonts w:hint="cs"/>
          <w:rtl/>
        </w:rPr>
        <w:t>،</w:t>
      </w:r>
      <w:r w:rsidRPr="005675B2">
        <w:rPr>
          <w:rFonts w:hint="cs"/>
          <w:rtl/>
        </w:rPr>
        <w:t xml:space="preserve"> فليتك يا أخي كلفت نفسك بقراءة شرح ما كتب لأغناك ذلك عن سوءالظن به</w:t>
      </w:r>
      <w:r w:rsidR="000636C2">
        <w:rPr>
          <w:rFonts w:hint="cs"/>
          <w:rtl/>
        </w:rPr>
        <w:t>،</w:t>
      </w:r>
    </w:p>
    <w:p w14:paraId="7E0B2AC4" w14:textId="408D7995" w:rsidR="009C32A0" w:rsidRPr="005675B2" w:rsidRDefault="009C32A0" w:rsidP="000636C2">
      <w:pPr>
        <w:rPr>
          <w:b/>
        </w:rPr>
      </w:pPr>
      <w:r w:rsidRPr="005675B2">
        <w:rPr>
          <w:rFonts w:hint="cs"/>
          <w:bCs/>
          <w:rtl/>
        </w:rPr>
        <w:t>تعجب الكاتب من مبحث التعارض والترجيح عند العلماء</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صرح</w:t>
      </w:r>
      <w:r w:rsidR="000636C2">
        <w:rPr>
          <w:rFonts w:hint="cs"/>
          <w:rtl/>
        </w:rPr>
        <w:t xml:space="preserve"> </w:t>
      </w:r>
      <w:r w:rsidRPr="005675B2">
        <w:rPr>
          <w:rFonts w:hint="cs"/>
          <w:rtl/>
        </w:rPr>
        <w:t>- متكلموهم</w:t>
      </w:r>
      <w:r w:rsidR="000636C2">
        <w:rPr>
          <w:rFonts w:hint="cs"/>
          <w:rtl/>
        </w:rPr>
        <w:t xml:space="preserve"> </w:t>
      </w:r>
      <w:r w:rsidRPr="005675B2">
        <w:rPr>
          <w:rFonts w:hint="cs"/>
          <w:rtl/>
        </w:rPr>
        <w:t>- ومنهم</w:t>
      </w:r>
      <w:r w:rsidRPr="005675B2">
        <w:rPr>
          <w:rFonts w:hint="cs"/>
        </w:rPr>
        <w:t xml:space="preserve"> </w:t>
      </w:r>
      <w:r w:rsidRPr="005675B2">
        <w:rPr>
          <w:rFonts w:hint="cs"/>
          <w:rtl/>
        </w:rPr>
        <w:t>من سبق في فقرة</w:t>
      </w:r>
      <w:r w:rsidRPr="005675B2">
        <w:rPr>
          <w:rFonts w:hint="cs"/>
        </w:rPr>
        <w:t xml:space="preserve"> </w:t>
      </w:r>
      <w:r w:rsidRPr="005675B2">
        <w:rPr>
          <w:rFonts w:hint="cs"/>
          <w:rtl/>
        </w:rPr>
        <w:t>"</w:t>
      </w:r>
      <w:r w:rsidRPr="005675B2">
        <w:rPr>
          <w:rFonts w:hint="cs"/>
        </w:rPr>
        <w:t xml:space="preserve"> </w:t>
      </w:r>
      <w:r w:rsidRPr="005675B2">
        <w:rPr>
          <w:rFonts w:hint="cs"/>
          <w:rtl/>
        </w:rPr>
        <w:t>أ</w:t>
      </w:r>
      <w:r w:rsidRPr="005675B2">
        <w:rPr>
          <w:rFonts w:hint="cs"/>
        </w:rPr>
        <w:t xml:space="preserve"> </w:t>
      </w:r>
      <w:r w:rsidRPr="005675B2">
        <w:rPr>
          <w:rFonts w:hint="cs"/>
          <w:rtl/>
        </w:rPr>
        <w:t>"</w:t>
      </w:r>
      <w:r w:rsidRPr="005675B2">
        <w:rPr>
          <w:rFonts w:hint="cs"/>
        </w:rPr>
        <w:t xml:space="preserve"> </w:t>
      </w:r>
      <w:r w:rsidRPr="005675B2">
        <w:rPr>
          <w:rFonts w:hint="cs"/>
          <w:rtl/>
        </w:rPr>
        <w:t>أن نصوص الكتاب والسنة</w:t>
      </w:r>
      <w:r w:rsidRPr="005675B2">
        <w:rPr>
          <w:rFonts w:hint="cs"/>
        </w:rPr>
        <w:t xml:space="preserve"> </w:t>
      </w:r>
      <w:r w:rsidRPr="005675B2">
        <w:rPr>
          <w:rFonts w:hint="cs"/>
          <w:rtl/>
        </w:rPr>
        <w:t>ظنية الدلالة ولا تفيد اليقين إلا إذا سلمت من عشر عوارض منها</w:t>
      </w:r>
      <w:r w:rsidR="000636C2">
        <w:rPr>
          <w:rFonts w:hint="cs"/>
          <w:rtl/>
        </w:rPr>
        <w:t>:</w:t>
      </w:r>
      <w:r w:rsidRPr="005675B2">
        <w:rPr>
          <w:rFonts w:hint="cs"/>
          <w:rtl/>
        </w:rPr>
        <w:t xml:space="preserve"> الاضمار والتخصيص</w:t>
      </w:r>
      <w:r w:rsidRPr="005675B2">
        <w:rPr>
          <w:rFonts w:hint="cs"/>
        </w:rPr>
        <w:t xml:space="preserve"> </w:t>
      </w:r>
      <w:r w:rsidRPr="005675B2">
        <w:rPr>
          <w:rFonts w:hint="cs"/>
          <w:rtl/>
        </w:rPr>
        <w:t>والنقل والاشتراك والمجاز … الخ</w:t>
      </w:r>
      <w:r w:rsidR="000636C2">
        <w:rPr>
          <w:rFonts w:hint="cs"/>
          <w:rtl/>
        </w:rPr>
        <w:t>،</w:t>
      </w:r>
      <w:r w:rsidRPr="005675B2">
        <w:rPr>
          <w:rFonts w:hint="cs"/>
          <w:rtl/>
        </w:rPr>
        <w:t xml:space="preserve"> وسلمت بعد هذا من المعارض العقلي ..</w:t>
      </w:r>
    </w:p>
    <w:p w14:paraId="0D74AD66" w14:textId="65BAC10E"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أخي الكاتب غفر الله لك</w:t>
      </w:r>
      <w:r>
        <w:rPr>
          <w:rFonts w:hint="cs"/>
          <w:rtl/>
        </w:rPr>
        <w:t>،</w:t>
      </w:r>
      <w:r w:rsidR="009C32A0" w:rsidRPr="005675B2">
        <w:rPr>
          <w:rFonts w:hint="cs"/>
          <w:rtl/>
        </w:rPr>
        <w:t xml:space="preserve"> إن من لديه أساسيات علم الأصول يعرف مبحث التعارض والترجيح بين الأدلة</w:t>
      </w:r>
      <w:r>
        <w:rPr>
          <w:rFonts w:hint="cs"/>
          <w:rtl/>
        </w:rPr>
        <w:t>،</w:t>
      </w:r>
      <w:r w:rsidR="009C32A0" w:rsidRPr="005675B2">
        <w:rPr>
          <w:rFonts w:hint="cs"/>
          <w:rtl/>
        </w:rPr>
        <w:t xml:space="preserve"> فكيف تتعجب من كلام الإمام الرازي وهو شيء غير مستنكر عند أي طالب علم</w:t>
      </w:r>
      <w:r>
        <w:rPr>
          <w:rFonts w:hint="cs"/>
          <w:rtl/>
        </w:rPr>
        <w:t>؟!</w:t>
      </w:r>
      <w:r w:rsidR="009C32A0" w:rsidRPr="005675B2">
        <w:rPr>
          <w:rFonts w:hint="cs"/>
          <w:rtl/>
        </w:rPr>
        <w:t>وإن كان غيره من أهل الاجتهاد قد يخالفه في جزئيات مما ذكر</w:t>
      </w:r>
      <w:r>
        <w:rPr>
          <w:rFonts w:hint="cs"/>
          <w:rtl/>
        </w:rPr>
        <w:t>،</w:t>
      </w:r>
      <w:r w:rsidR="009C32A0" w:rsidRPr="005675B2">
        <w:rPr>
          <w:rFonts w:hint="cs"/>
          <w:rtl/>
        </w:rPr>
        <w:t>ولا شك أن في الكتاب والسنة نصوص ظنية غير قطعية</w:t>
      </w:r>
      <w:r>
        <w:rPr>
          <w:rFonts w:hint="cs"/>
          <w:rtl/>
        </w:rPr>
        <w:t>،</w:t>
      </w:r>
      <w:r w:rsidR="009C32A0" w:rsidRPr="005675B2">
        <w:rPr>
          <w:rFonts w:hint="cs"/>
          <w:rtl/>
        </w:rPr>
        <w:t>والظني لا يبنى عليه قطعي</w:t>
      </w:r>
      <w:r>
        <w:rPr>
          <w:rFonts w:hint="cs"/>
          <w:rtl/>
        </w:rPr>
        <w:t>،</w:t>
      </w:r>
      <w:r w:rsidR="009C32A0" w:rsidRPr="005675B2">
        <w:rPr>
          <w:rFonts w:hint="cs"/>
          <w:rtl/>
        </w:rPr>
        <w:t>وإلا لكان مخالف الظني واقع في الكفر أو الفسق</w:t>
      </w:r>
      <w:r>
        <w:rPr>
          <w:rFonts w:hint="cs"/>
          <w:rtl/>
        </w:rPr>
        <w:t xml:space="preserve"> </w:t>
      </w:r>
      <w:r w:rsidR="009C32A0" w:rsidRPr="005675B2">
        <w:rPr>
          <w:rFonts w:hint="cs"/>
          <w:rtl/>
        </w:rPr>
        <w:t>على أقل تقدير</w:t>
      </w:r>
      <w:r>
        <w:rPr>
          <w:rFonts w:hint="cs"/>
          <w:rtl/>
        </w:rPr>
        <w:t>،</w:t>
      </w:r>
      <w:r w:rsidR="009C32A0" w:rsidRPr="005675B2">
        <w:rPr>
          <w:rFonts w:hint="cs"/>
          <w:rtl/>
        </w:rPr>
        <w:t xml:space="preserve"> وإن كان هناك أدلة ظنية بُنيت عليها أحكام قطعية</w:t>
      </w:r>
      <w:r>
        <w:rPr>
          <w:rFonts w:hint="cs"/>
          <w:rtl/>
        </w:rPr>
        <w:t>،</w:t>
      </w:r>
      <w:r w:rsidR="009C32A0" w:rsidRPr="005675B2">
        <w:rPr>
          <w:rFonts w:hint="cs"/>
          <w:rtl/>
        </w:rPr>
        <w:t>فذلك بمستند إجماع الأمة عليها</w:t>
      </w:r>
      <w:r>
        <w:rPr>
          <w:rFonts w:hint="cs"/>
          <w:rtl/>
        </w:rPr>
        <w:t>،</w:t>
      </w:r>
      <w:r w:rsidR="009C32A0" w:rsidRPr="005675B2">
        <w:rPr>
          <w:rFonts w:hint="cs"/>
          <w:rtl/>
        </w:rPr>
        <w:t xml:space="preserve"> فالإجماع هو مستندالقطع في مثل هذه المسائل</w:t>
      </w:r>
      <w:r>
        <w:rPr>
          <w:rFonts w:hint="cs"/>
          <w:rtl/>
        </w:rPr>
        <w:t>،</w:t>
      </w:r>
      <w:r w:rsidR="009C32A0" w:rsidRPr="005675B2">
        <w:rPr>
          <w:rFonts w:hint="cs"/>
          <w:rtl/>
        </w:rPr>
        <w:t xml:space="preserve"> وأما أكثر المسائل التي اختلف فيها العلماء، فلأن أدلتها ظنية الثبوت أو ظنية الدلالة أما القطعية ثبوتاً ودلالة فلا خلاف بين العلماء فيها أصلاً</w:t>
      </w:r>
      <w:r>
        <w:rPr>
          <w:rFonts w:hint="cs"/>
          <w:rtl/>
        </w:rPr>
        <w:t>،</w:t>
      </w:r>
      <w:r w:rsidR="009C32A0" w:rsidRPr="005675B2">
        <w:rPr>
          <w:rFonts w:hint="cs"/>
          <w:rtl/>
        </w:rPr>
        <w:t xml:space="preserve"> </w:t>
      </w:r>
      <w:r w:rsidR="009C32A0" w:rsidRPr="005675B2">
        <w:rPr>
          <w:rFonts w:hint="cs"/>
          <w:u w:val="single"/>
          <w:rtl/>
        </w:rPr>
        <w:t>وإثبات صفة لله بالظنيات المعارضة بالقطعيات</w:t>
      </w:r>
      <w:r>
        <w:rPr>
          <w:rFonts w:hint="cs"/>
          <w:u w:val="single"/>
          <w:rtl/>
        </w:rPr>
        <w:t xml:space="preserve"> </w:t>
      </w:r>
      <w:r w:rsidR="009C32A0" w:rsidRPr="005675B2">
        <w:rPr>
          <w:rFonts w:hint="cs"/>
          <w:u w:val="single"/>
          <w:rtl/>
        </w:rPr>
        <w:t>ممتنع</w:t>
      </w:r>
      <w:r>
        <w:rPr>
          <w:rFonts w:hint="cs"/>
          <w:u w:val="single"/>
          <w:rtl/>
        </w:rPr>
        <w:t xml:space="preserve">، </w:t>
      </w:r>
      <w:r w:rsidR="009C32A0" w:rsidRPr="005675B2">
        <w:rPr>
          <w:rFonts w:hint="cs"/>
          <w:rtl/>
        </w:rPr>
        <w:t>مثاله</w:t>
      </w:r>
      <w:r>
        <w:rPr>
          <w:rFonts w:hint="cs"/>
          <w:rtl/>
        </w:rPr>
        <w:t>:</w:t>
      </w:r>
      <w:r w:rsidR="009C32A0" w:rsidRPr="005675B2">
        <w:rPr>
          <w:rFonts w:hint="cs"/>
          <w:rtl/>
        </w:rPr>
        <w:t>وصف الله بأنه جالس على العرش ويجلس نبيه معه يوم القيامة فهذا باطل من جهتين</w:t>
      </w:r>
      <w:r>
        <w:rPr>
          <w:rFonts w:hint="cs"/>
          <w:rtl/>
        </w:rPr>
        <w:t>:</w:t>
      </w:r>
    </w:p>
    <w:p w14:paraId="502CCFD6" w14:textId="5E133D81"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من جهة النقل لأنه حديث</w:t>
      </w:r>
      <w:r w:rsidR="000636C2">
        <w:rPr>
          <w:rFonts w:hint="cs"/>
          <w:rtl/>
        </w:rPr>
        <w:t xml:space="preserve"> </w:t>
      </w:r>
      <w:r w:rsidRPr="005675B2">
        <w:rPr>
          <w:rFonts w:hint="cs"/>
          <w:rtl/>
        </w:rPr>
        <w:t>ضعيف فهو ظني الثبوت</w:t>
      </w:r>
      <w:r w:rsidR="000636C2">
        <w:rPr>
          <w:rFonts w:hint="cs"/>
          <w:rtl/>
        </w:rPr>
        <w:t>،</w:t>
      </w:r>
    </w:p>
    <w:p w14:paraId="622E1DE8" w14:textId="487C13D0"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ومن جهة العقل لأنه يخالف أصلا أصيلا وهو نفي النقص عن الله تعالى وغناه عن كل شيء</w:t>
      </w:r>
      <w:r w:rsidR="000636C2">
        <w:rPr>
          <w:rFonts w:hint="cs"/>
          <w:rtl/>
        </w:rPr>
        <w:t>،</w:t>
      </w:r>
      <w:r w:rsidRPr="005675B2">
        <w:rPr>
          <w:rFonts w:hint="cs"/>
          <w:rtl/>
        </w:rPr>
        <w:t>وفيه مشابهته لمخلوقاته وكونه حالاً فيها</w:t>
      </w:r>
      <w:r w:rsidR="000636C2">
        <w:rPr>
          <w:rFonts w:hint="cs"/>
          <w:rtl/>
        </w:rPr>
        <w:t xml:space="preserve"> </w:t>
      </w:r>
      <w:r w:rsidRPr="005675B2">
        <w:rPr>
          <w:rFonts w:hint="cs"/>
          <w:rtl/>
        </w:rPr>
        <w:t>- سبحانه وتعالى عن ذلك -</w:t>
      </w:r>
      <w:r w:rsidR="000636C2">
        <w:rPr>
          <w:rFonts w:hint="cs"/>
          <w:rtl/>
        </w:rPr>
        <w:t>،</w:t>
      </w:r>
    </w:p>
    <w:p w14:paraId="1E3E2CF8" w14:textId="32A90455" w:rsidR="009C32A0" w:rsidRPr="005675B2" w:rsidRDefault="009C32A0" w:rsidP="000636C2">
      <w:pPr>
        <w:rPr>
          <w:b/>
        </w:rPr>
      </w:pPr>
      <w:r w:rsidRPr="005675B2">
        <w:rPr>
          <w:rFonts w:hint="cs"/>
          <w:bCs/>
          <w:rtl/>
        </w:rPr>
        <w:t>ارتياب الكاتب واتهام العلماء برد السنة</w:t>
      </w:r>
      <w:r w:rsidR="000636C2">
        <w:rPr>
          <w:rFonts w:hint="cs"/>
          <w:bCs/>
          <w:rtl/>
        </w:rPr>
        <w:t>:</w:t>
      </w:r>
      <w:r w:rsidRPr="005675B2">
        <w:rPr>
          <w:rFonts w:hint="cs"/>
          <w:bCs/>
          <w:rtl/>
        </w:rPr>
        <w:t xml:space="preserve"> </w:t>
      </w:r>
      <w:r w:rsidRPr="005675B2">
        <w:rPr>
          <w:rFonts w:hint="cs"/>
          <w:rtl/>
        </w:rPr>
        <w:t>قال الكاتب</w:t>
      </w:r>
      <w:r w:rsidR="000636C2">
        <w:rPr>
          <w:rFonts w:hint="cs"/>
          <w:rtl/>
        </w:rPr>
        <w:t xml:space="preserve">: </w:t>
      </w:r>
      <w:r w:rsidRPr="005675B2">
        <w:rPr>
          <w:rFonts w:hint="cs"/>
          <w:rtl/>
        </w:rPr>
        <w:t>موقفهم من السنة خاصة</w:t>
      </w:r>
      <w:r w:rsidRPr="005675B2">
        <w:rPr>
          <w:rFonts w:hint="cs"/>
        </w:rPr>
        <w:t xml:space="preserve"> </w:t>
      </w:r>
      <w:r w:rsidRPr="005675B2">
        <w:rPr>
          <w:rFonts w:hint="cs"/>
          <w:rtl/>
        </w:rPr>
        <w:t>أنه لا يثبت بها عقيدة</w:t>
      </w:r>
      <w:r w:rsidR="000636C2">
        <w:rPr>
          <w:rFonts w:hint="cs"/>
          <w:rtl/>
        </w:rPr>
        <w:t>،</w:t>
      </w:r>
      <w:r w:rsidRPr="005675B2">
        <w:rPr>
          <w:rFonts w:hint="cs"/>
          <w:rtl/>
        </w:rPr>
        <w:t xml:space="preserve"> بل المتواتر منها يجب تأويله وأحادها لا يجب الاشتغال بها</w:t>
      </w:r>
      <w:r w:rsidRPr="005675B2">
        <w:rPr>
          <w:rFonts w:hint="cs"/>
        </w:rPr>
        <w:t xml:space="preserve"> </w:t>
      </w:r>
      <w:r w:rsidRPr="005675B2">
        <w:rPr>
          <w:rFonts w:hint="cs"/>
          <w:rtl/>
        </w:rPr>
        <w:t>حتى على سبيل التأويل</w:t>
      </w:r>
      <w:r w:rsidR="000636C2">
        <w:rPr>
          <w:rFonts w:hint="cs"/>
          <w:rtl/>
        </w:rPr>
        <w:t>،</w:t>
      </w:r>
      <w:r w:rsidRPr="005675B2">
        <w:rPr>
          <w:rFonts w:hint="cs"/>
          <w:rtl/>
        </w:rPr>
        <w:t xml:space="preserve"> حتى إن إمامهم الرازي قطع بأن رواية الصحابة كلهم مظنونة</w:t>
      </w:r>
      <w:r w:rsidRPr="005675B2">
        <w:rPr>
          <w:rFonts w:hint="cs"/>
        </w:rPr>
        <w:t xml:space="preserve"> </w:t>
      </w:r>
      <w:r w:rsidRPr="005675B2">
        <w:rPr>
          <w:rFonts w:hint="cs"/>
          <w:rtl/>
        </w:rPr>
        <w:t>بالنسبة لعدالتهم وحفظهم سواء</w:t>
      </w:r>
      <w:r w:rsidR="000636C2">
        <w:rPr>
          <w:rFonts w:hint="cs"/>
          <w:rtl/>
        </w:rPr>
        <w:t>،</w:t>
      </w:r>
      <w:r w:rsidRPr="005675B2">
        <w:rPr>
          <w:rFonts w:hint="cs"/>
          <w:rtl/>
        </w:rPr>
        <w:t xml:space="preserve"> وأنه في الصحيحين أحاديث وضعها الزنادقة … إلى آخر</w:t>
      </w:r>
      <w:r w:rsidRPr="005675B2">
        <w:rPr>
          <w:rFonts w:hint="cs"/>
        </w:rPr>
        <w:t xml:space="preserve"> </w:t>
      </w:r>
      <w:r w:rsidRPr="005675B2">
        <w:rPr>
          <w:rFonts w:hint="cs"/>
          <w:rtl/>
        </w:rPr>
        <w:t>ما لا استجيز نقله لغير المختصين</w:t>
      </w:r>
      <w:r w:rsidR="000636C2">
        <w:rPr>
          <w:rFonts w:hint="cs"/>
          <w:rtl/>
        </w:rPr>
        <w:t>،</w:t>
      </w:r>
      <w:r w:rsidRPr="005675B2">
        <w:rPr>
          <w:rFonts w:hint="cs"/>
          <w:rtl/>
        </w:rPr>
        <w:t xml:space="preserve"> وهو في كتابه أساس التقديس والأربعين</w:t>
      </w:r>
      <w:r w:rsidR="000636C2">
        <w:rPr>
          <w:rFonts w:hint="cs"/>
          <w:rtl/>
        </w:rPr>
        <w:t>،</w:t>
      </w:r>
    </w:p>
    <w:p w14:paraId="524FD7D8" w14:textId="7E80DD4F"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غفر الله لك كم تحب التشنيع وأنا سأنقل</w:t>
      </w:r>
      <w:r>
        <w:rPr>
          <w:rFonts w:hint="cs"/>
          <w:rtl/>
        </w:rPr>
        <w:t xml:space="preserve"> </w:t>
      </w:r>
      <w:r w:rsidR="009C32A0" w:rsidRPr="005675B2">
        <w:rPr>
          <w:rFonts w:hint="cs"/>
          <w:rtl/>
        </w:rPr>
        <w:t>الكلام الذي قاله الرازي</w:t>
      </w:r>
      <w:r>
        <w:rPr>
          <w:rFonts w:hint="cs"/>
          <w:rtl/>
        </w:rPr>
        <w:t xml:space="preserve"> </w:t>
      </w:r>
      <w:r w:rsidR="009C32A0" w:rsidRPr="005675B2">
        <w:rPr>
          <w:rFonts w:hint="cs"/>
          <w:rtl/>
        </w:rPr>
        <w:t>لنرى هل في كلامه خطأ</w:t>
      </w:r>
      <w:r>
        <w:rPr>
          <w:rFonts w:hint="cs"/>
          <w:rtl/>
        </w:rPr>
        <w:t>؟!</w:t>
      </w:r>
      <w:r w:rsidR="009C32A0" w:rsidRPr="005675B2">
        <w:rPr>
          <w:rFonts w:hint="cs"/>
          <w:rtl/>
        </w:rPr>
        <w:t>ولكن قبل ذلك نجيب على الدعوى الأولى</w:t>
      </w:r>
      <w:r>
        <w:rPr>
          <w:rFonts w:hint="cs"/>
          <w:rtl/>
        </w:rPr>
        <w:t>:</w:t>
      </w:r>
      <w:r w:rsidR="009C32A0" w:rsidRPr="005675B2">
        <w:rPr>
          <w:rFonts w:hint="cs"/>
          <w:rtl/>
        </w:rPr>
        <w:t>يقول الكاتب هداه الله</w:t>
      </w:r>
      <w:r>
        <w:rPr>
          <w:rFonts w:hint="cs"/>
          <w:rtl/>
        </w:rPr>
        <w:t>)</w:t>
      </w:r>
      <w:r w:rsidR="009C32A0" w:rsidRPr="005675B2">
        <w:rPr>
          <w:rFonts w:hint="cs"/>
          <w:rtl/>
        </w:rPr>
        <w:t xml:space="preserve"> موقفهم من السنة خاصة</w:t>
      </w:r>
      <w:r w:rsidR="009C32A0" w:rsidRPr="005675B2">
        <w:rPr>
          <w:rFonts w:hint="cs"/>
        </w:rPr>
        <w:t xml:space="preserve"> </w:t>
      </w:r>
      <w:r w:rsidR="009C32A0" w:rsidRPr="005675B2">
        <w:rPr>
          <w:rFonts w:hint="cs"/>
          <w:rtl/>
        </w:rPr>
        <w:t>أنه لا يثبت بها عقيدة</w:t>
      </w:r>
      <w:r>
        <w:rPr>
          <w:rFonts w:hint="cs"/>
          <w:rtl/>
        </w:rPr>
        <w:t>،</w:t>
      </w:r>
      <w:r w:rsidR="009C32A0" w:rsidRPr="005675B2">
        <w:rPr>
          <w:rFonts w:hint="cs"/>
          <w:rtl/>
        </w:rPr>
        <w:t xml:space="preserve"> بل المتواتر منها يجب تأويله وأحادها لا يجب الاشتغال بها</w:t>
      </w:r>
      <w:r w:rsidR="009C32A0" w:rsidRPr="005675B2">
        <w:rPr>
          <w:rFonts w:hint="cs"/>
        </w:rPr>
        <w:t xml:space="preserve"> </w:t>
      </w:r>
      <w:r w:rsidR="009C32A0" w:rsidRPr="005675B2">
        <w:rPr>
          <w:rFonts w:hint="cs"/>
          <w:rtl/>
        </w:rPr>
        <w:t>حتى على سبيل التأويل</w:t>
      </w:r>
      <w:r>
        <w:rPr>
          <w:rFonts w:hint="cs"/>
          <w:rtl/>
        </w:rPr>
        <w:t>)،</w:t>
      </w:r>
      <w:r w:rsidR="009C32A0" w:rsidRPr="005675B2">
        <w:rPr>
          <w:rFonts w:hint="cs"/>
          <w:rtl/>
        </w:rPr>
        <w:t xml:space="preserve"> </w:t>
      </w:r>
    </w:p>
    <w:p w14:paraId="5C186AAF" w14:textId="4DF43567"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1</w:t>
      </w:r>
      <w:r>
        <w:rPr>
          <w:rFonts w:hint="cs"/>
          <w:rtl/>
        </w:rPr>
        <w:t xml:space="preserve"> </w:t>
      </w:r>
      <w:r w:rsidR="009C32A0" w:rsidRPr="005675B2">
        <w:rPr>
          <w:rFonts w:hint="cs"/>
          <w:rtl/>
        </w:rPr>
        <w:t>-</w:t>
      </w:r>
      <w:r>
        <w:rPr>
          <w:rFonts w:hint="cs"/>
          <w:rtl/>
        </w:rPr>
        <w:t xml:space="preserve"> </w:t>
      </w:r>
      <w:r w:rsidR="009C32A0" w:rsidRPr="005675B2">
        <w:rPr>
          <w:rFonts w:hint="cs"/>
          <w:rtl/>
        </w:rPr>
        <w:t>أن هذا الكلام هو في المتشابه فقط أما المحكم فلا إشكال فيه ولله الحمد فيثبت مقتضاه على ما يليق بالله بالدليل القاطع</w:t>
      </w:r>
      <w:r>
        <w:rPr>
          <w:rFonts w:hint="cs"/>
          <w:rtl/>
        </w:rPr>
        <w:t xml:space="preserve">، </w:t>
      </w:r>
      <w:r w:rsidR="009C32A0" w:rsidRPr="005675B2">
        <w:rPr>
          <w:rFonts w:hint="cs"/>
          <w:rtl/>
        </w:rPr>
        <w:t>2</w:t>
      </w:r>
      <w:r>
        <w:rPr>
          <w:rFonts w:hint="cs"/>
          <w:rtl/>
        </w:rPr>
        <w:t xml:space="preserve"> </w:t>
      </w:r>
      <w:r w:rsidR="009C32A0" w:rsidRPr="005675B2">
        <w:rPr>
          <w:rFonts w:hint="cs"/>
          <w:rtl/>
        </w:rPr>
        <w:t>- أما إذا كان</w:t>
      </w:r>
      <w:r>
        <w:rPr>
          <w:rFonts w:hint="cs"/>
          <w:rtl/>
        </w:rPr>
        <w:t xml:space="preserve"> </w:t>
      </w:r>
      <w:r w:rsidR="009C32A0" w:rsidRPr="005675B2">
        <w:rPr>
          <w:rFonts w:hint="cs"/>
          <w:rtl/>
        </w:rPr>
        <w:t>من المتشابه فقال الإمام</w:t>
      </w:r>
      <w:r>
        <w:rPr>
          <w:rFonts w:hint="cs"/>
          <w:rtl/>
        </w:rPr>
        <w:t xml:space="preserve"> </w:t>
      </w:r>
      <w:r w:rsidR="009C32A0" w:rsidRPr="005675B2">
        <w:rPr>
          <w:rFonts w:hint="cs"/>
          <w:rtl/>
        </w:rPr>
        <w:t>ابن أبي شريف</w:t>
      </w:r>
      <w:r>
        <w:rPr>
          <w:rFonts w:hint="cs"/>
          <w:rtl/>
        </w:rPr>
        <w:t>:</w:t>
      </w:r>
      <w:r w:rsidR="009C32A0" w:rsidRPr="005675B2">
        <w:rPr>
          <w:rFonts w:hint="cs"/>
          <w:rtl/>
        </w:rPr>
        <w:t xml:space="preserve"> كل لفظ يردفي الشرع مما يسند إلى الله أو يطلق اسماً أو صفة له</w:t>
      </w:r>
      <w:r>
        <w:rPr>
          <w:rFonts w:hint="cs"/>
          <w:rtl/>
        </w:rPr>
        <w:t>،</w:t>
      </w:r>
      <w:r w:rsidR="009C32A0" w:rsidRPr="005675B2">
        <w:rPr>
          <w:rFonts w:hint="cs"/>
          <w:rtl/>
        </w:rPr>
        <w:t>وهو مخالف للعقل ويسمى المتشابه فلا يخلو إما</w:t>
      </w:r>
      <w:r>
        <w:rPr>
          <w:rFonts w:hint="cs"/>
          <w:rtl/>
        </w:rPr>
        <w:t>:</w:t>
      </w:r>
      <w:r w:rsidR="009C32A0" w:rsidRPr="005675B2">
        <w:rPr>
          <w:rFonts w:hint="cs"/>
          <w:rtl/>
        </w:rPr>
        <w:t>أن يتواتر أو ينقل آحاداً</w:t>
      </w:r>
      <w:r>
        <w:rPr>
          <w:rFonts w:hint="cs"/>
          <w:rtl/>
        </w:rPr>
        <w:t>، (</w:t>
      </w:r>
      <w:r w:rsidR="009C32A0" w:rsidRPr="005675B2">
        <w:rPr>
          <w:rFonts w:hint="cs"/>
          <w:rtl/>
        </w:rPr>
        <w:t>أ</w:t>
      </w:r>
      <w:r>
        <w:rPr>
          <w:rFonts w:hint="cs"/>
          <w:rtl/>
        </w:rPr>
        <w:t>)</w:t>
      </w:r>
      <w:r w:rsidR="009C32A0" w:rsidRPr="005675B2">
        <w:rPr>
          <w:rFonts w:hint="cs"/>
          <w:rtl/>
        </w:rPr>
        <w:t>والآحاد إن كان نصاً</w:t>
      </w:r>
      <w:r>
        <w:rPr>
          <w:rFonts w:hint="cs"/>
          <w:rtl/>
        </w:rPr>
        <w:t xml:space="preserve"> </w:t>
      </w:r>
      <w:r w:rsidR="009C32A0" w:rsidRPr="005675B2">
        <w:rPr>
          <w:rFonts w:hint="cs"/>
          <w:rtl/>
        </w:rPr>
        <w:t xml:space="preserve">لا يحتمل التأويل </w:t>
      </w:r>
      <w:r>
        <w:rPr>
          <w:rFonts w:hint="cs"/>
          <w:rtl/>
        </w:rPr>
        <w:t>(</w:t>
      </w:r>
      <w:r w:rsidR="009C32A0" w:rsidRPr="005675B2">
        <w:rPr>
          <w:rFonts w:hint="cs"/>
          <w:rtl/>
        </w:rPr>
        <w:t>أي قطعي في دلالته</w:t>
      </w:r>
      <w:r>
        <w:rPr>
          <w:rFonts w:hint="cs"/>
          <w:rtl/>
        </w:rPr>
        <w:t xml:space="preserve"> </w:t>
      </w:r>
      <w:r w:rsidR="009C32A0" w:rsidRPr="005675B2">
        <w:rPr>
          <w:rFonts w:hint="cs"/>
          <w:rtl/>
        </w:rPr>
        <w:t>أي لا يحتمل معان أخرى في اللغة لائقة بالله فإن كان قطعي الدلالة</w:t>
      </w:r>
      <w:r>
        <w:rPr>
          <w:rFonts w:hint="cs"/>
          <w:rtl/>
        </w:rPr>
        <w:t>)</w:t>
      </w:r>
      <w:r w:rsidR="009C32A0" w:rsidRPr="005675B2">
        <w:rPr>
          <w:rFonts w:hint="cs"/>
          <w:rtl/>
        </w:rPr>
        <w:t xml:space="preserve"> </w:t>
      </w:r>
      <w:r w:rsidR="009C32A0" w:rsidRPr="005675B2">
        <w:rPr>
          <w:rFonts w:hint="cs"/>
          <w:u w:val="single"/>
          <w:rtl/>
        </w:rPr>
        <w:t>قطعنا بافتراء ناقله</w:t>
      </w:r>
      <w:r>
        <w:rPr>
          <w:rFonts w:hint="cs"/>
          <w:u w:val="single"/>
          <w:rtl/>
        </w:rPr>
        <w:t xml:space="preserve"> </w:t>
      </w:r>
      <w:r w:rsidR="009C32A0" w:rsidRPr="005675B2">
        <w:rPr>
          <w:rFonts w:hint="cs"/>
          <w:u w:val="single"/>
          <w:rtl/>
        </w:rPr>
        <w:t>أو غلطه</w:t>
      </w:r>
      <w:r>
        <w:rPr>
          <w:rFonts w:hint="cs"/>
          <w:rtl/>
        </w:rPr>
        <w:t xml:space="preserve"> </w:t>
      </w:r>
      <w:r w:rsidR="009C32A0" w:rsidRPr="005675B2">
        <w:rPr>
          <w:rFonts w:hint="cs"/>
          <w:u w:val="single"/>
          <w:rtl/>
        </w:rPr>
        <w:t>أو سهوه</w:t>
      </w:r>
      <w:r>
        <w:rPr>
          <w:rFonts w:hint="cs"/>
          <w:u w:val="single"/>
          <w:rtl/>
        </w:rPr>
        <w:t xml:space="preserve"> </w:t>
      </w:r>
      <w:r w:rsidR="009C32A0" w:rsidRPr="005675B2">
        <w:rPr>
          <w:rFonts w:hint="cs"/>
          <w:rtl/>
        </w:rPr>
        <w:t xml:space="preserve">وإن كان ظاهراً </w:t>
      </w:r>
      <w:r>
        <w:rPr>
          <w:rFonts w:hint="cs"/>
          <w:rtl/>
        </w:rPr>
        <w:t>(</w:t>
      </w:r>
      <w:r w:rsidR="009C32A0" w:rsidRPr="005675B2">
        <w:rPr>
          <w:rFonts w:hint="cs"/>
          <w:rtl/>
        </w:rPr>
        <w:t>أي ظاهر الدلالة</w:t>
      </w:r>
      <w:r>
        <w:rPr>
          <w:rFonts w:hint="cs"/>
          <w:rtl/>
        </w:rPr>
        <w:t>)</w:t>
      </w:r>
      <w:r w:rsidR="009C32A0" w:rsidRPr="005675B2">
        <w:rPr>
          <w:rFonts w:hint="cs"/>
          <w:rtl/>
        </w:rPr>
        <w:t xml:space="preserve"> فظاهره غير مراد</w:t>
      </w:r>
      <w:r>
        <w:rPr>
          <w:rFonts w:hint="cs"/>
          <w:rtl/>
        </w:rPr>
        <w:t>،</w:t>
      </w:r>
      <w:r w:rsidR="009C32A0" w:rsidRPr="005675B2">
        <w:rPr>
          <w:rFonts w:hint="cs"/>
          <w:rtl/>
        </w:rPr>
        <w:t xml:space="preserve"> أهـ</w:t>
      </w:r>
      <w:r>
        <w:rPr>
          <w:rFonts w:hint="cs"/>
          <w:rtl/>
        </w:rPr>
        <w:t xml:space="preserve"> (</w:t>
      </w:r>
      <w:r w:rsidR="009C32A0" w:rsidRPr="005675B2">
        <w:rPr>
          <w:rFonts w:hint="cs"/>
          <w:rtl/>
        </w:rPr>
        <w:t>لأن له معنى آخر لائق بالله فيعدل</w:t>
      </w:r>
      <w:r>
        <w:rPr>
          <w:rFonts w:hint="cs"/>
          <w:rtl/>
        </w:rPr>
        <w:t xml:space="preserve"> </w:t>
      </w:r>
      <w:r w:rsidR="009C32A0" w:rsidRPr="005675B2">
        <w:rPr>
          <w:rFonts w:hint="cs"/>
          <w:rtl/>
        </w:rPr>
        <w:t>إليه</w:t>
      </w:r>
      <w:r>
        <w:rPr>
          <w:rFonts w:hint="cs"/>
          <w:rtl/>
        </w:rPr>
        <w:t>)،</w:t>
      </w:r>
      <w:r w:rsidR="009C32A0" w:rsidRPr="005675B2">
        <w:rPr>
          <w:rFonts w:hint="cs"/>
          <w:rtl/>
        </w:rPr>
        <w:t xml:space="preserve"> </w:t>
      </w:r>
      <w:r>
        <w:rPr>
          <w:rFonts w:hint="cs"/>
          <w:rtl/>
        </w:rPr>
        <w:t>(</w:t>
      </w:r>
      <w:r w:rsidR="009C32A0" w:rsidRPr="005675B2">
        <w:rPr>
          <w:rFonts w:hint="cs"/>
          <w:rtl/>
        </w:rPr>
        <w:t>ب</w:t>
      </w:r>
      <w:r>
        <w:rPr>
          <w:rFonts w:hint="cs"/>
          <w:rtl/>
        </w:rPr>
        <w:t>)</w:t>
      </w:r>
      <w:r w:rsidR="009C32A0" w:rsidRPr="005675B2">
        <w:rPr>
          <w:rFonts w:hint="cs"/>
          <w:rtl/>
        </w:rPr>
        <w:t xml:space="preserve"> [</w:t>
      </w:r>
      <w:r w:rsidR="009C32A0" w:rsidRPr="005675B2">
        <w:rPr>
          <w:rFonts w:hint="cs"/>
          <w:bCs/>
          <w:sz w:val="24"/>
          <w:szCs w:val="24"/>
          <w:rtl/>
        </w:rPr>
        <w:t>لازال الكلام لابن أبي شريف]</w:t>
      </w:r>
      <w:r w:rsidR="009C32A0" w:rsidRPr="005675B2">
        <w:rPr>
          <w:rFonts w:hint="cs"/>
          <w:rtl/>
        </w:rPr>
        <w:t xml:space="preserve"> وإن كان متواتراً فلا يتصور أن يكون نصاً</w:t>
      </w:r>
      <w:r>
        <w:rPr>
          <w:rFonts w:hint="cs"/>
          <w:rtl/>
        </w:rPr>
        <w:t xml:space="preserve"> </w:t>
      </w:r>
      <w:r w:rsidR="009C32A0" w:rsidRPr="005675B2">
        <w:rPr>
          <w:rFonts w:hint="cs"/>
          <w:rtl/>
        </w:rPr>
        <w:t xml:space="preserve">لا يحتمل التأويل </w:t>
      </w:r>
      <w:r>
        <w:rPr>
          <w:rFonts w:hint="cs"/>
          <w:rtl/>
        </w:rPr>
        <w:t>(</w:t>
      </w:r>
      <w:r w:rsidR="009C32A0" w:rsidRPr="005675B2">
        <w:rPr>
          <w:rFonts w:hint="cs"/>
          <w:rtl/>
        </w:rPr>
        <w:t>أي لا يتصور كونه قطعي الدلالة</w:t>
      </w:r>
      <w:r>
        <w:rPr>
          <w:rFonts w:hint="cs"/>
          <w:rtl/>
        </w:rPr>
        <w:t>)</w:t>
      </w:r>
      <w:r w:rsidR="009C32A0" w:rsidRPr="005675B2">
        <w:rPr>
          <w:rFonts w:hint="cs"/>
          <w:rtl/>
        </w:rPr>
        <w:t>بل لابد وأن يكون ظاهراً</w:t>
      </w:r>
      <w:r>
        <w:rPr>
          <w:rFonts w:hint="cs"/>
          <w:rtl/>
        </w:rPr>
        <w:t>،</w:t>
      </w:r>
      <w:r w:rsidR="009C32A0" w:rsidRPr="005675B2">
        <w:rPr>
          <w:rFonts w:hint="cs"/>
          <w:rtl/>
        </w:rPr>
        <w:t xml:space="preserve"> وحينئذنقول</w:t>
      </w:r>
      <w:r>
        <w:rPr>
          <w:rFonts w:hint="cs"/>
          <w:rtl/>
        </w:rPr>
        <w:t>:</w:t>
      </w:r>
      <w:r w:rsidR="009C32A0" w:rsidRPr="005675B2">
        <w:rPr>
          <w:rFonts w:hint="cs"/>
          <w:rtl/>
        </w:rPr>
        <w:t xml:space="preserve"> الاحتمال الذي ينفيه العقل ليس مراداً منه</w:t>
      </w:r>
      <w:r>
        <w:rPr>
          <w:rFonts w:hint="cs"/>
          <w:rtl/>
        </w:rPr>
        <w:t>،</w:t>
      </w:r>
      <w:r w:rsidR="009C32A0" w:rsidRPr="005675B2">
        <w:rPr>
          <w:rFonts w:hint="cs"/>
          <w:rtl/>
        </w:rPr>
        <w:t>ثم إن بقي بعد انتفائه</w:t>
      </w:r>
      <w:r>
        <w:rPr>
          <w:rFonts w:hint="cs"/>
          <w:rtl/>
        </w:rPr>
        <w:t xml:space="preserve"> </w:t>
      </w:r>
      <w:r w:rsidR="009C32A0" w:rsidRPr="005675B2">
        <w:rPr>
          <w:rFonts w:hint="cs"/>
          <w:rtl/>
        </w:rPr>
        <w:t>احتمال واحد تعين أنه المراد [</w:t>
      </w:r>
      <w:r w:rsidR="009C32A0" w:rsidRPr="005675B2">
        <w:rPr>
          <w:rFonts w:hint="cs"/>
          <w:bCs/>
          <w:sz w:val="24"/>
          <w:szCs w:val="24"/>
          <w:rtl/>
        </w:rPr>
        <w:t>أي تعين أن هذا الباقي هو المعنى المراد قطعاً]</w:t>
      </w:r>
      <w:r w:rsidR="009C32A0" w:rsidRPr="005675B2">
        <w:rPr>
          <w:rFonts w:hint="cs"/>
          <w:rtl/>
        </w:rPr>
        <w:t xml:space="preserve"> بحكم الحال</w:t>
      </w:r>
      <w:r>
        <w:rPr>
          <w:rFonts w:hint="cs"/>
          <w:rtl/>
        </w:rPr>
        <w:t>،</w:t>
      </w:r>
      <w:r w:rsidR="009C32A0" w:rsidRPr="005675B2">
        <w:rPr>
          <w:rFonts w:hint="cs"/>
          <w:rtl/>
        </w:rPr>
        <w:t xml:space="preserve"> وإن بقي احتمالان فصاعداً فلا يخلو إما</w:t>
      </w:r>
      <w:r>
        <w:rPr>
          <w:rFonts w:hint="cs"/>
          <w:rtl/>
        </w:rPr>
        <w:t xml:space="preserve">: </w:t>
      </w:r>
      <w:r w:rsidR="009C32A0" w:rsidRPr="005675B2">
        <w:rPr>
          <w:rFonts w:hint="cs"/>
          <w:rtl/>
        </w:rPr>
        <w:t>أن يدل قاطع على واحد منهما، أولا</w:t>
      </w:r>
      <w:r w:rsidR="009C32A0">
        <w:rPr>
          <w:rFonts w:hint="cs"/>
          <w:rtl/>
        </w:rPr>
        <w:t xml:space="preserve"> </w:t>
      </w:r>
      <w:r w:rsidR="009C32A0" w:rsidRPr="005675B2">
        <w:rPr>
          <w:rFonts w:hint="cs"/>
          <w:rtl/>
        </w:rPr>
        <w:t>يدل</w:t>
      </w:r>
      <w:r>
        <w:rPr>
          <w:rFonts w:hint="cs"/>
          <w:rtl/>
        </w:rPr>
        <w:t>،</w:t>
      </w:r>
      <w:r w:rsidR="009C32A0" w:rsidRPr="005675B2">
        <w:rPr>
          <w:rFonts w:hint="cs"/>
          <w:rtl/>
        </w:rPr>
        <w:t xml:space="preserve"> فإن دل على واحد منهما حمل عليه</w:t>
      </w:r>
      <w:r>
        <w:rPr>
          <w:rFonts w:hint="cs"/>
          <w:rtl/>
        </w:rPr>
        <w:t>،</w:t>
      </w:r>
      <w:r w:rsidR="009C32A0" w:rsidRPr="005675B2">
        <w:rPr>
          <w:rFonts w:hint="cs"/>
          <w:rtl/>
        </w:rPr>
        <w:t xml:space="preserve"> وإن لم يدل قاطع على أحدهما فهل يعين معنى من هذه المعاني بالنظر والاجتهاد دفعاً للخبط عن العقائد</w:t>
      </w:r>
      <w:r>
        <w:rPr>
          <w:rFonts w:hint="cs"/>
          <w:rtl/>
        </w:rPr>
        <w:t xml:space="preserve">؟، </w:t>
      </w:r>
      <w:r w:rsidR="009C32A0" w:rsidRPr="005675B2">
        <w:rPr>
          <w:rFonts w:hint="cs"/>
          <w:rtl/>
        </w:rPr>
        <w:t xml:space="preserve">أولا يعين </w:t>
      </w:r>
      <w:r w:rsidR="009C32A0" w:rsidRPr="005675B2">
        <w:rPr>
          <w:rFonts w:hint="cs"/>
          <w:u w:val="single"/>
          <w:rtl/>
        </w:rPr>
        <w:t xml:space="preserve">خشية </w:t>
      </w:r>
      <w:r w:rsidR="009C32A0" w:rsidRPr="005675B2">
        <w:rPr>
          <w:rFonts w:hint="cs"/>
          <w:rtl/>
        </w:rPr>
        <w:t>الإلحاد في الأسماء والصفات</w:t>
      </w:r>
      <w:r>
        <w:rPr>
          <w:rFonts w:hint="cs"/>
          <w:rtl/>
        </w:rPr>
        <w:t>؟</w:t>
      </w:r>
      <w:r w:rsidR="009C32A0" w:rsidRPr="005675B2">
        <w:rPr>
          <w:rFonts w:hint="cs"/>
          <w:rtl/>
        </w:rPr>
        <w:t xml:space="preserve"> أ</w:t>
      </w:r>
      <w:r>
        <w:rPr>
          <w:rFonts w:hint="cs"/>
          <w:rtl/>
        </w:rPr>
        <w:t xml:space="preserve"> </w:t>
      </w:r>
      <w:r w:rsidR="009C32A0" w:rsidRPr="005675B2">
        <w:rPr>
          <w:rFonts w:hint="cs"/>
          <w:rtl/>
        </w:rPr>
        <w:t>- ه</w:t>
      </w:r>
      <w:r>
        <w:rPr>
          <w:rFonts w:hint="cs"/>
          <w:rtl/>
        </w:rPr>
        <w:t xml:space="preserve"> </w:t>
      </w:r>
      <w:r w:rsidR="009C32A0" w:rsidRPr="005675B2">
        <w:rPr>
          <w:rFonts w:hint="cs"/>
          <w:rtl/>
        </w:rPr>
        <w:t xml:space="preserve">- </w:t>
      </w:r>
      <w:r>
        <w:rPr>
          <w:rFonts w:hint="cs"/>
          <w:rtl/>
        </w:rPr>
        <w:t>(</w:t>
      </w:r>
      <w:r w:rsidR="009C32A0" w:rsidRPr="005675B2">
        <w:rPr>
          <w:rFonts w:hint="cs"/>
          <w:rtl/>
        </w:rPr>
        <w:t>خلاف على قولين هما مذهب التفويض والتأويل أو مايسمى مذهب السلف والخلف</w:t>
      </w:r>
      <w:r>
        <w:rPr>
          <w:rFonts w:hint="cs"/>
          <w:rtl/>
        </w:rPr>
        <w:t>)</w:t>
      </w:r>
      <w:r w:rsidR="009C32A0" w:rsidRPr="005675B2">
        <w:rPr>
          <w:rFonts w:hint="cs"/>
          <w:rtl/>
        </w:rPr>
        <w:t xml:space="preserve"> [</w:t>
      </w:r>
      <w:r w:rsidR="009C32A0" w:rsidRPr="005675B2">
        <w:rPr>
          <w:rFonts w:hint="cs"/>
          <w:bCs/>
          <w:sz w:val="24"/>
          <w:szCs w:val="24"/>
          <w:rtl/>
        </w:rPr>
        <w:t>المسامرة ص59</w:t>
      </w:r>
      <w:r w:rsidR="009C32A0" w:rsidRPr="005675B2">
        <w:rPr>
          <w:rFonts w:hint="cs"/>
          <w:rtl/>
        </w:rPr>
        <w:t>]</w:t>
      </w:r>
      <w:r>
        <w:rPr>
          <w:rFonts w:hint="cs"/>
          <w:rtl/>
        </w:rPr>
        <w:t>،</w:t>
      </w:r>
      <w:r w:rsidR="009C32A0" w:rsidRPr="005675B2">
        <w:rPr>
          <w:rFonts w:hint="cs"/>
          <w:rtl/>
        </w:rPr>
        <w:t xml:space="preserve"> وكلامه هنا هو معنى قول العلماء</w:t>
      </w:r>
      <w:r>
        <w:rPr>
          <w:rFonts w:hint="cs"/>
          <w:rtl/>
        </w:rPr>
        <w:t>:</w:t>
      </w:r>
      <w:r w:rsidR="009C32A0" w:rsidRPr="005675B2">
        <w:rPr>
          <w:rFonts w:hint="cs"/>
          <w:rtl/>
        </w:rPr>
        <w:t xml:space="preserve"> لا نفسره</w:t>
      </w:r>
      <w:r>
        <w:rPr>
          <w:rFonts w:hint="cs"/>
          <w:rtl/>
        </w:rPr>
        <w:t>،</w:t>
      </w:r>
      <w:r w:rsidR="009C32A0" w:rsidRPr="005675B2">
        <w:rPr>
          <w:rFonts w:hint="cs"/>
          <w:rtl/>
        </w:rPr>
        <w:t>وقولهم أمروها كما جاءت بلا كيف ولا معنى كما نقل ذلك بالسند الصحيح عن الإمام أحمد وغيره</w:t>
      </w:r>
      <w:r>
        <w:rPr>
          <w:rFonts w:hint="cs"/>
          <w:rtl/>
        </w:rPr>
        <w:t>،</w:t>
      </w:r>
      <w:r w:rsidR="009C32A0" w:rsidRPr="005675B2">
        <w:rPr>
          <w:rFonts w:hint="cs"/>
          <w:rtl/>
        </w:rPr>
        <w:t xml:space="preserve"> لكن تميز كلام الإمام ابن أبي شريف بالتفصيل فقط</w:t>
      </w:r>
      <w:r>
        <w:rPr>
          <w:rFonts w:hint="cs"/>
          <w:rtl/>
        </w:rPr>
        <w:t>،</w:t>
      </w:r>
      <w:r w:rsidR="009C32A0" w:rsidRPr="005675B2">
        <w:rPr>
          <w:rFonts w:hint="cs"/>
          <w:rtl/>
        </w:rPr>
        <w:t xml:space="preserve"> وهذا واضح إن شاء الله لا يحتاج</w:t>
      </w:r>
      <w:r>
        <w:rPr>
          <w:rFonts w:hint="cs"/>
          <w:rtl/>
        </w:rPr>
        <w:t xml:space="preserve"> </w:t>
      </w:r>
      <w:r w:rsidR="009C32A0" w:rsidRPr="005675B2">
        <w:rPr>
          <w:rFonts w:hint="cs"/>
          <w:rtl/>
        </w:rPr>
        <w:t>إلى إيضاح</w:t>
      </w:r>
      <w:r>
        <w:rPr>
          <w:rFonts w:hint="cs"/>
          <w:rtl/>
        </w:rPr>
        <w:t>،</w:t>
      </w:r>
      <w:r w:rsidR="009C32A0" w:rsidRPr="005675B2">
        <w:rPr>
          <w:rFonts w:hint="cs"/>
          <w:rtl/>
        </w:rPr>
        <w:t xml:space="preserve"> وسأضرب له مثالاً في ثالث الاستنتاجات إن شاء الله</w:t>
      </w:r>
      <w:r>
        <w:rPr>
          <w:rFonts w:hint="cs"/>
          <w:rtl/>
        </w:rPr>
        <w:t xml:space="preserve">، </w:t>
      </w:r>
    </w:p>
    <w:p w14:paraId="2FC1A706" w14:textId="6252F0DC" w:rsidR="009C32A0" w:rsidRPr="005675B2" w:rsidRDefault="009C32A0" w:rsidP="000636C2">
      <w:pPr>
        <w:rPr>
          <w:b/>
          <w:u w:val="single"/>
          <w:rtl/>
        </w:rPr>
      </w:pPr>
      <w:r w:rsidRPr="005675B2">
        <w:rPr>
          <w:rFonts w:hint="cs"/>
          <w:rtl/>
        </w:rPr>
        <w:t>نتج</w:t>
      </w:r>
      <w:r w:rsidR="000636C2">
        <w:rPr>
          <w:rFonts w:hint="cs"/>
          <w:rtl/>
        </w:rPr>
        <w:t xml:space="preserve"> </w:t>
      </w:r>
      <w:r w:rsidRPr="005675B2">
        <w:rPr>
          <w:rFonts w:hint="cs"/>
          <w:rtl/>
        </w:rPr>
        <w:t>من الكلام المنقول عدة أشياء</w:t>
      </w:r>
      <w:r w:rsidR="000636C2">
        <w:rPr>
          <w:rFonts w:hint="cs"/>
          <w:rtl/>
        </w:rPr>
        <w:t xml:space="preserve">: </w:t>
      </w:r>
      <w:r w:rsidRPr="005675B2">
        <w:rPr>
          <w:rFonts w:hint="cs"/>
          <w:rtl/>
        </w:rPr>
        <w:t>أولها</w:t>
      </w:r>
      <w:r w:rsidR="000636C2">
        <w:rPr>
          <w:rFonts w:hint="cs"/>
          <w:rtl/>
        </w:rPr>
        <w:t>:</w:t>
      </w:r>
      <w:r w:rsidRPr="005675B2">
        <w:rPr>
          <w:rFonts w:hint="cs"/>
          <w:rtl/>
        </w:rPr>
        <w:t xml:space="preserve"> أن الأشاعرة وسائر أهل السنة لا ينبذون السنة أصلاً ولا يأولونها اعتباطاً</w:t>
      </w:r>
      <w:r w:rsidR="000636C2">
        <w:rPr>
          <w:rFonts w:hint="cs"/>
          <w:rtl/>
        </w:rPr>
        <w:t xml:space="preserve">، </w:t>
      </w:r>
      <w:r w:rsidRPr="005675B2">
        <w:rPr>
          <w:rFonts w:hint="cs"/>
          <w:rtl/>
        </w:rPr>
        <w:t>ثانيها</w:t>
      </w:r>
      <w:r w:rsidR="000636C2">
        <w:rPr>
          <w:rFonts w:hint="cs"/>
          <w:rtl/>
        </w:rPr>
        <w:t>:</w:t>
      </w:r>
      <w:r w:rsidRPr="005675B2">
        <w:rPr>
          <w:rFonts w:hint="cs"/>
          <w:rtl/>
        </w:rPr>
        <w:t xml:space="preserve"> أنهم يأخذون بحديث</w:t>
      </w:r>
      <w:r w:rsidR="000636C2">
        <w:rPr>
          <w:rFonts w:hint="cs"/>
          <w:rtl/>
        </w:rPr>
        <w:t xml:space="preserve"> </w:t>
      </w:r>
      <w:r w:rsidRPr="005675B2">
        <w:rPr>
          <w:rFonts w:hint="cs"/>
          <w:rtl/>
        </w:rPr>
        <w:t>الآحاد المتشابه فضلاً عن المتواتر</w:t>
      </w:r>
      <w:r w:rsidR="000636C2">
        <w:rPr>
          <w:rFonts w:hint="cs"/>
          <w:rtl/>
        </w:rPr>
        <w:t>،</w:t>
      </w:r>
      <w:r w:rsidRPr="005675B2">
        <w:rPr>
          <w:rFonts w:hint="cs"/>
          <w:rtl/>
        </w:rPr>
        <w:t>مالم يدل معناه الظاهر قطعاً على معنى باطل لا يليق بالله</w:t>
      </w:r>
      <w:r w:rsidR="000636C2">
        <w:rPr>
          <w:rFonts w:hint="cs"/>
          <w:rtl/>
        </w:rPr>
        <w:t>،</w:t>
      </w:r>
      <w:r w:rsidRPr="005675B2">
        <w:rPr>
          <w:rFonts w:hint="cs"/>
          <w:rtl/>
        </w:rPr>
        <w:t xml:space="preserve"> مثاله</w:t>
      </w:r>
      <w:r w:rsidR="000636C2">
        <w:rPr>
          <w:rFonts w:hint="cs"/>
          <w:rtl/>
        </w:rPr>
        <w:t>:</w:t>
      </w:r>
      <w:r w:rsidRPr="005675B2">
        <w:rPr>
          <w:rFonts w:hint="cs"/>
          <w:rtl/>
        </w:rPr>
        <w:t xml:space="preserve"> عن قتادة رضي الله عنه قال سمعت رسول الله صلى الله عليه وسلم يقول (</w:t>
      </w:r>
      <w:r w:rsidR="000636C2">
        <w:rPr>
          <w:rFonts w:hint="cs"/>
          <w:rtl/>
        </w:rPr>
        <w:t>(</w:t>
      </w:r>
      <w:r w:rsidRPr="005675B2">
        <w:rPr>
          <w:rFonts w:hint="cs"/>
          <w:rtl/>
        </w:rPr>
        <w:t xml:space="preserve">إن الله لما فرغ من خلقه استوى على عرشه </w:t>
      </w:r>
      <w:r w:rsidRPr="005675B2">
        <w:rPr>
          <w:rFonts w:hint="cs"/>
          <w:u w:val="single"/>
          <w:rtl/>
        </w:rPr>
        <w:t>واستلقى ووضع إحدى رجليه على الأخرى</w:t>
      </w:r>
      <w:r w:rsidRPr="005675B2">
        <w:rPr>
          <w:rFonts w:hint="cs"/>
          <w:rtl/>
        </w:rPr>
        <w:t xml:space="preserve"> وقال</w:t>
      </w:r>
      <w:r w:rsidR="000636C2">
        <w:rPr>
          <w:rFonts w:hint="cs"/>
          <w:rtl/>
        </w:rPr>
        <w:t>:</w:t>
      </w:r>
      <w:r w:rsidRPr="005675B2">
        <w:rPr>
          <w:rFonts w:hint="cs"/>
          <w:rtl/>
        </w:rPr>
        <w:t xml:space="preserve"> إنها لا تصلح لبشر</w:t>
      </w:r>
      <w:r w:rsidR="000636C2">
        <w:rPr>
          <w:rFonts w:hint="cs"/>
          <w:rtl/>
        </w:rPr>
        <w:t>)</w:t>
      </w:r>
      <w:r w:rsidRPr="005675B2">
        <w:rPr>
          <w:rFonts w:hint="cs"/>
          <w:rtl/>
        </w:rPr>
        <w:t>) أخرجه أبن أبي عاصم في السنه والخلال والطبراني والبيهقي</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قال البيهقي هذا حديث منكر]</w:t>
      </w:r>
      <w:r w:rsidR="000636C2">
        <w:rPr>
          <w:rFonts w:hint="cs"/>
          <w:rtl/>
        </w:rPr>
        <w:t>،</w:t>
      </w:r>
      <w:r w:rsidRPr="005675B2">
        <w:rPr>
          <w:rFonts w:hint="cs"/>
          <w:rtl/>
        </w:rPr>
        <w:t xml:space="preserve"> هذا الحديث آحاد ولكنه قطعي في </w:t>
      </w:r>
      <w:r w:rsidRPr="005675B2">
        <w:rPr>
          <w:rFonts w:hint="cs"/>
          <w:u w:val="single"/>
          <w:rtl/>
        </w:rPr>
        <w:t>الدلالة</w:t>
      </w:r>
      <w:r w:rsidRPr="005675B2">
        <w:rPr>
          <w:rFonts w:hint="cs"/>
          <w:rtl/>
        </w:rPr>
        <w:t xml:space="preserve"> على أن الخالق - سبحانه وتعالى - له رجلين يستلقي ويضع أحداهما على الأخرى</w:t>
      </w:r>
      <w:r w:rsidR="000636C2">
        <w:rPr>
          <w:rFonts w:hint="cs"/>
          <w:rtl/>
        </w:rPr>
        <w:t>،</w:t>
      </w:r>
      <w:r w:rsidRPr="005675B2">
        <w:rPr>
          <w:rFonts w:hint="cs"/>
          <w:rtl/>
        </w:rPr>
        <w:t xml:space="preserve"> فلا بدمن</w:t>
      </w:r>
      <w:r w:rsidR="000636C2">
        <w:rPr>
          <w:rFonts w:hint="cs"/>
          <w:rtl/>
        </w:rPr>
        <w:t xml:space="preserve"> </w:t>
      </w:r>
      <w:r w:rsidRPr="005675B2">
        <w:rPr>
          <w:rFonts w:hint="cs"/>
          <w:rtl/>
        </w:rPr>
        <w:t>أحد الاحتمالات الثلاثة إما أن الحديث مكذوب، أو غلط أحد الرواة أو</w:t>
      </w:r>
      <w:r w:rsidR="000636C2">
        <w:rPr>
          <w:rFonts w:hint="cs"/>
          <w:rtl/>
        </w:rPr>
        <w:t xml:space="preserve"> </w:t>
      </w:r>
      <w:r w:rsidRPr="005675B2">
        <w:rPr>
          <w:rFonts w:hint="cs"/>
          <w:rtl/>
        </w:rPr>
        <w:t>سهى وسبحان من لا يسهو</w:t>
      </w:r>
      <w:r w:rsidR="000636C2">
        <w:rPr>
          <w:rFonts w:hint="cs"/>
          <w:rtl/>
        </w:rPr>
        <w:t>،</w:t>
      </w:r>
      <w:r w:rsidRPr="005675B2">
        <w:rPr>
          <w:rFonts w:hint="cs"/>
          <w:rtl/>
        </w:rPr>
        <w:t xml:space="preserve"> وقطعاً لا يمكن أن يقبل لأنه</w:t>
      </w:r>
      <w:r w:rsidR="000636C2">
        <w:rPr>
          <w:rFonts w:hint="cs"/>
          <w:rtl/>
        </w:rPr>
        <w:t xml:space="preserve"> </w:t>
      </w:r>
      <w:r w:rsidRPr="005675B2">
        <w:rPr>
          <w:rFonts w:hint="cs"/>
          <w:rtl/>
        </w:rPr>
        <w:t>مخالف للقطعيات في تنزيه الله فلابد من رده</w:t>
      </w:r>
      <w:r w:rsidR="000636C2">
        <w:rPr>
          <w:rFonts w:hint="cs"/>
          <w:rtl/>
        </w:rPr>
        <w:t>،</w:t>
      </w:r>
      <w:r w:rsidRPr="005675B2">
        <w:rPr>
          <w:rFonts w:hint="cs"/>
          <w:rtl/>
        </w:rPr>
        <w:t xml:space="preserve"> وقدرده العلماء لنكارة متنه</w:t>
      </w:r>
      <w:r w:rsidR="000636C2">
        <w:rPr>
          <w:rFonts w:hint="cs"/>
          <w:rtl/>
        </w:rPr>
        <w:t>،</w:t>
      </w:r>
      <w:r w:rsidRPr="005675B2">
        <w:rPr>
          <w:rFonts w:hint="cs"/>
          <w:rtl/>
        </w:rPr>
        <w:t xml:space="preserve"> ووهاء سنده</w:t>
      </w:r>
      <w:r w:rsidR="000636C2">
        <w:rPr>
          <w:rFonts w:hint="cs"/>
          <w:rtl/>
        </w:rPr>
        <w:t xml:space="preserve">، </w:t>
      </w:r>
      <w:r w:rsidRPr="005675B2">
        <w:rPr>
          <w:rFonts w:hint="cs"/>
          <w:rtl/>
        </w:rPr>
        <w:t>ثالثاً</w:t>
      </w:r>
      <w:r w:rsidR="000636C2">
        <w:rPr>
          <w:rFonts w:hint="cs"/>
          <w:rtl/>
        </w:rPr>
        <w:t>:</w:t>
      </w:r>
      <w:r w:rsidRPr="005675B2">
        <w:rPr>
          <w:rFonts w:hint="cs"/>
          <w:rtl/>
        </w:rPr>
        <w:t xml:space="preserve"> مثال للمتواتر وسأذكر</w:t>
      </w:r>
      <w:r w:rsidR="000636C2">
        <w:rPr>
          <w:rFonts w:hint="cs"/>
          <w:rtl/>
        </w:rPr>
        <w:t xml:space="preserve"> </w:t>
      </w:r>
      <w:r w:rsidRPr="005675B2">
        <w:rPr>
          <w:rFonts w:hint="cs"/>
          <w:rtl/>
        </w:rPr>
        <w:t>آيات في ذلك فضلا عن الأحاديث مثال ذلك(</w:t>
      </w:r>
      <w:r w:rsidR="000636C2">
        <w:rPr>
          <w:rFonts w:hint="cs"/>
          <w:rtl/>
        </w:rPr>
        <w:t>(</w:t>
      </w:r>
      <w:r w:rsidRPr="005675B2">
        <w:rPr>
          <w:rFonts w:hint="cs"/>
          <w:rtl/>
        </w:rPr>
        <w:t>ثم استوى على العرش يدبر الأمر</w:t>
      </w:r>
      <w:r w:rsidR="000636C2">
        <w:rPr>
          <w:rFonts w:hint="cs"/>
          <w:rtl/>
        </w:rPr>
        <w:t>)</w:t>
      </w:r>
      <w:r w:rsidRPr="005675B2">
        <w:rPr>
          <w:rFonts w:hint="cs"/>
          <w:rtl/>
        </w:rPr>
        <w:t>) فإن لله تعالى صفة الاستواء ثابتة في نصوص كثيرة وهنا عدة</w:t>
      </w:r>
      <w:r w:rsidR="000636C2">
        <w:rPr>
          <w:rFonts w:hint="cs"/>
          <w:rtl/>
        </w:rPr>
        <w:t xml:space="preserve"> </w:t>
      </w:r>
      <w:r w:rsidRPr="005675B2">
        <w:rPr>
          <w:rFonts w:hint="cs"/>
          <w:rtl/>
        </w:rPr>
        <w:t>احتمالات</w:t>
      </w:r>
      <w:r w:rsidR="000636C2">
        <w:rPr>
          <w:rFonts w:hint="cs"/>
          <w:rtl/>
        </w:rPr>
        <w:t>،</w:t>
      </w:r>
      <w:r w:rsidRPr="005675B2">
        <w:rPr>
          <w:rFonts w:hint="cs"/>
          <w:rtl/>
        </w:rPr>
        <w:t xml:space="preserve"> فإما</w:t>
      </w:r>
      <w:r w:rsidR="000636C2">
        <w:rPr>
          <w:rFonts w:hint="cs"/>
          <w:rtl/>
        </w:rPr>
        <w:t xml:space="preserve"> </w:t>
      </w:r>
      <w:r w:rsidRPr="005675B2">
        <w:rPr>
          <w:rFonts w:hint="cs"/>
          <w:rtl/>
        </w:rPr>
        <w:t>أن يكون معنى الاستواء هو الجلوس على العرش كما تقول المجسمة</w:t>
      </w:r>
      <w:r w:rsidR="000636C2">
        <w:rPr>
          <w:rFonts w:hint="cs"/>
          <w:rtl/>
        </w:rPr>
        <w:t>،</w:t>
      </w:r>
      <w:r w:rsidRPr="005675B2">
        <w:rPr>
          <w:rFonts w:hint="cs"/>
          <w:rtl/>
        </w:rPr>
        <w:t xml:space="preserve"> </w:t>
      </w:r>
      <w:r w:rsidRPr="005675B2">
        <w:rPr>
          <w:rFonts w:hint="cs"/>
          <w:u w:val="single"/>
          <w:rtl/>
        </w:rPr>
        <w:t>أو معنى آخر لائق بالله</w:t>
      </w:r>
      <w:r w:rsidR="000636C2">
        <w:rPr>
          <w:rFonts w:hint="cs"/>
          <w:u w:val="single"/>
          <w:rtl/>
        </w:rPr>
        <w:t>،</w:t>
      </w:r>
      <w:r w:rsidRPr="005675B2">
        <w:rPr>
          <w:rFonts w:hint="cs"/>
          <w:rtl/>
        </w:rPr>
        <w:t xml:space="preserve"> فأهل السنة من الأشاعرة وغيرهم يثبتون صفة الاستواء ويقطعون أنه ليس بمعنى الجلوس</w:t>
      </w:r>
      <w:r w:rsidR="000636C2">
        <w:rPr>
          <w:rFonts w:hint="cs"/>
          <w:rtl/>
        </w:rPr>
        <w:t>،</w:t>
      </w:r>
      <w:r w:rsidRPr="005675B2">
        <w:rPr>
          <w:rFonts w:hint="cs"/>
          <w:rtl/>
        </w:rPr>
        <w:t xml:space="preserve"> ثم بعد ذلك ينظرون في المعنى المراد ويعينونه أو يكتفون</w:t>
      </w:r>
      <w:r w:rsidR="000636C2">
        <w:rPr>
          <w:rFonts w:hint="cs"/>
          <w:rtl/>
        </w:rPr>
        <w:t xml:space="preserve"> </w:t>
      </w:r>
      <w:r w:rsidRPr="005675B2">
        <w:rPr>
          <w:rFonts w:hint="cs"/>
          <w:rtl/>
        </w:rPr>
        <w:t>بالتفويض</w:t>
      </w:r>
      <w:r w:rsidR="000636C2">
        <w:rPr>
          <w:rFonts w:hint="cs"/>
          <w:rtl/>
        </w:rPr>
        <w:t>،</w:t>
      </w:r>
      <w:r w:rsidRPr="005675B2">
        <w:rPr>
          <w:rFonts w:hint="cs"/>
          <w:rtl/>
        </w:rPr>
        <w:t>لكن بشرط اعتقاد أن معنى الجلوس ونحوه من النقائص غير مراد كما هو المسلك الآخر للأشاعرة وجمهور السلف</w:t>
      </w:r>
      <w:r w:rsidR="000636C2">
        <w:rPr>
          <w:rFonts w:hint="cs"/>
          <w:rtl/>
        </w:rPr>
        <w:t xml:space="preserve">، </w:t>
      </w:r>
      <w:r w:rsidRPr="005675B2">
        <w:rPr>
          <w:rFonts w:hint="cs"/>
          <w:rtl/>
        </w:rPr>
        <w:t>أما كلام الإمام الرازي فهذا هو كما قال رحمه الله</w:t>
      </w:r>
      <w:r w:rsidR="000636C2">
        <w:rPr>
          <w:rFonts w:hint="cs"/>
          <w:rtl/>
        </w:rPr>
        <w:t>:</w:t>
      </w:r>
      <w:r w:rsidRPr="005675B2">
        <w:rPr>
          <w:rFonts w:hint="cs"/>
          <w:rtl/>
        </w:rPr>
        <w:t xml:space="preserve"> قال الإمام الرازي</w:t>
      </w:r>
      <w:r w:rsidR="000636C2">
        <w:rPr>
          <w:rFonts w:hint="cs"/>
          <w:rtl/>
        </w:rPr>
        <w:t>:</w:t>
      </w:r>
      <w:r w:rsidRPr="005675B2">
        <w:rPr>
          <w:rFonts w:hint="cs"/>
          <w:rtl/>
        </w:rPr>
        <w:t>كلام كلي في أخبار الآحاد</w:t>
      </w:r>
      <w:r w:rsidR="000636C2">
        <w:rPr>
          <w:rFonts w:hint="cs"/>
          <w:rtl/>
        </w:rPr>
        <w:t>:</w:t>
      </w:r>
      <w:r w:rsidRPr="005675B2">
        <w:rPr>
          <w:rFonts w:hint="cs"/>
          <w:rtl/>
        </w:rPr>
        <w:t xml:space="preserve"> نقول</w:t>
      </w:r>
      <w:r w:rsidR="000636C2">
        <w:rPr>
          <w:rFonts w:hint="cs"/>
          <w:rtl/>
        </w:rPr>
        <w:t>:</w:t>
      </w:r>
      <w:r w:rsidRPr="005675B2">
        <w:rPr>
          <w:rFonts w:hint="cs"/>
          <w:rtl/>
        </w:rPr>
        <w:t xml:space="preserve"> أما التمسك بخبر الواحد في معرفة الله تعالى فغير جائز</w:t>
      </w:r>
      <w:r w:rsidR="000636C2">
        <w:rPr>
          <w:rFonts w:hint="cs"/>
          <w:rtl/>
        </w:rPr>
        <w:t>،</w:t>
      </w:r>
      <w:r w:rsidRPr="005675B2">
        <w:rPr>
          <w:rFonts w:hint="cs"/>
          <w:rtl/>
        </w:rPr>
        <w:t xml:space="preserve"> ويدل عليه وجوه</w:t>
      </w:r>
      <w:r w:rsidR="000636C2">
        <w:rPr>
          <w:rFonts w:hint="cs"/>
          <w:rtl/>
        </w:rPr>
        <w:t xml:space="preserve">: </w:t>
      </w:r>
      <w:r w:rsidRPr="005675B2">
        <w:rPr>
          <w:rFonts w:hint="cs"/>
          <w:u w:val="single"/>
          <w:rtl/>
        </w:rPr>
        <w:t>الأول</w:t>
      </w:r>
      <w:r w:rsidR="000636C2">
        <w:rPr>
          <w:rFonts w:hint="cs"/>
          <w:rtl/>
        </w:rPr>
        <w:t>:</w:t>
      </w:r>
      <w:r w:rsidRPr="005675B2">
        <w:rPr>
          <w:rFonts w:hint="cs"/>
          <w:rtl/>
        </w:rPr>
        <w:t xml:space="preserve"> أن أخبار الآحاد مظنونة</w:t>
      </w:r>
      <w:r w:rsidR="000636C2">
        <w:rPr>
          <w:rFonts w:hint="cs"/>
          <w:rtl/>
        </w:rPr>
        <w:t>،</w:t>
      </w:r>
      <w:r w:rsidRPr="005675B2">
        <w:rPr>
          <w:rFonts w:hint="cs"/>
          <w:rtl/>
        </w:rPr>
        <w:t xml:space="preserve"> فلا يجوز التمسك بها في معرفة الله تعالى وصفاته</w:t>
      </w:r>
      <w:r w:rsidR="000636C2">
        <w:rPr>
          <w:rFonts w:hint="cs"/>
          <w:rtl/>
        </w:rPr>
        <w:t>،</w:t>
      </w:r>
      <w:r w:rsidRPr="005675B2">
        <w:rPr>
          <w:rFonts w:hint="cs"/>
          <w:rtl/>
        </w:rPr>
        <w:t>وإنما قلنا</w:t>
      </w:r>
      <w:r w:rsidR="000636C2">
        <w:rPr>
          <w:rFonts w:hint="cs"/>
          <w:rtl/>
        </w:rPr>
        <w:t>:</w:t>
      </w:r>
      <w:r w:rsidRPr="005675B2">
        <w:rPr>
          <w:rFonts w:hint="cs"/>
          <w:rtl/>
        </w:rPr>
        <w:t>إنها مظنونة</w:t>
      </w:r>
      <w:r w:rsidR="000636C2">
        <w:rPr>
          <w:rFonts w:hint="cs"/>
          <w:rtl/>
        </w:rPr>
        <w:t>،</w:t>
      </w:r>
      <w:r w:rsidRPr="005675B2">
        <w:rPr>
          <w:rFonts w:hint="cs"/>
          <w:rtl/>
        </w:rPr>
        <w:t xml:space="preserve"> وذلك لأنا أجمعنا على أن الرواة ليسوا بمعصومين</w:t>
      </w:r>
      <w:r w:rsidR="000636C2">
        <w:rPr>
          <w:rFonts w:hint="cs"/>
          <w:rtl/>
        </w:rPr>
        <w:t>،</w:t>
      </w:r>
      <w:r w:rsidRPr="005675B2">
        <w:rPr>
          <w:rFonts w:hint="cs"/>
          <w:rtl/>
        </w:rPr>
        <w:t xml:space="preserve"> وكيف</w:t>
      </w:r>
      <w:r w:rsidR="000636C2">
        <w:rPr>
          <w:rFonts w:hint="cs"/>
          <w:rtl/>
        </w:rPr>
        <w:t>؟</w:t>
      </w:r>
      <w:r w:rsidRPr="005675B2">
        <w:rPr>
          <w:rFonts w:hint="cs"/>
          <w:rtl/>
        </w:rPr>
        <w:t xml:space="preserve"> "والروافض" لما اتفقوا على عصمة</w:t>
      </w:r>
      <w:r w:rsidR="000636C2">
        <w:rPr>
          <w:rFonts w:hint="cs"/>
          <w:rtl/>
        </w:rPr>
        <w:t xml:space="preserve"> </w:t>
      </w:r>
      <w:r w:rsidRPr="005675B2">
        <w:rPr>
          <w:rFonts w:hint="cs"/>
          <w:rtl/>
        </w:rPr>
        <w:t>» علي «</w:t>
      </w:r>
      <w:r w:rsidR="000636C2">
        <w:rPr>
          <w:rFonts w:hint="cs"/>
          <w:rtl/>
        </w:rPr>
        <w:t xml:space="preserve"> (</w:t>
      </w:r>
      <w:r w:rsidRPr="005675B2">
        <w:rPr>
          <w:rFonts w:hint="cs"/>
          <w:rtl/>
        </w:rPr>
        <w:t>رضي الله عنه</w:t>
      </w:r>
      <w:r w:rsidR="000636C2">
        <w:rPr>
          <w:rFonts w:hint="cs"/>
          <w:rtl/>
        </w:rPr>
        <w:t>)</w:t>
      </w:r>
      <w:r w:rsidRPr="005675B2">
        <w:rPr>
          <w:rFonts w:hint="cs"/>
          <w:rtl/>
        </w:rPr>
        <w:t xml:space="preserve"> وحده</w:t>
      </w:r>
      <w:r w:rsidR="000636C2">
        <w:rPr>
          <w:rFonts w:hint="cs"/>
          <w:rtl/>
        </w:rPr>
        <w:t>،</w:t>
      </w:r>
      <w:r w:rsidRPr="005675B2">
        <w:rPr>
          <w:rFonts w:hint="cs"/>
          <w:rtl/>
        </w:rPr>
        <w:t xml:space="preserve"> فإن</w:t>
      </w:r>
      <w:r w:rsidR="000636C2">
        <w:rPr>
          <w:rFonts w:hint="cs"/>
          <w:rtl/>
        </w:rPr>
        <w:t xml:space="preserve"> </w:t>
      </w:r>
      <w:r w:rsidRPr="005675B2">
        <w:rPr>
          <w:rFonts w:hint="cs"/>
          <w:rtl/>
        </w:rPr>
        <w:t>المحدثين كفروهم</w:t>
      </w:r>
      <w:r w:rsidR="000636C2">
        <w:rPr>
          <w:rFonts w:hint="cs"/>
          <w:rtl/>
        </w:rPr>
        <w:t>،</w:t>
      </w:r>
      <w:r w:rsidRPr="005675B2">
        <w:rPr>
          <w:rFonts w:hint="cs"/>
          <w:rtl/>
        </w:rPr>
        <w:t xml:space="preserve"> وإذا كان القول بعصمة</w:t>
      </w:r>
      <w:r w:rsidR="000636C2">
        <w:rPr>
          <w:rFonts w:hint="cs"/>
          <w:rtl/>
        </w:rPr>
        <w:t xml:space="preserve"> </w:t>
      </w:r>
      <w:r w:rsidRPr="005675B2">
        <w:rPr>
          <w:rFonts w:hint="cs"/>
          <w:rtl/>
        </w:rPr>
        <w:t>» علي « - كرم الله وجهه</w:t>
      </w:r>
      <w:r w:rsidR="000636C2">
        <w:rPr>
          <w:rFonts w:hint="cs"/>
          <w:rtl/>
        </w:rPr>
        <w:t xml:space="preserve"> </w:t>
      </w:r>
      <w:r w:rsidRPr="005675B2">
        <w:rPr>
          <w:rFonts w:hint="cs"/>
          <w:rtl/>
        </w:rPr>
        <w:t>- يوجب عليهم تكفير القائلين بعصمة</w:t>
      </w:r>
      <w:r w:rsidR="000636C2">
        <w:rPr>
          <w:rFonts w:hint="cs"/>
          <w:rtl/>
        </w:rPr>
        <w:t xml:space="preserve"> </w:t>
      </w:r>
      <w:r w:rsidRPr="005675B2">
        <w:rPr>
          <w:rFonts w:hint="cs"/>
          <w:rtl/>
        </w:rPr>
        <w:t>»علي «</w:t>
      </w:r>
      <w:r w:rsidR="000636C2">
        <w:rPr>
          <w:rFonts w:hint="cs"/>
          <w:rtl/>
        </w:rPr>
        <w:t xml:space="preserve"> </w:t>
      </w:r>
      <w:r w:rsidRPr="005675B2">
        <w:rPr>
          <w:rFonts w:hint="cs"/>
          <w:rtl/>
        </w:rPr>
        <w:t>فكيف يمكنهم القول بعصمة هؤلاء الرواة</w:t>
      </w:r>
      <w:r w:rsidR="000636C2">
        <w:rPr>
          <w:rFonts w:hint="cs"/>
          <w:rtl/>
        </w:rPr>
        <w:t>؟</w:t>
      </w:r>
      <w:r w:rsidRPr="005675B2">
        <w:rPr>
          <w:rFonts w:hint="cs"/>
          <w:rtl/>
        </w:rPr>
        <w:t xml:space="preserve"> وإذا لم يكونوا معصومين</w:t>
      </w:r>
      <w:r w:rsidR="000636C2">
        <w:rPr>
          <w:rFonts w:hint="cs"/>
          <w:rtl/>
        </w:rPr>
        <w:t>،</w:t>
      </w:r>
      <w:r w:rsidRPr="005675B2">
        <w:rPr>
          <w:rFonts w:hint="cs"/>
          <w:rtl/>
        </w:rPr>
        <w:t>كان الخطأ عليهم جائزاً</w:t>
      </w:r>
      <w:r w:rsidR="000636C2">
        <w:rPr>
          <w:rFonts w:hint="cs"/>
          <w:rtl/>
        </w:rPr>
        <w:t>،</w:t>
      </w:r>
      <w:r w:rsidRPr="005675B2">
        <w:rPr>
          <w:rFonts w:hint="cs"/>
          <w:rtl/>
        </w:rPr>
        <w:t xml:space="preserve"> والكذب عليهم جائزاً</w:t>
      </w:r>
      <w:r w:rsidR="000636C2">
        <w:rPr>
          <w:rFonts w:hint="cs"/>
          <w:rtl/>
        </w:rPr>
        <w:t>،</w:t>
      </w:r>
      <w:r w:rsidRPr="005675B2">
        <w:rPr>
          <w:rFonts w:hint="cs"/>
          <w:rtl/>
        </w:rPr>
        <w:t xml:space="preserve"> وحينئذ لا يكون صدقهم معلوماً</w:t>
      </w:r>
      <w:r w:rsidR="000636C2">
        <w:rPr>
          <w:rFonts w:hint="cs"/>
          <w:rtl/>
        </w:rPr>
        <w:t>،</w:t>
      </w:r>
      <w:r w:rsidRPr="005675B2">
        <w:rPr>
          <w:rFonts w:hint="cs"/>
          <w:rtl/>
        </w:rPr>
        <w:t xml:space="preserve"> بل مظنوناً</w:t>
      </w:r>
      <w:r w:rsidR="000636C2">
        <w:rPr>
          <w:rFonts w:hint="cs"/>
          <w:rtl/>
        </w:rPr>
        <w:t>،</w:t>
      </w:r>
      <w:r w:rsidRPr="005675B2">
        <w:rPr>
          <w:rFonts w:hint="cs"/>
          <w:rtl/>
        </w:rPr>
        <w:t xml:space="preserve"> فثبت أن خبر الواحد مظنون</w:t>
      </w:r>
      <w:r w:rsidR="000636C2">
        <w:rPr>
          <w:rFonts w:hint="cs"/>
          <w:rtl/>
        </w:rPr>
        <w:t>،</w:t>
      </w:r>
      <w:r w:rsidRPr="005675B2">
        <w:rPr>
          <w:rFonts w:hint="cs"/>
          <w:rtl/>
        </w:rPr>
        <w:t xml:space="preserve"> فوجب أن لا يجوز التمسك به لقوله تعالى</w:t>
      </w:r>
      <w:r w:rsidR="000636C2">
        <w:rPr>
          <w:rFonts w:hint="cs"/>
          <w:rtl/>
        </w:rPr>
        <w:t>:</w:t>
      </w:r>
      <w:r w:rsidRPr="005675B2">
        <w:rPr>
          <w:rFonts w:hint="cs"/>
          <w:rtl/>
        </w:rPr>
        <w:t xml:space="preserve"> </w:t>
      </w:r>
      <w:r w:rsidR="000636C2">
        <w:rPr>
          <w:rFonts w:hint="cs"/>
          <w:rtl/>
        </w:rPr>
        <w:t>{</w:t>
      </w:r>
      <w:r w:rsidRPr="005675B2">
        <w:rPr>
          <w:rFonts w:hint="cs"/>
          <w:rtl/>
        </w:rPr>
        <w:t>إن الظن لا يغني عن الحق شيئاً</w:t>
      </w:r>
      <w:r w:rsidR="000636C2">
        <w:rPr>
          <w:rFonts w:hint="cs"/>
          <w:rtl/>
        </w:rPr>
        <w:t>}</w:t>
      </w:r>
      <w:r w:rsidRPr="005675B2">
        <w:rPr>
          <w:rFonts w:hint="cs"/>
          <w:rtl/>
        </w:rPr>
        <w:t xml:space="preserve"> ولقوله تعالى في صفة الكفار</w:t>
      </w:r>
      <w:r w:rsidR="000636C2">
        <w:rPr>
          <w:rFonts w:hint="cs"/>
          <w:rtl/>
        </w:rPr>
        <w:t>:</w:t>
      </w:r>
      <w:r w:rsidRPr="005675B2">
        <w:rPr>
          <w:rFonts w:hint="cs"/>
          <w:rtl/>
        </w:rPr>
        <w:t xml:space="preserve"> </w:t>
      </w:r>
      <w:r w:rsidR="000636C2">
        <w:rPr>
          <w:rFonts w:hint="cs"/>
          <w:rtl/>
        </w:rPr>
        <w:t>{</w:t>
      </w:r>
      <w:r w:rsidRPr="005675B2">
        <w:rPr>
          <w:rFonts w:hint="cs"/>
          <w:rtl/>
        </w:rPr>
        <w:t>إن يتبعون إلا الظن}</w:t>
      </w:r>
      <w:r w:rsidR="000636C2">
        <w:rPr>
          <w:rFonts w:hint="cs"/>
          <w:rtl/>
        </w:rPr>
        <w:t xml:space="preserve"> </w:t>
      </w:r>
      <w:r w:rsidRPr="005675B2">
        <w:rPr>
          <w:rFonts w:hint="cs"/>
          <w:rtl/>
        </w:rPr>
        <w:t>ولقوله {ولا تقف ما ليس لك به علم} ولقوله</w:t>
      </w:r>
      <w:r w:rsidR="000636C2">
        <w:rPr>
          <w:rFonts w:hint="cs"/>
          <w:rtl/>
        </w:rPr>
        <w:t>:</w:t>
      </w:r>
      <w:r w:rsidRPr="005675B2">
        <w:rPr>
          <w:rFonts w:hint="cs"/>
          <w:rtl/>
        </w:rPr>
        <w:t xml:space="preserve"> </w:t>
      </w:r>
      <w:r w:rsidR="000636C2">
        <w:rPr>
          <w:rFonts w:hint="cs"/>
          <w:rtl/>
        </w:rPr>
        <w:t>{</w:t>
      </w:r>
      <w:r w:rsidRPr="005675B2">
        <w:rPr>
          <w:rFonts w:hint="cs"/>
          <w:rtl/>
        </w:rPr>
        <w:t>وأن تقولوا على الله ما لا تعلمون</w:t>
      </w:r>
      <w:r w:rsidR="000636C2">
        <w:rPr>
          <w:rFonts w:hint="cs"/>
          <w:vertAlign w:val="superscript"/>
          <w:rtl/>
        </w:rPr>
        <w:t>}</w:t>
      </w:r>
      <w:r w:rsidRPr="005675B2">
        <w:rPr>
          <w:rFonts w:hint="cs"/>
          <w:rtl/>
        </w:rPr>
        <w:t xml:space="preserve"> أما العمل في فروع الشريعة -فالمطلوب فيها الظن</w:t>
      </w:r>
      <w:r w:rsidR="000636C2">
        <w:rPr>
          <w:rFonts w:hint="cs"/>
          <w:rtl/>
        </w:rPr>
        <w:t xml:space="preserve"> </w:t>
      </w:r>
      <w:r w:rsidRPr="005675B2">
        <w:rPr>
          <w:rFonts w:hint="cs"/>
          <w:rtl/>
        </w:rPr>
        <w:t>- فوجب أن يبقى في مسائل الأصول - أي العقيدة -</w:t>
      </w:r>
      <w:r w:rsidR="000636C2">
        <w:rPr>
          <w:rFonts w:hint="cs"/>
          <w:rtl/>
        </w:rPr>
        <w:t xml:space="preserve"> </w:t>
      </w:r>
      <w:r w:rsidRPr="005675B2">
        <w:rPr>
          <w:rFonts w:hint="cs"/>
          <w:rtl/>
        </w:rPr>
        <w:t>على هذا الأصل</w:t>
      </w:r>
      <w:r w:rsidR="000636C2">
        <w:rPr>
          <w:rFonts w:hint="cs"/>
          <w:rtl/>
        </w:rPr>
        <w:t xml:space="preserve">، </w:t>
      </w:r>
      <w:r w:rsidRPr="005675B2">
        <w:rPr>
          <w:rFonts w:hint="cs"/>
          <w:rtl/>
        </w:rPr>
        <w:t>والعجب من الحشوية</w:t>
      </w:r>
      <w:r w:rsidR="000636C2">
        <w:rPr>
          <w:rFonts w:hint="cs"/>
          <w:rtl/>
        </w:rPr>
        <w:t xml:space="preserve"> </w:t>
      </w:r>
      <w:r w:rsidRPr="005675B2">
        <w:rPr>
          <w:rFonts w:hint="cs"/>
          <w:rtl/>
        </w:rPr>
        <w:t>أنهم يقولون</w:t>
      </w:r>
      <w:r w:rsidR="000636C2">
        <w:rPr>
          <w:rFonts w:hint="cs"/>
          <w:rtl/>
        </w:rPr>
        <w:t>:</w:t>
      </w:r>
      <w:r w:rsidRPr="005675B2">
        <w:rPr>
          <w:rFonts w:hint="cs"/>
          <w:rtl/>
        </w:rPr>
        <w:t xml:space="preserve"> الاشتغال بتأويل الآيات المتشابهة</w:t>
      </w:r>
      <w:r w:rsidR="000636C2">
        <w:rPr>
          <w:rFonts w:hint="cs"/>
          <w:rtl/>
        </w:rPr>
        <w:t xml:space="preserve"> </w:t>
      </w:r>
      <w:r w:rsidRPr="005675B2">
        <w:rPr>
          <w:rFonts w:hint="cs"/>
          <w:rtl/>
        </w:rPr>
        <w:t>غير جائز</w:t>
      </w:r>
      <w:r w:rsidR="000636C2">
        <w:rPr>
          <w:rFonts w:hint="cs"/>
          <w:rtl/>
        </w:rPr>
        <w:t>،</w:t>
      </w:r>
      <w:r w:rsidRPr="005675B2">
        <w:rPr>
          <w:rFonts w:hint="cs"/>
          <w:rtl/>
        </w:rPr>
        <w:t xml:space="preserve"> لأن تعيين ذلك التأويل مظنون</w:t>
      </w:r>
      <w:r w:rsidR="000636C2">
        <w:rPr>
          <w:rFonts w:hint="cs"/>
          <w:rtl/>
        </w:rPr>
        <w:t>،</w:t>
      </w:r>
      <w:r w:rsidRPr="005675B2">
        <w:rPr>
          <w:rFonts w:hint="cs"/>
          <w:rtl/>
        </w:rPr>
        <w:t xml:space="preserve"> والقول بالظن في القرآن </w:t>
      </w:r>
      <w:r w:rsidR="000636C2">
        <w:rPr>
          <w:rFonts w:hint="cs"/>
          <w:rtl/>
        </w:rPr>
        <w:t>(</w:t>
      </w:r>
      <w:r w:rsidRPr="005675B2">
        <w:rPr>
          <w:rFonts w:hint="cs"/>
          <w:rtl/>
        </w:rPr>
        <w:t>لا يجوز</w:t>
      </w:r>
      <w:r w:rsidR="000636C2">
        <w:rPr>
          <w:rFonts w:hint="cs"/>
          <w:rtl/>
        </w:rPr>
        <w:t>)</w:t>
      </w:r>
      <w:r w:rsidRPr="005675B2">
        <w:rPr>
          <w:rFonts w:hint="cs"/>
          <w:rtl/>
        </w:rPr>
        <w:t xml:space="preserve"> ثم إنهم يتكلمون في ذات الله تعالى وصفاته بأخبار الآحاد</w:t>
      </w:r>
      <w:r w:rsidR="000636C2">
        <w:rPr>
          <w:rFonts w:hint="cs"/>
          <w:rtl/>
        </w:rPr>
        <w:t>،</w:t>
      </w:r>
      <w:r w:rsidRPr="005675B2">
        <w:rPr>
          <w:rFonts w:hint="cs"/>
          <w:rtl/>
        </w:rPr>
        <w:t xml:space="preserve"> مع أنها في غاية البعد عن القطع واليقين</w:t>
      </w:r>
      <w:r w:rsidR="000636C2">
        <w:rPr>
          <w:rFonts w:hint="cs"/>
          <w:rtl/>
        </w:rPr>
        <w:t>،</w:t>
      </w:r>
      <w:r w:rsidRPr="005675B2">
        <w:rPr>
          <w:rFonts w:hint="cs"/>
          <w:rtl/>
        </w:rPr>
        <w:t xml:space="preserve"> وإذا لم يجوزوا تفسير ألفاظ القرآن بالطريق المظنون</w:t>
      </w:r>
      <w:r w:rsidR="000636C2">
        <w:rPr>
          <w:rFonts w:hint="cs"/>
          <w:rtl/>
        </w:rPr>
        <w:t>،</w:t>
      </w:r>
      <w:r w:rsidRPr="005675B2">
        <w:rPr>
          <w:rFonts w:hint="cs"/>
          <w:rtl/>
        </w:rPr>
        <w:t xml:space="preserve"> </w:t>
      </w:r>
      <w:r w:rsidRPr="005675B2">
        <w:rPr>
          <w:rFonts w:hint="cs"/>
          <w:u w:val="single"/>
          <w:rtl/>
        </w:rPr>
        <w:t>فلأن يمتنعوا عن الكلام في ذات الحق تعالى</w:t>
      </w:r>
      <w:r w:rsidR="000636C2">
        <w:rPr>
          <w:rFonts w:hint="cs"/>
          <w:u w:val="single"/>
          <w:rtl/>
        </w:rPr>
        <w:t>،</w:t>
      </w:r>
      <w:r w:rsidRPr="005675B2">
        <w:rPr>
          <w:rFonts w:hint="cs"/>
          <w:u w:val="single"/>
          <w:rtl/>
        </w:rPr>
        <w:t xml:space="preserve"> وفي صفاته</w:t>
      </w:r>
      <w:r w:rsidR="000636C2">
        <w:rPr>
          <w:rFonts w:hint="cs"/>
          <w:u w:val="single"/>
          <w:rtl/>
        </w:rPr>
        <w:t>،</w:t>
      </w:r>
      <w:r w:rsidRPr="005675B2">
        <w:rPr>
          <w:rFonts w:hint="cs"/>
          <w:u w:val="single"/>
          <w:rtl/>
        </w:rPr>
        <w:t xml:space="preserve"> بمجرد الروايات الضعيفة أولى</w:t>
      </w:r>
      <w:r w:rsidR="000636C2">
        <w:rPr>
          <w:rFonts w:hint="cs"/>
          <w:u w:val="single"/>
          <w:rtl/>
        </w:rPr>
        <w:t xml:space="preserve">، </w:t>
      </w:r>
    </w:p>
    <w:p w14:paraId="333156CA" w14:textId="30F4D476" w:rsidR="009C32A0" w:rsidRPr="005675B2" w:rsidRDefault="009C32A0" w:rsidP="000636C2">
      <w:pPr>
        <w:rPr>
          <w:b/>
          <w:u w:val="single"/>
          <w:rtl/>
        </w:rPr>
      </w:pPr>
      <w:r w:rsidRPr="005675B2">
        <w:rPr>
          <w:rFonts w:hint="cs"/>
          <w:u w:val="single"/>
          <w:rtl/>
        </w:rPr>
        <w:t>الثاني</w:t>
      </w:r>
      <w:r w:rsidR="000636C2">
        <w:rPr>
          <w:rFonts w:hint="cs"/>
          <w:rtl/>
        </w:rPr>
        <w:t>:</w:t>
      </w:r>
      <w:r w:rsidRPr="005675B2">
        <w:rPr>
          <w:rFonts w:hint="cs"/>
          <w:rtl/>
        </w:rPr>
        <w:t xml:space="preserve"> إن أجل طبقات الرواة قدراً</w:t>
      </w:r>
      <w:r w:rsidR="000636C2">
        <w:rPr>
          <w:rFonts w:hint="cs"/>
          <w:rtl/>
        </w:rPr>
        <w:t>،</w:t>
      </w:r>
      <w:r w:rsidRPr="005675B2">
        <w:rPr>
          <w:rFonts w:hint="cs"/>
          <w:rtl/>
        </w:rPr>
        <w:t xml:space="preserve"> وأعلاهم منصباً</w:t>
      </w:r>
      <w:r w:rsidR="000636C2">
        <w:rPr>
          <w:rFonts w:hint="cs"/>
          <w:rtl/>
        </w:rPr>
        <w:t>:</w:t>
      </w:r>
      <w:r w:rsidRPr="005675B2">
        <w:rPr>
          <w:rFonts w:hint="cs"/>
          <w:rtl/>
        </w:rPr>
        <w:t xml:space="preserve"> الصحابة</w:t>
      </w:r>
      <w:r w:rsidR="000636C2">
        <w:rPr>
          <w:rFonts w:hint="cs"/>
          <w:rtl/>
        </w:rPr>
        <w:t xml:space="preserve"> </w:t>
      </w:r>
      <w:r w:rsidRPr="005675B2">
        <w:rPr>
          <w:rFonts w:hint="cs"/>
          <w:rtl/>
        </w:rPr>
        <w:t>- رضي الله عنهم</w:t>
      </w:r>
      <w:r w:rsidR="000636C2">
        <w:rPr>
          <w:rFonts w:hint="cs"/>
          <w:rtl/>
        </w:rPr>
        <w:t xml:space="preserve"> </w:t>
      </w:r>
      <w:r w:rsidRPr="005675B2">
        <w:rPr>
          <w:rFonts w:hint="cs"/>
          <w:rtl/>
        </w:rPr>
        <w:t>- ثم إنا نعلم</w:t>
      </w:r>
      <w:r w:rsidR="000636C2">
        <w:rPr>
          <w:rFonts w:hint="cs"/>
          <w:rtl/>
        </w:rPr>
        <w:t>،</w:t>
      </w:r>
      <w:r w:rsidRPr="005675B2">
        <w:rPr>
          <w:rFonts w:hint="cs"/>
          <w:rtl/>
        </w:rPr>
        <w:t xml:space="preserve"> أن رواياتهم لا تفيد القطع والدليل عليه</w:t>
      </w:r>
      <w:r w:rsidR="000636C2">
        <w:rPr>
          <w:rFonts w:hint="cs"/>
          <w:rtl/>
        </w:rPr>
        <w:t>:</w:t>
      </w:r>
      <w:r w:rsidRPr="005675B2">
        <w:rPr>
          <w:rFonts w:hint="cs"/>
          <w:rtl/>
        </w:rPr>
        <w:t xml:space="preserve"> أن هؤلاء المحدثين رووا عنهم</w:t>
      </w:r>
      <w:r w:rsidR="000636C2">
        <w:rPr>
          <w:rFonts w:hint="cs"/>
          <w:rtl/>
        </w:rPr>
        <w:t>:</w:t>
      </w:r>
      <w:r w:rsidRPr="005675B2">
        <w:rPr>
          <w:rFonts w:hint="cs"/>
          <w:rtl/>
        </w:rPr>
        <w:t xml:space="preserve"> أن كل واحد منهم طعن في الآخر</w:t>
      </w:r>
      <w:r w:rsidR="000636C2">
        <w:rPr>
          <w:rFonts w:hint="cs"/>
          <w:rtl/>
        </w:rPr>
        <w:t>،</w:t>
      </w:r>
      <w:r w:rsidRPr="005675B2">
        <w:rPr>
          <w:rFonts w:hint="cs"/>
          <w:rtl/>
        </w:rPr>
        <w:t xml:space="preserve"> ونسبه إلى ما لا ينبغي</w:t>
      </w:r>
      <w:r w:rsidR="000636C2">
        <w:rPr>
          <w:rFonts w:hint="cs"/>
          <w:rtl/>
        </w:rPr>
        <w:t>،</w:t>
      </w:r>
      <w:r w:rsidRPr="005675B2">
        <w:rPr>
          <w:rFonts w:hint="cs"/>
          <w:rtl/>
        </w:rPr>
        <w:t xml:space="preserve"> </w:t>
      </w:r>
      <w:r w:rsidRPr="005675B2">
        <w:rPr>
          <w:rFonts w:hint="cs"/>
          <w:u w:val="single"/>
          <w:rtl/>
        </w:rPr>
        <w:t>ثم ساق وقائع من حال بعض الصحابة تؤيد قول أهل السنة في</w:t>
      </w:r>
      <w:r w:rsidR="000636C2">
        <w:rPr>
          <w:rFonts w:hint="cs"/>
          <w:u w:val="single"/>
          <w:rtl/>
        </w:rPr>
        <w:t xml:space="preserve"> </w:t>
      </w:r>
      <w:r w:rsidRPr="005675B2">
        <w:rPr>
          <w:rFonts w:hint="cs"/>
          <w:u w:val="single"/>
          <w:rtl/>
        </w:rPr>
        <w:t>أن الصحابة غير معصومين إلى أن قال</w:t>
      </w:r>
      <w:r w:rsidR="000636C2">
        <w:rPr>
          <w:rFonts w:hint="cs"/>
          <w:u w:val="single"/>
          <w:rtl/>
        </w:rPr>
        <w:t>:</w:t>
      </w:r>
      <w:r w:rsidR="000636C2">
        <w:rPr>
          <w:rFonts w:hint="cs"/>
          <w:rtl/>
        </w:rPr>
        <w:t xml:space="preserve"> </w:t>
      </w:r>
      <w:r w:rsidRPr="005675B2">
        <w:rPr>
          <w:rFonts w:hint="cs"/>
          <w:rtl/>
        </w:rPr>
        <w:t>أما الكلام في ذات الله وصفاته</w:t>
      </w:r>
      <w:r w:rsidR="000636C2">
        <w:rPr>
          <w:rFonts w:hint="cs"/>
          <w:rtl/>
        </w:rPr>
        <w:t>،</w:t>
      </w:r>
      <w:r w:rsidRPr="005675B2">
        <w:rPr>
          <w:rFonts w:hint="cs"/>
          <w:rtl/>
        </w:rPr>
        <w:t xml:space="preserve"> فكيف يمكن بناؤه على </w:t>
      </w:r>
      <w:r w:rsidR="000636C2">
        <w:rPr>
          <w:rFonts w:hint="cs"/>
          <w:rtl/>
        </w:rPr>
        <w:t>(</w:t>
      </w:r>
      <w:r w:rsidRPr="005675B2">
        <w:rPr>
          <w:rFonts w:hint="cs"/>
          <w:rtl/>
        </w:rPr>
        <w:t>هذه</w:t>
      </w:r>
      <w:r w:rsidR="000636C2">
        <w:rPr>
          <w:rFonts w:hint="cs"/>
          <w:rtl/>
        </w:rPr>
        <w:t>)</w:t>
      </w:r>
      <w:r w:rsidRPr="005675B2">
        <w:rPr>
          <w:rFonts w:hint="cs"/>
          <w:rtl/>
        </w:rPr>
        <w:t xml:space="preserve"> الروايات الضعيفة</w:t>
      </w:r>
      <w:r w:rsidR="000636C2">
        <w:rPr>
          <w:rFonts w:hint="cs"/>
          <w:rtl/>
        </w:rPr>
        <w:t>؟</w:t>
      </w:r>
      <w:r w:rsidRPr="005675B2">
        <w:rPr>
          <w:rFonts w:hint="cs"/>
          <w:rtl/>
        </w:rPr>
        <w:t xml:space="preserve"> [</w:t>
      </w:r>
      <w:r w:rsidRPr="005675B2">
        <w:rPr>
          <w:rFonts w:hint="cs"/>
          <w:bCs/>
          <w:sz w:val="24"/>
          <w:szCs w:val="24"/>
          <w:rtl/>
        </w:rPr>
        <w:t>أساس التقديس 189</w:t>
      </w:r>
      <w:r w:rsidRPr="005675B2">
        <w:rPr>
          <w:rFonts w:hint="cs"/>
          <w:rtl/>
        </w:rPr>
        <w:t>]</w:t>
      </w:r>
      <w:r w:rsidR="000636C2">
        <w:rPr>
          <w:rFonts w:hint="cs"/>
          <w:rtl/>
        </w:rPr>
        <w:t>،</w:t>
      </w:r>
      <w:r w:rsidRPr="005675B2">
        <w:rPr>
          <w:rFonts w:hint="cs"/>
          <w:rtl/>
        </w:rPr>
        <w:t xml:space="preserve"> وهو نفس كلام ابن تيمية في المعنى إذ قال ابن تيمية</w:t>
      </w:r>
      <w:r w:rsidR="000636C2">
        <w:rPr>
          <w:rFonts w:hint="cs"/>
          <w:rtl/>
        </w:rPr>
        <w:t>:</w:t>
      </w:r>
      <w:r w:rsidRPr="005675B2">
        <w:rPr>
          <w:rFonts w:hint="cs"/>
          <w:rtl/>
        </w:rPr>
        <w:t xml:space="preserve"> </w:t>
      </w:r>
      <w:r w:rsidR="000636C2">
        <w:rPr>
          <w:rFonts w:hint="cs"/>
          <w:rtl/>
        </w:rPr>
        <w:t>[</w:t>
      </w:r>
      <w:r w:rsidRPr="005675B2">
        <w:rPr>
          <w:rFonts w:hint="cs"/>
          <w:rtl/>
        </w:rPr>
        <w:t>والكذب كان قليلاً في السلف</w:t>
      </w:r>
      <w:r w:rsidR="000636C2">
        <w:rPr>
          <w:rFonts w:hint="cs"/>
          <w:rtl/>
        </w:rPr>
        <w:t>،</w:t>
      </w:r>
      <w:r w:rsidRPr="005675B2">
        <w:rPr>
          <w:rFonts w:hint="cs"/>
          <w:rtl/>
        </w:rPr>
        <w:t xml:space="preserve"> أما الصحابة فلم يعرف فيهم</w:t>
      </w:r>
      <w:r w:rsidR="000636C2">
        <w:rPr>
          <w:rFonts w:hint="cs"/>
          <w:rtl/>
        </w:rPr>
        <w:t xml:space="preserve"> </w:t>
      </w:r>
      <w:r w:rsidRPr="005675B2">
        <w:rPr>
          <w:rFonts w:hint="cs"/>
          <w:rtl/>
        </w:rPr>
        <w:t>- ولله الحمد -</w:t>
      </w:r>
      <w:r w:rsidR="000636C2">
        <w:rPr>
          <w:rFonts w:hint="cs"/>
          <w:rtl/>
        </w:rPr>
        <w:t xml:space="preserve"> </w:t>
      </w:r>
      <w:r w:rsidRPr="005675B2">
        <w:rPr>
          <w:rFonts w:hint="cs"/>
          <w:rtl/>
        </w:rPr>
        <w:t>من تعمد الكذب على النبي صلى الله عليه وسلم ..</w:t>
      </w:r>
      <w:r w:rsidR="000636C2">
        <w:rPr>
          <w:rFonts w:hint="cs"/>
          <w:rtl/>
        </w:rPr>
        <w:t>،</w:t>
      </w:r>
      <w:r w:rsidRPr="005675B2">
        <w:rPr>
          <w:rFonts w:hint="cs"/>
          <w:rtl/>
        </w:rPr>
        <w:t xml:space="preserve"> وأما الغلط فلا يسلم منه أكثر الناس</w:t>
      </w:r>
      <w:r w:rsidR="000636C2">
        <w:rPr>
          <w:rFonts w:hint="cs"/>
          <w:rtl/>
        </w:rPr>
        <w:t>،</w:t>
      </w:r>
      <w:r w:rsidRPr="005675B2">
        <w:rPr>
          <w:rFonts w:hint="cs"/>
          <w:rtl/>
        </w:rPr>
        <w:t xml:space="preserve"> بل في الصحابة من قد يغلط أحياناً وفيمن بعدهم</w:t>
      </w:r>
      <w:r w:rsidR="000636C2">
        <w:rPr>
          <w:rFonts w:hint="cs"/>
          <w:rtl/>
        </w:rPr>
        <w:t>،</w:t>
      </w:r>
      <w:r w:rsidRPr="005675B2">
        <w:rPr>
          <w:rFonts w:hint="cs"/>
          <w:rtl/>
        </w:rPr>
        <w:t xml:space="preserve"> ولهذا كان فيما صُنف في الصحيح أحاديث يُعلم أنها غلط وإن كان جمهور متون الصحيحين مما يُعلم أنه حق</w:t>
      </w:r>
      <w:r w:rsidR="000636C2">
        <w:rPr>
          <w:rFonts w:hint="cs"/>
          <w:rtl/>
        </w:rPr>
        <w:t xml:space="preserve">] </w:t>
      </w:r>
      <w:r w:rsidRPr="005675B2">
        <w:rPr>
          <w:rFonts w:hint="cs"/>
          <w:rtl/>
        </w:rPr>
        <w:t>[</w:t>
      </w:r>
      <w:r w:rsidRPr="005675B2">
        <w:rPr>
          <w:rFonts w:hint="cs"/>
          <w:bCs/>
          <w:sz w:val="24"/>
          <w:szCs w:val="24"/>
          <w:rtl/>
        </w:rPr>
        <w:t xml:space="preserve">مجموع فتاوى ابن تيمية: 1/249 </w:t>
      </w:r>
      <w:r w:rsidRPr="005675B2">
        <w:rPr>
          <w:bCs/>
          <w:sz w:val="24"/>
          <w:szCs w:val="24"/>
        </w:rPr>
        <w:t>–</w:t>
      </w:r>
      <w:r w:rsidRPr="005675B2">
        <w:rPr>
          <w:rFonts w:hint="cs"/>
          <w:bCs/>
          <w:sz w:val="24"/>
          <w:szCs w:val="24"/>
          <w:rtl/>
        </w:rPr>
        <w:t xml:space="preserve"> 250 ورد الشيخ صلاح الدين الأردبلي وفقه الله]</w:t>
      </w:r>
      <w:r w:rsidR="000636C2">
        <w:rPr>
          <w:rFonts w:hint="cs"/>
          <w:rtl/>
        </w:rPr>
        <w:t>،</w:t>
      </w:r>
      <w:r w:rsidRPr="005675B2">
        <w:rPr>
          <w:rFonts w:hint="cs"/>
          <w:rtl/>
        </w:rPr>
        <w:t xml:space="preserve"> وتأمل قوله </w:t>
      </w:r>
      <w:r w:rsidR="000636C2">
        <w:rPr>
          <w:rFonts w:hint="cs"/>
          <w:rtl/>
        </w:rPr>
        <w:t>[</w:t>
      </w:r>
      <w:r w:rsidRPr="005675B2">
        <w:rPr>
          <w:rFonts w:hint="cs"/>
          <w:rtl/>
        </w:rPr>
        <w:t>جمهور متون الصحيحين</w:t>
      </w:r>
      <w:r w:rsidR="000636C2">
        <w:rPr>
          <w:rFonts w:hint="cs"/>
          <w:rtl/>
        </w:rPr>
        <w:t>]،</w:t>
      </w:r>
      <w:r w:rsidRPr="005675B2">
        <w:rPr>
          <w:rFonts w:hint="cs"/>
          <w:rtl/>
        </w:rPr>
        <w:t xml:space="preserve"> أما قولك</w:t>
      </w:r>
      <w:r w:rsidR="000636C2">
        <w:rPr>
          <w:rFonts w:hint="cs"/>
          <w:rtl/>
        </w:rPr>
        <w:t xml:space="preserve"> </w:t>
      </w:r>
      <w:r w:rsidRPr="005675B2">
        <w:rPr>
          <w:rFonts w:hint="cs"/>
          <w:rtl/>
        </w:rPr>
        <w:t>عن</w:t>
      </w:r>
      <w:r w:rsidR="000636C2">
        <w:rPr>
          <w:rFonts w:hint="cs"/>
          <w:rtl/>
        </w:rPr>
        <w:t xml:space="preserve"> </w:t>
      </w:r>
      <w:r w:rsidRPr="005675B2">
        <w:rPr>
          <w:rFonts w:hint="cs"/>
          <w:rtl/>
        </w:rPr>
        <w:t>الرازي أنه قال</w:t>
      </w:r>
      <w:r w:rsidR="000636C2">
        <w:rPr>
          <w:rFonts w:hint="cs"/>
          <w:rtl/>
        </w:rPr>
        <w:t>:</w:t>
      </w:r>
      <w:r w:rsidRPr="005675B2">
        <w:rPr>
          <w:rFonts w:hint="cs"/>
          <w:rtl/>
        </w:rPr>
        <w:t xml:space="preserve"> </w:t>
      </w:r>
      <w:r w:rsidR="000636C2">
        <w:rPr>
          <w:rFonts w:hint="cs"/>
          <w:rtl/>
        </w:rPr>
        <w:t>(</w:t>
      </w:r>
      <w:r w:rsidRPr="005675B2">
        <w:rPr>
          <w:rFonts w:hint="cs"/>
          <w:rtl/>
        </w:rPr>
        <w:t>وأنه في الصحيحين أحاديث وضعها الزنادقة</w:t>
      </w:r>
      <w:r w:rsidR="000636C2">
        <w:rPr>
          <w:rFonts w:hint="cs"/>
          <w:rtl/>
        </w:rPr>
        <w:t>)</w:t>
      </w:r>
      <w:r w:rsidRPr="005675B2">
        <w:rPr>
          <w:rFonts w:hint="cs"/>
          <w:rtl/>
        </w:rPr>
        <w:t xml:space="preserve">… </w:t>
      </w:r>
      <w:r w:rsidRPr="005675B2">
        <w:rPr>
          <w:rFonts w:hint="cs"/>
          <w:u w:val="single"/>
          <w:rtl/>
        </w:rPr>
        <w:t>إلى آخر</w:t>
      </w:r>
      <w:r w:rsidRPr="005675B2">
        <w:rPr>
          <w:rFonts w:hint="cs"/>
          <w:u w:val="single"/>
        </w:rPr>
        <w:t xml:space="preserve"> </w:t>
      </w:r>
      <w:r w:rsidRPr="005675B2">
        <w:rPr>
          <w:rFonts w:hint="cs"/>
          <w:u w:val="single"/>
          <w:rtl/>
        </w:rPr>
        <w:t>ما لا أستجيز نقله لغير المختصين</w:t>
      </w:r>
      <w:r w:rsidR="000636C2">
        <w:rPr>
          <w:rFonts w:hint="cs"/>
          <w:u w:val="single"/>
          <w:rtl/>
        </w:rPr>
        <w:t>)</w:t>
      </w:r>
    </w:p>
    <w:p w14:paraId="06DB5369" w14:textId="2A70A1D7"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لا تنقله أنت أنا سأنقله ليعلم الجميع أن</w:t>
      </w:r>
      <w:r>
        <w:rPr>
          <w:rFonts w:hint="cs"/>
          <w:rtl/>
        </w:rPr>
        <w:t xml:space="preserve"> </w:t>
      </w:r>
      <w:r w:rsidR="009C32A0" w:rsidRPr="005675B2">
        <w:rPr>
          <w:rFonts w:hint="cs"/>
          <w:rtl/>
        </w:rPr>
        <w:t>الظلم لا يدوم فهاكم كلام الرازي كما هو</w:t>
      </w:r>
      <w:r>
        <w:rPr>
          <w:rFonts w:hint="cs"/>
          <w:rtl/>
        </w:rPr>
        <w:t xml:space="preserve"> </w:t>
      </w:r>
      <w:r w:rsidR="009C32A0" w:rsidRPr="005675B2">
        <w:rPr>
          <w:rFonts w:hint="cs"/>
          <w:rtl/>
        </w:rPr>
        <w:t>قال</w:t>
      </w:r>
      <w:r>
        <w:rPr>
          <w:rFonts w:hint="cs"/>
          <w:rtl/>
        </w:rPr>
        <w:t xml:space="preserve"> </w:t>
      </w:r>
      <w:r w:rsidR="009C32A0" w:rsidRPr="005675B2">
        <w:rPr>
          <w:rFonts w:hint="cs"/>
          <w:rtl/>
        </w:rPr>
        <w:t>الإمام الرازي عن الإمامين البخاري ومسلم</w:t>
      </w:r>
      <w:r>
        <w:rPr>
          <w:rFonts w:hint="cs"/>
          <w:rtl/>
        </w:rPr>
        <w:t>:</w:t>
      </w:r>
      <w:r w:rsidR="009C32A0" w:rsidRPr="005675B2">
        <w:rPr>
          <w:rFonts w:hint="cs"/>
          <w:rtl/>
        </w:rPr>
        <w:t xml:space="preserve"> </w:t>
      </w:r>
      <w:r>
        <w:rPr>
          <w:rFonts w:hint="cs"/>
          <w:rtl/>
        </w:rPr>
        <w:t>[</w:t>
      </w:r>
      <w:r w:rsidR="009C32A0" w:rsidRPr="005675B2">
        <w:rPr>
          <w:rFonts w:hint="cs"/>
          <w:rtl/>
        </w:rPr>
        <w:t>نحسن الظن بهما وبالذين رويا عنهم</w:t>
      </w:r>
      <w:r>
        <w:rPr>
          <w:rFonts w:hint="cs"/>
          <w:rtl/>
        </w:rPr>
        <w:t>،</w:t>
      </w:r>
      <w:r w:rsidR="009C32A0" w:rsidRPr="005675B2">
        <w:rPr>
          <w:rFonts w:hint="cs"/>
          <w:rtl/>
        </w:rPr>
        <w:t xml:space="preserve"> إلا أنا إذا شاهدنا خبراً مشتملاً على منكر لا يمكن إسناده إلى الرسول صلى الله عليه وسلم قطعنا بأنه من وضع الملاحدة ومن ترويجاتهم على أولئك المحدثين</w:t>
      </w:r>
      <w:r>
        <w:rPr>
          <w:rFonts w:hint="cs"/>
          <w:rtl/>
        </w:rPr>
        <w:t>]</w:t>
      </w:r>
      <w:r w:rsidR="009C32A0" w:rsidRPr="005675B2">
        <w:rPr>
          <w:rFonts w:hint="cs"/>
          <w:rtl/>
        </w:rPr>
        <w:t xml:space="preserve"> [</w:t>
      </w:r>
      <w:r w:rsidR="009C32A0" w:rsidRPr="005675B2">
        <w:rPr>
          <w:rFonts w:hint="cs"/>
          <w:bCs/>
          <w:sz w:val="24"/>
          <w:szCs w:val="24"/>
          <w:rtl/>
        </w:rPr>
        <w:t>أساس التقديس 218</w:t>
      </w:r>
      <w:r w:rsidR="009C32A0" w:rsidRPr="005675B2">
        <w:rPr>
          <w:rFonts w:hint="cs"/>
          <w:rtl/>
        </w:rPr>
        <w:t>] وصدق رحمه الله فإذا حصل ذلك كان كذلك</w:t>
      </w:r>
      <w:r>
        <w:rPr>
          <w:rFonts w:hint="cs"/>
          <w:rtl/>
        </w:rPr>
        <w:t>،</w:t>
      </w:r>
      <w:r w:rsidR="009C32A0" w:rsidRPr="005675B2">
        <w:rPr>
          <w:rFonts w:hint="cs"/>
          <w:rtl/>
        </w:rPr>
        <w:t>فكم من مدلس ووضاع يضع في الأحاديث ما يصحح بدعته</w:t>
      </w:r>
      <w:r>
        <w:rPr>
          <w:rFonts w:hint="cs"/>
          <w:rtl/>
        </w:rPr>
        <w:t>،</w:t>
      </w:r>
      <w:r w:rsidR="009C32A0" w:rsidRPr="005675B2">
        <w:rPr>
          <w:rFonts w:hint="cs"/>
          <w:rtl/>
        </w:rPr>
        <w:t>وقد قيض الله علماء يدفعون فريته وأمثاله</w:t>
      </w:r>
      <w:r>
        <w:rPr>
          <w:rFonts w:hint="cs"/>
          <w:rtl/>
        </w:rPr>
        <w:t>،</w:t>
      </w:r>
    </w:p>
    <w:p w14:paraId="271B9653" w14:textId="4B6ED0AA" w:rsidR="009C32A0" w:rsidRPr="005675B2" w:rsidRDefault="009C32A0" w:rsidP="000636C2">
      <w:pPr>
        <w:rPr>
          <w:b/>
          <w:rtl/>
        </w:rPr>
      </w:pPr>
      <w:r w:rsidRPr="005675B2">
        <w:rPr>
          <w:rFonts w:hint="cs"/>
          <w:rtl/>
        </w:rPr>
        <w:t>نستنتج مما سبق</w:t>
      </w:r>
      <w:r w:rsidR="000636C2">
        <w:rPr>
          <w:rFonts w:hint="cs"/>
          <w:rtl/>
        </w:rPr>
        <w:t xml:space="preserve">: </w:t>
      </w:r>
      <w:r w:rsidRPr="005675B2">
        <w:rPr>
          <w:rFonts w:hint="cs"/>
          <w:rtl/>
        </w:rPr>
        <w:t>1</w:t>
      </w:r>
      <w:r w:rsidR="000636C2">
        <w:rPr>
          <w:rFonts w:hint="cs"/>
          <w:rtl/>
        </w:rPr>
        <w:t xml:space="preserve"> </w:t>
      </w:r>
      <w:r w:rsidRPr="005675B2">
        <w:rPr>
          <w:rFonts w:hint="cs"/>
          <w:rtl/>
        </w:rPr>
        <w:t>- أن الإمام الرازي لا يقطع بوصف الله بصفة أو تسميته بإسم لم يثبت قطعاً</w:t>
      </w:r>
      <w:r w:rsidR="000636C2">
        <w:rPr>
          <w:rFonts w:hint="cs"/>
          <w:rtl/>
        </w:rPr>
        <w:t>،</w:t>
      </w:r>
      <w:r w:rsidRPr="005675B2">
        <w:rPr>
          <w:rFonts w:hint="cs"/>
          <w:rtl/>
        </w:rPr>
        <w:t>كالأحاديث الظنية والروايات الضعيفة</w:t>
      </w:r>
      <w:r w:rsidR="000636C2">
        <w:rPr>
          <w:rFonts w:hint="cs"/>
          <w:rtl/>
        </w:rPr>
        <w:t xml:space="preserve">، </w:t>
      </w:r>
      <w:r w:rsidRPr="005675B2">
        <w:rPr>
          <w:rFonts w:hint="cs"/>
          <w:rtl/>
        </w:rPr>
        <w:t>2</w:t>
      </w:r>
      <w:r w:rsidR="000636C2">
        <w:rPr>
          <w:rFonts w:hint="cs"/>
          <w:rtl/>
        </w:rPr>
        <w:t xml:space="preserve"> </w:t>
      </w:r>
      <w:r w:rsidRPr="005675B2">
        <w:rPr>
          <w:rFonts w:hint="cs"/>
          <w:rtl/>
        </w:rPr>
        <w:t>- أن قول الصحابي لا يفيد القطع واليقين لا حتمال أن يخطىء أو ينسى أو يعتريه ما يعتري البشر لأنه غير معصوم ولا عصمة إلا للرسل عليهم السلام</w:t>
      </w:r>
      <w:r w:rsidR="000636C2">
        <w:rPr>
          <w:rFonts w:hint="cs"/>
          <w:rtl/>
        </w:rPr>
        <w:t xml:space="preserve">، </w:t>
      </w:r>
      <w:r w:rsidRPr="005675B2">
        <w:rPr>
          <w:rFonts w:hint="cs"/>
          <w:rtl/>
        </w:rPr>
        <w:t>3</w:t>
      </w:r>
      <w:r w:rsidR="000636C2">
        <w:rPr>
          <w:rFonts w:hint="cs"/>
          <w:rtl/>
        </w:rPr>
        <w:t xml:space="preserve"> </w:t>
      </w:r>
      <w:r w:rsidRPr="005675B2">
        <w:rPr>
          <w:rFonts w:hint="cs"/>
          <w:rtl/>
        </w:rPr>
        <w:t>- وضح الإمام الرازي تناقض البعض حيث يقطع بصفة يصف بها الخالق عزوجل</w:t>
      </w:r>
      <w:r w:rsidR="000636C2">
        <w:rPr>
          <w:rFonts w:hint="cs"/>
          <w:rtl/>
        </w:rPr>
        <w:t>،</w:t>
      </w:r>
      <w:r w:rsidRPr="005675B2">
        <w:rPr>
          <w:rFonts w:hint="cs"/>
          <w:rtl/>
        </w:rPr>
        <w:t>وهي لم ترد إلا بطريق ظني كالأحاديث الضعيفة</w:t>
      </w:r>
      <w:r w:rsidR="000636C2">
        <w:rPr>
          <w:rFonts w:hint="cs"/>
          <w:rtl/>
        </w:rPr>
        <w:t>،</w:t>
      </w:r>
      <w:r w:rsidRPr="005675B2">
        <w:rPr>
          <w:rFonts w:hint="cs"/>
          <w:rtl/>
        </w:rPr>
        <w:t>بينما يحرمون تأويل معنى الصفة بدعوى أن المعنى الذي فسر به ورود الصفة ظني</w:t>
      </w:r>
      <w:r w:rsidR="000636C2">
        <w:rPr>
          <w:rFonts w:hint="cs"/>
          <w:rtl/>
        </w:rPr>
        <w:t>،</w:t>
      </w:r>
      <w:r w:rsidRPr="005675B2">
        <w:rPr>
          <w:rFonts w:hint="cs"/>
          <w:rtl/>
        </w:rPr>
        <w:t>لأن المأول لا يستطيع أن يجزم بأن هذا مراد الله تعالى</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رغم أن الإمام الرازي يرجح التفويض في كثير من كتبه لكنه يتعجب من عدم طرد القاعدة في دفع الظنيات عند وصف الله تعالى</w:t>
      </w:r>
      <w:r w:rsidR="000636C2">
        <w:rPr>
          <w:rFonts w:hint="cs"/>
          <w:bCs/>
          <w:sz w:val="24"/>
          <w:szCs w:val="24"/>
          <w:rtl/>
        </w:rPr>
        <w:t>]</w:t>
      </w:r>
    </w:p>
    <w:p w14:paraId="6862A3F3" w14:textId="351982CD" w:rsidR="009C32A0" w:rsidRPr="005675B2" w:rsidRDefault="009C32A0" w:rsidP="000636C2">
      <w:pPr>
        <w:rPr>
          <w:b/>
          <w:rtl/>
        </w:rPr>
      </w:pPr>
      <w:r w:rsidRPr="005675B2">
        <w:rPr>
          <w:rFonts w:hint="cs"/>
          <w:rtl/>
        </w:rPr>
        <w:t>وسأضرب مثالين على ذلك</w:t>
      </w:r>
      <w:r w:rsidR="000636C2">
        <w:rPr>
          <w:rFonts w:hint="cs"/>
          <w:rtl/>
        </w:rPr>
        <w:t xml:space="preserve">: </w:t>
      </w:r>
      <w:r w:rsidRPr="005675B2">
        <w:rPr>
          <w:rFonts w:hint="cs"/>
          <w:rtl/>
        </w:rPr>
        <w:t>قوله تعالى (</w:t>
      </w:r>
      <w:r w:rsidR="000636C2">
        <w:rPr>
          <w:rFonts w:hint="cs"/>
          <w:rtl/>
        </w:rPr>
        <w:t>(</w:t>
      </w:r>
      <w:r w:rsidRPr="005675B2">
        <w:rPr>
          <w:rFonts w:hint="cs"/>
          <w:rtl/>
        </w:rPr>
        <w:t>نسوا الله فنسيهم</w:t>
      </w:r>
      <w:r w:rsidR="000636C2">
        <w:rPr>
          <w:rFonts w:hint="cs"/>
          <w:rtl/>
        </w:rPr>
        <w:t>)</w:t>
      </w:r>
      <w:r w:rsidRPr="005675B2">
        <w:rPr>
          <w:rFonts w:hint="cs"/>
          <w:rtl/>
        </w:rPr>
        <w:t>) فلا يجوز أن يوصف الله بالنسيان فيتعامل مع الآية إما بالتفويض والإمرار</w:t>
      </w:r>
      <w:r w:rsidR="000636C2">
        <w:rPr>
          <w:rFonts w:hint="cs"/>
          <w:rtl/>
        </w:rPr>
        <w:t>،</w:t>
      </w:r>
      <w:r w:rsidRPr="005675B2">
        <w:rPr>
          <w:rFonts w:hint="cs"/>
          <w:rtl/>
        </w:rPr>
        <w:t xml:space="preserve"> وإما أن تأول بمعنى لائق بالله تعالى</w:t>
      </w:r>
      <w:r w:rsidR="000636C2">
        <w:rPr>
          <w:rFonts w:hint="cs"/>
          <w:rtl/>
        </w:rPr>
        <w:t>،</w:t>
      </w:r>
      <w:r w:rsidRPr="005675B2">
        <w:rPr>
          <w:rFonts w:hint="cs"/>
          <w:rtl/>
        </w:rPr>
        <w:t xml:space="preserve"> ومن الأمثلة</w:t>
      </w:r>
      <w:r w:rsidR="000636C2">
        <w:rPr>
          <w:rFonts w:hint="cs"/>
          <w:rtl/>
        </w:rPr>
        <w:t>:</w:t>
      </w:r>
      <w:r w:rsidRPr="005675B2">
        <w:rPr>
          <w:rFonts w:hint="cs"/>
          <w:rtl/>
        </w:rPr>
        <w:t xml:space="preserve"> </w:t>
      </w:r>
      <w:r w:rsidR="000636C2">
        <w:rPr>
          <w:rFonts w:hint="cs"/>
          <w:rtl/>
        </w:rPr>
        <w:t>(</w:t>
      </w:r>
      <w:r w:rsidRPr="005675B2">
        <w:rPr>
          <w:rFonts w:hint="cs"/>
          <w:rtl/>
        </w:rPr>
        <w:t>فإن الله لا يمل حتى تملوا</w:t>
      </w:r>
      <w:r w:rsidR="000636C2">
        <w:rPr>
          <w:rFonts w:hint="cs"/>
          <w:rtl/>
        </w:rPr>
        <w:t>)</w:t>
      </w:r>
      <w:r w:rsidRPr="005675B2">
        <w:rPr>
          <w:rFonts w:hint="cs"/>
          <w:rtl/>
        </w:rPr>
        <w:t xml:space="preserve"> فلا يجوز إثبات صفة ملل لله تعالى لسببين</w:t>
      </w:r>
      <w:r w:rsidR="000636C2">
        <w:rPr>
          <w:rFonts w:hint="cs"/>
          <w:rtl/>
        </w:rPr>
        <w:t>:</w:t>
      </w:r>
      <w:r w:rsidRPr="005675B2">
        <w:rPr>
          <w:rFonts w:hint="cs"/>
          <w:rtl/>
        </w:rPr>
        <w:t xml:space="preserve"> 1</w:t>
      </w:r>
      <w:r w:rsidR="000636C2">
        <w:rPr>
          <w:rFonts w:hint="cs"/>
          <w:rtl/>
        </w:rPr>
        <w:t xml:space="preserve"> </w:t>
      </w:r>
      <w:r w:rsidRPr="005675B2">
        <w:rPr>
          <w:rFonts w:hint="cs"/>
          <w:rtl/>
        </w:rPr>
        <w:t>- أن الملل نقص من جميع الوجوه</w:t>
      </w:r>
      <w:r w:rsidR="000636C2">
        <w:rPr>
          <w:rFonts w:hint="cs"/>
          <w:rtl/>
        </w:rPr>
        <w:t>،</w:t>
      </w:r>
      <w:r w:rsidRPr="005675B2">
        <w:rPr>
          <w:rFonts w:hint="cs"/>
          <w:rtl/>
        </w:rPr>
        <w:t xml:space="preserve"> 2</w:t>
      </w:r>
      <w:r w:rsidR="000636C2">
        <w:rPr>
          <w:rFonts w:hint="cs"/>
          <w:rtl/>
        </w:rPr>
        <w:t xml:space="preserve"> </w:t>
      </w:r>
      <w:r w:rsidRPr="005675B2">
        <w:rPr>
          <w:rFonts w:hint="cs"/>
          <w:rtl/>
        </w:rPr>
        <w:t>- أنه ظني الدلالة وقد أثبته في زماننا بعض الناس هداهم الله</w:t>
      </w:r>
      <w:r w:rsidR="000636C2">
        <w:rPr>
          <w:rFonts w:hint="cs"/>
          <w:rtl/>
        </w:rPr>
        <w:t xml:space="preserve"> </w:t>
      </w:r>
      <w:r w:rsidRPr="005675B2">
        <w:rPr>
          <w:rFonts w:hint="cs"/>
          <w:rtl/>
        </w:rPr>
        <w:t>وثبوته عندهم</w:t>
      </w:r>
      <w:r w:rsidR="000636C2">
        <w:rPr>
          <w:rFonts w:hint="cs"/>
          <w:rtl/>
        </w:rPr>
        <w:t xml:space="preserve"> </w:t>
      </w:r>
      <w:r w:rsidRPr="005675B2">
        <w:rPr>
          <w:rFonts w:hint="cs"/>
          <w:rtl/>
        </w:rPr>
        <w:t>بدلالة المفهوم</w:t>
      </w:r>
      <w:r w:rsidR="000636C2">
        <w:rPr>
          <w:rFonts w:hint="cs"/>
          <w:rtl/>
        </w:rPr>
        <w:t>،</w:t>
      </w:r>
      <w:r w:rsidRPr="005675B2">
        <w:rPr>
          <w:rFonts w:hint="cs"/>
          <w:rtl/>
        </w:rPr>
        <w:t xml:space="preserve"> لأن الرسول صلى الله عليه وسلم لم يقل حتى تملوا</w:t>
      </w:r>
      <w:r w:rsidR="000636C2">
        <w:rPr>
          <w:rFonts w:hint="cs"/>
          <w:rtl/>
        </w:rPr>
        <w:t xml:space="preserve"> </w:t>
      </w:r>
      <w:r w:rsidRPr="005675B2">
        <w:rPr>
          <w:rFonts w:hint="cs"/>
          <w:u w:val="single"/>
          <w:rtl/>
        </w:rPr>
        <w:t>فيمل</w:t>
      </w:r>
      <w:r w:rsidR="000636C2">
        <w:rPr>
          <w:rFonts w:hint="cs"/>
          <w:u w:val="single"/>
          <w:rtl/>
        </w:rPr>
        <w:t xml:space="preserve">، </w:t>
      </w:r>
      <w:r w:rsidRPr="005675B2">
        <w:rPr>
          <w:rFonts w:hint="cs"/>
          <w:rtl/>
        </w:rPr>
        <w:t>بل قال لا يمل حتى تملوا</w:t>
      </w:r>
      <w:r w:rsidR="000636C2">
        <w:rPr>
          <w:rFonts w:hint="cs"/>
          <w:rtl/>
        </w:rPr>
        <w:t>،</w:t>
      </w:r>
      <w:r w:rsidRPr="005675B2">
        <w:rPr>
          <w:rFonts w:hint="cs"/>
          <w:rtl/>
        </w:rPr>
        <w:t xml:space="preserve"> وسكت</w:t>
      </w:r>
      <w:r w:rsidR="000636C2">
        <w:rPr>
          <w:rFonts w:hint="cs"/>
          <w:rtl/>
        </w:rPr>
        <w:t>،</w:t>
      </w:r>
      <w:r w:rsidRPr="005675B2">
        <w:rPr>
          <w:rFonts w:hint="cs"/>
          <w:rtl/>
        </w:rPr>
        <w:t xml:space="preserve"> فأتى بعض الناس ففهم منه مقدر محذوف تقديره</w:t>
      </w:r>
      <w:r w:rsidR="000636C2">
        <w:rPr>
          <w:rFonts w:hint="cs"/>
          <w:rtl/>
        </w:rPr>
        <w:t>:</w:t>
      </w:r>
      <w:r w:rsidRPr="005675B2">
        <w:rPr>
          <w:rFonts w:hint="cs"/>
          <w:rtl/>
        </w:rPr>
        <w:t xml:space="preserve"> فيمل، وبنى عليه عقيدة إثبات الملل لله سبحانه وتعالى عما يقول</w:t>
      </w:r>
      <w:r w:rsidR="000636C2">
        <w:rPr>
          <w:rFonts w:hint="cs"/>
          <w:rtl/>
        </w:rPr>
        <w:t>،!</w:t>
      </w:r>
    </w:p>
    <w:p w14:paraId="2B388B27" w14:textId="73CDFF6C" w:rsidR="009C32A0" w:rsidRPr="005675B2" w:rsidRDefault="009C32A0" w:rsidP="000636C2">
      <w:pPr>
        <w:rPr>
          <w:b/>
          <w:rtl/>
        </w:rPr>
      </w:pPr>
      <w:r w:rsidRPr="005675B2">
        <w:rPr>
          <w:rFonts w:hint="cs"/>
          <w:bCs/>
          <w:rtl/>
        </w:rPr>
        <w:t>دعوى أن كتب عقائد الأشاعرة لا يوجد فيها آية ولا حديثاً</w:t>
      </w:r>
      <w:r w:rsidR="000636C2">
        <w:rPr>
          <w:rFonts w:hint="cs"/>
          <w:bCs/>
          <w:rtl/>
        </w:rPr>
        <w:t>:</w:t>
      </w:r>
      <w:r w:rsidRPr="005675B2">
        <w:rPr>
          <w:rFonts w:hint="cs"/>
          <w:bCs/>
          <w:rtl/>
        </w:rPr>
        <w:t xml:space="preserve"> </w:t>
      </w:r>
      <w:r w:rsidRPr="005675B2">
        <w:rPr>
          <w:rFonts w:hint="cs"/>
          <w:rtl/>
        </w:rPr>
        <w:t>قال الكاتب</w:t>
      </w:r>
      <w:r w:rsidR="000636C2">
        <w:rPr>
          <w:rFonts w:hint="cs"/>
          <w:rtl/>
        </w:rPr>
        <w:t xml:space="preserve">: </w:t>
      </w:r>
      <w:r w:rsidRPr="005675B2">
        <w:rPr>
          <w:rFonts w:hint="cs"/>
          <w:rtl/>
        </w:rPr>
        <w:t>تقرأ في كتب عقيدتهم</w:t>
      </w:r>
      <w:r w:rsidRPr="005675B2">
        <w:rPr>
          <w:rFonts w:hint="cs"/>
        </w:rPr>
        <w:t xml:space="preserve"> </w:t>
      </w:r>
      <w:r w:rsidRPr="005675B2">
        <w:rPr>
          <w:rFonts w:hint="cs"/>
          <w:rtl/>
        </w:rPr>
        <w:t>قديمها وحديثها المائة صفحة أو أكثر فلا تجد فيها آية ولا حديثاً</w:t>
      </w:r>
      <w:r w:rsidR="000636C2">
        <w:rPr>
          <w:rFonts w:hint="cs"/>
          <w:rtl/>
        </w:rPr>
        <w:t>،</w:t>
      </w:r>
      <w:r w:rsidRPr="005675B2">
        <w:rPr>
          <w:rFonts w:hint="cs"/>
          <w:rtl/>
        </w:rPr>
        <w:t xml:space="preserve"> لكنك قد تجد في</w:t>
      </w:r>
      <w:r w:rsidRPr="005675B2">
        <w:rPr>
          <w:rFonts w:hint="cs"/>
        </w:rPr>
        <w:t xml:space="preserve"> </w:t>
      </w:r>
      <w:r w:rsidRPr="005675B2">
        <w:rPr>
          <w:rFonts w:hint="cs"/>
          <w:rtl/>
        </w:rPr>
        <w:t>كل فقرة</w:t>
      </w:r>
      <w:r w:rsidRPr="005675B2">
        <w:rPr>
          <w:rFonts w:hint="cs"/>
        </w:rPr>
        <w:t xml:space="preserve"> </w:t>
      </w:r>
      <w:r w:rsidRPr="005675B2">
        <w:rPr>
          <w:rFonts w:hint="cs"/>
          <w:rtl/>
        </w:rPr>
        <w:t>"</w:t>
      </w:r>
      <w:r w:rsidRPr="005675B2">
        <w:rPr>
          <w:rFonts w:hint="cs"/>
        </w:rPr>
        <w:t xml:space="preserve"> </w:t>
      </w:r>
      <w:r w:rsidRPr="005675B2">
        <w:rPr>
          <w:rFonts w:hint="cs"/>
          <w:rtl/>
        </w:rPr>
        <w:t>قال الحكماء</w:t>
      </w:r>
      <w:r w:rsidRPr="005675B2">
        <w:rPr>
          <w:rFonts w:hint="cs"/>
        </w:rPr>
        <w:t xml:space="preserve"> </w:t>
      </w:r>
      <w:r w:rsidRPr="005675B2">
        <w:rPr>
          <w:rFonts w:hint="cs"/>
          <w:rtl/>
        </w:rPr>
        <w:t>"</w:t>
      </w:r>
      <w:r w:rsidRPr="005675B2">
        <w:rPr>
          <w:rFonts w:hint="cs"/>
        </w:rPr>
        <w:t xml:space="preserve"> </w:t>
      </w:r>
      <w:r w:rsidRPr="005675B2">
        <w:rPr>
          <w:rFonts w:hint="cs"/>
          <w:rtl/>
        </w:rPr>
        <w:t>أو</w:t>
      </w:r>
      <w:r w:rsidRPr="005675B2">
        <w:rPr>
          <w:rFonts w:hint="cs"/>
        </w:rPr>
        <w:t xml:space="preserve"> </w:t>
      </w:r>
      <w:r w:rsidRPr="005675B2">
        <w:rPr>
          <w:rFonts w:hint="cs"/>
          <w:rtl/>
        </w:rPr>
        <w:t>"</w:t>
      </w:r>
      <w:r w:rsidRPr="005675B2">
        <w:rPr>
          <w:rFonts w:hint="cs"/>
        </w:rPr>
        <w:t xml:space="preserve"> </w:t>
      </w:r>
      <w:r w:rsidRPr="005675B2">
        <w:rPr>
          <w:rFonts w:hint="cs"/>
          <w:rtl/>
        </w:rPr>
        <w:t>قال المعلم الأول</w:t>
      </w:r>
      <w:r w:rsidRPr="005675B2">
        <w:rPr>
          <w:rFonts w:hint="cs"/>
        </w:rPr>
        <w:t xml:space="preserve"> </w:t>
      </w:r>
      <w:r w:rsidRPr="005675B2">
        <w:rPr>
          <w:rFonts w:hint="cs"/>
          <w:rtl/>
        </w:rPr>
        <w:t>"</w:t>
      </w:r>
      <w:r w:rsidRPr="005675B2">
        <w:rPr>
          <w:rFonts w:hint="cs"/>
        </w:rPr>
        <w:t xml:space="preserve"> </w:t>
      </w:r>
      <w:r w:rsidRPr="005675B2">
        <w:rPr>
          <w:rFonts w:hint="cs"/>
          <w:rtl/>
        </w:rPr>
        <w:t>أو</w:t>
      </w:r>
      <w:r w:rsidRPr="005675B2">
        <w:rPr>
          <w:rFonts w:hint="cs"/>
        </w:rPr>
        <w:t xml:space="preserve"> </w:t>
      </w:r>
      <w:r w:rsidRPr="005675B2">
        <w:rPr>
          <w:rFonts w:hint="cs"/>
          <w:rtl/>
        </w:rPr>
        <w:t>"</w:t>
      </w:r>
      <w:r w:rsidRPr="005675B2">
        <w:rPr>
          <w:rFonts w:hint="cs"/>
        </w:rPr>
        <w:t xml:space="preserve"> </w:t>
      </w:r>
      <w:r w:rsidRPr="005675B2">
        <w:rPr>
          <w:rFonts w:hint="cs"/>
          <w:rtl/>
        </w:rPr>
        <w:t>قالت الفلاسفة</w:t>
      </w:r>
      <w:r w:rsidRPr="005675B2">
        <w:rPr>
          <w:rFonts w:hint="cs"/>
        </w:rPr>
        <w:t xml:space="preserve"> </w:t>
      </w:r>
      <w:r w:rsidRPr="005675B2">
        <w:rPr>
          <w:rFonts w:hint="cs"/>
          <w:rtl/>
        </w:rPr>
        <w:t>"</w:t>
      </w:r>
      <w:r w:rsidRPr="005675B2">
        <w:rPr>
          <w:rFonts w:hint="cs"/>
        </w:rPr>
        <w:t xml:space="preserve"> </w:t>
      </w:r>
      <w:r w:rsidRPr="005675B2">
        <w:rPr>
          <w:rFonts w:hint="cs"/>
          <w:rtl/>
        </w:rPr>
        <w:t>ونحوها</w:t>
      </w:r>
      <w:r w:rsidR="000636C2">
        <w:rPr>
          <w:rFonts w:hint="cs"/>
          <w:rtl/>
        </w:rPr>
        <w:t>،</w:t>
      </w:r>
    </w:p>
    <w:p w14:paraId="333F23E5" w14:textId="67FF73ED"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1</w:t>
      </w:r>
      <w:r>
        <w:rPr>
          <w:rFonts w:hint="cs"/>
          <w:rtl/>
        </w:rPr>
        <w:t xml:space="preserve"> </w:t>
      </w:r>
      <w:r w:rsidR="009C32A0" w:rsidRPr="005675B2">
        <w:rPr>
          <w:rFonts w:hint="cs"/>
          <w:rtl/>
        </w:rPr>
        <w:t>- إن كتب العلم على مستويات متفاوتة وأساليب متنوعة</w:t>
      </w:r>
      <w:r>
        <w:rPr>
          <w:rFonts w:hint="cs"/>
          <w:rtl/>
        </w:rPr>
        <w:t>:</w:t>
      </w:r>
      <w:r w:rsidR="009C32A0" w:rsidRPr="005675B2">
        <w:rPr>
          <w:rFonts w:hint="cs"/>
          <w:rtl/>
        </w:rPr>
        <w:t xml:space="preserve"> فالرضيع</w:t>
      </w:r>
      <w:r>
        <w:rPr>
          <w:rFonts w:hint="cs"/>
          <w:rtl/>
        </w:rPr>
        <w:t xml:space="preserve"> </w:t>
      </w:r>
      <w:r w:rsidR="009C32A0" w:rsidRPr="005675B2">
        <w:rPr>
          <w:rFonts w:hint="cs"/>
          <w:rtl/>
        </w:rPr>
        <w:t>لا يعطى اللحم</w:t>
      </w:r>
      <w:r>
        <w:rPr>
          <w:rFonts w:hint="cs"/>
          <w:rtl/>
        </w:rPr>
        <w:t>،</w:t>
      </w:r>
      <w:r w:rsidR="009C32A0" w:rsidRPr="005675B2">
        <w:rPr>
          <w:rFonts w:hint="cs"/>
          <w:rtl/>
        </w:rPr>
        <w:t>بل يتدرج في طلب العلم من صغار العلم إلى كباره، كل بحسب قدراته</w:t>
      </w:r>
      <w:r>
        <w:rPr>
          <w:rFonts w:hint="cs"/>
          <w:rtl/>
        </w:rPr>
        <w:t>،</w:t>
      </w:r>
      <w:r w:rsidR="009C32A0" w:rsidRPr="005675B2">
        <w:rPr>
          <w:rFonts w:hint="cs"/>
          <w:rtl/>
        </w:rPr>
        <w:t xml:space="preserve"> فمن ذهب رأساً لكتب النقض على المبتدعة من الفلاسفة وغيرهم، وليس لديه الأهلية لذلك فلا يلومن إلا نفسه</w:t>
      </w:r>
      <w:r>
        <w:rPr>
          <w:rFonts w:hint="cs"/>
          <w:rtl/>
        </w:rPr>
        <w:t>،</w:t>
      </w:r>
    </w:p>
    <w:p w14:paraId="1850E208" w14:textId="542E9E92"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أما قولك ليس فيها آية أو حديث</w:t>
      </w:r>
      <w:r w:rsidR="000636C2">
        <w:rPr>
          <w:rFonts w:hint="cs"/>
          <w:rtl/>
        </w:rPr>
        <w:t>،</w:t>
      </w:r>
      <w:r w:rsidRPr="005675B2">
        <w:rPr>
          <w:rFonts w:hint="cs"/>
          <w:rtl/>
        </w:rPr>
        <w:t>فليس بصحيح أن كل كتب العقيدة الأشعرية هكذا، بل هي على أقسام</w:t>
      </w:r>
      <w:r w:rsidR="000636C2">
        <w:rPr>
          <w:rFonts w:hint="cs"/>
          <w:rtl/>
        </w:rPr>
        <w:t>:</w:t>
      </w:r>
      <w:r w:rsidRPr="005675B2">
        <w:rPr>
          <w:rFonts w:hint="cs"/>
          <w:rtl/>
        </w:rPr>
        <w:t>فمنها</w:t>
      </w:r>
      <w:r w:rsidR="000636C2">
        <w:rPr>
          <w:rFonts w:hint="cs"/>
          <w:rtl/>
        </w:rPr>
        <w:t xml:space="preserve"> </w:t>
      </w:r>
      <w:r w:rsidRPr="005675B2">
        <w:rPr>
          <w:rFonts w:hint="cs"/>
          <w:rtl/>
        </w:rPr>
        <w:t>ما ذكرت وهي التي ترد على الفلاسفة والملحدين ونحوهم، وهذه وإن قلت فيها الأحاديث والآيات إلا أن فيها ثمرة الأحاديث والآيات كما لا يخفى على</w:t>
      </w:r>
      <w:r w:rsidR="000636C2">
        <w:rPr>
          <w:rFonts w:hint="cs"/>
          <w:rtl/>
        </w:rPr>
        <w:t xml:space="preserve"> </w:t>
      </w:r>
      <w:r w:rsidRPr="005675B2">
        <w:rPr>
          <w:rFonts w:hint="cs"/>
          <w:rtl/>
        </w:rPr>
        <w:t>اللبيب</w:t>
      </w:r>
      <w:r w:rsidR="000636C2">
        <w:rPr>
          <w:rFonts w:hint="cs"/>
          <w:rtl/>
        </w:rPr>
        <w:t>،</w:t>
      </w:r>
      <w:r w:rsidRPr="005675B2">
        <w:rPr>
          <w:rFonts w:hint="cs"/>
          <w:rtl/>
        </w:rPr>
        <w:t xml:space="preserve"> ولا أدري كيف تريدهم أن يحاجوا أهل الزندقة، والفلسفة، والإلحاد بكتاب الله والسنة وهم لا يؤمنون بها أصلاً</w:t>
      </w:r>
      <w:r w:rsidR="000636C2">
        <w:rPr>
          <w:rFonts w:hint="cs"/>
          <w:rtl/>
        </w:rPr>
        <w:t>،؟!</w:t>
      </w:r>
      <w:r w:rsidRPr="005675B2">
        <w:rPr>
          <w:rFonts w:hint="cs"/>
          <w:rtl/>
        </w:rPr>
        <w:t>! ومن الكتب العقدية ماهو مليء بالآيات والآثار</w:t>
      </w:r>
      <w:r w:rsidR="000636C2">
        <w:rPr>
          <w:rFonts w:hint="cs"/>
          <w:rtl/>
        </w:rPr>
        <w:t>،</w:t>
      </w:r>
      <w:r w:rsidRPr="005675B2">
        <w:rPr>
          <w:rFonts w:hint="cs"/>
          <w:rtl/>
        </w:rPr>
        <w:t>وهذا كثير</w:t>
      </w:r>
      <w:r w:rsidR="000636C2">
        <w:rPr>
          <w:rFonts w:hint="cs"/>
          <w:rtl/>
        </w:rPr>
        <w:t>،</w:t>
      </w:r>
      <w:r w:rsidRPr="005675B2">
        <w:rPr>
          <w:rFonts w:hint="cs"/>
          <w:rtl/>
        </w:rPr>
        <w:t>وفيها المختصرات التي للحفظ ونحوه</w:t>
      </w:r>
      <w:r w:rsidR="000636C2">
        <w:rPr>
          <w:rFonts w:hint="cs"/>
          <w:rtl/>
        </w:rPr>
        <w:t xml:space="preserve">، </w:t>
      </w:r>
      <w:r w:rsidRPr="005675B2">
        <w:rPr>
          <w:rFonts w:hint="cs"/>
          <w:rtl/>
        </w:rPr>
        <w:t>فما هذا التعميم</w:t>
      </w:r>
      <w:r w:rsidR="000636C2">
        <w:rPr>
          <w:rFonts w:hint="cs"/>
          <w:rtl/>
        </w:rPr>
        <w:t>؟!</w:t>
      </w:r>
      <w:r w:rsidRPr="005675B2">
        <w:rPr>
          <w:rFonts w:hint="cs"/>
          <w:rtl/>
        </w:rPr>
        <w:t>وإن كنت يا أخي الكريم إنما تقصدالوعظ والرقائق الإيمانية فعندهم كتب خصصوها لذلك</w:t>
      </w:r>
      <w:r w:rsidR="000636C2">
        <w:rPr>
          <w:rFonts w:hint="cs"/>
          <w:rtl/>
        </w:rPr>
        <w:t>،</w:t>
      </w:r>
      <w:r w:rsidRPr="005675B2">
        <w:rPr>
          <w:rFonts w:hint="cs"/>
          <w:rtl/>
        </w:rPr>
        <w:t xml:space="preserve"> [</w:t>
      </w:r>
      <w:r w:rsidRPr="005675B2">
        <w:rPr>
          <w:rFonts w:hint="cs"/>
          <w:bCs/>
          <w:sz w:val="24"/>
          <w:szCs w:val="24"/>
          <w:rtl/>
        </w:rPr>
        <w:t>من الكتب المفيدة في العقيدة كتاب كبرى اليقينيات الكونية .والمختصر المفيد للقضاة</w:t>
      </w:r>
      <w:r w:rsidR="000636C2">
        <w:rPr>
          <w:rFonts w:hint="cs"/>
          <w:bCs/>
          <w:sz w:val="24"/>
          <w:szCs w:val="24"/>
          <w:rtl/>
        </w:rPr>
        <w:t>،</w:t>
      </w:r>
      <w:r w:rsidRPr="005675B2">
        <w:rPr>
          <w:rFonts w:hint="cs"/>
          <w:bCs/>
          <w:sz w:val="24"/>
          <w:szCs w:val="24"/>
          <w:rtl/>
        </w:rPr>
        <w:t>وكتاب العقيدة الإسلامية لعبدالرحمن حبنكة</w:t>
      </w:r>
      <w:r w:rsidR="000636C2">
        <w:rPr>
          <w:rFonts w:hint="cs"/>
          <w:bCs/>
          <w:sz w:val="24"/>
          <w:szCs w:val="24"/>
          <w:rtl/>
        </w:rPr>
        <w:t>،</w:t>
      </w:r>
      <w:r w:rsidRPr="005675B2">
        <w:rPr>
          <w:rFonts w:hint="cs"/>
          <w:bCs/>
          <w:sz w:val="24"/>
          <w:szCs w:val="24"/>
          <w:rtl/>
        </w:rPr>
        <w:t xml:space="preserve"> وكتاب العقيدة الإسلامية للدكتور مصطفى الخن ومستو،و الأساس في السنة للحوى. وغيرها</w:t>
      </w:r>
      <w:r w:rsidR="000636C2">
        <w:rPr>
          <w:rFonts w:hint="cs"/>
          <w:bCs/>
          <w:sz w:val="24"/>
          <w:szCs w:val="24"/>
          <w:rtl/>
        </w:rPr>
        <w:t>]</w:t>
      </w:r>
    </w:p>
    <w:p w14:paraId="71FC1E93" w14:textId="65C82CE3" w:rsidR="009C32A0" w:rsidRPr="005675B2" w:rsidRDefault="009C32A0" w:rsidP="000636C2">
      <w:pPr>
        <w:rPr>
          <w:b/>
          <w:u w:val="single"/>
          <w:rtl/>
        </w:rPr>
      </w:pPr>
      <w:r w:rsidRPr="005675B2">
        <w:rPr>
          <w:rFonts w:hint="cs"/>
          <w:bCs/>
          <w:rtl/>
        </w:rPr>
        <w:t>حكم الاحتجاج بالأدلة العقلية</w:t>
      </w:r>
      <w:r w:rsidR="000636C2">
        <w:rPr>
          <w:rFonts w:hint="cs"/>
          <w:rtl/>
        </w:rPr>
        <w:t xml:space="preserve">: </w:t>
      </w:r>
      <w:r w:rsidRPr="005675B2">
        <w:rPr>
          <w:rFonts w:hint="cs"/>
          <w:u w:val="single"/>
          <w:rtl/>
        </w:rPr>
        <w:t>اختلف الناس في حكم ذلك على أقوال</w:t>
      </w:r>
      <w:r w:rsidR="000636C2">
        <w:rPr>
          <w:rFonts w:hint="cs"/>
          <w:rtl/>
        </w:rPr>
        <w:t>:</w:t>
      </w:r>
      <w:r w:rsidRPr="005675B2">
        <w:rPr>
          <w:rFonts w:hint="cs"/>
          <w:rtl/>
        </w:rPr>
        <w:t>القول الأول</w:t>
      </w:r>
      <w:r w:rsidR="000636C2">
        <w:rPr>
          <w:rFonts w:hint="cs"/>
          <w:rtl/>
        </w:rPr>
        <w:t>:</w:t>
      </w:r>
      <w:r w:rsidRPr="005675B2">
        <w:rPr>
          <w:rFonts w:hint="cs"/>
          <w:rtl/>
        </w:rPr>
        <w:t xml:space="preserve"> قول الحنابلة </w:t>
      </w:r>
      <w:r w:rsidRPr="005675B2">
        <w:rPr>
          <w:rFonts w:hint="cs"/>
          <w:u w:val="single"/>
          <w:rtl/>
        </w:rPr>
        <w:t>الذي نص عليه الإمام أحمد</w:t>
      </w:r>
      <w:r w:rsidR="000636C2">
        <w:rPr>
          <w:rFonts w:hint="cs"/>
          <w:rtl/>
        </w:rPr>
        <w:t>،</w:t>
      </w:r>
      <w:r w:rsidRPr="005675B2">
        <w:rPr>
          <w:rFonts w:hint="cs"/>
          <w:rtl/>
        </w:rPr>
        <w:t>قال ابن عقيل</w:t>
      </w:r>
      <w:r w:rsidR="000636C2">
        <w:rPr>
          <w:rFonts w:hint="cs"/>
          <w:rtl/>
        </w:rPr>
        <w:t>:</w:t>
      </w:r>
      <w:r w:rsidRPr="005675B2">
        <w:rPr>
          <w:rFonts w:hint="cs"/>
          <w:rtl/>
        </w:rPr>
        <w:t xml:space="preserve"> القياس العقلي حجة يجب العمل به</w:t>
      </w:r>
      <w:r w:rsidR="000636C2">
        <w:rPr>
          <w:rFonts w:hint="cs"/>
          <w:rtl/>
        </w:rPr>
        <w:t>،</w:t>
      </w:r>
      <w:r w:rsidRPr="005675B2">
        <w:rPr>
          <w:rFonts w:hint="cs"/>
          <w:rtl/>
        </w:rPr>
        <w:t xml:space="preserve"> ويجب النظر والاستدلال</w:t>
      </w:r>
      <w:r w:rsidR="000636C2">
        <w:rPr>
          <w:rFonts w:hint="cs"/>
          <w:rtl/>
        </w:rPr>
        <w:t>،</w:t>
      </w:r>
      <w:r w:rsidRPr="005675B2">
        <w:rPr>
          <w:rFonts w:hint="cs"/>
          <w:rtl/>
        </w:rPr>
        <w:t xml:space="preserve">وقد نقل عن الإمام أحمد الاحتجاج بدلائل العقول وبهذا قال جماعة الفقهاء </w:t>
      </w:r>
      <w:r w:rsidRPr="005675B2">
        <w:rPr>
          <w:rFonts w:hint="cs"/>
          <w:u w:val="single"/>
          <w:rtl/>
        </w:rPr>
        <w:t>والمتكلمين من أهل الإثبات</w:t>
      </w:r>
      <w:r w:rsidR="000636C2">
        <w:rPr>
          <w:rFonts w:hint="cs"/>
          <w:rtl/>
        </w:rPr>
        <w:t>،</w:t>
      </w:r>
      <w:r w:rsidRPr="005675B2">
        <w:rPr>
          <w:rFonts w:hint="cs"/>
          <w:rtl/>
        </w:rPr>
        <w:t xml:space="preserve"> أهـ</w:t>
      </w:r>
      <w:r w:rsidR="000636C2">
        <w:rPr>
          <w:rFonts w:hint="cs"/>
          <w:rtl/>
        </w:rPr>
        <w:t xml:space="preserve"> </w:t>
      </w:r>
      <w:r w:rsidRPr="005675B2">
        <w:rPr>
          <w:rFonts w:hint="cs"/>
          <w:rtl/>
        </w:rPr>
        <w:t>وقال أبو الخطاب الكلوذاني الحنبلي</w:t>
      </w:r>
      <w:r w:rsidR="000636C2">
        <w:rPr>
          <w:rFonts w:hint="cs"/>
          <w:rtl/>
        </w:rPr>
        <w:t>:</w:t>
      </w:r>
      <w:r w:rsidRPr="005675B2">
        <w:rPr>
          <w:rFonts w:hint="cs"/>
          <w:rtl/>
        </w:rPr>
        <w:t xml:space="preserve"> القياس العقلي والا ستدلال طريق لإثبات الأحكام العقلية</w:t>
      </w:r>
      <w:r w:rsidR="000636C2">
        <w:rPr>
          <w:rFonts w:hint="cs"/>
          <w:rtl/>
        </w:rPr>
        <w:t>،</w:t>
      </w:r>
      <w:r w:rsidRPr="005675B2">
        <w:rPr>
          <w:rFonts w:hint="cs"/>
          <w:u w:val="single"/>
          <w:rtl/>
        </w:rPr>
        <w:t>نص عليه الإمام أحمد وبه قال عامة الفقهاء</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التمهيد 4/260 والعدة 4/ 1273 والتحبير شرح التحرير 8/4022</w:t>
      </w:r>
      <w:r w:rsidR="000636C2">
        <w:rPr>
          <w:rFonts w:hint="cs"/>
          <w:bCs/>
          <w:sz w:val="24"/>
          <w:szCs w:val="24"/>
          <w:rtl/>
        </w:rPr>
        <w:t>]</w:t>
      </w:r>
      <w:r w:rsidR="000636C2">
        <w:rPr>
          <w:rFonts w:hint="cs"/>
          <w:rtl/>
        </w:rPr>
        <w:t>،</w:t>
      </w:r>
      <w:r w:rsidRPr="005675B2">
        <w:rPr>
          <w:rFonts w:hint="cs"/>
          <w:rtl/>
        </w:rPr>
        <w:t xml:space="preserve"> </w:t>
      </w:r>
      <w:r w:rsidRPr="005675B2">
        <w:rPr>
          <w:rFonts w:hint="cs"/>
          <w:u w:val="single"/>
          <w:rtl/>
        </w:rPr>
        <w:t>قال الإمام ابن مفلح</w:t>
      </w:r>
      <w:r w:rsidR="000636C2">
        <w:rPr>
          <w:rFonts w:hint="cs"/>
          <w:u w:val="single"/>
          <w:rtl/>
        </w:rPr>
        <w:t>:</w:t>
      </w:r>
      <w:r w:rsidRPr="005675B2">
        <w:rPr>
          <w:rFonts w:hint="cs"/>
          <w:u w:val="single"/>
          <w:rtl/>
        </w:rPr>
        <w:t xml:space="preserve"> احتج</w:t>
      </w:r>
      <w:r w:rsidR="000636C2">
        <w:rPr>
          <w:rFonts w:hint="cs"/>
          <w:u w:val="single"/>
          <w:rtl/>
        </w:rPr>
        <w:t xml:space="preserve"> </w:t>
      </w:r>
      <w:r w:rsidRPr="005675B2">
        <w:rPr>
          <w:rFonts w:hint="cs"/>
          <w:u w:val="single"/>
          <w:rtl/>
        </w:rPr>
        <w:t>الإمام أحمد بحجج العقول وعامة الفقهاء والأصوليين</w:t>
      </w:r>
      <w:r w:rsidR="000636C2">
        <w:rPr>
          <w:rFonts w:hint="cs"/>
          <w:u w:val="single"/>
          <w:rtl/>
        </w:rPr>
        <w:t>،</w:t>
      </w:r>
      <w:r w:rsidRPr="005675B2">
        <w:rPr>
          <w:rFonts w:hint="cs"/>
          <w:u w:val="single"/>
          <w:rtl/>
        </w:rPr>
        <w:t xml:space="preserve"> [</w:t>
      </w:r>
      <w:r w:rsidRPr="005675B2">
        <w:rPr>
          <w:rFonts w:hint="cs"/>
          <w:bCs/>
          <w:sz w:val="24"/>
          <w:szCs w:val="24"/>
          <w:rtl/>
        </w:rPr>
        <w:t>اصول ابن مفلح3/971</w:t>
      </w:r>
      <w:r w:rsidR="000636C2">
        <w:rPr>
          <w:rFonts w:hint="cs"/>
          <w:u w:val="single"/>
          <w:rtl/>
        </w:rPr>
        <w:t>]</w:t>
      </w:r>
      <w:r w:rsidRPr="005675B2">
        <w:rPr>
          <w:rFonts w:hint="cs"/>
          <w:u w:val="single"/>
          <w:rtl/>
        </w:rPr>
        <w:t xml:space="preserve"> </w:t>
      </w:r>
    </w:p>
    <w:p w14:paraId="702DED27" w14:textId="77777777" w:rsidR="009C32A0" w:rsidRPr="005675B2" w:rsidRDefault="009C32A0" w:rsidP="000636C2">
      <w:pPr>
        <w:rPr>
          <w:rtl/>
        </w:rPr>
      </w:pPr>
    </w:p>
    <w:p w14:paraId="2CEFE5D5" w14:textId="5E68661F" w:rsidR="009C32A0" w:rsidRPr="005675B2" w:rsidRDefault="009C32A0" w:rsidP="000636C2">
      <w:pPr>
        <w:rPr>
          <w:b/>
        </w:rPr>
      </w:pPr>
      <w:r w:rsidRPr="005675B2">
        <w:rPr>
          <w:rFonts w:hint="cs"/>
          <w:bCs/>
          <w:rtl/>
        </w:rPr>
        <w:t>قال الكاتب</w:t>
      </w:r>
      <w:r w:rsidR="000636C2">
        <w:rPr>
          <w:rFonts w:hint="cs"/>
          <w:rtl/>
        </w:rPr>
        <w:t>:،</w:t>
      </w:r>
      <w:r w:rsidRPr="005675B2">
        <w:rPr>
          <w:rFonts w:hint="cs"/>
          <w:rtl/>
        </w:rPr>
        <w:t xml:space="preserve"> وقد يصححون بعض الأحاديث ويضعفونها حسب هذا الذوق</w:t>
      </w:r>
      <w:r w:rsidR="000636C2">
        <w:rPr>
          <w:rFonts w:hint="cs"/>
          <w:rtl/>
        </w:rPr>
        <w:t>،</w:t>
      </w:r>
      <w:r w:rsidRPr="005675B2">
        <w:rPr>
          <w:rFonts w:hint="cs"/>
          <w:rtl/>
        </w:rPr>
        <w:t xml:space="preserve"> كحديث</w:t>
      </w:r>
      <w:r w:rsidRPr="005675B2">
        <w:rPr>
          <w:rFonts w:hint="cs"/>
        </w:rPr>
        <w:t xml:space="preserve"> </w:t>
      </w:r>
      <w:r w:rsidRPr="005675B2">
        <w:rPr>
          <w:rFonts w:hint="cs"/>
          <w:rtl/>
        </w:rPr>
        <w:t>إسلام أبوي النبي صلى الله عليه وسلم ودخولهما الجنة بزعمهم</w:t>
      </w:r>
      <w:r w:rsidR="000636C2">
        <w:rPr>
          <w:rFonts w:hint="cs"/>
          <w:rtl/>
        </w:rPr>
        <w:t>،</w:t>
      </w:r>
      <w:r w:rsidRPr="005675B2">
        <w:rPr>
          <w:rFonts w:hint="cs"/>
          <w:rtl/>
        </w:rPr>
        <w:t xml:space="preserve"> ويسمون هذا</w:t>
      </w:r>
      <w:r w:rsidRPr="005675B2">
        <w:rPr>
          <w:rFonts w:hint="cs"/>
        </w:rPr>
        <w:t xml:space="preserve"> </w:t>
      </w:r>
      <w:r w:rsidRPr="005675B2">
        <w:rPr>
          <w:rFonts w:hint="cs"/>
          <w:rtl/>
        </w:rPr>
        <w:t>"</w:t>
      </w:r>
      <w:r w:rsidRPr="005675B2">
        <w:rPr>
          <w:rFonts w:hint="cs"/>
        </w:rPr>
        <w:t xml:space="preserve"> </w:t>
      </w:r>
      <w:r w:rsidRPr="005675B2">
        <w:rPr>
          <w:rFonts w:hint="cs"/>
          <w:rtl/>
        </w:rPr>
        <w:t>العلم اللدني</w:t>
      </w:r>
      <w:r w:rsidRPr="005675B2">
        <w:rPr>
          <w:rFonts w:hint="cs"/>
        </w:rPr>
        <w:t xml:space="preserve"> </w:t>
      </w:r>
      <w:r w:rsidRPr="005675B2">
        <w:rPr>
          <w:rFonts w:hint="cs"/>
          <w:rtl/>
        </w:rPr>
        <w:t>"</w:t>
      </w:r>
      <w:r w:rsidRPr="005675B2">
        <w:rPr>
          <w:rFonts w:hint="cs"/>
        </w:rPr>
        <w:t xml:space="preserve"> </w:t>
      </w:r>
      <w:r w:rsidRPr="005675B2">
        <w:rPr>
          <w:rFonts w:hint="cs"/>
          <w:rtl/>
        </w:rPr>
        <w:t>جرياً على قاعدة الصوفية</w:t>
      </w:r>
      <w:r w:rsidRPr="005675B2">
        <w:rPr>
          <w:rFonts w:hint="cs"/>
        </w:rPr>
        <w:t xml:space="preserve"> </w:t>
      </w:r>
      <w:r w:rsidRPr="005675B2">
        <w:rPr>
          <w:rFonts w:hint="cs"/>
          <w:rtl/>
        </w:rPr>
        <w:t>"</w:t>
      </w:r>
      <w:r w:rsidRPr="005675B2">
        <w:rPr>
          <w:rFonts w:hint="cs"/>
        </w:rPr>
        <w:t xml:space="preserve"> </w:t>
      </w:r>
      <w:r w:rsidRPr="005675B2">
        <w:rPr>
          <w:rFonts w:hint="cs"/>
          <w:rtl/>
        </w:rPr>
        <w:t>حدثني قلبي عن ربي"</w:t>
      </w:r>
    </w:p>
    <w:p w14:paraId="0A50EF2E" w14:textId="499F0A2B" w:rsidR="009C32A0" w:rsidRPr="005675B2" w:rsidRDefault="000636C2" w:rsidP="000636C2">
      <w:pPr>
        <w:rPr>
          <w:b/>
          <w:rtl/>
        </w:rPr>
      </w:pPr>
      <w:r>
        <w:rPr>
          <w:rFonts w:hint="cs"/>
          <w:bCs/>
          <w:rtl/>
        </w:rPr>
        <w:t>[</w:t>
      </w:r>
      <w:r w:rsidR="009C32A0">
        <w:rPr>
          <w:rFonts w:hint="cs"/>
          <w:bCs/>
          <w:rtl/>
        </w:rPr>
        <w:t>الجواب</w:t>
      </w:r>
      <w:r>
        <w:rPr>
          <w:rFonts w:hint="cs"/>
          <w:bCs/>
          <w:rtl/>
        </w:rPr>
        <w:t>]:</w:t>
      </w:r>
      <w:r w:rsidR="009C32A0" w:rsidRPr="005675B2">
        <w:rPr>
          <w:rFonts w:hint="cs"/>
          <w:rtl/>
        </w:rPr>
        <w:t xml:space="preserve"> </w:t>
      </w:r>
      <w:r w:rsidR="009C32A0" w:rsidRPr="005675B2">
        <w:rPr>
          <w:rFonts w:hint="cs"/>
          <w:bCs/>
          <w:rtl/>
        </w:rPr>
        <w:t>هذا الكلام غير صحيح لأن نجاة أبوي الرسول صلى الله عليه وسلم مسألة خلافية مبنية على أدلة نقلية، فجمع من العلماء</w:t>
      </w:r>
      <w:r>
        <w:rPr>
          <w:rFonts w:hint="cs"/>
          <w:bCs/>
          <w:rtl/>
        </w:rPr>
        <w:t xml:space="preserve"> </w:t>
      </w:r>
      <w:r w:rsidR="009C32A0" w:rsidRPr="005675B2">
        <w:rPr>
          <w:rFonts w:hint="cs"/>
          <w:bCs/>
          <w:rtl/>
        </w:rPr>
        <w:t>على أن أبويه ناجيان</w:t>
      </w:r>
      <w:r>
        <w:rPr>
          <w:rFonts w:hint="cs"/>
          <w:bCs/>
          <w:rtl/>
        </w:rPr>
        <w:t>،</w:t>
      </w:r>
      <w:r w:rsidR="009C32A0" w:rsidRPr="005675B2">
        <w:rPr>
          <w:rFonts w:hint="cs"/>
          <w:bCs/>
          <w:rtl/>
        </w:rPr>
        <w:t>ودونت فيها رسائل وبحوث علمية نافعة لا بمجرد الذوق</w:t>
      </w:r>
      <w:r>
        <w:rPr>
          <w:rFonts w:hint="cs"/>
          <w:bCs/>
          <w:rtl/>
        </w:rPr>
        <w:t>،</w:t>
      </w:r>
      <w:r w:rsidR="009C32A0" w:rsidRPr="005675B2">
        <w:rPr>
          <w:rFonts w:hint="cs"/>
          <w:bCs/>
          <w:rtl/>
        </w:rPr>
        <w:t xml:space="preserve"> وأنت تختار من القولين هلاكهما، فأنت وما تريد، ولكن لا تلزم غيرك برأيك وفقنا الله وإياك لرضاه</w:t>
      </w:r>
      <w:r>
        <w:rPr>
          <w:rFonts w:hint="cs"/>
          <w:bCs/>
          <w:rtl/>
        </w:rPr>
        <w:t>،</w:t>
      </w:r>
      <w:r w:rsidR="009C32A0" w:rsidRPr="005675B2">
        <w:rPr>
          <w:rFonts w:hint="cs"/>
          <w:bCs/>
          <w:rtl/>
        </w:rPr>
        <w:t xml:space="preserve"> </w:t>
      </w:r>
      <w:r w:rsidR="009C32A0" w:rsidRPr="005675B2">
        <w:rPr>
          <w:rFonts w:hint="cs"/>
          <w:rtl/>
        </w:rPr>
        <w:t>أما الخلاف فهو يدور حول ماورد في الحديث الصحيح من حيث سنده</w:t>
      </w:r>
      <w:r>
        <w:rPr>
          <w:rFonts w:hint="cs"/>
          <w:rtl/>
        </w:rPr>
        <w:t>،</w:t>
      </w:r>
      <w:r w:rsidR="009C32A0" w:rsidRPr="005675B2">
        <w:rPr>
          <w:rFonts w:hint="cs"/>
          <w:rtl/>
        </w:rPr>
        <w:t xml:space="preserve"> لكن</w:t>
      </w:r>
      <w:r>
        <w:rPr>
          <w:rFonts w:hint="cs"/>
          <w:rtl/>
        </w:rPr>
        <w:t xml:space="preserve"> </w:t>
      </w:r>
      <w:r w:rsidR="009C32A0" w:rsidRPr="005675B2">
        <w:rPr>
          <w:rFonts w:hint="cs"/>
          <w:rtl/>
        </w:rPr>
        <w:t>لفظة انفرد بها حماد وهي إما وهم منه، أو تحمل على غير ظاهرها كمعنى العم الذي هو</w:t>
      </w:r>
      <w:r w:rsidR="009C32A0" w:rsidRPr="005675B2">
        <w:rPr>
          <w:rFonts w:hint="cs"/>
        </w:rPr>
        <w:t xml:space="preserve"> </w:t>
      </w:r>
      <w:r w:rsidR="009C32A0" w:rsidRPr="005675B2">
        <w:rPr>
          <w:rFonts w:hint="cs"/>
          <w:rtl/>
        </w:rPr>
        <w:t>معروف لغة لتتوافق الرواية مع عشرات الآيات القرآنية</w:t>
      </w:r>
      <w:r w:rsidR="009C32A0" w:rsidRPr="005675B2">
        <w:rPr>
          <w:rFonts w:hint="cs"/>
        </w:rPr>
        <w:t xml:space="preserve"> </w:t>
      </w:r>
      <w:r w:rsidR="009C32A0" w:rsidRPr="005675B2">
        <w:rPr>
          <w:rFonts w:hint="cs"/>
          <w:rtl/>
        </w:rPr>
        <w:t>ولهذا فالحديث</w:t>
      </w:r>
      <w:r>
        <w:rPr>
          <w:rFonts w:hint="cs"/>
          <w:rtl/>
        </w:rPr>
        <w:t xml:space="preserve"> </w:t>
      </w:r>
      <w:r w:rsidR="009C32A0" w:rsidRPr="005675B2">
        <w:rPr>
          <w:rFonts w:hint="cs"/>
          <w:rtl/>
        </w:rPr>
        <w:t>معارض لآيات محكمات هن أم الكتاب كقوله تعالى</w:t>
      </w:r>
      <w:r>
        <w:rPr>
          <w:rFonts w:hint="cs"/>
          <w:rtl/>
        </w:rPr>
        <w:t>:</w:t>
      </w:r>
      <w:r w:rsidR="009C32A0" w:rsidRPr="005675B2">
        <w:rPr>
          <w:rFonts w:hint="cs"/>
          <w:bCs/>
          <w:rtl/>
        </w:rPr>
        <w:t xml:space="preserve"> </w:t>
      </w:r>
      <w:r w:rsidR="009C32A0" w:rsidRPr="005675B2">
        <w:rPr>
          <w:rFonts w:hint="cs"/>
          <w:rtl/>
        </w:rPr>
        <w:t>{لِتُنذِرَ قَوْماً مَّا أَتَاهُم مِّن نَّذِيـرٍ مِّن قَبْلِكَ لَعَلَّهُمْ</w:t>
      </w:r>
      <w:r w:rsidR="009C32A0" w:rsidRPr="005675B2">
        <w:rPr>
          <w:rFonts w:hint="cs"/>
        </w:rPr>
        <w:t xml:space="preserve"> </w:t>
      </w:r>
      <w:r w:rsidR="009C32A0" w:rsidRPr="005675B2">
        <w:rPr>
          <w:rFonts w:hint="cs"/>
          <w:rtl/>
        </w:rPr>
        <w:t>يَتَذَكَّرُونَ</w:t>
      </w:r>
      <w:r>
        <w:rPr>
          <w:rFonts w:hint="cs"/>
          <w:rtl/>
        </w:rPr>
        <w:t>}[</w:t>
      </w:r>
      <w:r w:rsidR="009C32A0" w:rsidRPr="005675B2">
        <w:rPr>
          <w:rFonts w:hint="cs"/>
          <w:rtl/>
        </w:rPr>
        <w:t>القصص</w:t>
      </w:r>
      <w:r>
        <w:rPr>
          <w:rFonts w:hint="cs"/>
          <w:rtl/>
        </w:rPr>
        <w:t>:</w:t>
      </w:r>
      <w:r w:rsidR="009C32A0" w:rsidRPr="005675B2">
        <w:rPr>
          <w:rFonts w:hint="cs"/>
          <w:rtl/>
        </w:rPr>
        <w:t xml:space="preserve"> 46</w:t>
      </w:r>
      <w:r>
        <w:rPr>
          <w:rFonts w:hint="cs"/>
          <w:rtl/>
        </w:rPr>
        <w:t>]</w:t>
      </w:r>
      <w:r w:rsidR="009C32A0" w:rsidRPr="005675B2">
        <w:rPr>
          <w:rFonts w:hint="cs"/>
          <w:rtl/>
        </w:rPr>
        <w:t>،</w:t>
      </w:r>
      <w:r w:rsidR="009C32A0" w:rsidRPr="005675B2">
        <w:t xml:space="preserve"> </w:t>
      </w:r>
      <w:r w:rsidR="009C32A0" w:rsidRPr="005675B2">
        <w:rPr>
          <w:rFonts w:hint="cs"/>
          <w:rtl/>
        </w:rPr>
        <w:t>{لِتُنذِرَ قَوْماً مَّا أَتَاهُم مِّن</w:t>
      </w:r>
      <w:r w:rsidR="009C32A0" w:rsidRPr="005675B2">
        <w:rPr>
          <w:rFonts w:hint="cs"/>
        </w:rPr>
        <w:t xml:space="preserve"> </w:t>
      </w:r>
      <w:r w:rsidR="009C32A0" w:rsidRPr="005675B2">
        <w:rPr>
          <w:rFonts w:hint="cs"/>
          <w:rtl/>
        </w:rPr>
        <w:t>نَّذِيرٍ مِّن قَبْلِكَ لَعَلَّهُمْ يَهْتَدُونَ</w:t>
      </w:r>
      <w:r>
        <w:rPr>
          <w:rFonts w:hint="cs"/>
          <w:rtl/>
        </w:rPr>
        <w:t>}</w:t>
      </w:r>
      <w:r w:rsidR="009C32A0" w:rsidRPr="005675B2">
        <w:rPr>
          <w:rFonts w:hint="cs"/>
          <w:rtl/>
        </w:rPr>
        <w:t xml:space="preserve"> </w:t>
      </w:r>
      <w:r>
        <w:rPr>
          <w:rFonts w:hint="cs"/>
          <w:rtl/>
        </w:rPr>
        <w:t>[</w:t>
      </w:r>
      <w:r w:rsidR="009C32A0" w:rsidRPr="005675B2">
        <w:rPr>
          <w:rFonts w:hint="cs"/>
          <w:rtl/>
        </w:rPr>
        <w:t>السجدة</w:t>
      </w:r>
      <w:r>
        <w:rPr>
          <w:rFonts w:hint="cs"/>
          <w:rtl/>
        </w:rPr>
        <w:t>:</w:t>
      </w:r>
      <w:r w:rsidR="009C32A0" w:rsidRPr="005675B2">
        <w:rPr>
          <w:rFonts w:hint="cs"/>
          <w:rtl/>
        </w:rPr>
        <w:t xml:space="preserve"> 3</w:t>
      </w:r>
      <w:r>
        <w:rPr>
          <w:rFonts w:hint="cs"/>
          <w:rtl/>
        </w:rPr>
        <w:t>]</w:t>
      </w:r>
      <w:r w:rsidR="009C32A0" w:rsidRPr="005675B2">
        <w:rPr>
          <w:rFonts w:hint="cs"/>
          <w:rtl/>
        </w:rPr>
        <w:t>،</w:t>
      </w:r>
      <w:r w:rsidR="009C32A0" w:rsidRPr="005675B2">
        <w:t xml:space="preserve"> </w:t>
      </w:r>
      <w:r w:rsidR="009C32A0" w:rsidRPr="005675B2">
        <w:rPr>
          <w:rFonts w:hint="cs"/>
          <w:rtl/>
        </w:rPr>
        <w:t>{ومَا</w:t>
      </w:r>
      <w:r w:rsidR="009C32A0" w:rsidRPr="005675B2">
        <w:rPr>
          <w:rFonts w:hint="cs"/>
        </w:rPr>
        <w:t xml:space="preserve"> </w:t>
      </w:r>
      <w:r w:rsidR="009C32A0" w:rsidRPr="005675B2">
        <w:rPr>
          <w:rFonts w:hint="cs"/>
          <w:rtl/>
        </w:rPr>
        <w:t>آتَيْنَاهُم مِّن كُتُبٍ يَدْرُسُونَهَا وَمَا أَرْسَلْنَا إِلَيْهِمْ قَبْلَكَ مِن</w:t>
      </w:r>
      <w:r w:rsidR="009C32A0" w:rsidRPr="005675B2">
        <w:rPr>
          <w:rFonts w:hint="cs"/>
        </w:rPr>
        <w:t xml:space="preserve"> </w:t>
      </w:r>
      <w:r w:rsidR="009C32A0" w:rsidRPr="005675B2">
        <w:rPr>
          <w:rFonts w:hint="cs"/>
          <w:rtl/>
        </w:rPr>
        <w:t>نَّذِيرٍ</w:t>
      </w:r>
      <w:r>
        <w:rPr>
          <w:rFonts w:hint="cs"/>
          <w:rtl/>
        </w:rPr>
        <w:t>}</w:t>
      </w:r>
      <w:r w:rsidR="009C32A0" w:rsidRPr="005675B2">
        <w:rPr>
          <w:rFonts w:hint="cs"/>
          <w:rtl/>
        </w:rPr>
        <w:t xml:space="preserve"> </w:t>
      </w:r>
      <w:r>
        <w:rPr>
          <w:rFonts w:hint="cs"/>
          <w:rtl/>
        </w:rPr>
        <w:t>[</w:t>
      </w:r>
      <w:r w:rsidR="009C32A0" w:rsidRPr="005675B2">
        <w:rPr>
          <w:rFonts w:hint="cs"/>
          <w:rtl/>
        </w:rPr>
        <w:t>سبأ</w:t>
      </w:r>
      <w:r>
        <w:rPr>
          <w:rFonts w:hint="cs"/>
          <w:rtl/>
        </w:rPr>
        <w:t>:</w:t>
      </w:r>
      <w:r w:rsidR="009C32A0" w:rsidRPr="005675B2">
        <w:rPr>
          <w:rFonts w:hint="cs"/>
          <w:rtl/>
        </w:rPr>
        <w:t xml:space="preserve"> 44</w:t>
      </w:r>
      <w:r>
        <w:rPr>
          <w:rFonts w:hint="cs"/>
          <w:rtl/>
        </w:rPr>
        <w:t>]،</w:t>
      </w:r>
      <w:r w:rsidR="009C32A0" w:rsidRPr="005675B2">
        <w:rPr>
          <w:rFonts w:hint="cs"/>
          <w:rtl/>
        </w:rPr>
        <w:t xml:space="preserve"> وقال الإمام الطبري في تفسير قوله تعالى</w:t>
      </w:r>
      <w:r>
        <w:rPr>
          <w:rFonts w:hint="cs"/>
          <w:rtl/>
        </w:rPr>
        <w:t>:</w:t>
      </w:r>
      <w:r w:rsidR="009C32A0" w:rsidRPr="005675B2">
        <w:rPr>
          <w:rFonts w:hint="cs"/>
          <w:rtl/>
        </w:rPr>
        <w:t xml:space="preserve"> </w:t>
      </w:r>
      <w:r>
        <w:rPr>
          <w:rFonts w:hint="cs"/>
          <w:rtl/>
        </w:rPr>
        <w:t>{</w:t>
      </w:r>
      <w:r w:rsidR="009C32A0" w:rsidRPr="005675B2">
        <w:rPr>
          <w:rFonts w:hint="cs"/>
          <w:rtl/>
        </w:rPr>
        <w:t>وما</w:t>
      </w:r>
      <w:r w:rsidR="009C32A0" w:rsidRPr="005675B2">
        <w:rPr>
          <w:rFonts w:hint="cs"/>
        </w:rPr>
        <w:t xml:space="preserve"> </w:t>
      </w:r>
      <w:r w:rsidR="009C32A0" w:rsidRPr="005675B2">
        <w:rPr>
          <w:rFonts w:hint="cs"/>
          <w:rtl/>
        </w:rPr>
        <w:t>أرسلنا إليهم قبلك من نذير</w:t>
      </w:r>
      <w:r>
        <w:rPr>
          <w:rFonts w:hint="cs"/>
          <w:rtl/>
        </w:rPr>
        <w:t>}</w:t>
      </w:r>
      <w:r w:rsidR="009C32A0" w:rsidRPr="005675B2">
        <w:rPr>
          <w:rFonts w:hint="cs"/>
          <w:rtl/>
        </w:rPr>
        <w:t xml:space="preserve"> سبأ </w:t>
      </w:r>
      <w:r>
        <w:rPr>
          <w:rFonts w:hint="cs"/>
          <w:rtl/>
        </w:rPr>
        <w:t>(</w:t>
      </w:r>
      <w:r w:rsidR="009C32A0" w:rsidRPr="005675B2">
        <w:rPr>
          <w:rFonts w:hint="cs"/>
          <w:rtl/>
        </w:rPr>
        <w:t>44</w:t>
      </w:r>
      <w:r>
        <w:rPr>
          <w:rFonts w:hint="cs"/>
          <w:rtl/>
        </w:rPr>
        <w:t>):</w:t>
      </w:r>
      <w:r w:rsidR="009C32A0" w:rsidRPr="005675B2">
        <w:rPr>
          <w:rFonts w:hint="cs"/>
          <w:rtl/>
        </w:rPr>
        <w:t xml:space="preserve"> وما أرسلنا إلى هؤلاء المشركين من قومك يا</w:t>
      </w:r>
      <w:r w:rsidR="009C32A0" w:rsidRPr="005675B2">
        <w:rPr>
          <w:rFonts w:hint="cs"/>
        </w:rPr>
        <w:t xml:space="preserve"> </w:t>
      </w:r>
      <w:r w:rsidR="009C32A0" w:rsidRPr="005675B2">
        <w:rPr>
          <w:rFonts w:hint="cs"/>
          <w:rtl/>
        </w:rPr>
        <w:t>محمد فيما يقولون ويعملون قبلك من نبي ينذرهم بأسنا عليه</w:t>
      </w:r>
      <w:r>
        <w:rPr>
          <w:rFonts w:hint="cs"/>
          <w:rtl/>
        </w:rPr>
        <w:t>،</w:t>
      </w:r>
      <w:r w:rsidR="009C32A0" w:rsidRPr="005675B2">
        <w:rPr>
          <w:rFonts w:hint="cs"/>
          <w:rtl/>
        </w:rPr>
        <w:t xml:space="preserve"> وبنحو الذي قلنا في ذلك</w:t>
      </w:r>
      <w:r w:rsidR="009C32A0" w:rsidRPr="005675B2">
        <w:rPr>
          <w:rFonts w:hint="cs"/>
        </w:rPr>
        <w:t xml:space="preserve"> </w:t>
      </w:r>
      <w:r w:rsidR="009C32A0" w:rsidRPr="005675B2">
        <w:rPr>
          <w:rFonts w:hint="cs"/>
          <w:rtl/>
        </w:rPr>
        <w:t>قال أهل التأويل</w:t>
      </w:r>
      <w:r>
        <w:rPr>
          <w:rFonts w:hint="cs"/>
          <w:rtl/>
        </w:rPr>
        <w:t>،</w:t>
      </w:r>
      <w:r w:rsidR="009C32A0" w:rsidRPr="005675B2">
        <w:rPr>
          <w:rFonts w:hint="cs"/>
          <w:rtl/>
        </w:rPr>
        <w:t xml:space="preserve"> وقال تعالى</w:t>
      </w:r>
      <w:r>
        <w:rPr>
          <w:rFonts w:hint="cs"/>
          <w:rtl/>
        </w:rPr>
        <w:t>:</w:t>
      </w:r>
      <w:r w:rsidR="009C32A0" w:rsidRPr="005675B2">
        <w:rPr>
          <w:rFonts w:hint="cs"/>
          <w:rtl/>
        </w:rPr>
        <w:t>وما كنا معذبين حتى نبعث</w:t>
      </w:r>
      <w:r w:rsidR="009C32A0" w:rsidRPr="005675B2">
        <w:rPr>
          <w:rFonts w:hint="cs"/>
        </w:rPr>
        <w:t xml:space="preserve"> </w:t>
      </w:r>
      <w:r w:rsidR="009C32A0" w:rsidRPr="005675B2">
        <w:rPr>
          <w:rFonts w:hint="cs"/>
          <w:rtl/>
        </w:rPr>
        <w:t>رسولا ..</w:t>
      </w:r>
      <w:r w:rsidR="009C32A0" w:rsidRPr="005675B2">
        <w:rPr>
          <w:rFonts w:hint="cs"/>
          <w:bCs/>
          <w:rtl/>
        </w:rPr>
        <w:t xml:space="preserve"> </w:t>
      </w:r>
      <w:r w:rsidR="009C32A0" w:rsidRPr="005675B2">
        <w:rPr>
          <w:rFonts w:hint="cs"/>
          <w:rtl/>
        </w:rPr>
        <w:t>[</w:t>
      </w:r>
      <w:r w:rsidR="009C32A0" w:rsidRPr="005675B2">
        <w:rPr>
          <w:rFonts w:hint="cs"/>
          <w:bCs/>
          <w:sz w:val="24"/>
          <w:szCs w:val="24"/>
          <w:rtl/>
        </w:rPr>
        <w:t>هناك رسالة قيمة للإمام السيوطي (مسالك الحنفا في والدي المصطفى</w:t>
      </w:r>
      <w:r>
        <w:rPr>
          <w:rFonts w:hint="cs"/>
          <w:bCs/>
          <w:sz w:val="24"/>
          <w:szCs w:val="24"/>
          <w:rtl/>
        </w:rPr>
        <w:t>)</w:t>
      </w:r>
      <w:r w:rsidR="009C32A0" w:rsidRPr="005675B2">
        <w:rPr>
          <w:rFonts w:hint="cs"/>
          <w:bCs/>
          <w:sz w:val="24"/>
          <w:szCs w:val="24"/>
          <w:rtl/>
        </w:rPr>
        <w:t>وقد فصل في المسألة وهي مطبوعة ضمن الحاوي للفتاوي الجزء الثاني]</w:t>
      </w:r>
      <w:r>
        <w:rPr>
          <w:rFonts w:hint="cs"/>
          <w:rtl/>
        </w:rPr>
        <w:t>،</w:t>
      </w:r>
      <w:r w:rsidR="009C32A0" w:rsidRPr="005675B2">
        <w:rPr>
          <w:rFonts w:hint="cs"/>
          <w:rtl/>
        </w:rPr>
        <w:t xml:space="preserve"> إذن الأصل أن يغلب جانب حسن الظن في أبوي النبي صلى الله عليه وسلم على سوء</w:t>
      </w:r>
      <w:r w:rsidR="009C32A0" w:rsidRPr="005675B2">
        <w:rPr>
          <w:rFonts w:hint="cs"/>
        </w:rPr>
        <w:t xml:space="preserve"> </w:t>
      </w:r>
      <w:r w:rsidR="009C32A0" w:rsidRPr="005675B2">
        <w:rPr>
          <w:rFonts w:hint="cs"/>
          <w:rtl/>
        </w:rPr>
        <w:t>الظن ..</w:t>
      </w:r>
      <w:r>
        <w:rPr>
          <w:rFonts w:hint="cs"/>
          <w:rtl/>
        </w:rPr>
        <w:t xml:space="preserve"> </w:t>
      </w:r>
      <w:r w:rsidR="009C32A0" w:rsidRPr="005675B2">
        <w:rPr>
          <w:rFonts w:hint="cs"/>
          <w:rtl/>
        </w:rPr>
        <w:t>ثم إن دلالة القرآن قطعية، ودلالة السنة الصحيحة أقل منها إجماعاً،</w:t>
      </w:r>
      <w:r w:rsidR="009C32A0" w:rsidRPr="005675B2">
        <w:rPr>
          <w:rFonts w:hint="cs"/>
        </w:rPr>
        <w:t xml:space="preserve"> </w:t>
      </w:r>
      <w:r w:rsidR="009C32A0" w:rsidRPr="005675B2">
        <w:rPr>
          <w:rFonts w:hint="cs"/>
          <w:rtl/>
        </w:rPr>
        <w:t>والجمهور على عدم نسخ القرآن بالسنة، هذا في الأحكام، أما في الأخبار فلا ينسخ</w:t>
      </w:r>
      <w:r w:rsidR="009C32A0" w:rsidRPr="005675B2">
        <w:rPr>
          <w:rFonts w:hint="cs"/>
        </w:rPr>
        <w:t xml:space="preserve"> </w:t>
      </w:r>
      <w:r w:rsidR="009C32A0" w:rsidRPr="005675B2">
        <w:rPr>
          <w:rFonts w:hint="cs"/>
          <w:rtl/>
        </w:rPr>
        <w:t>القرآن حتى القرآن</w:t>
      </w:r>
      <w:r>
        <w:rPr>
          <w:rFonts w:hint="cs"/>
          <w:rtl/>
        </w:rPr>
        <w:t xml:space="preserve">، </w:t>
      </w:r>
      <w:r w:rsidR="009C32A0" w:rsidRPr="005675B2">
        <w:rPr>
          <w:rFonts w:hint="cs"/>
          <w:rtl/>
        </w:rPr>
        <w:t>ودلالة القرآن على أهل الفترة قطعية، ودلالة ما جاء من</w:t>
      </w:r>
      <w:r w:rsidR="009C32A0" w:rsidRPr="005675B2">
        <w:rPr>
          <w:rFonts w:hint="cs"/>
        </w:rPr>
        <w:t xml:space="preserve"> </w:t>
      </w:r>
      <w:r w:rsidR="009C32A0" w:rsidRPr="005675B2">
        <w:rPr>
          <w:rFonts w:hint="cs"/>
          <w:rtl/>
        </w:rPr>
        <w:t>الأحاديث حول والدي النبي صلى الله عليه وسلم ظنية قولا واحداً</w:t>
      </w:r>
      <w:r>
        <w:rPr>
          <w:rFonts w:hint="cs"/>
          <w:rtl/>
        </w:rPr>
        <w:t>،</w:t>
      </w:r>
      <w:r w:rsidR="009C32A0" w:rsidRPr="005675B2">
        <w:rPr>
          <w:rFonts w:hint="cs"/>
          <w:rtl/>
        </w:rPr>
        <w:t xml:space="preserve"> إذن ليست المسألة ذوق بل جمع للنصوص في المسألة ثم الحكم فيها </w:t>
      </w:r>
    </w:p>
    <w:p w14:paraId="5DF4602C" w14:textId="2E271944" w:rsidR="009C32A0" w:rsidRPr="005675B2" w:rsidRDefault="009C32A0" w:rsidP="000636C2">
      <w:pPr>
        <w:rPr>
          <w:b/>
        </w:rPr>
      </w:pPr>
      <w:r w:rsidRPr="005675B2">
        <w:rPr>
          <w:rFonts w:hint="cs"/>
          <w:bCs/>
          <w:rtl/>
        </w:rPr>
        <w:t>دعوى أن أهل السنة لا يعرفون إلا دليلاً يتيماً</w:t>
      </w:r>
      <w:r w:rsidR="000636C2">
        <w:rPr>
          <w:rFonts w:hint="cs"/>
          <w:bCs/>
          <w:rtl/>
        </w:rPr>
        <w:t>:</w:t>
      </w:r>
      <w:r w:rsidRPr="005675B2">
        <w:rPr>
          <w:rFonts w:hint="cs"/>
          <w:bCs/>
          <w:rtl/>
        </w:rPr>
        <w:t xml:space="preserve"> </w:t>
      </w:r>
      <w:r w:rsidRPr="005675B2">
        <w:rPr>
          <w:rFonts w:hint="cs"/>
          <w:rtl/>
        </w:rPr>
        <w:t>قال الكاتب</w:t>
      </w:r>
      <w:r w:rsidR="000636C2">
        <w:rPr>
          <w:rFonts w:hint="cs"/>
          <w:rtl/>
        </w:rPr>
        <w:t xml:space="preserve">: </w:t>
      </w:r>
      <w:r w:rsidRPr="005675B2">
        <w:rPr>
          <w:rFonts w:hint="cs"/>
          <w:rtl/>
        </w:rPr>
        <w:t>إثبات وجود الله</w:t>
      </w:r>
      <w:r w:rsidR="000636C2">
        <w:rPr>
          <w:rFonts w:hint="cs"/>
          <w:rtl/>
        </w:rPr>
        <w:t>:</w:t>
      </w:r>
      <w:r w:rsidRPr="005675B2">
        <w:rPr>
          <w:rFonts w:hint="cs"/>
          <w:rtl/>
        </w:rPr>
        <w:t xml:space="preserve"> معلوم أن مذهب السلف هو أن</w:t>
      </w:r>
      <w:r w:rsidRPr="005675B2">
        <w:rPr>
          <w:rFonts w:hint="cs"/>
        </w:rPr>
        <w:t xml:space="preserve"> </w:t>
      </w:r>
      <w:r w:rsidRPr="005675B2">
        <w:rPr>
          <w:rFonts w:hint="cs"/>
          <w:rtl/>
        </w:rPr>
        <w:t>وجوده تعالى أمر فطري معلوم بالضرورة والأدلة عليه في الكون والنفس والآثار والآفاق</w:t>
      </w:r>
      <w:r w:rsidRPr="005675B2">
        <w:rPr>
          <w:rFonts w:hint="cs"/>
        </w:rPr>
        <w:t xml:space="preserve"> </w:t>
      </w:r>
      <w:r w:rsidRPr="005675B2">
        <w:rPr>
          <w:rFonts w:hint="cs"/>
          <w:rtl/>
        </w:rPr>
        <w:t>والوحي أجل من الحصر</w:t>
      </w:r>
      <w:r w:rsidR="000636C2">
        <w:rPr>
          <w:rFonts w:hint="cs"/>
          <w:rtl/>
        </w:rPr>
        <w:t>،</w:t>
      </w:r>
      <w:r w:rsidRPr="005675B2">
        <w:rPr>
          <w:rFonts w:hint="cs"/>
          <w:rtl/>
        </w:rPr>
        <w:t xml:space="preserve"> ففي كل شيء له آية وعليه دليل</w:t>
      </w:r>
      <w:r w:rsidR="000636C2">
        <w:rPr>
          <w:rFonts w:hint="cs"/>
          <w:rtl/>
        </w:rPr>
        <w:t xml:space="preserve">، </w:t>
      </w:r>
      <w:r w:rsidRPr="005675B2">
        <w:rPr>
          <w:rFonts w:hint="cs"/>
          <w:rtl/>
        </w:rPr>
        <w:t>أما الأشاعرة فعندهم دليل</w:t>
      </w:r>
      <w:r w:rsidRPr="005675B2">
        <w:rPr>
          <w:rFonts w:hint="cs"/>
        </w:rPr>
        <w:t xml:space="preserve"> </w:t>
      </w:r>
      <w:r w:rsidRPr="005675B2">
        <w:rPr>
          <w:rFonts w:hint="cs"/>
          <w:rtl/>
        </w:rPr>
        <w:t>يتيم هو دليل</w:t>
      </w:r>
      <w:r w:rsidRPr="005675B2">
        <w:rPr>
          <w:rFonts w:hint="cs"/>
        </w:rPr>
        <w:t xml:space="preserve"> </w:t>
      </w:r>
      <w:r w:rsidRPr="005675B2">
        <w:rPr>
          <w:rFonts w:hint="cs"/>
          <w:rtl/>
        </w:rPr>
        <w:t>"</w:t>
      </w:r>
      <w:r w:rsidRPr="005675B2">
        <w:rPr>
          <w:rFonts w:hint="cs"/>
        </w:rPr>
        <w:t xml:space="preserve"> </w:t>
      </w:r>
      <w:r w:rsidRPr="005675B2">
        <w:rPr>
          <w:rFonts w:hint="cs"/>
          <w:rtl/>
        </w:rPr>
        <w:t>الحدوث والقدم</w:t>
      </w:r>
      <w:r w:rsidRPr="005675B2">
        <w:rPr>
          <w:rFonts w:hint="cs"/>
        </w:rPr>
        <w:t xml:space="preserve"> </w:t>
      </w:r>
      <w:r w:rsidRPr="005675B2">
        <w:rPr>
          <w:rFonts w:hint="cs"/>
          <w:rtl/>
        </w:rPr>
        <w:t>"</w:t>
      </w:r>
    </w:p>
    <w:p w14:paraId="031A5520" w14:textId="305D5E6F"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قول الكاتب</w:t>
      </w:r>
      <w:r>
        <w:rPr>
          <w:rFonts w:hint="cs"/>
          <w:rtl/>
        </w:rPr>
        <w:t>:</w:t>
      </w:r>
      <w:r w:rsidR="009C32A0" w:rsidRPr="005675B2">
        <w:rPr>
          <w:rFonts w:hint="cs"/>
          <w:rtl/>
        </w:rPr>
        <w:t xml:space="preserve"> </w:t>
      </w:r>
      <w:r>
        <w:rPr>
          <w:rFonts w:hint="cs"/>
          <w:rtl/>
        </w:rPr>
        <w:t>(</w:t>
      </w:r>
      <w:r w:rsidR="009C32A0" w:rsidRPr="005675B2">
        <w:rPr>
          <w:rFonts w:hint="cs"/>
          <w:rtl/>
        </w:rPr>
        <w:t>معلوم أن مذهب السلف هو أن</w:t>
      </w:r>
      <w:r w:rsidR="009C32A0" w:rsidRPr="005675B2">
        <w:rPr>
          <w:rFonts w:hint="cs"/>
        </w:rPr>
        <w:t xml:space="preserve"> </w:t>
      </w:r>
      <w:r w:rsidR="009C32A0" w:rsidRPr="005675B2">
        <w:rPr>
          <w:rFonts w:hint="cs"/>
          <w:rtl/>
        </w:rPr>
        <w:t>وجوده تعالى أمر فطري</w:t>
      </w:r>
      <w:r>
        <w:rPr>
          <w:rFonts w:hint="cs"/>
          <w:rtl/>
        </w:rPr>
        <w:t>):</w:t>
      </w:r>
      <w:r w:rsidR="009C32A0" w:rsidRPr="005675B2">
        <w:rPr>
          <w:rFonts w:hint="cs"/>
          <w:rtl/>
        </w:rPr>
        <w:t xml:space="preserve"> أخي الكريم</w:t>
      </w:r>
      <w:r>
        <w:rPr>
          <w:rFonts w:hint="cs"/>
          <w:rtl/>
        </w:rPr>
        <w:t>:</w:t>
      </w:r>
      <w:r w:rsidR="009C32A0" w:rsidRPr="005675B2">
        <w:rPr>
          <w:rFonts w:hint="cs"/>
          <w:rtl/>
        </w:rPr>
        <w:t xml:space="preserve"> هذا مذهب جميع أهل السنة والجماعة ولذا تجده في كثير من كتب الأشاعرة وغيرهم</w:t>
      </w:r>
      <w:r>
        <w:rPr>
          <w:rFonts w:hint="cs"/>
          <w:rtl/>
        </w:rPr>
        <w:t>،</w:t>
      </w:r>
      <w:r w:rsidR="009C32A0" w:rsidRPr="005675B2">
        <w:rPr>
          <w:rFonts w:hint="cs"/>
          <w:rtl/>
        </w:rPr>
        <w:t xml:space="preserve"> قال الغنيمي الأشعري في شرح الطحاوية</w:t>
      </w:r>
      <w:r>
        <w:rPr>
          <w:rFonts w:hint="cs"/>
          <w:rtl/>
        </w:rPr>
        <w:t>:</w:t>
      </w:r>
      <w:r w:rsidR="009C32A0" w:rsidRPr="005675B2">
        <w:rPr>
          <w:rFonts w:hint="cs"/>
          <w:rtl/>
        </w:rPr>
        <w:t xml:space="preserve"> فوجود الحق ثابت في فطرة الخلق كما في قوله تعالى (</w:t>
      </w:r>
      <w:r>
        <w:rPr>
          <w:rFonts w:hint="cs"/>
          <w:rtl/>
        </w:rPr>
        <w:t>(</w:t>
      </w:r>
      <w:r w:rsidR="009C32A0" w:rsidRPr="005675B2">
        <w:rPr>
          <w:rFonts w:hint="cs"/>
          <w:rtl/>
        </w:rPr>
        <w:t>فطرة الناس التي فطر الناس عليها</w:t>
      </w:r>
      <w:r>
        <w:rPr>
          <w:rFonts w:hint="cs"/>
          <w:rtl/>
        </w:rPr>
        <w:t>)</w:t>
      </w:r>
      <w:r w:rsidR="009C32A0" w:rsidRPr="005675B2">
        <w:rPr>
          <w:rFonts w:hint="cs"/>
          <w:rtl/>
        </w:rPr>
        <w:t>) [</w:t>
      </w:r>
      <w:r w:rsidR="009C32A0" w:rsidRPr="005675B2">
        <w:rPr>
          <w:rFonts w:hint="cs"/>
          <w:bCs/>
          <w:sz w:val="24"/>
          <w:szCs w:val="24"/>
          <w:rtl/>
        </w:rPr>
        <w:t>شرح الطحاوية 49.وتفسير الآية رقم</w:t>
      </w:r>
      <w:r>
        <w:rPr>
          <w:rFonts w:hint="cs"/>
          <w:bCs/>
          <w:sz w:val="24"/>
          <w:szCs w:val="24"/>
          <w:rtl/>
        </w:rPr>
        <w:t>(</w:t>
      </w:r>
      <w:r w:rsidR="009C32A0" w:rsidRPr="005675B2">
        <w:rPr>
          <w:rFonts w:hint="cs"/>
          <w:bCs/>
          <w:sz w:val="24"/>
          <w:szCs w:val="24"/>
          <w:rtl/>
        </w:rPr>
        <w:t>30</w:t>
      </w:r>
      <w:r>
        <w:rPr>
          <w:rFonts w:hint="cs"/>
          <w:bCs/>
          <w:sz w:val="24"/>
          <w:szCs w:val="24"/>
          <w:rtl/>
        </w:rPr>
        <w:t>)</w:t>
      </w:r>
      <w:r w:rsidR="009C32A0" w:rsidRPr="005675B2">
        <w:rPr>
          <w:rFonts w:hint="cs"/>
          <w:bCs/>
          <w:sz w:val="24"/>
          <w:szCs w:val="24"/>
          <w:rtl/>
        </w:rPr>
        <w:t xml:space="preserve"> من سورة الروم في</w:t>
      </w:r>
      <w:r>
        <w:rPr>
          <w:rFonts w:hint="cs"/>
          <w:bCs/>
          <w:sz w:val="24"/>
          <w:szCs w:val="24"/>
          <w:rtl/>
        </w:rPr>
        <w:t xml:space="preserve"> </w:t>
      </w:r>
      <w:r w:rsidR="009C32A0" w:rsidRPr="005675B2">
        <w:rPr>
          <w:rFonts w:hint="cs"/>
          <w:bCs/>
          <w:sz w:val="24"/>
          <w:szCs w:val="24"/>
          <w:rtl/>
        </w:rPr>
        <w:t>تفسير الإمام القرطبي الأشعري والإمام الرازي وغيرهم]</w:t>
      </w:r>
      <w:r w:rsidR="009C32A0" w:rsidRPr="005675B2">
        <w:rPr>
          <w:rFonts w:hint="cs"/>
          <w:rtl/>
        </w:rPr>
        <w:t>، وقال ابن عادل في تفسيره وقوله تبارك وتعالى</w:t>
      </w:r>
      <w:r>
        <w:rPr>
          <w:rFonts w:hint="cs"/>
          <w:rtl/>
        </w:rPr>
        <w:t>:</w:t>
      </w:r>
      <w:r w:rsidR="009C32A0" w:rsidRPr="005675B2">
        <w:rPr>
          <w:rFonts w:hint="cs"/>
          <w:rtl/>
        </w:rPr>
        <w:t xml:space="preserve"> </w:t>
      </w:r>
      <w:r>
        <w:rPr>
          <w:rFonts w:hint="cs"/>
          <w:rtl/>
        </w:rPr>
        <w:t>{</w:t>
      </w:r>
      <w:r w:rsidR="009C32A0" w:rsidRPr="005675B2">
        <w:rPr>
          <w:rFonts w:hint="cs"/>
          <w:rtl/>
        </w:rPr>
        <w:t>فطرت الله التي فطر الناس عليها</w:t>
      </w:r>
      <w:r>
        <w:rPr>
          <w:rFonts w:hint="cs"/>
          <w:rtl/>
        </w:rPr>
        <w:t>}</w:t>
      </w:r>
      <w:r w:rsidR="009C32A0" w:rsidRPr="005675B2">
        <w:rPr>
          <w:rFonts w:hint="cs"/>
          <w:rtl/>
        </w:rPr>
        <w:t xml:space="preserve"> </w:t>
      </w:r>
      <w:r>
        <w:rPr>
          <w:rFonts w:hint="cs"/>
          <w:rtl/>
        </w:rPr>
        <w:t>[</w:t>
      </w:r>
      <w:r w:rsidR="009C32A0" w:rsidRPr="005675B2">
        <w:rPr>
          <w:rFonts w:hint="cs"/>
          <w:rtl/>
        </w:rPr>
        <w:t>الروم</w:t>
      </w:r>
      <w:r>
        <w:rPr>
          <w:rFonts w:hint="cs"/>
          <w:rtl/>
        </w:rPr>
        <w:t>:</w:t>
      </w:r>
      <w:r w:rsidR="009C32A0" w:rsidRPr="005675B2">
        <w:rPr>
          <w:rFonts w:hint="cs"/>
          <w:rtl/>
        </w:rPr>
        <w:t xml:space="preserve"> 30</w:t>
      </w:r>
      <w:r>
        <w:rPr>
          <w:rFonts w:hint="cs"/>
          <w:rtl/>
        </w:rPr>
        <w:t>]</w:t>
      </w:r>
      <w:r w:rsidR="009C32A0" w:rsidRPr="005675B2">
        <w:rPr>
          <w:rFonts w:hint="cs"/>
          <w:rtl/>
        </w:rPr>
        <w:t xml:space="preserve"> إشارة منه إلى ما فطر</w:t>
      </w:r>
      <w:r>
        <w:rPr>
          <w:rFonts w:hint="cs"/>
          <w:rtl/>
        </w:rPr>
        <w:t>،</w:t>
      </w:r>
      <w:r w:rsidR="009C32A0" w:rsidRPr="005675B2">
        <w:rPr>
          <w:rFonts w:hint="cs"/>
          <w:rtl/>
        </w:rPr>
        <w:t xml:space="preserve"> أي</w:t>
      </w:r>
      <w:r>
        <w:rPr>
          <w:rFonts w:hint="cs"/>
          <w:rtl/>
        </w:rPr>
        <w:t>:</w:t>
      </w:r>
      <w:r w:rsidR="009C32A0" w:rsidRPr="005675B2">
        <w:rPr>
          <w:rFonts w:hint="cs"/>
          <w:rtl/>
        </w:rPr>
        <w:t xml:space="preserve"> أبدع وركز الناس من معرفته </w:t>
      </w:r>
      <w:r>
        <w:rPr>
          <w:rFonts w:hint="cs"/>
          <w:rtl/>
        </w:rPr>
        <w:t>[</w:t>
      </w:r>
      <w:r w:rsidR="009C32A0" w:rsidRPr="005675B2">
        <w:rPr>
          <w:rFonts w:hint="cs"/>
          <w:rtl/>
        </w:rPr>
        <w:t>ما ركز</w:t>
      </w:r>
      <w:r>
        <w:rPr>
          <w:rFonts w:hint="cs"/>
          <w:rtl/>
        </w:rPr>
        <w:t>]،</w:t>
      </w:r>
      <w:r w:rsidR="009C32A0" w:rsidRPr="005675B2">
        <w:rPr>
          <w:rFonts w:hint="cs"/>
          <w:rtl/>
        </w:rPr>
        <w:t xml:space="preserve"> ففطرة الله ما ركز من القوة المدركة لمعرفته</w:t>
      </w:r>
      <w:r>
        <w:rPr>
          <w:rFonts w:hint="cs"/>
          <w:rtl/>
        </w:rPr>
        <w:t>،</w:t>
      </w:r>
      <w:r w:rsidR="009C32A0" w:rsidRPr="005675B2">
        <w:rPr>
          <w:rFonts w:hint="cs"/>
          <w:rtl/>
        </w:rPr>
        <w:t xml:space="preserve"> أهـ</w:t>
      </w:r>
      <w:r>
        <w:rPr>
          <w:rFonts w:hint="cs"/>
          <w:rtl/>
        </w:rPr>
        <w:t xml:space="preserve"> [</w:t>
      </w:r>
      <w:r w:rsidR="009C32A0" w:rsidRPr="005675B2">
        <w:rPr>
          <w:rFonts w:hint="cs"/>
          <w:bCs/>
          <w:sz w:val="24"/>
          <w:szCs w:val="24"/>
          <w:rtl/>
        </w:rPr>
        <w:t>تفسير اللباب</w:t>
      </w:r>
      <w:r>
        <w:rPr>
          <w:rFonts w:hint="cs"/>
          <w:bCs/>
          <w:sz w:val="24"/>
          <w:szCs w:val="24"/>
          <w:rtl/>
        </w:rPr>
        <w:t>:</w:t>
      </w:r>
      <w:r w:rsidR="009C32A0" w:rsidRPr="005675B2">
        <w:rPr>
          <w:rFonts w:hint="cs"/>
          <w:bCs/>
          <w:sz w:val="24"/>
          <w:szCs w:val="24"/>
          <w:rtl/>
        </w:rPr>
        <w:t>6/365</w:t>
      </w:r>
      <w:r w:rsidR="009C32A0" w:rsidRPr="005675B2">
        <w:rPr>
          <w:rFonts w:hint="cs"/>
          <w:rtl/>
        </w:rPr>
        <w:t>]</w:t>
      </w:r>
      <w:r>
        <w:rPr>
          <w:rFonts w:hint="cs"/>
          <w:rtl/>
        </w:rPr>
        <w:t>،</w:t>
      </w:r>
      <w:r w:rsidR="009C32A0" w:rsidRPr="005675B2">
        <w:rPr>
          <w:rFonts w:hint="cs"/>
          <w:rtl/>
        </w:rPr>
        <w:t xml:space="preserve"> ومادام أنه مركوز في النفوس قبل التلقين فكيف تريد من العلماء أن يجادلوا به المشركين فمن المعلوم لكل عاقل أن الدليل والبرهان الذي يؤتى به لإثبات حقيقة قطعية لابد أن يكون في غاية الظهور والبيان</w:t>
      </w:r>
      <w:r>
        <w:rPr>
          <w:rFonts w:hint="cs"/>
          <w:rtl/>
        </w:rPr>
        <w:t>،</w:t>
      </w:r>
      <w:r w:rsidR="009C32A0" w:rsidRPr="005675B2">
        <w:rPr>
          <w:rFonts w:hint="cs"/>
          <w:rtl/>
        </w:rPr>
        <w:t xml:space="preserve"> أما الفطرة التي في نفس الصغير المستمرة معه حتى يتعلم من أهله ومن حوله فلا يستطيع العاقل أن يقيم بها برهاناً على الملاحدة ولا غيرهم</w:t>
      </w:r>
      <w:r>
        <w:rPr>
          <w:rFonts w:hint="cs"/>
          <w:rtl/>
        </w:rPr>
        <w:t>،</w:t>
      </w:r>
      <w:r w:rsidR="009C32A0" w:rsidRPr="005675B2">
        <w:rPr>
          <w:rFonts w:hint="cs"/>
          <w:rtl/>
        </w:rPr>
        <w:t>وتأمل في هذا الحديث قال الأسود بن سريع</w:t>
      </w:r>
      <w:r>
        <w:rPr>
          <w:rFonts w:hint="cs"/>
          <w:rtl/>
        </w:rPr>
        <w:t>:</w:t>
      </w:r>
      <w:r w:rsidR="009C32A0" w:rsidRPr="005675B2">
        <w:rPr>
          <w:rFonts w:hint="cs"/>
          <w:rtl/>
        </w:rPr>
        <w:t xml:space="preserve"> غزوت مع رسول الله {صلى الله عليه وسلم} أربع غزوات وأن قوماً تناولوا الذرية بالقتل،فقال رسول الله {صلى الله عليه وسلم} « ما بال أقوام قتلوا المقاتلة ثم تناولوا الذرية</w:t>
      </w:r>
      <w:r>
        <w:rPr>
          <w:rFonts w:hint="cs"/>
          <w:rtl/>
        </w:rPr>
        <w:t xml:space="preserve">؟ </w:t>
      </w:r>
      <w:r w:rsidR="009C32A0" w:rsidRPr="005675B2">
        <w:rPr>
          <w:rFonts w:hint="cs"/>
          <w:rtl/>
        </w:rPr>
        <w:t>»،فقال رجل</w:t>
      </w:r>
      <w:r>
        <w:rPr>
          <w:rFonts w:hint="cs"/>
          <w:rtl/>
        </w:rPr>
        <w:t>:</w:t>
      </w:r>
      <w:r w:rsidR="009C32A0" w:rsidRPr="005675B2">
        <w:rPr>
          <w:rFonts w:hint="cs"/>
          <w:rtl/>
        </w:rPr>
        <w:t xml:space="preserve"> يا رسول الله إنما هم أولاد المشركين،فقال</w:t>
      </w:r>
      <w:r>
        <w:rPr>
          <w:rFonts w:hint="cs"/>
          <w:rtl/>
        </w:rPr>
        <w:t>(</w:t>
      </w:r>
      <w:r w:rsidR="009C32A0" w:rsidRPr="005675B2">
        <w:rPr>
          <w:rFonts w:hint="cs"/>
          <w:rtl/>
        </w:rPr>
        <w:t>عليه السلام</w:t>
      </w:r>
      <w:r>
        <w:rPr>
          <w:rFonts w:hint="cs"/>
          <w:rtl/>
        </w:rPr>
        <w:t>):</w:t>
      </w:r>
      <w:r w:rsidR="009C32A0" w:rsidRPr="005675B2">
        <w:rPr>
          <w:rFonts w:hint="cs"/>
          <w:rtl/>
        </w:rPr>
        <w:t xml:space="preserve"> « إن خياركم أولاد المشركين،والذي نفسي بيده ما من مولود إلا يولد على الفطرة فما يزال عليها </w:t>
      </w:r>
      <w:r w:rsidR="009C32A0" w:rsidRPr="005675B2">
        <w:rPr>
          <w:rFonts w:hint="cs"/>
          <w:u w:val="single"/>
          <w:rtl/>
        </w:rPr>
        <w:t>حتى يبين عنه لسانه</w:t>
      </w:r>
      <w:r w:rsidR="009C32A0" w:rsidRPr="005675B2">
        <w:rPr>
          <w:rFonts w:hint="cs"/>
          <w:rtl/>
        </w:rPr>
        <w:t xml:space="preserve"> فأبواه يهودانه وينصرانه »</w:t>
      </w:r>
      <w:r>
        <w:rPr>
          <w:rFonts w:hint="cs"/>
          <w:rtl/>
        </w:rPr>
        <w:t>،</w:t>
      </w:r>
      <w:r w:rsidR="009C32A0" w:rsidRPr="005675B2">
        <w:rPr>
          <w:rFonts w:hint="cs"/>
          <w:rtl/>
        </w:rPr>
        <w:t xml:space="preserve"> فتأمل أيه المسلم العاقل هل يمكن أن تقيم دليلاً على المخالفين</w:t>
      </w:r>
      <w:r>
        <w:rPr>
          <w:rFonts w:hint="cs"/>
          <w:rtl/>
        </w:rPr>
        <w:t xml:space="preserve"> </w:t>
      </w:r>
      <w:r w:rsidR="009C32A0" w:rsidRPr="005675B2">
        <w:rPr>
          <w:rFonts w:hint="cs"/>
          <w:rtl/>
        </w:rPr>
        <w:t>بما كان في أصل خلقتهم</w:t>
      </w:r>
      <w:r>
        <w:rPr>
          <w:rFonts w:hint="cs"/>
          <w:rtl/>
        </w:rPr>
        <w:t>؟!</w:t>
      </w:r>
      <w:r w:rsidR="009C32A0" w:rsidRPr="005675B2">
        <w:rPr>
          <w:rFonts w:hint="cs"/>
          <w:rtl/>
        </w:rPr>
        <w:t>فآل الأمر إلى التلقين فقط فإن لقنوه الإسلام تلقن، أو لقنوه الكفر تلقن</w:t>
      </w:r>
      <w:r>
        <w:rPr>
          <w:rFonts w:hint="cs"/>
          <w:rtl/>
        </w:rPr>
        <w:t>،</w:t>
      </w:r>
      <w:r w:rsidR="009C32A0" w:rsidRPr="005675B2">
        <w:rPr>
          <w:rFonts w:hint="cs"/>
          <w:rtl/>
        </w:rPr>
        <w:t>وأما الاستدلال والفهم والمحاجة فلاتكون إلا بأمر ظاهر في الدلالة</w:t>
      </w:r>
      <w:r>
        <w:rPr>
          <w:rFonts w:hint="cs"/>
          <w:rtl/>
        </w:rPr>
        <w:t>،</w:t>
      </w:r>
      <w:r w:rsidR="009C32A0" w:rsidRPr="005675B2">
        <w:rPr>
          <w:rFonts w:hint="cs"/>
          <w:rtl/>
        </w:rPr>
        <w:t xml:space="preserve"> فنعم الإسلام مركوز في نفوس</w:t>
      </w:r>
      <w:r>
        <w:rPr>
          <w:rFonts w:hint="cs"/>
          <w:rtl/>
        </w:rPr>
        <w:t>،</w:t>
      </w:r>
      <w:r w:rsidR="009C32A0" w:rsidRPr="005675B2">
        <w:rPr>
          <w:rFonts w:hint="cs"/>
          <w:rtl/>
        </w:rPr>
        <w:t>ولكن سرعان ما يتغير إلى ما عليه آبائه</w:t>
      </w:r>
      <w:r>
        <w:rPr>
          <w:rFonts w:hint="cs"/>
          <w:rtl/>
        </w:rPr>
        <w:t>،</w:t>
      </w:r>
      <w:r w:rsidR="009C32A0" w:rsidRPr="005675B2">
        <w:rPr>
          <w:rFonts w:hint="cs"/>
          <w:rtl/>
        </w:rPr>
        <w:t>أو يثبت عليه</w:t>
      </w:r>
      <w:r>
        <w:rPr>
          <w:rFonts w:hint="cs"/>
          <w:rtl/>
        </w:rPr>
        <w:t>،</w:t>
      </w:r>
      <w:r w:rsidR="009C32A0" w:rsidRPr="005675B2">
        <w:rPr>
          <w:rFonts w:hint="cs"/>
          <w:rtl/>
        </w:rPr>
        <w:t>وذلك حسب التلقي</w:t>
      </w:r>
      <w:r>
        <w:rPr>
          <w:rFonts w:hint="cs"/>
          <w:rtl/>
        </w:rPr>
        <w:t>،</w:t>
      </w:r>
      <w:r w:rsidR="009C32A0" w:rsidRPr="005675B2">
        <w:rPr>
          <w:rFonts w:hint="cs"/>
          <w:rtl/>
        </w:rPr>
        <w:t xml:space="preserve"> فأين هذا من الأدلة والبراهين القاطعة</w:t>
      </w:r>
      <w:r>
        <w:rPr>
          <w:rFonts w:hint="cs"/>
          <w:rtl/>
        </w:rPr>
        <w:t>؟!</w:t>
      </w:r>
      <w:r w:rsidR="009C32A0" w:rsidRPr="005675B2">
        <w:rPr>
          <w:rFonts w:hint="cs"/>
          <w:rtl/>
        </w:rPr>
        <w:t>عفى الله عنكم</w:t>
      </w:r>
      <w:r>
        <w:rPr>
          <w:rFonts w:hint="cs"/>
          <w:rtl/>
        </w:rPr>
        <w:t>،</w:t>
      </w:r>
    </w:p>
    <w:p w14:paraId="244057A3" w14:textId="4B4DAC05"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قولك</w:t>
      </w:r>
      <w:r w:rsidR="000636C2">
        <w:rPr>
          <w:rFonts w:hint="cs"/>
          <w:rtl/>
        </w:rPr>
        <w:t>:</w:t>
      </w:r>
      <w:r w:rsidRPr="005675B2">
        <w:rPr>
          <w:rFonts w:hint="cs"/>
          <w:rtl/>
        </w:rPr>
        <w:t xml:space="preserve"> </w:t>
      </w:r>
      <w:r w:rsidR="000636C2">
        <w:rPr>
          <w:rFonts w:hint="cs"/>
          <w:rtl/>
        </w:rPr>
        <w:t>(</w:t>
      </w:r>
      <w:r w:rsidRPr="005675B2">
        <w:rPr>
          <w:rFonts w:hint="cs"/>
          <w:rtl/>
        </w:rPr>
        <w:t>والأدلة عليه في الكون والنفس والآثار والآفاق</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هذه الدلائل التي ذكرتها تحتاج إلى آلة للاستدلال </w:t>
      </w:r>
      <w:r w:rsidRPr="005675B2">
        <w:rPr>
          <w:rFonts w:hint="cs"/>
          <w:u w:val="single"/>
          <w:rtl/>
        </w:rPr>
        <w:t>وهي العقل</w:t>
      </w:r>
      <w:r w:rsidR="000636C2">
        <w:rPr>
          <w:rFonts w:hint="cs"/>
          <w:rtl/>
        </w:rPr>
        <w:t xml:space="preserve"> </w:t>
      </w:r>
      <w:r w:rsidRPr="005675B2">
        <w:rPr>
          <w:rFonts w:hint="cs"/>
          <w:rtl/>
        </w:rPr>
        <w:t>فيستدل بها العقل على وجود الخالق فهي أدلة حسية لا ينكرها الأشاعرة ولا غيرهم من أهل السنة</w:t>
      </w:r>
      <w:r w:rsidR="000636C2">
        <w:rPr>
          <w:rFonts w:hint="cs"/>
          <w:rtl/>
        </w:rPr>
        <w:t>،</w:t>
      </w:r>
      <w:r w:rsidRPr="005675B2">
        <w:rPr>
          <w:rFonts w:hint="cs"/>
          <w:rtl/>
        </w:rPr>
        <w:t>ولا يقتصرون عليها</w:t>
      </w:r>
      <w:r w:rsidR="000636C2">
        <w:rPr>
          <w:rFonts w:hint="cs"/>
          <w:rtl/>
        </w:rPr>
        <w:t>،</w:t>
      </w:r>
      <w:r w:rsidRPr="005675B2">
        <w:rPr>
          <w:rFonts w:hint="cs"/>
          <w:rtl/>
        </w:rPr>
        <w:t>ومرجعها إلى آلة تفهم هذه الأدلة وهي العقل</w:t>
      </w:r>
      <w:r w:rsidR="000636C2">
        <w:rPr>
          <w:rFonts w:hint="cs"/>
          <w:rtl/>
        </w:rPr>
        <w:t>،</w:t>
      </w:r>
      <w:r w:rsidRPr="005675B2">
        <w:rPr>
          <w:rFonts w:hint="cs"/>
          <w:rtl/>
        </w:rPr>
        <w:t>فنقضت ماكنت تغزل من بداية الكتاب</w:t>
      </w:r>
      <w:r w:rsidR="000636C2">
        <w:rPr>
          <w:rFonts w:hint="cs"/>
          <w:rtl/>
        </w:rPr>
        <w:t>،</w:t>
      </w:r>
      <w:r w:rsidRPr="005675B2">
        <w:rPr>
          <w:rFonts w:hint="cs"/>
          <w:rtl/>
        </w:rPr>
        <w:t xml:space="preserve"> ولا حظ أخي المكرم أن الماديين في زماننا جعلوا من هذه الدلائل الحسية براهين على أن العالم يقوم على العلل المحسوسة فقط</w:t>
      </w:r>
      <w:r w:rsidR="000636C2">
        <w:rPr>
          <w:rFonts w:hint="cs"/>
          <w:rtl/>
        </w:rPr>
        <w:t>،</w:t>
      </w:r>
      <w:r w:rsidRPr="005675B2">
        <w:rPr>
          <w:rFonts w:hint="cs"/>
          <w:rtl/>
        </w:rPr>
        <w:t>وأنكروا وجود الله تعالى</w:t>
      </w:r>
      <w:r w:rsidR="000636C2">
        <w:rPr>
          <w:rFonts w:hint="cs"/>
          <w:rtl/>
        </w:rPr>
        <w:t>،</w:t>
      </w:r>
      <w:r w:rsidRPr="005675B2">
        <w:rPr>
          <w:rFonts w:hint="cs"/>
          <w:rtl/>
        </w:rPr>
        <w:t>فما ألجمهم إلا الأدلة العقلية التي تبين أن هناك شيء يؤثر في الأشياء ولا يتأثر بها</w:t>
      </w:r>
      <w:r w:rsidR="000636C2">
        <w:rPr>
          <w:rFonts w:hint="cs"/>
          <w:rtl/>
        </w:rPr>
        <w:t>،</w:t>
      </w:r>
      <w:r w:rsidRPr="005675B2">
        <w:rPr>
          <w:rFonts w:hint="cs"/>
          <w:rtl/>
        </w:rPr>
        <w:t>وهي تحتاج إليه وهو غني عنها</w:t>
      </w:r>
      <w:r w:rsidR="000636C2">
        <w:rPr>
          <w:rFonts w:hint="cs"/>
          <w:rtl/>
        </w:rPr>
        <w:t>،</w:t>
      </w:r>
      <w:r w:rsidRPr="005675B2">
        <w:rPr>
          <w:rFonts w:hint="cs"/>
          <w:rtl/>
        </w:rPr>
        <w:t>وذلك عن طريق برهان بطلان</w:t>
      </w:r>
      <w:r w:rsidR="000636C2">
        <w:rPr>
          <w:rFonts w:hint="cs"/>
          <w:rtl/>
        </w:rPr>
        <w:t xml:space="preserve"> </w:t>
      </w:r>
      <w:r w:rsidRPr="005675B2">
        <w:rPr>
          <w:rFonts w:hint="cs"/>
          <w:rtl/>
        </w:rPr>
        <w:t>التسلسل</w:t>
      </w:r>
      <w:r w:rsidR="000636C2">
        <w:rPr>
          <w:rFonts w:hint="cs"/>
          <w:rtl/>
        </w:rPr>
        <w:t>،</w:t>
      </w:r>
      <w:r w:rsidRPr="005675B2">
        <w:rPr>
          <w:rFonts w:hint="cs"/>
          <w:rtl/>
        </w:rPr>
        <w:t>والدور</w:t>
      </w:r>
      <w:r w:rsidR="000636C2">
        <w:rPr>
          <w:rFonts w:hint="cs"/>
          <w:rtl/>
        </w:rPr>
        <w:t>،</w:t>
      </w:r>
      <w:r w:rsidRPr="005675B2">
        <w:rPr>
          <w:rFonts w:hint="cs"/>
          <w:rtl/>
        </w:rPr>
        <w:t>والرجحان بلا مرجح</w:t>
      </w:r>
      <w:r w:rsidR="000636C2">
        <w:rPr>
          <w:rFonts w:hint="cs"/>
          <w:rtl/>
        </w:rPr>
        <w:t>،</w:t>
      </w:r>
      <w:r w:rsidRPr="005675B2">
        <w:rPr>
          <w:rFonts w:hint="cs"/>
          <w:rtl/>
        </w:rPr>
        <w:t xml:space="preserve"> ثم إثبات وجود الله بدليل الحكمة والتناسق أو ما يسمى بقانون السببية</w:t>
      </w:r>
      <w:r w:rsidR="000636C2">
        <w:rPr>
          <w:rFonts w:hint="cs"/>
          <w:rtl/>
        </w:rPr>
        <w:t>،</w:t>
      </w:r>
      <w:r w:rsidRPr="005675B2">
        <w:rPr>
          <w:rFonts w:hint="cs"/>
          <w:rtl/>
        </w:rPr>
        <w:t>وكلها أدلة عقلية وحتى يفهمها القارىء النبيه فعليه بشرح مبسط لها في كتاب كبرى اليقينيات الكونية لعلامة الشام الشيخ</w:t>
      </w:r>
      <w:r w:rsidR="000636C2">
        <w:rPr>
          <w:rFonts w:hint="cs"/>
          <w:rtl/>
        </w:rPr>
        <w:t>:</w:t>
      </w:r>
      <w:r w:rsidRPr="005675B2">
        <w:rPr>
          <w:rFonts w:hint="cs"/>
          <w:rtl/>
        </w:rPr>
        <w:t>محمد سعيد البوطي - وفقه الله -</w:t>
      </w:r>
      <w:r w:rsidR="000636C2">
        <w:rPr>
          <w:rFonts w:hint="cs"/>
          <w:rtl/>
        </w:rPr>
        <w:t xml:space="preserve">، </w:t>
      </w:r>
      <w:r w:rsidRPr="005675B2">
        <w:rPr>
          <w:rFonts w:hint="cs"/>
          <w:rtl/>
        </w:rPr>
        <w:t>[</w:t>
      </w:r>
      <w:r w:rsidRPr="005675B2">
        <w:rPr>
          <w:rFonts w:hint="cs"/>
          <w:bCs/>
          <w:sz w:val="24"/>
          <w:szCs w:val="24"/>
          <w:rtl/>
        </w:rPr>
        <w:t>انظر كتاب كبرى اليقينيات الكونية للبوطي ص79</w:t>
      </w:r>
      <w:r w:rsidRPr="005675B2">
        <w:rPr>
          <w:rFonts w:hint="cs"/>
          <w:rtl/>
        </w:rPr>
        <w:t>]</w:t>
      </w:r>
    </w:p>
    <w:p w14:paraId="536EC5BC" w14:textId="779789DB"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قولك ليس عند الأشاعرة دليل على وجود الله إلا دليل الحدوث والقدم</w:t>
      </w:r>
      <w:r w:rsidR="000636C2">
        <w:rPr>
          <w:rFonts w:hint="cs"/>
          <w:rtl/>
        </w:rPr>
        <w:t>،</w:t>
      </w:r>
      <w:r w:rsidRPr="005675B2">
        <w:rPr>
          <w:rFonts w:hint="cs"/>
          <w:rtl/>
        </w:rPr>
        <w:t xml:space="preserve"> هذا غير صحيح فهناك</w:t>
      </w:r>
      <w:r w:rsidR="000636C2">
        <w:rPr>
          <w:rFonts w:hint="cs"/>
          <w:rtl/>
        </w:rPr>
        <w:t xml:space="preserve"> </w:t>
      </w:r>
      <w:r w:rsidRPr="005675B2">
        <w:rPr>
          <w:rFonts w:hint="cs"/>
          <w:rtl/>
        </w:rPr>
        <w:t>يا أخي الكريم ثلاثة أشياء</w:t>
      </w:r>
      <w:r w:rsidR="000636C2">
        <w:rPr>
          <w:rFonts w:hint="cs"/>
          <w:rtl/>
        </w:rPr>
        <w:t>:</w:t>
      </w:r>
    </w:p>
    <w:p w14:paraId="5BA48CA5" w14:textId="657263A7" w:rsidR="009C32A0" w:rsidRPr="005675B2" w:rsidRDefault="009C32A0" w:rsidP="000636C2">
      <w:pPr>
        <w:pStyle w:val="afb"/>
        <w:numPr>
          <w:ilvl w:val="0"/>
          <w:numId w:val="49"/>
        </w:numPr>
        <w:ind w:left="0" w:firstLine="0"/>
        <w:jc w:val="both"/>
        <w:rPr>
          <w:b w:val="0"/>
        </w:rPr>
      </w:pPr>
      <w:r w:rsidRPr="005675B2">
        <w:rPr>
          <w:rFonts w:hint="cs"/>
          <w:b w:val="0"/>
          <w:rtl/>
        </w:rPr>
        <w:t>- أما كونه دليلاً فلاشك في ذلك بل هو أقوى الأدلة بلا ريب</w:t>
      </w:r>
      <w:r w:rsidR="000636C2">
        <w:rPr>
          <w:rFonts w:hint="cs"/>
          <w:b w:val="0"/>
          <w:rtl/>
        </w:rPr>
        <w:t xml:space="preserve"> </w:t>
      </w:r>
      <w:r w:rsidRPr="005675B2">
        <w:rPr>
          <w:rFonts w:hint="cs"/>
          <w:b w:val="0"/>
          <w:rtl/>
        </w:rPr>
        <w:t>في ذلك</w:t>
      </w:r>
      <w:r w:rsidR="000636C2">
        <w:rPr>
          <w:rFonts w:hint="cs"/>
          <w:b w:val="0"/>
          <w:rtl/>
        </w:rPr>
        <w:t>،</w:t>
      </w:r>
      <w:r w:rsidRPr="005675B2">
        <w:rPr>
          <w:rFonts w:hint="cs"/>
          <w:b w:val="0"/>
          <w:rtl/>
        </w:rPr>
        <w:t xml:space="preserve"> قال تعالى (</w:t>
      </w:r>
      <w:r w:rsidR="000636C2">
        <w:rPr>
          <w:rFonts w:hint="cs"/>
          <w:b w:val="0"/>
          <w:rtl/>
        </w:rPr>
        <w:t>(</w:t>
      </w:r>
      <w:r w:rsidRPr="005675B2">
        <w:rPr>
          <w:rFonts w:hint="cs"/>
          <w:b w:val="0"/>
          <w:rtl/>
        </w:rPr>
        <w:t>لو كان فيهما آلهة إلا الله لفسدتا</w:t>
      </w:r>
      <w:r w:rsidR="000636C2">
        <w:rPr>
          <w:rFonts w:hint="cs"/>
          <w:b w:val="0"/>
          <w:rtl/>
        </w:rPr>
        <w:t>)</w:t>
      </w:r>
      <w:r w:rsidRPr="005675B2">
        <w:rPr>
          <w:rFonts w:hint="cs"/>
          <w:b w:val="0"/>
          <w:rtl/>
        </w:rPr>
        <w:t>)بل إن</w:t>
      </w:r>
      <w:r w:rsidR="000636C2">
        <w:rPr>
          <w:rFonts w:hint="cs"/>
          <w:b w:val="0"/>
          <w:rtl/>
        </w:rPr>
        <w:t xml:space="preserve"> </w:t>
      </w:r>
      <w:r w:rsidRPr="005675B2">
        <w:rPr>
          <w:rFonts w:hint="cs"/>
          <w:b w:val="0"/>
          <w:rtl/>
        </w:rPr>
        <w:t>نظرية الحدوث والقدم كانت هي الدليل الذي خضع له كثيرمن الملحدين</w:t>
      </w:r>
      <w:r w:rsidR="000636C2">
        <w:rPr>
          <w:rFonts w:hint="cs"/>
          <w:b w:val="0"/>
          <w:rtl/>
        </w:rPr>
        <w:t>:</w:t>
      </w:r>
      <w:r w:rsidRPr="005675B2">
        <w:rPr>
          <w:rFonts w:hint="cs"/>
          <w:b w:val="0"/>
          <w:rtl/>
        </w:rPr>
        <w:t xml:space="preserve"> إن ما أذهلني حقاً هو كيفية بناء أو نشأة الحياة</w:t>
      </w:r>
      <w:r w:rsidR="000636C2">
        <w:rPr>
          <w:rFonts w:hint="cs"/>
          <w:b w:val="0"/>
          <w:rtl/>
        </w:rPr>
        <w:t>،</w:t>
      </w:r>
      <w:r w:rsidRPr="005675B2">
        <w:rPr>
          <w:rFonts w:hint="cs"/>
          <w:b w:val="0"/>
          <w:rtl/>
        </w:rPr>
        <w:t>فنظام نشأة الحياة أمر بالغ</w:t>
      </w:r>
      <w:r w:rsidRPr="005675B2">
        <w:rPr>
          <w:rFonts w:hint="cs"/>
        </w:rPr>
        <w:t xml:space="preserve"> </w:t>
      </w:r>
      <w:r w:rsidRPr="005675B2">
        <w:rPr>
          <w:rFonts w:hint="cs"/>
          <w:b w:val="0"/>
          <w:rtl/>
        </w:rPr>
        <w:t>التعقيد، فهو مستمر على ما هو عليه على نحو متواصل</w:t>
      </w:r>
      <w:r w:rsidR="000636C2">
        <w:rPr>
          <w:rFonts w:hint="cs"/>
          <w:b w:val="0"/>
          <w:rtl/>
        </w:rPr>
        <w:t>،</w:t>
      </w:r>
      <w:r w:rsidRPr="005675B2">
        <w:rPr>
          <w:rFonts w:hint="cs"/>
          <w:b w:val="0"/>
          <w:rtl/>
        </w:rPr>
        <w:t xml:space="preserve">أي </w:t>
      </w:r>
      <w:r w:rsidRPr="005675B2">
        <w:rPr>
          <w:rFonts w:hint="cs"/>
          <w:b w:val="0"/>
          <w:u w:val="single"/>
          <w:rtl/>
        </w:rPr>
        <w:t>أن هناك</w:t>
      </w:r>
      <w:r w:rsidR="000636C2">
        <w:rPr>
          <w:rFonts w:hint="cs"/>
          <w:b w:val="0"/>
          <w:u w:val="single"/>
          <w:rtl/>
        </w:rPr>
        <w:t xml:space="preserve"> </w:t>
      </w:r>
      <w:r w:rsidRPr="005675B2">
        <w:rPr>
          <w:rFonts w:hint="cs"/>
          <w:b w:val="0"/>
          <w:u w:val="single"/>
          <w:rtl/>
        </w:rPr>
        <w:t>قوه خارقه وراء نشأة</w:t>
      </w:r>
      <w:r w:rsidRPr="005675B2">
        <w:rPr>
          <w:rFonts w:hint="cs"/>
          <w:u w:val="single"/>
        </w:rPr>
        <w:t xml:space="preserve"> </w:t>
      </w:r>
      <w:r w:rsidRPr="005675B2">
        <w:rPr>
          <w:rFonts w:hint="cs"/>
          <w:b w:val="0"/>
          <w:u w:val="single"/>
          <w:rtl/>
        </w:rPr>
        <w:t>هذه الحياة</w:t>
      </w:r>
      <w:r w:rsidR="000636C2">
        <w:rPr>
          <w:rFonts w:hint="cs"/>
          <w:b w:val="0"/>
          <w:u w:val="single"/>
          <w:rtl/>
        </w:rPr>
        <w:t>،</w:t>
      </w:r>
      <w:r w:rsidRPr="005675B2">
        <w:rPr>
          <w:rFonts w:hint="cs"/>
          <w:b w:val="0"/>
          <w:u w:val="single"/>
          <w:rtl/>
        </w:rPr>
        <w:t xml:space="preserve"> </w:t>
      </w:r>
      <w:r w:rsidR="000636C2">
        <w:rPr>
          <w:rFonts w:hint="cs"/>
          <w:b w:val="0"/>
          <w:u w:val="single"/>
          <w:rtl/>
        </w:rPr>
        <w:t>[</w:t>
      </w:r>
      <w:r w:rsidRPr="005675B2">
        <w:rPr>
          <w:rFonts w:hint="cs"/>
          <w:bCs/>
          <w:sz w:val="24"/>
          <w:szCs w:val="24"/>
          <w:rtl/>
        </w:rPr>
        <w:t>مع أنهم في كلامهم يأتون بألفاظ لا تجوز كتسمية الله</w:t>
      </w:r>
      <w:r w:rsidR="000636C2">
        <w:rPr>
          <w:rFonts w:hint="cs"/>
          <w:bCs/>
          <w:sz w:val="24"/>
          <w:szCs w:val="24"/>
          <w:rtl/>
        </w:rPr>
        <w:t xml:space="preserve"> </w:t>
      </w:r>
      <w:r w:rsidRPr="005675B2">
        <w:rPr>
          <w:rFonts w:hint="cs"/>
          <w:bCs/>
          <w:sz w:val="24"/>
          <w:szCs w:val="24"/>
          <w:rtl/>
        </w:rPr>
        <w:t>بالقوة الخارقة ولذا فوجب ال</w:t>
      </w:r>
      <w:r w:rsidR="000636C2">
        <w:rPr>
          <w:rFonts w:hint="cs"/>
          <w:bCs/>
          <w:sz w:val="24"/>
          <w:szCs w:val="24"/>
          <w:rtl/>
        </w:rPr>
        <w:t>(</w:t>
      </w:r>
      <w:r>
        <w:rPr>
          <w:rFonts w:hint="cs"/>
          <w:bCs/>
          <w:sz w:val="24"/>
          <w:szCs w:val="24"/>
          <w:rtl/>
        </w:rPr>
        <w:t>تنبيه</w:t>
      </w:r>
      <w:r w:rsidR="000636C2">
        <w:rPr>
          <w:rFonts w:hint="cs"/>
          <w:bCs/>
          <w:sz w:val="24"/>
          <w:szCs w:val="24"/>
          <w:rtl/>
        </w:rPr>
        <w:t>)</w:t>
      </w:r>
      <w:r w:rsidRPr="005675B2">
        <w:rPr>
          <w:rFonts w:hint="cs"/>
          <w:bCs/>
          <w:sz w:val="24"/>
          <w:szCs w:val="24"/>
          <w:rtl/>
        </w:rPr>
        <w:t xml:space="preserve"> إلى عدم إقراري لهم بشيء يخالف عقيدة أهل السنة.</w:t>
      </w:r>
      <w:r w:rsidR="000636C2">
        <w:rPr>
          <w:rFonts w:hint="cs"/>
          <w:bCs/>
          <w:sz w:val="24"/>
          <w:szCs w:val="24"/>
          <w:rtl/>
        </w:rPr>
        <w:t>]</w:t>
      </w:r>
      <w:r w:rsidR="000636C2">
        <w:rPr>
          <w:rFonts w:hint="cs"/>
          <w:b w:val="0"/>
          <w:rtl/>
        </w:rPr>
        <w:t>،</w:t>
      </w:r>
      <w:r w:rsidRPr="005675B2">
        <w:rPr>
          <w:rFonts w:hint="cs"/>
          <w:b w:val="0"/>
          <w:rtl/>
        </w:rPr>
        <w:t xml:space="preserve"> يقول الملحد البريطاني</w:t>
      </w:r>
      <w:r w:rsidR="000636C2">
        <w:rPr>
          <w:rFonts w:hint="cs"/>
          <w:b w:val="0"/>
          <w:rtl/>
        </w:rPr>
        <w:t>:</w:t>
      </w:r>
      <w:r w:rsidRPr="005675B2">
        <w:rPr>
          <w:rFonts w:hint="cs"/>
          <w:b w:val="0"/>
          <w:rtl/>
        </w:rPr>
        <w:t xml:space="preserve"> أنطواني فلو</w:t>
      </w:r>
      <w:r w:rsidR="000636C2">
        <w:rPr>
          <w:rFonts w:hint="cs"/>
          <w:b w:val="0"/>
          <w:rtl/>
        </w:rPr>
        <w:t xml:space="preserve"> </w:t>
      </w:r>
      <w:r w:rsidRPr="005675B2">
        <w:rPr>
          <w:rFonts w:hint="cs"/>
          <w:b w:val="0"/>
          <w:rtl/>
        </w:rPr>
        <w:t>- الذي</w:t>
      </w:r>
      <w:r w:rsidR="000636C2">
        <w:rPr>
          <w:rFonts w:hint="cs"/>
          <w:b w:val="0"/>
          <w:rtl/>
        </w:rPr>
        <w:t xml:space="preserve"> </w:t>
      </w:r>
      <w:r w:rsidRPr="005675B2">
        <w:rPr>
          <w:rFonts w:hint="cs"/>
          <w:b w:val="0"/>
          <w:rtl/>
        </w:rPr>
        <w:t>عاد في الآونه الأخيرة</w:t>
      </w:r>
      <w:r w:rsidR="000636C2">
        <w:rPr>
          <w:rFonts w:hint="cs"/>
          <w:b w:val="0"/>
          <w:rtl/>
        </w:rPr>
        <w:t xml:space="preserve"> </w:t>
      </w:r>
      <w:r w:rsidRPr="005675B2">
        <w:rPr>
          <w:rFonts w:hint="cs"/>
          <w:b w:val="0"/>
          <w:rtl/>
        </w:rPr>
        <w:t>ليعلن أنه قد تراجع عن الخطأ الذي وقع فيه وتخلى</w:t>
      </w:r>
      <w:r w:rsidRPr="005675B2">
        <w:rPr>
          <w:rFonts w:hint="cs"/>
        </w:rPr>
        <w:t xml:space="preserve"> </w:t>
      </w:r>
      <w:r w:rsidRPr="005675B2">
        <w:rPr>
          <w:rFonts w:hint="cs"/>
          <w:b w:val="0"/>
          <w:rtl/>
        </w:rPr>
        <w:t>عن أفكاره الخاطئة</w:t>
      </w:r>
      <w:r w:rsidR="000636C2">
        <w:rPr>
          <w:rFonts w:hint="cs"/>
          <w:b w:val="0"/>
          <w:rtl/>
        </w:rPr>
        <w:t xml:space="preserve"> </w:t>
      </w:r>
      <w:r w:rsidRPr="005675B2">
        <w:rPr>
          <w:rFonts w:hint="cs"/>
          <w:b w:val="0"/>
          <w:rtl/>
        </w:rPr>
        <w:t>وأنه يعترف ويقر بأن العالم مخلوق له خالق ولم يوجد من العدم ــ</w:t>
      </w:r>
      <w:r w:rsidR="000636C2">
        <w:rPr>
          <w:rFonts w:hint="cs"/>
          <w:b w:val="0"/>
          <w:rtl/>
        </w:rPr>
        <w:t xml:space="preserve"> </w:t>
      </w:r>
      <w:r w:rsidRPr="005675B2">
        <w:rPr>
          <w:rFonts w:hint="cs"/>
          <w:b w:val="0"/>
          <w:rtl/>
        </w:rPr>
        <w:t>-</w:t>
      </w:r>
      <w:r w:rsidR="000636C2">
        <w:rPr>
          <w:rFonts w:hint="cs"/>
          <w:b w:val="0"/>
          <w:rtl/>
        </w:rPr>
        <w:t xml:space="preserve"> </w:t>
      </w:r>
      <w:r w:rsidRPr="005675B2">
        <w:rPr>
          <w:rFonts w:hint="cs"/>
          <w:b w:val="0"/>
          <w:rtl/>
        </w:rPr>
        <w:t>قال</w:t>
      </w:r>
      <w:r w:rsidR="000636C2">
        <w:rPr>
          <w:rFonts w:hint="cs"/>
          <w:b w:val="0"/>
          <w:rtl/>
        </w:rPr>
        <w:t>:</w:t>
      </w:r>
      <w:r w:rsidRPr="005675B2">
        <w:rPr>
          <w:rFonts w:hint="cs"/>
          <w:b w:val="0"/>
          <w:rtl/>
        </w:rPr>
        <w:t xml:space="preserve"> لقد أثبتت أبحاث علماء الأحياء في مجال الحمض النووي الوراثي، مع التعقيدات شبه</w:t>
      </w:r>
      <w:r w:rsidRPr="005675B2">
        <w:rPr>
          <w:rFonts w:hint="cs"/>
        </w:rPr>
        <w:t xml:space="preserve"> </w:t>
      </w:r>
      <w:r w:rsidRPr="005675B2">
        <w:rPr>
          <w:rFonts w:hint="cs"/>
          <w:b w:val="0"/>
          <w:rtl/>
        </w:rPr>
        <w:t xml:space="preserve">المستحيلة المتعلقة بالترتيبات اللازمة لإيجاد </w:t>
      </w:r>
      <w:r w:rsidR="000636C2">
        <w:rPr>
          <w:rFonts w:hint="cs"/>
          <w:b w:val="0"/>
          <w:rtl/>
        </w:rPr>
        <w:t>(</w:t>
      </w:r>
      <w:r w:rsidRPr="005675B2">
        <w:rPr>
          <w:rFonts w:hint="cs"/>
          <w:b w:val="0"/>
          <w:rtl/>
        </w:rPr>
        <w:t>الحياة</w:t>
      </w:r>
      <w:r w:rsidR="000636C2">
        <w:rPr>
          <w:rFonts w:hint="cs"/>
          <w:b w:val="0"/>
          <w:rtl/>
        </w:rPr>
        <w:t>)</w:t>
      </w:r>
      <w:r w:rsidRPr="005675B2">
        <w:rPr>
          <w:rFonts w:hint="cs"/>
          <w:b w:val="0"/>
          <w:rtl/>
        </w:rPr>
        <w:t xml:space="preserve"> أثبتت أنه </w:t>
      </w:r>
      <w:r w:rsidRPr="005675B2">
        <w:rPr>
          <w:rFonts w:hint="cs"/>
          <w:b w:val="0"/>
          <w:u w:val="single"/>
          <w:rtl/>
        </w:rPr>
        <w:t>لابد حتماً من</w:t>
      </w:r>
      <w:r w:rsidRPr="005675B2">
        <w:rPr>
          <w:rFonts w:hint="cs"/>
          <w:u w:val="single"/>
        </w:rPr>
        <w:t xml:space="preserve"> </w:t>
      </w:r>
      <w:r w:rsidRPr="005675B2">
        <w:rPr>
          <w:rFonts w:hint="cs"/>
          <w:b w:val="0"/>
          <w:u w:val="single"/>
          <w:rtl/>
        </w:rPr>
        <w:t>وجود قوة خارقة وراءها</w:t>
      </w:r>
      <w:r w:rsidR="000636C2">
        <w:rPr>
          <w:rFonts w:hint="cs"/>
          <w:b w:val="0"/>
          <w:rtl/>
        </w:rPr>
        <w:t>،</w:t>
      </w:r>
      <w:r w:rsidRPr="005675B2">
        <w:rPr>
          <w:rFonts w:hint="cs"/>
          <w:b w:val="0"/>
          <w:rtl/>
        </w:rPr>
        <w:t xml:space="preserve"> "</w:t>
      </w:r>
      <w:r w:rsidRPr="005675B2">
        <w:rPr>
          <w:rFonts w:hint="cs"/>
          <w:u w:val="single"/>
          <w:rtl/>
        </w:rPr>
        <w:t xml:space="preserve"> </w:t>
      </w:r>
      <w:r w:rsidRPr="005675B2">
        <w:t xml:space="preserve">" </w:t>
      </w:r>
      <w:r w:rsidRPr="005675B2">
        <w:rPr>
          <w:rFonts w:hint="cs"/>
          <w:b w:val="0"/>
          <w:u w:val="single"/>
          <w:rtl/>
        </w:rPr>
        <w:t>لقد أصبح من الصعوبة البالغة مجرد البدء في التفكير في إيجاد</w:t>
      </w:r>
      <w:r w:rsidRPr="005675B2">
        <w:rPr>
          <w:rFonts w:hint="cs"/>
          <w:u w:val="single"/>
        </w:rPr>
        <w:t xml:space="preserve"> </w:t>
      </w:r>
      <w:r w:rsidRPr="005675B2">
        <w:rPr>
          <w:rFonts w:hint="cs"/>
          <w:b w:val="0"/>
          <w:u w:val="single"/>
          <w:rtl/>
        </w:rPr>
        <w:t>نظرية تنادي بالمذهب الطبيعي لعملية نمو أو تطور ذلك الكائن الحي المبني على مبدأ</w:t>
      </w:r>
      <w:r w:rsidRPr="005675B2">
        <w:rPr>
          <w:rFonts w:hint="cs"/>
          <w:u w:val="single"/>
        </w:rPr>
        <w:t xml:space="preserve"> </w:t>
      </w:r>
      <w:r w:rsidRPr="005675B2">
        <w:rPr>
          <w:rFonts w:hint="cs"/>
          <w:b w:val="0"/>
          <w:u w:val="single"/>
          <w:rtl/>
        </w:rPr>
        <w:t>التوالد والتكاثر</w:t>
      </w:r>
      <w:r w:rsidR="000636C2">
        <w:rPr>
          <w:rFonts w:hint="cs"/>
          <w:b w:val="0"/>
          <w:u w:val="single"/>
          <w:rtl/>
        </w:rPr>
        <w:t>،</w:t>
      </w:r>
      <w:r w:rsidRPr="005675B2">
        <w:rPr>
          <w:rFonts w:hint="cs"/>
          <w:b w:val="0"/>
          <w:u w:val="single"/>
          <w:rtl/>
        </w:rPr>
        <w:t xml:space="preserve"> "</w:t>
      </w:r>
      <w:r w:rsidRPr="005675B2">
        <w:rPr>
          <w:rFonts w:hint="cs"/>
          <w:u w:val="single"/>
          <w:rtl/>
        </w:rPr>
        <w:t xml:space="preserve"> </w:t>
      </w:r>
      <w:r w:rsidRPr="005675B2">
        <w:t xml:space="preserve">" </w:t>
      </w:r>
      <w:r w:rsidRPr="005675B2">
        <w:rPr>
          <w:rFonts w:hint="cs"/>
          <w:b w:val="0"/>
          <w:rtl/>
        </w:rPr>
        <w:t xml:space="preserve">لقد أصبحت على قناعة تامة بأنه من البديهي جداً أن </w:t>
      </w:r>
      <w:r w:rsidRPr="005675B2">
        <w:rPr>
          <w:rFonts w:hint="cs"/>
          <w:b w:val="0"/>
          <w:u w:val="single"/>
          <w:rtl/>
        </w:rPr>
        <w:t>أول كائن حي قد</w:t>
      </w:r>
      <w:r w:rsidRPr="005675B2">
        <w:rPr>
          <w:rFonts w:hint="cs"/>
          <w:u w:val="single"/>
        </w:rPr>
        <w:t xml:space="preserve"> </w:t>
      </w:r>
      <w:r w:rsidRPr="005675B2">
        <w:rPr>
          <w:rFonts w:hint="cs"/>
          <w:b w:val="0"/>
          <w:u w:val="single"/>
          <w:rtl/>
        </w:rPr>
        <w:t>نشأ من العدم</w:t>
      </w:r>
      <w:r w:rsidRPr="005675B2">
        <w:rPr>
          <w:rFonts w:hint="cs"/>
          <w:b w:val="0"/>
          <w:rtl/>
        </w:rPr>
        <w:t xml:space="preserve"> ثم تطور وتحول إلى مخلوق معقد الخلق للغاية"</w:t>
      </w:r>
      <w:r w:rsidR="000636C2">
        <w:rPr>
          <w:rFonts w:hint="cs"/>
          <w:b w:val="0"/>
          <w:rtl/>
        </w:rPr>
        <w:t>،</w:t>
      </w:r>
      <w:r w:rsidRPr="005675B2">
        <w:rPr>
          <w:rFonts w:hint="cs"/>
          <w:b w:val="0"/>
          <w:rtl/>
        </w:rPr>
        <w:t xml:space="preserve"> أهـ</w:t>
      </w:r>
      <w:r w:rsidR="000636C2">
        <w:rPr>
          <w:rFonts w:hint="cs"/>
          <w:b w:val="0"/>
          <w:rtl/>
        </w:rPr>
        <w:t xml:space="preserve"> </w:t>
      </w:r>
      <w:r w:rsidRPr="005675B2">
        <w:rPr>
          <w:rFonts w:hint="cs"/>
          <w:b w:val="0"/>
          <w:rtl/>
        </w:rPr>
        <w:t>[</w:t>
      </w:r>
      <w:r w:rsidRPr="005675B2">
        <w:rPr>
          <w:rFonts w:hint="cs"/>
          <w:b w:val="0"/>
          <w:bCs/>
          <w:sz w:val="24"/>
          <w:szCs w:val="24"/>
          <w:rtl/>
        </w:rPr>
        <w:t>عودة العالم العلمي إلى الله</w:t>
      </w:r>
      <w:r w:rsidRPr="005675B2">
        <w:rPr>
          <w:rFonts w:hint="cs"/>
          <w:b w:val="0"/>
          <w:rtl/>
        </w:rPr>
        <w:t>]</w:t>
      </w:r>
    </w:p>
    <w:p w14:paraId="52B47D7E" w14:textId="256C4493"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وأما كون هذا الدليل هو</w:t>
      </w:r>
      <w:r w:rsidR="000636C2">
        <w:rPr>
          <w:rFonts w:hint="cs"/>
          <w:rtl/>
        </w:rPr>
        <w:t xml:space="preserve"> </w:t>
      </w:r>
      <w:r w:rsidRPr="005675B2">
        <w:rPr>
          <w:rFonts w:hint="cs"/>
          <w:rtl/>
        </w:rPr>
        <w:t>الدليل الوحيد عندهم فليس بصحيح، فقد سبق أنها أدلة</w:t>
      </w:r>
      <w:r w:rsidR="000636C2">
        <w:rPr>
          <w:rFonts w:hint="cs"/>
          <w:rtl/>
        </w:rPr>
        <w:t xml:space="preserve">، </w:t>
      </w:r>
      <w:r w:rsidRPr="005675B2">
        <w:rPr>
          <w:rFonts w:hint="cs"/>
          <w:rtl/>
        </w:rPr>
        <w:t>[</w:t>
      </w:r>
      <w:r w:rsidRPr="005675B2">
        <w:rPr>
          <w:rFonts w:hint="cs"/>
          <w:bCs/>
          <w:sz w:val="24"/>
          <w:szCs w:val="24"/>
          <w:rtl/>
        </w:rPr>
        <w:t>منها بطلان الرجحان بلا مرجح ومنها برهان بطلان التسسل ومنها بطلان الدور وقانون العلية أي التأمل في النظام الكوني . قد تستشكل الاصطلاحات المذكورة لكن الجديد على القارىء فقط هي الألفاظ أما مضمون معانيهافمعروف عند الناس جميعاً.انظر كبرى اليقينيات الكونية لفضيلة الشيخ محمد البوطي .ص79</w:t>
      </w:r>
      <w:r w:rsidRPr="005675B2">
        <w:rPr>
          <w:rFonts w:hint="cs"/>
          <w:rtl/>
        </w:rPr>
        <w:t>]</w:t>
      </w:r>
      <w:r w:rsidR="000636C2">
        <w:rPr>
          <w:rFonts w:hint="cs"/>
          <w:rtl/>
        </w:rPr>
        <w:t>،</w:t>
      </w:r>
      <w:r w:rsidRPr="005675B2">
        <w:rPr>
          <w:rFonts w:hint="cs"/>
          <w:rtl/>
        </w:rPr>
        <w:t xml:space="preserve"> فمنها</w:t>
      </w:r>
      <w:r w:rsidR="000636C2">
        <w:rPr>
          <w:rFonts w:hint="cs"/>
          <w:rtl/>
        </w:rPr>
        <w:t>:</w:t>
      </w:r>
      <w:r w:rsidRPr="005675B2">
        <w:rPr>
          <w:rFonts w:hint="cs"/>
          <w:rtl/>
        </w:rPr>
        <w:t xml:space="preserve"> ذكر الباقلاني عدداً من الأدلة</w:t>
      </w:r>
      <w:r w:rsidR="000636C2">
        <w:rPr>
          <w:rFonts w:hint="cs"/>
          <w:rtl/>
        </w:rPr>
        <w:t>،</w:t>
      </w:r>
      <w:r w:rsidRPr="005675B2">
        <w:rPr>
          <w:rFonts w:hint="cs"/>
          <w:rtl/>
        </w:rPr>
        <w:t xml:space="preserve"> ومنها قوله</w:t>
      </w:r>
      <w:r w:rsidR="000636C2">
        <w:rPr>
          <w:rFonts w:hint="cs"/>
          <w:rtl/>
        </w:rPr>
        <w:t>:</w:t>
      </w:r>
      <w:r w:rsidRPr="005675B2">
        <w:rPr>
          <w:rFonts w:hint="cs"/>
          <w:rtl/>
        </w:rPr>
        <w:t xml:space="preserve"> </w:t>
      </w:r>
      <w:r w:rsidR="000636C2">
        <w:rPr>
          <w:rFonts w:hint="cs"/>
          <w:rtl/>
        </w:rPr>
        <w:t>[</w:t>
      </w:r>
      <w:r w:rsidRPr="005675B2">
        <w:rPr>
          <w:rFonts w:hint="cs"/>
          <w:rtl/>
        </w:rPr>
        <w:t>فإنا لا نشك في جهل من أخبرنا بكتابة حصلت بنفسها لا من كاتب</w:t>
      </w:r>
      <w:r w:rsidR="000636C2">
        <w:rPr>
          <w:rFonts w:hint="cs"/>
          <w:rtl/>
        </w:rPr>
        <w:t>،</w:t>
      </w:r>
      <w:r w:rsidRPr="005675B2">
        <w:rPr>
          <w:rFonts w:hint="cs"/>
          <w:rtl/>
        </w:rPr>
        <w:t xml:space="preserve"> وصناعة لا من صانع</w:t>
      </w:r>
      <w:r w:rsidR="000636C2">
        <w:rPr>
          <w:rFonts w:hint="cs"/>
          <w:rtl/>
        </w:rPr>
        <w:t>،</w:t>
      </w:r>
      <w:r w:rsidRPr="005675B2">
        <w:rPr>
          <w:rFonts w:hint="cs"/>
          <w:rtl/>
        </w:rPr>
        <w:t xml:space="preserve"> وحياكة لا من ناسج</w:t>
      </w:r>
      <w:r w:rsidR="000636C2">
        <w:rPr>
          <w:rFonts w:hint="cs"/>
          <w:rtl/>
        </w:rPr>
        <w:t>،</w:t>
      </w:r>
      <w:r w:rsidRPr="005675B2">
        <w:rPr>
          <w:rFonts w:hint="cs"/>
          <w:rtl/>
        </w:rPr>
        <w:t xml:space="preserve"> وإذا صح هذا وجب أن تكون صور العالم وحركات الفلك متعلقة بصانع صنعها ومحدث أحدثها</w:t>
      </w:r>
      <w:r w:rsidR="000636C2">
        <w:rPr>
          <w:rFonts w:hint="cs"/>
          <w:rtl/>
        </w:rPr>
        <w:t>،</w:t>
      </w:r>
      <w:r w:rsidRPr="005675B2">
        <w:rPr>
          <w:rFonts w:hint="cs"/>
          <w:rtl/>
        </w:rPr>
        <w:t xml:space="preserve"> إذ كانت ألطف وأعجب صنعاً من سائر ما يتعذر وجوده إلا من صانع</w:t>
      </w:r>
      <w:r w:rsidR="000636C2">
        <w:rPr>
          <w:rFonts w:hint="cs"/>
          <w:rtl/>
        </w:rPr>
        <w:t>]</w:t>
      </w:r>
      <w:r w:rsidRPr="005675B2">
        <w:rPr>
          <w:rFonts w:hint="cs"/>
          <w:rtl/>
        </w:rPr>
        <w:t xml:space="preserve"> [</w:t>
      </w:r>
      <w:r w:rsidRPr="005675B2">
        <w:rPr>
          <w:rFonts w:hint="cs"/>
          <w:bCs/>
          <w:sz w:val="24"/>
          <w:szCs w:val="24"/>
          <w:rtl/>
        </w:rPr>
        <w:t>الإنصاف ص30</w:t>
      </w:r>
      <w:r w:rsidRPr="005675B2">
        <w:rPr>
          <w:rFonts w:hint="cs"/>
          <w:rtl/>
        </w:rPr>
        <w:t>]</w:t>
      </w:r>
      <w:r w:rsidR="000636C2">
        <w:rPr>
          <w:rFonts w:hint="cs"/>
          <w:rtl/>
        </w:rPr>
        <w:t xml:space="preserve">، </w:t>
      </w:r>
      <w:r w:rsidRPr="005675B2">
        <w:rPr>
          <w:rFonts w:hint="cs"/>
          <w:rtl/>
        </w:rPr>
        <w:t>وقال الباقلاني</w:t>
      </w:r>
      <w:r w:rsidR="000636C2">
        <w:rPr>
          <w:rFonts w:hint="cs"/>
          <w:rtl/>
        </w:rPr>
        <w:t>:</w:t>
      </w:r>
      <w:r w:rsidRPr="005675B2">
        <w:rPr>
          <w:rFonts w:hint="cs"/>
          <w:rtl/>
        </w:rPr>
        <w:t xml:space="preserve"> </w:t>
      </w:r>
      <w:r w:rsidR="000636C2">
        <w:rPr>
          <w:rFonts w:hint="cs"/>
          <w:rtl/>
        </w:rPr>
        <w:t>[</w:t>
      </w:r>
      <w:r w:rsidRPr="005675B2">
        <w:rPr>
          <w:rFonts w:hint="cs"/>
          <w:rtl/>
        </w:rPr>
        <w:t>وإن أردتم بقولكم ما هو</w:t>
      </w:r>
      <w:r w:rsidR="000636C2">
        <w:rPr>
          <w:rFonts w:hint="cs"/>
          <w:rtl/>
        </w:rPr>
        <w:t>:</w:t>
      </w:r>
      <w:r w:rsidRPr="005675B2">
        <w:rPr>
          <w:rFonts w:hint="cs"/>
          <w:rtl/>
        </w:rPr>
        <w:t xml:space="preserve"> </w:t>
      </w:r>
      <w:r w:rsidR="000636C2">
        <w:rPr>
          <w:rFonts w:hint="cs"/>
          <w:rtl/>
        </w:rPr>
        <w:t>(</w:t>
      </w:r>
      <w:r w:rsidRPr="005675B2">
        <w:rPr>
          <w:rFonts w:hint="cs"/>
          <w:rtl/>
        </w:rPr>
        <w:t>أي</w:t>
      </w:r>
      <w:r w:rsidR="000636C2">
        <w:rPr>
          <w:rFonts w:hint="cs"/>
          <w:rtl/>
        </w:rPr>
        <w:t>)</w:t>
      </w:r>
      <w:r w:rsidRPr="005675B2">
        <w:rPr>
          <w:rFonts w:hint="cs"/>
          <w:rtl/>
        </w:rPr>
        <w:t>ما الدلالة على وجوده</w:t>
      </w:r>
      <w:r w:rsidR="000636C2">
        <w:rPr>
          <w:rFonts w:hint="cs"/>
          <w:rtl/>
        </w:rPr>
        <w:t>؟</w:t>
      </w:r>
      <w:r w:rsidRPr="005675B2">
        <w:rPr>
          <w:rFonts w:hint="cs"/>
          <w:rtl/>
        </w:rPr>
        <w:t xml:space="preserve"> فالدلالة على وجوده جميع ما نراه ونشاهده من محكم فعله وعجيب تدبيره</w:t>
      </w:r>
      <w:r w:rsidR="000636C2">
        <w:rPr>
          <w:rFonts w:hint="cs"/>
          <w:rtl/>
        </w:rPr>
        <w:t>]</w:t>
      </w:r>
      <w:r w:rsidRPr="005675B2">
        <w:rPr>
          <w:rFonts w:hint="cs"/>
          <w:rtl/>
        </w:rPr>
        <w:t xml:space="preserve"> [</w:t>
      </w:r>
      <w:r w:rsidRPr="005675B2">
        <w:rPr>
          <w:rFonts w:hint="cs"/>
          <w:bCs/>
          <w:sz w:val="24"/>
          <w:szCs w:val="24"/>
          <w:rtl/>
        </w:rPr>
        <w:t>الإنصاف 192</w:t>
      </w:r>
      <w:r w:rsidRPr="005675B2">
        <w:rPr>
          <w:rFonts w:hint="cs"/>
          <w:rtl/>
        </w:rPr>
        <w:t>]</w:t>
      </w:r>
      <w:r w:rsidR="000636C2">
        <w:rPr>
          <w:rFonts w:hint="cs"/>
          <w:rtl/>
        </w:rPr>
        <w:t>،</w:t>
      </w:r>
    </w:p>
    <w:p w14:paraId="713F25A9" w14:textId="1108E55F" w:rsidR="009C32A0" w:rsidRPr="005675B2" w:rsidRDefault="009C32A0" w:rsidP="000636C2">
      <w:pPr>
        <w:rPr>
          <w:b/>
          <w:rtl/>
        </w:rPr>
      </w:pPr>
      <w:r w:rsidRPr="005675B2">
        <w:rPr>
          <w:rFonts w:hint="cs"/>
          <w:rtl/>
        </w:rPr>
        <w:t>-</w:t>
      </w:r>
      <w:r w:rsidR="000636C2">
        <w:rPr>
          <w:rFonts w:hint="cs"/>
          <w:rtl/>
        </w:rPr>
        <w:t xml:space="preserve"> </w:t>
      </w:r>
      <w:r w:rsidRPr="005675B2">
        <w:rPr>
          <w:rFonts w:hint="cs"/>
          <w:rtl/>
        </w:rPr>
        <w:t>قال المتولي</w:t>
      </w:r>
      <w:r w:rsidR="000636C2">
        <w:rPr>
          <w:rFonts w:hint="cs"/>
          <w:rtl/>
        </w:rPr>
        <w:t>:</w:t>
      </w:r>
      <w:r w:rsidRPr="005675B2">
        <w:rPr>
          <w:rFonts w:hint="cs"/>
          <w:rtl/>
        </w:rPr>
        <w:t xml:space="preserve"> ومن الدليل على إثبات الصانع أنه لا يتصور في العقول بناء بلا بانٍ</w:t>
      </w:r>
      <w:r w:rsidR="000636C2">
        <w:rPr>
          <w:rFonts w:hint="cs"/>
          <w:rtl/>
        </w:rPr>
        <w:t>،</w:t>
      </w:r>
      <w:r w:rsidRPr="005675B2">
        <w:rPr>
          <w:rFonts w:hint="cs"/>
          <w:rtl/>
        </w:rPr>
        <w:t>وكتابة بلا كاتب</w:t>
      </w:r>
      <w:r w:rsidR="000636C2">
        <w:rPr>
          <w:rFonts w:hint="cs"/>
          <w:rtl/>
        </w:rPr>
        <w:t>،</w:t>
      </w:r>
      <w:r w:rsidRPr="005675B2">
        <w:rPr>
          <w:rFonts w:hint="cs"/>
          <w:rtl/>
        </w:rPr>
        <w:t xml:space="preserve"> فكيف يتصور خلق بلا خالق</w:t>
      </w:r>
      <w:r w:rsidR="000636C2">
        <w:rPr>
          <w:rFonts w:hint="cs"/>
          <w:rtl/>
        </w:rPr>
        <w:t>؟!</w:t>
      </w:r>
      <w:r w:rsidRPr="005675B2">
        <w:rPr>
          <w:rFonts w:hint="cs"/>
          <w:rtl/>
        </w:rPr>
        <w:t xml:space="preserve"> </w:t>
      </w:r>
      <w:r w:rsidRPr="005675B2">
        <w:rPr>
          <w:rFonts w:hint="cs"/>
          <w:u w:val="single"/>
          <w:rtl/>
        </w:rPr>
        <w:t>ويتضح ذلك بآيات من كتاب الله تعالى</w:t>
      </w:r>
      <w:r w:rsidRPr="005675B2">
        <w:rPr>
          <w:rFonts w:hint="cs"/>
          <w:rtl/>
        </w:rPr>
        <w:t xml:space="preserve"> </w:t>
      </w:r>
      <w:r w:rsidR="000636C2">
        <w:rPr>
          <w:rFonts w:hint="cs"/>
          <w:rtl/>
        </w:rPr>
        <w:t>[</w:t>
      </w:r>
      <w:r w:rsidRPr="005675B2">
        <w:rPr>
          <w:rFonts w:hint="cs"/>
          <w:rtl/>
        </w:rPr>
        <w:t>أَفَلا يَنْظُرُونَ إِلَى الْأِبِلِ كَيْفَ خُلِقَتْ</w:t>
      </w:r>
      <w:r w:rsidR="000636C2">
        <w:rPr>
          <w:rFonts w:hint="cs"/>
          <w:rtl/>
        </w:rPr>
        <w:t xml:space="preserve">] </w:t>
      </w:r>
      <w:r w:rsidRPr="005675B2">
        <w:rPr>
          <w:rFonts w:hint="cs"/>
          <w:rtl/>
        </w:rPr>
        <w:t xml:space="preserve">, وقوله تعالى </w:t>
      </w:r>
      <w:r w:rsidR="000636C2">
        <w:rPr>
          <w:rFonts w:hint="cs"/>
          <w:rtl/>
        </w:rPr>
        <w:t>[</w:t>
      </w:r>
      <w:r w:rsidRPr="005675B2">
        <w:rPr>
          <w:rFonts w:hint="cs"/>
          <w:rtl/>
        </w:rPr>
        <w:t>وَاللَّهُ خَلَقَكُمْ وَمَا تَعْمَلُونَ</w:t>
      </w:r>
      <w:r w:rsidR="000636C2">
        <w:rPr>
          <w:rFonts w:hint="cs"/>
          <w:rtl/>
        </w:rPr>
        <w:t xml:space="preserve">] </w:t>
      </w:r>
      <w:r w:rsidRPr="005675B2">
        <w:rPr>
          <w:rFonts w:hint="cs"/>
          <w:rtl/>
        </w:rPr>
        <w:t>وغير ذلك من الآيات</w:t>
      </w:r>
      <w:r w:rsidRPr="005675B2">
        <w:rPr>
          <w:rStyle w:val="a5"/>
          <w:rFonts w:hint="cs"/>
          <w:b/>
          <w:rtl/>
        </w:rPr>
        <w:t xml:space="preserve"> </w:t>
      </w:r>
      <w:r w:rsidRPr="005675B2">
        <w:rPr>
          <w:rFonts w:hint="cs"/>
          <w:rtl/>
        </w:rPr>
        <w:t>أ نتهى كلامه [</w:t>
      </w:r>
      <w:r w:rsidRPr="005675B2">
        <w:rPr>
          <w:rFonts w:hint="cs"/>
          <w:bCs/>
          <w:sz w:val="24"/>
          <w:szCs w:val="24"/>
          <w:rtl/>
        </w:rPr>
        <w:t>المغني ص9</w:t>
      </w:r>
      <w:r w:rsidRPr="005675B2">
        <w:rPr>
          <w:rFonts w:hint="cs"/>
          <w:rtl/>
        </w:rPr>
        <w:t>]</w:t>
      </w:r>
      <w:r w:rsidR="000636C2">
        <w:rPr>
          <w:rFonts w:hint="cs"/>
          <w:rtl/>
        </w:rPr>
        <w:t>،</w:t>
      </w:r>
    </w:p>
    <w:p w14:paraId="1E94AAE6" w14:textId="27037754" w:rsidR="009C32A0" w:rsidRPr="005675B2" w:rsidRDefault="009C32A0" w:rsidP="000636C2">
      <w:pPr>
        <w:rPr>
          <w:b/>
          <w:rtl/>
        </w:rPr>
      </w:pPr>
      <w:r w:rsidRPr="005675B2">
        <w:rPr>
          <w:rFonts w:hint="cs"/>
          <w:rtl/>
        </w:rPr>
        <w:t>-</w:t>
      </w:r>
      <w:r w:rsidR="000636C2">
        <w:rPr>
          <w:rFonts w:hint="cs"/>
          <w:rtl/>
        </w:rPr>
        <w:t xml:space="preserve"> </w:t>
      </w:r>
      <w:r w:rsidRPr="005675B2">
        <w:rPr>
          <w:rFonts w:hint="cs"/>
          <w:rtl/>
        </w:rPr>
        <w:t>ومنها أن الإمام الرازي ذكر أربعة براهين على وجود الله تعالى من الأدلة العقلية الكلامية ثم قال</w:t>
      </w:r>
      <w:r w:rsidR="000636C2">
        <w:rPr>
          <w:rFonts w:hint="cs"/>
          <w:rtl/>
        </w:rPr>
        <w:t>:</w:t>
      </w:r>
      <w:r w:rsidRPr="005675B2">
        <w:rPr>
          <w:rFonts w:hint="cs"/>
          <w:rtl/>
        </w:rPr>
        <w:t xml:space="preserve"> </w:t>
      </w:r>
      <w:r w:rsidR="000636C2">
        <w:rPr>
          <w:rFonts w:hint="cs"/>
          <w:rtl/>
        </w:rPr>
        <w:t>[</w:t>
      </w:r>
      <w:r w:rsidRPr="005675B2">
        <w:rPr>
          <w:rFonts w:hint="cs"/>
          <w:u w:val="single"/>
          <w:rtl/>
        </w:rPr>
        <w:t>أما دلائل الآفاق</w:t>
      </w:r>
      <w:r w:rsidRPr="005675B2">
        <w:rPr>
          <w:rFonts w:hint="cs"/>
          <w:rtl/>
        </w:rPr>
        <w:t xml:space="preserve"> فبعضها سفلية عنصرية</w:t>
      </w:r>
      <w:r w:rsidR="000636C2">
        <w:rPr>
          <w:rFonts w:hint="cs"/>
          <w:rtl/>
        </w:rPr>
        <w:t>،</w:t>
      </w:r>
      <w:r w:rsidRPr="005675B2">
        <w:rPr>
          <w:rFonts w:hint="cs"/>
          <w:rtl/>
        </w:rPr>
        <w:t xml:space="preserve"> ومجامعها الاستدلال بأحوال الحيوان والنبات والمعادن</w:t>
      </w:r>
      <w:r w:rsidR="000636C2">
        <w:rPr>
          <w:rFonts w:hint="cs"/>
          <w:rtl/>
        </w:rPr>
        <w:t>،</w:t>
      </w:r>
      <w:r w:rsidRPr="005675B2">
        <w:rPr>
          <w:rFonts w:hint="cs"/>
          <w:rtl/>
        </w:rPr>
        <w:t xml:space="preserve"> وبعضها علوية فلكية</w:t>
      </w:r>
      <w:r w:rsidR="000636C2">
        <w:rPr>
          <w:rFonts w:hint="cs"/>
          <w:rtl/>
        </w:rPr>
        <w:t>،</w:t>
      </w:r>
      <w:r w:rsidRPr="005675B2">
        <w:rPr>
          <w:rFonts w:hint="cs"/>
          <w:rtl/>
        </w:rPr>
        <w:t xml:space="preserve"> ومجامعها الاستدلال بأحوال الأفلاك والكواكب، والاستقصاء في هذا النوع من الدلائل مذكور في القرآن العظيم</w:t>
      </w:r>
      <w:r w:rsidR="000636C2">
        <w:rPr>
          <w:rFonts w:hint="cs"/>
          <w:rtl/>
        </w:rPr>
        <w:t>،</w:t>
      </w:r>
      <w:r w:rsidRPr="005675B2">
        <w:rPr>
          <w:rFonts w:hint="cs"/>
          <w:rtl/>
        </w:rPr>
        <w:t xml:space="preserve"> مشروح في كتابنا المسمى بأسرار التنزيل وأنوار التأويل</w:t>
      </w:r>
      <w:r w:rsidR="000636C2">
        <w:rPr>
          <w:rFonts w:hint="cs"/>
          <w:rtl/>
        </w:rPr>
        <w:t>][</w:t>
      </w:r>
      <w:r w:rsidRPr="005675B2">
        <w:rPr>
          <w:rFonts w:hint="cs"/>
          <w:bCs/>
          <w:sz w:val="24"/>
          <w:szCs w:val="24"/>
          <w:rtl/>
        </w:rPr>
        <w:t>الأربعين في أصول الدين ص92</w:t>
      </w:r>
      <w:r w:rsidRPr="005675B2">
        <w:rPr>
          <w:rFonts w:hint="cs"/>
          <w:rtl/>
        </w:rPr>
        <w:t>]</w:t>
      </w:r>
      <w:r w:rsidR="000636C2">
        <w:rPr>
          <w:rFonts w:hint="cs"/>
          <w:rtl/>
        </w:rPr>
        <w:t>،</w:t>
      </w:r>
      <w:r w:rsidRPr="005675B2">
        <w:rPr>
          <w:rFonts w:hint="cs"/>
          <w:rtl/>
        </w:rPr>
        <w:t xml:space="preserve"> وفي هذا النص إشارة إلى أن الدلائل على وجود الله تعالى نوعان</w:t>
      </w:r>
      <w:r w:rsidR="000636C2">
        <w:rPr>
          <w:rFonts w:hint="cs"/>
          <w:rtl/>
        </w:rPr>
        <w:t>:</w:t>
      </w:r>
      <w:r w:rsidRPr="005675B2">
        <w:rPr>
          <w:rFonts w:hint="cs"/>
          <w:rtl/>
        </w:rPr>
        <w:t xml:space="preserve"> الأدلة العقلية الكلامية</w:t>
      </w:r>
      <w:r w:rsidR="000636C2">
        <w:rPr>
          <w:rFonts w:hint="cs"/>
          <w:rtl/>
        </w:rPr>
        <w:t>،</w:t>
      </w:r>
      <w:r w:rsidRPr="005675B2">
        <w:rPr>
          <w:rFonts w:hint="cs"/>
          <w:rtl/>
        </w:rPr>
        <w:t xml:space="preserve"> ودلائل الآفاق</w:t>
      </w:r>
      <w:r w:rsidR="000636C2">
        <w:rPr>
          <w:rFonts w:hint="cs"/>
          <w:rtl/>
        </w:rPr>
        <w:t>،</w:t>
      </w:r>
      <w:r w:rsidRPr="005675B2">
        <w:rPr>
          <w:rFonts w:hint="cs"/>
          <w:rtl/>
        </w:rPr>
        <w:t xml:space="preserve"> والأشاعرة يذكرون في كتب العقيدة الأدلة الكلامية على طريقة المتكلمين الفلاسفة</w:t>
      </w:r>
      <w:r w:rsidR="000636C2">
        <w:rPr>
          <w:rFonts w:hint="cs"/>
          <w:rtl/>
        </w:rPr>
        <w:t>،</w:t>
      </w:r>
      <w:r w:rsidRPr="005675B2">
        <w:rPr>
          <w:rFonts w:hint="cs"/>
          <w:rtl/>
        </w:rPr>
        <w:t xml:space="preserve"> لإفحام ملاحدة الفلاسفة بالطرق الفلسفية التي يفهمونها</w:t>
      </w:r>
      <w:r w:rsidR="000636C2">
        <w:rPr>
          <w:rFonts w:hint="cs"/>
          <w:rtl/>
        </w:rPr>
        <w:t>،</w:t>
      </w:r>
      <w:r w:rsidRPr="005675B2">
        <w:rPr>
          <w:rFonts w:hint="cs"/>
          <w:rtl/>
        </w:rPr>
        <w:t xml:space="preserve"> والتي لا يخضعون إلا لها</w:t>
      </w:r>
      <w:r w:rsidR="000636C2">
        <w:rPr>
          <w:rFonts w:hint="cs"/>
          <w:rtl/>
        </w:rPr>
        <w:t>،</w:t>
      </w:r>
      <w:r w:rsidRPr="005675B2">
        <w:rPr>
          <w:rFonts w:hint="cs"/>
          <w:rtl/>
        </w:rPr>
        <w:t xml:space="preserve"> من باب محاربتهم بسلاحهم</w:t>
      </w:r>
      <w:r w:rsidR="000636C2">
        <w:rPr>
          <w:rFonts w:hint="cs"/>
          <w:rtl/>
        </w:rPr>
        <w:t>،</w:t>
      </w:r>
      <w:r w:rsidRPr="005675B2">
        <w:rPr>
          <w:rFonts w:hint="cs"/>
          <w:rtl/>
        </w:rPr>
        <w:t xml:space="preserve"> ولا ينكرون دلائل الآفاق</w:t>
      </w:r>
      <w:r w:rsidR="000636C2">
        <w:rPr>
          <w:rFonts w:hint="cs"/>
          <w:rtl/>
        </w:rPr>
        <w:t>،</w:t>
      </w:r>
      <w:r w:rsidRPr="005675B2">
        <w:rPr>
          <w:rFonts w:hint="cs"/>
          <w:rtl/>
        </w:rPr>
        <w:t xml:space="preserve"> بل يقررونها ويشرحونها في كتب التفسير</w:t>
      </w:r>
      <w:r w:rsidR="000636C2">
        <w:rPr>
          <w:rFonts w:hint="cs"/>
          <w:rtl/>
        </w:rPr>
        <w:t>،</w:t>
      </w:r>
      <w:r w:rsidRPr="005675B2">
        <w:rPr>
          <w:rFonts w:hint="cs"/>
          <w:rtl/>
        </w:rPr>
        <w:t xml:space="preserve"> وقال الرازي رحمه الله</w:t>
      </w:r>
      <w:r w:rsidR="000636C2">
        <w:rPr>
          <w:rFonts w:hint="cs"/>
          <w:rtl/>
        </w:rPr>
        <w:t>:</w:t>
      </w:r>
      <w:r w:rsidRPr="005675B2">
        <w:rPr>
          <w:rFonts w:hint="cs"/>
          <w:rtl/>
        </w:rPr>
        <w:t xml:space="preserve"> </w:t>
      </w:r>
      <w:r w:rsidR="000636C2">
        <w:rPr>
          <w:rFonts w:hint="cs"/>
          <w:rtl/>
        </w:rPr>
        <w:t>[</w:t>
      </w:r>
      <w:r w:rsidRPr="005675B2">
        <w:rPr>
          <w:rFonts w:hint="cs"/>
          <w:rtl/>
        </w:rPr>
        <w:t>الناس قد توصلوا إلى إثبات واجب الوجود بطرق ..</w:t>
      </w:r>
      <w:r w:rsidR="000636C2">
        <w:rPr>
          <w:rFonts w:hint="cs"/>
          <w:rtl/>
        </w:rPr>
        <w:t>،</w:t>
      </w:r>
      <w:r w:rsidRPr="005675B2">
        <w:rPr>
          <w:rFonts w:hint="cs"/>
          <w:rtl/>
        </w:rPr>
        <w:t xml:space="preserve"> ومن الناس من اعتمد على الإحكام والإتقان المشاهَدَين في السماوات والأرضين</w:t>
      </w:r>
      <w:r w:rsidR="000636C2">
        <w:rPr>
          <w:rFonts w:hint="cs"/>
          <w:rtl/>
        </w:rPr>
        <w:t>،</w:t>
      </w:r>
      <w:r w:rsidRPr="005675B2">
        <w:rPr>
          <w:rFonts w:hint="cs"/>
          <w:rtl/>
        </w:rPr>
        <w:t xml:space="preserve"> </w:t>
      </w:r>
      <w:r w:rsidRPr="005675B2">
        <w:rPr>
          <w:rFonts w:hint="cs"/>
          <w:u w:val="single"/>
          <w:rtl/>
        </w:rPr>
        <w:t>وخاصة في تركيب بدن الإنسان وما فيه من المنافع الجليلة والبدائع الغريبة</w:t>
      </w:r>
      <w:r w:rsidR="000636C2">
        <w:rPr>
          <w:rFonts w:hint="cs"/>
          <w:u w:val="single"/>
          <w:rtl/>
        </w:rPr>
        <w:t>،</w:t>
      </w:r>
      <w:r w:rsidRPr="005675B2">
        <w:rPr>
          <w:rFonts w:hint="cs"/>
          <w:u w:val="single"/>
          <w:rtl/>
        </w:rPr>
        <w:t xml:space="preserve"> التي تشهد فطرة كل عاقل بأنها لا تصدر</w:t>
      </w:r>
      <w:r w:rsidRPr="005675B2">
        <w:rPr>
          <w:rFonts w:hint="cs"/>
          <w:rtl/>
        </w:rPr>
        <w:t xml:space="preserve"> إلا عن تدبير حكيم عليم</w:t>
      </w:r>
      <w:r w:rsidR="000636C2">
        <w:rPr>
          <w:rFonts w:hint="cs"/>
          <w:rtl/>
        </w:rPr>
        <w:t>،</w:t>
      </w:r>
      <w:r w:rsidRPr="005675B2">
        <w:rPr>
          <w:rFonts w:hint="cs"/>
          <w:rtl/>
        </w:rPr>
        <w:t xml:space="preserve"> وهذه الطريقة دالة على الذات وعلى العالِمية</w:t>
      </w:r>
      <w:r w:rsidR="000636C2">
        <w:rPr>
          <w:rFonts w:hint="cs"/>
          <w:rtl/>
        </w:rPr>
        <w:t>،</w:t>
      </w:r>
      <w:r w:rsidRPr="005675B2">
        <w:rPr>
          <w:rFonts w:hint="cs"/>
          <w:rtl/>
        </w:rPr>
        <w:t xml:space="preserve"> وهي طريقة من تأملها ورفض عن نفسه المقالات الباطلة وجد نفسه مضطرة إلى الاعتراف بإثبات المدبر عند مشاهدة خلقة أعضاء الحيوان</w:t>
      </w:r>
      <w:r w:rsidR="000636C2">
        <w:rPr>
          <w:rFonts w:hint="cs"/>
          <w:rtl/>
        </w:rPr>
        <w:t>]</w:t>
      </w:r>
      <w:r w:rsidRPr="005675B2">
        <w:rPr>
          <w:rFonts w:hint="cs"/>
          <w:rtl/>
        </w:rPr>
        <w:t xml:space="preserve"> [</w:t>
      </w:r>
      <w:r w:rsidRPr="005675B2">
        <w:rPr>
          <w:rFonts w:hint="cs"/>
          <w:bCs/>
          <w:sz w:val="24"/>
          <w:szCs w:val="24"/>
          <w:rtl/>
        </w:rPr>
        <w:t>المباحث المشرقية في علم الإلهيات والطبيعيات: 2/ 448</w:t>
      </w:r>
      <w:r w:rsidR="000636C2">
        <w:rPr>
          <w:rFonts w:hint="cs"/>
          <w:bCs/>
          <w:sz w:val="24"/>
          <w:szCs w:val="24"/>
          <w:rtl/>
        </w:rPr>
        <w:t>،</w:t>
      </w:r>
      <w:r w:rsidRPr="005675B2">
        <w:rPr>
          <w:rFonts w:hint="cs"/>
          <w:bCs/>
          <w:sz w:val="24"/>
          <w:szCs w:val="24"/>
          <w:rtl/>
        </w:rPr>
        <w:t xml:space="preserve"> 451</w:t>
      </w:r>
      <w:r w:rsidRPr="005675B2">
        <w:rPr>
          <w:rFonts w:hint="cs"/>
          <w:rtl/>
        </w:rPr>
        <w:t>] [</w:t>
      </w:r>
      <w:r w:rsidRPr="005675B2">
        <w:rPr>
          <w:rFonts w:hint="cs"/>
          <w:sz w:val="24"/>
          <w:szCs w:val="24"/>
          <w:rtl/>
        </w:rPr>
        <w:t>انظر عقائدُ الأشاعرةِفي حوارٍ هادئٍ مع شُبهاتِ المناوئين للأردبلي]</w:t>
      </w:r>
      <w:r w:rsidR="000636C2">
        <w:rPr>
          <w:rFonts w:hint="cs"/>
          <w:rtl/>
        </w:rPr>
        <w:t>،</w:t>
      </w:r>
    </w:p>
    <w:p w14:paraId="486CFF9D" w14:textId="248B9672"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أنه من المسلم أن هذا الدليل لا يصلح مع جميع الناس</w:t>
      </w:r>
      <w:r w:rsidR="000636C2">
        <w:rPr>
          <w:rFonts w:hint="cs"/>
          <w:rtl/>
        </w:rPr>
        <w:t>،</w:t>
      </w:r>
      <w:r w:rsidRPr="005675B2">
        <w:rPr>
          <w:rFonts w:hint="cs"/>
          <w:rtl/>
        </w:rPr>
        <w:t xml:space="preserve"> ولذا قال الإمام الغزالي</w:t>
      </w:r>
      <w:r w:rsidR="000636C2">
        <w:rPr>
          <w:rFonts w:hint="cs"/>
          <w:rtl/>
        </w:rPr>
        <w:t>:</w:t>
      </w:r>
      <w:r w:rsidRPr="005675B2">
        <w:rPr>
          <w:rFonts w:hint="cs"/>
          <w:rtl/>
        </w:rPr>
        <w:t xml:space="preserve"> فيما ينقله عنه العلاء البخاري مؤيداً له كما في المسامرة وشرح الطحاوية للغنيمي</w:t>
      </w:r>
      <w:r w:rsidR="000636C2">
        <w:rPr>
          <w:rFonts w:hint="cs"/>
          <w:rtl/>
        </w:rPr>
        <w:t>:</w:t>
      </w:r>
      <w:r w:rsidRPr="005675B2">
        <w:rPr>
          <w:rFonts w:hint="cs"/>
          <w:rtl/>
        </w:rPr>
        <w:t xml:space="preserve"> إن الأدلة على وجود الصانع وتوحيده تجري مجرى الأدوية التي يعالج بها القلب والطبيب إذا لم يكن حاذقاً .. .. وحينئذ يجب أن لايكون طريق الإرشاد لكل أحد على وتيرة واحدة فالمؤمن المصدق سمعاً أو تقليداً لا ينبغي أن نحرك عقيدته بتحرير الأدلة، فإن الرسول لم يطالب العرب بأكثر من التصديق، ولم يفرق بين أن يكون بتقليد أو بيقين برهاني</w:t>
      </w:r>
      <w:r w:rsidR="000636C2">
        <w:rPr>
          <w:rFonts w:hint="cs"/>
          <w:rtl/>
        </w:rPr>
        <w:t>،</w:t>
      </w:r>
      <w:r w:rsidRPr="005675B2">
        <w:rPr>
          <w:rFonts w:hint="cs"/>
          <w:rtl/>
        </w:rPr>
        <w:t xml:space="preserve"> والجافي الغليظ الضعيف العقل الجامد على تقليد المصر على الباطل؛</w:t>
      </w:r>
      <w:r w:rsidR="000636C2">
        <w:rPr>
          <w:rFonts w:hint="cs"/>
          <w:rtl/>
        </w:rPr>
        <w:t xml:space="preserve"> </w:t>
      </w:r>
      <w:r w:rsidRPr="005675B2">
        <w:rPr>
          <w:rFonts w:hint="cs"/>
          <w:rtl/>
        </w:rPr>
        <w:t>لا تنفع معه الحجة ولا البراهين</w:t>
      </w:r>
      <w:r w:rsidR="000636C2">
        <w:rPr>
          <w:rFonts w:hint="cs"/>
          <w:rtl/>
        </w:rPr>
        <w:t>،</w:t>
      </w:r>
      <w:r w:rsidRPr="005675B2">
        <w:rPr>
          <w:rFonts w:hint="cs"/>
          <w:rtl/>
        </w:rPr>
        <w:t>وإنما ينفع معه السيف والسنان</w:t>
      </w:r>
      <w:r w:rsidR="000636C2">
        <w:rPr>
          <w:rFonts w:hint="cs"/>
          <w:rtl/>
        </w:rPr>
        <w:t>،</w:t>
      </w:r>
      <w:r w:rsidRPr="005675B2">
        <w:rPr>
          <w:rFonts w:hint="cs"/>
          <w:rtl/>
        </w:rPr>
        <w:t xml:space="preserve"> والشاكون الذين فيهم نوع من ذكاء</w:t>
      </w:r>
      <w:r w:rsidR="000636C2">
        <w:rPr>
          <w:rFonts w:hint="cs"/>
          <w:rtl/>
        </w:rPr>
        <w:t>،</w:t>
      </w:r>
      <w:r w:rsidRPr="005675B2">
        <w:rPr>
          <w:rFonts w:hint="cs"/>
          <w:rtl/>
        </w:rPr>
        <w:t>ولا تصل عقولهم إلى فهم البرهان العقلي المفيد للقطع واليقين</w:t>
      </w:r>
      <w:r w:rsidR="000636C2">
        <w:rPr>
          <w:rFonts w:hint="cs"/>
          <w:rtl/>
        </w:rPr>
        <w:t>،</w:t>
      </w:r>
      <w:r w:rsidRPr="005675B2">
        <w:rPr>
          <w:rFonts w:hint="cs"/>
          <w:rtl/>
        </w:rPr>
        <w:t xml:space="preserve">ينبغي أن يتلطف في معالجتهم بما أمكن من الكلام المقنع المقبول عنده لا بالأدلة اليقينية البرهانية </w:t>
      </w:r>
      <w:r w:rsidRPr="005675B2">
        <w:rPr>
          <w:rFonts w:hint="cs"/>
          <w:u w:val="single"/>
          <w:rtl/>
        </w:rPr>
        <w:t>لقصور عقولهم عن إدراكها لأن الغالب على الخلق القصور والجهل</w:t>
      </w:r>
      <w:r w:rsidRPr="005675B2">
        <w:rPr>
          <w:rFonts w:hint="cs"/>
          <w:rtl/>
        </w:rPr>
        <w:t xml:space="preserve"> فهم لقصورهم لا يدركون براهين العقول كما لا تدرك أنوار الشمس أبصار الخفافيش</w:t>
      </w:r>
      <w:r w:rsidR="000636C2">
        <w:rPr>
          <w:rFonts w:hint="cs"/>
          <w:rtl/>
        </w:rPr>
        <w:t>،</w:t>
      </w:r>
      <w:r w:rsidRPr="005675B2">
        <w:rPr>
          <w:rFonts w:hint="cs"/>
          <w:rtl/>
        </w:rPr>
        <w:t xml:space="preserve"> بل تضرهم الأدلة البرهانية العقلية كما تضر ريح الورد الجعل وفي مثل هذا قيل شعراً</w:t>
      </w:r>
      <w:r w:rsidR="000636C2">
        <w:rPr>
          <w:rFonts w:hint="cs"/>
          <w:rtl/>
        </w:rPr>
        <w:t>: (</w:t>
      </w:r>
      <w:r w:rsidRPr="005675B2">
        <w:rPr>
          <w:rFonts w:hint="cs"/>
          <w:rtl/>
        </w:rPr>
        <w:t>ومن منح الجهال علماً أضاعه ... ومن منع المستوجبين فقد ظلم</w:t>
      </w:r>
      <w:r w:rsidR="000636C2">
        <w:rPr>
          <w:rFonts w:hint="cs"/>
          <w:rtl/>
        </w:rPr>
        <w:t>)</w:t>
      </w:r>
      <w:r w:rsidRPr="005675B2">
        <w:rPr>
          <w:rFonts w:hint="cs"/>
          <w:rtl/>
        </w:rPr>
        <w:t xml:space="preserve"> وأما الفطن الذي لا يقنعه الكلام الخطابي فيجب المحاجة معه بالدليل القطعي البرهاني</w:t>
      </w:r>
      <w:r w:rsidR="000636C2">
        <w:rPr>
          <w:rFonts w:hint="cs"/>
          <w:rtl/>
        </w:rPr>
        <w:t>،</w:t>
      </w:r>
      <w:r w:rsidRPr="005675B2">
        <w:rPr>
          <w:rFonts w:hint="cs"/>
          <w:rtl/>
        </w:rPr>
        <w:t xml:space="preserve"> أ نتهـى كلام الإمام الغزالي رضي الله عنه</w:t>
      </w:r>
      <w:r w:rsidR="000636C2">
        <w:rPr>
          <w:rFonts w:hint="cs"/>
          <w:rtl/>
        </w:rPr>
        <w:t>،</w:t>
      </w:r>
      <w:r w:rsidRPr="005675B2">
        <w:rPr>
          <w:rFonts w:hint="cs"/>
          <w:rtl/>
        </w:rPr>
        <w:t xml:space="preserve"> [</w:t>
      </w:r>
      <w:r w:rsidRPr="005675B2">
        <w:rPr>
          <w:rFonts w:hint="cs"/>
          <w:bCs/>
          <w:sz w:val="24"/>
          <w:szCs w:val="24"/>
          <w:rtl/>
        </w:rPr>
        <w:t>شرح الغنيمي 49. والمسامرة</w:t>
      </w:r>
      <w:r w:rsidRPr="005675B2">
        <w:rPr>
          <w:rFonts w:hint="cs"/>
          <w:rtl/>
        </w:rPr>
        <w:t>]</w:t>
      </w:r>
      <w:r w:rsidR="000636C2">
        <w:rPr>
          <w:rFonts w:hint="cs"/>
          <w:rtl/>
        </w:rPr>
        <w:t>،</w:t>
      </w:r>
      <w:r w:rsidRPr="005675B2">
        <w:rPr>
          <w:rFonts w:hint="cs"/>
          <w:rtl/>
        </w:rPr>
        <w:t xml:space="preserve"> فهل السادة الأشاعرة</w:t>
      </w:r>
      <w:r w:rsidR="000636C2">
        <w:rPr>
          <w:rFonts w:hint="cs"/>
          <w:rtl/>
        </w:rPr>
        <w:t xml:space="preserve"> </w:t>
      </w:r>
      <w:r w:rsidRPr="005675B2">
        <w:rPr>
          <w:rFonts w:hint="cs"/>
          <w:rtl/>
        </w:rPr>
        <w:t>جمدوا على دليل وحيد</w:t>
      </w:r>
      <w:r w:rsidR="000636C2">
        <w:rPr>
          <w:rFonts w:hint="cs"/>
          <w:rtl/>
        </w:rPr>
        <w:t>؟!</w:t>
      </w:r>
      <w:r w:rsidRPr="005675B2">
        <w:rPr>
          <w:rFonts w:hint="cs"/>
          <w:rtl/>
        </w:rPr>
        <w:t xml:space="preserve"> أم أنهم فصلوا في طريقة التدليل وأحوال الناس ومقدار معارفهم</w:t>
      </w:r>
      <w:r w:rsidR="000636C2">
        <w:rPr>
          <w:rFonts w:hint="cs"/>
          <w:rtl/>
        </w:rPr>
        <w:t>،</w:t>
      </w:r>
      <w:r w:rsidRPr="005675B2">
        <w:rPr>
          <w:rFonts w:hint="cs"/>
          <w:rtl/>
        </w:rPr>
        <w:t>وعقولهم</w:t>
      </w:r>
      <w:r w:rsidR="000636C2">
        <w:rPr>
          <w:rFonts w:hint="cs"/>
          <w:rtl/>
        </w:rPr>
        <w:t>،</w:t>
      </w:r>
      <w:r w:rsidRPr="005675B2">
        <w:rPr>
          <w:rFonts w:hint="cs"/>
          <w:rtl/>
        </w:rPr>
        <w:t xml:space="preserve"> ونفسياتهم</w:t>
      </w:r>
      <w:r w:rsidR="000636C2">
        <w:rPr>
          <w:rFonts w:hint="cs"/>
          <w:rtl/>
        </w:rPr>
        <w:t>،</w:t>
      </w:r>
      <w:r w:rsidRPr="005675B2">
        <w:rPr>
          <w:rFonts w:hint="cs"/>
          <w:rtl/>
        </w:rPr>
        <w:t>فهل بعد هذا من فقه يا أخي</w:t>
      </w:r>
      <w:r w:rsidR="000636C2">
        <w:rPr>
          <w:rFonts w:hint="cs"/>
          <w:rtl/>
        </w:rPr>
        <w:t>؟!</w:t>
      </w:r>
      <w:r w:rsidRPr="005675B2">
        <w:rPr>
          <w:rFonts w:hint="cs"/>
          <w:rtl/>
        </w:rPr>
        <w:t>فاتق الله بارك الله لنا ولك في أعمالنا وأعمارناوجعلها في رضاه</w:t>
      </w:r>
      <w:r w:rsidR="000636C2">
        <w:rPr>
          <w:rFonts w:hint="cs"/>
          <w:rtl/>
        </w:rPr>
        <w:t>،</w:t>
      </w:r>
      <w:r w:rsidRPr="005675B2">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بعد ذلك حق لك أن تعجب من كلام الشيخ عبدالله الموجان في قوله</w:t>
      </w:r>
      <w:r w:rsidR="000636C2">
        <w:rPr>
          <w:rFonts w:hint="cs"/>
          <w:rtl/>
        </w:rPr>
        <w:t>:</w:t>
      </w:r>
      <w:r w:rsidRPr="005675B2">
        <w:rPr>
          <w:rFonts w:hint="cs"/>
          <w:rtl/>
        </w:rPr>
        <w:t>ومنه تلقف الأشاعرة الجوهر الفرد</w:t>
      </w:r>
      <w:r w:rsidR="000636C2">
        <w:rPr>
          <w:rFonts w:hint="cs"/>
          <w:rtl/>
        </w:rPr>
        <w:t>،</w:t>
      </w:r>
      <w:r w:rsidRPr="005675B2">
        <w:rPr>
          <w:rFonts w:hint="cs"/>
          <w:rtl/>
        </w:rPr>
        <w:t xml:space="preserve"> وأخلف الله على الأشاعرة</w:t>
      </w:r>
      <w:r w:rsidR="000636C2">
        <w:rPr>
          <w:rFonts w:hint="cs"/>
          <w:rtl/>
        </w:rPr>
        <w:t xml:space="preserve"> </w:t>
      </w:r>
      <w:r w:rsidRPr="005675B2">
        <w:rPr>
          <w:rFonts w:hint="cs"/>
          <w:rtl/>
        </w:rPr>
        <w:t>في هذا الذي بنوا</w:t>
      </w:r>
      <w:r w:rsidR="000636C2">
        <w:rPr>
          <w:rFonts w:hint="cs"/>
          <w:rtl/>
        </w:rPr>
        <w:t xml:space="preserve"> </w:t>
      </w:r>
      <w:r w:rsidRPr="005675B2">
        <w:rPr>
          <w:rFonts w:hint="cs"/>
          <w:rtl/>
        </w:rPr>
        <w:t>عليه أصل دينهم</w:t>
      </w:r>
      <w:r w:rsidR="000636C2">
        <w:rPr>
          <w:rFonts w:hint="cs"/>
          <w:rtl/>
        </w:rPr>
        <w:t xml:space="preserve">، </w:t>
      </w:r>
      <w:r w:rsidRPr="005675B2">
        <w:rPr>
          <w:rFonts w:hint="cs"/>
          <w:rtl/>
        </w:rPr>
        <w:t>[</w:t>
      </w:r>
      <w:r w:rsidRPr="005675B2">
        <w:rPr>
          <w:rFonts w:hint="cs"/>
          <w:bCs/>
          <w:sz w:val="24"/>
          <w:szCs w:val="24"/>
          <w:rtl/>
        </w:rPr>
        <w:t>الرد الشامل ص99</w:t>
      </w:r>
      <w:r w:rsidRPr="005675B2">
        <w:rPr>
          <w:rFonts w:hint="cs"/>
          <w:rtl/>
        </w:rPr>
        <w:t>]</w:t>
      </w:r>
      <w:r w:rsidR="000636C2">
        <w:rPr>
          <w:rFonts w:hint="cs"/>
          <w:rtl/>
        </w:rPr>
        <w:t>،</w:t>
      </w:r>
      <w:r w:rsidRPr="005675B2">
        <w:rPr>
          <w:rFonts w:hint="cs"/>
          <w:rtl/>
        </w:rPr>
        <w:t xml:space="preserve"> فهو</w:t>
      </w:r>
      <w:r w:rsidR="000636C2">
        <w:rPr>
          <w:rFonts w:hint="cs"/>
          <w:rtl/>
        </w:rPr>
        <w:t xml:space="preserve"> </w:t>
      </w:r>
      <w:r w:rsidRPr="005675B2">
        <w:rPr>
          <w:rFonts w:hint="cs"/>
          <w:rtl/>
        </w:rPr>
        <w:t xml:space="preserve">يتهم الأشاعرة رحمهم الله تعالى بأنهم بنوا </w:t>
      </w:r>
      <w:r w:rsidR="000636C2">
        <w:rPr>
          <w:rFonts w:hint="cs"/>
          <w:rtl/>
        </w:rPr>
        <w:t>(</w:t>
      </w:r>
      <w:r w:rsidRPr="005675B2">
        <w:rPr>
          <w:rFonts w:hint="cs"/>
          <w:rtl/>
        </w:rPr>
        <w:t>أصل</w:t>
      </w:r>
      <w:r w:rsidR="000636C2">
        <w:rPr>
          <w:rFonts w:hint="cs"/>
          <w:rtl/>
        </w:rPr>
        <w:t>)</w:t>
      </w:r>
      <w:r w:rsidRPr="005675B2">
        <w:rPr>
          <w:rFonts w:hint="cs"/>
          <w:rtl/>
        </w:rPr>
        <w:t xml:space="preserve"> دينهم على الجوهر الفرد</w:t>
      </w:r>
      <w:r w:rsidR="000636C2">
        <w:rPr>
          <w:rFonts w:hint="cs"/>
          <w:rtl/>
        </w:rPr>
        <w:t>،!</w:t>
      </w:r>
      <w:r w:rsidRPr="005675B2">
        <w:rPr>
          <w:rFonts w:hint="cs"/>
          <w:rtl/>
        </w:rPr>
        <w:t>وقد سبق أن تبين للقارىء الكريم أن مصدر تلقي الدين عند الأشعرية هو الأدلة السمعية بشرط العقل وهو شرط يخرج به المجنون</w:t>
      </w:r>
      <w:r w:rsidR="000636C2">
        <w:rPr>
          <w:rFonts w:hint="cs"/>
          <w:rtl/>
        </w:rPr>
        <w:t>،</w:t>
      </w:r>
      <w:r w:rsidRPr="005675B2">
        <w:rPr>
          <w:rFonts w:hint="cs"/>
          <w:rtl/>
        </w:rPr>
        <w:t xml:space="preserve"> وليس على جوهر فرد أو غيره</w:t>
      </w:r>
      <w:r w:rsidR="000636C2">
        <w:rPr>
          <w:rFonts w:hint="cs"/>
          <w:rtl/>
        </w:rPr>
        <w:t>،</w:t>
      </w:r>
      <w:r w:rsidRPr="005675B2">
        <w:rPr>
          <w:rFonts w:hint="cs"/>
          <w:rtl/>
        </w:rPr>
        <w:t xml:space="preserve"> وللفائدة</w:t>
      </w:r>
      <w:r w:rsidR="000636C2">
        <w:rPr>
          <w:rFonts w:hint="cs"/>
          <w:rtl/>
        </w:rPr>
        <w:t>:</w:t>
      </w:r>
      <w:r w:rsidRPr="005675B2">
        <w:rPr>
          <w:rFonts w:hint="cs"/>
          <w:rtl/>
        </w:rPr>
        <w:t xml:space="preserve"> الجوهر الفرد فرض عقلي لوحدة بناء المادة، صورته</w:t>
      </w:r>
      <w:r w:rsidR="000636C2">
        <w:rPr>
          <w:rFonts w:hint="cs"/>
          <w:rtl/>
        </w:rPr>
        <w:t>:</w:t>
      </w:r>
      <w:r w:rsidRPr="005675B2">
        <w:rPr>
          <w:rFonts w:hint="cs"/>
          <w:rtl/>
        </w:rPr>
        <w:t xml:space="preserve"> أنه</w:t>
      </w:r>
      <w:r w:rsidRPr="005675B2">
        <w:rPr>
          <w:rFonts w:hint="cs"/>
        </w:rPr>
        <w:t xml:space="preserve"> </w:t>
      </w:r>
      <w:r w:rsidRPr="005675B2">
        <w:rPr>
          <w:rFonts w:hint="cs"/>
          <w:rtl/>
        </w:rPr>
        <w:t>جزء لا يتجزأ</w:t>
      </w:r>
      <w:r w:rsidR="000636C2">
        <w:rPr>
          <w:rFonts w:hint="cs"/>
          <w:rtl/>
        </w:rPr>
        <w:t>،</w:t>
      </w:r>
      <w:r w:rsidRPr="005675B2">
        <w:rPr>
          <w:rFonts w:hint="cs"/>
          <w:rtl/>
        </w:rPr>
        <w:t>ولم يقل أحد بأنه الذرة أو أحد مكوناتها</w:t>
      </w:r>
      <w:r w:rsidR="000636C2">
        <w:rPr>
          <w:rFonts w:hint="cs"/>
          <w:rtl/>
        </w:rPr>
        <w:t>،</w:t>
      </w:r>
      <w:r w:rsidRPr="005675B2">
        <w:rPr>
          <w:rFonts w:hint="cs"/>
          <w:rtl/>
        </w:rPr>
        <w:t>فسواء توصل العلم إلى وحدة</w:t>
      </w:r>
      <w:r w:rsidRPr="005675B2">
        <w:rPr>
          <w:rFonts w:hint="cs"/>
        </w:rPr>
        <w:t xml:space="preserve"> </w:t>
      </w:r>
      <w:r w:rsidRPr="005675B2">
        <w:rPr>
          <w:rFonts w:hint="cs"/>
          <w:rtl/>
        </w:rPr>
        <w:t>بناء للمادة لا تتجزأ فعلاً أو لم يصل فإنه يصح عقلاً أن تتكون المادة من أجزاء لا</w:t>
      </w:r>
      <w:r w:rsidRPr="005675B2">
        <w:rPr>
          <w:rFonts w:hint="cs"/>
        </w:rPr>
        <w:t xml:space="preserve"> </w:t>
      </w:r>
      <w:r w:rsidRPr="005675B2">
        <w:rPr>
          <w:rFonts w:hint="cs"/>
          <w:rtl/>
        </w:rPr>
        <w:t>تتجزأ</w:t>
      </w:r>
      <w:r w:rsidR="000636C2">
        <w:rPr>
          <w:rFonts w:hint="cs"/>
          <w:rtl/>
        </w:rPr>
        <w:t>،</w:t>
      </w:r>
      <w:r w:rsidRPr="005675B2">
        <w:rPr>
          <w:rFonts w:hint="cs"/>
          <w:rtl/>
        </w:rPr>
        <w:t>لأن ما لا يتناهى حصره لا يصح وجوده بالفعل</w:t>
      </w:r>
      <w:r w:rsidR="000636C2">
        <w:rPr>
          <w:rFonts w:hint="cs"/>
          <w:rtl/>
        </w:rPr>
        <w:t>،</w:t>
      </w:r>
      <w:r w:rsidRPr="005675B2">
        <w:rPr>
          <w:rFonts w:hint="cs"/>
          <w:rtl/>
        </w:rPr>
        <w:t>فيصح</w:t>
      </w:r>
      <w:r w:rsidR="000636C2">
        <w:rPr>
          <w:rFonts w:hint="cs"/>
          <w:rtl/>
        </w:rPr>
        <w:t xml:space="preserve"> </w:t>
      </w:r>
      <w:r w:rsidRPr="005675B2">
        <w:rPr>
          <w:rFonts w:hint="cs"/>
          <w:rtl/>
        </w:rPr>
        <w:t>أن تكون المادة - أي مادة - ينتهي حالها إلى عدد معين ولو بمليارات المليارات من الأجزاء التي لا تتجزأ</w:t>
      </w:r>
      <w:r w:rsidR="000636C2">
        <w:rPr>
          <w:rFonts w:hint="cs"/>
          <w:rtl/>
        </w:rPr>
        <w:t xml:space="preserve">، </w:t>
      </w:r>
      <w:r w:rsidRPr="005675B2">
        <w:rPr>
          <w:rFonts w:hint="cs"/>
          <w:rtl/>
        </w:rPr>
        <w:t>قال الباجوري</w:t>
      </w:r>
      <w:r w:rsidR="000636C2">
        <w:rPr>
          <w:rFonts w:hint="cs"/>
          <w:rtl/>
        </w:rPr>
        <w:t>:</w:t>
      </w:r>
      <w:r w:rsidRPr="005675B2">
        <w:rPr>
          <w:rFonts w:hint="cs"/>
          <w:rtl/>
        </w:rPr>
        <w:t xml:space="preserve"> الجوهر الفرد معناه</w:t>
      </w:r>
      <w:r w:rsidR="000636C2">
        <w:rPr>
          <w:rFonts w:hint="cs"/>
          <w:rtl/>
        </w:rPr>
        <w:t>:</w:t>
      </w:r>
      <w:r w:rsidRPr="005675B2">
        <w:rPr>
          <w:rFonts w:hint="cs"/>
          <w:rtl/>
        </w:rPr>
        <w:t>الجزء الذي لا يتجزأ</w:t>
      </w:r>
      <w:r w:rsidR="000636C2">
        <w:rPr>
          <w:rFonts w:hint="cs"/>
          <w:rtl/>
        </w:rPr>
        <w:t>،</w:t>
      </w:r>
      <w:r w:rsidRPr="005675B2">
        <w:rPr>
          <w:rFonts w:hint="cs"/>
          <w:rtl/>
        </w:rPr>
        <w:t xml:space="preserve"> أهـ</w:t>
      </w:r>
      <w:r w:rsidR="000636C2">
        <w:rPr>
          <w:rFonts w:hint="cs"/>
          <w:rtl/>
        </w:rPr>
        <w:t xml:space="preserve"> </w:t>
      </w:r>
      <w:r w:rsidRPr="005675B2">
        <w:rPr>
          <w:rFonts w:hint="cs"/>
          <w:rtl/>
        </w:rPr>
        <w:t>وقال</w:t>
      </w:r>
      <w:r w:rsidR="000636C2">
        <w:rPr>
          <w:rFonts w:hint="cs"/>
          <w:rtl/>
        </w:rPr>
        <w:t>:</w:t>
      </w:r>
      <w:r w:rsidRPr="005675B2">
        <w:rPr>
          <w:rFonts w:hint="cs"/>
          <w:rtl/>
        </w:rPr>
        <w:t xml:space="preserve"> وعندنا معاشر المسلمين لا ينكر ثبوته وتقرره في </w:t>
      </w:r>
      <w:r w:rsidRPr="005675B2">
        <w:rPr>
          <w:rFonts w:hint="cs"/>
          <w:u w:val="single"/>
          <w:rtl/>
        </w:rPr>
        <w:t>الوجود لأن الله تعالى قادر على تفريق الأجسام بحيث لا يبقى جزء على جزء</w:t>
      </w:r>
      <w:r w:rsidR="000636C2">
        <w:rPr>
          <w:rFonts w:hint="cs"/>
          <w:u w:val="single"/>
          <w:rtl/>
        </w:rPr>
        <w:t>،</w:t>
      </w:r>
      <w:r w:rsidRPr="005675B2">
        <w:rPr>
          <w:rFonts w:hint="cs"/>
          <w:u w:val="single"/>
          <w:rtl/>
        </w:rPr>
        <w:t xml:space="preserve"> </w:t>
      </w:r>
      <w:r w:rsidRPr="005675B2">
        <w:rPr>
          <w:rFonts w:hint="cs"/>
          <w:rtl/>
        </w:rPr>
        <w:t>أهـ</w:t>
      </w:r>
      <w:r w:rsidR="000636C2">
        <w:rPr>
          <w:rFonts w:hint="cs"/>
          <w:rtl/>
        </w:rPr>
        <w:t xml:space="preserve"> </w:t>
      </w:r>
      <w:r w:rsidRPr="005675B2">
        <w:rPr>
          <w:rFonts w:hint="cs"/>
          <w:rtl/>
        </w:rPr>
        <w:t>[</w:t>
      </w:r>
      <w:r w:rsidRPr="005675B2">
        <w:rPr>
          <w:rFonts w:hint="cs"/>
          <w:bCs/>
          <w:sz w:val="24"/>
          <w:szCs w:val="24"/>
          <w:rtl/>
        </w:rPr>
        <w:t>فتح المجيد في بيان تحفة المريد على جوهرة التوحيد 463</w:t>
      </w:r>
      <w:r w:rsidRPr="005675B2">
        <w:rPr>
          <w:rFonts w:hint="cs"/>
          <w:rtl/>
        </w:rPr>
        <w:t>]</w:t>
      </w:r>
      <w:r w:rsidR="000636C2">
        <w:rPr>
          <w:rFonts w:hint="cs"/>
          <w:rtl/>
        </w:rPr>
        <w:t>،</w:t>
      </w:r>
      <w:r w:rsidRPr="005675B2">
        <w:rPr>
          <w:rFonts w:hint="cs"/>
          <w:rtl/>
        </w:rPr>
        <w:t xml:space="preserve"> فالجوهر الفرد ونظرية الأوتار الفائقة المكتشفة حديثاً وغيرها من النظريات العلمية هي</w:t>
      </w:r>
      <w:r w:rsidR="000636C2">
        <w:rPr>
          <w:rFonts w:hint="cs"/>
          <w:rtl/>
        </w:rPr>
        <w:t>:</w:t>
      </w:r>
      <w:r w:rsidRPr="005675B2">
        <w:rPr>
          <w:rFonts w:hint="cs"/>
          <w:rtl/>
        </w:rPr>
        <w:t>وسائل تفيد في العلم والمعرفة</w:t>
      </w:r>
      <w:r w:rsidR="000636C2">
        <w:rPr>
          <w:rFonts w:hint="cs"/>
          <w:rtl/>
        </w:rPr>
        <w:t>،</w:t>
      </w:r>
      <w:r w:rsidRPr="005675B2">
        <w:rPr>
          <w:rFonts w:hint="cs"/>
          <w:rtl/>
        </w:rPr>
        <w:t xml:space="preserve"> وتساعد على نشر الإسلام</w:t>
      </w:r>
      <w:r w:rsidR="000636C2">
        <w:rPr>
          <w:rFonts w:hint="cs"/>
          <w:rtl/>
        </w:rPr>
        <w:t>،</w:t>
      </w:r>
      <w:r w:rsidRPr="005675B2">
        <w:rPr>
          <w:rFonts w:hint="cs"/>
          <w:rtl/>
        </w:rPr>
        <w:t>ولا يعني ذلك أنها إذا سقطت</w:t>
      </w:r>
      <w:r w:rsidR="000636C2">
        <w:rPr>
          <w:rFonts w:hint="cs"/>
          <w:rtl/>
        </w:rPr>
        <w:t>،</w:t>
      </w:r>
      <w:r w:rsidRPr="005675B2">
        <w:rPr>
          <w:rFonts w:hint="cs"/>
          <w:rtl/>
        </w:rPr>
        <w:t>أو تغيرت</w:t>
      </w:r>
      <w:r w:rsidR="000636C2">
        <w:rPr>
          <w:rFonts w:hint="cs"/>
          <w:rtl/>
        </w:rPr>
        <w:t>،</w:t>
      </w:r>
      <w:r w:rsidRPr="005675B2">
        <w:rPr>
          <w:rFonts w:hint="cs"/>
          <w:rtl/>
        </w:rPr>
        <w:t>أو تطورت سقطت عقيدة</w:t>
      </w:r>
      <w:r w:rsidR="000636C2">
        <w:rPr>
          <w:rFonts w:hint="cs"/>
          <w:rtl/>
        </w:rPr>
        <w:t xml:space="preserve"> </w:t>
      </w:r>
      <w:r w:rsidRPr="005675B2">
        <w:rPr>
          <w:rFonts w:hint="cs"/>
          <w:rtl/>
        </w:rPr>
        <w:t>المسلمين</w:t>
      </w:r>
      <w:r w:rsidR="000636C2">
        <w:rPr>
          <w:rFonts w:hint="cs"/>
          <w:rtl/>
        </w:rPr>
        <w:t>،</w:t>
      </w:r>
      <w:r w:rsidRPr="005675B2">
        <w:rPr>
          <w:rFonts w:hint="cs"/>
          <w:rtl/>
        </w:rPr>
        <w:t>لأن عقيدة علماء الأمة من الأشاعرة وغيرهم من أهل السنة لا تقوم على ذلك</w:t>
      </w:r>
      <w:r w:rsidR="000636C2">
        <w:rPr>
          <w:rFonts w:hint="cs"/>
          <w:rtl/>
        </w:rPr>
        <w:t>،</w:t>
      </w:r>
      <w:r w:rsidRPr="005675B2">
        <w:rPr>
          <w:rFonts w:hint="cs"/>
          <w:rtl/>
        </w:rPr>
        <w:t xml:space="preserve"> ولكنه التخلف والرجعية التي يعاني منها من يحارب العلم والعلماء</w:t>
      </w:r>
      <w:r w:rsidR="000636C2">
        <w:rPr>
          <w:rFonts w:hint="cs"/>
          <w:rtl/>
        </w:rPr>
        <w:t>،</w:t>
      </w:r>
      <w:r w:rsidRPr="005675B2">
        <w:rPr>
          <w:rFonts w:hint="cs"/>
          <w:rtl/>
        </w:rPr>
        <w:t xml:space="preserve"> والناس أعداء ما جهلوا</w:t>
      </w:r>
      <w:r w:rsidR="000636C2">
        <w:rPr>
          <w:rFonts w:hint="cs"/>
          <w:rtl/>
        </w:rPr>
        <w:t>،</w:t>
      </w:r>
    </w:p>
    <w:p w14:paraId="1896FD82" w14:textId="0050C8A5" w:rsidR="009C32A0" w:rsidRPr="005675B2" w:rsidRDefault="009C32A0" w:rsidP="000636C2">
      <w:pPr>
        <w:rPr>
          <w:b/>
          <w:rtl/>
        </w:rPr>
      </w:pPr>
      <w:r w:rsidRPr="005675B2">
        <w:rPr>
          <w:rFonts w:hint="cs"/>
          <w:bCs/>
          <w:rtl/>
        </w:rPr>
        <w:t>الثالث</w:t>
      </w:r>
      <w:r w:rsidR="000636C2">
        <w:rPr>
          <w:rFonts w:hint="cs"/>
          <w:bCs/>
          <w:rtl/>
        </w:rPr>
        <w:t>:</w:t>
      </w:r>
      <w:r w:rsidRPr="005675B2">
        <w:rPr>
          <w:rFonts w:hint="cs"/>
          <w:bCs/>
          <w:rtl/>
        </w:rPr>
        <w:t xml:space="preserve"> التوحيد</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التوحيد عند أهل السنة</w:t>
      </w:r>
      <w:r w:rsidRPr="005675B2">
        <w:rPr>
          <w:rFonts w:hint="cs"/>
        </w:rPr>
        <w:t xml:space="preserve"> </w:t>
      </w:r>
      <w:r w:rsidRPr="005675B2">
        <w:rPr>
          <w:rFonts w:hint="cs"/>
          <w:rtl/>
        </w:rPr>
        <w:t>والجماعة معروف بأقسامه الثلاثة وهو عندهم أول واجب على المكلف</w:t>
      </w:r>
      <w:r w:rsidR="000636C2">
        <w:rPr>
          <w:rFonts w:hint="cs"/>
          <w:rtl/>
        </w:rPr>
        <w:t>،</w:t>
      </w:r>
      <w:r w:rsidRPr="005675B2">
        <w:rPr>
          <w:rFonts w:hint="cs"/>
          <w:rtl/>
        </w:rPr>
        <w:t xml:space="preserve"> أما الأشاعرة</w:t>
      </w:r>
      <w:r w:rsidRPr="005675B2">
        <w:rPr>
          <w:rFonts w:hint="cs"/>
        </w:rPr>
        <w:t xml:space="preserve"> </w:t>
      </w:r>
      <w:r w:rsidRPr="005675B2">
        <w:rPr>
          <w:rFonts w:hint="cs"/>
          <w:rtl/>
        </w:rPr>
        <w:t>قدماؤهم ومعاصروهم فالتوحيد عندهم هو نفي التثنية أو التعدد ونفي التبعيض والتركيب</w:t>
      </w:r>
      <w:r w:rsidRPr="005675B2">
        <w:rPr>
          <w:rFonts w:hint="cs"/>
        </w:rPr>
        <w:t xml:space="preserve"> </w:t>
      </w:r>
      <w:r w:rsidRPr="005675B2">
        <w:rPr>
          <w:rFonts w:hint="cs"/>
          <w:rtl/>
        </w:rPr>
        <w:t>والتجزئة أي حسب تعبيرهم</w:t>
      </w:r>
      <w:r w:rsidRPr="005675B2">
        <w:rPr>
          <w:rFonts w:hint="cs"/>
        </w:rPr>
        <w:t xml:space="preserve"> </w:t>
      </w:r>
      <w:r w:rsidRPr="005675B2">
        <w:rPr>
          <w:rFonts w:hint="cs"/>
          <w:rtl/>
        </w:rPr>
        <w:t>"</w:t>
      </w:r>
      <w:r w:rsidRPr="005675B2">
        <w:rPr>
          <w:rFonts w:hint="cs"/>
        </w:rPr>
        <w:t xml:space="preserve"> </w:t>
      </w:r>
      <w:r w:rsidRPr="005675B2">
        <w:rPr>
          <w:rFonts w:hint="cs"/>
          <w:rtl/>
        </w:rPr>
        <w:t>نفي الكمية المتصلة</w:t>
      </w:r>
      <w:r w:rsidRPr="005675B2">
        <w:rPr>
          <w:rFonts w:hint="cs"/>
        </w:rPr>
        <w:t xml:space="preserve"> </w:t>
      </w:r>
      <w:r w:rsidRPr="005675B2">
        <w:rPr>
          <w:rFonts w:hint="cs"/>
          <w:rtl/>
        </w:rPr>
        <w:t>والكمية المنفصلة</w:t>
      </w:r>
      <w:r w:rsidRPr="005675B2">
        <w:rPr>
          <w:rFonts w:hint="cs"/>
        </w:rPr>
        <w:t xml:space="preserve"> </w:t>
      </w:r>
      <w:r w:rsidRPr="005675B2">
        <w:rPr>
          <w:rFonts w:hint="cs"/>
          <w:rtl/>
        </w:rPr>
        <w:t>"</w:t>
      </w:r>
      <w:r w:rsidRPr="005675B2">
        <w:rPr>
          <w:rFonts w:hint="cs"/>
        </w:rPr>
        <w:t xml:space="preserve"> </w:t>
      </w:r>
      <w:r w:rsidRPr="005675B2">
        <w:rPr>
          <w:rFonts w:hint="cs"/>
          <w:rtl/>
        </w:rPr>
        <w:t>ومن هذا المعنى فسروا الإله بأنه الخالق أو</w:t>
      </w:r>
      <w:r w:rsidRPr="005675B2">
        <w:rPr>
          <w:rFonts w:hint="cs"/>
        </w:rPr>
        <w:t xml:space="preserve"> </w:t>
      </w:r>
      <w:r w:rsidRPr="005675B2">
        <w:rPr>
          <w:rFonts w:hint="cs"/>
          <w:rtl/>
        </w:rPr>
        <w:t>القادر على الاختراع وأنكروا بعض الصفات كالوجه واليد والعين لأنها تدل على</w:t>
      </w:r>
      <w:r w:rsidRPr="005675B2">
        <w:rPr>
          <w:rFonts w:hint="cs"/>
        </w:rPr>
        <w:t xml:space="preserve"> </w:t>
      </w:r>
      <w:r w:rsidRPr="005675B2">
        <w:rPr>
          <w:rFonts w:hint="cs"/>
          <w:rtl/>
        </w:rPr>
        <w:t xml:space="preserve">التركيب والأجزاء عندهم </w:t>
      </w:r>
      <w:r w:rsidR="000636C2">
        <w:rPr>
          <w:rFonts w:hint="cs"/>
          <w:rtl/>
        </w:rPr>
        <w:t>[</w:t>
      </w:r>
      <w:r w:rsidRPr="005675B2">
        <w:rPr>
          <w:rFonts w:hint="cs"/>
          <w:rtl/>
        </w:rPr>
        <w:t>أما التوحيد الحقيقي وما يقابله من الشرك ومعرفتُه والتحذيرُ منه فلا ذكر له في كتب عقيدتهم إطلاقاً</w:t>
      </w:r>
      <w:r w:rsidR="000636C2">
        <w:rPr>
          <w:rFonts w:hint="cs"/>
          <w:rtl/>
        </w:rPr>
        <w:t>،</w:t>
      </w:r>
      <w:r w:rsidRPr="005675B2">
        <w:rPr>
          <w:rFonts w:hint="cs"/>
          <w:rtl/>
        </w:rPr>
        <w:t xml:space="preserve"> ولا أدري أين يضعونه</w:t>
      </w:r>
      <w:r w:rsidR="000636C2">
        <w:rPr>
          <w:rFonts w:hint="cs"/>
          <w:rtl/>
        </w:rPr>
        <w:t>؟</w:t>
      </w:r>
      <w:r w:rsidRPr="005675B2">
        <w:rPr>
          <w:rFonts w:hint="cs"/>
          <w:rtl/>
        </w:rPr>
        <w:t xml:space="preserve"> أفي كتب الفروع</w:t>
      </w:r>
      <w:r w:rsidR="000636C2">
        <w:rPr>
          <w:rFonts w:hint="cs"/>
          <w:rtl/>
        </w:rPr>
        <w:t>؟</w:t>
      </w:r>
      <w:r w:rsidRPr="005675B2">
        <w:rPr>
          <w:rFonts w:hint="cs"/>
          <w:rtl/>
        </w:rPr>
        <w:t xml:space="preserve"> فليس فيها</w:t>
      </w:r>
      <w:r w:rsidR="000636C2">
        <w:rPr>
          <w:rFonts w:hint="cs"/>
          <w:rtl/>
        </w:rPr>
        <w:t>،</w:t>
      </w:r>
      <w:r w:rsidRPr="005675B2">
        <w:rPr>
          <w:rFonts w:hint="cs"/>
          <w:rtl/>
        </w:rPr>
        <w:t xml:space="preserve"> أم يتركونه بالمرة</w:t>
      </w:r>
      <w:r w:rsidR="000636C2">
        <w:rPr>
          <w:rFonts w:hint="cs"/>
          <w:rtl/>
        </w:rPr>
        <w:t>؟</w:t>
      </w:r>
      <w:r w:rsidRPr="005675B2">
        <w:rPr>
          <w:rFonts w:hint="cs"/>
          <w:rtl/>
        </w:rPr>
        <w:t xml:space="preserve"> فهذا الذي أجزم به</w:t>
      </w:r>
      <w:r w:rsidR="000636C2">
        <w:rPr>
          <w:rFonts w:hint="cs"/>
          <w:rtl/>
        </w:rPr>
        <w:t>]،</w:t>
      </w:r>
    </w:p>
    <w:p w14:paraId="73882509" w14:textId="0F31AF03" w:rsidR="009C32A0" w:rsidRPr="005675B2" w:rsidRDefault="009C32A0" w:rsidP="000636C2">
      <w:pPr>
        <w:rPr>
          <w:b/>
          <w:u w:val="single"/>
          <w:rtl/>
        </w:rPr>
      </w:pPr>
      <w:r w:rsidRPr="005675B2">
        <w:rPr>
          <w:rFonts w:hint="cs"/>
          <w:rtl/>
        </w:rPr>
        <w:t>الرد</w:t>
      </w:r>
      <w:r w:rsidR="000636C2">
        <w:rPr>
          <w:rFonts w:hint="cs"/>
          <w:rtl/>
        </w:rPr>
        <w:t>:</w:t>
      </w:r>
      <w:r w:rsidRPr="005675B2">
        <w:rPr>
          <w:rFonts w:hint="cs"/>
          <w:rtl/>
        </w:rPr>
        <w:t xml:space="preserve"> - هكذا يجزم الكاتب ولا شك أن الجزم بالحكم يكون ناتج عن تمحيص واستقراء لكتب الأشاعرة وما كتبه علماؤهم، وإلا فلا يكون جزماً بل مجازفات</w:t>
      </w:r>
      <w:r w:rsidR="000636C2">
        <w:rPr>
          <w:rFonts w:hint="cs"/>
          <w:rtl/>
        </w:rPr>
        <w:t>،</w:t>
      </w:r>
      <w:r w:rsidRPr="005675B2">
        <w:rPr>
          <w:rFonts w:hint="cs"/>
          <w:rtl/>
        </w:rPr>
        <w:t xml:space="preserve"> </w:t>
      </w:r>
      <w:r w:rsidRPr="005675B2">
        <w:rPr>
          <w:rFonts w:hint="cs"/>
          <w:u w:val="single"/>
          <w:rtl/>
        </w:rPr>
        <w:t>ومن البلية</w:t>
      </w:r>
      <w:r w:rsidR="000636C2">
        <w:rPr>
          <w:rFonts w:hint="cs"/>
          <w:u w:val="single"/>
          <w:rtl/>
        </w:rPr>
        <w:t xml:space="preserve"> </w:t>
      </w:r>
      <w:r w:rsidRPr="005675B2">
        <w:rPr>
          <w:rFonts w:hint="cs"/>
          <w:u w:val="single"/>
          <w:rtl/>
        </w:rPr>
        <w:t>ما قاله الشيخ الموجان أيضاً عن الأشاعرة مانصه</w:t>
      </w:r>
      <w:r w:rsidR="000636C2">
        <w:rPr>
          <w:rFonts w:hint="cs"/>
          <w:u w:val="single"/>
          <w:rtl/>
        </w:rPr>
        <w:t>:</w:t>
      </w:r>
      <w:r w:rsidRPr="005675B2">
        <w:rPr>
          <w:rFonts w:hint="cs"/>
          <w:u w:val="single"/>
          <w:rtl/>
        </w:rPr>
        <w:t xml:space="preserve"> نعم يجهلون معناها الذي أرسل به محمد صلى الله عليه وسلم فإنهم حرفوا معناها </w:t>
      </w:r>
      <w:r w:rsidR="000636C2">
        <w:rPr>
          <w:rFonts w:hint="cs"/>
          <w:u w:val="single"/>
          <w:rtl/>
        </w:rPr>
        <w:t>(</w:t>
      </w:r>
      <w:r w:rsidRPr="005675B2">
        <w:rPr>
          <w:rFonts w:hint="cs"/>
          <w:u w:val="single"/>
          <w:rtl/>
        </w:rPr>
        <w:t>أي لا إله إلا الله</w:t>
      </w:r>
      <w:r w:rsidR="000636C2">
        <w:rPr>
          <w:rFonts w:hint="cs"/>
          <w:u w:val="single"/>
          <w:rtl/>
        </w:rPr>
        <w:t>)</w:t>
      </w:r>
      <w:r w:rsidRPr="005675B2">
        <w:rPr>
          <w:rFonts w:hint="cs"/>
          <w:u w:val="single"/>
          <w:rtl/>
        </w:rPr>
        <w:t xml:space="preserve"> فجعلوا إله بمعنى الله أي لا قادر على الاختراع إلا الله</w:t>
      </w:r>
      <w:r w:rsidR="000636C2">
        <w:rPr>
          <w:rFonts w:hint="cs"/>
          <w:u w:val="single"/>
          <w:rtl/>
        </w:rPr>
        <w:t>،</w:t>
      </w:r>
      <w:r w:rsidRPr="005675B2">
        <w:rPr>
          <w:rFonts w:hint="cs"/>
          <w:u w:val="single"/>
          <w:rtl/>
        </w:rPr>
        <w:t xml:space="preserve"> ولا يعرفون أن إله بمعنى مألوه أي معبود</w:t>
      </w:r>
      <w:r w:rsidR="000636C2">
        <w:rPr>
          <w:rFonts w:hint="cs"/>
          <w:u w:val="single"/>
          <w:rtl/>
        </w:rPr>
        <w:t>،</w:t>
      </w:r>
      <w:r w:rsidRPr="005675B2">
        <w:rPr>
          <w:rFonts w:hint="cs"/>
          <w:u w:val="single"/>
          <w:rtl/>
        </w:rPr>
        <w:t xml:space="preserve"> أهـ</w:t>
      </w:r>
      <w:r w:rsidR="000636C2">
        <w:rPr>
          <w:rFonts w:hint="cs"/>
          <w:u w:val="single"/>
          <w:rtl/>
        </w:rPr>
        <w:t xml:space="preserve"> </w:t>
      </w:r>
      <w:r w:rsidRPr="005675B2">
        <w:rPr>
          <w:rFonts w:hint="cs"/>
          <w:u w:val="single"/>
          <w:rtl/>
        </w:rPr>
        <w:t>[</w:t>
      </w:r>
      <w:r w:rsidRPr="005675B2">
        <w:rPr>
          <w:rFonts w:hint="cs"/>
          <w:bCs/>
          <w:sz w:val="24"/>
          <w:szCs w:val="24"/>
          <w:rtl/>
        </w:rPr>
        <w:t>الرد الشامل 101</w:t>
      </w:r>
      <w:r w:rsidRPr="005675B2">
        <w:rPr>
          <w:rFonts w:hint="cs"/>
          <w:u w:val="single"/>
          <w:rtl/>
        </w:rPr>
        <w:t>]</w:t>
      </w:r>
    </w:p>
    <w:p w14:paraId="4901CF0B" w14:textId="130FDB54" w:rsidR="009C32A0" w:rsidRPr="005675B2" w:rsidRDefault="000636C2" w:rsidP="000636C2">
      <w:pPr>
        <w:rPr>
          <w:b/>
          <w:rtl/>
        </w:rPr>
      </w:pPr>
      <w:r>
        <w:rPr>
          <w:rFonts w:hint="cs"/>
          <w:rtl/>
        </w:rPr>
        <w:t>[</w:t>
      </w:r>
      <w:r w:rsidR="009C32A0">
        <w:rPr>
          <w:rFonts w:hint="cs"/>
          <w:rtl/>
        </w:rPr>
        <w:t>الجواب</w:t>
      </w:r>
      <w:r>
        <w:rPr>
          <w:rFonts w:hint="cs"/>
          <w:rtl/>
        </w:rPr>
        <w:t>]:(</w:t>
      </w:r>
      <w:r w:rsidR="009C32A0">
        <w:rPr>
          <w:rFonts w:hint="cs"/>
          <w:rtl/>
        </w:rPr>
        <w:t>أولا</w:t>
      </w:r>
      <w:r>
        <w:rPr>
          <w:rFonts w:hint="cs"/>
          <w:rtl/>
        </w:rPr>
        <w:t xml:space="preserve">): </w:t>
      </w:r>
      <w:r w:rsidR="009C32A0" w:rsidRPr="005675B2">
        <w:rPr>
          <w:rFonts w:hint="cs"/>
          <w:rtl/>
        </w:rPr>
        <w:t>الإله</w:t>
      </w:r>
      <w:r>
        <w:rPr>
          <w:rFonts w:hint="cs"/>
          <w:rtl/>
        </w:rPr>
        <w:t>:</w:t>
      </w:r>
      <w:r w:rsidR="009C32A0" w:rsidRPr="005675B2">
        <w:rPr>
          <w:rFonts w:hint="cs"/>
          <w:rtl/>
        </w:rPr>
        <w:t xml:space="preserve"> هو المعبود المطاع الذي تألهه القلوب</w:t>
      </w:r>
      <w:r>
        <w:rPr>
          <w:rFonts w:hint="cs"/>
          <w:rtl/>
        </w:rPr>
        <w:t>،</w:t>
      </w:r>
      <w:r w:rsidR="009C32A0" w:rsidRPr="005675B2">
        <w:rPr>
          <w:rFonts w:hint="cs"/>
          <w:rtl/>
        </w:rPr>
        <w:t xml:space="preserve"> أي تتجه له وتقصده وتخضع له وتذل له وتتعلق به خشية وإنابة ومحبة وخوفاً وتوكلاً عليه وإخلاصاً له تبارك وتعالى</w:t>
      </w:r>
      <w:r>
        <w:rPr>
          <w:rFonts w:hint="cs"/>
          <w:rtl/>
        </w:rPr>
        <w:t>،</w:t>
      </w:r>
      <w:r w:rsidR="009C32A0" w:rsidRPr="005675B2">
        <w:rPr>
          <w:rFonts w:hint="cs"/>
          <w:rtl/>
        </w:rPr>
        <w:t xml:space="preserve"> وأما تقرير أن معنى مألوه أي معبود</w:t>
      </w:r>
      <w:r>
        <w:rPr>
          <w:rFonts w:hint="cs"/>
          <w:rtl/>
        </w:rPr>
        <w:t xml:space="preserve">: </w:t>
      </w:r>
      <w:r w:rsidR="009C32A0" w:rsidRPr="005675B2">
        <w:rPr>
          <w:rFonts w:hint="cs"/>
          <w:rtl/>
        </w:rPr>
        <w:t>فأقول هناك معان في اللغة سأذكرها باختصار ثم لها معنى شرعي عند أهل السنة من الأشاعرة وغيرهم</w:t>
      </w:r>
      <w:r>
        <w:rPr>
          <w:rFonts w:hint="cs"/>
          <w:rtl/>
        </w:rPr>
        <w:t>،</w:t>
      </w:r>
    </w:p>
    <w:p w14:paraId="6570ADBD" w14:textId="31F518F1" w:rsidR="009C32A0" w:rsidRPr="005675B2" w:rsidRDefault="009C32A0" w:rsidP="000636C2">
      <w:pPr>
        <w:rPr>
          <w:b/>
          <w:rtl/>
        </w:rPr>
      </w:pPr>
      <w:r w:rsidRPr="005675B2">
        <w:rPr>
          <w:rFonts w:hint="cs"/>
          <w:rtl/>
        </w:rPr>
        <w:t>المعاني التي اشتق منها</w:t>
      </w:r>
      <w:r w:rsidR="000636C2">
        <w:rPr>
          <w:rFonts w:hint="cs"/>
          <w:rtl/>
        </w:rPr>
        <w:t>:</w:t>
      </w:r>
      <w:r w:rsidRPr="005675B2">
        <w:rPr>
          <w:rFonts w:hint="cs"/>
          <w:rtl/>
        </w:rPr>
        <w:t xml:space="preserve"> «</w:t>
      </w:r>
      <w:r w:rsidR="000636C2">
        <w:rPr>
          <w:rFonts w:hint="cs"/>
          <w:rtl/>
        </w:rPr>
        <w:t xml:space="preserve"> </w:t>
      </w:r>
      <w:r w:rsidRPr="005675B2">
        <w:rPr>
          <w:rFonts w:hint="cs"/>
          <w:rtl/>
        </w:rPr>
        <w:t>الأول «</w:t>
      </w:r>
      <w:r w:rsidR="000636C2">
        <w:rPr>
          <w:rFonts w:hint="cs"/>
          <w:rtl/>
        </w:rPr>
        <w:t xml:space="preserve"> </w:t>
      </w:r>
      <w:r w:rsidRPr="005675B2">
        <w:rPr>
          <w:rFonts w:hint="cs"/>
          <w:rtl/>
        </w:rPr>
        <w:t>أنه مشتق من لاه الشيء إذا خفي</w:t>
      </w:r>
      <w:r w:rsidR="000636C2">
        <w:rPr>
          <w:rFonts w:hint="cs"/>
          <w:rtl/>
        </w:rPr>
        <w:t>،</w:t>
      </w:r>
      <w:r w:rsidRPr="005675B2">
        <w:rPr>
          <w:rFonts w:hint="cs"/>
          <w:rtl/>
        </w:rPr>
        <w:t xml:space="preserve"> قال الشاعر</w:t>
      </w:r>
      <w:r w:rsidR="000636C2">
        <w:rPr>
          <w:rFonts w:hint="cs"/>
          <w:rtl/>
        </w:rPr>
        <w:t xml:space="preserve">: </w:t>
      </w:r>
      <w:r w:rsidRPr="005675B2">
        <w:rPr>
          <w:rFonts w:hint="cs"/>
          <w:rtl/>
        </w:rPr>
        <w:t>لاهت فما عرفت يوماً بخارجة * يا ليتها خرجت حتى عرفناها</w:t>
      </w:r>
      <w:r w:rsidR="000636C2">
        <w:rPr>
          <w:rFonts w:hint="cs"/>
          <w:rtl/>
        </w:rPr>
        <w:t>،</w:t>
      </w:r>
      <w:r w:rsidRPr="005675B2">
        <w:rPr>
          <w:rFonts w:hint="cs"/>
          <w:rtl/>
        </w:rPr>
        <w:t xml:space="preserve"> الثاني</w:t>
      </w:r>
      <w:r w:rsidR="000636C2">
        <w:rPr>
          <w:rFonts w:hint="cs"/>
          <w:rtl/>
        </w:rPr>
        <w:t>:</w:t>
      </w:r>
      <w:r w:rsidRPr="005675B2">
        <w:rPr>
          <w:rFonts w:hint="cs"/>
          <w:rtl/>
        </w:rPr>
        <w:t xml:space="preserve"> أنه مشتق من التحير لتحير العقول في كنه عظمته</w:t>
      </w:r>
      <w:r w:rsidR="000636C2">
        <w:rPr>
          <w:rFonts w:hint="cs"/>
          <w:rtl/>
        </w:rPr>
        <w:t>،</w:t>
      </w:r>
      <w:r w:rsidRPr="005675B2">
        <w:rPr>
          <w:rFonts w:hint="cs"/>
          <w:rtl/>
        </w:rPr>
        <w:t xml:space="preserve"> قال</w:t>
      </w:r>
      <w:r w:rsidR="000636C2">
        <w:rPr>
          <w:rFonts w:hint="cs"/>
          <w:rtl/>
        </w:rPr>
        <w:t>:</w:t>
      </w:r>
      <w:r w:rsidRPr="005675B2">
        <w:rPr>
          <w:rFonts w:hint="cs"/>
          <w:rtl/>
        </w:rPr>
        <w:t xml:space="preserve"> ببيداء تيه تأله العير وسطها * مخفقة بالال جرد وأملق</w:t>
      </w:r>
      <w:r w:rsidR="000636C2">
        <w:rPr>
          <w:rFonts w:hint="cs"/>
          <w:rtl/>
        </w:rPr>
        <w:t xml:space="preserve">، </w:t>
      </w:r>
      <w:r w:rsidRPr="005675B2">
        <w:rPr>
          <w:rFonts w:hint="cs"/>
          <w:rtl/>
        </w:rPr>
        <w:t>الثالث</w:t>
      </w:r>
      <w:r w:rsidR="000636C2">
        <w:rPr>
          <w:rFonts w:hint="cs"/>
          <w:rtl/>
        </w:rPr>
        <w:t xml:space="preserve">: </w:t>
      </w:r>
      <w:r w:rsidRPr="005675B2">
        <w:rPr>
          <w:rFonts w:hint="cs"/>
          <w:rtl/>
        </w:rPr>
        <w:t>أنه مشتق من التعبد</w:t>
      </w:r>
      <w:r w:rsidR="000636C2">
        <w:rPr>
          <w:rFonts w:hint="cs"/>
          <w:rtl/>
        </w:rPr>
        <w:t xml:space="preserve">، </w:t>
      </w:r>
      <w:r w:rsidRPr="005675B2">
        <w:rPr>
          <w:rFonts w:hint="cs"/>
          <w:rtl/>
        </w:rPr>
        <w:t>الرابع</w:t>
      </w:r>
      <w:r w:rsidR="000636C2">
        <w:rPr>
          <w:rFonts w:hint="cs"/>
          <w:rtl/>
        </w:rPr>
        <w:t>:</w:t>
      </w:r>
      <w:r w:rsidRPr="005675B2">
        <w:rPr>
          <w:rFonts w:hint="cs"/>
          <w:rtl/>
        </w:rPr>
        <w:t xml:space="preserve"> أنه مشتق من أله بالمكان إذا أقام به</w:t>
      </w:r>
      <w:r w:rsidR="000636C2">
        <w:rPr>
          <w:rFonts w:hint="cs"/>
          <w:rtl/>
        </w:rPr>
        <w:t>،</w:t>
      </w:r>
      <w:r w:rsidRPr="005675B2">
        <w:rPr>
          <w:rFonts w:hint="cs"/>
          <w:rtl/>
        </w:rPr>
        <w:t>ولا يجوز على الله</w:t>
      </w:r>
      <w:r w:rsidR="000636C2">
        <w:rPr>
          <w:rFonts w:hint="cs"/>
          <w:rtl/>
        </w:rPr>
        <w:t>،</w:t>
      </w:r>
      <w:r w:rsidRPr="005675B2">
        <w:rPr>
          <w:rFonts w:hint="cs"/>
          <w:rtl/>
        </w:rPr>
        <w:t xml:space="preserve"> قال الشاعر العربي</w:t>
      </w:r>
      <w:r w:rsidR="000636C2">
        <w:rPr>
          <w:rFonts w:hint="cs"/>
          <w:rtl/>
        </w:rPr>
        <w:t>:</w:t>
      </w:r>
      <w:r w:rsidRPr="005675B2">
        <w:rPr>
          <w:rFonts w:hint="cs"/>
          <w:rtl/>
        </w:rPr>
        <w:t xml:space="preserve"> ألهنا بدار لايدوم رسومها * كأن بقاها وشام على اليد</w:t>
      </w:r>
      <w:r w:rsidR="000636C2">
        <w:rPr>
          <w:rFonts w:hint="cs"/>
          <w:rtl/>
        </w:rPr>
        <w:t>،</w:t>
      </w:r>
      <w:r w:rsidRPr="005675B2">
        <w:rPr>
          <w:rFonts w:hint="cs"/>
          <w:rtl/>
        </w:rPr>
        <w:t xml:space="preserve"> الخامس</w:t>
      </w:r>
      <w:r w:rsidR="000636C2">
        <w:rPr>
          <w:rFonts w:hint="cs"/>
          <w:rtl/>
        </w:rPr>
        <w:t>:</w:t>
      </w:r>
      <w:r w:rsidRPr="005675B2">
        <w:rPr>
          <w:rFonts w:hint="cs"/>
          <w:rtl/>
        </w:rPr>
        <w:t xml:space="preserve"> أنه مشتق من لاه يلوه بمعنى ارتفع عن النقائص</w:t>
      </w:r>
      <w:r w:rsidR="000636C2">
        <w:rPr>
          <w:rFonts w:hint="cs"/>
          <w:rtl/>
        </w:rPr>
        <w:t>،</w:t>
      </w:r>
      <w:r w:rsidRPr="005675B2">
        <w:rPr>
          <w:rFonts w:hint="cs"/>
          <w:rtl/>
        </w:rPr>
        <w:t xml:space="preserve"> السادس</w:t>
      </w:r>
      <w:r w:rsidR="000636C2">
        <w:rPr>
          <w:rFonts w:hint="cs"/>
          <w:rtl/>
        </w:rPr>
        <w:t>:</w:t>
      </w:r>
      <w:r w:rsidRPr="005675B2">
        <w:rPr>
          <w:rFonts w:hint="cs"/>
          <w:rtl/>
        </w:rPr>
        <w:t xml:space="preserve"> أنه مشتق من وله الفصيل بأمه إذا ولع بها</w:t>
      </w:r>
      <w:r w:rsidR="000636C2">
        <w:rPr>
          <w:rFonts w:hint="cs"/>
          <w:rtl/>
        </w:rPr>
        <w:t>،</w:t>
      </w:r>
      <w:r w:rsidRPr="005675B2">
        <w:rPr>
          <w:rFonts w:hint="cs"/>
          <w:rtl/>
        </w:rPr>
        <w:t>كما أن العباد مولهون</w:t>
      </w:r>
      <w:r w:rsidR="000636C2">
        <w:rPr>
          <w:rFonts w:hint="cs"/>
          <w:rtl/>
        </w:rPr>
        <w:t>،</w:t>
      </w:r>
      <w:r w:rsidRPr="005675B2">
        <w:rPr>
          <w:rFonts w:hint="cs"/>
          <w:rtl/>
        </w:rPr>
        <w:t xml:space="preserve"> أي</w:t>
      </w:r>
      <w:r w:rsidR="000636C2">
        <w:rPr>
          <w:rFonts w:hint="cs"/>
          <w:rtl/>
        </w:rPr>
        <w:t>:</w:t>
      </w:r>
      <w:r w:rsidRPr="005675B2">
        <w:rPr>
          <w:rFonts w:hint="cs"/>
          <w:rtl/>
        </w:rPr>
        <w:t xml:space="preserve"> مولعون بالتضرع إليه تعالى</w:t>
      </w:r>
      <w:r w:rsidR="000636C2">
        <w:rPr>
          <w:rFonts w:hint="cs"/>
          <w:rtl/>
        </w:rPr>
        <w:t xml:space="preserve">، </w:t>
      </w:r>
      <w:r w:rsidRPr="005675B2">
        <w:rPr>
          <w:rFonts w:hint="cs"/>
          <w:rtl/>
        </w:rPr>
        <w:t>السابع</w:t>
      </w:r>
      <w:r w:rsidR="000636C2">
        <w:rPr>
          <w:rFonts w:hint="cs"/>
          <w:rtl/>
        </w:rPr>
        <w:t>:</w:t>
      </w:r>
      <w:r w:rsidRPr="005675B2">
        <w:rPr>
          <w:rFonts w:hint="cs"/>
          <w:rtl/>
        </w:rPr>
        <w:t xml:space="preserve"> أنه مشتق من الرجوع</w:t>
      </w:r>
      <w:r w:rsidR="000636C2">
        <w:rPr>
          <w:rFonts w:hint="cs"/>
          <w:rtl/>
        </w:rPr>
        <w:t>،</w:t>
      </w:r>
      <w:r w:rsidRPr="005675B2">
        <w:rPr>
          <w:rFonts w:hint="cs"/>
          <w:rtl/>
        </w:rPr>
        <w:t xml:space="preserve"> يقال</w:t>
      </w:r>
      <w:r w:rsidR="000636C2">
        <w:rPr>
          <w:rFonts w:hint="cs"/>
          <w:rtl/>
        </w:rPr>
        <w:t>:</w:t>
      </w:r>
      <w:r w:rsidRPr="005675B2">
        <w:rPr>
          <w:rFonts w:hint="cs"/>
          <w:rtl/>
        </w:rPr>
        <w:t xml:space="preserve"> ألهت إلى فلان</w:t>
      </w:r>
      <w:r w:rsidR="000636C2">
        <w:rPr>
          <w:rFonts w:hint="cs"/>
          <w:rtl/>
        </w:rPr>
        <w:t>،</w:t>
      </w:r>
      <w:r w:rsidRPr="005675B2">
        <w:rPr>
          <w:rFonts w:hint="cs"/>
          <w:rtl/>
        </w:rPr>
        <w:t xml:space="preserve"> أي</w:t>
      </w:r>
      <w:r w:rsidR="000636C2">
        <w:rPr>
          <w:rFonts w:hint="cs"/>
          <w:rtl/>
        </w:rPr>
        <w:t>:</w:t>
      </w:r>
      <w:r w:rsidRPr="005675B2">
        <w:rPr>
          <w:rFonts w:hint="cs"/>
          <w:rtl/>
        </w:rPr>
        <w:t xml:space="preserve"> فزعت إليه ورجعت والخلق يفزعون إليه تعالى في حوائجهم ويرجعون إليه</w:t>
      </w:r>
      <w:r w:rsidR="000636C2">
        <w:rPr>
          <w:rFonts w:hint="cs"/>
          <w:rtl/>
        </w:rPr>
        <w:t>،</w:t>
      </w:r>
      <w:r w:rsidRPr="005675B2">
        <w:rPr>
          <w:rFonts w:hint="cs"/>
          <w:rtl/>
        </w:rPr>
        <w:t xml:space="preserve"> وقيل للمألوه </w:t>
      </w:r>
      <w:r w:rsidR="000636C2">
        <w:rPr>
          <w:rFonts w:hint="cs"/>
          <w:rtl/>
        </w:rPr>
        <w:t>[</w:t>
      </w:r>
      <w:r w:rsidRPr="005675B2">
        <w:rPr>
          <w:rFonts w:hint="cs"/>
          <w:rtl/>
        </w:rPr>
        <w:t>إليه</w:t>
      </w:r>
      <w:r w:rsidR="000636C2">
        <w:rPr>
          <w:rFonts w:hint="cs"/>
          <w:rtl/>
        </w:rPr>
        <w:t>]</w:t>
      </w:r>
      <w:r w:rsidRPr="005675B2">
        <w:rPr>
          <w:rFonts w:hint="cs"/>
          <w:rtl/>
        </w:rPr>
        <w:t xml:space="preserve"> إله</w:t>
      </w:r>
      <w:r w:rsidR="000636C2">
        <w:rPr>
          <w:rFonts w:hint="cs"/>
          <w:rtl/>
        </w:rPr>
        <w:t>،</w:t>
      </w:r>
      <w:r w:rsidRPr="005675B2">
        <w:rPr>
          <w:rFonts w:hint="cs"/>
          <w:rtl/>
        </w:rPr>
        <w:t xml:space="preserve"> كما قيل للمؤتم به إمام</w:t>
      </w:r>
      <w:r w:rsidR="000636C2">
        <w:rPr>
          <w:rFonts w:hint="cs"/>
          <w:rtl/>
        </w:rPr>
        <w:t>،</w:t>
      </w:r>
      <w:r w:rsidRPr="005675B2">
        <w:rPr>
          <w:rFonts w:hint="cs"/>
          <w:rtl/>
        </w:rPr>
        <w:t xml:space="preserve"> الثامن</w:t>
      </w:r>
      <w:r w:rsidR="000636C2">
        <w:rPr>
          <w:rFonts w:hint="cs"/>
          <w:rtl/>
        </w:rPr>
        <w:t>:</w:t>
      </w:r>
      <w:r w:rsidRPr="005675B2">
        <w:rPr>
          <w:rFonts w:hint="cs"/>
          <w:rtl/>
        </w:rPr>
        <w:t xml:space="preserve"> أنه مشتق من السكون</w:t>
      </w:r>
      <w:r w:rsidR="000636C2">
        <w:rPr>
          <w:rFonts w:hint="cs"/>
          <w:rtl/>
        </w:rPr>
        <w:t>،</w:t>
      </w:r>
      <w:r w:rsidRPr="005675B2">
        <w:rPr>
          <w:rFonts w:hint="cs"/>
          <w:rtl/>
        </w:rPr>
        <w:t xml:space="preserve"> وألهت إلى فلان أي</w:t>
      </w:r>
      <w:r w:rsidR="000636C2">
        <w:rPr>
          <w:rFonts w:hint="cs"/>
          <w:rtl/>
        </w:rPr>
        <w:t>:</w:t>
      </w:r>
      <w:r w:rsidRPr="005675B2">
        <w:rPr>
          <w:rFonts w:hint="cs"/>
          <w:rtl/>
        </w:rPr>
        <w:t xml:space="preserve"> سكنت</w:t>
      </w:r>
      <w:r w:rsidR="000636C2">
        <w:rPr>
          <w:rFonts w:hint="cs"/>
          <w:rtl/>
        </w:rPr>
        <w:t>،</w:t>
      </w:r>
      <w:r w:rsidRPr="005675B2">
        <w:rPr>
          <w:rFonts w:hint="cs"/>
          <w:rtl/>
        </w:rPr>
        <w:t xml:space="preserve"> والمعنى أن الخلق يسكنون إلى ذكره جل جلاله</w:t>
      </w:r>
      <w:r w:rsidR="000636C2">
        <w:rPr>
          <w:rFonts w:hint="cs"/>
          <w:rtl/>
        </w:rPr>
        <w:t>،</w:t>
      </w:r>
      <w:r w:rsidRPr="005675B2">
        <w:rPr>
          <w:rFonts w:hint="cs"/>
          <w:rtl/>
        </w:rPr>
        <w:t xml:space="preserve"> التاسع</w:t>
      </w:r>
      <w:r w:rsidR="000636C2">
        <w:rPr>
          <w:rFonts w:hint="cs"/>
          <w:rtl/>
        </w:rPr>
        <w:t>:</w:t>
      </w:r>
      <w:r w:rsidRPr="005675B2">
        <w:rPr>
          <w:rFonts w:hint="cs"/>
          <w:rtl/>
        </w:rPr>
        <w:t xml:space="preserve"> أنه مشتق من الإلهية</w:t>
      </w:r>
      <w:r w:rsidR="000636C2">
        <w:rPr>
          <w:rFonts w:hint="cs"/>
          <w:rtl/>
        </w:rPr>
        <w:t>،</w:t>
      </w:r>
      <w:r w:rsidRPr="005675B2">
        <w:rPr>
          <w:rFonts w:hint="cs"/>
          <w:u w:val="single"/>
          <w:rtl/>
        </w:rPr>
        <w:t xml:space="preserve"> وهي القدرة على الاختراع</w:t>
      </w:r>
      <w:r w:rsidR="000636C2">
        <w:rPr>
          <w:rFonts w:hint="cs"/>
          <w:u w:val="single"/>
          <w:rtl/>
        </w:rPr>
        <w:t xml:space="preserve"> </w:t>
      </w:r>
      <w:r w:rsidRPr="005675B2">
        <w:rPr>
          <w:rFonts w:hint="cs"/>
          <w:u w:val="single"/>
          <w:rtl/>
        </w:rPr>
        <w:t>»</w:t>
      </w:r>
      <w:r w:rsidR="000636C2">
        <w:rPr>
          <w:rFonts w:hint="cs"/>
          <w:u w:val="single"/>
          <w:rtl/>
        </w:rPr>
        <w:t xml:space="preserve">، </w:t>
      </w:r>
      <w:r w:rsidRPr="005675B2">
        <w:rPr>
          <w:rFonts w:hint="cs"/>
          <w:u w:val="single"/>
          <w:rtl/>
        </w:rPr>
        <w:t>فهذه المعاني كلها جاءت في اللغة</w:t>
      </w:r>
      <w:r w:rsidR="000636C2">
        <w:rPr>
          <w:rFonts w:hint="cs"/>
          <w:u w:val="single"/>
          <w:rtl/>
        </w:rPr>
        <w:t>،</w:t>
      </w:r>
      <w:r w:rsidRPr="005675B2">
        <w:rPr>
          <w:rFonts w:hint="cs"/>
          <w:u w:val="single"/>
          <w:rtl/>
        </w:rPr>
        <w:t>وأما شرعاً فسيأتي معناهاأي الأقرب</w:t>
      </w:r>
      <w:r w:rsidR="000636C2">
        <w:rPr>
          <w:rFonts w:hint="cs"/>
          <w:u w:val="single"/>
          <w:rtl/>
        </w:rPr>
        <w:t xml:space="preserve">، </w:t>
      </w:r>
      <w:r w:rsidRPr="005675B2">
        <w:rPr>
          <w:rFonts w:hint="cs"/>
          <w:rtl/>
        </w:rPr>
        <w:t>وأما قولك أنهم لايعرفون أن إله بمعنى معبود</w:t>
      </w:r>
      <w:r w:rsidR="000636C2">
        <w:rPr>
          <w:rFonts w:hint="cs"/>
          <w:rtl/>
        </w:rPr>
        <w:t xml:space="preserve">، </w:t>
      </w:r>
      <w:r w:rsidRPr="005675B2">
        <w:rPr>
          <w:rFonts w:hint="cs"/>
          <w:rtl/>
        </w:rPr>
        <w:t>فباطل بلا ريب وسأثبت بطلانه بالنقول واعلم أنهم يعتمدون على اللغة في اشتقاق المعنى</w:t>
      </w:r>
      <w:r w:rsidR="000636C2">
        <w:rPr>
          <w:rFonts w:hint="cs"/>
          <w:rtl/>
        </w:rPr>
        <w:t>،</w:t>
      </w:r>
      <w:r w:rsidRPr="005675B2">
        <w:rPr>
          <w:rFonts w:hint="cs"/>
          <w:rtl/>
        </w:rPr>
        <w:t>ثم المعنى قد يكون بدلالة المطابقة أو بدلالة اللزوم وقد فسر الأشاعرة كلمة الشهادتين بالمعنى المطابقي والمعنى اللزومي</w:t>
      </w:r>
      <w:r w:rsidR="000636C2">
        <w:rPr>
          <w:rFonts w:hint="cs"/>
          <w:rtl/>
        </w:rPr>
        <w:t>،</w:t>
      </w:r>
      <w:r w:rsidRPr="005675B2">
        <w:rPr>
          <w:rFonts w:hint="cs"/>
          <w:rtl/>
        </w:rPr>
        <w:t xml:space="preserve"> ولذا قال الإمام الدسوقي</w:t>
      </w:r>
      <w:r w:rsidR="000636C2">
        <w:rPr>
          <w:rFonts w:hint="cs"/>
          <w:rtl/>
        </w:rPr>
        <w:t xml:space="preserve"> </w:t>
      </w:r>
      <w:r w:rsidRPr="005675B2">
        <w:rPr>
          <w:rFonts w:hint="cs"/>
          <w:rtl/>
        </w:rPr>
        <w:t>في حاشيته على أم البراهين وشرحها ما نصه</w:t>
      </w:r>
      <w:r w:rsidR="000636C2">
        <w:rPr>
          <w:rFonts w:hint="cs"/>
          <w:rtl/>
        </w:rPr>
        <w:t>:</w:t>
      </w:r>
      <w:r w:rsidRPr="005675B2">
        <w:rPr>
          <w:rFonts w:hint="cs"/>
          <w:rtl/>
        </w:rPr>
        <w:t xml:space="preserve"> والحاصل أن الإله إن أخذ من معنى اله إذا عبد كان معنى الإله المعبود بحق </w:t>
      </w:r>
      <w:r w:rsidRPr="005675B2">
        <w:rPr>
          <w:rFonts w:hint="cs"/>
          <w:u w:val="single"/>
          <w:rtl/>
        </w:rPr>
        <w:t>وكان معنى الكلمة المشرفة المطابقي لا مستحق للعبودية</w:t>
      </w:r>
      <w:r w:rsidR="000636C2">
        <w:rPr>
          <w:rFonts w:hint="cs"/>
          <w:u w:val="single"/>
          <w:rtl/>
        </w:rPr>
        <w:t xml:space="preserve"> </w:t>
      </w:r>
      <w:r w:rsidRPr="005675B2">
        <w:rPr>
          <w:rFonts w:hint="cs"/>
          <w:u w:val="single"/>
          <w:rtl/>
        </w:rPr>
        <w:t>بحق إلا الله</w:t>
      </w:r>
      <w:r w:rsidR="000636C2">
        <w:rPr>
          <w:rFonts w:hint="cs"/>
          <w:u w:val="single"/>
          <w:rtl/>
        </w:rPr>
        <w:t>،</w:t>
      </w:r>
      <w:r w:rsidRPr="005675B2">
        <w:rPr>
          <w:rFonts w:hint="cs"/>
          <w:rtl/>
        </w:rPr>
        <w:t>وكان المعنى الثاني وهو لا مستغني عن كل ما سواه ومفتقر إليه كل ماعداه إلا الله تفسيراً باللازم</w:t>
      </w:r>
      <w:r w:rsidR="000636C2">
        <w:rPr>
          <w:rFonts w:hint="cs"/>
          <w:rtl/>
        </w:rPr>
        <w:t>،</w:t>
      </w:r>
      <w:r w:rsidRPr="005675B2">
        <w:rPr>
          <w:rFonts w:hint="cs"/>
          <w:rtl/>
        </w:rPr>
        <w:t xml:space="preserve"> [</w:t>
      </w:r>
      <w:r w:rsidRPr="005675B2">
        <w:rPr>
          <w:rFonts w:hint="cs"/>
          <w:bCs/>
          <w:sz w:val="24"/>
          <w:szCs w:val="24"/>
          <w:rtl/>
        </w:rPr>
        <w:t>حاشية الدسوقي 329]</w:t>
      </w:r>
      <w:r w:rsidR="000636C2">
        <w:rPr>
          <w:rFonts w:hint="cs"/>
          <w:rtl/>
        </w:rPr>
        <w:t>،</w:t>
      </w:r>
      <w:r w:rsidRPr="005675B2">
        <w:rPr>
          <w:rFonts w:hint="cs"/>
          <w:rtl/>
        </w:rPr>
        <w:t xml:space="preserve"> وإليك مزيد من النقول عنهم لتعلم مدى تجنيك عليهم</w:t>
      </w:r>
      <w:r w:rsidR="000636C2">
        <w:rPr>
          <w:rFonts w:hint="cs"/>
          <w:rtl/>
        </w:rPr>
        <w:t>:</w:t>
      </w:r>
      <w:r w:rsidRPr="005675B2">
        <w:rPr>
          <w:rFonts w:hint="cs"/>
          <w:rtl/>
        </w:rPr>
        <w:t xml:space="preserve"> قال الإمام فخر الدين الرازي</w:t>
      </w:r>
      <w:r w:rsidR="000636C2">
        <w:rPr>
          <w:rFonts w:hint="cs"/>
          <w:rtl/>
        </w:rPr>
        <w:t>:</w:t>
      </w:r>
      <w:r w:rsidRPr="005675B2">
        <w:rPr>
          <w:rFonts w:hint="cs"/>
          <w:rtl/>
        </w:rPr>
        <w:t xml:space="preserve"> قوله </w:t>
      </w:r>
      <w:r w:rsidR="000636C2">
        <w:rPr>
          <w:rFonts w:hint="cs"/>
          <w:rtl/>
        </w:rPr>
        <w:t>[</w:t>
      </w:r>
      <w:r w:rsidRPr="005675B2">
        <w:rPr>
          <w:rFonts w:hint="cs"/>
          <w:rtl/>
        </w:rPr>
        <w:t>إيّـاك نعبد</w:t>
      </w:r>
      <w:r w:rsidR="000636C2">
        <w:rPr>
          <w:rFonts w:hint="cs"/>
          <w:rtl/>
        </w:rPr>
        <w:t>]</w:t>
      </w:r>
      <w:r w:rsidRPr="005675B2">
        <w:rPr>
          <w:rFonts w:hint="cs"/>
          <w:rtl/>
        </w:rPr>
        <w:t xml:space="preserve"> يدل على أنه لا معبود إلا الله</w:t>
      </w:r>
      <w:r w:rsidR="000636C2">
        <w:rPr>
          <w:rFonts w:hint="cs"/>
          <w:rtl/>
        </w:rPr>
        <w:t>،</w:t>
      </w:r>
      <w:r w:rsidRPr="005675B2">
        <w:rPr>
          <w:rFonts w:hint="cs"/>
          <w:rtl/>
        </w:rPr>
        <w:t xml:space="preserve"> ومتى كان الأمر كذلك ثبت أنه لا إله إلا الله</w:t>
      </w:r>
      <w:r w:rsidR="000636C2">
        <w:rPr>
          <w:rFonts w:hint="cs"/>
          <w:rtl/>
        </w:rPr>
        <w:t>،</w:t>
      </w:r>
      <w:r w:rsidRPr="005675B2">
        <w:rPr>
          <w:rFonts w:hint="cs"/>
          <w:rtl/>
        </w:rPr>
        <w:t xml:space="preserve"> فقوله </w:t>
      </w:r>
      <w:r w:rsidR="000636C2">
        <w:rPr>
          <w:rFonts w:hint="cs"/>
          <w:rtl/>
        </w:rPr>
        <w:t>[</w:t>
      </w:r>
      <w:r w:rsidRPr="005675B2">
        <w:rPr>
          <w:rFonts w:hint="cs"/>
          <w:rtl/>
        </w:rPr>
        <w:t>إيّـاك نعبد وإيّـاك نستعين</w:t>
      </w:r>
      <w:r w:rsidR="000636C2">
        <w:rPr>
          <w:rFonts w:hint="cs"/>
          <w:rtl/>
        </w:rPr>
        <w:t>]</w:t>
      </w:r>
      <w:r w:rsidRPr="005675B2">
        <w:rPr>
          <w:rFonts w:hint="cs"/>
          <w:rtl/>
        </w:rPr>
        <w:t xml:space="preserve"> يدل على التوحيد المحض</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كل من اتخذ لله شريكاً فإنه لا بد وأن يكون مقدماً على عبادة ذلك الشريك من بعض الوجوه</w:t>
      </w:r>
      <w:r w:rsidR="000636C2">
        <w:rPr>
          <w:rFonts w:hint="cs"/>
          <w:rtl/>
        </w:rPr>
        <w:t>،</w:t>
      </w:r>
      <w:r w:rsidRPr="005675B2">
        <w:rPr>
          <w:rFonts w:hint="cs"/>
          <w:rtl/>
        </w:rPr>
        <w:t xml:space="preserve"> إما طلباً لنفعه</w:t>
      </w:r>
      <w:r w:rsidR="000636C2">
        <w:rPr>
          <w:rFonts w:hint="cs"/>
          <w:rtl/>
        </w:rPr>
        <w:t>،</w:t>
      </w:r>
      <w:r w:rsidRPr="005675B2">
        <w:rPr>
          <w:rFonts w:hint="cs"/>
          <w:rtl/>
        </w:rPr>
        <w:t xml:space="preserve"> أو هرباً من ضرره</w:t>
      </w:r>
      <w:r w:rsidR="000636C2">
        <w:rPr>
          <w:rFonts w:hint="cs"/>
          <w:rtl/>
        </w:rPr>
        <w:t>،</w:t>
      </w:r>
      <w:r w:rsidRPr="005675B2">
        <w:rPr>
          <w:rFonts w:hint="cs"/>
          <w:rtl/>
        </w:rPr>
        <w:t xml:space="preserve"> وأما الذين أصروا على التوحيد وأبطلوا القول بالشركاء والأضداد ولم يعبدوا إلا الله ولم يلتفتوا إلى غير الله فكان رجاؤهم من الله</w:t>
      </w:r>
      <w:r w:rsidR="000636C2">
        <w:rPr>
          <w:rFonts w:hint="cs"/>
          <w:rtl/>
        </w:rPr>
        <w:t>،</w:t>
      </w:r>
      <w:r w:rsidRPr="005675B2">
        <w:rPr>
          <w:rFonts w:hint="cs"/>
          <w:rtl/>
        </w:rPr>
        <w:t xml:space="preserve"> وخوفهم من الله</w:t>
      </w:r>
      <w:r w:rsidR="000636C2">
        <w:rPr>
          <w:rFonts w:hint="cs"/>
          <w:rtl/>
        </w:rPr>
        <w:t>،</w:t>
      </w:r>
      <w:r w:rsidRPr="005675B2">
        <w:rPr>
          <w:rFonts w:hint="cs"/>
          <w:rtl/>
        </w:rPr>
        <w:t xml:space="preserve"> ورغبتهم في الله</w:t>
      </w:r>
      <w:r w:rsidR="000636C2">
        <w:rPr>
          <w:rFonts w:hint="cs"/>
          <w:rtl/>
        </w:rPr>
        <w:t>،</w:t>
      </w:r>
      <w:r w:rsidRPr="005675B2">
        <w:rPr>
          <w:rFonts w:hint="cs"/>
          <w:rtl/>
        </w:rPr>
        <w:t>ورهبتهم من الله</w:t>
      </w:r>
      <w:r w:rsidR="000636C2">
        <w:rPr>
          <w:rFonts w:hint="cs"/>
          <w:rtl/>
        </w:rPr>
        <w:t>،</w:t>
      </w:r>
      <w:r w:rsidRPr="005675B2">
        <w:rPr>
          <w:rFonts w:hint="cs"/>
          <w:rtl/>
        </w:rPr>
        <w:t xml:space="preserve"> فلا جرم لم يعبدوا إلا الله</w:t>
      </w:r>
      <w:r w:rsidR="000636C2">
        <w:rPr>
          <w:rFonts w:hint="cs"/>
          <w:rtl/>
        </w:rPr>
        <w:t>،</w:t>
      </w:r>
      <w:r w:rsidRPr="005675B2">
        <w:rPr>
          <w:rFonts w:hint="cs"/>
          <w:rtl/>
        </w:rPr>
        <w:t xml:space="preserve"> ولم يستعينوا إلا بالله</w:t>
      </w:r>
      <w:r w:rsidR="000636C2">
        <w:rPr>
          <w:rFonts w:hint="cs"/>
          <w:rtl/>
        </w:rPr>
        <w:t xml:space="preserve">] </w:t>
      </w:r>
      <w:r w:rsidRPr="005675B2">
        <w:rPr>
          <w:rFonts w:hint="cs"/>
          <w:rtl/>
        </w:rPr>
        <w:t>[</w:t>
      </w:r>
      <w:r w:rsidRPr="005675B2">
        <w:rPr>
          <w:rFonts w:hint="cs"/>
          <w:bCs/>
          <w:sz w:val="24"/>
          <w:szCs w:val="24"/>
          <w:rtl/>
        </w:rPr>
        <w:t>مفاتيح الغيب: 1/ 244</w:t>
      </w:r>
      <w:r w:rsidR="000636C2">
        <w:rPr>
          <w:rFonts w:hint="cs"/>
          <w:bCs/>
          <w:sz w:val="24"/>
          <w:szCs w:val="24"/>
          <w:rtl/>
        </w:rPr>
        <w:t>،</w:t>
      </w:r>
      <w:r w:rsidRPr="005675B2">
        <w:rPr>
          <w:rFonts w:hint="cs"/>
          <w:bCs/>
          <w:sz w:val="24"/>
          <w:szCs w:val="24"/>
          <w:rtl/>
        </w:rPr>
        <w:t xml:space="preserve"> 245</w:t>
      </w:r>
      <w:r w:rsidR="000636C2">
        <w:rPr>
          <w:rFonts w:hint="cs"/>
          <w:bCs/>
          <w:sz w:val="24"/>
          <w:szCs w:val="24"/>
          <w:rtl/>
        </w:rPr>
        <w:t>]</w:t>
      </w:r>
      <w:r w:rsidR="000636C2">
        <w:rPr>
          <w:rFonts w:hint="cs"/>
          <w:rtl/>
        </w:rPr>
        <w:t xml:space="preserve">، </w:t>
      </w:r>
      <w:r w:rsidRPr="005675B2">
        <w:rPr>
          <w:rFonts w:hint="cs"/>
          <w:rtl/>
        </w:rPr>
        <w:t>و قال الإمام السنوسي في شرحه لأم البراهين</w:t>
      </w:r>
      <w:r w:rsidR="000636C2">
        <w:rPr>
          <w:rFonts w:hint="cs"/>
          <w:rtl/>
        </w:rPr>
        <w:t>:</w:t>
      </w:r>
      <w:r w:rsidRPr="005675B2">
        <w:rPr>
          <w:rFonts w:hint="cs"/>
          <w:rtl/>
        </w:rPr>
        <w:t xml:space="preserve"> أما معنى الكلمة </w:t>
      </w:r>
      <w:r w:rsidR="000636C2">
        <w:rPr>
          <w:rFonts w:hint="cs"/>
          <w:rtl/>
        </w:rPr>
        <w:t>(</w:t>
      </w:r>
      <w:r w:rsidRPr="005675B2">
        <w:rPr>
          <w:rFonts w:hint="cs"/>
          <w:rtl/>
        </w:rPr>
        <w:t>لا إله إلا الله</w:t>
      </w:r>
      <w:r w:rsidR="000636C2">
        <w:rPr>
          <w:rFonts w:hint="cs"/>
          <w:rtl/>
        </w:rPr>
        <w:t>)</w:t>
      </w:r>
      <w:r w:rsidRPr="005675B2">
        <w:rPr>
          <w:rFonts w:hint="cs"/>
          <w:rtl/>
        </w:rPr>
        <w:t>فلا شك أنها محتوية على نفي وإثبات</w:t>
      </w:r>
      <w:r w:rsidR="000636C2">
        <w:rPr>
          <w:rFonts w:hint="cs"/>
          <w:rtl/>
        </w:rPr>
        <w:t>،</w:t>
      </w:r>
      <w:r w:rsidRPr="005675B2">
        <w:rPr>
          <w:rFonts w:hint="cs"/>
          <w:rtl/>
        </w:rPr>
        <w:t xml:space="preserve"> فالمنفي كل فرد من أفراد حقيقة الإله غير مولانا عزوجل</w:t>
      </w:r>
      <w:r w:rsidR="000636C2">
        <w:rPr>
          <w:rFonts w:hint="cs"/>
          <w:rtl/>
        </w:rPr>
        <w:t>،</w:t>
      </w:r>
      <w:r w:rsidRPr="005675B2">
        <w:rPr>
          <w:rFonts w:hint="cs"/>
          <w:rtl/>
        </w:rPr>
        <w:t xml:space="preserve">والمثبت فرد واحد وهو الله عزوجل، وأتى بإلا لقصر </w:t>
      </w:r>
      <w:r w:rsidRPr="005675B2">
        <w:rPr>
          <w:rFonts w:hint="cs"/>
          <w:u w:val="single"/>
          <w:rtl/>
        </w:rPr>
        <w:t>حقيقة</w:t>
      </w:r>
      <w:r w:rsidRPr="005675B2">
        <w:rPr>
          <w:rFonts w:hint="cs"/>
          <w:rtl/>
        </w:rPr>
        <w:t xml:space="preserve"> الإله عليه تعالى بمعنى أنه لا يمكن أن توجد تلك الحقيقة لغيره تعالى لا عقلاً ولا شرعاً</w:t>
      </w:r>
      <w:r w:rsidR="000636C2">
        <w:rPr>
          <w:rFonts w:hint="cs"/>
          <w:rtl/>
        </w:rPr>
        <w:t>،</w:t>
      </w:r>
      <w:r w:rsidRPr="005675B2">
        <w:rPr>
          <w:rFonts w:hint="cs"/>
          <w:rtl/>
        </w:rPr>
        <w:t xml:space="preserve"> وحقيقة الإله</w:t>
      </w:r>
      <w:r w:rsidR="000636C2">
        <w:rPr>
          <w:rFonts w:hint="cs"/>
          <w:rtl/>
        </w:rPr>
        <w:t>:</w:t>
      </w:r>
      <w:r w:rsidRPr="005675B2">
        <w:rPr>
          <w:rFonts w:hint="cs"/>
          <w:rtl/>
        </w:rPr>
        <w:t xml:space="preserve"> هو الواجب الوجود المستحق للعبادة .. إلى أن قال</w:t>
      </w:r>
      <w:r w:rsidR="000636C2">
        <w:rPr>
          <w:rFonts w:hint="cs"/>
          <w:rtl/>
        </w:rPr>
        <w:t>:</w:t>
      </w:r>
      <w:r w:rsidRPr="005675B2">
        <w:rPr>
          <w:rFonts w:hint="cs"/>
          <w:rtl/>
        </w:rPr>
        <w:t xml:space="preserve"> والمعنى على هذا</w:t>
      </w:r>
      <w:r w:rsidR="000636C2">
        <w:rPr>
          <w:rFonts w:hint="cs"/>
          <w:rtl/>
        </w:rPr>
        <w:t>:</w:t>
      </w:r>
      <w:r w:rsidRPr="005675B2">
        <w:rPr>
          <w:rFonts w:hint="cs"/>
          <w:rtl/>
        </w:rPr>
        <w:t xml:space="preserve"> لا مستحق للعبودية في الوجود إلا خالق العالم جلّ وعلا</w:t>
      </w:r>
      <w:r w:rsidR="000636C2">
        <w:rPr>
          <w:rFonts w:hint="cs"/>
          <w:rtl/>
        </w:rPr>
        <w:t>،</w:t>
      </w:r>
      <w:r w:rsidRPr="005675B2">
        <w:rPr>
          <w:rFonts w:hint="cs"/>
          <w:rtl/>
        </w:rPr>
        <w:t xml:space="preserve"> انتهى [</w:t>
      </w:r>
      <w:r w:rsidRPr="005675B2">
        <w:rPr>
          <w:rFonts w:hint="cs"/>
          <w:bCs/>
          <w:sz w:val="24"/>
          <w:szCs w:val="24"/>
          <w:rtl/>
        </w:rPr>
        <w:t>شرح أم البراهين مع حاشية الدسوقي 328ـ 329</w:t>
      </w:r>
      <w:r w:rsidRPr="005675B2">
        <w:rPr>
          <w:rFonts w:hint="cs"/>
          <w:rtl/>
        </w:rPr>
        <w:t>]</w:t>
      </w:r>
      <w:r w:rsidR="000636C2">
        <w:rPr>
          <w:rFonts w:hint="cs"/>
          <w:rtl/>
        </w:rPr>
        <w:t>،</w:t>
      </w:r>
      <w:r w:rsidRPr="005675B2">
        <w:rPr>
          <w:rFonts w:hint="cs"/>
          <w:rtl/>
        </w:rPr>
        <w:t xml:space="preserve"> وقال الإمام الباجوري في شرح الجوهرة عند شرح البيت الثاني</w:t>
      </w:r>
      <w:r w:rsidR="000636C2">
        <w:rPr>
          <w:rFonts w:hint="cs"/>
          <w:rtl/>
        </w:rPr>
        <w:t>:</w:t>
      </w:r>
      <w:r w:rsidRPr="005675B2">
        <w:rPr>
          <w:rFonts w:hint="cs"/>
          <w:rtl/>
        </w:rPr>
        <w:t xml:space="preserve"> والتوحيد لغة هو العلم بأن الشيء واحد</w:t>
      </w:r>
      <w:r w:rsidR="000636C2">
        <w:rPr>
          <w:rFonts w:hint="cs"/>
          <w:rtl/>
        </w:rPr>
        <w:t xml:space="preserve">، </w:t>
      </w:r>
      <w:r w:rsidRPr="005675B2">
        <w:rPr>
          <w:rFonts w:hint="cs"/>
          <w:rtl/>
        </w:rPr>
        <w:t>وشرعاً</w:t>
      </w:r>
      <w:r w:rsidR="000636C2">
        <w:rPr>
          <w:rFonts w:hint="cs"/>
          <w:rtl/>
        </w:rPr>
        <w:t>:</w:t>
      </w:r>
      <w:r w:rsidRPr="005675B2">
        <w:rPr>
          <w:rFonts w:hint="cs"/>
          <w:rtl/>
        </w:rPr>
        <w:t xml:space="preserve">هو إفراد المعبود </w:t>
      </w:r>
      <w:r w:rsidRPr="005675B2">
        <w:rPr>
          <w:rFonts w:hint="cs"/>
          <w:u w:val="single"/>
          <w:rtl/>
        </w:rPr>
        <w:t>بالعبادة مع اعتقاد</w:t>
      </w:r>
      <w:r w:rsidRPr="005675B2">
        <w:rPr>
          <w:rFonts w:hint="cs"/>
          <w:rtl/>
        </w:rPr>
        <w:t xml:space="preserve"> وحدته والتصديق بها ذاتاً وصفات وأفعالاً</w:t>
      </w:r>
      <w:r w:rsidR="000636C2">
        <w:rPr>
          <w:rFonts w:hint="cs"/>
          <w:rtl/>
        </w:rPr>
        <w:t>،</w:t>
      </w:r>
      <w:r w:rsidRPr="005675B2">
        <w:rPr>
          <w:rFonts w:hint="cs"/>
          <w:rtl/>
        </w:rPr>
        <w:t xml:space="preserve"> وقال ابن أبي شريف</w:t>
      </w:r>
      <w:r w:rsidR="000636C2">
        <w:rPr>
          <w:rFonts w:hint="cs"/>
          <w:rtl/>
        </w:rPr>
        <w:t>:</w:t>
      </w:r>
      <w:r w:rsidRPr="005675B2">
        <w:rPr>
          <w:rFonts w:hint="cs"/>
          <w:rtl/>
        </w:rPr>
        <w:t xml:space="preserve"> التوحيد</w:t>
      </w:r>
      <w:r w:rsidR="000636C2">
        <w:rPr>
          <w:rFonts w:hint="cs"/>
          <w:rtl/>
        </w:rPr>
        <w:t>:</w:t>
      </w:r>
      <w:r w:rsidRPr="005675B2">
        <w:rPr>
          <w:rFonts w:hint="cs"/>
          <w:rtl/>
        </w:rPr>
        <w:t xml:space="preserve"> والمراد به هنا اعتقاد عدم الشريك في الألوهية وخواصها كتدبير العالم</w:t>
      </w:r>
      <w:r w:rsidR="000636C2">
        <w:rPr>
          <w:rFonts w:hint="cs"/>
          <w:rtl/>
        </w:rPr>
        <w:t>،</w:t>
      </w:r>
      <w:r w:rsidRPr="005675B2">
        <w:rPr>
          <w:rFonts w:hint="cs"/>
          <w:u w:val="single"/>
          <w:rtl/>
        </w:rPr>
        <w:t>واستحقاق العبادة</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المسامرة شرح المسايرة ص41</w:t>
      </w:r>
      <w:r w:rsidRPr="005675B2">
        <w:rPr>
          <w:rFonts w:hint="cs"/>
          <w:rtl/>
        </w:rPr>
        <w:t>] وسيأتي مزيد من النقول في ذلك</w:t>
      </w:r>
      <w:r w:rsidR="000636C2">
        <w:rPr>
          <w:rFonts w:hint="cs"/>
          <w:rtl/>
        </w:rPr>
        <w:t>،</w:t>
      </w:r>
      <w:r w:rsidRPr="005675B2">
        <w:rPr>
          <w:rFonts w:hint="cs"/>
          <w:rtl/>
        </w:rPr>
        <w:t xml:space="preserve"> </w:t>
      </w:r>
      <w:r w:rsidR="000636C2">
        <w:rPr>
          <w:rFonts w:hint="cs"/>
          <w:rtl/>
        </w:rPr>
        <w:t>(</w:t>
      </w:r>
      <w:r>
        <w:rPr>
          <w:rFonts w:hint="cs"/>
          <w:rtl/>
        </w:rPr>
        <w:t>ثانيا</w:t>
      </w:r>
      <w:r w:rsidR="000636C2">
        <w:rPr>
          <w:rFonts w:hint="cs"/>
          <w:rtl/>
        </w:rPr>
        <w:t>):</w:t>
      </w:r>
      <w:r w:rsidRPr="005675B2">
        <w:rPr>
          <w:rFonts w:hint="cs"/>
          <w:rtl/>
        </w:rPr>
        <w:t xml:space="preserve"> لماذا كان معنى القادر على الاختراع معنى قوي مناسب كذلك</w:t>
      </w:r>
      <w:r w:rsidR="000636C2">
        <w:rPr>
          <w:rFonts w:hint="cs"/>
          <w:rtl/>
        </w:rPr>
        <w:t>؟:</w:t>
      </w:r>
      <w:r w:rsidRPr="005675B2">
        <w:rPr>
          <w:rFonts w:hint="cs"/>
          <w:rtl/>
        </w:rPr>
        <w:t xml:space="preserve"> </w:t>
      </w:r>
      <w:r w:rsidR="000636C2">
        <w:rPr>
          <w:rFonts w:hint="cs"/>
          <w:rtl/>
        </w:rPr>
        <w:t>[</w:t>
      </w:r>
      <w:r>
        <w:rPr>
          <w:rFonts w:hint="cs"/>
          <w:rtl/>
        </w:rPr>
        <w:t>الجواب</w:t>
      </w:r>
      <w:r w:rsidR="000636C2">
        <w:rPr>
          <w:rFonts w:hint="cs"/>
          <w:rtl/>
        </w:rPr>
        <w:t>]:</w:t>
      </w:r>
      <w:r w:rsidRPr="005675B2">
        <w:rPr>
          <w:rFonts w:hint="cs"/>
          <w:rtl/>
        </w:rPr>
        <w:t>لأن أي مخلوق قد يعبده الناس ضلالاً وغواية</w:t>
      </w:r>
      <w:r w:rsidR="000636C2">
        <w:rPr>
          <w:rFonts w:hint="cs"/>
          <w:rtl/>
        </w:rPr>
        <w:t>،</w:t>
      </w:r>
      <w:r w:rsidRPr="005675B2">
        <w:rPr>
          <w:rFonts w:hint="cs"/>
          <w:rtl/>
        </w:rPr>
        <w:t>وهو قد يدعوهم إلى عبادة نفسه ويدعي أنه معبود ينفعهم ويضرهم</w:t>
      </w:r>
      <w:r w:rsidR="000636C2">
        <w:rPr>
          <w:rFonts w:hint="cs"/>
          <w:rtl/>
        </w:rPr>
        <w:t xml:space="preserve">، </w:t>
      </w:r>
      <w:r w:rsidRPr="005675B2">
        <w:rPr>
          <w:rFonts w:hint="cs"/>
          <w:rtl/>
        </w:rPr>
        <w:t>لكن لا يستطيع أي شيء من المخلوقات</w:t>
      </w:r>
      <w:r w:rsidR="000636C2">
        <w:rPr>
          <w:rFonts w:hint="cs"/>
          <w:rtl/>
        </w:rPr>
        <w:t xml:space="preserve"> </w:t>
      </w:r>
      <w:r w:rsidRPr="005675B2">
        <w:rPr>
          <w:rFonts w:hint="cs"/>
          <w:rtl/>
        </w:rPr>
        <w:t>أن يدعي أنه قادر على الاختراع لأنه سيعجز عن ذلك قطعاً بلا ريب،ولذلك فإن من ادعى الربوبية في عهد إبراهيم عليه السلام</w:t>
      </w:r>
      <w:r w:rsidR="000636C2">
        <w:rPr>
          <w:rFonts w:hint="cs"/>
          <w:rtl/>
        </w:rPr>
        <w:t>،</w:t>
      </w:r>
      <w:r w:rsidRPr="005675B2">
        <w:rPr>
          <w:rFonts w:hint="cs"/>
          <w:rtl/>
        </w:rPr>
        <w:t xml:space="preserve"> ادعى أنه يحيي ويميت بزعمه ودلل على ذلك بفعله ودعاه إلى عبادته على أنه الإله المعبود بزعمه</w:t>
      </w:r>
      <w:r w:rsidR="000636C2">
        <w:rPr>
          <w:rFonts w:hint="cs"/>
          <w:rtl/>
        </w:rPr>
        <w:t>،</w:t>
      </w:r>
      <w:r w:rsidRPr="005675B2">
        <w:rPr>
          <w:rFonts w:hint="cs"/>
          <w:rtl/>
        </w:rPr>
        <w:t xml:space="preserve"> ولكنه عجز عن أن يخترع شيئاً يسيراً ليدلل على أنه الخالق</w:t>
      </w:r>
      <w:r w:rsidR="000636C2">
        <w:rPr>
          <w:rFonts w:hint="cs"/>
          <w:rtl/>
        </w:rPr>
        <w:t>،</w:t>
      </w:r>
      <w:r w:rsidRPr="005675B2">
        <w:rPr>
          <w:rFonts w:hint="cs"/>
          <w:rtl/>
        </w:rPr>
        <w:t>وهو تغيير نظام شروق الشمس</w:t>
      </w:r>
      <w:r w:rsidR="000636C2">
        <w:rPr>
          <w:rFonts w:hint="cs"/>
          <w:rtl/>
        </w:rPr>
        <w:t>،</w:t>
      </w:r>
      <w:r w:rsidRPr="005675B2">
        <w:rPr>
          <w:rFonts w:hint="cs"/>
          <w:rtl/>
        </w:rPr>
        <w:t xml:space="preserve"> </w:t>
      </w:r>
      <w:r w:rsidRPr="005675B2">
        <w:rPr>
          <w:rFonts w:hint="cs"/>
          <w:u w:val="single"/>
          <w:rtl/>
        </w:rPr>
        <w:t>ولذا جعل بعض العلماء مسألة القدرة على الاختراع من أخص خصائص الربوبية لعجز الخلق</w:t>
      </w:r>
      <w:r w:rsidR="000636C2">
        <w:rPr>
          <w:rFonts w:hint="cs"/>
          <w:u w:val="single"/>
          <w:rtl/>
        </w:rPr>
        <w:t xml:space="preserve"> </w:t>
      </w:r>
      <w:r w:rsidRPr="005675B2">
        <w:rPr>
          <w:rFonts w:hint="cs"/>
          <w:u w:val="single"/>
          <w:rtl/>
        </w:rPr>
        <w:t>عن إدعائها عادة</w:t>
      </w:r>
      <w:r w:rsidR="000636C2">
        <w:rPr>
          <w:rFonts w:hint="cs"/>
          <w:u w:val="single"/>
          <w:rtl/>
        </w:rPr>
        <w:t>،</w:t>
      </w:r>
      <w:r w:rsidR="000636C2">
        <w:rPr>
          <w:rFonts w:hint="cs"/>
          <w:rtl/>
        </w:rPr>
        <w:t xml:space="preserve"> </w:t>
      </w:r>
      <w:r w:rsidRPr="005675B2">
        <w:rPr>
          <w:rFonts w:hint="cs"/>
          <w:rtl/>
        </w:rPr>
        <w:t>فيا أخي أتمنى أن تقرأ كتبهم بإنصاف</w:t>
      </w:r>
      <w:r w:rsidR="000636C2">
        <w:rPr>
          <w:rFonts w:hint="cs"/>
          <w:rtl/>
        </w:rPr>
        <w:t>،</w:t>
      </w:r>
      <w:r w:rsidRPr="005675B2">
        <w:rPr>
          <w:rFonts w:hint="cs"/>
          <w:rtl/>
        </w:rPr>
        <w:t xml:space="preserve"> ولا تصدق تلك الدعاوى العريضة التي هي أوهى من خيوط العنكبوت</w:t>
      </w:r>
      <w:r w:rsidR="000636C2">
        <w:rPr>
          <w:rFonts w:hint="cs"/>
          <w:rtl/>
        </w:rPr>
        <w:t>،</w:t>
      </w:r>
      <w:r w:rsidRPr="005675B2">
        <w:rPr>
          <w:rFonts w:hint="cs"/>
          <w:rtl/>
        </w:rPr>
        <w:t xml:space="preserve"> ومما سبق وما يأتي أقول ماتراه في ثالثاً ورابعاً</w:t>
      </w:r>
      <w:r w:rsidR="000636C2">
        <w:rPr>
          <w:rFonts w:hint="cs"/>
          <w:rtl/>
        </w:rPr>
        <w:t>:</w:t>
      </w:r>
      <w:r w:rsidRPr="005675B2">
        <w:rPr>
          <w:rFonts w:hint="cs"/>
          <w:rtl/>
        </w:rPr>
        <w:t xml:space="preserve"> </w:t>
      </w:r>
    </w:p>
    <w:p w14:paraId="2EC61636" w14:textId="04843D59" w:rsidR="009C32A0" w:rsidRPr="005675B2" w:rsidRDefault="009C32A0" w:rsidP="000636C2">
      <w:pPr>
        <w:rPr>
          <w:b/>
          <w:rtl/>
        </w:rPr>
      </w:pPr>
      <w:r w:rsidRPr="005675B2">
        <w:rPr>
          <w:rFonts w:hint="cs"/>
          <w:rtl/>
        </w:rPr>
        <w:t>ثالثاً -</w:t>
      </w:r>
      <w:r w:rsidR="000636C2">
        <w:rPr>
          <w:rFonts w:hint="cs"/>
          <w:rtl/>
        </w:rPr>
        <w:t xml:space="preserve"> </w:t>
      </w:r>
      <w:r w:rsidRPr="005675B2">
        <w:rPr>
          <w:rFonts w:hint="cs"/>
          <w:rtl/>
        </w:rPr>
        <w:t>فأقول</w:t>
      </w:r>
      <w:r w:rsidR="000636C2">
        <w:rPr>
          <w:rFonts w:hint="cs"/>
          <w:rtl/>
        </w:rPr>
        <w:t>:</w:t>
      </w:r>
      <w:r w:rsidRPr="005675B2">
        <w:rPr>
          <w:rFonts w:hint="cs"/>
          <w:rtl/>
        </w:rPr>
        <w:t xml:space="preserve"> ليس بصحيح أن أئمة الأشاعرة</w:t>
      </w:r>
      <w:r w:rsidR="000636C2">
        <w:rPr>
          <w:rFonts w:hint="cs"/>
          <w:rtl/>
        </w:rPr>
        <w:t xml:space="preserve"> </w:t>
      </w:r>
      <w:r w:rsidRPr="005675B2">
        <w:rPr>
          <w:rFonts w:hint="cs"/>
          <w:rtl/>
        </w:rPr>
        <w:t>لم يهتموا بالتوحيد</w:t>
      </w:r>
      <w:r w:rsidR="000636C2">
        <w:rPr>
          <w:rFonts w:hint="cs"/>
          <w:rtl/>
        </w:rPr>
        <w:t>،</w:t>
      </w:r>
      <w:r w:rsidRPr="005675B2">
        <w:rPr>
          <w:rFonts w:hint="cs"/>
          <w:rtl/>
        </w:rPr>
        <w:t>وهل ألف علماء الأشاعرة كتب العقيدة إلا لبيان التوحيد والرد على المشركين</w:t>
      </w:r>
      <w:r w:rsidR="000636C2">
        <w:rPr>
          <w:rFonts w:hint="cs"/>
          <w:rtl/>
        </w:rPr>
        <w:t>،</w:t>
      </w:r>
      <w:r w:rsidRPr="005675B2">
        <w:rPr>
          <w:rFonts w:hint="cs"/>
          <w:rtl/>
        </w:rPr>
        <w:t>والمبتدعة،وإيضاح التوحيد من الشرك</w:t>
      </w:r>
      <w:r w:rsidR="000636C2">
        <w:rPr>
          <w:rFonts w:hint="cs"/>
          <w:rtl/>
        </w:rPr>
        <w:t>؟!</w:t>
      </w:r>
      <w:r w:rsidRPr="005675B2">
        <w:rPr>
          <w:rFonts w:hint="cs"/>
          <w:rtl/>
        </w:rPr>
        <w:t xml:space="preserve"> وإليكم هذه النقول التأكيدية</w:t>
      </w:r>
      <w:r w:rsidR="000636C2">
        <w:rPr>
          <w:rFonts w:hint="cs"/>
          <w:rtl/>
        </w:rPr>
        <w:t>:</w:t>
      </w:r>
    </w:p>
    <w:p w14:paraId="004ED456" w14:textId="0550D73D" w:rsidR="009C32A0" w:rsidRPr="005675B2" w:rsidRDefault="009C32A0" w:rsidP="000636C2">
      <w:pPr>
        <w:rPr>
          <w:b/>
          <w:rtl/>
        </w:rPr>
      </w:pPr>
      <w:r w:rsidRPr="005675B2">
        <w:rPr>
          <w:rFonts w:hint="cs"/>
          <w:rtl/>
        </w:rPr>
        <w:t>قال الإمام الباقلاني في العقيدة وهو</w:t>
      </w:r>
      <w:r w:rsidR="000636C2">
        <w:rPr>
          <w:rFonts w:hint="cs"/>
          <w:rtl/>
        </w:rPr>
        <w:t xml:space="preserve"> </w:t>
      </w:r>
      <w:r w:rsidRPr="005675B2">
        <w:rPr>
          <w:rFonts w:hint="cs"/>
          <w:rtl/>
        </w:rPr>
        <w:t>يشرح التوحيد</w:t>
      </w:r>
      <w:r w:rsidR="000636C2">
        <w:rPr>
          <w:rFonts w:hint="cs"/>
          <w:rtl/>
        </w:rPr>
        <w:t>:</w:t>
      </w:r>
      <w:r w:rsidRPr="005675B2">
        <w:rPr>
          <w:rFonts w:hint="cs"/>
          <w:rtl/>
        </w:rPr>
        <w:t xml:space="preserve"> </w:t>
      </w:r>
      <w:r w:rsidR="000636C2">
        <w:rPr>
          <w:rFonts w:hint="cs"/>
          <w:rtl/>
        </w:rPr>
        <w:t>[</w:t>
      </w:r>
      <w:r w:rsidRPr="005675B2">
        <w:rPr>
          <w:rFonts w:hint="cs"/>
          <w:rtl/>
        </w:rPr>
        <w:t>والتوحيد له هو الإقرار بأنه ثابت موجود</w:t>
      </w:r>
      <w:r w:rsidR="000636C2">
        <w:rPr>
          <w:rFonts w:hint="cs"/>
          <w:rtl/>
        </w:rPr>
        <w:t>،</w:t>
      </w:r>
      <w:r w:rsidRPr="005675B2">
        <w:rPr>
          <w:rFonts w:hint="cs"/>
          <w:rtl/>
        </w:rPr>
        <w:t xml:space="preserve"> وإله واحد فرد معبود</w:t>
      </w:r>
      <w:r w:rsidR="000636C2">
        <w:rPr>
          <w:rFonts w:hint="cs"/>
          <w:rtl/>
        </w:rPr>
        <w:t>،</w:t>
      </w:r>
      <w:r w:rsidRPr="005675B2">
        <w:rPr>
          <w:rFonts w:hint="cs"/>
          <w:rtl/>
        </w:rPr>
        <w:t xml:space="preserve"> ليس كمثله شيء</w:t>
      </w:r>
      <w:r w:rsidR="000636C2">
        <w:rPr>
          <w:rFonts w:hint="cs"/>
          <w:rtl/>
        </w:rPr>
        <w:t>]،</w:t>
      </w:r>
      <w:r w:rsidRPr="005675B2">
        <w:rPr>
          <w:rFonts w:hint="cs"/>
          <w:rtl/>
        </w:rPr>
        <w:t xml:space="preserve"> ويقول</w:t>
      </w:r>
      <w:r w:rsidR="000636C2">
        <w:rPr>
          <w:rFonts w:hint="cs"/>
          <w:rtl/>
        </w:rPr>
        <w:t>:</w:t>
      </w:r>
      <w:r w:rsidRPr="005675B2">
        <w:rPr>
          <w:rFonts w:hint="cs"/>
          <w:rtl/>
        </w:rPr>
        <w:t xml:space="preserve"> </w:t>
      </w:r>
      <w:r w:rsidR="000636C2">
        <w:rPr>
          <w:rFonts w:hint="cs"/>
          <w:rtl/>
        </w:rPr>
        <w:t>[</w:t>
      </w:r>
      <w:r w:rsidRPr="005675B2">
        <w:rPr>
          <w:rFonts w:hint="cs"/>
          <w:rtl/>
        </w:rPr>
        <w:t>ويجب أن يُعلم أن صانع العالم جلت قدرته واحد أحد</w:t>
      </w:r>
      <w:r w:rsidR="000636C2">
        <w:rPr>
          <w:rFonts w:hint="cs"/>
          <w:rtl/>
        </w:rPr>
        <w:t>،</w:t>
      </w:r>
      <w:r w:rsidRPr="005675B2">
        <w:rPr>
          <w:rFonts w:hint="cs"/>
          <w:rtl/>
        </w:rPr>
        <w:t xml:space="preserve"> </w:t>
      </w:r>
      <w:r w:rsidRPr="005675B2">
        <w:rPr>
          <w:rFonts w:hint="cs"/>
          <w:u w:val="single"/>
          <w:rtl/>
        </w:rPr>
        <w:t>ومعنى ذلك أنه ليس معه إله سواه</w:t>
      </w:r>
      <w:r w:rsidR="000636C2">
        <w:rPr>
          <w:rFonts w:hint="cs"/>
          <w:u w:val="single"/>
          <w:rtl/>
        </w:rPr>
        <w:t>،</w:t>
      </w:r>
      <w:r w:rsidRPr="005675B2">
        <w:rPr>
          <w:rFonts w:hint="cs"/>
          <w:u w:val="single"/>
          <w:rtl/>
        </w:rPr>
        <w:t xml:space="preserve"> ولا من يستحق العبادة إلا إياه</w:t>
      </w:r>
      <w:r w:rsidR="000636C2">
        <w:rPr>
          <w:rFonts w:hint="cs"/>
          <w:u w:val="single"/>
          <w:rtl/>
        </w:rPr>
        <w:t>]</w:t>
      </w:r>
      <w:r w:rsidR="000636C2">
        <w:rPr>
          <w:rFonts w:hint="cs"/>
          <w:rtl/>
        </w:rPr>
        <w:t xml:space="preserve"> [</w:t>
      </w:r>
      <w:r w:rsidRPr="005675B2">
        <w:rPr>
          <w:rFonts w:hint="cs"/>
          <w:bCs/>
          <w:sz w:val="24"/>
          <w:szCs w:val="24"/>
          <w:rtl/>
        </w:rPr>
        <w:t>الإنصاف: ص 32</w:t>
      </w:r>
      <w:r w:rsidR="000636C2">
        <w:rPr>
          <w:rFonts w:hint="cs"/>
          <w:bCs/>
          <w:sz w:val="24"/>
          <w:szCs w:val="24"/>
          <w:rtl/>
        </w:rPr>
        <w:t>،</w:t>
      </w:r>
      <w:r w:rsidRPr="005675B2">
        <w:rPr>
          <w:rFonts w:hint="cs"/>
          <w:bCs/>
          <w:sz w:val="24"/>
          <w:szCs w:val="24"/>
          <w:rtl/>
        </w:rPr>
        <w:t xml:space="preserve"> 33</w:t>
      </w:r>
      <w:r w:rsidR="000636C2">
        <w:rPr>
          <w:rFonts w:hint="cs"/>
          <w:bCs/>
          <w:sz w:val="24"/>
          <w:szCs w:val="24"/>
          <w:rtl/>
        </w:rPr>
        <w:t>]</w:t>
      </w:r>
      <w:r w:rsidR="000636C2">
        <w:rPr>
          <w:rFonts w:hint="cs"/>
          <w:rtl/>
        </w:rPr>
        <w:t>،</w:t>
      </w:r>
      <w:r w:rsidRPr="005675B2">
        <w:rPr>
          <w:rFonts w:hint="cs"/>
          <w:rtl/>
        </w:rPr>
        <w:t xml:space="preserve"> وقال سلطان العلماء</w:t>
      </w:r>
      <w:r w:rsidR="000636C2">
        <w:rPr>
          <w:rFonts w:hint="cs"/>
          <w:rtl/>
        </w:rPr>
        <w:t xml:space="preserve"> </w:t>
      </w:r>
      <w:r w:rsidRPr="005675B2">
        <w:rPr>
          <w:rFonts w:hint="cs"/>
          <w:rtl/>
        </w:rPr>
        <w:t>العز بن عبد السلام بعد ذكر الصفات الواجبة لله تعالى</w:t>
      </w:r>
      <w:r w:rsidR="000636C2">
        <w:rPr>
          <w:rFonts w:hint="cs"/>
          <w:rtl/>
        </w:rPr>
        <w:t>:</w:t>
      </w:r>
      <w:r w:rsidRPr="005675B2">
        <w:rPr>
          <w:rFonts w:hint="cs"/>
          <w:rtl/>
        </w:rPr>
        <w:t xml:space="preserve"> </w:t>
      </w:r>
      <w:r w:rsidR="000636C2">
        <w:rPr>
          <w:rFonts w:hint="cs"/>
          <w:rtl/>
        </w:rPr>
        <w:t>[</w:t>
      </w:r>
      <w:r w:rsidRPr="005675B2">
        <w:rPr>
          <w:rFonts w:hint="cs"/>
          <w:rtl/>
        </w:rPr>
        <w:t>فإن الألوهية ترجع إلى استحقاق العبودية</w:t>
      </w:r>
      <w:r w:rsidR="000636C2">
        <w:rPr>
          <w:rFonts w:hint="cs"/>
          <w:rtl/>
        </w:rPr>
        <w:t>،</w:t>
      </w:r>
      <w:r w:rsidRPr="005675B2">
        <w:rPr>
          <w:rFonts w:hint="cs"/>
          <w:rtl/>
        </w:rPr>
        <w:t xml:space="preserve"> ولا يستحق العبودية إلا من اتصف بجميع ما ذكرناه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w:t>
      </w:r>
      <w:r w:rsidR="000636C2">
        <w:rPr>
          <w:rFonts w:hint="cs"/>
          <w:rtl/>
        </w:rPr>
        <w:t>[</w:t>
      </w:r>
      <w:r w:rsidRPr="005675B2">
        <w:rPr>
          <w:rFonts w:hint="cs"/>
          <w:rtl/>
        </w:rPr>
        <w:t>ولا يستحق الإلهية إلا من اتصف بجميع ما قررناه</w:t>
      </w:r>
      <w:r w:rsidR="000636C2">
        <w:rPr>
          <w:rFonts w:hint="cs"/>
          <w:rtl/>
        </w:rPr>
        <w:t xml:space="preserve">] </w:t>
      </w:r>
      <w:r w:rsidRPr="005675B2">
        <w:rPr>
          <w:rFonts w:hint="cs"/>
          <w:rtl/>
        </w:rPr>
        <w:t>[</w:t>
      </w:r>
      <w:r w:rsidRPr="005675B2">
        <w:rPr>
          <w:rFonts w:hint="cs"/>
          <w:bCs/>
          <w:sz w:val="24"/>
          <w:szCs w:val="24"/>
          <w:rtl/>
        </w:rPr>
        <w:t>العقائد للعز ابن عبد السلام: ص 11</w:t>
      </w:r>
      <w:r w:rsidR="000636C2">
        <w:rPr>
          <w:rFonts w:hint="cs"/>
          <w:bCs/>
          <w:sz w:val="24"/>
          <w:szCs w:val="24"/>
          <w:rtl/>
        </w:rPr>
        <w:t>،</w:t>
      </w:r>
      <w:r w:rsidRPr="005675B2">
        <w:rPr>
          <w:rFonts w:hint="cs"/>
          <w:bCs/>
          <w:sz w:val="24"/>
          <w:szCs w:val="24"/>
          <w:rtl/>
        </w:rPr>
        <w:t xml:space="preserve"> 13</w:t>
      </w:r>
      <w:r w:rsidR="000636C2">
        <w:rPr>
          <w:rFonts w:hint="cs"/>
          <w:bCs/>
          <w:sz w:val="24"/>
          <w:szCs w:val="24"/>
          <w:rtl/>
        </w:rPr>
        <w:t>]</w:t>
      </w:r>
      <w:r w:rsidR="000636C2">
        <w:rPr>
          <w:rFonts w:hint="cs"/>
          <w:rtl/>
        </w:rPr>
        <w:t>،</w:t>
      </w:r>
      <w:r w:rsidRPr="005675B2">
        <w:rPr>
          <w:rFonts w:hint="cs"/>
          <w:rtl/>
        </w:rPr>
        <w:t xml:space="preserve"> وقال الإمام السنوسي رحمه الله</w:t>
      </w:r>
      <w:r w:rsidR="000636C2">
        <w:rPr>
          <w:rFonts w:hint="cs"/>
          <w:rtl/>
        </w:rPr>
        <w:t>:</w:t>
      </w:r>
      <w:r w:rsidRPr="005675B2">
        <w:rPr>
          <w:rFonts w:hint="cs"/>
          <w:rtl/>
        </w:rPr>
        <w:t xml:space="preserve"> </w:t>
      </w:r>
      <w:r w:rsidR="000636C2">
        <w:rPr>
          <w:rFonts w:hint="cs"/>
          <w:rtl/>
        </w:rPr>
        <w:t>[</w:t>
      </w:r>
      <w:r w:rsidRPr="005675B2">
        <w:rPr>
          <w:rFonts w:hint="cs"/>
          <w:rtl/>
        </w:rPr>
        <w:t>وأنواع الشرك ستة</w:t>
      </w:r>
      <w:r w:rsidR="000636C2">
        <w:rPr>
          <w:rFonts w:hint="cs"/>
          <w:rtl/>
        </w:rPr>
        <w:t>:</w:t>
      </w:r>
      <w:r w:rsidRPr="005675B2">
        <w:rPr>
          <w:rFonts w:hint="cs"/>
          <w:rtl/>
        </w:rPr>
        <w:t xml:space="preserve"> شرك استقلال</w:t>
      </w:r>
      <w:r w:rsidR="000636C2">
        <w:rPr>
          <w:rFonts w:hint="cs"/>
          <w:rtl/>
        </w:rPr>
        <w:t>،</w:t>
      </w:r>
      <w:r w:rsidRPr="005675B2">
        <w:rPr>
          <w:rFonts w:hint="cs"/>
          <w:rtl/>
        </w:rPr>
        <w:t xml:space="preserve"> وهو إثبات إلهين مستقلين</w:t>
      </w:r>
      <w:r w:rsidR="000636C2">
        <w:rPr>
          <w:rFonts w:hint="cs"/>
          <w:rtl/>
        </w:rPr>
        <w:t>،</w:t>
      </w:r>
      <w:r w:rsidRPr="005675B2">
        <w:rPr>
          <w:rFonts w:hint="cs"/>
          <w:rtl/>
        </w:rPr>
        <w:t xml:space="preserve"> كشرك المجوس</w:t>
      </w:r>
      <w:r w:rsidR="000636C2">
        <w:rPr>
          <w:rFonts w:hint="cs"/>
          <w:rtl/>
        </w:rPr>
        <w:t>،</w:t>
      </w:r>
      <w:r w:rsidRPr="005675B2">
        <w:rPr>
          <w:rFonts w:hint="cs"/>
          <w:rtl/>
        </w:rPr>
        <w:t xml:space="preserve"> وشرك تبعيض</w:t>
      </w:r>
      <w:r w:rsidR="000636C2">
        <w:rPr>
          <w:rFonts w:hint="cs"/>
          <w:rtl/>
        </w:rPr>
        <w:t>،</w:t>
      </w:r>
      <w:r w:rsidRPr="005675B2">
        <w:rPr>
          <w:rFonts w:hint="cs"/>
          <w:rtl/>
        </w:rPr>
        <w:t xml:space="preserve"> وهو تركيب إله من آلهة</w:t>
      </w:r>
      <w:r w:rsidR="000636C2">
        <w:rPr>
          <w:rFonts w:hint="cs"/>
          <w:rtl/>
        </w:rPr>
        <w:t>،</w:t>
      </w:r>
      <w:r w:rsidRPr="005675B2">
        <w:rPr>
          <w:rFonts w:hint="cs"/>
          <w:rtl/>
        </w:rPr>
        <w:t xml:space="preserve"> كشرك النصارى</w:t>
      </w:r>
      <w:r w:rsidR="000636C2">
        <w:rPr>
          <w:rFonts w:hint="cs"/>
          <w:rtl/>
        </w:rPr>
        <w:t>،</w:t>
      </w:r>
      <w:r w:rsidRPr="005675B2">
        <w:rPr>
          <w:rFonts w:hint="cs"/>
          <w:rtl/>
        </w:rPr>
        <w:t xml:space="preserve"> </w:t>
      </w:r>
      <w:r w:rsidRPr="005675B2">
        <w:rPr>
          <w:rFonts w:hint="cs"/>
          <w:u w:val="single"/>
          <w:rtl/>
        </w:rPr>
        <w:t>وشرك تقريب</w:t>
      </w:r>
      <w:r w:rsidR="000636C2">
        <w:rPr>
          <w:rFonts w:hint="cs"/>
          <w:u w:val="single"/>
          <w:rtl/>
        </w:rPr>
        <w:t>،</w:t>
      </w:r>
      <w:r w:rsidRPr="005675B2">
        <w:rPr>
          <w:rFonts w:hint="cs"/>
          <w:u w:val="single"/>
          <w:rtl/>
        </w:rPr>
        <w:t xml:space="preserve"> وهو عبادة غير الله تعالى ليقرب إلى الله تعالى زلفى</w:t>
      </w:r>
      <w:r w:rsidR="000636C2">
        <w:rPr>
          <w:rFonts w:hint="cs"/>
          <w:u w:val="single"/>
          <w:rtl/>
        </w:rPr>
        <w:t>،</w:t>
      </w:r>
      <w:r w:rsidRPr="005675B2">
        <w:rPr>
          <w:rFonts w:hint="cs"/>
          <w:u w:val="single"/>
          <w:rtl/>
        </w:rPr>
        <w:t xml:space="preserve"> كشرك متقدمي الجاهلية</w:t>
      </w:r>
      <w:r w:rsidR="000636C2">
        <w:rPr>
          <w:rFonts w:hint="cs"/>
          <w:u w:val="single"/>
          <w:rtl/>
        </w:rPr>
        <w:t>،</w:t>
      </w:r>
      <w:r w:rsidRPr="005675B2">
        <w:rPr>
          <w:rFonts w:hint="cs"/>
          <w:rtl/>
        </w:rPr>
        <w:t xml:space="preserve"> </w:t>
      </w:r>
      <w:r w:rsidRPr="005675B2">
        <w:rPr>
          <w:rFonts w:hint="cs"/>
          <w:u w:val="single"/>
          <w:rtl/>
        </w:rPr>
        <w:t>وشرك تقليد</w:t>
      </w:r>
      <w:r w:rsidR="000636C2">
        <w:rPr>
          <w:rFonts w:hint="cs"/>
          <w:u w:val="single"/>
          <w:rtl/>
        </w:rPr>
        <w:t>،</w:t>
      </w:r>
      <w:r w:rsidRPr="005675B2">
        <w:rPr>
          <w:rFonts w:hint="cs"/>
          <w:u w:val="single"/>
          <w:rtl/>
        </w:rPr>
        <w:t xml:space="preserve"> وهو عبادة غير الله تعالى تبعاً للغير</w:t>
      </w:r>
      <w:r w:rsidR="000636C2">
        <w:rPr>
          <w:rFonts w:hint="cs"/>
          <w:rtl/>
        </w:rPr>
        <w:t>،</w:t>
      </w:r>
      <w:r w:rsidRPr="005675B2">
        <w:rPr>
          <w:rFonts w:hint="cs"/>
          <w:rtl/>
        </w:rPr>
        <w:t xml:space="preserve"> </w:t>
      </w:r>
      <w:r w:rsidRPr="005675B2">
        <w:rPr>
          <w:rFonts w:hint="cs"/>
          <w:u w:val="single"/>
          <w:rtl/>
        </w:rPr>
        <w:t>كشرك متأخري الجاهلية</w:t>
      </w:r>
      <w:r w:rsidR="000636C2">
        <w:rPr>
          <w:rFonts w:hint="cs"/>
          <w:rtl/>
        </w:rPr>
        <w:t>،</w:t>
      </w:r>
      <w:r w:rsidRPr="005675B2">
        <w:rPr>
          <w:rFonts w:hint="cs"/>
          <w:rtl/>
        </w:rPr>
        <w:t xml:space="preserve"> وشرك الأسباب</w:t>
      </w:r>
      <w:r w:rsidR="000636C2">
        <w:rPr>
          <w:rFonts w:hint="cs"/>
          <w:rtl/>
        </w:rPr>
        <w:t>،</w:t>
      </w:r>
      <w:r w:rsidRPr="005675B2">
        <w:rPr>
          <w:rFonts w:hint="cs"/>
          <w:rtl/>
        </w:rPr>
        <w:t xml:space="preserve"> وهو إسناد التأثير للأسباب العادية</w:t>
      </w:r>
      <w:r w:rsidR="000636C2">
        <w:rPr>
          <w:rFonts w:hint="cs"/>
          <w:rtl/>
        </w:rPr>
        <w:t>،</w:t>
      </w:r>
      <w:r w:rsidRPr="005675B2">
        <w:rPr>
          <w:rFonts w:hint="cs"/>
          <w:rtl/>
        </w:rPr>
        <w:t xml:space="preserve"> كشرك الفلاسفة والطبائعيين ومن تبعهم على ذلك</w:t>
      </w:r>
      <w:r w:rsidR="000636C2">
        <w:rPr>
          <w:rFonts w:hint="cs"/>
          <w:rtl/>
        </w:rPr>
        <w:t>،</w:t>
      </w:r>
      <w:r w:rsidRPr="005675B2">
        <w:rPr>
          <w:rFonts w:hint="cs"/>
          <w:rtl/>
        </w:rPr>
        <w:t xml:space="preserve"> وشرك الأغراض</w:t>
      </w:r>
      <w:r w:rsidR="000636C2">
        <w:rPr>
          <w:rFonts w:hint="cs"/>
          <w:rtl/>
        </w:rPr>
        <w:t>،</w:t>
      </w:r>
      <w:r w:rsidRPr="005675B2">
        <w:rPr>
          <w:rFonts w:hint="cs"/>
          <w:rtl/>
        </w:rPr>
        <w:t xml:space="preserve"> وهو العمل لغير الله تعالى</w:t>
      </w:r>
      <w:r w:rsidR="000636C2">
        <w:rPr>
          <w:rFonts w:hint="cs"/>
          <w:rtl/>
        </w:rPr>
        <w:t>،</w:t>
      </w:r>
      <w:r w:rsidRPr="005675B2">
        <w:rPr>
          <w:rFonts w:hint="cs"/>
          <w:rtl/>
        </w:rPr>
        <w:t xml:space="preserve"> وحكم الأربعة الأُوَل الكفر بإجماع</w:t>
      </w:r>
      <w:r w:rsidR="000636C2">
        <w:rPr>
          <w:rFonts w:hint="cs"/>
          <w:rtl/>
        </w:rPr>
        <w:t>،</w:t>
      </w:r>
      <w:r w:rsidRPr="005675B2">
        <w:rPr>
          <w:rFonts w:hint="cs"/>
          <w:rtl/>
        </w:rPr>
        <w:t>وحكم السادس المعصية</w:t>
      </w:r>
      <w:r w:rsidR="000636C2">
        <w:rPr>
          <w:rFonts w:hint="cs"/>
          <w:rtl/>
        </w:rPr>
        <w:t>،</w:t>
      </w:r>
      <w:r w:rsidRPr="005675B2">
        <w:rPr>
          <w:rFonts w:hint="cs"/>
          <w:rtl/>
        </w:rPr>
        <w:t xml:space="preserve"> وحكم الخامس التفصيل ..</w:t>
      </w:r>
      <w:r w:rsidR="000636C2">
        <w:rPr>
          <w:rFonts w:hint="cs"/>
          <w:rtl/>
        </w:rPr>
        <w:t>][</w:t>
      </w:r>
      <w:r w:rsidRPr="005675B2">
        <w:rPr>
          <w:rFonts w:hint="cs"/>
          <w:bCs/>
          <w:sz w:val="24"/>
          <w:szCs w:val="24"/>
          <w:rtl/>
        </w:rPr>
        <w:t>شرح المقدمات للسنوسي: ص 33</w:t>
      </w:r>
      <w:r w:rsidR="000636C2">
        <w:rPr>
          <w:rFonts w:hint="cs"/>
          <w:bCs/>
          <w:sz w:val="24"/>
          <w:szCs w:val="24"/>
          <w:rtl/>
        </w:rPr>
        <w:t>،</w:t>
      </w:r>
      <w:r w:rsidRPr="005675B2">
        <w:rPr>
          <w:rFonts w:hint="cs"/>
          <w:bCs/>
          <w:sz w:val="24"/>
          <w:szCs w:val="24"/>
          <w:rtl/>
        </w:rPr>
        <w:t xml:space="preserve"> 40</w:t>
      </w:r>
      <w:r w:rsidR="000636C2">
        <w:rPr>
          <w:rFonts w:hint="cs"/>
          <w:bCs/>
          <w:sz w:val="24"/>
          <w:szCs w:val="24"/>
          <w:rtl/>
        </w:rPr>
        <w:t>]</w:t>
      </w:r>
      <w:r w:rsidR="000636C2">
        <w:rPr>
          <w:rFonts w:hint="cs"/>
          <w:rtl/>
        </w:rPr>
        <w:t>،</w:t>
      </w:r>
    </w:p>
    <w:p w14:paraId="6B349BFD" w14:textId="4D1FF161" w:rsidR="009C32A0" w:rsidRPr="005675B2" w:rsidRDefault="009C32A0" w:rsidP="000636C2">
      <w:pPr>
        <w:rPr>
          <w:b/>
          <w:rtl/>
        </w:rPr>
      </w:pPr>
      <w:r w:rsidRPr="005675B2">
        <w:rPr>
          <w:rFonts w:hint="cs"/>
          <w:rtl/>
        </w:rPr>
        <w:t>وقال البيجوري</w:t>
      </w:r>
      <w:r w:rsidR="000636C2">
        <w:rPr>
          <w:rFonts w:hint="cs"/>
          <w:rtl/>
        </w:rPr>
        <w:t>:</w:t>
      </w:r>
      <w:r w:rsidRPr="005675B2">
        <w:rPr>
          <w:rFonts w:hint="cs"/>
          <w:rtl/>
        </w:rPr>
        <w:t xml:space="preserve"> </w:t>
      </w:r>
      <w:r w:rsidR="000636C2">
        <w:rPr>
          <w:rFonts w:hint="cs"/>
          <w:rtl/>
        </w:rPr>
        <w:t>[</w:t>
      </w:r>
      <w:r w:rsidRPr="005675B2">
        <w:rPr>
          <w:rFonts w:hint="cs"/>
          <w:rtl/>
        </w:rPr>
        <w:t>ومعنى الإله</w:t>
      </w:r>
      <w:r w:rsidR="000636C2">
        <w:rPr>
          <w:rFonts w:hint="cs"/>
          <w:rtl/>
        </w:rPr>
        <w:t>:</w:t>
      </w:r>
      <w:r w:rsidRPr="005675B2">
        <w:rPr>
          <w:rFonts w:hint="cs"/>
          <w:rtl/>
        </w:rPr>
        <w:t xml:space="preserve"> المعبود بحق ..</w:t>
      </w:r>
      <w:r w:rsidR="000636C2">
        <w:rPr>
          <w:rFonts w:hint="cs"/>
          <w:rtl/>
        </w:rPr>
        <w:t>،</w:t>
      </w:r>
      <w:r w:rsidRPr="005675B2">
        <w:rPr>
          <w:rFonts w:hint="cs"/>
          <w:rtl/>
        </w:rPr>
        <w:t xml:space="preserve"> وإذا كان معنى الإله ما ذكر كان معنى لا إله إلا الله</w:t>
      </w:r>
    </w:p>
    <w:p w14:paraId="5C513451" w14:textId="4079CB84" w:rsidR="009C32A0" w:rsidRPr="005675B2" w:rsidRDefault="009C32A0" w:rsidP="000636C2">
      <w:pPr>
        <w:rPr>
          <w:b/>
          <w:rtl/>
        </w:rPr>
      </w:pPr>
      <w:r w:rsidRPr="005675B2">
        <w:rPr>
          <w:rFonts w:hint="cs"/>
          <w:u w:val="single"/>
          <w:rtl/>
        </w:rPr>
        <w:t>لا معبود بحق إلا الله</w:t>
      </w:r>
      <w:r w:rsidR="000636C2">
        <w:rPr>
          <w:rFonts w:hint="cs"/>
          <w:rtl/>
        </w:rPr>
        <w:t>][</w:t>
      </w:r>
      <w:r w:rsidRPr="005675B2">
        <w:rPr>
          <w:rFonts w:hint="cs"/>
          <w:bCs/>
          <w:sz w:val="24"/>
          <w:szCs w:val="24"/>
          <w:rtl/>
        </w:rPr>
        <w:t>حاشية البيجوري على متن السنوسية: ص 42 .وعقائد الأشاعرة والرد على المناوئين للشيخ الأردبلي]</w:t>
      </w:r>
      <w:r w:rsidR="000636C2">
        <w:rPr>
          <w:rFonts w:hint="cs"/>
          <w:rtl/>
        </w:rPr>
        <w:t>،</w:t>
      </w:r>
      <w:r w:rsidRPr="005675B2">
        <w:rPr>
          <w:rFonts w:hint="cs"/>
          <w:rtl/>
        </w:rPr>
        <w:t xml:space="preserve"> </w:t>
      </w:r>
      <w:r w:rsidRPr="005675B2">
        <w:rPr>
          <w:rFonts w:hint="cs"/>
          <w:u w:val="single"/>
          <w:rtl/>
        </w:rPr>
        <w:t>وبهذا يتبين</w:t>
      </w:r>
      <w:r w:rsidR="000636C2">
        <w:rPr>
          <w:rFonts w:hint="cs"/>
          <w:u w:val="single"/>
          <w:rtl/>
        </w:rPr>
        <w:t xml:space="preserve"> </w:t>
      </w:r>
      <w:r w:rsidRPr="005675B2">
        <w:rPr>
          <w:rFonts w:hint="cs"/>
          <w:u w:val="single"/>
          <w:rtl/>
        </w:rPr>
        <w:t>تهور</w:t>
      </w:r>
      <w:r w:rsidR="000636C2">
        <w:rPr>
          <w:rFonts w:hint="cs"/>
          <w:u w:val="single"/>
          <w:rtl/>
        </w:rPr>
        <w:t xml:space="preserve"> </w:t>
      </w:r>
      <w:r w:rsidRPr="005675B2">
        <w:rPr>
          <w:rFonts w:hint="cs"/>
          <w:u w:val="single"/>
          <w:rtl/>
        </w:rPr>
        <w:t>من</w:t>
      </w:r>
      <w:r w:rsidR="000636C2">
        <w:rPr>
          <w:rFonts w:hint="cs"/>
          <w:u w:val="single"/>
          <w:rtl/>
        </w:rPr>
        <w:t xml:space="preserve"> </w:t>
      </w:r>
      <w:r w:rsidRPr="005675B2">
        <w:rPr>
          <w:rFonts w:hint="cs"/>
          <w:u w:val="single"/>
          <w:rtl/>
        </w:rPr>
        <w:t>يجزم بأشياء دون أدنى تثبت</w:t>
      </w:r>
      <w:r w:rsidR="000636C2">
        <w:rPr>
          <w:rFonts w:hint="cs"/>
          <w:u w:val="single"/>
          <w:rtl/>
        </w:rPr>
        <w:t>،</w:t>
      </w:r>
    </w:p>
    <w:p w14:paraId="3250F5F2" w14:textId="35ECE357" w:rsidR="009C32A0" w:rsidRPr="005675B2" w:rsidRDefault="009C32A0" w:rsidP="000636C2">
      <w:pPr>
        <w:rPr>
          <w:b/>
          <w:rtl/>
        </w:rPr>
      </w:pPr>
      <w:r w:rsidRPr="005675B2">
        <w:rPr>
          <w:rFonts w:hint="cs"/>
          <w:rtl/>
        </w:rPr>
        <w:t>رابعاً</w:t>
      </w:r>
      <w:r w:rsidR="000636C2">
        <w:rPr>
          <w:rFonts w:hint="cs"/>
          <w:rtl/>
        </w:rPr>
        <w:t>:</w:t>
      </w:r>
      <w:r w:rsidRPr="005675B2">
        <w:rPr>
          <w:rFonts w:hint="cs"/>
          <w:rtl/>
        </w:rPr>
        <w:t xml:space="preserve"> ظنكم صحة تقريركم لمسألة التوحيد فهو ظن غير صحيح</w:t>
      </w:r>
      <w:r w:rsidR="000636C2">
        <w:rPr>
          <w:rFonts w:hint="cs"/>
          <w:rtl/>
        </w:rPr>
        <w:t>،</w:t>
      </w:r>
      <w:r w:rsidRPr="005675B2">
        <w:rPr>
          <w:rFonts w:hint="cs"/>
          <w:rtl/>
        </w:rPr>
        <w:t>وقد كتبت بحثاً قصيراً في خطأكم في تقرير توحيد الربوبية</w:t>
      </w:r>
      <w:r w:rsidR="000636C2">
        <w:rPr>
          <w:rFonts w:hint="cs"/>
          <w:rtl/>
        </w:rPr>
        <w:t>،</w:t>
      </w:r>
      <w:r w:rsidRPr="005675B2">
        <w:rPr>
          <w:rFonts w:hint="cs"/>
          <w:rtl/>
        </w:rPr>
        <w:t xml:space="preserve"> وذلك في رسالة أخرى ومما جاء فيها ما يلي</w:t>
      </w:r>
      <w:r w:rsidR="000636C2">
        <w:rPr>
          <w:rFonts w:hint="cs"/>
          <w:rtl/>
        </w:rPr>
        <w:t>:</w:t>
      </w:r>
    </w:p>
    <w:p w14:paraId="66F81BAE" w14:textId="139D165D" w:rsidR="009C32A0" w:rsidRPr="005675B2" w:rsidRDefault="009C32A0" w:rsidP="000636C2">
      <w:pPr>
        <w:rPr>
          <w:b/>
          <w:rtl/>
        </w:rPr>
      </w:pPr>
      <w:r w:rsidRPr="005675B2">
        <w:rPr>
          <w:rFonts w:hint="cs"/>
          <w:rtl/>
        </w:rPr>
        <w:t>الخطأ في تقرير توحيد الربوبية</w:t>
      </w:r>
      <w:r w:rsidR="000636C2">
        <w:rPr>
          <w:rFonts w:hint="cs"/>
          <w:rtl/>
        </w:rPr>
        <w:t>،</w:t>
      </w:r>
    </w:p>
    <w:p w14:paraId="574AC916" w14:textId="4D5CBE10" w:rsidR="009C32A0" w:rsidRPr="005675B2" w:rsidRDefault="009C32A0" w:rsidP="000636C2">
      <w:pPr>
        <w:rPr>
          <w:b/>
          <w:rtl/>
        </w:rPr>
      </w:pPr>
      <w:r w:rsidRPr="005675B2">
        <w:rPr>
          <w:rFonts w:hint="cs"/>
          <w:rtl/>
        </w:rPr>
        <w:t>لن يكون الكلام عن وجود الله لأن كفار قريش مقرون بوجود الله وإنما الكلام عن أقسان التوحيد الأخرى</w:t>
      </w:r>
      <w:r w:rsidR="000636C2">
        <w:rPr>
          <w:rFonts w:hint="cs"/>
          <w:rtl/>
        </w:rPr>
        <w:t xml:space="preserve">، </w:t>
      </w:r>
      <w:r w:rsidRPr="005675B2">
        <w:rPr>
          <w:rFonts w:hint="cs"/>
          <w:rtl/>
        </w:rPr>
        <w:t>وأول أقسامه على الاصطلاح الدراسي في المناهج التعليمية توحيد الربوبية</w:t>
      </w:r>
      <w:r w:rsidR="000636C2">
        <w:rPr>
          <w:rFonts w:hint="cs"/>
          <w:rtl/>
        </w:rPr>
        <w:t>:</w:t>
      </w:r>
    </w:p>
    <w:p w14:paraId="6B1139E4" w14:textId="2E26268D" w:rsidR="009C32A0" w:rsidRPr="005675B2" w:rsidRDefault="009C32A0" w:rsidP="000636C2">
      <w:pPr>
        <w:rPr>
          <w:b/>
          <w:rtl/>
        </w:rPr>
      </w:pPr>
      <w:r w:rsidRPr="005675B2">
        <w:rPr>
          <w:rFonts w:hint="cs"/>
          <w:rtl/>
        </w:rPr>
        <w:t>وتوحيد الربوبية</w:t>
      </w:r>
      <w:r w:rsidR="000636C2">
        <w:rPr>
          <w:rFonts w:hint="cs"/>
          <w:rtl/>
        </w:rPr>
        <w:t>:</w:t>
      </w:r>
      <w:r w:rsidRPr="005675B2">
        <w:rPr>
          <w:rFonts w:hint="cs"/>
          <w:rtl/>
        </w:rPr>
        <w:t xml:space="preserve"> هو إفراد الله تعالى بأفعاله</w:t>
      </w:r>
      <w:r w:rsidR="000636C2">
        <w:rPr>
          <w:rFonts w:hint="cs"/>
          <w:rtl/>
        </w:rPr>
        <w:t>،</w:t>
      </w:r>
      <w:r w:rsidRPr="005675B2">
        <w:rPr>
          <w:rFonts w:hint="cs"/>
          <w:rtl/>
        </w:rPr>
        <w:t xml:space="preserve"> ومنها</w:t>
      </w:r>
      <w:r w:rsidR="000636C2">
        <w:rPr>
          <w:rFonts w:hint="cs"/>
          <w:rtl/>
        </w:rPr>
        <w:t xml:space="preserve"> </w:t>
      </w:r>
      <w:r w:rsidRPr="005675B2">
        <w:rPr>
          <w:rFonts w:hint="cs"/>
          <w:rtl/>
        </w:rPr>
        <w:t>- الخلق</w:t>
      </w:r>
      <w:r w:rsidR="000636C2">
        <w:rPr>
          <w:rFonts w:hint="cs"/>
          <w:rtl/>
        </w:rPr>
        <w:t>،</w:t>
      </w:r>
      <w:r w:rsidRPr="005675B2">
        <w:rPr>
          <w:rFonts w:hint="cs"/>
          <w:rtl/>
        </w:rPr>
        <w:t xml:space="preserve"> والرزق</w:t>
      </w:r>
      <w:r w:rsidR="000636C2">
        <w:rPr>
          <w:rFonts w:hint="cs"/>
          <w:rtl/>
        </w:rPr>
        <w:t>،</w:t>
      </w:r>
      <w:r w:rsidRPr="005675B2">
        <w:rPr>
          <w:rFonts w:hint="cs"/>
          <w:rtl/>
        </w:rPr>
        <w:t xml:space="preserve"> والتدبير</w:t>
      </w:r>
      <w:r w:rsidR="000636C2">
        <w:rPr>
          <w:rFonts w:hint="cs"/>
          <w:rtl/>
        </w:rPr>
        <w:t>،</w:t>
      </w:r>
    </w:p>
    <w:p w14:paraId="0EE6C50F" w14:textId="472F696B" w:rsidR="009C32A0" w:rsidRPr="005675B2" w:rsidRDefault="009C32A0" w:rsidP="000636C2">
      <w:pPr>
        <w:rPr>
          <w:b/>
          <w:rtl/>
        </w:rPr>
      </w:pPr>
      <w:r w:rsidRPr="005675B2">
        <w:rPr>
          <w:rFonts w:hint="cs"/>
          <w:rtl/>
        </w:rPr>
        <w:t xml:space="preserve">طبعاً ليس المراد التوسع في ذلك ولكن المقصود بيان المسألة بحدها </w:t>
      </w:r>
      <w:r w:rsidR="000636C2">
        <w:rPr>
          <w:rFonts w:hint="cs"/>
          <w:rtl/>
        </w:rPr>
        <w:t>(</w:t>
      </w:r>
      <w:r w:rsidRPr="005675B2">
        <w:rPr>
          <w:rFonts w:hint="cs"/>
          <w:rtl/>
        </w:rPr>
        <w:t>تعريفها</w:t>
      </w:r>
      <w:r w:rsidR="000636C2">
        <w:rPr>
          <w:rFonts w:hint="cs"/>
          <w:rtl/>
        </w:rPr>
        <w:t>)</w:t>
      </w:r>
      <w:r w:rsidRPr="005675B2">
        <w:rPr>
          <w:rFonts w:hint="cs"/>
          <w:rtl/>
        </w:rPr>
        <w:t xml:space="preserve"> وتطبيقها ومايرد عليها ووجه الانتقاد هنا</w:t>
      </w:r>
      <w:r w:rsidR="000636C2">
        <w:rPr>
          <w:rFonts w:hint="cs"/>
          <w:rtl/>
        </w:rPr>
        <w:t>:</w:t>
      </w:r>
    </w:p>
    <w:p w14:paraId="46229336" w14:textId="674B2D2F" w:rsidR="009C32A0" w:rsidRPr="005675B2" w:rsidRDefault="009C32A0" w:rsidP="000636C2">
      <w:pPr>
        <w:rPr>
          <w:b/>
          <w:rtl/>
        </w:rPr>
      </w:pPr>
      <w:r w:rsidRPr="005675B2">
        <w:rPr>
          <w:rFonts w:hint="cs"/>
          <w:rtl/>
        </w:rPr>
        <w:t>فالمتأمل في الحد المذكور بعاليه</w:t>
      </w:r>
      <w:r w:rsidR="000636C2">
        <w:rPr>
          <w:rFonts w:hint="cs"/>
          <w:rtl/>
        </w:rPr>
        <w:t>،</w:t>
      </w:r>
      <w:r w:rsidRPr="005675B2">
        <w:rPr>
          <w:rFonts w:hint="cs"/>
          <w:rtl/>
        </w:rPr>
        <w:t xml:space="preserve"> يجد أن توحيد الربوبية منصب على اعتقاد العبد انفراد الله بأفعاله سبحانه وتعالى، ثم ضٌرب أمثلة على أفعال الرب سبحانه وتعالى بذكر الخلق</w:t>
      </w:r>
      <w:r w:rsidR="000636C2">
        <w:rPr>
          <w:rFonts w:hint="cs"/>
          <w:rtl/>
        </w:rPr>
        <w:t>،</w:t>
      </w:r>
      <w:r w:rsidRPr="005675B2">
        <w:rPr>
          <w:rFonts w:hint="cs"/>
          <w:rtl/>
        </w:rPr>
        <w:t>والرزق والتدبير وليست أفعال الرب سبحانه وتعالى محصورة في ذلك</w:t>
      </w:r>
      <w:r w:rsidR="000636C2">
        <w:rPr>
          <w:rFonts w:hint="cs"/>
          <w:rtl/>
        </w:rPr>
        <w:t>،</w:t>
      </w:r>
      <w:r w:rsidRPr="005675B2">
        <w:rPr>
          <w:rFonts w:hint="cs"/>
          <w:rtl/>
        </w:rPr>
        <w:t xml:space="preserve"> بل إنما هي أمثلة لبعض أفعاله</w:t>
      </w:r>
      <w:r w:rsidR="000636C2">
        <w:rPr>
          <w:rFonts w:hint="cs"/>
          <w:rtl/>
        </w:rPr>
        <w:t>،</w:t>
      </w:r>
    </w:p>
    <w:p w14:paraId="37765263" w14:textId="42353647" w:rsidR="009C32A0" w:rsidRPr="005675B2" w:rsidRDefault="009C32A0" w:rsidP="000636C2">
      <w:pPr>
        <w:rPr>
          <w:b/>
          <w:rtl/>
        </w:rPr>
      </w:pPr>
      <w:r w:rsidRPr="005675B2">
        <w:rPr>
          <w:rFonts w:hint="cs"/>
          <w:rtl/>
        </w:rPr>
        <w:t xml:space="preserve">إذا كان الأمر كذلك فهل كفار قريش وحدوا الله في الربوبية </w:t>
      </w:r>
      <w:r w:rsidR="000636C2">
        <w:rPr>
          <w:rFonts w:hint="cs"/>
          <w:rtl/>
        </w:rPr>
        <w:t>(</w:t>
      </w:r>
      <w:r w:rsidRPr="005675B2">
        <w:rPr>
          <w:rFonts w:hint="cs"/>
          <w:rtl/>
        </w:rPr>
        <w:t>أي</w:t>
      </w:r>
      <w:r w:rsidR="000636C2">
        <w:rPr>
          <w:rFonts w:hint="cs"/>
          <w:rtl/>
        </w:rPr>
        <w:t xml:space="preserve"> </w:t>
      </w:r>
      <w:r w:rsidRPr="005675B2">
        <w:rPr>
          <w:rFonts w:hint="cs"/>
          <w:rtl/>
        </w:rPr>
        <w:t xml:space="preserve">إفراده </w:t>
      </w:r>
      <w:r w:rsidRPr="005675B2">
        <w:rPr>
          <w:rFonts w:hint="cs"/>
          <w:u w:val="single"/>
          <w:rtl/>
        </w:rPr>
        <w:t>بأفعاله</w:t>
      </w:r>
      <w:r w:rsidR="000636C2">
        <w:rPr>
          <w:rFonts w:hint="cs"/>
          <w:rtl/>
        </w:rPr>
        <w:t>)</w:t>
      </w:r>
      <w:r w:rsidRPr="005675B2">
        <w:rPr>
          <w:rFonts w:hint="cs"/>
          <w:rtl/>
        </w:rPr>
        <w:t xml:space="preserve"> أم أنهم كفار في هذه المسألة</w:t>
      </w:r>
      <w:r w:rsidR="000636C2">
        <w:rPr>
          <w:rFonts w:hint="cs"/>
          <w:rtl/>
        </w:rPr>
        <w:t>؟!</w:t>
      </w:r>
    </w:p>
    <w:p w14:paraId="51437CA7" w14:textId="08FA1CD5" w:rsidR="009C32A0" w:rsidRPr="005675B2" w:rsidRDefault="009C32A0" w:rsidP="000636C2">
      <w:pPr>
        <w:rPr>
          <w:b/>
          <w:rtl/>
        </w:rPr>
      </w:pPr>
      <w:r w:rsidRPr="005675B2">
        <w:rPr>
          <w:rFonts w:hint="cs"/>
          <w:rtl/>
        </w:rPr>
        <w:t>تتابع أهل التدريس على مختلف المستويات على قولهم</w:t>
      </w:r>
      <w:r w:rsidR="000636C2">
        <w:rPr>
          <w:rFonts w:hint="cs"/>
          <w:rtl/>
        </w:rPr>
        <w:t>:</w:t>
      </w:r>
      <w:r w:rsidRPr="005675B2">
        <w:rPr>
          <w:rFonts w:hint="cs"/>
          <w:rtl/>
        </w:rPr>
        <w:t>إن كفار قريش موحدون في الربوبية</w:t>
      </w:r>
      <w:r w:rsidR="000636C2">
        <w:rPr>
          <w:rFonts w:hint="cs"/>
          <w:rtl/>
        </w:rPr>
        <w:t>!</w:t>
      </w:r>
      <w:r w:rsidRPr="005675B2">
        <w:rPr>
          <w:rFonts w:hint="cs"/>
          <w:rtl/>
        </w:rPr>
        <w:t>بدليل قوله تعالى (</w:t>
      </w:r>
      <w:r w:rsidR="000636C2">
        <w:rPr>
          <w:rFonts w:hint="cs"/>
          <w:rtl/>
        </w:rPr>
        <w:t>(</w:t>
      </w:r>
      <w:r w:rsidRPr="005675B2">
        <w:rPr>
          <w:rFonts w:hint="cs"/>
          <w:rtl/>
        </w:rPr>
        <w:t>ولئن سألتهم من خلق السموات والأرض ليقولن الله</w:t>
      </w:r>
      <w:r w:rsidR="000636C2">
        <w:rPr>
          <w:rFonts w:hint="cs"/>
          <w:rtl/>
        </w:rPr>
        <w:t>)</w:t>
      </w:r>
      <w:r w:rsidRPr="005675B2">
        <w:rPr>
          <w:rFonts w:hint="cs"/>
          <w:rtl/>
        </w:rPr>
        <w:t>)</w:t>
      </w:r>
    </w:p>
    <w:p w14:paraId="2511E098" w14:textId="77777777" w:rsidR="009C32A0" w:rsidRPr="005675B2" w:rsidRDefault="009C32A0" w:rsidP="000636C2">
      <w:pPr>
        <w:rPr>
          <w:b/>
          <w:rtl/>
        </w:rPr>
      </w:pPr>
      <w:r w:rsidRPr="005675B2">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p>
    <w:p w14:paraId="39E1FD76" w14:textId="713B9367" w:rsidR="009C32A0" w:rsidRPr="005675B2" w:rsidRDefault="009C32A0" w:rsidP="000636C2">
      <w:pPr>
        <w:rPr>
          <w:b/>
          <w:rtl/>
        </w:rPr>
      </w:pPr>
      <w:r w:rsidRPr="005675B2">
        <w:rPr>
          <w:rFonts w:hint="cs"/>
          <w:rtl/>
        </w:rPr>
        <w:t>، وَقَوْلَهُ تَعَالَى{قُلْ لِمَنِ الأَرْضُ وَمَنْ فِيهَا إِنْ كُنتُمْ تَعْلَمُونَ</w:t>
      </w:r>
      <w:r w:rsidR="000636C2">
        <w:rPr>
          <w:rFonts w:hint="cs"/>
          <w:rtl/>
        </w:rPr>
        <w:t>،</w:t>
      </w:r>
      <w:r w:rsidRPr="005675B2">
        <w:rPr>
          <w:rFonts w:hint="cs"/>
          <w:rtl/>
        </w:rPr>
        <w:t xml:space="preserve"> سَيَقُولُونَ لِلَّهِ قُلْ أَفَلا تَذَكَّرُونَ</w:t>
      </w:r>
      <w:r w:rsidR="000636C2">
        <w:rPr>
          <w:rFonts w:hint="cs"/>
          <w:rtl/>
        </w:rPr>
        <w:t>،</w:t>
      </w:r>
      <w:r w:rsidRPr="005675B2">
        <w:rPr>
          <w:rFonts w:hint="cs"/>
          <w:rtl/>
        </w:rPr>
        <w:t xml:space="preserve"> قُلْ مَنْ رَبُّ السَّمَاوَاتِ السَّبْعِ وَرَبُّ الْعَرْشِ الْعَظِيمِ</w:t>
      </w:r>
      <w:r w:rsidR="000636C2">
        <w:rPr>
          <w:rFonts w:hint="cs"/>
          <w:rtl/>
        </w:rPr>
        <w:t>،</w:t>
      </w:r>
      <w:r w:rsidRPr="005675B2">
        <w:rPr>
          <w:rFonts w:hint="cs"/>
          <w:rtl/>
        </w:rPr>
        <w:t xml:space="preserve"> سَيَقُولُونَ لِلَّهِ قُلْ أَفَلا تَتَّقُونَ</w:t>
      </w:r>
      <w:r w:rsidR="000636C2">
        <w:rPr>
          <w:rFonts w:hint="cs"/>
          <w:rtl/>
        </w:rPr>
        <w:t>،</w:t>
      </w:r>
      <w:r w:rsidRPr="005675B2">
        <w:rPr>
          <w:rFonts w:hint="cs"/>
          <w:rtl/>
        </w:rPr>
        <w:t xml:space="preserve"> قُلْ مَنْ بِيَدِهِ مَلَكُوتُ كُلِّ شَيْءٍ وَهُوَ يُجِيرُ وَلا يُجَارُ عَلَيْهِ إِنْ كُنتُمْ تَعْلَمُونَ</w:t>
      </w:r>
      <w:r w:rsidR="000636C2">
        <w:rPr>
          <w:rFonts w:hint="cs"/>
          <w:rtl/>
        </w:rPr>
        <w:t>،</w:t>
      </w:r>
      <w:r w:rsidRPr="005675B2">
        <w:rPr>
          <w:rFonts w:hint="cs"/>
          <w:rtl/>
        </w:rPr>
        <w:t xml:space="preserve"> سَيَقُولُونَ لِلَّهِ قُلْ فَأَنَّى تُسْحَرُونَ}</w:t>
      </w:r>
    </w:p>
    <w:p w14:paraId="2DC57455" w14:textId="514B282C" w:rsidR="009C32A0" w:rsidRPr="005675B2" w:rsidRDefault="009C32A0" w:rsidP="000636C2">
      <w:pPr>
        <w:rPr>
          <w:b/>
          <w:rtl/>
        </w:rPr>
      </w:pPr>
      <w:r w:rsidRPr="005675B2">
        <w:rPr>
          <w:rFonts w:hint="cs"/>
          <w:rtl/>
        </w:rPr>
        <w:t>فأفادت الآيات الكريمة أن كفار قريش قد وحدوا الله في الربوبية</w:t>
      </w:r>
      <w:r w:rsidR="000636C2">
        <w:rPr>
          <w:rFonts w:hint="cs"/>
          <w:rtl/>
        </w:rPr>
        <w:t>،</w:t>
      </w:r>
      <w:r w:rsidRPr="005675B2">
        <w:rPr>
          <w:rFonts w:hint="cs"/>
          <w:rtl/>
        </w:rPr>
        <w:t xml:space="preserve"> هكذا يقال</w:t>
      </w:r>
      <w:r w:rsidR="000636C2">
        <w:rPr>
          <w:rFonts w:hint="cs"/>
          <w:rtl/>
        </w:rPr>
        <w:t>،!</w:t>
      </w:r>
      <w:r w:rsidRPr="005675B2">
        <w:rPr>
          <w:rFonts w:hint="cs"/>
          <w:rtl/>
        </w:rPr>
        <w:t>!</w:t>
      </w:r>
    </w:p>
    <w:p w14:paraId="0B0C99E7" w14:textId="71EAA9C0" w:rsidR="009C32A0" w:rsidRPr="005675B2" w:rsidRDefault="009C32A0" w:rsidP="000636C2">
      <w:pPr>
        <w:rPr>
          <w:b/>
          <w:u w:val="single"/>
          <w:rtl/>
        </w:rPr>
      </w:pPr>
      <w:r w:rsidRPr="005675B2">
        <w:rPr>
          <w:rFonts w:hint="cs"/>
          <w:u w:val="single"/>
          <w:rtl/>
        </w:rPr>
        <w:t>وهذا الكلام غير صحيح لأسباب</w:t>
      </w:r>
      <w:r w:rsidR="000636C2">
        <w:rPr>
          <w:rFonts w:hint="cs"/>
          <w:u w:val="single"/>
          <w:rtl/>
        </w:rPr>
        <w:t>:</w:t>
      </w:r>
    </w:p>
    <w:p w14:paraId="7D78EF28" w14:textId="10930376"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أفعال الرب - سبحانه وتعالى - غير محصورة في الخالقية</w:t>
      </w:r>
      <w:r w:rsidR="000636C2">
        <w:rPr>
          <w:rFonts w:hint="cs"/>
          <w:rtl/>
        </w:rPr>
        <w:t>،</w:t>
      </w:r>
      <w:r w:rsidRPr="005675B2">
        <w:rPr>
          <w:rFonts w:hint="cs"/>
          <w:rtl/>
        </w:rPr>
        <w:t xml:space="preserve"> أو الرزق، أو التدبير</w:t>
      </w:r>
      <w:r w:rsidR="000636C2">
        <w:rPr>
          <w:rFonts w:hint="cs"/>
          <w:rtl/>
        </w:rPr>
        <w:t>،</w:t>
      </w:r>
      <w:r w:rsidRPr="005675B2">
        <w:rPr>
          <w:rFonts w:hint="cs"/>
          <w:rtl/>
        </w:rPr>
        <w:t xml:space="preserve"> بل المذكور في الآيات</w:t>
      </w:r>
      <w:r w:rsidR="000636C2">
        <w:rPr>
          <w:rFonts w:hint="cs"/>
          <w:rtl/>
        </w:rPr>
        <w:t xml:space="preserve"> </w:t>
      </w:r>
      <w:r w:rsidRPr="005675B2">
        <w:rPr>
          <w:rFonts w:hint="cs"/>
          <w:rtl/>
        </w:rPr>
        <w:t>شيء من أفعال المولى -</w:t>
      </w:r>
      <w:r w:rsidR="000636C2">
        <w:rPr>
          <w:rFonts w:hint="cs"/>
          <w:rtl/>
        </w:rPr>
        <w:t xml:space="preserve"> </w:t>
      </w:r>
      <w:r w:rsidRPr="005675B2">
        <w:rPr>
          <w:rFonts w:hint="cs"/>
          <w:rtl/>
        </w:rPr>
        <w:t>سبحانه وتعالى - وليست كل أفعاله</w:t>
      </w:r>
      <w:r w:rsidR="000636C2">
        <w:rPr>
          <w:rFonts w:hint="cs"/>
          <w:rtl/>
        </w:rPr>
        <w:t>،</w:t>
      </w:r>
      <w:r w:rsidRPr="005675B2">
        <w:rPr>
          <w:rFonts w:hint="cs"/>
          <w:rtl/>
        </w:rPr>
        <w:t xml:space="preserve">فكيف نقول أنهم قد وحدوا الله في أفعاله </w:t>
      </w:r>
      <w:r w:rsidR="000636C2">
        <w:rPr>
          <w:rFonts w:hint="cs"/>
          <w:rtl/>
        </w:rPr>
        <w:t>(</w:t>
      </w:r>
      <w:r w:rsidRPr="005675B2">
        <w:rPr>
          <w:rFonts w:hint="cs"/>
          <w:rtl/>
        </w:rPr>
        <w:t>أي في ربوبته</w:t>
      </w:r>
      <w:r w:rsidR="000636C2">
        <w:rPr>
          <w:rFonts w:hint="cs"/>
          <w:rtl/>
        </w:rPr>
        <w:t>)</w:t>
      </w:r>
      <w:r w:rsidRPr="005675B2">
        <w:rPr>
          <w:rFonts w:hint="cs"/>
          <w:rtl/>
        </w:rPr>
        <w:t xml:space="preserve"> وهم قد جحدوا أشياء من أفعاله</w:t>
      </w:r>
      <w:r w:rsidR="000636C2">
        <w:rPr>
          <w:rFonts w:hint="cs"/>
          <w:rtl/>
        </w:rPr>
        <w:t>،</w:t>
      </w:r>
      <w:r w:rsidRPr="005675B2">
        <w:rPr>
          <w:rFonts w:hint="cs"/>
          <w:rtl/>
        </w:rPr>
        <w:t xml:space="preserve">منها </w:t>
      </w:r>
      <w:r w:rsidRPr="005675B2">
        <w:rPr>
          <w:rFonts w:hint="cs"/>
          <w:u w:val="single"/>
          <w:rtl/>
        </w:rPr>
        <w:t>البعث والنشور</w:t>
      </w:r>
      <w:r w:rsidRPr="005675B2">
        <w:rPr>
          <w:rFonts w:hint="cs"/>
          <w:rtl/>
        </w:rPr>
        <w:t xml:space="preserve"> فيقول قائلهم</w:t>
      </w:r>
      <w:r w:rsidR="000636C2">
        <w:rPr>
          <w:rFonts w:hint="cs"/>
          <w:rtl/>
        </w:rPr>
        <w:t xml:space="preserve"> </w:t>
      </w:r>
      <w:r w:rsidRPr="005675B2">
        <w:rPr>
          <w:rFonts w:hint="cs"/>
          <w:rtl/>
        </w:rPr>
        <w:t>- وقد أخذعظم قد أرم -</w:t>
      </w:r>
      <w:r w:rsidR="000636C2">
        <w:rPr>
          <w:rFonts w:hint="cs"/>
          <w:rtl/>
        </w:rPr>
        <w:t>:</w:t>
      </w:r>
      <w:r w:rsidRPr="005675B2">
        <w:rPr>
          <w:rFonts w:hint="cs"/>
          <w:rtl/>
        </w:rPr>
        <w:t xml:space="preserve"> يا محمد أتزعم أن ربك يعيد هذا</w:t>
      </w:r>
      <w:r w:rsidR="000636C2">
        <w:rPr>
          <w:rFonts w:hint="cs"/>
          <w:rtl/>
        </w:rPr>
        <w:t>؟!</w:t>
      </w:r>
      <w:r w:rsidRPr="005675B2">
        <w:rPr>
          <w:rFonts w:hint="cs"/>
          <w:rtl/>
        </w:rPr>
        <w:t xml:space="preserve">!والقائل هو العاص بن وائل </w:t>
      </w:r>
      <w:r w:rsidRPr="005675B2">
        <w:rPr>
          <w:rFonts w:hint="cs"/>
          <w:u w:val="single"/>
          <w:rtl/>
        </w:rPr>
        <w:t>القرشي</w:t>
      </w:r>
    </w:p>
    <w:p w14:paraId="237BD33C" w14:textId="4339C0C9" w:rsidR="009C32A0" w:rsidRPr="005675B2" w:rsidRDefault="009C32A0" w:rsidP="000636C2">
      <w:pPr>
        <w:rPr>
          <w:b/>
          <w:rtl/>
        </w:rPr>
      </w:pPr>
      <w:r w:rsidRPr="005675B2">
        <w:rPr>
          <w:rFonts w:hint="cs"/>
          <w:rtl/>
        </w:rPr>
        <w:t>وقال تعالى (</w:t>
      </w:r>
      <w:r w:rsidR="000636C2">
        <w:rPr>
          <w:rFonts w:hint="cs"/>
          <w:rtl/>
        </w:rPr>
        <w:t>(</w:t>
      </w:r>
      <w:r w:rsidRPr="005675B2">
        <w:rPr>
          <w:rFonts w:hint="cs"/>
          <w:rtl/>
        </w:rPr>
        <w:t>زعم الذين كفروا أن لن يبعثوا ..</w:t>
      </w:r>
      <w:r w:rsidR="000636C2">
        <w:rPr>
          <w:rFonts w:hint="cs"/>
          <w:rtl/>
        </w:rPr>
        <w:t>)</w:t>
      </w:r>
      <w:r w:rsidRPr="005675B2">
        <w:rPr>
          <w:rFonts w:hint="cs"/>
          <w:rtl/>
        </w:rPr>
        <w:t xml:space="preserve"> فأين التوحيد في الربوبية</w:t>
      </w:r>
      <w:r w:rsidR="000636C2">
        <w:rPr>
          <w:rFonts w:hint="cs"/>
          <w:rtl/>
        </w:rPr>
        <w:t>؟!</w:t>
      </w:r>
      <w:r w:rsidRPr="005675B2">
        <w:rPr>
          <w:rFonts w:hint="cs"/>
          <w:rtl/>
        </w:rPr>
        <w:t xml:space="preserve"> فكونهم اعترفوا ببعض الأفعال</w:t>
      </w:r>
      <w:r w:rsidR="000636C2">
        <w:rPr>
          <w:rFonts w:hint="cs"/>
          <w:rtl/>
        </w:rPr>
        <w:t xml:space="preserve"> </w:t>
      </w:r>
      <w:r w:rsidRPr="005675B2">
        <w:rPr>
          <w:rFonts w:hint="cs"/>
          <w:rtl/>
        </w:rPr>
        <w:t>لا يعني ذلك توحيدهم في بقية الربوبية</w:t>
      </w:r>
      <w:r w:rsidR="000636C2">
        <w:rPr>
          <w:rFonts w:hint="cs"/>
          <w:rtl/>
        </w:rPr>
        <w:t>،</w:t>
      </w:r>
      <w:r w:rsidRPr="005675B2">
        <w:rPr>
          <w:rFonts w:hint="cs"/>
          <w:rtl/>
        </w:rPr>
        <w:t xml:space="preserve"> بل لو أقروا بالبعث والنشور وسائر أفعال الخالق سبحانه وتعالى</w:t>
      </w:r>
      <w:r w:rsidR="000636C2">
        <w:rPr>
          <w:rFonts w:hint="cs"/>
          <w:rtl/>
        </w:rPr>
        <w:t>،</w:t>
      </w:r>
      <w:r w:rsidRPr="005675B2">
        <w:rPr>
          <w:rFonts w:hint="cs"/>
          <w:rtl/>
        </w:rPr>
        <w:t xml:space="preserve"> ثم استثنوا نملة من مخلوقاته</w:t>
      </w:r>
      <w:r w:rsidR="000636C2">
        <w:rPr>
          <w:rFonts w:hint="cs"/>
          <w:rtl/>
        </w:rPr>
        <w:t>،</w:t>
      </w:r>
      <w:r w:rsidRPr="005675B2">
        <w:rPr>
          <w:rFonts w:hint="cs"/>
          <w:rtl/>
        </w:rPr>
        <w:t>أو ذرة من التراب وقالوا</w:t>
      </w:r>
      <w:r w:rsidR="000636C2">
        <w:rPr>
          <w:rFonts w:hint="cs"/>
          <w:rtl/>
        </w:rPr>
        <w:t>:</w:t>
      </w:r>
      <w:r w:rsidRPr="005675B2">
        <w:rPr>
          <w:rFonts w:hint="cs"/>
          <w:rtl/>
        </w:rPr>
        <w:t>خلق الله جميع الخلق إلا هذه النملة أو هذه الذرة من التراب</w:t>
      </w:r>
      <w:r w:rsidR="000636C2">
        <w:rPr>
          <w:rFonts w:hint="cs"/>
          <w:rtl/>
        </w:rPr>
        <w:t>،</w:t>
      </w:r>
      <w:r w:rsidRPr="005675B2">
        <w:rPr>
          <w:rFonts w:hint="cs"/>
          <w:rtl/>
        </w:rPr>
        <w:t>لكانوا بذلك كفاراً غير موحدين في الربوبية،فكيف وقد جحدوا البعث والنشور</w:t>
      </w:r>
      <w:r w:rsidR="000636C2">
        <w:rPr>
          <w:rFonts w:hint="cs"/>
          <w:rtl/>
        </w:rPr>
        <w:t>،</w:t>
      </w:r>
      <w:r w:rsidRPr="005675B2">
        <w:rPr>
          <w:rFonts w:hint="cs"/>
          <w:rtl/>
        </w:rPr>
        <w:t>وزعموا أن أصنامهم شريكة لله في التصرف والتدبير وغير ذلك من ترهاتهم</w:t>
      </w:r>
      <w:r w:rsidR="000636C2">
        <w:rPr>
          <w:rFonts w:hint="cs"/>
          <w:rtl/>
        </w:rPr>
        <w:t>؟</w:t>
      </w:r>
    </w:p>
    <w:p w14:paraId="60636875" w14:textId="7E80FBA3"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xml:space="preserve">- </w:t>
      </w:r>
      <w:r w:rsidRPr="005675B2">
        <w:rPr>
          <w:rFonts w:hint="cs"/>
          <w:u w:val="single"/>
          <w:rtl/>
        </w:rPr>
        <w:t>كونهم يقرون لله ببعض أفعاله</w:t>
      </w:r>
      <w:r w:rsidR="000636C2">
        <w:rPr>
          <w:rFonts w:hint="cs"/>
          <w:u w:val="single"/>
          <w:rtl/>
        </w:rPr>
        <w:t>،</w:t>
      </w:r>
      <w:r w:rsidRPr="005675B2">
        <w:rPr>
          <w:rFonts w:hint="cs"/>
          <w:u w:val="single"/>
          <w:rtl/>
        </w:rPr>
        <w:t xml:space="preserve"> لايعني أنهم ينفون الشريك له فيها</w:t>
      </w:r>
      <w:r w:rsidR="000636C2">
        <w:rPr>
          <w:rFonts w:hint="cs"/>
          <w:u w:val="single"/>
          <w:rtl/>
        </w:rPr>
        <w:t>،</w:t>
      </w:r>
      <w:r w:rsidRPr="005675B2">
        <w:rPr>
          <w:rFonts w:hint="cs"/>
          <w:u w:val="single"/>
          <w:rtl/>
        </w:rPr>
        <w:t xml:space="preserve"> ولذا فنكمل الآية السابقة حتى يتبين الحق</w:t>
      </w:r>
      <w:r w:rsidR="000636C2">
        <w:rPr>
          <w:rFonts w:hint="cs"/>
          <w:u w:val="single"/>
          <w:rtl/>
        </w:rPr>
        <w:t>،</w:t>
      </w:r>
      <w:r w:rsidRPr="005675B2">
        <w:rPr>
          <w:rFonts w:hint="cs"/>
          <w:u w:val="single"/>
          <w:rtl/>
        </w:rPr>
        <w:t xml:space="preserve"> ولا تجتزيء النصوص ونبترها فيخفى الحق عن طالبه</w:t>
      </w:r>
      <w:r w:rsidR="000636C2">
        <w:rPr>
          <w:rFonts w:hint="cs"/>
          <w:rtl/>
        </w:rPr>
        <w:t>،</w:t>
      </w:r>
      <w:r w:rsidRPr="005675B2">
        <w:rPr>
          <w:rFonts w:hint="cs"/>
          <w:rtl/>
        </w:rPr>
        <w:t xml:space="preserve"> وسأسوق الآيات السابقات وما يتبعها من آيات حتى يتكامل المعنى لدى طالب الحق</w:t>
      </w:r>
      <w:r w:rsidR="000636C2">
        <w:rPr>
          <w:rFonts w:hint="cs"/>
          <w:rtl/>
        </w:rPr>
        <w:t xml:space="preserve"> </w:t>
      </w:r>
      <w:r w:rsidRPr="005675B2">
        <w:rPr>
          <w:rFonts w:hint="cs"/>
          <w:rtl/>
        </w:rPr>
        <w:t>((</w:t>
      </w:r>
      <w:r w:rsidR="000636C2">
        <w:rPr>
          <w:rFonts w:hint="cs"/>
          <w:rtl/>
        </w:rPr>
        <w:t>،</w:t>
      </w:r>
      <w:r w:rsidRPr="005675B2">
        <w:rPr>
          <w:rFonts w:hint="cs"/>
          <w:rtl/>
        </w:rPr>
        <w:t xml:space="preserve"> قُلْ مَنْ بِيَدِهِ مَلَكُوتُ كُلِّ شَيْءٍ وَهُوَ يُجِيرُ وَلا يُجَارُ عَلَيْهِ إِنْ كُنتُمْ تَعْلَمُونَ</w:t>
      </w:r>
      <w:r w:rsidR="000636C2">
        <w:rPr>
          <w:rFonts w:hint="cs"/>
          <w:rtl/>
        </w:rPr>
        <w:t>،</w:t>
      </w:r>
      <w:r w:rsidRPr="005675B2">
        <w:rPr>
          <w:rFonts w:hint="cs"/>
          <w:rtl/>
        </w:rPr>
        <w:t xml:space="preserve"> سَيَقُولُونَ لِلَّهِ قُلْ فَأَنَّى تُسْحَرُونَ89</w:t>
      </w:r>
      <w:r w:rsidR="000636C2">
        <w:rPr>
          <w:rFonts w:hint="cs"/>
          <w:rtl/>
        </w:rPr>
        <w:t xml:space="preserve"> </w:t>
      </w:r>
      <w:r w:rsidRPr="005675B2">
        <w:rPr>
          <w:rFonts w:hint="cs"/>
          <w:rtl/>
        </w:rPr>
        <w:t xml:space="preserve">بل أتيناهم بالحق وإنهم لكاذبون 90 ما اتخذ الله من ولد وماكان </w:t>
      </w:r>
      <w:r w:rsidRPr="005675B2">
        <w:rPr>
          <w:rFonts w:hint="cs"/>
          <w:u w:val="single"/>
          <w:rtl/>
        </w:rPr>
        <w:t xml:space="preserve">معه </w:t>
      </w:r>
      <w:r w:rsidRPr="005675B2">
        <w:rPr>
          <w:rFonts w:hint="cs"/>
          <w:rtl/>
        </w:rPr>
        <w:t xml:space="preserve">من إله إذاً لذهب </w:t>
      </w:r>
      <w:r w:rsidRPr="005675B2">
        <w:rPr>
          <w:rFonts w:hint="cs"/>
          <w:u w:val="single"/>
          <w:rtl/>
        </w:rPr>
        <w:t>كل إله بماخلق</w:t>
      </w:r>
      <w:r w:rsidRPr="005675B2">
        <w:rPr>
          <w:rFonts w:hint="cs"/>
          <w:rtl/>
        </w:rPr>
        <w:t xml:space="preserve"> ولعلا بعضهم على بعض سبحان الله عما يصفون 91 عالم الغيب والشهادة فتعالى عما </w:t>
      </w:r>
      <w:r w:rsidRPr="005675B2">
        <w:rPr>
          <w:rFonts w:hint="cs"/>
          <w:i/>
          <w:iCs/>
          <w:u w:val="single"/>
          <w:rtl/>
        </w:rPr>
        <w:t>يشركون</w:t>
      </w:r>
      <w:r w:rsidRPr="005675B2">
        <w:rPr>
          <w:rFonts w:hint="cs"/>
          <w:i/>
          <w:iCs/>
          <w:rtl/>
        </w:rPr>
        <w:t xml:space="preserve"> </w:t>
      </w:r>
      <w:r w:rsidRPr="005675B2">
        <w:rPr>
          <w:rFonts w:hint="cs"/>
          <w:rtl/>
        </w:rPr>
        <w:t>92</w:t>
      </w:r>
      <w:r w:rsidR="000636C2">
        <w:rPr>
          <w:rFonts w:hint="cs"/>
          <w:rtl/>
        </w:rPr>
        <w:t>)</w:t>
      </w:r>
      <w:r w:rsidRPr="005675B2">
        <w:rPr>
          <w:rFonts w:hint="cs"/>
          <w:rtl/>
        </w:rPr>
        <w:t>)</w:t>
      </w:r>
      <w:r w:rsidR="000636C2">
        <w:rPr>
          <w:rFonts w:hint="cs"/>
          <w:rtl/>
        </w:rPr>
        <w:t>،</w:t>
      </w:r>
      <w:r w:rsidRPr="005675B2">
        <w:rPr>
          <w:rFonts w:hint="cs"/>
          <w:rtl/>
        </w:rPr>
        <w:t xml:space="preserve"> وهنا بارك الله بكم</w:t>
      </w:r>
      <w:r w:rsidR="000636C2">
        <w:rPr>
          <w:rFonts w:hint="cs"/>
          <w:rtl/>
        </w:rPr>
        <w:t xml:space="preserve"> </w:t>
      </w:r>
      <w:r w:rsidRPr="005675B2">
        <w:rPr>
          <w:rFonts w:hint="cs"/>
          <w:rtl/>
        </w:rPr>
        <w:t>اكتملت الآيات واتضح المراد</w:t>
      </w:r>
      <w:r w:rsidR="000636C2">
        <w:rPr>
          <w:rFonts w:hint="cs"/>
          <w:rtl/>
        </w:rPr>
        <w:t>،</w:t>
      </w:r>
      <w:r w:rsidRPr="005675B2">
        <w:rPr>
          <w:rFonts w:hint="cs"/>
          <w:rtl/>
        </w:rPr>
        <w:t xml:space="preserve"> قال الإمام القرطبي في تفسيره</w:t>
      </w:r>
      <w:r w:rsidR="000636C2">
        <w:rPr>
          <w:rFonts w:hint="cs"/>
          <w:rtl/>
        </w:rPr>
        <w:t>:</w:t>
      </w:r>
      <w:r w:rsidRPr="005675B2">
        <w:rPr>
          <w:rFonts w:hint="cs"/>
          <w:rtl/>
        </w:rPr>
        <w:t xml:space="preserve"> (</w:t>
      </w:r>
      <w:r w:rsidR="000636C2">
        <w:rPr>
          <w:rFonts w:hint="cs"/>
          <w:rtl/>
        </w:rPr>
        <w:t>(</w:t>
      </w:r>
      <w:r w:rsidRPr="005675B2">
        <w:rPr>
          <w:rFonts w:hint="cs"/>
          <w:rtl/>
        </w:rPr>
        <w:t>بل أتيناهم بالحق</w:t>
      </w:r>
      <w:r w:rsidR="000636C2">
        <w:rPr>
          <w:rFonts w:hint="cs"/>
          <w:rtl/>
        </w:rPr>
        <w:t>)</w:t>
      </w:r>
      <w:r w:rsidRPr="005675B2">
        <w:rPr>
          <w:rFonts w:hint="cs"/>
          <w:rtl/>
        </w:rPr>
        <w:t xml:space="preserve">) أي بالقول الصدق لا ما تقول الكفار من </w:t>
      </w:r>
      <w:r w:rsidRPr="005675B2">
        <w:rPr>
          <w:rFonts w:hint="cs"/>
          <w:u w:val="single"/>
          <w:rtl/>
        </w:rPr>
        <w:t>إثبات الشريك</w:t>
      </w:r>
      <w:r w:rsidRPr="005675B2">
        <w:rPr>
          <w:rFonts w:hint="cs"/>
          <w:rtl/>
        </w:rPr>
        <w:t xml:space="preserve"> ونفي البعث</w:t>
      </w:r>
      <w:r w:rsidR="000636C2">
        <w:rPr>
          <w:rFonts w:hint="cs"/>
          <w:rtl/>
        </w:rPr>
        <w:t>،</w:t>
      </w:r>
      <w:r w:rsidRPr="005675B2">
        <w:rPr>
          <w:rFonts w:hint="cs"/>
          <w:rtl/>
        </w:rPr>
        <w:t xml:space="preserve"> أ هـ</w:t>
      </w:r>
      <w:r w:rsidR="000636C2">
        <w:rPr>
          <w:rFonts w:hint="cs"/>
          <w:rtl/>
        </w:rPr>
        <w:t>،</w:t>
      </w:r>
      <w:r w:rsidRPr="005675B2">
        <w:rPr>
          <w:rFonts w:hint="cs"/>
          <w:rtl/>
        </w:rPr>
        <w:t xml:space="preserve"> وقد وضعت لك تحت كل شاهد على ما أسلفت</w:t>
      </w:r>
      <w:r w:rsidR="000636C2">
        <w:rPr>
          <w:rFonts w:hint="cs"/>
          <w:rtl/>
        </w:rPr>
        <w:t xml:space="preserve"> </w:t>
      </w:r>
      <w:r w:rsidRPr="005675B2">
        <w:rPr>
          <w:rFonts w:hint="cs"/>
          <w:rtl/>
        </w:rPr>
        <w:t>خطاً</w:t>
      </w:r>
      <w:r w:rsidR="000636C2">
        <w:rPr>
          <w:rFonts w:hint="cs"/>
          <w:rtl/>
        </w:rPr>
        <w:t>،</w:t>
      </w:r>
      <w:r w:rsidRPr="005675B2">
        <w:rPr>
          <w:rFonts w:hint="cs"/>
          <w:rtl/>
        </w:rPr>
        <w:t>لتعلم أن الإقرار بالربوبية إنما هو إقرار ببعض الأفعال لا بكلها</w:t>
      </w:r>
      <w:r w:rsidR="000636C2">
        <w:rPr>
          <w:rFonts w:hint="cs"/>
          <w:rtl/>
        </w:rPr>
        <w:t>،</w:t>
      </w:r>
      <w:r w:rsidRPr="005675B2">
        <w:rPr>
          <w:rFonts w:hint="cs"/>
          <w:rtl/>
        </w:rPr>
        <w:t>ودون نفي وجود الشريك من آلهة أخرى</w:t>
      </w:r>
      <w:r w:rsidR="000636C2">
        <w:rPr>
          <w:rFonts w:hint="cs"/>
          <w:rtl/>
        </w:rPr>
        <w:t>،</w:t>
      </w:r>
      <w:r w:rsidRPr="005675B2">
        <w:rPr>
          <w:rFonts w:hint="cs"/>
          <w:rtl/>
        </w:rPr>
        <w:t xml:space="preserve"> ولاحظ أخي - رعاك الله - قوله تعالى (</w:t>
      </w:r>
      <w:r w:rsidR="000636C2">
        <w:rPr>
          <w:rFonts w:hint="cs"/>
          <w:rtl/>
        </w:rPr>
        <w:t>(</w:t>
      </w:r>
      <w:r w:rsidRPr="005675B2">
        <w:rPr>
          <w:rFonts w:hint="cs"/>
          <w:rtl/>
        </w:rPr>
        <w:t xml:space="preserve">وماكان </w:t>
      </w:r>
      <w:r w:rsidRPr="005675B2">
        <w:rPr>
          <w:rFonts w:hint="cs"/>
          <w:u w:val="single"/>
          <w:rtl/>
        </w:rPr>
        <w:t xml:space="preserve">معه </w:t>
      </w:r>
      <w:r w:rsidRPr="005675B2">
        <w:rPr>
          <w:rFonts w:hint="cs"/>
          <w:rtl/>
        </w:rPr>
        <w:t xml:space="preserve">من إله إذاً لذهب </w:t>
      </w:r>
      <w:r w:rsidRPr="005675B2">
        <w:rPr>
          <w:rFonts w:hint="cs"/>
          <w:u w:val="single"/>
          <w:rtl/>
        </w:rPr>
        <w:t>كل إله بماخلق</w:t>
      </w:r>
      <w:r w:rsidR="000636C2">
        <w:rPr>
          <w:rFonts w:hint="cs"/>
          <w:u w:val="single"/>
          <w:rtl/>
        </w:rPr>
        <w:t>)</w:t>
      </w:r>
      <w:r w:rsidR="000636C2">
        <w:rPr>
          <w:rFonts w:hint="cs"/>
          <w:rtl/>
        </w:rPr>
        <w:t xml:space="preserve">، </w:t>
      </w:r>
      <w:r w:rsidRPr="005675B2">
        <w:rPr>
          <w:rFonts w:hint="cs"/>
          <w:rtl/>
        </w:rPr>
        <w:t>هل تتصور أن المولى عزوجل يخاطبهم بأمور لم تقع منهم، بل ويدلل ببرهان التمانع على عقائد لم يعتقدوها</w:t>
      </w:r>
      <w:r w:rsidR="000636C2">
        <w:rPr>
          <w:rFonts w:hint="cs"/>
          <w:rtl/>
        </w:rPr>
        <w:t>!</w:t>
      </w:r>
      <w:r w:rsidRPr="005675B2">
        <w:rPr>
          <w:rFonts w:hint="cs"/>
          <w:rtl/>
        </w:rPr>
        <w:t>!سبحانه وتعالى عن ذلك</w:t>
      </w:r>
      <w:r w:rsidR="000636C2">
        <w:rPr>
          <w:rFonts w:hint="cs"/>
          <w:rtl/>
        </w:rPr>
        <w:t>،</w:t>
      </w:r>
      <w:r w:rsidRPr="005675B2">
        <w:rPr>
          <w:rFonts w:hint="cs"/>
          <w:rtl/>
        </w:rPr>
        <w:t xml:space="preserve"> </w:t>
      </w:r>
      <w:r w:rsidR="000636C2">
        <w:rPr>
          <w:rFonts w:hint="cs"/>
          <w:rtl/>
        </w:rPr>
        <w:t>(</w:t>
      </w:r>
      <w:r w:rsidRPr="005675B2">
        <w:rPr>
          <w:rFonts w:hint="cs"/>
          <w:rtl/>
        </w:rPr>
        <w:t>معنى التمانع كون كل إله يذهب بماخلق</w:t>
      </w:r>
      <w:r w:rsidR="000636C2">
        <w:rPr>
          <w:rFonts w:hint="cs"/>
          <w:rtl/>
        </w:rPr>
        <w:t xml:space="preserve">)، </w:t>
      </w:r>
      <w:r w:rsidRPr="005675B2">
        <w:rPr>
          <w:rFonts w:hint="cs"/>
          <w:rtl/>
        </w:rPr>
        <w:t>فكفار قريش يعتقدون بوجود شركاء لله في الخالقية</w:t>
      </w:r>
      <w:r w:rsidR="000636C2">
        <w:rPr>
          <w:rFonts w:hint="cs"/>
          <w:rtl/>
        </w:rPr>
        <w:t>،</w:t>
      </w:r>
      <w:r w:rsidRPr="005675B2">
        <w:rPr>
          <w:rFonts w:hint="cs"/>
          <w:rtl/>
        </w:rPr>
        <w:t xml:space="preserve"> ويعتقدون أن الله الخالق سبحانه وتعالى والأمر </w:t>
      </w:r>
      <w:r w:rsidRPr="005675B2">
        <w:rPr>
          <w:rFonts w:hint="cs"/>
          <w:u w:val="single"/>
          <w:rtl/>
        </w:rPr>
        <w:t>جلي لمن تبصر</w:t>
      </w:r>
      <w:r w:rsidR="000636C2">
        <w:rPr>
          <w:rFonts w:hint="cs"/>
          <w:u w:val="single"/>
          <w:rtl/>
        </w:rPr>
        <w:t xml:space="preserve"> </w:t>
      </w:r>
      <w:r w:rsidRPr="005675B2">
        <w:rPr>
          <w:rFonts w:hint="cs"/>
          <w:u w:val="single"/>
          <w:rtl/>
        </w:rPr>
        <w:t>ففيه ثلاث</w:t>
      </w:r>
      <w:r w:rsidR="000636C2">
        <w:rPr>
          <w:rFonts w:hint="cs"/>
          <w:u w:val="single"/>
          <w:rtl/>
        </w:rPr>
        <w:t xml:space="preserve"> </w:t>
      </w:r>
      <w:r w:rsidRPr="005675B2">
        <w:rPr>
          <w:rFonts w:hint="cs"/>
          <w:u w:val="single"/>
          <w:rtl/>
        </w:rPr>
        <w:t>نقاط</w:t>
      </w:r>
      <w:r w:rsidR="000636C2">
        <w:rPr>
          <w:rFonts w:hint="cs"/>
          <w:u w:val="single"/>
          <w:rtl/>
        </w:rPr>
        <w:t xml:space="preserve">: </w:t>
      </w:r>
      <w:r w:rsidRPr="005675B2">
        <w:rPr>
          <w:rFonts w:hint="cs"/>
          <w:rtl/>
        </w:rPr>
        <w:t>الأولى</w:t>
      </w:r>
      <w:r w:rsidR="000636C2">
        <w:rPr>
          <w:rFonts w:hint="cs"/>
          <w:rtl/>
        </w:rPr>
        <w:t>:</w:t>
      </w:r>
      <w:r w:rsidRPr="005675B2">
        <w:rPr>
          <w:rFonts w:hint="cs"/>
          <w:rtl/>
        </w:rPr>
        <w:t xml:space="preserve"> اعترافهم</w:t>
      </w:r>
      <w:r w:rsidR="000636C2">
        <w:rPr>
          <w:rFonts w:hint="cs"/>
          <w:rtl/>
        </w:rPr>
        <w:t xml:space="preserve"> </w:t>
      </w:r>
      <w:r w:rsidRPr="005675B2">
        <w:rPr>
          <w:rFonts w:hint="cs"/>
          <w:rtl/>
        </w:rPr>
        <w:t>أن الله مدبر، متصرف</w:t>
      </w:r>
      <w:r w:rsidR="000636C2">
        <w:rPr>
          <w:rFonts w:hint="cs"/>
          <w:rtl/>
        </w:rPr>
        <w:t>،</w:t>
      </w:r>
      <w:r w:rsidRPr="005675B2">
        <w:rPr>
          <w:rFonts w:hint="cs"/>
          <w:rtl/>
        </w:rPr>
        <w:t xml:space="preserve"> رازق، خالق</w:t>
      </w:r>
      <w:r w:rsidR="000636C2">
        <w:rPr>
          <w:rFonts w:hint="cs"/>
          <w:rtl/>
        </w:rPr>
        <w:t>،</w:t>
      </w:r>
      <w:r w:rsidRPr="005675B2">
        <w:rPr>
          <w:rFonts w:hint="cs"/>
          <w:rtl/>
        </w:rPr>
        <w:t xml:space="preserve"> فهم مقرون به</w:t>
      </w:r>
      <w:r w:rsidR="000636C2">
        <w:rPr>
          <w:rFonts w:hint="cs"/>
          <w:rtl/>
        </w:rPr>
        <w:t>:</w:t>
      </w:r>
      <w:r w:rsidRPr="005675B2">
        <w:rPr>
          <w:rFonts w:hint="cs"/>
          <w:rtl/>
        </w:rPr>
        <w:t xml:space="preserve"> وهم بذلك يفترقون عن من ينكر ربوبية الله مطلقاً</w:t>
      </w:r>
      <w:r w:rsidR="000636C2">
        <w:rPr>
          <w:rFonts w:hint="cs"/>
          <w:rtl/>
        </w:rPr>
        <w:t>،</w:t>
      </w:r>
      <w:r w:rsidRPr="005675B2">
        <w:rPr>
          <w:rFonts w:hint="cs"/>
          <w:rtl/>
        </w:rPr>
        <w:t xml:space="preserve"> قال تعالى (</w:t>
      </w:r>
      <w:r w:rsidR="000636C2">
        <w:rPr>
          <w:rFonts w:hint="cs"/>
          <w:rtl/>
        </w:rPr>
        <w:t>(</w:t>
      </w:r>
      <w:r w:rsidRPr="005675B2">
        <w:rPr>
          <w:rFonts w:hint="cs"/>
          <w:rtl/>
        </w:rPr>
        <w:t>ولئن سألتهم من خلق السماوات والأرض ليقولن الله</w:t>
      </w:r>
      <w:r w:rsidR="000636C2">
        <w:rPr>
          <w:rFonts w:hint="cs"/>
          <w:rtl/>
        </w:rPr>
        <w:t>)</w:t>
      </w:r>
      <w:r w:rsidRPr="005675B2">
        <w:rPr>
          <w:rFonts w:hint="cs"/>
          <w:rtl/>
        </w:rPr>
        <w:t>)</w:t>
      </w:r>
      <w:r w:rsidR="000636C2">
        <w:rPr>
          <w:rFonts w:hint="cs"/>
          <w:rtl/>
        </w:rPr>
        <w:t xml:space="preserve">، </w:t>
      </w:r>
      <w:r w:rsidRPr="005675B2">
        <w:rPr>
          <w:rFonts w:hint="cs"/>
          <w:rtl/>
        </w:rPr>
        <w:t>الثانية</w:t>
      </w:r>
      <w:r w:rsidR="000636C2">
        <w:rPr>
          <w:rFonts w:hint="cs"/>
          <w:rtl/>
        </w:rPr>
        <w:t>:</w:t>
      </w:r>
      <w:r w:rsidRPr="005675B2">
        <w:rPr>
          <w:rFonts w:hint="cs"/>
          <w:rtl/>
        </w:rPr>
        <w:t xml:space="preserve"> اعتقاد وجود الشركاء لله ولو في بعض أفعاله </w:t>
      </w:r>
      <w:r w:rsidR="000636C2">
        <w:rPr>
          <w:rFonts w:hint="cs"/>
          <w:rtl/>
        </w:rPr>
        <w:t>(</w:t>
      </w:r>
      <w:r w:rsidRPr="005675B2">
        <w:rPr>
          <w:rFonts w:hint="cs"/>
          <w:rtl/>
        </w:rPr>
        <w:t>ربوبيته</w:t>
      </w:r>
      <w:r w:rsidR="000636C2">
        <w:rPr>
          <w:rFonts w:hint="cs"/>
          <w:rtl/>
        </w:rPr>
        <w:t>)،</w:t>
      </w:r>
      <w:r w:rsidRPr="005675B2">
        <w:rPr>
          <w:rFonts w:hint="cs"/>
          <w:rtl/>
        </w:rPr>
        <w:t>وهم يعتقدون ذلك ولذا فهم بذلك يفارقون من يعتقد أنه لا شريك له في ذلك</w:t>
      </w:r>
      <w:r w:rsidR="000636C2">
        <w:rPr>
          <w:rFonts w:hint="cs"/>
          <w:rtl/>
        </w:rPr>
        <w:t>،</w:t>
      </w:r>
      <w:r w:rsidRPr="005675B2">
        <w:rPr>
          <w:rFonts w:hint="cs"/>
          <w:rtl/>
        </w:rPr>
        <w:t xml:space="preserve"> وقد ذكر الله زعمهم ورد عليه بصريح قوله تعالى (</w:t>
      </w:r>
      <w:r w:rsidR="000636C2">
        <w:rPr>
          <w:rFonts w:hint="cs"/>
          <w:rtl/>
        </w:rPr>
        <w:t>(</w:t>
      </w:r>
      <w:r w:rsidRPr="005675B2">
        <w:rPr>
          <w:rFonts w:hint="cs"/>
          <w:rtl/>
        </w:rPr>
        <w:t xml:space="preserve">بل أتيناهم بالحق وإنهم لكاذبون 90 ما اتخذ الله من ولد وماكان </w:t>
      </w:r>
      <w:r w:rsidRPr="005675B2">
        <w:rPr>
          <w:rFonts w:hint="cs"/>
          <w:u w:val="single"/>
          <w:rtl/>
        </w:rPr>
        <w:t xml:space="preserve">معه </w:t>
      </w:r>
      <w:r w:rsidRPr="005675B2">
        <w:rPr>
          <w:rFonts w:hint="cs"/>
          <w:rtl/>
        </w:rPr>
        <w:t xml:space="preserve">من إله إذاً لذهب </w:t>
      </w:r>
      <w:r w:rsidRPr="005675B2">
        <w:rPr>
          <w:rFonts w:hint="cs"/>
          <w:u w:val="single"/>
          <w:rtl/>
        </w:rPr>
        <w:t>كل إله بماخلق</w:t>
      </w:r>
      <w:r w:rsidRPr="005675B2">
        <w:rPr>
          <w:rFonts w:hint="cs"/>
          <w:rtl/>
        </w:rPr>
        <w:t xml:space="preserve"> ولعلا بعضهم على بعض سبحان الله عما يصفون 91 عالم الغيب والشهادة فتعالى عما </w:t>
      </w:r>
      <w:r w:rsidRPr="005675B2">
        <w:rPr>
          <w:rFonts w:hint="cs"/>
          <w:u w:val="single"/>
          <w:rtl/>
        </w:rPr>
        <w:t>يشركون</w:t>
      </w:r>
      <w:r w:rsidRPr="005675B2">
        <w:rPr>
          <w:rFonts w:hint="cs"/>
          <w:rtl/>
        </w:rPr>
        <w:t xml:space="preserve"> 92</w:t>
      </w:r>
      <w:r w:rsidR="000636C2">
        <w:rPr>
          <w:rFonts w:hint="cs"/>
          <w:rtl/>
        </w:rPr>
        <w:t>)</w:t>
      </w:r>
      <w:r w:rsidRPr="005675B2">
        <w:rPr>
          <w:rFonts w:hint="cs"/>
          <w:rtl/>
        </w:rPr>
        <w:t>)</w:t>
      </w:r>
      <w:r w:rsidR="000636C2">
        <w:rPr>
          <w:rFonts w:hint="cs"/>
          <w:rtl/>
        </w:rPr>
        <w:t>،</w:t>
      </w:r>
      <w:r w:rsidRPr="005675B2">
        <w:rPr>
          <w:rFonts w:hint="cs"/>
          <w:rtl/>
        </w:rPr>
        <w:t xml:space="preserve"> الثالثة</w:t>
      </w:r>
      <w:r w:rsidR="000636C2">
        <w:rPr>
          <w:rFonts w:hint="cs"/>
          <w:rtl/>
        </w:rPr>
        <w:t>:</w:t>
      </w:r>
      <w:r w:rsidRPr="005675B2">
        <w:rPr>
          <w:rFonts w:hint="cs"/>
          <w:rtl/>
        </w:rPr>
        <w:t xml:space="preserve"> أن هذا الاعتراف منهم، أو المعرفة، لا يعني أنهم موحدون في الربوبية لأن التصديق والإذعان غير متوفر فيهم فكيف نقول أنهم موحدون</w:t>
      </w:r>
      <w:r w:rsidR="000636C2">
        <w:rPr>
          <w:rFonts w:hint="cs"/>
          <w:rtl/>
        </w:rPr>
        <w:t>؟</w:t>
      </w:r>
      <w:r w:rsidRPr="005675B2">
        <w:rPr>
          <w:rFonts w:hint="cs"/>
          <w:rtl/>
        </w:rPr>
        <w:t xml:space="preserve"> وأي توحيد هذا</w:t>
      </w:r>
      <w:r w:rsidR="000636C2">
        <w:rPr>
          <w:rFonts w:hint="cs"/>
          <w:rtl/>
        </w:rPr>
        <w:t xml:space="preserve">؟ </w:t>
      </w:r>
      <w:r w:rsidRPr="005675B2">
        <w:rPr>
          <w:rFonts w:hint="cs"/>
          <w:rtl/>
        </w:rPr>
        <w:t>النتيجة</w:t>
      </w:r>
      <w:r w:rsidR="000636C2">
        <w:rPr>
          <w:rFonts w:hint="cs"/>
          <w:rtl/>
        </w:rPr>
        <w:t>:</w:t>
      </w:r>
      <w:r w:rsidRPr="005675B2">
        <w:rPr>
          <w:rFonts w:hint="cs"/>
          <w:rtl/>
        </w:rPr>
        <w:t xml:space="preserve"> أن كفار قريش لم يوحدوا في الربوبية</w:t>
      </w:r>
      <w:r w:rsidR="000636C2">
        <w:rPr>
          <w:rFonts w:hint="cs"/>
          <w:rtl/>
        </w:rPr>
        <w:t>،</w:t>
      </w:r>
      <w:r w:rsidRPr="005675B2">
        <w:rPr>
          <w:rFonts w:hint="cs"/>
          <w:rtl/>
        </w:rPr>
        <w:t xml:space="preserve"> وعليه</w:t>
      </w:r>
      <w:r w:rsidR="000636C2">
        <w:rPr>
          <w:rFonts w:hint="cs"/>
          <w:rtl/>
        </w:rPr>
        <w:t xml:space="preserve"> </w:t>
      </w:r>
      <w:r w:rsidRPr="005675B2">
        <w:rPr>
          <w:rFonts w:hint="cs"/>
          <w:rtl/>
        </w:rPr>
        <w:t>فالشهادة لهم بذلك خطأ واضح</w:t>
      </w:r>
      <w:r w:rsidR="000636C2">
        <w:rPr>
          <w:rFonts w:hint="cs"/>
          <w:rtl/>
        </w:rPr>
        <w:t>،</w:t>
      </w:r>
      <w:r w:rsidRPr="005675B2">
        <w:rPr>
          <w:rFonts w:hint="cs"/>
          <w:rtl/>
        </w:rPr>
        <w:t>فكيف بتقرير ذلك</w:t>
      </w:r>
      <w:r w:rsidR="000636C2">
        <w:rPr>
          <w:rFonts w:hint="cs"/>
          <w:rtl/>
        </w:rPr>
        <w:t>،</w:t>
      </w:r>
      <w:r w:rsidRPr="005675B2">
        <w:rPr>
          <w:rFonts w:hint="cs"/>
          <w:rtl/>
        </w:rPr>
        <w:t xml:space="preserve"> و نشره</w:t>
      </w:r>
      <w:r w:rsidR="000636C2">
        <w:rPr>
          <w:rFonts w:hint="cs"/>
          <w:rtl/>
        </w:rPr>
        <w:t>،</w:t>
      </w:r>
      <w:r w:rsidRPr="005675B2">
        <w:rPr>
          <w:rFonts w:hint="cs"/>
          <w:rtl/>
        </w:rPr>
        <w:t xml:space="preserve"> والتقليد فيه أليس في هذا بعد</w:t>
      </w:r>
      <w:r w:rsidR="000636C2">
        <w:rPr>
          <w:rFonts w:hint="cs"/>
          <w:rtl/>
        </w:rPr>
        <w:t xml:space="preserve"> </w:t>
      </w:r>
      <w:r w:rsidRPr="005675B2">
        <w:rPr>
          <w:rFonts w:hint="cs"/>
          <w:rtl/>
        </w:rPr>
        <w:t>عن الصواب ؛ شاب عليه الكهل من أهل العلم ونشأ عليه الشباب</w:t>
      </w:r>
      <w:r w:rsidR="000636C2">
        <w:rPr>
          <w:rFonts w:hint="cs"/>
          <w:rtl/>
        </w:rPr>
        <w:t>؟!</w:t>
      </w:r>
      <w:r w:rsidRPr="005675B2">
        <w:rPr>
          <w:rFonts w:hint="cs"/>
          <w:rtl/>
        </w:rPr>
        <w:t>! فنسأل الله أن يهدي</w:t>
      </w:r>
      <w:r w:rsidR="000636C2">
        <w:rPr>
          <w:rFonts w:hint="cs"/>
          <w:rtl/>
        </w:rPr>
        <w:t xml:space="preserve"> </w:t>
      </w:r>
      <w:r w:rsidRPr="005675B2">
        <w:rPr>
          <w:rFonts w:hint="cs"/>
          <w:rtl/>
        </w:rPr>
        <w:t>من</w:t>
      </w:r>
      <w:r w:rsidR="000636C2">
        <w:rPr>
          <w:rFonts w:hint="cs"/>
          <w:rtl/>
        </w:rPr>
        <w:t xml:space="preserve"> </w:t>
      </w:r>
      <w:r w:rsidRPr="005675B2">
        <w:rPr>
          <w:rFonts w:hint="cs"/>
          <w:rtl/>
        </w:rPr>
        <w:t>يقرر ذلك أويشهد به لهم</w:t>
      </w:r>
      <w:r w:rsidR="000636C2">
        <w:rPr>
          <w:rFonts w:hint="cs"/>
          <w:rtl/>
        </w:rPr>
        <w:t xml:space="preserve"> </w:t>
      </w:r>
      <w:r w:rsidRPr="005675B2">
        <w:rPr>
          <w:rFonts w:hint="cs"/>
          <w:rtl/>
        </w:rPr>
        <w:t>وأن يتوب علينا وعليه</w:t>
      </w:r>
      <w:r w:rsidR="000636C2">
        <w:rPr>
          <w:rFonts w:hint="cs"/>
          <w:rtl/>
        </w:rPr>
        <w:t>،</w:t>
      </w:r>
    </w:p>
    <w:p w14:paraId="60AB2B2A" w14:textId="5052F0AB"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تفرع على التقعيد الأول - وهو اعتقاد أن الكفار قد وحدوا في الربوبية - اعتقاد آخر وهو أن الرسل عليهم الصلاة والسلام لم يبعثهم الله لتوحيد الربوبية</w:t>
      </w:r>
      <w:r>
        <w:rPr>
          <w:rFonts w:hint="cs"/>
          <w:rtl/>
        </w:rPr>
        <w:t>،</w:t>
      </w:r>
      <w:r w:rsidR="009C32A0" w:rsidRPr="005675B2">
        <w:rPr>
          <w:rFonts w:hint="cs"/>
          <w:rtl/>
        </w:rPr>
        <w:t>وإنما بعثهم لتوحيد العبادة لأن الناس على التوحيد الحق في الربوبية</w:t>
      </w:r>
      <w:r>
        <w:rPr>
          <w:rFonts w:hint="cs"/>
          <w:rtl/>
        </w:rPr>
        <w:t>،!</w:t>
      </w:r>
      <w:r w:rsidR="009C32A0" w:rsidRPr="005675B2">
        <w:rPr>
          <w:rFonts w:hint="cs"/>
          <w:rtl/>
        </w:rPr>
        <w:t>!وهذا باطل بما سبق .. .. أهـ</w:t>
      </w:r>
      <w:r>
        <w:rPr>
          <w:rFonts w:hint="cs"/>
          <w:rtl/>
        </w:rPr>
        <w:t xml:space="preserve"> </w:t>
      </w:r>
      <w:r w:rsidR="009C32A0" w:rsidRPr="005675B2">
        <w:rPr>
          <w:rFonts w:hint="cs"/>
          <w:rtl/>
        </w:rPr>
        <w:t>وبه تعلم أن تقرير التوحيد الذي تدّعونه غير صحيح</w:t>
      </w:r>
      <w:r>
        <w:rPr>
          <w:rFonts w:hint="cs"/>
          <w:rtl/>
        </w:rPr>
        <w:t>،</w:t>
      </w:r>
      <w:r w:rsidR="009C32A0" w:rsidRPr="005675B2">
        <w:rPr>
          <w:rFonts w:hint="cs"/>
          <w:rtl/>
        </w:rPr>
        <w:t xml:space="preserve"> و توحيد الألوهية وتوحيد الربوبية بينهما تلازم في الاصطلاح</w:t>
      </w:r>
      <w:r w:rsidR="009C32A0" w:rsidRPr="005675B2">
        <w:rPr>
          <w:rFonts w:hint="cs"/>
        </w:rPr>
        <w:t xml:space="preserve"> </w:t>
      </w:r>
      <w:r w:rsidR="009C32A0" w:rsidRPr="005675B2">
        <w:rPr>
          <w:rFonts w:hint="cs"/>
          <w:rtl/>
        </w:rPr>
        <w:t>الشرعي</w:t>
      </w:r>
      <w:r>
        <w:rPr>
          <w:rFonts w:hint="cs"/>
          <w:rtl/>
        </w:rPr>
        <w:t>،</w:t>
      </w:r>
      <w:r w:rsidR="009C32A0" w:rsidRPr="005675B2">
        <w:rPr>
          <w:rFonts w:hint="cs"/>
          <w:rtl/>
        </w:rPr>
        <w:t xml:space="preserve"> وكل هذا الخبط الذي يقوم به الشيخ الحوالي</w:t>
      </w:r>
      <w:r>
        <w:rPr>
          <w:rFonts w:hint="cs"/>
          <w:rtl/>
        </w:rPr>
        <w:t>،</w:t>
      </w:r>
      <w:r w:rsidR="009C32A0" w:rsidRPr="005675B2">
        <w:rPr>
          <w:rFonts w:hint="cs"/>
          <w:rtl/>
        </w:rPr>
        <w:t xml:space="preserve"> والموجان وغيرهما</w:t>
      </w:r>
      <w:r>
        <w:rPr>
          <w:rFonts w:hint="cs"/>
          <w:rtl/>
        </w:rPr>
        <w:t>،</w:t>
      </w:r>
      <w:r w:rsidR="009C32A0" w:rsidRPr="005675B2">
        <w:rPr>
          <w:rFonts w:hint="cs"/>
          <w:rtl/>
        </w:rPr>
        <w:t xml:space="preserve"> غلط في التقسيم، وقولهم إن المشركين</w:t>
      </w:r>
      <w:r w:rsidR="009C32A0" w:rsidRPr="005675B2">
        <w:rPr>
          <w:rFonts w:hint="cs"/>
        </w:rPr>
        <w:t xml:space="preserve"> </w:t>
      </w:r>
      <w:r w:rsidR="009C32A0" w:rsidRPr="005675B2">
        <w:rPr>
          <w:rFonts w:hint="cs"/>
          <w:rtl/>
        </w:rPr>
        <w:t>كانوا موحدين توحيد الربوبية دون توحيد الألوهية جهل بحقيقة اعتقاد المشركين</w:t>
      </w:r>
      <w:r>
        <w:rPr>
          <w:rFonts w:hint="cs"/>
          <w:rtl/>
        </w:rPr>
        <w:t>،</w:t>
      </w:r>
      <w:r w:rsidR="009C32A0" w:rsidRPr="005675B2">
        <w:rPr>
          <w:rFonts w:hint="cs"/>
          <w:rtl/>
        </w:rPr>
        <w:t xml:space="preserve"> غفر الله لنا</w:t>
      </w:r>
      <w:r>
        <w:rPr>
          <w:rFonts w:hint="cs"/>
          <w:rtl/>
        </w:rPr>
        <w:t xml:space="preserve"> </w:t>
      </w:r>
      <w:r w:rsidR="009C32A0" w:rsidRPr="005675B2">
        <w:rPr>
          <w:rFonts w:hint="cs"/>
          <w:rtl/>
        </w:rPr>
        <w:t>ولهم</w:t>
      </w:r>
      <w:r>
        <w:rPr>
          <w:rFonts w:hint="cs"/>
          <w:rtl/>
        </w:rPr>
        <w:t>،</w:t>
      </w:r>
      <w:r w:rsidR="009C32A0" w:rsidRPr="005675B2">
        <w:rPr>
          <w:rFonts w:hint="cs"/>
          <w:rtl/>
        </w:rPr>
        <w:t xml:space="preserve"> </w:t>
      </w:r>
    </w:p>
    <w:p w14:paraId="21A3E238" w14:textId="03328A62"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أما الأشاعرة</w:t>
      </w:r>
      <w:r w:rsidRPr="005675B2">
        <w:rPr>
          <w:rFonts w:hint="cs"/>
        </w:rPr>
        <w:t xml:space="preserve"> </w:t>
      </w:r>
      <w:r w:rsidRPr="005675B2">
        <w:rPr>
          <w:rFonts w:hint="cs"/>
          <w:rtl/>
        </w:rPr>
        <w:t>قدماؤهم ومعاصروهم فالتوحيد عندهم هو نفي التثنية أو التعدد ونفي التبعيض والتركيب</w:t>
      </w:r>
      <w:r w:rsidRPr="005675B2">
        <w:rPr>
          <w:rFonts w:hint="cs"/>
        </w:rPr>
        <w:t xml:space="preserve"> </w:t>
      </w:r>
      <w:r w:rsidRPr="005675B2">
        <w:rPr>
          <w:rFonts w:hint="cs"/>
          <w:rtl/>
        </w:rPr>
        <w:t>والتجزئة أي حسب تعبيرهم</w:t>
      </w:r>
      <w:r w:rsidRPr="005675B2">
        <w:rPr>
          <w:rFonts w:hint="cs"/>
        </w:rPr>
        <w:t xml:space="preserve"> </w:t>
      </w:r>
      <w:r w:rsidRPr="005675B2">
        <w:rPr>
          <w:rFonts w:hint="cs"/>
          <w:rtl/>
        </w:rPr>
        <w:t>"</w:t>
      </w:r>
      <w:r w:rsidRPr="005675B2">
        <w:rPr>
          <w:rFonts w:hint="cs"/>
        </w:rPr>
        <w:t xml:space="preserve"> </w:t>
      </w:r>
      <w:r w:rsidRPr="005675B2">
        <w:rPr>
          <w:rFonts w:hint="cs"/>
          <w:rtl/>
        </w:rPr>
        <w:t>نفي الكمية المتصلة</w:t>
      </w:r>
      <w:r w:rsidRPr="005675B2">
        <w:rPr>
          <w:rFonts w:hint="cs"/>
        </w:rPr>
        <w:t xml:space="preserve"> </w:t>
      </w:r>
      <w:r w:rsidRPr="005675B2">
        <w:rPr>
          <w:rFonts w:hint="cs"/>
          <w:rtl/>
        </w:rPr>
        <w:t>والكمية المنفصلة</w:t>
      </w:r>
      <w:r w:rsidRPr="005675B2">
        <w:rPr>
          <w:rFonts w:hint="cs"/>
        </w:rPr>
        <w:t xml:space="preserve"> </w:t>
      </w:r>
      <w:r w:rsidRPr="005675B2">
        <w:rPr>
          <w:rFonts w:hint="cs"/>
          <w:rtl/>
        </w:rPr>
        <w:t>"</w:t>
      </w:r>
      <w:r w:rsidR="000636C2">
        <w:rPr>
          <w:rFonts w:hint="cs"/>
          <w:rtl/>
        </w:rPr>
        <w:t>)</w:t>
      </w:r>
    </w:p>
    <w:p w14:paraId="272A50C4" w14:textId="48CB1283" w:rsidR="009C32A0" w:rsidRPr="005675B2" w:rsidRDefault="000636C2" w:rsidP="000636C2">
      <w:pPr>
        <w:rPr>
          <w:b/>
          <w:rtl/>
        </w:rPr>
      </w:pPr>
      <w:r>
        <w:rPr>
          <w:rFonts w:hint="cs"/>
          <w:rtl/>
        </w:rPr>
        <w:t>(</w:t>
      </w:r>
      <w:r w:rsidR="009C32A0">
        <w:rPr>
          <w:rFonts w:hint="cs"/>
          <w:rtl/>
        </w:rPr>
        <w:t>أولا</w:t>
      </w:r>
      <w:r>
        <w:rPr>
          <w:rFonts w:hint="cs"/>
          <w:rtl/>
        </w:rPr>
        <w:t xml:space="preserve">): </w:t>
      </w:r>
      <w:r w:rsidR="009C32A0" w:rsidRPr="005675B2">
        <w:rPr>
          <w:rFonts w:hint="cs"/>
          <w:rtl/>
        </w:rPr>
        <w:t>الوحدانية</w:t>
      </w:r>
      <w:r>
        <w:rPr>
          <w:rFonts w:hint="cs"/>
          <w:rtl/>
        </w:rPr>
        <w:t>:</w:t>
      </w:r>
      <w:r w:rsidR="009C32A0" w:rsidRPr="005675B2">
        <w:rPr>
          <w:rFonts w:hint="cs"/>
          <w:rtl/>
        </w:rPr>
        <w:t xml:space="preserve"> هي صفة الله سبحانه وتعالى،</w:t>
      </w:r>
      <w:r w:rsidR="009C32A0" w:rsidRPr="005675B2">
        <w:rPr>
          <w:rFonts w:hint="cs"/>
        </w:rPr>
        <w:t xml:space="preserve"> </w:t>
      </w:r>
      <w:r w:rsidR="009C32A0" w:rsidRPr="005675B2">
        <w:rPr>
          <w:rFonts w:hint="cs"/>
          <w:rtl/>
        </w:rPr>
        <w:t>ومعناها انتفاء التعدد في ذاته تعالى، وصفاته، وأفعاله</w:t>
      </w:r>
      <w:r>
        <w:rPr>
          <w:rFonts w:hint="cs"/>
          <w:rtl/>
        </w:rPr>
        <w:t>،</w:t>
      </w:r>
      <w:r w:rsidR="009C32A0" w:rsidRPr="005675B2">
        <w:rPr>
          <w:rFonts w:hint="cs"/>
          <w:rtl/>
        </w:rPr>
        <w:t xml:space="preserve"> فهو سبحانه لا شبيه له</w:t>
      </w:r>
      <w:r>
        <w:rPr>
          <w:rFonts w:hint="cs"/>
          <w:rtl/>
        </w:rPr>
        <w:t>،</w:t>
      </w:r>
      <w:r w:rsidR="009C32A0" w:rsidRPr="005675B2">
        <w:rPr>
          <w:rFonts w:hint="cs"/>
          <w:rtl/>
        </w:rPr>
        <w:t xml:space="preserve"> و لاشريك له في</w:t>
      </w:r>
      <w:r w:rsidR="009C32A0" w:rsidRPr="005675B2">
        <w:rPr>
          <w:rFonts w:hint="cs"/>
        </w:rPr>
        <w:t xml:space="preserve"> </w:t>
      </w:r>
      <w:r w:rsidR="009C32A0" w:rsidRPr="005675B2">
        <w:rPr>
          <w:rFonts w:hint="cs"/>
          <w:rtl/>
        </w:rPr>
        <w:t>ذاته</w:t>
      </w:r>
      <w:r>
        <w:rPr>
          <w:rFonts w:hint="cs"/>
          <w:rtl/>
        </w:rPr>
        <w:t>،</w:t>
      </w:r>
      <w:r w:rsidR="009C32A0" w:rsidRPr="005675B2">
        <w:rPr>
          <w:rFonts w:hint="cs"/>
          <w:rtl/>
        </w:rPr>
        <w:t xml:space="preserve"> ولا في صفاته</w:t>
      </w:r>
      <w:r>
        <w:rPr>
          <w:rFonts w:hint="cs"/>
          <w:rtl/>
        </w:rPr>
        <w:t>،</w:t>
      </w:r>
      <w:r w:rsidR="009C32A0" w:rsidRPr="005675B2">
        <w:rPr>
          <w:rFonts w:hint="cs"/>
          <w:rtl/>
        </w:rPr>
        <w:t xml:space="preserve"> ولا في أفعاله</w:t>
      </w:r>
      <w:r>
        <w:rPr>
          <w:rFonts w:hint="cs"/>
          <w:rtl/>
        </w:rPr>
        <w:t>،</w:t>
      </w:r>
      <w:r w:rsidR="009C32A0" w:rsidRPr="005675B2">
        <w:rPr>
          <w:rFonts w:hint="cs"/>
          <w:rtl/>
        </w:rPr>
        <w:t xml:space="preserve"> فهذا</w:t>
      </w:r>
      <w:r>
        <w:rPr>
          <w:rFonts w:hint="cs"/>
          <w:rtl/>
        </w:rPr>
        <w:t xml:space="preserve"> </w:t>
      </w:r>
      <w:r w:rsidR="009C32A0" w:rsidRPr="005675B2">
        <w:rPr>
          <w:rFonts w:hint="cs"/>
          <w:rtl/>
        </w:rPr>
        <w:t>هو نفي التثنية أو التعدد الذي يشنع عليه الكاتب</w:t>
      </w:r>
      <w:r>
        <w:rPr>
          <w:rFonts w:hint="cs"/>
          <w:rtl/>
        </w:rPr>
        <w:t>،</w:t>
      </w:r>
    </w:p>
    <w:p w14:paraId="1D69418D" w14:textId="12578CF2" w:rsidR="009C32A0" w:rsidRPr="005675B2" w:rsidRDefault="000636C2" w:rsidP="000636C2">
      <w:pPr>
        <w:rPr>
          <w:b/>
          <w:rtl/>
        </w:rPr>
      </w:pPr>
      <w:r>
        <w:rPr>
          <w:rFonts w:hint="cs"/>
          <w:rtl/>
        </w:rPr>
        <w:t>(</w:t>
      </w:r>
      <w:r w:rsidR="009C32A0">
        <w:rPr>
          <w:rFonts w:hint="cs"/>
          <w:rtl/>
        </w:rPr>
        <w:t>ثانيا</w:t>
      </w:r>
      <w:r>
        <w:rPr>
          <w:rFonts w:hint="cs"/>
          <w:rtl/>
        </w:rPr>
        <w:t>): (</w:t>
      </w:r>
      <w:r w:rsidR="009C32A0" w:rsidRPr="005675B2">
        <w:rPr>
          <w:rFonts w:hint="cs"/>
          <w:rtl/>
        </w:rPr>
        <w:t>التبعيض</w:t>
      </w:r>
      <w:r>
        <w:rPr>
          <w:rFonts w:hint="cs"/>
          <w:rtl/>
        </w:rPr>
        <w:t>):</w:t>
      </w:r>
      <w:r w:rsidR="009C32A0" w:rsidRPr="005675B2">
        <w:rPr>
          <w:rFonts w:hint="cs"/>
          <w:rtl/>
        </w:rPr>
        <w:t xml:space="preserve"> الأشاعرة وأهل السنة كلهم</w:t>
      </w:r>
      <w:r>
        <w:rPr>
          <w:rFonts w:hint="cs"/>
          <w:rtl/>
        </w:rPr>
        <w:t>،</w:t>
      </w:r>
      <w:r w:rsidR="009C32A0" w:rsidRPr="005675B2">
        <w:rPr>
          <w:rFonts w:hint="cs"/>
          <w:rtl/>
        </w:rPr>
        <w:t xml:space="preserve"> ينفون كون الله مركب من أبعاض وأعضاء، وأجزاء</w:t>
      </w:r>
      <w:r>
        <w:rPr>
          <w:rFonts w:hint="cs"/>
          <w:rtl/>
        </w:rPr>
        <w:t xml:space="preserve"> </w:t>
      </w:r>
      <w:r w:rsidR="009C32A0" w:rsidRPr="005675B2">
        <w:rPr>
          <w:rFonts w:hint="cs"/>
          <w:rtl/>
        </w:rPr>
        <w:t>- سبحانه جل شأنه - أما المشبهة فقالوا أنه مركب من أجزاء فقال الجواربي</w:t>
      </w:r>
      <w:r>
        <w:rPr>
          <w:rFonts w:hint="cs"/>
          <w:rtl/>
        </w:rPr>
        <w:t>:</w:t>
      </w:r>
      <w:r w:rsidR="009C32A0" w:rsidRPr="005675B2">
        <w:rPr>
          <w:rFonts w:hint="cs"/>
          <w:rtl/>
        </w:rPr>
        <w:t xml:space="preserve"> أنه جسم</w:t>
      </w:r>
      <w:r>
        <w:rPr>
          <w:rFonts w:hint="cs"/>
          <w:rtl/>
        </w:rPr>
        <w:t>،</w:t>
      </w:r>
      <w:r w:rsidR="009C32A0" w:rsidRPr="005675B2">
        <w:rPr>
          <w:rFonts w:hint="cs"/>
          <w:rtl/>
        </w:rPr>
        <w:t>ولحم ودم وله جوارح وأعضاء .. إلخ لذا فإن أهل السنة</w:t>
      </w:r>
      <w:r>
        <w:rPr>
          <w:rFonts w:hint="cs"/>
          <w:rtl/>
        </w:rPr>
        <w:t xml:space="preserve"> </w:t>
      </w:r>
      <w:r w:rsidR="009C32A0" w:rsidRPr="005675B2">
        <w:rPr>
          <w:rFonts w:hint="cs"/>
          <w:rtl/>
        </w:rPr>
        <w:t>ينفون التركيب لأنه تشبيه</w:t>
      </w:r>
      <w:r>
        <w:rPr>
          <w:rFonts w:hint="cs"/>
          <w:rtl/>
        </w:rPr>
        <w:t>،</w:t>
      </w:r>
      <w:r w:rsidR="009C32A0" w:rsidRPr="005675B2">
        <w:rPr>
          <w:rFonts w:hint="cs"/>
          <w:rtl/>
        </w:rPr>
        <w:t xml:space="preserve"> [</w:t>
      </w:r>
      <w:r w:rsidR="009C32A0" w:rsidRPr="005675B2">
        <w:rPr>
          <w:rFonts w:hint="cs"/>
          <w:bCs/>
          <w:sz w:val="24"/>
          <w:szCs w:val="24"/>
          <w:rtl/>
        </w:rPr>
        <w:t>راجع أقوال الجواربي في الملل والنحل 1/ 105 مبحث المشبهة</w:t>
      </w:r>
      <w:r>
        <w:rPr>
          <w:rFonts w:hint="cs"/>
          <w:bCs/>
          <w:sz w:val="24"/>
          <w:szCs w:val="24"/>
          <w:rtl/>
        </w:rPr>
        <w:t>]</w:t>
      </w:r>
    </w:p>
    <w:p w14:paraId="6A048999" w14:textId="3FEFFABF"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معنى </w:t>
      </w:r>
      <w:r w:rsidR="000636C2">
        <w:rPr>
          <w:rFonts w:hint="cs"/>
          <w:rtl/>
        </w:rPr>
        <w:t>(</w:t>
      </w:r>
      <w:r w:rsidRPr="005675B2">
        <w:rPr>
          <w:rFonts w:hint="cs"/>
          <w:rtl/>
        </w:rPr>
        <w:t>تنفي الكم المتصل والمنفصل</w:t>
      </w:r>
      <w:r w:rsidR="000636C2">
        <w:rPr>
          <w:rtl/>
        </w:rPr>
        <w:t>)</w:t>
      </w:r>
      <w:r w:rsidRPr="005675B2">
        <w:rPr>
          <w:rFonts w:hint="cs"/>
          <w:rtl/>
        </w:rPr>
        <w:t>معنى نفي الكم المتصل في الصفات</w:t>
      </w:r>
      <w:r w:rsidR="000636C2">
        <w:rPr>
          <w:rFonts w:hint="cs"/>
          <w:rtl/>
        </w:rPr>
        <w:t>:</w:t>
      </w:r>
      <w:r w:rsidRPr="005675B2">
        <w:rPr>
          <w:rFonts w:hint="cs"/>
          <w:rtl/>
        </w:rPr>
        <w:t>أنه ليس للإله من كل صفة من صفاته إلا صفة واحدة،</w:t>
      </w:r>
      <w:r w:rsidRPr="005675B2">
        <w:rPr>
          <w:rFonts w:hint="cs"/>
        </w:rPr>
        <w:t xml:space="preserve"> </w:t>
      </w:r>
      <w:r w:rsidRPr="005675B2">
        <w:rPr>
          <w:rFonts w:hint="cs"/>
          <w:rtl/>
        </w:rPr>
        <w:t>فليس له مثلاً إرادتان بل إرادة واحدة، وليس له قدرتان بل قدرة واحدة، وهكذا في كل</w:t>
      </w:r>
      <w:r w:rsidRPr="005675B2">
        <w:rPr>
          <w:rFonts w:hint="cs"/>
        </w:rPr>
        <w:t xml:space="preserve"> </w:t>
      </w:r>
      <w:r w:rsidRPr="005675B2">
        <w:rPr>
          <w:rFonts w:hint="cs"/>
          <w:rtl/>
        </w:rPr>
        <w:t>صفة من صفاته تعالى، ومع ذلك فإن إرادته تتعلق بجميع الممكنات، وقدرته كذلك، وعلمه</w:t>
      </w:r>
      <w:r w:rsidRPr="005675B2">
        <w:rPr>
          <w:rFonts w:hint="cs"/>
        </w:rPr>
        <w:t xml:space="preserve"> </w:t>
      </w:r>
      <w:r w:rsidRPr="005675B2">
        <w:rPr>
          <w:rFonts w:hint="cs"/>
          <w:rtl/>
        </w:rPr>
        <w:t>يتعلق بجميع المعلومات فالتعدد في متعلق الصفة لا في الصفة ذاتهاف</w:t>
      </w:r>
      <w:r w:rsidRPr="005675B2">
        <w:rPr>
          <w:rFonts w:hint="cs"/>
          <w:u w:val="single"/>
          <w:rtl/>
        </w:rPr>
        <w:t>التعدد في التعلقات لا يلزم منه التعدد في الصفات فالصفة واحدة ومتعلقاتها متعددة</w:t>
      </w:r>
      <w:r w:rsidR="000636C2">
        <w:rPr>
          <w:rFonts w:hint="cs"/>
          <w:u w:val="single"/>
          <w:rtl/>
        </w:rPr>
        <w:t xml:space="preserve">، </w:t>
      </w:r>
      <w:r w:rsidRPr="005675B2">
        <w:rPr>
          <w:rFonts w:hint="cs"/>
          <w:rtl/>
        </w:rPr>
        <w:t>ومعنى نفي الكم المنفصل في صفاته تعالى</w:t>
      </w:r>
      <w:r w:rsidR="000636C2">
        <w:rPr>
          <w:rFonts w:hint="cs"/>
          <w:rtl/>
        </w:rPr>
        <w:t>:</w:t>
      </w:r>
      <w:r w:rsidRPr="005675B2">
        <w:rPr>
          <w:rFonts w:hint="cs"/>
          <w:rtl/>
        </w:rPr>
        <w:t xml:space="preserve"> أن كلّ ما ثبت صفة لله تعالى استحال</w:t>
      </w:r>
      <w:r w:rsidRPr="005675B2">
        <w:rPr>
          <w:rFonts w:hint="cs"/>
        </w:rPr>
        <w:t xml:space="preserve"> </w:t>
      </w:r>
      <w:r w:rsidRPr="005675B2">
        <w:rPr>
          <w:rFonts w:hint="cs"/>
          <w:rtl/>
        </w:rPr>
        <w:t>ثبوته لغيره، وكذا كلّ صفة ثبتت للمخلوق استحال اتصاف الخالق بها</w:t>
      </w:r>
      <w:r w:rsidR="000636C2">
        <w:rPr>
          <w:rFonts w:hint="cs"/>
          <w:rtl/>
        </w:rPr>
        <w:t>،</w:t>
      </w:r>
      <w:r w:rsidRPr="005675B2">
        <w:rPr>
          <w:rFonts w:hint="cs"/>
          <w:rtl/>
        </w:rPr>
        <w:t xml:space="preserve"> فلا شبيه لله</w:t>
      </w:r>
      <w:r w:rsidRPr="005675B2">
        <w:rPr>
          <w:rFonts w:hint="cs"/>
        </w:rPr>
        <w:t xml:space="preserve"> </w:t>
      </w:r>
      <w:r w:rsidRPr="005675B2">
        <w:rPr>
          <w:rFonts w:hint="cs"/>
          <w:rtl/>
        </w:rPr>
        <w:t>تعالى مطلقاً</w:t>
      </w:r>
      <w:r w:rsidR="000636C2">
        <w:rPr>
          <w:rFonts w:hint="cs"/>
          <w:rtl/>
        </w:rPr>
        <w:t>،</w:t>
      </w:r>
      <w:r w:rsidRPr="005675B2">
        <w:rPr>
          <w:rFonts w:hint="cs"/>
          <w:rtl/>
        </w:rPr>
        <w:t xml:space="preserve"> فإرادة الله تعالى ليست كإرادة المخلوقات، ولا علمه كعلمهم، ولا سمعه</w:t>
      </w:r>
      <w:r w:rsidRPr="005675B2">
        <w:rPr>
          <w:rFonts w:hint="cs"/>
        </w:rPr>
        <w:t xml:space="preserve"> </w:t>
      </w:r>
      <w:r w:rsidRPr="005675B2">
        <w:rPr>
          <w:rFonts w:hint="cs"/>
          <w:rtl/>
        </w:rPr>
        <w:t>كسمعهم، ولا بصره كبصرهم، ولا حياته كحياتهم، وهكذا في كل صفة من صفاته</w:t>
      </w:r>
      <w:r w:rsidR="000636C2">
        <w:rPr>
          <w:rFonts w:hint="cs"/>
          <w:rtl/>
        </w:rPr>
        <w:t>،</w:t>
      </w:r>
      <w:r w:rsidRPr="005675B2">
        <w:rPr>
          <w:rFonts w:hint="cs"/>
          <w:rtl/>
        </w:rPr>
        <w:t xml:space="preserve"> وبهذا الإيضاح يفهم العاقل أن التشنيع على الأشاعرة</w:t>
      </w:r>
      <w:r w:rsidR="000636C2">
        <w:rPr>
          <w:rFonts w:hint="cs"/>
          <w:rtl/>
        </w:rPr>
        <w:t>،</w:t>
      </w:r>
      <w:r w:rsidRPr="005675B2">
        <w:rPr>
          <w:rFonts w:hint="cs"/>
          <w:rtl/>
        </w:rPr>
        <w:t>لاموجب له لأن كل أهل السنة متفقون على معنى ماقرره الأشاعرة في هذه المسألة وإن تنوعت عباراتهم وأساليبهم في إيضاح ذلك</w:t>
      </w:r>
      <w:r w:rsidR="000636C2">
        <w:rPr>
          <w:rFonts w:hint="cs"/>
          <w:rtl/>
        </w:rPr>
        <w:t>،</w:t>
      </w:r>
    </w:p>
    <w:p w14:paraId="4B1FA872" w14:textId="072515B8" w:rsidR="009C32A0" w:rsidRPr="005675B2" w:rsidRDefault="009C32A0" w:rsidP="000636C2">
      <w:pPr>
        <w:rPr>
          <w:b/>
          <w:rtl/>
        </w:rPr>
      </w:pPr>
      <w:r w:rsidRPr="005675B2">
        <w:rPr>
          <w:rFonts w:hint="cs"/>
          <w:rtl/>
        </w:rPr>
        <w:t>استشكال الكاتب حول مسألة النظر وخلاف الأشاعرة في ترتيب ذلك</w:t>
      </w:r>
      <w:r w:rsidR="000636C2">
        <w:rPr>
          <w:rFonts w:hint="cs"/>
          <w:rtl/>
        </w:rPr>
        <w:t xml:space="preserve">: </w:t>
      </w:r>
      <w:r w:rsidRPr="005675B2">
        <w:rPr>
          <w:rFonts w:hint="cs"/>
          <w:rtl/>
        </w:rPr>
        <w:t>قال الكاتب</w:t>
      </w:r>
      <w:r w:rsidR="000636C2">
        <w:rPr>
          <w:rFonts w:hint="cs"/>
          <w:rtl/>
        </w:rPr>
        <w:t>:</w:t>
      </w:r>
      <w:r w:rsidRPr="005675B2">
        <w:rPr>
          <w:rFonts w:hint="cs"/>
          <w:rtl/>
        </w:rPr>
        <w:t xml:space="preserve"> أما أول واجب عند الأشاعرة</w:t>
      </w:r>
      <w:r w:rsidRPr="005675B2">
        <w:rPr>
          <w:rFonts w:hint="cs"/>
        </w:rPr>
        <w:t xml:space="preserve"> </w:t>
      </w:r>
      <w:r w:rsidRPr="005675B2">
        <w:rPr>
          <w:rFonts w:hint="cs"/>
          <w:rtl/>
        </w:rPr>
        <w:t>فهو النظر أو القصد إلى النظر أو أول جزء من النظر أو .. إلى آخر فلسفتهم المختلف</w:t>
      </w:r>
      <w:r w:rsidRPr="005675B2">
        <w:rPr>
          <w:rFonts w:hint="cs"/>
        </w:rPr>
        <w:t xml:space="preserve"> </w:t>
      </w:r>
      <w:r w:rsidRPr="005675B2">
        <w:rPr>
          <w:rFonts w:hint="cs"/>
          <w:rtl/>
        </w:rPr>
        <w:t>فيها وعندهم أن الإنسان إذا بلغ سن التكليف وجب عليه النظر ثم الإيمان واختلفوا</w:t>
      </w:r>
      <w:r w:rsidRPr="005675B2">
        <w:rPr>
          <w:rFonts w:hint="cs"/>
        </w:rPr>
        <w:t xml:space="preserve"> </w:t>
      </w:r>
      <w:r w:rsidRPr="005675B2">
        <w:rPr>
          <w:rFonts w:hint="cs"/>
          <w:rtl/>
        </w:rPr>
        <w:t>فيمن مات قبل النظر أو في أثنائه</w:t>
      </w:r>
      <w:r w:rsidR="000636C2">
        <w:rPr>
          <w:rFonts w:hint="cs"/>
          <w:rtl/>
        </w:rPr>
        <w:t>،</w:t>
      </w:r>
      <w:r w:rsidRPr="005675B2">
        <w:rPr>
          <w:rFonts w:hint="cs"/>
          <w:rtl/>
        </w:rPr>
        <w:t xml:space="preserve"> أيحكم له بالإسلام أم بالكفر</w:t>
      </w:r>
      <w:r w:rsidR="000636C2">
        <w:rPr>
          <w:rFonts w:hint="cs"/>
          <w:rtl/>
        </w:rPr>
        <w:t>؟!</w:t>
      </w:r>
    </w:p>
    <w:p w14:paraId="188DEC8B" w14:textId="1C05CA39"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w:t>
      </w:r>
      <w:r w:rsidR="009C32A0" w:rsidRPr="005675B2">
        <w:rPr>
          <w:rFonts w:hint="cs"/>
          <w:rtl/>
        </w:rPr>
        <w:t xml:space="preserve"> تصور الأمور كما هي يؤدي إلى الحكم الصحيح الراسخ الذي لايتزلزل بإذن الله، ولذا فإن معرفة الله واجبة بأسمائه</w:t>
      </w:r>
      <w:r>
        <w:rPr>
          <w:rFonts w:hint="cs"/>
          <w:rtl/>
        </w:rPr>
        <w:t>،</w:t>
      </w:r>
      <w:r w:rsidR="009C32A0" w:rsidRPr="005675B2">
        <w:rPr>
          <w:rFonts w:hint="cs"/>
          <w:rtl/>
        </w:rPr>
        <w:t xml:space="preserve"> وصفاته</w:t>
      </w:r>
      <w:r>
        <w:rPr>
          <w:rFonts w:hint="cs"/>
          <w:rtl/>
        </w:rPr>
        <w:t>،</w:t>
      </w:r>
      <w:r w:rsidR="009C32A0" w:rsidRPr="005675B2">
        <w:rPr>
          <w:rFonts w:hint="cs"/>
          <w:rtl/>
        </w:rPr>
        <w:t xml:space="preserve"> وأنه لا شريك له فيسبق هذا العلم اليقيني نظر وتفكر ولذا قال الله تعالى (</w:t>
      </w:r>
      <w:r>
        <w:rPr>
          <w:rFonts w:hint="cs"/>
          <w:rtl/>
        </w:rPr>
        <w:t>(</w:t>
      </w:r>
      <w:r w:rsidR="009C32A0" w:rsidRPr="005675B2">
        <w:rPr>
          <w:rFonts w:hint="cs"/>
          <w:rtl/>
        </w:rPr>
        <w:t>أفلا ينظرون إلى الإبل كيف خلقت وإلى السماء كيف رفعت ..</w:t>
      </w:r>
      <w:r>
        <w:rPr>
          <w:rFonts w:hint="cs"/>
          <w:rtl/>
        </w:rPr>
        <w:t>)</w:t>
      </w:r>
      <w:r w:rsidR="009C32A0" w:rsidRPr="005675B2">
        <w:rPr>
          <w:rFonts w:hint="cs"/>
          <w:rtl/>
        </w:rPr>
        <w:t>) وقال تعالى (</w:t>
      </w:r>
      <w:r>
        <w:rPr>
          <w:rFonts w:hint="cs"/>
          <w:rtl/>
        </w:rPr>
        <w:t>(</w:t>
      </w:r>
      <w:r w:rsidR="009C32A0" w:rsidRPr="005675B2">
        <w:rPr>
          <w:rFonts w:hint="cs"/>
          <w:rtl/>
        </w:rPr>
        <w:t>وفي أنفسكم أفلا تبصرون</w:t>
      </w:r>
      <w:r>
        <w:rPr>
          <w:rFonts w:hint="cs"/>
          <w:rtl/>
        </w:rPr>
        <w:t>)</w:t>
      </w:r>
      <w:r w:rsidR="009C32A0" w:rsidRPr="005675B2">
        <w:rPr>
          <w:rFonts w:hint="cs"/>
          <w:rtl/>
        </w:rPr>
        <w:t>) وغيرها من الآيات الكثيرة التي توجب على الإنسان النظر ليتوصل إلى اليقين</w:t>
      </w:r>
      <w:r>
        <w:rPr>
          <w:rFonts w:hint="cs"/>
          <w:rtl/>
        </w:rPr>
        <w:t>،</w:t>
      </w:r>
    </w:p>
    <w:p w14:paraId="17B83CC8" w14:textId="6D3B05D5" w:rsidR="009C32A0" w:rsidRPr="005675B2" w:rsidRDefault="009C32A0" w:rsidP="000636C2">
      <w:pPr>
        <w:rPr>
          <w:b/>
          <w:rtl/>
        </w:rPr>
      </w:pPr>
      <w:r w:rsidRPr="005675B2">
        <w:rPr>
          <w:rFonts w:hint="cs"/>
          <w:rtl/>
        </w:rPr>
        <w:t>قول الحنابلة وأصحاب الحديث في النظر</w:t>
      </w:r>
      <w:r w:rsidR="000636C2">
        <w:rPr>
          <w:rFonts w:hint="cs"/>
          <w:rtl/>
        </w:rPr>
        <w:t>:</w:t>
      </w:r>
      <w:r w:rsidRPr="005675B2">
        <w:rPr>
          <w:rFonts w:hint="cs"/>
          <w:rtl/>
        </w:rPr>
        <w:t xml:space="preserve"> قال القاضي أبو يعلى</w:t>
      </w:r>
      <w:r w:rsidR="000636C2">
        <w:rPr>
          <w:rFonts w:hint="cs"/>
          <w:rtl/>
        </w:rPr>
        <w:t>:</w:t>
      </w:r>
      <w:r w:rsidRPr="005675B2">
        <w:rPr>
          <w:rFonts w:hint="cs"/>
          <w:rtl/>
        </w:rPr>
        <w:t xml:space="preserve"> أول واجب وطاعة اكتساب إرادة النظر المؤدي إلى المعرفة</w:t>
      </w:r>
      <w:r w:rsidR="000636C2">
        <w:rPr>
          <w:rFonts w:hint="cs"/>
          <w:rtl/>
        </w:rPr>
        <w:t>،</w:t>
      </w:r>
      <w:r w:rsidRPr="005675B2">
        <w:rPr>
          <w:rFonts w:hint="cs"/>
          <w:rtl/>
        </w:rPr>
        <w:t>فمن تركه مع القدرة عليه لغير عذر أثم</w:t>
      </w:r>
      <w:r w:rsidR="000636C2">
        <w:rPr>
          <w:rFonts w:hint="cs"/>
          <w:rtl/>
        </w:rPr>
        <w:t xml:space="preserve">، </w:t>
      </w:r>
      <w:r w:rsidRPr="005675B2">
        <w:rPr>
          <w:rFonts w:hint="cs"/>
          <w:rtl/>
        </w:rPr>
        <w:t>[</w:t>
      </w:r>
      <w:r w:rsidRPr="005675B2">
        <w:rPr>
          <w:rFonts w:hint="cs"/>
          <w:bCs/>
          <w:sz w:val="24"/>
          <w:szCs w:val="24"/>
          <w:rtl/>
        </w:rPr>
        <w:t>نهاية المبتدئين ص22]</w:t>
      </w:r>
      <w:r w:rsidR="000636C2">
        <w:rPr>
          <w:rFonts w:hint="cs"/>
          <w:rtl/>
        </w:rPr>
        <w:t>،</w:t>
      </w:r>
      <w:r w:rsidRPr="005675B2">
        <w:rPr>
          <w:rFonts w:hint="cs"/>
          <w:rtl/>
        </w:rPr>
        <w:t xml:space="preserve"> وقال ابن حمدان - وهو يذكر معتقد الحنابلة ـ</w:t>
      </w:r>
      <w:r w:rsidR="000636C2">
        <w:rPr>
          <w:rFonts w:hint="cs"/>
          <w:rtl/>
        </w:rPr>
        <w:t xml:space="preserve"> </w:t>
      </w:r>
      <w:r w:rsidRPr="005675B2">
        <w:rPr>
          <w:rFonts w:hint="cs"/>
          <w:rtl/>
        </w:rPr>
        <w:t>-</w:t>
      </w:r>
      <w:r w:rsidR="000636C2">
        <w:rPr>
          <w:rFonts w:hint="cs"/>
          <w:rtl/>
        </w:rPr>
        <w:t>:</w:t>
      </w:r>
      <w:r w:rsidRPr="005675B2">
        <w:rPr>
          <w:rFonts w:hint="cs"/>
          <w:rtl/>
        </w:rPr>
        <w:t>يجب معرفة الله شرعاً بالنظر في الوجود والموجود على كل مكلف قادر</w:t>
      </w:r>
      <w:r w:rsidR="000636C2">
        <w:rPr>
          <w:rFonts w:hint="cs"/>
          <w:rtl/>
        </w:rPr>
        <w:t>،</w:t>
      </w:r>
      <w:r w:rsidRPr="005675B2">
        <w:rPr>
          <w:rFonts w:hint="cs"/>
          <w:rtl/>
        </w:rPr>
        <w:t xml:space="preserve"> [</w:t>
      </w:r>
      <w:r w:rsidRPr="005675B2">
        <w:rPr>
          <w:rFonts w:hint="cs"/>
          <w:bCs/>
          <w:sz w:val="24"/>
          <w:szCs w:val="24"/>
          <w:rtl/>
        </w:rPr>
        <w:t>نهاية المبتدئين ص22</w:t>
      </w:r>
      <w:r w:rsidRPr="005675B2">
        <w:rPr>
          <w:rFonts w:hint="cs"/>
          <w:rtl/>
        </w:rPr>
        <w:t>]</w:t>
      </w:r>
      <w:r w:rsidR="000636C2">
        <w:rPr>
          <w:rFonts w:hint="cs"/>
          <w:rtl/>
        </w:rPr>
        <w:t>،</w:t>
      </w:r>
      <w:r w:rsidRPr="005675B2">
        <w:rPr>
          <w:rFonts w:hint="cs"/>
          <w:rtl/>
        </w:rPr>
        <w:t xml:space="preserve"> وأوجب ابن جرير النظر عند البلوغ</w:t>
      </w:r>
      <w:r w:rsidR="000636C2">
        <w:rPr>
          <w:rFonts w:hint="cs"/>
          <w:rtl/>
        </w:rPr>
        <w:t xml:space="preserve"> </w:t>
      </w:r>
      <w:r w:rsidRPr="005675B2">
        <w:rPr>
          <w:rFonts w:hint="cs"/>
          <w:rtl/>
        </w:rPr>
        <w:t>لما سُئل</w:t>
      </w:r>
      <w:r w:rsidR="000636C2">
        <w:rPr>
          <w:rFonts w:hint="cs"/>
          <w:rtl/>
        </w:rPr>
        <w:t>:</w:t>
      </w:r>
      <w:r w:rsidRPr="005675B2">
        <w:rPr>
          <w:rFonts w:hint="cs"/>
          <w:rtl/>
        </w:rPr>
        <w:t xml:space="preserve"> متى لزمه فرض النظر في مدبره وصانعه</w:t>
      </w:r>
      <w:r w:rsidR="000636C2">
        <w:rPr>
          <w:rFonts w:hint="cs"/>
          <w:rtl/>
        </w:rPr>
        <w:t>؟</w:t>
      </w:r>
      <w:r w:rsidRPr="005675B2">
        <w:rPr>
          <w:rFonts w:hint="cs"/>
          <w:rtl/>
        </w:rPr>
        <w:t xml:space="preserve"> [</w:t>
      </w:r>
      <w:r w:rsidRPr="005675B2">
        <w:rPr>
          <w:rFonts w:hint="cs"/>
          <w:bCs/>
          <w:sz w:val="24"/>
          <w:szCs w:val="24"/>
          <w:rtl/>
        </w:rPr>
        <w:t>التبصير في معام الدين</w:t>
      </w:r>
      <w:r w:rsidR="000636C2">
        <w:rPr>
          <w:rFonts w:hint="cs"/>
          <w:bCs/>
          <w:sz w:val="24"/>
          <w:szCs w:val="24"/>
          <w:rtl/>
        </w:rPr>
        <w:t xml:space="preserve"> </w:t>
      </w:r>
      <w:r w:rsidRPr="005675B2">
        <w:rPr>
          <w:rFonts w:hint="cs"/>
          <w:bCs/>
          <w:sz w:val="24"/>
          <w:szCs w:val="24"/>
          <w:rtl/>
        </w:rPr>
        <w:t>ص122</w:t>
      </w:r>
      <w:r w:rsidRPr="005675B2">
        <w:rPr>
          <w:rFonts w:hint="cs"/>
          <w:rtl/>
        </w:rPr>
        <w:t>]</w:t>
      </w:r>
      <w:r w:rsidR="000636C2">
        <w:rPr>
          <w:rFonts w:hint="cs"/>
          <w:rtl/>
        </w:rPr>
        <w:t xml:space="preserve">، </w:t>
      </w:r>
      <w:r w:rsidRPr="005675B2">
        <w:rPr>
          <w:rFonts w:hint="cs"/>
          <w:rtl/>
        </w:rPr>
        <w:t>إذن فمأخذهم شرعي صحيح لاغبار عليه ولم يأمرنا الله بالتفكر والنظر عبثاً - سبحانه وتعالى - بل أمرنا بالنظر لمقصد عظيم</w:t>
      </w:r>
      <w:r w:rsidR="000636C2">
        <w:rPr>
          <w:rFonts w:hint="cs"/>
          <w:rtl/>
        </w:rPr>
        <w:t>،</w:t>
      </w:r>
      <w:r w:rsidRPr="005675B2">
        <w:rPr>
          <w:rFonts w:hint="cs"/>
          <w:rtl/>
        </w:rPr>
        <w:t xml:space="preserve"> وهو ما يورثه ذلك النظر من اعتقاد راسخ</w:t>
      </w:r>
      <w:r w:rsidR="000636C2">
        <w:rPr>
          <w:rFonts w:hint="cs"/>
          <w:rtl/>
        </w:rPr>
        <w:t>،</w:t>
      </w:r>
      <w:r w:rsidRPr="005675B2">
        <w:rPr>
          <w:rFonts w:hint="cs"/>
          <w:rtl/>
        </w:rPr>
        <w:t xml:space="preserve"> فهو وسيلة لاغاية في نفسه بينما ترى المقلد في ذلك متزلزل لا يثبت على شيء</w:t>
      </w:r>
      <w:r w:rsidR="000636C2">
        <w:rPr>
          <w:rFonts w:hint="cs"/>
          <w:rtl/>
        </w:rPr>
        <w:t>،</w:t>
      </w:r>
      <w:r w:rsidRPr="005675B2">
        <w:rPr>
          <w:rFonts w:hint="cs"/>
          <w:rtl/>
        </w:rPr>
        <w:t xml:space="preserve"> وهذا ما جعل كفار قريش يصدقون عمرو بن لحي في كون الأصنام التي جلبها من الشام آلهة مع الله</w:t>
      </w:r>
      <w:r w:rsidR="000636C2">
        <w:rPr>
          <w:rFonts w:hint="cs"/>
          <w:rtl/>
        </w:rPr>
        <w:t>،</w:t>
      </w:r>
    </w:p>
    <w:p w14:paraId="1200858C" w14:textId="55135CDC" w:rsidR="009C32A0" w:rsidRPr="005675B2" w:rsidRDefault="000636C2" w:rsidP="000636C2">
      <w:pPr>
        <w:rPr>
          <w:b/>
          <w:rtl/>
        </w:rPr>
      </w:pPr>
      <w:r>
        <w:rPr>
          <w:rFonts w:hint="cs"/>
          <w:u w:val="single"/>
          <w:rtl/>
        </w:rPr>
        <w:t>(</w:t>
      </w:r>
      <w:r w:rsidR="009C32A0">
        <w:rPr>
          <w:rFonts w:hint="cs"/>
          <w:u w:val="single"/>
          <w:rtl/>
        </w:rPr>
        <w:t>ثانيا</w:t>
      </w:r>
      <w:r>
        <w:rPr>
          <w:rFonts w:hint="cs"/>
          <w:u w:val="single"/>
          <w:rtl/>
        </w:rPr>
        <w:t>):</w:t>
      </w:r>
      <w:r w:rsidR="009C32A0" w:rsidRPr="005675B2">
        <w:rPr>
          <w:rFonts w:hint="cs"/>
          <w:u w:val="single"/>
          <w:rtl/>
        </w:rPr>
        <w:t xml:space="preserve"> سبب الخلاف بين الأشاعرة</w:t>
      </w:r>
      <w:r>
        <w:rPr>
          <w:rFonts w:hint="cs"/>
          <w:u w:val="single"/>
          <w:rtl/>
        </w:rPr>
        <w:t xml:space="preserve">؟ </w:t>
      </w:r>
      <w:r w:rsidR="009C32A0" w:rsidRPr="005675B2">
        <w:rPr>
          <w:rFonts w:hint="cs"/>
          <w:u w:val="single"/>
          <w:rtl/>
        </w:rPr>
        <w:t>الخلاف هنا خلاف لفظي</w:t>
      </w:r>
      <w:r>
        <w:rPr>
          <w:rFonts w:hint="cs"/>
          <w:u w:val="single"/>
          <w:rtl/>
        </w:rPr>
        <w:t>:</w:t>
      </w:r>
      <w:r w:rsidR="009C32A0" w:rsidRPr="005675B2">
        <w:rPr>
          <w:rFonts w:hint="cs"/>
          <w:u w:val="single"/>
          <w:rtl/>
        </w:rPr>
        <w:t xml:space="preserve"> </w:t>
      </w:r>
      <w:r w:rsidR="009C32A0" w:rsidRPr="005675B2">
        <w:rPr>
          <w:rFonts w:hint="cs"/>
          <w:rtl/>
        </w:rPr>
        <w:t>قال الإمام صفي الدين أبو عبد الله الأُرموي الأشعري</w:t>
      </w:r>
      <w:r>
        <w:rPr>
          <w:rFonts w:hint="cs"/>
          <w:rtl/>
        </w:rPr>
        <w:t>:</w:t>
      </w:r>
      <w:r w:rsidR="009C32A0" w:rsidRPr="005675B2">
        <w:rPr>
          <w:rFonts w:hint="cs"/>
          <w:rtl/>
        </w:rPr>
        <w:t>اختلفوا في أول الواجبات، فقيل</w:t>
      </w:r>
      <w:r>
        <w:rPr>
          <w:rFonts w:hint="cs"/>
          <w:rtl/>
        </w:rPr>
        <w:t>:</w:t>
      </w:r>
      <w:r w:rsidR="009C32A0" w:rsidRPr="005675B2">
        <w:rPr>
          <w:rFonts w:hint="cs"/>
          <w:rtl/>
        </w:rPr>
        <w:t xml:space="preserve"> هو معرفة الله تعالى، وقيل</w:t>
      </w:r>
      <w:r>
        <w:rPr>
          <w:rFonts w:hint="cs"/>
          <w:rtl/>
        </w:rPr>
        <w:t>:</w:t>
      </w:r>
      <w:r w:rsidR="009C32A0" w:rsidRPr="005675B2">
        <w:rPr>
          <w:rFonts w:hint="cs"/>
          <w:rtl/>
        </w:rPr>
        <w:t xml:space="preserve"> هو النظر المفيد للمعرفة، وقيل</w:t>
      </w:r>
      <w:r>
        <w:rPr>
          <w:rFonts w:hint="cs"/>
          <w:rtl/>
        </w:rPr>
        <w:t>:</w:t>
      </w:r>
      <w:r w:rsidR="009C32A0" w:rsidRPr="005675B2">
        <w:rPr>
          <w:rFonts w:hint="cs"/>
          <w:rtl/>
        </w:rPr>
        <w:t xml:space="preserve"> هو القصد إلى النظر</w:t>
      </w:r>
      <w:r w:rsidR="009C32A0" w:rsidRPr="005675B2">
        <w:rPr>
          <w:rFonts w:hint="cs"/>
          <w:u w:val="single"/>
          <w:rtl/>
        </w:rPr>
        <w:t>، والخلاف لفظي</w:t>
      </w:r>
      <w:r w:rsidR="009C32A0" w:rsidRPr="005675B2">
        <w:rPr>
          <w:rFonts w:hint="cs"/>
          <w:rtl/>
        </w:rPr>
        <w:t>، لأنه إن أريد بأول الواجبات ما يجب مقصوداً بالذات فلا شك أنه القصد، وإن أريد به السبب</w:t>
      </w:r>
      <w:r>
        <w:rPr>
          <w:rFonts w:hint="cs"/>
          <w:rtl/>
        </w:rPr>
        <w:t xml:space="preserve"> </w:t>
      </w:r>
      <w:r w:rsidR="009C32A0" w:rsidRPr="005675B2">
        <w:rPr>
          <w:rFonts w:hint="cs"/>
          <w:rtl/>
        </w:rPr>
        <w:t>المفيد لما هو المقصود بالذات فلا شك أنه النظر المفيد للمعرفة،</w:t>
      </w:r>
      <w:r>
        <w:rPr>
          <w:rFonts w:hint="cs"/>
          <w:rtl/>
        </w:rPr>
        <w:t xml:space="preserve"> </w:t>
      </w:r>
      <w:r w:rsidR="009C32A0" w:rsidRPr="005675B2">
        <w:rPr>
          <w:rFonts w:hint="cs"/>
          <w:rtl/>
        </w:rPr>
        <w:t>ثم النظر واجب سمعاً</w:t>
      </w:r>
      <w:r>
        <w:rPr>
          <w:rFonts w:hint="cs"/>
          <w:rtl/>
        </w:rPr>
        <w:t>،</w:t>
      </w:r>
      <w:r w:rsidR="009C32A0" w:rsidRPr="005675B2">
        <w:rPr>
          <w:rFonts w:hint="cs"/>
          <w:rtl/>
        </w:rPr>
        <w:t xml:space="preserve"> [</w:t>
      </w:r>
      <w:r w:rsidR="009C32A0" w:rsidRPr="005675B2">
        <w:rPr>
          <w:rFonts w:hint="cs"/>
          <w:bCs/>
          <w:sz w:val="24"/>
          <w:szCs w:val="24"/>
          <w:rtl/>
        </w:rPr>
        <w:t>الرسالة التسعينية في الأصول الدينية للأرموي المقدمة الثانية</w:t>
      </w:r>
      <w:r>
        <w:rPr>
          <w:rFonts w:hint="cs"/>
          <w:bCs/>
          <w:sz w:val="24"/>
          <w:szCs w:val="24"/>
          <w:rtl/>
        </w:rPr>
        <w:t>]</w:t>
      </w:r>
      <w:r w:rsidR="009C32A0" w:rsidRPr="005675B2">
        <w:rPr>
          <w:rFonts w:hint="cs"/>
          <w:rtl/>
        </w:rPr>
        <w:t xml:space="preserve"> أ هـ </w:t>
      </w:r>
    </w:p>
    <w:p w14:paraId="39100AE0" w14:textId="0ED10389" w:rsidR="009C32A0" w:rsidRPr="005675B2" w:rsidRDefault="009C32A0" w:rsidP="000636C2">
      <w:pPr>
        <w:rPr>
          <w:b/>
          <w:rtl/>
        </w:rPr>
      </w:pPr>
      <w:r w:rsidRPr="005675B2">
        <w:rPr>
          <w:rFonts w:hint="cs"/>
          <w:rtl/>
        </w:rPr>
        <w:t>إذن هو في الحقيقة ليس بخلاف تضاد، ولذا أمكن الجمع بين أقوالهم جميعاً</w:t>
      </w:r>
      <w:r w:rsidR="000636C2">
        <w:rPr>
          <w:rFonts w:hint="cs"/>
          <w:rtl/>
        </w:rPr>
        <w:t>:</w:t>
      </w:r>
      <w:r w:rsidRPr="005675B2">
        <w:rPr>
          <w:rFonts w:hint="cs"/>
          <w:rtl/>
        </w:rPr>
        <w:t xml:space="preserve"> ذلك أنها تأتي باعتبارات</w:t>
      </w:r>
      <w:r w:rsidR="000636C2">
        <w:rPr>
          <w:rFonts w:hint="cs"/>
          <w:rtl/>
        </w:rPr>
        <w:t>:</w:t>
      </w:r>
    </w:p>
    <w:p w14:paraId="377E0400" w14:textId="32B3BCCA" w:rsidR="009C32A0" w:rsidRPr="005675B2" w:rsidRDefault="009C32A0" w:rsidP="000636C2">
      <w:pPr>
        <w:rPr>
          <w:rtl/>
        </w:rPr>
      </w:pPr>
      <w:r w:rsidRPr="005675B2">
        <w:rPr>
          <w:rFonts w:hint="cs"/>
          <w:rtl/>
        </w:rPr>
        <w:t>كما قال الباجوري</w:t>
      </w:r>
      <w:r w:rsidR="000636C2">
        <w:rPr>
          <w:rFonts w:hint="cs"/>
          <w:rtl/>
        </w:rPr>
        <w:t>:</w:t>
      </w:r>
      <w:r w:rsidRPr="005675B2">
        <w:rPr>
          <w:rFonts w:hint="cs"/>
          <w:rtl/>
        </w:rPr>
        <w:t xml:space="preserve"> فباعتبار المقصد والهدف فلا شك أنه المعرفة</w:t>
      </w:r>
      <w:r w:rsidR="000636C2">
        <w:rPr>
          <w:rFonts w:hint="cs"/>
          <w:rtl/>
        </w:rPr>
        <w:t>،</w:t>
      </w:r>
      <w:r w:rsidRPr="005675B2">
        <w:rPr>
          <w:rFonts w:hint="cs"/>
          <w:rtl/>
        </w:rPr>
        <w:t xml:space="preserve"> وباعتبار أقرب وسيلة فهي النظر ولكي يتم ذلك النظر فلابد أن يقصد إليه</w:t>
      </w:r>
      <w:r w:rsidR="000636C2">
        <w:rPr>
          <w:rFonts w:hint="cs"/>
          <w:rtl/>
        </w:rPr>
        <w:t>،</w:t>
      </w:r>
      <w:r w:rsidRPr="005675B2">
        <w:rPr>
          <w:rFonts w:hint="cs"/>
          <w:rtl/>
        </w:rPr>
        <w:t xml:space="preserve"> بمعنى أن يفرغ القلب عن الشواغل والشبهات</w:t>
      </w:r>
      <w:r w:rsidR="000636C2">
        <w:rPr>
          <w:rFonts w:hint="cs"/>
          <w:rtl/>
        </w:rPr>
        <w:t xml:space="preserve"> </w:t>
      </w:r>
      <w:r w:rsidRPr="005675B2">
        <w:rPr>
          <w:rFonts w:hint="cs"/>
          <w:rtl/>
        </w:rPr>
        <w:t>ليتسنى له النظر الصحيح</w:t>
      </w:r>
      <w:r w:rsidR="000636C2">
        <w:rPr>
          <w:rFonts w:hint="cs"/>
          <w:rtl/>
        </w:rPr>
        <w:t>،</w:t>
      </w:r>
      <w:r w:rsidRPr="005675B2">
        <w:rPr>
          <w:rFonts w:hint="cs"/>
          <w:rtl/>
        </w:rPr>
        <w:t xml:space="preserve"> أهـ</w:t>
      </w:r>
      <w:r w:rsidR="000636C2">
        <w:rPr>
          <w:rFonts w:hint="cs"/>
          <w:rtl/>
        </w:rPr>
        <w:t xml:space="preserve"> </w:t>
      </w:r>
      <w:r w:rsidRPr="005675B2">
        <w:rPr>
          <w:rFonts w:hint="cs"/>
          <w:rtl/>
        </w:rPr>
        <w:t>باختصار</w:t>
      </w:r>
      <w:r w:rsidR="000636C2">
        <w:rPr>
          <w:rFonts w:hint="cs"/>
          <w:rtl/>
        </w:rPr>
        <w:t xml:space="preserve"> </w:t>
      </w:r>
      <w:r w:rsidRPr="005675B2">
        <w:rPr>
          <w:rFonts w:hint="cs"/>
          <w:rtl/>
        </w:rPr>
        <w:t>يسير</w:t>
      </w:r>
      <w:r w:rsidR="000636C2">
        <w:rPr>
          <w:rFonts w:hint="cs"/>
          <w:rtl/>
        </w:rPr>
        <w:t xml:space="preserve"> </w:t>
      </w:r>
      <w:r w:rsidRPr="005675B2">
        <w:rPr>
          <w:rFonts w:hint="cs"/>
          <w:rtl/>
        </w:rPr>
        <w:t>[</w:t>
      </w:r>
      <w:r w:rsidRPr="005675B2">
        <w:rPr>
          <w:rFonts w:hint="cs"/>
          <w:bCs/>
          <w:sz w:val="24"/>
          <w:szCs w:val="24"/>
          <w:rtl/>
        </w:rPr>
        <w:t>شرح جوهرة التوحيد ص100]</w:t>
      </w:r>
      <w:r w:rsidR="000636C2">
        <w:rPr>
          <w:rFonts w:hint="cs"/>
          <w:rtl/>
        </w:rPr>
        <w:t>،</w:t>
      </w:r>
      <w:r w:rsidRPr="005675B2">
        <w:rPr>
          <w:rFonts w:hint="cs"/>
          <w:rtl/>
        </w:rPr>
        <w:t xml:space="preserve"> </w:t>
      </w:r>
      <w:r w:rsidRPr="005675B2">
        <w:rPr>
          <w:rFonts w:hint="cs"/>
          <w:u w:val="single"/>
          <w:rtl/>
        </w:rPr>
        <w:t>فتبين أن مقصودهم صحيح</w:t>
      </w:r>
      <w:r w:rsidR="000636C2">
        <w:rPr>
          <w:rFonts w:hint="cs"/>
          <w:u w:val="single"/>
          <w:rtl/>
        </w:rPr>
        <w:t>،</w:t>
      </w:r>
      <w:r w:rsidRPr="005675B2">
        <w:rPr>
          <w:rFonts w:hint="cs"/>
          <w:u w:val="single"/>
          <w:rtl/>
        </w:rPr>
        <w:t xml:space="preserve"> وأن الهدف منه واجب</w:t>
      </w:r>
      <w:r w:rsidR="000636C2">
        <w:rPr>
          <w:rFonts w:hint="cs"/>
          <w:u w:val="single"/>
          <w:rtl/>
        </w:rPr>
        <w:t>،</w:t>
      </w:r>
      <w:r w:rsidRPr="005675B2">
        <w:rPr>
          <w:rFonts w:hint="cs"/>
          <w:u w:val="single"/>
          <w:rtl/>
        </w:rPr>
        <w:t xml:space="preserve"> ومستنده النصوص الشرعية</w:t>
      </w:r>
      <w:r w:rsidR="000636C2">
        <w:rPr>
          <w:rFonts w:hint="cs"/>
          <w:u w:val="single"/>
          <w:rtl/>
        </w:rPr>
        <w:t>،</w:t>
      </w:r>
      <w:r w:rsidRPr="005675B2">
        <w:rPr>
          <w:rFonts w:hint="cs"/>
          <w:u w:val="single"/>
          <w:rtl/>
        </w:rPr>
        <w:t xml:space="preserve"> والنظر</w:t>
      </w:r>
      <w:r w:rsidR="000636C2">
        <w:rPr>
          <w:rFonts w:hint="cs"/>
          <w:u w:val="single"/>
          <w:rtl/>
        </w:rPr>
        <w:t xml:space="preserve"> </w:t>
      </w:r>
      <w:r w:rsidRPr="005675B2">
        <w:rPr>
          <w:rFonts w:hint="cs"/>
          <w:u w:val="single"/>
          <w:rtl/>
        </w:rPr>
        <w:t>الرجيح</w:t>
      </w:r>
      <w:r w:rsidR="000636C2">
        <w:rPr>
          <w:rFonts w:hint="cs"/>
          <w:u w:val="single"/>
          <w:rtl/>
        </w:rPr>
        <w:t>،</w:t>
      </w:r>
      <w:r w:rsidRPr="005675B2">
        <w:rPr>
          <w:rFonts w:hint="cs"/>
          <w:rtl/>
        </w:rPr>
        <w:t xml:space="preserve"> </w:t>
      </w:r>
    </w:p>
    <w:p w14:paraId="786C388E" w14:textId="25D1150B"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وينكر الأشاعرة المعرفة</w:t>
      </w:r>
      <w:r w:rsidRPr="005675B2">
        <w:rPr>
          <w:rFonts w:hint="cs"/>
        </w:rPr>
        <w:t xml:space="preserve"> </w:t>
      </w:r>
      <w:r w:rsidRPr="005675B2">
        <w:rPr>
          <w:rFonts w:hint="cs"/>
          <w:rtl/>
        </w:rPr>
        <w:t>الفطرية ويقولون إن من آمن بالله بغير طريق النظر فإنما هو مقلد ..</w:t>
      </w:r>
      <w:r w:rsidR="000636C2">
        <w:rPr>
          <w:rFonts w:hint="cs"/>
          <w:rtl/>
        </w:rPr>
        <w:t>،</w:t>
      </w:r>
      <w:r w:rsidRPr="005675B2">
        <w:rPr>
          <w:rFonts w:hint="cs"/>
          <w:rtl/>
        </w:rPr>
        <w:t xml:space="preserve"> إلخ</w:t>
      </w:r>
      <w:r w:rsidR="000636C2">
        <w:rPr>
          <w:rFonts w:hint="cs"/>
          <w:rtl/>
        </w:rPr>
        <w:t>،</w:t>
      </w:r>
      <w:r w:rsidRPr="005675B2">
        <w:rPr>
          <w:rFonts w:hint="cs"/>
          <w:rtl/>
        </w:rPr>
        <w:t xml:space="preserve"> </w:t>
      </w:r>
      <w:r w:rsidR="000636C2">
        <w:rPr>
          <w:rFonts w:hint="cs"/>
          <w:rtl/>
        </w:rPr>
        <w:t>[</w:t>
      </w:r>
      <w:r>
        <w:rPr>
          <w:rFonts w:hint="cs"/>
          <w:rtl/>
        </w:rPr>
        <w:t>الجواب</w:t>
      </w:r>
      <w:r w:rsidR="000636C2">
        <w:rPr>
          <w:rFonts w:hint="cs"/>
          <w:rtl/>
        </w:rPr>
        <w:t>]:</w:t>
      </w:r>
      <w:r w:rsidRPr="005675B2">
        <w:rPr>
          <w:rFonts w:hint="cs"/>
          <w:rtl/>
        </w:rPr>
        <w:t>ماحكم إيمان المقلد</w:t>
      </w:r>
      <w:r w:rsidR="000636C2">
        <w:rPr>
          <w:rFonts w:hint="cs"/>
          <w:rtl/>
        </w:rPr>
        <w:t>؟</w:t>
      </w:r>
      <w:r w:rsidRPr="005675B2">
        <w:rPr>
          <w:rFonts w:hint="cs"/>
          <w:rtl/>
        </w:rPr>
        <w:t xml:space="preserve"> هذه مسألة</w:t>
      </w:r>
      <w:r w:rsidR="000636C2">
        <w:rPr>
          <w:rFonts w:hint="cs"/>
          <w:rtl/>
        </w:rPr>
        <w:t>،</w:t>
      </w:r>
      <w:r w:rsidRPr="005675B2">
        <w:rPr>
          <w:rFonts w:hint="cs"/>
          <w:rtl/>
        </w:rPr>
        <w:t xml:space="preserve"> وهل إيمانه صحيح</w:t>
      </w:r>
      <w:r w:rsidR="000636C2">
        <w:rPr>
          <w:rFonts w:hint="cs"/>
          <w:rtl/>
        </w:rPr>
        <w:t>؟</w:t>
      </w:r>
      <w:r w:rsidRPr="005675B2">
        <w:rPr>
          <w:rFonts w:hint="cs"/>
          <w:rtl/>
        </w:rPr>
        <w:t xml:space="preserve"> هذه مسألة أخرى</w:t>
      </w:r>
      <w:r w:rsidR="000636C2">
        <w:rPr>
          <w:rFonts w:hint="cs"/>
          <w:rtl/>
        </w:rPr>
        <w:t xml:space="preserve">؟ </w:t>
      </w:r>
      <w:r w:rsidRPr="005675B2">
        <w:rPr>
          <w:rFonts w:hint="cs"/>
          <w:rtl/>
        </w:rPr>
        <w:t>فمسألة حكم الإيمان تقليداً فقط</w:t>
      </w:r>
      <w:r w:rsidR="000636C2">
        <w:rPr>
          <w:rFonts w:hint="cs"/>
          <w:rtl/>
        </w:rPr>
        <w:t xml:space="preserve"> </w:t>
      </w:r>
      <w:r w:rsidRPr="005675B2">
        <w:rPr>
          <w:rFonts w:hint="cs"/>
          <w:rtl/>
        </w:rPr>
        <w:t>فيها خلاف بين أهل العلم</w:t>
      </w:r>
      <w:r w:rsidR="000636C2">
        <w:rPr>
          <w:rFonts w:hint="cs"/>
          <w:rtl/>
        </w:rPr>
        <w:t xml:space="preserve"> </w:t>
      </w:r>
      <w:r w:rsidRPr="005675B2">
        <w:rPr>
          <w:rFonts w:hint="cs"/>
          <w:rtl/>
        </w:rPr>
        <w:t>لأنها مسألة اجتهادية وسبب اختلافهم هو كونه يورثه التردد والتحير في إيمانه</w:t>
      </w:r>
      <w:r w:rsidR="000636C2">
        <w:rPr>
          <w:rFonts w:hint="cs"/>
          <w:rtl/>
        </w:rPr>
        <w:t>،</w:t>
      </w:r>
      <w:r w:rsidRPr="005675B2">
        <w:rPr>
          <w:rFonts w:hint="cs"/>
          <w:rtl/>
        </w:rPr>
        <w:t>وأكثر أهل السنة والجماعة من الأشاعرة والماتريدية والحنابلة على تحريم التقليد في ذلك أما الإيمان فجمهورهم على تصحيح إيمان المقلد فهي مسألتان</w:t>
      </w:r>
      <w:r w:rsidR="000636C2">
        <w:rPr>
          <w:rFonts w:hint="cs"/>
          <w:rtl/>
        </w:rPr>
        <w:t>،</w:t>
      </w:r>
      <w:r w:rsidRPr="005675B2">
        <w:rPr>
          <w:rFonts w:hint="cs"/>
          <w:rtl/>
        </w:rPr>
        <w:t xml:space="preserve"> ولو دخلت موقع اللادينيين العرب لرأيت كم من شاب من شباب بلدك الحبيب</w:t>
      </w:r>
      <w:r w:rsidR="000636C2">
        <w:rPr>
          <w:rFonts w:hint="cs"/>
          <w:rtl/>
        </w:rPr>
        <w:t xml:space="preserve"> </w:t>
      </w:r>
      <w:r w:rsidRPr="005675B2">
        <w:rPr>
          <w:rFonts w:hint="cs"/>
          <w:rtl/>
        </w:rPr>
        <w:t>انزلق إلى الكفر</w:t>
      </w:r>
      <w:r w:rsidR="000636C2">
        <w:rPr>
          <w:rFonts w:hint="cs"/>
          <w:rtl/>
        </w:rPr>
        <w:t>،</w:t>
      </w:r>
      <w:r w:rsidRPr="005675B2">
        <w:rPr>
          <w:rFonts w:hint="cs"/>
          <w:rtl/>
        </w:rPr>
        <w:t>ووقع في إلحاد و أيما إلحاد</w:t>
      </w:r>
      <w:r w:rsidR="000636C2">
        <w:rPr>
          <w:rFonts w:hint="cs"/>
          <w:rtl/>
        </w:rPr>
        <w:t>!</w:t>
      </w:r>
      <w:r w:rsidRPr="005675B2">
        <w:rPr>
          <w:rFonts w:hint="cs"/>
          <w:rtl/>
        </w:rPr>
        <w:t>! فالمقلد كالريشة في مهب الريح ولذا فوجب ترسيخ قضايا الإيمان بالله بكل الأدلة الممكنة المباحة</w:t>
      </w:r>
      <w:r w:rsidR="000636C2">
        <w:rPr>
          <w:rFonts w:hint="cs"/>
          <w:rtl/>
        </w:rPr>
        <w:t>،</w:t>
      </w:r>
      <w:r w:rsidRPr="005675B2">
        <w:rPr>
          <w:rFonts w:hint="cs"/>
          <w:rtl/>
        </w:rPr>
        <w:t xml:space="preserve"> وأنا أذكر نفسي وإياكم بذلك</w:t>
      </w:r>
      <w:r w:rsidR="000636C2">
        <w:rPr>
          <w:rFonts w:hint="cs"/>
          <w:rtl/>
        </w:rPr>
        <w:t>،</w:t>
      </w:r>
      <w:r w:rsidRPr="005675B2">
        <w:rPr>
          <w:rFonts w:hint="cs"/>
          <w:rtl/>
        </w:rPr>
        <w:t xml:space="preserve"> من باب الأمانةفي النصح</w:t>
      </w:r>
      <w:r w:rsidR="000636C2">
        <w:rPr>
          <w:rFonts w:hint="cs"/>
          <w:rtl/>
        </w:rPr>
        <w:t>،</w:t>
      </w:r>
    </w:p>
    <w:p w14:paraId="6AC2A781" w14:textId="4B94310A" w:rsidR="009C32A0" w:rsidRPr="005675B2" w:rsidRDefault="009C32A0" w:rsidP="000636C2">
      <w:pPr>
        <w:rPr>
          <w:b/>
          <w:rtl/>
        </w:rPr>
      </w:pPr>
      <w:r w:rsidRPr="005675B2">
        <w:rPr>
          <w:rFonts w:hint="cs"/>
          <w:u w:val="single"/>
          <w:rtl/>
        </w:rPr>
        <w:t>وإليكم أنقل ماذكره المرداوي في التحبير حيث قال</w:t>
      </w:r>
      <w:r w:rsidR="000636C2">
        <w:rPr>
          <w:rFonts w:hint="cs"/>
          <w:u w:val="single"/>
          <w:rtl/>
        </w:rPr>
        <w:t xml:space="preserve">: </w:t>
      </w:r>
      <w:r w:rsidRPr="005675B2">
        <w:rPr>
          <w:rFonts w:hint="cs"/>
          <w:u w:val="single"/>
          <w:rtl/>
        </w:rPr>
        <w:t>قال الحنابلة</w:t>
      </w:r>
      <w:r w:rsidR="000636C2">
        <w:rPr>
          <w:rFonts w:hint="cs"/>
          <w:u w:val="single"/>
          <w:rtl/>
        </w:rPr>
        <w:t>:</w:t>
      </w:r>
      <w:r w:rsidRPr="005675B2">
        <w:rPr>
          <w:rFonts w:hint="cs"/>
          <w:u w:val="single"/>
          <w:rtl/>
        </w:rPr>
        <w:t xml:space="preserve"> يحرم التقليد في معرفة الله تعالى، والتوحيد، والرسالة عند أحمد والأكثر</w:t>
      </w:r>
      <w:r w:rsidRPr="005675B2">
        <w:rPr>
          <w:rFonts w:hint="cs"/>
          <w:rtl/>
        </w:rPr>
        <w:t xml:space="preserve"> ذكره القاضي</w:t>
      </w:r>
      <w:r w:rsidR="000636C2">
        <w:rPr>
          <w:rFonts w:hint="cs"/>
          <w:rtl/>
        </w:rPr>
        <w:t>،</w:t>
      </w:r>
      <w:r w:rsidRPr="005675B2">
        <w:rPr>
          <w:rFonts w:hint="cs"/>
          <w:rtl/>
        </w:rPr>
        <w:t xml:space="preserve"> وابن عقيل، وابو الخطاب الكلوذاني، وذكره عن عامة العلماء</w:t>
      </w:r>
      <w:r w:rsidR="000636C2">
        <w:rPr>
          <w:rFonts w:hint="cs"/>
          <w:rtl/>
        </w:rPr>
        <w:t>،</w:t>
      </w:r>
      <w:r w:rsidRPr="005675B2">
        <w:rPr>
          <w:rFonts w:hint="cs"/>
          <w:rtl/>
        </w:rPr>
        <w:t>وذكر غيره أنه قول الجمهور</w:t>
      </w:r>
      <w:r w:rsidR="000636C2">
        <w:rPr>
          <w:rFonts w:hint="cs"/>
          <w:rtl/>
        </w:rPr>
        <w:t>،</w:t>
      </w:r>
      <w:r w:rsidRPr="005675B2">
        <w:rPr>
          <w:rFonts w:hint="cs"/>
          <w:rtl/>
        </w:rPr>
        <w:t xml:space="preserve"> [</w:t>
      </w:r>
      <w:r w:rsidRPr="005675B2">
        <w:rPr>
          <w:rFonts w:hint="cs"/>
          <w:bCs/>
          <w:sz w:val="24"/>
          <w:szCs w:val="24"/>
          <w:rtl/>
        </w:rPr>
        <w:t>شرح التحرير 8/ 408</w:t>
      </w:r>
      <w:r w:rsidRPr="005675B2">
        <w:rPr>
          <w:rFonts w:hint="cs"/>
          <w:rtl/>
        </w:rPr>
        <w:t xml:space="preserve">] </w:t>
      </w:r>
    </w:p>
    <w:p w14:paraId="48A0ECE2" w14:textId="4D6035A6" w:rsidR="009C32A0" w:rsidRPr="005675B2" w:rsidRDefault="009C32A0" w:rsidP="000636C2">
      <w:pPr>
        <w:rPr>
          <w:b/>
          <w:rtl/>
        </w:rPr>
      </w:pPr>
      <w:r w:rsidRPr="005675B2">
        <w:rPr>
          <w:rFonts w:hint="cs"/>
          <w:rtl/>
        </w:rPr>
        <w:t>القول الثاني</w:t>
      </w:r>
      <w:r w:rsidR="000636C2">
        <w:rPr>
          <w:rFonts w:hint="cs"/>
          <w:rtl/>
        </w:rPr>
        <w:t>:</w:t>
      </w:r>
      <w:r w:rsidRPr="005675B2">
        <w:rPr>
          <w:rFonts w:hint="cs"/>
          <w:rtl/>
        </w:rPr>
        <w:t xml:space="preserve"> أنه يجوز التقليد</w:t>
      </w:r>
      <w:r w:rsidR="000636C2">
        <w:rPr>
          <w:rFonts w:hint="cs"/>
          <w:rtl/>
        </w:rPr>
        <w:t xml:space="preserve">: </w:t>
      </w:r>
      <w:r w:rsidRPr="005675B2">
        <w:rPr>
          <w:rFonts w:hint="cs"/>
          <w:rtl/>
        </w:rPr>
        <w:t xml:space="preserve">أجازه العنبري المعتزلي، </w:t>
      </w:r>
      <w:r w:rsidRPr="005675B2">
        <w:rPr>
          <w:rFonts w:hint="cs"/>
          <w:u w:val="single"/>
          <w:rtl/>
        </w:rPr>
        <w:t>ويعزى للحشوية</w:t>
      </w:r>
      <w:r w:rsidRPr="005675B2">
        <w:rPr>
          <w:rFonts w:hint="cs"/>
          <w:rtl/>
        </w:rPr>
        <w:t xml:space="preserve"> كما في شرح ألفية البرماوي والتحبير شرح التحرير</w:t>
      </w:r>
      <w:r w:rsidR="000636C2">
        <w:rPr>
          <w:rFonts w:hint="cs"/>
          <w:rtl/>
        </w:rPr>
        <w:t>،</w:t>
      </w:r>
      <w:r w:rsidRPr="005675B2">
        <w:rPr>
          <w:rFonts w:hint="cs"/>
          <w:rtl/>
        </w:rPr>
        <w:t xml:space="preserve"> [</w:t>
      </w:r>
      <w:r w:rsidRPr="005675B2">
        <w:rPr>
          <w:rFonts w:hint="cs"/>
          <w:bCs/>
          <w:sz w:val="24"/>
          <w:szCs w:val="24"/>
          <w:rtl/>
        </w:rPr>
        <w:t>شرح التحرير 8/ 408</w:t>
      </w:r>
      <w:r w:rsidRPr="005675B2">
        <w:rPr>
          <w:rFonts w:hint="cs"/>
          <w:rtl/>
        </w:rPr>
        <w:t>] أ هـ</w:t>
      </w:r>
      <w:r w:rsidR="000636C2">
        <w:rPr>
          <w:rFonts w:hint="cs"/>
          <w:rtl/>
        </w:rPr>
        <w:t>،</w:t>
      </w:r>
      <w:r w:rsidRPr="005675B2">
        <w:rPr>
          <w:rFonts w:hint="cs"/>
          <w:rtl/>
        </w:rPr>
        <w:t xml:space="preserve"> والقول المعتمد الذي عليه</w:t>
      </w:r>
      <w:r w:rsidR="000636C2">
        <w:rPr>
          <w:rFonts w:hint="cs"/>
          <w:rtl/>
        </w:rPr>
        <w:t xml:space="preserve"> </w:t>
      </w:r>
      <w:r w:rsidRPr="005675B2">
        <w:rPr>
          <w:rFonts w:hint="cs"/>
          <w:rtl/>
        </w:rPr>
        <w:t>الأشعرية هو ما اختاره الباجوري بعد أن ساق الأقوال في المسألة ثم قال</w:t>
      </w:r>
      <w:r w:rsidR="000636C2">
        <w:rPr>
          <w:rFonts w:hint="cs"/>
          <w:rtl/>
        </w:rPr>
        <w:t>:</w:t>
      </w:r>
      <w:r w:rsidRPr="005675B2">
        <w:rPr>
          <w:rFonts w:hint="cs"/>
          <w:rtl/>
        </w:rPr>
        <w:t xml:space="preserve"> والقول الذي عليه المعول هو</w:t>
      </w:r>
      <w:r w:rsidR="000636C2">
        <w:rPr>
          <w:rFonts w:hint="cs"/>
          <w:rtl/>
        </w:rPr>
        <w:t xml:space="preserve">: </w:t>
      </w:r>
      <w:r w:rsidRPr="005675B2">
        <w:rPr>
          <w:rFonts w:hint="cs"/>
          <w:rtl/>
        </w:rPr>
        <w:t>أن التقليد في ذلك كافياً</w:t>
      </w:r>
      <w:r w:rsidR="000636C2">
        <w:rPr>
          <w:rFonts w:hint="cs"/>
          <w:rtl/>
        </w:rPr>
        <w:t>،</w:t>
      </w:r>
      <w:r w:rsidRPr="005675B2">
        <w:rPr>
          <w:rFonts w:hint="cs"/>
          <w:rtl/>
        </w:rPr>
        <w:t xml:space="preserve"> فإن كان فيه أهلية للنظر كالعلماء ونحوهم فهو مؤمن عاصي</w:t>
      </w:r>
      <w:r w:rsidR="000636C2">
        <w:rPr>
          <w:rFonts w:hint="cs"/>
          <w:rtl/>
        </w:rPr>
        <w:t>،</w:t>
      </w:r>
      <w:r w:rsidRPr="005675B2">
        <w:rPr>
          <w:rFonts w:hint="cs"/>
          <w:rtl/>
        </w:rPr>
        <w:t xml:space="preserve"> وإن لم يكن فيه أهلية النظر كأكثر الناس فهو معذور وإيمانه صحيح</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الجوهرة</w:t>
      </w:r>
      <w:r w:rsidR="000636C2">
        <w:rPr>
          <w:rFonts w:hint="cs"/>
          <w:bCs/>
          <w:sz w:val="24"/>
          <w:szCs w:val="24"/>
          <w:rtl/>
        </w:rPr>
        <w:t xml:space="preserve"> </w:t>
      </w:r>
      <w:r w:rsidRPr="005675B2">
        <w:rPr>
          <w:rFonts w:hint="cs"/>
          <w:bCs/>
          <w:sz w:val="24"/>
          <w:szCs w:val="24"/>
          <w:rtl/>
        </w:rPr>
        <w:t>101</w:t>
      </w:r>
      <w:r w:rsidRPr="005675B2">
        <w:rPr>
          <w:rFonts w:hint="cs"/>
          <w:rtl/>
        </w:rPr>
        <w:t>] وهذا هو عين ما نقله الموجان في رده ناقلاً عن العلائي ولم يتنبه لما فيه وسبق</w:t>
      </w:r>
      <w:r w:rsidR="000636C2">
        <w:rPr>
          <w:rFonts w:hint="cs"/>
          <w:rtl/>
        </w:rPr>
        <w:t xml:space="preserve"> </w:t>
      </w:r>
      <w:r w:rsidRPr="005675B2">
        <w:rPr>
          <w:rFonts w:hint="cs"/>
          <w:rtl/>
        </w:rPr>
        <w:t>الكلام عن ذلك في مكانه</w:t>
      </w:r>
      <w:r w:rsidR="000636C2">
        <w:rPr>
          <w:rFonts w:hint="cs"/>
          <w:rtl/>
        </w:rPr>
        <w:t xml:space="preserve">، </w:t>
      </w:r>
      <w:r w:rsidRPr="005675B2">
        <w:rPr>
          <w:rFonts w:hint="cs"/>
          <w:rtl/>
        </w:rPr>
        <w:t>الأدلة النقلية على صحة ذم علماء الأشاعرة والإمام أحمد وعامة أهل العلم للتقليد في العقيدة</w:t>
      </w:r>
      <w:r w:rsidR="000636C2">
        <w:rPr>
          <w:rFonts w:hint="cs"/>
          <w:rtl/>
        </w:rPr>
        <w:t xml:space="preserve">: </w:t>
      </w:r>
      <w:r w:rsidRPr="005675B2">
        <w:rPr>
          <w:rFonts w:hint="cs"/>
          <w:rtl/>
        </w:rPr>
        <w:t>والمقصود شيئان</w:t>
      </w:r>
      <w:r w:rsidR="000636C2">
        <w:rPr>
          <w:rFonts w:hint="cs"/>
          <w:rtl/>
        </w:rPr>
        <w:t xml:space="preserve">: </w:t>
      </w:r>
      <w:r w:rsidRPr="005675B2">
        <w:rPr>
          <w:rFonts w:hint="cs"/>
          <w:rtl/>
        </w:rPr>
        <w:t>1</w:t>
      </w:r>
      <w:r w:rsidR="000636C2">
        <w:rPr>
          <w:rFonts w:hint="cs"/>
          <w:rtl/>
        </w:rPr>
        <w:t xml:space="preserve"> </w:t>
      </w:r>
      <w:r w:rsidRPr="005675B2">
        <w:rPr>
          <w:rFonts w:hint="cs"/>
          <w:rtl/>
        </w:rPr>
        <w:t>- عدم التقليد في مخالفة القطعي</w:t>
      </w:r>
      <w:r w:rsidR="000636C2">
        <w:rPr>
          <w:rFonts w:hint="cs"/>
          <w:rtl/>
        </w:rPr>
        <w:t xml:space="preserve">، </w:t>
      </w:r>
      <w:r w:rsidRPr="005675B2">
        <w:rPr>
          <w:rFonts w:hint="cs"/>
          <w:rtl/>
        </w:rPr>
        <w:t>2</w:t>
      </w:r>
      <w:r w:rsidR="000636C2">
        <w:rPr>
          <w:rFonts w:hint="cs"/>
          <w:rtl/>
        </w:rPr>
        <w:t xml:space="preserve"> </w:t>
      </w:r>
      <w:r w:rsidRPr="005675B2">
        <w:rPr>
          <w:rFonts w:hint="cs"/>
          <w:rtl/>
        </w:rPr>
        <w:t>- عدم التقليد في تحصيله بل لابد من طلبه بدليله ولو بأقل دليل</w:t>
      </w:r>
      <w:r w:rsidR="000636C2">
        <w:rPr>
          <w:rFonts w:hint="cs"/>
          <w:rtl/>
        </w:rPr>
        <w:t>،</w:t>
      </w:r>
      <w:r w:rsidRPr="005675B2">
        <w:rPr>
          <w:rFonts w:hint="cs"/>
          <w:rtl/>
        </w:rPr>
        <w:t xml:space="preserve"> بشرط أن يورث اليقين</w:t>
      </w:r>
      <w:r w:rsidR="000636C2">
        <w:rPr>
          <w:rFonts w:hint="cs"/>
          <w:rtl/>
        </w:rPr>
        <w:t xml:space="preserve">، </w:t>
      </w:r>
      <w:r w:rsidRPr="005675B2">
        <w:rPr>
          <w:rFonts w:hint="cs"/>
          <w:u w:val="single"/>
          <w:rtl/>
        </w:rPr>
        <w:t>ودليلهم أن التقليد في الاعتقاد مذموم</w:t>
      </w:r>
      <w:r w:rsidR="000636C2">
        <w:rPr>
          <w:rFonts w:hint="cs"/>
          <w:u w:val="single"/>
          <w:rtl/>
        </w:rPr>
        <w:t>:</w:t>
      </w:r>
      <w:r w:rsidRPr="005675B2">
        <w:rPr>
          <w:rFonts w:hint="cs"/>
          <w:u w:val="single"/>
          <w:rtl/>
        </w:rPr>
        <w:t>هو</w:t>
      </w:r>
      <w:r w:rsidR="000636C2">
        <w:rPr>
          <w:rFonts w:hint="cs"/>
          <w:u w:val="single"/>
          <w:rtl/>
        </w:rPr>
        <w:t xml:space="preserve"> </w:t>
      </w:r>
      <w:r w:rsidRPr="005675B2">
        <w:rPr>
          <w:rFonts w:hint="cs"/>
          <w:u w:val="single"/>
          <w:rtl/>
        </w:rPr>
        <w:t>أن</w:t>
      </w:r>
      <w:r w:rsidR="000636C2">
        <w:rPr>
          <w:rFonts w:hint="cs"/>
          <w:u w:val="single"/>
          <w:rtl/>
        </w:rPr>
        <w:t xml:space="preserve"> </w:t>
      </w:r>
      <w:r w:rsidRPr="005675B2">
        <w:rPr>
          <w:rFonts w:hint="cs"/>
          <w:u w:val="single"/>
          <w:rtl/>
        </w:rPr>
        <w:t>الشرع قد أتى بذمه في القطعيات</w:t>
      </w:r>
      <w:r w:rsidR="000636C2">
        <w:rPr>
          <w:rFonts w:hint="cs"/>
          <w:u w:val="single"/>
          <w:rtl/>
        </w:rPr>
        <w:t xml:space="preserve"> </w:t>
      </w:r>
      <w:r w:rsidRPr="005675B2">
        <w:rPr>
          <w:rFonts w:hint="cs"/>
          <w:u w:val="single"/>
          <w:rtl/>
        </w:rPr>
        <w:t>فمن ذلك</w:t>
      </w:r>
      <w:r w:rsidR="000636C2">
        <w:rPr>
          <w:rFonts w:hint="cs"/>
          <w:u w:val="single"/>
          <w:rtl/>
        </w:rPr>
        <w:t xml:space="preserve">: </w:t>
      </w:r>
      <w:r w:rsidRPr="005675B2">
        <w:rPr>
          <w:rFonts w:hint="cs"/>
          <w:rtl/>
        </w:rPr>
        <w:t>1 - قوله</w:t>
      </w:r>
      <w:r w:rsidR="000636C2">
        <w:rPr>
          <w:rFonts w:hint="cs"/>
          <w:rtl/>
        </w:rPr>
        <w:t xml:space="preserve"> </w:t>
      </w:r>
      <w:r w:rsidRPr="005675B2">
        <w:rPr>
          <w:rFonts w:hint="cs"/>
          <w:rtl/>
        </w:rPr>
        <w:t>- تعالى -</w:t>
      </w:r>
      <w:r w:rsidR="000636C2">
        <w:rPr>
          <w:rFonts w:hint="cs"/>
          <w:rtl/>
        </w:rPr>
        <w:t>:</w:t>
      </w:r>
      <w:r w:rsidRPr="005675B2">
        <w:rPr>
          <w:rFonts w:hint="cs"/>
          <w:rtl/>
        </w:rPr>
        <w:t xml:space="preserve"> </w:t>
      </w:r>
      <w:bookmarkStart w:id="61" w:name="وإذا_قيل_لهم_اتبعوا_ما_أنزل_الله_قالوا_ب"/>
      <w:bookmarkEnd w:id="61"/>
      <w:r w:rsidRPr="005675B2">
        <w:rPr>
          <w:rStyle w:val="quran"/>
          <w:rFonts w:hint="cs"/>
          <w:u w:val="single"/>
          <w:rtl/>
        </w:rPr>
        <w:t>(</w:t>
      </w:r>
      <w:r w:rsidR="000636C2">
        <w:rPr>
          <w:rStyle w:val="quran"/>
          <w:rFonts w:hint="cs"/>
          <w:u w:val="single"/>
          <w:rtl/>
        </w:rPr>
        <w:t>(</w:t>
      </w:r>
      <w:r w:rsidRPr="005675B2">
        <w:rPr>
          <w:rStyle w:val="quran"/>
          <w:rFonts w:hint="cs"/>
          <w:u w:val="single"/>
          <w:rtl/>
        </w:rPr>
        <w:t>وَإِذَا قِيلَ لَهُمُ اتَّبِعُوا مَا أَنْزَلَ اللَّهُ قَالُوا بَلْ نَتَّبِعُ مَا أَلْفَيْنَا عَلَيْهِ آبَاءَنَا أَوَلَوْ كَانَ آبَاؤُهُمْ لَا يَعْقِلُونَ شَيْئًا وَلَا يَهْتَدُونَ</w:t>
      </w:r>
      <w:r w:rsidR="000636C2">
        <w:rPr>
          <w:rStyle w:val="quran"/>
          <w:rFonts w:hint="cs"/>
          <w:u w:val="single"/>
          <w:rtl/>
        </w:rPr>
        <w:t>)</w:t>
      </w:r>
      <w:r w:rsidRPr="005675B2">
        <w:rPr>
          <w:rFonts w:hint="cs"/>
          <w:rtl/>
        </w:rPr>
        <w:t>)</w:t>
      </w:r>
      <w:r w:rsidR="000636C2">
        <w:rPr>
          <w:rFonts w:hint="cs"/>
          <w:rtl/>
        </w:rPr>
        <w:t>،</w:t>
      </w:r>
      <w:r w:rsidRPr="005675B2">
        <w:rPr>
          <w:rFonts w:hint="cs"/>
          <w:rtl/>
        </w:rPr>
        <w:t xml:space="preserve"> 2 - قول الله</w:t>
      </w:r>
      <w:r w:rsidR="000636C2">
        <w:rPr>
          <w:rFonts w:hint="cs"/>
          <w:rtl/>
        </w:rPr>
        <w:t xml:space="preserve"> </w:t>
      </w:r>
      <w:r w:rsidRPr="005675B2">
        <w:rPr>
          <w:rFonts w:hint="cs"/>
          <w:rtl/>
        </w:rPr>
        <w:t>- تعالى -</w:t>
      </w:r>
      <w:r w:rsidR="000636C2">
        <w:rPr>
          <w:rFonts w:hint="cs"/>
          <w:rtl/>
        </w:rPr>
        <w:t>:</w:t>
      </w:r>
      <w:r w:rsidRPr="005675B2">
        <w:rPr>
          <w:rFonts w:hint="cs"/>
          <w:rtl/>
        </w:rPr>
        <w:t xml:space="preserve"> </w:t>
      </w:r>
      <w:bookmarkStart w:id="62" w:name="وإذا_قيل_لهم_تعالوا_إلى_ما_أنزل_الله_وإل"/>
      <w:bookmarkEnd w:id="62"/>
      <w:r w:rsidRPr="005675B2">
        <w:rPr>
          <w:rFonts w:hint="cs"/>
          <w:rtl/>
        </w:rPr>
        <w:t>(</w:t>
      </w:r>
      <w:r w:rsidR="000636C2">
        <w:rPr>
          <w:rFonts w:hint="cs"/>
          <w:rtl/>
        </w:rPr>
        <w:t>(</w:t>
      </w:r>
      <w:r w:rsidRPr="005675B2">
        <w:rPr>
          <w:rStyle w:val="quran"/>
          <w:rFonts w:hint="cs"/>
          <w:u w:val="single"/>
          <w:rtl/>
        </w:rPr>
        <w:t>وَإِذَا قِيلَ لَهُمْ تَعَالَوْا إِلَى مَا أَنْزَلَ اللَّهُ وَإِلَى الرَّسُولِ قَالُوا حَسْبُنَا مَا وَجَدْنَا عَلَيْهِ آبَاءَنَا أَوَلَوْ كَانَ آبَاؤُهُمْ لَا يَعْلَمُونَ شَيْئًا وَلَا يَهْتَدُونَ</w:t>
      </w:r>
      <w:r w:rsidR="000636C2">
        <w:rPr>
          <w:rStyle w:val="quran"/>
          <w:rFonts w:hint="cs"/>
          <w:u w:val="single"/>
          <w:rtl/>
        </w:rPr>
        <w:t>)</w:t>
      </w:r>
      <w:r w:rsidRPr="005675B2">
        <w:rPr>
          <w:rFonts w:hint="cs"/>
          <w:rtl/>
        </w:rPr>
        <w:t>)</w:t>
      </w:r>
      <w:r w:rsidR="000636C2">
        <w:rPr>
          <w:rFonts w:hint="cs"/>
          <w:rtl/>
        </w:rPr>
        <w:t xml:space="preserve">، </w:t>
      </w:r>
      <w:r w:rsidRPr="005675B2">
        <w:rPr>
          <w:rFonts w:hint="cs"/>
          <w:rtl/>
        </w:rPr>
        <w:t>3 - قول الله تعالى -</w:t>
      </w:r>
      <w:r w:rsidR="000636C2">
        <w:rPr>
          <w:rFonts w:hint="cs"/>
          <w:rtl/>
        </w:rPr>
        <w:t>:</w:t>
      </w:r>
      <w:r w:rsidRPr="005675B2">
        <w:rPr>
          <w:rFonts w:hint="cs"/>
          <w:rtl/>
        </w:rPr>
        <w:t xml:space="preserve"> </w:t>
      </w:r>
      <w:bookmarkStart w:id="63" w:name="إنهم_ألفوا_آباءهم_ضالين_فهم_على_آثارهم_ي"/>
      <w:bookmarkEnd w:id="63"/>
      <w:r w:rsidRPr="005675B2">
        <w:rPr>
          <w:rFonts w:hint="cs"/>
          <w:rtl/>
        </w:rPr>
        <w:t>(</w:t>
      </w:r>
      <w:r w:rsidR="000636C2">
        <w:rPr>
          <w:rFonts w:hint="cs"/>
          <w:rtl/>
        </w:rPr>
        <w:t>(</w:t>
      </w:r>
      <w:r w:rsidRPr="005675B2">
        <w:rPr>
          <w:rStyle w:val="quran"/>
          <w:rFonts w:hint="cs"/>
          <w:u w:val="single"/>
          <w:rtl/>
        </w:rPr>
        <w:t>إِنَّهُمْ أَلْفَوْا آبَاءَهُمْ ضَالِّينَ فَهُمْ عَلَى آثَارِهِمْ يُهْرَعُونَ</w:t>
      </w:r>
      <w:r w:rsidR="000636C2">
        <w:rPr>
          <w:rStyle w:val="quran"/>
          <w:rFonts w:hint="cs"/>
          <w:u w:val="single"/>
          <w:rtl/>
        </w:rPr>
        <w:t>)</w:t>
      </w:r>
      <w:r w:rsidRPr="005675B2">
        <w:rPr>
          <w:rFonts w:hint="cs"/>
          <w:rtl/>
        </w:rPr>
        <w:t>)</w:t>
      </w:r>
      <w:r w:rsidR="000636C2">
        <w:rPr>
          <w:rFonts w:hint="cs"/>
          <w:rtl/>
        </w:rPr>
        <w:t>،</w:t>
      </w:r>
      <w:r w:rsidRPr="005675B2">
        <w:rPr>
          <w:rFonts w:hint="cs"/>
          <w:rtl/>
        </w:rPr>
        <w:t xml:space="preserve"> </w:t>
      </w:r>
      <w:r w:rsidRPr="005675B2">
        <w:rPr>
          <w:rFonts w:hint="cs"/>
          <w:u w:val="single"/>
          <w:rtl/>
        </w:rPr>
        <w:t xml:space="preserve">هذه الآيات وغيرها واردة في حق </w:t>
      </w:r>
      <w:bookmarkStart w:id="64" w:name="المشركين15277"/>
      <w:r w:rsidRPr="005675B2">
        <w:rPr>
          <w:rFonts w:hint="cs"/>
          <w:u w:val="single"/>
          <w:rtl/>
        </w:rPr>
        <w:t xml:space="preserve">المشركين </w:t>
      </w:r>
      <w:bookmarkEnd w:id="64"/>
      <w:r w:rsidRPr="005675B2">
        <w:rPr>
          <w:rFonts w:hint="cs"/>
          <w:u w:val="single"/>
          <w:rtl/>
        </w:rPr>
        <w:t>الذين قلدوا سادتهم</w:t>
      </w:r>
      <w:r w:rsidR="000636C2">
        <w:rPr>
          <w:rFonts w:hint="cs"/>
          <w:u w:val="single"/>
          <w:rtl/>
        </w:rPr>
        <w:t xml:space="preserve"> </w:t>
      </w:r>
      <w:r w:rsidRPr="005675B2">
        <w:rPr>
          <w:rFonts w:hint="cs"/>
          <w:u w:val="single"/>
          <w:rtl/>
        </w:rPr>
        <w:t>وكبراءهم من علماء وآباء</w:t>
      </w:r>
      <w:r w:rsidR="000636C2">
        <w:rPr>
          <w:rFonts w:hint="cs"/>
          <w:u w:val="single"/>
          <w:rtl/>
        </w:rPr>
        <w:t xml:space="preserve"> </w:t>
      </w:r>
      <w:r w:rsidRPr="005675B2">
        <w:rPr>
          <w:rFonts w:hint="cs"/>
          <w:u w:val="single"/>
          <w:rtl/>
        </w:rPr>
        <w:t>في الكفر بالله</w:t>
      </w:r>
      <w:r w:rsidR="000636C2">
        <w:rPr>
          <w:rFonts w:hint="cs"/>
          <w:u w:val="single"/>
          <w:rtl/>
        </w:rPr>
        <w:t xml:space="preserve"> </w:t>
      </w:r>
      <w:r w:rsidRPr="005675B2">
        <w:rPr>
          <w:rFonts w:hint="cs"/>
          <w:u w:val="single"/>
          <w:rtl/>
        </w:rPr>
        <w:t>- تعالى - وعبادة الأصنام، فهي تدل على المنع من التقليد</w:t>
      </w:r>
      <w:r w:rsidR="000636C2">
        <w:rPr>
          <w:rFonts w:hint="cs"/>
          <w:u w:val="single"/>
          <w:rtl/>
        </w:rPr>
        <w:t xml:space="preserve"> </w:t>
      </w:r>
      <w:r w:rsidRPr="005675B2">
        <w:rPr>
          <w:rFonts w:hint="cs"/>
          <w:u w:val="single"/>
          <w:rtl/>
        </w:rPr>
        <w:t>في العقائد</w:t>
      </w:r>
      <w:r w:rsidR="000636C2">
        <w:rPr>
          <w:rFonts w:hint="cs"/>
          <w:u w:val="single"/>
          <w:rtl/>
        </w:rPr>
        <w:t xml:space="preserve">، </w:t>
      </w:r>
      <w:r w:rsidRPr="005675B2">
        <w:rPr>
          <w:rFonts w:hint="cs"/>
          <w:rtl/>
        </w:rPr>
        <w:t>فكلامهم صحيح بلا ريب</w:t>
      </w:r>
      <w:r w:rsidR="000636C2">
        <w:rPr>
          <w:rFonts w:hint="cs"/>
          <w:rtl/>
        </w:rPr>
        <w:t>،</w:t>
      </w:r>
    </w:p>
    <w:p w14:paraId="60AC7EF4" w14:textId="113225DD" w:rsidR="009C32A0" w:rsidRPr="005675B2" w:rsidRDefault="009C32A0" w:rsidP="000636C2">
      <w:pPr>
        <w:rPr>
          <w:b/>
          <w:rtl/>
        </w:rPr>
      </w:pPr>
      <w:r w:rsidRPr="005675B2">
        <w:rPr>
          <w:rFonts w:hint="cs"/>
          <w:bCs/>
          <w:rtl/>
        </w:rPr>
        <w:t>المسألة الثانية</w:t>
      </w:r>
      <w:r w:rsidR="000636C2">
        <w:rPr>
          <w:rFonts w:hint="cs"/>
          <w:rtl/>
        </w:rPr>
        <w:t xml:space="preserve">: </w:t>
      </w:r>
      <w:r w:rsidRPr="005675B2">
        <w:rPr>
          <w:rFonts w:hint="cs"/>
          <w:rtl/>
        </w:rPr>
        <w:t>اختلاف مستويات الناس في الاستدلال العقلي</w:t>
      </w:r>
      <w:r w:rsidR="000636C2">
        <w:rPr>
          <w:rFonts w:hint="cs"/>
          <w:rtl/>
        </w:rPr>
        <w:t>:</w:t>
      </w:r>
      <w:r w:rsidRPr="005675B2">
        <w:rPr>
          <w:rFonts w:hint="cs"/>
          <w:rtl/>
        </w:rPr>
        <w:t xml:space="preserve"> كل الخلق متفقون على الاستدلال بأدلة العقل على وجود الله المدبر لكل موجود،ولكن تختلف أساليبهم بحسب مستوياتهم العقلية</w:t>
      </w:r>
      <w:r w:rsidR="000636C2">
        <w:rPr>
          <w:rFonts w:hint="cs"/>
          <w:rtl/>
        </w:rPr>
        <w:t>،</w:t>
      </w:r>
      <w:r w:rsidRPr="005675B2">
        <w:rPr>
          <w:rFonts w:hint="cs"/>
          <w:rtl/>
        </w:rPr>
        <w:t xml:space="preserve"> والعلمية</w:t>
      </w:r>
      <w:r w:rsidR="000636C2">
        <w:rPr>
          <w:rFonts w:hint="cs"/>
          <w:rtl/>
        </w:rPr>
        <w:t>،</w:t>
      </w:r>
    </w:p>
    <w:p w14:paraId="548F4336" w14:textId="64D3E330" w:rsidR="009C32A0" w:rsidRPr="005675B2" w:rsidRDefault="009C32A0" w:rsidP="000636C2">
      <w:pPr>
        <w:rPr>
          <w:b/>
          <w:rtl/>
        </w:rPr>
      </w:pPr>
      <w:r w:rsidRPr="005675B2">
        <w:rPr>
          <w:rFonts w:hint="cs"/>
          <w:rtl/>
        </w:rPr>
        <w:t>أمثلة</w:t>
      </w:r>
      <w:r w:rsidR="000636C2">
        <w:rPr>
          <w:rFonts w:hint="cs"/>
          <w:rtl/>
        </w:rPr>
        <w:t>:</w:t>
      </w:r>
      <w:r w:rsidRPr="005675B2">
        <w:rPr>
          <w:rFonts w:hint="cs"/>
          <w:rtl/>
        </w:rPr>
        <w:t xml:space="preserve"> 1</w:t>
      </w:r>
      <w:r w:rsidR="000636C2">
        <w:rPr>
          <w:rFonts w:hint="cs"/>
          <w:rtl/>
        </w:rPr>
        <w:t xml:space="preserve"> </w:t>
      </w:r>
      <w:r w:rsidRPr="005675B2">
        <w:rPr>
          <w:rFonts w:hint="cs"/>
          <w:rtl/>
        </w:rPr>
        <w:t>-</w:t>
      </w:r>
      <w:r w:rsidR="000636C2">
        <w:rPr>
          <w:rFonts w:hint="cs"/>
          <w:rtl/>
        </w:rPr>
        <w:t xml:space="preserve"> </w:t>
      </w:r>
      <w:r w:rsidRPr="005675B2">
        <w:rPr>
          <w:rFonts w:hint="cs"/>
          <w:rtl/>
        </w:rPr>
        <w:t>لا يغيب عنا حال ذلك الأعرابي الذي استدل بالعقل على وجود المدبرفقال</w:t>
      </w:r>
      <w:r w:rsidR="000636C2">
        <w:rPr>
          <w:rFonts w:hint="cs"/>
          <w:rtl/>
        </w:rPr>
        <w:t>:</w:t>
      </w:r>
      <w:r w:rsidRPr="005675B2">
        <w:rPr>
          <w:rFonts w:hint="cs"/>
        </w:rPr>
        <w:t xml:space="preserve"> </w:t>
      </w:r>
      <w:r w:rsidR="000636C2">
        <w:rPr>
          <w:rFonts w:hint="cs"/>
          <w:rtl/>
        </w:rPr>
        <w:t>[</w:t>
      </w:r>
      <w:r w:rsidRPr="005675B2">
        <w:rPr>
          <w:rFonts w:hint="cs"/>
          <w:rtl/>
        </w:rPr>
        <w:t>البعرة تدل على البعير والأثر يدل على المسير، أفأرض ذات فجاج وسماء ذات أبراج ألا</w:t>
      </w:r>
      <w:r w:rsidRPr="005675B2">
        <w:rPr>
          <w:rFonts w:hint="cs"/>
        </w:rPr>
        <w:t xml:space="preserve"> </w:t>
      </w:r>
      <w:r w:rsidRPr="005675B2">
        <w:rPr>
          <w:rFonts w:hint="cs"/>
          <w:rtl/>
        </w:rPr>
        <w:t>تدل على اللطيف الخبير</w:t>
      </w:r>
      <w:r w:rsidR="000636C2">
        <w:rPr>
          <w:rFonts w:hint="cs"/>
          <w:rtl/>
        </w:rPr>
        <w:t xml:space="preserve">]!، </w:t>
      </w:r>
      <w:r w:rsidRPr="005675B2">
        <w:rPr>
          <w:rFonts w:hint="cs"/>
          <w:rtl/>
        </w:rPr>
        <w:t>هذا الأعرابي بحسب إمكانياته العلمية استدل بدليل العقل على وجود الله تعالى</w:t>
      </w:r>
      <w:r w:rsidR="000636C2">
        <w:rPr>
          <w:rFonts w:hint="cs"/>
          <w:rtl/>
        </w:rPr>
        <w:t>،</w:t>
      </w:r>
      <w:r w:rsidRPr="005675B2">
        <w:rPr>
          <w:rFonts w:hint="cs"/>
          <w:rtl/>
        </w:rPr>
        <w:t>فاستدل بدليل الحدوث وأن هذه الحادثات لابد لها من خالق أوجدها وهو الله تعالى</w:t>
      </w:r>
      <w:r w:rsidR="000636C2">
        <w:rPr>
          <w:rFonts w:hint="cs"/>
          <w:rtl/>
        </w:rPr>
        <w:t>،</w:t>
      </w:r>
      <w:r w:rsidRPr="005675B2">
        <w:rPr>
          <w:rFonts w:hint="cs"/>
          <w:rtl/>
        </w:rPr>
        <w:t xml:space="preserve"> فبالأثر استدل على المؤثر</w:t>
      </w:r>
      <w:r w:rsidR="000636C2">
        <w:rPr>
          <w:rFonts w:hint="cs"/>
          <w:rtl/>
        </w:rPr>
        <w:t>،</w:t>
      </w:r>
    </w:p>
    <w:p w14:paraId="17125007" w14:textId="2B028995"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وتترقى المفاهيم العقلية فنرى سيدنا الخليل عليه السلام يستدل بالدليل العقلي على أن الأفلاك ليست المدبر في الكون بدليل التغير من حال إلى حال قال تعالى {فلما جن عليه الليل رأى القمر بازغاًً قال هذا رببي فلما أفل قال لاأحب الآفلين</w:t>
      </w:r>
      <w:r w:rsidR="000636C2">
        <w:rPr>
          <w:rFonts w:hint="cs"/>
          <w:rtl/>
        </w:rPr>
        <w:t>}</w:t>
      </w:r>
      <w:r w:rsidRPr="005675B2">
        <w:rPr>
          <w:rFonts w:hint="cs"/>
          <w:rtl/>
        </w:rPr>
        <w:t xml:space="preserve"> فهو يحرك عقول</w:t>
      </w:r>
      <w:r w:rsidR="000636C2">
        <w:rPr>
          <w:rFonts w:hint="cs"/>
          <w:rtl/>
        </w:rPr>
        <w:t xml:space="preserve"> </w:t>
      </w:r>
      <w:r w:rsidRPr="005675B2">
        <w:rPr>
          <w:rFonts w:hint="cs"/>
          <w:rtl/>
        </w:rPr>
        <w:t>قومه بال</w:t>
      </w:r>
      <w:r w:rsidR="000636C2">
        <w:rPr>
          <w:rFonts w:hint="cs"/>
          <w:rtl/>
        </w:rPr>
        <w:t>(</w:t>
      </w:r>
      <w:r>
        <w:rPr>
          <w:rFonts w:hint="cs"/>
          <w:rtl/>
        </w:rPr>
        <w:t>تنبيه</w:t>
      </w:r>
      <w:r w:rsidR="000636C2">
        <w:rPr>
          <w:rFonts w:hint="cs"/>
          <w:rtl/>
        </w:rPr>
        <w:t>)</w:t>
      </w:r>
      <w:r w:rsidRPr="005675B2">
        <w:rPr>
          <w:rFonts w:hint="cs"/>
          <w:rtl/>
        </w:rPr>
        <w:t xml:space="preserve"> إلى أن المتغير لا يمكن أن يكون هو الرب سبحانه جل شأنه</w:t>
      </w:r>
      <w:r w:rsidR="000636C2">
        <w:rPr>
          <w:rFonts w:hint="cs"/>
          <w:rtl/>
        </w:rPr>
        <w:t>،</w:t>
      </w:r>
      <w:r w:rsidRPr="005675B2">
        <w:rPr>
          <w:rFonts w:hint="cs"/>
          <w:rtl/>
        </w:rPr>
        <w:t xml:space="preserve"> لأن التغير دليل على الحدوث</w:t>
      </w:r>
      <w:r w:rsidR="000636C2">
        <w:rPr>
          <w:rFonts w:hint="cs"/>
          <w:rtl/>
        </w:rPr>
        <w:t>،</w:t>
      </w:r>
      <w:r w:rsidRPr="005675B2">
        <w:rPr>
          <w:rFonts w:hint="cs"/>
          <w:rtl/>
        </w:rPr>
        <w:t xml:space="preserve"> وهذا يدل على الافتقار للغير</w:t>
      </w:r>
      <w:r w:rsidR="000636C2">
        <w:rPr>
          <w:rFonts w:hint="cs"/>
          <w:rtl/>
        </w:rPr>
        <w:t>،</w:t>
      </w:r>
      <w:r w:rsidRPr="005675B2">
        <w:rPr>
          <w:rFonts w:hint="cs"/>
          <w:rtl/>
        </w:rPr>
        <w:t xml:space="preserve"> والخالق المعبود يكون غنياً عمن سواه</w:t>
      </w:r>
      <w:r w:rsidR="000636C2">
        <w:rPr>
          <w:rFonts w:hint="cs"/>
          <w:rtl/>
        </w:rPr>
        <w:t xml:space="preserve"> </w:t>
      </w:r>
    </w:p>
    <w:p w14:paraId="3494D51D" w14:textId="6448892F" w:rsidR="009C32A0" w:rsidRPr="005675B2" w:rsidRDefault="009C32A0" w:rsidP="000636C2">
      <w:pPr>
        <w:rPr>
          <w:rtl/>
          <w:lang w:bidi="ar-KW"/>
        </w:rPr>
      </w:pPr>
      <w:r w:rsidRPr="005675B2">
        <w:rPr>
          <w:rFonts w:hint="cs"/>
          <w:rtl/>
        </w:rPr>
        <w:t>خضوع كثير من أهل الفكر للدليل العقلي</w:t>
      </w:r>
      <w:r w:rsidR="000636C2">
        <w:rPr>
          <w:rFonts w:hint="cs"/>
          <w:rtl/>
        </w:rPr>
        <w:t>:</w:t>
      </w:r>
      <w:r w:rsidRPr="005675B2">
        <w:rPr>
          <w:rFonts w:hint="cs"/>
          <w:rtl/>
        </w:rPr>
        <w:t xml:space="preserve"> إن بعض كبار الباحثين يمتازون عن غيرهم</w:t>
      </w:r>
      <w:r w:rsidRPr="005675B2">
        <w:rPr>
          <w:rFonts w:hint="cs"/>
        </w:rPr>
        <w:t xml:space="preserve"> </w:t>
      </w:r>
      <w:r w:rsidRPr="005675B2">
        <w:rPr>
          <w:rFonts w:hint="cs"/>
          <w:rtl/>
        </w:rPr>
        <w:t>بأنهم</w:t>
      </w:r>
      <w:r w:rsidR="000636C2">
        <w:rPr>
          <w:rFonts w:hint="cs"/>
          <w:rtl/>
        </w:rPr>
        <w:t xml:space="preserve"> </w:t>
      </w:r>
      <w:r w:rsidRPr="005675B2">
        <w:rPr>
          <w:rFonts w:hint="cs"/>
          <w:rtl/>
        </w:rPr>
        <w:t>يبحثون في الأمور بعقل</w:t>
      </w:r>
      <w:r w:rsidR="000636C2">
        <w:rPr>
          <w:rFonts w:hint="cs"/>
          <w:rtl/>
        </w:rPr>
        <w:t xml:space="preserve"> </w:t>
      </w:r>
      <w:r w:rsidRPr="005675B2">
        <w:rPr>
          <w:rFonts w:hint="cs"/>
          <w:rtl/>
        </w:rPr>
        <w:t>ونظر</w:t>
      </w:r>
      <w:r w:rsidR="000636C2">
        <w:rPr>
          <w:rFonts w:hint="cs"/>
          <w:rtl/>
        </w:rPr>
        <w:t>،</w:t>
      </w:r>
      <w:r w:rsidRPr="005675B2">
        <w:rPr>
          <w:rFonts w:hint="cs"/>
          <w:rtl/>
        </w:rPr>
        <w:t xml:space="preserve"> ولذا فإن شهاداتهم</w:t>
      </w:r>
      <w:r w:rsidRPr="005675B2">
        <w:rPr>
          <w:rFonts w:hint="cs"/>
        </w:rPr>
        <w:t xml:space="preserve"> </w:t>
      </w:r>
      <w:r w:rsidRPr="005675B2">
        <w:rPr>
          <w:rFonts w:hint="cs"/>
          <w:rtl/>
        </w:rPr>
        <w:t>تعد ذات اعتبار كبير في الأمور التي يدلون فيها بآرائهم</w:t>
      </w:r>
      <w:r w:rsidR="000636C2">
        <w:rPr>
          <w:rFonts w:hint="cs"/>
          <w:rtl/>
        </w:rPr>
        <w:t>،</w:t>
      </w:r>
      <w:r w:rsidRPr="005675B2">
        <w:rPr>
          <w:rFonts w:hint="cs"/>
          <w:rtl/>
        </w:rPr>
        <w:t>وأذكر هنا</w:t>
      </w:r>
      <w:r w:rsidR="000636C2">
        <w:rPr>
          <w:rFonts w:hint="cs"/>
          <w:rtl/>
        </w:rPr>
        <w:t xml:space="preserve"> </w:t>
      </w:r>
      <w:r w:rsidRPr="005675B2">
        <w:rPr>
          <w:rFonts w:hint="cs"/>
          <w:rtl/>
        </w:rPr>
        <w:t>أقوال بعض من</w:t>
      </w:r>
      <w:r w:rsidR="000636C2">
        <w:rPr>
          <w:rFonts w:hint="cs"/>
          <w:rtl/>
        </w:rPr>
        <w:t xml:space="preserve"> </w:t>
      </w:r>
      <w:r w:rsidRPr="005675B2">
        <w:rPr>
          <w:rFonts w:hint="cs"/>
          <w:rtl/>
        </w:rPr>
        <w:t>المشهورين في قضية الوجود والخلق</w:t>
      </w:r>
      <w:r w:rsidR="000636C2">
        <w:rPr>
          <w:rFonts w:hint="cs"/>
          <w:rtl/>
        </w:rPr>
        <w:t xml:space="preserve">، </w:t>
      </w:r>
      <w:r w:rsidRPr="005675B2">
        <w:rPr>
          <w:rFonts w:hint="cs"/>
          <w:rtl/>
        </w:rPr>
        <w:t>1</w:t>
      </w:r>
      <w:r w:rsidR="000636C2">
        <w:rPr>
          <w:rFonts w:hint="cs"/>
          <w:rtl/>
        </w:rPr>
        <w:t xml:space="preserve"> </w:t>
      </w:r>
      <w:r w:rsidRPr="005675B2">
        <w:rPr>
          <w:rFonts w:hint="cs"/>
          <w:rtl/>
        </w:rPr>
        <w:t>-</w:t>
      </w:r>
      <w:r w:rsidR="000636C2">
        <w:rPr>
          <w:rFonts w:hint="cs"/>
          <w:rtl/>
        </w:rPr>
        <w:t xml:space="preserve"> </w:t>
      </w:r>
      <w:r w:rsidRPr="005675B2">
        <w:rPr>
          <w:rFonts w:hint="cs"/>
          <w:rtl/>
        </w:rPr>
        <w:t>قال نيوتن</w:t>
      </w:r>
      <w:r w:rsidR="000636C2">
        <w:rPr>
          <w:rFonts w:hint="cs"/>
          <w:rtl/>
        </w:rPr>
        <w:t>:</w:t>
      </w:r>
      <w:r w:rsidRPr="005675B2">
        <w:rPr>
          <w:rFonts w:hint="cs"/>
          <w:rtl/>
        </w:rPr>
        <w:t xml:space="preserve"> إنه لا يمكن أن تأتي إلى حيز الوجود مباهج</w:t>
      </w:r>
      <w:r w:rsidRPr="005675B2">
        <w:rPr>
          <w:rFonts w:hint="cs"/>
        </w:rPr>
        <w:t xml:space="preserve"> </w:t>
      </w:r>
      <w:r w:rsidRPr="005675B2">
        <w:rPr>
          <w:rFonts w:hint="cs"/>
          <w:rtl/>
        </w:rPr>
        <w:t>عالم الطبيعة الزاهرة</w:t>
      </w:r>
      <w:r w:rsidR="000636C2">
        <w:rPr>
          <w:rFonts w:hint="cs"/>
          <w:rtl/>
        </w:rPr>
        <w:t>،</w:t>
      </w:r>
      <w:r w:rsidRPr="005675B2">
        <w:rPr>
          <w:rFonts w:hint="cs"/>
          <w:rtl/>
        </w:rPr>
        <w:t>ومنوعاتها هذه، بدون إرادة واجب الوجود، أعني به الإله القادر</w:t>
      </w:r>
      <w:r w:rsidRPr="005675B2">
        <w:rPr>
          <w:rFonts w:hint="cs"/>
        </w:rPr>
        <w:t xml:space="preserve"> </w:t>
      </w:r>
      <w:r w:rsidRPr="005675B2">
        <w:rPr>
          <w:rFonts w:hint="cs"/>
          <w:rtl/>
        </w:rPr>
        <w:t>قدرة مطلقة، السميع البصير .. أهـ</w:t>
      </w:r>
      <w:r w:rsidR="000636C2">
        <w:rPr>
          <w:rFonts w:hint="cs"/>
          <w:rtl/>
        </w:rPr>
        <w:t xml:space="preserve">، </w:t>
      </w:r>
    </w:p>
    <w:p w14:paraId="4CC098B2" w14:textId="6773FB01"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أما العالم</w:t>
      </w:r>
      <w:r w:rsidRPr="005675B2">
        <w:rPr>
          <w:rFonts w:hint="cs"/>
        </w:rPr>
        <w:t xml:space="preserve"> </w:t>
      </w:r>
      <w:r w:rsidRPr="005675B2">
        <w:rPr>
          <w:rFonts w:hint="cs"/>
          <w:rtl/>
        </w:rPr>
        <w:t>الأمريكي الفسيولجى أندرو كونواى ايفى فقد قال</w:t>
      </w:r>
      <w:r w:rsidR="000636C2">
        <w:rPr>
          <w:rFonts w:hint="cs"/>
          <w:rtl/>
        </w:rPr>
        <w:t>:</w:t>
      </w:r>
      <w:r w:rsidRPr="005675B2">
        <w:rPr>
          <w:rFonts w:hint="cs"/>
          <w:rtl/>
        </w:rPr>
        <w:t>إن أحداً لا يستطيع أن يثبت خطأ</w:t>
      </w:r>
      <w:r w:rsidRPr="005675B2">
        <w:rPr>
          <w:rFonts w:hint="cs"/>
        </w:rPr>
        <w:t xml:space="preserve"> </w:t>
      </w:r>
      <w:r w:rsidRPr="005675B2">
        <w:rPr>
          <w:rFonts w:hint="cs"/>
          <w:rtl/>
        </w:rPr>
        <w:t>الفكرة التي تقول إن الله موجود،كما إن أحداً لا يستطيع أن يثبت صحة الفكرة التي</w:t>
      </w:r>
      <w:r w:rsidRPr="005675B2">
        <w:rPr>
          <w:rFonts w:hint="cs"/>
        </w:rPr>
        <w:t xml:space="preserve"> </w:t>
      </w:r>
      <w:r w:rsidRPr="005675B2">
        <w:rPr>
          <w:rFonts w:hint="cs"/>
          <w:rtl/>
        </w:rPr>
        <w:t>تقول</w:t>
      </w:r>
      <w:r w:rsidR="000636C2">
        <w:rPr>
          <w:rFonts w:hint="cs"/>
          <w:rtl/>
        </w:rPr>
        <w:t>:</w:t>
      </w:r>
      <w:r w:rsidRPr="005675B2">
        <w:rPr>
          <w:rFonts w:hint="cs"/>
          <w:rtl/>
        </w:rPr>
        <w:t xml:space="preserve"> إن الله غير موجود</w:t>
      </w:r>
      <w:r w:rsidR="000636C2">
        <w:rPr>
          <w:rFonts w:hint="cs"/>
          <w:rtl/>
        </w:rPr>
        <w:t>،</w:t>
      </w:r>
      <w:r w:rsidRPr="005675B2">
        <w:rPr>
          <w:rFonts w:hint="cs"/>
          <w:rtl/>
        </w:rPr>
        <w:t xml:space="preserve"> وقد ينكر منكر وجود الله تعالى ولكنه لا يستطيع أن يؤيد</w:t>
      </w:r>
      <w:r w:rsidRPr="005675B2">
        <w:rPr>
          <w:rFonts w:hint="cs"/>
        </w:rPr>
        <w:t xml:space="preserve"> </w:t>
      </w:r>
      <w:r w:rsidRPr="005675B2">
        <w:rPr>
          <w:rFonts w:hint="cs"/>
          <w:rtl/>
        </w:rPr>
        <w:t>إنكاره بدليل</w:t>
      </w:r>
      <w:r w:rsidR="000636C2">
        <w:rPr>
          <w:rFonts w:hint="cs"/>
          <w:rtl/>
        </w:rPr>
        <w:t>،</w:t>
      </w:r>
      <w:r w:rsidRPr="005675B2">
        <w:rPr>
          <w:rFonts w:hint="cs"/>
          <w:rtl/>
        </w:rPr>
        <w:t xml:space="preserve"> وأحياناً يشك الإنسان في وجود شيء من الأشياء ولابد في هذه الحالة أن</w:t>
      </w:r>
      <w:r w:rsidRPr="005675B2">
        <w:rPr>
          <w:rFonts w:hint="cs"/>
        </w:rPr>
        <w:t xml:space="preserve"> </w:t>
      </w:r>
      <w:r w:rsidRPr="005675B2">
        <w:rPr>
          <w:rFonts w:hint="cs"/>
          <w:rtl/>
        </w:rPr>
        <w:t>يستند شكه إلى أساس فكري، ولكنني لم أقرأ ولم أسمع في حياتي دليلاً عقلياً واحداً على</w:t>
      </w:r>
      <w:r w:rsidRPr="005675B2">
        <w:rPr>
          <w:rFonts w:hint="cs"/>
        </w:rPr>
        <w:t xml:space="preserve"> </w:t>
      </w:r>
      <w:r w:rsidRPr="005675B2">
        <w:rPr>
          <w:rFonts w:hint="cs"/>
          <w:rtl/>
        </w:rPr>
        <w:t>عدم وجوده تعالى</w:t>
      </w:r>
      <w:r w:rsidR="000636C2">
        <w:rPr>
          <w:rFonts w:hint="cs"/>
          <w:rtl/>
        </w:rPr>
        <w:t>،</w:t>
      </w:r>
      <w:r w:rsidRPr="005675B2">
        <w:rPr>
          <w:rFonts w:hint="cs"/>
          <w:rtl/>
        </w:rPr>
        <w:t xml:space="preserve"> وقد قرأت وسمعت في الوقت ذاته أدلة كثيرة على وجوده، كما لمست</w:t>
      </w:r>
      <w:r w:rsidRPr="005675B2">
        <w:rPr>
          <w:rFonts w:hint="cs"/>
        </w:rPr>
        <w:t xml:space="preserve"> </w:t>
      </w:r>
      <w:r w:rsidRPr="005675B2">
        <w:rPr>
          <w:rFonts w:hint="cs"/>
          <w:rtl/>
        </w:rPr>
        <w:t>بنفسي بعض ما يتركه الإيمان من حلاوة في نفوس المؤمنين وما يخلفه الإلحاد من مرارة</w:t>
      </w:r>
      <w:r w:rsidRPr="005675B2">
        <w:rPr>
          <w:rFonts w:hint="cs"/>
        </w:rPr>
        <w:t xml:space="preserve"> </w:t>
      </w:r>
      <w:r w:rsidRPr="005675B2">
        <w:rPr>
          <w:rFonts w:hint="cs"/>
          <w:rtl/>
        </w:rPr>
        <w:t>في نفوس الملحدين</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الله الخالق يتجلى في عصر العلم</w:t>
      </w:r>
      <w:r w:rsidR="000636C2">
        <w:rPr>
          <w:rFonts w:hint="cs"/>
          <w:bCs/>
          <w:sz w:val="24"/>
          <w:szCs w:val="24"/>
          <w:rtl/>
        </w:rPr>
        <w:t>]</w:t>
      </w:r>
    </w:p>
    <w:p w14:paraId="13AEB25E" w14:textId="061ECF0C" w:rsidR="009C32A0" w:rsidRPr="005675B2" w:rsidRDefault="009C32A0" w:rsidP="000636C2">
      <w:pPr>
        <w:rPr>
          <w:b/>
          <w:rtl/>
        </w:rPr>
      </w:pPr>
      <w:r w:rsidRPr="005675B2">
        <w:rPr>
          <w:rFonts w:hint="cs"/>
          <w:rtl/>
        </w:rPr>
        <w:t>إشكالات الكاتب حول الإيمان</w:t>
      </w:r>
      <w:r w:rsidR="000636C2">
        <w:rPr>
          <w:rFonts w:hint="cs"/>
          <w:rtl/>
        </w:rPr>
        <w:t xml:space="preserve">: </w:t>
      </w:r>
      <w:r w:rsidRPr="005675B2">
        <w:rPr>
          <w:rFonts w:hint="cs"/>
          <w:rtl/>
        </w:rPr>
        <w:t>الأشاعرة في الإيمان مرجئة</w:t>
      </w:r>
      <w:r w:rsidRPr="005675B2">
        <w:rPr>
          <w:rFonts w:hint="cs"/>
        </w:rPr>
        <w:t xml:space="preserve"> </w:t>
      </w:r>
      <w:r w:rsidRPr="005675B2">
        <w:rPr>
          <w:rFonts w:hint="cs"/>
          <w:rtl/>
        </w:rPr>
        <w:t>جهمية أجمعت كتبهم قاطبة على أن الإيمان هو التصديق القلبي</w:t>
      </w:r>
      <w:r w:rsidR="000636C2">
        <w:rPr>
          <w:rFonts w:hint="cs"/>
          <w:rtl/>
        </w:rPr>
        <w:t>،</w:t>
      </w:r>
      <w:r w:rsidRPr="005675B2">
        <w:rPr>
          <w:rFonts w:hint="cs"/>
          <w:rtl/>
        </w:rPr>
        <w:t xml:space="preserve"> واختلفوا في النطق</w:t>
      </w:r>
      <w:r w:rsidRPr="005675B2">
        <w:rPr>
          <w:rFonts w:hint="cs"/>
        </w:rPr>
        <w:t xml:space="preserve"> </w:t>
      </w:r>
      <w:r w:rsidRPr="005675B2">
        <w:rPr>
          <w:rFonts w:hint="cs"/>
          <w:rtl/>
        </w:rPr>
        <w:t>بالشهادتين أيكفي عنه تصديق القلب أم لابد منه</w:t>
      </w:r>
      <w:r w:rsidR="000636C2">
        <w:rPr>
          <w:rFonts w:hint="cs"/>
          <w:rtl/>
        </w:rPr>
        <w:t>،</w:t>
      </w:r>
      <w:r w:rsidRPr="005675B2">
        <w:rPr>
          <w:rFonts w:hint="cs"/>
          <w:rtl/>
        </w:rPr>
        <w:t xml:space="preserve"> قال صاحب الجوهرة</w:t>
      </w:r>
      <w:r w:rsidR="000636C2">
        <w:rPr>
          <w:rFonts w:hint="cs"/>
          <w:rtl/>
        </w:rPr>
        <w:t xml:space="preserve">: </w:t>
      </w:r>
      <w:r w:rsidRPr="005675B2">
        <w:rPr>
          <w:rFonts w:hint="cs"/>
          <w:rtl/>
        </w:rPr>
        <w:t>وفسر الإيمان بالتصديق</w:t>
      </w:r>
      <w:r w:rsidR="000636C2">
        <w:rPr>
          <w:rFonts w:hint="cs"/>
          <w:rtl/>
        </w:rPr>
        <w:t xml:space="preserve"> </w:t>
      </w:r>
      <w:r w:rsidRPr="005675B2">
        <w:rPr>
          <w:rFonts w:hint="cs"/>
          <w:rtl/>
        </w:rPr>
        <w:t>والنطق فيه الخلف بالتحقيق</w:t>
      </w:r>
      <w:r w:rsidR="000636C2">
        <w:rPr>
          <w:rFonts w:hint="cs"/>
          <w:rtl/>
        </w:rPr>
        <w:t>،</w:t>
      </w:r>
      <w:r w:rsidRPr="005675B2">
        <w:rPr>
          <w:rFonts w:hint="cs"/>
          <w:rtl/>
        </w:rPr>
        <w:t xml:space="preserve"> وقد رجح الشيخ حسن أيوب من</w:t>
      </w:r>
      <w:r w:rsidRPr="005675B2">
        <w:rPr>
          <w:rFonts w:hint="cs"/>
        </w:rPr>
        <w:t xml:space="preserve"> </w:t>
      </w:r>
      <w:r w:rsidRPr="005675B2">
        <w:rPr>
          <w:rFonts w:hint="cs"/>
          <w:rtl/>
        </w:rPr>
        <w:t>المعاصرين أن المصدق بقلبه ناج عند الله وإن لم ينطق بهما ومال إليه البوطي</w:t>
      </w:r>
      <w:r w:rsidR="000636C2">
        <w:rPr>
          <w:rFonts w:hint="cs"/>
          <w:rtl/>
        </w:rPr>
        <w:t>،</w:t>
      </w:r>
      <w:r w:rsidRPr="005675B2">
        <w:rPr>
          <w:rFonts w:hint="cs"/>
          <w:rtl/>
        </w:rPr>
        <w:t xml:space="preserve"> فعلى</w:t>
      </w:r>
      <w:r w:rsidRPr="005675B2">
        <w:rPr>
          <w:rFonts w:hint="cs"/>
        </w:rPr>
        <w:t xml:space="preserve"> </w:t>
      </w:r>
      <w:r w:rsidRPr="005675B2">
        <w:rPr>
          <w:rFonts w:hint="cs"/>
          <w:rtl/>
        </w:rPr>
        <w:t>كلامهم لا داعي لحرص النبي صلى الله عليه وسلم أن يقول عمه أبو طالب لا إله إلا</w:t>
      </w:r>
      <w:r w:rsidRPr="005675B2">
        <w:rPr>
          <w:rFonts w:hint="cs"/>
        </w:rPr>
        <w:t xml:space="preserve"> </w:t>
      </w:r>
      <w:r w:rsidRPr="005675B2">
        <w:rPr>
          <w:rFonts w:hint="cs"/>
          <w:rtl/>
        </w:rPr>
        <w:t>الله لأنه لاشك في تصديقه له بقلبه</w:t>
      </w:r>
      <w:r w:rsidR="000636C2">
        <w:rPr>
          <w:rFonts w:hint="cs"/>
          <w:rtl/>
        </w:rPr>
        <w:t>،</w:t>
      </w:r>
      <w:r w:rsidRPr="005675B2">
        <w:rPr>
          <w:rFonts w:hint="cs"/>
          <w:rtl/>
        </w:rPr>
        <w:t xml:space="preserve"> وهو وَمَن شابهه على مذهبهم من أهل الجنة</w:t>
      </w:r>
      <w:r w:rsidR="000636C2">
        <w:rPr>
          <w:rFonts w:hint="cs"/>
          <w:rtl/>
        </w:rPr>
        <w:t>!</w:t>
      </w:r>
      <w:r w:rsidRPr="005675B2">
        <w:rPr>
          <w:rFonts w:hint="cs"/>
          <w:rtl/>
        </w:rPr>
        <w:t>!</w:t>
      </w:r>
      <w:r w:rsidR="000636C2">
        <w:rPr>
          <w:rFonts w:hint="cs"/>
          <w:rtl/>
        </w:rPr>
        <w:t xml:space="preserve"> </w:t>
      </w:r>
      <w:r w:rsidRPr="005675B2">
        <w:rPr>
          <w:rFonts w:hint="cs"/>
          <w:u w:val="single"/>
          <w:rtl/>
        </w:rPr>
        <w:t>هذا وقد أولوا كل آية أو</w:t>
      </w:r>
      <w:r w:rsidRPr="005675B2">
        <w:rPr>
          <w:rFonts w:hint="cs"/>
          <w:u w:val="single"/>
        </w:rPr>
        <w:t xml:space="preserve"> </w:t>
      </w:r>
      <w:r w:rsidRPr="005675B2">
        <w:rPr>
          <w:rFonts w:hint="cs"/>
          <w:u w:val="single"/>
          <w:rtl/>
        </w:rPr>
        <w:t>حديث ورد في زيادة الإيمان ونقصانه أو وصف بعض شعبه بأنها إيمان أو من الإيمان</w:t>
      </w:r>
      <w:r w:rsidR="000636C2">
        <w:rPr>
          <w:rFonts w:hint="cs"/>
          <w:u w:val="single"/>
          <w:rtl/>
        </w:rPr>
        <w:t xml:space="preserve">، </w:t>
      </w:r>
      <w:r w:rsidRPr="005675B2">
        <w:rPr>
          <w:rFonts w:hint="cs"/>
          <w:rtl/>
        </w:rPr>
        <w:t>ولهذا أطال شيخ الإسلام</w:t>
      </w:r>
      <w:r w:rsidRPr="005675B2">
        <w:rPr>
          <w:rFonts w:hint="cs"/>
        </w:rPr>
        <w:t xml:space="preserve"> </w:t>
      </w:r>
      <w:r w:rsidRPr="005675B2">
        <w:rPr>
          <w:rFonts w:hint="cs"/>
          <w:rtl/>
        </w:rPr>
        <w:t>رحمه الله الرد عليهم بأسمائهم كالأشعري والباقلاني والجويني وشراح كتبهم وقرر</w:t>
      </w:r>
      <w:r w:rsidRPr="005675B2">
        <w:rPr>
          <w:rFonts w:hint="cs"/>
        </w:rPr>
        <w:t xml:space="preserve"> </w:t>
      </w:r>
      <w:r w:rsidRPr="005675B2">
        <w:rPr>
          <w:rFonts w:hint="cs"/>
          <w:rtl/>
        </w:rPr>
        <w:t>أنهم على مذهب جهم بعينه</w:t>
      </w:r>
      <w:r w:rsidR="000636C2">
        <w:rPr>
          <w:rFonts w:hint="cs"/>
          <w:rtl/>
        </w:rPr>
        <w:t>،</w:t>
      </w:r>
      <w:r w:rsidRPr="005675B2">
        <w:rPr>
          <w:rFonts w:hint="cs"/>
          <w:rtl/>
        </w:rPr>
        <w:t xml:space="preserve"> وفي رسالتي فصل طويل عن هذه القضية فلا أطيل به هنا</w:t>
      </w:r>
      <w:r w:rsidR="000636C2">
        <w:rPr>
          <w:rFonts w:hint="cs"/>
          <w:rtl/>
        </w:rPr>
        <w:t>،</w:t>
      </w:r>
    </w:p>
    <w:p w14:paraId="2FFD817D" w14:textId="35B306F6"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1</w:t>
      </w:r>
      <w:r>
        <w:rPr>
          <w:rFonts w:hint="cs"/>
          <w:rtl/>
        </w:rPr>
        <w:t xml:space="preserve"> </w:t>
      </w:r>
      <w:r w:rsidR="009C32A0" w:rsidRPr="005675B2">
        <w:rPr>
          <w:rFonts w:hint="cs"/>
          <w:rtl/>
        </w:rPr>
        <w:t>- ادعى الكاتب أن علماء أهل السنة من الأشاعرة</w:t>
      </w:r>
      <w:r>
        <w:rPr>
          <w:rFonts w:hint="cs"/>
          <w:rtl/>
        </w:rPr>
        <w:t xml:space="preserve"> </w:t>
      </w:r>
      <w:r w:rsidR="009C32A0" w:rsidRPr="005675B2">
        <w:rPr>
          <w:rFonts w:hint="cs"/>
          <w:rtl/>
        </w:rPr>
        <w:t>مرجئة جهمية في الإيمان</w:t>
      </w:r>
      <w:r>
        <w:rPr>
          <w:rFonts w:hint="cs"/>
          <w:rtl/>
        </w:rPr>
        <w:t xml:space="preserve">،! </w:t>
      </w:r>
      <w:r w:rsidR="009C32A0" w:rsidRPr="005675B2">
        <w:rPr>
          <w:rFonts w:hint="cs"/>
          <w:rtl/>
        </w:rPr>
        <w:t>2</w:t>
      </w:r>
      <w:r>
        <w:rPr>
          <w:rFonts w:hint="cs"/>
          <w:rtl/>
        </w:rPr>
        <w:t xml:space="preserve"> </w:t>
      </w:r>
      <w:r w:rsidR="009C32A0" w:rsidRPr="005675B2">
        <w:rPr>
          <w:rFonts w:hint="cs"/>
          <w:rtl/>
        </w:rPr>
        <w:t>- ادعى أنهم لايدخلون العمل في الإيمان</w:t>
      </w:r>
      <w:r>
        <w:rPr>
          <w:rFonts w:hint="cs"/>
          <w:rtl/>
        </w:rPr>
        <w:t xml:space="preserve">، </w:t>
      </w:r>
      <w:r w:rsidR="009C32A0" w:rsidRPr="005675B2">
        <w:rPr>
          <w:rFonts w:hint="cs"/>
          <w:rtl/>
        </w:rPr>
        <w:t>3</w:t>
      </w:r>
      <w:r>
        <w:rPr>
          <w:rFonts w:hint="cs"/>
          <w:rtl/>
        </w:rPr>
        <w:t xml:space="preserve"> </w:t>
      </w:r>
      <w:r w:rsidR="009C32A0" w:rsidRPr="005675B2">
        <w:rPr>
          <w:rFonts w:hint="cs"/>
          <w:rtl/>
        </w:rPr>
        <w:t>- ادعى أن لازم قولهم تصحيح إيمان المشركين كأبي طالب</w:t>
      </w:r>
      <w:r>
        <w:rPr>
          <w:rFonts w:hint="cs"/>
          <w:rtl/>
        </w:rPr>
        <w:t xml:space="preserve">، </w:t>
      </w:r>
      <w:r w:rsidR="009C32A0" w:rsidRPr="005675B2">
        <w:rPr>
          <w:rFonts w:hint="cs"/>
          <w:rtl/>
        </w:rPr>
        <w:t>4</w:t>
      </w:r>
      <w:r>
        <w:rPr>
          <w:rFonts w:hint="cs"/>
          <w:rtl/>
        </w:rPr>
        <w:t xml:space="preserve"> </w:t>
      </w:r>
      <w:r w:rsidR="009C32A0" w:rsidRPr="005675B2">
        <w:rPr>
          <w:rFonts w:hint="cs"/>
          <w:rtl/>
        </w:rPr>
        <w:t>- أنهم لايقولون بزيادة الإيمان ونقصانه ولذا</w:t>
      </w:r>
      <w:r>
        <w:rPr>
          <w:rFonts w:hint="cs"/>
          <w:rtl/>
        </w:rPr>
        <w:t xml:space="preserve"> </w:t>
      </w:r>
      <w:r w:rsidR="009C32A0" w:rsidRPr="005675B2">
        <w:rPr>
          <w:rFonts w:hint="cs"/>
          <w:rtl/>
        </w:rPr>
        <w:t>ادعى أنهم أولوا نصوص زيادة الإيمان ونقصانه</w:t>
      </w:r>
      <w:r>
        <w:rPr>
          <w:rFonts w:hint="cs"/>
          <w:rtl/>
        </w:rPr>
        <w:t xml:space="preserve"> </w:t>
      </w:r>
      <w:r w:rsidR="009C32A0" w:rsidRPr="005675B2">
        <w:rPr>
          <w:rFonts w:hint="cs"/>
          <w:rtl/>
        </w:rPr>
        <w:t>معتمداً</w:t>
      </w:r>
      <w:r>
        <w:rPr>
          <w:rFonts w:hint="cs"/>
          <w:rtl/>
        </w:rPr>
        <w:t xml:space="preserve"> </w:t>
      </w:r>
      <w:r w:rsidR="009C32A0" w:rsidRPr="005675B2">
        <w:rPr>
          <w:rFonts w:hint="cs"/>
          <w:rtl/>
        </w:rPr>
        <w:t>في ذلك على كلام الإمام ابن تيمية</w:t>
      </w:r>
      <w:r>
        <w:rPr>
          <w:rFonts w:hint="cs"/>
          <w:rtl/>
        </w:rPr>
        <w:t>،</w:t>
      </w:r>
    </w:p>
    <w:p w14:paraId="2B5D5AE0" w14:textId="4C5A1DD8" w:rsidR="009C32A0" w:rsidRPr="005675B2" w:rsidRDefault="009C32A0" w:rsidP="000636C2">
      <w:pPr>
        <w:rPr>
          <w:b/>
          <w:u w:val="single"/>
          <w:rtl/>
        </w:rPr>
      </w:pPr>
      <w:r w:rsidRPr="005675B2">
        <w:rPr>
          <w:rFonts w:hint="cs"/>
          <w:rtl/>
        </w:rPr>
        <w:t>و كل هذه الدعاوى باطلة قطعاً</w:t>
      </w:r>
      <w:r w:rsidR="000636C2">
        <w:rPr>
          <w:rFonts w:hint="cs"/>
          <w:rtl/>
        </w:rPr>
        <w:t xml:space="preserve">: </w:t>
      </w:r>
      <w:r w:rsidRPr="005675B2">
        <w:rPr>
          <w:rFonts w:hint="cs"/>
          <w:rtl/>
        </w:rPr>
        <w:t xml:space="preserve">ووصفكم لهم بأنهم على </w:t>
      </w:r>
      <w:r w:rsidRPr="005675B2">
        <w:rPr>
          <w:rFonts w:hint="cs"/>
          <w:u w:val="single"/>
          <w:rtl/>
        </w:rPr>
        <w:t>مذهب جهم بعينه شهادة باطلة والله يتولى هداك</w:t>
      </w:r>
      <w:r w:rsidR="000636C2">
        <w:rPr>
          <w:rFonts w:hint="cs"/>
          <w:rtl/>
        </w:rPr>
        <w:t>:</w:t>
      </w:r>
      <w:r w:rsidRPr="005675B2">
        <w:rPr>
          <w:rFonts w:hint="cs"/>
          <w:rtl/>
        </w:rPr>
        <w:t xml:space="preserve"> ونأتي إلى بيان المسألة بعون الله تعالى</w:t>
      </w:r>
      <w:r w:rsidR="000636C2">
        <w:rPr>
          <w:rFonts w:hint="cs"/>
          <w:rtl/>
        </w:rPr>
        <w:t>:</w:t>
      </w:r>
      <w:r w:rsidRPr="005675B2">
        <w:rPr>
          <w:rFonts w:hint="cs"/>
          <w:rtl/>
        </w:rPr>
        <w:t xml:space="preserve"> السلف يقولون الإيمان هو </w:t>
      </w:r>
      <w:r w:rsidR="000636C2">
        <w:rPr>
          <w:rFonts w:hint="cs"/>
          <w:rtl/>
        </w:rPr>
        <w:t>(</w:t>
      </w:r>
      <w:r w:rsidRPr="005675B2">
        <w:rPr>
          <w:rFonts w:hint="cs"/>
          <w:rtl/>
        </w:rPr>
        <w:t>اعتقاد بالقلب</w:t>
      </w:r>
      <w:r w:rsidR="000636C2">
        <w:rPr>
          <w:rFonts w:hint="cs"/>
          <w:rtl/>
        </w:rPr>
        <w:t>،</w:t>
      </w:r>
      <w:r w:rsidRPr="005675B2">
        <w:rPr>
          <w:rFonts w:hint="cs"/>
          <w:rtl/>
        </w:rPr>
        <w:t>وقول باللسان</w:t>
      </w:r>
      <w:r w:rsidR="000636C2">
        <w:rPr>
          <w:rFonts w:hint="cs"/>
          <w:rtl/>
        </w:rPr>
        <w:t>،</w:t>
      </w:r>
      <w:r w:rsidRPr="005675B2">
        <w:rPr>
          <w:rFonts w:hint="cs"/>
          <w:rtl/>
        </w:rPr>
        <w:t>وعمل بالجوارح</w:t>
      </w:r>
      <w:r w:rsidR="000636C2">
        <w:rPr>
          <w:rFonts w:hint="cs"/>
          <w:rtl/>
        </w:rPr>
        <w:t xml:space="preserve">)، </w:t>
      </w:r>
      <w:r w:rsidRPr="005675B2">
        <w:rPr>
          <w:rFonts w:hint="cs"/>
          <w:rtl/>
        </w:rPr>
        <w:t xml:space="preserve">والخوارج والمعتزلة يقولون الإيمان </w:t>
      </w:r>
      <w:r w:rsidR="000636C2">
        <w:rPr>
          <w:rFonts w:hint="cs"/>
          <w:rtl/>
        </w:rPr>
        <w:t>(</w:t>
      </w:r>
      <w:r w:rsidRPr="005675B2">
        <w:rPr>
          <w:rFonts w:hint="cs"/>
          <w:rtl/>
        </w:rPr>
        <w:t>اعتقادبالقلب</w:t>
      </w:r>
      <w:r w:rsidR="000636C2">
        <w:rPr>
          <w:rFonts w:hint="cs"/>
          <w:rtl/>
        </w:rPr>
        <w:t>،</w:t>
      </w:r>
      <w:r w:rsidRPr="005675B2">
        <w:rPr>
          <w:rFonts w:hint="cs"/>
          <w:rtl/>
        </w:rPr>
        <w:t>وقول باللسان</w:t>
      </w:r>
      <w:r w:rsidR="000636C2">
        <w:rPr>
          <w:rFonts w:hint="cs"/>
          <w:rtl/>
        </w:rPr>
        <w:t>،</w:t>
      </w:r>
      <w:r w:rsidRPr="005675B2">
        <w:rPr>
          <w:rFonts w:hint="cs"/>
          <w:rtl/>
        </w:rPr>
        <w:t>وعمل بالجوارح</w:t>
      </w:r>
      <w:r w:rsidR="000636C2">
        <w:rPr>
          <w:rFonts w:hint="cs"/>
          <w:rtl/>
        </w:rPr>
        <w:t>)،</w:t>
      </w:r>
      <w:r w:rsidRPr="005675B2">
        <w:rPr>
          <w:rFonts w:hint="cs"/>
          <w:rtl/>
        </w:rPr>
        <w:t xml:space="preserve"> </w:t>
      </w:r>
      <w:r w:rsidRPr="005675B2">
        <w:rPr>
          <w:rFonts w:hint="cs"/>
          <w:u w:val="single"/>
          <w:rtl/>
        </w:rPr>
        <w:t>فهل سلف أهل السنة والجماعة يتوافقون مع الخوارج في ماهية الإيمان، وكونها مركبة من أمور ثلاثة فمن أخل بشيء منها فهو كافر</w:t>
      </w:r>
      <w:r w:rsidR="000636C2">
        <w:rPr>
          <w:rFonts w:hint="cs"/>
          <w:rtl/>
        </w:rPr>
        <w:t xml:space="preserve">؟ </w:t>
      </w:r>
      <w:r w:rsidRPr="005675B2">
        <w:rPr>
          <w:rFonts w:hint="cs"/>
          <w:rtl/>
        </w:rPr>
        <w:t>وبداية أقول</w:t>
      </w:r>
      <w:r w:rsidR="000636C2">
        <w:rPr>
          <w:rFonts w:hint="cs"/>
          <w:rtl/>
        </w:rPr>
        <w:t>:</w:t>
      </w:r>
      <w:r w:rsidRPr="005675B2">
        <w:rPr>
          <w:rFonts w:hint="cs"/>
          <w:rtl/>
        </w:rPr>
        <w:t>إن أهل العقائد دونوا علم العقيدة</w:t>
      </w:r>
      <w:r w:rsidR="000636C2">
        <w:rPr>
          <w:rFonts w:hint="cs"/>
          <w:rtl/>
        </w:rPr>
        <w:t>،</w:t>
      </w:r>
      <w:r w:rsidRPr="005675B2">
        <w:rPr>
          <w:rFonts w:hint="cs"/>
          <w:rtl/>
        </w:rPr>
        <w:t xml:space="preserve"> واصطلحوا على مصطلحات علمية عقدية توزن بها أقوالهم</w:t>
      </w:r>
      <w:r w:rsidR="000636C2">
        <w:rPr>
          <w:rFonts w:hint="cs"/>
          <w:rtl/>
        </w:rPr>
        <w:t>،</w:t>
      </w:r>
      <w:r w:rsidRPr="005675B2">
        <w:rPr>
          <w:rFonts w:hint="cs"/>
          <w:rtl/>
        </w:rPr>
        <w:t xml:space="preserve"> وحين يذكرون الإيمان هنا فهم</w:t>
      </w:r>
      <w:r w:rsidRPr="005675B2">
        <w:rPr>
          <w:rFonts w:hint="cs"/>
          <w:u w:val="single"/>
          <w:rtl/>
        </w:rPr>
        <w:t xml:space="preserve"> يقصدون</w:t>
      </w:r>
      <w:r w:rsidR="000636C2">
        <w:rPr>
          <w:rFonts w:hint="cs"/>
          <w:u w:val="single"/>
          <w:rtl/>
        </w:rPr>
        <w:t xml:space="preserve"> </w:t>
      </w:r>
      <w:r w:rsidRPr="005675B2">
        <w:rPr>
          <w:rFonts w:hint="cs"/>
          <w:u w:val="single"/>
          <w:rtl/>
        </w:rPr>
        <w:t>أحد أمرين</w:t>
      </w:r>
      <w:r w:rsidR="000636C2">
        <w:rPr>
          <w:rFonts w:hint="cs"/>
          <w:u w:val="single"/>
          <w:rtl/>
        </w:rPr>
        <w:t>:</w:t>
      </w:r>
    </w:p>
    <w:p w14:paraId="3773FB46" w14:textId="6A25E9D5" w:rsidR="009C32A0" w:rsidRPr="005675B2" w:rsidRDefault="009C32A0" w:rsidP="000636C2">
      <w:pPr>
        <w:rPr>
          <w:b/>
          <w:rtl/>
        </w:rPr>
      </w:pPr>
      <w:r w:rsidRPr="005675B2">
        <w:rPr>
          <w:rFonts w:hint="cs"/>
          <w:u w:val="single"/>
          <w:rtl/>
        </w:rPr>
        <w:t>الأمر الأول</w:t>
      </w:r>
      <w:r w:rsidR="000636C2">
        <w:rPr>
          <w:rFonts w:hint="cs"/>
          <w:u w:val="single"/>
          <w:rtl/>
        </w:rPr>
        <w:t>:</w:t>
      </w:r>
      <w:r w:rsidRPr="005675B2">
        <w:rPr>
          <w:rFonts w:hint="cs"/>
          <w:u w:val="single"/>
          <w:rtl/>
        </w:rPr>
        <w:t xml:space="preserve"> ما ينتفي به الكفر المخرج من الملة</w:t>
      </w:r>
      <w:r w:rsidRPr="005675B2">
        <w:rPr>
          <w:rFonts w:hint="cs"/>
          <w:rtl/>
        </w:rPr>
        <w:t xml:space="preserve"> وهو ما يسمى بأصل الإيمان</w:t>
      </w:r>
      <w:r w:rsidR="000636C2">
        <w:rPr>
          <w:rFonts w:hint="cs"/>
          <w:rtl/>
        </w:rPr>
        <w:t>،</w:t>
      </w:r>
      <w:r w:rsidR="000636C2">
        <w:rPr>
          <w:rFonts w:hint="cs"/>
          <w:u w:val="single"/>
          <w:rtl/>
        </w:rPr>
        <w:t xml:space="preserve"> </w:t>
      </w:r>
      <w:r w:rsidRPr="005675B2">
        <w:rPr>
          <w:rFonts w:hint="cs"/>
          <w:u w:val="single"/>
          <w:rtl/>
        </w:rPr>
        <w:t>الأمر الثاني</w:t>
      </w:r>
      <w:r w:rsidR="000636C2">
        <w:rPr>
          <w:rFonts w:hint="cs"/>
          <w:u w:val="single"/>
          <w:rtl/>
        </w:rPr>
        <w:t xml:space="preserve">: </w:t>
      </w:r>
      <w:r w:rsidRPr="005675B2">
        <w:rPr>
          <w:rFonts w:hint="cs"/>
          <w:u w:val="single"/>
          <w:rtl/>
        </w:rPr>
        <w:t>مازاد على ذلك وهو ما يسمى بكمال الإيمان</w:t>
      </w:r>
      <w:r w:rsidR="000636C2">
        <w:rPr>
          <w:rFonts w:hint="cs"/>
          <w:u w:val="single"/>
          <w:rtl/>
        </w:rPr>
        <w:t xml:space="preserve">، </w:t>
      </w:r>
      <w:r w:rsidRPr="005675B2">
        <w:rPr>
          <w:rFonts w:hint="cs"/>
          <w:rtl/>
        </w:rPr>
        <w:t>والحقيقة القطعية أنه لاتوافق بين أهل السنة والجماعة سلفهم وخلفهم مع الخوارج</w:t>
      </w:r>
      <w:r w:rsidR="000636C2">
        <w:rPr>
          <w:rFonts w:hint="cs"/>
          <w:rtl/>
        </w:rPr>
        <w:t>،</w:t>
      </w:r>
      <w:r w:rsidRPr="005675B2">
        <w:rPr>
          <w:rFonts w:hint="cs"/>
          <w:rtl/>
        </w:rPr>
        <w:t>والمعتزلة</w:t>
      </w:r>
      <w:r w:rsidR="000636C2">
        <w:rPr>
          <w:rFonts w:hint="cs"/>
          <w:rtl/>
        </w:rPr>
        <w:t>،</w:t>
      </w:r>
      <w:r w:rsidRPr="005675B2">
        <w:rPr>
          <w:rFonts w:hint="cs"/>
          <w:rtl/>
        </w:rPr>
        <w:t>والمرجئة في معنى الإيمان ولذا فهل العمل عند سلف أهل السنة داخل في الإيمان</w:t>
      </w:r>
      <w:r w:rsidR="000636C2">
        <w:rPr>
          <w:rFonts w:hint="cs"/>
          <w:rtl/>
        </w:rPr>
        <w:t>؟</w:t>
      </w:r>
      <w:r w:rsidRPr="005675B2">
        <w:rPr>
          <w:rFonts w:hint="cs"/>
          <w:rtl/>
        </w:rPr>
        <w:t>وهل وافقوا الخوارج في كونه شرط لصحة الإيمان</w:t>
      </w:r>
      <w:r w:rsidR="000636C2">
        <w:rPr>
          <w:rFonts w:hint="cs"/>
          <w:rtl/>
        </w:rPr>
        <w:t xml:space="preserve">؟ </w:t>
      </w:r>
      <w:r w:rsidRPr="005675B2">
        <w:rPr>
          <w:rFonts w:hint="cs"/>
          <w:rtl/>
        </w:rPr>
        <w:t>الحقيقة أن أهل السنة والجماعة يفرقون بين أصل الإيمان، وكماله وسأبين ذلك لاحقاً بالنقل والتوثيق - إن شاء الله -</w:t>
      </w:r>
      <w:r w:rsidR="000636C2">
        <w:rPr>
          <w:rFonts w:hint="cs"/>
          <w:rtl/>
        </w:rPr>
        <w:t xml:space="preserve">، </w:t>
      </w:r>
      <w:r w:rsidRPr="005675B2">
        <w:rPr>
          <w:rFonts w:hint="cs"/>
          <w:rtl/>
        </w:rPr>
        <w:t>وسنرى هذه الجوانب الثلاثة عند الأشاعرة من كتبهم</w:t>
      </w:r>
      <w:r w:rsidR="000636C2">
        <w:rPr>
          <w:rFonts w:hint="cs"/>
          <w:rtl/>
        </w:rPr>
        <w:t>:</w:t>
      </w:r>
    </w:p>
    <w:p w14:paraId="777B733C" w14:textId="294F5654" w:rsidR="009C32A0" w:rsidRPr="005675B2" w:rsidRDefault="009C32A0" w:rsidP="000636C2">
      <w:pPr>
        <w:rPr>
          <w:b/>
          <w:rtl/>
        </w:rPr>
      </w:pPr>
      <w:r w:rsidRPr="005675B2">
        <w:rPr>
          <w:rFonts w:hint="cs"/>
          <w:rtl/>
        </w:rPr>
        <w:t>الجانب الأول</w:t>
      </w:r>
      <w:r w:rsidR="000636C2">
        <w:rPr>
          <w:rFonts w:hint="cs"/>
          <w:rtl/>
        </w:rPr>
        <w:t>:</w:t>
      </w:r>
      <w:r w:rsidRPr="005675B2">
        <w:rPr>
          <w:rFonts w:hint="cs"/>
          <w:rtl/>
        </w:rPr>
        <w:t xml:space="preserve"> اعتقاد القلب</w:t>
      </w:r>
      <w:r w:rsidR="000636C2">
        <w:rPr>
          <w:rFonts w:hint="cs"/>
          <w:rtl/>
        </w:rPr>
        <w:t>:</w:t>
      </w:r>
      <w:r w:rsidRPr="005675B2">
        <w:rPr>
          <w:rFonts w:hint="cs"/>
          <w:rtl/>
        </w:rPr>
        <w:t xml:space="preserve"> ومعناه هو التصديق المقترن بالإذعان</w:t>
      </w:r>
      <w:r w:rsidR="000636C2">
        <w:rPr>
          <w:rFonts w:hint="cs"/>
          <w:rtl/>
        </w:rPr>
        <w:t>،</w:t>
      </w:r>
      <w:r w:rsidRPr="005675B2">
        <w:rPr>
          <w:rFonts w:hint="cs"/>
          <w:rtl/>
        </w:rPr>
        <w:t xml:space="preserve"> والأشاعرة يقررون ذلك</w:t>
      </w:r>
      <w:r w:rsidR="000636C2">
        <w:rPr>
          <w:rFonts w:hint="cs"/>
          <w:rtl/>
        </w:rPr>
        <w:t>،</w:t>
      </w:r>
      <w:r w:rsidRPr="005675B2">
        <w:rPr>
          <w:rFonts w:hint="cs"/>
          <w:rtl/>
        </w:rPr>
        <w:t>وهذا هو</w:t>
      </w:r>
      <w:r w:rsidR="000636C2">
        <w:rPr>
          <w:rFonts w:hint="cs"/>
          <w:rtl/>
        </w:rPr>
        <w:t xml:space="preserve"> </w:t>
      </w:r>
      <w:r w:rsidRPr="005675B2">
        <w:rPr>
          <w:rFonts w:hint="cs"/>
          <w:rtl/>
        </w:rPr>
        <w:t>أصل الإيمان الذي به يدخل الإسلام وينتفي</w:t>
      </w:r>
      <w:r w:rsidR="000636C2">
        <w:rPr>
          <w:rFonts w:hint="cs"/>
          <w:rtl/>
        </w:rPr>
        <w:t xml:space="preserve"> </w:t>
      </w:r>
      <w:r w:rsidRPr="005675B2">
        <w:rPr>
          <w:rFonts w:hint="cs"/>
          <w:rtl/>
        </w:rPr>
        <w:t>به</w:t>
      </w:r>
      <w:r w:rsidR="000636C2">
        <w:rPr>
          <w:rFonts w:hint="cs"/>
          <w:rtl/>
        </w:rPr>
        <w:t xml:space="preserve"> </w:t>
      </w:r>
      <w:r w:rsidRPr="005675B2">
        <w:rPr>
          <w:rFonts w:hint="cs"/>
          <w:rtl/>
        </w:rPr>
        <w:t>الكفر</w:t>
      </w:r>
      <w:r w:rsidR="000636C2">
        <w:rPr>
          <w:rFonts w:hint="cs"/>
          <w:rtl/>
        </w:rPr>
        <w:t>،</w:t>
      </w:r>
      <w:r w:rsidRPr="005675B2">
        <w:rPr>
          <w:rFonts w:hint="cs"/>
          <w:rtl/>
        </w:rPr>
        <w:t xml:space="preserve"> فهو التصديق</w:t>
      </w:r>
      <w:r w:rsidR="000636C2">
        <w:rPr>
          <w:rFonts w:hint="cs"/>
          <w:rtl/>
        </w:rPr>
        <w:t>،</w:t>
      </w:r>
      <w:r w:rsidRPr="005675B2">
        <w:rPr>
          <w:rFonts w:hint="cs"/>
          <w:rtl/>
        </w:rPr>
        <w:t>ومعناه عند الأشاعرة</w:t>
      </w:r>
      <w:r w:rsidR="000636C2">
        <w:rPr>
          <w:rFonts w:hint="cs"/>
          <w:rtl/>
        </w:rPr>
        <w:t>:</w:t>
      </w:r>
      <w:r w:rsidRPr="005675B2">
        <w:rPr>
          <w:rFonts w:hint="cs"/>
          <w:rtl/>
        </w:rPr>
        <w:t xml:space="preserve"> </w:t>
      </w:r>
      <w:r w:rsidRPr="005675B2">
        <w:rPr>
          <w:rFonts w:hint="cs"/>
          <w:u w:val="single"/>
          <w:rtl/>
        </w:rPr>
        <w:t>قبول القلب وإذعانه لماعلم من الدين بالضرورة</w:t>
      </w:r>
      <w:r w:rsidR="000636C2">
        <w:rPr>
          <w:rFonts w:hint="cs"/>
          <w:rtl/>
        </w:rPr>
        <w:t>،</w:t>
      </w:r>
      <w:r w:rsidRPr="005675B2">
        <w:rPr>
          <w:rFonts w:hint="cs"/>
          <w:rtl/>
        </w:rPr>
        <w:t xml:space="preserve"> [</w:t>
      </w:r>
      <w:r w:rsidRPr="005675B2">
        <w:rPr>
          <w:rFonts w:hint="cs"/>
          <w:bCs/>
          <w:sz w:val="24"/>
          <w:szCs w:val="24"/>
          <w:rtl/>
        </w:rPr>
        <w:t>المسامرة شرح المسايرةص279]</w:t>
      </w:r>
      <w:r w:rsidRPr="005675B2">
        <w:rPr>
          <w:rFonts w:hint="cs"/>
          <w:rtl/>
        </w:rPr>
        <w:t xml:space="preserve"> فالتركيز عليه لأنه أصل الإيمان</w:t>
      </w:r>
      <w:r w:rsidR="000636C2">
        <w:rPr>
          <w:rFonts w:hint="cs"/>
          <w:rtl/>
        </w:rPr>
        <w:t xml:space="preserve">، </w:t>
      </w:r>
      <w:r w:rsidRPr="005675B2">
        <w:rPr>
          <w:rFonts w:hint="cs"/>
          <w:rtl/>
        </w:rPr>
        <w:t>قال تعالى في المنافقين من الأعراب {قالت الأعراب آمنا قل لم تؤمنوا ولكن قولوا</w:t>
      </w:r>
      <w:r w:rsidR="000636C2">
        <w:rPr>
          <w:rFonts w:hint="cs"/>
          <w:rtl/>
        </w:rPr>
        <w:t xml:space="preserve"> </w:t>
      </w:r>
      <w:r w:rsidRPr="005675B2">
        <w:rPr>
          <w:rFonts w:hint="cs"/>
          <w:rtl/>
        </w:rPr>
        <w:t xml:space="preserve">أسلمنا ولما يدخل الإيمان في قلوبكم} </w:t>
      </w:r>
      <w:r w:rsidR="000636C2">
        <w:rPr>
          <w:rFonts w:hint="cs"/>
          <w:rtl/>
        </w:rPr>
        <w:t>[</w:t>
      </w:r>
      <w:r w:rsidRPr="005675B2">
        <w:rPr>
          <w:rFonts w:hint="cs"/>
          <w:bCs/>
          <w:sz w:val="24"/>
          <w:szCs w:val="24"/>
          <w:rtl/>
        </w:rPr>
        <w:t>انظر تفسير البغوي وابن الجوزي والرازي والقرطبي و الشوكاني وابن جرير سورة الحجرات</w:t>
      </w:r>
      <w:r w:rsidR="000636C2">
        <w:rPr>
          <w:rFonts w:hint="cs"/>
          <w:bCs/>
          <w:sz w:val="24"/>
          <w:szCs w:val="24"/>
          <w:rtl/>
        </w:rPr>
        <w:t>]</w:t>
      </w:r>
      <w:r w:rsidR="000636C2">
        <w:rPr>
          <w:rFonts w:hint="cs"/>
          <w:rtl/>
        </w:rPr>
        <w:t xml:space="preserve">، </w:t>
      </w:r>
      <w:r w:rsidRPr="005675B2">
        <w:rPr>
          <w:rFonts w:hint="cs"/>
          <w:rtl/>
        </w:rPr>
        <w:t>وفي حديث جبريل المشهور قال ما الإيمان</w:t>
      </w:r>
      <w:r w:rsidR="000636C2">
        <w:rPr>
          <w:rFonts w:hint="cs"/>
          <w:rtl/>
        </w:rPr>
        <w:t>؟</w:t>
      </w:r>
      <w:r w:rsidRPr="005675B2">
        <w:rPr>
          <w:rFonts w:hint="cs"/>
          <w:rtl/>
        </w:rPr>
        <w:t>(</w:t>
      </w:r>
      <w:r w:rsidR="000636C2">
        <w:rPr>
          <w:rFonts w:hint="cs"/>
          <w:rtl/>
        </w:rPr>
        <w:t>(</w:t>
      </w:r>
      <w:r w:rsidRPr="005675B2">
        <w:rPr>
          <w:rFonts w:hint="cs"/>
          <w:rtl/>
        </w:rPr>
        <w:t>قال أن تؤمن بالله وملائكته وكتبه ورسله واليوم الآخر والقدر خيره وشره</w:t>
      </w:r>
      <w:r w:rsidR="000636C2">
        <w:rPr>
          <w:rFonts w:hint="cs"/>
          <w:rtl/>
        </w:rPr>
        <w:t>)</w:t>
      </w:r>
      <w:r w:rsidRPr="005675B2">
        <w:rPr>
          <w:rFonts w:hint="cs"/>
          <w:rtl/>
        </w:rPr>
        <w:t>)</w:t>
      </w:r>
      <w:r w:rsidR="000636C2">
        <w:rPr>
          <w:rFonts w:hint="cs"/>
          <w:rtl/>
        </w:rPr>
        <w:t>،</w:t>
      </w:r>
      <w:r w:rsidRPr="005675B2">
        <w:rPr>
          <w:rFonts w:hint="cs"/>
          <w:rtl/>
        </w:rPr>
        <w:t xml:space="preserve"> وقال رسول الله صلى الله عليه وسلم</w:t>
      </w:r>
      <w:r w:rsidR="000636C2">
        <w:rPr>
          <w:rFonts w:hint="cs"/>
          <w:rtl/>
        </w:rPr>
        <w:t xml:space="preserve"> </w:t>
      </w:r>
      <w:r w:rsidRPr="005675B2">
        <w:rPr>
          <w:rFonts w:hint="cs"/>
          <w:rtl/>
        </w:rPr>
        <w:t>في حديث الشفاعة الطويل وجاء فيه(</w:t>
      </w:r>
      <w:r w:rsidR="000636C2">
        <w:rPr>
          <w:rFonts w:hint="cs"/>
          <w:rtl/>
        </w:rPr>
        <w:t>(</w:t>
      </w:r>
      <w:r w:rsidRPr="005675B2">
        <w:rPr>
          <w:rFonts w:hint="cs"/>
          <w:rtl/>
        </w:rPr>
        <w:t>فيقال يا محمد ارفع رأسك</w:t>
      </w:r>
      <w:r w:rsidR="000636C2">
        <w:rPr>
          <w:rFonts w:hint="cs"/>
          <w:rtl/>
        </w:rPr>
        <w:t>،</w:t>
      </w:r>
      <w:r w:rsidRPr="005675B2">
        <w:rPr>
          <w:rFonts w:hint="cs"/>
          <w:rtl/>
        </w:rPr>
        <w:t xml:space="preserve"> وسل تعط</w:t>
      </w:r>
      <w:r w:rsidR="000636C2">
        <w:rPr>
          <w:rFonts w:hint="cs"/>
          <w:rtl/>
        </w:rPr>
        <w:t>،</w:t>
      </w:r>
      <w:r w:rsidRPr="005675B2">
        <w:rPr>
          <w:rFonts w:hint="cs"/>
          <w:rtl/>
        </w:rPr>
        <w:t>واشفع تشفع</w:t>
      </w:r>
      <w:r w:rsidR="000636C2">
        <w:rPr>
          <w:rFonts w:hint="cs"/>
          <w:rtl/>
        </w:rPr>
        <w:t>،</w:t>
      </w:r>
      <w:r w:rsidRPr="005675B2">
        <w:rPr>
          <w:rFonts w:hint="cs"/>
          <w:rtl/>
        </w:rPr>
        <w:t xml:space="preserve"> فأقول يارب أمتي أمتي فيقول</w:t>
      </w:r>
      <w:r w:rsidR="000636C2">
        <w:rPr>
          <w:rFonts w:hint="cs"/>
          <w:rtl/>
        </w:rPr>
        <w:t>:</w:t>
      </w:r>
      <w:r w:rsidRPr="005675B2">
        <w:rPr>
          <w:rFonts w:hint="cs"/>
          <w:rtl/>
        </w:rPr>
        <w:t xml:space="preserve"> انطلق فأخرج </w:t>
      </w:r>
      <w:r w:rsidRPr="005675B2">
        <w:rPr>
          <w:rFonts w:hint="cs"/>
          <w:u w:val="single"/>
          <w:rtl/>
        </w:rPr>
        <w:t>من كان في قلبه</w:t>
      </w:r>
      <w:r w:rsidRPr="005675B2">
        <w:rPr>
          <w:rFonts w:hint="cs"/>
          <w:rtl/>
        </w:rPr>
        <w:t xml:space="preserve"> أدنى أدنى أدنى </w:t>
      </w:r>
      <w:r w:rsidRPr="005675B2">
        <w:rPr>
          <w:rFonts w:hint="cs"/>
          <w:u w:val="single"/>
          <w:rtl/>
        </w:rPr>
        <w:t>مثقال حبة خردل من إيمان فأخرجه من النار</w:t>
      </w:r>
      <w:r w:rsidR="000636C2">
        <w:rPr>
          <w:rFonts w:hint="cs"/>
          <w:rtl/>
        </w:rPr>
        <w:t>،</w:t>
      </w:r>
      <w:r w:rsidRPr="005675B2">
        <w:rPr>
          <w:rFonts w:hint="cs"/>
          <w:rtl/>
        </w:rPr>
        <w:t xml:space="preserve"> فأنطلق فأفعل</w:t>
      </w:r>
      <w:r w:rsidR="000636C2">
        <w:rPr>
          <w:rFonts w:hint="cs"/>
          <w:rtl/>
        </w:rPr>
        <w:t>)</w:t>
      </w:r>
      <w:r w:rsidRPr="005675B2">
        <w:rPr>
          <w:rFonts w:hint="cs"/>
          <w:rtl/>
        </w:rPr>
        <w:t>)رواه البخاري في الصحيح وغيره [</w:t>
      </w:r>
      <w:r w:rsidRPr="005675B2">
        <w:rPr>
          <w:rFonts w:hint="cs"/>
          <w:bCs/>
          <w:sz w:val="24"/>
          <w:szCs w:val="24"/>
          <w:rtl/>
        </w:rPr>
        <w:t>مختصر صحيح البخاري ص738</w:t>
      </w:r>
      <w:r w:rsidRPr="005675B2">
        <w:rPr>
          <w:rFonts w:hint="cs"/>
          <w:rtl/>
        </w:rPr>
        <w:t>]</w:t>
      </w:r>
      <w:r w:rsidR="000636C2">
        <w:rPr>
          <w:rFonts w:hint="cs"/>
          <w:rtl/>
        </w:rPr>
        <w:t>،</w:t>
      </w:r>
      <w:r w:rsidRPr="005675B2">
        <w:rPr>
          <w:rFonts w:hint="cs"/>
          <w:rtl/>
        </w:rPr>
        <w:t xml:space="preserve"> قال الحافظ ابن حجر العسقلاني الأشعري</w:t>
      </w:r>
      <w:r w:rsidR="000636C2">
        <w:rPr>
          <w:rFonts w:hint="cs"/>
          <w:rtl/>
        </w:rPr>
        <w:t>:</w:t>
      </w:r>
      <w:r w:rsidRPr="005675B2">
        <w:rPr>
          <w:rFonts w:hint="cs"/>
          <w:rtl/>
        </w:rPr>
        <w:t>الإيمان لغة التصديق</w:t>
      </w:r>
      <w:r w:rsidR="000636C2">
        <w:rPr>
          <w:rFonts w:hint="cs"/>
          <w:rtl/>
        </w:rPr>
        <w:t xml:space="preserve">، </w:t>
      </w:r>
      <w:r w:rsidRPr="005675B2">
        <w:rPr>
          <w:rFonts w:hint="cs"/>
          <w:rtl/>
        </w:rPr>
        <w:t>وشرعاً</w:t>
      </w:r>
      <w:r w:rsidR="000636C2">
        <w:rPr>
          <w:rFonts w:hint="cs"/>
          <w:rtl/>
        </w:rPr>
        <w:t>:</w:t>
      </w:r>
      <w:r w:rsidRPr="005675B2">
        <w:rPr>
          <w:rFonts w:hint="cs"/>
          <w:rtl/>
        </w:rPr>
        <w:t xml:space="preserve"> تصديق الرسول فيما جاء به عن ربه وهذا القدر متفق عليه</w:t>
      </w:r>
      <w:r w:rsidR="000636C2">
        <w:rPr>
          <w:rFonts w:hint="cs"/>
          <w:rtl/>
        </w:rPr>
        <w:t xml:space="preserve">، </w:t>
      </w:r>
      <w:r w:rsidRPr="005675B2">
        <w:rPr>
          <w:rFonts w:hint="cs"/>
          <w:rtl/>
        </w:rPr>
        <w:t>ثم وقع الاختلاف</w:t>
      </w:r>
      <w:r w:rsidR="000636C2">
        <w:rPr>
          <w:rFonts w:hint="cs"/>
          <w:rtl/>
        </w:rPr>
        <w:t>:</w:t>
      </w:r>
      <w:r w:rsidRPr="005675B2">
        <w:rPr>
          <w:rFonts w:hint="cs"/>
          <w:rtl/>
        </w:rPr>
        <w:t>هل يشترط مع ذلك مزيد أمر من جهة إبداء هذا التصديق باللسان المعبر عما في</w:t>
      </w:r>
      <w:r w:rsidR="000636C2">
        <w:rPr>
          <w:rFonts w:hint="cs"/>
          <w:rtl/>
        </w:rPr>
        <w:t xml:space="preserve"> </w:t>
      </w:r>
      <w:r w:rsidRPr="005675B2">
        <w:rPr>
          <w:rFonts w:hint="cs"/>
          <w:rtl/>
        </w:rPr>
        <w:t>القلب إذ التصديق من أفعال القلوب</w:t>
      </w:r>
      <w:r w:rsidR="000636C2">
        <w:rPr>
          <w:rFonts w:hint="cs"/>
          <w:rtl/>
        </w:rPr>
        <w:t>؟</w:t>
      </w:r>
      <w:r w:rsidRPr="005675B2">
        <w:rPr>
          <w:rFonts w:hint="cs"/>
          <w:rtl/>
        </w:rPr>
        <w:t>أو من جهة العمل .. كما سيأتي ذكره إن شاء الله</w:t>
      </w:r>
      <w:r w:rsidR="000636C2">
        <w:rPr>
          <w:rFonts w:hint="cs"/>
          <w:rtl/>
        </w:rPr>
        <w:t xml:space="preserve">، </w:t>
      </w:r>
      <w:r w:rsidRPr="005675B2">
        <w:rPr>
          <w:rFonts w:hint="cs"/>
          <w:rtl/>
        </w:rPr>
        <w:t>[</w:t>
      </w:r>
      <w:r w:rsidRPr="005675B2">
        <w:rPr>
          <w:rFonts w:hint="cs"/>
          <w:bCs/>
          <w:sz w:val="24"/>
          <w:szCs w:val="24"/>
          <w:rtl/>
        </w:rPr>
        <w:t>فتح الباري كتاب الإيمان 1/63</w:t>
      </w:r>
      <w:r w:rsidRPr="005675B2">
        <w:rPr>
          <w:rFonts w:hint="cs"/>
          <w:rtl/>
        </w:rPr>
        <w:t>]</w:t>
      </w:r>
      <w:r w:rsidR="000636C2">
        <w:rPr>
          <w:rFonts w:hint="cs"/>
          <w:rtl/>
        </w:rPr>
        <w:t>،</w:t>
      </w:r>
      <w:r w:rsidRPr="005675B2">
        <w:rPr>
          <w:rFonts w:hint="cs"/>
          <w:rtl/>
        </w:rPr>
        <w:t xml:space="preserve"> وقال الباجوري</w:t>
      </w:r>
      <w:r w:rsidR="000636C2">
        <w:rPr>
          <w:rFonts w:hint="cs"/>
          <w:rtl/>
        </w:rPr>
        <w:t>:</w:t>
      </w:r>
      <w:r w:rsidRPr="005675B2">
        <w:rPr>
          <w:rFonts w:hint="cs"/>
          <w:rtl/>
        </w:rPr>
        <w:t xml:space="preserve"> المقصود بالتصديق هو التصديق المعهود شرعاً وهو</w:t>
      </w:r>
      <w:r w:rsidR="000636C2">
        <w:rPr>
          <w:rFonts w:hint="cs"/>
          <w:rtl/>
        </w:rPr>
        <w:t>:</w:t>
      </w:r>
      <w:r w:rsidRPr="005675B2">
        <w:rPr>
          <w:rFonts w:hint="cs"/>
          <w:rtl/>
        </w:rPr>
        <w:t>تصديق النبي صلى الله عليه وسلم في كل ماجاء به وعلم من الدين بالضرورة .. والمراد بتصديق النبي في ذلك الإذعان لما جاء به والقبول له</w:t>
      </w:r>
      <w:r w:rsidR="000636C2">
        <w:rPr>
          <w:rFonts w:hint="cs"/>
          <w:rtl/>
        </w:rPr>
        <w:t>،</w:t>
      </w:r>
      <w:r w:rsidRPr="005675B2">
        <w:rPr>
          <w:rFonts w:hint="cs"/>
          <w:u w:val="single"/>
          <w:rtl/>
        </w:rPr>
        <w:t xml:space="preserve"> وليس المراد مجرد وقوع نسبة الصدق في القلب من غير إذعان وقبول له</w:t>
      </w:r>
      <w:r w:rsidRPr="005675B2">
        <w:rPr>
          <w:rFonts w:hint="cs"/>
          <w:rtl/>
        </w:rPr>
        <w:t xml:space="preserve"> حتى لا يلزم الحكم بإيمان كثير من الكفار الذين كانوا يعرفون حقيقة نبوته ورسالته ومصداق ذلك قوله تعالى (</w:t>
      </w:r>
      <w:r w:rsidR="000636C2">
        <w:rPr>
          <w:rFonts w:hint="cs"/>
          <w:rtl/>
        </w:rPr>
        <w:t>(</w:t>
      </w:r>
      <w:r w:rsidRPr="005675B2">
        <w:rPr>
          <w:rFonts w:hint="cs"/>
          <w:rtl/>
        </w:rPr>
        <w:t>يعرفونه كما يعرفون أبناءهم</w:t>
      </w:r>
      <w:r w:rsidR="000636C2">
        <w:rPr>
          <w:rFonts w:hint="cs"/>
          <w:rtl/>
        </w:rPr>
        <w:t>)</w:t>
      </w:r>
      <w:r w:rsidRPr="005675B2">
        <w:rPr>
          <w:rFonts w:hint="cs"/>
          <w:rtl/>
        </w:rPr>
        <w:t>)</w:t>
      </w:r>
      <w:r w:rsidR="000636C2">
        <w:rPr>
          <w:rFonts w:hint="cs"/>
          <w:rtl/>
        </w:rPr>
        <w:t>،</w:t>
      </w:r>
      <w:r w:rsidRPr="005675B2">
        <w:rPr>
          <w:rFonts w:hint="cs"/>
          <w:rtl/>
        </w:rPr>
        <w:t xml:space="preserve"> أهـ</w:t>
      </w:r>
      <w:r w:rsidR="000636C2">
        <w:rPr>
          <w:rFonts w:hint="cs"/>
          <w:rtl/>
        </w:rPr>
        <w:t xml:space="preserve"> </w:t>
      </w:r>
      <w:r w:rsidRPr="005675B2">
        <w:rPr>
          <w:rFonts w:hint="cs"/>
          <w:rtl/>
        </w:rPr>
        <w:t>بحروفه</w:t>
      </w:r>
      <w:r w:rsidR="000636C2">
        <w:rPr>
          <w:rFonts w:hint="cs"/>
          <w:rtl/>
        </w:rPr>
        <w:t>،</w:t>
      </w:r>
      <w:r w:rsidRPr="005675B2">
        <w:rPr>
          <w:rFonts w:hint="cs"/>
          <w:rtl/>
        </w:rPr>
        <w:t xml:space="preserve"> [</w:t>
      </w:r>
      <w:r w:rsidRPr="005675B2">
        <w:rPr>
          <w:rFonts w:hint="cs"/>
          <w:bCs/>
          <w:sz w:val="24"/>
          <w:szCs w:val="24"/>
          <w:rtl/>
        </w:rPr>
        <w:t>شرح جوهرة التوحيد ص111]</w:t>
      </w:r>
      <w:r w:rsidR="000636C2">
        <w:rPr>
          <w:rFonts w:hint="cs"/>
          <w:rtl/>
        </w:rPr>
        <w:t xml:space="preserve">، </w:t>
      </w:r>
      <w:r w:rsidRPr="005675B2">
        <w:rPr>
          <w:rFonts w:hint="cs"/>
          <w:rtl/>
        </w:rPr>
        <w:t>وهنا تبطل دعوى المؤلف</w:t>
      </w:r>
      <w:r w:rsidR="000636C2">
        <w:rPr>
          <w:rFonts w:hint="cs"/>
          <w:rtl/>
        </w:rPr>
        <w:t xml:space="preserve"> </w:t>
      </w:r>
      <w:r w:rsidRPr="005675B2">
        <w:rPr>
          <w:rFonts w:hint="cs"/>
          <w:rtl/>
        </w:rPr>
        <w:t>من</w:t>
      </w:r>
      <w:r w:rsidR="000636C2">
        <w:rPr>
          <w:rFonts w:hint="cs"/>
          <w:rtl/>
        </w:rPr>
        <w:t xml:space="preserve"> </w:t>
      </w:r>
      <w:r w:rsidRPr="005675B2">
        <w:rPr>
          <w:rFonts w:hint="cs"/>
          <w:rtl/>
        </w:rPr>
        <w:t>أن لازم قولهم تصحيح إيمان المشركين كأبي طالب، لأنه ليس الإيمان عندهم معرفة مجردة</w:t>
      </w:r>
      <w:r w:rsidR="000636C2">
        <w:rPr>
          <w:rFonts w:hint="cs"/>
          <w:rtl/>
        </w:rPr>
        <w:t>،</w:t>
      </w:r>
      <w:r w:rsidRPr="005675B2">
        <w:rPr>
          <w:rFonts w:hint="cs"/>
          <w:rtl/>
        </w:rPr>
        <w:t>ولا هو مجرد وجود نسبة الصدق في القلب</w:t>
      </w:r>
      <w:r w:rsidR="000636C2">
        <w:rPr>
          <w:rFonts w:hint="cs"/>
          <w:rtl/>
        </w:rPr>
        <w:t>،</w:t>
      </w:r>
      <w:r w:rsidRPr="005675B2">
        <w:rPr>
          <w:rFonts w:hint="cs"/>
          <w:rtl/>
        </w:rPr>
        <w:t>بل هو أمر زائد عن ذلك ألا وهو الإذعان والقبول لدين الإسلام</w:t>
      </w:r>
      <w:r w:rsidR="000636C2">
        <w:rPr>
          <w:rFonts w:hint="cs"/>
          <w:rtl/>
        </w:rPr>
        <w:t>،</w:t>
      </w:r>
      <w:r w:rsidRPr="005675B2">
        <w:rPr>
          <w:rFonts w:hint="cs"/>
          <w:rtl/>
        </w:rPr>
        <w:t xml:space="preserve"> وقال الإمام الخطابي وهو من أصحاب الحديث</w:t>
      </w:r>
      <w:r w:rsidR="000636C2">
        <w:rPr>
          <w:rFonts w:hint="cs"/>
          <w:rtl/>
        </w:rPr>
        <w:t>:</w:t>
      </w:r>
      <w:r w:rsidRPr="005675B2">
        <w:rPr>
          <w:rFonts w:hint="cs"/>
          <w:rtl/>
        </w:rPr>
        <w:t xml:space="preserve"> أصل الإيمان التصديق وأصل الإسلام الاستسلام والانقياد</w:t>
      </w:r>
      <w:r w:rsidR="000636C2">
        <w:rPr>
          <w:rFonts w:hint="cs"/>
          <w:rtl/>
        </w:rPr>
        <w:t>،</w:t>
      </w:r>
      <w:r w:rsidRPr="005675B2">
        <w:rPr>
          <w:rFonts w:hint="cs"/>
          <w:rtl/>
        </w:rPr>
        <w:t xml:space="preserve"> [</w:t>
      </w:r>
      <w:r w:rsidRPr="005675B2">
        <w:rPr>
          <w:rFonts w:hint="cs"/>
          <w:bCs/>
          <w:sz w:val="24"/>
          <w:szCs w:val="24"/>
          <w:rtl/>
        </w:rPr>
        <w:t>شرح صحيح مسلم للنووي 1/102</w:t>
      </w:r>
      <w:r w:rsidRPr="005675B2">
        <w:rPr>
          <w:rFonts w:hint="cs"/>
          <w:rtl/>
        </w:rPr>
        <w:t>]</w:t>
      </w:r>
    </w:p>
    <w:p w14:paraId="5600B796" w14:textId="633CC7B3" w:rsidR="009C32A0" w:rsidRPr="005675B2" w:rsidRDefault="009C32A0" w:rsidP="000636C2">
      <w:pPr>
        <w:rPr>
          <w:b/>
          <w:rtl/>
        </w:rPr>
      </w:pPr>
      <w:r w:rsidRPr="005675B2">
        <w:rPr>
          <w:rFonts w:hint="cs"/>
          <w:rtl/>
        </w:rPr>
        <w:t>وقال محمد بن نصر المروزي - وهو يحكي أقوال أصحاب الحديث -</w:t>
      </w:r>
      <w:r w:rsidR="000636C2">
        <w:rPr>
          <w:rFonts w:hint="cs"/>
          <w:rtl/>
        </w:rPr>
        <w:t>:</w:t>
      </w:r>
      <w:r w:rsidRPr="005675B2">
        <w:rPr>
          <w:rFonts w:hint="cs"/>
          <w:rtl/>
        </w:rPr>
        <w:t xml:space="preserve"> الأصل التصديق بالله والخضوع له بإعطاء العزم للأداء بما أمربه ومجانباً للاستنكاف والاستكباروالمعاندة</w:t>
      </w:r>
      <w:r w:rsidR="000636C2">
        <w:rPr>
          <w:rFonts w:hint="cs"/>
          <w:rtl/>
        </w:rPr>
        <w:t>،</w:t>
      </w:r>
      <w:r w:rsidRPr="005675B2">
        <w:rPr>
          <w:rFonts w:hint="cs"/>
          <w:rtl/>
        </w:rPr>
        <w:t xml:space="preserve"> [</w:t>
      </w:r>
      <w:r w:rsidRPr="005675B2">
        <w:rPr>
          <w:rFonts w:hint="cs"/>
          <w:bCs/>
          <w:sz w:val="24"/>
          <w:szCs w:val="24"/>
          <w:rtl/>
        </w:rPr>
        <w:t>تعظيم قدر الصلاة للمروزي521</w:t>
      </w:r>
      <w:r w:rsidRPr="005675B2">
        <w:rPr>
          <w:rFonts w:hint="cs"/>
          <w:rtl/>
        </w:rPr>
        <w:t>]</w:t>
      </w:r>
      <w:r w:rsidR="000636C2">
        <w:rPr>
          <w:rFonts w:hint="cs"/>
          <w:rtl/>
        </w:rPr>
        <w:t>،</w:t>
      </w:r>
      <w:r w:rsidRPr="005675B2">
        <w:rPr>
          <w:rFonts w:hint="cs"/>
          <w:rtl/>
        </w:rPr>
        <w:t xml:space="preserve"> وقال أيضاً</w:t>
      </w:r>
      <w:r w:rsidR="000636C2">
        <w:rPr>
          <w:rFonts w:hint="cs"/>
          <w:rtl/>
        </w:rPr>
        <w:t>:</w:t>
      </w:r>
      <w:r w:rsidRPr="005675B2">
        <w:rPr>
          <w:rFonts w:hint="cs"/>
          <w:rtl/>
        </w:rPr>
        <w:t xml:space="preserve"> فإن قيل لهم أليس الإيمان ضد الكفر</w:t>
      </w:r>
      <w:r w:rsidR="000636C2">
        <w:rPr>
          <w:rFonts w:hint="cs"/>
          <w:rtl/>
        </w:rPr>
        <w:t>؟</w:t>
      </w:r>
      <w:r w:rsidRPr="005675B2">
        <w:rPr>
          <w:rFonts w:hint="cs"/>
          <w:rtl/>
        </w:rPr>
        <w:t xml:space="preserve"> </w:t>
      </w:r>
      <w:r w:rsidRPr="005675B2">
        <w:rPr>
          <w:rFonts w:hint="cs"/>
          <w:u w:val="single"/>
          <w:rtl/>
        </w:rPr>
        <w:t>قالوا الكفر ضد لأصل الإيمان</w:t>
      </w:r>
      <w:r w:rsidR="000636C2">
        <w:rPr>
          <w:rFonts w:hint="cs"/>
          <w:rtl/>
        </w:rPr>
        <w:t>،</w:t>
      </w:r>
      <w:r w:rsidRPr="005675B2">
        <w:rPr>
          <w:rFonts w:hint="cs"/>
          <w:rtl/>
        </w:rPr>
        <w:t>لأن للإيمان أصلاً وفرعاً فلا يثبت الكفر حتى يزول أصل الإيمان الذي هو ضد الكفر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تعظيم قدر الصلاة334.للمروزي 202هـ إلى 299]</w:t>
      </w:r>
      <w:r w:rsidRPr="005675B2">
        <w:rPr>
          <w:rFonts w:hint="cs"/>
          <w:rtl/>
        </w:rPr>
        <w:t xml:space="preserve"> فانظر كيف يثبتون أن للإيمان أصلاً وفرعاً</w:t>
      </w:r>
      <w:r w:rsidR="000636C2">
        <w:rPr>
          <w:rFonts w:hint="cs"/>
          <w:rtl/>
        </w:rPr>
        <w:t>،</w:t>
      </w:r>
      <w:r w:rsidRPr="005675B2">
        <w:rPr>
          <w:rFonts w:hint="cs"/>
          <w:rtl/>
        </w:rPr>
        <w:t xml:space="preserve"> والفرع هو ما يسمى بالكمال</w:t>
      </w:r>
      <w:r w:rsidR="000636C2">
        <w:rPr>
          <w:rFonts w:hint="cs"/>
          <w:rtl/>
        </w:rPr>
        <w:t xml:space="preserve">، </w:t>
      </w:r>
      <w:r w:rsidRPr="005675B2">
        <w:rPr>
          <w:rFonts w:hint="cs"/>
          <w:rtl/>
        </w:rPr>
        <w:t>وقال</w:t>
      </w:r>
      <w:r w:rsidR="000636C2">
        <w:rPr>
          <w:rFonts w:hint="cs"/>
          <w:rtl/>
        </w:rPr>
        <w:t>:</w:t>
      </w:r>
      <w:r w:rsidRPr="005675B2">
        <w:rPr>
          <w:rFonts w:hint="cs"/>
          <w:rtl/>
        </w:rPr>
        <w:t xml:space="preserve"> وقالوا</w:t>
      </w:r>
      <w:r w:rsidR="000636C2">
        <w:rPr>
          <w:rFonts w:hint="cs"/>
          <w:rtl/>
        </w:rPr>
        <w:t>:</w:t>
      </w:r>
      <w:r w:rsidRPr="005675B2">
        <w:rPr>
          <w:rFonts w:hint="cs"/>
          <w:rtl/>
        </w:rPr>
        <w:t xml:space="preserve"> فكذلك لا نسميه مؤمناً</w:t>
      </w:r>
      <w:r w:rsidR="000636C2">
        <w:rPr>
          <w:rFonts w:hint="cs"/>
          <w:rtl/>
        </w:rPr>
        <w:t>،</w:t>
      </w:r>
      <w:r w:rsidRPr="005675B2">
        <w:rPr>
          <w:rFonts w:hint="cs"/>
          <w:rtl/>
        </w:rPr>
        <w:t xml:space="preserve">ونسميه فاسقاً زانياً </w:t>
      </w:r>
      <w:r w:rsidRPr="005675B2">
        <w:rPr>
          <w:rFonts w:hint="cs"/>
          <w:u w:val="single"/>
          <w:rtl/>
        </w:rPr>
        <w:t>وإن كان أصل في قلبه اسم الإيمان لأن الإيمان اسم أثنى الله به على المؤمنين ..</w:t>
      </w:r>
      <w:r w:rsidR="000636C2">
        <w:rPr>
          <w:rFonts w:hint="cs"/>
          <w:rtl/>
        </w:rPr>
        <w:t>،</w:t>
      </w:r>
      <w:r w:rsidRPr="005675B2">
        <w:rPr>
          <w:rFonts w:hint="cs"/>
          <w:rtl/>
        </w:rPr>
        <w:t xml:space="preserve"> وقالوا</w:t>
      </w:r>
      <w:r w:rsidR="000636C2">
        <w:rPr>
          <w:rFonts w:hint="cs"/>
          <w:rtl/>
        </w:rPr>
        <w:t>:</w:t>
      </w:r>
      <w:r w:rsidRPr="005675B2">
        <w:rPr>
          <w:rFonts w:hint="cs"/>
          <w:rtl/>
        </w:rPr>
        <w:t xml:space="preserve"> ولو كان أحد من المسلمين الموحدين يستحق أن لايكون في قلبه إيمان ولا إسلام من الموحدين لكان أحق الناس بذلك أهل النار الذين دخلوها فلما وجدنا النبي يخبر أن الله يقول (</w:t>
      </w:r>
      <w:r w:rsidR="000636C2">
        <w:rPr>
          <w:rFonts w:hint="cs"/>
          <w:rtl/>
        </w:rPr>
        <w:t>(</w:t>
      </w:r>
      <w:r w:rsidRPr="005675B2">
        <w:rPr>
          <w:rFonts w:hint="cs"/>
          <w:rtl/>
        </w:rPr>
        <w:t>أخرجوا من النار من كان في قلبه مثقال ذرة من إ يمان ثبت أن شر المسلمين في قلبه إيمان</w:t>
      </w:r>
      <w:r w:rsidR="000636C2">
        <w:rPr>
          <w:rFonts w:hint="cs"/>
          <w:rtl/>
        </w:rPr>
        <w:t>)</w:t>
      </w:r>
      <w:r w:rsidRPr="005675B2">
        <w:rPr>
          <w:rFonts w:hint="cs"/>
          <w:rtl/>
        </w:rPr>
        <w:t>)</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تعظيم قدر الصلاة 335</w:t>
      </w:r>
      <w:r w:rsidRPr="005675B2">
        <w:rPr>
          <w:rFonts w:hint="cs"/>
          <w:rtl/>
        </w:rPr>
        <w:t>]</w:t>
      </w:r>
      <w:r w:rsidR="000636C2">
        <w:rPr>
          <w:rFonts w:hint="cs"/>
          <w:rtl/>
        </w:rPr>
        <w:t>،</w:t>
      </w:r>
      <w:r w:rsidRPr="005675B2">
        <w:rPr>
          <w:rFonts w:hint="cs"/>
          <w:rtl/>
        </w:rPr>
        <w:t xml:space="preserve"> وغرضي من النقل عن الإمام المروزي بيان شيئين</w:t>
      </w:r>
      <w:r w:rsidR="000636C2">
        <w:rPr>
          <w:rFonts w:hint="cs"/>
          <w:rtl/>
        </w:rPr>
        <w:t>:</w:t>
      </w:r>
      <w:r w:rsidRPr="005675B2">
        <w:rPr>
          <w:rFonts w:hint="cs"/>
          <w:rtl/>
        </w:rPr>
        <w:t xml:space="preserve"> الشيء الأول</w:t>
      </w:r>
      <w:r w:rsidR="000636C2">
        <w:rPr>
          <w:rFonts w:hint="cs"/>
          <w:rtl/>
        </w:rPr>
        <w:t>:</w:t>
      </w:r>
      <w:r w:rsidRPr="005675B2">
        <w:rPr>
          <w:rFonts w:hint="cs"/>
          <w:rtl/>
        </w:rPr>
        <w:t xml:space="preserve"> بيان اختلاف أصحاب الحديث في المسائل العقدية وهو اختلاف اجتهادي في المسائل التي ليس فيها دليل قطعي</w:t>
      </w:r>
      <w:r w:rsidR="000636C2">
        <w:rPr>
          <w:rFonts w:hint="cs"/>
          <w:rtl/>
        </w:rPr>
        <w:t>،</w:t>
      </w:r>
      <w:r w:rsidRPr="005675B2">
        <w:rPr>
          <w:rFonts w:hint="cs"/>
          <w:rtl/>
        </w:rPr>
        <w:t xml:space="preserve"> الثاني</w:t>
      </w:r>
      <w:r w:rsidR="000636C2">
        <w:rPr>
          <w:rFonts w:hint="cs"/>
          <w:rtl/>
        </w:rPr>
        <w:t xml:space="preserve">: </w:t>
      </w:r>
      <w:r w:rsidRPr="005675B2">
        <w:rPr>
          <w:rFonts w:hint="cs"/>
          <w:rtl/>
        </w:rPr>
        <w:t>لأبين كونهم يفرقون بين أصل الإيمان وكماله، وأنهم يسمون فاعل الكبيرة فاسقاً مسلماً وليس بكامل الإيمان</w:t>
      </w:r>
      <w:r w:rsidR="000636C2">
        <w:rPr>
          <w:rFonts w:hint="cs"/>
          <w:rtl/>
        </w:rPr>
        <w:t>،</w:t>
      </w:r>
      <w:r w:rsidRPr="005675B2">
        <w:rPr>
          <w:rFonts w:hint="cs"/>
          <w:rtl/>
        </w:rPr>
        <w:t>وهو نفس كلام الأشاعرة لأنه عين مذهب السلف</w:t>
      </w:r>
      <w:r w:rsidR="000636C2">
        <w:rPr>
          <w:rFonts w:hint="cs"/>
          <w:rtl/>
        </w:rPr>
        <w:t>،</w:t>
      </w:r>
      <w:r w:rsidRPr="005675B2">
        <w:rPr>
          <w:rFonts w:hint="cs"/>
          <w:rtl/>
        </w:rPr>
        <w:t xml:space="preserve"> </w:t>
      </w:r>
      <w:r w:rsidRPr="005675B2">
        <w:rPr>
          <w:rFonts w:hint="cs"/>
          <w:u w:val="single"/>
          <w:rtl/>
        </w:rPr>
        <w:t>الجانب الثاني</w:t>
      </w:r>
      <w:r w:rsidR="000636C2">
        <w:rPr>
          <w:rFonts w:hint="cs"/>
          <w:u w:val="single"/>
          <w:rtl/>
        </w:rPr>
        <w:t xml:space="preserve">: </w:t>
      </w:r>
      <w:r w:rsidRPr="005675B2">
        <w:rPr>
          <w:rFonts w:hint="cs"/>
          <w:u w:val="single"/>
          <w:rtl/>
        </w:rPr>
        <w:t>عمل الجوارح</w:t>
      </w:r>
      <w:r w:rsidR="000636C2">
        <w:rPr>
          <w:rFonts w:hint="cs"/>
          <w:u w:val="single"/>
          <w:rtl/>
        </w:rPr>
        <w:t>:</w:t>
      </w:r>
      <w:r w:rsidRPr="005675B2">
        <w:rPr>
          <w:rFonts w:hint="cs"/>
          <w:rtl/>
        </w:rPr>
        <w:t xml:space="preserve"> وهو شرط للإيمان عند الأشاعرة وجميع أهل السنة والجماعة ولكنهم يختلفون عن الخوارج والمعتزلة </w:t>
      </w:r>
      <w:r w:rsidRPr="005675B2">
        <w:rPr>
          <w:rFonts w:hint="cs"/>
          <w:u w:val="single"/>
          <w:rtl/>
        </w:rPr>
        <w:t>حيث أن الخوارج والمعتزلة يجعلون العمل</w:t>
      </w:r>
      <w:r w:rsidR="000636C2">
        <w:rPr>
          <w:rFonts w:hint="cs"/>
          <w:u w:val="single"/>
          <w:rtl/>
        </w:rPr>
        <w:t xml:space="preserve"> </w:t>
      </w:r>
      <w:r w:rsidRPr="005675B2">
        <w:rPr>
          <w:rFonts w:hint="cs"/>
          <w:u w:val="single"/>
          <w:rtl/>
        </w:rPr>
        <w:t>شرط لصحة الإيمان</w:t>
      </w:r>
      <w:r w:rsidR="000636C2">
        <w:rPr>
          <w:rFonts w:hint="cs"/>
          <w:u w:val="single"/>
          <w:rtl/>
        </w:rPr>
        <w:t>،</w:t>
      </w:r>
      <w:r w:rsidRPr="005675B2">
        <w:rPr>
          <w:rFonts w:hint="cs"/>
          <w:rtl/>
        </w:rPr>
        <w:t>ففاعل الكبيرة كافر عندهم في الآخرة فضلاً عن تارك العمل كلية</w:t>
      </w:r>
      <w:r w:rsidR="000636C2">
        <w:rPr>
          <w:rFonts w:hint="cs"/>
          <w:rtl/>
        </w:rPr>
        <w:t>،</w:t>
      </w:r>
      <w:r w:rsidRPr="005675B2">
        <w:rPr>
          <w:rFonts w:hint="cs"/>
          <w:rtl/>
        </w:rPr>
        <w:t>وهو في الدنيا كافر عند الخوارج وفي منزلة بين الإيمان والكفر عندا لمعتزلة</w:t>
      </w:r>
      <w:r w:rsidR="000636C2">
        <w:rPr>
          <w:rFonts w:hint="cs"/>
          <w:rtl/>
        </w:rPr>
        <w:t>،</w:t>
      </w:r>
      <w:r w:rsidRPr="005675B2">
        <w:rPr>
          <w:rFonts w:hint="cs"/>
          <w:rtl/>
        </w:rPr>
        <w:t xml:space="preserve"> بينما الأشاعرة </w:t>
      </w:r>
      <w:r w:rsidRPr="005675B2">
        <w:rPr>
          <w:rFonts w:hint="cs"/>
          <w:u w:val="single"/>
          <w:rtl/>
        </w:rPr>
        <w:t>وافقوا السلف في أن تارك العمل</w:t>
      </w:r>
      <w:r w:rsidR="000636C2">
        <w:rPr>
          <w:rFonts w:hint="cs"/>
          <w:u w:val="single"/>
          <w:rtl/>
        </w:rPr>
        <w:t xml:space="preserve"> </w:t>
      </w:r>
      <w:r w:rsidRPr="005675B2">
        <w:rPr>
          <w:rFonts w:hint="cs"/>
          <w:u w:val="single"/>
          <w:rtl/>
        </w:rPr>
        <w:t>ليس بكافر ولو ارتكب الكبائر بل هو مؤمن فاسق وهو تحت مشيئة الله في الآخرة</w:t>
      </w:r>
      <w:r w:rsidRPr="005675B2">
        <w:rPr>
          <w:rFonts w:hint="cs"/>
          <w:rtl/>
        </w:rPr>
        <w:t xml:space="preserve"> إن شاء عذبه أو غفر له ولو دخل النار فلا يخلد فيها</w:t>
      </w:r>
      <w:r w:rsidR="000636C2">
        <w:rPr>
          <w:rFonts w:hint="cs"/>
          <w:rtl/>
        </w:rPr>
        <w:t xml:space="preserve">، </w:t>
      </w:r>
      <w:r w:rsidRPr="005675B2">
        <w:rPr>
          <w:rFonts w:hint="cs"/>
          <w:rtl/>
        </w:rPr>
        <w:t>لقوله تعالى (</w:t>
      </w:r>
      <w:r w:rsidR="000636C2">
        <w:rPr>
          <w:rFonts w:hint="cs"/>
          <w:rtl/>
        </w:rPr>
        <w:t>(</w:t>
      </w:r>
      <w:r w:rsidRPr="005675B2">
        <w:rPr>
          <w:rFonts w:hint="cs"/>
          <w:rtl/>
        </w:rPr>
        <w:t>إن الله لايغفر أن يشرك به ويغفر مادون ذلك لمن يشاء</w:t>
      </w:r>
      <w:r w:rsidR="000636C2">
        <w:rPr>
          <w:rFonts w:hint="cs"/>
          <w:rtl/>
        </w:rPr>
        <w:t>)</w:t>
      </w:r>
      <w:r w:rsidRPr="005675B2">
        <w:rPr>
          <w:rFonts w:hint="cs"/>
          <w:rtl/>
        </w:rPr>
        <w:t>)</w:t>
      </w:r>
      <w:r w:rsidR="000636C2">
        <w:rPr>
          <w:rFonts w:hint="cs"/>
          <w:rtl/>
        </w:rPr>
        <w:t>،</w:t>
      </w:r>
      <w:r w:rsidRPr="005675B2">
        <w:rPr>
          <w:rFonts w:hint="cs"/>
          <w:rtl/>
        </w:rPr>
        <w:t xml:space="preserve"> اما إذا كان تركه للعمل استحلالاً أو عناداً للشارع أو شكاً في مشروعية العمل فهو كافر </w:t>
      </w:r>
      <w:r w:rsidRPr="005675B2">
        <w:rPr>
          <w:rFonts w:hint="cs"/>
          <w:u w:val="single"/>
          <w:rtl/>
        </w:rPr>
        <w:t>فيماعلم من دين الإسلام بالضرورة</w:t>
      </w:r>
      <w:r w:rsidR="000636C2">
        <w:rPr>
          <w:rFonts w:hint="cs"/>
          <w:rtl/>
        </w:rPr>
        <w:t>،</w:t>
      </w:r>
      <w:r w:rsidRPr="005675B2">
        <w:rPr>
          <w:rFonts w:hint="cs"/>
          <w:rtl/>
        </w:rPr>
        <w:t xml:space="preserve"> ويدل على دخول العمل في الإيمان (</w:t>
      </w:r>
      <w:r w:rsidR="000636C2">
        <w:rPr>
          <w:rFonts w:hint="cs"/>
          <w:rtl/>
        </w:rPr>
        <w:t>(</w:t>
      </w:r>
      <w:r w:rsidRPr="005675B2">
        <w:rPr>
          <w:rFonts w:hint="cs"/>
          <w:rtl/>
        </w:rPr>
        <w:t>الإيمان بضع وسبعون شعبة أعلاها قول لا إله إلا الله وأدناها إماطة الأذى عن الطريق ..</w:t>
      </w:r>
      <w:r w:rsidR="000636C2">
        <w:rPr>
          <w:rFonts w:hint="cs"/>
          <w:rtl/>
        </w:rPr>
        <w:t>)</w:t>
      </w:r>
      <w:r w:rsidRPr="005675B2">
        <w:rPr>
          <w:rFonts w:hint="cs"/>
          <w:rtl/>
        </w:rPr>
        <w:t>)</w:t>
      </w:r>
      <w:r w:rsidR="000636C2">
        <w:rPr>
          <w:rFonts w:hint="cs"/>
          <w:rtl/>
        </w:rPr>
        <w:t>،</w:t>
      </w:r>
      <w:r w:rsidRPr="005675B2">
        <w:rPr>
          <w:rFonts w:hint="cs"/>
          <w:rtl/>
        </w:rPr>
        <w:t xml:space="preserve"> ولذا قال الباجوري</w:t>
      </w:r>
      <w:r w:rsidR="000636C2">
        <w:rPr>
          <w:rFonts w:hint="cs"/>
          <w:rtl/>
        </w:rPr>
        <w:t>:</w:t>
      </w:r>
      <w:r w:rsidRPr="005675B2">
        <w:rPr>
          <w:rFonts w:hint="cs"/>
          <w:rtl/>
        </w:rPr>
        <w:t xml:space="preserve"> </w:t>
      </w:r>
      <w:r w:rsidR="000636C2">
        <w:rPr>
          <w:rFonts w:hint="cs"/>
          <w:rtl/>
        </w:rPr>
        <w:t>[(</w:t>
      </w:r>
      <w:r w:rsidRPr="005675B2">
        <w:rPr>
          <w:rFonts w:hint="cs"/>
          <w:rtl/>
        </w:rPr>
        <w:t>العمل</w:t>
      </w:r>
      <w:r w:rsidR="000636C2">
        <w:rPr>
          <w:rFonts w:hint="cs"/>
          <w:rtl/>
        </w:rPr>
        <w:t>)</w:t>
      </w:r>
      <w:r w:rsidRPr="005675B2">
        <w:rPr>
          <w:rFonts w:hint="cs"/>
          <w:rtl/>
        </w:rPr>
        <w:t xml:space="preserve"> شرط كمال على المختار عند أهل السنة</w:t>
      </w:r>
      <w:r w:rsidR="000636C2">
        <w:rPr>
          <w:rFonts w:hint="cs"/>
          <w:rtl/>
        </w:rPr>
        <w:t>،</w:t>
      </w:r>
      <w:r w:rsidRPr="005675B2">
        <w:rPr>
          <w:rFonts w:hint="cs"/>
          <w:rtl/>
        </w:rPr>
        <w:t xml:space="preserve"> فمن أتى بالعمل فقد حصل الكمال</w:t>
      </w:r>
      <w:r w:rsidR="000636C2">
        <w:rPr>
          <w:rFonts w:hint="cs"/>
          <w:rtl/>
        </w:rPr>
        <w:t>،</w:t>
      </w:r>
      <w:r w:rsidRPr="005675B2">
        <w:rPr>
          <w:rFonts w:hint="cs"/>
          <w:rtl/>
        </w:rPr>
        <w:t xml:space="preserve"> ومن تركه فهو مؤمن لكنه قد فوت على نفسه الكمال إذا لم يكن مع ذلك استحلال أو عناد للشارع أو شك في مشروعيته</w:t>
      </w:r>
      <w:r w:rsidR="000636C2">
        <w:rPr>
          <w:rFonts w:hint="cs"/>
          <w:rtl/>
        </w:rPr>
        <w:t>،</w:t>
      </w:r>
      <w:r w:rsidRPr="005675B2">
        <w:rPr>
          <w:rFonts w:hint="cs"/>
          <w:rtl/>
        </w:rPr>
        <w:t xml:space="preserve"> </w:t>
      </w:r>
      <w:r w:rsidRPr="005675B2">
        <w:rPr>
          <w:rFonts w:hint="cs"/>
          <w:u w:val="single"/>
          <w:rtl/>
        </w:rPr>
        <w:t>وإلا فهو كافر فيما علم من الدين بالضرورة</w:t>
      </w:r>
      <w:r w:rsidR="000636C2">
        <w:rPr>
          <w:rFonts w:hint="cs"/>
          <w:rtl/>
        </w:rPr>
        <w:t>،</w:t>
      </w:r>
      <w:r w:rsidRPr="005675B2">
        <w:rPr>
          <w:rFonts w:hint="cs"/>
          <w:rtl/>
        </w:rPr>
        <w:t xml:space="preserve"> وذهبت المعتزلة إلى أن العمل شطر من الإيمان لأنهم يقولون</w:t>
      </w:r>
      <w:r w:rsidR="000636C2">
        <w:rPr>
          <w:rFonts w:hint="cs"/>
          <w:rtl/>
        </w:rPr>
        <w:t>:</w:t>
      </w:r>
      <w:r w:rsidRPr="005675B2">
        <w:rPr>
          <w:rFonts w:hint="cs"/>
          <w:rtl/>
        </w:rPr>
        <w:t xml:space="preserve"> بأنه العمل والنطق والاعتقاد فمن ترك العمل فليس بمؤمن لفقد جزء من الإيمان وهو العمل ولا كافر لوجود التصديق فهو عندهم في منزلة بين المنزلتين ويخلد في النار ويعذب بأقل من عذاب الكافر</w:t>
      </w:r>
      <w:r w:rsidR="000636C2">
        <w:rPr>
          <w:rFonts w:hint="cs"/>
          <w:rtl/>
        </w:rPr>
        <w:t>،</w:t>
      </w:r>
      <w:r w:rsidRPr="005675B2">
        <w:rPr>
          <w:rFonts w:hint="cs"/>
          <w:rtl/>
        </w:rPr>
        <w:t xml:space="preserve"> والخوارج يكفرون مرتكب الكبائر</w:t>
      </w:r>
      <w:r w:rsidR="000636C2">
        <w:rPr>
          <w:rFonts w:hint="cs"/>
          <w:rtl/>
        </w:rPr>
        <w:t>]،</w:t>
      </w:r>
      <w:r w:rsidRPr="005675B2">
        <w:rPr>
          <w:rFonts w:hint="cs"/>
          <w:rtl/>
        </w:rPr>
        <w:t xml:space="preserve"> أهـ</w:t>
      </w:r>
      <w:r w:rsidR="000636C2">
        <w:rPr>
          <w:rFonts w:hint="cs"/>
          <w:rtl/>
        </w:rPr>
        <w:t xml:space="preserve"> </w:t>
      </w:r>
      <w:r w:rsidRPr="005675B2">
        <w:rPr>
          <w:rFonts w:hint="cs"/>
          <w:rtl/>
        </w:rPr>
        <w:t>كلام الباجوري [</w:t>
      </w:r>
      <w:r w:rsidRPr="005675B2">
        <w:rPr>
          <w:rFonts w:hint="cs"/>
          <w:bCs/>
          <w:sz w:val="24"/>
          <w:szCs w:val="24"/>
          <w:rtl/>
        </w:rPr>
        <w:t>ص117</w:t>
      </w:r>
      <w:r w:rsidRPr="005675B2">
        <w:rPr>
          <w:rFonts w:hint="cs"/>
          <w:rtl/>
        </w:rPr>
        <w:t>]، وقال الحافظ ابن حجر</w:t>
      </w:r>
      <w:r w:rsidR="000636C2">
        <w:rPr>
          <w:rFonts w:hint="cs"/>
          <w:rtl/>
        </w:rPr>
        <w:t>:</w:t>
      </w:r>
      <w:r w:rsidRPr="005675B2">
        <w:rPr>
          <w:rFonts w:hint="cs"/>
          <w:rtl/>
        </w:rPr>
        <w:t xml:space="preserve"> فالسلف قالوا هو اعتقاد بالقلب</w:t>
      </w:r>
      <w:r w:rsidR="000636C2">
        <w:rPr>
          <w:rFonts w:hint="cs"/>
          <w:rtl/>
        </w:rPr>
        <w:t>،</w:t>
      </w:r>
      <w:r w:rsidRPr="005675B2">
        <w:rPr>
          <w:rFonts w:hint="cs"/>
          <w:rtl/>
        </w:rPr>
        <w:t>ونطق باللسان</w:t>
      </w:r>
      <w:r w:rsidR="000636C2">
        <w:rPr>
          <w:rFonts w:hint="cs"/>
          <w:rtl/>
        </w:rPr>
        <w:t>،</w:t>
      </w:r>
      <w:r w:rsidRPr="005675B2">
        <w:rPr>
          <w:rFonts w:hint="cs"/>
          <w:rtl/>
        </w:rPr>
        <w:t>وعمل بالأركان</w:t>
      </w:r>
      <w:r w:rsidR="000636C2">
        <w:rPr>
          <w:rFonts w:hint="cs"/>
          <w:rtl/>
        </w:rPr>
        <w:t>،</w:t>
      </w:r>
      <w:r w:rsidRPr="005675B2">
        <w:rPr>
          <w:rFonts w:hint="cs"/>
          <w:rtl/>
        </w:rPr>
        <w:t xml:space="preserve"> وأرادوا بذلك </w:t>
      </w:r>
      <w:r w:rsidRPr="005675B2">
        <w:rPr>
          <w:rFonts w:hint="cs"/>
          <w:u w:val="single"/>
          <w:rtl/>
        </w:rPr>
        <w:t>أن الأعمال شرط في كماله</w:t>
      </w:r>
      <w:r w:rsidR="000636C2">
        <w:rPr>
          <w:rFonts w:hint="cs"/>
          <w:rtl/>
        </w:rPr>
        <w:t>،</w:t>
      </w:r>
      <w:r w:rsidRPr="005675B2">
        <w:rPr>
          <w:rFonts w:hint="cs"/>
          <w:rtl/>
        </w:rPr>
        <w:t xml:space="preserve"> ومن هنا نشأ لهم القول بالزيادة والنقصان</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الفتح 1/64</w:t>
      </w:r>
      <w:r w:rsidRPr="005675B2">
        <w:rPr>
          <w:rFonts w:hint="cs"/>
          <w:rtl/>
        </w:rPr>
        <w:t>]</w:t>
      </w:r>
      <w:r w:rsidR="000636C2">
        <w:rPr>
          <w:rFonts w:hint="cs"/>
          <w:rtl/>
        </w:rPr>
        <w:t xml:space="preserve">، </w:t>
      </w:r>
      <w:r w:rsidRPr="005675B2">
        <w:rPr>
          <w:rFonts w:hint="cs"/>
          <w:rtl/>
        </w:rPr>
        <w:t>وقال ابن حجر أيضاً</w:t>
      </w:r>
      <w:r w:rsidR="000636C2">
        <w:rPr>
          <w:rFonts w:hint="cs"/>
          <w:rtl/>
        </w:rPr>
        <w:t>:</w:t>
      </w:r>
      <w:r w:rsidRPr="005675B2">
        <w:rPr>
          <w:rFonts w:hint="cs"/>
          <w:rtl/>
        </w:rPr>
        <w:t xml:space="preserve"> والفارق بينهم وبين السلف أنهم</w:t>
      </w:r>
      <w:r w:rsidR="000636C2">
        <w:rPr>
          <w:rFonts w:hint="cs"/>
          <w:rtl/>
        </w:rPr>
        <w:t>(</w:t>
      </w:r>
      <w:r w:rsidRPr="005675B2">
        <w:rPr>
          <w:rFonts w:hint="cs"/>
          <w:rtl/>
        </w:rPr>
        <w:t>أي المعتزلة</w:t>
      </w:r>
      <w:r w:rsidR="000636C2">
        <w:rPr>
          <w:rFonts w:hint="cs"/>
          <w:rtl/>
        </w:rPr>
        <w:t>)</w:t>
      </w:r>
      <w:r w:rsidRPr="005675B2">
        <w:rPr>
          <w:rFonts w:hint="cs"/>
          <w:rtl/>
        </w:rPr>
        <w:t xml:space="preserve">جعلوا الأعمال شرطاً في صحته </w:t>
      </w:r>
      <w:r w:rsidRPr="005675B2">
        <w:rPr>
          <w:rFonts w:hint="cs"/>
          <w:u w:val="single"/>
          <w:rtl/>
        </w:rPr>
        <w:t>والسلف جعلوها شرطاً في كماله</w:t>
      </w:r>
      <w:r w:rsidR="000636C2">
        <w:rPr>
          <w:rFonts w:hint="cs"/>
          <w:rtl/>
        </w:rPr>
        <w:t>،</w:t>
      </w:r>
      <w:r w:rsidRPr="005675B2">
        <w:rPr>
          <w:rFonts w:hint="cs"/>
          <w:rtl/>
        </w:rPr>
        <w:t xml:space="preserve"> [</w:t>
      </w:r>
      <w:r w:rsidRPr="005675B2">
        <w:rPr>
          <w:rFonts w:hint="cs"/>
          <w:bCs/>
          <w:sz w:val="24"/>
          <w:szCs w:val="24"/>
          <w:rtl/>
        </w:rPr>
        <w:t>الفتح 1/64</w:t>
      </w:r>
      <w:r w:rsidRPr="005675B2">
        <w:rPr>
          <w:rFonts w:hint="cs"/>
          <w:rtl/>
        </w:rPr>
        <w:t>]</w:t>
      </w:r>
      <w:r w:rsidR="000636C2">
        <w:rPr>
          <w:rFonts w:hint="cs"/>
          <w:rtl/>
        </w:rPr>
        <w:t>،</w:t>
      </w:r>
      <w:r w:rsidRPr="005675B2">
        <w:rPr>
          <w:rFonts w:hint="cs"/>
          <w:rtl/>
        </w:rPr>
        <w:t xml:space="preserve"> قال الإمام الآمدي</w:t>
      </w:r>
      <w:r w:rsidR="000636C2">
        <w:rPr>
          <w:rFonts w:hint="cs"/>
          <w:rtl/>
        </w:rPr>
        <w:t>:</w:t>
      </w:r>
      <w:r w:rsidRPr="005675B2">
        <w:rPr>
          <w:rFonts w:hint="cs"/>
          <w:rtl/>
        </w:rPr>
        <w:t xml:space="preserve"> فعلى هذا مهما كان مصدقاً بالجنان على الوجه الذي ذكرناه وإن أخل بشيء</w:t>
      </w:r>
      <w:r w:rsidRPr="005675B2">
        <w:rPr>
          <w:rFonts w:hint="cs"/>
        </w:rPr>
        <w:t xml:space="preserve"> </w:t>
      </w:r>
      <w:r w:rsidRPr="005675B2">
        <w:rPr>
          <w:rFonts w:hint="cs"/>
          <w:rtl/>
        </w:rPr>
        <w:t xml:space="preserve">من الأركان فهو مؤمن حقاً وانتفاء الكفر عنه واجب، </w:t>
      </w:r>
      <w:r w:rsidRPr="005675B2">
        <w:rPr>
          <w:rFonts w:hint="cs"/>
          <w:u w:val="single"/>
          <w:rtl/>
        </w:rPr>
        <w:t>وإن صح تسميته فاسقاً بالنسبة إلى</w:t>
      </w:r>
      <w:r w:rsidRPr="005675B2">
        <w:rPr>
          <w:rFonts w:hint="cs"/>
          <w:u w:val="single"/>
        </w:rPr>
        <w:t xml:space="preserve"> </w:t>
      </w:r>
      <w:r w:rsidRPr="005675B2">
        <w:rPr>
          <w:rFonts w:hint="cs"/>
          <w:u w:val="single"/>
          <w:rtl/>
        </w:rPr>
        <w:t>ما أخل به من الطاعات</w:t>
      </w:r>
      <w:r w:rsidR="000636C2">
        <w:rPr>
          <w:rFonts w:hint="cs"/>
          <w:u w:val="single"/>
          <w:rtl/>
        </w:rPr>
        <w:t>،</w:t>
      </w:r>
      <w:r w:rsidRPr="005675B2">
        <w:rPr>
          <w:rFonts w:hint="cs"/>
          <w:u w:val="single"/>
          <w:rtl/>
        </w:rPr>
        <w:t xml:space="preserve"> وارتكب من المنهيات</w:t>
      </w:r>
      <w:r w:rsidR="000636C2">
        <w:rPr>
          <w:rFonts w:hint="cs"/>
          <w:u w:val="single"/>
          <w:rtl/>
        </w:rPr>
        <w:t>،</w:t>
      </w:r>
      <w:r w:rsidRPr="005675B2">
        <w:rPr>
          <w:rFonts w:hint="cs"/>
          <w:rtl/>
        </w:rPr>
        <w:t xml:space="preserve"> ولذلك صح إدراجه في خطاب المؤمنين وإدخاله</w:t>
      </w:r>
      <w:r w:rsidRPr="005675B2">
        <w:rPr>
          <w:rFonts w:hint="cs"/>
        </w:rPr>
        <w:t xml:space="preserve"> </w:t>
      </w:r>
      <w:r w:rsidRPr="005675B2">
        <w:rPr>
          <w:rFonts w:hint="cs"/>
          <w:rtl/>
        </w:rPr>
        <w:t>في جملة تكليفات المسلمين بقوله</w:t>
      </w:r>
      <w:r w:rsidR="000636C2">
        <w:rPr>
          <w:rFonts w:hint="cs"/>
          <w:rtl/>
        </w:rPr>
        <w:t>:{</w:t>
      </w:r>
      <w:r w:rsidRPr="005675B2">
        <w:rPr>
          <w:rFonts w:hint="cs"/>
          <w:rtl/>
        </w:rPr>
        <w:t>وأقيموا الصلاة وآتوا الزكاة</w:t>
      </w:r>
      <w:r w:rsidR="000636C2">
        <w:rPr>
          <w:rFonts w:hint="cs"/>
          <w:rtl/>
        </w:rPr>
        <w:t>}</w:t>
      </w:r>
      <w:r w:rsidRPr="005675B2">
        <w:rPr>
          <w:rFonts w:hint="cs"/>
          <w:rtl/>
        </w:rPr>
        <w:t>ونحو ذلك من الآيات</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غاية المرام 1/310</w:t>
      </w:r>
      <w:r w:rsidRPr="005675B2">
        <w:rPr>
          <w:rFonts w:hint="cs"/>
          <w:rtl/>
        </w:rPr>
        <w:t>]</w:t>
      </w:r>
      <w:r w:rsidR="000636C2">
        <w:rPr>
          <w:rFonts w:hint="cs"/>
          <w:rtl/>
        </w:rPr>
        <w:t xml:space="preserve">، </w:t>
      </w:r>
      <w:r w:rsidRPr="005675B2">
        <w:rPr>
          <w:rFonts w:hint="cs"/>
          <w:rtl/>
        </w:rPr>
        <w:t>وقال ابن نصر المروزي</w:t>
      </w:r>
      <w:r w:rsidR="000636C2">
        <w:rPr>
          <w:rFonts w:hint="cs"/>
          <w:rtl/>
        </w:rPr>
        <w:t>:</w:t>
      </w:r>
      <w:r w:rsidRPr="005675B2">
        <w:rPr>
          <w:rFonts w:hint="cs"/>
          <w:rtl/>
        </w:rPr>
        <w:t>فإن قيل بين لنا الأصل والفرع</w:t>
      </w:r>
      <w:r w:rsidR="000636C2">
        <w:rPr>
          <w:rFonts w:hint="cs"/>
          <w:rtl/>
        </w:rPr>
        <w:t>؟</w:t>
      </w:r>
      <w:r w:rsidRPr="005675B2">
        <w:rPr>
          <w:rFonts w:hint="cs"/>
          <w:rtl/>
        </w:rPr>
        <w:t>أي في الإيمان</w:t>
      </w:r>
      <w:r w:rsidR="000636C2">
        <w:rPr>
          <w:rFonts w:hint="cs"/>
          <w:rtl/>
        </w:rPr>
        <w:t>،</w:t>
      </w:r>
      <w:r w:rsidRPr="005675B2">
        <w:rPr>
          <w:rFonts w:hint="cs"/>
          <w:rtl/>
        </w:rPr>
        <w:t xml:space="preserve"> قيل لهم</w:t>
      </w:r>
      <w:r w:rsidR="000636C2">
        <w:rPr>
          <w:rFonts w:hint="cs"/>
          <w:rtl/>
        </w:rPr>
        <w:t>:</w:t>
      </w:r>
      <w:r w:rsidRPr="005675B2">
        <w:rPr>
          <w:rFonts w:hint="cs"/>
          <w:u w:val="single"/>
          <w:rtl/>
        </w:rPr>
        <w:t>الأصل التصديق</w:t>
      </w:r>
      <w:r w:rsidRPr="005675B2">
        <w:rPr>
          <w:rFonts w:hint="cs"/>
          <w:rtl/>
        </w:rPr>
        <w:t xml:space="preserve"> بالله والخضوع له بإعطاء العزم للأداء بما أمربه ومجانباً للاستنكاف</w:t>
      </w:r>
      <w:r w:rsidR="000636C2">
        <w:rPr>
          <w:rFonts w:hint="cs"/>
          <w:rtl/>
        </w:rPr>
        <w:t>،</w:t>
      </w:r>
      <w:r w:rsidRPr="005675B2">
        <w:rPr>
          <w:rFonts w:hint="cs"/>
          <w:rtl/>
        </w:rPr>
        <w:t xml:space="preserve"> والاستكبار والمعاندة</w:t>
      </w:r>
      <w:r w:rsidR="000636C2">
        <w:rPr>
          <w:rFonts w:hint="cs"/>
          <w:rtl/>
        </w:rPr>
        <w:t>،</w:t>
      </w:r>
      <w:r w:rsidRPr="005675B2">
        <w:rPr>
          <w:rFonts w:hint="cs"/>
          <w:rtl/>
        </w:rPr>
        <w:t xml:space="preserve"> والفرع</w:t>
      </w:r>
      <w:r w:rsidR="000636C2">
        <w:rPr>
          <w:rFonts w:hint="cs"/>
          <w:rtl/>
        </w:rPr>
        <w:t>:</w:t>
      </w:r>
      <w:r w:rsidRPr="005675B2">
        <w:rPr>
          <w:rFonts w:hint="cs"/>
          <w:rtl/>
        </w:rPr>
        <w:t>تحقيق ذلك بالتعظيم لله</w:t>
      </w:r>
      <w:r w:rsidR="000636C2">
        <w:rPr>
          <w:rFonts w:hint="cs"/>
          <w:rtl/>
        </w:rPr>
        <w:t>،</w:t>
      </w:r>
      <w:r w:rsidRPr="005675B2">
        <w:rPr>
          <w:rFonts w:hint="cs"/>
          <w:rtl/>
        </w:rPr>
        <w:t>والخوف</w:t>
      </w:r>
      <w:r w:rsidR="000636C2">
        <w:rPr>
          <w:rFonts w:hint="cs"/>
          <w:rtl/>
        </w:rPr>
        <w:t>،</w:t>
      </w:r>
      <w:r w:rsidRPr="005675B2">
        <w:rPr>
          <w:rFonts w:hint="cs"/>
          <w:rtl/>
        </w:rPr>
        <w:t>والرجاء</w:t>
      </w:r>
      <w:r w:rsidR="000636C2">
        <w:rPr>
          <w:rFonts w:hint="cs"/>
          <w:rtl/>
        </w:rPr>
        <w:t>،</w:t>
      </w:r>
      <w:r w:rsidRPr="005675B2">
        <w:rPr>
          <w:rFonts w:hint="cs"/>
          <w:rtl/>
        </w:rPr>
        <w:t>الذي يبعثهم على أداء</w:t>
      </w:r>
      <w:r w:rsidR="000636C2">
        <w:rPr>
          <w:rFonts w:hint="cs"/>
          <w:rtl/>
        </w:rPr>
        <w:t xml:space="preserve"> </w:t>
      </w:r>
      <w:r w:rsidRPr="005675B2">
        <w:rPr>
          <w:rFonts w:hint="cs"/>
          <w:rtl/>
        </w:rPr>
        <w:t>فرائضه</w:t>
      </w:r>
      <w:r w:rsidR="000636C2">
        <w:rPr>
          <w:rFonts w:hint="cs"/>
          <w:rtl/>
        </w:rPr>
        <w:t>،</w:t>
      </w:r>
      <w:r w:rsidRPr="005675B2">
        <w:rPr>
          <w:rFonts w:hint="cs"/>
          <w:rtl/>
        </w:rPr>
        <w:t>واجتناب المحارم</w:t>
      </w:r>
      <w:r w:rsidR="000636C2">
        <w:rPr>
          <w:rFonts w:hint="cs"/>
          <w:rtl/>
        </w:rPr>
        <w:t>،</w:t>
      </w:r>
      <w:r w:rsidRPr="005675B2">
        <w:rPr>
          <w:rFonts w:hint="cs"/>
          <w:rtl/>
        </w:rPr>
        <w:t>فإن أدوا الفرائض</w:t>
      </w:r>
      <w:r w:rsidR="000636C2">
        <w:rPr>
          <w:rFonts w:hint="cs"/>
          <w:rtl/>
        </w:rPr>
        <w:t>،</w:t>
      </w:r>
      <w:r w:rsidRPr="005675B2">
        <w:rPr>
          <w:rFonts w:hint="cs"/>
          <w:rtl/>
        </w:rPr>
        <w:t>واجتنبوا المحرمات من قلوبهم وأبدانهم فقد اجتمع أهل السنة على أن هذا هو الإيمان المفترض</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تعظيم قدر الصلاة للمروزي521</w:t>
      </w:r>
      <w:r w:rsidRPr="005675B2">
        <w:rPr>
          <w:rFonts w:hint="cs"/>
          <w:rtl/>
        </w:rPr>
        <w:t>]</w:t>
      </w:r>
      <w:r w:rsidR="000636C2">
        <w:rPr>
          <w:rFonts w:hint="cs"/>
          <w:rtl/>
        </w:rPr>
        <w:t>،</w:t>
      </w:r>
      <w:r w:rsidRPr="005675B2">
        <w:rPr>
          <w:rFonts w:hint="cs"/>
          <w:rtl/>
        </w:rPr>
        <w:t xml:space="preserve"> </w:t>
      </w:r>
    </w:p>
    <w:p w14:paraId="748FD9D1" w14:textId="6E6AA835" w:rsidR="009C32A0" w:rsidRPr="005675B2" w:rsidRDefault="009C32A0" w:rsidP="000636C2">
      <w:pPr>
        <w:rPr>
          <w:b/>
          <w:rtl/>
        </w:rPr>
      </w:pPr>
      <w:r w:rsidRPr="005675B2">
        <w:rPr>
          <w:rFonts w:hint="cs"/>
          <w:bCs/>
          <w:u w:val="single"/>
          <w:rtl/>
        </w:rPr>
        <w:t>فهل تجد فرق حقيقي بين قول السادة الأشاعرة، وبين سلفهم من أهل السنة والجماعة</w:t>
      </w:r>
      <w:r w:rsidR="000636C2">
        <w:rPr>
          <w:rFonts w:hint="cs"/>
          <w:bCs/>
          <w:u w:val="single"/>
          <w:rtl/>
        </w:rPr>
        <w:t xml:space="preserve">؟! </w:t>
      </w:r>
      <w:r w:rsidR="000636C2">
        <w:rPr>
          <w:rFonts w:hint="cs"/>
          <w:i/>
          <w:iCs/>
          <w:u w:val="single"/>
          <w:rtl/>
        </w:rPr>
        <w:t>(</w:t>
      </w:r>
      <w:r>
        <w:rPr>
          <w:rFonts w:hint="cs"/>
          <w:i/>
          <w:iCs/>
          <w:u w:val="single"/>
          <w:rtl/>
        </w:rPr>
        <w:t>تنبيه</w:t>
      </w:r>
      <w:r w:rsidR="000636C2">
        <w:rPr>
          <w:rFonts w:hint="cs"/>
          <w:i/>
          <w:iCs/>
          <w:u w:val="single"/>
          <w:rtl/>
        </w:rPr>
        <w:t>):</w:t>
      </w:r>
      <w:r w:rsidRPr="005675B2">
        <w:rPr>
          <w:rFonts w:hint="cs"/>
          <w:rtl/>
        </w:rPr>
        <w:t xml:space="preserve"> ترك الصلاة بلا جحود مسألة فقهية</w:t>
      </w:r>
      <w:r w:rsidR="000636C2">
        <w:rPr>
          <w:rFonts w:hint="cs"/>
          <w:rtl/>
        </w:rPr>
        <w:t xml:space="preserve"> </w:t>
      </w:r>
      <w:r w:rsidRPr="005675B2">
        <w:rPr>
          <w:rFonts w:hint="cs"/>
          <w:rtl/>
        </w:rPr>
        <w:t>خلافية وليست مسألة عقدية</w:t>
      </w:r>
      <w:r w:rsidR="000636C2">
        <w:rPr>
          <w:rFonts w:hint="cs"/>
          <w:rtl/>
        </w:rPr>
        <w:t>،</w:t>
      </w:r>
      <w:r w:rsidRPr="005675B2">
        <w:rPr>
          <w:rFonts w:hint="cs"/>
          <w:rtl/>
        </w:rPr>
        <w:t xml:space="preserve"> فجمهور العلماء وهي رواية في مذهب أحمد اختارها الموفق</w:t>
      </w:r>
      <w:r w:rsidR="000636C2">
        <w:rPr>
          <w:rFonts w:hint="cs"/>
          <w:rtl/>
        </w:rPr>
        <w:t>،</w:t>
      </w:r>
      <w:r w:rsidRPr="005675B2">
        <w:rPr>
          <w:rFonts w:hint="cs"/>
          <w:rtl/>
        </w:rPr>
        <w:t>والمجد ابن تيمية</w:t>
      </w:r>
      <w:r w:rsidR="000636C2">
        <w:rPr>
          <w:rFonts w:hint="cs"/>
          <w:rtl/>
        </w:rPr>
        <w:t>،</w:t>
      </w:r>
      <w:r w:rsidRPr="005675B2">
        <w:rPr>
          <w:rFonts w:hint="cs"/>
          <w:rtl/>
        </w:rPr>
        <w:t>وابن بطة</w:t>
      </w:r>
      <w:r w:rsidR="000636C2">
        <w:rPr>
          <w:rFonts w:hint="cs"/>
          <w:rtl/>
        </w:rPr>
        <w:t>:</w:t>
      </w:r>
      <w:r w:rsidRPr="005675B2">
        <w:rPr>
          <w:rFonts w:hint="cs"/>
          <w:rtl/>
        </w:rPr>
        <w:t xml:space="preserve"> أنه لا يكفر خلافاً للرواية الثانية وهي معتمد مذهب الحنابلة أنه يكفر</w:t>
      </w:r>
      <w:r w:rsidR="000636C2">
        <w:rPr>
          <w:rFonts w:hint="cs"/>
          <w:rtl/>
        </w:rPr>
        <w:t>،</w:t>
      </w:r>
      <w:r w:rsidRPr="005675B2">
        <w:rPr>
          <w:rFonts w:hint="cs"/>
          <w:rtl/>
        </w:rPr>
        <w:t>ولكن بشرط أن يدعوه إمام المسلمين أو نائبه كالقاضي الشرعي فيصر على الترك فهو كافر حينئذٍ</w:t>
      </w:r>
      <w:r w:rsidR="000636C2">
        <w:rPr>
          <w:rFonts w:hint="cs"/>
          <w:rtl/>
        </w:rPr>
        <w:t xml:space="preserve">، </w:t>
      </w:r>
      <w:r w:rsidRPr="005675B2">
        <w:rPr>
          <w:rFonts w:hint="cs"/>
          <w:rtl/>
        </w:rPr>
        <w:t>ولا ينبني على هذه المسألة الفقهية كون من قال بكفر تارك الصلاة بشروط المذهب أنه خارج من أهل السنة والجماعة</w:t>
      </w:r>
      <w:r w:rsidR="000636C2">
        <w:rPr>
          <w:rFonts w:hint="cs"/>
          <w:rtl/>
        </w:rPr>
        <w:t>،</w:t>
      </w:r>
      <w:r w:rsidRPr="005675B2">
        <w:rPr>
          <w:rFonts w:hint="cs"/>
          <w:rtl/>
        </w:rPr>
        <w:t xml:space="preserve"> ولا أن من لم يقل بكفره خارج منهم، لأنها مسألة فقهية فرعية</w:t>
      </w:r>
      <w:r w:rsidR="000636C2">
        <w:rPr>
          <w:rFonts w:hint="cs"/>
          <w:rtl/>
        </w:rPr>
        <w:t>،</w:t>
      </w:r>
      <w:r w:rsidRPr="005675B2">
        <w:rPr>
          <w:rFonts w:hint="cs"/>
          <w:rtl/>
        </w:rPr>
        <w:t xml:space="preserve"> [</w:t>
      </w:r>
      <w:r w:rsidRPr="005675B2">
        <w:rPr>
          <w:rFonts w:hint="cs"/>
          <w:bCs/>
          <w:sz w:val="24"/>
          <w:szCs w:val="24"/>
          <w:rtl/>
        </w:rPr>
        <w:t>ويظن بعض المشايخ هداهم الله أن مسألة ترك الصلاة ونحوها من الأعمال مسألة عقدية فقال والصواب: أن الأعمال عند السلف</w:t>
      </w:r>
      <w:r w:rsidR="000636C2">
        <w:rPr>
          <w:rFonts w:hint="cs"/>
          <w:bCs/>
          <w:sz w:val="24"/>
          <w:szCs w:val="24"/>
          <w:rtl/>
        </w:rPr>
        <w:t>:</w:t>
      </w:r>
      <w:r w:rsidRPr="005675B2">
        <w:rPr>
          <w:rFonts w:hint="cs"/>
          <w:bCs/>
          <w:sz w:val="24"/>
          <w:szCs w:val="24"/>
          <w:rtl/>
        </w:rPr>
        <w:t xml:space="preserve"> قد تكون شرطاً لصحة الإيمان أي أنها من حقيقة الإيمان قد ينتفي الإيمان بانتفاءها .أ ـ هـ وقد قدمت لك أخي القارىء أنها مسألة فقهية إلا إذا كان الترك جحداً أو عناداً لأنه تكذيب لله ولرسوله صلى الله عليه وسلم وهكذا يقال في سائر العبادت كجاحد الزكاة ونحوهامما هو معلوم من الدين بالضرورة]</w:t>
      </w:r>
      <w:r w:rsidR="000636C2">
        <w:rPr>
          <w:rFonts w:hint="cs"/>
          <w:rtl/>
        </w:rPr>
        <w:t xml:space="preserve">، </w:t>
      </w:r>
      <w:r w:rsidRPr="005675B2">
        <w:rPr>
          <w:rFonts w:hint="cs"/>
          <w:rtl/>
        </w:rPr>
        <w:t>فالعمل عند الأشاعرة وسلفهم من أهل السنة والجماعة</w:t>
      </w:r>
      <w:r w:rsidR="000636C2">
        <w:rPr>
          <w:rFonts w:hint="cs"/>
          <w:rtl/>
        </w:rPr>
        <w:t xml:space="preserve"> </w:t>
      </w:r>
      <w:r w:rsidRPr="005675B2">
        <w:rPr>
          <w:rFonts w:hint="cs"/>
          <w:u w:val="single"/>
          <w:rtl/>
        </w:rPr>
        <w:t>شرط لكمال</w:t>
      </w:r>
      <w:r w:rsidRPr="005675B2">
        <w:rPr>
          <w:rFonts w:hint="cs"/>
          <w:rtl/>
        </w:rPr>
        <w:t xml:space="preserve"> الإيمان، لا لصحة الإيمان،وأنه أصل</w:t>
      </w:r>
      <w:r w:rsidR="000636C2">
        <w:rPr>
          <w:rFonts w:hint="cs"/>
          <w:rtl/>
        </w:rPr>
        <w:t>،</w:t>
      </w:r>
      <w:r w:rsidRPr="005675B2">
        <w:rPr>
          <w:rFonts w:hint="cs"/>
          <w:rtl/>
        </w:rPr>
        <w:t xml:space="preserve"> وفرع</w:t>
      </w:r>
      <w:r w:rsidR="000636C2">
        <w:rPr>
          <w:rFonts w:hint="cs"/>
          <w:rtl/>
        </w:rPr>
        <w:t>،</w:t>
      </w:r>
      <w:r w:rsidRPr="005675B2">
        <w:rPr>
          <w:rFonts w:hint="cs"/>
          <w:rtl/>
        </w:rPr>
        <w:t xml:space="preserve"> ولذا فارقوا الخوارج والمعتزلة</w:t>
      </w:r>
      <w:r w:rsidR="000636C2">
        <w:rPr>
          <w:rFonts w:hint="cs"/>
          <w:rtl/>
        </w:rPr>
        <w:t>،</w:t>
      </w:r>
      <w:r w:rsidRPr="005675B2">
        <w:rPr>
          <w:rFonts w:hint="cs"/>
          <w:rtl/>
        </w:rPr>
        <w:t xml:space="preserve"> لقوله تعالى (</w:t>
      </w:r>
      <w:r w:rsidR="000636C2">
        <w:rPr>
          <w:rFonts w:hint="cs"/>
          <w:rtl/>
        </w:rPr>
        <w:t>(</w:t>
      </w:r>
      <w:r w:rsidRPr="005675B2">
        <w:rPr>
          <w:rFonts w:hint="cs"/>
          <w:rtl/>
        </w:rPr>
        <w:t>إن الله لايغفر أن يشرك به ويغفر مادون ذلك لمن يشاء</w:t>
      </w:r>
      <w:r w:rsidR="000636C2">
        <w:rPr>
          <w:rFonts w:hint="cs"/>
          <w:rtl/>
        </w:rPr>
        <w:t>)</w:t>
      </w:r>
      <w:r w:rsidRPr="005675B2">
        <w:rPr>
          <w:rFonts w:hint="cs"/>
          <w:rtl/>
        </w:rPr>
        <w:t>)فتارك العمل إذا لم يكن شكاً ولا عناداً ولا جحداً</w:t>
      </w:r>
      <w:r w:rsidR="000636C2">
        <w:rPr>
          <w:rFonts w:hint="cs"/>
          <w:rtl/>
        </w:rPr>
        <w:t>،</w:t>
      </w:r>
      <w:r w:rsidRPr="005675B2">
        <w:rPr>
          <w:rFonts w:hint="cs"/>
          <w:rtl/>
        </w:rPr>
        <w:t>فهو مؤمن وليس بكافر، مع أنه فاسق بتركه للعمل</w:t>
      </w:r>
      <w:r w:rsidR="000636C2">
        <w:rPr>
          <w:rFonts w:hint="cs"/>
          <w:rtl/>
        </w:rPr>
        <w:t>،</w:t>
      </w:r>
      <w:r w:rsidRPr="005675B2">
        <w:rPr>
          <w:rFonts w:hint="cs"/>
          <w:rtl/>
        </w:rPr>
        <w:t>هذا مانص عليه الأشاعرة</w:t>
      </w:r>
      <w:r w:rsidR="000636C2">
        <w:rPr>
          <w:rFonts w:hint="cs"/>
          <w:rtl/>
        </w:rPr>
        <w:t>،</w:t>
      </w:r>
      <w:r w:rsidRPr="005675B2">
        <w:rPr>
          <w:rFonts w:hint="cs"/>
          <w:rtl/>
        </w:rPr>
        <w:t>وأصحاب الحديث وغيرهم</w:t>
      </w:r>
      <w:r w:rsidR="000636C2">
        <w:rPr>
          <w:rFonts w:hint="cs"/>
          <w:rtl/>
        </w:rPr>
        <w:t>،</w:t>
      </w:r>
      <w:r w:rsidRPr="005675B2">
        <w:rPr>
          <w:rFonts w:hint="cs"/>
          <w:rtl/>
        </w:rPr>
        <w:t xml:space="preserve"> الجانب الثالث النطق</w:t>
      </w:r>
      <w:r w:rsidR="000636C2">
        <w:rPr>
          <w:rFonts w:hint="cs"/>
          <w:rtl/>
        </w:rPr>
        <w:t xml:space="preserve"> </w:t>
      </w:r>
      <w:r w:rsidRPr="005675B2">
        <w:rPr>
          <w:rFonts w:hint="cs"/>
          <w:rtl/>
        </w:rPr>
        <w:t>بالشهادتين</w:t>
      </w:r>
      <w:r w:rsidR="000636C2">
        <w:rPr>
          <w:rFonts w:hint="cs"/>
          <w:rtl/>
        </w:rPr>
        <w:t>:</w:t>
      </w:r>
      <w:r w:rsidRPr="005675B2">
        <w:rPr>
          <w:rFonts w:hint="cs"/>
          <w:rtl/>
        </w:rPr>
        <w:t xml:space="preserve"> من شروط الإيمان عند الأشاعرة أن ينطق بالشهادتين فإن لم يفعل ذلك إباءً فهو كافر في الدنيا والآخرة</w:t>
      </w:r>
      <w:r w:rsidR="000636C2">
        <w:rPr>
          <w:rFonts w:hint="cs"/>
          <w:rtl/>
        </w:rPr>
        <w:t xml:space="preserve">، </w:t>
      </w:r>
      <w:r w:rsidRPr="005675B2">
        <w:rPr>
          <w:rFonts w:hint="cs"/>
          <w:rtl/>
        </w:rPr>
        <w:t>يقول الباجوري</w:t>
      </w:r>
      <w:r w:rsidR="000636C2">
        <w:rPr>
          <w:rFonts w:hint="cs"/>
          <w:rtl/>
        </w:rPr>
        <w:t>:</w:t>
      </w:r>
      <w:r w:rsidRPr="005675B2">
        <w:rPr>
          <w:rFonts w:hint="cs"/>
          <w:rtl/>
        </w:rPr>
        <w:t xml:space="preserve"> وإن الآبي بأن طلب منه النطق بالشهادتين فأبى فهو كافر فيهما</w:t>
      </w:r>
      <w:r w:rsidR="000636C2">
        <w:rPr>
          <w:rFonts w:hint="cs"/>
          <w:rtl/>
        </w:rPr>
        <w:t>،</w:t>
      </w:r>
      <w:r w:rsidRPr="005675B2">
        <w:rPr>
          <w:rFonts w:hint="cs"/>
          <w:rtl/>
        </w:rPr>
        <w:t>ولو كان مذعن بقلبه فلا ينفعه ذلك ولو في الآخرة</w:t>
      </w:r>
      <w:r w:rsidR="000636C2">
        <w:rPr>
          <w:rFonts w:hint="cs"/>
          <w:rtl/>
        </w:rPr>
        <w:t>،</w:t>
      </w:r>
      <w:r w:rsidRPr="005675B2">
        <w:rPr>
          <w:rFonts w:hint="cs"/>
          <w:rtl/>
        </w:rPr>
        <w:t xml:space="preserve"> [</w:t>
      </w:r>
      <w:r w:rsidRPr="005675B2">
        <w:rPr>
          <w:rFonts w:hint="cs"/>
          <w:bCs/>
          <w:sz w:val="24"/>
          <w:szCs w:val="24"/>
          <w:rtl/>
        </w:rPr>
        <w:t>شرح الجوهرة ص116</w:t>
      </w:r>
      <w:r w:rsidRPr="005675B2">
        <w:rPr>
          <w:rFonts w:hint="cs"/>
          <w:rtl/>
        </w:rPr>
        <w:t>] أ هـ</w:t>
      </w:r>
      <w:r w:rsidR="000636C2">
        <w:rPr>
          <w:rFonts w:hint="cs"/>
          <w:rtl/>
        </w:rPr>
        <w:t xml:space="preserve">، </w:t>
      </w:r>
      <w:r w:rsidRPr="005675B2">
        <w:rPr>
          <w:rFonts w:hint="cs"/>
          <w:rtl/>
        </w:rPr>
        <w:t>وللحكم بالنطق عندهم محلان</w:t>
      </w:r>
      <w:r w:rsidR="000636C2">
        <w:rPr>
          <w:rFonts w:hint="cs"/>
          <w:rtl/>
        </w:rPr>
        <w:t>:</w:t>
      </w:r>
      <w:r w:rsidRPr="005675B2">
        <w:rPr>
          <w:rFonts w:hint="cs"/>
          <w:rtl/>
        </w:rPr>
        <w:t>في الحياة الدنيا وفي الآخرة</w:t>
      </w:r>
      <w:r w:rsidR="000636C2">
        <w:rPr>
          <w:rFonts w:hint="cs"/>
          <w:rtl/>
        </w:rPr>
        <w:t>:</w:t>
      </w:r>
      <w:r w:rsidRPr="005675B2">
        <w:rPr>
          <w:rFonts w:hint="cs"/>
          <w:rtl/>
        </w:rPr>
        <w:t xml:space="preserve"> فمن اتفق أنه صدق بقلبه مع الإذعان التام ولم ينطق بلسانه لا لعذر منعه، كخرس ونحوه</w:t>
      </w:r>
      <w:r w:rsidR="000636C2">
        <w:rPr>
          <w:rFonts w:hint="cs"/>
          <w:rtl/>
        </w:rPr>
        <w:t>،</w:t>
      </w:r>
      <w:r w:rsidRPr="005675B2">
        <w:rPr>
          <w:rFonts w:hint="cs"/>
          <w:rtl/>
        </w:rPr>
        <w:t xml:space="preserve"> ولا لإباء</w:t>
      </w:r>
      <w:r w:rsidR="000636C2">
        <w:rPr>
          <w:rFonts w:hint="cs"/>
          <w:rtl/>
        </w:rPr>
        <w:t>،</w:t>
      </w:r>
      <w:r w:rsidRPr="005675B2">
        <w:rPr>
          <w:rFonts w:hint="cs"/>
          <w:rtl/>
        </w:rPr>
        <w:t xml:space="preserve"> فهو مؤمن عندالله، وأما في الأحكام الدنيوية فهو غير مؤمن</w:t>
      </w:r>
      <w:r w:rsidR="000636C2">
        <w:rPr>
          <w:rFonts w:hint="cs"/>
          <w:rtl/>
        </w:rPr>
        <w:t>،</w:t>
      </w:r>
      <w:r w:rsidRPr="005675B2">
        <w:rPr>
          <w:rFonts w:hint="cs"/>
          <w:rtl/>
        </w:rPr>
        <w:t xml:space="preserve"> ويعنون بأحكام الدنيا</w:t>
      </w:r>
      <w:r w:rsidR="000636C2">
        <w:rPr>
          <w:rFonts w:hint="cs"/>
          <w:rtl/>
        </w:rPr>
        <w:t>،</w:t>
      </w:r>
      <w:r w:rsidRPr="005675B2">
        <w:rPr>
          <w:rFonts w:hint="cs"/>
          <w:rtl/>
        </w:rPr>
        <w:t>مناكحته وتغسيله والصلاة عليه إذا مات وغير ذلك فإنه لا يعطى له حكم المؤمنين</w:t>
      </w:r>
      <w:r w:rsidR="000636C2">
        <w:rPr>
          <w:rFonts w:hint="cs"/>
          <w:rtl/>
        </w:rPr>
        <w:t xml:space="preserve"> </w:t>
      </w:r>
      <w:r w:rsidRPr="005675B2">
        <w:rPr>
          <w:rFonts w:hint="cs"/>
          <w:rtl/>
        </w:rPr>
        <w:t>إلا إذا علمنا بإيمانه</w:t>
      </w:r>
      <w:r w:rsidR="000636C2">
        <w:rPr>
          <w:rFonts w:hint="cs"/>
          <w:rtl/>
        </w:rPr>
        <w:t>،</w:t>
      </w:r>
      <w:r w:rsidRPr="005675B2">
        <w:rPr>
          <w:rFonts w:hint="cs"/>
          <w:rtl/>
        </w:rPr>
        <w:t xml:space="preserve"> وهذا لا يحصل إلا بالنطق باللسان</w:t>
      </w:r>
      <w:r w:rsidR="000636C2">
        <w:rPr>
          <w:rFonts w:hint="cs"/>
          <w:rtl/>
        </w:rPr>
        <w:t>،</w:t>
      </w:r>
      <w:r w:rsidRPr="005675B2">
        <w:rPr>
          <w:rFonts w:hint="cs"/>
          <w:rtl/>
        </w:rPr>
        <w:t>لأنه علامة على ما في قلبه</w:t>
      </w:r>
      <w:r w:rsidR="000636C2">
        <w:rPr>
          <w:rFonts w:hint="cs"/>
          <w:rtl/>
        </w:rPr>
        <w:t>،</w:t>
      </w:r>
      <w:r w:rsidRPr="005675B2">
        <w:rPr>
          <w:rFonts w:hint="cs"/>
          <w:rtl/>
        </w:rPr>
        <w:t xml:space="preserve"> فإن لم نعلم منه ذلك فيعطى أحكام الكفار في الدنيا</w:t>
      </w:r>
      <w:r w:rsidR="000636C2">
        <w:rPr>
          <w:rFonts w:hint="cs"/>
          <w:rtl/>
        </w:rPr>
        <w:t>،</w:t>
      </w:r>
      <w:r w:rsidRPr="005675B2">
        <w:rPr>
          <w:rFonts w:hint="cs"/>
          <w:u w:val="single"/>
          <w:rtl/>
        </w:rPr>
        <w:t>وأما في الآخرة فمادام أنه صدق بقلبه مع الإذعان</w:t>
      </w:r>
      <w:r w:rsidRPr="005675B2">
        <w:rPr>
          <w:rFonts w:hint="cs"/>
          <w:rtl/>
        </w:rPr>
        <w:t xml:space="preserve"> التام فهو مؤمن عند الله لأن الله علاّم الغيوب</w:t>
      </w:r>
      <w:r w:rsidR="000636C2">
        <w:rPr>
          <w:rFonts w:hint="cs"/>
          <w:rtl/>
        </w:rPr>
        <w:t>،</w:t>
      </w:r>
      <w:r w:rsidRPr="005675B2">
        <w:rPr>
          <w:rFonts w:hint="cs"/>
          <w:rtl/>
        </w:rPr>
        <w:t xml:space="preserve"> وقولهم مع الإذعان ليخرج تصديق إبليس ونحوه من الكفار فإنه بغير إذعان</w:t>
      </w:r>
      <w:r w:rsidR="000636C2">
        <w:rPr>
          <w:rFonts w:hint="cs"/>
          <w:rtl/>
        </w:rPr>
        <w:t>،</w:t>
      </w:r>
      <w:r w:rsidRPr="005675B2">
        <w:rPr>
          <w:rFonts w:hint="cs"/>
          <w:rtl/>
        </w:rPr>
        <w:t xml:space="preserve"> فالإقرار باللسان عندهم شرط لإجراء أحكام المسلمين عليه ومعاملته معاملة المسلمين </w:t>
      </w:r>
      <w:r w:rsidR="000636C2">
        <w:rPr>
          <w:rFonts w:hint="cs"/>
          <w:rtl/>
        </w:rPr>
        <w:t>[</w:t>
      </w:r>
      <w:r w:rsidRPr="005675B2">
        <w:rPr>
          <w:rFonts w:hint="cs"/>
          <w:bCs/>
          <w:sz w:val="24"/>
          <w:szCs w:val="24"/>
          <w:rtl/>
        </w:rPr>
        <w:t>نفس المصدر ص116</w:t>
      </w:r>
      <w:r w:rsidRPr="005675B2">
        <w:rPr>
          <w:rFonts w:hint="cs"/>
          <w:rtl/>
        </w:rPr>
        <w:t>]</w:t>
      </w:r>
      <w:r w:rsidR="000636C2">
        <w:rPr>
          <w:rFonts w:hint="cs"/>
          <w:rtl/>
        </w:rPr>
        <w:t xml:space="preserve">، </w:t>
      </w:r>
      <w:r w:rsidRPr="005675B2">
        <w:rPr>
          <w:rFonts w:hint="cs"/>
          <w:rtl/>
        </w:rPr>
        <w:t>فتبين مما سبق أنهم وافقوا السلف في الإيمان لأن هذا معنى قول السلف أن الإيمان تصديق بالقلب</w:t>
      </w:r>
      <w:r w:rsidR="000636C2">
        <w:rPr>
          <w:rFonts w:hint="cs"/>
          <w:rtl/>
        </w:rPr>
        <w:t>،</w:t>
      </w:r>
      <w:r w:rsidRPr="005675B2">
        <w:rPr>
          <w:rFonts w:hint="cs"/>
          <w:rtl/>
        </w:rPr>
        <w:t xml:space="preserve"> وعمل بالجوارح</w:t>
      </w:r>
      <w:r w:rsidR="000636C2">
        <w:rPr>
          <w:rFonts w:hint="cs"/>
          <w:rtl/>
        </w:rPr>
        <w:t>،</w:t>
      </w:r>
      <w:r w:rsidRPr="005675B2">
        <w:rPr>
          <w:rFonts w:hint="cs"/>
          <w:rtl/>
        </w:rPr>
        <w:t xml:space="preserve"> ونطق باللسان</w:t>
      </w:r>
      <w:r w:rsidR="000636C2">
        <w:rPr>
          <w:rFonts w:hint="cs"/>
          <w:rtl/>
        </w:rPr>
        <w:t>،</w:t>
      </w:r>
      <w:r w:rsidRPr="005675B2">
        <w:rPr>
          <w:rFonts w:hint="cs"/>
          <w:rtl/>
        </w:rPr>
        <w:t xml:space="preserve"> وليس معناه أن السلف يقولون بقول الخوارج من أنه إن لم يعمل فهو كافر</w:t>
      </w:r>
      <w:r w:rsidR="000636C2">
        <w:rPr>
          <w:rFonts w:hint="cs"/>
          <w:rtl/>
        </w:rPr>
        <w:t>،</w:t>
      </w:r>
      <w:r w:rsidRPr="005675B2">
        <w:rPr>
          <w:rFonts w:hint="cs"/>
          <w:rtl/>
        </w:rPr>
        <w:t xml:space="preserve"> إلا ما ذكر في الكلام السابق مما استثناه العلماء كالآبي والجاحد ونحوهم</w:t>
      </w:r>
      <w:r w:rsidR="000636C2">
        <w:rPr>
          <w:rFonts w:hint="cs"/>
          <w:rtl/>
        </w:rPr>
        <w:t>،</w:t>
      </w:r>
    </w:p>
    <w:p w14:paraId="4DA42F72" w14:textId="50F0412B" w:rsidR="009C32A0" w:rsidRPr="005675B2" w:rsidRDefault="009C32A0" w:rsidP="000636C2">
      <w:pPr>
        <w:rPr>
          <w:b/>
          <w:rtl/>
        </w:rPr>
      </w:pPr>
      <w:r w:rsidRPr="005675B2">
        <w:rPr>
          <w:rFonts w:hint="cs"/>
          <w:rtl/>
        </w:rPr>
        <w:t>كلام ابن حزم في المسألة</w:t>
      </w:r>
      <w:r w:rsidR="000636C2">
        <w:rPr>
          <w:rFonts w:hint="cs"/>
          <w:rtl/>
        </w:rPr>
        <w:t xml:space="preserve">: </w:t>
      </w:r>
      <w:r w:rsidRPr="005675B2">
        <w:rPr>
          <w:rFonts w:hint="cs"/>
          <w:rtl/>
        </w:rPr>
        <w:t>وقال الإمام ا بن حزم</w:t>
      </w:r>
      <w:r w:rsidR="000636C2">
        <w:rPr>
          <w:rFonts w:hint="cs"/>
          <w:rtl/>
        </w:rPr>
        <w:t>:</w:t>
      </w:r>
      <w:r w:rsidRPr="005675B2">
        <w:rPr>
          <w:rFonts w:hint="cs"/>
          <w:rtl/>
        </w:rPr>
        <w:t>إن قال قائل</w:t>
      </w:r>
      <w:r w:rsidR="000636C2">
        <w:rPr>
          <w:rFonts w:hint="cs"/>
          <w:rtl/>
        </w:rPr>
        <w:t>:</w:t>
      </w:r>
      <w:r w:rsidRPr="005675B2">
        <w:rPr>
          <w:rFonts w:hint="cs"/>
          <w:rtl/>
        </w:rPr>
        <w:t xml:space="preserve"> أليس الكفر ضد</w:t>
      </w:r>
      <w:r w:rsidRPr="005675B2">
        <w:rPr>
          <w:rFonts w:hint="cs"/>
        </w:rPr>
        <w:t xml:space="preserve"> </w:t>
      </w:r>
      <w:r w:rsidRPr="005675B2">
        <w:rPr>
          <w:rFonts w:hint="cs"/>
          <w:rtl/>
        </w:rPr>
        <w:t>الإيمان</w:t>
      </w:r>
      <w:r w:rsidR="000636C2">
        <w:rPr>
          <w:rFonts w:hint="cs"/>
          <w:rtl/>
        </w:rPr>
        <w:t xml:space="preserve">؟ </w:t>
      </w:r>
      <w:r w:rsidRPr="005675B2">
        <w:rPr>
          <w:rFonts w:hint="cs"/>
          <w:rtl/>
        </w:rPr>
        <w:t>قلنا وبالله التوفيق</w:t>
      </w:r>
      <w:r w:rsidR="000636C2">
        <w:rPr>
          <w:rFonts w:hint="cs"/>
          <w:rtl/>
        </w:rPr>
        <w:t>:</w:t>
      </w:r>
      <w:r w:rsidRPr="005675B2">
        <w:rPr>
          <w:rFonts w:hint="cs"/>
          <w:rtl/>
        </w:rPr>
        <w:t xml:space="preserve"> إطلاق هذا القول خطأ</w:t>
      </w:r>
      <w:r w:rsidR="000636C2">
        <w:rPr>
          <w:rFonts w:hint="cs"/>
          <w:rtl/>
        </w:rPr>
        <w:t>،</w:t>
      </w:r>
      <w:r w:rsidRPr="005675B2">
        <w:rPr>
          <w:rFonts w:hint="cs"/>
          <w:rtl/>
        </w:rPr>
        <w:t>لأن الإيمان اسم مشترك يقع</w:t>
      </w:r>
      <w:r w:rsidRPr="005675B2">
        <w:rPr>
          <w:rFonts w:hint="cs"/>
        </w:rPr>
        <w:t xml:space="preserve"> </w:t>
      </w:r>
      <w:r w:rsidRPr="005675B2">
        <w:rPr>
          <w:rFonts w:hint="cs"/>
          <w:rtl/>
        </w:rPr>
        <w:t>على معان شتى كما ذكرنا</w:t>
      </w:r>
      <w:r w:rsidR="000636C2">
        <w:rPr>
          <w:rFonts w:hint="cs"/>
          <w:rtl/>
        </w:rPr>
        <w:t>،</w:t>
      </w:r>
      <w:r w:rsidRPr="005675B2">
        <w:rPr>
          <w:rFonts w:hint="cs"/>
          <w:rtl/>
        </w:rPr>
        <w:t xml:space="preserve"> فمن تلك المعاني شيء يكون الكفر ضداً له</w:t>
      </w:r>
      <w:r w:rsidR="000636C2">
        <w:rPr>
          <w:rFonts w:hint="cs"/>
          <w:rtl/>
        </w:rPr>
        <w:t>،</w:t>
      </w:r>
      <w:r w:rsidRPr="005675B2">
        <w:rPr>
          <w:rFonts w:hint="cs"/>
          <w:rtl/>
        </w:rPr>
        <w:t xml:space="preserve"> ومنها ما</w:t>
      </w:r>
      <w:r w:rsidRPr="005675B2">
        <w:rPr>
          <w:rFonts w:hint="cs"/>
        </w:rPr>
        <w:t xml:space="preserve"> </w:t>
      </w:r>
      <w:r w:rsidRPr="005675B2">
        <w:rPr>
          <w:rFonts w:hint="cs"/>
          <w:rtl/>
        </w:rPr>
        <w:t>يكون الفسق ضداً له لا الكفر</w:t>
      </w:r>
      <w:r w:rsidR="000636C2">
        <w:rPr>
          <w:rFonts w:hint="cs"/>
          <w:rtl/>
        </w:rPr>
        <w:t>،</w:t>
      </w:r>
      <w:r w:rsidRPr="005675B2">
        <w:rPr>
          <w:rFonts w:hint="cs"/>
          <w:rtl/>
        </w:rPr>
        <w:t xml:space="preserve"> ومنها ما يكون الترك ضداً له لا الكفر ولاالفسق</w:t>
      </w:r>
      <w:r w:rsidR="000636C2">
        <w:rPr>
          <w:rFonts w:hint="cs"/>
          <w:rtl/>
        </w:rPr>
        <w:t xml:space="preserve">، </w:t>
      </w:r>
      <w:r w:rsidRPr="005675B2">
        <w:rPr>
          <w:rFonts w:hint="cs"/>
          <w:u w:val="single"/>
          <w:rtl/>
        </w:rPr>
        <w:t>فأما الإيمان الذي يكون الكفر ضداً له فهو "العقد بالقلب، والإقرار</w:t>
      </w:r>
      <w:r w:rsidRPr="005675B2">
        <w:rPr>
          <w:rFonts w:hint="cs"/>
          <w:u w:val="single"/>
        </w:rPr>
        <w:t xml:space="preserve"> </w:t>
      </w:r>
      <w:r w:rsidRPr="005675B2">
        <w:rPr>
          <w:rFonts w:hint="cs"/>
          <w:u w:val="single"/>
          <w:rtl/>
        </w:rPr>
        <w:t>باللسان" فإن الكفر ضد لهذا الإيمان</w:t>
      </w:r>
      <w:r w:rsidR="000636C2">
        <w:rPr>
          <w:rFonts w:hint="cs"/>
          <w:u w:val="single"/>
          <w:rtl/>
        </w:rPr>
        <w:t>،</w:t>
      </w:r>
      <w:r w:rsidRPr="005675B2">
        <w:rPr>
          <w:rFonts w:hint="cs"/>
          <w:u w:val="single"/>
          <w:rtl/>
        </w:rPr>
        <w:t xml:space="preserve"> </w:t>
      </w:r>
      <w:r w:rsidRPr="005675B2">
        <w:rPr>
          <w:rFonts w:hint="cs"/>
          <w:rtl/>
        </w:rPr>
        <w:t>وأما الإيمان الذي يكون الفسق ضداً له لا</w:t>
      </w:r>
      <w:r w:rsidRPr="005675B2">
        <w:rPr>
          <w:rFonts w:hint="cs"/>
        </w:rPr>
        <w:t xml:space="preserve"> </w:t>
      </w:r>
      <w:r w:rsidRPr="005675B2">
        <w:rPr>
          <w:rFonts w:hint="cs"/>
          <w:rtl/>
        </w:rPr>
        <w:t>الكفر فهو "ما كان من الأعمال فرضاً" فإن تركه ضد للعمل وهو فسق لا كفر</w:t>
      </w:r>
      <w:r w:rsidR="000636C2">
        <w:rPr>
          <w:rFonts w:hint="cs"/>
          <w:rtl/>
        </w:rPr>
        <w:t>،</w:t>
      </w:r>
      <w:r w:rsidRPr="005675B2">
        <w:rPr>
          <w:rFonts w:hint="cs"/>
          <w:rtl/>
        </w:rPr>
        <w:t xml:space="preserve"> وأما</w:t>
      </w:r>
      <w:r w:rsidRPr="005675B2">
        <w:rPr>
          <w:rFonts w:hint="cs"/>
        </w:rPr>
        <w:t xml:space="preserve"> </w:t>
      </w:r>
      <w:r w:rsidRPr="005675B2">
        <w:rPr>
          <w:rFonts w:hint="cs"/>
          <w:rtl/>
        </w:rPr>
        <w:t>الإيمان الذي يكون الترك له ضد فهو ما كان من الأعمال تطوعاً فإن تركه ضد العمل به</w:t>
      </w:r>
      <w:r w:rsidRPr="005675B2">
        <w:rPr>
          <w:rFonts w:hint="cs"/>
        </w:rPr>
        <w:t xml:space="preserve"> </w:t>
      </w:r>
      <w:r w:rsidRPr="005675B2">
        <w:rPr>
          <w:rFonts w:hint="cs"/>
          <w:rtl/>
        </w:rPr>
        <w:t>وليس فسقاً ولا كفراً</w:t>
      </w:r>
      <w:r w:rsidR="000636C2">
        <w:rPr>
          <w:rFonts w:hint="cs"/>
          <w:rtl/>
        </w:rPr>
        <w:t>،</w:t>
      </w:r>
      <w:r w:rsidRPr="005675B2">
        <w:rPr>
          <w:rFonts w:hint="cs"/>
          <w:rtl/>
        </w:rPr>
        <w:t xml:space="preserve"> برهان ذلك ما ذكرناه من ورود النصوص بتسمية الله عز وجل</w:t>
      </w:r>
      <w:r w:rsidRPr="005675B2">
        <w:rPr>
          <w:rFonts w:hint="cs"/>
        </w:rPr>
        <w:t xml:space="preserve"> </w:t>
      </w:r>
      <w:r w:rsidRPr="005675B2">
        <w:rPr>
          <w:rFonts w:hint="cs"/>
          <w:rtl/>
        </w:rPr>
        <w:t>أعمال البر كلها إيماناً وتسميته تعالى ما سمي كفراً وما سمي فسقاً وما سمي معصية</w:t>
      </w:r>
      <w:r w:rsidRPr="005675B2">
        <w:rPr>
          <w:rFonts w:hint="cs"/>
        </w:rPr>
        <w:t xml:space="preserve"> </w:t>
      </w:r>
      <w:r w:rsidRPr="005675B2">
        <w:rPr>
          <w:rFonts w:hint="cs"/>
          <w:rtl/>
        </w:rPr>
        <w:t>وما سمي إباحة لا معصية ولا كفراً ولا إيماناً</w:t>
      </w:r>
      <w:r w:rsidR="000636C2">
        <w:rPr>
          <w:rFonts w:hint="cs"/>
          <w:rtl/>
        </w:rPr>
        <w:t>،</w:t>
      </w:r>
      <w:r w:rsidRPr="005675B2">
        <w:rPr>
          <w:rFonts w:hint="cs"/>
          <w:rtl/>
        </w:rPr>
        <w:t xml:space="preserve"> [</w:t>
      </w:r>
      <w:r w:rsidRPr="005675B2">
        <w:rPr>
          <w:rFonts w:hint="cs"/>
          <w:bCs/>
          <w:sz w:val="24"/>
          <w:szCs w:val="24"/>
          <w:rtl/>
        </w:rPr>
        <w:t>الفصل في الملل والأهواء والنحل</w:t>
      </w:r>
      <w:r w:rsidR="000636C2">
        <w:rPr>
          <w:rFonts w:hint="cs"/>
          <w:bCs/>
          <w:sz w:val="24"/>
          <w:szCs w:val="24"/>
          <w:rtl/>
        </w:rPr>
        <w:t xml:space="preserve"> </w:t>
      </w:r>
      <w:r w:rsidRPr="005675B2">
        <w:rPr>
          <w:rFonts w:hint="cs"/>
          <w:bCs/>
          <w:sz w:val="24"/>
          <w:szCs w:val="24"/>
          <w:rtl/>
        </w:rPr>
        <w:t>3/119،118</w:t>
      </w:r>
      <w:r w:rsidRPr="005675B2">
        <w:rPr>
          <w:rFonts w:hint="cs"/>
          <w:rtl/>
        </w:rPr>
        <w:t>]</w:t>
      </w:r>
    </w:p>
    <w:p w14:paraId="2EBD0075" w14:textId="24F0C2D8" w:rsidR="009C32A0" w:rsidRPr="005675B2" w:rsidRDefault="009C32A0" w:rsidP="000636C2">
      <w:pPr>
        <w:rPr>
          <w:b/>
          <w:rtl/>
        </w:rPr>
      </w:pPr>
      <w:r w:rsidRPr="005675B2">
        <w:rPr>
          <w:rFonts w:hint="cs"/>
          <w:rtl/>
        </w:rPr>
        <w:t>المسألةالثانية</w:t>
      </w:r>
      <w:r w:rsidR="000636C2">
        <w:rPr>
          <w:rFonts w:hint="cs"/>
          <w:rtl/>
        </w:rPr>
        <w:t>:</w:t>
      </w:r>
      <w:r w:rsidRPr="005675B2">
        <w:rPr>
          <w:rFonts w:hint="cs"/>
          <w:rtl/>
        </w:rPr>
        <w:t xml:space="preserve"> هل هم مرجئة كما ذكر الكاتب غفر الله له </w:t>
      </w:r>
      <w:r w:rsidR="000636C2">
        <w:rPr>
          <w:rFonts w:hint="cs"/>
          <w:rtl/>
        </w:rPr>
        <w:t>؟ (</w:t>
      </w:r>
      <w:r>
        <w:rPr>
          <w:rFonts w:hint="cs"/>
          <w:rtl/>
        </w:rPr>
        <w:t>أولا</w:t>
      </w:r>
      <w:r w:rsidR="000636C2">
        <w:rPr>
          <w:rFonts w:hint="cs"/>
          <w:rtl/>
        </w:rPr>
        <w:t>):</w:t>
      </w:r>
      <w:r w:rsidRPr="005675B2">
        <w:rPr>
          <w:rFonts w:hint="cs"/>
          <w:rtl/>
        </w:rPr>
        <w:t xml:space="preserve"> نأخذ كلام المرجئة</w:t>
      </w:r>
      <w:r w:rsidR="000636C2">
        <w:rPr>
          <w:rFonts w:hint="cs"/>
          <w:rtl/>
        </w:rPr>
        <w:t xml:space="preserve">: </w:t>
      </w:r>
      <w:r w:rsidRPr="005675B2">
        <w:rPr>
          <w:rFonts w:hint="cs"/>
          <w:rtl/>
        </w:rPr>
        <w:t>فقد كانوا يقولون</w:t>
      </w:r>
      <w:r w:rsidR="000636C2">
        <w:rPr>
          <w:rFonts w:hint="cs"/>
          <w:rtl/>
        </w:rPr>
        <w:t>:</w:t>
      </w:r>
      <w:r w:rsidRPr="005675B2">
        <w:rPr>
          <w:rFonts w:hint="cs"/>
          <w:rtl/>
        </w:rPr>
        <w:t xml:space="preserve"> لا تضر مع الإيمان معصية كما لا تنفع مع الكفر طاعة</w:t>
      </w:r>
      <w:r w:rsidR="000636C2">
        <w:rPr>
          <w:rFonts w:hint="cs"/>
          <w:rtl/>
        </w:rPr>
        <w:t>،</w:t>
      </w:r>
      <w:r w:rsidRPr="005675B2">
        <w:rPr>
          <w:rFonts w:hint="cs"/>
          <w:rtl/>
        </w:rPr>
        <w:t xml:space="preserve"> [</w:t>
      </w:r>
      <w:r w:rsidRPr="005675B2">
        <w:rPr>
          <w:rFonts w:hint="cs"/>
          <w:bCs/>
          <w:sz w:val="24"/>
          <w:szCs w:val="24"/>
          <w:rtl/>
        </w:rPr>
        <w:t>الملل والنحل للشهرستاني 1/139</w:t>
      </w:r>
      <w:r w:rsidRPr="005675B2">
        <w:rPr>
          <w:rFonts w:hint="cs"/>
          <w:rtl/>
        </w:rPr>
        <w:t>]</w:t>
      </w:r>
      <w:r w:rsidR="000636C2">
        <w:rPr>
          <w:rFonts w:hint="cs"/>
          <w:rtl/>
        </w:rPr>
        <w:t xml:space="preserve">، </w:t>
      </w:r>
      <w:r w:rsidRPr="005675B2">
        <w:rPr>
          <w:rFonts w:hint="cs"/>
          <w:rtl/>
        </w:rPr>
        <w:t>فلازم ذلك أن إيمان أفضل الصحابة أبي بكر رضي الله عنه كإيمان أفسق الفساق من المؤمنين</w:t>
      </w:r>
      <w:r w:rsidR="000636C2">
        <w:rPr>
          <w:rFonts w:hint="cs"/>
          <w:rtl/>
        </w:rPr>
        <w:t>،</w:t>
      </w:r>
      <w:r w:rsidRPr="005675B2">
        <w:rPr>
          <w:rFonts w:hint="cs"/>
          <w:rtl/>
        </w:rPr>
        <w:t xml:space="preserve"> فكيف نقول أن الأشاعرة كالمرجئة</w:t>
      </w:r>
      <w:r w:rsidR="000636C2">
        <w:rPr>
          <w:rFonts w:hint="cs"/>
          <w:rtl/>
        </w:rPr>
        <w:t>؟!</w:t>
      </w:r>
      <w:r w:rsidRPr="005675B2">
        <w:rPr>
          <w:rFonts w:hint="cs"/>
          <w:rtl/>
        </w:rPr>
        <w:t>! وقد تقدم لك أنهم يقولون أن العمل شرط لكمال الإيمان</w:t>
      </w:r>
      <w:r w:rsidR="000636C2">
        <w:rPr>
          <w:rFonts w:hint="cs"/>
          <w:rtl/>
        </w:rPr>
        <w:t>،</w:t>
      </w:r>
      <w:r w:rsidRPr="005675B2">
        <w:rPr>
          <w:rFonts w:hint="cs"/>
          <w:rtl/>
        </w:rPr>
        <w:t>وتاركه فاسق</w:t>
      </w:r>
      <w:r w:rsidR="000636C2">
        <w:rPr>
          <w:rFonts w:hint="cs"/>
          <w:rtl/>
        </w:rPr>
        <w:t>،</w:t>
      </w:r>
      <w:r w:rsidRPr="005675B2">
        <w:rPr>
          <w:rFonts w:hint="cs"/>
          <w:rtl/>
        </w:rPr>
        <w:t>وهو تحت مشيئة الله في الآخرة إن شاء غفر له وإن شاء عذبه، فقولهم فيه هو قول أصحاب الحديث</w:t>
      </w:r>
      <w:r w:rsidR="000636C2">
        <w:rPr>
          <w:rFonts w:hint="cs"/>
          <w:rtl/>
        </w:rPr>
        <w:t xml:space="preserve"> </w:t>
      </w:r>
      <w:r w:rsidRPr="005675B2">
        <w:rPr>
          <w:rFonts w:hint="cs"/>
          <w:rtl/>
        </w:rPr>
        <w:t>سواء بسواء من حيث المعنى على أقل تقدير</w:t>
      </w:r>
      <w:r w:rsidR="000636C2">
        <w:rPr>
          <w:rFonts w:hint="cs"/>
          <w:rtl/>
        </w:rPr>
        <w:t>،</w:t>
      </w:r>
      <w:r w:rsidRPr="005675B2">
        <w:rPr>
          <w:rFonts w:hint="cs"/>
          <w:rtl/>
        </w:rPr>
        <w:t xml:space="preserve"> فإذا كنت تقصد أن الأشاعرة مرجئة بمعنى أنهم لا يكفرون المسلمين بترك العمل إذا تركوه تهاوناً وكسلاً</w:t>
      </w:r>
      <w:r w:rsidR="000636C2">
        <w:rPr>
          <w:rFonts w:hint="cs"/>
          <w:rtl/>
        </w:rPr>
        <w:t>،</w:t>
      </w:r>
      <w:r w:rsidRPr="005675B2">
        <w:rPr>
          <w:rFonts w:hint="cs"/>
          <w:rtl/>
        </w:rPr>
        <w:t>فهذا ليس بنقص في الأشاعرة</w:t>
      </w:r>
      <w:r w:rsidR="000636C2">
        <w:rPr>
          <w:rFonts w:hint="cs"/>
          <w:rtl/>
        </w:rPr>
        <w:t>،</w:t>
      </w:r>
      <w:r w:rsidRPr="005675B2">
        <w:rPr>
          <w:rFonts w:hint="cs"/>
          <w:rtl/>
        </w:rPr>
        <w:t xml:space="preserve"> بل هو عقيدة أهل السنة والجماعة خلافاً للخوارج</w:t>
      </w:r>
      <w:r w:rsidR="000636C2">
        <w:rPr>
          <w:rFonts w:hint="cs"/>
          <w:rtl/>
        </w:rPr>
        <w:t>،</w:t>
      </w:r>
      <w:r w:rsidRPr="005675B2">
        <w:rPr>
          <w:rFonts w:hint="cs"/>
          <w:rtl/>
        </w:rPr>
        <w:t xml:space="preserve"> وإن قصدت أنهم</w:t>
      </w:r>
      <w:r w:rsidR="000636C2">
        <w:rPr>
          <w:rFonts w:hint="cs"/>
          <w:rtl/>
        </w:rPr>
        <w:t xml:space="preserve"> </w:t>
      </w:r>
      <w:r w:rsidRPr="005675B2">
        <w:rPr>
          <w:rFonts w:hint="cs"/>
          <w:rtl/>
        </w:rPr>
        <w:t>مرجئة بمعنى أنهم لا يدخلون العمل في الإيمان العام فكلامك باطل، لأن الأشاعرة يدخلون العمل في الإيمان كما سبق بيانه</w:t>
      </w:r>
      <w:r w:rsidR="000636C2">
        <w:rPr>
          <w:rFonts w:hint="cs"/>
          <w:rtl/>
        </w:rPr>
        <w:t>،</w:t>
      </w:r>
      <w:r w:rsidRPr="005675B2">
        <w:rPr>
          <w:rFonts w:hint="cs"/>
          <w:rtl/>
        </w:rPr>
        <w:t xml:space="preserve"> </w:t>
      </w:r>
      <w:r w:rsidRPr="005675B2">
        <w:rPr>
          <w:rFonts w:hint="cs"/>
          <w:u w:val="single"/>
          <w:rtl/>
        </w:rPr>
        <w:t>فالأشاعرة وسائر أهل السنة وسط بين المرجئة والوعيدية من المعتزلة والخوارج</w:t>
      </w:r>
      <w:r w:rsidR="000636C2">
        <w:rPr>
          <w:rFonts w:hint="cs"/>
          <w:u w:val="single"/>
          <w:rtl/>
        </w:rPr>
        <w:t xml:space="preserve">، </w:t>
      </w:r>
      <w:r w:rsidRPr="005675B2">
        <w:rPr>
          <w:rFonts w:hint="cs"/>
          <w:rtl/>
        </w:rPr>
        <w:t>قال الإمام الأرموي</w:t>
      </w:r>
      <w:r w:rsidR="000636C2">
        <w:rPr>
          <w:rFonts w:hint="cs"/>
          <w:rtl/>
        </w:rPr>
        <w:t>:</w:t>
      </w:r>
      <w:r w:rsidRPr="005675B2">
        <w:rPr>
          <w:rFonts w:hint="cs"/>
          <w:rtl/>
        </w:rPr>
        <w:t>والعاصي غير الكافر لا يعاقب عند المرجئة، وهو مذهب مقاتل بن سليمان،</w:t>
      </w:r>
      <w:r w:rsidR="000636C2">
        <w:rPr>
          <w:rFonts w:hint="cs"/>
          <w:rtl/>
        </w:rPr>
        <w:t xml:space="preserve"> </w:t>
      </w:r>
      <w:r w:rsidRPr="005675B2">
        <w:rPr>
          <w:rFonts w:hint="cs"/>
          <w:rtl/>
        </w:rPr>
        <w:t>وعند المعتزلة والخوارج يقطع بعقابه</w:t>
      </w:r>
      <w:r w:rsidR="000636C2">
        <w:rPr>
          <w:rFonts w:hint="cs"/>
          <w:rtl/>
        </w:rPr>
        <w:t>،</w:t>
      </w:r>
      <w:r w:rsidRPr="005675B2">
        <w:rPr>
          <w:rFonts w:hint="cs"/>
          <w:rtl/>
        </w:rPr>
        <w:t xml:space="preserve"> </w:t>
      </w:r>
      <w:r w:rsidRPr="005675B2">
        <w:rPr>
          <w:rFonts w:hint="cs"/>
          <w:u w:val="single"/>
          <w:rtl/>
        </w:rPr>
        <w:t>وعندنا أنه لا يقطع بالعقاب ولا بالعفو، هذا في حق المعينين، وإن كنا نقطع بوقوع عفو</w:t>
      </w:r>
      <w:r w:rsidR="000636C2">
        <w:rPr>
          <w:rStyle w:val="a5"/>
          <w:rFonts w:hint="cs"/>
          <w:b/>
          <w:rtl/>
        </w:rPr>
        <w:t xml:space="preserve"> </w:t>
      </w:r>
      <w:r w:rsidRPr="005675B2">
        <w:rPr>
          <w:rFonts w:hint="cs"/>
          <w:u w:val="single"/>
          <w:rtl/>
        </w:rPr>
        <w:t>الله تعالى في الجملة وأن الله تعالى يعفو عن بعضهم، لما ورد في السمعيات الدالة عليه</w:t>
      </w:r>
      <w:r w:rsidR="000636C2">
        <w:rPr>
          <w:rFonts w:hint="cs"/>
          <w:u w:val="single"/>
          <w:rtl/>
        </w:rPr>
        <w:t xml:space="preserve">، </w:t>
      </w:r>
      <w:r w:rsidRPr="005675B2">
        <w:rPr>
          <w:rFonts w:hint="cs"/>
          <w:u w:val="single"/>
          <w:rtl/>
        </w:rPr>
        <w:t>[</w:t>
      </w:r>
      <w:r w:rsidRPr="005675B2">
        <w:rPr>
          <w:rFonts w:hint="cs"/>
          <w:bCs/>
          <w:sz w:val="24"/>
          <w:szCs w:val="24"/>
          <w:rtl/>
        </w:rPr>
        <w:t>الرسالة التسعينية في العقائد الدينية</w:t>
      </w:r>
      <w:r w:rsidR="000636C2">
        <w:rPr>
          <w:rFonts w:hint="cs"/>
          <w:bCs/>
          <w:sz w:val="24"/>
          <w:szCs w:val="24"/>
          <w:rtl/>
        </w:rPr>
        <w:t>]</w:t>
      </w:r>
      <w:r w:rsidR="000636C2">
        <w:rPr>
          <w:rFonts w:hint="cs"/>
          <w:rtl/>
        </w:rPr>
        <w:t>،</w:t>
      </w:r>
      <w:r w:rsidRPr="005675B2">
        <w:rPr>
          <w:rFonts w:hint="cs"/>
          <w:rtl/>
        </w:rPr>
        <w:t xml:space="preserve"> فواضح</w:t>
      </w:r>
      <w:r w:rsidRPr="005675B2">
        <w:rPr>
          <w:rFonts w:hint="cs"/>
          <w:u w:val="single"/>
          <w:rtl/>
        </w:rPr>
        <w:t xml:space="preserve"> من كلام العلماء السابق</w:t>
      </w:r>
      <w:r w:rsidR="000636C2">
        <w:rPr>
          <w:rFonts w:hint="cs"/>
          <w:u w:val="single"/>
          <w:rtl/>
        </w:rPr>
        <w:t xml:space="preserve"> </w:t>
      </w:r>
      <w:r w:rsidRPr="005675B2">
        <w:rPr>
          <w:rFonts w:hint="cs"/>
          <w:u w:val="single"/>
          <w:rtl/>
        </w:rPr>
        <w:t>أن الناس على أربعة مذاهب</w:t>
      </w:r>
      <w:r w:rsidR="000636C2">
        <w:rPr>
          <w:rFonts w:hint="cs"/>
          <w:u w:val="single"/>
          <w:rtl/>
        </w:rPr>
        <w:t xml:space="preserve">: </w:t>
      </w:r>
      <w:r w:rsidRPr="005675B2">
        <w:rPr>
          <w:rFonts w:hint="cs"/>
          <w:rtl/>
        </w:rPr>
        <w:t>1</w:t>
      </w:r>
      <w:r w:rsidR="000636C2">
        <w:rPr>
          <w:rFonts w:hint="cs"/>
          <w:rtl/>
        </w:rPr>
        <w:t xml:space="preserve"> </w:t>
      </w:r>
      <w:r w:rsidRPr="005675B2">
        <w:rPr>
          <w:rFonts w:hint="cs"/>
          <w:rtl/>
        </w:rPr>
        <w:t>- أهل السنة والجماعة</w:t>
      </w:r>
      <w:r w:rsidR="000636C2">
        <w:rPr>
          <w:rFonts w:hint="cs"/>
          <w:rtl/>
        </w:rPr>
        <w:t>:</w:t>
      </w:r>
      <w:r w:rsidRPr="005675B2">
        <w:rPr>
          <w:rFonts w:hint="cs"/>
          <w:rtl/>
        </w:rPr>
        <w:t xml:space="preserve"> وهم جمهور الأثرية والأشعرية والماتريدية وهؤلاء يجعلون العمل شرطاً لكمال الإيمان لا لصحته</w:t>
      </w:r>
      <w:r w:rsidR="000636C2">
        <w:rPr>
          <w:rFonts w:hint="cs"/>
          <w:rtl/>
        </w:rPr>
        <w:t xml:space="preserve">، </w:t>
      </w:r>
      <w:r w:rsidRPr="005675B2">
        <w:rPr>
          <w:rFonts w:hint="cs"/>
          <w:rtl/>
        </w:rPr>
        <w:t>2</w:t>
      </w:r>
      <w:r w:rsidR="000636C2">
        <w:rPr>
          <w:rFonts w:hint="cs"/>
          <w:rtl/>
        </w:rPr>
        <w:t xml:space="preserve"> </w:t>
      </w:r>
      <w:r w:rsidRPr="005675B2">
        <w:rPr>
          <w:rFonts w:hint="cs"/>
          <w:rtl/>
        </w:rPr>
        <w:t>- الخوارج والمعتزلة</w:t>
      </w:r>
      <w:r w:rsidR="000636C2">
        <w:rPr>
          <w:rFonts w:hint="cs"/>
          <w:rtl/>
        </w:rPr>
        <w:t>:</w:t>
      </w:r>
      <w:r w:rsidRPr="005675B2">
        <w:rPr>
          <w:rFonts w:hint="cs"/>
          <w:rtl/>
        </w:rPr>
        <w:t xml:space="preserve"> وهؤلاء يجعلون العمل شرطاً لصحة الإيمان</w:t>
      </w:r>
      <w:r w:rsidR="000636C2">
        <w:rPr>
          <w:rFonts w:hint="cs"/>
          <w:rtl/>
        </w:rPr>
        <w:t xml:space="preserve">، </w:t>
      </w:r>
      <w:r w:rsidRPr="005675B2">
        <w:rPr>
          <w:rFonts w:hint="cs"/>
          <w:rtl/>
        </w:rPr>
        <w:t>3</w:t>
      </w:r>
      <w:r w:rsidR="000636C2">
        <w:rPr>
          <w:rFonts w:hint="cs"/>
          <w:rtl/>
        </w:rPr>
        <w:t xml:space="preserve"> </w:t>
      </w:r>
      <w:r w:rsidRPr="005675B2">
        <w:rPr>
          <w:rFonts w:hint="cs"/>
          <w:rtl/>
        </w:rPr>
        <w:t>- مرجئة أهل الحديث ويسمون أيضاً مرجئة أهل السنة</w:t>
      </w:r>
      <w:r w:rsidR="000636C2">
        <w:rPr>
          <w:rFonts w:hint="cs"/>
          <w:rtl/>
        </w:rPr>
        <w:t>:</w:t>
      </w:r>
      <w:r w:rsidRPr="005675B2">
        <w:rPr>
          <w:rFonts w:hint="cs"/>
          <w:rtl/>
        </w:rPr>
        <w:t xml:space="preserve"> وهم لايدخلون العمل في الإيمان ولكنهم يعتبرون تارك العمل فاسقاً فمنهم</w:t>
      </w:r>
      <w:r w:rsidR="000636C2">
        <w:rPr>
          <w:rFonts w:hint="cs"/>
          <w:rtl/>
        </w:rPr>
        <w:t>:</w:t>
      </w:r>
      <w:r w:rsidRPr="005675B2">
        <w:rPr>
          <w:rFonts w:hint="cs"/>
          <w:rtl/>
        </w:rPr>
        <w:t xml:space="preserve"> الحسن بن محمد بن علي بن أبي طالب</w:t>
      </w:r>
      <w:r w:rsidR="000636C2">
        <w:rPr>
          <w:rFonts w:hint="cs"/>
          <w:rtl/>
        </w:rPr>
        <w:t>،</w:t>
      </w:r>
      <w:r w:rsidRPr="005675B2">
        <w:rPr>
          <w:rFonts w:hint="cs"/>
          <w:rtl/>
        </w:rPr>
        <w:t>وسعيد بن جبير</w:t>
      </w:r>
      <w:r w:rsidR="000636C2">
        <w:rPr>
          <w:rFonts w:hint="cs"/>
          <w:rtl/>
        </w:rPr>
        <w:t>،</w:t>
      </w:r>
      <w:r w:rsidRPr="005675B2">
        <w:rPr>
          <w:rFonts w:hint="cs"/>
          <w:rtl/>
        </w:rPr>
        <w:t>وطلق بن حبيب</w:t>
      </w:r>
      <w:r w:rsidR="000636C2">
        <w:rPr>
          <w:rFonts w:hint="cs"/>
          <w:rtl/>
        </w:rPr>
        <w:t>،</w:t>
      </w:r>
      <w:r w:rsidRPr="005675B2">
        <w:rPr>
          <w:rFonts w:hint="cs"/>
          <w:rtl/>
        </w:rPr>
        <w:t>وعمرو بن مرة</w:t>
      </w:r>
      <w:r w:rsidR="000636C2">
        <w:rPr>
          <w:rFonts w:hint="cs"/>
          <w:rtl/>
        </w:rPr>
        <w:t>،</w:t>
      </w:r>
      <w:r w:rsidRPr="005675B2">
        <w:rPr>
          <w:rFonts w:hint="cs"/>
          <w:rtl/>
        </w:rPr>
        <w:t xml:space="preserve"> ومحارب بن زياد</w:t>
      </w:r>
      <w:r w:rsidR="000636C2">
        <w:rPr>
          <w:rFonts w:hint="cs"/>
          <w:rtl/>
        </w:rPr>
        <w:t>،</w:t>
      </w:r>
      <w:r w:rsidRPr="005675B2">
        <w:rPr>
          <w:rFonts w:hint="cs"/>
          <w:rtl/>
        </w:rPr>
        <w:t>ومقاتل بن سليمان</w:t>
      </w:r>
      <w:r w:rsidR="000636C2">
        <w:rPr>
          <w:rFonts w:hint="cs"/>
          <w:rtl/>
        </w:rPr>
        <w:t>،</w:t>
      </w:r>
      <w:r w:rsidRPr="005675B2">
        <w:rPr>
          <w:rFonts w:hint="cs"/>
          <w:rtl/>
        </w:rPr>
        <w:t>وحماد بن أبي سليمان</w:t>
      </w:r>
      <w:r w:rsidR="000636C2">
        <w:rPr>
          <w:rFonts w:hint="cs"/>
          <w:rtl/>
        </w:rPr>
        <w:t>،</w:t>
      </w:r>
      <w:r w:rsidRPr="005675B2">
        <w:rPr>
          <w:rFonts w:hint="cs"/>
          <w:rtl/>
        </w:rPr>
        <w:t>وأبوحنيفة</w:t>
      </w:r>
      <w:r w:rsidR="000636C2">
        <w:rPr>
          <w:rFonts w:hint="cs"/>
          <w:rtl/>
        </w:rPr>
        <w:t>،</w:t>
      </w:r>
      <w:r w:rsidRPr="005675B2">
        <w:rPr>
          <w:rFonts w:hint="cs"/>
          <w:rtl/>
        </w:rPr>
        <w:t xml:space="preserve"> وأبو يوسف</w:t>
      </w:r>
      <w:r w:rsidR="000636C2">
        <w:rPr>
          <w:rFonts w:hint="cs"/>
          <w:rtl/>
        </w:rPr>
        <w:t>،</w:t>
      </w:r>
      <w:r w:rsidRPr="005675B2">
        <w:rPr>
          <w:rFonts w:hint="cs"/>
          <w:rtl/>
        </w:rPr>
        <w:t xml:space="preserve"> ومحمد بن الحسن</w:t>
      </w:r>
      <w:r w:rsidR="000636C2">
        <w:rPr>
          <w:rFonts w:hint="cs"/>
          <w:rtl/>
        </w:rPr>
        <w:t>،</w:t>
      </w:r>
      <w:r w:rsidRPr="005675B2">
        <w:rPr>
          <w:rFonts w:hint="cs"/>
          <w:rtl/>
        </w:rPr>
        <w:t xml:space="preserve"> [</w:t>
      </w:r>
      <w:r w:rsidRPr="005675B2">
        <w:rPr>
          <w:rFonts w:hint="cs"/>
          <w:bCs/>
          <w:sz w:val="24"/>
          <w:szCs w:val="24"/>
          <w:rtl/>
        </w:rPr>
        <w:t>الملل والنحل</w:t>
      </w:r>
      <w:r w:rsidR="000636C2">
        <w:rPr>
          <w:rFonts w:hint="cs"/>
          <w:bCs/>
          <w:sz w:val="24"/>
          <w:szCs w:val="24"/>
          <w:rtl/>
        </w:rPr>
        <w:t>:</w:t>
      </w:r>
      <w:r w:rsidRPr="005675B2">
        <w:rPr>
          <w:rFonts w:hint="cs"/>
          <w:bCs/>
          <w:sz w:val="24"/>
          <w:szCs w:val="24"/>
          <w:rtl/>
        </w:rPr>
        <w:t>1/ 146</w:t>
      </w:r>
      <w:r w:rsidRPr="005675B2">
        <w:rPr>
          <w:rFonts w:hint="cs"/>
          <w:rtl/>
        </w:rPr>
        <w:t>] وهؤلاء من الفرقة الناجية بلا شك لأن الخلاف فيها يسير بين أهل السنة</w:t>
      </w:r>
      <w:r w:rsidR="000636C2">
        <w:rPr>
          <w:rFonts w:hint="cs"/>
          <w:rtl/>
        </w:rPr>
        <w:t xml:space="preserve">، </w:t>
      </w:r>
      <w:r w:rsidRPr="005675B2">
        <w:rPr>
          <w:rFonts w:hint="cs"/>
          <w:rtl/>
        </w:rPr>
        <w:t>4</w:t>
      </w:r>
      <w:r w:rsidR="000636C2">
        <w:rPr>
          <w:rFonts w:hint="cs"/>
          <w:rtl/>
        </w:rPr>
        <w:t xml:space="preserve"> </w:t>
      </w:r>
      <w:r w:rsidRPr="005675B2">
        <w:rPr>
          <w:rFonts w:hint="cs"/>
          <w:rtl/>
        </w:rPr>
        <w:t>- غلاة المرجئة</w:t>
      </w:r>
      <w:r w:rsidR="000636C2">
        <w:rPr>
          <w:rFonts w:hint="cs"/>
          <w:rtl/>
        </w:rPr>
        <w:t>:</w:t>
      </w:r>
      <w:r w:rsidRPr="005675B2">
        <w:rPr>
          <w:rFonts w:hint="cs"/>
          <w:rtl/>
        </w:rPr>
        <w:t xml:space="preserve"> وهم يقولون</w:t>
      </w:r>
      <w:r w:rsidR="000636C2">
        <w:rPr>
          <w:rFonts w:hint="cs"/>
          <w:rtl/>
        </w:rPr>
        <w:t>:</w:t>
      </w:r>
      <w:r w:rsidRPr="005675B2">
        <w:rPr>
          <w:rFonts w:hint="cs"/>
          <w:rtl/>
        </w:rPr>
        <w:t xml:space="preserve"> لا تضر مع الإيمان معصية كما لا تنفع مع الكفر طاعة ولا يدخلون العمل في الإيمان بتاتاً</w:t>
      </w:r>
      <w:r w:rsidR="000636C2">
        <w:rPr>
          <w:rFonts w:hint="cs"/>
          <w:rtl/>
        </w:rPr>
        <w:t>،</w:t>
      </w:r>
      <w:r w:rsidRPr="005675B2">
        <w:rPr>
          <w:rFonts w:hint="cs"/>
          <w:rtl/>
        </w:rPr>
        <w:t xml:space="preserve"> وهؤلاء هم المرجئة الخارجون عن أهل السنة والجماعة</w:t>
      </w:r>
      <w:r w:rsidR="000636C2">
        <w:rPr>
          <w:rFonts w:hint="cs"/>
          <w:rtl/>
        </w:rPr>
        <w:t xml:space="preserve">، </w:t>
      </w:r>
      <w:r w:rsidRPr="005675B2">
        <w:rPr>
          <w:rFonts w:hint="cs"/>
          <w:rtl/>
        </w:rPr>
        <w:t>قال الإمام ابن حزم</w:t>
      </w:r>
      <w:r w:rsidR="000636C2">
        <w:rPr>
          <w:rFonts w:hint="cs"/>
          <w:rtl/>
        </w:rPr>
        <w:t>:</w:t>
      </w:r>
      <w:r w:rsidRPr="005675B2">
        <w:rPr>
          <w:rFonts w:hint="cs"/>
          <w:rtl/>
        </w:rPr>
        <w:t xml:space="preserve"> وإنما لم يكفر من ترك العمل</w:t>
      </w:r>
      <w:r w:rsidRPr="005675B2">
        <w:rPr>
          <w:rFonts w:hint="cs"/>
        </w:rPr>
        <w:t xml:space="preserve"> </w:t>
      </w:r>
      <w:r w:rsidRPr="005675B2">
        <w:rPr>
          <w:rFonts w:hint="cs"/>
          <w:rtl/>
        </w:rPr>
        <w:t xml:space="preserve">وكفر من ترك القول لأن رسول الله صلى الله عليه وسلم حكم بالكفر على </w:t>
      </w:r>
      <w:r w:rsidRPr="005675B2">
        <w:rPr>
          <w:rFonts w:hint="cs"/>
          <w:u w:val="single"/>
          <w:rtl/>
        </w:rPr>
        <w:t>من أبى القول</w:t>
      </w:r>
      <w:r w:rsidRPr="005675B2">
        <w:rPr>
          <w:rFonts w:hint="cs"/>
        </w:rPr>
        <w:t xml:space="preserve"> </w:t>
      </w:r>
      <w:r w:rsidRPr="005675B2">
        <w:rPr>
          <w:rFonts w:hint="cs"/>
          <w:rtl/>
        </w:rPr>
        <w:t>وإن كان عالماً بصحة الإيمان بقلبه، وحكم بالخروج من النار لمن آمن بقلبه وقال</w:t>
      </w:r>
      <w:r w:rsidRPr="005675B2">
        <w:rPr>
          <w:rFonts w:hint="cs"/>
        </w:rPr>
        <w:t xml:space="preserve"> </w:t>
      </w:r>
      <w:r w:rsidRPr="005675B2">
        <w:rPr>
          <w:rFonts w:hint="cs"/>
          <w:rtl/>
        </w:rPr>
        <w:t>بلسانه وإن لم يعمل خيراً قط، وفي صحيح مسلم</w:t>
      </w:r>
      <w:r w:rsidR="000636C2">
        <w:rPr>
          <w:rFonts w:hint="cs"/>
          <w:rtl/>
        </w:rPr>
        <w:t xml:space="preserve"> </w:t>
      </w:r>
      <w:r w:rsidRPr="005675B2">
        <w:rPr>
          <w:rFonts w:hint="cs"/>
          <w:rtl/>
        </w:rPr>
        <w:t>من حديث أبي سعيد الخدري أن</w:t>
      </w:r>
      <w:r w:rsidRPr="005675B2">
        <w:rPr>
          <w:rFonts w:hint="cs"/>
        </w:rPr>
        <w:t xml:space="preserve"> </w:t>
      </w:r>
      <w:r w:rsidRPr="005675B2">
        <w:rPr>
          <w:rFonts w:hint="cs"/>
          <w:rtl/>
        </w:rPr>
        <w:t>النبي صلى الله عليه وسلم قال</w:t>
      </w:r>
      <w:r w:rsidR="000636C2">
        <w:rPr>
          <w:rFonts w:hint="cs"/>
          <w:rtl/>
        </w:rPr>
        <w:t>:</w:t>
      </w:r>
      <w:r w:rsidRPr="005675B2">
        <w:rPr>
          <w:rFonts w:hint="cs"/>
          <w:rtl/>
        </w:rPr>
        <w:t xml:space="preserve"> « فيخرج منها</w:t>
      </w:r>
      <w:r w:rsidR="000636C2">
        <w:rPr>
          <w:rFonts w:hint="cs"/>
          <w:rtl/>
        </w:rPr>
        <w:t xml:space="preserve"> </w:t>
      </w:r>
      <w:r w:rsidRPr="005675B2">
        <w:rPr>
          <w:rFonts w:hint="cs"/>
          <w:rtl/>
        </w:rPr>
        <w:t>- يعني من النار - قوماً لم يعملوا خيراً</w:t>
      </w:r>
      <w:r w:rsidRPr="005675B2">
        <w:rPr>
          <w:rFonts w:hint="cs"/>
        </w:rPr>
        <w:t xml:space="preserve"> </w:t>
      </w:r>
      <w:r w:rsidRPr="005675B2">
        <w:rPr>
          <w:rFonts w:hint="cs"/>
          <w:rtl/>
        </w:rPr>
        <w:t>قط قد عادوا حمماً فيلقيهم في نهر في أفواه الجنة يقال له نهر الحياة فيخرجون كما</w:t>
      </w:r>
      <w:r w:rsidRPr="005675B2">
        <w:rPr>
          <w:rFonts w:hint="cs"/>
        </w:rPr>
        <w:t xml:space="preserve"> </w:t>
      </w:r>
      <w:r w:rsidRPr="005675B2">
        <w:rPr>
          <w:rFonts w:hint="cs"/>
          <w:rtl/>
        </w:rPr>
        <w:t>تخرج الحبة في حميل السيل، ألا ترونها تكون إلى الحجر أو إلى الشجر ما يكون إلى</w:t>
      </w:r>
      <w:r w:rsidRPr="005675B2">
        <w:rPr>
          <w:rFonts w:hint="cs"/>
        </w:rPr>
        <w:t xml:space="preserve"> </w:t>
      </w:r>
      <w:r w:rsidRPr="005675B2">
        <w:rPr>
          <w:rFonts w:hint="cs"/>
          <w:rtl/>
        </w:rPr>
        <w:t>الشمس أصيفر وأخيضر، وما يكون منها إلى الظل يكون أبيض »، فقالوا</w:t>
      </w:r>
      <w:r w:rsidR="000636C2">
        <w:rPr>
          <w:rFonts w:hint="cs"/>
          <w:rtl/>
        </w:rPr>
        <w:t>:</w:t>
      </w:r>
      <w:r w:rsidRPr="005675B2">
        <w:rPr>
          <w:rFonts w:hint="cs"/>
          <w:rtl/>
        </w:rPr>
        <w:t xml:space="preserve"> يا رسول الله كأنك</w:t>
      </w:r>
      <w:r w:rsidRPr="005675B2">
        <w:rPr>
          <w:rFonts w:hint="cs"/>
        </w:rPr>
        <w:t xml:space="preserve"> </w:t>
      </w:r>
      <w:r w:rsidRPr="005675B2">
        <w:rPr>
          <w:rFonts w:hint="cs"/>
          <w:rtl/>
        </w:rPr>
        <w:t>كنت ترعى بالبادية، قال</w:t>
      </w:r>
      <w:r w:rsidR="000636C2">
        <w:rPr>
          <w:rFonts w:hint="cs"/>
          <w:rtl/>
        </w:rPr>
        <w:t>:</w:t>
      </w:r>
      <w:r w:rsidRPr="005675B2">
        <w:rPr>
          <w:rFonts w:hint="cs"/>
          <w:rtl/>
        </w:rPr>
        <w:t xml:space="preserve"> « فيخرجون كاللؤلؤ في رقابهم الخواتم يعرفهم أهل الجنة</w:t>
      </w:r>
      <w:r w:rsidRPr="005675B2">
        <w:rPr>
          <w:rFonts w:hint="cs"/>
        </w:rPr>
        <w:t xml:space="preserve"> </w:t>
      </w:r>
      <w:r w:rsidRPr="005675B2">
        <w:rPr>
          <w:rFonts w:hint="cs"/>
          <w:rtl/>
        </w:rPr>
        <w:t>هؤلاء عتقاء الله الذين أدخلهم الله الجنة بغير عمل عملوه ولا خير</w:t>
      </w:r>
      <w:r w:rsidRPr="005675B2">
        <w:rPr>
          <w:rFonts w:hint="cs"/>
        </w:rPr>
        <w:t xml:space="preserve"> </w:t>
      </w:r>
      <w:r w:rsidRPr="005675B2">
        <w:rPr>
          <w:rFonts w:hint="cs"/>
          <w:rtl/>
        </w:rPr>
        <w:t>قدموه</w:t>
      </w:r>
      <w:r w:rsidR="000636C2">
        <w:rPr>
          <w:rFonts w:hint="cs"/>
          <w:rtl/>
        </w:rPr>
        <w:t>)</w:t>
      </w:r>
      <w:r w:rsidRPr="005675B2">
        <w:rPr>
          <w:rFonts w:hint="cs"/>
          <w:rtl/>
        </w:rPr>
        <w:t xml:space="preserve"> [</w:t>
      </w:r>
      <w:r w:rsidRPr="005675B2">
        <w:rPr>
          <w:rFonts w:hint="cs"/>
          <w:bCs/>
          <w:sz w:val="24"/>
          <w:szCs w:val="24"/>
          <w:rtl/>
        </w:rPr>
        <w:t>الدرة فيما يجب اعتقاده</w:t>
      </w:r>
      <w:r w:rsidR="000636C2">
        <w:rPr>
          <w:rFonts w:hint="cs"/>
          <w:bCs/>
          <w:sz w:val="24"/>
          <w:szCs w:val="24"/>
          <w:rtl/>
        </w:rPr>
        <w:t xml:space="preserve"> </w:t>
      </w:r>
      <w:r w:rsidRPr="005675B2">
        <w:rPr>
          <w:rFonts w:hint="cs"/>
          <w:bCs/>
          <w:sz w:val="24"/>
          <w:szCs w:val="24"/>
          <w:rtl/>
        </w:rPr>
        <w:t>ص 337</w:t>
      </w:r>
      <w:r w:rsidRPr="005675B2">
        <w:rPr>
          <w:rFonts w:hint="cs"/>
          <w:rtl/>
        </w:rPr>
        <w:t>]</w:t>
      </w:r>
      <w:r w:rsidR="000636C2">
        <w:rPr>
          <w:rFonts w:hint="cs"/>
          <w:rtl/>
        </w:rPr>
        <w:t>،</w:t>
      </w:r>
      <w:r w:rsidRPr="005675B2">
        <w:rPr>
          <w:rFonts w:hint="cs"/>
          <w:rtl/>
        </w:rPr>
        <w:t xml:space="preserve"> </w:t>
      </w:r>
    </w:p>
    <w:p w14:paraId="23C74C64" w14:textId="69AB4A84" w:rsidR="009C32A0" w:rsidRPr="005675B2" w:rsidRDefault="009C32A0" w:rsidP="000636C2">
      <w:pPr>
        <w:rPr>
          <w:b/>
          <w:u w:val="single"/>
          <w:rtl/>
        </w:rPr>
      </w:pPr>
      <w:r w:rsidRPr="005675B2">
        <w:rPr>
          <w:rFonts w:hint="cs"/>
          <w:rtl/>
        </w:rPr>
        <w:t>المسألة الثالثة</w:t>
      </w:r>
      <w:r w:rsidR="000636C2">
        <w:rPr>
          <w:rFonts w:hint="cs"/>
          <w:rtl/>
        </w:rPr>
        <w:t>:</w:t>
      </w:r>
      <w:r w:rsidRPr="005675B2">
        <w:rPr>
          <w:rFonts w:hint="cs"/>
          <w:rtl/>
        </w:rPr>
        <w:t xml:space="preserve"> دعوى</w:t>
      </w:r>
      <w:r w:rsidR="000636C2">
        <w:rPr>
          <w:rFonts w:hint="cs"/>
          <w:rtl/>
        </w:rPr>
        <w:t xml:space="preserve"> </w:t>
      </w:r>
      <w:r w:rsidRPr="005675B2">
        <w:rPr>
          <w:rFonts w:hint="cs"/>
          <w:rtl/>
        </w:rPr>
        <w:t>أنهم يقولون</w:t>
      </w:r>
      <w:r w:rsidR="000636C2">
        <w:rPr>
          <w:rFonts w:hint="cs"/>
          <w:rtl/>
        </w:rPr>
        <w:t>:</w:t>
      </w:r>
      <w:r w:rsidRPr="005675B2">
        <w:rPr>
          <w:rFonts w:hint="cs"/>
          <w:rtl/>
        </w:rPr>
        <w:t xml:space="preserve"> أنه لاداعي لأن يقول الكافر لا إله إلا الله</w:t>
      </w:r>
      <w:r w:rsidR="000636C2">
        <w:rPr>
          <w:rFonts w:hint="cs"/>
          <w:rtl/>
        </w:rPr>
        <w:t>!</w:t>
      </w:r>
      <w:r w:rsidRPr="005675B2">
        <w:rPr>
          <w:rFonts w:hint="cs"/>
          <w:rtl/>
        </w:rPr>
        <w:t>!</w:t>
      </w:r>
      <w:r w:rsidR="000636C2">
        <w:rPr>
          <w:rFonts w:hint="cs"/>
          <w:rtl/>
        </w:rPr>
        <w:t xml:space="preserve"> </w:t>
      </w:r>
      <w:r w:rsidRPr="005675B2">
        <w:rPr>
          <w:rFonts w:hint="cs"/>
          <w:rtl/>
        </w:rPr>
        <w:t>وهذا غلط عليهم وقد تبين</w:t>
      </w:r>
      <w:r w:rsidR="000636C2">
        <w:rPr>
          <w:rFonts w:hint="cs"/>
          <w:rtl/>
        </w:rPr>
        <w:t xml:space="preserve"> </w:t>
      </w:r>
      <w:r w:rsidRPr="005675B2">
        <w:rPr>
          <w:rFonts w:hint="cs"/>
          <w:rtl/>
        </w:rPr>
        <w:t>مما سبق قولهم أن</w:t>
      </w:r>
      <w:r w:rsidR="000636C2">
        <w:rPr>
          <w:rFonts w:hint="cs"/>
          <w:rtl/>
        </w:rPr>
        <w:t xml:space="preserve"> </w:t>
      </w:r>
      <w:r w:rsidRPr="005675B2">
        <w:rPr>
          <w:rFonts w:hint="cs"/>
          <w:rtl/>
        </w:rPr>
        <w:t>الآبي بأن طلب منه النطق بالشهادتين فأبى فهو كافر في الدنيا والآخرة</w:t>
      </w:r>
      <w:r w:rsidR="000636C2">
        <w:rPr>
          <w:rFonts w:hint="cs"/>
          <w:rtl/>
        </w:rPr>
        <w:t xml:space="preserve"> </w:t>
      </w:r>
      <w:r w:rsidRPr="005675B2">
        <w:rPr>
          <w:rFonts w:hint="cs"/>
          <w:rtl/>
        </w:rPr>
        <w:t>ولو كان مذعناً بقلبه فلا ينفعه ذلك ولو في الآخرة</w:t>
      </w:r>
      <w:r w:rsidR="000636C2">
        <w:rPr>
          <w:rFonts w:hint="cs"/>
          <w:rtl/>
        </w:rPr>
        <w:t>،</w:t>
      </w:r>
      <w:r w:rsidRPr="005675B2">
        <w:rPr>
          <w:rFonts w:hint="cs"/>
          <w:rtl/>
        </w:rPr>
        <w:t xml:space="preserve"> [</w:t>
      </w:r>
      <w:r w:rsidRPr="005675B2">
        <w:rPr>
          <w:rFonts w:hint="cs"/>
          <w:bCs/>
          <w:sz w:val="24"/>
          <w:szCs w:val="24"/>
          <w:rtl/>
        </w:rPr>
        <w:t>شرح الجوهرة ص161</w:t>
      </w:r>
      <w:r w:rsidRPr="005675B2">
        <w:rPr>
          <w:rFonts w:hint="cs"/>
          <w:rtl/>
        </w:rPr>
        <w:t>]</w:t>
      </w:r>
      <w:r w:rsidR="000636C2">
        <w:rPr>
          <w:rFonts w:hint="cs"/>
          <w:rtl/>
        </w:rPr>
        <w:t>،</w:t>
      </w:r>
      <w:r w:rsidRPr="005675B2">
        <w:rPr>
          <w:rFonts w:hint="cs"/>
          <w:rtl/>
        </w:rPr>
        <w:t xml:space="preserve"> بل إذا لم ينطق به في الدنيا فليس بمؤمن في الأحكام الدنيوية فلا يعامل معاملة المسلمين</w:t>
      </w:r>
      <w:r w:rsidR="000636C2">
        <w:rPr>
          <w:rFonts w:hint="cs"/>
          <w:rtl/>
        </w:rPr>
        <w:t>،</w:t>
      </w:r>
      <w:r w:rsidRPr="005675B2">
        <w:rPr>
          <w:rFonts w:hint="cs"/>
          <w:rtl/>
        </w:rPr>
        <w:t xml:space="preserve"> [</w:t>
      </w:r>
      <w:r w:rsidRPr="005675B2">
        <w:rPr>
          <w:rFonts w:hint="cs"/>
          <w:bCs/>
          <w:sz w:val="24"/>
          <w:szCs w:val="24"/>
          <w:rtl/>
        </w:rPr>
        <w:t>شرح المسايرة وشرح الجوهرة مبحث الإيمان</w:t>
      </w:r>
      <w:r w:rsidR="000636C2">
        <w:rPr>
          <w:rFonts w:hint="cs"/>
          <w:bCs/>
          <w:sz w:val="24"/>
          <w:szCs w:val="24"/>
          <w:rtl/>
        </w:rPr>
        <w:t>]</w:t>
      </w:r>
      <w:r w:rsidRPr="005675B2">
        <w:rPr>
          <w:rFonts w:hint="cs"/>
          <w:rtl/>
        </w:rPr>
        <w:t xml:space="preserve"> وتنبه إلى</w:t>
      </w:r>
      <w:r w:rsidR="000636C2">
        <w:rPr>
          <w:rFonts w:hint="cs"/>
          <w:rtl/>
        </w:rPr>
        <w:t xml:space="preserve"> </w:t>
      </w:r>
      <w:r w:rsidRPr="005675B2">
        <w:rPr>
          <w:rFonts w:hint="cs"/>
          <w:rtl/>
        </w:rPr>
        <w:t>أن الكاتب يلقي التهم جزافاً</w:t>
      </w:r>
      <w:r w:rsidR="000636C2">
        <w:rPr>
          <w:rFonts w:hint="cs"/>
          <w:rtl/>
        </w:rPr>
        <w:t xml:space="preserve"> </w:t>
      </w:r>
      <w:r w:rsidRPr="005675B2">
        <w:rPr>
          <w:rFonts w:hint="cs"/>
          <w:rtl/>
        </w:rPr>
        <w:t>بلا</w:t>
      </w:r>
      <w:r w:rsidR="000636C2">
        <w:rPr>
          <w:rFonts w:hint="cs"/>
          <w:rtl/>
        </w:rPr>
        <w:t xml:space="preserve"> </w:t>
      </w:r>
      <w:r w:rsidRPr="005675B2">
        <w:rPr>
          <w:rFonts w:hint="cs"/>
          <w:rtl/>
        </w:rPr>
        <w:t>نقل ولا تثبت</w:t>
      </w:r>
      <w:r w:rsidR="000636C2">
        <w:rPr>
          <w:rFonts w:hint="cs"/>
          <w:rtl/>
        </w:rPr>
        <w:t>،</w:t>
      </w:r>
      <w:r w:rsidRPr="005675B2">
        <w:rPr>
          <w:rFonts w:hint="cs"/>
          <w:rtl/>
        </w:rPr>
        <w:t xml:space="preserve"> وإن نقل أحدهم نقل شيئاً وترك الأشياء التي لو نقلت</w:t>
      </w:r>
      <w:r w:rsidR="000636C2">
        <w:rPr>
          <w:rFonts w:hint="cs"/>
          <w:rtl/>
        </w:rPr>
        <w:t xml:space="preserve"> </w:t>
      </w:r>
      <w:r w:rsidRPr="005675B2">
        <w:rPr>
          <w:rFonts w:hint="cs"/>
          <w:rtl/>
        </w:rPr>
        <w:t>لتم بها التوضيح</w:t>
      </w:r>
      <w:r w:rsidR="000636C2">
        <w:rPr>
          <w:rFonts w:hint="cs"/>
          <w:rtl/>
        </w:rPr>
        <w:t>،</w:t>
      </w:r>
      <w:r w:rsidRPr="005675B2">
        <w:rPr>
          <w:rFonts w:hint="cs"/>
          <w:rtl/>
        </w:rPr>
        <w:t xml:space="preserve"> هل يزيد الإيمان وينقص على معتقد الأشاعرة</w:t>
      </w:r>
      <w:r w:rsidR="000636C2">
        <w:rPr>
          <w:rFonts w:hint="cs"/>
          <w:rtl/>
        </w:rPr>
        <w:t xml:space="preserve">؟ </w:t>
      </w:r>
      <w:r w:rsidRPr="005675B2">
        <w:rPr>
          <w:rFonts w:hint="cs"/>
          <w:rtl/>
        </w:rPr>
        <w:t>نعم</w:t>
      </w:r>
      <w:r w:rsidR="000636C2">
        <w:rPr>
          <w:rFonts w:hint="cs"/>
          <w:rtl/>
        </w:rPr>
        <w:t>،</w:t>
      </w:r>
      <w:r w:rsidRPr="005675B2">
        <w:rPr>
          <w:rFonts w:hint="cs"/>
          <w:rtl/>
        </w:rPr>
        <w:t xml:space="preserve"> ولذا يقول الإمام الباجوري</w:t>
      </w:r>
      <w:r w:rsidR="000636C2">
        <w:rPr>
          <w:rFonts w:hint="cs"/>
          <w:rtl/>
        </w:rPr>
        <w:t>:</w:t>
      </w:r>
      <w:r w:rsidRPr="005675B2">
        <w:rPr>
          <w:rFonts w:hint="cs"/>
          <w:rtl/>
        </w:rPr>
        <w:t>فتلخص أن الأقسام ثلاثة</w:t>
      </w:r>
      <w:r w:rsidR="000636C2">
        <w:rPr>
          <w:rFonts w:hint="cs"/>
          <w:rtl/>
        </w:rPr>
        <w:t xml:space="preserve">: </w:t>
      </w:r>
      <w:r w:rsidRPr="005675B2">
        <w:rPr>
          <w:rFonts w:hint="cs"/>
          <w:rtl/>
        </w:rPr>
        <w:t>1</w:t>
      </w:r>
      <w:r w:rsidR="000636C2">
        <w:rPr>
          <w:rFonts w:hint="cs"/>
          <w:rtl/>
        </w:rPr>
        <w:t xml:space="preserve"> </w:t>
      </w:r>
      <w:r w:rsidRPr="005675B2">
        <w:rPr>
          <w:rFonts w:hint="cs"/>
          <w:rtl/>
        </w:rPr>
        <w:t>- يزيد وينقص</w:t>
      </w:r>
      <w:r w:rsidR="000636C2">
        <w:rPr>
          <w:rFonts w:hint="cs"/>
          <w:rtl/>
        </w:rPr>
        <w:t>،</w:t>
      </w:r>
      <w:r w:rsidRPr="005675B2">
        <w:rPr>
          <w:rFonts w:hint="cs"/>
          <w:rtl/>
        </w:rPr>
        <w:t xml:space="preserve"> وهو إيمان الأمة إنساً وجناً</w:t>
      </w:r>
      <w:r w:rsidR="000636C2">
        <w:rPr>
          <w:rFonts w:hint="cs"/>
          <w:rtl/>
        </w:rPr>
        <w:t xml:space="preserve">، </w:t>
      </w:r>
      <w:r w:rsidRPr="005675B2">
        <w:rPr>
          <w:rFonts w:hint="cs"/>
          <w:rtl/>
        </w:rPr>
        <w:t>2</w:t>
      </w:r>
      <w:r w:rsidR="000636C2">
        <w:rPr>
          <w:rFonts w:hint="cs"/>
          <w:rtl/>
        </w:rPr>
        <w:t xml:space="preserve"> </w:t>
      </w:r>
      <w:r w:rsidRPr="005675B2">
        <w:rPr>
          <w:rFonts w:hint="cs"/>
          <w:rtl/>
        </w:rPr>
        <w:t>- لايزيد ولا ينقص وهو إيمان الملائكة</w:t>
      </w:r>
      <w:r w:rsidR="000636C2">
        <w:rPr>
          <w:rFonts w:hint="cs"/>
          <w:rtl/>
        </w:rPr>
        <w:t xml:space="preserve">، </w:t>
      </w:r>
      <w:r w:rsidRPr="005675B2">
        <w:rPr>
          <w:rFonts w:hint="cs"/>
          <w:rtl/>
        </w:rPr>
        <w:t>3</w:t>
      </w:r>
      <w:r w:rsidR="000636C2">
        <w:rPr>
          <w:rFonts w:hint="cs"/>
          <w:rtl/>
        </w:rPr>
        <w:t xml:space="preserve"> </w:t>
      </w:r>
      <w:r w:rsidRPr="005675B2">
        <w:rPr>
          <w:rFonts w:hint="cs"/>
          <w:rtl/>
        </w:rPr>
        <w:t>- يزيد ولا ينقص وهو إيمان الأنبياء</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الجوهرة ص128</w:t>
      </w:r>
      <w:r w:rsidRPr="005675B2">
        <w:rPr>
          <w:rFonts w:hint="cs"/>
          <w:rtl/>
        </w:rPr>
        <w:t>]</w:t>
      </w:r>
      <w:r w:rsidR="000636C2">
        <w:rPr>
          <w:rFonts w:hint="cs"/>
          <w:rtl/>
        </w:rPr>
        <w:t xml:space="preserve">، </w:t>
      </w:r>
      <w:r w:rsidRPr="005675B2">
        <w:rPr>
          <w:rFonts w:hint="cs"/>
          <w:rtl/>
        </w:rPr>
        <w:t>وقال الباجوري أيضاً</w:t>
      </w:r>
      <w:r w:rsidR="000636C2">
        <w:rPr>
          <w:rFonts w:hint="cs"/>
          <w:rtl/>
        </w:rPr>
        <w:t>:</w:t>
      </w:r>
      <w:r w:rsidRPr="005675B2">
        <w:rPr>
          <w:rFonts w:hint="cs"/>
          <w:rtl/>
        </w:rPr>
        <w:t xml:space="preserve"> فتحصل أن المعتمد أن الإيمان يزيد وينقص كما هو التحقيق</w:t>
      </w:r>
      <w:r w:rsidR="000636C2">
        <w:rPr>
          <w:rFonts w:hint="cs"/>
          <w:rtl/>
        </w:rPr>
        <w:t xml:space="preserve">، </w:t>
      </w:r>
      <w:r w:rsidRPr="005675B2">
        <w:rPr>
          <w:rFonts w:hint="cs"/>
          <w:rtl/>
        </w:rPr>
        <w:t>[</w:t>
      </w:r>
      <w:r w:rsidRPr="005675B2">
        <w:rPr>
          <w:rFonts w:hint="cs"/>
          <w:bCs/>
          <w:sz w:val="24"/>
          <w:szCs w:val="24"/>
          <w:rtl/>
        </w:rPr>
        <w:t>شرح الجوهرة 131 كما ذكر ذلك عبدالسلام اللقاني في شرح الجوهرة</w:t>
      </w:r>
      <w:r w:rsidR="000636C2">
        <w:rPr>
          <w:rFonts w:hint="cs"/>
          <w:bCs/>
          <w:sz w:val="24"/>
          <w:szCs w:val="24"/>
          <w:rtl/>
        </w:rPr>
        <w:t>،</w:t>
      </w:r>
      <w:r w:rsidRPr="005675B2">
        <w:rPr>
          <w:rFonts w:hint="cs"/>
          <w:bCs/>
          <w:sz w:val="24"/>
          <w:szCs w:val="24"/>
          <w:rtl/>
        </w:rPr>
        <w:t xml:space="preserve"> وكتاب المسامرة ص306</w:t>
      </w:r>
      <w:r w:rsidRPr="005675B2">
        <w:rPr>
          <w:rFonts w:hint="cs"/>
          <w:rtl/>
        </w:rPr>
        <w:t>]</w:t>
      </w:r>
      <w:r w:rsidR="000636C2">
        <w:rPr>
          <w:rFonts w:hint="cs"/>
          <w:rtl/>
        </w:rPr>
        <w:t>،</w:t>
      </w:r>
      <w:r w:rsidRPr="005675B2">
        <w:rPr>
          <w:rFonts w:hint="cs"/>
          <w:rtl/>
        </w:rPr>
        <w:t xml:space="preserve"> فائدة</w:t>
      </w:r>
      <w:r w:rsidR="000636C2">
        <w:rPr>
          <w:rFonts w:hint="cs"/>
          <w:rtl/>
        </w:rPr>
        <w:t>:</w:t>
      </w:r>
      <w:r w:rsidRPr="005675B2">
        <w:rPr>
          <w:rFonts w:hint="cs"/>
          <w:rtl/>
        </w:rPr>
        <w:t xml:space="preserve"> هناك قول ليس هو المعتمد عند الأشاعرة وهو أن التصديق لا ينقص ولايزيد ولهم حجج في ذلك حيث قالوا</w:t>
      </w:r>
      <w:r w:rsidR="000636C2">
        <w:rPr>
          <w:rFonts w:hint="cs"/>
          <w:rtl/>
        </w:rPr>
        <w:t>:</w:t>
      </w:r>
      <w:r w:rsidRPr="005675B2">
        <w:rPr>
          <w:rFonts w:hint="cs"/>
          <w:rtl/>
        </w:rPr>
        <w:t xml:space="preserve"> ولكن تصديقه الذي هو أصل دخوله الإسلام وانتفاء الكفر لا ينقص</w:t>
      </w:r>
      <w:r w:rsidR="000636C2">
        <w:rPr>
          <w:rFonts w:hint="cs"/>
          <w:rtl/>
        </w:rPr>
        <w:t>،</w:t>
      </w:r>
      <w:r w:rsidRPr="005675B2">
        <w:rPr>
          <w:rFonts w:hint="cs"/>
          <w:rtl/>
        </w:rPr>
        <w:t>ومادام أنه لا ينقص فكيف يزيد وذلك لأن التصديق لو نقص فهو إما شكاً</w:t>
      </w:r>
      <w:r w:rsidR="000636C2">
        <w:rPr>
          <w:rFonts w:hint="cs"/>
          <w:rtl/>
        </w:rPr>
        <w:t xml:space="preserve"> </w:t>
      </w:r>
      <w:r w:rsidRPr="005675B2">
        <w:rPr>
          <w:rFonts w:hint="cs"/>
          <w:rtl/>
        </w:rPr>
        <w:t>أو تكذيباً وكلاهما كفر</w:t>
      </w:r>
      <w:r w:rsidR="000636C2">
        <w:rPr>
          <w:rFonts w:hint="cs"/>
          <w:rtl/>
        </w:rPr>
        <w:t>،</w:t>
      </w:r>
      <w:r w:rsidRPr="005675B2">
        <w:rPr>
          <w:rFonts w:hint="cs"/>
          <w:rtl/>
        </w:rPr>
        <w:t xml:space="preserve"> قال ابن بطال</w:t>
      </w:r>
      <w:r w:rsidR="000636C2">
        <w:rPr>
          <w:rFonts w:hint="cs"/>
          <w:rtl/>
        </w:rPr>
        <w:t>:</w:t>
      </w:r>
      <w:r w:rsidRPr="005675B2">
        <w:rPr>
          <w:rFonts w:hint="cs"/>
          <w:rtl/>
        </w:rPr>
        <w:t xml:space="preserve"> وأما التصديق بالله ورسوله فلا ينقص ولذلك توقف مالك رضي الله عنه في بعض الروايات عن القول بالنقصان إذ </w:t>
      </w:r>
      <w:r w:rsidRPr="005675B2">
        <w:rPr>
          <w:rFonts w:hint="cs"/>
          <w:u w:val="single"/>
          <w:rtl/>
        </w:rPr>
        <w:t>لا يجوز نقصان التصديق لأنه إذا نقص صار</w:t>
      </w:r>
      <w:r w:rsidR="000636C2">
        <w:rPr>
          <w:rFonts w:hint="cs"/>
          <w:u w:val="single"/>
          <w:rtl/>
        </w:rPr>
        <w:t xml:space="preserve"> </w:t>
      </w:r>
      <w:r w:rsidRPr="005675B2">
        <w:rPr>
          <w:rFonts w:hint="cs"/>
          <w:u w:val="single"/>
          <w:rtl/>
        </w:rPr>
        <w:t>شكاً وخرج عن اسم الإيمان</w:t>
      </w:r>
      <w:r w:rsidR="000636C2">
        <w:rPr>
          <w:rFonts w:hint="cs"/>
          <w:rtl/>
        </w:rPr>
        <w:t>،</w:t>
      </w:r>
      <w:r w:rsidRPr="005675B2">
        <w:rPr>
          <w:rFonts w:hint="cs"/>
          <w:rtl/>
        </w:rPr>
        <w:t xml:space="preserve"> [</w:t>
      </w:r>
      <w:r w:rsidRPr="005675B2">
        <w:rPr>
          <w:rFonts w:hint="cs"/>
          <w:bCs/>
          <w:sz w:val="24"/>
          <w:szCs w:val="24"/>
          <w:rtl/>
        </w:rPr>
        <w:t>شرح صحيح مسلم للنووي 1/103</w:t>
      </w:r>
      <w:r w:rsidRPr="005675B2">
        <w:rPr>
          <w:rFonts w:hint="cs"/>
          <w:rtl/>
        </w:rPr>
        <w:t>]</w:t>
      </w:r>
      <w:r w:rsidR="000636C2">
        <w:rPr>
          <w:rFonts w:hint="cs"/>
          <w:rtl/>
        </w:rPr>
        <w:t xml:space="preserve">، </w:t>
      </w:r>
      <w:r w:rsidRPr="005675B2">
        <w:rPr>
          <w:rFonts w:hint="cs"/>
          <w:rtl/>
        </w:rPr>
        <w:t>قال الإمام النووي</w:t>
      </w:r>
      <w:r w:rsidR="000636C2">
        <w:rPr>
          <w:rFonts w:hint="cs"/>
          <w:rtl/>
        </w:rPr>
        <w:t>:</w:t>
      </w:r>
      <w:r w:rsidRPr="005675B2">
        <w:rPr>
          <w:rFonts w:hint="cs"/>
          <w:rtl/>
        </w:rPr>
        <w:t xml:space="preserve"> </w:t>
      </w:r>
      <w:r w:rsidRPr="005675B2">
        <w:rPr>
          <w:rFonts w:hint="cs"/>
          <w:u w:val="single"/>
          <w:rtl/>
        </w:rPr>
        <w:t>قال المحققون من أصحابنا المتكلمين</w:t>
      </w:r>
      <w:r w:rsidR="000636C2">
        <w:rPr>
          <w:rFonts w:hint="cs"/>
          <w:rtl/>
        </w:rPr>
        <w:t>:</w:t>
      </w:r>
      <w:r w:rsidRPr="005675B2">
        <w:rPr>
          <w:rFonts w:hint="cs"/>
          <w:rtl/>
        </w:rPr>
        <w:t>نفس التصديق لايزيد ولا ينقص والإيمان الشرعي يزيد وينقص بزيادة ثمراته وهي الأعمال ونقصانها أهـ</w:t>
      </w:r>
      <w:r w:rsidR="000636C2">
        <w:rPr>
          <w:rFonts w:hint="cs"/>
          <w:rtl/>
        </w:rPr>
        <w:t xml:space="preserve"> </w:t>
      </w:r>
      <w:r w:rsidRPr="005675B2">
        <w:rPr>
          <w:rFonts w:hint="cs"/>
          <w:rtl/>
        </w:rPr>
        <w:t>[</w:t>
      </w:r>
      <w:r w:rsidRPr="005675B2">
        <w:rPr>
          <w:rFonts w:hint="cs"/>
          <w:bCs/>
          <w:sz w:val="24"/>
          <w:szCs w:val="24"/>
          <w:rtl/>
        </w:rPr>
        <w:t>شرح صحيح مسلم 1/ 105مع أن النووي أختار أنه يزيدوهو قول لبعض الأشاعرة وغيرهم ن أهل السنة]</w:t>
      </w:r>
      <w:r w:rsidR="000636C2">
        <w:rPr>
          <w:rFonts w:hint="cs"/>
          <w:rtl/>
        </w:rPr>
        <w:t xml:space="preserve">، </w:t>
      </w:r>
      <w:r w:rsidRPr="005675B2">
        <w:rPr>
          <w:rFonts w:hint="cs"/>
          <w:u w:val="single"/>
          <w:rtl/>
        </w:rPr>
        <w:t>إذن فكلام الأخ الحوالي وغيره - هداهم الله</w:t>
      </w:r>
      <w:r w:rsidR="000636C2">
        <w:rPr>
          <w:rFonts w:hint="cs"/>
          <w:u w:val="single"/>
          <w:rtl/>
        </w:rPr>
        <w:t xml:space="preserve"> </w:t>
      </w:r>
      <w:r w:rsidRPr="005675B2">
        <w:rPr>
          <w:rFonts w:hint="cs"/>
          <w:u w:val="single"/>
          <w:rtl/>
        </w:rPr>
        <w:t>- مجرد شبهات</w:t>
      </w:r>
      <w:r w:rsidR="000636C2">
        <w:rPr>
          <w:rFonts w:hint="cs"/>
          <w:u w:val="single"/>
          <w:rtl/>
        </w:rPr>
        <w:t>،</w:t>
      </w:r>
      <w:r w:rsidRPr="005675B2">
        <w:rPr>
          <w:rFonts w:hint="cs"/>
          <w:u w:val="single"/>
          <w:rtl/>
        </w:rPr>
        <w:t xml:space="preserve"> ولا يصلح أن يرمي طالب العلم بالكلام على عواهنه بلا بينة</w:t>
      </w:r>
      <w:r w:rsidR="000636C2">
        <w:rPr>
          <w:rFonts w:hint="cs"/>
          <w:u w:val="single"/>
          <w:rtl/>
        </w:rPr>
        <w:t>،</w:t>
      </w:r>
      <w:r w:rsidRPr="005675B2">
        <w:rPr>
          <w:rFonts w:hint="cs"/>
          <w:u w:val="single"/>
          <w:rtl/>
        </w:rPr>
        <w:t>ولا تثبت</w:t>
      </w:r>
      <w:r w:rsidR="000636C2">
        <w:rPr>
          <w:rFonts w:hint="cs"/>
          <w:u w:val="single"/>
          <w:rtl/>
        </w:rPr>
        <w:t>،</w:t>
      </w:r>
      <w:r w:rsidRPr="005675B2">
        <w:rPr>
          <w:rFonts w:hint="cs"/>
          <w:u w:val="single"/>
          <w:rtl/>
        </w:rPr>
        <w:t xml:space="preserve"> ولاتمحيص -</w:t>
      </w:r>
      <w:r w:rsidR="000636C2">
        <w:rPr>
          <w:rFonts w:hint="cs"/>
          <w:u w:val="single"/>
          <w:rtl/>
        </w:rPr>
        <w:t xml:space="preserve"> </w:t>
      </w:r>
      <w:r w:rsidRPr="005675B2">
        <w:rPr>
          <w:rFonts w:hint="cs"/>
          <w:u w:val="single"/>
          <w:rtl/>
        </w:rPr>
        <w:t xml:space="preserve">غفر الله للجميع </w:t>
      </w:r>
      <w:r w:rsidR="000636C2">
        <w:rPr>
          <w:rFonts w:hint="cs"/>
          <w:u w:val="single"/>
          <w:rtl/>
        </w:rPr>
        <w:t>،</w:t>
      </w:r>
      <w:r w:rsidRPr="005675B2">
        <w:rPr>
          <w:rFonts w:hint="cs"/>
          <w:u w:val="single"/>
          <w:rtl/>
        </w:rPr>
        <w:t xml:space="preserve"> رغم أن مسألة الإيمان فيها خلاف كبير بين أهل السنة والجماعة</w:t>
      </w:r>
      <w:r w:rsidR="000636C2">
        <w:rPr>
          <w:rFonts w:hint="cs"/>
          <w:u w:val="single"/>
          <w:rtl/>
        </w:rPr>
        <w:t>،</w:t>
      </w:r>
      <w:r w:rsidRPr="005675B2">
        <w:rPr>
          <w:rFonts w:hint="cs"/>
          <w:u w:val="single"/>
          <w:rtl/>
        </w:rPr>
        <w:t xml:space="preserve"> وبين الأشعرية أنفسهم</w:t>
      </w:r>
      <w:r w:rsidR="000636C2">
        <w:rPr>
          <w:rFonts w:hint="cs"/>
          <w:u w:val="single"/>
          <w:rtl/>
        </w:rPr>
        <w:t>،</w:t>
      </w:r>
      <w:r w:rsidRPr="005675B2">
        <w:rPr>
          <w:rFonts w:hint="cs"/>
          <w:u w:val="single"/>
          <w:rtl/>
        </w:rPr>
        <w:t xml:space="preserve"> وكذلك بين أصحاب الحديث أنفسهم</w:t>
      </w:r>
      <w:r w:rsidR="000636C2">
        <w:rPr>
          <w:rFonts w:hint="cs"/>
          <w:u w:val="single"/>
          <w:rtl/>
        </w:rPr>
        <w:t>،</w:t>
      </w:r>
      <w:r w:rsidRPr="005675B2">
        <w:rPr>
          <w:rFonts w:hint="cs"/>
          <w:u w:val="single"/>
          <w:rtl/>
        </w:rPr>
        <w:t xml:space="preserve"> وراجع ليتبين لكم ذلك كتاب تعظيم قدر الصلاة لابن نصر</w:t>
      </w:r>
      <w:r w:rsidR="000636C2">
        <w:rPr>
          <w:rFonts w:hint="cs"/>
          <w:u w:val="single"/>
          <w:rtl/>
        </w:rPr>
        <w:t>،</w:t>
      </w:r>
      <w:r w:rsidRPr="005675B2">
        <w:rPr>
          <w:rFonts w:hint="cs"/>
          <w:u w:val="single"/>
          <w:rtl/>
        </w:rPr>
        <w:t xml:space="preserve"> ولا إشكال في هذا الخلاف ولله الحمد</w:t>
      </w:r>
      <w:r w:rsidR="000636C2">
        <w:rPr>
          <w:rFonts w:hint="cs"/>
          <w:u w:val="single"/>
          <w:rtl/>
        </w:rPr>
        <w:t>،</w:t>
      </w:r>
      <w:r w:rsidRPr="005675B2">
        <w:rPr>
          <w:rFonts w:hint="cs"/>
          <w:u w:val="single"/>
          <w:rtl/>
        </w:rPr>
        <w:t xml:space="preserve"> فهذا خلاف لا يخرجهم عن الطائفة الناجية</w:t>
      </w:r>
      <w:r w:rsidR="000636C2">
        <w:rPr>
          <w:rFonts w:hint="cs"/>
          <w:u w:val="single"/>
          <w:rtl/>
        </w:rPr>
        <w:t>،</w:t>
      </w:r>
    </w:p>
    <w:p w14:paraId="2FCA6189" w14:textId="7377F5B0" w:rsidR="009C32A0" w:rsidRPr="005675B2" w:rsidRDefault="009C32A0" w:rsidP="000636C2">
      <w:pPr>
        <w:rPr>
          <w:b/>
          <w:rtl/>
        </w:rPr>
      </w:pPr>
      <w:r w:rsidRPr="005675B2">
        <w:rPr>
          <w:rFonts w:hint="cs"/>
          <w:rtl/>
        </w:rPr>
        <w:t>ثمرات</w:t>
      </w:r>
      <w:r w:rsidR="000636C2">
        <w:rPr>
          <w:rFonts w:hint="cs"/>
          <w:rtl/>
        </w:rPr>
        <w:t xml:space="preserve"> </w:t>
      </w:r>
      <w:r w:rsidRPr="005675B2">
        <w:rPr>
          <w:rFonts w:hint="cs"/>
          <w:rtl/>
        </w:rPr>
        <w:t>خلاف الناس في مسألة الإيمان</w:t>
      </w:r>
      <w:r w:rsidR="000636C2">
        <w:rPr>
          <w:rFonts w:hint="cs"/>
          <w:rtl/>
        </w:rPr>
        <w:t xml:space="preserve">: </w:t>
      </w:r>
      <w:r w:rsidRPr="005675B2">
        <w:rPr>
          <w:rFonts w:hint="cs"/>
          <w:rtl/>
        </w:rPr>
        <w:t>1</w:t>
      </w:r>
      <w:r w:rsidR="000636C2">
        <w:rPr>
          <w:rFonts w:hint="cs"/>
          <w:rtl/>
        </w:rPr>
        <w:t xml:space="preserve"> </w:t>
      </w:r>
      <w:r w:rsidRPr="005675B2">
        <w:rPr>
          <w:rFonts w:hint="cs"/>
          <w:rtl/>
        </w:rPr>
        <w:t>- من الثمرات زيادة الإيمان ونقصانه</w:t>
      </w:r>
      <w:r w:rsidR="000636C2">
        <w:rPr>
          <w:rFonts w:hint="cs"/>
          <w:rtl/>
        </w:rPr>
        <w:t>:</w:t>
      </w:r>
      <w:r w:rsidRPr="005675B2">
        <w:rPr>
          <w:rFonts w:hint="cs"/>
          <w:rtl/>
        </w:rPr>
        <w:t>وهذا خلاف لمن يقول إذا وقع في كبيرة زال إيمانه بالكلية وخلد في النار</w:t>
      </w:r>
      <w:r w:rsidR="000636C2">
        <w:rPr>
          <w:rFonts w:hint="cs"/>
          <w:rtl/>
        </w:rPr>
        <w:t>،</w:t>
      </w:r>
      <w:r w:rsidRPr="005675B2">
        <w:rPr>
          <w:rFonts w:hint="cs"/>
          <w:rtl/>
        </w:rPr>
        <w:t xml:space="preserve"> وهذا لايقول به أحد من أهل السنة والجماعة لا من الأشعرية ولا الحنابلة المفوضة ولا الماتريدية</w:t>
      </w:r>
      <w:r w:rsidR="000636C2">
        <w:rPr>
          <w:rFonts w:hint="cs"/>
          <w:rtl/>
        </w:rPr>
        <w:t xml:space="preserve">، </w:t>
      </w:r>
      <w:r w:rsidRPr="005675B2">
        <w:rPr>
          <w:rFonts w:hint="cs"/>
          <w:rtl/>
        </w:rPr>
        <w:t>2</w:t>
      </w:r>
      <w:r w:rsidR="000636C2">
        <w:rPr>
          <w:rFonts w:hint="cs"/>
          <w:rtl/>
        </w:rPr>
        <w:t xml:space="preserve"> </w:t>
      </w:r>
      <w:r w:rsidRPr="005675B2">
        <w:rPr>
          <w:rFonts w:hint="cs"/>
          <w:rtl/>
        </w:rPr>
        <w:t>- أن الإيمان لايزيد بفعل الطاعات لا في أصله ولا في كماله</w:t>
      </w:r>
      <w:r w:rsidR="000636C2">
        <w:rPr>
          <w:rFonts w:hint="cs"/>
          <w:rtl/>
        </w:rPr>
        <w:t>،</w:t>
      </w:r>
      <w:r w:rsidRPr="005675B2">
        <w:rPr>
          <w:rFonts w:hint="cs"/>
          <w:rtl/>
        </w:rPr>
        <w:t xml:space="preserve"> فإيمان أفسق المسلمين كإيمان أبي بكر وعمر</w:t>
      </w:r>
      <w:r w:rsidR="000636C2">
        <w:rPr>
          <w:rFonts w:hint="cs"/>
          <w:rtl/>
        </w:rPr>
        <w:t>،</w:t>
      </w:r>
      <w:r w:rsidRPr="005675B2">
        <w:rPr>
          <w:rFonts w:hint="cs"/>
          <w:rtl/>
        </w:rPr>
        <w:t xml:space="preserve"> وزعموا أن الإيمان هو مجرد المعرفة وهذا هو الإرجاء ولا يقول به أحد من أهل السنة ولجماعة</w:t>
      </w:r>
      <w:r w:rsidR="000636C2">
        <w:rPr>
          <w:rFonts w:hint="cs"/>
          <w:rtl/>
        </w:rPr>
        <w:t xml:space="preserve">، </w:t>
      </w:r>
      <w:r w:rsidRPr="005675B2">
        <w:rPr>
          <w:rFonts w:hint="cs"/>
          <w:rtl/>
        </w:rPr>
        <w:t>[</w:t>
      </w:r>
      <w:r w:rsidRPr="005675B2">
        <w:rPr>
          <w:rFonts w:hint="cs"/>
          <w:bCs/>
          <w:sz w:val="24"/>
          <w:szCs w:val="24"/>
          <w:rtl/>
        </w:rPr>
        <w:t>الملل والنحل 1/140</w:t>
      </w:r>
      <w:r w:rsidRPr="005675B2">
        <w:rPr>
          <w:rFonts w:hint="cs"/>
          <w:rtl/>
        </w:rPr>
        <w:t>]</w:t>
      </w:r>
      <w:r w:rsidR="000636C2">
        <w:rPr>
          <w:rFonts w:hint="cs"/>
          <w:rtl/>
        </w:rPr>
        <w:t xml:space="preserve"> </w:t>
      </w:r>
      <w:r w:rsidRPr="005675B2">
        <w:rPr>
          <w:rFonts w:hint="cs"/>
          <w:rtl/>
        </w:rPr>
        <w:t>مناقشة ثمرة أقوال الحوالي والموجان مقارنة بأهل السنة والجماعة قول الحوالي وغيره</w:t>
      </w:r>
      <w:r w:rsidR="000636C2">
        <w:rPr>
          <w:rFonts w:hint="cs"/>
          <w:rtl/>
        </w:rPr>
        <w:t>:</w:t>
      </w:r>
      <w:r w:rsidRPr="005675B2">
        <w:rPr>
          <w:rFonts w:hint="cs"/>
          <w:rtl/>
        </w:rPr>
        <w:t xml:space="preserve"> أن العمل جزء من الإيمان معناه أن تارك العمل كافر</w:t>
      </w:r>
      <w:r w:rsidR="000636C2">
        <w:rPr>
          <w:rFonts w:hint="cs"/>
          <w:rtl/>
        </w:rPr>
        <w:t>،</w:t>
      </w:r>
    </w:p>
    <w:p w14:paraId="020C8A02" w14:textId="163D4FA5" w:rsidR="009C32A0" w:rsidRPr="005675B2" w:rsidRDefault="009C32A0" w:rsidP="000636C2">
      <w:pPr>
        <w:rPr>
          <w:b/>
          <w:rtl/>
        </w:rPr>
      </w:pPr>
      <w:r w:rsidRPr="005675B2">
        <w:rPr>
          <w:rFonts w:hint="cs"/>
          <w:rtl/>
        </w:rPr>
        <w:t>قال الحوالي</w:t>
      </w:r>
      <w:r w:rsidR="000636C2">
        <w:rPr>
          <w:rFonts w:hint="cs"/>
          <w:rtl/>
        </w:rPr>
        <w:t>:</w:t>
      </w:r>
      <w:r w:rsidRPr="005675B2">
        <w:rPr>
          <w:rFonts w:hint="cs"/>
          <w:rtl/>
        </w:rPr>
        <w:t xml:space="preserve"> </w:t>
      </w:r>
      <w:r w:rsidR="000636C2">
        <w:rPr>
          <w:rFonts w:hint="cs"/>
          <w:rtl/>
        </w:rPr>
        <w:t>(</w:t>
      </w:r>
      <w:r w:rsidRPr="005675B2">
        <w:rPr>
          <w:rFonts w:hint="cs"/>
          <w:rtl/>
        </w:rPr>
        <w:t>الإيمان حقيقة مركبة وترك جنس العمل كفر</w:t>
      </w:r>
      <w:r w:rsidR="000636C2">
        <w:rPr>
          <w:rFonts w:hint="cs"/>
          <w:rtl/>
        </w:rPr>
        <w:t>)</w:t>
      </w:r>
      <w:r w:rsidRPr="005675B2">
        <w:rPr>
          <w:rFonts w:hint="cs"/>
          <w:rtl/>
        </w:rPr>
        <w:t xml:space="preserve"> [</w:t>
      </w:r>
      <w:r w:rsidRPr="005675B2">
        <w:rPr>
          <w:rFonts w:hint="cs"/>
          <w:bCs/>
          <w:sz w:val="24"/>
          <w:szCs w:val="24"/>
          <w:rtl/>
        </w:rPr>
        <w:t>ظاهرة الإرجاء في الفكر الإسلامي . للحوالي وانظر نقضها للدكتور ياسر برهامي ص37</w:t>
      </w:r>
      <w:r w:rsidRPr="005675B2">
        <w:rPr>
          <w:rFonts w:hint="cs"/>
          <w:rtl/>
        </w:rPr>
        <w:t>]</w:t>
      </w:r>
      <w:r w:rsidR="000636C2">
        <w:rPr>
          <w:rFonts w:hint="cs"/>
          <w:rtl/>
        </w:rPr>
        <w:t xml:space="preserve">، </w:t>
      </w:r>
      <w:r w:rsidRPr="005675B2">
        <w:rPr>
          <w:rFonts w:hint="cs"/>
          <w:rtl/>
        </w:rPr>
        <w:t>فأقول</w:t>
      </w:r>
      <w:r w:rsidR="000636C2">
        <w:rPr>
          <w:rFonts w:hint="cs"/>
          <w:rtl/>
        </w:rPr>
        <w:t>: (</w:t>
      </w:r>
      <w:r>
        <w:rPr>
          <w:rFonts w:hint="cs"/>
          <w:rtl/>
        </w:rPr>
        <w:t>أولا</w:t>
      </w:r>
      <w:r w:rsidR="000636C2">
        <w:rPr>
          <w:rFonts w:hint="cs"/>
          <w:rtl/>
        </w:rPr>
        <w:t>)</w:t>
      </w:r>
      <w:r w:rsidRPr="005675B2">
        <w:rPr>
          <w:rFonts w:hint="cs"/>
          <w:rtl/>
        </w:rPr>
        <w:t xml:space="preserve"> إن الإيمان أصل</w:t>
      </w:r>
      <w:r w:rsidR="000636C2">
        <w:rPr>
          <w:rFonts w:hint="cs"/>
          <w:rtl/>
        </w:rPr>
        <w:t>،</w:t>
      </w:r>
      <w:r w:rsidRPr="005675B2">
        <w:rPr>
          <w:rFonts w:hint="cs"/>
          <w:rtl/>
        </w:rPr>
        <w:t xml:space="preserve"> وكمال وقد قاله كثير من العلماء ومنهم الشيخ تقي الدين بن تيمية حيث قال</w:t>
      </w:r>
      <w:r w:rsidR="000636C2">
        <w:rPr>
          <w:rFonts w:hint="cs"/>
          <w:rtl/>
        </w:rPr>
        <w:t>:</w:t>
      </w:r>
      <w:r w:rsidRPr="005675B2">
        <w:rPr>
          <w:rFonts w:hint="cs"/>
          <w:rtl/>
        </w:rPr>
        <w:t xml:space="preserve"> والدين القائم بالقلب من الإيمان علماً وحالاً هو الأصل، والأعمال الظاهرة هي الفروع وهي كمال الإيمان</w:t>
      </w:r>
      <w:r w:rsidR="000636C2">
        <w:rPr>
          <w:rFonts w:hint="cs"/>
          <w:rtl/>
        </w:rPr>
        <w:t>،</w:t>
      </w:r>
      <w:r w:rsidRPr="005675B2">
        <w:rPr>
          <w:rFonts w:hint="cs"/>
          <w:rtl/>
        </w:rPr>
        <w:t xml:space="preserve"> أ</w:t>
      </w:r>
      <w:r w:rsidR="000636C2">
        <w:rPr>
          <w:rFonts w:hint="cs"/>
          <w:rtl/>
        </w:rPr>
        <w:t xml:space="preserve"> </w:t>
      </w:r>
      <w:r w:rsidRPr="005675B2">
        <w:rPr>
          <w:rFonts w:hint="cs"/>
          <w:rtl/>
        </w:rPr>
        <w:t>- ه</w:t>
      </w:r>
      <w:r w:rsidR="000636C2">
        <w:rPr>
          <w:rFonts w:hint="cs"/>
          <w:rtl/>
        </w:rPr>
        <w:t xml:space="preserve"> </w:t>
      </w:r>
      <w:r w:rsidRPr="005675B2">
        <w:rPr>
          <w:rFonts w:hint="cs"/>
          <w:rtl/>
        </w:rPr>
        <w:t>-</w:t>
      </w:r>
      <w:r w:rsidR="000636C2">
        <w:rPr>
          <w:rFonts w:hint="cs"/>
          <w:rtl/>
        </w:rPr>
        <w:t xml:space="preserve"> </w:t>
      </w:r>
      <w:r w:rsidRPr="005675B2">
        <w:rPr>
          <w:rFonts w:hint="cs"/>
          <w:rtl/>
        </w:rPr>
        <w:t>[</w:t>
      </w:r>
      <w:r w:rsidRPr="005675B2">
        <w:rPr>
          <w:rFonts w:hint="cs"/>
          <w:bCs/>
          <w:sz w:val="24"/>
          <w:szCs w:val="24"/>
          <w:rtl/>
        </w:rPr>
        <w:t>مج الفتاوي 10/ 355</w:t>
      </w:r>
      <w:r w:rsidRPr="005675B2">
        <w:rPr>
          <w:rFonts w:hint="cs"/>
          <w:rtl/>
        </w:rPr>
        <w:t>] بينما الكاتب وغيره لا يعترفون بهذا التقسيم</w:t>
      </w:r>
      <w:r w:rsidR="000636C2">
        <w:rPr>
          <w:rFonts w:hint="cs"/>
          <w:rtl/>
        </w:rPr>
        <w:t>،</w:t>
      </w:r>
      <w:r w:rsidRPr="005675B2">
        <w:rPr>
          <w:rFonts w:hint="cs"/>
          <w:rtl/>
        </w:rPr>
        <w:t xml:space="preserve"> وعلى كل حال فلن أطيل في بيان أن تارك العمل إن لم يكن مستحلاً لتركه فليس بكافر وإنما إليكم نقولاًعن السلف هي عين مذهب الأشاعرة</w:t>
      </w:r>
      <w:r w:rsidR="000636C2">
        <w:rPr>
          <w:rFonts w:hint="cs"/>
          <w:rtl/>
        </w:rPr>
        <w:t>،</w:t>
      </w:r>
      <w:r w:rsidRPr="005675B2">
        <w:rPr>
          <w:rFonts w:hint="cs"/>
          <w:rtl/>
        </w:rPr>
        <w:t xml:space="preserve"> </w:t>
      </w:r>
    </w:p>
    <w:p w14:paraId="36171BE9" w14:textId="492EE994"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ما روي عن الإمام أحمد في رسالته إلى مسدد بن مسرهد</w:t>
      </w:r>
      <w:r w:rsidR="000636C2">
        <w:rPr>
          <w:rFonts w:hint="cs"/>
          <w:rtl/>
        </w:rPr>
        <w:t>:</w:t>
      </w:r>
      <w:r w:rsidRPr="005675B2">
        <w:rPr>
          <w:rFonts w:hint="cs"/>
          <w:rtl/>
        </w:rPr>
        <w:t xml:space="preserve"> (</w:t>
      </w:r>
      <w:r w:rsidR="000636C2">
        <w:rPr>
          <w:rFonts w:hint="cs"/>
          <w:rtl/>
        </w:rPr>
        <w:t>(</w:t>
      </w:r>
      <w:r w:rsidRPr="005675B2">
        <w:rPr>
          <w:rFonts w:hint="cs"/>
          <w:rtl/>
        </w:rPr>
        <w:t>ولا يخرجه من الإسلام إلا الشرك العظيم</w:t>
      </w:r>
      <w:r w:rsidR="000636C2">
        <w:rPr>
          <w:rFonts w:hint="cs"/>
          <w:rtl/>
        </w:rPr>
        <w:t>،</w:t>
      </w:r>
      <w:r w:rsidRPr="005675B2">
        <w:rPr>
          <w:rFonts w:hint="cs"/>
          <w:rtl/>
        </w:rPr>
        <w:t>أو يرد فريضة من فرائض الله جاحداً لها</w:t>
      </w:r>
      <w:r w:rsidR="000636C2">
        <w:rPr>
          <w:rFonts w:hint="cs"/>
          <w:rtl/>
        </w:rPr>
        <w:t>،</w:t>
      </w:r>
      <w:r w:rsidRPr="005675B2">
        <w:rPr>
          <w:rFonts w:hint="cs"/>
          <w:rtl/>
        </w:rPr>
        <w:t>فإن تركها تهاوناً وكسلاً كان في مشيئة الله</w:t>
      </w:r>
      <w:r w:rsidR="000636C2">
        <w:rPr>
          <w:rFonts w:hint="cs"/>
          <w:rtl/>
        </w:rPr>
        <w:t>،</w:t>
      </w:r>
      <w:r w:rsidRPr="005675B2">
        <w:rPr>
          <w:rFonts w:hint="cs"/>
          <w:rtl/>
        </w:rPr>
        <w:t>إن شاء عذبه وإن شاء عفا</w:t>
      </w:r>
      <w:r w:rsidR="000636C2">
        <w:rPr>
          <w:rFonts w:hint="cs"/>
          <w:rtl/>
        </w:rPr>
        <w:t xml:space="preserve"> </w:t>
      </w:r>
      <w:r w:rsidRPr="005675B2">
        <w:rPr>
          <w:rFonts w:hint="cs"/>
          <w:rtl/>
        </w:rPr>
        <w:t>عنه</w:t>
      </w:r>
      <w:r w:rsidR="000636C2">
        <w:rPr>
          <w:rFonts w:hint="cs"/>
          <w:rtl/>
        </w:rPr>
        <w:t>)</w:t>
      </w:r>
      <w:r w:rsidRPr="005675B2">
        <w:rPr>
          <w:rFonts w:hint="cs"/>
          <w:rtl/>
        </w:rPr>
        <w:t xml:space="preserve"> [</w:t>
      </w:r>
      <w:r w:rsidRPr="005675B2">
        <w:rPr>
          <w:rFonts w:hint="cs"/>
          <w:bCs/>
          <w:sz w:val="24"/>
          <w:szCs w:val="24"/>
          <w:rtl/>
        </w:rPr>
        <w:t>مناقب الإمام أحمد لابن الجوزي ص226]</w:t>
      </w:r>
    </w:p>
    <w:p w14:paraId="2F96816E" w14:textId="0D536A93"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وعن سفيان الثوري قال</w:t>
      </w:r>
      <w:r w:rsidR="000636C2">
        <w:rPr>
          <w:rFonts w:hint="cs"/>
          <w:rtl/>
        </w:rPr>
        <w:t>:</w:t>
      </w:r>
      <w:r w:rsidRPr="005675B2">
        <w:rPr>
          <w:rFonts w:hint="cs"/>
          <w:rtl/>
        </w:rPr>
        <w:t xml:space="preserve"> فمن ترك خلة من خلل الإيمان جاحداً كان بها عندنا كافراً</w:t>
      </w:r>
      <w:r w:rsidR="000636C2">
        <w:rPr>
          <w:rFonts w:hint="cs"/>
          <w:rtl/>
        </w:rPr>
        <w:t>،</w:t>
      </w:r>
      <w:r w:rsidRPr="005675B2">
        <w:rPr>
          <w:rFonts w:hint="cs"/>
          <w:rtl/>
        </w:rPr>
        <w:t>ومن</w:t>
      </w:r>
      <w:r w:rsidR="000636C2">
        <w:rPr>
          <w:rFonts w:hint="cs"/>
          <w:rtl/>
        </w:rPr>
        <w:t xml:space="preserve"> </w:t>
      </w:r>
      <w:r w:rsidRPr="005675B2">
        <w:rPr>
          <w:rFonts w:hint="cs"/>
          <w:rtl/>
        </w:rPr>
        <w:t>تركها تهاوناً أو كسلاً أدبناه</w:t>
      </w:r>
      <w:r w:rsidR="000636C2">
        <w:rPr>
          <w:rFonts w:hint="cs"/>
          <w:rtl/>
        </w:rPr>
        <w:t>،</w:t>
      </w:r>
      <w:r w:rsidRPr="005675B2">
        <w:rPr>
          <w:rFonts w:hint="cs"/>
          <w:rtl/>
        </w:rPr>
        <w:t>وكان بها عندنا ناقصاً</w:t>
      </w:r>
      <w:r w:rsidR="000636C2">
        <w:rPr>
          <w:rFonts w:hint="cs"/>
          <w:rtl/>
        </w:rPr>
        <w:t>،</w:t>
      </w:r>
      <w:r w:rsidRPr="005675B2">
        <w:rPr>
          <w:rFonts w:hint="cs"/>
          <w:rtl/>
        </w:rPr>
        <w:t xml:space="preserve"> هكذا السنة</w:t>
      </w:r>
      <w:r w:rsidR="000636C2">
        <w:rPr>
          <w:rFonts w:hint="cs"/>
          <w:rtl/>
        </w:rPr>
        <w:t>،</w:t>
      </w:r>
      <w:r w:rsidRPr="005675B2">
        <w:rPr>
          <w:rFonts w:hint="cs"/>
          <w:rtl/>
        </w:rPr>
        <w:t xml:space="preserve"> [</w:t>
      </w:r>
      <w:r w:rsidRPr="005675B2">
        <w:rPr>
          <w:rFonts w:hint="cs"/>
          <w:bCs/>
          <w:sz w:val="24"/>
          <w:szCs w:val="24"/>
          <w:rtl/>
        </w:rPr>
        <w:t>الشريعة للأجري 1/ 249والإبانة لابطة 2/855]</w:t>
      </w:r>
    </w:p>
    <w:p w14:paraId="3BF023E4" w14:textId="43501112"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وقال ابن بطة</w:t>
      </w:r>
      <w:r w:rsidR="000636C2">
        <w:rPr>
          <w:rFonts w:hint="cs"/>
          <w:rtl/>
        </w:rPr>
        <w:t>:</w:t>
      </w:r>
      <w:r w:rsidRPr="005675B2">
        <w:rPr>
          <w:rFonts w:hint="cs"/>
          <w:rtl/>
        </w:rPr>
        <w:t xml:space="preserve"> وقال أهل الجماعة</w:t>
      </w:r>
      <w:r w:rsidR="000636C2">
        <w:rPr>
          <w:rFonts w:hint="cs"/>
          <w:rtl/>
        </w:rPr>
        <w:t>:</w:t>
      </w:r>
      <w:r w:rsidRPr="005675B2">
        <w:rPr>
          <w:rFonts w:hint="cs"/>
          <w:rtl/>
        </w:rPr>
        <w:t xml:space="preserve"> الإيمان هو الطاعات كلها بالقلب واللسان</w:t>
      </w:r>
      <w:r w:rsidR="000636C2">
        <w:rPr>
          <w:rFonts w:hint="cs"/>
          <w:rtl/>
        </w:rPr>
        <w:t>،</w:t>
      </w:r>
      <w:r w:rsidRPr="005675B2">
        <w:rPr>
          <w:rFonts w:hint="cs"/>
          <w:rtl/>
        </w:rPr>
        <w:t>والجوارح</w:t>
      </w:r>
      <w:r w:rsidR="000636C2">
        <w:rPr>
          <w:rFonts w:hint="cs"/>
          <w:rtl/>
        </w:rPr>
        <w:t>،</w:t>
      </w:r>
      <w:r w:rsidRPr="005675B2">
        <w:rPr>
          <w:rFonts w:hint="cs"/>
          <w:rtl/>
        </w:rPr>
        <w:t xml:space="preserve"> غير أن له </w:t>
      </w:r>
      <w:r w:rsidRPr="005675B2">
        <w:rPr>
          <w:rFonts w:hint="cs"/>
          <w:u w:val="single"/>
          <w:rtl/>
        </w:rPr>
        <w:t>أصلاً</w:t>
      </w:r>
      <w:r w:rsidR="000636C2">
        <w:rPr>
          <w:rFonts w:hint="cs"/>
          <w:u w:val="single"/>
          <w:rtl/>
        </w:rPr>
        <w:t>،</w:t>
      </w:r>
      <w:r w:rsidRPr="005675B2">
        <w:rPr>
          <w:rFonts w:hint="cs"/>
          <w:u w:val="single"/>
          <w:rtl/>
        </w:rPr>
        <w:t xml:space="preserve"> وفروعاً</w:t>
      </w:r>
      <w:r w:rsidR="000636C2">
        <w:rPr>
          <w:rFonts w:hint="cs"/>
          <w:u w:val="single"/>
          <w:rtl/>
        </w:rPr>
        <w:t>:</w:t>
      </w:r>
      <w:r w:rsidRPr="005675B2">
        <w:rPr>
          <w:rFonts w:hint="cs"/>
          <w:rtl/>
        </w:rPr>
        <w:t xml:space="preserve"> فأصله المعرفة بالله والتصديق له وبه وبماجاء من عنده بالقلب</w:t>
      </w:r>
      <w:r w:rsidR="000636C2">
        <w:rPr>
          <w:rFonts w:hint="cs"/>
          <w:rtl/>
        </w:rPr>
        <w:t>،</w:t>
      </w:r>
      <w:r w:rsidRPr="005675B2">
        <w:rPr>
          <w:rFonts w:hint="cs"/>
          <w:rtl/>
        </w:rPr>
        <w:t xml:space="preserve"> واللسان مع الخضوع له والحب</w:t>
      </w:r>
      <w:r w:rsidR="000636C2">
        <w:rPr>
          <w:rFonts w:hint="cs"/>
          <w:rtl/>
        </w:rPr>
        <w:t>،</w:t>
      </w:r>
      <w:r w:rsidRPr="005675B2">
        <w:rPr>
          <w:rFonts w:hint="cs"/>
          <w:rtl/>
        </w:rPr>
        <w:t xml:space="preserve"> والخوف منه والتعظيم مع ترك الاستنكاف والمعاندة فإذا أتى بهذا الأصل فقد دخل في الإيمان ولزمه اسمه وأحكامه</w:t>
      </w:r>
      <w:r w:rsidR="000636C2">
        <w:rPr>
          <w:rFonts w:hint="cs"/>
          <w:rtl/>
        </w:rPr>
        <w:t>،</w:t>
      </w:r>
      <w:r w:rsidRPr="005675B2">
        <w:rPr>
          <w:rFonts w:hint="cs"/>
          <w:rtl/>
        </w:rPr>
        <w:t xml:space="preserve"> ولا يكون مستكملاً له حتى يأتي بفروعه</w:t>
      </w:r>
      <w:r w:rsidR="000636C2">
        <w:rPr>
          <w:rFonts w:hint="cs"/>
          <w:rtl/>
        </w:rPr>
        <w:t>،</w:t>
      </w:r>
      <w:r w:rsidRPr="005675B2">
        <w:rPr>
          <w:rFonts w:hint="cs"/>
          <w:rtl/>
        </w:rPr>
        <w:t>وفرعه المفترض عليه الفرائض واجتناب المحارم</w:t>
      </w:r>
      <w:r w:rsidR="000636C2">
        <w:rPr>
          <w:rFonts w:hint="cs"/>
          <w:rtl/>
        </w:rPr>
        <w:t>،</w:t>
      </w:r>
      <w:r w:rsidRPr="005675B2">
        <w:rPr>
          <w:rFonts w:hint="cs"/>
          <w:rtl/>
        </w:rPr>
        <w:t xml:space="preserve"> انتهى</w:t>
      </w:r>
      <w:r w:rsidR="000636C2">
        <w:rPr>
          <w:rFonts w:hint="cs"/>
          <w:rtl/>
        </w:rPr>
        <w:t>،</w:t>
      </w:r>
      <w:r w:rsidRPr="005675B2">
        <w:rPr>
          <w:rFonts w:hint="cs"/>
          <w:rtl/>
        </w:rPr>
        <w:t xml:space="preserve"> وقارن بين كلام هؤلاء وبين قول الأشاعرة</w:t>
      </w:r>
      <w:r w:rsidR="000636C2">
        <w:rPr>
          <w:rFonts w:hint="cs"/>
          <w:rtl/>
        </w:rPr>
        <w:t>،</w:t>
      </w:r>
      <w:r w:rsidRPr="005675B2">
        <w:rPr>
          <w:rFonts w:hint="cs"/>
          <w:rtl/>
        </w:rPr>
        <w:t>ومنهم ابن حجر العسقلاني</w:t>
      </w:r>
      <w:r w:rsidR="000636C2">
        <w:rPr>
          <w:rFonts w:hint="cs"/>
          <w:rtl/>
        </w:rPr>
        <w:t>،</w:t>
      </w:r>
      <w:r w:rsidRPr="005675B2">
        <w:rPr>
          <w:rFonts w:hint="cs"/>
          <w:rtl/>
        </w:rPr>
        <w:t>والباجوري،وابن بطال وغيرهم فيما سبق نقله</w:t>
      </w:r>
      <w:r w:rsidR="000636C2">
        <w:rPr>
          <w:rFonts w:hint="cs"/>
          <w:rtl/>
        </w:rPr>
        <w:t>،</w:t>
      </w:r>
    </w:p>
    <w:p w14:paraId="069DADE2" w14:textId="4135DDE3" w:rsidR="009C32A0" w:rsidRPr="005675B2" w:rsidRDefault="009C32A0" w:rsidP="000636C2">
      <w:pPr>
        <w:rPr>
          <w:b/>
          <w:rtl/>
        </w:rPr>
      </w:pPr>
      <w:r w:rsidRPr="005675B2">
        <w:rPr>
          <w:rFonts w:hint="cs"/>
          <w:rtl/>
        </w:rPr>
        <w:t>والخلاصة</w:t>
      </w:r>
      <w:r w:rsidR="000636C2">
        <w:rPr>
          <w:rFonts w:hint="cs"/>
          <w:rtl/>
        </w:rPr>
        <w:t>:</w:t>
      </w:r>
      <w:r w:rsidRPr="005675B2">
        <w:rPr>
          <w:rFonts w:hint="cs"/>
          <w:rtl/>
        </w:rPr>
        <w:t xml:space="preserve"> 1</w:t>
      </w:r>
      <w:r w:rsidR="000636C2">
        <w:rPr>
          <w:rFonts w:hint="cs"/>
          <w:rtl/>
        </w:rPr>
        <w:t xml:space="preserve"> </w:t>
      </w:r>
      <w:r w:rsidRPr="005675B2">
        <w:rPr>
          <w:rFonts w:hint="cs"/>
          <w:rtl/>
        </w:rPr>
        <w:t>- أن أهل السنة والجماعة لا يكفرون بترك العمل إلا إذا كان جاحداً</w:t>
      </w:r>
      <w:r w:rsidR="000636C2">
        <w:rPr>
          <w:rFonts w:hint="cs"/>
          <w:rtl/>
        </w:rPr>
        <w:t>،</w:t>
      </w:r>
      <w:r w:rsidRPr="005675B2">
        <w:rPr>
          <w:rFonts w:hint="cs"/>
          <w:rtl/>
        </w:rPr>
        <w:t>ولا خلاف في ذلك إلا في مسألة ترك الصلاة</w:t>
      </w:r>
      <w:r w:rsidR="000636C2">
        <w:rPr>
          <w:rFonts w:hint="cs"/>
          <w:rtl/>
        </w:rPr>
        <w:t>،</w:t>
      </w:r>
      <w:r w:rsidRPr="005675B2">
        <w:rPr>
          <w:rFonts w:hint="cs"/>
          <w:rtl/>
        </w:rPr>
        <w:t xml:space="preserve"> وقد سبق بيانه</w:t>
      </w:r>
      <w:r w:rsidR="000636C2">
        <w:rPr>
          <w:rFonts w:hint="cs"/>
          <w:rtl/>
        </w:rPr>
        <w:t>،</w:t>
      </w:r>
      <w:r w:rsidRPr="005675B2">
        <w:rPr>
          <w:rFonts w:hint="cs"/>
          <w:rtl/>
        </w:rPr>
        <w:t xml:space="preserve"> وكذا إذا منع الزكاة وقاتل على ذلك فهما قيدان في الحكم الأول</w:t>
      </w:r>
      <w:r w:rsidR="000636C2">
        <w:rPr>
          <w:rFonts w:hint="cs"/>
          <w:rtl/>
        </w:rPr>
        <w:t>:</w:t>
      </w:r>
      <w:r w:rsidRPr="005675B2">
        <w:rPr>
          <w:rFonts w:hint="cs"/>
          <w:rtl/>
        </w:rPr>
        <w:t xml:space="preserve"> أن يمتنع من إعطاء الزكاة</w:t>
      </w:r>
      <w:r w:rsidR="000636C2">
        <w:rPr>
          <w:rFonts w:hint="cs"/>
          <w:rtl/>
        </w:rPr>
        <w:t>،</w:t>
      </w:r>
      <w:r w:rsidRPr="005675B2">
        <w:rPr>
          <w:rFonts w:hint="cs"/>
          <w:rtl/>
        </w:rPr>
        <w:t xml:space="preserve"> والثاني</w:t>
      </w:r>
      <w:r w:rsidR="000636C2">
        <w:rPr>
          <w:rFonts w:hint="cs"/>
          <w:rtl/>
        </w:rPr>
        <w:t>:</w:t>
      </w:r>
      <w:r w:rsidRPr="005675B2">
        <w:rPr>
          <w:rFonts w:hint="cs"/>
          <w:rtl/>
        </w:rPr>
        <w:t xml:space="preserve"> أن يقاتل على ذلك</w:t>
      </w:r>
      <w:r w:rsidR="000636C2">
        <w:rPr>
          <w:rFonts w:hint="cs"/>
          <w:rtl/>
        </w:rPr>
        <w:t xml:space="preserve">، </w:t>
      </w:r>
      <w:r w:rsidRPr="005675B2">
        <w:rPr>
          <w:rFonts w:hint="cs"/>
          <w:rtl/>
        </w:rPr>
        <w:t>ففي هذه الحالة اختلف العلماء في كفره</w:t>
      </w:r>
      <w:r w:rsidR="000636C2">
        <w:rPr>
          <w:rFonts w:hint="cs"/>
          <w:rtl/>
        </w:rPr>
        <w:t>،</w:t>
      </w:r>
      <w:r w:rsidRPr="005675B2">
        <w:rPr>
          <w:rFonts w:hint="cs"/>
          <w:rtl/>
        </w:rPr>
        <w:t xml:space="preserve"> [</w:t>
      </w:r>
      <w:r w:rsidRPr="005675B2">
        <w:rPr>
          <w:rFonts w:hint="cs"/>
          <w:bCs/>
          <w:sz w:val="24"/>
          <w:szCs w:val="24"/>
          <w:rtl/>
        </w:rPr>
        <w:t>المغني: 3/ 380 وفيه تفصيل نفيس</w:t>
      </w:r>
      <w:r w:rsidR="000636C2">
        <w:rPr>
          <w:rFonts w:hint="cs"/>
          <w:bCs/>
          <w:sz w:val="24"/>
          <w:szCs w:val="24"/>
          <w:rtl/>
        </w:rPr>
        <w:t>]</w:t>
      </w:r>
      <w:r w:rsidRPr="005675B2">
        <w:rPr>
          <w:rFonts w:hint="cs"/>
          <w:rtl/>
        </w:rPr>
        <w:t xml:space="preserve"> والراجح عند الجمهور عدم كفره</w:t>
      </w:r>
      <w:r w:rsidR="000636C2">
        <w:rPr>
          <w:rFonts w:hint="cs"/>
          <w:rtl/>
        </w:rPr>
        <w:t>،</w:t>
      </w:r>
    </w:p>
    <w:p w14:paraId="6A247896" w14:textId="0FF25B0A"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واتفق أهل السنة والجماعة ومنهم الأشاعرة على أن من طُلب منه الإقرار باللسان وأبى فهو كافر في الدنيا والآخرة</w:t>
      </w:r>
      <w:r w:rsidR="000636C2">
        <w:rPr>
          <w:rFonts w:hint="cs"/>
          <w:rtl/>
        </w:rPr>
        <w:t>،</w:t>
      </w:r>
      <w:r w:rsidRPr="005675B2">
        <w:rPr>
          <w:rFonts w:hint="cs"/>
          <w:rtl/>
        </w:rPr>
        <w:t xml:space="preserve"> وأما من لم ينطق بلسانه ولم يأبى فكذلك لا يحكم بإسلامه في الدنيا اتفاقاً</w:t>
      </w:r>
      <w:r w:rsidR="000636C2">
        <w:rPr>
          <w:rFonts w:hint="cs"/>
          <w:rtl/>
        </w:rPr>
        <w:t>،</w:t>
      </w:r>
      <w:r w:rsidRPr="005675B2">
        <w:rPr>
          <w:rFonts w:hint="cs"/>
          <w:rtl/>
        </w:rPr>
        <w:t>لكن وقع الخلاف في هل هو شرط لإجراء الأحكام</w:t>
      </w:r>
      <w:r w:rsidR="000636C2">
        <w:rPr>
          <w:rFonts w:hint="cs"/>
          <w:rtl/>
        </w:rPr>
        <w:t>،</w:t>
      </w:r>
      <w:r w:rsidRPr="005675B2">
        <w:rPr>
          <w:rFonts w:hint="cs"/>
          <w:rtl/>
        </w:rPr>
        <w:t>أم لصحة التصديق</w:t>
      </w:r>
      <w:r w:rsidR="000636C2">
        <w:rPr>
          <w:rFonts w:hint="cs"/>
          <w:rtl/>
        </w:rPr>
        <w:t>،</w:t>
      </w:r>
      <w:r w:rsidRPr="005675B2">
        <w:rPr>
          <w:rFonts w:hint="cs"/>
          <w:rtl/>
        </w:rPr>
        <w:t>والأشاعرة على أنه لإجراء الأحكام</w:t>
      </w:r>
      <w:r w:rsidR="000636C2">
        <w:rPr>
          <w:rFonts w:hint="cs"/>
          <w:rtl/>
        </w:rPr>
        <w:t>،</w:t>
      </w:r>
      <w:r w:rsidRPr="005675B2">
        <w:rPr>
          <w:rFonts w:hint="cs"/>
          <w:rtl/>
        </w:rPr>
        <w:t xml:space="preserve"> والثمرة من ذلك أنه كافر عند الجميع في أحكام الدنيا، أما في الآخرة فلا يجزم بكفره إن كان مصدقاً مذعناً في الباطن لأن الله أعلم بالبواطن وهذا قول</w:t>
      </w:r>
      <w:r w:rsidR="000636C2">
        <w:rPr>
          <w:rFonts w:hint="cs"/>
          <w:rtl/>
        </w:rPr>
        <w:t xml:space="preserve"> </w:t>
      </w:r>
      <w:r w:rsidRPr="005675B2">
        <w:rPr>
          <w:rFonts w:hint="cs"/>
          <w:rtl/>
        </w:rPr>
        <w:t>جمهور الأشاعرة</w:t>
      </w:r>
      <w:r w:rsidR="000636C2">
        <w:rPr>
          <w:rFonts w:hint="cs"/>
          <w:rtl/>
        </w:rPr>
        <w:t>،</w:t>
      </w:r>
      <w:r w:rsidRPr="005675B2">
        <w:rPr>
          <w:rFonts w:hint="cs"/>
          <w:rtl/>
        </w:rPr>
        <w:t xml:space="preserve"> أما الماتريدية وبعض الأشاعرة وأصحاب الحديث فيكفرونه في الدنيا والآخرة</w:t>
      </w:r>
      <w:r w:rsidR="000636C2">
        <w:rPr>
          <w:rFonts w:hint="cs"/>
          <w:rtl/>
        </w:rPr>
        <w:t>،</w:t>
      </w:r>
      <w:r w:rsidRPr="005675B2">
        <w:rPr>
          <w:rFonts w:hint="cs"/>
          <w:rtl/>
        </w:rPr>
        <w:t xml:space="preserve"> وحجة جمهور الأشاعرة أن الله أعلم بالبواطن مادام أنه مؤمن بالله ففي قلبه مثقال ذرة من الإيمان أو أكثر</w:t>
      </w:r>
      <w:r w:rsidR="000636C2">
        <w:rPr>
          <w:rFonts w:hint="cs"/>
          <w:rtl/>
        </w:rPr>
        <w:t>،</w:t>
      </w:r>
      <w:r w:rsidRPr="005675B2">
        <w:rPr>
          <w:rFonts w:hint="cs"/>
          <w:rtl/>
        </w:rPr>
        <w:t xml:space="preserve"> فحكمنا له بالظاهر، وأما الباطن فعلمه عند الله</w:t>
      </w:r>
      <w:r w:rsidR="000636C2">
        <w:rPr>
          <w:rFonts w:hint="cs"/>
          <w:rtl/>
        </w:rPr>
        <w:t>،</w:t>
      </w:r>
      <w:r w:rsidRPr="005675B2">
        <w:rPr>
          <w:rFonts w:hint="cs"/>
          <w:rtl/>
        </w:rPr>
        <w:t xml:space="preserve"> وحجة الجمهور أن نحكم له</w:t>
      </w:r>
      <w:r w:rsidR="000636C2">
        <w:rPr>
          <w:rFonts w:hint="cs"/>
          <w:rtl/>
        </w:rPr>
        <w:t>،</w:t>
      </w:r>
      <w:r w:rsidRPr="005675B2">
        <w:rPr>
          <w:rFonts w:hint="cs"/>
          <w:rtl/>
        </w:rPr>
        <w:t>وحكمناإنما هو بحسب الظاهر</w:t>
      </w:r>
      <w:r w:rsidR="000636C2">
        <w:rPr>
          <w:rFonts w:hint="cs"/>
          <w:rtl/>
        </w:rPr>
        <w:t>،</w:t>
      </w:r>
      <w:r w:rsidRPr="005675B2">
        <w:rPr>
          <w:rFonts w:hint="cs"/>
          <w:rtl/>
        </w:rPr>
        <w:t>ولم نحكم أصلاً بالبواطن</w:t>
      </w:r>
      <w:r w:rsidR="000636C2">
        <w:rPr>
          <w:rFonts w:hint="cs"/>
          <w:rtl/>
        </w:rPr>
        <w:t>،</w:t>
      </w:r>
      <w:r w:rsidRPr="005675B2">
        <w:rPr>
          <w:rFonts w:hint="cs"/>
          <w:rtl/>
        </w:rPr>
        <w:t xml:space="preserve"> فهو خلاف لفظي كما ترى</w:t>
      </w:r>
      <w:r w:rsidR="000636C2">
        <w:rPr>
          <w:rFonts w:hint="cs"/>
          <w:rtl/>
        </w:rPr>
        <w:t>،</w:t>
      </w:r>
    </w:p>
    <w:p w14:paraId="14330942" w14:textId="634C71F2"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أن أهل السنة والجماعة قاطبة يحكمون بفسق تارك العمل كلية وأنه لو كان لا يترك العمل ولكنه يقع في كبيرة فهو فاسق أيضاً لا كافر ولو كانت كبيرة واحدة</w:t>
      </w:r>
      <w:r w:rsidR="000636C2">
        <w:rPr>
          <w:rFonts w:hint="cs"/>
          <w:rtl/>
        </w:rPr>
        <w:t>،</w:t>
      </w:r>
    </w:p>
    <w:p w14:paraId="04F6D8A3" w14:textId="0CFEAC78"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الإيمان يزيد بالطاعة وينقص بالمعصية عند الأشاعرة</w:t>
      </w:r>
      <w:r w:rsidR="000636C2">
        <w:rPr>
          <w:rFonts w:hint="cs"/>
          <w:rtl/>
        </w:rPr>
        <w:t xml:space="preserve"> </w:t>
      </w:r>
      <w:r w:rsidRPr="005675B2">
        <w:rPr>
          <w:rFonts w:hint="cs"/>
          <w:rtl/>
        </w:rPr>
        <w:t>والسلف</w:t>
      </w:r>
      <w:r w:rsidR="000636C2">
        <w:rPr>
          <w:rFonts w:hint="cs"/>
          <w:rtl/>
        </w:rPr>
        <w:t>،</w:t>
      </w:r>
      <w:r w:rsidRPr="005675B2">
        <w:rPr>
          <w:rFonts w:hint="cs"/>
          <w:rtl/>
        </w:rPr>
        <w:t xml:space="preserve"> فبطلت جميع مزاعم الشيخ الحوالي والموجان غفر الله لي</w:t>
      </w:r>
      <w:r w:rsidR="000636C2">
        <w:rPr>
          <w:rFonts w:hint="cs"/>
          <w:rtl/>
        </w:rPr>
        <w:t xml:space="preserve"> </w:t>
      </w:r>
      <w:r w:rsidRPr="005675B2">
        <w:rPr>
          <w:rFonts w:hint="cs"/>
          <w:rtl/>
        </w:rPr>
        <w:t>ولهما</w:t>
      </w:r>
      <w:r w:rsidR="000636C2">
        <w:rPr>
          <w:rFonts w:hint="cs"/>
          <w:rtl/>
        </w:rPr>
        <w:t>،</w:t>
      </w:r>
    </w:p>
    <w:p w14:paraId="0CE18669" w14:textId="0F93498D" w:rsidR="009C32A0" w:rsidRPr="005675B2" w:rsidRDefault="009C32A0" w:rsidP="000636C2">
      <w:pPr>
        <w:rPr>
          <w:b/>
          <w:rtl/>
        </w:rPr>
      </w:pPr>
      <w:r w:rsidRPr="005675B2">
        <w:rPr>
          <w:rFonts w:hint="cs"/>
          <w:rtl/>
        </w:rPr>
        <w:t>منشأ الشبهة عند الحوالي</w:t>
      </w:r>
      <w:r w:rsidR="000636C2">
        <w:rPr>
          <w:rFonts w:hint="cs"/>
          <w:rtl/>
        </w:rPr>
        <w:t xml:space="preserve">: </w:t>
      </w:r>
      <w:r w:rsidRPr="005675B2">
        <w:rPr>
          <w:rFonts w:hint="cs"/>
          <w:rtl/>
        </w:rPr>
        <w:t>هو أخذه بمرويات الأئمة دون تفريق بين الترك المجرد</w:t>
      </w:r>
      <w:r w:rsidR="000636C2">
        <w:rPr>
          <w:rFonts w:hint="cs"/>
          <w:rtl/>
        </w:rPr>
        <w:t>،</w:t>
      </w:r>
      <w:r w:rsidRPr="005675B2">
        <w:rPr>
          <w:rFonts w:hint="cs"/>
          <w:rtl/>
        </w:rPr>
        <w:t>وبين الترك بجحود واستحلال</w:t>
      </w:r>
      <w:r w:rsidR="000636C2">
        <w:rPr>
          <w:rFonts w:hint="cs"/>
          <w:rtl/>
        </w:rPr>
        <w:t>،</w:t>
      </w:r>
      <w:r w:rsidRPr="005675B2">
        <w:rPr>
          <w:rFonts w:hint="cs"/>
          <w:rtl/>
        </w:rPr>
        <w:t>وهذا هو عين شبهة الخوارج حيث أخذوا بظواهر الآيات والأحاديث كقوله (</w:t>
      </w:r>
      <w:r w:rsidR="000636C2">
        <w:rPr>
          <w:rFonts w:hint="cs"/>
          <w:rtl/>
        </w:rPr>
        <w:t>(</w:t>
      </w:r>
      <w:r w:rsidRPr="005675B2">
        <w:rPr>
          <w:rFonts w:hint="cs"/>
          <w:rtl/>
        </w:rPr>
        <w:t>لا يزني الزاني حين يزني وهو مؤمن</w:t>
      </w:r>
      <w:r w:rsidR="000636C2">
        <w:rPr>
          <w:rFonts w:hint="cs"/>
          <w:rtl/>
        </w:rPr>
        <w:t>)</w:t>
      </w:r>
      <w:r w:rsidRPr="005675B2">
        <w:rPr>
          <w:rFonts w:hint="cs"/>
          <w:rtl/>
        </w:rPr>
        <w:t>) ونحوه من الأحاديث وإنما المقصود هنا هو كمال الإيمان لا أصله</w:t>
      </w:r>
      <w:r w:rsidR="000636C2">
        <w:rPr>
          <w:rFonts w:hint="cs"/>
          <w:rtl/>
        </w:rPr>
        <w:t>،</w:t>
      </w:r>
    </w:p>
    <w:p w14:paraId="42EE2F87" w14:textId="5B3A97E8" w:rsidR="009C32A0" w:rsidRPr="005675B2" w:rsidRDefault="009C32A0" w:rsidP="000636C2">
      <w:pPr>
        <w:rPr>
          <w:b/>
          <w:rtl/>
        </w:rPr>
      </w:pPr>
      <w:r w:rsidRPr="005675B2">
        <w:rPr>
          <w:rFonts w:hint="cs"/>
          <w:rtl/>
        </w:rPr>
        <w:t>ومما تعلق به قول سفيان بن عيينه</w:t>
      </w:r>
      <w:r w:rsidR="000636C2">
        <w:rPr>
          <w:rFonts w:hint="cs"/>
          <w:rtl/>
        </w:rPr>
        <w:t>:</w:t>
      </w:r>
      <w:r w:rsidRPr="005675B2">
        <w:rPr>
          <w:rFonts w:hint="cs"/>
          <w:rtl/>
        </w:rPr>
        <w:t xml:space="preserve"> المرجئة سموا ترك الفرائض ذنباً بمنزلة ركوب المحارم </w:t>
      </w:r>
      <w:r w:rsidR="000636C2">
        <w:rPr>
          <w:rFonts w:hint="cs"/>
          <w:rtl/>
        </w:rPr>
        <w:t>(</w:t>
      </w:r>
      <w:r w:rsidRPr="005675B2">
        <w:rPr>
          <w:rFonts w:hint="cs"/>
          <w:rtl/>
        </w:rPr>
        <w:t>أي ارتكاب المحرمات</w:t>
      </w:r>
      <w:r w:rsidR="000636C2">
        <w:rPr>
          <w:rFonts w:hint="cs"/>
          <w:rtl/>
        </w:rPr>
        <w:t>)</w:t>
      </w:r>
      <w:r w:rsidRPr="005675B2">
        <w:rPr>
          <w:rFonts w:hint="cs"/>
          <w:rtl/>
        </w:rPr>
        <w:t xml:space="preserve"> وليسا سواء</w:t>
      </w:r>
      <w:r w:rsidR="000636C2">
        <w:rPr>
          <w:rFonts w:hint="cs"/>
          <w:rtl/>
        </w:rPr>
        <w:t>،</w:t>
      </w:r>
      <w:r w:rsidRPr="005675B2">
        <w:rPr>
          <w:rFonts w:hint="cs"/>
          <w:rtl/>
        </w:rPr>
        <w:t>لأن ركوب المحارم متعمداً من غير استحلال معصية</w:t>
      </w:r>
      <w:r w:rsidR="000636C2">
        <w:rPr>
          <w:rFonts w:hint="cs"/>
          <w:rtl/>
        </w:rPr>
        <w:t>،</w:t>
      </w:r>
      <w:r w:rsidRPr="005675B2">
        <w:rPr>
          <w:rFonts w:hint="cs"/>
          <w:rtl/>
        </w:rPr>
        <w:t>وترك الفرائض من غير جهل ولا عذر كفر</w:t>
      </w:r>
      <w:r w:rsidR="000636C2">
        <w:rPr>
          <w:rFonts w:hint="cs"/>
          <w:rtl/>
        </w:rPr>
        <w:t>،</w:t>
      </w:r>
      <w:r w:rsidRPr="005675B2">
        <w:rPr>
          <w:rFonts w:hint="cs"/>
          <w:rtl/>
        </w:rPr>
        <w:t xml:space="preserve"> وبيان ذلك في أمر آدم</w:t>
      </w:r>
      <w:r w:rsidR="000636C2">
        <w:rPr>
          <w:rFonts w:hint="cs"/>
          <w:rtl/>
        </w:rPr>
        <w:t>،</w:t>
      </w:r>
      <w:r w:rsidRPr="005675B2">
        <w:rPr>
          <w:rFonts w:hint="cs"/>
          <w:rtl/>
        </w:rPr>
        <w:t>وإبليس</w:t>
      </w:r>
      <w:r w:rsidR="000636C2">
        <w:rPr>
          <w:rFonts w:hint="cs"/>
          <w:rtl/>
        </w:rPr>
        <w:t>،</w:t>
      </w:r>
      <w:r w:rsidRPr="005675B2">
        <w:rPr>
          <w:rFonts w:hint="cs"/>
          <w:rtl/>
        </w:rPr>
        <w:t>وعلماء اليهود الذين أقروا ببعث النبي صلى الله عليه وسلم بلسانهم ولم يعملوا بشرائعه</w:t>
      </w:r>
      <w:r w:rsidR="000636C2">
        <w:rPr>
          <w:rFonts w:hint="cs"/>
          <w:rtl/>
        </w:rPr>
        <w:t>،</w:t>
      </w:r>
      <w:r w:rsidRPr="005675B2">
        <w:rPr>
          <w:rFonts w:hint="cs"/>
          <w:rtl/>
        </w:rPr>
        <w:t xml:space="preserve"> انتهى كلام سفيان رحمه الله</w:t>
      </w:r>
      <w:r w:rsidR="000636C2">
        <w:rPr>
          <w:rFonts w:hint="cs"/>
          <w:rtl/>
        </w:rPr>
        <w:t xml:space="preserve">، </w:t>
      </w:r>
      <w:r w:rsidRPr="005675B2">
        <w:rPr>
          <w:rFonts w:hint="cs"/>
          <w:rtl/>
        </w:rPr>
        <w:t>وكلام سفيان جلي في أن مقصوده المستحل والجاحد</w:t>
      </w:r>
      <w:r w:rsidR="000636C2">
        <w:rPr>
          <w:rFonts w:hint="cs"/>
          <w:rtl/>
        </w:rPr>
        <w:t>،</w:t>
      </w:r>
      <w:r w:rsidRPr="005675B2">
        <w:rPr>
          <w:rFonts w:hint="cs"/>
          <w:rtl/>
        </w:rPr>
        <w:t>لأنه قد بين ذلك مستشهداً بفعل إبليس وعلماء اليهود</w:t>
      </w:r>
      <w:r w:rsidR="000636C2">
        <w:rPr>
          <w:rFonts w:hint="cs"/>
          <w:rtl/>
        </w:rPr>
        <w:t>،</w:t>
      </w:r>
      <w:r w:rsidRPr="005675B2">
        <w:rPr>
          <w:rFonts w:hint="cs"/>
          <w:rtl/>
        </w:rPr>
        <w:t>وإبليس ليس تركه تركاً مجرداً بل هو إباءً واستكباراً</w:t>
      </w:r>
      <w:r w:rsidR="000636C2">
        <w:rPr>
          <w:rFonts w:hint="cs"/>
          <w:rtl/>
        </w:rPr>
        <w:t>،</w:t>
      </w:r>
      <w:r w:rsidRPr="005675B2">
        <w:rPr>
          <w:rFonts w:hint="cs"/>
          <w:rtl/>
        </w:rPr>
        <w:t>ولذا قال الباجوري رحمه الله</w:t>
      </w:r>
      <w:r w:rsidR="000636C2">
        <w:rPr>
          <w:rFonts w:hint="cs"/>
          <w:rtl/>
        </w:rPr>
        <w:t>:</w:t>
      </w:r>
      <w:r w:rsidRPr="005675B2">
        <w:rPr>
          <w:rFonts w:hint="cs"/>
          <w:rtl/>
        </w:rPr>
        <w:t xml:space="preserve"> وإن الآبي بأن طلب منه النطق بالشهادتين فأبى فهو كافر فيهما</w:t>
      </w:r>
      <w:r w:rsidR="000636C2">
        <w:rPr>
          <w:rFonts w:hint="cs"/>
          <w:rtl/>
        </w:rPr>
        <w:t>،</w:t>
      </w:r>
      <w:r w:rsidRPr="005675B2">
        <w:rPr>
          <w:rFonts w:hint="cs"/>
          <w:rtl/>
        </w:rPr>
        <w:t>ولو كان مذعنا بقلبه فلا ينفعه ذلك ولو في</w:t>
      </w:r>
      <w:r w:rsidR="000636C2">
        <w:rPr>
          <w:rFonts w:hint="cs"/>
          <w:rtl/>
        </w:rPr>
        <w:t xml:space="preserve"> </w:t>
      </w:r>
      <w:r w:rsidRPr="005675B2">
        <w:rPr>
          <w:rFonts w:hint="cs"/>
          <w:rtl/>
        </w:rPr>
        <w:t>الآخرة</w:t>
      </w:r>
      <w:r w:rsidR="000636C2">
        <w:rPr>
          <w:rFonts w:hint="cs"/>
          <w:rtl/>
        </w:rPr>
        <w:t>،</w:t>
      </w:r>
      <w:r w:rsidRPr="005675B2">
        <w:rPr>
          <w:rFonts w:hint="cs"/>
          <w:rtl/>
        </w:rPr>
        <w:t xml:space="preserve"> [</w:t>
      </w:r>
      <w:r w:rsidRPr="005675B2">
        <w:rPr>
          <w:rFonts w:hint="cs"/>
          <w:bCs/>
          <w:sz w:val="24"/>
          <w:szCs w:val="24"/>
          <w:rtl/>
        </w:rPr>
        <w:t>شرح الجوهرة ص116</w:t>
      </w:r>
      <w:r w:rsidRPr="005675B2">
        <w:rPr>
          <w:rFonts w:hint="cs"/>
          <w:rtl/>
        </w:rPr>
        <w:t>] أهـ</w:t>
      </w:r>
      <w:r w:rsidR="000636C2">
        <w:rPr>
          <w:rFonts w:hint="cs"/>
          <w:rtl/>
        </w:rPr>
        <w:t xml:space="preserve"> </w:t>
      </w:r>
      <w:r w:rsidRPr="005675B2">
        <w:rPr>
          <w:rFonts w:hint="cs"/>
          <w:rtl/>
        </w:rPr>
        <w:t>واليهود أبوا كذلك</w:t>
      </w:r>
      <w:r w:rsidR="000636C2">
        <w:rPr>
          <w:rFonts w:hint="cs"/>
          <w:rtl/>
        </w:rPr>
        <w:t>،</w:t>
      </w:r>
      <w:r w:rsidRPr="005675B2">
        <w:rPr>
          <w:rFonts w:hint="cs"/>
          <w:rtl/>
        </w:rPr>
        <w:t>وكذبوا الرسول صلى الله عليه وسلم مع علمهم بأنه نبي</w:t>
      </w:r>
      <w:r w:rsidR="000636C2">
        <w:rPr>
          <w:rFonts w:hint="cs"/>
          <w:rtl/>
        </w:rPr>
        <w:t xml:space="preserve">، </w:t>
      </w:r>
    </w:p>
    <w:p w14:paraId="46A22F86" w14:textId="1A7DF2B8" w:rsidR="009C32A0" w:rsidRPr="005675B2" w:rsidRDefault="009C32A0" w:rsidP="000636C2">
      <w:pPr>
        <w:rPr>
          <w:b/>
          <w:rtl/>
        </w:rPr>
      </w:pPr>
      <w:r w:rsidRPr="005675B2">
        <w:rPr>
          <w:rFonts w:hint="cs"/>
          <w:rtl/>
        </w:rPr>
        <w:t>هل الإمام أبو حنيفة من أهل السنة والجماعة</w:t>
      </w:r>
      <w:r w:rsidR="000636C2">
        <w:rPr>
          <w:rFonts w:hint="cs"/>
          <w:rtl/>
        </w:rPr>
        <w:t xml:space="preserve">؟ </w:t>
      </w:r>
      <w:r w:rsidRPr="005675B2">
        <w:rPr>
          <w:rFonts w:hint="cs"/>
          <w:rtl/>
        </w:rPr>
        <w:t>هذا السؤال مما يتعجب أن يسأل عنه في إمام كالإمام أبي حنيفة رضي الله عنه، ولكن في زماننا حتى الإمام ابي حنيفة رضي الله عنه لم يسلم من القدح فيه</w:t>
      </w:r>
      <w:r w:rsidR="000636C2">
        <w:rPr>
          <w:rFonts w:hint="cs"/>
          <w:rtl/>
        </w:rPr>
        <w:t>:</w:t>
      </w:r>
      <w:r w:rsidRPr="005675B2">
        <w:rPr>
          <w:rFonts w:hint="cs"/>
          <w:rtl/>
        </w:rPr>
        <w:t xml:space="preserve"> </w:t>
      </w:r>
    </w:p>
    <w:p w14:paraId="57060D95" w14:textId="1572068C" w:rsidR="009C32A0" w:rsidRPr="005675B2" w:rsidRDefault="009C32A0" w:rsidP="000636C2">
      <w:pPr>
        <w:rPr>
          <w:b/>
          <w:rtl/>
        </w:rPr>
      </w:pPr>
      <w:r w:rsidRPr="005675B2">
        <w:rPr>
          <w:rFonts w:hint="cs"/>
          <w:rtl/>
        </w:rPr>
        <w:t>وللفائدة</w:t>
      </w:r>
      <w:r w:rsidR="000636C2">
        <w:rPr>
          <w:rFonts w:hint="cs"/>
          <w:rtl/>
        </w:rPr>
        <w:t>،</w:t>
      </w:r>
      <w:r w:rsidRPr="005675B2">
        <w:rPr>
          <w:rFonts w:hint="cs"/>
          <w:rtl/>
        </w:rPr>
        <w:t xml:space="preserve"> فالإمام</w:t>
      </w:r>
      <w:r w:rsidR="000636C2">
        <w:rPr>
          <w:rFonts w:hint="cs"/>
          <w:rtl/>
        </w:rPr>
        <w:t xml:space="preserve"> </w:t>
      </w:r>
      <w:r w:rsidRPr="005675B2">
        <w:rPr>
          <w:rFonts w:hint="cs"/>
          <w:rtl/>
        </w:rPr>
        <w:t>لا يقول أن تارك العمل ليس بفاسق،أو أن مرتكب الآثام والكبائر كأعدل المؤمنين</w:t>
      </w:r>
      <w:r w:rsidR="000636C2">
        <w:rPr>
          <w:rFonts w:hint="cs"/>
          <w:rtl/>
        </w:rPr>
        <w:t>،</w:t>
      </w:r>
      <w:r w:rsidRPr="005675B2">
        <w:rPr>
          <w:rFonts w:hint="cs"/>
          <w:rtl/>
        </w:rPr>
        <w:t xml:space="preserve"> ولذا فعدم إدخاله العمل في مسمى الإيمان لا يترتب</w:t>
      </w:r>
      <w:r w:rsidR="000636C2">
        <w:rPr>
          <w:rFonts w:hint="cs"/>
          <w:rtl/>
        </w:rPr>
        <w:t xml:space="preserve"> </w:t>
      </w:r>
      <w:r w:rsidRPr="005675B2">
        <w:rPr>
          <w:rFonts w:hint="cs"/>
          <w:rtl/>
        </w:rPr>
        <w:t>عليه شيء من جهة الفسق والعدالة لأن مرتكب الكبائر فاسق عنده</w:t>
      </w:r>
      <w:r w:rsidR="000636C2">
        <w:rPr>
          <w:rFonts w:hint="cs"/>
          <w:rtl/>
        </w:rPr>
        <w:t>،</w:t>
      </w:r>
      <w:r w:rsidRPr="005675B2">
        <w:rPr>
          <w:rFonts w:hint="cs"/>
          <w:rtl/>
        </w:rPr>
        <w:t xml:space="preserve"> ولكنه يرى</w:t>
      </w:r>
      <w:r w:rsidR="000636C2">
        <w:rPr>
          <w:rFonts w:hint="cs"/>
          <w:rtl/>
        </w:rPr>
        <w:t xml:space="preserve"> </w:t>
      </w:r>
      <w:r w:rsidRPr="005675B2">
        <w:rPr>
          <w:rFonts w:hint="cs"/>
          <w:rtl/>
        </w:rPr>
        <w:t>رضي الله عنه أن الآيات الدالة على زيادة الإيمان إنما هو من جهة التدرج في التشريع، أي أن الإسلام بدأ بتشريع الصلاة ثم زاد الأعمال الأخرى تدرجاً وشاهد ذلك قوله تعالى (</w:t>
      </w:r>
      <w:r w:rsidR="000636C2">
        <w:rPr>
          <w:rFonts w:hint="cs"/>
          <w:rtl/>
        </w:rPr>
        <w:t>(</w:t>
      </w:r>
      <w:r w:rsidRPr="005675B2">
        <w:rPr>
          <w:rFonts w:hint="cs"/>
          <w:rtl/>
        </w:rPr>
        <w:t>وما كان الله ليضيع إيمانكم</w:t>
      </w:r>
      <w:r w:rsidR="000636C2">
        <w:rPr>
          <w:rFonts w:hint="cs"/>
          <w:rtl/>
        </w:rPr>
        <w:t>)</w:t>
      </w:r>
      <w:r w:rsidRPr="005675B2">
        <w:rPr>
          <w:rFonts w:hint="cs"/>
          <w:rtl/>
        </w:rPr>
        <w:t>)</w:t>
      </w:r>
      <w:r w:rsidR="000636C2">
        <w:rPr>
          <w:rFonts w:hint="cs"/>
          <w:rtl/>
        </w:rPr>
        <w:t xml:space="preserve"> </w:t>
      </w:r>
      <w:r w:rsidRPr="005675B2">
        <w:rPr>
          <w:rFonts w:hint="cs"/>
          <w:rtl/>
        </w:rPr>
        <w:t>فإن معناها عند أهل التفسير صلواتكم إلى المسجدالأقصى قبل نسخ حكم ذلك</w:t>
      </w:r>
      <w:r w:rsidR="000636C2">
        <w:rPr>
          <w:rFonts w:hint="cs"/>
          <w:rtl/>
        </w:rPr>
        <w:t>،</w:t>
      </w:r>
      <w:r w:rsidRPr="005675B2">
        <w:rPr>
          <w:rFonts w:hint="cs"/>
          <w:rtl/>
        </w:rPr>
        <w:t>والصلاة عمل من الأعمال والقرآن يفسر بعضه بعضاً</w:t>
      </w:r>
      <w:r w:rsidR="000636C2">
        <w:rPr>
          <w:rFonts w:hint="cs"/>
          <w:rtl/>
        </w:rPr>
        <w:t>،</w:t>
      </w:r>
      <w:r w:rsidRPr="005675B2">
        <w:rPr>
          <w:rFonts w:hint="cs"/>
          <w:rtl/>
        </w:rPr>
        <w:t xml:space="preserve"> فإذا تأمل المنصف وجد أن له مأخذ قوي رحمه الله تعالى</w:t>
      </w:r>
      <w:r w:rsidR="000636C2">
        <w:rPr>
          <w:rFonts w:hint="cs"/>
          <w:rtl/>
        </w:rPr>
        <w:t xml:space="preserve">، </w:t>
      </w:r>
    </w:p>
    <w:p w14:paraId="1E43E82B" w14:textId="74FF0255" w:rsidR="009C32A0" w:rsidRPr="005675B2" w:rsidRDefault="009C32A0" w:rsidP="000636C2">
      <w:pPr>
        <w:rPr>
          <w:b/>
          <w:rtl/>
        </w:rPr>
      </w:pPr>
      <w:r w:rsidRPr="005675B2">
        <w:rPr>
          <w:rFonts w:hint="cs"/>
          <w:rtl/>
        </w:rPr>
        <w:t>قال الإمام محمد بن عبدالكريم الشهرستاني عن الإمام أبي حنيفة</w:t>
      </w:r>
      <w:r w:rsidR="000636C2">
        <w:rPr>
          <w:rFonts w:hint="cs"/>
          <w:rtl/>
        </w:rPr>
        <w:t>:</w:t>
      </w:r>
      <w:r w:rsidRPr="005675B2">
        <w:rPr>
          <w:rFonts w:hint="cs"/>
          <w:rtl/>
        </w:rPr>
        <w:t xml:space="preserve"> وعده كثير من أصحاب</w:t>
      </w:r>
      <w:r w:rsidR="000636C2">
        <w:rPr>
          <w:rFonts w:hint="cs"/>
          <w:rtl/>
        </w:rPr>
        <w:t xml:space="preserve"> </w:t>
      </w:r>
      <w:r w:rsidRPr="005675B2">
        <w:rPr>
          <w:rFonts w:hint="cs"/>
          <w:rtl/>
        </w:rPr>
        <w:t>المقالات من جملة المرجئة</w:t>
      </w:r>
      <w:r w:rsidR="000636C2">
        <w:rPr>
          <w:rFonts w:hint="cs"/>
          <w:rtl/>
        </w:rPr>
        <w:t>،</w:t>
      </w:r>
      <w:r w:rsidRPr="005675B2">
        <w:rPr>
          <w:rFonts w:hint="cs"/>
          <w:rtl/>
        </w:rPr>
        <w:t>ولعل السبب فيه أنه لما كان يقول</w:t>
      </w:r>
      <w:r w:rsidR="000636C2">
        <w:rPr>
          <w:rFonts w:hint="cs"/>
          <w:rtl/>
        </w:rPr>
        <w:t>:</w:t>
      </w:r>
      <w:r w:rsidRPr="005675B2">
        <w:rPr>
          <w:rFonts w:hint="cs"/>
          <w:rtl/>
        </w:rPr>
        <w:t xml:space="preserve"> الإيمان هو التصديق بالقلب وهو لا يزيد ولا ينقص ظنوا أنه يؤخر العمل عن الإيمان</w:t>
      </w:r>
      <w:r w:rsidR="000636C2">
        <w:rPr>
          <w:rFonts w:hint="cs"/>
          <w:rtl/>
        </w:rPr>
        <w:t>،</w:t>
      </w:r>
      <w:r w:rsidRPr="005675B2">
        <w:rPr>
          <w:rFonts w:hint="cs"/>
          <w:rtl/>
        </w:rPr>
        <w:t xml:space="preserve"> والرجل مع تحريجه في العمل كيف يفتي بترك العمل</w:t>
      </w:r>
      <w:r w:rsidR="000636C2">
        <w:rPr>
          <w:rFonts w:hint="cs"/>
          <w:rtl/>
        </w:rPr>
        <w:t>؟!</w:t>
      </w:r>
      <w:r w:rsidRPr="005675B2">
        <w:rPr>
          <w:rFonts w:hint="cs"/>
          <w:rtl/>
        </w:rPr>
        <w:t>!</w:t>
      </w:r>
    </w:p>
    <w:p w14:paraId="2E2E87B3" w14:textId="2732EC4E" w:rsidR="009C32A0" w:rsidRPr="005675B2" w:rsidRDefault="009C32A0" w:rsidP="000636C2">
      <w:pPr>
        <w:rPr>
          <w:b/>
          <w:u w:val="single"/>
          <w:rtl/>
        </w:rPr>
      </w:pPr>
      <w:r w:rsidRPr="005675B2">
        <w:rPr>
          <w:rFonts w:hint="cs"/>
          <w:rtl/>
        </w:rPr>
        <w:t>وله سبب آخر</w:t>
      </w:r>
      <w:r w:rsidR="000636C2">
        <w:rPr>
          <w:rFonts w:hint="cs"/>
          <w:rtl/>
        </w:rPr>
        <w:t xml:space="preserve"> </w:t>
      </w:r>
      <w:r w:rsidRPr="005675B2">
        <w:rPr>
          <w:rFonts w:hint="cs"/>
          <w:rtl/>
        </w:rPr>
        <w:t>وهو أنه كان يخالف القدرية والمعتزلة الذين ظهروا في الصدر الأول</w:t>
      </w:r>
      <w:r w:rsidR="000636C2">
        <w:rPr>
          <w:rFonts w:hint="cs"/>
          <w:rtl/>
        </w:rPr>
        <w:t>،</w:t>
      </w:r>
      <w:r w:rsidRPr="005675B2">
        <w:rPr>
          <w:rFonts w:hint="cs"/>
          <w:rtl/>
        </w:rPr>
        <w:t xml:space="preserve"> والمعتزلة كانوا يلقبون كل من خالفهم في القدر مرجئا</w:t>
      </w:r>
      <w:r w:rsidR="000636C2">
        <w:rPr>
          <w:rFonts w:hint="cs"/>
          <w:rtl/>
        </w:rPr>
        <w:t>،</w:t>
      </w:r>
      <w:r w:rsidRPr="005675B2">
        <w:rPr>
          <w:rFonts w:hint="cs"/>
          <w:rtl/>
        </w:rPr>
        <w:t>وكذلك الوعيدية من الخوارج</w:t>
      </w:r>
      <w:r w:rsidR="000636C2">
        <w:rPr>
          <w:rFonts w:hint="cs"/>
          <w:rtl/>
        </w:rPr>
        <w:t>،</w:t>
      </w:r>
      <w:r w:rsidRPr="005675B2">
        <w:rPr>
          <w:rFonts w:hint="cs"/>
          <w:rtl/>
        </w:rPr>
        <w:t xml:space="preserve"> فلا يبعد أن اللقب إنما لزمه من فريقي المعتزلة والخوارج</w:t>
      </w:r>
      <w:r w:rsidR="000636C2">
        <w:rPr>
          <w:rFonts w:hint="cs"/>
          <w:rtl/>
        </w:rPr>
        <w:t>،</w:t>
      </w:r>
      <w:r w:rsidRPr="005675B2">
        <w:rPr>
          <w:rFonts w:hint="cs"/>
          <w:rtl/>
        </w:rPr>
        <w:t>والله أعلم</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الملل والنحل 1/ 141</w:t>
      </w:r>
      <w:r w:rsidRPr="005675B2">
        <w:rPr>
          <w:rFonts w:hint="cs"/>
          <w:rtl/>
        </w:rPr>
        <w:t>]</w:t>
      </w:r>
      <w:r w:rsidR="000636C2">
        <w:rPr>
          <w:rFonts w:hint="cs"/>
          <w:rtl/>
        </w:rPr>
        <w:t>،</w:t>
      </w:r>
      <w:r w:rsidRPr="005675B2">
        <w:rPr>
          <w:rFonts w:hint="cs"/>
          <w:rtl/>
        </w:rPr>
        <w:t xml:space="preserve"> </w:t>
      </w:r>
      <w:r w:rsidRPr="005675B2">
        <w:rPr>
          <w:rFonts w:hint="cs"/>
          <w:u w:val="single"/>
          <w:rtl/>
        </w:rPr>
        <w:t>إذن لابد من النظر إلى ثمرات الأقوال ومعانيها، لا لمجرد الألفاظ والاصطلاحات، لأن الأحكام تترتب على المعاني لا على الألفاظ فقط</w:t>
      </w:r>
      <w:r w:rsidR="000636C2">
        <w:rPr>
          <w:rFonts w:hint="cs"/>
          <w:u w:val="single"/>
          <w:rtl/>
        </w:rPr>
        <w:t>،</w:t>
      </w:r>
    </w:p>
    <w:p w14:paraId="4A189BD8" w14:textId="77777777" w:rsidR="009C32A0" w:rsidRPr="005675B2" w:rsidRDefault="009C32A0" w:rsidP="000636C2">
      <w:pPr>
        <w:rPr>
          <w:b/>
          <w:u w:val="single"/>
          <w:rtl/>
        </w:rPr>
      </w:pPr>
      <w:r w:rsidRPr="005675B2">
        <w:rPr>
          <w:rFonts w:hint="cs"/>
          <w:u w:val="single"/>
          <w:rtl/>
        </w:rPr>
        <w:t>مسألة كلام الله تعالى</w:t>
      </w:r>
    </w:p>
    <w:p w14:paraId="2D1F81B1" w14:textId="3B1F770F" w:rsidR="009C32A0" w:rsidRPr="005675B2" w:rsidRDefault="009C32A0" w:rsidP="000636C2">
      <w:pPr>
        <w:rPr>
          <w:b/>
        </w:rPr>
      </w:pPr>
      <w:r w:rsidRPr="005675B2">
        <w:rPr>
          <w:rFonts w:hint="cs"/>
          <w:rtl/>
        </w:rPr>
        <w:t>قال الكاتب</w:t>
      </w:r>
      <w:r w:rsidR="000636C2">
        <w:rPr>
          <w:rFonts w:hint="cs"/>
          <w:rtl/>
        </w:rPr>
        <w:t xml:space="preserve">: </w:t>
      </w:r>
      <w:r w:rsidRPr="005675B2">
        <w:rPr>
          <w:rFonts w:hint="cs"/>
          <w:rtl/>
        </w:rPr>
        <w:t>القرآن</w:t>
      </w:r>
      <w:r w:rsidR="000636C2">
        <w:rPr>
          <w:rFonts w:hint="cs"/>
          <w:rtl/>
        </w:rPr>
        <w:t>:</w:t>
      </w:r>
      <w:r w:rsidRPr="005675B2">
        <w:rPr>
          <w:rFonts w:hint="cs"/>
          <w:rtl/>
        </w:rPr>
        <w:t>أما مذهب الأشاعرة فمن</w:t>
      </w:r>
      <w:r w:rsidRPr="005675B2">
        <w:rPr>
          <w:rFonts w:hint="cs"/>
        </w:rPr>
        <w:t xml:space="preserve"> </w:t>
      </w:r>
      <w:r w:rsidRPr="005675B2">
        <w:rPr>
          <w:rFonts w:hint="cs"/>
          <w:rtl/>
        </w:rPr>
        <w:t>منطلق التوفيقية</w:t>
      </w:r>
      <w:r w:rsidR="000636C2">
        <w:rPr>
          <w:rFonts w:hint="cs"/>
          <w:rtl/>
        </w:rPr>
        <w:t xml:space="preserve"> </w:t>
      </w:r>
      <w:r w:rsidRPr="005675B2">
        <w:rPr>
          <w:rFonts w:hint="cs"/>
          <w:rtl/>
        </w:rPr>
        <w:t>- التي لم يحالفها التوفيق</w:t>
      </w:r>
      <w:r w:rsidR="000636C2">
        <w:rPr>
          <w:rFonts w:hint="cs"/>
          <w:rtl/>
        </w:rPr>
        <w:t xml:space="preserve"> </w:t>
      </w:r>
      <w:r w:rsidRPr="005675B2">
        <w:rPr>
          <w:rFonts w:hint="cs"/>
          <w:rtl/>
        </w:rPr>
        <w:t>- فرقوا بين المعنى واللفظ</w:t>
      </w:r>
      <w:r w:rsidR="000636C2">
        <w:rPr>
          <w:rFonts w:hint="cs"/>
          <w:rtl/>
        </w:rPr>
        <w:t>،</w:t>
      </w:r>
      <w:r w:rsidRPr="005675B2">
        <w:rPr>
          <w:rFonts w:hint="cs"/>
          <w:rtl/>
        </w:rPr>
        <w:t xml:space="preserve"> فالكلام</w:t>
      </w:r>
      <w:r w:rsidRPr="005675B2">
        <w:rPr>
          <w:rFonts w:hint="cs"/>
        </w:rPr>
        <w:t xml:space="preserve"> </w:t>
      </w:r>
      <w:r w:rsidRPr="005675B2">
        <w:rPr>
          <w:rFonts w:hint="cs"/>
          <w:rtl/>
        </w:rPr>
        <w:t>الذي يثبتونه لله تعالى هو معنى أزلي أبدي قائم بالنفس ليس بحرف ولا صوت ولا يوصف</w:t>
      </w:r>
      <w:r w:rsidRPr="005675B2">
        <w:rPr>
          <w:rFonts w:hint="cs"/>
        </w:rPr>
        <w:t xml:space="preserve"> </w:t>
      </w:r>
      <w:r w:rsidRPr="005675B2">
        <w:rPr>
          <w:rFonts w:hint="cs"/>
          <w:rtl/>
        </w:rPr>
        <w:t>بالخبر ولا الإنشاء</w:t>
      </w:r>
      <w:r w:rsidR="000636C2">
        <w:rPr>
          <w:rFonts w:hint="cs"/>
          <w:rtl/>
        </w:rPr>
        <w:t>،</w:t>
      </w:r>
      <w:r w:rsidRPr="005675B2">
        <w:rPr>
          <w:rFonts w:hint="cs"/>
          <w:rtl/>
        </w:rPr>
        <w:t xml:space="preserve"> واستدلوا بالبيت المنسوب</w:t>
      </w:r>
      <w:r w:rsidRPr="005675B2">
        <w:rPr>
          <w:rFonts w:hint="cs"/>
        </w:rPr>
        <w:t xml:space="preserve"> </w:t>
      </w:r>
      <w:r w:rsidRPr="005675B2">
        <w:rPr>
          <w:rFonts w:hint="cs"/>
          <w:rtl/>
        </w:rPr>
        <w:t>للأخطل النصراني</w:t>
      </w:r>
      <w:r w:rsidR="000636C2">
        <w:rPr>
          <w:rFonts w:hint="cs"/>
          <w:rtl/>
        </w:rPr>
        <w:t xml:space="preserve">: </w:t>
      </w:r>
      <w:r w:rsidRPr="005675B2">
        <w:rPr>
          <w:rFonts w:hint="cs"/>
          <w:rtl/>
        </w:rPr>
        <w:t>إن الكلام لفي الفؤاد وإنما</w:t>
      </w:r>
      <w:r w:rsidR="000636C2">
        <w:rPr>
          <w:rFonts w:hint="cs"/>
          <w:rtl/>
        </w:rPr>
        <w:t xml:space="preserve"> </w:t>
      </w:r>
      <w:r w:rsidRPr="005675B2">
        <w:rPr>
          <w:rFonts w:hint="cs"/>
          <w:rtl/>
        </w:rPr>
        <w:t>جعل اللسان على الفؤاد دليلا</w:t>
      </w:r>
      <w:r w:rsidR="000636C2">
        <w:rPr>
          <w:rFonts w:hint="cs"/>
          <w:rtl/>
        </w:rPr>
        <w:t>،</w:t>
      </w:r>
      <w:r w:rsidRPr="005675B2">
        <w:rPr>
          <w:rFonts w:hint="cs"/>
          <w:rtl/>
        </w:rPr>
        <w:t xml:space="preserve"> أما الكتب المنزلة ذات</w:t>
      </w:r>
      <w:r w:rsidRPr="005675B2">
        <w:rPr>
          <w:rFonts w:hint="cs"/>
        </w:rPr>
        <w:t xml:space="preserve"> </w:t>
      </w:r>
      <w:r w:rsidRPr="005675B2">
        <w:rPr>
          <w:rFonts w:hint="cs"/>
          <w:rtl/>
        </w:rPr>
        <w:t>الترتيب والنظم والحروف</w:t>
      </w:r>
      <w:r w:rsidR="000636C2">
        <w:rPr>
          <w:rFonts w:hint="cs"/>
          <w:rtl/>
        </w:rPr>
        <w:t xml:space="preserve"> </w:t>
      </w:r>
      <w:r w:rsidRPr="005675B2">
        <w:rPr>
          <w:rFonts w:hint="cs"/>
          <w:rtl/>
        </w:rPr>
        <w:t>- ومنها القرآن</w:t>
      </w:r>
      <w:r w:rsidR="000636C2">
        <w:rPr>
          <w:rFonts w:hint="cs"/>
          <w:rtl/>
        </w:rPr>
        <w:t xml:space="preserve"> </w:t>
      </w:r>
      <w:r w:rsidRPr="005675B2">
        <w:rPr>
          <w:rFonts w:hint="cs"/>
          <w:rtl/>
        </w:rPr>
        <w:t>- فليست هي كلامه تعالى على الحقيقة</w:t>
      </w:r>
      <w:r w:rsidR="000636C2">
        <w:rPr>
          <w:rFonts w:hint="cs"/>
          <w:rtl/>
        </w:rPr>
        <w:t>،</w:t>
      </w:r>
      <w:r w:rsidRPr="005675B2">
        <w:rPr>
          <w:rFonts w:hint="cs"/>
          <w:rtl/>
        </w:rPr>
        <w:t xml:space="preserve"> بل هي</w:t>
      </w:r>
      <w:r w:rsidRPr="005675B2">
        <w:rPr>
          <w:rFonts w:hint="cs"/>
        </w:rPr>
        <w:t xml:space="preserve"> </w:t>
      </w:r>
      <w:r w:rsidRPr="005675B2">
        <w:rPr>
          <w:rFonts w:hint="cs"/>
          <w:rtl/>
        </w:rPr>
        <w:t>عبارة عن كلام الله النفسي</w:t>
      </w:r>
      <w:r w:rsidR="000636C2">
        <w:rPr>
          <w:rFonts w:hint="cs"/>
          <w:rtl/>
        </w:rPr>
        <w:t>،</w:t>
      </w:r>
      <w:r w:rsidRPr="005675B2">
        <w:rPr>
          <w:rFonts w:hint="cs"/>
          <w:rtl/>
        </w:rPr>
        <w:t xml:space="preserve"> والكلام النفسي شيء واحد في ذاته</w:t>
      </w:r>
      <w:r w:rsidR="000636C2">
        <w:rPr>
          <w:rFonts w:hint="cs"/>
          <w:rtl/>
        </w:rPr>
        <w:t>،</w:t>
      </w:r>
      <w:r w:rsidRPr="005675B2">
        <w:rPr>
          <w:rFonts w:hint="cs"/>
          <w:rtl/>
        </w:rPr>
        <w:t xml:space="preserve"> لكن إذا جاء</w:t>
      </w:r>
      <w:r w:rsidRPr="005675B2">
        <w:rPr>
          <w:rFonts w:hint="cs"/>
        </w:rPr>
        <w:t xml:space="preserve"> </w:t>
      </w:r>
      <w:r w:rsidRPr="005675B2">
        <w:rPr>
          <w:rFonts w:hint="cs"/>
          <w:rtl/>
        </w:rPr>
        <w:t>التعبير عنه بالعبرانية فهو توراة وإن جاء بالسريانية فهو إنجيل وإن جاء بالعربية</w:t>
      </w:r>
      <w:r w:rsidRPr="005675B2">
        <w:rPr>
          <w:rFonts w:hint="cs"/>
        </w:rPr>
        <w:t xml:space="preserve"> </w:t>
      </w:r>
      <w:r w:rsidRPr="005675B2">
        <w:rPr>
          <w:rFonts w:hint="cs"/>
          <w:rtl/>
        </w:rPr>
        <w:t>فهو قرآن</w:t>
      </w:r>
      <w:r w:rsidR="000636C2">
        <w:rPr>
          <w:rFonts w:hint="cs"/>
          <w:rtl/>
        </w:rPr>
        <w:t>،</w:t>
      </w:r>
      <w:r w:rsidRPr="005675B2">
        <w:rPr>
          <w:rFonts w:hint="cs"/>
          <w:rtl/>
        </w:rPr>
        <w:t xml:space="preserve"> فهذه الكتب كلها مخلوقة ووصفها بأنها كلام الله مجاز لأنها تعبير عنه ..</w:t>
      </w:r>
      <w:r w:rsidR="000636C2">
        <w:rPr>
          <w:rFonts w:hint="cs"/>
          <w:rtl/>
        </w:rPr>
        <w:t xml:space="preserve"> </w:t>
      </w:r>
      <w:r w:rsidRPr="005675B2">
        <w:rPr>
          <w:rFonts w:hint="cs"/>
          <w:rtl/>
        </w:rPr>
        <w:t>وعلى القول أن القرآن الذي</w:t>
      </w:r>
      <w:r w:rsidRPr="005675B2">
        <w:rPr>
          <w:rFonts w:hint="cs"/>
        </w:rPr>
        <w:t xml:space="preserve"> </w:t>
      </w:r>
      <w:r w:rsidRPr="005675B2">
        <w:rPr>
          <w:rFonts w:hint="cs"/>
          <w:rtl/>
        </w:rPr>
        <w:t>نقرؤه في المصاحف مخلوق سار الأشاعرة المعاصرون وصرحوا</w:t>
      </w:r>
      <w:r w:rsidR="000636C2">
        <w:rPr>
          <w:rFonts w:hint="cs"/>
          <w:rtl/>
        </w:rPr>
        <w:t>،</w:t>
      </w:r>
      <w:r w:rsidRPr="005675B2">
        <w:rPr>
          <w:rFonts w:hint="cs"/>
          <w:rtl/>
        </w:rPr>
        <w:t xml:space="preserve"> فكشفوا بذلك ما أراد شارح الجوهرة أن</w:t>
      </w:r>
      <w:r w:rsidRPr="005675B2">
        <w:rPr>
          <w:rFonts w:hint="cs"/>
        </w:rPr>
        <w:t xml:space="preserve"> </w:t>
      </w:r>
      <w:r w:rsidRPr="005675B2">
        <w:rPr>
          <w:rFonts w:hint="cs"/>
          <w:rtl/>
        </w:rPr>
        <w:t>يستره حين قال</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يمتنع أن يقال إن القرآن مخلوق إلا في مقام</w:t>
      </w:r>
      <w:r w:rsidRPr="005675B2">
        <w:rPr>
          <w:rFonts w:hint="cs"/>
        </w:rPr>
        <w:t xml:space="preserve"> </w:t>
      </w:r>
      <w:r w:rsidRPr="005675B2">
        <w:rPr>
          <w:rFonts w:hint="cs"/>
          <w:rtl/>
        </w:rPr>
        <w:t>التعليم</w:t>
      </w:r>
      <w:r w:rsidRPr="005675B2">
        <w:rPr>
          <w:rFonts w:hint="cs"/>
        </w:rPr>
        <w:t xml:space="preserve"> </w:t>
      </w:r>
      <w:r w:rsidRPr="005675B2">
        <w:rPr>
          <w:rFonts w:hint="cs"/>
          <w:rtl/>
        </w:rPr>
        <w:t>"</w:t>
      </w:r>
      <w:r w:rsidR="000636C2">
        <w:rPr>
          <w:rFonts w:hint="cs"/>
          <w:rtl/>
        </w:rPr>
        <w:t>،</w:t>
      </w:r>
    </w:p>
    <w:p w14:paraId="2CBF1D12" w14:textId="73ED932E" w:rsidR="009C32A0" w:rsidRPr="005675B2" w:rsidRDefault="000636C2" w:rsidP="000636C2">
      <w:pPr>
        <w:rPr>
          <w:b/>
          <w:rtl/>
        </w:rPr>
      </w:pPr>
      <w:r>
        <w:rPr>
          <w:rFonts w:hint="cs"/>
          <w:rtl/>
        </w:rPr>
        <w:t>[</w:t>
      </w:r>
      <w:r w:rsidR="009C32A0">
        <w:rPr>
          <w:rFonts w:hint="cs"/>
          <w:rtl/>
        </w:rPr>
        <w:t>الجواب</w:t>
      </w:r>
      <w:r>
        <w:rPr>
          <w:rFonts w:hint="cs"/>
          <w:rtl/>
        </w:rPr>
        <w:t xml:space="preserve">]: </w:t>
      </w:r>
      <w:r w:rsidR="009C32A0" w:rsidRPr="005675B2">
        <w:rPr>
          <w:rFonts w:hint="cs"/>
          <w:rtl/>
        </w:rPr>
        <w:t>قولك</w:t>
      </w:r>
      <w:r>
        <w:rPr>
          <w:rFonts w:hint="cs"/>
          <w:rtl/>
        </w:rPr>
        <w:t>:</w:t>
      </w:r>
      <w:r w:rsidR="009C32A0" w:rsidRPr="005675B2">
        <w:rPr>
          <w:rFonts w:hint="cs"/>
          <w:rtl/>
        </w:rPr>
        <w:t>أن الأشاعرة</w:t>
      </w:r>
      <w:r>
        <w:rPr>
          <w:rFonts w:hint="cs"/>
          <w:rtl/>
        </w:rPr>
        <w:t>[</w:t>
      </w:r>
      <w:r w:rsidR="009C32A0" w:rsidRPr="005675B2">
        <w:rPr>
          <w:rFonts w:hint="cs"/>
          <w:rtl/>
        </w:rPr>
        <w:t>فرقوا بين المعنى واللفظ</w:t>
      </w:r>
      <w:r>
        <w:rPr>
          <w:rFonts w:hint="cs"/>
          <w:rtl/>
        </w:rPr>
        <w:t>]</w:t>
      </w:r>
      <w:r w:rsidR="009C32A0" w:rsidRPr="005675B2">
        <w:rPr>
          <w:rFonts w:hint="cs"/>
          <w:rtl/>
        </w:rPr>
        <w:t>فلا شك في ذلك</w:t>
      </w:r>
      <w:r>
        <w:rPr>
          <w:rFonts w:hint="cs"/>
          <w:rtl/>
        </w:rPr>
        <w:t>،</w:t>
      </w:r>
      <w:r w:rsidR="009C32A0" w:rsidRPr="005675B2">
        <w:rPr>
          <w:rFonts w:hint="cs"/>
          <w:rtl/>
        </w:rPr>
        <w:t>ويقصدون باللفظ أي بالكلام اللفظي هو ما بين دفتي المصحف</w:t>
      </w:r>
      <w:r>
        <w:rPr>
          <w:rFonts w:hint="cs"/>
          <w:rtl/>
        </w:rPr>
        <w:t>،</w:t>
      </w:r>
      <w:r w:rsidR="009C32A0" w:rsidRPr="005675B2">
        <w:rPr>
          <w:rFonts w:hint="cs"/>
          <w:rtl/>
        </w:rPr>
        <w:t>وأما المعنى فهو صفة الكلام القائمة بالله تعالى فهي قديمة قدم ذاته لا تحل في مخلوقاته كما أن سائر صفاته لا تحل في مخلوقاته</w:t>
      </w:r>
      <w:r>
        <w:rPr>
          <w:rFonts w:hint="cs"/>
          <w:rtl/>
        </w:rPr>
        <w:t>،</w:t>
      </w:r>
      <w:r w:rsidR="009C32A0" w:rsidRPr="005675B2">
        <w:rPr>
          <w:rFonts w:hint="cs"/>
          <w:rtl/>
        </w:rPr>
        <w:t xml:space="preserve"> فهذا هو التفصيل الذي بينه الأشاعرة رحمهم الله تعالى</w:t>
      </w:r>
      <w:r>
        <w:rPr>
          <w:rFonts w:hint="cs"/>
          <w:rtl/>
        </w:rPr>
        <w:t>،</w:t>
      </w:r>
      <w:r w:rsidR="009C32A0" w:rsidRPr="005675B2">
        <w:rPr>
          <w:rFonts w:hint="cs"/>
          <w:rtl/>
        </w:rPr>
        <w:t>ففرقوا بين الصفة الأزلية</w:t>
      </w:r>
      <w:r>
        <w:rPr>
          <w:rFonts w:hint="cs"/>
          <w:rtl/>
        </w:rPr>
        <w:t>،</w:t>
      </w:r>
      <w:r w:rsidR="009C32A0" w:rsidRPr="005675B2">
        <w:rPr>
          <w:rFonts w:hint="cs"/>
          <w:rtl/>
        </w:rPr>
        <w:t>وبين الكلام اللفظي</w:t>
      </w:r>
      <w:r>
        <w:rPr>
          <w:rFonts w:hint="cs"/>
          <w:rtl/>
        </w:rPr>
        <w:t>،</w:t>
      </w:r>
      <w:r w:rsidR="009C32A0" w:rsidRPr="005675B2">
        <w:rPr>
          <w:rFonts w:hint="cs"/>
          <w:rtl/>
        </w:rPr>
        <w:t xml:space="preserve"> قال سلطان العلماءالعز بن عبدالسلام الأشعري - رحمه الله -</w:t>
      </w:r>
      <w:r>
        <w:rPr>
          <w:rFonts w:hint="cs"/>
          <w:rtl/>
        </w:rPr>
        <w:t xml:space="preserve"> </w:t>
      </w:r>
      <w:r w:rsidR="009C32A0" w:rsidRPr="005675B2">
        <w:rPr>
          <w:rFonts w:hint="cs"/>
          <w:rtl/>
        </w:rPr>
        <w:t>فالله متكلم بكلام قديم</w:t>
      </w:r>
      <w:r w:rsidR="009C32A0" w:rsidRPr="005675B2">
        <w:rPr>
          <w:rFonts w:hint="cs"/>
        </w:rPr>
        <w:t xml:space="preserve"> </w:t>
      </w:r>
      <w:r w:rsidR="009C32A0" w:rsidRPr="005675B2">
        <w:rPr>
          <w:rFonts w:hint="cs"/>
          <w:rtl/>
        </w:rPr>
        <w:t>أزلي ليس بحرف ولا صوت ولا يتصور في كلامه أن ينقلب مداداً في اللوح والأوراق</w:t>
      </w:r>
      <w:r>
        <w:rPr>
          <w:rFonts w:hint="cs"/>
          <w:rtl/>
        </w:rPr>
        <w:t>،</w:t>
      </w:r>
      <w:r w:rsidR="009C32A0" w:rsidRPr="005675B2">
        <w:rPr>
          <w:rFonts w:hint="cs"/>
          <w:rtl/>
        </w:rPr>
        <w:t>ولاشكلاً</w:t>
      </w:r>
      <w:r w:rsidR="009C32A0" w:rsidRPr="005675B2">
        <w:rPr>
          <w:rFonts w:hint="cs"/>
        </w:rPr>
        <w:t xml:space="preserve"> </w:t>
      </w:r>
      <w:r w:rsidR="009C32A0" w:rsidRPr="005675B2">
        <w:rPr>
          <w:rFonts w:hint="cs"/>
          <w:rtl/>
        </w:rPr>
        <w:t>ترمقه العيون والأحداق كما زعم أهل الحشو والنفاق</w:t>
      </w:r>
      <w:r>
        <w:rPr>
          <w:rFonts w:hint="cs"/>
          <w:rtl/>
        </w:rPr>
        <w:t>،</w:t>
      </w:r>
      <w:r w:rsidR="009C32A0" w:rsidRPr="005675B2">
        <w:rPr>
          <w:rFonts w:hint="cs"/>
          <w:rtl/>
        </w:rPr>
        <w:t>بل الكتابة من أفعال العباد ولا</w:t>
      </w:r>
      <w:r w:rsidR="009C32A0" w:rsidRPr="005675B2">
        <w:rPr>
          <w:rFonts w:hint="cs"/>
        </w:rPr>
        <w:t xml:space="preserve"> </w:t>
      </w:r>
      <w:r w:rsidR="009C32A0" w:rsidRPr="005675B2">
        <w:rPr>
          <w:rFonts w:hint="cs"/>
          <w:rtl/>
        </w:rPr>
        <w:t>يتصور من أفعالهم أن تكون قديمة - أزلية - ويجب احترامها لدلالتها على كلامه كما يجب احترام</w:t>
      </w:r>
      <w:r w:rsidR="009C32A0" w:rsidRPr="005675B2">
        <w:rPr>
          <w:rFonts w:hint="cs"/>
        </w:rPr>
        <w:t xml:space="preserve"> </w:t>
      </w:r>
      <w:r w:rsidR="009C32A0" w:rsidRPr="005675B2">
        <w:rPr>
          <w:rFonts w:hint="cs"/>
          <w:rtl/>
        </w:rPr>
        <w:t>أسمائه لدلالتها على ذاته ..</w:t>
      </w:r>
      <w:r>
        <w:rPr>
          <w:rFonts w:hint="cs"/>
          <w:rtl/>
        </w:rPr>
        <w:t>،</w:t>
      </w:r>
      <w:r w:rsidR="009C32A0" w:rsidRPr="005675B2">
        <w:rPr>
          <w:rFonts w:hint="cs"/>
          <w:rtl/>
        </w:rPr>
        <w:t xml:space="preserve"> إلى أن قال</w:t>
      </w:r>
      <w:r>
        <w:rPr>
          <w:rFonts w:hint="cs"/>
          <w:rtl/>
        </w:rPr>
        <w:t>:</w:t>
      </w:r>
      <w:r w:rsidR="009C32A0" w:rsidRPr="005675B2">
        <w:rPr>
          <w:rFonts w:hint="cs"/>
          <w:rtl/>
        </w:rPr>
        <w:t xml:space="preserve"> فويل لمن زعم أن كلام الله القديم شيء من</w:t>
      </w:r>
      <w:r w:rsidR="009C32A0" w:rsidRPr="005675B2">
        <w:rPr>
          <w:rFonts w:hint="cs"/>
        </w:rPr>
        <w:t xml:space="preserve"> </w:t>
      </w:r>
      <w:r w:rsidR="009C32A0" w:rsidRPr="005675B2">
        <w:rPr>
          <w:rFonts w:hint="cs"/>
          <w:rtl/>
        </w:rPr>
        <w:t>ألفاظ العباد أو رسم من أشكال المداد</w:t>
      </w:r>
      <w:r>
        <w:rPr>
          <w:rFonts w:hint="cs"/>
          <w:rtl/>
        </w:rPr>
        <w:t>،</w:t>
      </w:r>
      <w:r w:rsidR="009C32A0" w:rsidRPr="005675B2">
        <w:rPr>
          <w:rFonts w:hint="cs"/>
          <w:rtl/>
        </w:rPr>
        <w:t xml:space="preserve"> أهـ</w:t>
      </w:r>
      <w:r>
        <w:rPr>
          <w:rFonts w:hint="cs"/>
          <w:rtl/>
        </w:rPr>
        <w:t xml:space="preserve"> [</w:t>
      </w:r>
      <w:r w:rsidR="009C32A0" w:rsidRPr="005675B2">
        <w:rPr>
          <w:rFonts w:hint="cs"/>
          <w:sz w:val="24"/>
          <w:szCs w:val="24"/>
          <w:rtl/>
        </w:rPr>
        <w:t>انظر رسائله في التوحيد</w:t>
      </w:r>
      <w:r>
        <w:rPr>
          <w:rFonts w:hint="cs"/>
          <w:sz w:val="24"/>
          <w:szCs w:val="24"/>
          <w:rtl/>
        </w:rPr>
        <w:t xml:space="preserve"> </w:t>
      </w:r>
      <w:r w:rsidR="009C32A0" w:rsidRPr="005675B2">
        <w:rPr>
          <w:rFonts w:hint="cs"/>
          <w:sz w:val="24"/>
          <w:szCs w:val="24"/>
          <w:rtl/>
        </w:rPr>
        <w:t>ص12</w:t>
      </w:r>
      <w:r w:rsidR="009C32A0" w:rsidRPr="005675B2">
        <w:rPr>
          <w:rFonts w:hint="cs"/>
          <w:rtl/>
        </w:rPr>
        <w:t>]</w:t>
      </w:r>
      <w:r>
        <w:rPr>
          <w:rFonts w:hint="cs"/>
          <w:rtl/>
        </w:rPr>
        <w:t xml:space="preserve">، </w:t>
      </w:r>
      <w:r w:rsidR="009C32A0" w:rsidRPr="005675B2">
        <w:rPr>
          <w:rFonts w:hint="cs"/>
          <w:rtl/>
        </w:rPr>
        <w:t>قولك</w:t>
      </w:r>
      <w:r>
        <w:rPr>
          <w:rFonts w:hint="cs"/>
          <w:rtl/>
        </w:rPr>
        <w:t>:</w:t>
      </w:r>
      <w:r w:rsidR="009C32A0" w:rsidRPr="005675B2">
        <w:rPr>
          <w:rFonts w:hint="cs"/>
          <w:rtl/>
        </w:rPr>
        <w:t xml:space="preserve"> واستدلوا بالبيت المنسوب</w:t>
      </w:r>
      <w:r w:rsidR="009C32A0" w:rsidRPr="005675B2">
        <w:rPr>
          <w:rFonts w:hint="cs"/>
        </w:rPr>
        <w:t xml:space="preserve"> </w:t>
      </w:r>
      <w:r w:rsidR="009C32A0" w:rsidRPr="005675B2">
        <w:rPr>
          <w:rFonts w:hint="cs"/>
          <w:rtl/>
        </w:rPr>
        <w:t>للأخطل النصراني</w:t>
      </w:r>
      <w:r>
        <w:rPr>
          <w:rFonts w:hint="cs"/>
          <w:rtl/>
        </w:rPr>
        <w:t xml:space="preserve">: </w:t>
      </w:r>
      <w:r w:rsidR="009C32A0" w:rsidRPr="005675B2">
        <w:rPr>
          <w:rFonts w:hint="cs"/>
          <w:rtl/>
        </w:rPr>
        <w:t>إن الكلام لفي الفؤاد وإنما</w:t>
      </w:r>
      <w:r>
        <w:rPr>
          <w:rFonts w:hint="cs"/>
          <w:rtl/>
        </w:rPr>
        <w:t xml:space="preserve"> </w:t>
      </w:r>
      <w:r w:rsidR="009C32A0" w:rsidRPr="005675B2">
        <w:rPr>
          <w:rFonts w:hint="cs"/>
          <w:rtl/>
        </w:rPr>
        <w:t>جعل اللسان على الفؤاد دليلا</w:t>
      </w:r>
      <w:r>
        <w:rPr>
          <w:rFonts w:hint="cs"/>
          <w:rtl/>
        </w:rPr>
        <w:t xml:space="preserve">، </w:t>
      </w:r>
      <w:r w:rsidR="009C32A0" w:rsidRPr="005675B2">
        <w:rPr>
          <w:rFonts w:hint="cs"/>
          <w:rtl/>
        </w:rPr>
        <w:t>هذا كلام باطل</w:t>
      </w:r>
      <w:r>
        <w:rPr>
          <w:rFonts w:hint="cs"/>
          <w:rtl/>
        </w:rPr>
        <w:t xml:space="preserve"> </w:t>
      </w:r>
      <w:r w:rsidR="009C32A0" w:rsidRPr="005675B2">
        <w:rPr>
          <w:rFonts w:hint="cs"/>
          <w:rtl/>
        </w:rPr>
        <w:t>فدعوى أن الأشاعرة يثبتون صفات الله بأبيات الشعراء هو كلام في غاية السقوط والافتراء</w:t>
      </w:r>
      <w:r>
        <w:rPr>
          <w:rFonts w:hint="cs"/>
          <w:rtl/>
        </w:rPr>
        <w:t>،</w:t>
      </w:r>
      <w:r w:rsidR="009C32A0" w:rsidRPr="005675B2">
        <w:rPr>
          <w:rFonts w:hint="cs"/>
          <w:rtl/>
        </w:rPr>
        <w:t xml:space="preserve"> وإنما استشهاد الأشاعرة ببيت الأخطل هو لبيان أن كلام الناس يطلق على ما في الفؤاد</w:t>
      </w:r>
      <w:r>
        <w:rPr>
          <w:rFonts w:hint="cs"/>
          <w:rtl/>
        </w:rPr>
        <w:t>،</w:t>
      </w:r>
      <w:r w:rsidR="009C32A0" w:rsidRPr="005675B2">
        <w:rPr>
          <w:rFonts w:hint="cs"/>
          <w:rtl/>
        </w:rPr>
        <w:t>وعلى ماينطق به اللسان</w:t>
      </w:r>
      <w:r>
        <w:rPr>
          <w:rFonts w:hint="cs"/>
          <w:rtl/>
        </w:rPr>
        <w:t>،</w:t>
      </w:r>
      <w:r w:rsidR="009C32A0" w:rsidRPr="005675B2">
        <w:rPr>
          <w:rFonts w:hint="cs"/>
          <w:rtl/>
        </w:rPr>
        <w:t xml:space="preserve"> رداً منهم على من حصر معنى الكلام في اللغة على ما ينطق به اللسان فقط</w:t>
      </w:r>
      <w:r>
        <w:rPr>
          <w:rFonts w:hint="cs"/>
          <w:rtl/>
        </w:rPr>
        <w:t>،</w:t>
      </w:r>
      <w:r w:rsidR="009C32A0" w:rsidRPr="005675B2">
        <w:rPr>
          <w:rFonts w:hint="cs"/>
          <w:rtl/>
        </w:rPr>
        <w:t xml:space="preserve"> دون ما يكون في الفؤاد</w:t>
      </w:r>
      <w:r>
        <w:rPr>
          <w:rFonts w:hint="cs"/>
          <w:rtl/>
        </w:rPr>
        <w:t>،</w:t>
      </w:r>
      <w:r w:rsidR="009C32A0" w:rsidRPr="005675B2">
        <w:rPr>
          <w:rFonts w:hint="cs"/>
          <w:rtl/>
        </w:rPr>
        <w:t xml:space="preserve"> وسيأتي مزيد بسط وبيان لحجتهم وأدلتهم</w:t>
      </w:r>
      <w:r>
        <w:rPr>
          <w:rFonts w:hint="cs"/>
          <w:rtl/>
        </w:rPr>
        <w:t xml:space="preserve">، </w:t>
      </w:r>
      <w:r w:rsidR="009C32A0" w:rsidRPr="005675B2">
        <w:rPr>
          <w:rFonts w:hint="cs"/>
          <w:rtl/>
        </w:rPr>
        <w:t>[</w:t>
      </w:r>
      <w:r w:rsidR="009C32A0" w:rsidRPr="005675B2">
        <w:rPr>
          <w:rFonts w:hint="cs"/>
          <w:bCs/>
          <w:sz w:val="24"/>
          <w:szCs w:val="24"/>
          <w:rtl/>
        </w:rPr>
        <w:t>أنظر لذلك ص147</w:t>
      </w:r>
      <w:r w:rsidR="009C32A0" w:rsidRPr="005675B2">
        <w:rPr>
          <w:rFonts w:hint="cs"/>
          <w:rtl/>
        </w:rPr>
        <w:t>]</w:t>
      </w:r>
      <w:r>
        <w:rPr>
          <w:rFonts w:hint="cs"/>
          <w:rtl/>
        </w:rPr>
        <w:t>،</w:t>
      </w:r>
      <w:r w:rsidR="009C32A0" w:rsidRPr="005675B2">
        <w:rPr>
          <w:rFonts w:hint="cs"/>
          <w:rtl/>
        </w:rPr>
        <w:t xml:space="preserve"> </w:t>
      </w:r>
    </w:p>
    <w:p w14:paraId="3ACB171A" w14:textId="4E444344" w:rsidR="009C32A0" w:rsidRPr="005675B2" w:rsidRDefault="009C32A0" w:rsidP="000636C2">
      <w:pPr>
        <w:rPr>
          <w:b/>
          <w:rtl/>
        </w:rPr>
      </w:pPr>
      <w:r w:rsidRPr="005675B2">
        <w:rPr>
          <w:rFonts w:hint="cs"/>
          <w:rtl/>
        </w:rPr>
        <w:t>قولك</w:t>
      </w:r>
      <w:r w:rsidR="000636C2">
        <w:rPr>
          <w:rFonts w:hint="cs"/>
          <w:rtl/>
        </w:rPr>
        <w:t>:</w:t>
      </w:r>
      <w:r w:rsidRPr="005675B2">
        <w:rPr>
          <w:rFonts w:hint="cs"/>
          <w:rtl/>
        </w:rPr>
        <w:t xml:space="preserve"> </w:t>
      </w:r>
      <w:r w:rsidR="000636C2">
        <w:rPr>
          <w:rFonts w:hint="cs"/>
          <w:rtl/>
        </w:rPr>
        <w:t>[</w:t>
      </w:r>
      <w:r w:rsidRPr="005675B2">
        <w:rPr>
          <w:rFonts w:hint="cs"/>
          <w:rtl/>
        </w:rPr>
        <w:t>أما الكتب المنزلة ذات</w:t>
      </w:r>
      <w:r w:rsidRPr="005675B2">
        <w:rPr>
          <w:rFonts w:hint="cs"/>
        </w:rPr>
        <w:t xml:space="preserve"> </w:t>
      </w:r>
      <w:r w:rsidRPr="005675B2">
        <w:rPr>
          <w:rFonts w:hint="cs"/>
          <w:rtl/>
        </w:rPr>
        <w:t>الترتيب والنظم والحروف</w:t>
      </w:r>
      <w:r w:rsidR="000636C2">
        <w:rPr>
          <w:rFonts w:hint="cs"/>
          <w:rtl/>
        </w:rPr>
        <w:t xml:space="preserve"> </w:t>
      </w:r>
      <w:r w:rsidRPr="005675B2">
        <w:rPr>
          <w:rFonts w:hint="cs"/>
          <w:rtl/>
        </w:rPr>
        <w:t>- ومنها القرآن</w:t>
      </w:r>
      <w:r w:rsidR="000636C2">
        <w:rPr>
          <w:rFonts w:hint="cs"/>
          <w:rtl/>
        </w:rPr>
        <w:t xml:space="preserve"> </w:t>
      </w:r>
      <w:r w:rsidRPr="005675B2">
        <w:rPr>
          <w:rFonts w:hint="cs"/>
          <w:rtl/>
        </w:rPr>
        <w:t>- فليست هي كلامه تعالى على الحقيقة</w:t>
      </w:r>
      <w:r w:rsidR="000636C2">
        <w:rPr>
          <w:rFonts w:hint="cs"/>
          <w:rtl/>
        </w:rPr>
        <w:t>،</w:t>
      </w:r>
      <w:r w:rsidRPr="005675B2">
        <w:rPr>
          <w:rFonts w:hint="cs"/>
          <w:rtl/>
        </w:rPr>
        <w:t xml:space="preserve"> بل هي</w:t>
      </w:r>
      <w:r w:rsidRPr="005675B2">
        <w:rPr>
          <w:rFonts w:hint="cs"/>
        </w:rPr>
        <w:t xml:space="preserve"> </w:t>
      </w:r>
      <w:r w:rsidRPr="005675B2">
        <w:rPr>
          <w:rFonts w:hint="cs"/>
          <w:rtl/>
        </w:rPr>
        <w:t>عبارة عن كلام الله النفسي</w:t>
      </w:r>
      <w:r w:rsidR="000636C2">
        <w:rPr>
          <w:rFonts w:hint="cs"/>
          <w:rtl/>
        </w:rPr>
        <w:t>]،</w:t>
      </w:r>
      <w:r w:rsidRPr="005675B2">
        <w:rPr>
          <w:rFonts w:hint="cs"/>
          <w:rtl/>
        </w:rPr>
        <w:t xml:space="preserve"> اختلف علماء الأشاعرة هل يطلق على مابين دفتى المصحف كلام الله على الحقيقة أم على المجاز</w:t>
      </w:r>
      <w:r w:rsidR="000636C2">
        <w:rPr>
          <w:rFonts w:hint="cs"/>
          <w:rtl/>
        </w:rPr>
        <w:t xml:space="preserve">؟ </w:t>
      </w:r>
      <w:r w:rsidRPr="005675B2">
        <w:rPr>
          <w:rFonts w:hint="cs"/>
          <w:rtl/>
        </w:rPr>
        <w:t>فقال السنوسي رحمه الله في شرحه لأم البراهين</w:t>
      </w:r>
      <w:r w:rsidR="000636C2">
        <w:rPr>
          <w:rFonts w:hint="cs"/>
          <w:rtl/>
        </w:rPr>
        <w:t>:</w:t>
      </w:r>
      <w:r w:rsidRPr="005675B2">
        <w:rPr>
          <w:rFonts w:hint="cs"/>
          <w:rtl/>
        </w:rPr>
        <w:t>وهو الذي عبر عنه بالنظم المعجز الذي يسمى أيضاً</w:t>
      </w:r>
      <w:r w:rsidR="000636C2">
        <w:rPr>
          <w:rFonts w:hint="cs"/>
          <w:rtl/>
        </w:rPr>
        <w:t xml:space="preserve"> </w:t>
      </w:r>
      <w:r w:rsidRPr="005675B2">
        <w:rPr>
          <w:rFonts w:hint="cs"/>
          <w:rtl/>
        </w:rPr>
        <w:t>بكلام الله تعالى حقيقة لغوية لوجود كلامه فيه عز وجل بحسب الدلالة لابالحلول ويسميان قرآناً أيضاً</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أم البراهين مع حاشية لدسوقي ص177</w:t>
      </w:r>
      <w:r w:rsidRPr="005675B2">
        <w:rPr>
          <w:rFonts w:hint="cs"/>
          <w:rtl/>
        </w:rPr>
        <w:t>] فهم يطلقون على مابين دفتي المصحف أنه كلام الله ولايقصدون أنه صفته الأزلية حلت في الأوراق ولذا فمن نفى كونه حقيقة وقال إنه مجازاً فهو يقصد نفي كون الصفة الأزلية القائمة بالله حلت في مخلوقاته كالأوراق والألواح</w:t>
      </w:r>
      <w:r w:rsidR="000636C2">
        <w:rPr>
          <w:rFonts w:hint="cs"/>
          <w:rtl/>
        </w:rPr>
        <w:t>،</w:t>
      </w:r>
      <w:r w:rsidRPr="005675B2">
        <w:rPr>
          <w:rFonts w:hint="cs"/>
          <w:rtl/>
        </w:rPr>
        <w:t xml:space="preserve"> وكذا اعتمد ذلك الباجوري في شرحه على الجوهرة فالكلام عندهم يطلق بالاشتراك على الصفة الأزلية وعلى الكلام اللفظي وهو مابين دفتي المصحف</w:t>
      </w:r>
      <w:r w:rsidR="000636C2">
        <w:rPr>
          <w:rFonts w:hint="cs"/>
          <w:rtl/>
        </w:rPr>
        <w:t xml:space="preserve">، </w:t>
      </w:r>
      <w:r w:rsidRPr="005675B2">
        <w:rPr>
          <w:rFonts w:hint="cs"/>
          <w:rtl/>
        </w:rPr>
        <w:t>[</w:t>
      </w:r>
      <w:r w:rsidRPr="005675B2">
        <w:rPr>
          <w:rFonts w:hint="cs"/>
          <w:bCs/>
          <w:sz w:val="24"/>
          <w:szCs w:val="24"/>
          <w:rtl/>
        </w:rPr>
        <w:t>شرحه الجوهرة ص178</w:t>
      </w:r>
      <w:r w:rsidRPr="005675B2">
        <w:rPr>
          <w:rFonts w:hint="cs"/>
          <w:rtl/>
        </w:rPr>
        <w:t>]</w:t>
      </w:r>
      <w:r w:rsidR="000636C2">
        <w:rPr>
          <w:rFonts w:hint="cs"/>
          <w:rtl/>
        </w:rPr>
        <w:t>،</w:t>
      </w:r>
      <w:r w:rsidRPr="005675B2">
        <w:rPr>
          <w:rFonts w:hint="cs"/>
          <w:rtl/>
        </w:rPr>
        <w:t xml:space="preserve"> </w:t>
      </w:r>
    </w:p>
    <w:p w14:paraId="1C4218F0" w14:textId="5A8CAF65" w:rsidR="009C32A0" w:rsidRPr="005675B2" w:rsidRDefault="009C32A0" w:rsidP="000636C2">
      <w:pPr>
        <w:rPr>
          <w:b/>
          <w:rtl/>
        </w:rPr>
      </w:pPr>
      <w:r w:rsidRPr="005675B2">
        <w:rPr>
          <w:rFonts w:hint="cs"/>
          <w:rtl/>
        </w:rPr>
        <w:t>وهنا كلام مختصر هو زبدة ما سأفصل فيه</w:t>
      </w:r>
      <w:r w:rsidR="000636C2">
        <w:rPr>
          <w:rFonts w:hint="cs"/>
          <w:rtl/>
        </w:rPr>
        <w:t>،</w:t>
      </w:r>
      <w:r w:rsidRPr="005675B2">
        <w:rPr>
          <w:rFonts w:hint="cs"/>
          <w:rtl/>
        </w:rPr>
        <w:t xml:space="preserve"> فسأذكر الاختصار في نقاط</w:t>
      </w:r>
      <w:r w:rsidR="000636C2">
        <w:rPr>
          <w:rFonts w:hint="cs"/>
          <w:rtl/>
        </w:rPr>
        <w:t>:</w:t>
      </w:r>
    </w:p>
    <w:p w14:paraId="2EC37685" w14:textId="3673077E"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كلام الله صفة له قائمة بذاته تعالى كسائر صفات الذات وليس بمحدث ولا حادث ولا مخلوق بل هو صفة أزلية أبدية القول فيها من هذه الجهة كالقول في الذات وبقية الصفات الذاتية</w:t>
      </w:r>
      <w:r w:rsidR="000636C2">
        <w:rPr>
          <w:rFonts w:hint="cs"/>
          <w:rtl/>
        </w:rPr>
        <w:t>،</w:t>
      </w:r>
    </w:p>
    <w:p w14:paraId="1BA6A329" w14:textId="545977F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أن الأشاعرة خالفوا من قال أن ما بين دفتي المصحف هو صفة الله الأزلية وأنه حال في المصاحف وصدور الرجال</w:t>
      </w:r>
      <w:r w:rsidR="000636C2">
        <w:rPr>
          <w:rFonts w:hint="cs"/>
          <w:rtl/>
        </w:rPr>
        <w:t>،</w:t>
      </w:r>
      <w:r w:rsidRPr="005675B2">
        <w:rPr>
          <w:rFonts w:hint="cs"/>
          <w:rtl/>
        </w:rPr>
        <w:t>وقائل ذلك هم بعض الحنابلة نقله عنهم ابن الزاغوني في كتاب الإيضاح</w:t>
      </w:r>
      <w:r w:rsidR="000636C2">
        <w:rPr>
          <w:rFonts w:hint="cs"/>
          <w:rtl/>
        </w:rPr>
        <w:t>،</w:t>
      </w:r>
      <w:r w:rsidRPr="005675B2">
        <w:rPr>
          <w:rFonts w:hint="cs"/>
          <w:rtl/>
        </w:rPr>
        <w:t xml:space="preserve"> [</w:t>
      </w:r>
      <w:r w:rsidRPr="005675B2">
        <w:rPr>
          <w:rFonts w:hint="cs"/>
          <w:bCs/>
          <w:sz w:val="24"/>
          <w:szCs w:val="24"/>
          <w:rtl/>
        </w:rPr>
        <w:t>انظر نهاية المبتدئين لابن حمدان ص28]</w:t>
      </w:r>
      <w:r w:rsidR="000636C2">
        <w:rPr>
          <w:rFonts w:hint="cs"/>
          <w:rtl/>
        </w:rPr>
        <w:t>،</w:t>
      </w:r>
      <w:r w:rsidRPr="005675B2">
        <w:rPr>
          <w:rFonts w:hint="cs"/>
          <w:rtl/>
        </w:rPr>
        <w:t xml:space="preserve"> قال ابن الزاغوني</w:t>
      </w:r>
      <w:r w:rsidR="000636C2">
        <w:rPr>
          <w:rFonts w:hint="cs"/>
          <w:rtl/>
        </w:rPr>
        <w:t>:</w:t>
      </w:r>
      <w:r w:rsidRPr="005675B2">
        <w:rPr>
          <w:rFonts w:hint="cs"/>
          <w:rtl/>
        </w:rPr>
        <w:t>إن أصحابنا ومشايخنا العراقيين يقولون</w:t>
      </w:r>
      <w:r w:rsidR="000636C2">
        <w:rPr>
          <w:rFonts w:hint="cs"/>
          <w:rtl/>
        </w:rPr>
        <w:t>:</w:t>
      </w:r>
      <w:r w:rsidRPr="005675B2">
        <w:rPr>
          <w:rFonts w:hint="cs"/>
          <w:rtl/>
        </w:rPr>
        <w:t xml:space="preserve"> القرآن في المصاحف</w:t>
      </w:r>
      <w:r w:rsidR="000636C2">
        <w:rPr>
          <w:rFonts w:hint="cs"/>
          <w:rtl/>
        </w:rPr>
        <w:t>،</w:t>
      </w:r>
      <w:r w:rsidRPr="005675B2">
        <w:rPr>
          <w:rFonts w:hint="cs"/>
          <w:rtl/>
        </w:rPr>
        <w:t xml:space="preserve"> والصدور لا على وجه الحلول</w:t>
      </w:r>
      <w:r w:rsidR="000636C2">
        <w:rPr>
          <w:rFonts w:hint="cs"/>
          <w:rtl/>
        </w:rPr>
        <w:t>،</w:t>
      </w:r>
      <w:r w:rsidRPr="005675B2">
        <w:rPr>
          <w:rFonts w:hint="cs"/>
          <w:rtl/>
        </w:rPr>
        <w:t xml:space="preserve"> ولا أنه قديم بها</w:t>
      </w:r>
      <w:r w:rsidR="000636C2">
        <w:rPr>
          <w:rFonts w:hint="cs"/>
          <w:rtl/>
        </w:rPr>
        <w:t>،</w:t>
      </w:r>
      <w:r w:rsidRPr="005675B2">
        <w:rPr>
          <w:rFonts w:hint="cs"/>
          <w:rtl/>
        </w:rPr>
        <w:t xml:space="preserve"> </w:t>
      </w:r>
      <w:r w:rsidRPr="005675B2">
        <w:rPr>
          <w:rFonts w:hint="cs"/>
          <w:u w:val="single"/>
          <w:rtl/>
        </w:rPr>
        <w:t>وأما أصحابنا أهل خراسان</w:t>
      </w:r>
      <w:r w:rsidR="000636C2">
        <w:rPr>
          <w:rFonts w:hint="cs"/>
          <w:u w:val="single"/>
          <w:rtl/>
        </w:rPr>
        <w:t xml:space="preserve"> </w:t>
      </w:r>
      <w:r w:rsidRPr="005675B2">
        <w:rPr>
          <w:rFonts w:hint="cs"/>
          <w:u w:val="single"/>
          <w:rtl/>
        </w:rPr>
        <w:t>فإنهم لا يمتنعون من إطلاق ذلك والقول به</w:t>
      </w:r>
      <w:r w:rsidR="000636C2">
        <w:rPr>
          <w:rFonts w:hint="cs"/>
          <w:u w:val="single"/>
          <w:rtl/>
        </w:rPr>
        <w:t>،</w:t>
      </w:r>
      <w:r w:rsidRPr="005675B2">
        <w:rPr>
          <w:rFonts w:hint="cs"/>
          <w:u w:val="single"/>
          <w:rtl/>
        </w:rPr>
        <w:t xml:space="preserve"> </w:t>
      </w:r>
      <w:r w:rsidRPr="005675B2">
        <w:rPr>
          <w:rFonts w:hint="cs"/>
          <w:rtl/>
        </w:rPr>
        <w:t>أهـ</w:t>
      </w:r>
      <w:r w:rsidR="000636C2">
        <w:rPr>
          <w:rFonts w:hint="cs"/>
          <w:rtl/>
        </w:rPr>
        <w:t xml:space="preserve"> </w:t>
      </w:r>
      <w:r w:rsidRPr="005675B2">
        <w:rPr>
          <w:rFonts w:hint="cs"/>
          <w:rtl/>
        </w:rPr>
        <w:t>[</w:t>
      </w:r>
      <w:r w:rsidRPr="005675B2">
        <w:rPr>
          <w:rFonts w:hint="cs"/>
          <w:bCs/>
          <w:sz w:val="24"/>
          <w:szCs w:val="24"/>
          <w:rtl/>
        </w:rPr>
        <w:t>الإيضاح في أصول الدين لابن الزاغوني ص353</w:t>
      </w:r>
      <w:r w:rsidRPr="005675B2">
        <w:rPr>
          <w:rFonts w:hint="cs"/>
          <w:rtl/>
        </w:rPr>
        <w:t>] وهذا خلافاً لقول الإمام ابن تيمية</w:t>
      </w:r>
      <w:r w:rsidR="000636C2">
        <w:rPr>
          <w:rFonts w:hint="cs"/>
          <w:rtl/>
        </w:rPr>
        <w:t>:</w:t>
      </w:r>
      <w:r w:rsidRPr="005675B2">
        <w:rPr>
          <w:rFonts w:hint="cs"/>
          <w:rtl/>
        </w:rPr>
        <w:t xml:space="preserve"> أنه لا قائل بهذا القول</w:t>
      </w:r>
      <w:r w:rsidR="000636C2">
        <w:rPr>
          <w:rFonts w:hint="cs"/>
          <w:rtl/>
        </w:rPr>
        <w:t>،</w:t>
      </w:r>
      <w:r w:rsidRPr="005675B2">
        <w:rPr>
          <w:rFonts w:hint="cs"/>
          <w:rtl/>
        </w:rPr>
        <w:t>فتبين أن هناك من علماء مذهبه</w:t>
      </w:r>
      <w:r w:rsidR="000636C2">
        <w:rPr>
          <w:rFonts w:hint="cs"/>
          <w:rtl/>
        </w:rPr>
        <w:t xml:space="preserve"> </w:t>
      </w:r>
      <w:r w:rsidRPr="005675B2">
        <w:rPr>
          <w:rFonts w:hint="cs"/>
          <w:rtl/>
        </w:rPr>
        <w:t>من قالوا بذلك</w:t>
      </w:r>
      <w:r w:rsidR="000636C2">
        <w:rPr>
          <w:rFonts w:hint="cs"/>
          <w:rtl/>
        </w:rPr>
        <w:t>،</w:t>
      </w:r>
      <w:r w:rsidRPr="005675B2">
        <w:rPr>
          <w:rFonts w:hint="cs"/>
          <w:rtl/>
        </w:rPr>
        <w:t>وقد نقل عنهم علماء المذهب نفسه قبل الإمام ابن تيمية</w:t>
      </w:r>
      <w:r w:rsidR="000636C2">
        <w:rPr>
          <w:rFonts w:hint="cs"/>
          <w:rtl/>
        </w:rPr>
        <w:t>،</w:t>
      </w:r>
      <w:r w:rsidRPr="005675B2">
        <w:rPr>
          <w:rFonts w:hint="cs"/>
          <w:rtl/>
        </w:rPr>
        <w:t xml:space="preserve"> بل قال عبيد الله بن محمد بن بطة العكبري المتوفى سنة </w:t>
      </w:r>
      <w:r w:rsidR="000636C2">
        <w:rPr>
          <w:rFonts w:hint="cs"/>
          <w:rtl/>
        </w:rPr>
        <w:t>(</w:t>
      </w:r>
      <w:r w:rsidRPr="005675B2">
        <w:rPr>
          <w:rFonts w:hint="cs"/>
          <w:rtl/>
        </w:rPr>
        <w:t>387ه</w:t>
      </w:r>
      <w:r w:rsidR="000636C2">
        <w:rPr>
          <w:rFonts w:hint="cs"/>
          <w:rtl/>
        </w:rPr>
        <w:t xml:space="preserve"> </w:t>
      </w:r>
      <w:r w:rsidRPr="005675B2">
        <w:rPr>
          <w:rFonts w:hint="cs"/>
          <w:rtl/>
        </w:rPr>
        <w:t>-</w:t>
      </w:r>
      <w:r w:rsidR="000636C2">
        <w:rPr>
          <w:rFonts w:hint="cs"/>
          <w:rtl/>
        </w:rPr>
        <w:t>):</w:t>
      </w:r>
      <w:r w:rsidRPr="005675B2">
        <w:rPr>
          <w:rFonts w:hint="cs"/>
          <w:rtl/>
        </w:rPr>
        <w:t xml:space="preserve"> قال ابن حجر</w:t>
      </w:r>
      <w:r w:rsidR="000636C2">
        <w:rPr>
          <w:rFonts w:hint="cs"/>
          <w:rtl/>
        </w:rPr>
        <w:t>:</w:t>
      </w:r>
      <w:r w:rsidRPr="005675B2">
        <w:rPr>
          <w:rFonts w:hint="cs"/>
          <w:rtl/>
        </w:rPr>
        <w:t xml:space="preserve"> </w:t>
      </w:r>
      <w:r w:rsidR="000636C2">
        <w:rPr>
          <w:rFonts w:hint="cs"/>
          <w:rtl/>
        </w:rPr>
        <w:t>[</w:t>
      </w:r>
      <w:r w:rsidRPr="005675B2">
        <w:rPr>
          <w:rFonts w:hint="cs"/>
          <w:rtl/>
        </w:rPr>
        <w:t>وقد وقفت لابن بطة على أمر استعظمته واقشعر جلدي منه</w:t>
      </w:r>
      <w:r w:rsidR="000636C2">
        <w:rPr>
          <w:rFonts w:hint="cs"/>
          <w:rtl/>
        </w:rPr>
        <w:t>]،</w:t>
      </w:r>
      <w:r w:rsidRPr="005675B2">
        <w:rPr>
          <w:rFonts w:hint="cs"/>
          <w:rtl/>
        </w:rPr>
        <w:t xml:space="preserve"> وبين ذلك إذ ذكر حديث </w:t>
      </w:r>
      <w:r w:rsidR="000636C2">
        <w:rPr>
          <w:rFonts w:hint="cs"/>
          <w:rtl/>
        </w:rPr>
        <w:t>[</w:t>
      </w:r>
      <w:r w:rsidRPr="005675B2">
        <w:rPr>
          <w:rFonts w:hint="cs"/>
          <w:rtl/>
        </w:rPr>
        <w:t>كلم الله تعالى موسى يوم كلمه وعليه جبة صوف وكساء صوف ونعلان من جلد حمار غير ذكي</w:t>
      </w:r>
      <w:r w:rsidR="000636C2">
        <w:rPr>
          <w:rFonts w:hint="cs"/>
          <w:rtl/>
        </w:rPr>
        <w:t>]،</w:t>
      </w:r>
      <w:r w:rsidRPr="005675B2">
        <w:rPr>
          <w:rFonts w:hint="cs"/>
          <w:rtl/>
        </w:rPr>
        <w:t xml:space="preserve"> وأشار إلى ضعف سنده</w:t>
      </w:r>
      <w:r w:rsidR="000636C2">
        <w:rPr>
          <w:rFonts w:hint="cs"/>
          <w:rtl/>
        </w:rPr>
        <w:t>،</w:t>
      </w:r>
      <w:r w:rsidRPr="005675B2">
        <w:rPr>
          <w:rFonts w:hint="cs"/>
          <w:rtl/>
        </w:rPr>
        <w:t xml:space="preserve"> وإلى رواية ابن بطة لهذا الحديث</w:t>
      </w:r>
      <w:r w:rsidR="000636C2">
        <w:rPr>
          <w:rFonts w:hint="cs"/>
          <w:rtl/>
        </w:rPr>
        <w:t>،</w:t>
      </w:r>
      <w:r w:rsidRPr="005675B2">
        <w:rPr>
          <w:rFonts w:hint="cs"/>
          <w:rtl/>
        </w:rPr>
        <w:t xml:space="preserve"> لكن بزيادة منكرة في آخره</w:t>
      </w:r>
      <w:r w:rsidR="000636C2">
        <w:rPr>
          <w:rFonts w:hint="cs"/>
          <w:rtl/>
        </w:rPr>
        <w:t>،</w:t>
      </w:r>
      <w:r w:rsidRPr="005675B2">
        <w:rPr>
          <w:rFonts w:hint="cs"/>
          <w:rtl/>
        </w:rPr>
        <w:t xml:space="preserve"> وهي </w:t>
      </w:r>
      <w:r w:rsidR="000636C2">
        <w:rPr>
          <w:rFonts w:hint="cs"/>
          <w:rtl/>
        </w:rPr>
        <w:t>[</w:t>
      </w:r>
      <w:r w:rsidRPr="005675B2">
        <w:rPr>
          <w:rFonts w:hint="cs"/>
          <w:rtl/>
        </w:rPr>
        <w:t>فقال</w:t>
      </w:r>
      <w:r w:rsidR="000636C2">
        <w:rPr>
          <w:rFonts w:hint="cs"/>
          <w:rtl/>
        </w:rPr>
        <w:t>:</w:t>
      </w:r>
      <w:r w:rsidRPr="005675B2">
        <w:rPr>
          <w:rFonts w:hint="cs"/>
          <w:rtl/>
        </w:rPr>
        <w:t xml:space="preserve"> </w:t>
      </w:r>
      <w:r w:rsidRPr="005675B2">
        <w:rPr>
          <w:rFonts w:hint="cs"/>
          <w:u w:val="single"/>
          <w:rtl/>
        </w:rPr>
        <w:t>من ذا العبراني</w:t>
      </w:r>
      <w:r w:rsidRPr="005675B2">
        <w:rPr>
          <w:rFonts w:hint="cs"/>
          <w:rtl/>
        </w:rPr>
        <w:t xml:space="preserve"> الذي يكلمني من الشجرة</w:t>
      </w:r>
      <w:r w:rsidR="000636C2">
        <w:rPr>
          <w:rFonts w:hint="cs"/>
          <w:rtl/>
        </w:rPr>
        <w:t>؟،</w:t>
      </w:r>
      <w:r w:rsidRPr="005675B2">
        <w:rPr>
          <w:rFonts w:hint="cs"/>
          <w:rtl/>
        </w:rPr>
        <w:t xml:space="preserve"> قال</w:t>
      </w:r>
      <w:r w:rsidR="000636C2">
        <w:rPr>
          <w:rFonts w:hint="cs"/>
          <w:rtl/>
        </w:rPr>
        <w:t>:</w:t>
      </w:r>
      <w:r w:rsidRPr="005675B2">
        <w:rPr>
          <w:rFonts w:hint="cs"/>
          <w:rtl/>
        </w:rPr>
        <w:t xml:space="preserve"> أنا الله</w:t>
      </w:r>
      <w:r w:rsidR="000636C2">
        <w:rPr>
          <w:rFonts w:hint="cs"/>
          <w:rtl/>
        </w:rPr>
        <w:t>]،</w:t>
      </w:r>
      <w:r w:rsidRPr="005675B2">
        <w:rPr>
          <w:rFonts w:hint="cs"/>
          <w:rtl/>
        </w:rPr>
        <w:t xml:space="preserve"> وعلق ابن حجر بقوله</w:t>
      </w:r>
      <w:r w:rsidR="000636C2">
        <w:rPr>
          <w:rFonts w:hint="cs"/>
          <w:rtl/>
        </w:rPr>
        <w:t>:</w:t>
      </w:r>
      <w:r w:rsidRPr="005675B2">
        <w:rPr>
          <w:rFonts w:hint="cs"/>
          <w:rtl/>
        </w:rPr>
        <w:t xml:space="preserve"> </w:t>
      </w:r>
      <w:r w:rsidR="000636C2">
        <w:rPr>
          <w:rFonts w:hint="cs"/>
          <w:rtl/>
        </w:rPr>
        <w:t>[</w:t>
      </w:r>
      <w:r w:rsidRPr="005675B2">
        <w:rPr>
          <w:rFonts w:hint="cs"/>
          <w:rtl/>
        </w:rPr>
        <w:t>وما أدري ما أقول في ابن بطة بعد هذا</w:t>
      </w:r>
      <w:r w:rsidR="000636C2">
        <w:rPr>
          <w:rFonts w:hint="cs"/>
          <w:rtl/>
        </w:rPr>
        <w:t>؟!</w:t>
      </w:r>
      <w:r w:rsidRPr="005675B2">
        <w:rPr>
          <w:rFonts w:hint="cs"/>
          <w:rtl/>
        </w:rPr>
        <w:t xml:space="preserve"> .. والله أعلم بغيبه</w:t>
      </w:r>
      <w:r w:rsidR="000636C2">
        <w:rPr>
          <w:rFonts w:hint="cs"/>
          <w:rtl/>
        </w:rPr>
        <w:t>]،</w:t>
      </w:r>
    </w:p>
    <w:p w14:paraId="62CE2360" w14:textId="1C73E60E"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الأشاعرة خالفوا من قال إن كلام الله مخلوق خلقه في شجرة ونحوها وليس بصفة لله، وهؤلاء هم المعتزلة</w:t>
      </w:r>
      <w:r w:rsidR="000636C2">
        <w:rPr>
          <w:rFonts w:hint="cs"/>
          <w:rtl/>
        </w:rPr>
        <w:t>،</w:t>
      </w:r>
      <w:r w:rsidRPr="005675B2">
        <w:rPr>
          <w:rFonts w:hint="cs"/>
          <w:rtl/>
        </w:rPr>
        <w:t xml:space="preserve"> فمن يزعم أن الأشاعرة يقولون أن كلام موسى لله ليس حقيقة وإنما خلقه في شجرة فهو باطل وغلط عليهم</w:t>
      </w:r>
      <w:r w:rsidR="000636C2">
        <w:rPr>
          <w:rFonts w:hint="cs"/>
          <w:rtl/>
        </w:rPr>
        <w:t>،</w:t>
      </w:r>
    </w:p>
    <w:p w14:paraId="192FFEA8" w14:textId="1C45482A"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أن الأشاعرة خالفوا من قال إن كلام الله يحدث في ذاته وهم طائفتان</w:t>
      </w:r>
      <w:r w:rsidR="000636C2">
        <w:rPr>
          <w:rFonts w:hint="cs"/>
          <w:rtl/>
        </w:rPr>
        <w:t>:</w:t>
      </w:r>
      <w:r w:rsidRPr="005675B2">
        <w:rPr>
          <w:rFonts w:hint="cs"/>
          <w:rtl/>
        </w:rPr>
        <w:t>الطائفة الأولى</w:t>
      </w:r>
      <w:r w:rsidR="000636C2">
        <w:rPr>
          <w:rFonts w:hint="cs"/>
          <w:rtl/>
        </w:rPr>
        <w:t>:</w:t>
      </w:r>
      <w:r w:rsidRPr="005675B2">
        <w:rPr>
          <w:rFonts w:hint="cs"/>
          <w:rtl/>
        </w:rPr>
        <w:t xml:space="preserve"> تقول أن نوعه قديم ولكن أفراده حادثة تحدث في ذاته</w:t>
      </w:r>
      <w:r w:rsidR="000636C2">
        <w:rPr>
          <w:rFonts w:hint="cs"/>
          <w:rtl/>
        </w:rPr>
        <w:t>،</w:t>
      </w:r>
      <w:r w:rsidRPr="005675B2">
        <w:rPr>
          <w:rFonts w:hint="cs"/>
          <w:rtl/>
        </w:rPr>
        <w:t xml:space="preserve"> وهذه عقيدة ابن تيمية وأتباعه</w:t>
      </w:r>
      <w:r w:rsidR="000636C2">
        <w:rPr>
          <w:rFonts w:hint="cs"/>
          <w:rtl/>
        </w:rPr>
        <w:t xml:space="preserve">، </w:t>
      </w:r>
      <w:r w:rsidRPr="005675B2">
        <w:rPr>
          <w:rFonts w:hint="cs"/>
          <w:rtl/>
        </w:rPr>
        <w:t>الطائفة الثانية</w:t>
      </w:r>
      <w:r w:rsidR="000636C2">
        <w:rPr>
          <w:rFonts w:hint="cs"/>
          <w:rtl/>
        </w:rPr>
        <w:t>:</w:t>
      </w:r>
      <w:r w:rsidRPr="005675B2">
        <w:rPr>
          <w:rFonts w:hint="cs"/>
          <w:rtl/>
        </w:rPr>
        <w:t xml:space="preserve"> تقول أنه كلام</w:t>
      </w:r>
      <w:r w:rsidR="000636C2">
        <w:rPr>
          <w:rFonts w:hint="cs"/>
          <w:rtl/>
        </w:rPr>
        <w:t>،</w:t>
      </w:r>
      <w:r w:rsidRPr="005675B2">
        <w:rPr>
          <w:rFonts w:hint="cs"/>
          <w:rtl/>
        </w:rPr>
        <w:t>وقول</w:t>
      </w:r>
      <w:r w:rsidR="000636C2">
        <w:rPr>
          <w:rFonts w:hint="cs"/>
          <w:rtl/>
        </w:rPr>
        <w:t>،</w:t>
      </w:r>
      <w:r w:rsidRPr="005675B2">
        <w:rPr>
          <w:rFonts w:hint="cs"/>
          <w:rtl/>
        </w:rPr>
        <w:t xml:space="preserve"> فالكلام قديم</w:t>
      </w:r>
      <w:r w:rsidR="000636C2">
        <w:rPr>
          <w:rFonts w:hint="cs"/>
          <w:rtl/>
        </w:rPr>
        <w:t>،</w:t>
      </w:r>
      <w:r w:rsidRPr="005675B2">
        <w:rPr>
          <w:rFonts w:hint="cs"/>
          <w:rtl/>
        </w:rPr>
        <w:t>والقول حادث وليس بمحدث</w:t>
      </w:r>
      <w:r w:rsidR="000636C2">
        <w:rPr>
          <w:rFonts w:hint="cs"/>
          <w:rtl/>
        </w:rPr>
        <w:t>،</w:t>
      </w:r>
      <w:r w:rsidRPr="005675B2">
        <w:rPr>
          <w:rFonts w:hint="cs"/>
          <w:rtl/>
        </w:rPr>
        <w:t xml:space="preserve"> والكلام ليس بمسموع</w:t>
      </w:r>
      <w:r w:rsidR="000636C2">
        <w:rPr>
          <w:rFonts w:hint="cs"/>
          <w:rtl/>
        </w:rPr>
        <w:t>،</w:t>
      </w:r>
      <w:r w:rsidRPr="005675B2">
        <w:rPr>
          <w:rFonts w:hint="cs"/>
          <w:rtl/>
        </w:rPr>
        <w:t>وأما قوله فمسموع</w:t>
      </w:r>
      <w:r w:rsidR="000636C2">
        <w:rPr>
          <w:rFonts w:hint="cs"/>
          <w:rtl/>
        </w:rPr>
        <w:t xml:space="preserve">، </w:t>
      </w:r>
      <w:r w:rsidRPr="005675B2">
        <w:rPr>
          <w:rFonts w:hint="cs"/>
          <w:rtl/>
        </w:rPr>
        <w:t>واتفقوا مع أتباع ابن تيمية على أن ذات الله محل للحوادث فتحدث في ذاته أقواله وأفعاله -</w:t>
      </w:r>
      <w:r w:rsidR="000636C2">
        <w:rPr>
          <w:rFonts w:hint="cs"/>
          <w:rtl/>
        </w:rPr>
        <w:t xml:space="preserve"> </w:t>
      </w:r>
      <w:r w:rsidRPr="005675B2">
        <w:rPr>
          <w:rFonts w:hint="cs"/>
          <w:rtl/>
        </w:rPr>
        <w:t>سبحانه وتعالى -</w:t>
      </w:r>
      <w:r w:rsidR="000636C2">
        <w:rPr>
          <w:rFonts w:hint="cs"/>
          <w:rtl/>
        </w:rPr>
        <w:t xml:space="preserve"> </w:t>
      </w:r>
      <w:r w:rsidRPr="005675B2">
        <w:rPr>
          <w:rFonts w:hint="cs"/>
          <w:rtl/>
        </w:rPr>
        <w:t xml:space="preserve">عن </w:t>
      </w:r>
      <w:r w:rsidRPr="005675B2">
        <w:rPr>
          <w:rFonts w:hint="cs"/>
          <w:u w:val="single"/>
          <w:rtl/>
        </w:rPr>
        <w:t>ذلك وهؤلاءهم الكرامية</w:t>
      </w:r>
      <w:r w:rsidR="000636C2">
        <w:rPr>
          <w:rFonts w:hint="cs"/>
          <w:rtl/>
        </w:rPr>
        <w:t xml:space="preserve">، </w:t>
      </w:r>
      <w:r w:rsidRPr="005675B2">
        <w:rPr>
          <w:rFonts w:hint="cs"/>
          <w:rtl/>
        </w:rPr>
        <w:t>[</w:t>
      </w:r>
      <w:r w:rsidRPr="005675B2">
        <w:rPr>
          <w:rFonts w:hint="cs"/>
          <w:bCs/>
          <w:sz w:val="24"/>
          <w:szCs w:val="24"/>
          <w:rtl/>
        </w:rPr>
        <w:t>التبصير في معالم الدين للأسفراييني . مبحث الكرامية</w:t>
      </w:r>
      <w:r w:rsidR="000636C2">
        <w:rPr>
          <w:rFonts w:hint="cs"/>
          <w:bCs/>
          <w:sz w:val="24"/>
          <w:szCs w:val="24"/>
          <w:rtl/>
        </w:rPr>
        <w:t>]</w:t>
      </w:r>
      <w:r w:rsidR="000636C2">
        <w:rPr>
          <w:rFonts w:hint="cs"/>
          <w:rtl/>
        </w:rPr>
        <w:t xml:space="preserve">، </w:t>
      </w:r>
      <w:r w:rsidRPr="005675B2">
        <w:rPr>
          <w:rFonts w:hint="cs"/>
          <w:u w:val="single"/>
          <w:rtl/>
        </w:rPr>
        <w:t>فأتباع ابن تيمية يقولون هو نوع وأفراد</w:t>
      </w:r>
      <w:r w:rsidR="000636C2">
        <w:rPr>
          <w:rFonts w:hint="cs"/>
          <w:u w:val="single"/>
          <w:rtl/>
        </w:rPr>
        <w:t>،</w:t>
      </w:r>
      <w:r w:rsidRPr="005675B2">
        <w:rPr>
          <w:rFonts w:hint="cs"/>
          <w:u w:val="single"/>
          <w:rtl/>
        </w:rPr>
        <w:t xml:space="preserve"> والكرامية يقولون</w:t>
      </w:r>
      <w:r w:rsidR="000636C2">
        <w:rPr>
          <w:rFonts w:hint="cs"/>
          <w:u w:val="single"/>
          <w:rtl/>
        </w:rPr>
        <w:t>:</w:t>
      </w:r>
      <w:r w:rsidRPr="005675B2">
        <w:rPr>
          <w:rFonts w:hint="cs"/>
          <w:u w:val="single"/>
          <w:rtl/>
        </w:rPr>
        <w:t>هو كلام وقول</w:t>
      </w:r>
      <w:r w:rsidR="000636C2">
        <w:rPr>
          <w:rFonts w:hint="cs"/>
          <w:u w:val="single"/>
          <w:rtl/>
        </w:rPr>
        <w:t xml:space="preserve">، </w:t>
      </w:r>
      <w:r w:rsidRPr="005675B2">
        <w:rPr>
          <w:rFonts w:hint="cs"/>
          <w:rtl/>
        </w:rPr>
        <w:t>والفرقتان اتفقتا على أنه حادث في ذات الله</w:t>
      </w:r>
      <w:r w:rsidR="000636C2">
        <w:rPr>
          <w:rFonts w:hint="cs"/>
          <w:rtl/>
        </w:rPr>
        <w:t>،</w:t>
      </w:r>
      <w:r w:rsidRPr="005675B2">
        <w:rPr>
          <w:rFonts w:hint="cs"/>
          <w:rtl/>
        </w:rPr>
        <w:t xml:space="preserve"> مع تفصيل في الألفاظ سبق ذكره</w:t>
      </w:r>
      <w:r w:rsidR="000636C2">
        <w:rPr>
          <w:rFonts w:hint="cs"/>
          <w:rtl/>
        </w:rPr>
        <w:t>،</w:t>
      </w:r>
    </w:p>
    <w:p w14:paraId="61493245" w14:textId="3A19C99A"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أن الأشاعرة ينفون كون صفة الكلام الأزلية بحرف وصوت لعدم الدليل على ذلك</w:t>
      </w:r>
      <w:r w:rsidR="000636C2">
        <w:rPr>
          <w:rFonts w:hint="cs"/>
          <w:rtl/>
        </w:rPr>
        <w:t>،</w:t>
      </w:r>
      <w:r w:rsidRPr="005675B2">
        <w:rPr>
          <w:rFonts w:hint="cs"/>
          <w:rtl/>
        </w:rPr>
        <w:t xml:space="preserve"> خالفوا بذلك كثيراً من الحنابلة [</w:t>
      </w:r>
      <w:r w:rsidRPr="005675B2">
        <w:rPr>
          <w:rFonts w:hint="cs"/>
          <w:bCs/>
          <w:sz w:val="24"/>
          <w:szCs w:val="24"/>
          <w:rtl/>
        </w:rPr>
        <w:t>للحنابلة حجج ليست بالقوية ومع ذلك فهم يقولون حرف وصوت لايشبه الأصوات وينفون كونه بمعنى اصتكاك الأجرام ونحوها من خصائص الصوت المعهودة . وعرفوا الصوت بأنه ما يمكن سماعه هذا معناه عندهم. فاتهامهم بالتشبيه بعيد لكن ليس هناك دليل يدل على أن كلام الله بصوت والمسألة تحتاج إلى تحرير ليس هذا مكانه]</w:t>
      </w:r>
      <w:r w:rsidRPr="005675B2">
        <w:rPr>
          <w:rFonts w:hint="cs"/>
          <w:rtl/>
        </w:rPr>
        <w:t xml:space="preserve"> والكرامية ونحوهم ممن</w:t>
      </w:r>
      <w:r w:rsidR="000636C2">
        <w:rPr>
          <w:rFonts w:hint="cs"/>
          <w:rtl/>
        </w:rPr>
        <w:t xml:space="preserve"> </w:t>
      </w:r>
      <w:r w:rsidRPr="005675B2">
        <w:rPr>
          <w:rFonts w:hint="cs"/>
          <w:rtl/>
        </w:rPr>
        <w:t>تمسكوا بكون صفة الكلام الأزلية</w:t>
      </w:r>
      <w:r w:rsidR="000636C2">
        <w:rPr>
          <w:rFonts w:hint="cs"/>
          <w:rtl/>
        </w:rPr>
        <w:t xml:space="preserve"> </w:t>
      </w:r>
      <w:r w:rsidRPr="005675B2">
        <w:rPr>
          <w:rFonts w:hint="cs"/>
          <w:rtl/>
        </w:rPr>
        <w:t>بحرف وصوت</w:t>
      </w:r>
      <w:r w:rsidR="000636C2">
        <w:rPr>
          <w:rFonts w:hint="cs"/>
          <w:rtl/>
        </w:rPr>
        <w:t>،</w:t>
      </w:r>
    </w:p>
    <w:p w14:paraId="501A6698" w14:textId="0924E647" w:rsidR="009C32A0" w:rsidRPr="005675B2" w:rsidRDefault="009C32A0" w:rsidP="000636C2">
      <w:pPr>
        <w:rPr>
          <w:b/>
          <w:rtl/>
        </w:rPr>
      </w:pPr>
      <w:r w:rsidRPr="005675B2">
        <w:rPr>
          <w:rFonts w:hint="cs"/>
          <w:rtl/>
        </w:rPr>
        <w:t>6</w:t>
      </w:r>
      <w:r w:rsidR="000636C2">
        <w:rPr>
          <w:rFonts w:hint="cs"/>
          <w:rtl/>
        </w:rPr>
        <w:t xml:space="preserve"> </w:t>
      </w:r>
      <w:r w:rsidRPr="005675B2">
        <w:rPr>
          <w:rFonts w:hint="cs"/>
          <w:rtl/>
        </w:rPr>
        <w:t>- أن الأشاعرة خالفوا</w:t>
      </w:r>
      <w:r w:rsidR="000636C2">
        <w:rPr>
          <w:rFonts w:hint="cs"/>
          <w:rtl/>
        </w:rPr>
        <w:t xml:space="preserve"> </w:t>
      </w:r>
      <w:r w:rsidRPr="005675B2">
        <w:rPr>
          <w:rFonts w:hint="cs"/>
          <w:rtl/>
        </w:rPr>
        <w:t>الذين جعلوا كل إضافة ككلمة الله، أو كلام الله أزلي</w:t>
      </w:r>
      <w:r w:rsidR="000636C2">
        <w:rPr>
          <w:rFonts w:hint="cs"/>
          <w:rtl/>
        </w:rPr>
        <w:t>،</w:t>
      </w:r>
      <w:r w:rsidRPr="005675B2">
        <w:rPr>
          <w:rFonts w:hint="cs"/>
          <w:rtl/>
        </w:rPr>
        <w:t xml:space="preserve"> فخالفوا النصارى الذين قالوا إن عيسى قديم غير حادث</w:t>
      </w:r>
      <w:r w:rsidR="000636C2">
        <w:rPr>
          <w:rFonts w:hint="cs"/>
          <w:rtl/>
        </w:rPr>
        <w:t xml:space="preserve"> </w:t>
      </w:r>
      <w:r w:rsidRPr="005675B2">
        <w:rPr>
          <w:rFonts w:hint="cs"/>
          <w:rtl/>
        </w:rPr>
        <w:t>لقوله تعالى (</w:t>
      </w:r>
      <w:r w:rsidR="000636C2">
        <w:rPr>
          <w:rFonts w:hint="cs"/>
          <w:rtl/>
        </w:rPr>
        <w:t>(</w:t>
      </w:r>
      <w:r w:rsidRPr="005675B2">
        <w:rPr>
          <w:rFonts w:hint="cs"/>
          <w:rtl/>
        </w:rPr>
        <w:t>وكلمته ألقاها إلى مريم</w:t>
      </w:r>
      <w:r w:rsidR="000636C2">
        <w:rPr>
          <w:rFonts w:hint="cs"/>
          <w:rtl/>
        </w:rPr>
        <w:t>)</w:t>
      </w:r>
      <w:r w:rsidRPr="005675B2">
        <w:rPr>
          <w:rFonts w:hint="cs"/>
          <w:rtl/>
        </w:rPr>
        <w:t>) فزعموا أن عيسى عليه السلام كلمة الله وكلام الله أزلي فعيسى أزلي</w:t>
      </w:r>
      <w:r w:rsidR="000636C2">
        <w:rPr>
          <w:rFonts w:hint="cs"/>
          <w:rtl/>
        </w:rPr>
        <w:t>،</w:t>
      </w:r>
      <w:r w:rsidRPr="005675B2">
        <w:rPr>
          <w:rFonts w:hint="cs"/>
          <w:rtl/>
        </w:rPr>
        <w:t xml:space="preserve"> [</w:t>
      </w:r>
      <w:r w:rsidRPr="005675B2">
        <w:rPr>
          <w:rFonts w:hint="cs"/>
          <w:bCs/>
          <w:sz w:val="24"/>
          <w:szCs w:val="24"/>
          <w:rtl/>
        </w:rPr>
        <w:t>انظر لمزيد تفصيل قولهم والرد عليهم كبرى اليقينيات الكونية ص127]</w:t>
      </w:r>
      <w:r w:rsidR="000636C2">
        <w:rPr>
          <w:rFonts w:hint="cs"/>
          <w:rtl/>
        </w:rPr>
        <w:t>!</w:t>
      </w:r>
      <w:r w:rsidRPr="005675B2">
        <w:rPr>
          <w:rFonts w:hint="cs"/>
          <w:rtl/>
        </w:rPr>
        <w:t>!وخالفوا من قال</w:t>
      </w:r>
      <w:r w:rsidR="000636C2">
        <w:rPr>
          <w:rFonts w:hint="cs"/>
          <w:rtl/>
        </w:rPr>
        <w:t>:</w:t>
      </w:r>
      <w:r w:rsidRPr="005675B2">
        <w:rPr>
          <w:rFonts w:hint="cs"/>
          <w:rtl/>
        </w:rPr>
        <w:t xml:space="preserve"> أن ما بين دفتي المصحف هو صفة الله الأزلية</w:t>
      </w:r>
      <w:r w:rsidR="000636C2">
        <w:rPr>
          <w:rFonts w:hint="cs"/>
          <w:rtl/>
        </w:rPr>
        <w:t>،</w:t>
      </w:r>
      <w:r w:rsidRPr="005675B2">
        <w:rPr>
          <w:rFonts w:hint="cs"/>
          <w:rtl/>
        </w:rPr>
        <w:t xml:space="preserve"> فبينوا أن كل لفظ على الحدوث دلا فهو غير أزلي كعيسى عليه السلام</w:t>
      </w:r>
      <w:r w:rsidR="000636C2">
        <w:rPr>
          <w:rFonts w:hint="cs"/>
          <w:rtl/>
        </w:rPr>
        <w:t>،</w:t>
      </w:r>
      <w:r w:rsidRPr="005675B2">
        <w:rPr>
          <w:rFonts w:hint="cs"/>
          <w:rtl/>
        </w:rPr>
        <w:t xml:space="preserve"> ومحمد</w:t>
      </w:r>
      <w:r w:rsidR="000636C2">
        <w:rPr>
          <w:rFonts w:hint="cs"/>
          <w:rtl/>
        </w:rPr>
        <w:t>،</w:t>
      </w:r>
      <w:r w:rsidRPr="005675B2">
        <w:rPr>
          <w:rFonts w:hint="cs"/>
          <w:rtl/>
        </w:rPr>
        <w:t xml:space="preserve"> والسماء .. إلخ</w:t>
      </w:r>
      <w:r w:rsidR="000636C2">
        <w:rPr>
          <w:rFonts w:hint="cs"/>
          <w:rtl/>
        </w:rPr>
        <w:t xml:space="preserve">، </w:t>
      </w:r>
      <w:r w:rsidRPr="005675B2">
        <w:rPr>
          <w:rFonts w:hint="cs"/>
          <w:rtl/>
        </w:rPr>
        <w:t>ونأتي إلى تفصيل بعض المسائل</w:t>
      </w:r>
      <w:r w:rsidR="000636C2">
        <w:rPr>
          <w:rFonts w:hint="cs"/>
          <w:rtl/>
        </w:rPr>
        <w:t>:</w:t>
      </w:r>
    </w:p>
    <w:p w14:paraId="1FDEB3C8" w14:textId="648D6832" w:rsidR="009C32A0" w:rsidRPr="005675B2" w:rsidRDefault="000636C2" w:rsidP="000636C2">
      <w:pPr>
        <w:rPr>
          <w:b/>
          <w:rtl/>
        </w:rPr>
      </w:pPr>
      <w:r>
        <w:rPr>
          <w:rFonts w:hint="cs"/>
          <w:rtl/>
        </w:rPr>
        <w:t>(</w:t>
      </w:r>
      <w:r w:rsidR="009C32A0">
        <w:rPr>
          <w:rFonts w:hint="cs"/>
          <w:rtl/>
        </w:rPr>
        <w:t>أولا</w:t>
      </w:r>
      <w:r>
        <w:rPr>
          <w:rFonts w:hint="cs"/>
          <w:rtl/>
        </w:rPr>
        <w:t xml:space="preserve">): </w:t>
      </w:r>
      <w:r w:rsidR="009C32A0" w:rsidRPr="005675B2">
        <w:rPr>
          <w:rFonts w:hint="cs"/>
          <w:rtl/>
        </w:rPr>
        <w:t>الأشاعرة يطلقون على الصفة الأزلية القائمة بالله صفة الكلام النفسي ويطلقون عليها القرآن</w:t>
      </w:r>
      <w:r>
        <w:rPr>
          <w:rFonts w:hint="cs"/>
          <w:rtl/>
        </w:rPr>
        <w:t xml:space="preserve">، </w:t>
      </w:r>
      <w:r w:rsidR="009C32A0" w:rsidRPr="005675B2">
        <w:rPr>
          <w:rFonts w:hint="cs"/>
          <w:u w:val="single"/>
          <w:rtl/>
        </w:rPr>
        <w:t>ومناسبة تسمية الصفة الأزلية بالقرآن</w:t>
      </w:r>
      <w:r>
        <w:rPr>
          <w:rFonts w:hint="cs"/>
          <w:u w:val="single"/>
          <w:rtl/>
        </w:rPr>
        <w:t>:</w:t>
      </w:r>
      <w:r w:rsidR="009C32A0" w:rsidRPr="005675B2">
        <w:rPr>
          <w:rFonts w:hint="cs"/>
          <w:rtl/>
        </w:rPr>
        <w:t xml:space="preserve"> لأنه لما كان ما بين دفتي المصحف</w:t>
      </w:r>
      <w:r>
        <w:rPr>
          <w:rFonts w:hint="cs"/>
          <w:rtl/>
        </w:rPr>
        <w:t xml:space="preserve"> </w:t>
      </w:r>
      <w:r w:rsidR="009C32A0" w:rsidRPr="005675B2">
        <w:rPr>
          <w:rFonts w:hint="cs"/>
          <w:rtl/>
        </w:rPr>
        <w:t>دال على على بعض مدلول الكلام الأزلي</w:t>
      </w:r>
      <w:r>
        <w:rPr>
          <w:rFonts w:hint="cs"/>
          <w:rtl/>
        </w:rPr>
        <w:t xml:space="preserve"> </w:t>
      </w:r>
      <w:r w:rsidR="009C32A0" w:rsidRPr="005675B2">
        <w:rPr>
          <w:rFonts w:hint="cs"/>
          <w:rtl/>
        </w:rPr>
        <w:t>صح تسميتها بمادل عليها</w:t>
      </w:r>
      <w:r>
        <w:rPr>
          <w:rFonts w:hint="cs"/>
          <w:rtl/>
        </w:rPr>
        <w:t>،</w:t>
      </w:r>
      <w:r w:rsidR="009C32A0" w:rsidRPr="005675B2">
        <w:rPr>
          <w:rFonts w:hint="cs"/>
          <w:rtl/>
        </w:rPr>
        <w:t xml:space="preserve"> وهذه التسمية هي من الأمور العملية لا العلمية الاعتقادية</w:t>
      </w:r>
      <w:r>
        <w:rPr>
          <w:rFonts w:hint="cs"/>
          <w:rtl/>
        </w:rPr>
        <w:t>،</w:t>
      </w:r>
      <w:r w:rsidR="009C32A0" w:rsidRPr="005675B2">
        <w:rPr>
          <w:rFonts w:hint="cs"/>
          <w:rtl/>
        </w:rPr>
        <w:t xml:space="preserve"> قال الباجوري في شرح الجوهرة</w:t>
      </w:r>
      <w:r>
        <w:rPr>
          <w:rFonts w:hint="cs"/>
          <w:rtl/>
        </w:rPr>
        <w:t>:</w:t>
      </w:r>
      <w:r w:rsidR="009C32A0" w:rsidRPr="005675B2">
        <w:rPr>
          <w:rFonts w:hint="cs"/>
          <w:rtl/>
        </w:rPr>
        <w:t xml:space="preserve"> والتحقيق أن هذه الألفاظ تدل على بعض مدلول الكلام القديم</w:t>
      </w:r>
      <w:r>
        <w:rPr>
          <w:rFonts w:hint="cs"/>
          <w:rtl/>
        </w:rPr>
        <w:t>،</w:t>
      </w:r>
      <w:r w:rsidR="009C32A0" w:rsidRPr="005675B2">
        <w:rPr>
          <w:rFonts w:hint="cs"/>
          <w:rtl/>
        </w:rPr>
        <w:t xml:space="preserve"> .. أهـ</w:t>
      </w:r>
      <w:r>
        <w:rPr>
          <w:rFonts w:hint="cs"/>
          <w:rtl/>
        </w:rPr>
        <w:t xml:space="preserve"> </w:t>
      </w:r>
      <w:r w:rsidR="009C32A0" w:rsidRPr="005675B2">
        <w:rPr>
          <w:rFonts w:hint="cs"/>
          <w:rtl/>
        </w:rPr>
        <w:t>[</w:t>
      </w:r>
      <w:r w:rsidR="009C32A0" w:rsidRPr="005675B2">
        <w:rPr>
          <w:rFonts w:hint="cs"/>
          <w:bCs/>
          <w:sz w:val="24"/>
          <w:szCs w:val="24"/>
          <w:rtl/>
        </w:rPr>
        <w:t>شرح الجوهرة ص179</w:t>
      </w:r>
      <w:r w:rsidR="009C32A0" w:rsidRPr="005675B2">
        <w:rPr>
          <w:rFonts w:hint="cs"/>
          <w:rtl/>
        </w:rPr>
        <w:t>]</w:t>
      </w:r>
    </w:p>
    <w:p w14:paraId="3DA3BBF9" w14:textId="41E9E838" w:rsidR="009C32A0" w:rsidRPr="005675B2" w:rsidRDefault="000636C2" w:rsidP="000636C2">
      <w:pPr>
        <w:rPr>
          <w:b/>
          <w:rtl/>
        </w:rPr>
      </w:pPr>
      <w:r>
        <w:rPr>
          <w:rFonts w:hint="cs"/>
          <w:rtl/>
        </w:rPr>
        <w:t>(</w:t>
      </w:r>
      <w:r w:rsidR="009C32A0">
        <w:rPr>
          <w:rFonts w:hint="cs"/>
          <w:rtl/>
        </w:rPr>
        <w:t>ثانيا</w:t>
      </w:r>
      <w:r>
        <w:rPr>
          <w:rFonts w:hint="cs"/>
          <w:rtl/>
        </w:rPr>
        <w:t xml:space="preserve">) </w:t>
      </w:r>
      <w:r w:rsidR="009C32A0" w:rsidRPr="005675B2">
        <w:rPr>
          <w:rFonts w:hint="cs"/>
          <w:rtl/>
        </w:rPr>
        <w:t>- الأشاعرة يطلقون على مابين دفتي المصحف</w:t>
      </w:r>
      <w:r>
        <w:rPr>
          <w:rFonts w:hint="cs"/>
          <w:rtl/>
        </w:rPr>
        <w:t xml:space="preserve"> </w:t>
      </w:r>
      <w:r w:rsidR="009C32A0" w:rsidRPr="005675B2">
        <w:rPr>
          <w:rFonts w:hint="cs"/>
          <w:rtl/>
        </w:rPr>
        <w:t>القرآن</w:t>
      </w:r>
      <w:r>
        <w:rPr>
          <w:rFonts w:hint="cs"/>
          <w:rtl/>
        </w:rPr>
        <w:t xml:space="preserve"> </w:t>
      </w:r>
      <w:r w:rsidR="009C32A0" w:rsidRPr="005675B2">
        <w:rPr>
          <w:rFonts w:hint="cs"/>
          <w:rtl/>
        </w:rPr>
        <w:t>ويسمونه أيضاً</w:t>
      </w:r>
      <w:r>
        <w:rPr>
          <w:rFonts w:hint="cs"/>
          <w:rtl/>
        </w:rPr>
        <w:t xml:space="preserve"> </w:t>
      </w:r>
      <w:r w:rsidR="009C32A0" w:rsidRPr="005675B2">
        <w:rPr>
          <w:rFonts w:hint="cs"/>
          <w:rtl/>
        </w:rPr>
        <w:t>كلام الله</w:t>
      </w:r>
      <w:r>
        <w:rPr>
          <w:rFonts w:hint="cs"/>
          <w:rtl/>
        </w:rPr>
        <w:t>،</w:t>
      </w:r>
      <w:r w:rsidR="009C32A0" w:rsidRPr="005675B2">
        <w:rPr>
          <w:rFonts w:hint="cs"/>
          <w:rtl/>
        </w:rPr>
        <w:t>لقوله تعالى (</w:t>
      </w:r>
      <w:r>
        <w:rPr>
          <w:rFonts w:hint="cs"/>
          <w:rtl/>
        </w:rPr>
        <w:t>(</w:t>
      </w:r>
      <w:r w:rsidR="009C32A0" w:rsidRPr="005675B2">
        <w:rPr>
          <w:rFonts w:hint="cs"/>
          <w:rtl/>
        </w:rPr>
        <w:t>فأجره حتى يسمع كلام الله</w:t>
      </w:r>
      <w:r>
        <w:rPr>
          <w:rFonts w:hint="cs"/>
          <w:rtl/>
        </w:rPr>
        <w:t>)</w:t>
      </w:r>
      <w:r w:rsidR="009C32A0" w:rsidRPr="005675B2">
        <w:rPr>
          <w:rFonts w:hint="cs"/>
          <w:rtl/>
        </w:rPr>
        <w:t>)</w:t>
      </w:r>
      <w:r>
        <w:rPr>
          <w:rFonts w:hint="cs"/>
          <w:rtl/>
        </w:rPr>
        <w:t>،</w:t>
      </w:r>
      <w:r w:rsidR="009C32A0" w:rsidRPr="005675B2">
        <w:rPr>
          <w:rFonts w:hint="cs"/>
          <w:rtl/>
        </w:rPr>
        <w:t xml:space="preserve"> وقوله (</w:t>
      </w:r>
      <w:r>
        <w:rPr>
          <w:rFonts w:hint="cs"/>
          <w:rtl/>
        </w:rPr>
        <w:t>(</w:t>
      </w:r>
      <w:r w:rsidR="009C32A0" w:rsidRPr="005675B2">
        <w:rPr>
          <w:rFonts w:hint="cs"/>
          <w:rtl/>
        </w:rPr>
        <w:t>إنه لقرآن كريم</w:t>
      </w:r>
      <w:r>
        <w:rPr>
          <w:rFonts w:hint="cs"/>
          <w:rtl/>
        </w:rPr>
        <w:t>)</w:t>
      </w:r>
      <w:r w:rsidR="009C32A0" w:rsidRPr="005675B2">
        <w:rPr>
          <w:rFonts w:hint="cs"/>
          <w:rtl/>
        </w:rPr>
        <w:t>)</w:t>
      </w:r>
      <w:r>
        <w:rPr>
          <w:rFonts w:hint="cs"/>
          <w:rtl/>
        </w:rPr>
        <w:t>،</w:t>
      </w:r>
    </w:p>
    <w:p w14:paraId="4D6F21C3" w14:textId="4BF690E1" w:rsidR="009C32A0" w:rsidRPr="005675B2" w:rsidRDefault="009C32A0" w:rsidP="000636C2">
      <w:pPr>
        <w:rPr>
          <w:b/>
          <w:rtl/>
        </w:rPr>
      </w:pPr>
      <w:r w:rsidRPr="005675B2">
        <w:rPr>
          <w:rFonts w:hint="cs"/>
          <w:rtl/>
        </w:rPr>
        <w:t>ثالثاً</w:t>
      </w:r>
      <w:r w:rsidR="000636C2">
        <w:rPr>
          <w:rFonts w:hint="cs"/>
          <w:rtl/>
        </w:rPr>
        <w:t xml:space="preserve"> </w:t>
      </w:r>
      <w:r w:rsidRPr="005675B2">
        <w:rPr>
          <w:rFonts w:hint="cs"/>
          <w:rtl/>
        </w:rPr>
        <w:t xml:space="preserve">- </w:t>
      </w:r>
      <w:r w:rsidRPr="005675B2">
        <w:rPr>
          <w:rFonts w:hint="cs"/>
          <w:u w:val="single"/>
          <w:rtl/>
        </w:rPr>
        <w:t>تعريف صفة الكلام عند الأشاعرة</w:t>
      </w:r>
      <w:r w:rsidR="000636C2">
        <w:rPr>
          <w:rFonts w:hint="cs"/>
          <w:rtl/>
        </w:rPr>
        <w:t>:</w:t>
      </w:r>
      <w:r w:rsidRPr="005675B2">
        <w:rPr>
          <w:rFonts w:hint="cs"/>
          <w:rtl/>
        </w:rPr>
        <w:t xml:space="preserve"> قال السنوسي</w:t>
      </w:r>
      <w:r w:rsidR="000636C2">
        <w:rPr>
          <w:rFonts w:hint="cs"/>
          <w:rtl/>
        </w:rPr>
        <w:t>:</w:t>
      </w:r>
      <w:r w:rsidRPr="005675B2">
        <w:rPr>
          <w:rFonts w:hint="cs"/>
          <w:rtl/>
        </w:rPr>
        <w:t xml:space="preserve"> هوصفة أزلية قائمة بذات الله ليس بحرف ولا صوت</w:t>
      </w:r>
      <w:r w:rsidR="000636C2">
        <w:rPr>
          <w:rFonts w:hint="cs"/>
          <w:rtl/>
        </w:rPr>
        <w:t>،</w:t>
      </w:r>
      <w:r w:rsidRPr="005675B2">
        <w:rPr>
          <w:rFonts w:hint="cs"/>
          <w:rtl/>
        </w:rPr>
        <w:t>ولا يقبل العدم وما في معناه من السكوت</w:t>
      </w:r>
      <w:r w:rsidR="000636C2">
        <w:rPr>
          <w:rFonts w:hint="cs"/>
          <w:rtl/>
        </w:rPr>
        <w:t>،</w:t>
      </w:r>
      <w:r w:rsidRPr="005675B2">
        <w:rPr>
          <w:rFonts w:hint="cs"/>
          <w:rtl/>
        </w:rPr>
        <w:t>ولا التبعيض، ولا التقديم ولا التأخير</w:t>
      </w:r>
      <w:r w:rsidR="000636C2">
        <w:rPr>
          <w:rFonts w:hint="cs"/>
          <w:rtl/>
        </w:rPr>
        <w:t>،</w:t>
      </w:r>
      <w:r w:rsidRPr="005675B2">
        <w:rPr>
          <w:rFonts w:hint="cs"/>
          <w:rtl/>
        </w:rPr>
        <w:t xml:space="preserve"> [</w:t>
      </w:r>
      <w:r w:rsidRPr="005675B2">
        <w:rPr>
          <w:rFonts w:hint="cs"/>
          <w:bCs/>
          <w:sz w:val="24"/>
          <w:szCs w:val="24"/>
          <w:rtl/>
        </w:rPr>
        <w:t>حاشية الدسوقي على شرح أم البراهين 176</w:t>
      </w:r>
      <w:r w:rsidRPr="005675B2">
        <w:rPr>
          <w:rFonts w:hint="cs"/>
          <w:rtl/>
        </w:rPr>
        <w:t>]</w:t>
      </w:r>
      <w:r w:rsidR="000636C2">
        <w:rPr>
          <w:rFonts w:hint="cs"/>
          <w:rtl/>
        </w:rPr>
        <w:t>،</w:t>
      </w:r>
      <w:r w:rsidRPr="005675B2">
        <w:rPr>
          <w:rFonts w:hint="cs"/>
          <w:rtl/>
        </w:rPr>
        <w:t xml:space="preserve"> قال ابن جرير الطبري وهو من أئمة السلف</w:t>
      </w:r>
      <w:r w:rsidR="000636C2">
        <w:rPr>
          <w:rFonts w:hint="cs"/>
          <w:rtl/>
        </w:rPr>
        <w:t>:</w:t>
      </w:r>
      <w:r w:rsidRPr="005675B2">
        <w:rPr>
          <w:rFonts w:hint="cs"/>
          <w:rtl/>
        </w:rPr>
        <w:t>العالم الذي أحاط بكل شيء علمه والقادر الذي لا يعجزه</w:t>
      </w:r>
      <w:r w:rsidR="000636C2">
        <w:rPr>
          <w:rFonts w:hint="cs"/>
          <w:rtl/>
        </w:rPr>
        <w:t xml:space="preserve"> </w:t>
      </w:r>
      <w:r w:rsidRPr="005675B2">
        <w:rPr>
          <w:rFonts w:hint="cs"/>
          <w:rtl/>
        </w:rPr>
        <w:t>شيء أراده</w:t>
      </w:r>
      <w:r w:rsidR="000636C2">
        <w:rPr>
          <w:rFonts w:hint="cs"/>
          <w:rtl/>
        </w:rPr>
        <w:t>،</w:t>
      </w:r>
      <w:r w:rsidRPr="005675B2">
        <w:rPr>
          <w:rFonts w:hint="cs"/>
          <w:rtl/>
        </w:rPr>
        <w:t xml:space="preserve">والمتكلم الذي </w:t>
      </w:r>
      <w:r w:rsidRPr="005675B2">
        <w:rPr>
          <w:rFonts w:hint="cs"/>
          <w:u w:val="single"/>
          <w:rtl/>
        </w:rPr>
        <w:t>لايجوز عليه السكوت</w:t>
      </w:r>
      <w:r w:rsidR="000636C2">
        <w:rPr>
          <w:rFonts w:hint="cs"/>
          <w:u w:val="single"/>
          <w:rtl/>
        </w:rPr>
        <w:t>،</w:t>
      </w:r>
      <w:r w:rsidRPr="005675B2">
        <w:rPr>
          <w:rFonts w:hint="cs"/>
          <w:u w:val="single"/>
          <w:rtl/>
        </w:rPr>
        <w:t xml:space="preserve"> [</w:t>
      </w:r>
      <w:r w:rsidRPr="005675B2">
        <w:rPr>
          <w:rFonts w:hint="cs"/>
          <w:bCs/>
          <w:sz w:val="24"/>
          <w:szCs w:val="24"/>
          <w:rtl/>
        </w:rPr>
        <w:t>التبصير في معالم الدين 127</w:t>
      </w:r>
      <w:r w:rsidRPr="005675B2">
        <w:rPr>
          <w:rFonts w:hint="cs"/>
          <w:bCs/>
          <w:rtl/>
        </w:rPr>
        <w:t>]</w:t>
      </w:r>
      <w:r w:rsidRPr="005675B2">
        <w:rPr>
          <w:rFonts w:hint="cs"/>
          <w:rtl/>
        </w:rPr>
        <w:t xml:space="preserve"> فانتبه لقول الإمام ابن جرير</w:t>
      </w:r>
      <w:r w:rsidR="000636C2">
        <w:rPr>
          <w:rFonts w:hint="cs"/>
          <w:rtl/>
        </w:rPr>
        <w:t xml:space="preserve"> </w:t>
      </w:r>
      <w:r w:rsidRPr="005675B2">
        <w:rPr>
          <w:rFonts w:hint="cs"/>
          <w:rtl/>
        </w:rPr>
        <w:t>لايجوز عليه السكوت</w:t>
      </w:r>
      <w:r w:rsidR="000636C2">
        <w:rPr>
          <w:rFonts w:hint="cs"/>
          <w:rtl/>
        </w:rPr>
        <w:t>،</w:t>
      </w:r>
      <w:r w:rsidRPr="005675B2">
        <w:rPr>
          <w:rFonts w:hint="cs"/>
          <w:rtl/>
        </w:rPr>
        <w:t xml:space="preserve"> وهذاخلافاً للدكتور الحوالي ونحوه ممن</w:t>
      </w:r>
      <w:r w:rsidR="000636C2">
        <w:rPr>
          <w:rFonts w:hint="cs"/>
          <w:rtl/>
        </w:rPr>
        <w:t xml:space="preserve"> </w:t>
      </w:r>
      <w:r w:rsidRPr="005675B2">
        <w:rPr>
          <w:rFonts w:hint="cs"/>
          <w:rtl/>
        </w:rPr>
        <w:t>وصف ا لله بالسكوت سبحانه وتعالى عن ذلك</w:t>
      </w:r>
      <w:r w:rsidR="000636C2">
        <w:rPr>
          <w:rFonts w:hint="cs"/>
          <w:rtl/>
        </w:rPr>
        <w:t>،</w:t>
      </w:r>
      <w:r w:rsidRPr="005675B2">
        <w:rPr>
          <w:rFonts w:hint="cs"/>
          <w:rtl/>
        </w:rPr>
        <w:t xml:space="preserve"> وبالمقابل فلا يعني ذلك أن كلام الله ككلامنا ليلزم أننا إذا لم نسكت فنحن نثرثر كما يتخيل بعض من شبهوا الله بخلقه</w:t>
      </w:r>
      <w:r w:rsidR="000636C2">
        <w:rPr>
          <w:rFonts w:hint="cs"/>
          <w:rtl/>
        </w:rPr>
        <w:t>،</w:t>
      </w:r>
      <w:r w:rsidRPr="005675B2">
        <w:rPr>
          <w:rFonts w:hint="cs"/>
          <w:rtl/>
        </w:rPr>
        <w:t xml:space="preserve"> وقاسوا صفاته كالكلام على صفات مخلوقاته ـ</w:t>
      </w:r>
      <w:r w:rsidR="000636C2">
        <w:rPr>
          <w:rFonts w:hint="cs"/>
          <w:rtl/>
        </w:rPr>
        <w:t xml:space="preserve"> </w:t>
      </w:r>
      <w:r w:rsidRPr="005675B2">
        <w:rPr>
          <w:rFonts w:hint="cs"/>
          <w:rtl/>
        </w:rPr>
        <w:t>- سبحانه وتعالى</w:t>
      </w:r>
      <w:r w:rsidR="000636C2">
        <w:rPr>
          <w:rFonts w:hint="cs"/>
          <w:rtl/>
        </w:rPr>
        <w:t xml:space="preserve">، </w:t>
      </w:r>
    </w:p>
    <w:p w14:paraId="3B6F1BAB" w14:textId="2B174866" w:rsidR="009C32A0" w:rsidRPr="005675B2" w:rsidRDefault="009C32A0" w:rsidP="000636C2">
      <w:pPr>
        <w:rPr>
          <w:b/>
          <w:rtl/>
        </w:rPr>
      </w:pPr>
      <w:r w:rsidRPr="005675B2">
        <w:rPr>
          <w:rFonts w:hint="cs"/>
          <w:rtl/>
        </w:rPr>
        <w:t>قول الحنابلة</w:t>
      </w:r>
      <w:r w:rsidR="000636C2">
        <w:rPr>
          <w:rFonts w:hint="cs"/>
          <w:rtl/>
        </w:rPr>
        <w:t>:</w:t>
      </w:r>
      <w:r w:rsidRPr="005675B2">
        <w:rPr>
          <w:rFonts w:hint="cs"/>
          <w:rtl/>
        </w:rPr>
        <w:t xml:space="preserve"> كماهو المعتمد عند هم قال أحمد في رواية ابن عبدوس</w:t>
      </w:r>
      <w:r w:rsidR="000636C2">
        <w:rPr>
          <w:rFonts w:hint="cs"/>
          <w:rtl/>
        </w:rPr>
        <w:t>:</w:t>
      </w:r>
      <w:r w:rsidRPr="005675B2">
        <w:rPr>
          <w:rFonts w:hint="cs"/>
          <w:rtl/>
        </w:rPr>
        <w:t xml:space="preserve"> أن كلام الله ليس ببائن عنه نص عليه في رواية ابن عبدوس</w:t>
      </w:r>
      <w:r w:rsidR="000636C2">
        <w:rPr>
          <w:rFonts w:hint="cs"/>
          <w:rtl/>
        </w:rPr>
        <w:t xml:space="preserve">، </w:t>
      </w:r>
      <w:r w:rsidRPr="005675B2">
        <w:rPr>
          <w:rFonts w:hint="cs"/>
          <w:rtl/>
        </w:rPr>
        <w:t>[</w:t>
      </w:r>
      <w:r w:rsidRPr="005675B2">
        <w:rPr>
          <w:rFonts w:hint="cs"/>
          <w:bCs/>
          <w:sz w:val="24"/>
          <w:szCs w:val="24"/>
          <w:rtl/>
        </w:rPr>
        <w:t>نهاية المبتدئين 28</w:t>
      </w:r>
      <w:r w:rsidRPr="005675B2">
        <w:rPr>
          <w:rFonts w:hint="cs"/>
          <w:rtl/>
        </w:rPr>
        <w:t>]</w:t>
      </w:r>
      <w:r w:rsidR="000636C2">
        <w:rPr>
          <w:rFonts w:hint="cs"/>
          <w:rtl/>
        </w:rPr>
        <w:t>،</w:t>
      </w:r>
      <w:r w:rsidRPr="005675B2">
        <w:rPr>
          <w:rFonts w:hint="cs"/>
          <w:rtl/>
        </w:rPr>
        <w:t xml:space="preserve"> وقال الإمام أحمد</w:t>
      </w:r>
      <w:r w:rsidR="000636C2">
        <w:rPr>
          <w:rFonts w:hint="cs"/>
          <w:rtl/>
        </w:rPr>
        <w:t>:</w:t>
      </w:r>
      <w:r w:rsidRPr="005675B2">
        <w:rPr>
          <w:rFonts w:hint="cs"/>
          <w:rtl/>
        </w:rPr>
        <w:t xml:space="preserve"> إن لله عزوجل كلاماً هو به متكلم وذلك صفة له في ذاته خالف بها الخرس والبكم </w:t>
      </w:r>
      <w:r w:rsidRPr="005675B2">
        <w:rPr>
          <w:rFonts w:hint="cs"/>
          <w:u w:val="single"/>
          <w:rtl/>
        </w:rPr>
        <w:t>والسكوت</w:t>
      </w:r>
      <w:r w:rsidRPr="005675B2">
        <w:rPr>
          <w:rFonts w:hint="cs"/>
          <w:rtl/>
        </w:rPr>
        <w:t xml:space="preserve"> وامتدح بها نفسه</w:t>
      </w:r>
      <w:r w:rsidR="000636C2">
        <w:rPr>
          <w:rFonts w:hint="cs"/>
          <w:rtl/>
        </w:rPr>
        <w:t>،</w:t>
      </w:r>
      <w:r w:rsidRPr="005675B2">
        <w:rPr>
          <w:rFonts w:hint="cs"/>
          <w:rtl/>
        </w:rPr>
        <w:t xml:space="preserve"> [</w:t>
      </w:r>
      <w:r w:rsidRPr="005675B2">
        <w:rPr>
          <w:rFonts w:hint="cs"/>
          <w:bCs/>
          <w:sz w:val="24"/>
          <w:szCs w:val="24"/>
          <w:rtl/>
        </w:rPr>
        <w:t>اعتقاد الإمام أحمد 38</w:t>
      </w:r>
      <w:r w:rsidRPr="005675B2">
        <w:rPr>
          <w:rFonts w:hint="cs"/>
          <w:rtl/>
        </w:rPr>
        <w:t>]</w:t>
      </w:r>
      <w:r w:rsidR="000636C2">
        <w:rPr>
          <w:rFonts w:hint="cs"/>
          <w:rtl/>
        </w:rPr>
        <w:t xml:space="preserve">، </w:t>
      </w:r>
      <w:r w:rsidRPr="005675B2">
        <w:rPr>
          <w:rFonts w:hint="cs"/>
          <w:rtl/>
        </w:rPr>
        <w:t>إذن فانظر إلى معتقد الأشاعرة وأصحاب الحديث ومنهم الحنابلة حيث أجمعوا على أنه لا يوصف كلام الله بالسكوت، وهذا مخالف لعقيدة الكاتب هداه الله وغيره</w:t>
      </w:r>
      <w:r w:rsidR="000636C2">
        <w:rPr>
          <w:rFonts w:hint="cs"/>
          <w:rtl/>
        </w:rPr>
        <w:t>،</w:t>
      </w:r>
    </w:p>
    <w:p w14:paraId="30854331" w14:textId="75517044" w:rsidR="009C32A0" w:rsidRPr="005675B2" w:rsidRDefault="009C32A0" w:rsidP="000636C2">
      <w:pPr>
        <w:rPr>
          <w:b/>
          <w:u w:val="single"/>
          <w:rtl/>
        </w:rPr>
      </w:pPr>
      <w:r w:rsidRPr="005675B2">
        <w:rPr>
          <w:rFonts w:hint="cs"/>
          <w:rtl/>
        </w:rPr>
        <w:t>شبهة الكاتب وغيره في وصف كلام الله بالسكوت</w:t>
      </w:r>
      <w:r w:rsidR="000636C2">
        <w:rPr>
          <w:rFonts w:hint="cs"/>
          <w:rtl/>
        </w:rPr>
        <w:t xml:space="preserve">: </w:t>
      </w:r>
      <w:r w:rsidRPr="005675B2">
        <w:rPr>
          <w:rFonts w:hint="cs"/>
          <w:rtl/>
        </w:rPr>
        <w:t>استدلوا على ذلك بحديث</w:t>
      </w:r>
      <w:r w:rsidR="000636C2">
        <w:rPr>
          <w:rFonts w:hint="cs"/>
          <w:rtl/>
        </w:rPr>
        <w:t>:</w:t>
      </w:r>
      <w:r w:rsidRPr="005675B2">
        <w:rPr>
          <w:rFonts w:hint="cs"/>
          <w:rtl/>
        </w:rPr>
        <w:t>(</w:t>
      </w:r>
      <w:r w:rsidR="000636C2">
        <w:rPr>
          <w:rFonts w:hint="cs"/>
          <w:rtl/>
        </w:rPr>
        <w:t>(</w:t>
      </w:r>
      <w:r w:rsidRPr="005675B2">
        <w:rPr>
          <w:rFonts w:hint="cs"/>
          <w:rtl/>
        </w:rPr>
        <w:t>إن الله</w:t>
      </w:r>
      <w:r w:rsidR="000636C2">
        <w:rPr>
          <w:rFonts w:hint="cs"/>
          <w:rtl/>
        </w:rPr>
        <w:t xml:space="preserve"> </w:t>
      </w:r>
      <w:r w:rsidRPr="005675B2">
        <w:rPr>
          <w:rFonts w:hint="cs"/>
          <w:rtl/>
        </w:rPr>
        <w:t>حد حدوداً فلا تعتدوها</w:t>
      </w:r>
      <w:r w:rsidR="000636C2">
        <w:rPr>
          <w:rFonts w:hint="cs"/>
          <w:rtl/>
        </w:rPr>
        <w:t>،</w:t>
      </w:r>
      <w:r w:rsidRPr="005675B2">
        <w:rPr>
          <w:rFonts w:hint="cs"/>
          <w:rtl/>
        </w:rPr>
        <w:t xml:space="preserve"> وفرض شرائع فلا تنتهكوها، وسكت عن أشياءرحمة بكم غير نسيان فلا تبحثوا عنها</w:t>
      </w:r>
      <w:r w:rsidR="000636C2">
        <w:rPr>
          <w:rFonts w:hint="cs"/>
          <w:rtl/>
        </w:rPr>
        <w:t>)</w:t>
      </w:r>
      <w:r w:rsidRPr="005675B2">
        <w:rPr>
          <w:rFonts w:hint="cs"/>
          <w:rtl/>
        </w:rPr>
        <w:t>)</w:t>
      </w:r>
      <w:r w:rsidR="000636C2">
        <w:rPr>
          <w:rFonts w:hint="cs"/>
          <w:rtl/>
        </w:rPr>
        <w:t xml:space="preserve">، </w:t>
      </w:r>
      <w:r w:rsidRPr="005675B2">
        <w:rPr>
          <w:rFonts w:hint="cs"/>
          <w:rtl/>
        </w:rPr>
        <w:t>وقد اختلف العلماء في تضعيف الحديث</w:t>
      </w:r>
      <w:r w:rsidR="000636C2">
        <w:rPr>
          <w:rFonts w:hint="cs"/>
          <w:rtl/>
        </w:rPr>
        <w:t>،</w:t>
      </w:r>
      <w:r w:rsidRPr="005675B2">
        <w:rPr>
          <w:rFonts w:hint="cs"/>
          <w:rtl/>
        </w:rPr>
        <w:t>وتحسينه، وتصحيحه</w:t>
      </w:r>
      <w:r w:rsidR="000636C2">
        <w:rPr>
          <w:rFonts w:hint="cs"/>
          <w:rtl/>
        </w:rPr>
        <w:t>،</w:t>
      </w:r>
      <w:r w:rsidRPr="005675B2">
        <w:rPr>
          <w:rFonts w:hint="cs"/>
          <w:rtl/>
        </w:rPr>
        <w:t xml:space="preserve"> وعلى فرض ثبوته فهو صريح في أن السكوت ليس سكوت كلام، وإنما هو بمعنى عدم تشريع أشياء غير ماشرع</w:t>
      </w:r>
      <w:r w:rsidR="000636C2">
        <w:rPr>
          <w:rFonts w:hint="cs"/>
          <w:rtl/>
        </w:rPr>
        <w:t xml:space="preserve"> </w:t>
      </w:r>
      <w:r w:rsidRPr="005675B2">
        <w:rPr>
          <w:rFonts w:hint="cs"/>
          <w:rtl/>
        </w:rPr>
        <w:t>ليس إلا</w:t>
      </w:r>
      <w:r w:rsidR="000636C2">
        <w:rPr>
          <w:rFonts w:hint="cs"/>
          <w:rtl/>
        </w:rPr>
        <w:t xml:space="preserve">، </w:t>
      </w:r>
      <w:r w:rsidRPr="005675B2">
        <w:rPr>
          <w:rFonts w:hint="cs"/>
          <w:rtl/>
        </w:rPr>
        <w:t>فمن أين أتوا بإثبات صفة السكوت الكلامي</w:t>
      </w:r>
      <w:r w:rsidR="000636C2">
        <w:rPr>
          <w:rFonts w:hint="cs"/>
          <w:rtl/>
        </w:rPr>
        <w:t>؟!</w:t>
      </w:r>
      <w:r w:rsidRPr="005675B2">
        <w:rPr>
          <w:rFonts w:hint="cs"/>
          <w:rtl/>
        </w:rPr>
        <w:t>!وهل هذا إلا تعجل وتجاسر على وصف الله بما لم يثبت وصفه به وإنما هو مجرد ظنون</w:t>
      </w:r>
      <w:r w:rsidR="000636C2">
        <w:rPr>
          <w:rFonts w:hint="cs"/>
          <w:rtl/>
        </w:rPr>
        <w:t>،</w:t>
      </w:r>
      <w:r w:rsidRPr="005675B2">
        <w:rPr>
          <w:rFonts w:hint="cs"/>
          <w:rtl/>
        </w:rPr>
        <w:t xml:space="preserve"> ولذا خالفهم </w:t>
      </w:r>
      <w:r w:rsidRPr="005675B2">
        <w:rPr>
          <w:rFonts w:hint="cs"/>
          <w:u w:val="single"/>
          <w:rtl/>
        </w:rPr>
        <w:t>في ذلك جميع أهل السنة من الحنابلة والأشاعرة والماتريدية فيماوقفت عليه</w:t>
      </w:r>
      <w:r w:rsidR="000636C2">
        <w:rPr>
          <w:rFonts w:hint="cs"/>
          <w:u w:val="single"/>
          <w:rtl/>
        </w:rPr>
        <w:t>،</w:t>
      </w:r>
      <w:r w:rsidR="000636C2">
        <w:rPr>
          <w:rFonts w:hint="cs"/>
          <w:rtl/>
        </w:rPr>
        <w:t xml:space="preserve"> </w:t>
      </w:r>
      <w:r w:rsidRPr="005675B2">
        <w:rPr>
          <w:rFonts w:hint="cs"/>
          <w:u w:val="single"/>
          <w:rtl/>
        </w:rPr>
        <w:t>و كلام الله تعالى عند الأشاعرة يطلقونه على</w:t>
      </w:r>
      <w:r w:rsidR="000636C2">
        <w:rPr>
          <w:rFonts w:hint="cs"/>
          <w:u w:val="single"/>
          <w:rtl/>
        </w:rPr>
        <w:t xml:space="preserve"> </w:t>
      </w:r>
      <w:r w:rsidRPr="005675B2">
        <w:rPr>
          <w:rFonts w:hint="cs"/>
          <w:u w:val="single"/>
          <w:rtl/>
        </w:rPr>
        <w:t>جهتين</w:t>
      </w:r>
      <w:r w:rsidR="000636C2">
        <w:rPr>
          <w:rFonts w:hint="cs"/>
          <w:u w:val="single"/>
          <w:rtl/>
        </w:rPr>
        <w:t xml:space="preserve">: </w:t>
      </w:r>
    </w:p>
    <w:p w14:paraId="036F8100" w14:textId="1AD9A706" w:rsidR="009C32A0" w:rsidRPr="005675B2" w:rsidRDefault="009C32A0" w:rsidP="000636C2">
      <w:pPr>
        <w:rPr>
          <w:b/>
          <w:rtl/>
        </w:rPr>
      </w:pPr>
      <w:r w:rsidRPr="005675B2">
        <w:rPr>
          <w:rFonts w:hint="cs"/>
          <w:rtl/>
        </w:rPr>
        <w:t>الجهة الأولى</w:t>
      </w:r>
      <w:r w:rsidR="000636C2">
        <w:rPr>
          <w:rFonts w:hint="cs"/>
          <w:rtl/>
        </w:rPr>
        <w:t>:</w:t>
      </w:r>
      <w:r w:rsidRPr="005675B2">
        <w:rPr>
          <w:rFonts w:hint="cs"/>
          <w:rtl/>
        </w:rPr>
        <w:t xml:space="preserve"> الصفة الأزلية القأئمة بالله تعالى والتي هي قديمة بلا ابتداءلا تتصف بالسكوت والخرس ونحوهما</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حاشية الدسوقي على أم البراهين 176</w:t>
      </w:r>
      <w:r w:rsidRPr="005675B2">
        <w:rPr>
          <w:rFonts w:hint="cs"/>
          <w:rtl/>
        </w:rPr>
        <w:t>] لأن القول في صفات الذات كالقول في الذات من جهة الأزلية والأبدية</w:t>
      </w:r>
      <w:r w:rsidR="000636C2">
        <w:rPr>
          <w:rFonts w:hint="cs"/>
          <w:rtl/>
        </w:rPr>
        <w:t>،</w:t>
      </w:r>
      <w:r w:rsidRPr="005675B2">
        <w:rPr>
          <w:rFonts w:hint="cs"/>
          <w:rtl/>
        </w:rPr>
        <w:t>فهي قديمة قدم الذات</w:t>
      </w:r>
      <w:r w:rsidR="000636C2">
        <w:rPr>
          <w:rFonts w:hint="cs"/>
          <w:rtl/>
        </w:rPr>
        <w:t>،</w:t>
      </w:r>
      <w:r w:rsidRPr="005675B2">
        <w:rPr>
          <w:rFonts w:hint="cs"/>
          <w:rtl/>
        </w:rPr>
        <w:t xml:space="preserve"> أبدية أبدية الذات</w:t>
      </w:r>
      <w:r w:rsidR="000636C2">
        <w:rPr>
          <w:rFonts w:hint="cs"/>
          <w:rtl/>
        </w:rPr>
        <w:t>،</w:t>
      </w:r>
      <w:r w:rsidRPr="005675B2">
        <w:rPr>
          <w:rFonts w:hint="cs"/>
          <w:rtl/>
        </w:rPr>
        <w:t xml:space="preserve"> وهي قائمة بالموصوف سبحانه وتعالى وليست بحادثة، شأنها في ذلك شأن الذات وبقية الصفات كصفة السمع والبصر والعلم والقدرة وغيرها</w:t>
      </w:r>
      <w:r w:rsidR="000636C2">
        <w:rPr>
          <w:rFonts w:hint="cs"/>
          <w:rtl/>
        </w:rPr>
        <w:t>،</w:t>
      </w:r>
    </w:p>
    <w:p w14:paraId="67B49A70" w14:textId="0475D0F0" w:rsidR="009C32A0" w:rsidRPr="005675B2" w:rsidRDefault="009C32A0" w:rsidP="000636C2">
      <w:pPr>
        <w:rPr>
          <w:b/>
          <w:rtl/>
        </w:rPr>
      </w:pPr>
      <w:r w:rsidRPr="005675B2">
        <w:rPr>
          <w:rFonts w:hint="cs"/>
          <w:bCs/>
          <w:rtl/>
        </w:rPr>
        <w:t>سبب تسمية الصفة بالكلام النفسي</w:t>
      </w:r>
      <w:r w:rsidR="000636C2">
        <w:rPr>
          <w:rFonts w:hint="cs"/>
          <w:rtl/>
        </w:rPr>
        <w:t>:</w:t>
      </w:r>
      <w:r w:rsidRPr="005675B2">
        <w:rPr>
          <w:rFonts w:hint="cs"/>
          <w:rtl/>
        </w:rPr>
        <w:t xml:space="preserve"> ويسمون هذه الصفة</w:t>
      </w:r>
      <w:r w:rsidR="000636C2">
        <w:rPr>
          <w:rFonts w:hint="cs"/>
          <w:rtl/>
        </w:rPr>
        <w:t xml:space="preserve"> </w:t>
      </w:r>
      <w:r w:rsidRPr="005675B2">
        <w:rPr>
          <w:rFonts w:hint="cs"/>
          <w:rtl/>
        </w:rPr>
        <w:t>بالكلام النفسي</w:t>
      </w:r>
      <w:r w:rsidR="000636C2">
        <w:rPr>
          <w:rFonts w:hint="cs"/>
          <w:rtl/>
        </w:rPr>
        <w:t xml:space="preserve"> </w:t>
      </w:r>
      <w:r w:rsidRPr="005675B2">
        <w:rPr>
          <w:rFonts w:hint="cs"/>
          <w:rtl/>
        </w:rPr>
        <w:t>أي</w:t>
      </w:r>
      <w:r w:rsidR="000636C2">
        <w:rPr>
          <w:rFonts w:hint="cs"/>
          <w:rtl/>
        </w:rPr>
        <w:t xml:space="preserve">: </w:t>
      </w:r>
      <w:r w:rsidRPr="005675B2">
        <w:rPr>
          <w:rFonts w:hint="cs"/>
          <w:rtl/>
        </w:rPr>
        <w:t>الكلام الذاتي لأنهم يقولون العلم النفسي والكلام النفسي وهكذا بمعنى الذاتي والدليل قوله تعالى (</w:t>
      </w:r>
      <w:r w:rsidR="000636C2">
        <w:rPr>
          <w:rFonts w:hint="cs"/>
          <w:rtl/>
        </w:rPr>
        <w:t>(</w:t>
      </w:r>
      <w:r w:rsidRPr="005675B2">
        <w:rPr>
          <w:rFonts w:hint="cs"/>
          <w:rtl/>
        </w:rPr>
        <w:t>ويحذركم الله نفسه</w:t>
      </w:r>
      <w:r w:rsidR="000636C2">
        <w:rPr>
          <w:rFonts w:hint="cs"/>
          <w:rtl/>
        </w:rPr>
        <w:t>)</w:t>
      </w:r>
      <w:r w:rsidRPr="005675B2">
        <w:rPr>
          <w:rFonts w:hint="cs"/>
          <w:rtl/>
        </w:rPr>
        <w:t xml:space="preserve">) فقالوا نفسه أي ذاته وقال تعالى </w:t>
      </w:r>
      <w:r w:rsidR="000636C2">
        <w:rPr>
          <w:rFonts w:hint="cs"/>
          <w:rtl/>
        </w:rPr>
        <w:t>((</w:t>
      </w:r>
      <w:r w:rsidRPr="005675B2">
        <w:rPr>
          <w:rFonts w:hint="cs"/>
          <w:rtl/>
        </w:rPr>
        <w:t>تعلم مافي نفسي ولا أعلم ما في نفسك إنك أنت علام الغيوب</w:t>
      </w:r>
      <w:r w:rsidR="000636C2">
        <w:rPr>
          <w:rFonts w:hint="cs"/>
          <w:rtl/>
        </w:rPr>
        <w:t>)</w:t>
      </w:r>
      <w:r w:rsidRPr="005675B2">
        <w:rPr>
          <w:rFonts w:hint="cs"/>
          <w:rtl/>
        </w:rPr>
        <w:t>)فهذا معنى قولهم كلام الله النفسي</w:t>
      </w:r>
      <w:r w:rsidR="000636C2">
        <w:rPr>
          <w:rFonts w:hint="cs"/>
          <w:rtl/>
        </w:rPr>
        <w:t xml:space="preserve"> </w:t>
      </w:r>
      <w:r w:rsidRPr="005675B2">
        <w:rPr>
          <w:rFonts w:hint="cs"/>
          <w:rtl/>
        </w:rPr>
        <w:t>أي</w:t>
      </w:r>
      <w:r w:rsidR="000636C2">
        <w:rPr>
          <w:rFonts w:hint="cs"/>
          <w:rtl/>
        </w:rPr>
        <w:t>،</w:t>
      </w:r>
      <w:r w:rsidRPr="005675B2">
        <w:rPr>
          <w:rFonts w:hint="cs"/>
          <w:rtl/>
        </w:rPr>
        <w:t xml:space="preserve"> الذاتي</w:t>
      </w:r>
      <w:r w:rsidR="000636C2">
        <w:rPr>
          <w:rFonts w:hint="cs"/>
          <w:rtl/>
        </w:rPr>
        <w:t xml:space="preserve">، </w:t>
      </w:r>
      <w:r w:rsidRPr="005675B2">
        <w:rPr>
          <w:rFonts w:hint="cs"/>
          <w:rtl/>
        </w:rPr>
        <w:t>وهذا الكلام ينكر الأشاعرة كونه بحرف أو صوت لعدم الدليل</w:t>
      </w:r>
      <w:r w:rsidR="000636C2">
        <w:rPr>
          <w:rFonts w:hint="cs"/>
          <w:rtl/>
        </w:rPr>
        <w:t xml:space="preserve"> </w:t>
      </w:r>
      <w:r w:rsidRPr="005675B2">
        <w:rPr>
          <w:rFonts w:hint="cs"/>
          <w:rtl/>
        </w:rPr>
        <w:t>المثبت لذلك</w:t>
      </w:r>
      <w:r w:rsidR="000636C2">
        <w:rPr>
          <w:rFonts w:hint="cs"/>
          <w:rtl/>
        </w:rPr>
        <w:t>،</w:t>
      </w:r>
    </w:p>
    <w:p w14:paraId="1695B8CB" w14:textId="5E8B0FAA" w:rsidR="009C32A0" w:rsidRPr="005675B2" w:rsidRDefault="009C32A0" w:rsidP="000636C2">
      <w:pPr>
        <w:rPr>
          <w:b/>
          <w:rtl/>
        </w:rPr>
      </w:pPr>
      <w:r w:rsidRPr="005675B2">
        <w:rPr>
          <w:rFonts w:hint="cs"/>
          <w:rtl/>
        </w:rPr>
        <w:t>الجهة الثانية</w:t>
      </w:r>
      <w:r w:rsidR="000636C2">
        <w:rPr>
          <w:rFonts w:hint="cs"/>
          <w:rtl/>
        </w:rPr>
        <w:t>:</w:t>
      </w:r>
      <w:r w:rsidRPr="005675B2">
        <w:rPr>
          <w:rFonts w:hint="cs"/>
          <w:rtl/>
        </w:rPr>
        <w:t xml:space="preserve"> النظم المعجز</w:t>
      </w:r>
      <w:r w:rsidR="000636C2">
        <w:rPr>
          <w:rFonts w:hint="cs"/>
          <w:rtl/>
        </w:rPr>
        <w:t xml:space="preserve"> </w:t>
      </w:r>
      <w:r w:rsidRPr="005675B2">
        <w:rPr>
          <w:rFonts w:hint="cs"/>
          <w:rtl/>
        </w:rPr>
        <w:t>الذي بين دفتي المصحف المسمى أيضاً بكلام الله تعالى</w:t>
      </w:r>
      <w:r w:rsidR="000636C2">
        <w:rPr>
          <w:rFonts w:hint="cs"/>
          <w:rtl/>
        </w:rPr>
        <w:t>،</w:t>
      </w:r>
      <w:r w:rsidRPr="005675B2">
        <w:rPr>
          <w:rFonts w:hint="cs"/>
          <w:rtl/>
        </w:rPr>
        <w:t xml:space="preserve"> فكلام الله مشترك اشتراكاً لفظياً يطلق على كل من النظم والصفة </w:t>
      </w:r>
      <w:r w:rsidRPr="005675B2">
        <w:rPr>
          <w:rFonts w:hint="cs"/>
          <w:u w:val="single"/>
          <w:rtl/>
        </w:rPr>
        <w:t>إطلاقاً حقيقياً</w:t>
      </w:r>
      <w:r w:rsidRPr="005675B2">
        <w:rPr>
          <w:rFonts w:hint="cs"/>
          <w:rtl/>
        </w:rPr>
        <w:t xml:space="preserve"> لوضعه له في اللغة</w:t>
      </w:r>
      <w:r w:rsidR="000636C2">
        <w:rPr>
          <w:rFonts w:hint="cs"/>
          <w:rtl/>
        </w:rPr>
        <w:t xml:space="preserve">، </w:t>
      </w:r>
      <w:r w:rsidRPr="005675B2">
        <w:rPr>
          <w:rFonts w:hint="cs"/>
          <w:rtl/>
        </w:rPr>
        <w:t>[</w:t>
      </w:r>
      <w:r w:rsidRPr="005675B2">
        <w:rPr>
          <w:rFonts w:hint="cs"/>
          <w:bCs/>
          <w:sz w:val="24"/>
          <w:szCs w:val="24"/>
          <w:rtl/>
        </w:rPr>
        <w:t>حاشية الدسوقي على أم البراهين 177</w:t>
      </w:r>
      <w:r w:rsidRPr="005675B2">
        <w:rPr>
          <w:rFonts w:hint="cs"/>
          <w:rtl/>
        </w:rPr>
        <w:t>]</w:t>
      </w:r>
      <w:r w:rsidR="000636C2">
        <w:rPr>
          <w:rFonts w:hint="cs"/>
          <w:rtl/>
        </w:rPr>
        <w:t xml:space="preserve">، </w:t>
      </w:r>
      <w:r w:rsidRPr="005675B2">
        <w:rPr>
          <w:rFonts w:hint="cs"/>
          <w:rtl/>
        </w:rPr>
        <w:t>لقوله عزوجل</w:t>
      </w:r>
      <w:r w:rsidR="000636C2">
        <w:rPr>
          <w:rFonts w:hint="cs"/>
          <w:rtl/>
        </w:rPr>
        <w:t>:</w:t>
      </w:r>
      <w:r w:rsidRPr="005675B2">
        <w:rPr>
          <w:rFonts w:hint="cs"/>
          <w:rtl/>
        </w:rPr>
        <w:t xml:space="preserve"> (</w:t>
      </w:r>
      <w:r w:rsidR="000636C2">
        <w:rPr>
          <w:rFonts w:hint="cs"/>
          <w:rtl/>
        </w:rPr>
        <w:t>(</w:t>
      </w:r>
      <w:r w:rsidRPr="005675B2">
        <w:rPr>
          <w:rFonts w:hint="cs"/>
          <w:rtl/>
        </w:rPr>
        <w:t>فأجره حتى يسمع كلام الله ثم أبلغه مأمنه</w:t>
      </w:r>
      <w:r w:rsidR="000636C2">
        <w:rPr>
          <w:rFonts w:hint="cs"/>
          <w:rtl/>
        </w:rPr>
        <w:t>)</w:t>
      </w:r>
      <w:r w:rsidRPr="005675B2">
        <w:rPr>
          <w:rFonts w:hint="cs"/>
          <w:rtl/>
        </w:rPr>
        <w:t>)فهذا الكلام مكتوب في المصحف بحروف</w:t>
      </w:r>
      <w:r w:rsidR="000636C2">
        <w:rPr>
          <w:rFonts w:hint="cs"/>
          <w:rtl/>
        </w:rPr>
        <w:t>،</w:t>
      </w:r>
      <w:r w:rsidRPr="005675B2">
        <w:rPr>
          <w:rFonts w:hint="cs"/>
          <w:rtl/>
        </w:rPr>
        <w:t xml:space="preserve"> وعلامات ترقيم</w:t>
      </w:r>
      <w:r w:rsidR="000636C2">
        <w:rPr>
          <w:rFonts w:hint="cs"/>
          <w:rtl/>
        </w:rPr>
        <w:t>،</w:t>
      </w:r>
      <w:r w:rsidRPr="005675B2">
        <w:rPr>
          <w:rFonts w:hint="cs"/>
          <w:rtl/>
        </w:rPr>
        <w:t xml:space="preserve"> وعلامات وقف وابتداء</w:t>
      </w:r>
      <w:r w:rsidR="000636C2">
        <w:rPr>
          <w:rFonts w:hint="cs"/>
          <w:rtl/>
        </w:rPr>
        <w:t>،</w:t>
      </w:r>
      <w:r w:rsidRPr="005675B2">
        <w:rPr>
          <w:rFonts w:hint="cs"/>
          <w:rtl/>
        </w:rPr>
        <w:t xml:space="preserve"> وتحزيب</w:t>
      </w:r>
      <w:r w:rsidR="000636C2">
        <w:rPr>
          <w:rFonts w:hint="cs"/>
          <w:rtl/>
        </w:rPr>
        <w:t>،</w:t>
      </w:r>
      <w:r w:rsidRPr="005675B2">
        <w:rPr>
          <w:rFonts w:hint="cs"/>
          <w:rtl/>
        </w:rPr>
        <w:t xml:space="preserve"> وأجزاء</w:t>
      </w:r>
      <w:r w:rsidR="000636C2">
        <w:rPr>
          <w:rFonts w:hint="cs"/>
          <w:rtl/>
        </w:rPr>
        <w:t>،</w:t>
      </w:r>
      <w:r w:rsidRPr="005675B2">
        <w:rPr>
          <w:rFonts w:hint="cs"/>
          <w:rtl/>
        </w:rPr>
        <w:t xml:space="preserve"> وتنقيط</w:t>
      </w:r>
      <w:r w:rsidR="000636C2">
        <w:rPr>
          <w:rFonts w:hint="cs"/>
          <w:rtl/>
        </w:rPr>
        <w:t>،</w:t>
      </w:r>
      <w:r w:rsidRPr="005675B2">
        <w:rPr>
          <w:rFonts w:hint="cs"/>
          <w:rtl/>
        </w:rPr>
        <w:t xml:space="preserve"> وغيرها مما لا يخفى</w:t>
      </w:r>
      <w:r w:rsidR="000636C2">
        <w:rPr>
          <w:rFonts w:hint="cs"/>
          <w:rtl/>
        </w:rPr>
        <w:t>،</w:t>
      </w:r>
      <w:r w:rsidRPr="005675B2">
        <w:rPr>
          <w:rFonts w:hint="cs"/>
          <w:rtl/>
        </w:rPr>
        <w:t>ويقرأه القارىء بحروف وأصوات</w:t>
      </w:r>
      <w:r w:rsidR="000636C2">
        <w:rPr>
          <w:rFonts w:hint="cs"/>
          <w:rtl/>
        </w:rPr>
        <w:t>،</w:t>
      </w:r>
      <w:r w:rsidRPr="005675B2">
        <w:rPr>
          <w:rFonts w:hint="cs"/>
          <w:rtl/>
        </w:rPr>
        <w:t xml:space="preserve"> فيصح أن يقال أنه بحرف لأننا نرى الألف والباء وغيره من الحروف التي تألف منها القرآن الكريم، ويصح أن نقول أنه منقوط</w:t>
      </w:r>
      <w:r w:rsidR="000636C2">
        <w:rPr>
          <w:rFonts w:hint="cs"/>
          <w:rtl/>
        </w:rPr>
        <w:t>،</w:t>
      </w:r>
      <w:r w:rsidRPr="005675B2">
        <w:rPr>
          <w:rFonts w:hint="cs"/>
          <w:rtl/>
        </w:rPr>
        <w:t>ومعرب</w:t>
      </w:r>
      <w:r w:rsidR="000636C2">
        <w:rPr>
          <w:rFonts w:hint="cs"/>
          <w:rtl/>
        </w:rPr>
        <w:t>،</w:t>
      </w:r>
      <w:r w:rsidRPr="005675B2">
        <w:rPr>
          <w:rFonts w:hint="cs"/>
          <w:rtl/>
        </w:rPr>
        <w:t>أو</w:t>
      </w:r>
      <w:r w:rsidR="000636C2">
        <w:rPr>
          <w:rFonts w:hint="cs"/>
          <w:rtl/>
        </w:rPr>
        <w:t xml:space="preserve"> </w:t>
      </w:r>
      <w:r w:rsidRPr="005675B2">
        <w:rPr>
          <w:rFonts w:hint="cs"/>
          <w:rtl/>
        </w:rPr>
        <w:t>مبني</w:t>
      </w:r>
      <w:r w:rsidR="000636C2">
        <w:rPr>
          <w:rFonts w:hint="cs"/>
          <w:rtl/>
        </w:rPr>
        <w:t>،</w:t>
      </w:r>
      <w:r w:rsidRPr="005675B2">
        <w:rPr>
          <w:rFonts w:hint="cs"/>
          <w:rtl/>
        </w:rPr>
        <w:t>ومرفوع</w:t>
      </w:r>
      <w:r w:rsidR="000636C2">
        <w:rPr>
          <w:rFonts w:hint="cs"/>
          <w:rtl/>
        </w:rPr>
        <w:t>،</w:t>
      </w:r>
      <w:r w:rsidRPr="005675B2">
        <w:rPr>
          <w:rFonts w:hint="cs"/>
          <w:rtl/>
        </w:rPr>
        <w:t>ومنصوب، ومجزوم</w:t>
      </w:r>
      <w:r w:rsidR="000636C2">
        <w:rPr>
          <w:rFonts w:hint="cs"/>
          <w:rtl/>
        </w:rPr>
        <w:t>،</w:t>
      </w:r>
      <w:r w:rsidRPr="005675B2">
        <w:rPr>
          <w:rFonts w:hint="cs"/>
          <w:rtl/>
        </w:rPr>
        <w:t xml:space="preserve"> وغير ذلك مما نقوله في اللغة</w:t>
      </w:r>
      <w:r w:rsidR="000636C2">
        <w:rPr>
          <w:rFonts w:hint="cs"/>
          <w:rtl/>
        </w:rPr>
        <w:t>،</w:t>
      </w:r>
      <w:r w:rsidRPr="005675B2">
        <w:rPr>
          <w:rFonts w:hint="cs"/>
          <w:rtl/>
        </w:rPr>
        <w:t>ولكن</w:t>
      </w:r>
      <w:r w:rsidR="000636C2">
        <w:rPr>
          <w:rFonts w:hint="cs"/>
          <w:rtl/>
        </w:rPr>
        <w:t xml:space="preserve"> </w:t>
      </w:r>
      <w:r w:rsidRPr="005675B2">
        <w:rPr>
          <w:rFonts w:hint="cs"/>
          <w:rtl/>
        </w:rPr>
        <w:t>هذا الذي بين دفتي المصحف ليس هو الصفة القائمة بالله حلت في الورق</w:t>
      </w:r>
      <w:r w:rsidR="000636C2">
        <w:rPr>
          <w:rFonts w:hint="cs"/>
          <w:rtl/>
        </w:rPr>
        <w:t>،</w:t>
      </w:r>
      <w:r w:rsidRPr="005675B2">
        <w:rPr>
          <w:rFonts w:hint="cs"/>
          <w:rtl/>
        </w:rPr>
        <w:t xml:space="preserve"> وطبعتها المطابع</w:t>
      </w:r>
      <w:r w:rsidR="000636C2">
        <w:rPr>
          <w:rFonts w:hint="cs"/>
          <w:rtl/>
        </w:rPr>
        <w:t>،</w:t>
      </w:r>
      <w:r w:rsidRPr="005675B2">
        <w:rPr>
          <w:rFonts w:hint="cs"/>
          <w:rtl/>
        </w:rPr>
        <w:t xml:space="preserve"> وخطتها الأيدي بالحبر والمداد كما يتصور من لاعقل له</w:t>
      </w:r>
      <w:r w:rsidR="000636C2">
        <w:rPr>
          <w:rFonts w:hint="cs"/>
          <w:rtl/>
        </w:rPr>
        <w:t>؟</w:t>
      </w:r>
      <w:r w:rsidRPr="005675B2">
        <w:rPr>
          <w:rFonts w:hint="cs"/>
          <w:rtl/>
        </w:rPr>
        <w:t>بل معناه أن الله تكلم به فهو كلامه</w:t>
      </w:r>
      <w:r w:rsidR="000636C2">
        <w:rPr>
          <w:rFonts w:hint="cs"/>
          <w:rtl/>
        </w:rPr>
        <w:t>،</w:t>
      </w:r>
    </w:p>
    <w:p w14:paraId="08DF1220" w14:textId="1F6846E4" w:rsidR="009C32A0" w:rsidRPr="005675B2" w:rsidRDefault="009C32A0" w:rsidP="000636C2">
      <w:pPr>
        <w:rPr>
          <w:b/>
          <w:rtl/>
        </w:rPr>
      </w:pPr>
      <w:r w:rsidRPr="005675B2">
        <w:rPr>
          <w:rFonts w:hint="cs"/>
          <w:bCs/>
          <w:rtl/>
        </w:rPr>
        <w:t>قال الحنابلة</w:t>
      </w:r>
      <w:r w:rsidR="000636C2">
        <w:rPr>
          <w:rFonts w:hint="cs"/>
          <w:rtl/>
        </w:rPr>
        <w:t>:</w:t>
      </w:r>
      <w:r w:rsidRPr="005675B2">
        <w:rPr>
          <w:rFonts w:hint="cs"/>
          <w:rtl/>
        </w:rPr>
        <w:t xml:space="preserve"> كلام قديم ذاتي وجودي غير مخلوق ولا محدث ولاحادث لا يشبه كلام الناس</w:t>
      </w:r>
      <w:r w:rsidR="000636C2">
        <w:rPr>
          <w:rFonts w:hint="cs"/>
          <w:rtl/>
        </w:rPr>
        <w:t>،</w:t>
      </w:r>
      <w:r w:rsidRPr="005675B2">
        <w:rPr>
          <w:rFonts w:hint="cs"/>
          <w:rtl/>
        </w:rPr>
        <w:t xml:space="preserve"> [</w:t>
      </w:r>
      <w:r w:rsidRPr="005675B2">
        <w:rPr>
          <w:rFonts w:hint="cs"/>
          <w:bCs/>
          <w:sz w:val="24"/>
          <w:szCs w:val="24"/>
          <w:rtl/>
        </w:rPr>
        <w:t>نهاية المبتدئين 26</w:t>
      </w:r>
      <w:r w:rsidRPr="005675B2">
        <w:rPr>
          <w:rFonts w:hint="cs"/>
          <w:rtl/>
        </w:rPr>
        <w:t>] فالحنابلة يخالفون الشيخ الحوالي وغيره</w:t>
      </w:r>
      <w:r w:rsidR="000636C2">
        <w:rPr>
          <w:rFonts w:hint="cs"/>
          <w:rtl/>
        </w:rPr>
        <w:t xml:space="preserve"> </w:t>
      </w:r>
      <w:r w:rsidRPr="005675B2">
        <w:rPr>
          <w:rFonts w:hint="cs"/>
          <w:rtl/>
        </w:rPr>
        <w:t>في قوله</w:t>
      </w:r>
      <w:r w:rsidR="000636C2">
        <w:rPr>
          <w:rFonts w:hint="cs"/>
          <w:rtl/>
        </w:rPr>
        <w:t>:</w:t>
      </w:r>
      <w:r w:rsidRPr="005675B2">
        <w:rPr>
          <w:rFonts w:hint="cs"/>
          <w:rtl/>
        </w:rPr>
        <w:t xml:space="preserve"> القرآن حادث الأفراد</w:t>
      </w:r>
      <w:r w:rsidR="000636C2">
        <w:rPr>
          <w:rFonts w:hint="cs"/>
          <w:rtl/>
        </w:rPr>
        <w:t xml:space="preserve">، </w:t>
      </w:r>
      <w:r w:rsidRPr="005675B2">
        <w:rPr>
          <w:rFonts w:hint="cs"/>
          <w:rtl/>
        </w:rPr>
        <w:t>وقال الإمام أحمد</w:t>
      </w:r>
      <w:r w:rsidR="000636C2">
        <w:rPr>
          <w:rFonts w:hint="cs"/>
          <w:rtl/>
        </w:rPr>
        <w:t>:</w:t>
      </w:r>
      <w:r w:rsidRPr="005675B2">
        <w:rPr>
          <w:rFonts w:hint="cs"/>
          <w:rtl/>
        </w:rPr>
        <w:t xml:space="preserve"> في قوله منه بدأ وإليه يعود قال</w:t>
      </w:r>
      <w:r w:rsidR="000636C2">
        <w:rPr>
          <w:rFonts w:hint="cs"/>
          <w:rtl/>
        </w:rPr>
        <w:t>:</w:t>
      </w:r>
      <w:r w:rsidRPr="005675B2">
        <w:rPr>
          <w:rFonts w:hint="cs"/>
          <w:rtl/>
        </w:rPr>
        <w:t xml:space="preserve"> </w:t>
      </w:r>
      <w:r w:rsidRPr="005675B2">
        <w:rPr>
          <w:rFonts w:hint="cs"/>
          <w:u w:val="single"/>
          <w:rtl/>
        </w:rPr>
        <w:t>منه بدأ علمه وإليه يعود حكمه</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نهاية المبتدئين 26</w:t>
      </w:r>
      <w:r w:rsidRPr="005675B2">
        <w:rPr>
          <w:rFonts w:hint="cs"/>
          <w:rtl/>
        </w:rPr>
        <w:t>] وقال تارة القرآن من علم الله</w:t>
      </w:r>
      <w:r w:rsidR="000636C2">
        <w:rPr>
          <w:rFonts w:hint="cs"/>
          <w:rtl/>
        </w:rPr>
        <w:t>،</w:t>
      </w:r>
      <w:r w:rsidRPr="005675B2">
        <w:rPr>
          <w:rFonts w:hint="cs"/>
          <w:rtl/>
        </w:rPr>
        <w:t xml:space="preserve"> وقال أخرى منه ظهر وهو المتكلم به وإليه يعود</w:t>
      </w:r>
      <w:r w:rsidR="000636C2">
        <w:rPr>
          <w:rFonts w:hint="cs"/>
          <w:rtl/>
        </w:rPr>
        <w:t>،</w:t>
      </w:r>
      <w:r w:rsidRPr="005675B2">
        <w:rPr>
          <w:rFonts w:hint="cs"/>
          <w:rtl/>
        </w:rPr>
        <w:t xml:space="preserve"> وقد</w:t>
      </w:r>
      <w:r w:rsidR="000636C2">
        <w:rPr>
          <w:rFonts w:hint="cs"/>
          <w:rtl/>
        </w:rPr>
        <w:t xml:space="preserve"> </w:t>
      </w:r>
      <w:r w:rsidRPr="005675B2">
        <w:rPr>
          <w:rFonts w:hint="cs"/>
          <w:rtl/>
        </w:rPr>
        <w:t>رد الأشاعرة على</w:t>
      </w:r>
      <w:r w:rsidR="000636C2">
        <w:rPr>
          <w:rFonts w:hint="cs"/>
          <w:rtl/>
        </w:rPr>
        <w:t xml:space="preserve"> </w:t>
      </w:r>
      <w:r w:rsidRPr="005675B2">
        <w:rPr>
          <w:rFonts w:hint="cs"/>
          <w:rtl/>
        </w:rPr>
        <w:t>شبهات</w:t>
      </w:r>
      <w:r w:rsidR="000636C2">
        <w:rPr>
          <w:rFonts w:hint="cs"/>
          <w:rtl/>
        </w:rPr>
        <w:t xml:space="preserve"> </w:t>
      </w:r>
      <w:r w:rsidRPr="005675B2">
        <w:rPr>
          <w:rFonts w:hint="cs"/>
          <w:rtl/>
        </w:rPr>
        <w:t>بعض الحنابلة الذين شذوا فقالوا بقدم المداد والورق وقد</w:t>
      </w:r>
      <w:r w:rsidR="000636C2">
        <w:rPr>
          <w:rFonts w:hint="cs"/>
          <w:rtl/>
        </w:rPr>
        <w:t xml:space="preserve"> </w:t>
      </w:r>
      <w:r w:rsidRPr="005675B2">
        <w:rPr>
          <w:rFonts w:hint="cs"/>
          <w:rtl/>
        </w:rPr>
        <w:t>ذكرمقالتهم</w:t>
      </w:r>
      <w:r w:rsidR="000636C2">
        <w:rPr>
          <w:rFonts w:hint="cs"/>
          <w:rtl/>
        </w:rPr>
        <w:t xml:space="preserve"> </w:t>
      </w:r>
      <w:r w:rsidRPr="005675B2">
        <w:rPr>
          <w:rFonts w:hint="cs"/>
          <w:rtl/>
        </w:rPr>
        <w:t>ابن الزاغوني في كتاب الإيضاح</w:t>
      </w:r>
      <w:r w:rsidR="000636C2">
        <w:rPr>
          <w:rFonts w:hint="cs"/>
          <w:rtl/>
        </w:rPr>
        <w:t>،</w:t>
      </w:r>
      <w:r w:rsidRPr="005675B2">
        <w:rPr>
          <w:rFonts w:hint="cs"/>
          <w:rtl/>
        </w:rPr>
        <w:t xml:space="preserve"> والحنابلة يتبرؤن من هذا القول ولله الحمد</w:t>
      </w:r>
      <w:r w:rsidR="000636C2">
        <w:rPr>
          <w:rFonts w:hint="cs"/>
          <w:rtl/>
        </w:rPr>
        <w:t>،</w:t>
      </w:r>
      <w:r w:rsidRPr="005675B2">
        <w:rPr>
          <w:rFonts w:hint="cs"/>
          <w:rtl/>
        </w:rPr>
        <w:t xml:space="preserve"> </w:t>
      </w:r>
    </w:p>
    <w:p w14:paraId="70C708F3" w14:textId="554BCAA2" w:rsidR="009C32A0" w:rsidRPr="005675B2" w:rsidRDefault="009C32A0" w:rsidP="000636C2">
      <w:pPr>
        <w:rPr>
          <w:b/>
          <w:rtl/>
        </w:rPr>
      </w:pPr>
      <w:r w:rsidRPr="005675B2">
        <w:rPr>
          <w:rFonts w:hint="cs"/>
          <w:bCs/>
          <w:rtl/>
        </w:rPr>
        <w:t>قال الأشاعرة في رد هذه الشبهة</w:t>
      </w:r>
      <w:r w:rsidR="000636C2">
        <w:rPr>
          <w:rFonts w:hint="cs"/>
          <w:rtl/>
        </w:rPr>
        <w:t xml:space="preserve">: </w:t>
      </w:r>
      <w:r w:rsidRPr="005675B2">
        <w:rPr>
          <w:rFonts w:hint="cs"/>
          <w:rtl/>
        </w:rPr>
        <w:t>أن</w:t>
      </w:r>
      <w:r w:rsidR="000636C2">
        <w:rPr>
          <w:rFonts w:hint="cs"/>
          <w:rtl/>
        </w:rPr>
        <w:t xml:space="preserve"> </w:t>
      </w:r>
      <w:r w:rsidRPr="005675B2">
        <w:rPr>
          <w:rFonts w:hint="cs"/>
          <w:rtl/>
        </w:rPr>
        <w:t>الصفة الأزلية لا تحل في الورق</w:t>
      </w:r>
      <w:r w:rsidR="000636C2">
        <w:rPr>
          <w:rFonts w:hint="cs"/>
          <w:rtl/>
        </w:rPr>
        <w:t>،</w:t>
      </w:r>
      <w:r w:rsidRPr="005675B2">
        <w:rPr>
          <w:rFonts w:hint="cs"/>
          <w:rtl/>
        </w:rPr>
        <w:t>ولا تكون حروفا ولا أصواتاً</w:t>
      </w:r>
      <w:r w:rsidR="000636C2">
        <w:rPr>
          <w:rFonts w:hint="cs"/>
          <w:rtl/>
        </w:rPr>
        <w:t>،</w:t>
      </w:r>
      <w:r w:rsidRPr="005675B2">
        <w:rPr>
          <w:rFonts w:hint="cs"/>
          <w:rtl/>
        </w:rPr>
        <w:t>ومافي المصحف الكريم إنما هو دال على الصفة الأزلية القائمة بالموصوف سبحانه وتعالى</w:t>
      </w:r>
      <w:r w:rsidR="000636C2">
        <w:rPr>
          <w:rFonts w:hint="cs"/>
          <w:rtl/>
        </w:rPr>
        <w:t>،</w:t>
      </w:r>
      <w:r w:rsidRPr="005675B2">
        <w:rPr>
          <w:rFonts w:hint="cs"/>
          <w:rtl/>
        </w:rPr>
        <w:t>لأن صفات الله لا تحل في الورق والقرطاس واللوح</w:t>
      </w:r>
      <w:r w:rsidR="000636C2">
        <w:rPr>
          <w:rFonts w:hint="cs"/>
          <w:rtl/>
        </w:rPr>
        <w:t>،</w:t>
      </w:r>
      <w:r w:rsidRPr="005675B2">
        <w:rPr>
          <w:rFonts w:hint="cs"/>
          <w:rtl/>
        </w:rPr>
        <w:t>ولا في بيت العزة</w:t>
      </w:r>
      <w:r w:rsidR="000636C2">
        <w:rPr>
          <w:rFonts w:hint="cs"/>
          <w:rtl/>
        </w:rPr>
        <w:t>،</w:t>
      </w:r>
      <w:r w:rsidRPr="005675B2">
        <w:rPr>
          <w:rFonts w:hint="cs"/>
          <w:rtl/>
        </w:rPr>
        <w:t>ولا غير ذلك من المخلوقات</w:t>
      </w:r>
      <w:r w:rsidR="000636C2">
        <w:rPr>
          <w:rFonts w:hint="cs"/>
          <w:rtl/>
        </w:rPr>
        <w:t>،</w:t>
      </w:r>
      <w:r w:rsidRPr="005675B2">
        <w:rPr>
          <w:rFonts w:hint="cs"/>
          <w:rtl/>
        </w:rPr>
        <w:t>ونثبت أنها كلام الله تعالى</w:t>
      </w:r>
      <w:r w:rsidR="000636C2">
        <w:rPr>
          <w:rFonts w:hint="cs"/>
          <w:rtl/>
        </w:rPr>
        <w:t>،</w:t>
      </w:r>
    </w:p>
    <w:p w14:paraId="1EAF3C61" w14:textId="3F6A0455" w:rsidR="009C32A0" w:rsidRPr="005675B2" w:rsidRDefault="009C32A0" w:rsidP="000636C2">
      <w:pPr>
        <w:rPr>
          <w:b/>
          <w:rtl/>
        </w:rPr>
      </w:pPr>
      <w:r w:rsidRPr="005675B2">
        <w:rPr>
          <w:rFonts w:hint="cs"/>
          <w:u w:val="single"/>
          <w:rtl/>
        </w:rPr>
        <w:t>وأما ماهو مراد الأشاعرة بالكلام الذي</w:t>
      </w:r>
      <w:r w:rsidR="000636C2">
        <w:rPr>
          <w:rFonts w:hint="cs"/>
          <w:u w:val="single"/>
          <w:rtl/>
        </w:rPr>
        <w:t xml:space="preserve"> </w:t>
      </w:r>
      <w:r w:rsidRPr="005675B2">
        <w:rPr>
          <w:rFonts w:hint="cs"/>
          <w:u w:val="single"/>
          <w:rtl/>
        </w:rPr>
        <w:t>يثبتونه في اللغة ويطلقون عليه النفسي</w:t>
      </w:r>
      <w:r w:rsidR="000636C2">
        <w:rPr>
          <w:rFonts w:hint="cs"/>
          <w:u w:val="single"/>
          <w:rtl/>
        </w:rPr>
        <w:t>؟:</w:t>
      </w:r>
      <w:r w:rsidRPr="005675B2">
        <w:rPr>
          <w:rFonts w:hint="cs"/>
          <w:rtl/>
        </w:rPr>
        <w:t xml:space="preserve"> الحقيقة يا أيها القارىء الكريم أنه مجرد رد على المعتزلة الذين حصروا الكلام في اللغة في الحرف والصوت</w:t>
      </w:r>
      <w:r w:rsidR="000636C2">
        <w:rPr>
          <w:rFonts w:hint="cs"/>
          <w:rtl/>
        </w:rPr>
        <w:t>،</w:t>
      </w:r>
      <w:r w:rsidRPr="005675B2">
        <w:rPr>
          <w:rFonts w:hint="cs"/>
          <w:rtl/>
        </w:rPr>
        <w:t xml:space="preserve"> قال المعتزلة</w:t>
      </w:r>
      <w:r w:rsidR="000636C2">
        <w:rPr>
          <w:rFonts w:hint="cs"/>
          <w:rtl/>
        </w:rPr>
        <w:t xml:space="preserve">: </w:t>
      </w:r>
      <w:r w:rsidRPr="005675B2">
        <w:rPr>
          <w:rFonts w:hint="cs"/>
          <w:rtl/>
        </w:rPr>
        <w:t>لا يعرف كلام عند الناس إلا بحرف وصوت</w:t>
      </w:r>
      <w:r w:rsidR="000636C2">
        <w:rPr>
          <w:rFonts w:hint="cs"/>
          <w:rtl/>
        </w:rPr>
        <w:t>،</w:t>
      </w:r>
      <w:r w:rsidRPr="005675B2">
        <w:rPr>
          <w:rFonts w:hint="cs"/>
          <w:rtl/>
        </w:rPr>
        <w:t xml:space="preserve"> فقال الأشاعرة</w:t>
      </w:r>
      <w:r w:rsidR="000636C2">
        <w:rPr>
          <w:rFonts w:hint="cs"/>
          <w:rtl/>
        </w:rPr>
        <w:t>:</w:t>
      </w:r>
      <w:r w:rsidRPr="005675B2">
        <w:rPr>
          <w:rFonts w:hint="cs"/>
          <w:rtl/>
        </w:rPr>
        <w:t>بل الكلام في اللغة يطلق على الحرف والصوت</w:t>
      </w:r>
      <w:r w:rsidR="000636C2">
        <w:rPr>
          <w:rFonts w:hint="cs"/>
          <w:rtl/>
        </w:rPr>
        <w:t>،</w:t>
      </w:r>
      <w:r w:rsidRPr="005675B2">
        <w:rPr>
          <w:rFonts w:hint="cs"/>
          <w:rtl/>
        </w:rPr>
        <w:t>ويطلق على النفسي الذي في الفؤاد</w:t>
      </w:r>
      <w:r w:rsidR="000636C2">
        <w:rPr>
          <w:rFonts w:hint="cs"/>
          <w:rtl/>
        </w:rPr>
        <w:t>،</w:t>
      </w:r>
      <w:r w:rsidRPr="005675B2">
        <w:rPr>
          <w:rFonts w:hint="cs"/>
          <w:rtl/>
        </w:rPr>
        <w:t xml:space="preserve"> فهم يقصدون كلام المخلوق وليس كلام الله</w:t>
      </w:r>
      <w:r w:rsidR="000636C2">
        <w:rPr>
          <w:rFonts w:hint="cs"/>
          <w:rtl/>
        </w:rPr>
        <w:t xml:space="preserve">، </w:t>
      </w:r>
      <w:r w:rsidRPr="005675B2">
        <w:rPr>
          <w:rFonts w:hint="cs"/>
          <w:rtl/>
        </w:rPr>
        <w:t>وقول الأشاعرة أن الكلام يطلق ويراد به أيضاً ما في النفس هوقريب من قول الإمام ابن تيمية في مجموع الفتاوى حيث قال</w:t>
      </w:r>
      <w:r w:rsidR="000636C2">
        <w:rPr>
          <w:rFonts w:hint="cs"/>
          <w:rtl/>
        </w:rPr>
        <w:t>:(</w:t>
      </w:r>
      <w:r w:rsidRPr="005675B2">
        <w:rPr>
          <w:rFonts w:hint="cs"/>
          <w:rtl/>
        </w:rPr>
        <w:t>وقد يراد بالحروف الحروف الخيالية الباطنة</w:t>
      </w:r>
      <w:r w:rsidR="000636C2">
        <w:rPr>
          <w:rFonts w:hint="cs"/>
          <w:rtl/>
        </w:rPr>
        <w:t>،</w:t>
      </w:r>
      <w:r w:rsidRPr="005675B2">
        <w:rPr>
          <w:rFonts w:hint="cs"/>
          <w:rtl/>
        </w:rPr>
        <w:t xml:space="preserve"> وهي ما يتشكل في باطن الإنسان من الكلام المؤلف المنظوم قبل أن يتكلم به</w:t>
      </w:r>
      <w:r w:rsidR="000636C2">
        <w:rPr>
          <w:rFonts w:hint="cs"/>
          <w:rtl/>
        </w:rPr>
        <w:t>)</w:t>
      </w:r>
      <w:r w:rsidRPr="005675B2">
        <w:rPr>
          <w:rFonts w:hint="cs"/>
          <w:rtl/>
        </w:rPr>
        <w:t xml:space="preserve"> [</w:t>
      </w:r>
      <w:r w:rsidRPr="005675B2">
        <w:rPr>
          <w:rFonts w:hint="cs"/>
          <w:bCs/>
          <w:sz w:val="24"/>
          <w:szCs w:val="24"/>
          <w:rtl/>
        </w:rPr>
        <w:t>مجموع الفتاوى 12/152</w:t>
      </w:r>
      <w:r w:rsidRPr="005675B2">
        <w:rPr>
          <w:rFonts w:hint="cs"/>
          <w:rtl/>
        </w:rPr>
        <w:t>]</w:t>
      </w:r>
      <w:r w:rsidR="000636C2">
        <w:rPr>
          <w:rFonts w:hint="cs"/>
          <w:rtl/>
        </w:rPr>
        <w:t>،</w:t>
      </w:r>
      <w:r w:rsidRPr="005675B2">
        <w:rPr>
          <w:rFonts w:hint="cs"/>
          <w:rtl/>
        </w:rPr>
        <w:t xml:space="preserve"> أهـ</w:t>
      </w:r>
      <w:r w:rsidR="000636C2">
        <w:rPr>
          <w:rFonts w:hint="cs"/>
          <w:rtl/>
        </w:rPr>
        <w:t xml:space="preserve">، </w:t>
      </w:r>
      <w:r w:rsidRPr="005675B2">
        <w:rPr>
          <w:rFonts w:hint="cs"/>
          <w:rtl/>
        </w:rPr>
        <w:t>وأعني قريباً منه أي من جهة</w:t>
      </w:r>
      <w:r w:rsidR="000636C2">
        <w:rPr>
          <w:rFonts w:hint="cs"/>
          <w:rtl/>
        </w:rPr>
        <w:t xml:space="preserve"> </w:t>
      </w:r>
      <w:r w:rsidRPr="005675B2">
        <w:rPr>
          <w:rFonts w:hint="cs"/>
          <w:rtl/>
        </w:rPr>
        <w:t>اتصاف المخلوق بذلك لا الخالق جلّ وعلا</w:t>
      </w:r>
      <w:r w:rsidR="000636C2">
        <w:rPr>
          <w:rFonts w:hint="cs"/>
          <w:rtl/>
        </w:rPr>
        <w:t xml:space="preserve">، </w:t>
      </w:r>
      <w:r w:rsidRPr="005675B2">
        <w:rPr>
          <w:rFonts w:hint="cs"/>
          <w:rtl/>
        </w:rPr>
        <w:t>وقد استدل أئمة أهل السنة من الأشاعرة</w:t>
      </w:r>
      <w:r w:rsidR="000636C2">
        <w:rPr>
          <w:rFonts w:hint="cs"/>
          <w:rtl/>
        </w:rPr>
        <w:t xml:space="preserve"> </w:t>
      </w:r>
      <w:r w:rsidRPr="005675B2">
        <w:rPr>
          <w:rFonts w:hint="cs"/>
          <w:rtl/>
        </w:rPr>
        <w:t>على إثبات كلام في اللغة بهذا المعنى الذي تبنوه</w:t>
      </w:r>
      <w:r w:rsidR="000636C2">
        <w:rPr>
          <w:rFonts w:hint="cs"/>
          <w:rtl/>
        </w:rPr>
        <w:t>،</w:t>
      </w:r>
      <w:r w:rsidRPr="005675B2">
        <w:rPr>
          <w:rFonts w:hint="cs"/>
          <w:rtl/>
        </w:rPr>
        <w:t>فمن أدلتهم على ذلك</w:t>
      </w:r>
      <w:r w:rsidR="000636C2">
        <w:rPr>
          <w:rFonts w:hint="cs"/>
          <w:rtl/>
        </w:rPr>
        <w:t>:</w:t>
      </w:r>
      <w:r w:rsidRPr="005675B2">
        <w:rPr>
          <w:rFonts w:hint="cs"/>
          <w:rtl/>
        </w:rPr>
        <w:t>قوله الله سبحانه وتعالى {ويقولون في أنفسهم لولا يعذبنا الله بما</w:t>
      </w:r>
      <w:r w:rsidRPr="005675B2">
        <w:rPr>
          <w:rFonts w:hint="cs"/>
        </w:rPr>
        <w:t xml:space="preserve"> </w:t>
      </w:r>
      <w:r w:rsidRPr="005675B2">
        <w:rPr>
          <w:rFonts w:hint="cs"/>
          <w:rtl/>
        </w:rPr>
        <w:t>نقول</w:t>
      </w:r>
      <w:r w:rsidR="000636C2">
        <w:rPr>
          <w:rFonts w:hint="cs"/>
          <w:rtl/>
        </w:rPr>
        <w:t>}</w:t>
      </w:r>
      <w:r w:rsidRPr="005675B2">
        <w:rPr>
          <w:rFonts w:hint="cs"/>
          <w:rtl/>
        </w:rPr>
        <w:t xml:space="preserve"> و</w:t>
      </w:r>
      <w:r w:rsidR="000636C2">
        <w:rPr>
          <w:rFonts w:hint="cs"/>
          <w:rtl/>
        </w:rPr>
        <w:t xml:space="preserve"> </w:t>
      </w:r>
      <w:r w:rsidRPr="005675B2">
        <w:rPr>
          <w:rFonts w:hint="cs"/>
          <w:rtl/>
        </w:rPr>
        <w:t xml:space="preserve">قوله عز وجل </w:t>
      </w:r>
      <w:r w:rsidR="000636C2">
        <w:rPr>
          <w:rFonts w:hint="cs"/>
          <w:rtl/>
        </w:rPr>
        <w:t>{</w:t>
      </w:r>
      <w:r w:rsidRPr="005675B2">
        <w:rPr>
          <w:rFonts w:hint="cs"/>
          <w:rtl/>
        </w:rPr>
        <w:t>فأسرها يوسف في نفسه ولم يبدها لهم قال</w:t>
      </w:r>
      <w:r w:rsidR="000636C2">
        <w:rPr>
          <w:rFonts w:hint="cs"/>
          <w:rtl/>
        </w:rPr>
        <w:t xml:space="preserve"> </w:t>
      </w:r>
      <w:r w:rsidRPr="005675B2">
        <w:rPr>
          <w:rFonts w:hint="cs"/>
          <w:rtl/>
        </w:rPr>
        <w:t>أنتم شر مكانا</w:t>
      </w:r>
      <w:r w:rsidR="000636C2">
        <w:rPr>
          <w:rFonts w:hint="cs"/>
          <w:rtl/>
        </w:rPr>
        <w:t>}</w:t>
      </w:r>
      <w:r w:rsidRPr="005675B2">
        <w:rPr>
          <w:rFonts w:hint="cs"/>
          <w:rtl/>
        </w:rPr>
        <w:t>، واحتجوا بقول العرب</w:t>
      </w:r>
      <w:r w:rsidR="000636C2">
        <w:rPr>
          <w:rFonts w:hint="cs"/>
          <w:rtl/>
        </w:rPr>
        <w:t>:</w:t>
      </w:r>
      <w:r w:rsidRPr="005675B2">
        <w:rPr>
          <w:rFonts w:hint="cs"/>
          <w:rtl/>
        </w:rPr>
        <w:t xml:space="preserve"> " أرى في نفسك كلاماً</w:t>
      </w:r>
      <w:r w:rsidR="000636C2">
        <w:rPr>
          <w:rFonts w:hint="cs"/>
          <w:rtl/>
        </w:rPr>
        <w:t>،</w:t>
      </w:r>
      <w:r w:rsidRPr="005675B2">
        <w:rPr>
          <w:rFonts w:hint="cs"/>
          <w:rtl/>
        </w:rPr>
        <w:t xml:space="preserve"> وفي وجهك كلاماً "</w:t>
      </w:r>
      <w:r w:rsidR="000636C2">
        <w:rPr>
          <w:rFonts w:hint="cs"/>
          <w:rtl/>
        </w:rPr>
        <w:t>،</w:t>
      </w:r>
      <w:r w:rsidRPr="005675B2">
        <w:rPr>
          <w:rFonts w:hint="cs"/>
          <w:rtl/>
        </w:rPr>
        <w:t xml:space="preserve"> قول الشاعرالعربي</w:t>
      </w:r>
      <w:r w:rsidR="000636C2">
        <w:rPr>
          <w:rFonts w:hint="cs"/>
          <w:rtl/>
        </w:rPr>
        <w:t>:</w:t>
      </w:r>
      <w:r w:rsidRPr="005675B2">
        <w:rPr>
          <w:rFonts w:hint="cs"/>
          <w:rtl/>
        </w:rPr>
        <w:t xml:space="preserve"> </w:t>
      </w:r>
      <w:r w:rsidR="000636C2">
        <w:rPr>
          <w:rFonts w:hint="cs"/>
          <w:rtl/>
        </w:rPr>
        <w:t>[</w:t>
      </w:r>
      <w:r w:rsidRPr="005675B2">
        <w:rPr>
          <w:rFonts w:hint="cs"/>
          <w:bCs/>
          <w:sz w:val="24"/>
          <w:szCs w:val="24"/>
          <w:rtl/>
        </w:rPr>
        <w:t xml:space="preserve">قيل أن البيت للأخطل وقيل أنه نصراني </w:t>
      </w:r>
      <w:r w:rsidRPr="005675B2">
        <w:rPr>
          <w:rFonts w:hint="cs"/>
          <w:bCs/>
          <w:sz w:val="24"/>
          <w:szCs w:val="24"/>
          <w:u w:val="single"/>
          <w:rtl/>
        </w:rPr>
        <w:t>واجمعوا على أنه عربي</w:t>
      </w:r>
      <w:r w:rsidRPr="005675B2">
        <w:rPr>
          <w:rFonts w:hint="cs"/>
          <w:bCs/>
          <w:sz w:val="24"/>
          <w:szCs w:val="24"/>
          <w:rtl/>
        </w:rPr>
        <w:t xml:space="preserve"> فاستشهاد الأشاعرة ببيته ليس لأنه مسلم أو كافر بل لأنه عربي وقد نزل القرآن بلغة قريش وكانوا كفاراً فلا علاقة لذلك باللغة فتنبه يا أخي الكريم</w:t>
      </w:r>
      <w:r w:rsidR="000636C2">
        <w:rPr>
          <w:rFonts w:hint="cs"/>
          <w:bCs/>
          <w:sz w:val="24"/>
          <w:szCs w:val="24"/>
          <w:rtl/>
        </w:rPr>
        <w:t>]</w:t>
      </w:r>
      <w:r w:rsidRPr="005675B2">
        <w:rPr>
          <w:rFonts w:hint="cs"/>
          <w:rtl/>
        </w:rPr>
        <w:t xml:space="preserve"> " إن الكلام لفي الفؤاد وإنما ... جعل اللسان على الكلام دليلا</w:t>
      </w:r>
      <w:r w:rsidR="000636C2">
        <w:rPr>
          <w:rFonts w:hint="cs"/>
          <w:rtl/>
        </w:rPr>
        <w:t>)</w:t>
      </w:r>
      <w:r w:rsidRPr="005675B2">
        <w:rPr>
          <w:rFonts w:hint="cs"/>
          <w:rtl/>
        </w:rPr>
        <w:t xml:space="preserve"> فظن</w:t>
      </w:r>
      <w:r w:rsidR="000636C2">
        <w:rPr>
          <w:rFonts w:hint="cs"/>
          <w:rtl/>
        </w:rPr>
        <w:t xml:space="preserve"> </w:t>
      </w:r>
      <w:r w:rsidRPr="005675B2">
        <w:rPr>
          <w:rFonts w:hint="cs"/>
          <w:rtl/>
        </w:rPr>
        <w:t>البعض من خلال محاججة الأشاعرة للمعتزلة ونحوهم في لغة العرب أنه يثبتون هذا المعنى لله سبحانه وتعالى، و الأشاعرة ينزهون الله عن كلام كالكلام المتعارف عليه</w:t>
      </w:r>
      <w:r w:rsidRPr="005675B2">
        <w:rPr>
          <w:rFonts w:hint="cs"/>
        </w:rPr>
        <w:t xml:space="preserve"> </w:t>
      </w:r>
      <w:r w:rsidRPr="005675B2">
        <w:rPr>
          <w:rFonts w:hint="cs"/>
          <w:rtl/>
        </w:rPr>
        <w:t>بين البشر</w:t>
      </w:r>
      <w:r w:rsidR="000636C2">
        <w:rPr>
          <w:rFonts w:hint="cs"/>
          <w:rtl/>
        </w:rPr>
        <w:t>،</w:t>
      </w:r>
      <w:r w:rsidRPr="005675B2">
        <w:rPr>
          <w:rFonts w:hint="cs"/>
          <w:u w:val="single"/>
          <w:rtl/>
        </w:rPr>
        <w:t>سواء كان بحرف وصوت</w:t>
      </w:r>
      <w:r w:rsidR="000636C2">
        <w:rPr>
          <w:rFonts w:hint="cs"/>
          <w:u w:val="single"/>
          <w:rtl/>
        </w:rPr>
        <w:t>،</w:t>
      </w:r>
      <w:r w:rsidRPr="005675B2">
        <w:rPr>
          <w:rFonts w:hint="cs"/>
          <w:u w:val="single"/>
          <w:rtl/>
        </w:rPr>
        <w:t xml:space="preserve"> أم كان كلام الفؤاد والنفس</w:t>
      </w:r>
      <w:r w:rsidR="000636C2">
        <w:rPr>
          <w:rFonts w:hint="cs"/>
          <w:u w:val="single"/>
          <w:rtl/>
        </w:rPr>
        <w:t>،</w:t>
      </w:r>
      <w:r w:rsidRPr="005675B2">
        <w:rPr>
          <w:rFonts w:hint="cs"/>
          <w:rtl/>
        </w:rPr>
        <w:t xml:space="preserve"> </w:t>
      </w:r>
      <w:r w:rsidRPr="005675B2">
        <w:rPr>
          <w:rFonts w:hint="cs"/>
          <w:bCs/>
          <w:u w:val="single"/>
          <w:rtl/>
        </w:rPr>
        <w:t>قال</w:t>
      </w:r>
      <w:r w:rsidRPr="005675B2">
        <w:rPr>
          <w:rFonts w:hint="cs"/>
          <w:bCs/>
          <w:u w:val="single"/>
        </w:rPr>
        <w:t xml:space="preserve"> </w:t>
      </w:r>
      <w:r w:rsidRPr="005675B2">
        <w:rPr>
          <w:rFonts w:hint="cs"/>
          <w:bCs/>
          <w:u w:val="single"/>
          <w:rtl/>
        </w:rPr>
        <w:t>الإمام السنوسي</w:t>
      </w:r>
      <w:r w:rsidR="000636C2">
        <w:rPr>
          <w:rFonts w:hint="cs"/>
          <w:u w:val="single"/>
          <w:rtl/>
        </w:rPr>
        <w:t>:</w:t>
      </w:r>
      <w:r w:rsidR="000636C2">
        <w:rPr>
          <w:rFonts w:hint="cs"/>
          <w:rtl/>
        </w:rPr>
        <w:t xml:space="preserve"> </w:t>
      </w:r>
      <w:r w:rsidRPr="005675B2">
        <w:rPr>
          <w:rFonts w:hint="cs"/>
          <w:rtl/>
        </w:rPr>
        <w:t>ما يوجد في كتب العلماء من التمثيل</w:t>
      </w:r>
      <w:r w:rsidR="000636C2">
        <w:rPr>
          <w:rFonts w:hint="cs"/>
          <w:rtl/>
        </w:rPr>
        <w:t xml:space="preserve"> </w:t>
      </w:r>
      <w:r w:rsidRPr="005675B2">
        <w:rPr>
          <w:rFonts w:hint="cs"/>
          <w:rtl/>
        </w:rPr>
        <w:t>أي لكلامه تعالى القديم</w:t>
      </w:r>
      <w:r w:rsidR="000636C2">
        <w:rPr>
          <w:rFonts w:hint="cs"/>
          <w:rtl/>
        </w:rPr>
        <w:t xml:space="preserve"> </w:t>
      </w:r>
      <w:r w:rsidRPr="005675B2">
        <w:rPr>
          <w:rFonts w:hint="cs"/>
          <w:rtl/>
        </w:rPr>
        <w:t>بالكلام النفسي في الشاهد عند ردهم على المعتزلة القائلين با نحصار الكلام في الحروف والأصوات</w:t>
      </w:r>
      <w:r w:rsidR="000636C2">
        <w:rPr>
          <w:rFonts w:hint="cs"/>
          <w:rtl/>
        </w:rPr>
        <w:t>،</w:t>
      </w:r>
      <w:r w:rsidRPr="005675B2">
        <w:rPr>
          <w:rFonts w:hint="cs"/>
          <w:rtl/>
        </w:rPr>
        <w:t xml:space="preserve"> لا يفهم منه تشبيه كلامه تعالى بكلامنا النفسي في الكنه تعالى وجل أن يكون له شريك</w:t>
      </w:r>
      <w:r w:rsidR="000636C2">
        <w:rPr>
          <w:rFonts w:hint="cs"/>
          <w:rtl/>
        </w:rPr>
        <w:t>،</w:t>
      </w:r>
      <w:r w:rsidRPr="005675B2">
        <w:rPr>
          <w:rFonts w:hint="cs"/>
          <w:rtl/>
        </w:rPr>
        <w:t xml:space="preserve"> وكيف يتوهم أن يكون</w:t>
      </w:r>
      <w:r w:rsidR="000636C2">
        <w:rPr>
          <w:rFonts w:hint="cs"/>
          <w:rtl/>
        </w:rPr>
        <w:t xml:space="preserve"> </w:t>
      </w:r>
      <w:r w:rsidRPr="005675B2">
        <w:rPr>
          <w:rFonts w:hint="cs"/>
          <w:rtl/>
        </w:rPr>
        <w:t xml:space="preserve">كلامه تعالى مماثل لكلامنا النفسي وكلامنا أعراض حادثة </w:t>
      </w:r>
      <w:r w:rsidRPr="005675B2">
        <w:rPr>
          <w:rFonts w:hint="cs"/>
          <w:u w:val="single"/>
          <w:rtl/>
        </w:rPr>
        <w:t>وإنما مقصد العلماء بذكر الكلام النفسي في الشاهد النقض على المعتزلة في حصرهم</w:t>
      </w:r>
      <w:r w:rsidRPr="005675B2">
        <w:rPr>
          <w:rFonts w:hint="cs"/>
          <w:u w:val="single"/>
        </w:rPr>
        <w:t xml:space="preserve"> </w:t>
      </w:r>
      <w:r w:rsidRPr="005675B2">
        <w:rPr>
          <w:rFonts w:hint="cs"/>
          <w:u w:val="single"/>
          <w:rtl/>
        </w:rPr>
        <w:t>الكلام في الحروف والأصوات، فقيل لهم ينتقض حصركم ذلك</w:t>
      </w:r>
      <w:r w:rsidRPr="005675B2">
        <w:rPr>
          <w:rFonts w:hint="cs"/>
          <w:rtl/>
        </w:rPr>
        <w:t xml:space="preserve"> بكلامنا النفسي فإنه كلام</w:t>
      </w:r>
      <w:r w:rsidRPr="005675B2">
        <w:rPr>
          <w:rFonts w:hint="cs"/>
        </w:rPr>
        <w:t xml:space="preserve"> </w:t>
      </w:r>
      <w:r w:rsidRPr="005675B2">
        <w:rPr>
          <w:rFonts w:hint="cs"/>
          <w:rtl/>
        </w:rPr>
        <w:t>حقيقة وليس بحرف ولا صوت، وإذا صح ذلك فكلام مولانا عزوجل ليس بحرف ولا صوت كما أن</w:t>
      </w:r>
      <w:r w:rsidRPr="005675B2">
        <w:rPr>
          <w:rFonts w:hint="cs"/>
        </w:rPr>
        <w:t xml:space="preserve"> </w:t>
      </w:r>
      <w:r w:rsidRPr="005675B2">
        <w:rPr>
          <w:rFonts w:hint="cs"/>
          <w:rtl/>
        </w:rPr>
        <w:t>كلامنا النفسي ليس بحرف ولا صوت</w:t>
      </w:r>
      <w:r w:rsidR="000636C2">
        <w:rPr>
          <w:rFonts w:hint="cs"/>
          <w:rtl/>
        </w:rPr>
        <w:t>،</w:t>
      </w:r>
      <w:r w:rsidRPr="005675B2">
        <w:rPr>
          <w:rFonts w:hint="cs"/>
          <w:rtl/>
        </w:rPr>
        <w:t>وأما الحقيقة فمباينة</w:t>
      </w:r>
      <w:r w:rsidRPr="005675B2">
        <w:rPr>
          <w:rFonts w:hint="cs"/>
        </w:rPr>
        <w:t xml:space="preserve"> </w:t>
      </w:r>
      <w:r w:rsidRPr="005675B2">
        <w:rPr>
          <w:rFonts w:hint="cs"/>
          <w:rtl/>
        </w:rPr>
        <w:t>للحقيقة كل المباينة فاعرف هذا فقد زلت هنا أقدام لم تؤيدبنور الملك العلام</w:t>
      </w:r>
      <w:r w:rsidRPr="005675B2">
        <w:rPr>
          <w:rFonts w:hint="cs"/>
        </w:rPr>
        <w:t xml:space="preserve"> </w:t>
      </w:r>
      <w:r w:rsidRPr="005675B2">
        <w:rPr>
          <w:rFonts w:hint="cs"/>
          <w:rtl/>
        </w:rPr>
        <w:t>[</w:t>
      </w:r>
      <w:r w:rsidRPr="005675B2">
        <w:rPr>
          <w:rFonts w:hint="cs"/>
          <w:bCs/>
          <w:sz w:val="24"/>
          <w:szCs w:val="24"/>
          <w:rtl/>
        </w:rPr>
        <w:t>في شرح أم البراهين مع حاشية الدسوقي عليه . ص179</w:t>
      </w:r>
      <w:r w:rsidRPr="005675B2">
        <w:rPr>
          <w:rFonts w:hint="cs"/>
          <w:rtl/>
        </w:rPr>
        <w:t>]</w:t>
      </w:r>
      <w:r w:rsidR="000636C2">
        <w:rPr>
          <w:rFonts w:hint="cs"/>
          <w:rtl/>
        </w:rPr>
        <w:t>،</w:t>
      </w:r>
      <w:r w:rsidRPr="005675B2">
        <w:rPr>
          <w:rFonts w:hint="cs"/>
          <w:rtl/>
        </w:rPr>
        <w:t xml:space="preserve"> أهـ</w:t>
      </w:r>
      <w:r w:rsidR="000636C2">
        <w:rPr>
          <w:rFonts w:hint="cs"/>
          <w:rtl/>
        </w:rPr>
        <w:t xml:space="preserve"> </w:t>
      </w:r>
      <w:r w:rsidRPr="005675B2">
        <w:rPr>
          <w:rFonts w:hint="cs"/>
          <w:rtl/>
        </w:rPr>
        <w:t>قال الدسوقي</w:t>
      </w:r>
      <w:r w:rsidR="000636C2">
        <w:rPr>
          <w:rFonts w:hint="cs"/>
          <w:rtl/>
        </w:rPr>
        <w:t>:</w:t>
      </w:r>
      <w:r w:rsidRPr="005675B2">
        <w:rPr>
          <w:rFonts w:hint="cs"/>
          <w:rtl/>
        </w:rPr>
        <w:t xml:space="preserve"> وحاصله أن أهل السنة ردوا على المعتزلة بأن كلامنا النفسي ليس بحرف ولا صوت</w:t>
      </w:r>
      <w:r w:rsidR="000636C2">
        <w:rPr>
          <w:rFonts w:hint="cs"/>
          <w:rtl/>
        </w:rPr>
        <w:t xml:space="preserve"> </w:t>
      </w:r>
      <w:r w:rsidRPr="005675B2">
        <w:rPr>
          <w:rFonts w:hint="cs"/>
          <w:rtl/>
        </w:rPr>
        <w:t>وهو كلام حقيقة فليكن كلام الله كذلك أي ليس بحرف ولا صوت وهو كلام حقيقة فليس مراد أهل السنة بقولهم</w:t>
      </w:r>
      <w:r w:rsidR="000636C2">
        <w:rPr>
          <w:rFonts w:hint="cs"/>
          <w:rtl/>
        </w:rPr>
        <w:t>:</w:t>
      </w:r>
      <w:r w:rsidRPr="005675B2">
        <w:rPr>
          <w:rFonts w:hint="cs"/>
          <w:rtl/>
        </w:rPr>
        <w:t xml:space="preserve"> فليكن كلام الله كذلك أنهما متماثلان في الحقيقة بل هما متباينان لأن كلامه تعالى صفة قديمة وكلامنا النفسي حادث وإنما</w:t>
      </w:r>
      <w:r w:rsidR="000636C2">
        <w:rPr>
          <w:rFonts w:hint="cs"/>
          <w:rtl/>
        </w:rPr>
        <w:t xml:space="preserve"> </w:t>
      </w:r>
      <w:r w:rsidRPr="005675B2">
        <w:rPr>
          <w:rFonts w:hint="cs"/>
          <w:rtl/>
        </w:rPr>
        <w:t>مرادهم التشبيه في أن كلاً منهما ليس بحرف ولاصوت</w:t>
      </w:r>
      <w:r w:rsidR="000636C2">
        <w:rPr>
          <w:rFonts w:hint="cs"/>
          <w:rtl/>
        </w:rPr>
        <w:t>،</w:t>
      </w:r>
      <w:r w:rsidRPr="005675B2">
        <w:rPr>
          <w:rFonts w:hint="cs"/>
          <w:rtl/>
        </w:rPr>
        <w:t>وإن تباينا في الحقيقة</w:t>
      </w:r>
      <w:r w:rsidR="000636C2">
        <w:rPr>
          <w:rFonts w:hint="cs"/>
          <w:rtl/>
        </w:rPr>
        <w:t>،</w:t>
      </w:r>
      <w:r w:rsidRPr="005675B2">
        <w:rPr>
          <w:rFonts w:hint="cs"/>
          <w:rtl/>
        </w:rPr>
        <w:t xml:space="preserve"> أ ه</w:t>
      </w:r>
      <w:r w:rsidR="000636C2">
        <w:rPr>
          <w:rFonts w:hint="cs"/>
          <w:rtl/>
        </w:rPr>
        <w:t xml:space="preserve"> </w:t>
      </w:r>
      <w:r w:rsidRPr="005675B2">
        <w:rPr>
          <w:rFonts w:hint="cs"/>
          <w:rtl/>
        </w:rPr>
        <w:t>- [</w:t>
      </w:r>
      <w:r w:rsidRPr="005675B2">
        <w:rPr>
          <w:rFonts w:hint="cs"/>
          <w:bCs/>
          <w:sz w:val="24"/>
          <w:szCs w:val="24"/>
          <w:rtl/>
        </w:rPr>
        <w:t>حاشية الدسوقي 178</w:t>
      </w:r>
      <w:r w:rsidRPr="005675B2">
        <w:rPr>
          <w:rFonts w:hint="cs"/>
          <w:rtl/>
        </w:rPr>
        <w:t>]</w:t>
      </w:r>
    </w:p>
    <w:p w14:paraId="43AC1082" w14:textId="6CFE9C78" w:rsidR="009C32A0" w:rsidRPr="005675B2" w:rsidRDefault="009C32A0" w:rsidP="000636C2">
      <w:pPr>
        <w:rPr>
          <w:b/>
          <w:rtl/>
        </w:rPr>
      </w:pPr>
      <w:r w:rsidRPr="005675B2">
        <w:rPr>
          <w:rFonts w:hint="cs"/>
          <w:rtl/>
        </w:rPr>
        <w:t>المسألة الثالثة</w:t>
      </w:r>
      <w:r w:rsidR="000636C2">
        <w:rPr>
          <w:rFonts w:hint="cs"/>
          <w:rtl/>
        </w:rPr>
        <w:t>:</w:t>
      </w:r>
      <w:r w:rsidRPr="005675B2">
        <w:rPr>
          <w:rFonts w:hint="cs"/>
          <w:rtl/>
        </w:rPr>
        <w:t xml:space="preserve"> إذا علمنا أن الكلام صفة من صفات الله</w:t>
      </w:r>
      <w:r w:rsidR="000636C2">
        <w:rPr>
          <w:rFonts w:hint="cs"/>
          <w:rtl/>
        </w:rPr>
        <w:t>،</w:t>
      </w:r>
      <w:r w:rsidRPr="005675B2">
        <w:rPr>
          <w:rFonts w:hint="cs"/>
          <w:rtl/>
        </w:rPr>
        <w:t>وعلمنا أن صفات الله غير مخلوقة، وأن صفاته لا تشبه الصفات من أي وجه كان من حيث الحقائق والمعاني</w:t>
      </w:r>
      <w:r w:rsidR="000636C2">
        <w:rPr>
          <w:rFonts w:hint="cs"/>
          <w:rtl/>
        </w:rPr>
        <w:t>،</w:t>
      </w:r>
      <w:r w:rsidRPr="005675B2">
        <w:rPr>
          <w:rFonts w:hint="cs"/>
          <w:rtl/>
        </w:rPr>
        <w:t xml:space="preserve">فيأتي </w:t>
      </w:r>
      <w:r w:rsidR="000636C2">
        <w:rPr>
          <w:rFonts w:hint="cs"/>
          <w:rtl/>
        </w:rPr>
        <w:t>[</w:t>
      </w:r>
      <w:r>
        <w:rPr>
          <w:rFonts w:hint="cs"/>
          <w:rtl/>
        </w:rPr>
        <w:t>الجواب</w:t>
      </w:r>
      <w:r w:rsidR="000636C2">
        <w:rPr>
          <w:rFonts w:hint="cs"/>
          <w:rtl/>
        </w:rPr>
        <w:t xml:space="preserve">] </w:t>
      </w:r>
      <w:r w:rsidRPr="005675B2">
        <w:rPr>
          <w:rFonts w:hint="cs"/>
          <w:rtl/>
        </w:rPr>
        <w:t>على السؤال إن شاء الله تعالى</w:t>
      </w:r>
      <w:r w:rsidR="000636C2">
        <w:rPr>
          <w:rFonts w:hint="cs"/>
          <w:rtl/>
        </w:rPr>
        <w:t>:</w:t>
      </w:r>
      <w:r w:rsidRPr="005675B2">
        <w:rPr>
          <w:rFonts w:hint="cs"/>
          <w:rtl/>
        </w:rPr>
        <w:t xml:space="preserve"> من عدم مشابهة صفة الله وهي الكلام في مبحثنا لصفات المخلوق أمور كثيرة قد تقدم ذكر بعضها ونذكر الآن بعضها مما ذكره الأشاعرة</w:t>
      </w:r>
      <w:r w:rsidR="000636C2">
        <w:rPr>
          <w:rFonts w:hint="cs"/>
          <w:rtl/>
        </w:rPr>
        <w:t>:</w:t>
      </w:r>
    </w:p>
    <w:p w14:paraId="3B0218B4" w14:textId="070537F5"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كلام المخلوق بلغة من اللغات المخلوقة كالعربية أو السريانية أو غيرها أما كلام الله الذاتي فلا يشبه كلام المخلوق</w:t>
      </w:r>
      <w:r w:rsidR="000636C2">
        <w:rPr>
          <w:rFonts w:hint="cs"/>
          <w:rtl/>
        </w:rPr>
        <w:t>،</w:t>
      </w:r>
      <w:r w:rsidRPr="005675B2">
        <w:rPr>
          <w:rFonts w:hint="cs"/>
          <w:rtl/>
        </w:rPr>
        <w:t xml:space="preserve"> قال الإمام الباقلاني</w:t>
      </w:r>
      <w:r w:rsidR="000636C2">
        <w:rPr>
          <w:rFonts w:hint="cs"/>
          <w:rtl/>
        </w:rPr>
        <w:t>:</w:t>
      </w:r>
      <w:r w:rsidRPr="005675B2">
        <w:rPr>
          <w:rFonts w:hint="cs"/>
          <w:rtl/>
        </w:rPr>
        <w:t xml:space="preserve"> وأن كلامه مسموع بالآذان وإن كان مخالفاً لسائر اللغات كما أنه مرئي بالأبصار وإن كان مخالفاً لأجناس المرئيات</w:t>
      </w:r>
      <w:r w:rsidR="000636C2">
        <w:rPr>
          <w:rFonts w:hint="cs"/>
          <w:rtl/>
        </w:rPr>
        <w:t xml:space="preserve">، </w:t>
      </w:r>
      <w:r w:rsidRPr="005675B2">
        <w:rPr>
          <w:rFonts w:hint="cs"/>
          <w:rtl/>
        </w:rPr>
        <w:t>وقال</w:t>
      </w:r>
      <w:r w:rsidR="000636C2">
        <w:rPr>
          <w:rFonts w:hint="cs"/>
          <w:rtl/>
        </w:rPr>
        <w:t>:</w:t>
      </w:r>
      <w:r w:rsidRPr="005675B2">
        <w:rPr>
          <w:rFonts w:hint="cs"/>
          <w:rtl/>
        </w:rPr>
        <w:t xml:space="preserve"> كلام الله تعالى صفة لذاته لم يزل ولا يزال موصوفاً به</w:t>
      </w:r>
      <w:r w:rsidR="000636C2">
        <w:rPr>
          <w:rFonts w:hint="cs"/>
          <w:rtl/>
        </w:rPr>
        <w:t>،</w:t>
      </w:r>
      <w:r w:rsidRPr="005675B2">
        <w:rPr>
          <w:rFonts w:hint="cs"/>
          <w:rtl/>
        </w:rPr>
        <w:t>وأنه قائم به ومختص بذاته</w:t>
      </w:r>
      <w:r w:rsidR="000636C2">
        <w:rPr>
          <w:rFonts w:hint="cs"/>
          <w:rtl/>
        </w:rPr>
        <w:t>،</w:t>
      </w:r>
      <w:r w:rsidRPr="005675B2">
        <w:rPr>
          <w:rFonts w:hint="cs"/>
          <w:rtl/>
        </w:rPr>
        <w:t>ولا يصح وجوده</w:t>
      </w:r>
      <w:r w:rsidR="000636C2">
        <w:rPr>
          <w:rFonts w:hint="cs"/>
          <w:rtl/>
        </w:rPr>
        <w:t xml:space="preserve"> </w:t>
      </w:r>
      <w:r w:rsidRPr="005675B2">
        <w:rPr>
          <w:rFonts w:hint="cs"/>
          <w:rtl/>
        </w:rPr>
        <w:t>بغيره وإن كان محفوظاً بالقلوب ومتلواً بالألسن ومكتوباً في المصاحف</w:t>
      </w:r>
      <w:r w:rsidR="000636C2">
        <w:rPr>
          <w:rFonts w:hint="cs"/>
          <w:rtl/>
        </w:rPr>
        <w:t>،</w:t>
      </w:r>
      <w:r w:rsidRPr="005675B2">
        <w:rPr>
          <w:rFonts w:hint="cs"/>
          <w:rtl/>
        </w:rPr>
        <w:t xml:space="preserve">ومقروءاً في المحاريب على </w:t>
      </w:r>
      <w:r w:rsidRPr="005675B2">
        <w:rPr>
          <w:rFonts w:hint="cs"/>
          <w:u w:val="single"/>
          <w:rtl/>
        </w:rPr>
        <w:t>الحقيقة لا على المجاز وغير</w:t>
      </w:r>
      <w:r w:rsidRPr="005675B2">
        <w:rPr>
          <w:rFonts w:hint="cs"/>
          <w:rtl/>
        </w:rPr>
        <w:t xml:space="preserve"> حال في شيء من ذلك وأنه لو حل في غيره لكان ذلك الغير متكلماً به وآمراً ومخبراً (</w:t>
      </w:r>
      <w:r w:rsidR="000636C2">
        <w:rPr>
          <w:rFonts w:hint="cs"/>
          <w:rtl/>
        </w:rPr>
        <w:t>(</w:t>
      </w:r>
      <w:r w:rsidRPr="005675B2">
        <w:rPr>
          <w:rFonts w:hint="cs"/>
          <w:rtl/>
        </w:rPr>
        <w:t>إنني أنا الله لا إله إلا أنا فاعبدني</w:t>
      </w:r>
      <w:r w:rsidR="000636C2">
        <w:rPr>
          <w:rFonts w:hint="cs"/>
          <w:rtl/>
        </w:rPr>
        <w:t>)</w:t>
      </w:r>
      <w:r w:rsidRPr="005675B2">
        <w:rPr>
          <w:rFonts w:hint="cs"/>
          <w:rtl/>
        </w:rPr>
        <w:t>)وذلك خلاف دين المسلمين</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الإنصاف 38</w:t>
      </w:r>
      <w:r w:rsidRPr="005675B2">
        <w:rPr>
          <w:rFonts w:hint="cs"/>
          <w:rtl/>
        </w:rPr>
        <w:t>]</w:t>
      </w:r>
      <w:r w:rsidR="000636C2">
        <w:rPr>
          <w:rFonts w:hint="cs"/>
          <w:rtl/>
        </w:rPr>
        <w:t>،</w:t>
      </w:r>
      <w:r w:rsidRPr="005675B2">
        <w:rPr>
          <w:rFonts w:hint="cs"/>
          <w:rtl/>
        </w:rPr>
        <w:t xml:space="preserve"> وهذا نقيض كلام ابن بطة ونحا نحوه حيث قال من عنده وضعاً في الحديث</w:t>
      </w:r>
      <w:r w:rsidR="000636C2">
        <w:rPr>
          <w:rFonts w:hint="cs"/>
          <w:rtl/>
        </w:rPr>
        <w:t>: [</w:t>
      </w:r>
      <w:r w:rsidRPr="005675B2">
        <w:rPr>
          <w:rFonts w:hint="cs"/>
          <w:rtl/>
        </w:rPr>
        <w:t>فقال</w:t>
      </w:r>
      <w:r w:rsidR="000636C2">
        <w:rPr>
          <w:rFonts w:hint="cs"/>
          <w:rtl/>
        </w:rPr>
        <w:t>:</w:t>
      </w:r>
      <w:r w:rsidRPr="005675B2">
        <w:rPr>
          <w:rFonts w:hint="cs"/>
          <w:rtl/>
        </w:rPr>
        <w:t xml:space="preserve"> من ذا العبراني الذي يكلمني من الشجرة</w:t>
      </w:r>
      <w:r w:rsidR="000636C2">
        <w:rPr>
          <w:rFonts w:hint="cs"/>
          <w:rtl/>
        </w:rPr>
        <w:t>؟،</w:t>
      </w:r>
      <w:r w:rsidRPr="005675B2">
        <w:rPr>
          <w:rFonts w:hint="cs"/>
          <w:rtl/>
        </w:rPr>
        <w:t xml:space="preserve"> قال</w:t>
      </w:r>
      <w:r w:rsidR="000636C2">
        <w:rPr>
          <w:rFonts w:hint="cs"/>
          <w:rtl/>
        </w:rPr>
        <w:t>:</w:t>
      </w:r>
      <w:r w:rsidRPr="005675B2">
        <w:rPr>
          <w:rFonts w:hint="cs"/>
          <w:rtl/>
        </w:rPr>
        <w:t xml:space="preserve"> أنا الله</w:t>
      </w:r>
      <w:r w:rsidR="000636C2">
        <w:rPr>
          <w:rFonts w:hint="cs"/>
          <w:rtl/>
        </w:rPr>
        <w:t>]،</w:t>
      </w:r>
      <w:r w:rsidRPr="005675B2">
        <w:rPr>
          <w:rFonts w:hint="cs"/>
          <w:rtl/>
        </w:rPr>
        <w:t xml:space="preserve"> وعلق ابن حجر بقوله</w:t>
      </w:r>
      <w:r w:rsidR="000636C2">
        <w:rPr>
          <w:rFonts w:hint="cs"/>
          <w:rtl/>
        </w:rPr>
        <w:t>:</w:t>
      </w:r>
      <w:r w:rsidRPr="005675B2">
        <w:rPr>
          <w:rFonts w:hint="cs"/>
          <w:rtl/>
        </w:rPr>
        <w:t xml:space="preserve"> </w:t>
      </w:r>
      <w:r w:rsidR="000636C2">
        <w:rPr>
          <w:rFonts w:hint="cs"/>
          <w:rtl/>
        </w:rPr>
        <w:t>[</w:t>
      </w:r>
      <w:r w:rsidRPr="005675B2">
        <w:rPr>
          <w:rFonts w:hint="cs"/>
          <w:rtl/>
        </w:rPr>
        <w:t>وما أدري ما أقول في ابن بطة بعد هذا</w:t>
      </w:r>
      <w:r w:rsidR="000636C2">
        <w:rPr>
          <w:rFonts w:hint="cs"/>
          <w:rtl/>
        </w:rPr>
        <w:t>؟!</w:t>
      </w:r>
      <w:r w:rsidRPr="005675B2">
        <w:rPr>
          <w:rFonts w:hint="cs"/>
          <w:rtl/>
        </w:rPr>
        <w:t xml:space="preserve"> .. والله أعلم بغيبه</w:t>
      </w:r>
      <w:r w:rsidR="000636C2">
        <w:rPr>
          <w:rFonts w:hint="cs"/>
          <w:rtl/>
        </w:rPr>
        <w:t>]،</w:t>
      </w:r>
      <w:r w:rsidRPr="005675B2">
        <w:rPr>
          <w:rFonts w:hint="cs"/>
          <w:rtl/>
        </w:rPr>
        <w:t xml:space="preserve"> كما في لسان الميزان في ترجمة ابن بطة</w:t>
      </w:r>
      <w:r w:rsidR="000636C2">
        <w:rPr>
          <w:rFonts w:hint="cs"/>
          <w:rtl/>
        </w:rPr>
        <w:t>،</w:t>
      </w:r>
    </w:p>
    <w:p w14:paraId="5A7A842F" w14:textId="2FEB5714"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كلام المخلوقين</w:t>
      </w:r>
      <w:r w:rsidR="000636C2">
        <w:rPr>
          <w:rFonts w:hint="cs"/>
          <w:rtl/>
        </w:rPr>
        <w:t xml:space="preserve"> </w:t>
      </w:r>
      <w:r w:rsidRPr="005675B2">
        <w:rPr>
          <w:rFonts w:hint="cs"/>
          <w:rtl/>
        </w:rPr>
        <w:t>في لغاتهم محصور فالعربية مثلاً تحد بثمانية وعشرين حرفاً،وهكذا غيرها من لغات المخلوقين</w:t>
      </w:r>
      <w:r w:rsidR="000636C2">
        <w:rPr>
          <w:rFonts w:hint="cs"/>
          <w:rtl/>
        </w:rPr>
        <w:t>،</w:t>
      </w:r>
      <w:r w:rsidRPr="005675B2">
        <w:rPr>
          <w:rFonts w:hint="cs"/>
          <w:rtl/>
        </w:rPr>
        <w:t xml:space="preserve"> وكلام الخالق لا يشبه المخلوق فكلمات الله لا تنفد قال تعالى (</w:t>
      </w:r>
      <w:r w:rsidR="000636C2">
        <w:rPr>
          <w:rFonts w:hint="cs"/>
          <w:rtl/>
        </w:rPr>
        <w:t>(</w:t>
      </w:r>
      <w:r w:rsidRPr="005675B2">
        <w:rPr>
          <w:rFonts w:hint="cs"/>
          <w:rtl/>
        </w:rPr>
        <w:t>قل لو كان البحر مداداً لكلمات ربي لنفد البحر قبل أن تنفد كلمات ربي ولو جئنا بمثله مددا</w:t>
      </w:r>
      <w:r w:rsidR="000636C2">
        <w:rPr>
          <w:rFonts w:hint="cs"/>
          <w:rtl/>
        </w:rPr>
        <w:t>)</w:t>
      </w:r>
      <w:r w:rsidRPr="005675B2">
        <w:rPr>
          <w:rFonts w:hint="cs"/>
          <w:rtl/>
        </w:rPr>
        <w:t>)</w:t>
      </w:r>
    </w:p>
    <w:p w14:paraId="292DF444" w14:textId="48794294"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كلام</w:t>
      </w:r>
      <w:r w:rsidR="000636C2">
        <w:rPr>
          <w:rFonts w:hint="cs"/>
          <w:rtl/>
        </w:rPr>
        <w:t xml:space="preserve"> </w:t>
      </w:r>
      <w:r w:rsidRPr="005675B2">
        <w:rPr>
          <w:rFonts w:hint="cs"/>
          <w:rtl/>
        </w:rPr>
        <w:t>المخلوق يتعاقب شيئا بعد شيء كما ترى فيما أكتب</w:t>
      </w:r>
      <w:r w:rsidR="000636C2">
        <w:rPr>
          <w:rFonts w:hint="cs"/>
          <w:rtl/>
        </w:rPr>
        <w:t xml:space="preserve"> </w:t>
      </w:r>
      <w:r w:rsidRPr="005675B2">
        <w:rPr>
          <w:rFonts w:hint="cs"/>
          <w:rtl/>
        </w:rPr>
        <w:t>هنا، فالألف بعد التاء وكلام الخالق لا يشبه كلام المخلوق فلا يتعاقب</w:t>
      </w:r>
      <w:r w:rsidR="000636C2">
        <w:rPr>
          <w:rFonts w:hint="cs"/>
          <w:rtl/>
        </w:rPr>
        <w:t>،</w:t>
      </w:r>
      <w:r w:rsidRPr="005675B2">
        <w:rPr>
          <w:rFonts w:hint="cs"/>
          <w:rtl/>
        </w:rPr>
        <w:t xml:space="preserve"> لأن كلام الله صفة من صفاته</w:t>
      </w:r>
      <w:r w:rsidR="000636C2">
        <w:rPr>
          <w:rFonts w:hint="cs"/>
          <w:rtl/>
        </w:rPr>
        <w:t xml:space="preserve"> </w:t>
      </w:r>
      <w:r w:rsidRPr="005675B2">
        <w:rPr>
          <w:rFonts w:hint="cs"/>
          <w:rtl/>
        </w:rPr>
        <w:t>لا تقاس بصفة كلام المخلوق</w:t>
      </w:r>
      <w:r w:rsidR="000636C2">
        <w:rPr>
          <w:rFonts w:hint="cs"/>
          <w:rtl/>
        </w:rPr>
        <w:t>،</w:t>
      </w:r>
    </w:p>
    <w:p w14:paraId="63008B79" w14:textId="568E3531"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فالإنسان مخلوق وكلامه مخلوق</w:t>
      </w:r>
      <w:r w:rsidR="000636C2">
        <w:rPr>
          <w:rFonts w:hint="cs"/>
          <w:rtl/>
        </w:rPr>
        <w:t>،</w:t>
      </w:r>
      <w:r w:rsidRPr="005675B2">
        <w:rPr>
          <w:rFonts w:hint="cs"/>
          <w:rtl/>
        </w:rPr>
        <w:t xml:space="preserve"> والله تعالى</w:t>
      </w:r>
      <w:r w:rsidR="000636C2">
        <w:rPr>
          <w:rFonts w:hint="cs"/>
          <w:rtl/>
        </w:rPr>
        <w:t xml:space="preserve"> </w:t>
      </w:r>
      <w:r w:rsidRPr="005675B2">
        <w:rPr>
          <w:rFonts w:hint="cs"/>
          <w:rtl/>
        </w:rPr>
        <w:t>خالق وكلامه ليس بمخلوق</w:t>
      </w:r>
      <w:r w:rsidR="000636C2">
        <w:rPr>
          <w:rFonts w:hint="cs"/>
          <w:rtl/>
        </w:rPr>
        <w:t>،</w:t>
      </w:r>
      <w:r w:rsidRPr="005675B2">
        <w:rPr>
          <w:rFonts w:hint="cs"/>
          <w:rtl/>
        </w:rPr>
        <w:t xml:space="preserve"> فبعد أن تبين لنا هذا فهل يجوز أن يقال أن القرآن الكريم مخلوق</w:t>
      </w:r>
      <w:r w:rsidR="000636C2">
        <w:rPr>
          <w:rFonts w:hint="cs"/>
          <w:rtl/>
        </w:rPr>
        <w:t xml:space="preserve">؟ </w:t>
      </w:r>
      <w:r w:rsidRPr="005675B2">
        <w:rPr>
          <w:rFonts w:hint="cs"/>
          <w:rtl/>
        </w:rPr>
        <w:t>الأشاعرة رحمهم الله يحرمون ذلك لأن فيه إيهام لكون صفة الله مخلوقة</w:t>
      </w:r>
      <w:r w:rsidR="000636C2">
        <w:rPr>
          <w:rFonts w:hint="cs"/>
          <w:rtl/>
        </w:rPr>
        <w:t>،</w:t>
      </w:r>
      <w:r w:rsidRPr="005675B2">
        <w:rPr>
          <w:rFonts w:hint="cs"/>
          <w:rtl/>
        </w:rPr>
        <w:t xml:space="preserve"> ومن تأمل في حال الإمام أحمد مع المعتزلة علم أن المعتزلة</w:t>
      </w:r>
      <w:r w:rsidR="000636C2">
        <w:rPr>
          <w:rFonts w:hint="cs"/>
          <w:rtl/>
        </w:rPr>
        <w:t xml:space="preserve"> </w:t>
      </w:r>
      <w:r w:rsidRPr="005675B2">
        <w:rPr>
          <w:rFonts w:hint="cs"/>
          <w:rtl/>
        </w:rPr>
        <w:t>أصلاً</w:t>
      </w:r>
      <w:r w:rsidR="000636C2">
        <w:rPr>
          <w:rFonts w:hint="cs"/>
          <w:rtl/>
        </w:rPr>
        <w:t xml:space="preserve"> </w:t>
      </w:r>
      <w:r w:rsidRPr="005675B2">
        <w:rPr>
          <w:rFonts w:hint="cs"/>
          <w:rtl/>
        </w:rPr>
        <w:t>لا يثبتون الصفة قالت المعتزلة</w:t>
      </w:r>
      <w:r w:rsidR="000636C2">
        <w:rPr>
          <w:rFonts w:hint="cs"/>
          <w:rtl/>
        </w:rPr>
        <w:t>:</w:t>
      </w:r>
      <w:r w:rsidRPr="005675B2">
        <w:rPr>
          <w:rFonts w:hint="cs"/>
          <w:rtl/>
        </w:rPr>
        <w:t>تكلم</w:t>
      </w:r>
      <w:r w:rsidR="000636C2">
        <w:rPr>
          <w:rFonts w:hint="cs"/>
          <w:rtl/>
        </w:rPr>
        <w:t xml:space="preserve"> </w:t>
      </w:r>
      <w:r w:rsidRPr="005675B2">
        <w:rPr>
          <w:rFonts w:hint="cs"/>
          <w:rtl/>
        </w:rPr>
        <w:t>بمعنى أنه محدث</w:t>
      </w:r>
      <w:r w:rsidR="000636C2">
        <w:rPr>
          <w:rFonts w:hint="cs"/>
          <w:rtl/>
        </w:rPr>
        <w:t xml:space="preserve"> </w:t>
      </w:r>
      <w:r w:rsidRPr="005675B2">
        <w:rPr>
          <w:rFonts w:hint="cs"/>
          <w:rtl/>
        </w:rPr>
        <w:t>مخلوق واستدلوا بقوله تعالى (</w:t>
      </w:r>
      <w:r w:rsidR="000636C2">
        <w:rPr>
          <w:rFonts w:hint="cs"/>
          <w:rtl/>
        </w:rPr>
        <w:t>(</w:t>
      </w:r>
      <w:r w:rsidRPr="005675B2">
        <w:rPr>
          <w:rFonts w:hint="cs"/>
          <w:rtl/>
        </w:rPr>
        <w:t>ما يأتيهم من ذكر من ربهم محدث إلا استمعوه وهم يلعبون</w:t>
      </w:r>
      <w:r w:rsidR="000636C2">
        <w:rPr>
          <w:rFonts w:hint="cs"/>
          <w:rtl/>
        </w:rPr>
        <w:t>)</w:t>
      </w:r>
      <w:r w:rsidRPr="005675B2">
        <w:rPr>
          <w:rFonts w:hint="cs"/>
          <w:rtl/>
        </w:rPr>
        <w:t>)فرد عليهم الإمام أحمد وقال المحدث</w:t>
      </w:r>
      <w:r w:rsidR="000636C2">
        <w:rPr>
          <w:rFonts w:hint="cs"/>
          <w:rtl/>
        </w:rPr>
        <w:t xml:space="preserve"> </w:t>
      </w:r>
      <w:r w:rsidRPr="005675B2">
        <w:rPr>
          <w:rFonts w:hint="cs"/>
          <w:rtl/>
        </w:rPr>
        <w:t>نزوله لا صفته ففرق الإمام بينهما</w:t>
      </w:r>
      <w:r w:rsidR="000636C2">
        <w:rPr>
          <w:rFonts w:hint="cs"/>
          <w:rtl/>
        </w:rPr>
        <w:t>،</w:t>
      </w:r>
      <w:r w:rsidRPr="005675B2">
        <w:rPr>
          <w:rFonts w:hint="cs"/>
          <w:rtl/>
        </w:rPr>
        <w:t xml:space="preserve"> ولذا قال الأشاعرة من قال</w:t>
      </w:r>
      <w:r w:rsidR="000636C2">
        <w:rPr>
          <w:rFonts w:hint="cs"/>
          <w:rtl/>
        </w:rPr>
        <w:t xml:space="preserve"> </w:t>
      </w:r>
      <w:r w:rsidRPr="005675B2">
        <w:rPr>
          <w:rFonts w:hint="cs"/>
          <w:rtl/>
        </w:rPr>
        <w:t>أن</w:t>
      </w:r>
      <w:r w:rsidR="000636C2">
        <w:rPr>
          <w:rFonts w:hint="cs"/>
          <w:rtl/>
        </w:rPr>
        <w:t xml:space="preserve"> </w:t>
      </w:r>
      <w:r w:rsidRPr="005675B2">
        <w:rPr>
          <w:rFonts w:hint="cs"/>
          <w:rtl/>
        </w:rPr>
        <w:t>لفظي بالقرآن مخلوق</w:t>
      </w:r>
      <w:r w:rsidR="000636C2">
        <w:rPr>
          <w:rFonts w:hint="cs"/>
          <w:rtl/>
        </w:rPr>
        <w:t>،</w:t>
      </w:r>
      <w:r w:rsidRPr="005675B2">
        <w:rPr>
          <w:rFonts w:hint="cs"/>
          <w:rtl/>
        </w:rPr>
        <w:t xml:space="preserve"> فمبتدع</w:t>
      </w:r>
      <w:r w:rsidR="000636C2">
        <w:rPr>
          <w:rFonts w:hint="cs"/>
          <w:rtl/>
        </w:rPr>
        <w:t xml:space="preserve"> </w:t>
      </w:r>
      <w:r w:rsidRPr="005675B2">
        <w:rPr>
          <w:rFonts w:hint="cs"/>
          <w:rtl/>
        </w:rPr>
        <w:t>وإن أراد الصفة فهو كافر</w:t>
      </w:r>
      <w:r w:rsidR="000636C2">
        <w:rPr>
          <w:rFonts w:hint="cs"/>
          <w:rtl/>
        </w:rPr>
        <w:t xml:space="preserve">، </w:t>
      </w:r>
      <w:r w:rsidRPr="005675B2">
        <w:rPr>
          <w:rFonts w:hint="cs"/>
          <w:rtl/>
        </w:rPr>
        <w:t>قال الإمام احمد</w:t>
      </w:r>
      <w:r w:rsidR="000636C2">
        <w:rPr>
          <w:rFonts w:hint="cs"/>
          <w:rtl/>
        </w:rPr>
        <w:t>:</w:t>
      </w:r>
      <w:r w:rsidRPr="005675B2">
        <w:rPr>
          <w:rFonts w:hint="cs"/>
          <w:rtl/>
        </w:rPr>
        <w:t xml:space="preserve"> القرآن كلام الله وليس بمخلوق ولا تضعف أن تقول ليس بمخلوق فإن كلامه تعالى منه وليس ببائن منه </w:t>
      </w:r>
      <w:r w:rsidR="000636C2">
        <w:rPr>
          <w:rFonts w:hint="cs"/>
          <w:rtl/>
        </w:rPr>
        <w:t>(</w:t>
      </w:r>
      <w:r w:rsidRPr="005675B2">
        <w:rPr>
          <w:rFonts w:hint="cs"/>
          <w:rtl/>
        </w:rPr>
        <w:t>أي غير منفصل</w:t>
      </w:r>
      <w:r w:rsidR="000636C2">
        <w:rPr>
          <w:rFonts w:hint="cs"/>
          <w:rtl/>
        </w:rPr>
        <w:t>)</w:t>
      </w:r>
      <w:r w:rsidRPr="005675B2">
        <w:rPr>
          <w:rFonts w:hint="cs"/>
          <w:rtl/>
        </w:rPr>
        <w:t xml:space="preserve"> وليس منه شيء مخلوق</w:t>
      </w:r>
      <w:r w:rsidR="000636C2">
        <w:rPr>
          <w:rFonts w:hint="cs"/>
          <w:rtl/>
        </w:rPr>
        <w:t>،</w:t>
      </w:r>
      <w:r w:rsidRPr="005675B2">
        <w:rPr>
          <w:rFonts w:hint="cs"/>
          <w:rtl/>
        </w:rPr>
        <w:t xml:space="preserve"> أ - ه </w:t>
      </w:r>
      <w:r w:rsidR="000636C2">
        <w:rPr>
          <w:rFonts w:hint="cs"/>
          <w:rtl/>
        </w:rPr>
        <w:t>[</w:t>
      </w:r>
      <w:r w:rsidRPr="005675B2">
        <w:rPr>
          <w:rFonts w:hint="cs"/>
          <w:bCs/>
          <w:sz w:val="24"/>
          <w:szCs w:val="24"/>
          <w:rtl/>
        </w:rPr>
        <w:t>الللالكائي ص149 ت نشأت كمال الدين]</w:t>
      </w:r>
      <w:r w:rsidR="000636C2">
        <w:rPr>
          <w:rFonts w:hint="cs"/>
          <w:rtl/>
        </w:rPr>
        <w:t>،</w:t>
      </w:r>
      <w:r w:rsidRPr="005675B2">
        <w:rPr>
          <w:rFonts w:hint="cs"/>
          <w:rtl/>
        </w:rPr>
        <w:t xml:space="preserve"> </w:t>
      </w:r>
    </w:p>
    <w:p w14:paraId="26F398B2" w14:textId="79392AA8" w:rsidR="009C32A0" w:rsidRPr="005675B2" w:rsidRDefault="009C32A0" w:rsidP="000636C2">
      <w:pPr>
        <w:rPr>
          <w:b/>
          <w:rtl/>
        </w:rPr>
      </w:pPr>
      <w:r w:rsidRPr="005675B2">
        <w:rPr>
          <w:rFonts w:hint="cs"/>
          <w:rtl/>
        </w:rPr>
        <w:t>رأي الشيخ الحوالي</w:t>
      </w:r>
      <w:r w:rsidR="000636C2">
        <w:rPr>
          <w:rFonts w:hint="cs"/>
          <w:rtl/>
        </w:rPr>
        <w:t xml:space="preserve"> </w:t>
      </w:r>
      <w:r w:rsidRPr="005675B2">
        <w:rPr>
          <w:rFonts w:hint="cs"/>
          <w:rtl/>
        </w:rPr>
        <w:t>في كلام الله تعالى</w:t>
      </w:r>
      <w:r w:rsidR="000636C2">
        <w:rPr>
          <w:rFonts w:hint="cs"/>
          <w:rtl/>
        </w:rPr>
        <w:t>:</w:t>
      </w:r>
      <w:r w:rsidRPr="005675B2">
        <w:rPr>
          <w:rFonts w:hint="cs"/>
          <w:rtl/>
        </w:rPr>
        <w:t>عقيدة الكاتب كما في شرحه على الطحاوية وهو ينسبه لأهل السنة والجماعة ظناً منه أن الأمر كذلك</w:t>
      </w:r>
      <w:r w:rsidR="000636C2">
        <w:rPr>
          <w:rFonts w:hint="cs"/>
          <w:rtl/>
        </w:rPr>
        <w:t>:</w:t>
      </w:r>
      <w:r w:rsidRPr="005675B2">
        <w:rPr>
          <w:rFonts w:hint="cs"/>
          <w:rtl/>
        </w:rPr>
        <w:t xml:space="preserve"> أن كلام الله تعالى قديم النوع حادث الآحاد أي متعاقبة شيئاً بعد شيء</w:t>
      </w:r>
      <w:r w:rsidR="000636C2">
        <w:rPr>
          <w:rFonts w:hint="cs"/>
          <w:rtl/>
        </w:rPr>
        <w:t>،</w:t>
      </w:r>
      <w:r w:rsidRPr="005675B2">
        <w:rPr>
          <w:rFonts w:hint="cs"/>
          <w:rtl/>
        </w:rPr>
        <w:t xml:space="preserve"> </w:t>
      </w:r>
      <w:bookmarkStart w:id="65" w:name="firak2000006"/>
      <w:r w:rsidRPr="005675B2">
        <w:rPr>
          <w:rFonts w:hint="cs"/>
          <w:u w:val="single"/>
          <w:rtl/>
        </w:rPr>
        <w:t>يقول الحوالي هداه الله</w:t>
      </w:r>
      <w:r w:rsidR="000636C2">
        <w:rPr>
          <w:rFonts w:hint="cs"/>
          <w:u w:val="single"/>
          <w:rtl/>
        </w:rPr>
        <w:t>:</w:t>
      </w:r>
      <w:r w:rsidRPr="005675B2">
        <w:rPr>
          <w:rFonts w:hint="cs"/>
          <w:rtl/>
        </w:rPr>
        <w:t xml:space="preserve"> مذهب أهْل السُّنّةِ وَالْجَمَاعَةِ أنه</w:t>
      </w:r>
      <w:r w:rsidR="000636C2">
        <w:rPr>
          <w:rFonts w:hint="cs"/>
          <w:rtl/>
        </w:rPr>
        <w:t xml:space="preserve"> </w:t>
      </w:r>
      <w:r w:rsidRPr="005675B2">
        <w:rPr>
          <w:rFonts w:hint="cs"/>
          <w:rtl/>
        </w:rPr>
        <w:t xml:space="preserve">- سُبْحَانَهُ وَتَعَالَى - يتكلم كما يشاء في أي وقت شاء، وكذلك في الأزل فيما لا أول له، فالنوع قديم، </w:t>
      </w:r>
      <w:r w:rsidRPr="005675B2">
        <w:rPr>
          <w:rFonts w:hint="cs"/>
          <w:u w:val="single"/>
          <w:rtl/>
        </w:rPr>
        <w:t>وأما آحاد أو أعيان الكلام فإنها متجددة</w:t>
      </w:r>
      <w:r w:rsidRPr="005675B2">
        <w:rPr>
          <w:rFonts w:hint="cs"/>
          <w:rtl/>
        </w:rPr>
        <w:t xml:space="preserve"> </w:t>
      </w:r>
      <w:bookmarkEnd w:id="65"/>
      <w:r w:rsidRPr="005675B2">
        <w:rPr>
          <w:rFonts w:hint="cs"/>
          <w:rtl/>
        </w:rPr>
        <w:t>فـ</w:t>
      </w:r>
      <w:r w:rsidRPr="005675B2">
        <w:rPr>
          <w:rFonts w:hint="cs"/>
          <w:bCs/>
          <w:rtl/>
        </w:rPr>
        <w:t>أهل السنة</w:t>
      </w:r>
      <w:r w:rsidR="000636C2">
        <w:rPr>
          <w:rtl/>
        </w:rPr>
        <w:t>!</w:t>
      </w:r>
      <w:r w:rsidRPr="005675B2">
        <w:rPr>
          <w:rFonts w:hint="cs"/>
          <w:rtl/>
        </w:rPr>
        <w:t>! يعتقدون أنه تعالى متصف بصفات الكمال أزلاً، وهو الأول والآخر، فهو يتكلم، ونوع الكلام قديم ليس له أول</w:t>
      </w:r>
      <w:r w:rsidRPr="005675B2">
        <w:rPr>
          <w:rFonts w:hint="cs"/>
          <w:u w:val="single"/>
          <w:rtl/>
        </w:rPr>
        <w:t>، أما آحاده</w:t>
      </w:r>
      <w:r w:rsidR="000636C2">
        <w:rPr>
          <w:rFonts w:hint="cs"/>
          <w:u w:val="single"/>
          <w:rtl/>
        </w:rPr>
        <w:t xml:space="preserve"> </w:t>
      </w:r>
      <w:r w:rsidRPr="005675B2">
        <w:rPr>
          <w:rFonts w:hint="cs"/>
          <w:u w:val="single"/>
          <w:rtl/>
        </w:rPr>
        <w:t>فلا</w:t>
      </w:r>
      <w:r w:rsidR="000636C2">
        <w:rPr>
          <w:rFonts w:hint="cs"/>
          <w:rtl/>
        </w:rPr>
        <w:t>،</w:t>
      </w:r>
      <w:r w:rsidRPr="005675B2">
        <w:rPr>
          <w:rFonts w:hint="cs"/>
          <w:rtl/>
        </w:rPr>
        <w:t xml:space="preserve"> أهـ</w:t>
      </w:r>
      <w:r w:rsidR="000636C2">
        <w:rPr>
          <w:rFonts w:hint="cs"/>
          <w:rtl/>
        </w:rPr>
        <w:t xml:space="preserve"> </w:t>
      </w:r>
      <w:r w:rsidRPr="005675B2">
        <w:rPr>
          <w:rFonts w:hint="cs"/>
          <w:rtl/>
        </w:rPr>
        <w:t>من شرحه على الطحاوية فاعتقاد الشيخ الحوالي في صفة الكلام ليس هو عقيدة أهل السنة والجماعة سلفاً وخلفاً، فليس عقيدة أحمد بن حنبل رضي الله عنه ولا غيره</w:t>
      </w:r>
      <w:r w:rsidR="000636C2">
        <w:rPr>
          <w:rFonts w:hint="cs"/>
          <w:rtl/>
        </w:rPr>
        <w:t>،</w:t>
      </w:r>
      <w:r w:rsidRPr="005675B2">
        <w:rPr>
          <w:rFonts w:hint="cs"/>
          <w:rtl/>
        </w:rPr>
        <w:t>فالسلف يبدعون ويكفرون من يقول أن الكلام مخلوق أو حادث</w:t>
      </w:r>
      <w:r w:rsidR="000636C2">
        <w:rPr>
          <w:rFonts w:hint="cs"/>
          <w:rtl/>
        </w:rPr>
        <w:t>،</w:t>
      </w:r>
      <w:r w:rsidRPr="005675B2">
        <w:rPr>
          <w:rFonts w:hint="cs"/>
          <w:rtl/>
        </w:rPr>
        <w:t>أو متجدد كما عبر الكاتب بل الكلام عندهم صفة أزلية</w:t>
      </w:r>
      <w:r w:rsidR="000636C2">
        <w:rPr>
          <w:rFonts w:hint="cs"/>
          <w:rtl/>
        </w:rPr>
        <w:t>،</w:t>
      </w:r>
    </w:p>
    <w:p w14:paraId="6A35A22E" w14:textId="6925B4A3" w:rsidR="009C32A0" w:rsidRPr="005675B2" w:rsidRDefault="009C32A0" w:rsidP="000636C2">
      <w:pPr>
        <w:rPr>
          <w:b/>
          <w:rtl/>
        </w:rPr>
      </w:pPr>
      <w:r w:rsidRPr="005675B2">
        <w:rPr>
          <w:rFonts w:hint="cs"/>
          <w:rtl/>
        </w:rPr>
        <w:t>وإليكم النقول في ذلك عن السلف</w:t>
      </w:r>
      <w:r w:rsidR="000636C2">
        <w:rPr>
          <w:rFonts w:hint="cs"/>
          <w:rtl/>
        </w:rPr>
        <w:t xml:space="preserve">: </w:t>
      </w:r>
      <w:r w:rsidRPr="005675B2">
        <w:rPr>
          <w:rFonts w:hint="cs"/>
          <w:rtl/>
        </w:rPr>
        <w:t>1</w:t>
      </w:r>
      <w:r w:rsidR="000636C2">
        <w:rPr>
          <w:rFonts w:hint="cs"/>
          <w:rtl/>
        </w:rPr>
        <w:t xml:space="preserve"> </w:t>
      </w:r>
      <w:r w:rsidRPr="005675B2">
        <w:rPr>
          <w:rFonts w:hint="cs"/>
          <w:rtl/>
        </w:rPr>
        <w:t>- في العلو للحافظ الذهبي</w:t>
      </w:r>
      <w:r w:rsidRPr="005675B2">
        <w:rPr>
          <w:rFonts w:hint="cs"/>
        </w:rPr>
        <w:t xml:space="preserve"> </w:t>
      </w:r>
      <w:r w:rsidRPr="005675B2">
        <w:rPr>
          <w:rFonts w:hint="cs"/>
          <w:rtl/>
        </w:rPr>
        <w:t>أن فضيل بن عياض كان يقول</w:t>
      </w:r>
      <w:r w:rsidR="000636C2">
        <w:rPr>
          <w:rFonts w:hint="cs"/>
          <w:rtl/>
        </w:rPr>
        <w:t>:</w:t>
      </w:r>
      <w:r w:rsidRPr="005675B2">
        <w:rPr>
          <w:rFonts w:hint="cs"/>
          <w:rtl/>
        </w:rPr>
        <w:t xml:space="preserve"> من زعم أن القرآن محدث فقد كفر ومن زعم أنه ليس من علم</w:t>
      </w:r>
      <w:r w:rsidRPr="005675B2">
        <w:rPr>
          <w:rFonts w:hint="cs"/>
        </w:rPr>
        <w:t xml:space="preserve"> </w:t>
      </w:r>
      <w:r w:rsidRPr="005675B2">
        <w:rPr>
          <w:rFonts w:hint="cs"/>
          <w:rtl/>
        </w:rPr>
        <w:t>الله فهو زنديق</w:t>
      </w:r>
      <w:r w:rsidR="000636C2">
        <w:rPr>
          <w:rFonts w:hint="cs"/>
          <w:rtl/>
        </w:rPr>
        <w:t>،</w:t>
      </w:r>
    </w:p>
    <w:p w14:paraId="269B9D6C" w14:textId="1D39AECC"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أملى أبو بكر أحمد بن إسحاق الفقيه اعتقاده واعتقاد</w:t>
      </w:r>
      <w:r w:rsidRPr="005675B2">
        <w:rPr>
          <w:rFonts w:hint="cs"/>
        </w:rPr>
        <w:t xml:space="preserve"> </w:t>
      </w:r>
      <w:r w:rsidRPr="005675B2">
        <w:rPr>
          <w:rFonts w:hint="cs"/>
          <w:rtl/>
        </w:rPr>
        <w:t>رفقائه على أبي بكر بن أبي عثمان</w:t>
      </w:r>
      <w:r w:rsidR="000636C2">
        <w:rPr>
          <w:rFonts w:hint="cs"/>
          <w:rtl/>
        </w:rPr>
        <w:t>،</w:t>
      </w:r>
      <w:r w:rsidRPr="005675B2">
        <w:rPr>
          <w:rFonts w:hint="cs"/>
          <w:rtl/>
        </w:rPr>
        <w:t xml:space="preserve"> وعرضه على محمد بن إسحاق الفقيه بن خزيمة</w:t>
      </w:r>
      <w:r w:rsidRPr="005675B2">
        <w:rPr>
          <w:rFonts w:hint="cs"/>
        </w:rPr>
        <w:t xml:space="preserve"> </w:t>
      </w:r>
      <w:r w:rsidRPr="005675B2">
        <w:rPr>
          <w:rFonts w:hint="cs"/>
          <w:rtl/>
        </w:rPr>
        <w:t>فاستصوبه محمد بن إسحاق وارتضاه</w:t>
      </w:r>
      <w:r w:rsidR="000636C2">
        <w:rPr>
          <w:rFonts w:hint="cs"/>
          <w:rtl/>
        </w:rPr>
        <w:t>،</w:t>
      </w:r>
      <w:r w:rsidRPr="005675B2">
        <w:rPr>
          <w:rFonts w:hint="cs"/>
          <w:rtl/>
        </w:rPr>
        <w:t xml:space="preserve"> وكان فيما أملى من اعتقادهم</w:t>
      </w:r>
      <w:r w:rsidR="000636C2">
        <w:rPr>
          <w:rFonts w:hint="cs"/>
          <w:rtl/>
        </w:rPr>
        <w:t>:</w:t>
      </w:r>
      <w:r w:rsidRPr="005675B2">
        <w:rPr>
          <w:rFonts w:hint="cs"/>
          <w:rtl/>
        </w:rPr>
        <w:t xml:space="preserve"> فكلام الله عز وجل</w:t>
      </w:r>
      <w:r w:rsidRPr="005675B2">
        <w:rPr>
          <w:rFonts w:hint="cs"/>
        </w:rPr>
        <w:t xml:space="preserve"> </w:t>
      </w:r>
      <w:r w:rsidRPr="005675B2">
        <w:rPr>
          <w:rFonts w:hint="cs"/>
          <w:rtl/>
        </w:rPr>
        <w:t>غير بائن عن الله ليس هو دونه ولا غيره ولا هو هو</w:t>
      </w:r>
      <w:r w:rsidR="000636C2">
        <w:rPr>
          <w:rFonts w:hint="cs"/>
          <w:rtl/>
        </w:rPr>
        <w:t>،</w:t>
      </w:r>
      <w:r w:rsidRPr="005675B2">
        <w:rPr>
          <w:rFonts w:hint="cs"/>
          <w:rtl/>
        </w:rPr>
        <w:t xml:space="preserve"> بل هو صفة من صفات ذاته كعلمه</w:t>
      </w:r>
      <w:r w:rsidRPr="005675B2">
        <w:rPr>
          <w:rFonts w:hint="cs"/>
        </w:rPr>
        <w:t xml:space="preserve"> </w:t>
      </w:r>
      <w:r w:rsidRPr="005675B2">
        <w:rPr>
          <w:rFonts w:hint="cs"/>
          <w:rtl/>
        </w:rPr>
        <w:t>الذي هو صفة من صفات ذاته، لم يزل ربنا عالماً ولا يزال عالماً</w:t>
      </w:r>
      <w:r w:rsidR="000636C2">
        <w:rPr>
          <w:rFonts w:hint="cs"/>
          <w:rtl/>
        </w:rPr>
        <w:t>،</w:t>
      </w:r>
      <w:r w:rsidRPr="005675B2">
        <w:rPr>
          <w:rFonts w:hint="cs"/>
          <w:rtl/>
        </w:rPr>
        <w:t xml:space="preserve"> ولم يزل يتكلم ولا</w:t>
      </w:r>
      <w:r w:rsidRPr="005675B2">
        <w:rPr>
          <w:rFonts w:hint="cs"/>
        </w:rPr>
        <w:t xml:space="preserve"> </w:t>
      </w:r>
      <w:r w:rsidRPr="005675B2">
        <w:rPr>
          <w:rFonts w:hint="cs"/>
          <w:rtl/>
        </w:rPr>
        <w:t>يزال يتكلم</w:t>
      </w:r>
      <w:r w:rsidR="000636C2">
        <w:rPr>
          <w:rFonts w:hint="cs"/>
          <w:rtl/>
        </w:rPr>
        <w:t>،</w:t>
      </w:r>
      <w:r w:rsidRPr="005675B2">
        <w:rPr>
          <w:rFonts w:hint="cs"/>
          <w:rtl/>
        </w:rPr>
        <w:t xml:space="preserve"> فهو الموصوف بالصفات العلى</w:t>
      </w:r>
      <w:r w:rsidR="000636C2">
        <w:rPr>
          <w:rFonts w:hint="cs"/>
          <w:rtl/>
        </w:rPr>
        <w:t>،</w:t>
      </w:r>
      <w:r w:rsidRPr="005675B2">
        <w:rPr>
          <w:rFonts w:hint="cs"/>
          <w:rtl/>
        </w:rPr>
        <w:t xml:space="preserve"> ولم يزل بجميع صفاته التي هي صفات ذاته</w:t>
      </w:r>
      <w:r w:rsidRPr="005675B2">
        <w:rPr>
          <w:rFonts w:hint="cs"/>
        </w:rPr>
        <w:t xml:space="preserve"> </w:t>
      </w:r>
      <w:r w:rsidRPr="005675B2">
        <w:rPr>
          <w:rFonts w:hint="cs"/>
          <w:rtl/>
        </w:rPr>
        <w:t>واحداً ولا يزال</w:t>
      </w:r>
      <w:r w:rsidR="000636C2">
        <w:rPr>
          <w:rFonts w:hint="cs"/>
          <w:rtl/>
        </w:rPr>
        <w:t>،</w:t>
      </w:r>
      <w:r w:rsidRPr="005675B2">
        <w:rPr>
          <w:rFonts w:hint="cs"/>
          <w:rtl/>
        </w:rPr>
        <w:t xml:space="preserve"> وهو اللطيف الخبير</w:t>
      </w:r>
      <w:r w:rsidR="000636C2">
        <w:rPr>
          <w:rFonts w:hint="cs"/>
          <w:rtl/>
        </w:rPr>
        <w:t>،</w:t>
      </w:r>
      <w:r w:rsidRPr="005675B2">
        <w:rPr>
          <w:rFonts w:hint="cs"/>
          <w:rtl/>
        </w:rPr>
        <w:t xml:space="preserve"> وكان فيما كتب</w:t>
      </w:r>
      <w:r w:rsidR="000636C2">
        <w:rPr>
          <w:rFonts w:hint="cs"/>
          <w:rtl/>
        </w:rPr>
        <w:t>:</w:t>
      </w:r>
      <w:r w:rsidRPr="005675B2">
        <w:rPr>
          <w:rFonts w:hint="cs"/>
          <w:rtl/>
        </w:rPr>
        <w:t xml:space="preserve"> القرآن كلام الله تعالى وصفة</w:t>
      </w:r>
      <w:r w:rsidRPr="005675B2">
        <w:rPr>
          <w:rFonts w:hint="cs"/>
        </w:rPr>
        <w:t xml:space="preserve"> </w:t>
      </w:r>
      <w:r w:rsidRPr="005675B2">
        <w:rPr>
          <w:rFonts w:hint="cs"/>
          <w:rtl/>
        </w:rPr>
        <w:t>من صفات ذاته، ليس (</w:t>
      </w:r>
      <w:r w:rsidR="000636C2">
        <w:rPr>
          <w:rFonts w:hint="cs"/>
          <w:rtl/>
        </w:rPr>
        <w:t>((</w:t>
      </w:r>
      <w:r w:rsidRPr="005675B2">
        <w:rPr>
          <w:rFonts w:hint="cs"/>
          <w:rtl/>
        </w:rPr>
        <w:t>شيء</w:t>
      </w:r>
      <w:r w:rsidR="000636C2">
        <w:rPr>
          <w:rFonts w:hint="cs"/>
          <w:rtl/>
        </w:rPr>
        <w:t>)</w:t>
      </w:r>
      <w:r w:rsidRPr="005675B2">
        <w:rPr>
          <w:rFonts w:hint="cs"/>
          <w:rtl/>
        </w:rPr>
        <w:t>)</w:t>
      </w:r>
      <w:r w:rsidR="000636C2">
        <w:rPr>
          <w:rFonts w:hint="cs"/>
          <w:rtl/>
        </w:rPr>
        <w:t>)</w:t>
      </w:r>
      <w:r w:rsidRPr="005675B2">
        <w:rPr>
          <w:rFonts w:hint="cs"/>
          <w:rtl/>
        </w:rPr>
        <w:t xml:space="preserve"> </w:t>
      </w:r>
      <w:r w:rsidRPr="005675B2">
        <w:rPr>
          <w:rFonts w:hint="cs"/>
          <w:u w:val="single"/>
          <w:rtl/>
        </w:rPr>
        <w:t>من كلامه خلقاً ولا مخلوقاً ولا فعلاً ولا مفعولاً ولا</w:t>
      </w:r>
      <w:r w:rsidRPr="005675B2">
        <w:rPr>
          <w:rFonts w:hint="cs"/>
          <w:u w:val="single"/>
        </w:rPr>
        <w:t xml:space="preserve"> </w:t>
      </w:r>
      <w:r w:rsidRPr="005675B2">
        <w:rPr>
          <w:rFonts w:hint="cs"/>
          <w:u w:val="single"/>
          <w:rtl/>
        </w:rPr>
        <w:t>محدثاً ولا حدثاً ولا إحداثاً</w:t>
      </w:r>
      <w:r w:rsidR="000636C2">
        <w:rPr>
          <w:rFonts w:hint="cs"/>
          <w:rtl/>
        </w:rPr>
        <w:t>،</w:t>
      </w:r>
      <w:r w:rsidRPr="005675B2">
        <w:rPr>
          <w:rFonts w:hint="cs"/>
          <w:rtl/>
        </w:rPr>
        <w:t xml:space="preserve"> الأسماء والصفات 2/22 وهكذا رد أهل السنة والجماعة سلفاً وخلفاً على من يقول</w:t>
      </w:r>
      <w:r w:rsidRPr="005675B2">
        <w:rPr>
          <w:rFonts w:hint="cs"/>
        </w:rPr>
        <w:t xml:space="preserve"> </w:t>
      </w:r>
      <w:r w:rsidRPr="005675B2">
        <w:rPr>
          <w:rFonts w:hint="cs"/>
          <w:rtl/>
        </w:rPr>
        <w:t xml:space="preserve">أن كلام الله تعالى قديم النوع حادث </w:t>
      </w:r>
      <w:r w:rsidR="000636C2">
        <w:rPr>
          <w:rFonts w:hint="cs"/>
          <w:rtl/>
        </w:rPr>
        <w:t>(</w:t>
      </w:r>
      <w:r w:rsidRPr="005675B2">
        <w:rPr>
          <w:rFonts w:hint="cs"/>
          <w:rtl/>
        </w:rPr>
        <w:t>متجدد</w:t>
      </w:r>
      <w:r w:rsidR="000636C2">
        <w:rPr>
          <w:rFonts w:hint="cs"/>
          <w:rtl/>
        </w:rPr>
        <w:t>)</w:t>
      </w:r>
      <w:r w:rsidRPr="005675B2">
        <w:rPr>
          <w:rFonts w:hint="cs"/>
          <w:rtl/>
        </w:rPr>
        <w:t xml:space="preserve"> الآحاد</w:t>
      </w:r>
      <w:r w:rsidR="000636C2">
        <w:rPr>
          <w:rFonts w:hint="cs"/>
          <w:rtl/>
        </w:rPr>
        <w:t>،</w:t>
      </w:r>
      <w:r w:rsidRPr="005675B2">
        <w:rPr>
          <w:rFonts w:hint="cs"/>
          <w:rtl/>
        </w:rPr>
        <w:t xml:space="preserve"> وقال وكيع</w:t>
      </w:r>
      <w:r w:rsidR="000636C2">
        <w:rPr>
          <w:rFonts w:hint="cs"/>
          <w:rtl/>
        </w:rPr>
        <w:t>:</w:t>
      </w:r>
      <w:r w:rsidRPr="005675B2">
        <w:rPr>
          <w:rFonts w:hint="cs"/>
          <w:rtl/>
        </w:rPr>
        <w:t xml:space="preserve"> من قال إن القرآن مخلوق فقد زعم أن القرآن محدث، ومن زعم أن القرآن محدث قد كفر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اصول الأعتقاد 1/ 232 ت نشأت كمال الدين</w:t>
      </w:r>
      <w:r w:rsidRPr="005675B2">
        <w:rPr>
          <w:rFonts w:hint="cs"/>
          <w:rtl/>
        </w:rPr>
        <w:t>]</w:t>
      </w:r>
      <w:r w:rsidR="000636C2">
        <w:rPr>
          <w:rFonts w:hint="cs"/>
          <w:rtl/>
        </w:rPr>
        <w:t>،</w:t>
      </w:r>
      <w:r w:rsidRPr="005675B2">
        <w:rPr>
          <w:rFonts w:hint="cs"/>
          <w:rtl/>
        </w:rPr>
        <w:t xml:space="preserve"> فقد ورد وصح عن الإمام أحمد</w:t>
      </w:r>
      <w:r w:rsidR="000636C2">
        <w:rPr>
          <w:rFonts w:hint="cs"/>
          <w:rtl/>
        </w:rPr>
        <w:t xml:space="preserve"> </w:t>
      </w:r>
      <w:r w:rsidRPr="005675B2">
        <w:rPr>
          <w:rFonts w:hint="cs"/>
          <w:rtl/>
        </w:rPr>
        <w:t>أنه لما</w:t>
      </w:r>
      <w:r w:rsidRPr="005675B2">
        <w:rPr>
          <w:rFonts w:hint="cs"/>
        </w:rPr>
        <w:t xml:space="preserve"> </w:t>
      </w:r>
      <w:r w:rsidRPr="005675B2">
        <w:rPr>
          <w:rFonts w:hint="cs"/>
          <w:rtl/>
        </w:rPr>
        <w:t>كان في المحنة قالوا له ما تقول في القرآن</w:t>
      </w:r>
      <w:r w:rsidR="000636C2">
        <w:rPr>
          <w:rFonts w:hint="cs"/>
          <w:rtl/>
        </w:rPr>
        <w:t>؟</w:t>
      </w:r>
      <w:r w:rsidRPr="005675B2">
        <w:rPr>
          <w:rFonts w:hint="cs"/>
          <w:rtl/>
        </w:rPr>
        <w:t>قال ما تقولون في علم الله</w:t>
      </w:r>
      <w:r w:rsidR="000636C2">
        <w:rPr>
          <w:rFonts w:hint="cs"/>
          <w:rtl/>
        </w:rPr>
        <w:t>؟؟</w:t>
      </w:r>
      <w:r w:rsidRPr="005675B2">
        <w:rPr>
          <w:rFonts w:hint="cs"/>
          <w:rtl/>
        </w:rPr>
        <w:t xml:space="preserve"> فجعل الكلام في القرآن كالكلام في صفة علم الله تعالى، وأنتم يا أخي الكاتب تفرقون</w:t>
      </w:r>
      <w:r w:rsidR="000636C2">
        <w:rPr>
          <w:rFonts w:hint="cs"/>
          <w:rtl/>
        </w:rPr>
        <w:t xml:space="preserve"> </w:t>
      </w:r>
      <w:r w:rsidRPr="005675B2">
        <w:rPr>
          <w:rFonts w:hint="cs"/>
          <w:rtl/>
        </w:rPr>
        <w:t>بين كلام الله وبين علم الله من جهة قيامهما بالله كتفريق المعتزلة والكرامية</w:t>
      </w:r>
      <w:r w:rsidR="000636C2">
        <w:rPr>
          <w:rFonts w:hint="cs"/>
          <w:rtl/>
        </w:rPr>
        <w:t>،</w:t>
      </w:r>
      <w:r w:rsidRPr="005675B2">
        <w:rPr>
          <w:rFonts w:hint="cs"/>
          <w:rtl/>
        </w:rPr>
        <w:t xml:space="preserve"> [</w:t>
      </w:r>
      <w:r w:rsidRPr="005675B2">
        <w:rPr>
          <w:rFonts w:hint="cs"/>
          <w:bCs/>
          <w:sz w:val="24"/>
          <w:szCs w:val="24"/>
          <w:rtl/>
        </w:rPr>
        <w:t>نقل ذلك الذهبي في السير 11/245 وغيره بأسانيد صحيحة</w:t>
      </w:r>
      <w:r w:rsidRPr="005675B2">
        <w:rPr>
          <w:rFonts w:hint="cs"/>
          <w:rtl/>
        </w:rPr>
        <w:t>] وقد سبق بيان كلام أهل السنة في صفة الكلام فليراجع وقارن</w:t>
      </w:r>
      <w:r w:rsidR="000636C2">
        <w:rPr>
          <w:rFonts w:hint="cs"/>
          <w:rtl/>
        </w:rPr>
        <w:t>،</w:t>
      </w:r>
      <w:r w:rsidRPr="005675B2">
        <w:rPr>
          <w:rFonts w:hint="cs"/>
          <w:rtl/>
        </w:rPr>
        <w:t xml:space="preserve"> ولذا فكلام الباجوري يحمل على أحد محملين</w:t>
      </w:r>
      <w:r w:rsidR="000636C2">
        <w:rPr>
          <w:rFonts w:hint="cs"/>
          <w:rtl/>
        </w:rPr>
        <w:t>:</w:t>
      </w:r>
    </w:p>
    <w:p w14:paraId="3AF3027D" w14:textId="74BE20DC"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يكون مقصوده لفظنا به قال</w:t>
      </w:r>
      <w:r w:rsidR="000636C2">
        <w:rPr>
          <w:rFonts w:hint="cs"/>
          <w:rtl/>
        </w:rPr>
        <w:t xml:space="preserve"> </w:t>
      </w:r>
      <w:r w:rsidRPr="005675B2">
        <w:rPr>
          <w:rFonts w:hint="cs"/>
          <w:rtl/>
        </w:rPr>
        <w:t>الباجوري</w:t>
      </w:r>
      <w:r w:rsidR="000636C2">
        <w:rPr>
          <w:rFonts w:hint="cs"/>
          <w:rtl/>
        </w:rPr>
        <w:t>:</w:t>
      </w:r>
      <w:r w:rsidRPr="005675B2">
        <w:rPr>
          <w:rFonts w:hint="cs"/>
          <w:rtl/>
        </w:rPr>
        <w:t>أي اعتقد أيها</w:t>
      </w:r>
      <w:r w:rsidRPr="005675B2">
        <w:rPr>
          <w:rFonts w:hint="cs"/>
        </w:rPr>
        <w:t xml:space="preserve"> </w:t>
      </w:r>
      <w:r w:rsidRPr="005675B2">
        <w:rPr>
          <w:rFonts w:hint="cs"/>
          <w:rtl/>
        </w:rPr>
        <w:t>المكلف تنزه</w:t>
      </w:r>
      <w:r w:rsidRPr="005675B2">
        <w:rPr>
          <w:rFonts w:hint="cs"/>
        </w:rPr>
        <w:t xml:space="preserve"> </w:t>
      </w:r>
      <w:r w:rsidRPr="005675B2">
        <w:rPr>
          <w:rFonts w:hint="cs"/>
          <w:rtl/>
        </w:rPr>
        <w:t>القرآن بمعنى كلامه تعالى عن الحدوث خلافاً للمعتزلة القائلين بحدوث</w:t>
      </w:r>
      <w:r w:rsidRPr="005675B2">
        <w:rPr>
          <w:rFonts w:hint="cs"/>
        </w:rPr>
        <w:t xml:space="preserve"> </w:t>
      </w:r>
      <w:r w:rsidRPr="005675B2">
        <w:rPr>
          <w:rFonts w:hint="cs"/>
          <w:rtl/>
        </w:rPr>
        <w:t>الكلام زعماً منهم أن من لوازمه الحروف والأصوات, وذلك مستحيل عليه تعالى, فكلام</w:t>
      </w:r>
      <w:r w:rsidRPr="005675B2">
        <w:rPr>
          <w:rFonts w:hint="cs"/>
        </w:rPr>
        <w:t xml:space="preserve"> </w:t>
      </w:r>
      <w:r w:rsidRPr="005675B2">
        <w:rPr>
          <w:rFonts w:hint="cs"/>
          <w:rtl/>
        </w:rPr>
        <w:t>الله تعالى عندهم مخلوق, لأن الله تعالى خلقه في بعض الأجرام، ومذهب أهل السنة أن</w:t>
      </w:r>
      <w:r w:rsidRPr="005675B2">
        <w:rPr>
          <w:rFonts w:hint="cs"/>
        </w:rPr>
        <w:t xml:space="preserve"> </w:t>
      </w:r>
      <w:r w:rsidRPr="005675B2">
        <w:rPr>
          <w:rFonts w:hint="cs"/>
          <w:rtl/>
        </w:rPr>
        <w:t xml:space="preserve">القرآن بمعنى الكلام النفسي ليس بمخلوق, وأما القرآن </w:t>
      </w:r>
      <w:r w:rsidRPr="005675B2">
        <w:rPr>
          <w:rFonts w:hint="cs"/>
          <w:u w:val="single"/>
          <w:rtl/>
        </w:rPr>
        <w:t>بمعنى اللفظ الذي نقرؤه</w:t>
      </w:r>
      <w:r w:rsidR="000636C2">
        <w:rPr>
          <w:rFonts w:hint="cs"/>
          <w:rtl/>
        </w:rPr>
        <w:t xml:space="preserve"> (</w:t>
      </w:r>
      <w:r w:rsidRPr="005675B2">
        <w:rPr>
          <w:rFonts w:hint="cs"/>
          <w:rtl/>
        </w:rPr>
        <w:t>أي الذي نتلفظ به - فهو</w:t>
      </w:r>
      <w:r w:rsidRPr="005675B2">
        <w:rPr>
          <w:rFonts w:hint="cs"/>
        </w:rPr>
        <w:t xml:space="preserve"> </w:t>
      </w:r>
      <w:r w:rsidRPr="005675B2">
        <w:rPr>
          <w:rFonts w:hint="cs"/>
          <w:rtl/>
        </w:rPr>
        <w:t>مخلوق, لكن يمتنع أن يقال القرآن مخلوق ويراد به اللفظ الذي نقرؤه إلا في مقام</w:t>
      </w:r>
      <w:r w:rsidRPr="005675B2">
        <w:rPr>
          <w:rFonts w:hint="cs"/>
        </w:rPr>
        <w:t xml:space="preserve"> </w:t>
      </w:r>
      <w:r w:rsidRPr="005675B2">
        <w:rPr>
          <w:rFonts w:hint="cs"/>
          <w:rtl/>
        </w:rPr>
        <w:t xml:space="preserve">التعليم لأنه ربما </w:t>
      </w:r>
      <w:r w:rsidRPr="005675B2">
        <w:rPr>
          <w:rFonts w:hint="cs"/>
          <w:u w:val="single"/>
          <w:rtl/>
        </w:rPr>
        <w:t>أوهم أن القرآن بمعنى كلامه تعالى</w:t>
      </w:r>
      <w:r w:rsidRPr="005675B2">
        <w:rPr>
          <w:rFonts w:hint="cs"/>
          <w:rtl/>
        </w:rPr>
        <w:t xml:space="preserve"> مخلوق, ولذلك امتنعت الأئمة من</w:t>
      </w:r>
      <w:r w:rsidRPr="005675B2">
        <w:rPr>
          <w:rFonts w:hint="cs"/>
        </w:rPr>
        <w:t xml:space="preserve"> </w:t>
      </w:r>
      <w:r w:rsidRPr="005675B2">
        <w:rPr>
          <w:rFonts w:hint="cs"/>
          <w:rtl/>
        </w:rPr>
        <w:t>القول بخلق القرآن</w:t>
      </w:r>
      <w:r w:rsidR="000636C2">
        <w:rPr>
          <w:rFonts w:hint="cs"/>
          <w:rtl/>
        </w:rPr>
        <w:t>،</w:t>
      </w:r>
      <w:r w:rsidRPr="005675B2">
        <w:rPr>
          <w:rFonts w:hint="cs"/>
          <w:rtl/>
        </w:rPr>
        <w:t xml:space="preserve"> أ نتهى كلامه</w:t>
      </w:r>
      <w:r w:rsidR="000636C2">
        <w:rPr>
          <w:rFonts w:hint="cs"/>
          <w:rtl/>
        </w:rPr>
        <w:t xml:space="preserve"> </w:t>
      </w:r>
      <w:r w:rsidRPr="005675B2">
        <w:rPr>
          <w:rFonts w:hint="cs"/>
          <w:rtl/>
        </w:rPr>
        <w:t>كما في شرح الجوهرة</w:t>
      </w:r>
      <w:r w:rsidR="000636C2">
        <w:rPr>
          <w:rFonts w:hint="cs"/>
          <w:rtl/>
        </w:rPr>
        <w:t>،</w:t>
      </w:r>
    </w:p>
    <w:p w14:paraId="17B34F7A" w14:textId="71BA2A85" w:rsidR="009C32A0" w:rsidRPr="005675B2" w:rsidRDefault="009C32A0" w:rsidP="000636C2">
      <w:pPr>
        <w:rPr>
          <w:b/>
          <w:rtl/>
        </w:rPr>
      </w:pPr>
      <w:r w:rsidRPr="005675B2">
        <w:rPr>
          <w:rFonts w:hint="cs"/>
          <w:rtl/>
        </w:rPr>
        <w:t>قال العز بن عبدالسلام</w:t>
      </w:r>
      <w:r w:rsidR="000636C2">
        <w:rPr>
          <w:rFonts w:hint="cs"/>
          <w:rtl/>
        </w:rPr>
        <w:t>:</w:t>
      </w:r>
      <w:r w:rsidRPr="005675B2">
        <w:rPr>
          <w:rFonts w:hint="cs"/>
        </w:rPr>
        <w:t xml:space="preserve"> </w:t>
      </w:r>
      <w:r w:rsidRPr="005675B2">
        <w:rPr>
          <w:rFonts w:hint="cs"/>
          <w:rtl/>
        </w:rPr>
        <w:t>فويل</w:t>
      </w:r>
      <w:r w:rsidRPr="005675B2">
        <w:rPr>
          <w:rFonts w:hint="cs"/>
        </w:rPr>
        <w:t xml:space="preserve"> </w:t>
      </w:r>
      <w:r w:rsidRPr="005675B2">
        <w:rPr>
          <w:rFonts w:hint="cs"/>
          <w:rtl/>
        </w:rPr>
        <w:t>لمن زعم أن كلام الله القديم شيء من ألفاظ العباد، أو رسم من أشكال المداد، وأحمد</w:t>
      </w:r>
      <w:r w:rsidRPr="005675B2">
        <w:rPr>
          <w:rFonts w:hint="cs"/>
        </w:rPr>
        <w:t xml:space="preserve"> </w:t>
      </w:r>
      <w:r w:rsidRPr="005675B2">
        <w:rPr>
          <w:rFonts w:hint="cs"/>
          <w:rtl/>
        </w:rPr>
        <w:t>ابن حنبل وفضلاء أصحابه وسائر علماء السلف براء مما نسبوه إليهم واختلقوه عليهم،</w:t>
      </w:r>
      <w:r w:rsidRPr="005675B2">
        <w:rPr>
          <w:rFonts w:hint="cs"/>
        </w:rPr>
        <w:t xml:space="preserve"> </w:t>
      </w:r>
      <w:r w:rsidRPr="005675B2">
        <w:rPr>
          <w:rFonts w:hint="cs"/>
          <w:rtl/>
        </w:rPr>
        <w:t>وكيف يظن بأحمد وغيره من العلماء أن يعتقدوا أن وصف الله تعالى قديم، وهذه الألفاظ</w:t>
      </w:r>
      <w:r w:rsidRPr="005675B2">
        <w:rPr>
          <w:rFonts w:hint="cs"/>
        </w:rPr>
        <w:t xml:space="preserve"> </w:t>
      </w:r>
      <w:r w:rsidRPr="005675B2">
        <w:rPr>
          <w:rFonts w:hint="cs"/>
          <w:rtl/>
        </w:rPr>
        <w:t>والأشكال حادثة بضرورة العقل وصريح النقل</w:t>
      </w:r>
      <w:r w:rsidR="000636C2">
        <w:rPr>
          <w:rFonts w:hint="cs"/>
          <w:rtl/>
        </w:rPr>
        <w:t>،</w:t>
      </w:r>
      <w:r w:rsidRPr="005675B2">
        <w:rPr>
          <w:rFonts w:hint="cs"/>
          <w:rtl/>
        </w:rPr>
        <w:t xml:space="preserve"> [</w:t>
      </w:r>
      <w:r w:rsidRPr="005675B2">
        <w:rPr>
          <w:rFonts w:hint="cs"/>
          <w:sz w:val="24"/>
          <w:szCs w:val="24"/>
          <w:rtl/>
        </w:rPr>
        <w:t xml:space="preserve">إيضـَاحُ الكـَلامِ فِيمَا جَرَى للعِزِّ بنِ عَبدِ السَّلام </w:t>
      </w:r>
      <w:r w:rsidRPr="005675B2">
        <w:rPr>
          <w:rFonts w:hint="cs"/>
          <w:i/>
          <w:iCs/>
          <w:sz w:val="24"/>
          <w:szCs w:val="24"/>
          <w:rtl/>
        </w:rPr>
        <w:t>في مَسْألَةِ الكَلاَمِ</w:t>
      </w:r>
      <w:r w:rsidRPr="005675B2">
        <w:rPr>
          <w:rFonts w:hint="cs"/>
          <w:sz w:val="24"/>
          <w:szCs w:val="24"/>
          <w:rtl/>
        </w:rPr>
        <w:t xml:space="preserve"> تاليف الشيخ محمد بن عبد اللطيفالمتوفى سنة 661 هـ</w:t>
      </w:r>
      <w:r w:rsidRPr="005675B2">
        <w:rPr>
          <w:rFonts w:hint="cs"/>
          <w:rtl/>
        </w:rPr>
        <w:t>] وقال أيضاً</w:t>
      </w:r>
      <w:r w:rsidR="000636C2">
        <w:rPr>
          <w:rFonts w:hint="cs"/>
          <w:rtl/>
        </w:rPr>
        <w:t xml:space="preserve">: </w:t>
      </w:r>
      <w:r w:rsidRPr="005675B2">
        <w:rPr>
          <w:rFonts w:hint="cs"/>
          <w:rtl/>
        </w:rPr>
        <w:t>والعجب ممن يقول</w:t>
      </w:r>
      <w:r w:rsidR="000636C2">
        <w:rPr>
          <w:rFonts w:hint="cs"/>
          <w:rtl/>
        </w:rPr>
        <w:t>:</w:t>
      </w:r>
      <w:r w:rsidRPr="005675B2">
        <w:rPr>
          <w:rFonts w:hint="cs"/>
          <w:rtl/>
        </w:rPr>
        <w:t xml:space="preserve"> القرآن مركب من حرف وصوت، ثم يزعم</w:t>
      </w:r>
      <w:r w:rsidRPr="005675B2">
        <w:rPr>
          <w:rFonts w:hint="cs"/>
        </w:rPr>
        <w:t xml:space="preserve"> </w:t>
      </w:r>
      <w:r w:rsidRPr="005675B2">
        <w:rPr>
          <w:rFonts w:hint="cs"/>
          <w:rtl/>
        </w:rPr>
        <w:t>أنه في المصحف، وليس في المصحف إلا حرف مجرد لا صوت معه؛ إذ ليس فيه حرف متكون عن</w:t>
      </w:r>
      <w:r w:rsidRPr="005675B2">
        <w:rPr>
          <w:rFonts w:hint="cs"/>
        </w:rPr>
        <w:t xml:space="preserve"> </w:t>
      </w:r>
      <w:r w:rsidRPr="005675B2">
        <w:rPr>
          <w:rFonts w:hint="cs"/>
          <w:rtl/>
        </w:rPr>
        <w:t>صوت، فإن الحرف اللفظي ليس هو الشكل الكتابي، وكذلك يدرك الحرف اللفظي بالآذان ولا</w:t>
      </w:r>
      <w:r w:rsidRPr="005675B2">
        <w:rPr>
          <w:rFonts w:hint="cs"/>
        </w:rPr>
        <w:t xml:space="preserve"> </w:t>
      </w:r>
      <w:r w:rsidRPr="005675B2">
        <w:rPr>
          <w:rFonts w:hint="cs"/>
          <w:rtl/>
        </w:rPr>
        <w:t>يشاهد بالعيان، ويشاهد الشكل الكتابي بالعيان ولا يسمع بالآذان</w:t>
      </w:r>
      <w:r w:rsidR="000636C2">
        <w:rPr>
          <w:rFonts w:hint="cs"/>
          <w:rtl/>
        </w:rPr>
        <w:t>،</w:t>
      </w:r>
      <w:r w:rsidRPr="005675B2">
        <w:rPr>
          <w:rFonts w:hint="cs"/>
          <w:rtl/>
        </w:rPr>
        <w:t xml:space="preserve"> ومن توقف</w:t>
      </w:r>
      <w:r w:rsidRPr="005675B2">
        <w:rPr>
          <w:rFonts w:hint="cs"/>
        </w:rPr>
        <w:t xml:space="preserve"> </w:t>
      </w:r>
      <w:r w:rsidRPr="005675B2">
        <w:rPr>
          <w:rFonts w:hint="cs"/>
          <w:rtl/>
        </w:rPr>
        <w:t>في ذلك لم يعد من العقلاء، فضلاً عن العلماء، فلا كثر الله من أهل البدع والأهواء،</w:t>
      </w:r>
      <w:r w:rsidRPr="005675B2">
        <w:rPr>
          <w:rFonts w:hint="cs"/>
        </w:rPr>
        <w:t xml:space="preserve"> </w:t>
      </w:r>
      <w:r w:rsidRPr="005675B2">
        <w:rPr>
          <w:rFonts w:hint="cs"/>
          <w:rtl/>
        </w:rPr>
        <w:t>والإضلال والإغواء</w:t>
      </w:r>
      <w:r w:rsidR="000636C2">
        <w:rPr>
          <w:rFonts w:hint="cs"/>
          <w:rtl/>
        </w:rPr>
        <w:t>،</w:t>
      </w:r>
      <w:r w:rsidRPr="005675B2">
        <w:rPr>
          <w:rFonts w:hint="cs"/>
          <w:rtl/>
        </w:rPr>
        <w:t xml:space="preserve"> ومن قال</w:t>
      </w:r>
      <w:r w:rsidR="000636C2">
        <w:rPr>
          <w:rFonts w:hint="cs"/>
          <w:rtl/>
        </w:rPr>
        <w:t>:</w:t>
      </w:r>
      <w:r w:rsidRPr="005675B2">
        <w:rPr>
          <w:rFonts w:hint="cs"/>
          <w:rtl/>
        </w:rPr>
        <w:t xml:space="preserve"> إن الوصف القديم حال في المصحف لزمه إذا احترق</w:t>
      </w:r>
      <w:r w:rsidRPr="005675B2">
        <w:rPr>
          <w:rFonts w:hint="cs"/>
        </w:rPr>
        <w:t xml:space="preserve"> </w:t>
      </w:r>
      <w:r w:rsidRPr="005675B2">
        <w:rPr>
          <w:rFonts w:hint="cs"/>
          <w:rtl/>
        </w:rPr>
        <w:t>المصحف أن يقول</w:t>
      </w:r>
      <w:r w:rsidR="000636C2">
        <w:rPr>
          <w:rFonts w:hint="cs"/>
          <w:rtl/>
        </w:rPr>
        <w:t>:</w:t>
      </w:r>
      <w:r w:rsidRPr="005675B2">
        <w:rPr>
          <w:rFonts w:hint="cs"/>
          <w:rtl/>
        </w:rPr>
        <w:t xml:space="preserve"> إن وصف الله القديم احترق</w:t>
      </w:r>
      <w:r w:rsidR="000636C2">
        <w:rPr>
          <w:rFonts w:hint="cs"/>
          <w:rtl/>
        </w:rPr>
        <w:t>!</w:t>
      </w:r>
      <w:r w:rsidRPr="005675B2">
        <w:rPr>
          <w:rFonts w:hint="cs"/>
          <w:rtl/>
        </w:rPr>
        <w:t>! سبحانه وتعالى عما يقولون علواً</w:t>
      </w:r>
      <w:r w:rsidRPr="005675B2">
        <w:rPr>
          <w:rFonts w:hint="cs"/>
        </w:rPr>
        <w:t xml:space="preserve"> </w:t>
      </w:r>
      <w:r w:rsidRPr="005675B2">
        <w:rPr>
          <w:rFonts w:hint="cs"/>
          <w:rtl/>
        </w:rPr>
        <w:t>كبيراً</w:t>
      </w:r>
      <w:r w:rsidR="000636C2">
        <w:rPr>
          <w:rFonts w:hint="cs"/>
          <w:rtl/>
        </w:rPr>
        <w:t>،</w:t>
      </w:r>
    </w:p>
    <w:p w14:paraId="54FCBB88" w14:textId="689B9276"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أو يقصدالباجوري وغيره من العلماء</w:t>
      </w:r>
      <w:r w:rsidR="000636C2">
        <w:rPr>
          <w:rFonts w:hint="cs"/>
          <w:rtl/>
        </w:rPr>
        <w:t>:</w:t>
      </w:r>
      <w:r w:rsidRPr="005675B2">
        <w:rPr>
          <w:rFonts w:hint="cs"/>
          <w:rtl/>
        </w:rPr>
        <w:t>أن بعض مدلولات اللفظ مخلوقة فقد قال رحمه الله</w:t>
      </w:r>
      <w:r w:rsidR="000636C2">
        <w:rPr>
          <w:rFonts w:hint="cs"/>
          <w:rtl/>
        </w:rPr>
        <w:t xml:space="preserve">: </w:t>
      </w:r>
      <w:r w:rsidRPr="005675B2">
        <w:rPr>
          <w:rFonts w:hint="cs"/>
          <w:rtl/>
        </w:rPr>
        <w:t>- والحاصل أن للألفاظ التي نقرأها دلالتان</w:t>
      </w:r>
      <w:r w:rsidR="000636C2">
        <w:rPr>
          <w:rFonts w:hint="cs"/>
          <w:rtl/>
        </w:rPr>
        <w:t>:</w:t>
      </w:r>
      <w:r w:rsidRPr="005675B2">
        <w:rPr>
          <w:rFonts w:hint="cs"/>
          <w:rtl/>
        </w:rPr>
        <w:t xml:space="preserve"> إلى أن قال .. ثانيهما</w:t>
      </w:r>
      <w:r w:rsidR="000636C2">
        <w:rPr>
          <w:rFonts w:hint="cs"/>
          <w:rtl/>
        </w:rPr>
        <w:t>:</w:t>
      </w:r>
      <w:r w:rsidRPr="005675B2">
        <w:rPr>
          <w:rFonts w:hint="cs"/>
          <w:rtl/>
        </w:rPr>
        <w:t xml:space="preserve"> وضعية لفظية والمدلول بهذه الدلالة بعضه قديم، وبعضه حادث وهذا محمل كلام القرافي وغيره</w:t>
      </w:r>
      <w:r w:rsidR="000636C2">
        <w:rPr>
          <w:rFonts w:hint="cs"/>
          <w:rtl/>
        </w:rPr>
        <w:t>،</w:t>
      </w:r>
      <w:r w:rsidRPr="005675B2">
        <w:rPr>
          <w:rFonts w:hint="cs"/>
          <w:rtl/>
        </w:rPr>
        <w:t xml:space="preserve"> قال</w:t>
      </w:r>
      <w:r w:rsidR="000636C2">
        <w:rPr>
          <w:rFonts w:hint="cs"/>
          <w:rtl/>
        </w:rPr>
        <w:t xml:space="preserve"> </w:t>
      </w:r>
      <w:r w:rsidRPr="005675B2">
        <w:rPr>
          <w:rFonts w:hint="cs"/>
          <w:rtl/>
        </w:rPr>
        <w:t>الإمام القرافي</w:t>
      </w:r>
      <w:r w:rsidR="000636C2">
        <w:rPr>
          <w:rFonts w:hint="cs"/>
          <w:rtl/>
        </w:rPr>
        <w:t>:</w:t>
      </w:r>
      <w:r w:rsidRPr="005675B2">
        <w:rPr>
          <w:rFonts w:hint="cs"/>
          <w:rtl/>
        </w:rPr>
        <w:t xml:space="preserve"> منه قديم وهو ذات الله وصفاته</w:t>
      </w:r>
      <w:r w:rsidR="000636C2">
        <w:rPr>
          <w:rFonts w:hint="cs"/>
          <w:rtl/>
        </w:rPr>
        <w:t>،</w:t>
      </w:r>
      <w:r w:rsidRPr="005675B2">
        <w:rPr>
          <w:rFonts w:hint="cs"/>
          <w:rtl/>
        </w:rPr>
        <w:t>ومنه حادث كالسموات والأرض</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178شرح الجوهرة]</w:t>
      </w:r>
      <w:r w:rsidRPr="005675B2">
        <w:rPr>
          <w:rFonts w:hint="cs"/>
          <w:rtl/>
        </w:rPr>
        <w:t xml:space="preserve"> أي مما ذكر في القرآن</w:t>
      </w:r>
      <w:r w:rsidR="000636C2">
        <w:rPr>
          <w:rFonts w:hint="cs"/>
          <w:rtl/>
        </w:rPr>
        <w:t xml:space="preserve">، </w:t>
      </w:r>
      <w:r w:rsidRPr="005675B2">
        <w:rPr>
          <w:rFonts w:hint="cs"/>
          <w:rtl/>
        </w:rPr>
        <w:t>قال الذهبي</w:t>
      </w:r>
      <w:r w:rsidR="000636C2">
        <w:rPr>
          <w:rFonts w:hint="cs"/>
          <w:rtl/>
        </w:rPr>
        <w:t>:</w:t>
      </w:r>
      <w:r w:rsidRPr="005675B2">
        <w:rPr>
          <w:rFonts w:hint="cs"/>
          <w:rtl/>
        </w:rPr>
        <w:t xml:space="preserve"> فالقرآن العظيم حروفه</w:t>
      </w:r>
      <w:r w:rsidR="000636C2">
        <w:rPr>
          <w:rFonts w:hint="cs"/>
          <w:rtl/>
        </w:rPr>
        <w:t>،</w:t>
      </w:r>
      <w:r w:rsidRPr="005675B2">
        <w:rPr>
          <w:rFonts w:hint="cs"/>
          <w:rtl/>
        </w:rPr>
        <w:t>وألفاظه، ومعانيه كلام رب العالمين غير مخلوق</w:t>
      </w:r>
      <w:r w:rsidR="000636C2">
        <w:rPr>
          <w:rFonts w:hint="cs"/>
          <w:rtl/>
        </w:rPr>
        <w:t>،</w:t>
      </w:r>
      <w:r w:rsidRPr="005675B2">
        <w:rPr>
          <w:rFonts w:hint="cs"/>
          <w:u w:val="single"/>
          <w:rtl/>
        </w:rPr>
        <w:t>وتلفظنا به وأصواتنا به من أعمالنا المخلوقة</w:t>
      </w:r>
      <w:r w:rsidR="000636C2">
        <w:rPr>
          <w:rFonts w:hint="cs"/>
          <w:rtl/>
        </w:rPr>
        <w:t>،</w:t>
      </w:r>
      <w:r w:rsidRPr="005675B2">
        <w:rPr>
          <w:rFonts w:hint="cs"/>
          <w:rtl/>
        </w:rPr>
        <w:t xml:space="preserve"> إلى أن قال وفي المسألة بحوث طويلة والكف عنها أولى</w:t>
      </w:r>
      <w:r w:rsidR="000636C2">
        <w:rPr>
          <w:rFonts w:hint="cs"/>
          <w:rtl/>
        </w:rPr>
        <w:t>،</w:t>
      </w:r>
      <w:r w:rsidRPr="005675B2">
        <w:rPr>
          <w:rFonts w:hint="cs"/>
          <w:rtl/>
        </w:rPr>
        <w:t xml:space="preserve"> [</w:t>
      </w:r>
      <w:r w:rsidRPr="005675B2">
        <w:rPr>
          <w:rFonts w:hint="cs"/>
          <w:bCs/>
          <w:sz w:val="24"/>
          <w:szCs w:val="24"/>
          <w:rtl/>
        </w:rPr>
        <w:t>السير 13/101</w:t>
      </w:r>
      <w:r w:rsidRPr="005675B2">
        <w:rPr>
          <w:rFonts w:hint="cs"/>
          <w:rtl/>
        </w:rPr>
        <w:t>]</w:t>
      </w:r>
      <w:r w:rsidR="000636C2">
        <w:rPr>
          <w:rFonts w:hint="cs"/>
          <w:rtl/>
        </w:rPr>
        <w:t>،</w:t>
      </w:r>
      <w:r w:rsidRPr="005675B2">
        <w:rPr>
          <w:rFonts w:hint="cs"/>
          <w:rtl/>
        </w:rPr>
        <w:t xml:space="preserve"> إذا علمنا ذلك علمنا أن تهمة الكاتب للإمام الباجوري تهمة في غير مكانها</w:t>
      </w:r>
      <w:r w:rsidR="000636C2">
        <w:rPr>
          <w:rFonts w:hint="cs"/>
          <w:rtl/>
        </w:rPr>
        <w:t>،</w:t>
      </w:r>
      <w:r w:rsidRPr="005675B2">
        <w:rPr>
          <w:rFonts w:hint="cs"/>
          <w:rtl/>
        </w:rPr>
        <w:t>وأن الإمام مقصوده واضح</w:t>
      </w:r>
      <w:r w:rsidR="000636C2">
        <w:rPr>
          <w:rFonts w:hint="cs"/>
          <w:rtl/>
        </w:rPr>
        <w:t>،</w:t>
      </w:r>
      <w:r w:rsidRPr="005675B2">
        <w:rPr>
          <w:rFonts w:hint="cs"/>
          <w:rtl/>
        </w:rPr>
        <w:t xml:space="preserve"> يعرف من كلامه ومن كلام الناظم الذي شرحه، وقد سبقه إلى ذلك أئمة كالكرابيسي وابن كلاب والبخاري ومسلم وداود الظاهري والحارث المحاسبي فلا وجه للتشنيع هداكم الله</w:t>
      </w:r>
      <w:r w:rsidR="000636C2">
        <w:rPr>
          <w:rFonts w:hint="cs"/>
          <w:rtl/>
        </w:rPr>
        <w:t>،</w:t>
      </w:r>
      <w:r w:rsidRPr="005675B2">
        <w:rPr>
          <w:rFonts w:hint="cs"/>
          <w:rtl/>
        </w:rPr>
        <w:t xml:space="preserve"> </w:t>
      </w:r>
      <w:r w:rsidRPr="005675B2">
        <w:rPr>
          <w:rFonts w:hint="cs"/>
          <w:u w:val="single"/>
          <w:rtl/>
        </w:rPr>
        <w:t>مع العلم أن قول</w:t>
      </w:r>
      <w:r w:rsidR="000636C2">
        <w:rPr>
          <w:rFonts w:hint="cs"/>
          <w:u w:val="single"/>
          <w:rtl/>
        </w:rPr>
        <w:t>:</w:t>
      </w:r>
      <w:r w:rsidRPr="005675B2">
        <w:rPr>
          <w:rFonts w:hint="cs"/>
          <w:u w:val="single"/>
          <w:rtl/>
        </w:rPr>
        <w:t>أن القرآن مخلوق قول باطل</w:t>
      </w:r>
      <w:r w:rsidR="000636C2">
        <w:rPr>
          <w:rFonts w:hint="cs"/>
          <w:u w:val="single"/>
          <w:rtl/>
        </w:rPr>
        <w:t>،</w:t>
      </w:r>
      <w:r w:rsidRPr="005675B2">
        <w:rPr>
          <w:rFonts w:hint="cs"/>
          <w:u w:val="single"/>
          <w:rtl/>
        </w:rPr>
        <w:t xml:space="preserve"> أقل ما فيه إيهام الناس</w:t>
      </w:r>
      <w:r w:rsidR="000636C2">
        <w:rPr>
          <w:rFonts w:hint="cs"/>
          <w:u w:val="single"/>
          <w:rtl/>
        </w:rPr>
        <w:t xml:space="preserve">، </w:t>
      </w:r>
      <w:r w:rsidRPr="005675B2">
        <w:rPr>
          <w:rFonts w:hint="cs"/>
          <w:rtl/>
        </w:rPr>
        <w:t>وطالب العلم يجب عليه أن يسكت كما سكت الصحابة والتابعون وتابعوهم قبل أن تحصل الفتن فإن ابتلي بمعتزلي فيقول ما قال أحمد وغيره</w:t>
      </w:r>
      <w:r w:rsidR="000636C2">
        <w:rPr>
          <w:rFonts w:hint="cs"/>
          <w:rtl/>
        </w:rPr>
        <w:t>،</w:t>
      </w:r>
      <w:r w:rsidRPr="005675B2">
        <w:rPr>
          <w:rFonts w:hint="cs"/>
          <w:rtl/>
        </w:rPr>
        <w:t>وإن ابتلي بمشبه فيقول ما قال البخاري وغيره، وذلك كله للتعليم، وإلا فالسكوت والاشتغال بالعمل النافع، وترك الخوض أفضل</w:t>
      </w:r>
      <w:r w:rsidR="000636C2">
        <w:rPr>
          <w:rFonts w:hint="cs"/>
          <w:rtl/>
        </w:rPr>
        <w:t>،</w:t>
      </w:r>
      <w:r w:rsidRPr="005675B2">
        <w:rPr>
          <w:rFonts w:hint="cs"/>
          <w:rtl/>
        </w:rPr>
        <w:t>ولذا قال الإمام أحمد</w:t>
      </w:r>
      <w:r w:rsidR="000636C2">
        <w:rPr>
          <w:rFonts w:hint="cs"/>
          <w:rtl/>
        </w:rPr>
        <w:t>:</w:t>
      </w:r>
      <w:r w:rsidRPr="005675B2">
        <w:rPr>
          <w:rFonts w:hint="cs"/>
          <w:rtl/>
        </w:rPr>
        <w:t xml:space="preserve"> لولا ما قيل في القرآن لوسعه السكوت</w:t>
      </w:r>
      <w:r w:rsidR="000636C2">
        <w:rPr>
          <w:rFonts w:hint="cs"/>
          <w:rtl/>
        </w:rPr>
        <w:t>،</w:t>
      </w:r>
      <w:r w:rsidRPr="005675B2">
        <w:rPr>
          <w:rFonts w:hint="cs"/>
          <w:rtl/>
        </w:rPr>
        <w:t>ولكن لم يُسكت</w:t>
      </w:r>
      <w:r w:rsidR="000636C2">
        <w:rPr>
          <w:rFonts w:hint="cs"/>
          <w:rtl/>
        </w:rPr>
        <w:t>،</w:t>
      </w:r>
      <w:r w:rsidRPr="005675B2">
        <w:rPr>
          <w:rFonts w:hint="cs"/>
          <w:rtl/>
        </w:rPr>
        <w:t xml:space="preserve"> [</w:t>
      </w:r>
      <w:r w:rsidRPr="005675B2">
        <w:rPr>
          <w:rFonts w:hint="cs"/>
          <w:bCs/>
          <w:sz w:val="24"/>
          <w:szCs w:val="24"/>
          <w:rtl/>
        </w:rPr>
        <w:t>الرسالة الوافية لأبي عمرو الداني تحقيق محمد سعيد القحطاني. ص73</w:t>
      </w:r>
      <w:r w:rsidRPr="005675B2">
        <w:rPr>
          <w:rFonts w:hint="cs"/>
          <w:rtl/>
        </w:rPr>
        <w:t>] أي لم تسكت المعتزلة فاحتاج</w:t>
      </w:r>
      <w:r w:rsidR="000636C2">
        <w:rPr>
          <w:rFonts w:hint="cs"/>
          <w:rtl/>
        </w:rPr>
        <w:t xml:space="preserve"> </w:t>
      </w:r>
      <w:r w:rsidRPr="005675B2">
        <w:rPr>
          <w:rFonts w:hint="cs"/>
          <w:rtl/>
        </w:rPr>
        <w:t>للكلام في المسألة رحمه الله تعالى</w:t>
      </w:r>
      <w:r w:rsidR="000636C2">
        <w:rPr>
          <w:rFonts w:hint="cs"/>
          <w:rtl/>
        </w:rPr>
        <w:t>،</w:t>
      </w:r>
      <w:r w:rsidRPr="005675B2">
        <w:rPr>
          <w:rFonts w:hint="cs"/>
          <w:rtl/>
        </w:rPr>
        <w:t xml:space="preserve"> قال الإمام الباقلاني</w:t>
      </w:r>
      <w:r w:rsidR="000636C2">
        <w:rPr>
          <w:rFonts w:hint="cs"/>
          <w:rtl/>
        </w:rPr>
        <w:t>:</w:t>
      </w:r>
      <w:r w:rsidRPr="005675B2">
        <w:rPr>
          <w:rFonts w:hint="cs"/>
          <w:rtl/>
        </w:rPr>
        <w:t xml:space="preserve"> قال الأشعري من قال</w:t>
      </w:r>
      <w:r w:rsidR="000636C2">
        <w:rPr>
          <w:rFonts w:hint="cs"/>
          <w:rtl/>
        </w:rPr>
        <w:t>:</w:t>
      </w:r>
      <w:r w:rsidRPr="005675B2">
        <w:rPr>
          <w:rFonts w:hint="cs"/>
          <w:rtl/>
        </w:rPr>
        <w:t xml:space="preserve"> لفظي بالقرآن مخلوق فهو ضال مبتدع قال الباقلاني</w:t>
      </w:r>
      <w:r w:rsidR="000636C2">
        <w:rPr>
          <w:rFonts w:hint="cs"/>
          <w:rtl/>
        </w:rPr>
        <w:t>:</w:t>
      </w:r>
      <w:r w:rsidRPr="005675B2">
        <w:rPr>
          <w:rFonts w:hint="cs"/>
          <w:rtl/>
        </w:rPr>
        <w:t xml:space="preserve"> وكذلك نضلل ونبدع من قال لفظي به غير مخلوق وهو مذهب أحمد الذي رواه عنه ابناه صالح وعبدالله</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الإنصاف للباقلاني]</w:t>
      </w:r>
      <w:r w:rsidRPr="005675B2">
        <w:rPr>
          <w:rFonts w:hint="cs"/>
          <w:rtl/>
        </w:rPr>
        <w:t xml:space="preserve"> وقال</w:t>
      </w:r>
      <w:r w:rsidR="000636C2">
        <w:rPr>
          <w:rFonts w:hint="cs"/>
          <w:rtl/>
        </w:rPr>
        <w:t>:</w:t>
      </w:r>
      <w:r w:rsidRPr="005675B2">
        <w:rPr>
          <w:rFonts w:hint="cs"/>
          <w:rtl/>
        </w:rPr>
        <w:t xml:space="preserve"> وأن الله تعالى متكلم وكلامه غير مخلوق</w:t>
      </w:r>
      <w:r w:rsidR="000636C2">
        <w:rPr>
          <w:rFonts w:hint="cs"/>
          <w:rtl/>
        </w:rPr>
        <w:t xml:space="preserve">، </w:t>
      </w:r>
      <w:r w:rsidRPr="005675B2">
        <w:rPr>
          <w:rFonts w:hint="cs"/>
          <w:rtl/>
        </w:rPr>
        <w:t>[</w:t>
      </w:r>
      <w:r w:rsidRPr="005675B2">
        <w:rPr>
          <w:rFonts w:hint="cs"/>
          <w:bCs/>
          <w:sz w:val="24"/>
          <w:szCs w:val="24"/>
          <w:rtl/>
        </w:rPr>
        <w:t>الإنصاف ص56</w:t>
      </w:r>
      <w:r w:rsidRPr="005675B2">
        <w:rPr>
          <w:rFonts w:hint="cs"/>
          <w:rtl/>
        </w:rPr>
        <w:t>]</w:t>
      </w:r>
      <w:r w:rsidR="000636C2">
        <w:rPr>
          <w:rFonts w:hint="cs"/>
          <w:rtl/>
        </w:rPr>
        <w:t>،</w:t>
      </w:r>
      <w:r w:rsidRPr="005675B2">
        <w:rPr>
          <w:rFonts w:hint="cs"/>
          <w:rtl/>
        </w:rPr>
        <w:t xml:space="preserve"> فهذا رأي أئمة الأشاعرة في المسألة وهو عين كلام الشافعي وأحمد وأبوحنيفة وغيرهم مع مزيد إيضاح ليس إلا</w:t>
      </w:r>
      <w:r w:rsidR="000636C2">
        <w:rPr>
          <w:rFonts w:hint="cs"/>
          <w:rtl/>
        </w:rPr>
        <w:t xml:space="preserve">، </w:t>
      </w:r>
      <w:r w:rsidRPr="005675B2">
        <w:rPr>
          <w:rFonts w:hint="cs"/>
          <w:rtl/>
        </w:rPr>
        <w:t>ويقول الإمام السبكي في</w:t>
      </w:r>
      <w:r w:rsidR="000636C2">
        <w:rPr>
          <w:rFonts w:hint="cs"/>
          <w:rtl/>
        </w:rPr>
        <w:t xml:space="preserve"> </w:t>
      </w:r>
      <w:r w:rsidRPr="005675B2">
        <w:rPr>
          <w:rFonts w:hint="cs"/>
          <w:rtl/>
        </w:rPr>
        <w:t>طبقات الشافعية وهو يذكر فتنة خلق القرآن وإفراط ابن أبي دؤاد</w:t>
      </w:r>
      <w:r w:rsidR="000636C2">
        <w:rPr>
          <w:rFonts w:hint="cs"/>
          <w:rtl/>
        </w:rPr>
        <w:t>:</w:t>
      </w:r>
      <w:r w:rsidRPr="005675B2">
        <w:rPr>
          <w:rFonts w:hint="cs"/>
          <w:rtl/>
        </w:rPr>
        <w:t xml:space="preserve"> إنه لما كان الفداء فى سنة إحدى وثلاثين ومائتين واستفك الواثق من طاغية الروم أربعة آلاف وستمائة نفس قال ابن أبي دؤاد على ما حكي عنه ولكن لم يثبت عندنا من قال من الأسارى القرآن مخلوق خلصوه وأعطوه دينارين ومن امتنع دعوه فى الأسر </w:t>
      </w:r>
      <w:r w:rsidRPr="005675B2">
        <w:rPr>
          <w:rFonts w:hint="cs"/>
          <w:u w:val="single"/>
          <w:rtl/>
        </w:rPr>
        <w:t>وهذه الحكاية إن صحت عنه دلت على جهل عظيم وإفراط فى الكفر</w:t>
      </w:r>
      <w:r w:rsidR="000636C2">
        <w:rPr>
          <w:rFonts w:hint="cs"/>
          <w:u w:val="single"/>
          <w:rtl/>
        </w:rPr>
        <w:t>،</w:t>
      </w:r>
      <w:r w:rsidRPr="005675B2">
        <w:rPr>
          <w:rFonts w:hint="cs"/>
          <w:u w:val="single"/>
          <w:rtl/>
        </w:rPr>
        <w:t xml:space="preserve"> </w:t>
      </w:r>
      <w:r w:rsidRPr="005675B2">
        <w:rPr>
          <w:rFonts w:hint="cs"/>
          <w:rtl/>
        </w:rPr>
        <w:t>وهذا من الطراز الأول فإذا رأى الخليفة قاضياً يقول هذا الكلام أليس يوقعه ذلك فى أشد مما وقع منه فنعوذ بالله من علماء السوء ونسأله التوفيق والإعانة</w:t>
      </w:r>
      <w:r w:rsidR="000636C2">
        <w:rPr>
          <w:rFonts w:hint="cs"/>
          <w:rtl/>
        </w:rPr>
        <w:t>،</w:t>
      </w:r>
      <w:r w:rsidRPr="005675B2">
        <w:rPr>
          <w:rFonts w:hint="cs"/>
          <w:rtl/>
        </w:rPr>
        <w:t xml:space="preserve"> أهـ</w:t>
      </w:r>
      <w:r w:rsidR="000636C2">
        <w:rPr>
          <w:rFonts w:hint="cs"/>
          <w:rtl/>
        </w:rPr>
        <w:t xml:space="preserve"> </w:t>
      </w:r>
      <w:r w:rsidRPr="005675B2">
        <w:rPr>
          <w:rFonts w:hint="cs"/>
          <w:rtl/>
        </w:rPr>
        <w:t>من ترجمة السبكي للإمام أحمدفهل علماء الأشاعرة يقولون هذا عمن قال بخلق القرآن ويكونون قائلين بخلقه</w:t>
      </w:r>
      <w:r w:rsidR="000636C2">
        <w:rPr>
          <w:rFonts w:hint="cs"/>
          <w:rtl/>
        </w:rPr>
        <w:t>؟!</w:t>
      </w:r>
      <w:r w:rsidRPr="005675B2">
        <w:rPr>
          <w:rFonts w:hint="cs"/>
          <w:rtl/>
        </w:rPr>
        <w:t>!</w:t>
      </w:r>
    </w:p>
    <w:p w14:paraId="7EB343CB" w14:textId="79719BD5" w:rsidR="009C32A0" w:rsidRPr="005675B2" w:rsidRDefault="009C32A0" w:rsidP="000636C2">
      <w:pPr>
        <w:rPr>
          <w:bCs/>
          <w:u w:val="single"/>
          <w:rtl/>
        </w:rPr>
      </w:pPr>
      <w:r w:rsidRPr="005675B2">
        <w:rPr>
          <w:rFonts w:hint="cs"/>
          <w:bCs/>
          <w:u w:val="single"/>
          <w:rtl/>
        </w:rPr>
        <w:t>مسألة</w:t>
      </w:r>
      <w:r w:rsidR="000636C2">
        <w:rPr>
          <w:rFonts w:hint="cs"/>
          <w:bCs/>
          <w:u w:val="single"/>
          <w:rtl/>
        </w:rPr>
        <w:t>:</w:t>
      </w:r>
      <w:r w:rsidRPr="005675B2">
        <w:rPr>
          <w:rFonts w:hint="cs"/>
          <w:bCs/>
          <w:u w:val="single"/>
          <w:rtl/>
        </w:rPr>
        <w:t xml:space="preserve"> دليل الأشاعرة على أن كلام الله ليس بصوت ولا حرف</w:t>
      </w:r>
      <w:r w:rsidR="000636C2">
        <w:rPr>
          <w:rFonts w:hint="cs"/>
          <w:bCs/>
          <w:u w:val="single"/>
          <w:rtl/>
        </w:rPr>
        <w:t>:</w:t>
      </w:r>
      <w:r w:rsidRPr="005675B2">
        <w:rPr>
          <w:rFonts w:hint="cs"/>
          <w:bCs/>
          <w:u w:val="single"/>
          <w:rtl/>
        </w:rPr>
        <w:t xml:space="preserve"> </w:t>
      </w:r>
    </w:p>
    <w:p w14:paraId="3E3CB875" w14:textId="24FCCB98"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الدليل عندهم على ذلك هو عدم الدليل قالوا لايوجد دليل سمعي ولا عقلي على ذلك</w:t>
      </w:r>
      <w:r w:rsidR="000636C2">
        <w:rPr>
          <w:rFonts w:hint="cs"/>
          <w:rtl/>
        </w:rPr>
        <w:t>،</w:t>
      </w:r>
      <w:r w:rsidRPr="005675B2">
        <w:rPr>
          <w:rFonts w:hint="cs"/>
          <w:rtl/>
        </w:rPr>
        <w:t xml:space="preserve"> فأما استدلال من خالف الأشعرية</w:t>
      </w:r>
      <w:r w:rsidR="000636C2">
        <w:rPr>
          <w:rFonts w:hint="cs"/>
          <w:rtl/>
        </w:rPr>
        <w:t xml:space="preserve"> </w:t>
      </w:r>
      <w:r w:rsidRPr="005675B2">
        <w:rPr>
          <w:rFonts w:hint="cs"/>
          <w:rtl/>
        </w:rPr>
        <w:t>وغيرهم بأنه صوت وحرف فأدلة لا تقوم بها حجة</w:t>
      </w:r>
      <w:r w:rsidR="000636C2">
        <w:rPr>
          <w:rFonts w:hint="cs"/>
          <w:rtl/>
        </w:rPr>
        <w:t>:</w:t>
      </w:r>
      <w:r w:rsidRPr="005675B2">
        <w:rPr>
          <w:rFonts w:hint="cs"/>
          <w:rtl/>
        </w:rPr>
        <w:t xml:space="preserve"> فأدلتهم هي</w:t>
      </w:r>
    </w:p>
    <w:p w14:paraId="3A7D4821" w14:textId="0915DE8B"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اللغة</w:t>
      </w:r>
      <w:r w:rsidR="000636C2">
        <w:rPr>
          <w:rFonts w:hint="cs"/>
          <w:rtl/>
        </w:rPr>
        <w:t>:</w:t>
      </w:r>
      <w:r w:rsidRPr="005675B2">
        <w:rPr>
          <w:rFonts w:hint="cs"/>
          <w:rtl/>
        </w:rPr>
        <w:t xml:space="preserve"> وهو أنه لا يعرف في الشاهد كلام إلا بحرف وصوت</w:t>
      </w:r>
      <w:r w:rsidR="000636C2">
        <w:rPr>
          <w:rFonts w:hint="cs"/>
          <w:rtl/>
        </w:rPr>
        <w:t>،</w:t>
      </w:r>
      <w:r w:rsidRPr="005675B2">
        <w:rPr>
          <w:rFonts w:hint="cs"/>
          <w:rtl/>
        </w:rPr>
        <w:t xml:space="preserve"> </w:t>
      </w:r>
      <w:r w:rsidRPr="005675B2">
        <w:rPr>
          <w:rFonts w:hint="cs"/>
          <w:u w:val="single"/>
          <w:rtl/>
        </w:rPr>
        <w:t>الرد</w:t>
      </w:r>
      <w:r w:rsidR="000636C2">
        <w:rPr>
          <w:rFonts w:hint="cs"/>
          <w:u w:val="single"/>
          <w:rtl/>
        </w:rPr>
        <w:t>:</w:t>
      </w:r>
      <w:r w:rsidRPr="005675B2">
        <w:rPr>
          <w:rFonts w:hint="cs"/>
          <w:rtl/>
        </w:rPr>
        <w:t xml:space="preserve"> أن صفات الله لا تقاس على صفات المخلوق</w:t>
      </w:r>
      <w:r w:rsidR="000636C2">
        <w:rPr>
          <w:rFonts w:hint="cs"/>
          <w:rtl/>
        </w:rPr>
        <w:t>،</w:t>
      </w:r>
      <w:r w:rsidRPr="005675B2">
        <w:rPr>
          <w:rFonts w:hint="cs"/>
          <w:rtl/>
        </w:rPr>
        <w:t xml:space="preserve"> رغم أن اللغة لا تحصر الكلام في الحرف والصوت بل هناك في اللغة كلام الفؤاد والنفس ولا نقول أن الله له كلام بهذا المعنى ولا بمعنى الصوت والحرف لأن هذا قياس باطل فإن صفات الله لا تقاس على صفات المخلوق</w:t>
      </w:r>
      <w:r w:rsidR="000636C2">
        <w:rPr>
          <w:rFonts w:hint="cs"/>
          <w:rtl/>
        </w:rPr>
        <w:t>،</w:t>
      </w:r>
      <w:r w:rsidRPr="005675B2">
        <w:rPr>
          <w:rFonts w:hint="cs"/>
          <w:rtl/>
        </w:rPr>
        <w:t xml:space="preserve"> [</w:t>
      </w:r>
      <w:r w:rsidRPr="005675B2">
        <w:rPr>
          <w:rFonts w:hint="cs"/>
          <w:bCs/>
          <w:sz w:val="24"/>
          <w:szCs w:val="24"/>
          <w:rtl/>
        </w:rPr>
        <w:t>مختصر من شرح أم البراهين مع حاشية الدسوقي عليه . ص179</w:t>
      </w:r>
      <w:r w:rsidRPr="005675B2">
        <w:rPr>
          <w:rFonts w:hint="cs"/>
          <w:rtl/>
        </w:rPr>
        <w:t>]</w:t>
      </w:r>
      <w:r w:rsidR="000636C2">
        <w:rPr>
          <w:rFonts w:hint="cs"/>
          <w:rtl/>
        </w:rPr>
        <w:t>،</w:t>
      </w:r>
      <w:r w:rsidRPr="005675B2">
        <w:rPr>
          <w:rFonts w:hint="cs"/>
          <w:rtl/>
        </w:rPr>
        <w:t xml:space="preserve"> قال الألوسي</w:t>
      </w:r>
      <w:r w:rsidR="000636C2">
        <w:rPr>
          <w:rFonts w:hint="cs"/>
          <w:rtl/>
        </w:rPr>
        <w:t xml:space="preserve">: </w:t>
      </w:r>
      <w:r w:rsidRPr="005675B2">
        <w:rPr>
          <w:rFonts w:hint="cs"/>
          <w:rtl/>
        </w:rPr>
        <w:t>أما النفسي</w:t>
      </w:r>
      <w:r w:rsidR="000636C2">
        <w:rPr>
          <w:rFonts w:hint="cs"/>
          <w:rtl/>
        </w:rPr>
        <w:t>:</w:t>
      </w:r>
      <w:r w:rsidRPr="005675B2">
        <w:rPr>
          <w:rFonts w:hint="cs"/>
          <w:rtl/>
        </w:rPr>
        <w:t>فمعناه الأول تكلم الإنسان بكلمات ذهنية وألفاظ مخيلة يرتبها في الذهن على وجه</w:t>
      </w:r>
      <w:r w:rsidRPr="005675B2">
        <w:rPr>
          <w:rFonts w:hint="cs"/>
        </w:rPr>
        <w:t xml:space="preserve"> </w:t>
      </w:r>
      <w:r w:rsidRPr="005675B2">
        <w:rPr>
          <w:rFonts w:hint="cs"/>
          <w:rtl/>
        </w:rPr>
        <w:t>إذا تلفظ بها بصوت محسوس كانت عين كلماته اللفظية</w:t>
      </w:r>
      <w:r w:rsidR="000636C2">
        <w:rPr>
          <w:rFonts w:hint="cs"/>
          <w:rtl/>
        </w:rPr>
        <w:t>،</w:t>
      </w:r>
      <w:r w:rsidRPr="005675B2">
        <w:rPr>
          <w:rFonts w:hint="cs"/>
          <w:rtl/>
        </w:rPr>
        <w:t xml:space="preserve"> ومعناه الثاني</w:t>
      </w:r>
      <w:r w:rsidR="000636C2">
        <w:rPr>
          <w:rFonts w:hint="cs"/>
          <w:rtl/>
        </w:rPr>
        <w:t>:</w:t>
      </w:r>
      <w:r w:rsidRPr="005675B2">
        <w:rPr>
          <w:rFonts w:hint="cs"/>
          <w:rtl/>
        </w:rPr>
        <w:t>هو هذه</w:t>
      </w:r>
      <w:r w:rsidRPr="005675B2">
        <w:rPr>
          <w:rFonts w:hint="cs"/>
        </w:rPr>
        <w:t xml:space="preserve"> </w:t>
      </w:r>
      <w:r w:rsidRPr="005675B2">
        <w:rPr>
          <w:rFonts w:hint="cs"/>
          <w:rtl/>
        </w:rPr>
        <w:t>الكلمات الذهنية والألفاظ المخيلة المرتبة ترتيبا ذهنيا منطبقا عليه الترتيب</w:t>
      </w:r>
      <w:r w:rsidRPr="005675B2">
        <w:rPr>
          <w:rFonts w:hint="cs"/>
        </w:rPr>
        <w:t xml:space="preserve"> </w:t>
      </w:r>
      <w:r w:rsidRPr="005675B2">
        <w:rPr>
          <w:rFonts w:hint="cs"/>
          <w:rtl/>
        </w:rPr>
        <w:t>الخارجي</w:t>
      </w:r>
      <w:r w:rsidR="000636C2">
        <w:rPr>
          <w:rFonts w:hint="cs"/>
          <w:rtl/>
        </w:rPr>
        <w:t>،</w:t>
      </w:r>
      <w:r w:rsidRPr="005675B2">
        <w:rPr>
          <w:rFonts w:hint="cs"/>
          <w:rtl/>
        </w:rPr>
        <w:t xml:space="preserve"> والدليل على أن للنفس كلاما بالمعنيين الكتاب والسنة فمن الآيات قوله</w:t>
      </w:r>
      <w:r w:rsidRPr="005675B2">
        <w:rPr>
          <w:rFonts w:hint="cs"/>
        </w:rPr>
        <w:t xml:space="preserve"> </w:t>
      </w:r>
      <w:r w:rsidRPr="005675B2">
        <w:rPr>
          <w:rFonts w:hint="cs"/>
          <w:rtl/>
        </w:rPr>
        <w:t>تعالى</w:t>
      </w:r>
      <w:r w:rsidR="000636C2">
        <w:rPr>
          <w:rFonts w:hint="cs"/>
          <w:rtl/>
        </w:rPr>
        <w:t>:</w:t>
      </w:r>
      <w:r w:rsidRPr="005675B2">
        <w:rPr>
          <w:rFonts w:hint="cs"/>
          <w:rtl/>
        </w:rPr>
        <w:t xml:space="preserve"> </w:t>
      </w:r>
      <w:r w:rsidR="000636C2">
        <w:rPr>
          <w:rFonts w:hint="cs"/>
          <w:rtl/>
        </w:rPr>
        <w:t>(</w:t>
      </w:r>
      <w:r w:rsidRPr="005675B2">
        <w:rPr>
          <w:rFonts w:hint="cs"/>
          <w:rtl/>
        </w:rPr>
        <w:t>فأسرها يوسف في نفسه ولم يبدها لهم قال أنتم شر مكانا</w:t>
      </w:r>
      <w:r w:rsidR="000636C2">
        <w:rPr>
          <w:rFonts w:hint="cs"/>
          <w:rtl/>
        </w:rPr>
        <w:t>)</w:t>
      </w:r>
      <w:r w:rsidRPr="005675B2">
        <w:rPr>
          <w:rFonts w:hint="cs"/>
          <w:rtl/>
        </w:rPr>
        <w:t xml:space="preserve"> فإن </w:t>
      </w:r>
      <w:r w:rsidR="000636C2">
        <w:rPr>
          <w:rFonts w:hint="cs"/>
          <w:rtl/>
        </w:rPr>
        <w:t>(</w:t>
      </w:r>
      <w:r w:rsidRPr="005675B2">
        <w:rPr>
          <w:rFonts w:hint="cs"/>
          <w:rtl/>
        </w:rPr>
        <w:t>قال</w:t>
      </w:r>
      <w:r w:rsidR="000636C2">
        <w:rPr>
          <w:rFonts w:hint="cs"/>
          <w:rtl/>
        </w:rPr>
        <w:t>)</w:t>
      </w:r>
      <w:r w:rsidRPr="005675B2">
        <w:rPr>
          <w:rFonts w:hint="cs"/>
          <w:rtl/>
        </w:rPr>
        <w:t xml:space="preserve"> بدل</w:t>
      </w:r>
      <w:r w:rsidRPr="005675B2">
        <w:rPr>
          <w:rFonts w:hint="cs"/>
        </w:rPr>
        <w:t xml:space="preserve"> </w:t>
      </w:r>
      <w:r w:rsidRPr="005675B2">
        <w:rPr>
          <w:rFonts w:hint="cs"/>
          <w:rtl/>
        </w:rPr>
        <w:t xml:space="preserve">من </w:t>
      </w:r>
      <w:r w:rsidR="000636C2">
        <w:rPr>
          <w:rFonts w:hint="cs"/>
          <w:rtl/>
        </w:rPr>
        <w:t>(</w:t>
      </w:r>
      <w:r w:rsidRPr="005675B2">
        <w:rPr>
          <w:rFonts w:hint="cs"/>
          <w:rtl/>
        </w:rPr>
        <w:t>أسر</w:t>
      </w:r>
      <w:r w:rsidR="000636C2">
        <w:rPr>
          <w:rFonts w:hint="cs"/>
          <w:rtl/>
        </w:rPr>
        <w:t>)</w:t>
      </w:r>
      <w:r w:rsidRPr="005675B2">
        <w:rPr>
          <w:rFonts w:hint="cs"/>
          <w:rtl/>
        </w:rPr>
        <w:t xml:space="preserve"> أو استئناف بياني كأنه قيل فماذا قال في نفسه في ذلك الإسرار فقيل</w:t>
      </w:r>
      <w:r w:rsidR="000636C2">
        <w:rPr>
          <w:rFonts w:hint="cs"/>
          <w:rtl/>
        </w:rPr>
        <w:t>:</w:t>
      </w:r>
      <w:r w:rsidRPr="005675B2">
        <w:t xml:space="preserve"> </w:t>
      </w:r>
      <w:r w:rsidR="000636C2">
        <w:rPr>
          <w:rtl/>
        </w:rPr>
        <w:t>(</w:t>
      </w:r>
      <w:r w:rsidRPr="005675B2">
        <w:rPr>
          <w:rFonts w:hint="cs"/>
          <w:rtl/>
        </w:rPr>
        <w:t>قال أنتم شر مكانا</w:t>
      </w:r>
      <w:r w:rsidR="000636C2">
        <w:rPr>
          <w:rFonts w:hint="cs"/>
          <w:rtl/>
        </w:rPr>
        <w:t>)</w:t>
      </w:r>
      <w:r w:rsidRPr="005675B2">
        <w:rPr>
          <w:rFonts w:hint="cs"/>
          <w:rtl/>
        </w:rPr>
        <w:t xml:space="preserve"> وعلى التقديرين فالآية دالة على أن للنفس كلاما بالمعنى</w:t>
      </w:r>
      <w:r w:rsidRPr="005675B2">
        <w:rPr>
          <w:rFonts w:hint="cs"/>
        </w:rPr>
        <w:t xml:space="preserve"> </w:t>
      </w:r>
      <w:r w:rsidRPr="005675B2">
        <w:rPr>
          <w:rFonts w:hint="cs"/>
          <w:rtl/>
        </w:rPr>
        <w:t>المصدري وقولا بالمعنى الحاصل بالمصدر</w:t>
      </w:r>
      <w:r w:rsidR="000636C2">
        <w:rPr>
          <w:rFonts w:hint="cs"/>
          <w:rtl/>
        </w:rPr>
        <w:t>،</w:t>
      </w:r>
      <w:r w:rsidRPr="005675B2">
        <w:rPr>
          <w:rFonts w:hint="cs"/>
          <w:rtl/>
        </w:rPr>
        <w:t xml:space="preserve"> ومن</w:t>
      </w:r>
      <w:r w:rsidRPr="005675B2">
        <w:rPr>
          <w:rFonts w:hint="cs"/>
        </w:rPr>
        <w:t xml:space="preserve"> </w:t>
      </w:r>
      <w:r w:rsidRPr="005675B2">
        <w:rPr>
          <w:rFonts w:hint="cs"/>
          <w:rtl/>
        </w:rPr>
        <w:t>الأحاديث ما رواه الطبراني عن أم سلمة أنها سمعت رسول الله صلى الله تعالى عليه</w:t>
      </w:r>
      <w:r w:rsidRPr="005675B2">
        <w:rPr>
          <w:rFonts w:hint="cs"/>
        </w:rPr>
        <w:t xml:space="preserve"> </w:t>
      </w:r>
      <w:r w:rsidRPr="005675B2">
        <w:rPr>
          <w:rFonts w:hint="cs"/>
          <w:rtl/>
        </w:rPr>
        <w:t>وسلم وقد سأله رجل فقال</w:t>
      </w:r>
      <w:r w:rsidR="000636C2">
        <w:rPr>
          <w:rFonts w:hint="cs"/>
          <w:rtl/>
        </w:rPr>
        <w:t>:</w:t>
      </w:r>
      <w:r w:rsidRPr="005675B2">
        <w:rPr>
          <w:rFonts w:hint="cs"/>
          <w:rtl/>
        </w:rPr>
        <w:t xml:space="preserve"> إني لأحدث نفسي بالشيء لو تكلمت به لأحبطت أجري </w:t>
      </w:r>
      <w:r w:rsidRPr="005675B2">
        <w:rPr>
          <w:rFonts w:hint="cs"/>
          <w:u w:val="single"/>
          <w:rtl/>
        </w:rPr>
        <w:t>فقال لا</w:t>
      </w:r>
      <w:r w:rsidRPr="005675B2">
        <w:rPr>
          <w:rFonts w:hint="cs"/>
          <w:u w:val="single"/>
        </w:rPr>
        <w:t xml:space="preserve"> </w:t>
      </w:r>
      <w:r w:rsidRPr="005675B2">
        <w:rPr>
          <w:rFonts w:hint="cs"/>
          <w:u w:val="single"/>
          <w:rtl/>
        </w:rPr>
        <w:t>يلقي ذلك الكلام إلا مؤمن فسمى صلى الله تعالى عليه وسلم ذلك الشيء المحدث به كلاما</w:t>
      </w:r>
      <w:r w:rsidRPr="005675B2">
        <w:rPr>
          <w:rFonts w:hint="cs"/>
        </w:rPr>
        <w:t xml:space="preserve"> </w:t>
      </w:r>
      <w:r w:rsidRPr="005675B2">
        <w:rPr>
          <w:rFonts w:hint="cs"/>
          <w:rtl/>
        </w:rPr>
        <w:t>مع أنه كلمات ذهنية والأصل في الإطلاق الحقيقة ولا صارف عنها</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روح المعاني 1/ص10</w:t>
      </w:r>
      <w:r w:rsidRPr="005675B2">
        <w:rPr>
          <w:rFonts w:hint="cs"/>
          <w:rtl/>
        </w:rPr>
        <w:t>]</w:t>
      </w:r>
    </w:p>
    <w:p w14:paraId="7344FBD8" w14:textId="0CCDB543"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استدل المثبتون</w:t>
      </w:r>
      <w:r w:rsidR="000636C2">
        <w:rPr>
          <w:rFonts w:hint="cs"/>
          <w:rtl/>
        </w:rPr>
        <w:t xml:space="preserve"> </w:t>
      </w:r>
      <w:r w:rsidRPr="005675B2">
        <w:rPr>
          <w:rFonts w:hint="cs"/>
          <w:rtl/>
        </w:rPr>
        <w:t>لصفة الصوت</w:t>
      </w:r>
      <w:r w:rsidR="000636C2">
        <w:rPr>
          <w:rFonts w:hint="cs"/>
          <w:rtl/>
        </w:rPr>
        <w:t>:</w:t>
      </w:r>
      <w:r w:rsidRPr="005675B2">
        <w:rPr>
          <w:rFonts w:hint="cs"/>
          <w:rtl/>
        </w:rPr>
        <w:t xml:space="preserve"> بحديث عن مسروق عن عبد الله قال قال</w:t>
      </w:r>
      <w:r w:rsidR="000636C2">
        <w:rPr>
          <w:rFonts w:hint="cs"/>
          <w:rtl/>
        </w:rPr>
        <w:t>:</w:t>
      </w:r>
      <w:r w:rsidRPr="005675B2">
        <w:rPr>
          <w:rFonts w:hint="cs"/>
          <w:rtl/>
        </w:rPr>
        <w:t>رسول الله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إذا تكلم الله بالوحي سمع أهل 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w:t>
      </w:r>
      <w:r w:rsidR="000636C2">
        <w:rPr>
          <w:rFonts w:hint="cs"/>
          <w:rtl/>
        </w:rPr>
        <w:t>)،</w:t>
      </w:r>
      <w:r w:rsidRPr="005675B2">
        <w:rPr>
          <w:rFonts w:hint="cs"/>
          <w:rtl/>
        </w:rPr>
        <w:t xml:space="preserve"> ‏ ‏ وفي البخاري تعليقاً من قول عبد الله بن مسعود</w:t>
      </w:r>
      <w:r w:rsidR="000636C2">
        <w:rPr>
          <w:rFonts w:hint="cs"/>
          <w:rtl/>
        </w:rPr>
        <w:t>:</w:t>
      </w:r>
      <w:r w:rsidRPr="005675B2">
        <w:rPr>
          <w:rFonts w:hint="cs"/>
          <w:rtl/>
        </w:rPr>
        <w:t xml:space="preserve"> </w:t>
      </w:r>
      <w:r w:rsidR="000636C2">
        <w:rPr>
          <w:rFonts w:hint="cs"/>
          <w:rtl/>
        </w:rPr>
        <w:t>(</w:t>
      </w:r>
      <w:r w:rsidRPr="005675B2">
        <w:rPr>
          <w:rFonts w:hint="cs"/>
          <w:rtl/>
        </w:rPr>
        <w:t>إذا تكلم الله بالوحي سمع أهل السماوات شيئا فإذا فزع عن قلوبهم وسكن الصوت عرفوا أنه الحق ونادوا ماذا قال ربكم قالوا الحق</w:t>
      </w:r>
      <w:r w:rsidR="000636C2">
        <w:rPr>
          <w:rFonts w:hint="cs"/>
          <w:rtl/>
        </w:rPr>
        <w:t>)</w:t>
      </w:r>
      <w:r w:rsidRPr="005675B2">
        <w:rPr>
          <w:rFonts w:hint="cs"/>
          <w:rtl/>
        </w:rPr>
        <w:t xml:space="preserve"> انتهى ‏</w:t>
      </w:r>
      <w:r w:rsidR="000636C2">
        <w:rPr>
          <w:rFonts w:hint="cs"/>
          <w:rtl/>
        </w:rPr>
        <w:t>،</w:t>
      </w:r>
      <w:r w:rsidRPr="005675B2">
        <w:rPr>
          <w:rFonts w:hint="cs"/>
          <w:rtl/>
        </w:rPr>
        <w:t xml:space="preserve"> قال في فتح الباري في رواية أبي داود وغيره " سمع أهل السماء </w:t>
      </w:r>
      <w:r w:rsidRPr="005675B2">
        <w:rPr>
          <w:rFonts w:hint="cs"/>
          <w:u w:val="single"/>
          <w:rtl/>
        </w:rPr>
        <w:t xml:space="preserve">للسماء </w:t>
      </w:r>
      <w:r w:rsidRPr="005675B2">
        <w:rPr>
          <w:rFonts w:hint="cs"/>
          <w:rtl/>
        </w:rPr>
        <w:t>صلصلة كجر السلسلة على الصفا " ولبعضهم الصفوان بدل الصفا وفي رواية الثوري الحديد بدل السلسلة</w:t>
      </w:r>
      <w:r w:rsidR="000636C2">
        <w:rPr>
          <w:rFonts w:hint="cs"/>
          <w:rtl/>
        </w:rPr>
        <w:t>،</w:t>
      </w:r>
      <w:r w:rsidRPr="005675B2">
        <w:rPr>
          <w:rFonts w:hint="cs"/>
          <w:rtl/>
        </w:rPr>
        <w:t>وفي رواية شيبان بن عبد الرحمن عن منصور عند ابن أبي حاتم مثل صوت السلسلة , وعنده من رواية عامر الشعبي عن ابن مسعود " سمع من دونه صوتاً كجر السلسلة " وقال البخاري</w:t>
      </w:r>
      <w:r w:rsidR="000636C2">
        <w:rPr>
          <w:rFonts w:hint="cs"/>
          <w:rtl/>
        </w:rPr>
        <w:t xml:space="preserve"> </w:t>
      </w:r>
      <w:r w:rsidRPr="005675B2">
        <w:rPr>
          <w:rFonts w:hint="cs"/>
          <w:rtl/>
        </w:rPr>
        <w:t>في كتابه</w:t>
      </w:r>
      <w:r w:rsidR="000636C2">
        <w:rPr>
          <w:rFonts w:hint="cs"/>
          <w:rtl/>
        </w:rPr>
        <w:t xml:space="preserve"> </w:t>
      </w:r>
      <w:r w:rsidRPr="005675B2">
        <w:rPr>
          <w:rFonts w:hint="cs"/>
          <w:rtl/>
        </w:rPr>
        <w:t>خلق أفعال العباد</w:t>
      </w:r>
      <w:r w:rsidR="000636C2">
        <w:rPr>
          <w:rFonts w:hint="cs"/>
          <w:rtl/>
        </w:rPr>
        <w:t xml:space="preserve"> </w:t>
      </w:r>
      <w:r w:rsidRPr="005675B2">
        <w:rPr>
          <w:rFonts w:hint="cs"/>
          <w:u w:val="single"/>
          <w:rtl/>
        </w:rPr>
        <w:t>يذكر</w:t>
      </w:r>
      <w:r w:rsidRPr="005675B2">
        <w:rPr>
          <w:rFonts w:hint="cs"/>
          <w:rtl/>
        </w:rPr>
        <w:t xml:space="preserve"> </w:t>
      </w:r>
      <w:r w:rsidR="000636C2">
        <w:rPr>
          <w:rFonts w:hint="cs"/>
          <w:rtl/>
        </w:rPr>
        <w:t>(</w:t>
      </w:r>
      <w:r w:rsidRPr="005675B2">
        <w:rPr>
          <w:rFonts w:hint="cs"/>
          <w:rtl/>
        </w:rPr>
        <w:t>هكذا بصيغة التمريض</w:t>
      </w:r>
      <w:r w:rsidR="000636C2">
        <w:rPr>
          <w:rFonts w:hint="cs"/>
          <w:rtl/>
        </w:rPr>
        <w:t>)</w:t>
      </w:r>
      <w:r w:rsidRPr="005675B2">
        <w:rPr>
          <w:rFonts w:hint="cs"/>
          <w:rtl/>
        </w:rPr>
        <w:t xml:space="preserve"> عن النبي صلى الله عليه وسلم " إذا قضى الله الأمر في السماء ضربت الملائكة بأجنحتها خضعاناً لقوله , كأنه سلسلة على صفوان , فإذا فزع عن قلوبهم قالوا</w:t>
      </w:r>
      <w:r w:rsidR="000636C2">
        <w:rPr>
          <w:rFonts w:hint="cs"/>
          <w:rtl/>
        </w:rPr>
        <w:t>:</w:t>
      </w:r>
      <w:r w:rsidRPr="005675B2">
        <w:rPr>
          <w:rFonts w:hint="cs"/>
          <w:rtl/>
        </w:rPr>
        <w:t xml:space="preserve"> ماذا قال ربكم</w:t>
      </w:r>
      <w:r w:rsidR="000636C2">
        <w:rPr>
          <w:rFonts w:hint="cs"/>
          <w:rtl/>
        </w:rPr>
        <w:t>،</w:t>
      </w:r>
      <w:r w:rsidRPr="005675B2">
        <w:rPr>
          <w:rFonts w:hint="cs"/>
          <w:rtl/>
        </w:rPr>
        <w:t xml:space="preserve"> قالوا للذي قال</w:t>
      </w:r>
      <w:r w:rsidR="000636C2">
        <w:rPr>
          <w:rFonts w:hint="cs"/>
          <w:rtl/>
        </w:rPr>
        <w:t>:</w:t>
      </w:r>
      <w:r w:rsidRPr="005675B2">
        <w:rPr>
          <w:rFonts w:hint="cs"/>
          <w:rtl/>
        </w:rPr>
        <w:t xml:space="preserve"> الحق , وهو العلي الكبير , فسمعها مسترقو السمع , ومسترقو السمع هكذا</w:t>
      </w:r>
      <w:r w:rsidR="000636C2">
        <w:rPr>
          <w:rFonts w:hint="cs"/>
          <w:rtl/>
        </w:rPr>
        <w:t xml:space="preserve"> </w:t>
      </w:r>
      <w:r w:rsidRPr="005675B2">
        <w:rPr>
          <w:rFonts w:hint="cs"/>
          <w:rtl/>
        </w:rPr>
        <w:t>- بعضهم فوق بعض</w:t>
      </w:r>
      <w:r w:rsidR="000636C2">
        <w:rPr>
          <w:rFonts w:hint="cs"/>
          <w:rtl/>
        </w:rPr>
        <w:t xml:space="preserve"> </w:t>
      </w:r>
      <w:r w:rsidRPr="005675B2">
        <w:rPr>
          <w:rFonts w:hint="cs"/>
          <w:rtl/>
        </w:rPr>
        <w:t>- وذكر الحديث "</w:t>
      </w:r>
      <w:r w:rsidR="000636C2">
        <w:rPr>
          <w:rFonts w:hint="cs"/>
          <w:rtl/>
        </w:rPr>
        <w:t>،</w:t>
      </w:r>
      <w:r w:rsidRPr="005675B2">
        <w:rPr>
          <w:rFonts w:hint="cs"/>
          <w:rtl/>
        </w:rPr>
        <w:t xml:space="preserve"> ‏ وحديث</w:t>
      </w:r>
      <w:r w:rsidR="000636C2">
        <w:rPr>
          <w:rFonts w:hint="cs"/>
          <w:rtl/>
        </w:rPr>
        <w:t>:</w:t>
      </w:r>
      <w:r w:rsidRPr="005675B2">
        <w:rPr>
          <w:rFonts w:hint="cs"/>
          <w:rtl/>
        </w:rPr>
        <w:t xml:space="preserve"> (</w:t>
      </w:r>
      <w:r w:rsidR="000636C2">
        <w:rPr>
          <w:rFonts w:hint="cs"/>
          <w:rtl/>
        </w:rPr>
        <w:t>(</w:t>
      </w:r>
      <w:r w:rsidRPr="005675B2">
        <w:rPr>
          <w:rFonts w:hint="cs"/>
          <w:rtl/>
        </w:rPr>
        <w:t>عن أبي سعيد مرفوعاً (</w:t>
      </w:r>
      <w:r w:rsidR="000636C2">
        <w:rPr>
          <w:rFonts w:hint="cs"/>
          <w:rtl/>
        </w:rPr>
        <w:t>(</w:t>
      </w:r>
      <w:r w:rsidRPr="005675B2">
        <w:rPr>
          <w:rFonts w:hint="cs"/>
          <w:rtl/>
        </w:rPr>
        <w:t>يقول الله يا آدم فيقول لبيك وسعديك فينادي بصوت إن الله يأمرك أن تخرج من ذريتك بعثاً إلى النار</w:t>
      </w:r>
      <w:r w:rsidR="000636C2">
        <w:rPr>
          <w:rFonts w:hint="cs"/>
          <w:rtl/>
        </w:rPr>
        <w:t>)</w:t>
      </w:r>
      <w:r w:rsidRPr="005675B2">
        <w:rPr>
          <w:rFonts w:hint="cs"/>
          <w:rtl/>
        </w:rPr>
        <w:t>)رواه البخاري</w:t>
      </w:r>
      <w:r w:rsidR="000636C2">
        <w:rPr>
          <w:rFonts w:hint="cs"/>
          <w:rtl/>
        </w:rPr>
        <w:t>،</w:t>
      </w:r>
      <w:r w:rsidRPr="005675B2">
        <w:rPr>
          <w:rFonts w:hint="cs"/>
          <w:rtl/>
        </w:rPr>
        <w:t xml:space="preserve"> قال ابن حجر</w:t>
      </w:r>
      <w:r w:rsidR="000636C2">
        <w:rPr>
          <w:rFonts w:hint="cs"/>
          <w:rtl/>
        </w:rPr>
        <w:t>:</w:t>
      </w:r>
      <w:r w:rsidRPr="005675B2">
        <w:rPr>
          <w:rFonts w:hint="cs"/>
          <w:rtl/>
        </w:rPr>
        <w:t xml:space="preserve"> ووقع فينادي مضبوطاً للأكثر بكسر الدال</w:t>
      </w:r>
      <w:r w:rsidR="000636C2">
        <w:rPr>
          <w:rFonts w:hint="cs"/>
          <w:rtl/>
        </w:rPr>
        <w:t>،</w:t>
      </w:r>
      <w:r w:rsidRPr="005675B2">
        <w:rPr>
          <w:rFonts w:hint="cs"/>
          <w:rtl/>
        </w:rPr>
        <w:t xml:space="preserve">وفي رواية أبي ذر بكسر الدال على البناء للمجهول </w:t>
      </w:r>
      <w:r w:rsidR="000636C2">
        <w:rPr>
          <w:rFonts w:hint="cs"/>
          <w:rtl/>
        </w:rPr>
        <w:t>(</w:t>
      </w:r>
      <w:r w:rsidRPr="005675B2">
        <w:rPr>
          <w:rFonts w:hint="cs"/>
          <w:rtl/>
        </w:rPr>
        <w:t>فيُنادى</w:t>
      </w:r>
      <w:r w:rsidR="000636C2">
        <w:rPr>
          <w:rFonts w:hint="cs"/>
          <w:rtl/>
        </w:rPr>
        <w:t>)</w:t>
      </w:r>
      <w:r w:rsidRPr="005675B2">
        <w:rPr>
          <w:rFonts w:hint="cs"/>
          <w:rtl/>
        </w:rPr>
        <w:t xml:space="preserve">، ولا محظور في قول الجمهور فإن قرينة قوله </w:t>
      </w:r>
      <w:r w:rsidR="000636C2">
        <w:rPr>
          <w:rFonts w:hint="cs"/>
          <w:rtl/>
        </w:rPr>
        <w:t>(</w:t>
      </w:r>
      <w:r w:rsidRPr="005675B2">
        <w:rPr>
          <w:rFonts w:hint="cs"/>
          <w:rtl/>
        </w:rPr>
        <w:t>إن الله يأمرك</w:t>
      </w:r>
      <w:r w:rsidR="000636C2">
        <w:rPr>
          <w:rFonts w:hint="cs"/>
          <w:rtl/>
        </w:rPr>
        <w:t>)</w:t>
      </w:r>
      <w:r w:rsidRPr="005675B2">
        <w:rPr>
          <w:rFonts w:hint="cs"/>
          <w:rtl/>
        </w:rPr>
        <w:t xml:space="preserve">تدل ظاهراً على أن </w:t>
      </w:r>
      <w:r w:rsidRPr="005675B2">
        <w:rPr>
          <w:rFonts w:hint="cs"/>
          <w:u w:val="single"/>
          <w:rtl/>
        </w:rPr>
        <w:t>المنادي ملك يأمره الله</w:t>
      </w:r>
      <w:r w:rsidR="000636C2">
        <w:rPr>
          <w:rFonts w:hint="cs"/>
          <w:u w:val="single"/>
          <w:rtl/>
        </w:rPr>
        <w:t xml:space="preserve"> </w:t>
      </w:r>
      <w:r w:rsidRPr="005675B2">
        <w:rPr>
          <w:rFonts w:hint="cs"/>
          <w:u w:val="single"/>
          <w:rtl/>
        </w:rPr>
        <w:t>بأن ينادي بذلك</w:t>
      </w:r>
      <w:r w:rsidR="000636C2">
        <w:rPr>
          <w:rFonts w:hint="cs"/>
          <w:rtl/>
        </w:rPr>
        <w:t>،</w:t>
      </w:r>
      <w:r w:rsidRPr="005675B2">
        <w:rPr>
          <w:rFonts w:hint="cs"/>
          <w:rtl/>
        </w:rPr>
        <w:t xml:space="preserve"> أ هـ</w:t>
      </w:r>
      <w:r w:rsidR="000636C2">
        <w:rPr>
          <w:rFonts w:hint="cs"/>
          <w:rtl/>
        </w:rPr>
        <w:t xml:space="preserve"> </w:t>
      </w:r>
      <w:r w:rsidRPr="005675B2">
        <w:rPr>
          <w:rFonts w:hint="cs"/>
          <w:rtl/>
        </w:rPr>
        <w:t>[</w:t>
      </w:r>
      <w:r w:rsidRPr="005675B2">
        <w:rPr>
          <w:rFonts w:hint="cs"/>
          <w:bCs/>
          <w:sz w:val="24"/>
          <w:szCs w:val="24"/>
          <w:rtl/>
        </w:rPr>
        <w:t>فتح الباري1/ 243</w:t>
      </w:r>
      <w:r w:rsidRPr="005675B2">
        <w:rPr>
          <w:rFonts w:hint="cs"/>
          <w:rtl/>
        </w:rPr>
        <w:t>] فإذن لحديث فيه قرائن على أن النداء ليس من الله وإنما من ملك على أي الروايتين شئت</w:t>
      </w:r>
      <w:r w:rsidR="000636C2">
        <w:rPr>
          <w:rFonts w:hint="cs"/>
          <w:rtl/>
        </w:rPr>
        <w:t>،</w:t>
      </w:r>
      <w:r w:rsidRPr="005675B2">
        <w:rPr>
          <w:rFonts w:hint="cs"/>
          <w:rtl/>
        </w:rPr>
        <w:t xml:space="preserve"> فكيف نقطع بأن الحديث فيه إثبات صفة الصوت</w:t>
      </w:r>
      <w:r w:rsidR="000636C2">
        <w:rPr>
          <w:rFonts w:hint="cs"/>
          <w:rtl/>
        </w:rPr>
        <w:t>؟</w:t>
      </w:r>
      <w:r w:rsidRPr="005675B2">
        <w:rPr>
          <w:rFonts w:hint="cs"/>
          <w:rtl/>
        </w:rPr>
        <w:t>والدليل إذا تطرق له الاحتمال بطل الاستدلال</w:t>
      </w:r>
      <w:r w:rsidR="000636C2">
        <w:rPr>
          <w:rFonts w:hint="cs"/>
          <w:rtl/>
        </w:rPr>
        <w:t>،</w:t>
      </w:r>
    </w:p>
    <w:p w14:paraId="387E6FDA" w14:textId="6F21A967" w:rsidR="009C32A0" w:rsidRPr="005675B2" w:rsidRDefault="009C32A0" w:rsidP="000636C2">
      <w:pPr>
        <w:rPr>
          <w:b/>
          <w:rtl/>
        </w:rPr>
      </w:pPr>
      <w:r w:rsidRPr="005675B2">
        <w:rPr>
          <w:rFonts w:hint="cs"/>
          <w:u w:val="single"/>
          <w:rtl/>
        </w:rPr>
        <w:t>رد أهل السنة</w:t>
      </w:r>
      <w:r w:rsidR="000636C2">
        <w:rPr>
          <w:rFonts w:hint="cs"/>
          <w:u w:val="single"/>
          <w:rtl/>
        </w:rPr>
        <w:t xml:space="preserve"> </w:t>
      </w:r>
      <w:r w:rsidRPr="005675B2">
        <w:rPr>
          <w:rFonts w:hint="cs"/>
          <w:u w:val="single"/>
          <w:rtl/>
        </w:rPr>
        <w:t>على بقية الأحاديث</w:t>
      </w:r>
      <w:r w:rsidR="000636C2">
        <w:rPr>
          <w:rFonts w:hint="cs"/>
          <w:u w:val="single"/>
          <w:rtl/>
        </w:rPr>
        <w:t>:</w:t>
      </w:r>
      <w:r w:rsidRPr="005675B2">
        <w:rPr>
          <w:rFonts w:hint="cs"/>
          <w:u w:val="single"/>
          <w:rtl/>
        </w:rPr>
        <w:t xml:space="preserve"> </w:t>
      </w:r>
      <w:r w:rsidRPr="005675B2">
        <w:rPr>
          <w:rFonts w:hint="cs"/>
          <w:rtl/>
        </w:rPr>
        <w:t>لا بد للحكم الشرعي فضلاً عن الحكم العقدي من جمع جميع الأدلة في المسألة</w:t>
      </w:r>
      <w:r w:rsidR="000636C2">
        <w:rPr>
          <w:rFonts w:hint="cs"/>
          <w:rtl/>
        </w:rPr>
        <w:t>،</w:t>
      </w:r>
      <w:r w:rsidRPr="005675B2">
        <w:rPr>
          <w:rFonts w:hint="cs"/>
          <w:rtl/>
        </w:rPr>
        <w:t xml:space="preserve"> ثم بعد ذلك يحكم الحاكم حكماً صحيحاً</w:t>
      </w:r>
      <w:r w:rsidR="000636C2">
        <w:rPr>
          <w:rFonts w:hint="cs"/>
          <w:rtl/>
        </w:rPr>
        <w:t>،</w:t>
      </w:r>
      <w:r w:rsidRPr="005675B2">
        <w:rPr>
          <w:rFonts w:hint="cs"/>
          <w:rtl/>
        </w:rPr>
        <w:t>وفائدة جمع جميع الأدلة لأن في الأدلة مطلق يحمل على مقيد</w:t>
      </w:r>
      <w:r w:rsidR="000636C2">
        <w:rPr>
          <w:rFonts w:hint="cs"/>
          <w:rtl/>
        </w:rPr>
        <w:t>،</w:t>
      </w:r>
      <w:r w:rsidRPr="005675B2">
        <w:rPr>
          <w:rFonts w:hint="cs"/>
          <w:rtl/>
        </w:rPr>
        <w:t xml:space="preserve"> وعام له مخصص وهكذا مما هو معروف في الأصول</w:t>
      </w:r>
      <w:r w:rsidR="000636C2">
        <w:rPr>
          <w:rFonts w:hint="cs"/>
          <w:rtl/>
        </w:rPr>
        <w:t>،</w:t>
      </w:r>
      <w:r w:rsidRPr="005675B2">
        <w:rPr>
          <w:rFonts w:hint="cs"/>
          <w:rtl/>
        </w:rPr>
        <w:t>وإذا طبق ذلك على مسألة الصوت فإن بعض الأحاديث</w:t>
      </w:r>
      <w:r w:rsidR="000636C2">
        <w:rPr>
          <w:rFonts w:hint="cs"/>
          <w:rtl/>
        </w:rPr>
        <w:t xml:space="preserve"> </w:t>
      </w:r>
      <w:r w:rsidRPr="005675B2">
        <w:rPr>
          <w:rFonts w:hint="cs"/>
          <w:rtl/>
        </w:rPr>
        <w:t>يفسر بعضاً</w:t>
      </w:r>
      <w:r w:rsidR="000636C2">
        <w:rPr>
          <w:rFonts w:hint="cs"/>
          <w:rtl/>
        </w:rPr>
        <w:t>،</w:t>
      </w:r>
      <w:r w:rsidRPr="005675B2">
        <w:rPr>
          <w:rFonts w:hint="cs"/>
          <w:rtl/>
        </w:rPr>
        <w:t>والذي في الحديث يدل على أن الصوت صوت رجفة السماء كما في حديث أبي داود (</w:t>
      </w:r>
      <w:r w:rsidR="000636C2">
        <w:rPr>
          <w:rFonts w:hint="cs"/>
          <w:rtl/>
        </w:rPr>
        <w:t>(</w:t>
      </w:r>
      <w:r w:rsidRPr="005675B2">
        <w:rPr>
          <w:rFonts w:hint="cs"/>
          <w:rtl/>
        </w:rPr>
        <w:t xml:space="preserve">إذا تكلم الله بالوحي سمع أهل السماء </w:t>
      </w:r>
      <w:r w:rsidRPr="005675B2">
        <w:rPr>
          <w:rFonts w:hint="cs"/>
          <w:u w:val="single"/>
          <w:rtl/>
        </w:rPr>
        <w:t>للسماء صلصلة</w:t>
      </w:r>
      <w:r w:rsidRPr="005675B2">
        <w:rPr>
          <w:rFonts w:hint="cs"/>
          <w:rtl/>
        </w:rPr>
        <w:t xml:space="preserve"> كجر السلسلة ..</w:t>
      </w:r>
      <w:r w:rsidR="000636C2">
        <w:rPr>
          <w:rFonts w:hint="cs"/>
          <w:rtl/>
        </w:rPr>
        <w:t>،)</w:t>
      </w:r>
      <w:r w:rsidRPr="005675B2">
        <w:rPr>
          <w:rFonts w:hint="cs"/>
          <w:rtl/>
        </w:rPr>
        <w:t>) فالكلام صريح في أن الصوت هنا صوت للسماء كجر السلسلة</w:t>
      </w:r>
      <w:r w:rsidR="000636C2">
        <w:rPr>
          <w:rFonts w:hint="cs"/>
          <w:rtl/>
        </w:rPr>
        <w:t>،</w:t>
      </w:r>
      <w:r w:rsidRPr="005675B2">
        <w:rPr>
          <w:rFonts w:hint="cs"/>
          <w:rtl/>
        </w:rPr>
        <w:t xml:space="preserve"> فإذن لا دليل صريح على أن الصوت هو كلام الله خصوصاً وقد فسر بأنه يخص السماء بقوله(</w:t>
      </w:r>
      <w:r w:rsidR="000636C2">
        <w:rPr>
          <w:rFonts w:hint="cs"/>
          <w:rtl/>
        </w:rPr>
        <w:t>(</w:t>
      </w:r>
      <w:r w:rsidRPr="005675B2">
        <w:rPr>
          <w:rFonts w:hint="cs"/>
          <w:rtl/>
        </w:rPr>
        <w:t>سمع أهل السماء للسماء صلصلة كجر السلسلة</w:t>
      </w:r>
      <w:r w:rsidR="000636C2">
        <w:rPr>
          <w:rFonts w:hint="cs"/>
          <w:rtl/>
        </w:rPr>
        <w:t>)</w:t>
      </w:r>
      <w:r w:rsidRPr="005675B2">
        <w:rPr>
          <w:rFonts w:hint="cs"/>
          <w:rtl/>
        </w:rPr>
        <w:t>)</w:t>
      </w:r>
    </w:p>
    <w:p w14:paraId="6595C4B3" w14:textId="599B19B4" w:rsidR="009C32A0" w:rsidRPr="005675B2" w:rsidRDefault="000636C2" w:rsidP="000636C2">
      <w:pPr>
        <w:rPr>
          <w:b/>
          <w:rtl/>
        </w:rPr>
      </w:pPr>
      <w:r>
        <w:rPr>
          <w:rFonts w:hint="cs"/>
          <w:u w:val="single"/>
          <w:rtl/>
        </w:rPr>
        <w:t>(</w:t>
      </w:r>
      <w:r w:rsidR="009C32A0">
        <w:rPr>
          <w:rFonts w:hint="cs"/>
          <w:u w:val="single"/>
          <w:rtl/>
        </w:rPr>
        <w:t>ثانيا</w:t>
      </w:r>
      <w:r>
        <w:rPr>
          <w:rFonts w:hint="cs"/>
          <w:u w:val="single"/>
          <w:rtl/>
        </w:rPr>
        <w:t>):</w:t>
      </w:r>
      <w:r w:rsidR="009C32A0" w:rsidRPr="005675B2">
        <w:rPr>
          <w:rFonts w:hint="cs"/>
          <w:u w:val="single"/>
          <w:rtl/>
        </w:rPr>
        <w:t xml:space="preserve"> أن قول القائل صوت الله كالسلسلة فالكاف هنا كاف التشبيه الصريح فتبين أن الأمر كيفما قلبته لا يثبت أن الصوت صفة لكلام الله الأزلي</w:t>
      </w:r>
      <w:r>
        <w:rPr>
          <w:rFonts w:hint="cs"/>
          <w:u w:val="single"/>
          <w:rtl/>
        </w:rPr>
        <w:t xml:space="preserve">، </w:t>
      </w:r>
      <w:r w:rsidR="009C32A0" w:rsidRPr="005675B2">
        <w:rPr>
          <w:rFonts w:hint="cs"/>
          <w:rtl/>
        </w:rPr>
        <w:t>وغاية إضافته إلى الله إضافة مخلوق إلى خالق</w:t>
      </w:r>
      <w:r>
        <w:rPr>
          <w:rFonts w:hint="cs"/>
          <w:rtl/>
        </w:rPr>
        <w:t>،</w:t>
      </w:r>
      <w:r w:rsidR="009C32A0" w:rsidRPr="005675B2">
        <w:rPr>
          <w:rFonts w:hint="cs"/>
          <w:rtl/>
        </w:rPr>
        <w:t xml:space="preserve"> لأن السماء مخلوقة وصوتها مخلوق</w:t>
      </w:r>
      <w:r>
        <w:rPr>
          <w:rFonts w:hint="cs"/>
          <w:rtl/>
        </w:rPr>
        <w:t>،</w:t>
      </w:r>
      <w:r w:rsidR="009C32A0" w:rsidRPr="005675B2">
        <w:rPr>
          <w:rFonts w:hint="cs"/>
          <w:rtl/>
        </w:rPr>
        <w:t>فهو كما نقول بيت الله وناقة الله ونحو ذلك</w:t>
      </w:r>
      <w:r>
        <w:rPr>
          <w:rFonts w:hint="cs"/>
          <w:rtl/>
        </w:rPr>
        <w:t xml:space="preserve">، </w:t>
      </w:r>
      <w:r w:rsidR="009C32A0" w:rsidRPr="005675B2">
        <w:rPr>
          <w:rFonts w:hint="cs"/>
          <w:rtl/>
        </w:rPr>
        <w:t>قال الحافظ ابن حجر في</w:t>
      </w:r>
      <w:r>
        <w:rPr>
          <w:rFonts w:hint="cs"/>
          <w:rtl/>
        </w:rPr>
        <w:t>:</w:t>
      </w:r>
      <w:r w:rsidR="009C32A0" w:rsidRPr="005675B2">
        <w:t xml:space="preserve"> </w:t>
      </w:r>
      <w:r w:rsidR="009C32A0" w:rsidRPr="005675B2">
        <w:rPr>
          <w:rFonts w:hint="cs"/>
          <w:rtl/>
        </w:rPr>
        <w:t>قال البيهقي</w:t>
      </w:r>
      <w:r>
        <w:rPr>
          <w:rFonts w:hint="cs"/>
          <w:rtl/>
        </w:rPr>
        <w:t>:</w:t>
      </w:r>
      <w:r w:rsidR="009C32A0" w:rsidRPr="005675B2">
        <w:rPr>
          <w:rFonts w:hint="cs"/>
          <w:rtl/>
        </w:rPr>
        <w:t xml:space="preserve"> اختلف الحفاظ في الاحتجاج بروايات</w:t>
      </w:r>
      <w:r w:rsidR="009C32A0" w:rsidRPr="005675B2">
        <w:rPr>
          <w:rFonts w:hint="cs"/>
        </w:rPr>
        <w:t xml:space="preserve"> </w:t>
      </w:r>
      <w:r w:rsidR="009C32A0" w:rsidRPr="005675B2">
        <w:rPr>
          <w:rFonts w:hint="cs"/>
          <w:rtl/>
        </w:rPr>
        <w:t>ابن عقيل لسوء حفظه، ولم يثبت لفظ الصوت في حديث صحيح عن النبي غير حديثه، فإن كان</w:t>
      </w:r>
      <w:r w:rsidR="009C32A0" w:rsidRPr="005675B2">
        <w:rPr>
          <w:rFonts w:hint="cs"/>
        </w:rPr>
        <w:t xml:space="preserve"> </w:t>
      </w:r>
      <w:r w:rsidR="009C32A0" w:rsidRPr="005675B2">
        <w:rPr>
          <w:rFonts w:hint="cs"/>
          <w:rtl/>
        </w:rPr>
        <w:t>ثابتا فإنه يرجع إلى غيره في حديث ابن مسعود وفي حديث أبي هريرة أن الملائكة يسمعون</w:t>
      </w:r>
      <w:r w:rsidR="009C32A0" w:rsidRPr="005675B2">
        <w:rPr>
          <w:rFonts w:hint="cs"/>
        </w:rPr>
        <w:t xml:space="preserve"> </w:t>
      </w:r>
      <w:r w:rsidR="009C32A0" w:rsidRPr="005675B2">
        <w:rPr>
          <w:rFonts w:hint="cs"/>
          <w:rtl/>
        </w:rPr>
        <w:t>عند حصول الوحي صوتًا، فيحتمل أن يكون الصوت للسماء أو للملك الآتي بالوحي أو</w:t>
      </w:r>
      <w:r w:rsidR="009C32A0" w:rsidRPr="005675B2">
        <w:rPr>
          <w:rFonts w:hint="cs"/>
        </w:rPr>
        <w:t xml:space="preserve"> </w:t>
      </w:r>
      <w:r w:rsidR="009C32A0" w:rsidRPr="005675B2">
        <w:rPr>
          <w:rFonts w:hint="cs"/>
          <w:rtl/>
        </w:rPr>
        <w:t>لأجنحة الملائكة، وإذا احتمل ذلك لم يكن نصًّا في المسألة، وأشار - يعني البيهقي - في</w:t>
      </w:r>
      <w:r w:rsidR="009C32A0" w:rsidRPr="005675B2">
        <w:rPr>
          <w:rFonts w:hint="cs"/>
        </w:rPr>
        <w:t xml:space="preserve"> </w:t>
      </w:r>
      <w:r w:rsidR="009C32A0" w:rsidRPr="005675B2">
        <w:rPr>
          <w:rFonts w:hint="cs"/>
          <w:rtl/>
        </w:rPr>
        <w:t>موضعءاخر إلى أن الراوي أراد فينادي نداء فعبر عنه بصوت</w:t>
      </w:r>
      <w:r>
        <w:rPr>
          <w:rFonts w:hint="cs"/>
          <w:rtl/>
        </w:rPr>
        <w:t>،</w:t>
      </w:r>
      <w:r w:rsidR="009C32A0" w:rsidRPr="005675B2">
        <w:rPr>
          <w:rFonts w:hint="cs"/>
          <w:rtl/>
        </w:rPr>
        <w:t xml:space="preserve"> أ هـ</w:t>
      </w:r>
      <w:r>
        <w:rPr>
          <w:rFonts w:hint="cs"/>
          <w:rtl/>
        </w:rPr>
        <w:t xml:space="preserve"> [</w:t>
      </w:r>
      <w:r w:rsidR="009C32A0" w:rsidRPr="005675B2">
        <w:rPr>
          <w:rFonts w:hint="cs"/>
          <w:bCs/>
          <w:sz w:val="24"/>
          <w:szCs w:val="24"/>
          <w:rtl/>
        </w:rPr>
        <w:t>فتح الباري (31/458)</w:t>
      </w:r>
      <w:r w:rsidR="009C32A0" w:rsidRPr="005675B2">
        <w:rPr>
          <w:rFonts w:hint="cs"/>
          <w:rtl/>
        </w:rPr>
        <w:t>]</w:t>
      </w:r>
      <w:r>
        <w:rPr>
          <w:rFonts w:hint="cs"/>
          <w:rtl/>
        </w:rPr>
        <w:t>،</w:t>
      </w:r>
      <w:r w:rsidR="009C32A0" w:rsidRPr="005675B2">
        <w:rPr>
          <w:rFonts w:hint="cs"/>
          <w:rtl/>
        </w:rPr>
        <w:t xml:space="preserve"> وقال الإمام القرطبي</w:t>
      </w:r>
      <w:r>
        <w:rPr>
          <w:rFonts w:hint="cs"/>
          <w:rtl/>
        </w:rPr>
        <w:t>:</w:t>
      </w:r>
      <w:r w:rsidR="009C32A0" w:rsidRPr="005675B2">
        <w:rPr>
          <w:rFonts w:hint="cs"/>
          <w:rtl/>
        </w:rPr>
        <w:t xml:space="preserve"> قوله في الحديث</w:t>
      </w:r>
      <w:r>
        <w:rPr>
          <w:rFonts w:hint="cs"/>
          <w:rtl/>
        </w:rPr>
        <w:t>:</w:t>
      </w:r>
      <w:r w:rsidR="009C32A0" w:rsidRPr="005675B2">
        <w:rPr>
          <w:rFonts w:hint="cs"/>
          <w:rtl/>
        </w:rPr>
        <w:t xml:space="preserve"> "فيناديهم بصوت</w:t>
      </w:r>
      <w:r w:rsidR="009C32A0" w:rsidRPr="005675B2">
        <w:t>"</w:t>
      </w:r>
      <w:r>
        <w:t>:</w:t>
      </w:r>
      <w:r w:rsidR="009C32A0" w:rsidRPr="005675B2">
        <w:t xml:space="preserve"> </w:t>
      </w:r>
      <w:r w:rsidR="009C32A0" w:rsidRPr="005675B2">
        <w:rPr>
          <w:rFonts w:hint="cs"/>
          <w:rtl/>
        </w:rPr>
        <w:t>استدل به من قال بالحرف والصوت وأن الله يتكلم بذلك، تعالى عما يقول</w:t>
      </w:r>
      <w:r w:rsidR="009C32A0" w:rsidRPr="005675B2">
        <w:rPr>
          <w:rFonts w:hint="cs"/>
        </w:rPr>
        <w:t xml:space="preserve"> </w:t>
      </w:r>
      <w:r w:rsidR="009C32A0" w:rsidRPr="005675B2">
        <w:rPr>
          <w:rFonts w:hint="cs"/>
          <w:rtl/>
        </w:rPr>
        <w:t>المجسمون والجاحدون علوًا كبيرًا، إنما يُحمل النداء المضاف إلى الله تعالى على</w:t>
      </w:r>
      <w:r w:rsidR="009C32A0" w:rsidRPr="005675B2">
        <w:rPr>
          <w:rFonts w:hint="cs"/>
        </w:rPr>
        <w:t xml:space="preserve"> </w:t>
      </w:r>
      <w:r w:rsidR="009C32A0" w:rsidRPr="005675B2">
        <w:rPr>
          <w:rFonts w:hint="cs"/>
          <w:rtl/>
        </w:rPr>
        <w:t>نداء بعض الملائكة المقربين بإذن الله تعالى وأمره، ومثل ذلك سائغ في الكلام غير</w:t>
      </w:r>
      <w:r w:rsidR="009C32A0" w:rsidRPr="005675B2">
        <w:rPr>
          <w:rFonts w:hint="cs"/>
        </w:rPr>
        <w:t xml:space="preserve"> </w:t>
      </w:r>
      <w:r w:rsidR="009C32A0" w:rsidRPr="005675B2">
        <w:rPr>
          <w:rFonts w:hint="cs"/>
          <w:rtl/>
        </w:rPr>
        <w:t>مستنكر أن يقول القائل</w:t>
      </w:r>
      <w:r>
        <w:rPr>
          <w:rFonts w:hint="cs"/>
          <w:rtl/>
        </w:rPr>
        <w:t>:</w:t>
      </w:r>
      <w:r w:rsidR="009C32A0" w:rsidRPr="005675B2">
        <w:rPr>
          <w:rFonts w:hint="cs"/>
          <w:rtl/>
        </w:rPr>
        <w:t xml:space="preserve"> نادى الأمير، وبلغني نداء الأمير، كما قال تعالى</w:t>
      </w:r>
      <w:r>
        <w:rPr>
          <w:rFonts w:hint="cs"/>
          <w:rtl/>
        </w:rPr>
        <w:t>:</w:t>
      </w:r>
      <w:r w:rsidR="009C32A0" w:rsidRPr="005675B2">
        <w:rPr>
          <w:rFonts w:hint="cs"/>
          <w:rtl/>
        </w:rPr>
        <w:t xml:space="preserve"> </w:t>
      </w:r>
      <w:r>
        <w:rPr>
          <w:rFonts w:hint="cs"/>
          <w:rtl/>
        </w:rPr>
        <w:t>(</w:t>
      </w:r>
      <w:r w:rsidR="009C32A0" w:rsidRPr="005675B2">
        <w:rPr>
          <w:rFonts w:hint="cs"/>
          <w:rtl/>
        </w:rPr>
        <w:t>وَنَادَى</w:t>
      </w:r>
      <w:r w:rsidR="009C32A0" w:rsidRPr="005675B2">
        <w:rPr>
          <w:rFonts w:hint="cs"/>
        </w:rPr>
        <w:t xml:space="preserve"> </w:t>
      </w:r>
      <w:r w:rsidR="009C32A0" w:rsidRPr="005675B2">
        <w:rPr>
          <w:rFonts w:hint="cs"/>
          <w:rtl/>
        </w:rPr>
        <w:t>فِرْعَونُ فِي قَوْمِهِ</w:t>
      </w:r>
      <w:r>
        <w:rPr>
          <w:rFonts w:hint="cs"/>
          <w:rtl/>
        </w:rPr>
        <w:t>)</w:t>
      </w:r>
      <w:r w:rsidR="009C32A0" w:rsidRPr="005675B2">
        <w:rPr>
          <w:rFonts w:hint="cs"/>
          <w:rtl/>
        </w:rPr>
        <w:t xml:space="preserve"> </w:t>
      </w:r>
      <w:r>
        <w:rPr>
          <w:rFonts w:hint="cs"/>
          <w:rtl/>
        </w:rPr>
        <w:t>(</w:t>
      </w:r>
      <w:r w:rsidR="009C32A0" w:rsidRPr="005675B2">
        <w:rPr>
          <w:rFonts w:hint="cs"/>
          <w:rtl/>
        </w:rPr>
        <w:t>سورة الزخرف/51</w:t>
      </w:r>
      <w:r>
        <w:rPr>
          <w:rFonts w:hint="cs"/>
          <w:rtl/>
        </w:rPr>
        <w:t>)</w:t>
      </w:r>
      <w:r w:rsidR="009C32A0" w:rsidRPr="005675B2">
        <w:rPr>
          <w:rFonts w:hint="cs"/>
          <w:rtl/>
        </w:rPr>
        <w:t>، وإنما المراد نادى المنادي عن أمره،</w:t>
      </w:r>
      <w:r w:rsidR="009C32A0" w:rsidRPr="005675B2">
        <w:rPr>
          <w:rFonts w:hint="cs"/>
        </w:rPr>
        <w:t xml:space="preserve"> </w:t>
      </w:r>
      <w:r w:rsidR="009C32A0" w:rsidRPr="005675B2">
        <w:rPr>
          <w:rFonts w:hint="cs"/>
          <w:rtl/>
        </w:rPr>
        <w:t>وأصدر نداءه عن إذنه، وهو كقولهم أيضًا قتل الأمير فلانًا، وضرب فلانًا، وليس</w:t>
      </w:r>
      <w:r w:rsidR="009C32A0" w:rsidRPr="005675B2">
        <w:rPr>
          <w:rFonts w:hint="cs"/>
        </w:rPr>
        <w:t xml:space="preserve"> </w:t>
      </w:r>
      <w:r w:rsidR="009C32A0" w:rsidRPr="005675B2">
        <w:rPr>
          <w:rFonts w:hint="cs"/>
          <w:rtl/>
        </w:rPr>
        <w:t>المراد توليَه لهذه الأفعال وتصديَهُ لهذه الأعمال، ولكن المقصود صدورها عن أمره</w:t>
      </w:r>
      <w:r>
        <w:rPr>
          <w:rFonts w:hint="cs"/>
          <w:rtl/>
        </w:rPr>
        <w:t>،</w:t>
      </w:r>
      <w:r w:rsidR="009C32A0" w:rsidRPr="005675B2">
        <w:rPr>
          <w:rFonts w:hint="cs"/>
          <w:rtl/>
        </w:rPr>
        <w:t xml:space="preserve"> وقد ورد في صحيح الأحاديث أن الملائكة ينادون على رؤوس الأشهاد فيخاطبون أهل التقى</w:t>
      </w:r>
      <w:r w:rsidR="009C32A0" w:rsidRPr="005675B2">
        <w:rPr>
          <w:rFonts w:hint="cs"/>
        </w:rPr>
        <w:t xml:space="preserve"> </w:t>
      </w:r>
      <w:r w:rsidR="009C32A0" w:rsidRPr="005675B2">
        <w:rPr>
          <w:rFonts w:hint="cs"/>
          <w:rtl/>
        </w:rPr>
        <w:t>والرشاد</w:t>
      </w:r>
      <w:r>
        <w:rPr>
          <w:rFonts w:hint="cs"/>
          <w:rtl/>
        </w:rPr>
        <w:t>:</w:t>
      </w:r>
      <w:r w:rsidR="009C32A0" w:rsidRPr="005675B2">
        <w:rPr>
          <w:rFonts w:hint="cs"/>
          <w:rtl/>
        </w:rPr>
        <w:t xml:space="preserve"> ألا إن فلان ابن فلان كما تقدم</w:t>
      </w:r>
      <w:r>
        <w:rPr>
          <w:rFonts w:hint="cs"/>
          <w:rtl/>
        </w:rPr>
        <w:t>،</w:t>
      </w:r>
      <w:r w:rsidR="009C32A0" w:rsidRPr="005675B2">
        <w:rPr>
          <w:rFonts w:hint="cs"/>
          <w:rtl/>
        </w:rPr>
        <w:t xml:space="preserve"> ومثله ما جاء في حديث</w:t>
      </w:r>
      <w:r w:rsidR="009C32A0" w:rsidRPr="005675B2">
        <w:rPr>
          <w:rFonts w:hint="cs"/>
        </w:rPr>
        <w:t xml:space="preserve"> </w:t>
      </w:r>
      <w:r w:rsidR="009C32A0" w:rsidRPr="005675B2">
        <w:rPr>
          <w:rFonts w:hint="cs"/>
          <w:rtl/>
        </w:rPr>
        <w:t>النزول مفسرًا فيما أخرجه النسائي عن أبي هريرة رضي الله عنه وأبي سعيد قالا</w:t>
      </w:r>
      <w:r>
        <w:rPr>
          <w:rFonts w:hint="cs"/>
          <w:rtl/>
        </w:rPr>
        <w:t>:</w:t>
      </w:r>
      <w:r w:rsidR="009C32A0" w:rsidRPr="005675B2">
        <w:rPr>
          <w:rFonts w:hint="cs"/>
          <w:rtl/>
        </w:rPr>
        <w:t xml:space="preserve"> قال</w:t>
      </w:r>
      <w:r w:rsidR="009C32A0" w:rsidRPr="005675B2">
        <w:rPr>
          <w:rFonts w:hint="cs"/>
        </w:rPr>
        <w:t xml:space="preserve"> </w:t>
      </w:r>
      <w:r w:rsidR="009C32A0" w:rsidRPr="005675B2">
        <w:rPr>
          <w:rFonts w:hint="cs"/>
          <w:rtl/>
        </w:rPr>
        <w:t>رسول الله</w:t>
      </w:r>
      <w:r>
        <w:rPr>
          <w:rFonts w:hint="cs"/>
          <w:rtl/>
        </w:rPr>
        <w:t>:</w:t>
      </w:r>
      <w:r w:rsidR="009C32A0" w:rsidRPr="005675B2">
        <w:rPr>
          <w:rFonts w:hint="cs"/>
          <w:rtl/>
        </w:rPr>
        <w:t xml:space="preserve"> " إن الله عز وجل يمهل حتى يمضي شطر الليل الأول ثم يأمر مناديًا</w:t>
      </w:r>
      <w:r>
        <w:rPr>
          <w:rFonts w:hint="cs"/>
          <w:rtl/>
        </w:rPr>
        <w:t>،</w:t>
      </w:r>
      <w:r w:rsidR="009C32A0" w:rsidRPr="005675B2">
        <w:rPr>
          <w:rFonts w:hint="cs"/>
          <w:rtl/>
        </w:rPr>
        <w:t xml:space="preserve"> يقول</w:t>
      </w:r>
      <w:r>
        <w:rPr>
          <w:rFonts w:hint="cs"/>
          <w:rtl/>
        </w:rPr>
        <w:t>:</w:t>
      </w:r>
      <w:r w:rsidR="009C32A0" w:rsidRPr="005675B2">
        <w:rPr>
          <w:rFonts w:hint="cs"/>
        </w:rPr>
        <w:t xml:space="preserve"> </w:t>
      </w:r>
      <w:r w:rsidR="009C32A0" w:rsidRPr="005675B2">
        <w:rPr>
          <w:rFonts w:hint="cs"/>
          <w:rtl/>
        </w:rPr>
        <w:t>هل من داع يستجاب له، هل من مستغفريغفرله، هل من سائل يعطى صححه أبو محمد عبد الحق،</w:t>
      </w:r>
      <w:r w:rsidR="009C32A0" w:rsidRPr="005675B2">
        <w:rPr>
          <w:rFonts w:hint="cs"/>
        </w:rPr>
        <w:t xml:space="preserve"> </w:t>
      </w:r>
      <w:r w:rsidR="009C32A0" w:rsidRPr="005675B2">
        <w:rPr>
          <w:rFonts w:hint="cs"/>
          <w:rtl/>
        </w:rPr>
        <w:t>وكل حديث اشتمل على ذكر الصوت أو النداء فهذا التأويل فيه، وأن ذلك من باب حذف</w:t>
      </w:r>
      <w:r w:rsidR="009C32A0" w:rsidRPr="005675B2">
        <w:rPr>
          <w:rFonts w:hint="cs"/>
        </w:rPr>
        <w:t xml:space="preserve"> </w:t>
      </w:r>
      <w:r w:rsidR="009C32A0" w:rsidRPr="005675B2">
        <w:rPr>
          <w:rFonts w:hint="cs"/>
          <w:rtl/>
        </w:rPr>
        <w:t>المضاف، والدليل على ذلك ما ثبت من قِدَم كلام الله تعالى على ما هو مذكور في كتب</w:t>
      </w:r>
      <w:r w:rsidR="009C32A0" w:rsidRPr="005675B2">
        <w:rPr>
          <w:rFonts w:hint="cs"/>
        </w:rPr>
        <w:t xml:space="preserve"> </w:t>
      </w:r>
      <w:r w:rsidR="009C32A0" w:rsidRPr="005675B2">
        <w:rPr>
          <w:rFonts w:hint="cs"/>
          <w:rtl/>
        </w:rPr>
        <w:t>الديانات</w:t>
      </w:r>
      <w:r>
        <w:rPr>
          <w:rFonts w:hint="cs"/>
          <w:rtl/>
        </w:rPr>
        <w:t>،</w:t>
      </w:r>
      <w:r w:rsidR="009C32A0" w:rsidRPr="005675B2">
        <w:rPr>
          <w:rFonts w:hint="cs"/>
          <w:rtl/>
        </w:rPr>
        <w:t xml:space="preserve"> فإن قال بعض الأغبياء</w:t>
      </w:r>
      <w:r>
        <w:rPr>
          <w:rFonts w:hint="cs"/>
          <w:rtl/>
        </w:rPr>
        <w:t>:</w:t>
      </w:r>
      <w:r w:rsidR="009C32A0" w:rsidRPr="005675B2">
        <w:rPr>
          <w:rFonts w:hint="cs"/>
          <w:rtl/>
        </w:rPr>
        <w:t xml:space="preserve"> </w:t>
      </w:r>
      <w:r w:rsidR="009C32A0" w:rsidRPr="005675B2">
        <w:rPr>
          <w:rFonts w:hint="cs"/>
          <w:u w:val="single"/>
          <w:rtl/>
        </w:rPr>
        <w:t>لا وجه لحمل الحديث على نا ذكرتموه فإن</w:t>
      </w:r>
      <w:r w:rsidR="009C32A0" w:rsidRPr="005675B2">
        <w:rPr>
          <w:rFonts w:hint="cs"/>
          <w:u w:val="single"/>
        </w:rPr>
        <w:t xml:space="preserve"> </w:t>
      </w:r>
      <w:r w:rsidR="009C32A0" w:rsidRPr="005675B2">
        <w:rPr>
          <w:rFonts w:hint="cs"/>
          <w:u w:val="single"/>
          <w:rtl/>
        </w:rPr>
        <w:t>فيه</w:t>
      </w:r>
      <w:r>
        <w:rPr>
          <w:rFonts w:hint="cs"/>
          <w:u w:val="single"/>
          <w:rtl/>
        </w:rPr>
        <w:t>:</w:t>
      </w:r>
      <w:r w:rsidR="009C32A0" w:rsidRPr="005675B2">
        <w:rPr>
          <w:rFonts w:hint="cs"/>
          <w:u w:val="single"/>
          <w:rtl/>
        </w:rPr>
        <w:t xml:space="preserve"> "أنا الديّان"، وليس يصدر هذا الكلام حقًّا وصدقًا إلا من رب العالمين</w:t>
      </w:r>
      <w:r>
        <w:rPr>
          <w:rFonts w:hint="cs"/>
          <w:u w:val="single"/>
          <w:rtl/>
        </w:rPr>
        <w:t>؟</w:t>
      </w:r>
      <w:r w:rsidR="009C32A0" w:rsidRPr="005675B2">
        <w:rPr>
          <w:rFonts w:hint="cs"/>
          <w:u w:val="single"/>
          <w:rtl/>
        </w:rPr>
        <w:t xml:space="preserve"> قيل</w:t>
      </w:r>
      <w:r w:rsidR="009C32A0" w:rsidRPr="005675B2">
        <w:rPr>
          <w:rFonts w:hint="cs"/>
          <w:u w:val="single"/>
        </w:rPr>
        <w:t xml:space="preserve"> </w:t>
      </w:r>
      <w:r w:rsidR="009C32A0" w:rsidRPr="005675B2">
        <w:rPr>
          <w:rFonts w:hint="cs"/>
          <w:u w:val="single"/>
          <w:rtl/>
        </w:rPr>
        <w:t>له</w:t>
      </w:r>
      <w:r>
        <w:rPr>
          <w:rFonts w:hint="cs"/>
          <w:u w:val="single"/>
          <w:rtl/>
        </w:rPr>
        <w:t>:</w:t>
      </w:r>
      <w:r w:rsidR="009C32A0" w:rsidRPr="005675B2">
        <w:rPr>
          <w:rFonts w:hint="cs"/>
          <w:u w:val="single"/>
          <w:rtl/>
        </w:rPr>
        <w:t xml:space="preserve"> إن الملَكَ إذا كان يقول عن الله تعالى ويُنْبِىءُ عنه فالحكم يرجع إلى الله رب</w:t>
      </w:r>
      <w:r w:rsidR="009C32A0" w:rsidRPr="005675B2">
        <w:rPr>
          <w:rFonts w:hint="cs"/>
          <w:u w:val="single"/>
        </w:rPr>
        <w:t xml:space="preserve"> </w:t>
      </w:r>
      <w:r w:rsidR="009C32A0" w:rsidRPr="005675B2">
        <w:rPr>
          <w:rFonts w:hint="cs"/>
          <w:u w:val="single"/>
          <w:rtl/>
        </w:rPr>
        <w:t>العالمين، والدليل عليه أن الواحد منا إذا تلا قول الله تعالى</w:t>
      </w:r>
      <w:r>
        <w:rPr>
          <w:rFonts w:hint="cs"/>
          <w:u w:val="single"/>
          <w:rtl/>
        </w:rPr>
        <w:t>:</w:t>
      </w:r>
      <w:r w:rsidR="009C32A0" w:rsidRPr="005675B2">
        <w:rPr>
          <w:rFonts w:hint="cs"/>
          <w:u w:val="single"/>
          <w:rtl/>
        </w:rPr>
        <w:t xml:space="preserve"> </w:t>
      </w:r>
      <w:r>
        <w:rPr>
          <w:rFonts w:hint="cs"/>
          <w:u w:val="single"/>
          <w:rtl/>
        </w:rPr>
        <w:t>(</w:t>
      </w:r>
      <w:r w:rsidR="009C32A0" w:rsidRPr="005675B2">
        <w:rPr>
          <w:rFonts w:hint="cs"/>
          <w:u w:val="single"/>
          <w:rtl/>
        </w:rPr>
        <w:t>إنًّنِي أَنَا</w:t>
      </w:r>
      <w:r w:rsidR="009C32A0" w:rsidRPr="005675B2">
        <w:rPr>
          <w:rFonts w:hint="cs"/>
          <w:u w:val="single"/>
        </w:rPr>
        <w:t xml:space="preserve"> </w:t>
      </w:r>
      <w:r w:rsidR="009C32A0" w:rsidRPr="005675B2">
        <w:rPr>
          <w:rFonts w:hint="cs"/>
          <w:u w:val="single"/>
          <w:rtl/>
        </w:rPr>
        <w:t>الله</w:t>
      </w:r>
      <w:r>
        <w:rPr>
          <w:rFonts w:hint="cs"/>
          <w:u w:val="single"/>
          <w:rtl/>
        </w:rPr>
        <w:t>)</w:t>
      </w:r>
      <w:r w:rsidR="009C32A0" w:rsidRPr="005675B2">
        <w:rPr>
          <w:rFonts w:hint="cs"/>
          <w:u w:val="single"/>
          <w:rtl/>
        </w:rPr>
        <w:t xml:space="preserve"> </w:t>
      </w:r>
      <w:r>
        <w:rPr>
          <w:rFonts w:hint="cs"/>
          <w:u w:val="single"/>
          <w:rtl/>
        </w:rPr>
        <w:t>(</w:t>
      </w:r>
      <w:r w:rsidR="009C32A0" w:rsidRPr="005675B2">
        <w:rPr>
          <w:rFonts w:hint="cs"/>
          <w:u w:val="single"/>
          <w:rtl/>
        </w:rPr>
        <w:t>سورة طه/14</w:t>
      </w:r>
      <w:r>
        <w:rPr>
          <w:rFonts w:hint="cs"/>
          <w:u w:val="single"/>
          <w:rtl/>
        </w:rPr>
        <w:t>)</w:t>
      </w:r>
      <w:r w:rsidR="009C32A0" w:rsidRPr="005675B2">
        <w:rPr>
          <w:rFonts w:hint="cs"/>
          <w:u w:val="single"/>
          <w:rtl/>
        </w:rPr>
        <w:t>، فليس يرجع إلى القارىء وإنما القارىء ذاكر لكلام الله تعالى</w:t>
      </w:r>
      <w:r w:rsidR="009C32A0" w:rsidRPr="005675B2">
        <w:rPr>
          <w:rFonts w:hint="cs"/>
          <w:u w:val="single"/>
        </w:rPr>
        <w:t xml:space="preserve"> </w:t>
      </w:r>
      <w:r w:rsidR="009C32A0" w:rsidRPr="005675B2">
        <w:rPr>
          <w:rFonts w:hint="cs"/>
          <w:u w:val="single"/>
          <w:rtl/>
        </w:rPr>
        <w:t>ودالُّ عليه بأصواته وهذا بَيّن أهـ</w:t>
      </w:r>
      <w:r>
        <w:rPr>
          <w:rFonts w:hint="cs"/>
          <w:u w:val="single"/>
          <w:rtl/>
        </w:rPr>
        <w:t xml:space="preserve"> </w:t>
      </w:r>
      <w:r w:rsidR="009C32A0" w:rsidRPr="005675B2">
        <w:rPr>
          <w:rFonts w:hint="cs"/>
          <w:rtl/>
        </w:rPr>
        <w:t>[</w:t>
      </w:r>
      <w:r w:rsidR="009C32A0" w:rsidRPr="005675B2">
        <w:rPr>
          <w:rFonts w:hint="cs"/>
          <w:bCs/>
          <w:sz w:val="24"/>
          <w:szCs w:val="24"/>
          <w:rtl/>
        </w:rPr>
        <w:t>التذكرة</w:t>
      </w:r>
      <w:r>
        <w:rPr>
          <w:rFonts w:hint="cs"/>
          <w:bCs/>
          <w:sz w:val="24"/>
          <w:szCs w:val="24"/>
          <w:rtl/>
        </w:rPr>
        <w:t xml:space="preserve"> </w:t>
      </w:r>
      <w:r w:rsidR="009C32A0" w:rsidRPr="005675B2">
        <w:rPr>
          <w:rFonts w:hint="cs"/>
          <w:bCs/>
          <w:sz w:val="24"/>
          <w:szCs w:val="24"/>
          <w:rtl/>
        </w:rPr>
        <w:t>(ص/ 338- 339)</w:t>
      </w:r>
      <w:r w:rsidR="009C32A0" w:rsidRPr="005675B2">
        <w:rPr>
          <w:rFonts w:hint="cs"/>
          <w:rtl/>
        </w:rPr>
        <w:t>]</w:t>
      </w:r>
      <w:r>
        <w:rPr>
          <w:rFonts w:hint="cs"/>
          <w:rtl/>
        </w:rPr>
        <w:t>،</w:t>
      </w:r>
      <w:r w:rsidR="009C32A0" w:rsidRPr="005675B2">
        <w:rPr>
          <w:rFonts w:hint="cs"/>
          <w:rtl/>
        </w:rPr>
        <w:t xml:space="preserve"> اما الحرف</w:t>
      </w:r>
      <w:r>
        <w:rPr>
          <w:rFonts w:hint="cs"/>
          <w:rtl/>
        </w:rPr>
        <w:t>:</w:t>
      </w:r>
      <w:r w:rsidR="009C32A0" w:rsidRPr="005675B2">
        <w:rPr>
          <w:rFonts w:hint="cs"/>
          <w:rtl/>
        </w:rPr>
        <w:t xml:space="preserve"> فعن</w:t>
      </w:r>
      <w:r>
        <w:rPr>
          <w:rFonts w:hint="cs"/>
          <w:rtl/>
        </w:rPr>
        <w:t xml:space="preserve"> </w:t>
      </w:r>
      <w:r w:rsidR="009C32A0" w:rsidRPr="005675B2">
        <w:rPr>
          <w:rFonts w:hint="cs"/>
          <w:rtl/>
        </w:rPr>
        <w:t>ابن مسعود رضي الله عنه قال</w:t>
      </w:r>
      <w:r>
        <w:rPr>
          <w:rFonts w:hint="cs"/>
          <w:rtl/>
        </w:rPr>
        <w:t>:</w:t>
      </w:r>
      <w:r w:rsidR="009C32A0" w:rsidRPr="005675B2">
        <w:rPr>
          <w:rFonts w:hint="cs"/>
          <w:rtl/>
        </w:rPr>
        <w:t xml:space="preserve"> قال رسول الله صلى الله عليه وسلم </w:t>
      </w:r>
      <w:r>
        <w:rPr>
          <w:rFonts w:hint="cs"/>
          <w:rtl/>
        </w:rPr>
        <w:t>{</w:t>
      </w:r>
      <w:r w:rsidR="009C32A0" w:rsidRPr="005675B2">
        <w:rPr>
          <w:rFonts w:hint="cs"/>
          <w:rtl/>
        </w:rPr>
        <w:t>من قرأ حرفا ًمن كتاب الله فله حسنة</w:t>
      </w:r>
      <w:r>
        <w:rPr>
          <w:rFonts w:hint="cs"/>
          <w:rtl/>
        </w:rPr>
        <w:t>،</w:t>
      </w:r>
      <w:r w:rsidR="009C32A0" w:rsidRPr="005675B2">
        <w:rPr>
          <w:rFonts w:hint="cs"/>
          <w:rtl/>
        </w:rPr>
        <w:t>والحسنة بعشر امثالها، لا أقول ألم حرف</w:t>
      </w:r>
      <w:r>
        <w:rPr>
          <w:rFonts w:hint="cs"/>
          <w:rtl/>
        </w:rPr>
        <w:t>،</w:t>
      </w:r>
      <w:r w:rsidR="009C32A0" w:rsidRPr="005675B2">
        <w:rPr>
          <w:rFonts w:hint="cs"/>
          <w:rtl/>
        </w:rPr>
        <w:t>ولكن ألف حرف ولام حرف وميم حرف</w:t>
      </w:r>
      <w:r>
        <w:rPr>
          <w:rFonts w:hint="cs"/>
          <w:rtl/>
        </w:rPr>
        <w:t>}</w:t>
      </w:r>
      <w:r w:rsidR="009C32A0" w:rsidRPr="005675B2">
        <w:rPr>
          <w:rFonts w:hint="cs"/>
          <w:rtl/>
        </w:rPr>
        <w:t xml:space="preserve"> رواه الترمذي وقال حديث حسن صحيح</w:t>
      </w:r>
      <w:r>
        <w:rPr>
          <w:rFonts w:hint="cs"/>
          <w:rtl/>
        </w:rPr>
        <w:t>،</w:t>
      </w:r>
      <w:r w:rsidR="009C32A0" w:rsidRPr="005675B2">
        <w:rPr>
          <w:rFonts w:hint="cs"/>
          <w:rtl/>
        </w:rPr>
        <w:t xml:space="preserve"> وكل ماورد من أحاديث الحرف يقصد بها تلفظ الإنسان بالحرف</w:t>
      </w:r>
      <w:r>
        <w:rPr>
          <w:rFonts w:hint="cs"/>
          <w:rtl/>
        </w:rPr>
        <w:t>،</w:t>
      </w:r>
      <w:r w:rsidR="009C32A0" w:rsidRPr="005675B2">
        <w:rPr>
          <w:rFonts w:hint="cs"/>
          <w:rtl/>
        </w:rPr>
        <w:t>وهذا لا يعني أن الصفة الأزلية بحرف</w:t>
      </w:r>
      <w:r>
        <w:rPr>
          <w:rFonts w:hint="cs"/>
          <w:rtl/>
        </w:rPr>
        <w:t>،</w:t>
      </w:r>
      <w:r w:rsidR="009C32A0" w:rsidRPr="005675B2">
        <w:rPr>
          <w:rFonts w:hint="cs"/>
          <w:rtl/>
        </w:rPr>
        <w:t>فالقرآن مكتوب بلغة العرب وهي حروف</w:t>
      </w:r>
      <w:r>
        <w:rPr>
          <w:rFonts w:hint="cs"/>
          <w:rtl/>
        </w:rPr>
        <w:t>،</w:t>
      </w:r>
      <w:r w:rsidR="009C32A0" w:rsidRPr="005675B2">
        <w:rPr>
          <w:rFonts w:hint="cs"/>
          <w:rtl/>
        </w:rPr>
        <w:t>ويتلونها بحروف</w:t>
      </w:r>
      <w:r>
        <w:rPr>
          <w:rFonts w:hint="cs"/>
          <w:rtl/>
        </w:rPr>
        <w:t>،</w:t>
      </w:r>
      <w:r w:rsidR="009C32A0" w:rsidRPr="005675B2">
        <w:rPr>
          <w:rFonts w:hint="cs"/>
          <w:rtl/>
        </w:rPr>
        <w:t>وليس في الأحاديث الواردة في ذلك إلا بيان الثواب على قراءة القرآن لا أنه صفة الله الأزلية مركبة من حروف</w:t>
      </w:r>
      <w:r>
        <w:rPr>
          <w:rFonts w:hint="cs"/>
          <w:rtl/>
        </w:rPr>
        <w:t>،</w:t>
      </w:r>
      <w:r w:rsidR="009C32A0" w:rsidRPr="005675B2">
        <w:rPr>
          <w:rFonts w:hint="cs"/>
          <w:rtl/>
        </w:rPr>
        <w:t>ولا دليل من الشرع</w:t>
      </w:r>
      <w:r>
        <w:rPr>
          <w:rFonts w:hint="cs"/>
          <w:rtl/>
        </w:rPr>
        <w:t xml:space="preserve"> </w:t>
      </w:r>
      <w:r w:rsidR="009C32A0" w:rsidRPr="005675B2">
        <w:rPr>
          <w:rFonts w:hint="cs"/>
          <w:rtl/>
        </w:rPr>
        <w:t>ولا العقل على ذلك بل الكلام في ذلك دخول في التكييف والتشبيه والعياذ بالله وليس هناك دليل يعتمد عليه معتمد عند الوقوف بين يدي ربه يحاج به عن نفسه فيقول</w:t>
      </w:r>
      <w:r>
        <w:rPr>
          <w:rFonts w:hint="cs"/>
          <w:rtl/>
        </w:rPr>
        <w:t>:</w:t>
      </w:r>
      <w:r w:rsidR="009C32A0" w:rsidRPr="005675B2">
        <w:rPr>
          <w:rFonts w:hint="cs"/>
          <w:rtl/>
        </w:rPr>
        <w:t xml:space="preserve"> </w:t>
      </w:r>
      <w:r w:rsidR="009C32A0" w:rsidRPr="005675B2">
        <w:rPr>
          <w:rFonts w:hint="cs"/>
          <w:u w:val="single"/>
          <w:rtl/>
        </w:rPr>
        <w:t>جزمت</w:t>
      </w:r>
      <w:r w:rsidR="009C32A0" w:rsidRPr="005675B2">
        <w:rPr>
          <w:rFonts w:hint="cs"/>
          <w:rtl/>
        </w:rPr>
        <w:t xml:space="preserve"> بأنك موصوف بالصوت والحرف</w:t>
      </w:r>
      <w:r>
        <w:rPr>
          <w:rFonts w:hint="cs"/>
          <w:rtl/>
        </w:rPr>
        <w:t>،</w:t>
      </w:r>
      <w:r w:rsidR="009C32A0" w:rsidRPr="005675B2">
        <w:rPr>
          <w:rFonts w:hint="cs"/>
          <w:rtl/>
        </w:rPr>
        <w:t xml:space="preserve"> ولذا فقول القائل أن عدم وصف الله بالصوت والحرف من التعطيل كلام باطل، لأنه لم يثبت حتى يقال أنه عطل شيئاً، بل الملام على من يقطع أن الله موصوف بها بأدلة محتملة،والاحتمال يبطل الاستدلال فتنبه رعاك الله</w:t>
      </w:r>
      <w:r>
        <w:rPr>
          <w:rFonts w:hint="cs"/>
          <w:rtl/>
        </w:rPr>
        <w:t>،</w:t>
      </w:r>
      <w:r w:rsidR="009C32A0" w:rsidRPr="005675B2">
        <w:rPr>
          <w:rFonts w:hint="cs"/>
          <w:rtl/>
        </w:rPr>
        <w:t xml:space="preserve"> وقد تقدم بيان الاحتمالات الواردة بل تقدم صريح كون الصوت هو صوت السماء ونحوها من المخلوقات وليس صفة لله</w:t>
      </w:r>
      <w:r>
        <w:rPr>
          <w:rFonts w:hint="cs"/>
          <w:rtl/>
        </w:rPr>
        <w:t>،</w:t>
      </w:r>
      <w:r w:rsidR="009C32A0" w:rsidRPr="005675B2">
        <w:rPr>
          <w:rFonts w:hint="cs"/>
          <w:rtl/>
        </w:rPr>
        <w:t xml:space="preserve"> هذا هو رأي الأشاعرة في مسألة الكلام وحججهم</w:t>
      </w:r>
      <w:r>
        <w:rPr>
          <w:rFonts w:hint="cs"/>
          <w:rtl/>
        </w:rPr>
        <w:t>،</w:t>
      </w:r>
      <w:r w:rsidR="009C32A0" w:rsidRPr="005675B2">
        <w:rPr>
          <w:rFonts w:hint="cs"/>
          <w:rtl/>
        </w:rPr>
        <w:t>واجتهادات من رد عليهم</w:t>
      </w:r>
      <w:r>
        <w:rPr>
          <w:rFonts w:hint="cs"/>
          <w:rtl/>
        </w:rPr>
        <w:t>،</w:t>
      </w:r>
      <w:r w:rsidR="009C32A0" w:rsidRPr="005675B2">
        <w:rPr>
          <w:rFonts w:hint="cs"/>
          <w:rtl/>
        </w:rPr>
        <w:t>واجتهاداتهم لتعرف أقوال الأشاعرة</w:t>
      </w:r>
      <w:r>
        <w:rPr>
          <w:rFonts w:hint="cs"/>
          <w:rtl/>
        </w:rPr>
        <w:t xml:space="preserve"> </w:t>
      </w:r>
      <w:r w:rsidR="009C32A0" w:rsidRPr="005675B2">
        <w:rPr>
          <w:rFonts w:hint="cs"/>
          <w:rtl/>
        </w:rPr>
        <w:t>كماهي</w:t>
      </w:r>
      <w:r>
        <w:rPr>
          <w:rFonts w:hint="cs"/>
          <w:rtl/>
        </w:rPr>
        <w:t>،</w:t>
      </w:r>
      <w:r w:rsidR="009C32A0" w:rsidRPr="005675B2">
        <w:rPr>
          <w:rFonts w:hint="cs"/>
          <w:rtl/>
        </w:rPr>
        <w:t xml:space="preserve"> فيعتقد الأشاعرة أن صفة الكلام صفة أزلية ثبتت بالدليل القطعي الشرعي في الكتاب والسنة</w:t>
      </w:r>
      <w:r>
        <w:rPr>
          <w:rFonts w:hint="cs"/>
          <w:rtl/>
        </w:rPr>
        <w:t>،</w:t>
      </w:r>
      <w:r w:rsidR="009C32A0" w:rsidRPr="005675B2">
        <w:rPr>
          <w:rFonts w:hint="cs"/>
          <w:rtl/>
        </w:rPr>
        <w:t xml:space="preserve"> وصفات الله تعالى لاتثبت بالقياس على المخلوق</w:t>
      </w:r>
      <w:r>
        <w:rPr>
          <w:rFonts w:hint="cs"/>
          <w:rtl/>
        </w:rPr>
        <w:t xml:space="preserve">، </w:t>
      </w:r>
      <w:r w:rsidR="009C32A0" w:rsidRPr="005675B2">
        <w:rPr>
          <w:rFonts w:hint="cs"/>
          <w:rtl/>
        </w:rPr>
        <w:t>[</w:t>
      </w:r>
      <w:r w:rsidR="009C32A0" w:rsidRPr="005675B2">
        <w:rPr>
          <w:rFonts w:hint="cs"/>
          <w:bCs/>
          <w:sz w:val="24"/>
          <w:szCs w:val="24"/>
          <w:rtl/>
        </w:rPr>
        <w:t>الأشاعرة يخالفون قول من يقول</w:t>
      </w:r>
      <w:r>
        <w:rPr>
          <w:rFonts w:hint="cs"/>
          <w:bCs/>
          <w:sz w:val="24"/>
          <w:szCs w:val="24"/>
          <w:rtl/>
        </w:rPr>
        <w:t>:</w:t>
      </w:r>
      <w:r w:rsidR="009C32A0" w:rsidRPr="005675B2">
        <w:rPr>
          <w:rFonts w:hint="cs"/>
          <w:bCs/>
          <w:sz w:val="24"/>
          <w:szCs w:val="24"/>
          <w:rtl/>
        </w:rPr>
        <w:t xml:space="preserve"> كل كمال ثبت للمخلوق فالله أولى به لأن المخلوق من كمالاته الزوجة والولد والبيت والمركب ونحو ذلك والله غني عن كل ذلك</w:t>
      </w:r>
      <w:r>
        <w:rPr>
          <w:rFonts w:hint="cs"/>
          <w:bCs/>
          <w:sz w:val="24"/>
          <w:szCs w:val="24"/>
          <w:rtl/>
        </w:rPr>
        <w:t>]</w:t>
      </w:r>
      <w:r>
        <w:rPr>
          <w:rFonts w:hint="cs"/>
          <w:rtl/>
        </w:rPr>
        <w:t>،</w:t>
      </w:r>
      <w:r w:rsidR="009C32A0" w:rsidRPr="005675B2">
        <w:rPr>
          <w:rFonts w:hint="cs"/>
          <w:rtl/>
        </w:rPr>
        <w:t xml:space="preserve"> </w:t>
      </w:r>
      <w:r w:rsidR="009C32A0" w:rsidRPr="005675B2">
        <w:rPr>
          <w:rFonts w:hint="cs"/>
          <w:u w:val="single"/>
          <w:rtl/>
        </w:rPr>
        <w:t>وما تقرر</w:t>
      </w:r>
      <w:r>
        <w:rPr>
          <w:rFonts w:hint="cs"/>
          <w:u w:val="single"/>
          <w:rtl/>
        </w:rPr>
        <w:t xml:space="preserve"> </w:t>
      </w:r>
      <w:r w:rsidR="009C32A0" w:rsidRPr="005675B2">
        <w:rPr>
          <w:rFonts w:hint="cs"/>
          <w:u w:val="single"/>
          <w:rtl/>
        </w:rPr>
        <w:t>هو عين ما قاله الإمام احمد</w:t>
      </w:r>
      <w:r>
        <w:rPr>
          <w:rFonts w:hint="cs"/>
          <w:u w:val="single"/>
          <w:rtl/>
        </w:rPr>
        <w:t>:،</w:t>
      </w:r>
      <w:r w:rsidR="009C32A0" w:rsidRPr="005675B2">
        <w:rPr>
          <w:rFonts w:hint="cs"/>
          <w:rtl/>
        </w:rPr>
        <w:t xml:space="preserve"> فقد ورد وصح عنه أنه لما</w:t>
      </w:r>
      <w:r w:rsidR="009C32A0" w:rsidRPr="005675B2">
        <w:rPr>
          <w:rFonts w:hint="cs"/>
        </w:rPr>
        <w:t xml:space="preserve"> </w:t>
      </w:r>
      <w:r w:rsidR="009C32A0" w:rsidRPr="005675B2">
        <w:rPr>
          <w:rFonts w:hint="cs"/>
          <w:rtl/>
        </w:rPr>
        <w:t>كان في المحنة قالوا له ما تقول في القرآن</w:t>
      </w:r>
      <w:r>
        <w:rPr>
          <w:rFonts w:hint="cs"/>
          <w:rtl/>
        </w:rPr>
        <w:t>؟</w:t>
      </w:r>
      <w:r w:rsidR="009C32A0" w:rsidRPr="005675B2">
        <w:rPr>
          <w:rFonts w:hint="cs"/>
          <w:rtl/>
        </w:rPr>
        <w:t xml:space="preserve"> قال ما تقولون في علم الله</w:t>
      </w:r>
      <w:r>
        <w:rPr>
          <w:rFonts w:hint="cs"/>
          <w:rtl/>
        </w:rPr>
        <w:t xml:space="preserve">؟ </w:t>
      </w:r>
      <w:r w:rsidR="009C32A0" w:rsidRPr="005675B2">
        <w:rPr>
          <w:rFonts w:hint="cs"/>
          <w:rtl/>
        </w:rPr>
        <w:t>فحجهم بأن</w:t>
      </w:r>
      <w:r w:rsidR="009C32A0" w:rsidRPr="005675B2">
        <w:rPr>
          <w:rFonts w:hint="cs"/>
        </w:rPr>
        <w:t xml:space="preserve"> </w:t>
      </w:r>
      <w:r w:rsidR="009C32A0" w:rsidRPr="005675B2">
        <w:rPr>
          <w:rFonts w:hint="cs"/>
          <w:rtl/>
        </w:rPr>
        <w:t>جعل الكلام في القرآن كالكلام في صفة علم الله تعالى، نقل ذلك الذهبي في السير 11/245 وغيره بأسانيد صحيحة</w:t>
      </w:r>
      <w:r>
        <w:rPr>
          <w:rFonts w:hint="cs"/>
          <w:rtl/>
        </w:rPr>
        <w:t>،</w:t>
      </w:r>
      <w:r w:rsidR="009C32A0" w:rsidRPr="005675B2">
        <w:rPr>
          <w:rFonts w:hint="cs"/>
          <w:rtl/>
        </w:rPr>
        <w:t xml:space="preserve"> وهذا هو كلامه وكلام أهل السنة قاطبة</w:t>
      </w:r>
      <w:r>
        <w:rPr>
          <w:rFonts w:hint="cs"/>
          <w:rtl/>
        </w:rPr>
        <w:t xml:space="preserve">، </w:t>
      </w:r>
      <w:r w:rsidR="009C32A0" w:rsidRPr="005675B2">
        <w:rPr>
          <w:rFonts w:hint="cs"/>
          <w:rtl/>
        </w:rPr>
        <w:t>وثبت أن الكاتب هداه الله واقع في القول بخلق كلام الله</w:t>
      </w:r>
      <w:r>
        <w:rPr>
          <w:rFonts w:hint="cs"/>
          <w:rtl/>
        </w:rPr>
        <w:t>،</w:t>
      </w:r>
      <w:r w:rsidR="009C32A0" w:rsidRPr="005675B2">
        <w:rPr>
          <w:rFonts w:hint="cs"/>
          <w:rtl/>
        </w:rPr>
        <w:t xml:space="preserve"> وكلام الله ليس بحادث كما يقول ابن تيمية</w:t>
      </w:r>
      <w:r>
        <w:rPr>
          <w:rFonts w:hint="cs"/>
          <w:rtl/>
        </w:rPr>
        <w:t>،</w:t>
      </w:r>
      <w:r w:rsidR="009C32A0" w:rsidRPr="005675B2">
        <w:rPr>
          <w:rFonts w:hint="cs"/>
          <w:rtl/>
        </w:rPr>
        <w:t xml:space="preserve"> ولا متجدد كما يقول الكاتب</w:t>
      </w:r>
      <w:r>
        <w:rPr>
          <w:rFonts w:hint="cs"/>
          <w:rtl/>
        </w:rPr>
        <w:t>،</w:t>
      </w:r>
      <w:r w:rsidR="009C32A0" w:rsidRPr="005675B2">
        <w:rPr>
          <w:rFonts w:hint="cs"/>
          <w:rtl/>
        </w:rPr>
        <w:t xml:space="preserve"> بل هو صفة من صفاته يقال فيه كما يقال في صفة العلم كما ورد عن الإمام أحمد رضي الله عنه</w:t>
      </w:r>
      <w:r>
        <w:rPr>
          <w:rFonts w:hint="cs"/>
          <w:rtl/>
        </w:rPr>
        <w:t>،</w:t>
      </w:r>
      <w:r w:rsidR="009C32A0" w:rsidRPr="005675B2">
        <w:rPr>
          <w:rFonts w:hint="cs"/>
          <w:rtl/>
        </w:rPr>
        <w:t xml:space="preserve"> نسأل الله لنا ولكم الهداية</w:t>
      </w:r>
      <w:r>
        <w:rPr>
          <w:rFonts w:hint="cs"/>
          <w:rtl/>
        </w:rPr>
        <w:t>،</w:t>
      </w:r>
      <w:r w:rsidR="009C32A0" w:rsidRPr="005675B2">
        <w:rPr>
          <w:rFonts w:hint="cs"/>
          <w:rtl/>
        </w:rPr>
        <w:t xml:space="preserve"> وفي ختام المسألة فإن الصوت الذي يضاف إلى الله لم ينكره أحد من الفريقين ولكنه</w:t>
      </w:r>
      <w:r>
        <w:rPr>
          <w:rFonts w:hint="cs"/>
          <w:rtl/>
        </w:rPr>
        <w:t xml:space="preserve"> </w:t>
      </w:r>
      <w:r w:rsidR="009C32A0" w:rsidRPr="005675B2">
        <w:rPr>
          <w:rFonts w:hint="cs"/>
          <w:rtl/>
        </w:rPr>
        <w:t>يكون على احتمالين</w:t>
      </w:r>
      <w:r>
        <w:rPr>
          <w:rFonts w:hint="cs"/>
          <w:rtl/>
        </w:rPr>
        <w:t xml:space="preserve">: </w:t>
      </w:r>
      <w:r w:rsidR="009C32A0" w:rsidRPr="005675B2">
        <w:rPr>
          <w:rFonts w:hint="cs"/>
          <w:rtl/>
        </w:rPr>
        <w:t>الأول</w:t>
      </w:r>
      <w:r>
        <w:rPr>
          <w:rFonts w:hint="cs"/>
          <w:rtl/>
        </w:rPr>
        <w:t>:</w:t>
      </w:r>
      <w:r w:rsidR="009C32A0" w:rsidRPr="005675B2">
        <w:rPr>
          <w:rFonts w:hint="cs"/>
          <w:rtl/>
        </w:rPr>
        <w:t xml:space="preserve"> أنه إضافة مخلوق إلى خالق وبه قال جمهور أهل السنة والجماعة لعدم الدليل القاطع على أنه صفة ولا يجوز وصف الله بالظنون والاحتمالات</w:t>
      </w:r>
      <w:r>
        <w:rPr>
          <w:rFonts w:hint="cs"/>
          <w:rtl/>
        </w:rPr>
        <w:t>،</w:t>
      </w:r>
      <w:r w:rsidR="009C32A0" w:rsidRPr="005675B2">
        <w:rPr>
          <w:rFonts w:hint="cs"/>
          <w:rtl/>
        </w:rPr>
        <w:t xml:space="preserve"> الثاني</w:t>
      </w:r>
      <w:r>
        <w:rPr>
          <w:rFonts w:hint="cs"/>
          <w:rtl/>
        </w:rPr>
        <w:t>:</w:t>
      </w:r>
      <w:r w:rsidR="009C32A0" w:rsidRPr="005675B2">
        <w:rPr>
          <w:rFonts w:hint="cs"/>
          <w:rtl/>
        </w:rPr>
        <w:t xml:space="preserve"> أنه إضافة صفة إلى موصوف</w:t>
      </w:r>
      <w:r>
        <w:rPr>
          <w:rFonts w:hint="cs"/>
          <w:rtl/>
        </w:rPr>
        <w:t>،</w:t>
      </w:r>
      <w:r w:rsidR="009C32A0" w:rsidRPr="005675B2">
        <w:rPr>
          <w:rFonts w:hint="cs"/>
          <w:rtl/>
        </w:rPr>
        <w:t>وبه قال جمع من أهل العلم من الحنابلة وغيرهم</w:t>
      </w:r>
      <w:r>
        <w:rPr>
          <w:rFonts w:hint="cs"/>
          <w:rtl/>
        </w:rPr>
        <w:t>،</w:t>
      </w:r>
      <w:r w:rsidR="009C32A0" w:rsidRPr="005675B2">
        <w:rPr>
          <w:rFonts w:hint="cs"/>
          <w:rtl/>
        </w:rPr>
        <w:t xml:space="preserve"> ثم هؤلاء على قسمين</w:t>
      </w:r>
      <w:r>
        <w:rPr>
          <w:rFonts w:hint="cs"/>
          <w:rtl/>
        </w:rPr>
        <w:t>:</w:t>
      </w:r>
      <w:r w:rsidR="009C32A0" w:rsidRPr="005675B2">
        <w:rPr>
          <w:rFonts w:hint="cs"/>
          <w:rtl/>
        </w:rPr>
        <w:t>الأول</w:t>
      </w:r>
      <w:r>
        <w:rPr>
          <w:rFonts w:hint="cs"/>
          <w:rtl/>
        </w:rPr>
        <w:t>:</w:t>
      </w:r>
      <w:r w:rsidR="009C32A0" w:rsidRPr="005675B2">
        <w:rPr>
          <w:rFonts w:hint="cs"/>
          <w:rtl/>
        </w:rPr>
        <w:t xml:space="preserve"> يتعامل معه كسائر الصفات المتشابهة فيثبت الصوت مع القطع بأنه ليس كصوت المخلوق ثم يفوض معناه إلى الله</w:t>
      </w:r>
      <w:r>
        <w:rPr>
          <w:rFonts w:hint="cs"/>
          <w:rtl/>
        </w:rPr>
        <w:t>،</w:t>
      </w:r>
      <w:r w:rsidR="009C32A0" w:rsidRPr="005675B2">
        <w:rPr>
          <w:rFonts w:hint="cs"/>
          <w:rtl/>
        </w:rPr>
        <w:t>فلا</w:t>
      </w:r>
      <w:r>
        <w:rPr>
          <w:rFonts w:hint="cs"/>
          <w:rtl/>
        </w:rPr>
        <w:t xml:space="preserve"> </w:t>
      </w:r>
      <w:r w:rsidR="009C32A0" w:rsidRPr="005675B2">
        <w:rPr>
          <w:rFonts w:hint="cs"/>
          <w:rtl/>
        </w:rPr>
        <w:t>كيف</w:t>
      </w:r>
      <w:r>
        <w:rPr>
          <w:rFonts w:hint="cs"/>
          <w:rtl/>
        </w:rPr>
        <w:t xml:space="preserve"> </w:t>
      </w:r>
      <w:r w:rsidR="009C32A0" w:rsidRPr="005675B2">
        <w:rPr>
          <w:rFonts w:hint="cs"/>
          <w:rtl/>
        </w:rPr>
        <w:t>ولا معنى</w:t>
      </w:r>
      <w:r>
        <w:rPr>
          <w:rFonts w:hint="cs"/>
          <w:rtl/>
        </w:rPr>
        <w:t>،</w:t>
      </w:r>
      <w:r w:rsidR="009C32A0" w:rsidRPr="005675B2">
        <w:rPr>
          <w:rFonts w:hint="cs"/>
          <w:rtl/>
        </w:rPr>
        <w:t>بل يمره ويسكت كما سكت الصحابة، أو يؤوله على معنى لائق بالله</w:t>
      </w:r>
      <w:r>
        <w:rPr>
          <w:rFonts w:hint="cs"/>
          <w:rtl/>
        </w:rPr>
        <w:t>،</w:t>
      </w:r>
      <w:r w:rsidR="009C32A0" w:rsidRPr="005675B2">
        <w:rPr>
          <w:rFonts w:hint="cs"/>
          <w:rtl/>
        </w:rPr>
        <w:t xml:space="preserve"> قال ابن حجر</w:t>
      </w:r>
      <w:r>
        <w:rPr>
          <w:rFonts w:hint="cs"/>
          <w:rtl/>
        </w:rPr>
        <w:t>:</w:t>
      </w:r>
      <w:r w:rsidR="009C32A0" w:rsidRPr="005675B2">
        <w:rPr>
          <w:rFonts w:hint="cs"/>
          <w:rtl/>
        </w:rPr>
        <w:t xml:space="preserve"> وإذا ثبت ذكر الصوت بهذه الأحاديث الصحيحة</w:t>
      </w:r>
      <w:r>
        <w:rPr>
          <w:rFonts w:hint="cs"/>
          <w:rtl/>
        </w:rPr>
        <w:t>،</w:t>
      </w:r>
      <w:r w:rsidR="009C32A0" w:rsidRPr="005675B2">
        <w:rPr>
          <w:rFonts w:hint="cs"/>
          <w:rtl/>
        </w:rPr>
        <w:t>وجب الإيمان به</w:t>
      </w:r>
      <w:r>
        <w:rPr>
          <w:rFonts w:hint="cs"/>
          <w:rtl/>
        </w:rPr>
        <w:t>،</w:t>
      </w:r>
      <w:r w:rsidR="009C32A0" w:rsidRPr="005675B2">
        <w:rPr>
          <w:rFonts w:hint="cs"/>
          <w:rtl/>
        </w:rPr>
        <w:t xml:space="preserve">ثم إما التفويض </w:t>
      </w:r>
      <w:r w:rsidR="009C32A0" w:rsidRPr="005675B2">
        <w:rPr>
          <w:rFonts w:hint="cs"/>
          <w:u w:val="single"/>
          <w:rtl/>
        </w:rPr>
        <w:t>وإما التأويل</w:t>
      </w:r>
      <w:r w:rsidR="009C32A0" w:rsidRPr="005675B2">
        <w:rPr>
          <w:rFonts w:hint="cs"/>
          <w:rtl/>
        </w:rPr>
        <w:t xml:space="preserve"> وبالله التوفيق</w:t>
      </w:r>
      <w:r>
        <w:rPr>
          <w:rFonts w:hint="cs"/>
          <w:rtl/>
        </w:rPr>
        <w:t>،</w:t>
      </w:r>
      <w:r w:rsidR="009C32A0" w:rsidRPr="005675B2">
        <w:rPr>
          <w:rFonts w:hint="cs"/>
          <w:rtl/>
        </w:rPr>
        <w:t xml:space="preserve"> [</w:t>
      </w:r>
      <w:r w:rsidR="009C32A0" w:rsidRPr="005675B2">
        <w:rPr>
          <w:rFonts w:hint="cs"/>
          <w:bCs/>
          <w:sz w:val="24"/>
          <w:szCs w:val="24"/>
          <w:rtl/>
        </w:rPr>
        <w:t>فتح الباري:13/458</w:t>
      </w:r>
      <w:r w:rsidR="009C32A0" w:rsidRPr="005675B2">
        <w:rPr>
          <w:rFonts w:hint="cs"/>
          <w:rtl/>
        </w:rPr>
        <w:t>]</w:t>
      </w:r>
      <w:r>
        <w:rPr>
          <w:rFonts w:hint="cs"/>
          <w:rtl/>
        </w:rPr>
        <w:t>،</w:t>
      </w:r>
      <w:r w:rsidR="009C32A0" w:rsidRPr="005675B2">
        <w:rPr>
          <w:rFonts w:hint="cs"/>
          <w:rtl/>
        </w:rPr>
        <w:t xml:space="preserve"> الثاني</w:t>
      </w:r>
      <w:r>
        <w:rPr>
          <w:rFonts w:hint="cs"/>
          <w:rtl/>
        </w:rPr>
        <w:t>:</w:t>
      </w:r>
      <w:r w:rsidR="009C32A0" w:rsidRPr="005675B2">
        <w:rPr>
          <w:rFonts w:hint="cs"/>
          <w:rtl/>
        </w:rPr>
        <w:t xml:space="preserve"> من قال أن لله صوت على الحقيقة في اللغة ونحن نعلم معناه</w:t>
      </w:r>
      <w:r>
        <w:rPr>
          <w:rFonts w:hint="cs"/>
          <w:rtl/>
        </w:rPr>
        <w:t>،</w:t>
      </w:r>
      <w:r w:rsidR="009C32A0" w:rsidRPr="005675B2">
        <w:rPr>
          <w:rFonts w:hint="cs"/>
          <w:rtl/>
        </w:rPr>
        <w:t xml:space="preserve"> فهو مطالب بإظهار هذا المعنى الذي علمه فإن كان حق فهو مقبول وقوله على الحقيقة في اللغة باطل</w:t>
      </w:r>
      <w:r>
        <w:rPr>
          <w:rFonts w:hint="cs"/>
          <w:rtl/>
        </w:rPr>
        <w:t>،</w:t>
      </w:r>
      <w:r w:rsidR="009C32A0" w:rsidRPr="005675B2">
        <w:rPr>
          <w:rFonts w:hint="cs"/>
          <w:rtl/>
        </w:rPr>
        <w:t xml:space="preserve"> وإن كان المعنى فيه تشبيه فهو باطل لفظاً ومعنى</w:t>
      </w:r>
      <w:r>
        <w:rPr>
          <w:rFonts w:hint="cs"/>
          <w:rtl/>
        </w:rPr>
        <w:t>،</w:t>
      </w:r>
      <w:r w:rsidR="009C32A0" w:rsidRPr="005675B2">
        <w:rPr>
          <w:rFonts w:hint="cs"/>
          <w:rtl/>
        </w:rPr>
        <w:t xml:space="preserve"> وكذا من قال إنه قول كالمعروف في المحسوسات من ذبذبات ونحوها وهذا لا يقوله إلا غلاة المشبهة</w:t>
      </w:r>
      <w:r>
        <w:rPr>
          <w:rFonts w:hint="cs"/>
          <w:rtl/>
        </w:rPr>
        <w:t>،</w:t>
      </w:r>
    </w:p>
    <w:p w14:paraId="3DA8044F" w14:textId="099963C4" w:rsidR="009C32A0" w:rsidRPr="005675B2" w:rsidRDefault="009C32A0" w:rsidP="000636C2">
      <w:pPr>
        <w:rPr>
          <w:b/>
          <w:rtl/>
        </w:rPr>
      </w:pPr>
      <w:r w:rsidRPr="005675B2">
        <w:rPr>
          <w:rFonts w:hint="cs"/>
          <w:bCs/>
          <w:rtl/>
        </w:rPr>
        <w:t>وقفة مع الموجان</w:t>
      </w:r>
      <w:r w:rsidR="000636C2">
        <w:rPr>
          <w:rFonts w:hint="cs"/>
          <w:bCs/>
          <w:rtl/>
        </w:rPr>
        <w:t>:</w:t>
      </w:r>
      <w:r w:rsidRPr="005675B2">
        <w:rPr>
          <w:rFonts w:hint="cs"/>
          <w:bCs/>
          <w:rtl/>
        </w:rPr>
        <w:t xml:space="preserve"> الموجان يؤمن كما في كتابه بأن أفعال الله تحدث في ذاته</w:t>
      </w:r>
      <w:r w:rsidR="000636C2">
        <w:rPr>
          <w:rFonts w:hint="cs"/>
          <w:rtl/>
        </w:rPr>
        <w:t xml:space="preserve">: </w:t>
      </w:r>
      <w:r w:rsidRPr="005675B2">
        <w:rPr>
          <w:rFonts w:hint="cs"/>
          <w:rtl/>
        </w:rPr>
        <w:t>فقال</w:t>
      </w:r>
      <w:r w:rsidR="000636C2">
        <w:rPr>
          <w:rFonts w:hint="cs"/>
          <w:rtl/>
        </w:rPr>
        <w:t>:</w:t>
      </w:r>
      <w:r w:rsidRPr="005675B2">
        <w:rPr>
          <w:rFonts w:hint="cs"/>
          <w:rtl/>
        </w:rPr>
        <w:t xml:space="preserve"> أما مسألة قيام الحوادث بذات الله تعالى فهو أمر مجمل .. إلى أن قال</w:t>
      </w:r>
      <w:r w:rsidR="000636C2">
        <w:rPr>
          <w:rFonts w:hint="cs"/>
          <w:rtl/>
        </w:rPr>
        <w:t>:</w:t>
      </w:r>
      <w:r w:rsidRPr="005675B2">
        <w:rPr>
          <w:rFonts w:hint="cs"/>
          <w:rtl/>
        </w:rPr>
        <w:t xml:space="preserve"> فإن أردت أن الله محل للمخلوقات</w:t>
      </w:r>
      <w:r w:rsidR="000636C2">
        <w:rPr>
          <w:rFonts w:hint="cs"/>
          <w:rtl/>
        </w:rPr>
        <w:t>،</w:t>
      </w:r>
      <w:r w:rsidRPr="005675B2">
        <w:rPr>
          <w:rFonts w:hint="cs"/>
          <w:rtl/>
        </w:rPr>
        <w:t>أو تقوم به صفة لم تكن</w:t>
      </w:r>
      <w:r w:rsidR="000636C2">
        <w:rPr>
          <w:rFonts w:hint="cs"/>
          <w:rtl/>
        </w:rPr>
        <w:t>،</w:t>
      </w:r>
      <w:r w:rsidRPr="005675B2">
        <w:rPr>
          <w:rFonts w:hint="cs"/>
          <w:rtl/>
        </w:rPr>
        <w:t xml:space="preserve"> فهذا ممتنع</w:t>
      </w:r>
      <w:r w:rsidR="000636C2">
        <w:rPr>
          <w:rFonts w:hint="cs"/>
          <w:rtl/>
        </w:rPr>
        <w:t>،</w:t>
      </w:r>
      <w:r w:rsidRPr="005675B2">
        <w:rPr>
          <w:rFonts w:hint="cs"/>
          <w:rtl/>
        </w:rPr>
        <w:t>وإن أردت أن لايقوم به فعل يفعل مايشاء وقت ماشاءفقد خالفت عشرات النصوص الدالة على أفعال الله {كل يوم هو في شأن}وقولك ومن المعلوم أن الحدوث دليل النقص هي دعوى مجردة عن برهانها قال تعالى {لاتدري لعل الله يحدث بعد ذلك أمراً} .. إلى أن قال</w:t>
      </w:r>
      <w:r w:rsidR="000636C2">
        <w:rPr>
          <w:rFonts w:hint="cs"/>
          <w:rtl/>
        </w:rPr>
        <w:t>:</w:t>
      </w:r>
      <w:r w:rsidRPr="005675B2">
        <w:rPr>
          <w:rFonts w:hint="cs"/>
          <w:rtl/>
        </w:rPr>
        <w:t xml:space="preserve"> </w:t>
      </w:r>
      <w:r w:rsidR="000636C2">
        <w:rPr>
          <w:rFonts w:hint="cs"/>
          <w:rtl/>
        </w:rPr>
        <w:t>{</w:t>
      </w:r>
      <w:r w:rsidRPr="005675B2">
        <w:rPr>
          <w:rFonts w:hint="cs"/>
          <w:rtl/>
        </w:rPr>
        <w:t>ما يأتيهم من ذكر من ربهم محدث}</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140</w:t>
      </w:r>
      <w:r w:rsidRPr="005675B2">
        <w:rPr>
          <w:rFonts w:hint="cs"/>
          <w:rtl/>
        </w:rPr>
        <w:t>] كل هذا ليستدل أن ذلك يحدث في ذات الله سبحانه وتعالى عن ما يقول</w:t>
      </w:r>
      <w:r w:rsidR="000636C2">
        <w:rPr>
          <w:rFonts w:hint="cs"/>
          <w:rtl/>
        </w:rPr>
        <w:t>،</w:t>
      </w:r>
    </w:p>
    <w:p w14:paraId="71BA1925" w14:textId="7049AAD0" w:rsidR="009C32A0" w:rsidRPr="005675B2" w:rsidRDefault="009C32A0" w:rsidP="000636C2">
      <w:pPr>
        <w:rPr>
          <w:b/>
          <w:rtl/>
        </w:rPr>
      </w:pPr>
      <w:r w:rsidRPr="005675B2">
        <w:rPr>
          <w:rFonts w:hint="cs"/>
          <w:bCs/>
          <w:rtl/>
        </w:rPr>
        <w:t>التعليق على كلام الموجان</w:t>
      </w:r>
      <w:r w:rsidR="000636C2">
        <w:rPr>
          <w:rFonts w:hint="cs"/>
          <w:rtl/>
        </w:rPr>
        <w:t xml:space="preserve">: </w:t>
      </w:r>
      <w:r w:rsidRPr="005675B2">
        <w:rPr>
          <w:rFonts w:hint="cs"/>
          <w:rtl/>
        </w:rPr>
        <w:t>1</w:t>
      </w:r>
      <w:r w:rsidR="000636C2">
        <w:rPr>
          <w:rFonts w:hint="cs"/>
          <w:rtl/>
        </w:rPr>
        <w:t xml:space="preserve"> </w:t>
      </w:r>
      <w:r w:rsidRPr="005675B2">
        <w:rPr>
          <w:rFonts w:hint="cs"/>
          <w:rtl/>
        </w:rPr>
        <w:t>- قولك</w:t>
      </w:r>
      <w:r w:rsidR="000636C2">
        <w:rPr>
          <w:rFonts w:hint="cs"/>
          <w:rtl/>
        </w:rPr>
        <w:t>:</w:t>
      </w:r>
      <w:r w:rsidRPr="005675B2">
        <w:rPr>
          <w:rFonts w:hint="cs"/>
          <w:rtl/>
        </w:rPr>
        <w:t xml:space="preserve"> </w:t>
      </w:r>
      <w:r w:rsidR="000636C2">
        <w:rPr>
          <w:rFonts w:hint="cs"/>
          <w:rtl/>
        </w:rPr>
        <w:t>(</w:t>
      </w:r>
      <w:r w:rsidRPr="005675B2">
        <w:rPr>
          <w:rFonts w:hint="cs"/>
          <w:rtl/>
        </w:rPr>
        <w:t>وإن أردت أن لايقوم به فعل يفعل مايشاء وقت ماشاء</w:t>
      </w:r>
      <w:r w:rsidR="000636C2">
        <w:rPr>
          <w:rFonts w:hint="cs"/>
          <w:rtl/>
        </w:rPr>
        <w:t>)،</w:t>
      </w:r>
      <w:r w:rsidRPr="005675B2">
        <w:rPr>
          <w:rFonts w:hint="cs"/>
          <w:rtl/>
        </w:rPr>
        <w:t xml:space="preserve"> أقول يا أخي هداك الله</w:t>
      </w:r>
      <w:r w:rsidR="000636C2">
        <w:rPr>
          <w:rFonts w:hint="cs"/>
          <w:rtl/>
        </w:rPr>
        <w:t>:</w:t>
      </w:r>
      <w:r w:rsidRPr="005675B2">
        <w:rPr>
          <w:rFonts w:hint="cs"/>
          <w:rtl/>
        </w:rPr>
        <w:t xml:space="preserve"> هل هذا الفعل يفعله الله</w:t>
      </w:r>
      <w:r w:rsidR="000636C2">
        <w:rPr>
          <w:rFonts w:hint="cs"/>
          <w:rtl/>
        </w:rPr>
        <w:t xml:space="preserve"> </w:t>
      </w:r>
      <w:r w:rsidRPr="005675B2">
        <w:rPr>
          <w:rFonts w:hint="cs"/>
          <w:rtl/>
        </w:rPr>
        <w:t>في ذاته أم يفعله</w:t>
      </w:r>
      <w:r w:rsidR="000636C2">
        <w:rPr>
          <w:rFonts w:hint="cs"/>
          <w:rtl/>
        </w:rPr>
        <w:t xml:space="preserve"> </w:t>
      </w:r>
      <w:r w:rsidRPr="005675B2">
        <w:rPr>
          <w:rFonts w:hint="cs"/>
          <w:rtl/>
        </w:rPr>
        <w:t>الله</w:t>
      </w:r>
      <w:r w:rsidR="000636C2">
        <w:rPr>
          <w:rFonts w:hint="cs"/>
          <w:rtl/>
        </w:rPr>
        <w:t xml:space="preserve"> </w:t>
      </w:r>
      <w:r w:rsidRPr="005675B2">
        <w:rPr>
          <w:rFonts w:hint="cs"/>
          <w:rtl/>
        </w:rPr>
        <w:t>في مخلوقاته</w:t>
      </w:r>
      <w:r w:rsidR="000636C2">
        <w:rPr>
          <w:rFonts w:hint="cs"/>
          <w:rtl/>
        </w:rPr>
        <w:t>؟!</w:t>
      </w:r>
      <w:r w:rsidRPr="005675B2">
        <w:rPr>
          <w:rFonts w:hint="cs"/>
          <w:rtl/>
        </w:rPr>
        <w:t xml:space="preserve"> فنعم </w:t>
      </w:r>
      <w:r w:rsidR="000636C2">
        <w:rPr>
          <w:rFonts w:hint="cs"/>
          <w:rtl/>
        </w:rPr>
        <w:t>{</w:t>
      </w:r>
      <w:r w:rsidRPr="005675B2">
        <w:rPr>
          <w:rFonts w:hint="cs"/>
          <w:rtl/>
        </w:rPr>
        <w:t>كل يوم هو في شأن</w:t>
      </w:r>
      <w:r w:rsidR="000636C2">
        <w:rPr>
          <w:rFonts w:hint="cs"/>
          <w:rtl/>
        </w:rPr>
        <w:t>}</w:t>
      </w:r>
      <w:r w:rsidRPr="005675B2">
        <w:rPr>
          <w:rFonts w:hint="cs"/>
          <w:rtl/>
        </w:rPr>
        <w:t xml:space="preserve"> فهذا يموت وهذا يولد</w:t>
      </w:r>
      <w:r w:rsidR="000636C2">
        <w:rPr>
          <w:rFonts w:hint="cs"/>
          <w:rtl/>
        </w:rPr>
        <w:t>،</w:t>
      </w:r>
      <w:r w:rsidRPr="005675B2">
        <w:rPr>
          <w:rFonts w:hint="cs"/>
          <w:rtl/>
        </w:rPr>
        <w:t>وهذا يرزق وهي أفعال</w:t>
      </w:r>
      <w:r w:rsidR="000636C2">
        <w:rPr>
          <w:rFonts w:hint="cs"/>
          <w:rtl/>
        </w:rPr>
        <w:t xml:space="preserve"> </w:t>
      </w:r>
      <w:r w:rsidRPr="005675B2">
        <w:rPr>
          <w:rFonts w:hint="cs"/>
          <w:rtl/>
        </w:rPr>
        <w:t>يفعلها الله في مخلوقاته لا في ذاته</w:t>
      </w:r>
      <w:r w:rsidR="000636C2">
        <w:rPr>
          <w:rFonts w:hint="cs"/>
          <w:rtl/>
        </w:rPr>
        <w:t>،</w:t>
      </w:r>
      <w:r w:rsidRPr="005675B2">
        <w:rPr>
          <w:rFonts w:hint="cs"/>
          <w:rtl/>
        </w:rPr>
        <w:t>فأرجو أن تفهم ذلك يا أخي الكريم، لأنه إذا قامت الحوادث بالأزلي فهو حادث بلا ريب فالمركب من القديم والحادث هو حادث</w:t>
      </w:r>
      <w:r w:rsidR="000636C2">
        <w:rPr>
          <w:rFonts w:hint="cs"/>
          <w:rtl/>
        </w:rPr>
        <w:t>،</w:t>
      </w:r>
      <w:r w:rsidRPr="005675B2">
        <w:rPr>
          <w:rFonts w:hint="cs"/>
          <w:rtl/>
        </w:rPr>
        <w:t xml:space="preserve"> ولذا فلا شك أن الله فعّال لمايريد، لكن أفعاله في مخلوقاته أما ذاته فلا تتغير ولا تتبدل ولا يحدث الله فيها شيئاً</w:t>
      </w:r>
      <w:r w:rsidR="000636C2">
        <w:rPr>
          <w:rFonts w:hint="cs"/>
          <w:rtl/>
        </w:rPr>
        <w:t>،</w:t>
      </w:r>
    </w:p>
    <w:p w14:paraId="0B63A777" w14:textId="69BE1BB1"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تحججك بقوله تعالى</w:t>
      </w:r>
      <w:r w:rsidR="000636C2">
        <w:rPr>
          <w:rFonts w:hint="cs"/>
          <w:rtl/>
        </w:rPr>
        <w:t>:</w:t>
      </w:r>
      <w:r w:rsidRPr="005675B2">
        <w:rPr>
          <w:rFonts w:hint="cs"/>
          <w:rtl/>
        </w:rPr>
        <w:t xml:space="preserve"> </w:t>
      </w:r>
      <w:r w:rsidR="000636C2">
        <w:rPr>
          <w:rFonts w:hint="cs"/>
          <w:rtl/>
        </w:rPr>
        <w:t>{</w:t>
      </w:r>
      <w:r w:rsidRPr="005675B2">
        <w:rPr>
          <w:rFonts w:hint="cs"/>
          <w:rtl/>
        </w:rPr>
        <w:t>ما يأتيهم من ذكر من ربهم محدث}على أن ذلك يحدث في الله تعالى فقد</w:t>
      </w:r>
      <w:r w:rsidR="000636C2">
        <w:rPr>
          <w:rFonts w:hint="cs"/>
          <w:rtl/>
        </w:rPr>
        <w:t xml:space="preserve"> </w:t>
      </w:r>
      <w:r w:rsidRPr="005675B2">
        <w:rPr>
          <w:rFonts w:hint="cs"/>
          <w:rtl/>
        </w:rPr>
        <w:t>احتج الجهمية</w:t>
      </w:r>
      <w:r w:rsidRPr="005675B2">
        <w:rPr>
          <w:rFonts w:hint="cs"/>
        </w:rPr>
        <w:t xml:space="preserve"> </w:t>
      </w:r>
      <w:r w:rsidRPr="005675B2">
        <w:rPr>
          <w:rFonts w:hint="cs"/>
          <w:rtl/>
        </w:rPr>
        <w:t>على الإمام أحمد رضي الله عنه بقول الله تعالى</w:t>
      </w:r>
      <w:r w:rsidR="000636C2">
        <w:rPr>
          <w:rFonts w:hint="cs"/>
          <w:rtl/>
        </w:rPr>
        <w:t>:</w:t>
      </w:r>
      <w:r w:rsidRPr="005675B2">
        <w:rPr>
          <w:rFonts w:hint="cs"/>
          <w:rtl/>
        </w:rPr>
        <w:t xml:space="preserve"> (</w:t>
      </w:r>
      <w:r w:rsidR="000636C2">
        <w:rPr>
          <w:rFonts w:hint="cs"/>
          <w:rtl/>
        </w:rPr>
        <w:t>(</w:t>
      </w:r>
      <w:r w:rsidRPr="005675B2">
        <w:rPr>
          <w:rFonts w:hint="cs"/>
          <w:rtl/>
        </w:rPr>
        <w:t>ما يأتيهم من ذكر من ربهم محدث</w:t>
      </w:r>
      <w:r w:rsidRPr="005675B2">
        <w:rPr>
          <w:rFonts w:hint="cs"/>
        </w:rPr>
        <w:t xml:space="preserve"> </w:t>
      </w:r>
      <w:r w:rsidRPr="005675B2">
        <w:rPr>
          <w:rFonts w:hint="cs"/>
          <w:rtl/>
        </w:rPr>
        <w:t>إلا استمعوه وهم يلعبون</w:t>
      </w:r>
      <w:r w:rsidR="000636C2">
        <w:rPr>
          <w:rFonts w:hint="cs"/>
          <w:rtl/>
        </w:rPr>
        <w:t>)</w:t>
      </w:r>
      <w:r w:rsidRPr="005675B2">
        <w:rPr>
          <w:rFonts w:hint="cs"/>
          <w:rtl/>
        </w:rPr>
        <w:t>) فقال</w:t>
      </w:r>
      <w:r w:rsidR="000636C2">
        <w:rPr>
          <w:rFonts w:hint="cs"/>
          <w:rtl/>
        </w:rPr>
        <w:t>:</w:t>
      </w:r>
      <w:r w:rsidRPr="005675B2">
        <w:rPr>
          <w:rFonts w:hint="cs"/>
          <w:rtl/>
        </w:rPr>
        <w:t xml:space="preserve"> يحتمل أن يكون تنزيله إلينا هو المحدث لا الذكر</w:t>
      </w:r>
      <w:r w:rsidRPr="005675B2">
        <w:rPr>
          <w:rFonts w:hint="cs"/>
        </w:rPr>
        <w:t xml:space="preserve"> </w:t>
      </w:r>
      <w:r w:rsidRPr="005675B2">
        <w:rPr>
          <w:rFonts w:hint="cs"/>
          <w:rtl/>
        </w:rPr>
        <w:t>نفسه هو المحدث</w:t>
      </w:r>
      <w:r w:rsidR="000636C2">
        <w:rPr>
          <w:rFonts w:hint="cs"/>
          <w:rtl/>
        </w:rPr>
        <w:t>،</w:t>
      </w:r>
      <w:r w:rsidRPr="005675B2">
        <w:rPr>
          <w:rFonts w:hint="cs"/>
          <w:rtl/>
        </w:rPr>
        <w:t xml:space="preserve"> </w:t>
      </w:r>
      <w:r w:rsidR="000636C2">
        <w:rPr>
          <w:rFonts w:hint="cs"/>
          <w:rtl/>
        </w:rPr>
        <w:t>(</w:t>
      </w:r>
      <w:r w:rsidRPr="005675B2">
        <w:rPr>
          <w:rFonts w:hint="cs"/>
          <w:rtl/>
        </w:rPr>
        <w:t>البداية والنهاية 10/327</w:t>
      </w:r>
      <w:r w:rsidR="000636C2">
        <w:rPr>
          <w:rFonts w:hint="cs"/>
          <w:rtl/>
        </w:rPr>
        <w:t>)</w:t>
      </w:r>
      <w:r w:rsidRPr="005675B2">
        <w:rPr>
          <w:rFonts w:hint="cs"/>
          <w:rtl/>
        </w:rPr>
        <w:t xml:space="preserve"> هذا معناه يا أخي هداك الله</w:t>
      </w:r>
      <w:r w:rsidR="000636C2">
        <w:rPr>
          <w:rFonts w:hint="cs"/>
          <w:rtl/>
        </w:rPr>
        <w:t>،</w:t>
      </w:r>
      <w:r w:rsidRPr="005675B2">
        <w:rPr>
          <w:rFonts w:hint="cs"/>
          <w:rtl/>
        </w:rPr>
        <w:t xml:space="preserve"> وجاء في جامع البيان عن تأويل آي القرآن</w:t>
      </w:r>
      <w:r w:rsidR="000636C2">
        <w:rPr>
          <w:rFonts w:hint="cs"/>
          <w:rtl/>
        </w:rPr>
        <w:t>،</w:t>
      </w:r>
      <w:r w:rsidRPr="005675B2">
        <w:rPr>
          <w:rFonts w:hint="cs"/>
          <w:rtl/>
        </w:rPr>
        <w:t xml:space="preserve"> - للإمام الطبري الجزء 17 " سورة طه "</w:t>
      </w:r>
      <w:r w:rsidR="000636C2">
        <w:rPr>
          <w:rFonts w:hint="cs"/>
          <w:rtl/>
        </w:rPr>
        <w:t xml:space="preserve"> </w:t>
      </w:r>
      <w:r w:rsidRPr="005675B2">
        <w:rPr>
          <w:rFonts w:hint="cs"/>
          <w:rtl/>
        </w:rPr>
        <w:t>القول في تأويل قوله تعالى</w:t>
      </w:r>
      <w:r w:rsidR="000636C2">
        <w:rPr>
          <w:rFonts w:hint="cs"/>
          <w:rtl/>
        </w:rPr>
        <w:t>:</w:t>
      </w:r>
      <w:r w:rsidRPr="005675B2">
        <w:rPr>
          <w:rFonts w:hint="cs"/>
          <w:rtl/>
        </w:rPr>
        <w:t xml:space="preserve"> {ما يأتيهم من ذكر من ربهم محدث إلا استمعوه وهم يلعبون}</w:t>
      </w:r>
      <w:r w:rsidR="000636C2">
        <w:rPr>
          <w:rFonts w:hint="cs"/>
          <w:rtl/>
        </w:rPr>
        <w:t>،</w:t>
      </w:r>
      <w:r w:rsidRPr="005675B2">
        <w:rPr>
          <w:rFonts w:hint="cs"/>
          <w:rtl/>
        </w:rPr>
        <w:t xml:space="preserve"> يقول تعالى ذكره</w:t>
      </w:r>
      <w:r w:rsidR="000636C2">
        <w:rPr>
          <w:rFonts w:hint="cs"/>
          <w:rtl/>
        </w:rPr>
        <w:t>:</w:t>
      </w:r>
      <w:r w:rsidRPr="005675B2">
        <w:rPr>
          <w:rFonts w:hint="cs"/>
          <w:rtl/>
        </w:rPr>
        <w:t xml:space="preserve"> ما يحدث الله من تنزيل شيء من هذا القرآن للناس ويذكرهم به ويعظهم، إلا استمعوه وهم يلعبون لاهية قلوبهم</w:t>
      </w:r>
      <w:r w:rsidR="000636C2">
        <w:rPr>
          <w:rFonts w:hint="cs"/>
          <w:rtl/>
        </w:rPr>
        <w:t>،</w:t>
      </w:r>
      <w:r w:rsidRPr="005675B2">
        <w:rPr>
          <w:rFonts w:hint="cs"/>
          <w:rtl/>
        </w:rPr>
        <w:t xml:space="preserve"> وبنحو الذي قلنا في تأويل ذلك قال أهل التأويل</w:t>
      </w:r>
      <w:r w:rsidR="000636C2">
        <w:rPr>
          <w:rFonts w:hint="cs"/>
          <w:rtl/>
        </w:rPr>
        <w:t>،</w:t>
      </w:r>
    </w:p>
    <w:p w14:paraId="091C4000" w14:textId="10EFD097" w:rsidR="009C32A0" w:rsidRPr="005675B2" w:rsidRDefault="009C32A0" w:rsidP="000636C2">
      <w:pPr>
        <w:rPr>
          <w:b/>
        </w:rPr>
      </w:pPr>
      <w:r w:rsidRPr="005675B2">
        <w:rPr>
          <w:rFonts w:hint="cs"/>
          <w:rtl/>
        </w:rPr>
        <w:t>ذكر من قال ذلك</w:t>
      </w:r>
      <w:r w:rsidR="000636C2">
        <w:rPr>
          <w:rFonts w:hint="cs"/>
          <w:u w:val="single"/>
          <w:rtl/>
        </w:rPr>
        <w:t xml:space="preserve">: </w:t>
      </w:r>
      <w:r w:rsidRPr="005675B2">
        <w:rPr>
          <w:rFonts w:hint="cs"/>
          <w:u w:val="single"/>
          <w:rtl/>
        </w:rPr>
        <w:t>عن قتادة قوله</w:t>
      </w:r>
      <w:r w:rsidR="000636C2">
        <w:rPr>
          <w:rFonts w:hint="cs"/>
          <w:rtl/>
        </w:rPr>
        <w:t>:</w:t>
      </w:r>
      <w:r w:rsidRPr="005675B2">
        <w:rPr>
          <w:rFonts w:hint="cs"/>
          <w:rtl/>
        </w:rPr>
        <w:t xml:space="preserve"> {ما يأتيهم من ذكر من ربهم محدث}</w:t>
      </w:r>
      <w:r w:rsidR="000636C2">
        <w:rPr>
          <w:rFonts w:hint="cs"/>
          <w:rtl/>
        </w:rPr>
        <w:t>،</w:t>
      </w:r>
      <w:r w:rsidRPr="005675B2">
        <w:rPr>
          <w:rFonts w:hint="cs"/>
          <w:rtl/>
        </w:rPr>
        <w:t xml:space="preserve"> الآية، يقول</w:t>
      </w:r>
      <w:r w:rsidR="000636C2">
        <w:rPr>
          <w:rFonts w:hint="cs"/>
          <w:rtl/>
        </w:rPr>
        <w:t>:</w:t>
      </w:r>
      <w:r w:rsidRPr="005675B2">
        <w:rPr>
          <w:rFonts w:hint="cs"/>
          <w:rtl/>
        </w:rPr>
        <w:t xml:space="preserve"> ما ينزل عليهم من شيء من القرآن إلا استمعوه وهم يلعبون</w:t>
      </w:r>
      <w:r w:rsidR="000636C2">
        <w:rPr>
          <w:rFonts w:hint="cs"/>
          <w:rtl/>
        </w:rPr>
        <w:t>،</w:t>
      </w:r>
      <w:r w:rsidRPr="005675B2">
        <w:rPr>
          <w:rFonts w:hint="cs"/>
          <w:rtl/>
        </w:rPr>
        <w:t xml:space="preserve"> وقال القرطبي</w:t>
      </w:r>
      <w:r w:rsidR="000636C2">
        <w:rPr>
          <w:rFonts w:hint="cs"/>
          <w:rtl/>
        </w:rPr>
        <w:t>:</w:t>
      </w:r>
      <w:r w:rsidRPr="005675B2">
        <w:rPr>
          <w:rFonts w:hint="cs"/>
          <w:rtl/>
        </w:rPr>
        <w:t xml:space="preserve"> في الجزء 7</w:t>
      </w:r>
      <w:r w:rsidR="000636C2">
        <w:rPr>
          <w:rFonts w:hint="cs"/>
          <w:rtl/>
        </w:rPr>
        <w:t xml:space="preserve"> </w:t>
      </w:r>
      <w:r w:rsidRPr="005675B2">
        <w:rPr>
          <w:rFonts w:hint="cs"/>
          <w:rtl/>
        </w:rPr>
        <w:t xml:space="preserve">سورة الأعراف </w:t>
      </w:r>
      <w:r>
        <w:rPr>
          <w:rtl/>
        </w:rPr>
        <w:t>"</w:t>
      </w:r>
      <w:r w:rsidR="000636C2">
        <w:rPr>
          <w:rFonts w:hint="cs"/>
          <w:rtl/>
        </w:rPr>
        <w:t xml:space="preserve"> </w:t>
      </w:r>
      <w:r w:rsidRPr="005675B2">
        <w:rPr>
          <w:rFonts w:hint="cs"/>
          <w:rtl/>
        </w:rPr>
        <w:t>الآية</w:t>
      </w:r>
      <w:r w:rsidR="000636C2">
        <w:rPr>
          <w:rFonts w:hint="cs"/>
          <w:rtl/>
        </w:rPr>
        <w:t>:</w:t>
      </w:r>
      <w:r w:rsidRPr="005675B2">
        <w:rPr>
          <w:rFonts w:hint="cs"/>
          <w:rtl/>
        </w:rPr>
        <w:t xml:space="preserve"> 54</w:t>
      </w:r>
      <w:r w:rsidR="000636C2">
        <w:rPr>
          <w:rFonts w:hint="cs"/>
          <w:rtl/>
        </w:rPr>
        <w:t xml:space="preserve">، </w:t>
      </w:r>
      <w:r w:rsidRPr="005675B2">
        <w:rPr>
          <w:rFonts w:hint="cs"/>
          <w:rtl/>
        </w:rPr>
        <w:t>فقوله تعالى</w:t>
      </w:r>
      <w:r w:rsidR="000636C2">
        <w:rPr>
          <w:rFonts w:hint="cs"/>
          <w:rtl/>
        </w:rPr>
        <w:t>:</w:t>
      </w:r>
      <w:r w:rsidRPr="005675B2">
        <w:rPr>
          <w:rFonts w:hint="cs"/>
          <w:rtl/>
        </w:rPr>
        <w:t xml:space="preserve"> "ألا له الخلق والأمر" صدق الله في خبره، فله الخلق وله الأمر، خلقهم وأمرهم بما أحب</w:t>
      </w:r>
      <w:r w:rsidR="000636C2">
        <w:rPr>
          <w:rFonts w:hint="cs"/>
          <w:rtl/>
        </w:rPr>
        <w:t>،</w:t>
      </w:r>
      <w:r w:rsidRPr="005675B2">
        <w:rPr>
          <w:rFonts w:hint="cs"/>
          <w:rtl/>
        </w:rPr>
        <w:t xml:space="preserve"> وهذا الأمر يقتضي النهي</w:t>
      </w:r>
      <w:r w:rsidR="000636C2">
        <w:rPr>
          <w:rFonts w:hint="cs"/>
          <w:rtl/>
        </w:rPr>
        <w:t>،</w:t>
      </w:r>
      <w:r w:rsidRPr="005675B2">
        <w:rPr>
          <w:rFonts w:hint="cs"/>
          <w:rtl/>
        </w:rPr>
        <w:t xml:space="preserve"> </w:t>
      </w:r>
      <w:r w:rsidRPr="005675B2">
        <w:rPr>
          <w:rFonts w:hint="cs"/>
          <w:u w:val="single"/>
          <w:rtl/>
        </w:rPr>
        <w:t>قال ابن عيينة</w:t>
      </w:r>
      <w:r w:rsidR="000636C2">
        <w:rPr>
          <w:rFonts w:hint="cs"/>
          <w:rtl/>
        </w:rPr>
        <w:t>:</w:t>
      </w:r>
      <w:r w:rsidRPr="005675B2">
        <w:rPr>
          <w:rFonts w:hint="cs"/>
          <w:rtl/>
        </w:rPr>
        <w:t xml:space="preserve"> فرق بين الخلق والأمر فمن جمع بينهما فقد كفر</w:t>
      </w:r>
      <w:r w:rsidR="000636C2">
        <w:rPr>
          <w:rFonts w:hint="cs"/>
          <w:rtl/>
        </w:rPr>
        <w:t>،</w:t>
      </w:r>
      <w:r w:rsidRPr="005675B2">
        <w:rPr>
          <w:rFonts w:hint="cs"/>
          <w:rtl/>
        </w:rPr>
        <w:t xml:space="preserve"> فالخلق المخلوق، </w:t>
      </w:r>
      <w:r w:rsidRPr="005675B2">
        <w:rPr>
          <w:rFonts w:hint="cs"/>
          <w:u w:val="single"/>
          <w:rtl/>
        </w:rPr>
        <w:t>والأمر كلامه الذي هو غير مخلوق وهو قوله</w:t>
      </w:r>
      <w:r w:rsidR="000636C2">
        <w:rPr>
          <w:rFonts w:hint="cs"/>
          <w:u w:val="single"/>
          <w:rtl/>
        </w:rPr>
        <w:t>:</w:t>
      </w:r>
      <w:r w:rsidRPr="005675B2">
        <w:rPr>
          <w:rFonts w:hint="cs"/>
          <w:u w:val="single"/>
          <w:rtl/>
        </w:rPr>
        <w:t xml:space="preserve"> "كن"</w:t>
      </w:r>
      <w:r w:rsidR="000636C2">
        <w:rPr>
          <w:rFonts w:hint="cs"/>
          <w:u w:val="single"/>
          <w:rtl/>
        </w:rPr>
        <w:t>،</w:t>
      </w:r>
      <w:r w:rsidRPr="005675B2">
        <w:rPr>
          <w:rFonts w:hint="cs"/>
          <w:u w:val="single"/>
          <w:rtl/>
        </w:rPr>
        <w:t xml:space="preserve"> </w:t>
      </w:r>
      <w:r w:rsidRPr="005675B2">
        <w:rPr>
          <w:rFonts w:hint="cs"/>
          <w:rtl/>
        </w:rPr>
        <w:t xml:space="preserve">"إنما أمره إذا أراد شيئا أن يقول له كن فيكون" </w:t>
      </w:r>
      <w:r w:rsidR="000636C2">
        <w:rPr>
          <w:rFonts w:hint="cs"/>
          <w:rtl/>
        </w:rPr>
        <w:t>[</w:t>
      </w:r>
      <w:r w:rsidRPr="005675B2">
        <w:rPr>
          <w:rFonts w:hint="cs"/>
          <w:rtl/>
        </w:rPr>
        <w:t>يس</w:t>
      </w:r>
      <w:r w:rsidR="000636C2">
        <w:rPr>
          <w:rFonts w:hint="cs"/>
          <w:rtl/>
        </w:rPr>
        <w:t>:</w:t>
      </w:r>
      <w:r w:rsidRPr="005675B2">
        <w:rPr>
          <w:rFonts w:hint="cs"/>
          <w:rtl/>
        </w:rPr>
        <w:t xml:space="preserve"> 82</w:t>
      </w:r>
      <w:r w:rsidR="000636C2">
        <w:rPr>
          <w:rFonts w:hint="cs"/>
          <w:rtl/>
        </w:rPr>
        <w:t>]،</w:t>
      </w:r>
      <w:r w:rsidRPr="005675B2">
        <w:rPr>
          <w:rFonts w:hint="cs"/>
          <w:rtl/>
        </w:rPr>
        <w:t xml:space="preserve"> وفي تفرقته بين الخلق والأمر دليل بيِّن على فساد قول من قال بخلق القرآن إذ لو كان كلامه الذي هو أمر مخلوقاً لكان قد قال</w:t>
      </w:r>
      <w:r w:rsidR="000636C2">
        <w:rPr>
          <w:rFonts w:hint="cs"/>
          <w:rtl/>
        </w:rPr>
        <w:t>:</w:t>
      </w:r>
      <w:r w:rsidRPr="005675B2">
        <w:rPr>
          <w:rFonts w:hint="cs"/>
          <w:rtl/>
        </w:rPr>
        <w:t xml:space="preserve"> ألا له الخلق والخلق</w:t>
      </w:r>
      <w:r w:rsidR="000636C2">
        <w:rPr>
          <w:rFonts w:hint="cs"/>
          <w:rtl/>
        </w:rPr>
        <w:t>،</w:t>
      </w:r>
      <w:r w:rsidRPr="005675B2">
        <w:rPr>
          <w:rFonts w:hint="cs"/>
          <w:rtl/>
        </w:rPr>
        <w:t xml:space="preserve"> وذلك عِيٌّ من الكلام ومستهجن ومستغث</w:t>
      </w:r>
      <w:r w:rsidR="000636C2">
        <w:rPr>
          <w:rFonts w:hint="cs"/>
          <w:rtl/>
        </w:rPr>
        <w:t>،</w:t>
      </w:r>
      <w:r w:rsidRPr="005675B2">
        <w:rPr>
          <w:rFonts w:hint="cs"/>
          <w:rtl/>
        </w:rPr>
        <w:t xml:space="preserve"> والله يتعالى عن التكلم بما لا فائدة فيه</w:t>
      </w:r>
      <w:r w:rsidR="000636C2">
        <w:rPr>
          <w:rFonts w:hint="cs"/>
          <w:rtl/>
        </w:rPr>
        <w:t>،</w:t>
      </w:r>
      <w:r w:rsidRPr="005675B2">
        <w:rPr>
          <w:rFonts w:hint="cs"/>
          <w:rtl/>
        </w:rPr>
        <w:t xml:space="preserve"> ويدل عليه قوله سبحانه</w:t>
      </w:r>
      <w:r w:rsidR="000636C2">
        <w:rPr>
          <w:rFonts w:hint="cs"/>
          <w:rtl/>
        </w:rPr>
        <w:t>:</w:t>
      </w:r>
      <w:r w:rsidRPr="005675B2">
        <w:rPr>
          <w:rFonts w:hint="cs"/>
          <w:rtl/>
        </w:rPr>
        <w:t xml:space="preserve"> "ومن آياته أن تقوم السماء والأرض بأمره" </w:t>
      </w:r>
      <w:r w:rsidR="000636C2">
        <w:rPr>
          <w:rFonts w:hint="cs"/>
          <w:rtl/>
        </w:rPr>
        <w:t>[</w:t>
      </w:r>
      <w:r w:rsidRPr="005675B2">
        <w:rPr>
          <w:rFonts w:hint="cs"/>
          <w:rtl/>
        </w:rPr>
        <w:t>الروم</w:t>
      </w:r>
      <w:r w:rsidR="000636C2">
        <w:rPr>
          <w:rFonts w:hint="cs"/>
          <w:rtl/>
        </w:rPr>
        <w:t>:</w:t>
      </w:r>
      <w:r w:rsidRPr="005675B2">
        <w:rPr>
          <w:rFonts w:hint="cs"/>
          <w:rtl/>
        </w:rPr>
        <w:t xml:space="preserve"> 25</w:t>
      </w:r>
      <w:r w:rsidR="000636C2">
        <w:rPr>
          <w:rFonts w:hint="cs"/>
          <w:rtl/>
        </w:rPr>
        <w:t>]،</w:t>
      </w:r>
      <w:r w:rsidRPr="005675B2">
        <w:rPr>
          <w:rFonts w:hint="cs"/>
          <w:rtl/>
        </w:rPr>
        <w:t xml:space="preserve"> "والشمس والقمر والنجوم مسخرات بأمره" </w:t>
      </w:r>
      <w:r w:rsidR="000636C2">
        <w:rPr>
          <w:rFonts w:hint="cs"/>
          <w:rtl/>
        </w:rPr>
        <w:t>[</w:t>
      </w:r>
      <w:r w:rsidRPr="005675B2">
        <w:rPr>
          <w:rFonts w:hint="cs"/>
          <w:rtl/>
        </w:rPr>
        <w:t>الأعراف</w:t>
      </w:r>
      <w:r w:rsidR="000636C2">
        <w:rPr>
          <w:rFonts w:hint="cs"/>
          <w:rtl/>
        </w:rPr>
        <w:t>:</w:t>
      </w:r>
      <w:r w:rsidRPr="005675B2">
        <w:rPr>
          <w:rFonts w:hint="cs"/>
          <w:rtl/>
        </w:rPr>
        <w:t xml:space="preserve"> 54</w:t>
      </w:r>
      <w:r w:rsidR="000636C2">
        <w:rPr>
          <w:rFonts w:hint="cs"/>
          <w:rtl/>
        </w:rPr>
        <w:t>]،</w:t>
      </w:r>
      <w:r w:rsidRPr="005675B2">
        <w:rPr>
          <w:rFonts w:hint="cs"/>
          <w:rtl/>
        </w:rPr>
        <w:t xml:space="preserve"> فأخبر سبحانه أن المخلوقات قائمة بأمره فلو كان الأمر مخلوقا لافتقر إلى أمر آخر يقوم به، وذلك الأمر إلى أمر آخر إلى ما لا نهاية له</w:t>
      </w:r>
      <w:r w:rsidR="000636C2">
        <w:rPr>
          <w:rFonts w:hint="cs"/>
          <w:rtl/>
        </w:rPr>
        <w:t>،</w:t>
      </w:r>
      <w:r w:rsidRPr="005675B2">
        <w:rPr>
          <w:rFonts w:hint="cs"/>
          <w:rtl/>
        </w:rPr>
        <w:t xml:space="preserve"> وذلك محال</w:t>
      </w:r>
      <w:r w:rsidR="000636C2">
        <w:rPr>
          <w:rFonts w:hint="cs"/>
          <w:rtl/>
        </w:rPr>
        <w:t>،</w:t>
      </w:r>
      <w:r w:rsidRPr="005675B2">
        <w:rPr>
          <w:rFonts w:hint="cs"/>
          <w:rtl/>
        </w:rPr>
        <w:t xml:space="preserve"> فثبت أن أمره الذي هو كلامه قديم أزلي غير مخلوق .. انتهى</w:t>
      </w:r>
      <w:r w:rsidR="000636C2">
        <w:rPr>
          <w:rFonts w:hint="cs"/>
          <w:rtl/>
        </w:rPr>
        <w:t xml:space="preserve">، </w:t>
      </w:r>
      <w:r w:rsidRPr="005675B2">
        <w:rPr>
          <w:rFonts w:hint="cs"/>
          <w:rtl/>
        </w:rPr>
        <w:t>وفي آية سورة الأنبياء</w:t>
      </w:r>
      <w:r w:rsidR="000636C2">
        <w:rPr>
          <w:rFonts w:hint="cs"/>
          <w:rtl/>
        </w:rPr>
        <w:t>،</w:t>
      </w:r>
      <w:r w:rsidRPr="005675B2">
        <w:rPr>
          <w:rFonts w:hint="cs"/>
          <w:rtl/>
        </w:rPr>
        <w:t xml:space="preserve"> قال القرطبي</w:t>
      </w:r>
      <w:r w:rsidR="000636C2">
        <w:rPr>
          <w:rFonts w:hint="cs"/>
          <w:rtl/>
        </w:rPr>
        <w:t>:</w:t>
      </w:r>
      <w:r w:rsidRPr="005675B2">
        <w:rPr>
          <w:rFonts w:hint="cs"/>
          <w:rtl/>
        </w:rPr>
        <w:t xml:space="preserve"> (</w:t>
      </w:r>
      <w:r w:rsidR="000636C2">
        <w:rPr>
          <w:rFonts w:hint="cs"/>
          <w:rtl/>
        </w:rPr>
        <w:t>(</w:t>
      </w:r>
      <w:r w:rsidRPr="005675B2">
        <w:rPr>
          <w:rFonts w:hint="cs"/>
          <w:rtl/>
        </w:rPr>
        <w:t>ما يأتيهم ذكر من ربهم محدث</w:t>
      </w:r>
      <w:r w:rsidR="000636C2">
        <w:rPr>
          <w:rFonts w:hint="cs"/>
          <w:rtl/>
        </w:rPr>
        <w:t>)</w:t>
      </w:r>
      <w:r w:rsidRPr="005675B2">
        <w:rPr>
          <w:rFonts w:hint="cs"/>
          <w:rtl/>
        </w:rPr>
        <w:t>) يريد في النزول وتلاوة جبريل على النبي صلى الله عليه و سلم فإنه كان ينزل سورة بعد سورة وآية بعد آية كما كان ينزله الله تعالى عليه في وقت بعد وقت لا أن القرآن مخلوق وقيل</w:t>
      </w:r>
      <w:r w:rsidR="000636C2">
        <w:rPr>
          <w:rFonts w:hint="cs"/>
          <w:rtl/>
        </w:rPr>
        <w:t>:</w:t>
      </w:r>
      <w:r w:rsidRPr="005675B2">
        <w:rPr>
          <w:rFonts w:hint="cs"/>
          <w:rtl/>
        </w:rPr>
        <w:t xml:space="preserve"> الذكر ما يذكرهم به النبي صلى الله عليه و سلم ويعظهم به وقال</w:t>
      </w:r>
      <w:r w:rsidR="000636C2">
        <w:rPr>
          <w:rFonts w:hint="cs"/>
          <w:rtl/>
        </w:rPr>
        <w:t>:</w:t>
      </w:r>
      <w:r w:rsidRPr="005675B2">
        <w:rPr>
          <w:rFonts w:hint="cs"/>
          <w:rtl/>
        </w:rPr>
        <w:t xml:space="preserve"> </w:t>
      </w:r>
      <w:r w:rsidR="000636C2">
        <w:rPr>
          <w:rFonts w:hint="cs"/>
          <w:rtl/>
        </w:rPr>
        <w:t>{</w:t>
      </w:r>
      <w:r w:rsidRPr="005675B2">
        <w:rPr>
          <w:rFonts w:hint="cs"/>
          <w:rtl/>
        </w:rPr>
        <w:t>من ربهم</w:t>
      </w:r>
      <w:r w:rsidR="000636C2">
        <w:rPr>
          <w:rFonts w:hint="cs"/>
          <w:rtl/>
        </w:rPr>
        <w:t>}</w:t>
      </w:r>
      <w:r w:rsidRPr="005675B2">
        <w:rPr>
          <w:rFonts w:hint="cs"/>
          <w:rtl/>
        </w:rPr>
        <w:t xml:space="preserve"> لأن النبي صلى الله عليه و سلم لا ينطق إلا بالوحي فوعظ النبي صلى الله عليه و سلم وتحذيره ذكر وهو محدث قال الله تعالى</w:t>
      </w:r>
      <w:r w:rsidR="000636C2">
        <w:rPr>
          <w:rFonts w:hint="cs"/>
          <w:rtl/>
        </w:rPr>
        <w:t>:</w:t>
      </w:r>
      <w:r w:rsidRPr="005675B2">
        <w:rPr>
          <w:rFonts w:hint="cs"/>
          <w:rtl/>
        </w:rPr>
        <w:t xml:space="preserve"> </w:t>
      </w:r>
      <w:r w:rsidR="000636C2">
        <w:rPr>
          <w:rFonts w:hint="cs"/>
          <w:rtl/>
        </w:rPr>
        <w:t>{</w:t>
      </w:r>
      <w:r w:rsidRPr="005675B2">
        <w:rPr>
          <w:rFonts w:hint="cs"/>
          <w:rtl/>
        </w:rPr>
        <w:t>فذكر إنما أنت مذكر</w:t>
      </w:r>
      <w:r w:rsidR="000636C2">
        <w:rPr>
          <w:rFonts w:hint="cs"/>
          <w:rtl/>
        </w:rPr>
        <w:t>}،</w:t>
      </w:r>
      <w:r w:rsidRPr="005675B2">
        <w:rPr>
          <w:rFonts w:hint="cs"/>
          <w:rtl/>
        </w:rPr>
        <w:t xml:space="preserve"> وهكذا يعلم المسلم أن المحدث هو نزول القرآن وليس صفة الكلام</w:t>
      </w:r>
      <w:r w:rsidR="000636C2">
        <w:rPr>
          <w:rFonts w:hint="cs"/>
          <w:rtl/>
        </w:rPr>
        <w:t>،</w:t>
      </w:r>
      <w:r w:rsidRPr="005675B2">
        <w:rPr>
          <w:rFonts w:hint="cs"/>
          <w:rtl/>
        </w:rPr>
        <w:t xml:space="preserve"> بخلاف من قال</w:t>
      </w:r>
      <w:r w:rsidR="000636C2">
        <w:rPr>
          <w:rFonts w:hint="cs"/>
          <w:rtl/>
        </w:rPr>
        <w:t>:</w:t>
      </w:r>
      <w:r w:rsidRPr="005675B2">
        <w:rPr>
          <w:rFonts w:hint="cs"/>
          <w:rtl/>
        </w:rPr>
        <w:t xml:space="preserve"> أن كلامه سبحانه قديم النوع حادث الأفراد يحدث في ذاته شيء بعد شيء</w:t>
      </w:r>
      <w:r w:rsidR="000636C2">
        <w:rPr>
          <w:rFonts w:hint="cs"/>
          <w:rtl/>
        </w:rPr>
        <w:t xml:space="preserve">،! </w:t>
      </w:r>
      <w:r w:rsidRPr="005675B2">
        <w:rPr>
          <w:rFonts w:hint="cs"/>
          <w:rtl/>
        </w:rPr>
        <w:t>وفي العلو للحافظ الذهبي</w:t>
      </w:r>
      <w:r w:rsidRPr="005675B2">
        <w:rPr>
          <w:rFonts w:hint="cs"/>
        </w:rPr>
        <w:t xml:space="preserve"> </w:t>
      </w:r>
      <w:r w:rsidRPr="005675B2">
        <w:rPr>
          <w:rFonts w:hint="cs"/>
          <w:rtl/>
        </w:rPr>
        <w:t>أن فضيل بن عياض كان يقول</w:t>
      </w:r>
      <w:r w:rsidR="000636C2">
        <w:rPr>
          <w:rFonts w:hint="cs"/>
          <w:rtl/>
        </w:rPr>
        <w:t>:</w:t>
      </w:r>
      <w:r w:rsidRPr="005675B2">
        <w:rPr>
          <w:rFonts w:hint="cs"/>
          <w:rtl/>
        </w:rPr>
        <w:t xml:space="preserve"> من زعم أن القرآن محدث فقد كفر ومن زعم أنه ليس من علم</w:t>
      </w:r>
      <w:r w:rsidRPr="005675B2">
        <w:rPr>
          <w:rFonts w:hint="cs"/>
        </w:rPr>
        <w:t xml:space="preserve"> </w:t>
      </w:r>
      <w:r w:rsidRPr="005675B2">
        <w:rPr>
          <w:rFonts w:hint="cs"/>
          <w:rtl/>
        </w:rPr>
        <w:t>الله فهو زنديق</w:t>
      </w:r>
      <w:r w:rsidR="000636C2">
        <w:rPr>
          <w:rFonts w:hint="cs"/>
          <w:rtl/>
        </w:rPr>
        <w:t>،</w:t>
      </w:r>
    </w:p>
    <w:p w14:paraId="1BCFE338" w14:textId="0078417F" w:rsidR="009C32A0" w:rsidRPr="005675B2" w:rsidRDefault="009C32A0" w:rsidP="000636C2">
      <w:pPr>
        <w:rPr>
          <w:rtl/>
          <w:lang w:bidi="ar-KW"/>
        </w:rPr>
      </w:pPr>
      <w:r w:rsidRPr="005675B2">
        <w:rPr>
          <w:rFonts w:hint="cs"/>
          <w:rtl/>
        </w:rPr>
        <w:t>3</w:t>
      </w:r>
      <w:r w:rsidR="000636C2">
        <w:rPr>
          <w:rFonts w:hint="cs"/>
          <w:rtl/>
        </w:rPr>
        <w:t xml:space="preserve"> </w:t>
      </w:r>
      <w:r w:rsidRPr="005675B2">
        <w:rPr>
          <w:rFonts w:hint="cs"/>
          <w:rtl/>
        </w:rPr>
        <w:t>- قولك</w:t>
      </w:r>
      <w:r w:rsidR="000636C2">
        <w:rPr>
          <w:rFonts w:hint="cs"/>
          <w:rtl/>
        </w:rPr>
        <w:t>:</w:t>
      </w:r>
      <w:r w:rsidRPr="005675B2">
        <w:rPr>
          <w:rFonts w:hint="cs"/>
          <w:rtl/>
        </w:rPr>
        <w:t xml:space="preserve"> </w:t>
      </w:r>
      <w:r w:rsidR="000636C2">
        <w:rPr>
          <w:rFonts w:hint="cs"/>
          <w:rtl/>
        </w:rPr>
        <w:t>(</w:t>
      </w:r>
      <w:r w:rsidRPr="005675B2">
        <w:rPr>
          <w:rFonts w:hint="cs"/>
          <w:rtl/>
        </w:rPr>
        <w:t>أو تقوم به صفة لم تكن</w:t>
      </w:r>
      <w:r w:rsidR="000636C2">
        <w:rPr>
          <w:rFonts w:hint="cs"/>
          <w:rtl/>
        </w:rPr>
        <w:t>،</w:t>
      </w:r>
      <w:r w:rsidRPr="005675B2">
        <w:rPr>
          <w:rFonts w:hint="cs"/>
          <w:rtl/>
        </w:rPr>
        <w:t xml:space="preserve"> فهذا ممتنع</w:t>
      </w:r>
      <w:r w:rsidR="000636C2">
        <w:rPr>
          <w:rFonts w:hint="cs"/>
          <w:rtl/>
        </w:rPr>
        <w:t>)،</w:t>
      </w:r>
      <w:r w:rsidRPr="005675B2">
        <w:rPr>
          <w:rFonts w:hint="cs"/>
          <w:rtl/>
        </w:rPr>
        <w:t xml:space="preserve"> أقول</w:t>
      </w:r>
      <w:r w:rsidR="000636C2">
        <w:rPr>
          <w:rFonts w:hint="cs"/>
          <w:rtl/>
        </w:rPr>
        <w:t>:</w:t>
      </w:r>
      <w:r w:rsidRPr="005675B2">
        <w:rPr>
          <w:rFonts w:hint="cs"/>
          <w:rtl/>
        </w:rPr>
        <w:t>هذا حق فلماذا تتناقض وتفهم كلام النبي صلى الله عليه وسلم</w:t>
      </w:r>
      <w:r w:rsidR="000636C2">
        <w:rPr>
          <w:rFonts w:hint="cs"/>
          <w:rtl/>
        </w:rPr>
        <w:t>:</w:t>
      </w:r>
      <w:r w:rsidRPr="005675B2">
        <w:rPr>
          <w:rFonts w:hint="cs"/>
          <w:rtl/>
        </w:rPr>
        <w:t xml:space="preserve"> (</w:t>
      </w:r>
      <w:r w:rsidR="000636C2">
        <w:rPr>
          <w:rFonts w:hint="cs"/>
          <w:rtl/>
        </w:rPr>
        <w:t>(</w:t>
      </w:r>
      <w:r w:rsidRPr="005675B2">
        <w:rPr>
          <w:rFonts w:hint="cs"/>
          <w:rtl/>
        </w:rPr>
        <w:t>إن ربي قد غضب اليوم غضباً لم يغضبه من قبل</w:t>
      </w:r>
      <w:r w:rsidR="000636C2">
        <w:rPr>
          <w:rFonts w:hint="cs"/>
          <w:rtl/>
        </w:rPr>
        <w:t>)</w:t>
      </w:r>
      <w:r w:rsidRPr="005675B2">
        <w:rPr>
          <w:rFonts w:hint="cs"/>
          <w:rtl/>
        </w:rPr>
        <w:t>)على أن ذلك حدث له سبحانه وتعالى أفلا ترى إلى قوله تعالى (</w:t>
      </w:r>
      <w:r w:rsidR="000636C2">
        <w:rPr>
          <w:rFonts w:hint="cs"/>
          <w:rtl/>
        </w:rPr>
        <w:t>(</w:t>
      </w:r>
      <w:r w:rsidRPr="005675B2">
        <w:rPr>
          <w:rFonts w:hint="cs"/>
          <w:rtl/>
        </w:rPr>
        <w:t>ولنبلونكم حتى نعلم المجاهدين منكم ..</w:t>
      </w:r>
      <w:r w:rsidR="000636C2">
        <w:rPr>
          <w:rFonts w:hint="cs"/>
          <w:rtl/>
        </w:rPr>
        <w:t>)</w:t>
      </w:r>
      <w:r w:rsidRPr="005675B2">
        <w:rPr>
          <w:rFonts w:hint="cs"/>
          <w:rtl/>
        </w:rPr>
        <w:t>محمد31فهل تفهم من ذلك أن الله كان لا يعلم من هو المجاهد منهم ومن هو الصابرحتى ابتلاهم فحدث علمه بذلك</w:t>
      </w:r>
      <w:r w:rsidR="000636C2">
        <w:rPr>
          <w:rFonts w:hint="cs"/>
          <w:rtl/>
        </w:rPr>
        <w:t>؟</w:t>
      </w:r>
      <w:r w:rsidRPr="005675B2">
        <w:rPr>
          <w:rFonts w:hint="cs"/>
          <w:rtl/>
        </w:rPr>
        <w:t>أخي الكريم من كان في علم الله من أهل السعادة فهو من أهل السعادة</w:t>
      </w:r>
      <w:r w:rsidR="000636C2">
        <w:rPr>
          <w:rFonts w:hint="cs"/>
          <w:rtl/>
        </w:rPr>
        <w:t>،</w:t>
      </w:r>
      <w:r w:rsidRPr="005675B2">
        <w:rPr>
          <w:rFonts w:hint="cs"/>
          <w:rtl/>
        </w:rPr>
        <w:t>ومن كان من أهل الشقاء فهو منهم وتذكر حديث ابن مسعود في الصحيح فيؤمر بكتب أربع فذكر فيه</w:t>
      </w:r>
      <w:r w:rsidR="000636C2">
        <w:rPr>
          <w:rFonts w:hint="cs"/>
          <w:rtl/>
        </w:rPr>
        <w:t xml:space="preserve"> </w:t>
      </w:r>
      <w:r w:rsidRPr="005675B2">
        <w:rPr>
          <w:rFonts w:hint="cs"/>
          <w:rtl/>
        </w:rPr>
        <w:t>(</w:t>
      </w:r>
      <w:r w:rsidR="000636C2">
        <w:rPr>
          <w:rFonts w:hint="cs"/>
          <w:rtl/>
        </w:rPr>
        <w:t>(</w:t>
      </w:r>
      <w:r w:rsidRPr="005675B2">
        <w:rPr>
          <w:rFonts w:hint="cs"/>
          <w:rtl/>
        </w:rPr>
        <w:t>شقي أو سعيد</w:t>
      </w:r>
      <w:r w:rsidR="000636C2">
        <w:rPr>
          <w:rFonts w:hint="cs"/>
          <w:rtl/>
        </w:rPr>
        <w:t>)</w:t>
      </w:r>
      <w:r w:rsidRPr="005675B2">
        <w:rPr>
          <w:rFonts w:hint="cs"/>
          <w:rtl/>
        </w:rPr>
        <w:t xml:space="preserve"> فما يستجد إنما هو للمخلوق</w:t>
      </w:r>
      <w:r w:rsidR="000636C2">
        <w:rPr>
          <w:rFonts w:hint="cs"/>
          <w:rtl/>
        </w:rPr>
        <w:t>،</w:t>
      </w:r>
      <w:r w:rsidRPr="005675B2">
        <w:rPr>
          <w:rFonts w:hint="cs"/>
          <w:rtl/>
        </w:rPr>
        <w:t>أما الله تعالى فلا يحدث له شيء سبحانه جل شأنه</w:t>
      </w:r>
      <w:r w:rsidR="000636C2">
        <w:rPr>
          <w:rFonts w:hint="cs"/>
          <w:rtl/>
        </w:rPr>
        <w:t>،</w:t>
      </w:r>
      <w:r w:rsidRPr="005675B2">
        <w:rPr>
          <w:rFonts w:hint="cs"/>
          <w:rtl/>
        </w:rPr>
        <w:t xml:space="preserve"> واعلم أن السعيد من سعد في الأزل</w:t>
      </w:r>
      <w:r w:rsidR="000636C2">
        <w:rPr>
          <w:rFonts w:hint="cs"/>
          <w:rtl/>
        </w:rPr>
        <w:t>،</w:t>
      </w:r>
      <w:r w:rsidRPr="005675B2">
        <w:rPr>
          <w:rFonts w:hint="cs"/>
          <w:rtl/>
        </w:rPr>
        <w:t>والشقي من كتب من أهل الشقاء في الأزل</w:t>
      </w:r>
      <w:r w:rsidR="000636C2">
        <w:rPr>
          <w:rFonts w:hint="cs"/>
          <w:rtl/>
        </w:rPr>
        <w:t>،</w:t>
      </w:r>
      <w:r w:rsidRPr="005675B2">
        <w:rPr>
          <w:rFonts w:hint="cs"/>
          <w:rtl/>
        </w:rPr>
        <w:t>ولا يحدث لله شيء سبحانه جل شأنه</w:t>
      </w:r>
      <w:r w:rsidR="000636C2">
        <w:rPr>
          <w:rFonts w:hint="cs"/>
          <w:rtl/>
        </w:rPr>
        <w:t>،</w:t>
      </w:r>
      <w:r w:rsidRPr="005675B2">
        <w:rPr>
          <w:rFonts w:hint="cs"/>
          <w:rtl/>
        </w:rPr>
        <w:t xml:space="preserve"> قال الإمام ابن جرير الطبري في تفسير سورة الفاتحة</w:t>
      </w:r>
      <w:r w:rsidR="000636C2">
        <w:rPr>
          <w:rFonts w:hint="cs"/>
          <w:rtl/>
        </w:rPr>
        <w:t>:</w:t>
      </w:r>
      <w:r w:rsidRPr="005675B2">
        <w:rPr>
          <w:rFonts w:hint="cs"/>
          <w:rtl/>
        </w:rPr>
        <w:t xml:space="preserve"> قال أبو</w:t>
      </w:r>
      <w:r w:rsidRPr="005675B2">
        <w:rPr>
          <w:rFonts w:hint="cs"/>
        </w:rPr>
        <w:t xml:space="preserve"> </w:t>
      </w:r>
      <w:r w:rsidRPr="005675B2">
        <w:rPr>
          <w:rFonts w:hint="cs"/>
          <w:rtl/>
        </w:rPr>
        <w:t>جعفر</w:t>
      </w:r>
      <w:r w:rsidR="000636C2">
        <w:rPr>
          <w:rFonts w:hint="cs"/>
          <w:rtl/>
        </w:rPr>
        <w:t>:</w:t>
      </w:r>
      <w:r w:rsidRPr="005675B2">
        <w:rPr>
          <w:rFonts w:hint="cs"/>
          <w:rtl/>
        </w:rPr>
        <w:t xml:space="preserve"> واختلف في صفة الغضب من الله جل ذكره</w:t>
      </w:r>
      <w:r w:rsidR="000636C2">
        <w:rPr>
          <w:rFonts w:hint="cs"/>
          <w:rtl/>
        </w:rPr>
        <w:t xml:space="preserve">: </w:t>
      </w:r>
      <w:r w:rsidRPr="005675B2">
        <w:rPr>
          <w:rFonts w:hint="cs"/>
          <w:rtl/>
        </w:rPr>
        <w:t>- فقال بعضهم 1</w:t>
      </w:r>
      <w:r w:rsidR="000636C2">
        <w:rPr>
          <w:rFonts w:hint="cs"/>
          <w:rtl/>
        </w:rPr>
        <w:t xml:space="preserve"> </w:t>
      </w:r>
      <w:r w:rsidRPr="005675B2">
        <w:rPr>
          <w:rFonts w:hint="cs"/>
          <w:rtl/>
        </w:rPr>
        <w:t>-</w:t>
      </w:r>
      <w:r w:rsidR="000636C2">
        <w:rPr>
          <w:rFonts w:hint="cs"/>
          <w:rtl/>
        </w:rPr>
        <w:t>:</w:t>
      </w:r>
      <w:r w:rsidRPr="005675B2">
        <w:rPr>
          <w:rFonts w:hint="cs"/>
          <w:rtl/>
        </w:rPr>
        <w:t xml:space="preserve"> غضب الله على من غضب عليه من خلقه،</w:t>
      </w:r>
      <w:r w:rsidRPr="005675B2">
        <w:rPr>
          <w:rFonts w:hint="cs"/>
        </w:rPr>
        <w:t xml:space="preserve"> </w:t>
      </w:r>
      <w:r w:rsidRPr="005675B2">
        <w:rPr>
          <w:rFonts w:hint="cs"/>
          <w:u w:val="single"/>
          <w:rtl/>
        </w:rPr>
        <w:t>إحلال عقوبته</w:t>
      </w:r>
      <w:r w:rsidRPr="005675B2">
        <w:rPr>
          <w:rFonts w:hint="cs"/>
          <w:u w:val="single"/>
        </w:rPr>
        <w:t xml:space="preserve"> </w:t>
      </w:r>
      <w:r w:rsidRPr="005675B2">
        <w:rPr>
          <w:rFonts w:hint="cs"/>
          <w:u w:val="single"/>
          <w:rtl/>
        </w:rPr>
        <w:t>بمن غضب عليه، إما في دنياه، وإما في آخرته</w:t>
      </w:r>
      <w:r w:rsidRPr="005675B2">
        <w:rPr>
          <w:rFonts w:hint="cs"/>
          <w:rtl/>
        </w:rPr>
        <w:t>، كما وصف به نفسه جل ذكره في</w:t>
      </w:r>
      <w:r w:rsidRPr="005675B2">
        <w:rPr>
          <w:rFonts w:hint="cs"/>
        </w:rPr>
        <w:t xml:space="preserve"> </w:t>
      </w:r>
      <w:r w:rsidRPr="005675B2">
        <w:rPr>
          <w:rFonts w:hint="cs"/>
          <w:rtl/>
        </w:rPr>
        <w:t>كتابه فقال{فلما آسفونا انتقمنا منهم</w:t>
      </w:r>
      <w:r w:rsidRPr="005675B2">
        <w:rPr>
          <w:rFonts w:hint="cs"/>
        </w:rPr>
        <w:t xml:space="preserve"> </w:t>
      </w:r>
      <w:r w:rsidRPr="005675B2">
        <w:rPr>
          <w:rFonts w:hint="cs"/>
          <w:rtl/>
        </w:rPr>
        <w:t>فأغرقناهم</w:t>
      </w:r>
      <w:r w:rsidRPr="005675B2">
        <w:rPr>
          <w:rFonts w:hint="cs"/>
        </w:rPr>
        <w:t xml:space="preserve"> </w:t>
      </w:r>
      <w:r w:rsidRPr="005675B2">
        <w:rPr>
          <w:rFonts w:hint="cs"/>
          <w:rtl/>
        </w:rPr>
        <w:t>أجمعين</w:t>
      </w:r>
      <w:r w:rsidR="000636C2">
        <w:rPr>
          <w:rFonts w:hint="cs"/>
          <w:rtl/>
        </w:rPr>
        <w:t>}</w:t>
      </w:r>
      <w:r w:rsidRPr="005675B2">
        <w:rPr>
          <w:rFonts w:hint="cs"/>
          <w:rtl/>
        </w:rPr>
        <w:t>سورة الزخرف</w:t>
      </w:r>
      <w:r w:rsidR="000636C2">
        <w:rPr>
          <w:rFonts w:hint="cs"/>
          <w:rtl/>
        </w:rPr>
        <w:t>:</w:t>
      </w:r>
      <w:r w:rsidRPr="005675B2">
        <w:rPr>
          <w:rFonts w:hint="cs"/>
          <w:rtl/>
        </w:rPr>
        <w:t xml:space="preserve"> 55</w:t>
      </w:r>
      <w:r w:rsidR="000636C2">
        <w:rPr>
          <w:rFonts w:hint="cs"/>
          <w:rtl/>
        </w:rPr>
        <w:t>]،</w:t>
      </w:r>
      <w:r w:rsidRPr="005675B2">
        <w:rPr>
          <w:rFonts w:hint="cs"/>
          <w:rtl/>
        </w:rPr>
        <w:t xml:space="preserve"> وكما قال</w:t>
      </w:r>
      <w:r w:rsidR="000636C2">
        <w:rPr>
          <w:rFonts w:hint="cs"/>
          <w:rtl/>
        </w:rPr>
        <w:t>{</w:t>
      </w:r>
      <w:r w:rsidRPr="005675B2">
        <w:rPr>
          <w:rFonts w:hint="cs"/>
          <w:rtl/>
        </w:rPr>
        <w:t>قل هل أنبئكم بشر من ذلك مثوبة عند الله</w:t>
      </w:r>
      <w:r w:rsidRPr="005675B2">
        <w:rPr>
          <w:rFonts w:hint="cs"/>
        </w:rPr>
        <w:t xml:space="preserve"> </w:t>
      </w:r>
      <w:r w:rsidRPr="005675B2">
        <w:rPr>
          <w:rFonts w:hint="cs"/>
          <w:rtl/>
        </w:rPr>
        <w:t>من لعنه الله وغضب عليه</w:t>
      </w:r>
      <w:r w:rsidRPr="005675B2">
        <w:rPr>
          <w:rFonts w:hint="cs"/>
        </w:rPr>
        <w:t xml:space="preserve"> </w:t>
      </w:r>
      <w:r w:rsidRPr="005675B2">
        <w:rPr>
          <w:rFonts w:hint="cs"/>
          <w:rtl/>
        </w:rPr>
        <w:t>وجعل منهم القردة والخنازير</w:t>
      </w:r>
      <w:r w:rsidR="000636C2">
        <w:rPr>
          <w:rFonts w:hint="cs"/>
          <w:rtl/>
        </w:rPr>
        <w:t>}</w:t>
      </w:r>
      <w:r w:rsidRPr="005675B2">
        <w:rPr>
          <w:rFonts w:hint="cs"/>
        </w:rPr>
        <w:t xml:space="preserve"> </w:t>
      </w:r>
      <w:r w:rsidRPr="005675B2">
        <w:rPr>
          <w:rFonts w:hint="cs"/>
          <w:rtl/>
        </w:rPr>
        <w:t>سورة المائدة</w:t>
      </w:r>
      <w:r w:rsidR="000636C2">
        <w:rPr>
          <w:rFonts w:hint="cs"/>
          <w:rtl/>
        </w:rPr>
        <w:t>:</w:t>
      </w:r>
      <w:r w:rsidRPr="005675B2">
        <w:rPr>
          <w:rFonts w:hint="cs"/>
          <w:rtl/>
        </w:rPr>
        <w:t xml:space="preserve"> 60</w:t>
      </w:r>
      <w:r w:rsidR="000636C2">
        <w:rPr>
          <w:rFonts w:hint="cs"/>
          <w:rtl/>
        </w:rPr>
        <w:t>،</w:t>
      </w:r>
      <w:r w:rsidRPr="005675B2">
        <w:rPr>
          <w:rFonts w:hint="cs"/>
          <w:rtl/>
        </w:rPr>
        <w:t xml:space="preserve"> 2</w:t>
      </w:r>
      <w:r w:rsidR="000636C2">
        <w:rPr>
          <w:rFonts w:hint="cs"/>
          <w:rtl/>
        </w:rPr>
        <w:t xml:space="preserve"> </w:t>
      </w:r>
      <w:r w:rsidRPr="005675B2">
        <w:rPr>
          <w:rFonts w:hint="cs"/>
          <w:rtl/>
        </w:rPr>
        <w:t>- وقال بعضهم</w:t>
      </w:r>
      <w:r w:rsidR="000636C2">
        <w:rPr>
          <w:rFonts w:hint="cs"/>
          <w:rtl/>
        </w:rPr>
        <w:t>:</w:t>
      </w:r>
      <w:r w:rsidRPr="005675B2">
        <w:rPr>
          <w:rFonts w:hint="cs"/>
          <w:rtl/>
        </w:rPr>
        <w:t xml:space="preserve"> غضب الله على من غضب عليه من عباده، ذم منه</w:t>
      </w:r>
      <w:r w:rsidRPr="005675B2">
        <w:rPr>
          <w:rFonts w:hint="cs"/>
        </w:rPr>
        <w:t xml:space="preserve"> </w:t>
      </w:r>
      <w:r w:rsidRPr="005675B2">
        <w:rPr>
          <w:rFonts w:hint="cs"/>
          <w:rtl/>
        </w:rPr>
        <w:t>لهم ولأفعالهم، وشتم لهم منه بالقول</w:t>
      </w:r>
      <w:r w:rsidR="000636C2">
        <w:rPr>
          <w:rFonts w:hint="cs"/>
          <w:rtl/>
        </w:rPr>
        <w:t>،</w:t>
      </w:r>
      <w:r w:rsidRPr="005675B2">
        <w:rPr>
          <w:rFonts w:hint="cs"/>
          <w:rtl/>
        </w:rPr>
        <w:t xml:space="preserve"> </w:t>
      </w:r>
      <w:r w:rsidRPr="005675B2">
        <w:br/>
      </w:r>
      <w:r w:rsidRPr="005675B2">
        <w:rPr>
          <w:rFonts w:hint="cs"/>
          <w:rtl/>
        </w:rPr>
        <w:t>3</w:t>
      </w:r>
      <w:r w:rsidR="000636C2">
        <w:rPr>
          <w:rFonts w:hint="cs"/>
          <w:rtl/>
        </w:rPr>
        <w:t xml:space="preserve"> </w:t>
      </w:r>
      <w:r w:rsidRPr="005675B2">
        <w:rPr>
          <w:rFonts w:hint="cs"/>
          <w:rtl/>
        </w:rPr>
        <w:t>- وقال بعضهم</w:t>
      </w:r>
      <w:r w:rsidR="000636C2">
        <w:rPr>
          <w:rFonts w:hint="cs"/>
          <w:rtl/>
        </w:rPr>
        <w:t>:</w:t>
      </w:r>
      <w:r w:rsidRPr="005675B2">
        <w:rPr>
          <w:rFonts w:hint="cs"/>
          <w:rtl/>
        </w:rPr>
        <w:t xml:space="preserve"> الغضب منه معنى مفهوم،</w:t>
      </w:r>
      <w:r w:rsidRPr="005675B2">
        <w:rPr>
          <w:rFonts w:hint="cs"/>
        </w:rPr>
        <w:t xml:space="preserve"> </w:t>
      </w:r>
      <w:r w:rsidRPr="005675B2">
        <w:rPr>
          <w:rFonts w:hint="cs"/>
          <w:rtl/>
        </w:rPr>
        <w:t>كالذي يعرف من معاني الغضب، غير أنه</w:t>
      </w:r>
      <w:r w:rsidR="000636C2">
        <w:rPr>
          <w:rFonts w:hint="cs"/>
          <w:rtl/>
        </w:rPr>
        <w:t xml:space="preserve"> </w:t>
      </w:r>
      <w:r w:rsidRPr="005675B2">
        <w:rPr>
          <w:rFonts w:hint="cs"/>
          <w:rtl/>
        </w:rPr>
        <w:t>- وإن كان كذلك من جهة الإثبات</w:t>
      </w:r>
      <w:r w:rsidR="000636C2">
        <w:rPr>
          <w:rFonts w:hint="cs"/>
          <w:rtl/>
        </w:rPr>
        <w:t xml:space="preserve"> </w:t>
      </w:r>
      <w:r w:rsidRPr="005675B2">
        <w:rPr>
          <w:rFonts w:hint="cs"/>
          <w:rtl/>
        </w:rPr>
        <w:t xml:space="preserve">- </w:t>
      </w:r>
      <w:r w:rsidRPr="005675B2">
        <w:rPr>
          <w:rFonts w:hint="cs"/>
          <w:u w:val="single"/>
          <w:rtl/>
        </w:rPr>
        <w:t>فمخالف معناه</w:t>
      </w:r>
      <w:r w:rsidRPr="005675B2">
        <w:rPr>
          <w:rFonts w:hint="cs"/>
          <w:u w:val="single"/>
        </w:rPr>
        <w:t xml:space="preserve"> </w:t>
      </w:r>
      <w:r w:rsidRPr="005675B2">
        <w:rPr>
          <w:rFonts w:hint="cs"/>
          <w:u w:val="single"/>
          <w:rtl/>
        </w:rPr>
        <w:t>منه معنى ما يكون من غضب الآدميين</w:t>
      </w:r>
      <w:r w:rsidRPr="005675B2">
        <w:rPr>
          <w:rFonts w:hint="cs"/>
          <w:rtl/>
        </w:rPr>
        <w:t xml:space="preserve"> الذين يزعجهم ويحركهم ويشق عليهم ويؤذيهم</w:t>
      </w:r>
      <w:r w:rsidR="000636C2">
        <w:rPr>
          <w:rFonts w:hint="cs"/>
          <w:rtl/>
        </w:rPr>
        <w:t>،</w:t>
      </w:r>
      <w:r w:rsidRPr="005675B2">
        <w:rPr>
          <w:rFonts w:hint="cs"/>
          <w:rtl/>
        </w:rPr>
        <w:t xml:space="preserve"> لأن الله جل ثناؤه لا تحل ذاته الآفات، ولكنه له صفة، كما العلم له</w:t>
      </w:r>
      <w:r w:rsidRPr="005675B2">
        <w:rPr>
          <w:rFonts w:hint="cs"/>
        </w:rPr>
        <w:t xml:space="preserve"> </w:t>
      </w:r>
      <w:r w:rsidRPr="005675B2">
        <w:rPr>
          <w:rFonts w:hint="cs"/>
          <w:rtl/>
        </w:rPr>
        <w:t>صفة،</w:t>
      </w:r>
      <w:r w:rsidRPr="005675B2">
        <w:rPr>
          <w:rFonts w:hint="cs"/>
        </w:rPr>
        <w:t xml:space="preserve"> </w:t>
      </w:r>
      <w:r w:rsidRPr="005675B2">
        <w:rPr>
          <w:rFonts w:hint="cs"/>
          <w:rtl/>
        </w:rPr>
        <w:t>والقدرة له صفة، على ما يعقل من جهة الإثبات</w:t>
      </w:r>
      <w:r w:rsidR="000636C2">
        <w:rPr>
          <w:rFonts w:hint="cs"/>
          <w:rtl/>
        </w:rPr>
        <w:t>،</w:t>
      </w:r>
      <w:r w:rsidRPr="005675B2">
        <w:rPr>
          <w:rFonts w:hint="cs"/>
          <w:rtl/>
        </w:rPr>
        <w:t xml:space="preserve"> وإن خالفت معاني ذلك</w:t>
      </w:r>
      <w:r w:rsidRPr="005675B2">
        <w:rPr>
          <w:rFonts w:hint="cs"/>
        </w:rPr>
        <w:t xml:space="preserve"> </w:t>
      </w:r>
      <w:r w:rsidRPr="005675B2">
        <w:rPr>
          <w:rFonts w:hint="cs"/>
          <w:rtl/>
        </w:rPr>
        <w:t>معاني علوم العباد، التي هي معارف القلوب، وقواهم التي توجد مع وجود الأفعال وتعدم</w:t>
      </w:r>
      <w:r w:rsidRPr="005675B2">
        <w:rPr>
          <w:rFonts w:hint="cs"/>
        </w:rPr>
        <w:t xml:space="preserve"> </w:t>
      </w:r>
      <w:r w:rsidRPr="005675B2">
        <w:rPr>
          <w:rFonts w:hint="cs"/>
          <w:rtl/>
        </w:rPr>
        <w:t>مع عدمها</w:t>
      </w:r>
      <w:r w:rsidR="000636C2">
        <w:rPr>
          <w:rFonts w:hint="cs"/>
          <w:rtl/>
        </w:rPr>
        <w:t>،</w:t>
      </w:r>
      <w:r w:rsidRPr="005675B2">
        <w:rPr>
          <w:rFonts w:hint="cs"/>
          <w:rtl/>
        </w:rPr>
        <w:t xml:space="preserve"> أنتهى من تفسير الإمام الطبري</w:t>
      </w:r>
      <w:r w:rsidR="000636C2">
        <w:rPr>
          <w:rFonts w:hint="cs"/>
          <w:rtl/>
        </w:rPr>
        <w:t xml:space="preserve">، </w:t>
      </w:r>
      <w:r w:rsidRPr="005675B2">
        <w:rPr>
          <w:rFonts w:hint="cs"/>
          <w:rtl/>
        </w:rPr>
        <w:t>إذا علمت ذلك أخي الكريم فسوف تفهم</w:t>
      </w:r>
      <w:r w:rsidRPr="005675B2">
        <w:rPr>
          <w:rFonts w:hint="cs"/>
        </w:rPr>
        <w:t xml:space="preserve"> </w:t>
      </w:r>
      <w:r w:rsidRPr="005675B2">
        <w:rPr>
          <w:rFonts w:hint="cs"/>
          <w:rtl/>
        </w:rPr>
        <w:t>أن قول الكرامية ونحوهم الذي وصفوا الله به من أن صفات الله تحدث في ذاته مخالف لما</w:t>
      </w:r>
      <w:r w:rsidRPr="005675B2">
        <w:rPr>
          <w:rFonts w:hint="cs"/>
        </w:rPr>
        <w:t xml:space="preserve"> </w:t>
      </w:r>
      <w:r w:rsidRPr="005675B2">
        <w:rPr>
          <w:rFonts w:hint="cs"/>
          <w:rtl/>
        </w:rPr>
        <w:t>ذكره الإمام ابن جريروسائر أهل السنة</w:t>
      </w:r>
      <w:r w:rsidR="000636C2">
        <w:rPr>
          <w:rFonts w:hint="cs"/>
          <w:rtl/>
        </w:rPr>
        <w:t>،</w:t>
      </w:r>
      <w:r w:rsidRPr="005675B2">
        <w:rPr>
          <w:rFonts w:hint="cs"/>
          <w:rtl/>
        </w:rPr>
        <w:t xml:space="preserve"> لأنهم يقولون</w:t>
      </w:r>
      <w:r w:rsidR="000636C2">
        <w:rPr>
          <w:rFonts w:hint="cs"/>
          <w:rtl/>
        </w:rPr>
        <w:t>:</w:t>
      </w:r>
      <w:r w:rsidRPr="005675B2">
        <w:rPr>
          <w:rFonts w:hint="cs"/>
          <w:rtl/>
        </w:rPr>
        <w:t xml:space="preserve"> أنها تحدث وحدوثها في ذاته من حيث أفرادها</w:t>
      </w:r>
      <w:r w:rsidRPr="005675B2">
        <w:rPr>
          <w:rFonts w:hint="cs"/>
        </w:rPr>
        <w:t xml:space="preserve"> </w:t>
      </w:r>
      <w:r w:rsidRPr="005675B2">
        <w:rPr>
          <w:rFonts w:hint="cs"/>
          <w:rtl/>
        </w:rPr>
        <w:t>أما أهل السنة والجماعة فقد سبق ذكر أقوالهم والتي لخصها أيضاً الإمام القرطبي رحمه</w:t>
      </w:r>
      <w:r w:rsidRPr="005675B2">
        <w:rPr>
          <w:rFonts w:hint="cs"/>
        </w:rPr>
        <w:t xml:space="preserve"> </w:t>
      </w:r>
      <w:r w:rsidRPr="005675B2">
        <w:rPr>
          <w:rFonts w:hint="cs"/>
          <w:rtl/>
        </w:rPr>
        <w:t>الله تعالى فقال</w:t>
      </w:r>
      <w:r w:rsidR="000636C2">
        <w:rPr>
          <w:rFonts w:hint="cs"/>
          <w:rtl/>
        </w:rPr>
        <w:t>:</w:t>
      </w:r>
      <w:r w:rsidRPr="005675B2">
        <w:rPr>
          <w:rFonts w:hint="cs"/>
          <w:rtl/>
        </w:rPr>
        <w:t xml:space="preserve"> في تفسير سورة الفاتحة</w:t>
      </w:r>
      <w:r w:rsidR="000636C2">
        <w:rPr>
          <w:rFonts w:hint="cs"/>
          <w:rtl/>
        </w:rPr>
        <w:t>:</w:t>
      </w:r>
      <w:r w:rsidRPr="005675B2">
        <w:rPr>
          <w:rFonts w:hint="cs"/>
          <w:rtl/>
        </w:rPr>
        <w:t xml:space="preserve"> ومعنى الغضب في صفة الله تعالى إرادة</w:t>
      </w:r>
      <w:r w:rsidRPr="005675B2">
        <w:rPr>
          <w:rFonts w:hint="cs"/>
        </w:rPr>
        <w:t xml:space="preserve"> </w:t>
      </w:r>
      <w:r w:rsidRPr="005675B2">
        <w:rPr>
          <w:rFonts w:hint="cs"/>
          <w:rtl/>
        </w:rPr>
        <w:t xml:space="preserve">العقوبة، فهو صفة ذات، وإرادة الله تعالى من صفات ذاته، </w:t>
      </w:r>
      <w:r w:rsidRPr="005675B2">
        <w:rPr>
          <w:rFonts w:hint="cs"/>
          <w:u w:val="single"/>
          <w:rtl/>
        </w:rPr>
        <w:t>أو نفس العقوبة،</w:t>
      </w:r>
      <w:r w:rsidRPr="005675B2">
        <w:rPr>
          <w:rFonts w:hint="cs"/>
          <w:rtl/>
        </w:rPr>
        <w:t xml:space="preserve"> ومنه</w:t>
      </w:r>
      <w:r w:rsidRPr="005675B2">
        <w:rPr>
          <w:rFonts w:hint="cs"/>
        </w:rPr>
        <w:t xml:space="preserve"> </w:t>
      </w:r>
      <w:r w:rsidRPr="005675B2">
        <w:rPr>
          <w:rFonts w:hint="cs"/>
          <w:rtl/>
        </w:rPr>
        <w:t>الحديث</w:t>
      </w:r>
      <w:r w:rsidR="000636C2">
        <w:rPr>
          <w:rFonts w:hint="cs"/>
          <w:rtl/>
        </w:rPr>
        <w:t>:</w:t>
      </w:r>
      <w:r w:rsidRPr="005675B2">
        <w:rPr>
          <w:rFonts w:hint="cs"/>
          <w:rtl/>
        </w:rPr>
        <w:t xml:space="preserve"> </w:t>
      </w:r>
      <w:r w:rsidR="000636C2">
        <w:rPr>
          <w:rFonts w:hint="cs"/>
          <w:rtl/>
        </w:rPr>
        <w:t>(</w:t>
      </w:r>
      <w:r w:rsidRPr="005675B2">
        <w:rPr>
          <w:rFonts w:hint="cs"/>
          <w:rtl/>
        </w:rPr>
        <w:t>إن الصدقة لتطفئ غضب الرب</w:t>
      </w:r>
      <w:r w:rsidR="000636C2">
        <w:rPr>
          <w:rFonts w:hint="cs"/>
          <w:rtl/>
        </w:rPr>
        <w:t>)</w:t>
      </w:r>
      <w:r w:rsidRPr="005675B2">
        <w:rPr>
          <w:rFonts w:hint="cs"/>
          <w:rtl/>
        </w:rPr>
        <w:t xml:space="preserve"> فهو صفة فعل</w:t>
      </w:r>
      <w:r w:rsidR="000636C2">
        <w:rPr>
          <w:rFonts w:hint="cs"/>
          <w:rtl/>
        </w:rPr>
        <w:t>،</w:t>
      </w:r>
      <w:r w:rsidRPr="005675B2">
        <w:rPr>
          <w:rFonts w:hint="cs"/>
          <w:rtl/>
        </w:rPr>
        <w:t xml:space="preserve"> أهـ</w:t>
      </w:r>
      <w:r w:rsidR="000636C2">
        <w:rPr>
          <w:rFonts w:hint="cs"/>
          <w:rtl/>
        </w:rPr>
        <w:t>،</w:t>
      </w:r>
      <w:r w:rsidRPr="005675B2">
        <w:rPr>
          <w:rFonts w:hint="cs"/>
          <w:rtl/>
          <w:lang w:bidi="ar-KW"/>
        </w:rPr>
        <w:t xml:space="preserve"> </w:t>
      </w:r>
      <w:r w:rsidRPr="005675B2">
        <w:rPr>
          <w:rFonts w:hint="cs"/>
          <w:rtl/>
        </w:rPr>
        <w:t>فإذا فهمت ذلك</w:t>
      </w:r>
      <w:r w:rsidRPr="005675B2">
        <w:rPr>
          <w:rFonts w:hint="cs"/>
        </w:rPr>
        <w:t xml:space="preserve"> </w:t>
      </w:r>
      <w:r w:rsidRPr="005675B2">
        <w:rPr>
          <w:rFonts w:hint="cs"/>
          <w:rtl/>
        </w:rPr>
        <w:t>فاعلم أن الله لا يتغير ولا يتبدل وإنما المقصود في الأثر المشار إليه(</w:t>
      </w:r>
      <w:r w:rsidR="000636C2">
        <w:rPr>
          <w:rFonts w:hint="cs"/>
          <w:rtl/>
        </w:rPr>
        <w:t>(</w:t>
      </w:r>
      <w:r w:rsidRPr="005675B2">
        <w:rPr>
          <w:rFonts w:hint="cs"/>
          <w:rtl/>
        </w:rPr>
        <w:t>إن الله قد</w:t>
      </w:r>
      <w:r w:rsidRPr="005675B2">
        <w:rPr>
          <w:rFonts w:hint="cs"/>
        </w:rPr>
        <w:t xml:space="preserve"> </w:t>
      </w:r>
      <w:r w:rsidRPr="005675B2">
        <w:rPr>
          <w:rFonts w:hint="cs"/>
          <w:rtl/>
        </w:rPr>
        <w:t>عضب غضباً لم يغضبه من قبل ولا من بعد(</w:t>
      </w:r>
      <w:r w:rsidR="000636C2">
        <w:rPr>
          <w:rFonts w:hint="cs"/>
          <w:rtl/>
        </w:rPr>
        <w:t>(</w:t>
      </w:r>
      <w:r w:rsidRPr="005675B2">
        <w:rPr>
          <w:rFonts w:hint="cs"/>
          <w:rtl/>
        </w:rPr>
        <w:t>هو نفس الفعل وهو العقوبة التي تكون في</w:t>
      </w:r>
      <w:r w:rsidRPr="005675B2">
        <w:rPr>
          <w:rFonts w:hint="cs"/>
        </w:rPr>
        <w:t xml:space="preserve"> </w:t>
      </w:r>
      <w:r w:rsidRPr="005675B2">
        <w:rPr>
          <w:rFonts w:hint="cs"/>
          <w:rtl/>
        </w:rPr>
        <w:t>أرض المحشر فلم يعاقب الناس بمثلها قبل ذلك ولن يعاقبه بمثلها بعد ذلك</w:t>
      </w:r>
      <w:r w:rsidR="000636C2">
        <w:rPr>
          <w:rFonts w:hint="cs"/>
          <w:rtl/>
        </w:rPr>
        <w:t>،</w:t>
      </w:r>
      <w:r w:rsidRPr="005675B2">
        <w:rPr>
          <w:rFonts w:hint="cs"/>
          <w:rtl/>
        </w:rPr>
        <w:t xml:space="preserve"> بل</w:t>
      </w:r>
      <w:r w:rsidRPr="005675B2">
        <w:rPr>
          <w:rFonts w:hint="cs"/>
        </w:rPr>
        <w:t xml:space="preserve"> </w:t>
      </w:r>
      <w:r w:rsidRPr="005675B2">
        <w:rPr>
          <w:rFonts w:hint="cs"/>
          <w:rtl/>
        </w:rPr>
        <w:t>للمؤمنين بعد ذلك الانتظار والوقوف في أرض المحشر والا نشغال بالخوف من الموقف</w:t>
      </w:r>
      <w:r w:rsidRPr="005675B2">
        <w:rPr>
          <w:rFonts w:hint="cs"/>
        </w:rPr>
        <w:t xml:space="preserve"> </w:t>
      </w:r>
      <w:r w:rsidRPr="005675B2">
        <w:rPr>
          <w:rFonts w:hint="cs"/>
          <w:rtl/>
        </w:rPr>
        <w:t>الرهيب لهم بعدها الجنة خالدين فيها أبداً رأساً أو بعد عقوبة للعصاة منهم</w:t>
      </w:r>
      <w:r w:rsidR="000636C2">
        <w:rPr>
          <w:rFonts w:hint="cs"/>
          <w:rtl/>
        </w:rPr>
        <w:t>،</w:t>
      </w:r>
      <w:r w:rsidRPr="005675B2">
        <w:rPr>
          <w:rFonts w:hint="cs"/>
          <w:rtl/>
        </w:rPr>
        <w:t>وللكافرين النار خالدين فيها أبداً</w:t>
      </w:r>
      <w:r w:rsidR="000636C2">
        <w:rPr>
          <w:rFonts w:hint="cs"/>
          <w:rtl/>
        </w:rPr>
        <w:t>،</w:t>
      </w:r>
      <w:r w:rsidRPr="005675B2">
        <w:rPr>
          <w:rFonts w:hint="cs"/>
          <w:rtl/>
        </w:rPr>
        <w:t xml:space="preserve"> فغضب ذلك اليوم</w:t>
      </w:r>
      <w:r w:rsidRPr="005675B2">
        <w:rPr>
          <w:rFonts w:hint="cs"/>
        </w:rPr>
        <w:t xml:space="preserve"> </w:t>
      </w:r>
      <w:r w:rsidRPr="005675B2">
        <w:rPr>
          <w:rFonts w:hint="cs"/>
          <w:rtl/>
        </w:rPr>
        <w:t>هو نفس العقوبة ولذا قال ابن جرير</w:t>
      </w:r>
      <w:r w:rsidR="000636C2">
        <w:rPr>
          <w:rFonts w:hint="cs"/>
          <w:rtl/>
        </w:rPr>
        <w:t>:</w:t>
      </w:r>
      <w:r w:rsidRPr="005675B2">
        <w:rPr>
          <w:rFonts w:hint="cs"/>
          <w:rtl/>
        </w:rPr>
        <w:t xml:space="preserve"> وقال بعضهم</w:t>
      </w:r>
      <w:r w:rsidR="000636C2">
        <w:rPr>
          <w:rFonts w:hint="cs"/>
          <w:rtl/>
        </w:rPr>
        <w:t>:</w:t>
      </w:r>
      <w:r w:rsidRPr="005675B2">
        <w:rPr>
          <w:rFonts w:hint="cs"/>
          <w:rtl/>
        </w:rPr>
        <w:t xml:space="preserve"> غضب الله على من غضب عليه من خلقه،</w:t>
      </w:r>
      <w:r w:rsidRPr="005675B2">
        <w:rPr>
          <w:rFonts w:hint="cs"/>
        </w:rPr>
        <w:t xml:space="preserve"> </w:t>
      </w:r>
      <w:r w:rsidRPr="005675B2">
        <w:rPr>
          <w:rFonts w:hint="cs"/>
          <w:u w:val="single"/>
          <w:rtl/>
        </w:rPr>
        <w:t>إحلال عقوبته بمن غضب عليه</w:t>
      </w:r>
      <w:r w:rsidRPr="005675B2">
        <w:rPr>
          <w:rFonts w:hint="cs"/>
          <w:rtl/>
        </w:rPr>
        <w:t>، إما في دنياه، وإما في آخرته،</w:t>
      </w:r>
      <w:r w:rsidRPr="005675B2">
        <w:rPr>
          <w:rFonts w:hint="cs"/>
        </w:rPr>
        <w:t xml:space="preserve"> </w:t>
      </w:r>
      <w:r w:rsidRPr="005675B2">
        <w:rPr>
          <w:rFonts w:hint="cs"/>
          <w:rtl/>
        </w:rPr>
        <w:t>كما وصف به نفسه</w:t>
      </w:r>
      <w:r w:rsidRPr="005675B2">
        <w:rPr>
          <w:rFonts w:hint="cs"/>
        </w:rPr>
        <w:t xml:space="preserve"> </w:t>
      </w:r>
      <w:r w:rsidRPr="005675B2">
        <w:rPr>
          <w:rFonts w:hint="cs"/>
          <w:rtl/>
        </w:rPr>
        <w:t>جل ذكره في كتابه فقال</w:t>
      </w:r>
      <w:r w:rsidR="000636C2">
        <w:rPr>
          <w:rFonts w:hint="cs"/>
          <w:rtl/>
        </w:rPr>
        <w:t>{</w:t>
      </w:r>
      <w:r w:rsidRPr="005675B2">
        <w:rPr>
          <w:rFonts w:hint="cs"/>
          <w:rtl/>
        </w:rPr>
        <w:t>فلما آسفونا انتقمنا منهم فأغرقناهم</w:t>
      </w:r>
      <w:r w:rsidRPr="005675B2">
        <w:rPr>
          <w:rFonts w:hint="cs"/>
        </w:rPr>
        <w:t xml:space="preserve"> </w:t>
      </w:r>
      <w:r w:rsidRPr="005675B2">
        <w:rPr>
          <w:rFonts w:hint="cs"/>
          <w:rtl/>
        </w:rPr>
        <w:t>أجمعين</w:t>
      </w:r>
      <w:r w:rsidR="000636C2">
        <w:rPr>
          <w:rFonts w:hint="cs"/>
          <w:rtl/>
        </w:rPr>
        <w:t>}،</w:t>
      </w:r>
      <w:r w:rsidRPr="005675B2">
        <w:rPr>
          <w:rFonts w:hint="cs"/>
          <w:rtl/>
        </w:rPr>
        <w:t xml:space="preserve"> وليست المسألة كما فهم الكرامية ونحوهم من أن الله تعالى</w:t>
      </w:r>
      <w:r w:rsidRPr="005675B2">
        <w:rPr>
          <w:rFonts w:hint="cs"/>
        </w:rPr>
        <w:t xml:space="preserve"> </w:t>
      </w:r>
      <w:r w:rsidRPr="005675B2">
        <w:rPr>
          <w:rFonts w:hint="cs"/>
          <w:rtl/>
        </w:rPr>
        <w:t>يتغير من حال إلى حال</w:t>
      </w:r>
      <w:r w:rsidR="000636C2">
        <w:rPr>
          <w:rFonts w:hint="cs"/>
          <w:rtl/>
        </w:rPr>
        <w:t>،</w:t>
      </w:r>
      <w:r w:rsidRPr="005675B2">
        <w:rPr>
          <w:rFonts w:hint="cs"/>
          <w:rtl/>
        </w:rPr>
        <w:t xml:space="preserve"> فصفة الغضب لا تعني تغيرات أو انفعالات في الذات الإلهية</w:t>
      </w:r>
      <w:r w:rsidRPr="005675B2">
        <w:rPr>
          <w:rFonts w:hint="cs"/>
        </w:rPr>
        <w:t xml:space="preserve"> </w:t>
      </w:r>
      <w:r w:rsidRPr="005675B2">
        <w:rPr>
          <w:rFonts w:hint="cs"/>
          <w:rtl/>
        </w:rPr>
        <w:t>كما العلم له صفة، والقدرة له صفة، على ما يعقل من جهة الإثبات</w:t>
      </w:r>
      <w:r w:rsidR="000636C2">
        <w:rPr>
          <w:rFonts w:hint="cs"/>
          <w:rtl/>
        </w:rPr>
        <w:t>،</w:t>
      </w:r>
      <w:r w:rsidRPr="005675B2">
        <w:rPr>
          <w:rFonts w:hint="cs"/>
          <w:rtl/>
        </w:rPr>
        <w:t xml:space="preserve"> وإن خالفت معاني</w:t>
      </w:r>
      <w:r w:rsidRPr="005675B2">
        <w:rPr>
          <w:rFonts w:hint="cs"/>
        </w:rPr>
        <w:t xml:space="preserve"> </w:t>
      </w:r>
      <w:r w:rsidRPr="005675B2">
        <w:rPr>
          <w:rFonts w:hint="cs"/>
          <w:rtl/>
        </w:rPr>
        <w:t>ذلك معاني علوم العباد، التي هي معارف القلوب، وقواهم التي توجد مع وجود الأفعال</w:t>
      </w:r>
      <w:r w:rsidRPr="005675B2">
        <w:rPr>
          <w:rFonts w:hint="cs"/>
        </w:rPr>
        <w:t xml:space="preserve"> </w:t>
      </w:r>
      <w:r w:rsidRPr="005675B2">
        <w:rPr>
          <w:rFonts w:hint="cs"/>
          <w:rtl/>
        </w:rPr>
        <w:t>وتعدم مع عدمها</w:t>
      </w:r>
      <w:r w:rsidR="000636C2">
        <w:rPr>
          <w:rFonts w:hint="cs"/>
          <w:rtl/>
        </w:rPr>
        <w:t>،</w:t>
      </w:r>
      <w:r w:rsidRPr="005675B2">
        <w:rPr>
          <w:rFonts w:hint="cs"/>
          <w:rtl/>
        </w:rPr>
        <w:t xml:space="preserve"> أما الخالق فلم يحدث علمه ولا قدرته ولا شيء من صفات ذاته وإن حدثت</w:t>
      </w:r>
      <w:r w:rsidRPr="005675B2">
        <w:rPr>
          <w:rFonts w:hint="cs"/>
        </w:rPr>
        <w:t xml:space="preserve"> </w:t>
      </w:r>
      <w:r w:rsidRPr="005675B2">
        <w:rPr>
          <w:rFonts w:hint="cs"/>
          <w:rtl/>
        </w:rPr>
        <w:t>المعلومات والمقدورات وسائر المفعولات فالتغير والحدوث في المخلوقات لا في الخالق</w:t>
      </w:r>
      <w:r w:rsidRPr="005675B2">
        <w:rPr>
          <w:rFonts w:hint="cs"/>
        </w:rPr>
        <w:t xml:space="preserve"> </w:t>
      </w:r>
      <w:r w:rsidRPr="005675B2">
        <w:rPr>
          <w:rFonts w:hint="cs"/>
          <w:rtl/>
        </w:rPr>
        <w:t>جلا جلاله</w:t>
      </w:r>
      <w:r w:rsidR="000636C2">
        <w:rPr>
          <w:rFonts w:hint="cs"/>
          <w:rtl/>
        </w:rPr>
        <w:t>،</w:t>
      </w:r>
      <w:r w:rsidRPr="005675B2">
        <w:rPr>
          <w:rFonts w:hint="cs"/>
          <w:rtl/>
        </w:rPr>
        <w:t xml:space="preserve"> </w:t>
      </w:r>
    </w:p>
    <w:p w14:paraId="114C9D0F" w14:textId="77777777" w:rsidR="009C32A0" w:rsidRPr="005675B2" w:rsidRDefault="009C32A0" w:rsidP="000636C2">
      <w:pPr>
        <w:jc w:val="center"/>
        <w:rPr>
          <w:b/>
          <w:rtl/>
        </w:rPr>
      </w:pPr>
      <w:r w:rsidRPr="005675B2">
        <w:t>* * *</w:t>
      </w:r>
    </w:p>
    <w:p w14:paraId="43320764" w14:textId="61789803" w:rsidR="009C32A0" w:rsidRPr="005675B2" w:rsidRDefault="009C32A0" w:rsidP="000636C2">
      <w:pPr>
        <w:rPr>
          <w:b/>
          <w:rtl/>
        </w:rPr>
      </w:pPr>
      <w:r w:rsidRPr="005675B2">
        <w:rPr>
          <w:rFonts w:hint="cs"/>
          <w:bCs/>
          <w:rtl/>
        </w:rPr>
        <w:t>أمثلة للفائدة</w:t>
      </w:r>
      <w:r w:rsidR="000636C2">
        <w:rPr>
          <w:rFonts w:hint="cs"/>
          <w:rtl/>
        </w:rPr>
        <w:t>:</w:t>
      </w:r>
      <w:r w:rsidRPr="005675B2">
        <w:rPr>
          <w:rFonts w:hint="cs"/>
          <w:rtl/>
        </w:rPr>
        <w:t xml:space="preserve"> قد أخذ أناس</w:t>
      </w:r>
      <w:r w:rsidRPr="005675B2">
        <w:rPr>
          <w:rFonts w:hint="cs"/>
        </w:rPr>
        <w:t xml:space="preserve"> </w:t>
      </w:r>
      <w:r w:rsidRPr="005675B2">
        <w:rPr>
          <w:rFonts w:hint="cs"/>
          <w:rtl/>
        </w:rPr>
        <w:t>بظاهر نصوص في القرآن أو السنة زلوا بها وضلوا وأضلوا فمن ذلك أن الكرامية فهموا من</w:t>
      </w:r>
      <w:r w:rsidRPr="005675B2">
        <w:rPr>
          <w:rFonts w:hint="cs"/>
        </w:rPr>
        <w:t xml:space="preserve"> </w:t>
      </w:r>
      <w:r w:rsidRPr="005675B2">
        <w:rPr>
          <w:rFonts w:hint="cs"/>
          <w:rtl/>
        </w:rPr>
        <w:t>نصوص الحشر ونصوص الكلام ونحوها حدوث الصفات في ذات المولى جل وعلا والفلاسفة فهوا</w:t>
      </w:r>
      <w:r w:rsidRPr="005675B2">
        <w:rPr>
          <w:rFonts w:hint="cs"/>
        </w:rPr>
        <w:t xml:space="preserve"> </w:t>
      </w:r>
      <w:r w:rsidRPr="005675B2">
        <w:rPr>
          <w:rFonts w:hint="cs"/>
          <w:rtl/>
        </w:rPr>
        <w:t>من آيات العلم عدم علم الله بالجزئيات</w:t>
      </w:r>
      <w:r w:rsidR="000636C2">
        <w:rPr>
          <w:rFonts w:hint="cs"/>
          <w:rtl/>
        </w:rPr>
        <w:t>،</w:t>
      </w:r>
      <w:r w:rsidRPr="005675B2">
        <w:rPr>
          <w:rFonts w:hint="cs"/>
          <w:rtl/>
        </w:rPr>
        <w:t>وأن العلم بها يحدث له وكذا فهم أهل البداء</w:t>
      </w:r>
      <w:r w:rsidRPr="005675B2">
        <w:rPr>
          <w:rFonts w:hint="cs"/>
        </w:rPr>
        <w:t xml:space="preserve"> </w:t>
      </w:r>
      <w:r w:rsidRPr="005675B2">
        <w:rPr>
          <w:rFonts w:hint="cs"/>
          <w:rtl/>
        </w:rPr>
        <w:t>أن الله بيدو له أمر فيغير ما قدره أزلاً</w:t>
      </w:r>
      <w:r w:rsidR="000636C2">
        <w:rPr>
          <w:rFonts w:hint="cs"/>
          <w:rtl/>
        </w:rPr>
        <w:t>،</w:t>
      </w:r>
      <w:r w:rsidRPr="005675B2">
        <w:rPr>
          <w:rFonts w:hint="cs"/>
          <w:rtl/>
        </w:rPr>
        <w:t xml:space="preserve"> وإليكم هذه الآيات التي أخذبظاهرها</w:t>
      </w:r>
      <w:r w:rsidRPr="005675B2">
        <w:rPr>
          <w:rFonts w:hint="cs"/>
        </w:rPr>
        <w:t xml:space="preserve"> </w:t>
      </w:r>
      <w:r w:rsidRPr="005675B2">
        <w:rPr>
          <w:rFonts w:hint="cs"/>
          <w:rtl/>
        </w:rPr>
        <w:t>بعض الفلاسفة فضلوا عن الحق وفهموا أن الله لا يعلم التفاصيل و الجزئيات وأن علمه</w:t>
      </w:r>
      <w:r w:rsidRPr="005675B2">
        <w:rPr>
          <w:rFonts w:hint="cs"/>
        </w:rPr>
        <w:t xml:space="preserve"> </w:t>
      </w:r>
      <w:r w:rsidRPr="005675B2">
        <w:rPr>
          <w:rFonts w:hint="cs"/>
          <w:rtl/>
        </w:rPr>
        <w:t>خاص بالكليات</w:t>
      </w:r>
      <w:r w:rsidR="000636C2">
        <w:rPr>
          <w:rFonts w:hint="cs"/>
          <w:rtl/>
        </w:rPr>
        <w:t>،</w:t>
      </w:r>
      <w:r w:rsidRPr="005675B2">
        <w:rPr>
          <w:rFonts w:hint="cs"/>
          <w:rtl/>
        </w:rPr>
        <w:t xml:space="preserve"> وقد يفهم منها بعض الجهال أن علم الله حادث من حيث أفراده وباب</w:t>
      </w:r>
      <w:r w:rsidRPr="005675B2">
        <w:rPr>
          <w:rFonts w:hint="cs"/>
        </w:rPr>
        <w:t xml:space="preserve"> </w:t>
      </w:r>
      <w:r w:rsidRPr="005675B2">
        <w:rPr>
          <w:rFonts w:hint="cs"/>
          <w:rtl/>
        </w:rPr>
        <w:t>الوهم مفتوح وبذرته مبذورة وكم من شيء تعجب منه في زمان يصبح كأنه السنة وهو والله</w:t>
      </w:r>
      <w:r w:rsidRPr="005675B2">
        <w:rPr>
          <w:rFonts w:hint="cs"/>
        </w:rPr>
        <w:t xml:space="preserve"> </w:t>
      </w:r>
      <w:r w:rsidRPr="005675B2">
        <w:rPr>
          <w:rFonts w:hint="cs"/>
          <w:rtl/>
        </w:rPr>
        <w:t>عين البدعة</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{إن يمسسكم قرح فقد مس القوم قرح مثله وتلك</w:t>
      </w:r>
      <w:r w:rsidRPr="005675B2">
        <w:rPr>
          <w:rFonts w:hint="cs"/>
        </w:rPr>
        <w:t xml:space="preserve"> </w:t>
      </w:r>
      <w:r w:rsidRPr="005675B2">
        <w:rPr>
          <w:rFonts w:hint="cs"/>
          <w:rtl/>
        </w:rPr>
        <w:t>الايام نداولها بين الناس وليعلم الله الذين امنوا ويتخذ منكم شهداء والله لا يحب</w:t>
      </w:r>
      <w:r w:rsidRPr="005675B2">
        <w:rPr>
          <w:rFonts w:hint="cs"/>
        </w:rPr>
        <w:t xml:space="preserve"> </w:t>
      </w:r>
      <w:r w:rsidRPr="005675B2">
        <w:rPr>
          <w:rFonts w:hint="cs"/>
          <w:rtl/>
        </w:rPr>
        <w:t>الظالمين}{ام حسبتم ان تدخلوا الجنة ولما يعلم الله الذين جاهدوا منكم ويعلم</w:t>
      </w:r>
      <w:r w:rsidRPr="005675B2">
        <w:rPr>
          <w:rFonts w:hint="cs"/>
        </w:rPr>
        <w:t xml:space="preserve"> </w:t>
      </w:r>
      <w:r w:rsidRPr="005675B2">
        <w:rPr>
          <w:rFonts w:hint="cs"/>
          <w:rtl/>
        </w:rPr>
        <w:t>الصابرين}فهل كان الله جل وعز لا يعلم من الذي سيجاهد ومن الذي لن يجاهد</w:t>
      </w:r>
      <w:r w:rsidR="000636C2">
        <w:rPr>
          <w:rFonts w:hint="cs"/>
          <w:rtl/>
        </w:rPr>
        <w:t>؟!</w:t>
      </w:r>
      <w:r w:rsidRPr="005675B2">
        <w:rPr>
          <w:rFonts w:hint="cs"/>
          <w:rtl/>
        </w:rPr>
        <w:t>!أقول</w:t>
      </w:r>
      <w:r w:rsidR="000636C2">
        <w:rPr>
          <w:rFonts w:hint="cs"/>
          <w:rtl/>
        </w:rPr>
        <w:t>:</w:t>
      </w:r>
      <w:r w:rsidRPr="005675B2">
        <w:rPr>
          <w:rFonts w:hint="cs"/>
          <w:rtl/>
        </w:rPr>
        <w:t xml:space="preserve"> المبتدعة</w:t>
      </w:r>
      <w:r w:rsidR="000636C2">
        <w:rPr>
          <w:rFonts w:hint="cs"/>
          <w:rtl/>
        </w:rPr>
        <w:t xml:space="preserve"> </w:t>
      </w:r>
      <w:r w:rsidRPr="005675B2">
        <w:rPr>
          <w:rFonts w:hint="cs"/>
          <w:rtl/>
        </w:rPr>
        <w:t>فهموا ذلك</w:t>
      </w:r>
      <w:r w:rsidR="000636C2">
        <w:rPr>
          <w:rFonts w:hint="cs"/>
          <w:rtl/>
        </w:rPr>
        <w:t>،</w:t>
      </w:r>
      <w:r w:rsidRPr="005675B2">
        <w:rPr>
          <w:rFonts w:hint="cs"/>
          <w:rtl/>
        </w:rPr>
        <w:t xml:space="preserve"> {وما اصابكم يوم التقى الجمعان فباذن الله وليعلم المؤمنين</w:t>
      </w:r>
      <w:r w:rsidR="000636C2">
        <w:rPr>
          <w:rFonts w:hint="cs"/>
          <w:rtl/>
        </w:rPr>
        <w:t>،</w:t>
      </w:r>
      <w:r w:rsidRPr="005675B2">
        <w:rPr>
          <w:rFonts w:hint="cs"/>
          <w:rtl/>
        </w:rPr>
        <w:t>وليعلم</w:t>
      </w:r>
      <w:r w:rsidRPr="005675B2">
        <w:rPr>
          <w:rFonts w:hint="cs"/>
        </w:rPr>
        <w:t xml:space="preserve"> </w:t>
      </w:r>
      <w:r w:rsidRPr="005675B2">
        <w:rPr>
          <w:rFonts w:hint="cs"/>
          <w:rtl/>
        </w:rPr>
        <w:t>الذين نافقوا وقيل لهم تعالوا قاتلوا في سبيل الله او ادفعوا قالوا لو نعلم قتالا</w:t>
      </w:r>
      <w:r w:rsidRPr="005675B2">
        <w:rPr>
          <w:rFonts w:hint="cs"/>
        </w:rPr>
        <w:t xml:space="preserve"> </w:t>
      </w:r>
      <w:r w:rsidRPr="005675B2">
        <w:rPr>
          <w:rFonts w:hint="cs"/>
          <w:rtl/>
        </w:rPr>
        <w:t>لاتبعناكم هم للكفر يومئذ اقرب منهم للايمان يقولون بافواههم ما ليس في قلوبهم</w:t>
      </w:r>
      <w:r w:rsidRPr="005675B2">
        <w:rPr>
          <w:rFonts w:hint="cs"/>
        </w:rPr>
        <w:t xml:space="preserve"> </w:t>
      </w:r>
      <w:r w:rsidRPr="005675B2">
        <w:rPr>
          <w:rFonts w:hint="cs"/>
          <w:rtl/>
        </w:rPr>
        <w:t>والله اعلم بما يكتمون</w:t>
      </w:r>
      <w:r w:rsidR="000636C2">
        <w:rPr>
          <w:rFonts w:hint="cs"/>
          <w:rtl/>
        </w:rPr>
        <w:t>}</w:t>
      </w:r>
      <w:r w:rsidRPr="005675B2">
        <w:rPr>
          <w:rFonts w:hint="cs"/>
          <w:rtl/>
        </w:rPr>
        <w:t>فهل كان سبحانه وتعالى لا يعلم من يؤمن ومن ينافق من</w:t>
      </w:r>
      <w:r w:rsidRPr="005675B2">
        <w:rPr>
          <w:rFonts w:hint="cs"/>
        </w:rPr>
        <w:t xml:space="preserve"> </w:t>
      </w:r>
      <w:r w:rsidRPr="005675B2">
        <w:rPr>
          <w:rFonts w:hint="cs"/>
          <w:rtl/>
        </w:rPr>
        <w:t>قبل المعركة بل من قبل أن يخلقهم بل من الأزل</w:t>
      </w:r>
      <w:r w:rsidR="000636C2">
        <w:rPr>
          <w:rFonts w:hint="cs"/>
          <w:rtl/>
        </w:rPr>
        <w:t>؟</w:t>
      </w:r>
      <w:r w:rsidRPr="005675B2">
        <w:rPr>
          <w:rFonts w:hint="cs"/>
          <w:rtl/>
        </w:rPr>
        <w:t>هم فهوا ذلك</w:t>
      </w:r>
      <w:r w:rsidR="000636C2">
        <w:rPr>
          <w:rFonts w:hint="cs"/>
          <w:rtl/>
        </w:rPr>
        <w:t>،</w:t>
      </w:r>
      <w:r w:rsidRPr="005675B2">
        <w:rPr>
          <w:rFonts w:hint="cs"/>
          <w:rtl/>
        </w:rPr>
        <w:t xml:space="preserve"> وأما أهل السنة والجماعة ففهموا الآيات السابقة مع بقية الأدلة النقلية</w:t>
      </w:r>
      <w:r w:rsidRPr="005675B2">
        <w:rPr>
          <w:rFonts w:hint="cs"/>
        </w:rPr>
        <w:t xml:space="preserve"> </w:t>
      </w:r>
      <w:r w:rsidRPr="005675B2">
        <w:rPr>
          <w:rFonts w:hint="cs"/>
          <w:rtl/>
        </w:rPr>
        <w:t>والعقلية وعلموا أن الله لا يتغير في ذاته ولا صفاته لأنه الكامل جل وعلا وله</w:t>
      </w:r>
      <w:r w:rsidRPr="005675B2">
        <w:rPr>
          <w:rFonts w:hint="cs"/>
        </w:rPr>
        <w:t xml:space="preserve"> </w:t>
      </w:r>
      <w:r w:rsidRPr="005675B2">
        <w:rPr>
          <w:rFonts w:hint="cs"/>
          <w:rtl/>
        </w:rPr>
        <w:t>الكمال المطلق ومن أخذ الآيات السابقة بظاهرها الذي فهمه الفلاسفة فقد وصفه بالنقص</w:t>
      </w:r>
      <w:r w:rsidRPr="005675B2">
        <w:rPr>
          <w:rFonts w:hint="cs"/>
        </w:rPr>
        <w:t xml:space="preserve"> </w:t>
      </w:r>
      <w:r w:rsidRPr="005675B2">
        <w:rPr>
          <w:rFonts w:hint="cs"/>
          <w:rtl/>
        </w:rPr>
        <w:t>فأدى إلى كفره وخروجه من الملة</w:t>
      </w:r>
      <w:r w:rsidR="000636C2">
        <w:rPr>
          <w:rFonts w:hint="cs"/>
          <w:rtl/>
        </w:rPr>
        <w:t>،</w:t>
      </w:r>
      <w:r w:rsidRPr="005675B2">
        <w:rPr>
          <w:rFonts w:hint="cs"/>
          <w:rtl/>
        </w:rPr>
        <w:t xml:space="preserve"> ومن الأدلة النقلية الدالة على إحاطة علمه بكل شيء</w:t>
      </w:r>
      <w:r w:rsidRPr="005675B2">
        <w:rPr>
          <w:rFonts w:hint="cs"/>
        </w:rPr>
        <w:t xml:space="preserve"> </w:t>
      </w:r>
      <w:r w:rsidRPr="005675B2">
        <w:rPr>
          <w:rFonts w:hint="cs"/>
          <w:rtl/>
        </w:rPr>
        <w:t>إحاطة تامة آية الكرسي وغيرها من الآيات كقوله تعالى</w:t>
      </w:r>
      <w:r w:rsidR="000636C2">
        <w:rPr>
          <w:rFonts w:hint="cs"/>
          <w:rtl/>
        </w:rPr>
        <w:t>:</w:t>
      </w:r>
      <w:r w:rsidRPr="005675B2">
        <w:rPr>
          <w:rFonts w:hint="cs"/>
          <w:rtl/>
        </w:rPr>
        <w:t>{وكذلك فتنا بعضهم ببعض</w:t>
      </w:r>
      <w:r w:rsidRPr="005675B2">
        <w:rPr>
          <w:rFonts w:hint="cs"/>
        </w:rPr>
        <w:t xml:space="preserve"> </w:t>
      </w:r>
      <w:r w:rsidRPr="005675B2">
        <w:rPr>
          <w:rFonts w:hint="cs"/>
          <w:rtl/>
        </w:rPr>
        <w:t>ليقولوا اهؤلاء من الله عليهم من بيننا اليس الله باعلم بالشاكرين</w:t>
      </w:r>
      <w:r w:rsidR="000636C2">
        <w:rPr>
          <w:rFonts w:hint="cs"/>
          <w:rtl/>
        </w:rPr>
        <w:t>}</w:t>
      </w:r>
      <w:r w:rsidRPr="005675B2">
        <w:rPr>
          <w:rFonts w:hint="cs"/>
          <w:rtl/>
        </w:rPr>
        <w:t>{ان ربك</w:t>
      </w:r>
      <w:r w:rsidRPr="005675B2">
        <w:rPr>
          <w:rFonts w:hint="cs"/>
        </w:rPr>
        <w:t xml:space="preserve"> </w:t>
      </w:r>
      <w:r w:rsidRPr="005675B2">
        <w:rPr>
          <w:rFonts w:hint="cs"/>
          <w:rtl/>
        </w:rPr>
        <w:t>هو اعلم من يضل عن سبيله وهو اعلم بالمهتدين}</w:t>
      </w:r>
      <w:r w:rsidR="000636C2">
        <w:rPr>
          <w:rFonts w:hint="cs"/>
          <w:rtl/>
        </w:rPr>
        <w:t>،</w:t>
      </w:r>
      <w:r w:rsidRPr="005675B2">
        <w:rPr>
          <w:rFonts w:hint="cs"/>
          <w:rtl/>
        </w:rPr>
        <w:t xml:space="preserve"> {ثم لنحن اعلم بالذين هم اولى</w:t>
      </w:r>
      <w:r w:rsidRPr="005675B2">
        <w:rPr>
          <w:rFonts w:hint="cs"/>
        </w:rPr>
        <w:t xml:space="preserve"> </w:t>
      </w:r>
      <w:r w:rsidRPr="005675B2">
        <w:rPr>
          <w:rFonts w:hint="cs"/>
          <w:rtl/>
        </w:rPr>
        <w:t>بها صليا}</w:t>
      </w:r>
      <w:r w:rsidRPr="005675B2">
        <w:rPr>
          <w:rFonts w:hint="cs"/>
        </w:rPr>
        <w:t xml:space="preserve"> </w:t>
      </w:r>
      <w:r w:rsidRPr="005675B2">
        <w:rPr>
          <w:rFonts w:hint="cs"/>
          <w:rtl/>
        </w:rPr>
        <w:t>{وقال الذين كفروا لا تأتينا الساعة قل بلى وربي لتأتينكم عالم</w:t>
      </w:r>
      <w:r w:rsidRPr="005675B2">
        <w:rPr>
          <w:rFonts w:hint="cs"/>
        </w:rPr>
        <w:t xml:space="preserve"> </w:t>
      </w:r>
      <w:r w:rsidRPr="005675B2">
        <w:rPr>
          <w:rFonts w:hint="cs"/>
          <w:rtl/>
        </w:rPr>
        <w:t>الغيب لا يعزب عنه مثقال ذرة في السماوات ولا في الأرض ولا أصغر من ذلك ولا أكبر</w:t>
      </w:r>
      <w:r w:rsidRPr="005675B2">
        <w:rPr>
          <w:rFonts w:hint="cs"/>
        </w:rPr>
        <w:t xml:space="preserve"> </w:t>
      </w:r>
      <w:r w:rsidRPr="005675B2">
        <w:rPr>
          <w:rFonts w:hint="cs"/>
          <w:rtl/>
        </w:rPr>
        <w:t>إلا في كتاب مبين}</w:t>
      </w:r>
      <w:r w:rsidR="000636C2">
        <w:rPr>
          <w:rtl/>
        </w:rPr>
        <w:t>،</w:t>
      </w:r>
      <w:r w:rsidRPr="005675B2">
        <w:rPr>
          <w:rFonts w:hint="cs"/>
          <w:rtl/>
        </w:rPr>
        <w:t xml:space="preserve"> وكل ما قلته لكم في صفة العلم يقال في صفة الكلام</w:t>
      </w:r>
      <w:r w:rsidR="000636C2">
        <w:rPr>
          <w:rFonts w:hint="cs"/>
          <w:rtl/>
        </w:rPr>
        <w:t>،</w:t>
      </w:r>
      <w:r w:rsidRPr="005675B2">
        <w:rPr>
          <w:rFonts w:hint="cs"/>
          <w:rtl/>
        </w:rPr>
        <w:t xml:space="preserve"> فالذي حدث هو أن الله أسمع موسى عليه السلام كلامه الأزلي فأعطاه القدرة على</w:t>
      </w:r>
      <w:r w:rsidRPr="005675B2">
        <w:rPr>
          <w:rFonts w:hint="cs"/>
        </w:rPr>
        <w:t xml:space="preserve"> </w:t>
      </w:r>
      <w:r w:rsidRPr="005675B2">
        <w:rPr>
          <w:rFonts w:hint="cs"/>
          <w:rtl/>
        </w:rPr>
        <w:t>سماع كلامه الأزلي فضلاً منه وإنعاماً</w:t>
      </w:r>
      <w:r w:rsidR="000636C2">
        <w:rPr>
          <w:rFonts w:hint="cs"/>
          <w:rtl/>
        </w:rPr>
        <w:t>،</w:t>
      </w:r>
      <w:r w:rsidRPr="005675B2">
        <w:rPr>
          <w:rFonts w:hint="cs"/>
          <w:rtl/>
        </w:rPr>
        <w:t>وليس الحادث هو صفة الكلام لله كما يتصور</w:t>
      </w:r>
      <w:r w:rsidRPr="005675B2">
        <w:rPr>
          <w:rFonts w:hint="cs"/>
        </w:rPr>
        <w:t xml:space="preserve"> </w:t>
      </w:r>
      <w:r w:rsidRPr="005675B2">
        <w:rPr>
          <w:rFonts w:hint="cs"/>
          <w:rtl/>
        </w:rPr>
        <w:t>السائل وأما كيفية إسماعه له فيقول أهل السنة أسمعه</w:t>
      </w:r>
      <w:r w:rsidR="000636C2">
        <w:rPr>
          <w:rFonts w:hint="cs"/>
          <w:rtl/>
        </w:rPr>
        <w:t xml:space="preserve"> </w:t>
      </w:r>
      <w:r w:rsidRPr="005675B2">
        <w:rPr>
          <w:rFonts w:hint="cs"/>
          <w:rtl/>
        </w:rPr>
        <w:t>كما أراد بلا كيف</w:t>
      </w:r>
      <w:r w:rsidR="000636C2">
        <w:rPr>
          <w:rFonts w:hint="cs"/>
          <w:rtl/>
        </w:rPr>
        <w:t>،</w:t>
      </w:r>
      <w:r w:rsidRPr="005675B2">
        <w:rPr>
          <w:rFonts w:hint="cs"/>
          <w:rtl/>
        </w:rPr>
        <w:t xml:space="preserve"> فصفة الكلام</w:t>
      </w:r>
      <w:r w:rsidRPr="005675B2">
        <w:rPr>
          <w:rFonts w:hint="cs"/>
        </w:rPr>
        <w:t xml:space="preserve"> </w:t>
      </w:r>
      <w:r w:rsidRPr="005675B2">
        <w:rPr>
          <w:rFonts w:hint="cs"/>
          <w:rtl/>
        </w:rPr>
        <w:t>أزلية والله أسمع موسى عليه السلام كلامه الأزلي كما شاء وليست المسألة أن الصفة</w:t>
      </w:r>
      <w:r w:rsidRPr="005675B2">
        <w:rPr>
          <w:rFonts w:hint="cs"/>
        </w:rPr>
        <w:t xml:space="preserve"> </w:t>
      </w:r>
      <w:r w:rsidRPr="005675B2">
        <w:rPr>
          <w:rFonts w:hint="cs"/>
          <w:rtl/>
        </w:rPr>
        <w:t>حدثت بعد أن لم تكن كما يتوهم أهل الظنون</w:t>
      </w:r>
      <w:r w:rsidR="000636C2">
        <w:rPr>
          <w:rFonts w:hint="cs"/>
          <w:rtl/>
        </w:rPr>
        <w:t>،</w:t>
      </w:r>
      <w:r w:rsidRPr="005675B2">
        <w:rPr>
          <w:rFonts w:hint="cs"/>
          <w:rtl/>
        </w:rPr>
        <w:t>ولا أن الصفة منقسمة إلى أزلي وحادث كما</w:t>
      </w:r>
      <w:r w:rsidRPr="005675B2">
        <w:rPr>
          <w:rFonts w:hint="cs"/>
        </w:rPr>
        <w:t xml:space="preserve"> </w:t>
      </w:r>
      <w:r w:rsidRPr="005675B2">
        <w:rPr>
          <w:rFonts w:hint="cs"/>
          <w:rtl/>
        </w:rPr>
        <w:t>يتوهمون فتنبه ولا تغتر</w:t>
      </w:r>
      <w:r w:rsidR="000636C2">
        <w:rPr>
          <w:rFonts w:hint="cs"/>
          <w:rtl/>
        </w:rPr>
        <w:t>،</w:t>
      </w:r>
      <w:r w:rsidRPr="005675B2">
        <w:rPr>
          <w:rFonts w:hint="cs"/>
          <w:rtl/>
        </w:rPr>
        <w:t xml:space="preserve"> وإن أصررت على</w:t>
      </w:r>
      <w:r w:rsidR="000636C2">
        <w:rPr>
          <w:rFonts w:hint="cs"/>
          <w:rtl/>
        </w:rPr>
        <w:t xml:space="preserve"> </w:t>
      </w:r>
      <w:r w:rsidRPr="005675B2">
        <w:rPr>
          <w:rFonts w:hint="cs"/>
          <w:rtl/>
        </w:rPr>
        <w:t>أن تفهم صفة الكلام فافهم صفة العلم والقدرة</w:t>
      </w:r>
      <w:r w:rsidRPr="005675B2">
        <w:rPr>
          <w:rFonts w:hint="cs"/>
        </w:rPr>
        <w:t xml:space="preserve"> </w:t>
      </w:r>
      <w:r w:rsidRPr="005675B2">
        <w:rPr>
          <w:rFonts w:hint="cs"/>
          <w:rtl/>
        </w:rPr>
        <w:t>فإن القول في صفة كالقول في الصفة الأخرى بل كالقول في الذات</w:t>
      </w:r>
      <w:r w:rsidR="000636C2">
        <w:rPr>
          <w:rFonts w:hint="cs"/>
          <w:rtl/>
        </w:rPr>
        <w:t>،</w:t>
      </w:r>
      <w:r w:rsidRPr="005675B2">
        <w:rPr>
          <w:rFonts w:hint="cs"/>
          <w:rtl/>
        </w:rPr>
        <w:t xml:space="preserve"> وإن سلمت لله وأحجمت النفس عن غيها فهو الحق</w:t>
      </w:r>
      <w:r w:rsidR="000636C2">
        <w:rPr>
          <w:rFonts w:hint="cs"/>
          <w:rtl/>
        </w:rPr>
        <w:t>،</w:t>
      </w:r>
    </w:p>
    <w:p w14:paraId="715250FB" w14:textId="1FD928BA" w:rsidR="009C32A0" w:rsidRPr="005675B2" w:rsidRDefault="009C32A0" w:rsidP="000636C2">
      <w:pPr>
        <w:rPr>
          <w:b/>
          <w:u w:val="single"/>
          <w:rtl/>
        </w:rPr>
      </w:pPr>
      <w:r w:rsidRPr="005675B2">
        <w:rPr>
          <w:rFonts w:hint="cs"/>
          <w:rtl/>
        </w:rPr>
        <w:t>4</w:t>
      </w:r>
      <w:r w:rsidR="000636C2">
        <w:rPr>
          <w:rFonts w:hint="cs"/>
          <w:rtl/>
        </w:rPr>
        <w:t xml:space="preserve"> </w:t>
      </w:r>
      <w:r w:rsidRPr="005675B2">
        <w:rPr>
          <w:rFonts w:hint="cs"/>
          <w:rtl/>
        </w:rPr>
        <w:t>- وقولك</w:t>
      </w:r>
      <w:r w:rsidR="000636C2">
        <w:rPr>
          <w:rFonts w:hint="cs"/>
          <w:rtl/>
        </w:rPr>
        <w:t xml:space="preserve"> (</w:t>
      </w:r>
      <w:r w:rsidRPr="005675B2">
        <w:rPr>
          <w:rFonts w:hint="cs"/>
          <w:rtl/>
        </w:rPr>
        <w:t>أن قاعدة</w:t>
      </w:r>
      <w:r w:rsidR="000636C2">
        <w:rPr>
          <w:rFonts w:hint="cs"/>
          <w:rtl/>
        </w:rPr>
        <w:t xml:space="preserve"> </w:t>
      </w:r>
      <w:r w:rsidRPr="005675B2">
        <w:rPr>
          <w:rFonts w:hint="cs"/>
          <w:rtl/>
        </w:rPr>
        <w:t>الحدوث دليل النقص هي دعوى مجردة عن البرهان</w:t>
      </w:r>
      <w:r w:rsidR="000636C2">
        <w:rPr>
          <w:rFonts w:hint="cs"/>
          <w:rtl/>
        </w:rPr>
        <w:t>)</w:t>
      </w:r>
      <w:r w:rsidRPr="005675B2">
        <w:rPr>
          <w:rFonts w:hint="cs"/>
          <w:rtl/>
        </w:rPr>
        <w:t xml:space="preserve"> جوابه</w:t>
      </w:r>
      <w:r w:rsidR="000636C2">
        <w:rPr>
          <w:rFonts w:hint="cs"/>
          <w:rtl/>
        </w:rPr>
        <w:t>:</w:t>
      </w:r>
      <w:r w:rsidRPr="005675B2">
        <w:rPr>
          <w:rFonts w:hint="cs"/>
          <w:rtl/>
        </w:rPr>
        <w:t xml:space="preserve"> بل عليها أعظم البراهين والدليل</w:t>
      </w:r>
      <w:r w:rsidR="000636C2">
        <w:rPr>
          <w:rFonts w:hint="cs"/>
          <w:rtl/>
        </w:rPr>
        <w:t xml:space="preserve"> </w:t>
      </w:r>
      <w:r w:rsidRPr="005675B2">
        <w:rPr>
          <w:rFonts w:hint="cs"/>
          <w:rtl/>
        </w:rPr>
        <w:t>هو في معنى الحادث .. فمعنى الحدوث هو حصول شيء لم</w:t>
      </w:r>
      <w:r w:rsidRPr="005675B2">
        <w:rPr>
          <w:rFonts w:hint="cs"/>
        </w:rPr>
        <w:t xml:space="preserve"> </w:t>
      </w:r>
      <w:r w:rsidRPr="005675B2">
        <w:rPr>
          <w:rFonts w:hint="cs"/>
          <w:rtl/>
        </w:rPr>
        <w:t>يكن ثم كان ووجد، فإذا كان حصل معنى الحدوث في موجود، فذلك دليل على حدوث ذلك الموجود، لأن الوجود بعد</w:t>
      </w:r>
      <w:r w:rsidRPr="005675B2">
        <w:rPr>
          <w:rFonts w:hint="cs"/>
        </w:rPr>
        <w:t xml:space="preserve"> </w:t>
      </w:r>
      <w:r w:rsidRPr="005675B2">
        <w:rPr>
          <w:rFonts w:hint="cs"/>
          <w:rtl/>
        </w:rPr>
        <w:t>العدم قد حصل في ذلك الموجود، ففرض كونه قديماً وهو قد قام به حادث</w:t>
      </w:r>
      <w:r w:rsidRPr="005675B2">
        <w:rPr>
          <w:rFonts w:hint="cs"/>
        </w:rPr>
        <w:t xml:space="preserve"> </w:t>
      </w:r>
      <w:r w:rsidRPr="005675B2">
        <w:rPr>
          <w:rFonts w:hint="cs"/>
          <w:rtl/>
        </w:rPr>
        <w:t>تناقض تام</w:t>
      </w:r>
      <w:r w:rsidR="000636C2">
        <w:rPr>
          <w:rFonts w:hint="cs"/>
          <w:rtl/>
        </w:rPr>
        <w:t>،</w:t>
      </w:r>
      <w:r w:rsidRPr="005675B2">
        <w:rPr>
          <w:rFonts w:hint="cs"/>
          <w:rtl/>
        </w:rPr>
        <w:t xml:space="preserve"> فإذا قام الحادث بالقديم الأزلي جل شأنه</w:t>
      </w:r>
      <w:r w:rsidR="000636C2">
        <w:rPr>
          <w:rFonts w:hint="cs"/>
          <w:rtl/>
        </w:rPr>
        <w:t>،</w:t>
      </w:r>
      <w:r w:rsidRPr="005675B2">
        <w:rPr>
          <w:rFonts w:hint="cs"/>
          <w:rtl/>
        </w:rPr>
        <w:t xml:space="preserve"> وبقي</w:t>
      </w:r>
      <w:r w:rsidR="000636C2">
        <w:rPr>
          <w:rFonts w:hint="cs"/>
          <w:rtl/>
        </w:rPr>
        <w:t xml:space="preserve"> </w:t>
      </w:r>
      <w:r w:rsidRPr="005675B2">
        <w:rPr>
          <w:rFonts w:hint="cs"/>
          <w:rtl/>
        </w:rPr>
        <w:t>قديماً، فمعنى ذلك أنه قد حصل في</w:t>
      </w:r>
      <w:r w:rsidRPr="005675B2">
        <w:rPr>
          <w:rFonts w:hint="cs"/>
        </w:rPr>
        <w:t xml:space="preserve"> </w:t>
      </w:r>
      <w:r w:rsidRPr="005675B2">
        <w:rPr>
          <w:rFonts w:hint="cs"/>
          <w:rtl/>
        </w:rPr>
        <w:t>ذلك القديم شيء لم يكن، فهذا القديم مخلتط بين القديم والحادث، فلا يبقى قديماً</w:t>
      </w:r>
      <w:r w:rsidRPr="005675B2">
        <w:rPr>
          <w:rFonts w:hint="cs"/>
        </w:rPr>
        <w:t xml:space="preserve"> </w:t>
      </w:r>
      <w:r w:rsidRPr="005675B2">
        <w:rPr>
          <w:rFonts w:hint="cs"/>
          <w:rtl/>
        </w:rPr>
        <w:t>وإذا كنت تجوز في العقل أن القديم يمكن أن يقيم في نفسه حادثاً ويبقى قديماً، فهل</w:t>
      </w:r>
      <w:r w:rsidRPr="005675B2">
        <w:rPr>
          <w:rFonts w:hint="cs"/>
        </w:rPr>
        <w:t xml:space="preserve"> </w:t>
      </w:r>
      <w:r w:rsidRPr="005675B2">
        <w:rPr>
          <w:rFonts w:hint="cs"/>
          <w:rtl/>
        </w:rPr>
        <w:t>تجوز أن</w:t>
      </w:r>
      <w:r w:rsidRPr="005675B2">
        <w:rPr>
          <w:rFonts w:hint="cs"/>
        </w:rPr>
        <w:t xml:space="preserve"> </w:t>
      </w:r>
      <w:r w:rsidRPr="005675B2">
        <w:rPr>
          <w:rStyle w:val="highlight1"/>
          <w:rFonts w:hint="cs"/>
          <w:rtl/>
        </w:rPr>
        <w:t>الحوادث</w:t>
      </w:r>
      <w:r w:rsidRPr="005675B2">
        <w:rPr>
          <w:rFonts w:hint="cs"/>
        </w:rPr>
        <w:t xml:space="preserve"> </w:t>
      </w:r>
      <w:r w:rsidRPr="005675B2">
        <w:rPr>
          <w:rFonts w:hint="cs"/>
          <w:rtl/>
        </w:rPr>
        <w:t>التي نراها بالمشاهدة يمكن أن تكون</w:t>
      </w:r>
      <w:r w:rsidRPr="005675B2">
        <w:rPr>
          <w:rFonts w:hint="cs"/>
        </w:rPr>
        <w:t xml:space="preserve"> </w:t>
      </w:r>
      <w:r w:rsidRPr="005675B2">
        <w:rPr>
          <w:rFonts w:hint="cs"/>
          <w:rtl/>
        </w:rPr>
        <w:t>قديمة</w:t>
      </w:r>
      <w:r w:rsidR="000636C2">
        <w:rPr>
          <w:rFonts w:hint="cs"/>
          <w:rtl/>
        </w:rPr>
        <w:t>؟</w:t>
      </w:r>
      <w:r w:rsidRPr="005675B2">
        <w:rPr>
          <w:rFonts w:hint="cs"/>
        </w:rPr>
        <w:t xml:space="preserve"> </w:t>
      </w:r>
      <w:r w:rsidRPr="005675B2">
        <w:rPr>
          <w:rFonts w:hint="cs"/>
          <w:rtl/>
        </w:rPr>
        <w:t>إن قلت لا، فقد علمت المقصود فقف عنده</w:t>
      </w:r>
      <w:r w:rsidR="000636C2">
        <w:rPr>
          <w:rFonts w:hint="cs"/>
          <w:rtl/>
        </w:rPr>
        <w:t>،</w:t>
      </w:r>
      <w:r w:rsidRPr="005675B2">
        <w:rPr>
          <w:rFonts w:hint="cs"/>
          <w:rtl/>
        </w:rPr>
        <w:t xml:space="preserve"> </w:t>
      </w:r>
      <w:r w:rsidRPr="005675B2">
        <w:br/>
      </w:r>
      <w:r w:rsidRPr="005675B2">
        <w:rPr>
          <w:rFonts w:hint="cs"/>
          <w:rtl/>
        </w:rPr>
        <w:t>قال سيف الدين الآمدي</w:t>
      </w:r>
      <w:r w:rsidR="000636C2">
        <w:rPr>
          <w:rFonts w:hint="cs"/>
          <w:rtl/>
        </w:rPr>
        <w:t>:</w:t>
      </w:r>
      <w:r w:rsidRPr="005675B2">
        <w:rPr>
          <w:rFonts w:hint="cs"/>
          <w:rtl/>
        </w:rPr>
        <w:t xml:space="preserve"> لو قامت</w:t>
      </w:r>
      <w:r w:rsidRPr="005675B2">
        <w:rPr>
          <w:rFonts w:hint="cs"/>
        </w:rPr>
        <w:t xml:space="preserve"> </w:t>
      </w:r>
      <w:r w:rsidRPr="005675B2">
        <w:rPr>
          <w:rStyle w:val="highlight1"/>
          <w:rFonts w:hint="cs"/>
          <w:rtl/>
        </w:rPr>
        <w:t>الحوادث</w:t>
      </w:r>
      <w:r w:rsidRPr="005675B2">
        <w:rPr>
          <w:rFonts w:hint="cs"/>
        </w:rPr>
        <w:t xml:space="preserve"> </w:t>
      </w:r>
      <w:r w:rsidRPr="005675B2">
        <w:rPr>
          <w:rFonts w:hint="cs"/>
          <w:rtl/>
        </w:rPr>
        <w:t>بذاته تعال لكان متغيراً، والتغير على الله تعالى محال</w:t>
      </w:r>
      <w:r w:rsidR="000636C2">
        <w:rPr>
          <w:rFonts w:hint="cs"/>
          <w:rtl/>
        </w:rPr>
        <w:t>،</w:t>
      </w:r>
      <w:r w:rsidRPr="005675B2">
        <w:rPr>
          <w:rFonts w:hint="cs"/>
          <w:rtl/>
        </w:rPr>
        <w:t xml:space="preserve"> ولهذا قال الخليل عليه</w:t>
      </w:r>
      <w:r w:rsidRPr="005675B2">
        <w:rPr>
          <w:rFonts w:hint="cs"/>
        </w:rPr>
        <w:t xml:space="preserve"> </w:t>
      </w:r>
      <w:r w:rsidRPr="005675B2">
        <w:rPr>
          <w:rFonts w:hint="cs"/>
          <w:rtl/>
        </w:rPr>
        <w:t>السلام</w:t>
      </w:r>
      <w:r w:rsidR="000636C2">
        <w:rPr>
          <w:rFonts w:hint="cs"/>
          <w:rtl/>
        </w:rPr>
        <w:t xml:space="preserve">: </w:t>
      </w:r>
      <w:r w:rsidRPr="005675B2">
        <w:rPr>
          <w:rFonts w:hint="cs"/>
          <w:rtl/>
        </w:rPr>
        <w:t>- لا أحب الآفلين</w:t>
      </w:r>
      <w:r w:rsidR="000636C2">
        <w:rPr>
          <w:rFonts w:hint="cs"/>
          <w:rtl/>
        </w:rPr>
        <w:t xml:space="preserve"> </w:t>
      </w:r>
      <w:r w:rsidRPr="005675B2">
        <w:rPr>
          <w:rFonts w:hint="cs"/>
          <w:rtl/>
        </w:rPr>
        <w:t xml:space="preserve">- </w:t>
      </w:r>
      <w:r w:rsidR="000636C2">
        <w:rPr>
          <w:rFonts w:hint="cs"/>
          <w:rtl/>
        </w:rPr>
        <w:t>[</w:t>
      </w:r>
      <w:r w:rsidRPr="005675B2">
        <w:rPr>
          <w:rFonts w:hint="cs"/>
          <w:rtl/>
        </w:rPr>
        <w:t>الأنعام</w:t>
      </w:r>
      <w:r w:rsidR="000636C2">
        <w:rPr>
          <w:rFonts w:hint="cs"/>
          <w:rtl/>
        </w:rPr>
        <w:t>:</w:t>
      </w:r>
      <w:r w:rsidRPr="005675B2">
        <w:rPr>
          <w:rFonts w:hint="cs"/>
          <w:rtl/>
        </w:rPr>
        <w:t xml:space="preserve"> ٧٦</w:t>
      </w:r>
      <w:r w:rsidR="000636C2">
        <w:rPr>
          <w:rFonts w:hint="cs"/>
          <w:rtl/>
        </w:rPr>
        <w:t>]</w:t>
      </w:r>
      <w:r w:rsidRPr="005675B2">
        <w:rPr>
          <w:rFonts w:hint="cs"/>
          <w:rtl/>
        </w:rPr>
        <w:t>، أي المتغيرين</w:t>
      </w:r>
      <w:r w:rsidR="000636C2">
        <w:rPr>
          <w:rFonts w:hint="cs"/>
          <w:rtl/>
        </w:rPr>
        <w:t>،</w:t>
      </w:r>
      <w:r w:rsidRPr="005675B2">
        <w:rPr>
          <w:rFonts w:hint="cs"/>
          <w:rtl/>
        </w:rPr>
        <w:t xml:space="preserve"> كما في أبكار الأفكار</w:t>
      </w:r>
      <w:r w:rsidRPr="005675B2">
        <w:rPr>
          <w:rFonts w:hint="cs"/>
        </w:rPr>
        <w:t xml:space="preserve"> </w:t>
      </w:r>
      <w:r w:rsidRPr="005675B2">
        <w:rPr>
          <w:rFonts w:hint="cs"/>
          <w:rtl/>
        </w:rPr>
        <w:t>١/٤٦٠</w:t>
      </w:r>
      <w:r w:rsidR="000636C2">
        <w:rPr>
          <w:rFonts w:hint="cs"/>
          <w:rtl/>
        </w:rPr>
        <w:t xml:space="preserve">، </w:t>
      </w:r>
      <w:r w:rsidRPr="005675B2">
        <w:rPr>
          <w:rFonts w:hint="cs"/>
          <w:rtl/>
        </w:rPr>
        <w:t>أملى أبو بكر أحمد بن إسحاق الفقيه اعتقاده واعتقاد</w:t>
      </w:r>
      <w:r w:rsidRPr="005675B2">
        <w:rPr>
          <w:rFonts w:hint="cs"/>
        </w:rPr>
        <w:t xml:space="preserve"> </w:t>
      </w:r>
      <w:r w:rsidRPr="005675B2">
        <w:rPr>
          <w:rFonts w:hint="cs"/>
          <w:rtl/>
        </w:rPr>
        <w:t>رفقائه على أبي بكر بن أبي عثمان</w:t>
      </w:r>
      <w:r w:rsidR="000636C2">
        <w:rPr>
          <w:rFonts w:hint="cs"/>
          <w:rtl/>
        </w:rPr>
        <w:t>،</w:t>
      </w:r>
      <w:r w:rsidRPr="005675B2">
        <w:rPr>
          <w:rFonts w:hint="cs"/>
          <w:rtl/>
        </w:rPr>
        <w:t xml:space="preserve"> وعرضه على محمد بن إسحاق الفقيه بن خزيمة</w:t>
      </w:r>
      <w:r w:rsidRPr="005675B2">
        <w:rPr>
          <w:rFonts w:hint="cs"/>
        </w:rPr>
        <w:t xml:space="preserve"> </w:t>
      </w:r>
      <w:r w:rsidRPr="005675B2">
        <w:rPr>
          <w:rFonts w:hint="cs"/>
          <w:rtl/>
        </w:rPr>
        <w:t>فاستصوبه محمد بن إسحاق وارتضاه</w:t>
      </w:r>
      <w:r w:rsidR="000636C2">
        <w:rPr>
          <w:rFonts w:hint="cs"/>
          <w:rtl/>
        </w:rPr>
        <w:t>،</w:t>
      </w:r>
      <w:r w:rsidRPr="005675B2">
        <w:rPr>
          <w:rFonts w:hint="cs"/>
          <w:rtl/>
        </w:rPr>
        <w:t xml:space="preserve"> وكان فيما أملى من اعتقادهم</w:t>
      </w:r>
      <w:r w:rsidR="000636C2">
        <w:rPr>
          <w:rFonts w:hint="cs"/>
          <w:rtl/>
        </w:rPr>
        <w:t>:</w:t>
      </w:r>
      <w:r w:rsidRPr="005675B2">
        <w:rPr>
          <w:rFonts w:hint="cs"/>
          <w:u w:val="single"/>
          <w:rtl/>
        </w:rPr>
        <w:t xml:space="preserve"> فكلام الله عز وجل</w:t>
      </w:r>
      <w:r w:rsidRPr="005675B2">
        <w:rPr>
          <w:rFonts w:hint="cs"/>
          <w:u w:val="single"/>
        </w:rPr>
        <w:t xml:space="preserve"> </w:t>
      </w:r>
      <w:r w:rsidRPr="005675B2">
        <w:rPr>
          <w:rFonts w:hint="cs"/>
          <w:u w:val="single"/>
          <w:rtl/>
        </w:rPr>
        <w:t>غير بائن عن الله ليس هو دونه ولا غيره ولا هو هو</w:t>
      </w:r>
      <w:r w:rsidR="000636C2">
        <w:rPr>
          <w:rFonts w:hint="cs"/>
          <w:u w:val="single"/>
          <w:rtl/>
        </w:rPr>
        <w:t>،</w:t>
      </w:r>
      <w:r w:rsidRPr="005675B2">
        <w:rPr>
          <w:rFonts w:hint="cs"/>
          <w:u w:val="single"/>
          <w:rtl/>
        </w:rPr>
        <w:t xml:space="preserve"> بل هو صفة من صفات ذاته كعلمه</w:t>
      </w:r>
      <w:r w:rsidRPr="005675B2">
        <w:rPr>
          <w:rFonts w:hint="cs"/>
          <w:u w:val="single"/>
        </w:rPr>
        <w:t xml:space="preserve"> </w:t>
      </w:r>
      <w:r w:rsidRPr="005675B2">
        <w:rPr>
          <w:rFonts w:hint="cs"/>
          <w:u w:val="single"/>
          <w:rtl/>
        </w:rPr>
        <w:t>الذي هو صفة من صفات ذاته، لم يزل ربنا عالماً ولا يزال عالماً</w:t>
      </w:r>
      <w:r w:rsidR="000636C2">
        <w:rPr>
          <w:rFonts w:hint="cs"/>
          <w:u w:val="single"/>
          <w:rtl/>
        </w:rPr>
        <w:t>،</w:t>
      </w:r>
      <w:r w:rsidRPr="005675B2">
        <w:rPr>
          <w:rFonts w:hint="cs"/>
          <w:u w:val="single"/>
          <w:rtl/>
        </w:rPr>
        <w:t xml:space="preserve"> ولم يزل يتكلم ولا</w:t>
      </w:r>
      <w:r w:rsidRPr="005675B2">
        <w:rPr>
          <w:rFonts w:hint="cs"/>
          <w:u w:val="single"/>
        </w:rPr>
        <w:t xml:space="preserve"> </w:t>
      </w:r>
      <w:r w:rsidRPr="005675B2">
        <w:rPr>
          <w:rFonts w:hint="cs"/>
          <w:u w:val="single"/>
          <w:rtl/>
        </w:rPr>
        <w:t>يزال يتكلم</w:t>
      </w:r>
      <w:r w:rsidR="000636C2">
        <w:rPr>
          <w:rFonts w:hint="cs"/>
          <w:u w:val="single"/>
          <w:rtl/>
        </w:rPr>
        <w:t>،</w:t>
      </w:r>
      <w:r w:rsidRPr="005675B2">
        <w:rPr>
          <w:rFonts w:hint="cs"/>
          <w:u w:val="single"/>
          <w:rtl/>
        </w:rPr>
        <w:t xml:space="preserve"> فهو الموصوف بالصفات العلى</w:t>
      </w:r>
      <w:r w:rsidR="000636C2">
        <w:rPr>
          <w:rFonts w:hint="cs"/>
          <w:u w:val="single"/>
          <w:rtl/>
        </w:rPr>
        <w:t>،</w:t>
      </w:r>
      <w:r w:rsidRPr="005675B2">
        <w:rPr>
          <w:rFonts w:hint="cs"/>
          <w:u w:val="single"/>
          <w:rtl/>
        </w:rPr>
        <w:t xml:space="preserve"> ولم يزل بجميع صفاته التي هي صفات ذاته</w:t>
      </w:r>
      <w:r w:rsidRPr="005675B2">
        <w:rPr>
          <w:rFonts w:hint="cs"/>
          <w:u w:val="single"/>
        </w:rPr>
        <w:t xml:space="preserve"> </w:t>
      </w:r>
      <w:r w:rsidRPr="005675B2">
        <w:rPr>
          <w:rFonts w:hint="cs"/>
          <w:u w:val="single"/>
          <w:rtl/>
        </w:rPr>
        <w:t>واحداً ولا يزال</w:t>
      </w:r>
      <w:r w:rsidR="000636C2">
        <w:rPr>
          <w:rFonts w:hint="cs"/>
          <w:u w:val="single"/>
          <w:rtl/>
        </w:rPr>
        <w:t>،</w:t>
      </w:r>
      <w:r w:rsidRPr="005675B2">
        <w:rPr>
          <w:rFonts w:hint="cs"/>
          <w:u w:val="single"/>
          <w:rtl/>
        </w:rPr>
        <w:t xml:space="preserve"> وهو اللطيف الخبير</w:t>
      </w:r>
      <w:r w:rsidR="000636C2">
        <w:rPr>
          <w:rFonts w:hint="cs"/>
          <w:rtl/>
        </w:rPr>
        <w:t>،</w:t>
      </w:r>
      <w:r w:rsidRPr="005675B2">
        <w:rPr>
          <w:rFonts w:hint="cs"/>
          <w:rtl/>
        </w:rPr>
        <w:t xml:space="preserve"> وكان فيما كتب</w:t>
      </w:r>
      <w:r w:rsidR="000636C2">
        <w:rPr>
          <w:rFonts w:hint="cs"/>
          <w:rtl/>
        </w:rPr>
        <w:t>:</w:t>
      </w:r>
      <w:r w:rsidRPr="005675B2">
        <w:rPr>
          <w:rFonts w:hint="cs"/>
          <w:rtl/>
        </w:rPr>
        <w:t xml:space="preserve"> القرآن كلام الله تعالى وصفة</w:t>
      </w:r>
      <w:r w:rsidRPr="005675B2">
        <w:rPr>
          <w:rFonts w:hint="cs"/>
        </w:rPr>
        <w:t xml:space="preserve"> </w:t>
      </w:r>
      <w:r w:rsidRPr="005675B2">
        <w:rPr>
          <w:rFonts w:hint="cs"/>
          <w:rtl/>
        </w:rPr>
        <w:t>من صفات ذاته، ليس (</w:t>
      </w:r>
      <w:r w:rsidR="000636C2">
        <w:rPr>
          <w:rFonts w:hint="cs"/>
          <w:rtl/>
        </w:rPr>
        <w:t>(</w:t>
      </w:r>
      <w:r w:rsidRPr="005675B2">
        <w:rPr>
          <w:rFonts w:hint="cs"/>
          <w:rtl/>
        </w:rPr>
        <w:t>شيء</w:t>
      </w:r>
      <w:r w:rsidR="000636C2">
        <w:rPr>
          <w:rFonts w:hint="cs"/>
          <w:rtl/>
        </w:rPr>
        <w:t>)</w:t>
      </w:r>
      <w:r w:rsidRPr="005675B2">
        <w:rPr>
          <w:rFonts w:hint="cs"/>
          <w:rtl/>
        </w:rPr>
        <w:t>)</w:t>
      </w:r>
      <w:r w:rsidR="000636C2">
        <w:rPr>
          <w:rFonts w:hint="cs"/>
          <w:rtl/>
        </w:rPr>
        <w:t>)</w:t>
      </w:r>
      <w:r w:rsidRPr="005675B2">
        <w:rPr>
          <w:rFonts w:hint="cs"/>
          <w:rtl/>
        </w:rPr>
        <w:t xml:space="preserve"> من كلامه خلقا ولا مخلوقاً ولا فعلاً ولا مفعولاً ولا</w:t>
      </w:r>
      <w:r w:rsidRPr="005675B2">
        <w:rPr>
          <w:rFonts w:hint="cs"/>
        </w:rPr>
        <w:t xml:space="preserve"> </w:t>
      </w:r>
      <w:r w:rsidRPr="005675B2">
        <w:rPr>
          <w:rFonts w:hint="cs"/>
          <w:rtl/>
        </w:rPr>
        <w:t>محدثاً ولا حدثاً ولا أحداثاً</w:t>
      </w:r>
      <w:r w:rsidR="000636C2">
        <w:rPr>
          <w:rFonts w:hint="cs"/>
          <w:rtl/>
        </w:rPr>
        <w:t>،</w:t>
      </w:r>
      <w:r w:rsidRPr="005675B2">
        <w:rPr>
          <w:rFonts w:hint="cs"/>
          <w:rtl/>
        </w:rPr>
        <w:t xml:space="preserve"> </w:t>
      </w:r>
      <w:r w:rsidR="000636C2">
        <w:rPr>
          <w:rFonts w:hint="cs"/>
          <w:rtl/>
        </w:rPr>
        <w:t>(</w:t>
      </w:r>
      <w:r w:rsidRPr="005675B2">
        <w:rPr>
          <w:rFonts w:hint="cs"/>
          <w:rtl/>
        </w:rPr>
        <w:t>الأسماء والصفات 2/22</w:t>
      </w:r>
      <w:r w:rsidR="000636C2">
        <w:rPr>
          <w:rFonts w:hint="cs"/>
          <w:rtl/>
        </w:rPr>
        <w:t xml:space="preserve"> </w:t>
      </w:r>
      <w:r w:rsidRPr="005675B2">
        <w:rPr>
          <w:rFonts w:hint="cs"/>
          <w:u w:val="single"/>
          <w:rtl/>
        </w:rPr>
        <w:t>ختاماً أقول</w:t>
      </w:r>
      <w:r w:rsidR="000636C2">
        <w:rPr>
          <w:rFonts w:hint="cs"/>
          <w:u w:val="single"/>
          <w:rtl/>
        </w:rPr>
        <w:t>:</w:t>
      </w:r>
      <w:r w:rsidRPr="005675B2">
        <w:rPr>
          <w:rFonts w:hint="cs"/>
          <w:u w:val="single"/>
          <w:rtl/>
        </w:rPr>
        <w:t xml:space="preserve"> لا أدري لماذا يظن هؤلاء الناس أنهم إذا خالفوا ابن تيمية في أي مسألة عقدية فإنهم تاركون لمعتقد أهل السنة</w:t>
      </w:r>
      <w:r w:rsidR="000636C2">
        <w:rPr>
          <w:rFonts w:hint="cs"/>
          <w:u w:val="single"/>
          <w:rtl/>
        </w:rPr>
        <w:t>؟،!</w:t>
      </w:r>
    </w:p>
    <w:p w14:paraId="7DF99C39" w14:textId="5B964B62" w:rsidR="009C32A0" w:rsidRPr="005675B2" w:rsidRDefault="000636C2" w:rsidP="000636C2">
      <w:pPr>
        <w:rPr>
          <w:rtl/>
        </w:rPr>
      </w:pPr>
      <w:r>
        <w:rPr>
          <w:rFonts w:hint="cs"/>
          <w:u w:val="single"/>
          <w:rtl/>
        </w:rPr>
        <w:t>(</w:t>
      </w:r>
      <w:r w:rsidR="009C32A0">
        <w:rPr>
          <w:rFonts w:hint="cs"/>
          <w:u w:val="single"/>
          <w:rtl/>
        </w:rPr>
        <w:t>تنبيه</w:t>
      </w:r>
      <w:r>
        <w:rPr>
          <w:rFonts w:hint="cs"/>
          <w:u w:val="single"/>
          <w:rtl/>
        </w:rPr>
        <w:t>)</w:t>
      </w:r>
      <w:r w:rsidR="009C32A0" w:rsidRPr="005675B2">
        <w:rPr>
          <w:rFonts w:hint="cs"/>
          <w:u w:val="single"/>
          <w:rtl/>
        </w:rPr>
        <w:t xml:space="preserve"> أخير</w:t>
      </w:r>
      <w:r>
        <w:rPr>
          <w:rFonts w:hint="cs"/>
          <w:u w:val="single"/>
          <w:rtl/>
        </w:rPr>
        <w:t>:</w:t>
      </w:r>
      <w:r w:rsidR="009C32A0" w:rsidRPr="005675B2">
        <w:rPr>
          <w:rFonts w:hint="cs"/>
          <w:rtl/>
        </w:rPr>
        <w:t xml:space="preserve"> كتب عدد من علماء أهل السنة والجماعة كلاماً يوضح خطأ نسبة كتاب السنة إلى الإمام عبدالله بن الإمام أحمد بن حنبل خصوصاً بوصفه المطبوع في زماننا فإليكم ماكتب حول هذا الموضوع لتمام الفائدة</w:t>
      </w:r>
      <w:r>
        <w:rPr>
          <w:rFonts w:hint="cs"/>
          <w:rtl/>
        </w:rPr>
        <w:t>:</w:t>
      </w:r>
      <w:r w:rsidR="009C32A0" w:rsidRPr="005675B2">
        <w:rPr>
          <w:rFonts w:hint="cs"/>
          <w:rtl/>
        </w:rPr>
        <w:t xml:space="preserve"> كتاب السنة المنسوب لعبد الله ابن الإمام أحمد بن حنبل</w:t>
      </w:r>
      <w:r>
        <w:rPr>
          <w:rFonts w:hint="cs"/>
          <w:rtl/>
        </w:rPr>
        <w:t>:</w:t>
      </w:r>
      <w:r w:rsidR="009C32A0" w:rsidRPr="005675B2">
        <w:rPr>
          <w:rFonts w:hint="cs"/>
          <w:rtl/>
        </w:rPr>
        <w:t>هذا</w:t>
      </w:r>
      <w:r w:rsidR="009C32A0" w:rsidRPr="005675B2">
        <w:rPr>
          <w:rFonts w:hint="cs"/>
        </w:rPr>
        <w:t xml:space="preserve"> </w:t>
      </w:r>
      <w:r w:rsidR="009C32A0" w:rsidRPr="005675B2">
        <w:rPr>
          <w:rFonts w:hint="cs"/>
          <w:rtl/>
        </w:rPr>
        <w:t>الكتاب نسب لابن الإمام أحمد</w:t>
      </w:r>
      <w:r>
        <w:rPr>
          <w:rFonts w:hint="cs"/>
          <w:rtl/>
        </w:rPr>
        <w:t>،</w:t>
      </w:r>
      <w:r w:rsidR="009C32A0" w:rsidRPr="005675B2">
        <w:rPr>
          <w:rFonts w:hint="cs"/>
        </w:rPr>
        <w:t xml:space="preserve"> </w:t>
      </w:r>
      <w:r w:rsidR="009C32A0" w:rsidRPr="005675B2">
        <w:rPr>
          <w:rFonts w:hint="cs"/>
          <w:rtl/>
        </w:rPr>
        <w:t>ويشكك في صحة نسبته</w:t>
      </w:r>
      <w:r w:rsidR="009C32A0" w:rsidRPr="005675B2">
        <w:rPr>
          <w:rFonts w:hint="cs"/>
        </w:rPr>
        <w:t xml:space="preserve"> </w:t>
      </w:r>
      <w:r w:rsidR="009C32A0" w:rsidRPr="005675B2">
        <w:rPr>
          <w:rFonts w:hint="cs"/>
          <w:rtl/>
        </w:rPr>
        <w:t>أمران</w:t>
      </w:r>
      <w:r>
        <w:rPr>
          <w:rFonts w:hint="cs"/>
          <w:rtl/>
        </w:rPr>
        <w:t>:</w:t>
      </w:r>
      <w:r w:rsidR="009C32A0" w:rsidRPr="005675B2">
        <w:rPr>
          <w:rFonts w:hint="cs"/>
          <w:rtl/>
        </w:rPr>
        <w:t>الأمر الأول</w:t>
      </w:r>
      <w:r>
        <w:rPr>
          <w:rFonts w:hint="cs"/>
          <w:rtl/>
        </w:rPr>
        <w:t>:</w:t>
      </w:r>
      <w:r w:rsidR="009C32A0" w:rsidRPr="005675B2">
        <w:rPr>
          <w:rFonts w:hint="cs"/>
          <w:rtl/>
        </w:rPr>
        <w:t xml:space="preserve"> أن في سند الكتاب إلى المؤلف راويان مجهولان لا توجد لهما</w:t>
      </w:r>
      <w:r w:rsidR="009C32A0" w:rsidRPr="005675B2">
        <w:rPr>
          <w:rFonts w:hint="cs"/>
        </w:rPr>
        <w:t xml:space="preserve"> </w:t>
      </w:r>
      <w:r w:rsidR="009C32A0" w:rsidRPr="005675B2">
        <w:rPr>
          <w:rFonts w:hint="cs"/>
          <w:rtl/>
        </w:rPr>
        <w:t>ترجمة باعتراف محقق الكتاب</w:t>
      </w:r>
      <w:r>
        <w:rPr>
          <w:rFonts w:hint="cs"/>
          <w:rtl/>
        </w:rPr>
        <w:t>،</w:t>
      </w:r>
      <w:r w:rsidR="009C32A0" w:rsidRPr="005675B2">
        <w:rPr>
          <w:rFonts w:hint="cs"/>
          <w:rtl/>
        </w:rPr>
        <w:t xml:space="preserve"> الأول أبو النصر محمد بن الحسن بن سليمان السمسار</w:t>
      </w:r>
      <w:r>
        <w:rPr>
          <w:rFonts w:hint="cs"/>
          <w:rtl/>
        </w:rPr>
        <w:t>،</w:t>
      </w:r>
      <w:r w:rsidR="009C32A0" w:rsidRPr="005675B2">
        <w:rPr>
          <w:rFonts w:hint="cs"/>
        </w:rPr>
        <w:t xml:space="preserve"> </w:t>
      </w:r>
      <w:r w:rsidR="009C32A0" w:rsidRPr="005675B2">
        <w:rPr>
          <w:rFonts w:hint="cs"/>
          <w:rtl/>
        </w:rPr>
        <w:t>والثاني أبو عبد الله محمد بن إبراهيم بن خالد الهروي</w:t>
      </w:r>
      <w:r>
        <w:rPr>
          <w:rFonts w:hint="cs"/>
          <w:rtl/>
        </w:rPr>
        <w:t>،</w:t>
      </w:r>
      <w:r w:rsidR="009C32A0" w:rsidRPr="005675B2">
        <w:rPr>
          <w:rFonts w:hint="cs"/>
          <w:rtl/>
        </w:rPr>
        <w:t xml:space="preserve"> الأمر الثاني</w:t>
      </w:r>
      <w:r>
        <w:rPr>
          <w:rFonts w:hint="cs"/>
          <w:rtl/>
        </w:rPr>
        <w:t>:</w:t>
      </w:r>
      <w:r w:rsidR="009C32A0" w:rsidRPr="005675B2">
        <w:rPr>
          <w:rFonts w:hint="cs"/>
          <w:rtl/>
        </w:rPr>
        <w:t xml:space="preserve"> أن هذا الكتاب فيه نصوص صريحة فيها تكييف وتشبيه وتجسيم</w:t>
      </w:r>
      <w:r w:rsidR="009C32A0" w:rsidRPr="005675B2">
        <w:rPr>
          <w:rFonts w:hint="cs"/>
        </w:rPr>
        <w:t xml:space="preserve"> </w:t>
      </w:r>
      <w:r w:rsidR="009C32A0" w:rsidRPr="005675B2">
        <w:rPr>
          <w:rFonts w:hint="cs"/>
          <w:rtl/>
        </w:rPr>
        <w:t>لا يجوز وصف ربنا عز وجل بها سبحانه وتعالى</w:t>
      </w:r>
      <w:r>
        <w:rPr>
          <w:rFonts w:hint="cs"/>
          <w:rtl/>
        </w:rPr>
        <w:t>،</w:t>
      </w:r>
      <w:r w:rsidR="009C32A0" w:rsidRPr="005675B2">
        <w:rPr>
          <w:rFonts w:hint="cs"/>
          <w:rtl/>
        </w:rPr>
        <w:t xml:space="preserve"> ونذكر</w:t>
      </w:r>
      <w:r w:rsidR="009C32A0" w:rsidRPr="005675B2">
        <w:rPr>
          <w:rFonts w:hint="cs"/>
        </w:rPr>
        <w:t xml:space="preserve"> </w:t>
      </w:r>
      <w:r w:rsidR="009C32A0" w:rsidRPr="005675B2">
        <w:rPr>
          <w:rFonts w:hint="cs"/>
          <w:u w:val="single"/>
          <w:rtl/>
        </w:rPr>
        <w:t>خمسة أمثلة فقط تؤكد</w:t>
      </w:r>
      <w:r w:rsidR="009C32A0" w:rsidRPr="005675B2">
        <w:rPr>
          <w:rFonts w:hint="cs"/>
          <w:u w:val="single"/>
        </w:rPr>
        <w:t xml:space="preserve"> </w:t>
      </w:r>
      <w:r w:rsidR="009C32A0" w:rsidRPr="005675B2">
        <w:rPr>
          <w:rFonts w:hint="cs"/>
          <w:u w:val="single"/>
          <w:rtl/>
        </w:rPr>
        <w:t>ذلك</w:t>
      </w:r>
      <w:r>
        <w:rPr>
          <w:rFonts w:hint="cs"/>
          <w:rtl/>
        </w:rPr>
        <w:t>:</w:t>
      </w:r>
    </w:p>
    <w:p w14:paraId="6BEB3E66" w14:textId="2EAB7EBC" w:rsidR="009C32A0" w:rsidRPr="005675B2" w:rsidRDefault="009C32A0" w:rsidP="000636C2">
      <w:pPr>
        <w:rPr>
          <w:rtl/>
        </w:rPr>
      </w:pPr>
      <w:r w:rsidRPr="005675B2">
        <w:rPr>
          <w:rFonts w:hint="cs"/>
          <w:rtl/>
        </w:rPr>
        <w:t>1</w:t>
      </w:r>
      <w:r w:rsidR="000636C2">
        <w:rPr>
          <w:rFonts w:hint="cs"/>
          <w:rtl/>
        </w:rPr>
        <w:t xml:space="preserve"> </w:t>
      </w:r>
      <w:r w:rsidRPr="005675B2">
        <w:rPr>
          <w:rFonts w:hint="cs"/>
          <w:rtl/>
        </w:rPr>
        <w:t xml:space="preserve">- في </w:t>
      </w:r>
      <w:r w:rsidR="000636C2">
        <w:rPr>
          <w:rFonts w:hint="cs"/>
          <w:rtl/>
        </w:rPr>
        <w:t>(</w:t>
      </w:r>
      <w:r w:rsidRPr="005675B2">
        <w:rPr>
          <w:rFonts w:hint="cs"/>
          <w:rtl/>
        </w:rPr>
        <w:t>1/106</w:t>
      </w:r>
      <w:r w:rsidR="000636C2">
        <w:rPr>
          <w:rFonts w:hint="cs"/>
          <w:rtl/>
        </w:rPr>
        <w:t>)</w:t>
      </w:r>
      <w:r w:rsidRPr="005675B2">
        <w:rPr>
          <w:rFonts w:hint="cs"/>
          <w:rtl/>
        </w:rPr>
        <w:t xml:space="preserve"> رقم </w:t>
      </w:r>
      <w:r w:rsidR="000636C2">
        <w:rPr>
          <w:rFonts w:hint="cs"/>
          <w:rtl/>
        </w:rPr>
        <w:t>(</w:t>
      </w:r>
      <w:r w:rsidRPr="005675B2">
        <w:rPr>
          <w:rFonts w:hint="cs"/>
          <w:rtl/>
        </w:rPr>
        <w:t>10</w:t>
      </w:r>
      <w:r w:rsidR="000636C2">
        <w:rPr>
          <w:rFonts w:hint="cs"/>
          <w:rtl/>
        </w:rPr>
        <w:t>)</w:t>
      </w:r>
      <w:r w:rsidRPr="005675B2">
        <w:rPr>
          <w:rFonts w:hint="cs"/>
          <w:rtl/>
        </w:rPr>
        <w:t xml:space="preserve"> في كتاب السنة طبعة دار عالم الكتب بالرياض</w:t>
      </w:r>
      <w:r w:rsidR="000636C2">
        <w:rPr>
          <w:rFonts w:hint="cs"/>
          <w:rtl/>
        </w:rPr>
        <w:t>:</w:t>
      </w:r>
      <w:r w:rsidRPr="005675B2">
        <w:t xml:space="preserve"> " </w:t>
      </w:r>
      <w:r w:rsidRPr="005675B2">
        <w:rPr>
          <w:rFonts w:hint="cs"/>
          <w:rtl/>
        </w:rPr>
        <w:t>وهل يكون الاستواء إلا بجلوس "</w:t>
      </w:r>
      <w:r w:rsidR="000636C2">
        <w:rPr>
          <w:rFonts w:hint="cs"/>
          <w:rtl/>
        </w:rPr>
        <w:t>،</w:t>
      </w:r>
      <w:r w:rsidRPr="005675B2">
        <w:rPr>
          <w:rFonts w:hint="cs"/>
          <w:rtl/>
        </w:rPr>
        <w:t xml:space="preserve"> قال المعلق عليه </w:t>
      </w:r>
      <w:r w:rsidR="000636C2">
        <w:rPr>
          <w:rFonts w:hint="cs"/>
          <w:rtl/>
        </w:rPr>
        <w:t>(</w:t>
      </w:r>
      <w:r w:rsidRPr="005675B2">
        <w:rPr>
          <w:rFonts w:hint="cs"/>
          <w:rtl/>
        </w:rPr>
        <w:t>1/106</w:t>
      </w:r>
      <w:r w:rsidR="000636C2">
        <w:rPr>
          <w:rFonts w:hint="cs"/>
          <w:rtl/>
        </w:rPr>
        <w:t>):</w:t>
      </w:r>
      <w:r w:rsidRPr="005675B2">
        <w:rPr>
          <w:rFonts w:hint="cs"/>
          <w:rtl/>
        </w:rPr>
        <w:t xml:space="preserve"> إن هذه العبارة أقرب</w:t>
      </w:r>
      <w:r w:rsidRPr="005675B2">
        <w:rPr>
          <w:rFonts w:hint="cs"/>
        </w:rPr>
        <w:t xml:space="preserve"> </w:t>
      </w:r>
      <w:r w:rsidRPr="005675B2">
        <w:rPr>
          <w:rFonts w:hint="cs"/>
          <w:rtl/>
        </w:rPr>
        <w:t>إلى التجسيم وتشبيه الخالق بالمخلوقات</w:t>
      </w:r>
      <w:r w:rsidR="000636C2">
        <w:rPr>
          <w:rFonts w:hint="cs"/>
          <w:rtl/>
        </w:rPr>
        <w:t>،</w:t>
      </w:r>
      <w:r w:rsidRPr="005675B2">
        <w:rPr>
          <w:rFonts w:hint="cs"/>
          <w:rtl/>
        </w:rPr>
        <w:t xml:space="preserve"> وسلفنا الصالح رضوان الله عليهم من أشد</w:t>
      </w:r>
      <w:r w:rsidRPr="005675B2">
        <w:rPr>
          <w:rFonts w:hint="cs"/>
        </w:rPr>
        <w:t xml:space="preserve"> </w:t>
      </w:r>
      <w:r w:rsidRPr="005675B2">
        <w:rPr>
          <w:rFonts w:hint="cs"/>
          <w:rtl/>
        </w:rPr>
        <w:t>الناس إنكارا على المشبهة والمجسمة</w:t>
      </w:r>
      <w:r w:rsidR="000636C2">
        <w:rPr>
          <w:rFonts w:hint="cs"/>
          <w:rtl/>
        </w:rPr>
        <w:t>،</w:t>
      </w:r>
      <w:r w:rsidRPr="005675B2">
        <w:rPr>
          <w:rFonts w:hint="cs"/>
          <w:rtl/>
        </w:rPr>
        <w:t xml:space="preserve"> ا هـ</w:t>
      </w:r>
    </w:p>
    <w:p w14:paraId="3AC5CD76" w14:textId="5FC75F9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xml:space="preserve">- وفي </w:t>
      </w:r>
      <w:r w:rsidR="000636C2">
        <w:rPr>
          <w:rFonts w:hint="cs"/>
          <w:rtl/>
        </w:rPr>
        <w:t>(</w:t>
      </w:r>
      <w:r w:rsidRPr="005675B2">
        <w:rPr>
          <w:rFonts w:hint="cs"/>
          <w:rtl/>
        </w:rPr>
        <w:t>1/175</w:t>
      </w:r>
      <w:r w:rsidR="000636C2">
        <w:rPr>
          <w:rFonts w:hint="cs"/>
          <w:rtl/>
        </w:rPr>
        <w:t xml:space="preserve"> </w:t>
      </w:r>
      <w:r w:rsidRPr="005675B2">
        <w:rPr>
          <w:rFonts w:hint="cs"/>
          <w:rtl/>
        </w:rPr>
        <w:t>- 176</w:t>
      </w:r>
      <w:r w:rsidR="000636C2">
        <w:rPr>
          <w:rFonts w:hint="cs"/>
          <w:rtl/>
        </w:rPr>
        <w:t>)</w:t>
      </w:r>
      <w:r w:rsidRPr="005675B2">
        <w:rPr>
          <w:rFonts w:hint="cs"/>
          <w:rtl/>
        </w:rPr>
        <w:t xml:space="preserve"> رقم </w:t>
      </w:r>
      <w:r w:rsidR="000636C2">
        <w:rPr>
          <w:rFonts w:hint="cs"/>
          <w:rtl/>
        </w:rPr>
        <w:t>(</w:t>
      </w:r>
      <w:r w:rsidRPr="005675B2">
        <w:rPr>
          <w:rFonts w:hint="cs"/>
          <w:rtl/>
        </w:rPr>
        <w:t>217</w:t>
      </w:r>
      <w:r w:rsidR="000636C2">
        <w:rPr>
          <w:rFonts w:hint="cs"/>
          <w:rtl/>
        </w:rPr>
        <w:t>)</w:t>
      </w:r>
      <w:r w:rsidRPr="005675B2">
        <w:rPr>
          <w:rFonts w:hint="cs"/>
          <w:rtl/>
        </w:rPr>
        <w:t xml:space="preserve"> " رآه</w:t>
      </w:r>
      <w:r w:rsidRPr="005675B2">
        <w:rPr>
          <w:rFonts w:hint="cs"/>
        </w:rPr>
        <w:t xml:space="preserve"> </w:t>
      </w:r>
      <w:r w:rsidRPr="005675B2">
        <w:rPr>
          <w:rFonts w:hint="cs"/>
          <w:rtl/>
        </w:rPr>
        <w:t>على كرسي من ذهب يحمله أربعة من الملائكة</w:t>
      </w:r>
      <w:r w:rsidR="000636C2">
        <w:rPr>
          <w:rFonts w:hint="cs"/>
          <w:rtl/>
        </w:rPr>
        <w:t>:</w:t>
      </w:r>
      <w:r w:rsidRPr="005675B2">
        <w:rPr>
          <w:rFonts w:hint="cs"/>
          <w:rtl/>
        </w:rPr>
        <w:t xml:space="preserve"> ملك في صورة رجل</w:t>
      </w:r>
      <w:r w:rsidR="000636C2">
        <w:rPr>
          <w:rFonts w:hint="cs"/>
          <w:rtl/>
        </w:rPr>
        <w:t>،</w:t>
      </w:r>
      <w:r w:rsidRPr="005675B2">
        <w:rPr>
          <w:rFonts w:hint="cs"/>
          <w:rtl/>
        </w:rPr>
        <w:t xml:space="preserve"> وملك في صورة أسد</w:t>
      </w:r>
      <w:r w:rsidR="000636C2">
        <w:rPr>
          <w:rFonts w:hint="cs"/>
          <w:rtl/>
        </w:rPr>
        <w:t>،</w:t>
      </w:r>
      <w:r w:rsidRPr="005675B2">
        <w:rPr>
          <w:rFonts w:hint="cs"/>
        </w:rPr>
        <w:t xml:space="preserve"> </w:t>
      </w:r>
      <w:r w:rsidRPr="005675B2">
        <w:rPr>
          <w:rFonts w:hint="cs"/>
          <w:rtl/>
        </w:rPr>
        <w:t>وملك في صورة ثور</w:t>
      </w:r>
      <w:r w:rsidR="000636C2">
        <w:rPr>
          <w:rFonts w:hint="cs"/>
          <w:rtl/>
        </w:rPr>
        <w:t>،</w:t>
      </w:r>
      <w:r w:rsidRPr="005675B2">
        <w:rPr>
          <w:rFonts w:hint="cs"/>
          <w:rtl/>
        </w:rPr>
        <w:t xml:space="preserve"> وملك في صورة نسر</w:t>
      </w:r>
      <w:r w:rsidR="000636C2">
        <w:rPr>
          <w:rFonts w:hint="cs"/>
          <w:rtl/>
        </w:rPr>
        <w:t>،</w:t>
      </w:r>
      <w:r w:rsidRPr="005675B2">
        <w:rPr>
          <w:rFonts w:hint="cs"/>
          <w:rtl/>
        </w:rPr>
        <w:t xml:space="preserve"> في روضة خضراء دونه فراش من ذهب "</w:t>
      </w:r>
      <w:r w:rsidR="000636C2">
        <w:rPr>
          <w:rFonts w:hint="cs"/>
          <w:rtl/>
        </w:rPr>
        <w:t>،</w:t>
      </w:r>
      <w:r w:rsidRPr="005675B2">
        <w:rPr>
          <w:rFonts w:hint="cs"/>
          <w:rtl/>
        </w:rPr>
        <w:t xml:space="preserve"> قال</w:t>
      </w:r>
      <w:r w:rsidRPr="005675B2">
        <w:rPr>
          <w:rFonts w:hint="cs"/>
        </w:rPr>
        <w:t xml:space="preserve"> </w:t>
      </w:r>
      <w:r w:rsidRPr="005675B2">
        <w:rPr>
          <w:rFonts w:hint="cs"/>
          <w:rtl/>
        </w:rPr>
        <w:t xml:space="preserve">المعلق عليه </w:t>
      </w:r>
      <w:r w:rsidR="000636C2">
        <w:rPr>
          <w:rFonts w:hint="cs"/>
          <w:rtl/>
        </w:rPr>
        <w:t>(</w:t>
      </w:r>
      <w:r w:rsidRPr="005675B2">
        <w:rPr>
          <w:rFonts w:hint="cs"/>
          <w:rtl/>
        </w:rPr>
        <w:t>1/167</w:t>
      </w:r>
      <w:r w:rsidR="000636C2">
        <w:rPr>
          <w:rFonts w:hint="cs"/>
          <w:rtl/>
        </w:rPr>
        <w:t>)</w:t>
      </w:r>
      <w:r w:rsidRPr="005675B2">
        <w:rPr>
          <w:rFonts w:hint="cs"/>
          <w:rtl/>
        </w:rPr>
        <w:t xml:space="preserve"> هذا حديث ضعيف لا يحتج به خاصة في أمور العقيدة ثم هو دخول في</w:t>
      </w:r>
      <w:r w:rsidRPr="005675B2">
        <w:rPr>
          <w:rFonts w:hint="cs"/>
        </w:rPr>
        <w:t xml:space="preserve"> </w:t>
      </w:r>
      <w:r w:rsidRPr="005675B2">
        <w:rPr>
          <w:rFonts w:hint="cs"/>
          <w:rtl/>
        </w:rPr>
        <w:t>الكيفية وهو على خلاف مذهب السلف الذي يقرر أن الكلام في كيفية الذات أو الصفات من</w:t>
      </w:r>
      <w:r w:rsidRPr="005675B2">
        <w:rPr>
          <w:rFonts w:hint="cs"/>
        </w:rPr>
        <w:t xml:space="preserve"> </w:t>
      </w:r>
      <w:r w:rsidRPr="005675B2">
        <w:rPr>
          <w:rFonts w:hint="cs"/>
          <w:rtl/>
        </w:rPr>
        <w:t>الأمور البدعية</w:t>
      </w:r>
      <w:r w:rsidR="000636C2">
        <w:rPr>
          <w:rFonts w:hint="cs"/>
          <w:rtl/>
        </w:rPr>
        <w:t>،</w:t>
      </w:r>
      <w:r w:rsidRPr="005675B2">
        <w:rPr>
          <w:rFonts w:hint="cs"/>
          <w:rtl/>
        </w:rPr>
        <w:t xml:space="preserve"> اهـأليس في هذا تجسيم وتشبيه صريح</w:t>
      </w:r>
      <w:r w:rsidR="000636C2">
        <w:rPr>
          <w:rFonts w:hint="cs"/>
          <w:rtl/>
        </w:rPr>
        <w:t>!</w:t>
      </w:r>
      <w:r w:rsidRPr="005675B2">
        <w:rPr>
          <w:rFonts w:hint="cs"/>
          <w:rtl/>
        </w:rPr>
        <w:t>!</w:t>
      </w:r>
      <w:r w:rsidR="000636C2">
        <w:rPr>
          <w:rFonts w:hint="cs"/>
          <w:rtl/>
        </w:rPr>
        <w:t>،</w:t>
      </w:r>
      <w:r w:rsidRPr="005675B2">
        <w:rPr>
          <w:rFonts w:hint="cs"/>
          <w:rtl/>
        </w:rPr>
        <w:t xml:space="preserve"> بالإضافة إلى ذكر أحاديث موضوعة</w:t>
      </w:r>
      <w:r w:rsidRPr="005675B2">
        <w:rPr>
          <w:rFonts w:hint="cs"/>
        </w:rPr>
        <w:t xml:space="preserve"> </w:t>
      </w:r>
      <w:r w:rsidRPr="005675B2">
        <w:rPr>
          <w:rFonts w:hint="cs"/>
          <w:rtl/>
        </w:rPr>
        <w:t>فضلا عن الضعيفة في مجال العقائد ويسمى الكتاب بالسنة</w:t>
      </w:r>
      <w:r w:rsidR="000636C2">
        <w:rPr>
          <w:rFonts w:hint="cs"/>
          <w:rtl/>
        </w:rPr>
        <w:t>!</w:t>
      </w:r>
      <w:r w:rsidRPr="005675B2">
        <w:rPr>
          <w:rFonts w:hint="cs"/>
          <w:rtl/>
        </w:rPr>
        <w:t xml:space="preserve"> والمراد به وبأمثاله عندهم</w:t>
      </w:r>
      <w:r w:rsidRPr="005675B2">
        <w:rPr>
          <w:rFonts w:hint="cs"/>
        </w:rPr>
        <w:t xml:space="preserve"> </w:t>
      </w:r>
      <w:r w:rsidRPr="005675B2">
        <w:rPr>
          <w:rFonts w:hint="cs"/>
          <w:rtl/>
        </w:rPr>
        <w:t>كتب الاعتقاد</w:t>
      </w:r>
      <w:r w:rsidR="000636C2">
        <w:rPr>
          <w:rFonts w:hint="cs"/>
          <w:rtl/>
        </w:rPr>
        <w:t>!</w:t>
      </w:r>
      <w:r w:rsidRPr="005675B2">
        <w:rPr>
          <w:rFonts w:hint="cs"/>
          <w:rtl/>
        </w:rPr>
        <w:t xml:space="preserve"> كما صرح به المعلق في المثال الرابع الآتي</w:t>
      </w:r>
      <w:r w:rsidRPr="005675B2">
        <w:rPr>
          <w:rFonts w:hint="cs"/>
        </w:rPr>
        <w:t xml:space="preserve"> </w:t>
      </w:r>
    </w:p>
    <w:p w14:paraId="5167EBD4" w14:textId="14D6A749" w:rsidR="009C32A0" w:rsidRPr="005675B2" w:rsidRDefault="009C32A0" w:rsidP="000636C2">
      <w:pPr>
        <w:rPr>
          <w:b/>
          <w:rtl/>
        </w:rPr>
      </w:pPr>
      <w:r w:rsidRPr="005675B2">
        <w:rPr>
          <w:rFonts w:hint="cs"/>
          <w:rtl/>
        </w:rPr>
        <w:t xml:space="preserve">3 - وفي كتاب السنة </w:t>
      </w:r>
      <w:r w:rsidR="000636C2">
        <w:rPr>
          <w:rFonts w:hint="cs"/>
          <w:rtl/>
        </w:rPr>
        <w:t>(</w:t>
      </w:r>
      <w:r w:rsidRPr="005675B2">
        <w:rPr>
          <w:rFonts w:hint="cs"/>
          <w:rtl/>
        </w:rPr>
        <w:t>1/286</w:t>
      </w:r>
      <w:r w:rsidR="000636C2">
        <w:rPr>
          <w:rFonts w:hint="cs"/>
          <w:rtl/>
        </w:rPr>
        <w:t>)</w:t>
      </w:r>
      <w:r w:rsidRPr="005675B2">
        <w:rPr>
          <w:rFonts w:hint="cs"/>
          <w:rtl/>
        </w:rPr>
        <w:t xml:space="preserve"> رقم </w:t>
      </w:r>
      <w:r w:rsidR="000636C2">
        <w:rPr>
          <w:rFonts w:hint="cs"/>
          <w:rtl/>
        </w:rPr>
        <w:t>(</w:t>
      </w:r>
      <w:r w:rsidRPr="005675B2">
        <w:rPr>
          <w:rFonts w:hint="cs"/>
          <w:rtl/>
        </w:rPr>
        <w:t>547</w:t>
      </w:r>
      <w:r w:rsidR="000636C2">
        <w:rPr>
          <w:rFonts w:hint="cs"/>
          <w:rtl/>
        </w:rPr>
        <w:t>):</w:t>
      </w:r>
      <w:r w:rsidRPr="005675B2">
        <w:rPr>
          <w:rFonts w:hint="cs"/>
          <w:rtl/>
        </w:rPr>
        <w:t xml:space="preserve"> " كيف كلم الله عز وجل موسى عليه السلام</w:t>
      </w:r>
      <w:r w:rsidR="000636C2">
        <w:rPr>
          <w:rFonts w:hint="cs"/>
          <w:rtl/>
        </w:rPr>
        <w:t>؟</w:t>
      </w:r>
      <w:r w:rsidRPr="005675B2">
        <w:rPr>
          <w:rFonts w:hint="cs"/>
          <w:rtl/>
        </w:rPr>
        <w:t xml:space="preserve"> قال</w:t>
      </w:r>
      <w:r w:rsidR="000636C2">
        <w:rPr>
          <w:rFonts w:hint="cs"/>
          <w:rtl/>
        </w:rPr>
        <w:t>:</w:t>
      </w:r>
      <w:r w:rsidRPr="005675B2">
        <w:t xml:space="preserve"> </w:t>
      </w:r>
      <w:r w:rsidRPr="005675B2">
        <w:rPr>
          <w:rFonts w:hint="cs"/>
          <w:rtl/>
        </w:rPr>
        <w:t>مشافهة "</w:t>
      </w:r>
      <w:r w:rsidR="000636C2">
        <w:rPr>
          <w:rFonts w:hint="cs"/>
          <w:rtl/>
        </w:rPr>
        <w:t>،</w:t>
      </w:r>
      <w:r w:rsidRPr="005675B2">
        <w:rPr>
          <w:rFonts w:hint="cs"/>
          <w:rtl/>
        </w:rPr>
        <w:t xml:space="preserve"> وانظر نحوه رقم </w:t>
      </w:r>
      <w:r w:rsidR="000636C2">
        <w:rPr>
          <w:rFonts w:hint="cs"/>
          <w:rtl/>
        </w:rPr>
        <w:t>(</w:t>
      </w:r>
      <w:r w:rsidRPr="005675B2">
        <w:rPr>
          <w:rFonts w:hint="cs"/>
          <w:rtl/>
        </w:rPr>
        <w:t>546</w:t>
      </w:r>
      <w:r w:rsidR="000636C2">
        <w:rPr>
          <w:rFonts w:hint="cs"/>
          <w:rtl/>
        </w:rPr>
        <w:t>)</w:t>
      </w:r>
      <w:r w:rsidRPr="005675B2">
        <w:rPr>
          <w:rFonts w:hint="cs"/>
          <w:rtl/>
        </w:rPr>
        <w:t xml:space="preserve"> ورقم </w:t>
      </w:r>
      <w:r w:rsidR="000636C2">
        <w:rPr>
          <w:rFonts w:hint="cs"/>
          <w:rtl/>
        </w:rPr>
        <w:t>(</w:t>
      </w:r>
      <w:r w:rsidRPr="005675B2">
        <w:rPr>
          <w:rFonts w:hint="cs"/>
          <w:rtl/>
        </w:rPr>
        <w:t>541</w:t>
      </w:r>
      <w:r w:rsidR="000636C2">
        <w:rPr>
          <w:rFonts w:hint="cs"/>
          <w:rtl/>
        </w:rPr>
        <w:t>)،</w:t>
      </w:r>
    </w:p>
    <w:p w14:paraId="1ACEF431" w14:textId="79C30ED3" w:rsidR="009C32A0" w:rsidRPr="005675B2" w:rsidRDefault="009C32A0" w:rsidP="000636C2">
      <w:pPr>
        <w:rPr>
          <w:b/>
          <w:rtl/>
        </w:rPr>
      </w:pPr>
      <w:r w:rsidRPr="005675B2">
        <w:rPr>
          <w:rFonts w:hint="cs"/>
          <w:rtl/>
        </w:rPr>
        <w:t xml:space="preserve">4 - وفي كتاب السنة </w:t>
      </w:r>
      <w:r w:rsidR="000636C2">
        <w:rPr>
          <w:rFonts w:hint="cs"/>
          <w:rtl/>
        </w:rPr>
        <w:t>(</w:t>
      </w:r>
      <w:r w:rsidRPr="005675B2">
        <w:rPr>
          <w:rFonts w:hint="cs"/>
          <w:rtl/>
        </w:rPr>
        <w:t>1/294</w:t>
      </w:r>
      <w:r w:rsidR="000636C2">
        <w:rPr>
          <w:rFonts w:hint="cs"/>
          <w:rtl/>
        </w:rPr>
        <w:t>)</w:t>
      </w:r>
      <w:r w:rsidRPr="005675B2">
        <w:rPr>
          <w:rFonts w:hint="cs"/>
          <w:rtl/>
        </w:rPr>
        <w:t xml:space="preserve"> رقم </w:t>
      </w:r>
      <w:r w:rsidR="000636C2">
        <w:rPr>
          <w:rFonts w:hint="cs"/>
          <w:rtl/>
        </w:rPr>
        <w:t>(</w:t>
      </w:r>
      <w:r w:rsidRPr="005675B2">
        <w:rPr>
          <w:rFonts w:hint="cs"/>
          <w:rtl/>
        </w:rPr>
        <w:t>568</w:t>
      </w:r>
      <w:r w:rsidR="000636C2">
        <w:rPr>
          <w:rFonts w:hint="cs"/>
          <w:rtl/>
        </w:rPr>
        <w:t>):</w:t>
      </w:r>
      <w:r w:rsidRPr="005675B2">
        <w:t xml:space="preserve"> " </w:t>
      </w:r>
      <w:r w:rsidRPr="005675B2">
        <w:rPr>
          <w:rFonts w:hint="cs"/>
          <w:rtl/>
        </w:rPr>
        <w:t>كتب الله التوراة لموسى عليه السلام بيده وهو مسند ظهره إلى الصخرة في ألواح من در</w:t>
      </w:r>
      <w:r w:rsidRPr="005675B2">
        <w:rPr>
          <w:rFonts w:hint="cs"/>
        </w:rPr>
        <w:t xml:space="preserve"> </w:t>
      </w:r>
      <w:r w:rsidRPr="005675B2">
        <w:rPr>
          <w:rFonts w:hint="cs"/>
          <w:rtl/>
        </w:rPr>
        <w:t>فسمع صريف القلم ليس بينه وبينه إلا الحجاب</w:t>
      </w:r>
      <w:r w:rsidRPr="005675B2">
        <w:t xml:space="preserve"> "</w:t>
      </w:r>
      <w:r w:rsidR="000636C2">
        <w:rPr>
          <w:rtl/>
        </w:rPr>
        <w:t>،</w:t>
      </w:r>
      <w:r w:rsidRPr="005675B2">
        <w:rPr>
          <w:rFonts w:hint="cs"/>
          <w:rtl/>
        </w:rPr>
        <w:t xml:space="preserve"> قال المعلق </w:t>
      </w:r>
      <w:r w:rsidR="000636C2">
        <w:rPr>
          <w:rFonts w:hint="cs"/>
          <w:rtl/>
        </w:rPr>
        <w:t>(</w:t>
      </w:r>
      <w:r w:rsidRPr="005675B2">
        <w:rPr>
          <w:rFonts w:hint="cs"/>
          <w:rtl/>
        </w:rPr>
        <w:t>1/294</w:t>
      </w:r>
      <w:r w:rsidR="000636C2">
        <w:rPr>
          <w:rFonts w:hint="cs"/>
          <w:rtl/>
        </w:rPr>
        <w:t>):</w:t>
      </w:r>
      <w:r w:rsidRPr="005675B2">
        <w:rPr>
          <w:rFonts w:hint="cs"/>
          <w:rtl/>
        </w:rPr>
        <w:t xml:space="preserve"> " هذا الأثر من</w:t>
      </w:r>
      <w:r w:rsidRPr="005675B2">
        <w:rPr>
          <w:rFonts w:hint="cs"/>
        </w:rPr>
        <w:t xml:space="preserve"> </w:t>
      </w:r>
      <w:r w:rsidRPr="005675B2">
        <w:rPr>
          <w:rFonts w:hint="cs"/>
          <w:rtl/>
        </w:rPr>
        <w:t>الإسرائيليات المقطوع ببطلانها ثم هو مروي عن رجل مجهول</w:t>
      </w:r>
      <w:r w:rsidR="000636C2">
        <w:rPr>
          <w:rFonts w:hint="cs"/>
          <w:rtl/>
        </w:rPr>
        <w:t>،</w:t>
      </w:r>
      <w:r w:rsidRPr="005675B2">
        <w:rPr>
          <w:rFonts w:hint="cs"/>
          <w:rtl/>
        </w:rPr>
        <w:t xml:space="preserve"> وقد أغنانا الله سبحانه</w:t>
      </w:r>
      <w:r w:rsidRPr="005675B2">
        <w:rPr>
          <w:rFonts w:hint="cs"/>
        </w:rPr>
        <w:t xml:space="preserve"> </w:t>
      </w:r>
      <w:r w:rsidRPr="005675B2">
        <w:rPr>
          <w:rFonts w:hint="cs"/>
          <w:rtl/>
        </w:rPr>
        <w:t>في موضوع صفاته بما ورد في كتابه وصحيح سنة رسوله صلى الله عليه وسلم فكان حريا</w:t>
      </w:r>
      <w:r w:rsidRPr="005675B2">
        <w:rPr>
          <w:rFonts w:hint="cs"/>
        </w:rPr>
        <w:t xml:space="preserve"> </w:t>
      </w:r>
      <w:r w:rsidRPr="005675B2">
        <w:rPr>
          <w:rFonts w:hint="cs"/>
          <w:rtl/>
        </w:rPr>
        <w:t>بالمصنف رحمه الله ألا يورد مثل هذه الأقاويل الباطلة في كتاب من كتب العقيدة</w:t>
      </w:r>
      <w:r w:rsidRPr="005675B2">
        <w:rPr>
          <w:rFonts w:hint="cs"/>
        </w:rPr>
        <w:t xml:space="preserve"> </w:t>
      </w:r>
      <w:r w:rsidRPr="005675B2">
        <w:rPr>
          <w:rFonts w:hint="cs"/>
          <w:rtl/>
        </w:rPr>
        <w:t>المعتمدة كهذا الكتاب</w:t>
      </w:r>
      <w:r w:rsidRPr="005675B2">
        <w:t xml:space="preserve"> "</w:t>
      </w:r>
      <w:r w:rsidR="000636C2">
        <w:rPr>
          <w:rtl/>
        </w:rPr>
        <w:t>!</w:t>
      </w:r>
      <w:r w:rsidRPr="005675B2">
        <w:rPr>
          <w:rFonts w:hint="cs"/>
          <w:rtl/>
        </w:rPr>
        <w:t xml:space="preserve">! </w:t>
      </w:r>
    </w:p>
    <w:p w14:paraId="107ABCEB" w14:textId="2CE2EBDD" w:rsidR="009C32A0" w:rsidRPr="005675B2" w:rsidRDefault="009C32A0" w:rsidP="000636C2">
      <w:pPr>
        <w:rPr>
          <w:rtl/>
        </w:rPr>
      </w:pPr>
      <w:r w:rsidRPr="005675B2">
        <w:rPr>
          <w:rFonts w:hint="cs"/>
          <w:rtl/>
        </w:rPr>
        <w:t>5</w:t>
      </w:r>
      <w:r w:rsidR="000636C2">
        <w:rPr>
          <w:rFonts w:hint="cs"/>
          <w:rtl/>
        </w:rPr>
        <w:t xml:space="preserve"> </w:t>
      </w:r>
      <w:r w:rsidRPr="005675B2">
        <w:rPr>
          <w:rtl/>
        </w:rPr>
        <w:t xml:space="preserve">- </w:t>
      </w:r>
      <w:r w:rsidRPr="005675B2">
        <w:rPr>
          <w:rFonts w:hint="cs"/>
          <w:rtl/>
        </w:rPr>
        <w:t xml:space="preserve">وفي </w:t>
      </w:r>
      <w:r w:rsidR="000636C2">
        <w:rPr>
          <w:rFonts w:hint="cs"/>
          <w:rtl/>
        </w:rPr>
        <w:t>(</w:t>
      </w:r>
      <w:r w:rsidRPr="005675B2">
        <w:rPr>
          <w:rFonts w:hint="cs"/>
          <w:rtl/>
        </w:rPr>
        <w:t>2/475</w:t>
      </w:r>
      <w:r w:rsidR="000636C2">
        <w:rPr>
          <w:rFonts w:hint="cs"/>
          <w:rtl/>
        </w:rPr>
        <w:t>)</w:t>
      </w:r>
      <w:r w:rsidRPr="005675B2">
        <w:rPr>
          <w:rFonts w:hint="cs"/>
          <w:rtl/>
        </w:rPr>
        <w:t xml:space="preserve"> رقم </w:t>
      </w:r>
      <w:r w:rsidR="000636C2">
        <w:rPr>
          <w:rFonts w:hint="cs"/>
          <w:rtl/>
        </w:rPr>
        <w:t>(</w:t>
      </w:r>
      <w:r w:rsidRPr="005675B2">
        <w:rPr>
          <w:rFonts w:hint="cs"/>
          <w:rtl/>
        </w:rPr>
        <w:t>1084</w:t>
      </w:r>
      <w:r w:rsidR="000636C2">
        <w:rPr>
          <w:rFonts w:hint="cs"/>
          <w:rtl/>
        </w:rPr>
        <w:t>):</w:t>
      </w:r>
      <w:r w:rsidRPr="005675B2">
        <w:rPr>
          <w:rFonts w:hint="cs"/>
          <w:rtl/>
        </w:rPr>
        <w:t xml:space="preserve"> " خلق الله عز وجل الملائكة</w:t>
      </w:r>
      <w:r w:rsidRPr="005675B2">
        <w:rPr>
          <w:rFonts w:hint="cs"/>
        </w:rPr>
        <w:t xml:space="preserve"> </w:t>
      </w:r>
      <w:r w:rsidRPr="005675B2">
        <w:rPr>
          <w:rFonts w:hint="cs"/>
          <w:rtl/>
        </w:rPr>
        <w:t>من نور الذراعين والصدر " وتكرر برقم 1195</w:t>
      </w:r>
      <w:r w:rsidR="000636C2">
        <w:rPr>
          <w:rFonts w:hint="cs"/>
          <w:rtl/>
        </w:rPr>
        <w:t>،</w:t>
      </w:r>
      <w:r w:rsidRPr="005675B2">
        <w:rPr>
          <w:rFonts w:hint="cs"/>
          <w:rtl/>
        </w:rPr>
        <w:t xml:space="preserve"> قال</w:t>
      </w:r>
      <w:r w:rsidRPr="005675B2">
        <w:rPr>
          <w:rFonts w:hint="cs"/>
        </w:rPr>
        <w:t xml:space="preserve"> </w:t>
      </w:r>
      <w:r w:rsidRPr="005675B2">
        <w:rPr>
          <w:rFonts w:hint="cs"/>
          <w:rtl/>
        </w:rPr>
        <w:t>المعلق</w:t>
      </w:r>
      <w:r w:rsidR="000636C2">
        <w:rPr>
          <w:rFonts w:hint="cs"/>
          <w:rtl/>
        </w:rPr>
        <w:t>:</w:t>
      </w:r>
      <w:r w:rsidRPr="005675B2">
        <w:rPr>
          <w:rFonts w:hint="cs"/>
          <w:rtl/>
        </w:rPr>
        <w:t xml:space="preserve"> وهذا الأثر منكر لأن النصوص الصريحة بخلافه</w:t>
      </w:r>
      <w:r w:rsidR="000636C2">
        <w:rPr>
          <w:rFonts w:hint="cs"/>
          <w:rtl/>
        </w:rPr>
        <w:t>،</w:t>
      </w:r>
      <w:r w:rsidRPr="005675B2">
        <w:rPr>
          <w:rFonts w:hint="cs"/>
          <w:rtl/>
        </w:rPr>
        <w:t xml:space="preserve"> ثم هو دخول في الكيفية أيضا</w:t>
      </w:r>
      <w:r w:rsidR="000636C2">
        <w:rPr>
          <w:rFonts w:hint="cs"/>
          <w:rtl/>
        </w:rPr>
        <w:t>،</w:t>
      </w:r>
      <w:r w:rsidRPr="005675B2">
        <w:rPr>
          <w:rFonts w:hint="cs"/>
          <w:rtl/>
        </w:rPr>
        <w:t xml:space="preserve"> والكلام فيها مخالف لصريح مذهب السلف بل هذا الكلام أقرب إلى الفكر البرهمي منه</w:t>
      </w:r>
      <w:r w:rsidRPr="005675B2">
        <w:rPr>
          <w:rFonts w:hint="cs"/>
        </w:rPr>
        <w:t xml:space="preserve"> </w:t>
      </w:r>
      <w:r w:rsidRPr="005675B2">
        <w:rPr>
          <w:rFonts w:hint="cs"/>
          <w:rtl/>
        </w:rPr>
        <w:t>إلى غيره كما هو معلوم في ديانة البراهمة</w:t>
      </w:r>
      <w:r w:rsidR="000636C2">
        <w:rPr>
          <w:rFonts w:hint="cs"/>
          <w:rtl/>
        </w:rPr>
        <w:t>،</w:t>
      </w:r>
      <w:r w:rsidRPr="005675B2">
        <w:rPr>
          <w:rFonts w:hint="cs"/>
          <w:rtl/>
        </w:rPr>
        <w:t xml:space="preserve"> أهـ</w:t>
      </w:r>
      <w:r w:rsidR="000636C2">
        <w:rPr>
          <w:rFonts w:hint="cs"/>
          <w:rtl/>
        </w:rPr>
        <w:t>،</w:t>
      </w:r>
      <w:r w:rsidRPr="005675B2">
        <w:rPr>
          <w:rFonts w:hint="cs"/>
          <w:rtl/>
        </w:rPr>
        <w:t xml:space="preserve"> هذا</w:t>
      </w:r>
      <w:r w:rsidRPr="005675B2">
        <w:rPr>
          <w:rFonts w:hint="cs"/>
        </w:rPr>
        <w:t xml:space="preserve"> </w:t>
      </w:r>
      <w:r w:rsidRPr="005675B2">
        <w:rPr>
          <w:rFonts w:hint="cs"/>
          <w:rtl/>
        </w:rPr>
        <w:t>بالإضافة إلى أن في الكتاب فقرات كثيرة في ذم الإمام أبي حنيفة بل وإخراجه من الملة</w:t>
      </w:r>
      <w:r w:rsidR="000636C2">
        <w:rPr>
          <w:rFonts w:hint="cs"/>
          <w:rtl/>
        </w:rPr>
        <w:t>!</w:t>
      </w:r>
      <w:r w:rsidRPr="005675B2">
        <w:t xml:space="preserve">! </w:t>
      </w:r>
      <w:r w:rsidRPr="005675B2">
        <w:rPr>
          <w:rFonts w:hint="cs"/>
          <w:rtl/>
        </w:rPr>
        <w:t>للأسف الشديد</w:t>
      </w:r>
      <w:r w:rsidR="000636C2">
        <w:rPr>
          <w:rFonts w:hint="cs"/>
          <w:rtl/>
        </w:rPr>
        <w:t>،</w:t>
      </w:r>
      <w:r w:rsidRPr="005675B2">
        <w:rPr>
          <w:rFonts w:hint="cs"/>
          <w:rtl/>
        </w:rPr>
        <w:t xml:space="preserve"> وكيف أدخل هذا الكلام في هذا الإمام في كتاب يُزعم أنه من كتب</w:t>
      </w:r>
      <w:r w:rsidRPr="005675B2">
        <w:rPr>
          <w:rFonts w:hint="cs"/>
        </w:rPr>
        <w:t xml:space="preserve"> </w:t>
      </w:r>
      <w:r w:rsidRPr="005675B2">
        <w:rPr>
          <w:rFonts w:hint="cs"/>
          <w:rtl/>
        </w:rPr>
        <w:t>العقيدة المعتمدة</w:t>
      </w:r>
      <w:r w:rsidR="000636C2">
        <w:rPr>
          <w:rFonts w:hint="cs"/>
          <w:rtl/>
        </w:rPr>
        <w:t>!،</w:t>
      </w:r>
      <w:r w:rsidRPr="005675B2">
        <w:rPr>
          <w:rFonts w:hint="cs"/>
          <w:rtl/>
        </w:rPr>
        <w:t xml:space="preserve"> أنتهى النقل</w:t>
      </w:r>
    </w:p>
    <w:p w14:paraId="4FAE30ED" w14:textId="128E2198" w:rsidR="009C32A0" w:rsidRPr="005675B2" w:rsidRDefault="009C32A0" w:rsidP="000636C2">
      <w:pPr>
        <w:rPr>
          <w:b/>
          <w:rtl/>
        </w:rPr>
      </w:pPr>
      <w:r w:rsidRPr="005675B2">
        <w:rPr>
          <w:rFonts w:hint="cs"/>
          <w:bCs/>
          <w:rtl/>
        </w:rPr>
        <w:t>مسألة القدر</w:t>
      </w:r>
      <w:r w:rsidR="000636C2">
        <w:rPr>
          <w:rFonts w:hint="cs"/>
          <w:rtl/>
        </w:rPr>
        <w:t xml:space="preserve">: </w:t>
      </w:r>
      <w:r w:rsidRPr="005675B2">
        <w:rPr>
          <w:rFonts w:hint="cs"/>
          <w:rtl/>
        </w:rPr>
        <w:t>قال الكاتب غفر الله لنا وله</w:t>
      </w:r>
      <w:r w:rsidR="000636C2">
        <w:rPr>
          <w:rFonts w:hint="cs"/>
          <w:rtl/>
        </w:rPr>
        <w:t>:</w:t>
      </w:r>
      <w:r w:rsidRPr="005675B2">
        <w:rPr>
          <w:rFonts w:hint="cs"/>
          <w:rtl/>
        </w:rPr>
        <w:t>السادس</w:t>
      </w:r>
      <w:r w:rsidR="000636C2">
        <w:rPr>
          <w:rFonts w:hint="cs"/>
          <w:rtl/>
        </w:rPr>
        <w:t>:</w:t>
      </w:r>
      <w:r w:rsidRPr="005675B2">
        <w:rPr>
          <w:rFonts w:hint="cs"/>
          <w:rtl/>
        </w:rPr>
        <w:t xml:space="preserve"> القدر</w:t>
      </w:r>
      <w:r w:rsidR="000636C2">
        <w:rPr>
          <w:rFonts w:hint="cs"/>
          <w:rtl/>
        </w:rPr>
        <w:t>:</w:t>
      </w:r>
      <w:r w:rsidRPr="005675B2">
        <w:rPr>
          <w:rFonts w:hint="cs"/>
          <w:rtl/>
        </w:rPr>
        <w:t xml:space="preserve"> أراد الأشاعرة هنا أن</w:t>
      </w:r>
      <w:r w:rsidRPr="005675B2">
        <w:rPr>
          <w:rFonts w:hint="cs"/>
        </w:rPr>
        <w:t xml:space="preserve"> </w:t>
      </w:r>
      <w:r w:rsidRPr="005675B2">
        <w:rPr>
          <w:rFonts w:hint="cs"/>
          <w:rtl/>
        </w:rPr>
        <w:t>يوفقوا بين الجبرية والقدرية فجاءوا بنظرية الكسب وهي في مآلها جبرية خالصة لأنها</w:t>
      </w:r>
      <w:r w:rsidRPr="005675B2">
        <w:rPr>
          <w:rFonts w:hint="cs"/>
        </w:rPr>
        <w:t xml:space="preserve"> </w:t>
      </w:r>
      <w:r w:rsidRPr="005675B2">
        <w:rPr>
          <w:rFonts w:hint="cs"/>
          <w:rtl/>
        </w:rPr>
        <w:t>تنفي أي قدرة للعبد أو تأثير أما حقيقتها النظرية الفلسفية فقد عجز الأشاعرة أنفسهم</w:t>
      </w:r>
      <w:r w:rsidRPr="005675B2">
        <w:rPr>
          <w:rFonts w:hint="cs"/>
        </w:rPr>
        <w:t xml:space="preserve"> </w:t>
      </w:r>
      <w:r w:rsidRPr="005675B2">
        <w:rPr>
          <w:rFonts w:hint="cs"/>
          <w:rtl/>
        </w:rPr>
        <w:t>عن فهمها فضلاً عن إفهامها لغيرهم ولهذا قيل</w:t>
      </w:r>
      <w:r w:rsidR="000636C2">
        <w:rPr>
          <w:rFonts w:hint="cs"/>
          <w:rtl/>
        </w:rPr>
        <w:t>:</w:t>
      </w:r>
      <w:r w:rsidRPr="005675B2">
        <w:rPr>
          <w:rFonts w:hint="cs"/>
          <w:rtl/>
        </w:rPr>
        <w:t xml:space="preserve"> مما يقــــــــــــــــــــال ولا حقيقة تحته</w:t>
      </w:r>
      <w:r w:rsidR="000636C2">
        <w:rPr>
          <w:rFonts w:hint="cs"/>
          <w:rtl/>
        </w:rPr>
        <w:t xml:space="preserve"> </w:t>
      </w:r>
      <w:r w:rsidRPr="005675B2">
        <w:rPr>
          <w:rFonts w:hint="cs"/>
          <w:rtl/>
        </w:rPr>
        <w:t>معــــــــــــــــقولة تدنوا إلى الأفهام ... الكسب عند الأشعري</w:t>
      </w:r>
      <w:r w:rsidR="000636C2">
        <w:rPr>
          <w:rFonts w:hint="cs"/>
          <w:rtl/>
        </w:rPr>
        <w:t>،</w:t>
      </w:r>
      <w:r w:rsidRPr="005675B2">
        <w:rPr>
          <w:rFonts w:hint="cs"/>
          <w:rtl/>
        </w:rPr>
        <w:t xml:space="preserve"> والحال</w:t>
      </w:r>
      <w:r w:rsidR="000636C2">
        <w:rPr>
          <w:rFonts w:hint="cs"/>
          <w:rtl/>
        </w:rPr>
        <w:t xml:space="preserve"> </w:t>
      </w:r>
      <w:r w:rsidRPr="005675B2">
        <w:rPr>
          <w:rFonts w:hint="cs"/>
          <w:rtl/>
        </w:rPr>
        <w:t>عند البهشمي</w:t>
      </w:r>
      <w:r w:rsidR="000636C2">
        <w:rPr>
          <w:rFonts w:hint="cs"/>
          <w:rtl/>
        </w:rPr>
        <w:t>،</w:t>
      </w:r>
      <w:r w:rsidRPr="005675B2">
        <w:rPr>
          <w:rFonts w:hint="cs"/>
          <w:rtl/>
        </w:rPr>
        <w:t xml:space="preserve"> وطفرة النظام</w:t>
      </w:r>
      <w:r w:rsidR="000636C2">
        <w:rPr>
          <w:rFonts w:hint="cs"/>
          <w:rtl/>
        </w:rPr>
        <w:t>،</w:t>
      </w:r>
      <w:r w:rsidRPr="005675B2">
        <w:rPr>
          <w:rFonts w:hint="cs"/>
          <w:rtl/>
        </w:rPr>
        <w:t xml:space="preserve"> ولهذا قال الرازي الذي عجز</w:t>
      </w:r>
      <w:r w:rsidRPr="005675B2">
        <w:rPr>
          <w:rFonts w:hint="cs"/>
        </w:rPr>
        <w:t xml:space="preserve"> </w:t>
      </w:r>
      <w:r w:rsidRPr="005675B2">
        <w:rPr>
          <w:rFonts w:hint="cs"/>
          <w:rtl/>
        </w:rPr>
        <w:t>هو الآخر عن فهمها</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إن الإنسان مجبور في صورة مختار</w:t>
      </w:r>
      <w:r w:rsidRPr="005675B2">
        <w:rPr>
          <w:rFonts w:hint="cs"/>
        </w:rPr>
        <w:t xml:space="preserve"> </w:t>
      </w:r>
      <w:r w:rsidRPr="005675B2">
        <w:rPr>
          <w:rFonts w:hint="cs"/>
          <w:rtl/>
        </w:rPr>
        <w:t>"</w:t>
      </w:r>
      <w:r w:rsidR="000636C2">
        <w:rPr>
          <w:rFonts w:hint="cs"/>
          <w:rtl/>
        </w:rPr>
        <w:t>،</w:t>
      </w:r>
      <w:r w:rsidRPr="005675B2">
        <w:rPr>
          <w:rFonts w:hint="cs"/>
          <w:rtl/>
        </w:rPr>
        <w:t xml:space="preserve"> </w:t>
      </w:r>
    </w:p>
    <w:p w14:paraId="6897DEB8" w14:textId="375E3C0C" w:rsidR="009C32A0" w:rsidRPr="005675B2" w:rsidRDefault="009C32A0" w:rsidP="000636C2">
      <w:pPr>
        <w:rPr>
          <w:b/>
          <w:rtl/>
        </w:rPr>
      </w:pPr>
      <w:r w:rsidRPr="005675B2">
        <w:rPr>
          <w:rFonts w:hint="cs"/>
          <w:rtl/>
        </w:rPr>
        <w:t>وقال الحوالي في إيضاح</w:t>
      </w:r>
      <w:r w:rsidR="000636C2">
        <w:rPr>
          <w:rFonts w:hint="cs"/>
          <w:rtl/>
        </w:rPr>
        <w:t xml:space="preserve"> </w:t>
      </w:r>
      <w:r w:rsidRPr="005675B2">
        <w:rPr>
          <w:rFonts w:hint="cs"/>
          <w:rtl/>
        </w:rPr>
        <w:t>شرح الطحاوية</w:t>
      </w:r>
      <w:r w:rsidR="000636C2">
        <w:rPr>
          <w:rFonts w:hint="cs"/>
          <w:rtl/>
        </w:rPr>
        <w:t>:</w:t>
      </w:r>
      <w:r w:rsidRPr="005675B2">
        <w:rPr>
          <w:rFonts w:hint="cs"/>
          <w:rtl/>
        </w:rPr>
        <w:t xml:space="preserve"> ولكن ورث </w:t>
      </w:r>
      <w:bookmarkStart w:id="66" w:name="alam1000020"/>
      <w:r w:rsidRPr="005675B2">
        <w:rPr>
          <w:rFonts w:hint="cs"/>
          <w:bCs/>
          <w:rtl/>
        </w:rPr>
        <w:t>الجهم</w:t>
      </w:r>
      <w:bookmarkEnd w:id="66"/>
      <w:r w:rsidRPr="005675B2">
        <w:rPr>
          <w:rFonts w:hint="cs"/>
          <w:rtl/>
        </w:rPr>
        <w:t xml:space="preserve"> في مسألة الجبر </w:t>
      </w:r>
      <w:bookmarkStart w:id="67" w:name="alam1000024"/>
      <w:r w:rsidRPr="005675B2">
        <w:rPr>
          <w:rFonts w:hint="cs"/>
          <w:bCs/>
          <w:rtl/>
        </w:rPr>
        <w:t>أبو الحسن الأشعري</w:t>
      </w:r>
      <w:bookmarkEnd w:id="67"/>
      <w:r w:rsidRPr="005675B2">
        <w:rPr>
          <w:rFonts w:hint="cs"/>
          <w:rtl/>
        </w:rPr>
        <w:t xml:space="preserve"> الذي جَاءَ بنظرية الكسب وطلابه إِلَى الآن عَلَى ذلك، وهم أنفسهم عاجزون عن إيضاح هذه النظرية.. أ هـ</w:t>
      </w:r>
      <w:r w:rsidR="000636C2">
        <w:rPr>
          <w:rFonts w:hint="cs"/>
          <w:rtl/>
        </w:rPr>
        <w:t>،</w:t>
      </w:r>
      <w:r w:rsidRPr="005675B2">
        <w:rPr>
          <w:rFonts w:hint="cs"/>
          <w:rtl/>
        </w:rPr>
        <w:t xml:space="preserve"> هكذا قال</w:t>
      </w:r>
      <w:r w:rsidR="000636C2">
        <w:rPr>
          <w:rFonts w:hint="cs"/>
          <w:rtl/>
        </w:rPr>
        <w:t>!</w:t>
      </w:r>
      <w:r w:rsidRPr="005675B2">
        <w:rPr>
          <w:rFonts w:hint="cs"/>
          <w:rtl/>
        </w:rPr>
        <w:t>!</w:t>
      </w:r>
      <w:r w:rsidR="000636C2">
        <w:rPr>
          <w:rFonts w:hint="cs"/>
          <w:rtl/>
        </w:rPr>
        <w:t>!</w:t>
      </w:r>
      <w:r w:rsidRPr="005675B2">
        <w:rPr>
          <w:rFonts w:hint="cs"/>
          <w:rtl/>
        </w:rPr>
        <w:t>!</w:t>
      </w:r>
      <w:r w:rsidR="000636C2">
        <w:rPr>
          <w:rFonts w:hint="cs"/>
          <w:rtl/>
        </w:rPr>
        <w:t>!</w:t>
      </w:r>
    </w:p>
    <w:p w14:paraId="254824E4" w14:textId="6C81B29E"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w:t>
      </w:r>
      <w:r>
        <w:rPr>
          <w:rFonts w:hint="cs"/>
          <w:rtl/>
        </w:rPr>
        <w:t>(</w:t>
      </w:r>
      <w:r w:rsidR="009C32A0">
        <w:rPr>
          <w:rFonts w:hint="cs"/>
          <w:rtl/>
        </w:rPr>
        <w:t>أولا</w:t>
      </w:r>
      <w:r>
        <w:rPr>
          <w:rFonts w:hint="cs"/>
          <w:rtl/>
        </w:rPr>
        <w:t>):</w:t>
      </w:r>
      <w:r w:rsidR="009C32A0" w:rsidRPr="005675B2">
        <w:rPr>
          <w:rFonts w:hint="cs"/>
          <w:rtl/>
        </w:rPr>
        <w:t xml:space="preserve"> الكسب لم يأت به الإمام الأشعري ولا غيره</w:t>
      </w:r>
      <w:r>
        <w:rPr>
          <w:rFonts w:hint="cs"/>
          <w:rtl/>
        </w:rPr>
        <w:t>:</w:t>
      </w:r>
      <w:r w:rsidR="009C32A0" w:rsidRPr="005675B2">
        <w:rPr>
          <w:rFonts w:hint="cs"/>
          <w:rtl/>
        </w:rPr>
        <w:t xml:space="preserve"> بل هو المذكور في كتاب الله تعالى في آيات عديدة</w:t>
      </w:r>
      <w:r>
        <w:rPr>
          <w:rFonts w:hint="cs"/>
          <w:rtl/>
        </w:rPr>
        <w:t>،</w:t>
      </w:r>
      <w:r w:rsidR="009C32A0" w:rsidRPr="005675B2">
        <w:rPr>
          <w:rFonts w:hint="cs"/>
          <w:rtl/>
        </w:rPr>
        <w:t xml:space="preserve"> فما معنى الكسب</w:t>
      </w:r>
      <w:r>
        <w:rPr>
          <w:rFonts w:hint="cs"/>
          <w:rtl/>
        </w:rPr>
        <w:t>؟</w:t>
      </w:r>
      <w:r w:rsidR="009C32A0" w:rsidRPr="005675B2">
        <w:rPr>
          <w:rFonts w:hint="cs"/>
          <w:rtl/>
        </w:rPr>
        <w:t xml:space="preserve"> وما معنى مصطلح التأثير عند أهل العقيدة</w:t>
      </w:r>
      <w:r>
        <w:rPr>
          <w:rFonts w:hint="cs"/>
          <w:rtl/>
        </w:rPr>
        <w:t>؟</w:t>
      </w:r>
      <w:r w:rsidR="009C32A0" w:rsidRPr="005675B2">
        <w:rPr>
          <w:rFonts w:hint="cs"/>
          <w:rtl/>
        </w:rPr>
        <w:t xml:space="preserve"> الكسب</w:t>
      </w:r>
      <w:r>
        <w:rPr>
          <w:rFonts w:hint="cs"/>
          <w:rtl/>
        </w:rPr>
        <w:t>،</w:t>
      </w:r>
      <w:r w:rsidR="009C32A0" w:rsidRPr="005675B2">
        <w:rPr>
          <w:rFonts w:hint="cs"/>
          <w:rtl/>
        </w:rPr>
        <w:t>والسبب</w:t>
      </w:r>
      <w:r>
        <w:rPr>
          <w:rFonts w:hint="cs"/>
          <w:rtl/>
        </w:rPr>
        <w:t>،</w:t>
      </w:r>
      <w:r w:rsidR="009C32A0" w:rsidRPr="005675B2">
        <w:rPr>
          <w:rFonts w:hint="cs"/>
          <w:rtl/>
        </w:rPr>
        <w:t>والاختيار، والخلق، والجبر، ألفاظ</w:t>
      </w:r>
      <w:r>
        <w:rPr>
          <w:rFonts w:hint="cs"/>
          <w:rtl/>
        </w:rPr>
        <w:t xml:space="preserve"> </w:t>
      </w:r>
      <w:r w:rsidR="009C32A0" w:rsidRPr="005675B2">
        <w:rPr>
          <w:rFonts w:hint="cs"/>
          <w:rtl/>
        </w:rPr>
        <w:t>أطلقها الناس على فعل العبد الاختياري</w:t>
      </w:r>
      <w:r>
        <w:rPr>
          <w:rFonts w:hint="cs"/>
          <w:rtl/>
        </w:rPr>
        <w:t>،</w:t>
      </w:r>
      <w:r w:rsidR="009C32A0" w:rsidRPr="005675B2">
        <w:rPr>
          <w:rFonts w:hint="cs"/>
          <w:rtl/>
        </w:rPr>
        <w:t xml:space="preserve"> وقد اختار الأشاعرة لفظ الكسب لفعل العبد لأنه الوارد في القرآن الكريم قال تعالى (</w:t>
      </w:r>
      <w:r>
        <w:rPr>
          <w:rFonts w:hint="cs"/>
          <w:rtl/>
        </w:rPr>
        <w:t>(</w:t>
      </w:r>
      <w:r w:rsidR="009C32A0" w:rsidRPr="005675B2">
        <w:rPr>
          <w:rFonts w:hint="cs"/>
          <w:rtl/>
        </w:rPr>
        <w:t>بما كسبت أيدي الناس</w:t>
      </w:r>
      <w:r>
        <w:rPr>
          <w:rFonts w:hint="cs"/>
          <w:rtl/>
        </w:rPr>
        <w:t>)</w:t>
      </w:r>
      <w:r w:rsidR="009C32A0" w:rsidRPr="005675B2">
        <w:rPr>
          <w:rFonts w:hint="cs"/>
          <w:rtl/>
        </w:rPr>
        <w:t>) وقال تعالى (</w:t>
      </w:r>
      <w:r>
        <w:rPr>
          <w:rFonts w:hint="cs"/>
          <w:rtl/>
        </w:rPr>
        <w:t>(</w:t>
      </w:r>
      <w:r w:rsidR="009C32A0" w:rsidRPr="005675B2">
        <w:rPr>
          <w:rFonts w:hint="cs"/>
          <w:rtl/>
        </w:rPr>
        <w:t>ولكن يؤاخذكم بما كسبت قلوبكم</w:t>
      </w:r>
      <w:r>
        <w:rPr>
          <w:rFonts w:hint="cs"/>
          <w:rtl/>
        </w:rPr>
        <w:t>)</w:t>
      </w:r>
      <w:r w:rsidR="009C32A0" w:rsidRPr="005675B2">
        <w:rPr>
          <w:rFonts w:hint="cs"/>
          <w:rtl/>
        </w:rPr>
        <w:t>) ولذا فقد كان اللفظ الذي أطلقوه على الفعل هو الوارد في النصوص الشرعية</w:t>
      </w:r>
      <w:r>
        <w:rPr>
          <w:rFonts w:hint="cs"/>
          <w:rtl/>
        </w:rPr>
        <w:t>،</w:t>
      </w:r>
      <w:r w:rsidR="009C32A0" w:rsidRPr="005675B2">
        <w:rPr>
          <w:rFonts w:hint="cs"/>
          <w:rtl/>
        </w:rPr>
        <w:t xml:space="preserve"> لأن الكسب معناه</w:t>
      </w:r>
      <w:r>
        <w:rPr>
          <w:rFonts w:hint="cs"/>
          <w:rtl/>
        </w:rPr>
        <w:t>:</w:t>
      </w:r>
      <w:r w:rsidR="009C32A0" w:rsidRPr="005675B2">
        <w:rPr>
          <w:rFonts w:hint="cs"/>
          <w:rtl/>
        </w:rPr>
        <w:t xml:space="preserve"> قصد إلى الشيء مع الإنجاز</w:t>
      </w:r>
      <w:r>
        <w:rPr>
          <w:rFonts w:hint="cs"/>
          <w:rtl/>
        </w:rPr>
        <w:t>،</w:t>
      </w:r>
      <w:r w:rsidR="009C32A0" w:rsidRPr="005675B2">
        <w:rPr>
          <w:rFonts w:hint="cs"/>
          <w:rtl/>
        </w:rPr>
        <w:t xml:space="preserve"> فهما شيئان </w:t>
      </w:r>
      <w:r>
        <w:rPr>
          <w:rFonts w:hint="cs"/>
          <w:rtl/>
        </w:rPr>
        <w:t>(</w:t>
      </w:r>
      <w:r w:rsidR="009C32A0" w:rsidRPr="005675B2">
        <w:rPr>
          <w:rFonts w:hint="cs"/>
          <w:rtl/>
        </w:rPr>
        <w:t>1</w:t>
      </w:r>
      <w:r>
        <w:rPr>
          <w:rFonts w:hint="cs"/>
          <w:rtl/>
        </w:rPr>
        <w:t>)</w:t>
      </w:r>
      <w:r w:rsidR="009C32A0" w:rsidRPr="005675B2">
        <w:rPr>
          <w:rFonts w:hint="cs"/>
          <w:rtl/>
        </w:rPr>
        <w:t xml:space="preserve">قصد </w:t>
      </w:r>
      <w:r>
        <w:rPr>
          <w:rFonts w:hint="cs"/>
          <w:rtl/>
        </w:rPr>
        <w:t>،</w:t>
      </w:r>
      <w:r w:rsidR="009C32A0" w:rsidRPr="005675B2">
        <w:rPr>
          <w:rFonts w:hint="cs"/>
          <w:rtl/>
        </w:rPr>
        <w:t xml:space="preserve"> </w:t>
      </w:r>
      <w:r>
        <w:rPr>
          <w:rFonts w:hint="cs"/>
          <w:rtl/>
        </w:rPr>
        <w:t>(</w:t>
      </w:r>
      <w:r w:rsidR="009C32A0" w:rsidRPr="005675B2">
        <w:rPr>
          <w:rFonts w:hint="cs"/>
          <w:rtl/>
        </w:rPr>
        <w:t>2</w:t>
      </w:r>
      <w:r>
        <w:rPr>
          <w:rFonts w:hint="cs"/>
          <w:rtl/>
        </w:rPr>
        <w:t>)</w:t>
      </w:r>
      <w:r w:rsidR="009C32A0" w:rsidRPr="005675B2">
        <w:rPr>
          <w:rFonts w:hint="cs"/>
          <w:rtl/>
        </w:rPr>
        <w:t>وإنجاز</w:t>
      </w:r>
      <w:r>
        <w:rPr>
          <w:rFonts w:hint="cs"/>
          <w:rtl/>
        </w:rPr>
        <w:t>،</w:t>
      </w:r>
      <w:r w:rsidR="009C32A0" w:rsidRPr="005675B2">
        <w:rPr>
          <w:rFonts w:hint="cs"/>
          <w:rtl/>
        </w:rPr>
        <w:t xml:space="preserve"> </w:t>
      </w:r>
      <w:r>
        <w:rPr>
          <w:rFonts w:hint="cs"/>
          <w:rtl/>
        </w:rPr>
        <w:t>[</w:t>
      </w:r>
      <w:r w:rsidR="009C32A0" w:rsidRPr="005675B2">
        <w:rPr>
          <w:rFonts w:hint="cs"/>
          <w:bCs/>
          <w:sz w:val="24"/>
          <w:szCs w:val="24"/>
          <w:rtl/>
        </w:rPr>
        <w:t>الإنسان مسير أم مخير للبوطي ص62</w:t>
      </w:r>
      <w:r w:rsidR="009C32A0" w:rsidRPr="005675B2">
        <w:rPr>
          <w:rFonts w:hint="cs"/>
          <w:rtl/>
        </w:rPr>
        <w:t>]</w:t>
      </w:r>
      <w:r>
        <w:rPr>
          <w:rFonts w:hint="cs"/>
          <w:rtl/>
        </w:rPr>
        <w:t>،</w:t>
      </w:r>
      <w:r w:rsidR="009C32A0" w:rsidRPr="005675B2">
        <w:rPr>
          <w:rFonts w:hint="cs"/>
          <w:rtl/>
        </w:rPr>
        <w:t xml:space="preserve"> </w:t>
      </w:r>
    </w:p>
    <w:p w14:paraId="5BBC15D2" w14:textId="5BE337FC" w:rsidR="009C32A0" w:rsidRPr="005675B2" w:rsidRDefault="009C32A0" w:rsidP="000636C2">
      <w:pPr>
        <w:rPr>
          <w:b/>
          <w:u w:val="single"/>
          <w:rtl/>
        </w:rPr>
      </w:pPr>
      <w:r w:rsidRPr="005675B2">
        <w:rPr>
          <w:rFonts w:hint="cs"/>
          <w:rtl/>
        </w:rPr>
        <w:t>المسألة الثانية</w:t>
      </w:r>
      <w:r w:rsidR="000636C2">
        <w:rPr>
          <w:rFonts w:hint="cs"/>
          <w:rtl/>
        </w:rPr>
        <w:t>:</w:t>
      </w:r>
      <w:r w:rsidRPr="005675B2">
        <w:rPr>
          <w:rFonts w:hint="cs"/>
          <w:rtl/>
        </w:rPr>
        <w:t xml:space="preserve"> معنى التأثير عند العقائديين</w:t>
      </w:r>
      <w:r w:rsidR="000636C2">
        <w:rPr>
          <w:rFonts w:hint="cs"/>
          <w:rtl/>
        </w:rPr>
        <w:t>؟ (</w:t>
      </w:r>
      <w:r>
        <w:rPr>
          <w:rFonts w:hint="cs"/>
          <w:rtl/>
        </w:rPr>
        <w:t>أولا</w:t>
      </w:r>
      <w:r w:rsidR="000636C2">
        <w:rPr>
          <w:rFonts w:hint="cs"/>
          <w:rtl/>
        </w:rPr>
        <w:t>):</w:t>
      </w:r>
      <w:r w:rsidRPr="005675B2">
        <w:rPr>
          <w:rFonts w:hint="cs"/>
          <w:rtl/>
        </w:rPr>
        <w:t xml:space="preserve"> لابد أن نعلم أن الأشاعرة يذكرون</w:t>
      </w:r>
      <w:r w:rsidR="000636C2">
        <w:rPr>
          <w:rFonts w:hint="cs"/>
          <w:rtl/>
        </w:rPr>
        <w:t xml:space="preserve"> </w:t>
      </w:r>
      <w:r w:rsidRPr="005675B2">
        <w:rPr>
          <w:rFonts w:hint="cs"/>
          <w:rtl/>
        </w:rPr>
        <w:t xml:space="preserve">هذه المسألة تحت أصل من أصول العقيدة </w:t>
      </w:r>
      <w:r w:rsidRPr="005675B2">
        <w:rPr>
          <w:rFonts w:hint="cs"/>
          <w:u w:val="single"/>
          <w:rtl/>
        </w:rPr>
        <w:t>وهو استحالة وجود شريك</w:t>
      </w:r>
      <w:r w:rsidR="000636C2">
        <w:rPr>
          <w:rFonts w:hint="cs"/>
          <w:u w:val="single"/>
          <w:rtl/>
        </w:rPr>
        <w:t xml:space="preserve"> </w:t>
      </w:r>
      <w:r w:rsidRPr="005675B2">
        <w:rPr>
          <w:rFonts w:hint="cs"/>
          <w:u w:val="single"/>
          <w:rtl/>
        </w:rPr>
        <w:t>لله تعالى في أفعاله</w:t>
      </w:r>
      <w:r w:rsidR="000636C2">
        <w:rPr>
          <w:rFonts w:hint="cs"/>
          <w:u w:val="single"/>
          <w:rtl/>
        </w:rPr>
        <w:t>،</w:t>
      </w:r>
      <w:r w:rsidRPr="005675B2">
        <w:rPr>
          <w:rFonts w:hint="cs"/>
          <w:u w:val="single"/>
          <w:rtl/>
        </w:rPr>
        <w:t xml:space="preserve"> فأصل هذا المسألة هو فيما يتعلق بأفعال الله هل لله شريك في ذلك أم لا</w:t>
      </w:r>
      <w:r w:rsidR="000636C2">
        <w:rPr>
          <w:rFonts w:hint="cs"/>
          <w:u w:val="single"/>
          <w:rtl/>
        </w:rPr>
        <w:t>؟</w:t>
      </w:r>
      <w:r w:rsidRPr="005675B2">
        <w:rPr>
          <w:rFonts w:hint="cs"/>
          <w:u w:val="single"/>
          <w:rtl/>
        </w:rPr>
        <w:t xml:space="preserve"> ثم ما هو دور العبد في إيجاد فعله الاختياري</w:t>
      </w:r>
      <w:r w:rsidR="000636C2">
        <w:rPr>
          <w:rFonts w:hint="cs"/>
          <w:u w:val="single"/>
          <w:rtl/>
        </w:rPr>
        <w:t xml:space="preserve">؟ </w:t>
      </w:r>
      <w:r w:rsidRPr="005675B2">
        <w:rPr>
          <w:rFonts w:hint="cs"/>
          <w:rtl/>
        </w:rPr>
        <w:t>فأهل السنة والجماعة على أنه لا شريك لله في أفعاله</w:t>
      </w:r>
      <w:r w:rsidR="000636C2">
        <w:rPr>
          <w:rFonts w:hint="cs"/>
          <w:rtl/>
        </w:rPr>
        <w:t>،</w:t>
      </w:r>
      <w:r w:rsidRPr="005675B2">
        <w:rPr>
          <w:rFonts w:hint="cs"/>
          <w:rtl/>
        </w:rPr>
        <w:t xml:space="preserve"> وأن كل مخلوق في هذا العالم فالله خالقه</w:t>
      </w:r>
      <w:r w:rsidR="000636C2">
        <w:rPr>
          <w:rFonts w:hint="cs"/>
          <w:rtl/>
        </w:rPr>
        <w:t>،</w:t>
      </w:r>
      <w:r w:rsidRPr="005675B2">
        <w:rPr>
          <w:rFonts w:hint="cs"/>
          <w:rtl/>
        </w:rPr>
        <w:t xml:space="preserve"> </w:t>
      </w:r>
      <w:r w:rsidR="000636C2">
        <w:rPr>
          <w:rFonts w:hint="cs"/>
          <w:rtl/>
        </w:rPr>
        <w:t>(</w:t>
      </w:r>
      <w:r>
        <w:rPr>
          <w:rFonts w:hint="cs"/>
          <w:rtl/>
        </w:rPr>
        <w:t>ثانيا</w:t>
      </w:r>
      <w:r w:rsidR="000636C2">
        <w:rPr>
          <w:rFonts w:hint="cs"/>
          <w:rtl/>
        </w:rPr>
        <w:t xml:space="preserve">): </w:t>
      </w:r>
      <w:r w:rsidRPr="005675B2">
        <w:rPr>
          <w:rFonts w:hint="cs"/>
          <w:rtl/>
        </w:rPr>
        <w:t xml:space="preserve">التأثير مصطلح علمي اصطلح عليه علماء العقائد </w:t>
      </w:r>
      <w:r w:rsidRPr="005675B2">
        <w:rPr>
          <w:rFonts w:hint="cs"/>
          <w:u w:val="single"/>
          <w:rtl/>
        </w:rPr>
        <w:t>ومعناه مرادف لمعنى الخلق</w:t>
      </w:r>
      <w:r w:rsidR="000636C2">
        <w:rPr>
          <w:rFonts w:hint="cs"/>
          <w:u w:val="single"/>
          <w:rtl/>
        </w:rPr>
        <w:t>:</w:t>
      </w:r>
      <w:r w:rsidRPr="005675B2">
        <w:rPr>
          <w:rFonts w:hint="cs"/>
          <w:u w:val="single"/>
          <w:rtl/>
        </w:rPr>
        <w:t xml:space="preserve"> وهو كون السبب يوجد الأثر</w:t>
      </w:r>
      <w:r w:rsidR="000636C2">
        <w:rPr>
          <w:rFonts w:hint="cs"/>
          <w:u w:val="single"/>
          <w:rtl/>
        </w:rPr>
        <w:t xml:space="preserve"> </w:t>
      </w:r>
      <w:r w:rsidRPr="005675B2">
        <w:rPr>
          <w:rFonts w:hint="cs"/>
          <w:u w:val="single"/>
          <w:rtl/>
        </w:rPr>
        <w:t>من العدم إلى الوجود استقلالاً عن الله أو بقدرة أودعها الله فيه فيكون العبد واسطة في ذلك</w:t>
      </w:r>
      <w:r w:rsidR="000636C2">
        <w:rPr>
          <w:rFonts w:hint="cs"/>
          <w:u w:val="single"/>
          <w:rtl/>
        </w:rPr>
        <w:t>،</w:t>
      </w:r>
      <w:r w:rsidRPr="005675B2">
        <w:rPr>
          <w:rFonts w:hint="cs"/>
          <w:u w:val="single"/>
          <w:rtl/>
        </w:rPr>
        <w:t xml:space="preserve"> [</w:t>
      </w:r>
      <w:r w:rsidRPr="005675B2">
        <w:rPr>
          <w:rFonts w:hint="cs"/>
          <w:bCs/>
          <w:sz w:val="24"/>
          <w:szCs w:val="24"/>
          <w:rtl/>
        </w:rPr>
        <w:t>وهذا المعنى متفق عليه حتى عند ابن تيمية إلا أنه يزيد رأي أخر في معنى التأثير ليس عليه العلماء ويأتي ذكره ومناقشته]</w:t>
      </w:r>
      <w:r w:rsidRPr="005675B2">
        <w:rPr>
          <w:rFonts w:hint="cs"/>
          <w:rtl/>
        </w:rPr>
        <w:t xml:space="preserve"> فهو مرادف لمعنى الخلق</w:t>
      </w:r>
      <w:r w:rsidR="000636C2">
        <w:rPr>
          <w:rFonts w:hint="cs"/>
          <w:rtl/>
        </w:rPr>
        <w:t>،</w:t>
      </w:r>
      <w:r w:rsidRPr="005675B2">
        <w:rPr>
          <w:rFonts w:hint="cs"/>
          <w:rtl/>
        </w:rPr>
        <w:t xml:space="preserve"> فعند الأشاعرة وغيرهم من أهل السنة والجماعة أن الله هو</w:t>
      </w:r>
      <w:r w:rsidR="000636C2">
        <w:rPr>
          <w:rFonts w:hint="cs"/>
          <w:rtl/>
        </w:rPr>
        <w:t xml:space="preserve"> </w:t>
      </w:r>
      <w:r w:rsidRPr="005675B2">
        <w:rPr>
          <w:rFonts w:hint="cs"/>
          <w:rtl/>
        </w:rPr>
        <w:t>المنفرد بالخلق</w:t>
      </w:r>
      <w:r w:rsidR="000636C2">
        <w:rPr>
          <w:rFonts w:hint="cs"/>
          <w:rtl/>
        </w:rPr>
        <w:t>،</w:t>
      </w:r>
      <w:r w:rsidRPr="005675B2">
        <w:rPr>
          <w:rFonts w:hint="cs"/>
          <w:rtl/>
        </w:rPr>
        <w:t xml:space="preserve"> فمعنى قولهم أن العبد غير مؤثر بنفسه أي غير خالق لفعله</w:t>
      </w:r>
      <w:r w:rsidR="000636C2">
        <w:rPr>
          <w:rFonts w:hint="cs"/>
          <w:rtl/>
        </w:rPr>
        <w:t>،</w:t>
      </w:r>
      <w:r w:rsidRPr="005675B2">
        <w:rPr>
          <w:rFonts w:hint="cs"/>
          <w:rtl/>
        </w:rPr>
        <w:t>رداً على المعتزلة القائلين بأن العبد يخلق فعل نفسه الاختياري</w:t>
      </w:r>
      <w:r w:rsidR="000636C2">
        <w:rPr>
          <w:rFonts w:hint="cs"/>
          <w:rtl/>
        </w:rPr>
        <w:t>،</w:t>
      </w:r>
      <w:r w:rsidRPr="005675B2">
        <w:rPr>
          <w:rFonts w:hint="cs"/>
          <w:rtl/>
        </w:rPr>
        <w:t xml:space="preserve"> ولا يقصدون أن العبد لا يعمل بالأسباب كما يشاع عنهم</w:t>
      </w:r>
      <w:r w:rsidR="000636C2">
        <w:rPr>
          <w:rFonts w:hint="cs"/>
          <w:rtl/>
        </w:rPr>
        <w:t>،</w:t>
      </w:r>
    </w:p>
    <w:p w14:paraId="599DEEB5" w14:textId="6DD82412" w:rsidR="009C32A0" w:rsidRPr="005675B2" w:rsidRDefault="009C32A0" w:rsidP="000636C2">
      <w:pPr>
        <w:rPr>
          <w:b/>
          <w:rtl/>
        </w:rPr>
      </w:pPr>
      <w:r w:rsidRPr="005675B2">
        <w:rPr>
          <w:rFonts w:hint="cs"/>
          <w:rtl/>
        </w:rPr>
        <w:t>المسألة الثالثة</w:t>
      </w:r>
      <w:r w:rsidR="000636C2">
        <w:rPr>
          <w:rFonts w:hint="cs"/>
          <w:rtl/>
        </w:rPr>
        <w:t>:</w:t>
      </w:r>
      <w:r w:rsidRPr="005675B2">
        <w:rPr>
          <w:rFonts w:hint="cs"/>
          <w:rtl/>
        </w:rPr>
        <w:t xml:space="preserve"> وهي ماهو دور العبد في أفعاله الاختيارية</w:t>
      </w:r>
      <w:r w:rsidR="000636C2">
        <w:rPr>
          <w:rFonts w:hint="cs"/>
          <w:rtl/>
        </w:rPr>
        <w:t xml:space="preserve">؟ </w:t>
      </w:r>
      <w:r w:rsidRPr="005675B2">
        <w:rPr>
          <w:rFonts w:hint="cs"/>
          <w:rtl/>
        </w:rPr>
        <w:t>فجوابه</w:t>
      </w:r>
      <w:r w:rsidR="000636C2">
        <w:rPr>
          <w:rFonts w:hint="cs"/>
          <w:rtl/>
        </w:rPr>
        <w:t>:</w:t>
      </w:r>
      <w:r w:rsidRPr="005675B2">
        <w:rPr>
          <w:rFonts w:hint="cs"/>
          <w:rtl/>
        </w:rPr>
        <w:t xml:space="preserve"> أن أشهر الطرق في ذلك</w:t>
      </w:r>
      <w:r w:rsidR="000636C2">
        <w:rPr>
          <w:rFonts w:hint="cs"/>
          <w:rtl/>
        </w:rPr>
        <w:t xml:space="preserve"> </w:t>
      </w:r>
      <w:r w:rsidRPr="005675B2">
        <w:rPr>
          <w:rFonts w:hint="cs"/>
          <w:rtl/>
        </w:rPr>
        <w:t>مايلي</w:t>
      </w:r>
      <w:r w:rsidR="000636C2">
        <w:rPr>
          <w:rFonts w:hint="cs"/>
          <w:rtl/>
        </w:rPr>
        <w:t>:</w:t>
      </w:r>
      <w:r w:rsidRPr="005675B2">
        <w:rPr>
          <w:rFonts w:hint="cs"/>
          <w:rtl/>
        </w:rPr>
        <w:t xml:space="preserve"> </w:t>
      </w:r>
    </w:p>
    <w:p w14:paraId="1ADB724B" w14:textId="7F663199"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مذهب غلاة القدرية</w:t>
      </w:r>
      <w:r w:rsidR="000636C2">
        <w:rPr>
          <w:rFonts w:hint="cs"/>
          <w:rtl/>
        </w:rPr>
        <w:t>:</w:t>
      </w:r>
      <w:r w:rsidRPr="005675B2">
        <w:rPr>
          <w:rFonts w:hint="cs"/>
          <w:rtl/>
        </w:rPr>
        <w:t xml:space="preserve"> وهم أصحاب معبد الجهني </w:t>
      </w:r>
      <w:r w:rsidR="000636C2">
        <w:rPr>
          <w:rFonts w:hint="cs"/>
          <w:rtl/>
        </w:rPr>
        <w:t>(</w:t>
      </w:r>
      <w:r w:rsidRPr="005675B2">
        <w:rPr>
          <w:rFonts w:hint="cs"/>
          <w:rtl/>
        </w:rPr>
        <w:t>ت 80ه</w:t>
      </w:r>
      <w:r w:rsidR="000636C2">
        <w:rPr>
          <w:rFonts w:hint="cs"/>
          <w:rtl/>
        </w:rPr>
        <w:t xml:space="preserve"> </w:t>
      </w:r>
      <w:r w:rsidRPr="005675B2">
        <w:rPr>
          <w:rFonts w:hint="cs"/>
          <w:rtl/>
        </w:rPr>
        <w:t>-</w:t>
      </w:r>
      <w:r w:rsidR="000636C2">
        <w:rPr>
          <w:rFonts w:hint="cs"/>
          <w:rtl/>
        </w:rPr>
        <w:t>)</w:t>
      </w:r>
      <w:r w:rsidRPr="005675B2">
        <w:rPr>
          <w:rFonts w:hint="cs"/>
          <w:rtl/>
        </w:rPr>
        <w:t xml:space="preserve">، وغيلان الدمشقي </w:t>
      </w:r>
      <w:r w:rsidR="000636C2">
        <w:rPr>
          <w:rFonts w:hint="cs"/>
          <w:rtl/>
        </w:rPr>
        <w:t>(</w:t>
      </w:r>
      <w:r w:rsidRPr="005675B2">
        <w:rPr>
          <w:rFonts w:hint="cs"/>
          <w:rtl/>
        </w:rPr>
        <w:t>ت99</w:t>
      </w:r>
      <w:r w:rsidR="000636C2">
        <w:rPr>
          <w:rFonts w:hint="cs"/>
          <w:rtl/>
        </w:rPr>
        <w:t>)</w:t>
      </w:r>
      <w:r w:rsidRPr="005675B2">
        <w:rPr>
          <w:rFonts w:hint="cs"/>
          <w:rtl/>
        </w:rPr>
        <w:t>، وقد قالوا بالقدر الخالص وأنكروا علم الله تعالى الأزلي بأفعال العباد، وقالوا مقولتهم المشهورة المعروفة</w:t>
      </w:r>
      <w:r w:rsidR="000636C2">
        <w:rPr>
          <w:rFonts w:hint="cs"/>
          <w:rtl/>
        </w:rPr>
        <w:t>:</w:t>
      </w:r>
      <w:r w:rsidRPr="005675B2">
        <w:rPr>
          <w:rFonts w:hint="cs"/>
          <w:rtl/>
        </w:rPr>
        <w:t xml:space="preserve"> "لا قدر والأمر أُنُـف"، أي إن الله لا يعلم أفعال العباد إلا بعد حصولها، وبالتالي يستحيل أن يكون قد قدرها منذ الأزل</w:t>
      </w:r>
      <w:r w:rsidR="000636C2">
        <w:rPr>
          <w:rFonts w:hint="cs"/>
          <w:rtl/>
        </w:rPr>
        <w:t>،</w:t>
      </w:r>
      <w:r w:rsidRPr="005675B2">
        <w:rPr>
          <w:rFonts w:hint="cs"/>
          <w:rtl/>
        </w:rPr>
        <w:t xml:space="preserve"> وهذا المذهب مذهب مرذول مردود من قبل سائر الفرق الإسلامية، لأنه يعارض أموراً معلومة من الدين بالضرورة</w:t>
      </w:r>
      <w:r w:rsidR="000636C2">
        <w:rPr>
          <w:rFonts w:hint="cs"/>
          <w:rtl/>
        </w:rPr>
        <w:t>،</w:t>
      </w:r>
      <w:r w:rsidRPr="005675B2">
        <w:rPr>
          <w:rFonts w:hint="cs"/>
          <w:rtl/>
        </w:rPr>
        <w:t xml:space="preserve"> [</w:t>
      </w:r>
      <w:r w:rsidRPr="005675B2">
        <w:rPr>
          <w:rFonts w:hint="cs"/>
          <w:bCs/>
          <w:sz w:val="24"/>
          <w:szCs w:val="24"/>
          <w:rtl/>
        </w:rPr>
        <w:t>راجع الباب الثالث من كتاب الانتصار للأشاعرة للشيخ الفودة]</w:t>
      </w:r>
    </w:p>
    <w:p w14:paraId="6FBC673B" w14:textId="77925B36"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مذهب الفلاسفة</w:t>
      </w:r>
      <w:r w:rsidR="000636C2">
        <w:rPr>
          <w:rFonts w:hint="cs"/>
          <w:rtl/>
        </w:rPr>
        <w:t>:</w:t>
      </w:r>
      <w:r w:rsidRPr="005675B2">
        <w:rPr>
          <w:rFonts w:hint="cs"/>
          <w:rtl/>
        </w:rPr>
        <w:t xml:space="preserve"> أن فعل العبد يحصل بقدرة مؤثرة يخلقها الله في العبد</w:t>
      </w:r>
      <w:r w:rsidR="000636C2">
        <w:rPr>
          <w:rFonts w:hint="cs"/>
          <w:rtl/>
        </w:rPr>
        <w:t>،</w:t>
      </w:r>
      <w:r w:rsidRPr="005675B2">
        <w:rPr>
          <w:rFonts w:hint="cs"/>
          <w:rtl/>
        </w:rPr>
        <w:t xml:space="preserve"> وهذا باطل لأن الله غني عن عباده فليس بفقير إلى واسطة توجد الفعل بل (</w:t>
      </w:r>
      <w:r w:rsidR="000636C2">
        <w:rPr>
          <w:rFonts w:hint="cs"/>
          <w:rtl/>
        </w:rPr>
        <w:t>(</w:t>
      </w:r>
      <w:r w:rsidRPr="005675B2">
        <w:rPr>
          <w:rFonts w:hint="cs"/>
          <w:rtl/>
        </w:rPr>
        <w:t>إنما أمره إذا أراد شيئاً</w:t>
      </w:r>
      <w:r w:rsidR="000636C2">
        <w:rPr>
          <w:rFonts w:hint="cs"/>
          <w:rtl/>
        </w:rPr>
        <w:t xml:space="preserve"> </w:t>
      </w:r>
      <w:r w:rsidRPr="005675B2">
        <w:rPr>
          <w:rFonts w:hint="cs"/>
          <w:rtl/>
        </w:rPr>
        <w:t>أن يقول له كن فيكون</w:t>
      </w:r>
      <w:r w:rsidR="000636C2">
        <w:rPr>
          <w:rFonts w:hint="cs"/>
          <w:rtl/>
        </w:rPr>
        <w:t>)</w:t>
      </w:r>
      <w:r w:rsidRPr="005675B2">
        <w:rPr>
          <w:rFonts w:hint="cs"/>
          <w:rtl/>
        </w:rPr>
        <w:t>) فبطل كلام الفلاسفة وللأسف</w:t>
      </w:r>
      <w:r w:rsidR="000636C2">
        <w:rPr>
          <w:rFonts w:hint="cs"/>
          <w:rtl/>
        </w:rPr>
        <w:t xml:space="preserve"> </w:t>
      </w:r>
      <w:r w:rsidRPr="005675B2">
        <w:rPr>
          <w:rFonts w:hint="cs"/>
          <w:rtl/>
        </w:rPr>
        <w:t>فقد تبع الفلاسفة على هذا الاعتقاد الضال</w:t>
      </w:r>
      <w:r w:rsidR="000636C2">
        <w:rPr>
          <w:rFonts w:hint="cs"/>
          <w:rtl/>
        </w:rPr>
        <w:t xml:space="preserve"> </w:t>
      </w:r>
      <w:r w:rsidRPr="005675B2">
        <w:rPr>
          <w:rFonts w:hint="cs"/>
          <w:rtl/>
        </w:rPr>
        <w:t>بعض من</w:t>
      </w:r>
      <w:r w:rsidR="000636C2">
        <w:rPr>
          <w:rFonts w:hint="cs"/>
          <w:rtl/>
        </w:rPr>
        <w:t xml:space="preserve"> </w:t>
      </w:r>
      <w:r w:rsidRPr="005675B2">
        <w:rPr>
          <w:rFonts w:hint="cs"/>
          <w:rtl/>
        </w:rPr>
        <w:t>المسلمين فتأثير شيء من الكائنات بقوة جعلها الله تعالى فيه ممتنع شرعاً وعقلاً</w:t>
      </w:r>
      <w:r w:rsidR="000636C2">
        <w:rPr>
          <w:rFonts w:hint="cs"/>
          <w:rtl/>
        </w:rPr>
        <w:t>،</w:t>
      </w:r>
      <w:r w:rsidRPr="005675B2">
        <w:rPr>
          <w:rFonts w:hint="cs"/>
          <w:rtl/>
        </w:rPr>
        <w:t xml:space="preserve"> لأنه يصير حينئذ خالق الكون</w:t>
      </w:r>
      <w:r w:rsidR="000636C2">
        <w:rPr>
          <w:rFonts w:hint="cs"/>
          <w:rtl/>
        </w:rPr>
        <w:t xml:space="preserve"> </w:t>
      </w:r>
      <w:r w:rsidRPr="005675B2">
        <w:rPr>
          <w:rFonts w:hint="cs"/>
          <w:rtl/>
        </w:rPr>
        <w:t>محتاجاً في إيجاد بعض الأفعال إلى واسطة تلك القوة، وهذا باطل لما عرف من وجوب استغنائه جل وعز عن كل ما سواه</w:t>
      </w:r>
      <w:r w:rsidR="000636C2">
        <w:rPr>
          <w:rFonts w:hint="cs"/>
          <w:rtl/>
        </w:rPr>
        <w:t>،</w:t>
      </w:r>
      <w:r w:rsidRPr="005675B2">
        <w:rPr>
          <w:rFonts w:hint="cs"/>
          <w:rtl/>
        </w:rPr>
        <w:t xml:space="preserve"> (</w:t>
      </w:r>
      <w:r w:rsidR="000636C2">
        <w:rPr>
          <w:rFonts w:hint="cs"/>
          <w:rtl/>
        </w:rPr>
        <w:t>(</w:t>
      </w:r>
      <w:r w:rsidRPr="005675B2">
        <w:rPr>
          <w:rFonts w:hint="cs"/>
          <w:rtl/>
        </w:rPr>
        <w:t>وما تشاؤون إلا أن يشاء الله رب العالمين</w:t>
      </w:r>
      <w:r w:rsidR="000636C2">
        <w:rPr>
          <w:rFonts w:hint="cs"/>
          <w:rtl/>
        </w:rPr>
        <w:t>)</w:t>
      </w:r>
      <w:r w:rsidRPr="005675B2">
        <w:rPr>
          <w:rFonts w:hint="cs"/>
          <w:rtl/>
        </w:rPr>
        <w:t>)(</w:t>
      </w:r>
      <w:r w:rsidR="000636C2">
        <w:rPr>
          <w:rFonts w:hint="cs"/>
          <w:rtl/>
        </w:rPr>
        <w:t>(</w:t>
      </w:r>
      <w:r w:rsidRPr="005675B2">
        <w:rPr>
          <w:rFonts w:hint="cs"/>
          <w:rtl/>
        </w:rPr>
        <w:t>إنما أمره إذا أراد إذا أراد شيئاً أن يقول له كن فيكون</w:t>
      </w:r>
      <w:r w:rsidR="000636C2">
        <w:rPr>
          <w:rFonts w:hint="cs"/>
          <w:rtl/>
        </w:rPr>
        <w:t>)</w:t>
      </w:r>
      <w:r w:rsidRPr="005675B2">
        <w:rPr>
          <w:rFonts w:hint="cs"/>
          <w:rtl/>
        </w:rPr>
        <w:t>)</w:t>
      </w:r>
    </w:p>
    <w:p w14:paraId="29D14748" w14:textId="276D140C"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w:t>
      </w:r>
      <w:r w:rsidR="000636C2">
        <w:rPr>
          <w:rFonts w:hint="cs"/>
          <w:rtl/>
        </w:rPr>
        <w:t xml:space="preserve"> </w:t>
      </w:r>
      <w:r w:rsidRPr="005675B2">
        <w:rPr>
          <w:rFonts w:hint="cs"/>
          <w:rtl/>
        </w:rPr>
        <w:t>مذهب المعتزلة</w:t>
      </w:r>
      <w:r w:rsidR="000636C2">
        <w:rPr>
          <w:rFonts w:hint="cs"/>
          <w:rtl/>
        </w:rPr>
        <w:t>:</w:t>
      </w:r>
      <w:r w:rsidRPr="005675B2">
        <w:rPr>
          <w:rFonts w:hint="cs"/>
          <w:rtl/>
        </w:rPr>
        <w:t xml:space="preserve"> أن العبد هو المخترع لأفعاله الاختيارية التي خلقها الله تعالى له إما مباشرة</w:t>
      </w:r>
      <w:r w:rsidR="000636C2">
        <w:rPr>
          <w:rFonts w:hint="cs"/>
          <w:rtl/>
        </w:rPr>
        <w:t>،</w:t>
      </w:r>
      <w:r w:rsidRPr="005675B2">
        <w:rPr>
          <w:rFonts w:hint="cs"/>
          <w:rtl/>
        </w:rPr>
        <w:t xml:space="preserve"> وإما توليداً</w:t>
      </w:r>
      <w:r w:rsidR="000636C2">
        <w:rPr>
          <w:rFonts w:hint="cs"/>
          <w:rtl/>
        </w:rPr>
        <w:t>،</w:t>
      </w:r>
      <w:r w:rsidRPr="005675B2">
        <w:rPr>
          <w:rFonts w:hint="cs"/>
          <w:rtl/>
        </w:rPr>
        <w:t xml:space="preserve"> وليس فعل العبد عندهم فعلاً لله تعالى، مع أنه سبحانه هو الذي خلق له أسباب الفعل من قدرة ونحوها</w:t>
      </w:r>
      <w:r w:rsidR="000636C2">
        <w:rPr>
          <w:rFonts w:hint="cs"/>
          <w:rtl/>
        </w:rPr>
        <w:t>،</w:t>
      </w:r>
      <w:r w:rsidRPr="005675B2">
        <w:rPr>
          <w:rFonts w:hint="cs"/>
          <w:rtl/>
        </w:rPr>
        <w:t xml:space="preserve"> فحاصل مذهب المعتزلة أن الفعل ناتج فقط عن قدرة العبد وبلا تدخل من قدرة الله تعالى</w:t>
      </w:r>
      <w:r w:rsidR="000636C2">
        <w:rPr>
          <w:rFonts w:hint="cs"/>
          <w:rtl/>
        </w:rPr>
        <w:t>،</w:t>
      </w:r>
      <w:r w:rsidRPr="005675B2">
        <w:rPr>
          <w:rFonts w:hint="cs"/>
          <w:rtl/>
        </w:rPr>
        <w:t xml:space="preserve"> مع إقرارهم أن الله تعالى يعلم ما سوف يكون منذ الأزل، ومع هذا فإن أفعال العباد ليست مخلوقة لله تعالى بل هي مخلوقة للناس</w:t>
      </w:r>
      <w:r w:rsidR="000636C2">
        <w:rPr>
          <w:rFonts w:hint="cs"/>
          <w:rtl/>
        </w:rPr>
        <w:t>،</w:t>
      </w:r>
      <w:r w:rsidRPr="005675B2">
        <w:rPr>
          <w:rFonts w:hint="cs"/>
          <w:rtl/>
        </w:rPr>
        <w:t xml:space="preserve"> وهو باطل أيضاً لأنه لاخالق إلا الله</w:t>
      </w:r>
      <w:r w:rsidR="000636C2">
        <w:rPr>
          <w:rFonts w:hint="cs"/>
          <w:rtl/>
        </w:rPr>
        <w:t>،</w:t>
      </w:r>
      <w:r w:rsidRPr="005675B2">
        <w:rPr>
          <w:rFonts w:hint="cs"/>
          <w:rtl/>
        </w:rPr>
        <w:t xml:space="preserve"> فاتفق الفلاسفة والمعتزلة</w:t>
      </w:r>
      <w:r w:rsidR="000636C2">
        <w:rPr>
          <w:rFonts w:hint="cs"/>
          <w:rtl/>
        </w:rPr>
        <w:t xml:space="preserve"> </w:t>
      </w:r>
      <w:r w:rsidRPr="005675B2">
        <w:rPr>
          <w:rFonts w:hint="cs"/>
          <w:rtl/>
        </w:rPr>
        <w:t>أن العباد مستقلون بخلق أفعالهم الاختيارية بقدرتهم التي تحدث بخلق الله تعالى هذه القدرة لهم</w:t>
      </w:r>
      <w:r w:rsidR="000636C2">
        <w:rPr>
          <w:rFonts w:hint="cs"/>
          <w:rtl/>
        </w:rPr>
        <w:t>،</w:t>
      </w:r>
      <w:r w:rsidRPr="005675B2">
        <w:rPr>
          <w:rFonts w:hint="cs"/>
          <w:rtl/>
        </w:rPr>
        <w:t xml:space="preserve"> والفرق بين مذهب الفلاسفة والمعتزلة هو في كيفية حدوث تلك القدرة فالمعتزلة يقولون</w:t>
      </w:r>
      <w:r w:rsidR="000636C2">
        <w:rPr>
          <w:rFonts w:hint="cs"/>
          <w:rtl/>
        </w:rPr>
        <w:t>:</w:t>
      </w:r>
      <w:r w:rsidRPr="005675B2">
        <w:rPr>
          <w:rFonts w:hint="cs"/>
          <w:rtl/>
        </w:rPr>
        <w:t xml:space="preserve"> إن قدرة العبد حادثة باختيارالله وأما الفلاسفة فبطريق الإيجاب بالذات لاعتقادهم أن الله سبحانه لا يفعل باختياره، تعالى الله عما يقولون</w:t>
      </w:r>
      <w:r w:rsidR="000636C2">
        <w:rPr>
          <w:rFonts w:hint="cs"/>
          <w:rtl/>
        </w:rPr>
        <w:t xml:space="preserve">، </w:t>
      </w:r>
      <w:r w:rsidRPr="005675B2">
        <w:rPr>
          <w:rFonts w:hint="cs"/>
          <w:rtl/>
        </w:rPr>
        <w:t>[</w:t>
      </w:r>
      <w:r w:rsidRPr="005675B2">
        <w:rPr>
          <w:rFonts w:hint="cs"/>
          <w:bCs/>
          <w:sz w:val="24"/>
          <w:szCs w:val="24"/>
          <w:rtl/>
        </w:rPr>
        <w:t>المسامرة شرح المسايرة 111</w:t>
      </w:r>
      <w:r w:rsidRPr="005675B2">
        <w:rPr>
          <w:rFonts w:hint="cs"/>
          <w:rtl/>
        </w:rPr>
        <w:t>]</w:t>
      </w:r>
    </w:p>
    <w:p w14:paraId="5CA870F1" w14:textId="4EB7E8FE"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زعمت الجبرية أنه لا فعل للعبد أصلاً وأن حركاته بمنزلة حركات الجمادات لا قدرة للعبد عليها ولا قصد ولا اختيار"</w:t>
      </w:r>
      <w:r w:rsidR="000636C2">
        <w:rPr>
          <w:rFonts w:hint="cs"/>
          <w:rtl/>
        </w:rPr>
        <w:t>،</w:t>
      </w:r>
      <w:r w:rsidRPr="005675B2">
        <w:rPr>
          <w:rFonts w:hint="cs"/>
          <w:rtl/>
        </w:rPr>
        <w:t xml:space="preserve"> ومذهب الجبرية باطل بالضرورة للفرق الواضح بين حركتي المرتعش والمختار، والساقط من السلم والنازل باختياره، فقولهم واضح</w:t>
      </w:r>
      <w:r w:rsidR="000636C2">
        <w:rPr>
          <w:rFonts w:hint="cs"/>
          <w:rtl/>
        </w:rPr>
        <w:t xml:space="preserve"> </w:t>
      </w:r>
      <w:r w:rsidRPr="005675B2">
        <w:rPr>
          <w:rFonts w:hint="cs"/>
          <w:rtl/>
        </w:rPr>
        <w:t>البطلان</w:t>
      </w:r>
      <w:r w:rsidR="000636C2">
        <w:rPr>
          <w:rFonts w:hint="cs"/>
          <w:rtl/>
        </w:rPr>
        <w:t>،</w:t>
      </w:r>
    </w:p>
    <w:p w14:paraId="4501BAF2" w14:textId="6FD0687C"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مذهب أبي الحسين البصري المعتزلي</w:t>
      </w:r>
      <w:r w:rsidR="000636C2">
        <w:rPr>
          <w:rFonts w:hint="cs"/>
          <w:rtl/>
        </w:rPr>
        <w:t xml:space="preserve"> </w:t>
      </w:r>
      <w:r w:rsidRPr="005675B2">
        <w:rPr>
          <w:rFonts w:hint="cs"/>
          <w:rtl/>
        </w:rPr>
        <w:t>والإمام الرازي و الإمام ابن تيمية</w:t>
      </w:r>
      <w:r w:rsidR="000636C2">
        <w:rPr>
          <w:rFonts w:hint="cs"/>
          <w:rtl/>
        </w:rPr>
        <w:t>،</w:t>
      </w:r>
      <w:r w:rsidRPr="005675B2">
        <w:rPr>
          <w:rFonts w:hint="cs"/>
          <w:rtl/>
        </w:rPr>
        <w:t xml:space="preserve"> يقول الرازي</w:t>
      </w:r>
      <w:r w:rsidR="000636C2">
        <w:rPr>
          <w:rFonts w:hint="cs"/>
          <w:rtl/>
        </w:rPr>
        <w:t>:</w:t>
      </w:r>
      <w:r w:rsidRPr="005675B2">
        <w:rPr>
          <w:rFonts w:hint="cs"/>
          <w:rtl/>
        </w:rPr>
        <w:t>هو أن مجموع القدرة مع الداعي مستلزم الفعل الذي يكون بحال متى اتصف بالقدرة والإرادة الجازمة</w:t>
      </w:r>
      <w:r w:rsidR="000636C2">
        <w:rPr>
          <w:rFonts w:hint="cs"/>
          <w:rtl/>
        </w:rPr>
        <w:t>،</w:t>
      </w:r>
      <w:r w:rsidRPr="005675B2">
        <w:rPr>
          <w:rFonts w:hint="cs"/>
          <w:rtl/>
        </w:rPr>
        <w:t xml:space="preserve"> وارتفعت الموانع فإنه يجب الفعل</w:t>
      </w:r>
      <w:r w:rsidR="000636C2">
        <w:rPr>
          <w:rFonts w:hint="cs"/>
          <w:rtl/>
        </w:rPr>
        <w:t>،</w:t>
      </w:r>
      <w:r w:rsidRPr="005675B2">
        <w:rPr>
          <w:rFonts w:hint="cs"/>
          <w:rtl/>
        </w:rPr>
        <w:t xml:space="preserve"> [</w:t>
      </w:r>
      <w:r w:rsidRPr="005675B2">
        <w:rPr>
          <w:rFonts w:hint="cs"/>
          <w:bCs/>
          <w:sz w:val="24"/>
          <w:szCs w:val="24"/>
          <w:rtl/>
        </w:rPr>
        <w:t>القضاء والقدر للإمام الرازي 258 تحقيق محمد البغدادي ط دار الكتاب العربي</w:t>
      </w:r>
      <w:r w:rsidRPr="005675B2">
        <w:rPr>
          <w:rFonts w:hint="cs"/>
          <w:rtl/>
        </w:rPr>
        <w:t>] وقال ابن تيمية</w:t>
      </w:r>
      <w:r w:rsidR="000636C2">
        <w:rPr>
          <w:rFonts w:hint="cs"/>
          <w:rtl/>
        </w:rPr>
        <w:t>:</w:t>
      </w:r>
      <w:r w:rsidRPr="005675B2">
        <w:rPr>
          <w:rFonts w:hint="cs"/>
          <w:rtl/>
        </w:rPr>
        <w:t xml:space="preserve"> فقدرة العبد سبب من الأسباب</w:t>
      </w:r>
      <w:r w:rsidR="000636C2">
        <w:rPr>
          <w:rFonts w:hint="cs"/>
          <w:rtl/>
        </w:rPr>
        <w:t>،</w:t>
      </w:r>
      <w:r w:rsidRPr="005675B2">
        <w:rPr>
          <w:rFonts w:hint="cs"/>
          <w:rtl/>
        </w:rPr>
        <w:t>وفعل العبد لا يكون بها وحدها، بل لابد من الإرادة الجازمة مع القدرة</w:t>
      </w:r>
      <w:r w:rsidR="000636C2">
        <w:rPr>
          <w:rFonts w:hint="cs"/>
          <w:rtl/>
        </w:rPr>
        <w:t>،</w:t>
      </w:r>
      <w:r w:rsidRPr="005675B2">
        <w:rPr>
          <w:rFonts w:hint="cs"/>
          <w:rtl/>
        </w:rPr>
        <w:t>وإذا أريد بالقدرة القوة القائمة بالإنسان فلابد من إزالة الموانع</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مجموع الفتاوى 8/487</w:t>
      </w:r>
      <w:r w:rsidRPr="005675B2">
        <w:rPr>
          <w:rFonts w:hint="cs"/>
          <w:rtl/>
        </w:rPr>
        <w:t>]</w:t>
      </w:r>
      <w:r w:rsidR="000636C2">
        <w:rPr>
          <w:rFonts w:hint="cs"/>
          <w:rtl/>
        </w:rPr>
        <w:t xml:space="preserve">، </w:t>
      </w:r>
      <w:r w:rsidRPr="005675B2">
        <w:rPr>
          <w:rFonts w:hint="cs"/>
          <w:rtl/>
        </w:rPr>
        <w:t>فعندهم أن فعل العبد لابد له من</w:t>
      </w:r>
      <w:r w:rsidR="000636C2">
        <w:rPr>
          <w:rFonts w:hint="cs"/>
          <w:rtl/>
        </w:rPr>
        <w:t>:</w:t>
      </w:r>
      <w:r w:rsidRPr="005675B2">
        <w:rPr>
          <w:rFonts w:hint="cs"/>
          <w:rtl/>
        </w:rPr>
        <w:t xml:space="preserve"> قدرة +إرادة جازمة +انتفاء الموانع = وجود الفعل</w:t>
      </w:r>
      <w:r w:rsidR="000636C2">
        <w:rPr>
          <w:rFonts w:hint="cs"/>
          <w:rtl/>
        </w:rPr>
        <w:t>،</w:t>
      </w:r>
    </w:p>
    <w:p w14:paraId="6E6DB73E" w14:textId="1DB291CE" w:rsidR="009C32A0" w:rsidRPr="005675B2" w:rsidRDefault="009C32A0" w:rsidP="000636C2">
      <w:pPr>
        <w:rPr>
          <w:b/>
          <w:rtl/>
        </w:rPr>
      </w:pPr>
      <w:r w:rsidRPr="005675B2">
        <w:rPr>
          <w:rFonts w:hint="cs"/>
          <w:rtl/>
        </w:rPr>
        <w:t xml:space="preserve">6 - </w:t>
      </w:r>
      <w:r w:rsidRPr="005675B2">
        <w:rPr>
          <w:rFonts w:hint="cs"/>
          <w:u w:val="single"/>
          <w:rtl/>
        </w:rPr>
        <w:t>أن فعل العبد واقع عند الأشاعرة وغيرهم من</w:t>
      </w:r>
      <w:r w:rsidR="000636C2">
        <w:rPr>
          <w:rFonts w:hint="cs"/>
          <w:u w:val="single"/>
          <w:rtl/>
        </w:rPr>
        <w:t xml:space="preserve"> </w:t>
      </w:r>
      <w:r w:rsidRPr="005675B2">
        <w:rPr>
          <w:rFonts w:hint="cs"/>
          <w:u w:val="single"/>
          <w:rtl/>
        </w:rPr>
        <w:t>أهل السنة</w:t>
      </w:r>
      <w:r w:rsidR="000636C2">
        <w:rPr>
          <w:rFonts w:hint="cs"/>
          <w:u w:val="single"/>
          <w:rtl/>
        </w:rPr>
        <w:t xml:space="preserve"> </w:t>
      </w:r>
      <w:r w:rsidRPr="005675B2">
        <w:rPr>
          <w:rFonts w:hint="cs"/>
          <w:u w:val="single"/>
          <w:rtl/>
        </w:rPr>
        <w:t>بقدرة الله تعالى وحدها</w:t>
      </w:r>
      <w:r w:rsidRPr="005675B2">
        <w:rPr>
          <w:rFonts w:hint="cs"/>
          <w:rtl/>
        </w:rPr>
        <w:t>، و يوجدقدرة للعبد مقارنة للفعل لكن بلا تأثير</w:t>
      </w:r>
      <w:r w:rsidR="000636C2">
        <w:rPr>
          <w:rFonts w:hint="cs"/>
          <w:rtl/>
        </w:rPr>
        <w:t>،</w:t>
      </w:r>
      <w:r w:rsidRPr="005675B2">
        <w:rPr>
          <w:rFonts w:hint="cs"/>
          <w:rtl/>
        </w:rPr>
        <w:t xml:space="preserve"> ومعنى بلا تأثير أي ليس العبد خالق للفعل</w:t>
      </w:r>
      <w:r w:rsidR="000636C2">
        <w:rPr>
          <w:rFonts w:hint="cs"/>
          <w:rtl/>
        </w:rPr>
        <w:t>،</w:t>
      </w:r>
      <w:r w:rsidRPr="005675B2">
        <w:rPr>
          <w:rFonts w:hint="cs"/>
          <w:rtl/>
        </w:rPr>
        <w:t xml:space="preserve"> وهناك أدلة فمن الكتاب قوله تعالى</w:t>
      </w:r>
      <w:r w:rsidR="000636C2">
        <w:rPr>
          <w:rFonts w:hint="cs"/>
          <w:rtl/>
        </w:rPr>
        <w:t>:</w:t>
      </w:r>
      <w:r w:rsidRPr="005675B2">
        <w:rPr>
          <w:rFonts w:hint="cs"/>
          <w:rtl/>
        </w:rPr>
        <w:t xml:space="preserve"> </w:t>
      </w:r>
      <w:r w:rsidR="000636C2">
        <w:rPr>
          <w:rFonts w:hint="cs"/>
          <w:rtl/>
        </w:rPr>
        <w:t>{</w:t>
      </w:r>
      <w:r w:rsidRPr="005675B2">
        <w:rPr>
          <w:rFonts w:hint="cs"/>
          <w:rtl/>
        </w:rPr>
        <w:t>إنا كل شيء خلقناه بقدر</w:t>
      </w:r>
      <w:r w:rsidR="000636C2">
        <w:rPr>
          <w:rFonts w:hint="cs"/>
          <w:rtl/>
        </w:rPr>
        <w:t xml:space="preserve">}، </w:t>
      </w:r>
      <w:r w:rsidRPr="005675B2">
        <w:rPr>
          <w:rFonts w:hint="cs"/>
          <w:rtl/>
        </w:rPr>
        <w:t>وقوله تعالى</w:t>
      </w:r>
      <w:r w:rsidR="000636C2">
        <w:rPr>
          <w:rFonts w:hint="cs"/>
          <w:rtl/>
        </w:rPr>
        <w:t>:</w:t>
      </w:r>
      <w:r w:rsidRPr="005675B2">
        <w:rPr>
          <w:rFonts w:hint="cs"/>
          <w:rtl/>
        </w:rPr>
        <w:t xml:space="preserve"> </w:t>
      </w:r>
      <w:r w:rsidR="000636C2">
        <w:rPr>
          <w:rFonts w:hint="cs"/>
          <w:rtl/>
        </w:rPr>
        <w:t>{</w:t>
      </w:r>
      <w:r w:rsidRPr="005675B2">
        <w:rPr>
          <w:rFonts w:hint="cs"/>
          <w:rtl/>
        </w:rPr>
        <w:t xml:space="preserve">والله خلقكم </w:t>
      </w:r>
      <w:r w:rsidRPr="005675B2">
        <w:rPr>
          <w:rFonts w:hint="cs"/>
          <w:u w:val="single"/>
          <w:rtl/>
        </w:rPr>
        <w:t>وما تعملون</w:t>
      </w:r>
      <w:r w:rsidR="000636C2">
        <w:rPr>
          <w:rFonts w:hint="cs"/>
          <w:rtl/>
        </w:rPr>
        <w:t xml:space="preserve">}، </w:t>
      </w:r>
      <w:r w:rsidRPr="005675B2">
        <w:rPr>
          <w:rFonts w:hint="cs"/>
          <w:rtl/>
        </w:rPr>
        <w:t xml:space="preserve">وقوله </w:t>
      </w:r>
      <w:r w:rsidR="000636C2">
        <w:rPr>
          <w:rFonts w:hint="cs"/>
          <w:rtl/>
        </w:rPr>
        <w:t>{</w:t>
      </w:r>
      <w:r w:rsidRPr="005675B2">
        <w:rPr>
          <w:rFonts w:hint="cs"/>
          <w:rtl/>
        </w:rPr>
        <w:t>الله خالق كل شيء</w:t>
      </w:r>
      <w:r w:rsidR="000636C2">
        <w:rPr>
          <w:rFonts w:hint="cs"/>
          <w:rtl/>
        </w:rPr>
        <w:t>}،،</w:t>
      </w:r>
      <w:r w:rsidRPr="005675B2">
        <w:rPr>
          <w:rFonts w:hint="cs"/>
          <w:rtl/>
        </w:rPr>
        <w:t xml:space="preserve"> ومن السنة</w:t>
      </w:r>
      <w:r w:rsidR="000636C2">
        <w:rPr>
          <w:rFonts w:hint="cs"/>
          <w:rtl/>
        </w:rPr>
        <w:t>:</w:t>
      </w:r>
      <w:r w:rsidRPr="005675B2">
        <w:rPr>
          <w:rFonts w:hint="cs"/>
          <w:rtl/>
        </w:rPr>
        <w:t xml:space="preserve"> (</w:t>
      </w:r>
      <w:r w:rsidR="000636C2">
        <w:rPr>
          <w:rFonts w:hint="cs"/>
          <w:rtl/>
        </w:rPr>
        <w:t>(</w:t>
      </w:r>
      <w:r w:rsidRPr="005675B2">
        <w:rPr>
          <w:rFonts w:hint="cs"/>
          <w:rtl/>
        </w:rPr>
        <w:t>إن الله صانع كل صانع وصنعته</w:t>
      </w:r>
      <w:r w:rsidR="000636C2">
        <w:rPr>
          <w:rFonts w:hint="cs"/>
          <w:rtl/>
        </w:rPr>
        <w:t>)</w:t>
      </w:r>
      <w:r w:rsidRPr="005675B2">
        <w:rPr>
          <w:rFonts w:hint="cs"/>
          <w:rtl/>
        </w:rPr>
        <w:t>)</w:t>
      </w:r>
      <w:r w:rsidR="000636C2">
        <w:rPr>
          <w:rFonts w:hint="cs"/>
          <w:rtl/>
        </w:rPr>
        <w:t>،</w:t>
      </w:r>
      <w:r w:rsidRPr="005675B2">
        <w:rPr>
          <w:rFonts w:hint="cs"/>
          <w:rtl/>
        </w:rPr>
        <w:t xml:space="preserve"> أخرجه البخاري في خلق أفعال العباد، والحاكم، والبيهقي في الأسماء عن حذيفة</w:t>
      </w:r>
      <w:r w:rsidR="000636C2">
        <w:rPr>
          <w:rFonts w:hint="cs"/>
          <w:rtl/>
        </w:rPr>
        <w:t>،</w:t>
      </w:r>
      <w:r w:rsidRPr="005675B2">
        <w:rPr>
          <w:rFonts w:hint="cs"/>
          <w:rtl/>
        </w:rPr>
        <w:t xml:space="preserve"> ودل على قول أهل السنة أيضاً إجماع السلف قبل ظهور أهل البدع، على أن الله تعالى هو الخالق بالاختيار لكل</w:t>
      </w:r>
      <w:r w:rsidR="000636C2">
        <w:rPr>
          <w:rFonts w:hint="cs"/>
          <w:rtl/>
        </w:rPr>
        <w:t xml:space="preserve"> </w:t>
      </w:r>
      <w:r w:rsidRPr="005675B2">
        <w:rPr>
          <w:rFonts w:hint="cs"/>
          <w:rtl/>
        </w:rPr>
        <w:t>ممكن يبرز للوجود، ذاتاً كان أو قولاً لها أو فعلاً لا يشاركه تعالى في ملك جميع الممكنات واختراعها شيء أي شيء كان، وأن التأثير وإيجاد الممكنات خاصة من خواص الله تعالى يستحيل أن يشاركه تعالى فيها</w:t>
      </w:r>
      <w:r w:rsidR="000636C2">
        <w:rPr>
          <w:rFonts w:hint="cs"/>
          <w:rtl/>
        </w:rPr>
        <w:t xml:space="preserve"> </w:t>
      </w:r>
      <w:r w:rsidRPr="005675B2">
        <w:rPr>
          <w:rFonts w:hint="cs"/>
          <w:rtl/>
        </w:rPr>
        <w:t xml:space="preserve">غيره </w:t>
      </w:r>
      <w:r w:rsidR="000636C2">
        <w:rPr>
          <w:rFonts w:hint="cs"/>
          <w:rtl/>
        </w:rPr>
        <w:t>[</w:t>
      </w:r>
      <w:r w:rsidRPr="005675B2">
        <w:rPr>
          <w:rFonts w:hint="cs"/>
          <w:bCs/>
          <w:sz w:val="24"/>
          <w:szCs w:val="24"/>
          <w:rtl/>
        </w:rPr>
        <w:t>انظر كلام السنوسي رحمه الله]</w:t>
      </w:r>
      <w:r w:rsidR="000636C2">
        <w:rPr>
          <w:rFonts w:hint="cs"/>
          <w:rtl/>
        </w:rPr>
        <w:t>،</w:t>
      </w:r>
    </w:p>
    <w:p w14:paraId="021BC3DB" w14:textId="01C55F61" w:rsidR="009C32A0" w:rsidRPr="005675B2" w:rsidRDefault="009C32A0" w:rsidP="000636C2">
      <w:pPr>
        <w:rPr>
          <w:b/>
          <w:rtl/>
        </w:rPr>
      </w:pPr>
      <w:r w:rsidRPr="005675B2">
        <w:rPr>
          <w:rFonts w:hint="cs"/>
          <w:u w:val="single"/>
          <w:rtl/>
        </w:rPr>
        <w:t>فالأشاعرة</w:t>
      </w:r>
      <w:r w:rsidR="000636C2">
        <w:rPr>
          <w:rFonts w:hint="cs"/>
          <w:u w:val="single"/>
          <w:rtl/>
        </w:rPr>
        <w:t xml:space="preserve"> </w:t>
      </w:r>
      <w:r w:rsidRPr="005675B2">
        <w:rPr>
          <w:rFonts w:hint="cs"/>
          <w:u w:val="single"/>
          <w:rtl/>
        </w:rPr>
        <w:t>لا ينكرون وجود قدرة للعبد على وفاق فعله ولا ينكرون وجود إرادة له كذلك،واختيار، ولكن الذي ينكره أهل السنة</w:t>
      </w:r>
      <w:r w:rsidR="000636C2">
        <w:rPr>
          <w:rFonts w:hint="cs"/>
          <w:u w:val="single"/>
          <w:rtl/>
        </w:rPr>
        <w:t xml:space="preserve"> </w:t>
      </w:r>
      <w:r w:rsidRPr="005675B2">
        <w:rPr>
          <w:rFonts w:hint="cs"/>
          <w:u w:val="single"/>
          <w:rtl/>
        </w:rPr>
        <w:t>هو أن تكون قدرة العبد الحادثة لها تأثير في خلق الأفعال أي في إيجادها من العدم سواء استقلالاً أو بمعاونة فالله الخالق وحده غني عما سواه</w:t>
      </w:r>
      <w:r w:rsidR="000636C2">
        <w:rPr>
          <w:rFonts w:hint="cs"/>
          <w:u w:val="single"/>
          <w:rtl/>
        </w:rPr>
        <w:t>،</w:t>
      </w:r>
      <w:r w:rsidRPr="005675B2">
        <w:rPr>
          <w:rFonts w:hint="cs"/>
          <w:u w:val="single"/>
          <w:rtl/>
        </w:rPr>
        <w:t xml:space="preserve"> </w:t>
      </w:r>
      <w:r w:rsidRPr="005675B2">
        <w:rPr>
          <w:rFonts w:hint="cs"/>
          <w:rtl/>
        </w:rPr>
        <w:t>فمخالفة كثير من الفرق لأهل السنة والجماعة في كون</w:t>
      </w:r>
      <w:r w:rsidR="000636C2">
        <w:rPr>
          <w:rFonts w:hint="cs"/>
          <w:rtl/>
        </w:rPr>
        <w:t xml:space="preserve"> </w:t>
      </w:r>
      <w:r w:rsidRPr="005675B2">
        <w:rPr>
          <w:rFonts w:hint="cs"/>
          <w:rtl/>
        </w:rPr>
        <w:t>قدرة العبد هي الكسب لا التأثير</w:t>
      </w:r>
      <w:r w:rsidR="000636C2">
        <w:rPr>
          <w:rFonts w:hint="cs"/>
          <w:rtl/>
        </w:rPr>
        <w:t xml:space="preserve"> </w:t>
      </w:r>
      <w:r w:rsidRPr="005675B2">
        <w:rPr>
          <w:rFonts w:hint="cs"/>
          <w:rtl/>
        </w:rPr>
        <w:t xml:space="preserve">مخالفة باطلة، </w:t>
      </w:r>
      <w:r w:rsidRPr="005675B2">
        <w:rPr>
          <w:rFonts w:hint="cs"/>
          <w:u w:val="single"/>
          <w:rtl/>
        </w:rPr>
        <w:t>لأن هذا التقرير الذي قرره الأشاعرة وغيرهم من أهل السنة</w:t>
      </w:r>
      <w:r w:rsidR="000636C2">
        <w:rPr>
          <w:rFonts w:hint="cs"/>
          <w:u w:val="single"/>
          <w:rtl/>
        </w:rPr>
        <w:t>،</w:t>
      </w:r>
      <w:r w:rsidRPr="005675B2">
        <w:rPr>
          <w:rFonts w:hint="cs"/>
          <w:u w:val="single"/>
          <w:rtl/>
        </w:rPr>
        <w:t>هو النتيجة الحتمية لما يقرره أهل السنة والجماعة في سائر الصفات من عدم وجود الشريك لله في أفعاله وصفاته</w:t>
      </w:r>
      <w:r w:rsidR="000636C2">
        <w:rPr>
          <w:rFonts w:hint="cs"/>
          <w:u w:val="single"/>
          <w:rtl/>
        </w:rPr>
        <w:t>،</w:t>
      </w:r>
      <w:r w:rsidRPr="005675B2">
        <w:rPr>
          <w:rFonts w:hint="cs"/>
          <w:u w:val="single"/>
          <w:rtl/>
        </w:rPr>
        <w:t xml:space="preserve"> </w:t>
      </w:r>
      <w:r w:rsidRPr="005675B2">
        <w:rPr>
          <w:rFonts w:hint="cs"/>
          <w:rtl/>
        </w:rPr>
        <w:t>فلا وجه للتعجب الذي يبديه الكاتب</w:t>
      </w:r>
      <w:r w:rsidR="000636C2">
        <w:rPr>
          <w:rFonts w:hint="cs"/>
          <w:rtl/>
        </w:rPr>
        <w:t xml:space="preserve"> </w:t>
      </w:r>
      <w:r w:rsidRPr="005675B2">
        <w:rPr>
          <w:rFonts w:hint="cs"/>
          <w:rtl/>
        </w:rPr>
        <w:t>والرافضة والمعتزلة وغيرهم لأنه تعجب في غير مكانه</w:t>
      </w:r>
      <w:r w:rsidR="000636C2">
        <w:rPr>
          <w:rFonts w:hint="cs"/>
          <w:rtl/>
        </w:rPr>
        <w:t>،</w:t>
      </w:r>
      <w:r w:rsidRPr="005675B2">
        <w:rPr>
          <w:rFonts w:hint="cs"/>
          <w:rtl/>
        </w:rPr>
        <w:t xml:space="preserve"> </w:t>
      </w:r>
      <w:r w:rsidRPr="005675B2">
        <w:rPr>
          <w:rFonts w:hint="cs"/>
          <w:u w:val="single"/>
          <w:rtl/>
        </w:rPr>
        <w:t>بل العجب من المعتزلة</w:t>
      </w:r>
      <w:r w:rsidR="000636C2">
        <w:rPr>
          <w:rFonts w:hint="cs"/>
          <w:u w:val="single"/>
          <w:rtl/>
        </w:rPr>
        <w:t xml:space="preserve"> </w:t>
      </w:r>
      <w:r w:rsidRPr="005675B2">
        <w:rPr>
          <w:rFonts w:hint="cs"/>
          <w:u w:val="single"/>
          <w:rtl/>
        </w:rPr>
        <w:t>كيف ينفون وجود الشبيه لله في خصائصه ثم يدعون أن لغيره تأثيرا في إيجاد المخلوقات كأفعال العباد</w:t>
      </w:r>
      <w:r w:rsidR="000636C2">
        <w:rPr>
          <w:rFonts w:hint="cs"/>
          <w:u w:val="single"/>
          <w:rtl/>
        </w:rPr>
        <w:t>،</w:t>
      </w:r>
    </w:p>
    <w:p w14:paraId="7E35659F" w14:textId="0FF84F6C" w:rsidR="009C32A0" w:rsidRPr="005675B2" w:rsidRDefault="009C32A0" w:rsidP="000636C2">
      <w:pPr>
        <w:rPr>
          <w:b/>
          <w:u w:val="single"/>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ولهذا قال الرازي الذي عجز</w:t>
      </w:r>
      <w:r w:rsidRPr="005675B2">
        <w:rPr>
          <w:rFonts w:hint="cs"/>
        </w:rPr>
        <w:t xml:space="preserve"> </w:t>
      </w:r>
      <w:r w:rsidRPr="005675B2">
        <w:rPr>
          <w:rFonts w:hint="cs"/>
          <w:rtl/>
        </w:rPr>
        <w:t>هو الآخر عن فهمها</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إن الإنسان مجبور في صورة مختار</w:t>
      </w:r>
      <w:r w:rsidRPr="005675B2">
        <w:rPr>
          <w:rFonts w:hint="cs"/>
        </w:rPr>
        <w:t xml:space="preserve"> </w:t>
      </w:r>
      <w:r w:rsidRPr="005675B2">
        <w:rPr>
          <w:rFonts w:hint="cs"/>
          <w:rtl/>
        </w:rPr>
        <w:t>"</w:t>
      </w:r>
      <w:r w:rsidR="000636C2">
        <w:rPr>
          <w:rFonts w:hint="cs"/>
          <w:rtl/>
        </w:rPr>
        <w:t>)</w:t>
      </w:r>
      <w:r w:rsidRPr="005675B2">
        <w:rPr>
          <w:rFonts w:hint="cs"/>
          <w:rtl/>
        </w:rPr>
        <w:t xml:space="preserve"> ..</w:t>
      </w:r>
      <w:r w:rsidRPr="005675B2">
        <w:rPr>
          <w:rFonts w:hint="cs"/>
          <w:u w:val="single"/>
          <w:rtl/>
        </w:rPr>
        <w:t xml:space="preserve"> </w:t>
      </w:r>
      <w:r w:rsidR="000636C2">
        <w:rPr>
          <w:rFonts w:hint="cs"/>
          <w:rtl/>
        </w:rPr>
        <w:t>[</w:t>
      </w:r>
      <w:r>
        <w:rPr>
          <w:rFonts w:hint="cs"/>
          <w:rtl/>
        </w:rPr>
        <w:t>الجواب</w:t>
      </w:r>
      <w:r w:rsidR="000636C2">
        <w:rPr>
          <w:rFonts w:hint="cs"/>
          <w:rtl/>
        </w:rPr>
        <w:t>]:</w:t>
      </w:r>
      <w:r w:rsidRPr="005675B2">
        <w:rPr>
          <w:rFonts w:hint="cs"/>
          <w:rtl/>
        </w:rPr>
        <w:t xml:space="preserve"> أنه عين قول ابن تيمية بالجبر حيث</w:t>
      </w:r>
      <w:r w:rsidR="000636C2">
        <w:rPr>
          <w:rFonts w:hint="cs"/>
          <w:rtl/>
        </w:rPr>
        <w:t xml:space="preserve"> </w:t>
      </w:r>
      <w:r w:rsidRPr="005675B2">
        <w:rPr>
          <w:rFonts w:hint="cs"/>
          <w:rtl/>
        </w:rPr>
        <w:t>يقول الإمام ابن تيمية</w:t>
      </w:r>
      <w:r w:rsidR="000636C2">
        <w:rPr>
          <w:rFonts w:hint="cs"/>
          <w:rtl/>
        </w:rPr>
        <w:t>:</w:t>
      </w:r>
      <w:r w:rsidRPr="005675B2">
        <w:rPr>
          <w:rFonts w:hint="cs"/>
          <w:rtl/>
        </w:rPr>
        <w:t>لوقيل</w:t>
      </w:r>
      <w:r w:rsidR="000636C2">
        <w:rPr>
          <w:rFonts w:hint="cs"/>
          <w:rtl/>
        </w:rPr>
        <w:t>:</w:t>
      </w:r>
      <w:r w:rsidRPr="005675B2">
        <w:rPr>
          <w:rFonts w:hint="cs"/>
          <w:rtl/>
        </w:rPr>
        <w:t xml:space="preserve"> هب أن فعلي الذي فعلته واخترته هو واقع بمشيئتي وإرادتي أليست تلك الإرادة والمشيئة من خلق الله تعالى</w:t>
      </w:r>
      <w:r w:rsidR="000636C2">
        <w:rPr>
          <w:rFonts w:hint="cs"/>
          <w:rtl/>
        </w:rPr>
        <w:t>؟</w:t>
      </w:r>
      <w:r w:rsidRPr="005675B2">
        <w:rPr>
          <w:rFonts w:hint="cs"/>
          <w:rtl/>
        </w:rPr>
        <w:t xml:space="preserve"> وإذا خلق الأمر الموجب للفعل فهل يتأتى ترك الفعل معه</w:t>
      </w:r>
      <w:r w:rsidR="000636C2">
        <w:rPr>
          <w:rFonts w:hint="cs"/>
          <w:rtl/>
        </w:rPr>
        <w:t>؟</w:t>
      </w:r>
      <w:r w:rsidRPr="005675B2">
        <w:rPr>
          <w:rFonts w:hint="cs"/>
          <w:rtl/>
        </w:rPr>
        <w:t xml:space="preserve"> أقصى ما في الباب أن الأول جبر بغير توسط الإرادة من العبد وهذا جبر بتوسط الإرادة من العبد</w:t>
      </w:r>
      <w:r w:rsidR="000636C2">
        <w:rPr>
          <w:rFonts w:hint="cs"/>
          <w:rtl/>
        </w:rPr>
        <w:t xml:space="preserve">؟ </w:t>
      </w:r>
      <w:r w:rsidRPr="005675B2">
        <w:rPr>
          <w:rFonts w:hint="cs"/>
          <w:rtl/>
        </w:rPr>
        <w:t xml:space="preserve">فنقول </w:t>
      </w:r>
      <w:r w:rsidR="000636C2">
        <w:rPr>
          <w:rFonts w:hint="cs"/>
          <w:rtl/>
        </w:rPr>
        <w:t>(</w:t>
      </w:r>
      <w:r w:rsidRPr="005675B2">
        <w:rPr>
          <w:rFonts w:hint="cs"/>
          <w:rtl/>
        </w:rPr>
        <w:t>القائل ابن تيمية ولازال الكلام له</w:t>
      </w:r>
      <w:r w:rsidR="000636C2">
        <w:rPr>
          <w:rFonts w:hint="cs"/>
          <w:rtl/>
        </w:rPr>
        <w:t>):</w:t>
      </w:r>
      <w:r w:rsidRPr="005675B2">
        <w:rPr>
          <w:rFonts w:hint="cs"/>
          <w:rtl/>
        </w:rPr>
        <w:t xml:space="preserve"> الجبر المنفي هو الأول وأما </w:t>
      </w:r>
      <w:r w:rsidRPr="005675B2">
        <w:rPr>
          <w:rFonts w:hint="cs"/>
          <w:u w:val="single"/>
          <w:rtl/>
        </w:rPr>
        <w:t xml:space="preserve">إثبات القسم الثاني فلا ريب فيه عند أهل الاستنان والآثار لكن لا يطلق عليه اسم الجبر خشية الالتباس بالقسم الأول وفراراً من تبادر الأفهام إليه وربما يسمى جبراً إذا أمن من اللبس وعلم القصد </w:t>
      </w:r>
      <w:r w:rsidRPr="005675B2">
        <w:rPr>
          <w:rFonts w:hint="cs"/>
          <w:rtl/>
        </w:rPr>
        <w:t>أ هـ [</w:t>
      </w:r>
      <w:r w:rsidRPr="005675B2">
        <w:rPr>
          <w:rFonts w:hint="cs"/>
          <w:bCs/>
          <w:sz w:val="24"/>
          <w:szCs w:val="24"/>
          <w:rtl/>
        </w:rPr>
        <w:t>مجموع الفتاوى 8/395</w:t>
      </w:r>
      <w:r w:rsidRPr="005675B2">
        <w:rPr>
          <w:rFonts w:hint="cs"/>
          <w:rtl/>
        </w:rPr>
        <w:t>] فالمتأمل في كلامه، يعلم أنه يقول</w:t>
      </w:r>
      <w:r w:rsidR="000636C2">
        <w:rPr>
          <w:rFonts w:hint="cs"/>
          <w:rtl/>
        </w:rPr>
        <w:t>:</w:t>
      </w:r>
      <w:r w:rsidRPr="005675B2">
        <w:rPr>
          <w:rFonts w:hint="cs"/>
          <w:rtl/>
        </w:rPr>
        <w:t xml:space="preserve"> إن تسمية ذلك جبراً هي تسمية صحيحة</w:t>
      </w:r>
      <w:r w:rsidR="000636C2">
        <w:rPr>
          <w:rFonts w:hint="cs"/>
          <w:rtl/>
        </w:rPr>
        <w:t>،</w:t>
      </w:r>
      <w:r w:rsidRPr="005675B2">
        <w:rPr>
          <w:rFonts w:hint="cs"/>
          <w:rtl/>
        </w:rPr>
        <w:t>لكن المانع من إطلاقها هو خشية الالتباس بمذهب الجبرية، لكن لو أمن اللبس جاز إطلاقه</w:t>
      </w:r>
      <w:r w:rsidR="000636C2">
        <w:rPr>
          <w:rFonts w:hint="cs"/>
          <w:rtl/>
        </w:rPr>
        <w:t>،</w:t>
      </w:r>
    </w:p>
    <w:p w14:paraId="61888663" w14:textId="740FF515" w:rsidR="009C32A0" w:rsidRPr="005675B2" w:rsidRDefault="009C32A0" w:rsidP="000636C2">
      <w:pPr>
        <w:rPr>
          <w:b/>
          <w:rtl/>
        </w:rPr>
      </w:pPr>
      <w:r w:rsidRPr="005675B2">
        <w:rPr>
          <w:rFonts w:hint="cs"/>
          <w:rtl/>
        </w:rPr>
        <w:t xml:space="preserve">قال محمد بن كعب القرظي في قوله </w:t>
      </w:r>
      <w:r w:rsidR="000636C2">
        <w:rPr>
          <w:rFonts w:hint="cs"/>
          <w:rtl/>
        </w:rPr>
        <w:t>(</w:t>
      </w:r>
      <w:r w:rsidRPr="005675B2">
        <w:rPr>
          <w:rFonts w:hint="cs"/>
          <w:rtl/>
        </w:rPr>
        <w:t>الجبار</w:t>
      </w:r>
      <w:r w:rsidR="000636C2">
        <w:rPr>
          <w:rFonts w:hint="cs"/>
          <w:rtl/>
        </w:rPr>
        <w:t>)</w:t>
      </w:r>
      <w:r w:rsidRPr="005675B2">
        <w:rPr>
          <w:rFonts w:hint="cs"/>
          <w:rtl/>
        </w:rPr>
        <w:t>قال جبر العباد على ماأراد</w:t>
      </w:r>
      <w:r w:rsidR="000636C2">
        <w:rPr>
          <w:rFonts w:hint="cs"/>
          <w:rtl/>
        </w:rPr>
        <w:t>،</w:t>
      </w:r>
      <w:r w:rsidRPr="005675B2">
        <w:rPr>
          <w:rFonts w:hint="cs"/>
          <w:rtl/>
        </w:rPr>
        <w:t xml:space="preserve"> [</w:t>
      </w:r>
      <w:r w:rsidRPr="005675B2">
        <w:rPr>
          <w:rFonts w:hint="cs"/>
          <w:bCs/>
          <w:sz w:val="24"/>
          <w:szCs w:val="24"/>
          <w:rtl/>
        </w:rPr>
        <w:t>نفس المصدر</w:t>
      </w:r>
      <w:r w:rsidRPr="005675B2">
        <w:rPr>
          <w:rFonts w:hint="cs"/>
          <w:rtl/>
        </w:rPr>
        <w:t>]</w:t>
      </w:r>
      <w:r w:rsidR="000636C2">
        <w:rPr>
          <w:rFonts w:hint="cs"/>
          <w:rtl/>
        </w:rPr>
        <w:t>،</w:t>
      </w:r>
      <w:r w:rsidRPr="005675B2">
        <w:rPr>
          <w:rFonts w:hint="cs"/>
          <w:rtl/>
        </w:rPr>
        <w:t xml:space="preserve"> وليس مقصود الإمام الرازي وابن تيمية أن الإنسان ليس له اختيار وإرادة</w:t>
      </w:r>
      <w:r w:rsidR="000636C2">
        <w:rPr>
          <w:rFonts w:hint="cs"/>
          <w:rtl/>
        </w:rPr>
        <w:t>،</w:t>
      </w:r>
      <w:r w:rsidRPr="005675B2">
        <w:rPr>
          <w:rFonts w:hint="cs"/>
          <w:rtl/>
        </w:rPr>
        <w:t>ولكن المقصود أن ما يفعله من أفعاله الاختيارية</w:t>
      </w:r>
      <w:r w:rsidR="000636C2">
        <w:rPr>
          <w:rFonts w:hint="cs"/>
          <w:rtl/>
        </w:rPr>
        <w:t xml:space="preserve"> </w:t>
      </w:r>
      <w:r w:rsidRPr="005675B2">
        <w:rPr>
          <w:rFonts w:hint="cs"/>
          <w:rtl/>
        </w:rPr>
        <w:t>قد قدره الله تعالى</w:t>
      </w:r>
      <w:r w:rsidR="000636C2">
        <w:rPr>
          <w:rFonts w:hint="cs"/>
          <w:rtl/>
        </w:rPr>
        <w:t>،</w:t>
      </w:r>
      <w:r w:rsidRPr="005675B2">
        <w:rPr>
          <w:rFonts w:hint="cs"/>
          <w:rtl/>
        </w:rPr>
        <w:t>ووقع بمشيئة الله وإرادته وخلقه</w:t>
      </w:r>
      <w:r w:rsidR="000636C2">
        <w:rPr>
          <w:rFonts w:hint="cs"/>
          <w:rtl/>
        </w:rPr>
        <w:t>،</w:t>
      </w:r>
      <w:r w:rsidRPr="005675B2">
        <w:rPr>
          <w:rFonts w:hint="cs"/>
          <w:rtl/>
        </w:rPr>
        <w:t xml:space="preserve"> فمن قال أنه يفعل أفعاله بدون مشيئة</w:t>
      </w:r>
      <w:r w:rsidR="000636C2">
        <w:rPr>
          <w:rFonts w:hint="cs"/>
          <w:rtl/>
        </w:rPr>
        <w:t xml:space="preserve"> </w:t>
      </w:r>
      <w:r w:rsidRPr="005675B2">
        <w:rPr>
          <w:rFonts w:hint="cs"/>
          <w:rtl/>
        </w:rPr>
        <w:t>الله</w:t>
      </w:r>
      <w:r w:rsidR="000636C2">
        <w:rPr>
          <w:rFonts w:hint="cs"/>
          <w:rtl/>
        </w:rPr>
        <w:t>،</w:t>
      </w:r>
      <w:r w:rsidRPr="005675B2">
        <w:rPr>
          <w:rFonts w:hint="cs"/>
          <w:rtl/>
        </w:rPr>
        <w:t>أو أنه مستقل بالفعل والإيجاد أو أن الله أودع فيه قوة يخلق بها فعله</w:t>
      </w:r>
      <w:r w:rsidR="000636C2">
        <w:rPr>
          <w:rFonts w:hint="cs"/>
          <w:rtl/>
        </w:rPr>
        <w:t>:</w:t>
      </w:r>
      <w:r w:rsidRPr="005675B2">
        <w:rPr>
          <w:rFonts w:hint="cs"/>
          <w:rtl/>
        </w:rPr>
        <w:t>فهو ضال والعياذ بالله</w:t>
      </w:r>
      <w:r w:rsidR="000636C2">
        <w:rPr>
          <w:rFonts w:hint="cs"/>
          <w:rtl/>
        </w:rPr>
        <w:t>،</w:t>
      </w:r>
      <w:r w:rsidRPr="005675B2">
        <w:rPr>
          <w:rFonts w:hint="cs"/>
          <w:rtl/>
        </w:rPr>
        <w:t xml:space="preserve"> ولكن لا يعني أن يترك العمل بل </w:t>
      </w:r>
      <w:r w:rsidR="000636C2">
        <w:rPr>
          <w:rFonts w:hint="cs"/>
          <w:rtl/>
        </w:rPr>
        <w:t>(</w:t>
      </w:r>
      <w:r w:rsidRPr="005675B2">
        <w:rPr>
          <w:rFonts w:hint="cs"/>
          <w:rtl/>
        </w:rPr>
        <w:t>اعملوا فكل ميسر لما خلق له</w:t>
      </w:r>
      <w:r w:rsidR="000636C2">
        <w:rPr>
          <w:rFonts w:hint="cs"/>
          <w:rtl/>
        </w:rPr>
        <w:t>)</w:t>
      </w:r>
      <w:r w:rsidRPr="005675B2">
        <w:rPr>
          <w:rFonts w:hint="cs"/>
          <w:rtl/>
        </w:rPr>
        <w:t>وتركه للعمل حجة على تارك العمل</w:t>
      </w:r>
      <w:r w:rsidR="000636C2">
        <w:rPr>
          <w:rFonts w:hint="cs"/>
          <w:rtl/>
        </w:rPr>
        <w:t xml:space="preserve"> </w:t>
      </w:r>
      <w:r w:rsidRPr="005675B2">
        <w:rPr>
          <w:rFonts w:hint="cs"/>
          <w:rtl/>
        </w:rPr>
        <w:t>بأن له اختيار وتوجه</w:t>
      </w:r>
      <w:r w:rsidR="000636C2">
        <w:rPr>
          <w:rFonts w:hint="cs"/>
          <w:rtl/>
        </w:rPr>
        <w:t>،</w:t>
      </w:r>
      <w:r w:rsidRPr="005675B2">
        <w:rPr>
          <w:rFonts w:hint="cs"/>
          <w:rtl/>
        </w:rPr>
        <w:t xml:space="preserve"> ولكن الصحيح أن كون الله تعالى خالقاً في العبد إرادته وفعله وقدرته لا يستلزم مطلقاً أن يكون العبد مجبوراً، بل هذا هو الاختيار، لأنه تابع لإرادة العبد التي علمها الله تعالى منذ الأزل ولذا قال الإمام السعدالتفتازاني</w:t>
      </w:r>
      <w:r w:rsidR="000636C2">
        <w:rPr>
          <w:rFonts w:hint="cs"/>
          <w:rtl/>
        </w:rPr>
        <w:t>:</w:t>
      </w:r>
      <w:r w:rsidRPr="005675B2">
        <w:rPr>
          <w:rFonts w:hint="cs"/>
          <w:rtl/>
        </w:rPr>
        <w:t>يعلم ويريد أن العبد يفعله أو يتركه باختياره، فلا إشكال</w:t>
      </w:r>
      <w:r w:rsidR="000636C2">
        <w:rPr>
          <w:rFonts w:hint="cs"/>
          <w:rtl/>
        </w:rPr>
        <w:t>،</w:t>
      </w:r>
      <w:r w:rsidRPr="005675B2">
        <w:rPr>
          <w:rFonts w:hint="cs"/>
          <w:rtl/>
        </w:rPr>
        <w:t xml:space="preserve"> فإن قيل</w:t>
      </w:r>
      <w:r w:rsidR="000636C2">
        <w:rPr>
          <w:rFonts w:hint="cs"/>
          <w:rtl/>
        </w:rPr>
        <w:t>:</w:t>
      </w:r>
      <w:r w:rsidRPr="005675B2">
        <w:rPr>
          <w:rFonts w:hint="cs"/>
          <w:rtl/>
        </w:rPr>
        <w:t>فيكون فعله الاختياري واجبا أو ممتنعا وهذا ينافي الاختيار</w:t>
      </w:r>
      <w:r w:rsidR="000636C2">
        <w:rPr>
          <w:rFonts w:hint="cs"/>
          <w:rtl/>
        </w:rPr>
        <w:t>،</w:t>
      </w:r>
      <w:r w:rsidRPr="005675B2">
        <w:rPr>
          <w:rFonts w:hint="cs"/>
          <w:rtl/>
        </w:rPr>
        <w:t xml:space="preserve"> قلنا</w:t>
      </w:r>
      <w:r w:rsidR="000636C2">
        <w:rPr>
          <w:rFonts w:hint="cs"/>
          <w:rtl/>
        </w:rPr>
        <w:t>:</w:t>
      </w:r>
      <w:r w:rsidRPr="005675B2">
        <w:rPr>
          <w:rFonts w:hint="cs"/>
          <w:rtl/>
        </w:rPr>
        <w:t xml:space="preserve"> ممنوعٌ، فإن الوجوب بالاختيار محقِّقٌ للاختيار لا مناف</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العقائد النسفية</w:t>
      </w:r>
      <w:r w:rsidRPr="005675B2">
        <w:rPr>
          <w:rFonts w:hint="cs"/>
          <w:bCs/>
          <w:sz w:val="24"/>
          <w:szCs w:val="24"/>
          <w:rtl/>
        </w:rPr>
        <w:tab/>
      </w:r>
      <w:r w:rsidRPr="005675B2">
        <w:rPr>
          <w:rFonts w:hint="cs"/>
          <w:rtl/>
        </w:rPr>
        <w:t xml:space="preserve">] </w:t>
      </w:r>
    </w:p>
    <w:p w14:paraId="4D987E06" w14:textId="73DF7E1C" w:rsidR="009C32A0" w:rsidRPr="005675B2" w:rsidRDefault="009C32A0" w:rsidP="000636C2">
      <w:pPr>
        <w:rPr>
          <w:b/>
          <w:rtl/>
        </w:rPr>
      </w:pPr>
      <w:r w:rsidRPr="005675B2">
        <w:rPr>
          <w:rFonts w:hint="cs"/>
          <w:rtl/>
        </w:rPr>
        <w:t>شواهد صريحة من أقول علماء السنة بالكسب</w:t>
      </w:r>
      <w:r w:rsidR="000636C2">
        <w:rPr>
          <w:rFonts w:hint="cs"/>
          <w:rtl/>
        </w:rPr>
        <w:t>:</w:t>
      </w:r>
      <w:r w:rsidRPr="005675B2">
        <w:rPr>
          <w:rFonts w:hint="cs"/>
          <w:rtl/>
        </w:rPr>
        <w:t xml:space="preserve"> فمنها حديث ابن عمر مرفوعاً (</w:t>
      </w:r>
      <w:r w:rsidR="000636C2">
        <w:rPr>
          <w:rFonts w:hint="cs"/>
          <w:rtl/>
        </w:rPr>
        <w:t>(</w:t>
      </w:r>
      <w:r w:rsidRPr="005675B2">
        <w:rPr>
          <w:rFonts w:hint="cs"/>
          <w:rtl/>
        </w:rPr>
        <w:t>كل شيء بقضاء حتى العجز والكيس</w:t>
      </w:r>
      <w:r w:rsidR="000636C2">
        <w:rPr>
          <w:rFonts w:hint="cs"/>
          <w:rtl/>
        </w:rPr>
        <w:t>)</w:t>
      </w:r>
      <w:r w:rsidRPr="005675B2">
        <w:rPr>
          <w:rFonts w:hint="cs"/>
          <w:rtl/>
        </w:rPr>
        <w:t>)</w:t>
      </w:r>
      <w:r w:rsidR="000636C2">
        <w:rPr>
          <w:rFonts w:hint="cs"/>
          <w:rtl/>
        </w:rPr>
        <w:t>،</w:t>
      </w:r>
      <w:r w:rsidRPr="005675B2">
        <w:rPr>
          <w:rFonts w:hint="cs"/>
          <w:rtl/>
        </w:rPr>
        <w:t xml:space="preserve"> وقال</w:t>
      </w:r>
      <w:r w:rsidR="000636C2">
        <w:rPr>
          <w:rFonts w:hint="cs"/>
          <w:rtl/>
        </w:rPr>
        <w:t xml:space="preserve"> </w:t>
      </w:r>
      <w:r w:rsidRPr="005675B2">
        <w:rPr>
          <w:rFonts w:hint="cs"/>
          <w:rtl/>
        </w:rPr>
        <w:t>إمام من أئمة أهل السنة وهو ابن جرير الطبري المفسر حيث قال</w:t>
      </w:r>
      <w:r w:rsidR="000636C2">
        <w:rPr>
          <w:rFonts w:hint="cs"/>
          <w:rtl/>
        </w:rPr>
        <w:t>:</w:t>
      </w:r>
      <w:r w:rsidRPr="005675B2">
        <w:rPr>
          <w:rFonts w:hint="cs"/>
          <w:rtl/>
        </w:rPr>
        <w:t xml:space="preserve"> في تفسيره آخر آية من سورة الفاتحة</w:t>
      </w:r>
      <w:r w:rsidR="000636C2">
        <w:rPr>
          <w:rFonts w:hint="cs"/>
          <w:rtl/>
        </w:rPr>
        <w:t>:</w:t>
      </w:r>
      <w:r w:rsidRPr="005675B2">
        <w:rPr>
          <w:rFonts w:hint="cs"/>
          <w:rtl/>
        </w:rPr>
        <w:t xml:space="preserve"> -</w:t>
      </w:r>
      <w:r w:rsidR="000636C2">
        <w:rPr>
          <w:rFonts w:hint="cs"/>
          <w:rtl/>
        </w:rPr>
        <w:t>،</w:t>
      </w:r>
      <w:r w:rsidRPr="005675B2">
        <w:rPr>
          <w:rFonts w:hint="cs"/>
          <w:rtl/>
        </w:rPr>
        <w:t xml:space="preserve"> (</w:t>
      </w:r>
      <w:r w:rsidR="000636C2">
        <w:rPr>
          <w:rFonts w:hint="cs"/>
          <w:rtl/>
        </w:rPr>
        <w:t>(</w:t>
      </w:r>
      <w:r w:rsidRPr="005675B2">
        <w:rPr>
          <w:rFonts w:hint="cs"/>
          <w:rtl/>
        </w:rPr>
        <w:t>وَمِنْ شَأْن الْعَرَب</w:t>
      </w:r>
      <w:r w:rsidRPr="005675B2">
        <w:rPr>
          <w:rFonts w:hint="cs"/>
        </w:rPr>
        <w:t xml:space="preserve"> </w:t>
      </w:r>
      <w:r w:rsidRPr="005675B2">
        <w:rPr>
          <w:rFonts w:hint="cs"/>
          <w:rtl/>
        </w:rPr>
        <w:t>إِضَافَة الْفِعْل إِلَى مَنْ وُجِدَ مِنْهُ , وَإِنْ كَانَ مُسَبِّبه غَيْر</w:t>
      </w:r>
      <w:r w:rsidRPr="005675B2">
        <w:rPr>
          <w:rFonts w:hint="cs"/>
        </w:rPr>
        <w:t xml:space="preserve"> </w:t>
      </w:r>
      <w:r w:rsidRPr="005675B2">
        <w:rPr>
          <w:rFonts w:hint="cs"/>
          <w:rtl/>
        </w:rPr>
        <w:t>الَّذِي وُجِدَ مِنْهُ أَحْيَانًا , وَأَحْيَانًا إِلَى مُسَبِّبه , وَإِنْ كَانَ</w:t>
      </w:r>
      <w:r w:rsidRPr="005675B2">
        <w:rPr>
          <w:rFonts w:hint="cs"/>
        </w:rPr>
        <w:t xml:space="preserve"> </w:t>
      </w:r>
      <w:r w:rsidRPr="005675B2">
        <w:rPr>
          <w:rFonts w:hint="cs"/>
          <w:rtl/>
        </w:rPr>
        <w:t>الَّذِي وُجِدَ مِنْهُ الْفِعْل غَيْره</w:t>
      </w:r>
      <w:r w:rsidR="000636C2">
        <w:rPr>
          <w:rFonts w:hint="cs"/>
          <w:rtl/>
        </w:rPr>
        <w:t>،</w:t>
      </w:r>
      <w:r w:rsidRPr="005675B2">
        <w:rPr>
          <w:rFonts w:hint="cs"/>
          <w:rtl/>
        </w:rPr>
        <w:t xml:space="preserve"> فَكَيْف بِالْفِعْلِ الَّذِي يَكْتَسِبهُ</w:t>
      </w:r>
      <w:r w:rsidRPr="005675B2">
        <w:rPr>
          <w:rFonts w:hint="cs"/>
        </w:rPr>
        <w:t xml:space="preserve"> </w:t>
      </w:r>
      <w:r w:rsidRPr="005675B2">
        <w:rPr>
          <w:rFonts w:hint="cs"/>
          <w:rtl/>
        </w:rPr>
        <w:t>الْعَبْد كَسْبًا وَيُوجِدهُ اللَّه جَلَّ ثَنَاؤُهُ عَيْنًا مُنْشَأَة</w:t>
      </w:r>
      <w:r w:rsidR="000636C2">
        <w:rPr>
          <w:rFonts w:hint="cs"/>
          <w:rtl/>
        </w:rPr>
        <w:t>؟</w:t>
      </w:r>
      <w:r w:rsidRPr="005675B2">
        <w:rPr>
          <w:rFonts w:hint="cs"/>
          <w:rtl/>
        </w:rPr>
        <w:t xml:space="preserve"> </w:t>
      </w:r>
      <w:r w:rsidRPr="005675B2">
        <w:rPr>
          <w:rFonts w:hint="cs"/>
          <w:u w:val="single"/>
          <w:rtl/>
        </w:rPr>
        <w:t>بَلْ</w:t>
      </w:r>
      <w:r w:rsidRPr="005675B2">
        <w:rPr>
          <w:rFonts w:hint="cs"/>
          <w:u w:val="single"/>
        </w:rPr>
        <w:t xml:space="preserve"> </w:t>
      </w:r>
      <w:r w:rsidRPr="005675B2">
        <w:rPr>
          <w:rFonts w:hint="cs"/>
          <w:u w:val="single"/>
          <w:rtl/>
        </w:rPr>
        <w:t>ذَلِكَ أَحْرَى أَنْ يُضَاف إِلَى مُكْتَسِبه كَسْبًا لَهُ بِالْقُوَّةِ مِنْهُ</w:t>
      </w:r>
      <w:r w:rsidRPr="005675B2">
        <w:rPr>
          <w:rFonts w:hint="cs"/>
          <w:u w:val="single"/>
        </w:rPr>
        <w:t xml:space="preserve"> </w:t>
      </w:r>
      <w:r w:rsidRPr="005675B2">
        <w:rPr>
          <w:rFonts w:hint="cs"/>
          <w:u w:val="single"/>
          <w:rtl/>
        </w:rPr>
        <w:t>عَلَيْهِ وَالِاخْتِيَار مِنْهُ لَهُ , وَإِلَى اللَّه جَلَّ ثَنَاؤُهُ بِإِيجَادِ</w:t>
      </w:r>
      <w:r w:rsidRPr="005675B2">
        <w:rPr>
          <w:rFonts w:hint="cs"/>
          <w:u w:val="single"/>
        </w:rPr>
        <w:t xml:space="preserve"> </w:t>
      </w:r>
      <w:r w:rsidRPr="005675B2">
        <w:rPr>
          <w:rFonts w:hint="cs"/>
          <w:u w:val="single"/>
          <w:rtl/>
        </w:rPr>
        <w:t>عَيْنه وَإِنْشَائِهَا تَدْبِيرًا أ هـ</w:t>
      </w:r>
      <w:r w:rsidR="000636C2">
        <w:rPr>
          <w:rFonts w:hint="cs"/>
          <w:u w:val="single"/>
          <w:rtl/>
        </w:rPr>
        <w:t>،</w:t>
      </w:r>
      <w:r w:rsidRPr="005675B2">
        <w:rPr>
          <w:rFonts w:hint="cs"/>
          <w:u w:val="single"/>
          <w:rtl/>
        </w:rPr>
        <w:t xml:space="preserve"> قال الإمام أبوحنيفة</w:t>
      </w:r>
      <w:r w:rsidR="000636C2">
        <w:rPr>
          <w:rFonts w:hint="cs"/>
          <w:u w:val="single"/>
          <w:rtl/>
        </w:rPr>
        <w:t xml:space="preserve">: </w:t>
      </w:r>
      <w:r w:rsidRPr="005675B2">
        <w:rPr>
          <w:rFonts w:hint="cs"/>
          <w:rtl/>
        </w:rPr>
        <w:t>وجميع أفعال العباد من الحركة والسكون كسبهم على الحقيقة والله خالقها</w:t>
      </w:r>
      <w:r w:rsidR="000636C2">
        <w:rPr>
          <w:rFonts w:hint="cs"/>
          <w:rtl/>
        </w:rPr>
        <w:t>،</w:t>
      </w:r>
      <w:r w:rsidRPr="005675B2">
        <w:rPr>
          <w:rFonts w:hint="cs"/>
          <w:rtl/>
        </w:rPr>
        <w:t xml:space="preserve"> أهـ</w:t>
      </w:r>
      <w:r w:rsidR="000636C2">
        <w:rPr>
          <w:rFonts w:hint="cs"/>
          <w:rtl/>
        </w:rPr>
        <w:t xml:space="preserve"> </w:t>
      </w:r>
      <w:r w:rsidRPr="005675B2">
        <w:rPr>
          <w:rFonts w:hint="cs"/>
          <w:rtl/>
        </w:rPr>
        <w:t>الفقه الأكبر مع شرحه 153</w:t>
      </w:r>
      <w:r w:rsidR="000636C2">
        <w:rPr>
          <w:rFonts w:hint="cs"/>
          <w:rtl/>
        </w:rPr>
        <w:t>،</w:t>
      </w:r>
      <w:r w:rsidRPr="005675B2">
        <w:rPr>
          <w:rFonts w:hint="cs"/>
          <w:rtl/>
        </w:rPr>
        <w:t xml:space="preserve"> وقال الصابوني في عقيدة أصحاب الحديث 279</w:t>
      </w:r>
      <w:r w:rsidR="000636C2">
        <w:rPr>
          <w:rFonts w:hint="cs"/>
          <w:rtl/>
        </w:rPr>
        <w:t>:</w:t>
      </w:r>
      <w:r w:rsidRPr="005675B2">
        <w:rPr>
          <w:rFonts w:hint="cs"/>
          <w:rtl/>
        </w:rPr>
        <w:t xml:space="preserve"> ومن قول أهل السنة والجماعة في أكساب العباد إنها مخلوقة لله تعالى</w:t>
      </w:r>
      <w:r w:rsidR="000636C2">
        <w:rPr>
          <w:rFonts w:hint="cs"/>
          <w:rtl/>
        </w:rPr>
        <w:t>،</w:t>
      </w:r>
      <w:r w:rsidRPr="005675B2">
        <w:rPr>
          <w:rFonts w:hint="cs"/>
          <w:rtl/>
        </w:rPr>
        <w:t xml:space="preserve"> إذن أهل السنة والجماعة كلهم قائلون بالكسب وإن اختلفوا في التسمية</w:t>
      </w:r>
      <w:r w:rsidR="000636C2">
        <w:rPr>
          <w:rFonts w:hint="cs"/>
          <w:rtl/>
        </w:rPr>
        <w:t>،</w:t>
      </w:r>
      <w:r w:rsidRPr="005675B2">
        <w:rPr>
          <w:rFonts w:hint="cs"/>
          <w:rtl/>
        </w:rPr>
        <w:t>فمنهم من يسميه كسباً وفاقاً لصريح القرآن</w:t>
      </w:r>
      <w:r w:rsidR="000636C2">
        <w:rPr>
          <w:rFonts w:hint="cs"/>
          <w:rtl/>
        </w:rPr>
        <w:t>،</w:t>
      </w:r>
      <w:r w:rsidRPr="005675B2">
        <w:rPr>
          <w:rFonts w:hint="cs"/>
          <w:rtl/>
        </w:rPr>
        <w:t>ومنهم من يسميه سبباً أو اختياراً</w:t>
      </w:r>
      <w:r w:rsidR="000636C2">
        <w:rPr>
          <w:rFonts w:hint="cs"/>
          <w:rtl/>
        </w:rPr>
        <w:t>،</w:t>
      </w:r>
      <w:r w:rsidRPr="005675B2">
        <w:rPr>
          <w:rFonts w:hint="cs"/>
          <w:rtl/>
        </w:rPr>
        <w:t xml:space="preserve"> ولا مشاحة في الاصطلاح</w:t>
      </w:r>
      <w:r w:rsidR="000636C2">
        <w:rPr>
          <w:rFonts w:hint="cs"/>
          <w:rtl/>
        </w:rPr>
        <w:t>،</w:t>
      </w:r>
      <w:r w:rsidRPr="005675B2">
        <w:rPr>
          <w:rFonts w:hint="cs"/>
          <w:rtl/>
        </w:rPr>
        <w:t xml:space="preserve"> ثم بعد ذلك تجد الموجان يقلد المحمود في إيهام القارىء أن هناك خلافاً في المعنى بين كلام الأشاعرة وبين سلفهم من أهل السنة في الكسب فأوهموا القارىء أنه لا توافق في المعنى ثم لم يأتوا بأي قرينة على هذا الاستنتاج</w:t>
      </w:r>
      <w:r w:rsidR="000636C2">
        <w:rPr>
          <w:rFonts w:hint="cs"/>
          <w:rtl/>
        </w:rPr>
        <w:t>،</w:t>
      </w:r>
      <w:r w:rsidRPr="005675B2">
        <w:rPr>
          <w:rFonts w:hint="cs"/>
          <w:rtl/>
        </w:rPr>
        <w:t xml:space="preserve"> فظهر أنه مجرد إيهام منهم وظنون لا مستندله بقرائن لفظية أو غيرها، وإنما دفعهم إلى ذلك أنهم وجدوا جميع أهل السنة سلفها وخلفها قائلين بالكسب لفظاً ومعنى</w:t>
      </w:r>
      <w:r w:rsidR="000636C2">
        <w:rPr>
          <w:rFonts w:hint="cs"/>
          <w:rtl/>
        </w:rPr>
        <w:t>،[</w:t>
      </w:r>
      <w:r w:rsidRPr="005675B2">
        <w:rPr>
          <w:rFonts w:hint="cs"/>
          <w:bCs/>
          <w:sz w:val="24"/>
          <w:szCs w:val="24"/>
          <w:rtl/>
        </w:rPr>
        <w:t>الرد الشامل 162</w:t>
      </w:r>
      <w:r w:rsidRPr="005675B2">
        <w:rPr>
          <w:rFonts w:hint="cs"/>
          <w:rtl/>
        </w:rPr>
        <w:t>]</w:t>
      </w:r>
      <w:r w:rsidR="000636C2">
        <w:rPr>
          <w:rFonts w:hint="cs"/>
          <w:rtl/>
        </w:rPr>
        <w:t xml:space="preserve"> </w:t>
      </w:r>
      <w:r w:rsidRPr="005675B2">
        <w:rPr>
          <w:rFonts w:hint="cs"/>
          <w:rtl/>
        </w:rPr>
        <w:t>[</w:t>
      </w:r>
      <w:r w:rsidRPr="005675B2">
        <w:rPr>
          <w:rFonts w:hint="cs"/>
          <w:bCs/>
          <w:sz w:val="24"/>
          <w:szCs w:val="24"/>
          <w:rtl/>
        </w:rPr>
        <w:t>للفائدة العظيمة انظر هذه المسألة بتفصيل شيق للشيخ محمد البوطي في كتابه(الإنسان مسير أم مخير)</w:t>
      </w:r>
      <w:r w:rsidRPr="005675B2">
        <w:rPr>
          <w:rFonts w:hint="cs"/>
          <w:rtl/>
        </w:rPr>
        <w:t>]</w:t>
      </w:r>
      <w:r w:rsidR="000636C2">
        <w:rPr>
          <w:rFonts w:hint="cs"/>
          <w:rtl/>
        </w:rPr>
        <w:t>،</w:t>
      </w:r>
      <w:r w:rsidRPr="005675B2">
        <w:rPr>
          <w:rFonts w:hint="cs"/>
          <w:rtl/>
        </w:rPr>
        <w:t xml:space="preserve"> يقول الموجان في بيان مذهب ابن تيمية في أفعال العباد</w:t>
      </w:r>
      <w:r w:rsidR="000636C2">
        <w:rPr>
          <w:rFonts w:hint="cs"/>
          <w:rtl/>
        </w:rPr>
        <w:t>:</w:t>
      </w:r>
      <w:r w:rsidRPr="005675B2">
        <w:rPr>
          <w:rFonts w:hint="cs"/>
          <w:rtl/>
        </w:rPr>
        <w:t>إن الله خالق أفعال العباد كلها</w:t>
      </w:r>
      <w:r w:rsidR="000636C2">
        <w:rPr>
          <w:rFonts w:hint="cs"/>
          <w:rtl/>
        </w:rPr>
        <w:t>،</w:t>
      </w:r>
      <w:r w:rsidRPr="005675B2">
        <w:rPr>
          <w:rFonts w:hint="cs"/>
          <w:rtl/>
        </w:rPr>
        <w:t xml:space="preserve">والعباد فاعلون </w:t>
      </w:r>
      <w:r w:rsidRPr="005675B2">
        <w:rPr>
          <w:rFonts w:hint="cs"/>
          <w:u w:val="single"/>
          <w:rtl/>
        </w:rPr>
        <w:t>حقيقة</w:t>
      </w:r>
      <w:r w:rsidR="000636C2">
        <w:rPr>
          <w:rFonts w:hint="cs"/>
          <w:rtl/>
        </w:rPr>
        <w:t>،</w:t>
      </w:r>
      <w:r w:rsidRPr="005675B2">
        <w:rPr>
          <w:rFonts w:hint="cs"/>
          <w:rtl/>
        </w:rPr>
        <w:t xml:space="preserve">ولهم قدرة </w:t>
      </w:r>
      <w:r w:rsidRPr="005675B2">
        <w:rPr>
          <w:rFonts w:hint="cs"/>
          <w:u w:val="single"/>
          <w:rtl/>
        </w:rPr>
        <w:t xml:space="preserve">حقيقية </w:t>
      </w:r>
      <w:r w:rsidRPr="005675B2">
        <w:rPr>
          <w:rFonts w:hint="cs"/>
          <w:rtl/>
        </w:rPr>
        <w:t>على أعمالهم ولهم إرادة</w:t>
      </w:r>
      <w:r w:rsidR="000636C2">
        <w:rPr>
          <w:rFonts w:hint="cs"/>
          <w:rtl/>
        </w:rPr>
        <w:t>،</w:t>
      </w:r>
      <w:r w:rsidRPr="005675B2">
        <w:rPr>
          <w:rFonts w:hint="cs"/>
          <w:rtl/>
        </w:rPr>
        <w:t xml:space="preserve"> ولكنها خاضعة لمشيئة الله الكونية فلا تخرج عنها،</w:t>
      </w:r>
      <w:r w:rsidRPr="005675B2">
        <w:rPr>
          <w:rFonts w:hint="cs"/>
          <w:u w:val="single"/>
          <w:rtl/>
        </w:rPr>
        <w:t>فالله يخرج فعل العبدبتوسط</w:t>
      </w:r>
      <w:r w:rsidRPr="005675B2">
        <w:rPr>
          <w:rFonts w:hint="cs"/>
          <w:rtl/>
        </w:rPr>
        <w:t xml:space="preserve"> قدرة العبد وإرادته</w:t>
      </w:r>
      <w:r w:rsidR="000636C2">
        <w:rPr>
          <w:rFonts w:hint="cs"/>
          <w:rtl/>
        </w:rPr>
        <w:t>،</w:t>
      </w:r>
      <w:r w:rsidRPr="005675B2">
        <w:rPr>
          <w:rFonts w:hint="cs"/>
          <w:rtl/>
        </w:rPr>
        <w:t xml:space="preserve"> أ -</w:t>
      </w:r>
      <w:r w:rsidR="000636C2">
        <w:rPr>
          <w:rFonts w:hint="cs"/>
          <w:rtl/>
        </w:rPr>
        <w:t xml:space="preserve"> </w:t>
      </w:r>
      <w:r w:rsidRPr="005675B2">
        <w:rPr>
          <w:rFonts w:hint="cs"/>
          <w:rtl/>
        </w:rPr>
        <w:t>هـ [</w:t>
      </w:r>
      <w:r w:rsidRPr="005675B2">
        <w:rPr>
          <w:rFonts w:hint="cs"/>
          <w:bCs/>
          <w:sz w:val="24"/>
          <w:szCs w:val="24"/>
          <w:rtl/>
        </w:rPr>
        <w:t>الرد الشامل 156</w:t>
      </w:r>
      <w:r w:rsidRPr="005675B2">
        <w:rPr>
          <w:rFonts w:hint="cs"/>
          <w:rtl/>
        </w:rPr>
        <w:t xml:space="preserve">] وقد سبق بيان ما في كلامه من محاذير فالله يخرج فعل العبد عند أهل السنة بدون </w:t>
      </w:r>
      <w:r w:rsidRPr="005675B2">
        <w:rPr>
          <w:rFonts w:hint="cs"/>
          <w:u w:val="single"/>
          <w:rtl/>
        </w:rPr>
        <w:t>حاجة إلى واسطة</w:t>
      </w:r>
      <w:r w:rsidRPr="005675B2">
        <w:rPr>
          <w:rFonts w:hint="cs"/>
          <w:rtl/>
        </w:rPr>
        <w:t xml:space="preserve"> </w:t>
      </w:r>
      <w:r w:rsidR="000636C2">
        <w:rPr>
          <w:rFonts w:hint="cs"/>
          <w:rtl/>
        </w:rPr>
        <w:t>(</w:t>
      </w:r>
      <w:r w:rsidRPr="005675B2">
        <w:rPr>
          <w:rFonts w:hint="cs"/>
          <w:rtl/>
        </w:rPr>
        <w:t>إنما أمره إذا أراد شيئا أن يقول له كن فيكون</w:t>
      </w:r>
      <w:r w:rsidR="000636C2">
        <w:rPr>
          <w:rFonts w:hint="cs"/>
          <w:rtl/>
        </w:rPr>
        <w:t>)</w:t>
      </w:r>
      <w:r w:rsidRPr="005675B2">
        <w:rPr>
          <w:rFonts w:hint="cs"/>
          <w:rtl/>
        </w:rPr>
        <w:t>)</w:t>
      </w:r>
      <w:r w:rsidR="000636C2">
        <w:rPr>
          <w:rFonts w:hint="cs"/>
          <w:rtl/>
        </w:rPr>
        <w:t>،</w:t>
      </w:r>
      <w:r w:rsidRPr="005675B2">
        <w:rPr>
          <w:rFonts w:hint="cs"/>
          <w:rtl/>
        </w:rPr>
        <w:t xml:space="preserve"> والخلل الثاني</w:t>
      </w:r>
      <w:r w:rsidR="000636C2">
        <w:rPr>
          <w:rFonts w:hint="cs"/>
          <w:rtl/>
        </w:rPr>
        <w:t>:</w:t>
      </w:r>
      <w:r w:rsidRPr="005675B2">
        <w:rPr>
          <w:rFonts w:hint="cs"/>
          <w:rtl/>
        </w:rPr>
        <w:t>قوله أن العبد فاعل حقيقة</w:t>
      </w:r>
      <w:r w:rsidR="000636C2">
        <w:rPr>
          <w:rFonts w:hint="cs"/>
          <w:rtl/>
        </w:rPr>
        <w:t>،</w:t>
      </w:r>
      <w:r w:rsidRPr="005675B2">
        <w:rPr>
          <w:rFonts w:hint="cs"/>
          <w:rtl/>
        </w:rPr>
        <w:t>لأن الفاعل حقيقة</w:t>
      </w:r>
      <w:r w:rsidR="000636C2">
        <w:rPr>
          <w:rFonts w:hint="cs"/>
          <w:rtl/>
        </w:rPr>
        <w:t xml:space="preserve"> </w:t>
      </w:r>
      <w:r w:rsidRPr="005675B2">
        <w:rPr>
          <w:rFonts w:hint="cs"/>
          <w:rtl/>
        </w:rPr>
        <w:t>هو الخالق لأفعاله</w:t>
      </w:r>
      <w:r w:rsidR="000636C2">
        <w:rPr>
          <w:rFonts w:hint="cs"/>
          <w:rtl/>
        </w:rPr>
        <w:t>،</w:t>
      </w:r>
      <w:r w:rsidRPr="005675B2">
        <w:rPr>
          <w:rFonts w:hint="cs"/>
          <w:rtl/>
        </w:rPr>
        <w:t xml:space="preserve"> فلا فاعل حقيقة عند أهل السنة إلا الله</w:t>
      </w:r>
      <w:r w:rsidR="000636C2">
        <w:rPr>
          <w:rFonts w:hint="cs"/>
          <w:rtl/>
        </w:rPr>
        <w:t>،</w:t>
      </w:r>
      <w:r w:rsidRPr="005675B2">
        <w:rPr>
          <w:rFonts w:hint="cs"/>
          <w:rtl/>
        </w:rPr>
        <w:t xml:space="preserve"> أي لا خالق إلا هو</w:t>
      </w:r>
      <w:r w:rsidR="000636C2">
        <w:rPr>
          <w:rFonts w:hint="cs"/>
          <w:rtl/>
        </w:rPr>
        <w:t>،</w:t>
      </w:r>
      <w:r w:rsidRPr="005675B2">
        <w:rPr>
          <w:rFonts w:hint="cs"/>
          <w:rtl/>
        </w:rPr>
        <w:t>،ولا شك أنه لايقصد أنه خالق لفعله فقد صرح بذلك</w:t>
      </w:r>
      <w:r w:rsidR="000636C2">
        <w:rPr>
          <w:rFonts w:hint="cs"/>
          <w:rtl/>
        </w:rPr>
        <w:t>،</w:t>
      </w:r>
      <w:r w:rsidRPr="005675B2">
        <w:rPr>
          <w:rFonts w:hint="cs"/>
          <w:rtl/>
        </w:rPr>
        <w:t>وإنما أقول أن أهل السنة يردون على المعتزلة</w:t>
      </w:r>
      <w:r w:rsidR="000636C2">
        <w:rPr>
          <w:rFonts w:hint="cs"/>
          <w:rtl/>
        </w:rPr>
        <w:t>،</w:t>
      </w:r>
      <w:r w:rsidRPr="005675B2">
        <w:rPr>
          <w:rFonts w:hint="cs"/>
          <w:rtl/>
        </w:rPr>
        <w:t xml:space="preserve">والفاعل حقيقة عند أهل السنة والمعتزلة في </w:t>
      </w:r>
      <w:r w:rsidRPr="005675B2">
        <w:rPr>
          <w:rFonts w:hint="cs"/>
          <w:u w:val="single"/>
          <w:rtl/>
        </w:rPr>
        <w:t>هذه المسألة هو خالق الفعل</w:t>
      </w:r>
      <w:r w:rsidRPr="005675B2">
        <w:rPr>
          <w:rFonts w:hint="cs"/>
          <w:rtl/>
        </w:rPr>
        <w:t>، فتبين لكل من يفهم</w:t>
      </w:r>
      <w:r w:rsidR="000636C2">
        <w:rPr>
          <w:rFonts w:hint="cs"/>
          <w:rtl/>
        </w:rPr>
        <w:t>،</w:t>
      </w:r>
      <w:r w:rsidRPr="005675B2">
        <w:rPr>
          <w:rFonts w:hint="cs"/>
          <w:rtl/>
        </w:rPr>
        <w:t>ماهو مغزى العقائديين من الطرفين في موطن النزاع فكلامه هنا في موطن النزاع مجرد تشغيب وسيأتي مزيد بيان</w:t>
      </w:r>
      <w:r w:rsidR="000636C2">
        <w:rPr>
          <w:rFonts w:hint="cs"/>
          <w:rtl/>
        </w:rPr>
        <w:t>،</w:t>
      </w:r>
      <w:r w:rsidRPr="005675B2">
        <w:rPr>
          <w:rFonts w:hint="cs"/>
          <w:rtl/>
        </w:rPr>
        <w:t xml:space="preserve"> قال</w:t>
      </w:r>
      <w:r w:rsidR="000636C2">
        <w:rPr>
          <w:rFonts w:hint="cs"/>
          <w:rtl/>
        </w:rPr>
        <w:t>:</w:t>
      </w:r>
      <w:r w:rsidRPr="005675B2">
        <w:rPr>
          <w:rFonts w:hint="cs"/>
          <w:rtl/>
        </w:rPr>
        <w:t xml:space="preserve"> الصفاقسي</w:t>
      </w:r>
      <w:r w:rsidR="000636C2">
        <w:rPr>
          <w:rFonts w:hint="cs"/>
          <w:rtl/>
        </w:rPr>
        <w:t>:</w:t>
      </w:r>
      <w:r w:rsidRPr="005675B2">
        <w:rPr>
          <w:rFonts w:hint="cs"/>
          <w:rtl/>
        </w:rPr>
        <w:t xml:space="preserve"> وهذا الكسب الذي أثبته أهل السنة لا تأثير له كما أشار إليه الناظم بقوله</w:t>
      </w:r>
      <w:r w:rsidR="000636C2">
        <w:rPr>
          <w:rFonts w:hint="cs"/>
          <w:rtl/>
        </w:rPr>
        <w:t>:</w:t>
      </w:r>
      <w:r w:rsidRPr="005675B2">
        <w:rPr>
          <w:rFonts w:hint="cs"/>
          <w:rtl/>
        </w:rPr>
        <w:t xml:space="preserve"> </w:t>
      </w:r>
      <w:r w:rsidR="000636C2">
        <w:rPr>
          <w:rFonts w:hint="cs"/>
          <w:rtl/>
        </w:rPr>
        <w:t>(</w:t>
      </w:r>
      <w:r w:rsidRPr="005675B2">
        <w:rPr>
          <w:rFonts w:hint="cs"/>
          <w:rtl/>
        </w:rPr>
        <w:t>ولم يكن</w:t>
      </w:r>
      <w:r w:rsidR="000636C2">
        <w:rPr>
          <w:rFonts w:hint="cs"/>
          <w:rtl/>
        </w:rPr>
        <w:t>)</w:t>
      </w:r>
      <w:r w:rsidRPr="005675B2">
        <w:rPr>
          <w:rFonts w:hint="cs"/>
          <w:rtl/>
        </w:rPr>
        <w:t xml:space="preserve"> ذلك العبد </w:t>
      </w:r>
      <w:r w:rsidR="000636C2">
        <w:rPr>
          <w:rFonts w:hint="cs"/>
          <w:rtl/>
        </w:rPr>
        <w:t>(</w:t>
      </w:r>
      <w:r w:rsidRPr="005675B2">
        <w:rPr>
          <w:rFonts w:hint="cs"/>
          <w:rtl/>
        </w:rPr>
        <w:t>مؤثِّراً</w:t>
      </w:r>
      <w:r w:rsidR="000636C2">
        <w:rPr>
          <w:rFonts w:hint="cs"/>
          <w:rtl/>
        </w:rPr>
        <w:t>)</w:t>
      </w:r>
      <w:r w:rsidRPr="005675B2">
        <w:rPr>
          <w:rFonts w:hint="cs"/>
          <w:rtl/>
        </w:rPr>
        <w:t xml:space="preserve"> بذلك الكسب الذي كُلِّف به في المقدور تأثير </w:t>
      </w:r>
      <w:r w:rsidRPr="005675B2">
        <w:rPr>
          <w:rFonts w:hint="cs"/>
          <w:u w:val="single"/>
          <w:rtl/>
        </w:rPr>
        <w:t>اختراع وخلق وإيجاد</w:t>
      </w:r>
      <w:r w:rsidRPr="005675B2">
        <w:rPr>
          <w:rFonts w:hint="cs"/>
          <w:rtl/>
        </w:rPr>
        <w:t xml:space="preserve"> له؛ لقيام البرهان على انفراد الباري بالتأثير، لا مؤثر سواه في شيء ماعموماً</w:t>
      </w:r>
      <w:r w:rsidR="000636C2">
        <w:rPr>
          <w:rStyle w:val="a5"/>
          <w:rFonts w:hint="cs"/>
          <w:b/>
          <w:rtl/>
        </w:rPr>
        <w:t>،</w:t>
      </w:r>
      <w:r w:rsidRPr="005675B2">
        <w:rPr>
          <w:rStyle w:val="a5"/>
          <w:rFonts w:hint="cs"/>
          <w:b/>
          <w:rtl/>
        </w:rPr>
        <w:t xml:space="preserve"> </w:t>
      </w:r>
      <w:r w:rsidRPr="005675B2">
        <w:rPr>
          <w:rFonts w:hint="cs"/>
          <w:rtl/>
        </w:rPr>
        <w:t>[</w:t>
      </w:r>
      <w:r w:rsidRPr="005675B2">
        <w:rPr>
          <w:rFonts w:hint="cs"/>
          <w:sz w:val="24"/>
          <w:szCs w:val="24"/>
          <w:rtl/>
        </w:rPr>
        <w:t>تقريب البعيد إلى جوهرة التوحيد تأليف الشيخ علي بن محمد التميمي المؤخر الصفاقسي ص61</w:t>
      </w:r>
      <w:r w:rsidRPr="005675B2">
        <w:rPr>
          <w:rFonts w:hint="cs"/>
          <w:rtl/>
        </w:rPr>
        <w:t>]</w:t>
      </w:r>
      <w:r w:rsidR="000636C2">
        <w:rPr>
          <w:rFonts w:hint="cs"/>
          <w:rtl/>
        </w:rPr>
        <w:t>،</w:t>
      </w:r>
      <w:r w:rsidRPr="005675B2">
        <w:rPr>
          <w:rFonts w:hint="cs"/>
          <w:rtl/>
        </w:rPr>
        <w:t xml:space="preserve"> </w:t>
      </w:r>
      <w:r w:rsidRPr="005675B2">
        <w:rPr>
          <w:rStyle w:val="fouaid1"/>
          <w:rFonts w:hint="cs"/>
          <w:bCs/>
          <w:rtl/>
        </w:rPr>
        <w:t>سؤال</w:t>
      </w:r>
      <w:r w:rsidR="000636C2">
        <w:rPr>
          <w:rStyle w:val="fouaid1"/>
          <w:rFonts w:hint="cs"/>
          <w:bCs/>
          <w:rtl/>
        </w:rPr>
        <w:t>:</w:t>
      </w:r>
      <w:r w:rsidRPr="005675B2">
        <w:rPr>
          <w:rStyle w:val="fouaid1"/>
          <w:rFonts w:hint="cs"/>
          <w:bCs/>
          <w:rtl/>
        </w:rPr>
        <w:t xml:space="preserve"> قارن بين هذه الأفعال في الجمل التالية</w:t>
      </w:r>
      <w:r w:rsidR="000636C2">
        <w:rPr>
          <w:rStyle w:val="fouaid1"/>
          <w:rFonts w:hint="cs"/>
          <w:bCs/>
          <w:rtl/>
        </w:rPr>
        <w:t>؟</w:t>
      </w:r>
      <w:r w:rsidRPr="005675B2">
        <w:rPr>
          <w:rStyle w:val="fouaid1"/>
          <w:rFonts w:hint="cs"/>
          <w:bCs/>
          <w:rtl/>
        </w:rPr>
        <w:t>ومانوع الفاعل في هذه الجمل</w:t>
      </w:r>
      <w:r w:rsidR="000636C2">
        <w:rPr>
          <w:rStyle w:val="fouaid1"/>
          <w:rFonts w:hint="cs"/>
          <w:bCs/>
          <w:rtl/>
        </w:rPr>
        <w:t>؟</w:t>
      </w:r>
      <w:r w:rsidRPr="005675B2">
        <w:rPr>
          <w:rStyle w:val="fouaid1"/>
          <w:rFonts w:hint="cs"/>
          <w:bCs/>
          <w:rtl/>
        </w:rPr>
        <w:t xml:space="preserve"> علم الله طلبة العلم</w:t>
      </w:r>
      <w:r w:rsidR="000636C2">
        <w:rPr>
          <w:rStyle w:val="fouaid1"/>
          <w:rFonts w:hint="cs"/>
          <w:bCs/>
          <w:rtl/>
        </w:rPr>
        <w:t>،</w:t>
      </w:r>
      <w:r w:rsidRPr="005675B2">
        <w:rPr>
          <w:rStyle w:val="fouaid1"/>
          <w:rFonts w:hint="cs"/>
          <w:bCs/>
          <w:rtl/>
        </w:rPr>
        <w:t xml:space="preserve"> </w:t>
      </w:r>
      <w:r w:rsidR="000636C2">
        <w:rPr>
          <w:rStyle w:val="fouaid1"/>
          <w:rFonts w:hint="cs"/>
          <w:bCs/>
          <w:rtl/>
        </w:rPr>
        <w:t>[</w:t>
      </w:r>
      <w:r>
        <w:rPr>
          <w:rStyle w:val="fouaid1"/>
          <w:rFonts w:hint="cs"/>
          <w:bCs/>
          <w:rtl/>
        </w:rPr>
        <w:t>الجواب</w:t>
      </w:r>
      <w:r w:rsidR="000636C2">
        <w:rPr>
          <w:rStyle w:val="fouaid1"/>
          <w:rFonts w:hint="cs"/>
          <w:bCs/>
          <w:rtl/>
        </w:rPr>
        <w:t>]:</w:t>
      </w:r>
      <w:r w:rsidRPr="005675B2">
        <w:rPr>
          <w:rStyle w:val="fouaid1"/>
          <w:rFonts w:hint="cs"/>
          <w:bCs/>
          <w:rtl/>
        </w:rPr>
        <w:t xml:space="preserve"> هو </w:t>
      </w:r>
      <w:r w:rsidR="000636C2">
        <w:rPr>
          <w:rStyle w:val="fouaid1"/>
          <w:rFonts w:hint="cs"/>
          <w:bCs/>
          <w:rtl/>
        </w:rPr>
        <w:t>(</w:t>
      </w:r>
      <w:r w:rsidRPr="005675B2">
        <w:rPr>
          <w:rStyle w:val="fouaid1"/>
          <w:rFonts w:hint="cs"/>
          <w:bCs/>
          <w:rtl/>
        </w:rPr>
        <w:t>فاعل حقيقة</w:t>
      </w:r>
      <w:r w:rsidR="000636C2">
        <w:rPr>
          <w:rStyle w:val="fouaid1"/>
          <w:rFonts w:hint="cs"/>
          <w:bCs/>
          <w:rtl/>
        </w:rPr>
        <w:t>)</w:t>
      </w:r>
      <w:r w:rsidRPr="005675B2">
        <w:rPr>
          <w:rStyle w:val="fouaid1"/>
          <w:rFonts w:hint="cs"/>
          <w:bCs/>
          <w:rtl/>
        </w:rPr>
        <w:t>أي</w:t>
      </w:r>
      <w:r w:rsidR="000636C2">
        <w:rPr>
          <w:rStyle w:val="fouaid1"/>
          <w:rFonts w:hint="cs"/>
          <w:bCs/>
          <w:rtl/>
        </w:rPr>
        <w:t xml:space="preserve"> (</w:t>
      </w:r>
      <w:r w:rsidRPr="005675B2">
        <w:rPr>
          <w:rStyle w:val="fouaid1"/>
          <w:rFonts w:hint="cs"/>
          <w:bCs/>
          <w:rtl/>
        </w:rPr>
        <w:t>مؤثر</w:t>
      </w:r>
      <w:r w:rsidR="000636C2">
        <w:rPr>
          <w:rStyle w:val="fouaid1"/>
          <w:rFonts w:hint="cs"/>
          <w:bCs/>
          <w:rtl/>
        </w:rPr>
        <w:t xml:space="preserve"> </w:t>
      </w:r>
      <w:r w:rsidRPr="005675B2">
        <w:rPr>
          <w:rStyle w:val="fouaid1"/>
          <w:rFonts w:hint="cs"/>
          <w:bCs/>
          <w:rtl/>
        </w:rPr>
        <w:t>خالق</w:t>
      </w:r>
      <w:r w:rsidR="000636C2">
        <w:rPr>
          <w:rStyle w:val="fouaid1"/>
          <w:rFonts w:hint="cs"/>
          <w:bCs/>
          <w:rtl/>
        </w:rPr>
        <w:t>)،</w:t>
      </w:r>
      <w:r w:rsidRPr="005675B2">
        <w:rPr>
          <w:rStyle w:val="fouaid1"/>
          <w:rFonts w:hint="cs"/>
          <w:bCs/>
          <w:rtl/>
        </w:rPr>
        <w:t xml:space="preserve"> علم المدرس طلبة العلم</w:t>
      </w:r>
      <w:r w:rsidR="000636C2">
        <w:rPr>
          <w:rStyle w:val="fouaid1"/>
          <w:rFonts w:hint="cs"/>
          <w:bCs/>
          <w:rtl/>
        </w:rPr>
        <w:t>،</w:t>
      </w:r>
      <w:r w:rsidRPr="005675B2">
        <w:rPr>
          <w:rStyle w:val="fouaid1"/>
          <w:rFonts w:hint="cs"/>
          <w:rtl/>
        </w:rPr>
        <w:t xml:space="preserve"> هو </w:t>
      </w:r>
      <w:r w:rsidR="000636C2">
        <w:rPr>
          <w:rStyle w:val="fouaid1"/>
          <w:rFonts w:hint="cs"/>
          <w:rtl/>
        </w:rPr>
        <w:t>(</w:t>
      </w:r>
      <w:r w:rsidRPr="005675B2">
        <w:rPr>
          <w:rStyle w:val="fouaid1"/>
          <w:rFonts w:hint="cs"/>
          <w:rtl/>
        </w:rPr>
        <w:t>فاعل مجازاً</w:t>
      </w:r>
      <w:r w:rsidR="000636C2">
        <w:rPr>
          <w:rStyle w:val="fouaid1"/>
          <w:rFonts w:hint="cs"/>
          <w:rtl/>
        </w:rPr>
        <w:t>)</w:t>
      </w:r>
      <w:r w:rsidRPr="005675B2">
        <w:rPr>
          <w:rStyle w:val="fouaid1"/>
          <w:rFonts w:hint="cs"/>
          <w:rtl/>
        </w:rPr>
        <w:t xml:space="preserve"> </w:t>
      </w:r>
      <w:r w:rsidR="000636C2">
        <w:rPr>
          <w:rStyle w:val="fouaid1"/>
          <w:rFonts w:hint="cs"/>
          <w:rtl/>
        </w:rPr>
        <w:t>(</w:t>
      </w:r>
      <w:r w:rsidRPr="005675B2">
        <w:rPr>
          <w:rStyle w:val="fouaid1"/>
          <w:rFonts w:hint="cs"/>
          <w:rtl/>
        </w:rPr>
        <w:t>أي غير خالق</w:t>
      </w:r>
      <w:r w:rsidR="000636C2">
        <w:rPr>
          <w:rStyle w:val="fouaid1"/>
          <w:rFonts w:hint="cs"/>
          <w:rtl/>
        </w:rPr>
        <w:t>)،</w:t>
      </w:r>
      <w:r w:rsidRPr="005675B2">
        <w:rPr>
          <w:rStyle w:val="fouaid1"/>
          <w:rFonts w:hint="cs"/>
          <w:rtl/>
        </w:rPr>
        <w:t xml:space="preserve"> </w:t>
      </w:r>
      <w:r w:rsidRPr="005675B2">
        <w:rPr>
          <w:rStyle w:val="fouaid1"/>
          <w:rFonts w:hint="cs"/>
          <w:bCs/>
          <w:rtl/>
        </w:rPr>
        <w:t xml:space="preserve">دمر </w:t>
      </w:r>
      <w:r w:rsidRPr="005675B2">
        <w:rPr>
          <w:rStyle w:val="fouaid1"/>
          <w:rFonts w:hint="cs"/>
          <w:bCs/>
          <w:u w:val="single"/>
          <w:rtl/>
        </w:rPr>
        <w:t>الله</w:t>
      </w:r>
      <w:r w:rsidRPr="005675B2">
        <w:rPr>
          <w:rStyle w:val="fouaid1"/>
          <w:rFonts w:hint="cs"/>
          <w:bCs/>
          <w:rtl/>
        </w:rPr>
        <w:t xml:space="preserve"> القرية</w:t>
      </w:r>
      <w:r w:rsidR="000636C2">
        <w:rPr>
          <w:rStyle w:val="fouaid1"/>
          <w:rFonts w:hint="cs"/>
          <w:bCs/>
          <w:rtl/>
        </w:rPr>
        <w:t xml:space="preserve">، </w:t>
      </w:r>
      <w:r w:rsidRPr="005675B2">
        <w:rPr>
          <w:rStyle w:val="fouaid1"/>
          <w:rFonts w:hint="cs"/>
          <w:bCs/>
          <w:rtl/>
        </w:rPr>
        <w:t xml:space="preserve">دمر </w:t>
      </w:r>
      <w:r w:rsidRPr="005675B2">
        <w:rPr>
          <w:rStyle w:val="fouaid1"/>
          <w:rFonts w:hint="cs"/>
          <w:bCs/>
          <w:u w:val="single"/>
          <w:rtl/>
        </w:rPr>
        <w:t xml:space="preserve">الجيش </w:t>
      </w:r>
      <w:r w:rsidRPr="005675B2">
        <w:rPr>
          <w:rStyle w:val="fouaid1"/>
          <w:rFonts w:hint="cs"/>
          <w:bCs/>
          <w:rtl/>
        </w:rPr>
        <w:t>القرية</w:t>
      </w:r>
      <w:r w:rsidR="000636C2">
        <w:rPr>
          <w:rStyle w:val="fouaid1"/>
          <w:rFonts w:hint="cs"/>
          <w:bCs/>
          <w:rtl/>
        </w:rPr>
        <w:t>،</w:t>
      </w:r>
      <w:r w:rsidRPr="005675B2">
        <w:rPr>
          <w:rStyle w:val="fouaid1"/>
          <w:rFonts w:hint="cs"/>
          <w:rtl/>
        </w:rPr>
        <w:t xml:space="preserve"> </w:t>
      </w:r>
      <w:r w:rsidRPr="005675B2">
        <w:rPr>
          <w:rStyle w:val="fouaid1"/>
          <w:rFonts w:hint="cs"/>
          <w:bCs/>
          <w:rtl/>
        </w:rPr>
        <w:t>هذا الفعل للإنسان هل هو على وجه الاستقلال أو الشراكة، أو الكسب</w:t>
      </w:r>
      <w:r w:rsidR="000636C2">
        <w:rPr>
          <w:rStyle w:val="fouaid1"/>
          <w:rFonts w:hint="cs"/>
          <w:bCs/>
          <w:rtl/>
        </w:rPr>
        <w:t>؟</w:t>
      </w:r>
      <w:r w:rsidRPr="005675B2">
        <w:rPr>
          <w:rStyle w:val="fouaid1"/>
          <w:rFonts w:hint="cs"/>
          <w:bCs/>
          <w:rtl/>
        </w:rPr>
        <w:t xml:space="preserve"> فإن قلت الاستقلال فهو كفر بالله كما لايخفى</w:t>
      </w:r>
      <w:r w:rsidR="000636C2">
        <w:rPr>
          <w:rStyle w:val="fouaid1"/>
          <w:rFonts w:hint="cs"/>
          <w:bCs/>
          <w:rtl/>
        </w:rPr>
        <w:t>،</w:t>
      </w:r>
      <w:r w:rsidRPr="005675B2">
        <w:rPr>
          <w:rStyle w:val="fouaid1"/>
          <w:rFonts w:hint="cs"/>
          <w:bCs/>
          <w:rtl/>
        </w:rPr>
        <w:t xml:space="preserve"> وإن قلت شريك له فهذا شرك أكبر</w:t>
      </w:r>
      <w:r w:rsidR="000636C2">
        <w:rPr>
          <w:rStyle w:val="fouaid1"/>
          <w:rFonts w:hint="cs"/>
          <w:bCs/>
          <w:rtl/>
        </w:rPr>
        <w:t>،</w:t>
      </w:r>
      <w:r w:rsidRPr="005675B2">
        <w:rPr>
          <w:rStyle w:val="fouaid1"/>
          <w:rFonts w:hint="cs"/>
          <w:bCs/>
          <w:rtl/>
        </w:rPr>
        <w:t xml:space="preserve"> فلم يبق</w:t>
      </w:r>
      <w:r w:rsidR="000636C2">
        <w:rPr>
          <w:rStyle w:val="fouaid1"/>
          <w:rFonts w:hint="cs"/>
          <w:bCs/>
          <w:rtl/>
        </w:rPr>
        <w:t xml:space="preserve"> </w:t>
      </w:r>
      <w:r w:rsidRPr="005675B2">
        <w:rPr>
          <w:rStyle w:val="fouaid1"/>
          <w:rFonts w:hint="cs"/>
          <w:bCs/>
          <w:rtl/>
        </w:rPr>
        <w:t>لك إلا أن تقول</w:t>
      </w:r>
      <w:r w:rsidR="000636C2">
        <w:rPr>
          <w:rStyle w:val="fouaid1"/>
          <w:rFonts w:hint="cs"/>
          <w:bCs/>
          <w:rtl/>
        </w:rPr>
        <w:t>:</w:t>
      </w:r>
      <w:r w:rsidRPr="005675B2">
        <w:rPr>
          <w:rStyle w:val="fouaid1"/>
          <w:rFonts w:hint="cs"/>
          <w:bCs/>
          <w:rtl/>
        </w:rPr>
        <w:t>هو كسب فقط أو تسميه سبباً أوتقصد أنه فاعل مجازاً</w:t>
      </w:r>
      <w:r w:rsidR="000636C2">
        <w:rPr>
          <w:rStyle w:val="fouaid1"/>
          <w:rFonts w:hint="cs"/>
          <w:bCs/>
          <w:rtl/>
        </w:rPr>
        <w:t>،</w:t>
      </w:r>
      <w:r w:rsidRPr="005675B2">
        <w:rPr>
          <w:rStyle w:val="fouaid1"/>
          <w:rFonts w:hint="cs"/>
          <w:bCs/>
          <w:rtl/>
        </w:rPr>
        <w:t xml:space="preserve"> أو تقول كل له فعله الخاص به عند الإضافة</w:t>
      </w:r>
      <w:r w:rsidR="000636C2">
        <w:rPr>
          <w:rStyle w:val="fouaid1"/>
          <w:rFonts w:hint="cs"/>
          <w:bCs/>
          <w:rtl/>
        </w:rPr>
        <w:t>،</w:t>
      </w:r>
      <w:r w:rsidRPr="005675B2">
        <w:rPr>
          <w:rStyle w:val="fouaid1"/>
          <w:rFonts w:hint="cs"/>
          <w:bCs/>
          <w:rtl/>
        </w:rPr>
        <w:t xml:space="preserve"> وعندها نقول</w:t>
      </w:r>
      <w:r w:rsidR="000636C2">
        <w:rPr>
          <w:rStyle w:val="fouaid1"/>
          <w:rFonts w:hint="cs"/>
          <w:bCs/>
          <w:rtl/>
        </w:rPr>
        <w:t xml:space="preserve"> </w:t>
      </w:r>
      <w:r w:rsidRPr="005675B2">
        <w:rPr>
          <w:rStyle w:val="fouaid1"/>
          <w:rFonts w:hint="cs"/>
          <w:bCs/>
          <w:rtl/>
        </w:rPr>
        <w:t xml:space="preserve">هنا مربط الفرس فلاجديد في هذا </w:t>
      </w:r>
      <w:r w:rsidR="000636C2">
        <w:rPr>
          <w:rStyle w:val="fouaid1"/>
          <w:rFonts w:hint="cs"/>
          <w:bCs/>
          <w:rtl/>
        </w:rPr>
        <w:t>[</w:t>
      </w:r>
      <w:r>
        <w:rPr>
          <w:rStyle w:val="fouaid1"/>
          <w:rFonts w:hint="cs"/>
          <w:bCs/>
          <w:rtl/>
        </w:rPr>
        <w:t>الجواب</w:t>
      </w:r>
      <w:r w:rsidR="000636C2">
        <w:rPr>
          <w:rStyle w:val="fouaid1"/>
          <w:rFonts w:hint="cs"/>
          <w:bCs/>
          <w:rtl/>
        </w:rPr>
        <w:t xml:space="preserve">] </w:t>
      </w:r>
      <w:r w:rsidRPr="005675B2">
        <w:rPr>
          <w:rStyle w:val="fouaid1"/>
          <w:rFonts w:hint="cs"/>
          <w:bCs/>
          <w:rtl/>
        </w:rPr>
        <w:t>لأننا نقول ماهو نوع فعله عند الإضافة</w:t>
      </w:r>
      <w:r w:rsidR="000636C2">
        <w:rPr>
          <w:rStyle w:val="fouaid1"/>
          <w:rFonts w:hint="cs"/>
          <w:bCs/>
          <w:rtl/>
        </w:rPr>
        <w:t>؟</w:t>
      </w:r>
      <w:r w:rsidRPr="005675B2">
        <w:rPr>
          <w:rStyle w:val="fouaid1"/>
          <w:rFonts w:hint="cs"/>
          <w:bCs/>
          <w:rtl/>
        </w:rPr>
        <w:t>حتى على قولك أنه فاعل حقيقة فكلامك يحتمل أحد معنيين</w:t>
      </w:r>
      <w:r w:rsidR="000636C2">
        <w:rPr>
          <w:rStyle w:val="fouaid1"/>
          <w:rFonts w:hint="cs"/>
          <w:bCs/>
          <w:rtl/>
        </w:rPr>
        <w:t>:</w:t>
      </w:r>
      <w:r w:rsidRPr="005675B2">
        <w:rPr>
          <w:rStyle w:val="fouaid1"/>
          <w:rFonts w:hint="cs"/>
          <w:bCs/>
          <w:rtl/>
        </w:rPr>
        <w:t xml:space="preserve"> الاحتمال الأول</w:t>
      </w:r>
      <w:r w:rsidR="000636C2">
        <w:rPr>
          <w:rStyle w:val="fouaid1"/>
          <w:rFonts w:hint="cs"/>
          <w:bCs/>
          <w:rtl/>
        </w:rPr>
        <w:t>:</w:t>
      </w:r>
      <w:r w:rsidRPr="005675B2">
        <w:rPr>
          <w:rStyle w:val="fouaid1"/>
          <w:rFonts w:hint="cs"/>
          <w:bCs/>
          <w:rtl/>
        </w:rPr>
        <w:t xml:space="preserve"> أن مقصودك أنه الخالق لفعله وهذا استبعد أن يكون هو مرادك وإن كان هو المقصود عند جمهور العقائديين</w:t>
      </w:r>
      <w:r w:rsidR="000636C2">
        <w:rPr>
          <w:rStyle w:val="fouaid1"/>
          <w:rFonts w:hint="cs"/>
          <w:bCs/>
          <w:rtl/>
        </w:rPr>
        <w:t xml:space="preserve"> </w:t>
      </w:r>
      <w:r w:rsidRPr="005675B2">
        <w:rPr>
          <w:rStyle w:val="fouaid1"/>
          <w:rFonts w:hint="cs"/>
          <w:bCs/>
          <w:rtl/>
        </w:rPr>
        <w:t>من المعتزلة وأهل السنة</w:t>
      </w:r>
      <w:r w:rsidR="000636C2">
        <w:rPr>
          <w:rStyle w:val="fouaid1"/>
          <w:rFonts w:hint="cs"/>
          <w:bCs/>
          <w:rtl/>
        </w:rPr>
        <w:t>،</w:t>
      </w:r>
      <w:r w:rsidRPr="005675B2">
        <w:rPr>
          <w:rStyle w:val="fouaid1"/>
          <w:rFonts w:hint="cs"/>
          <w:bCs/>
          <w:rtl/>
        </w:rPr>
        <w:t xml:space="preserve"> الاحتمال الثاني</w:t>
      </w:r>
      <w:r w:rsidR="000636C2">
        <w:rPr>
          <w:rStyle w:val="fouaid1"/>
          <w:rFonts w:hint="cs"/>
          <w:bCs/>
          <w:rtl/>
        </w:rPr>
        <w:t>:</w:t>
      </w:r>
      <w:r w:rsidRPr="005675B2">
        <w:rPr>
          <w:rStyle w:val="fouaid1"/>
          <w:rFonts w:hint="cs"/>
          <w:bCs/>
          <w:rtl/>
        </w:rPr>
        <w:t xml:space="preserve"> أن تقصد أنه السبب المباشر للفعل</w:t>
      </w:r>
      <w:r w:rsidR="000636C2">
        <w:rPr>
          <w:rStyle w:val="fouaid1"/>
          <w:rFonts w:hint="cs"/>
          <w:bCs/>
          <w:rtl/>
        </w:rPr>
        <w:t xml:space="preserve"> </w:t>
      </w:r>
      <w:r w:rsidRPr="005675B2">
        <w:rPr>
          <w:rStyle w:val="fouaid1"/>
          <w:rFonts w:hint="cs"/>
          <w:bCs/>
          <w:rtl/>
        </w:rPr>
        <w:t>لكن لا على وجه الخلق والإيجاد أي التأثير</w:t>
      </w:r>
      <w:r w:rsidR="000636C2">
        <w:rPr>
          <w:rStyle w:val="fouaid1"/>
          <w:rFonts w:hint="cs"/>
          <w:bCs/>
          <w:rtl/>
        </w:rPr>
        <w:t>،</w:t>
      </w:r>
      <w:r w:rsidRPr="005675B2">
        <w:rPr>
          <w:rStyle w:val="fouaid1"/>
          <w:rFonts w:hint="cs"/>
          <w:bCs/>
          <w:rtl/>
        </w:rPr>
        <w:t>ولا على وجه المعاونة لله سبحانه</w:t>
      </w:r>
      <w:r w:rsidR="000636C2">
        <w:rPr>
          <w:rStyle w:val="fouaid1"/>
          <w:rFonts w:hint="cs"/>
          <w:bCs/>
          <w:rtl/>
        </w:rPr>
        <w:t>،</w:t>
      </w:r>
      <w:r w:rsidRPr="005675B2">
        <w:rPr>
          <w:rStyle w:val="fouaid1"/>
          <w:rFonts w:hint="cs"/>
          <w:bCs/>
          <w:rtl/>
        </w:rPr>
        <w:t xml:space="preserve"> بل الله الخالق وحده فهذا هو نفس كلام الأشاعرة وغيرهم من أهل السنة فصار الخلاف لفظياً</w:t>
      </w:r>
      <w:r w:rsidR="000636C2">
        <w:rPr>
          <w:rStyle w:val="fouaid1"/>
          <w:rFonts w:hint="cs"/>
          <w:bCs/>
          <w:rtl/>
        </w:rPr>
        <w:t>،</w:t>
      </w:r>
      <w:r w:rsidRPr="005675B2">
        <w:rPr>
          <w:rStyle w:val="fouaid1"/>
          <w:rFonts w:hint="cs"/>
          <w:bCs/>
          <w:rtl/>
        </w:rPr>
        <w:t xml:space="preserve"> فالمهم أن العبد</w:t>
      </w:r>
      <w:r w:rsidR="000636C2">
        <w:rPr>
          <w:rStyle w:val="fouaid1"/>
          <w:rFonts w:hint="cs"/>
          <w:bCs/>
          <w:rtl/>
        </w:rPr>
        <w:t xml:space="preserve"> </w:t>
      </w:r>
      <w:r w:rsidRPr="005675B2">
        <w:rPr>
          <w:rStyle w:val="fouaid1"/>
          <w:rFonts w:hint="cs"/>
          <w:bCs/>
          <w:rtl/>
        </w:rPr>
        <w:t>ليس بمؤثر أي ليس بخالق لفعله</w:t>
      </w:r>
      <w:r w:rsidR="000636C2">
        <w:rPr>
          <w:rStyle w:val="fouaid1"/>
          <w:rFonts w:hint="cs"/>
          <w:bCs/>
          <w:rtl/>
        </w:rPr>
        <w:t>،</w:t>
      </w:r>
      <w:r w:rsidRPr="005675B2">
        <w:rPr>
          <w:rStyle w:val="fouaid1"/>
          <w:rFonts w:hint="cs"/>
          <w:bCs/>
          <w:rtl/>
        </w:rPr>
        <w:t xml:space="preserve"> فالأشاعرة يا أخي ينفون أن يكون المخلوق فاعل بمعنى الخلق</w:t>
      </w:r>
      <w:r w:rsidR="000636C2">
        <w:rPr>
          <w:rStyle w:val="fouaid1"/>
          <w:rFonts w:hint="cs"/>
          <w:bCs/>
          <w:rtl/>
        </w:rPr>
        <w:t>،</w:t>
      </w:r>
      <w:r w:rsidRPr="005675B2">
        <w:rPr>
          <w:rStyle w:val="fouaid1"/>
          <w:rFonts w:hint="cs"/>
          <w:bCs/>
          <w:rtl/>
        </w:rPr>
        <w:t>سواء كان هذا الإيجاد استقلالاً</w:t>
      </w:r>
      <w:r w:rsidR="000636C2">
        <w:rPr>
          <w:rStyle w:val="fouaid1"/>
          <w:rFonts w:hint="cs"/>
          <w:bCs/>
          <w:rtl/>
        </w:rPr>
        <w:t xml:space="preserve"> </w:t>
      </w:r>
      <w:r w:rsidRPr="005675B2">
        <w:rPr>
          <w:rStyle w:val="fouaid1"/>
          <w:rFonts w:hint="cs"/>
          <w:bCs/>
          <w:rtl/>
        </w:rPr>
        <w:t>أو كشريك لله ولو أدنى شراكة أو كون العبد واسطة بين الله ومفعولاته</w:t>
      </w:r>
      <w:r w:rsidR="000636C2">
        <w:rPr>
          <w:rStyle w:val="fouaid1"/>
          <w:rFonts w:hint="cs"/>
          <w:bCs/>
          <w:rtl/>
        </w:rPr>
        <w:t>،</w:t>
      </w:r>
      <w:r w:rsidRPr="005675B2">
        <w:rPr>
          <w:rStyle w:val="fouaid1"/>
          <w:rFonts w:hint="cs"/>
          <w:bCs/>
          <w:rtl/>
        </w:rPr>
        <w:t xml:space="preserve"> فهذا هو مذهبهم</w:t>
      </w:r>
      <w:r w:rsidR="000636C2">
        <w:rPr>
          <w:rStyle w:val="fouaid1"/>
          <w:rFonts w:hint="cs"/>
          <w:bCs/>
          <w:rtl/>
        </w:rPr>
        <w:t xml:space="preserve"> </w:t>
      </w:r>
      <w:r w:rsidRPr="005675B2">
        <w:rPr>
          <w:rStyle w:val="fouaid1"/>
          <w:rFonts w:hint="cs"/>
          <w:bCs/>
          <w:rtl/>
        </w:rPr>
        <w:t>فالكسب وصف وليس بفعل إيجاد ولذا فيقال فلان شرير</w:t>
      </w:r>
      <w:r w:rsidR="000636C2">
        <w:rPr>
          <w:rStyle w:val="fouaid1"/>
          <w:rFonts w:hint="cs"/>
          <w:bCs/>
          <w:rtl/>
        </w:rPr>
        <w:t xml:space="preserve"> </w:t>
      </w:r>
      <w:r w:rsidRPr="005675B2">
        <w:rPr>
          <w:rStyle w:val="fouaid1"/>
          <w:rFonts w:hint="cs"/>
          <w:bCs/>
          <w:rtl/>
        </w:rPr>
        <w:t>لأنه اكتسب الشر</w:t>
      </w:r>
      <w:r w:rsidR="000636C2">
        <w:rPr>
          <w:rStyle w:val="fouaid1"/>
          <w:rFonts w:hint="cs"/>
          <w:bCs/>
          <w:rtl/>
        </w:rPr>
        <w:t>،</w:t>
      </w:r>
      <w:r w:rsidRPr="005675B2">
        <w:rPr>
          <w:rStyle w:val="fouaid1"/>
          <w:rFonts w:hint="cs"/>
          <w:bCs/>
          <w:rtl/>
        </w:rPr>
        <w:t xml:space="preserve"> ولا يقال للخالق عزوجل أنه شرير لأنه خلق الشر</w:t>
      </w:r>
      <w:r w:rsidR="000636C2">
        <w:rPr>
          <w:rStyle w:val="fouaid1"/>
          <w:rFonts w:hint="cs"/>
          <w:bCs/>
          <w:rtl/>
        </w:rPr>
        <w:t>،</w:t>
      </w:r>
      <w:r w:rsidRPr="005675B2">
        <w:rPr>
          <w:rStyle w:val="fouaid1"/>
          <w:rFonts w:hint="cs"/>
          <w:bCs/>
          <w:rtl/>
        </w:rPr>
        <w:t xml:space="preserve"> لأن الشرير هو المكتسب للشر لا الخالق</w:t>
      </w:r>
      <w:r w:rsidR="000636C2">
        <w:rPr>
          <w:rStyle w:val="fouaid1"/>
          <w:rFonts w:hint="cs"/>
          <w:bCs/>
          <w:rtl/>
        </w:rPr>
        <w:t xml:space="preserve">، </w:t>
      </w:r>
      <w:r w:rsidRPr="005675B2">
        <w:rPr>
          <w:rFonts w:hint="cs"/>
          <w:rtl/>
        </w:rPr>
        <w:t>قال الإمام الأنصاري</w:t>
      </w:r>
      <w:r w:rsidR="000636C2">
        <w:rPr>
          <w:rFonts w:hint="cs"/>
          <w:rtl/>
        </w:rPr>
        <w:t>:</w:t>
      </w:r>
      <w:r w:rsidRPr="005675B2">
        <w:rPr>
          <w:rFonts w:hint="cs"/>
          <w:rtl/>
        </w:rPr>
        <w:t>ومع أن الشر مخلوق لله تعالى على فرض أنه وجودي، لكن الأدب أن لا ينسب لله تعالى إلا الحسن فينسب الخير لله والشر للنفس، وإن كان منسوباً خلقاً لله، وذلك لأن نسبة الشر يتبادر منها عادة اكتسابه</w:t>
      </w:r>
      <w:r w:rsidR="000636C2">
        <w:rPr>
          <w:rFonts w:hint="cs"/>
          <w:rtl/>
        </w:rPr>
        <w:t>،</w:t>
      </w:r>
      <w:r w:rsidRPr="005675B2">
        <w:rPr>
          <w:rFonts w:hint="cs"/>
          <w:rtl/>
        </w:rPr>
        <w:t>والرضى به، ومعلوم أن الله تعالى لا يرضى بالشرّ</w:t>
      </w:r>
      <w:r w:rsidR="000636C2">
        <w:rPr>
          <w:rStyle w:val="fouaid1"/>
          <w:rFonts w:hint="cs"/>
          <w:bCs/>
          <w:rtl/>
        </w:rPr>
        <w:t>،</w:t>
      </w:r>
      <w:r w:rsidRPr="005675B2">
        <w:rPr>
          <w:rStyle w:val="fouaid1"/>
          <w:rFonts w:hint="cs"/>
          <w:bCs/>
          <w:rtl/>
        </w:rPr>
        <w:t xml:space="preserve"> [</w:t>
      </w:r>
      <w:r w:rsidRPr="005675B2">
        <w:rPr>
          <w:rFonts w:hint="cs"/>
          <w:bCs/>
          <w:sz w:val="24"/>
          <w:szCs w:val="24"/>
          <w:rtl/>
        </w:rPr>
        <w:t>شرح الأنصاري على أم البراهين تهذيب الشيخ الفودة</w:t>
      </w:r>
      <w:r w:rsidR="000636C2">
        <w:rPr>
          <w:rFonts w:hint="cs"/>
          <w:bCs/>
          <w:sz w:val="24"/>
          <w:szCs w:val="24"/>
          <w:rtl/>
        </w:rPr>
        <w:t>]</w:t>
      </w:r>
      <w:r w:rsidR="000636C2">
        <w:rPr>
          <w:rStyle w:val="fouaid1"/>
          <w:rFonts w:hint="cs"/>
          <w:bCs/>
          <w:rtl/>
        </w:rPr>
        <w:t>،</w:t>
      </w:r>
      <w:r w:rsidRPr="005675B2">
        <w:rPr>
          <w:rStyle w:val="fouaid1"/>
          <w:rFonts w:hint="cs"/>
          <w:bCs/>
          <w:rtl/>
        </w:rPr>
        <w:t xml:space="preserve"> </w:t>
      </w:r>
      <w:r w:rsidRPr="005675B2">
        <w:rPr>
          <w:rFonts w:hint="cs"/>
          <w:rtl/>
        </w:rPr>
        <w:t>وقول القائل</w:t>
      </w:r>
      <w:r w:rsidR="000636C2">
        <w:rPr>
          <w:rFonts w:hint="cs"/>
          <w:rtl/>
        </w:rPr>
        <w:t>:</w:t>
      </w:r>
      <w:r w:rsidRPr="005675B2">
        <w:rPr>
          <w:rFonts w:hint="cs"/>
          <w:rtl/>
        </w:rPr>
        <w:t xml:space="preserve"> أن الفعل يضاف للعبد</w:t>
      </w:r>
      <w:r w:rsidR="000636C2">
        <w:rPr>
          <w:rFonts w:hint="cs"/>
          <w:rtl/>
        </w:rPr>
        <w:t>؟</w:t>
      </w:r>
      <w:r w:rsidRPr="005675B2">
        <w:rPr>
          <w:rFonts w:hint="cs"/>
          <w:rtl/>
        </w:rPr>
        <w:t>فنعم والإضافة إليه إضافة صفة إلى موصوف</w:t>
      </w:r>
      <w:r w:rsidR="000636C2">
        <w:rPr>
          <w:rFonts w:hint="cs"/>
          <w:rtl/>
        </w:rPr>
        <w:t>،</w:t>
      </w:r>
      <w:r w:rsidRPr="005675B2">
        <w:rPr>
          <w:rFonts w:hint="cs"/>
          <w:rtl/>
        </w:rPr>
        <w:t>وهذا هو</w:t>
      </w:r>
      <w:r w:rsidR="000636C2">
        <w:rPr>
          <w:rFonts w:hint="cs"/>
          <w:rtl/>
        </w:rPr>
        <w:t xml:space="preserve"> </w:t>
      </w:r>
      <w:r w:rsidRPr="005675B2">
        <w:rPr>
          <w:rFonts w:hint="cs"/>
          <w:rtl/>
        </w:rPr>
        <w:t>الكسب</w:t>
      </w:r>
      <w:r w:rsidR="000636C2">
        <w:rPr>
          <w:rFonts w:hint="cs"/>
          <w:rtl/>
        </w:rPr>
        <w:t>،،</w:t>
      </w:r>
      <w:r w:rsidRPr="005675B2">
        <w:rPr>
          <w:rFonts w:hint="cs"/>
          <w:rtl/>
        </w:rPr>
        <w:t xml:space="preserve"> أما إضافته لله فهي إضافة مخلوق مفعول إلى خالق فاعل</w:t>
      </w:r>
      <w:r w:rsidR="000636C2">
        <w:rPr>
          <w:rFonts w:hint="cs"/>
          <w:rtl/>
        </w:rPr>
        <w:t>،</w:t>
      </w:r>
      <w:r w:rsidRPr="005675B2">
        <w:rPr>
          <w:rFonts w:hint="cs"/>
          <w:rtl/>
        </w:rPr>
        <w:t xml:space="preserve"> ويصح أن تقول أن العبد</w:t>
      </w:r>
      <w:r w:rsidR="000636C2">
        <w:rPr>
          <w:rFonts w:hint="cs"/>
          <w:rtl/>
        </w:rPr>
        <w:t xml:space="preserve"> </w:t>
      </w:r>
      <w:r w:rsidRPr="005675B2">
        <w:rPr>
          <w:rFonts w:hint="cs"/>
          <w:rtl/>
        </w:rPr>
        <w:t>فاعل لكن مجازاً لاحقيقة</w:t>
      </w:r>
      <w:r w:rsidR="000636C2">
        <w:rPr>
          <w:rFonts w:hint="cs"/>
          <w:rtl/>
        </w:rPr>
        <w:t>،</w:t>
      </w:r>
      <w:r w:rsidRPr="005675B2">
        <w:rPr>
          <w:rFonts w:hint="cs"/>
          <w:rtl/>
        </w:rPr>
        <w:t xml:space="preserve"> أي أنه ليس بخالق</w:t>
      </w:r>
      <w:r w:rsidR="000636C2">
        <w:rPr>
          <w:rFonts w:hint="cs"/>
          <w:rtl/>
        </w:rPr>
        <w:t>،</w:t>
      </w:r>
      <w:r w:rsidRPr="005675B2">
        <w:rPr>
          <w:rFonts w:hint="cs"/>
          <w:rtl/>
        </w:rPr>
        <w:t xml:space="preserve"> هذا هو معنى كلامهم</w:t>
      </w:r>
      <w:r w:rsidR="000636C2">
        <w:rPr>
          <w:rFonts w:hint="cs"/>
          <w:rtl/>
        </w:rPr>
        <w:t>،</w:t>
      </w:r>
      <w:r w:rsidRPr="005675B2">
        <w:rPr>
          <w:rFonts w:hint="cs"/>
          <w:rtl/>
        </w:rPr>
        <w:t xml:space="preserve"> وعلى هذا فيصح أن نقول</w:t>
      </w:r>
      <w:r w:rsidR="000636C2">
        <w:rPr>
          <w:rFonts w:hint="cs"/>
          <w:rtl/>
        </w:rPr>
        <w:t>:</w:t>
      </w:r>
      <w:r w:rsidRPr="005675B2">
        <w:rPr>
          <w:rFonts w:hint="cs"/>
          <w:rtl/>
        </w:rPr>
        <w:t>فلان ساجد</w:t>
      </w:r>
      <w:r w:rsidR="000636C2">
        <w:rPr>
          <w:rFonts w:hint="cs"/>
          <w:rtl/>
        </w:rPr>
        <w:t>،</w:t>
      </w:r>
      <w:r w:rsidRPr="005675B2">
        <w:rPr>
          <w:rFonts w:hint="cs"/>
          <w:rtl/>
        </w:rPr>
        <w:t>عابد</w:t>
      </w:r>
      <w:r w:rsidR="000636C2">
        <w:rPr>
          <w:rFonts w:hint="cs"/>
          <w:rtl/>
        </w:rPr>
        <w:t>،</w:t>
      </w:r>
      <w:r w:rsidRPr="005675B2">
        <w:rPr>
          <w:rFonts w:hint="cs"/>
          <w:rtl/>
        </w:rPr>
        <w:t>أو زاني عاهر لأن هذه صفات تضاف إلى من يتصف بها وهو من يوصف بالكسب</w:t>
      </w:r>
      <w:r w:rsidR="000636C2">
        <w:rPr>
          <w:rFonts w:hint="cs"/>
          <w:rtl/>
        </w:rPr>
        <w:t>،</w:t>
      </w:r>
      <w:r w:rsidRPr="005675B2">
        <w:rPr>
          <w:rFonts w:hint="cs"/>
          <w:rtl/>
        </w:rPr>
        <w:t xml:space="preserve"> وتضاف إلى الله إضافة مخلوقات إلى خالق</w:t>
      </w:r>
      <w:r w:rsidR="000636C2">
        <w:rPr>
          <w:rFonts w:hint="cs"/>
          <w:rtl/>
        </w:rPr>
        <w:t>،</w:t>
      </w:r>
      <w:r w:rsidRPr="005675B2">
        <w:rPr>
          <w:rFonts w:hint="cs"/>
          <w:rtl/>
        </w:rPr>
        <w:t xml:space="preserve"> ومعلوم أن خالق الخير والشر وجميع المفعولات هو الله وحده لاشريك له</w:t>
      </w:r>
      <w:r w:rsidR="000636C2">
        <w:rPr>
          <w:rFonts w:hint="cs"/>
          <w:rtl/>
        </w:rPr>
        <w:t>،</w:t>
      </w:r>
      <w:r w:rsidRPr="005675B2">
        <w:rPr>
          <w:rFonts w:hint="cs"/>
          <w:rtl/>
        </w:rPr>
        <w:t xml:space="preserve"> ولكن لايضاف الشر إلى الله من باب التأدب</w:t>
      </w:r>
      <w:r w:rsidR="000636C2">
        <w:rPr>
          <w:rFonts w:hint="cs"/>
          <w:rtl/>
        </w:rPr>
        <w:t>،</w:t>
      </w:r>
      <w:r w:rsidRPr="005675B2">
        <w:rPr>
          <w:rFonts w:hint="cs"/>
          <w:rtl/>
        </w:rPr>
        <w:t xml:space="preserve"> قال الرسول صلى الله عليه وسلم(</w:t>
      </w:r>
      <w:r w:rsidR="000636C2">
        <w:rPr>
          <w:rFonts w:hint="cs"/>
          <w:rtl/>
        </w:rPr>
        <w:t>(</w:t>
      </w:r>
      <w:r w:rsidRPr="005675B2">
        <w:rPr>
          <w:rFonts w:hint="cs"/>
          <w:rtl/>
        </w:rPr>
        <w:t>والشر ليس إليك</w:t>
      </w:r>
      <w:r w:rsidR="000636C2">
        <w:rPr>
          <w:rFonts w:hint="cs"/>
          <w:rtl/>
        </w:rPr>
        <w:t>)</w:t>
      </w:r>
      <w:r w:rsidRPr="005675B2">
        <w:rPr>
          <w:rFonts w:hint="cs"/>
          <w:rtl/>
        </w:rPr>
        <w:t>)</w:t>
      </w:r>
      <w:r w:rsidR="000636C2">
        <w:rPr>
          <w:rFonts w:hint="cs"/>
          <w:rtl/>
        </w:rPr>
        <w:t>،</w:t>
      </w:r>
      <w:r w:rsidRPr="005675B2">
        <w:rPr>
          <w:rFonts w:hint="cs"/>
          <w:rtl/>
        </w:rPr>
        <w:t xml:space="preserve"> هذا هو مذهب الأشاعرة بلا تشنيع</w:t>
      </w:r>
      <w:r w:rsidR="000636C2">
        <w:rPr>
          <w:rFonts w:hint="cs"/>
          <w:rtl/>
        </w:rPr>
        <w:t>،</w:t>
      </w:r>
      <w:r w:rsidRPr="005675B2">
        <w:rPr>
          <w:rFonts w:hint="cs"/>
          <w:rtl/>
        </w:rPr>
        <w:t xml:space="preserve"> قال تعالى (</w:t>
      </w:r>
      <w:r w:rsidR="000636C2">
        <w:rPr>
          <w:rFonts w:hint="cs"/>
          <w:rtl/>
        </w:rPr>
        <w:t>(</w:t>
      </w:r>
      <w:r w:rsidRPr="005675B2">
        <w:rPr>
          <w:rFonts w:hint="cs"/>
          <w:rtl/>
        </w:rPr>
        <w:t>هل من خالق ٍغير الله</w:t>
      </w:r>
      <w:r w:rsidR="000636C2">
        <w:rPr>
          <w:rFonts w:hint="cs"/>
          <w:rtl/>
        </w:rPr>
        <w:t>)</w:t>
      </w:r>
      <w:r w:rsidRPr="005675B2">
        <w:rPr>
          <w:rFonts w:hint="cs"/>
          <w:rtl/>
        </w:rPr>
        <w:t>)</w:t>
      </w:r>
    </w:p>
    <w:p w14:paraId="6E2781E5" w14:textId="2C9217C1" w:rsidR="009C32A0" w:rsidRPr="005675B2" w:rsidRDefault="009C32A0" w:rsidP="000636C2">
      <w:pPr>
        <w:rPr>
          <w:rtl/>
        </w:rPr>
      </w:pPr>
      <w:r w:rsidRPr="005675B2">
        <w:rPr>
          <w:rStyle w:val="fouaid1"/>
          <w:rFonts w:hint="cs"/>
          <w:bCs/>
          <w:rtl/>
        </w:rPr>
        <w:t>والمقصود أن المطلوب</w:t>
      </w:r>
      <w:r w:rsidR="000636C2">
        <w:rPr>
          <w:rStyle w:val="fouaid1"/>
          <w:rFonts w:hint="cs"/>
          <w:bCs/>
          <w:rtl/>
        </w:rPr>
        <w:t xml:space="preserve"> </w:t>
      </w:r>
      <w:r w:rsidRPr="005675B2">
        <w:rPr>
          <w:rStyle w:val="fouaid1"/>
          <w:rFonts w:hint="cs"/>
          <w:bCs/>
          <w:rtl/>
        </w:rPr>
        <w:t>هو ثلاثة أشياء</w:t>
      </w:r>
      <w:r w:rsidR="000636C2">
        <w:rPr>
          <w:rStyle w:val="fouaid1"/>
          <w:rFonts w:hint="cs"/>
          <w:bCs/>
          <w:rtl/>
        </w:rPr>
        <w:t xml:space="preserve">: </w:t>
      </w:r>
      <w:r w:rsidRPr="005675B2">
        <w:rPr>
          <w:rStyle w:val="fouaid1"/>
          <w:rFonts w:hint="cs"/>
          <w:bCs/>
          <w:rtl/>
        </w:rPr>
        <w:t>1</w:t>
      </w:r>
      <w:r w:rsidR="000636C2">
        <w:rPr>
          <w:rStyle w:val="fouaid1"/>
          <w:rFonts w:hint="cs"/>
          <w:bCs/>
          <w:rtl/>
        </w:rPr>
        <w:t xml:space="preserve"> </w:t>
      </w:r>
      <w:r w:rsidRPr="005675B2">
        <w:rPr>
          <w:rStyle w:val="fouaid1"/>
          <w:rFonts w:hint="cs"/>
          <w:bCs/>
          <w:rtl/>
        </w:rPr>
        <w:t>- أن نعلم أن العبد لا يخلق فعل نفسه وإنما الخالق هو الله وحده</w:t>
      </w:r>
      <w:r w:rsidR="000636C2">
        <w:rPr>
          <w:rStyle w:val="fouaid1"/>
          <w:rFonts w:hint="cs"/>
          <w:bCs/>
          <w:rtl/>
        </w:rPr>
        <w:t xml:space="preserve">، </w:t>
      </w:r>
      <w:r w:rsidRPr="005675B2">
        <w:rPr>
          <w:rStyle w:val="fouaid1"/>
          <w:rFonts w:hint="cs"/>
          <w:bCs/>
          <w:rtl/>
        </w:rPr>
        <w:t>2</w:t>
      </w:r>
      <w:r w:rsidR="000636C2">
        <w:rPr>
          <w:rStyle w:val="fouaid1"/>
          <w:rFonts w:hint="cs"/>
          <w:bCs/>
          <w:rtl/>
        </w:rPr>
        <w:t xml:space="preserve"> </w:t>
      </w:r>
      <w:r w:rsidRPr="005675B2">
        <w:rPr>
          <w:rStyle w:val="fouaid1"/>
          <w:rFonts w:hint="cs"/>
          <w:bCs/>
          <w:rtl/>
        </w:rPr>
        <w:t>- أن العبد غير مجبور على أفاعله الاختيارية بل هو مختار</w:t>
      </w:r>
      <w:r w:rsidR="000636C2">
        <w:rPr>
          <w:rStyle w:val="fouaid1"/>
          <w:rFonts w:hint="cs"/>
          <w:bCs/>
          <w:rtl/>
        </w:rPr>
        <w:t>،</w:t>
      </w:r>
      <w:r w:rsidRPr="005675B2">
        <w:rPr>
          <w:rStyle w:val="fouaid1"/>
          <w:rFonts w:hint="cs"/>
          <w:bCs/>
          <w:rtl/>
        </w:rPr>
        <w:t xml:space="preserve"> 3</w:t>
      </w:r>
      <w:r w:rsidR="000636C2">
        <w:rPr>
          <w:rStyle w:val="fouaid1"/>
          <w:rFonts w:hint="cs"/>
          <w:bCs/>
          <w:rtl/>
        </w:rPr>
        <w:t xml:space="preserve"> </w:t>
      </w:r>
      <w:r w:rsidRPr="005675B2">
        <w:rPr>
          <w:rStyle w:val="fouaid1"/>
          <w:rFonts w:hint="cs"/>
          <w:bCs/>
          <w:rtl/>
        </w:rPr>
        <w:t>- أن نستعمل الاصطلاحات العلمية عند أهل الفن الذي تتكلم فيه، فلا تقل أن العبد مؤثر وأنت تقصد مجرد كونه سبباً لا خالقاً</w:t>
      </w:r>
      <w:r w:rsidR="000636C2">
        <w:rPr>
          <w:rStyle w:val="fouaid1"/>
          <w:rFonts w:hint="cs"/>
          <w:bCs/>
          <w:rtl/>
        </w:rPr>
        <w:t>،</w:t>
      </w:r>
      <w:r w:rsidRPr="005675B2">
        <w:rPr>
          <w:rStyle w:val="fouaid1"/>
          <w:rFonts w:hint="cs"/>
          <w:bCs/>
          <w:rtl/>
        </w:rPr>
        <w:t xml:space="preserve"> لأن هذا فيه تلبيس للمصطلحات</w:t>
      </w:r>
      <w:r w:rsidR="000636C2">
        <w:rPr>
          <w:rStyle w:val="fouaid1"/>
          <w:rFonts w:hint="cs"/>
          <w:bCs/>
          <w:rtl/>
        </w:rPr>
        <w:t xml:space="preserve"> </w:t>
      </w:r>
      <w:r w:rsidRPr="005675B2">
        <w:rPr>
          <w:rStyle w:val="fouaid1"/>
          <w:rFonts w:hint="cs"/>
          <w:bCs/>
          <w:rtl/>
        </w:rPr>
        <w:t>والمفاهيم العلمية</w:t>
      </w:r>
      <w:r w:rsidR="000636C2">
        <w:rPr>
          <w:rStyle w:val="fouaid1"/>
          <w:rFonts w:hint="cs"/>
          <w:bCs/>
          <w:rtl/>
        </w:rPr>
        <w:t xml:space="preserve"> </w:t>
      </w:r>
      <w:r w:rsidRPr="005675B2">
        <w:rPr>
          <w:rStyle w:val="fouaid1"/>
          <w:rFonts w:hint="cs"/>
          <w:bCs/>
          <w:rtl/>
        </w:rPr>
        <w:t>مما يورث الشقاق</w:t>
      </w:r>
      <w:r w:rsidR="000636C2">
        <w:rPr>
          <w:rFonts w:hint="cs"/>
          <w:rtl/>
        </w:rPr>
        <w:t>،</w:t>
      </w:r>
      <w:r w:rsidRPr="005675B2">
        <w:rPr>
          <w:rFonts w:hint="cs"/>
          <w:rtl/>
        </w:rPr>
        <w:t xml:space="preserve"> </w:t>
      </w:r>
    </w:p>
    <w:p w14:paraId="7CAF2699" w14:textId="400F93B7" w:rsidR="009C32A0" w:rsidRPr="005675B2" w:rsidRDefault="000636C2" w:rsidP="000636C2">
      <w:pPr>
        <w:rPr>
          <w:b/>
          <w:rtl/>
        </w:rPr>
      </w:pPr>
      <w:r>
        <w:rPr>
          <w:rFonts w:hint="cs"/>
          <w:bCs/>
          <w:rtl/>
        </w:rPr>
        <w:t>(</w:t>
      </w:r>
      <w:r w:rsidR="009C32A0">
        <w:rPr>
          <w:rFonts w:hint="cs"/>
          <w:bCs/>
          <w:rtl/>
        </w:rPr>
        <w:t>تنبيه</w:t>
      </w:r>
      <w:r>
        <w:rPr>
          <w:rFonts w:hint="cs"/>
          <w:bCs/>
          <w:rtl/>
        </w:rPr>
        <w:t>)</w:t>
      </w:r>
      <w:r w:rsidR="009C32A0" w:rsidRPr="005675B2">
        <w:rPr>
          <w:rFonts w:hint="cs"/>
          <w:bCs/>
          <w:rtl/>
        </w:rPr>
        <w:t xml:space="preserve"> أخير</w:t>
      </w:r>
      <w:r>
        <w:rPr>
          <w:rFonts w:hint="cs"/>
          <w:rtl/>
        </w:rPr>
        <w:t xml:space="preserve">: </w:t>
      </w:r>
      <w:r w:rsidR="009C32A0" w:rsidRPr="005675B2">
        <w:rPr>
          <w:rFonts w:hint="cs"/>
          <w:rtl/>
        </w:rPr>
        <w:t>القارىء المنصف يعلم أن كلام الرازي وابن تيمية في فعل العبد لا يغير من الحقيقة أي شيء</w:t>
      </w:r>
      <w:r>
        <w:rPr>
          <w:rFonts w:hint="cs"/>
          <w:rtl/>
        </w:rPr>
        <w:t>،</w:t>
      </w:r>
      <w:r w:rsidR="009C32A0" w:rsidRPr="005675B2">
        <w:rPr>
          <w:rFonts w:hint="cs"/>
          <w:rtl/>
        </w:rPr>
        <w:t xml:space="preserve"> </w:t>
      </w:r>
      <w:r w:rsidR="009C32A0" w:rsidRPr="005675B2">
        <w:rPr>
          <w:rFonts w:hint="cs"/>
          <w:u w:val="single"/>
          <w:rtl/>
        </w:rPr>
        <w:t>لأن الخلاف أصلاً في إيجاد فعل العبد من العدم إلى الوجود هل هو بفعله هو أم بفعل الله</w:t>
      </w:r>
      <w:r>
        <w:rPr>
          <w:rFonts w:hint="cs"/>
          <w:u w:val="single"/>
          <w:rtl/>
        </w:rPr>
        <w:t>؟</w:t>
      </w:r>
      <w:r>
        <w:rPr>
          <w:rFonts w:hint="cs"/>
          <w:rtl/>
        </w:rPr>
        <w:t xml:space="preserve"> </w:t>
      </w:r>
      <w:r w:rsidR="009C32A0" w:rsidRPr="005675B2">
        <w:rPr>
          <w:rFonts w:hint="cs"/>
          <w:rtl/>
        </w:rPr>
        <w:t>و</w:t>
      </w:r>
      <w:r>
        <w:rPr>
          <w:rFonts w:hint="cs"/>
          <w:rtl/>
        </w:rPr>
        <w:t>[</w:t>
      </w:r>
      <w:r w:rsidR="009C32A0">
        <w:rPr>
          <w:rFonts w:hint="cs"/>
          <w:rtl/>
        </w:rPr>
        <w:t>الجواب</w:t>
      </w:r>
      <w:r>
        <w:rPr>
          <w:rFonts w:hint="cs"/>
          <w:rtl/>
        </w:rPr>
        <w:t xml:space="preserve">] </w:t>
      </w:r>
      <w:r w:rsidR="009C32A0" w:rsidRPr="005675B2">
        <w:rPr>
          <w:rFonts w:hint="cs"/>
          <w:rtl/>
        </w:rPr>
        <w:t>المتفق عليه</w:t>
      </w:r>
      <w:r>
        <w:rPr>
          <w:rFonts w:hint="cs"/>
          <w:rtl/>
        </w:rPr>
        <w:t>:</w:t>
      </w:r>
      <w:r w:rsidR="009C32A0" w:rsidRPr="005675B2">
        <w:rPr>
          <w:rFonts w:hint="cs"/>
          <w:rtl/>
        </w:rPr>
        <w:t xml:space="preserve"> أن الله هو الذي أوجده من العدم</w:t>
      </w:r>
      <w:r>
        <w:rPr>
          <w:rFonts w:hint="cs"/>
          <w:rtl/>
        </w:rPr>
        <w:t xml:space="preserve">، </w:t>
      </w:r>
      <w:r w:rsidR="009C32A0" w:rsidRPr="005675B2">
        <w:rPr>
          <w:rFonts w:hint="cs"/>
          <w:rtl/>
        </w:rPr>
        <w:t>فيتبعه السؤال الثاني</w:t>
      </w:r>
      <w:r>
        <w:rPr>
          <w:rFonts w:hint="cs"/>
          <w:rtl/>
        </w:rPr>
        <w:t>:</w:t>
      </w:r>
      <w:r w:rsidR="009C32A0" w:rsidRPr="005675B2">
        <w:rPr>
          <w:rFonts w:hint="cs"/>
          <w:rtl/>
        </w:rPr>
        <w:t xml:space="preserve"> وهو هل للعبد قدرة على منع ما أراد الله إيجاده</w:t>
      </w:r>
      <w:r>
        <w:rPr>
          <w:rFonts w:hint="cs"/>
          <w:rtl/>
        </w:rPr>
        <w:t>؟</w:t>
      </w:r>
      <w:r w:rsidR="009C32A0" w:rsidRPr="005675B2">
        <w:rPr>
          <w:rFonts w:hint="cs"/>
          <w:rtl/>
        </w:rPr>
        <w:t xml:space="preserve"> و</w:t>
      </w:r>
      <w:r>
        <w:rPr>
          <w:rFonts w:hint="cs"/>
          <w:rtl/>
        </w:rPr>
        <w:t>[</w:t>
      </w:r>
      <w:r w:rsidR="009C32A0">
        <w:rPr>
          <w:rFonts w:hint="cs"/>
          <w:rtl/>
        </w:rPr>
        <w:t>الجواب</w:t>
      </w:r>
      <w:r>
        <w:rPr>
          <w:rFonts w:hint="cs"/>
          <w:rtl/>
        </w:rPr>
        <w:t xml:space="preserve">] </w:t>
      </w:r>
      <w:r w:rsidR="009C32A0" w:rsidRPr="005675B2">
        <w:rPr>
          <w:rFonts w:hint="cs"/>
          <w:rtl/>
        </w:rPr>
        <w:t>أنه لا مدافع لقدرة الله أبداً</w:t>
      </w:r>
      <w:r>
        <w:rPr>
          <w:rFonts w:hint="cs"/>
          <w:rtl/>
        </w:rPr>
        <w:t xml:space="preserve">، </w:t>
      </w:r>
      <w:r w:rsidR="009C32A0" w:rsidRPr="005675B2">
        <w:rPr>
          <w:rFonts w:hint="cs"/>
          <w:rtl/>
        </w:rPr>
        <w:t>فلماذا يحاسب العبد على ذلك وهو لم يخرجه من العدم إلى الوجود</w:t>
      </w:r>
      <w:r>
        <w:rPr>
          <w:rFonts w:hint="cs"/>
          <w:rtl/>
        </w:rPr>
        <w:t>؟</w:t>
      </w:r>
      <w:r w:rsidR="009C32A0" w:rsidRPr="005675B2">
        <w:rPr>
          <w:rFonts w:hint="cs"/>
          <w:rtl/>
        </w:rPr>
        <w:t>وجواب أهل السنة أن العبد هو</w:t>
      </w:r>
      <w:r>
        <w:rPr>
          <w:rFonts w:hint="cs"/>
          <w:rtl/>
        </w:rPr>
        <w:t xml:space="preserve"> </w:t>
      </w:r>
      <w:r w:rsidR="009C32A0" w:rsidRPr="005675B2">
        <w:rPr>
          <w:rFonts w:hint="cs"/>
          <w:rtl/>
        </w:rPr>
        <w:t>الذي اختار ذلك وأراده</w:t>
      </w:r>
      <w:r>
        <w:rPr>
          <w:rFonts w:hint="cs"/>
          <w:rtl/>
        </w:rPr>
        <w:t>،</w:t>
      </w:r>
      <w:r w:rsidR="009C32A0" w:rsidRPr="005675B2">
        <w:rPr>
          <w:rFonts w:hint="cs"/>
          <w:rtl/>
        </w:rPr>
        <w:t>فيحاسب على قصده وتوجهه</w:t>
      </w:r>
      <w:r>
        <w:rPr>
          <w:rFonts w:hint="cs"/>
          <w:rtl/>
        </w:rPr>
        <w:t>،</w:t>
      </w:r>
      <w:r w:rsidR="009C32A0" w:rsidRPr="005675B2">
        <w:rPr>
          <w:rFonts w:hint="cs"/>
          <w:rtl/>
        </w:rPr>
        <w:t>واكتسابه له</w:t>
      </w:r>
      <w:r>
        <w:rPr>
          <w:rFonts w:hint="cs"/>
          <w:rtl/>
        </w:rPr>
        <w:t>،</w:t>
      </w:r>
      <w:r w:rsidR="009C32A0" w:rsidRPr="005675B2">
        <w:rPr>
          <w:rFonts w:hint="cs"/>
          <w:rtl/>
        </w:rPr>
        <w:t xml:space="preserve"> (</w:t>
      </w:r>
      <w:r>
        <w:rPr>
          <w:rFonts w:hint="cs"/>
          <w:rtl/>
        </w:rPr>
        <w:t>(</w:t>
      </w:r>
      <w:r w:rsidR="009C32A0" w:rsidRPr="005675B2">
        <w:rPr>
          <w:rFonts w:hint="cs"/>
          <w:rtl/>
        </w:rPr>
        <w:t>بما كسبت أيديكم</w:t>
      </w:r>
      <w:r>
        <w:rPr>
          <w:rFonts w:hint="cs"/>
          <w:rtl/>
        </w:rPr>
        <w:t>)</w:t>
      </w:r>
      <w:r w:rsidR="009C32A0" w:rsidRPr="005675B2">
        <w:rPr>
          <w:rFonts w:hint="cs"/>
          <w:rtl/>
        </w:rPr>
        <w:t>)</w:t>
      </w:r>
      <w:r>
        <w:rPr>
          <w:rFonts w:hint="cs"/>
          <w:rtl/>
        </w:rPr>
        <w:t>،</w:t>
      </w:r>
      <w:r w:rsidR="009C32A0" w:rsidRPr="005675B2">
        <w:rPr>
          <w:rFonts w:hint="cs"/>
          <w:rtl/>
        </w:rPr>
        <w:t xml:space="preserve"> فالسؤال هنا</w:t>
      </w:r>
      <w:r>
        <w:rPr>
          <w:rFonts w:hint="cs"/>
          <w:rtl/>
        </w:rPr>
        <w:t>:</w:t>
      </w:r>
      <w:r w:rsidR="009C32A0" w:rsidRPr="005675B2">
        <w:rPr>
          <w:rFonts w:hint="cs"/>
          <w:rtl/>
        </w:rPr>
        <w:t xml:space="preserve"> ماهي حقيقة هذا الاختيار أو السببية أو الكسب </w:t>
      </w:r>
      <w:r>
        <w:rPr>
          <w:rFonts w:hint="cs"/>
          <w:rtl/>
        </w:rPr>
        <w:t>؟،</w:t>
      </w:r>
      <w:r w:rsidR="009C32A0" w:rsidRPr="005675B2">
        <w:rPr>
          <w:rFonts w:hint="cs"/>
          <w:rtl/>
        </w:rPr>
        <w:t xml:space="preserve"> وهنا وقف الأشاعرة وإذا ذكر القدر فأمسكوا</w:t>
      </w:r>
      <w:r>
        <w:rPr>
          <w:rFonts w:hint="cs"/>
          <w:rtl/>
        </w:rPr>
        <w:t>،</w:t>
      </w:r>
      <w:r w:rsidR="009C32A0" w:rsidRPr="005675B2">
        <w:rPr>
          <w:rFonts w:hint="cs"/>
          <w:rtl/>
        </w:rPr>
        <w:t xml:space="preserve"> لأن هذا ما يعجز الناس عن بيان حقيقته</w:t>
      </w:r>
      <w:r>
        <w:rPr>
          <w:rFonts w:hint="cs"/>
          <w:rtl/>
        </w:rPr>
        <w:t>،</w:t>
      </w:r>
      <w:r w:rsidR="009C32A0" w:rsidRPr="005675B2">
        <w:rPr>
          <w:rFonts w:hint="cs"/>
          <w:rtl/>
        </w:rPr>
        <w:t xml:space="preserve"> وتكلم غيرهم فلم يأت</w:t>
      </w:r>
      <w:r>
        <w:rPr>
          <w:rFonts w:hint="cs"/>
          <w:rtl/>
        </w:rPr>
        <w:t xml:space="preserve"> </w:t>
      </w:r>
      <w:r w:rsidR="009C32A0" w:rsidRPr="005675B2">
        <w:rPr>
          <w:rFonts w:hint="cs"/>
          <w:rtl/>
        </w:rPr>
        <w:t>بمفيد، لأنهم لم يبينوا حقيقة فعل العبد إلا بما هو عين قول الأشاعرة في المعنى وإن خالفوا في اللفظ</w:t>
      </w:r>
      <w:r>
        <w:rPr>
          <w:rFonts w:hint="cs"/>
          <w:rtl/>
        </w:rPr>
        <w:t>،</w:t>
      </w:r>
      <w:r w:rsidR="009C32A0" w:rsidRPr="005675B2">
        <w:rPr>
          <w:rFonts w:hint="cs"/>
          <w:rtl/>
        </w:rPr>
        <w:t xml:space="preserve"> فهم لا يقولون أن العبد خلق فعله</w:t>
      </w:r>
      <w:r>
        <w:rPr>
          <w:rFonts w:hint="cs"/>
          <w:rtl/>
        </w:rPr>
        <w:t xml:space="preserve"> </w:t>
      </w:r>
      <w:r w:rsidR="009C32A0" w:rsidRPr="005675B2">
        <w:rPr>
          <w:rFonts w:hint="cs"/>
          <w:rtl/>
        </w:rPr>
        <w:t>فهو مستقل به أو معاون لله</w:t>
      </w:r>
      <w:r>
        <w:rPr>
          <w:rFonts w:hint="cs"/>
          <w:rtl/>
        </w:rPr>
        <w:t>،</w:t>
      </w:r>
      <w:r w:rsidR="009C32A0" w:rsidRPr="005675B2">
        <w:rPr>
          <w:rFonts w:hint="cs"/>
          <w:rtl/>
        </w:rPr>
        <w:t xml:space="preserve"> ولا أظن أن أحداً منهم يجيز أن غير الله خلقه</w:t>
      </w:r>
      <w:r>
        <w:rPr>
          <w:rFonts w:hint="cs"/>
          <w:rtl/>
        </w:rPr>
        <w:t>،</w:t>
      </w:r>
      <w:r w:rsidR="009C32A0" w:rsidRPr="005675B2">
        <w:rPr>
          <w:rFonts w:hint="cs"/>
          <w:rtl/>
        </w:rPr>
        <w:t xml:space="preserve"> بل غاية ما يقوله بعضهم أنه اعتباري</w:t>
      </w:r>
      <w:r>
        <w:rPr>
          <w:rFonts w:hint="cs"/>
          <w:rtl/>
        </w:rPr>
        <w:t>،</w:t>
      </w:r>
      <w:r w:rsidR="009C32A0" w:rsidRPr="005675B2">
        <w:rPr>
          <w:rFonts w:hint="cs"/>
          <w:rtl/>
        </w:rPr>
        <w:t xml:space="preserve"> وعند ذلك سنطلب معنى كونه اعتبارياً وما سر محاسبته عليه</w:t>
      </w:r>
      <w:r>
        <w:rPr>
          <w:rFonts w:hint="cs"/>
          <w:rtl/>
        </w:rPr>
        <w:t xml:space="preserve">؟ </w:t>
      </w:r>
      <w:r w:rsidR="009C32A0" w:rsidRPr="005675B2">
        <w:rPr>
          <w:rFonts w:hint="cs"/>
          <w:rtl/>
        </w:rPr>
        <w:t>وهي كالخوض في حقيقة الصفة وحقيقة الذات الإلهية وحقيقة ما في الجنة والنار</w:t>
      </w:r>
      <w:r>
        <w:rPr>
          <w:rFonts w:hint="cs"/>
          <w:rtl/>
        </w:rPr>
        <w:t>،</w:t>
      </w:r>
      <w:r w:rsidR="009C32A0" w:rsidRPr="005675B2">
        <w:rPr>
          <w:rFonts w:hint="cs"/>
          <w:rtl/>
        </w:rPr>
        <w:t xml:space="preserve"> فمن أين للناس معرفة ذلك</w:t>
      </w:r>
      <w:r>
        <w:rPr>
          <w:rFonts w:hint="cs"/>
          <w:rtl/>
        </w:rPr>
        <w:t>؟!</w:t>
      </w:r>
      <w:r w:rsidR="009C32A0" w:rsidRPr="005675B2">
        <w:rPr>
          <w:rFonts w:hint="cs"/>
          <w:rtl/>
        </w:rPr>
        <w:t>فلو قيل فاعل، أو كاسب</w:t>
      </w:r>
      <w:r>
        <w:rPr>
          <w:rFonts w:hint="cs"/>
          <w:rtl/>
        </w:rPr>
        <w:t>،</w:t>
      </w:r>
      <w:r w:rsidR="009C32A0" w:rsidRPr="005675B2">
        <w:rPr>
          <w:rFonts w:hint="cs"/>
          <w:rtl/>
        </w:rPr>
        <w:t>فالنتيجة واحدة بعد الاتفاق على أنه غير خالق</w:t>
      </w:r>
      <w:r>
        <w:rPr>
          <w:rFonts w:hint="cs"/>
          <w:rtl/>
        </w:rPr>
        <w:t>،</w:t>
      </w:r>
    </w:p>
    <w:p w14:paraId="6668B7E3" w14:textId="2C4F876C" w:rsidR="009C32A0" w:rsidRPr="005675B2" w:rsidRDefault="009C32A0" w:rsidP="000636C2">
      <w:pPr>
        <w:rPr>
          <w:b/>
          <w:rtl/>
        </w:rPr>
      </w:pPr>
      <w:r w:rsidRPr="005675B2">
        <w:rPr>
          <w:rFonts w:hint="cs"/>
          <w:rtl/>
        </w:rPr>
        <w:t>ختاماً</w:t>
      </w:r>
      <w:r w:rsidR="000636C2">
        <w:rPr>
          <w:rFonts w:hint="cs"/>
          <w:rtl/>
        </w:rPr>
        <w:t>:</w:t>
      </w:r>
      <w:r w:rsidRPr="005675B2">
        <w:rPr>
          <w:rFonts w:hint="cs"/>
          <w:rtl/>
        </w:rPr>
        <w:t xml:space="preserve"> فكلام الرازي وابن تيمية قد يقتنع به صاحب عاطفة جياشة</w:t>
      </w:r>
      <w:r w:rsidR="000636C2">
        <w:rPr>
          <w:rFonts w:hint="cs"/>
          <w:rtl/>
        </w:rPr>
        <w:t>،</w:t>
      </w:r>
      <w:r w:rsidRPr="005675B2">
        <w:rPr>
          <w:rFonts w:hint="cs"/>
          <w:rtl/>
        </w:rPr>
        <w:t xml:space="preserve"> ولكنه لا يفيد في المسألة عند التحقيق، فهو يصلح لتقريب المعنى</w:t>
      </w:r>
      <w:r w:rsidR="000636C2">
        <w:rPr>
          <w:rFonts w:hint="cs"/>
          <w:rtl/>
        </w:rPr>
        <w:t>،</w:t>
      </w:r>
      <w:r w:rsidRPr="005675B2">
        <w:rPr>
          <w:rFonts w:hint="cs"/>
          <w:rtl/>
        </w:rPr>
        <w:t>لا لبيان حقيقة المعنى</w:t>
      </w:r>
      <w:r w:rsidR="000636C2">
        <w:rPr>
          <w:rFonts w:hint="cs"/>
          <w:rtl/>
        </w:rPr>
        <w:t>،</w:t>
      </w:r>
      <w:r w:rsidRPr="005675B2">
        <w:rPr>
          <w:rFonts w:hint="cs"/>
          <w:u w:val="single"/>
          <w:rtl/>
        </w:rPr>
        <w:t>وإنما خوض العلماء وخلافهم في حقيقة فعل العبد لا في تقريب المعاني</w:t>
      </w:r>
      <w:r w:rsidR="000636C2">
        <w:rPr>
          <w:rFonts w:hint="cs"/>
          <w:u w:val="single"/>
          <w:rtl/>
        </w:rPr>
        <w:t>،</w:t>
      </w:r>
      <w:r w:rsidRPr="005675B2">
        <w:rPr>
          <w:rFonts w:hint="cs"/>
          <w:u w:val="single"/>
          <w:rtl/>
        </w:rPr>
        <w:t xml:space="preserve"> هذا سبب خلاف المعتزلة والجبرية وأهل السنة والجماعة</w:t>
      </w:r>
      <w:r w:rsidR="000636C2">
        <w:rPr>
          <w:rFonts w:hint="cs"/>
          <w:rtl/>
        </w:rPr>
        <w:t>،</w:t>
      </w:r>
      <w:r w:rsidRPr="005675B2">
        <w:rPr>
          <w:rFonts w:hint="cs"/>
          <w:rtl/>
        </w:rPr>
        <w:t xml:space="preserve"> فنظرية القائلين</w:t>
      </w:r>
      <w:r w:rsidR="000636C2">
        <w:rPr>
          <w:rFonts w:hint="cs"/>
          <w:rtl/>
        </w:rPr>
        <w:t>:</w:t>
      </w:r>
      <w:r w:rsidRPr="005675B2">
        <w:rPr>
          <w:rFonts w:hint="cs"/>
          <w:rtl/>
        </w:rPr>
        <w:t xml:space="preserve"> أن</w:t>
      </w:r>
      <w:r w:rsidR="000636C2">
        <w:rPr>
          <w:rFonts w:hint="cs"/>
          <w:rtl/>
        </w:rPr>
        <w:t xml:space="preserve"> </w:t>
      </w:r>
      <w:r w:rsidRPr="005675B2">
        <w:rPr>
          <w:rFonts w:hint="cs"/>
          <w:rtl/>
        </w:rPr>
        <w:t>القدرة +إرادة جازمة +انتفاء الموانع = وجود الفعل</w:t>
      </w:r>
      <w:r w:rsidR="000636C2">
        <w:rPr>
          <w:rFonts w:hint="cs"/>
          <w:rtl/>
        </w:rPr>
        <w:t xml:space="preserve">، </w:t>
      </w:r>
      <w:r w:rsidRPr="005675B2">
        <w:rPr>
          <w:rFonts w:hint="cs"/>
          <w:rtl/>
        </w:rPr>
        <w:t>نقول وجود الفعل هذا هل هو إيجاد من العدم .. إلى آخر الأسئلة السابقة</w:t>
      </w:r>
      <w:r w:rsidR="000636C2">
        <w:rPr>
          <w:rFonts w:hint="cs"/>
          <w:rtl/>
        </w:rPr>
        <w:t>،</w:t>
      </w:r>
      <w:r w:rsidRPr="005675B2">
        <w:rPr>
          <w:rFonts w:hint="cs"/>
          <w:rtl/>
        </w:rPr>
        <w:t xml:space="preserve"> ولم يبق للمؤمن إلا التسليم</w:t>
      </w:r>
      <w:r w:rsidR="000636C2">
        <w:rPr>
          <w:rFonts w:hint="cs"/>
          <w:rtl/>
        </w:rPr>
        <w:t>،</w:t>
      </w:r>
      <w:r w:rsidRPr="005675B2">
        <w:rPr>
          <w:rFonts w:hint="cs"/>
          <w:rtl/>
        </w:rPr>
        <w:t xml:space="preserve"> وأن مذهب الأشاعرة المعتمد هو صحيح بلا شك</w:t>
      </w:r>
      <w:r w:rsidR="000636C2">
        <w:rPr>
          <w:rFonts w:hint="cs"/>
          <w:rtl/>
        </w:rPr>
        <w:t>،</w:t>
      </w:r>
      <w:r w:rsidRPr="005675B2">
        <w:rPr>
          <w:rFonts w:hint="cs"/>
          <w:rtl/>
        </w:rPr>
        <w:t xml:space="preserve"> والله أعلم</w:t>
      </w:r>
      <w:r w:rsidR="000636C2">
        <w:rPr>
          <w:rFonts w:hint="cs"/>
          <w:rtl/>
        </w:rPr>
        <w:t>،</w:t>
      </w:r>
      <w:r w:rsidRPr="005675B2">
        <w:rPr>
          <w:rFonts w:hint="cs"/>
          <w:rtl/>
        </w:rPr>
        <w:t xml:space="preserve"> </w:t>
      </w:r>
    </w:p>
    <w:p w14:paraId="5A63667D" w14:textId="7B7F9E72" w:rsidR="009C32A0" w:rsidRPr="005675B2" w:rsidRDefault="009C32A0" w:rsidP="000636C2">
      <w:pPr>
        <w:rPr>
          <w:b/>
          <w:rtl/>
        </w:rPr>
      </w:pPr>
      <w:r w:rsidRPr="005675B2">
        <w:rPr>
          <w:rFonts w:hint="cs"/>
          <w:bCs/>
          <w:rtl/>
        </w:rPr>
        <w:t>تهمة كاذبة</w:t>
      </w:r>
      <w:r w:rsidR="000636C2">
        <w:rPr>
          <w:rFonts w:hint="cs"/>
          <w:rtl/>
        </w:rPr>
        <w:t>:</w:t>
      </w:r>
      <w:r w:rsidRPr="005675B2">
        <w:rPr>
          <w:rFonts w:hint="cs"/>
          <w:rtl/>
        </w:rPr>
        <w:t xml:space="preserve"> يتهم بعض الكتاب المعاصرين أئمة الأشاعرة بأنهم تسببوا في تقهقر الأمة لأجل أنهم قالوا بنظرية الكسب التي سببت تكاسلاً عن الوصول إلى ذرى التقدم</w:t>
      </w:r>
      <w:r w:rsidR="000636C2">
        <w:rPr>
          <w:rFonts w:hint="cs"/>
          <w:rtl/>
        </w:rPr>
        <w:t xml:space="preserve">، </w:t>
      </w:r>
      <w:r w:rsidRPr="005675B2">
        <w:rPr>
          <w:rFonts w:hint="cs"/>
          <w:rtl/>
        </w:rPr>
        <w:t>وهذه فرية صريحة قد يقولها الصبي الكسول لوالديه عند التألم من ضرب أقرانه أو أعداءه</w:t>
      </w:r>
      <w:r w:rsidR="000636C2">
        <w:rPr>
          <w:rFonts w:hint="cs"/>
          <w:rtl/>
        </w:rPr>
        <w:t>،</w:t>
      </w:r>
      <w:r w:rsidRPr="005675B2">
        <w:rPr>
          <w:rFonts w:hint="cs"/>
          <w:rtl/>
        </w:rPr>
        <w:t xml:space="preserve"> فلما داست الغرب بأقدامها على أعناق هؤلاء المسنيرين</w:t>
      </w:r>
      <w:r w:rsidR="000636C2">
        <w:rPr>
          <w:rFonts w:hint="cs"/>
          <w:rtl/>
        </w:rPr>
        <w:t>!</w:t>
      </w:r>
      <w:r w:rsidRPr="005675B2">
        <w:rPr>
          <w:rFonts w:hint="cs"/>
          <w:rtl/>
        </w:rPr>
        <w:t>!، رجعوا باللوم على أسلافهم وكأنهم يقولون</w:t>
      </w:r>
      <w:r w:rsidR="000636C2">
        <w:rPr>
          <w:rFonts w:hint="cs"/>
          <w:rtl/>
        </w:rPr>
        <w:t>:</w:t>
      </w:r>
      <w:r w:rsidRPr="005675B2">
        <w:rPr>
          <w:rFonts w:hint="cs"/>
          <w:rtl/>
        </w:rPr>
        <w:t xml:space="preserve"> لماذا لم تجاروا الغرب كما نجاريهم</w:t>
      </w:r>
      <w:r w:rsidR="000636C2">
        <w:rPr>
          <w:rFonts w:hint="cs"/>
          <w:rtl/>
        </w:rPr>
        <w:t>؟!</w:t>
      </w:r>
      <w:r w:rsidRPr="005675B2">
        <w:rPr>
          <w:rFonts w:hint="cs"/>
          <w:rtl/>
        </w:rPr>
        <w:t>!فجعلوا من أسلافنا شمّاعة يعلقون عليها وهنهم وضغط الغرب وأئمة الكفر عليهم</w:t>
      </w:r>
      <w:r w:rsidR="000636C2">
        <w:rPr>
          <w:rFonts w:hint="cs"/>
          <w:rtl/>
        </w:rPr>
        <w:t>،</w:t>
      </w:r>
      <w:r w:rsidRPr="005675B2">
        <w:rPr>
          <w:rFonts w:hint="cs"/>
          <w:rtl/>
        </w:rPr>
        <w:t>فتباكوا ولم يجدوا إلا الرجوع على سلف الأمة باللوم والتضيم</w:t>
      </w:r>
      <w:r w:rsidR="000636C2">
        <w:rPr>
          <w:rFonts w:hint="cs"/>
          <w:rtl/>
        </w:rPr>
        <w:t>،</w:t>
      </w:r>
      <w:r w:rsidRPr="005675B2">
        <w:rPr>
          <w:rFonts w:hint="cs"/>
          <w:rtl/>
        </w:rPr>
        <w:t xml:space="preserve"> ولو نظروا بعين البصيرة لعلموا أنهم كاذبون في دعاويهم</w:t>
      </w:r>
      <w:r w:rsidR="000636C2">
        <w:rPr>
          <w:rFonts w:hint="cs"/>
          <w:rtl/>
        </w:rPr>
        <w:t>،</w:t>
      </w:r>
      <w:r w:rsidRPr="005675B2">
        <w:rPr>
          <w:rFonts w:hint="cs"/>
          <w:rtl/>
        </w:rPr>
        <w:t>فإن الأشاعرة منهم قادة السياسة</w:t>
      </w:r>
      <w:r w:rsidR="000636C2">
        <w:rPr>
          <w:rFonts w:hint="cs"/>
          <w:rtl/>
        </w:rPr>
        <w:t>،</w:t>
      </w:r>
      <w:r w:rsidRPr="005675B2">
        <w:rPr>
          <w:rFonts w:hint="cs"/>
          <w:rtl/>
        </w:rPr>
        <w:t>وفوارس الميدان في معارك النصر الجهادي</w:t>
      </w:r>
      <w:r w:rsidR="000636C2">
        <w:rPr>
          <w:rFonts w:hint="cs"/>
          <w:rtl/>
        </w:rPr>
        <w:t>،</w:t>
      </w:r>
      <w:r w:rsidRPr="005675B2">
        <w:rPr>
          <w:rFonts w:hint="cs"/>
          <w:rtl/>
        </w:rPr>
        <w:t xml:space="preserve"> وأئمة العلم والتقدم في شتى المعارف الدينية والدنيوية</w:t>
      </w:r>
      <w:r w:rsidR="000636C2">
        <w:rPr>
          <w:rFonts w:hint="cs"/>
          <w:rtl/>
        </w:rPr>
        <w:t>،</w:t>
      </w:r>
      <w:r w:rsidRPr="005675B2">
        <w:rPr>
          <w:rFonts w:hint="cs"/>
          <w:rtl/>
        </w:rPr>
        <w:t>ومن صلاح الدين والظاهربيبرس ونور الدين</w:t>
      </w:r>
      <w:r w:rsidR="000636C2">
        <w:rPr>
          <w:rFonts w:hint="cs"/>
          <w:rtl/>
        </w:rPr>
        <w:t>؟</w:t>
      </w:r>
      <w:r w:rsidRPr="005675B2">
        <w:t>,</w:t>
      </w:r>
      <w:r w:rsidRPr="005675B2">
        <w:rPr>
          <w:rFonts w:hint="cs"/>
          <w:rtl/>
        </w:rPr>
        <w:t>كم من الأسماء في شتى العلوم والمعارف</w:t>
      </w:r>
      <w:r w:rsidR="000636C2">
        <w:rPr>
          <w:rFonts w:hint="cs"/>
          <w:rtl/>
        </w:rPr>
        <w:t>؟</w:t>
      </w:r>
      <w:r w:rsidRPr="005675B2">
        <w:rPr>
          <w:rFonts w:hint="cs"/>
          <w:rtl/>
        </w:rPr>
        <w:t xml:space="preserve"> فلم يقف علماء الحضارة الإسلامية على أمتداد أنتشار الدول الأشعرية عند حد المواريث الفكرية، لكنهم أضافوا بعد ذلك ما</w:t>
      </w:r>
      <w:r w:rsidRPr="005675B2">
        <w:rPr>
          <w:rFonts w:hint="cs"/>
        </w:rPr>
        <w:t xml:space="preserve"> </w:t>
      </w:r>
      <w:r w:rsidRPr="005675B2">
        <w:rPr>
          <w:rFonts w:hint="cs"/>
          <w:rtl/>
        </w:rPr>
        <w:t>توصلوا اليه من تجاربهم وخبراتهم واستطاعوا ان يكونوا نسقاً فكرياً وعملياً متميزاً</w:t>
      </w:r>
      <w:r w:rsidRPr="005675B2">
        <w:rPr>
          <w:rFonts w:hint="cs"/>
        </w:rPr>
        <w:t xml:space="preserve"> </w:t>
      </w:r>
      <w:r w:rsidRPr="005675B2">
        <w:rPr>
          <w:rFonts w:hint="cs"/>
          <w:rtl/>
        </w:rPr>
        <w:t>قوامه البحث عن الحقيقة في</w:t>
      </w:r>
      <w:r w:rsidR="000636C2">
        <w:rPr>
          <w:rFonts w:hint="cs"/>
          <w:rtl/>
        </w:rPr>
        <w:t xml:space="preserve"> </w:t>
      </w:r>
      <w:r w:rsidRPr="005675B2">
        <w:rPr>
          <w:rFonts w:hint="cs"/>
          <w:rtl/>
        </w:rPr>
        <w:t>النفس والطبيعة والهندسة</w:t>
      </w:r>
      <w:r w:rsidR="000636C2">
        <w:rPr>
          <w:rFonts w:hint="cs"/>
          <w:rtl/>
        </w:rPr>
        <w:t xml:space="preserve"> </w:t>
      </w:r>
      <w:r w:rsidRPr="005675B2">
        <w:rPr>
          <w:rFonts w:hint="cs"/>
          <w:rtl/>
        </w:rPr>
        <w:t>من أجل</w:t>
      </w:r>
      <w:r w:rsidRPr="005675B2">
        <w:rPr>
          <w:rFonts w:hint="cs"/>
        </w:rPr>
        <w:t xml:space="preserve"> </w:t>
      </w:r>
      <w:r w:rsidRPr="005675B2">
        <w:rPr>
          <w:rFonts w:hint="cs"/>
          <w:rtl/>
        </w:rPr>
        <w:t>ترقية الحياة على الأرض استناداً الى مبادئ الإسلام دون تهالك على الدنيا ولا أمعية للغرب،بل لم يعارضوا غيرهم من علماء المسلمين كالفلاسفة وغيرهم في العلوم التي بها تقدم الأمة إلا ما استوجب الإنكار كعلوم السحر الحقيقي ونحوه</w:t>
      </w:r>
      <w:r w:rsidR="000636C2">
        <w:rPr>
          <w:rFonts w:hint="cs"/>
          <w:rtl/>
        </w:rPr>
        <w:t>،</w:t>
      </w:r>
      <w:r w:rsidRPr="005675B2">
        <w:rPr>
          <w:rFonts w:hint="cs"/>
          <w:rtl/>
        </w:rPr>
        <w:t xml:space="preserve"> وعليه أذكر بقول الشاعر</w:t>
      </w:r>
      <w:r w:rsidR="000636C2">
        <w:rPr>
          <w:rFonts w:hint="cs"/>
          <w:rtl/>
        </w:rPr>
        <w:t>:</w:t>
      </w:r>
      <w:r w:rsidRPr="005675B2">
        <w:rPr>
          <w:rFonts w:hint="cs"/>
          <w:rtl/>
        </w:rPr>
        <w:t xml:space="preserve"> </w:t>
      </w:r>
      <w:r w:rsidR="000636C2">
        <w:rPr>
          <w:rFonts w:hint="cs"/>
          <w:rtl/>
        </w:rPr>
        <w:t>(</w:t>
      </w:r>
      <w:r w:rsidRPr="005675B2">
        <w:rPr>
          <w:rFonts w:hint="cs"/>
          <w:rtl/>
        </w:rPr>
        <w:t>أقلوا عليهم لا اباً لأبيكم ... من اللوم</w:t>
      </w:r>
      <w:r w:rsidRPr="005675B2">
        <w:rPr>
          <w:rFonts w:hint="cs"/>
        </w:rPr>
        <w:t xml:space="preserve"> </w:t>
      </w:r>
      <w:r w:rsidRPr="005675B2">
        <w:rPr>
          <w:rFonts w:hint="cs"/>
          <w:rtl/>
        </w:rPr>
        <w:t>أو سدوا</w:t>
      </w:r>
      <w:r w:rsidRPr="005675B2">
        <w:rPr>
          <w:rFonts w:hint="cs"/>
        </w:rPr>
        <w:t xml:space="preserve"> </w:t>
      </w:r>
      <w:r w:rsidRPr="005675B2">
        <w:rPr>
          <w:rFonts w:hint="cs"/>
          <w:rtl/>
        </w:rPr>
        <w:t>المكان الذي</w:t>
      </w:r>
      <w:r w:rsidRPr="005675B2">
        <w:rPr>
          <w:rFonts w:hint="cs"/>
        </w:rPr>
        <w:t xml:space="preserve"> </w:t>
      </w:r>
      <w:r w:rsidRPr="005675B2">
        <w:rPr>
          <w:rFonts w:hint="cs"/>
          <w:rtl/>
        </w:rPr>
        <w:t>سدوا</w:t>
      </w:r>
      <w:r w:rsidR="000636C2">
        <w:rPr>
          <w:rFonts w:hint="cs"/>
          <w:rtl/>
        </w:rPr>
        <w:t>)،</w:t>
      </w:r>
      <w:r w:rsidRPr="005675B2">
        <w:rPr>
          <w:rFonts w:hint="cs"/>
          <w:rtl/>
        </w:rPr>
        <w:t xml:space="preserve"> </w:t>
      </w:r>
    </w:p>
    <w:p w14:paraId="325FC03F" w14:textId="6FAB128B" w:rsidR="009C32A0" w:rsidRPr="005675B2" w:rsidRDefault="009C32A0" w:rsidP="000636C2">
      <w:pPr>
        <w:rPr>
          <w:b/>
        </w:rPr>
      </w:pPr>
      <w:r w:rsidRPr="005675B2">
        <w:rPr>
          <w:rFonts w:hint="cs"/>
          <w:bCs/>
          <w:rtl/>
        </w:rPr>
        <w:t>استشكالات الكاتب حول مسألة الإرادة</w:t>
      </w:r>
      <w:r w:rsidR="000636C2">
        <w:rPr>
          <w:rFonts w:hint="cs"/>
          <w:bCs/>
          <w:rtl/>
        </w:rPr>
        <w:t xml:space="preserve">: </w:t>
      </w:r>
      <w:r w:rsidRPr="005675B2">
        <w:rPr>
          <w:rFonts w:hint="cs"/>
          <w:rtl/>
        </w:rPr>
        <w:t>قال الكاتب غفر الله له</w:t>
      </w:r>
      <w:r w:rsidR="000636C2">
        <w:rPr>
          <w:rFonts w:hint="cs"/>
          <w:rtl/>
        </w:rPr>
        <w:t>:</w:t>
      </w:r>
      <w:r w:rsidRPr="005675B2">
        <w:rPr>
          <w:rFonts w:hint="cs"/>
          <w:rtl/>
        </w:rPr>
        <w:t xml:space="preserve"> والإرادة عند الأشاعرة</w:t>
      </w:r>
      <w:r w:rsidRPr="005675B2">
        <w:rPr>
          <w:rFonts w:hint="cs"/>
        </w:rPr>
        <w:t xml:space="preserve"> </w:t>
      </w:r>
      <w:r w:rsidRPr="005675B2">
        <w:rPr>
          <w:rFonts w:hint="cs"/>
          <w:rtl/>
        </w:rPr>
        <w:t>معناها</w:t>
      </w:r>
      <w:r w:rsidRPr="005675B2">
        <w:rPr>
          <w:rFonts w:hint="cs"/>
        </w:rPr>
        <w:t xml:space="preserve"> </w:t>
      </w:r>
      <w:r w:rsidRPr="005675B2">
        <w:rPr>
          <w:rFonts w:hint="cs"/>
          <w:rtl/>
        </w:rPr>
        <w:t>"</w:t>
      </w:r>
      <w:r w:rsidRPr="005675B2">
        <w:rPr>
          <w:rFonts w:hint="cs"/>
        </w:rPr>
        <w:t xml:space="preserve"> </w:t>
      </w:r>
      <w:r w:rsidRPr="005675B2">
        <w:rPr>
          <w:rFonts w:hint="cs"/>
          <w:rtl/>
        </w:rPr>
        <w:t>المحبة والرضا وأولوا قوله تعالى</w:t>
      </w:r>
      <w:r w:rsidR="000636C2">
        <w:rPr>
          <w:rFonts w:hint="cs"/>
          <w:rtl/>
        </w:rPr>
        <w:t>:</w:t>
      </w:r>
      <w:r w:rsidRPr="005675B2">
        <w:rPr>
          <w:rFonts w:hint="cs"/>
          <w:rtl/>
        </w:rPr>
        <w:t xml:space="preserve"> </w:t>
      </w:r>
      <w:r w:rsidR="000636C2">
        <w:rPr>
          <w:rFonts w:hint="cs"/>
          <w:rtl/>
        </w:rPr>
        <w:t>(</w:t>
      </w:r>
      <w:r w:rsidRPr="005675B2">
        <w:rPr>
          <w:rFonts w:hint="cs"/>
          <w:rtl/>
        </w:rPr>
        <w:t>ولا يرضى</w:t>
      </w:r>
      <w:r w:rsidRPr="005675B2">
        <w:rPr>
          <w:rFonts w:hint="cs"/>
        </w:rPr>
        <w:t xml:space="preserve"> </w:t>
      </w:r>
      <w:r w:rsidRPr="005675B2">
        <w:rPr>
          <w:rFonts w:hint="cs"/>
          <w:rtl/>
        </w:rPr>
        <w:t>لعباده الكفر</w:t>
      </w:r>
      <w:r w:rsidR="000636C2">
        <w:rPr>
          <w:rFonts w:hint="cs"/>
          <w:rtl/>
        </w:rPr>
        <w:t>)</w:t>
      </w:r>
      <w:r w:rsidRPr="005675B2">
        <w:rPr>
          <w:rFonts w:hint="cs"/>
          <w:rtl/>
        </w:rPr>
        <w:t xml:space="preserve"> بأنه لا يرضاه لعباده المؤمنين</w:t>
      </w:r>
      <w:r w:rsidR="000636C2">
        <w:rPr>
          <w:rFonts w:hint="cs"/>
          <w:rtl/>
        </w:rPr>
        <w:t>!</w:t>
      </w:r>
      <w:r w:rsidRPr="005675B2">
        <w:rPr>
          <w:rFonts w:hint="cs"/>
          <w:rtl/>
        </w:rPr>
        <w:t xml:space="preserve"> فبقي السؤال وارداً عليهم</w:t>
      </w:r>
      <w:r w:rsidR="000636C2">
        <w:rPr>
          <w:rFonts w:hint="cs"/>
          <w:rtl/>
        </w:rPr>
        <w:t>:</w:t>
      </w:r>
      <w:r w:rsidRPr="005675B2">
        <w:rPr>
          <w:rFonts w:hint="cs"/>
          <w:rtl/>
        </w:rPr>
        <w:t xml:space="preserve"> وهل</w:t>
      </w:r>
      <w:r w:rsidRPr="005675B2">
        <w:rPr>
          <w:rFonts w:hint="cs"/>
        </w:rPr>
        <w:t xml:space="preserve"> </w:t>
      </w:r>
      <w:r w:rsidRPr="005675B2">
        <w:rPr>
          <w:rFonts w:hint="cs"/>
          <w:rtl/>
        </w:rPr>
        <w:t>رضيه للكفار أم فعلوه وهو لم يرده</w:t>
      </w:r>
      <w:r w:rsidR="000636C2">
        <w:rPr>
          <w:rFonts w:hint="cs"/>
          <w:rtl/>
        </w:rPr>
        <w:t>؟</w:t>
      </w:r>
    </w:p>
    <w:p w14:paraId="1E5F0DE0" w14:textId="4DE94836"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هذا الكلام غير صحيح فمن الذي قال أن تعريف الإرادة عند الأشاعرة المحبة والرضا</w:t>
      </w:r>
      <w:r>
        <w:rPr>
          <w:rFonts w:hint="cs"/>
          <w:rtl/>
        </w:rPr>
        <w:t>؟!</w:t>
      </w:r>
      <w:r w:rsidR="009C32A0" w:rsidRPr="005675B2">
        <w:rPr>
          <w:rFonts w:hint="cs"/>
          <w:rtl/>
        </w:rPr>
        <w:t>!</w:t>
      </w:r>
      <w:r>
        <w:rPr>
          <w:rFonts w:hint="cs"/>
          <w:rtl/>
        </w:rPr>
        <w:t xml:space="preserve"> </w:t>
      </w:r>
      <w:r w:rsidR="009C32A0" w:rsidRPr="005675B2">
        <w:rPr>
          <w:rFonts w:hint="cs"/>
          <w:rtl/>
        </w:rPr>
        <w:t>قال الكليسي رحمه الله</w:t>
      </w:r>
      <w:r>
        <w:rPr>
          <w:rFonts w:hint="cs"/>
          <w:rtl/>
        </w:rPr>
        <w:t>:</w:t>
      </w:r>
      <w:r w:rsidR="009C32A0" w:rsidRPr="005675B2">
        <w:rPr>
          <w:rFonts w:hint="cs"/>
          <w:rtl/>
        </w:rPr>
        <w:t>وأما الإرادة فهي كالمشيئة صفة قديمة زائدة على الذات، قأئمة به، تخصص أحد طرفي الشيء من الفعل والترك، بالوقوع في أحد الأوقات، مع استواء نسبة القدرة إلى جميع الممكنات</w:t>
      </w:r>
      <w:r>
        <w:rPr>
          <w:rFonts w:hint="cs"/>
          <w:rtl/>
        </w:rPr>
        <w:t>،</w:t>
      </w:r>
      <w:r w:rsidR="009C32A0" w:rsidRPr="005675B2">
        <w:rPr>
          <w:rFonts w:hint="cs"/>
          <w:rtl/>
        </w:rPr>
        <w:t xml:space="preserve"> فكل ممكن علم الله تعالى أنه يكون أو لا يكون فذلك مراده، وبذلك تعلم أن تعلق الإرادة فرع عن تعلق العلم أي تابع له ومتأخر عنه في التعقل</w:t>
      </w:r>
      <w:r>
        <w:rPr>
          <w:rFonts w:hint="cs"/>
          <w:rtl/>
        </w:rPr>
        <w:t>،</w:t>
      </w:r>
      <w:r w:rsidR="009C32A0" w:rsidRPr="005675B2">
        <w:rPr>
          <w:rFonts w:hint="cs"/>
          <w:rtl/>
        </w:rPr>
        <w:t xml:space="preserve"> [</w:t>
      </w:r>
      <w:r w:rsidR="009C32A0" w:rsidRPr="005675B2">
        <w:rPr>
          <w:rFonts w:hint="cs"/>
          <w:bCs/>
          <w:sz w:val="24"/>
          <w:szCs w:val="24"/>
          <w:rtl/>
        </w:rPr>
        <w:t>خير القلائد شرح جواهر العقائد]</w:t>
      </w:r>
      <w:r w:rsidR="009C32A0" w:rsidRPr="005675B2">
        <w:rPr>
          <w:rFonts w:hint="cs"/>
          <w:rtl/>
        </w:rPr>
        <w:t>فقول الكاتب</w:t>
      </w:r>
      <w:r>
        <w:rPr>
          <w:rFonts w:hint="cs"/>
          <w:rtl/>
        </w:rPr>
        <w:t>:</w:t>
      </w:r>
      <w:r w:rsidR="009C32A0" w:rsidRPr="005675B2">
        <w:rPr>
          <w:rFonts w:hint="cs"/>
          <w:rtl/>
        </w:rPr>
        <w:t xml:space="preserve"> والإرادة عند الأشاعرة</w:t>
      </w:r>
      <w:r w:rsidR="009C32A0" w:rsidRPr="005675B2">
        <w:rPr>
          <w:rFonts w:hint="cs"/>
        </w:rPr>
        <w:t xml:space="preserve"> </w:t>
      </w:r>
      <w:r w:rsidR="009C32A0" w:rsidRPr="005675B2">
        <w:rPr>
          <w:rFonts w:hint="cs"/>
          <w:rtl/>
        </w:rPr>
        <w:t>معناها</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المحبة والرضا</w:t>
      </w:r>
      <w:r>
        <w:rPr>
          <w:rFonts w:hint="cs"/>
          <w:rtl/>
        </w:rPr>
        <w:t>)</w:t>
      </w:r>
      <w:r w:rsidR="009C32A0" w:rsidRPr="005675B2">
        <w:rPr>
          <w:rFonts w:hint="cs"/>
          <w:rtl/>
        </w:rPr>
        <w:t xml:space="preserve"> باطل فهم يفرقون بين الإرادة والرضا</w:t>
      </w:r>
      <w:r>
        <w:rPr>
          <w:rFonts w:hint="cs"/>
          <w:rtl/>
        </w:rPr>
        <w:t>،</w:t>
      </w:r>
      <w:r w:rsidR="009C32A0" w:rsidRPr="005675B2">
        <w:rPr>
          <w:rFonts w:hint="cs"/>
          <w:rtl/>
        </w:rPr>
        <w:t xml:space="preserve"> قال الإمام الباجوري في تعريف الرضا</w:t>
      </w:r>
      <w:r>
        <w:rPr>
          <w:rFonts w:hint="cs"/>
          <w:rtl/>
        </w:rPr>
        <w:t>:</w:t>
      </w:r>
      <w:r w:rsidR="009C32A0" w:rsidRPr="005675B2">
        <w:rPr>
          <w:rFonts w:hint="cs"/>
          <w:rtl/>
        </w:rPr>
        <w:t xml:space="preserve"> رضا الله تعالى</w:t>
      </w:r>
      <w:r>
        <w:rPr>
          <w:rFonts w:hint="cs"/>
          <w:rtl/>
        </w:rPr>
        <w:t>:</w:t>
      </w:r>
      <w:r w:rsidR="009C32A0" w:rsidRPr="005675B2">
        <w:rPr>
          <w:rFonts w:hint="cs"/>
          <w:rtl/>
        </w:rPr>
        <w:t>هو قبول الشي ء والإثابة عليه</w:t>
      </w:r>
      <w:r>
        <w:rPr>
          <w:rFonts w:hint="cs"/>
          <w:rtl/>
        </w:rPr>
        <w:t xml:space="preserve">، </w:t>
      </w:r>
      <w:r w:rsidR="009C32A0" w:rsidRPr="005675B2">
        <w:rPr>
          <w:rFonts w:hint="cs"/>
          <w:rtl/>
        </w:rPr>
        <w:t>وقال</w:t>
      </w:r>
      <w:r>
        <w:rPr>
          <w:rFonts w:hint="cs"/>
          <w:rtl/>
        </w:rPr>
        <w:t>:</w:t>
      </w:r>
      <w:r w:rsidR="009C32A0" w:rsidRPr="005675B2">
        <w:rPr>
          <w:rFonts w:hint="cs"/>
          <w:rtl/>
        </w:rPr>
        <w:t xml:space="preserve"> وغايرت الإرادة رضاه تعالى وغرضه بذلك </w:t>
      </w:r>
      <w:r>
        <w:rPr>
          <w:rFonts w:hint="cs"/>
          <w:rtl/>
        </w:rPr>
        <w:t>(</w:t>
      </w:r>
      <w:r w:rsidR="009C32A0" w:rsidRPr="005675B2">
        <w:rPr>
          <w:rFonts w:hint="cs"/>
          <w:rtl/>
        </w:rPr>
        <w:t>أي الناظم</w:t>
      </w:r>
      <w:r>
        <w:rPr>
          <w:rFonts w:hint="cs"/>
          <w:rtl/>
        </w:rPr>
        <w:t>)</w:t>
      </w:r>
      <w:r w:rsidR="009C32A0" w:rsidRPr="005675B2">
        <w:rPr>
          <w:rFonts w:hint="cs"/>
          <w:rtl/>
        </w:rPr>
        <w:t xml:space="preserve"> الرد على من فسر الإرادة بالرضا</w:t>
      </w:r>
      <w:r>
        <w:rPr>
          <w:rFonts w:hint="cs"/>
          <w:rtl/>
        </w:rPr>
        <w:t>،</w:t>
      </w:r>
      <w:r w:rsidR="009C32A0" w:rsidRPr="005675B2">
        <w:rPr>
          <w:rFonts w:hint="cs"/>
          <w:rtl/>
        </w:rPr>
        <w:t xml:space="preserve"> فإن الإرادة قد تتعلق بمالا يرضى به</w:t>
      </w:r>
      <w:r>
        <w:rPr>
          <w:rFonts w:hint="cs"/>
          <w:rtl/>
        </w:rPr>
        <w:t xml:space="preserve"> </w:t>
      </w:r>
      <w:r w:rsidR="009C32A0" w:rsidRPr="005675B2">
        <w:rPr>
          <w:rFonts w:hint="cs"/>
          <w:rtl/>
        </w:rPr>
        <w:t>الله تعالى كالكفر الواقع من الكفار فإنه بإرادة الله ولا يرضاه</w:t>
      </w:r>
      <w:r>
        <w:rPr>
          <w:rFonts w:hint="cs"/>
          <w:rtl/>
        </w:rPr>
        <w:t>،</w:t>
      </w:r>
      <w:r w:rsidR="009C32A0" w:rsidRPr="005675B2">
        <w:rPr>
          <w:rFonts w:hint="cs"/>
          <w:rtl/>
        </w:rPr>
        <w:t xml:space="preserve"> [</w:t>
      </w:r>
      <w:r w:rsidR="009C32A0" w:rsidRPr="005675B2">
        <w:rPr>
          <w:rFonts w:hint="cs"/>
          <w:bCs/>
          <w:sz w:val="24"/>
          <w:szCs w:val="24"/>
          <w:rtl/>
        </w:rPr>
        <w:t>شرح جوهرة التوحيد 168</w:t>
      </w:r>
      <w:r w:rsidR="009C32A0" w:rsidRPr="005675B2">
        <w:rPr>
          <w:rFonts w:hint="cs"/>
          <w:rtl/>
        </w:rPr>
        <w:t>]</w:t>
      </w:r>
      <w:r>
        <w:rPr>
          <w:rFonts w:hint="cs"/>
          <w:rtl/>
        </w:rPr>
        <w:t>،</w:t>
      </w:r>
      <w:r w:rsidR="009C32A0" w:rsidRPr="005675B2">
        <w:rPr>
          <w:rFonts w:hint="cs"/>
          <w:rtl/>
        </w:rPr>
        <w:t xml:space="preserve"> والخلاصة أن الأمور التي تجري في المخلوقات ومنها كفر الكافر</w:t>
      </w:r>
      <w:r>
        <w:rPr>
          <w:rFonts w:hint="cs"/>
          <w:rtl/>
        </w:rPr>
        <w:t>،</w:t>
      </w:r>
      <w:r w:rsidR="009C32A0" w:rsidRPr="005675B2">
        <w:rPr>
          <w:rFonts w:hint="cs"/>
          <w:rtl/>
        </w:rPr>
        <w:t>وإسلام المسلم</w:t>
      </w:r>
      <w:r>
        <w:rPr>
          <w:rFonts w:hint="cs"/>
          <w:rtl/>
        </w:rPr>
        <w:t>،</w:t>
      </w:r>
      <w:r w:rsidR="009C32A0" w:rsidRPr="005675B2">
        <w:rPr>
          <w:rFonts w:hint="cs"/>
          <w:rtl/>
        </w:rPr>
        <w:t>وموت شخص وولادة آخر</w:t>
      </w:r>
      <w:r>
        <w:rPr>
          <w:rFonts w:hint="cs"/>
          <w:rtl/>
        </w:rPr>
        <w:t>،</w:t>
      </w:r>
      <w:r w:rsidR="009C32A0" w:rsidRPr="005675B2">
        <w:rPr>
          <w:rFonts w:hint="cs"/>
          <w:rtl/>
        </w:rPr>
        <w:t xml:space="preserve"> كلها بإرادة الله فلا مكره له</w:t>
      </w:r>
      <w:r>
        <w:rPr>
          <w:rFonts w:hint="cs"/>
          <w:rtl/>
        </w:rPr>
        <w:t xml:space="preserve">، </w:t>
      </w:r>
      <w:r w:rsidR="009C32A0" w:rsidRPr="005675B2">
        <w:rPr>
          <w:rFonts w:hint="cs"/>
          <w:rtl/>
        </w:rPr>
        <w:t>فليس الله مُكرهاً على أن يكفر الكافر بل كفره بإرادة الله</w:t>
      </w:r>
      <w:r>
        <w:rPr>
          <w:rFonts w:hint="cs"/>
          <w:rtl/>
        </w:rPr>
        <w:t>،</w:t>
      </w:r>
      <w:r w:rsidR="009C32A0" w:rsidRPr="005675B2">
        <w:rPr>
          <w:rFonts w:hint="cs"/>
          <w:rtl/>
        </w:rPr>
        <w:t xml:space="preserve"> وليس الله مكرهاً على أن يسلم المسلم</w:t>
      </w:r>
      <w:r>
        <w:rPr>
          <w:rFonts w:hint="cs"/>
          <w:rtl/>
        </w:rPr>
        <w:t>،</w:t>
      </w:r>
      <w:r w:rsidR="009C32A0" w:rsidRPr="005675B2">
        <w:rPr>
          <w:rFonts w:hint="cs"/>
          <w:rtl/>
        </w:rPr>
        <w:t>بل إسلامه بإرادة الله قال تعالى (</w:t>
      </w:r>
      <w:r>
        <w:rPr>
          <w:rFonts w:hint="cs"/>
          <w:rtl/>
        </w:rPr>
        <w:t>(</w:t>
      </w:r>
      <w:r w:rsidR="009C32A0" w:rsidRPr="005675B2">
        <w:rPr>
          <w:rFonts w:hint="cs"/>
          <w:rtl/>
        </w:rPr>
        <w:t>وما تشاؤون إلا أن يشاء الله رب العالمين</w:t>
      </w:r>
      <w:r>
        <w:rPr>
          <w:rFonts w:hint="cs"/>
          <w:rtl/>
        </w:rPr>
        <w:t>)</w:t>
      </w:r>
      <w:r w:rsidR="009C32A0" w:rsidRPr="005675B2">
        <w:rPr>
          <w:rFonts w:hint="cs"/>
          <w:rtl/>
        </w:rPr>
        <w:t>)</w:t>
      </w:r>
      <w:r>
        <w:rPr>
          <w:rFonts w:hint="cs"/>
          <w:rtl/>
        </w:rPr>
        <w:t xml:space="preserve">، </w:t>
      </w:r>
      <w:r w:rsidR="009C32A0" w:rsidRPr="005675B2">
        <w:rPr>
          <w:rFonts w:hint="cs"/>
          <w:rtl/>
        </w:rPr>
        <w:t>فضد الإرادة الإكراه والله لا مكره له</w:t>
      </w:r>
      <w:r>
        <w:rPr>
          <w:rFonts w:hint="cs"/>
          <w:rtl/>
        </w:rPr>
        <w:t>،</w:t>
      </w:r>
      <w:r w:rsidR="009C32A0" w:rsidRPr="005675B2">
        <w:rPr>
          <w:rFonts w:hint="cs"/>
          <w:rtl/>
        </w:rPr>
        <w:t xml:space="preserve"> هذا كل مافي الأمر</w:t>
      </w:r>
      <w:r>
        <w:rPr>
          <w:rFonts w:hint="cs"/>
          <w:rtl/>
        </w:rPr>
        <w:t>،</w:t>
      </w:r>
      <w:r w:rsidR="009C32A0" w:rsidRPr="005675B2">
        <w:rPr>
          <w:rFonts w:hint="cs"/>
          <w:rtl/>
        </w:rPr>
        <w:t xml:space="preserve"> قال تعالى (</w:t>
      </w:r>
      <w:r>
        <w:rPr>
          <w:rFonts w:hint="cs"/>
          <w:rtl/>
        </w:rPr>
        <w:t>(</w:t>
      </w:r>
      <w:r w:rsidR="009C32A0" w:rsidRPr="005675B2">
        <w:rPr>
          <w:rFonts w:hint="cs"/>
          <w:rtl/>
        </w:rPr>
        <w:t>فعّال لمايريد</w:t>
      </w:r>
      <w:r>
        <w:rPr>
          <w:rFonts w:hint="cs"/>
          <w:rtl/>
        </w:rPr>
        <w:t>)</w:t>
      </w:r>
      <w:r w:rsidR="009C32A0" w:rsidRPr="005675B2">
        <w:rPr>
          <w:rFonts w:hint="cs"/>
          <w:rtl/>
        </w:rPr>
        <w:t>)وهو عين</w:t>
      </w:r>
      <w:r>
        <w:rPr>
          <w:rFonts w:hint="cs"/>
          <w:rtl/>
        </w:rPr>
        <w:t xml:space="preserve"> </w:t>
      </w:r>
      <w:r w:rsidR="009C32A0" w:rsidRPr="005675B2">
        <w:rPr>
          <w:rFonts w:hint="cs"/>
          <w:rtl/>
        </w:rPr>
        <w:t xml:space="preserve">قول السلف </w:t>
      </w:r>
      <w:r>
        <w:rPr>
          <w:rFonts w:hint="cs"/>
          <w:rtl/>
        </w:rPr>
        <w:t>(</w:t>
      </w:r>
      <w:r w:rsidR="009C32A0" w:rsidRPr="005675B2">
        <w:rPr>
          <w:rFonts w:hint="cs"/>
          <w:rtl/>
        </w:rPr>
        <w:t>ماشاء الله كان ومالم يشأ لم يكن</w:t>
      </w:r>
      <w:r>
        <w:rPr>
          <w:rFonts w:hint="cs"/>
          <w:rtl/>
        </w:rPr>
        <w:t>)</w:t>
      </w:r>
      <w:r w:rsidR="009C32A0" w:rsidRPr="005675B2">
        <w:rPr>
          <w:rFonts w:hint="cs"/>
          <w:rtl/>
        </w:rPr>
        <w:t>وهو صريح قول الطحاوي</w:t>
      </w:r>
      <w:r>
        <w:rPr>
          <w:rFonts w:hint="cs"/>
          <w:rtl/>
        </w:rPr>
        <w:t xml:space="preserve"> </w:t>
      </w:r>
      <w:r w:rsidR="009C32A0" w:rsidRPr="005675B2">
        <w:rPr>
          <w:rFonts w:hint="cs"/>
          <w:rtl/>
        </w:rPr>
        <w:t>في متن الطحاوية</w:t>
      </w:r>
      <w:r>
        <w:rPr>
          <w:rFonts w:hint="cs"/>
          <w:rtl/>
        </w:rPr>
        <w:t>:(</w:t>
      </w:r>
      <w:r w:rsidR="009C32A0" w:rsidRPr="005675B2">
        <w:rPr>
          <w:rFonts w:hint="cs"/>
          <w:rtl/>
        </w:rPr>
        <w:t xml:space="preserve">لا يفنى ولايبيد </w:t>
      </w:r>
      <w:r w:rsidR="009C32A0" w:rsidRPr="005675B2">
        <w:rPr>
          <w:rFonts w:hint="cs"/>
          <w:u w:val="single"/>
          <w:rtl/>
        </w:rPr>
        <w:t>ولا يكون إلا مايريد</w:t>
      </w:r>
      <w:r>
        <w:rPr>
          <w:rFonts w:hint="cs"/>
          <w:rtl/>
        </w:rPr>
        <w:t>)،</w:t>
      </w:r>
    </w:p>
    <w:p w14:paraId="3FA40DD0" w14:textId="55D0945C" w:rsidR="009C32A0" w:rsidRPr="005675B2" w:rsidRDefault="009C32A0" w:rsidP="000636C2">
      <w:pPr>
        <w:rPr>
          <w:b/>
          <w:rtl/>
        </w:rPr>
      </w:pPr>
      <w:r w:rsidRPr="005675B2">
        <w:rPr>
          <w:rFonts w:hint="cs"/>
          <w:bCs/>
          <w:rtl/>
        </w:rPr>
        <w:t>صفة الإرادة صفة واحدة كسائر الصفات الأزلية</w:t>
      </w:r>
      <w:r w:rsidR="000636C2">
        <w:rPr>
          <w:rFonts w:hint="cs"/>
          <w:rtl/>
        </w:rPr>
        <w:t xml:space="preserve">، </w:t>
      </w:r>
      <w:r w:rsidRPr="00B8085B">
        <w:rPr>
          <w:rFonts w:hint="cs"/>
          <w:bCs/>
          <w:rtl/>
        </w:rPr>
        <w:t>شبهات حول صفة الإرادة</w:t>
      </w:r>
      <w:r w:rsidR="000636C2">
        <w:rPr>
          <w:rFonts w:hint="cs"/>
          <w:rtl/>
        </w:rPr>
        <w:t>:</w:t>
      </w:r>
      <w:r w:rsidRPr="005675B2">
        <w:rPr>
          <w:rFonts w:hint="cs"/>
          <w:rtl/>
        </w:rPr>
        <w:t xml:space="preserve"> يظن البعض هداهم الله تعالى أن صفة الإرادة تنقسم </w:t>
      </w:r>
      <w:r w:rsidR="000636C2">
        <w:rPr>
          <w:rFonts w:hint="cs"/>
          <w:rtl/>
        </w:rPr>
        <w:t>[</w:t>
      </w:r>
      <w:r w:rsidRPr="005675B2">
        <w:rPr>
          <w:rFonts w:hint="cs"/>
          <w:bCs/>
          <w:sz w:val="24"/>
          <w:szCs w:val="24"/>
          <w:rtl/>
        </w:rPr>
        <w:t>لمزيد الفائدة انظر ما كتبه الشيخ</w:t>
      </w:r>
      <w:r w:rsidR="000636C2">
        <w:rPr>
          <w:rFonts w:hint="cs"/>
          <w:bCs/>
          <w:sz w:val="24"/>
          <w:szCs w:val="24"/>
          <w:rtl/>
        </w:rPr>
        <w:t>:</w:t>
      </w:r>
      <w:r w:rsidRPr="005675B2">
        <w:rPr>
          <w:rFonts w:hint="cs"/>
          <w:bCs/>
          <w:sz w:val="24"/>
          <w:szCs w:val="24"/>
          <w:rtl/>
        </w:rPr>
        <w:t>سعيد</w:t>
      </w:r>
      <w:r w:rsidR="000636C2">
        <w:rPr>
          <w:rFonts w:hint="cs"/>
          <w:bCs/>
          <w:sz w:val="24"/>
          <w:szCs w:val="24"/>
          <w:rtl/>
        </w:rPr>
        <w:t xml:space="preserve"> </w:t>
      </w:r>
      <w:r w:rsidRPr="005675B2">
        <w:rPr>
          <w:rFonts w:hint="cs"/>
          <w:bCs/>
          <w:sz w:val="24"/>
          <w:szCs w:val="24"/>
          <w:rtl/>
        </w:rPr>
        <w:t>الفودة الأشعري في شرحه للطحاوية]</w:t>
      </w:r>
      <w:r w:rsidRPr="005675B2">
        <w:rPr>
          <w:rFonts w:hint="cs"/>
          <w:rtl/>
        </w:rPr>
        <w:t xml:space="preserve"> ثم جعلوا تقسيمها إلى إرادة تكوينية وإرادة شرعية</w:t>
      </w:r>
      <w:r w:rsidR="000636C2">
        <w:rPr>
          <w:rFonts w:hint="cs"/>
          <w:rtl/>
        </w:rPr>
        <w:t>،</w:t>
      </w:r>
      <w:r w:rsidRPr="005675B2">
        <w:rPr>
          <w:rFonts w:hint="cs"/>
          <w:rtl/>
        </w:rPr>
        <w:t xml:space="preserve"> ثم ظنوا أن ما أسموه إرادة الله الشرعية يريده الله فلا يقع هكذا</w:t>
      </w:r>
      <w:r w:rsidR="000636C2">
        <w:rPr>
          <w:rFonts w:hint="cs"/>
          <w:rtl/>
        </w:rPr>
        <w:t>!</w:t>
      </w:r>
      <w:r w:rsidRPr="005675B2">
        <w:rPr>
          <w:rFonts w:hint="cs"/>
          <w:rtl/>
        </w:rPr>
        <w:t>! واستدلوا بالآيات التالية</w:t>
      </w:r>
      <w:r w:rsidR="000636C2">
        <w:rPr>
          <w:rFonts w:hint="cs"/>
          <w:rtl/>
        </w:rPr>
        <w:t>:</w:t>
      </w:r>
    </w:p>
    <w:p w14:paraId="13B2AA53" w14:textId="406761AD"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قول الله سبحانه</w:t>
      </w:r>
      <w:r w:rsidR="000636C2">
        <w:rPr>
          <w:rFonts w:hint="cs"/>
          <w:rtl/>
        </w:rPr>
        <w:t>:</w:t>
      </w:r>
      <w:r w:rsidRPr="005675B2">
        <w:rPr>
          <w:rFonts w:hint="cs"/>
        </w:rPr>
        <w:t xml:space="preserve"> </w:t>
      </w:r>
      <w:r w:rsidR="000636C2">
        <w:rPr>
          <w:rFonts w:hint="cs"/>
          <w:rtl/>
        </w:rPr>
        <w:t>(</w:t>
      </w:r>
      <w:r w:rsidRPr="005675B2">
        <w:rPr>
          <w:rStyle w:val="ayat1"/>
          <w:rFonts w:hint="cs"/>
          <w:rtl/>
        </w:rPr>
        <w:t>يُرِيدُ</w:t>
      </w:r>
      <w:r w:rsidRPr="005675B2">
        <w:rPr>
          <w:rStyle w:val="ayat1"/>
          <w:rFonts w:hint="cs"/>
        </w:rPr>
        <w:t xml:space="preserve"> </w:t>
      </w:r>
      <w:r w:rsidRPr="005675B2">
        <w:rPr>
          <w:rStyle w:val="ayat1"/>
          <w:rFonts w:hint="cs"/>
          <w:rtl/>
        </w:rPr>
        <w:t>اللَّهُ بِكُمُ الْيُسْرَ وَلا يُرِيدُ بِكُمُ</w:t>
      </w:r>
      <w:r w:rsidRPr="005675B2">
        <w:rPr>
          <w:rStyle w:val="ayat1"/>
          <w:rFonts w:hint="cs"/>
        </w:rPr>
        <w:t xml:space="preserve"> </w:t>
      </w:r>
      <w:r w:rsidRPr="005675B2">
        <w:rPr>
          <w:rStyle w:val="ayat1"/>
          <w:rFonts w:hint="cs"/>
          <w:rtl/>
        </w:rPr>
        <w:t>الْعُسْرَ</w:t>
      </w:r>
      <w:r w:rsidR="000636C2">
        <w:rPr>
          <w:rFonts w:hint="cs"/>
          <w:rtl/>
        </w:rPr>
        <w:t>): [</w:t>
      </w:r>
      <w:r>
        <w:rPr>
          <w:rFonts w:hint="cs"/>
          <w:rtl/>
        </w:rPr>
        <w:t>الجواب</w:t>
      </w:r>
      <w:r w:rsidR="000636C2">
        <w:rPr>
          <w:rFonts w:hint="cs"/>
          <w:rtl/>
        </w:rPr>
        <w:t xml:space="preserve">]: </w:t>
      </w:r>
      <w:r w:rsidRPr="005675B2">
        <w:rPr>
          <w:rFonts w:hint="cs"/>
          <w:rtl/>
        </w:rPr>
        <w:t>أنه خاص بالتشريع والتشريع قد وقع فعلاً ولم يتخلف فأراد أن يكون شرعه</w:t>
      </w:r>
      <w:r w:rsidR="000636C2">
        <w:rPr>
          <w:rFonts w:hint="cs"/>
          <w:rtl/>
        </w:rPr>
        <w:t xml:space="preserve"> </w:t>
      </w:r>
      <w:r w:rsidRPr="005675B2">
        <w:rPr>
          <w:rFonts w:hint="cs"/>
          <w:rtl/>
        </w:rPr>
        <w:t>يسيراً بنا فوقع ذلك، ولم يرد أن يكون عسيراً فوقع ذلك</w:t>
      </w:r>
      <w:r w:rsidR="000636C2">
        <w:rPr>
          <w:rFonts w:hint="cs"/>
          <w:rtl/>
        </w:rPr>
        <w:t>،</w:t>
      </w:r>
      <w:r w:rsidRPr="005675B2">
        <w:rPr>
          <w:rFonts w:hint="cs"/>
          <w:rtl/>
        </w:rPr>
        <w:t xml:space="preserve"> ووقوعه بإنشاء وإنزال هذه الشريعة فإنها شريعة يسيرة لا عسر فيها ولله الحمد فقول من يقول</w:t>
      </w:r>
      <w:r w:rsidR="000636C2">
        <w:rPr>
          <w:rFonts w:hint="cs"/>
          <w:rtl/>
        </w:rPr>
        <w:t>:</w:t>
      </w:r>
      <w:r w:rsidRPr="005675B2">
        <w:rPr>
          <w:rFonts w:hint="cs"/>
          <w:rtl/>
        </w:rPr>
        <w:t xml:space="preserve"> أن الإرادة هنا قد تتخلف باطل لأنها لم تتخلف بل</w:t>
      </w:r>
      <w:r>
        <w:rPr>
          <w:rFonts w:hint="cs"/>
          <w:rtl/>
        </w:rPr>
        <w:t xml:space="preserve"> </w:t>
      </w:r>
      <w:r w:rsidRPr="005675B2">
        <w:rPr>
          <w:rFonts w:hint="cs"/>
          <w:rtl/>
        </w:rPr>
        <w:t>وقعت</w:t>
      </w:r>
      <w:r w:rsidR="000636C2">
        <w:rPr>
          <w:rFonts w:hint="cs"/>
          <w:rtl/>
        </w:rPr>
        <w:t>،</w:t>
      </w:r>
    </w:p>
    <w:p w14:paraId="483CE9C0" w14:textId="0547DACD"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Style w:val="ayat1"/>
          <w:rFonts w:hint="cs"/>
          <w:rtl/>
        </w:rPr>
        <w:t>وَاللَّهُ</w:t>
      </w:r>
      <w:r w:rsidRPr="005675B2">
        <w:rPr>
          <w:rStyle w:val="ayat1"/>
          <w:rFonts w:hint="cs"/>
        </w:rPr>
        <w:t xml:space="preserve"> </w:t>
      </w:r>
      <w:r w:rsidRPr="005675B2">
        <w:rPr>
          <w:rStyle w:val="ayat1"/>
          <w:rFonts w:hint="cs"/>
          <w:rtl/>
        </w:rPr>
        <w:t>يُرِيدُ</w:t>
      </w:r>
      <w:r w:rsidRPr="005675B2">
        <w:rPr>
          <w:rStyle w:val="ayat1"/>
          <w:rFonts w:hint="cs"/>
        </w:rPr>
        <w:t xml:space="preserve"> </w:t>
      </w:r>
      <w:r w:rsidRPr="005675B2">
        <w:rPr>
          <w:rStyle w:val="ayat1"/>
          <w:rFonts w:hint="cs"/>
          <w:rtl/>
        </w:rPr>
        <w:t>أَنْ</w:t>
      </w:r>
      <w:r w:rsidRPr="005675B2">
        <w:rPr>
          <w:rStyle w:val="ayat1"/>
          <w:rFonts w:hint="cs"/>
        </w:rPr>
        <w:t xml:space="preserve"> </w:t>
      </w:r>
      <w:r w:rsidRPr="005675B2">
        <w:rPr>
          <w:rStyle w:val="ayat1"/>
          <w:rFonts w:hint="cs"/>
          <w:rtl/>
        </w:rPr>
        <w:t>يَتُوبَ عَلَيْكُمْ وَيُرِيدُ الَّذِينَ يَتَّبِعُونَ الشَّهَوَاتِ أَنْ</w:t>
      </w:r>
      <w:r w:rsidRPr="005675B2">
        <w:rPr>
          <w:rStyle w:val="ayat1"/>
          <w:rFonts w:hint="cs"/>
        </w:rPr>
        <w:t xml:space="preserve"> </w:t>
      </w:r>
      <w:r w:rsidRPr="005675B2">
        <w:rPr>
          <w:rStyle w:val="ayat1"/>
          <w:rFonts w:hint="cs"/>
          <w:rtl/>
        </w:rPr>
        <w:t>تَمِيلُوا</w:t>
      </w:r>
      <w:r w:rsidRPr="005675B2">
        <w:rPr>
          <w:rStyle w:val="ayat1"/>
          <w:rFonts w:hint="cs"/>
        </w:rPr>
        <w:t xml:space="preserve"> </w:t>
      </w:r>
      <w:r w:rsidRPr="005675B2">
        <w:rPr>
          <w:rStyle w:val="ayat1"/>
          <w:rFonts w:hint="cs"/>
          <w:rtl/>
        </w:rPr>
        <w:t>مَيْلاً عَظِيماً</w:t>
      </w:r>
      <w:r w:rsidR="000636C2">
        <w:rPr>
          <w:rFonts w:hint="cs"/>
          <w:rtl/>
        </w:rPr>
        <w:t>)</w:t>
      </w:r>
      <w:r w:rsidRPr="005675B2">
        <w:rPr>
          <w:rFonts w:hint="cs"/>
          <w:rtl/>
        </w:rPr>
        <w:t>وهذا يقع أيضاً ولا يتخلف فإن من تاب توبة صحيحة تاب الله عليه</w:t>
      </w:r>
      <w:r w:rsidR="000636C2">
        <w:rPr>
          <w:rFonts w:hint="cs"/>
          <w:rtl/>
        </w:rPr>
        <w:t>،</w:t>
      </w:r>
      <w:r w:rsidRPr="005675B2">
        <w:rPr>
          <w:rFonts w:hint="cs"/>
          <w:rtl/>
        </w:rPr>
        <w:t>فكيف يقول القائل أن الله يريدها فلا تقع</w:t>
      </w:r>
      <w:r w:rsidR="000636C2">
        <w:rPr>
          <w:rFonts w:hint="cs"/>
          <w:rtl/>
        </w:rPr>
        <w:t>؟!</w:t>
      </w:r>
      <w:r w:rsidRPr="005675B2">
        <w:rPr>
          <w:rFonts w:hint="cs"/>
          <w:rtl/>
        </w:rPr>
        <w:t>!فمن تاب فقد أراد الله له الهداية ومن لم يتب واتبع الشهوات فقد أرا دالله له عدم التوبة كما قال</w:t>
      </w:r>
      <w:r w:rsidR="000636C2">
        <w:rPr>
          <w:rFonts w:hint="cs"/>
          <w:rtl/>
        </w:rPr>
        <w:t>)</w:t>
      </w:r>
      <w:r w:rsidRPr="005675B2">
        <w:rPr>
          <w:rFonts w:hint="cs"/>
          <w:rtl/>
        </w:rPr>
        <w:t>)</w:t>
      </w:r>
      <w:r w:rsidRPr="005675B2">
        <w:rPr>
          <w:rStyle w:val="ayat1"/>
          <w:rFonts w:hint="cs"/>
          <w:rtl/>
        </w:rPr>
        <w:t>وَلا</w:t>
      </w:r>
      <w:r w:rsidRPr="005675B2">
        <w:rPr>
          <w:rStyle w:val="ayat1"/>
          <w:rFonts w:hint="cs"/>
        </w:rPr>
        <w:t xml:space="preserve"> </w:t>
      </w:r>
      <w:r w:rsidRPr="005675B2">
        <w:rPr>
          <w:rStyle w:val="ayat1"/>
          <w:rFonts w:hint="cs"/>
          <w:rtl/>
        </w:rPr>
        <w:t>يَنْفَعُكُمْ نُصْحِي إِنْ أَرَدْتُ أَنْ</w:t>
      </w:r>
      <w:r w:rsidRPr="005675B2">
        <w:rPr>
          <w:rStyle w:val="ayat1"/>
          <w:rFonts w:hint="cs"/>
        </w:rPr>
        <w:t xml:space="preserve"> </w:t>
      </w:r>
      <w:r w:rsidRPr="005675B2">
        <w:rPr>
          <w:rStyle w:val="ayat1"/>
          <w:rFonts w:hint="cs"/>
          <w:rtl/>
        </w:rPr>
        <w:t>أَنْصَحَ</w:t>
      </w:r>
      <w:r w:rsidRPr="005675B2">
        <w:rPr>
          <w:rStyle w:val="ayat1"/>
          <w:rFonts w:hint="cs"/>
        </w:rPr>
        <w:t xml:space="preserve"> </w:t>
      </w:r>
      <w:r w:rsidRPr="005675B2">
        <w:rPr>
          <w:rStyle w:val="ayat1"/>
          <w:rFonts w:hint="cs"/>
          <w:rtl/>
        </w:rPr>
        <w:t>لَكُمْ إِنْ كَانَ َ اللَّهُ يُرِيدُ أَنْ يُغْوِيَكُم</w:t>
      </w:r>
      <w:r w:rsidR="000636C2">
        <w:rPr>
          <w:rStyle w:val="ayat1"/>
          <w:rFonts w:hint="cs"/>
          <w:rtl/>
        </w:rPr>
        <w:t>)</w:t>
      </w:r>
      <w:r w:rsidRPr="005675B2">
        <w:rPr>
          <w:rStyle w:val="ayat1"/>
          <w:rFonts w:hint="cs"/>
          <w:rtl/>
        </w:rPr>
        <w:t>)</w:t>
      </w:r>
      <w:r w:rsidR="000636C2">
        <w:rPr>
          <w:rStyle w:val="ayat1"/>
          <w:rFonts w:hint="cs"/>
          <w:rtl/>
        </w:rPr>
        <w:t xml:space="preserve"> </w:t>
      </w:r>
      <w:r w:rsidRPr="005675B2">
        <w:rPr>
          <w:rFonts w:hint="cs"/>
          <w:rtl/>
        </w:rPr>
        <w:t>فالنصوص بعضها</w:t>
      </w:r>
      <w:r>
        <w:rPr>
          <w:rFonts w:hint="cs"/>
          <w:rtl/>
        </w:rPr>
        <w:t xml:space="preserve"> </w:t>
      </w:r>
      <w:r w:rsidRPr="005675B2">
        <w:rPr>
          <w:rFonts w:hint="cs"/>
          <w:rtl/>
        </w:rPr>
        <w:t>يفسر بعضاً</w:t>
      </w:r>
      <w:r w:rsidR="000636C2">
        <w:rPr>
          <w:rFonts w:hint="cs"/>
          <w:rtl/>
        </w:rPr>
        <w:t>،</w:t>
      </w:r>
    </w:p>
    <w:p w14:paraId="63E03C0C" w14:textId="7EA43BB9" w:rsidR="009C32A0" w:rsidRDefault="009C32A0" w:rsidP="000636C2">
      <w:pPr>
        <w:rPr>
          <w:b/>
          <w:rtl/>
          <w:lang w:bidi="ar-KW"/>
        </w:rPr>
      </w:pPr>
      <w:r w:rsidRPr="005675B2">
        <w:rPr>
          <w:rFonts w:hint="cs"/>
          <w:rtl/>
        </w:rPr>
        <w:t>3</w:t>
      </w:r>
      <w:r w:rsidR="000636C2">
        <w:rPr>
          <w:rFonts w:hint="cs"/>
          <w:rtl/>
        </w:rPr>
        <w:t xml:space="preserve"> </w:t>
      </w:r>
      <w:r w:rsidRPr="005675B2">
        <w:rPr>
          <w:rFonts w:hint="cs"/>
          <w:rtl/>
        </w:rPr>
        <w:t>-</w:t>
      </w:r>
      <w:r w:rsidR="000636C2">
        <w:rPr>
          <w:rFonts w:hint="cs"/>
          <w:rtl/>
        </w:rPr>
        <w:t>:</w:t>
      </w:r>
      <w:r w:rsidRPr="005675B2">
        <w:rPr>
          <w:rFonts w:hint="cs"/>
        </w:rPr>
        <w:t xml:space="preserve"> </w:t>
      </w:r>
      <w:r w:rsidRPr="005675B2">
        <w:rPr>
          <w:rFonts w:hint="cs"/>
          <w:rtl/>
        </w:rPr>
        <w:t>(</w:t>
      </w:r>
      <w:r w:rsidR="000636C2">
        <w:rPr>
          <w:rFonts w:hint="cs"/>
          <w:rtl/>
        </w:rPr>
        <w:t>(</w:t>
      </w:r>
      <w:r w:rsidRPr="005675B2">
        <w:rPr>
          <w:rStyle w:val="ayat1"/>
          <w:rFonts w:hint="cs"/>
          <w:rtl/>
        </w:rPr>
        <w:t>يُرِيدُ</w:t>
      </w:r>
      <w:r w:rsidRPr="005675B2">
        <w:rPr>
          <w:rStyle w:val="ayat1"/>
          <w:rFonts w:hint="cs"/>
        </w:rPr>
        <w:t xml:space="preserve"> </w:t>
      </w:r>
      <w:r w:rsidRPr="005675B2">
        <w:rPr>
          <w:rStyle w:val="ayat1"/>
          <w:rFonts w:hint="cs"/>
          <w:rtl/>
        </w:rPr>
        <w:t>اللَّهُ لِيُبَيِّنَ لَكُمْ وَيَهْدِيَكُمْ سُنَنَ الَّذِينَ مِنْ</w:t>
      </w:r>
      <w:r w:rsidRPr="005675B2">
        <w:rPr>
          <w:rStyle w:val="ayat1"/>
          <w:rFonts w:hint="cs"/>
        </w:rPr>
        <w:t xml:space="preserve"> </w:t>
      </w:r>
      <w:r w:rsidRPr="005675B2">
        <w:rPr>
          <w:rStyle w:val="ayat1"/>
          <w:rFonts w:hint="cs"/>
          <w:rtl/>
        </w:rPr>
        <w:t>قَبْلِكُمْ</w:t>
      </w:r>
      <w:r w:rsidRPr="005675B2">
        <w:rPr>
          <w:rStyle w:val="ayat1"/>
          <w:rFonts w:hint="cs"/>
        </w:rPr>
        <w:t xml:space="preserve"> </w:t>
      </w:r>
      <w:r w:rsidRPr="005675B2">
        <w:rPr>
          <w:rStyle w:val="ayat1"/>
          <w:rFonts w:hint="cs"/>
          <w:rtl/>
        </w:rPr>
        <w:t>وَيَتُوبَ عَلَيْكُمْ وَاللَّهُ عَلِيمٌ حَكِيمٌ</w:t>
      </w:r>
      <w:r w:rsidR="000636C2">
        <w:rPr>
          <w:rFonts w:hint="cs"/>
          <w:rtl/>
        </w:rPr>
        <w:t>)</w:t>
      </w:r>
      <w:r w:rsidRPr="005675B2">
        <w:rPr>
          <w:rFonts w:hint="cs"/>
          <w:rtl/>
        </w:rPr>
        <w:t>)وهذه أيضاً قد وقعت</w:t>
      </w:r>
      <w:r w:rsidR="000636C2">
        <w:rPr>
          <w:rFonts w:hint="cs"/>
          <w:rtl/>
        </w:rPr>
        <w:t xml:space="preserve"> </w:t>
      </w:r>
      <w:r w:rsidRPr="005675B2">
        <w:rPr>
          <w:rFonts w:hint="cs"/>
          <w:rtl/>
        </w:rPr>
        <w:t>ولم تتخلف كما يزعم من يزعم ذلك فإن الله قد بين لهذه الأمة أمردينها</w:t>
      </w:r>
      <w:r w:rsidR="000636C2">
        <w:rPr>
          <w:rFonts w:hint="cs"/>
          <w:rtl/>
        </w:rPr>
        <w:t>،</w:t>
      </w:r>
      <w:r w:rsidRPr="005675B2">
        <w:rPr>
          <w:rFonts w:hint="cs"/>
          <w:rtl/>
        </w:rPr>
        <w:t>وقد هداها فعلاً لما قبلها من سنن المؤمنين السابقين لها زمناً</w:t>
      </w:r>
      <w:r w:rsidR="000636C2">
        <w:rPr>
          <w:rFonts w:hint="cs"/>
          <w:rtl/>
        </w:rPr>
        <w:t>،</w:t>
      </w:r>
      <w:r w:rsidRPr="005675B2">
        <w:rPr>
          <w:rFonts w:hint="cs"/>
          <w:rtl/>
        </w:rPr>
        <w:t>وأراد أن يتوب عليهم، وكل هذا قد وقع ولم يتخلف</w:t>
      </w:r>
      <w:r w:rsidR="000636C2">
        <w:rPr>
          <w:rFonts w:hint="cs"/>
          <w:rtl/>
        </w:rPr>
        <w:t>،</w:t>
      </w:r>
      <w:r w:rsidRPr="005675B2">
        <w:rPr>
          <w:rFonts w:hint="cs"/>
          <w:rtl/>
        </w:rPr>
        <w:t xml:space="preserve"> فقد بين الله دينه بإرسال نبيه وإنزال كتابه وما مات الرسول صلى الله عليه وسلم إلا والناس على المحجة البيضاء لا يزيغ عنها إلا هالك</w:t>
      </w:r>
      <w:r w:rsidR="000636C2">
        <w:rPr>
          <w:rFonts w:hint="cs"/>
          <w:rtl/>
        </w:rPr>
        <w:t>،</w:t>
      </w:r>
      <w:r w:rsidRPr="005675B2">
        <w:rPr>
          <w:rFonts w:hint="cs"/>
          <w:rtl/>
        </w:rPr>
        <w:t xml:space="preserve"> وكذلك شرع لهم التوبة بشروطها ولم يتخلف مما أراده الله شيئأً</w:t>
      </w:r>
      <w:r w:rsidR="000636C2">
        <w:rPr>
          <w:rFonts w:hint="cs"/>
          <w:rtl/>
        </w:rPr>
        <w:t xml:space="preserve">، </w:t>
      </w:r>
      <w:r w:rsidRPr="005675B2">
        <w:rPr>
          <w:rFonts w:hint="cs"/>
          <w:rtl/>
        </w:rPr>
        <w:t>(</w:t>
      </w:r>
      <w:r w:rsidR="000636C2">
        <w:rPr>
          <w:rFonts w:hint="cs"/>
          <w:rtl/>
        </w:rPr>
        <w:t>(</w:t>
      </w:r>
      <w:r w:rsidRPr="005675B2">
        <w:rPr>
          <w:rStyle w:val="ayat1"/>
          <w:rFonts w:hint="cs"/>
          <w:rtl/>
        </w:rPr>
        <w:t>فَمَنْ</w:t>
      </w:r>
      <w:r w:rsidRPr="005675B2">
        <w:rPr>
          <w:rStyle w:val="ayat1"/>
          <w:rFonts w:hint="cs"/>
        </w:rPr>
        <w:t xml:space="preserve"> </w:t>
      </w:r>
      <w:r w:rsidRPr="005675B2">
        <w:rPr>
          <w:rStyle w:val="ayat1"/>
          <w:rFonts w:hint="cs"/>
          <w:rtl/>
        </w:rPr>
        <w:t>يُرِدِ اللَّهُ أَنْ يَهْدِيَهُ</w:t>
      </w:r>
      <w:r w:rsidRPr="005675B2">
        <w:rPr>
          <w:rStyle w:val="ayat1"/>
          <w:rFonts w:hint="cs"/>
        </w:rPr>
        <w:t xml:space="preserve"> </w:t>
      </w:r>
      <w:r w:rsidRPr="005675B2">
        <w:rPr>
          <w:rStyle w:val="ayat1"/>
          <w:rFonts w:hint="cs"/>
          <w:rtl/>
        </w:rPr>
        <w:t>يَشْرَحْ</w:t>
      </w:r>
      <w:r w:rsidRPr="005675B2">
        <w:rPr>
          <w:rStyle w:val="ayat1"/>
          <w:rFonts w:hint="cs"/>
        </w:rPr>
        <w:t xml:space="preserve"> </w:t>
      </w:r>
      <w:r w:rsidRPr="005675B2">
        <w:rPr>
          <w:rStyle w:val="ayat1"/>
          <w:rFonts w:hint="cs"/>
          <w:rtl/>
        </w:rPr>
        <w:t>صَدْرَهُ لِلإِسْلامِ وَمَنْ يُرِدْ أَنْ يُضِلَّهُ يَجْعَلْ صَدْرَهُ</w:t>
      </w:r>
      <w:r w:rsidRPr="005675B2">
        <w:rPr>
          <w:rStyle w:val="ayat1"/>
          <w:rFonts w:hint="cs"/>
        </w:rPr>
        <w:t xml:space="preserve"> </w:t>
      </w:r>
      <w:r w:rsidRPr="005675B2">
        <w:rPr>
          <w:rStyle w:val="ayat1"/>
          <w:rFonts w:hint="cs"/>
          <w:rtl/>
        </w:rPr>
        <w:t>ضَيِّقاً</w:t>
      </w:r>
      <w:r w:rsidRPr="005675B2">
        <w:rPr>
          <w:rStyle w:val="ayat1"/>
          <w:rFonts w:hint="cs"/>
        </w:rPr>
        <w:t xml:space="preserve"> </w:t>
      </w:r>
      <w:r w:rsidRPr="005675B2">
        <w:rPr>
          <w:rStyle w:val="ayat1"/>
          <w:rFonts w:hint="cs"/>
          <w:rtl/>
        </w:rPr>
        <w:t>حَرَجاً كَأَنَّمَا يَصَّعَّدُ فِي السَّمَاءِ</w:t>
      </w:r>
      <w:r w:rsidR="000636C2">
        <w:rPr>
          <w:rFonts w:hint="cs"/>
          <w:rtl/>
        </w:rPr>
        <w:t>)</w:t>
      </w:r>
      <w:r w:rsidRPr="005675B2">
        <w:rPr>
          <w:rFonts w:hint="cs"/>
          <w:rtl/>
        </w:rPr>
        <w:t>)</w:t>
      </w:r>
      <w:r>
        <w:rPr>
          <w:rFonts w:hint="cs"/>
          <w:rtl/>
          <w:lang w:bidi="ar-KW"/>
        </w:rPr>
        <w:t xml:space="preserve"> </w:t>
      </w:r>
    </w:p>
    <w:p w14:paraId="2C6C7546" w14:textId="37D0B69D" w:rsidR="009C32A0" w:rsidRPr="005675B2" w:rsidRDefault="009C32A0" w:rsidP="000636C2">
      <w:pPr>
        <w:rPr>
          <w:b/>
          <w:rtl/>
        </w:rPr>
      </w:pPr>
      <w:r>
        <w:rPr>
          <w:rFonts w:hint="cs"/>
          <w:rtl/>
        </w:rPr>
        <w:t>4 -</w:t>
      </w:r>
      <w:r w:rsidR="000636C2">
        <w:rPr>
          <w:rFonts w:hint="cs"/>
          <w:rtl/>
        </w:rPr>
        <w:t>:</w:t>
      </w:r>
      <w:r>
        <w:rPr>
          <w:rFonts w:hint="cs"/>
          <w:rtl/>
        </w:rPr>
        <w:t xml:space="preserve"> </w:t>
      </w:r>
      <w:r w:rsidRPr="005675B2">
        <w:rPr>
          <w:rFonts w:hint="cs"/>
          <w:rtl/>
        </w:rPr>
        <w:t>(</w:t>
      </w:r>
      <w:r w:rsidR="000636C2">
        <w:rPr>
          <w:rFonts w:hint="cs"/>
          <w:rtl/>
        </w:rPr>
        <w:t>(</w:t>
      </w:r>
      <w:r w:rsidRPr="005675B2">
        <w:rPr>
          <w:rStyle w:val="ayat1"/>
          <w:rFonts w:hint="cs"/>
          <w:rtl/>
        </w:rPr>
        <w:t>مَا</w:t>
      </w:r>
      <w:r w:rsidRPr="005675B2">
        <w:rPr>
          <w:rStyle w:val="ayat1"/>
          <w:rFonts w:hint="cs"/>
        </w:rPr>
        <w:t xml:space="preserve"> </w:t>
      </w:r>
      <w:r w:rsidRPr="005675B2">
        <w:rPr>
          <w:rStyle w:val="ayat1"/>
          <w:rFonts w:hint="cs"/>
          <w:rtl/>
        </w:rPr>
        <w:t>يُرِيدُ اللَّهُ لِيَجْعَلَ عَلَيْكُمْ مِنْ حَرَجٍ</w:t>
      </w:r>
      <w:r w:rsidRPr="005675B2">
        <w:rPr>
          <w:rStyle w:val="ayat1"/>
          <w:rFonts w:hint="cs"/>
        </w:rPr>
        <w:t xml:space="preserve"> </w:t>
      </w:r>
      <w:r w:rsidRPr="005675B2">
        <w:rPr>
          <w:rStyle w:val="ayat1"/>
          <w:rFonts w:hint="cs"/>
          <w:rtl/>
        </w:rPr>
        <w:t>وَلَكِنْ</w:t>
      </w:r>
      <w:r w:rsidRPr="005675B2">
        <w:rPr>
          <w:rStyle w:val="ayat1"/>
          <w:rFonts w:hint="cs"/>
        </w:rPr>
        <w:t xml:space="preserve"> </w:t>
      </w:r>
      <w:r w:rsidRPr="005675B2">
        <w:rPr>
          <w:rStyle w:val="ayat1"/>
          <w:rFonts w:hint="cs"/>
          <w:rtl/>
        </w:rPr>
        <w:t>يُرِيدُ لِيُطَهِّرَكُمْ</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فيقول قائل فلم</w:t>
      </w:r>
      <w:r w:rsidR="000636C2">
        <w:rPr>
          <w:rFonts w:hint="cs"/>
          <w:rtl/>
        </w:rPr>
        <w:t>:</w:t>
      </w:r>
      <w:r>
        <w:rPr>
          <w:rFonts w:hint="cs"/>
          <w:rtl/>
        </w:rPr>
        <w:t xml:space="preserve"> </w:t>
      </w:r>
      <w:r w:rsidRPr="005675B2">
        <w:rPr>
          <w:rFonts w:hint="cs"/>
          <w:rtl/>
        </w:rPr>
        <w:t>يرد الله لنا شرعاً أن نقع في حرج، لكن قد</w:t>
      </w:r>
      <w:r w:rsidRPr="005675B2">
        <w:rPr>
          <w:rFonts w:hint="cs"/>
        </w:rPr>
        <w:t xml:space="preserve"> </w:t>
      </w:r>
      <w:r w:rsidRPr="005675B2">
        <w:rPr>
          <w:rFonts w:hint="cs"/>
          <w:rtl/>
        </w:rPr>
        <w:t>نقع</w:t>
      </w:r>
      <w:r w:rsidRPr="005675B2">
        <w:rPr>
          <w:rFonts w:hint="cs"/>
        </w:rPr>
        <w:t xml:space="preserve"> </w:t>
      </w:r>
      <w:r w:rsidRPr="005675B2">
        <w:rPr>
          <w:rFonts w:hint="cs"/>
          <w:rtl/>
        </w:rPr>
        <w:t>فيه قدراً كونياً</w:t>
      </w:r>
      <w:r w:rsidR="000636C2">
        <w:rPr>
          <w:rFonts w:hint="cs"/>
          <w:rtl/>
        </w:rPr>
        <w:t>،</w:t>
      </w:r>
      <w:r w:rsidRPr="005675B2">
        <w:rPr>
          <w:rFonts w:hint="cs"/>
          <w:rtl/>
        </w:rPr>
        <w:t xml:space="preserve"> وهذا باطل لأن معنى الآية أن الله لا</w:t>
      </w:r>
      <w:r>
        <w:rPr>
          <w:rFonts w:hint="cs"/>
          <w:rtl/>
        </w:rPr>
        <w:t xml:space="preserve"> </w:t>
      </w:r>
      <w:r w:rsidRPr="005675B2">
        <w:rPr>
          <w:rFonts w:hint="cs"/>
          <w:rtl/>
        </w:rPr>
        <w:t>يريد بإنزال</w:t>
      </w:r>
      <w:r w:rsidR="000636C2">
        <w:rPr>
          <w:rFonts w:hint="cs"/>
          <w:rtl/>
        </w:rPr>
        <w:t xml:space="preserve"> </w:t>
      </w:r>
      <w:r w:rsidRPr="005675B2">
        <w:rPr>
          <w:rFonts w:hint="cs"/>
          <w:rtl/>
        </w:rPr>
        <w:t>التشريع أن يشق عليكم بل أنزل التشريع</w:t>
      </w:r>
      <w:r w:rsidR="000636C2">
        <w:rPr>
          <w:rFonts w:hint="cs"/>
          <w:rtl/>
        </w:rPr>
        <w:t xml:space="preserve"> </w:t>
      </w:r>
      <w:r w:rsidRPr="005675B2">
        <w:rPr>
          <w:rFonts w:hint="cs"/>
          <w:rtl/>
        </w:rPr>
        <w:t>تطهيراً للناس</w:t>
      </w:r>
      <w:r w:rsidR="000636C2">
        <w:rPr>
          <w:rFonts w:hint="cs"/>
          <w:rtl/>
        </w:rPr>
        <w:t>،</w:t>
      </w:r>
      <w:r>
        <w:rPr>
          <w:rFonts w:hint="cs"/>
          <w:rtl/>
        </w:rPr>
        <w:t xml:space="preserve"> </w:t>
      </w:r>
      <w:r w:rsidRPr="005675B2">
        <w:rPr>
          <w:rFonts w:hint="cs"/>
          <w:rtl/>
        </w:rPr>
        <w:t>ولا شك أن هذا قد</w:t>
      </w:r>
      <w:r>
        <w:rPr>
          <w:rFonts w:hint="cs"/>
          <w:rtl/>
        </w:rPr>
        <w:t xml:space="preserve"> </w:t>
      </w:r>
      <w:r w:rsidRPr="005675B2">
        <w:rPr>
          <w:rFonts w:hint="cs"/>
          <w:rtl/>
        </w:rPr>
        <w:t>وقع بإنزال الشريعة واتباعها</w:t>
      </w:r>
      <w:r w:rsidR="000636C2">
        <w:rPr>
          <w:rFonts w:hint="cs"/>
          <w:rtl/>
        </w:rPr>
        <w:t>،</w:t>
      </w:r>
      <w:r w:rsidRPr="005675B2">
        <w:rPr>
          <w:rFonts w:hint="cs"/>
          <w:rtl/>
        </w:rPr>
        <w:t xml:space="preserve"> ولاحظ أن الكلام موجه للجميع لأن الشريعة لاحرج فيها حقيقة</w:t>
      </w:r>
      <w:r w:rsidR="000636C2">
        <w:rPr>
          <w:rFonts w:hint="cs"/>
          <w:rtl/>
        </w:rPr>
        <w:t>،</w:t>
      </w:r>
      <w:r w:rsidRPr="005675B2">
        <w:rPr>
          <w:rFonts w:hint="cs"/>
          <w:rtl/>
        </w:rPr>
        <w:t>ولا كلفة، ولأن التطهير واقع لأتباعها فلله الفضل والمنة</w:t>
      </w:r>
      <w:r w:rsidR="000636C2">
        <w:rPr>
          <w:rFonts w:hint="cs"/>
          <w:rtl/>
        </w:rPr>
        <w:t>،</w:t>
      </w:r>
      <w:r w:rsidRPr="005675B2">
        <w:rPr>
          <w:rFonts w:hint="cs"/>
          <w:rtl/>
        </w:rPr>
        <w:t xml:space="preserve"> فكيف نقول أنه قد يقع حرج فالحقيقة أن الشريعة لاحرج فيها بذاتها أما كون عبد من العباد قد يتحرج في شيء فالشريعة ولله الحمد فيها رفع الحرج عن هذا العبد</w:t>
      </w:r>
      <w:r w:rsidR="000636C2">
        <w:rPr>
          <w:rFonts w:hint="cs"/>
          <w:rtl/>
        </w:rPr>
        <w:t xml:space="preserve"> </w:t>
      </w:r>
      <w:r w:rsidRPr="005675B2">
        <w:rPr>
          <w:rFonts w:hint="cs"/>
          <w:rtl/>
        </w:rPr>
        <w:t>فمانزلت بحرج قط فمن حصل له حرج بمرض وجد الرخصة في الشريعة، ومن وجد حرجاً بسفر وجد الرخصة في الشريعة، ولا يوجد في الشرع حرج</w:t>
      </w:r>
      <w:r w:rsidR="000636C2">
        <w:rPr>
          <w:rFonts w:hint="cs"/>
          <w:rtl/>
        </w:rPr>
        <w:t xml:space="preserve"> </w:t>
      </w:r>
      <w:r w:rsidRPr="005675B2">
        <w:rPr>
          <w:rFonts w:hint="cs"/>
          <w:rtl/>
        </w:rPr>
        <w:t>أبداً</w:t>
      </w:r>
      <w:r w:rsidR="000636C2">
        <w:rPr>
          <w:rFonts w:hint="cs"/>
          <w:rtl/>
        </w:rPr>
        <w:t>،</w:t>
      </w:r>
      <w:r w:rsidRPr="005675B2">
        <w:rPr>
          <w:rFonts w:hint="cs"/>
          <w:rtl/>
        </w:rPr>
        <w:t xml:space="preserve"> لأن الشرع أتى برفع الحرج إن وقع شخص في حرج، فلا تضاد في مرادات الله أبداً</w:t>
      </w:r>
      <w:r w:rsidR="000636C2">
        <w:rPr>
          <w:rFonts w:hint="cs"/>
          <w:rtl/>
        </w:rPr>
        <w:t>،</w:t>
      </w:r>
      <w:r w:rsidRPr="005675B2">
        <w:rPr>
          <w:rFonts w:hint="cs"/>
          <w:rtl/>
        </w:rPr>
        <w:t xml:space="preserve"> ومن تأمل فطن لذلك</w:t>
      </w:r>
      <w:r w:rsidR="000636C2">
        <w:rPr>
          <w:rFonts w:hint="cs"/>
          <w:rtl/>
        </w:rPr>
        <w:t>،</w:t>
      </w:r>
      <w:r w:rsidRPr="005675B2">
        <w:rPr>
          <w:rFonts w:hint="cs"/>
          <w:rtl/>
        </w:rPr>
        <w:t xml:space="preserve"> فمن قال</w:t>
      </w:r>
      <w:r w:rsidR="000636C2">
        <w:rPr>
          <w:rFonts w:hint="cs"/>
          <w:rtl/>
        </w:rPr>
        <w:t>:</w:t>
      </w:r>
      <w:r w:rsidRPr="005675B2">
        <w:rPr>
          <w:rFonts w:hint="cs"/>
          <w:rtl/>
        </w:rPr>
        <w:t xml:space="preserve"> إن إرادة الله قد لا تقع </w:t>
      </w:r>
      <w:r w:rsidR="000636C2">
        <w:rPr>
          <w:rFonts w:hint="cs"/>
          <w:rtl/>
        </w:rPr>
        <w:t>(</w:t>
      </w:r>
      <w:r w:rsidRPr="005675B2">
        <w:rPr>
          <w:rFonts w:hint="cs"/>
          <w:rtl/>
        </w:rPr>
        <w:t>أي قد تتخلف</w:t>
      </w:r>
      <w:r w:rsidR="000636C2">
        <w:rPr>
          <w:rFonts w:hint="cs"/>
          <w:rtl/>
        </w:rPr>
        <w:t>)</w:t>
      </w:r>
      <w:r w:rsidRPr="005675B2">
        <w:rPr>
          <w:rFonts w:hint="cs"/>
          <w:rtl/>
        </w:rPr>
        <w:t xml:space="preserve"> فهو مخطىء فما شاء الله كان ومالم يشأ لم يكن</w:t>
      </w:r>
      <w:r w:rsidR="000636C2">
        <w:rPr>
          <w:rFonts w:hint="cs"/>
          <w:rtl/>
        </w:rPr>
        <w:t>،</w:t>
      </w:r>
      <w:r w:rsidRPr="005675B2">
        <w:rPr>
          <w:rFonts w:hint="cs"/>
          <w:rtl/>
        </w:rPr>
        <w:t xml:space="preserve"> فيا أخي إن رأيت أمراً لم يقع فاعلم أن الله لم يرده، ولا يعني أنه أراده</w:t>
      </w:r>
      <w:r w:rsidR="000636C2">
        <w:rPr>
          <w:rFonts w:hint="cs"/>
          <w:rtl/>
        </w:rPr>
        <w:t xml:space="preserve"> </w:t>
      </w:r>
      <w:r w:rsidRPr="005675B2">
        <w:rPr>
          <w:rFonts w:hint="cs"/>
          <w:rtl/>
        </w:rPr>
        <w:t>ثم تخلف وقوعه</w:t>
      </w:r>
      <w:r w:rsidR="000636C2">
        <w:rPr>
          <w:rFonts w:hint="cs"/>
          <w:rtl/>
        </w:rPr>
        <w:t>،</w:t>
      </w:r>
      <w:r w:rsidRPr="005675B2">
        <w:rPr>
          <w:rFonts w:hint="cs"/>
          <w:rtl/>
        </w:rPr>
        <w:t xml:space="preserve"> فلا سبيل</w:t>
      </w:r>
      <w:r w:rsidR="000636C2">
        <w:rPr>
          <w:rFonts w:hint="cs"/>
          <w:rtl/>
        </w:rPr>
        <w:t xml:space="preserve"> </w:t>
      </w:r>
      <w:r w:rsidRPr="005675B2">
        <w:rPr>
          <w:rFonts w:hint="cs"/>
          <w:rtl/>
        </w:rPr>
        <w:t>لوصف إرادة الله بالتناقض والعياذ بالله</w:t>
      </w:r>
      <w:r w:rsidR="000636C2">
        <w:rPr>
          <w:rFonts w:hint="cs"/>
          <w:rtl/>
        </w:rPr>
        <w:t>،</w:t>
      </w:r>
      <w:r w:rsidRPr="005675B2">
        <w:rPr>
          <w:rFonts w:hint="cs"/>
          <w:rtl/>
        </w:rPr>
        <w:t xml:space="preserve"> ولا وجه لافتراض إرادة لله تقع</w:t>
      </w:r>
      <w:r w:rsidR="000636C2">
        <w:rPr>
          <w:rFonts w:hint="cs"/>
          <w:rtl/>
        </w:rPr>
        <w:t>،</w:t>
      </w:r>
      <w:r w:rsidRPr="005675B2">
        <w:rPr>
          <w:rFonts w:hint="cs"/>
          <w:rtl/>
        </w:rPr>
        <w:t xml:space="preserve"> وإرادة لله لا تقع</w:t>
      </w:r>
      <w:r w:rsidR="000636C2">
        <w:rPr>
          <w:rFonts w:hint="cs"/>
          <w:rtl/>
        </w:rPr>
        <w:t>،</w:t>
      </w:r>
      <w:r>
        <w:rPr>
          <w:rFonts w:hint="cs"/>
          <w:rtl/>
        </w:rPr>
        <w:t xml:space="preserve"> </w:t>
      </w:r>
      <w:r w:rsidRPr="005675B2">
        <w:rPr>
          <w:rFonts w:hint="cs"/>
          <w:rtl/>
        </w:rPr>
        <w:t>ولعل منشأ الخلط هنا هو الخلط بين مفهوم الإرادة، والرضا، والأمر</w:t>
      </w:r>
      <w:r w:rsidR="000636C2">
        <w:rPr>
          <w:rFonts w:hint="cs"/>
          <w:rtl/>
        </w:rPr>
        <w:t>،</w:t>
      </w:r>
      <w:r w:rsidRPr="005675B2">
        <w:rPr>
          <w:rFonts w:hint="cs"/>
          <w:rtl/>
        </w:rPr>
        <w:t>وقد سبق بيان الفرق بينها</w:t>
      </w:r>
      <w:r w:rsidR="000636C2">
        <w:rPr>
          <w:rFonts w:hint="cs"/>
          <w:rtl/>
        </w:rPr>
        <w:t>، (</w:t>
      </w:r>
      <w:r>
        <w:rPr>
          <w:rFonts w:hint="cs"/>
          <w:rtl/>
        </w:rPr>
        <w:t>ثانيا</w:t>
      </w:r>
      <w:r w:rsidR="000636C2">
        <w:rPr>
          <w:rFonts w:hint="cs"/>
          <w:rtl/>
        </w:rPr>
        <w:t>):</w:t>
      </w:r>
      <w:r w:rsidRPr="005675B2">
        <w:rPr>
          <w:rFonts w:hint="cs"/>
          <w:rtl/>
        </w:rPr>
        <w:t xml:space="preserve"> إسلام الصحابة</w:t>
      </w:r>
      <w:r w:rsidR="000636C2">
        <w:rPr>
          <w:rFonts w:hint="cs"/>
          <w:rtl/>
        </w:rPr>
        <w:t>،</w:t>
      </w:r>
      <w:r w:rsidRPr="005675B2">
        <w:rPr>
          <w:rFonts w:hint="cs"/>
          <w:rtl/>
        </w:rPr>
        <w:t>وكفر أبي لهب كله بإرادة الله</w:t>
      </w:r>
      <w:r w:rsidR="000636C2">
        <w:rPr>
          <w:rFonts w:hint="cs"/>
          <w:rtl/>
        </w:rPr>
        <w:t>،</w:t>
      </w:r>
      <w:r w:rsidRPr="005675B2">
        <w:rPr>
          <w:rFonts w:hint="cs"/>
          <w:rtl/>
        </w:rPr>
        <w:t xml:space="preserve"> فلم يسلم الصحابة بدون إرادته</w:t>
      </w:r>
      <w:r w:rsidR="000636C2">
        <w:rPr>
          <w:rFonts w:hint="cs"/>
          <w:rtl/>
        </w:rPr>
        <w:t>،</w:t>
      </w:r>
      <w:r>
        <w:rPr>
          <w:rFonts w:hint="cs"/>
          <w:rtl/>
        </w:rPr>
        <w:t xml:space="preserve"> </w:t>
      </w:r>
      <w:r w:rsidRPr="005675B2">
        <w:rPr>
          <w:rFonts w:hint="cs"/>
          <w:rtl/>
        </w:rPr>
        <w:t>ولم يعصه الكفار</w:t>
      </w:r>
      <w:r w:rsidR="000636C2">
        <w:rPr>
          <w:rFonts w:hint="cs"/>
          <w:rtl/>
        </w:rPr>
        <w:t xml:space="preserve"> </w:t>
      </w:r>
      <w:r w:rsidRPr="005675B2">
        <w:rPr>
          <w:rFonts w:hint="cs"/>
          <w:rtl/>
        </w:rPr>
        <w:t>كرهاً</w:t>
      </w:r>
      <w:r w:rsidR="000636C2">
        <w:rPr>
          <w:rFonts w:hint="cs"/>
          <w:rtl/>
        </w:rPr>
        <w:t>،</w:t>
      </w:r>
      <w:r w:rsidRPr="005675B2">
        <w:rPr>
          <w:rFonts w:hint="cs"/>
          <w:rtl/>
        </w:rPr>
        <w:t xml:space="preserve"> بل قد أراد الله لهم النار وبئس القرار، مصداق ذلك قوله تعالى</w:t>
      </w:r>
      <w:r w:rsidR="000636C2">
        <w:rPr>
          <w:rFonts w:hint="cs"/>
          <w:rtl/>
        </w:rPr>
        <w:t xml:space="preserve"> </w:t>
      </w:r>
      <w:r w:rsidRPr="005675B2">
        <w:rPr>
          <w:rFonts w:hint="cs"/>
          <w:rtl/>
        </w:rPr>
        <w:t>(</w:t>
      </w:r>
      <w:r w:rsidR="000636C2">
        <w:rPr>
          <w:rFonts w:hint="cs"/>
          <w:rtl/>
        </w:rPr>
        <w:t>(</w:t>
      </w:r>
      <w:r w:rsidRPr="005675B2">
        <w:rPr>
          <w:rStyle w:val="ayat1"/>
          <w:rFonts w:hint="cs"/>
          <w:rtl/>
        </w:rPr>
        <w:t>فَمَنْ</w:t>
      </w:r>
      <w:r w:rsidRPr="005675B2">
        <w:rPr>
          <w:rStyle w:val="ayat1"/>
          <w:rFonts w:hint="cs"/>
        </w:rPr>
        <w:t xml:space="preserve"> </w:t>
      </w:r>
      <w:r w:rsidRPr="005675B2">
        <w:rPr>
          <w:rStyle w:val="ayat1"/>
          <w:rFonts w:hint="cs"/>
          <w:rtl/>
        </w:rPr>
        <w:t>يُرِدِ اللَّهُ أَنْ يَهْدِيَهُ</w:t>
      </w:r>
      <w:r w:rsidRPr="005675B2">
        <w:rPr>
          <w:rStyle w:val="ayat1"/>
          <w:rFonts w:hint="cs"/>
        </w:rPr>
        <w:t xml:space="preserve"> </w:t>
      </w:r>
      <w:r w:rsidRPr="005675B2">
        <w:rPr>
          <w:rStyle w:val="ayat1"/>
          <w:rFonts w:hint="cs"/>
          <w:rtl/>
        </w:rPr>
        <w:t>يَشْرَحْ</w:t>
      </w:r>
      <w:r w:rsidRPr="005675B2">
        <w:rPr>
          <w:rStyle w:val="ayat1"/>
          <w:rFonts w:hint="cs"/>
        </w:rPr>
        <w:t xml:space="preserve"> </w:t>
      </w:r>
      <w:r w:rsidRPr="005675B2">
        <w:rPr>
          <w:rStyle w:val="ayat1"/>
          <w:rFonts w:hint="cs"/>
          <w:rtl/>
        </w:rPr>
        <w:t>صَدْرَهُ لِلإِسْلامِ وَمَنْ يُرِدْ أَنْ يُضِلَّهُ يَجْعَلْ صَدْرَهُ</w:t>
      </w:r>
      <w:r w:rsidRPr="005675B2">
        <w:rPr>
          <w:rStyle w:val="ayat1"/>
          <w:rFonts w:hint="cs"/>
        </w:rPr>
        <w:t xml:space="preserve"> </w:t>
      </w:r>
      <w:r w:rsidRPr="005675B2">
        <w:rPr>
          <w:rStyle w:val="ayat1"/>
          <w:rFonts w:hint="cs"/>
          <w:rtl/>
        </w:rPr>
        <w:t>ضَيِّقاً</w:t>
      </w:r>
      <w:r w:rsidRPr="005675B2">
        <w:rPr>
          <w:rStyle w:val="ayat1"/>
          <w:rFonts w:hint="cs"/>
        </w:rPr>
        <w:t xml:space="preserve"> </w:t>
      </w:r>
      <w:r w:rsidRPr="005675B2">
        <w:rPr>
          <w:rStyle w:val="ayat1"/>
          <w:rFonts w:hint="cs"/>
          <w:rtl/>
        </w:rPr>
        <w:t>حَرَجاً كَأَنَّمَا يَصَّعَّدُ فِي السَّمَاءِ</w:t>
      </w:r>
      <w:r w:rsidR="000636C2">
        <w:rPr>
          <w:rFonts w:hint="cs"/>
          <w:rtl/>
        </w:rPr>
        <w:t>)</w:t>
      </w:r>
      <w:r>
        <w:rPr>
          <w:rFonts w:hint="cs"/>
          <w:rtl/>
        </w:rPr>
        <w:t>)</w:t>
      </w:r>
      <w:r w:rsidR="000636C2">
        <w:rPr>
          <w:rFonts w:hint="cs"/>
          <w:rtl/>
        </w:rPr>
        <w:t>،</w:t>
      </w:r>
      <w:r>
        <w:rPr>
          <w:rFonts w:hint="cs"/>
          <w:rtl/>
        </w:rPr>
        <w:t xml:space="preserve"> </w:t>
      </w:r>
      <w:r w:rsidRPr="005675B2">
        <w:rPr>
          <w:rFonts w:hint="cs"/>
          <w:rtl/>
        </w:rPr>
        <w:t>وقول الرسول صلى الله عليه وسلم فيما يرويه عن ربه عزوجل</w:t>
      </w:r>
      <w:r>
        <w:rPr>
          <w:rFonts w:hint="cs"/>
          <w:rtl/>
        </w:rPr>
        <w:t xml:space="preserve"> </w:t>
      </w:r>
      <w:r w:rsidRPr="005675B2">
        <w:rPr>
          <w:rFonts w:hint="cs"/>
          <w:rtl/>
        </w:rPr>
        <w:t>(</w:t>
      </w:r>
      <w:r w:rsidR="000636C2">
        <w:rPr>
          <w:rFonts w:hint="cs"/>
          <w:rtl/>
        </w:rPr>
        <w:t>(</w:t>
      </w:r>
      <w:r w:rsidRPr="005675B2">
        <w:rPr>
          <w:rFonts w:hint="cs"/>
          <w:rtl/>
        </w:rPr>
        <w:t>هؤلاء للجنة ولا أبالي وهؤلاء للنار ولا أبالي</w:t>
      </w:r>
      <w:r w:rsidR="000636C2">
        <w:rPr>
          <w:rFonts w:hint="cs"/>
          <w:rtl/>
        </w:rPr>
        <w:t>)</w:t>
      </w:r>
      <w:r w:rsidRPr="005675B2">
        <w:rPr>
          <w:rFonts w:hint="cs"/>
          <w:rtl/>
        </w:rPr>
        <w:t>)(</w:t>
      </w:r>
      <w:r w:rsidR="000636C2">
        <w:rPr>
          <w:rFonts w:hint="cs"/>
          <w:rtl/>
        </w:rPr>
        <w:t>(</w:t>
      </w:r>
      <w:r w:rsidRPr="005675B2">
        <w:rPr>
          <w:rFonts w:hint="cs"/>
          <w:rtl/>
        </w:rPr>
        <w:t>لا يسئل عما يفعل وهم يسألون</w:t>
      </w:r>
      <w:r w:rsidR="000636C2">
        <w:rPr>
          <w:rFonts w:hint="cs"/>
          <w:rtl/>
        </w:rPr>
        <w:t>)</w:t>
      </w:r>
      <w:r w:rsidRPr="005675B2">
        <w:rPr>
          <w:rFonts w:hint="cs"/>
          <w:rtl/>
        </w:rPr>
        <w:t>) فإرادة الله تعالى صفة واحدة كسائر الصفات الذاتية</w:t>
      </w:r>
      <w:r w:rsidR="000636C2">
        <w:rPr>
          <w:rFonts w:hint="cs"/>
          <w:rtl/>
        </w:rPr>
        <w:t>،</w:t>
      </w:r>
      <w:r w:rsidRPr="005675B2">
        <w:rPr>
          <w:rFonts w:hint="cs"/>
          <w:rtl/>
        </w:rPr>
        <w:t xml:space="preserve"> [</w:t>
      </w:r>
      <w:r w:rsidRPr="005675B2">
        <w:rPr>
          <w:rFonts w:hint="cs"/>
          <w:bCs/>
          <w:sz w:val="24"/>
          <w:szCs w:val="24"/>
          <w:rtl/>
        </w:rPr>
        <w:t>لمزيد الفائدة انظر كبرى اليقينيات الكونية للبوطي</w:t>
      </w:r>
      <w:r w:rsidR="000636C2">
        <w:rPr>
          <w:rFonts w:hint="cs"/>
          <w:bCs/>
          <w:sz w:val="24"/>
          <w:szCs w:val="24"/>
          <w:rtl/>
        </w:rPr>
        <w:t>]</w:t>
      </w:r>
    </w:p>
    <w:p w14:paraId="57DBBAE5" w14:textId="3F4C3F2C" w:rsidR="009C32A0" w:rsidRPr="005675B2" w:rsidRDefault="009C32A0" w:rsidP="000636C2">
      <w:pPr>
        <w:rPr>
          <w:b/>
          <w:rtl/>
        </w:rPr>
      </w:pPr>
      <w:r w:rsidRPr="005675B2">
        <w:rPr>
          <w:rFonts w:hint="cs"/>
          <w:rtl/>
        </w:rPr>
        <w:t>أقوال أئمة السلف في المسألة وكلهم يقولون كقول</w:t>
      </w:r>
      <w:r w:rsidR="000636C2">
        <w:rPr>
          <w:rFonts w:hint="cs"/>
          <w:rtl/>
        </w:rPr>
        <w:t xml:space="preserve"> </w:t>
      </w:r>
      <w:r w:rsidRPr="005675B2">
        <w:rPr>
          <w:rFonts w:hint="cs"/>
          <w:rtl/>
        </w:rPr>
        <w:t>الأشاعرة لأن كلام أهل السنة واحدفي معناه</w:t>
      </w:r>
      <w:r w:rsidR="000636C2">
        <w:rPr>
          <w:rFonts w:hint="cs"/>
          <w:rtl/>
        </w:rPr>
        <w:t>:</w:t>
      </w:r>
    </w:p>
    <w:p w14:paraId="239DD370" w14:textId="363C27B4"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قول الصحابة أبي بن كعب وعبادة بن الصامت وزيد بن ثابت وحذيفة</w:t>
      </w:r>
      <w:r w:rsidR="000636C2">
        <w:rPr>
          <w:rFonts w:hint="cs"/>
          <w:rtl/>
        </w:rPr>
        <w:t>: (</w:t>
      </w:r>
      <w:r w:rsidRPr="005675B2">
        <w:rPr>
          <w:rFonts w:hint="cs"/>
          <w:rtl/>
        </w:rPr>
        <w:t>إن الله لو عذب أهل سمواته وأهل أرضه لعذبهم وهو غير ظالم لهم</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أصول السنة للألكائي 1/ 593</w:t>
      </w:r>
      <w:r w:rsidRPr="005675B2">
        <w:rPr>
          <w:rFonts w:hint="cs"/>
          <w:rtl/>
        </w:rPr>
        <w:t>] وعن عمرو بن شعيب</w:t>
      </w:r>
      <w:r>
        <w:rPr>
          <w:rFonts w:hint="cs"/>
          <w:rtl/>
        </w:rPr>
        <w:t xml:space="preserve"> </w:t>
      </w:r>
      <w:r w:rsidRPr="005675B2">
        <w:rPr>
          <w:rFonts w:hint="cs"/>
          <w:rtl/>
        </w:rPr>
        <w:t>عن أبيه عن جده مرفوعاً(</w:t>
      </w:r>
      <w:r w:rsidR="000636C2">
        <w:rPr>
          <w:rFonts w:hint="cs"/>
          <w:rtl/>
        </w:rPr>
        <w:t>(</w:t>
      </w:r>
      <w:r w:rsidRPr="005675B2">
        <w:rPr>
          <w:rFonts w:hint="cs"/>
          <w:rtl/>
        </w:rPr>
        <w:t>لو أراد الله أن لايعصى ماخلق إبليس</w:t>
      </w:r>
      <w:r w:rsidR="000636C2">
        <w:rPr>
          <w:rFonts w:hint="cs"/>
          <w:rtl/>
        </w:rPr>
        <w:t>)</w:t>
      </w:r>
      <w:r w:rsidRPr="005675B2">
        <w:rPr>
          <w:rFonts w:hint="cs"/>
          <w:rtl/>
        </w:rPr>
        <w:t xml:space="preserve"> [</w:t>
      </w:r>
      <w:r w:rsidRPr="005675B2">
        <w:rPr>
          <w:rFonts w:hint="cs"/>
          <w:bCs/>
          <w:sz w:val="24"/>
          <w:szCs w:val="24"/>
          <w:rtl/>
        </w:rPr>
        <w:t>نفس المصدر 1/541</w:t>
      </w:r>
      <w:r w:rsidRPr="005675B2">
        <w:rPr>
          <w:rFonts w:hint="cs"/>
          <w:rtl/>
        </w:rPr>
        <w:t>]</w:t>
      </w:r>
    </w:p>
    <w:p w14:paraId="78C526E8" w14:textId="5BF3BE5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قال أبو عثمان الداني المشهور بابن الصيرفي</w:t>
      </w:r>
      <w:r w:rsidR="000636C2">
        <w:rPr>
          <w:rFonts w:hint="cs"/>
          <w:rtl/>
        </w:rPr>
        <w:t>:</w:t>
      </w:r>
      <w:r w:rsidRPr="005675B2">
        <w:rPr>
          <w:rFonts w:hint="cs"/>
          <w:rtl/>
        </w:rPr>
        <w:t xml:space="preserve"> ومشيئته تبارك وتعالى ومحبته ورضاه ورحمته</w:t>
      </w:r>
      <w:r>
        <w:rPr>
          <w:rFonts w:hint="cs"/>
          <w:rtl/>
        </w:rPr>
        <w:t xml:space="preserve"> </w:t>
      </w:r>
      <w:r w:rsidRPr="005675B2">
        <w:rPr>
          <w:rFonts w:hint="cs"/>
          <w:rtl/>
        </w:rPr>
        <w:t xml:space="preserve">وغضبه وسخطه وولايته وعداوته </w:t>
      </w:r>
      <w:r w:rsidRPr="005675B2">
        <w:rPr>
          <w:rFonts w:hint="cs"/>
          <w:u w:val="single"/>
          <w:rtl/>
        </w:rPr>
        <w:t>هو أجمع راجع إلى إرادته</w:t>
      </w:r>
      <w:r w:rsidR="000636C2">
        <w:rPr>
          <w:rFonts w:hint="cs"/>
          <w:u w:val="single"/>
          <w:rtl/>
        </w:rPr>
        <w:t>،</w:t>
      </w:r>
      <w:r w:rsidR="000636C2">
        <w:rPr>
          <w:rFonts w:hint="cs"/>
          <w:rtl/>
        </w:rPr>
        <w:t xml:space="preserve"> </w:t>
      </w:r>
      <w:r w:rsidRPr="005675B2">
        <w:rPr>
          <w:rFonts w:hint="cs"/>
          <w:rtl/>
        </w:rPr>
        <w:t>وقال</w:t>
      </w:r>
      <w:r w:rsidR="000636C2">
        <w:rPr>
          <w:rFonts w:hint="cs"/>
          <w:rtl/>
        </w:rPr>
        <w:t>:</w:t>
      </w:r>
      <w:r w:rsidRPr="005675B2">
        <w:rPr>
          <w:rFonts w:hint="cs"/>
          <w:rtl/>
        </w:rPr>
        <w:t xml:space="preserve"> وما يجعله منه كسباً لعباده من خير وشر</w:t>
      </w:r>
      <w:r w:rsidR="000636C2">
        <w:rPr>
          <w:rFonts w:hint="cs"/>
          <w:rtl/>
        </w:rPr>
        <w:t>،</w:t>
      </w:r>
      <w:r w:rsidRPr="005675B2">
        <w:rPr>
          <w:rFonts w:hint="cs"/>
          <w:rtl/>
        </w:rPr>
        <w:t xml:space="preserve"> ونفع وضر وهوى وضلال وطاعة وعصيان ولا يكون حادثاً إلا بإرادته</w:t>
      </w:r>
      <w:r w:rsidR="000636C2">
        <w:rPr>
          <w:rFonts w:hint="cs"/>
          <w:rtl/>
        </w:rPr>
        <w:t>،</w:t>
      </w:r>
      <w:r w:rsidRPr="005675B2">
        <w:rPr>
          <w:rFonts w:hint="cs"/>
          <w:rtl/>
        </w:rPr>
        <w:t>ولا يخرج مخلوق عن مشيئته</w:t>
      </w:r>
      <w:r w:rsidR="000636C2">
        <w:rPr>
          <w:rFonts w:hint="cs"/>
          <w:rtl/>
        </w:rPr>
        <w:t>،</w:t>
      </w:r>
      <w:r w:rsidRPr="005675B2">
        <w:rPr>
          <w:rFonts w:hint="cs"/>
          <w:rtl/>
        </w:rPr>
        <w:t>وما شاء كونه كان ومالم يشأ لم يكن</w:t>
      </w:r>
      <w:r w:rsidR="000636C2">
        <w:rPr>
          <w:rFonts w:hint="cs"/>
          <w:rtl/>
        </w:rPr>
        <w:t>،</w:t>
      </w:r>
      <w:r w:rsidRPr="005675B2">
        <w:rPr>
          <w:rFonts w:hint="cs"/>
          <w:rtl/>
        </w:rPr>
        <w:t>يهدي من يشاء ويضل من يشاء لا مضل لمن هداه ولا هادي لمن أضله</w:t>
      </w:r>
      <w:r w:rsidR="000636C2">
        <w:rPr>
          <w:rFonts w:hint="cs"/>
          <w:rtl/>
        </w:rPr>
        <w:t xml:space="preserve"> </w:t>
      </w:r>
      <w:r w:rsidRPr="005675B2">
        <w:rPr>
          <w:rFonts w:hint="cs"/>
          <w:rtl/>
        </w:rPr>
        <w:t>كما أخبر عن نفسه (</w:t>
      </w:r>
      <w:r w:rsidR="000636C2">
        <w:rPr>
          <w:rFonts w:hint="cs"/>
          <w:rtl/>
        </w:rPr>
        <w:t>(</w:t>
      </w:r>
      <w:r w:rsidRPr="005675B2">
        <w:rPr>
          <w:rFonts w:hint="cs"/>
          <w:rtl/>
        </w:rPr>
        <w:t>إن تحرص على هداهم فإن الله لايهدي من يضل ومالهم من ناصرين</w:t>
      </w:r>
      <w:r w:rsidR="000636C2">
        <w:rPr>
          <w:rFonts w:hint="cs"/>
          <w:rtl/>
        </w:rPr>
        <w:t>)</w:t>
      </w:r>
      <w:r w:rsidRPr="005675B2">
        <w:rPr>
          <w:rFonts w:hint="cs"/>
          <w:rtl/>
        </w:rPr>
        <w:t>) [</w:t>
      </w:r>
      <w:r w:rsidRPr="005675B2">
        <w:rPr>
          <w:rFonts w:hint="cs"/>
          <w:bCs/>
          <w:sz w:val="24"/>
          <w:szCs w:val="24"/>
          <w:rtl/>
        </w:rPr>
        <w:t>الرسالة الوافية ص64 تحقيق</w:t>
      </w:r>
      <w:r w:rsidR="000636C2">
        <w:rPr>
          <w:rFonts w:hint="cs"/>
          <w:bCs/>
          <w:sz w:val="24"/>
          <w:szCs w:val="24"/>
          <w:rtl/>
        </w:rPr>
        <w:t>:</w:t>
      </w:r>
      <w:r w:rsidRPr="005675B2">
        <w:rPr>
          <w:rFonts w:hint="cs"/>
          <w:bCs/>
          <w:sz w:val="24"/>
          <w:szCs w:val="24"/>
          <w:rtl/>
        </w:rPr>
        <w:t>محمد سعيد القحطاني]</w:t>
      </w:r>
    </w:p>
    <w:p w14:paraId="3E728D77" w14:textId="5E26B988"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قال الإمام الطحاوي</w:t>
      </w:r>
      <w:r w:rsidR="000636C2">
        <w:rPr>
          <w:rFonts w:hint="cs"/>
          <w:rtl/>
        </w:rPr>
        <w:t>:</w:t>
      </w:r>
      <w:r w:rsidRPr="005675B2">
        <w:rPr>
          <w:rFonts w:hint="cs"/>
          <w:rtl/>
        </w:rPr>
        <w:t xml:space="preserve"> يهدي من يشاء ويعصم ويعافي فضلاً</w:t>
      </w:r>
      <w:r w:rsidR="000636C2">
        <w:rPr>
          <w:rFonts w:hint="cs"/>
          <w:rtl/>
        </w:rPr>
        <w:t>،</w:t>
      </w:r>
      <w:r w:rsidRPr="005675B2">
        <w:rPr>
          <w:rFonts w:hint="cs"/>
          <w:rtl/>
        </w:rPr>
        <w:t xml:space="preserve"> ويضل من يشاء ويخذل ويبتلي عدلاً، وكلهم متقلبون في مشيئته بين فضله وعدله</w:t>
      </w:r>
      <w:r w:rsidR="000636C2">
        <w:rPr>
          <w:rFonts w:hint="cs"/>
          <w:rtl/>
        </w:rPr>
        <w:t>،</w:t>
      </w:r>
      <w:r w:rsidRPr="005675B2">
        <w:rPr>
          <w:rFonts w:hint="cs"/>
          <w:rtl/>
        </w:rPr>
        <w:t xml:space="preserve"> [</w:t>
      </w:r>
      <w:r w:rsidRPr="005675B2">
        <w:rPr>
          <w:rFonts w:hint="cs"/>
          <w:bCs/>
          <w:sz w:val="24"/>
          <w:szCs w:val="24"/>
          <w:rtl/>
        </w:rPr>
        <w:t>متن الطحاوية]</w:t>
      </w:r>
      <w:r>
        <w:rPr>
          <w:rFonts w:hint="cs"/>
          <w:rtl/>
        </w:rPr>
        <w:t xml:space="preserve"> </w:t>
      </w:r>
    </w:p>
    <w:p w14:paraId="4BA9D962" w14:textId="429C803C" w:rsidR="009C32A0" w:rsidRPr="005675B2" w:rsidRDefault="009C32A0" w:rsidP="000636C2">
      <w:pPr>
        <w:rPr>
          <w:b/>
          <w:u w:val="single"/>
          <w:rtl/>
        </w:rPr>
      </w:pPr>
      <w:r w:rsidRPr="005675B2">
        <w:rPr>
          <w:rFonts w:hint="cs"/>
          <w:rtl/>
        </w:rPr>
        <w:t>خلط الكاتب بين مسألة الإرادة والرضا</w:t>
      </w:r>
      <w:r w:rsidR="000636C2">
        <w:rPr>
          <w:rFonts w:hint="cs"/>
          <w:rtl/>
        </w:rPr>
        <w:t xml:space="preserve">: </w:t>
      </w:r>
      <w:r w:rsidRPr="005675B2">
        <w:rPr>
          <w:rFonts w:hint="cs"/>
          <w:rtl/>
        </w:rPr>
        <w:t>قول الكاتب</w:t>
      </w:r>
      <w:r w:rsidR="000636C2">
        <w:rPr>
          <w:rFonts w:hint="cs"/>
          <w:rtl/>
        </w:rPr>
        <w:t>:</w:t>
      </w:r>
      <w:r w:rsidRPr="005675B2">
        <w:rPr>
          <w:rFonts w:hint="cs"/>
          <w:rtl/>
        </w:rPr>
        <w:t xml:space="preserve"> </w:t>
      </w:r>
      <w:r w:rsidR="000636C2">
        <w:rPr>
          <w:rFonts w:hint="cs"/>
          <w:rtl/>
        </w:rPr>
        <w:t>(</w:t>
      </w:r>
      <w:r w:rsidRPr="005675B2">
        <w:rPr>
          <w:rFonts w:hint="cs"/>
          <w:rtl/>
        </w:rPr>
        <w:t>ولا يرضى</w:t>
      </w:r>
      <w:r w:rsidRPr="005675B2">
        <w:rPr>
          <w:rFonts w:hint="cs"/>
        </w:rPr>
        <w:t xml:space="preserve"> </w:t>
      </w:r>
      <w:r w:rsidRPr="005675B2">
        <w:rPr>
          <w:rFonts w:hint="cs"/>
          <w:rtl/>
        </w:rPr>
        <w:t>لعباده الكفر</w:t>
      </w:r>
      <w:r w:rsidR="000636C2">
        <w:rPr>
          <w:rFonts w:hint="cs"/>
          <w:rtl/>
        </w:rPr>
        <w:t>)</w:t>
      </w:r>
      <w:r w:rsidRPr="005675B2">
        <w:rPr>
          <w:rFonts w:hint="cs"/>
          <w:rtl/>
        </w:rPr>
        <w:t xml:space="preserve"> بأنه لا يرضاه لعباده المؤمنين</w:t>
      </w:r>
      <w:r w:rsidR="000636C2">
        <w:rPr>
          <w:rFonts w:hint="cs"/>
          <w:rtl/>
        </w:rPr>
        <w:t>!</w:t>
      </w:r>
      <w:r w:rsidRPr="005675B2">
        <w:rPr>
          <w:rFonts w:hint="cs"/>
          <w:rtl/>
        </w:rPr>
        <w:t xml:space="preserve"> فبقي السؤال وارداً عليهم</w:t>
      </w:r>
      <w:r w:rsidR="000636C2">
        <w:rPr>
          <w:rFonts w:hint="cs"/>
          <w:rtl/>
        </w:rPr>
        <w:t>:</w:t>
      </w:r>
      <w:r w:rsidRPr="005675B2">
        <w:rPr>
          <w:rFonts w:hint="cs"/>
          <w:rtl/>
        </w:rPr>
        <w:t xml:space="preserve"> وهل</w:t>
      </w:r>
      <w:r w:rsidRPr="005675B2">
        <w:rPr>
          <w:rFonts w:hint="cs"/>
        </w:rPr>
        <w:t xml:space="preserve"> </w:t>
      </w:r>
      <w:r w:rsidRPr="005675B2">
        <w:rPr>
          <w:rFonts w:hint="cs"/>
          <w:rtl/>
        </w:rPr>
        <w:t>رضيه للكفار أم فعلوه وهو لم يرده</w:t>
      </w:r>
      <w:r w:rsidR="000636C2">
        <w:rPr>
          <w:rFonts w:hint="cs"/>
          <w:rtl/>
        </w:rPr>
        <w:t>؟ [</w:t>
      </w:r>
      <w:r>
        <w:rPr>
          <w:rFonts w:hint="cs"/>
          <w:rtl/>
        </w:rPr>
        <w:t>الجواب</w:t>
      </w:r>
      <w:r w:rsidR="000636C2">
        <w:rPr>
          <w:rFonts w:hint="cs"/>
          <w:rtl/>
        </w:rPr>
        <w:t>]:</w:t>
      </w:r>
      <w:r w:rsidRPr="005675B2">
        <w:rPr>
          <w:rFonts w:hint="cs"/>
          <w:rtl/>
        </w:rPr>
        <w:t xml:space="preserve"> هذا الإيراد من الكاتب غفر الله له هو إيراد المعتزلة على أهل السنة ولجماعة ومنهم الأشاعرة</w:t>
      </w:r>
      <w:r w:rsidR="000636C2">
        <w:rPr>
          <w:rFonts w:hint="cs"/>
          <w:rtl/>
        </w:rPr>
        <w:t>،</w:t>
      </w:r>
      <w:r w:rsidRPr="005675B2">
        <w:rPr>
          <w:rFonts w:hint="cs"/>
          <w:rtl/>
        </w:rPr>
        <w:t xml:space="preserve"> وكثير من الإيرادات التي أوردها الكاتب هي إيرادات المعتزلة على الأشاعرة وغيرهم من أهل السنة والجماعة</w:t>
      </w:r>
      <w:r w:rsidR="000636C2">
        <w:rPr>
          <w:rFonts w:hint="cs"/>
          <w:rtl/>
        </w:rPr>
        <w:t>،</w:t>
      </w:r>
      <w:r w:rsidRPr="005675B2">
        <w:rPr>
          <w:rFonts w:hint="cs"/>
          <w:rtl/>
        </w:rPr>
        <w:t>وقد دحض أهل السنة والجماعة شبهات المعتزلة في كتب كثيرة جداً</w:t>
      </w:r>
      <w:r w:rsidR="000636C2">
        <w:rPr>
          <w:rFonts w:hint="cs"/>
          <w:rtl/>
        </w:rPr>
        <w:t>،</w:t>
      </w:r>
      <w:r w:rsidRPr="005675B2">
        <w:rPr>
          <w:rFonts w:hint="cs"/>
          <w:rtl/>
        </w:rPr>
        <w:t>فيأتي الكاتب - هداه الله - فيأخذ ذلك السؤال الذي أورده المعتزلي</w:t>
      </w:r>
      <w:r w:rsidR="000636C2">
        <w:rPr>
          <w:rFonts w:hint="cs"/>
          <w:rtl/>
        </w:rPr>
        <w:t>،</w:t>
      </w:r>
      <w:r w:rsidRPr="005675B2">
        <w:rPr>
          <w:rFonts w:hint="cs"/>
          <w:rtl/>
        </w:rPr>
        <w:t xml:space="preserve"> ثم ينثره بين أناس لايدرون أنه سؤال المعتزلة</w:t>
      </w:r>
      <w:r w:rsidR="000636C2">
        <w:rPr>
          <w:rFonts w:hint="cs"/>
          <w:rtl/>
        </w:rPr>
        <w:t>،</w:t>
      </w:r>
      <w:r w:rsidRPr="005675B2">
        <w:rPr>
          <w:rFonts w:hint="cs"/>
          <w:rtl/>
        </w:rPr>
        <w:t>ثم يصور لهم أن أهل السنة وقعوا في حيرة من أمرهم وبقي الاستشكال وارداً كما هو</w:t>
      </w:r>
      <w:r w:rsidR="000636C2">
        <w:rPr>
          <w:rFonts w:hint="cs"/>
          <w:rtl/>
        </w:rPr>
        <w:t>،!</w:t>
      </w:r>
      <w:r w:rsidRPr="005675B2">
        <w:rPr>
          <w:rFonts w:hint="cs"/>
          <w:rtl/>
        </w:rPr>
        <w:t>وهذا باطل وإليكم جواب أهل السنة والجماعة عن إيراد المعتزلة الذي ذكره</w:t>
      </w:r>
      <w:r w:rsidR="000636C2">
        <w:rPr>
          <w:rFonts w:hint="cs"/>
          <w:rtl/>
        </w:rPr>
        <w:t xml:space="preserve"> </w:t>
      </w:r>
      <w:r w:rsidRPr="005675B2">
        <w:rPr>
          <w:rFonts w:hint="cs"/>
          <w:rtl/>
        </w:rPr>
        <w:t>الكاتب هداه الله</w:t>
      </w:r>
      <w:r w:rsidR="000636C2">
        <w:rPr>
          <w:rFonts w:hint="cs"/>
          <w:rtl/>
        </w:rPr>
        <w:t>،</w:t>
      </w:r>
      <w:r>
        <w:rPr>
          <w:rFonts w:hint="cs"/>
          <w:rtl/>
        </w:rPr>
        <w:t xml:space="preserve"> </w:t>
      </w:r>
      <w:r w:rsidRPr="005675B2">
        <w:rPr>
          <w:rFonts w:hint="cs"/>
          <w:rtl/>
        </w:rPr>
        <w:t>أما كون الآية خاصة بالمؤمنين فلا شك</w:t>
      </w:r>
      <w:r w:rsidR="000636C2">
        <w:rPr>
          <w:rFonts w:hint="cs"/>
          <w:rtl/>
        </w:rPr>
        <w:t>،</w:t>
      </w:r>
      <w:r w:rsidRPr="005675B2">
        <w:rPr>
          <w:rFonts w:hint="cs"/>
          <w:u w:val="single"/>
          <w:rtl/>
        </w:rPr>
        <w:t xml:space="preserve"> وكثير </w:t>
      </w:r>
      <w:r w:rsidRPr="005675B2">
        <w:rPr>
          <w:rFonts w:hint="cs"/>
          <w:rtl/>
        </w:rPr>
        <w:t>من الآيات المقترنة بقوله يا عبادي وعباده ونحوها خاصة بالمؤمنين</w:t>
      </w:r>
      <w:r w:rsidR="000636C2">
        <w:rPr>
          <w:rFonts w:hint="cs"/>
          <w:rtl/>
        </w:rPr>
        <w:t>،</w:t>
      </w:r>
      <w:r>
        <w:rPr>
          <w:rFonts w:hint="cs"/>
          <w:rtl/>
        </w:rPr>
        <w:t xml:space="preserve"> </w:t>
      </w:r>
      <w:r w:rsidRPr="005675B2">
        <w:rPr>
          <w:rFonts w:hint="cs"/>
          <w:rtl/>
        </w:rPr>
        <w:t>والسؤال يرد عليهم أيضاً</w:t>
      </w:r>
      <w:r w:rsidR="000636C2">
        <w:rPr>
          <w:rFonts w:hint="cs"/>
          <w:rtl/>
        </w:rPr>
        <w:t>:</w:t>
      </w:r>
      <w:r w:rsidRPr="005675B2">
        <w:rPr>
          <w:rFonts w:hint="cs"/>
          <w:rtl/>
        </w:rPr>
        <w:t xml:space="preserve"> هل الخالق - سبحانه وتعالى - مجبور على كفر الكافرين فيكفرالكافر</w:t>
      </w:r>
      <w:r w:rsidR="000636C2">
        <w:rPr>
          <w:rFonts w:hint="cs"/>
          <w:rtl/>
        </w:rPr>
        <w:t xml:space="preserve"> </w:t>
      </w:r>
      <w:r w:rsidRPr="005675B2">
        <w:rPr>
          <w:rFonts w:hint="cs"/>
          <w:rtl/>
        </w:rPr>
        <w:t>بدون</w:t>
      </w:r>
      <w:r w:rsidR="000636C2">
        <w:rPr>
          <w:rFonts w:hint="cs"/>
          <w:rtl/>
        </w:rPr>
        <w:t xml:space="preserve"> </w:t>
      </w:r>
      <w:r w:rsidRPr="005675B2">
        <w:rPr>
          <w:rFonts w:hint="cs"/>
          <w:rtl/>
        </w:rPr>
        <w:t>إرادة الله</w:t>
      </w:r>
      <w:r w:rsidR="000636C2">
        <w:rPr>
          <w:rFonts w:hint="cs"/>
          <w:rtl/>
        </w:rPr>
        <w:t>،</w:t>
      </w:r>
      <w:r w:rsidRPr="005675B2">
        <w:rPr>
          <w:rFonts w:hint="cs"/>
          <w:rtl/>
        </w:rPr>
        <w:t>وهل يعصونه قهراً فتظهر مشيئتهم على مشيئته وتغلب إرادة المخلوق إرادة الخالق</w:t>
      </w:r>
      <w:r w:rsidR="000636C2">
        <w:rPr>
          <w:rFonts w:hint="cs"/>
          <w:rtl/>
        </w:rPr>
        <w:t>؟!</w:t>
      </w:r>
      <w:r w:rsidRPr="005675B2">
        <w:rPr>
          <w:rFonts w:hint="cs"/>
          <w:rtl/>
        </w:rPr>
        <w:t>!</w:t>
      </w:r>
      <w:r>
        <w:rPr>
          <w:rFonts w:hint="cs"/>
          <w:rtl/>
        </w:rPr>
        <w:t xml:space="preserve"> </w:t>
      </w:r>
      <w:r w:rsidRPr="005675B2">
        <w:rPr>
          <w:rFonts w:hint="cs"/>
          <w:rtl/>
        </w:rPr>
        <w:t>قال الإمام عثمان الكليسي</w:t>
      </w:r>
      <w:r w:rsidR="000636C2">
        <w:rPr>
          <w:rFonts w:hint="cs"/>
          <w:rtl/>
        </w:rPr>
        <w:t>:</w:t>
      </w:r>
      <w:r w:rsidRPr="005675B2">
        <w:rPr>
          <w:rFonts w:hint="cs"/>
          <w:rtl/>
        </w:rPr>
        <w:t>فمذهب أهل الحق أن كل ما أراده الله فهو كائن، وإن كل ما هو كائن فهو مراد له وإن لم يكن مرضياً ولا مأموراً به، بل منهياً</w:t>
      </w:r>
      <w:r w:rsidR="000636C2">
        <w:rPr>
          <w:rFonts w:hint="cs"/>
          <w:rtl/>
        </w:rPr>
        <w:t>،</w:t>
      </w:r>
      <w:r>
        <w:rPr>
          <w:rFonts w:hint="cs"/>
          <w:rtl/>
        </w:rPr>
        <w:t xml:space="preserve"> </w:t>
      </w:r>
      <w:r w:rsidRPr="005675B2">
        <w:rPr>
          <w:rFonts w:hint="cs"/>
          <w:rtl/>
        </w:rPr>
        <w:t>وهذا منصوص في الكتاب والسنة، قال الله تعالى</w:t>
      </w:r>
      <w:r w:rsidR="000636C2">
        <w:rPr>
          <w:rFonts w:hint="cs"/>
          <w:rtl/>
        </w:rPr>
        <w:t>:</w:t>
      </w:r>
      <w:r w:rsidRPr="005675B2">
        <w:rPr>
          <w:rFonts w:hint="cs"/>
          <w:rtl/>
        </w:rPr>
        <w:t xml:space="preserve"> </w:t>
      </w:r>
      <w:r w:rsidR="000636C2">
        <w:rPr>
          <w:rFonts w:hint="cs"/>
          <w:rtl/>
        </w:rPr>
        <w:t>{</w:t>
      </w:r>
      <w:r w:rsidRPr="005675B2">
        <w:rPr>
          <w:rFonts w:hint="cs"/>
          <w:rtl/>
        </w:rPr>
        <w:t>وما تشاءون إلا أن يشاء الله</w:t>
      </w:r>
      <w:r w:rsidR="000636C2">
        <w:rPr>
          <w:rFonts w:hint="cs"/>
          <w:rtl/>
        </w:rPr>
        <w:t xml:space="preserve">}، </w:t>
      </w:r>
      <w:r w:rsidRPr="005675B2">
        <w:rPr>
          <w:rFonts w:hint="cs"/>
          <w:rtl/>
        </w:rPr>
        <w:t>وفي الحديث</w:t>
      </w:r>
      <w:r w:rsidR="000636C2">
        <w:rPr>
          <w:rFonts w:hint="cs"/>
          <w:rtl/>
        </w:rPr>
        <w:t>:</w:t>
      </w:r>
      <w:r w:rsidRPr="005675B2">
        <w:rPr>
          <w:rFonts w:hint="cs"/>
          <w:rtl/>
        </w:rPr>
        <w:t xml:space="preserve"> </w:t>
      </w:r>
      <w:r w:rsidR="000636C2">
        <w:rPr>
          <w:rFonts w:hint="cs"/>
          <w:rtl/>
        </w:rPr>
        <w:t>{</w:t>
      </w:r>
      <w:r w:rsidRPr="005675B2">
        <w:rPr>
          <w:rFonts w:hint="cs"/>
          <w:rtl/>
        </w:rPr>
        <w:t>ما شاء الله كان وما لم يشأ لم يكن</w:t>
      </w:r>
      <w:r w:rsidR="000636C2">
        <w:rPr>
          <w:rFonts w:hint="cs"/>
          <w:rtl/>
        </w:rPr>
        <w:t>}،،</w:t>
      </w:r>
      <w:r w:rsidRPr="005675B2">
        <w:rPr>
          <w:rFonts w:hint="cs"/>
          <w:rtl/>
        </w:rPr>
        <w:t xml:space="preserve"> و مذهب أهل الحق أن الرضا أخص من الإرادة، لكونه عبارة عن الإرادة مع ترك الاعتراض</w:t>
      </w:r>
      <w:r w:rsidR="000636C2">
        <w:rPr>
          <w:rFonts w:hint="cs"/>
          <w:rtl/>
        </w:rPr>
        <w:t>،</w:t>
      </w:r>
      <w:r>
        <w:rPr>
          <w:rFonts w:hint="cs"/>
          <w:rtl/>
        </w:rPr>
        <w:t xml:space="preserve"> </w:t>
      </w:r>
      <w:r w:rsidRPr="005675B2">
        <w:rPr>
          <w:rFonts w:hint="cs"/>
          <w:rtl/>
        </w:rPr>
        <w:t>وجاء في شرح البيت الثالث والخمسين من تهذيب الجوهرة</w:t>
      </w:r>
      <w:r w:rsidR="000636C2">
        <w:rPr>
          <w:rFonts w:hint="cs"/>
          <w:rtl/>
        </w:rPr>
        <w:t>:</w:t>
      </w:r>
      <w:r w:rsidRPr="005675B2">
        <w:rPr>
          <w:rFonts w:hint="cs"/>
          <w:rtl/>
        </w:rPr>
        <w:t xml:space="preserve"> مذهب أهل السنة</w:t>
      </w:r>
      <w:r w:rsidR="000636C2">
        <w:rPr>
          <w:rFonts w:hint="cs"/>
          <w:rtl/>
        </w:rPr>
        <w:t>:</w:t>
      </w:r>
      <w:r w:rsidRPr="005675B2">
        <w:rPr>
          <w:rFonts w:hint="cs"/>
          <w:rtl/>
        </w:rPr>
        <w:t xml:space="preserve"> أن الإرادة تتعلق بالممكنات بأسرها، لا يند عنها ممكن ما، كالقدرة في تعلقها بالممكنات، لكن الإرادة تخصص الممكن ببعض ما يجوز عليه، والقدرة تبرز ما خصصته الإرادة، </w:t>
      </w:r>
      <w:r w:rsidRPr="005675B2">
        <w:rPr>
          <w:rFonts w:hint="cs"/>
          <w:u w:val="single"/>
          <w:rtl/>
        </w:rPr>
        <w:t>والإرادة غير العلم والرضا والأمر</w:t>
      </w:r>
      <w:r w:rsidR="000636C2">
        <w:rPr>
          <w:rFonts w:hint="cs"/>
          <w:rtl/>
        </w:rPr>
        <w:t>،</w:t>
      </w:r>
      <w:r>
        <w:rPr>
          <w:rFonts w:hint="cs"/>
          <w:rtl/>
        </w:rPr>
        <w:t xml:space="preserve"> </w:t>
      </w:r>
      <w:r w:rsidRPr="005675B2">
        <w:rPr>
          <w:rFonts w:hint="cs"/>
          <w:u w:val="single"/>
          <w:rtl/>
        </w:rPr>
        <w:t>وخالفت المعتزلة في الأصلين</w:t>
      </w:r>
      <w:r w:rsidRPr="005675B2">
        <w:rPr>
          <w:rFonts w:hint="cs"/>
          <w:rtl/>
        </w:rPr>
        <w:t xml:space="preserve"> الأولين، أعني أن كل ما أراد الله فهو كائن وإن كل ما هو كائن فهو</w:t>
      </w:r>
      <w:r>
        <w:rPr>
          <w:rFonts w:hint="cs"/>
          <w:rtl/>
        </w:rPr>
        <w:t xml:space="preserve"> </w:t>
      </w:r>
      <w:r w:rsidRPr="005675B2">
        <w:rPr>
          <w:rFonts w:hint="cs"/>
          <w:rtl/>
        </w:rPr>
        <w:t>مراده ذهاباً إلى أنه يريد من الكفار والعصاة الإيمان والطاعة، ولا يقع مراده ويقع منهم الكفر والمعاصي ولا يريدهما، وكذا جميع ما يقع في العالم من الشرور والقبائح</w:t>
      </w:r>
      <w:r w:rsidR="000636C2">
        <w:rPr>
          <w:rFonts w:hint="cs"/>
          <w:rtl/>
        </w:rPr>
        <w:t xml:space="preserve">، </w:t>
      </w:r>
      <w:r w:rsidRPr="005675B2">
        <w:rPr>
          <w:rFonts w:hint="cs"/>
          <w:rtl/>
        </w:rPr>
        <w:t>وأيضاً خالفوا في الأصل الثالث حيث قالوا بتلازم الإرادة والرضا</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الأصول الخمسة للقاضي عبدالجبار المعتزلي 290</w:t>
      </w:r>
      <w:r w:rsidRPr="005675B2">
        <w:rPr>
          <w:rFonts w:hint="cs"/>
          <w:rtl/>
        </w:rPr>
        <w:t>]</w:t>
      </w:r>
      <w:r w:rsidR="000636C2">
        <w:rPr>
          <w:rFonts w:hint="cs"/>
          <w:rtl/>
        </w:rPr>
        <w:t>،</w:t>
      </w:r>
      <w:r>
        <w:rPr>
          <w:rFonts w:hint="cs"/>
          <w:rtl/>
        </w:rPr>
        <w:t xml:space="preserve"> </w:t>
      </w:r>
      <w:r w:rsidRPr="005675B2">
        <w:rPr>
          <w:rFonts w:hint="cs"/>
          <w:rtl/>
        </w:rPr>
        <w:t>قال الخيالي</w:t>
      </w:r>
      <w:r w:rsidR="000636C2">
        <w:rPr>
          <w:rFonts w:hint="cs"/>
          <w:rtl/>
        </w:rPr>
        <w:t>:</w:t>
      </w:r>
      <w:r w:rsidRPr="005675B2">
        <w:rPr>
          <w:rFonts w:hint="cs"/>
          <w:rtl/>
        </w:rPr>
        <w:t xml:space="preserve"> اتفق أهل الحق على أن إرادة الله تعالى تتعلق بما كان ولا تتعلق بما لم يكن، على ما روي عن النبي صلى الله عليه وسلم أن ما شاء الله كان وما لم يشأ لم يكن، وانعقد عليه إجماع السلف والخلف</w:t>
      </w:r>
      <w:r w:rsidR="000636C2">
        <w:rPr>
          <w:rFonts w:hint="cs"/>
          <w:rtl/>
        </w:rPr>
        <w:t>،</w:t>
      </w:r>
      <w:r>
        <w:rPr>
          <w:rFonts w:hint="cs"/>
          <w:rtl/>
        </w:rPr>
        <w:t xml:space="preserve"> </w:t>
      </w:r>
      <w:r w:rsidRPr="005675B2">
        <w:rPr>
          <w:rFonts w:hint="cs"/>
          <w:rtl/>
        </w:rPr>
        <w:t>وقالت المعتزلة</w:t>
      </w:r>
      <w:r w:rsidR="000636C2">
        <w:rPr>
          <w:rFonts w:hint="cs"/>
          <w:rtl/>
        </w:rPr>
        <w:t>:</w:t>
      </w:r>
      <w:r w:rsidRPr="005675B2">
        <w:rPr>
          <w:rFonts w:hint="cs"/>
          <w:rtl/>
        </w:rPr>
        <w:t xml:space="preserve"> أنه لو كان الكفر مراداً لكان بقضائه، فيجب الرضا به، لأن الرضا بالقضاء</w:t>
      </w:r>
      <w:r>
        <w:rPr>
          <w:rFonts w:hint="cs"/>
          <w:rtl/>
        </w:rPr>
        <w:t xml:space="preserve"> </w:t>
      </w:r>
      <w:r w:rsidRPr="005675B2">
        <w:rPr>
          <w:rFonts w:hint="cs"/>
          <w:rtl/>
        </w:rPr>
        <w:t>واجب، واللازم باطل، لأن الرضاء بالكفر كفر</w:t>
      </w:r>
      <w:r w:rsidR="000636C2">
        <w:rPr>
          <w:rFonts w:hint="cs"/>
          <w:rtl/>
        </w:rPr>
        <w:t>،</w:t>
      </w:r>
      <w:r>
        <w:rPr>
          <w:rFonts w:hint="cs"/>
          <w:rtl/>
        </w:rPr>
        <w:t xml:space="preserve"> </w:t>
      </w:r>
      <w:r w:rsidRPr="005675B2">
        <w:rPr>
          <w:rFonts w:hint="cs"/>
          <w:rtl/>
        </w:rPr>
        <w:t>و</w:t>
      </w:r>
      <w:r w:rsidR="000636C2">
        <w:rPr>
          <w:rFonts w:hint="cs"/>
          <w:rtl/>
        </w:rPr>
        <w:t>[</w:t>
      </w:r>
      <w:r>
        <w:rPr>
          <w:rFonts w:hint="cs"/>
          <w:rtl/>
        </w:rPr>
        <w:t>الجواب</w:t>
      </w:r>
      <w:r w:rsidR="000636C2">
        <w:rPr>
          <w:rFonts w:hint="cs"/>
          <w:rtl/>
        </w:rPr>
        <w:t xml:space="preserve">] </w:t>
      </w:r>
      <w:r w:rsidRPr="005675B2">
        <w:rPr>
          <w:rFonts w:hint="cs"/>
          <w:rtl/>
        </w:rPr>
        <w:t>أن للكفر نسبتين</w:t>
      </w:r>
      <w:r w:rsidR="000636C2">
        <w:rPr>
          <w:rFonts w:hint="cs"/>
          <w:rtl/>
        </w:rPr>
        <w:t>:</w:t>
      </w:r>
      <w:r w:rsidRPr="005675B2">
        <w:rPr>
          <w:rFonts w:hint="cs"/>
          <w:rtl/>
        </w:rPr>
        <w:t xml:space="preserve"> نسبة إليه تعالى، باعتبار خالقيته، ونسبة إلى العبد باعتبار</w:t>
      </w:r>
      <w:r>
        <w:rPr>
          <w:rFonts w:hint="cs"/>
          <w:rtl/>
        </w:rPr>
        <w:t xml:space="preserve"> </w:t>
      </w:r>
      <w:r w:rsidRPr="005675B2">
        <w:rPr>
          <w:rFonts w:hint="cs"/>
          <w:rtl/>
        </w:rPr>
        <w:t>كاسبيته، فوجوب الرضاء باعتبار النسبة الأولى لا يستلزم الرضاء باعتبار الثانية التي هي مناط الإنكار</w:t>
      </w:r>
      <w:r w:rsidR="000636C2">
        <w:rPr>
          <w:rFonts w:hint="cs"/>
          <w:rtl/>
        </w:rPr>
        <w:t>،</w:t>
      </w:r>
      <w:r w:rsidRPr="005675B2">
        <w:rPr>
          <w:rFonts w:hint="cs"/>
          <w:rtl/>
        </w:rPr>
        <w:t xml:space="preserve"> وحاصل جواب المحقق عن استدلال المعتزلة منع كون الإتيان بالكفر طاعة، كيف والطاعة موافقة الأمر، لا موافقة الإرادة كما زعمت المعتزلة، إذ هي قد تكون طاعة وقد تكون معصية، وأما موافقة الأمر فهي طاعة لا محالة، </w:t>
      </w:r>
      <w:r w:rsidRPr="005675B2">
        <w:rPr>
          <w:rFonts w:hint="cs"/>
          <w:u w:val="single"/>
          <w:rtl/>
        </w:rPr>
        <w:t>فالأمر غير الإرادة ولا يستلزمها أيضاً كما مر في صورة الاختيار والاعتذار، ولهذا يقال</w:t>
      </w:r>
      <w:r w:rsidR="000636C2">
        <w:rPr>
          <w:rFonts w:hint="cs"/>
          <w:u w:val="single"/>
          <w:rtl/>
        </w:rPr>
        <w:t>:</w:t>
      </w:r>
      <w:r w:rsidRPr="005675B2">
        <w:rPr>
          <w:rFonts w:hint="cs"/>
          <w:u w:val="single"/>
          <w:rtl/>
        </w:rPr>
        <w:t xml:space="preserve"> فلان مطاع الأمر، ولا يقال</w:t>
      </w:r>
      <w:r w:rsidR="000636C2">
        <w:rPr>
          <w:rFonts w:hint="cs"/>
          <w:u w:val="single"/>
          <w:rtl/>
        </w:rPr>
        <w:t>:</w:t>
      </w:r>
      <w:r w:rsidRPr="005675B2">
        <w:rPr>
          <w:rFonts w:hint="cs"/>
          <w:u w:val="single"/>
          <w:rtl/>
        </w:rPr>
        <w:t xml:space="preserve"> مطاع الإرادة</w:t>
      </w:r>
      <w:r w:rsidR="000636C2">
        <w:rPr>
          <w:rFonts w:hint="cs"/>
          <w:u w:val="single"/>
          <w:rtl/>
        </w:rPr>
        <w:t>،</w:t>
      </w:r>
    </w:p>
    <w:p w14:paraId="4E05658F" w14:textId="7B9DEAEF" w:rsidR="009C32A0" w:rsidRPr="005675B2" w:rsidRDefault="009C32A0" w:rsidP="000636C2">
      <w:pPr>
        <w:rPr>
          <w:b/>
          <w:rtl/>
        </w:rPr>
      </w:pPr>
      <w:r w:rsidRPr="005675B2">
        <w:rPr>
          <w:rFonts w:hint="cs"/>
          <w:rtl/>
        </w:rPr>
        <w:t>وللفائدة</w:t>
      </w:r>
      <w:r w:rsidR="000636C2">
        <w:rPr>
          <w:rFonts w:hint="cs"/>
          <w:rtl/>
        </w:rPr>
        <w:t>:</w:t>
      </w:r>
      <w:r w:rsidRPr="005675B2">
        <w:rPr>
          <w:rFonts w:hint="cs"/>
          <w:rtl/>
        </w:rPr>
        <w:t xml:space="preserve"> فمذهب أهل الحق أن بين الأمر والإرادة عموماً وخصوصاً من وجه، يجتمعان وينفردان، فإيمان أبي بكر رضي الله عنه مثلاً مراد مأمور به، وكفر أبي لهب مثلاً مراد غير مأمور به، وإيمانه مأمور به غير مراد له تعالى</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مختصراً من شرح خير القلائد مبحث الإرادة</w:t>
      </w:r>
      <w:r w:rsidR="000636C2">
        <w:rPr>
          <w:rFonts w:hint="cs"/>
          <w:bCs/>
          <w:sz w:val="24"/>
          <w:szCs w:val="24"/>
          <w:rtl/>
        </w:rPr>
        <w:t>]</w:t>
      </w:r>
      <w:r w:rsidR="000636C2">
        <w:rPr>
          <w:rFonts w:hint="cs"/>
          <w:rtl/>
        </w:rPr>
        <w:t>،</w:t>
      </w:r>
      <w:r>
        <w:rPr>
          <w:rFonts w:hint="cs"/>
          <w:rtl/>
        </w:rPr>
        <w:t xml:space="preserve"> </w:t>
      </w:r>
      <w:r w:rsidRPr="005675B2">
        <w:rPr>
          <w:rFonts w:hint="cs"/>
          <w:rtl/>
        </w:rPr>
        <w:t>فالأشاعرة وسائر أهل السنة والجماعة يقولون</w:t>
      </w:r>
      <w:r w:rsidR="000636C2">
        <w:rPr>
          <w:rFonts w:hint="cs"/>
          <w:rtl/>
        </w:rPr>
        <w:t>:</w:t>
      </w:r>
      <w:r w:rsidRPr="005675B2">
        <w:rPr>
          <w:rFonts w:hint="cs"/>
          <w:rtl/>
        </w:rPr>
        <w:t>ما شاء كونه كان ومالم يشأ لم يكن</w:t>
      </w:r>
      <w:r w:rsidR="000636C2">
        <w:rPr>
          <w:rFonts w:hint="cs"/>
          <w:rtl/>
        </w:rPr>
        <w:t>،</w:t>
      </w:r>
      <w:r w:rsidRPr="005675B2">
        <w:rPr>
          <w:rFonts w:hint="cs"/>
          <w:rtl/>
        </w:rPr>
        <w:t>يهدي من يشاء</w:t>
      </w:r>
      <w:r>
        <w:rPr>
          <w:rFonts w:hint="cs"/>
          <w:rtl/>
        </w:rPr>
        <w:t xml:space="preserve"> </w:t>
      </w:r>
      <w:r w:rsidRPr="005675B2">
        <w:rPr>
          <w:rFonts w:hint="cs"/>
          <w:rtl/>
        </w:rPr>
        <w:t>ويضل من يشاء لا مضل لمن هداه ولا هادي لمن أضله</w:t>
      </w:r>
      <w:r w:rsidR="000636C2">
        <w:rPr>
          <w:rFonts w:hint="cs"/>
          <w:rtl/>
        </w:rPr>
        <w:t xml:space="preserve"> </w:t>
      </w:r>
      <w:r w:rsidRPr="005675B2">
        <w:rPr>
          <w:rFonts w:hint="cs"/>
          <w:rtl/>
        </w:rPr>
        <w:t>كما أخبر عن نفسه (</w:t>
      </w:r>
      <w:r w:rsidR="000636C2">
        <w:rPr>
          <w:rFonts w:hint="cs"/>
          <w:rtl/>
        </w:rPr>
        <w:t>(</w:t>
      </w:r>
      <w:r w:rsidRPr="005675B2">
        <w:rPr>
          <w:rFonts w:hint="cs"/>
          <w:rtl/>
        </w:rPr>
        <w:t>إن تحرص على هداهم فإن</w:t>
      </w:r>
      <w:r>
        <w:rPr>
          <w:rFonts w:hint="cs"/>
          <w:rtl/>
        </w:rPr>
        <w:t xml:space="preserve"> </w:t>
      </w:r>
      <w:r w:rsidRPr="005675B2">
        <w:rPr>
          <w:rFonts w:hint="cs"/>
          <w:rtl/>
        </w:rPr>
        <w:t>الله لايهدي من يضل ومالهم من ناصرين</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الرسالة الوافية ص64 ت</w:t>
      </w:r>
      <w:r w:rsidR="000636C2">
        <w:rPr>
          <w:rFonts w:hint="cs"/>
          <w:bCs/>
          <w:sz w:val="24"/>
          <w:szCs w:val="24"/>
          <w:rtl/>
        </w:rPr>
        <w:t>:</w:t>
      </w:r>
      <w:r w:rsidRPr="005675B2">
        <w:rPr>
          <w:rFonts w:hint="cs"/>
          <w:bCs/>
          <w:sz w:val="24"/>
          <w:szCs w:val="24"/>
          <w:rtl/>
        </w:rPr>
        <w:t>محمد سعيد القحطاني]</w:t>
      </w:r>
      <w:r w:rsidRPr="005675B2">
        <w:rPr>
          <w:rFonts w:hint="cs"/>
          <w:rtl/>
        </w:rPr>
        <w:t xml:space="preserve"> عن عمرو بن شعيب عن ابيه عن جده مرفوعاً(</w:t>
      </w:r>
      <w:r w:rsidR="000636C2">
        <w:rPr>
          <w:rFonts w:hint="cs"/>
          <w:rtl/>
        </w:rPr>
        <w:t>(</w:t>
      </w:r>
      <w:r w:rsidRPr="005675B2">
        <w:rPr>
          <w:rFonts w:hint="cs"/>
          <w:rtl/>
        </w:rPr>
        <w:t>لو أراد الله أن لايعصى ماخلق إبليس</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الرسالة الوافية 1/541</w:t>
      </w:r>
      <w:r w:rsidRPr="005675B2">
        <w:rPr>
          <w:rFonts w:hint="cs"/>
          <w:rtl/>
        </w:rPr>
        <w:t>] وقال تعالى (</w:t>
      </w:r>
      <w:r w:rsidR="000636C2">
        <w:rPr>
          <w:rFonts w:hint="cs"/>
          <w:rtl/>
        </w:rPr>
        <w:t>(</w:t>
      </w:r>
      <w:r w:rsidRPr="005675B2">
        <w:rPr>
          <w:rFonts w:hint="cs"/>
          <w:rtl/>
        </w:rPr>
        <w:t>لو شاء لجمعهم على الهدى</w:t>
      </w:r>
      <w:r w:rsidR="000636C2">
        <w:rPr>
          <w:rFonts w:hint="cs"/>
          <w:rtl/>
        </w:rPr>
        <w:t>)</w:t>
      </w:r>
      <w:r w:rsidRPr="005675B2">
        <w:rPr>
          <w:rFonts w:hint="cs"/>
          <w:rtl/>
        </w:rPr>
        <w:t>) قال ابن عباس</w:t>
      </w:r>
      <w:r w:rsidR="000636C2">
        <w:rPr>
          <w:rFonts w:hint="cs"/>
          <w:rtl/>
        </w:rPr>
        <w:t>:</w:t>
      </w:r>
      <w:r w:rsidRPr="005675B2">
        <w:rPr>
          <w:rFonts w:hint="cs"/>
          <w:rtl/>
        </w:rPr>
        <w:t>إن زنا وإن سرق فبقدر وإن شرب الخمر فبقدر</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الرسالة الوافية 1/593</w:t>
      </w:r>
      <w:r w:rsidRPr="005675B2">
        <w:rPr>
          <w:rFonts w:hint="cs"/>
          <w:rtl/>
        </w:rPr>
        <w:t>]</w:t>
      </w:r>
    </w:p>
    <w:p w14:paraId="4015FA70" w14:textId="569F5415" w:rsidR="009C32A0" w:rsidRDefault="009C32A0" w:rsidP="000636C2">
      <w:pPr>
        <w:rPr>
          <w:rtl/>
        </w:rPr>
      </w:pPr>
      <w:r w:rsidRPr="00B8085B">
        <w:rPr>
          <w:rFonts w:hint="cs"/>
          <w:bCs/>
          <w:rtl/>
        </w:rPr>
        <w:t>استشكال الكاتب مسألة</w:t>
      </w:r>
      <w:r w:rsidR="000636C2">
        <w:rPr>
          <w:rFonts w:hint="cs"/>
          <w:bCs/>
          <w:rtl/>
        </w:rPr>
        <w:t xml:space="preserve"> </w:t>
      </w:r>
      <w:r w:rsidRPr="00B8085B">
        <w:rPr>
          <w:rFonts w:hint="cs"/>
          <w:bCs/>
          <w:rtl/>
        </w:rPr>
        <w:t>السببية</w:t>
      </w:r>
      <w:r w:rsidR="000636C2">
        <w:rPr>
          <w:rFonts w:hint="cs"/>
          <w:bCs/>
          <w:rtl/>
        </w:rPr>
        <w:t xml:space="preserve">: </w:t>
      </w:r>
      <w:r w:rsidRPr="005675B2">
        <w:rPr>
          <w:rFonts w:hint="cs"/>
          <w:rtl/>
        </w:rPr>
        <w:t>يقول الكاتب</w:t>
      </w:r>
      <w:r w:rsidR="000636C2">
        <w:rPr>
          <w:rFonts w:hint="cs"/>
          <w:rtl/>
        </w:rPr>
        <w:t>:</w:t>
      </w:r>
      <w:r w:rsidRPr="005675B2">
        <w:rPr>
          <w:rFonts w:hint="cs"/>
          <w:rtl/>
        </w:rPr>
        <w:t xml:space="preserve"> ينكر الأشاعرة الربط العادي</w:t>
      </w:r>
      <w:r w:rsidRPr="005675B2">
        <w:rPr>
          <w:rFonts w:hint="cs"/>
        </w:rPr>
        <w:t xml:space="preserve"> </w:t>
      </w:r>
      <w:r w:rsidRPr="005675B2">
        <w:rPr>
          <w:rFonts w:hint="cs"/>
          <w:rtl/>
        </w:rPr>
        <w:t>بإطلاق وأن يكون شيء يؤثر في شيء وأنكروا كل</w:t>
      </w:r>
      <w:r w:rsidRPr="005675B2">
        <w:rPr>
          <w:rFonts w:hint="cs"/>
        </w:rPr>
        <w:t xml:space="preserve"> </w:t>
      </w:r>
      <w:r w:rsidRPr="005675B2">
        <w:rPr>
          <w:rFonts w:hint="cs"/>
          <w:rtl/>
        </w:rPr>
        <w:t>"</w:t>
      </w:r>
      <w:r w:rsidRPr="005675B2">
        <w:rPr>
          <w:rFonts w:hint="cs"/>
        </w:rPr>
        <w:t xml:space="preserve"> </w:t>
      </w:r>
      <w:r w:rsidRPr="005675B2">
        <w:rPr>
          <w:rFonts w:hint="cs"/>
          <w:rtl/>
        </w:rPr>
        <w:t>باء سببية</w:t>
      </w:r>
      <w:r w:rsidRPr="005675B2">
        <w:rPr>
          <w:rFonts w:hint="cs"/>
        </w:rPr>
        <w:t xml:space="preserve"> </w:t>
      </w:r>
      <w:r w:rsidRPr="005675B2">
        <w:rPr>
          <w:rFonts w:hint="cs"/>
          <w:rtl/>
        </w:rPr>
        <w:t>"</w:t>
      </w:r>
      <w:r w:rsidRPr="005675B2">
        <w:rPr>
          <w:rFonts w:hint="cs"/>
        </w:rPr>
        <w:t xml:space="preserve"> </w:t>
      </w:r>
      <w:r w:rsidRPr="005675B2">
        <w:rPr>
          <w:rFonts w:hint="cs"/>
          <w:rtl/>
        </w:rPr>
        <w:t>في القرآن</w:t>
      </w:r>
      <w:r w:rsidR="000636C2">
        <w:rPr>
          <w:rFonts w:hint="cs"/>
          <w:rtl/>
        </w:rPr>
        <w:t>،</w:t>
      </w:r>
      <w:r w:rsidRPr="005675B2">
        <w:rPr>
          <w:rFonts w:hint="cs"/>
          <w:rtl/>
        </w:rPr>
        <w:t xml:space="preserve"> وكفروا وبدعوا من خالفهم و</w:t>
      </w:r>
      <w:r w:rsidRPr="005675B2">
        <w:rPr>
          <w:rFonts w:hint="cs"/>
        </w:rPr>
        <w:t xml:space="preserve"> </w:t>
      </w:r>
      <w:r w:rsidRPr="005675B2">
        <w:rPr>
          <w:rFonts w:hint="cs"/>
          <w:rtl/>
        </w:rPr>
        <w:t>مأخذهم فيها هو</w:t>
      </w:r>
      <w:r w:rsidRPr="005675B2">
        <w:rPr>
          <w:rFonts w:hint="cs"/>
        </w:rPr>
        <w:t xml:space="preserve"> </w:t>
      </w:r>
      <w:r w:rsidRPr="005675B2">
        <w:rPr>
          <w:rFonts w:hint="cs"/>
          <w:rtl/>
        </w:rPr>
        <w:t>مأخذهم في القدر</w:t>
      </w:r>
      <w:r w:rsidR="000636C2">
        <w:rPr>
          <w:rFonts w:hint="cs"/>
          <w:rtl/>
        </w:rPr>
        <w:t>،</w:t>
      </w:r>
      <w:r w:rsidRPr="005675B2">
        <w:rPr>
          <w:rFonts w:hint="cs"/>
          <w:rtl/>
        </w:rPr>
        <w:t xml:space="preserve"> فمثلاً عندهم</w:t>
      </w:r>
      <w:r w:rsidR="000636C2">
        <w:rPr>
          <w:rFonts w:hint="cs"/>
          <w:rtl/>
        </w:rPr>
        <w:t>:</w:t>
      </w:r>
      <w:r w:rsidRPr="005675B2">
        <w:rPr>
          <w:rFonts w:hint="cs"/>
          <w:rtl/>
        </w:rPr>
        <w:t xml:space="preserve"> من قال إن النار تحرق بطبعها أو هي علة الإحراق</w:t>
      </w:r>
      <w:r w:rsidRPr="005675B2">
        <w:rPr>
          <w:rFonts w:hint="cs"/>
        </w:rPr>
        <w:t xml:space="preserve"> </w:t>
      </w:r>
      <w:r w:rsidRPr="005675B2">
        <w:rPr>
          <w:rFonts w:hint="cs"/>
          <w:rtl/>
        </w:rPr>
        <w:t>فهو كافر مشرك</w:t>
      </w:r>
      <w:r w:rsidR="000636C2">
        <w:rPr>
          <w:rFonts w:hint="cs"/>
          <w:rtl/>
        </w:rPr>
        <w:t>،</w:t>
      </w:r>
      <w:r w:rsidRPr="005675B2">
        <w:rPr>
          <w:rFonts w:hint="cs"/>
          <w:rtl/>
        </w:rPr>
        <w:t xml:space="preserve"> لأنه لا فاعل عندهم إلا الله مطلقاً .. قالوا إن الأسباب علاقات لا موجبات حتى أنهم يقولون</w:t>
      </w:r>
      <w:r w:rsidR="000636C2">
        <w:rPr>
          <w:rFonts w:hint="cs"/>
          <w:rtl/>
        </w:rPr>
        <w:t>:</w:t>
      </w:r>
      <w:r w:rsidRPr="005675B2">
        <w:rPr>
          <w:rFonts w:hint="cs"/>
          <w:rtl/>
        </w:rPr>
        <w:t xml:space="preserve"> الرجل إذا كسر الزجاجة ما انكسرت بكسره وإنما انكسرت عند كسره</w:t>
      </w:r>
      <w:r w:rsidR="000636C2">
        <w:rPr>
          <w:rFonts w:hint="cs"/>
          <w:rtl/>
        </w:rPr>
        <w:t>،</w:t>
      </w:r>
      <w:r w:rsidRPr="005675B2">
        <w:rPr>
          <w:rFonts w:hint="cs"/>
          <w:rtl/>
        </w:rPr>
        <w:t xml:space="preserve"> والنار إذا أحرقت ما تحرق ما احترق بسببها وإنما احترق عندها لا بها فالإنسان إذا أكل حتى شبع ما شبع بالأكل وإنما شبع عند الأكل</w:t>
      </w:r>
      <w:r w:rsidR="000636C2">
        <w:rPr>
          <w:rFonts w:hint="cs"/>
          <w:rtl/>
        </w:rPr>
        <w:t>،</w:t>
      </w:r>
      <w:r>
        <w:rPr>
          <w:rFonts w:hint="cs"/>
          <w:rtl/>
        </w:rPr>
        <w:t xml:space="preserve"> </w:t>
      </w:r>
      <w:r w:rsidRPr="005675B2">
        <w:rPr>
          <w:rFonts w:hint="cs"/>
          <w:rtl/>
        </w:rPr>
        <w:t>ومن قال عندهم أن النار</w:t>
      </w:r>
      <w:r w:rsidRPr="005675B2">
        <w:rPr>
          <w:rFonts w:hint="cs"/>
        </w:rPr>
        <w:t xml:space="preserve"> </w:t>
      </w:r>
      <w:r w:rsidRPr="005675B2">
        <w:rPr>
          <w:rFonts w:hint="cs"/>
          <w:rtl/>
        </w:rPr>
        <w:t>تحرق بقوة أودعها الله فيها فهو مبتدع ضال</w:t>
      </w:r>
      <w:r w:rsidR="000636C2">
        <w:rPr>
          <w:rFonts w:hint="cs"/>
          <w:rtl/>
        </w:rPr>
        <w:t>،</w:t>
      </w:r>
      <w:r w:rsidRPr="005675B2">
        <w:rPr>
          <w:rFonts w:hint="cs"/>
          <w:rtl/>
        </w:rPr>
        <w:t xml:space="preserve"> قالوا</w:t>
      </w:r>
      <w:r w:rsidR="000636C2">
        <w:rPr>
          <w:rFonts w:hint="cs"/>
          <w:rtl/>
        </w:rPr>
        <w:t>:</w:t>
      </w:r>
      <w:r w:rsidRPr="005675B2">
        <w:rPr>
          <w:rFonts w:hint="cs"/>
          <w:rtl/>
        </w:rPr>
        <w:t xml:space="preserve"> إن فاعل الإحراق هو الله ولكن</w:t>
      </w:r>
      <w:r w:rsidRPr="005675B2">
        <w:rPr>
          <w:rFonts w:hint="cs"/>
        </w:rPr>
        <w:t xml:space="preserve"> </w:t>
      </w:r>
      <w:r w:rsidRPr="005675B2">
        <w:rPr>
          <w:rFonts w:hint="cs"/>
          <w:rtl/>
        </w:rPr>
        <w:t>فعله يقع مقترناً بشيء ظاهري مخلوق</w:t>
      </w:r>
      <w:r w:rsidR="000636C2">
        <w:rPr>
          <w:rFonts w:hint="cs"/>
          <w:rtl/>
        </w:rPr>
        <w:t>،</w:t>
      </w:r>
      <w:r w:rsidRPr="005675B2">
        <w:rPr>
          <w:rFonts w:hint="cs"/>
          <w:rtl/>
        </w:rPr>
        <w:t xml:space="preserve"> فلا ارتباط عندهم بين سبب ومسبب أصلاً وإنما</w:t>
      </w:r>
      <w:r w:rsidRPr="005675B2">
        <w:rPr>
          <w:rFonts w:hint="cs"/>
        </w:rPr>
        <w:t xml:space="preserve"> </w:t>
      </w:r>
      <w:r w:rsidRPr="005675B2">
        <w:rPr>
          <w:rFonts w:hint="cs"/>
          <w:rtl/>
        </w:rPr>
        <w:t>المسألة اقتران ..</w:t>
      </w:r>
      <w:r w:rsidR="000636C2">
        <w:rPr>
          <w:rFonts w:hint="cs"/>
          <w:rtl/>
        </w:rPr>
        <w:t>،</w:t>
      </w:r>
      <w:r>
        <w:rPr>
          <w:rFonts w:hint="cs"/>
          <w:rtl/>
        </w:rPr>
        <w:t xml:space="preserve"> </w:t>
      </w:r>
      <w:r w:rsidRPr="005675B2">
        <w:rPr>
          <w:rFonts w:hint="cs"/>
          <w:rtl/>
        </w:rPr>
        <w:t>ومن متونهم في العقيدة</w:t>
      </w:r>
      <w:r w:rsidR="000636C2">
        <w:rPr>
          <w:rFonts w:hint="cs"/>
          <w:rtl/>
        </w:rPr>
        <w:t>:</w:t>
      </w:r>
      <w:r>
        <w:rPr>
          <w:rFonts w:hint="cs"/>
          <w:rtl/>
        </w:rPr>
        <w:t xml:space="preserve"> </w:t>
      </w:r>
      <w:r w:rsidR="000636C2">
        <w:rPr>
          <w:rFonts w:hint="cs"/>
          <w:rtl/>
        </w:rPr>
        <w:t>(</w:t>
      </w:r>
      <w:r w:rsidRPr="005675B2">
        <w:rPr>
          <w:rFonts w:hint="cs"/>
          <w:rtl/>
        </w:rPr>
        <w:t>والفعل في التأثير ليس إلا</w:t>
      </w:r>
      <w:r w:rsidR="000636C2">
        <w:rPr>
          <w:rFonts w:hint="cs"/>
          <w:rtl/>
        </w:rPr>
        <w:t xml:space="preserve"> </w:t>
      </w:r>
      <w:r>
        <w:rPr>
          <w:rFonts w:hint="cs"/>
          <w:rtl/>
        </w:rPr>
        <w:t>...</w:t>
      </w:r>
      <w:r w:rsidR="000636C2">
        <w:rPr>
          <w:rFonts w:hint="cs"/>
          <w:rtl/>
        </w:rPr>
        <w:t xml:space="preserve"> </w:t>
      </w:r>
      <w:r w:rsidRPr="005675B2">
        <w:rPr>
          <w:rFonts w:hint="cs"/>
          <w:rtl/>
        </w:rPr>
        <w:t>للواحد القهار جل</w:t>
      </w:r>
      <w:r w:rsidR="000636C2">
        <w:rPr>
          <w:rFonts w:hint="cs"/>
          <w:rtl/>
        </w:rPr>
        <w:t xml:space="preserve"> </w:t>
      </w:r>
      <w:r w:rsidRPr="005675B2">
        <w:rPr>
          <w:rFonts w:hint="cs"/>
          <w:rtl/>
        </w:rPr>
        <w:t>وعلا</w:t>
      </w:r>
      <w:r>
        <w:rPr>
          <w:rFonts w:hint="cs"/>
          <w:rtl/>
        </w:rPr>
        <w:t xml:space="preserve"> ... </w:t>
      </w:r>
      <w:r w:rsidRPr="005675B2">
        <w:rPr>
          <w:rFonts w:hint="cs"/>
          <w:rtl/>
        </w:rPr>
        <w:t>ومن يقل بالطبع أو بالعلة</w:t>
      </w:r>
      <w:r w:rsidR="000636C2">
        <w:rPr>
          <w:rFonts w:hint="cs"/>
          <w:rtl/>
        </w:rPr>
        <w:t xml:space="preserve"> </w:t>
      </w:r>
      <w:r>
        <w:rPr>
          <w:rFonts w:hint="cs"/>
          <w:rtl/>
        </w:rPr>
        <w:t xml:space="preserve">... </w:t>
      </w:r>
      <w:r w:rsidRPr="005675B2">
        <w:rPr>
          <w:rFonts w:hint="cs"/>
          <w:rtl/>
        </w:rPr>
        <w:t>فذاك كفر عند أهل الملة</w:t>
      </w:r>
      <w:r>
        <w:rPr>
          <w:rFonts w:hint="cs"/>
          <w:rtl/>
        </w:rPr>
        <w:t xml:space="preserve"> ... </w:t>
      </w:r>
      <w:r w:rsidRPr="005675B2">
        <w:rPr>
          <w:rFonts w:hint="cs"/>
          <w:rtl/>
        </w:rPr>
        <w:t>ومن</w:t>
      </w:r>
      <w:r w:rsidR="000636C2">
        <w:rPr>
          <w:rFonts w:hint="cs"/>
          <w:rtl/>
        </w:rPr>
        <w:t xml:space="preserve"> </w:t>
      </w:r>
      <w:r w:rsidRPr="005675B2">
        <w:rPr>
          <w:rFonts w:hint="cs"/>
          <w:rtl/>
        </w:rPr>
        <w:t>يقل بالقوة</w:t>
      </w:r>
      <w:r w:rsidR="000636C2">
        <w:rPr>
          <w:rFonts w:hint="cs"/>
          <w:rtl/>
        </w:rPr>
        <w:t xml:space="preserve"> </w:t>
      </w:r>
      <w:r w:rsidRPr="005675B2">
        <w:rPr>
          <w:rFonts w:hint="cs"/>
          <w:rtl/>
        </w:rPr>
        <w:t>المودعة</w:t>
      </w:r>
      <w:r w:rsidR="000636C2">
        <w:rPr>
          <w:rFonts w:hint="cs"/>
          <w:rtl/>
        </w:rPr>
        <w:t xml:space="preserve"> </w:t>
      </w:r>
      <w:r w:rsidRPr="005675B2">
        <w:rPr>
          <w:rFonts w:hint="cs"/>
          <w:rtl/>
        </w:rPr>
        <w:t>فذاك بدعي فــــلا تلتفت</w:t>
      </w:r>
      <w:r w:rsidR="000636C2">
        <w:rPr>
          <w:rFonts w:hint="cs"/>
          <w:rtl/>
        </w:rPr>
        <w:t>)،</w:t>
      </w:r>
      <w:r>
        <w:rPr>
          <w:rFonts w:hint="cs"/>
          <w:rtl/>
        </w:rPr>
        <w:t xml:space="preserve"> </w:t>
      </w:r>
    </w:p>
    <w:p w14:paraId="26356C36" w14:textId="60564EFB" w:rsidR="009C32A0" w:rsidRPr="005675B2" w:rsidRDefault="000636C2" w:rsidP="000636C2">
      <w:pPr>
        <w:rPr>
          <w:b/>
          <w:rtl/>
        </w:rPr>
      </w:pPr>
      <w:r>
        <w:rPr>
          <w:rFonts w:hint="cs"/>
          <w:rtl/>
        </w:rPr>
        <w:t>[</w:t>
      </w:r>
      <w:r w:rsidR="009C32A0">
        <w:rPr>
          <w:rFonts w:hint="cs"/>
          <w:rtl/>
        </w:rPr>
        <w:t>الجواب</w:t>
      </w:r>
      <w:r>
        <w:rPr>
          <w:rFonts w:hint="cs"/>
          <w:rtl/>
        </w:rPr>
        <w:t>]: (</w:t>
      </w:r>
      <w:r w:rsidR="009C32A0">
        <w:rPr>
          <w:rFonts w:hint="cs"/>
          <w:rtl/>
        </w:rPr>
        <w:t>أولا</w:t>
      </w:r>
      <w:r>
        <w:rPr>
          <w:rFonts w:hint="cs"/>
          <w:rtl/>
        </w:rPr>
        <w:t>):</w:t>
      </w:r>
      <w:r w:rsidR="009C32A0" w:rsidRPr="005675B2">
        <w:rPr>
          <w:rFonts w:hint="cs"/>
          <w:rtl/>
        </w:rPr>
        <w:t xml:space="preserve"> قول الكاتب أن الأشاعرة ينكرون الربط العادي بإطلاق كلام باطل غير صحيح</w:t>
      </w:r>
      <w:r>
        <w:rPr>
          <w:rFonts w:hint="cs"/>
          <w:rtl/>
        </w:rPr>
        <w:t>،</w:t>
      </w:r>
      <w:r w:rsidR="009C32A0" w:rsidRPr="005675B2">
        <w:rPr>
          <w:rFonts w:hint="cs"/>
          <w:rtl/>
        </w:rPr>
        <w:t xml:space="preserve"> بل الأشاعرة يثبتون الربط العادي، وإنما الذي ينكره الأشاعرة التأثير وأنواع الربط الأخرى</w:t>
      </w:r>
      <w:r>
        <w:rPr>
          <w:rFonts w:hint="cs"/>
          <w:rtl/>
        </w:rPr>
        <w:t xml:space="preserve">، </w:t>
      </w:r>
      <w:r w:rsidR="009C32A0" w:rsidRPr="005675B2">
        <w:rPr>
          <w:rFonts w:hint="cs"/>
          <w:rtl/>
        </w:rPr>
        <w:t>ومعنى التأثير</w:t>
      </w:r>
      <w:r>
        <w:rPr>
          <w:rFonts w:hint="cs"/>
          <w:rtl/>
        </w:rPr>
        <w:t>:</w:t>
      </w:r>
      <w:r w:rsidR="009C32A0" w:rsidRPr="005675B2">
        <w:rPr>
          <w:rFonts w:hint="cs"/>
          <w:rtl/>
        </w:rPr>
        <w:t xml:space="preserve"> هو الخلق والإيجاد فالأشاعرة بل وسائر أهل السنة ينكرون أن</w:t>
      </w:r>
      <w:r w:rsidR="009C32A0">
        <w:rPr>
          <w:rFonts w:hint="cs"/>
          <w:rtl/>
        </w:rPr>
        <w:t xml:space="preserve"> </w:t>
      </w:r>
      <w:r w:rsidR="009C32A0" w:rsidRPr="005675B2">
        <w:rPr>
          <w:rFonts w:hint="cs"/>
          <w:rtl/>
        </w:rPr>
        <w:t>يكون هناك مؤثر حقيقي أي موجد للشيء من العدم إلى الوجود إلا الله تعالى</w:t>
      </w:r>
      <w:r>
        <w:rPr>
          <w:rFonts w:hint="cs"/>
          <w:rtl/>
        </w:rPr>
        <w:t>،</w:t>
      </w:r>
      <w:r w:rsidR="009C32A0" w:rsidRPr="005675B2">
        <w:rPr>
          <w:rFonts w:hint="cs"/>
          <w:rtl/>
        </w:rPr>
        <w:t xml:space="preserve"> وهذه المسألة كما بينت سابقاً يذكرها السادة الأشاعرة عند ذكر المستحيلات ومنها وجود الشريك لله في أفعاله</w:t>
      </w:r>
      <w:r>
        <w:rPr>
          <w:rFonts w:hint="cs"/>
          <w:rtl/>
        </w:rPr>
        <w:t>،</w:t>
      </w:r>
      <w:r w:rsidR="009C32A0">
        <w:rPr>
          <w:rFonts w:hint="cs"/>
          <w:rtl/>
        </w:rPr>
        <w:t xml:space="preserve"> </w:t>
      </w:r>
      <w:r w:rsidR="009C32A0" w:rsidRPr="005675B2">
        <w:rPr>
          <w:rFonts w:hint="cs"/>
          <w:rtl/>
        </w:rPr>
        <w:t>ومعنى الربط</w:t>
      </w:r>
      <w:r>
        <w:rPr>
          <w:rFonts w:hint="cs"/>
          <w:rtl/>
        </w:rPr>
        <w:t>:</w:t>
      </w:r>
      <w:r w:rsidR="009C32A0" w:rsidRPr="005675B2">
        <w:rPr>
          <w:rFonts w:hint="cs"/>
          <w:rtl/>
        </w:rPr>
        <w:t xml:space="preserve"> أي التلازم، وأهل السنة لاينكرون التلازم بإطلاق وإنما ينكرون أنواع من التلازم </w:t>
      </w:r>
      <w:r w:rsidR="009C32A0" w:rsidRPr="005675B2">
        <w:rPr>
          <w:rFonts w:hint="cs"/>
          <w:u w:val="single"/>
          <w:rtl/>
        </w:rPr>
        <w:t>ويثبتون التلازم العادي</w:t>
      </w:r>
      <w:r w:rsidR="009C32A0" w:rsidRPr="005675B2">
        <w:rPr>
          <w:rFonts w:hint="cs"/>
          <w:rtl/>
        </w:rPr>
        <w:t xml:space="preserve"> وسأبين ما غاب عن فهم الكاتب إن شاء الله فلا يظن أن أهل السنة من الأشاعرة يبدعون أو يكفرون بالهوى</w:t>
      </w:r>
      <w:r>
        <w:rPr>
          <w:rFonts w:hint="cs"/>
          <w:rtl/>
        </w:rPr>
        <w:t xml:space="preserve">، </w:t>
      </w:r>
      <w:r w:rsidR="009C32A0" w:rsidRPr="005675B2">
        <w:rPr>
          <w:rFonts w:hint="cs"/>
          <w:rtl/>
        </w:rPr>
        <w:t>الناس في هذه المسألة وهي مسألة التأثير أربعة فرق</w:t>
      </w:r>
      <w:r>
        <w:rPr>
          <w:rFonts w:hint="cs"/>
          <w:rtl/>
        </w:rPr>
        <w:t>:</w:t>
      </w:r>
      <w:r w:rsidR="009C32A0" w:rsidRPr="005675B2">
        <w:rPr>
          <w:rFonts w:hint="cs"/>
          <w:rtl/>
        </w:rPr>
        <w:t>الفرقة الأولى</w:t>
      </w:r>
      <w:r>
        <w:rPr>
          <w:rFonts w:hint="cs"/>
          <w:rtl/>
        </w:rPr>
        <w:t>:</w:t>
      </w:r>
      <w:r w:rsidR="009C32A0" w:rsidRPr="005675B2">
        <w:rPr>
          <w:rFonts w:hint="cs"/>
          <w:rtl/>
        </w:rPr>
        <w:t>تعتقد أن الدواء</w:t>
      </w:r>
      <w:r>
        <w:rPr>
          <w:rFonts w:hint="cs"/>
          <w:rtl/>
        </w:rPr>
        <w:t xml:space="preserve"> </w:t>
      </w:r>
      <w:r w:rsidR="009C32A0" w:rsidRPr="005675B2">
        <w:rPr>
          <w:rFonts w:hint="cs"/>
          <w:rtl/>
        </w:rPr>
        <w:t>أو نحوه من الأسباب</w:t>
      </w:r>
      <w:r>
        <w:rPr>
          <w:rFonts w:hint="cs"/>
          <w:rtl/>
        </w:rPr>
        <w:t xml:space="preserve"> </w:t>
      </w:r>
      <w:r w:rsidR="009C32A0" w:rsidRPr="005675B2">
        <w:rPr>
          <w:rFonts w:hint="cs"/>
          <w:rtl/>
        </w:rPr>
        <w:t>تؤثر بطبعها وذاتها وهذه الفرقة لا نزاع في كفرها</w:t>
      </w:r>
      <w:r>
        <w:rPr>
          <w:rFonts w:hint="cs"/>
          <w:rtl/>
        </w:rPr>
        <w:t>،</w:t>
      </w:r>
      <w:r w:rsidR="009C32A0" w:rsidRPr="005675B2">
        <w:rPr>
          <w:rFonts w:hint="cs"/>
          <w:rtl/>
        </w:rPr>
        <w:t xml:space="preserve"> وهم الفلاسفة الغلاة ومعنى التأثير بالطبع أي أن السبب يخلق الفعل استقلالاً عن الله بطبيعته و يوجد الشيء ولا مدخلية لله في ذلك</w:t>
      </w:r>
      <w:r>
        <w:rPr>
          <w:rFonts w:hint="cs"/>
          <w:rtl/>
        </w:rPr>
        <w:t xml:space="preserve">، </w:t>
      </w:r>
      <w:r w:rsidR="009C32A0" w:rsidRPr="005675B2">
        <w:rPr>
          <w:rFonts w:hint="cs"/>
          <w:rtl/>
        </w:rPr>
        <w:t>والثانية</w:t>
      </w:r>
      <w:r>
        <w:rPr>
          <w:rFonts w:hint="cs"/>
          <w:rtl/>
        </w:rPr>
        <w:t>:</w:t>
      </w:r>
      <w:r w:rsidR="009C32A0" w:rsidRPr="005675B2">
        <w:rPr>
          <w:rFonts w:hint="cs"/>
          <w:rtl/>
        </w:rPr>
        <w:t xml:space="preserve"> تعتقد أن الأدوية وغيرها من الأسباب تؤثر</w:t>
      </w:r>
      <w:r>
        <w:rPr>
          <w:rFonts w:hint="cs"/>
          <w:rtl/>
        </w:rPr>
        <w:t xml:space="preserve"> </w:t>
      </w:r>
      <w:r w:rsidR="009C32A0" w:rsidRPr="005675B2">
        <w:rPr>
          <w:rFonts w:hint="cs"/>
          <w:rtl/>
        </w:rPr>
        <w:t>بقوة أودعها الله فيها، وهذه الفرقة اختلف في كفرها</w:t>
      </w:r>
      <w:r>
        <w:rPr>
          <w:rFonts w:hint="cs"/>
          <w:rtl/>
        </w:rPr>
        <w:t>،</w:t>
      </w:r>
      <w:r w:rsidR="009C32A0" w:rsidRPr="005675B2">
        <w:rPr>
          <w:rFonts w:hint="cs"/>
          <w:rtl/>
        </w:rPr>
        <w:t>والجمهور على</w:t>
      </w:r>
      <w:r>
        <w:rPr>
          <w:rFonts w:hint="cs"/>
          <w:rtl/>
        </w:rPr>
        <w:t xml:space="preserve"> </w:t>
      </w:r>
      <w:r w:rsidR="009C32A0" w:rsidRPr="005675B2">
        <w:rPr>
          <w:rFonts w:hint="cs"/>
          <w:rtl/>
        </w:rPr>
        <w:t>عدم الكفر كما قيل في المعتزلة القائلين بأن العبد يخلق أفعال نفسه الاختيارية بقدرة أودعها الله فيه</w:t>
      </w:r>
      <w:r>
        <w:rPr>
          <w:rFonts w:hint="cs"/>
          <w:rtl/>
        </w:rPr>
        <w:t>،</w:t>
      </w:r>
      <w:r w:rsidR="009C32A0" w:rsidRPr="005675B2">
        <w:rPr>
          <w:rFonts w:hint="cs"/>
          <w:rtl/>
        </w:rPr>
        <w:t>ومعنى أنها تؤثر بقوة جعلها الله فيها أي معاونة ولا شك أن من أدعى لأحد غير الله أدنى شيء من الإيجاد فإنه ضال</w:t>
      </w:r>
      <w:r>
        <w:rPr>
          <w:rFonts w:hint="cs"/>
          <w:rtl/>
        </w:rPr>
        <w:t>،</w:t>
      </w:r>
      <w:r w:rsidR="009C32A0">
        <w:rPr>
          <w:rFonts w:hint="cs"/>
          <w:rtl/>
        </w:rPr>
        <w:t xml:space="preserve"> </w:t>
      </w:r>
      <w:r w:rsidR="009C32A0" w:rsidRPr="005675B2">
        <w:rPr>
          <w:rFonts w:hint="cs"/>
          <w:rtl/>
        </w:rPr>
        <w:t>وللفائدة فابن تيمية ينفي نوعين من التأثير - التأثير بمعنى الإيجاد المستقل ـ</w:t>
      </w:r>
      <w:r>
        <w:rPr>
          <w:rFonts w:hint="cs"/>
          <w:rtl/>
        </w:rPr>
        <w:t xml:space="preserve"> </w:t>
      </w:r>
      <w:r w:rsidR="009C32A0" w:rsidRPr="005675B2">
        <w:rPr>
          <w:rFonts w:hint="cs"/>
          <w:rtl/>
        </w:rPr>
        <w:t>- وينفي</w:t>
      </w:r>
      <w:r>
        <w:rPr>
          <w:rFonts w:hint="cs"/>
          <w:rtl/>
        </w:rPr>
        <w:t xml:space="preserve"> </w:t>
      </w:r>
      <w:r w:rsidR="009C32A0" w:rsidRPr="005675B2">
        <w:rPr>
          <w:rFonts w:hint="cs"/>
          <w:rtl/>
        </w:rPr>
        <w:t>التأثير بمعنى المعاونة</w:t>
      </w:r>
      <w:r>
        <w:rPr>
          <w:rFonts w:hint="cs"/>
          <w:rtl/>
        </w:rPr>
        <w:t xml:space="preserve"> </w:t>
      </w:r>
      <w:r w:rsidR="009C32A0" w:rsidRPr="005675B2">
        <w:rPr>
          <w:rFonts w:hint="cs"/>
          <w:rtl/>
        </w:rPr>
        <w:t>وجعل كلاهما شرك [</w:t>
      </w:r>
      <w:r w:rsidR="009C32A0" w:rsidRPr="005675B2">
        <w:rPr>
          <w:rFonts w:hint="cs"/>
          <w:bCs/>
          <w:sz w:val="24"/>
          <w:szCs w:val="24"/>
          <w:rtl/>
        </w:rPr>
        <w:t>مج الفتاوى 8/ 387</w:t>
      </w:r>
      <w:r w:rsidR="009C32A0" w:rsidRPr="005675B2">
        <w:rPr>
          <w:rFonts w:hint="cs"/>
          <w:rtl/>
        </w:rPr>
        <w:t>] ولكنه يثبت تأثيراً قال فيه</w:t>
      </w:r>
      <w:r>
        <w:rPr>
          <w:rFonts w:hint="cs"/>
          <w:rtl/>
        </w:rPr>
        <w:t>:</w:t>
      </w:r>
      <w:r w:rsidR="009C32A0" w:rsidRPr="005675B2">
        <w:rPr>
          <w:rFonts w:hint="cs"/>
          <w:rtl/>
        </w:rPr>
        <w:t xml:space="preserve"> إن أريد أن خروج الفعل من العدم إلى الوجود كان بتوسط القدرة المحدثة</w:t>
      </w:r>
      <w:r>
        <w:rPr>
          <w:rFonts w:hint="cs"/>
          <w:rtl/>
        </w:rPr>
        <w:t>،</w:t>
      </w:r>
      <w:r w:rsidR="009C32A0" w:rsidRPr="005675B2">
        <w:rPr>
          <w:rFonts w:hint="cs"/>
          <w:rtl/>
        </w:rPr>
        <w:t xml:space="preserve"> بمعنى أن القدرة المخلوقة هي سبب وواسطة في خلق الله الفعل بهذه القدرة</w:t>
      </w:r>
      <w:r>
        <w:rPr>
          <w:rFonts w:hint="cs"/>
          <w:rtl/>
        </w:rPr>
        <w:t xml:space="preserve"> </w:t>
      </w:r>
      <w:r w:rsidR="009C32A0" w:rsidRPr="005675B2">
        <w:rPr>
          <w:rFonts w:hint="cs"/>
          <w:rtl/>
        </w:rPr>
        <w:t xml:space="preserve">.. كما خلق جميع المسببات والمخلوقات </w:t>
      </w:r>
      <w:r w:rsidR="009C32A0" w:rsidRPr="005675B2">
        <w:rPr>
          <w:rFonts w:hint="cs"/>
          <w:u w:val="single"/>
          <w:rtl/>
        </w:rPr>
        <w:t>بوسائط</w:t>
      </w:r>
      <w:r>
        <w:rPr>
          <w:rFonts w:hint="cs"/>
          <w:u w:val="single"/>
          <w:rtl/>
        </w:rPr>
        <w:t>،</w:t>
      </w:r>
      <w:r w:rsidR="009C32A0" w:rsidRPr="005675B2">
        <w:rPr>
          <w:rFonts w:hint="cs"/>
          <w:u w:val="single"/>
          <w:rtl/>
        </w:rPr>
        <w:t xml:space="preserve"> و</w:t>
      </w:r>
      <w:r w:rsidR="009C32A0" w:rsidRPr="005675B2">
        <w:rPr>
          <w:rFonts w:hint="cs"/>
          <w:rtl/>
        </w:rPr>
        <w:t>أسباب</w:t>
      </w:r>
      <w:r>
        <w:rPr>
          <w:rFonts w:hint="cs"/>
          <w:rtl/>
        </w:rPr>
        <w:t>،</w:t>
      </w:r>
      <w:r w:rsidR="009C32A0" w:rsidRPr="005675B2">
        <w:rPr>
          <w:rFonts w:hint="cs"/>
          <w:rtl/>
        </w:rPr>
        <w:t>فهذا حق .. وليس إضافة التأثير بهذا التفسير إلى قدرة العبد شركاً أهـ</w:t>
      </w:r>
      <w:r>
        <w:rPr>
          <w:rFonts w:hint="cs"/>
          <w:rtl/>
        </w:rPr>
        <w:t xml:space="preserve"> </w:t>
      </w:r>
      <w:r w:rsidR="009C32A0" w:rsidRPr="005675B2">
        <w:rPr>
          <w:rFonts w:hint="cs"/>
          <w:rtl/>
        </w:rPr>
        <w:t>[</w:t>
      </w:r>
      <w:r w:rsidR="009C32A0" w:rsidRPr="005675B2">
        <w:rPr>
          <w:rFonts w:hint="cs"/>
          <w:bCs/>
          <w:sz w:val="24"/>
          <w:szCs w:val="24"/>
          <w:rtl/>
        </w:rPr>
        <w:t>مج الفتاوي /389</w:t>
      </w:r>
      <w:r w:rsidR="009C32A0" w:rsidRPr="005675B2">
        <w:rPr>
          <w:rFonts w:hint="cs"/>
          <w:rtl/>
        </w:rPr>
        <w:t>]</w:t>
      </w:r>
    </w:p>
    <w:p w14:paraId="6A851F11" w14:textId="763C0EB9" w:rsidR="009C32A0" w:rsidRPr="005675B2" w:rsidRDefault="009C32A0" w:rsidP="000636C2">
      <w:pPr>
        <w:rPr>
          <w:b/>
          <w:rtl/>
        </w:rPr>
      </w:pPr>
      <w:r w:rsidRPr="005675B2">
        <w:rPr>
          <w:rFonts w:hint="cs"/>
          <w:rtl/>
        </w:rPr>
        <w:t>وسنأتي برأي الكاتب ومناقشته إن شاء الله</w:t>
      </w:r>
      <w:r w:rsidR="000636C2">
        <w:rPr>
          <w:rFonts w:hint="cs"/>
          <w:rtl/>
        </w:rPr>
        <w:t>،</w:t>
      </w:r>
      <w:r>
        <w:rPr>
          <w:rFonts w:hint="cs"/>
          <w:rtl/>
        </w:rPr>
        <w:t xml:space="preserve"> </w:t>
      </w:r>
      <w:r w:rsidRPr="005675B2">
        <w:rPr>
          <w:rFonts w:hint="cs"/>
          <w:rtl/>
        </w:rPr>
        <w:t>الفرقة الثالثة</w:t>
      </w:r>
      <w:r w:rsidR="000636C2">
        <w:rPr>
          <w:rFonts w:hint="cs"/>
          <w:rtl/>
        </w:rPr>
        <w:t>:</w:t>
      </w:r>
      <w:r w:rsidRPr="005675B2">
        <w:rPr>
          <w:rFonts w:hint="cs"/>
          <w:rtl/>
        </w:rPr>
        <w:t xml:space="preserve"> تعتقد أن التأثير ليس إلا لله تعالى لكن تعتقد التلازم بين الأسباب ومسبباتها عقلياً فمثلاً تعتقد التلازم بين الدواء</w:t>
      </w:r>
      <w:r w:rsidR="000636C2">
        <w:rPr>
          <w:rFonts w:hint="cs"/>
          <w:rtl/>
        </w:rPr>
        <w:t xml:space="preserve"> </w:t>
      </w:r>
      <w:r w:rsidRPr="005675B2">
        <w:rPr>
          <w:rFonts w:hint="cs"/>
          <w:rtl/>
        </w:rPr>
        <w:t>و الشفاء</w:t>
      </w:r>
      <w:r w:rsidR="000636C2">
        <w:rPr>
          <w:rFonts w:hint="cs"/>
          <w:rtl/>
        </w:rPr>
        <w:t xml:space="preserve"> </w:t>
      </w:r>
      <w:r w:rsidRPr="005675B2">
        <w:rPr>
          <w:rFonts w:hint="cs"/>
          <w:rtl/>
        </w:rPr>
        <w:t>عقلياً، وهذه الفرقة ليست كافرة لكن ربما جرها ذلك الاعتقاد إلى الكفر، لأنه قد يؤديها إلى إنكار الأمور الخارقة للعادة كمعجزات الأنبياء عليهم الصلاة والسلام وكبعث الأجسادلأن هذه الأشياء ثبتت بالأدلة الشرعية</w:t>
      </w:r>
      <w:r w:rsidR="000636C2">
        <w:rPr>
          <w:rFonts w:hint="cs"/>
          <w:rtl/>
        </w:rPr>
        <w:t xml:space="preserve"> </w:t>
      </w:r>
      <w:r w:rsidRPr="005675B2">
        <w:rPr>
          <w:rFonts w:hint="cs"/>
          <w:rtl/>
        </w:rPr>
        <w:t>لا بالأدلة العقلية</w:t>
      </w:r>
      <w:r w:rsidR="000636C2">
        <w:rPr>
          <w:rFonts w:hint="cs"/>
          <w:rtl/>
        </w:rPr>
        <w:t>،</w:t>
      </w:r>
      <w:r w:rsidRPr="005675B2">
        <w:rPr>
          <w:rFonts w:hint="cs"/>
          <w:rtl/>
        </w:rPr>
        <w:t xml:space="preserve"> فالحكم العقلي يفهم من مجرد العقل من غير</w:t>
      </w:r>
      <w:r w:rsidR="000636C2">
        <w:rPr>
          <w:rFonts w:hint="cs"/>
          <w:rtl/>
        </w:rPr>
        <w:t xml:space="preserve"> </w:t>
      </w:r>
      <w:r w:rsidRPr="005675B2">
        <w:rPr>
          <w:rFonts w:hint="cs"/>
          <w:rtl/>
        </w:rPr>
        <w:t>تكرار ولا وضع واضع</w:t>
      </w:r>
      <w:r w:rsidR="000636C2">
        <w:rPr>
          <w:rFonts w:hint="cs"/>
          <w:rtl/>
        </w:rPr>
        <w:t xml:space="preserve">، </w:t>
      </w:r>
    </w:p>
    <w:p w14:paraId="1005CC02" w14:textId="363E481E" w:rsidR="009C32A0" w:rsidRPr="005675B2" w:rsidRDefault="009C32A0" w:rsidP="000636C2">
      <w:pPr>
        <w:rPr>
          <w:b/>
          <w:rtl/>
        </w:rPr>
      </w:pPr>
      <w:r w:rsidRPr="005675B2">
        <w:rPr>
          <w:rFonts w:hint="cs"/>
          <w:rtl/>
        </w:rPr>
        <w:t>الفرقة الرابعة</w:t>
      </w:r>
      <w:r w:rsidR="000636C2">
        <w:rPr>
          <w:rFonts w:hint="cs"/>
          <w:rtl/>
        </w:rPr>
        <w:t>:</w:t>
      </w:r>
      <w:r w:rsidRPr="005675B2">
        <w:rPr>
          <w:rFonts w:hint="cs"/>
          <w:rtl/>
        </w:rPr>
        <w:t xml:space="preserve"> أهل السنة والجماعة</w:t>
      </w:r>
      <w:r w:rsidR="000636C2">
        <w:rPr>
          <w:rFonts w:hint="cs"/>
          <w:rtl/>
        </w:rPr>
        <w:t>:</w:t>
      </w:r>
      <w:r w:rsidRPr="005675B2">
        <w:rPr>
          <w:rFonts w:hint="cs"/>
          <w:rtl/>
        </w:rPr>
        <w:t xml:space="preserve"> يقولون</w:t>
      </w:r>
      <w:r w:rsidR="000636C2">
        <w:rPr>
          <w:rFonts w:hint="cs"/>
          <w:rtl/>
        </w:rPr>
        <w:t xml:space="preserve">: </w:t>
      </w:r>
      <w:r w:rsidRPr="005675B2">
        <w:rPr>
          <w:rFonts w:hint="cs"/>
          <w:rtl/>
        </w:rPr>
        <w:t>الصواب أن الترابط بين السبب والمسبب ترابط عادي بمعنى أنه يمكن وقوعه ويمكن تخلفه</w:t>
      </w:r>
      <w:r w:rsidR="000636C2">
        <w:rPr>
          <w:rFonts w:hint="cs"/>
          <w:rtl/>
        </w:rPr>
        <w:t>،</w:t>
      </w:r>
      <w:r w:rsidRPr="005675B2">
        <w:rPr>
          <w:rFonts w:hint="cs"/>
          <w:rtl/>
        </w:rPr>
        <w:t>فالأشاعرة وسائر</w:t>
      </w:r>
      <w:r w:rsidR="000636C2">
        <w:rPr>
          <w:rFonts w:hint="cs"/>
          <w:rtl/>
        </w:rPr>
        <w:t xml:space="preserve"> </w:t>
      </w:r>
      <w:r w:rsidRPr="005675B2">
        <w:rPr>
          <w:rFonts w:hint="cs"/>
          <w:rtl/>
        </w:rPr>
        <w:t>أهل السنة يعتقدون</w:t>
      </w:r>
      <w:r w:rsidR="000636C2">
        <w:rPr>
          <w:rFonts w:hint="cs"/>
          <w:rtl/>
        </w:rPr>
        <w:t xml:space="preserve"> </w:t>
      </w:r>
      <w:r w:rsidRPr="005675B2">
        <w:rPr>
          <w:rFonts w:hint="cs"/>
          <w:rtl/>
        </w:rPr>
        <w:t>أن التأثير ليس إلا لله تعالى</w:t>
      </w:r>
      <w:r w:rsidR="000636C2">
        <w:rPr>
          <w:rFonts w:hint="cs"/>
          <w:rtl/>
        </w:rPr>
        <w:t>،</w:t>
      </w:r>
      <w:r w:rsidRPr="005675B2">
        <w:rPr>
          <w:rFonts w:hint="cs"/>
          <w:rtl/>
        </w:rPr>
        <w:t xml:space="preserve"> كما يعتقدون</w:t>
      </w:r>
      <w:r w:rsidR="000636C2">
        <w:rPr>
          <w:rFonts w:hint="cs"/>
          <w:rtl/>
        </w:rPr>
        <w:t xml:space="preserve"> </w:t>
      </w:r>
      <w:r w:rsidRPr="005675B2">
        <w:rPr>
          <w:rFonts w:hint="cs"/>
          <w:rtl/>
        </w:rPr>
        <w:t>إمكان التخلف بين السبب والمسبب كالدواء</w:t>
      </w:r>
      <w:r w:rsidR="000636C2">
        <w:rPr>
          <w:rFonts w:hint="cs"/>
          <w:rtl/>
        </w:rPr>
        <w:t xml:space="preserve"> </w:t>
      </w:r>
      <w:r w:rsidRPr="005675B2">
        <w:rPr>
          <w:rFonts w:hint="cs"/>
          <w:rtl/>
        </w:rPr>
        <w:t>والشفاء</w:t>
      </w:r>
      <w:r w:rsidR="000636C2">
        <w:rPr>
          <w:rFonts w:hint="cs"/>
          <w:rtl/>
        </w:rPr>
        <w:t>،</w:t>
      </w:r>
      <w:r w:rsidRPr="005675B2">
        <w:rPr>
          <w:rFonts w:hint="cs"/>
          <w:rtl/>
        </w:rPr>
        <w:t xml:space="preserve"> وكم من دواء حصل فيه الشفاء لأناس ولم يحصل لآخرين</w:t>
      </w:r>
      <w:r w:rsidR="000636C2">
        <w:rPr>
          <w:rFonts w:hint="cs"/>
          <w:rtl/>
        </w:rPr>
        <w:t>؟!</w:t>
      </w:r>
      <w:r w:rsidRPr="005675B2">
        <w:rPr>
          <w:rFonts w:hint="cs"/>
          <w:rtl/>
        </w:rPr>
        <w:t xml:space="preserve"> وبنوا على معتقدمهم</w:t>
      </w:r>
      <w:r w:rsidR="000636C2">
        <w:rPr>
          <w:rFonts w:hint="cs"/>
          <w:rtl/>
        </w:rPr>
        <w:t xml:space="preserve"> </w:t>
      </w:r>
      <w:r w:rsidRPr="005675B2">
        <w:rPr>
          <w:rFonts w:hint="cs"/>
          <w:rtl/>
        </w:rPr>
        <w:t>الإيمان بالكرامات</w:t>
      </w:r>
      <w:r w:rsidR="000636C2">
        <w:rPr>
          <w:rFonts w:hint="cs"/>
          <w:rtl/>
        </w:rPr>
        <w:t xml:space="preserve"> </w:t>
      </w:r>
      <w:r w:rsidRPr="005675B2">
        <w:rPr>
          <w:rFonts w:hint="cs"/>
          <w:rtl/>
        </w:rPr>
        <w:t xml:space="preserve">لأنها أمر خارق </w:t>
      </w:r>
      <w:r w:rsidRPr="005675B2">
        <w:rPr>
          <w:rFonts w:hint="cs"/>
          <w:u w:val="single"/>
          <w:rtl/>
        </w:rPr>
        <w:t>للعادة</w:t>
      </w:r>
      <w:r w:rsidR="000636C2">
        <w:rPr>
          <w:rFonts w:hint="cs"/>
          <w:u w:val="single"/>
          <w:rtl/>
        </w:rPr>
        <w:t>،</w:t>
      </w:r>
      <w:r w:rsidRPr="005675B2">
        <w:rPr>
          <w:rFonts w:hint="cs"/>
          <w:rtl/>
        </w:rPr>
        <w:t xml:space="preserve"> ولم يقولوا أمر مستقل بالإيجاد</w:t>
      </w:r>
      <w:r w:rsidR="000636C2">
        <w:rPr>
          <w:rFonts w:hint="cs"/>
          <w:rtl/>
        </w:rPr>
        <w:t>،</w:t>
      </w:r>
      <w:r w:rsidRPr="005675B2">
        <w:rPr>
          <w:rFonts w:hint="cs"/>
          <w:rtl/>
        </w:rPr>
        <w:t xml:space="preserve"> ولا قالوا أمر مؤثر يجري بقوة أودعها الله في الفاعل</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انظر للفائدة حاشية الباجوري على أم البراهين .وكذا تهذيب السنوسية . والبيت الخامس والأربعين من تهذيب شرح الجوهرة</w:t>
      </w:r>
      <w:r w:rsidR="000636C2">
        <w:rPr>
          <w:rFonts w:hint="cs"/>
          <w:bCs/>
          <w:sz w:val="24"/>
          <w:szCs w:val="24"/>
          <w:rtl/>
        </w:rPr>
        <w:t>]</w:t>
      </w:r>
      <w:r w:rsidR="000636C2">
        <w:rPr>
          <w:rFonts w:hint="cs"/>
          <w:rtl/>
        </w:rPr>
        <w:t>،</w:t>
      </w:r>
      <w:r>
        <w:rPr>
          <w:rFonts w:hint="cs"/>
          <w:rtl/>
        </w:rPr>
        <w:t xml:space="preserve"> </w:t>
      </w:r>
      <w:r w:rsidRPr="005675B2">
        <w:rPr>
          <w:rFonts w:hint="cs"/>
          <w:rtl/>
        </w:rPr>
        <w:t>معنى العادي</w:t>
      </w:r>
      <w:r w:rsidR="000636C2">
        <w:rPr>
          <w:rFonts w:hint="cs"/>
          <w:rtl/>
        </w:rPr>
        <w:t>:</w:t>
      </w:r>
      <w:r w:rsidRPr="005675B2">
        <w:rPr>
          <w:rFonts w:hint="cs"/>
          <w:rtl/>
        </w:rPr>
        <w:t xml:space="preserve"> العادي يعرف بالتجربة والتكرار كوجود الاحتراق عند النار، فالخالق للإحراق هو الله تعالى فلا تأثير للنار وكذلك جميع الأسباب العادية، وإنما أجرى الله العادة أن يخلق الفعل عندها لا بها</w:t>
      </w:r>
      <w:r w:rsidR="000636C2">
        <w:rPr>
          <w:rFonts w:hint="cs"/>
          <w:rtl/>
        </w:rPr>
        <w:t xml:space="preserve">، </w:t>
      </w:r>
      <w:r w:rsidRPr="005675B2">
        <w:rPr>
          <w:rFonts w:hint="cs"/>
          <w:rtl/>
        </w:rPr>
        <w:t>وقولهم عندها</w:t>
      </w:r>
      <w:r w:rsidR="000636C2">
        <w:rPr>
          <w:rFonts w:hint="cs"/>
          <w:rtl/>
        </w:rPr>
        <w:t xml:space="preserve"> </w:t>
      </w:r>
      <w:r w:rsidRPr="005675B2">
        <w:rPr>
          <w:rFonts w:hint="cs"/>
          <w:rtl/>
        </w:rPr>
        <w:t>لا بها</w:t>
      </w:r>
      <w:r w:rsidR="000636C2">
        <w:rPr>
          <w:rFonts w:hint="cs"/>
          <w:rtl/>
        </w:rPr>
        <w:t>:</w:t>
      </w:r>
      <w:r w:rsidRPr="005675B2">
        <w:rPr>
          <w:rFonts w:hint="cs"/>
          <w:rtl/>
        </w:rPr>
        <w:t xml:space="preserve"> أي أنه غني عن الوسائط سبحانه وتعالى فهو غير محتاج</w:t>
      </w:r>
      <w:r w:rsidR="000636C2">
        <w:rPr>
          <w:rFonts w:hint="cs"/>
          <w:rtl/>
        </w:rPr>
        <w:t xml:space="preserve"> </w:t>
      </w:r>
      <w:r w:rsidRPr="005675B2">
        <w:rPr>
          <w:rFonts w:hint="cs"/>
          <w:rtl/>
        </w:rPr>
        <w:t>لشيء أبداً</w:t>
      </w:r>
      <w:r w:rsidR="000636C2">
        <w:rPr>
          <w:rFonts w:hint="cs"/>
          <w:rtl/>
        </w:rPr>
        <w:t xml:space="preserve"> </w:t>
      </w:r>
      <w:r w:rsidRPr="005675B2">
        <w:rPr>
          <w:rFonts w:hint="cs"/>
          <w:rtl/>
        </w:rPr>
        <w:t>فالباء هنا عند أهل علم العقيدة</w:t>
      </w:r>
      <w:r w:rsidR="000636C2">
        <w:rPr>
          <w:rFonts w:hint="cs"/>
          <w:rtl/>
        </w:rPr>
        <w:t xml:space="preserve"> </w:t>
      </w:r>
      <w:r w:rsidRPr="005675B2">
        <w:rPr>
          <w:rFonts w:hint="cs"/>
          <w:rtl/>
        </w:rPr>
        <w:t>هي</w:t>
      </w:r>
      <w:r w:rsidR="000636C2">
        <w:rPr>
          <w:rFonts w:hint="cs"/>
          <w:rtl/>
        </w:rPr>
        <w:t xml:space="preserve"> </w:t>
      </w:r>
      <w:r w:rsidRPr="005675B2">
        <w:rPr>
          <w:rFonts w:hint="cs"/>
          <w:rtl/>
        </w:rPr>
        <w:t>باء تفيد</w:t>
      </w:r>
      <w:r w:rsidR="000636C2">
        <w:rPr>
          <w:rFonts w:hint="cs"/>
          <w:rtl/>
        </w:rPr>
        <w:t xml:space="preserve"> </w:t>
      </w:r>
      <w:r w:rsidRPr="005675B2">
        <w:rPr>
          <w:rFonts w:hint="cs"/>
          <w:rtl/>
        </w:rPr>
        <w:t>الاستعانة</w:t>
      </w:r>
      <w:r w:rsidR="000636C2">
        <w:rPr>
          <w:rFonts w:hint="cs"/>
          <w:rtl/>
        </w:rPr>
        <w:t>،</w:t>
      </w:r>
      <w:r w:rsidRPr="005675B2">
        <w:rPr>
          <w:rFonts w:hint="cs"/>
          <w:rtl/>
        </w:rPr>
        <w:t xml:space="preserve"> وليس نفي للسببية أي أنه تعالى لا يستعين بالأشياء لإمضاء فعله</w:t>
      </w:r>
      <w:r w:rsidR="000636C2">
        <w:rPr>
          <w:rFonts w:hint="cs"/>
          <w:rtl/>
        </w:rPr>
        <w:t>،</w:t>
      </w:r>
      <w:r w:rsidRPr="005675B2">
        <w:rPr>
          <w:rFonts w:hint="cs"/>
          <w:rtl/>
        </w:rPr>
        <w:t>ولا يتوقف فعله على معاون</w:t>
      </w:r>
      <w:r w:rsidR="000636C2">
        <w:rPr>
          <w:rFonts w:hint="cs"/>
          <w:rtl/>
        </w:rPr>
        <w:t>،</w:t>
      </w:r>
      <w:r>
        <w:rPr>
          <w:rFonts w:hint="cs"/>
          <w:rtl/>
        </w:rPr>
        <w:t xml:space="preserve"> </w:t>
      </w:r>
      <w:r w:rsidRPr="005675B2">
        <w:rPr>
          <w:rFonts w:hint="cs"/>
          <w:rtl/>
        </w:rPr>
        <w:t>والتلازم بين النار والإحراق تلازم عادي</w:t>
      </w:r>
      <w:r w:rsidR="000636C2">
        <w:rPr>
          <w:rFonts w:hint="cs"/>
          <w:rtl/>
        </w:rPr>
        <w:t>،</w:t>
      </w:r>
      <w:r w:rsidRPr="005675B2">
        <w:rPr>
          <w:rFonts w:hint="cs"/>
          <w:rtl/>
        </w:rPr>
        <w:t xml:space="preserve"> فلقد اعتدنا أن وجود الإحراق عند مس</w:t>
      </w:r>
      <w:r>
        <w:rPr>
          <w:rFonts w:hint="cs"/>
          <w:rtl/>
        </w:rPr>
        <w:t xml:space="preserve"> </w:t>
      </w:r>
      <w:r w:rsidRPr="005675B2">
        <w:rPr>
          <w:rFonts w:hint="cs"/>
          <w:rtl/>
        </w:rPr>
        <w:t>النار وهذا يقع بل شك لكن هل يمكن أن تتخلف هذه العادة</w:t>
      </w:r>
      <w:r w:rsidR="000636C2">
        <w:rPr>
          <w:rFonts w:hint="cs"/>
          <w:rtl/>
        </w:rPr>
        <w:t>،</w:t>
      </w:r>
      <w:r w:rsidRPr="005675B2">
        <w:rPr>
          <w:rFonts w:hint="cs"/>
          <w:rtl/>
        </w:rPr>
        <w:t xml:space="preserve"> فجواب أهل السنة نعم يمكن ذلك كمسألة المعجزات للأنبياء</w:t>
      </w:r>
      <w:r w:rsidR="000636C2">
        <w:rPr>
          <w:rFonts w:hint="cs"/>
          <w:rtl/>
        </w:rPr>
        <w:t>،</w:t>
      </w:r>
      <w:r w:rsidRPr="005675B2">
        <w:rPr>
          <w:rFonts w:hint="cs"/>
          <w:rtl/>
        </w:rPr>
        <w:t>والكرامات للأولياء وهي صور قليلة استثنائية على مر العصور</w:t>
      </w:r>
      <w:r w:rsidR="000636C2">
        <w:rPr>
          <w:rFonts w:hint="cs"/>
          <w:rtl/>
        </w:rPr>
        <w:t>،</w:t>
      </w:r>
      <w:r>
        <w:rPr>
          <w:rFonts w:hint="cs"/>
          <w:rtl/>
        </w:rPr>
        <w:t xml:space="preserve"> </w:t>
      </w:r>
      <w:r w:rsidRPr="005675B2">
        <w:rPr>
          <w:rFonts w:hint="cs"/>
          <w:rtl/>
        </w:rPr>
        <w:t>ومما سبق يتضح أن معنى التأثير هو الخلق والإيجاد وهذا ينفيه الأشاعرة عن العبد فلا خالق إلا الله وينفون كذلك كون الترابط بين السبب والمسبب لا يمكن أن يتخلف بل هو تلازم عادي فيمكن أن يحصل الأثر المترتب على السبب ويمكن أن يتخلف وقد تم</w:t>
      </w:r>
      <w:r w:rsidR="000636C2">
        <w:rPr>
          <w:rFonts w:hint="cs"/>
          <w:rtl/>
        </w:rPr>
        <w:t xml:space="preserve"> </w:t>
      </w:r>
      <w:r w:rsidRPr="005675B2">
        <w:rPr>
          <w:rFonts w:hint="cs"/>
          <w:rtl/>
        </w:rPr>
        <w:t>إيضاح ذلك ..</w:t>
      </w:r>
    </w:p>
    <w:p w14:paraId="497033BB" w14:textId="4D58470C" w:rsidR="009C32A0" w:rsidRPr="00B8085B" w:rsidRDefault="009C32A0" w:rsidP="000636C2">
      <w:pPr>
        <w:rPr>
          <w:bCs/>
          <w:rtl/>
        </w:rPr>
      </w:pPr>
      <w:r w:rsidRPr="00B8085B">
        <w:rPr>
          <w:rFonts w:hint="cs"/>
          <w:bCs/>
          <w:rtl/>
        </w:rPr>
        <w:t>الفروق الجوهرية بين العقيدة الصحيحة وعقيدة الكاتب</w:t>
      </w:r>
      <w:r w:rsidR="000636C2">
        <w:rPr>
          <w:rFonts w:hint="cs"/>
          <w:bCs/>
          <w:rtl/>
        </w:rPr>
        <w:t xml:space="preserve"> </w:t>
      </w:r>
      <w:r w:rsidRPr="00B8085B">
        <w:rPr>
          <w:rFonts w:hint="cs"/>
          <w:bCs/>
          <w:rtl/>
        </w:rPr>
        <w:t>في الأسباب</w:t>
      </w:r>
      <w:r w:rsidR="000636C2">
        <w:rPr>
          <w:rFonts w:hint="cs"/>
          <w:bCs/>
          <w:rtl/>
        </w:rPr>
        <w:t>:</w:t>
      </w:r>
      <w:r>
        <w:rPr>
          <w:rFonts w:hint="cs"/>
          <w:bCs/>
          <w:rtl/>
        </w:rPr>
        <w:t xml:space="preserve"> </w:t>
      </w:r>
    </w:p>
    <w:p w14:paraId="707D5FF4" w14:textId="1041304B" w:rsidR="009C32A0" w:rsidRPr="005675B2" w:rsidRDefault="009C32A0" w:rsidP="000636C2">
      <w:pPr>
        <w:rPr>
          <w:b/>
          <w:u w:val="single"/>
          <w:rtl/>
        </w:rPr>
      </w:pPr>
      <w:r w:rsidRPr="005675B2">
        <w:rPr>
          <w:rFonts w:hint="cs"/>
          <w:rtl/>
        </w:rPr>
        <w:t>1 -</w:t>
      </w:r>
      <w:r w:rsidR="000636C2">
        <w:rPr>
          <w:rFonts w:hint="cs"/>
          <w:rtl/>
        </w:rPr>
        <w:t xml:space="preserve"> </w:t>
      </w:r>
      <w:r w:rsidRPr="005675B2">
        <w:rPr>
          <w:rFonts w:hint="cs"/>
          <w:rtl/>
        </w:rPr>
        <w:t>يقولون</w:t>
      </w:r>
      <w:r w:rsidR="000636C2">
        <w:rPr>
          <w:rFonts w:hint="cs"/>
          <w:rtl/>
        </w:rPr>
        <w:t>:</w:t>
      </w:r>
      <w:r w:rsidRPr="005675B2">
        <w:rPr>
          <w:rFonts w:hint="cs"/>
          <w:rtl/>
        </w:rPr>
        <w:t xml:space="preserve"> أن الله يخلق الأشياء بالوسائط فالأسباب واسطة في خلق الله تعالى</w:t>
      </w:r>
      <w:r w:rsidR="000636C2">
        <w:rPr>
          <w:rFonts w:hint="cs"/>
          <w:rtl/>
        </w:rPr>
        <w:t>،</w:t>
      </w:r>
      <w:r w:rsidRPr="005675B2">
        <w:rPr>
          <w:rFonts w:hint="cs"/>
          <w:rtl/>
        </w:rPr>
        <w:t>يقول الموجان ناقلاً عن ابن تيمية</w:t>
      </w:r>
      <w:r w:rsidR="000636C2">
        <w:rPr>
          <w:rFonts w:hint="cs"/>
          <w:rtl/>
        </w:rPr>
        <w:t>:</w:t>
      </w:r>
      <w:r w:rsidRPr="005675B2">
        <w:rPr>
          <w:rFonts w:hint="cs"/>
          <w:rtl/>
        </w:rPr>
        <w:t xml:space="preserve">وإن أريد بخروج الفعل من العدم إلى الوجود كان </w:t>
      </w:r>
      <w:r w:rsidRPr="005675B2">
        <w:rPr>
          <w:rFonts w:hint="cs"/>
          <w:u w:val="single"/>
          <w:rtl/>
        </w:rPr>
        <w:t>بتوسط القدرة</w:t>
      </w:r>
      <w:r w:rsidRPr="005675B2">
        <w:rPr>
          <w:rFonts w:hint="cs"/>
          <w:rtl/>
        </w:rPr>
        <w:t xml:space="preserve"> المحدثة بمعنى أن القدرة المخلوقة هي واسطة وسبب في </w:t>
      </w:r>
      <w:r w:rsidRPr="005675B2">
        <w:rPr>
          <w:rFonts w:hint="cs"/>
          <w:u w:val="single"/>
          <w:rtl/>
        </w:rPr>
        <w:t>خلق الله الفعل بهذه الواسطة</w:t>
      </w:r>
      <w:r w:rsidRPr="005675B2">
        <w:rPr>
          <w:rFonts w:hint="cs"/>
          <w:rtl/>
        </w:rPr>
        <w:t xml:space="preserve"> .. كما </w:t>
      </w:r>
      <w:r w:rsidRPr="005675B2">
        <w:rPr>
          <w:rFonts w:hint="cs"/>
          <w:u w:val="single"/>
          <w:rtl/>
        </w:rPr>
        <w:t>خلق جميع المسببات والمخلوقات بوسائط</w:t>
      </w:r>
      <w:r w:rsidRPr="005675B2">
        <w:rPr>
          <w:rFonts w:hint="cs"/>
          <w:rtl/>
        </w:rPr>
        <w:t xml:space="preserve"> وأسباب فهذا حق</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161ـ 162</w:t>
      </w:r>
      <w:r w:rsidRPr="005675B2">
        <w:rPr>
          <w:rFonts w:hint="cs"/>
          <w:rtl/>
        </w:rPr>
        <w:t>] والباء هنا إما أن تكون بقصد الاستعانة فهذا الذي ينفيه الأشاعره لأنه الله يعين ولا يُعان</w:t>
      </w:r>
      <w:r w:rsidR="000636C2">
        <w:rPr>
          <w:rFonts w:hint="cs"/>
          <w:rtl/>
        </w:rPr>
        <w:t>،</w:t>
      </w:r>
      <w:r w:rsidRPr="005675B2">
        <w:rPr>
          <w:rFonts w:hint="cs"/>
          <w:rtl/>
        </w:rPr>
        <w:t xml:space="preserve"> أو من باب السببية بدون تأثير إيجاد منها</w:t>
      </w:r>
      <w:r w:rsidR="000636C2">
        <w:rPr>
          <w:rFonts w:hint="cs"/>
          <w:rtl/>
        </w:rPr>
        <w:t>،</w:t>
      </w:r>
      <w:r w:rsidRPr="005675B2">
        <w:rPr>
          <w:rFonts w:hint="cs"/>
          <w:rtl/>
        </w:rPr>
        <w:t>أو معاونة لله</w:t>
      </w:r>
      <w:r w:rsidR="000636C2">
        <w:rPr>
          <w:rFonts w:hint="cs"/>
          <w:rtl/>
        </w:rPr>
        <w:t>،</w:t>
      </w:r>
      <w:r w:rsidRPr="005675B2">
        <w:rPr>
          <w:rFonts w:hint="cs"/>
          <w:rtl/>
        </w:rPr>
        <w:t>فهذا هو معتقد الأشاعرة</w:t>
      </w:r>
      <w:r w:rsidR="000636C2">
        <w:rPr>
          <w:rFonts w:hint="cs"/>
          <w:rtl/>
        </w:rPr>
        <w:t>،</w:t>
      </w:r>
      <w:r w:rsidRPr="005675B2">
        <w:rPr>
          <w:rFonts w:hint="cs"/>
          <w:rtl/>
        </w:rPr>
        <w:t xml:space="preserve"> وصار الخلاف لفظياً</w:t>
      </w:r>
      <w:r w:rsidR="000636C2">
        <w:rPr>
          <w:rFonts w:hint="cs"/>
          <w:rtl/>
        </w:rPr>
        <w:t>،</w:t>
      </w:r>
      <w:r w:rsidRPr="005675B2">
        <w:rPr>
          <w:rFonts w:hint="cs"/>
          <w:rtl/>
        </w:rPr>
        <w:t>وراجع تفاسير الأشاعرة في آيات السببية</w:t>
      </w:r>
      <w:r w:rsidR="000636C2">
        <w:rPr>
          <w:rFonts w:hint="cs"/>
          <w:rtl/>
        </w:rPr>
        <w:t xml:space="preserve"> </w:t>
      </w:r>
      <w:r w:rsidRPr="005675B2">
        <w:rPr>
          <w:rFonts w:hint="cs"/>
          <w:rtl/>
        </w:rPr>
        <w:t>كقوله تعالى (</w:t>
      </w:r>
      <w:r w:rsidR="000636C2">
        <w:rPr>
          <w:rFonts w:hint="cs"/>
          <w:rtl/>
        </w:rPr>
        <w:t>(</w:t>
      </w:r>
      <w:r w:rsidRPr="005675B2">
        <w:rPr>
          <w:rFonts w:hint="cs"/>
          <w:rtl/>
        </w:rPr>
        <w:t>فأحيا به الأرض بعد موتها</w:t>
      </w:r>
      <w:r w:rsidR="000636C2">
        <w:rPr>
          <w:rFonts w:hint="cs"/>
          <w:rtl/>
        </w:rPr>
        <w:t>)</w:t>
      </w:r>
      <w:r w:rsidRPr="005675B2">
        <w:rPr>
          <w:rFonts w:hint="cs"/>
          <w:rtl/>
        </w:rPr>
        <w:t>) ونحوها من الآيات</w:t>
      </w:r>
      <w:r w:rsidR="000636C2">
        <w:rPr>
          <w:rFonts w:hint="cs"/>
          <w:rtl/>
        </w:rPr>
        <w:t>،</w:t>
      </w:r>
      <w:r w:rsidRPr="005675B2">
        <w:rPr>
          <w:rFonts w:hint="cs"/>
          <w:rtl/>
        </w:rPr>
        <w:t>لأن الباء هنا للسببية لا للاستعانة والتوسط</w:t>
      </w:r>
      <w:r w:rsidR="000636C2">
        <w:rPr>
          <w:rFonts w:hint="cs"/>
          <w:rtl/>
        </w:rPr>
        <w:t>،</w:t>
      </w:r>
      <w:r w:rsidRPr="005675B2">
        <w:rPr>
          <w:rFonts w:hint="cs"/>
          <w:rtl/>
        </w:rPr>
        <w:t>والمرفوض عند الأشعرية هو كون الباء للوساطة أو الاستعانة</w:t>
      </w:r>
      <w:r w:rsidR="000636C2">
        <w:rPr>
          <w:rFonts w:hint="cs"/>
          <w:rtl/>
        </w:rPr>
        <w:t>،</w:t>
      </w:r>
      <w:r w:rsidRPr="005675B2">
        <w:rPr>
          <w:rFonts w:hint="cs"/>
          <w:rtl/>
        </w:rPr>
        <w:t>وهم بذلك يردون على من يستشهد بها على هذا المعنى</w:t>
      </w:r>
      <w:r w:rsidR="000636C2">
        <w:rPr>
          <w:rFonts w:hint="cs"/>
          <w:rtl/>
        </w:rPr>
        <w:t xml:space="preserve">، </w:t>
      </w:r>
      <w:r w:rsidRPr="005675B2">
        <w:rPr>
          <w:rFonts w:hint="cs"/>
          <w:rtl/>
        </w:rPr>
        <w:t>فأهل السنة والجماعة يقولون</w:t>
      </w:r>
      <w:r w:rsidR="000636C2">
        <w:rPr>
          <w:rFonts w:hint="cs"/>
          <w:rtl/>
        </w:rPr>
        <w:t>:</w:t>
      </w:r>
      <w:r w:rsidRPr="005675B2">
        <w:rPr>
          <w:rFonts w:hint="cs"/>
          <w:rtl/>
        </w:rPr>
        <w:t xml:space="preserve"> إنما أمره إذا أراد شيئاً قال له كن فيكون</w:t>
      </w:r>
      <w:r w:rsidR="000636C2">
        <w:rPr>
          <w:rFonts w:hint="cs"/>
          <w:rtl/>
        </w:rPr>
        <w:t>،</w:t>
      </w:r>
      <w:r w:rsidRPr="005675B2">
        <w:rPr>
          <w:rFonts w:hint="cs"/>
          <w:rtl/>
        </w:rPr>
        <w:t xml:space="preserve"> فيخلق الله الأشياء سواء وجدت الأسباب أم لم توجد</w:t>
      </w:r>
      <w:r w:rsidR="000636C2">
        <w:rPr>
          <w:rFonts w:hint="cs"/>
          <w:rtl/>
        </w:rPr>
        <w:t>،</w:t>
      </w:r>
      <w:r w:rsidRPr="005675B2">
        <w:rPr>
          <w:rFonts w:hint="cs"/>
          <w:rtl/>
        </w:rPr>
        <w:t xml:space="preserve"> فهو يخلق الأشياء عندها لا بها</w:t>
      </w:r>
      <w:r w:rsidR="000636C2">
        <w:rPr>
          <w:rFonts w:hint="cs"/>
          <w:rtl/>
        </w:rPr>
        <w:t>،</w:t>
      </w:r>
      <w:r w:rsidRPr="005675B2">
        <w:rPr>
          <w:rFonts w:hint="cs"/>
          <w:rtl/>
        </w:rPr>
        <w:t xml:space="preserve"> فهم ينفون احتياج الله للأسباب</w:t>
      </w:r>
      <w:r w:rsidR="000636C2">
        <w:rPr>
          <w:rFonts w:hint="cs"/>
          <w:rtl/>
        </w:rPr>
        <w:t>،</w:t>
      </w:r>
      <w:r w:rsidRPr="005675B2">
        <w:rPr>
          <w:rFonts w:hint="cs"/>
          <w:rtl/>
        </w:rPr>
        <w:t xml:space="preserve">أو أن تكون أفعاله متوقفة على وجودها، </w:t>
      </w:r>
      <w:r w:rsidRPr="005675B2">
        <w:rPr>
          <w:rFonts w:hint="cs"/>
          <w:u w:val="single"/>
          <w:rtl/>
        </w:rPr>
        <w:t>أو أن يستعين بها</w:t>
      </w:r>
      <w:r w:rsidR="000636C2">
        <w:rPr>
          <w:rFonts w:hint="cs"/>
          <w:u w:val="single"/>
          <w:rtl/>
        </w:rPr>
        <w:t>،</w:t>
      </w:r>
      <w:r w:rsidR="000636C2">
        <w:rPr>
          <w:rFonts w:hint="cs"/>
          <w:rtl/>
        </w:rPr>
        <w:t xml:space="preserve"> </w:t>
      </w:r>
      <w:r w:rsidRPr="005675B2">
        <w:rPr>
          <w:rFonts w:hint="cs"/>
          <w:rtl/>
        </w:rPr>
        <w:t>وقد اعترض على ذلك بالآيات التي فيها الباء وذكر أنها باء السببية كقوله تعالى (</w:t>
      </w:r>
      <w:r w:rsidR="000636C2">
        <w:rPr>
          <w:rFonts w:hint="cs"/>
          <w:rtl/>
        </w:rPr>
        <w:t>(</w:t>
      </w:r>
      <w:r w:rsidRPr="005675B2">
        <w:rPr>
          <w:rFonts w:hint="cs"/>
          <w:rtl/>
        </w:rPr>
        <w:t>فأحيا به الأرض بعد موتها</w:t>
      </w:r>
      <w:r w:rsidR="000636C2">
        <w:rPr>
          <w:rFonts w:hint="cs"/>
          <w:rtl/>
        </w:rPr>
        <w:t>)</w:t>
      </w:r>
      <w:r w:rsidRPr="005675B2">
        <w:rPr>
          <w:rFonts w:hint="cs"/>
          <w:rtl/>
        </w:rPr>
        <w:t>) و</w:t>
      </w:r>
      <w:r w:rsidR="000636C2">
        <w:rPr>
          <w:rFonts w:hint="cs"/>
          <w:rtl/>
        </w:rPr>
        <w:t>[</w:t>
      </w:r>
      <w:r>
        <w:rPr>
          <w:rFonts w:hint="cs"/>
          <w:rtl/>
        </w:rPr>
        <w:t>الجواب</w:t>
      </w:r>
      <w:r w:rsidR="000636C2">
        <w:rPr>
          <w:rFonts w:hint="cs"/>
          <w:rtl/>
        </w:rPr>
        <w:t>]:</w:t>
      </w:r>
      <w:r w:rsidRPr="005675B2">
        <w:rPr>
          <w:rFonts w:hint="cs"/>
          <w:rtl/>
        </w:rPr>
        <w:t xml:space="preserve"> أن مرد ذلك إلى مفهوم السببية كمسألة عقدية</w:t>
      </w:r>
      <w:r w:rsidR="000636C2">
        <w:rPr>
          <w:rFonts w:hint="cs"/>
          <w:rtl/>
        </w:rPr>
        <w:t>،</w:t>
      </w:r>
      <w:r w:rsidRPr="005675B2">
        <w:rPr>
          <w:rFonts w:hint="cs"/>
          <w:rtl/>
        </w:rPr>
        <w:t xml:space="preserve"> وليس إلى مجرد الألفاظ</w:t>
      </w:r>
      <w:r w:rsidR="000636C2">
        <w:rPr>
          <w:rFonts w:hint="cs"/>
          <w:rtl/>
        </w:rPr>
        <w:t>،</w:t>
      </w:r>
      <w:r w:rsidRPr="005675B2">
        <w:rPr>
          <w:rFonts w:hint="cs"/>
          <w:rtl/>
        </w:rPr>
        <w:t>فالأشاعرة لا</w:t>
      </w:r>
      <w:r w:rsidRPr="005675B2">
        <w:rPr>
          <w:rFonts w:hint="cs"/>
        </w:rPr>
        <w:t xml:space="preserve"> </w:t>
      </w:r>
      <w:r w:rsidRPr="005675B2">
        <w:rPr>
          <w:rFonts w:hint="cs"/>
          <w:rtl/>
        </w:rPr>
        <w:t>ينكرون الربط العادي والسببية العادية ككون الماء إذا صب على الشجر حصل الإنبات</w:t>
      </w:r>
      <w:r w:rsidRPr="005675B2">
        <w:rPr>
          <w:rFonts w:hint="cs"/>
        </w:rPr>
        <w:t xml:space="preserve"> </w:t>
      </w:r>
      <w:r w:rsidRPr="005675B2">
        <w:rPr>
          <w:rFonts w:hint="cs"/>
          <w:rtl/>
        </w:rPr>
        <w:t>عادة</w:t>
      </w:r>
      <w:r w:rsidR="000636C2">
        <w:rPr>
          <w:rFonts w:hint="cs"/>
          <w:rtl/>
        </w:rPr>
        <w:t>،</w:t>
      </w:r>
      <w:r w:rsidRPr="005675B2">
        <w:rPr>
          <w:rFonts w:hint="cs"/>
          <w:rtl/>
        </w:rPr>
        <w:t xml:space="preserve"> وإنما الإنكار منصب على التأثير باستقلال أو بمعاونة</w:t>
      </w:r>
      <w:r w:rsidR="000636C2">
        <w:rPr>
          <w:rFonts w:hint="cs"/>
          <w:rtl/>
        </w:rPr>
        <w:t>،</w:t>
      </w:r>
      <w:r w:rsidRPr="005675B2">
        <w:rPr>
          <w:rFonts w:hint="cs"/>
          <w:rtl/>
        </w:rPr>
        <w:t xml:space="preserve"> فمن يفهم من الباء في</w:t>
      </w:r>
      <w:r w:rsidRPr="005675B2">
        <w:rPr>
          <w:rFonts w:hint="cs"/>
        </w:rPr>
        <w:t xml:space="preserve"> </w:t>
      </w:r>
      <w:r w:rsidRPr="005675B2">
        <w:rPr>
          <w:rFonts w:hint="cs"/>
          <w:rtl/>
        </w:rPr>
        <w:t>الآيات دلالة الاستعانة أو وجود الوسائط وتوقف ذلك عليها</w:t>
      </w:r>
      <w:r w:rsidR="000636C2">
        <w:rPr>
          <w:rFonts w:hint="cs"/>
          <w:rtl/>
        </w:rPr>
        <w:t>،</w:t>
      </w:r>
      <w:r w:rsidRPr="005675B2">
        <w:rPr>
          <w:rFonts w:hint="cs"/>
          <w:rtl/>
        </w:rPr>
        <w:t xml:space="preserve">فهذا ضلال </w:t>
      </w:r>
      <w:r w:rsidRPr="005675B2">
        <w:rPr>
          <w:rFonts w:hint="cs"/>
          <w:u w:val="single"/>
          <w:rtl/>
        </w:rPr>
        <w:t>ومن يفهم منها السببية والربط العادي فلا شيء</w:t>
      </w:r>
      <w:r w:rsidRPr="005675B2">
        <w:rPr>
          <w:rFonts w:hint="cs"/>
          <w:u w:val="single"/>
        </w:rPr>
        <w:t xml:space="preserve"> </w:t>
      </w:r>
      <w:r w:rsidRPr="005675B2">
        <w:rPr>
          <w:rFonts w:hint="cs"/>
          <w:u w:val="single"/>
          <w:rtl/>
        </w:rPr>
        <w:t>عليه</w:t>
      </w:r>
      <w:r w:rsidR="000636C2">
        <w:rPr>
          <w:rFonts w:hint="cs"/>
          <w:u w:val="single"/>
          <w:rtl/>
        </w:rPr>
        <w:t>،</w:t>
      </w:r>
    </w:p>
    <w:p w14:paraId="14D6F760" w14:textId="58A60A26"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أيها القارىء الكريم</w:t>
      </w:r>
      <w:r w:rsidR="000636C2">
        <w:rPr>
          <w:rFonts w:hint="cs"/>
          <w:rtl/>
        </w:rPr>
        <w:t>:</w:t>
      </w:r>
      <w:r w:rsidRPr="005675B2">
        <w:rPr>
          <w:rFonts w:hint="cs"/>
          <w:rtl/>
        </w:rPr>
        <w:t xml:space="preserve"> إن في كتب التفسير عند الأشاعرة لا تجدهم يقولون</w:t>
      </w:r>
      <w:r w:rsidRPr="005675B2">
        <w:rPr>
          <w:rFonts w:hint="cs"/>
        </w:rPr>
        <w:t xml:space="preserve"> </w:t>
      </w:r>
      <w:r w:rsidRPr="005675B2">
        <w:rPr>
          <w:rFonts w:hint="cs"/>
          <w:rtl/>
        </w:rPr>
        <w:t>أن الباء لا يصح استعمالها على وجه السببية</w:t>
      </w:r>
      <w:r w:rsidR="000636C2">
        <w:rPr>
          <w:rFonts w:hint="cs"/>
          <w:rtl/>
        </w:rPr>
        <w:t>،</w:t>
      </w:r>
      <w:r w:rsidRPr="005675B2">
        <w:rPr>
          <w:rFonts w:hint="cs"/>
          <w:rtl/>
        </w:rPr>
        <w:t>كما يظن الكاتب وغيره</w:t>
      </w:r>
      <w:r w:rsidR="000636C2">
        <w:rPr>
          <w:rFonts w:hint="cs"/>
          <w:rtl/>
        </w:rPr>
        <w:t xml:space="preserve"> </w:t>
      </w:r>
      <w:r w:rsidRPr="005675B2">
        <w:rPr>
          <w:rFonts w:hint="cs"/>
          <w:u w:val="single"/>
          <w:rtl/>
        </w:rPr>
        <w:t>لأن هناك فرق واضح جلي بين أن تذكر هذه</w:t>
      </w:r>
      <w:r w:rsidRPr="005675B2">
        <w:rPr>
          <w:rFonts w:hint="cs"/>
          <w:u w:val="single"/>
        </w:rPr>
        <w:t xml:space="preserve"> </w:t>
      </w:r>
      <w:r w:rsidRPr="005675B2">
        <w:rPr>
          <w:rFonts w:hint="cs"/>
          <w:u w:val="single"/>
          <w:rtl/>
        </w:rPr>
        <w:t xml:space="preserve">المسألة في كتب العقائد التي ينصب البحث فيها عن مفهوم الفعل، والسبب، </w:t>
      </w:r>
      <w:r w:rsidRPr="005675B2">
        <w:rPr>
          <w:rFonts w:hint="cs"/>
          <w:rtl/>
        </w:rPr>
        <w:t>ونوع الترابط</w:t>
      </w:r>
      <w:r w:rsidRPr="005675B2">
        <w:rPr>
          <w:rFonts w:hint="cs"/>
        </w:rPr>
        <w:t xml:space="preserve"> </w:t>
      </w:r>
      <w:r w:rsidRPr="005675B2">
        <w:rPr>
          <w:rFonts w:hint="cs"/>
          <w:rtl/>
        </w:rPr>
        <w:t>بين السبب والمسبب</w:t>
      </w:r>
      <w:r w:rsidR="000636C2">
        <w:rPr>
          <w:rFonts w:hint="cs"/>
          <w:rtl/>
        </w:rPr>
        <w:t>،</w:t>
      </w:r>
      <w:r w:rsidRPr="005675B2">
        <w:rPr>
          <w:rFonts w:hint="cs"/>
          <w:rtl/>
        </w:rPr>
        <w:t>فهنا لابد من الاحتراز في المصطلحات</w:t>
      </w:r>
      <w:r w:rsidR="000636C2">
        <w:rPr>
          <w:rFonts w:hint="cs"/>
          <w:rtl/>
        </w:rPr>
        <w:t>،</w:t>
      </w:r>
      <w:r w:rsidRPr="005675B2">
        <w:rPr>
          <w:rFonts w:hint="cs"/>
          <w:rtl/>
        </w:rPr>
        <w:t>وبين أن تذكر المسألة</w:t>
      </w:r>
      <w:r w:rsidRPr="005675B2">
        <w:rPr>
          <w:rFonts w:hint="cs"/>
        </w:rPr>
        <w:t xml:space="preserve"> </w:t>
      </w:r>
      <w:r w:rsidRPr="005675B2">
        <w:rPr>
          <w:rFonts w:hint="cs"/>
          <w:rtl/>
        </w:rPr>
        <w:t>على جهة التسبب لا الاستعانة في مواطن أخرى</w:t>
      </w:r>
      <w:r w:rsidR="000636C2">
        <w:rPr>
          <w:rFonts w:hint="cs"/>
          <w:rtl/>
        </w:rPr>
        <w:t>،</w:t>
      </w:r>
      <w:r w:rsidRPr="005675B2">
        <w:rPr>
          <w:rFonts w:hint="cs"/>
          <w:rtl/>
        </w:rPr>
        <w:t xml:space="preserve"> </w:t>
      </w:r>
      <w:r w:rsidRPr="005675B2">
        <w:br/>
      </w:r>
      <w:r w:rsidR="000636C2">
        <w:rPr>
          <w:rtl/>
        </w:rPr>
        <w:t xml:space="preserve"> </w:t>
      </w:r>
      <w:r w:rsidRPr="005675B2">
        <w:rPr>
          <w:rFonts w:hint="cs"/>
          <w:rtl/>
        </w:rPr>
        <w:t>- ولذا فإنما وقع الخلل حينما قال</w:t>
      </w:r>
      <w:r w:rsidRPr="005675B2">
        <w:rPr>
          <w:rFonts w:hint="cs"/>
        </w:rPr>
        <w:t xml:space="preserve"> </w:t>
      </w:r>
      <w:r w:rsidRPr="005675B2">
        <w:rPr>
          <w:rFonts w:hint="cs"/>
          <w:rtl/>
        </w:rPr>
        <w:t>بعضهم كالإمام ابن تيمية</w:t>
      </w:r>
      <w:r w:rsidR="000636C2">
        <w:rPr>
          <w:rFonts w:hint="cs"/>
          <w:rtl/>
        </w:rPr>
        <w:t>:</w:t>
      </w:r>
      <w:r w:rsidRPr="005675B2">
        <w:rPr>
          <w:rFonts w:hint="cs"/>
          <w:rtl/>
        </w:rPr>
        <w:t>أن الله يخلق الأشياء بالأسباب لا كما يقول أتباع جهم أنه يفعل</w:t>
      </w:r>
      <w:r w:rsidRPr="005675B2">
        <w:rPr>
          <w:rFonts w:hint="cs"/>
        </w:rPr>
        <w:t xml:space="preserve"> </w:t>
      </w:r>
      <w:r w:rsidRPr="005675B2">
        <w:rPr>
          <w:rFonts w:hint="cs"/>
          <w:rtl/>
        </w:rPr>
        <w:t>عندها لابها</w:t>
      </w:r>
      <w:r w:rsidR="000636C2">
        <w:rPr>
          <w:rFonts w:hint="cs"/>
          <w:rtl/>
        </w:rPr>
        <w:t>،</w:t>
      </w:r>
      <w:r w:rsidRPr="005675B2">
        <w:rPr>
          <w:rFonts w:hint="cs"/>
          <w:rtl/>
        </w:rPr>
        <w:t xml:space="preserve"> أ</w:t>
      </w:r>
      <w:r w:rsidR="000636C2">
        <w:rPr>
          <w:rFonts w:hint="cs"/>
          <w:rtl/>
        </w:rPr>
        <w:t xml:space="preserve"> </w:t>
      </w:r>
      <w:r w:rsidRPr="005675B2">
        <w:rPr>
          <w:rFonts w:hint="cs"/>
          <w:rtl/>
        </w:rPr>
        <w:t>- ه</w:t>
      </w:r>
      <w:r w:rsidR="000636C2">
        <w:rPr>
          <w:rFonts w:hint="cs"/>
          <w:rtl/>
        </w:rPr>
        <w:t xml:space="preserve"> </w:t>
      </w:r>
      <w:r w:rsidRPr="005675B2">
        <w:rPr>
          <w:rFonts w:hint="cs"/>
          <w:rtl/>
        </w:rPr>
        <w:t>- مج الفتاوي 8/486</w:t>
      </w:r>
      <w:r w:rsidR="000636C2">
        <w:rPr>
          <w:rFonts w:hint="cs"/>
          <w:rtl/>
          <w:lang w:bidi="ar-KW"/>
        </w:rPr>
        <w:t>،</w:t>
      </w:r>
      <w:r>
        <w:rPr>
          <w:rFonts w:hint="cs"/>
          <w:rtl/>
          <w:lang w:bidi="ar-KW"/>
        </w:rPr>
        <w:t xml:space="preserve"> </w:t>
      </w:r>
      <w:r w:rsidRPr="005675B2">
        <w:rPr>
          <w:rFonts w:hint="cs"/>
          <w:rtl/>
        </w:rPr>
        <w:t>فأنت</w:t>
      </w:r>
      <w:r w:rsidRPr="005675B2">
        <w:rPr>
          <w:rFonts w:hint="cs"/>
        </w:rPr>
        <w:t xml:space="preserve"> </w:t>
      </w:r>
      <w:r w:rsidRPr="005675B2">
        <w:rPr>
          <w:rFonts w:hint="cs"/>
          <w:rtl/>
        </w:rPr>
        <w:t>تراه غفر الله له</w:t>
      </w:r>
      <w:r w:rsidR="000636C2">
        <w:rPr>
          <w:rFonts w:hint="cs"/>
          <w:rtl/>
        </w:rPr>
        <w:t xml:space="preserve"> </w:t>
      </w:r>
      <w:r w:rsidRPr="005675B2">
        <w:rPr>
          <w:rFonts w:hint="cs"/>
          <w:rtl/>
        </w:rPr>
        <w:t>يتكلم في معرض البحث العقدي</w:t>
      </w:r>
      <w:r w:rsidR="000636C2">
        <w:rPr>
          <w:rFonts w:hint="cs"/>
          <w:rtl/>
        </w:rPr>
        <w:t>،</w:t>
      </w:r>
      <w:r w:rsidRPr="005675B2">
        <w:rPr>
          <w:rFonts w:hint="cs"/>
          <w:rtl/>
        </w:rPr>
        <w:t>وهو يعلم أن الأشاعرة ينكرون استعانة الله</w:t>
      </w:r>
      <w:r w:rsidRPr="005675B2">
        <w:rPr>
          <w:rFonts w:hint="cs"/>
        </w:rPr>
        <w:t xml:space="preserve"> </w:t>
      </w:r>
      <w:r w:rsidRPr="005675B2">
        <w:rPr>
          <w:rFonts w:hint="cs"/>
          <w:rtl/>
        </w:rPr>
        <w:t>بخلقه</w:t>
      </w:r>
      <w:r w:rsidR="000636C2">
        <w:rPr>
          <w:rFonts w:hint="cs"/>
          <w:rtl/>
        </w:rPr>
        <w:t>،</w:t>
      </w:r>
      <w:r w:rsidRPr="005675B2">
        <w:rPr>
          <w:rFonts w:hint="cs"/>
          <w:rtl/>
        </w:rPr>
        <w:t xml:space="preserve"> وأنهم كانوا يردون على المخالفين</w:t>
      </w:r>
      <w:r w:rsidRPr="005675B2">
        <w:rPr>
          <w:rFonts w:hint="cs"/>
        </w:rPr>
        <w:t xml:space="preserve"> </w:t>
      </w:r>
      <w:r w:rsidRPr="005675B2">
        <w:rPr>
          <w:rFonts w:hint="cs"/>
          <w:rtl/>
        </w:rPr>
        <w:t>القائلين بأن الله يخلق بواسطة</w:t>
      </w:r>
      <w:r w:rsidR="000636C2">
        <w:rPr>
          <w:rFonts w:hint="cs"/>
          <w:rtl/>
        </w:rPr>
        <w:t>،</w:t>
      </w:r>
      <w:r w:rsidRPr="005675B2">
        <w:rPr>
          <w:rFonts w:hint="cs"/>
          <w:rtl/>
        </w:rPr>
        <w:t xml:space="preserve"> فيعترض مثل هذا الاعتراض</w:t>
      </w:r>
      <w:r w:rsidRPr="005675B2">
        <w:rPr>
          <w:rFonts w:hint="cs"/>
        </w:rPr>
        <w:t xml:space="preserve"> </w:t>
      </w:r>
      <w:r w:rsidRPr="005675B2">
        <w:rPr>
          <w:rFonts w:hint="cs"/>
          <w:rtl/>
        </w:rPr>
        <w:t>الذي يعلم كل منصف أنه اعتراض في غيرمكانه</w:t>
      </w:r>
      <w:r w:rsidR="000636C2">
        <w:rPr>
          <w:rFonts w:hint="cs"/>
          <w:rtl/>
        </w:rPr>
        <w:t xml:space="preserve">، </w:t>
      </w:r>
      <w:r w:rsidRPr="005675B2">
        <w:rPr>
          <w:rFonts w:hint="cs"/>
          <w:rtl/>
        </w:rPr>
        <w:t>أخيراً</w:t>
      </w:r>
      <w:r w:rsidR="000636C2">
        <w:rPr>
          <w:rFonts w:hint="cs"/>
          <w:rtl/>
        </w:rPr>
        <w:t>:</w:t>
      </w:r>
      <w:r w:rsidRPr="005675B2">
        <w:rPr>
          <w:rFonts w:hint="cs"/>
          <w:rtl/>
        </w:rPr>
        <w:t xml:space="preserve"> فنعم يجوز أن يستخدم الشخص اللفظ الوارد في القرآن على</w:t>
      </w:r>
      <w:r w:rsidRPr="005675B2">
        <w:rPr>
          <w:rFonts w:hint="cs"/>
        </w:rPr>
        <w:t xml:space="preserve"> </w:t>
      </w:r>
      <w:r w:rsidRPr="005675B2">
        <w:rPr>
          <w:rFonts w:hint="cs"/>
          <w:rtl/>
        </w:rPr>
        <w:t>نفس المعنى المقصود في القرآن</w:t>
      </w:r>
      <w:r w:rsidR="000636C2">
        <w:rPr>
          <w:rFonts w:hint="cs"/>
          <w:rtl/>
        </w:rPr>
        <w:t>،</w:t>
      </w:r>
      <w:r w:rsidRPr="005675B2">
        <w:rPr>
          <w:rFonts w:hint="cs"/>
          <w:rtl/>
        </w:rPr>
        <w:t>لأن المعنى المقصود في القرآن</w:t>
      </w:r>
      <w:r w:rsidRPr="005675B2">
        <w:rPr>
          <w:rFonts w:hint="cs"/>
        </w:rPr>
        <w:t xml:space="preserve"> </w:t>
      </w:r>
      <w:r w:rsidRPr="005675B2">
        <w:rPr>
          <w:rFonts w:hint="cs"/>
          <w:rtl/>
        </w:rPr>
        <w:t>على معتقدالأشاعرة</w:t>
      </w:r>
      <w:r w:rsidR="000636C2">
        <w:rPr>
          <w:rFonts w:hint="cs"/>
          <w:rtl/>
        </w:rPr>
        <w:t xml:space="preserve"> </w:t>
      </w:r>
      <w:r w:rsidRPr="005675B2">
        <w:rPr>
          <w:rFonts w:hint="cs"/>
          <w:rtl/>
        </w:rPr>
        <w:t>إنما هو مجرد الربط العادي بلا تأثير بل على وجه السببية فقط</w:t>
      </w:r>
      <w:r w:rsidR="000636C2">
        <w:rPr>
          <w:rFonts w:hint="cs"/>
          <w:rtl/>
        </w:rPr>
        <w:t>،</w:t>
      </w:r>
      <w:r w:rsidRPr="005675B2">
        <w:rPr>
          <w:rFonts w:hint="cs"/>
          <w:rtl/>
        </w:rPr>
        <w:t xml:space="preserve"> وليس</w:t>
      </w:r>
      <w:r w:rsidRPr="005675B2">
        <w:rPr>
          <w:rFonts w:hint="cs"/>
        </w:rPr>
        <w:t xml:space="preserve"> </w:t>
      </w:r>
      <w:r w:rsidRPr="005675B2">
        <w:rPr>
          <w:rFonts w:hint="cs"/>
          <w:rtl/>
        </w:rPr>
        <w:t>الاستعانة ولا الوساطة</w:t>
      </w:r>
      <w:r w:rsidRPr="005675B2">
        <w:rPr>
          <w:rFonts w:hint="cs"/>
        </w:rPr>
        <w:t xml:space="preserve"> </w:t>
      </w:r>
      <w:r w:rsidRPr="005675B2">
        <w:rPr>
          <w:rFonts w:hint="cs"/>
          <w:rtl/>
        </w:rPr>
        <w:t>ومن رجع إلى تفاسير القرآن التي كتبها الأشاعرة</w:t>
      </w:r>
      <w:r w:rsidR="000636C2">
        <w:rPr>
          <w:rFonts w:hint="cs"/>
          <w:rtl/>
        </w:rPr>
        <w:t>،</w:t>
      </w:r>
      <w:r w:rsidRPr="005675B2">
        <w:rPr>
          <w:rFonts w:hint="cs"/>
          <w:rtl/>
        </w:rPr>
        <w:t>وهي أكثر التفاسير لوجد ذلك جلياً</w:t>
      </w:r>
      <w:r w:rsidR="000636C2">
        <w:rPr>
          <w:rFonts w:hint="cs"/>
          <w:rtl/>
        </w:rPr>
        <w:t>،</w:t>
      </w:r>
      <w:r w:rsidRPr="005675B2">
        <w:rPr>
          <w:rFonts w:hint="cs"/>
          <w:rtl/>
        </w:rPr>
        <w:t>ووجد أن من يدعي أنهم ينكرون العمل بالأسباب هو ادعاء باطل لاصحة له</w:t>
      </w:r>
      <w:r w:rsidR="000636C2">
        <w:rPr>
          <w:rFonts w:hint="cs"/>
          <w:rtl/>
        </w:rPr>
        <w:t>،</w:t>
      </w:r>
      <w:r w:rsidRPr="005675B2">
        <w:rPr>
          <w:rFonts w:hint="cs"/>
          <w:rtl/>
        </w:rPr>
        <w:t xml:space="preserve"> قال</w:t>
      </w:r>
      <w:r w:rsidR="000636C2">
        <w:rPr>
          <w:rFonts w:hint="cs"/>
          <w:rtl/>
        </w:rPr>
        <w:t>:</w:t>
      </w:r>
      <w:r w:rsidRPr="005675B2">
        <w:rPr>
          <w:rFonts w:hint="cs"/>
          <w:rtl/>
        </w:rPr>
        <w:t xml:space="preserve"> أبو حيان في تفسيره البحر المحيط {فأخرج به}</w:t>
      </w:r>
      <w:r w:rsidR="000636C2">
        <w:rPr>
          <w:rFonts w:hint="cs"/>
          <w:rtl/>
        </w:rPr>
        <w:t>:</w:t>
      </w:r>
      <w:r w:rsidRPr="005675B2">
        <w:rPr>
          <w:rFonts w:hint="cs"/>
          <w:rtl/>
        </w:rPr>
        <w:t xml:space="preserve"> والهاء في به عائدة إلى الماء</w:t>
      </w:r>
      <w:r w:rsidR="000636C2">
        <w:rPr>
          <w:rFonts w:hint="cs"/>
          <w:rtl/>
        </w:rPr>
        <w:t>،</w:t>
      </w:r>
      <w:r w:rsidRPr="005675B2">
        <w:rPr>
          <w:rFonts w:hint="cs"/>
          <w:rtl/>
        </w:rPr>
        <w:t xml:space="preserve"> والباء معناها </w:t>
      </w:r>
      <w:r w:rsidRPr="005675B2">
        <w:rPr>
          <w:rStyle w:val="highlight"/>
          <w:rFonts w:hint="cs"/>
          <w:rtl/>
        </w:rPr>
        <w:t>السببية</w:t>
      </w:r>
      <w:r w:rsidR="000636C2">
        <w:rPr>
          <w:rFonts w:hint="cs"/>
          <w:rtl/>
        </w:rPr>
        <w:t>،</w:t>
      </w:r>
      <w:r w:rsidRPr="005675B2">
        <w:rPr>
          <w:rFonts w:hint="cs"/>
          <w:rtl/>
        </w:rPr>
        <w:t xml:space="preserve"> </w:t>
      </w:r>
      <w:r w:rsidRPr="005675B2">
        <w:rPr>
          <w:rFonts w:hint="cs"/>
          <w:u w:val="single"/>
          <w:rtl/>
        </w:rPr>
        <w:t>فالماء سبب للخروج</w:t>
      </w:r>
      <w:r w:rsidR="000636C2">
        <w:rPr>
          <w:rFonts w:hint="cs"/>
          <w:rtl/>
        </w:rPr>
        <w:t>،</w:t>
      </w:r>
      <w:r w:rsidRPr="005675B2">
        <w:rPr>
          <w:rFonts w:hint="cs"/>
          <w:rtl/>
        </w:rPr>
        <w:t xml:space="preserve"> كما أن ماء الفحل سبب في خلق الولد</w:t>
      </w:r>
      <w:r w:rsidR="000636C2">
        <w:rPr>
          <w:rFonts w:hint="cs"/>
          <w:rtl/>
        </w:rPr>
        <w:t>،</w:t>
      </w:r>
      <w:r w:rsidRPr="005675B2">
        <w:rPr>
          <w:rFonts w:hint="cs"/>
          <w:rtl/>
        </w:rPr>
        <w:t xml:space="preserve"> وهذه </w:t>
      </w:r>
      <w:r w:rsidRPr="005675B2">
        <w:rPr>
          <w:rStyle w:val="highlight"/>
          <w:rFonts w:hint="cs"/>
          <w:rtl/>
        </w:rPr>
        <w:t>السببية</w:t>
      </w:r>
      <w:r w:rsidRPr="005675B2">
        <w:rPr>
          <w:rFonts w:hint="cs"/>
          <w:rtl/>
        </w:rPr>
        <w:t xml:space="preserve"> مجاز</w:t>
      </w:r>
      <w:r w:rsidR="000636C2">
        <w:rPr>
          <w:rFonts w:hint="cs"/>
          <w:rtl/>
        </w:rPr>
        <w:t>،</w:t>
      </w:r>
      <w:r w:rsidRPr="005675B2">
        <w:rPr>
          <w:rFonts w:hint="cs"/>
          <w:rtl/>
        </w:rPr>
        <w:t xml:space="preserve"> إذ الباري تعالى قادر على أن ينشيء الأجناس</w:t>
      </w:r>
      <w:r w:rsidR="000636C2">
        <w:rPr>
          <w:rFonts w:hint="cs"/>
          <w:rtl/>
        </w:rPr>
        <w:t>،</w:t>
      </w:r>
      <w:r w:rsidRPr="005675B2">
        <w:rPr>
          <w:rFonts w:hint="cs"/>
          <w:rtl/>
        </w:rPr>
        <w:t xml:space="preserve"> وقد أنشأ من غير مادة ولا سبب</w:t>
      </w:r>
      <w:r w:rsidR="000636C2">
        <w:rPr>
          <w:rFonts w:hint="cs"/>
          <w:rtl/>
        </w:rPr>
        <w:t>،</w:t>
      </w:r>
      <w:r w:rsidRPr="005675B2">
        <w:rPr>
          <w:rFonts w:hint="cs"/>
          <w:rtl/>
        </w:rPr>
        <w:t xml:space="preserve"> ولكنه تعالى لما أوجد خلقه في بعض الأشياء عند أمر ما</w:t>
      </w:r>
      <w:r w:rsidR="000636C2">
        <w:rPr>
          <w:rFonts w:hint="cs"/>
          <w:rtl/>
        </w:rPr>
        <w:t>،</w:t>
      </w:r>
      <w:r w:rsidRPr="005675B2">
        <w:rPr>
          <w:rFonts w:hint="cs"/>
          <w:rtl/>
        </w:rPr>
        <w:t xml:space="preserve"> أجرى ذلك الأمر مجرى السبب لا أنه سبب حقيقيّ</w:t>
      </w:r>
      <w:r w:rsidR="000636C2">
        <w:rPr>
          <w:rFonts w:hint="cs"/>
          <w:rtl/>
        </w:rPr>
        <w:t>،</w:t>
      </w:r>
      <w:r w:rsidRPr="005675B2">
        <w:rPr>
          <w:rFonts w:hint="cs"/>
          <w:rtl/>
        </w:rPr>
        <w:t xml:space="preserve"> ولله تعالى في إنشاء الأمور منتقلة من حال إلى حال حكم يستنصر بها</w:t>
      </w:r>
      <w:r w:rsidR="000636C2">
        <w:rPr>
          <w:rFonts w:hint="cs"/>
          <w:rtl/>
        </w:rPr>
        <w:t>،</w:t>
      </w:r>
      <w:r w:rsidRPr="005675B2">
        <w:rPr>
          <w:rFonts w:hint="cs"/>
          <w:rtl/>
        </w:rPr>
        <w:t xml:space="preserve"> لم يكن في إنشائها دفعة واحدة من غير انتقال أطوار</w:t>
      </w:r>
      <w:r w:rsidR="000636C2">
        <w:rPr>
          <w:rFonts w:hint="cs"/>
          <w:rtl/>
        </w:rPr>
        <w:t>،</w:t>
      </w:r>
      <w:r w:rsidRPr="005675B2">
        <w:rPr>
          <w:rFonts w:hint="cs"/>
          <w:rtl/>
        </w:rPr>
        <w:t xml:space="preserve"> لأن في كل طور مشاهدة أمر من عجيب التنقل وغريب التدريج تزيد المتأمل تعظيماً للباري</w:t>
      </w:r>
      <w:r w:rsidR="000636C2">
        <w:rPr>
          <w:rFonts w:hint="cs"/>
          <w:rtl/>
        </w:rPr>
        <w:t>،</w:t>
      </w:r>
      <w:r>
        <w:rPr>
          <w:rFonts w:hint="cs"/>
          <w:rtl/>
        </w:rPr>
        <w:t xml:space="preserve"> </w:t>
      </w:r>
      <w:r w:rsidRPr="005675B2">
        <w:rPr>
          <w:rFonts w:hint="cs"/>
          <w:rtl/>
        </w:rPr>
        <w:t>وقال</w:t>
      </w:r>
      <w:r w:rsidR="000636C2">
        <w:rPr>
          <w:rFonts w:hint="cs"/>
          <w:rtl/>
        </w:rPr>
        <w:t>:</w:t>
      </w:r>
      <w:r w:rsidRPr="005675B2">
        <w:rPr>
          <w:rFonts w:hint="cs"/>
          <w:rtl/>
        </w:rPr>
        <w:t>أبوحيان في تفسيره عندقوله تعالى {فأخذتهم الرّجفة فأصبحوا في دارهم جاثمين</w:t>
      </w:r>
      <w:r w:rsidR="000636C2">
        <w:rPr>
          <w:rFonts w:hint="cs"/>
          <w:rtl/>
        </w:rPr>
        <w:t>}،</w:t>
      </w:r>
      <w:r>
        <w:rPr>
          <w:rFonts w:hint="cs"/>
          <w:rtl/>
        </w:rPr>
        <w:t xml:space="preserve"> </w:t>
      </w:r>
      <w:r w:rsidRPr="005675B2">
        <w:rPr>
          <w:rFonts w:hint="cs"/>
          <w:rtl/>
        </w:rPr>
        <w:t>وأما {فأهلكوا بالطاغية</w:t>
      </w:r>
      <w:r w:rsidR="000636C2">
        <w:rPr>
          <w:rFonts w:hint="cs"/>
          <w:rtl/>
        </w:rPr>
        <w:t>}</w:t>
      </w:r>
      <w:r w:rsidRPr="005675B2">
        <w:rPr>
          <w:rFonts w:hint="cs"/>
          <w:rtl/>
        </w:rPr>
        <w:t xml:space="preserve"> فالباء فيه للسببية أي أهلكوا بالفعلة الطاغية وهي الكفر أو عقر الناقة والطاغية من طغى إذا تجاوز الحدّ وغلب ومنه تسمية الملك والعاتي بالطاغية وقوله</w:t>
      </w:r>
      <w:r>
        <w:rPr>
          <w:rFonts w:hint="cs"/>
          <w:i/>
          <w:iCs/>
          <w:rtl/>
        </w:rPr>
        <w:t xml:space="preserve"> </w:t>
      </w:r>
      <w:r w:rsidR="000636C2">
        <w:rPr>
          <w:rFonts w:hint="cs"/>
          <w:rtl/>
        </w:rPr>
        <w:t>{</w:t>
      </w:r>
      <w:r w:rsidRPr="005675B2">
        <w:rPr>
          <w:rFonts w:hint="cs"/>
          <w:rtl/>
        </w:rPr>
        <w:t>إنا لما طغى الماء</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w:t>
      </w:r>
      <w:r w:rsidR="000636C2">
        <w:rPr>
          <w:rFonts w:hint="cs"/>
          <w:rtl/>
        </w:rPr>
        <w:t>{</w:t>
      </w:r>
      <w:r w:rsidRPr="005675B2">
        <w:rPr>
          <w:rFonts w:hint="cs"/>
          <w:rtl/>
        </w:rPr>
        <w:t>كذبت ثمود بطغواها</w:t>
      </w:r>
      <w:r w:rsidR="000636C2">
        <w:rPr>
          <w:rFonts w:hint="cs"/>
          <w:rtl/>
        </w:rPr>
        <w:t>}</w:t>
      </w:r>
      <w:r w:rsidRPr="005675B2">
        <w:rPr>
          <w:rFonts w:hint="cs"/>
          <w:rtl/>
        </w:rPr>
        <w:t xml:space="preserve"> </w:t>
      </w:r>
      <w:r w:rsidRPr="005675B2">
        <w:rPr>
          <w:rFonts w:hint="cs"/>
          <w:u w:val="single"/>
          <w:rtl/>
        </w:rPr>
        <w:t>أي بسبب</w:t>
      </w:r>
      <w:r w:rsidRPr="005675B2">
        <w:rPr>
          <w:rFonts w:hint="cs"/>
          <w:rtl/>
        </w:rPr>
        <w:t xml:space="preserve"> طغيانها حصل تكذيبهم ويمكن أن يراد بالطاغية الرّجفة أو الصّيحة لتجاوز كل منهما الحدّ</w:t>
      </w:r>
      <w:r w:rsidR="000636C2">
        <w:rPr>
          <w:rFonts w:hint="cs"/>
          <w:rtl/>
        </w:rPr>
        <w:t>،</w:t>
      </w:r>
      <w:r w:rsidRPr="005675B2">
        <w:rPr>
          <w:rFonts w:hint="cs"/>
          <w:rtl/>
        </w:rPr>
        <w:t xml:space="preserve"> انتهى كلامه رحمه </w:t>
      </w:r>
      <w:r w:rsidRPr="005675B2">
        <w:rPr>
          <w:rFonts w:hint="cs"/>
          <w:sz w:val="24"/>
          <w:szCs w:val="24"/>
          <w:rtl/>
        </w:rPr>
        <w:t xml:space="preserve">الله </w:t>
      </w:r>
      <w:r w:rsidR="000636C2">
        <w:rPr>
          <w:rFonts w:hint="cs"/>
          <w:sz w:val="24"/>
          <w:szCs w:val="24"/>
          <w:rtl/>
        </w:rPr>
        <w:t>[</w:t>
      </w:r>
      <w:r w:rsidRPr="005675B2">
        <w:rPr>
          <w:rFonts w:hint="cs"/>
          <w:bCs/>
          <w:sz w:val="24"/>
          <w:szCs w:val="24"/>
          <w:rtl/>
        </w:rPr>
        <w:t>تفسير البحر المحيط (5/385)</w:t>
      </w:r>
      <w:r w:rsidRPr="005675B2">
        <w:rPr>
          <w:rFonts w:hint="cs"/>
          <w:sz w:val="24"/>
          <w:szCs w:val="24"/>
          <w:rtl/>
        </w:rPr>
        <w:t>]</w:t>
      </w:r>
      <w:r w:rsidR="000636C2">
        <w:rPr>
          <w:rFonts w:hint="cs"/>
          <w:sz w:val="24"/>
          <w:szCs w:val="24"/>
          <w:rtl/>
        </w:rPr>
        <w:t>،</w:t>
      </w:r>
      <w:r>
        <w:rPr>
          <w:rFonts w:hint="cs"/>
          <w:sz w:val="24"/>
          <w:szCs w:val="24"/>
          <w:rtl/>
        </w:rPr>
        <w:t xml:space="preserve"> </w:t>
      </w:r>
      <w:r w:rsidRPr="005675B2">
        <w:rPr>
          <w:rFonts w:hint="cs"/>
          <w:rtl/>
        </w:rPr>
        <w:t>إذن</w:t>
      </w:r>
      <w:r w:rsidR="000636C2">
        <w:rPr>
          <w:rFonts w:hint="cs"/>
          <w:rtl/>
        </w:rPr>
        <w:t>:</w:t>
      </w:r>
      <w:r w:rsidRPr="005675B2">
        <w:rPr>
          <w:rFonts w:hint="cs"/>
          <w:rtl/>
        </w:rPr>
        <w:t xml:space="preserve"> كل ما ينكر عليهم دعاوى زائفة، تقطع عن موارها</w:t>
      </w:r>
      <w:r w:rsidR="000636C2">
        <w:rPr>
          <w:rFonts w:hint="cs"/>
          <w:rtl/>
        </w:rPr>
        <w:t>،</w:t>
      </w:r>
      <w:r w:rsidRPr="005675B2">
        <w:rPr>
          <w:rFonts w:hint="cs"/>
          <w:rtl/>
        </w:rPr>
        <w:t xml:space="preserve"> وعن أسبابها</w:t>
      </w:r>
      <w:r w:rsidR="000636C2">
        <w:rPr>
          <w:rFonts w:hint="cs"/>
          <w:rtl/>
        </w:rPr>
        <w:t>،</w:t>
      </w:r>
      <w:r w:rsidRPr="005675B2">
        <w:rPr>
          <w:rFonts w:hint="cs"/>
          <w:rtl/>
        </w:rPr>
        <w:t xml:space="preserve"> وعن سياقها،وسباقها</w:t>
      </w:r>
      <w:r w:rsidR="000636C2">
        <w:rPr>
          <w:rFonts w:hint="cs"/>
          <w:rtl/>
        </w:rPr>
        <w:t>،</w:t>
      </w:r>
    </w:p>
    <w:p w14:paraId="15DCC85D" w14:textId="4592B102"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معتقد طوائف أهل السنة ومنهم الحنابلة</w:t>
      </w:r>
      <w:r w:rsidR="000636C2">
        <w:rPr>
          <w:rFonts w:hint="cs"/>
          <w:rtl/>
        </w:rPr>
        <w:t>:</w:t>
      </w:r>
      <w:r w:rsidRPr="005675B2">
        <w:rPr>
          <w:rFonts w:hint="cs"/>
          <w:rtl/>
        </w:rPr>
        <w:t>أن السبب</w:t>
      </w:r>
      <w:r w:rsidR="000636C2">
        <w:rPr>
          <w:rFonts w:hint="cs"/>
          <w:rtl/>
        </w:rPr>
        <w:t xml:space="preserve"> </w:t>
      </w:r>
      <w:r w:rsidRPr="005675B2">
        <w:rPr>
          <w:rFonts w:hint="cs"/>
          <w:rtl/>
        </w:rPr>
        <w:t>معرف لا مؤثر</w:t>
      </w:r>
      <w:r w:rsidR="000636C2">
        <w:rPr>
          <w:rFonts w:hint="cs"/>
          <w:rtl/>
        </w:rPr>
        <w:t>،</w:t>
      </w:r>
      <w:r w:rsidRPr="005675B2">
        <w:rPr>
          <w:rFonts w:hint="cs"/>
          <w:rtl/>
        </w:rPr>
        <w:t>وهذا</w:t>
      </w:r>
      <w:r w:rsidRPr="005675B2">
        <w:rPr>
          <w:rFonts w:hint="cs"/>
        </w:rPr>
        <w:t xml:space="preserve"> </w:t>
      </w:r>
      <w:r w:rsidRPr="005675B2">
        <w:rPr>
          <w:rFonts w:hint="cs"/>
          <w:rtl/>
        </w:rPr>
        <w:t>يبحث في العقيدة وأصول الفقه</w:t>
      </w:r>
      <w:r w:rsidR="000636C2">
        <w:rPr>
          <w:rFonts w:hint="cs"/>
          <w:rtl/>
        </w:rPr>
        <w:t>،</w:t>
      </w:r>
      <w:r w:rsidRPr="005675B2">
        <w:rPr>
          <w:rFonts w:hint="cs"/>
          <w:rtl/>
        </w:rPr>
        <w:t>بخلاف الإمام ابن تيمية فقد خالف مذهب الحنابلة</w:t>
      </w:r>
      <w:r w:rsidR="000636C2">
        <w:rPr>
          <w:rFonts w:hint="cs"/>
          <w:rtl/>
        </w:rPr>
        <w:t xml:space="preserve"> </w:t>
      </w:r>
      <w:r w:rsidRPr="005675B2">
        <w:rPr>
          <w:rFonts w:hint="cs"/>
          <w:rtl/>
        </w:rPr>
        <w:t>وسائر أهل</w:t>
      </w:r>
      <w:r w:rsidRPr="005675B2">
        <w:rPr>
          <w:rFonts w:hint="cs"/>
        </w:rPr>
        <w:t xml:space="preserve"> </w:t>
      </w:r>
      <w:r w:rsidRPr="005675B2">
        <w:rPr>
          <w:rFonts w:hint="cs"/>
          <w:rtl/>
        </w:rPr>
        <w:t>السنة فقال</w:t>
      </w:r>
      <w:r w:rsidR="000636C2">
        <w:rPr>
          <w:rFonts w:hint="cs"/>
          <w:rtl/>
        </w:rPr>
        <w:t>:</w:t>
      </w:r>
      <w:r w:rsidRPr="005675B2">
        <w:rPr>
          <w:rFonts w:hint="cs"/>
          <w:rtl/>
        </w:rPr>
        <w:t xml:space="preserve"> أنه مؤثر كما في مج الفتاوى 8/ 485</w:t>
      </w:r>
      <w:r w:rsidR="000636C2">
        <w:rPr>
          <w:rFonts w:hint="cs"/>
          <w:rtl/>
        </w:rPr>
        <w:t>،</w:t>
      </w:r>
      <w:r w:rsidRPr="005675B2">
        <w:rPr>
          <w:rFonts w:hint="cs"/>
          <w:rtl/>
        </w:rPr>
        <w:t xml:space="preserve"> أما الحنابلة فقال الإمام يوسف بن عبدالهادي الحنبلي </w:t>
      </w:r>
      <w:r w:rsidR="000636C2">
        <w:rPr>
          <w:rFonts w:hint="cs"/>
          <w:rtl/>
        </w:rPr>
        <w:t>(</w:t>
      </w:r>
      <w:r w:rsidRPr="005675B2">
        <w:rPr>
          <w:rFonts w:hint="cs"/>
          <w:rtl/>
        </w:rPr>
        <w:t>ابن مبرد</w:t>
      </w:r>
      <w:r w:rsidR="000636C2">
        <w:rPr>
          <w:rFonts w:hint="cs"/>
          <w:rtl/>
        </w:rPr>
        <w:t>):</w:t>
      </w:r>
      <w:r w:rsidRPr="005675B2">
        <w:rPr>
          <w:rFonts w:hint="cs"/>
          <w:rtl/>
        </w:rPr>
        <w:t>مما استعير له السبب شرعاً</w:t>
      </w:r>
      <w:r w:rsidR="000636C2">
        <w:rPr>
          <w:rFonts w:hint="cs"/>
          <w:rtl/>
        </w:rPr>
        <w:t>:</w:t>
      </w:r>
      <w:r w:rsidRPr="005675B2">
        <w:rPr>
          <w:rFonts w:hint="cs"/>
          <w:rtl/>
        </w:rPr>
        <w:t>العلة الشرعية الكاملة</w:t>
      </w:r>
      <w:r w:rsidR="000636C2">
        <w:rPr>
          <w:rFonts w:hint="cs"/>
          <w:rtl/>
        </w:rPr>
        <w:t>،</w:t>
      </w:r>
      <w:r w:rsidRPr="005675B2">
        <w:rPr>
          <w:rFonts w:hint="cs"/>
          <w:rtl/>
        </w:rPr>
        <w:t xml:space="preserve">وسُميت سبباً،لأن علتها </w:t>
      </w:r>
      <w:r w:rsidRPr="005675B2">
        <w:rPr>
          <w:rFonts w:hint="cs"/>
          <w:u w:val="single"/>
          <w:rtl/>
        </w:rPr>
        <w:t>ليست لذاتها</w:t>
      </w:r>
      <w:r w:rsidR="000636C2">
        <w:rPr>
          <w:rFonts w:hint="cs"/>
          <w:rtl/>
        </w:rPr>
        <w:t>،</w:t>
      </w:r>
      <w:r w:rsidRPr="005675B2">
        <w:rPr>
          <w:rFonts w:hint="cs"/>
          <w:rtl/>
        </w:rPr>
        <w:t>بل بنصب الشارع لها</w:t>
      </w:r>
      <w:r w:rsidR="000636C2">
        <w:rPr>
          <w:rFonts w:hint="cs"/>
          <w:rtl/>
        </w:rPr>
        <w:t>،</w:t>
      </w:r>
      <w:r w:rsidRPr="005675B2">
        <w:rPr>
          <w:rFonts w:hint="cs"/>
          <w:rtl/>
        </w:rPr>
        <w:t xml:space="preserve">فأشبهت السبب </w:t>
      </w:r>
      <w:r w:rsidRPr="005675B2">
        <w:rPr>
          <w:rFonts w:hint="cs"/>
          <w:u w:val="single"/>
          <w:rtl/>
        </w:rPr>
        <w:t>وهو ما يحصل الحكم عنده لابه</w:t>
      </w:r>
      <w:r w:rsidR="000636C2">
        <w:rPr>
          <w:rFonts w:hint="cs"/>
          <w:rtl/>
        </w:rPr>
        <w:t>،</w:t>
      </w:r>
      <w:r w:rsidRPr="005675B2">
        <w:rPr>
          <w:rFonts w:hint="cs"/>
          <w:rtl/>
        </w:rPr>
        <w:t xml:space="preserve"> أ هـ</w:t>
      </w:r>
      <w:r w:rsidR="000636C2">
        <w:rPr>
          <w:rFonts w:hint="cs"/>
          <w:rtl/>
        </w:rPr>
        <w:t xml:space="preserve"> </w:t>
      </w:r>
      <w:r w:rsidRPr="005675B2">
        <w:rPr>
          <w:rFonts w:hint="cs"/>
          <w:rtl/>
        </w:rPr>
        <w:t>[</w:t>
      </w:r>
      <w:r w:rsidRPr="005675B2">
        <w:rPr>
          <w:rFonts w:hint="cs"/>
          <w:bCs/>
          <w:sz w:val="24"/>
          <w:szCs w:val="24"/>
          <w:rtl/>
        </w:rPr>
        <w:t>شرح غاية السول 178ص]</w:t>
      </w:r>
      <w:r w:rsidRPr="005675B2">
        <w:rPr>
          <w:rFonts w:hint="cs"/>
          <w:rtl/>
        </w:rPr>
        <w:t xml:space="preserve"> وجاء في مختصر التحرير</w:t>
      </w:r>
      <w:r w:rsidR="000636C2">
        <w:rPr>
          <w:rFonts w:hint="cs"/>
          <w:rtl/>
        </w:rPr>
        <w:t>:</w:t>
      </w:r>
      <w:r w:rsidRPr="005675B2">
        <w:rPr>
          <w:rFonts w:hint="cs"/>
          <w:rtl/>
        </w:rPr>
        <w:t xml:space="preserve"> في تعريف السبب .. فيوجد الحكم عنده لابه</w:t>
      </w:r>
      <w:r w:rsidR="000636C2">
        <w:rPr>
          <w:rFonts w:hint="cs"/>
          <w:rtl/>
        </w:rPr>
        <w:t>،</w:t>
      </w:r>
      <w:r w:rsidRPr="005675B2">
        <w:rPr>
          <w:rFonts w:hint="cs"/>
          <w:rtl/>
        </w:rPr>
        <w:t xml:space="preserve"> [</w:t>
      </w:r>
      <w:r w:rsidRPr="005675B2">
        <w:rPr>
          <w:rFonts w:hint="cs"/>
          <w:bCs/>
          <w:sz w:val="24"/>
          <w:szCs w:val="24"/>
          <w:rtl/>
        </w:rPr>
        <w:t>مختصر التحرير تحقيق محمد رمضان.ص87</w:t>
      </w:r>
      <w:r w:rsidRPr="005675B2">
        <w:rPr>
          <w:rFonts w:hint="cs"/>
          <w:rtl/>
        </w:rPr>
        <w:t>]</w:t>
      </w:r>
      <w:r w:rsidR="000636C2">
        <w:rPr>
          <w:rFonts w:hint="cs"/>
          <w:rtl/>
        </w:rPr>
        <w:t xml:space="preserve">، </w:t>
      </w:r>
      <w:r w:rsidRPr="005675B2">
        <w:rPr>
          <w:rFonts w:hint="cs"/>
          <w:rtl/>
        </w:rPr>
        <w:t>وجاء في التحبير شرح التحرير</w:t>
      </w:r>
      <w:r w:rsidR="000636C2">
        <w:rPr>
          <w:rFonts w:hint="cs"/>
          <w:rtl/>
        </w:rPr>
        <w:t xml:space="preserve"> </w:t>
      </w:r>
      <w:r w:rsidRPr="005675B2">
        <w:rPr>
          <w:rFonts w:hint="cs"/>
          <w:rtl/>
        </w:rPr>
        <w:t>للمرداوي</w:t>
      </w:r>
      <w:r w:rsidR="000636C2">
        <w:rPr>
          <w:rFonts w:hint="cs"/>
          <w:rtl/>
        </w:rPr>
        <w:t>:</w:t>
      </w:r>
      <w:r w:rsidRPr="005675B2">
        <w:rPr>
          <w:rFonts w:hint="cs"/>
          <w:rtl/>
        </w:rPr>
        <w:t xml:space="preserve">و لا شك أن الأسباب </w:t>
      </w:r>
      <w:r w:rsidRPr="005675B2">
        <w:rPr>
          <w:rFonts w:hint="cs"/>
          <w:u w:val="single"/>
          <w:rtl/>
        </w:rPr>
        <w:t>معرفات إ</w:t>
      </w:r>
      <w:r w:rsidRPr="005675B2">
        <w:rPr>
          <w:rFonts w:hint="cs"/>
          <w:rtl/>
        </w:rPr>
        <w:t>ذ الممكنات مستندة إلى الله تعالى ابتداء عند أهل الحق</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التحبير 3/ 1063، وأصول ابن مفلح (3/727)</w:t>
      </w:r>
      <w:r w:rsidR="000636C2">
        <w:rPr>
          <w:rFonts w:hint="cs"/>
          <w:bCs/>
          <w:sz w:val="24"/>
          <w:szCs w:val="24"/>
          <w:rtl/>
        </w:rPr>
        <w:t>]</w:t>
      </w:r>
      <w:r w:rsidRPr="005675B2">
        <w:rPr>
          <w:rFonts w:hint="cs"/>
          <w:rtl/>
        </w:rPr>
        <w:t xml:space="preserve"> فتأمل في قوله عند أهل الحق</w:t>
      </w:r>
      <w:r w:rsidR="000636C2">
        <w:rPr>
          <w:rFonts w:hint="cs"/>
          <w:rtl/>
        </w:rPr>
        <w:t>،</w:t>
      </w:r>
    </w:p>
    <w:p w14:paraId="51FF4AE3" w14:textId="2C51479F" w:rsidR="009C32A0" w:rsidRPr="005675B2" w:rsidRDefault="009C32A0" w:rsidP="000636C2">
      <w:pPr>
        <w:rPr>
          <w:b/>
          <w:rtl/>
        </w:rPr>
      </w:pPr>
      <w:r w:rsidRPr="002928D0">
        <w:rPr>
          <w:rFonts w:hint="cs"/>
          <w:bCs/>
          <w:rtl/>
        </w:rPr>
        <w:t>نتيجة</w:t>
      </w:r>
      <w:r w:rsidR="000636C2">
        <w:rPr>
          <w:rFonts w:hint="cs"/>
          <w:bCs/>
          <w:rtl/>
        </w:rPr>
        <w:t>:</w:t>
      </w:r>
      <w:r w:rsidRPr="005675B2">
        <w:rPr>
          <w:rFonts w:hint="cs"/>
          <w:rtl/>
        </w:rPr>
        <w:t xml:space="preserve"> 1</w:t>
      </w:r>
      <w:r w:rsidR="000636C2">
        <w:rPr>
          <w:rFonts w:hint="cs"/>
          <w:rtl/>
        </w:rPr>
        <w:t xml:space="preserve"> </w:t>
      </w:r>
      <w:r w:rsidRPr="005675B2">
        <w:rPr>
          <w:rFonts w:hint="cs"/>
          <w:rtl/>
        </w:rPr>
        <w:t>- إذا كان هؤلاء الأخوة كالحوالي وغيره ينفون أن يكون العبد خالقاً لفعله استقلالاً أو معاونة</w:t>
      </w:r>
      <w:r w:rsidR="000636C2">
        <w:rPr>
          <w:rFonts w:hint="cs"/>
          <w:rtl/>
        </w:rPr>
        <w:t>:</w:t>
      </w:r>
      <w:r w:rsidRPr="005675B2">
        <w:rPr>
          <w:rFonts w:hint="cs"/>
          <w:rtl/>
        </w:rPr>
        <w:t>فلا معنى لقولهم أنه مؤثرلأن كلامهم هذا متناقض</w:t>
      </w:r>
      <w:r w:rsidR="000636C2">
        <w:rPr>
          <w:rFonts w:hint="cs"/>
          <w:rtl/>
        </w:rPr>
        <w:t xml:space="preserve"> </w:t>
      </w:r>
      <w:r w:rsidRPr="005675B2">
        <w:rPr>
          <w:rFonts w:hint="cs"/>
          <w:rtl/>
        </w:rPr>
        <w:t>ومخالف لاصطلاح أهل العلم بالعقائد فهو مجرد تشغيب ليس إلا</w:t>
      </w:r>
      <w:r w:rsidR="000636C2">
        <w:rPr>
          <w:rFonts w:hint="cs"/>
          <w:rtl/>
        </w:rPr>
        <w:t>،</w:t>
      </w:r>
      <w:r w:rsidRPr="005675B2">
        <w:rPr>
          <w:rFonts w:hint="cs"/>
          <w:rtl/>
        </w:rPr>
        <w:t>أما إن كانوا</w:t>
      </w:r>
      <w:r w:rsidR="000636C2">
        <w:rPr>
          <w:rFonts w:hint="cs"/>
          <w:rtl/>
        </w:rPr>
        <w:t xml:space="preserve"> </w:t>
      </w:r>
      <w:r w:rsidRPr="005675B2">
        <w:rPr>
          <w:rFonts w:hint="cs"/>
          <w:rtl/>
        </w:rPr>
        <w:t>في الواقع يعتقدون أنها مؤثرة بقوة أودعها الله فيها فإذن هم على هذا قد أثبتوا للأسباب تأثيراً في مسبباتها، لكن لا بذاتها بل بما أودعه الله تعالى فيها</w:t>
      </w:r>
      <w:r w:rsidRPr="005675B2">
        <w:rPr>
          <w:rFonts w:hint="cs"/>
        </w:rPr>
        <w:t xml:space="preserve"> </w:t>
      </w:r>
      <w:r w:rsidRPr="005675B2">
        <w:rPr>
          <w:rFonts w:hint="cs"/>
          <w:rtl/>
        </w:rPr>
        <w:t>من القوى الموجبة‏</w:t>
      </w:r>
      <w:r w:rsidR="000636C2">
        <w:rPr>
          <w:rFonts w:hint="cs"/>
          <w:rtl/>
        </w:rPr>
        <w:t>،</w:t>
      </w:r>
      <w:r w:rsidRPr="005675B2">
        <w:rPr>
          <w:rFonts w:hint="cs"/>
          <w:rtl/>
        </w:rPr>
        <w:t xml:space="preserve"> فالمطلوب الآن ما المقصود بهذا التأثير</w:t>
      </w:r>
      <w:r w:rsidR="000636C2">
        <w:rPr>
          <w:rFonts w:hint="cs"/>
          <w:rtl/>
        </w:rPr>
        <w:t>،</w:t>
      </w:r>
      <w:r w:rsidRPr="005675B2">
        <w:rPr>
          <w:rFonts w:hint="cs"/>
          <w:rtl/>
        </w:rPr>
        <w:t xml:space="preserve"> وماوجه كونها </w:t>
      </w:r>
      <w:r w:rsidRPr="005675B2">
        <w:rPr>
          <w:rFonts w:hint="cs"/>
          <w:u w:val="single"/>
          <w:rtl/>
        </w:rPr>
        <w:t>موجبة</w:t>
      </w:r>
      <w:r w:rsidRPr="005675B2">
        <w:rPr>
          <w:rFonts w:hint="cs"/>
          <w:rtl/>
        </w:rPr>
        <w:t xml:space="preserve"> للتأثير</w:t>
      </w:r>
      <w:r w:rsidR="000636C2">
        <w:rPr>
          <w:rFonts w:hint="cs"/>
          <w:rtl/>
        </w:rPr>
        <w:t>؟</w:t>
      </w:r>
      <w:r w:rsidRPr="005675B2">
        <w:rPr>
          <w:rFonts w:hint="cs"/>
          <w:rtl/>
        </w:rPr>
        <w:t xml:space="preserve"> وهذا الواجب على من</w:t>
      </w:r>
      <w:r w:rsidR="000636C2">
        <w:rPr>
          <w:rFonts w:hint="cs"/>
          <w:rtl/>
        </w:rPr>
        <w:t>؟!</w:t>
      </w:r>
      <w:r w:rsidRPr="005675B2">
        <w:rPr>
          <w:rFonts w:hint="cs"/>
          <w:rtl/>
        </w:rPr>
        <w:t>!</w:t>
      </w:r>
    </w:p>
    <w:p w14:paraId="49E8BBA8" w14:textId="108276C6"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إذا كانوا ينفون احتياج الله لواسطة في أفعاله فلا معنى لتشغيبهم على أهل السنة الذين ينفون ذلك وينفون</w:t>
      </w:r>
      <w:r w:rsidR="000636C2">
        <w:rPr>
          <w:rFonts w:hint="cs"/>
          <w:rtl/>
        </w:rPr>
        <w:t xml:space="preserve"> </w:t>
      </w:r>
      <w:r w:rsidRPr="005675B2">
        <w:rPr>
          <w:rFonts w:hint="cs"/>
          <w:rtl/>
        </w:rPr>
        <w:t>احتياجه لها أو توقف أفعاله عليها</w:t>
      </w:r>
      <w:r w:rsidR="000636C2">
        <w:rPr>
          <w:rFonts w:hint="cs"/>
          <w:rtl/>
        </w:rPr>
        <w:t>،</w:t>
      </w:r>
      <w:r w:rsidRPr="005675B2">
        <w:rPr>
          <w:rFonts w:hint="cs"/>
          <w:rtl/>
        </w:rPr>
        <w:t xml:space="preserve"> ولكن قول الإمام ابن تيمية</w:t>
      </w:r>
      <w:r w:rsidR="000636C2">
        <w:rPr>
          <w:rFonts w:hint="cs"/>
          <w:rtl/>
        </w:rPr>
        <w:t>:</w:t>
      </w:r>
      <w:r w:rsidRPr="005675B2">
        <w:rPr>
          <w:rFonts w:hint="cs"/>
          <w:rtl/>
        </w:rPr>
        <w:t xml:space="preserve"> كما خلق جميع المسببات والمخلوقات </w:t>
      </w:r>
      <w:r w:rsidRPr="005675B2">
        <w:rPr>
          <w:rFonts w:hint="cs"/>
          <w:u w:val="single"/>
          <w:rtl/>
        </w:rPr>
        <w:t>بوسائط</w:t>
      </w:r>
      <w:r w:rsidR="000636C2">
        <w:rPr>
          <w:rFonts w:hint="cs"/>
          <w:u w:val="single"/>
          <w:rtl/>
        </w:rPr>
        <w:t>،</w:t>
      </w:r>
      <w:r w:rsidRPr="005675B2">
        <w:rPr>
          <w:rFonts w:hint="cs"/>
          <w:u w:val="single"/>
          <w:rtl/>
        </w:rPr>
        <w:t xml:space="preserve"> و</w:t>
      </w:r>
      <w:r w:rsidRPr="005675B2">
        <w:rPr>
          <w:rFonts w:hint="cs"/>
          <w:rtl/>
        </w:rPr>
        <w:t>أسباب</w:t>
      </w:r>
      <w:r w:rsidR="000636C2">
        <w:rPr>
          <w:rFonts w:hint="cs"/>
          <w:rtl/>
        </w:rPr>
        <w:t xml:space="preserve"> </w:t>
      </w:r>
      <w:r w:rsidRPr="005675B2">
        <w:rPr>
          <w:rFonts w:hint="cs"/>
          <w:rtl/>
        </w:rPr>
        <w:t>[</w:t>
      </w:r>
      <w:r w:rsidRPr="005675B2">
        <w:rPr>
          <w:rFonts w:hint="cs"/>
          <w:bCs/>
          <w:sz w:val="24"/>
          <w:szCs w:val="24"/>
          <w:rtl/>
        </w:rPr>
        <w:t>مج الفتاوي /389</w:t>
      </w:r>
      <w:r w:rsidRPr="005675B2">
        <w:rPr>
          <w:rFonts w:hint="cs"/>
          <w:rtl/>
        </w:rPr>
        <w:t>]</w:t>
      </w:r>
      <w:r w:rsidR="000636C2">
        <w:rPr>
          <w:rFonts w:hint="cs"/>
          <w:rtl/>
        </w:rPr>
        <w:t>،</w:t>
      </w:r>
      <w:r w:rsidRPr="005675B2">
        <w:rPr>
          <w:rFonts w:hint="cs"/>
          <w:rtl/>
        </w:rPr>
        <w:t xml:space="preserve"> أهـ</w:t>
      </w:r>
      <w:r w:rsidR="000636C2">
        <w:rPr>
          <w:rFonts w:hint="cs"/>
          <w:rtl/>
        </w:rPr>
        <w:t xml:space="preserve"> </w:t>
      </w:r>
      <w:r w:rsidRPr="005675B2">
        <w:rPr>
          <w:rFonts w:hint="cs"/>
          <w:rtl/>
        </w:rPr>
        <w:t>فيه إثبات الوسائط بين الله ومخلوقاته وهذه نقطة خلاف حقيقي بلا ريب</w:t>
      </w:r>
      <w:r w:rsidR="000636C2">
        <w:rPr>
          <w:rFonts w:hint="cs"/>
          <w:rtl/>
        </w:rPr>
        <w:t>،</w:t>
      </w:r>
    </w:p>
    <w:p w14:paraId="00740A08" w14:textId="1704BAFD"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إذا كانوا يؤمنون بأن للقدر سر لا يمكن تفسيره كما ورد (</w:t>
      </w:r>
      <w:r w:rsidR="000636C2">
        <w:rPr>
          <w:rFonts w:hint="cs"/>
          <w:rtl/>
        </w:rPr>
        <w:t>(</w:t>
      </w:r>
      <w:r w:rsidRPr="005675B2">
        <w:rPr>
          <w:rFonts w:hint="cs"/>
          <w:rtl/>
        </w:rPr>
        <w:t>أن القدر سر الله في خلقه</w:t>
      </w:r>
      <w:r w:rsidR="000636C2">
        <w:rPr>
          <w:rFonts w:hint="cs"/>
          <w:rtl/>
        </w:rPr>
        <w:t>)</w:t>
      </w:r>
      <w:r w:rsidRPr="005675B2">
        <w:rPr>
          <w:rFonts w:hint="cs"/>
          <w:rtl/>
        </w:rPr>
        <w:t>)</w:t>
      </w:r>
      <w:r>
        <w:rPr>
          <w:rFonts w:hint="cs"/>
          <w:rtl/>
        </w:rPr>
        <w:t xml:space="preserve"> </w:t>
      </w:r>
      <w:r w:rsidRPr="005675B2">
        <w:rPr>
          <w:rFonts w:hint="cs"/>
          <w:rtl/>
        </w:rPr>
        <w:t>فلا</w:t>
      </w:r>
      <w:r>
        <w:rPr>
          <w:rFonts w:hint="cs"/>
          <w:rtl/>
        </w:rPr>
        <w:t xml:space="preserve"> </w:t>
      </w:r>
      <w:r w:rsidRPr="005675B2">
        <w:rPr>
          <w:rFonts w:hint="cs"/>
          <w:rtl/>
        </w:rPr>
        <w:t>داعي لقولهم أن الأشاعرة لا يقدرون على فهم ذلك أو إفهامه لغيرهم، لأنه لا قدرة على ذلك كما</w:t>
      </w:r>
      <w:r>
        <w:rPr>
          <w:rFonts w:hint="cs"/>
          <w:rtl/>
        </w:rPr>
        <w:t xml:space="preserve"> </w:t>
      </w:r>
      <w:r w:rsidRPr="005675B2">
        <w:rPr>
          <w:rFonts w:hint="cs"/>
          <w:rtl/>
        </w:rPr>
        <w:t>لا قدرة على بيان حقيقة الصفات، أو حقيقة الذات الإلهية، أو حقائق الأمور الغيبية</w:t>
      </w:r>
      <w:r w:rsidR="000636C2">
        <w:rPr>
          <w:rFonts w:hint="cs"/>
          <w:rtl/>
        </w:rPr>
        <w:t>،</w:t>
      </w:r>
    </w:p>
    <w:p w14:paraId="7EB17AE4" w14:textId="3F4390C1"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إذا كانوا يؤمنون بأنه لايلزم وجود الفعل، بل هو ممكن فقط</w:t>
      </w:r>
      <w:r w:rsidR="000636C2">
        <w:rPr>
          <w:rFonts w:hint="cs"/>
          <w:rtl/>
        </w:rPr>
        <w:t>،</w:t>
      </w:r>
      <w:r w:rsidRPr="005675B2">
        <w:rPr>
          <w:rFonts w:hint="cs"/>
          <w:rtl/>
        </w:rPr>
        <w:t>ولذا فيمكن أن يقع ويمكن أن يتخلف</w:t>
      </w:r>
      <w:r w:rsidR="000636C2">
        <w:rPr>
          <w:rFonts w:hint="cs"/>
          <w:rtl/>
        </w:rPr>
        <w:t>،</w:t>
      </w:r>
      <w:r w:rsidRPr="005675B2">
        <w:rPr>
          <w:rFonts w:hint="cs"/>
          <w:rtl/>
        </w:rPr>
        <w:t xml:space="preserve"> فيجب أن يتخلوا عن قولهم</w:t>
      </w:r>
      <w:r w:rsidR="000636C2">
        <w:rPr>
          <w:rFonts w:hint="cs"/>
          <w:rtl/>
        </w:rPr>
        <w:t>:</w:t>
      </w:r>
      <w:r w:rsidRPr="005675B2">
        <w:rPr>
          <w:rFonts w:hint="cs"/>
          <w:rtl/>
        </w:rPr>
        <w:t xml:space="preserve"> إذا وجد الداعي التام والقدرة التامة </w:t>
      </w:r>
      <w:r w:rsidRPr="005675B2">
        <w:rPr>
          <w:rFonts w:hint="cs"/>
          <w:u w:val="single"/>
          <w:rtl/>
        </w:rPr>
        <w:t>لزم</w:t>
      </w:r>
      <w:r w:rsidRPr="005675B2">
        <w:rPr>
          <w:rFonts w:hint="cs"/>
          <w:rtl/>
        </w:rPr>
        <w:t xml:space="preserve"> وجود الفعل</w:t>
      </w:r>
      <w:r w:rsidR="000636C2">
        <w:rPr>
          <w:rFonts w:hint="cs"/>
          <w:rtl/>
        </w:rPr>
        <w:t>،</w:t>
      </w:r>
      <w:r w:rsidRPr="005675B2">
        <w:rPr>
          <w:rFonts w:hint="cs"/>
          <w:rtl/>
        </w:rPr>
        <w:t xml:space="preserve"> لأن الفعل لا يلزم وجوده بل يمكن تخلفه ويمكن وجوده</w:t>
      </w:r>
      <w:r w:rsidR="000636C2">
        <w:rPr>
          <w:rFonts w:hint="cs"/>
          <w:rtl/>
        </w:rPr>
        <w:t>،</w:t>
      </w:r>
      <w:r w:rsidRPr="005675B2">
        <w:rPr>
          <w:rFonts w:hint="cs"/>
          <w:rtl/>
        </w:rPr>
        <w:t xml:space="preserve"> ونحن نرى في حياتنا وجود الداعي التام والقدرة التامة ثم لايقع الفعل</w:t>
      </w:r>
      <w:r w:rsidR="000636C2">
        <w:rPr>
          <w:rFonts w:hint="cs"/>
          <w:rtl/>
        </w:rPr>
        <w:t xml:space="preserve"> </w:t>
      </w:r>
      <w:r w:rsidRPr="005675B2">
        <w:rPr>
          <w:rFonts w:hint="cs"/>
          <w:rtl/>
        </w:rPr>
        <w:t>بلا سبب</w:t>
      </w:r>
      <w:r w:rsidR="000636C2">
        <w:rPr>
          <w:rFonts w:hint="cs"/>
          <w:rtl/>
        </w:rPr>
        <w:t>،</w:t>
      </w:r>
      <w:r w:rsidRPr="005675B2">
        <w:rPr>
          <w:rFonts w:hint="cs"/>
          <w:rtl/>
        </w:rPr>
        <w:t>بل بمحض إرادة الله أن لا يقع</w:t>
      </w:r>
      <w:r w:rsidR="000636C2">
        <w:rPr>
          <w:rFonts w:hint="cs"/>
          <w:rtl/>
        </w:rPr>
        <w:t>،</w:t>
      </w:r>
      <w:r w:rsidRPr="005675B2">
        <w:rPr>
          <w:rFonts w:hint="cs"/>
          <w:rtl/>
        </w:rPr>
        <w:t>ولا مكره له سبحانه وتعالى</w:t>
      </w:r>
      <w:r w:rsidR="000636C2">
        <w:rPr>
          <w:rFonts w:hint="cs"/>
          <w:rtl/>
        </w:rPr>
        <w:t>،</w:t>
      </w:r>
      <w:r w:rsidRPr="005675B2">
        <w:rPr>
          <w:rFonts w:hint="cs"/>
          <w:rtl/>
        </w:rPr>
        <w:t xml:space="preserve"> </w:t>
      </w:r>
      <w:r w:rsidRPr="005675B2">
        <w:rPr>
          <w:rFonts w:hint="cs"/>
          <w:u w:val="single"/>
          <w:rtl/>
        </w:rPr>
        <w:t>فالفرق دقيق جداً وهو أن أهل السنة يقولون</w:t>
      </w:r>
      <w:r>
        <w:rPr>
          <w:rFonts w:hint="cs"/>
          <w:u w:val="single"/>
          <w:rtl/>
        </w:rPr>
        <w:t xml:space="preserve"> </w:t>
      </w:r>
      <w:r w:rsidRPr="005675B2">
        <w:rPr>
          <w:rFonts w:hint="cs"/>
          <w:u w:val="single"/>
          <w:rtl/>
        </w:rPr>
        <w:t>يجوز أن يقع ولا يجب أن يقع لأنه لا يجب على الله شيء</w:t>
      </w:r>
      <w:r w:rsidR="000636C2">
        <w:rPr>
          <w:rFonts w:hint="cs"/>
          <w:u w:val="single"/>
          <w:rtl/>
        </w:rPr>
        <w:t>،</w:t>
      </w:r>
    </w:p>
    <w:p w14:paraId="79C4808D" w14:textId="46813F1E" w:rsidR="009C32A0" w:rsidRPr="005675B2" w:rsidRDefault="009C32A0" w:rsidP="000636C2">
      <w:pPr>
        <w:rPr>
          <w:b/>
          <w:rtl/>
        </w:rPr>
      </w:pPr>
      <w:r w:rsidRPr="002928D0">
        <w:rPr>
          <w:rFonts w:hint="cs"/>
          <w:bCs/>
          <w:rtl/>
        </w:rPr>
        <w:t>استشكال الكاتب لمسألة العلة الغائية</w:t>
      </w:r>
      <w:r w:rsidR="000636C2">
        <w:rPr>
          <w:rFonts w:hint="cs"/>
          <w:rtl/>
        </w:rPr>
        <w:t xml:space="preserve">: </w:t>
      </w:r>
      <w:r w:rsidRPr="005675B2">
        <w:rPr>
          <w:rFonts w:hint="cs"/>
          <w:rtl/>
        </w:rPr>
        <w:t>ينفي الأشاعرة قطعاً أن</w:t>
      </w:r>
      <w:r w:rsidRPr="005675B2">
        <w:rPr>
          <w:rFonts w:hint="cs"/>
        </w:rPr>
        <w:t xml:space="preserve"> </w:t>
      </w:r>
      <w:r w:rsidRPr="005675B2">
        <w:rPr>
          <w:rFonts w:hint="cs"/>
          <w:rtl/>
        </w:rPr>
        <w:t>يكون لشيء من أفعال الله تعالى علة مشتملة على حكمة تقضي إيجاد الفعل أو عدمه</w:t>
      </w:r>
      <w:r w:rsidR="000636C2">
        <w:rPr>
          <w:rFonts w:hint="cs"/>
          <w:rtl/>
        </w:rPr>
        <w:t>،</w:t>
      </w:r>
      <w:r w:rsidRPr="005675B2">
        <w:rPr>
          <w:rFonts w:hint="cs"/>
        </w:rPr>
        <w:t xml:space="preserve"> </w:t>
      </w:r>
      <w:r w:rsidRPr="005675B2">
        <w:rPr>
          <w:rFonts w:hint="cs"/>
          <w:rtl/>
        </w:rPr>
        <w:t>وهذا نص كلامهم تقريباً</w:t>
      </w:r>
      <w:r w:rsidR="000636C2">
        <w:rPr>
          <w:rFonts w:hint="cs"/>
          <w:rtl/>
        </w:rPr>
        <w:t>،</w:t>
      </w:r>
      <w:r w:rsidRPr="005675B2">
        <w:rPr>
          <w:rFonts w:hint="cs"/>
          <w:rtl/>
        </w:rPr>
        <w:t xml:space="preserve"> وهو رد فعل لقول المعتزلة بالوجوب على الله حتى أنكر</w:t>
      </w:r>
      <w:r w:rsidRPr="005675B2">
        <w:rPr>
          <w:rFonts w:hint="cs"/>
        </w:rPr>
        <w:t xml:space="preserve"> </w:t>
      </w:r>
      <w:r w:rsidRPr="005675B2">
        <w:rPr>
          <w:rFonts w:hint="cs"/>
          <w:rtl/>
        </w:rPr>
        <w:t>الأشاعرة كل لام تعليل في القرآن وقالوا إن كونه</w:t>
      </w:r>
      <w:r>
        <w:rPr>
          <w:rFonts w:hint="cs"/>
          <w:rtl/>
        </w:rPr>
        <w:t xml:space="preserve"> </w:t>
      </w:r>
      <w:r w:rsidRPr="005675B2">
        <w:rPr>
          <w:rFonts w:hint="cs"/>
          <w:rtl/>
        </w:rPr>
        <w:t>يفعل شيئاً لعلة ينافي كونه</w:t>
      </w:r>
      <w:r w:rsidRPr="005675B2">
        <w:rPr>
          <w:rFonts w:hint="cs"/>
        </w:rPr>
        <w:t xml:space="preserve"> </w:t>
      </w:r>
      <w:r w:rsidRPr="005675B2">
        <w:rPr>
          <w:rFonts w:hint="cs"/>
          <w:rtl/>
        </w:rPr>
        <w:t>مختاراً مريداً</w:t>
      </w:r>
      <w:r w:rsidR="000636C2">
        <w:rPr>
          <w:rFonts w:hint="cs"/>
          <w:rtl/>
        </w:rPr>
        <w:t>،</w:t>
      </w:r>
      <w:r w:rsidRPr="005675B2">
        <w:rPr>
          <w:rFonts w:hint="cs"/>
          <w:rtl/>
        </w:rPr>
        <w:t xml:space="preserve"> وهذا الأصل تسميه بعض كتبهم</w:t>
      </w:r>
      <w:r w:rsidRPr="005675B2">
        <w:rPr>
          <w:rFonts w:hint="cs"/>
        </w:rPr>
        <w:t xml:space="preserve"> </w:t>
      </w:r>
      <w:r w:rsidRPr="005675B2">
        <w:rPr>
          <w:rFonts w:hint="cs"/>
          <w:rtl/>
        </w:rPr>
        <w:t>"</w:t>
      </w:r>
      <w:r w:rsidRPr="005675B2">
        <w:rPr>
          <w:rFonts w:hint="cs"/>
        </w:rPr>
        <w:t xml:space="preserve"> </w:t>
      </w:r>
      <w:r w:rsidRPr="005675B2">
        <w:rPr>
          <w:rFonts w:hint="cs"/>
          <w:rtl/>
        </w:rPr>
        <w:t>نفي الغرض عن الله</w:t>
      </w:r>
      <w:r w:rsidRPr="005675B2">
        <w:rPr>
          <w:rFonts w:hint="cs"/>
        </w:rPr>
        <w:t xml:space="preserve"> </w:t>
      </w:r>
      <w:r w:rsidRPr="005675B2">
        <w:rPr>
          <w:rFonts w:hint="cs"/>
          <w:rtl/>
        </w:rPr>
        <w:t>"</w:t>
      </w:r>
      <w:r w:rsidRPr="005675B2">
        <w:rPr>
          <w:rFonts w:hint="cs"/>
        </w:rPr>
        <w:t xml:space="preserve"> </w:t>
      </w:r>
      <w:r w:rsidRPr="005675B2">
        <w:rPr>
          <w:rFonts w:hint="cs"/>
          <w:rtl/>
        </w:rPr>
        <w:t>ويعتبرونه من لوازم</w:t>
      </w:r>
      <w:r w:rsidRPr="005675B2">
        <w:rPr>
          <w:rFonts w:hint="cs"/>
        </w:rPr>
        <w:t xml:space="preserve"> </w:t>
      </w:r>
      <w:r w:rsidRPr="005675B2">
        <w:rPr>
          <w:rFonts w:hint="cs"/>
          <w:rtl/>
        </w:rPr>
        <w:t>التنزيه</w:t>
      </w:r>
      <w:r w:rsidR="000636C2">
        <w:rPr>
          <w:rFonts w:hint="cs"/>
          <w:rtl/>
        </w:rPr>
        <w:t>،</w:t>
      </w:r>
      <w:r w:rsidRPr="005675B2">
        <w:rPr>
          <w:rFonts w:hint="cs"/>
          <w:rtl/>
        </w:rPr>
        <w:t xml:space="preserve"> وجعلوا أفعاله تعالى كلها راجعة إلى محض المشيئة ولا تعليق لصفة أخرى</w:t>
      </w:r>
      <w:r w:rsidR="000636C2">
        <w:rPr>
          <w:rFonts w:hint="cs"/>
          <w:rtl/>
        </w:rPr>
        <w:t xml:space="preserve"> </w:t>
      </w:r>
      <w:r w:rsidRPr="005675B2">
        <w:rPr>
          <w:rFonts w:hint="cs"/>
          <w:rtl/>
        </w:rPr>
        <w:t>- كالحكمة مثلاً</w:t>
      </w:r>
      <w:r w:rsidR="000636C2">
        <w:rPr>
          <w:rFonts w:hint="cs"/>
          <w:rtl/>
        </w:rPr>
        <w:t xml:space="preserve"> </w:t>
      </w:r>
      <w:r w:rsidRPr="005675B2">
        <w:rPr>
          <w:rFonts w:hint="cs"/>
          <w:rtl/>
        </w:rPr>
        <w:t>- بها</w:t>
      </w:r>
      <w:r w:rsidR="000636C2">
        <w:rPr>
          <w:rFonts w:hint="cs"/>
          <w:rtl/>
        </w:rPr>
        <w:t>،</w:t>
      </w:r>
      <w:r w:rsidRPr="005675B2">
        <w:rPr>
          <w:rFonts w:hint="cs"/>
          <w:rtl/>
        </w:rPr>
        <w:t xml:space="preserve"> ورتبوا على هذا</w:t>
      </w:r>
      <w:r w:rsidR="000636C2">
        <w:rPr>
          <w:rFonts w:hint="cs"/>
          <w:rtl/>
        </w:rPr>
        <w:t xml:space="preserve"> </w:t>
      </w:r>
      <w:r w:rsidRPr="005675B2">
        <w:rPr>
          <w:rFonts w:hint="cs"/>
          <w:rtl/>
        </w:rPr>
        <w:t>أصولاً فاسدة كقولهم بجواز أن يخلد الله في</w:t>
      </w:r>
      <w:r w:rsidRPr="005675B2">
        <w:rPr>
          <w:rFonts w:hint="cs"/>
        </w:rPr>
        <w:t xml:space="preserve"> </w:t>
      </w:r>
      <w:r w:rsidRPr="005675B2">
        <w:rPr>
          <w:rFonts w:hint="cs"/>
          <w:rtl/>
        </w:rPr>
        <w:t>النار أخلص أوليائه ويخلد في الجنة أفجر الكفار</w:t>
      </w:r>
      <w:r w:rsidR="000636C2">
        <w:rPr>
          <w:rFonts w:hint="cs"/>
          <w:rtl/>
        </w:rPr>
        <w:t>،</w:t>
      </w:r>
      <w:r w:rsidRPr="005675B2">
        <w:rPr>
          <w:rFonts w:hint="cs"/>
          <w:rtl/>
        </w:rPr>
        <w:t xml:space="preserve"> وجواز التكليف بما لا يطاق ونحوها</w:t>
      </w:r>
      <w:r w:rsidR="000636C2">
        <w:rPr>
          <w:rFonts w:hint="cs"/>
          <w:rtl/>
        </w:rPr>
        <w:t>،</w:t>
      </w:r>
      <w:r w:rsidRPr="005675B2">
        <w:rPr>
          <w:rFonts w:hint="cs"/>
          <w:rtl/>
        </w:rPr>
        <w:t xml:space="preserve"> وسبب هذا التأصيل الباطل</w:t>
      </w:r>
      <w:r w:rsidRPr="005675B2">
        <w:rPr>
          <w:rFonts w:hint="cs"/>
        </w:rPr>
        <w:t xml:space="preserve"> </w:t>
      </w:r>
      <w:r w:rsidRPr="005675B2">
        <w:rPr>
          <w:rFonts w:hint="cs"/>
          <w:rtl/>
        </w:rPr>
        <w:t>عدم فهمهم ألا تعارض بين المشيئة والحكمة أو المشيئة والرحمة</w:t>
      </w:r>
      <w:r w:rsidR="000636C2">
        <w:rPr>
          <w:rFonts w:hint="cs"/>
          <w:rtl/>
        </w:rPr>
        <w:t>،</w:t>
      </w:r>
      <w:r>
        <w:rPr>
          <w:rFonts w:hint="cs"/>
          <w:rtl/>
        </w:rPr>
        <w:t xml:space="preserve"> </w:t>
      </w:r>
      <w:r w:rsidRPr="005675B2">
        <w:rPr>
          <w:rFonts w:hint="cs"/>
          <w:rtl/>
        </w:rPr>
        <w:t>ولهذا لم يثبت</w:t>
      </w:r>
      <w:r w:rsidRPr="005675B2">
        <w:rPr>
          <w:rFonts w:hint="cs"/>
        </w:rPr>
        <w:t xml:space="preserve"> </w:t>
      </w:r>
      <w:r w:rsidRPr="005675B2">
        <w:rPr>
          <w:rFonts w:hint="cs"/>
          <w:rtl/>
        </w:rPr>
        <w:t>الأشاعرة الحكمة مع الصفات السبع واكتفوا بإثبات الإرادة مع أن الحكمة تقتضي</w:t>
      </w:r>
      <w:r w:rsidRPr="005675B2">
        <w:rPr>
          <w:rFonts w:hint="cs"/>
        </w:rPr>
        <w:t xml:space="preserve"> </w:t>
      </w:r>
      <w:r w:rsidRPr="005675B2">
        <w:rPr>
          <w:rFonts w:hint="cs"/>
          <w:rtl/>
        </w:rPr>
        <w:t>الإرادة والعلم وزيادة حتى أن من المعاصرين من أضافها مثل سعيد حوى</w:t>
      </w:r>
      <w:r w:rsidR="000636C2">
        <w:rPr>
          <w:rFonts w:hint="cs"/>
          <w:rtl/>
        </w:rPr>
        <w:t>،</w:t>
      </w:r>
    </w:p>
    <w:p w14:paraId="0284930B" w14:textId="4A29B5F1"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قول الكاتب هداه الله</w:t>
      </w:r>
      <w:r>
        <w:rPr>
          <w:rFonts w:hint="cs"/>
          <w:rtl/>
        </w:rPr>
        <w:t>:</w:t>
      </w:r>
      <w:r w:rsidR="009C32A0" w:rsidRPr="005675B2">
        <w:rPr>
          <w:rFonts w:hint="cs"/>
          <w:rtl/>
        </w:rPr>
        <w:t xml:space="preserve"> </w:t>
      </w:r>
      <w:r>
        <w:rPr>
          <w:rFonts w:hint="cs"/>
          <w:rtl/>
        </w:rPr>
        <w:t>(</w:t>
      </w:r>
      <w:r w:rsidR="009C32A0" w:rsidRPr="005675B2">
        <w:rPr>
          <w:rFonts w:hint="cs"/>
          <w:rtl/>
        </w:rPr>
        <w:t>ينفي الأشاعرة قطعاً أن</w:t>
      </w:r>
      <w:r w:rsidR="009C32A0" w:rsidRPr="005675B2">
        <w:rPr>
          <w:rFonts w:hint="cs"/>
        </w:rPr>
        <w:t xml:space="preserve"> </w:t>
      </w:r>
      <w:r w:rsidR="009C32A0" w:rsidRPr="005675B2">
        <w:rPr>
          <w:rFonts w:hint="cs"/>
          <w:rtl/>
        </w:rPr>
        <w:t>يكون لشيء من أفعال الله تعالى علة مشتملة على حكمة تقضي إيجاد الفعل أو عدمه</w:t>
      </w:r>
      <w:r>
        <w:rPr>
          <w:rFonts w:hint="cs"/>
          <w:rtl/>
        </w:rPr>
        <w:t>،</w:t>
      </w:r>
      <w:r w:rsidR="009C32A0" w:rsidRPr="005675B2">
        <w:rPr>
          <w:rFonts w:hint="cs"/>
        </w:rPr>
        <w:t xml:space="preserve"> </w:t>
      </w:r>
      <w:r w:rsidR="009C32A0" w:rsidRPr="005675B2">
        <w:rPr>
          <w:rFonts w:hint="cs"/>
          <w:rtl/>
        </w:rPr>
        <w:t>وهذا نص كلامهم تقريباً</w:t>
      </w:r>
      <w:r>
        <w:rPr>
          <w:rFonts w:hint="cs"/>
          <w:rtl/>
        </w:rPr>
        <w:t xml:space="preserve">)، </w:t>
      </w:r>
      <w:r w:rsidR="009C32A0" w:rsidRPr="005675B2">
        <w:rPr>
          <w:rFonts w:hint="cs"/>
          <w:rtl/>
        </w:rPr>
        <w:t>هذا باطل وخلط بين الأمور فنأخذها مسألة مسألة حتى</w:t>
      </w:r>
      <w:r>
        <w:rPr>
          <w:rFonts w:hint="cs"/>
          <w:rtl/>
        </w:rPr>
        <w:t xml:space="preserve"> </w:t>
      </w:r>
      <w:r w:rsidR="009C32A0" w:rsidRPr="005675B2">
        <w:rPr>
          <w:rFonts w:hint="cs"/>
          <w:rtl/>
        </w:rPr>
        <w:t>نتبين مرادهم رحمهم الله تعالى</w:t>
      </w:r>
      <w:r>
        <w:rPr>
          <w:rFonts w:hint="cs"/>
          <w:rtl/>
        </w:rPr>
        <w:t>:</w:t>
      </w:r>
    </w:p>
    <w:p w14:paraId="3309BD2D" w14:textId="56FEE7B7"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تعريف العلة الغائية</w:t>
      </w:r>
      <w:r w:rsidR="000636C2">
        <w:rPr>
          <w:rFonts w:hint="cs"/>
          <w:rtl/>
        </w:rPr>
        <w:t>:</w:t>
      </w:r>
      <w:r w:rsidRPr="005675B2">
        <w:rPr>
          <w:rFonts w:hint="cs"/>
          <w:rtl/>
        </w:rPr>
        <w:t xml:space="preserve"> هي الغرض الذي يقوم في ذهن الإنسان ويتجه إلى تحقيقه فيدفعه وذهنه هو العلة لتحقيق تلك الوسائل والأسباب</w:t>
      </w:r>
      <w:r w:rsidR="000636C2">
        <w:rPr>
          <w:rFonts w:hint="cs"/>
          <w:rtl/>
        </w:rPr>
        <w:t>،</w:t>
      </w:r>
      <w:r w:rsidRPr="005675B2">
        <w:rPr>
          <w:rFonts w:hint="cs"/>
          <w:rtl/>
        </w:rPr>
        <w:t xml:space="preserve"> ومن أجل أن هذا الغرض هو في الحقيقة غاية يستهدفها الإنسان عند مباشرته للأسباب</w:t>
      </w:r>
      <w:r w:rsidR="000636C2">
        <w:rPr>
          <w:rFonts w:hint="cs"/>
          <w:rtl/>
        </w:rPr>
        <w:t>،</w:t>
      </w:r>
      <w:r w:rsidRPr="005675B2">
        <w:rPr>
          <w:rFonts w:hint="cs"/>
          <w:rtl/>
        </w:rPr>
        <w:t xml:space="preserve"> يطلق عليه العلماء اسم</w:t>
      </w:r>
      <w:r w:rsidR="000636C2">
        <w:rPr>
          <w:rFonts w:hint="cs"/>
          <w:rtl/>
        </w:rPr>
        <w:t>:</w:t>
      </w:r>
      <w:r w:rsidRPr="005675B2">
        <w:rPr>
          <w:rFonts w:hint="cs"/>
          <w:rtl/>
        </w:rPr>
        <w:t>العلة الغائية</w:t>
      </w:r>
      <w:r w:rsidR="000636C2">
        <w:rPr>
          <w:rFonts w:hint="cs"/>
          <w:rtl/>
        </w:rPr>
        <w:t>،</w:t>
      </w:r>
      <w:r w:rsidRPr="005675B2">
        <w:rPr>
          <w:rFonts w:hint="cs"/>
          <w:rtl/>
        </w:rPr>
        <w:t xml:space="preserve"> ومن شأن هذه العلة أنها في الوجود الذهني تكون سابقة على القيام بالوسائل والأسباب</w:t>
      </w:r>
      <w:r w:rsidR="000636C2">
        <w:rPr>
          <w:rFonts w:hint="cs"/>
          <w:rtl/>
        </w:rPr>
        <w:t>،</w:t>
      </w:r>
      <w:r w:rsidRPr="005675B2">
        <w:rPr>
          <w:rFonts w:hint="cs"/>
          <w:rtl/>
        </w:rPr>
        <w:t xml:space="preserve"> وأما في الوجود الخارجي والحقيقي فتأتي متأخرة عنها</w:t>
      </w:r>
      <w:r w:rsidR="000636C2">
        <w:rPr>
          <w:rFonts w:hint="cs"/>
          <w:rtl/>
        </w:rPr>
        <w:t>،</w:t>
      </w:r>
      <w:r w:rsidRPr="005675B2">
        <w:rPr>
          <w:rFonts w:hint="cs"/>
          <w:rtl/>
        </w:rPr>
        <w:t xml:space="preserve"> [</w:t>
      </w:r>
      <w:r w:rsidRPr="005675B2">
        <w:rPr>
          <w:rFonts w:hint="cs"/>
          <w:bCs/>
          <w:sz w:val="24"/>
          <w:szCs w:val="24"/>
          <w:rtl/>
        </w:rPr>
        <w:t>كبرى اليقينيات الكونية 145</w:t>
      </w:r>
      <w:r w:rsidRPr="005675B2">
        <w:rPr>
          <w:rFonts w:hint="cs"/>
          <w:rtl/>
        </w:rPr>
        <w:t>] إذا تبين لك هذا فإن معنى نفيهم للتعليل أو الغرض الباعث</w:t>
      </w:r>
      <w:r w:rsidR="000636C2">
        <w:rPr>
          <w:rFonts w:hint="cs"/>
          <w:rtl/>
        </w:rPr>
        <w:t>:</w:t>
      </w:r>
      <w:r w:rsidRPr="005675B2">
        <w:rPr>
          <w:rFonts w:hint="cs"/>
          <w:rtl/>
        </w:rPr>
        <w:t xml:space="preserve"> وما نقل عن الثقات أنها غير معللة </w:t>
      </w:r>
      <w:r w:rsidRPr="005675B2">
        <w:rPr>
          <w:rFonts w:hint="cs"/>
          <w:u w:val="single"/>
          <w:rtl/>
        </w:rPr>
        <w:t>معناه غير معللة بما يرجع نفعه إلى الله تعالى،</w:t>
      </w:r>
      <w:r w:rsidRPr="005675B2">
        <w:rPr>
          <w:rFonts w:hint="cs"/>
          <w:rtl/>
        </w:rPr>
        <w:t xml:space="preserve"> إذ العرف أن يقال</w:t>
      </w:r>
      <w:r w:rsidR="000636C2">
        <w:rPr>
          <w:rFonts w:hint="cs"/>
          <w:rtl/>
        </w:rPr>
        <w:t>:</w:t>
      </w:r>
      <w:r w:rsidRPr="005675B2">
        <w:rPr>
          <w:rFonts w:hint="cs"/>
          <w:rtl/>
        </w:rPr>
        <w:t xml:space="preserve"> إني ما فعلت هذا لغرض أو علة، أي بما يرجع نفعه إلي، لا</w:t>
      </w:r>
      <w:r>
        <w:rPr>
          <w:rFonts w:hint="cs"/>
          <w:rtl/>
        </w:rPr>
        <w:t xml:space="preserve"> </w:t>
      </w:r>
      <w:r w:rsidRPr="005675B2">
        <w:rPr>
          <w:rFonts w:hint="cs"/>
          <w:rtl/>
        </w:rPr>
        <w:t>أنه ما فعله لمصلحة أصلاً، انتهى</w:t>
      </w:r>
      <w:r w:rsidR="000636C2">
        <w:rPr>
          <w:rFonts w:hint="cs"/>
          <w:rtl/>
        </w:rPr>
        <w:t>،</w:t>
      </w:r>
      <w:r w:rsidRPr="005675B2">
        <w:rPr>
          <w:rFonts w:hint="cs"/>
          <w:rtl/>
        </w:rPr>
        <w:t xml:space="preserve"> [</w:t>
      </w:r>
      <w:r w:rsidRPr="005675B2">
        <w:rPr>
          <w:rFonts w:hint="cs"/>
          <w:bCs/>
          <w:sz w:val="24"/>
          <w:szCs w:val="24"/>
          <w:rtl/>
        </w:rPr>
        <w:t>نفس المصدر 162</w:t>
      </w:r>
      <w:r w:rsidRPr="005675B2">
        <w:rPr>
          <w:rFonts w:hint="cs"/>
          <w:rtl/>
        </w:rPr>
        <w:t>] وفي تفسير الرازي</w:t>
      </w:r>
      <w:r w:rsidR="000636C2">
        <w:rPr>
          <w:rFonts w:hint="cs"/>
          <w:rtl/>
        </w:rPr>
        <w:t xml:space="preserve"> </w:t>
      </w:r>
      <w:r w:rsidRPr="005675B2">
        <w:rPr>
          <w:rFonts w:hint="cs"/>
          <w:rtl/>
        </w:rPr>
        <w:t xml:space="preserve">لسورة الذاريات عند قوله تعالى </w:t>
      </w:r>
      <w:r w:rsidR="000636C2">
        <w:rPr>
          <w:rFonts w:hint="cs"/>
          <w:rtl/>
        </w:rPr>
        <w:t>(</w:t>
      </w:r>
      <w:r w:rsidRPr="005675B2">
        <w:rPr>
          <w:rFonts w:hint="cs"/>
          <w:rtl/>
        </w:rPr>
        <w:t>وما خلقت الجن والإنس إلا ليعبدون</w:t>
      </w:r>
      <w:r w:rsidR="000636C2">
        <w:rPr>
          <w:rFonts w:hint="cs"/>
          <w:rtl/>
        </w:rPr>
        <w:t>)</w:t>
      </w:r>
      <w:r w:rsidRPr="005675B2">
        <w:rPr>
          <w:rFonts w:hint="cs"/>
          <w:rtl/>
        </w:rPr>
        <w:t>)</w:t>
      </w:r>
      <w:r w:rsidRPr="005675B2">
        <w:rPr>
          <w:rFonts w:hint="cs"/>
          <w:u w:val="single"/>
          <w:rtl/>
        </w:rPr>
        <w:t>قال</w:t>
      </w:r>
      <w:r w:rsidR="000636C2">
        <w:rPr>
          <w:rFonts w:hint="cs"/>
          <w:u w:val="single"/>
          <w:rtl/>
        </w:rPr>
        <w:t>:</w:t>
      </w:r>
      <w:r w:rsidRPr="005675B2">
        <w:rPr>
          <w:rFonts w:hint="cs"/>
          <w:u w:val="single"/>
          <w:rtl/>
        </w:rPr>
        <w:t xml:space="preserve"> فقول أن الله له غرض يبعثه أو يدفعه سبحانه وتعالى إلى فعل الأشياء هو قول باطل فإن</w:t>
      </w:r>
      <w:r w:rsidRPr="005675B2">
        <w:rPr>
          <w:rFonts w:hint="cs"/>
          <w:rtl/>
        </w:rPr>
        <w:t xml:space="preserve"> التعليل بالأغراض</w:t>
      </w:r>
      <w:r w:rsidR="000636C2">
        <w:rPr>
          <w:rFonts w:hint="cs"/>
          <w:rtl/>
        </w:rPr>
        <w:t>:</w:t>
      </w:r>
      <w:r w:rsidRPr="005675B2">
        <w:rPr>
          <w:rFonts w:hint="cs"/>
          <w:rtl/>
        </w:rPr>
        <w:t xml:space="preserve"> إما أن يرجع إلى الله تعالى</w:t>
      </w:r>
      <w:r w:rsidR="000636C2">
        <w:rPr>
          <w:rFonts w:hint="cs"/>
          <w:rtl/>
        </w:rPr>
        <w:t>،</w:t>
      </w:r>
      <w:r w:rsidRPr="005675B2">
        <w:rPr>
          <w:rFonts w:hint="cs"/>
          <w:rtl/>
        </w:rPr>
        <w:t>وعلى هذا</w:t>
      </w:r>
      <w:r w:rsidR="000636C2">
        <w:rPr>
          <w:rFonts w:hint="cs"/>
          <w:rtl/>
        </w:rPr>
        <w:t>:</w:t>
      </w:r>
      <w:r w:rsidRPr="005675B2">
        <w:rPr>
          <w:rFonts w:hint="cs"/>
          <w:rtl/>
        </w:rPr>
        <w:t xml:space="preserve"> فإما</w:t>
      </w:r>
      <w:r w:rsidR="000636C2">
        <w:rPr>
          <w:rFonts w:hint="cs"/>
          <w:rtl/>
        </w:rPr>
        <w:t xml:space="preserve"> </w:t>
      </w:r>
      <w:r w:rsidRPr="005675B2">
        <w:rPr>
          <w:rFonts w:hint="cs"/>
          <w:rtl/>
        </w:rPr>
        <w:t>أن يعتقد الشخص معتقد الفلاسفة في ذلك</w:t>
      </w:r>
      <w:r w:rsidR="000636C2">
        <w:rPr>
          <w:rFonts w:hint="cs"/>
          <w:rtl/>
        </w:rPr>
        <w:t>،</w:t>
      </w:r>
      <w:r w:rsidRPr="005675B2">
        <w:rPr>
          <w:rFonts w:hint="cs"/>
          <w:rtl/>
        </w:rPr>
        <w:t>فيقول إن الغرض الباعث له على الفعل قديم أزلي وأفعاله تعالى بالإيجاب العقلي وهذا كفر</w:t>
      </w:r>
      <w:r w:rsidR="000636C2">
        <w:rPr>
          <w:rFonts w:hint="cs"/>
          <w:rtl/>
        </w:rPr>
        <w:t>،</w:t>
      </w:r>
      <w:r w:rsidRPr="005675B2">
        <w:rPr>
          <w:rFonts w:hint="cs"/>
          <w:rtl/>
        </w:rPr>
        <w:t xml:space="preserve"> أو يقال أنه حادث غير أزلي ولكن لابد أن يكون له دافع أو باعث أو ما </w:t>
      </w:r>
      <w:r w:rsidRPr="005675B2">
        <w:rPr>
          <w:rFonts w:hint="cs"/>
          <w:u w:val="single"/>
          <w:rtl/>
        </w:rPr>
        <w:t>يسمى بالعلة التي تسوقه</w:t>
      </w:r>
      <w:r w:rsidRPr="005675B2">
        <w:rPr>
          <w:rFonts w:hint="cs"/>
          <w:rtl/>
        </w:rPr>
        <w:t xml:space="preserve"> سبحانه لفعل الأفعال وهذا باطل لأنه تنقص لله تعالى</w:t>
      </w:r>
      <w:r w:rsidR="000636C2">
        <w:rPr>
          <w:rFonts w:hint="cs"/>
          <w:rtl/>
        </w:rPr>
        <w:t>،</w:t>
      </w:r>
      <w:r w:rsidRPr="005675B2">
        <w:rPr>
          <w:rFonts w:hint="cs"/>
          <w:rtl/>
        </w:rPr>
        <w:t xml:space="preserve"> وإما أن يتبنى قول المعتزلة بقولهم</w:t>
      </w:r>
      <w:r w:rsidR="000636C2">
        <w:rPr>
          <w:rFonts w:hint="cs"/>
          <w:rtl/>
        </w:rPr>
        <w:t>:</w:t>
      </w:r>
      <w:r w:rsidRPr="005675B2">
        <w:rPr>
          <w:rFonts w:hint="cs"/>
          <w:rtl/>
        </w:rPr>
        <w:t>يتوجب من</w:t>
      </w:r>
      <w:r w:rsidR="000636C2">
        <w:rPr>
          <w:rFonts w:hint="cs"/>
          <w:rtl/>
        </w:rPr>
        <w:t xml:space="preserve"> </w:t>
      </w:r>
      <w:r w:rsidRPr="005675B2">
        <w:rPr>
          <w:rFonts w:hint="cs"/>
          <w:rtl/>
        </w:rPr>
        <w:t>الخالق سبحانه وتعالى مراعاة الصلاح والأصلح عقلاً وهذا باطل أيضاً لأن الله سبحانه وتعالى لا يجب عليه شيء بل الأمر له</w:t>
      </w:r>
      <w:r w:rsidR="000636C2">
        <w:rPr>
          <w:rFonts w:hint="cs"/>
          <w:rtl/>
        </w:rPr>
        <w:t xml:space="preserve"> </w:t>
      </w:r>
      <w:r w:rsidRPr="005675B2">
        <w:rPr>
          <w:rFonts w:hint="cs"/>
          <w:rtl/>
        </w:rPr>
        <w:t>تعالى يتصرف في ملكه كما يريد</w:t>
      </w:r>
      <w:r w:rsidR="000636C2">
        <w:rPr>
          <w:rFonts w:hint="cs"/>
          <w:rtl/>
        </w:rPr>
        <w:t>،</w:t>
      </w:r>
      <w:r w:rsidRPr="005675B2">
        <w:rPr>
          <w:rFonts w:hint="cs"/>
          <w:rtl/>
        </w:rPr>
        <w:t xml:space="preserve"> أهـ</w:t>
      </w:r>
      <w:r w:rsidR="000636C2">
        <w:rPr>
          <w:rFonts w:hint="cs"/>
          <w:rtl/>
        </w:rPr>
        <w:t xml:space="preserve"> </w:t>
      </w:r>
      <w:r w:rsidRPr="005675B2">
        <w:rPr>
          <w:rFonts w:hint="cs"/>
          <w:rtl/>
        </w:rPr>
        <w:t>قال الإمام السنوسي في شرح الجزائرية</w:t>
      </w:r>
      <w:r w:rsidR="000636C2">
        <w:rPr>
          <w:rFonts w:hint="cs"/>
          <w:rtl/>
        </w:rPr>
        <w:t>:</w:t>
      </w:r>
      <w:r w:rsidRPr="005675B2">
        <w:rPr>
          <w:rFonts w:hint="cs"/>
          <w:rtl/>
        </w:rPr>
        <w:t>قالوا</w:t>
      </w:r>
      <w:r w:rsidR="000636C2">
        <w:rPr>
          <w:rFonts w:hint="cs"/>
          <w:rtl/>
        </w:rPr>
        <w:t>:</w:t>
      </w:r>
      <w:r w:rsidRPr="005675B2">
        <w:rPr>
          <w:rFonts w:hint="cs"/>
          <w:rtl/>
        </w:rPr>
        <w:t xml:space="preserve"> لا شك أن التعليل بالأغراض مستحيل في حقه تعالى مطلقاً، سواء كان الغرض راجعاً إليه تعالى أو إلى خلقه</w:t>
      </w:r>
      <w:r w:rsidR="000636C2">
        <w:rPr>
          <w:rFonts w:hint="cs"/>
          <w:rtl/>
        </w:rPr>
        <w:t>،</w:t>
      </w:r>
      <w:r w:rsidRPr="005675B2">
        <w:rPr>
          <w:rFonts w:hint="cs"/>
          <w:rtl/>
        </w:rPr>
        <w:t xml:space="preserve"> أما وجه استحالة الغرض الراجع إليه تعالى فلأنه إن كان ذلك الغرض الباعث على الفعل قديماً وجب قدم العالم ولزم كون أفعاله تعالى بالإيجاب العقلي كما هو مذهب الفلاسفة</w:t>
      </w:r>
      <w:r w:rsidR="000636C2">
        <w:rPr>
          <w:rFonts w:hint="cs"/>
          <w:rtl/>
        </w:rPr>
        <w:t xml:space="preserve"> </w:t>
      </w:r>
      <w:r w:rsidRPr="005675B2">
        <w:rPr>
          <w:rFonts w:hint="cs"/>
          <w:rtl/>
        </w:rPr>
        <w:t>أبعدهم الله تعالى</w:t>
      </w:r>
      <w:r w:rsidR="000636C2">
        <w:rPr>
          <w:rFonts w:hint="cs"/>
          <w:rtl/>
        </w:rPr>
        <w:t>،</w:t>
      </w:r>
      <w:r w:rsidRPr="005675B2">
        <w:rPr>
          <w:rFonts w:hint="cs"/>
          <w:rtl/>
        </w:rPr>
        <w:t xml:space="preserve"> وإن كان الغرض حادثاً يتصف به عند إيجاد الأفعال لزم نقصه تعالى في ذاته وكونه مستكملاً بتحصيل ذلك الغرض، وهذا باطل</w:t>
      </w:r>
      <w:r w:rsidR="000636C2">
        <w:rPr>
          <w:rFonts w:hint="cs"/>
          <w:rtl/>
        </w:rPr>
        <w:t>،</w:t>
      </w:r>
      <w:r w:rsidRPr="005675B2">
        <w:rPr>
          <w:rFonts w:hint="cs"/>
          <w:rtl/>
        </w:rPr>
        <w:t xml:space="preserve"> وأما وجه استحالة التعليل بالغرض الراجع إلى خلقه فهو أنه لا يجب عليه إيصال غرض إلى شيء من مخلوقاته، إذ لا يجب عليه تعالى مراعاة صلاح ولا أصلح بل ذلك محض فضل منه تعالى</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الجزائرية للإمام السنوسي</w:t>
      </w:r>
      <w:r w:rsidRPr="005675B2">
        <w:rPr>
          <w:rFonts w:hint="cs"/>
          <w:rtl/>
        </w:rPr>
        <w:t>]</w:t>
      </w:r>
      <w:r w:rsidR="000636C2">
        <w:rPr>
          <w:rFonts w:hint="cs"/>
          <w:rtl/>
        </w:rPr>
        <w:t>،</w:t>
      </w:r>
      <w:r>
        <w:rPr>
          <w:rFonts w:hint="cs"/>
          <w:rtl/>
        </w:rPr>
        <w:t xml:space="preserve"> </w:t>
      </w:r>
      <w:r w:rsidRPr="005675B2">
        <w:rPr>
          <w:rFonts w:hint="cs"/>
          <w:rtl/>
        </w:rPr>
        <w:t xml:space="preserve">فليس فعله لغرض ولا أحكامه لغرض بل ذلك </w:t>
      </w:r>
      <w:r w:rsidRPr="005675B2">
        <w:rPr>
          <w:rFonts w:hint="cs"/>
          <w:u w:val="single"/>
          <w:rtl/>
        </w:rPr>
        <w:t>محض فضل منه</w:t>
      </w:r>
      <w:r w:rsidRPr="005675B2">
        <w:rPr>
          <w:rFonts w:hint="cs"/>
          <w:rtl/>
        </w:rPr>
        <w:t xml:space="preserve"> أو عدل منه،فما فعل الله لعباده من الإحسان</w:t>
      </w:r>
      <w:r>
        <w:rPr>
          <w:rFonts w:hint="cs"/>
          <w:rtl/>
        </w:rPr>
        <w:t xml:space="preserve"> </w:t>
      </w:r>
      <w:r w:rsidRPr="005675B2">
        <w:rPr>
          <w:rFonts w:hint="cs"/>
          <w:rtl/>
        </w:rPr>
        <w:t xml:space="preserve">والصحة والسلامة والإيمان والهداية واللطف، فتفضل منه، ولو لم يفعل ذلك لكان جائزاً، </w:t>
      </w:r>
      <w:r w:rsidRPr="005675B2">
        <w:rPr>
          <w:rFonts w:hint="cs"/>
          <w:u w:val="single"/>
          <w:rtl/>
        </w:rPr>
        <w:t>وليس على الله واجب</w:t>
      </w:r>
      <w:r w:rsidR="000636C2">
        <w:rPr>
          <w:rFonts w:hint="cs"/>
          <w:u w:val="single"/>
          <w:rtl/>
        </w:rPr>
        <w:t xml:space="preserve">، </w:t>
      </w:r>
      <w:r w:rsidRPr="005675B2">
        <w:rPr>
          <w:rFonts w:hint="cs"/>
          <w:rtl/>
        </w:rPr>
        <w:t>قال الإمام</w:t>
      </w:r>
      <w:r w:rsidR="000636C2">
        <w:rPr>
          <w:rFonts w:hint="cs"/>
          <w:rtl/>
        </w:rPr>
        <w:t>:</w:t>
      </w:r>
      <w:r w:rsidRPr="005675B2">
        <w:rPr>
          <w:rFonts w:hint="cs"/>
          <w:rtl/>
        </w:rPr>
        <w:t>محمد بن عبدالكريم الشهرستاني</w:t>
      </w:r>
      <w:r w:rsidR="000636C2">
        <w:rPr>
          <w:rFonts w:hint="cs"/>
          <w:rtl/>
        </w:rPr>
        <w:t>:</w:t>
      </w:r>
      <w:r w:rsidRPr="005675B2">
        <w:rPr>
          <w:rFonts w:hint="cs"/>
          <w:rtl/>
        </w:rPr>
        <w:t xml:space="preserve"> مذهب أهل الحق أن الله خلق العالم ..</w:t>
      </w:r>
      <w:r w:rsidR="000636C2">
        <w:rPr>
          <w:rFonts w:hint="cs"/>
          <w:u w:val="single"/>
          <w:rtl/>
        </w:rPr>
        <w:t xml:space="preserve"> </w:t>
      </w:r>
      <w:r w:rsidRPr="005675B2">
        <w:rPr>
          <w:rFonts w:hint="cs"/>
          <w:rtl/>
        </w:rPr>
        <w:t xml:space="preserve">لا لعلة </w:t>
      </w:r>
      <w:r w:rsidRPr="005675B2">
        <w:rPr>
          <w:rFonts w:hint="cs"/>
          <w:u w:val="single"/>
          <w:rtl/>
        </w:rPr>
        <w:t>حاملة له على الفعل</w:t>
      </w:r>
      <w:r w:rsidRPr="005675B2">
        <w:rPr>
          <w:rFonts w:hint="cs"/>
          <w:rtl/>
        </w:rPr>
        <w:t xml:space="preserve"> سواء قدرت تلك العلة نافعة له أو غير نافعة له إذ ليس يقبل النفع والضر </w:t>
      </w:r>
      <w:r w:rsidR="000636C2">
        <w:rPr>
          <w:rFonts w:hint="cs"/>
          <w:rtl/>
        </w:rPr>
        <w:t>(</w:t>
      </w:r>
      <w:r w:rsidRPr="005675B2">
        <w:rPr>
          <w:rFonts w:hint="cs"/>
          <w:rtl/>
        </w:rPr>
        <w:t>سبحانه</w:t>
      </w:r>
      <w:r w:rsidR="000636C2">
        <w:rPr>
          <w:rFonts w:hint="cs"/>
          <w:rtl/>
        </w:rPr>
        <w:t>)</w:t>
      </w:r>
      <w:r w:rsidRPr="005675B2">
        <w:rPr>
          <w:rFonts w:hint="cs"/>
          <w:rtl/>
        </w:rPr>
        <w:t xml:space="preserve"> أو قدرت تلك العلة نافعة للخلق إذ ليس يبعثه على الفعل باعث .. أهـ</w:t>
      </w:r>
      <w:r w:rsidR="000636C2">
        <w:rPr>
          <w:rFonts w:hint="cs"/>
          <w:rtl/>
        </w:rPr>
        <w:t xml:space="preserve"> </w:t>
      </w:r>
      <w:r w:rsidRPr="002928D0">
        <w:rPr>
          <w:rFonts w:hint="cs"/>
          <w:sz w:val="24"/>
          <w:szCs w:val="24"/>
          <w:rtl/>
        </w:rPr>
        <w:t>[</w:t>
      </w:r>
      <w:r w:rsidRPr="002928D0">
        <w:rPr>
          <w:rFonts w:hint="cs"/>
          <w:bCs/>
          <w:sz w:val="24"/>
          <w:szCs w:val="24"/>
          <w:rtl/>
        </w:rPr>
        <w:t>نهاية الإقدام ص222 القاعدة الثامنة عشرة</w:t>
      </w:r>
      <w:r w:rsidR="000636C2">
        <w:rPr>
          <w:rFonts w:hint="cs"/>
          <w:bCs/>
          <w:sz w:val="24"/>
          <w:szCs w:val="24"/>
          <w:rtl/>
        </w:rPr>
        <w:t>]</w:t>
      </w:r>
      <w:r w:rsidR="000636C2">
        <w:rPr>
          <w:rFonts w:hint="cs"/>
          <w:rtl/>
        </w:rPr>
        <w:t>،</w:t>
      </w:r>
    </w:p>
    <w:p w14:paraId="17AB3953" w14:textId="5CEAA19F"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مسألة نفيهم للحكمة</w:t>
      </w:r>
      <w:r w:rsidR="000636C2">
        <w:rPr>
          <w:rFonts w:hint="cs"/>
          <w:rtl/>
        </w:rPr>
        <w:t>:</w:t>
      </w:r>
      <w:r w:rsidRPr="005675B2">
        <w:rPr>
          <w:rFonts w:hint="cs"/>
          <w:rtl/>
        </w:rPr>
        <w:t xml:space="preserve"> وهذا غير صحيح</w:t>
      </w:r>
      <w:r w:rsidR="000636C2">
        <w:rPr>
          <w:rFonts w:hint="cs"/>
          <w:rtl/>
        </w:rPr>
        <w:t>،</w:t>
      </w:r>
      <w:r w:rsidRPr="005675B2">
        <w:rPr>
          <w:rFonts w:hint="cs"/>
          <w:u w:val="single"/>
          <w:rtl/>
        </w:rPr>
        <w:t>قال الإمام اللقاني في شرحه على الجوهرة</w:t>
      </w:r>
      <w:r w:rsidR="000636C2">
        <w:rPr>
          <w:rFonts w:hint="cs"/>
          <w:u w:val="single"/>
          <w:rtl/>
        </w:rPr>
        <w:t>:</w:t>
      </w:r>
      <w:r w:rsidRPr="005675B2">
        <w:rPr>
          <w:rFonts w:hint="cs"/>
          <w:u w:val="single"/>
          <w:rtl/>
        </w:rPr>
        <w:t xml:space="preserve"> وليس فيه ما يرد على مذهب الأشاعرة إذ يقولون بالحكمة والمصلحة في نفس الأمر، لأنهم يمنعون العبث في أفعاله تعالى، كما يمنعون الغرض، ولذلك كان التعبدي من الأحكام ما لم نطلع على حكمته لا ما لا حكمة له، انتهى قول اللقاني</w:t>
      </w:r>
      <w:r w:rsidR="000636C2">
        <w:rPr>
          <w:rFonts w:hint="cs"/>
          <w:u w:val="single"/>
          <w:rtl/>
        </w:rPr>
        <w:t>،</w:t>
      </w:r>
    </w:p>
    <w:p w14:paraId="1EC2E4B2" w14:textId="2B75412D" w:rsidR="009C32A0" w:rsidRPr="005675B2" w:rsidRDefault="009C32A0" w:rsidP="000636C2">
      <w:pPr>
        <w:rPr>
          <w:b/>
          <w:rtl/>
        </w:rPr>
      </w:pPr>
      <w:r w:rsidRPr="005675B2">
        <w:rPr>
          <w:rFonts w:hint="cs"/>
          <w:rtl/>
        </w:rPr>
        <w:t>قال الإمام بهاء الدين</w:t>
      </w:r>
      <w:r w:rsidR="000636C2">
        <w:rPr>
          <w:rFonts w:hint="cs"/>
          <w:rtl/>
        </w:rPr>
        <w:t>:</w:t>
      </w:r>
      <w:r w:rsidRPr="005675B2">
        <w:rPr>
          <w:rFonts w:hint="cs"/>
          <w:rtl/>
        </w:rPr>
        <w:t xml:space="preserve"> والأشاعرة لا ينكرون كون فعل الله تعالى متضمناً لحكم ومصالح، وإن أنكروا كون أفعال الله معللة بالأغراض</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خير القلائد ص160</w:t>
      </w:r>
      <w:r w:rsidRPr="005675B2">
        <w:rPr>
          <w:rFonts w:hint="cs"/>
          <w:rtl/>
        </w:rPr>
        <w:t>]</w:t>
      </w:r>
      <w:r w:rsidR="000636C2">
        <w:rPr>
          <w:rFonts w:hint="cs"/>
          <w:rtl/>
        </w:rPr>
        <w:t>، (</w:t>
      </w:r>
      <w:r>
        <w:rPr>
          <w:rFonts w:hint="cs"/>
          <w:rtl/>
        </w:rPr>
        <w:t>ثانيا</w:t>
      </w:r>
      <w:r w:rsidR="000636C2">
        <w:rPr>
          <w:rFonts w:hint="cs"/>
          <w:rtl/>
        </w:rPr>
        <w:t>):</w:t>
      </w:r>
      <w:r w:rsidRPr="005675B2">
        <w:rPr>
          <w:rFonts w:hint="cs"/>
          <w:rtl/>
        </w:rPr>
        <w:t xml:space="preserve"> لام التعليل كقوله تعالى (</w:t>
      </w:r>
      <w:r w:rsidR="000636C2">
        <w:rPr>
          <w:rFonts w:hint="cs"/>
          <w:rtl/>
        </w:rPr>
        <w:t>(</w:t>
      </w:r>
      <w:r w:rsidRPr="005675B2">
        <w:rPr>
          <w:rFonts w:hint="cs"/>
          <w:rtl/>
        </w:rPr>
        <w:t>وما خلقت</w:t>
      </w:r>
      <w:r w:rsidR="000636C2">
        <w:rPr>
          <w:rFonts w:hint="cs"/>
          <w:rtl/>
        </w:rPr>
        <w:t xml:space="preserve"> </w:t>
      </w:r>
      <w:r w:rsidRPr="005675B2">
        <w:rPr>
          <w:rFonts w:hint="cs"/>
          <w:rtl/>
        </w:rPr>
        <w:t>الجن والإنس إلا ليعبدون</w:t>
      </w:r>
      <w:r w:rsidR="000636C2">
        <w:rPr>
          <w:rFonts w:hint="cs"/>
          <w:rtl/>
        </w:rPr>
        <w:t>)</w:t>
      </w:r>
      <w:r w:rsidRPr="005675B2">
        <w:rPr>
          <w:rFonts w:hint="cs"/>
          <w:rtl/>
        </w:rPr>
        <w:t>) فتسمى بلام العاقبة أي أن عقبى خلقي لهم أن يعبدون أو لام العلة الجعلية الوضعية</w:t>
      </w:r>
      <w:r w:rsidR="000636C2">
        <w:rPr>
          <w:rFonts w:hint="cs"/>
          <w:rtl/>
        </w:rPr>
        <w:t>،</w:t>
      </w:r>
      <w:r w:rsidRPr="005675B2">
        <w:rPr>
          <w:rFonts w:hint="cs"/>
          <w:rtl/>
        </w:rPr>
        <w:t xml:space="preserve"> لا العلة الحقيقية</w:t>
      </w:r>
      <w:r w:rsidR="000636C2">
        <w:rPr>
          <w:rFonts w:hint="cs"/>
          <w:rtl/>
        </w:rPr>
        <w:t>،</w:t>
      </w:r>
      <w:r w:rsidRPr="005675B2">
        <w:rPr>
          <w:rFonts w:hint="cs"/>
          <w:rtl/>
        </w:rPr>
        <w:t xml:space="preserve"> ولكن هل عبادتهم لله هي غرض أو علة دفعت الله سبحانه وتعالى لخلقهم أم أنه محض فضل عليهم وتشريف لهم</w:t>
      </w:r>
      <w:r w:rsidR="000636C2">
        <w:rPr>
          <w:rFonts w:hint="cs"/>
          <w:rtl/>
        </w:rPr>
        <w:t>؟[</w:t>
      </w:r>
      <w:r>
        <w:rPr>
          <w:rFonts w:hint="cs"/>
          <w:rtl/>
        </w:rPr>
        <w:t>الجواب</w:t>
      </w:r>
      <w:r w:rsidR="000636C2">
        <w:rPr>
          <w:rFonts w:hint="cs"/>
          <w:rtl/>
        </w:rPr>
        <w:t xml:space="preserve">] </w:t>
      </w:r>
      <w:r w:rsidRPr="005675B2">
        <w:rPr>
          <w:rFonts w:hint="cs"/>
          <w:rtl/>
        </w:rPr>
        <w:t>أنه الثاني ولذا جاء في الحديث القدسي (</w:t>
      </w:r>
      <w:r w:rsidR="000636C2">
        <w:rPr>
          <w:rFonts w:hint="cs"/>
          <w:rtl/>
        </w:rPr>
        <w:t>(</w:t>
      </w:r>
      <w:r w:rsidRPr="005675B2">
        <w:rPr>
          <w:rFonts w:hint="cs"/>
          <w:rtl/>
        </w:rPr>
        <w:t>يا عبادي لو أن أولكم وآخركم وإنسكم وجنكم كانوا على أتقى قلب رجل مازاد ذلك في ملكي شيئاً</w:t>
      </w:r>
      <w:r w:rsidR="000636C2">
        <w:rPr>
          <w:rFonts w:hint="cs"/>
          <w:rtl/>
        </w:rPr>
        <w:t>)</w:t>
      </w:r>
      <w:r w:rsidRPr="005675B2">
        <w:rPr>
          <w:rFonts w:hint="cs"/>
          <w:rtl/>
        </w:rPr>
        <w:t>) إلى أن قال (</w:t>
      </w:r>
      <w:r w:rsidR="000636C2">
        <w:rPr>
          <w:rFonts w:hint="cs"/>
          <w:rtl/>
        </w:rPr>
        <w:t>(</w:t>
      </w:r>
      <w:r w:rsidRPr="005675B2">
        <w:rPr>
          <w:rFonts w:hint="cs"/>
          <w:rtl/>
        </w:rPr>
        <w:t>إنكم لن تبلغوا ضري فتضروني ولن تبلغوا نفعي فتنفعوني</w:t>
      </w:r>
      <w:r w:rsidR="000636C2">
        <w:rPr>
          <w:rFonts w:hint="cs"/>
          <w:rtl/>
        </w:rPr>
        <w:t>)</w:t>
      </w:r>
      <w:r w:rsidRPr="005675B2">
        <w:rPr>
          <w:rFonts w:hint="cs"/>
          <w:rtl/>
        </w:rPr>
        <w:t>)</w:t>
      </w:r>
      <w:r w:rsidR="000636C2">
        <w:rPr>
          <w:rFonts w:hint="cs"/>
          <w:rtl/>
        </w:rPr>
        <w:t>،</w:t>
      </w:r>
    </w:p>
    <w:p w14:paraId="35CC3557" w14:textId="4E1442B2" w:rsidR="009C32A0" w:rsidRDefault="000636C2" w:rsidP="000636C2">
      <w:pPr>
        <w:rPr>
          <w:b/>
          <w:rtl/>
        </w:rPr>
      </w:pPr>
      <w:r>
        <w:rPr>
          <w:rFonts w:hint="cs"/>
          <w:rtl/>
        </w:rPr>
        <w:t>(</w:t>
      </w:r>
      <w:r w:rsidR="009C32A0">
        <w:rPr>
          <w:rFonts w:hint="cs"/>
          <w:rtl/>
        </w:rPr>
        <w:t>تنبيه</w:t>
      </w:r>
      <w:r>
        <w:rPr>
          <w:rFonts w:hint="cs"/>
          <w:rtl/>
        </w:rPr>
        <w:t>):</w:t>
      </w:r>
      <w:r w:rsidR="009C32A0">
        <w:rPr>
          <w:rFonts w:hint="cs"/>
          <w:rtl/>
        </w:rPr>
        <w:t xml:space="preserve"> </w:t>
      </w:r>
      <w:r w:rsidR="009C32A0" w:rsidRPr="005675B2">
        <w:rPr>
          <w:rFonts w:hint="cs"/>
          <w:rtl/>
        </w:rPr>
        <w:t>قال الشيخ</w:t>
      </w:r>
      <w:r>
        <w:rPr>
          <w:rFonts w:hint="cs"/>
          <w:rtl/>
        </w:rPr>
        <w:t>:</w:t>
      </w:r>
      <w:r w:rsidR="009C32A0" w:rsidRPr="005675B2">
        <w:rPr>
          <w:rFonts w:hint="cs"/>
          <w:rtl/>
        </w:rPr>
        <w:t xml:space="preserve"> محمدسعيد</w:t>
      </w:r>
      <w:r>
        <w:rPr>
          <w:rFonts w:hint="cs"/>
          <w:rtl/>
        </w:rPr>
        <w:t xml:space="preserve"> </w:t>
      </w:r>
      <w:r w:rsidR="009C32A0" w:rsidRPr="005675B2">
        <w:rPr>
          <w:rFonts w:hint="cs"/>
          <w:rtl/>
        </w:rPr>
        <w:t>البوطي</w:t>
      </w:r>
      <w:r>
        <w:rPr>
          <w:rFonts w:hint="cs"/>
          <w:rtl/>
        </w:rPr>
        <w:t>:</w:t>
      </w:r>
      <w:r w:rsidR="009C32A0" w:rsidRPr="005675B2">
        <w:rPr>
          <w:rFonts w:hint="cs"/>
          <w:rtl/>
        </w:rPr>
        <w:t xml:space="preserve"> وليس من ضير أن تستعمل لام التعليل في الكلام عن أفعال</w:t>
      </w:r>
      <w:r w:rsidR="009C32A0">
        <w:rPr>
          <w:rFonts w:hint="cs"/>
          <w:rtl/>
        </w:rPr>
        <w:t xml:space="preserve"> </w:t>
      </w:r>
      <w:r w:rsidR="009C32A0" w:rsidRPr="005675B2">
        <w:rPr>
          <w:rFonts w:hint="cs"/>
          <w:rtl/>
        </w:rPr>
        <w:t>المخلوقات</w:t>
      </w:r>
      <w:r>
        <w:rPr>
          <w:rFonts w:hint="cs"/>
          <w:rtl/>
        </w:rPr>
        <w:t>،</w:t>
      </w:r>
      <w:r w:rsidR="009C32A0" w:rsidRPr="005675B2">
        <w:rPr>
          <w:rFonts w:hint="cs"/>
          <w:rtl/>
        </w:rPr>
        <w:t>ولاضير أن تستعمل أنت ذلك في كلامك عن خلق الله وترتيبه الأشياء على بعضها</w:t>
      </w:r>
      <w:r>
        <w:rPr>
          <w:rFonts w:hint="cs"/>
          <w:rtl/>
        </w:rPr>
        <w:t>،</w:t>
      </w:r>
      <w:r w:rsidR="009C32A0" w:rsidRPr="005675B2">
        <w:rPr>
          <w:rFonts w:hint="cs"/>
          <w:rtl/>
        </w:rPr>
        <w:t>ولكن المحظور أن تفهم من لام التعليل الدلالة على ثبوت العلة الباعثة أو الغائية في حق</w:t>
      </w:r>
      <w:r w:rsidR="009C32A0">
        <w:rPr>
          <w:rFonts w:hint="cs"/>
          <w:rtl/>
        </w:rPr>
        <w:t xml:space="preserve"> </w:t>
      </w:r>
      <w:r w:rsidR="009C32A0" w:rsidRPr="005675B2">
        <w:rPr>
          <w:rFonts w:hint="cs"/>
          <w:rtl/>
        </w:rPr>
        <w:t>الله تعالى</w:t>
      </w:r>
      <w:r>
        <w:rPr>
          <w:rFonts w:hint="cs"/>
          <w:rtl/>
        </w:rPr>
        <w:t>،</w:t>
      </w:r>
      <w:r w:rsidR="009C32A0" w:rsidRPr="005675B2">
        <w:rPr>
          <w:rFonts w:hint="cs"/>
          <w:rtl/>
        </w:rPr>
        <w:t xml:space="preserve"> أ هـ</w:t>
      </w:r>
      <w:r>
        <w:rPr>
          <w:rFonts w:hint="cs"/>
          <w:rtl/>
        </w:rPr>
        <w:t xml:space="preserve"> [</w:t>
      </w:r>
      <w:r w:rsidR="009C32A0" w:rsidRPr="005675B2">
        <w:rPr>
          <w:rFonts w:hint="cs"/>
          <w:bCs/>
          <w:sz w:val="24"/>
          <w:szCs w:val="24"/>
          <w:rtl/>
        </w:rPr>
        <w:t>كبرى اليقينيات الكونية ص146،</w:t>
      </w:r>
      <w:r w:rsidR="009C32A0" w:rsidRPr="005675B2">
        <w:rPr>
          <w:rFonts w:hint="cs"/>
          <w:rtl/>
        </w:rPr>
        <w:t>]</w:t>
      </w:r>
      <w:r>
        <w:rPr>
          <w:rFonts w:hint="cs"/>
          <w:rtl/>
        </w:rPr>
        <w:t xml:space="preserve"> </w:t>
      </w:r>
      <w:r w:rsidR="009C32A0" w:rsidRPr="005675B2">
        <w:rPr>
          <w:rFonts w:hint="cs"/>
          <w:rtl/>
        </w:rPr>
        <w:t>-</w:t>
      </w:r>
      <w:r>
        <w:rPr>
          <w:rFonts w:hint="cs"/>
          <w:rtl/>
        </w:rPr>
        <w:t xml:space="preserve"> </w:t>
      </w:r>
      <w:r w:rsidR="009C32A0" w:rsidRPr="005675B2">
        <w:rPr>
          <w:rFonts w:hint="cs"/>
          <w:rtl/>
        </w:rPr>
        <w:t>فنفي التعليل والحكمة الدافعة عن</w:t>
      </w:r>
      <w:r>
        <w:rPr>
          <w:rFonts w:hint="cs"/>
          <w:rtl/>
        </w:rPr>
        <w:t xml:space="preserve"> </w:t>
      </w:r>
      <w:r w:rsidR="009C32A0" w:rsidRPr="005675B2">
        <w:rPr>
          <w:rFonts w:hint="cs"/>
          <w:rtl/>
        </w:rPr>
        <w:t>أفعال الله معناه</w:t>
      </w:r>
      <w:r>
        <w:rPr>
          <w:rFonts w:hint="cs"/>
          <w:rtl/>
        </w:rPr>
        <w:t>:</w:t>
      </w:r>
      <w:r w:rsidR="009C32A0" w:rsidRPr="005675B2">
        <w:rPr>
          <w:rFonts w:hint="cs"/>
          <w:rtl/>
        </w:rPr>
        <w:t>أنه لايبني أفعاله عليهما لأن ذلك شأن المفكر ين في عواقب الأمور وهذا يجب تنزيه الله تعالى عنه</w:t>
      </w:r>
      <w:r>
        <w:rPr>
          <w:rFonts w:hint="cs"/>
          <w:rtl/>
        </w:rPr>
        <w:t>،</w:t>
      </w:r>
      <w:r w:rsidR="009C32A0">
        <w:rPr>
          <w:rFonts w:hint="cs"/>
          <w:rtl/>
        </w:rPr>
        <w:t xml:space="preserve"> </w:t>
      </w:r>
    </w:p>
    <w:p w14:paraId="762718AE" w14:textId="7F4574F6" w:rsidR="009C32A0" w:rsidRPr="005675B2" w:rsidRDefault="009C32A0" w:rsidP="000636C2">
      <w:pPr>
        <w:rPr>
          <w:b/>
          <w:rtl/>
        </w:rPr>
      </w:pPr>
      <w:r w:rsidRPr="002928D0">
        <w:rPr>
          <w:rFonts w:hint="cs"/>
          <w:bCs/>
          <w:rtl/>
        </w:rPr>
        <w:t>هل يجب بدليل العقل على الله أن يثيب المطيع ويعذب العاصي</w:t>
      </w:r>
      <w:r w:rsidR="000636C2">
        <w:rPr>
          <w:rFonts w:hint="cs"/>
          <w:bCs/>
          <w:rtl/>
        </w:rPr>
        <w:t xml:space="preserve">: </w:t>
      </w:r>
      <w:r w:rsidRPr="005675B2">
        <w:rPr>
          <w:rFonts w:hint="cs"/>
          <w:rtl/>
        </w:rPr>
        <w:t>قال الكاتب</w:t>
      </w:r>
      <w:r w:rsidR="000636C2">
        <w:rPr>
          <w:rFonts w:hint="cs"/>
          <w:rtl/>
        </w:rPr>
        <w:t>:</w:t>
      </w:r>
      <w:r w:rsidRPr="005675B2">
        <w:rPr>
          <w:rFonts w:hint="cs"/>
          <w:rtl/>
        </w:rPr>
        <w:t xml:space="preserve"> ورتبوا على هذا أصولاً فاسدة كقولهم بجواز أن يخلد الله في</w:t>
      </w:r>
      <w:r w:rsidRPr="005675B2">
        <w:rPr>
          <w:rFonts w:hint="cs"/>
        </w:rPr>
        <w:t xml:space="preserve"> </w:t>
      </w:r>
      <w:r w:rsidRPr="005675B2">
        <w:rPr>
          <w:rFonts w:hint="cs"/>
          <w:rtl/>
        </w:rPr>
        <w:t>النار أخلص أوليائه ويخلد في الجنة أفجر الكفار</w:t>
      </w:r>
      <w:r w:rsidR="000636C2">
        <w:rPr>
          <w:rFonts w:hint="cs"/>
          <w:rtl/>
        </w:rPr>
        <w:t>،</w:t>
      </w:r>
      <w:r w:rsidRPr="005675B2">
        <w:rPr>
          <w:rFonts w:hint="cs"/>
          <w:rtl/>
        </w:rPr>
        <w:t xml:space="preserve"> وجواز التكليف بما لا يطاق ونحوها</w:t>
      </w:r>
      <w:r>
        <w:rPr>
          <w:rFonts w:hint="cs"/>
          <w:rtl/>
        </w:rPr>
        <w:t xml:space="preserve"> </w:t>
      </w:r>
      <w:r w:rsidRPr="005675B2">
        <w:rPr>
          <w:rFonts w:hint="cs"/>
          <w:rtl/>
        </w:rPr>
        <w:t>عند أهل السنة من الأشاعرة وغيرهم أن الله إذا عذب</w:t>
      </w:r>
      <w:r w:rsidR="000636C2">
        <w:rPr>
          <w:rFonts w:hint="cs"/>
          <w:rtl/>
        </w:rPr>
        <w:t xml:space="preserve"> </w:t>
      </w:r>
      <w:r w:rsidRPr="005675B2">
        <w:rPr>
          <w:rFonts w:hint="cs"/>
          <w:rtl/>
        </w:rPr>
        <w:t>أحداً فبمحض العدل</w:t>
      </w:r>
      <w:r w:rsidR="000636C2">
        <w:rPr>
          <w:rFonts w:hint="cs"/>
          <w:rtl/>
        </w:rPr>
        <w:t>،</w:t>
      </w:r>
      <w:r w:rsidRPr="005675B2">
        <w:rPr>
          <w:rFonts w:hint="cs"/>
          <w:rtl/>
        </w:rPr>
        <w:t>لأن الله لا يجب عليه شيء ولا يظلم أحداً</w:t>
      </w:r>
      <w:r w:rsidR="000636C2">
        <w:rPr>
          <w:rFonts w:hint="cs"/>
          <w:rtl/>
        </w:rPr>
        <w:t>،</w:t>
      </w:r>
      <w:r w:rsidRPr="005675B2">
        <w:rPr>
          <w:rFonts w:hint="cs"/>
          <w:rtl/>
        </w:rPr>
        <w:t xml:space="preserve"> والمسألة تأتي على جهتين</w:t>
      </w:r>
      <w:r w:rsidR="000636C2">
        <w:rPr>
          <w:rFonts w:hint="cs"/>
          <w:rtl/>
        </w:rPr>
        <w:t>:</w:t>
      </w:r>
      <w:r>
        <w:rPr>
          <w:rFonts w:hint="cs"/>
          <w:rtl/>
        </w:rPr>
        <w:t xml:space="preserve"> </w:t>
      </w:r>
      <w:r w:rsidRPr="005675B2">
        <w:rPr>
          <w:rFonts w:hint="cs"/>
          <w:rtl/>
        </w:rPr>
        <w:t>من جهة العقل</w:t>
      </w:r>
      <w:r w:rsidR="000636C2">
        <w:rPr>
          <w:rFonts w:hint="cs"/>
          <w:rtl/>
        </w:rPr>
        <w:t>:</w:t>
      </w:r>
      <w:r w:rsidRPr="005675B2">
        <w:rPr>
          <w:rFonts w:hint="cs"/>
          <w:rtl/>
        </w:rPr>
        <w:t xml:space="preserve"> فلا يجب على الله شيء خلافاً للمعتزلة الذين يوجبون على الله فعل الصلاح والأصلح</w:t>
      </w:r>
      <w:r w:rsidR="000636C2">
        <w:rPr>
          <w:rFonts w:hint="cs"/>
          <w:rtl/>
        </w:rPr>
        <w:t>،</w:t>
      </w:r>
      <w:r>
        <w:rPr>
          <w:rFonts w:hint="cs"/>
          <w:rtl/>
        </w:rPr>
        <w:t xml:space="preserve"> </w:t>
      </w:r>
      <w:r w:rsidRPr="005675B2">
        <w:rPr>
          <w:rFonts w:hint="cs"/>
          <w:rtl/>
        </w:rPr>
        <w:t>بينما أهل السنة ومنهم الأشاعرة فيقولون لا يجب عليه سبحانه وتعالى</w:t>
      </w:r>
      <w:r w:rsidR="000636C2">
        <w:rPr>
          <w:rFonts w:hint="cs"/>
          <w:rtl/>
        </w:rPr>
        <w:t>،</w:t>
      </w:r>
      <w:r w:rsidRPr="005675B2">
        <w:rPr>
          <w:rFonts w:hint="cs"/>
          <w:rtl/>
        </w:rPr>
        <w:t>بل هو جائز فقط</w:t>
      </w:r>
      <w:r w:rsidR="000636C2">
        <w:rPr>
          <w:rFonts w:hint="cs"/>
          <w:rtl/>
        </w:rPr>
        <w:t>،</w:t>
      </w:r>
      <w:r>
        <w:rPr>
          <w:rFonts w:hint="cs"/>
          <w:rtl/>
        </w:rPr>
        <w:t xml:space="preserve"> </w:t>
      </w:r>
      <w:r w:rsidRPr="005675B2">
        <w:rPr>
          <w:rFonts w:hint="cs"/>
          <w:rtl/>
        </w:rPr>
        <w:t>من جهة الشرع</w:t>
      </w:r>
      <w:r w:rsidR="000636C2">
        <w:rPr>
          <w:rFonts w:hint="cs"/>
          <w:rtl/>
        </w:rPr>
        <w:t>:</w:t>
      </w:r>
      <w:r w:rsidRPr="005675B2">
        <w:rPr>
          <w:rFonts w:hint="cs"/>
          <w:rtl/>
        </w:rPr>
        <w:t xml:space="preserve"> فإن الله أوعد الكفار بالنار</w:t>
      </w:r>
      <w:r w:rsidR="000636C2">
        <w:rPr>
          <w:rFonts w:hint="cs"/>
          <w:rtl/>
        </w:rPr>
        <w:t>،</w:t>
      </w:r>
      <w:r w:rsidRPr="005675B2">
        <w:rPr>
          <w:rFonts w:hint="cs"/>
          <w:rtl/>
        </w:rPr>
        <w:t>والمتقين بالجنة</w:t>
      </w:r>
      <w:r w:rsidR="000636C2">
        <w:rPr>
          <w:rFonts w:hint="cs"/>
          <w:rtl/>
        </w:rPr>
        <w:t>،</w:t>
      </w:r>
      <w:r w:rsidRPr="005675B2">
        <w:rPr>
          <w:rFonts w:hint="cs"/>
          <w:rtl/>
        </w:rPr>
        <w:t xml:space="preserve"> والعصاة من المؤمنين تحت المشيئة ولا يخلف الله وعده</w:t>
      </w:r>
      <w:r w:rsidR="000636C2">
        <w:rPr>
          <w:rFonts w:hint="cs"/>
          <w:rtl/>
        </w:rPr>
        <w:t>،</w:t>
      </w:r>
      <w:r w:rsidRPr="005675B2">
        <w:rPr>
          <w:rFonts w:hint="cs"/>
          <w:rtl/>
        </w:rPr>
        <w:t xml:space="preserve"> قال الباجوري</w:t>
      </w:r>
      <w:r w:rsidR="000636C2">
        <w:rPr>
          <w:rFonts w:hint="cs"/>
          <w:rtl/>
        </w:rPr>
        <w:t>:</w:t>
      </w:r>
      <w:r w:rsidRPr="005675B2">
        <w:rPr>
          <w:rFonts w:hint="cs"/>
          <w:rtl/>
        </w:rPr>
        <w:t xml:space="preserve"> معنى العدل المحض وضع الشيء في محله من غير اعتراض على الفاعل</w:t>
      </w:r>
      <w:r w:rsidR="000636C2">
        <w:rPr>
          <w:rFonts w:hint="cs"/>
          <w:rtl/>
        </w:rPr>
        <w:t>،</w:t>
      </w:r>
      <w:r w:rsidRPr="005675B2">
        <w:rPr>
          <w:rFonts w:hint="cs"/>
          <w:rtl/>
        </w:rPr>
        <w:t xml:space="preserve"> والظلم هو وضع الشيء في غير محله مع الاعتراض على فاعله وهذا رد على المعتزلة القائلين</w:t>
      </w:r>
      <w:r w:rsidR="000636C2">
        <w:rPr>
          <w:rFonts w:hint="cs"/>
          <w:rtl/>
        </w:rPr>
        <w:t>:</w:t>
      </w:r>
      <w:r w:rsidRPr="005675B2">
        <w:rPr>
          <w:rFonts w:hint="cs"/>
          <w:rtl/>
        </w:rPr>
        <w:t xml:space="preserve"> بوجوب تعذيب العاصي، لقولهم بوجوب إثابة الطائع</w:t>
      </w:r>
      <w:r w:rsidR="000636C2">
        <w:rPr>
          <w:rFonts w:hint="cs"/>
          <w:rtl/>
        </w:rPr>
        <w:t>،</w:t>
      </w:r>
      <w:r w:rsidRPr="005675B2">
        <w:rPr>
          <w:rFonts w:hint="cs"/>
          <w:rtl/>
        </w:rPr>
        <w:t xml:space="preserve"> وبنوا ذلك على قاعدتهم</w:t>
      </w:r>
      <w:r w:rsidR="000636C2">
        <w:rPr>
          <w:rFonts w:hint="cs"/>
          <w:rtl/>
        </w:rPr>
        <w:t>،</w:t>
      </w:r>
      <w:r w:rsidRPr="005675B2">
        <w:rPr>
          <w:rFonts w:hint="cs"/>
          <w:rtl/>
        </w:rPr>
        <w:t xml:space="preserve"> من أن العبد يخلق أفعال نفسه الاختيارية التي منها الطاعة والمعصية، وأما أهل السنة فقاعدتهم</w:t>
      </w:r>
      <w:r w:rsidR="000636C2">
        <w:rPr>
          <w:rFonts w:hint="cs"/>
          <w:rtl/>
        </w:rPr>
        <w:t>:</w:t>
      </w:r>
      <w:r w:rsidRPr="005675B2">
        <w:rPr>
          <w:rFonts w:hint="cs"/>
          <w:rtl/>
        </w:rPr>
        <w:t xml:space="preserve"> أن الله تعالى هو الخالق للأفعال كلها، ومنها الطاعة والمعصية</w:t>
      </w:r>
      <w:r w:rsidR="000636C2">
        <w:rPr>
          <w:rFonts w:hint="cs"/>
          <w:rtl/>
        </w:rPr>
        <w:t>،</w:t>
      </w:r>
      <w:r w:rsidRPr="005675B2">
        <w:rPr>
          <w:rFonts w:hint="cs"/>
          <w:rtl/>
        </w:rPr>
        <w:t xml:space="preserve"> وبنوا على ذلك أن الإثابة بالفضل </w:t>
      </w:r>
      <w:r w:rsidRPr="005675B2">
        <w:rPr>
          <w:rFonts w:hint="cs"/>
          <w:u w:val="single"/>
          <w:rtl/>
        </w:rPr>
        <w:t>والتعذيب بالعدل، وليسا بواجبين عليه تعالى</w:t>
      </w:r>
      <w:r w:rsidR="000636C2">
        <w:rPr>
          <w:rFonts w:hint="cs"/>
          <w:rtl/>
        </w:rPr>
        <w:t>،</w:t>
      </w:r>
      <w:r w:rsidRPr="005675B2">
        <w:rPr>
          <w:rFonts w:hint="cs"/>
          <w:rtl/>
        </w:rPr>
        <w:t xml:space="preserve"> و</w:t>
      </w:r>
      <w:r w:rsidRPr="005675B2">
        <w:rPr>
          <w:rFonts w:hint="cs"/>
          <w:u w:val="single"/>
          <w:rtl/>
        </w:rPr>
        <w:t>بالجملة فهو سبحانه لا تنفعه طاعة ولا تضره معصية</w:t>
      </w:r>
      <w:r w:rsidR="000636C2">
        <w:rPr>
          <w:rFonts w:hint="cs"/>
          <w:u w:val="single"/>
          <w:rtl/>
        </w:rPr>
        <w:t>،</w:t>
      </w:r>
      <w:r w:rsidRPr="005675B2">
        <w:rPr>
          <w:rFonts w:hint="cs"/>
          <w:u w:val="single"/>
          <w:rtl/>
        </w:rPr>
        <w:t xml:space="preserve"> </w:t>
      </w:r>
      <w:r w:rsidRPr="005675B2">
        <w:rPr>
          <w:rFonts w:hint="cs"/>
          <w:rtl/>
        </w:rPr>
        <w:t>فليست الطاعة مستلزمة للثواب وليست المعصية مستلزمة للعقاب، وإنما هما أمارتان عاديتان تدلان على الثواب لمن أطاع، والعقاب لمن عصى</w:t>
      </w:r>
      <w:r w:rsidR="000636C2">
        <w:rPr>
          <w:rFonts w:hint="cs"/>
          <w:rtl/>
        </w:rPr>
        <w:t>،</w:t>
      </w:r>
      <w:r w:rsidRPr="005675B2">
        <w:rPr>
          <w:rFonts w:hint="cs"/>
          <w:rtl/>
        </w:rPr>
        <w:t xml:space="preserve"> حتى لو عذب الله المطيع وأثاب العاصي، بأن جعل الطاعة أمارة على العذاب والمعصية أمارة على الثواب لكان منه ذلك حسناً سبحانه، لا يسأل عما يفعل، </w:t>
      </w:r>
      <w:r w:rsidRPr="005675B2">
        <w:rPr>
          <w:rFonts w:hint="cs"/>
          <w:u w:val="single"/>
          <w:rtl/>
        </w:rPr>
        <w:t>وهذا كله بحسب العقل،</w:t>
      </w:r>
      <w:r w:rsidRPr="005675B2">
        <w:rPr>
          <w:rFonts w:hint="cs"/>
          <w:rtl/>
        </w:rPr>
        <w:t xml:space="preserve"> وأما بحسب الشرع</w:t>
      </w:r>
      <w:r w:rsidR="000636C2">
        <w:rPr>
          <w:rFonts w:hint="cs"/>
          <w:rtl/>
        </w:rPr>
        <w:t>:</w:t>
      </w:r>
      <w:r w:rsidRPr="005675B2">
        <w:rPr>
          <w:rFonts w:hint="cs"/>
          <w:rtl/>
        </w:rPr>
        <w:t xml:space="preserve"> فلا يجوز خُلف الوعد، لأنه سفه، وهو يستحيل عليه سبحانه</w:t>
      </w:r>
      <w:r w:rsidR="000636C2">
        <w:rPr>
          <w:rFonts w:hint="cs"/>
          <w:rtl/>
        </w:rPr>
        <w:t>،</w:t>
      </w:r>
      <w:r w:rsidRPr="005675B2">
        <w:rPr>
          <w:rFonts w:hint="cs"/>
          <w:rtl/>
        </w:rPr>
        <w:t xml:space="preserve"> وأما الوعيد فهو في حق الكفار واقع لا محالة، لقوله تعالى</w:t>
      </w:r>
      <w:r w:rsidR="000636C2">
        <w:rPr>
          <w:rFonts w:hint="cs"/>
          <w:rtl/>
        </w:rPr>
        <w:t>:</w:t>
      </w:r>
      <w:r w:rsidRPr="005675B2">
        <w:rPr>
          <w:rFonts w:hint="cs"/>
          <w:rtl/>
        </w:rPr>
        <w:t xml:space="preserve"> {إِنَّ اللَّهَ لا يَغْفِرُ أَنْ يُشْرَكَ بِهِ}</w:t>
      </w:r>
      <w:r w:rsidR="000636C2">
        <w:rPr>
          <w:rFonts w:hint="cs"/>
          <w:rtl/>
        </w:rPr>
        <w:t>،</w:t>
      </w:r>
      <w:r w:rsidRPr="005675B2">
        <w:rPr>
          <w:rFonts w:hint="cs"/>
          <w:rtl/>
        </w:rPr>
        <w:t xml:space="preserve"> أما في حق المؤمنين فواقع في بعضهم لورود الأخبار بذلك، ثم يخرجون من النار، فلا يبقى فيها موحد، فتظل لأصحابها الطغاة الفجرة، الذين استكبروا في أنفسهم وعتوا عتواً كبيراً</w:t>
      </w:r>
      <w:r w:rsidR="000636C2">
        <w:rPr>
          <w:rFonts w:hint="cs"/>
          <w:rtl/>
        </w:rPr>
        <w:t>،</w:t>
      </w:r>
      <w:r w:rsidRPr="005675B2">
        <w:rPr>
          <w:rFonts w:hint="cs"/>
          <w:rtl/>
        </w:rPr>
        <w:t xml:space="preserve"> ‏انتهى كلامه رحمه الله [</w:t>
      </w:r>
      <w:r w:rsidRPr="005675B2">
        <w:rPr>
          <w:rFonts w:hint="cs"/>
          <w:bCs/>
          <w:sz w:val="24"/>
          <w:szCs w:val="24"/>
          <w:rtl/>
        </w:rPr>
        <w:t>تهذيب شرح الجوهرة شرح البيت رقم (50)]</w:t>
      </w:r>
    </w:p>
    <w:p w14:paraId="54EAAF64" w14:textId="2A3F53BE" w:rsidR="009C32A0" w:rsidRPr="005675B2" w:rsidRDefault="009C32A0" w:rsidP="000636C2">
      <w:pPr>
        <w:rPr>
          <w:b/>
          <w:rtl/>
        </w:rPr>
      </w:pPr>
      <w:r w:rsidRPr="002928D0">
        <w:rPr>
          <w:rFonts w:hint="cs"/>
          <w:bCs/>
          <w:rtl/>
        </w:rPr>
        <w:t>دعوى الموجان أن الأشاعرة لا يثبتون لله الفعل</w:t>
      </w:r>
      <w:r w:rsidR="000636C2">
        <w:rPr>
          <w:rFonts w:hint="cs"/>
          <w:rtl/>
        </w:rPr>
        <w:t xml:space="preserve">، </w:t>
      </w:r>
      <w:r w:rsidRPr="005675B2">
        <w:rPr>
          <w:rFonts w:hint="cs"/>
          <w:rtl/>
        </w:rPr>
        <w:t>الرد على الموجان</w:t>
      </w:r>
      <w:r w:rsidR="000636C2">
        <w:rPr>
          <w:rFonts w:hint="cs"/>
          <w:rtl/>
        </w:rPr>
        <w:t>:</w:t>
      </w:r>
      <w:r w:rsidRPr="005675B2">
        <w:rPr>
          <w:rFonts w:hint="cs"/>
          <w:rtl/>
        </w:rPr>
        <w:t xml:space="preserve"> قال الموجان</w:t>
      </w:r>
      <w:r w:rsidR="000636C2">
        <w:rPr>
          <w:rFonts w:hint="cs"/>
          <w:rtl/>
        </w:rPr>
        <w:t>:</w:t>
      </w:r>
      <w:r w:rsidRPr="005675B2">
        <w:rPr>
          <w:rFonts w:hint="cs"/>
          <w:rtl/>
        </w:rPr>
        <w:t xml:space="preserve"> الأشاعرة لم يثبتوا أصلاً أفعالاً لله حتى يثبتوا لها حكمة بل فعله عندهم مفعوله</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الرد الشامل:168</w:t>
      </w:r>
      <w:r w:rsidRPr="005675B2">
        <w:rPr>
          <w:rFonts w:hint="cs"/>
          <w:rtl/>
        </w:rPr>
        <w:t>] هكذا قال</w:t>
      </w:r>
      <w:r w:rsidR="000636C2">
        <w:rPr>
          <w:rFonts w:hint="cs"/>
          <w:rtl/>
        </w:rPr>
        <w:t>!</w:t>
      </w:r>
      <w:r w:rsidRPr="005675B2">
        <w:rPr>
          <w:rFonts w:hint="cs"/>
          <w:rtl/>
        </w:rPr>
        <w:t>! فياأخي الكريم دع عنك العقائد إن كنت لا تدري عن مذاهب الناس</w:t>
      </w:r>
      <w:r w:rsidR="000636C2">
        <w:rPr>
          <w:rFonts w:hint="cs"/>
          <w:rtl/>
        </w:rPr>
        <w:t>،</w:t>
      </w:r>
      <w:r w:rsidRPr="005675B2">
        <w:rPr>
          <w:rFonts w:hint="cs"/>
          <w:rtl/>
        </w:rPr>
        <w:t xml:space="preserve"> فالله فاعل</w:t>
      </w:r>
      <w:r w:rsidR="000636C2">
        <w:rPr>
          <w:rFonts w:hint="cs"/>
          <w:rtl/>
        </w:rPr>
        <w:t>،</w:t>
      </w:r>
      <w:r w:rsidRPr="005675B2">
        <w:rPr>
          <w:rFonts w:hint="cs"/>
          <w:rtl/>
        </w:rPr>
        <w:t xml:space="preserve"> والخلق فعل</w:t>
      </w:r>
      <w:r w:rsidR="000636C2">
        <w:rPr>
          <w:rFonts w:hint="cs"/>
          <w:rtl/>
        </w:rPr>
        <w:t>،</w:t>
      </w:r>
      <w:r w:rsidRPr="005675B2">
        <w:rPr>
          <w:rFonts w:hint="cs"/>
          <w:rtl/>
        </w:rPr>
        <w:t>والموجان مفعول أي مخلوق</w:t>
      </w:r>
      <w:r w:rsidR="000636C2">
        <w:rPr>
          <w:rFonts w:hint="cs"/>
          <w:rtl/>
        </w:rPr>
        <w:t>،</w:t>
      </w:r>
      <w:r w:rsidRPr="005675B2">
        <w:rPr>
          <w:rFonts w:hint="cs"/>
          <w:rtl/>
        </w:rPr>
        <w:t xml:space="preserve"> لا أحد ينكر ذلك لا الأشاعرة ولا الماتريدية ولا أصحاب الحديث</w:t>
      </w:r>
      <w:r w:rsidR="000636C2">
        <w:rPr>
          <w:rFonts w:hint="cs"/>
          <w:rtl/>
        </w:rPr>
        <w:t>،،</w:t>
      </w:r>
      <w:r w:rsidRPr="005675B2">
        <w:rPr>
          <w:rFonts w:hint="cs"/>
          <w:rtl/>
        </w:rPr>
        <w:t xml:space="preserve"> ولا أدري ما ذا تفهم حين تراهم</w:t>
      </w:r>
      <w:r w:rsidR="000636C2">
        <w:rPr>
          <w:rFonts w:hint="cs"/>
          <w:rtl/>
        </w:rPr>
        <w:t xml:space="preserve"> </w:t>
      </w:r>
      <w:r w:rsidRPr="005675B2">
        <w:rPr>
          <w:rFonts w:hint="cs"/>
          <w:rtl/>
        </w:rPr>
        <w:t>يعرفون التوحيد أنه</w:t>
      </w:r>
      <w:r w:rsidR="000636C2">
        <w:rPr>
          <w:rFonts w:hint="cs"/>
          <w:rtl/>
        </w:rPr>
        <w:t>:</w:t>
      </w:r>
      <w:r w:rsidRPr="005675B2">
        <w:rPr>
          <w:rFonts w:hint="cs"/>
          <w:rtl/>
        </w:rPr>
        <w:t xml:space="preserve"> إفراد المعبود بالعبادة مع اعتقاد وحدته والتصديق بها ذاتاًوصفات </w:t>
      </w:r>
      <w:r w:rsidRPr="005675B2">
        <w:rPr>
          <w:rFonts w:hint="cs"/>
          <w:u w:val="single"/>
          <w:rtl/>
        </w:rPr>
        <w:t>وأفعالاً</w:t>
      </w:r>
      <w:r w:rsidR="000636C2">
        <w:rPr>
          <w:rFonts w:hint="cs"/>
          <w:u w:val="single"/>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الجوهرة للباجوري 38</w:t>
      </w:r>
      <w:r w:rsidRPr="005675B2">
        <w:rPr>
          <w:rFonts w:hint="cs"/>
          <w:rtl/>
        </w:rPr>
        <w:t>] يوحدونه في أفعاله فلا شريك له، ألم تسأل نفسك عن أفعاله</w:t>
      </w:r>
      <w:r w:rsidR="000636C2">
        <w:rPr>
          <w:rFonts w:hint="cs"/>
          <w:rtl/>
        </w:rPr>
        <w:t xml:space="preserve">؟! </w:t>
      </w:r>
      <w:r w:rsidRPr="005675B2">
        <w:rPr>
          <w:rFonts w:hint="cs"/>
          <w:rtl/>
        </w:rPr>
        <w:t>وحدانية الله في أفعاله هي أن</w:t>
      </w:r>
      <w:r w:rsidR="000636C2">
        <w:rPr>
          <w:rFonts w:hint="cs"/>
          <w:rtl/>
        </w:rPr>
        <w:t xml:space="preserve"> </w:t>
      </w:r>
      <w:r w:rsidRPr="005675B2">
        <w:rPr>
          <w:rFonts w:hint="cs"/>
          <w:rtl/>
        </w:rPr>
        <w:t>تنفي أن يكون هنالك</w:t>
      </w:r>
      <w:r w:rsidRPr="005675B2">
        <w:rPr>
          <w:rFonts w:hint="cs"/>
        </w:rPr>
        <w:t xml:space="preserve"> </w:t>
      </w:r>
      <w:r w:rsidRPr="005675B2">
        <w:rPr>
          <w:rFonts w:hint="cs"/>
          <w:rtl/>
        </w:rPr>
        <w:t>قسيم لله تعالى أو شريك له في أفعاله</w:t>
      </w:r>
      <w:r w:rsidR="000636C2">
        <w:rPr>
          <w:rFonts w:hint="cs"/>
          <w:rtl/>
        </w:rPr>
        <w:t>،</w:t>
      </w:r>
      <w:r w:rsidRPr="005675B2">
        <w:rPr>
          <w:rFonts w:hint="cs"/>
          <w:rtl/>
        </w:rPr>
        <w:t xml:space="preserve"> بل الله تعالى هو المتفرد بالإيجاد والإعدام</w:t>
      </w:r>
      <w:r w:rsidR="000636C2">
        <w:rPr>
          <w:rFonts w:hint="cs"/>
          <w:rtl/>
        </w:rPr>
        <w:t>،</w:t>
      </w:r>
      <w:r w:rsidRPr="005675B2">
        <w:rPr>
          <w:rFonts w:hint="cs"/>
          <w:rtl/>
        </w:rPr>
        <w:t xml:space="preserve"> والأفعال كلها لله تعالى</w:t>
      </w:r>
      <w:r w:rsidR="000636C2">
        <w:rPr>
          <w:rFonts w:hint="cs"/>
          <w:rtl/>
        </w:rPr>
        <w:t>،</w:t>
      </w:r>
      <w:r w:rsidRPr="005675B2">
        <w:rPr>
          <w:rFonts w:hint="cs"/>
          <w:rtl/>
        </w:rPr>
        <w:t xml:space="preserve"> وما يظهر من الأفعال على يد المخلوقات إنما هو كسب لهم،</w:t>
      </w:r>
      <w:r w:rsidRPr="005675B2">
        <w:rPr>
          <w:rFonts w:hint="cs"/>
        </w:rPr>
        <w:t xml:space="preserve"> </w:t>
      </w:r>
      <w:r w:rsidRPr="005675B2">
        <w:rPr>
          <w:rFonts w:hint="cs"/>
          <w:rtl/>
        </w:rPr>
        <w:t>والله تعالى وحده هو الفاعل</w:t>
      </w:r>
      <w:r w:rsidR="000636C2">
        <w:rPr>
          <w:rFonts w:hint="cs"/>
          <w:rtl/>
        </w:rPr>
        <w:t>،</w:t>
      </w:r>
      <w:r w:rsidRPr="005675B2">
        <w:rPr>
          <w:rFonts w:hint="cs"/>
          <w:rtl/>
        </w:rPr>
        <w:t xml:space="preserve"> ومنه تعلم أن فعله ليس مفعوله</w:t>
      </w:r>
      <w:r w:rsidR="000636C2">
        <w:rPr>
          <w:rFonts w:hint="cs"/>
          <w:rtl/>
        </w:rPr>
        <w:t>،</w:t>
      </w:r>
      <w:r w:rsidRPr="005675B2">
        <w:rPr>
          <w:rFonts w:hint="cs"/>
          <w:rtl/>
        </w:rPr>
        <w:t xml:space="preserve"> وانظر ذلك في شرح الجوهرة للباجوري</w:t>
      </w:r>
      <w:r w:rsidR="000636C2">
        <w:rPr>
          <w:rFonts w:hint="cs"/>
          <w:rtl/>
        </w:rPr>
        <w:t>،</w:t>
      </w:r>
      <w:r w:rsidRPr="005675B2">
        <w:rPr>
          <w:rFonts w:hint="cs"/>
          <w:rtl/>
        </w:rPr>
        <w:t xml:space="preserve"> والاعتقاد والهداية</w:t>
      </w:r>
      <w:r w:rsidR="000636C2">
        <w:rPr>
          <w:rFonts w:hint="cs"/>
          <w:rtl/>
        </w:rPr>
        <w:t>،</w:t>
      </w:r>
      <w:r w:rsidRPr="005675B2">
        <w:rPr>
          <w:rFonts w:hint="cs"/>
          <w:rtl/>
        </w:rPr>
        <w:t xml:space="preserve"> قال الباجوري - في معنى الوحدانية في الأفعال -</w:t>
      </w:r>
      <w:r w:rsidR="000636C2">
        <w:rPr>
          <w:rFonts w:hint="cs"/>
          <w:rtl/>
        </w:rPr>
        <w:t>:</w:t>
      </w:r>
      <w:r w:rsidRPr="005675B2">
        <w:rPr>
          <w:rFonts w:hint="cs"/>
          <w:rtl/>
        </w:rPr>
        <w:t>الكم المنفصل في الأفعال وهو أن يكون لغير الله فعل من الأفعال على وجه الإيجاد</w:t>
      </w:r>
      <w:r w:rsidR="000636C2">
        <w:rPr>
          <w:rFonts w:hint="cs"/>
          <w:rtl/>
        </w:rPr>
        <w:t>،</w:t>
      </w:r>
      <w:r w:rsidRPr="005675B2">
        <w:rPr>
          <w:rFonts w:hint="cs"/>
          <w:rtl/>
        </w:rPr>
        <w:t>وإنما ينسب الفعل له على وجه الكسب والاختيار وهذا الكم</w:t>
      </w:r>
      <w:r w:rsidRPr="005675B2">
        <w:rPr>
          <w:rFonts w:hint="cs"/>
          <w:u w:val="single"/>
          <w:rtl/>
        </w:rPr>
        <w:t xml:space="preserve"> منفي</w:t>
      </w:r>
      <w:r w:rsidRPr="005675B2">
        <w:rPr>
          <w:rFonts w:hint="cs"/>
          <w:rtl/>
        </w:rPr>
        <w:t xml:space="preserve"> بوحدانية الأفعال ..</w:t>
      </w:r>
      <w:r w:rsidR="000636C2">
        <w:rPr>
          <w:rFonts w:hint="cs"/>
          <w:rtl/>
        </w:rPr>
        <w:t>،</w:t>
      </w:r>
      <w:r w:rsidRPr="005675B2">
        <w:rPr>
          <w:rFonts w:hint="cs"/>
          <w:rtl/>
        </w:rPr>
        <w:t xml:space="preserve"> وأما الكم المتصل فإن صورناه بتعدد الأفعال فهو ثابت لايصح نفيه</w:t>
      </w:r>
      <w:r w:rsidR="000636C2">
        <w:rPr>
          <w:rFonts w:hint="cs"/>
          <w:rtl/>
        </w:rPr>
        <w:t>،</w:t>
      </w:r>
      <w:r w:rsidRPr="005675B2">
        <w:rPr>
          <w:rFonts w:hint="cs"/>
          <w:rtl/>
        </w:rPr>
        <w:t>لأن أفعاله كثيرة من خلق ورزق وإحياء وإماتة إلى غير ذلك</w:t>
      </w:r>
      <w:r w:rsidR="000636C2">
        <w:rPr>
          <w:rFonts w:hint="cs"/>
          <w:rtl/>
        </w:rPr>
        <w:t>،</w:t>
      </w:r>
      <w:r w:rsidRPr="005675B2">
        <w:rPr>
          <w:rFonts w:hint="cs"/>
          <w:rtl/>
        </w:rPr>
        <w:t>وإن صورناه بمشاركة غير الله له في فعل من الأفعال</w:t>
      </w:r>
      <w:r w:rsidR="000636C2">
        <w:rPr>
          <w:rFonts w:hint="cs"/>
          <w:rtl/>
        </w:rPr>
        <w:t>،</w:t>
      </w:r>
      <w:r w:rsidRPr="005675B2">
        <w:rPr>
          <w:rFonts w:hint="cs"/>
          <w:rtl/>
        </w:rPr>
        <w:t>فهو منفي أيضاً بوحدانية الأفعال</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الجوهرة 152،153،وانظر أيضاً حاشية ابن الأمير 140،والاعتقاد والهداية للبيهقي 52</w:t>
      </w:r>
      <w:r w:rsidRPr="005675B2">
        <w:rPr>
          <w:rFonts w:hint="cs"/>
          <w:rtl/>
        </w:rPr>
        <w:t>] فعسى في هذا إيقاظ</w:t>
      </w:r>
      <w:r w:rsidR="000636C2">
        <w:rPr>
          <w:rFonts w:hint="cs"/>
          <w:rtl/>
        </w:rPr>
        <w:t>،</w:t>
      </w:r>
      <w:r w:rsidRPr="005675B2">
        <w:rPr>
          <w:rFonts w:hint="cs"/>
          <w:rtl/>
        </w:rPr>
        <w:t xml:space="preserve"> وهنا همسة أخرى للأخ الموجان فقوله</w:t>
      </w:r>
      <w:r w:rsidR="000636C2">
        <w:rPr>
          <w:rFonts w:hint="cs"/>
          <w:rtl/>
        </w:rPr>
        <w:t>:</w:t>
      </w:r>
      <w:r w:rsidRPr="005675B2">
        <w:rPr>
          <w:rFonts w:hint="cs"/>
          <w:rtl/>
        </w:rPr>
        <w:t xml:space="preserve"> معلوم أن الفلاسفة نفاة للحكمة فهم موافقون للأشاعرة في هذا فهذا الإلزام صالح لهم</w:t>
      </w:r>
      <w:r w:rsidR="000636C2">
        <w:rPr>
          <w:rFonts w:hint="cs"/>
          <w:rtl/>
        </w:rPr>
        <w:t>،</w:t>
      </w:r>
      <w:r w:rsidRPr="005675B2">
        <w:rPr>
          <w:rFonts w:hint="cs"/>
          <w:rtl/>
        </w:rPr>
        <w:t xml:space="preserve"> أهـ</w:t>
      </w:r>
      <w:r w:rsidR="000636C2">
        <w:rPr>
          <w:rFonts w:hint="cs"/>
          <w:rtl/>
        </w:rPr>
        <w:t xml:space="preserve"> [</w:t>
      </w:r>
      <w:r w:rsidRPr="005675B2">
        <w:rPr>
          <w:rFonts w:hint="cs"/>
          <w:bCs/>
          <w:sz w:val="24"/>
          <w:szCs w:val="24"/>
          <w:rtl/>
        </w:rPr>
        <w:t>الرد الشامل 170</w:t>
      </w:r>
      <w:r w:rsidRPr="005675B2">
        <w:rPr>
          <w:rFonts w:hint="cs"/>
          <w:rtl/>
        </w:rPr>
        <w:t>] لعله تبين لك فساد فهمك لمذهبهم</w:t>
      </w:r>
      <w:r w:rsidR="000636C2">
        <w:rPr>
          <w:rFonts w:hint="cs"/>
          <w:rtl/>
        </w:rPr>
        <w:t>،</w:t>
      </w:r>
      <w:r>
        <w:rPr>
          <w:rFonts w:hint="cs"/>
          <w:rtl/>
        </w:rPr>
        <w:t xml:space="preserve"> </w:t>
      </w:r>
    </w:p>
    <w:p w14:paraId="4A57639F" w14:textId="3B272F9F"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قول الكاتب</w:t>
      </w:r>
      <w:r w:rsidR="000636C2">
        <w:rPr>
          <w:rFonts w:hint="cs"/>
          <w:rtl/>
        </w:rPr>
        <w:t>:</w:t>
      </w:r>
      <w:r w:rsidRPr="005675B2">
        <w:rPr>
          <w:rFonts w:hint="cs"/>
          <w:rtl/>
        </w:rPr>
        <w:t xml:space="preserve"> لم يثبت</w:t>
      </w:r>
      <w:r w:rsidRPr="005675B2">
        <w:rPr>
          <w:rFonts w:hint="cs"/>
        </w:rPr>
        <w:t xml:space="preserve"> </w:t>
      </w:r>
      <w:r w:rsidRPr="005675B2">
        <w:rPr>
          <w:rFonts w:hint="cs"/>
          <w:rtl/>
        </w:rPr>
        <w:t>الأشاعرة الحكمة مع الصفات السبع واكتفوا بإثبات الإرادة مع أن الحكمة تقتضي</w:t>
      </w:r>
      <w:r w:rsidRPr="005675B2">
        <w:rPr>
          <w:rFonts w:hint="cs"/>
        </w:rPr>
        <w:t xml:space="preserve"> </w:t>
      </w:r>
      <w:r w:rsidRPr="005675B2">
        <w:rPr>
          <w:rFonts w:hint="cs"/>
          <w:rtl/>
        </w:rPr>
        <w:t>الإرادة والعلم وزيادة</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أن الحكمة تأتي تبعاً لأفعاله وأحكامه جل شأنه</w:t>
      </w:r>
      <w:r w:rsidR="000636C2">
        <w:rPr>
          <w:rFonts w:hint="cs"/>
          <w:rtl/>
        </w:rPr>
        <w:t>،</w:t>
      </w:r>
      <w:r w:rsidRPr="005675B2">
        <w:rPr>
          <w:rFonts w:hint="cs"/>
          <w:rtl/>
        </w:rPr>
        <w:t>وليست باعثاً أو دافعاً كما مر بيانه</w:t>
      </w:r>
      <w:r w:rsidR="000636C2">
        <w:rPr>
          <w:rFonts w:hint="cs"/>
          <w:rtl/>
        </w:rPr>
        <w:t>،</w:t>
      </w:r>
      <w:r w:rsidRPr="005675B2">
        <w:rPr>
          <w:rFonts w:hint="cs"/>
          <w:rtl/>
        </w:rPr>
        <w:t xml:space="preserve"> وهذا لاينافي أن أفعاله تعالى لا تخلو عن الحكم والمصالح</w:t>
      </w:r>
      <w:r w:rsidR="000636C2">
        <w:rPr>
          <w:rFonts w:hint="cs"/>
          <w:rtl/>
        </w:rPr>
        <w:t>،</w:t>
      </w:r>
      <w:r>
        <w:rPr>
          <w:rFonts w:hint="cs"/>
          <w:rtl/>
        </w:rPr>
        <w:t xml:space="preserve"> </w:t>
      </w:r>
      <w:r w:rsidRPr="005675B2">
        <w:rPr>
          <w:rFonts w:hint="cs"/>
          <w:rtl/>
        </w:rPr>
        <w:t>قال شيخ الإسلام مصطفى صبري</w:t>
      </w:r>
      <w:r w:rsidR="000636C2">
        <w:rPr>
          <w:rFonts w:hint="cs"/>
          <w:rtl/>
        </w:rPr>
        <w:t>:</w:t>
      </w:r>
      <w:r w:rsidRPr="005675B2">
        <w:rPr>
          <w:rFonts w:hint="cs"/>
          <w:rtl/>
        </w:rPr>
        <w:t xml:space="preserve"> أما القول باستلزام كون أفعال الله تعالى عبثاً واتفاقاً إذا لم تعلل</w:t>
      </w:r>
      <w:r>
        <w:rPr>
          <w:rFonts w:hint="cs"/>
          <w:rtl/>
        </w:rPr>
        <w:t xml:space="preserve"> </w:t>
      </w:r>
      <w:r w:rsidRPr="005675B2">
        <w:rPr>
          <w:rFonts w:hint="cs"/>
          <w:rtl/>
        </w:rPr>
        <w:t>بالأغراض والعلل الغائية</w:t>
      </w:r>
      <w:r w:rsidR="000636C2">
        <w:rPr>
          <w:rFonts w:hint="cs"/>
          <w:rtl/>
        </w:rPr>
        <w:t>،</w:t>
      </w:r>
      <w:r w:rsidRPr="005675B2">
        <w:rPr>
          <w:rFonts w:hint="cs"/>
          <w:rtl/>
        </w:rPr>
        <w:t>فوهم محض منشأه كون القائلين بهذا يقيسون الله تعالى على أنفسهم أي على</w:t>
      </w:r>
      <w:r>
        <w:rPr>
          <w:rFonts w:hint="cs"/>
          <w:rtl/>
        </w:rPr>
        <w:t xml:space="preserve"> </w:t>
      </w:r>
      <w:r w:rsidRPr="005675B2">
        <w:rPr>
          <w:rFonts w:hint="cs"/>
          <w:rtl/>
        </w:rPr>
        <w:t>الإنسان الذي لا يعمل إلا بالمرجح والعلة الغائية فإن لم يعمل بذلك كان عبثاً واتفاقاً</w:t>
      </w:r>
      <w:r w:rsidR="000636C2">
        <w:rPr>
          <w:rFonts w:hint="cs"/>
          <w:rtl/>
        </w:rPr>
        <w:t>،</w:t>
      </w:r>
      <w:r w:rsidRPr="005675B2">
        <w:rPr>
          <w:rFonts w:hint="cs"/>
          <w:rtl/>
        </w:rPr>
        <w:t xml:space="preserve"> وكان حسبهم في نفي هذا القياس أن الله لايحتاح إلى التأمل والتفكر</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موقف العقل والعلم من رب العالمين .ص3</w:t>
      </w:r>
      <w:r w:rsidRPr="005675B2">
        <w:rPr>
          <w:rFonts w:hint="cs"/>
          <w:rtl/>
        </w:rPr>
        <w:t>]</w:t>
      </w:r>
      <w:r w:rsidR="000636C2">
        <w:rPr>
          <w:rFonts w:hint="cs"/>
          <w:rtl/>
        </w:rPr>
        <w:t xml:space="preserve">، </w:t>
      </w:r>
      <w:r w:rsidRPr="005675B2">
        <w:rPr>
          <w:rFonts w:hint="cs"/>
          <w:rtl/>
        </w:rPr>
        <w:t>وذكر قاعدة عظيمة فقال</w:t>
      </w:r>
      <w:r w:rsidR="000636C2">
        <w:rPr>
          <w:rFonts w:hint="cs"/>
          <w:rtl/>
        </w:rPr>
        <w:t>:</w:t>
      </w:r>
      <w:r w:rsidRPr="005675B2">
        <w:rPr>
          <w:rFonts w:hint="cs"/>
          <w:rtl/>
        </w:rPr>
        <w:t xml:space="preserve"> نحن ننفي التعليل بالغايات ولا ننفي الغايات والعلم بها</w:t>
      </w:r>
      <w:r w:rsidR="000636C2">
        <w:rPr>
          <w:rFonts w:hint="cs"/>
          <w:rtl/>
        </w:rPr>
        <w:t>،</w:t>
      </w:r>
      <w:r w:rsidRPr="005675B2">
        <w:rPr>
          <w:rFonts w:hint="cs"/>
          <w:rtl/>
        </w:rPr>
        <w:t xml:space="preserve"> [</w:t>
      </w:r>
      <w:r w:rsidRPr="005675B2">
        <w:rPr>
          <w:rFonts w:hint="cs"/>
          <w:bCs/>
          <w:sz w:val="24"/>
          <w:szCs w:val="24"/>
          <w:rtl/>
        </w:rPr>
        <w:t>موقف العقل والعلم من رب العالمين ص17 وانظر كبرى اليقينيات الكونية 149</w:t>
      </w:r>
      <w:r w:rsidRPr="005675B2">
        <w:rPr>
          <w:rFonts w:hint="cs"/>
          <w:rtl/>
        </w:rPr>
        <w:t>] وبهذا تعلم فساد تقريرات الموجان في كتابه وكذا الحوالي،والمحمود الذي ينقل عنه الموجان</w:t>
      </w:r>
      <w:r w:rsidR="000636C2">
        <w:rPr>
          <w:rFonts w:hint="cs"/>
          <w:rtl/>
        </w:rPr>
        <w:t>،</w:t>
      </w:r>
      <w:r w:rsidRPr="005675B2">
        <w:rPr>
          <w:rFonts w:hint="cs"/>
          <w:rtl/>
        </w:rPr>
        <w:t xml:space="preserve"> لسبب بسيط جداً أن هؤلاء كلهم لا يرجعون إلى كتب الأشاعرة لمعرفة معتقدهم بل يأخذونه من كتب الإمام ابن تيمية وهذا غلط كبير</w:t>
      </w:r>
      <w:r w:rsidR="000636C2">
        <w:rPr>
          <w:rFonts w:hint="cs"/>
          <w:rtl/>
        </w:rPr>
        <w:t>،</w:t>
      </w:r>
    </w:p>
    <w:p w14:paraId="1595B1DE" w14:textId="587392F0" w:rsidR="009C32A0" w:rsidRPr="005675B2" w:rsidRDefault="009C32A0" w:rsidP="000636C2">
      <w:pPr>
        <w:rPr>
          <w:b/>
          <w:rtl/>
        </w:rPr>
      </w:pPr>
      <w:r w:rsidRPr="002928D0">
        <w:rPr>
          <w:rFonts w:hint="cs"/>
          <w:bCs/>
          <w:rtl/>
        </w:rPr>
        <w:t>الخلاصة</w:t>
      </w:r>
      <w:r w:rsidR="000636C2">
        <w:rPr>
          <w:rFonts w:hint="cs"/>
          <w:rtl/>
        </w:rPr>
        <w:t>:</w:t>
      </w:r>
      <w:r w:rsidRPr="005675B2">
        <w:rPr>
          <w:rFonts w:hint="cs"/>
          <w:rtl/>
        </w:rPr>
        <w:t xml:space="preserve"> 1</w:t>
      </w:r>
      <w:r w:rsidR="000636C2">
        <w:rPr>
          <w:rFonts w:hint="cs"/>
          <w:rtl/>
        </w:rPr>
        <w:t xml:space="preserve"> </w:t>
      </w:r>
      <w:r w:rsidRPr="005675B2">
        <w:rPr>
          <w:rFonts w:hint="cs"/>
          <w:rtl/>
        </w:rPr>
        <w:t>- أن الله لا يدفعه إلى أفعاله دافع ولا يبعثه دوافع ولا له أغراض لأنه الكامل</w:t>
      </w:r>
      <w:r w:rsidR="000636C2">
        <w:rPr>
          <w:rFonts w:hint="cs"/>
          <w:rtl/>
        </w:rPr>
        <w:t xml:space="preserve"> </w:t>
      </w:r>
      <w:r w:rsidRPr="005675B2">
        <w:rPr>
          <w:rFonts w:hint="cs"/>
          <w:rtl/>
        </w:rPr>
        <w:t>جل شأنه</w:t>
      </w:r>
      <w:r w:rsidR="000636C2">
        <w:rPr>
          <w:rFonts w:hint="cs"/>
          <w:rtl/>
        </w:rPr>
        <w:t>،</w:t>
      </w:r>
      <w:r w:rsidRPr="005675B2">
        <w:rPr>
          <w:rFonts w:hint="cs"/>
          <w:rtl/>
        </w:rPr>
        <w:t>بل الحكمة تأتي تبعاً لأفعاله</w:t>
      </w:r>
      <w:r w:rsidR="000636C2">
        <w:rPr>
          <w:rFonts w:hint="cs"/>
          <w:rtl/>
        </w:rPr>
        <w:t>،</w:t>
      </w:r>
      <w:r w:rsidRPr="005675B2">
        <w:rPr>
          <w:rFonts w:hint="cs"/>
          <w:rtl/>
        </w:rPr>
        <w:t xml:space="preserve"> وحوله يدندن أهل السنة كافة من الأشعرية وغيرهم قال الإمام تقي الدين</w:t>
      </w:r>
      <w:r w:rsidR="000636C2">
        <w:rPr>
          <w:rFonts w:hint="cs"/>
          <w:rtl/>
        </w:rPr>
        <w:t xml:space="preserve"> </w:t>
      </w:r>
      <w:r w:rsidRPr="005675B2">
        <w:rPr>
          <w:rFonts w:hint="cs"/>
          <w:rtl/>
        </w:rPr>
        <w:t>السبكي في رده على ابن تيمية في مسألة فناء النار</w:t>
      </w:r>
      <w:r w:rsidR="000636C2">
        <w:rPr>
          <w:rFonts w:hint="cs"/>
          <w:rtl/>
        </w:rPr>
        <w:t xml:space="preserve"> </w:t>
      </w:r>
      <w:r w:rsidRPr="005675B2">
        <w:rPr>
          <w:rFonts w:hint="cs"/>
          <w:rtl/>
        </w:rPr>
        <w:t>فإن قلت</w:t>
      </w:r>
      <w:r w:rsidR="000636C2">
        <w:rPr>
          <w:rFonts w:hint="cs"/>
          <w:rtl/>
        </w:rPr>
        <w:t>:</w:t>
      </w:r>
      <w:r w:rsidRPr="005675B2">
        <w:rPr>
          <w:rFonts w:hint="cs"/>
          <w:rtl/>
        </w:rPr>
        <w:t xml:space="preserve"> ما في خلق هؤلاء من الحكمة</w:t>
      </w:r>
      <w:r w:rsidR="000636C2">
        <w:rPr>
          <w:rFonts w:hint="cs"/>
          <w:rtl/>
        </w:rPr>
        <w:t>؟</w:t>
      </w:r>
      <w:r w:rsidRPr="005675B2">
        <w:rPr>
          <w:rFonts w:hint="cs"/>
          <w:rtl/>
        </w:rPr>
        <w:t xml:space="preserve"> قلت</w:t>
      </w:r>
      <w:r w:rsidR="000636C2">
        <w:rPr>
          <w:rFonts w:hint="cs"/>
          <w:rtl/>
        </w:rPr>
        <w:t xml:space="preserve">: </w:t>
      </w:r>
      <w:r w:rsidRPr="005675B2">
        <w:rPr>
          <w:rFonts w:hint="cs"/>
          <w:rtl/>
        </w:rPr>
        <w:t>إظهار القدرة واعتبار المؤمنين وفكرتهم في عظمة الله تعالى القادر على أن يخلق</w:t>
      </w:r>
      <w:r w:rsidRPr="005675B2">
        <w:rPr>
          <w:rFonts w:hint="cs"/>
        </w:rPr>
        <w:t xml:space="preserve"> </w:t>
      </w:r>
      <w:r w:rsidRPr="005675B2">
        <w:rPr>
          <w:rFonts w:hint="cs"/>
          <w:rtl/>
        </w:rPr>
        <w:t>الملائكة والبشر الصالحين والأنبياء ومحمداً صلى الله عليه وءاله وسلم سيد الخلق</w:t>
      </w:r>
      <w:r w:rsidR="000636C2">
        <w:rPr>
          <w:rFonts w:hint="cs"/>
          <w:rtl/>
        </w:rPr>
        <w:t>،</w:t>
      </w:r>
      <w:r w:rsidRPr="005675B2">
        <w:rPr>
          <w:rFonts w:hint="cs"/>
          <w:rtl/>
        </w:rPr>
        <w:t>وعلى أن يخلق من الطرف الآخر فرعون وهامان وأبا جهل وشياطين الجن والانس وإبليس رأس</w:t>
      </w:r>
      <w:r w:rsidRPr="005675B2">
        <w:rPr>
          <w:rFonts w:hint="cs"/>
        </w:rPr>
        <w:t xml:space="preserve"> </w:t>
      </w:r>
      <w:r w:rsidRPr="005675B2">
        <w:rPr>
          <w:rFonts w:hint="cs"/>
          <w:rtl/>
        </w:rPr>
        <w:t>الضلال</w:t>
      </w:r>
      <w:r w:rsidR="000636C2">
        <w:rPr>
          <w:rFonts w:hint="cs"/>
          <w:rtl/>
        </w:rPr>
        <w:t>،</w:t>
      </w:r>
      <w:r w:rsidRPr="005675B2">
        <w:rPr>
          <w:rFonts w:hint="cs"/>
          <w:rtl/>
        </w:rPr>
        <w:t>والقادر على خلق دارين متمحضة كل واحدة منهما هذه للنعيم المقيم</w:t>
      </w:r>
      <w:r w:rsidR="000636C2">
        <w:rPr>
          <w:rFonts w:hint="cs"/>
          <w:rtl/>
        </w:rPr>
        <w:t>،</w:t>
      </w:r>
      <w:r w:rsidRPr="005675B2">
        <w:rPr>
          <w:rFonts w:hint="cs"/>
          <w:rtl/>
        </w:rPr>
        <w:t xml:space="preserve"> وهذه للعذاب</w:t>
      </w:r>
      <w:r w:rsidRPr="005675B2">
        <w:rPr>
          <w:rFonts w:hint="cs"/>
        </w:rPr>
        <w:t xml:space="preserve"> </w:t>
      </w:r>
      <w:r w:rsidRPr="005675B2">
        <w:rPr>
          <w:rFonts w:hint="cs"/>
          <w:rtl/>
        </w:rPr>
        <w:t>الأليم</w:t>
      </w:r>
      <w:r w:rsidR="000636C2">
        <w:rPr>
          <w:rFonts w:hint="cs"/>
          <w:rtl/>
        </w:rPr>
        <w:t>،</w:t>
      </w:r>
      <w:r w:rsidRPr="005675B2">
        <w:rPr>
          <w:rFonts w:hint="cs"/>
          <w:rtl/>
        </w:rPr>
        <w:t xml:space="preserve"> ودار ثالثة وهي الدنيا ممتزجة من النوعين فسبحان من هذه قدرته وجلت عظمته</w:t>
      </w:r>
      <w:r w:rsidRPr="005675B2">
        <w:rPr>
          <w:rFonts w:hint="cs"/>
        </w:rPr>
        <w:t xml:space="preserve"> </w:t>
      </w:r>
      <w:r w:rsidRPr="005675B2">
        <w:rPr>
          <w:rFonts w:hint="cs"/>
          <w:rtl/>
        </w:rPr>
        <w:t>وكان الله سبحانه قادراً أن يخلق الناس كلهم مؤمنين طائعين ولكن أراد سبحانه أن</w:t>
      </w:r>
      <w:r w:rsidR="000636C2">
        <w:rPr>
          <w:rFonts w:hint="cs"/>
          <w:rtl/>
        </w:rPr>
        <w:t xml:space="preserve"> </w:t>
      </w:r>
      <w:r w:rsidRPr="005675B2">
        <w:rPr>
          <w:rFonts w:hint="cs"/>
          <w:rtl/>
        </w:rPr>
        <w:t>يبين الشيء وضده علمه من علمه وجهله من جهله, والعلم منشأ السعادة كلها نشأ عنه</w:t>
      </w:r>
      <w:r w:rsidRPr="005675B2">
        <w:rPr>
          <w:rFonts w:hint="cs"/>
        </w:rPr>
        <w:t xml:space="preserve"> </w:t>
      </w:r>
      <w:r w:rsidRPr="005675B2">
        <w:rPr>
          <w:rFonts w:hint="cs"/>
          <w:rtl/>
        </w:rPr>
        <w:t xml:space="preserve">الإيمان والطاعة, والجهل منشأ الشقاوة كلها نشأ عنه الكفر والمعصية وما رأيت </w:t>
      </w:r>
      <w:r w:rsidRPr="005675B2">
        <w:rPr>
          <w:rFonts w:hint="cs"/>
          <w:u w:val="single"/>
          <w:rtl/>
        </w:rPr>
        <w:t>مفسدة</w:t>
      </w:r>
      <w:r w:rsidRPr="005675B2">
        <w:rPr>
          <w:rFonts w:hint="cs"/>
          <w:u w:val="single"/>
        </w:rPr>
        <w:t xml:space="preserve"> </w:t>
      </w:r>
      <w:r w:rsidRPr="005675B2">
        <w:rPr>
          <w:rFonts w:hint="cs"/>
          <w:u w:val="single"/>
          <w:rtl/>
        </w:rPr>
        <w:t>من أمور الدنيا والآخرة تنشأ إلا عن الجهل فهو أضر الاشياء</w:t>
      </w:r>
      <w:r w:rsidR="000636C2">
        <w:rPr>
          <w:rFonts w:hint="cs"/>
          <w:rtl/>
        </w:rPr>
        <w:t>،</w:t>
      </w:r>
      <w:r w:rsidRPr="005675B2">
        <w:rPr>
          <w:rFonts w:hint="cs"/>
          <w:rtl/>
        </w:rPr>
        <w:t xml:space="preserve"> أهـ</w:t>
      </w:r>
      <w:r w:rsidR="000636C2">
        <w:rPr>
          <w:rFonts w:hint="cs"/>
          <w:rtl/>
        </w:rPr>
        <w:t xml:space="preserve"> </w:t>
      </w:r>
      <w:r w:rsidRPr="005675B2">
        <w:rPr>
          <w:rFonts w:hint="cs"/>
          <w:rtl/>
        </w:rPr>
        <w:t>كلام الإمام السبكي</w:t>
      </w:r>
      <w:r w:rsidR="000636C2">
        <w:rPr>
          <w:rFonts w:hint="cs"/>
          <w:rtl/>
        </w:rPr>
        <w:t xml:space="preserve">، </w:t>
      </w:r>
      <w:r w:rsidRPr="005675B2">
        <w:rPr>
          <w:rFonts w:hint="cs"/>
          <w:rtl/>
        </w:rPr>
        <w:t>[</w:t>
      </w:r>
      <w:r w:rsidRPr="005675B2">
        <w:rPr>
          <w:rFonts w:hint="cs"/>
          <w:bCs/>
          <w:sz w:val="24"/>
          <w:szCs w:val="24"/>
          <w:rtl/>
        </w:rPr>
        <w:t>الاعتبار ببقاء الجنة والنار</w:t>
      </w:r>
      <w:r w:rsidR="000636C2">
        <w:rPr>
          <w:rFonts w:hint="cs"/>
          <w:bCs/>
          <w:sz w:val="24"/>
          <w:szCs w:val="24"/>
          <w:rtl/>
        </w:rPr>
        <w:t>]</w:t>
      </w:r>
      <w:r w:rsidRPr="005675B2">
        <w:rPr>
          <w:rFonts w:hint="cs"/>
          <w:rtl/>
        </w:rPr>
        <w:t xml:space="preserve"> وهنا يتبين للقارىء اللبيب أن جميع أهل السنة قائلون بالحكمة في أفعال الله</w:t>
      </w:r>
      <w:r w:rsidR="000636C2">
        <w:rPr>
          <w:rFonts w:hint="cs"/>
          <w:rtl/>
        </w:rPr>
        <w:t>،</w:t>
      </w:r>
      <w:r w:rsidRPr="005675B2">
        <w:rPr>
          <w:rFonts w:hint="cs"/>
          <w:rtl/>
        </w:rPr>
        <w:t xml:space="preserve"> ولكنها حكمة تتبع أفعاله ولا تسوقه جل شأنه وتقدست أسماؤه</w:t>
      </w:r>
      <w:r w:rsidR="000636C2">
        <w:rPr>
          <w:rFonts w:hint="cs"/>
          <w:rtl/>
        </w:rPr>
        <w:t>،</w:t>
      </w:r>
      <w:r w:rsidRPr="005675B2">
        <w:rPr>
          <w:rFonts w:hint="cs"/>
          <w:rtl/>
        </w:rPr>
        <w:t xml:space="preserve"> وبه تتبين خطأ الكاتب وغيره ممن سبقه</w:t>
      </w:r>
      <w:r w:rsidR="000636C2">
        <w:rPr>
          <w:rFonts w:hint="cs"/>
          <w:rtl/>
        </w:rPr>
        <w:t>،</w:t>
      </w:r>
      <w:r w:rsidRPr="005675B2">
        <w:rPr>
          <w:rFonts w:hint="cs"/>
          <w:rtl/>
        </w:rPr>
        <w:t>ومن لحقه</w:t>
      </w:r>
      <w:r w:rsidR="000636C2">
        <w:rPr>
          <w:rFonts w:hint="cs"/>
          <w:rtl/>
        </w:rPr>
        <w:t>،</w:t>
      </w:r>
    </w:p>
    <w:p w14:paraId="2AD542BA" w14:textId="6932E0B5"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جاء في تفسير الرازي [</w:t>
      </w:r>
      <w:r w:rsidRPr="005675B2">
        <w:rPr>
          <w:rFonts w:hint="cs"/>
          <w:bCs/>
          <w:sz w:val="24"/>
          <w:szCs w:val="24"/>
          <w:rtl/>
        </w:rPr>
        <w:t xml:space="preserve">تفسير الرازي لسورة الذاريات قوله تعالى </w:t>
      </w:r>
      <w:r w:rsidR="000636C2">
        <w:rPr>
          <w:rFonts w:hint="cs"/>
          <w:bCs/>
          <w:sz w:val="24"/>
          <w:szCs w:val="24"/>
          <w:rtl/>
        </w:rPr>
        <w:t>{</w:t>
      </w:r>
      <w:r w:rsidRPr="005675B2">
        <w:rPr>
          <w:rFonts w:hint="cs"/>
          <w:bCs/>
          <w:sz w:val="24"/>
          <w:szCs w:val="24"/>
          <w:rtl/>
        </w:rPr>
        <w:t>وما خلقت الجن والإنس إلا ليعبدون</w:t>
      </w:r>
      <w:r w:rsidR="000636C2">
        <w:rPr>
          <w:rFonts w:hint="cs"/>
          <w:bCs/>
          <w:sz w:val="24"/>
          <w:szCs w:val="24"/>
          <w:rtl/>
        </w:rPr>
        <w:t>}</w:t>
      </w:r>
      <w:r w:rsidRPr="005675B2">
        <w:rPr>
          <w:rFonts w:hint="cs"/>
          <w:bCs/>
          <w:sz w:val="24"/>
          <w:szCs w:val="24"/>
          <w:rtl/>
        </w:rPr>
        <w:t xml:space="preserve"> والآية التي</w:t>
      </w:r>
      <w:r w:rsidR="000636C2">
        <w:rPr>
          <w:rFonts w:hint="cs"/>
          <w:bCs/>
          <w:sz w:val="24"/>
          <w:szCs w:val="24"/>
          <w:rtl/>
        </w:rPr>
        <w:t xml:space="preserve"> </w:t>
      </w:r>
      <w:r w:rsidRPr="005675B2">
        <w:rPr>
          <w:rFonts w:hint="cs"/>
          <w:bCs/>
          <w:sz w:val="24"/>
          <w:szCs w:val="24"/>
          <w:rtl/>
        </w:rPr>
        <w:t>بعدها]</w:t>
      </w:r>
      <w:r w:rsidRPr="005675B2">
        <w:rPr>
          <w:rFonts w:hint="cs"/>
          <w:rtl/>
        </w:rPr>
        <w:t xml:space="preserve"> كلام أسوقه باختصار وتصرف غير مخل</w:t>
      </w:r>
      <w:r w:rsidR="000636C2">
        <w:rPr>
          <w:rFonts w:hint="cs"/>
          <w:rtl/>
        </w:rPr>
        <w:t>،</w:t>
      </w:r>
      <w:r w:rsidRPr="005675B2">
        <w:rPr>
          <w:rFonts w:hint="cs"/>
          <w:rtl/>
        </w:rPr>
        <w:t xml:space="preserve"> حاصله أن التعليل على</w:t>
      </w:r>
      <w:r>
        <w:rPr>
          <w:rFonts w:hint="cs"/>
          <w:rtl/>
        </w:rPr>
        <w:t xml:space="preserve"> </w:t>
      </w:r>
      <w:r w:rsidRPr="005675B2">
        <w:rPr>
          <w:rFonts w:hint="cs"/>
          <w:rtl/>
        </w:rPr>
        <w:t>قسمين</w:t>
      </w:r>
      <w:r w:rsidR="000636C2">
        <w:rPr>
          <w:rFonts w:hint="cs"/>
          <w:rtl/>
        </w:rPr>
        <w:t>:</w:t>
      </w:r>
      <w:r w:rsidRPr="005675B2">
        <w:rPr>
          <w:rFonts w:hint="cs"/>
          <w:rtl/>
        </w:rPr>
        <w:t xml:space="preserve"> القسم الأول</w:t>
      </w:r>
      <w:r w:rsidR="000636C2">
        <w:rPr>
          <w:rFonts w:hint="cs"/>
          <w:rtl/>
        </w:rPr>
        <w:t>:</w:t>
      </w:r>
      <w:r w:rsidRPr="005675B2">
        <w:rPr>
          <w:rFonts w:hint="cs"/>
          <w:rtl/>
        </w:rPr>
        <w:t xml:space="preserve"> تعليل لفظي ويسمونه </w:t>
      </w:r>
      <w:r w:rsidR="000636C2">
        <w:rPr>
          <w:rFonts w:hint="cs"/>
          <w:rtl/>
        </w:rPr>
        <w:t>(</w:t>
      </w:r>
      <w:r w:rsidRPr="005675B2">
        <w:rPr>
          <w:rFonts w:hint="cs"/>
          <w:rtl/>
        </w:rPr>
        <w:t>جعلي</w:t>
      </w:r>
      <w:r w:rsidR="000636C2">
        <w:rPr>
          <w:rFonts w:hint="cs"/>
          <w:rtl/>
        </w:rPr>
        <w:t>)</w:t>
      </w:r>
      <w:r w:rsidRPr="005675B2">
        <w:rPr>
          <w:rFonts w:hint="cs"/>
          <w:rtl/>
        </w:rPr>
        <w:t xml:space="preserve"> أي وضع جعلوه للإفهام</w:t>
      </w:r>
      <w:r w:rsidR="000636C2">
        <w:rPr>
          <w:rFonts w:hint="cs"/>
          <w:rtl/>
        </w:rPr>
        <w:t>،</w:t>
      </w:r>
      <w:r w:rsidRPr="005675B2">
        <w:rPr>
          <w:rFonts w:hint="cs"/>
          <w:rtl/>
        </w:rPr>
        <w:t>وهذا هو الوارد في الآيات والآحاديث</w:t>
      </w:r>
      <w:r w:rsidR="000636C2">
        <w:rPr>
          <w:rFonts w:hint="cs"/>
          <w:rtl/>
        </w:rPr>
        <w:t>،</w:t>
      </w:r>
      <w:r w:rsidRPr="005675B2">
        <w:rPr>
          <w:rFonts w:hint="cs"/>
          <w:rtl/>
        </w:rPr>
        <w:t xml:space="preserve"> ويتسامح الناس في إطلاقه على أفعال الله</w:t>
      </w:r>
      <w:r w:rsidR="000636C2">
        <w:rPr>
          <w:rFonts w:hint="cs"/>
          <w:rtl/>
        </w:rPr>
        <w:t>،</w:t>
      </w:r>
      <w:r>
        <w:rPr>
          <w:rFonts w:hint="cs"/>
          <w:rtl/>
        </w:rPr>
        <w:t xml:space="preserve"> </w:t>
      </w:r>
      <w:r w:rsidRPr="005675B2">
        <w:rPr>
          <w:rFonts w:hint="cs"/>
          <w:rtl/>
        </w:rPr>
        <w:t>الثاني</w:t>
      </w:r>
      <w:r w:rsidR="000636C2">
        <w:rPr>
          <w:rFonts w:hint="cs"/>
          <w:rtl/>
        </w:rPr>
        <w:t>:</w:t>
      </w:r>
      <w:r w:rsidRPr="005675B2">
        <w:rPr>
          <w:rFonts w:hint="cs"/>
          <w:rtl/>
        </w:rPr>
        <w:t xml:space="preserve"> تعليل معنوي </w:t>
      </w:r>
      <w:r w:rsidR="000636C2">
        <w:rPr>
          <w:rFonts w:hint="cs"/>
          <w:rtl/>
        </w:rPr>
        <w:t>(</w:t>
      </w:r>
      <w:r w:rsidRPr="005675B2">
        <w:rPr>
          <w:rFonts w:hint="cs"/>
          <w:rtl/>
        </w:rPr>
        <w:t>حقيقي</w:t>
      </w:r>
      <w:r w:rsidR="000636C2">
        <w:rPr>
          <w:rFonts w:hint="cs"/>
          <w:rtl/>
        </w:rPr>
        <w:t>):</w:t>
      </w:r>
      <w:r w:rsidRPr="005675B2">
        <w:rPr>
          <w:rFonts w:hint="cs"/>
          <w:rtl/>
        </w:rPr>
        <w:t xml:space="preserve"> وهو وجود دوافع وعلل تدفع الله لأن يفعل الأشياء</w:t>
      </w:r>
      <w:r w:rsidR="000636C2">
        <w:rPr>
          <w:rFonts w:hint="cs"/>
          <w:rtl/>
        </w:rPr>
        <w:t>،</w:t>
      </w:r>
      <w:r w:rsidRPr="005675B2">
        <w:rPr>
          <w:rFonts w:hint="cs"/>
          <w:rtl/>
        </w:rPr>
        <w:t>وهو التعليل المصطلح عليه عند أهل العقائد</w:t>
      </w:r>
      <w:r w:rsidR="000636C2">
        <w:rPr>
          <w:rFonts w:hint="cs"/>
          <w:rtl/>
        </w:rPr>
        <w:t>،</w:t>
      </w:r>
      <w:r w:rsidRPr="005675B2">
        <w:rPr>
          <w:rFonts w:hint="cs"/>
          <w:rtl/>
        </w:rPr>
        <w:t xml:space="preserve"> فهذا هو الذي يعتقد أهل السنة تنزيه الله عنه</w:t>
      </w:r>
      <w:r w:rsidR="000636C2">
        <w:rPr>
          <w:rFonts w:hint="cs"/>
          <w:rtl/>
        </w:rPr>
        <w:t>،</w:t>
      </w:r>
      <w:r w:rsidRPr="005675B2">
        <w:rPr>
          <w:rFonts w:hint="cs"/>
          <w:rtl/>
        </w:rPr>
        <w:t xml:space="preserve"> بخلاف المعتزلة ومن شايعهم</w:t>
      </w:r>
      <w:r w:rsidR="000636C2">
        <w:rPr>
          <w:rFonts w:hint="cs"/>
          <w:rtl/>
        </w:rPr>
        <w:t>،</w:t>
      </w:r>
    </w:p>
    <w:p w14:paraId="526DB26F" w14:textId="5D4C4B12"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المعتزلة جزموا بالغرض الباعث والتعليل بمعناه المعنوي الاصطلاحي استناداً إلى أن</w:t>
      </w:r>
      <w:r w:rsidR="000636C2">
        <w:rPr>
          <w:rFonts w:hint="cs"/>
          <w:rtl/>
        </w:rPr>
        <w:t xml:space="preserve"> </w:t>
      </w:r>
      <w:r w:rsidRPr="005675B2">
        <w:rPr>
          <w:rFonts w:hint="cs"/>
          <w:rtl/>
        </w:rPr>
        <w:t>اللام المتصلة بالأفعال التي يفعلها الله كقوله تعالى (</w:t>
      </w:r>
      <w:r w:rsidR="000636C2">
        <w:rPr>
          <w:rFonts w:hint="cs"/>
          <w:rtl/>
        </w:rPr>
        <w:t>(</w:t>
      </w:r>
      <w:r w:rsidRPr="005675B2">
        <w:rPr>
          <w:rFonts w:hint="cs"/>
          <w:rtl/>
        </w:rPr>
        <w:t>إلا ليعبدون</w:t>
      </w:r>
      <w:r w:rsidR="000636C2">
        <w:rPr>
          <w:rFonts w:hint="cs"/>
          <w:rtl/>
        </w:rPr>
        <w:t>)</w:t>
      </w:r>
      <w:r w:rsidRPr="005675B2">
        <w:rPr>
          <w:rFonts w:hint="cs"/>
          <w:rtl/>
        </w:rPr>
        <w:t>)</w:t>
      </w:r>
      <w:r w:rsidR="000636C2">
        <w:rPr>
          <w:rFonts w:hint="cs"/>
          <w:rtl/>
        </w:rPr>
        <w:t>،</w:t>
      </w:r>
      <w:r w:rsidRPr="005675B2">
        <w:rPr>
          <w:rFonts w:hint="cs"/>
          <w:rtl/>
        </w:rPr>
        <w:t xml:space="preserve"> (</w:t>
      </w:r>
      <w:r w:rsidR="000636C2">
        <w:rPr>
          <w:rFonts w:hint="cs"/>
          <w:rtl/>
        </w:rPr>
        <w:t>(</w:t>
      </w:r>
      <w:r w:rsidRPr="005675B2">
        <w:rPr>
          <w:rFonts w:hint="cs"/>
          <w:rtl/>
        </w:rPr>
        <w:t>ليبلوكم</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وجواب ذلك بما سبق من التقسيم</w:t>
      </w:r>
      <w:r w:rsidR="000636C2">
        <w:rPr>
          <w:rFonts w:hint="cs"/>
          <w:rtl/>
        </w:rPr>
        <w:t>،</w:t>
      </w:r>
      <w:r w:rsidRPr="005675B2">
        <w:rPr>
          <w:rFonts w:hint="cs"/>
          <w:rtl/>
        </w:rPr>
        <w:t xml:space="preserve"> بأصل يتمسك به أهل السنة وهو أن الله له الكمال المطلق فينزه عن</w:t>
      </w:r>
      <w:r>
        <w:rPr>
          <w:rFonts w:hint="cs"/>
          <w:rtl/>
        </w:rPr>
        <w:t xml:space="preserve"> </w:t>
      </w:r>
      <w:r w:rsidRPr="005675B2">
        <w:rPr>
          <w:rFonts w:hint="cs"/>
          <w:rtl/>
        </w:rPr>
        <w:t>الأغراض البا عثة لعدم احتياجه لشيء ولذا قال تعالى (</w:t>
      </w:r>
      <w:r w:rsidR="000636C2">
        <w:rPr>
          <w:rFonts w:hint="cs"/>
          <w:rtl/>
        </w:rPr>
        <w:t>(</w:t>
      </w:r>
      <w:r w:rsidRPr="005675B2">
        <w:rPr>
          <w:rFonts w:hint="cs"/>
          <w:rtl/>
        </w:rPr>
        <w:t>ما أريد منهم من رزق وما أريد أن يطعمون</w:t>
      </w:r>
      <w:r w:rsidR="000636C2">
        <w:rPr>
          <w:rFonts w:hint="cs"/>
          <w:rtl/>
        </w:rPr>
        <w:t>)</w:t>
      </w:r>
      <w:r w:rsidRPr="005675B2">
        <w:rPr>
          <w:rFonts w:hint="cs"/>
          <w:rtl/>
        </w:rPr>
        <w:t>)فدفع عن السامع توهم الغرض الباعث له عز وجل ونحوها من الدوافع</w:t>
      </w:r>
      <w:r w:rsidR="000636C2">
        <w:rPr>
          <w:rFonts w:hint="cs"/>
          <w:rtl/>
        </w:rPr>
        <w:t>،</w:t>
      </w:r>
    </w:p>
    <w:p w14:paraId="5563367F" w14:textId="5A4087D0"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وأما قطعهم بكون اللام تفيد التعليل</w:t>
      </w:r>
      <w:r w:rsidR="000636C2">
        <w:rPr>
          <w:rFonts w:hint="cs"/>
          <w:rtl/>
        </w:rPr>
        <w:t xml:space="preserve"> </w:t>
      </w:r>
      <w:r w:rsidRPr="005675B2">
        <w:rPr>
          <w:rFonts w:hint="cs"/>
          <w:rtl/>
        </w:rPr>
        <w:t>بالمعنى الباعث</w:t>
      </w:r>
      <w:r w:rsidR="000636C2">
        <w:rPr>
          <w:rFonts w:hint="cs"/>
          <w:rtl/>
        </w:rPr>
        <w:t>،</w:t>
      </w:r>
      <w:r w:rsidRPr="005675B2">
        <w:rPr>
          <w:rFonts w:hint="cs"/>
          <w:rtl/>
        </w:rPr>
        <w:t xml:space="preserve"> فهو مردود لأن اللام قد تأتي بمعنى آخر مثل المقارنة</w:t>
      </w:r>
      <w:r w:rsidR="000636C2">
        <w:rPr>
          <w:rFonts w:hint="cs"/>
          <w:rtl/>
        </w:rPr>
        <w:t xml:space="preserve"> </w:t>
      </w:r>
      <w:r w:rsidRPr="005675B2">
        <w:rPr>
          <w:rFonts w:hint="cs"/>
          <w:rtl/>
        </w:rPr>
        <w:t>كقوله تعالى (</w:t>
      </w:r>
      <w:r w:rsidR="000636C2">
        <w:rPr>
          <w:rFonts w:hint="cs"/>
          <w:rtl/>
        </w:rPr>
        <w:t>(</w:t>
      </w:r>
      <w:r w:rsidRPr="005675B2">
        <w:rPr>
          <w:rFonts w:hint="cs"/>
          <w:rtl/>
        </w:rPr>
        <w:t>أقم الصلاة لدلوك الشمس</w:t>
      </w:r>
      <w:r w:rsidR="000636C2">
        <w:rPr>
          <w:rFonts w:hint="cs"/>
          <w:rtl/>
        </w:rPr>
        <w:t>)</w:t>
      </w:r>
      <w:r w:rsidRPr="005675B2">
        <w:rPr>
          <w:rFonts w:hint="cs"/>
          <w:rtl/>
        </w:rPr>
        <w:t>) أي عند دلوكها</w:t>
      </w:r>
      <w:r w:rsidR="000636C2">
        <w:rPr>
          <w:rFonts w:hint="cs"/>
          <w:rtl/>
        </w:rPr>
        <w:t>،</w:t>
      </w:r>
      <w:r w:rsidRPr="005675B2">
        <w:rPr>
          <w:rFonts w:hint="cs"/>
          <w:rtl/>
        </w:rPr>
        <w:t xml:space="preserve"> فكذا يكون المراد أن الله خلق الخلق مقترن ذلك بفرض العبادة عليهم</w:t>
      </w:r>
      <w:r w:rsidR="000636C2">
        <w:rPr>
          <w:rFonts w:hint="cs"/>
          <w:rtl/>
        </w:rPr>
        <w:t>،</w:t>
      </w:r>
    </w:p>
    <w:p w14:paraId="5A2E8EBC" w14:textId="310CD9AF"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الأشاعرة لا ينفون التعليل بالمعنى الوضعي اللفظي</w:t>
      </w:r>
      <w:r w:rsidR="000636C2">
        <w:rPr>
          <w:rFonts w:hint="cs"/>
          <w:rtl/>
        </w:rPr>
        <w:t>،</w:t>
      </w:r>
      <w:r w:rsidRPr="005675B2">
        <w:rPr>
          <w:rFonts w:hint="cs"/>
          <w:rtl/>
        </w:rPr>
        <w:t xml:space="preserve"> وإنما ينفونه بالمعنى المستحيل على الله كما سبق بيانه</w:t>
      </w:r>
      <w:r w:rsidR="000636C2">
        <w:rPr>
          <w:rFonts w:hint="cs"/>
          <w:rtl/>
        </w:rPr>
        <w:t>،</w:t>
      </w:r>
      <w:r w:rsidRPr="005675B2">
        <w:rPr>
          <w:rFonts w:hint="cs"/>
          <w:rtl/>
        </w:rPr>
        <w:t xml:space="preserve"> وشاهد ذلك ما جاء في تفسير الرازي بقوله في تفسير (</w:t>
      </w:r>
      <w:r w:rsidR="000636C2">
        <w:rPr>
          <w:rFonts w:hint="cs"/>
          <w:rtl/>
        </w:rPr>
        <w:t>(</w:t>
      </w:r>
      <w:r w:rsidRPr="005675B2">
        <w:rPr>
          <w:rFonts w:hint="cs"/>
          <w:rtl/>
        </w:rPr>
        <w:t>ليعبدون</w:t>
      </w:r>
      <w:r w:rsidR="000636C2">
        <w:rPr>
          <w:rFonts w:hint="cs"/>
          <w:rtl/>
        </w:rPr>
        <w:t>)</w:t>
      </w:r>
      <w:r w:rsidRPr="005675B2">
        <w:rPr>
          <w:rFonts w:hint="cs"/>
          <w:rtl/>
        </w:rPr>
        <w:t>) فقال الرازي</w:t>
      </w:r>
      <w:r w:rsidR="000636C2">
        <w:rPr>
          <w:rFonts w:hint="cs"/>
          <w:rtl/>
        </w:rPr>
        <w:t>:</w:t>
      </w:r>
      <w:r w:rsidRPr="005675B2">
        <w:rPr>
          <w:rFonts w:hint="cs"/>
          <w:rtl/>
        </w:rPr>
        <w:t xml:space="preserve"> {وجعلناكم شعوباً وقبائل لتعارفوا</w:t>
      </w:r>
      <w:r w:rsidR="000636C2">
        <w:rPr>
          <w:rFonts w:hint="cs"/>
          <w:rtl/>
        </w:rPr>
        <w:t>}</w:t>
      </w:r>
      <w:r w:rsidRPr="005675B2">
        <w:rPr>
          <w:rFonts w:hint="cs"/>
          <w:rtl/>
        </w:rPr>
        <w:t xml:space="preserve"> وقال </w:t>
      </w:r>
      <w:r w:rsidR="000636C2">
        <w:rPr>
          <w:rFonts w:hint="cs"/>
          <w:rtl/>
        </w:rPr>
        <w:t>{</w:t>
      </w:r>
      <w:r w:rsidRPr="005675B2">
        <w:rPr>
          <w:rFonts w:hint="cs"/>
          <w:rtl/>
        </w:rPr>
        <w:t>إلا ليعبدون</w:t>
      </w:r>
      <w:r w:rsidR="000636C2">
        <w:rPr>
          <w:rFonts w:hint="cs"/>
          <w:rtl/>
        </w:rPr>
        <w:t>}</w:t>
      </w:r>
      <w:r w:rsidRPr="005675B2">
        <w:rPr>
          <w:rFonts w:hint="cs"/>
          <w:rtl/>
        </w:rPr>
        <w:t xml:space="preserve"> علل جعلهم شعوباً بالتعارف</w:t>
      </w:r>
      <w:r w:rsidR="000636C2">
        <w:rPr>
          <w:rFonts w:hint="cs"/>
          <w:rtl/>
        </w:rPr>
        <w:t>،</w:t>
      </w:r>
      <w:r w:rsidRPr="005675B2">
        <w:rPr>
          <w:rFonts w:hint="cs"/>
          <w:rtl/>
        </w:rPr>
        <w:t xml:space="preserve"> وهنا علل خلقهم بالعبادة</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 xml:space="preserve">تفسير الرازي لسورة الذاريات قوله تعالى </w:t>
      </w:r>
      <w:r w:rsidR="000636C2">
        <w:rPr>
          <w:rFonts w:hint="cs"/>
          <w:bCs/>
          <w:sz w:val="24"/>
          <w:szCs w:val="24"/>
          <w:rtl/>
        </w:rPr>
        <w:t>{</w:t>
      </w:r>
      <w:r w:rsidRPr="005675B2">
        <w:rPr>
          <w:rFonts w:hint="cs"/>
          <w:bCs/>
          <w:sz w:val="24"/>
          <w:szCs w:val="24"/>
          <w:rtl/>
        </w:rPr>
        <w:t>وما خلقت الجن والإنس إلا ليعبدون</w:t>
      </w:r>
      <w:r w:rsidR="000636C2">
        <w:rPr>
          <w:rFonts w:hint="cs"/>
          <w:bCs/>
          <w:sz w:val="24"/>
          <w:szCs w:val="24"/>
          <w:rtl/>
        </w:rPr>
        <w:t>}</w:t>
      </w:r>
      <w:r w:rsidRPr="005675B2">
        <w:rPr>
          <w:rFonts w:hint="cs"/>
          <w:bCs/>
          <w:sz w:val="24"/>
          <w:szCs w:val="24"/>
          <w:rtl/>
        </w:rPr>
        <w:t xml:space="preserve"> والآية التي</w:t>
      </w:r>
      <w:r w:rsidR="000636C2">
        <w:rPr>
          <w:rFonts w:hint="cs"/>
          <w:bCs/>
          <w:sz w:val="24"/>
          <w:szCs w:val="24"/>
          <w:rtl/>
        </w:rPr>
        <w:t xml:space="preserve"> </w:t>
      </w:r>
      <w:r w:rsidRPr="005675B2">
        <w:rPr>
          <w:rFonts w:hint="cs"/>
          <w:bCs/>
          <w:sz w:val="24"/>
          <w:szCs w:val="24"/>
          <w:rtl/>
        </w:rPr>
        <w:t>بعدها]</w:t>
      </w:r>
      <w:r w:rsidRPr="005675B2">
        <w:rPr>
          <w:rFonts w:hint="cs"/>
          <w:rtl/>
        </w:rPr>
        <w:t>وشاهده أيضاً</w:t>
      </w:r>
      <w:r w:rsidR="000636C2">
        <w:rPr>
          <w:rFonts w:hint="cs"/>
          <w:rtl/>
        </w:rPr>
        <w:t>:</w:t>
      </w:r>
      <w:r w:rsidRPr="005675B2">
        <w:rPr>
          <w:rFonts w:hint="cs"/>
          <w:rtl/>
        </w:rPr>
        <w:t xml:space="preserve"> ما قال الصاوي في حاشيته على تفسير الجلالين عند قوله تعالى </w:t>
      </w:r>
      <w:r w:rsidR="000636C2">
        <w:rPr>
          <w:rFonts w:hint="cs"/>
          <w:rtl/>
        </w:rPr>
        <w:t>{</w:t>
      </w:r>
      <w:r w:rsidRPr="005675B2">
        <w:rPr>
          <w:rFonts w:hint="cs"/>
          <w:rtl/>
        </w:rPr>
        <w:t>ليقوم الناس بالقسط</w:t>
      </w:r>
      <w:r w:rsidR="000636C2">
        <w:rPr>
          <w:rFonts w:hint="cs"/>
          <w:rtl/>
        </w:rPr>
        <w:t>}</w:t>
      </w:r>
      <w:r w:rsidRPr="005675B2">
        <w:rPr>
          <w:rFonts w:hint="cs"/>
          <w:rtl/>
        </w:rPr>
        <w:t xml:space="preserve"> قال</w:t>
      </w:r>
      <w:r w:rsidR="000636C2">
        <w:rPr>
          <w:rFonts w:hint="cs"/>
          <w:rtl/>
        </w:rPr>
        <w:t>:</w:t>
      </w:r>
      <w:r w:rsidRPr="005675B2">
        <w:rPr>
          <w:rFonts w:hint="cs"/>
          <w:rtl/>
        </w:rPr>
        <w:t xml:space="preserve"> علة لإرسال الرسل وإنزال الكتاب والميزان</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حاشية الصاوي 4/ 299 تفسير سورة الحديد</w:t>
      </w:r>
      <w:r w:rsidR="000636C2">
        <w:rPr>
          <w:rFonts w:hint="cs"/>
          <w:bCs/>
          <w:sz w:val="24"/>
          <w:szCs w:val="24"/>
          <w:rtl/>
        </w:rPr>
        <w:t>]</w:t>
      </w:r>
      <w:r w:rsidRPr="005675B2">
        <w:rPr>
          <w:rFonts w:hint="cs"/>
          <w:rtl/>
        </w:rPr>
        <w:t xml:space="preserve"> مع أنهما كسائر أهل السنة ينزهون الله عن التعليل بالأغراض الباعثة</w:t>
      </w:r>
      <w:r w:rsidR="000636C2">
        <w:rPr>
          <w:rFonts w:hint="cs"/>
          <w:rtl/>
        </w:rPr>
        <w:t>،</w:t>
      </w:r>
    </w:p>
    <w:p w14:paraId="4726B204" w14:textId="79B5C919" w:rsidR="009C32A0" w:rsidRPr="005675B2" w:rsidRDefault="009C32A0" w:rsidP="000636C2">
      <w:pPr>
        <w:rPr>
          <w:b/>
          <w:rtl/>
        </w:rPr>
      </w:pPr>
      <w:r w:rsidRPr="002928D0">
        <w:rPr>
          <w:rFonts w:hint="cs"/>
          <w:bCs/>
          <w:rtl/>
        </w:rPr>
        <w:t>استشكال الكاتب لمسألة</w:t>
      </w:r>
      <w:r w:rsidR="000636C2">
        <w:rPr>
          <w:rFonts w:hint="cs"/>
          <w:bCs/>
          <w:rtl/>
        </w:rPr>
        <w:t xml:space="preserve"> </w:t>
      </w:r>
      <w:r w:rsidRPr="002928D0">
        <w:rPr>
          <w:rFonts w:hint="cs"/>
          <w:bCs/>
          <w:rtl/>
        </w:rPr>
        <w:t>النبوات</w:t>
      </w:r>
      <w:r w:rsidR="000636C2">
        <w:rPr>
          <w:rFonts w:hint="cs"/>
          <w:rtl/>
        </w:rPr>
        <w:t>:</w:t>
      </w:r>
      <w:r>
        <w:rPr>
          <w:rFonts w:hint="cs"/>
          <w:rtl/>
        </w:rPr>
        <w:t xml:space="preserve"> </w:t>
      </w:r>
      <w:r w:rsidRPr="005675B2">
        <w:rPr>
          <w:rFonts w:hint="cs"/>
          <w:rtl/>
        </w:rPr>
        <w:t>قال الكاتب</w:t>
      </w:r>
      <w:r w:rsidR="000636C2">
        <w:rPr>
          <w:rFonts w:hint="cs"/>
          <w:rtl/>
        </w:rPr>
        <w:t>:</w:t>
      </w:r>
      <w:r w:rsidRPr="005675B2">
        <w:rPr>
          <w:rFonts w:hint="cs"/>
          <w:rtl/>
        </w:rPr>
        <w:t xml:space="preserve"> يختلف مذهب الأشاعرة عن</w:t>
      </w:r>
      <w:r w:rsidRPr="005675B2">
        <w:rPr>
          <w:rFonts w:hint="cs"/>
        </w:rPr>
        <w:t xml:space="preserve"> </w:t>
      </w:r>
      <w:r w:rsidRPr="005675B2">
        <w:rPr>
          <w:rFonts w:hint="cs"/>
          <w:rtl/>
        </w:rPr>
        <w:t>مذهب أهل السنة والجماعة في النبوات اختلافاً بعيداً</w:t>
      </w:r>
      <w:r w:rsidR="000636C2">
        <w:rPr>
          <w:rFonts w:hint="cs"/>
          <w:rtl/>
        </w:rPr>
        <w:t>،</w:t>
      </w:r>
      <w:r w:rsidRPr="005675B2">
        <w:rPr>
          <w:rFonts w:hint="cs"/>
          <w:rtl/>
        </w:rPr>
        <w:t xml:space="preserve"> فهم يقررون أن إرسال الرسل</w:t>
      </w:r>
      <w:r w:rsidRPr="005675B2">
        <w:rPr>
          <w:rFonts w:hint="cs"/>
        </w:rPr>
        <w:t xml:space="preserve"> </w:t>
      </w:r>
      <w:r w:rsidRPr="005675B2">
        <w:rPr>
          <w:rFonts w:hint="cs"/>
          <w:rtl/>
        </w:rPr>
        <w:t>راجع للمشيئة المحضة</w:t>
      </w:r>
      <w:r w:rsidR="000636C2">
        <w:rPr>
          <w:rFonts w:hint="cs"/>
          <w:rtl/>
        </w:rPr>
        <w:t xml:space="preserve"> </w:t>
      </w:r>
      <w:r w:rsidRPr="005675B2">
        <w:rPr>
          <w:rFonts w:hint="cs"/>
          <w:rtl/>
        </w:rPr>
        <w:t>- كما في الفقرة السابقة</w:t>
      </w:r>
      <w:r w:rsidR="000636C2">
        <w:rPr>
          <w:rFonts w:hint="cs"/>
          <w:rtl/>
        </w:rPr>
        <w:t xml:space="preserve"> </w:t>
      </w:r>
      <w:r w:rsidRPr="005675B2">
        <w:rPr>
          <w:rFonts w:hint="cs"/>
          <w:rtl/>
        </w:rPr>
        <w:t>- ثم يقررون أنه لا دليل على صدق</w:t>
      </w:r>
      <w:r w:rsidRPr="005675B2">
        <w:rPr>
          <w:rFonts w:hint="cs"/>
        </w:rPr>
        <w:t xml:space="preserve"> </w:t>
      </w:r>
      <w:r w:rsidRPr="005675B2">
        <w:rPr>
          <w:rFonts w:hint="cs"/>
          <w:rtl/>
        </w:rPr>
        <w:t>النبي إلا المعجزة</w:t>
      </w:r>
      <w:r w:rsidR="000636C2">
        <w:rPr>
          <w:rFonts w:hint="cs"/>
          <w:rtl/>
        </w:rPr>
        <w:t>،</w:t>
      </w:r>
      <w:r w:rsidRPr="005675B2">
        <w:rPr>
          <w:rFonts w:hint="cs"/>
          <w:rtl/>
        </w:rPr>
        <w:t xml:space="preserve"> ثم</w:t>
      </w:r>
      <w:r>
        <w:rPr>
          <w:rFonts w:hint="cs"/>
          <w:rtl/>
        </w:rPr>
        <w:t xml:space="preserve"> </w:t>
      </w:r>
      <w:r w:rsidRPr="005675B2">
        <w:rPr>
          <w:rFonts w:hint="cs"/>
          <w:rtl/>
        </w:rPr>
        <w:t>يقررون أن أفعال السحرة والكهان من جنس المعجزة لكنها لا</w:t>
      </w:r>
      <w:r w:rsidRPr="005675B2">
        <w:rPr>
          <w:rFonts w:hint="cs"/>
        </w:rPr>
        <w:t xml:space="preserve"> </w:t>
      </w:r>
      <w:r w:rsidRPr="005675B2">
        <w:rPr>
          <w:rFonts w:hint="cs"/>
          <w:rtl/>
        </w:rPr>
        <w:t>تكون مقرونة بادعاء النبوة والتحدي</w:t>
      </w:r>
      <w:r w:rsidR="000636C2">
        <w:rPr>
          <w:rFonts w:hint="cs"/>
          <w:rtl/>
        </w:rPr>
        <w:t>،</w:t>
      </w:r>
      <w:r w:rsidRPr="005675B2">
        <w:rPr>
          <w:rFonts w:hint="cs"/>
          <w:rtl/>
        </w:rPr>
        <w:t xml:space="preserve"> قالوا</w:t>
      </w:r>
      <w:r w:rsidR="000636C2">
        <w:rPr>
          <w:rFonts w:hint="cs"/>
          <w:rtl/>
        </w:rPr>
        <w:t>:</w:t>
      </w:r>
      <w:r w:rsidRPr="005675B2">
        <w:rPr>
          <w:rFonts w:hint="cs"/>
          <w:rtl/>
        </w:rPr>
        <w:t xml:space="preserve"> ولو ادعى الساحر أو الكاهن النبوة</w:t>
      </w:r>
      <w:r w:rsidRPr="005675B2">
        <w:rPr>
          <w:rFonts w:hint="cs"/>
        </w:rPr>
        <w:t xml:space="preserve"> </w:t>
      </w:r>
      <w:r w:rsidRPr="005675B2">
        <w:rPr>
          <w:rFonts w:hint="cs"/>
          <w:rtl/>
        </w:rPr>
        <w:t>لسلبه الله معرفة السحر رأساً وإلا كان هذا إضلالاً من الله وهو يمتنع عليه الإضلال</w:t>
      </w:r>
      <w:r w:rsidRPr="005675B2">
        <w:t xml:space="preserve"> … </w:t>
      </w:r>
      <w:r w:rsidRPr="005675B2">
        <w:rPr>
          <w:rFonts w:hint="cs"/>
          <w:rtl/>
        </w:rPr>
        <w:t>إلى آخر ما يقررونه مما يخالف المنقول والمعقول</w:t>
      </w:r>
      <w:r w:rsidR="000636C2">
        <w:rPr>
          <w:rFonts w:hint="cs"/>
          <w:rtl/>
        </w:rPr>
        <w:t>،</w:t>
      </w:r>
      <w:r w:rsidRPr="005675B2">
        <w:rPr>
          <w:rFonts w:hint="cs"/>
          <w:rtl/>
        </w:rPr>
        <w:t xml:space="preserve"> ولضعف مذهبهم في النبوات مع</w:t>
      </w:r>
      <w:r w:rsidRPr="005675B2">
        <w:rPr>
          <w:rFonts w:hint="cs"/>
        </w:rPr>
        <w:t xml:space="preserve"> </w:t>
      </w:r>
      <w:r w:rsidRPr="005675B2">
        <w:rPr>
          <w:rFonts w:hint="cs"/>
          <w:rtl/>
        </w:rPr>
        <w:t>كونها من أخطر أبواب العقيدة إذ كل أمورها متوقفة على ثبوت النبوة أغروا أعداء</w:t>
      </w:r>
      <w:r w:rsidRPr="005675B2">
        <w:rPr>
          <w:rFonts w:hint="cs"/>
        </w:rPr>
        <w:t xml:space="preserve"> </w:t>
      </w:r>
      <w:r w:rsidRPr="005675B2">
        <w:rPr>
          <w:rFonts w:hint="cs"/>
          <w:rtl/>
        </w:rPr>
        <w:t>الإسلام بالنيل منه واستطال عليهم الفلاسفة والملاحدة</w:t>
      </w:r>
      <w:r w:rsidR="000636C2">
        <w:rPr>
          <w:rFonts w:hint="cs"/>
          <w:rtl/>
        </w:rPr>
        <w:t>،</w:t>
      </w:r>
    </w:p>
    <w:p w14:paraId="328816A0" w14:textId="146F70ED" w:rsidR="009C32A0" w:rsidRPr="005675B2" w:rsidRDefault="009C32A0" w:rsidP="000636C2">
      <w:pPr>
        <w:rPr>
          <w:b/>
          <w:rtl/>
        </w:rPr>
      </w:pPr>
      <w:r w:rsidRPr="005675B2">
        <w:rPr>
          <w:rFonts w:hint="cs"/>
          <w:rtl/>
        </w:rPr>
        <w:t>إلى أن قال</w:t>
      </w:r>
      <w:r w:rsidR="000636C2">
        <w:rPr>
          <w:rFonts w:hint="cs"/>
          <w:rtl/>
        </w:rPr>
        <w:t>:</w:t>
      </w:r>
      <w:r>
        <w:rPr>
          <w:rFonts w:hint="cs"/>
          <w:rtl/>
        </w:rPr>
        <w:t xml:space="preserve"> </w:t>
      </w:r>
      <w:r w:rsidRPr="005675B2">
        <w:rPr>
          <w:rFonts w:hint="cs"/>
          <w:rtl/>
        </w:rPr>
        <w:t>أما في موضوع العصمة</w:t>
      </w:r>
      <w:r w:rsidRPr="005675B2">
        <w:rPr>
          <w:rFonts w:hint="cs"/>
        </w:rPr>
        <w:t xml:space="preserve"> </w:t>
      </w:r>
      <w:r w:rsidRPr="005675B2">
        <w:rPr>
          <w:rFonts w:hint="cs"/>
          <w:rtl/>
        </w:rPr>
        <w:t>فينكرون صدور الذنب عن الأنبياء ويؤولون الآيات والأحاديث الكثيرة تأويلاً متعسفاً</w:t>
      </w:r>
      <w:r w:rsidRPr="005675B2">
        <w:rPr>
          <w:rFonts w:hint="cs"/>
        </w:rPr>
        <w:t xml:space="preserve"> </w:t>
      </w:r>
      <w:r w:rsidRPr="005675B2">
        <w:rPr>
          <w:rFonts w:hint="cs"/>
          <w:rtl/>
        </w:rPr>
        <w:t>متكلفاً كالحال في تأويلات الصفات</w:t>
      </w:r>
      <w:r w:rsidR="000636C2">
        <w:rPr>
          <w:rFonts w:hint="cs"/>
          <w:rtl/>
        </w:rPr>
        <w:t>،</w:t>
      </w:r>
    </w:p>
    <w:p w14:paraId="29D8C36E" w14:textId="7A72E772"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يدعي الكاتب - هداه الله ـــ</w:t>
      </w:r>
      <w:r>
        <w:rPr>
          <w:rFonts w:hint="cs"/>
          <w:rtl/>
        </w:rPr>
        <w:t xml:space="preserve"> </w:t>
      </w:r>
      <w:r w:rsidR="009C32A0" w:rsidRPr="005675B2">
        <w:rPr>
          <w:rFonts w:hint="cs"/>
          <w:rtl/>
        </w:rPr>
        <w:t>-</w:t>
      </w:r>
      <w:r>
        <w:rPr>
          <w:rFonts w:hint="cs"/>
          <w:rtl/>
        </w:rPr>
        <w:t xml:space="preserve"> </w:t>
      </w:r>
      <w:r w:rsidR="009C32A0" w:rsidRPr="005675B2">
        <w:rPr>
          <w:rFonts w:hint="cs"/>
          <w:rtl/>
        </w:rPr>
        <w:t xml:space="preserve">أن جمهور علماء أهل السنة والجماعة </w:t>
      </w:r>
      <w:r>
        <w:rPr>
          <w:rFonts w:hint="cs"/>
          <w:rtl/>
        </w:rPr>
        <w:t>(</w:t>
      </w:r>
      <w:r w:rsidR="009C32A0" w:rsidRPr="005675B2">
        <w:rPr>
          <w:rFonts w:hint="cs"/>
          <w:rtl/>
        </w:rPr>
        <w:t>الأشاعرة</w:t>
      </w:r>
      <w:r>
        <w:rPr>
          <w:rFonts w:hint="cs"/>
          <w:rtl/>
        </w:rPr>
        <w:t>)</w:t>
      </w:r>
      <w:r w:rsidR="009C32A0" w:rsidRPr="005675B2">
        <w:rPr>
          <w:rFonts w:hint="cs"/>
          <w:rtl/>
        </w:rPr>
        <w:t xml:space="preserve"> مخالفون لأهل السنة والجماعة في النبوة ثم ذكر البراهين على دعواه وهي كالتالي</w:t>
      </w:r>
      <w:r>
        <w:rPr>
          <w:rFonts w:hint="cs"/>
          <w:rtl/>
        </w:rPr>
        <w:t xml:space="preserve">: </w:t>
      </w:r>
      <w:r w:rsidR="009C32A0" w:rsidRPr="005675B2">
        <w:rPr>
          <w:rFonts w:hint="cs"/>
          <w:rtl/>
        </w:rPr>
        <w:t>الأول</w:t>
      </w:r>
      <w:r>
        <w:rPr>
          <w:rFonts w:hint="cs"/>
          <w:rtl/>
        </w:rPr>
        <w:t>:،</w:t>
      </w:r>
      <w:r w:rsidR="009C32A0" w:rsidRPr="005675B2">
        <w:rPr>
          <w:rFonts w:hint="cs"/>
          <w:rtl/>
        </w:rPr>
        <w:t xml:space="preserve"> قال الكاتب</w:t>
      </w:r>
      <w:r>
        <w:rPr>
          <w:rFonts w:hint="cs"/>
          <w:rtl/>
        </w:rPr>
        <w:t>:(</w:t>
      </w:r>
      <w:r w:rsidR="009C32A0" w:rsidRPr="005675B2">
        <w:rPr>
          <w:rFonts w:hint="cs"/>
          <w:rtl/>
        </w:rPr>
        <w:t>فهم يقررون أن إرسال الرسل</w:t>
      </w:r>
      <w:r w:rsidR="009C32A0" w:rsidRPr="005675B2">
        <w:rPr>
          <w:rFonts w:hint="cs"/>
        </w:rPr>
        <w:t xml:space="preserve"> </w:t>
      </w:r>
      <w:r w:rsidR="009C32A0" w:rsidRPr="005675B2">
        <w:rPr>
          <w:rFonts w:hint="cs"/>
          <w:u w:val="single"/>
          <w:rtl/>
        </w:rPr>
        <w:t>راجع للمشيئة المحضة</w:t>
      </w:r>
      <w:r>
        <w:rPr>
          <w:rFonts w:hint="cs"/>
          <w:rtl/>
        </w:rPr>
        <w:t>)!</w:t>
      </w:r>
      <w:r w:rsidR="009C32A0" w:rsidRPr="005675B2">
        <w:rPr>
          <w:rFonts w:hint="cs"/>
          <w:rtl/>
        </w:rPr>
        <w:t>!</w:t>
      </w:r>
      <w:r>
        <w:rPr>
          <w:rFonts w:hint="cs"/>
          <w:rtl/>
        </w:rPr>
        <w:t xml:space="preserve"> </w:t>
      </w:r>
      <w:r w:rsidR="009C32A0" w:rsidRPr="005675B2">
        <w:rPr>
          <w:rFonts w:hint="cs"/>
          <w:rtl/>
        </w:rPr>
        <w:t>هذا أول برهان للكاتب على مخالفة الأشاعرة</w:t>
      </w:r>
      <w:r>
        <w:rPr>
          <w:rFonts w:hint="cs"/>
          <w:rtl/>
        </w:rPr>
        <w:t xml:space="preserve">، </w:t>
      </w:r>
      <w:r w:rsidR="009C32A0" w:rsidRPr="005675B2">
        <w:rPr>
          <w:rFonts w:hint="cs"/>
          <w:rtl/>
        </w:rPr>
        <w:t>واعلم أخي القارئ</w:t>
      </w:r>
      <w:r>
        <w:rPr>
          <w:rFonts w:hint="cs"/>
          <w:rtl/>
        </w:rPr>
        <w:t xml:space="preserve"> </w:t>
      </w:r>
      <w:r w:rsidR="009C32A0" w:rsidRPr="005675B2">
        <w:rPr>
          <w:rFonts w:hint="cs"/>
          <w:rtl/>
        </w:rPr>
        <w:t>أن مذاهب الناس في هذه المسألة ثلاثة مذاهب</w:t>
      </w:r>
      <w:r>
        <w:rPr>
          <w:rFonts w:hint="cs"/>
          <w:rtl/>
        </w:rPr>
        <w:t>:</w:t>
      </w:r>
    </w:p>
    <w:p w14:paraId="7BCE1B7D" w14:textId="00810358"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أن إرسال الرسل هو</w:t>
      </w:r>
      <w:r w:rsidR="000636C2">
        <w:rPr>
          <w:rFonts w:hint="cs"/>
          <w:rtl/>
        </w:rPr>
        <w:t xml:space="preserve"> </w:t>
      </w:r>
      <w:r w:rsidRPr="005675B2">
        <w:rPr>
          <w:rFonts w:hint="cs"/>
          <w:rtl/>
        </w:rPr>
        <w:t>محض فضل من الله ولا يلزم الخالق سبحانه وتعالى</w:t>
      </w:r>
      <w:r w:rsidR="000636C2">
        <w:rPr>
          <w:rFonts w:hint="cs"/>
          <w:rtl/>
        </w:rPr>
        <w:t xml:space="preserve"> </w:t>
      </w:r>
      <w:r w:rsidRPr="005675B2">
        <w:rPr>
          <w:rFonts w:hint="cs"/>
          <w:rtl/>
        </w:rPr>
        <w:t>أن يرسل الرسل لأن أفعاله مبنية</w:t>
      </w:r>
      <w:r>
        <w:rPr>
          <w:rFonts w:hint="cs"/>
          <w:rtl/>
        </w:rPr>
        <w:t xml:space="preserve"> </w:t>
      </w:r>
      <w:r w:rsidRPr="005675B2">
        <w:rPr>
          <w:rFonts w:hint="cs"/>
          <w:rtl/>
        </w:rPr>
        <w:t>في عقيدة السني الصادق على أن أفعاله تعالى بالاختيار وليس</w:t>
      </w:r>
      <w:r w:rsidR="000636C2">
        <w:rPr>
          <w:rFonts w:hint="cs"/>
          <w:rtl/>
        </w:rPr>
        <w:t xml:space="preserve"> </w:t>
      </w:r>
      <w:r w:rsidRPr="005675B2">
        <w:rPr>
          <w:rFonts w:hint="cs"/>
          <w:rtl/>
        </w:rPr>
        <w:t>بالإجبار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الجوهرة 278</w:t>
      </w:r>
      <w:r w:rsidRPr="005675B2">
        <w:rPr>
          <w:rFonts w:hint="cs"/>
          <w:rtl/>
        </w:rPr>
        <w:t>]</w:t>
      </w:r>
    </w:p>
    <w:p w14:paraId="2D018405" w14:textId="2E46673E"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قول الفلاسفة والمعتزلة أن الله يجب عليه أن يرسل الرسل فاتفقوا على الوجوب وزادت الفلاسفة</w:t>
      </w:r>
      <w:r>
        <w:rPr>
          <w:rFonts w:hint="cs"/>
          <w:rtl/>
        </w:rPr>
        <w:t xml:space="preserve"> </w:t>
      </w:r>
      <w:r w:rsidRPr="005675B2">
        <w:rPr>
          <w:rFonts w:hint="cs"/>
          <w:rtl/>
        </w:rPr>
        <w:t>بالإيجاب</w:t>
      </w:r>
      <w:r w:rsidR="000636C2">
        <w:rPr>
          <w:rFonts w:hint="cs"/>
          <w:rtl/>
        </w:rPr>
        <w:t>،</w:t>
      </w:r>
      <w:r w:rsidRPr="005675B2">
        <w:rPr>
          <w:rFonts w:hint="cs"/>
          <w:rtl/>
        </w:rPr>
        <w:t xml:space="preserve"> أما المعتزلة فقد قالوا بالوجوب، ابتناء على ما أصُلوه من عند أنفسهم، وهو أنه يجب على</w:t>
      </w:r>
      <w:r>
        <w:rPr>
          <w:rFonts w:hint="cs"/>
          <w:rtl/>
        </w:rPr>
        <w:t xml:space="preserve"> </w:t>
      </w:r>
      <w:r w:rsidRPr="005675B2">
        <w:rPr>
          <w:rFonts w:hint="cs"/>
          <w:rtl/>
        </w:rPr>
        <w:t>الله تعالى فعل الصلاح والأصلح</w:t>
      </w:r>
      <w:r w:rsidR="000636C2">
        <w:rPr>
          <w:rFonts w:hint="cs"/>
          <w:rtl/>
        </w:rPr>
        <w:t>،</w:t>
      </w:r>
      <w:r>
        <w:rPr>
          <w:rFonts w:hint="cs"/>
          <w:rtl/>
        </w:rPr>
        <w:t xml:space="preserve"> </w:t>
      </w:r>
      <w:r w:rsidRPr="005675B2">
        <w:rPr>
          <w:rFonts w:hint="cs"/>
          <w:rtl/>
        </w:rPr>
        <w:t>وأما الفلاسفة فبنوا الوجوب على قولهم بالتعليل أو الطبيعة فقالوا</w:t>
      </w:r>
      <w:r w:rsidR="000636C2">
        <w:rPr>
          <w:rFonts w:hint="cs"/>
          <w:rtl/>
        </w:rPr>
        <w:t>:</w:t>
      </w:r>
      <w:r w:rsidRPr="005675B2">
        <w:rPr>
          <w:rFonts w:hint="cs"/>
          <w:rtl/>
        </w:rPr>
        <w:t xml:space="preserve"> يلزم من وجوده تعالى وجود العالم بالتعليل، بأن يكون سبحانه علة العالم، أو بالطبع، ويلزم من وجود العالم وجود من يصلحه</w:t>
      </w:r>
      <w:r w:rsidR="000636C2">
        <w:rPr>
          <w:rFonts w:hint="cs"/>
          <w:rtl/>
        </w:rPr>
        <w:t>،</w:t>
      </w:r>
      <w:r w:rsidRPr="005675B2">
        <w:rPr>
          <w:rFonts w:hint="cs"/>
          <w:rtl/>
        </w:rPr>
        <w:t xml:space="preserve"> ويرد هذا أنه سبحانه فاعل بالاختيار لا بطريق الإجبار</w:t>
      </w:r>
      <w:r w:rsidR="000636C2">
        <w:rPr>
          <w:rFonts w:hint="cs"/>
          <w:rtl/>
        </w:rPr>
        <w:t>،</w:t>
      </w:r>
    </w:p>
    <w:p w14:paraId="2E32862A" w14:textId="45E25DD0" w:rsidR="009C32A0" w:rsidRDefault="009C32A0" w:rsidP="000636C2">
      <w:pPr>
        <w:rPr>
          <w:b/>
          <w:rtl/>
        </w:rPr>
      </w:pPr>
      <w:r w:rsidRPr="005675B2">
        <w:rPr>
          <w:rFonts w:hint="cs"/>
          <w:rtl/>
        </w:rPr>
        <w:t>3</w:t>
      </w:r>
      <w:r w:rsidR="000636C2">
        <w:rPr>
          <w:rFonts w:hint="cs"/>
          <w:rtl/>
        </w:rPr>
        <w:t xml:space="preserve"> </w:t>
      </w:r>
      <w:r w:rsidRPr="005675B2">
        <w:rPr>
          <w:rFonts w:hint="cs"/>
          <w:rtl/>
        </w:rPr>
        <w:t>-</w:t>
      </w:r>
      <w:r w:rsidR="000636C2">
        <w:rPr>
          <w:rFonts w:hint="cs"/>
          <w:rtl/>
        </w:rPr>
        <w:t xml:space="preserve"> </w:t>
      </w:r>
      <w:r w:rsidRPr="005675B2">
        <w:rPr>
          <w:rFonts w:hint="cs"/>
          <w:rtl/>
        </w:rPr>
        <w:t>السمنية والبراهمة ونحوهم أنه مستحيل</w:t>
      </w:r>
      <w:r w:rsidR="000636C2">
        <w:rPr>
          <w:rFonts w:hint="cs"/>
          <w:rtl/>
        </w:rPr>
        <w:t>!</w:t>
      </w:r>
      <w:r w:rsidRPr="005675B2">
        <w:rPr>
          <w:rFonts w:hint="cs"/>
          <w:rtl/>
        </w:rPr>
        <w:t>!قالوا لأن إرسال الرسل عبث لا يليق بالحكيم لأن العقل يغني عن الرسل فإن الشيء إن كان حسناً عند العقل فعله وإن كان قبيحاً تركه وإن لم يأت الرسل</w:t>
      </w:r>
      <w:r w:rsidR="000636C2">
        <w:rPr>
          <w:rFonts w:hint="cs"/>
          <w:rtl/>
        </w:rPr>
        <w:t xml:space="preserve">، </w:t>
      </w:r>
      <w:r w:rsidRPr="005675B2">
        <w:rPr>
          <w:rFonts w:hint="cs"/>
          <w:rtl/>
        </w:rPr>
        <w:t>[</w:t>
      </w:r>
      <w:r w:rsidRPr="005675B2">
        <w:rPr>
          <w:rFonts w:hint="cs"/>
          <w:bCs/>
          <w:sz w:val="24"/>
          <w:szCs w:val="24"/>
          <w:rtl/>
        </w:rPr>
        <w:t>تحفة المريد شرح جوهرة التوحيد 282</w:t>
      </w:r>
      <w:r w:rsidRPr="005675B2">
        <w:rPr>
          <w:rFonts w:hint="cs"/>
          <w:rtl/>
        </w:rPr>
        <w:t>]</w:t>
      </w:r>
      <w:r w:rsidR="000636C2">
        <w:rPr>
          <w:rFonts w:hint="cs"/>
          <w:rtl/>
        </w:rPr>
        <w:t>،</w:t>
      </w:r>
      <w:r>
        <w:rPr>
          <w:rFonts w:hint="cs"/>
          <w:rtl/>
        </w:rPr>
        <w:t xml:space="preserve"> </w:t>
      </w:r>
    </w:p>
    <w:p w14:paraId="6351C4A2" w14:textId="161E2A65" w:rsidR="009C32A0" w:rsidRPr="005675B2" w:rsidRDefault="009C32A0" w:rsidP="000636C2">
      <w:pPr>
        <w:rPr>
          <w:b/>
          <w:rtl/>
        </w:rPr>
      </w:pPr>
      <w:r w:rsidRPr="005675B2">
        <w:rPr>
          <w:rFonts w:hint="cs"/>
          <w:rtl/>
        </w:rPr>
        <w:t>الثاني</w:t>
      </w:r>
      <w:r w:rsidR="000636C2">
        <w:rPr>
          <w:rFonts w:hint="cs"/>
          <w:rtl/>
        </w:rPr>
        <w:t>:</w:t>
      </w:r>
      <w:r w:rsidRPr="005675B2">
        <w:rPr>
          <w:rFonts w:hint="cs"/>
          <w:rtl/>
        </w:rPr>
        <w:t xml:space="preserve"> قال الكاتب</w:t>
      </w:r>
      <w:r w:rsidR="000636C2">
        <w:rPr>
          <w:rFonts w:hint="cs"/>
          <w:rtl/>
        </w:rPr>
        <w:t>:(</w:t>
      </w:r>
      <w:r w:rsidRPr="005675B2">
        <w:rPr>
          <w:rFonts w:hint="cs"/>
          <w:rtl/>
        </w:rPr>
        <w:t>يقررون أنه لا دليل على صدق</w:t>
      </w:r>
      <w:r w:rsidRPr="005675B2">
        <w:rPr>
          <w:rFonts w:hint="cs"/>
        </w:rPr>
        <w:t xml:space="preserve"> </w:t>
      </w:r>
      <w:r w:rsidRPr="005675B2">
        <w:rPr>
          <w:rFonts w:hint="cs"/>
          <w:rtl/>
        </w:rPr>
        <w:t>النبي إلا المعجزة</w:t>
      </w:r>
      <w:r w:rsidR="000636C2">
        <w:rPr>
          <w:rFonts w:hint="cs"/>
          <w:rtl/>
        </w:rPr>
        <w:t xml:space="preserve">)، </w:t>
      </w:r>
      <w:r w:rsidRPr="005675B2">
        <w:rPr>
          <w:rFonts w:hint="cs"/>
          <w:rtl/>
        </w:rPr>
        <w:t>1</w:t>
      </w:r>
      <w:r w:rsidR="000636C2">
        <w:rPr>
          <w:rFonts w:hint="cs"/>
          <w:rtl/>
        </w:rPr>
        <w:t xml:space="preserve"> </w:t>
      </w:r>
      <w:r w:rsidRPr="005675B2">
        <w:rPr>
          <w:rFonts w:hint="cs"/>
          <w:rtl/>
        </w:rPr>
        <w:t>- وهذا باطل بل المعجزة دليل صدقه في دعوى الرسالة وفي الأحكام الشرعية وأما دليل صدق الرسل فهو استحالة الكذب عليهم لعصمتهم ومن أقوى الأدلة على صدقهم</w:t>
      </w:r>
      <w:r w:rsidR="000636C2">
        <w:rPr>
          <w:rFonts w:hint="cs"/>
          <w:rtl/>
        </w:rPr>
        <w:t xml:space="preserve"> </w:t>
      </w:r>
      <w:r w:rsidRPr="005675B2">
        <w:rPr>
          <w:rFonts w:hint="cs"/>
          <w:rtl/>
        </w:rPr>
        <w:t>الأمانة وهي حفظهم باطناً وظاهراً من التلبس بما نهى الله عنه وضد الأمانة الخيانة وهي مستحيلة في حقهم عليهم الصلاة والسلام</w:t>
      </w:r>
      <w:r w:rsidR="000636C2">
        <w:rPr>
          <w:rFonts w:hint="cs"/>
          <w:rtl/>
        </w:rPr>
        <w:t xml:space="preserve">، </w:t>
      </w:r>
      <w:r w:rsidRPr="005675B2">
        <w:rPr>
          <w:rFonts w:hint="cs"/>
          <w:rtl/>
        </w:rPr>
        <w:t>[</w:t>
      </w:r>
      <w:r w:rsidRPr="005675B2">
        <w:rPr>
          <w:rFonts w:hint="cs"/>
          <w:bCs/>
          <w:sz w:val="24"/>
          <w:szCs w:val="24"/>
          <w:rtl/>
        </w:rPr>
        <w:t>تحفة المريد شرح جوهرة التوحيد 282</w:t>
      </w:r>
      <w:r w:rsidRPr="005675B2">
        <w:rPr>
          <w:rFonts w:hint="cs"/>
          <w:rtl/>
        </w:rPr>
        <w:t>]</w:t>
      </w:r>
    </w:p>
    <w:p w14:paraId="52F170B7" w14:textId="1D222FFE" w:rsidR="009C32A0" w:rsidRPr="005675B2" w:rsidRDefault="009C32A0" w:rsidP="000636C2">
      <w:pPr>
        <w:rPr>
          <w:b/>
          <w:rtl/>
        </w:rPr>
      </w:pPr>
      <w:r w:rsidRPr="005675B2">
        <w:rPr>
          <w:rFonts w:hint="cs"/>
          <w:rtl/>
        </w:rPr>
        <w:t>الثالث</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w:t>
      </w:r>
      <w:r w:rsidR="000636C2">
        <w:rPr>
          <w:rFonts w:hint="cs"/>
          <w:rtl/>
        </w:rPr>
        <w:t>(</w:t>
      </w:r>
      <w:r w:rsidRPr="005675B2">
        <w:rPr>
          <w:rFonts w:hint="cs"/>
          <w:rtl/>
        </w:rPr>
        <w:t>ثم يقررون أن أفعال السحرة والكهان من جنس المعجزة لكنها لا</w:t>
      </w:r>
      <w:r w:rsidRPr="005675B2">
        <w:rPr>
          <w:rFonts w:hint="cs"/>
        </w:rPr>
        <w:t xml:space="preserve"> </w:t>
      </w:r>
      <w:r w:rsidRPr="005675B2">
        <w:rPr>
          <w:rFonts w:hint="cs"/>
          <w:rtl/>
        </w:rPr>
        <w:t>تكون مقرونة بادعاء النبوة والتحدي</w:t>
      </w:r>
      <w:r w:rsidR="000636C2">
        <w:rPr>
          <w:rFonts w:hint="cs"/>
          <w:rtl/>
        </w:rPr>
        <w:t>)،</w:t>
      </w:r>
      <w:r>
        <w:rPr>
          <w:rFonts w:hint="cs"/>
          <w:rtl/>
        </w:rPr>
        <w:t xml:space="preserve"> </w:t>
      </w:r>
      <w:r w:rsidRPr="005675B2">
        <w:rPr>
          <w:rFonts w:hint="cs"/>
          <w:rtl/>
        </w:rPr>
        <w:t>وهذا باطل لأمور</w:t>
      </w:r>
      <w:r w:rsidR="000636C2">
        <w:rPr>
          <w:rFonts w:hint="cs"/>
          <w:rtl/>
        </w:rPr>
        <w:t>:</w:t>
      </w:r>
      <w:r>
        <w:rPr>
          <w:rFonts w:hint="cs"/>
          <w:rtl/>
        </w:rPr>
        <w:t xml:space="preserve"> </w:t>
      </w:r>
      <w:r w:rsidRPr="005675B2">
        <w:rPr>
          <w:rFonts w:hint="cs"/>
          <w:rtl/>
        </w:rPr>
        <w:t>الأمر الأول</w:t>
      </w:r>
      <w:r w:rsidR="000636C2">
        <w:rPr>
          <w:rFonts w:hint="cs"/>
          <w:rtl/>
        </w:rPr>
        <w:t>:</w:t>
      </w:r>
      <w:r w:rsidRPr="005675B2">
        <w:rPr>
          <w:rFonts w:hint="cs"/>
          <w:rtl/>
        </w:rPr>
        <w:t xml:space="preserve"> لأن السحر على المعتمدعند الأشاعرة وغيرهم من أهل السنة</w:t>
      </w:r>
      <w:r w:rsidR="000636C2">
        <w:rPr>
          <w:rFonts w:hint="cs"/>
          <w:rtl/>
        </w:rPr>
        <w:t xml:space="preserve"> </w:t>
      </w:r>
      <w:r w:rsidRPr="005675B2">
        <w:rPr>
          <w:rFonts w:hint="cs"/>
          <w:rtl/>
        </w:rPr>
        <w:t>ليس</w:t>
      </w:r>
      <w:r>
        <w:rPr>
          <w:rFonts w:hint="cs"/>
          <w:rtl/>
        </w:rPr>
        <w:t xml:space="preserve"> </w:t>
      </w:r>
      <w:r w:rsidRPr="005675B2">
        <w:rPr>
          <w:rFonts w:hint="cs"/>
          <w:rtl/>
        </w:rPr>
        <w:t>من الخوارق</w:t>
      </w:r>
      <w:r w:rsidR="000636C2">
        <w:rPr>
          <w:rFonts w:hint="cs"/>
          <w:rtl/>
        </w:rPr>
        <w:t>،</w:t>
      </w:r>
      <w:r w:rsidRPr="005675B2">
        <w:rPr>
          <w:rFonts w:hint="cs"/>
          <w:rtl/>
        </w:rPr>
        <w:t xml:space="preserve"> لأنه معتاد عند تعاطي أسبابه</w:t>
      </w:r>
      <w:r w:rsidR="000636C2">
        <w:rPr>
          <w:rFonts w:hint="cs"/>
          <w:rtl/>
        </w:rPr>
        <w:t>،</w:t>
      </w:r>
      <w:r w:rsidRPr="005675B2">
        <w:rPr>
          <w:rFonts w:hint="cs"/>
          <w:rtl/>
        </w:rPr>
        <w:t xml:space="preserve"> بينما معجزات الرسل ليست بتعاطي الأسباب كما تقول الفلاسفة</w:t>
      </w:r>
      <w:r w:rsidR="000636C2">
        <w:rPr>
          <w:rFonts w:hint="cs"/>
          <w:rtl/>
        </w:rPr>
        <w:t>،</w:t>
      </w:r>
      <w:r w:rsidRPr="005675B2">
        <w:rPr>
          <w:rFonts w:hint="cs"/>
          <w:rtl/>
        </w:rPr>
        <w:t xml:space="preserve"> بل المعجزة تأييد من الله للرسل في دعوى الرسالة</w:t>
      </w:r>
      <w:r w:rsidR="000636C2">
        <w:rPr>
          <w:rFonts w:hint="cs"/>
          <w:rtl/>
        </w:rPr>
        <w:t>،</w:t>
      </w:r>
      <w:r w:rsidRPr="005675B2">
        <w:rPr>
          <w:rFonts w:hint="cs"/>
          <w:rtl/>
        </w:rPr>
        <w:t xml:space="preserve"> [</w:t>
      </w:r>
      <w:r w:rsidRPr="005675B2">
        <w:rPr>
          <w:rFonts w:hint="cs"/>
          <w:bCs/>
          <w:sz w:val="24"/>
          <w:szCs w:val="24"/>
          <w:rtl/>
        </w:rPr>
        <w:t>تحفة المريد 313</w:t>
      </w:r>
      <w:r w:rsidR="000636C2">
        <w:rPr>
          <w:rFonts w:hint="cs"/>
          <w:bCs/>
          <w:sz w:val="24"/>
          <w:szCs w:val="24"/>
          <w:rtl/>
        </w:rPr>
        <w:t>]</w:t>
      </w:r>
      <w:r w:rsidR="000636C2">
        <w:rPr>
          <w:rFonts w:hint="cs"/>
          <w:rtl/>
        </w:rPr>
        <w:t>،</w:t>
      </w:r>
      <w:r>
        <w:rPr>
          <w:rFonts w:hint="cs"/>
          <w:rtl/>
        </w:rPr>
        <w:t xml:space="preserve"> </w:t>
      </w:r>
      <w:r w:rsidRPr="005675B2">
        <w:rPr>
          <w:rFonts w:hint="cs"/>
          <w:rtl/>
        </w:rPr>
        <w:t>الأمر الثاني</w:t>
      </w:r>
      <w:r w:rsidR="000636C2">
        <w:rPr>
          <w:rFonts w:hint="cs"/>
          <w:rtl/>
        </w:rPr>
        <w:t>:</w:t>
      </w:r>
      <w:r>
        <w:rPr>
          <w:rFonts w:hint="cs"/>
          <w:rtl/>
        </w:rPr>
        <w:t xml:space="preserve"> </w:t>
      </w:r>
      <w:r w:rsidRPr="005675B2">
        <w:rPr>
          <w:rFonts w:hint="cs"/>
          <w:rtl/>
        </w:rPr>
        <w:t>لو سلمنا أن السحر من خوارق العادات فإن معجزات الأنبياء مقرونة بالتحدي من الله</w:t>
      </w:r>
      <w:r>
        <w:rPr>
          <w:rFonts w:hint="cs"/>
          <w:rtl/>
        </w:rPr>
        <w:t xml:space="preserve"> </w:t>
      </w:r>
      <w:r w:rsidRPr="005675B2">
        <w:rPr>
          <w:rFonts w:hint="cs"/>
          <w:rtl/>
        </w:rPr>
        <w:t>سبحانه وتعالى</w:t>
      </w:r>
      <w:r w:rsidR="000636C2">
        <w:rPr>
          <w:rFonts w:hint="cs"/>
          <w:rtl/>
        </w:rPr>
        <w:t>،</w:t>
      </w:r>
      <w:r w:rsidRPr="005675B2">
        <w:rPr>
          <w:rFonts w:hint="cs"/>
          <w:rtl/>
        </w:rPr>
        <w:t>نازلة منزلة قوله صدق عبدي وهو رسولي</w:t>
      </w:r>
      <w:r w:rsidR="000636C2">
        <w:rPr>
          <w:rFonts w:hint="cs"/>
          <w:rtl/>
        </w:rPr>
        <w:t xml:space="preserve"> </w:t>
      </w:r>
      <w:r w:rsidRPr="005675B2">
        <w:rPr>
          <w:rFonts w:hint="cs"/>
          <w:rtl/>
        </w:rPr>
        <w:t>حقاً</w:t>
      </w:r>
      <w:r w:rsidR="000636C2">
        <w:rPr>
          <w:rFonts w:hint="cs"/>
          <w:rtl/>
        </w:rPr>
        <w:t>،</w:t>
      </w:r>
      <w:r w:rsidRPr="005675B2">
        <w:rPr>
          <w:rFonts w:hint="cs"/>
          <w:rtl/>
        </w:rPr>
        <w:t xml:space="preserve"> فكيف يؤيد الفاجر الكاذب</w:t>
      </w:r>
      <w:r>
        <w:rPr>
          <w:rFonts w:hint="cs"/>
          <w:rtl/>
        </w:rPr>
        <w:t xml:space="preserve"> </w:t>
      </w:r>
      <w:r w:rsidRPr="005675B2">
        <w:rPr>
          <w:rFonts w:hint="cs"/>
          <w:rtl/>
        </w:rPr>
        <w:t>المدعي للنبوة بما يؤيد به الأنبياء</w:t>
      </w:r>
      <w:r w:rsidR="000636C2">
        <w:rPr>
          <w:rFonts w:hint="cs"/>
          <w:rtl/>
        </w:rPr>
        <w:t>؟!</w:t>
      </w:r>
      <w:r w:rsidRPr="005675B2">
        <w:rPr>
          <w:rFonts w:hint="cs"/>
          <w:rtl/>
        </w:rPr>
        <w:t>فكأنه يقول صدق الساحر في كونه نبياً وهذا محال</w:t>
      </w:r>
      <w:r w:rsidR="000636C2">
        <w:rPr>
          <w:rFonts w:hint="cs"/>
          <w:rtl/>
        </w:rPr>
        <w:t>،</w:t>
      </w:r>
      <w:r w:rsidRPr="005675B2">
        <w:rPr>
          <w:rFonts w:hint="cs"/>
          <w:rtl/>
        </w:rPr>
        <w:t xml:space="preserve"> </w:t>
      </w:r>
      <w:r w:rsidR="000636C2">
        <w:rPr>
          <w:rFonts w:hint="cs"/>
          <w:rtl/>
        </w:rPr>
        <w:t>[</w:t>
      </w:r>
      <w:r w:rsidRPr="005675B2">
        <w:rPr>
          <w:rFonts w:hint="cs"/>
          <w:bCs/>
          <w:sz w:val="24"/>
          <w:szCs w:val="24"/>
          <w:rtl/>
        </w:rPr>
        <w:t>مختصراً</w:t>
      </w:r>
      <w:r w:rsidR="000636C2">
        <w:rPr>
          <w:rFonts w:hint="cs"/>
          <w:bCs/>
          <w:sz w:val="24"/>
          <w:szCs w:val="24"/>
          <w:rtl/>
        </w:rPr>
        <w:t xml:space="preserve"> </w:t>
      </w:r>
      <w:r w:rsidRPr="005675B2">
        <w:rPr>
          <w:rFonts w:hint="cs"/>
          <w:bCs/>
          <w:sz w:val="24"/>
          <w:szCs w:val="24"/>
          <w:rtl/>
        </w:rPr>
        <w:t>من كتاب الاقتصاد في الاعتقاد للإمام الغزالي</w:t>
      </w:r>
      <w:r w:rsidRPr="005675B2">
        <w:rPr>
          <w:rFonts w:hint="cs"/>
          <w:rtl/>
        </w:rPr>
        <w:t>]</w:t>
      </w:r>
      <w:r w:rsidR="000636C2">
        <w:rPr>
          <w:rFonts w:hint="cs"/>
          <w:rtl/>
        </w:rPr>
        <w:t>،</w:t>
      </w:r>
      <w:r>
        <w:rPr>
          <w:rFonts w:hint="cs"/>
          <w:rtl/>
        </w:rPr>
        <w:t xml:space="preserve"> </w:t>
      </w:r>
      <w:r w:rsidRPr="005675B2">
        <w:rPr>
          <w:rFonts w:hint="cs"/>
          <w:rtl/>
        </w:rPr>
        <w:t>الأمر الثالث</w:t>
      </w:r>
      <w:r w:rsidR="000636C2">
        <w:rPr>
          <w:rFonts w:hint="cs"/>
          <w:rtl/>
        </w:rPr>
        <w:t>:</w:t>
      </w:r>
      <w:r w:rsidRPr="005675B2">
        <w:rPr>
          <w:rFonts w:hint="cs"/>
          <w:rtl/>
        </w:rPr>
        <w:t xml:space="preserve"> والقول الوجيز أن ادعاء أن كل مقدور لله تعالى يمكن تحصيله بالسحر هو باطل قطعاً واستحالته معلومة بالضرورة</w:t>
      </w:r>
      <w:r w:rsidR="000636C2">
        <w:rPr>
          <w:rFonts w:hint="cs"/>
          <w:rtl/>
        </w:rPr>
        <w:t>،</w:t>
      </w:r>
      <w:r w:rsidRPr="005675B2">
        <w:rPr>
          <w:rFonts w:hint="cs"/>
          <w:rtl/>
        </w:rPr>
        <w:t xml:space="preserve"> بينما معجزات الرسل يؤيدهم الله بها مهما بلغت، كإحياء الموتى وانشقاق القمر</w:t>
      </w:r>
      <w:r w:rsidR="000636C2">
        <w:rPr>
          <w:rFonts w:hint="cs"/>
          <w:rtl/>
        </w:rPr>
        <w:t>،</w:t>
      </w:r>
      <w:r w:rsidRPr="005675B2">
        <w:rPr>
          <w:rFonts w:hint="cs"/>
          <w:rtl/>
        </w:rPr>
        <w:t xml:space="preserve"> وغيرها مما</w:t>
      </w:r>
      <w:r w:rsidR="000636C2">
        <w:rPr>
          <w:rFonts w:hint="cs"/>
          <w:rtl/>
        </w:rPr>
        <w:t xml:space="preserve"> </w:t>
      </w:r>
      <w:r w:rsidRPr="005675B2">
        <w:rPr>
          <w:rFonts w:hint="cs"/>
          <w:rtl/>
        </w:rPr>
        <w:t>أيد الله بها رسله</w:t>
      </w:r>
      <w:r w:rsidR="000636C2">
        <w:rPr>
          <w:rFonts w:hint="cs"/>
          <w:rtl/>
        </w:rPr>
        <w:t>،</w:t>
      </w:r>
      <w:r>
        <w:rPr>
          <w:rFonts w:hint="cs"/>
          <w:rtl/>
        </w:rPr>
        <w:t xml:space="preserve"> </w:t>
      </w:r>
    </w:p>
    <w:p w14:paraId="137DEB9C" w14:textId="6EA509B8"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ولو ادعى الساحر أو الكاهن النبوة</w:t>
      </w:r>
      <w:r w:rsidRPr="005675B2">
        <w:rPr>
          <w:rFonts w:hint="cs"/>
        </w:rPr>
        <w:t xml:space="preserve"> </w:t>
      </w:r>
      <w:r w:rsidRPr="005675B2">
        <w:rPr>
          <w:rFonts w:hint="cs"/>
          <w:rtl/>
        </w:rPr>
        <w:t>لسلبه الله معرفة السحر رأساً وإلا كان هذا إضلالاً من الله وهو يمتنع عليه الإضلال</w:t>
      </w:r>
      <w:r w:rsidRPr="005675B2">
        <w:t xml:space="preserve"> … </w:t>
      </w:r>
      <w:r w:rsidRPr="005675B2">
        <w:rPr>
          <w:rFonts w:hint="cs"/>
          <w:rtl/>
        </w:rPr>
        <w:t>إلى آخر ما يقررونه مما يخالف المنقول والمعقول</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قولك أن ذلك خلاف المعقول والمنقول باطل فكلنا علم</w:t>
      </w:r>
      <w:r w:rsidR="000636C2">
        <w:rPr>
          <w:rFonts w:hint="cs"/>
          <w:rtl/>
        </w:rPr>
        <w:t xml:space="preserve"> </w:t>
      </w:r>
      <w:r w:rsidRPr="005675B2">
        <w:rPr>
          <w:rFonts w:hint="cs"/>
          <w:rtl/>
        </w:rPr>
        <w:t>بما حصل لمسيلمة على وجه الإهانة فقد أهانه الله فكلما طلبوا</w:t>
      </w:r>
      <w:r w:rsidR="000636C2">
        <w:rPr>
          <w:rFonts w:hint="cs"/>
          <w:rtl/>
        </w:rPr>
        <w:t xml:space="preserve"> </w:t>
      </w:r>
      <w:r w:rsidRPr="005675B2">
        <w:rPr>
          <w:rFonts w:hint="cs"/>
          <w:rtl/>
        </w:rPr>
        <w:t>منه تحقيق معجزة أنقلبت ضدها تفل في عين الأعور فعميت الثانية</w:t>
      </w:r>
      <w:r w:rsidR="000636C2">
        <w:rPr>
          <w:rFonts w:hint="cs"/>
          <w:rtl/>
        </w:rPr>
        <w:t>،</w:t>
      </w:r>
      <w:r w:rsidRPr="005675B2">
        <w:rPr>
          <w:rFonts w:hint="cs"/>
          <w:rtl/>
        </w:rPr>
        <w:t>وتفل في البئر فأصبح ماءها أجاجاً وغير ذلك مما لايخفى</w:t>
      </w:r>
      <w:r w:rsidR="000636C2">
        <w:rPr>
          <w:rFonts w:hint="cs"/>
          <w:rtl/>
        </w:rPr>
        <w:t>،</w:t>
      </w:r>
      <w:r>
        <w:rPr>
          <w:rFonts w:hint="cs"/>
          <w:rtl/>
        </w:rPr>
        <w:t xml:space="preserve"> </w:t>
      </w:r>
      <w:r w:rsidRPr="005675B2">
        <w:rPr>
          <w:rFonts w:hint="cs"/>
          <w:rtl/>
        </w:rPr>
        <w:t>وأما المعقول فلأن تحقيق خوارق العادات على أيدي السحرة أو غيرهم بعد دعوى النبوة فيه التباس النبوات</w:t>
      </w:r>
      <w:r>
        <w:rPr>
          <w:rFonts w:hint="cs"/>
          <w:rtl/>
        </w:rPr>
        <w:t xml:space="preserve"> </w:t>
      </w:r>
      <w:r w:rsidRPr="005675B2">
        <w:rPr>
          <w:rFonts w:hint="cs"/>
          <w:rtl/>
        </w:rPr>
        <w:t>الصادقة بالدعاوى الكاذبة</w:t>
      </w:r>
      <w:r w:rsidR="000636C2">
        <w:rPr>
          <w:rFonts w:hint="cs"/>
          <w:rtl/>
        </w:rPr>
        <w:t xml:space="preserve">، </w:t>
      </w:r>
      <w:r w:rsidRPr="005675B2">
        <w:rPr>
          <w:rFonts w:hint="cs"/>
          <w:rtl/>
        </w:rPr>
        <w:t>وأما ما يحصل من خوارق الدجال في آخر الزمان فإنه خارج عن ذلك لأنه في زمان نقض العادة</w:t>
      </w:r>
      <w:r w:rsidR="000636C2">
        <w:rPr>
          <w:rFonts w:hint="cs"/>
          <w:rtl/>
        </w:rPr>
        <w:t>،</w:t>
      </w:r>
      <w:r w:rsidRPr="005675B2">
        <w:rPr>
          <w:rFonts w:hint="cs"/>
          <w:rtl/>
        </w:rPr>
        <w:t>فما يقع للدجال</w:t>
      </w:r>
      <w:r w:rsidR="000636C2">
        <w:rPr>
          <w:rFonts w:hint="cs"/>
          <w:rtl/>
        </w:rPr>
        <w:t>،</w:t>
      </w:r>
      <w:r w:rsidRPr="005675B2">
        <w:rPr>
          <w:rFonts w:hint="cs"/>
          <w:rtl/>
        </w:rPr>
        <w:t>وخروج الشمس من مغربها، والدابة</w:t>
      </w:r>
      <w:r w:rsidR="000636C2">
        <w:rPr>
          <w:rFonts w:hint="cs"/>
          <w:rtl/>
        </w:rPr>
        <w:t>،</w:t>
      </w:r>
      <w:r w:rsidRPr="005675B2">
        <w:rPr>
          <w:rFonts w:hint="cs"/>
          <w:rtl/>
        </w:rPr>
        <w:t>ونحو ذلك</w:t>
      </w:r>
      <w:r w:rsidR="000636C2">
        <w:rPr>
          <w:rFonts w:hint="cs"/>
          <w:rtl/>
        </w:rPr>
        <w:t>،</w:t>
      </w:r>
      <w:r w:rsidRPr="005675B2">
        <w:rPr>
          <w:rFonts w:hint="cs"/>
          <w:rtl/>
        </w:rPr>
        <w:t>كلها في زمان علامات الساعة الكبرى وهي تأتي متتابعة كخرز السبحة</w:t>
      </w:r>
      <w:r w:rsidR="000636C2">
        <w:rPr>
          <w:rFonts w:hint="cs"/>
          <w:rtl/>
        </w:rPr>
        <w:t>،</w:t>
      </w:r>
      <w:r w:rsidRPr="005675B2">
        <w:rPr>
          <w:rFonts w:hint="cs"/>
          <w:rtl/>
        </w:rPr>
        <w:t>فشتان بين هذا وبين ساحر</w:t>
      </w:r>
      <w:r w:rsidR="000636C2">
        <w:rPr>
          <w:rFonts w:hint="cs"/>
          <w:rtl/>
        </w:rPr>
        <w:t xml:space="preserve"> </w:t>
      </w:r>
      <w:r w:rsidRPr="005675B2">
        <w:rPr>
          <w:rFonts w:hint="cs"/>
          <w:rtl/>
        </w:rPr>
        <w:t>يأتي قبل زمانهم</w:t>
      </w:r>
      <w:r w:rsidR="000636C2">
        <w:rPr>
          <w:rFonts w:hint="cs"/>
          <w:rtl/>
        </w:rPr>
        <w:t>،</w:t>
      </w:r>
      <w:r>
        <w:rPr>
          <w:rFonts w:hint="cs"/>
          <w:rtl/>
        </w:rPr>
        <w:t xml:space="preserve"> </w:t>
      </w:r>
      <w:r w:rsidRPr="005675B2">
        <w:rPr>
          <w:rFonts w:hint="cs"/>
          <w:rtl/>
        </w:rPr>
        <w:t>بل لو استثني حال الدجال من عموم حد المعجزة لكان جيداً فإن الجهل طم وعم وأصبح الجهال من</w:t>
      </w:r>
      <w:r>
        <w:rPr>
          <w:rFonts w:hint="cs"/>
          <w:rtl/>
        </w:rPr>
        <w:t xml:space="preserve"> </w:t>
      </w:r>
      <w:r w:rsidRPr="005675B2">
        <w:rPr>
          <w:rFonts w:hint="cs"/>
          <w:rtl/>
        </w:rPr>
        <w:t>أدعياء العلم لا يفهمون حتى القطعيات</w:t>
      </w:r>
      <w:r w:rsidR="000636C2">
        <w:rPr>
          <w:rFonts w:hint="cs"/>
          <w:rtl/>
        </w:rPr>
        <w:t>،</w:t>
      </w:r>
      <w:r w:rsidRPr="005675B2">
        <w:rPr>
          <w:rFonts w:hint="cs"/>
          <w:rtl/>
        </w:rPr>
        <w:t xml:space="preserve"> فالأفضل للإيضاح وإزالة اللبس أن يستثنى حال الدجال بالأدلة الشرعية السمعية ويبقى غيره على عمومه وهذا حاصل في بعض مؤلفات الأشاعرة</w:t>
      </w:r>
      <w:r w:rsidR="000636C2">
        <w:rPr>
          <w:rFonts w:hint="cs"/>
          <w:rtl/>
        </w:rPr>
        <w:t>،</w:t>
      </w:r>
    </w:p>
    <w:p w14:paraId="60C46BF4" w14:textId="29C5993A"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ولضعف مذهبهم في النبوات مع</w:t>
      </w:r>
      <w:r w:rsidRPr="005675B2">
        <w:rPr>
          <w:rFonts w:hint="cs"/>
        </w:rPr>
        <w:t xml:space="preserve"> </w:t>
      </w:r>
      <w:r w:rsidRPr="005675B2">
        <w:rPr>
          <w:rFonts w:hint="cs"/>
          <w:rtl/>
        </w:rPr>
        <w:t>كونها من أخطر أبواب العقيدة إذ كل أمورها متوقفة على ثبوت النبوة أغروا أعداء</w:t>
      </w:r>
      <w:r w:rsidRPr="005675B2">
        <w:rPr>
          <w:rFonts w:hint="cs"/>
        </w:rPr>
        <w:t xml:space="preserve"> </w:t>
      </w:r>
      <w:r w:rsidRPr="005675B2">
        <w:rPr>
          <w:rFonts w:hint="cs"/>
          <w:rtl/>
        </w:rPr>
        <w:t>الإسلام بالنيل منه واستطال عليهم الفلاسفة والملاحدة</w:t>
      </w:r>
      <w:r w:rsidR="000636C2">
        <w:rPr>
          <w:rFonts w:hint="cs"/>
          <w:rtl/>
        </w:rPr>
        <w:t>)،</w:t>
      </w:r>
    </w:p>
    <w:p w14:paraId="6A6E56E4" w14:textId="6D587036"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أن هذا غير صحيح إطلاقاً</w:t>
      </w:r>
      <w:r>
        <w:rPr>
          <w:rFonts w:hint="cs"/>
          <w:rtl/>
        </w:rPr>
        <w:t>،</w:t>
      </w:r>
      <w:r w:rsidR="009C32A0" w:rsidRPr="005675B2">
        <w:rPr>
          <w:rFonts w:hint="cs"/>
          <w:rtl/>
        </w:rPr>
        <w:t xml:space="preserve"> فلم يوقف الباطنية والفلاسفة ويرد الناس إلى الحق ويجلي الشبهات</w:t>
      </w:r>
      <w:r w:rsidR="009C32A0">
        <w:rPr>
          <w:rFonts w:hint="cs"/>
          <w:rtl/>
        </w:rPr>
        <w:t xml:space="preserve"> </w:t>
      </w:r>
      <w:r w:rsidR="009C32A0" w:rsidRPr="005675B2">
        <w:rPr>
          <w:rFonts w:hint="cs"/>
          <w:rtl/>
        </w:rPr>
        <w:t>إلى اليوم حتى أصبحت كتبهم مرجعاً لكل عالم مسلم يناظر الفلاسفة والكفرة مثل</w:t>
      </w:r>
      <w:r>
        <w:rPr>
          <w:rFonts w:hint="cs"/>
          <w:rtl/>
        </w:rPr>
        <w:t xml:space="preserve"> </w:t>
      </w:r>
      <w:r w:rsidR="009C32A0" w:rsidRPr="005675B2">
        <w:rPr>
          <w:rFonts w:hint="cs"/>
          <w:rtl/>
        </w:rPr>
        <w:t>الأشاعرة</w:t>
      </w:r>
      <w:r>
        <w:rPr>
          <w:rFonts w:hint="cs"/>
          <w:rtl/>
        </w:rPr>
        <w:t>،</w:t>
      </w:r>
      <w:r w:rsidR="009C32A0">
        <w:rPr>
          <w:rFonts w:hint="cs"/>
          <w:rtl/>
        </w:rPr>
        <w:t xml:space="preserve"> </w:t>
      </w:r>
      <w:r w:rsidR="009C32A0" w:rsidRPr="005675B2">
        <w:rPr>
          <w:rFonts w:hint="cs"/>
          <w:rtl/>
        </w:rPr>
        <w:t>ومن كتبهم في ذلك</w:t>
      </w:r>
      <w:r>
        <w:rPr>
          <w:rFonts w:hint="cs"/>
          <w:rtl/>
        </w:rPr>
        <w:t>:</w:t>
      </w:r>
      <w:r w:rsidR="009C32A0" w:rsidRPr="005675B2">
        <w:rPr>
          <w:rFonts w:hint="cs"/>
          <w:rtl/>
        </w:rPr>
        <w:t xml:space="preserve"> كتاب تهافت الفلاسفة [</w:t>
      </w:r>
      <w:r w:rsidR="009C32A0" w:rsidRPr="005675B2">
        <w:rPr>
          <w:rFonts w:hint="cs"/>
          <w:sz w:val="24"/>
          <w:szCs w:val="24"/>
          <w:rtl/>
        </w:rPr>
        <w:t>بعد أن ألف الغزالي " مقاصد</w:t>
      </w:r>
      <w:r w:rsidR="009C32A0" w:rsidRPr="005675B2">
        <w:rPr>
          <w:rFonts w:hint="cs"/>
          <w:sz w:val="24"/>
          <w:szCs w:val="24"/>
        </w:rPr>
        <w:t xml:space="preserve"> </w:t>
      </w:r>
      <w:r w:rsidR="009C32A0" w:rsidRPr="005675B2">
        <w:rPr>
          <w:rFonts w:hint="cs"/>
          <w:sz w:val="24"/>
          <w:szCs w:val="24"/>
          <w:rtl/>
        </w:rPr>
        <w:t>الفلاسفة " شرح فيها أقوال الفلاسفة خاصة ابن سينا والفارابي، ألف هذا الكتاب ليبين</w:t>
      </w:r>
      <w:r w:rsidR="009C32A0" w:rsidRPr="005675B2">
        <w:rPr>
          <w:rFonts w:hint="cs"/>
          <w:sz w:val="24"/>
          <w:szCs w:val="24"/>
        </w:rPr>
        <w:t xml:space="preserve"> </w:t>
      </w:r>
      <w:r w:rsidR="009C32A0" w:rsidRPr="005675B2">
        <w:rPr>
          <w:rFonts w:hint="cs"/>
          <w:sz w:val="24"/>
          <w:szCs w:val="24"/>
          <w:rtl/>
        </w:rPr>
        <w:t>المسائل التي ليس الخلاف فيها بين العقيدة الإسلامية والفلسفة لفظياً بل ما يسبب</w:t>
      </w:r>
      <w:r w:rsidR="009C32A0" w:rsidRPr="005675B2">
        <w:rPr>
          <w:rFonts w:hint="cs"/>
          <w:sz w:val="24"/>
          <w:szCs w:val="24"/>
        </w:rPr>
        <w:t xml:space="preserve"> </w:t>
      </w:r>
      <w:r w:rsidR="009C32A0" w:rsidRPr="005675B2">
        <w:rPr>
          <w:rFonts w:hint="cs"/>
          <w:sz w:val="24"/>
          <w:szCs w:val="24"/>
          <w:rtl/>
        </w:rPr>
        <w:t>بدعة أو كفراً، وقد ناقش عشرين مسألة مثل أزلية العالم وأبديته والاستدلال على وجود</w:t>
      </w:r>
      <w:r w:rsidR="009C32A0" w:rsidRPr="005675B2">
        <w:rPr>
          <w:rFonts w:hint="cs"/>
          <w:sz w:val="24"/>
          <w:szCs w:val="24"/>
        </w:rPr>
        <w:t xml:space="preserve"> </w:t>
      </w:r>
      <w:r w:rsidR="009C32A0" w:rsidRPr="005675B2">
        <w:rPr>
          <w:rFonts w:hint="cs"/>
          <w:sz w:val="24"/>
          <w:szCs w:val="24"/>
          <w:rtl/>
        </w:rPr>
        <w:t>الله وعلمه سبحانه بجميع الجزئيات وخرق العادات وفناء النفوس البشرية وبعث الأجساد</w:t>
      </w:r>
      <w:r w:rsidR="009C32A0" w:rsidRPr="005675B2">
        <w:rPr>
          <w:rFonts w:hint="cs"/>
          <w:sz w:val="24"/>
          <w:szCs w:val="24"/>
        </w:rPr>
        <w:t xml:space="preserve"> </w:t>
      </w:r>
      <w:r w:rsidR="009C32A0" w:rsidRPr="005675B2">
        <w:rPr>
          <w:rFonts w:hint="cs"/>
          <w:sz w:val="24"/>
          <w:szCs w:val="24"/>
          <w:rtl/>
        </w:rPr>
        <w:t>وغيرها. واعتبر العلماء هذا الكتاب ضربة قاضية لاستكبار الفلاسفة وادعائهم التوصل</w:t>
      </w:r>
      <w:r w:rsidR="009C32A0" w:rsidRPr="005675B2">
        <w:rPr>
          <w:rFonts w:hint="cs"/>
          <w:sz w:val="24"/>
          <w:szCs w:val="24"/>
        </w:rPr>
        <w:t xml:space="preserve"> </w:t>
      </w:r>
      <w:r w:rsidR="009C32A0" w:rsidRPr="005675B2">
        <w:rPr>
          <w:rFonts w:hint="cs"/>
          <w:sz w:val="24"/>
          <w:szCs w:val="24"/>
          <w:rtl/>
        </w:rPr>
        <w:t>إلى الحقيقة في المسائل الغيبية بعقولهم، وهو تراث فلسفي عظيم فضلاً عن أنه تراث</w:t>
      </w:r>
      <w:r w:rsidR="009C32A0" w:rsidRPr="005675B2">
        <w:rPr>
          <w:rFonts w:hint="cs"/>
          <w:sz w:val="24"/>
          <w:szCs w:val="24"/>
        </w:rPr>
        <w:t xml:space="preserve"> </w:t>
      </w:r>
      <w:r w:rsidR="009C32A0" w:rsidRPr="005675B2">
        <w:rPr>
          <w:rFonts w:hint="cs"/>
          <w:sz w:val="24"/>
          <w:szCs w:val="24"/>
          <w:rtl/>
        </w:rPr>
        <w:t>بقلم حجة الإسلام الغزال</w:t>
      </w:r>
      <w:r w:rsidR="009C32A0" w:rsidRPr="005675B2">
        <w:rPr>
          <w:rFonts w:hint="cs"/>
          <w:rtl/>
        </w:rPr>
        <w:t>ي] وفضائح الباطنية للغزالي وكتاب المطالب العالية للإمام الرازي وكتاب شرح المقاصد للتفتازاني</w:t>
      </w:r>
      <w:r>
        <w:rPr>
          <w:rFonts w:hint="cs"/>
          <w:rtl/>
        </w:rPr>
        <w:t>،</w:t>
      </w:r>
      <w:r w:rsidR="009C32A0" w:rsidRPr="005675B2">
        <w:rPr>
          <w:rFonts w:hint="cs"/>
          <w:rtl/>
        </w:rPr>
        <w:t>غيرها كثير</w:t>
      </w:r>
      <w:r>
        <w:rPr>
          <w:rFonts w:hint="cs"/>
          <w:rtl/>
        </w:rPr>
        <w:t>،</w:t>
      </w:r>
      <w:r w:rsidR="009C32A0" w:rsidRPr="005675B2">
        <w:rPr>
          <w:rFonts w:hint="cs"/>
          <w:rtl/>
        </w:rPr>
        <w:t xml:space="preserve"> وفي زماننا كتاب يغالطونك إذ يقولون وكتاب كبرى اليقينيات الكونية وكتاب النظرية الجدلية للشيخ البوطي</w:t>
      </w:r>
      <w:r>
        <w:rPr>
          <w:rFonts w:hint="cs"/>
          <w:rtl/>
        </w:rPr>
        <w:t xml:space="preserve"> </w:t>
      </w:r>
      <w:r w:rsidR="009C32A0" w:rsidRPr="005675B2">
        <w:rPr>
          <w:rFonts w:hint="cs"/>
          <w:rtl/>
        </w:rPr>
        <w:t>وكتاب كواشف زيوف</w:t>
      </w:r>
      <w:r>
        <w:rPr>
          <w:rFonts w:hint="cs"/>
          <w:rtl/>
        </w:rPr>
        <w:t>،</w:t>
      </w:r>
      <w:r w:rsidR="009C32A0" w:rsidRPr="005675B2">
        <w:rPr>
          <w:rFonts w:hint="cs"/>
          <w:rtl/>
        </w:rPr>
        <w:t xml:space="preserve"> وصراع مع الملاحدة</w:t>
      </w:r>
      <w:r>
        <w:rPr>
          <w:rFonts w:hint="cs"/>
          <w:rtl/>
        </w:rPr>
        <w:t>،</w:t>
      </w:r>
      <w:r w:rsidR="009C32A0" w:rsidRPr="005675B2">
        <w:rPr>
          <w:rFonts w:hint="cs"/>
          <w:rtl/>
        </w:rPr>
        <w:t xml:space="preserve"> والعقيدة الإسلامية لعبدرحمن حبنكة</w:t>
      </w:r>
      <w:r>
        <w:rPr>
          <w:rFonts w:hint="cs"/>
          <w:rtl/>
        </w:rPr>
        <w:t>،</w:t>
      </w:r>
      <w:r w:rsidR="009C32A0" w:rsidRPr="005675B2">
        <w:rPr>
          <w:rFonts w:hint="cs"/>
          <w:rtl/>
        </w:rPr>
        <w:t>وكتاب الله جل جلاله والأساس في السنة لسعيد حوى رحمه الله وغيرها كثير</w:t>
      </w:r>
      <w:r>
        <w:rPr>
          <w:rFonts w:hint="cs"/>
          <w:rtl/>
        </w:rPr>
        <w:t xml:space="preserve">، </w:t>
      </w:r>
      <w:r w:rsidR="009C32A0" w:rsidRPr="005675B2">
        <w:rPr>
          <w:rFonts w:hint="cs"/>
          <w:rtl/>
        </w:rPr>
        <w:t>ولم يصمد أمام الفلاسفة في زماننا وكذا الماركسيين وغيرهم مثل علماء الأشاعرة وإن كنت</w:t>
      </w:r>
      <w:r w:rsidR="009C32A0">
        <w:rPr>
          <w:rFonts w:hint="cs"/>
          <w:rtl/>
        </w:rPr>
        <w:t xml:space="preserve"> </w:t>
      </w:r>
      <w:r w:rsidR="009C32A0" w:rsidRPr="005675B2">
        <w:rPr>
          <w:rFonts w:hint="cs"/>
          <w:rtl/>
        </w:rPr>
        <w:t>لا أنكر جهود الآخرين من مشايخ المسلمين حتى من المعتزلة، والإباضية</w:t>
      </w:r>
      <w:r>
        <w:rPr>
          <w:rFonts w:hint="cs"/>
          <w:rtl/>
        </w:rPr>
        <w:t>،</w:t>
      </w:r>
      <w:r w:rsidR="009C32A0" w:rsidRPr="005675B2">
        <w:rPr>
          <w:rFonts w:hint="cs"/>
          <w:rtl/>
        </w:rPr>
        <w:t>والأتقياء من أهل</w:t>
      </w:r>
      <w:r>
        <w:rPr>
          <w:rFonts w:hint="cs"/>
          <w:rtl/>
        </w:rPr>
        <w:t xml:space="preserve"> </w:t>
      </w:r>
      <w:r w:rsidR="009C32A0" w:rsidRPr="005675B2">
        <w:rPr>
          <w:rFonts w:hint="cs"/>
          <w:rtl/>
        </w:rPr>
        <w:t>الصحوة</w:t>
      </w:r>
      <w:r>
        <w:rPr>
          <w:rFonts w:hint="cs"/>
          <w:rtl/>
        </w:rPr>
        <w:t>،</w:t>
      </w:r>
      <w:r w:rsidR="009C32A0">
        <w:rPr>
          <w:rFonts w:hint="cs"/>
          <w:rtl/>
        </w:rPr>
        <w:t xml:space="preserve"> </w:t>
      </w:r>
    </w:p>
    <w:p w14:paraId="26084E35" w14:textId="099187CF"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أما في موضوع العصمة</w:t>
      </w:r>
      <w:r w:rsidRPr="005675B2">
        <w:rPr>
          <w:rFonts w:hint="cs"/>
        </w:rPr>
        <w:t xml:space="preserve"> </w:t>
      </w:r>
      <w:r w:rsidRPr="005675B2">
        <w:rPr>
          <w:rFonts w:hint="cs"/>
          <w:rtl/>
        </w:rPr>
        <w:t>فينكرون صدور الذنب عن الأنبياء</w:t>
      </w:r>
      <w:r w:rsidR="000636C2">
        <w:rPr>
          <w:rFonts w:hint="cs"/>
          <w:rtl/>
        </w:rPr>
        <w:t>):</w:t>
      </w:r>
      <w:r>
        <w:rPr>
          <w:rFonts w:hint="cs"/>
          <w:rtl/>
        </w:rPr>
        <w:t xml:space="preserve"> </w:t>
      </w:r>
      <w:r w:rsidRPr="005675B2">
        <w:rPr>
          <w:rFonts w:hint="cs"/>
          <w:rtl/>
        </w:rPr>
        <w:t>نعم</w:t>
      </w:r>
      <w:r w:rsidR="000636C2">
        <w:rPr>
          <w:rFonts w:hint="cs"/>
          <w:rtl/>
        </w:rPr>
        <w:t xml:space="preserve"> </w:t>
      </w:r>
      <w:r w:rsidRPr="005675B2">
        <w:rPr>
          <w:rFonts w:hint="cs"/>
          <w:rtl/>
        </w:rPr>
        <w:t>فالأشاعرة وسائر أهل السنة والجماعة يقولون بأن الأنبياء معصومون من الكفر بالله، ومن الوقوع في الذنوب</w:t>
      </w:r>
      <w:r w:rsidR="000636C2">
        <w:rPr>
          <w:rFonts w:hint="cs"/>
          <w:rtl/>
        </w:rPr>
        <w:t>،</w:t>
      </w:r>
      <w:r w:rsidRPr="005675B2">
        <w:rPr>
          <w:rFonts w:hint="cs"/>
          <w:rtl/>
        </w:rPr>
        <w:t xml:space="preserve"> وهي على قسمين</w:t>
      </w:r>
      <w:r w:rsidR="000636C2">
        <w:rPr>
          <w:rFonts w:hint="cs"/>
          <w:rtl/>
        </w:rPr>
        <w:t>:</w:t>
      </w:r>
      <w:r>
        <w:rPr>
          <w:rFonts w:hint="cs"/>
          <w:rtl/>
        </w:rPr>
        <w:t xml:space="preserve"> </w:t>
      </w:r>
      <w:r w:rsidRPr="005675B2">
        <w:rPr>
          <w:rFonts w:hint="cs"/>
          <w:rtl/>
        </w:rPr>
        <w:t>كبائر</w:t>
      </w:r>
      <w:r w:rsidR="000636C2">
        <w:rPr>
          <w:rFonts w:hint="cs"/>
          <w:rtl/>
        </w:rPr>
        <w:t>:</w:t>
      </w:r>
      <w:r w:rsidRPr="005675B2">
        <w:rPr>
          <w:rFonts w:hint="cs"/>
          <w:rtl/>
        </w:rPr>
        <w:t xml:space="preserve"> كشرب الخمر واللواط ونحوها</w:t>
      </w:r>
      <w:r w:rsidR="000636C2">
        <w:rPr>
          <w:rFonts w:hint="cs"/>
          <w:rtl/>
        </w:rPr>
        <w:t xml:space="preserve">، </w:t>
      </w:r>
      <w:r w:rsidRPr="005675B2">
        <w:rPr>
          <w:rFonts w:hint="cs"/>
          <w:rtl/>
        </w:rPr>
        <w:t>صغائر</w:t>
      </w:r>
      <w:r w:rsidR="000636C2">
        <w:rPr>
          <w:rFonts w:hint="cs"/>
          <w:rtl/>
        </w:rPr>
        <w:t>:</w:t>
      </w:r>
      <w:r w:rsidRPr="005675B2">
        <w:rPr>
          <w:rFonts w:hint="cs"/>
          <w:rtl/>
        </w:rPr>
        <w:t xml:space="preserve"> كسرقة لقمة</w:t>
      </w:r>
      <w:r w:rsidR="000636C2">
        <w:rPr>
          <w:rFonts w:hint="cs"/>
          <w:rtl/>
        </w:rPr>
        <w:t xml:space="preserve"> </w:t>
      </w:r>
      <w:r w:rsidRPr="005675B2">
        <w:rPr>
          <w:rFonts w:hint="cs"/>
          <w:rtl/>
        </w:rPr>
        <w:t>أورقص وغناء ولو جاز عليهم ذلك قبل أو بعد النبوة</w:t>
      </w:r>
      <w:r w:rsidR="000636C2">
        <w:rPr>
          <w:rFonts w:hint="cs"/>
          <w:rtl/>
        </w:rPr>
        <w:t xml:space="preserve"> </w:t>
      </w:r>
      <w:r w:rsidRPr="005675B2">
        <w:rPr>
          <w:rFonts w:hint="cs"/>
          <w:rtl/>
        </w:rPr>
        <w:t>لعدمت</w:t>
      </w:r>
      <w:r w:rsidR="000636C2">
        <w:rPr>
          <w:rFonts w:hint="cs"/>
          <w:rtl/>
        </w:rPr>
        <w:t xml:space="preserve"> </w:t>
      </w:r>
      <w:r w:rsidRPr="005675B2">
        <w:rPr>
          <w:rFonts w:hint="cs"/>
          <w:rtl/>
        </w:rPr>
        <w:t>الثقة بهم</w:t>
      </w:r>
      <w:r w:rsidR="000636C2">
        <w:rPr>
          <w:rFonts w:hint="cs"/>
          <w:rtl/>
        </w:rPr>
        <w:t xml:space="preserve">، </w:t>
      </w:r>
      <w:r w:rsidRPr="005675B2">
        <w:rPr>
          <w:rFonts w:hint="cs"/>
          <w:rtl/>
        </w:rPr>
        <w:t>وكل ما يظنه أهل الظنون</w:t>
      </w:r>
      <w:r w:rsidR="000636C2">
        <w:rPr>
          <w:rFonts w:hint="cs"/>
          <w:rtl/>
        </w:rPr>
        <w:t xml:space="preserve"> </w:t>
      </w:r>
      <w:r w:rsidRPr="005675B2">
        <w:rPr>
          <w:rFonts w:hint="cs"/>
          <w:rtl/>
        </w:rPr>
        <w:t>ذنباً لأحد منهم</w:t>
      </w:r>
      <w:r w:rsidR="000636C2">
        <w:rPr>
          <w:rFonts w:hint="cs"/>
          <w:rtl/>
        </w:rPr>
        <w:t>،</w:t>
      </w:r>
      <w:r w:rsidRPr="005675B2">
        <w:rPr>
          <w:rFonts w:hint="cs"/>
          <w:rtl/>
        </w:rPr>
        <w:t>كاتهام يوسف عليه السلام بالهم بالزنا</w:t>
      </w:r>
      <w:r w:rsidR="000636C2">
        <w:rPr>
          <w:rFonts w:hint="cs"/>
          <w:rtl/>
        </w:rPr>
        <w:t>،</w:t>
      </w:r>
      <w:r w:rsidRPr="005675B2">
        <w:rPr>
          <w:rFonts w:hint="cs"/>
          <w:rtl/>
        </w:rPr>
        <w:t>أو اتهام موسى بالقتل</w:t>
      </w:r>
      <w:r w:rsidR="000636C2">
        <w:rPr>
          <w:rFonts w:hint="cs"/>
          <w:rtl/>
        </w:rPr>
        <w:t>،</w:t>
      </w:r>
      <w:r w:rsidRPr="005675B2">
        <w:rPr>
          <w:rFonts w:hint="cs"/>
          <w:rtl/>
        </w:rPr>
        <w:t>أو اتهام إبراهيم بالشرك</w:t>
      </w:r>
      <w:r w:rsidR="000636C2">
        <w:rPr>
          <w:rFonts w:hint="cs"/>
          <w:rtl/>
        </w:rPr>
        <w:t>،</w:t>
      </w:r>
      <w:r w:rsidRPr="005675B2">
        <w:rPr>
          <w:rFonts w:hint="cs"/>
          <w:rtl/>
        </w:rPr>
        <w:t>فكلها ليس على ما يفهمه القاصرون</w:t>
      </w:r>
      <w:r w:rsidR="000636C2">
        <w:rPr>
          <w:rFonts w:hint="cs"/>
          <w:rtl/>
        </w:rPr>
        <w:t xml:space="preserve">، </w:t>
      </w:r>
    </w:p>
    <w:p w14:paraId="27AD17E1" w14:textId="21F706FA"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فأما يوسف عليه السلام فاتهمه الملاحدة بالشروع في الزنا وهذا باطل</w:t>
      </w:r>
      <w:r w:rsidR="000636C2">
        <w:rPr>
          <w:rFonts w:hint="cs"/>
          <w:rtl/>
        </w:rPr>
        <w:t>:</w:t>
      </w:r>
      <w:r w:rsidRPr="005675B2">
        <w:rPr>
          <w:rFonts w:hint="cs"/>
          <w:rtl/>
        </w:rPr>
        <w:t>قال تعالى (</w:t>
      </w:r>
      <w:r w:rsidR="000636C2">
        <w:rPr>
          <w:rFonts w:hint="cs"/>
          <w:rtl/>
        </w:rPr>
        <w:t>(</w:t>
      </w:r>
      <w:r w:rsidRPr="005675B2">
        <w:rPr>
          <w:rFonts w:hint="cs"/>
          <w:rtl/>
        </w:rPr>
        <w:t>وهم بها لولا أن رأى برهان ربه كذلك لنصرف عنه السوء والفحشاء إنه من عبادنا المخلصين</w:t>
      </w:r>
      <w:r w:rsidR="000636C2">
        <w:rPr>
          <w:rFonts w:hint="cs"/>
          <w:rtl/>
        </w:rPr>
        <w:t>)</w:t>
      </w:r>
      <w:r w:rsidRPr="005675B2">
        <w:rPr>
          <w:rFonts w:hint="cs"/>
          <w:rtl/>
        </w:rPr>
        <w:t>)إذن فهذه جملة أتت بعد وقف تام والوقف كان على ولقد همت به</w:t>
      </w:r>
      <w:r w:rsidR="000636C2">
        <w:rPr>
          <w:rFonts w:hint="cs"/>
          <w:rtl/>
        </w:rPr>
        <w:t>،</w:t>
      </w:r>
      <w:r w:rsidRPr="005675B2">
        <w:rPr>
          <w:rFonts w:hint="cs"/>
          <w:rtl/>
        </w:rPr>
        <w:t xml:space="preserve"> فيكون المعنى هو على ظاهر الآية أي أنه لما رأى برهان ربه لم يهم بها</w:t>
      </w:r>
      <w:r w:rsidR="000636C2">
        <w:rPr>
          <w:rFonts w:hint="cs"/>
          <w:rtl/>
        </w:rPr>
        <w:t>،</w:t>
      </w:r>
      <w:r w:rsidRPr="005675B2">
        <w:rPr>
          <w:rFonts w:hint="cs"/>
          <w:rtl/>
        </w:rPr>
        <w:t xml:space="preserve"> (</w:t>
      </w:r>
      <w:r w:rsidR="000636C2">
        <w:rPr>
          <w:rFonts w:hint="cs"/>
          <w:rtl/>
        </w:rPr>
        <w:t>(</w:t>
      </w:r>
      <w:r w:rsidRPr="005675B2">
        <w:rPr>
          <w:rFonts w:hint="cs"/>
          <w:rtl/>
        </w:rPr>
        <w:t>وهم بها لولا أن رأى برهان ربه</w:t>
      </w:r>
      <w:r w:rsidR="000636C2">
        <w:rPr>
          <w:rFonts w:hint="cs"/>
          <w:rtl/>
        </w:rPr>
        <w:t>)</w:t>
      </w:r>
      <w:r w:rsidRPr="005675B2">
        <w:rPr>
          <w:rFonts w:hint="cs"/>
          <w:rtl/>
        </w:rPr>
        <w:t>) القول الثاني</w:t>
      </w:r>
      <w:r w:rsidR="000636C2">
        <w:rPr>
          <w:rFonts w:hint="cs"/>
          <w:rtl/>
        </w:rPr>
        <w:t>:</w:t>
      </w:r>
      <w:r w:rsidRPr="005675B2">
        <w:rPr>
          <w:rFonts w:hint="cs"/>
          <w:rtl/>
        </w:rPr>
        <w:t xml:space="preserve"> أنه مجرد ميل بشري لا تصميم ولا قصد معه لفعل الزنا ثم جاهد نفسه فدفع ذلك وهذا ممكن لأن الله يباهي بالشاب الذي بهذه الصفة ويظله في ظله قال تعالى (</w:t>
      </w:r>
      <w:r w:rsidR="000636C2">
        <w:rPr>
          <w:rFonts w:hint="cs"/>
          <w:rtl/>
        </w:rPr>
        <w:t>(</w:t>
      </w:r>
      <w:r w:rsidRPr="005675B2">
        <w:rPr>
          <w:rFonts w:hint="cs"/>
          <w:rtl/>
        </w:rPr>
        <w:t>وأما من خاف مقام ربه ونهى النفس عن الهوى فإن الجنة هي المأوى</w:t>
      </w:r>
      <w:r w:rsidR="000636C2">
        <w:rPr>
          <w:rFonts w:hint="cs"/>
          <w:rtl/>
        </w:rPr>
        <w:t>)</w:t>
      </w:r>
      <w:r w:rsidRPr="005675B2">
        <w:rPr>
          <w:rFonts w:hint="cs"/>
          <w:rtl/>
        </w:rPr>
        <w:t>) [</w:t>
      </w:r>
      <w:r w:rsidRPr="005675B2">
        <w:rPr>
          <w:rFonts w:hint="cs"/>
          <w:bCs/>
          <w:sz w:val="24"/>
          <w:szCs w:val="24"/>
          <w:rtl/>
        </w:rPr>
        <w:t>انظر حاشية الإمام</w:t>
      </w:r>
      <w:r w:rsidR="000636C2">
        <w:rPr>
          <w:rFonts w:hint="cs"/>
          <w:bCs/>
          <w:sz w:val="24"/>
          <w:szCs w:val="24"/>
          <w:rtl/>
        </w:rPr>
        <w:t xml:space="preserve"> </w:t>
      </w:r>
      <w:r w:rsidRPr="005675B2">
        <w:rPr>
          <w:rFonts w:hint="cs"/>
          <w:bCs/>
          <w:sz w:val="24"/>
          <w:szCs w:val="24"/>
          <w:rtl/>
        </w:rPr>
        <w:t>الصاوي على الجلالين سورة يوسف]</w:t>
      </w:r>
      <w:r w:rsidRPr="005675B2">
        <w:rPr>
          <w:rFonts w:hint="cs"/>
          <w:rtl/>
        </w:rPr>
        <w:t xml:space="preserve"> ومن الأصناف السبعة الذين يظلهم في ظل عرشه يوم القيامة</w:t>
      </w:r>
      <w:r w:rsidR="000636C2">
        <w:rPr>
          <w:rFonts w:hint="cs"/>
          <w:rtl/>
        </w:rPr>
        <w:t>،</w:t>
      </w:r>
    </w:p>
    <w:p w14:paraId="3679D74C" w14:textId="337FF83F"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وأما موسى فيتهمونه بالقتل وهو باطل</w:t>
      </w:r>
      <w:r w:rsidR="000636C2">
        <w:rPr>
          <w:rFonts w:hint="cs"/>
          <w:rtl/>
        </w:rPr>
        <w:t>،</w:t>
      </w:r>
      <w:r w:rsidRPr="005675B2">
        <w:rPr>
          <w:rFonts w:hint="cs"/>
          <w:rtl/>
        </w:rPr>
        <w:t xml:space="preserve"> لأ نه لم يقصد القتل وإنما فعل عملاً صالحاً، وهو دفع الظالم عن المظلوم</w:t>
      </w:r>
      <w:r w:rsidR="000636C2">
        <w:rPr>
          <w:rFonts w:hint="cs"/>
          <w:rtl/>
        </w:rPr>
        <w:t>،</w:t>
      </w:r>
      <w:r w:rsidRPr="005675B2">
        <w:rPr>
          <w:rFonts w:hint="cs"/>
          <w:rtl/>
        </w:rPr>
        <w:t>فسقط ذلك الظالم ومات بأجله</w:t>
      </w:r>
      <w:r w:rsidR="000636C2">
        <w:rPr>
          <w:rFonts w:hint="cs"/>
          <w:rtl/>
        </w:rPr>
        <w:t>،</w:t>
      </w:r>
      <w:r w:rsidRPr="005675B2">
        <w:rPr>
          <w:rFonts w:hint="cs"/>
          <w:rtl/>
        </w:rPr>
        <w:t>ولم يقصد الكليم عليه السلام أن يقتله</w:t>
      </w:r>
      <w:r w:rsidR="000636C2">
        <w:rPr>
          <w:rFonts w:hint="cs"/>
          <w:rtl/>
        </w:rPr>
        <w:t>،</w:t>
      </w:r>
      <w:r w:rsidRPr="005675B2">
        <w:rPr>
          <w:rFonts w:hint="cs"/>
          <w:rtl/>
        </w:rPr>
        <w:t>3</w:t>
      </w:r>
      <w:r w:rsidR="000636C2">
        <w:rPr>
          <w:rFonts w:hint="cs"/>
          <w:rtl/>
        </w:rPr>
        <w:t xml:space="preserve"> </w:t>
      </w:r>
      <w:r w:rsidRPr="005675B2">
        <w:rPr>
          <w:rFonts w:hint="cs"/>
          <w:rtl/>
        </w:rPr>
        <w:t>- واما إبراهيم عليه السلام في قوله (</w:t>
      </w:r>
      <w:r w:rsidR="000636C2">
        <w:rPr>
          <w:rFonts w:hint="cs"/>
          <w:rtl/>
        </w:rPr>
        <w:t>(</w:t>
      </w:r>
      <w:r w:rsidRPr="005675B2">
        <w:rPr>
          <w:rFonts w:hint="cs"/>
          <w:rtl/>
        </w:rPr>
        <w:t>هذا ربي</w:t>
      </w:r>
      <w:r w:rsidR="000636C2">
        <w:rPr>
          <w:rFonts w:hint="cs"/>
          <w:rtl/>
        </w:rPr>
        <w:t>)</w:t>
      </w:r>
      <w:r w:rsidRPr="005675B2">
        <w:rPr>
          <w:rFonts w:hint="cs"/>
          <w:rtl/>
        </w:rPr>
        <w:t>) للأفلاك من شمس ونحوها فمراده إلزامهم بالحجة على أنها لا تصلح أن تكون الآلهة</w:t>
      </w:r>
      <w:r w:rsidR="000636C2">
        <w:rPr>
          <w:rFonts w:hint="cs"/>
          <w:rtl/>
        </w:rPr>
        <w:t xml:space="preserve"> </w:t>
      </w:r>
      <w:r w:rsidRPr="005675B2">
        <w:rPr>
          <w:rFonts w:hint="cs"/>
          <w:rtl/>
        </w:rPr>
        <w:t>وكان قومه من عبدة الأفلاك</w:t>
      </w:r>
      <w:r w:rsidR="000636C2">
        <w:rPr>
          <w:rFonts w:hint="cs"/>
          <w:rtl/>
        </w:rPr>
        <w:t>،</w:t>
      </w:r>
      <w:r w:rsidRPr="005675B2">
        <w:rPr>
          <w:rFonts w:hint="cs"/>
          <w:rtl/>
        </w:rPr>
        <w:t xml:space="preserve"> فبرهن لهم كونها لا تستحق أن تكون خالقاً لأنها تتغير من حال إلى حال وهذا التغير يدل على أنها محدثة لأنه حال</w:t>
      </w:r>
      <w:r w:rsidR="000636C2">
        <w:rPr>
          <w:rFonts w:hint="cs"/>
          <w:rtl/>
        </w:rPr>
        <w:t xml:space="preserve"> </w:t>
      </w:r>
      <w:r w:rsidRPr="005675B2">
        <w:rPr>
          <w:rFonts w:hint="cs"/>
          <w:rtl/>
        </w:rPr>
        <w:t>الناقص لا الكامل</w:t>
      </w:r>
      <w:r w:rsidR="000636C2">
        <w:rPr>
          <w:rFonts w:hint="cs"/>
          <w:rtl/>
        </w:rPr>
        <w:t>،</w:t>
      </w:r>
    </w:p>
    <w:p w14:paraId="7B45602A" w14:textId="1E560C92"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وحكم سيدنا محمد صلى الله عليه وسلم في أسرى بدر فإنه اجتهاد وليس قصده معصية الله كما يظن أهل الظنون</w:t>
      </w:r>
      <w:r w:rsidR="000636C2">
        <w:rPr>
          <w:rFonts w:hint="cs"/>
          <w:rtl/>
        </w:rPr>
        <w:t>،</w:t>
      </w:r>
      <w:r w:rsidRPr="005675B2">
        <w:rPr>
          <w:rFonts w:hint="cs"/>
          <w:rtl/>
        </w:rPr>
        <w:t xml:space="preserve"> مع أن هناك خلاف عند أهل السنة في وقوع الأنبياء في صغيرة ليس فيها خسة</w:t>
      </w:r>
      <w:r w:rsidR="000636C2">
        <w:rPr>
          <w:rFonts w:hint="cs"/>
          <w:rtl/>
        </w:rPr>
        <w:t xml:space="preserve">، </w:t>
      </w:r>
      <w:r w:rsidRPr="005675B2">
        <w:rPr>
          <w:rFonts w:hint="cs"/>
          <w:rtl/>
        </w:rPr>
        <w:t>ولا أسهب في ذلك أكثر ولتعلم مباحث النبوة راجع كتب السادة الأشاعرة</w:t>
      </w:r>
      <w:r w:rsidR="000636C2">
        <w:rPr>
          <w:rFonts w:hint="cs"/>
          <w:rtl/>
        </w:rPr>
        <w:t>،</w:t>
      </w:r>
      <w:r w:rsidRPr="005675B2">
        <w:rPr>
          <w:rFonts w:hint="cs"/>
          <w:rtl/>
        </w:rPr>
        <w:t xml:space="preserve"> [</w:t>
      </w:r>
      <w:r w:rsidRPr="005675B2">
        <w:rPr>
          <w:rFonts w:hint="cs"/>
          <w:bCs/>
          <w:sz w:val="24"/>
          <w:szCs w:val="24"/>
          <w:rtl/>
        </w:rPr>
        <w:t>شرح الجوهرة 278إلى 360</w:t>
      </w:r>
      <w:r w:rsidRPr="005675B2">
        <w:rPr>
          <w:rFonts w:hint="cs"/>
          <w:rtl/>
        </w:rPr>
        <w:t>]</w:t>
      </w:r>
      <w:r w:rsidR="000636C2">
        <w:rPr>
          <w:rFonts w:hint="cs"/>
          <w:rtl/>
        </w:rPr>
        <w:t xml:space="preserve">، </w:t>
      </w:r>
      <w:r w:rsidRPr="005675B2">
        <w:rPr>
          <w:rFonts w:hint="cs"/>
          <w:rtl/>
        </w:rPr>
        <w:t>أخيراً فأذكر تعريف المعجزة عند أهل السنة والجماعة من الأشاعرة وغيرهم مع ذكر بعض</w:t>
      </w:r>
      <w:r>
        <w:rPr>
          <w:rFonts w:hint="cs"/>
          <w:rtl/>
        </w:rPr>
        <w:t xml:space="preserve"> </w:t>
      </w:r>
      <w:r w:rsidRPr="005675B2">
        <w:rPr>
          <w:rFonts w:hint="cs"/>
          <w:rtl/>
        </w:rPr>
        <w:t>المعجزات أو ما يسمى بالأدلة التعجيزية التي أيد الله بها الرسل لبيان صدقهم وتعجيز أعداء الدين</w:t>
      </w:r>
      <w:r w:rsidR="000636C2">
        <w:rPr>
          <w:rFonts w:hint="cs"/>
          <w:rtl/>
        </w:rPr>
        <w:t>،</w:t>
      </w:r>
      <w:r>
        <w:rPr>
          <w:rFonts w:hint="cs"/>
          <w:rtl/>
        </w:rPr>
        <w:t xml:space="preserve"> </w:t>
      </w:r>
      <w:r w:rsidRPr="005675B2">
        <w:rPr>
          <w:rFonts w:hint="cs"/>
          <w:rtl/>
        </w:rPr>
        <w:t>المعجزة لغة</w:t>
      </w:r>
      <w:r w:rsidR="000636C2">
        <w:rPr>
          <w:rFonts w:hint="cs"/>
          <w:rtl/>
        </w:rPr>
        <w:t>:</w:t>
      </w:r>
      <w:r w:rsidRPr="005675B2">
        <w:rPr>
          <w:rFonts w:hint="cs"/>
          <w:rtl/>
        </w:rPr>
        <w:t xml:space="preserve"> هي من العجز وهو ضد القدرة</w:t>
      </w:r>
      <w:r w:rsidR="000636C2">
        <w:rPr>
          <w:rFonts w:hint="cs"/>
          <w:rtl/>
        </w:rPr>
        <w:t>،</w:t>
      </w:r>
      <w:r>
        <w:rPr>
          <w:rFonts w:hint="cs"/>
          <w:rtl/>
        </w:rPr>
        <w:t xml:space="preserve"> </w:t>
      </w:r>
      <w:r w:rsidRPr="005675B2">
        <w:rPr>
          <w:rFonts w:hint="cs"/>
          <w:rtl/>
        </w:rPr>
        <w:t>واصطلاحاً</w:t>
      </w:r>
      <w:r w:rsidR="000636C2">
        <w:rPr>
          <w:rFonts w:hint="cs"/>
          <w:rtl/>
        </w:rPr>
        <w:t>:</w:t>
      </w:r>
      <w:r w:rsidRPr="005675B2">
        <w:rPr>
          <w:rFonts w:hint="cs"/>
          <w:rtl/>
        </w:rPr>
        <w:t xml:space="preserve"> هي أمر خارق للعادة مقرون بالتحدي الذي هو دعوى الرسالة أو النبوة مع عدم المعارض</w:t>
      </w:r>
      <w:r w:rsidR="000636C2">
        <w:rPr>
          <w:rFonts w:hint="cs"/>
          <w:rtl/>
        </w:rPr>
        <w:t xml:space="preserve">، </w:t>
      </w:r>
      <w:r w:rsidRPr="005675B2">
        <w:rPr>
          <w:rFonts w:hint="cs"/>
          <w:rtl/>
        </w:rPr>
        <w:t>وقال الإمام السعد</w:t>
      </w:r>
      <w:r w:rsidR="000636C2">
        <w:rPr>
          <w:rFonts w:hint="cs"/>
          <w:rtl/>
        </w:rPr>
        <w:t>:</w:t>
      </w:r>
      <w:r w:rsidRPr="005675B2">
        <w:rPr>
          <w:rFonts w:hint="cs"/>
          <w:rtl/>
        </w:rPr>
        <w:t xml:space="preserve"> هي أمر يظهر بخلاف العادة على يد مدعي النبوة عند تحدي المنكرين على وجه</w:t>
      </w:r>
      <w:r>
        <w:rPr>
          <w:rFonts w:hint="cs"/>
          <w:rtl/>
        </w:rPr>
        <w:t xml:space="preserve"> </w:t>
      </w:r>
      <w:r w:rsidRPr="005675B2">
        <w:rPr>
          <w:rFonts w:hint="cs"/>
          <w:rtl/>
        </w:rPr>
        <w:t>يعجز المنكرين عن الإتيان بمثله</w:t>
      </w:r>
      <w:r w:rsidR="000636C2">
        <w:rPr>
          <w:rFonts w:hint="cs"/>
          <w:rtl/>
        </w:rPr>
        <w:t>،</w:t>
      </w:r>
      <w:r w:rsidRPr="005675B2">
        <w:rPr>
          <w:rFonts w:hint="cs"/>
          <w:rtl/>
        </w:rPr>
        <w:t xml:space="preserve"> وقد اعتبر المحققون فيها سبعة قيود أو ثمانية</w:t>
      </w:r>
      <w:r w:rsidR="000636C2">
        <w:rPr>
          <w:rFonts w:hint="cs"/>
          <w:rtl/>
        </w:rPr>
        <w:t>،</w:t>
      </w:r>
      <w:r w:rsidRPr="005675B2">
        <w:rPr>
          <w:rFonts w:hint="cs"/>
          <w:rtl/>
        </w:rPr>
        <w:t xml:space="preserve"> [</w:t>
      </w:r>
      <w:r w:rsidRPr="005675B2">
        <w:rPr>
          <w:rFonts w:hint="cs"/>
          <w:bCs/>
          <w:sz w:val="24"/>
          <w:szCs w:val="24"/>
          <w:rtl/>
        </w:rPr>
        <w:t>شرح الجوهرة 310والاقتصاد في الاعتقاد مبحث النبوة وكبرى اليقينيات الكونية وهو نفيس في بابه</w:t>
      </w:r>
      <w:r w:rsidR="000636C2">
        <w:rPr>
          <w:rFonts w:hint="cs"/>
          <w:bCs/>
          <w:sz w:val="24"/>
          <w:szCs w:val="24"/>
          <w:rtl/>
        </w:rPr>
        <w:t>]</w:t>
      </w:r>
      <w:r w:rsidR="000636C2">
        <w:rPr>
          <w:rFonts w:hint="cs"/>
          <w:rtl/>
        </w:rPr>
        <w:t>،</w:t>
      </w:r>
      <w:r>
        <w:rPr>
          <w:rFonts w:hint="cs"/>
          <w:rtl/>
        </w:rPr>
        <w:t xml:space="preserve"> </w:t>
      </w:r>
    </w:p>
    <w:p w14:paraId="2F871821" w14:textId="672791B3" w:rsidR="009C32A0" w:rsidRPr="005675B2" w:rsidRDefault="009C32A0" w:rsidP="000636C2">
      <w:pPr>
        <w:rPr>
          <w:b/>
          <w:rtl/>
        </w:rPr>
      </w:pPr>
      <w:r w:rsidRPr="00CF17A2">
        <w:rPr>
          <w:rFonts w:hint="cs"/>
          <w:bCs/>
          <w:rtl/>
        </w:rPr>
        <w:t>ذكر عدد من المعجزات كل منها دليل قائم بذاته مستقل عن الآخر يدل على صدق النبوة</w:t>
      </w:r>
      <w:r w:rsidR="000636C2">
        <w:rPr>
          <w:rFonts w:hint="cs"/>
          <w:rtl/>
        </w:rPr>
        <w:t>،</w:t>
      </w:r>
      <w:r>
        <w:rPr>
          <w:rFonts w:hint="cs"/>
          <w:rtl/>
        </w:rPr>
        <w:t xml:space="preserve"> </w:t>
      </w:r>
      <w:r w:rsidRPr="005675B2">
        <w:rPr>
          <w:rFonts w:hint="cs"/>
          <w:rtl/>
        </w:rPr>
        <w:t>قال الباجوري</w:t>
      </w:r>
      <w:r w:rsidR="000636C2">
        <w:rPr>
          <w:rFonts w:hint="cs"/>
          <w:rtl/>
        </w:rPr>
        <w:t>:</w:t>
      </w:r>
      <w:r w:rsidRPr="005675B2">
        <w:rPr>
          <w:rFonts w:hint="cs"/>
          <w:rtl/>
        </w:rPr>
        <w:t xml:space="preserve"> عند شرح قول اللقاني</w:t>
      </w:r>
      <w:r w:rsidR="000636C2">
        <w:rPr>
          <w:rFonts w:hint="cs"/>
          <w:rtl/>
        </w:rPr>
        <w:t>:</w:t>
      </w:r>
      <w:r w:rsidRPr="005675B2">
        <w:rPr>
          <w:rFonts w:hint="cs"/>
          <w:rtl/>
        </w:rPr>
        <w:t xml:space="preserve"> </w:t>
      </w:r>
      <w:r w:rsidR="000636C2">
        <w:rPr>
          <w:rFonts w:hint="cs"/>
          <w:rtl/>
        </w:rPr>
        <w:t>(</w:t>
      </w:r>
      <w:r w:rsidRPr="005675B2">
        <w:rPr>
          <w:rFonts w:hint="cs"/>
          <w:rtl/>
        </w:rPr>
        <w:t>ومعجزاته كثيرة غرر</w:t>
      </w:r>
      <w:r w:rsidR="000636C2">
        <w:rPr>
          <w:rFonts w:hint="cs"/>
          <w:rtl/>
        </w:rPr>
        <w:t>)</w:t>
      </w:r>
      <w:r w:rsidRPr="005675B2">
        <w:rPr>
          <w:rFonts w:hint="cs"/>
          <w:rtl/>
        </w:rPr>
        <w:t xml:space="preserve"> قال</w:t>
      </w:r>
      <w:r w:rsidR="000636C2">
        <w:rPr>
          <w:rFonts w:hint="cs"/>
          <w:rtl/>
        </w:rPr>
        <w:t>:</w:t>
      </w:r>
      <w:r w:rsidRPr="005675B2">
        <w:rPr>
          <w:rFonts w:hint="cs"/>
          <w:rtl/>
        </w:rPr>
        <w:t xml:space="preserve"> إنما وصفها بالكثرة المطلقة إيماء للعجز عن الإحاطة بها</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شرح الجوهرة 325</w:t>
      </w:r>
      <w:r w:rsidRPr="005675B2">
        <w:rPr>
          <w:rFonts w:hint="cs"/>
          <w:rtl/>
        </w:rPr>
        <w:t>]</w:t>
      </w:r>
      <w:r w:rsidR="000636C2">
        <w:rPr>
          <w:rFonts w:hint="cs"/>
          <w:rtl/>
        </w:rPr>
        <w:t>،</w:t>
      </w:r>
      <w:r>
        <w:rPr>
          <w:rFonts w:hint="cs"/>
          <w:rtl/>
        </w:rPr>
        <w:t xml:space="preserve"> </w:t>
      </w:r>
      <w:r w:rsidRPr="005675B2">
        <w:rPr>
          <w:rFonts w:hint="cs"/>
          <w:rtl/>
        </w:rPr>
        <w:t>منها القرآن الكريم ومنها انشقاق القمر وتسليم الحجر والشجر عليه وتسبيح الحصى في كفه وحنين الجذع ورد عين قتادة وشهادة الضب له بالنبوة والإسراء والمعراج إلخ ..</w:t>
      </w:r>
      <w:r w:rsidR="000636C2">
        <w:rPr>
          <w:rFonts w:hint="cs"/>
          <w:rtl/>
        </w:rPr>
        <w:t>،</w:t>
      </w:r>
      <w:r w:rsidRPr="005675B2">
        <w:rPr>
          <w:rFonts w:hint="cs"/>
          <w:rtl/>
        </w:rPr>
        <w:t xml:space="preserve"> [</w:t>
      </w:r>
      <w:r w:rsidRPr="005675B2">
        <w:rPr>
          <w:rFonts w:hint="cs"/>
          <w:bCs/>
          <w:sz w:val="24"/>
          <w:szCs w:val="24"/>
          <w:rtl/>
        </w:rPr>
        <w:t>شرح الجوهرة 330</w:t>
      </w:r>
      <w:r w:rsidRPr="005675B2">
        <w:rPr>
          <w:rFonts w:hint="cs"/>
          <w:rtl/>
        </w:rPr>
        <w:t>]</w:t>
      </w:r>
      <w:r w:rsidR="000636C2">
        <w:rPr>
          <w:rFonts w:hint="cs"/>
          <w:rtl/>
        </w:rPr>
        <w:t>،</w:t>
      </w:r>
      <w:r>
        <w:rPr>
          <w:rFonts w:hint="cs"/>
          <w:rtl/>
        </w:rPr>
        <w:t xml:space="preserve"> </w:t>
      </w:r>
      <w:r w:rsidRPr="005675B2">
        <w:rPr>
          <w:rFonts w:hint="cs"/>
          <w:rtl/>
        </w:rPr>
        <w:t>فالمعجزة أصل يندرج تحته أدلة كثيرة وليست المعجزة كما أوهم الكاتب هداه الله مجرد دليل</w:t>
      </w:r>
      <w:r>
        <w:rPr>
          <w:rFonts w:hint="cs"/>
          <w:rtl/>
        </w:rPr>
        <w:t xml:space="preserve"> </w:t>
      </w:r>
      <w:r w:rsidRPr="005675B2">
        <w:rPr>
          <w:rFonts w:hint="cs"/>
          <w:rtl/>
        </w:rPr>
        <w:t>وحيد ثم قل لي بربك أليس كثير من المعجزات المذكورة مبثوث في سيرته صلى الله عليه وسلم</w:t>
      </w:r>
      <w:r w:rsidR="000636C2">
        <w:rPr>
          <w:rFonts w:hint="cs"/>
          <w:rtl/>
        </w:rPr>
        <w:t>،</w:t>
      </w:r>
      <w:r>
        <w:rPr>
          <w:rFonts w:hint="cs"/>
          <w:rtl/>
        </w:rPr>
        <w:t xml:space="preserve"> </w:t>
      </w:r>
      <w:r w:rsidRPr="005675B2">
        <w:rPr>
          <w:rFonts w:hint="cs"/>
          <w:rtl/>
        </w:rPr>
        <w:t>فتبين أن الكاتب لم ينصف كالعادة هدانا الله وإياه للحق</w:t>
      </w:r>
      <w:r w:rsidR="000636C2">
        <w:rPr>
          <w:rFonts w:hint="cs"/>
          <w:rtl/>
        </w:rPr>
        <w:t>،</w:t>
      </w:r>
    </w:p>
    <w:p w14:paraId="6CB580FA" w14:textId="4538C8C5" w:rsidR="009C32A0" w:rsidRDefault="009C32A0" w:rsidP="000636C2">
      <w:pPr>
        <w:rPr>
          <w:b/>
          <w:rtl/>
        </w:rPr>
      </w:pPr>
      <w:r w:rsidRPr="00CF17A2">
        <w:rPr>
          <w:rFonts w:hint="cs"/>
          <w:bCs/>
          <w:rtl/>
        </w:rPr>
        <w:t>استشكال الكاتب لمسألة</w:t>
      </w:r>
      <w:r w:rsidR="000636C2">
        <w:rPr>
          <w:rFonts w:hint="cs"/>
          <w:bCs/>
          <w:rtl/>
        </w:rPr>
        <w:t xml:space="preserve"> </w:t>
      </w:r>
      <w:r w:rsidRPr="00CF17A2">
        <w:rPr>
          <w:rFonts w:hint="cs"/>
          <w:bCs/>
          <w:rtl/>
        </w:rPr>
        <w:t>التحسين والتقبيح</w:t>
      </w:r>
      <w:r w:rsidR="000636C2">
        <w:rPr>
          <w:rFonts w:hint="cs"/>
          <w:bCs/>
          <w:rtl/>
        </w:rPr>
        <w:t>:</w:t>
      </w:r>
      <w:r>
        <w:rPr>
          <w:rFonts w:hint="cs"/>
          <w:bCs/>
          <w:rtl/>
        </w:rPr>
        <w:t xml:space="preserve"> </w:t>
      </w:r>
      <w:r w:rsidRPr="005675B2">
        <w:rPr>
          <w:rFonts w:hint="cs"/>
          <w:rtl/>
        </w:rPr>
        <w:t>ينكر الأشاعرة أن يكون</w:t>
      </w:r>
      <w:r w:rsidRPr="005675B2">
        <w:rPr>
          <w:rFonts w:hint="cs"/>
        </w:rPr>
        <w:t xml:space="preserve"> </w:t>
      </w:r>
      <w:r w:rsidRPr="005675B2">
        <w:rPr>
          <w:rFonts w:hint="cs"/>
          <w:rtl/>
        </w:rPr>
        <w:t>للعقل والفطرة أي دور في الحكم على الأشياء بالحسن والقبح ويقولون مرد ذلك إلى</w:t>
      </w:r>
      <w:r w:rsidRPr="005675B2">
        <w:rPr>
          <w:rFonts w:hint="cs"/>
        </w:rPr>
        <w:t xml:space="preserve"> </w:t>
      </w:r>
      <w:r w:rsidRPr="005675B2">
        <w:rPr>
          <w:rFonts w:hint="cs"/>
          <w:rtl/>
        </w:rPr>
        <w:t>الشرع وحده</w:t>
      </w:r>
      <w:r w:rsidR="000636C2">
        <w:rPr>
          <w:rFonts w:hint="cs"/>
          <w:rtl/>
        </w:rPr>
        <w:t>،</w:t>
      </w:r>
      <w:r w:rsidRPr="005675B2">
        <w:rPr>
          <w:rFonts w:hint="cs"/>
          <w:rtl/>
        </w:rPr>
        <w:t xml:space="preserve"> وهذا رد فعل مغال لقول البراهمة والمعتزلة أن العقل يوجب حسن الحسن</w:t>
      </w:r>
      <w:r w:rsidRPr="005675B2">
        <w:rPr>
          <w:rFonts w:hint="cs"/>
        </w:rPr>
        <w:t xml:space="preserve"> </w:t>
      </w:r>
      <w:r w:rsidRPr="005675B2">
        <w:rPr>
          <w:rFonts w:hint="cs"/>
          <w:rtl/>
        </w:rPr>
        <w:t>وقبح القبيح</w:t>
      </w:r>
      <w:r w:rsidR="000636C2">
        <w:rPr>
          <w:rFonts w:hint="cs"/>
          <w:rtl/>
        </w:rPr>
        <w:t>،</w:t>
      </w:r>
      <w:r w:rsidRPr="005675B2">
        <w:rPr>
          <w:rFonts w:hint="cs"/>
          <w:rtl/>
        </w:rPr>
        <w:t xml:space="preserve"> وهو مع منافاته للنصوص مكابرة للعقول</w:t>
      </w:r>
      <w:r w:rsidR="000636C2">
        <w:rPr>
          <w:rFonts w:hint="cs"/>
          <w:rtl/>
        </w:rPr>
        <w:t>،</w:t>
      </w:r>
      <w:r w:rsidRPr="005675B2">
        <w:rPr>
          <w:rFonts w:hint="cs"/>
          <w:rtl/>
        </w:rPr>
        <w:t xml:space="preserve"> ومما يترتب عليه من الأصول</w:t>
      </w:r>
      <w:r w:rsidRPr="005675B2">
        <w:rPr>
          <w:rFonts w:hint="cs"/>
        </w:rPr>
        <w:t xml:space="preserve"> </w:t>
      </w:r>
      <w:r w:rsidRPr="005675B2">
        <w:rPr>
          <w:rFonts w:hint="cs"/>
          <w:rtl/>
        </w:rPr>
        <w:t>الفاسدة قولهم أن الشرع قد يأتي بما هو</w:t>
      </w:r>
      <w:r w:rsidR="000636C2">
        <w:rPr>
          <w:rFonts w:hint="cs"/>
          <w:rtl/>
        </w:rPr>
        <w:t xml:space="preserve"> </w:t>
      </w:r>
      <w:r w:rsidRPr="005675B2">
        <w:rPr>
          <w:rFonts w:hint="cs"/>
          <w:rtl/>
        </w:rPr>
        <w:t>قبيح في العقل فإلغاء دور العقل بالمرة أسلم</w:t>
      </w:r>
      <w:r w:rsidRPr="005675B2">
        <w:rPr>
          <w:rFonts w:hint="cs"/>
        </w:rPr>
        <w:t xml:space="preserve"> </w:t>
      </w:r>
      <w:r w:rsidRPr="005675B2">
        <w:rPr>
          <w:rFonts w:hint="cs"/>
          <w:rtl/>
        </w:rPr>
        <w:t>من نسبة القبح إلى الشرع مثلاً</w:t>
      </w:r>
      <w:r w:rsidR="000636C2">
        <w:rPr>
          <w:rFonts w:hint="cs"/>
          <w:rtl/>
        </w:rPr>
        <w:t>،</w:t>
      </w:r>
      <w:r w:rsidRPr="005675B2">
        <w:rPr>
          <w:rFonts w:hint="cs"/>
          <w:rtl/>
        </w:rPr>
        <w:t xml:space="preserve"> ومثلوا لذلك بذبح الحيوان فإنه إيلام له بلا ذنب</w:t>
      </w:r>
      <w:r w:rsidRPr="005675B2">
        <w:rPr>
          <w:rFonts w:hint="cs"/>
        </w:rPr>
        <w:t xml:space="preserve"> </w:t>
      </w:r>
      <w:r w:rsidRPr="005675B2">
        <w:rPr>
          <w:rFonts w:hint="cs"/>
          <w:rtl/>
        </w:rPr>
        <w:t>وهو قبيح في العقل ومع ذلك أباحه الشرع</w:t>
      </w:r>
      <w:r w:rsidR="000636C2">
        <w:rPr>
          <w:rFonts w:hint="cs"/>
          <w:rtl/>
        </w:rPr>
        <w:t>،</w:t>
      </w:r>
      <w:r>
        <w:rPr>
          <w:rFonts w:hint="cs"/>
          <w:rtl/>
        </w:rPr>
        <w:t xml:space="preserve"> </w:t>
      </w:r>
    </w:p>
    <w:p w14:paraId="0A21F29B" w14:textId="4178EB36" w:rsidR="009C32A0" w:rsidRPr="005675B2" w:rsidRDefault="000636C2" w:rsidP="000636C2">
      <w:pPr>
        <w:rPr>
          <w:b/>
          <w:rtl/>
        </w:rPr>
      </w:pPr>
      <w:r>
        <w:rPr>
          <w:rFonts w:hint="cs"/>
          <w:bCs/>
          <w:rtl/>
        </w:rPr>
        <w:t>[</w:t>
      </w:r>
      <w:r w:rsidR="009C32A0">
        <w:rPr>
          <w:rFonts w:hint="cs"/>
          <w:bCs/>
          <w:rtl/>
        </w:rPr>
        <w:t>الجواب</w:t>
      </w:r>
      <w:r>
        <w:rPr>
          <w:rFonts w:hint="cs"/>
          <w:bCs/>
          <w:rtl/>
        </w:rPr>
        <w:t>]:</w:t>
      </w:r>
      <w:r w:rsidR="009C32A0" w:rsidRPr="005675B2">
        <w:rPr>
          <w:rFonts w:hint="cs"/>
          <w:rtl/>
        </w:rPr>
        <w:t xml:space="preserve"> في هذه الفقرة ناصر الكاتب غفر الله له مذهب المعتزلة والبراهمة في مسألة التحسين والتقبيح العقلي</w:t>
      </w:r>
      <w:r>
        <w:rPr>
          <w:rFonts w:hint="cs"/>
          <w:rtl/>
        </w:rPr>
        <w:t>،</w:t>
      </w:r>
      <w:r w:rsidR="009C32A0" w:rsidRPr="005675B2">
        <w:rPr>
          <w:rFonts w:hint="cs"/>
          <w:rtl/>
        </w:rPr>
        <w:t xml:space="preserve"> وهو قول الكرامية كما سيأتي</w:t>
      </w:r>
      <w:r>
        <w:rPr>
          <w:rFonts w:hint="cs"/>
          <w:rtl/>
        </w:rPr>
        <w:t xml:space="preserve">: </w:t>
      </w:r>
      <w:r w:rsidR="009C32A0" w:rsidRPr="005675B2">
        <w:rPr>
          <w:rFonts w:hint="cs"/>
          <w:rtl/>
        </w:rPr>
        <w:t>ولاحظ أخي الكريم كيف كان تشنيع الكاتب عليهم في الاستدلال بالأدلة والبراهين العقلية في موطن ثبت فيه الاستدلال بها وممن قال به الإمام أحمد والجمهور من أهل السنة وقد قدمنا النقل عنه مع التوثيق</w:t>
      </w:r>
      <w:r>
        <w:rPr>
          <w:rFonts w:hint="cs"/>
          <w:rtl/>
        </w:rPr>
        <w:t>،</w:t>
      </w:r>
      <w:r w:rsidR="009C32A0" w:rsidRPr="005675B2">
        <w:rPr>
          <w:rFonts w:hint="cs"/>
          <w:rtl/>
        </w:rPr>
        <w:t xml:space="preserve"> وكيف ناقض هنا وشنع عليهم إذ لم يتأسوا بالمعتزلة في تحسين وتقبيح أحكام الشريعة بالعقل</w:t>
      </w:r>
      <w:r>
        <w:rPr>
          <w:rFonts w:hint="cs"/>
          <w:rtl/>
        </w:rPr>
        <w:t>،</w:t>
      </w:r>
      <w:r w:rsidR="009C32A0" w:rsidRPr="005675B2">
        <w:rPr>
          <w:rFonts w:hint="cs"/>
          <w:rtl/>
        </w:rPr>
        <w:t xml:space="preserve"> وسأذكر الآن تصوير المسألة كما هي عند العقائديين</w:t>
      </w:r>
      <w:r>
        <w:rPr>
          <w:rFonts w:hint="cs"/>
          <w:rtl/>
        </w:rPr>
        <w:t>،</w:t>
      </w:r>
      <w:r w:rsidR="009C32A0" w:rsidRPr="005675B2">
        <w:rPr>
          <w:rFonts w:hint="cs"/>
          <w:rtl/>
        </w:rPr>
        <w:t>ثم رأي اهل السنة من الأشاعرة</w:t>
      </w:r>
      <w:r>
        <w:rPr>
          <w:rFonts w:hint="cs"/>
          <w:rtl/>
        </w:rPr>
        <w:t>،</w:t>
      </w:r>
    </w:p>
    <w:p w14:paraId="5364DA7B" w14:textId="4A9B3404" w:rsidR="009C32A0" w:rsidRPr="005675B2" w:rsidRDefault="009C32A0" w:rsidP="000636C2">
      <w:pPr>
        <w:rPr>
          <w:b/>
          <w:smallCaps/>
          <w:rtl/>
        </w:rPr>
      </w:pPr>
      <w:r w:rsidRPr="00A32A40">
        <w:rPr>
          <w:rFonts w:hint="cs"/>
          <w:bCs/>
          <w:rtl/>
        </w:rPr>
        <w:t>الحسن والقبح يطلقان على ثلاثة معان</w:t>
      </w:r>
      <w:r w:rsidR="000636C2">
        <w:rPr>
          <w:rFonts w:hint="cs"/>
          <w:bCs/>
          <w:rtl/>
        </w:rPr>
        <w:t>:</w:t>
      </w:r>
      <w:r>
        <w:rPr>
          <w:rFonts w:hint="cs"/>
          <w:rtl/>
        </w:rPr>
        <w:t xml:space="preserve"> </w:t>
      </w:r>
      <w:r w:rsidRPr="005675B2">
        <w:rPr>
          <w:rFonts w:hint="cs"/>
          <w:rtl/>
        </w:rPr>
        <w:t>فاتفقوا على معنيين يثبتان بالعقل ولو لم يرد الشرع وهما</w:t>
      </w:r>
      <w:r w:rsidR="000636C2">
        <w:rPr>
          <w:rFonts w:hint="cs"/>
          <w:rtl/>
        </w:rPr>
        <w:t>:</w:t>
      </w:r>
      <w:r>
        <w:rPr>
          <w:rFonts w:hint="cs"/>
          <w:rtl/>
        </w:rPr>
        <w:t xml:space="preserve"> </w:t>
      </w:r>
      <w:r w:rsidRPr="005675B2">
        <w:rPr>
          <w:rFonts w:hint="cs"/>
          <w:rtl/>
        </w:rPr>
        <w:t>الأول</w:t>
      </w:r>
      <w:r w:rsidR="000636C2">
        <w:rPr>
          <w:rFonts w:hint="cs"/>
          <w:rtl/>
        </w:rPr>
        <w:t>:</w:t>
      </w:r>
      <w:r w:rsidRPr="005675B2">
        <w:rPr>
          <w:rFonts w:hint="cs"/>
          <w:rtl/>
        </w:rPr>
        <w:t xml:space="preserve"> أن الحسن ملأئمة الغرض، والقبح منافرته فإن اللذة وما يؤدي إليها ملائم والألم وما يؤدي إليه منافر</w:t>
      </w:r>
      <w:r w:rsidR="000636C2">
        <w:rPr>
          <w:rFonts w:hint="cs"/>
          <w:rtl/>
        </w:rPr>
        <w:t xml:space="preserve">، </w:t>
      </w:r>
      <w:r w:rsidRPr="005675B2">
        <w:rPr>
          <w:rFonts w:hint="cs"/>
          <w:rtl/>
        </w:rPr>
        <w:t>والثاني</w:t>
      </w:r>
      <w:r w:rsidR="000636C2">
        <w:rPr>
          <w:rFonts w:hint="cs"/>
          <w:rtl/>
        </w:rPr>
        <w:t>:</w:t>
      </w:r>
      <w:r w:rsidRPr="005675B2">
        <w:rPr>
          <w:rFonts w:hint="cs"/>
          <w:rtl/>
        </w:rPr>
        <w:t xml:space="preserve"> هو أن الحسن صفة الكمال، والقبح صفة النقصان</w:t>
      </w:r>
      <w:r w:rsidR="000636C2">
        <w:rPr>
          <w:rFonts w:hint="cs"/>
          <w:rtl/>
        </w:rPr>
        <w:t>،</w:t>
      </w:r>
      <w:r w:rsidRPr="005675B2">
        <w:rPr>
          <w:rFonts w:hint="cs"/>
          <w:rtl/>
        </w:rPr>
        <w:t xml:space="preserve"> ولا نـزاع في أن هذين المعنيين ثابتان بالعقل</w:t>
      </w:r>
      <w:r w:rsidR="000636C2">
        <w:rPr>
          <w:rFonts w:hint="cs"/>
          <w:rtl/>
        </w:rPr>
        <w:t>،</w:t>
      </w:r>
      <w:r>
        <w:rPr>
          <w:rFonts w:hint="cs"/>
          <w:rtl/>
        </w:rPr>
        <w:t xml:space="preserve"> </w:t>
      </w:r>
      <w:r w:rsidRPr="005675B2">
        <w:rPr>
          <w:rFonts w:hint="cs"/>
          <w:u w:val="single"/>
          <w:rtl/>
        </w:rPr>
        <w:t>وهذا يبين لك فساد قول الكاتب هداه الله حيث يقول</w:t>
      </w:r>
      <w:r w:rsidR="000636C2">
        <w:rPr>
          <w:rFonts w:hint="cs"/>
          <w:rtl/>
        </w:rPr>
        <w:t>:(</w:t>
      </w:r>
      <w:r w:rsidRPr="005675B2">
        <w:rPr>
          <w:rFonts w:hint="cs"/>
          <w:rtl/>
        </w:rPr>
        <w:t>ينكر الأشاعرة أن يكون</w:t>
      </w:r>
      <w:r w:rsidRPr="005675B2">
        <w:rPr>
          <w:rFonts w:hint="cs"/>
        </w:rPr>
        <w:t xml:space="preserve"> </w:t>
      </w:r>
      <w:r w:rsidRPr="005675B2">
        <w:rPr>
          <w:rFonts w:hint="cs"/>
          <w:rtl/>
        </w:rPr>
        <w:t xml:space="preserve">للعقل والفطرة </w:t>
      </w:r>
      <w:r w:rsidRPr="005675B2">
        <w:rPr>
          <w:rFonts w:hint="cs"/>
          <w:u w:val="single"/>
          <w:rtl/>
        </w:rPr>
        <w:t>أي دور في</w:t>
      </w:r>
      <w:r w:rsidRPr="005675B2">
        <w:rPr>
          <w:rFonts w:hint="cs"/>
          <w:rtl/>
        </w:rPr>
        <w:t xml:space="preserve"> الحكم على الأشياء بالحسن والقبح</w:t>
      </w:r>
      <w:r w:rsidR="000636C2">
        <w:rPr>
          <w:rFonts w:hint="cs"/>
          <w:rtl/>
        </w:rPr>
        <w:t xml:space="preserve">)، </w:t>
      </w:r>
      <w:r w:rsidRPr="005675B2">
        <w:rPr>
          <w:rFonts w:hint="cs"/>
          <w:rtl/>
        </w:rPr>
        <w:t>وإنما وقع النـزاع فقط في أن الحسن تعلق المدح بالفعل عاجلاً والثواب آجلاً، والقبح تعلق الذم عاجلاً والعقاب آجلاً</w:t>
      </w:r>
      <w:r w:rsidR="000636C2">
        <w:rPr>
          <w:rFonts w:hint="cs"/>
          <w:rtl/>
        </w:rPr>
        <w:t>،</w:t>
      </w:r>
      <w:r w:rsidRPr="005675B2">
        <w:rPr>
          <w:rFonts w:hint="cs"/>
          <w:rtl/>
        </w:rPr>
        <w:t xml:space="preserve"> فهل هذا التعلق لأجل صفة عائدة إلى الفعل أو ليس الأمر كذلك بل هو محض حكم الشرع بذلك</w:t>
      </w:r>
      <w:r w:rsidR="000636C2">
        <w:rPr>
          <w:rFonts w:hint="cs"/>
          <w:rtl/>
        </w:rPr>
        <w:t xml:space="preserve">؟ </w:t>
      </w:r>
      <w:r w:rsidRPr="005675B2">
        <w:rPr>
          <w:rFonts w:hint="cs"/>
          <w:rtl/>
        </w:rPr>
        <w:t>فذهب المعتزلة إلى أن المؤثر في هذه الأحكام هو صفات عائدة إلى الأفعال فهو ثابت بالعقل، وأن الشرع إنما ورد للكشف والبيان</w:t>
      </w:r>
      <w:r w:rsidR="000636C2">
        <w:rPr>
          <w:rFonts w:hint="cs"/>
          <w:rtl/>
        </w:rPr>
        <w:t xml:space="preserve">، </w:t>
      </w:r>
      <w:r w:rsidRPr="005675B2">
        <w:rPr>
          <w:rFonts w:hint="cs"/>
          <w:rtl/>
        </w:rPr>
        <w:t>[</w:t>
      </w:r>
      <w:r w:rsidRPr="005675B2">
        <w:rPr>
          <w:rFonts w:hint="cs"/>
          <w:bCs/>
          <w:sz w:val="24"/>
          <w:szCs w:val="24"/>
          <w:rtl/>
        </w:rPr>
        <w:t>شرح الأصول الخمسة للقاضي عبدالجبار المعتزلي ص41</w:t>
      </w:r>
      <w:r w:rsidR="000636C2">
        <w:rPr>
          <w:rFonts w:hint="cs"/>
          <w:bCs/>
          <w:sz w:val="24"/>
          <w:szCs w:val="24"/>
          <w:rtl/>
        </w:rPr>
        <w:t xml:space="preserve"> </w:t>
      </w:r>
      <w:r w:rsidRPr="005675B2">
        <w:rPr>
          <w:rFonts w:hint="cs"/>
          <w:bCs/>
          <w:sz w:val="24"/>
          <w:szCs w:val="24"/>
          <w:rtl/>
        </w:rPr>
        <w:t>انظر المغنى للقاضى عبد الجبار 16/14</w:t>
      </w:r>
      <w:r w:rsidRPr="005675B2">
        <w:rPr>
          <w:rFonts w:hint="cs"/>
          <w:rtl/>
        </w:rPr>
        <w:t>] وذهب الأشاعرة إلى أنه ثابت بالشرع مطلقاً، واحتجوا عليه بوجوه مذكورة في المطولات فتراجع</w:t>
      </w:r>
      <w:r w:rsidR="000636C2">
        <w:rPr>
          <w:rFonts w:hint="cs"/>
          <w:rtl/>
        </w:rPr>
        <w:t>،</w:t>
      </w:r>
      <w:r w:rsidRPr="005675B2">
        <w:rPr>
          <w:rFonts w:hint="cs"/>
          <w:rtl/>
        </w:rPr>
        <w:t xml:space="preserve"> [</w:t>
      </w:r>
      <w:r w:rsidRPr="005675B2">
        <w:rPr>
          <w:rFonts w:hint="cs"/>
          <w:bCs/>
          <w:sz w:val="24"/>
          <w:szCs w:val="24"/>
          <w:rtl/>
        </w:rPr>
        <w:t>الأربعين في أصول الدين للإمام الرازي</w:t>
      </w:r>
      <w:r w:rsidR="000636C2">
        <w:rPr>
          <w:rFonts w:hint="cs"/>
          <w:bCs/>
          <w:sz w:val="24"/>
          <w:szCs w:val="24"/>
          <w:rtl/>
        </w:rPr>
        <w:t xml:space="preserve"> </w:t>
      </w:r>
      <w:r w:rsidRPr="005675B2">
        <w:rPr>
          <w:rFonts w:hint="cs"/>
          <w:bCs/>
          <w:sz w:val="24"/>
          <w:szCs w:val="24"/>
          <w:rtl/>
        </w:rPr>
        <w:t>237</w:t>
      </w:r>
      <w:r w:rsidRPr="005675B2">
        <w:rPr>
          <w:rFonts w:hint="cs"/>
          <w:rtl/>
        </w:rPr>
        <w:t>] وهو مذهب الإمام أحمد وأهل السنة</w:t>
      </w:r>
      <w:r w:rsidR="000636C2">
        <w:rPr>
          <w:rFonts w:hint="cs"/>
          <w:rtl/>
        </w:rPr>
        <w:t xml:space="preserve">، </w:t>
      </w:r>
      <w:r w:rsidRPr="005675B2">
        <w:rPr>
          <w:rFonts w:hint="cs"/>
          <w:u w:val="single"/>
          <w:rtl/>
        </w:rPr>
        <w:t>قال ابن النجار</w:t>
      </w:r>
      <w:r w:rsidR="000636C2">
        <w:rPr>
          <w:rFonts w:hint="cs"/>
          <w:u w:val="single"/>
          <w:rtl/>
        </w:rPr>
        <w:t xml:space="preserve"> </w:t>
      </w:r>
      <w:r w:rsidRPr="005675B2">
        <w:rPr>
          <w:rFonts w:hint="cs"/>
          <w:u w:val="single"/>
          <w:rtl/>
        </w:rPr>
        <w:t>بعد أن ذكر القسمين الأول والثاني</w:t>
      </w:r>
      <w:r w:rsidR="000636C2">
        <w:rPr>
          <w:rFonts w:hint="cs"/>
          <w:rtl/>
        </w:rPr>
        <w:t xml:space="preserve"> </w:t>
      </w:r>
      <w:r w:rsidRPr="005675B2">
        <w:rPr>
          <w:rFonts w:hint="cs"/>
          <w:rtl/>
        </w:rPr>
        <w:t>وهما محل اتفاق كما سبق</w:t>
      </w:r>
      <w:r w:rsidR="000636C2">
        <w:rPr>
          <w:rFonts w:hint="cs"/>
          <w:rtl/>
        </w:rPr>
        <w:t>:</w:t>
      </w:r>
      <w:r w:rsidRPr="005675B2">
        <w:rPr>
          <w:rFonts w:hint="cs"/>
          <w:rtl/>
        </w:rPr>
        <w:t xml:space="preserve"> فقال</w:t>
      </w:r>
      <w:r w:rsidR="000636C2">
        <w:rPr>
          <w:rFonts w:hint="cs"/>
          <w:rtl/>
        </w:rPr>
        <w:t>:</w:t>
      </w:r>
      <w:r w:rsidRPr="005675B2">
        <w:rPr>
          <w:rFonts w:hint="cs"/>
          <w:rtl/>
        </w:rPr>
        <w:t>والثالث إطلاق</w:t>
      </w:r>
      <w:r>
        <w:rPr>
          <w:rFonts w:hint="cs"/>
          <w:rtl/>
        </w:rPr>
        <w:t xml:space="preserve"> </w:t>
      </w:r>
      <w:r w:rsidRPr="005675B2">
        <w:rPr>
          <w:rFonts w:hint="cs"/>
          <w:rtl/>
        </w:rPr>
        <w:t>الحسن والقبح بمعنى المدح والثواب وبمعنى الذم والعقاب</w:t>
      </w:r>
      <w:r w:rsidR="000636C2">
        <w:rPr>
          <w:rFonts w:hint="cs"/>
          <w:rtl/>
        </w:rPr>
        <w:t>،</w:t>
      </w:r>
      <w:r w:rsidRPr="005675B2">
        <w:rPr>
          <w:rFonts w:hint="cs"/>
          <w:rtl/>
        </w:rPr>
        <w:t>شرعي فلا حاكم إلا الله والعقل لا يحسن ولا</w:t>
      </w:r>
      <w:r>
        <w:rPr>
          <w:rFonts w:hint="cs"/>
          <w:rtl/>
        </w:rPr>
        <w:t xml:space="preserve"> </w:t>
      </w:r>
      <w:r w:rsidRPr="005675B2">
        <w:rPr>
          <w:rFonts w:hint="cs"/>
          <w:rtl/>
        </w:rPr>
        <w:t>يقبح</w:t>
      </w:r>
      <w:r w:rsidR="000636C2">
        <w:rPr>
          <w:rFonts w:hint="cs"/>
          <w:rtl/>
        </w:rPr>
        <w:t>،</w:t>
      </w:r>
      <w:r w:rsidRPr="005675B2">
        <w:rPr>
          <w:rFonts w:hint="cs"/>
          <w:rtl/>
        </w:rPr>
        <w:t xml:space="preserve">ولا يوجب ولا يحرم عند الإمام </w:t>
      </w:r>
      <w:r w:rsidRPr="005675B2">
        <w:rPr>
          <w:rFonts w:hint="cs"/>
          <w:u w:val="single"/>
          <w:rtl/>
        </w:rPr>
        <w:t>أحمد وأكثر أصحابه</w:t>
      </w:r>
      <w:r w:rsidRPr="005675B2">
        <w:rPr>
          <w:rFonts w:hint="cs"/>
          <w:rtl/>
        </w:rPr>
        <w:t xml:space="preserve"> والأشعرية قاله ابن عقيل </w:t>
      </w:r>
      <w:r w:rsidRPr="005675B2">
        <w:rPr>
          <w:rFonts w:hint="cs"/>
          <w:u w:val="single"/>
          <w:rtl/>
        </w:rPr>
        <w:t>وأهل السنة</w:t>
      </w:r>
      <w:r>
        <w:rPr>
          <w:rFonts w:hint="cs"/>
          <w:rtl/>
        </w:rPr>
        <w:t xml:space="preserve"> </w:t>
      </w:r>
      <w:r w:rsidRPr="005675B2">
        <w:rPr>
          <w:rFonts w:hint="cs"/>
          <w:rtl/>
        </w:rPr>
        <w:t>والفقهاء</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مختصر التحرير 1/ 301</w:t>
      </w:r>
      <w:r w:rsidRPr="005675B2">
        <w:rPr>
          <w:rFonts w:hint="cs"/>
          <w:rtl/>
        </w:rPr>
        <w:t>]</w:t>
      </w:r>
      <w:r w:rsidR="000636C2">
        <w:rPr>
          <w:rFonts w:hint="cs"/>
          <w:rtl/>
        </w:rPr>
        <w:t xml:space="preserve">، </w:t>
      </w:r>
      <w:r w:rsidRPr="005675B2">
        <w:rPr>
          <w:rFonts w:hint="cs"/>
          <w:smallCaps/>
          <w:rtl/>
        </w:rPr>
        <w:t>فلا يمكن أن يقال بالنسبة إلى شيء من الأفعال</w:t>
      </w:r>
      <w:r w:rsidR="000636C2">
        <w:rPr>
          <w:rFonts w:hint="cs"/>
          <w:smallCaps/>
          <w:rtl/>
        </w:rPr>
        <w:t>:</w:t>
      </w:r>
      <w:r w:rsidRPr="005675B2">
        <w:rPr>
          <w:rFonts w:hint="cs"/>
          <w:smallCaps/>
          <w:rtl/>
        </w:rPr>
        <w:t xml:space="preserve"> هذا قبيح فلا يكون من فعله تعالى، وبالنسبة إلى شيء من أحكامه</w:t>
      </w:r>
      <w:r w:rsidR="000636C2">
        <w:rPr>
          <w:rFonts w:hint="cs"/>
          <w:smallCaps/>
          <w:rtl/>
        </w:rPr>
        <w:t>:</w:t>
      </w:r>
      <w:r w:rsidRPr="005675B2">
        <w:rPr>
          <w:rFonts w:hint="cs"/>
          <w:smallCaps/>
          <w:rtl/>
        </w:rPr>
        <w:t xml:space="preserve"> هذا قبيح فيكون حراماً ومنهياً عنه، لأنه إنما ثبت له صفة القبح والحرمة بالنهي الوارد من جهة الشرع لا أن ورود النهي من جهته بالقبح الثابت له من جهة العقل، فيكون القبح مستفاداً من النهي، والنهي مستفاد من القبح</w:t>
      </w:r>
      <w:r w:rsidR="000636C2">
        <w:rPr>
          <w:rFonts w:hint="cs"/>
          <w:smallCaps/>
          <w:rtl/>
        </w:rPr>
        <w:t>،</w:t>
      </w:r>
      <w:r w:rsidRPr="005675B2">
        <w:rPr>
          <w:rFonts w:hint="cs"/>
          <w:smallCaps/>
          <w:rtl/>
        </w:rPr>
        <w:t xml:space="preserve"> خالفنا في ذلك المعتزلة </w:t>
      </w:r>
      <w:r w:rsidRPr="005675B2">
        <w:rPr>
          <w:rFonts w:hint="cs"/>
          <w:smallCaps/>
          <w:u w:val="single"/>
          <w:rtl/>
        </w:rPr>
        <w:t>والكرامية</w:t>
      </w:r>
      <w:r w:rsidRPr="005675B2">
        <w:rPr>
          <w:rFonts w:hint="cs"/>
          <w:smallCaps/>
          <w:rtl/>
        </w:rPr>
        <w:t xml:space="preserve"> والشيعة </w:t>
      </w:r>
      <w:r w:rsidRPr="005675B2">
        <w:rPr>
          <w:rFonts w:hint="cs"/>
          <w:smallCaps/>
          <w:u w:val="single"/>
          <w:rtl/>
        </w:rPr>
        <w:t xml:space="preserve">والخوارج </w:t>
      </w:r>
      <w:r w:rsidRPr="005675B2">
        <w:rPr>
          <w:rFonts w:hint="cs"/>
          <w:smallCaps/>
          <w:rtl/>
        </w:rPr>
        <w:t>والبراهمة والثنوية والتناسخية</w:t>
      </w:r>
      <w:r w:rsidR="000636C2">
        <w:rPr>
          <w:rFonts w:hint="cs"/>
          <w:smallCaps/>
          <w:rtl/>
        </w:rPr>
        <w:t>،</w:t>
      </w:r>
    </w:p>
    <w:p w14:paraId="5F1E8709" w14:textId="4382ED1C" w:rsidR="009C32A0" w:rsidRPr="005675B2" w:rsidRDefault="009C32A0" w:rsidP="000636C2">
      <w:pPr>
        <w:rPr>
          <w:b/>
          <w:rtl/>
        </w:rPr>
      </w:pPr>
      <w:r w:rsidRPr="00A32A40">
        <w:rPr>
          <w:rFonts w:hint="cs"/>
          <w:bCs/>
          <w:smallCaps/>
          <w:rtl/>
        </w:rPr>
        <w:t>فساد كلام الموجان</w:t>
      </w:r>
      <w:r w:rsidR="000636C2">
        <w:rPr>
          <w:rFonts w:hint="cs"/>
          <w:smallCaps/>
          <w:rtl/>
        </w:rPr>
        <w:t>:</w:t>
      </w:r>
      <w:r w:rsidRPr="005675B2">
        <w:rPr>
          <w:rFonts w:hint="cs"/>
          <w:smallCaps/>
          <w:rtl/>
        </w:rPr>
        <w:t xml:space="preserve"> ذكر الموجان رأيهم في المسألة فقال</w:t>
      </w:r>
      <w:r w:rsidR="000636C2">
        <w:rPr>
          <w:rFonts w:hint="cs"/>
          <w:smallCaps/>
          <w:rtl/>
        </w:rPr>
        <w:t>:</w:t>
      </w:r>
      <w:r w:rsidRPr="005675B2">
        <w:rPr>
          <w:rFonts w:hint="cs"/>
          <w:smallCaps/>
          <w:rtl/>
        </w:rPr>
        <w:t xml:space="preserve"> فأهل السنة</w:t>
      </w:r>
      <w:r w:rsidR="000636C2">
        <w:rPr>
          <w:rFonts w:hint="cs"/>
          <w:smallCaps/>
          <w:rtl/>
        </w:rPr>
        <w:t>!</w:t>
      </w:r>
      <w:r w:rsidRPr="005675B2">
        <w:rPr>
          <w:rFonts w:hint="cs"/>
          <w:smallCaps/>
          <w:rtl/>
        </w:rPr>
        <w:t>!يرون أن التحسين والتقبيح ليس كما تقول المعتزلة عقلياً محضاً، وهو ليس كما تقول الأشاعرة شرعياً محضاً</w:t>
      </w:r>
      <w:r w:rsidR="000636C2">
        <w:rPr>
          <w:rFonts w:hint="cs"/>
          <w:smallCaps/>
          <w:rtl/>
        </w:rPr>
        <w:t>،</w:t>
      </w:r>
      <w:r w:rsidRPr="005675B2">
        <w:rPr>
          <w:rFonts w:hint="cs"/>
          <w:smallCaps/>
          <w:rtl/>
        </w:rPr>
        <w:t xml:space="preserve"> بل إن العقل يدرك حسن وقبح بعض الأشياء</w:t>
      </w:r>
      <w:r w:rsidR="000636C2">
        <w:rPr>
          <w:rFonts w:hint="cs"/>
          <w:smallCaps/>
          <w:rtl/>
        </w:rPr>
        <w:t>،</w:t>
      </w:r>
      <w:r w:rsidRPr="005675B2">
        <w:rPr>
          <w:rFonts w:hint="cs"/>
          <w:smallCaps/>
          <w:rtl/>
        </w:rPr>
        <w:t xml:space="preserve"> ولكن ما يترتب عليه من الثواب والعقاب إنما يكون من الشرع لا من العقل وبذلك فهم وسطاً بين طرفين</w:t>
      </w:r>
      <w:r w:rsidR="000636C2">
        <w:rPr>
          <w:rFonts w:hint="cs"/>
          <w:smallCaps/>
          <w:rtl/>
        </w:rPr>
        <w:t>،</w:t>
      </w:r>
      <w:r w:rsidRPr="005675B2">
        <w:rPr>
          <w:rFonts w:hint="cs"/>
          <w:smallCaps/>
          <w:rtl/>
        </w:rPr>
        <w:t xml:space="preserve"> أهـ</w:t>
      </w:r>
      <w:r w:rsidR="000636C2">
        <w:rPr>
          <w:rFonts w:hint="cs"/>
          <w:smallCaps/>
          <w:rtl/>
        </w:rPr>
        <w:t xml:space="preserve"> </w:t>
      </w:r>
      <w:r w:rsidRPr="005675B2">
        <w:rPr>
          <w:rFonts w:hint="cs"/>
          <w:smallCaps/>
          <w:rtl/>
        </w:rPr>
        <w:t>[</w:t>
      </w:r>
      <w:r w:rsidRPr="005675B2">
        <w:rPr>
          <w:rFonts w:hint="cs"/>
          <w:bCs/>
          <w:sz w:val="24"/>
          <w:szCs w:val="24"/>
          <w:rtl/>
        </w:rPr>
        <w:t>الرد لشامل 173</w:t>
      </w:r>
      <w:r w:rsidRPr="005675B2">
        <w:rPr>
          <w:rFonts w:hint="cs"/>
          <w:smallCaps/>
          <w:rtl/>
        </w:rPr>
        <w:t>]</w:t>
      </w:r>
      <w:r w:rsidR="000636C2">
        <w:rPr>
          <w:rFonts w:hint="cs"/>
          <w:smallCaps/>
          <w:rtl/>
        </w:rPr>
        <w:t>،</w:t>
      </w:r>
      <w:r>
        <w:rPr>
          <w:rFonts w:hint="cs"/>
          <w:smallCaps/>
          <w:rtl/>
        </w:rPr>
        <w:t xml:space="preserve"> </w:t>
      </w:r>
      <w:r w:rsidRPr="005675B2">
        <w:rPr>
          <w:rFonts w:hint="cs"/>
          <w:smallCaps/>
          <w:rtl/>
        </w:rPr>
        <w:t>وهنا وقفات</w:t>
      </w:r>
      <w:r w:rsidR="000636C2">
        <w:rPr>
          <w:rFonts w:hint="cs"/>
          <w:smallCaps/>
          <w:rtl/>
        </w:rPr>
        <w:t>:</w:t>
      </w:r>
      <w:r w:rsidRPr="005675B2">
        <w:rPr>
          <w:rFonts w:hint="cs"/>
          <w:smallCaps/>
          <w:rtl/>
        </w:rPr>
        <w:t xml:space="preserve"> الأولى</w:t>
      </w:r>
      <w:r w:rsidR="000636C2">
        <w:rPr>
          <w:rFonts w:hint="cs"/>
          <w:smallCaps/>
          <w:rtl/>
        </w:rPr>
        <w:t>:</w:t>
      </w:r>
      <w:r w:rsidRPr="005675B2">
        <w:rPr>
          <w:rFonts w:hint="cs"/>
          <w:smallCaps/>
          <w:u w:val="single"/>
          <w:rtl/>
        </w:rPr>
        <w:t xml:space="preserve"> أن هذا ليس مذهب أهل السنة كماتدعي، بل مذهب أهل السنة هو عين مذهب الأشعرية قال ابن النجار</w:t>
      </w:r>
      <w:r w:rsidR="000636C2">
        <w:rPr>
          <w:rFonts w:hint="cs"/>
          <w:smallCaps/>
          <w:u w:val="single"/>
          <w:rtl/>
        </w:rPr>
        <w:t>:</w:t>
      </w:r>
      <w:r w:rsidRPr="005675B2">
        <w:rPr>
          <w:rFonts w:hint="cs"/>
          <w:smallCaps/>
          <w:u w:val="single"/>
          <w:rtl/>
        </w:rPr>
        <w:t xml:space="preserve"> </w:t>
      </w:r>
      <w:r w:rsidRPr="005675B2">
        <w:rPr>
          <w:rFonts w:hint="cs"/>
          <w:u w:val="single"/>
          <w:rtl/>
        </w:rPr>
        <w:t>والعقل لا يحسن ولا يقبح</w:t>
      </w:r>
      <w:r w:rsidR="000636C2">
        <w:rPr>
          <w:rFonts w:hint="cs"/>
          <w:u w:val="single"/>
          <w:rtl/>
        </w:rPr>
        <w:t>،</w:t>
      </w:r>
      <w:r w:rsidRPr="005675B2">
        <w:rPr>
          <w:rFonts w:hint="cs"/>
          <w:u w:val="single"/>
          <w:rtl/>
        </w:rPr>
        <w:t>ولا يوجب ولا يحرم عند الإمام أحمد وأكثر أصحابه والأشعرية قاله ابن عقيل وأهل السنة والفقهاء</w:t>
      </w:r>
      <w:r w:rsidR="000636C2">
        <w:rPr>
          <w:rFonts w:hint="cs"/>
          <w:u w:val="single"/>
          <w:rtl/>
        </w:rPr>
        <w:t>،</w:t>
      </w:r>
      <w:r w:rsidRPr="005675B2">
        <w:rPr>
          <w:rFonts w:hint="cs"/>
          <w:u w:val="single"/>
          <w:rtl/>
        </w:rPr>
        <w:t xml:space="preserve"> [</w:t>
      </w:r>
      <w:r w:rsidRPr="005675B2">
        <w:rPr>
          <w:rFonts w:hint="cs"/>
          <w:bCs/>
          <w:sz w:val="24"/>
          <w:szCs w:val="24"/>
          <w:rtl/>
        </w:rPr>
        <w:t>شرح مختصر التحرير 1/ 301</w:t>
      </w:r>
      <w:r w:rsidRPr="005675B2">
        <w:rPr>
          <w:rFonts w:hint="cs"/>
          <w:u w:val="single"/>
          <w:rtl/>
        </w:rPr>
        <w:t>] فهذا هو مذهب أهل السنة هداك الله</w:t>
      </w:r>
      <w:r w:rsidR="000636C2">
        <w:rPr>
          <w:rFonts w:hint="cs"/>
          <w:u w:val="single"/>
          <w:rtl/>
        </w:rPr>
        <w:t>،</w:t>
      </w:r>
      <w:r w:rsidRPr="005675B2">
        <w:rPr>
          <w:rFonts w:hint="cs"/>
          <w:u w:val="single"/>
          <w:rtl/>
        </w:rPr>
        <w:t xml:space="preserve"> </w:t>
      </w:r>
      <w:r w:rsidRPr="005675B2">
        <w:rPr>
          <w:rFonts w:hint="cs"/>
          <w:rtl/>
        </w:rPr>
        <w:t>ولذا قال ابن تيمية في مجموع الفتاوى 11/676 وكما في كتاب الموجان ص 175</w:t>
      </w:r>
      <w:r w:rsidR="000636C2">
        <w:rPr>
          <w:rFonts w:hint="cs"/>
          <w:rtl/>
        </w:rPr>
        <w:t>:</w:t>
      </w:r>
      <w:r w:rsidRPr="005675B2">
        <w:rPr>
          <w:rFonts w:hint="cs"/>
          <w:rtl/>
        </w:rPr>
        <w:t>وقيل</w:t>
      </w:r>
      <w:r w:rsidR="000636C2">
        <w:rPr>
          <w:rFonts w:hint="cs"/>
          <w:rtl/>
        </w:rPr>
        <w:t>:</w:t>
      </w:r>
      <w:r w:rsidRPr="005675B2">
        <w:rPr>
          <w:rFonts w:hint="cs"/>
          <w:rtl/>
        </w:rPr>
        <w:t xml:space="preserve"> إنه لا يكون قبيحاً إلا بالنهي</w:t>
      </w:r>
      <w:r w:rsidR="000636C2">
        <w:rPr>
          <w:rFonts w:hint="cs"/>
          <w:rtl/>
        </w:rPr>
        <w:t>،</w:t>
      </w:r>
      <w:r w:rsidRPr="005675B2">
        <w:rPr>
          <w:rFonts w:hint="cs"/>
          <w:rtl/>
        </w:rPr>
        <w:t>وهو قول من لا يثبن حسناً ولا قبيحاً إلا في الأمر والنهي</w:t>
      </w:r>
      <w:r w:rsidR="000636C2">
        <w:rPr>
          <w:rFonts w:hint="cs"/>
          <w:rtl/>
        </w:rPr>
        <w:t>،</w:t>
      </w:r>
      <w:r w:rsidRPr="005675B2">
        <w:rPr>
          <w:rFonts w:hint="cs"/>
          <w:rtl/>
        </w:rPr>
        <w:t xml:space="preserve"> </w:t>
      </w:r>
      <w:r w:rsidR="000636C2">
        <w:rPr>
          <w:rFonts w:hint="cs"/>
          <w:rtl/>
        </w:rPr>
        <w:t>(</w:t>
      </w:r>
      <w:r w:rsidRPr="005675B2">
        <w:rPr>
          <w:rFonts w:hint="cs"/>
          <w:rtl/>
        </w:rPr>
        <w:t>أي بالشرع</w:t>
      </w:r>
      <w:r w:rsidR="000636C2">
        <w:rPr>
          <w:rFonts w:hint="cs"/>
          <w:rtl/>
        </w:rPr>
        <w:t>)</w:t>
      </w:r>
      <w:r w:rsidRPr="005675B2">
        <w:rPr>
          <w:rFonts w:hint="cs"/>
          <w:rtl/>
        </w:rPr>
        <w:t xml:space="preserve"> كقول جهم والأشعري ومن تابعه من المنتسبين إلى السنة وأصحاب مالك والشافعي وأحمد كالقاضي أبو يعلى والباجي والجويني وغيرهم</w:t>
      </w:r>
      <w:r w:rsidR="000636C2">
        <w:rPr>
          <w:rFonts w:hint="cs"/>
          <w:rtl/>
        </w:rPr>
        <w:t>،</w:t>
      </w:r>
      <w:r w:rsidRPr="005675B2">
        <w:rPr>
          <w:rFonts w:hint="cs"/>
          <w:rtl/>
        </w:rPr>
        <w:t xml:space="preserve"> والجمهور من السلف والخلف على أن ماكانوا فيه قبل مجيء الرسل من الشرك والجاهلية كان شيئاً قبيحاً وكان شراً</w:t>
      </w:r>
      <w:r w:rsidR="000636C2">
        <w:rPr>
          <w:rFonts w:hint="cs"/>
          <w:rtl/>
        </w:rPr>
        <w:t>،</w:t>
      </w:r>
      <w:r w:rsidRPr="005675B2">
        <w:rPr>
          <w:rFonts w:hint="cs"/>
          <w:rtl/>
        </w:rPr>
        <w:t>ولكن لا يستحقون العذاب إلا بعد مجيء الرسول</w:t>
      </w:r>
      <w:r w:rsidR="000636C2">
        <w:rPr>
          <w:rFonts w:hint="cs"/>
          <w:rtl/>
        </w:rPr>
        <w:t>،</w:t>
      </w:r>
      <w:r w:rsidRPr="005675B2">
        <w:rPr>
          <w:rFonts w:hint="cs"/>
          <w:rtl/>
        </w:rPr>
        <w:t xml:space="preserve"> أهـ</w:t>
      </w:r>
      <w:r w:rsidR="000636C2">
        <w:rPr>
          <w:rFonts w:hint="cs"/>
          <w:rtl/>
        </w:rPr>
        <w:t xml:space="preserve"> </w:t>
      </w:r>
      <w:r w:rsidRPr="005675B2">
        <w:rPr>
          <w:rFonts w:hint="cs"/>
          <w:rtl/>
        </w:rPr>
        <w:t>وهنا وقفات للتأمل والنظر</w:t>
      </w:r>
      <w:r w:rsidR="000636C2">
        <w:rPr>
          <w:rFonts w:hint="cs"/>
          <w:rtl/>
        </w:rPr>
        <w:t xml:space="preserve"> </w:t>
      </w:r>
      <w:r w:rsidRPr="005675B2">
        <w:rPr>
          <w:rFonts w:hint="cs"/>
          <w:rtl/>
        </w:rPr>
        <w:t>في ما نقل عن ابن تيمية</w:t>
      </w:r>
      <w:r w:rsidR="000636C2">
        <w:rPr>
          <w:rFonts w:hint="cs"/>
          <w:rtl/>
        </w:rPr>
        <w:t>:</w:t>
      </w:r>
      <w:r w:rsidRPr="005675B2">
        <w:rPr>
          <w:rFonts w:hint="cs"/>
          <w:rtl/>
        </w:rPr>
        <w:t>1</w:t>
      </w:r>
      <w:r w:rsidR="000636C2">
        <w:rPr>
          <w:rFonts w:hint="cs"/>
          <w:rtl/>
        </w:rPr>
        <w:t xml:space="preserve"> </w:t>
      </w:r>
      <w:r w:rsidRPr="005675B2">
        <w:rPr>
          <w:rFonts w:hint="cs"/>
          <w:rtl/>
        </w:rPr>
        <w:t>- من الواضح أن الأشاعرة وغيرهم أصحاب المذاهب السنية كالمالكية والشافعية</w:t>
      </w:r>
      <w:r w:rsidR="000636C2">
        <w:rPr>
          <w:rFonts w:hint="cs"/>
          <w:rtl/>
        </w:rPr>
        <w:t xml:space="preserve"> </w:t>
      </w:r>
      <w:r w:rsidRPr="005675B2">
        <w:rPr>
          <w:rFonts w:hint="cs"/>
          <w:rtl/>
        </w:rPr>
        <w:t>والحنابلة متفقون في أن التحسيت والتقبيح أمر يؤخذ من الشرع ولا حاكمية في الأشياء إلا من جهته فقط</w:t>
      </w:r>
      <w:r w:rsidR="000636C2">
        <w:rPr>
          <w:rFonts w:hint="cs"/>
          <w:rtl/>
        </w:rPr>
        <w:t>،</w:t>
      </w:r>
      <w:r w:rsidRPr="005675B2">
        <w:rPr>
          <w:rFonts w:hint="cs"/>
          <w:rtl/>
        </w:rPr>
        <w:t xml:space="preserve"> كما في النقل عن الجمهور في كلام ابن النجار وابن تيمية الحنبليين</w:t>
      </w:r>
      <w:r w:rsidR="000636C2">
        <w:rPr>
          <w:rFonts w:hint="cs"/>
          <w:rtl/>
        </w:rPr>
        <w:t>،</w:t>
      </w:r>
      <w:r w:rsidRPr="005675B2">
        <w:rPr>
          <w:rFonts w:hint="cs"/>
          <w:rtl/>
        </w:rPr>
        <w:t xml:space="preserve"> 2</w:t>
      </w:r>
      <w:r w:rsidR="000636C2">
        <w:rPr>
          <w:rFonts w:hint="cs"/>
          <w:rtl/>
        </w:rPr>
        <w:t xml:space="preserve"> </w:t>
      </w:r>
      <w:r w:rsidRPr="005675B2">
        <w:rPr>
          <w:rFonts w:hint="cs"/>
          <w:rtl/>
        </w:rPr>
        <w:t>- أن نسبة ابن تيمية بأن العقل يحسن ويقبح قبل التشريع نسبة لا تثبت عنهم بنقل إلا مجرد الدعوى</w:t>
      </w:r>
      <w:r w:rsidR="000636C2">
        <w:rPr>
          <w:rFonts w:hint="cs"/>
          <w:rtl/>
        </w:rPr>
        <w:t xml:space="preserve"> </w:t>
      </w:r>
      <w:r w:rsidRPr="005675B2">
        <w:rPr>
          <w:rFonts w:hint="cs"/>
          <w:rtl/>
        </w:rPr>
        <w:t>خصوصاً بعد نقله عن المالكية والشافعية والحنابلة عدم التحسين والتقبيح العقلي فمن سلفهم أصلاً إلا الأئمة من أهل السنة</w:t>
      </w:r>
      <w:r w:rsidR="000636C2">
        <w:rPr>
          <w:rFonts w:hint="cs"/>
          <w:rtl/>
        </w:rPr>
        <w:t>؟!،</w:t>
      </w:r>
    </w:p>
    <w:p w14:paraId="312F42C1" w14:textId="75083E8E" w:rsidR="009C32A0" w:rsidRPr="005675B2" w:rsidRDefault="009C32A0" w:rsidP="000636C2">
      <w:pPr>
        <w:rPr>
          <w:b/>
          <w:smallCaps/>
          <w:rtl/>
        </w:rPr>
      </w:pPr>
      <w:r w:rsidRPr="005675B2">
        <w:rPr>
          <w:rFonts w:hint="cs"/>
          <w:rtl/>
        </w:rPr>
        <w:t>3</w:t>
      </w:r>
      <w:r w:rsidR="000636C2">
        <w:rPr>
          <w:rFonts w:hint="cs"/>
          <w:rtl/>
        </w:rPr>
        <w:t xml:space="preserve"> </w:t>
      </w:r>
      <w:r w:rsidRPr="005675B2">
        <w:rPr>
          <w:rFonts w:hint="cs"/>
          <w:rtl/>
        </w:rPr>
        <w:t>- أنه لا نزاع أصلاً في كون الشرك قبيح وما كان فيه أهل الجاهلية ضلال مبين وإنما النزاع فيمن جعله قبيحاً وحكم بذلك هل هو الشارع في شرعه الحكيم أم العقول والأراء</w:t>
      </w:r>
      <w:r w:rsidR="000636C2">
        <w:rPr>
          <w:rFonts w:hint="cs"/>
          <w:rtl/>
        </w:rPr>
        <w:t>؟</w:t>
      </w:r>
      <w:r w:rsidRPr="005675B2">
        <w:rPr>
          <w:rFonts w:hint="cs"/>
          <w:rtl/>
        </w:rPr>
        <w:t>فإن</w:t>
      </w:r>
      <w:r w:rsidR="000636C2">
        <w:rPr>
          <w:rFonts w:hint="cs"/>
          <w:rtl/>
        </w:rPr>
        <w:t xml:space="preserve"> </w:t>
      </w:r>
      <w:r w:rsidRPr="005675B2">
        <w:rPr>
          <w:rFonts w:hint="cs"/>
          <w:rtl/>
        </w:rPr>
        <w:t>ابن تيمية عفى الله عنه يصور المسألة كأنها نزاع في كون الشرك ضلالة أم هدى، وليس النزاع في ذلك وإنما النزاع فيمن هو الذي جعله ضلالاً</w:t>
      </w:r>
      <w:r w:rsidR="000636C2">
        <w:rPr>
          <w:rFonts w:hint="cs"/>
          <w:rtl/>
        </w:rPr>
        <w:t xml:space="preserve"> </w:t>
      </w:r>
      <w:r w:rsidRPr="005675B2">
        <w:rPr>
          <w:rFonts w:hint="cs"/>
          <w:rtl/>
        </w:rPr>
        <w:t>هل هو الشارع بشرعه أم العقل البشري</w:t>
      </w:r>
      <w:r w:rsidR="000636C2">
        <w:rPr>
          <w:rFonts w:hint="cs"/>
          <w:rtl/>
        </w:rPr>
        <w:t>؟</w:t>
      </w:r>
      <w:r w:rsidRPr="005675B2">
        <w:rPr>
          <w:rFonts w:hint="cs"/>
          <w:rtl/>
        </w:rPr>
        <w:t>ولذا فالحسن ماحسنه الشرع والقبيح ما قبحه الشرع</w:t>
      </w:r>
      <w:r w:rsidR="000636C2">
        <w:rPr>
          <w:rFonts w:hint="cs"/>
          <w:rtl/>
        </w:rPr>
        <w:t xml:space="preserve">، </w:t>
      </w:r>
      <w:r w:rsidRPr="005675B2">
        <w:rPr>
          <w:rFonts w:hint="cs"/>
          <w:rtl/>
        </w:rPr>
        <w:t>الثانية</w:t>
      </w:r>
      <w:r w:rsidR="000636C2">
        <w:rPr>
          <w:rFonts w:hint="cs"/>
          <w:rtl/>
        </w:rPr>
        <w:t>:</w:t>
      </w:r>
      <w:r w:rsidRPr="005675B2">
        <w:rPr>
          <w:rFonts w:hint="cs"/>
          <w:rtl/>
        </w:rPr>
        <w:t xml:space="preserve"> أن مذهب ابن تيمية وابن القيم وهو الذي تنافح عنه هو</w:t>
      </w:r>
      <w:r w:rsidR="000636C2">
        <w:rPr>
          <w:rFonts w:hint="cs"/>
          <w:rtl/>
        </w:rPr>
        <w:t xml:space="preserve"> </w:t>
      </w:r>
      <w:r w:rsidRPr="005675B2">
        <w:rPr>
          <w:rFonts w:hint="cs"/>
          <w:rtl/>
        </w:rPr>
        <w:t>أن الحسن والقبح ينشأ من ذات الأشياء</w:t>
      </w:r>
      <w:r w:rsidR="000636C2">
        <w:rPr>
          <w:rFonts w:hint="cs"/>
          <w:rtl/>
        </w:rPr>
        <w:t xml:space="preserve">، </w:t>
      </w:r>
      <w:r w:rsidRPr="005675B2">
        <w:rPr>
          <w:rFonts w:hint="cs"/>
          <w:rtl/>
        </w:rPr>
        <w:t>قال ابن القيم</w:t>
      </w:r>
      <w:r w:rsidR="000636C2">
        <w:rPr>
          <w:rFonts w:hint="cs"/>
          <w:rtl/>
        </w:rPr>
        <w:t>:</w:t>
      </w:r>
      <w:r w:rsidRPr="005675B2">
        <w:rPr>
          <w:rFonts w:hint="cs"/>
          <w:rtl/>
        </w:rPr>
        <w:t xml:space="preserve"> ههنا أمران متغيران لا تلازم</w:t>
      </w:r>
      <w:r w:rsidRPr="005675B2">
        <w:rPr>
          <w:rFonts w:hint="cs"/>
        </w:rPr>
        <w:t xml:space="preserve"> </w:t>
      </w:r>
      <w:r w:rsidRPr="005675B2">
        <w:rPr>
          <w:rFonts w:hint="cs"/>
          <w:rtl/>
        </w:rPr>
        <w:t>بينهما</w:t>
      </w:r>
      <w:r w:rsidR="000636C2">
        <w:rPr>
          <w:rFonts w:hint="cs"/>
          <w:rtl/>
        </w:rPr>
        <w:t xml:space="preserve">، </w:t>
      </w:r>
      <w:r w:rsidRPr="005675B2">
        <w:rPr>
          <w:rFonts w:hint="cs"/>
          <w:rtl/>
        </w:rPr>
        <w:t>أحدهما</w:t>
      </w:r>
      <w:r w:rsidR="000636C2">
        <w:rPr>
          <w:rFonts w:hint="cs"/>
          <w:rtl/>
        </w:rPr>
        <w:t>:</w:t>
      </w:r>
      <w:r w:rsidRPr="005675B2">
        <w:rPr>
          <w:rFonts w:hint="cs"/>
          <w:rtl/>
        </w:rPr>
        <w:t xml:space="preserve">هل الفعل نفسه مشتمل على صفة اقتضت حسنه وقبحه بحيث </w:t>
      </w:r>
      <w:r w:rsidRPr="005675B2">
        <w:rPr>
          <w:rFonts w:hint="cs"/>
          <w:u w:val="single"/>
          <w:rtl/>
        </w:rPr>
        <w:t>ينشأ</w:t>
      </w:r>
      <w:r w:rsidRPr="005675B2">
        <w:rPr>
          <w:rFonts w:hint="cs"/>
          <w:rtl/>
        </w:rPr>
        <w:t xml:space="preserve"> الحسن</w:t>
      </w:r>
      <w:r>
        <w:rPr>
          <w:rFonts w:hint="cs"/>
          <w:rtl/>
        </w:rPr>
        <w:t xml:space="preserve"> </w:t>
      </w:r>
      <w:r w:rsidRPr="005675B2">
        <w:rPr>
          <w:rFonts w:hint="cs"/>
          <w:rtl/>
        </w:rPr>
        <w:t>والقبح منه فيكون منشأ لهما أم لا</w:t>
      </w:r>
      <w:r w:rsidR="000636C2">
        <w:rPr>
          <w:rFonts w:hint="cs"/>
          <w:rtl/>
        </w:rPr>
        <w:t>؟</w:t>
      </w:r>
      <w:r w:rsidRPr="005675B2">
        <w:rPr>
          <w:rFonts w:hint="cs"/>
        </w:rPr>
        <w:t xml:space="preserve"> </w:t>
      </w:r>
      <w:r w:rsidRPr="005675B2">
        <w:rPr>
          <w:rFonts w:hint="cs"/>
          <w:rtl/>
        </w:rPr>
        <w:t>والثاني أن الثواب المرتب على حسن الفعل</w:t>
      </w:r>
      <w:r w:rsidRPr="005675B2">
        <w:rPr>
          <w:rFonts w:hint="cs"/>
        </w:rPr>
        <w:t xml:space="preserve"> </w:t>
      </w:r>
      <w:r w:rsidRPr="005675B2">
        <w:rPr>
          <w:rFonts w:hint="cs"/>
          <w:rtl/>
        </w:rPr>
        <w:t>والعقاب المرتب على قبحه ثابت بل واقع بالعقل أم لا يقع إلا بالشرع</w:t>
      </w:r>
      <w:r w:rsidR="000636C2">
        <w:rPr>
          <w:rFonts w:hint="cs"/>
          <w:rtl/>
        </w:rPr>
        <w:t xml:space="preserve">؟ </w:t>
      </w:r>
      <w:r w:rsidRPr="005675B2">
        <w:rPr>
          <w:rFonts w:hint="cs"/>
          <w:rtl/>
        </w:rPr>
        <w:t>إلى أن قال</w:t>
      </w:r>
      <w:r w:rsidR="000636C2">
        <w:rPr>
          <w:rFonts w:hint="cs"/>
          <w:rtl/>
        </w:rPr>
        <w:t>:</w:t>
      </w:r>
      <w:r w:rsidRPr="005675B2">
        <w:rPr>
          <w:rFonts w:hint="cs"/>
          <w:rtl/>
        </w:rPr>
        <w:t>والحق الذي لا يجد التناقض إليه السبيل أنه لا تلازم بينهما</w:t>
      </w:r>
      <w:r w:rsidR="000636C2">
        <w:rPr>
          <w:rFonts w:hint="cs"/>
          <w:rtl/>
        </w:rPr>
        <w:t>،</w:t>
      </w:r>
      <w:r w:rsidRPr="005675B2">
        <w:rPr>
          <w:rFonts w:hint="cs"/>
          <w:rtl/>
        </w:rPr>
        <w:t>وأن</w:t>
      </w:r>
      <w:r w:rsidRPr="005675B2">
        <w:rPr>
          <w:rFonts w:hint="cs"/>
        </w:rPr>
        <w:t xml:space="preserve"> </w:t>
      </w:r>
      <w:r w:rsidRPr="005675B2">
        <w:rPr>
          <w:rFonts w:hint="cs"/>
          <w:u w:val="single"/>
          <w:rtl/>
        </w:rPr>
        <w:t>الأفعال في نفسها</w:t>
      </w:r>
      <w:r w:rsidRPr="005675B2">
        <w:rPr>
          <w:rFonts w:hint="cs"/>
          <w:rtl/>
        </w:rPr>
        <w:t xml:space="preserve"> حسنة وقبيحة كما أنها نافعة وضاره إلى أن قال</w:t>
      </w:r>
      <w:r w:rsidR="000636C2">
        <w:rPr>
          <w:rFonts w:hint="cs"/>
          <w:rtl/>
        </w:rPr>
        <w:t>:</w:t>
      </w:r>
      <w:r w:rsidRPr="005675B2">
        <w:rPr>
          <w:rFonts w:hint="cs"/>
          <w:rtl/>
        </w:rPr>
        <w:t xml:space="preserve"> نعم الشارع كساها بنهيه عنها قبحا إلى قبحها فكان </w:t>
      </w:r>
      <w:r w:rsidRPr="005675B2">
        <w:rPr>
          <w:rFonts w:hint="cs"/>
          <w:u w:val="single"/>
          <w:rtl/>
        </w:rPr>
        <w:t>قبحها من ذاتها</w:t>
      </w:r>
      <w:r w:rsidR="000636C2">
        <w:rPr>
          <w:rFonts w:hint="cs"/>
          <w:rtl/>
        </w:rPr>
        <w:t>،</w:t>
      </w:r>
      <w:r w:rsidRPr="005675B2">
        <w:rPr>
          <w:rFonts w:hint="cs"/>
          <w:rtl/>
        </w:rPr>
        <w:t xml:space="preserve"> وازدادت قبحا عن</w:t>
      </w:r>
      <w:r w:rsidRPr="005675B2">
        <w:rPr>
          <w:rFonts w:hint="cs"/>
        </w:rPr>
        <w:t xml:space="preserve"> </w:t>
      </w:r>
      <w:r w:rsidRPr="005675B2">
        <w:rPr>
          <w:rFonts w:hint="cs"/>
          <w:rtl/>
        </w:rPr>
        <w:t>العقل بنهي الرب تعالى عنها وذمه لها وإخباره ببغضها وبغض فاعلها</w:t>
      </w:r>
      <w:r w:rsidR="000636C2">
        <w:rPr>
          <w:rFonts w:hint="cs"/>
          <w:rtl/>
        </w:rPr>
        <w:t>،</w:t>
      </w:r>
      <w:r>
        <w:rPr>
          <w:rFonts w:hint="cs"/>
          <w:rtl/>
          <w:lang w:bidi="ar-KW"/>
        </w:rPr>
        <w:t xml:space="preserve"> </w:t>
      </w:r>
      <w:r w:rsidRPr="005675B2">
        <w:rPr>
          <w:rFonts w:hint="cs"/>
          <w:smallCaps/>
          <w:rtl/>
        </w:rPr>
        <w:t>وأقول</w:t>
      </w:r>
      <w:r w:rsidR="000636C2">
        <w:rPr>
          <w:rFonts w:hint="cs"/>
          <w:smallCaps/>
          <w:rtl/>
        </w:rPr>
        <w:t>:</w:t>
      </w:r>
      <w:r w:rsidRPr="005675B2">
        <w:rPr>
          <w:rFonts w:hint="cs"/>
          <w:smallCaps/>
          <w:rtl/>
        </w:rPr>
        <w:t xml:space="preserve"> تأمل في قول ابن القيم</w:t>
      </w:r>
      <w:r w:rsidR="000636C2">
        <w:rPr>
          <w:rFonts w:hint="cs"/>
          <w:smallCaps/>
          <w:rtl/>
        </w:rPr>
        <w:t>:</w:t>
      </w:r>
      <w:r w:rsidRPr="005675B2">
        <w:rPr>
          <w:rFonts w:hint="cs"/>
          <w:smallCaps/>
          <w:rtl/>
        </w:rPr>
        <w:t>إن قول</w:t>
      </w:r>
      <w:r w:rsidR="000636C2">
        <w:rPr>
          <w:rFonts w:hint="cs"/>
          <w:smallCaps/>
          <w:rtl/>
        </w:rPr>
        <w:t xml:space="preserve"> </w:t>
      </w:r>
      <w:r w:rsidRPr="005675B2">
        <w:rPr>
          <w:rFonts w:hint="cs"/>
          <w:smallCaps/>
          <w:rtl/>
        </w:rPr>
        <w:t>ابن القيم</w:t>
      </w:r>
      <w:r w:rsidR="000636C2">
        <w:rPr>
          <w:rFonts w:hint="cs"/>
          <w:smallCaps/>
          <w:rtl/>
        </w:rPr>
        <w:t>:</w:t>
      </w:r>
      <w:r w:rsidRPr="005675B2">
        <w:rPr>
          <w:rFonts w:hint="cs"/>
          <w:smallCaps/>
          <w:rtl/>
        </w:rPr>
        <w:t xml:space="preserve"> </w:t>
      </w:r>
      <w:r w:rsidRPr="005675B2">
        <w:rPr>
          <w:rFonts w:hint="cs"/>
          <w:u w:val="single"/>
          <w:rtl/>
        </w:rPr>
        <w:t>قبحها من ذاتها</w:t>
      </w:r>
      <w:r w:rsidR="000636C2">
        <w:rPr>
          <w:rFonts w:hint="cs"/>
          <w:u w:val="single"/>
          <w:rtl/>
        </w:rPr>
        <w:t>:</w:t>
      </w:r>
      <w:r w:rsidRPr="005675B2">
        <w:rPr>
          <w:rFonts w:hint="cs"/>
          <w:u w:val="single"/>
          <w:rtl/>
        </w:rPr>
        <w:t xml:space="preserve">هو قول الفلاسفة بالطبع لأنهم يقررون أن الأشياء متسمة بحسن أو قبح متأصلين فيها بالطبع </w:t>
      </w:r>
      <w:r w:rsidRPr="005675B2">
        <w:rPr>
          <w:rFonts w:hint="cs"/>
          <w:rtl/>
        </w:rPr>
        <w:t>لا بالخلق</w:t>
      </w:r>
      <w:r w:rsidR="000636C2">
        <w:rPr>
          <w:rFonts w:hint="cs"/>
          <w:rtl/>
        </w:rPr>
        <w:t>،</w:t>
      </w:r>
      <w:r w:rsidRPr="005675B2">
        <w:rPr>
          <w:rFonts w:hint="cs"/>
          <w:smallCaps/>
          <w:rtl/>
        </w:rPr>
        <w:t xml:space="preserve"> ولتعلم أن الله هو الذي جعل الشيء فاسداً أو صالحاً أو حسناً أو قبيحاً، وليس الشيء هو الذي جعل من نفسه حسناً أو قبيحاً</w:t>
      </w:r>
      <w:r w:rsidR="000636C2">
        <w:rPr>
          <w:rFonts w:hint="cs"/>
          <w:smallCaps/>
          <w:rtl/>
        </w:rPr>
        <w:t>،</w:t>
      </w:r>
      <w:r w:rsidRPr="005675B2">
        <w:rPr>
          <w:rFonts w:hint="cs"/>
          <w:smallCaps/>
          <w:rtl/>
        </w:rPr>
        <w:t xml:space="preserve"> والحسن والقبح في الأشياء حال اعتباري لا اضطراري يضطر الله لفعله</w:t>
      </w:r>
      <w:r w:rsidR="000636C2">
        <w:rPr>
          <w:rFonts w:hint="cs"/>
          <w:smallCaps/>
          <w:rtl/>
        </w:rPr>
        <w:t>،</w:t>
      </w:r>
      <w:r w:rsidRPr="005675B2">
        <w:rPr>
          <w:rFonts w:hint="cs"/>
          <w:smallCaps/>
          <w:rtl/>
        </w:rPr>
        <w:t>ولا ذاتي</w:t>
      </w:r>
      <w:r w:rsidR="000636C2">
        <w:rPr>
          <w:rFonts w:hint="cs"/>
          <w:smallCaps/>
          <w:rtl/>
        </w:rPr>
        <w:t>،</w:t>
      </w:r>
      <w:r w:rsidRPr="005675B2">
        <w:rPr>
          <w:rFonts w:hint="cs"/>
          <w:smallCaps/>
          <w:rtl/>
        </w:rPr>
        <w:t xml:space="preserve"> ولذا فلو شاء الله لجعل الذي نراه حسناً قبيحاً</w:t>
      </w:r>
      <w:r w:rsidR="000636C2">
        <w:rPr>
          <w:rFonts w:hint="cs"/>
          <w:smallCaps/>
          <w:rtl/>
        </w:rPr>
        <w:t>،</w:t>
      </w:r>
      <w:r w:rsidRPr="005675B2">
        <w:rPr>
          <w:rFonts w:hint="cs"/>
          <w:smallCaps/>
          <w:rtl/>
        </w:rPr>
        <w:t>مادام الكل بخلق الله تعالى وحكمه</w:t>
      </w:r>
      <w:r w:rsidR="000636C2">
        <w:rPr>
          <w:rFonts w:hint="cs"/>
          <w:smallCaps/>
          <w:rtl/>
        </w:rPr>
        <w:t>،</w:t>
      </w:r>
      <w:r w:rsidRPr="005675B2">
        <w:rPr>
          <w:rFonts w:hint="cs"/>
          <w:smallCaps/>
          <w:rtl/>
        </w:rPr>
        <w:t xml:space="preserve"> فالله قادر على تحويل النفوس وطبائعها فلا ترى ما كانت تراه حسناً حسناً ولا ما كانت تراه قبيحاً قبيحاً</w:t>
      </w:r>
      <w:r w:rsidR="000636C2">
        <w:rPr>
          <w:rFonts w:hint="cs"/>
          <w:smallCaps/>
          <w:rtl/>
        </w:rPr>
        <w:t>،</w:t>
      </w:r>
      <w:r w:rsidRPr="005675B2">
        <w:rPr>
          <w:rFonts w:hint="cs"/>
          <w:smallCaps/>
          <w:rtl/>
        </w:rPr>
        <w:t xml:space="preserve"> لأن هذا إنما حدث لها بخلق الله ذلك فيها</w:t>
      </w:r>
      <w:r w:rsidR="000636C2">
        <w:rPr>
          <w:rFonts w:hint="cs"/>
          <w:smallCaps/>
          <w:rtl/>
        </w:rPr>
        <w:t>،</w:t>
      </w:r>
      <w:r w:rsidRPr="005675B2">
        <w:rPr>
          <w:rFonts w:hint="cs"/>
          <w:smallCaps/>
          <w:rtl/>
        </w:rPr>
        <w:t xml:space="preserve"> فلو فطر الله الناس على طراز آخر من الطباع لتغيرت</w:t>
      </w:r>
      <w:r w:rsidR="000636C2">
        <w:rPr>
          <w:rFonts w:hint="cs"/>
          <w:smallCaps/>
          <w:rtl/>
        </w:rPr>
        <w:t>،</w:t>
      </w:r>
      <w:r w:rsidRPr="005675B2">
        <w:rPr>
          <w:rFonts w:hint="cs"/>
          <w:smallCaps/>
          <w:rtl/>
        </w:rPr>
        <w:t xml:space="preserve"> ونحن من شدة إلفنا للترابط الذي خلقه الله بين الأشياء وخواصها</w:t>
      </w:r>
      <w:r w:rsidR="000636C2">
        <w:rPr>
          <w:rFonts w:hint="cs"/>
          <w:smallCaps/>
          <w:rtl/>
        </w:rPr>
        <w:t>،</w:t>
      </w:r>
      <w:r w:rsidRPr="005675B2">
        <w:rPr>
          <w:rFonts w:hint="cs"/>
          <w:smallCaps/>
          <w:rtl/>
        </w:rPr>
        <w:t xml:space="preserve"> نظن أن معنى الحسن والقبح قد غدا كامناً في ذات كل منها فلا ينفك بعضها عن بعض</w:t>
      </w:r>
      <w:r w:rsidR="000636C2">
        <w:rPr>
          <w:rFonts w:hint="cs"/>
          <w:smallCaps/>
          <w:rtl/>
        </w:rPr>
        <w:t>،</w:t>
      </w:r>
      <w:r w:rsidRPr="005675B2">
        <w:rPr>
          <w:rFonts w:hint="cs"/>
          <w:smallCaps/>
          <w:rtl/>
        </w:rPr>
        <w:t xml:space="preserve"> </w:t>
      </w:r>
      <w:r w:rsidRPr="005675B2">
        <w:rPr>
          <w:rFonts w:hint="cs"/>
          <w:smallCaps/>
          <w:u w:val="single"/>
          <w:rtl/>
        </w:rPr>
        <w:t>والأمر في الحقيقة ليس إلا بحكم الله بذلك وخلق</w:t>
      </w:r>
      <w:r w:rsidRPr="005675B2">
        <w:rPr>
          <w:rFonts w:hint="cs"/>
          <w:smallCaps/>
          <w:rtl/>
        </w:rPr>
        <w:t xml:space="preserve"> الطبع فينا على النفرة منه لا أن الأشياء ذاتها تنشئ القبح لنفسها أو تحسن بذاتها</w:t>
      </w:r>
      <w:r w:rsidR="000636C2">
        <w:rPr>
          <w:rFonts w:hint="cs"/>
          <w:smallCaps/>
          <w:rtl/>
        </w:rPr>
        <w:t>،</w:t>
      </w:r>
      <w:r>
        <w:rPr>
          <w:rFonts w:hint="cs"/>
          <w:smallCaps/>
          <w:rtl/>
        </w:rPr>
        <w:t xml:space="preserve"> </w:t>
      </w:r>
      <w:r w:rsidRPr="005675B2">
        <w:rPr>
          <w:rFonts w:hint="cs"/>
          <w:smallCaps/>
          <w:rtl/>
        </w:rPr>
        <w:t>قال الشيخ محمد البوطي وفقه الله</w:t>
      </w:r>
      <w:r w:rsidR="000636C2">
        <w:rPr>
          <w:rFonts w:hint="cs"/>
          <w:smallCaps/>
          <w:rtl/>
        </w:rPr>
        <w:t>:</w:t>
      </w:r>
      <w:r w:rsidRPr="005675B2">
        <w:rPr>
          <w:rFonts w:hint="cs"/>
          <w:smallCaps/>
          <w:rtl/>
        </w:rPr>
        <w:t xml:space="preserve"> وصفوة القول أن الله خلق ما شاء في هذا العالم</w:t>
      </w:r>
      <w:r w:rsidR="000636C2">
        <w:rPr>
          <w:rFonts w:hint="cs"/>
          <w:smallCaps/>
          <w:rtl/>
        </w:rPr>
        <w:t>،</w:t>
      </w:r>
      <w:r w:rsidRPr="005675B2">
        <w:rPr>
          <w:rFonts w:hint="cs"/>
          <w:smallCaps/>
          <w:rtl/>
        </w:rPr>
        <w:t>ورتب جزئياته على بعضها ترتيباً صير البعض حسناً مفيداً</w:t>
      </w:r>
      <w:r w:rsidR="000636C2">
        <w:rPr>
          <w:rFonts w:hint="cs"/>
          <w:smallCaps/>
          <w:rtl/>
        </w:rPr>
        <w:t>،</w:t>
      </w:r>
      <w:r w:rsidRPr="005675B2">
        <w:rPr>
          <w:rFonts w:hint="cs"/>
          <w:smallCaps/>
          <w:rtl/>
        </w:rPr>
        <w:t xml:space="preserve"> وصير الآخر قبيحاً مفسداً</w:t>
      </w:r>
      <w:r w:rsidR="000636C2">
        <w:rPr>
          <w:rFonts w:hint="cs"/>
          <w:smallCaps/>
          <w:rtl/>
        </w:rPr>
        <w:t>،</w:t>
      </w:r>
      <w:r w:rsidRPr="005675B2">
        <w:rPr>
          <w:rFonts w:hint="cs"/>
          <w:smallCaps/>
          <w:rtl/>
        </w:rPr>
        <w:t xml:space="preserve"> ولم نكن نعلم أو نستشعر صفة الحسن أو القبح في هذا ولا ذاك لولا خلقه وترتيبه وتأليفه بين الذوات وخصائصها</w:t>
      </w:r>
      <w:r w:rsidR="000636C2">
        <w:rPr>
          <w:rFonts w:hint="cs"/>
          <w:smallCaps/>
          <w:rtl/>
        </w:rPr>
        <w:t>،</w:t>
      </w:r>
      <w:r w:rsidRPr="005675B2">
        <w:rPr>
          <w:rFonts w:hint="cs"/>
          <w:smallCaps/>
          <w:rtl/>
        </w:rPr>
        <w:t xml:space="preserve"> أ - ه </w:t>
      </w:r>
      <w:r w:rsidR="000636C2">
        <w:rPr>
          <w:rFonts w:hint="cs"/>
          <w:smallCaps/>
          <w:rtl/>
        </w:rPr>
        <w:t>[</w:t>
      </w:r>
      <w:r w:rsidRPr="005675B2">
        <w:rPr>
          <w:rFonts w:hint="cs"/>
          <w:bCs/>
          <w:sz w:val="24"/>
          <w:szCs w:val="24"/>
          <w:rtl/>
        </w:rPr>
        <w:t>كبرى اليقينيات الكونية 151</w:t>
      </w:r>
      <w:r>
        <w:rPr>
          <w:rFonts w:hint="cs"/>
          <w:smallCaps/>
          <w:rtl/>
        </w:rPr>
        <w:t>]</w:t>
      </w:r>
      <w:r w:rsidR="000636C2">
        <w:rPr>
          <w:rFonts w:hint="cs"/>
          <w:smallCaps/>
          <w:rtl/>
        </w:rPr>
        <w:t>،</w:t>
      </w:r>
      <w:r>
        <w:rPr>
          <w:rFonts w:hint="cs"/>
          <w:smallCaps/>
          <w:rtl/>
        </w:rPr>
        <w:t xml:space="preserve"> </w:t>
      </w:r>
    </w:p>
    <w:p w14:paraId="7D20C1D2" w14:textId="7441F2EA" w:rsidR="009C32A0" w:rsidRPr="005675B2" w:rsidRDefault="009C32A0" w:rsidP="000636C2">
      <w:pPr>
        <w:rPr>
          <w:b/>
          <w:smallCaps/>
          <w:rtl/>
        </w:rPr>
      </w:pPr>
      <w:r w:rsidRPr="005675B2">
        <w:rPr>
          <w:rFonts w:hint="cs"/>
          <w:smallCaps/>
          <w:rtl/>
        </w:rPr>
        <w:t>ثالثاً</w:t>
      </w:r>
      <w:r w:rsidR="000636C2">
        <w:rPr>
          <w:rFonts w:hint="cs"/>
          <w:smallCaps/>
          <w:rtl/>
        </w:rPr>
        <w:t>:</w:t>
      </w:r>
      <w:r w:rsidRPr="005675B2">
        <w:rPr>
          <w:rFonts w:hint="cs"/>
          <w:smallCaps/>
          <w:rtl/>
        </w:rPr>
        <w:t xml:space="preserve"> مذهبكم هذا في التحسين والتقبيح العقلي متناقض</w:t>
      </w:r>
      <w:r w:rsidR="000636C2">
        <w:rPr>
          <w:rFonts w:hint="cs"/>
          <w:smallCaps/>
          <w:rtl/>
        </w:rPr>
        <w:t>،</w:t>
      </w:r>
      <w:r w:rsidRPr="005675B2">
        <w:rPr>
          <w:rFonts w:hint="cs"/>
          <w:smallCaps/>
          <w:rtl/>
        </w:rPr>
        <w:t>فإن كلام المعتزلة مستقيم على أصولهم</w:t>
      </w:r>
      <w:r w:rsidR="000636C2">
        <w:rPr>
          <w:rFonts w:hint="cs"/>
          <w:smallCaps/>
          <w:rtl/>
        </w:rPr>
        <w:t>،</w:t>
      </w:r>
      <w:r w:rsidRPr="005675B2">
        <w:rPr>
          <w:rFonts w:hint="cs"/>
          <w:smallCaps/>
          <w:rtl/>
        </w:rPr>
        <w:t xml:space="preserve"> فإذا كان العقل يحسن ويقبح من ذاته فوجب إذن الامتناع عن القبائح ولزم فعل المحاسن</w:t>
      </w:r>
      <w:r w:rsidR="000636C2">
        <w:rPr>
          <w:rFonts w:hint="cs"/>
          <w:smallCaps/>
          <w:rtl/>
        </w:rPr>
        <w:t>،</w:t>
      </w:r>
      <w:r w:rsidRPr="005675B2">
        <w:rPr>
          <w:rFonts w:hint="cs"/>
          <w:smallCaps/>
          <w:rtl/>
        </w:rPr>
        <w:t xml:space="preserve"> فلازم قولهم أن يكون الشيء مستحباً</w:t>
      </w:r>
      <w:r w:rsidR="000636C2">
        <w:rPr>
          <w:rFonts w:hint="cs"/>
          <w:smallCaps/>
          <w:rtl/>
        </w:rPr>
        <w:t>،</w:t>
      </w:r>
      <w:r w:rsidRPr="005675B2">
        <w:rPr>
          <w:rFonts w:hint="cs"/>
          <w:smallCaps/>
          <w:rtl/>
        </w:rPr>
        <w:t xml:space="preserve"> أو واجباً</w:t>
      </w:r>
      <w:r w:rsidR="000636C2">
        <w:rPr>
          <w:rFonts w:hint="cs"/>
          <w:smallCaps/>
          <w:rtl/>
        </w:rPr>
        <w:t>،</w:t>
      </w:r>
      <w:r w:rsidRPr="005675B2">
        <w:rPr>
          <w:rFonts w:hint="cs"/>
          <w:smallCaps/>
          <w:rtl/>
        </w:rPr>
        <w:t xml:space="preserve"> أو محرماً لأن العقل جعله حسناً أو قبيحاً</w:t>
      </w:r>
      <w:r w:rsidR="000636C2">
        <w:rPr>
          <w:rFonts w:hint="cs"/>
          <w:smallCaps/>
          <w:rtl/>
        </w:rPr>
        <w:t>،</w:t>
      </w:r>
      <w:r w:rsidRPr="005675B2">
        <w:rPr>
          <w:rFonts w:hint="cs"/>
          <w:smallCaps/>
          <w:rtl/>
        </w:rPr>
        <w:t xml:space="preserve"> وهذا فعلاً هو ما قاله المعتزلة فبنوا على مسألة التقبيح والتحسين أن العقلاء مكلفون سواء بعث إليهم رسول أم لا</w:t>
      </w:r>
      <w:r w:rsidR="000636C2">
        <w:rPr>
          <w:rFonts w:hint="cs"/>
          <w:smallCaps/>
          <w:rtl/>
        </w:rPr>
        <w:t>،</w:t>
      </w:r>
      <w:r w:rsidRPr="005675B2">
        <w:rPr>
          <w:rFonts w:hint="cs"/>
          <w:smallCaps/>
          <w:rtl/>
        </w:rPr>
        <w:t xml:space="preserve"> ولا ينفع بعد ذلك أن تقول أنه لا يلزمنا لأننا نقول الأحكام والتكليف من جهة الشرع</w:t>
      </w:r>
      <w:r w:rsidR="000636C2">
        <w:rPr>
          <w:rFonts w:hint="cs"/>
          <w:smallCaps/>
          <w:rtl/>
        </w:rPr>
        <w:t>،</w:t>
      </w:r>
      <w:r w:rsidRPr="005675B2">
        <w:rPr>
          <w:rFonts w:hint="cs"/>
          <w:smallCaps/>
          <w:rtl/>
        </w:rPr>
        <w:t xml:space="preserve"> لأنك أصلاً قد حكمت بحسنه أو بفساده وقبحه من قبل أن يأتي الشرع</w:t>
      </w:r>
      <w:r w:rsidR="000636C2">
        <w:rPr>
          <w:rFonts w:hint="cs"/>
          <w:smallCaps/>
          <w:rtl/>
        </w:rPr>
        <w:t>،</w:t>
      </w:r>
      <w:r w:rsidRPr="005675B2">
        <w:rPr>
          <w:rFonts w:hint="cs"/>
          <w:smallCaps/>
          <w:rtl/>
        </w:rPr>
        <w:t xml:space="preserve"> فحكمكم بذلك ثم حكمكم بعدم التكليف تناقض على موازين العلم والمعرفة</w:t>
      </w:r>
      <w:r w:rsidR="000636C2">
        <w:rPr>
          <w:rFonts w:hint="cs"/>
          <w:smallCaps/>
          <w:rtl/>
        </w:rPr>
        <w:t xml:space="preserve">، </w:t>
      </w:r>
    </w:p>
    <w:p w14:paraId="6CB8A214" w14:textId="22076176" w:rsidR="009C32A0" w:rsidRPr="005675B2" w:rsidRDefault="009C32A0" w:rsidP="000636C2">
      <w:pPr>
        <w:rPr>
          <w:b/>
          <w:smallCaps/>
          <w:rtl/>
        </w:rPr>
      </w:pPr>
      <w:r w:rsidRPr="00A32A40">
        <w:rPr>
          <w:rFonts w:hint="cs"/>
          <w:bCs/>
          <w:smallCaps/>
          <w:rtl/>
        </w:rPr>
        <w:t>تطبيق بمثال</w:t>
      </w:r>
      <w:r w:rsidR="000636C2">
        <w:rPr>
          <w:rFonts w:hint="cs"/>
          <w:smallCaps/>
          <w:rtl/>
        </w:rPr>
        <w:t>:</w:t>
      </w:r>
      <w:r w:rsidRPr="005675B2">
        <w:rPr>
          <w:rFonts w:hint="cs"/>
          <w:smallCaps/>
          <w:rtl/>
        </w:rPr>
        <w:t xml:space="preserve"> نكاح المتعة هل هو حسن أو قبيح</w:t>
      </w:r>
      <w:r w:rsidR="000636C2">
        <w:rPr>
          <w:rFonts w:hint="cs"/>
          <w:smallCaps/>
          <w:rtl/>
        </w:rPr>
        <w:t>؟</w:t>
      </w:r>
      <w:r w:rsidRPr="005675B2">
        <w:rPr>
          <w:rFonts w:hint="cs"/>
          <w:smallCaps/>
          <w:rtl/>
        </w:rPr>
        <w:t>إن قلتم أنه قبيح عقلاً</w:t>
      </w:r>
      <w:r w:rsidR="000636C2">
        <w:rPr>
          <w:rFonts w:hint="cs"/>
          <w:smallCaps/>
          <w:rtl/>
        </w:rPr>
        <w:t>،</w:t>
      </w:r>
      <w:r w:rsidRPr="005675B2">
        <w:rPr>
          <w:rFonts w:hint="cs"/>
          <w:smallCaps/>
          <w:rtl/>
        </w:rPr>
        <w:t xml:space="preserve"> فلماذا أباحه</w:t>
      </w:r>
      <w:r>
        <w:rPr>
          <w:rFonts w:hint="cs"/>
          <w:smallCaps/>
          <w:rtl/>
        </w:rPr>
        <w:t xml:space="preserve"> </w:t>
      </w:r>
      <w:r w:rsidRPr="005675B2">
        <w:rPr>
          <w:rFonts w:hint="cs"/>
          <w:smallCaps/>
          <w:rtl/>
        </w:rPr>
        <w:t>الشارع إلى عام خيبر</w:t>
      </w:r>
      <w:r w:rsidR="000636C2">
        <w:rPr>
          <w:rFonts w:hint="cs"/>
          <w:smallCaps/>
          <w:rtl/>
        </w:rPr>
        <w:t>؟!</w:t>
      </w:r>
      <w:r w:rsidRPr="005675B2">
        <w:rPr>
          <w:rFonts w:hint="cs"/>
          <w:smallCaps/>
          <w:rtl/>
        </w:rPr>
        <w:t>وإن قلتم أنه حسن عقلاً</w:t>
      </w:r>
      <w:r w:rsidR="000636C2">
        <w:rPr>
          <w:rFonts w:hint="cs"/>
          <w:smallCaps/>
          <w:rtl/>
        </w:rPr>
        <w:t>،</w:t>
      </w:r>
      <w:r w:rsidRPr="005675B2">
        <w:rPr>
          <w:rFonts w:hint="cs"/>
          <w:smallCaps/>
          <w:rtl/>
        </w:rPr>
        <w:t xml:space="preserve"> فلماذا حرمه الشارع بعد ذلك</w:t>
      </w:r>
      <w:r w:rsidR="000636C2">
        <w:rPr>
          <w:rFonts w:hint="cs"/>
          <w:smallCaps/>
          <w:rtl/>
        </w:rPr>
        <w:t>؟</w:t>
      </w:r>
      <w:r w:rsidRPr="005675B2">
        <w:rPr>
          <w:rFonts w:hint="cs"/>
          <w:smallCaps/>
          <w:rtl/>
        </w:rPr>
        <w:t xml:space="preserve">وأما أهل السنة من لأشاعرة والحنابلة وغيرهم فتقدير </w:t>
      </w:r>
      <w:r w:rsidR="000636C2">
        <w:rPr>
          <w:rFonts w:hint="cs"/>
          <w:smallCaps/>
          <w:rtl/>
        </w:rPr>
        <w:t>[</w:t>
      </w:r>
      <w:r>
        <w:rPr>
          <w:rFonts w:hint="cs"/>
          <w:smallCaps/>
          <w:rtl/>
        </w:rPr>
        <w:t>الجواب</w:t>
      </w:r>
      <w:r w:rsidR="000636C2">
        <w:rPr>
          <w:rFonts w:hint="cs"/>
          <w:smallCaps/>
          <w:rtl/>
        </w:rPr>
        <w:t xml:space="preserve">] </w:t>
      </w:r>
      <w:r w:rsidRPr="005675B2">
        <w:rPr>
          <w:rFonts w:hint="cs"/>
          <w:smallCaps/>
          <w:rtl/>
        </w:rPr>
        <w:t>على أصولهم أنه لما حرمه الشارع فهو قبيح شرعاً ولما أجازه فهو حسن شرعاً فحسن الشيء وقبحه راجع إلى الشرع ليس إلا</w:t>
      </w:r>
      <w:r w:rsidR="000636C2">
        <w:rPr>
          <w:rFonts w:hint="cs"/>
          <w:smallCaps/>
          <w:rtl/>
        </w:rPr>
        <w:t>،</w:t>
      </w:r>
      <w:r w:rsidRPr="005675B2">
        <w:rPr>
          <w:rFonts w:hint="cs"/>
          <w:smallCaps/>
          <w:rtl/>
        </w:rPr>
        <w:t xml:space="preserve"> فسلموا من التناقض</w:t>
      </w:r>
      <w:r w:rsidR="000636C2">
        <w:rPr>
          <w:rFonts w:hint="cs"/>
          <w:smallCaps/>
          <w:rtl/>
        </w:rPr>
        <w:t>،</w:t>
      </w:r>
    </w:p>
    <w:p w14:paraId="022EBECC" w14:textId="24ED847D" w:rsidR="009C32A0" w:rsidRPr="005675B2" w:rsidRDefault="009C32A0" w:rsidP="000636C2">
      <w:pPr>
        <w:rPr>
          <w:b/>
          <w:rtl/>
        </w:rPr>
      </w:pPr>
      <w:r w:rsidRPr="00A32A40">
        <w:rPr>
          <w:rFonts w:hint="cs"/>
          <w:bCs/>
          <w:rtl/>
        </w:rPr>
        <w:t>قال الكاتب</w:t>
      </w:r>
      <w:r w:rsidR="000636C2">
        <w:rPr>
          <w:rFonts w:hint="cs"/>
          <w:rtl/>
        </w:rPr>
        <w:t>: (</w:t>
      </w:r>
      <w:r w:rsidRPr="005675B2">
        <w:rPr>
          <w:rFonts w:hint="cs"/>
          <w:rtl/>
        </w:rPr>
        <w:t>ومما يترتب عليه من الأصول</w:t>
      </w:r>
      <w:r w:rsidRPr="005675B2">
        <w:rPr>
          <w:rFonts w:hint="cs"/>
        </w:rPr>
        <w:t xml:space="preserve"> </w:t>
      </w:r>
      <w:r w:rsidRPr="005675B2">
        <w:rPr>
          <w:rFonts w:hint="cs"/>
          <w:rtl/>
        </w:rPr>
        <w:t>الفاسدة قولهم أن الشرع قد يأتي بما هو قبيح في العقل فإلغاء دور العقل بالمرة أسلم</w:t>
      </w:r>
      <w:r w:rsidRPr="005675B2">
        <w:rPr>
          <w:rFonts w:hint="cs"/>
        </w:rPr>
        <w:t xml:space="preserve"> </w:t>
      </w:r>
      <w:r w:rsidRPr="005675B2">
        <w:rPr>
          <w:rFonts w:hint="cs"/>
          <w:rtl/>
        </w:rPr>
        <w:t>من نسبة القبح إلى الشرع مثلاً</w:t>
      </w:r>
      <w:r w:rsidR="000636C2">
        <w:rPr>
          <w:rFonts w:hint="cs"/>
          <w:rtl/>
        </w:rPr>
        <w:t>،</w:t>
      </w:r>
      <w:r w:rsidRPr="005675B2">
        <w:rPr>
          <w:rFonts w:hint="cs"/>
          <w:rtl/>
        </w:rPr>
        <w:t xml:space="preserve"> ومثلوا لذلك بذبح الحيوان فإنه إيلام له بلا ذنب</w:t>
      </w:r>
      <w:r w:rsidRPr="005675B2">
        <w:rPr>
          <w:rFonts w:hint="cs"/>
        </w:rPr>
        <w:t xml:space="preserve"> </w:t>
      </w:r>
      <w:r w:rsidRPr="005675B2">
        <w:rPr>
          <w:rFonts w:hint="cs"/>
          <w:rtl/>
        </w:rPr>
        <w:t>وهو قبيح في العقل ومع ذلك أباحه الشرع</w:t>
      </w:r>
      <w:r w:rsidR="000636C2">
        <w:rPr>
          <w:rFonts w:hint="cs"/>
          <w:rtl/>
        </w:rPr>
        <w:t xml:space="preserve">)، </w:t>
      </w:r>
      <w:r w:rsidRPr="00A32A40">
        <w:rPr>
          <w:rFonts w:hint="cs"/>
          <w:bCs/>
          <w:rtl/>
        </w:rPr>
        <w:t>وهذا تشنيع باطل غير صحيح يقول أهل السنة</w:t>
      </w:r>
      <w:r w:rsidR="000636C2">
        <w:rPr>
          <w:rFonts w:hint="cs"/>
          <w:rtl/>
        </w:rPr>
        <w:t>:</w:t>
      </w:r>
      <w:r w:rsidRPr="005675B2">
        <w:rPr>
          <w:rFonts w:hint="cs"/>
          <w:rtl/>
        </w:rPr>
        <w:t xml:space="preserve"> إيلام الله تعالى للبهائم والمجانين والأطفال أنه ليس بقبيح بل هو عدل في حكمه وصواب في تدبيره</w:t>
      </w:r>
      <w:r w:rsidR="000636C2">
        <w:rPr>
          <w:rFonts w:hint="cs"/>
          <w:rtl/>
        </w:rPr>
        <w:t>،</w:t>
      </w:r>
      <w:r w:rsidRPr="005675B2">
        <w:rPr>
          <w:rFonts w:hint="cs"/>
          <w:rtl/>
        </w:rPr>
        <w:t>لأنه الله متصرف في ملكه كما يشاء</w:t>
      </w:r>
      <w:r w:rsidR="000636C2">
        <w:rPr>
          <w:rFonts w:hint="cs"/>
          <w:rtl/>
        </w:rPr>
        <w:t>،</w:t>
      </w:r>
      <w:r w:rsidRPr="005675B2">
        <w:rPr>
          <w:rFonts w:hint="cs"/>
          <w:u w:val="single"/>
          <w:rtl/>
        </w:rPr>
        <w:t>وربما يكون هذا الإيلام تخليصاً من ضرر أعظم أو لينال ثواباً أعظم</w:t>
      </w:r>
      <w:r w:rsidR="000636C2">
        <w:rPr>
          <w:rFonts w:hint="cs"/>
          <w:u w:val="single"/>
          <w:rtl/>
        </w:rPr>
        <w:t>،</w:t>
      </w:r>
      <w:r w:rsidRPr="005675B2">
        <w:rPr>
          <w:rFonts w:hint="cs"/>
          <w:rtl/>
        </w:rPr>
        <w:t xml:space="preserve"> بينما قالت القدرية</w:t>
      </w:r>
      <w:r w:rsidR="000636C2">
        <w:rPr>
          <w:rFonts w:hint="cs"/>
          <w:rtl/>
        </w:rPr>
        <w:t>:</w:t>
      </w:r>
      <w:r w:rsidRPr="005675B2">
        <w:rPr>
          <w:rFonts w:hint="cs"/>
          <w:rtl/>
        </w:rPr>
        <w:t xml:space="preserve"> إن العقل يوجب على الله أن يعوض المجانين وأما أهل السنة فلا يوجبون ذلك على الله بل هو من قسم الممكن</w:t>
      </w:r>
      <w:r w:rsidR="000636C2">
        <w:rPr>
          <w:rFonts w:hint="cs"/>
          <w:rtl/>
        </w:rPr>
        <w:t xml:space="preserve"> </w:t>
      </w:r>
      <w:r w:rsidRPr="005675B2">
        <w:rPr>
          <w:rFonts w:hint="cs"/>
          <w:rtl/>
        </w:rPr>
        <w:t>وهو محض فضل منه تبارك وتعالى</w:t>
      </w:r>
      <w:r w:rsidR="000636C2">
        <w:rPr>
          <w:rFonts w:hint="cs"/>
          <w:rtl/>
        </w:rPr>
        <w:t>،</w:t>
      </w:r>
      <w:r w:rsidRPr="005675B2">
        <w:rPr>
          <w:rFonts w:hint="cs"/>
          <w:rtl/>
        </w:rPr>
        <w:t xml:space="preserve"> فهذا الكلام الذي أوردته فيه تناقض واضح إذ كيف يمنعون التحسين والتقبيح العقلي ثم تقول</w:t>
      </w:r>
      <w:r w:rsidR="000636C2">
        <w:rPr>
          <w:rFonts w:hint="cs"/>
          <w:rtl/>
        </w:rPr>
        <w:t>:</w:t>
      </w:r>
      <w:r w:rsidRPr="005675B2">
        <w:rPr>
          <w:rFonts w:hint="cs"/>
          <w:rtl/>
        </w:rPr>
        <w:t xml:space="preserve"> إن الشرع قد يأتي بما هو قبيح في العقل</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المسائل الخلافية لعبدالوهاب الجابي ص117</w:t>
      </w:r>
      <w:r w:rsidRPr="005675B2">
        <w:rPr>
          <w:rFonts w:hint="cs"/>
          <w:rtl/>
        </w:rPr>
        <w:t>]</w:t>
      </w:r>
    </w:p>
    <w:p w14:paraId="565A5061" w14:textId="78532125" w:rsidR="009C32A0" w:rsidRDefault="009C32A0" w:rsidP="000636C2">
      <w:pPr>
        <w:rPr>
          <w:b/>
          <w:rtl/>
        </w:rPr>
      </w:pPr>
      <w:r w:rsidRPr="00A32A40">
        <w:rPr>
          <w:rFonts w:hint="cs"/>
          <w:bCs/>
          <w:rtl/>
        </w:rPr>
        <w:t>استشكال الكاتب لمسألة الصفات</w:t>
      </w:r>
      <w:r w:rsidR="000636C2">
        <w:rPr>
          <w:rFonts w:hint="cs"/>
          <w:bCs/>
          <w:rtl/>
        </w:rPr>
        <w:t>:</w:t>
      </w:r>
      <w:r>
        <w:rPr>
          <w:rFonts w:hint="cs"/>
          <w:bCs/>
          <w:rtl/>
        </w:rPr>
        <w:t xml:space="preserve"> </w:t>
      </w:r>
      <w:r w:rsidR="000636C2">
        <w:rPr>
          <w:rFonts w:hint="cs"/>
          <w:rtl/>
        </w:rPr>
        <w:t>(</w:t>
      </w:r>
      <w:r w:rsidRPr="005675B2">
        <w:rPr>
          <w:rFonts w:hint="cs"/>
          <w:rtl/>
        </w:rPr>
        <w:t>التأويل</w:t>
      </w:r>
      <w:r w:rsidR="000636C2">
        <w:rPr>
          <w:rFonts w:hint="cs"/>
          <w:rtl/>
        </w:rPr>
        <w:t>)</w:t>
      </w:r>
      <w:r w:rsidRPr="005675B2">
        <w:rPr>
          <w:rFonts w:hint="cs"/>
          <w:rtl/>
        </w:rPr>
        <w:t>ومعناه المبتدع صرف اللفظ</w:t>
      </w:r>
      <w:r w:rsidRPr="005675B2">
        <w:rPr>
          <w:rFonts w:hint="cs"/>
        </w:rPr>
        <w:t xml:space="preserve"> </w:t>
      </w:r>
      <w:r w:rsidRPr="005675B2">
        <w:rPr>
          <w:rFonts w:hint="cs"/>
          <w:rtl/>
        </w:rPr>
        <w:t>عن ظاهره الراجح إلى احتمال مرجوح لقرينة فهو بهذا المعنى تحريف للكلام عن مواضعه</w:t>
      </w:r>
      <w:r w:rsidRPr="005675B2">
        <w:rPr>
          <w:rFonts w:hint="cs"/>
        </w:rPr>
        <w:t xml:space="preserve"> </w:t>
      </w:r>
      <w:r w:rsidRPr="005675B2">
        <w:rPr>
          <w:rFonts w:hint="cs"/>
          <w:rtl/>
        </w:rPr>
        <w:t>كما قرر ذلك شيخ الإسلام .. إلخ</w:t>
      </w:r>
      <w:r w:rsidR="000636C2">
        <w:rPr>
          <w:rFonts w:hint="cs"/>
          <w:rtl/>
        </w:rPr>
        <w:t>،</w:t>
      </w:r>
      <w:r>
        <w:rPr>
          <w:rFonts w:hint="cs"/>
          <w:rtl/>
        </w:rPr>
        <w:t xml:space="preserve"> </w:t>
      </w:r>
      <w:r w:rsidR="000636C2">
        <w:rPr>
          <w:rFonts w:hint="cs"/>
          <w:rtl/>
        </w:rPr>
        <w:t>(</w:t>
      </w:r>
      <w:r>
        <w:rPr>
          <w:rFonts w:hint="cs"/>
          <w:rtl/>
        </w:rPr>
        <w:t>أولا</w:t>
      </w:r>
      <w:r w:rsidR="000636C2">
        <w:rPr>
          <w:rFonts w:hint="cs"/>
          <w:rtl/>
        </w:rPr>
        <w:t>):</w:t>
      </w:r>
      <w:r w:rsidRPr="005675B2">
        <w:rPr>
          <w:rFonts w:hint="cs"/>
          <w:rtl/>
        </w:rPr>
        <w:t xml:space="preserve"> قال الكاتب</w:t>
      </w:r>
      <w:r w:rsidR="000636C2">
        <w:rPr>
          <w:rFonts w:hint="cs"/>
          <w:rtl/>
        </w:rPr>
        <w:t>)</w:t>
      </w:r>
      <w:r w:rsidRPr="005675B2">
        <w:rPr>
          <w:rFonts w:hint="cs"/>
          <w:rtl/>
        </w:rPr>
        <w:t>التأويل هو أصل منهجي .. إلى قوله</w:t>
      </w:r>
      <w:r w:rsidR="000636C2">
        <w:rPr>
          <w:rFonts w:hint="cs"/>
          <w:rtl/>
        </w:rPr>
        <w:t>:،</w:t>
      </w:r>
      <w:r w:rsidRPr="005675B2">
        <w:rPr>
          <w:rFonts w:hint="cs"/>
          <w:rtl/>
        </w:rPr>
        <w:t xml:space="preserve"> وبعض الأوامر التكليفية أيضاً</w:t>
      </w:r>
      <w:r w:rsidR="000636C2">
        <w:rPr>
          <w:rFonts w:hint="cs"/>
          <w:rtl/>
        </w:rPr>
        <w:t xml:space="preserve">)، </w:t>
      </w:r>
      <w:r w:rsidRPr="005675B2">
        <w:rPr>
          <w:rFonts w:hint="cs"/>
          <w:rtl/>
        </w:rPr>
        <w:t>بعد أن سبق بيان خطأ هذه الدعاوى</w:t>
      </w:r>
      <w:r w:rsidR="000636C2">
        <w:rPr>
          <w:rFonts w:hint="cs"/>
          <w:rtl/>
        </w:rPr>
        <w:t>،</w:t>
      </w:r>
      <w:r w:rsidRPr="005675B2">
        <w:rPr>
          <w:rFonts w:hint="cs"/>
          <w:rtl/>
        </w:rPr>
        <w:t xml:space="preserve"> فالإيمان يزيد وينقص، وموضوع العصمة وغيرها كلها بينت ولله الحمد فأقول وبالله الاستعانة وحده</w:t>
      </w:r>
      <w:r w:rsidR="000636C2">
        <w:rPr>
          <w:rFonts w:hint="cs"/>
          <w:rtl/>
        </w:rPr>
        <w:t>:،</w:t>
      </w:r>
      <w:r>
        <w:rPr>
          <w:rFonts w:hint="cs"/>
          <w:rtl/>
        </w:rPr>
        <w:t xml:space="preserve"> </w:t>
      </w:r>
      <w:r w:rsidRPr="005675B2">
        <w:rPr>
          <w:rFonts w:hint="cs"/>
          <w:rtl/>
        </w:rPr>
        <w:t>أما الصفات فالأشاعرة يثبتون جميع صفات الكمال لله تعالى،وليست هذه السبع فقط</w:t>
      </w:r>
      <w:r w:rsidR="000636C2">
        <w:rPr>
          <w:rFonts w:hint="cs"/>
          <w:rtl/>
        </w:rPr>
        <w:t>،</w:t>
      </w:r>
      <w:r w:rsidRPr="005675B2">
        <w:rPr>
          <w:rFonts w:hint="cs"/>
          <w:rtl/>
        </w:rPr>
        <w:t xml:space="preserve"> بل لا يحصرون</w:t>
      </w:r>
      <w:r>
        <w:rPr>
          <w:rFonts w:hint="cs"/>
          <w:rtl/>
        </w:rPr>
        <w:t xml:space="preserve"> </w:t>
      </w:r>
      <w:r w:rsidRPr="005675B2">
        <w:rPr>
          <w:rFonts w:hint="cs"/>
          <w:rtl/>
        </w:rPr>
        <w:t>كمالات الله تعالى فإنه لا حد لكمال وصفه جل شأنه</w:t>
      </w:r>
      <w:r w:rsidR="000636C2">
        <w:rPr>
          <w:rFonts w:hint="cs"/>
          <w:rtl/>
        </w:rPr>
        <w:t xml:space="preserve">، </w:t>
      </w:r>
      <w:r w:rsidRPr="005675B2">
        <w:rPr>
          <w:rFonts w:hint="cs"/>
          <w:rtl/>
        </w:rPr>
        <w:t>[</w:t>
      </w:r>
      <w:r w:rsidRPr="005675B2">
        <w:rPr>
          <w:rFonts w:hint="cs"/>
          <w:bCs/>
          <w:sz w:val="24"/>
          <w:szCs w:val="24"/>
          <w:rtl/>
        </w:rPr>
        <w:t>المسائل الخلافية لعبدالوهاب الجابي ص117</w:t>
      </w:r>
      <w:r w:rsidRPr="005675B2">
        <w:rPr>
          <w:rFonts w:hint="cs"/>
          <w:rtl/>
        </w:rPr>
        <w:t>]</w:t>
      </w:r>
      <w:r w:rsidR="000636C2">
        <w:rPr>
          <w:rFonts w:hint="cs"/>
          <w:rtl/>
        </w:rPr>
        <w:t>،</w:t>
      </w:r>
      <w:r>
        <w:rPr>
          <w:rFonts w:hint="cs"/>
          <w:rtl/>
        </w:rPr>
        <w:t xml:space="preserve"> </w:t>
      </w:r>
      <w:r w:rsidR="000636C2">
        <w:rPr>
          <w:rFonts w:hint="cs"/>
          <w:rtl/>
        </w:rPr>
        <w:t>(</w:t>
      </w:r>
      <w:r>
        <w:rPr>
          <w:rFonts w:hint="cs"/>
          <w:rtl/>
        </w:rPr>
        <w:t>ثانيا</w:t>
      </w:r>
      <w:r w:rsidR="000636C2">
        <w:rPr>
          <w:rFonts w:hint="cs"/>
          <w:rtl/>
        </w:rPr>
        <w:t>):</w:t>
      </w:r>
      <w:r w:rsidRPr="005675B2">
        <w:rPr>
          <w:rFonts w:hint="cs"/>
          <w:rtl/>
        </w:rPr>
        <w:t xml:space="preserve"> قال الكاتب</w:t>
      </w:r>
      <w:r w:rsidR="000636C2">
        <w:rPr>
          <w:rFonts w:hint="cs"/>
          <w:rtl/>
        </w:rPr>
        <w:t>:</w:t>
      </w:r>
      <w:r w:rsidRPr="005675B2">
        <w:rPr>
          <w:rFonts w:hint="cs"/>
          <w:rtl/>
        </w:rPr>
        <w:t xml:space="preserve"> </w:t>
      </w:r>
      <w:r w:rsidR="000636C2">
        <w:rPr>
          <w:rFonts w:hint="cs"/>
          <w:rtl/>
        </w:rPr>
        <w:t>(</w:t>
      </w:r>
      <w:r w:rsidRPr="005675B2">
        <w:rPr>
          <w:rFonts w:hint="cs"/>
          <w:rtl/>
        </w:rPr>
        <w:t>وإن تعجب فاعجب لهذه اللفظة</w:t>
      </w:r>
      <w:r w:rsidRPr="005675B2">
        <w:rPr>
          <w:rFonts w:hint="cs"/>
        </w:rPr>
        <w:t xml:space="preserve"> </w:t>
      </w:r>
      <w:r w:rsidRPr="005675B2">
        <w:rPr>
          <w:rFonts w:hint="cs"/>
          <w:rtl/>
        </w:rPr>
        <w:t>النابية التي يستعملها الأشاعرة مع النصوص وهي أنها</w:t>
      </w:r>
      <w:r w:rsidRPr="005675B2">
        <w:rPr>
          <w:rFonts w:hint="cs"/>
        </w:rPr>
        <w:t xml:space="preserve"> </w:t>
      </w:r>
      <w:r w:rsidRPr="005675B2">
        <w:rPr>
          <w:rFonts w:hint="cs"/>
          <w:rtl/>
        </w:rPr>
        <w:t>"</w:t>
      </w:r>
      <w:r w:rsidRPr="005675B2">
        <w:rPr>
          <w:rFonts w:hint="cs"/>
        </w:rPr>
        <w:t xml:space="preserve"> </w:t>
      </w:r>
      <w:r w:rsidRPr="005675B2">
        <w:rPr>
          <w:rFonts w:hint="cs"/>
          <w:rtl/>
        </w:rPr>
        <w:t>توهم</w:t>
      </w:r>
      <w:r w:rsidRPr="005675B2">
        <w:rPr>
          <w:rFonts w:hint="cs"/>
        </w:rPr>
        <w:t xml:space="preserve"> </w:t>
      </w:r>
      <w:r w:rsidRPr="005675B2">
        <w:rPr>
          <w:rFonts w:hint="cs"/>
          <w:rtl/>
        </w:rPr>
        <w:t>"</w:t>
      </w:r>
      <w:r w:rsidRPr="005675B2">
        <w:rPr>
          <w:rFonts w:hint="cs"/>
        </w:rPr>
        <w:t xml:space="preserve"> </w:t>
      </w:r>
      <w:r w:rsidRPr="005675B2">
        <w:rPr>
          <w:rFonts w:hint="cs"/>
          <w:rtl/>
        </w:rPr>
        <w:t>التشبيه ولهذا وجب تأويلها</w:t>
      </w:r>
      <w:r w:rsidR="000636C2">
        <w:rPr>
          <w:rFonts w:hint="cs"/>
          <w:rtl/>
        </w:rPr>
        <w:t>،</w:t>
      </w:r>
      <w:r w:rsidRPr="005675B2">
        <w:rPr>
          <w:rFonts w:hint="cs"/>
          <w:rtl/>
        </w:rPr>
        <w:t xml:space="preserve"> فهل في كتاب الله</w:t>
      </w:r>
      <w:r w:rsidRPr="005675B2">
        <w:rPr>
          <w:rFonts w:hint="cs"/>
        </w:rPr>
        <w:t xml:space="preserve"> </w:t>
      </w:r>
      <w:r w:rsidRPr="005675B2">
        <w:rPr>
          <w:rFonts w:hint="cs"/>
          <w:rtl/>
        </w:rPr>
        <w:t>إيهام أم أن العقول الكاسدة تتوهم والعقيدة ليست مجال توهم</w:t>
      </w:r>
      <w:r w:rsidR="000636C2">
        <w:rPr>
          <w:rFonts w:hint="cs"/>
          <w:rtl/>
        </w:rPr>
        <w:t xml:space="preserve">،) </w:t>
      </w:r>
      <w:r w:rsidRPr="005675B2">
        <w:rPr>
          <w:rFonts w:hint="cs"/>
          <w:rtl/>
        </w:rPr>
        <w:t>ف</w:t>
      </w:r>
      <w:r w:rsidR="000636C2">
        <w:rPr>
          <w:rFonts w:hint="cs"/>
          <w:rtl/>
        </w:rPr>
        <w:t>[</w:t>
      </w:r>
      <w:r>
        <w:rPr>
          <w:rFonts w:hint="cs"/>
          <w:rtl/>
        </w:rPr>
        <w:t>الجواب</w:t>
      </w:r>
      <w:r w:rsidR="000636C2">
        <w:rPr>
          <w:rFonts w:hint="cs"/>
          <w:rtl/>
        </w:rPr>
        <w:t>]:</w:t>
      </w:r>
      <w:r w:rsidRPr="005675B2">
        <w:rPr>
          <w:rFonts w:hint="cs"/>
          <w:rtl/>
        </w:rPr>
        <w:t xml:space="preserve">أما قولك يا أخي </w:t>
      </w:r>
      <w:r w:rsidR="000636C2">
        <w:rPr>
          <w:rFonts w:hint="cs"/>
          <w:rtl/>
        </w:rPr>
        <w:t>(</w:t>
      </w:r>
      <w:r w:rsidRPr="005675B2">
        <w:rPr>
          <w:rFonts w:hint="cs"/>
          <w:rtl/>
        </w:rPr>
        <w:t>فهل في كتاب الله</w:t>
      </w:r>
      <w:r w:rsidRPr="005675B2">
        <w:rPr>
          <w:rFonts w:hint="cs"/>
        </w:rPr>
        <w:t xml:space="preserve"> </w:t>
      </w:r>
      <w:r w:rsidRPr="005675B2">
        <w:rPr>
          <w:rFonts w:hint="cs"/>
          <w:rtl/>
        </w:rPr>
        <w:t>إيهام</w:t>
      </w:r>
      <w:r w:rsidR="000636C2">
        <w:rPr>
          <w:rFonts w:hint="cs"/>
          <w:rtl/>
        </w:rPr>
        <w:t xml:space="preserve">)؟ </w:t>
      </w:r>
      <w:r w:rsidRPr="005675B2">
        <w:rPr>
          <w:rFonts w:hint="cs"/>
          <w:rtl/>
        </w:rPr>
        <w:t>أقول</w:t>
      </w:r>
      <w:r w:rsidR="000636C2">
        <w:rPr>
          <w:rFonts w:hint="cs"/>
          <w:rtl/>
        </w:rPr>
        <w:t>:</w:t>
      </w:r>
      <w:r>
        <w:rPr>
          <w:rFonts w:hint="cs"/>
          <w:rtl/>
        </w:rPr>
        <w:t xml:space="preserve"> </w:t>
      </w:r>
    </w:p>
    <w:p w14:paraId="61CA82E3" w14:textId="4456FEF2"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إن كتاب الله ليس فيه إيهام</w:t>
      </w:r>
      <w:r w:rsidR="000636C2">
        <w:rPr>
          <w:rFonts w:hint="cs"/>
          <w:rtl/>
        </w:rPr>
        <w:t>،</w:t>
      </w:r>
      <w:r w:rsidRPr="005675B2">
        <w:rPr>
          <w:rFonts w:hint="cs"/>
          <w:rtl/>
        </w:rPr>
        <w:t>وإنما جاء البلاء ممن جمع آيات نزلت في مواطن متفرقة من كتاب الله في أعصار مختلفة فجمعها وساقها في مساق واحد حتى أوهم التشبيه</w:t>
      </w:r>
      <w:r w:rsidR="000636C2">
        <w:rPr>
          <w:rFonts w:hint="cs"/>
          <w:rtl/>
        </w:rPr>
        <w:t>،</w:t>
      </w:r>
      <w:r w:rsidRPr="005675B2">
        <w:rPr>
          <w:rFonts w:hint="cs"/>
          <w:rtl/>
        </w:rPr>
        <w:t xml:space="preserve"> وإلا فكتاب الله ليس فيه أي لبس ولله الحمد، قال الإمام الغزالي رحمه الله تعالى</w:t>
      </w:r>
      <w:r w:rsidR="000636C2">
        <w:rPr>
          <w:rFonts w:hint="cs"/>
          <w:rtl/>
        </w:rPr>
        <w:t>:</w:t>
      </w:r>
      <w:r w:rsidRPr="005675B2">
        <w:rPr>
          <w:rFonts w:hint="cs"/>
          <w:u w:val="single"/>
          <w:rtl/>
        </w:rPr>
        <w:t>قد بينا أن لجمعها من التأثير في الإبهام والتلبيس على الإفهام ماليس لآحادها المفرقة</w:t>
      </w:r>
      <w:r w:rsidR="000636C2">
        <w:rPr>
          <w:rFonts w:hint="cs"/>
          <w:u w:val="single"/>
          <w:rtl/>
        </w:rPr>
        <w:t>،</w:t>
      </w:r>
      <w:r w:rsidRPr="005675B2">
        <w:rPr>
          <w:rFonts w:hint="cs"/>
          <w:rtl/>
        </w:rPr>
        <w:t xml:space="preserve"> وإنما هي كلمات لهج بها الرسول صلى الله عليه وسلم طوال عمره في أوقات متباعدة، وإذا اقتصر منها على ما في القرآن والأخبار المتواترة رجعت إلى كلمات يسيرة معدودة</w:t>
      </w:r>
      <w:r w:rsidR="000636C2">
        <w:rPr>
          <w:rFonts w:hint="cs"/>
          <w:rtl/>
        </w:rPr>
        <w:t>،</w:t>
      </w:r>
      <w:r w:rsidRPr="005675B2">
        <w:rPr>
          <w:rFonts w:hint="cs"/>
          <w:rtl/>
        </w:rPr>
        <w:t xml:space="preserve"> وإن أضيف إليها الأخبار الصحيحة فهي أيضاً قليلة</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إلجام العوام الباب الثالث ص255</w:t>
      </w:r>
      <w:r w:rsidRPr="005675B2">
        <w:rPr>
          <w:rFonts w:hint="cs"/>
          <w:rtl/>
        </w:rPr>
        <w:t>]</w:t>
      </w:r>
    </w:p>
    <w:p w14:paraId="310C33A7" w14:textId="12D91F49" w:rsidR="009C32A0" w:rsidRPr="005675B2" w:rsidRDefault="009C32A0" w:rsidP="000636C2">
      <w:pPr>
        <w:rPr>
          <w:b/>
          <w:u w:val="single"/>
          <w:rtl/>
        </w:rPr>
      </w:pPr>
      <w:r w:rsidRPr="005675B2">
        <w:rPr>
          <w:rFonts w:hint="cs"/>
          <w:rtl/>
        </w:rPr>
        <w:t>2</w:t>
      </w:r>
      <w:r w:rsidR="000636C2">
        <w:rPr>
          <w:rFonts w:hint="cs"/>
          <w:rtl/>
        </w:rPr>
        <w:t xml:space="preserve"> </w:t>
      </w:r>
      <w:r w:rsidRPr="005675B2">
        <w:rPr>
          <w:rFonts w:hint="cs"/>
          <w:rtl/>
        </w:rPr>
        <w:t>- أنه ما من كلمة قيلت</w:t>
      </w:r>
      <w:r w:rsidR="000636C2">
        <w:rPr>
          <w:rFonts w:hint="cs"/>
          <w:rtl/>
        </w:rPr>
        <w:t xml:space="preserve"> </w:t>
      </w:r>
      <w:r w:rsidRPr="005675B2">
        <w:rPr>
          <w:rFonts w:hint="cs"/>
          <w:rtl/>
        </w:rPr>
        <w:t>من هذه الكلمات إلا مع قرائن وإشارات تفيد المعنى الذي لايتأتى معه التشبيه غالباً</w:t>
      </w:r>
      <w:r w:rsidR="000636C2">
        <w:rPr>
          <w:rFonts w:hint="cs"/>
          <w:rtl/>
        </w:rPr>
        <w:t>،</w:t>
      </w:r>
      <w:r w:rsidRPr="005675B2">
        <w:rPr>
          <w:rFonts w:hint="cs"/>
          <w:rtl/>
        </w:rPr>
        <w:t xml:space="preserve"> بخلاف اجتزائها وسوقها في مساق واحد فهو سبب الإيهام</w:t>
      </w:r>
      <w:r w:rsidR="000636C2">
        <w:rPr>
          <w:rFonts w:hint="cs"/>
          <w:rtl/>
        </w:rPr>
        <w:t>،</w:t>
      </w:r>
      <w:r w:rsidRPr="005675B2">
        <w:rPr>
          <w:rFonts w:hint="cs"/>
          <w:rtl/>
        </w:rPr>
        <w:t xml:space="preserve"> [</w:t>
      </w:r>
      <w:r w:rsidRPr="005675B2">
        <w:rPr>
          <w:rFonts w:hint="cs"/>
          <w:bCs/>
          <w:sz w:val="24"/>
          <w:szCs w:val="24"/>
          <w:rtl/>
        </w:rPr>
        <w:t>إلجام العوام الباب الثالث ص255</w:t>
      </w:r>
      <w:r w:rsidRPr="005675B2">
        <w:rPr>
          <w:rFonts w:hint="cs"/>
          <w:rtl/>
        </w:rPr>
        <w:t>]</w:t>
      </w:r>
      <w:r w:rsidR="000636C2">
        <w:rPr>
          <w:rFonts w:hint="cs"/>
          <w:rtl/>
        </w:rPr>
        <w:t>،</w:t>
      </w:r>
      <w:r>
        <w:rPr>
          <w:rFonts w:hint="cs"/>
          <w:rtl/>
        </w:rPr>
        <w:t xml:space="preserve"> </w:t>
      </w:r>
      <w:r w:rsidRPr="005675B2">
        <w:rPr>
          <w:rFonts w:hint="cs"/>
          <w:u w:val="single"/>
          <w:rtl/>
        </w:rPr>
        <w:t>إذن فليست المشكلة من كتاب الله ولا سنة رسوله صلى الله عليه وسلم وإنما الإشكال</w:t>
      </w:r>
      <w:r w:rsidR="000636C2">
        <w:rPr>
          <w:rFonts w:hint="cs"/>
          <w:u w:val="single"/>
          <w:rtl/>
        </w:rPr>
        <w:t xml:space="preserve"> </w:t>
      </w:r>
      <w:r w:rsidRPr="005675B2">
        <w:rPr>
          <w:rFonts w:hint="cs"/>
          <w:u w:val="single"/>
          <w:rtl/>
        </w:rPr>
        <w:t>من أفعال بعض الناس ممن جمعها في نسق واحد - وإن كان بحسن نية</w:t>
      </w:r>
      <w:r w:rsidR="000636C2">
        <w:rPr>
          <w:rFonts w:hint="cs"/>
          <w:u w:val="single"/>
          <w:rtl/>
        </w:rPr>
        <w:t xml:space="preserve"> </w:t>
      </w:r>
      <w:r w:rsidRPr="005675B2">
        <w:rPr>
          <w:rFonts w:hint="cs"/>
          <w:u w:val="single"/>
          <w:rtl/>
        </w:rPr>
        <w:t>ـ</w:t>
      </w:r>
      <w:r w:rsidR="000636C2">
        <w:rPr>
          <w:rFonts w:hint="cs"/>
          <w:u w:val="single"/>
          <w:rtl/>
        </w:rPr>
        <w:t xml:space="preserve"> </w:t>
      </w:r>
      <w:r w:rsidRPr="005675B2">
        <w:rPr>
          <w:rFonts w:hint="cs"/>
          <w:u w:val="single"/>
          <w:rtl/>
        </w:rPr>
        <w:t>-</w:t>
      </w:r>
      <w:r w:rsidR="000636C2">
        <w:rPr>
          <w:rFonts w:hint="cs"/>
          <w:u w:val="single"/>
          <w:rtl/>
        </w:rPr>
        <w:t>،</w:t>
      </w:r>
      <w:r w:rsidRPr="005675B2">
        <w:rPr>
          <w:rFonts w:hint="cs"/>
          <w:u w:val="single"/>
          <w:rtl/>
        </w:rPr>
        <w:t xml:space="preserve"> فسبب اللبس</w:t>
      </w:r>
      <w:r w:rsidR="000636C2">
        <w:rPr>
          <w:rFonts w:hint="cs"/>
          <w:u w:val="single"/>
          <w:rtl/>
        </w:rPr>
        <w:t xml:space="preserve"> </w:t>
      </w:r>
      <w:r w:rsidRPr="005675B2">
        <w:rPr>
          <w:rFonts w:hint="cs"/>
          <w:u w:val="single"/>
          <w:rtl/>
        </w:rPr>
        <w:t>بذلك الفعل الذي هو غير معصوم من الخطأ</w:t>
      </w:r>
      <w:r w:rsidR="000636C2">
        <w:rPr>
          <w:rFonts w:hint="cs"/>
          <w:u w:val="single"/>
          <w:rtl/>
        </w:rPr>
        <w:t>،</w:t>
      </w:r>
      <w:r w:rsidRPr="005675B2">
        <w:rPr>
          <w:rFonts w:hint="cs"/>
          <w:u w:val="single"/>
          <w:rtl/>
        </w:rPr>
        <w:t xml:space="preserve"> بل رأينا نتائجه التي سببت الخلاف والفهم الخاطىء</w:t>
      </w:r>
      <w:r w:rsidR="000636C2">
        <w:rPr>
          <w:rFonts w:hint="cs"/>
          <w:u w:val="single"/>
          <w:rtl/>
        </w:rPr>
        <w:t>،</w:t>
      </w:r>
    </w:p>
    <w:p w14:paraId="3C266ACE" w14:textId="2A761109"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النصوص</w:t>
      </w:r>
      <w:r w:rsidR="000636C2">
        <w:rPr>
          <w:rFonts w:hint="cs"/>
          <w:rtl/>
        </w:rPr>
        <w:t xml:space="preserve"> </w:t>
      </w:r>
      <w:r w:rsidRPr="005675B2">
        <w:rPr>
          <w:rFonts w:hint="cs"/>
          <w:rtl/>
        </w:rPr>
        <w:t>نزلت في عهد الصحابة</w:t>
      </w:r>
      <w:r w:rsidR="000636C2">
        <w:rPr>
          <w:rFonts w:hint="cs"/>
          <w:rtl/>
        </w:rPr>
        <w:t>،</w:t>
      </w:r>
      <w:r w:rsidRPr="005675B2">
        <w:rPr>
          <w:rFonts w:hint="cs"/>
          <w:rtl/>
        </w:rPr>
        <w:t>وهم عرب أقحاح يعرفون لغتهم بمجازاتها واستعاراتها وكناياتها وحقائقها</w:t>
      </w:r>
      <w:r w:rsidR="000636C2">
        <w:rPr>
          <w:rFonts w:hint="cs"/>
          <w:rtl/>
        </w:rPr>
        <w:t>،</w:t>
      </w:r>
      <w:r w:rsidRPr="005675B2">
        <w:rPr>
          <w:rFonts w:hint="cs"/>
          <w:rtl/>
        </w:rPr>
        <w:t xml:space="preserve"> فاللبس عليهم بعيد جداً</w:t>
      </w:r>
      <w:r w:rsidR="000636C2">
        <w:rPr>
          <w:rFonts w:hint="cs"/>
          <w:rtl/>
        </w:rPr>
        <w:t>،</w:t>
      </w:r>
      <w:r w:rsidRPr="005675B2">
        <w:rPr>
          <w:rFonts w:hint="cs"/>
          <w:rtl/>
        </w:rPr>
        <w:t xml:space="preserve"> بخلاف غيرهم</w:t>
      </w:r>
      <w:r w:rsidR="000636C2">
        <w:rPr>
          <w:rFonts w:hint="cs"/>
          <w:rtl/>
        </w:rPr>
        <w:t>،</w:t>
      </w:r>
    </w:p>
    <w:p w14:paraId="28DC3236" w14:textId="2126CF5A" w:rsidR="009C32A0" w:rsidRDefault="009C32A0" w:rsidP="000636C2">
      <w:pPr>
        <w:rPr>
          <w:b/>
          <w:rtl/>
        </w:rPr>
      </w:pPr>
      <w:r w:rsidRPr="005675B2">
        <w:rPr>
          <w:rFonts w:hint="cs"/>
          <w:rtl/>
        </w:rPr>
        <w:t>قول الكاتب</w:t>
      </w:r>
      <w:r w:rsidR="000636C2">
        <w:rPr>
          <w:rFonts w:hint="cs"/>
          <w:rtl/>
        </w:rPr>
        <w:t>:</w:t>
      </w:r>
      <w:r w:rsidRPr="005675B2">
        <w:rPr>
          <w:rFonts w:hint="cs"/>
          <w:rtl/>
        </w:rPr>
        <w:t xml:space="preserve"> </w:t>
      </w:r>
      <w:r w:rsidR="000636C2">
        <w:rPr>
          <w:rFonts w:hint="cs"/>
          <w:rtl/>
        </w:rPr>
        <w:t>(</w:t>
      </w:r>
      <w:r w:rsidRPr="005675B2">
        <w:rPr>
          <w:rFonts w:hint="cs"/>
          <w:rtl/>
        </w:rPr>
        <w:t>وإلا فلماذا يكون</w:t>
      </w:r>
      <w:r w:rsidRPr="005675B2">
        <w:rPr>
          <w:rFonts w:hint="cs"/>
        </w:rPr>
        <w:t xml:space="preserve"> </w:t>
      </w:r>
      <w:r w:rsidRPr="005675B2">
        <w:rPr>
          <w:rFonts w:hint="cs"/>
          <w:rtl/>
        </w:rPr>
        <w:t>تأويل الأشاعرة لعلو الله</w:t>
      </w:r>
      <w:r w:rsidR="000636C2">
        <w:rPr>
          <w:rFonts w:hint="cs"/>
          <w:rtl/>
        </w:rPr>
        <w:t xml:space="preserve"> </w:t>
      </w:r>
      <w:r w:rsidRPr="005675B2">
        <w:rPr>
          <w:rFonts w:hint="cs"/>
          <w:rtl/>
        </w:rPr>
        <w:t>- الذي تقطع به العقول والفطر والشرائع</w:t>
      </w:r>
      <w:r w:rsidR="000636C2">
        <w:rPr>
          <w:rFonts w:hint="cs"/>
          <w:rtl/>
        </w:rPr>
        <w:t xml:space="preserve"> </w:t>
      </w:r>
      <w:r w:rsidRPr="005675B2">
        <w:rPr>
          <w:rFonts w:hint="cs"/>
          <w:rtl/>
        </w:rPr>
        <w:t>- تنزيهاً</w:t>
      </w:r>
      <w:r w:rsidRPr="005675B2">
        <w:rPr>
          <w:rFonts w:hint="cs"/>
        </w:rPr>
        <w:t xml:space="preserve"> </w:t>
      </w:r>
      <w:r w:rsidRPr="005675B2">
        <w:rPr>
          <w:rFonts w:hint="cs"/>
          <w:rtl/>
        </w:rPr>
        <w:t>وتوحيداً وتأويل الباطنية للبعث والحشر كفراً وردة</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Pr>
          <w:rFonts w:hint="cs"/>
          <w:rtl/>
        </w:rPr>
        <w:t xml:space="preserve"> </w:t>
      </w:r>
    </w:p>
    <w:p w14:paraId="227EFF23" w14:textId="782B54A0"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الفرق بين</w:t>
      </w:r>
      <w:r w:rsidR="000636C2">
        <w:rPr>
          <w:rFonts w:hint="cs"/>
          <w:rtl/>
        </w:rPr>
        <w:t xml:space="preserve"> </w:t>
      </w:r>
      <w:r w:rsidRPr="005675B2">
        <w:rPr>
          <w:rFonts w:hint="cs"/>
          <w:rtl/>
        </w:rPr>
        <w:t>تأويل الباطنية في العقائد</w:t>
      </w:r>
      <w:r w:rsidR="000636C2">
        <w:rPr>
          <w:rFonts w:hint="cs"/>
          <w:rtl/>
        </w:rPr>
        <w:t>،</w:t>
      </w:r>
      <w:r w:rsidRPr="005675B2">
        <w:rPr>
          <w:rFonts w:hint="cs"/>
          <w:rtl/>
        </w:rPr>
        <w:t>وتأويل أهل السنة والجماعة</w:t>
      </w:r>
      <w:r w:rsidR="000636C2">
        <w:rPr>
          <w:rFonts w:hint="cs"/>
          <w:rtl/>
        </w:rPr>
        <w:t>،</w:t>
      </w:r>
      <w:r w:rsidRPr="005675B2">
        <w:rPr>
          <w:rFonts w:hint="cs"/>
          <w:rtl/>
        </w:rPr>
        <w:t>هو كالفرق بين الحق والباطل</w:t>
      </w:r>
      <w:r w:rsidR="000636C2">
        <w:rPr>
          <w:rFonts w:hint="cs"/>
          <w:rtl/>
        </w:rPr>
        <w:t>،</w:t>
      </w:r>
      <w:r w:rsidRPr="005675B2">
        <w:rPr>
          <w:rFonts w:hint="cs"/>
          <w:rtl/>
        </w:rPr>
        <w:t xml:space="preserve"> وإيضاح ذلك تراه في الآيات التي تأولها السلف رضي الله عنهم مثاله قوله تعالى (</w:t>
      </w:r>
      <w:r w:rsidR="000636C2">
        <w:rPr>
          <w:rFonts w:hint="cs"/>
          <w:rtl/>
        </w:rPr>
        <w:t>(</w:t>
      </w:r>
      <w:r w:rsidRPr="005675B2">
        <w:rPr>
          <w:rFonts w:hint="cs"/>
          <w:rtl/>
        </w:rPr>
        <w:t>وهو معكم أينما كنتم</w:t>
      </w:r>
      <w:r w:rsidR="000636C2">
        <w:rPr>
          <w:rFonts w:hint="cs"/>
          <w:rtl/>
        </w:rPr>
        <w:t>)</w:t>
      </w:r>
      <w:r w:rsidRPr="005675B2">
        <w:rPr>
          <w:rFonts w:hint="cs"/>
          <w:rtl/>
        </w:rPr>
        <w:t>) تأولها علماء السنة بأن معناها أنه معنا بعلمه وليس معنا</w:t>
      </w:r>
      <w:r w:rsidR="000636C2">
        <w:rPr>
          <w:rFonts w:hint="cs"/>
          <w:rtl/>
        </w:rPr>
        <w:t xml:space="preserve"> </w:t>
      </w:r>
      <w:r w:rsidRPr="005675B2">
        <w:rPr>
          <w:rFonts w:hint="cs"/>
          <w:rtl/>
        </w:rPr>
        <w:t>بذاته</w:t>
      </w:r>
      <w:r w:rsidR="000636C2">
        <w:rPr>
          <w:rFonts w:hint="cs"/>
          <w:rtl/>
        </w:rPr>
        <w:t>،</w:t>
      </w:r>
      <w:r w:rsidRPr="005675B2">
        <w:rPr>
          <w:rFonts w:hint="cs"/>
          <w:rtl/>
        </w:rPr>
        <w:t xml:space="preserve"> وقل أيضاً في الفروع الفقهية فهل تأويل العلماء وبيانهم لمسائل الفقه</w:t>
      </w:r>
      <w:r w:rsidR="000636C2">
        <w:rPr>
          <w:rFonts w:hint="cs"/>
          <w:rtl/>
        </w:rPr>
        <w:t>،</w:t>
      </w:r>
      <w:r w:rsidRPr="005675B2">
        <w:rPr>
          <w:rFonts w:hint="cs"/>
          <w:rtl/>
        </w:rPr>
        <w:t xml:space="preserve"> وردهم المجمل إلى المبين هو كتأويل الباطنية للوضوء مثلاً بأن معناه أن تقول باسم الله الأطهر</w:t>
      </w:r>
      <w:r w:rsidR="000636C2">
        <w:rPr>
          <w:rFonts w:hint="cs"/>
          <w:rtl/>
        </w:rPr>
        <w:t xml:space="preserve"> </w:t>
      </w:r>
      <w:r w:rsidRPr="005675B2">
        <w:rPr>
          <w:rFonts w:hint="cs"/>
          <w:rtl/>
        </w:rPr>
        <w:t>خمس مرات</w:t>
      </w:r>
      <w:r w:rsidR="000636C2">
        <w:rPr>
          <w:rFonts w:hint="cs"/>
          <w:rtl/>
        </w:rPr>
        <w:t>،</w:t>
      </w:r>
      <w:r w:rsidRPr="005675B2">
        <w:rPr>
          <w:rFonts w:hint="cs"/>
          <w:rtl/>
        </w:rPr>
        <w:t xml:space="preserve"> والصلوات الخمس بأن تقول اسم الحسن والحسين وفاطمة ومحسن .. هل يستويان</w:t>
      </w:r>
      <w:r w:rsidR="000636C2">
        <w:rPr>
          <w:rFonts w:hint="cs"/>
          <w:rtl/>
        </w:rPr>
        <w:t xml:space="preserve">؟ </w:t>
      </w:r>
      <w:r w:rsidRPr="005675B2">
        <w:rPr>
          <w:rFonts w:hint="cs"/>
          <w:rtl/>
        </w:rPr>
        <w:t>والأمثلة كثيرة ولا أريد الإطالة</w:t>
      </w:r>
      <w:r w:rsidR="000636C2">
        <w:rPr>
          <w:rFonts w:hint="cs"/>
          <w:rtl/>
        </w:rPr>
        <w:t>،</w:t>
      </w:r>
    </w:p>
    <w:p w14:paraId="7D0E9A0F" w14:textId="3B7973CB"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أن تأويل أو تفسير أهل السنة للنصوص مضبوط بضوابط بخلاف غيرهم والضوابط هي</w:t>
      </w:r>
      <w:r w:rsidR="000636C2">
        <w:rPr>
          <w:rFonts w:hint="cs"/>
          <w:rtl/>
        </w:rPr>
        <w:t>:</w:t>
      </w:r>
      <w:r w:rsidRPr="005675B2">
        <w:rPr>
          <w:rFonts w:hint="cs"/>
          <w:rtl/>
        </w:rPr>
        <w:t xml:space="preserve"> -</w:t>
      </w:r>
      <w:r w:rsidR="000636C2">
        <w:rPr>
          <w:rFonts w:hint="cs"/>
          <w:rtl/>
        </w:rPr>
        <w:t xml:space="preserve"> </w:t>
      </w:r>
      <w:r w:rsidRPr="005675B2">
        <w:rPr>
          <w:rFonts w:hint="cs"/>
          <w:rtl/>
        </w:rPr>
        <w:t>أن يكون المعنى المجازي سائغاً</w:t>
      </w:r>
      <w:r w:rsidR="000636C2">
        <w:rPr>
          <w:rFonts w:hint="cs"/>
          <w:rtl/>
        </w:rPr>
        <w:t xml:space="preserve"> </w:t>
      </w:r>
      <w:r w:rsidRPr="005675B2">
        <w:rPr>
          <w:rFonts w:hint="cs"/>
          <w:rtl/>
        </w:rPr>
        <w:t>في لغة العرب</w:t>
      </w:r>
      <w:r w:rsidR="000636C2">
        <w:rPr>
          <w:rFonts w:hint="cs"/>
          <w:rtl/>
        </w:rPr>
        <w:t xml:space="preserve"> </w:t>
      </w:r>
      <w:r w:rsidRPr="005675B2">
        <w:rPr>
          <w:rFonts w:hint="cs"/>
          <w:rtl/>
        </w:rPr>
        <w:t>- ولائقاً بالله</w:t>
      </w:r>
      <w:r w:rsidR="000636C2">
        <w:rPr>
          <w:rFonts w:hint="cs"/>
          <w:rtl/>
        </w:rPr>
        <w:t>،</w:t>
      </w:r>
      <w:r w:rsidRPr="005675B2">
        <w:rPr>
          <w:rFonts w:hint="cs"/>
          <w:rtl/>
        </w:rPr>
        <w:t xml:space="preserve"> -</w:t>
      </w:r>
      <w:r w:rsidR="000636C2">
        <w:rPr>
          <w:rFonts w:hint="cs"/>
          <w:rtl/>
        </w:rPr>
        <w:t xml:space="preserve"> </w:t>
      </w:r>
      <w:r w:rsidRPr="005675B2">
        <w:rPr>
          <w:rFonts w:hint="cs"/>
          <w:rtl/>
        </w:rPr>
        <w:t>وأن يكون هناك قرينة توجب العدول عن المعنى على الحقيقة في اللغة إلى مجاز اللغة وأن يكون هناك ما يوجب العدول عن المعنى لحقيقي إلى امجازي كدع التشبيه عن أذهان المشبهة أو العامة</w:t>
      </w:r>
      <w:r w:rsidR="000636C2">
        <w:rPr>
          <w:rFonts w:hint="cs"/>
          <w:rtl/>
        </w:rPr>
        <w:t>،</w:t>
      </w:r>
      <w:r w:rsidRPr="005675B2">
        <w:rPr>
          <w:rFonts w:hint="cs"/>
          <w:rtl/>
        </w:rPr>
        <w:t xml:space="preserve"> أما الباطنية فالأمر عندهم على عواهنه حسب أهوائهم</w:t>
      </w:r>
      <w:r w:rsidR="000636C2">
        <w:rPr>
          <w:rFonts w:hint="cs"/>
          <w:rtl/>
        </w:rPr>
        <w:t>،</w:t>
      </w:r>
      <w:r w:rsidRPr="005675B2">
        <w:rPr>
          <w:rFonts w:hint="cs"/>
          <w:rtl/>
        </w:rPr>
        <w:t xml:space="preserve"> ولذا كفرهم أهل الإسلام قاطبة</w:t>
      </w:r>
      <w:r w:rsidR="000636C2">
        <w:rPr>
          <w:rFonts w:hint="cs"/>
          <w:rtl/>
        </w:rPr>
        <w:t>،</w:t>
      </w:r>
      <w:r w:rsidRPr="005675B2">
        <w:rPr>
          <w:rFonts w:hint="cs"/>
          <w:rtl/>
        </w:rPr>
        <w:t xml:space="preserve"> فكيف تقارن بينهما</w:t>
      </w:r>
      <w:r w:rsidR="000636C2">
        <w:rPr>
          <w:rFonts w:hint="cs"/>
          <w:rtl/>
        </w:rPr>
        <w:t>؟!</w:t>
      </w:r>
      <w:r w:rsidRPr="005675B2">
        <w:rPr>
          <w:rFonts w:hint="cs"/>
          <w:rtl/>
        </w:rPr>
        <w:t>!</w:t>
      </w:r>
      <w:r>
        <w:rPr>
          <w:rFonts w:hint="cs"/>
          <w:rtl/>
        </w:rPr>
        <w:t xml:space="preserve"> </w:t>
      </w:r>
    </w:p>
    <w:p w14:paraId="34392211" w14:textId="3A510C40" w:rsidR="009C32A0" w:rsidRPr="005675B2" w:rsidRDefault="000636C2" w:rsidP="000636C2">
      <w:pPr>
        <w:rPr>
          <w:b/>
          <w:rtl/>
        </w:rPr>
      </w:pPr>
      <w:r>
        <w:rPr>
          <w:rFonts w:hint="cs"/>
          <w:rtl/>
        </w:rPr>
        <w:t>(</w:t>
      </w:r>
      <w:r w:rsidR="009C32A0">
        <w:rPr>
          <w:rFonts w:hint="cs"/>
          <w:rtl/>
        </w:rPr>
        <w:t>ثانيا</w:t>
      </w:r>
      <w:r>
        <w:rPr>
          <w:rFonts w:hint="cs"/>
          <w:rtl/>
        </w:rPr>
        <w:t>):</w:t>
      </w:r>
      <w:r w:rsidR="009C32A0" w:rsidRPr="005675B2">
        <w:rPr>
          <w:rFonts w:hint="cs"/>
          <w:rtl/>
        </w:rPr>
        <w:t xml:space="preserve"> بالنسبة لعقيدة</w:t>
      </w:r>
      <w:r>
        <w:rPr>
          <w:rFonts w:hint="cs"/>
          <w:rtl/>
        </w:rPr>
        <w:t xml:space="preserve"> </w:t>
      </w:r>
      <w:r w:rsidR="009C32A0" w:rsidRPr="005675B2">
        <w:rPr>
          <w:rFonts w:hint="cs"/>
          <w:rtl/>
        </w:rPr>
        <w:t>حلول الله في الجهة فقد سبق بيان ذلك وافياً</w:t>
      </w:r>
      <w:r>
        <w:rPr>
          <w:rFonts w:hint="cs"/>
          <w:rtl/>
        </w:rPr>
        <w:t>،</w:t>
      </w:r>
      <w:r w:rsidR="009C32A0" w:rsidRPr="005675B2">
        <w:rPr>
          <w:rFonts w:hint="cs"/>
          <w:rtl/>
        </w:rPr>
        <w:t>فالأشاعرة يثبتون صفة العلو لله تعالى وهو علو قهر وغلبة قال تعالى (</w:t>
      </w:r>
      <w:r>
        <w:rPr>
          <w:rFonts w:hint="cs"/>
          <w:rtl/>
        </w:rPr>
        <w:t>(</w:t>
      </w:r>
      <w:r w:rsidR="009C32A0" w:rsidRPr="005675B2">
        <w:rPr>
          <w:rFonts w:hint="cs"/>
          <w:rtl/>
        </w:rPr>
        <w:t>وهو</w:t>
      </w:r>
      <w:r w:rsidR="009C32A0" w:rsidRPr="005675B2">
        <w:rPr>
          <w:rFonts w:hint="cs"/>
          <w:u w:val="single"/>
          <w:rtl/>
        </w:rPr>
        <w:t xml:space="preserve"> القاهر</w:t>
      </w:r>
      <w:r w:rsidR="009C32A0" w:rsidRPr="005675B2">
        <w:rPr>
          <w:rFonts w:hint="cs"/>
          <w:rtl/>
        </w:rPr>
        <w:t xml:space="preserve"> فوق عباده</w:t>
      </w:r>
      <w:r>
        <w:rPr>
          <w:rFonts w:hint="cs"/>
          <w:rtl/>
        </w:rPr>
        <w:t>)</w:t>
      </w:r>
      <w:r w:rsidR="009C32A0" w:rsidRPr="005675B2">
        <w:rPr>
          <w:rFonts w:hint="cs"/>
          <w:rtl/>
        </w:rPr>
        <w:t>) فهذا الدليل أنه علو قهر</w:t>
      </w:r>
      <w:r>
        <w:rPr>
          <w:rFonts w:hint="cs"/>
          <w:rtl/>
        </w:rPr>
        <w:t xml:space="preserve"> </w:t>
      </w:r>
      <w:r w:rsidR="009C32A0" w:rsidRPr="005675B2">
        <w:rPr>
          <w:rFonts w:hint="cs"/>
          <w:rtl/>
        </w:rPr>
        <w:t>ولم يقل</w:t>
      </w:r>
      <w:r>
        <w:rPr>
          <w:rFonts w:hint="cs"/>
          <w:rtl/>
        </w:rPr>
        <w:t xml:space="preserve"> </w:t>
      </w:r>
      <w:r w:rsidR="009C32A0" w:rsidRPr="005675B2">
        <w:rPr>
          <w:rFonts w:hint="cs"/>
          <w:rtl/>
        </w:rPr>
        <w:t>أنه في جهة عدمية</w:t>
      </w:r>
      <w:r>
        <w:rPr>
          <w:rFonts w:hint="cs"/>
          <w:rtl/>
        </w:rPr>
        <w:t>،!</w:t>
      </w:r>
      <w:r w:rsidR="009C32A0" w:rsidRPr="005675B2">
        <w:rPr>
          <w:rFonts w:hint="cs"/>
          <w:rtl/>
        </w:rPr>
        <w:t>!فلا يجوز أن تعتقد في الله</w:t>
      </w:r>
      <w:r>
        <w:rPr>
          <w:rFonts w:hint="cs"/>
          <w:rtl/>
        </w:rPr>
        <w:t xml:space="preserve"> </w:t>
      </w:r>
      <w:r w:rsidR="009C32A0" w:rsidRPr="005675B2">
        <w:rPr>
          <w:rFonts w:hint="cs"/>
          <w:rtl/>
        </w:rPr>
        <w:t>ما توهمته برأيك</w:t>
      </w:r>
      <w:r>
        <w:rPr>
          <w:rFonts w:hint="cs"/>
          <w:rtl/>
        </w:rPr>
        <w:t>،</w:t>
      </w:r>
      <w:r w:rsidR="009C32A0" w:rsidRPr="005675B2">
        <w:rPr>
          <w:rFonts w:hint="cs"/>
          <w:rtl/>
        </w:rPr>
        <w:t>ثم تجعلون منه عقيدة بقياس الله على خلقه</w:t>
      </w:r>
      <w:r>
        <w:rPr>
          <w:rFonts w:hint="cs"/>
          <w:rtl/>
        </w:rPr>
        <w:t>،</w:t>
      </w:r>
      <w:r w:rsidR="009C32A0" w:rsidRPr="005675B2">
        <w:rPr>
          <w:rFonts w:hint="cs"/>
          <w:rtl/>
        </w:rPr>
        <w:t xml:space="preserve"> فهذا خطأ بلا ريب</w:t>
      </w:r>
      <w:r>
        <w:rPr>
          <w:rFonts w:hint="cs"/>
          <w:rtl/>
        </w:rPr>
        <w:t>،</w:t>
      </w:r>
      <w:r w:rsidR="009C32A0" w:rsidRPr="005675B2">
        <w:rPr>
          <w:rFonts w:hint="cs"/>
          <w:rtl/>
        </w:rPr>
        <w:t xml:space="preserve"> وأما أهل السنة فلا ينجرفون وراء</w:t>
      </w:r>
      <w:r>
        <w:rPr>
          <w:rFonts w:hint="cs"/>
          <w:rtl/>
        </w:rPr>
        <w:t xml:space="preserve"> </w:t>
      </w:r>
      <w:r w:rsidR="009C32A0" w:rsidRPr="005675B2">
        <w:rPr>
          <w:rFonts w:hint="cs"/>
          <w:rtl/>
        </w:rPr>
        <w:t>الأوها م</w:t>
      </w:r>
      <w:r>
        <w:rPr>
          <w:rFonts w:hint="cs"/>
          <w:rtl/>
        </w:rPr>
        <w:t>،</w:t>
      </w:r>
      <w:r w:rsidR="009C32A0" w:rsidRPr="005675B2">
        <w:rPr>
          <w:rFonts w:hint="cs"/>
          <w:rtl/>
        </w:rPr>
        <w:t xml:space="preserve"> فهم يفسرون النصوص بالنصوص لا بقياس</w:t>
      </w:r>
      <w:r>
        <w:rPr>
          <w:rFonts w:hint="cs"/>
          <w:rtl/>
        </w:rPr>
        <w:t xml:space="preserve"> </w:t>
      </w:r>
      <w:r w:rsidR="009C32A0" w:rsidRPr="005675B2">
        <w:rPr>
          <w:rFonts w:hint="cs"/>
          <w:rtl/>
        </w:rPr>
        <w:t>الخالق على المخلوق</w:t>
      </w:r>
      <w:r>
        <w:rPr>
          <w:rFonts w:hint="cs"/>
          <w:rtl/>
        </w:rPr>
        <w:t>،</w:t>
      </w:r>
      <w:r w:rsidR="009C32A0">
        <w:rPr>
          <w:rFonts w:hint="cs"/>
          <w:rtl/>
        </w:rPr>
        <w:t xml:space="preserve"> </w:t>
      </w:r>
      <w:r w:rsidR="009C32A0" w:rsidRPr="005675B2">
        <w:rPr>
          <w:rFonts w:hint="cs"/>
          <w:rtl/>
        </w:rPr>
        <w:t>فنفيهم للجهة التي تسميها العلو تسمية للشيء بغير اسمه</w:t>
      </w:r>
      <w:r>
        <w:rPr>
          <w:rFonts w:hint="cs"/>
          <w:rtl/>
        </w:rPr>
        <w:t>،</w:t>
      </w:r>
      <w:r w:rsidR="009C32A0" w:rsidRPr="005675B2">
        <w:rPr>
          <w:rFonts w:hint="cs"/>
          <w:rtl/>
        </w:rPr>
        <w:t>فهو كتسمية البعض</w:t>
      </w:r>
      <w:r>
        <w:rPr>
          <w:rFonts w:hint="cs"/>
          <w:rtl/>
        </w:rPr>
        <w:t xml:space="preserve"> </w:t>
      </w:r>
      <w:r w:rsidR="009C32A0" w:rsidRPr="005675B2">
        <w:rPr>
          <w:rFonts w:hint="cs"/>
          <w:rtl/>
        </w:rPr>
        <w:t>للخمر مشروبات روحية</w:t>
      </w:r>
      <w:r>
        <w:rPr>
          <w:rFonts w:hint="cs"/>
          <w:rtl/>
        </w:rPr>
        <w:t>،</w:t>
      </w:r>
      <w:r w:rsidR="009C32A0" w:rsidRPr="005675B2">
        <w:rPr>
          <w:rFonts w:hint="cs"/>
          <w:rtl/>
        </w:rPr>
        <w:t xml:space="preserve"> وهذا لا يعني أن كلامهم صواب بل هو باطل</w:t>
      </w:r>
      <w:r>
        <w:rPr>
          <w:rFonts w:hint="cs"/>
          <w:rtl/>
        </w:rPr>
        <w:t>،</w:t>
      </w:r>
      <w:r w:rsidR="009C32A0" w:rsidRPr="005675B2">
        <w:rPr>
          <w:rFonts w:hint="cs"/>
          <w:rtl/>
        </w:rPr>
        <w:t>فالجهة مكان ولو أسميتها علو اً، والله لا يحل في مكان</w:t>
      </w:r>
      <w:r>
        <w:rPr>
          <w:rFonts w:hint="cs"/>
          <w:rtl/>
        </w:rPr>
        <w:t>،</w:t>
      </w:r>
      <w:r w:rsidR="009C32A0" w:rsidRPr="005675B2">
        <w:rPr>
          <w:rFonts w:hint="cs"/>
          <w:rtl/>
        </w:rPr>
        <w:t xml:space="preserve"> والخمر خمراً ولو أسماها الفسقة مشروبات روحية</w:t>
      </w:r>
      <w:r>
        <w:rPr>
          <w:rFonts w:hint="cs"/>
          <w:rtl/>
        </w:rPr>
        <w:t>،</w:t>
      </w:r>
      <w:r w:rsidR="009C32A0" w:rsidRPr="005675B2">
        <w:rPr>
          <w:rFonts w:hint="cs"/>
          <w:rtl/>
        </w:rPr>
        <w:t xml:space="preserve"> فعقيدة أهل السنة أن الله لا يحل في مخلوق لا مخلوق علوي ولا سفلي</w:t>
      </w:r>
      <w:r>
        <w:rPr>
          <w:rFonts w:hint="cs"/>
          <w:rtl/>
        </w:rPr>
        <w:t>،</w:t>
      </w:r>
      <w:r w:rsidR="009C32A0" w:rsidRPr="005675B2">
        <w:rPr>
          <w:rFonts w:hint="cs"/>
          <w:rtl/>
        </w:rPr>
        <w:t>ولا يعني أنه إذا لم يحل في مكان أنه غير موجود بل هو موجود قبل خلق الزمان والمكان</w:t>
      </w:r>
      <w:r>
        <w:rPr>
          <w:rFonts w:hint="cs"/>
          <w:rtl/>
        </w:rPr>
        <w:t>،</w:t>
      </w:r>
      <w:r w:rsidR="009C32A0" w:rsidRPr="005675B2">
        <w:rPr>
          <w:rFonts w:hint="cs"/>
          <w:rtl/>
        </w:rPr>
        <w:t>لكن أنت يا أخي هداك الله وغيرك تتخيل أن وجوده مثل وجودك</w:t>
      </w:r>
      <w:r>
        <w:rPr>
          <w:rFonts w:hint="cs"/>
          <w:rtl/>
        </w:rPr>
        <w:t>،</w:t>
      </w:r>
      <w:r w:rsidR="009C32A0" w:rsidRPr="005675B2">
        <w:rPr>
          <w:rFonts w:hint="cs"/>
          <w:rtl/>
        </w:rPr>
        <w:t xml:space="preserve"> فإن لم تكن في مكان فأنت معدوم ثم تسنتج بعقلك أن الله إذا لم يحل في جهة</w:t>
      </w:r>
      <w:r>
        <w:rPr>
          <w:rFonts w:hint="cs"/>
          <w:rtl/>
        </w:rPr>
        <w:t xml:space="preserve"> </w:t>
      </w:r>
      <w:r w:rsidR="009C32A0" w:rsidRPr="005675B2">
        <w:rPr>
          <w:rFonts w:hint="cs"/>
          <w:rtl/>
        </w:rPr>
        <w:t>فهو معدوم</w:t>
      </w:r>
      <w:r>
        <w:rPr>
          <w:rFonts w:hint="cs"/>
          <w:rtl/>
        </w:rPr>
        <w:t>،</w:t>
      </w:r>
      <w:r w:rsidR="009C32A0" w:rsidRPr="005675B2">
        <w:rPr>
          <w:rFonts w:hint="cs"/>
          <w:rtl/>
        </w:rPr>
        <w:t xml:space="preserve"> سبحانه وتعالى</w:t>
      </w:r>
      <w:r>
        <w:rPr>
          <w:rFonts w:hint="cs"/>
          <w:rtl/>
        </w:rPr>
        <w:t>،</w:t>
      </w:r>
    </w:p>
    <w:p w14:paraId="0EDCC051" w14:textId="03B39A82" w:rsidR="009C32A0" w:rsidRPr="005675B2" w:rsidRDefault="009C32A0" w:rsidP="000636C2">
      <w:pPr>
        <w:rPr>
          <w:b/>
          <w:rtl/>
        </w:rPr>
      </w:pPr>
      <w:r w:rsidRPr="00D33BA6">
        <w:rPr>
          <w:rFonts w:hint="cs"/>
          <w:bCs/>
          <w:u w:val="single"/>
          <w:rtl/>
        </w:rPr>
        <w:t>طريقة أهل السنة من الأشاعرة</w:t>
      </w:r>
      <w:r w:rsidR="000636C2">
        <w:rPr>
          <w:rFonts w:hint="cs"/>
          <w:bCs/>
          <w:u w:val="single"/>
          <w:rtl/>
        </w:rPr>
        <w:t xml:space="preserve"> </w:t>
      </w:r>
      <w:r w:rsidRPr="00D33BA6">
        <w:rPr>
          <w:rFonts w:hint="cs"/>
          <w:bCs/>
          <w:u w:val="single"/>
          <w:rtl/>
        </w:rPr>
        <w:t>في النصوص المتشابهة</w:t>
      </w:r>
      <w:r w:rsidR="000636C2">
        <w:rPr>
          <w:rFonts w:hint="cs"/>
          <w:bCs/>
          <w:u w:val="single"/>
          <w:rtl/>
        </w:rPr>
        <w:t>:</w:t>
      </w:r>
      <w:r>
        <w:rPr>
          <w:rFonts w:hint="cs"/>
          <w:bCs/>
          <w:u w:val="single"/>
          <w:rtl/>
        </w:rPr>
        <w:t xml:space="preserve"> </w:t>
      </w:r>
      <w:r w:rsidRPr="005675B2">
        <w:rPr>
          <w:rFonts w:hint="cs"/>
          <w:rtl/>
        </w:rPr>
        <w:t>لهم في ذلك مسلكان مشهوران يتبعهما علماء الأشاعرة وغيرهم</w:t>
      </w:r>
      <w:r w:rsidR="000636C2">
        <w:rPr>
          <w:rFonts w:hint="cs"/>
          <w:rtl/>
        </w:rPr>
        <w:t>:</w:t>
      </w:r>
    </w:p>
    <w:p w14:paraId="45CAAA9C" w14:textId="20F58700" w:rsidR="009C32A0" w:rsidRPr="005675B2" w:rsidRDefault="009C32A0" w:rsidP="000636C2">
      <w:pPr>
        <w:rPr>
          <w:b/>
          <w:rtl/>
        </w:rPr>
      </w:pPr>
      <w:r w:rsidRPr="005675B2">
        <w:rPr>
          <w:rFonts w:hint="cs"/>
          <w:rtl/>
        </w:rPr>
        <w:t>الأول</w:t>
      </w:r>
      <w:r w:rsidR="000636C2">
        <w:rPr>
          <w:rFonts w:hint="cs"/>
          <w:rtl/>
        </w:rPr>
        <w:t>:</w:t>
      </w:r>
      <w:r w:rsidRPr="005675B2">
        <w:rPr>
          <w:rFonts w:hint="cs"/>
          <w:rtl/>
        </w:rPr>
        <w:t xml:space="preserve"> وهو الأصل وهو</w:t>
      </w:r>
      <w:r w:rsidR="000636C2">
        <w:rPr>
          <w:rFonts w:hint="cs"/>
          <w:rtl/>
        </w:rPr>
        <w:t xml:space="preserve"> </w:t>
      </w:r>
      <w:r w:rsidRPr="005675B2">
        <w:rPr>
          <w:rFonts w:hint="cs"/>
          <w:rtl/>
        </w:rPr>
        <w:t>مسلك التفويض وهو مذهب جمهور السلف</w:t>
      </w:r>
      <w:r w:rsidR="000636C2">
        <w:rPr>
          <w:rFonts w:hint="cs"/>
          <w:rtl/>
        </w:rPr>
        <w:t>:</w:t>
      </w:r>
      <w:r w:rsidRPr="005675B2">
        <w:rPr>
          <w:rFonts w:hint="cs"/>
          <w:rtl/>
        </w:rPr>
        <w:t>وكونه أسلم أي من جهة تعيين المعنى المراد فإن النص إذا جاء في الكتاب والسنة وهو متشابه المعنى فإن تحديد معنى من المعاني المحتملة أمر اجتهادي ظني</w:t>
      </w:r>
      <w:r w:rsidR="000636C2">
        <w:rPr>
          <w:rFonts w:hint="cs"/>
          <w:rtl/>
        </w:rPr>
        <w:t>،</w:t>
      </w:r>
      <w:r w:rsidRPr="005675B2">
        <w:rPr>
          <w:rFonts w:hint="cs"/>
          <w:rtl/>
        </w:rPr>
        <w:t xml:space="preserve"> ولذا فقد توقف جمع من علماء أهل السنة في تحديده وأمروه كما جاء</w:t>
      </w:r>
      <w:r w:rsidR="000636C2">
        <w:rPr>
          <w:rFonts w:hint="cs"/>
          <w:rtl/>
        </w:rPr>
        <w:t>،</w:t>
      </w:r>
      <w:r w:rsidRPr="005675B2">
        <w:rPr>
          <w:rFonts w:hint="cs"/>
          <w:rtl/>
        </w:rPr>
        <w:t xml:space="preserve"> ولكن بشرط تنزيه الله عن ما يليق به مما قد يتبادر إلى الأذهان</w:t>
      </w:r>
      <w:r w:rsidR="000636C2">
        <w:rPr>
          <w:rFonts w:hint="cs"/>
          <w:rtl/>
        </w:rPr>
        <w:t>،</w:t>
      </w:r>
      <w:r w:rsidRPr="005675B2">
        <w:rPr>
          <w:rFonts w:hint="cs"/>
          <w:rtl/>
        </w:rPr>
        <w:t xml:space="preserve"> وفي ذلك السلامة من التبعة ولذا فقد قالوا إنه أسلم</w:t>
      </w:r>
      <w:r w:rsidR="000636C2">
        <w:rPr>
          <w:rFonts w:hint="cs"/>
          <w:rtl/>
        </w:rPr>
        <w:t>،</w:t>
      </w:r>
      <w:r w:rsidRPr="005675B2">
        <w:rPr>
          <w:rFonts w:hint="cs"/>
          <w:rtl/>
        </w:rPr>
        <w:t xml:space="preserve"> هذا معنى قولهم أن مذهب السلف من المتقدمين أسلم</w:t>
      </w:r>
      <w:r w:rsidR="000636C2">
        <w:rPr>
          <w:rFonts w:hint="cs"/>
          <w:rtl/>
        </w:rPr>
        <w:t>،</w:t>
      </w:r>
      <w:r w:rsidRPr="005675B2">
        <w:rPr>
          <w:rFonts w:hint="cs"/>
          <w:rtl/>
        </w:rPr>
        <w:t xml:space="preserve"> لأن تعيين معنى دون آخر هو اجتهاد فلذا كانت السلامة في عدم التعيين</w:t>
      </w:r>
      <w:r w:rsidR="000636C2">
        <w:rPr>
          <w:rFonts w:hint="cs"/>
          <w:rtl/>
        </w:rPr>
        <w:t>،</w:t>
      </w:r>
    </w:p>
    <w:p w14:paraId="0AFFEB95" w14:textId="5A509EF7" w:rsidR="009C32A0" w:rsidRPr="005675B2" w:rsidRDefault="009C32A0" w:rsidP="000636C2">
      <w:pPr>
        <w:rPr>
          <w:b/>
          <w:rtl/>
        </w:rPr>
      </w:pPr>
      <w:r w:rsidRPr="005675B2">
        <w:rPr>
          <w:rFonts w:hint="cs"/>
          <w:rtl/>
        </w:rPr>
        <w:t>المسلك الثاني</w:t>
      </w:r>
      <w:r w:rsidR="000636C2">
        <w:rPr>
          <w:rFonts w:hint="cs"/>
          <w:rtl/>
        </w:rPr>
        <w:t>:</w:t>
      </w:r>
      <w:r w:rsidRPr="005675B2">
        <w:rPr>
          <w:rFonts w:hint="cs"/>
          <w:rtl/>
        </w:rPr>
        <w:t xml:space="preserve"> مسلك التأويل</w:t>
      </w:r>
      <w:r w:rsidR="000636C2">
        <w:rPr>
          <w:rFonts w:hint="cs"/>
          <w:rtl/>
        </w:rPr>
        <w:t>:</w:t>
      </w:r>
      <w:r w:rsidRPr="005675B2">
        <w:rPr>
          <w:rFonts w:hint="cs"/>
          <w:rtl/>
        </w:rPr>
        <w:t>فإنهم بعد دفع المعنى الذي لا يليق بالله فإنهم يعينون معنى من المعان المحتملة وذلك اجتهاد منهم</w:t>
      </w:r>
      <w:r w:rsidR="000636C2">
        <w:rPr>
          <w:rFonts w:hint="cs"/>
          <w:rtl/>
        </w:rPr>
        <w:t xml:space="preserve"> </w:t>
      </w:r>
      <w:r w:rsidRPr="005675B2">
        <w:rPr>
          <w:rFonts w:hint="cs"/>
          <w:rtl/>
        </w:rPr>
        <w:t>لكن بشرطين</w:t>
      </w:r>
      <w:r w:rsidR="000636C2">
        <w:rPr>
          <w:rFonts w:hint="cs"/>
          <w:rtl/>
        </w:rPr>
        <w:t>:</w:t>
      </w:r>
      <w:r>
        <w:rPr>
          <w:rFonts w:hint="cs"/>
          <w:rtl/>
        </w:rPr>
        <w:t xml:space="preserve"> </w:t>
      </w:r>
      <w:r w:rsidRPr="005675B2">
        <w:rPr>
          <w:rFonts w:hint="cs"/>
          <w:rtl/>
        </w:rPr>
        <w:t>الأول</w:t>
      </w:r>
      <w:r w:rsidR="000636C2">
        <w:rPr>
          <w:rFonts w:hint="cs"/>
          <w:rtl/>
        </w:rPr>
        <w:t>:</w:t>
      </w:r>
      <w:r w:rsidRPr="005675B2">
        <w:rPr>
          <w:rFonts w:hint="cs"/>
          <w:rtl/>
        </w:rPr>
        <w:t xml:space="preserve"> أن يكون ذلك المعنى لائقا بالله</w:t>
      </w:r>
      <w:r w:rsidR="000636C2">
        <w:rPr>
          <w:rFonts w:hint="cs"/>
          <w:rtl/>
        </w:rPr>
        <w:t>،</w:t>
      </w:r>
      <w:r>
        <w:rPr>
          <w:rFonts w:hint="cs"/>
          <w:rtl/>
        </w:rPr>
        <w:t xml:space="preserve"> </w:t>
      </w:r>
      <w:r w:rsidRPr="005675B2">
        <w:rPr>
          <w:rFonts w:hint="cs"/>
          <w:rtl/>
        </w:rPr>
        <w:t>الثاني</w:t>
      </w:r>
      <w:r w:rsidR="000636C2">
        <w:rPr>
          <w:rFonts w:hint="cs"/>
          <w:rtl/>
        </w:rPr>
        <w:t>:</w:t>
      </w:r>
      <w:r w:rsidRPr="005675B2">
        <w:rPr>
          <w:rFonts w:hint="cs"/>
          <w:rtl/>
        </w:rPr>
        <w:t xml:space="preserve"> أن يكون سائغا في لغة العرب</w:t>
      </w:r>
      <w:r w:rsidR="000636C2">
        <w:rPr>
          <w:rFonts w:hint="cs"/>
          <w:rtl/>
        </w:rPr>
        <w:t>،</w:t>
      </w:r>
      <w:r>
        <w:rPr>
          <w:rFonts w:hint="cs"/>
          <w:rtl/>
        </w:rPr>
        <w:t xml:space="preserve"> </w:t>
      </w:r>
      <w:r w:rsidRPr="005675B2">
        <w:rPr>
          <w:rFonts w:hint="cs"/>
          <w:rtl/>
        </w:rPr>
        <w:t>مع اتفاق العلماء جميعاً على عدم الخوض في حقيقة الصفة</w:t>
      </w:r>
      <w:r w:rsidR="000636C2">
        <w:rPr>
          <w:rFonts w:hint="cs"/>
          <w:rtl/>
        </w:rPr>
        <w:t>،</w:t>
      </w:r>
      <w:r w:rsidRPr="005675B2">
        <w:rPr>
          <w:rFonts w:hint="cs"/>
          <w:rtl/>
        </w:rPr>
        <w:t>فلا يظن الظان أنهم يتكلمون في حقيقة الصفة</w:t>
      </w:r>
      <w:r w:rsidR="000636C2">
        <w:rPr>
          <w:rFonts w:hint="cs"/>
          <w:rtl/>
        </w:rPr>
        <w:t>،</w:t>
      </w:r>
      <w:r w:rsidRPr="005675B2">
        <w:rPr>
          <w:rFonts w:hint="cs"/>
          <w:rtl/>
        </w:rPr>
        <w:t xml:space="preserve"> فإن هذا مما لايجوز الكلام فيه با لإجماع</w:t>
      </w:r>
      <w:r w:rsidR="000636C2">
        <w:rPr>
          <w:rFonts w:hint="cs"/>
          <w:rtl/>
        </w:rPr>
        <w:t>،</w:t>
      </w:r>
      <w:r w:rsidRPr="005675B2">
        <w:rPr>
          <w:rFonts w:hint="cs"/>
          <w:rtl/>
        </w:rPr>
        <w:t xml:space="preserve"> وقد ثبت عن العلماء جميعاً دفع المعاني التي لا تليق بالله ومن ذلك</w:t>
      </w:r>
      <w:r w:rsidR="000636C2">
        <w:rPr>
          <w:rFonts w:hint="cs"/>
          <w:rtl/>
        </w:rPr>
        <w:t xml:space="preserve"> </w:t>
      </w:r>
      <w:r w:rsidRPr="005675B2">
        <w:rPr>
          <w:rFonts w:hint="cs"/>
          <w:rtl/>
        </w:rPr>
        <w:t>الجارحة</w:t>
      </w:r>
      <w:r w:rsidR="000636C2">
        <w:rPr>
          <w:rFonts w:hint="cs"/>
          <w:rtl/>
        </w:rPr>
        <w:t xml:space="preserve"> </w:t>
      </w:r>
      <w:r w:rsidRPr="005675B2">
        <w:rPr>
          <w:rFonts w:hint="cs"/>
          <w:rtl/>
        </w:rPr>
        <w:t>وقطعوا بذلك</w:t>
      </w:r>
      <w:r w:rsidR="000636C2">
        <w:rPr>
          <w:rFonts w:hint="cs"/>
          <w:rtl/>
        </w:rPr>
        <w:t>،</w:t>
      </w:r>
      <w:r w:rsidRPr="005675B2">
        <w:rPr>
          <w:rFonts w:hint="cs"/>
          <w:rtl/>
        </w:rPr>
        <w:t xml:space="preserve"> فمنهم الإمام أحمد كما في عقيدة الحنابلة لابن حمدان</w:t>
      </w:r>
      <w:r w:rsidR="000636C2">
        <w:rPr>
          <w:rFonts w:hint="cs"/>
          <w:rtl/>
        </w:rPr>
        <w:t>،</w:t>
      </w:r>
      <w:r w:rsidRPr="005675B2">
        <w:rPr>
          <w:rFonts w:hint="cs"/>
          <w:rtl/>
        </w:rPr>
        <w:t>وكذا اعتقاد</w:t>
      </w:r>
      <w:r w:rsidR="000636C2">
        <w:rPr>
          <w:rFonts w:hint="cs"/>
          <w:rtl/>
        </w:rPr>
        <w:t xml:space="preserve"> </w:t>
      </w:r>
      <w:r w:rsidRPr="005675B2">
        <w:rPr>
          <w:rFonts w:hint="cs"/>
          <w:rtl/>
        </w:rPr>
        <w:t>الإمام أحمد لأبي الفضل التميمي، وغيرها</w:t>
      </w:r>
      <w:r w:rsidR="000636C2">
        <w:rPr>
          <w:rFonts w:hint="cs"/>
          <w:rtl/>
        </w:rPr>
        <w:t>،</w:t>
      </w:r>
      <w:r w:rsidRPr="005675B2">
        <w:rPr>
          <w:rFonts w:hint="cs"/>
          <w:rtl/>
        </w:rPr>
        <w:t xml:space="preserve"> قال شيخ الإسلام خاتمة الحفاظ ابن حجر العسقلاني واليد في اللغة تطلق لمعان كثيرة اجتمع لنا منها خمسة وعشرون معنى ما بين حقيقة</w:t>
      </w:r>
      <w:r w:rsidRPr="005675B2">
        <w:rPr>
          <w:rFonts w:hint="cs"/>
        </w:rPr>
        <w:t xml:space="preserve"> </w:t>
      </w:r>
      <w:r w:rsidRPr="005675B2">
        <w:rPr>
          <w:rFonts w:hint="cs"/>
          <w:rtl/>
        </w:rPr>
        <w:t>ومجاز [</w:t>
      </w:r>
      <w:r w:rsidRPr="005675B2">
        <w:rPr>
          <w:rFonts w:hint="cs"/>
          <w:bCs/>
          <w:sz w:val="24"/>
          <w:szCs w:val="24"/>
          <w:rtl/>
        </w:rPr>
        <w:t>فتح الباري 13/394</w:t>
      </w:r>
      <w:r w:rsidRPr="005675B2">
        <w:rPr>
          <w:rFonts w:hint="cs"/>
          <w:rtl/>
        </w:rPr>
        <w:t>]</w:t>
      </w:r>
      <w:r w:rsidR="000636C2">
        <w:rPr>
          <w:rFonts w:hint="cs"/>
          <w:rtl/>
        </w:rPr>
        <w:t>،</w:t>
      </w:r>
      <w:r>
        <w:rPr>
          <w:rFonts w:hint="cs"/>
          <w:rtl/>
        </w:rPr>
        <w:t xml:space="preserve"> </w:t>
      </w:r>
      <w:r w:rsidRPr="005675B2">
        <w:rPr>
          <w:rFonts w:hint="cs"/>
          <w:u w:val="single"/>
          <w:rtl/>
        </w:rPr>
        <w:t>قال الإمام أحمد</w:t>
      </w:r>
      <w:r w:rsidR="000636C2">
        <w:rPr>
          <w:rFonts w:hint="cs"/>
          <w:u w:val="single"/>
          <w:rtl/>
        </w:rPr>
        <w:t>:</w:t>
      </w:r>
      <w:r w:rsidRPr="005675B2">
        <w:rPr>
          <w:rFonts w:hint="cs"/>
          <w:u w:val="single"/>
          <w:rtl/>
        </w:rPr>
        <w:t xml:space="preserve"> إن لله يدين وهما صفة له ليستا بجارحتين ولا بمركبتين ولا جسم ولا من جنس الأجسام</w:t>
      </w:r>
      <w:r w:rsidR="000636C2">
        <w:rPr>
          <w:rFonts w:hint="cs"/>
          <w:u w:val="single"/>
          <w:rtl/>
        </w:rPr>
        <w:t>،</w:t>
      </w:r>
      <w:r w:rsidRPr="005675B2">
        <w:rPr>
          <w:rFonts w:hint="cs"/>
          <w:u w:val="single"/>
          <w:rtl/>
        </w:rPr>
        <w:t xml:space="preserve"> </w:t>
      </w:r>
      <w:r w:rsidR="000636C2">
        <w:rPr>
          <w:rFonts w:hint="cs"/>
          <w:u w:val="single"/>
          <w:rtl/>
        </w:rPr>
        <w:t>[</w:t>
      </w:r>
      <w:r w:rsidRPr="005675B2">
        <w:rPr>
          <w:rFonts w:hint="cs"/>
          <w:bCs/>
          <w:sz w:val="24"/>
          <w:szCs w:val="24"/>
          <w:rtl/>
        </w:rPr>
        <w:t>اعتقاد الإمام أحمد ص33</w:t>
      </w:r>
      <w:r w:rsidRPr="00D33BA6">
        <w:rPr>
          <w:rFonts w:hint="cs"/>
          <w:rtl/>
        </w:rPr>
        <w:t>]</w:t>
      </w:r>
      <w:r w:rsidR="000636C2">
        <w:rPr>
          <w:rFonts w:hint="cs"/>
          <w:rtl/>
        </w:rPr>
        <w:t xml:space="preserve">، </w:t>
      </w:r>
      <w:r w:rsidRPr="00D33BA6">
        <w:rPr>
          <w:rFonts w:hint="cs"/>
          <w:rtl/>
        </w:rPr>
        <w:t>وقال</w:t>
      </w:r>
      <w:r w:rsidRPr="005675B2">
        <w:rPr>
          <w:rFonts w:hint="cs"/>
          <w:rtl/>
        </w:rPr>
        <w:t xml:space="preserve"> الإمام الرازي في تفسيره</w:t>
      </w:r>
      <w:r w:rsidR="000636C2">
        <w:rPr>
          <w:rFonts w:hint="cs"/>
          <w:rtl/>
        </w:rPr>
        <w:t>:</w:t>
      </w:r>
      <w:r w:rsidRPr="005675B2">
        <w:rPr>
          <w:rFonts w:hint="cs"/>
          <w:rtl/>
        </w:rPr>
        <w:t xml:space="preserve"> قال تعالى</w:t>
      </w:r>
      <w:r w:rsidR="000636C2">
        <w:rPr>
          <w:rFonts w:hint="cs"/>
          <w:rtl/>
        </w:rPr>
        <w:t>:</w:t>
      </w:r>
      <w:r w:rsidRPr="005675B2">
        <w:rPr>
          <w:rFonts w:hint="cs"/>
          <w:rtl/>
        </w:rPr>
        <w:t xml:space="preserve"> </w:t>
      </w:r>
      <w:r w:rsidR="000636C2">
        <w:rPr>
          <w:rFonts w:hint="cs"/>
          <w:rtl/>
        </w:rPr>
        <w:t>{</w:t>
      </w:r>
      <w:r w:rsidRPr="005675B2">
        <w:rPr>
          <w:rFonts w:hint="cs"/>
          <w:rtl/>
        </w:rPr>
        <w:t>ثُمَّ استوى عَلَى العرش</w:t>
      </w:r>
      <w:r w:rsidR="000636C2">
        <w:rPr>
          <w:rFonts w:hint="cs"/>
          <w:rtl/>
        </w:rPr>
        <w:t>}</w:t>
      </w:r>
      <w:r w:rsidRPr="005675B2">
        <w:rPr>
          <w:rFonts w:hint="cs"/>
          <w:rtl/>
        </w:rPr>
        <w:t xml:space="preserve"> ا</w:t>
      </w:r>
      <w:r w:rsidRPr="005675B2">
        <w:rPr>
          <w:rFonts w:hint="cs"/>
          <w:u w:val="single"/>
          <w:rtl/>
        </w:rPr>
        <w:t>علم أن مذهب العلماء في هذه الآية وأمثالها على وجهين أحدهما</w:t>
      </w:r>
      <w:r w:rsidR="000636C2">
        <w:rPr>
          <w:rFonts w:hint="cs"/>
          <w:u w:val="single"/>
          <w:rtl/>
        </w:rPr>
        <w:t>:</w:t>
      </w:r>
      <w:r w:rsidRPr="005675B2">
        <w:rPr>
          <w:rFonts w:hint="cs"/>
          <w:u w:val="single"/>
          <w:rtl/>
        </w:rPr>
        <w:t xml:space="preserve"> ترك التعرض إلى بيان المراد وثانيهما</w:t>
      </w:r>
      <w:r w:rsidR="000636C2">
        <w:rPr>
          <w:rFonts w:hint="cs"/>
          <w:u w:val="single"/>
          <w:rtl/>
        </w:rPr>
        <w:t>:</w:t>
      </w:r>
      <w:r w:rsidRPr="005675B2">
        <w:rPr>
          <w:rFonts w:hint="cs"/>
          <w:u w:val="single"/>
          <w:rtl/>
        </w:rPr>
        <w:t xml:space="preserve"> التعرض إليه</w:t>
      </w:r>
      <w:r w:rsidRPr="005675B2">
        <w:rPr>
          <w:rFonts w:hint="cs"/>
          <w:rtl/>
        </w:rPr>
        <w:t xml:space="preserve"> والأول أسلم وإلى الحكمة أقرب</w:t>
      </w:r>
      <w:r w:rsidR="000636C2">
        <w:rPr>
          <w:rFonts w:hint="cs"/>
          <w:rtl/>
        </w:rPr>
        <w:t>،</w:t>
      </w:r>
      <w:r w:rsidRPr="005675B2">
        <w:rPr>
          <w:rFonts w:hint="cs"/>
          <w:rtl/>
        </w:rPr>
        <w:t xml:space="preserve"> أهـ </w:t>
      </w:r>
    </w:p>
    <w:p w14:paraId="16FD5C7E" w14:textId="03E5FCD1" w:rsidR="009C32A0" w:rsidRPr="005675B2" w:rsidRDefault="009C32A0" w:rsidP="000636C2">
      <w:pPr>
        <w:rPr>
          <w:b/>
          <w:rtl/>
        </w:rPr>
      </w:pPr>
      <w:r w:rsidRPr="00D33BA6">
        <w:rPr>
          <w:rFonts w:hint="cs"/>
          <w:bCs/>
          <w:rtl/>
        </w:rPr>
        <w:t>الأدلة على جواز التأويل</w:t>
      </w:r>
      <w:r w:rsidR="000636C2">
        <w:rPr>
          <w:rFonts w:hint="cs"/>
          <w:rtl/>
        </w:rPr>
        <w:t>:</w:t>
      </w:r>
      <w:r>
        <w:rPr>
          <w:rFonts w:hint="cs"/>
          <w:rtl/>
        </w:rPr>
        <w:t xml:space="preserve"> </w:t>
      </w:r>
      <w:r w:rsidRPr="005675B2">
        <w:rPr>
          <w:rFonts w:hint="cs"/>
          <w:rtl/>
        </w:rPr>
        <w:t>بداية أحب أن أنبه إلى أن الخلاف اجتهادي ولكل مسلك دليل فلمذهب التفويض [</w:t>
      </w:r>
      <w:r w:rsidRPr="005675B2">
        <w:rPr>
          <w:rFonts w:hint="cs"/>
          <w:bCs/>
          <w:sz w:val="24"/>
          <w:szCs w:val="24"/>
          <w:rtl/>
        </w:rPr>
        <w:t>اعتقاد الإمام أحمد ص33</w:t>
      </w:r>
      <w:r w:rsidRPr="005675B2">
        <w:rPr>
          <w:rFonts w:hint="cs"/>
          <w:rtl/>
        </w:rPr>
        <w:t>] أدلة وللتأويل أدلة</w:t>
      </w:r>
      <w:r w:rsidR="000636C2">
        <w:rPr>
          <w:rFonts w:hint="cs"/>
          <w:rtl/>
        </w:rPr>
        <w:t>،</w:t>
      </w:r>
      <w:r>
        <w:rPr>
          <w:rFonts w:hint="cs"/>
          <w:rtl/>
        </w:rPr>
        <w:t xml:space="preserve"> </w:t>
      </w:r>
      <w:r w:rsidR="000636C2">
        <w:rPr>
          <w:rFonts w:hint="cs"/>
          <w:rtl/>
        </w:rPr>
        <w:t>(</w:t>
      </w:r>
      <w:r w:rsidRPr="005675B2">
        <w:rPr>
          <w:rFonts w:hint="cs"/>
          <w:rtl/>
        </w:rPr>
        <w:t>أدلـــــة التــــــأويـــــل</w:t>
      </w:r>
      <w:r w:rsidR="000636C2">
        <w:rPr>
          <w:rFonts w:hint="cs"/>
          <w:rtl/>
        </w:rPr>
        <w:t>):</w:t>
      </w:r>
    </w:p>
    <w:p w14:paraId="10D20B71" w14:textId="282E3D28"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قوله تعالى (</w:t>
      </w:r>
      <w:r w:rsidR="000636C2">
        <w:rPr>
          <w:rFonts w:hint="cs"/>
          <w:rtl/>
        </w:rPr>
        <w:t>(</w:t>
      </w:r>
      <w:r w:rsidRPr="005675B2">
        <w:rPr>
          <w:rFonts w:hint="cs"/>
          <w:rtl/>
        </w:rPr>
        <w:t>فأما الذين في قلوبهم زيغ فيتبعون ما تشابه منه ابتغاء الفتنة وابتغاء تأويله وما يعلم تأويله إلا الله والراسخون في العلم</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فقد ذهب جمع منهم ترجمان القرآن عبدالله بن عباس رضي الله عنهما إلى الوقف على قوله تعالى والراسخون في العلم وقال</w:t>
      </w:r>
      <w:r w:rsidR="000636C2">
        <w:rPr>
          <w:rFonts w:hint="cs"/>
          <w:rtl/>
        </w:rPr>
        <w:t>:</w:t>
      </w:r>
      <w:r w:rsidRPr="005675B2">
        <w:rPr>
          <w:rFonts w:hint="cs"/>
          <w:rtl/>
        </w:rPr>
        <w:t xml:space="preserve"> أنا منهم</w:t>
      </w:r>
      <w:r w:rsidR="000636C2">
        <w:rPr>
          <w:rFonts w:hint="cs"/>
          <w:rtl/>
        </w:rPr>
        <w:t>،</w:t>
      </w:r>
      <w:r w:rsidRPr="005675B2">
        <w:rPr>
          <w:rFonts w:hint="cs"/>
          <w:rtl/>
        </w:rPr>
        <w:t xml:space="preserve"> </w:t>
      </w:r>
      <w:r w:rsidRPr="005675B2">
        <w:rPr>
          <w:rFonts w:hint="cs"/>
          <w:u w:val="single"/>
          <w:rtl/>
        </w:rPr>
        <w:t>وهي قراءة متوترة</w:t>
      </w:r>
      <w:r w:rsidR="000636C2">
        <w:rPr>
          <w:rFonts w:hint="cs"/>
          <w:rtl/>
        </w:rPr>
        <w:t xml:space="preserve">، </w:t>
      </w:r>
      <w:r w:rsidRPr="005675B2">
        <w:rPr>
          <w:rFonts w:hint="cs"/>
          <w:rtl/>
        </w:rPr>
        <w:t>واقتدى به جمع غفير من العلماء في كون الوقف على ذلك</w:t>
      </w:r>
      <w:r w:rsidR="000636C2">
        <w:rPr>
          <w:rFonts w:hint="cs"/>
          <w:rtl/>
        </w:rPr>
        <w:t>،</w:t>
      </w:r>
      <w:r w:rsidRPr="005675B2">
        <w:rPr>
          <w:rFonts w:hint="cs"/>
          <w:rtl/>
        </w:rPr>
        <w:t xml:space="preserve"> فاجتهدوا في تأويل</w:t>
      </w:r>
      <w:r w:rsidR="000636C2">
        <w:rPr>
          <w:rFonts w:hint="cs"/>
          <w:rtl/>
        </w:rPr>
        <w:t xml:space="preserve"> </w:t>
      </w:r>
      <w:r w:rsidRPr="005675B2">
        <w:rPr>
          <w:rFonts w:hint="cs"/>
          <w:rtl/>
        </w:rPr>
        <w:t>معنى النصوص المحتملة</w:t>
      </w:r>
      <w:r>
        <w:rPr>
          <w:rFonts w:hint="cs"/>
          <w:rtl/>
        </w:rPr>
        <w:t xml:space="preserve"> </w:t>
      </w:r>
      <w:r w:rsidRPr="005675B2">
        <w:rPr>
          <w:rFonts w:hint="cs"/>
          <w:rtl/>
        </w:rPr>
        <w:t>المعاني على ما يليق بالله مما هو سائغ في لغة العرب</w:t>
      </w:r>
      <w:r w:rsidR="000636C2">
        <w:rPr>
          <w:rFonts w:hint="cs"/>
          <w:rtl/>
        </w:rPr>
        <w:t>،</w:t>
      </w:r>
    </w:p>
    <w:p w14:paraId="650DB455" w14:textId="694D81F7"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عمل الصحابة ومنهم ابن عباس حيث أول المعية بالعلم في قوله تعالى (</w:t>
      </w:r>
      <w:r w:rsidR="000636C2">
        <w:rPr>
          <w:rFonts w:hint="cs"/>
          <w:rtl/>
        </w:rPr>
        <w:t>(</w:t>
      </w:r>
      <w:r w:rsidRPr="005675B2">
        <w:rPr>
          <w:rFonts w:hint="cs"/>
          <w:rtl/>
        </w:rPr>
        <w:t>وهو معكم أين ماكنتم</w:t>
      </w:r>
      <w:r w:rsidR="000636C2">
        <w:rPr>
          <w:rFonts w:hint="cs"/>
          <w:rtl/>
        </w:rPr>
        <w:t>)</w:t>
      </w:r>
      <w:r w:rsidRPr="005675B2">
        <w:rPr>
          <w:rFonts w:hint="cs"/>
          <w:rtl/>
        </w:rPr>
        <w:t>) فاندفع الوهم الذي توهمته الجهمية بعد ذلك من أن المعية هي معية الذات</w:t>
      </w:r>
      <w:r w:rsidR="000636C2">
        <w:rPr>
          <w:rFonts w:hint="cs"/>
          <w:rtl/>
        </w:rPr>
        <w:t>،</w:t>
      </w:r>
      <w:r w:rsidRPr="005675B2">
        <w:rPr>
          <w:rFonts w:hint="cs"/>
          <w:rtl/>
        </w:rPr>
        <w:t xml:space="preserve"> فكان تأويل ابن عباس للمعية بأنها معية العلم فضل عظيم في بيان المسألة</w:t>
      </w:r>
      <w:r w:rsidR="000636C2">
        <w:rPr>
          <w:rFonts w:hint="cs"/>
          <w:rtl/>
        </w:rPr>
        <w:t>،</w:t>
      </w:r>
      <w:r>
        <w:rPr>
          <w:rFonts w:hint="cs"/>
          <w:rtl/>
        </w:rPr>
        <w:t xml:space="preserve"> </w:t>
      </w:r>
      <w:r w:rsidRPr="005675B2">
        <w:rPr>
          <w:rFonts w:hint="cs"/>
          <w:rtl/>
        </w:rPr>
        <w:t>فإذا جاز تأويل ابن عباس لدفع الموهم، فكذلك في كل ما كان من نفس العلة</w:t>
      </w:r>
      <w:r w:rsidR="000636C2">
        <w:rPr>
          <w:rFonts w:hint="cs"/>
          <w:rtl/>
        </w:rPr>
        <w:t>،</w:t>
      </w:r>
      <w:r w:rsidRPr="005675B2">
        <w:rPr>
          <w:rFonts w:hint="cs"/>
          <w:rtl/>
        </w:rPr>
        <w:t xml:space="preserve"> فالمسألة ليست</w:t>
      </w:r>
      <w:r>
        <w:rPr>
          <w:rFonts w:hint="cs"/>
          <w:rtl/>
        </w:rPr>
        <w:t xml:space="preserve"> </w:t>
      </w:r>
      <w:r w:rsidRPr="005675B2">
        <w:rPr>
          <w:rFonts w:hint="cs"/>
          <w:rtl/>
        </w:rPr>
        <w:t>توقيفا على عالم من العلماء دون الآخر بل هي دليل واضح على جواز التأويل</w:t>
      </w:r>
      <w:r w:rsidR="000636C2">
        <w:rPr>
          <w:rFonts w:hint="cs"/>
          <w:rtl/>
        </w:rPr>
        <w:t>،</w:t>
      </w:r>
      <w:r w:rsidRPr="005675B2">
        <w:rPr>
          <w:rFonts w:hint="cs"/>
          <w:rtl/>
        </w:rPr>
        <w:t xml:space="preserve"> ويؤكد ذلك ما فعله علماء</w:t>
      </w:r>
      <w:r>
        <w:rPr>
          <w:rFonts w:hint="cs"/>
          <w:rtl/>
        </w:rPr>
        <w:t xml:space="preserve"> </w:t>
      </w:r>
      <w:r w:rsidRPr="005675B2">
        <w:rPr>
          <w:rFonts w:hint="cs"/>
          <w:rtl/>
        </w:rPr>
        <w:t>الأمة بعد الصحابة وسيأتي ذلك</w:t>
      </w:r>
      <w:r w:rsidR="000636C2">
        <w:rPr>
          <w:rFonts w:hint="cs"/>
          <w:rtl/>
        </w:rPr>
        <w:t>،</w:t>
      </w:r>
      <w:r>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البعض يشغب على أهل السنة بأن فعل ابن عباس ليس بتأويل بل هو تفسير فقط وجواب ذلك</w:t>
      </w:r>
      <w:r w:rsidR="000636C2">
        <w:rPr>
          <w:rFonts w:hint="cs"/>
          <w:rtl/>
        </w:rPr>
        <w:t>:</w:t>
      </w:r>
      <w:r w:rsidRPr="005675B2">
        <w:rPr>
          <w:rFonts w:hint="cs"/>
          <w:rtl/>
        </w:rPr>
        <w:t>أن عدول ابن عباس عن حمل الآية على ظاهرها</w:t>
      </w:r>
      <w:r w:rsidR="000636C2">
        <w:rPr>
          <w:rFonts w:hint="cs"/>
          <w:rtl/>
        </w:rPr>
        <w:t xml:space="preserve"> </w:t>
      </w:r>
      <w:r w:rsidRPr="005675B2">
        <w:rPr>
          <w:rFonts w:hint="cs"/>
          <w:rtl/>
        </w:rPr>
        <w:t xml:space="preserve">كقوله تعالى </w:t>
      </w:r>
      <w:r w:rsidR="000636C2">
        <w:rPr>
          <w:rFonts w:hint="cs"/>
          <w:rtl/>
        </w:rPr>
        <w:t>(</w:t>
      </w:r>
      <w:r w:rsidRPr="005675B2">
        <w:rPr>
          <w:rFonts w:hint="cs"/>
          <w:rtl/>
        </w:rPr>
        <w:t>يوم يكشف عن ساق</w:t>
      </w:r>
      <w:r w:rsidR="000636C2">
        <w:rPr>
          <w:rFonts w:hint="cs"/>
          <w:rtl/>
        </w:rPr>
        <w:t>)</w:t>
      </w:r>
      <w:r w:rsidRPr="005675B2">
        <w:rPr>
          <w:rFonts w:hint="cs"/>
          <w:rtl/>
        </w:rPr>
        <w:t xml:space="preserve"> إلى معنى آخر يحتمله لوجود قرينة</w:t>
      </w:r>
      <w:r w:rsidR="000636C2">
        <w:rPr>
          <w:rFonts w:hint="cs"/>
          <w:rtl/>
        </w:rPr>
        <w:t xml:space="preserve"> </w:t>
      </w:r>
      <w:r w:rsidRPr="005675B2">
        <w:rPr>
          <w:rFonts w:hint="cs"/>
          <w:rtl/>
        </w:rPr>
        <w:t>حيث أوله بالشدة</w:t>
      </w:r>
      <w:r w:rsidR="000636C2">
        <w:rPr>
          <w:rFonts w:hint="cs"/>
          <w:rtl/>
        </w:rPr>
        <w:t>،</w:t>
      </w:r>
      <w:r w:rsidRPr="005675B2">
        <w:rPr>
          <w:rFonts w:hint="cs"/>
          <w:rtl/>
        </w:rPr>
        <w:t xml:space="preserve"> وقال العرب تقول كشفت الحرب عن ساقها أي شدتها فهذا هو عين التأويل الذي يذهب إليه الأشاعرة والماتريدية وغيرهم من جمهور أهل السنة</w:t>
      </w:r>
      <w:r w:rsidR="000636C2">
        <w:rPr>
          <w:rFonts w:hint="cs"/>
          <w:rtl/>
        </w:rPr>
        <w:t xml:space="preserve">، </w:t>
      </w:r>
      <w:r w:rsidRPr="005675B2">
        <w:rPr>
          <w:rFonts w:hint="cs"/>
          <w:rtl/>
        </w:rPr>
        <w:t>والمعنى الاصطلاحي المتفق عليه عند علماء الأصول هو</w:t>
      </w:r>
      <w:r w:rsidR="000636C2">
        <w:rPr>
          <w:rFonts w:hint="cs"/>
          <w:rtl/>
        </w:rPr>
        <w:t>:</w:t>
      </w:r>
      <w:r w:rsidRPr="005675B2">
        <w:rPr>
          <w:rFonts w:hint="cs"/>
          <w:rtl/>
        </w:rPr>
        <w:t xml:space="preserve"> صرف معنى اللفظ عن ظاهره إلى معنى آخر</w:t>
      </w:r>
      <w:r>
        <w:rPr>
          <w:rFonts w:hint="cs"/>
          <w:rtl/>
        </w:rPr>
        <w:t xml:space="preserve"> </w:t>
      </w:r>
      <w:r w:rsidRPr="005675B2">
        <w:rPr>
          <w:rFonts w:hint="cs"/>
          <w:rtl/>
        </w:rPr>
        <w:t>يحتمله لوجود قرينة</w:t>
      </w:r>
      <w:r w:rsidR="000636C2">
        <w:rPr>
          <w:rFonts w:hint="cs"/>
          <w:rtl/>
        </w:rPr>
        <w:t>،</w:t>
      </w:r>
      <w:r w:rsidRPr="005675B2">
        <w:rPr>
          <w:rFonts w:hint="cs"/>
          <w:rtl/>
        </w:rPr>
        <w:t xml:space="preserve"> وهذا هو ما فعله الصحابي رضي الله عنه</w:t>
      </w:r>
      <w:r w:rsidR="000636C2">
        <w:rPr>
          <w:rFonts w:hint="cs"/>
          <w:rtl/>
        </w:rPr>
        <w:t>،</w:t>
      </w:r>
    </w:p>
    <w:p w14:paraId="59CC0941" w14:textId="36728202"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التأويل الثابت عن جمع من علماء الأمة من أهل السنة والجماعة</w:t>
      </w:r>
      <w:r w:rsidR="000636C2">
        <w:rPr>
          <w:rFonts w:hint="cs"/>
          <w:rtl/>
        </w:rPr>
        <w:t xml:space="preserve"> </w:t>
      </w:r>
      <w:r w:rsidRPr="005675B2">
        <w:rPr>
          <w:rFonts w:hint="cs"/>
          <w:rtl/>
        </w:rPr>
        <w:t>ومنهم الإمام أحمد</w:t>
      </w:r>
      <w:r w:rsidR="000636C2">
        <w:rPr>
          <w:rFonts w:hint="cs"/>
          <w:rtl/>
        </w:rPr>
        <w:t>،</w:t>
      </w:r>
      <w:r>
        <w:rPr>
          <w:rFonts w:hint="cs"/>
          <w:rtl/>
        </w:rPr>
        <w:t xml:space="preserve"> </w:t>
      </w:r>
      <w:r w:rsidRPr="005675B2">
        <w:rPr>
          <w:rFonts w:hint="cs"/>
          <w:rtl/>
        </w:rPr>
        <w:t>صح عن</w:t>
      </w:r>
      <w:r w:rsidRPr="005675B2">
        <w:rPr>
          <w:rFonts w:hint="cs"/>
        </w:rPr>
        <w:t xml:space="preserve"> </w:t>
      </w:r>
      <w:r w:rsidRPr="005675B2">
        <w:rPr>
          <w:rFonts w:hint="cs"/>
          <w:rtl/>
        </w:rPr>
        <w:t>الامام أحمد تأويل المجيء بمجيء أمره سبحانه</w:t>
      </w:r>
      <w:r w:rsidR="000636C2">
        <w:rPr>
          <w:rtl/>
        </w:rPr>
        <w:t>،</w:t>
      </w:r>
      <w:r w:rsidRPr="005675B2">
        <w:rPr>
          <w:rFonts w:hint="cs"/>
          <w:rtl/>
        </w:rPr>
        <w:t xml:space="preserve"> وقد ذكر ذلك أئمة</w:t>
      </w:r>
      <w:r w:rsidR="000636C2">
        <w:rPr>
          <w:rFonts w:hint="cs"/>
          <w:rtl/>
        </w:rPr>
        <w:t>،</w:t>
      </w:r>
      <w:r w:rsidRPr="005675B2">
        <w:rPr>
          <w:rFonts w:hint="cs"/>
          <w:rtl/>
        </w:rPr>
        <w:t xml:space="preserve"> ومنهم</w:t>
      </w:r>
      <w:r w:rsidR="000636C2">
        <w:rPr>
          <w:rFonts w:hint="cs"/>
          <w:rtl/>
        </w:rPr>
        <w:t>:</w:t>
      </w:r>
      <w:r w:rsidRPr="005675B2">
        <w:t xml:space="preserve"> </w:t>
      </w:r>
      <w:r w:rsidRPr="005675B2">
        <w:rPr>
          <w:rFonts w:hint="cs"/>
          <w:rtl/>
        </w:rPr>
        <w:t>الإمام البيهقي رحمه الله حيث قال في كتابه</w:t>
      </w:r>
      <w:r w:rsidR="000636C2">
        <w:rPr>
          <w:rFonts w:hint="cs"/>
          <w:rtl/>
        </w:rPr>
        <w:t>:</w:t>
      </w:r>
      <w:r w:rsidRPr="005675B2">
        <w:rPr>
          <w:rFonts w:hint="cs"/>
          <w:rtl/>
        </w:rPr>
        <w:t xml:space="preserve"> </w:t>
      </w:r>
      <w:r w:rsidR="000636C2">
        <w:rPr>
          <w:rFonts w:hint="cs"/>
          <w:rtl/>
        </w:rPr>
        <w:t>(</w:t>
      </w:r>
      <w:r w:rsidRPr="005675B2">
        <w:rPr>
          <w:rFonts w:hint="cs"/>
          <w:rtl/>
        </w:rPr>
        <w:t>مناقب الإمام أحمد</w:t>
      </w:r>
      <w:r w:rsidR="000636C2">
        <w:rPr>
          <w:rFonts w:hint="cs"/>
          <w:rtl/>
        </w:rPr>
        <w:t>)</w:t>
      </w:r>
      <w:r w:rsidRPr="005675B2">
        <w:rPr>
          <w:rFonts w:hint="cs"/>
          <w:rtl/>
        </w:rPr>
        <w:t xml:space="preserve"> مايلي</w:t>
      </w:r>
      <w:r w:rsidR="000636C2">
        <w:rPr>
          <w:rFonts w:hint="cs"/>
          <w:rtl/>
        </w:rPr>
        <w:t>:</w:t>
      </w:r>
      <w:r w:rsidRPr="005675B2">
        <w:t xml:space="preserve"> " </w:t>
      </w:r>
      <w:r w:rsidRPr="005675B2">
        <w:rPr>
          <w:rFonts w:hint="cs"/>
          <w:rtl/>
        </w:rPr>
        <w:t>وأنبأنا الحاكم قال حدثنا أبو عمرو بن السماك قال حدثنا حنبل بن إسحاق قال سمعت عمي</w:t>
      </w:r>
      <w:r w:rsidRPr="005675B2">
        <w:rPr>
          <w:rFonts w:hint="cs"/>
        </w:rPr>
        <w:t xml:space="preserve"> </w:t>
      </w:r>
      <w:r w:rsidRPr="005675B2">
        <w:rPr>
          <w:rFonts w:hint="cs"/>
          <w:rtl/>
        </w:rPr>
        <w:t>أبا عبد الله يعني الإمام أحمد يقول " احتجوا علي يومئذ يعني في دار أمير المؤمنين</w:t>
      </w:r>
      <w:r w:rsidR="000636C2">
        <w:rPr>
          <w:rFonts w:hint="cs"/>
          <w:rtl/>
        </w:rPr>
        <w:t>،</w:t>
      </w:r>
      <w:r w:rsidRPr="005675B2">
        <w:rPr>
          <w:rFonts w:hint="cs"/>
          <w:rtl/>
        </w:rPr>
        <w:t xml:space="preserve"> فقالوا تجيء سورة البقرة يوم القيامة وتجيء سورة تبارك</w:t>
      </w:r>
      <w:r w:rsidR="000636C2">
        <w:rPr>
          <w:rFonts w:hint="cs"/>
          <w:rtl/>
        </w:rPr>
        <w:t>،</w:t>
      </w:r>
      <w:r w:rsidRPr="005675B2">
        <w:rPr>
          <w:rFonts w:hint="cs"/>
          <w:rtl/>
        </w:rPr>
        <w:t xml:space="preserve"> فقلت لهم إنما هو الثواب</w:t>
      </w:r>
      <w:r w:rsidRPr="005675B2">
        <w:rPr>
          <w:rFonts w:hint="cs"/>
        </w:rPr>
        <w:t xml:space="preserve"> </w:t>
      </w:r>
      <w:r w:rsidRPr="005675B2">
        <w:rPr>
          <w:rFonts w:hint="cs"/>
          <w:rtl/>
        </w:rPr>
        <w:t>قال الله تعالى {وجاء ربك} إنما تأتي قدرته وإنما القرآن أمثال ومواعظ " أ هـ</w:t>
      </w:r>
      <w:r w:rsidR="000636C2">
        <w:rPr>
          <w:rFonts w:hint="cs"/>
          <w:rtl/>
        </w:rPr>
        <w:t xml:space="preserve"> </w:t>
      </w:r>
      <w:r w:rsidRPr="005675B2">
        <w:rPr>
          <w:rFonts w:hint="cs"/>
          <w:rtl/>
        </w:rPr>
        <w:t>-</w:t>
      </w:r>
      <w:r w:rsidR="000636C2">
        <w:rPr>
          <w:rFonts w:hint="cs"/>
          <w:rtl/>
        </w:rPr>
        <w:t xml:space="preserve"> </w:t>
      </w:r>
      <w:r w:rsidRPr="005675B2">
        <w:rPr>
          <w:rFonts w:hint="cs"/>
          <w:rtl/>
        </w:rPr>
        <w:t xml:space="preserve">ثم </w:t>
      </w:r>
      <w:r w:rsidRPr="005675B2">
        <w:rPr>
          <w:rFonts w:hint="cs"/>
          <w:u w:val="single"/>
          <w:rtl/>
        </w:rPr>
        <w:t>قال الإمام البيهقي " هذا إسناد صحيح لا غبار عليه</w:t>
      </w:r>
      <w:r w:rsidR="000636C2">
        <w:rPr>
          <w:u w:val="single"/>
          <w:rtl/>
        </w:rPr>
        <w:t>،</w:t>
      </w:r>
      <w:r>
        <w:rPr>
          <w:rFonts w:hint="cs"/>
          <w:u w:val="single"/>
          <w:rtl/>
        </w:rPr>
        <w:t xml:space="preserve"> </w:t>
      </w:r>
      <w:r w:rsidRPr="005675B2">
        <w:rPr>
          <w:rFonts w:hint="cs"/>
          <w:rtl/>
        </w:rPr>
        <w:t>وورد عن الإمام مالك تأويل النزول بالرحمة وفي صحة ذلك عنه خلاف</w:t>
      </w:r>
      <w:r w:rsidR="000636C2">
        <w:rPr>
          <w:rFonts w:hint="cs"/>
          <w:rtl/>
        </w:rPr>
        <w:t xml:space="preserve">، </w:t>
      </w:r>
      <w:r w:rsidRPr="005675B2">
        <w:rPr>
          <w:rFonts w:hint="cs"/>
          <w:rtl/>
        </w:rPr>
        <w:t xml:space="preserve">وثبت التأويل عن جمع من أصحاب الحديث </w:t>
      </w:r>
      <w:r w:rsidRPr="005675B2">
        <w:rPr>
          <w:rFonts w:hint="cs"/>
          <w:u w:val="single"/>
          <w:rtl/>
        </w:rPr>
        <w:t>منهم ابن عبدالبر وابن قتيبة والخطابي وغيرهم</w:t>
      </w:r>
      <w:r w:rsidR="000636C2">
        <w:rPr>
          <w:rFonts w:hint="cs"/>
          <w:u w:val="single"/>
          <w:rtl/>
        </w:rPr>
        <w:t>،</w:t>
      </w:r>
      <w:r>
        <w:rPr>
          <w:rFonts w:hint="cs"/>
          <w:rtl/>
        </w:rPr>
        <w:t xml:space="preserve"> </w:t>
      </w:r>
      <w:r w:rsidRPr="005675B2">
        <w:rPr>
          <w:rFonts w:hint="cs"/>
          <w:rtl/>
        </w:rPr>
        <w:t>قال</w:t>
      </w:r>
      <w:r w:rsidR="000636C2">
        <w:rPr>
          <w:rFonts w:hint="cs"/>
          <w:rtl/>
        </w:rPr>
        <w:t xml:space="preserve"> </w:t>
      </w:r>
      <w:r w:rsidRPr="005675B2">
        <w:rPr>
          <w:rFonts w:hint="cs"/>
          <w:rtl/>
        </w:rPr>
        <w:t>الامام ابن رجب الحنبلي رحمه الله في شرحه على</w:t>
      </w:r>
      <w:r w:rsidRPr="005675B2">
        <w:rPr>
          <w:rFonts w:hint="cs"/>
        </w:rPr>
        <w:t xml:space="preserve"> </w:t>
      </w:r>
      <w:r w:rsidRPr="005675B2">
        <w:rPr>
          <w:rFonts w:hint="cs"/>
          <w:rtl/>
        </w:rPr>
        <w:t>البخاري [</w:t>
      </w:r>
      <w:r w:rsidRPr="005675B2">
        <w:rPr>
          <w:rFonts w:hint="cs"/>
          <w:bCs/>
          <w:sz w:val="24"/>
          <w:szCs w:val="24"/>
          <w:rtl/>
        </w:rPr>
        <w:t>اعتقاد الإمام أحمد ص33</w:t>
      </w:r>
      <w:r w:rsidRPr="005675B2">
        <w:rPr>
          <w:rFonts w:hint="cs"/>
          <w:rtl/>
        </w:rPr>
        <w:t>]: (</w:t>
      </w:r>
      <w:r w:rsidR="000636C2">
        <w:rPr>
          <w:rFonts w:hint="cs"/>
          <w:rtl/>
        </w:rPr>
        <w:t>(</w:t>
      </w:r>
      <w:r w:rsidRPr="005675B2">
        <w:rPr>
          <w:rFonts w:hint="cs"/>
          <w:rtl/>
        </w:rPr>
        <w:t>ومنهم من يقول</w:t>
      </w:r>
      <w:r w:rsidR="000636C2">
        <w:rPr>
          <w:rFonts w:hint="cs"/>
          <w:rtl/>
        </w:rPr>
        <w:t>:</w:t>
      </w:r>
      <w:r w:rsidRPr="005675B2">
        <w:rPr>
          <w:rFonts w:hint="cs"/>
          <w:rtl/>
        </w:rPr>
        <w:t xml:space="preserve"> هو إقبال الله على</w:t>
      </w:r>
      <w:r w:rsidRPr="005675B2">
        <w:rPr>
          <w:rFonts w:hint="cs"/>
        </w:rPr>
        <w:t xml:space="preserve"> </w:t>
      </w:r>
      <w:r w:rsidRPr="005675B2">
        <w:rPr>
          <w:rFonts w:hint="cs"/>
          <w:rtl/>
        </w:rPr>
        <w:t>عباده</w:t>
      </w:r>
      <w:r w:rsidR="000636C2">
        <w:rPr>
          <w:rFonts w:hint="cs"/>
          <w:rtl/>
        </w:rPr>
        <w:t>،</w:t>
      </w:r>
      <w:r w:rsidRPr="005675B2">
        <w:rPr>
          <w:rFonts w:hint="cs"/>
          <w:rtl/>
        </w:rPr>
        <w:t xml:space="preserve"> وإفاضة الرحمة والإحسان عليهم</w:t>
      </w:r>
      <w:r w:rsidR="000636C2">
        <w:rPr>
          <w:rFonts w:hint="cs"/>
          <w:rtl/>
        </w:rPr>
        <w:t>،</w:t>
      </w:r>
      <w:r w:rsidRPr="005675B2">
        <w:rPr>
          <w:rFonts w:hint="cs"/>
          <w:rtl/>
        </w:rPr>
        <w:t xml:space="preserve"> ولكن يردُّ ذلك</w:t>
      </w:r>
      <w:r w:rsidR="000636C2">
        <w:rPr>
          <w:rFonts w:hint="cs"/>
          <w:rtl/>
        </w:rPr>
        <w:t>:</w:t>
      </w:r>
      <w:r w:rsidRPr="005675B2">
        <w:rPr>
          <w:rFonts w:hint="cs"/>
          <w:rtl/>
        </w:rPr>
        <w:t xml:space="preserve"> تخصيصه بالسماء الدنيا</w:t>
      </w:r>
      <w:r w:rsidR="000636C2">
        <w:rPr>
          <w:rFonts w:hint="cs"/>
          <w:rtl/>
        </w:rPr>
        <w:t>،</w:t>
      </w:r>
      <w:r w:rsidRPr="005675B2">
        <w:rPr>
          <w:rFonts w:hint="cs"/>
        </w:rPr>
        <w:t xml:space="preserve"> </w:t>
      </w:r>
      <w:r w:rsidRPr="005675B2">
        <w:rPr>
          <w:rFonts w:hint="cs"/>
          <w:rtl/>
        </w:rPr>
        <w:t>وهذا نوع من التأويل لأحاديث الصفات</w:t>
      </w:r>
      <w:r w:rsidR="000636C2">
        <w:rPr>
          <w:rFonts w:hint="cs"/>
          <w:rtl/>
        </w:rPr>
        <w:t>،</w:t>
      </w:r>
      <w:r w:rsidRPr="005675B2">
        <w:rPr>
          <w:rFonts w:hint="cs"/>
        </w:rPr>
        <w:t xml:space="preserve"> </w:t>
      </w:r>
      <w:r w:rsidRPr="005675B2">
        <w:rPr>
          <w:rFonts w:hint="cs"/>
          <w:u w:val="single"/>
          <w:rtl/>
        </w:rPr>
        <w:t>وقد مال إليه في حديث النزول</w:t>
      </w:r>
      <w:r w:rsidR="000636C2">
        <w:rPr>
          <w:rFonts w:hint="cs"/>
          <w:u w:val="single"/>
          <w:rtl/>
        </w:rPr>
        <w:t xml:space="preserve"> </w:t>
      </w:r>
      <w:r w:rsidRPr="005675B2">
        <w:rPr>
          <w:rFonts w:hint="cs"/>
          <w:u w:val="single"/>
          <w:rtl/>
        </w:rPr>
        <w:t>طائفة من أهل الحديث</w:t>
      </w:r>
      <w:r w:rsidR="000636C2">
        <w:rPr>
          <w:rFonts w:hint="cs"/>
          <w:u w:val="single"/>
          <w:rtl/>
        </w:rPr>
        <w:t>،</w:t>
      </w:r>
      <w:r w:rsidRPr="005675B2">
        <w:rPr>
          <w:rFonts w:hint="cs"/>
          <w:u w:val="single"/>
          <w:rtl/>
        </w:rPr>
        <w:t xml:space="preserve"> منهم</w:t>
      </w:r>
      <w:r w:rsidR="000636C2">
        <w:rPr>
          <w:rFonts w:hint="cs"/>
          <w:u w:val="single"/>
          <w:rtl/>
        </w:rPr>
        <w:t>:</w:t>
      </w:r>
      <w:r w:rsidRPr="005675B2">
        <w:rPr>
          <w:rFonts w:hint="cs"/>
          <w:u w:val="single"/>
          <w:rtl/>
        </w:rPr>
        <w:t xml:space="preserve"> ابن قتيبة</w:t>
      </w:r>
      <w:r w:rsidR="000636C2">
        <w:rPr>
          <w:rFonts w:hint="cs"/>
          <w:u w:val="single"/>
          <w:rtl/>
        </w:rPr>
        <w:t>،</w:t>
      </w:r>
      <w:r w:rsidRPr="005675B2">
        <w:rPr>
          <w:rFonts w:hint="cs"/>
          <w:u w:val="single"/>
          <w:rtl/>
        </w:rPr>
        <w:t xml:space="preserve"> والخطابي</w:t>
      </w:r>
      <w:r w:rsidR="000636C2">
        <w:rPr>
          <w:rFonts w:hint="cs"/>
          <w:u w:val="single"/>
          <w:rtl/>
        </w:rPr>
        <w:t>،</w:t>
      </w:r>
      <w:r w:rsidRPr="005675B2">
        <w:rPr>
          <w:rFonts w:hint="cs"/>
          <w:u w:val="single"/>
          <w:rtl/>
        </w:rPr>
        <w:t xml:space="preserve"> وابن عبد البر</w:t>
      </w:r>
      <w:r w:rsidR="000636C2">
        <w:rPr>
          <w:rFonts w:hint="cs"/>
          <w:rtl/>
        </w:rPr>
        <w:t>)</w:t>
      </w:r>
      <w:r w:rsidRPr="005675B2">
        <w:rPr>
          <w:rFonts w:hint="cs"/>
          <w:rtl/>
        </w:rPr>
        <w:t>)</w:t>
      </w:r>
      <w:r w:rsidR="000636C2">
        <w:rPr>
          <w:rFonts w:hint="cs"/>
          <w:rtl/>
        </w:rPr>
        <w:t>،</w:t>
      </w:r>
      <w:r w:rsidRPr="005675B2">
        <w:rPr>
          <w:rFonts w:hint="cs"/>
          <w:rtl/>
        </w:rPr>
        <w:t xml:space="preserve"> وقد خالفهم ابن رجب ولم يبدعهم كما يفعل الغلاة</w:t>
      </w:r>
      <w:r w:rsidR="000636C2">
        <w:rPr>
          <w:rFonts w:hint="cs"/>
          <w:rtl/>
        </w:rPr>
        <w:t>،</w:t>
      </w:r>
      <w:r w:rsidRPr="005675B2">
        <w:rPr>
          <w:rFonts w:hint="cs"/>
          <w:rtl/>
        </w:rPr>
        <w:t xml:space="preserve"> وله رأيه واجتهاده</w:t>
      </w:r>
      <w:r w:rsidR="000636C2">
        <w:rPr>
          <w:rFonts w:hint="cs"/>
          <w:rtl/>
        </w:rPr>
        <w:t>،</w:t>
      </w:r>
      <w:r w:rsidRPr="005675B2">
        <w:rPr>
          <w:rFonts w:hint="cs"/>
          <w:rtl/>
        </w:rPr>
        <w:t xml:space="preserve"> أ هـ </w:t>
      </w:r>
    </w:p>
    <w:p w14:paraId="038BDD6E" w14:textId="5A93BD68" w:rsidR="009C32A0" w:rsidRPr="005675B2" w:rsidRDefault="009C32A0" w:rsidP="000636C2">
      <w:pPr>
        <w:rPr>
          <w:b/>
          <w:u w:val="single"/>
          <w:rtl/>
        </w:rPr>
      </w:pPr>
      <w:r w:rsidRPr="005675B2">
        <w:rPr>
          <w:rFonts w:hint="cs"/>
          <w:rtl/>
        </w:rPr>
        <w:t>4</w:t>
      </w:r>
      <w:r w:rsidR="000636C2">
        <w:rPr>
          <w:rFonts w:hint="cs"/>
          <w:rtl/>
        </w:rPr>
        <w:t xml:space="preserve"> </w:t>
      </w:r>
      <w:r w:rsidRPr="005675B2">
        <w:rPr>
          <w:rFonts w:hint="cs"/>
          <w:rtl/>
        </w:rPr>
        <w:t>- النظر الصحيح</w:t>
      </w:r>
      <w:r w:rsidR="000636C2">
        <w:rPr>
          <w:rFonts w:hint="cs"/>
          <w:rtl/>
        </w:rPr>
        <w:t>:</w:t>
      </w:r>
      <w:r w:rsidRPr="005675B2">
        <w:rPr>
          <w:rFonts w:hint="cs"/>
          <w:rtl/>
        </w:rPr>
        <w:t xml:space="preserve"> حيث أن الناس ليس عندهم من التمكن في اللغة العربية وبلاغتها ما يمكنهم من معرفة دلالات الألفاظ ومجازاتها فكان التأويل حلاً لذلك كما قال ابن الجوزي رحمه الله</w:t>
      </w:r>
      <w:r w:rsidR="000636C2">
        <w:rPr>
          <w:rFonts w:hint="cs"/>
          <w:rtl/>
        </w:rPr>
        <w:t>:</w:t>
      </w:r>
      <w:r w:rsidRPr="005675B2">
        <w:rPr>
          <w:rFonts w:hint="cs"/>
          <w:rtl/>
        </w:rPr>
        <w:t>التشبيه داء والتأويل دواؤه فإن زال الداء فلا حاجة للدواء</w:t>
      </w:r>
      <w:r w:rsidR="000636C2">
        <w:rPr>
          <w:rFonts w:hint="cs"/>
          <w:rtl/>
        </w:rPr>
        <w:t>،</w:t>
      </w:r>
      <w:r w:rsidRPr="005675B2">
        <w:rPr>
          <w:rFonts w:hint="cs"/>
          <w:rtl/>
        </w:rPr>
        <w:t xml:space="preserve"> بخلاف الصحابة وكثير من التابعين فقد كانت سليقتهم العربية</w:t>
      </w:r>
      <w:r w:rsidR="000636C2">
        <w:rPr>
          <w:rFonts w:hint="cs"/>
          <w:rtl/>
        </w:rPr>
        <w:t>،</w:t>
      </w:r>
      <w:r w:rsidRPr="005675B2">
        <w:rPr>
          <w:rFonts w:hint="cs"/>
          <w:rtl/>
        </w:rPr>
        <w:t>ومعرفتهم بالمجاز والحقيقة والكناية</w:t>
      </w:r>
      <w:r w:rsidR="000636C2">
        <w:rPr>
          <w:rFonts w:hint="cs"/>
          <w:rtl/>
        </w:rPr>
        <w:t>،</w:t>
      </w:r>
      <w:r w:rsidRPr="005675B2">
        <w:rPr>
          <w:rFonts w:hint="cs"/>
          <w:rtl/>
        </w:rPr>
        <w:t>تطبيقاً عملياً وإن لم توضع المصطلحات بعد</w:t>
      </w:r>
      <w:r w:rsidR="000636C2">
        <w:rPr>
          <w:rFonts w:hint="cs"/>
          <w:rtl/>
        </w:rPr>
        <w:t>،</w:t>
      </w:r>
      <w:r w:rsidRPr="005675B2">
        <w:rPr>
          <w:rFonts w:hint="cs"/>
          <w:rtl/>
        </w:rPr>
        <w:t xml:space="preserve"> أقول</w:t>
      </w:r>
      <w:r w:rsidR="000636C2">
        <w:rPr>
          <w:rFonts w:hint="cs"/>
          <w:rtl/>
        </w:rPr>
        <w:t>:</w:t>
      </w:r>
      <w:r w:rsidRPr="005675B2">
        <w:rPr>
          <w:rFonts w:hint="cs"/>
          <w:rtl/>
        </w:rPr>
        <w:t xml:space="preserve"> كان لذلك دور عظيم في قلة التأويل في عصرهم</w:t>
      </w:r>
      <w:r w:rsidR="000636C2">
        <w:rPr>
          <w:rFonts w:hint="cs"/>
          <w:rtl/>
        </w:rPr>
        <w:t>،</w:t>
      </w:r>
      <w:r w:rsidRPr="005675B2">
        <w:rPr>
          <w:rFonts w:hint="cs"/>
          <w:rtl/>
        </w:rPr>
        <w:t xml:space="preserve"> ولولا ما فتحه الناس من تجميع لآيات وأحاديث سببت الوهم والتشبيه لما أتعب العلماء أنفسهم في التأويل</w:t>
      </w:r>
      <w:r w:rsidR="000636C2">
        <w:rPr>
          <w:rFonts w:hint="cs"/>
          <w:rtl/>
        </w:rPr>
        <w:t>،</w:t>
      </w:r>
      <w:r>
        <w:rPr>
          <w:rFonts w:hint="cs"/>
          <w:rtl/>
        </w:rPr>
        <w:t xml:space="preserve"> </w:t>
      </w:r>
      <w:r w:rsidRPr="005675B2">
        <w:rPr>
          <w:rFonts w:hint="cs"/>
          <w:rtl/>
        </w:rPr>
        <w:t>ولكن لثلاثة أسباب أو جبت التأويل وهي</w:t>
      </w:r>
      <w:r w:rsidR="000636C2">
        <w:rPr>
          <w:rFonts w:hint="cs"/>
          <w:rtl/>
        </w:rPr>
        <w:t xml:space="preserve">: </w:t>
      </w:r>
      <w:r w:rsidRPr="005675B2">
        <w:rPr>
          <w:rFonts w:hint="cs"/>
          <w:rtl/>
        </w:rPr>
        <w:t>1</w:t>
      </w:r>
      <w:r w:rsidR="000636C2">
        <w:rPr>
          <w:rFonts w:hint="cs"/>
          <w:rtl/>
        </w:rPr>
        <w:t xml:space="preserve"> </w:t>
      </w:r>
      <w:r w:rsidRPr="005675B2">
        <w:rPr>
          <w:rFonts w:hint="cs"/>
          <w:rtl/>
        </w:rPr>
        <w:t>- دخول الأعاجم في الإسلام وترجمة اليد أو الوجه أو نحوها إلى لغتهم سيفهم منه التشبيه غالباً وذلك لأنه لا يوجد في لغات الناس كلغة العرب في سعة المعاني</w:t>
      </w:r>
      <w:r w:rsidR="000636C2">
        <w:rPr>
          <w:rFonts w:hint="cs"/>
          <w:rtl/>
        </w:rPr>
        <w:t xml:space="preserve">، </w:t>
      </w: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خروج فرقة المشبهة كمقاتل وغيره مما أوجب إزالة ما نشروه بين العوام وطلبة العلم فكان لابد من حمل ما أوهموا به الناس حملاً سائغاً في اللغة لائقا بالله</w:t>
      </w:r>
      <w:r w:rsidR="000636C2">
        <w:rPr>
          <w:rFonts w:hint="cs"/>
          <w:rtl/>
        </w:rPr>
        <w:t xml:space="preserve">، </w:t>
      </w:r>
      <w:r w:rsidRPr="005675B2">
        <w:rPr>
          <w:rFonts w:hint="cs"/>
          <w:rtl/>
        </w:rPr>
        <w:t>3</w:t>
      </w:r>
      <w:r w:rsidR="000636C2">
        <w:rPr>
          <w:rFonts w:hint="cs"/>
          <w:rtl/>
        </w:rPr>
        <w:t xml:space="preserve"> </w:t>
      </w:r>
      <w:r w:rsidRPr="005675B2">
        <w:rPr>
          <w:rFonts w:hint="cs"/>
          <w:rtl/>
        </w:rPr>
        <w:t>- تجميع بعض من نحسبهم من أهل الخير</w:t>
      </w:r>
      <w:r w:rsidR="000636C2">
        <w:rPr>
          <w:rFonts w:hint="cs"/>
          <w:rtl/>
        </w:rPr>
        <w:t xml:space="preserve"> </w:t>
      </w:r>
      <w:r w:rsidRPr="005675B2">
        <w:rPr>
          <w:rFonts w:hint="cs"/>
          <w:rtl/>
        </w:rPr>
        <w:t>حيث جمّعوا نصوص الصفات المتفرقة بحسن نية وسوء عمل</w:t>
      </w:r>
      <w:r w:rsidR="000636C2">
        <w:rPr>
          <w:rFonts w:hint="cs"/>
          <w:rtl/>
        </w:rPr>
        <w:t>،</w:t>
      </w:r>
      <w:r w:rsidRPr="005675B2">
        <w:rPr>
          <w:rFonts w:hint="cs"/>
          <w:rtl/>
        </w:rPr>
        <w:t xml:space="preserve"> فساقوها في مساق واحد حتى تسببوا للناس في التخيلات والتشبيهات</w:t>
      </w:r>
      <w:r w:rsidR="000636C2">
        <w:rPr>
          <w:rFonts w:hint="cs"/>
          <w:rtl/>
        </w:rPr>
        <w:t>،</w:t>
      </w:r>
      <w:r w:rsidRPr="005675B2">
        <w:rPr>
          <w:rFonts w:hint="cs"/>
          <w:rtl/>
        </w:rPr>
        <w:t xml:space="preserve"> فإنهم قالوا باب إثبات الوجه لله ثم إثبات الصورة لله</w:t>
      </w:r>
      <w:r w:rsidR="000636C2">
        <w:rPr>
          <w:rFonts w:hint="cs"/>
          <w:rtl/>
        </w:rPr>
        <w:t xml:space="preserve"> </w:t>
      </w:r>
      <w:r w:rsidRPr="005675B2">
        <w:rPr>
          <w:rFonts w:hint="cs"/>
          <w:rtl/>
        </w:rPr>
        <w:t>ثم باب إثبات العين لله</w:t>
      </w:r>
      <w:r w:rsidR="000636C2">
        <w:rPr>
          <w:rFonts w:hint="cs"/>
          <w:rtl/>
        </w:rPr>
        <w:t>،</w:t>
      </w:r>
      <w:r w:rsidRPr="005675B2">
        <w:rPr>
          <w:rFonts w:hint="cs"/>
          <w:rtl/>
        </w:rPr>
        <w:t xml:space="preserve"> باب إثبات اليدين لله</w:t>
      </w:r>
      <w:r w:rsidR="000636C2">
        <w:rPr>
          <w:rFonts w:hint="cs"/>
          <w:rtl/>
        </w:rPr>
        <w:t>،</w:t>
      </w:r>
      <w:r w:rsidRPr="005675B2">
        <w:rPr>
          <w:rFonts w:hint="cs"/>
          <w:rtl/>
        </w:rPr>
        <w:t xml:space="preserve"> باب إثبات الساق لله باب إثبات القدم لله وهكذا</w:t>
      </w:r>
      <w:r w:rsidR="000636C2">
        <w:rPr>
          <w:rFonts w:hint="cs"/>
          <w:rtl/>
        </w:rPr>
        <w:t>،</w:t>
      </w:r>
      <w:r w:rsidRPr="005675B2">
        <w:rPr>
          <w:rFonts w:hint="cs"/>
          <w:rtl/>
        </w:rPr>
        <w:t xml:space="preserve"> بل زاد بعض الجهلة باب الحقو لله</w:t>
      </w:r>
      <w:r w:rsidR="000636C2">
        <w:rPr>
          <w:rFonts w:hint="cs"/>
          <w:rtl/>
        </w:rPr>
        <w:t>،</w:t>
      </w:r>
      <w:r w:rsidRPr="005675B2">
        <w:rPr>
          <w:rFonts w:hint="cs"/>
          <w:rtl/>
        </w:rPr>
        <w:t xml:space="preserve"> والشاخص</w:t>
      </w:r>
      <w:r w:rsidR="000636C2">
        <w:rPr>
          <w:rFonts w:hint="cs"/>
          <w:rtl/>
        </w:rPr>
        <w:t>،</w:t>
      </w:r>
      <w:r w:rsidRPr="005675B2">
        <w:rPr>
          <w:rFonts w:hint="cs"/>
          <w:rtl/>
        </w:rPr>
        <w:t xml:space="preserve"> والظل، والملل وغيرها من جهالاتهم</w:t>
      </w:r>
      <w:r w:rsidR="000636C2">
        <w:rPr>
          <w:rFonts w:hint="cs"/>
          <w:rtl/>
        </w:rPr>
        <w:t xml:space="preserve">، </w:t>
      </w:r>
      <w:r w:rsidRPr="005675B2">
        <w:rPr>
          <w:rFonts w:hint="cs"/>
          <w:rtl/>
        </w:rPr>
        <w:t>فبالله عليكم كيف للقارىء والسامع أن لا</w:t>
      </w:r>
      <w:r w:rsidR="000636C2">
        <w:rPr>
          <w:rFonts w:hint="cs"/>
          <w:rtl/>
        </w:rPr>
        <w:t xml:space="preserve"> </w:t>
      </w:r>
      <w:r w:rsidRPr="005675B2">
        <w:rPr>
          <w:rFonts w:hint="cs"/>
          <w:rtl/>
        </w:rPr>
        <w:t>يتخيل هيئة لله سبحانه وتعالى متركبة من أعضاء</w:t>
      </w:r>
      <w:r w:rsidR="000636C2">
        <w:rPr>
          <w:rFonts w:hint="cs"/>
          <w:rtl/>
        </w:rPr>
        <w:t>؟!</w:t>
      </w:r>
      <w:r w:rsidRPr="005675B2">
        <w:rPr>
          <w:rFonts w:hint="cs"/>
          <w:rtl/>
        </w:rPr>
        <w:t>بالرغم من أن العبد لو ترك بدون إيهام</w:t>
      </w:r>
      <w:r w:rsidR="000636C2">
        <w:rPr>
          <w:rFonts w:hint="cs"/>
          <w:rtl/>
        </w:rPr>
        <w:t>،</w:t>
      </w:r>
      <w:r w:rsidRPr="005675B2">
        <w:rPr>
          <w:rFonts w:hint="cs"/>
          <w:rtl/>
        </w:rPr>
        <w:t>وكانت الآيات كما هي في القرآن ما تخيل بإذن الله ولا وقع في التشبيه بحال</w:t>
      </w:r>
      <w:r w:rsidR="000636C2">
        <w:rPr>
          <w:rFonts w:hint="cs"/>
          <w:rtl/>
        </w:rPr>
        <w:t>،</w:t>
      </w:r>
      <w:r w:rsidRPr="005675B2">
        <w:rPr>
          <w:rFonts w:hint="cs"/>
          <w:u w:val="single"/>
          <w:rtl/>
        </w:rPr>
        <w:t>ولكن هو باب شر لادواء له إلا التأويل بشروطه السابقة ممن هو متمكن في اللغة والعلم</w:t>
      </w:r>
      <w:r w:rsidR="000636C2">
        <w:rPr>
          <w:rFonts w:hint="cs"/>
          <w:u w:val="single"/>
          <w:rtl/>
        </w:rPr>
        <w:t>،</w:t>
      </w:r>
    </w:p>
    <w:p w14:paraId="27BA7E22" w14:textId="0B423696" w:rsidR="009C32A0" w:rsidRPr="005675B2" w:rsidRDefault="009C32A0" w:rsidP="000636C2">
      <w:pPr>
        <w:rPr>
          <w:b/>
          <w:rtl/>
        </w:rPr>
      </w:pPr>
      <w:r w:rsidRPr="00D33BA6">
        <w:rPr>
          <w:rFonts w:hint="cs"/>
          <w:bCs/>
          <w:rtl/>
        </w:rPr>
        <w:t>أدلة أهل التفويض</w:t>
      </w:r>
      <w:r w:rsidR="000636C2">
        <w:rPr>
          <w:rFonts w:hint="cs"/>
          <w:rtl/>
        </w:rPr>
        <w:t xml:space="preserve">: </w:t>
      </w:r>
      <w:r w:rsidRPr="005675B2">
        <w:rPr>
          <w:rFonts w:hint="cs"/>
          <w:rtl/>
        </w:rPr>
        <w:t>1</w:t>
      </w:r>
      <w:r w:rsidR="000636C2">
        <w:rPr>
          <w:rFonts w:hint="cs"/>
          <w:rtl/>
        </w:rPr>
        <w:t xml:space="preserve"> </w:t>
      </w:r>
      <w:r w:rsidRPr="005675B2">
        <w:rPr>
          <w:rFonts w:hint="cs"/>
          <w:rtl/>
        </w:rPr>
        <w:t>- أن الوقف في آية آل عمران على قوله تعالى (</w:t>
      </w:r>
      <w:r w:rsidR="000636C2">
        <w:rPr>
          <w:rFonts w:hint="cs"/>
          <w:rtl/>
        </w:rPr>
        <w:t>(</w:t>
      </w:r>
      <w:r w:rsidRPr="005675B2">
        <w:rPr>
          <w:rFonts w:hint="cs"/>
          <w:rtl/>
        </w:rPr>
        <w:t>وما يعلم تأويله إلا الله</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وعلى هذا فلا نتكلم في شيء لا يعلمه إلا الله لأن تعيين المعنى المراد ضرب من الظن لا يصح في العقيدة</w:t>
      </w:r>
      <w:r w:rsidR="000636C2">
        <w:rPr>
          <w:rFonts w:hint="cs"/>
          <w:rtl/>
        </w:rPr>
        <w:t>،</w:t>
      </w:r>
      <w:r w:rsidRPr="005675B2">
        <w:rPr>
          <w:rFonts w:hint="cs"/>
          <w:rtl/>
        </w:rPr>
        <w:t xml:space="preserve"> وإلى هذا ذهب جمع كبير من السلف وبعض الأشاعرة والماتريدية وأكثر الحنابلة</w:t>
      </w:r>
      <w:r w:rsidR="000636C2">
        <w:rPr>
          <w:rFonts w:hint="cs"/>
          <w:rtl/>
        </w:rPr>
        <w:t xml:space="preserve">، </w:t>
      </w:r>
      <w:r w:rsidRPr="005675B2">
        <w:rPr>
          <w:rFonts w:hint="cs"/>
          <w:rtl/>
        </w:rPr>
        <w:t>ثم اختلف القائلون بالتفويض هل التأويل محرم أم خلاف الأولى فجمهور الحنابلة أنه محرم وذهب جمهور العلماء من الشافعية والمالكية والحنفية وبعض الحنابلة إلى أن المسألة هي من باب الأصح والصحيح ليس إلا</w:t>
      </w:r>
      <w:r w:rsidR="000636C2">
        <w:rPr>
          <w:rFonts w:hint="cs"/>
          <w:rtl/>
        </w:rPr>
        <w:t>، ((</w:t>
      </w:r>
      <w:r>
        <w:rPr>
          <w:rFonts w:hint="cs"/>
          <w:rtl/>
        </w:rPr>
        <w:t>تنبيه</w:t>
      </w:r>
      <w:r w:rsidR="000636C2">
        <w:rPr>
          <w:rFonts w:hint="cs"/>
          <w:rtl/>
        </w:rPr>
        <w:t>)):</w:t>
      </w:r>
      <w:r w:rsidRPr="005675B2">
        <w:rPr>
          <w:rFonts w:hint="cs"/>
          <w:rtl/>
        </w:rPr>
        <w:t xml:space="preserve"> أعجب ممن يمنع التأويل لأنه ظني رغم أن التأويل يرجع إلى صفة قطعية ثابتة لله ثم يأتي فيجزم بإثبات صفة لله بحديث ظني سواء كان ظنيا في نقله أو في معناه ودلالته فكيف بمن يثبته بالضعيف من الأحاديث بل كيف بمن يثبتها بالقياسات الفاسدة وبدلالة المفهوم كمن يثبتون الجهة والملل والظل نسأل الله العافية</w:t>
      </w:r>
      <w:r w:rsidR="000636C2">
        <w:rPr>
          <w:rFonts w:hint="cs"/>
          <w:rtl/>
        </w:rPr>
        <w:t>؟!</w:t>
      </w:r>
      <w:r w:rsidRPr="005675B2">
        <w:rPr>
          <w:rFonts w:hint="cs"/>
          <w:rtl/>
        </w:rPr>
        <w:t>!</w:t>
      </w:r>
      <w:r w:rsidR="000636C2">
        <w:rPr>
          <w:rFonts w:hint="cs"/>
          <w:rtl/>
        </w:rPr>
        <w:t>!</w:t>
      </w:r>
      <w:r w:rsidRPr="005675B2">
        <w:rPr>
          <w:rFonts w:hint="cs"/>
          <w:rtl/>
        </w:rPr>
        <w:t>!</w:t>
      </w:r>
      <w:r w:rsidR="000636C2">
        <w:rPr>
          <w:rFonts w:hint="cs"/>
          <w:rtl/>
        </w:rPr>
        <w:t>!</w:t>
      </w:r>
      <w:r w:rsidRPr="005675B2">
        <w:rPr>
          <w:rFonts w:hint="cs"/>
          <w:rtl/>
        </w:rPr>
        <w:t>!</w:t>
      </w:r>
      <w:r w:rsidR="000636C2">
        <w:rPr>
          <w:rFonts w:hint="cs"/>
          <w:rtl/>
        </w:rPr>
        <w:t xml:space="preserve"> </w:t>
      </w:r>
      <w:r w:rsidRPr="005675B2">
        <w:rPr>
          <w:rFonts w:hint="cs"/>
          <w:rtl/>
        </w:rPr>
        <w:t>ومن نظر في أدلة العلماء علم أن التفويض والتأويل</w:t>
      </w:r>
      <w:r w:rsidR="000636C2">
        <w:rPr>
          <w:rFonts w:hint="cs"/>
          <w:rtl/>
        </w:rPr>
        <w:t xml:space="preserve"> </w:t>
      </w:r>
      <w:r w:rsidRPr="005675B2">
        <w:rPr>
          <w:rFonts w:hint="cs"/>
          <w:rtl/>
        </w:rPr>
        <w:t>أمر اجتهادي لا قطعي وهو يدور بين الأجر</w:t>
      </w:r>
      <w:r w:rsidR="000636C2">
        <w:rPr>
          <w:rFonts w:hint="cs"/>
          <w:rtl/>
        </w:rPr>
        <w:t>،</w:t>
      </w:r>
      <w:r>
        <w:rPr>
          <w:rFonts w:hint="cs"/>
          <w:rtl/>
        </w:rPr>
        <w:t xml:space="preserve"> </w:t>
      </w:r>
      <w:r w:rsidRPr="005675B2">
        <w:rPr>
          <w:rFonts w:hint="cs"/>
          <w:rtl/>
        </w:rPr>
        <w:t>والأجرين وأن السلف من الصحابة والتابعين قد ثبت عنهم التأويل والتفويض وإن كان التفويض أكثر</w:t>
      </w:r>
      <w:r>
        <w:rPr>
          <w:rFonts w:hint="cs"/>
          <w:rtl/>
        </w:rPr>
        <w:t xml:space="preserve"> </w:t>
      </w:r>
      <w:r w:rsidRPr="005675B2">
        <w:rPr>
          <w:rFonts w:hint="cs"/>
          <w:rtl/>
        </w:rPr>
        <w:t>لعدم الحاجة إليه قبل ظهور البدع فهو دواء لداء ظهر وأول من استعمله الصحابة رضي الله عنهم</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انظر إلى أدلتهم بإنصاف وبحث عن الحق</w:t>
      </w:r>
      <w:r w:rsidR="000636C2">
        <w:rPr>
          <w:rFonts w:hint="cs"/>
          <w:bCs/>
          <w:sz w:val="24"/>
          <w:szCs w:val="24"/>
          <w:rtl/>
        </w:rPr>
        <w:t>]</w:t>
      </w:r>
    </w:p>
    <w:p w14:paraId="3885A888" w14:textId="673725C6" w:rsidR="009C32A0" w:rsidRPr="005675B2" w:rsidRDefault="009C32A0" w:rsidP="000636C2">
      <w:pPr>
        <w:rPr>
          <w:b/>
          <w:u w:val="single"/>
          <w:rtl/>
        </w:rPr>
      </w:pPr>
      <w:r w:rsidRPr="005675B2">
        <w:rPr>
          <w:rFonts w:hint="cs"/>
          <w:u w:val="single"/>
          <w:rtl/>
        </w:rPr>
        <w:t>اعتراض الإمام ابن تيمية</w:t>
      </w:r>
      <w:r w:rsidR="000636C2">
        <w:rPr>
          <w:rFonts w:hint="cs"/>
          <w:u w:val="single"/>
          <w:rtl/>
        </w:rPr>
        <w:t xml:space="preserve"> </w:t>
      </w:r>
      <w:r w:rsidRPr="005675B2">
        <w:rPr>
          <w:rFonts w:hint="cs"/>
          <w:u w:val="single"/>
          <w:rtl/>
        </w:rPr>
        <w:t>على التفويض</w:t>
      </w:r>
      <w:r w:rsidRPr="005675B2">
        <w:rPr>
          <w:rFonts w:hint="cs"/>
          <w:rtl/>
        </w:rPr>
        <w:t xml:space="preserve"> والرد على ذلك</w:t>
      </w:r>
      <w:r w:rsidR="000636C2">
        <w:rPr>
          <w:rFonts w:hint="cs"/>
          <w:rtl/>
        </w:rPr>
        <w:t xml:space="preserve">: </w:t>
      </w:r>
      <w:r w:rsidRPr="005675B2">
        <w:rPr>
          <w:rFonts w:hint="cs"/>
          <w:rtl/>
        </w:rPr>
        <w:t>ذهب بعض أهل التأويل</w:t>
      </w:r>
      <w:r w:rsidR="000636C2">
        <w:rPr>
          <w:rFonts w:hint="cs"/>
          <w:rtl/>
        </w:rPr>
        <w:t xml:space="preserve"> </w:t>
      </w:r>
      <w:r w:rsidRPr="005675B2">
        <w:rPr>
          <w:rFonts w:hint="cs"/>
          <w:rtl/>
        </w:rPr>
        <w:t>[</w:t>
      </w:r>
      <w:r w:rsidRPr="005675B2">
        <w:rPr>
          <w:rFonts w:hint="cs"/>
          <w:bCs/>
          <w:sz w:val="24"/>
          <w:szCs w:val="24"/>
          <w:rtl/>
        </w:rPr>
        <w:t>الحقيقة يراد بها أحد معنيين</w:t>
      </w:r>
      <w:r w:rsidR="000636C2">
        <w:rPr>
          <w:rFonts w:hint="cs"/>
          <w:bCs/>
          <w:sz w:val="24"/>
          <w:szCs w:val="24"/>
          <w:rtl/>
        </w:rPr>
        <w:t>:</w:t>
      </w:r>
      <w:r w:rsidRPr="005675B2">
        <w:rPr>
          <w:rFonts w:hint="cs"/>
          <w:bCs/>
          <w:sz w:val="24"/>
          <w:szCs w:val="24"/>
          <w:rtl/>
        </w:rPr>
        <w:t>فتطلق الحقيقة على نفس الأمر فيقال في الحقيقة علم أو عالم في الحقيقة والواقع .وعلى هذا المعنى يحمل ماجاء عن بعض العلماء</w:t>
      </w:r>
      <w:r w:rsidR="000636C2">
        <w:rPr>
          <w:rFonts w:hint="cs"/>
          <w:bCs/>
          <w:sz w:val="24"/>
          <w:szCs w:val="24"/>
          <w:rtl/>
        </w:rPr>
        <w:t xml:space="preserve"> </w:t>
      </w:r>
      <w:r w:rsidRPr="005675B2">
        <w:rPr>
          <w:rFonts w:hint="cs"/>
          <w:bCs/>
          <w:sz w:val="24"/>
          <w:szCs w:val="24"/>
          <w:rtl/>
        </w:rPr>
        <w:t>بقولهم لله يد حقيقة .المعنى الثاني: أن تطلق الحقيقة ويراد بها ماقابل المجاز وهي الكلمة المستعملة فيما وضعت له كاليد تستعمل حقيقة في الجارحة ومجازاً بمعنى النعمة كقول القائل لوالدك يد علي أي فضل ونعمة علي. وهكذا .فالإمام ابن تيمية كان يؤول الصفات على الحقيقة اللغوية بينما الأشاعرة والماتريدية فعلى المجاز اللغوي لكنه يقول حقيقة لائقة بالله.وهذا غير مسلم على لغة العرب</w:t>
      </w:r>
      <w:r w:rsidR="000636C2">
        <w:rPr>
          <w:rFonts w:hint="cs"/>
          <w:bCs/>
          <w:sz w:val="24"/>
          <w:szCs w:val="24"/>
          <w:rtl/>
        </w:rPr>
        <w:t xml:space="preserve"> </w:t>
      </w:r>
      <w:r w:rsidRPr="005675B2">
        <w:rPr>
          <w:rFonts w:hint="cs"/>
          <w:bCs/>
          <w:sz w:val="24"/>
          <w:szCs w:val="24"/>
          <w:rtl/>
        </w:rPr>
        <w:t>(العرب)</w:t>
      </w:r>
      <w:r w:rsidR="000636C2">
        <w:rPr>
          <w:rFonts w:hint="cs"/>
          <w:bCs/>
          <w:sz w:val="24"/>
          <w:szCs w:val="24"/>
          <w:rtl/>
        </w:rPr>
        <w:t xml:space="preserve"> </w:t>
      </w:r>
      <w:r w:rsidRPr="005675B2">
        <w:rPr>
          <w:rFonts w:hint="cs"/>
          <w:bCs/>
          <w:sz w:val="24"/>
          <w:szCs w:val="24"/>
          <w:rtl/>
        </w:rPr>
        <w:t>..وانظر ذكر نوعي الحقيقة في</w:t>
      </w:r>
      <w:r w:rsidR="000636C2">
        <w:rPr>
          <w:rFonts w:hint="cs"/>
          <w:bCs/>
          <w:sz w:val="24"/>
          <w:szCs w:val="24"/>
          <w:rtl/>
        </w:rPr>
        <w:t xml:space="preserve"> </w:t>
      </w:r>
      <w:r w:rsidRPr="005675B2">
        <w:rPr>
          <w:rFonts w:hint="cs"/>
          <w:bCs/>
          <w:sz w:val="24"/>
          <w:szCs w:val="24"/>
          <w:rtl/>
        </w:rPr>
        <w:t>حاشية الإمام الدسوقي على شرح أم البراهين</w:t>
      </w:r>
      <w:r w:rsidR="000636C2">
        <w:rPr>
          <w:rFonts w:hint="cs"/>
          <w:bCs/>
          <w:sz w:val="24"/>
          <w:szCs w:val="24"/>
          <w:rtl/>
        </w:rPr>
        <w:t xml:space="preserve"> </w:t>
      </w:r>
      <w:r w:rsidRPr="005675B2">
        <w:rPr>
          <w:rFonts w:hint="cs"/>
          <w:bCs/>
          <w:sz w:val="24"/>
          <w:szCs w:val="24"/>
          <w:rtl/>
        </w:rPr>
        <w:t>186</w:t>
      </w:r>
      <w:r w:rsidRPr="005675B2">
        <w:rPr>
          <w:rFonts w:hint="cs"/>
          <w:rtl/>
        </w:rPr>
        <w:t>] إلى ذم التفويض فمن ذلك قول</w:t>
      </w:r>
      <w:r w:rsidR="000636C2">
        <w:rPr>
          <w:rFonts w:hint="cs"/>
          <w:rtl/>
        </w:rPr>
        <w:t xml:space="preserve"> </w:t>
      </w:r>
      <w:r w:rsidRPr="005675B2">
        <w:rPr>
          <w:rFonts w:hint="cs"/>
          <w:rtl/>
        </w:rPr>
        <w:t>ابن تيمية في كتابه "درء تعارض العقل</w:t>
      </w:r>
      <w:r>
        <w:rPr>
          <w:rFonts w:hint="cs"/>
          <w:rtl/>
        </w:rPr>
        <w:t xml:space="preserve"> </w:t>
      </w:r>
      <w:r w:rsidRPr="005675B2">
        <w:rPr>
          <w:rFonts w:hint="cs"/>
          <w:rtl/>
        </w:rPr>
        <w:t>والنقل"</w:t>
      </w:r>
      <w:r w:rsidR="000636C2">
        <w:rPr>
          <w:rFonts w:hint="cs"/>
          <w:rtl/>
        </w:rPr>
        <w:t>:</w:t>
      </w:r>
      <w:r w:rsidRPr="005675B2">
        <w:rPr>
          <w:rFonts w:hint="cs"/>
          <w:rtl/>
        </w:rPr>
        <w:t xml:space="preserve"> "وأما التفويض</w:t>
      </w:r>
      <w:r w:rsidRPr="005675B2">
        <w:rPr>
          <w:rFonts w:hint="cs"/>
        </w:rPr>
        <w:t xml:space="preserve"> </w:t>
      </w:r>
      <w:r w:rsidRPr="005675B2">
        <w:rPr>
          <w:rFonts w:hint="cs"/>
          <w:rtl/>
        </w:rPr>
        <w:t>فمن المعلوم أن الله أمرنا بتدبر القرآن، وحضنا على عقله وفهمه، فكيف يجوز مع ذلك</w:t>
      </w:r>
      <w:r w:rsidRPr="005675B2">
        <w:rPr>
          <w:rFonts w:hint="cs"/>
        </w:rPr>
        <w:t xml:space="preserve"> </w:t>
      </w:r>
      <w:r w:rsidRPr="005675B2">
        <w:rPr>
          <w:rFonts w:hint="cs"/>
          <w:rtl/>
        </w:rPr>
        <w:t>أن يراد منا الإعراض عن فهمه ومعرفته وعقله"</w:t>
      </w:r>
      <w:r w:rsidR="000636C2">
        <w:rPr>
          <w:rFonts w:hint="cs"/>
          <w:rtl/>
        </w:rPr>
        <w:t>،</w:t>
      </w:r>
      <w:r w:rsidRPr="005675B2">
        <w:rPr>
          <w:rFonts w:hint="cs"/>
          <w:rtl/>
        </w:rPr>
        <w:t xml:space="preserve"> إلى أن قال</w:t>
      </w:r>
      <w:r w:rsidR="000636C2">
        <w:rPr>
          <w:rFonts w:hint="cs"/>
          <w:rtl/>
        </w:rPr>
        <w:t>:</w:t>
      </w:r>
      <w:r w:rsidRPr="005675B2">
        <w:t xml:space="preserve"> "</w:t>
      </w:r>
      <w:r w:rsidRPr="005675B2">
        <w:rPr>
          <w:rFonts w:hint="cs"/>
          <w:rtl/>
        </w:rPr>
        <w:t>فعلى</w:t>
      </w:r>
      <w:r w:rsidRPr="005675B2">
        <w:rPr>
          <w:rFonts w:hint="cs"/>
        </w:rPr>
        <w:t xml:space="preserve"> </w:t>
      </w:r>
      <w:r w:rsidRPr="005675B2">
        <w:rPr>
          <w:rFonts w:hint="cs"/>
          <w:rtl/>
        </w:rPr>
        <w:t>قول هؤلاء يكون الأنبياء والمرسلون لا يعلمون معاني ما أنزل الله عليهم من هذه</w:t>
      </w:r>
      <w:r w:rsidRPr="005675B2">
        <w:rPr>
          <w:rFonts w:hint="cs"/>
        </w:rPr>
        <w:t xml:space="preserve"> </w:t>
      </w:r>
      <w:r w:rsidRPr="005675B2">
        <w:rPr>
          <w:rFonts w:hint="cs"/>
          <w:rtl/>
        </w:rPr>
        <w:t>النصوص، ولا الملائكة، ولا السابقون الأولون، وحينئذ فيكون ما وصف الله به نفسه في</w:t>
      </w:r>
      <w:r w:rsidRPr="005675B2">
        <w:rPr>
          <w:rFonts w:hint="cs"/>
        </w:rPr>
        <w:t xml:space="preserve"> </w:t>
      </w:r>
      <w:r w:rsidRPr="005675B2">
        <w:rPr>
          <w:rFonts w:hint="cs"/>
          <w:rtl/>
        </w:rPr>
        <w:t>القرآن، أو كثير مما وصف الله به نفسه لا يعلم الأنبياء معناه،</w:t>
      </w:r>
      <w:r w:rsidRPr="005675B2">
        <w:rPr>
          <w:rFonts w:hint="cs"/>
        </w:rPr>
        <w:t xml:space="preserve"> </w:t>
      </w:r>
      <w:r w:rsidRPr="005675B2">
        <w:rPr>
          <w:rFonts w:hint="cs"/>
          <w:rtl/>
        </w:rPr>
        <w:t>بل</w:t>
      </w:r>
      <w:r w:rsidRPr="005675B2">
        <w:rPr>
          <w:rFonts w:hint="cs"/>
        </w:rPr>
        <w:t xml:space="preserve"> </w:t>
      </w:r>
      <w:r w:rsidRPr="005675B2">
        <w:rPr>
          <w:rFonts w:hint="cs"/>
          <w:rtl/>
        </w:rPr>
        <w:t>يقولون كلاماً لا يعقلون معناه"</w:t>
      </w:r>
      <w:r w:rsidR="000636C2">
        <w:rPr>
          <w:rFonts w:hint="cs"/>
          <w:rtl/>
        </w:rPr>
        <w:t>،</w:t>
      </w:r>
      <w:r w:rsidRPr="005675B2">
        <w:rPr>
          <w:rFonts w:hint="cs"/>
          <w:rtl/>
        </w:rPr>
        <w:t xml:space="preserve"> قال</w:t>
      </w:r>
      <w:r w:rsidR="000636C2">
        <w:rPr>
          <w:rFonts w:hint="cs"/>
          <w:rtl/>
        </w:rPr>
        <w:t>:</w:t>
      </w:r>
      <w:r w:rsidRPr="005675B2">
        <w:rPr>
          <w:rFonts w:hint="cs"/>
          <w:rtl/>
        </w:rPr>
        <w:t xml:space="preserve"> "ومعلوم أن هذا قدح في القرآن والأنبياء إذ</w:t>
      </w:r>
      <w:r w:rsidRPr="005675B2">
        <w:rPr>
          <w:rFonts w:hint="cs"/>
        </w:rPr>
        <w:t xml:space="preserve"> </w:t>
      </w:r>
      <w:r w:rsidRPr="005675B2">
        <w:rPr>
          <w:rFonts w:hint="cs"/>
          <w:rtl/>
        </w:rPr>
        <w:t>كان الله أنزل القرآن وأخبر أنه جعله هدى وبياناً للناس، وأمر الرسول أن يبلغ</w:t>
      </w:r>
      <w:r w:rsidRPr="005675B2">
        <w:rPr>
          <w:rFonts w:hint="cs"/>
        </w:rPr>
        <w:t xml:space="preserve"> </w:t>
      </w:r>
      <w:r w:rsidRPr="005675B2">
        <w:rPr>
          <w:rFonts w:hint="cs"/>
          <w:rtl/>
        </w:rPr>
        <w:t>البلاغ المبين، وأن يبين للناس ما نزل إليهم، وأمر بتدبر القرآن وعقله، ومع هذا</w:t>
      </w:r>
      <w:r w:rsidRPr="005675B2">
        <w:rPr>
          <w:rFonts w:hint="cs"/>
        </w:rPr>
        <w:t xml:space="preserve"> </w:t>
      </w:r>
      <w:r w:rsidRPr="005675B2">
        <w:rPr>
          <w:rFonts w:hint="cs"/>
          <w:rtl/>
        </w:rPr>
        <w:t>فأشرف ما فيه وهو ما أخبر به الرب عن صفاته، أو عن كونه خالقاً لكل شيء وهو بكل شيء</w:t>
      </w:r>
      <w:r w:rsidRPr="005675B2">
        <w:rPr>
          <w:rFonts w:hint="cs"/>
        </w:rPr>
        <w:t xml:space="preserve"> </w:t>
      </w:r>
      <w:r w:rsidRPr="005675B2">
        <w:rPr>
          <w:rFonts w:hint="cs"/>
          <w:rtl/>
        </w:rPr>
        <w:t>عليم، أو عن كونه أمر ونهى، ووعد وتوعد، أو عما أخبر به عن اليوم الآخر لا يعلم أحد</w:t>
      </w:r>
      <w:r w:rsidRPr="005675B2">
        <w:rPr>
          <w:rFonts w:hint="cs"/>
        </w:rPr>
        <w:t xml:space="preserve"> </w:t>
      </w:r>
      <w:r w:rsidRPr="005675B2">
        <w:rPr>
          <w:rFonts w:hint="cs"/>
          <w:rtl/>
        </w:rPr>
        <w:t>معناه فلا يعقل، ولا يتدبر، ولا يكون الرسول بين الناس ما نزل إليهم، ولا بلغ</w:t>
      </w:r>
      <w:r w:rsidRPr="005675B2">
        <w:rPr>
          <w:rFonts w:hint="cs"/>
        </w:rPr>
        <w:t xml:space="preserve"> </w:t>
      </w:r>
      <w:r w:rsidRPr="005675B2">
        <w:rPr>
          <w:rFonts w:hint="cs"/>
          <w:rtl/>
        </w:rPr>
        <w:t>البلاغ المبين، وعلى هذا التقدير فيقول كل ملحد ومبتدع</w:t>
      </w:r>
      <w:r w:rsidR="000636C2">
        <w:rPr>
          <w:rFonts w:hint="cs"/>
          <w:rtl/>
        </w:rPr>
        <w:t>:</w:t>
      </w:r>
      <w:r w:rsidRPr="005675B2">
        <w:rPr>
          <w:rFonts w:hint="cs"/>
          <w:rtl/>
        </w:rPr>
        <w:t xml:space="preserve"> الحق في نفس الأمر ما علمته</w:t>
      </w:r>
      <w:r w:rsidRPr="005675B2">
        <w:rPr>
          <w:rFonts w:hint="cs"/>
        </w:rPr>
        <w:t xml:space="preserve"> </w:t>
      </w:r>
      <w:r w:rsidRPr="005675B2">
        <w:rPr>
          <w:rFonts w:hint="cs"/>
          <w:rtl/>
        </w:rPr>
        <w:t>برأيي وعقلي، وليس في النصوص ما يناقض ذلك، لأن تلك النصوص مشكلة متشابهة، ولا يعلم</w:t>
      </w:r>
      <w:r w:rsidRPr="005675B2">
        <w:rPr>
          <w:rFonts w:hint="cs"/>
        </w:rPr>
        <w:t xml:space="preserve"> </w:t>
      </w:r>
      <w:r w:rsidRPr="005675B2">
        <w:rPr>
          <w:rFonts w:hint="cs"/>
          <w:rtl/>
        </w:rPr>
        <w:t>أحد معناها، وما لا يعلم أحد معناه لا يجوز أن يستدل به، فيبقى هذا الكلام سداً</w:t>
      </w:r>
      <w:r w:rsidRPr="005675B2">
        <w:rPr>
          <w:rFonts w:hint="cs"/>
        </w:rPr>
        <w:t xml:space="preserve"> </w:t>
      </w:r>
      <w:r w:rsidRPr="005675B2">
        <w:rPr>
          <w:rFonts w:hint="cs"/>
          <w:rtl/>
        </w:rPr>
        <w:t>لباب الهدى والبيان من جهة الأنبياء، وفتحاً لباب من يعارضهم ويقول إن الهدى</w:t>
      </w:r>
      <w:r w:rsidRPr="005675B2">
        <w:rPr>
          <w:rFonts w:hint="cs"/>
        </w:rPr>
        <w:t xml:space="preserve"> </w:t>
      </w:r>
      <w:r w:rsidRPr="005675B2">
        <w:rPr>
          <w:rFonts w:hint="cs"/>
          <w:rtl/>
        </w:rPr>
        <w:t>والبيان في طريقنا لا في طريق الأنبياء؛ لأنا نحن نعلم ما نقول ونبينه بالأدلة</w:t>
      </w:r>
      <w:r w:rsidRPr="005675B2">
        <w:rPr>
          <w:rFonts w:hint="cs"/>
        </w:rPr>
        <w:t xml:space="preserve"> </w:t>
      </w:r>
      <w:r w:rsidRPr="005675B2">
        <w:rPr>
          <w:rFonts w:hint="cs"/>
          <w:rtl/>
        </w:rPr>
        <w:t>العقلية، والأنبياء لم يعلموا ما يقولون، فضلاً عن أن يبينوا مرادهم،</w:t>
      </w:r>
      <w:r w:rsidRPr="005675B2">
        <w:rPr>
          <w:rFonts w:hint="cs"/>
        </w:rPr>
        <w:t xml:space="preserve"> </w:t>
      </w:r>
      <w:r w:rsidRPr="005675B2">
        <w:rPr>
          <w:rFonts w:hint="cs"/>
          <w:rtl/>
        </w:rPr>
        <w:t>فتبين أن قول أهل التفويض الذين يزعمون أنهم متبعون للسنة والسلف من شر</w:t>
      </w:r>
      <w:r w:rsidRPr="005675B2">
        <w:rPr>
          <w:rFonts w:hint="cs"/>
        </w:rPr>
        <w:t xml:space="preserve"> </w:t>
      </w:r>
      <w:r w:rsidRPr="005675B2">
        <w:rPr>
          <w:rFonts w:hint="cs"/>
          <w:rtl/>
        </w:rPr>
        <w:t>أقوال أهل البدع والإلحاد</w:t>
      </w:r>
      <w:r w:rsidRPr="005675B2">
        <w:t>"</w:t>
      </w:r>
      <w:r w:rsidR="000636C2">
        <w:rPr>
          <w:rtl/>
        </w:rPr>
        <w:t>،</w:t>
      </w:r>
      <w:r w:rsidRPr="005675B2">
        <w:rPr>
          <w:rFonts w:hint="cs"/>
          <w:rtl/>
        </w:rPr>
        <w:t xml:space="preserve"> أهـ كلامه رحمه الله</w:t>
      </w:r>
      <w:r w:rsidR="000636C2">
        <w:rPr>
          <w:rFonts w:hint="cs"/>
          <w:rtl/>
        </w:rPr>
        <w:t>،</w:t>
      </w:r>
    </w:p>
    <w:p w14:paraId="7A9F3C80" w14:textId="10552FBC" w:rsidR="009C32A0" w:rsidRPr="005675B2" w:rsidRDefault="009C32A0" w:rsidP="000636C2">
      <w:pPr>
        <w:rPr>
          <w:b/>
        </w:rPr>
      </w:pPr>
      <w:r w:rsidRPr="00D33BA6">
        <w:rPr>
          <w:rFonts w:hint="cs"/>
          <w:bCs/>
          <w:u w:val="single"/>
          <w:rtl/>
        </w:rPr>
        <w:t>الـرد على ذلـك</w:t>
      </w:r>
      <w:r w:rsidR="000636C2">
        <w:rPr>
          <w:rFonts w:hint="cs"/>
          <w:bCs/>
          <w:u w:val="single"/>
          <w:rtl/>
        </w:rPr>
        <w:t>:</w:t>
      </w:r>
      <w:r w:rsidR="000636C2">
        <w:rPr>
          <w:rFonts w:hint="cs"/>
          <w:u w:val="single"/>
          <w:rtl/>
        </w:rPr>
        <w:t xml:space="preserve"> </w:t>
      </w:r>
      <w:r w:rsidRPr="005675B2">
        <w:rPr>
          <w:rFonts w:hint="cs"/>
          <w:rtl/>
        </w:rPr>
        <w:t>ليُعلم</w:t>
      </w:r>
      <w:r w:rsidR="000636C2">
        <w:rPr>
          <w:rFonts w:hint="cs"/>
          <w:rtl/>
        </w:rPr>
        <w:t xml:space="preserve"> </w:t>
      </w:r>
      <w:r w:rsidRPr="005675B2">
        <w:rPr>
          <w:rFonts w:hint="cs"/>
          <w:rtl/>
        </w:rPr>
        <w:t>بداية أن</w:t>
      </w:r>
      <w:r w:rsidR="000636C2">
        <w:rPr>
          <w:rFonts w:hint="cs"/>
          <w:rtl/>
        </w:rPr>
        <w:t xml:space="preserve"> </w:t>
      </w:r>
      <w:r w:rsidRPr="005675B2">
        <w:rPr>
          <w:rFonts w:hint="cs"/>
          <w:rtl/>
        </w:rPr>
        <w:t>التفويض بالمعنى الذي ذكره الإمام ابن تيمية لا يوجد على الإطلاق</w:t>
      </w:r>
      <w:r w:rsidR="000636C2">
        <w:rPr>
          <w:rFonts w:hint="cs"/>
          <w:rtl/>
        </w:rPr>
        <w:t>،</w:t>
      </w:r>
      <w:r w:rsidRPr="005675B2">
        <w:rPr>
          <w:rFonts w:hint="cs"/>
          <w:rtl/>
        </w:rPr>
        <w:t xml:space="preserve"> فلا الحنابلة المفوضة ولا الأشعرية وغيرهم من أهل السنة يوجد منهم الإعراض عن فهمه ومعرفته وعقله، ولم يقل هؤلاء أن الأنبياء والمرسلين لا يعلمون معاني ما أنزل الله عليهم</w:t>
      </w:r>
      <w:r w:rsidRPr="005675B2">
        <w:rPr>
          <w:rFonts w:hint="cs"/>
        </w:rPr>
        <w:t xml:space="preserve"> </w:t>
      </w:r>
      <w:r w:rsidRPr="005675B2">
        <w:rPr>
          <w:rFonts w:hint="cs"/>
          <w:rtl/>
        </w:rPr>
        <w:t>من هذه النصوص</w:t>
      </w:r>
      <w:r w:rsidR="000636C2">
        <w:rPr>
          <w:rFonts w:hint="cs"/>
          <w:rtl/>
        </w:rPr>
        <w:t>،</w:t>
      </w:r>
      <w:r w:rsidRPr="005675B2">
        <w:rPr>
          <w:rFonts w:hint="cs"/>
          <w:rtl/>
        </w:rPr>
        <w:t xml:space="preserve"> ولا قدحوا في القرآن والأنبياء</w:t>
      </w:r>
      <w:r>
        <w:rPr>
          <w:rFonts w:hint="cs"/>
          <w:rtl/>
        </w:rPr>
        <w:t xml:space="preserve"> </w:t>
      </w:r>
      <w:r w:rsidRPr="005675B2">
        <w:rPr>
          <w:rFonts w:hint="cs"/>
          <w:rtl/>
        </w:rPr>
        <w:t>بل بينوا ما أنزل</w:t>
      </w:r>
      <w:r w:rsidR="000636C2">
        <w:rPr>
          <w:rFonts w:hint="cs"/>
          <w:rtl/>
        </w:rPr>
        <w:t xml:space="preserve">، </w:t>
      </w:r>
      <w:r w:rsidRPr="005675B2">
        <w:rPr>
          <w:rFonts w:hint="cs"/>
          <w:rtl/>
        </w:rPr>
        <w:t>فإذا ظهر تفويض كالذي ذكره الإمام ابن تيمية</w:t>
      </w:r>
      <w:r w:rsidR="000636C2">
        <w:rPr>
          <w:rFonts w:hint="cs"/>
          <w:rtl/>
        </w:rPr>
        <w:t xml:space="preserve"> </w:t>
      </w:r>
      <w:r w:rsidRPr="005675B2">
        <w:rPr>
          <w:rFonts w:hint="cs"/>
          <w:rtl/>
        </w:rPr>
        <w:t>في يوم من الأيام، فهو مردود على قائله</w:t>
      </w:r>
      <w:r w:rsidR="000636C2">
        <w:rPr>
          <w:rFonts w:hint="cs"/>
          <w:rtl/>
        </w:rPr>
        <w:t>،</w:t>
      </w:r>
      <w:r w:rsidRPr="005675B2">
        <w:rPr>
          <w:rFonts w:hint="cs"/>
          <w:rtl/>
        </w:rPr>
        <w:t>ولا حاجة للاستفاضة في ذلك فهو لا يحتاج إلى بيان</w:t>
      </w:r>
      <w:r w:rsidR="000636C2">
        <w:rPr>
          <w:rFonts w:hint="cs"/>
          <w:rtl/>
        </w:rPr>
        <w:t>،</w:t>
      </w:r>
      <w:r w:rsidRPr="005675B2">
        <w:rPr>
          <w:rFonts w:hint="cs"/>
          <w:rtl/>
        </w:rPr>
        <w:t xml:space="preserve"> فليس أحد من أهل</w:t>
      </w:r>
      <w:r w:rsidRPr="005675B2">
        <w:rPr>
          <w:rFonts w:hint="cs"/>
        </w:rPr>
        <w:t xml:space="preserve"> </w:t>
      </w:r>
      <w:r w:rsidRPr="005675B2">
        <w:rPr>
          <w:rFonts w:hint="cs"/>
          <w:rtl/>
        </w:rPr>
        <w:t>التفويض يذهب إلى أن القرآن لا يتدبر ولا يفهم</w:t>
      </w:r>
      <w:r w:rsidR="000636C2">
        <w:rPr>
          <w:rFonts w:hint="cs"/>
          <w:rtl/>
        </w:rPr>
        <w:t>،</w:t>
      </w:r>
      <w:r w:rsidRPr="005675B2">
        <w:rPr>
          <w:rFonts w:hint="cs"/>
          <w:rtl/>
        </w:rPr>
        <w:t xml:space="preserve"> وكتبهم طافحة ببيان آيات وأحاديث</w:t>
      </w:r>
      <w:r w:rsidRPr="005675B2">
        <w:rPr>
          <w:rFonts w:hint="cs"/>
        </w:rPr>
        <w:t xml:space="preserve"> </w:t>
      </w:r>
      <w:r w:rsidRPr="005675B2">
        <w:rPr>
          <w:rFonts w:hint="cs"/>
          <w:rtl/>
        </w:rPr>
        <w:t>الصفات</w:t>
      </w:r>
      <w:r w:rsidR="000636C2">
        <w:rPr>
          <w:rFonts w:hint="cs"/>
          <w:rtl/>
        </w:rPr>
        <w:t>،</w:t>
      </w:r>
      <w:r w:rsidRPr="005675B2">
        <w:rPr>
          <w:rFonts w:hint="cs"/>
          <w:rtl/>
        </w:rPr>
        <w:t xml:space="preserve"> فتفسير الإمام الطبري</w:t>
      </w:r>
      <w:r w:rsidR="000636C2">
        <w:rPr>
          <w:rFonts w:hint="cs"/>
          <w:rtl/>
        </w:rPr>
        <w:t>،</w:t>
      </w:r>
      <w:r w:rsidRPr="005675B2">
        <w:rPr>
          <w:rFonts w:hint="cs"/>
          <w:rtl/>
        </w:rPr>
        <w:t xml:space="preserve"> والقرطبي</w:t>
      </w:r>
      <w:r w:rsidR="000636C2">
        <w:rPr>
          <w:rFonts w:hint="cs"/>
          <w:rtl/>
        </w:rPr>
        <w:t>،</w:t>
      </w:r>
      <w:r w:rsidRPr="005675B2">
        <w:rPr>
          <w:rFonts w:hint="cs"/>
          <w:rtl/>
        </w:rPr>
        <w:t xml:space="preserve"> وابن كثير</w:t>
      </w:r>
      <w:r w:rsidR="000636C2">
        <w:rPr>
          <w:rFonts w:hint="cs"/>
          <w:rtl/>
        </w:rPr>
        <w:t>،</w:t>
      </w:r>
      <w:r w:rsidRPr="005675B2">
        <w:rPr>
          <w:rFonts w:hint="cs"/>
          <w:rtl/>
        </w:rPr>
        <w:t xml:space="preserve"> والبغوي</w:t>
      </w:r>
      <w:r w:rsidR="000636C2">
        <w:rPr>
          <w:rFonts w:hint="cs"/>
          <w:rtl/>
        </w:rPr>
        <w:t>،</w:t>
      </w:r>
      <w:r w:rsidRPr="005675B2">
        <w:rPr>
          <w:rFonts w:hint="cs"/>
          <w:rtl/>
        </w:rPr>
        <w:t xml:space="preserve"> وابن عطية</w:t>
      </w:r>
      <w:r w:rsidR="000636C2">
        <w:rPr>
          <w:rFonts w:hint="cs"/>
          <w:rtl/>
        </w:rPr>
        <w:t>،</w:t>
      </w:r>
      <w:r w:rsidRPr="005675B2">
        <w:rPr>
          <w:rFonts w:hint="cs"/>
          <w:rtl/>
        </w:rPr>
        <w:t xml:space="preserve"> والبيضاوي</w:t>
      </w:r>
      <w:r w:rsidR="000636C2">
        <w:rPr>
          <w:rFonts w:hint="cs"/>
          <w:rtl/>
        </w:rPr>
        <w:t>،</w:t>
      </w:r>
      <w:r w:rsidRPr="005675B2">
        <w:rPr>
          <w:rFonts w:hint="cs"/>
          <w:rtl/>
        </w:rPr>
        <w:t xml:space="preserve"> وغيرهم كثير</w:t>
      </w:r>
      <w:r w:rsidR="000636C2">
        <w:rPr>
          <w:rFonts w:hint="cs"/>
          <w:rtl/>
        </w:rPr>
        <w:t>،</w:t>
      </w:r>
      <w:r w:rsidRPr="005675B2">
        <w:rPr>
          <w:rFonts w:hint="cs"/>
          <w:rtl/>
        </w:rPr>
        <w:t xml:space="preserve"> وانظر شراح الحديث فشرح صحيح مسلم وشرح البخاري وشرح جامع الترمذي وشرح سنن أبي</w:t>
      </w:r>
      <w:r w:rsidRPr="005675B2">
        <w:rPr>
          <w:rFonts w:hint="cs"/>
        </w:rPr>
        <w:t xml:space="preserve"> </w:t>
      </w:r>
      <w:r w:rsidRPr="005675B2">
        <w:rPr>
          <w:rFonts w:hint="cs"/>
          <w:rtl/>
        </w:rPr>
        <w:t>داود وغيرها كثير</w:t>
      </w:r>
      <w:r w:rsidR="000636C2">
        <w:rPr>
          <w:rFonts w:hint="cs"/>
          <w:rtl/>
        </w:rPr>
        <w:t>،</w:t>
      </w:r>
      <w:r w:rsidRPr="005675B2">
        <w:rPr>
          <w:rFonts w:hint="cs"/>
          <w:rtl/>
        </w:rPr>
        <w:t xml:space="preserve"> وكتب العقائد</w:t>
      </w:r>
      <w:r w:rsidR="000636C2">
        <w:rPr>
          <w:rFonts w:hint="cs"/>
          <w:rtl/>
        </w:rPr>
        <w:t>،</w:t>
      </w:r>
      <w:r w:rsidRPr="005675B2">
        <w:rPr>
          <w:rFonts w:hint="cs"/>
          <w:rtl/>
        </w:rPr>
        <w:t xml:space="preserve"> كلها دالة على سعة علم الأئمة وقوة فهمهم للقرآن والسنة والعقيدة</w:t>
      </w:r>
      <w:r w:rsidR="000636C2">
        <w:rPr>
          <w:rFonts w:hint="cs"/>
          <w:rtl/>
        </w:rPr>
        <w:t>،</w:t>
      </w:r>
    </w:p>
    <w:p w14:paraId="49E0E533" w14:textId="51C0C6F4" w:rsidR="009C32A0" w:rsidRPr="005675B2" w:rsidRDefault="009C32A0" w:rsidP="000636C2">
      <w:pPr>
        <w:rPr>
          <w:b/>
          <w:u w:val="single"/>
          <w:rtl/>
        </w:rPr>
      </w:pPr>
      <w:r w:rsidRPr="00D33BA6">
        <w:rPr>
          <w:rFonts w:hint="cs"/>
          <w:bCs/>
          <w:u w:val="single"/>
          <w:rtl/>
        </w:rPr>
        <w:t>نماذج من تأويلات علماء الأمة</w:t>
      </w:r>
      <w:r w:rsidR="000636C2">
        <w:rPr>
          <w:rFonts w:hint="cs"/>
          <w:bCs/>
          <w:u w:val="single"/>
          <w:rtl/>
        </w:rPr>
        <w:t xml:space="preserve"> </w:t>
      </w:r>
      <w:r w:rsidRPr="00D33BA6">
        <w:rPr>
          <w:rFonts w:hint="cs"/>
          <w:bCs/>
          <w:u w:val="single"/>
          <w:rtl/>
        </w:rPr>
        <w:t>أهل العلم والتقى من سلفهم وخلفهم</w:t>
      </w:r>
      <w:r w:rsidR="000636C2">
        <w:rPr>
          <w:rFonts w:hint="cs"/>
          <w:u w:val="single"/>
          <w:rtl/>
        </w:rPr>
        <w:t>:</w:t>
      </w:r>
      <w:r w:rsidRPr="005675B2">
        <w:rPr>
          <w:rFonts w:hint="cs"/>
          <w:u w:val="single"/>
          <w:rtl/>
        </w:rPr>
        <w:t xml:space="preserve"> [</w:t>
      </w:r>
      <w:r w:rsidRPr="005675B2">
        <w:rPr>
          <w:rFonts w:hint="cs"/>
          <w:bCs/>
          <w:sz w:val="24"/>
          <w:szCs w:val="24"/>
          <w:rtl/>
        </w:rPr>
        <w:t>ذكر الشيخ عمر كامل كثيراً من ذلك في كتابه كفى تفريقاً للأمة باسم السلف</w:t>
      </w:r>
      <w:r w:rsidR="000636C2">
        <w:rPr>
          <w:rFonts w:hint="cs"/>
          <w:bCs/>
          <w:sz w:val="24"/>
          <w:szCs w:val="24"/>
          <w:rtl/>
        </w:rPr>
        <w:t>]</w:t>
      </w:r>
    </w:p>
    <w:p w14:paraId="53C5A22E" w14:textId="276D38EB"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تأويل ابن عباس رضي الله عنهما</w:t>
      </w:r>
      <w:r w:rsidR="000636C2">
        <w:rPr>
          <w:rFonts w:hint="cs"/>
          <w:rtl/>
        </w:rPr>
        <w:t>:{</w:t>
      </w:r>
      <w:r w:rsidRPr="005675B2">
        <w:rPr>
          <w:rFonts w:hint="cs"/>
          <w:rtl/>
        </w:rPr>
        <w:t>يد الله فوق أيديهم</w:t>
      </w:r>
      <w:r w:rsidR="000636C2">
        <w:rPr>
          <w:rFonts w:hint="cs"/>
          <w:rtl/>
        </w:rPr>
        <w:t>}</w:t>
      </w:r>
      <w:r w:rsidRPr="005675B2">
        <w:rPr>
          <w:rFonts w:hint="cs"/>
          <w:rtl/>
        </w:rPr>
        <w:t xml:space="preserve"> قال ابن عباس رضي الله عنهما</w:t>
      </w:r>
      <w:r w:rsidR="000636C2">
        <w:rPr>
          <w:rFonts w:hint="cs"/>
          <w:rtl/>
        </w:rPr>
        <w:t>:</w:t>
      </w:r>
      <w:r w:rsidRPr="005675B2">
        <w:rPr>
          <w:rFonts w:hint="cs"/>
          <w:rtl/>
        </w:rPr>
        <w:t xml:space="preserve"> يد الله بالوفاء بما وعدهم من الخير فوق أيديهم</w:t>
      </w:r>
      <w:r w:rsidR="000636C2">
        <w:rPr>
          <w:rFonts w:hint="cs"/>
          <w:rtl/>
        </w:rPr>
        <w:t>،</w:t>
      </w:r>
      <w:r w:rsidRPr="005675B2">
        <w:rPr>
          <w:rFonts w:hint="cs"/>
          <w:rtl/>
        </w:rPr>
        <w:t xml:space="preserve"> [</w:t>
      </w:r>
      <w:r w:rsidRPr="005675B2">
        <w:rPr>
          <w:rFonts w:hint="cs"/>
          <w:bCs/>
          <w:sz w:val="24"/>
          <w:szCs w:val="24"/>
          <w:rtl/>
        </w:rPr>
        <w:t>تفسير معالم التنزيل للبغوي،سورة الفتح]</w:t>
      </w:r>
      <w:r w:rsidRPr="005675B2">
        <w:rPr>
          <w:rFonts w:hint="cs"/>
          <w:rtl/>
        </w:rPr>
        <w:t xml:space="preserve"> فلم يقل أنه العضو أو الطرف سبحان الله عن ذلك بل قال إن المقصود هو الوفاء</w:t>
      </w:r>
      <w:r w:rsidR="000636C2">
        <w:rPr>
          <w:rFonts w:hint="cs"/>
          <w:rtl/>
        </w:rPr>
        <w:t>،</w:t>
      </w:r>
      <w:r w:rsidRPr="005675B2">
        <w:rPr>
          <w:rFonts w:hint="cs"/>
          <w:rtl/>
        </w:rPr>
        <w:t xml:space="preserve"> فنعم تثبت صفة اليد ولكن ليست العضو والطرف لأن هذا هو المعنى اللغوي على الحقيقة في اللغة فصرفه ابن عباس إلى</w:t>
      </w:r>
      <w:r w:rsidR="000636C2">
        <w:rPr>
          <w:rFonts w:hint="cs"/>
          <w:rtl/>
        </w:rPr>
        <w:t xml:space="preserve"> </w:t>
      </w:r>
      <w:r w:rsidRPr="005675B2">
        <w:rPr>
          <w:rFonts w:hint="cs"/>
          <w:rtl/>
        </w:rPr>
        <w:t>المعنى اللائق بالله</w:t>
      </w:r>
      <w:r w:rsidR="000636C2">
        <w:rPr>
          <w:rFonts w:hint="cs"/>
          <w:rtl/>
        </w:rPr>
        <w:t>،</w:t>
      </w:r>
      <w:r>
        <w:rPr>
          <w:rFonts w:hint="cs"/>
          <w:rtl/>
        </w:rPr>
        <w:t xml:space="preserve"> </w:t>
      </w:r>
      <w:r w:rsidRPr="005675B2">
        <w:rPr>
          <w:rFonts w:hint="cs"/>
          <w:rtl/>
        </w:rPr>
        <w:t>وقال ابن جرير وهو من أعيان علماء السلف</w:t>
      </w:r>
      <w:r w:rsidR="000636C2">
        <w:rPr>
          <w:rFonts w:hint="cs"/>
          <w:rtl/>
        </w:rPr>
        <w:t>:</w:t>
      </w:r>
      <w:r w:rsidRPr="005675B2">
        <w:rPr>
          <w:rFonts w:hint="cs"/>
          <w:rtl/>
        </w:rPr>
        <w:t xml:space="preserve"> وفي قوله </w:t>
      </w:r>
      <w:r w:rsidR="000636C2">
        <w:rPr>
          <w:rFonts w:hint="cs"/>
          <w:rtl/>
        </w:rPr>
        <w:t>{</w:t>
      </w:r>
      <w:r w:rsidRPr="005675B2">
        <w:rPr>
          <w:rFonts w:hint="cs"/>
          <w:rtl/>
        </w:rPr>
        <w:t>يد الله فوق أيديهم</w:t>
      </w:r>
      <w:r w:rsidR="000636C2">
        <w:rPr>
          <w:rFonts w:hint="cs"/>
          <w:rtl/>
        </w:rPr>
        <w:t>}</w:t>
      </w:r>
      <w:r w:rsidRPr="005675B2">
        <w:rPr>
          <w:rFonts w:hint="cs"/>
          <w:rtl/>
        </w:rPr>
        <w:t xml:space="preserve"> وجهان من التأويل</w:t>
      </w:r>
      <w:r w:rsidR="000636C2">
        <w:rPr>
          <w:rFonts w:hint="cs"/>
          <w:rtl/>
        </w:rPr>
        <w:t>:</w:t>
      </w:r>
      <w:r w:rsidRPr="005675B2">
        <w:rPr>
          <w:rFonts w:hint="cs"/>
          <w:rtl/>
        </w:rPr>
        <w:t xml:space="preserve"> أحدهما</w:t>
      </w:r>
      <w:r w:rsidR="000636C2">
        <w:rPr>
          <w:rFonts w:hint="cs"/>
          <w:rtl/>
        </w:rPr>
        <w:t>:</w:t>
      </w:r>
      <w:r w:rsidRPr="005675B2">
        <w:rPr>
          <w:rFonts w:hint="cs"/>
          <w:rtl/>
        </w:rPr>
        <w:t xml:space="preserve"> يد الله فوق أيديهم عند البيعة</w:t>
      </w:r>
      <w:r w:rsidR="000636C2">
        <w:rPr>
          <w:rFonts w:hint="cs"/>
          <w:rtl/>
        </w:rPr>
        <w:t>،</w:t>
      </w:r>
      <w:r w:rsidRPr="005675B2">
        <w:rPr>
          <w:rFonts w:hint="cs"/>
          <w:rtl/>
        </w:rPr>
        <w:t xml:space="preserve"> لأنهم كانوا يبايعون الله ببيعتهم نبيه صلى الله عليه سلم</w:t>
      </w:r>
      <w:r w:rsidR="000636C2">
        <w:rPr>
          <w:rFonts w:hint="cs"/>
          <w:rtl/>
        </w:rPr>
        <w:t>،</w:t>
      </w:r>
      <w:r w:rsidRPr="005675B2">
        <w:rPr>
          <w:rFonts w:hint="cs"/>
          <w:rtl/>
        </w:rPr>
        <w:t xml:space="preserve"> والوجه الآخر</w:t>
      </w:r>
      <w:r w:rsidR="000636C2">
        <w:rPr>
          <w:rFonts w:hint="cs"/>
          <w:rtl/>
        </w:rPr>
        <w:t>:</w:t>
      </w:r>
      <w:r w:rsidRPr="005675B2">
        <w:rPr>
          <w:rFonts w:hint="cs"/>
          <w:rtl/>
        </w:rPr>
        <w:t xml:space="preserve"> </w:t>
      </w:r>
      <w:r w:rsidRPr="005675B2">
        <w:rPr>
          <w:rFonts w:hint="cs"/>
          <w:u w:val="single"/>
          <w:rtl/>
        </w:rPr>
        <w:t>قوة الله فوق قوتهم</w:t>
      </w:r>
      <w:r w:rsidRPr="005675B2">
        <w:rPr>
          <w:rFonts w:hint="cs"/>
          <w:rtl/>
        </w:rPr>
        <w:t xml:space="preserve"> في نصرة رسوله صلى الله عليه و سلم</w:t>
      </w:r>
      <w:r w:rsidR="000636C2">
        <w:rPr>
          <w:rFonts w:hint="cs"/>
          <w:rtl/>
        </w:rPr>
        <w:t>،</w:t>
      </w:r>
      <w:r w:rsidRPr="005675B2">
        <w:rPr>
          <w:rFonts w:hint="cs"/>
          <w:rtl/>
        </w:rPr>
        <w:t xml:space="preserve"> لأنهم إنما بايعوا رسول الله صلى الله عليه و سلم على نصرته على العدو</w:t>
      </w:r>
      <w:r w:rsidR="000636C2">
        <w:rPr>
          <w:rFonts w:hint="cs"/>
          <w:rtl/>
        </w:rPr>
        <w:t>،</w:t>
      </w:r>
      <w:r w:rsidRPr="005675B2">
        <w:rPr>
          <w:rFonts w:hint="cs"/>
          <w:rtl/>
        </w:rPr>
        <w:t xml:space="preserve"> انتهى كلام ابن جرير [</w:t>
      </w:r>
      <w:r w:rsidRPr="005675B2">
        <w:rPr>
          <w:rFonts w:hint="cs"/>
          <w:bCs/>
          <w:sz w:val="24"/>
          <w:szCs w:val="24"/>
          <w:rtl/>
        </w:rPr>
        <w:t>تفسير ابن جرير لسورة الفتح عند قوله تعالى ((يد الله فوق أيديهم))</w:t>
      </w:r>
      <w:r w:rsidRPr="005675B2">
        <w:rPr>
          <w:rFonts w:hint="cs"/>
          <w:rtl/>
        </w:rPr>
        <w:t>] فتأمل تأويلها على الوجه الأول بأن المقصود ليس العضو قطعاً بل هي استعارة فقط</w:t>
      </w:r>
      <w:r w:rsidR="000636C2">
        <w:rPr>
          <w:rFonts w:hint="cs"/>
          <w:rtl/>
        </w:rPr>
        <w:t>،</w:t>
      </w:r>
      <w:r w:rsidRPr="005675B2">
        <w:rPr>
          <w:rFonts w:hint="cs"/>
          <w:rtl/>
        </w:rPr>
        <w:t xml:space="preserve"> فكأنهم ببيعتهم لرسول الله يبايعون الله لا أنه المعنى على الحقيقة اللغوية من طرف وأعضاء</w:t>
      </w:r>
      <w:r w:rsidR="000636C2">
        <w:rPr>
          <w:rFonts w:hint="cs"/>
          <w:rtl/>
        </w:rPr>
        <w:t>،</w:t>
      </w:r>
      <w:r>
        <w:rPr>
          <w:rFonts w:hint="cs"/>
          <w:rtl/>
        </w:rPr>
        <w:t xml:space="preserve"> </w:t>
      </w:r>
      <w:r w:rsidRPr="005675B2">
        <w:rPr>
          <w:rFonts w:hint="cs"/>
          <w:rtl/>
        </w:rPr>
        <w:t>وتأمل الوجه الثاني الذي ذكره ابن جرير فهو صريح في التأويل</w:t>
      </w:r>
      <w:r w:rsidR="000636C2">
        <w:rPr>
          <w:rFonts w:hint="cs"/>
          <w:rtl/>
        </w:rPr>
        <w:t>:</w:t>
      </w:r>
      <w:r w:rsidRPr="005675B2">
        <w:rPr>
          <w:rFonts w:hint="cs"/>
          <w:rtl/>
        </w:rPr>
        <w:t>قال</w:t>
      </w:r>
      <w:r w:rsidR="000636C2">
        <w:rPr>
          <w:rFonts w:hint="cs"/>
          <w:rtl/>
        </w:rPr>
        <w:t>:</w:t>
      </w:r>
      <w:r w:rsidRPr="005675B2">
        <w:rPr>
          <w:rFonts w:hint="cs"/>
          <w:rtl/>
        </w:rPr>
        <w:t xml:space="preserve"> </w:t>
      </w:r>
      <w:r w:rsidRPr="005675B2">
        <w:rPr>
          <w:rFonts w:hint="cs"/>
          <w:u w:val="single"/>
          <w:rtl/>
        </w:rPr>
        <w:t>قوة الله فوق قوتهم</w:t>
      </w:r>
      <w:r w:rsidR="000636C2">
        <w:rPr>
          <w:rFonts w:hint="cs"/>
          <w:rtl/>
        </w:rPr>
        <w:t xml:space="preserve">، </w:t>
      </w:r>
      <w:r w:rsidRPr="005675B2">
        <w:rPr>
          <w:rFonts w:hint="cs"/>
          <w:rtl/>
        </w:rPr>
        <w:t xml:space="preserve">وتأكيدا لهذا المعنى أنقل ما ورد في معاجم اللغة </w:t>
      </w:r>
      <w:r w:rsidR="000636C2">
        <w:rPr>
          <w:rFonts w:hint="cs"/>
          <w:rtl/>
        </w:rPr>
        <w:t>(</w:t>
      </w:r>
      <w:r>
        <w:rPr>
          <w:rFonts w:hint="cs"/>
          <w:rtl/>
        </w:rPr>
        <w:t>أولا</w:t>
      </w:r>
      <w:r w:rsidR="000636C2">
        <w:rPr>
          <w:rFonts w:hint="cs"/>
          <w:rtl/>
        </w:rPr>
        <w:t>):</w:t>
      </w:r>
      <w:r w:rsidRPr="005675B2">
        <w:rPr>
          <w:rFonts w:hint="cs"/>
          <w:rtl/>
        </w:rPr>
        <w:t xml:space="preserve"> لسان العرب لابن منظور</w:t>
      </w:r>
      <w:r w:rsidR="000636C2">
        <w:rPr>
          <w:rFonts w:hint="cs"/>
          <w:rtl/>
        </w:rPr>
        <w:t>:</w:t>
      </w:r>
      <w:r w:rsidRPr="005675B2">
        <w:rPr>
          <w:rFonts w:hint="cs"/>
          <w:rtl/>
        </w:rPr>
        <w:t xml:space="preserve"> قال</w:t>
      </w:r>
      <w:r w:rsidR="000636C2">
        <w:rPr>
          <w:rFonts w:hint="cs"/>
          <w:rtl/>
        </w:rPr>
        <w:t>:</w:t>
      </w:r>
      <w:r w:rsidRPr="005675B2">
        <w:rPr>
          <w:rFonts w:hint="cs"/>
          <w:rtl/>
        </w:rPr>
        <w:t>والـيَدُ</w:t>
      </w:r>
      <w:r w:rsidR="000636C2">
        <w:rPr>
          <w:rFonts w:hint="cs"/>
          <w:rtl/>
        </w:rPr>
        <w:t>:</w:t>
      </w:r>
      <w:r w:rsidRPr="005675B2">
        <w:rPr>
          <w:rFonts w:hint="cs"/>
          <w:rtl/>
        </w:rPr>
        <w:t xml:space="preserve"> النِّعْمةُ والإِحْسانُ تَصْطَنِعُه والـمِنَّةُ والصَّنِـيعَةُ، وإِنما سميت يداً لأَنها إِنما تكون بالإِعْطاء والإِعْطاءُ إِنالةٌ بالـيد، والـجمع أَيدٍ، وأَيادٍ جمع الـجمع، كما تقدم فـي العُضْوِ،</w:t>
      </w:r>
      <w:r w:rsidR="000636C2">
        <w:rPr>
          <w:rFonts w:hint="cs"/>
          <w:rtl/>
        </w:rPr>
        <w:t xml:space="preserve"> </w:t>
      </w:r>
      <w:r w:rsidRPr="005675B2">
        <w:rPr>
          <w:rFonts w:hint="cs"/>
          <w:rtl/>
        </w:rPr>
        <w:t>فذكر أن</w:t>
      </w:r>
      <w:r w:rsidR="000636C2">
        <w:rPr>
          <w:rFonts w:hint="cs"/>
          <w:rtl/>
        </w:rPr>
        <w:t xml:space="preserve"> </w:t>
      </w:r>
      <w:r w:rsidRPr="005675B2">
        <w:rPr>
          <w:rFonts w:hint="cs"/>
          <w:rtl/>
        </w:rPr>
        <w:t>اليد المفردة هي النعمة والإحسان وجمعها أيد، فتأمل</w:t>
      </w:r>
      <w:r w:rsidR="000636C2">
        <w:rPr>
          <w:rFonts w:hint="cs"/>
          <w:rtl/>
        </w:rPr>
        <w:t>!</w:t>
      </w:r>
      <w:r w:rsidRPr="005675B2">
        <w:rPr>
          <w:rFonts w:hint="cs"/>
          <w:rtl/>
        </w:rPr>
        <w:t xml:space="preserve"> وفي موضع آخر يقول مستدلا بالآية الكريمة</w:t>
      </w:r>
      <w:r w:rsidR="000636C2">
        <w:rPr>
          <w:rFonts w:hint="cs"/>
          <w:rtl/>
        </w:rPr>
        <w:t>:</w:t>
      </w:r>
      <w:r w:rsidRPr="005675B2">
        <w:rPr>
          <w:rFonts w:hint="cs"/>
          <w:u w:val="single"/>
          <w:rtl/>
        </w:rPr>
        <w:t>والـيَدُ</w:t>
      </w:r>
      <w:r w:rsidR="000636C2">
        <w:rPr>
          <w:rFonts w:hint="cs"/>
          <w:u w:val="single"/>
          <w:rtl/>
        </w:rPr>
        <w:t>:</w:t>
      </w:r>
      <w:r w:rsidRPr="005675B2">
        <w:rPr>
          <w:rFonts w:hint="cs"/>
          <w:u w:val="single"/>
          <w:rtl/>
        </w:rPr>
        <w:t xml:space="preserve"> القُوَّةُ</w:t>
      </w:r>
      <w:r w:rsidR="000636C2">
        <w:rPr>
          <w:rFonts w:hint="cs"/>
          <w:rtl/>
        </w:rPr>
        <w:t>،</w:t>
      </w:r>
      <w:r w:rsidRPr="005675B2">
        <w:rPr>
          <w:rFonts w:hint="cs"/>
          <w:rtl/>
        </w:rPr>
        <w:t xml:space="preserve"> وأَيَّدَه الله أَي قَوَّاه</w:t>
      </w:r>
      <w:r w:rsidR="000636C2">
        <w:rPr>
          <w:rFonts w:hint="cs"/>
          <w:rtl/>
        </w:rPr>
        <w:t>،</w:t>
      </w:r>
      <w:r w:rsidRPr="005675B2">
        <w:rPr>
          <w:rFonts w:hint="cs"/>
          <w:rtl/>
        </w:rPr>
        <w:t xml:space="preserve"> وما لـي بفلان يَدانِ أَي طاقةٌ</w:t>
      </w:r>
      <w:r w:rsidR="000636C2">
        <w:rPr>
          <w:rFonts w:hint="cs"/>
          <w:rtl/>
        </w:rPr>
        <w:t>،</w:t>
      </w:r>
      <w:r w:rsidRPr="005675B2">
        <w:rPr>
          <w:rFonts w:hint="cs"/>
          <w:rtl/>
        </w:rPr>
        <w:t xml:space="preserve"> وفـي التنزيل العزيز</w:t>
      </w:r>
      <w:r w:rsidR="000636C2">
        <w:rPr>
          <w:rFonts w:hint="cs"/>
          <w:rtl/>
        </w:rPr>
        <w:t>:</w:t>
      </w:r>
      <w:r w:rsidRPr="005675B2">
        <w:rPr>
          <w:rFonts w:hint="cs"/>
          <w:rtl/>
        </w:rPr>
        <w:t xml:space="preserve"> {والسَّماءَ بَنَـيْنَاها بأَيْدٍ}</w:t>
      </w:r>
      <w:r w:rsidR="000636C2">
        <w:rPr>
          <w:rFonts w:hint="cs"/>
          <w:rtl/>
        </w:rPr>
        <w:t xml:space="preserve"> </w:t>
      </w:r>
      <w:r w:rsidRPr="005675B2">
        <w:rPr>
          <w:rFonts w:hint="cs"/>
          <w:rtl/>
        </w:rPr>
        <w:t>والـجمع أَيْدٍ .. وهنا أيضا يثبت أن اليد المفردة معناها القوة وجمعها أيد، والدليل الآية الكريمة</w:t>
      </w:r>
      <w:r w:rsidR="000636C2">
        <w:rPr>
          <w:rFonts w:hint="cs"/>
          <w:rtl/>
        </w:rPr>
        <w:t>،</w:t>
      </w:r>
      <w:r>
        <w:rPr>
          <w:rFonts w:hint="cs"/>
          <w:rtl/>
        </w:rPr>
        <w:t xml:space="preserve"> </w:t>
      </w:r>
    </w:p>
    <w:p w14:paraId="5FEB9194" w14:textId="20987AAF" w:rsidR="009C32A0" w:rsidRPr="005675B2" w:rsidRDefault="000636C2" w:rsidP="000636C2">
      <w:pPr>
        <w:rPr>
          <w:b/>
          <w:rtl/>
        </w:rPr>
      </w:pPr>
      <w:r>
        <w:rPr>
          <w:rFonts w:hint="cs"/>
          <w:u w:val="single"/>
          <w:rtl/>
        </w:rPr>
        <w:t>(</w:t>
      </w:r>
      <w:r w:rsidR="009C32A0">
        <w:rPr>
          <w:rFonts w:hint="cs"/>
          <w:u w:val="single"/>
          <w:rtl/>
        </w:rPr>
        <w:t>ثانيا</w:t>
      </w:r>
      <w:r>
        <w:rPr>
          <w:rFonts w:hint="cs"/>
          <w:u w:val="single"/>
          <w:rtl/>
        </w:rPr>
        <w:t>):</w:t>
      </w:r>
      <w:r w:rsidR="009C32A0" w:rsidRPr="005675B2">
        <w:rPr>
          <w:rFonts w:hint="cs"/>
          <w:u w:val="single"/>
          <w:rtl/>
        </w:rPr>
        <w:t xml:space="preserve"> الفيروز أبادي في القاموس المحيط</w:t>
      </w:r>
      <w:r>
        <w:rPr>
          <w:rFonts w:hint="cs"/>
          <w:u w:val="single"/>
          <w:rtl/>
        </w:rPr>
        <w:t>:</w:t>
      </w:r>
      <w:r w:rsidR="009C32A0" w:rsidRPr="005675B2">
        <w:rPr>
          <w:rFonts w:hint="cs"/>
          <w:rtl/>
        </w:rPr>
        <w:t xml:space="preserve"> قال</w:t>
      </w:r>
      <w:r>
        <w:rPr>
          <w:rFonts w:hint="cs"/>
          <w:rtl/>
        </w:rPr>
        <w:t>:</w:t>
      </w:r>
      <w:r w:rsidR="009C32A0" w:rsidRPr="005675B2">
        <w:rPr>
          <w:rFonts w:hint="cs"/>
          <w:rtl/>
        </w:rPr>
        <w:t xml:space="preserve"> اليَدُ</w:t>
      </w:r>
      <w:r>
        <w:rPr>
          <w:rFonts w:hint="cs"/>
          <w:rtl/>
        </w:rPr>
        <w:t>:</w:t>
      </w:r>
      <w:r w:rsidR="009C32A0" w:rsidRPr="005675B2">
        <w:rPr>
          <w:rFonts w:hint="cs"/>
          <w:rtl/>
        </w:rPr>
        <w:t xml:space="preserve"> الكَفُّ، أو من أطْرافِ الأصابِعِ إلى الكَتِفِ، أصْلُها يَدْيٌ</w:t>
      </w:r>
      <w:r>
        <w:rPr>
          <w:rFonts w:hint="cs"/>
          <w:rtl/>
        </w:rPr>
        <w:t xml:space="preserve">، </w:t>
      </w:r>
      <w:r w:rsidR="009C32A0" w:rsidRPr="005675B2">
        <w:rPr>
          <w:rFonts w:hint="cs"/>
          <w:rtl/>
        </w:rPr>
        <w:t>ج</w:t>
      </w:r>
      <w:r>
        <w:rPr>
          <w:rFonts w:hint="cs"/>
          <w:rtl/>
        </w:rPr>
        <w:t>:</w:t>
      </w:r>
      <w:r w:rsidR="009C32A0" w:rsidRPr="005675B2">
        <w:rPr>
          <w:rFonts w:hint="cs"/>
          <w:rtl/>
        </w:rPr>
        <w:t xml:space="preserve"> أيْدٍ ويُدِيٌّ، جمع</w:t>
      </w:r>
      <w:r>
        <w:rPr>
          <w:rFonts w:hint="cs"/>
          <w:rtl/>
        </w:rPr>
        <w:t>:</w:t>
      </w:r>
      <w:r w:rsidR="009C32A0" w:rsidRPr="005675B2">
        <w:rPr>
          <w:rFonts w:hint="cs"/>
          <w:rtl/>
        </w:rPr>
        <w:t xml:space="preserve"> أيادٍ</w:t>
      </w:r>
      <w:r>
        <w:rPr>
          <w:rFonts w:hint="cs"/>
          <w:rtl/>
        </w:rPr>
        <w:t>،</w:t>
      </w:r>
      <w:r w:rsidR="009C32A0" w:rsidRPr="005675B2">
        <w:rPr>
          <w:rFonts w:hint="cs"/>
          <w:rtl/>
        </w:rPr>
        <w:t xml:space="preserve"> واليَدَى، كالفَتَى</w:t>
      </w:r>
      <w:r>
        <w:rPr>
          <w:rFonts w:hint="cs"/>
          <w:rtl/>
        </w:rPr>
        <w:t>:</w:t>
      </w:r>
      <w:r w:rsidR="009C32A0" w:rsidRPr="005675B2">
        <w:rPr>
          <w:rFonts w:hint="cs"/>
          <w:rtl/>
        </w:rPr>
        <w:t xml:space="preserve"> بمعناها، كاليَدَةِ واليَدِّ، مُشددةً، وهُما يَدانِ</w:t>
      </w:r>
      <w:r>
        <w:rPr>
          <w:rFonts w:hint="cs"/>
          <w:rtl/>
        </w:rPr>
        <w:t>،</w:t>
      </w:r>
      <w:r w:rsidR="009C32A0" w:rsidRPr="005675B2">
        <w:rPr>
          <w:rFonts w:hint="cs"/>
          <w:rtl/>
        </w:rPr>
        <w:t xml:space="preserve"> واليَدُ</w:t>
      </w:r>
      <w:r>
        <w:rPr>
          <w:rFonts w:hint="cs"/>
          <w:rtl/>
        </w:rPr>
        <w:t>:</w:t>
      </w:r>
      <w:r w:rsidR="009C32A0" w:rsidRPr="005675B2">
        <w:rPr>
          <w:rFonts w:hint="cs"/>
          <w:rtl/>
        </w:rPr>
        <w:t xml:space="preserve"> الجاهُ، والوَقارُ، والحَجْرُ على مَنْ يَسْتَحِقُّهُ، ومَنْعُ الظُّلْمِ، والطَّريقُ، وبِلادُ اليَمَنِ، والقُوَّةُ، والقُدْرَةُ، والسُّلْطانُ، والمِلْكُ، بكسرِ الميمِ، والجَمَاعَةُ، والأكْلُ، والنَّدَمُ، والغِياثُ، والاسْتِلامُ، والذُّلُّ، والنِّعْمَةُ، والإِحْسانُ تَصْطَنِعُهُ</w:t>
      </w:r>
      <w:r>
        <w:rPr>
          <w:rFonts w:hint="cs"/>
          <w:rtl/>
        </w:rPr>
        <w:t>،</w:t>
      </w:r>
      <w:r w:rsidR="009C32A0" w:rsidRPr="005675B2">
        <w:rPr>
          <w:rFonts w:hint="cs"/>
          <w:rtl/>
        </w:rPr>
        <w:t xml:space="preserve"> </w:t>
      </w:r>
      <w:r w:rsidR="009C32A0" w:rsidRPr="005675B2">
        <w:rPr>
          <w:rFonts w:hint="cs"/>
          <w:rtl/>
        </w:rPr>
        <w:br/>
      </w:r>
      <w:r w:rsidR="009C32A0" w:rsidRPr="005675B2">
        <w:rPr>
          <w:rFonts w:hint="cs"/>
          <w:u w:val="single"/>
          <w:rtl/>
        </w:rPr>
        <w:t>ثالثا</w:t>
      </w:r>
      <w:r>
        <w:rPr>
          <w:rFonts w:hint="cs"/>
          <w:u w:val="single"/>
          <w:rtl/>
        </w:rPr>
        <w:t>:</w:t>
      </w:r>
      <w:r w:rsidR="009C32A0" w:rsidRPr="005675B2">
        <w:rPr>
          <w:rFonts w:hint="cs"/>
          <w:u w:val="single"/>
          <w:rtl/>
        </w:rPr>
        <w:t xml:space="preserve"> الصحاح للجوهري</w:t>
      </w:r>
      <w:r>
        <w:rPr>
          <w:rFonts w:hint="cs"/>
          <w:u w:val="single"/>
          <w:rtl/>
        </w:rPr>
        <w:t>:</w:t>
      </w:r>
      <w:r w:rsidR="009C32A0" w:rsidRPr="005675B2">
        <w:rPr>
          <w:rFonts w:hint="cs"/>
          <w:rtl/>
        </w:rPr>
        <w:t xml:space="preserve"> واليدُ</w:t>
      </w:r>
      <w:r>
        <w:rPr>
          <w:rFonts w:hint="cs"/>
          <w:rtl/>
        </w:rPr>
        <w:t>:</w:t>
      </w:r>
      <w:r w:rsidR="009C32A0" w:rsidRPr="005675B2">
        <w:rPr>
          <w:rFonts w:hint="cs"/>
          <w:rtl/>
        </w:rPr>
        <w:t xml:space="preserve"> القوَّةُ، وأيَّدَهُ، أي قوَّاه</w:t>
      </w:r>
      <w:r>
        <w:rPr>
          <w:rFonts w:hint="cs"/>
          <w:rtl/>
        </w:rPr>
        <w:t>،</w:t>
      </w:r>
      <w:r w:rsidR="009C32A0" w:rsidRPr="005675B2">
        <w:rPr>
          <w:rFonts w:hint="cs"/>
          <w:rtl/>
        </w:rPr>
        <w:t xml:space="preserve"> وما لي بفلان يَدانِ، أي طاقةٌ</w:t>
      </w:r>
      <w:r>
        <w:rPr>
          <w:rFonts w:hint="cs"/>
          <w:rtl/>
        </w:rPr>
        <w:t>،</w:t>
      </w:r>
      <w:r w:rsidR="009C32A0" w:rsidRPr="005675B2">
        <w:rPr>
          <w:rFonts w:hint="cs"/>
          <w:rtl/>
        </w:rPr>
        <w:t xml:space="preserve"> قال تعالى</w:t>
      </w:r>
      <w:r>
        <w:rPr>
          <w:rFonts w:hint="cs"/>
          <w:rtl/>
        </w:rPr>
        <w:t>:</w:t>
      </w:r>
      <w:r w:rsidR="009C32A0" w:rsidRPr="005675B2">
        <w:rPr>
          <w:rFonts w:hint="cs"/>
          <w:rtl/>
        </w:rPr>
        <w:t xml:space="preserve"> </w:t>
      </w:r>
      <w:r w:rsidR="009C32A0" w:rsidRPr="005675B2">
        <w:rPr>
          <w:rFonts w:hint="cs"/>
          <w:u w:val="single"/>
          <w:rtl/>
        </w:rPr>
        <w:t>"والسماءَ بَنيناها بأيْدٍ"</w:t>
      </w:r>
      <w:r>
        <w:rPr>
          <w:rFonts w:hint="cs"/>
          <w:u w:val="single"/>
          <w:rtl/>
        </w:rPr>
        <w:t>،</w:t>
      </w:r>
      <w:r w:rsidR="009C32A0" w:rsidRPr="005675B2">
        <w:rPr>
          <w:rFonts w:hint="cs"/>
          <w:u w:val="single"/>
          <w:rtl/>
        </w:rPr>
        <w:t xml:space="preserve"> </w:t>
      </w:r>
      <w:r w:rsidR="009C32A0" w:rsidRPr="005675B2">
        <w:rPr>
          <w:rFonts w:hint="cs"/>
          <w:rtl/>
        </w:rPr>
        <w:t>وقوله تعالى</w:t>
      </w:r>
      <w:r>
        <w:rPr>
          <w:rFonts w:hint="cs"/>
          <w:rtl/>
        </w:rPr>
        <w:t>:</w:t>
      </w:r>
      <w:r w:rsidR="009C32A0" w:rsidRPr="005675B2">
        <w:rPr>
          <w:rFonts w:hint="cs"/>
          <w:rtl/>
        </w:rPr>
        <w:t xml:space="preserve"> "حتَّى يُعْطوا الجزيةَ عن يَد"، أي عن ذِلَّةٍ واستسلام، ويقال</w:t>
      </w:r>
      <w:r>
        <w:rPr>
          <w:rFonts w:hint="cs"/>
          <w:rtl/>
        </w:rPr>
        <w:t>:</w:t>
      </w:r>
      <w:r w:rsidR="009C32A0" w:rsidRPr="005675B2">
        <w:rPr>
          <w:rFonts w:hint="cs"/>
          <w:rtl/>
        </w:rPr>
        <w:t xml:space="preserve"> نَقداً لا نسيئةً</w:t>
      </w:r>
      <w:r>
        <w:rPr>
          <w:rFonts w:hint="cs"/>
          <w:rtl/>
        </w:rPr>
        <w:t>،</w:t>
      </w:r>
      <w:r w:rsidR="009C32A0" w:rsidRPr="005675B2">
        <w:rPr>
          <w:rFonts w:hint="cs"/>
          <w:rtl/>
        </w:rPr>
        <w:t xml:space="preserve"> واليَدُ</w:t>
      </w:r>
      <w:r>
        <w:rPr>
          <w:rFonts w:hint="cs"/>
          <w:rtl/>
        </w:rPr>
        <w:t>:</w:t>
      </w:r>
      <w:r w:rsidR="009C32A0" w:rsidRPr="005675B2">
        <w:rPr>
          <w:rFonts w:hint="cs"/>
          <w:rtl/>
        </w:rPr>
        <w:t xml:space="preserve"> النعمة والإحسان تصطنعه، وتجمع على يَدِيٍ ويَدِيٍّ، وأَيْدٍ أيضاً</w:t>
      </w:r>
      <w:r>
        <w:rPr>
          <w:rFonts w:hint="cs"/>
          <w:rtl/>
        </w:rPr>
        <w:t xml:space="preserve">، </w:t>
      </w:r>
      <w:r w:rsidR="009C32A0" w:rsidRPr="005675B2">
        <w:rPr>
          <w:rFonts w:hint="cs"/>
          <w:rtl/>
        </w:rPr>
        <w:t>وقد يكون المعنى أيد</w:t>
      </w:r>
      <w:r>
        <w:rPr>
          <w:rFonts w:hint="cs"/>
          <w:rtl/>
        </w:rPr>
        <w:t>:</w:t>
      </w:r>
      <w:r w:rsidR="009C32A0" w:rsidRPr="005675B2">
        <w:rPr>
          <w:rFonts w:hint="cs"/>
          <w:rtl/>
        </w:rPr>
        <w:t xml:space="preserve"> الأَيْدُ والآدُ جميعاً</w:t>
      </w:r>
      <w:r>
        <w:rPr>
          <w:rFonts w:hint="cs"/>
          <w:rtl/>
        </w:rPr>
        <w:t>:</w:t>
      </w:r>
      <w:r w:rsidR="009C32A0" w:rsidRPr="005675B2">
        <w:rPr>
          <w:rFonts w:hint="cs"/>
          <w:rtl/>
        </w:rPr>
        <w:t xml:space="preserve"> القوة؛ قال العجاج</w:t>
      </w:r>
      <w:r>
        <w:rPr>
          <w:rFonts w:hint="cs"/>
          <w:rtl/>
        </w:rPr>
        <w:t>:</w:t>
      </w:r>
      <w:r w:rsidR="009C32A0" w:rsidRPr="005675B2">
        <w:rPr>
          <w:rFonts w:hint="cs"/>
          <w:rtl/>
        </w:rPr>
        <w:t>من أَن تبدّلت بآدِي آدايعني قوّة الشباب</w:t>
      </w:r>
      <w:r>
        <w:rPr>
          <w:rFonts w:hint="cs"/>
          <w:rtl/>
        </w:rPr>
        <w:t>،</w:t>
      </w:r>
      <w:r w:rsidR="009C32A0" w:rsidRPr="005675B2">
        <w:rPr>
          <w:rFonts w:hint="cs"/>
          <w:rtl/>
        </w:rPr>
        <w:t xml:space="preserve"> وفي خطبة علي،رضي الله عنه</w:t>
      </w:r>
      <w:r>
        <w:rPr>
          <w:rFonts w:hint="cs"/>
          <w:rtl/>
        </w:rPr>
        <w:t>:</w:t>
      </w:r>
      <w:r w:rsidR="009C32A0" w:rsidRPr="005675B2">
        <w:rPr>
          <w:rFonts w:hint="cs"/>
          <w:rtl/>
        </w:rPr>
        <w:t xml:space="preserve"> وأَمسكها من أَن تمور بأَيْدِه أَي بقوّته</w:t>
      </w:r>
      <w:r>
        <w:rPr>
          <w:rFonts w:hint="cs"/>
          <w:rtl/>
        </w:rPr>
        <w:t>،</w:t>
      </w:r>
      <w:r w:rsidR="009C32A0" w:rsidRPr="005675B2">
        <w:rPr>
          <w:rFonts w:hint="cs"/>
          <w:rtl/>
        </w:rPr>
        <w:t xml:space="preserve"> وكلاهما معنيان سائغان</w:t>
      </w:r>
      <w:r>
        <w:rPr>
          <w:rFonts w:hint="cs"/>
          <w:rtl/>
        </w:rPr>
        <w:t>،</w:t>
      </w:r>
      <w:r w:rsidR="009C32A0" w:rsidRPr="005675B2">
        <w:rPr>
          <w:rFonts w:hint="cs"/>
          <w:rtl/>
        </w:rPr>
        <w:t xml:space="preserve"> انظر لسان العرب</w:t>
      </w:r>
      <w:r>
        <w:rPr>
          <w:rFonts w:hint="cs"/>
          <w:rtl/>
        </w:rPr>
        <w:t>،</w:t>
      </w:r>
    </w:p>
    <w:p w14:paraId="6B3CD6EB" w14:textId="7A1391DA" w:rsidR="009C32A0" w:rsidRPr="005675B2" w:rsidRDefault="009C32A0" w:rsidP="000636C2">
      <w:pPr>
        <w:rPr>
          <w:rtl/>
        </w:rPr>
      </w:pPr>
      <w:r w:rsidRPr="00D33BA6">
        <w:rPr>
          <w:rFonts w:hint="cs"/>
          <w:bCs/>
          <w:rtl/>
        </w:rPr>
        <w:t>شبهة وجوابها</w:t>
      </w:r>
      <w:r w:rsidR="000636C2">
        <w:rPr>
          <w:rFonts w:hint="cs"/>
          <w:bCs/>
          <w:rtl/>
        </w:rPr>
        <w:t>:</w:t>
      </w:r>
      <w:r w:rsidRPr="005675B2">
        <w:rPr>
          <w:rFonts w:hint="cs"/>
          <w:rtl/>
        </w:rPr>
        <w:t>هل يصح في لغة العرب ان تقول</w:t>
      </w:r>
      <w:r w:rsidR="000636C2">
        <w:rPr>
          <w:rFonts w:hint="cs"/>
          <w:rtl/>
        </w:rPr>
        <w:t>:</w:t>
      </w:r>
      <w:r w:rsidRPr="005675B2">
        <w:rPr>
          <w:rFonts w:hint="cs"/>
          <w:rtl/>
        </w:rPr>
        <w:t xml:space="preserve"> لفلان يد و هو ليس له يد على الحقيقة اللغوية</w:t>
      </w:r>
      <w:r w:rsidR="000636C2">
        <w:rPr>
          <w:rFonts w:hint="cs"/>
          <w:rtl/>
        </w:rPr>
        <w:t xml:space="preserve">؟ </w:t>
      </w:r>
      <w:r w:rsidR="000636C2">
        <w:rPr>
          <w:rFonts w:hint="cs"/>
          <w:bCs/>
          <w:rtl/>
        </w:rPr>
        <w:t>[</w:t>
      </w:r>
      <w:r>
        <w:rPr>
          <w:rFonts w:hint="cs"/>
          <w:bCs/>
          <w:rtl/>
        </w:rPr>
        <w:t>الجواب</w:t>
      </w:r>
      <w:r w:rsidR="000636C2">
        <w:rPr>
          <w:rFonts w:hint="cs"/>
          <w:bCs/>
          <w:rtl/>
        </w:rPr>
        <w:t>]:</w:t>
      </w:r>
      <w:r w:rsidRPr="005675B2">
        <w:rPr>
          <w:rFonts w:hint="cs"/>
          <w:rtl/>
        </w:rPr>
        <w:t xml:space="preserve"> نعم</w:t>
      </w:r>
      <w:r w:rsidR="000636C2">
        <w:rPr>
          <w:rFonts w:hint="cs"/>
          <w:rtl/>
        </w:rPr>
        <w:t xml:space="preserve"> </w:t>
      </w:r>
      <w:r w:rsidRPr="005675B2">
        <w:rPr>
          <w:rFonts w:hint="cs"/>
          <w:rtl/>
        </w:rPr>
        <w:t>يصح، والدليل على ذلك من القرآن الكريم</w:t>
      </w:r>
      <w:r w:rsidR="000636C2">
        <w:rPr>
          <w:rFonts w:hint="cs"/>
          <w:rtl/>
        </w:rPr>
        <w:t>:</w:t>
      </w:r>
      <w:r w:rsidRPr="005675B2">
        <w:rPr>
          <w:rFonts w:hint="cs"/>
          <w:rtl/>
        </w:rPr>
        <w:t>(</w:t>
      </w:r>
      <w:r w:rsidR="000636C2">
        <w:rPr>
          <w:rFonts w:hint="cs"/>
          <w:rtl/>
        </w:rPr>
        <w:t>(</w:t>
      </w:r>
      <w:r w:rsidRPr="005675B2">
        <w:rPr>
          <w:rFonts w:hint="cs"/>
          <w:rtl/>
        </w:rPr>
        <w:t xml:space="preserve">لَا يَأْتِيهِ الْبَاطِلُ </w:t>
      </w:r>
      <w:r w:rsidRPr="005675B2">
        <w:rPr>
          <w:rFonts w:hint="cs"/>
          <w:u w:val="single"/>
          <w:rtl/>
        </w:rPr>
        <w:t>مِن بَيْنِ يَدَيْهِ</w:t>
      </w:r>
      <w:r w:rsidRPr="005675B2">
        <w:rPr>
          <w:rFonts w:hint="cs"/>
          <w:rtl/>
        </w:rPr>
        <w:t xml:space="preserve"> وَلَا مِنْ خَلْفِهِ تَنزِيلٌ مِّنْ حَكِيمٍ حَمِيدٍ</w:t>
      </w:r>
      <w:r w:rsidR="000636C2">
        <w:rPr>
          <w:rFonts w:hint="cs"/>
          <w:rtl/>
        </w:rPr>
        <w:t>)</w:t>
      </w:r>
      <w:r w:rsidRPr="005675B2">
        <w:rPr>
          <w:rFonts w:hint="cs"/>
          <w:rtl/>
        </w:rPr>
        <w:t>) ونحن نعلم يقينا أنه ليس للقرآن أيدي حقيقية، أي ليس له أعضاء</w:t>
      </w:r>
      <w:r w:rsidR="000636C2">
        <w:rPr>
          <w:rFonts w:hint="cs"/>
          <w:rtl/>
        </w:rPr>
        <w:t xml:space="preserve"> </w:t>
      </w:r>
      <w:r w:rsidRPr="005675B2">
        <w:rPr>
          <w:rFonts w:hint="cs"/>
          <w:rtl/>
        </w:rPr>
        <w:t>وجوارح</w:t>
      </w:r>
      <w:r w:rsidR="000636C2">
        <w:rPr>
          <w:rFonts w:hint="cs"/>
          <w:rtl/>
        </w:rPr>
        <w:t>،</w:t>
      </w:r>
      <w:r w:rsidRPr="005675B2">
        <w:rPr>
          <w:rFonts w:hint="cs"/>
          <w:rtl/>
        </w:rPr>
        <w:t xml:space="preserve"> </w:t>
      </w:r>
      <w:r w:rsidRPr="005675B2">
        <w:rPr>
          <w:rFonts w:hint="cs"/>
          <w:rtl/>
        </w:rPr>
        <w:br/>
      </w:r>
      <w:r w:rsidR="000636C2">
        <w:rPr>
          <w:rFonts w:hint="cs"/>
          <w:rtl/>
        </w:rPr>
        <w:t>(</w:t>
      </w:r>
      <w:r>
        <w:rPr>
          <w:rFonts w:hint="cs"/>
          <w:rtl/>
        </w:rPr>
        <w:t>ثانيا</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w:t>
      </w:r>
      <w:r w:rsidR="000636C2">
        <w:rPr>
          <w:rFonts w:hint="cs"/>
          <w:rtl/>
        </w:rPr>
        <w:t>(</w:t>
      </w:r>
      <w:r w:rsidRPr="005675B2">
        <w:rPr>
          <w:rFonts w:hint="cs"/>
          <w:rtl/>
        </w:rPr>
        <w:t>وَاخْفِضْ جَنَاحَكَ لِلْمُؤْمِنِينَ</w:t>
      </w:r>
      <w:r w:rsidR="000636C2">
        <w:rPr>
          <w:rFonts w:hint="cs"/>
          <w:rtl/>
        </w:rPr>
        <w:t>)</w:t>
      </w:r>
      <w:r w:rsidRPr="005675B2">
        <w:rPr>
          <w:rFonts w:hint="cs"/>
          <w:rtl/>
        </w:rPr>
        <w:t>) ونحن نعلم يقيناً أنه ليس لرسول الله صلى الله عليه وسلم أي جناح حقيقي، وإنما هو كناية عن الرحمة بالمؤمنين</w:t>
      </w:r>
      <w:r w:rsidR="000636C2">
        <w:rPr>
          <w:rFonts w:hint="cs"/>
          <w:rtl/>
        </w:rPr>
        <w:t>،</w:t>
      </w:r>
      <w:r w:rsidRPr="005675B2">
        <w:rPr>
          <w:rFonts w:hint="cs"/>
          <w:rtl/>
        </w:rPr>
        <w:t xml:space="preserve"> شبهة ثانية</w:t>
      </w:r>
      <w:r w:rsidR="000636C2">
        <w:rPr>
          <w:rFonts w:hint="cs"/>
          <w:rtl/>
        </w:rPr>
        <w:t>:</w:t>
      </w:r>
      <w:r w:rsidRPr="005675B2">
        <w:rPr>
          <w:rFonts w:hint="cs"/>
          <w:rtl/>
        </w:rPr>
        <w:t xml:space="preserve"> </w:t>
      </w:r>
      <w:r w:rsidR="000636C2">
        <w:rPr>
          <w:rFonts w:hint="cs"/>
          <w:rtl/>
        </w:rPr>
        <w:t>[</w:t>
      </w:r>
      <w:r w:rsidRPr="005675B2">
        <w:rPr>
          <w:rFonts w:hint="cs"/>
          <w:rtl/>
        </w:rPr>
        <w:t>يدعي من ينكر التأويل ويظن أن الله له يدان حقيقيتان على المعنى الحقيقي في اللغة</w:t>
      </w:r>
      <w:r w:rsidR="000636C2">
        <w:rPr>
          <w:rFonts w:hint="cs"/>
          <w:rtl/>
        </w:rPr>
        <w:t>،</w:t>
      </w:r>
      <w:r w:rsidRPr="005675B2">
        <w:rPr>
          <w:rFonts w:hint="cs"/>
          <w:rtl/>
        </w:rPr>
        <w:t xml:space="preserve"> فيقول في دعواه</w:t>
      </w:r>
      <w:r w:rsidR="000636C2">
        <w:rPr>
          <w:rFonts w:hint="cs"/>
          <w:rtl/>
        </w:rPr>
        <w:t>:</w:t>
      </w:r>
      <w:r w:rsidRPr="005675B2">
        <w:rPr>
          <w:rFonts w:hint="cs"/>
          <w:rtl/>
        </w:rPr>
        <w:t xml:space="preserve"> لذلك</w:t>
      </w:r>
      <w:r w:rsidRPr="005675B2">
        <w:rPr>
          <w:rFonts w:hint="cs"/>
        </w:rPr>
        <w:t xml:space="preserve"> </w:t>
      </w:r>
      <w:r w:rsidRPr="005675B2">
        <w:rPr>
          <w:rFonts w:hint="cs"/>
          <w:rtl/>
        </w:rPr>
        <w:t>لا يوجد في كلام العرب مطلقاً أن يقال يد فلان مبسوطة</w:t>
      </w:r>
      <w:r w:rsidR="000636C2">
        <w:rPr>
          <w:rFonts w:hint="cs"/>
          <w:rtl/>
        </w:rPr>
        <w:t>،</w:t>
      </w:r>
      <w:r w:rsidRPr="005675B2">
        <w:rPr>
          <w:rFonts w:hint="cs"/>
          <w:rtl/>
        </w:rPr>
        <w:t xml:space="preserve"> وفلان فعل ذلك بيده إلا</w:t>
      </w:r>
      <w:r w:rsidRPr="005675B2">
        <w:rPr>
          <w:rFonts w:hint="cs"/>
        </w:rPr>
        <w:t xml:space="preserve"> </w:t>
      </w:r>
      <w:r w:rsidRPr="005675B2">
        <w:rPr>
          <w:rFonts w:hint="cs"/>
          <w:rtl/>
        </w:rPr>
        <w:t>ويكون له يد على الحقيقة ولا يجوز أن يكون لا يد له</w:t>
      </w:r>
      <w:r w:rsidR="000636C2">
        <w:rPr>
          <w:rFonts w:hint="cs"/>
          <w:rtl/>
        </w:rPr>
        <w:t>،</w:t>
      </w:r>
      <w:r w:rsidRPr="005675B2">
        <w:rPr>
          <w:rFonts w:hint="cs"/>
          <w:rtl/>
        </w:rPr>
        <w:t xml:space="preserve"> أو أن يكون له يد والفعل وقع</w:t>
      </w:r>
      <w:r w:rsidRPr="005675B2">
        <w:rPr>
          <w:rFonts w:hint="cs"/>
        </w:rPr>
        <w:t xml:space="preserve"> </w:t>
      </w:r>
      <w:r w:rsidRPr="005675B2">
        <w:rPr>
          <w:rFonts w:hint="cs"/>
          <w:rtl/>
        </w:rPr>
        <w:t>بغيرها</w:t>
      </w:r>
      <w:r w:rsidR="000636C2">
        <w:rPr>
          <w:rFonts w:hint="cs"/>
          <w:rtl/>
        </w:rPr>
        <w:t>،</w:t>
      </w:r>
      <w:r w:rsidRPr="005675B2">
        <w:rPr>
          <w:rFonts w:hint="cs"/>
          <w:rtl/>
        </w:rPr>
        <w:t xml:space="preserve"> فهم لا يقولون " يد " الهوى ولا " يد " الماء</w:t>
      </w:r>
      <w:r w:rsidR="000636C2">
        <w:rPr>
          <w:rFonts w:hint="cs"/>
          <w:rtl/>
        </w:rPr>
        <w:t>،</w:t>
      </w:r>
      <w:r w:rsidRPr="005675B2">
        <w:rPr>
          <w:rFonts w:hint="cs"/>
          <w:rtl/>
        </w:rPr>
        <w:t xml:space="preserve"> ولكنهم يصفون الكريم ببسط</w:t>
      </w:r>
      <w:r w:rsidRPr="005675B2">
        <w:rPr>
          <w:rFonts w:hint="cs"/>
        </w:rPr>
        <w:t xml:space="preserve"> </w:t>
      </w:r>
      <w:r w:rsidRPr="005675B2">
        <w:rPr>
          <w:rFonts w:hint="cs"/>
          <w:rtl/>
        </w:rPr>
        <w:t xml:space="preserve">اليد والبخيل بضمها لأن الإعطاء والمنع يكون ببسط اليد ومدها وقبضها وإمساكها </w:t>
      </w:r>
      <w:r w:rsidRPr="005675B2">
        <w:rPr>
          <w:rFonts w:hint="cs"/>
          <w:u w:val="single"/>
          <w:rtl/>
        </w:rPr>
        <w:t>فلا</w:t>
      </w:r>
      <w:r w:rsidRPr="005675B2">
        <w:rPr>
          <w:rFonts w:hint="cs"/>
          <w:u w:val="single"/>
        </w:rPr>
        <w:t xml:space="preserve"> </w:t>
      </w:r>
      <w:r w:rsidRPr="005675B2">
        <w:rPr>
          <w:rFonts w:hint="cs"/>
          <w:u w:val="single"/>
          <w:rtl/>
        </w:rPr>
        <w:t>بد أن يكون له " يد " على الحقيقة</w:t>
      </w:r>
      <w:r w:rsidR="000636C2">
        <w:rPr>
          <w:rFonts w:hint="cs"/>
          <w:u w:val="single"/>
          <w:rtl/>
        </w:rPr>
        <w:t>،</w:t>
      </w:r>
      <w:r w:rsidRPr="005675B2">
        <w:rPr>
          <w:rFonts w:hint="cs"/>
          <w:rtl/>
        </w:rPr>
        <w:t xml:space="preserve"> وهذا من الحقائق العرفية التي يفهم منها أنه</w:t>
      </w:r>
      <w:r w:rsidRPr="005675B2">
        <w:rPr>
          <w:rFonts w:hint="cs"/>
        </w:rPr>
        <w:t xml:space="preserve"> </w:t>
      </w:r>
      <w:r w:rsidRPr="005675B2">
        <w:rPr>
          <w:rFonts w:hint="cs"/>
          <w:rtl/>
        </w:rPr>
        <w:t>إذا قيل هو مبسوط اليد</w:t>
      </w:r>
      <w:r w:rsidRPr="005675B2">
        <w:rPr>
          <w:rFonts w:hint="cs"/>
          <w:u w:val="single"/>
          <w:rtl/>
        </w:rPr>
        <w:t xml:space="preserve"> أن له يداً على الحقيقة</w:t>
      </w:r>
      <w:r w:rsidR="000636C2">
        <w:rPr>
          <w:rFonts w:hint="cs"/>
          <w:rtl/>
        </w:rPr>
        <w:t>،]</w:t>
      </w:r>
      <w:r w:rsidRPr="005675B2">
        <w:rPr>
          <w:rFonts w:hint="cs"/>
          <w:rtl/>
        </w:rPr>
        <w:t>أهـ</w:t>
      </w:r>
      <w:r w:rsidR="000636C2">
        <w:rPr>
          <w:rFonts w:hint="cs"/>
          <w:rtl/>
        </w:rPr>
        <w:t xml:space="preserve"> </w:t>
      </w:r>
      <w:r w:rsidRPr="005675B2">
        <w:rPr>
          <w:rFonts w:hint="cs"/>
          <w:rtl/>
        </w:rPr>
        <w:t>كلامهم</w:t>
      </w:r>
      <w:r w:rsidR="000636C2">
        <w:rPr>
          <w:rFonts w:hint="cs"/>
          <w:rtl/>
        </w:rPr>
        <w:t>،</w:t>
      </w:r>
      <w:r w:rsidRPr="005675B2">
        <w:rPr>
          <w:rFonts w:hint="cs"/>
          <w:rtl/>
        </w:rPr>
        <w:t xml:space="preserve"> وقد تبين بطلان كلامه وذلك</w:t>
      </w:r>
      <w:r w:rsidR="000636C2">
        <w:rPr>
          <w:rFonts w:hint="cs"/>
          <w:rtl/>
        </w:rPr>
        <w:t xml:space="preserve"> </w:t>
      </w:r>
      <w:r w:rsidRPr="005675B2">
        <w:rPr>
          <w:rFonts w:hint="cs"/>
          <w:rtl/>
        </w:rPr>
        <w:t>بالآيتين الشريفتين، ونضيف ما أمكن من معجمات اللغة</w:t>
      </w:r>
      <w:r w:rsidR="000636C2">
        <w:rPr>
          <w:rFonts w:hint="cs"/>
          <w:rtl/>
        </w:rPr>
        <w:t>:</w:t>
      </w:r>
      <w:r w:rsidRPr="005675B2">
        <w:rPr>
          <w:rFonts w:hint="cs"/>
          <w:rtl/>
        </w:rPr>
        <w:br/>
        <w:t>جاء في لسان العرب لابن منظور</w:t>
      </w:r>
      <w:r w:rsidR="000636C2">
        <w:rPr>
          <w:rFonts w:hint="cs"/>
          <w:rtl/>
        </w:rPr>
        <w:t>:</w:t>
      </w:r>
      <w:r w:rsidRPr="005675B2">
        <w:rPr>
          <w:rFonts w:hint="cs"/>
          <w:rtl/>
        </w:rPr>
        <w:t>(</w:t>
      </w:r>
      <w:r w:rsidR="000636C2">
        <w:rPr>
          <w:rFonts w:hint="cs"/>
          <w:rtl/>
        </w:rPr>
        <w:t>(</w:t>
      </w:r>
      <w:r w:rsidRPr="005675B2">
        <w:rPr>
          <w:rFonts w:hint="cs"/>
          <w:rtl/>
        </w:rPr>
        <w:t>ويَدُ الفأْسِ ونحوِها</w:t>
      </w:r>
      <w:r w:rsidR="000636C2">
        <w:rPr>
          <w:rFonts w:hint="cs"/>
          <w:rtl/>
        </w:rPr>
        <w:t>:</w:t>
      </w:r>
      <w:r w:rsidRPr="005675B2">
        <w:rPr>
          <w:rFonts w:hint="cs"/>
          <w:rtl/>
        </w:rPr>
        <w:t xml:space="preserve"> مَقْبِضُها</w:t>
      </w:r>
      <w:r w:rsidR="000636C2">
        <w:rPr>
          <w:rFonts w:hint="cs"/>
          <w:rtl/>
        </w:rPr>
        <w:t>،</w:t>
      </w:r>
      <w:r w:rsidRPr="005675B2">
        <w:rPr>
          <w:rFonts w:hint="cs"/>
          <w:rtl/>
        </w:rPr>
        <w:t xml:space="preserve"> ويَدُ القَوْسِ</w:t>
      </w:r>
      <w:r w:rsidR="000636C2">
        <w:rPr>
          <w:rFonts w:hint="cs"/>
          <w:rtl/>
        </w:rPr>
        <w:t>:</w:t>
      </w:r>
      <w:r w:rsidRPr="005675B2">
        <w:rPr>
          <w:rFonts w:hint="cs"/>
          <w:rtl/>
        </w:rPr>
        <w:t xml:space="preserve"> سِيَتُها</w:t>
      </w:r>
      <w:r w:rsidR="000636C2">
        <w:rPr>
          <w:rFonts w:hint="cs"/>
          <w:rtl/>
        </w:rPr>
        <w:t>،</w:t>
      </w:r>
      <w:r w:rsidRPr="005675B2">
        <w:rPr>
          <w:rFonts w:hint="cs"/>
          <w:rtl/>
        </w:rPr>
        <w:t xml:space="preserve"> ويدُ الدَّهْر</w:t>
      </w:r>
      <w:r w:rsidR="000636C2">
        <w:rPr>
          <w:rFonts w:hint="cs"/>
          <w:rtl/>
        </w:rPr>
        <w:t>:</w:t>
      </w:r>
      <w:r w:rsidRPr="005675B2">
        <w:rPr>
          <w:rFonts w:hint="cs"/>
          <w:rtl/>
        </w:rPr>
        <w:t xml:space="preserve"> مَدُّ زمانه</w:t>
      </w:r>
      <w:r w:rsidR="000636C2">
        <w:rPr>
          <w:rFonts w:hint="cs"/>
          <w:rtl/>
        </w:rPr>
        <w:t>،</w:t>
      </w:r>
      <w:r w:rsidRPr="005675B2">
        <w:rPr>
          <w:rFonts w:hint="cs"/>
          <w:rtl/>
        </w:rPr>
        <w:t xml:space="preserve"> ويدُ الرِّيحِ</w:t>
      </w:r>
      <w:r w:rsidR="000636C2">
        <w:rPr>
          <w:rFonts w:hint="cs"/>
          <w:rtl/>
        </w:rPr>
        <w:t>:</w:t>
      </w:r>
      <w:r w:rsidRPr="005675B2">
        <w:rPr>
          <w:rFonts w:hint="cs"/>
          <w:rtl/>
        </w:rPr>
        <w:t xml:space="preserve"> سُلْطانُها؛ .. ويَدُ الطائر</w:t>
      </w:r>
      <w:r w:rsidR="000636C2">
        <w:rPr>
          <w:rFonts w:hint="cs"/>
          <w:rtl/>
        </w:rPr>
        <w:t>:</w:t>
      </w:r>
      <w:r w:rsidRPr="005675B2">
        <w:rPr>
          <w:rFonts w:hint="cs"/>
          <w:rtl/>
        </w:rPr>
        <w:t xml:space="preserve"> جَناحُه ..</w:t>
      </w:r>
      <w:r w:rsidR="000636C2">
        <w:rPr>
          <w:rFonts w:hint="cs"/>
          <w:rtl/>
        </w:rPr>
        <w:t>، (</w:t>
      </w:r>
      <w:r w:rsidRPr="005675B2">
        <w:rPr>
          <w:rFonts w:hint="cs"/>
          <w:rtl/>
        </w:rPr>
        <w:t>حتى إذا أَلْقَتْ يَداً في كافِر</w:t>
      </w:r>
      <w:r w:rsidR="000636C2">
        <w:rPr>
          <w:rFonts w:hint="cs"/>
          <w:rtl/>
        </w:rPr>
        <w:t xml:space="preserve"> </w:t>
      </w:r>
      <w:r>
        <w:rPr>
          <w:rFonts w:hint="cs"/>
          <w:rtl/>
        </w:rPr>
        <w:t>...</w:t>
      </w:r>
      <w:r w:rsidRPr="005675B2">
        <w:rPr>
          <w:rFonts w:hint="cs"/>
          <w:rtl/>
        </w:rPr>
        <w:t xml:space="preserve"> وأَجَنَّ عَوْراتِ الثُّغُورِ ظَلامُها</w:t>
      </w:r>
      <w:r w:rsidR="000636C2">
        <w:rPr>
          <w:rFonts w:hint="cs"/>
          <w:rtl/>
        </w:rPr>
        <w:t xml:space="preserve">)، </w:t>
      </w:r>
      <w:r w:rsidRPr="005675B2">
        <w:rPr>
          <w:rFonts w:hint="cs"/>
          <w:rtl/>
        </w:rPr>
        <w:t>يعني بدأَت الشمس في المَغِيب، فجعل للشمس يَداً إِلى المَغِيب لما أَراد أَن يَصِفَها بالغُروب؛ وأَصل هذه الاستعارة لثعلبة بن صُعَيْر المازني في قوله</w:t>
      </w:r>
      <w:r w:rsidR="000636C2">
        <w:rPr>
          <w:rFonts w:hint="cs"/>
          <w:rtl/>
        </w:rPr>
        <w:t>:</w:t>
      </w:r>
      <w:r w:rsidRPr="005675B2">
        <w:rPr>
          <w:rFonts w:hint="cs"/>
          <w:rtl/>
        </w:rPr>
        <w:t>فتَذَكَّرا ثَقَلاً رَثِيداً بَعْدَما</w:t>
      </w:r>
      <w:r w:rsidR="000636C2">
        <w:rPr>
          <w:rFonts w:hint="cs"/>
          <w:rtl/>
        </w:rPr>
        <w:t xml:space="preserve"> </w:t>
      </w:r>
      <w:r w:rsidRPr="005675B2">
        <w:rPr>
          <w:rFonts w:hint="cs"/>
          <w:rtl/>
        </w:rPr>
        <w:t>أَلْقَتْ ذُكاءُ يَمِينها في كافِرِ</w:t>
      </w:r>
      <w:r w:rsidRPr="005675B2">
        <w:rPr>
          <w:rFonts w:hint="cs"/>
          <w:rtl/>
        </w:rPr>
        <w:br/>
        <w:t xml:space="preserve"> .. الأَصمعي</w:t>
      </w:r>
      <w:r w:rsidR="000636C2">
        <w:rPr>
          <w:rFonts w:hint="cs"/>
          <w:rtl/>
        </w:rPr>
        <w:t>:</w:t>
      </w:r>
      <w:r w:rsidRPr="005675B2">
        <w:rPr>
          <w:rFonts w:hint="cs"/>
          <w:rtl/>
        </w:rPr>
        <w:t xml:space="preserve"> يَدُ الثوب ما فَضَل منه إذا تَعَطَّفْت والْتَحَفْتَ</w:t>
      </w:r>
      <w:r w:rsidR="000636C2">
        <w:rPr>
          <w:rFonts w:hint="cs"/>
          <w:rtl/>
        </w:rPr>
        <w:t>،</w:t>
      </w:r>
      <w:r w:rsidRPr="005675B2">
        <w:rPr>
          <w:rFonts w:hint="cs"/>
          <w:rtl/>
        </w:rPr>
        <w:t xml:space="preserve"> يقال</w:t>
      </w:r>
      <w:r w:rsidR="000636C2">
        <w:rPr>
          <w:rFonts w:hint="cs"/>
          <w:rtl/>
        </w:rPr>
        <w:t>:</w:t>
      </w:r>
      <w:r w:rsidRPr="005675B2">
        <w:rPr>
          <w:rFonts w:hint="cs"/>
          <w:rtl/>
        </w:rPr>
        <w:t xml:space="preserve"> ثوب قَصيرُ اليَدِ يَقْصُر عن أَن يُلْتَحَفَ به .. يقال</w:t>
      </w:r>
      <w:r w:rsidR="000636C2">
        <w:rPr>
          <w:rFonts w:hint="cs"/>
          <w:rtl/>
        </w:rPr>
        <w:t>:</w:t>
      </w:r>
      <w:r w:rsidRPr="005675B2">
        <w:rPr>
          <w:rFonts w:hint="cs"/>
          <w:rtl/>
        </w:rPr>
        <w:t xml:space="preserve"> أَخذ فلان يَدَ بَحْرٍ إذا أَخذ طريق البحر ..</w:t>
      </w:r>
      <w:r w:rsidR="000636C2">
        <w:rPr>
          <w:rFonts w:hint="cs"/>
          <w:rtl/>
        </w:rPr>
        <w:t>)</w:t>
      </w:r>
      <w:r w:rsidRPr="005675B2">
        <w:rPr>
          <w:rFonts w:hint="cs"/>
          <w:rtl/>
        </w:rPr>
        <w:t>) ذن الفأس والقوس والدهر والريح والثوب والبحر كلها لها أيد وليست بأيد على الحقيقة اللغوية وإنما مجازاً، فتأمل ياطالب الحق</w:t>
      </w:r>
      <w:r w:rsidR="000636C2">
        <w:rPr>
          <w:rFonts w:hint="cs"/>
          <w:rtl/>
        </w:rPr>
        <w:t>،!</w:t>
      </w:r>
      <w:r w:rsidRPr="005675B2">
        <w:rPr>
          <w:rFonts w:hint="cs"/>
          <w:rtl/>
        </w:rPr>
        <w:t xml:space="preserve"> [</w:t>
      </w:r>
      <w:r w:rsidRPr="005675B2">
        <w:rPr>
          <w:rFonts w:hint="cs"/>
          <w:bCs/>
          <w:sz w:val="24"/>
          <w:szCs w:val="24"/>
          <w:rtl/>
        </w:rPr>
        <w:t>للفائدة العظيمة راجع كتاب المجاز في اللغة والقرآن للدكتور عبدالعظيم المطعني</w:t>
      </w:r>
      <w:r w:rsidR="000636C2">
        <w:rPr>
          <w:rFonts w:hint="cs"/>
          <w:bCs/>
          <w:sz w:val="24"/>
          <w:szCs w:val="24"/>
          <w:rtl/>
        </w:rPr>
        <w:t>]</w:t>
      </w:r>
      <w:r w:rsidR="000636C2">
        <w:rPr>
          <w:rFonts w:hint="cs"/>
          <w:rtl/>
        </w:rPr>
        <w:t>،</w:t>
      </w:r>
      <w:r>
        <w:rPr>
          <w:rFonts w:hint="cs"/>
          <w:rtl/>
        </w:rPr>
        <w:t xml:space="preserve"> </w:t>
      </w:r>
      <w:r w:rsidRPr="005675B2">
        <w:rPr>
          <w:rFonts w:hint="cs"/>
          <w:rtl/>
        </w:rPr>
        <w:t>وأسوق ما ورد من تأويلات عن الأئمة من الصحابة وغيرهم على وجه الاختصار</w:t>
      </w:r>
      <w:r w:rsidR="000636C2">
        <w:rPr>
          <w:rFonts w:hint="cs"/>
          <w:rtl/>
        </w:rPr>
        <w:t>:</w:t>
      </w:r>
    </w:p>
    <w:p w14:paraId="180DF4C0" w14:textId="3CED2FCD" w:rsidR="009C32A0" w:rsidRPr="005675B2" w:rsidRDefault="009C32A0" w:rsidP="000636C2">
      <w:pPr>
        <w:rPr>
          <w:b/>
          <w:rtl/>
        </w:rPr>
      </w:pPr>
      <w:r w:rsidRPr="005675B2">
        <w:rPr>
          <w:rFonts w:hint="cs"/>
          <w:rtl/>
        </w:rPr>
        <w:t xml:space="preserve">1 - أوّل ابن عباس قوله تعالى </w:t>
      </w:r>
      <w:r w:rsidR="000636C2">
        <w:rPr>
          <w:rFonts w:hint="cs"/>
          <w:rtl/>
        </w:rPr>
        <w:t>(</w:t>
      </w:r>
      <w:r w:rsidRPr="005675B2">
        <w:rPr>
          <w:rFonts w:hint="cs"/>
          <w:rtl/>
        </w:rPr>
        <w:t>يوم يُكشف عن ساق</w:t>
      </w:r>
      <w:r w:rsidR="000636C2">
        <w:rPr>
          <w:rFonts w:hint="cs"/>
          <w:rtl/>
        </w:rPr>
        <w:t>)</w:t>
      </w:r>
      <w:r w:rsidRPr="005675B2">
        <w:rPr>
          <w:rFonts w:hint="cs"/>
          <w:rtl/>
        </w:rPr>
        <w:t xml:space="preserve"> سورة القلم &lt;42&gt;</w:t>
      </w:r>
      <w:r w:rsidR="000636C2">
        <w:rPr>
          <w:rFonts w:hint="cs"/>
          <w:rtl/>
        </w:rPr>
        <w:t>،</w:t>
      </w:r>
      <w:r>
        <w:rPr>
          <w:rFonts w:hint="cs"/>
          <w:rtl/>
        </w:rPr>
        <w:t xml:space="preserve"> </w:t>
      </w:r>
      <w:r w:rsidRPr="005675B2">
        <w:rPr>
          <w:rFonts w:hint="cs"/>
          <w:rtl/>
        </w:rPr>
        <w:t>فقال يكشف عن شِدَّة .. فأَوَّلَ الساق وفسرها بالشدة</w:t>
      </w:r>
      <w:r w:rsidR="000636C2">
        <w:rPr>
          <w:rFonts w:hint="cs"/>
          <w:rtl/>
        </w:rPr>
        <w:t>،</w:t>
      </w:r>
      <w:r>
        <w:rPr>
          <w:rFonts w:hint="cs"/>
          <w:rtl/>
        </w:rPr>
        <w:t xml:space="preserve"> </w:t>
      </w:r>
      <w:r w:rsidRPr="005675B2">
        <w:rPr>
          <w:rFonts w:hint="cs"/>
          <w:rtl/>
        </w:rPr>
        <w:t xml:space="preserve">ذكر ذلك عنه الحافظ ابن حجر العسقلاني في فتح الباري بشرح صحيح البخاري </w:t>
      </w:r>
      <w:r w:rsidR="000636C2">
        <w:rPr>
          <w:rFonts w:hint="cs"/>
          <w:rtl/>
        </w:rPr>
        <w:t>(</w:t>
      </w:r>
      <w:r w:rsidRPr="005675B2">
        <w:rPr>
          <w:rFonts w:hint="cs"/>
          <w:rtl/>
        </w:rPr>
        <w:t>13/428</w:t>
      </w:r>
      <w:r w:rsidR="000636C2">
        <w:rPr>
          <w:rFonts w:hint="cs"/>
          <w:rtl/>
        </w:rPr>
        <w:t xml:space="preserve">)، </w:t>
      </w:r>
      <w:r w:rsidRPr="005675B2">
        <w:rPr>
          <w:rFonts w:hint="cs"/>
          <w:rtl/>
        </w:rPr>
        <w:t>وجاء</w:t>
      </w:r>
      <w:r w:rsidRPr="005675B2">
        <w:rPr>
          <w:rFonts w:hint="cs"/>
        </w:rPr>
        <w:t xml:space="preserve"> </w:t>
      </w:r>
      <w:r w:rsidRPr="005675B2">
        <w:rPr>
          <w:rFonts w:hint="cs"/>
          <w:rtl/>
        </w:rPr>
        <w:t>عن أبي موسى الأشعري في تفسيرها</w:t>
      </w:r>
      <w:r w:rsidR="000636C2">
        <w:rPr>
          <w:rFonts w:hint="cs"/>
          <w:rtl/>
        </w:rPr>
        <w:t>:</w:t>
      </w:r>
      <w:r w:rsidRPr="005675B2">
        <w:rPr>
          <w:rFonts w:hint="cs"/>
          <w:rtl/>
        </w:rPr>
        <w:t xml:space="preserve"> عن نور عظيم, قال ابن فورك</w:t>
      </w:r>
      <w:r w:rsidR="000636C2">
        <w:rPr>
          <w:rFonts w:hint="cs"/>
          <w:rtl/>
        </w:rPr>
        <w:t>:</w:t>
      </w:r>
      <w:r w:rsidRPr="005675B2">
        <w:rPr>
          <w:rFonts w:hint="cs"/>
          <w:rtl/>
        </w:rPr>
        <w:t xml:space="preserve"> معناه ما ‏يتجدد</w:t>
      </w:r>
      <w:r w:rsidRPr="005675B2">
        <w:rPr>
          <w:rFonts w:hint="cs"/>
        </w:rPr>
        <w:t xml:space="preserve"> </w:t>
      </w:r>
      <w:r w:rsidRPr="005675B2">
        <w:rPr>
          <w:rFonts w:hint="cs"/>
          <w:rtl/>
        </w:rPr>
        <w:t>للمؤمنين من الفوائد والألطاف, وقال المُهَلَّب</w:t>
      </w:r>
      <w:r w:rsidR="000636C2">
        <w:rPr>
          <w:rFonts w:hint="cs"/>
          <w:rtl/>
        </w:rPr>
        <w:t>:</w:t>
      </w:r>
      <w:r w:rsidRPr="005675B2">
        <w:rPr>
          <w:rFonts w:hint="cs"/>
          <w:rtl/>
        </w:rPr>
        <w:t xml:space="preserve"> كشف ساق للمؤمنين رحمة ‏ولغيرهم</w:t>
      </w:r>
      <w:r w:rsidRPr="005675B2">
        <w:rPr>
          <w:rFonts w:hint="cs"/>
        </w:rPr>
        <w:t xml:space="preserve"> </w:t>
      </w:r>
      <w:r w:rsidRPr="005675B2">
        <w:rPr>
          <w:rFonts w:hint="cs"/>
          <w:rtl/>
        </w:rPr>
        <w:t>نقمة, وقال الخطابي</w:t>
      </w:r>
      <w:r w:rsidR="000636C2">
        <w:rPr>
          <w:rFonts w:hint="cs"/>
          <w:rtl/>
        </w:rPr>
        <w:t>(</w:t>
      </w:r>
      <w:r w:rsidRPr="005675B2">
        <w:rPr>
          <w:rFonts w:hint="cs"/>
          <w:rtl/>
        </w:rPr>
        <w:t>10</w:t>
      </w:r>
      <w:r w:rsidR="000636C2">
        <w:rPr>
          <w:rFonts w:hint="cs"/>
          <w:rtl/>
        </w:rPr>
        <w:t>):</w:t>
      </w:r>
      <w:r w:rsidRPr="005675B2">
        <w:rPr>
          <w:rFonts w:hint="cs"/>
          <w:rtl/>
        </w:rPr>
        <w:t xml:space="preserve"> تهيب كثير من الشيوخ الخوض في معنى الساق, ومعنى ‏قول ابن</w:t>
      </w:r>
      <w:r w:rsidRPr="005675B2">
        <w:rPr>
          <w:rFonts w:hint="cs"/>
        </w:rPr>
        <w:t xml:space="preserve"> </w:t>
      </w:r>
      <w:r w:rsidRPr="005675B2">
        <w:rPr>
          <w:rFonts w:hint="cs"/>
          <w:rtl/>
        </w:rPr>
        <w:t>عباس أن الله يكشف عن قدرته التي تظهر بها الشدة, وأسند البيهقي</w:t>
      </w:r>
      <w:r w:rsidR="000636C2">
        <w:rPr>
          <w:rFonts w:hint="cs"/>
          <w:rtl/>
        </w:rPr>
        <w:t xml:space="preserve"> </w:t>
      </w:r>
      <w:r w:rsidRPr="005675B2">
        <w:rPr>
          <w:rFonts w:hint="cs"/>
          <w:rtl/>
        </w:rPr>
        <w:t>‏الأثر</w:t>
      </w:r>
      <w:r w:rsidRPr="005675B2">
        <w:rPr>
          <w:rFonts w:hint="cs"/>
        </w:rPr>
        <w:t xml:space="preserve"> </w:t>
      </w:r>
      <w:r w:rsidRPr="005675B2">
        <w:rPr>
          <w:rFonts w:hint="cs"/>
          <w:rtl/>
        </w:rPr>
        <w:t>المذكور عن ابن عباس بسندين كل منهما حسن وزاد</w:t>
      </w:r>
      <w:r w:rsidR="000636C2">
        <w:rPr>
          <w:rFonts w:hint="cs"/>
          <w:rtl/>
        </w:rPr>
        <w:t>:</w:t>
      </w:r>
      <w:r w:rsidRPr="005675B2">
        <w:rPr>
          <w:rFonts w:hint="cs"/>
          <w:rtl/>
        </w:rPr>
        <w:t xml:space="preserve"> إذا خفي عليكم شيء من ‏</w:t>
      </w:r>
      <w:r w:rsidRPr="005675B2">
        <w:rPr>
          <w:rFonts w:hint="cs"/>
          <w:u w:val="single"/>
          <w:rtl/>
        </w:rPr>
        <w:t>القرءان</w:t>
      </w:r>
      <w:r w:rsidRPr="005675B2">
        <w:rPr>
          <w:rFonts w:hint="cs"/>
          <w:u w:val="single"/>
        </w:rPr>
        <w:t xml:space="preserve"> </w:t>
      </w:r>
      <w:r w:rsidRPr="005675B2">
        <w:rPr>
          <w:rFonts w:hint="cs"/>
          <w:u w:val="single"/>
          <w:rtl/>
        </w:rPr>
        <w:t>فابتغوه من الشعر,</w:t>
      </w:r>
      <w:r w:rsidRPr="005675B2">
        <w:rPr>
          <w:rFonts w:hint="cs"/>
          <w:rtl/>
        </w:rPr>
        <w:t xml:space="preserve"> وذكر الرجز المشار إليه</w:t>
      </w:r>
      <w:r w:rsidR="000636C2">
        <w:rPr>
          <w:rFonts w:hint="cs"/>
          <w:rtl/>
        </w:rPr>
        <w:t xml:space="preserve">، </w:t>
      </w:r>
      <w:r w:rsidRPr="005675B2">
        <w:rPr>
          <w:rFonts w:hint="cs"/>
          <w:rtl/>
        </w:rPr>
        <w:t xml:space="preserve">والحافظ ابن جرير الطبري في تفسيره </w:t>
      </w:r>
      <w:r w:rsidR="000636C2">
        <w:rPr>
          <w:rFonts w:hint="cs"/>
          <w:rtl/>
        </w:rPr>
        <w:t>(</w:t>
      </w:r>
      <w:r w:rsidRPr="005675B2">
        <w:rPr>
          <w:rFonts w:hint="cs"/>
          <w:rtl/>
        </w:rPr>
        <w:t>29/38</w:t>
      </w:r>
      <w:r w:rsidR="000636C2">
        <w:rPr>
          <w:rFonts w:hint="cs"/>
          <w:rtl/>
        </w:rPr>
        <w:t>)</w:t>
      </w:r>
      <w:r w:rsidRPr="005675B2">
        <w:rPr>
          <w:rFonts w:hint="cs"/>
          <w:rtl/>
        </w:rPr>
        <w:t xml:space="preserve"> حيث قال في صدر كلامه على هذه الآية</w:t>
      </w:r>
      <w:r w:rsidR="000636C2">
        <w:rPr>
          <w:rFonts w:hint="cs"/>
          <w:rtl/>
        </w:rPr>
        <w:t>:</w:t>
      </w:r>
      <w:r w:rsidRPr="005675B2">
        <w:rPr>
          <w:rFonts w:hint="cs"/>
          <w:rtl/>
        </w:rPr>
        <w:t xml:space="preserve">قال جماعة من الصحابة والتابعين من أهل </w:t>
      </w:r>
      <w:r w:rsidRPr="005675B2">
        <w:rPr>
          <w:rFonts w:hint="cs"/>
          <w:u w:val="single"/>
          <w:rtl/>
        </w:rPr>
        <w:t>التأويل</w:t>
      </w:r>
      <w:r w:rsidR="000636C2">
        <w:rPr>
          <w:rFonts w:hint="cs"/>
          <w:rtl/>
        </w:rPr>
        <w:t>:</w:t>
      </w:r>
      <w:r w:rsidRPr="005675B2">
        <w:rPr>
          <w:rFonts w:hint="cs"/>
          <w:rtl/>
        </w:rPr>
        <w:t xml:space="preserve"> يبدو عن أمر شديد”</w:t>
      </w:r>
      <w:r w:rsidR="000636C2">
        <w:rPr>
          <w:rFonts w:hint="cs"/>
          <w:rtl/>
        </w:rPr>
        <w:t>،</w:t>
      </w:r>
      <w:r w:rsidRPr="005675B2">
        <w:rPr>
          <w:rFonts w:hint="cs"/>
          <w:rtl/>
        </w:rPr>
        <w:t xml:space="preserve"> ولكم أن تدققوا في قول الإمام الطبري </w:t>
      </w:r>
      <w:r w:rsidR="000636C2">
        <w:rPr>
          <w:rFonts w:hint="cs"/>
          <w:rtl/>
        </w:rPr>
        <w:t>(</w:t>
      </w:r>
      <w:r w:rsidRPr="005675B2">
        <w:rPr>
          <w:rFonts w:hint="cs"/>
          <w:rtl/>
        </w:rPr>
        <w:t>من أهل التأويل</w:t>
      </w:r>
      <w:r w:rsidR="000636C2">
        <w:rPr>
          <w:rFonts w:hint="cs"/>
          <w:rtl/>
        </w:rPr>
        <w:t>)</w:t>
      </w:r>
      <w:r w:rsidRPr="005675B2">
        <w:rPr>
          <w:rFonts w:hint="cs"/>
          <w:rtl/>
        </w:rPr>
        <w:t xml:space="preserve"> ما يدل على أن التأويل معروف معمول به بضوابطه عند السلف</w:t>
      </w:r>
      <w:r w:rsidR="000636C2">
        <w:rPr>
          <w:rFonts w:hint="cs"/>
          <w:rtl/>
        </w:rPr>
        <w:t>،</w:t>
      </w:r>
      <w:r w:rsidRPr="005675B2">
        <w:rPr>
          <w:rFonts w:hint="cs"/>
          <w:rtl/>
        </w:rPr>
        <w:t xml:space="preserve"> وإن تعسف بعضهم فقال المقصود هنا بالتأويل التفسير فياليت شعري تفسيربماذا</w:t>
      </w:r>
      <w:r w:rsidR="000636C2">
        <w:rPr>
          <w:rFonts w:hint="cs"/>
          <w:rtl/>
        </w:rPr>
        <w:t>؟</w:t>
      </w:r>
      <w:r w:rsidRPr="005675B2">
        <w:rPr>
          <w:rFonts w:hint="cs"/>
          <w:rtl/>
        </w:rPr>
        <w:t>أليس بما يؤول إليه الكلام</w:t>
      </w:r>
      <w:r w:rsidR="000636C2">
        <w:rPr>
          <w:rFonts w:hint="cs"/>
          <w:rtl/>
        </w:rPr>
        <w:t xml:space="preserve">؟! </w:t>
      </w:r>
    </w:p>
    <w:p w14:paraId="6A733B7F" w14:textId="0410F883" w:rsidR="009C32A0" w:rsidRPr="005675B2" w:rsidRDefault="000636C2" w:rsidP="000636C2">
      <w:pPr>
        <w:rPr>
          <w:b/>
          <w:rtl/>
        </w:rPr>
      </w:pPr>
      <w:r>
        <w:rPr>
          <w:rFonts w:hint="cs"/>
          <w:bCs/>
          <w:rtl/>
        </w:rPr>
        <w:t>(</w:t>
      </w:r>
      <w:r w:rsidR="009C32A0">
        <w:rPr>
          <w:rFonts w:hint="cs"/>
          <w:bCs/>
          <w:rtl/>
        </w:rPr>
        <w:t>تنبيه</w:t>
      </w:r>
      <w:r>
        <w:rPr>
          <w:rFonts w:hint="cs"/>
          <w:bCs/>
          <w:rtl/>
        </w:rPr>
        <w:t>):</w:t>
      </w:r>
      <w:r w:rsidR="009C32A0" w:rsidRPr="005675B2">
        <w:rPr>
          <w:rFonts w:hint="cs"/>
          <w:rtl/>
        </w:rPr>
        <w:t xml:space="preserve"> أوهم الموجان أنه لا تأويل في الآية وإنما هو نزاع في التفسير</w:t>
      </w:r>
      <w:r>
        <w:rPr>
          <w:rFonts w:hint="cs"/>
          <w:rtl/>
        </w:rPr>
        <w:t>،</w:t>
      </w:r>
      <w:r w:rsidR="009C32A0" w:rsidRPr="005675B2">
        <w:rPr>
          <w:rFonts w:hint="cs"/>
          <w:rtl/>
        </w:rPr>
        <w:t>والأرجح بأن المراد ساق الرب تعالى كما جاء مفسراً في البخاري ولو كان النص (</w:t>
      </w:r>
      <w:r>
        <w:rPr>
          <w:rFonts w:hint="cs"/>
          <w:rtl/>
        </w:rPr>
        <w:t>(</w:t>
      </w:r>
      <w:r w:rsidR="009C32A0" w:rsidRPr="005675B2">
        <w:rPr>
          <w:rFonts w:hint="cs"/>
          <w:rtl/>
        </w:rPr>
        <w:t>عن ساقه</w:t>
      </w:r>
      <w:r>
        <w:rPr>
          <w:rFonts w:hint="cs"/>
          <w:rtl/>
        </w:rPr>
        <w:t>)</w:t>
      </w:r>
      <w:r w:rsidR="009C32A0" w:rsidRPr="005675B2">
        <w:rPr>
          <w:rFonts w:hint="cs"/>
          <w:rtl/>
        </w:rPr>
        <w:t>)</w:t>
      </w:r>
      <w:r w:rsidR="009C32A0">
        <w:rPr>
          <w:rFonts w:hint="cs"/>
          <w:rtl/>
        </w:rPr>
        <w:t xml:space="preserve"> </w:t>
      </w:r>
      <w:r w:rsidR="009C32A0" w:rsidRPr="005675B2">
        <w:rPr>
          <w:rFonts w:hint="cs"/>
          <w:rtl/>
        </w:rPr>
        <w:t>لماوجد النزاع</w:t>
      </w:r>
      <w:r>
        <w:rPr>
          <w:rFonts w:hint="cs"/>
          <w:rtl/>
        </w:rPr>
        <w:t>،</w:t>
      </w:r>
      <w:r w:rsidR="009C32A0" w:rsidRPr="005675B2">
        <w:rPr>
          <w:rFonts w:hint="cs"/>
          <w:rtl/>
        </w:rPr>
        <w:t xml:space="preserve"> أهـ</w:t>
      </w:r>
      <w:r>
        <w:rPr>
          <w:rFonts w:hint="cs"/>
          <w:rtl/>
        </w:rPr>
        <w:t xml:space="preserve"> </w:t>
      </w:r>
      <w:r w:rsidR="009C32A0" w:rsidRPr="005675B2">
        <w:rPr>
          <w:rFonts w:hint="cs"/>
          <w:rtl/>
        </w:rPr>
        <w:t>[</w:t>
      </w:r>
      <w:r w:rsidR="009C32A0" w:rsidRPr="005675B2">
        <w:rPr>
          <w:rFonts w:hint="cs"/>
          <w:bCs/>
          <w:sz w:val="24"/>
          <w:szCs w:val="24"/>
          <w:rtl/>
        </w:rPr>
        <w:t>الرد الشامل 182</w:t>
      </w:r>
      <w:r w:rsidR="009C32A0" w:rsidRPr="005675B2">
        <w:rPr>
          <w:rFonts w:hint="cs"/>
          <w:rtl/>
        </w:rPr>
        <w:t>]</w:t>
      </w:r>
      <w:r>
        <w:rPr>
          <w:rFonts w:hint="cs"/>
          <w:rtl/>
        </w:rPr>
        <w:t>،</w:t>
      </w:r>
      <w:r w:rsidR="009C32A0">
        <w:rPr>
          <w:rFonts w:hint="cs"/>
          <w:rtl/>
        </w:rPr>
        <w:t xml:space="preserve"> </w:t>
      </w:r>
      <w:r>
        <w:rPr>
          <w:rFonts w:hint="cs"/>
          <w:rtl/>
        </w:rPr>
        <w:t>[</w:t>
      </w:r>
      <w:r w:rsidR="009C32A0">
        <w:rPr>
          <w:rFonts w:hint="cs"/>
          <w:rtl/>
        </w:rPr>
        <w:t>الجواب</w:t>
      </w:r>
      <w:r>
        <w:rPr>
          <w:rFonts w:hint="cs"/>
          <w:rtl/>
        </w:rPr>
        <w:t>]:</w:t>
      </w:r>
      <w:r w:rsidR="009C32A0" w:rsidRPr="005675B2">
        <w:rPr>
          <w:rFonts w:hint="cs"/>
          <w:rtl/>
        </w:rPr>
        <w:t xml:space="preserve"> أما تسميته للتأويل بالتفسير فلا تعارض ولله الحمد</w:t>
      </w:r>
      <w:r>
        <w:rPr>
          <w:rFonts w:hint="cs"/>
          <w:rtl/>
        </w:rPr>
        <w:t>،</w:t>
      </w:r>
      <w:r w:rsidR="009C32A0" w:rsidRPr="005675B2">
        <w:rPr>
          <w:rFonts w:hint="cs"/>
          <w:rtl/>
        </w:rPr>
        <w:t>وقد سبق بيان ذلك لأن تفسيرهم</w:t>
      </w:r>
      <w:r>
        <w:rPr>
          <w:rFonts w:hint="cs"/>
          <w:rtl/>
        </w:rPr>
        <w:t xml:space="preserve"> </w:t>
      </w:r>
      <w:r w:rsidR="009C32A0" w:rsidRPr="005675B2">
        <w:rPr>
          <w:rFonts w:hint="cs"/>
          <w:rtl/>
        </w:rPr>
        <w:t>لها بذلك</w:t>
      </w:r>
      <w:r>
        <w:rPr>
          <w:rFonts w:hint="cs"/>
          <w:rtl/>
        </w:rPr>
        <w:t>،</w:t>
      </w:r>
      <w:r w:rsidR="009C32A0" w:rsidRPr="005675B2">
        <w:rPr>
          <w:rFonts w:hint="cs"/>
          <w:rtl/>
        </w:rPr>
        <w:t xml:space="preserve"> له نتيجة حتمية يعرفها كل من أزاح عن عقله التعصب والتقليد الأعمى</w:t>
      </w:r>
      <w:r>
        <w:rPr>
          <w:rFonts w:hint="cs"/>
          <w:rtl/>
        </w:rPr>
        <w:t>،</w:t>
      </w:r>
      <w:r w:rsidR="009C32A0" w:rsidRPr="005675B2">
        <w:rPr>
          <w:rFonts w:hint="cs"/>
          <w:rtl/>
        </w:rPr>
        <w:t>فقد</w:t>
      </w:r>
      <w:r>
        <w:rPr>
          <w:rFonts w:hint="cs"/>
          <w:rtl/>
        </w:rPr>
        <w:t xml:space="preserve"> </w:t>
      </w:r>
      <w:r w:rsidR="009C32A0" w:rsidRPr="005675B2">
        <w:rPr>
          <w:rFonts w:hint="cs"/>
          <w:rtl/>
        </w:rPr>
        <w:t>صرف معنى اللفظ عن ظاهره</w:t>
      </w:r>
      <w:r>
        <w:rPr>
          <w:rFonts w:hint="cs"/>
          <w:rtl/>
        </w:rPr>
        <w:t xml:space="preserve"> </w:t>
      </w:r>
      <w:r w:rsidR="009C32A0" w:rsidRPr="005675B2">
        <w:rPr>
          <w:rFonts w:hint="cs"/>
          <w:rtl/>
        </w:rPr>
        <w:t>على التفسير الحقيقي لها في اللغة</w:t>
      </w:r>
      <w:r>
        <w:rPr>
          <w:rFonts w:hint="cs"/>
          <w:rtl/>
        </w:rPr>
        <w:t xml:space="preserve"> </w:t>
      </w:r>
      <w:r w:rsidR="009C32A0" w:rsidRPr="005675B2">
        <w:rPr>
          <w:rFonts w:hint="cs"/>
          <w:rtl/>
        </w:rPr>
        <w:t>إلى معنى آخر يحتمله لوجود قرينة</w:t>
      </w:r>
      <w:r>
        <w:rPr>
          <w:rFonts w:hint="cs"/>
          <w:rtl/>
        </w:rPr>
        <w:t>،</w:t>
      </w:r>
      <w:r w:rsidR="009C32A0" w:rsidRPr="005675B2">
        <w:rPr>
          <w:rFonts w:hint="cs"/>
          <w:rtl/>
        </w:rPr>
        <w:t xml:space="preserve"> وهذا هو ما فعله الصحابي رضي الله عنه</w:t>
      </w:r>
      <w:r>
        <w:rPr>
          <w:rFonts w:hint="cs"/>
          <w:rtl/>
        </w:rPr>
        <w:t xml:space="preserve">، </w:t>
      </w:r>
      <w:r w:rsidR="009C32A0" w:rsidRPr="005675B2">
        <w:rPr>
          <w:rFonts w:hint="cs"/>
          <w:rtl/>
        </w:rPr>
        <w:t>وقولك الأرجح يوهم أن الجمع ممتنع</w:t>
      </w:r>
      <w:r>
        <w:rPr>
          <w:rFonts w:hint="cs"/>
          <w:rtl/>
        </w:rPr>
        <w:t>،</w:t>
      </w:r>
      <w:r w:rsidR="009C32A0" w:rsidRPr="005675B2">
        <w:rPr>
          <w:rFonts w:hint="cs"/>
          <w:rtl/>
        </w:rPr>
        <w:t xml:space="preserve"> الجمع غير ممتنع أصلاً</w:t>
      </w:r>
      <w:r>
        <w:rPr>
          <w:rFonts w:hint="cs"/>
          <w:rtl/>
        </w:rPr>
        <w:t>،</w:t>
      </w:r>
      <w:r w:rsidR="009C32A0" w:rsidRPr="005675B2">
        <w:rPr>
          <w:rFonts w:hint="cs"/>
          <w:rtl/>
        </w:rPr>
        <w:t xml:space="preserve"> لأن الساق في حديث (</w:t>
      </w:r>
      <w:r>
        <w:rPr>
          <w:rFonts w:hint="cs"/>
          <w:rtl/>
        </w:rPr>
        <w:t>(</w:t>
      </w:r>
      <w:r w:rsidR="009C32A0" w:rsidRPr="005675B2">
        <w:rPr>
          <w:rFonts w:hint="cs"/>
          <w:rtl/>
        </w:rPr>
        <w:t>يكشف ربنا عن ساقه فيسجد له كل مؤمن ومؤمنه</w:t>
      </w:r>
      <w:r>
        <w:rPr>
          <w:rFonts w:hint="cs"/>
          <w:rtl/>
        </w:rPr>
        <w:t>)</w:t>
      </w:r>
      <w:r w:rsidR="009C32A0" w:rsidRPr="005675B2">
        <w:rPr>
          <w:rFonts w:hint="cs"/>
          <w:rtl/>
        </w:rPr>
        <w:t xml:space="preserve"> هو الساق في قوله تعالى (</w:t>
      </w:r>
      <w:r>
        <w:rPr>
          <w:rFonts w:hint="cs"/>
          <w:rtl/>
        </w:rPr>
        <w:t>(</w:t>
      </w:r>
      <w:r w:rsidR="009C32A0" w:rsidRPr="005675B2">
        <w:rPr>
          <w:rFonts w:hint="cs"/>
          <w:rtl/>
        </w:rPr>
        <w:t>يوم يكشف عن ساق ويدعون إلى السجود فلا يستطيعون</w:t>
      </w:r>
      <w:r>
        <w:rPr>
          <w:rFonts w:hint="cs"/>
          <w:rtl/>
        </w:rPr>
        <w:t>)</w:t>
      </w:r>
      <w:r w:rsidR="009C32A0" w:rsidRPr="005675B2">
        <w:rPr>
          <w:rFonts w:hint="cs"/>
          <w:rtl/>
        </w:rPr>
        <w:t>فالمؤمنون يسجدون له والمنافقون لا يستطيعون</w:t>
      </w:r>
      <w:r>
        <w:rPr>
          <w:rFonts w:hint="cs"/>
          <w:rtl/>
        </w:rPr>
        <w:t>،</w:t>
      </w:r>
      <w:r w:rsidR="009C32A0" w:rsidRPr="005675B2">
        <w:rPr>
          <w:rFonts w:hint="cs"/>
          <w:rtl/>
        </w:rPr>
        <w:t xml:space="preserve"> فهو سجود حين يكشف عن ساقه</w:t>
      </w:r>
      <w:r>
        <w:rPr>
          <w:rFonts w:hint="cs"/>
          <w:rtl/>
        </w:rPr>
        <w:t>،</w:t>
      </w:r>
      <w:r w:rsidR="009C32A0" w:rsidRPr="005675B2">
        <w:rPr>
          <w:rFonts w:hint="cs"/>
          <w:rtl/>
        </w:rPr>
        <w:t xml:space="preserve"> وساق الرب هذه التي تقول أنها الأرجح هي شدته كما فسرها الصحابي</w:t>
      </w:r>
      <w:r>
        <w:rPr>
          <w:rFonts w:hint="cs"/>
          <w:rtl/>
        </w:rPr>
        <w:t>،</w:t>
      </w:r>
      <w:r w:rsidR="009C32A0" w:rsidRPr="005675B2">
        <w:rPr>
          <w:rFonts w:hint="cs"/>
          <w:rtl/>
        </w:rPr>
        <w:t xml:space="preserve"> ولذا فسرها ابن</w:t>
      </w:r>
      <w:r>
        <w:rPr>
          <w:rFonts w:hint="cs"/>
          <w:rtl/>
        </w:rPr>
        <w:t xml:space="preserve"> </w:t>
      </w:r>
      <w:r w:rsidR="009C32A0" w:rsidRPr="005675B2">
        <w:rPr>
          <w:rFonts w:hint="cs"/>
          <w:rtl/>
        </w:rPr>
        <w:t>كثير بذلك وساق فيها عند تفسير الآية الحديث السابق</w:t>
      </w:r>
      <w:r>
        <w:rPr>
          <w:rFonts w:hint="cs"/>
          <w:rtl/>
        </w:rPr>
        <w:t>،</w:t>
      </w:r>
      <w:r w:rsidR="009C32A0" w:rsidRPr="005675B2">
        <w:rPr>
          <w:rFonts w:hint="cs"/>
          <w:rtl/>
        </w:rPr>
        <w:t xml:space="preserve"> يؤكد ذلك قراءة (</w:t>
      </w:r>
      <w:r>
        <w:rPr>
          <w:rFonts w:hint="cs"/>
          <w:rtl/>
        </w:rPr>
        <w:t>(</w:t>
      </w:r>
      <w:r w:rsidR="009C32A0" w:rsidRPr="005675B2">
        <w:rPr>
          <w:rFonts w:hint="cs"/>
          <w:rtl/>
        </w:rPr>
        <w:t>يوم نكشف عن</w:t>
      </w:r>
      <w:r w:rsidR="009C32A0">
        <w:rPr>
          <w:rFonts w:hint="cs"/>
          <w:rtl/>
        </w:rPr>
        <w:t xml:space="preserve"> </w:t>
      </w:r>
      <w:r w:rsidR="009C32A0" w:rsidRPr="005675B2">
        <w:rPr>
          <w:rFonts w:hint="cs"/>
          <w:rtl/>
        </w:rPr>
        <w:t>ساق</w:t>
      </w:r>
      <w:r>
        <w:rPr>
          <w:rFonts w:hint="cs"/>
          <w:rtl/>
        </w:rPr>
        <w:t>)</w:t>
      </w:r>
      <w:r w:rsidR="009C32A0" w:rsidRPr="005675B2">
        <w:rPr>
          <w:rFonts w:hint="cs"/>
          <w:rtl/>
        </w:rPr>
        <w:t xml:space="preserve"> فالنون هنا تزيل اللبس الذي يحصل للبعض والله الموفق</w:t>
      </w:r>
      <w:r>
        <w:rPr>
          <w:rFonts w:hint="cs"/>
          <w:rtl/>
        </w:rPr>
        <w:t>،</w:t>
      </w:r>
      <w:r w:rsidR="009C32A0" w:rsidRPr="005675B2">
        <w:rPr>
          <w:rFonts w:hint="cs"/>
          <w:rtl/>
        </w:rPr>
        <w:t xml:space="preserve"> </w:t>
      </w:r>
      <w:r>
        <w:rPr>
          <w:rFonts w:hint="cs"/>
          <w:rtl/>
        </w:rPr>
        <w:t>[</w:t>
      </w:r>
      <w:r w:rsidR="009C32A0" w:rsidRPr="005675B2">
        <w:rPr>
          <w:rFonts w:hint="cs"/>
          <w:bCs/>
          <w:sz w:val="24"/>
          <w:szCs w:val="24"/>
          <w:rtl/>
        </w:rPr>
        <w:t>انظر تفسير ابن كثير للآية 42 من سورة القلم وكذا زاد المسير لابن الجوزي</w:t>
      </w:r>
      <w:r>
        <w:rPr>
          <w:rFonts w:hint="cs"/>
          <w:bCs/>
          <w:sz w:val="24"/>
          <w:szCs w:val="24"/>
          <w:rtl/>
        </w:rPr>
        <w:t>]</w:t>
      </w:r>
      <w:r w:rsidR="009C32A0" w:rsidRPr="005675B2">
        <w:rPr>
          <w:rFonts w:hint="cs"/>
          <w:rtl/>
        </w:rPr>
        <w:t xml:space="preserve"> فلا مناص من أنه تأويل</w:t>
      </w:r>
      <w:r>
        <w:rPr>
          <w:rFonts w:hint="cs"/>
          <w:rtl/>
        </w:rPr>
        <w:t xml:space="preserve"> </w:t>
      </w:r>
    </w:p>
    <w:p w14:paraId="61BE577E" w14:textId="018C65B9" w:rsidR="009C32A0" w:rsidRPr="005675B2" w:rsidRDefault="009C32A0" w:rsidP="000636C2">
      <w:pPr>
        <w:pStyle w:val="afb"/>
        <w:numPr>
          <w:ilvl w:val="0"/>
          <w:numId w:val="49"/>
        </w:numPr>
        <w:ind w:left="0" w:firstLine="0"/>
        <w:jc w:val="both"/>
        <w:rPr>
          <w:b w:val="0"/>
          <w:rtl/>
        </w:rPr>
      </w:pPr>
      <w:r w:rsidRPr="005675B2">
        <w:rPr>
          <w:rFonts w:hint="cs"/>
          <w:b w:val="0"/>
          <w:rtl/>
        </w:rPr>
        <w:t xml:space="preserve">- أوّل النسيان الوارد في قوله تعالى </w:t>
      </w:r>
      <w:r w:rsidR="000636C2">
        <w:rPr>
          <w:rFonts w:hint="cs"/>
          <w:b w:val="0"/>
          <w:rtl/>
        </w:rPr>
        <w:t>(</w:t>
      </w:r>
      <w:r w:rsidRPr="005675B2">
        <w:rPr>
          <w:rFonts w:hint="cs"/>
          <w:b w:val="0"/>
          <w:rtl/>
        </w:rPr>
        <w:t>فاليوم ننساهم كما نسوا لقاء يومهم هذا</w:t>
      </w:r>
      <w:r w:rsidR="000636C2">
        <w:rPr>
          <w:rFonts w:hint="cs"/>
          <w:b w:val="0"/>
          <w:rtl/>
        </w:rPr>
        <w:t>)</w:t>
      </w:r>
      <w:r w:rsidRPr="005675B2">
        <w:rPr>
          <w:rFonts w:hint="cs"/>
          <w:b w:val="0"/>
          <w:rtl/>
        </w:rPr>
        <w:t xml:space="preserve"> سورة الأعراف &lt;51&gt;بأنه التَّرْك .. كما قال الطبري ” أي ففي هذا اليوم وذلك يوم القيامة ننساهم</w:t>
      </w:r>
      <w:r w:rsidR="000636C2">
        <w:rPr>
          <w:rFonts w:hint="cs"/>
          <w:b w:val="0"/>
          <w:rtl/>
        </w:rPr>
        <w:t xml:space="preserve"> </w:t>
      </w:r>
      <w:r w:rsidRPr="005675B2">
        <w:rPr>
          <w:rFonts w:hint="cs"/>
          <w:b w:val="0"/>
          <w:rtl/>
        </w:rPr>
        <w:t>- يقول نتركهم في العذاب ”وهو تأويل صريح من ابن جرير للنسيان بأنه الترك .. وهو صرف لمعنى هذا اللفظ عن ظاهره</w:t>
      </w:r>
      <w:r w:rsidR="000636C2">
        <w:rPr>
          <w:rFonts w:hint="cs"/>
          <w:b w:val="0"/>
          <w:rtl/>
        </w:rPr>
        <w:t xml:space="preserve"> </w:t>
      </w:r>
      <w:r w:rsidRPr="005675B2">
        <w:rPr>
          <w:rFonts w:hint="cs"/>
          <w:b w:val="0"/>
          <w:rtl/>
        </w:rPr>
        <w:t>المعهود وهو إلى معنى مجازى ونقل ابن جرير هذا التأويل الصارف عن الظاهر، ورواه بأسانيده عن ابن عباس ومجاهد وغيرهم</w:t>
      </w:r>
      <w:r w:rsidR="000636C2">
        <w:rPr>
          <w:rFonts w:hint="cs"/>
          <w:b w:val="0"/>
          <w:rtl/>
        </w:rPr>
        <w:t xml:space="preserve">، </w:t>
      </w:r>
      <w:r w:rsidRPr="005675B2">
        <w:rPr>
          <w:rFonts w:hint="cs"/>
          <w:b w:val="0"/>
          <w:rtl/>
        </w:rPr>
        <w:t>[</w:t>
      </w:r>
      <w:r w:rsidRPr="005675B2">
        <w:rPr>
          <w:rFonts w:hint="cs"/>
          <w:b w:val="0"/>
          <w:bCs/>
          <w:sz w:val="24"/>
          <w:szCs w:val="24"/>
          <w:rtl/>
        </w:rPr>
        <w:t>تفسير الطبري (8/201)</w:t>
      </w:r>
      <w:r w:rsidRPr="005675B2">
        <w:rPr>
          <w:rFonts w:hint="cs"/>
          <w:b w:val="0"/>
          <w:rtl/>
        </w:rPr>
        <w:t>] ومعلوم أن المتبادر إلى الذهن عند إطلاق النسيان في كلام العرب على الحقيقة في اللغة</w:t>
      </w:r>
      <w:r w:rsidR="000636C2">
        <w:rPr>
          <w:rFonts w:hint="cs"/>
          <w:b w:val="0"/>
          <w:rtl/>
        </w:rPr>
        <w:t xml:space="preserve"> </w:t>
      </w:r>
      <w:r w:rsidRPr="005675B2">
        <w:rPr>
          <w:rFonts w:hint="cs"/>
          <w:b w:val="0"/>
          <w:rtl/>
        </w:rPr>
        <w:t>أنه الذهول</w:t>
      </w:r>
      <w:r w:rsidR="000636C2">
        <w:rPr>
          <w:rFonts w:hint="cs"/>
          <w:b w:val="0"/>
          <w:rtl/>
        </w:rPr>
        <w:t>،</w:t>
      </w:r>
      <w:r w:rsidRPr="005675B2">
        <w:rPr>
          <w:rFonts w:hint="cs"/>
          <w:b w:val="0"/>
          <w:rtl/>
        </w:rPr>
        <w:t>ولكن لما كان هناك قرائن على أن المقصود ليس هو الذهول</w:t>
      </w:r>
      <w:r w:rsidR="000636C2">
        <w:rPr>
          <w:rFonts w:hint="cs"/>
          <w:b w:val="0"/>
          <w:rtl/>
        </w:rPr>
        <w:t>،</w:t>
      </w:r>
      <w:r w:rsidRPr="005675B2">
        <w:rPr>
          <w:rFonts w:hint="cs"/>
          <w:b w:val="0"/>
          <w:rtl/>
        </w:rPr>
        <w:t>ومن أعظمها أن ذلك موجب لنقص الله</w:t>
      </w:r>
      <w:r w:rsidR="000636C2">
        <w:rPr>
          <w:rFonts w:hint="cs"/>
          <w:b w:val="0"/>
          <w:rtl/>
        </w:rPr>
        <w:t>،</w:t>
      </w:r>
      <w:r w:rsidRPr="005675B2">
        <w:rPr>
          <w:rFonts w:hint="cs"/>
          <w:b w:val="0"/>
          <w:rtl/>
        </w:rPr>
        <w:t>صرف عن ظاهره إلى معنى آخر</w:t>
      </w:r>
      <w:r w:rsidR="000636C2">
        <w:rPr>
          <w:rFonts w:hint="cs"/>
          <w:b w:val="0"/>
          <w:rtl/>
        </w:rPr>
        <w:t xml:space="preserve"> </w:t>
      </w:r>
      <w:r w:rsidRPr="005675B2">
        <w:rPr>
          <w:rFonts w:hint="cs"/>
          <w:b w:val="0"/>
          <w:rtl/>
        </w:rPr>
        <w:t>سائغ وهو الترك</w:t>
      </w:r>
      <w:r w:rsidR="000636C2">
        <w:rPr>
          <w:rFonts w:hint="cs"/>
          <w:b w:val="0"/>
          <w:rtl/>
        </w:rPr>
        <w:t>،</w:t>
      </w:r>
      <w:r w:rsidRPr="005675B2">
        <w:rPr>
          <w:rFonts w:hint="cs"/>
          <w:b w:val="0"/>
          <w:rtl/>
        </w:rPr>
        <w:t xml:space="preserve"> فالمقصود أن أصل النسيان في اللغة يأتي بمعنى الذهول ولكن له معنى آخر مجازي وهو الترك فحُمل عليه في الآيات</w:t>
      </w:r>
      <w:r w:rsidR="000636C2">
        <w:rPr>
          <w:rFonts w:hint="cs"/>
          <w:b w:val="0"/>
          <w:rtl/>
        </w:rPr>
        <w:t>،</w:t>
      </w:r>
      <w:r w:rsidRPr="005675B2">
        <w:rPr>
          <w:rFonts w:hint="cs"/>
          <w:b w:val="0"/>
          <w:rtl/>
        </w:rPr>
        <w:t xml:space="preserve"> فماهو موجب حمل النسيان على الترك لا على الذهول</w:t>
      </w:r>
      <w:r w:rsidR="000636C2">
        <w:rPr>
          <w:rFonts w:hint="cs"/>
          <w:b w:val="0"/>
          <w:rtl/>
        </w:rPr>
        <w:t>؟!</w:t>
      </w:r>
      <w:r w:rsidRPr="005675B2">
        <w:rPr>
          <w:rFonts w:hint="cs"/>
          <w:b w:val="0"/>
          <w:rtl/>
        </w:rPr>
        <w:t>فإذا قلنا لأن الذهول لا عقاب عليه</w:t>
      </w:r>
      <w:r w:rsidR="000636C2">
        <w:rPr>
          <w:rFonts w:hint="cs"/>
          <w:b w:val="0"/>
          <w:rtl/>
        </w:rPr>
        <w:t>،</w:t>
      </w:r>
      <w:r w:rsidRPr="005675B2">
        <w:rPr>
          <w:rFonts w:hint="cs"/>
          <w:b w:val="0"/>
          <w:rtl/>
        </w:rPr>
        <w:t xml:space="preserve"> فهذا جواب صحيح بالنسبة للعبد، لكن بالنسبة للخالق ماهو الصارف</w:t>
      </w:r>
      <w:r w:rsidR="000636C2">
        <w:rPr>
          <w:rFonts w:hint="cs"/>
          <w:b w:val="0"/>
          <w:rtl/>
        </w:rPr>
        <w:t>؟</w:t>
      </w:r>
      <w:r w:rsidRPr="005675B2">
        <w:rPr>
          <w:rFonts w:hint="cs"/>
          <w:b w:val="0"/>
          <w:rtl/>
        </w:rPr>
        <w:t xml:space="preserve"> فجوابه</w:t>
      </w:r>
      <w:r w:rsidR="000636C2">
        <w:rPr>
          <w:rFonts w:hint="cs"/>
          <w:b w:val="0"/>
          <w:rtl/>
        </w:rPr>
        <w:t>:</w:t>
      </w:r>
      <w:r w:rsidRPr="005675B2">
        <w:rPr>
          <w:rFonts w:hint="cs"/>
          <w:b w:val="0"/>
          <w:rtl/>
        </w:rPr>
        <w:t xml:space="preserve"> بلا ريب أن ذلك المعنى لا يجوز على الله وهذا هو المراد</w:t>
      </w:r>
      <w:r w:rsidR="000636C2">
        <w:rPr>
          <w:rFonts w:hint="cs"/>
          <w:b w:val="0"/>
          <w:rtl/>
        </w:rPr>
        <w:t>،</w:t>
      </w:r>
      <w:r w:rsidRPr="005675B2">
        <w:rPr>
          <w:rFonts w:hint="cs"/>
          <w:b w:val="0"/>
          <w:rtl/>
        </w:rPr>
        <w:t xml:space="preserve"> </w:t>
      </w:r>
      <w:r w:rsidRPr="005675B2">
        <w:rPr>
          <w:rFonts w:hint="cs"/>
          <w:b w:val="0"/>
          <w:u w:val="single"/>
          <w:rtl/>
        </w:rPr>
        <w:t>وبه يتبين أن الموجان</w:t>
      </w:r>
      <w:r w:rsidRPr="005675B2">
        <w:rPr>
          <w:rFonts w:hint="cs"/>
          <w:b w:val="0"/>
          <w:rtl/>
        </w:rPr>
        <w:t xml:space="preserve"> كان يتكلم عن شيء ليس هو موطن النزاع</w:t>
      </w:r>
      <w:r w:rsidR="000636C2">
        <w:rPr>
          <w:rFonts w:hint="cs"/>
          <w:b w:val="0"/>
          <w:rtl/>
        </w:rPr>
        <w:t>،</w:t>
      </w:r>
      <w:r w:rsidRPr="005675B2">
        <w:rPr>
          <w:rFonts w:hint="cs"/>
          <w:b w:val="0"/>
          <w:rtl/>
        </w:rPr>
        <w:t xml:space="preserve"> لأنه سلم بأنه الترك لا الذهول</w:t>
      </w:r>
      <w:r w:rsidR="000636C2">
        <w:rPr>
          <w:rFonts w:hint="cs"/>
          <w:b w:val="0"/>
          <w:rtl/>
        </w:rPr>
        <w:t>،</w:t>
      </w:r>
      <w:r w:rsidRPr="005675B2">
        <w:rPr>
          <w:rFonts w:hint="cs"/>
          <w:b w:val="0"/>
          <w:rtl/>
        </w:rPr>
        <w:t xml:space="preserve"> ولم يبين أن الذهول لا يليق بالله ورفض الإقرار بأن الترك هو المعنى المجازي</w:t>
      </w:r>
      <w:r w:rsidR="000636C2">
        <w:rPr>
          <w:rFonts w:hint="cs"/>
          <w:b w:val="0"/>
          <w:rtl/>
        </w:rPr>
        <w:t>،</w:t>
      </w:r>
      <w:r w:rsidRPr="005675B2">
        <w:rPr>
          <w:rFonts w:hint="cs"/>
          <w:b w:val="0"/>
          <w:rtl/>
        </w:rPr>
        <w:t xml:space="preserve"> وهذه مكابرة للحقائق</w:t>
      </w:r>
      <w:r w:rsidR="000636C2">
        <w:rPr>
          <w:rFonts w:hint="cs"/>
          <w:b w:val="0"/>
          <w:rtl/>
        </w:rPr>
        <w:t xml:space="preserve"> </w:t>
      </w:r>
      <w:r w:rsidRPr="005675B2">
        <w:rPr>
          <w:rFonts w:hint="cs"/>
          <w:b w:val="0"/>
          <w:rtl/>
        </w:rPr>
        <w:t>فإن أصغر طلبة العلم في اللغة يعرف أن النسيان هو الذهول حقيقة</w:t>
      </w:r>
      <w:r w:rsidR="000636C2">
        <w:rPr>
          <w:rFonts w:hint="cs"/>
          <w:b w:val="0"/>
          <w:rtl/>
        </w:rPr>
        <w:t>،</w:t>
      </w:r>
      <w:r w:rsidRPr="005675B2">
        <w:rPr>
          <w:rFonts w:hint="cs"/>
          <w:b w:val="0"/>
          <w:rtl/>
        </w:rPr>
        <w:t>وأما الترك فإنما هو من معان النسيان لكن تجوزاً، أو توسعاً أو،مجازاً</w:t>
      </w:r>
      <w:r w:rsidR="000636C2">
        <w:rPr>
          <w:rFonts w:hint="cs"/>
          <w:b w:val="0"/>
          <w:rtl/>
        </w:rPr>
        <w:t>،</w:t>
      </w:r>
      <w:r w:rsidRPr="005675B2">
        <w:rPr>
          <w:rFonts w:hint="cs"/>
          <w:b w:val="0"/>
          <w:rtl/>
        </w:rPr>
        <w:t>والمعنى في الثلاثة واحد</w:t>
      </w:r>
      <w:r w:rsidR="000636C2">
        <w:rPr>
          <w:rFonts w:hint="cs"/>
          <w:b w:val="0"/>
          <w:rtl/>
        </w:rPr>
        <w:t>،</w:t>
      </w:r>
    </w:p>
    <w:p w14:paraId="5E2F6D3D" w14:textId="5E4280A5" w:rsidR="009C32A0" w:rsidRPr="005675B2" w:rsidRDefault="009C32A0" w:rsidP="000636C2">
      <w:pPr>
        <w:rPr>
          <w:b/>
          <w:rtl/>
        </w:rPr>
      </w:pPr>
      <w:r w:rsidRPr="000D2C6C">
        <w:rPr>
          <w:rFonts w:hint="cs"/>
          <w:bCs/>
          <w:rtl/>
        </w:rPr>
        <w:t>تأويل الإمام أحمد بن حنبل</w:t>
      </w:r>
      <w:r w:rsidR="000636C2">
        <w:rPr>
          <w:rFonts w:hint="cs"/>
          <w:rtl/>
        </w:rPr>
        <w:t>:</w:t>
      </w:r>
      <w:r w:rsidRPr="005675B2">
        <w:rPr>
          <w:rFonts w:hint="cs"/>
          <w:rtl/>
        </w:rPr>
        <w:t xml:space="preserve"> - 1 - روى الحافظ البيهقي في كتابه مناقب أحمد</w:t>
      </w:r>
      <w:r w:rsidR="000636C2">
        <w:rPr>
          <w:rFonts w:hint="cs"/>
          <w:rtl/>
        </w:rPr>
        <w:t>،</w:t>
      </w:r>
      <w:r w:rsidRPr="005675B2">
        <w:rPr>
          <w:rFonts w:hint="cs"/>
          <w:rtl/>
        </w:rPr>
        <w:t xml:space="preserve">وهو كتاب مخطوط نقل عنه ابن كثير في البداية والنهايةفقال ” روى البيهقي عن الحاكم عن أبي عمرو بن السماك عن حنبل أن أحمد بن حنبل تأوَّل قول الله تعالى </w:t>
      </w:r>
      <w:r w:rsidR="000636C2">
        <w:rPr>
          <w:rFonts w:hint="cs"/>
          <w:rtl/>
        </w:rPr>
        <w:t>(</w:t>
      </w:r>
      <w:r w:rsidRPr="005675B2">
        <w:rPr>
          <w:rFonts w:hint="cs"/>
          <w:rtl/>
        </w:rPr>
        <w:t>وجاء ربك</w:t>
      </w:r>
      <w:r w:rsidR="000636C2">
        <w:rPr>
          <w:rFonts w:hint="cs"/>
          <w:rtl/>
        </w:rPr>
        <w:t>)</w:t>
      </w:r>
      <w:r w:rsidRPr="005675B2">
        <w:rPr>
          <w:rFonts w:hint="cs"/>
          <w:rtl/>
        </w:rPr>
        <w:t xml:space="preserve"> أنه</w:t>
      </w:r>
      <w:r w:rsidR="000636C2">
        <w:rPr>
          <w:rFonts w:hint="cs"/>
          <w:rtl/>
        </w:rPr>
        <w:t>:</w:t>
      </w:r>
      <w:r w:rsidRPr="005675B2">
        <w:rPr>
          <w:rFonts w:hint="cs"/>
          <w:rtl/>
        </w:rPr>
        <w:t xml:space="preserve"> جاء ثوابه .. ثم قال البيهقي وهذا إسناد لا غبار عليه ”</w:t>
      </w:r>
      <w:r w:rsidR="000636C2">
        <w:rPr>
          <w:rFonts w:hint="cs"/>
          <w:rtl/>
        </w:rPr>
        <w:t>،</w:t>
      </w:r>
      <w:r w:rsidRPr="005675B2">
        <w:rPr>
          <w:rFonts w:hint="cs"/>
          <w:rtl/>
        </w:rPr>
        <w:t xml:space="preserve"> انتهى كلام ابن كثير من غير انتقاد للرواية</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البداية والنهاية (10/327)</w:t>
      </w:r>
      <w:r w:rsidRPr="005675B2">
        <w:rPr>
          <w:rFonts w:hint="cs"/>
          <w:rtl/>
        </w:rPr>
        <w:t>]</w:t>
      </w:r>
      <w:r w:rsidR="000636C2">
        <w:rPr>
          <w:rFonts w:hint="cs"/>
          <w:rtl/>
        </w:rPr>
        <w:t xml:space="preserve"> </w:t>
      </w:r>
      <w:r w:rsidRPr="005675B2">
        <w:rPr>
          <w:rFonts w:hint="cs"/>
          <w:rtl/>
        </w:rPr>
        <w:t>وشهادة الإمام البيهقي</w:t>
      </w:r>
      <w:r w:rsidR="000636C2">
        <w:rPr>
          <w:rFonts w:hint="cs"/>
          <w:rtl/>
        </w:rPr>
        <w:t xml:space="preserve"> </w:t>
      </w:r>
      <w:r w:rsidRPr="005675B2">
        <w:rPr>
          <w:rFonts w:hint="cs"/>
          <w:rtl/>
        </w:rPr>
        <w:t>- وهو من هو - بصحة هذا السند وهذه الرواية عن الإمام أحمد تدل دلالة لا شك فيها أن الإمام قد أخذ بالتأويل عند وجود دواعي ذلك .. وكذلك سكوت ابن كثير</w:t>
      </w:r>
      <w:r w:rsidR="000636C2">
        <w:rPr>
          <w:rFonts w:hint="cs"/>
          <w:rtl/>
        </w:rPr>
        <w:t>،</w:t>
      </w:r>
      <w:r w:rsidRPr="005675B2">
        <w:rPr>
          <w:rFonts w:hint="cs"/>
          <w:rtl/>
        </w:rPr>
        <w:t>وعدم انتقاده للرواية وهو العالم الفذ الخبير بالأسانيد والعلل والرواة يدل على تسليمه بصحتها، فراجع البداية والنهاية</w:t>
      </w:r>
      <w:r w:rsidR="000636C2">
        <w:rPr>
          <w:rFonts w:hint="cs"/>
          <w:rtl/>
        </w:rPr>
        <w:t>،</w:t>
      </w:r>
      <w:r w:rsidRPr="005675B2">
        <w:rPr>
          <w:rFonts w:hint="cs"/>
          <w:u w:val="single"/>
          <w:rtl/>
        </w:rPr>
        <w:t xml:space="preserve"> وقد تعسف</w:t>
      </w:r>
      <w:r w:rsidR="000636C2">
        <w:rPr>
          <w:rFonts w:hint="cs"/>
          <w:u w:val="single"/>
          <w:rtl/>
        </w:rPr>
        <w:t xml:space="preserve"> </w:t>
      </w:r>
      <w:r w:rsidRPr="005675B2">
        <w:rPr>
          <w:rFonts w:hint="cs"/>
          <w:u w:val="single"/>
          <w:rtl/>
        </w:rPr>
        <w:t>الموجان</w:t>
      </w:r>
      <w:r w:rsidRPr="005675B2">
        <w:rPr>
          <w:rFonts w:hint="cs"/>
          <w:rtl/>
        </w:rPr>
        <w:t xml:space="preserve"> في محاولة ردها</w:t>
      </w:r>
      <w:r w:rsidR="000636C2">
        <w:rPr>
          <w:rFonts w:hint="cs"/>
          <w:rtl/>
        </w:rPr>
        <w:t>،</w:t>
      </w:r>
      <w:r w:rsidRPr="005675B2">
        <w:rPr>
          <w:rFonts w:hint="cs"/>
          <w:rtl/>
        </w:rPr>
        <w:t xml:space="preserve"> فجاء بما لا ينفق إلا على جاهل</w:t>
      </w:r>
      <w:r w:rsidR="000636C2">
        <w:rPr>
          <w:rFonts w:hint="cs"/>
          <w:rtl/>
        </w:rPr>
        <w:t>،</w:t>
      </w:r>
      <w:r w:rsidRPr="005675B2">
        <w:rPr>
          <w:rFonts w:hint="cs"/>
          <w:rtl/>
        </w:rPr>
        <w:t xml:space="preserve"> إذ لو قلنا بكلامه من احتمال أنهازيادة في بعض الطبعات من النساخ لمابقي معنا كتاب من كتب العلماء</w:t>
      </w:r>
      <w:r w:rsidR="000636C2">
        <w:rPr>
          <w:rFonts w:hint="cs"/>
          <w:rtl/>
        </w:rPr>
        <w:t>،</w:t>
      </w:r>
      <w:r w:rsidRPr="005675B2">
        <w:rPr>
          <w:rFonts w:hint="cs"/>
          <w:rtl/>
        </w:rPr>
        <w:t xml:space="preserve"> وهذا الاحتمال مردود كما هو معروف عند أهل الفن</w:t>
      </w:r>
      <w:r w:rsidR="000636C2">
        <w:rPr>
          <w:rFonts w:hint="cs"/>
          <w:rtl/>
        </w:rPr>
        <w:t xml:space="preserve"> </w:t>
      </w:r>
      <w:r w:rsidRPr="005675B2">
        <w:rPr>
          <w:rFonts w:hint="cs"/>
          <w:rtl/>
        </w:rPr>
        <w:t>لأنه لم يأت عليه بدليل صحيح أو قرينة قوية</w:t>
      </w:r>
      <w:r w:rsidR="000636C2">
        <w:rPr>
          <w:rFonts w:hint="cs"/>
          <w:rtl/>
        </w:rPr>
        <w:t>،</w:t>
      </w:r>
      <w:r w:rsidRPr="005675B2">
        <w:rPr>
          <w:rFonts w:hint="cs"/>
          <w:rtl/>
        </w:rPr>
        <w:t xml:space="preserve"> ثم لوقلنا أن مافي البداية والنهاية لعله زيادة</w:t>
      </w:r>
      <w:r w:rsidR="000636C2">
        <w:rPr>
          <w:rFonts w:hint="cs"/>
          <w:rtl/>
        </w:rPr>
        <w:t>،</w:t>
      </w:r>
      <w:r w:rsidRPr="005675B2">
        <w:rPr>
          <w:rFonts w:hint="cs"/>
          <w:rtl/>
        </w:rPr>
        <w:t xml:space="preserve"> فماذا ستقول في النسخ المخطوطة المعتمدة للبداية والنهاية</w:t>
      </w:r>
      <w:r w:rsidR="000636C2">
        <w:rPr>
          <w:rFonts w:hint="cs"/>
          <w:rtl/>
        </w:rPr>
        <w:t>،</w:t>
      </w:r>
      <w:r w:rsidRPr="005675B2">
        <w:rPr>
          <w:rFonts w:hint="cs"/>
          <w:rtl/>
        </w:rPr>
        <w:t xml:space="preserve"> وماذا ستقول في كتاب البيهقي مناقب الإمام أحمد</w:t>
      </w:r>
      <w:r w:rsidR="000636C2">
        <w:rPr>
          <w:rFonts w:hint="cs"/>
          <w:rtl/>
        </w:rPr>
        <w:t>؟!</w:t>
      </w:r>
    </w:p>
    <w:p w14:paraId="5C7EAFA6" w14:textId="7C4E830E" w:rsidR="009C32A0" w:rsidRPr="005675B2" w:rsidRDefault="009C32A0" w:rsidP="000636C2">
      <w:pPr>
        <w:rPr>
          <w:b/>
          <w:rtl/>
        </w:rPr>
      </w:pPr>
      <w:r w:rsidRPr="005675B2">
        <w:rPr>
          <w:rFonts w:hint="cs"/>
          <w:rtl/>
        </w:rPr>
        <w:t xml:space="preserve">2 - قال الحافظ ابن كثير أيضا في البداية والنهاية </w:t>
      </w:r>
      <w:r w:rsidR="000636C2">
        <w:rPr>
          <w:rFonts w:hint="cs"/>
          <w:rtl/>
        </w:rPr>
        <w:t>(</w:t>
      </w:r>
      <w:r w:rsidRPr="005675B2">
        <w:rPr>
          <w:rFonts w:hint="cs"/>
          <w:rtl/>
        </w:rPr>
        <w:t>10/327</w:t>
      </w:r>
      <w:r w:rsidR="000636C2">
        <w:rPr>
          <w:rFonts w:hint="cs"/>
          <w:rtl/>
        </w:rPr>
        <w:t>):</w:t>
      </w:r>
      <w:r>
        <w:rPr>
          <w:rFonts w:hint="cs"/>
          <w:rtl/>
        </w:rPr>
        <w:t xml:space="preserve"> " </w:t>
      </w:r>
      <w:r w:rsidRPr="005675B2">
        <w:rPr>
          <w:rFonts w:hint="cs"/>
          <w:rtl/>
        </w:rPr>
        <w:t xml:space="preserve">ومن طريق أبي الحسن الميموني عن أحمد بن حنبل أنه أجاب الجهمية حين احتجوا عليه بقوله تعالى </w:t>
      </w:r>
      <w:r w:rsidR="000636C2">
        <w:rPr>
          <w:rFonts w:hint="cs"/>
          <w:rtl/>
        </w:rPr>
        <w:t>(</w:t>
      </w:r>
      <w:r w:rsidRPr="005675B2">
        <w:rPr>
          <w:rFonts w:hint="cs"/>
          <w:rtl/>
        </w:rPr>
        <w:t>ما يأتيهم من ذكر من ربهم محدث إلا استمعوه وهم يلعبون</w:t>
      </w:r>
      <w:r w:rsidR="000636C2">
        <w:rPr>
          <w:rFonts w:hint="cs"/>
          <w:rtl/>
        </w:rPr>
        <w:t>)</w:t>
      </w:r>
      <w:r w:rsidRPr="005675B2">
        <w:rPr>
          <w:rFonts w:hint="cs"/>
          <w:rtl/>
        </w:rPr>
        <w:t xml:space="preserve"> قال</w:t>
      </w:r>
      <w:r w:rsidR="000636C2">
        <w:rPr>
          <w:rFonts w:hint="cs"/>
          <w:rtl/>
        </w:rPr>
        <w:t>:</w:t>
      </w:r>
      <w:r w:rsidRPr="005675B2">
        <w:rPr>
          <w:rFonts w:hint="cs"/>
          <w:rtl/>
        </w:rPr>
        <w:t xml:space="preserve"> يحتمل أن يكون تنزيله إلينا هو المحدَث .. </w:t>
      </w:r>
      <w:r w:rsidR="000636C2">
        <w:rPr>
          <w:rFonts w:hint="cs"/>
          <w:sz w:val="24"/>
          <w:szCs w:val="24"/>
          <w:rtl/>
        </w:rPr>
        <w:t>[</w:t>
      </w:r>
      <w:r w:rsidRPr="005675B2">
        <w:rPr>
          <w:bCs/>
          <w:sz w:val="24"/>
          <w:szCs w:val="24"/>
          <w:rtl/>
        </w:rPr>
        <w:t>وهذا رد على الكاتب وغيره ممن يظنون أن كلام الله</w:t>
      </w:r>
      <w:r w:rsidR="000636C2">
        <w:rPr>
          <w:bCs/>
          <w:sz w:val="24"/>
          <w:szCs w:val="24"/>
          <w:rtl/>
        </w:rPr>
        <w:t xml:space="preserve"> </w:t>
      </w:r>
      <w:r w:rsidRPr="005675B2">
        <w:rPr>
          <w:bCs/>
          <w:sz w:val="24"/>
          <w:szCs w:val="24"/>
          <w:rtl/>
        </w:rPr>
        <w:t>حادث الآحاد وأهل السنة قاطبة على أن كلام الله غير حادث والحادث هو ضد الأزلي ولم يقل أن القرآن حادث إلا المعتزلة والكرامية وابن تيمية وقلده الكاتب في ذلك وقد سبق بيان المسألة عند التعليق على مسألة الكلام</w:t>
      </w:r>
      <w:r w:rsidR="000636C2">
        <w:rPr>
          <w:rFonts w:hint="cs"/>
          <w:bCs/>
          <w:sz w:val="24"/>
          <w:szCs w:val="24"/>
          <w:rtl/>
        </w:rPr>
        <w:t>]</w:t>
      </w:r>
      <w:r w:rsidR="000636C2">
        <w:rPr>
          <w:rFonts w:hint="cs"/>
          <w:rtl/>
        </w:rPr>
        <w:t>،</w:t>
      </w:r>
      <w:r>
        <w:rPr>
          <w:rFonts w:hint="cs"/>
          <w:rtl/>
        </w:rPr>
        <w:t xml:space="preserve"> </w:t>
      </w:r>
      <w:r w:rsidRPr="005675B2">
        <w:rPr>
          <w:rFonts w:hint="cs"/>
          <w:rtl/>
        </w:rPr>
        <w:t>وعن حنبل عن أحمد أنه قال</w:t>
      </w:r>
      <w:r w:rsidR="000636C2">
        <w:rPr>
          <w:rFonts w:hint="cs"/>
          <w:rtl/>
        </w:rPr>
        <w:t>:</w:t>
      </w:r>
      <w:r w:rsidRPr="005675B2">
        <w:rPr>
          <w:rFonts w:hint="cs"/>
          <w:rtl/>
        </w:rPr>
        <w:t xml:space="preserve"> يحتمل أن يكون ذكر آخر غير القرآن”</w:t>
      </w:r>
      <w:r w:rsidR="000636C2">
        <w:rPr>
          <w:rFonts w:hint="cs"/>
          <w:rtl/>
        </w:rPr>
        <w:t>،</w:t>
      </w:r>
      <w:r w:rsidRPr="005675B2">
        <w:rPr>
          <w:rFonts w:hint="cs"/>
          <w:rtl/>
        </w:rPr>
        <w:t xml:space="preserve"> والذي</w:t>
      </w:r>
      <w:r w:rsidRPr="005675B2">
        <w:rPr>
          <w:rFonts w:hint="cs"/>
        </w:rPr>
        <w:t xml:space="preserve"> </w:t>
      </w:r>
      <w:r w:rsidRPr="005675B2">
        <w:rPr>
          <w:rFonts w:hint="cs"/>
          <w:rtl/>
        </w:rPr>
        <w:t>يدل على صحة</w:t>
      </w:r>
      <w:r w:rsidRPr="005675B2">
        <w:rPr>
          <w:rFonts w:hint="cs"/>
        </w:rPr>
        <w:t xml:space="preserve"> </w:t>
      </w:r>
      <w:r w:rsidRPr="005675B2">
        <w:rPr>
          <w:rFonts w:hint="cs"/>
          <w:rtl/>
        </w:rPr>
        <w:t>تأويل</w:t>
      </w:r>
      <w:r w:rsidRPr="005675B2">
        <w:rPr>
          <w:rFonts w:hint="cs"/>
        </w:rPr>
        <w:t xml:space="preserve"> </w:t>
      </w:r>
      <w:r w:rsidRPr="005675B2">
        <w:rPr>
          <w:rFonts w:hint="cs"/>
          <w:rtl/>
        </w:rPr>
        <w:t>أحمد</w:t>
      </w:r>
      <w:r w:rsidRPr="005675B2">
        <w:rPr>
          <w:rFonts w:hint="cs"/>
        </w:rPr>
        <w:t xml:space="preserve"> </w:t>
      </w:r>
      <w:r w:rsidRPr="005675B2">
        <w:rPr>
          <w:rFonts w:hint="cs"/>
          <w:rtl/>
        </w:rPr>
        <w:t>بن حنبل رحمه الله ما</w:t>
      </w:r>
      <w:r w:rsidRPr="005675B2">
        <w:rPr>
          <w:rFonts w:hint="cs"/>
        </w:rPr>
        <w:t xml:space="preserve"> </w:t>
      </w:r>
      <w:r w:rsidRPr="005675B2">
        <w:rPr>
          <w:rFonts w:hint="cs"/>
          <w:rtl/>
        </w:rPr>
        <w:t>حدثنا ‏أبو بكر محمد بن الحسن بن فورك, أنا عبد الله بن جعفر, ثنا يونس ابن حبيب</w:t>
      </w:r>
      <w:r w:rsidRPr="005675B2">
        <w:t xml:space="preserve">, </w:t>
      </w:r>
      <w:r w:rsidRPr="005675B2">
        <w:rPr>
          <w:rFonts w:hint="cs"/>
          <w:rtl/>
        </w:rPr>
        <w:t>ثنا ‏أبو داود, ثنا شعبة, عن عاصم, عن أبي وائل عن عبد الله</w:t>
      </w:r>
      <w:r w:rsidR="000636C2">
        <w:rPr>
          <w:rFonts w:hint="cs"/>
          <w:rtl/>
        </w:rPr>
        <w:t xml:space="preserve"> </w:t>
      </w:r>
      <w:r w:rsidRPr="005675B2">
        <w:rPr>
          <w:rFonts w:hint="cs"/>
          <w:rtl/>
        </w:rPr>
        <w:t>هو ابن مسعود</w:t>
      </w:r>
      <w:r w:rsidR="000636C2">
        <w:rPr>
          <w:rFonts w:hint="cs"/>
          <w:rtl/>
        </w:rPr>
        <w:t xml:space="preserve"> </w:t>
      </w:r>
      <w:r w:rsidRPr="005675B2">
        <w:rPr>
          <w:rFonts w:hint="cs"/>
          <w:rtl/>
        </w:rPr>
        <w:t>رضي</w:t>
      </w:r>
      <w:r w:rsidRPr="005675B2">
        <w:rPr>
          <w:rFonts w:hint="cs"/>
        </w:rPr>
        <w:t xml:space="preserve"> </w:t>
      </w:r>
      <w:r w:rsidRPr="005675B2">
        <w:rPr>
          <w:rFonts w:hint="cs"/>
          <w:rtl/>
        </w:rPr>
        <w:t>‏الله عنه قال</w:t>
      </w:r>
      <w:r w:rsidR="000636C2">
        <w:rPr>
          <w:rFonts w:hint="cs"/>
          <w:rtl/>
        </w:rPr>
        <w:t>:</w:t>
      </w:r>
      <w:r w:rsidRPr="005675B2">
        <w:rPr>
          <w:rFonts w:hint="cs"/>
          <w:rtl/>
        </w:rPr>
        <w:t xml:space="preserve"> أتيت رسول الله صلى الله عليه وسلم فسلمت عليه فلم يردّ عليّ فأخذني</w:t>
      </w:r>
      <w:r w:rsidRPr="005675B2">
        <w:rPr>
          <w:rFonts w:hint="cs"/>
        </w:rPr>
        <w:t xml:space="preserve"> </w:t>
      </w:r>
      <w:r w:rsidRPr="005675B2">
        <w:rPr>
          <w:rFonts w:hint="cs"/>
          <w:rtl/>
        </w:rPr>
        <w:t>‏ما قََدُمَ وما حَدَث, فقلت</w:t>
      </w:r>
      <w:r w:rsidR="000636C2">
        <w:rPr>
          <w:rFonts w:hint="cs"/>
          <w:rtl/>
        </w:rPr>
        <w:t>:</w:t>
      </w:r>
      <w:r w:rsidRPr="005675B2">
        <w:rPr>
          <w:rFonts w:hint="cs"/>
          <w:rtl/>
        </w:rPr>
        <w:t xml:space="preserve"> يا رسول الله أحدث فيّ شيء, فقال رسول الله صلى الله</w:t>
      </w:r>
      <w:r w:rsidRPr="005675B2">
        <w:rPr>
          <w:rFonts w:hint="cs"/>
        </w:rPr>
        <w:t xml:space="preserve"> </w:t>
      </w:r>
      <w:r w:rsidRPr="005675B2">
        <w:rPr>
          <w:rFonts w:hint="cs"/>
          <w:rtl/>
        </w:rPr>
        <w:t>عليه ‏وسلم</w:t>
      </w:r>
      <w:r w:rsidR="000636C2">
        <w:rPr>
          <w:rFonts w:hint="cs"/>
          <w:rtl/>
        </w:rPr>
        <w:t>:{</w:t>
      </w:r>
      <w:r w:rsidRPr="005675B2">
        <w:rPr>
          <w:rFonts w:hint="cs"/>
          <w:rtl/>
        </w:rPr>
        <w:t>إن الله عز وجلّ يحدث لنبيه من أمره ما شاء, وإن مما أحدث ألا تكلموا</w:t>
      </w:r>
      <w:r w:rsidRPr="005675B2">
        <w:rPr>
          <w:rFonts w:hint="cs"/>
        </w:rPr>
        <w:t xml:space="preserve"> </w:t>
      </w:r>
      <w:r w:rsidRPr="005675B2">
        <w:rPr>
          <w:rFonts w:hint="cs"/>
          <w:rtl/>
        </w:rPr>
        <w:t>في ‏الصلاة</w:t>
      </w:r>
      <w:r w:rsidR="000636C2">
        <w:rPr>
          <w:rFonts w:hint="cs"/>
          <w:rtl/>
        </w:rPr>
        <w:t>)</w:t>
      </w:r>
      <w:r w:rsidRPr="005675B2">
        <w:rPr>
          <w:rFonts w:hint="cs"/>
          <w:rtl/>
        </w:rPr>
        <w:t>) أهـ</w:t>
      </w:r>
      <w:r w:rsidR="000636C2">
        <w:rPr>
          <w:rFonts w:hint="cs"/>
          <w:rtl/>
        </w:rPr>
        <w:t>،</w:t>
      </w:r>
      <w:r w:rsidRPr="005675B2">
        <w:rPr>
          <w:rFonts w:hint="cs"/>
          <w:rtl/>
        </w:rPr>
        <w:t xml:space="preserve"> وجه التأويل هنا أن ظاهر اللفظ يفيد أن القرآن مخلوق حيث عبر عن الذكر بأنه محدث .. فصرف الإمام اللفظ عن الظاهر بقرينة عقلية هي التنزيه ونفى التشبيه .. حيث أن القرآن كلام الله وكلام الله ليس بمخلوق لأن كلامه لا يشبه كلام خلقه</w:t>
      </w:r>
      <w:r w:rsidR="000636C2">
        <w:rPr>
          <w:rFonts w:hint="cs"/>
          <w:rtl/>
        </w:rPr>
        <w:t>،</w:t>
      </w:r>
      <w:r w:rsidRPr="005675B2">
        <w:rPr>
          <w:rFonts w:hint="cs"/>
          <w:rtl/>
        </w:rPr>
        <w:t xml:space="preserve"> 3 - قال الحافظ الذهبي</w:t>
      </w:r>
      <w:r w:rsidR="000636C2">
        <w:rPr>
          <w:rFonts w:hint="cs"/>
          <w:rtl/>
        </w:rPr>
        <w:t>:</w:t>
      </w:r>
      <w:r w:rsidRPr="005675B2">
        <w:rPr>
          <w:rFonts w:hint="cs"/>
          <w:rtl/>
        </w:rPr>
        <w:t>قال أبو الحسن عبد الملك الميموني قال رجل لأبي عبد الله</w:t>
      </w:r>
      <w:r w:rsidR="000636C2">
        <w:rPr>
          <w:rFonts w:hint="cs"/>
          <w:rtl/>
        </w:rPr>
        <w:t xml:space="preserve"> </w:t>
      </w:r>
      <w:r w:rsidRPr="005675B2">
        <w:rPr>
          <w:rFonts w:hint="cs"/>
          <w:rtl/>
        </w:rPr>
        <w:t xml:space="preserve">- يعنى أحمد بن حنبل - ذهبتُ إلى خلَف البزّار أعظه وقد بلغني انه حدّث بحديث عن الحوض أسنده إلى ابن مسعود قال </w:t>
      </w:r>
      <w:r w:rsidR="000636C2">
        <w:rPr>
          <w:rFonts w:hint="cs"/>
          <w:rtl/>
        </w:rPr>
        <w:t>(</w:t>
      </w:r>
      <w:r w:rsidRPr="005675B2">
        <w:rPr>
          <w:rFonts w:hint="cs"/>
          <w:rtl/>
        </w:rPr>
        <w:t>ما خلق الله شيئاً اعظم…… ..</w:t>
      </w:r>
      <w:r w:rsidR="000636C2">
        <w:rPr>
          <w:rFonts w:hint="cs"/>
          <w:rtl/>
        </w:rPr>
        <w:t>)</w:t>
      </w:r>
      <w:r w:rsidRPr="005675B2">
        <w:rPr>
          <w:rFonts w:hint="cs"/>
          <w:rtl/>
        </w:rPr>
        <w:t xml:space="preserve"> وذكر الحديث .. فقال أبو عبد الله</w:t>
      </w:r>
      <w:r w:rsidR="000636C2">
        <w:rPr>
          <w:rFonts w:hint="cs"/>
          <w:rtl/>
        </w:rPr>
        <w:t>:</w:t>
      </w:r>
      <w:r w:rsidRPr="005675B2">
        <w:rPr>
          <w:rFonts w:hint="cs"/>
          <w:rtl/>
        </w:rPr>
        <w:t xml:space="preserve"> ما كان ينبغي أن يحدّث بهذا في هذه الأيام</w:t>
      </w:r>
      <w:r w:rsidR="000636C2">
        <w:rPr>
          <w:rFonts w:hint="cs"/>
          <w:rtl/>
        </w:rPr>
        <w:t xml:space="preserve"> </w:t>
      </w:r>
      <w:r w:rsidRPr="005675B2">
        <w:rPr>
          <w:rFonts w:hint="cs"/>
          <w:rtl/>
        </w:rPr>
        <w:t>- يريد أيام المحنة</w:t>
      </w:r>
      <w:r w:rsidR="000636C2">
        <w:rPr>
          <w:rFonts w:hint="cs"/>
          <w:rtl/>
        </w:rPr>
        <w:t xml:space="preserve"> </w:t>
      </w:r>
      <w:r w:rsidRPr="005675B2">
        <w:rPr>
          <w:rFonts w:hint="cs"/>
          <w:rtl/>
        </w:rPr>
        <w:t>- قال الذهبي</w:t>
      </w:r>
      <w:r w:rsidR="000636C2">
        <w:rPr>
          <w:rFonts w:hint="cs"/>
          <w:rtl/>
        </w:rPr>
        <w:t>:</w:t>
      </w:r>
      <w:r w:rsidRPr="005675B2">
        <w:rPr>
          <w:rFonts w:hint="cs"/>
          <w:rtl/>
        </w:rPr>
        <w:t xml:space="preserve"> والمتن</w:t>
      </w:r>
      <w:r w:rsidR="000636C2">
        <w:rPr>
          <w:rFonts w:hint="cs"/>
          <w:rtl/>
        </w:rPr>
        <w:t xml:space="preserve"> </w:t>
      </w:r>
      <w:r w:rsidRPr="005675B2">
        <w:rPr>
          <w:rFonts w:hint="cs"/>
          <w:rtl/>
        </w:rPr>
        <w:t>- أي نص الحديث</w:t>
      </w:r>
      <w:r w:rsidR="000636C2">
        <w:rPr>
          <w:rFonts w:hint="cs"/>
          <w:rtl/>
        </w:rPr>
        <w:t xml:space="preserve"> </w:t>
      </w:r>
      <w:r w:rsidRPr="005675B2">
        <w:rPr>
          <w:rFonts w:hint="cs"/>
          <w:rtl/>
        </w:rPr>
        <w:t xml:space="preserve">- </w:t>
      </w:r>
      <w:r w:rsidR="000636C2">
        <w:rPr>
          <w:rFonts w:hint="cs"/>
          <w:rtl/>
        </w:rPr>
        <w:t>(</w:t>
      </w:r>
      <w:r w:rsidRPr="005675B2">
        <w:rPr>
          <w:rFonts w:hint="cs"/>
          <w:rtl/>
        </w:rPr>
        <w:t>ما خلق الله من سماء ولا أرض أعظم من آية الكرسي</w:t>
      </w:r>
      <w:r w:rsidR="000636C2">
        <w:rPr>
          <w:rFonts w:hint="cs"/>
          <w:rtl/>
        </w:rPr>
        <w:t>)</w:t>
      </w:r>
      <w:r w:rsidRPr="005675B2">
        <w:rPr>
          <w:rFonts w:hint="cs"/>
          <w:rtl/>
        </w:rPr>
        <w:t xml:space="preserve"> وقد قال أحمد بن حنبل لما أوردوا عليه هذا يوم المحنة</w:t>
      </w:r>
      <w:r w:rsidR="000636C2">
        <w:rPr>
          <w:rFonts w:hint="cs"/>
          <w:rtl/>
        </w:rPr>
        <w:t>:</w:t>
      </w:r>
      <w:r w:rsidRPr="005675B2">
        <w:rPr>
          <w:rFonts w:hint="cs"/>
          <w:rtl/>
        </w:rPr>
        <w:t xml:space="preserve"> إن الخلق مقصود به هاهنا السماء والأرض وهذه الأشياء لا القرآن .. يقصد أن كلمة آية هنا أراد بها الحديث معنى الآية الإعجازية وليست الآية القرآنية ..</w:t>
      </w:r>
      <w:r w:rsidR="000636C2">
        <w:rPr>
          <w:rFonts w:hint="cs"/>
          <w:rtl/>
        </w:rPr>
        <w:t xml:space="preserve"> </w:t>
      </w:r>
      <w:r w:rsidRPr="005675B2">
        <w:rPr>
          <w:rFonts w:hint="cs"/>
          <w:rtl/>
        </w:rPr>
        <w:t xml:space="preserve">وفى لغة العرب دليل على ذلك .. ففي القرآن الكريم قال تعالى </w:t>
      </w:r>
      <w:r w:rsidR="000636C2">
        <w:rPr>
          <w:rFonts w:hint="cs"/>
          <w:rtl/>
        </w:rPr>
        <w:t>(</w:t>
      </w:r>
      <w:r w:rsidRPr="005675B2">
        <w:rPr>
          <w:rFonts w:hint="cs"/>
          <w:rtl/>
        </w:rPr>
        <w:t>وجعلنا الليل والنهار آيتين</w:t>
      </w:r>
      <w:r w:rsidR="000636C2">
        <w:rPr>
          <w:rFonts w:hint="cs"/>
          <w:rtl/>
        </w:rPr>
        <w:t>)</w:t>
      </w:r>
      <w:r w:rsidRPr="005675B2">
        <w:rPr>
          <w:rFonts w:hint="cs"/>
          <w:rtl/>
        </w:rPr>
        <w:t xml:space="preserve"> أي معجزتين ودليلين .. وكره الإمام أحمد ذكر خلف البزار لهذا الحديث .. لكي لا يستند إليه الجهمية في إيهام الناس بأن المقصود بكلمة آية الكرسي هي الآية القرآنية في سورة البقرة .. فيكون بذلك دليلاً على مذهبهم الباطل في أن القرآن مخلوق .. والحديث في الأصل يتكلم عن الآية الإعجازية ثم بعد ذلك علّق الإمام الذهبي على هذا الكلام بتعليق ينبغي أن يُقرأ .. [</w:t>
      </w:r>
      <w:r w:rsidRPr="005675B2">
        <w:rPr>
          <w:rFonts w:hint="cs"/>
          <w:bCs/>
          <w:sz w:val="24"/>
          <w:szCs w:val="24"/>
          <w:rtl/>
        </w:rPr>
        <w:t>وهذا رد على الكاتب وغيره ممن يظنون أن كلام الله</w:t>
      </w:r>
      <w:r w:rsidR="000636C2">
        <w:rPr>
          <w:rFonts w:hint="cs"/>
          <w:bCs/>
          <w:sz w:val="24"/>
          <w:szCs w:val="24"/>
          <w:rtl/>
        </w:rPr>
        <w:t xml:space="preserve"> </w:t>
      </w:r>
      <w:r w:rsidRPr="005675B2">
        <w:rPr>
          <w:rFonts w:hint="cs"/>
          <w:bCs/>
          <w:sz w:val="24"/>
          <w:szCs w:val="24"/>
          <w:rtl/>
        </w:rPr>
        <w:t>حادث الآحاد وأهل السنة قاطبة على أن كلام الله غير حادث والحادث هو ضد الأزلي ولم يقل أن القرآن حادث إلا المعتزلة والكرامية وابن تيمية وقلده الكاتب في ذلك وقد سبق بيان المسألة عند التعليق على مسألة الكلام]</w:t>
      </w:r>
      <w:r w:rsidRPr="005675B2">
        <w:rPr>
          <w:rFonts w:hint="cs"/>
          <w:rtl/>
        </w:rPr>
        <w:t xml:space="preserve"> قال</w:t>
      </w:r>
      <w:r w:rsidR="000636C2">
        <w:rPr>
          <w:rFonts w:hint="cs"/>
          <w:rtl/>
        </w:rPr>
        <w:t>:</w:t>
      </w:r>
      <w:r w:rsidRPr="005675B2">
        <w:rPr>
          <w:rFonts w:hint="cs"/>
          <w:rtl/>
        </w:rPr>
        <w:t xml:space="preserve"> - كان الإمام أحمد يقول في عقيدته </w:t>
      </w:r>
      <w:r w:rsidR="000636C2">
        <w:rPr>
          <w:rFonts w:hint="cs"/>
          <w:rtl/>
        </w:rPr>
        <w:t>(</w:t>
      </w:r>
      <w:r w:rsidRPr="005675B2">
        <w:rPr>
          <w:rFonts w:hint="cs"/>
          <w:rtl/>
        </w:rPr>
        <w:t>الله تعالى لم يلحقه تغيُّر ولا تبدُّل ولا يلحقه الحدود قبل خلق العرش ولا بعد خلق العرش</w:t>
      </w:r>
      <w:r w:rsidR="000636C2">
        <w:rPr>
          <w:rFonts w:hint="cs"/>
          <w:rtl/>
        </w:rPr>
        <w:t>)</w:t>
      </w:r>
      <w:r w:rsidRPr="005675B2">
        <w:rPr>
          <w:rFonts w:hint="cs"/>
          <w:rtl/>
        </w:rPr>
        <w:t xml:space="preserve"> &lt; طبقات الحنابلة لابن أبي يعلى&gt; </w:t>
      </w:r>
      <w:r w:rsidR="000636C2">
        <w:rPr>
          <w:rFonts w:hint="cs"/>
          <w:rtl/>
        </w:rPr>
        <w:t>(</w:t>
      </w:r>
      <w:r w:rsidRPr="005675B2">
        <w:rPr>
          <w:rFonts w:hint="cs"/>
          <w:rtl/>
        </w:rPr>
        <w:t>2/297</w:t>
      </w:r>
      <w:r w:rsidR="000636C2">
        <w:rPr>
          <w:rFonts w:hint="cs"/>
          <w:rtl/>
        </w:rPr>
        <w:t>)</w:t>
      </w:r>
      <w:r w:rsidRPr="005675B2">
        <w:rPr>
          <w:rFonts w:hint="cs"/>
          <w:rtl/>
        </w:rPr>
        <w:t xml:space="preserve"> أهـ</w:t>
      </w:r>
      <w:r w:rsidR="000636C2">
        <w:rPr>
          <w:rFonts w:hint="cs"/>
          <w:rtl/>
        </w:rPr>
        <w:t>،</w:t>
      </w:r>
      <w:r>
        <w:rPr>
          <w:rFonts w:hint="cs"/>
          <w:rtl/>
        </w:rPr>
        <w:t xml:space="preserve"> </w:t>
      </w:r>
      <w:r w:rsidRPr="005675B2">
        <w:rPr>
          <w:rFonts w:hint="cs"/>
          <w:rtl/>
        </w:rPr>
        <w:t>وقد أنكر الإمام أحمد على من يقول بالجسم وقال - أي الإمام أحمد - إن الأسماء والألفاظ مأخوذة بالشريعة واللغة .. وأهل اللغة وضعوا هذا الاسم</w:t>
      </w:r>
      <w:r w:rsidR="000636C2">
        <w:rPr>
          <w:rFonts w:hint="cs"/>
          <w:rtl/>
        </w:rPr>
        <w:t xml:space="preserve"> </w:t>
      </w:r>
      <w:r w:rsidRPr="005675B2">
        <w:rPr>
          <w:rFonts w:hint="cs"/>
          <w:rtl/>
        </w:rPr>
        <w:t>- يعنى الجسم - على كل ذي طول وعرض وسمك وتركيب وصورة وتأليف .. والله تعالى خارج عن ذلك كله .. فلا يجوز أن يُسمَّى جسما لخروجه عن معنى الجسمية ولم يجئ في الشريعة ذلك .. فهو باطل قطعا</w:t>
      </w:r>
      <w:r w:rsidR="000636C2">
        <w:rPr>
          <w:rFonts w:hint="cs"/>
          <w:rtl/>
        </w:rPr>
        <w:t>،</w:t>
      </w:r>
      <w:r w:rsidRPr="005675B2">
        <w:rPr>
          <w:rFonts w:hint="cs"/>
          <w:rtl/>
        </w:rPr>
        <w:t xml:space="preserve"> [</w:t>
      </w:r>
      <w:r w:rsidRPr="005675B2">
        <w:rPr>
          <w:rFonts w:hint="cs"/>
          <w:bCs/>
          <w:sz w:val="24"/>
          <w:szCs w:val="24"/>
          <w:rtl/>
        </w:rPr>
        <w:t>&lt; طبقات الحنابلة&gt; (2/298)]</w:t>
      </w:r>
      <w:r w:rsidR="000636C2">
        <w:rPr>
          <w:rFonts w:hint="cs"/>
          <w:rtl/>
        </w:rPr>
        <w:t xml:space="preserve">، </w:t>
      </w:r>
      <w:r w:rsidRPr="000D2C6C">
        <w:rPr>
          <w:rFonts w:hint="cs"/>
          <w:bCs/>
          <w:rtl/>
        </w:rPr>
        <w:t>من تأويلات الإمام أحمدأيضاً</w:t>
      </w:r>
      <w:r w:rsidR="000636C2">
        <w:rPr>
          <w:rFonts w:hint="cs"/>
          <w:rtl/>
        </w:rPr>
        <w:t>:</w:t>
      </w:r>
      <w:r w:rsidRPr="005675B2">
        <w:rPr>
          <w:rFonts w:hint="cs"/>
          <w:rtl/>
        </w:rPr>
        <w:t xml:space="preserve"> ثبت أن الإمام أحمد أول الإتيان في قوله تعالى {هل ينظرون إلا أن يأتيهم الله في ظلل من الغمام والملائكة</w:t>
      </w:r>
      <w:r w:rsidR="000636C2">
        <w:rPr>
          <w:rFonts w:hint="cs"/>
          <w:rtl/>
        </w:rPr>
        <w:t>}</w:t>
      </w:r>
      <w:r w:rsidRPr="005675B2">
        <w:rPr>
          <w:rFonts w:hint="cs"/>
          <w:rtl/>
        </w:rPr>
        <w:t>فقال الإمام أحمد</w:t>
      </w:r>
      <w:r w:rsidR="000636C2">
        <w:rPr>
          <w:rFonts w:hint="cs"/>
          <w:rtl/>
        </w:rPr>
        <w:t>:</w:t>
      </w:r>
      <w:r w:rsidRPr="005675B2">
        <w:rPr>
          <w:rFonts w:hint="cs"/>
          <w:rtl/>
        </w:rPr>
        <w:t xml:space="preserve"> إنما يأتي </w:t>
      </w:r>
      <w:r w:rsidRPr="005675B2">
        <w:rPr>
          <w:rFonts w:hint="cs"/>
          <w:u w:val="single"/>
          <w:rtl/>
        </w:rPr>
        <w:t>أمره</w:t>
      </w:r>
      <w:r w:rsidR="000636C2">
        <w:rPr>
          <w:rFonts w:hint="cs"/>
          <w:u w:val="single"/>
          <w:rtl/>
        </w:rPr>
        <w:t>،</w:t>
      </w:r>
      <w:r>
        <w:rPr>
          <w:rFonts w:hint="cs"/>
          <w:rtl/>
        </w:rPr>
        <w:t xml:space="preserve"> </w:t>
      </w:r>
      <w:r w:rsidRPr="005675B2">
        <w:rPr>
          <w:rFonts w:hint="cs"/>
          <w:rtl/>
        </w:rPr>
        <w:t>ولم يجد فيه ابن تيمية مطعناً فذكر عن حنبل بأن له غرائب</w:t>
      </w:r>
      <w:r w:rsidR="000636C2">
        <w:rPr>
          <w:rFonts w:hint="cs"/>
          <w:rtl/>
        </w:rPr>
        <w:t>،</w:t>
      </w:r>
      <w:r w:rsidRPr="005675B2">
        <w:rPr>
          <w:rFonts w:hint="cs"/>
          <w:rtl/>
        </w:rPr>
        <w:t xml:space="preserve"> لأن من نقل كلام أحمد في الفتنه لم ينقلوا ذلك</w:t>
      </w:r>
      <w:r w:rsidR="000636C2">
        <w:rPr>
          <w:rFonts w:hint="cs"/>
          <w:rtl/>
        </w:rPr>
        <w:t>،</w:t>
      </w:r>
      <w:r w:rsidRPr="005675B2">
        <w:rPr>
          <w:rFonts w:hint="cs"/>
          <w:rtl/>
        </w:rPr>
        <w:t xml:space="preserve"> وجواب ذلك</w:t>
      </w:r>
      <w:r w:rsidR="000636C2">
        <w:rPr>
          <w:rFonts w:hint="cs"/>
          <w:rtl/>
        </w:rPr>
        <w:t>:</w:t>
      </w:r>
      <w:r w:rsidRPr="005675B2">
        <w:rPr>
          <w:rFonts w:hint="cs"/>
          <w:rtl/>
        </w:rPr>
        <w:t xml:space="preserve"> بأجوبة</w:t>
      </w:r>
      <w:r w:rsidR="000636C2">
        <w:rPr>
          <w:rFonts w:hint="cs"/>
          <w:rtl/>
        </w:rPr>
        <w:t xml:space="preserve">: </w:t>
      </w:r>
      <w:r w:rsidRPr="005675B2">
        <w:rPr>
          <w:rFonts w:hint="cs"/>
          <w:rtl/>
        </w:rPr>
        <w:t>أولها</w:t>
      </w:r>
      <w:r w:rsidR="000636C2">
        <w:rPr>
          <w:rFonts w:hint="cs"/>
          <w:rtl/>
        </w:rPr>
        <w:t xml:space="preserve">: </w:t>
      </w:r>
      <w:r w:rsidRPr="005675B2">
        <w:rPr>
          <w:rFonts w:hint="cs"/>
          <w:rtl/>
        </w:rPr>
        <w:t>أنه لا يلزم من عدم نقلهم عدم ثبوت ذلك لأنه قد يكون معه زيادة علم</w:t>
      </w:r>
      <w:r w:rsidR="000636C2">
        <w:rPr>
          <w:rFonts w:hint="cs"/>
          <w:rtl/>
        </w:rPr>
        <w:t>، (</w:t>
      </w:r>
      <w:r>
        <w:rPr>
          <w:rFonts w:hint="cs"/>
          <w:rtl/>
        </w:rPr>
        <w:t>ثانيا</w:t>
      </w:r>
      <w:r w:rsidR="000636C2">
        <w:rPr>
          <w:rFonts w:hint="cs"/>
          <w:rtl/>
        </w:rPr>
        <w:t>):</w:t>
      </w:r>
      <w:r w:rsidRPr="005675B2">
        <w:rPr>
          <w:rFonts w:hint="cs"/>
          <w:rtl/>
        </w:rPr>
        <w:t xml:space="preserve"> أنه ثقة في النقل وزيادة الثقة مقبولة في الحديث على التفصيل المعروف فكيف في غير الحديث</w:t>
      </w:r>
      <w:r w:rsidR="000636C2">
        <w:rPr>
          <w:rFonts w:hint="cs"/>
          <w:rtl/>
        </w:rPr>
        <w:t>،،</w:t>
      </w:r>
      <w:r w:rsidRPr="005675B2">
        <w:rPr>
          <w:rFonts w:hint="cs"/>
          <w:rtl/>
        </w:rPr>
        <w:t xml:space="preserve"> وإليكم شيئا من ترجمته رحمه الله</w:t>
      </w:r>
      <w:r w:rsidR="000636C2">
        <w:rPr>
          <w:rFonts w:hint="cs"/>
          <w:rtl/>
        </w:rPr>
        <w:t xml:space="preserve">: </w:t>
      </w:r>
      <w:r w:rsidRPr="005675B2">
        <w:rPr>
          <w:rFonts w:hint="cs"/>
          <w:rtl/>
        </w:rPr>
        <w:t>حنبل بن إسحاق بن حنبل أبو علي الشيباني</w:t>
      </w:r>
      <w:r w:rsidRPr="005675B2">
        <w:rPr>
          <w:rFonts w:hint="cs"/>
        </w:rPr>
        <w:t xml:space="preserve"> </w:t>
      </w:r>
      <w:r w:rsidRPr="005675B2">
        <w:rPr>
          <w:rFonts w:hint="cs"/>
          <w:rtl/>
        </w:rPr>
        <w:t>ابن عم إمامنا أحمد</w:t>
      </w:r>
      <w:r w:rsidR="000636C2">
        <w:rPr>
          <w:rFonts w:hint="cs"/>
          <w:rtl/>
        </w:rPr>
        <w:t>:</w:t>
      </w:r>
      <w:r w:rsidRPr="005675B2">
        <w:rPr>
          <w:rFonts w:hint="cs"/>
          <w:rtl/>
        </w:rPr>
        <w:t xml:space="preserve"> سمع</w:t>
      </w:r>
      <w:r w:rsidRPr="005675B2">
        <w:rPr>
          <w:rFonts w:hint="cs"/>
        </w:rPr>
        <w:t xml:space="preserve"> </w:t>
      </w:r>
      <w:r w:rsidRPr="005675B2">
        <w:rPr>
          <w:rFonts w:hint="cs"/>
          <w:rtl/>
        </w:rPr>
        <w:t>أبا نعيم الفضل بن دكين وأبا غسان مالك بن إسماعيل وعفان بن مسلم وسعيد بن</w:t>
      </w:r>
      <w:r w:rsidRPr="005675B2">
        <w:rPr>
          <w:rFonts w:hint="cs"/>
        </w:rPr>
        <w:t xml:space="preserve"> </w:t>
      </w:r>
      <w:r w:rsidRPr="005675B2">
        <w:rPr>
          <w:rFonts w:hint="cs"/>
          <w:rtl/>
        </w:rPr>
        <w:t>سليمان وعارم بن الفضل بن دكين وسليمان بن حرب وإمامنا أحمد في آخرين حدث</w:t>
      </w:r>
      <w:r w:rsidRPr="005675B2">
        <w:rPr>
          <w:rFonts w:hint="cs"/>
        </w:rPr>
        <w:t xml:space="preserve"> </w:t>
      </w:r>
      <w:r w:rsidRPr="005675B2">
        <w:rPr>
          <w:rFonts w:hint="cs"/>
          <w:rtl/>
        </w:rPr>
        <w:t>عنه ابنه وقد اختلف في اسم ابنه فقوم قالوا عبيد الله وقوم قالوا عبد الله</w:t>
      </w:r>
      <w:r w:rsidRPr="005675B2">
        <w:rPr>
          <w:rFonts w:hint="cs"/>
        </w:rPr>
        <w:t xml:space="preserve"> </w:t>
      </w:r>
      <w:r w:rsidRPr="005675B2">
        <w:rPr>
          <w:rFonts w:hint="cs"/>
          <w:rtl/>
        </w:rPr>
        <w:t>وعبد الله بن محمد البغوي ويحيى بن صاعد وأبو بكر الخلال وغيرهم</w:t>
      </w:r>
      <w:r w:rsidR="000636C2">
        <w:rPr>
          <w:rFonts w:hint="cs"/>
          <w:rtl/>
        </w:rPr>
        <w:t>،</w:t>
      </w:r>
      <w:r>
        <w:rPr>
          <w:rFonts w:hint="cs"/>
          <w:rtl/>
        </w:rPr>
        <w:t xml:space="preserve"> </w:t>
      </w:r>
      <w:r w:rsidRPr="005675B2">
        <w:rPr>
          <w:rFonts w:hint="cs"/>
          <w:rtl/>
        </w:rPr>
        <w:t>وذكره</w:t>
      </w:r>
      <w:r w:rsidRPr="005675B2">
        <w:rPr>
          <w:rFonts w:hint="cs"/>
        </w:rPr>
        <w:t xml:space="preserve"> </w:t>
      </w:r>
      <w:r w:rsidRPr="005675B2">
        <w:rPr>
          <w:rFonts w:hint="cs"/>
          <w:rtl/>
        </w:rPr>
        <w:t xml:space="preserve">الخطيب أحمد بن ثابت </w:t>
      </w:r>
      <w:r w:rsidRPr="005675B2">
        <w:rPr>
          <w:rFonts w:hint="cs"/>
          <w:u w:val="single"/>
          <w:rtl/>
        </w:rPr>
        <w:t>فقال</w:t>
      </w:r>
      <w:r w:rsidR="000636C2">
        <w:rPr>
          <w:rFonts w:hint="cs"/>
          <w:u w:val="single"/>
          <w:rtl/>
        </w:rPr>
        <w:t>:</w:t>
      </w:r>
      <w:r w:rsidRPr="005675B2">
        <w:rPr>
          <w:rFonts w:hint="cs"/>
          <w:u w:val="single"/>
          <w:rtl/>
        </w:rPr>
        <w:t xml:space="preserve"> كان ثقة ثبتاً</w:t>
      </w:r>
      <w:r w:rsidR="000636C2">
        <w:rPr>
          <w:rFonts w:hint="cs"/>
          <w:u w:val="single"/>
          <w:rtl/>
        </w:rPr>
        <w:t>،</w:t>
      </w:r>
      <w:r w:rsidR="000636C2">
        <w:rPr>
          <w:rFonts w:hint="cs"/>
          <w:rtl/>
        </w:rPr>
        <w:t xml:space="preserve"> </w:t>
      </w:r>
      <w:r w:rsidRPr="005675B2">
        <w:rPr>
          <w:rFonts w:hint="cs"/>
          <w:rtl/>
        </w:rPr>
        <w:t>قال وأخبرنا الأزهري قال</w:t>
      </w:r>
      <w:r w:rsidR="000636C2">
        <w:rPr>
          <w:rFonts w:hint="cs"/>
          <w:u w:val="single"/>
          <w:rtl/>
        </w:rPr>
        <w:t>:</w:t>
      </w:r>
      <w:r w:rsidRPr="005675B2">
        <w:rPr>
          <w:rFonts w:hint="cs"/>
          <w:u w:val="single"/>
          <w:rtl/>
        </w:rPr>
        <w:t xml:space="preserve"> سئل الدارقطني عن حنبل فقال كان صدوقاً</w:t>
      </w:r>
      <w:r w:rsidR="000636C2">
        <w:rPr>
          <w:rFonts w:hint="cs"/>
          <w:u w:val="single"/>
          <w:rtl/>
        </w:rPr>
        <w:t>،</w:t>
      </w:r>
      <w:r w:rsidR="000636C2">
        <w:rPr>
          <w:rFonts w:hint="cs"/>
          <w:rtl/>
        </w:rPr>
        <w:t xml:space="preserve"> </w:t>
      </w:r>
      <w:r w:rsidRPr="005675B2">
        <w:rPr>
          <w:rFonts w:hint="cs"/>
          <w:rtl/>
        </w:rPr>
        <w:t>فالطعن في نقله بعيد عن الصواب</w:t>
      </w:r>
      <w:r w:rsidR="000636C2">
        <w:rPr>
          <w:rFonts w:hint="cs"/>
          <w:rtl/>
        </w:rPr>
        <w:t>،</w:t>
      </w:r>
      <w:r w:rsidRPr="005675B2">
        <w:rPr>
          <w:rFonts w:hint="cs"/>
          <w:rtl/>
        </w:rPr>
        <w:t xml:space="preserve"> بل إن الإمام ابن تيمية حاول التشويش في هذا النقل</w:t>
      </w:r>
      <w:r w:rsidR="000636C2">
        <w:rPr>
          <w:rFonts w:hint="cs"/>
          <w:rtl/>
        </w:rPr>
        <w:t>،</w:t>
      </w:r>
      <w:r w:rsidRPr="005675B2">
        <w:rPr>
          <w:rFonts w:hint="cs"/>
          <w:rtl/>
        </w:rPr>
        <w:t>تارة بغمز الإمام حنبل رحمه الله</w:t>
      </w:r>
      <w:r w:rsidR="000636C2">
        <w:rPr>
          <w:rFonts w:hint="cs"/>
          <w:rtl/>
        </w:rPr>
        <w:t>،</w:t>
      </w:r>
      <w:r w:rsidRPr="005675B2">
        <w:rPr>
          <w:rFonts w:hint="cs"/>
          <w:rtl/>
        </w:rPr>
        <w:t xml:space="preserve"> وتارة بمحاولة تأويل المباحثات بين الإمام أحمد والمعتزلة بشيء لا يقبله عقل</w:t>
      </w:r>
      <w:r w:rsidR="000636C2">
        <w:rPr>
          <w:rFonts w:hint="cs"/>
          <w:rtl/>
        </w:rPr>
        <w:t>،</w:t>
      </w:r>
    </w:p>
    <w:p w14:paraId="03256221" w14:textId="33547DA9" w:rsidR="009C32A0" w:rsidRPr="005675B2" w:rsidRDefault="009C32A0" w:rsidP="000636C2">
      <w:pPr>
        <w:rPr>
          <w:b/>
          <w:rtl/>
        </w:rPr>
      </w:pPr>
      <w:r w:rsidRPr="005675B2">
        <w:rPr>
          <w:rFonts w:hint="cs"/>
          <w:u w:val="single"/>
          <w:rtl/>
        </w:rPr>
        <w:t>- تأويل ابن جرير الطبري</w:t>
      </w:r>
      <w:r w:rsidR="000636C2">
        <w:rPr>
          <w:rFonts w:hint="cs"/>
          <w:u w:val="single"/>
          <w:rtl/>
        </w:rPr>
        <w:t>:</w:t>
      </w:r>
      <w:r w:rsidRPr="005675B2">
        <w:rPr>
          <w:rFonts w:hint="cs"/>
          <w:u w:val="single"/>
          <w:rtl/>
        </w:rPr>
        <w:t xml:space="preserve"> القول في تأويل قوله تعالى</w:t>
      </w:r>
      <w:r w:rsidR="000636C2">
        <w:rPr>
          <w:rFonts w:hint="cs"/>
          <w:u w:val="single"/>
          <w:rtl/>
        </w:rPr>
        <w:t>:</w:t>
      </w:r>
      <w:r w:rsidRPr="005675B2">
        <w:rPr>
          <w:rFonts w:hint="cs"/>
          <w:u w:val="single"/>
          <w:rtl/>
        </w:rPr>
        <w:t xml:space="preserve"> {الله نور السموات والأرض}</w:t>
      </w:r>
      <w:r w:rsidR="000636C2">
        <w:rPr>
          <w:rFonts w:hint="cs"/>
          <w:rtl/>
        </w:rPr>
        <w:t>:</w:t>
      </w:r>
      <w:r>
        <w:rPr>
          <w:rFonts w:hint="cs"/>
          <w:rtl/>
        </w:rPr>
        <w:t xml:space="preserve"> </w:t>
      </w:r>
      <w:r w:rsidRPr="005675B2">
        <w:rPr>
          <w:rFonts w:hint="cs"/>
          <w:rtl/>
        </w:rPr>
        <w:t>يعني تعالى ذكره بقوله</w:t>
      </w:r>
      <w:r w:rsidR="000636C2">
        <w:rPr>
          <w:rFonts w:hint="cs"/>
          <w:rtl/>
        </w:rPr>
        <w:t>:</w:t>
      </w:r>
      <w:r w:rsidRPr="005675B2">
        <w:rPr>
          <w:rFonts w:hint="cs"/>
          <w:rtl/>
        </w:rPr>
        <w:t xml:space="preserve"> {الله نور السموات والأرض} هادي من في السموات والأرض، فهم بنوره إلى الحق يهتدون وبهداه من حيرة الضلالة يعتصمون</w:t>
      </w:r>
      <w:r w:rsidR="000636C2">
        <w:rPr>
          <w:rFonts w:hint="cs"/>
          <w:rtl/>
        </w:rPr>
        <w:t>،</w:t>
      </w:r>
      <w:r w:rsidRPr="005675B2">
        <w:rPr>
          <w:rFonts w:hint="cs"/>
          <w:rtl/>
        </w:rPr>
        <w:t xml:space="preserve"> واختلف أهل التأويل في تأويل ذلك، فقال بعضهم فيه نحو الذي قلنا</w:t>
      </w:r>
      <w:r w:rsidR="000636C2">
        <w:rPr>
          <w:rFonts w:hint="cs"/>
          <w:rtl/>
        </w:rPr>
        <w:t xml:space="preserve">، </w:t>
      </w:r>
      <w:r w:rsidRPr="005675B2">
        <w:rPr>
          <w:rFonts w:hint="cs"/>
          <w:rtl/>
        </w:rPr>
        <w:t>- حدثني علي، قال</w:t>
      </w:r>
      <w:r w:rsidR="000636C2">
        <w:rPr>
          <w:rFonts w:hint="cs"/>
          <w:rtl/>
        </w:rPr>
        <w:t>:</w:t>
      </w:r>
      <w:r w:rsidRPr="005675B2">
        <w:rPr>
          <w:rFonts w:hint="cs"/>
          <w:rtl/>
        </w:rPr>
        <w:t xml:space="preserve"> ثنا عبد الله، قال</w:t>
      </w:r>
      <w:r w:rsidR="000636C2">
        <w:rPr>
          <w:rFonts w:hint="cs"/>
          <w:rtl/>
        </w:rPr>
        <w:t>:</w:t>
      </w:r>
      <w:r w:rsidRPr="005675B2">
        <w:rPr>
          <w:rFonts w:hint="cs"/>
          <w:rtl/>
        </w:rPr>
        <w:t xml:space="preserve"> ثني معاوية، عن علي، عن ابن عباس، قوله</w:t>
      </w:r>
      <w:r w:rsidR="000636C2">
        <w:rPr>
          <w:rFonts w:hint="cs"/>
          <w:rtl/>
        </w:rPr>
        <w:t>:</w:t>
      </w:r>
      <w:r w:rsidRPr="005675B2">
        <w:rPr>
          <w:rFonts w:hint="cs"/>
          <w:rtl/>
        </w:rPr>
        <w:t xml:space="preserve"> {الله نور السموات والأرض} يقول الله سبحانه هادي أهل السموات والأرض .. وقال</w:t>
      </w:r>
      <w:r w:rsidR="000636C2">
        <w:rPr>
          <w:rFonts w:hint="cs"/>
          <w:rtl/>
        </w:rPr>
        <w:t>:</w:t>
      </w:r>
      <w:r w:rsidRPr="005675B2">
        <w:rPr>
          <w:rFonts w:hint="cs"/>
          <w:rtl/>
        </w:rPr>
        <w:t xml:space="preserve"> آخرون بل معنى ذلك</w:t>
      </w:r>
      <w:r w:rsidR="000636C2">
        <w:rPr>
          <w:rFonts w:hint="cs"/>
          <w:rtl/>
        </w:rPr>
        <w:t>:</w:t>
      </w:r>
      <w:r w:rsidRPr="005675B2">
        <w:rPr>
          <w:rFonts w:hint="cs"/>
          <w:rtl/>
        </w:rPr>
        <w:t xml:space="preserve"> الله مدبر السموات والأرض</w:t>
      </w:r>
      <w:r w:rsidR="000636C2">
        <w:rPr>
          <w:rFonts w:hint="cs"/>
          <w:rtl/>
        </w:rPr>
        <w:t>،</w:t>
      </w:r>
      <w:r w:rsidRPr="005675B2">
        <w:rPr>
          <w:rFonts w:hint="cs"/>
          <w:rtl/>
        </w:rPr>
        <w:t xml:space="preserve"> ذكر من قال ذلك</w:t>
      </w:r>
      <w:r w:rsidR="000636C2">
        <w:rPr>
          <w:rFonts w:hint="cs"/>
          <w:rtl/>
        </w:rPr>
        <w:t>:</w:t>
      </w:r>
      <w:r w:rsidRPr="005675B2">
        <w:rPr>
          <w:rFonts w:hint="cs"/>
          <w:rtl/>
        </w:rPr>
        <w:t>وقال</w:t>
      </w:r>
      <w:r w:rsidR="000636C2">
        <w:rPr>
          <w:rFonts w:hint="cs"/>
          <w:rtl/>
        </w:rPr>
        <w:t>:</w:t>
      </w:r>
      <w:r w:rsidRPr="005675B2">
        <w:rPr>
          <w:rFonts w:hint="cs"/>
          <w:rtl/>
        </w:rPr>
        <w:t xml:space="preserve"> آخرون بل معنى ذلك</w:t>
      </w:r>
      <w:r w:rsidR="000636C2">
        <w:rPr>
          <w:rFonts w:hint="cs"/>
          <w:rtl/>
        </w:rPr>
        <w:t>:</w:t>
      </w:r>
      <w:r w:rsidRPr="005675B2">
        <w:rPr>
          <w:rFonts w:hint="cs"/>
          <w:rtl/>
        </w:rPr>
        <w:t xml:space="preserve"> الله مدبر السموات والأرض ..</w:t>
      </w:r>
      <w:r>
        <w:rPr>
          <w:rFonts w:hint="cs"/>
          <w:rtl/>
        </w:rPr>
        <w:t xml:space="preserve"> </w:t>
      </w:r>
      <w:r w:rsidRPr="005675B2">
        <w:rPr>
          <w:rFonts w:hint="cs"/>
          <w:u w:val="single"/>
          <w:rtl/>
        </w:rPr>
        <w:t>ثم علل سبب تأويله صفة النور إلى الهداية بقوله</w:t>
      </w:r>
      <w:r w:rsidR="000636C2">
        <w:rPr>
          <w:rFonts w:hint="cs"/>
          <w:u w:val="single"/>
          <w:rtl/>
        </w:rPr>
        <w:t>:</w:t>
      </w:r>
      <w:r w:rsidRPr="005675B2">
        <w:rPr>
          <w:rFonts w:hint="cs"/>
          <w:rtl/>
        </w:rPr>
        <w:t xml:space="preserve"> وإنما اخترنا القول الذي اخترناه في ذلك؛ لأنه عقيب قوله</w:t>
      </w:r>
      <w:r w:rsidR="000636C2">
        <w:rPr>
          <w:rFonts w:hint="cs"/>
          <w:rtl/>
        </w:rPr>
        <w:t>:</w:t>
      </w:r>
      <w:r w:rsidRPr="005675B2">
        <w:rPr>
          <w:rFonts w:hint="cs"/>
          <w:rtl/>
        </w:rPr>
        <w:t xml:space="preserve"> {ولقد أنزلنا إليكم آيات مبينات، ومثلا من الذين خلوا من قبلكم وموعظة للمتقين} فكان ذلك بأن يكون خبراً عن موقع يقع تنزيله من خلقه ومن مدح ما ابتدأ بذكر مدحه، أولى وأشبه، ما لم يأت ما يدل على انقضاء الخبر عنه من غيره</w:t>
      </w:r>
      <w:r w:rsidR="000636C2">
        <w:rPr>
          <w:rFonts w:hint="cs"/>
          <w:rtl/>
        </w:rPr>
        <w:t>،</w:t>
      </w:r>
      <w:r w:rsidRPr="005675B2">
        <w:rPr>
          <w:rFonts w:hint="cs"/>
          <w:rtl/>
        </w:rPr>
        <w:t xml:space="preserve"> فإذا كان ذلك كذلك، فتأويل الكلام</w:t>
      </w:r>
      <w:r w:rsidR="000636C2">
        <w:rPr>
          <w:rFonts w:hint="cs"/>
          <w:rtl/>
        </w:rPr>
        <w:t>:</w:t>
      </w:r>
      <w:r w:rsidRPr="005675B2">
        <w:rPr>
          <w:rFonts w:hint="cs"/>
          <w:rtl/>
        </w:rPr>
        <w:t xml:space="preserve"> ولقد أنزلنا إليكم أيها الناس آيات مبينات الحق من الباطل {ومثلا من الذين خلوا من قبلكم وموعظة للمتقين} فهديناكم بها، وبينا لكم معالم دينكم بها، لأني هادي أهل السموات وأهل الأرض</w:t>
      </w:r>
      <w:r w:rsidR="000636C2">
        <w:rPr>
          <w:rFonts w:hint="cs"/>
          <w:rtl/>
        </w:rPr>
        <w:t>،</w:t>
      </w:r>
      <w:r w:rsidRPr="005675B2">
        <w:rPr>
          <w:rFonts w:hint="cs"/>
          <w:rtl/>
        </w:rPr>
        <w:t xml:space="preserve"> وترك وصل الكلام باللام، وابتدأ الخبر عن هداية خلقه ابتداء، وفيه المعنى الذي ذكرت، استغناء بدلالة الكلام عليه من ذكره</w:t>
      </w:r>
      <w:r w:rsidR="000636C2">
        <w:rPr>
          <w:rFonts w:hint="cs"/>
          <w:rtl/>
        </w:rPr>
        <w:t>،</w:t>
      </w:r>
      <w:r w:rsidRPr="005675B2">
        <w:rPr>
          <w:rFonts w:hint="cs"/>
          <w:rtl/>
        </w:rPr>
        <w:t xml:space="preserve"> أهـ</w:t>
      </w:r>
      <w:r w:rsidR="000636C2">
        <w:rPr>
          <w:rFonts w:hint="cs"/>
          <w:rtl/>
        </w:rPr>
        <w:t xml:space="preserve"> </w:t>
      </w:r>
      <w:r w:rsidRPr="005675B2">
        <w:rPr>
          <w:rFonts w:hint="cs"/>
          <w:rtl/>
        </w:rPr>
        <w:t xml:space="preserve">جامع البيان عن تأويل آي القرآن الجزء 18 </w:t>
      </w:r>
      <w:r>
        <w:rPr>
          <w:rtl/>
        </w:rPr>
        <w:t>"</w:t>
      </w:r>
      <w:r>
        <w:rPr>
          <w:rFonts w:hint="cs"/>
          <w:rtl/>
        </w:rPr>
        <w:t xml:space="preserve"> </w:t>
      </w:r>
      <w:r w:rsidRPr="005675B2">
        <w:rPr>
          <w:rFonts w:hint="cs"/>
          <w:rtl/>
        </w:rPr>
        <w:t xml:space="preserve">سورة المؤمنون </w:t>
      </w:r>
      <w:r>
        <w:rPr>
          <w:rtl/>
        </w:rPr>
        <w:t>"</w:t>
      </w:r>
      <w:r w:rsidR="000636C2">
        <w:rPr>
          <w:rFonts w:hint="cs"/>
          <w:rtl/>
        </w:rPr>
        <w:t xml:space="preserve"> </w:t>
      </w:r>
      <w:r w:rsidRPr="005675B2">
        <w:rPr>
          <w:rFonts w:hint="cs"/>
          <w:rtl/>
        </w:rPr>
        <w:t>القول في تأويل قوله تعالى</w:t>
      </w:r>
      <w:r w:rsidR="000636C2">
        <w:rPr>
          <w:rFonts w:hint="cs"/>
          <w:rtl/>
        </w:rPr>
        <w:t>:</w:t>
      </w:r>
      <w:r w:rsidRPr="005675B2">
        <w:rPr>
          <w:rFonts w:hint="cs"/>
          <w:rtl/>
        </w:rPr>
        <w:t xml:space="preserve"> {الله نور السموات والأرض}</w:t>
      </w:r>
      <w:r w:rsidR="000636C2">
        <w:rPr>
          <w:rFonts w:hint="cs"/>
          <w:rtl/>
        </w:rPr>
        <w:t>،</w:t>
      </w:r>
      <w:r>
        <w:rPr>
          <w:rFonts w:hint="cs"/>
          <w:rtl/>
        </w:rPr>
        <w:t xml:space="preserve"> </w:t>
      </w:r>
    </w:p>
    <w:p w14:paraId="4C3231E7" w14:textId="7B3875BB" w:rsidR="009C32A0" w:rsidRPr="005675B2" w:rsidRDefault="009C32A0" w:rsidP="000636C2">
      <w:pPr>
        <w:rPr>
          <w:b/>
          <w:rtl/>
        </w:rPr>
      </w:pPr>
      <w:r w:rsidRPr="005675B2">
        <w:rPr>
          <w:rFonts w:hint="cs"/>
          <w:u w:val="single"/>
          <w:rtl/>
        </w:rPr>
        <w:t>تأويل الإمام النضر بن شميل</w:t>
      </w:r>
      <w:r w:rsidR="000636C2">
        <w:rPr>
          <w:rFonts w:hint="cs"/>
          <w:u w:val="single"/>
          <w:rtl/>
        </w:rPr>
        <w:t>:</w:t>
      </w:r>
      <w:r w:rsidRPr="005675B2">
        <w:rPr>
          <w:rFonts w:hint="cs"/>
          <w:u w:val="single"/>
          <w:rtl/>
        </w:rPr>
        <w:t xml:space="preserve"> - </w:t>
      </w:r>
      <w:r w:rsidRPr="005675B2">
        <w:rPr>
          <w:rFonts w:hint="cs"/>
          <w:rtl/>
        </w:rPr>
        <w:t>وهو الإمام الحافظ اللغوي وروى عنه البخاري ومسلم والترمذي وأبو داود والنسائي وابن ماجه</w:t>
      </w:r>
      <w:r w:rsidR="000636C2">
        <w:rPr>
          <w:rFonts w:hint="cs"/>
          <w:rtl/>
        </w:rPr>
        <w:t>،</w:t>
      </w:r>
      <w:r w:rsidRPr="005675B2">
        <w:rPr>
          <w:rFonts w:hint="cs"/>
          <w:rtl/>
        </w:rPr>
        <w:t xml:space="preserve"> ذكر الحافظ البيهقى في الأسماء والصفات</w:t>
      </w:r>
      <w:r w:rsidR="000636C2">
        <w:rPr>
          <w:rFonts w:hint="cs"/>
          <w:rtl/>
        </w:rPr>
        <w:t>:</w:t>
      </w:r>
      <w:r w:rsidRPr="005675B2">
        <w:rPr>
          <w:rFonts w:hint="cs"/>
          <w:rtl/>
        </w:rPr>
        <w:t>أنه قال ” معنى حديث حتى يضع الجبار فيها قدمه” أي من سبَق في علمه أنه من أهل النار</w:t>
      </w:r>
      <w:r w:rsidR="000636C2">
        <w:rPr>
          <w:rFonts w:hint="cs"/>
          <w:rtl/>
        </w:rPr>
        <w:t>،</w:t>
      </w:r>
      <w:r w:rsidRPr="005675B2">
        <w:rPr>
          <w:rFonts w:hint="cs"/>
          <w:rtl/>
        </w:rPr>
        <w:t xml:space="preserve"> أهـ</w:t>
      </w:r>
      <w:r w:rsidR="000636C2">
        <w:rPr>
          <w:rFonts w:hint="cs"/>
          <w:rtl/>
        </w:rPr>
        <w:t xml:space="preserve"> </w:t>
      </w:r>
      <w:r w:rsidRPr="005675B2">
        <w:rPr>
          <w:rFonts w:hint="cs"/>
          <w:rtl/>
        </w:rPr>
        <w:t xml:space="preserve">وقاله الإمام أبو منصور الأزهري كما في </w:t>
      </w:r>
      <w:r w:rsidR="000636C2">
        <w:rPr>
          <w:rFonts w:hint="cs"/>
          <w:rtl/>
        </w:rPr>
        <w:t>(</w:t>
      </w:r>
      <w:r w:rsidRPr="005675B2">
        <w:rPr>
          <w:rFonts w:hint="cs"/>
          <w:rtl/>
        </w:rPr>
        <w:t>دفع الشبه</w:t>
      </w:r>
      <w:r w:rsidRPr="005675B2">
        <w:rPr>
          <w:rFonts w:hint="cs"/>
        </w:rPr>
        <w:t xml:space="preserve"> </w:t>
      </w:r>
      <w:r w:rsidRPr="005675B2">
        <w:rPr>
          <w:rFonts w:hint="cs"/>
          <w:rtl/>
        </w:rPr>
        <w:t>لابن الجوزي</w:t>
      </w:r>
      <w:r w:rsidR="000636C2">
        <w:rPr>
          <w:rFonts w:hint="cs"/>
          <w:rtl/>
        </w:rPr>
        <w:t>)</w:t>
      </w:r>
      <w:r w:rsidRPr="005675B2">
        <w:rPr>
          <w:rFonts w:hint="cs"/>
          <w:rtl/>
        </w:rPr>
        <w:t>,وقال ابن الجوزي أيضا</w:t>
      </w:r>
      <w:r w:rsidR="000636C2">
        <w:rPr>
          <w:rFonts w:hint="cs"/>
          <w:rtl/>
        </w:rPr>
        <w:t>:</w:t>
      </w:r>
      <w:r w:rsidRPr="005675B2">
        <w:rPr>
          <w:rFonts w:hint="cs"/>
          <w:rtl/>
        </w:rPr>
        <w:t xml:space="preserve"> </w:t>
      </w:r>
      <w:r w:rsidR="000636C2">
        <w:rPr>
          <w:rFonts w:hint="cs"/>
          <w:rtl/>
        </w:rPr>
        <w:t>(</w:t>
      </w:r>
      <w:r w:rsidRPr="005675B2">
        <w:rPr>
          <w:rFonts w:hint="cs"/>
          <w:rtl/>
        </w:rPr>
        <w:t>وقد حكى أبوعبيدة الهروي - صاحب كتاب غريب</w:t>
      </w:r>
      <w:r w:rsidRPr="005675B2">
        <w:rPr>
          <w:rFonts w:hint="cs"/>
        </w:rPr>
        <w:t xml:space="preserve"> </w:t>
      </w:r>
      <w:r w:rsidRPr="005675B2">
        <w:rPr>
          <w:rFonts w:hint="cs"/>
          <w:rtl/>
        </w:rPr>
        <w:t>القرآن والحديث - عن الحسن البصري أنه قال</w:t>
      </w:r>
      <w:r w:rsidR="000636C2">
        <w:rPr>
          <w:rFonts w:hint="cs"/>
          <w:rtl/>
        </w:rPr>
        <w:t>:</w:t>
      </w:r>
      <w:r>
        <w:rPr>
          <w:rFonts w:hint="cs"/>
          <w:rtl/>
        </w:rPr>
        <w:t xml:space="preserve"> </w:t>
      </w:r>
      <w:r w:rsidRPr="005675B2">
        <w:rPr>
          <w:rFonts w:hint="cs"/>
          <w:rtl/>
        </w:rPr>
        <w:t>القدم</w:t>
      </w:r>
      <w:r>
        <w:rPr>
          <w:rFonts w:hint="cs"/>
          <w:rtl/>
        </w:rPr>
        <w:t xml:space="preserve"> </w:t>
      </w:r>
      <w:r w:rsidRPr="005675B2">
        <w:rPr>
          <w:rFonts w:hint="cs"/>
          <w:rtl/>
        </w:rPr>
        <w:t>,هم الذين قدمهم الله تعالى من شرار</w:t>
      </w:r>
      <w:r w:rsidRPr="005675B2">
        <w:rPr>
          <w:rFonts w:hint="cs"/>
        </w:rPr>
        <w:t xml:space="preserve"> </w:t>
      </w:r>
      <w:r w:rsidRPr="005675B2">
        <w:rPr>
          <w:rFonts w:hint="cs"/>
          <w:rtl/>
        </w:rPr>
        <w:t>خلقه وأثبته لهم</w:t>
      </w:r>
      <w:r w:rsidR="000636C2">
        <w:rPr>
          <w:rFonts w:hint="cs"/>
          <w:rtl/>
        </w:rPr>
        <w:t>)،</w:t>
      </w:r>
      <w:r w:rsidRPr="005675B2">
        <w:rPr>
          <w:rFonts w:hint="cs"/>
          <w:rtl/>
        </w:rPr>
        <w:t xml:space="preserve"> أهـ</w:t>
      </w:r>
      <w:r w:rsidR="000636C2">
        <w:rPr>
          <w:rFonts w:hint="cs"/>
          <w:rtl/>
        </w:rPr>
        <w:t xml:space="preserve"> </w:t>
      </w:r>
      <w:r w:rsidRPr="005675B2">
        <w:rPr>
          <w:rFonts w:hint="cs"/>
          <w:rtl/>
        </w:rPr>
        <w:t>ومن هذا المعنى في اللغة قوله تعالى (</w:t>
      </w:r>
      <w:r w:rsidR="000636C2">
        <w:rPr>
          <w:rFonts w:hint="cs"/>
          <w:rtl/>
        </w:rPr>
        <w:t>(</w:t>
      </w:r>
      <w:r w:rsidRPr="005675B2">
        <w:rPr>
          <w:rFonts w:hint="cs"/>
          <w:rtl/>
        </w:rPr>
        <w:t>لهم قدم صدق عند ربهم</w:t>
      </w:r>
      <w:r w:rsidR="000636C2">
        <w:rPr>
          <w:rFonts w:hint="cs"/>
          <w:rtl/>
        </w:rPr>
        <w:t>)</w:t>
      </w:r>
      <w:r w:rsidRPr="005675B2">
        <w:rPr>
          <w:rFonts w:hint="cs"/>
          <w:rtl/>
        </w:rPr>
        <w:t>)</w:t>
      </w:r>
      <w:r>
        <w:rPr>
          <w:rFonts w:hint="cs"/>
          <w:rtl/>
        </w:rPr>
        <w:t xml:space="preserve"> </w:t>
      </w:r>
      <w:r w:rsidRPr="005675B2">
        <w:rPr>
          <w:rFonts w:hint="cs"/>
          <w:rtl/>
        </w:rPr>
        <w:t>أي قربات قدموها فليست القدم على ظاهرها المعهود على الحقيقة بمعنى الرجل</w:t>
      </w:r>
      <w:r w:rsidR="000636C2">
        <w:rPr>
          <w:rFonts w:hint="cs"/>
          <w:rtl/>
        </w:rPr>
        <w:t xml:space="preserve">، </w:t>
      </w:r>
      <w:r w:rsidRPr="005675B2">
        <w:rPr>
          <w:rFonts w:hint="cs"/>
          <w:rtl/>
        </w:rPr>
        <w:t>ولفظة رجله الوارة في بعض الأحاديث فهي من تصرفات بعض الرواة في الرواية بالمعنى الذي فهمه</w:t>
      </w:r>
      <w:r w:rsidR="000636C2">
        <w:rPr>
          <w:rFonts w:hint="cs"/>
          <w:rtl/>
        </w:rPr>
        <w:t>،</w:t>
      </w:r>
      <w:r w:rsidRPr="005675B2">
        <w:rPr>
          <w:rFonts w:hint="cs"/>
          <w:rtl/>
        </w:rPr>
        <w:t xml:space="preserve"> غفر</w:t>
      </w:r>
      <w:r>
        <w:rPr>
          <w:rFonts w:hint="cs"/>
          <w:rtl/>
        </w:rPr>
        <w:t xml:space="preserve"> </w:t>
      </w:r>
      <w:r w:rsidRPr="005675B2">
        <w:rPr>
          <w:rFonts w:hint="cs"/>
          <w:rtl/>
        </w:rPr>
        <w:t>الله له</w:t>
      </w:r>
      <w:r w:rsidR="000636C2">
        <w:rPr>
          <w:rFonts w:hint="cs"/>
          <w:rtl/>
        </w:rPr>
        <w:t>، [</w:t>
      </w:r>
      <w:r w:rsidRPr="005675B2">
        <w:rPr>
          <w:rFonts w:hint="cs"/>
          <w:bCs/>
          <w:sz w:val="24"/>
          <w:szCs w:val="24"/>
          <w:rtl/>
        </w:rPr>
        <w:t>النضر بن شميل وهو</w:t>
      </w:r>
      <w:r>
        <w:rPr>
          <w:rFonts w:hint="cs"/>
          <w:bCs/>
          <w:sz w:val="24"/>
          <w:szCs w:val="24"/>
          <w:rtl/>
        </w:rPr>
        <w:t xml:space="preserve"> </w:t>
      </w:r>
      <w:r w:rsidRPr="005675B2">
        <w:rPr>
          <w:rFonts w:hint="cs"/>
          <w:bCs/>
          <w:sz w:val="24"/>
          <w:szCs w:val="24"/>
          <w:rtl/>
        </w:rPr>
        <w:t>من رجال الستة</w:t>
      </w:r>
      <w:r w:rsidRPr="005675B2">
        <w:rPr>
          <w:rFonts w:hint="cs"/>
          <w:bCs/>
          <w:sz w:val="24"/>
          <w:szCs w:val="24"/>
        </w:rPr>
        <w:t xml:space="preserve"> </w:t>
      </w:r>
      <w:r w:rsidRPr="005675B2">
        <w:rPr>
          <w:rFonts w:hint="cs"/>
          <w:bCs/>
          <w:sz w:val="24"/>
          <w:szCs w:val="24"/>
          <w:rtl/>
        </w:rPr>
        <w:t>المولود سنة</w:t>
      </w:r>
      <w:r w:rsidR="000636C2">
        <w:rPr>
          <w:rFonts w:hint="cs"/>
          <w:bCs/>
          <w:sz w:val="24"/>
          <w:szCs w:val="24"/>
          <w:rtl/>
        </w:rPr>
        <w:t xml:space="preserve"> </w:t>
      </w:r>
      <w:r w:rsidRPr="005675B2">
        <w:rPr>
          <w:rFonts w:hint="cs"/>
          <w:bCs/>
          <w:sz w:val="24"/>
          <w:szCs w:val="24"/>
          <w:rtl/>
        </w:rPr>
        <w:t>(122هـ)</w:t>
      </w:r>
      <w:r w:rsidR="000636C2">
        <w:rPr>
          <w:rFonts w:hint="cs"/>
          <w:bCs/>
          <w:sz w:val="24"/>
          <w:szCs w:val="24"/>
          <w:rtl/>
        </w:rPr>
        <w:t>:</w:t>
      </w:r>
      <w:r w:rsidRPr="005675B2">
        <w:rPr>
          <w:rFonts w:hint="cs"/>
          <w:bCs/>
          <w:sz w:val="24"/>
          <w:szCs w:val="24"/>
          <w:rtl/>
        </w:rPr>
        <w:t>ذكرهذا التأويل عنه الإمام</w:t>
      </w:r>
      <w:r w:rsidR="000636C2">
        <w:rPr>
          <w:rFonts w:hint="cs"/>
          <w:bCs/>
          <w:sz w:val="24"/>
          <w:szCs w:val="24"/>
          <w:rtl/>
        </w:rPr>
        <w:t xml:space="preserve"> </w:t>
      </w:r>
      <w:r w:rsidRPr="005675B2">
        <w:rPr>
          <w:rFonts w:hint="cs"/>
          <w:bCs/>
          <w:sz w:val="24"/>
          <w:szCs w:val="24"/>
          <w:rtl/>
        </w:rPr>
        <w:t>البيهقي (الأسماء والصفات ص 352</w:t>
      </w:r>
      <w:r w:rsidR="000636C2">
        <w:rPr>
          <w:rFonts w:hint="cs"/>
          <w:bCs/>
          <w:sz w:val="24"/>
          <w:szCs w:val="24"/>
          <w:rtl/>
        </w:rPr>
        <w:t>)</w:t>
      </w:r>
      <w:r w:rsidRPr="005675B2">
        <w:rPr>
          <w:rFonts w:hint="cs"/>
          <w:bCs/>
          <w:sz w:val="24"/>
          <w:szCs w:val="24"/>
          <w:rtl/>
        </w:rPr>
        <w:t>وابن الجوزي(دفع شبه</w:t>
      </w:r>
      <w:r w:rsidRPr="005675B2">
        <w:rPr>
          <w:rFonts w:hint="cs"/>
          <w:bCs/>
          <w:sz w:val="24"/>
          <w:szCs w:val="24"/>
        </w:rPr>
        <w:t xml:space="preserve"> </w:t>
      </w:r>
      <w:r w:rsidRPr="005675B2">
        <w:rPr>
          <w:rFonts w:hint="cs"/>
          <w:bCs/>
          <w:sz w:val="24"/>
          <w:szCs w:val="24"/>
          <w:rtl/>
        </w:rPr>
        <w:t>التشبيه)</w:t>
      </w:r>
      <w:r w:rsidR="000636C2">
        <w:rPr>
          <w:rFonts w:hint="cs"/>
          <w:rtl/>
        </w:rPr>
        <w:t>]</w:t>
      </w:r>
    </w:p>
    <w:p w14:paraId="3CB14150" w14:textId="471C6C46" w:rsidR="009C32A0" w:rsidRPr="005675B2" w:rsidRDefault="009C32A0" w:rsidP="000636C2">
      <w:pPr>
        <w:rPr>
          <w:b/>
          <w:rtl/>
        </w:rPr>
      </w:pPr>
      <w:r w:rsidRPr="001C2CCC">
        <w:rPr>
          <w:rFonts w:hint="cs"/>
          <w:bCs/>
          <w:rtl/>
        </w:rPr>
        <w:t>تأويل الإمام هشام بن عبيد الله</w:t>
      </w:r>
      <w:r w:rsidR="000636C2">
        <w:rPr>
          <w:rFonts w:hint="cs"/>
          <w:rtl/>
        </w:rPr>
        <w:t>:</w:t>
      </w:r>
      <w:r w:rsidRPr="005675B2">
        <w:rPr>
          <w:rFonts w:hint="cs"/>
          <w:rtl/>
        </w:rPr>
        <w:t xml:space="preserve"> - توفى سنة 221 ه</w:t>
      </w:r>
      <w:r w:rsidR="000636C2">
        <w:rPr>
          <w:rFonts w:hint="cs"/>
          <w:rtl/>
        </w:rPr>
        <w:t xml:space="preserve"> </w:t>
      </w:r>
      <w:r w:rsidRPr="005675B2">
        <w:rPr>
          <w:rFonts w:hint="cs"/>
          <w:rtl/>
        </w:rPr>
        <w:t>- قال الذهبي في سير أعلام النبلاء في ترجمته</w:t>
      </w:r>
      <w:r w:rsidR="000636C2">
        <w:rPr>
          <w:rFonts w:hint="cs"/>
          <w:rtl/>
        </w:rPr>
        <w:t>:</w:t>
      </w:r>
      <w:r>
        <w:rPr>
          <w:rFonts w:hint="cs"/>
          <w:rtl/>
        </w:rPr>
        <w:t xml:space="preserve"> </w:t>
      </w:r>
      <w:r w:rsidR="000636C2">
        <w:rPr>
          <w:rFonts w:hint="cs"/>
          <w:rtl/>
        </w:rPr>
        <w:t>(</w:t>
      </w:r>
      <w:r w:rsidRPr="005675B2">
        <w:rPr>
          <w:rFonts w:hint="cs"/>
          <w:rtl/>
        </w:rPr>
        <w:t>10/446</w:t>
      </w:r>
      <w:r w:rsidR="000636C2">
        <w:rPr>
          <w:rFonts w:hint="cs"/>
          <w:rtl/>
        </w:rPr>
        <w:t>)</w:t>
      </w:r>
      <w:r w:rsidRPr="005675B2">
        <w:rPr>
          <w:rFonts w:hint="cs"/>
          <w:rtl/>
        </w:rPr>
        <w:t>“السني الفقيه أحد أئمة السنة”</w:t>
      </w:r>
      <w:r w:rsidR="000636C2">
        <w:rPr>
          <w:rFonts w:hint="cs"/>
          <w:rtl/>
        </w:rPr>
        <w:t>،</w:t>
      </w:r>
      <w:r w:rsidRPr="005675B2">
        <w:rPr>
          <w:rFonts w:hint="cs"/>
          <w:rtl/>
        </w:rPr>
        <w:t xml:space="preserve"> ثم قال الذهبي</w:t>
      </w:r>
      <w:r w:rsidR="000636C2">
        <w:rPr>
          <w:rFonts w:hint="cs"/>
          <w:rtl/>
        </w:rPr>
        <w:t>:</w:t>
      </w:r>
      <w:r w:rsidRPr="005675B2">
        <w:rPr>
          <w:rFonts w:hint="cs"/>
          <w:rtl/>
        </w:rPr>
        <w:t xml:space="preserve"> قال محمد بن خلف الخرَّاز سمعت هشاما بن عبيد الله الرازي يقول “القرآن كلام الله غير مخلوق فقال له رجل</w:t>
      </w:r>
      <w:r w:rsidR="000636C2">
        <w:rPr>
          <w:rFonts w:hint="cs"/>
          <w:rtl/>
        </w:rPr>
        <w:t>:</w:t>
      </w:r>
      <w:r w:rsidRPr="005675B2">
        <w:rPr>
          <w:rFonts w:hint="cs"/>
          <w:rtl/>
        </w:rPr>
        <w:t xml:space="preserve"> أليس الله يقول &lt; ما يأتيهم من ذكر من ربهم محدث&gt; فقال</w:t>
      </w:r>
      <w:r w:rsidR="000636C2">
        <w:rPr>
          <w:rFonts w:hint="cs"/>
          <w:rtl/>
        </w:rPr>
        <w:t>:</w:t>
      </w:r>
      <w:r w:rsidRPr="005675B2">
        <w:rPr>
          <w:rFonts w:hint="cs"/>
          <w:rtl/>
        </w:rPr>
        <w:t xml:space="preserve"> محدث إلينا وليس عند الله بمحدث” .. قال الذهبي - مفسرا - .. قلتُ</w:t>
      </w:r>
      <w:r w:rsidR="000636C2">
        <w:rPr>
          <w:rFonts w:hint="cs"/>
          <w:rtl/>
        </w:rPr>
        <w:t>:</w:t>
      </w:r>
      <w:r w:rsidRPr="005675B2">
        <w:rPr>
          <w:rFonts w:hint="cs"/>
          <w:rtl/>
        </w:rPr>
        <w:t xml:space="preserve"> لأنه من علم الله وعلم الله لا يوصف بالحدوث</w:t>
      </w:r>
      <w:r w:rsidR="000636C2">
        <w:rPr>
          <w:rFonts w:hint="cs"/>
          <w:rtl/>
        </w:rPr>
        <w:t>،</w:t>
      </w:r>
      <w:r>
        <w:rPr>
          <w:rFonts w:hint="cs"/>
          <w:rtl/>
        </w:rPr>
        <w:t xml:space="preserve"> </w:t>
      </w:r>
    </w:p>
    <w:p w14:paraId="77237519" w14:textId="4F4EE6D0" w:rsidR="009C32A0" w:rsidRDefault="009C32A0" w:rsidP="000636C2">
      <w:pPr>
        <w:rPr>
          <w:b/>
          <w:rtl/>
        </w:rPr>
      </w:pPr>
      <w:r w:rsidRPr="001C2CCC">
        <w:rPr>
          <w:rFonts w:hint="cs"/>
          <w:bCs/>
          <w:rtl/>
        </w:rPr>
        <w:t>تأويل الإمام سفيان الثوري</w:t>
      </w:r>
      <w:r w:rsidRPr="005675B2">
        <w:rPr>
          <w:rFonts w:hint="cs"/>
          <w:rtl/>
        </w:rPr>
        <w:t xml:space="preserve"> ذكر الحافظ الذهبي في سير أعلام النبلاء في ترجمة سيد الحفاظ في</w:t>
      </w:r>
      <w:r>
        <w:rPr>
          <w:rFonts w:hint="cs"/>
          <w:rtl/>
        </w:rPr>
        <w:t xml:space="preserve"> </w:t>
      </w:r>
      <w:r w:rsidRPr="005675B2">
        <w:rPr>
          <w:rFonts w:hint="cs"/>
          <w:rtl/>
        </w:rPr>
        <w:t>زمانه الإمام سفيان الثوري</w:t>
      </w:r>
      <w:r w:rsidR="000636C2">
        <w:rPr>
          <w:rFonts w:hint="cs"/>
          <w:rtl/>
        </w:rPr>
        <w:t xml:space="preserve"> (</w:t>
      </w:r>
      <w:r w:rsidRPr="005675B2">
        <w:rPr>
          <w:rFonts w:hint="cs"/>
          <w:rtl/>
        </w:rPr>
        <w:t>7/274</w:t>
      </w:r>
      <w:r w:rsidR="000636C2">
        <w:rPr>
          <w:rFonts w:hint="cs"/>
          <w:rtl/>
        </w:rPr>
        <w:t>)</w:t>
      </w:r>
      <w:r w:rsidRPr="005675B2">
        <w:rPr>
          <w:rFonts w:hint="cs"/>
          <w:rtl/>
        </w:rPr>
        <w:t xml:space="preserve"> أن معداناً سأله عن قوله تعالى </w:t>
      </w:r>
      <w:r w:rsidR="000636C2">
        <w:rPr>
          <w:rFonts w:hint="cs"/>
          <w:rtl/>
        </w:rPr>
        <w:t>(</w:t>
      </w:r>
      <w:r w:rsidRPr="005675B2">
        <w:rPr>
          <w:rFonts w:hint="cs"/>
          <w:rtl/>
        </w:rPr>
        <w:t>وهو معكم أينما كنتم</w:t>
      </w:r>
      <w:r w:rsidR="000636C2">
        <w:rPr>
          <w:rFonts w:hint="cs"/>
          <w:rtl/>
        </w:rPr>
        <w:t>)</w:t>
      </w:r>
      <w:r w:rsidRPr="005675B2">
        <w:rPr>
          <w:rFonts w:hint="cs"/>
          <w:rtl/>
        </w:rPr>
        <w:t xml:space="preserve"> فقال</w:t>
      </w:r>
      <w:r w:rsidR="000636C2">
        <w:rPr>
          <w:rFonts w:hint="cs"/>
          <w:rtl/>
        </w:rPr>
        <w:t>:</w:t>
      </w:r>
      <w:r w:rsidRPr="005675B2">
        <w:rPr>
          <w:rFonts w:hint="cs"/>
          <w:rtl/>
        </w:rPr>
        <w:t xml:space="preserve"> علمه معكم</w:t>
      </w:r>
      <w:r w:rsidR="000636C2">
        <w:rPr>
          <w:rFonts w:hint="cs"/>
          <w:rtl/>
        </w:rPr>
        <w:t>،</w:t>
      </w:r>
      <w:r>
        <w:rPr>
          <w:rFonts w:hint="cs"/>
          <w:rtl/>
        </w:rPr>
        <w:t xml:space="preserve"> </w:t>
      </w:r>
    </w:p>
    <w:p w14:paraId="26503486" w14:textId="46EBA353" w:rsidR="009C32A0" w:rsidRPr="005675B2" w:rsidRDefault="009C32A0" w:rsidP="000636C2">
      <w:pPr>
        <w:rPr>
          <w:b/>
          <w:rtl/>
        </w:rPr>
      </w:pPr>
      <w:r w:rsidRPr="001C2CCC">
        <w:rPr>
          <w:rFonts w:hint="cs"/>
          <w:bCs/>
          <w:rtl/>
        </w:rPr>
        <w:t>تأويل الإمام عبد الله بن المبارك</w:t>
      </w:r>
      <w:r w:rsidR="000636C2">
        <w:rPr>
          <w:rFonts w:hint="cs"/>
          <w:rtl/>
        </w:rPr>
        <w:t>:</w:t>
      </w:r>
      <w:r w:rsidRPr="005675B2">
        <w:rPr>
          <w:rFonts w:hint="cs"/>
          <w:rtl/>
        </w:rPr>
        <w:t>قال الإمام البخاري</w:t>
      </w:r>
      <w:r w:rsidR="000636C2">
        <w:rPr>
          <w:rFonts w:hint="cs"/>
          <w:rtl/>
        </w:rPr>
        <w:t>:</w:t>
      </w:r>
      <w:r w:rsidRPr="005675B2">
        <w:rPr>
          <w:rFonts w:hint="cs"/>
          <w:rtl/>
        </w:rPr>
        <w:t xml:space="preserve"> </w:t>
      </w:r>
      <w:r w:rsidR="000636C2">
        <w:rPr>
          <w:rFonts w:hint="cs"/>
          <w:rtl/>
        </w:rPr>
        <w:t>(</w:t>
      </w:r>
      <w:r w:rsidRPr="005675B2">
        <w:rPr>
          <w:rFonts w:hint="cs"/>
          <w:rtl/>
        </w:rPr>
        <w:t>حدثنا محمد عن عبد الله عن محمد بن بشار عن قتادة عن صفوان بن محرز عن ابن عمر قال</w:t>
      </w:r>
      <w:r w:rsidR="000636C2">
        <w:rPr>
          <w:rFonts w:hint="cs"/>
          <w:rtl/>
        </w:rPr>
        <w:t>:</w:t>
      </w:r>
      <w:r w:rsidRPr="005675B2">
        <w:rPr>
          <w:rFonts w:hint="cs"/>
          <w:rtl/>
        </w:rPr>
        <w:t xml:space="preserve"> بينما أنا أمشي معه إذ جاء رجل فقال يا ابن عمر .. كيف سمعت رسول الله صلى الله عليه وسلم يذكر في النجوى</w:t>
      </w:r>
      <w:r w:rsidR="000636C2">
        <w:rPr>
          <w:rFonts w:hint="cs"/>
          <w:rtl/>
        </w:rPr>
        <w:t xml:space="preserve">؟ </w:t>
      </w:r>
      <w:r w:rsidRPr="005675B2">
        <w:rPr>
          <w:rFonts w:hint="cs"/>
          <w:rtl/>
        </w:rPr>
        <w:t>- قال سمعته يقول</w:t>
      </w:r>
      <w:r w:rsidR="000636C2">
        <w:rPr>
          <w:rFonts w:hint="cs"/>
          <w:rtl/>
        </w:rPr>
        <w:t>:</w:t>
      </w:r>
      <w:r w:rsidRPr="005675B2">
        <w:rPr>
          <w:rFonts w:hint="cs"/>
          <w:rtl/>
        </w:rPr>
        <w:t xml:space="preserve"> يدنو من ربه حتى يضع عليه كنفه </w:t>
      </w:r>
      <w:r>
        <w:rPr>
          <w:rFonts w:hint="cs"/>
          <w:rtl/>
        </w:rPr>
        <w:t xml:space="preserve">.. </w:t>
      </w:r>
      <w:r w:rsidRPr="005675B2">
        <w:rPr>
          <w:rFonts w:hint="cs"/>
          <w:rtl/>
        </w:rPr>
        <w:t>ثم</w:t>
      </w:r>
      <w:r w:rsidR="000636C2">
        <w:rPr>
          <w:rFonts w:hint="cs"/>
          <w:rtl/>
        </w:rPr>
        <w:t xml:space="preserve"> </w:t>
      </w:r>
      <w:r w:rsidRPr="005675B2">
        <w:rPr>
          <w:rFonts w:hint="cs"/>
          <w:rtl/>
        </w:rPr>
        <w:t>قال البخاري قال ابن المبارك</w:t>
      </w:r>
      <w:r w:rsidR="000636C2">
        <w:rPr>
          <w:rFonts w:hint="cs"/>
          <w:rtl/>
        </w:rPr>
        <w:t>:</w:t>
      </w:r>
      <w:r w:rsidRPr="005675B2">
        <w:rPr>
          <w:rFonts w:hint="cs"/>
          <w:rtl/>
        </w:rPr>
        <w:t xml:space="preserve"> </w:t>
      </w:r>
      <w:r w:rsidR="000636C2">
        <w:rPr>
          <w:rFonts w:hint="cs"/>
          <w:rtl/>
        </w:rPr>
        <w:t>(</w:t>
      </w:r>
      <w:r w:rsidRPr="005675B2">
        <w:rPr>
          <w:rFonts w:hint="cs"/>
          <w:rtl/>
        </w:rPr>
        <w:t>كنفه يعنى ستره</w:t>
      </w:r>
      <w:r w:rsidR="000636C2">
        <w:rPr>
          <w:rFonts w:hint="cs"/>
          <w:rtl/>
        </w:rPr>
        <w:t xml:space="preserve">) </w:t>
      </w:r>
      <w:r w:rsidRPr="005675B2">
        <w:rPr>
          <w:rFonts w:hint="cs"/>
          <w:rtl/>
        </w:rPr>
        <w:t>[</w:t>
      </w:r>
      <w:r w:rsidRPr="005675B2">
        <w:rPr>
          <w:rFonts w:hint="cs"/>
          <w:bCs/>
          <w:sz w:val="24"/>
          <w:szCs w:val="24"/>
          <w:rtl/>
        </w:rPr>
        <w:t>باب خلق أفعال العباد ص 61</w:t>
      </w:r>
      <w:r w:rsidRPr="005675B2">
        <w:rPr>
          <w:rFonts w:hint="cs"/>
          <w:rtl/>
        </w:rPr>
        <w:t>] وأيَّد كلامه الحافظ ابن حجر</w:t>
      </w:r>
      <w:r>
        <w:rPr>
          <w:rFonts w:hint="cs"/>
          <w:rtl/>
        </w:rPr>
        <w:t xml:space="preserve"> </w:t>
      </w:r>
      <w:r w:rsidRPr="005675B2">
        <w:rPr>
          <w:rFonts w:hint="cs"/>
          <w:rtl/>
        </w:rPr>
        <w:t>في فتح الباري عند شرح هذا الحديث</w:t>
      </w:r>
      <w:r w:rsidR="000636C2">
        <w:rPr>
          <w:rFonts w:hint="cs"/>
          <w:rtl/>
        </w:rPr>
        <w:t>،</w:t>
      </w:r>
      <w:r w:rsidRPr="005675B2">
        <w:rPr>
          <w:rFonts w:hint="cs"/>
          <w:rtl/>
        </w:rPr>
        <w:t xml:space="preserve"> فأنت ترى الإمام قد أوّل هنا فلم يحمله على المتبادر لبعض الأذهان حتى قال بعضهم</w:t>
      </w:r>
      <w:r w:rsidR="000636C2">
        <w:rPr>
          <w:rFonts w:hint="cs"/>
          <w:rtl/>
        </w:rPr>
        <w:t xml:space="preserve">: </w:t>
      </w:r>
      <w:r w:rsidRPr="005675B2">
        <w:rPr>
          <w:rFonts w:hint="cs"/>
          <w:rtl/>
        </w:rPr>
        <w:t>نشَر اللّه كنَفه على المسلم يوم القيامة هكذا، وتعطَّفَ بيده وكُمه</w:t>
      </w:r>
      <w:r w:rsidR="000636C2">
        <w:rPr>
          <w:rFonts w:hint="cs"/>
          <w:rtl/>
        </w:rPr>
        <w:t>،</w:t>
      </w:r>
      <w:r w:rsidRPr="005675B2">
        <w:rPr>
          <w:rFonts w:hint="cs"/>
          <w:rtl/>
        </w:rPr>
        <w:t xml:space="preserve"> انظر لسان العرب</w:t>
      </w:r>
      <w:r w:rsidR="000636C2">
        <w:rPr>
          <w:rFonts w:hint="cs"/>
          <w:rtl/>
        </w:rPr>
        <w:t>،</w:t>
      </w:r>
      <w:r w:rsidRPr="005675B2">
        <w:rPr>
          <w:rFonts w:hint="cs"/>
          <w:rtl/>
        </w:rPr>
        <w:t xml:space="preserve"> كنف</w:t>
      </w:r>
      <w:r w:rsidR="000636C2">
        <w:rPr>
          <w:rFonts w:hint="cs"/>
          <w:rtl/>
        </w:rPr>
        <w:t>:</w:t>
      </w:r>
      <w:r w:rsidRPr="005675B2">
        <w:rPr>
          <w:rFonts w:hint="cs"/>
          <w:rtl/>
        </w:rPr>
        <w:t xml:space="preserve"> الكَنَفُ والكَنَفةُ</w:t>
      </w:r>
      <w:r w:rsidR="000636C2">
        <w:rPr>
          <w:rFonts w:hint="cs"/>
          <w:rtl/>
        </w:rPr>
        <w:t>:</w:t>
      </w:r>
      <w:r w:rsidRPr="005675B2">
        <w:rPr>
          <w:rFonts w:hint="cs"/>
          <w:rtl/>
        </w:rPr>
        <w:t xml:space="preserve"> ناحية الشيء، وناحِيتا كل ِّشيء كنَفاه</w:t>
      </w:r>
      <w:r w:rsidR="000636C2">
        <w:rPr>
          <w:rFonts w:hint="cs"/>
          <w:rtl/>
        </w:rPr>
        <w:t>،</w:t>
      </w:r>
      <w:r w:rsidRPr="005675B2">
        <w:rPr>
          <w:rFonts w:hint="cs"/>
          <w:rtl/>
        </w:rPr>
        <w:t xml:space="preserve"> وهذا يبطل تهرب الموجان حيث قال</w:t>
      </w:r>
      <w:r w:rsidR="000636C2">
        <w:rPr>
          <w:rFonts w:hint="cs"/>
          <w:rtl/>
        </w:rPr>
        <w:t>:</w:t>
      </w:r>
      <w:r w:rsidRPr="005675B2">
        <w:rPr>
          <w:rFonts w:hint="cs"/>
          <w:rtl/>
        </w:rPr>
        <w:t xml:space="preserve"> أنه ليس بتأويل إن الكنف في اللغة الستر</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باب خلق أفعال العباد ص 61</w:t>
      </w:r>
      <w:r w:rsidRPr="005675B2">
        <w:rPr>
          <w:rFonts w:hint="cs"/>
          <w:rtl/>
        </w:rPr>
        <w:t>] وهذا صحيح أنه في اللغة الستر لكن مجازاً أما الأصل فهو</w:t>
      </w:r>
      <w:r w:rsidR="000636C2">
        <w:rPr>
          <w:rFonts w:hint="cs"/>
          <w:rtl/>
        </w:rPr>
        <w:t>:</w:t>
      </w:r>
      <w:r w:rsidRPr="005675B2">
        <w:rPr>
          <w:rFonts w:hint="cs"/>
          <w:rtl/>
        </w:rPr>
        <w:t>الناحية والجانب</w:t>
      </w:r>
      <w:r w:rsidR="000636C2">
        <w:rPr>
          <w:rFonts w:hint="cs"/>
          <w:rtl/>
        </w:rPr>
        <w:t>،</w:t>
      </w:r>
      <w:r w:rsidRPr="005675B2">
        <w:rPr>
          <w:rFonts w:hint="cs"/>
          <w:rtl/>
        </w:rPr>
        <w:t xml:space="preserve"> كنف</w:t>
      </w:r>
      <w:r w:rsidR="000636C2">
        <w:rPr>
          <w:rFonts w:hint="cs"/>
          <w:rtl/>
        </w:rPr>
        <w:t>:</w:t>
      </w:r>
      <w:r w:rsidRPr="005675B2">
        <w:rPr>
          <w:rFonts w:hint="cs"/>
          <w:rtl/>
        </w:rPr>
        <w:t xml:space="preserve"> الكَنَفُ والكَنَفةُ</w:t>
      </w:r>
      <w:r w:rsidR="000636C2">
        <w:rPr>
          <w:rFonts w:hint="cs"/>
          <w:rtl/>
        </w:rPr>
        <w:t>:</w:t>
      </w:r>
      <w:r w:rsidRPr="005675B2">
        <w:rPr>
          <w:rFonts w:hint="cs"/>
          <w:rtl/>
        </w:rPr>
        <w:t xml:space="preserve"> ناحية الشيء، وناحِيتا كلّ ِشيء كنَفاه،والجمع أَكناف</w:t>
      </w:r>
      <w:r w:rsidR="000636C2">
        <w:rPr>
          <w:rFonts w:hint="cs"/>
          <w:rtl/>
        </w:rPr>
        <w:t>،</w:t>
      </w:r>
      <w:r w:rsidRPr="005675B2">
        <w:rPr>
          <w:rFonts w:hint="cs"/>
          <w:rtl/>
        </w:rPr>
        <w:t xml:space="preserve"> وبنو فلان يَكْنُفون بني فلان أَي هم نُزول في ناحيتهم</w:t>
      </w:r>
      <w:r w:rsidR="000636C2">
        <w:rPr>
          <w:rFonts w:hint="cs"/>
          <w:rtl/>
        </w:rPr>
        <w:t>،</w:t>
      </w:r>
      <w:r w:rsidRPr="005675B2">
        <w:rPr>
          <w:rFonts w:hint="cs"/>
          <w:rtl/>
        </w:rPr>
        <w:t xml:space="preserve"> وكنَفُ الرَّجل</w:t>
      </w:r>
      <w:r w:rsidR="000636C2">
        <w:rPr>
          <w:rFonts w:hint="cs"/>
          <w:rtl/>
        </w:rPr>
        <w:t>:</w:t>
      </w:r>
      <w:r w:rsidRPr="005675B2">
        <w:rPr>
          <w:rFonts w:hint="cs"/>
          <w:rtl/>
        </w:rPr>
        <w:t xml:space="preserve"> </w:t>
      </w:r>
      <w:r w:rsidRPr="005675B2">
        <w:rPr>
          <w:rFonts w:hint="cs"/>
          <w:u w:val="single"/>
          <w:rtl/>
        </w:rPr>
        <w:t xml:space="preserve">حِضْنه </w:t>
      </w:r>
      <w:r w:rsidRPr="005675B2">
        <w:rPr>
          <w:rFonts w:hint="cs"/>
          <w:rtl/>
        </w:rPr>
        <w:t>يعني العَضُدين والصدْرَ</w:t>
      </w:r>
      <w:r w:rsidR="000636C2">
        <w:rPr>
          <w:rFonts w:hint="cs"/>
          <w:rtl/>
        </w:rPr>
        <w:t>،</w:t>
      </w:r>
      <w:r w:rsidRPr="005675B2">
        <w:rPr>
          <w:rFonts w:hint="cs"/>
          <w:rtl/>
        </w:rPr>
        <w:t xml:space="preserve"> وأَكناف الجبل والوادي</w:t>
      </w:r>
      <w:r w:rsidR="000636C2">
        <w:rPr>
          <w:rFonts w:hint="cs"/>
          <w:rtl/>
        </w:rPr>
        <w:t>:</w:t>
      </w:r>
      <w:r w:rsidRPr="005675B2">
        <w:rPr>
          <w:rFonts w:hint="cs"/>
          <w:rtl/>
        </w:rPr>
        <w:t>نواحِيه حيث تنضم إليه، الواحد كنَفٌ</w:t>
      </w:r>
      <w:r w:rsidR="000636C2">
        <w:rPr>
          <w:rFonts w:hint="cs"/>
          <w:rtl/>
        </w:rPr>
        <w:t>،</w:t>
      </w:r>
      <w:r w:rsidRPr="005675B2">
        <w:rPr>
          <w:rFonts w:hint="cs"/>
          <w:rtl/>
        </w:rPr>
        <w:t xml:space="preserve"> والكَنَفُ</w:t>
      </w:r>
      <w:r w:rsidR="000636C2">
        <w:rPr>
          <w:rFonts w:hint="cs"/>
          <w:rtl/>
        </w:rPr>
        <w:t>:</w:t>
      </w:r>
      <w:r w:rsidRPr="005675B2">
        <w:rPr>
          <w:rFonts w:hint="cs"/>
          <w:rtl/>
        </w:rPr>
        <w:t xml:space="preserve"> الجانب والناحية، بالتحريك</w:t>
      </w:r>
      <w:r w:rsidR="000636C2">
        <w:rPr>
          <w:rFonts w:hint="cs"/>
          <w:rtl/>
        </w:rPr>
        <w:t xml:space="preserve">، </w:t>
      </w:r>
      <w:r w:rsidRPr="005675B2">
        <w:rPr>
          <w:rFonts w:hint="cs"/>
          <w:rtl/>
        </w:rPr>
        <w:t>وفي حديث جرير، رضي اللّه عنه</w:t>
      </w:r>
      <w:r w:rsidR="000636C2">
        <w:rPr>
          <w:rFonts w:hint="cs"/>
          <w:rtl/>
        </w:rPr>
        <w:t>:</w:t>
      </w:r>
      <w:r w:rsidRPr="005675B2">
        <w:rPr>
          <w:rFonts w:hint="cs"/>
          <w:rtl/>
        </w:rPr>
        <w:t xml:space="preserve"> قال له أَين منزلك</w:t>
      </w:r>
      <w:r w:rsidR="000636C2">
        <w:rPr>
          <w:rFonts w:hint="cs"/>
          <w:rtl/>
        </w:rPr>
        <w:t>؟</w:t>
      </w:r>
      <w:r w:rsidRPr="005675B2">
        <w:rPr>
          <w:rFonts w:hint="cs"/>
          <w:rtl/>
        </w:rPr>
        <w:t xml:space="preserve"> قال</w:t>
      </w:r>
      <w:r w:rsidR="000636C2">
        <w:rPr>
          <w:rFonts w:hint="cs"/>
          <w:rtl/>
        </w:rPr>
        <w:t>:</w:t>
      </w:r>
      <w:r w:rsidRPr="005675B2">
        <w:rPr>
          <w:rFonts w:hint="cs"/>
          <w:rtl/>
        </w:rPr>
        <w:t xml:space="preserve"> بأَكْنافِ بِيشةَ أَي نواحيها .. وكنَفا الإنسان</w:t>
      </w:r>
      <w:r w:rsidR="000636C2">
        <w:rPr>
          <w:rFonts w:hint="cs"/>
          <w:rtl/>
        </w:rPr>
        <w:t>:</w:t>
      </w:r>
      <w:r w:rsidRPr="005675B2">
        <w:rPr>
          <w:rFonts w:hint="cs"/>
          <w:rtl/>
        </w:rPr>
        <w:t xml:space="preserve"> جانِباه،وكنَفاه ناحِيتاه عن يمينه وشماله، وهما حِضْناه</w:t>
      </w:r>
      <w:r w:rsidR="000636C2">
        <w:rPr>
          <w:rFonts w:hint="cs"/>
          <w:rtl/>
        </w:rPr>
        <w:t>،</w:t>
      </w:r>
      <w:r w:rsidRPr="005675B2">
        <w:rPr>
          <w:rFonts w:hint="cs"/>
          <w:rtl/>
        </w:rPr>
        <w:t xml:space="preserve"> انتهى </w:t>
      </w:r>
      <w:r w:rsidRPr="005675B2">
        <w:rPr>
          <w:rFonts w:hint="cs"/>
          <w:u w:val="single"/>
          <w:rtl/>
        </w:rPr>
        <w:t>من لسان العرب هذا هو أصل المعنى</w:t>
      </w:r>
      <w:r w:rsidR="000636C2">
        <w:rPr>
          <w:rFonts w:hint="cs"/>
          <w:u w:val="single"/>
          <w:rtl/>
        </w:rPr>
        <w:t>،</w:t>
      </w:r>
      <w:r>
        <w:rPr>
          <w:rFonts w:hint="cs"/>
          <w:rtl/>
        </w:rPr>
        <w:t xml:space="preserve"> </w:t>
      </w:r>
      <w:r w:rsidRPr="005675B2">
        <w:rPr>
          <w:rFonts w:hint="cs"/>
          <w:rtl/>
        </w:rPr>
        <w:t>فلما كان لا يليق بالله تعالى أولوه إلى معنى آخر</w:t>
      </w:r>
      <w:r w:rsidR="000636C2">
        <w:rPr>
          <w:rFonts w:hint="cs"/>
          <w:rtl/>
        </w:rPr>
        <w:t>،</w:t>
      </w:r>
      <w:r w:rsidRPr="005675B2">
        <w:rPr>
          <w:rFonts w:hint="cs"/>
          <w:rtl/>
        </w:rPr>
        <w:t xml:space="preserve"> من ذلك</w:t>
      </w:r>
      <w:r w:rsidR="000636C2">
        <w:rPr>
          <w:rFonts w:hint="cs"/>
          <w:rtl/>
        </w:rPr>
        <w:t>:</w:t>
      </w:r>
      <w:r w:rsidRPr="005675B2">
        <w:rPr>
          <w:rFonts w:hint="cs"/>
          <w:rtl/>
        </w:rPr>
        <w:t xml:space="preserve"> حتى يضَع عليه كنَفه؛ قال ابن</w:t>
      </w:r>
      <w:r>
        <w:rPr>
          <w:rFonts w:hint="cs"/>
          <w:rtl/>
        </w:rPr>
        <w:t xml:space="preserve"> </w:t>
      </w:r>
      <w:r w:rsidRPr="005675B2">
        <w:rPr>
          <w:rFonts w:hint="cs"/>
          <w:rtl/>
        </w:rPr>
        <w:t>المبارك</w:t>
      </w:r>
      <w:r w:rsidR="000636C2">
        <w:rPr>
          <w:rFonts w:hint="cs"/>
          <w:rtl/>
        </w:rPr>
        <w:t>:</w:t>
      </w:r>
      <w:r w:rsidRPr="005675B2">
        <w:rPr>
          <w:rFonts w:hint="cs"/>
          <w:rtl/>
        </w:rPr>
        <w:t xml:space="preserve"> يعني يستره، وقيل</w:t>
      </w:r>
      <w:r w:rsidR="000636C2">
        <w:rPr>
          <w:rFonts w:hint="cs"/>
          <w:rtl/>
        </w:rPr>
        <w:t>:</w:t>
      </w:r>
      <w:r w:rsidRPr="005675B2">
        <w:rPr>
          <w:rFonts w:hint="cs"/>
          <w:rtl/>
        </w:rPr>
        <w:t xml:space="preserve"> يرحمه ويَلْطُف به، وقال ابن شميل</w:t>
      </w:r>
      <w:r w:rsidR="000636C2">
        <w:rPr>
          <w:rFonts w:hint="cs"/>
          <w:rtl/>
        </w:rPr>
        <w:t>:</w:t>
      </w:r>
      <w:r w:rsidRPr="005675B2">
        <w:rPr>
          <w:rFonts w:hint="cs"/>
          <w:rtl/>
        </w:rPr>
        <w:t xml:space="preserve"> يضَعُ اللّه عليه كنَفه أَي رحمته وبِرّه </w:t>
      </w:r>
      <w:r w:rsidRPr="005675B2">
        <w:rPr>
          <w:rFonts w:hint="cs"/>
          <w:u w:val="single"/>
          <w:rtl/>
        </w:rPr>
        <w:t>وهو تمثيل</w:t>
      </w:r>
      <w:r w:rsidRPr="005675B2">
        <w:rPr>
          <w:rFonts w:hint="cs"/>
          <w:rtl/>
        </w:rPr>
        <w:t xml:space="preserve"> لجعله تحت ظلّ رحمته يوم القيامة</w:t>
      </w:r>
      <w:r w:rsidR="000636C2">
        <w:rPr>
          <w:rFonts w:hint="cs"/>
          <w:rtl/>
        </w:rPr>
        <w:t>،</w:t>
      </w:r>
      <w:r w:rsidRPr="005675B2">
        <w:rPr>
          <w:rFonts w:hint="cs"/>
          <w:rtl/>
        </w:rPr>
        <w:t xml:space="preserve"> هكذا جاء في لسان العرب</w:t>
      </w:r>
      <w:r w:rsidR="000636C2">
        <w:rPr>
          <w:rFonts w:hint="cs"/>
          <w:rtl/>
        </w:rPr>
        <w:t xml:space="preserve">، </w:t>
      </w:r>
      <w:r w:rsidRPr="005675B2">
        <w:rPr>
          <w:rFonts w:hint="cs"/>
          <w:u w:val="single"/>
          <w:rtl/>
        </w:rPr>
        <w:t>وقولك أن من قال</w:t>
      </w:r>
      <w:r w:rsidR="000636C2">
        <w:rPr>
          <w:rFonts w:hint="cs"/>
          <w:u w:val="single"/>
          <w:rtl/>
        </w:rPr>
        <w:t>:</w:t>
      </w:r>
      <w:r w:rsidRPr="005675B2">
        <w:rPr>
          <w:rFonts w:hint="cs"/>
          <w:u w:val="single"/>
          <w:rtl/>
        </w:rPr>
        <w:t>أنه تأويل أشبه بمن قال العين الباصرة أو قال العين عين الماء</w:t>
      </w:r>
      <w:r w:rsidR="000636C2">
        <w:rPr>
          <w:rFonts w:hint="cs"/>
          <w:u w:val="single"/>
          <w:rtl/>
        </w:rPr>
        <w:t xml:space="preserve">، </w:t>
      </w:r>
      <w:r w:rsidRPr="005675B2">
        <w:rPr>
          <w:rFonts w:hint="cs"/>
          <w:rtl/>
        </w:rPr>
        <w:t>فهذا باطل يا أخي هداك الله</w:t>
      </w:r>
      <w:r w:rsidR="000636C2">
        <w:rPr>
          <w:rFonts w:hint="cs"/>
          <w:rtl/>
        </w:rPr>
        <w:t>،</w:t>
      </w:r>
      <w:r w:rsidRPr="005675B2">
        <w:rPr>
          <w:rFonts w:hint="cs"/>
          <w:rtl/>
        </w:rPr>
        <w:t xml:space="preserve"> وهذا خلط بين ما يسمى في الاصطلاح باللفظ المشترك كالذي ضربت له مثلاً بالعين</w:t>
      </w:r>
      <w:r w:rsidR="000636C2">
        <w:rPr>
          <w:rFonts w:hint="cs"/>
          <w:rtl/>
        </w:rPr>
        <w:t>،</w:t>
      </w:r>
      <w:r w:rsidRPr="005675B2">
        <w:rPr>
          <w:rFonts w:hint="cs"/>
          <w:rtl/>
        </w:rPr>
        <w:t xml:space="preserve"> وبين مانحن بصدده</w:t>
      </w:r>
      <w:r w:rsidR="000636C2">
        <w:rPr>
          <w:rFonts w:hint="cs"/>
          <w:rtl/>
        </w:rPr>
        <w:t>،</w:t>
      </w:r>
      <w:r w:rsidRPr="005675B2">
        <w:rPr>
          <w:rFonts w:hint="cs"/>
          <w:rtl/>
        </w:rPr>
        <w:t xml:space="preserve"> وعزائي أن طلبة العلم يفهمون هذه المغالطة</w:t>
      </w:r>
      <w:r w:rsidR="000636C2">
        <w:rPr>
          <w:rFonts w:hint="cs"/>
          <w:rtl/>
        </w:rPr>
        <w:t>،</w:t>
      </w:r>
      <w:r>
        <w:rPr>
          <w:rFonts w:hint="cs"/>
          <w:rtl/>
        </w:rPr>
        <w:t xml:space="preserve"> </w:t>
      </w:r>
      <w:r w:rsidRPr="005675B2">
        <w:rPr>
          <w:rFonts w:hint="cs"/>
          <w:rtl/>
        </w:rPr>
        <w:t>والتأويل التفصيلي وإن كان عادة الخلف فقد ثبت أيضا عن غير واحد من أئمة ‏السلف</w:t>
      </w:r>
      <w:r w:rsidRPr="005675B2">
        <w:rPr>
          <w:rFonts w:hint="cs"/>
        </w:rPr>
        <w:t xml:space="preserve"> </w:t>
      </w:r>
      <w:r w:rsidRPr="005675B2">
        <w:rPr>
          <w:rFonts w:hint="cs"/>
          <w:rtl/>
        </w:rPr>
        <w:t>وأكابرهم كابن عباس من الصحابة, ومجاهد تلميذ ابن عباس من التابعين, ‏والإمام</w:t>
      </w:r>
      <w:r w:rsidRPr="005675B2">
        <w:rPr>
          <w:rFonts w:hint="cs"/>
        </w:rPr>
        <w:t xml:space="preserve"> </w:t>
      </w:r>
      <w:r w:rsidRPr="005675B2">
        <w:rPr>
          <w:rFonts w:hint="cs"/>
          <w:rtl/>
        </w:rPr>
        <w:t>أحمد</w:t>
      </w:r>
      <w:r w:rsidRPr="005675B2">
        <w:rPr>
          <w:rFonts w:hint="cs"/>
        </w:rPr>
        <w:t xml:space="preserve"> </w:t>
      </w:r>
      <w:r w:rsidRPr="005675B2">
        <w:rPr>
          <w:rFonts w:hint="cs"/>
          <w:rtl/>
        </w:rPr>
        <w:t>ممن جاء بعدهم, وكذلك</w:t>
      </w:r>
      <w:r w:rsidRPr="005675B2">
        <w:rPr>
          <w:rFonts w:hint="cs"/>
        </w:rPr>
        <w:t xml:space="preserve"> </w:t>
      </w:r>
      <w:r w:rsidRPr="005675B2">
        <w:rPr>
          <w:rFonts w:hint="cs"/>
          <w:rtl/>
        </w:rPr>
        <w:t>البخاري وغيره</w:t>
      </w:r>
      <w:r w:rsidR="000636C2">
        <w:rPr>
          <w:rFonts w:hint="cs"/>
          <w:rtl/>
        </w:rPr>
        <w:t>،</w:t>
      </w:r>
    </w:p>
    <w:p w14:paraId="6DFBB6A5" w14:textId="7A3F779F" w:rsidR="009C32A0" w:rsidRDefault="009C32A0" w:rsidP="000636C2">
      <w:pPr>
        <w:rPr>
          <w:b/>
          <w:rtl/>
        </w:rPr>
      </w:pPr>
      <w:r w:rsidRPr="005675B2">
        <w:rPr>
          <w:rFonts w:hint="cs"/>
          <w:rtl/>
        </w:rPr>
        <w:t>‏</w:t>
      </w:r>
      <w:r w:rsidRPr="001C2CCC">
        <w:rPr>
          <w:rFonts w:hint="cs"/>
          <w:bCs/>
          <w:rtl/>
        </w:rPr>
        <w:t>تأويل</w:t>
      </w:r>
      <w:r w:rsidR="000636C2">
        <w:rPr>
          <w:rFonts w:hint="cs"/>
          <w:bCs/>
          <w:rtl/>
        </w:rPr>
        <w:t xml:space="preserve"> </w:t>
      </w:r>
      <w:r w:rsidRPr="001C2CCC">
        <w:rPr>
          <w:rFonts w:hint="cs"/>
          <w:bCs/>
          <w:rtl/>
        </w:rPr>
        <w:t>مجاهد</w:t>
      </w:r>
      <w:r w:rsidR="000636C2">
        <w:rPr>
          <w:rFonts w:hint="cs"/>
          <w:rtl/>
        </w:rPr>
        <w:t>:</w:t>
      </w:r>
      <w:r>
        <w:rPr>
          <w:rFonts w:hint="cs"/>
          <w:rtl/>
        </w:rPr>
        <w:t xml:space="preserve"> </w:t>
      </w:r>
      <w:r w:rsidRPr="005675B2">
        <w:rPr>
          <w:rFonts w:hint="cs"/>
          <w:rtl/>
        </w:rPr>
        <w:t>فقد قال الحافظ البيهقي</w:t>
      </w:r>
      <w:r w:rsidR="000636C2">
        <w:rPr>
          <w:rFonts w:hint="cs"/>
          <w:rtl/>
        </w:rPr>
        <w:t>(</w:t>
      </w:r>
      <w:r w:rsidRPr="005675B2">
        <w:rPr>
          <w:rFonts w:hint="cs"/>
          <w:rtl/>
        </w:rPr>
        <w:t>12</w:t>
      </w:r>
      <w:r w:rsidR="000636C2">
        <w:rPr>
          <w:rFonts w:hint="cs"/>
          <w:rtl/>
        </w:rPr>
        <w:t>):{</w:t>
      </w:r>
      <w:r w:rsidRPr="005675B2">
        <w:rPr>
          <w:rFonts w:hint="cs"/>
          <w:rtl/>
        </w:rPr>
        <w:t>وأخبرنا أبو عبد الله الحافظ وأبو بكر ‏القاضي</w:t>
      </w:r>
      <w:r w:rsidRPr="005675B2">
        <w:rPr>
          <w:rFonts w:hint="cs"/>
        </w:rPr>
        <w:t xml:space="preserve"> </w:t>
      </w:r>
      <w:r w:rsidRPr="005675B2">
        <w:rPr>
          <w:rFonts w:hint="cs"/>
          <w:rtl/>
        </w:rPr>
        <w:t>قالا</w:t>
      </w:r>
      <w:r w:rsidR="000636C2">
        <w:rPr>
          <w:rFonts w:hint="cs"/>
          <w:rtl/>
        </w:rPr>
        <w:t>:</w:t>
      </w:r>
      <w:r w:rsidRPr="005675B2">
        <w:rPr>
          <w:rFonts w:hint="cs"/>
          <w:rtl/>
        </w:rPr>
        <w:t xml:space="preserve"> ثنا أبو العباس محمد ابن يعقوب, حدثنا الحسن بن علي بن عفان, ‏ثنا أبو أسامة</w:t>
      </w:r>
      <w:r w:rsidRPr="005675B2">
        <w:t xml:space="preserve">, </w:t>
      </w:r>
      <w:r w:rsidRPr="005675B2">
        <w:rPr>
          <w:rFonts w:hint="cs"/>
          <w:rtl/>
        </w:rPr>
        <w:t>عن النضر, عن مجاهد في قوله عز وجل</w:t>
      </w:r>
      <w:r w:rsidR="000636C2">
        <w:rPr>
          <w:rFonts w:hint="cs"/>
          <w:rtl/>
        </w:rPr>
        <w:t>:{</w:t>
      </w:r>
      <w:r w:rsidRPr="005675B2">
        <w:rPr>
          <w:rFonts w:hint="cs"/>
          <w:rtl/>
        </w:rPr>
        <w:t>فَأَيْنَمَا تُوَلُّواْ فَثَمَّ وَجْهُ</w:t>
      </w:r>
      <w:r w:rsidRPr="005675B2">
        <w:rPr>
          <w:rFonts w:hint="cs"/>
        </w:rPr>
        <w:t xml:space="preserve"> </w:t>
      </w:r>
      <w:r w:rsidRPr="005675B2">
        <w:rPr>
          <w:rFonts w:hint="cs"/>
          <w:rtl/>
        </w:rPr>
        <w:t>‏اللهِ}</w:t>
      </w:r>
      <w:r w:rsidR="000636C2">
        <w:rPr>
          <w:rFonts w:hint="cs"/>
          <w:rtl/>
        </w:rPr>
        <w:t>(</w:t>
      </w:r>
      <w:r w:rsidRPr="005675B2">
        <w:rPr>
          <w:rFonts w:hint="cs"/>
          <w:rtl/>
        </w:rPr>
        <w:t>115</w:t>
      </w:r>
      <w:r w:rsidR="000636C2">
        <w:rPr>
          <w:rFonts w:hint="cs"/>
          <w:rtl/>
        </w:rPr>
        <w:t>)[</w:t>
      </w:r>
      <w:r w:rsidRPr="005675B2">
        <w:rPr>
          <w:rFonts w:hint="cs"/>
          <w:rtl/>
        </w:rPr>
        <w:t>سورةالبقرة</w:t>
      </w:r>
      <w:r w:rsidR="000636C2">
        <w:rPr>
          <w:rFonts w:hint="cs"/>
          <w:rtl/>
        </w:rPr>
        <w:t>]</w:t>
      </w:r>
      <w:r w:rsidRPr="005675B2">
        <w:rPr>
          <w:rFonts w:hint="cs"/>
          <w:rtl/>
        </w:rPr>
        <w:t xml:space="preserve"> قال</w:t>
      </w:r>
      <w:r w:rsidR="000636C2">
        <w:rPr>
          <w:rFonts w:hint="cs"/>
          <w:rtl/>
        </w:rPr>
        <w:t>:</w:t>
      </w:r>
      <w:r w:rsidRPr="005675B2">
        <w:rPr>
          <w:rFonts w:hint="cs"/>
          <w:rtl/>
        </w:rPr>
        <w:t xml:space="preserve"> قِبلة الله, فأينما كنت في شرق أو غرب فلا توجهن إلا</w:t>
      </w:r>
      <w:r w:rsidRPr="005675B2">
        <w:rPr>
          <w:rFonts w:hint="cs"/>
        </w:rPr>
        <w:t xml:space="preserve"> </w:t>
      </w:r>
      <w:r w:rsidRPr="005675B2">
        <w:rPr>
          <w:rFonts w:hint="cs"/>
          <w:rtl/>
        </w:rPr>
        <w:t>‏إليها</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Pr>
          <w:rFonts w:hint="cs"/>
          <w:rtl/>
        </w:rPr>
        <w:t xml:space="preserve"> </w:t>
      </w:r>
      <w:r w:rsidRPr="005675B2">
        <w:rPr>
          <w:rFonts w:hint="cs"/>
          <w:rtl/>
        </w:rPr>
        <w:t>وورد أيضا التأويل عن</w:t>
      </w:r>
      <w:r w:rsidRPr="005675B2">
        <w:rPr>
          <w:rFonts w:hint="cs"/>
        </w:rPr>
        <w:t xml:space="preserve"> </w:t>
      </w:r>
      <w:r w:rsidRPr="005675B2">
        <w:rPr>
          <w:rFonts w:hint="cs"/>
          <w:rtl/>
        </w:rPr>
        <w:t>الإمام</w:t>
      </w:r>
      <w:r w:rsidRPr="005675B2">
        <w:rPr>
          <w:rFonts w:hint="cs"/>
        </w:rPr>
        <w:t xml:space="preserve"> </w:t>
      </w:r>
      <w:r w:rsidRPr="005675B2">
        <w:rPr>
          <w:rFonts w:hint="cs"/>
          <w:rtl/>
        </w:rPr>
        <w:t>مالك فقد نقل</w:t>
      </w:r>
      <w:r w:rsidRPr="005675B2">
        <w:rPr>
          <w:rFonts w:hint="cs"/>
        </w:rPr>
        <w:t xml:space="preserve"> </w:t>
      </w:r>
      <w:r w:rsidRPr="005675B2">
        <w:rPr>
          <w:rFonts w:hint="cs"/>
          <w:rtl/>
        </w:rPr>
        <w:t>الزرقاني</w:t>
      </w:r>
      <w:r w:rsidR="000636C2">
        <w:rPr>
          <w:rFonts w:hint="cs"/>
          <w:rtl/>
        </w:rPr>
        <w:t>(</w:t>
      </w:r>
      <w:r w:rsidRPr="005675B2">
        <w:rPr>
          <w:rFonts w:hint="cs"/>
          <w:rtl/>
        </w:rPr>
        <w:t>16</w:t>
      </w:r>
      <w:r w:rsidR="000636C2">
        <w:rPr>
          <w:rFonts w:hint="cs"/>
          <w:rtl/>
        </w:rPr>
        <w:t>)</w:t>
      </w:r>
      <w:r w:rsidRPr="005675B2">
        <w:rPr>
          <w:rFonts w:hint="cs"/>
          <w:rtl/>
        </w:rPr>
        <w:t xml:space="preserve"> عن أبي بكر بن ‏العربي أنه قال في حديث</w:t>
      </w:r>
      <w:r w:rsidR="000636C2">
        <w:rPr>
          <w:rFonts w:hint="cs"/>
          <w:rtl/>
        </w:rPr>
        <w:t>:{</w:t>
      </w:r>
      <w:r w:rsidRPr="005675B2">
        <w:rPr>
          <w:rFonts w:hint="cs"/>
          <w:rtl/>
        </w:rPr>
        <w:t>ينزل ربنا}</w:t>
      </w:r>
      <w:r w:rsidR="000636C2">
        <w:rPr>
          <w:rFonts w:hint="cs"/>
          <w:rtl/>
        </w:rPr>
        <w:t>:{</w:t>
      </w:r>
      <w:r w:rsidRPr="005675B2">
        <w:rPr>
          <w:rFonts w:hint="cs"/>
          <w:rtl/>
        </w:rPr>
        <w:t>النزول راجع</w:t>
      </w:r>
      <w:r w:rsidRPr="005675B2">
        <w:rPr>
          <w:rFonts w:hint="cs"/>
        </w:rPr>
        <w:t xml:space="preserve"> </w:t>
      </w:r>
      <w:r w:rsidRPr="005675B2">
        <w:rPr>
          <w:rFonts w:hint="cs"/>
          <w:rtl/>
        </w:rPr>
        <w:t>إلى أفعاله لا إلى ذاته, ‏بل ذلك عبارة عن مَلَكِهِ الذي ينزل بأمره ونهيه</w:t>
      </w:r>
      <w:r w:rsidR="000636C2">
        <w:rPr>
          <w:rFonts w:hint="cs"/>
          <w:rtl/>
        </w:rPr>
        <w:t>،</w:t>
      </w:r>
      <w:r w:rsidRPr="005675B2">
        <w:rPr>
          <w:rFonts w:hint="cs"/>
          <w:rtl/>
        </w:rPr>
        <w:t xml:space="preserve"> فالنزول</w:t>
      </w:r>
      <w:r w:rsidRPr="005675B2">
        <w:rPr>
          <w:rFonts w:hint="cs"/>
        </w:rPr>
        <w:t xml:space="preserve"> </w:t>
      </w:r>
      <w:r w:rsidRPr="005675B2">
        <w:rPr>
          <w:rFonts w:hint="cs"/>
          <w:rtl/>
        </w:rPr>
        <w:t>حسيّ صفة الملك المبعوث ‏بذلك, أو معنوي بمعنى لم يفعل ثم فعل, فسمى ذلك نزولا عن</w:t>
      </w:r>
      <w:r w:rsidRPr="005675B2">
        <w:rPr>
          <w:rFonts w:hint="cs"/>
        </w:rPr>
        <w:t xml:space="preserve"> </w:t>
      </w:r>
      <w:r w:rsidRPr="005675B2">
        <w:rPr>
          <w:rFonts w:hint="cs"/>
          <w:rtl/>
        </w:rPr>
        <w:t>مرتبة إلى مرتبة, فهي ‏عربية صحيحة</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000636C2">
        <w:rPr>
          <w:rFonts w:hint="cs"/>
          <w:rtl/>
        </w:rPr>
        <w:t xml:space="preserve"> </w:t>
      </w:r>
      <w:r w:rsidRPr="005675B2">
        <w:rPr>
          <w:rFonts w:hint="cs"/>
          <w:rtl/>
        </w:rPr>
        <w:t>وإن كان له في سنده من انتقده أهل العلم</w:t>
      </w:r>
      <w:r w:rsidR="000636C2">
        <w:rPr>
          <w:rFonts w:hint="cs"/>
          <w:rtl/>
        </w:rPr>
        <w:t>،</w:t>
      </w:r>
      <w:r w:rsidRPr="005675B2">
        <w:rPr>
          <w:rFonts w:hint="cs"/>
          <w:rtl/>
        </w:rPr>
        <w:t xml:space="preserve"> ولكن قد استفاض نقله عند علماء مذهبه كابن عبدالبر</w:t>
      </w:r>
      <w:r w:rsidR="000636C2">
        <w:rPr>
          <w:rFonts w:hint="cs"/>
          <w:rtl/>
        </w:rPr>
        <w:t>،</w:t>
      </w:r>
      <w:r w:rsidRPr="005675B2">
        <w:rPr>
          <w:rFonts w:hint="cs"/>
          <w:rtl/>
        </w:rPr>
        <w:t>وابن رشد</w:t>
      </w:r>
      <w:r w:rsidR="000636C2">
        <w:rPr>
          <w:rFonts w:hint="cs"/>
          <w:rtl/>
        </w:rPr>
        <w:t>،</w:t>
      </w:r>
      <w:r w:rsidRPr="005675B2">
        <w:rPr>
          <w:rFonts w:hint="cs"/>
          <w:rtl/>
        </w:rPr>
        <w:t xml:space="preserve"> والقرطبي وغيرهم من المالكية وارتضوه رحمهم الله تعالى</w:t>
      </w:r>
      <w:r w:rsidR="000636C2">
        <w:rPr>
          <w:rFonts w:hint="cs"/>
          <w:rtl/>
        </w:rPr>
        <w:t>،</w:t>
      </w:r>
      <w:r w:rsidRPr="005675B2">
        <w:rPr>
          <w:rFonts w:hint="cs"/>
          <w:rtl/>
        </w:rPr>
        <w:t xml:space="preserve"> قال الحافظ ابن حجر في شرح</w:t>
      </w:r>
      <w:r w:rsidRPr="005675B2">
        <w:rPr>
          <w:rFonts w:hint="cs"/>
        </w:rPr>
        <w:t xml:space="preserve"> </w:t>
      </w:r>
      <w:r w:rsidRPr="005675B2">
        <w:rPr>
          <w:rFonts w:hint="cs"/>
          <w:rtl/>
        </w:rPr>
        <w:t>البخاري</w:t>
      </w:r>
      <w:r w:rsidR="000636C2">
        <w:rPr>
          <w:rFonts w:hint="cs"/>
          <w:rtl/>
        </w:rPr>
        <w:t xml:space="preserve">: </w:t>
      </w:r>
      <w:r w:rsidRPr="005675B2">
        <w:rPr>
          <w:rFonts w:hint="cs"/>
          <w:rtl/>
        </w:rPr>
        <w:t>وقال ابن العربي</w:t>
      </w:r>
      <w:r w:rsidR="000636C2">
        <w:rPr>
          <w:rFonts w:hint="cs"/>
          <w:rtl/>
        </w:rPr>
        <w:t>:</w:t>
      </w:r>
      <w:r w:rsidRPr="005675B2">
        <w:rPr>
          <w:rFonts w:hint="cs"/>
          <w:rtl/>
        </w:rPr>
        <w:t xml:space="preserve"> حكي عن المبتدعة ‏ردّ هذه الأحاديث, وعن السلف</w:t>
      </w:r>
      <w:r w:rsidRPr="005675B2">
        <w:rPr>
          <w:rFonts w:hint="cs"/>
        </w:rPr>
        <w:t xml:space="preserve"> </w:t>
      </w:r>
      <w:r w:rsidRPr="005675B2">
        <w:rPr>
          <w:rFonts w:hint="cs"/>
          <w:rtl/>
        </w:rPr>
        <w:t>إمرارها, وعن قوم تأويلها وبه أقول</w:t>
      </w:r>
      <w:r w:rsidR="000636C2">
        <w:rPr>
          <w:rFonts w:hint="cs"/>
          <w:rtl/>
        </w:rPr>
        <w:t>،</w:t>
      </w:r>
      <w:r w:rsidRPr="005675B2">
        <w:rPr>
          <w:rFonts w:hint="cs"/>
          <w:rtl/>
        </w:rPr>
        <w:t xml:space="preserve"> فأما ‏قوله</w:t>
      </w:r>
      <w:r w:rsidR="000636C2">
        <w:rPr>
          <w:rFonts w:hint="cs"/>
          <w:rtl/>
        </w:rPr>
        <w:t>:{</w:t>
      </w:r>
      <w:r w:rsidRPr="005675B2">
        <w:rPr>
          <w:rFonts w:hint="cs"/>
          <w:rtl/>
        </w:rPr>
        <w:t>ينزل} فهو راجع إلى أفعاله لا إلى</w:t>
      </w:r>
      <w:r w:rsidRPr="005675B2">
        <w:rPr>
          <w:rFonts w:hint="cs"/>
        </w:rPr>
        <w:t xml:space="preserve"> </w:t>
      </w:r>
      <w:r w:rsidRPr="005675B2">
        <w:rPr>
          <w:rFonts w:hint="cs"/>
          <w:rtl/>
        </w:rPr>
        <w:t>ذاته, بل ذلك عبارة عن مَلَكِهِ الذي ‏ينزل بأمره ونهيه, والنزول كما يكون في</w:t>
      </w:r>
      <w:r w:rsidRPr="005675B2">
        <w:rPr>
          <w:rFonts w:hint="cs"/>
        </w:rPr>
        <w:t xml:space="preserve"> </w:t>
      </w:r>
      <w:r w:rsidRPr="005675B2">
        <w:rPr>
          <w:rFonts w:hint="cs"/>
          <w:rtl/>
        </w:rPr>
        <w:t>الأجسام يكون في المعاني, فإن حملته في ‏الحديث على الحسي فتلك صفة المَلَك المبعوث</w:t>
      </w:r>
      <w:r w:rsidRPr="005675B2">
        <w:rPr>
          <w:rFonts w:hint="cs"/>
        </w:rPr>
        <w:t xml:space="preserve"> </w:t>
      </w:r>
      <w:r w:rsidRPr="005675B2">
        <w:rPr>
          <w:rFonts w:hint="cs"/>
          <w:rtl/>
        </w:rPr>
        <w:t>بذلك, وإن حملته على المعنوي بمعنى أنه لم ‏يفعل ثم فعل فيسمى ذلك نزولا عن مرتبة</w:t>
      </w:r>
      <w:r w:rsidRPr="005675B2">
        <w:rPr>
          <w:rFonts w:hint="cs"/>
        </w:rPr>
        <w:t xml:space="preserve"> </w:t>
      </w:r>
      <w:r w:rsidRPr="005675B2">
        <w:rPr>
          <w:rFonts w:hint="cs"/>
          <w:rtl/>
        </w:rPr>
        <w:t>إلى مرتبة, فهي عربية صحيحة انتهى</w:t>
      </w:r>
      <w:r w:rsidR="000636C2">
        <w:rPr>
          <w:rFonts w:hint="cs"/>
          <w:rtl/>
        </w:rPr>
        <w:t>،</w:t>
      </w:r>
      <w:r w:rsidRPr="005675B2">
        <w:rPr>
          <w:rFonts w:hint="cs"/>
          <w:rtl/>
        </w:rPr>
        <w:t xml:space="preserve"> ‏والحاصل أنه تأوّله بوجهين</w:t>
      </w:r>
      <w:r w:rsidR="000636C2">
        <w:rPr>
          <w:rFonts w:hint="cs"/>
          <w:rtl/>
        </w:rPr>
        <w:t>:</w:t>
      </w:r>
      <w:r w:rsidRPr="005675B2">
        <w:rPr>
          <w:rFonts w:hint="cs"/>
          <w:rtl/>
        </w:rPr>
        <w:t xml:space="preserve"> إما بأن المعنى</w:t>
      </w:r>
      <w:r w:rsidRPr="005675B2">
        <w:rPr>
          <w:rFonts w:hint="cs"/>
        </w:rPr>
        <w:t xml:space="preserve"> </w:t>
      </w:r>
      <w:r w:rsidRPr="005675B2">
        <w:rPr>
          <w:rFonts w:hint="cs"/>
          <w:rtl/>
        </w:rPr>
        <w:t>ينزل أمره أو المَلَك بأمره, وإما بأنه ‏استعارة بمعنى التلطّف بالداعين والإجابة</w:t>
      </w:r>
      <w:r w:rsidRPr="005675B2">
        <w:rPr>
          <w:rFonts w:hint="cs"/>
        </w:rPr>
        <w:t xml:space="preserve"> </w:t>
      </w:r>
      <w:r w:rsidRPr="005675B2">
        <w:rPr>
          <w:rFonts w:hint="cs"/>
          <w:rtl/>
        </w:rPr>
        <w:t>لهم ونحوه</w:t>
      </w:r>
      <w:r w:rsidR="000636C2">
        <w:rPr>
          <w:rFonts w:hint="cs"/>
          <w:rtl/>
        </w:rPr>
        <w:t>،</w:t>
      </w:r>
      <w:r w:rsidRPr="005675B2">
        <w:rPr>
          <w:rFonts w:hint="cs"/>
          <w:rtl/>
        </w:rPr>
        <w:t xml:space="preserve"> انتهى كلام الحافظ, وكذا حكي ‏عن مالك أنه أوّله بنزول رحمته وأمره أو</w:t>
      </w:r>
      <w:r w:rsidRPr="005675B2">
        <w:rPr>
          <w:rFonts w:hint="cs"/>
        </w:rPr>
        <w:t xml:space="preserve"> </w:t>
      </w:r>
      <w:r w:rsidRPr="005675B2">
        <w:rPr>
          <w:rFonts w:hint="cs"/>
          <w:rtl/>
        </w:rPr>
        <w:t>ملائكته كما يقال فعل المَلِك كذا أي ‏أتباعه بأمره</w:t>
      </w:r>
      <w:r w:rsidR="000636C2">
        <w:rPr>
          <w:rFonts w:hint="cs"/>
          <w:rtl/>
        </w:rPr>
        <w:t>،</w:t>
      </w:r>
      <w:r w:rsidRPr="005675B2">
        <w:rPr>
          <w:rFonts w:hint="cs"/>
          <w:rtl/>
        </w:rPr>
        <w:t xml:space="preserve"> ‏‏ وقد ورد أيضا عن</w:t>
      </w:r>
      <w:r w:rsidRPr="005675B2">
        <w:rPr>
          <w:rFonts w:hint="cs"/>
        </w:rPr>
        <w:t xml:space="preserve"> </w:t>
      </w:r>
      <w:r w:rsidRPr="005675B2">
        <w:rPr>
          <w:rFonts w:hint="cs"/>
          <w:rtl/>
        </w:rPr>
        <w:t>الإمام</w:t>
      </w:r>
      <w:r w:rsidRPr="005675B2">
        <w:rPr>
          <w:rFonts w:hint="cs"/>
        </w:rPr>
        <w:t xml:space="preserve"> </w:t>
      </w:r>
      <w:r w:rsidRPr="005675B2">
        <w:rPr>
          <w:rFonts w:hint="cs"/>
          <w:rtl/>
        </w:rPr>
        <w:t>البخاري فقد روى في</w:t>
      </w:r>
      <w:r w:rsidRPr="005675B2">
        <w:rPr>
          <w:rFonts w:hint="cs"/>
        </w:rPr>
        <w:t xml:space="preserve"> </w:t>
      </w:r>
      <w:r w:rsidRPr="005675B2">
        <w:rPr>
          <w:rFonts w:hint="cs"/>
          <w:rtl/>
        </w:rPr>
        <w:t>صحيحه</w:t>
      </w:r>
      <w:r w:rsidR="000636C2">
        <w:rPr>
          <w:rFonts w:hint="cs"/>
          <w:rtl/>
        </w:rPr>
        <w:t>(</w:t>
      </w:r>
      <w:r w:rsidRPr="005675B2">
        <w:rPr>
          <w:rFonts w:hint="cs"/>
          <w:rtl/>
        </w:rPr>
        <w:t>19</w:t>
      </w:r>
      <w:r w:rsidR="000636C2">
        <w:rPr>
          <w:rFonts w:hint="cs"/>
          <w:rtl/>
        </w:rPr>
        <w:t>)</w:t>
      </w:r>
      <w:r w:rsidRPr="005675B2">
        <w:rPr>
          <w:rFonts w:hint="cs"/>
          <w:rtl/>
        </w:rPr>
        <w:t xml:space="preserve"> عند قوله تعالى</w:t>
      </w:r>
      <w:r w:rsidR="000636C2">
        <w:rPr>
          <w:rFonts w:hint="cs"/>
          <w:rtl/>
        </w:rPr>
        <w:t>:{</w:t>
      </w:r>
      <w:r w:rsidRPr="005675B2">
        <w:rPr>
          <w:rFonts w:hint="cs"/>
          <w:rtl/>
        </w:rPr>
        <w:t>كُلُّ ‏شيء هَالِكٌ إِلاَّ وَجْهَهُ</w:t>
      </w:r>
      <w:r w:rsidR="000636C2">
        <w:rPr>
          <w:rFonts w:hint="cs"/>
          <w:rtl/>
        </w:rPr>
        <w:t>}</w:t>
      </w:r>
      <w:r w:rsidRPr="005675B2">
        <w:rPr>
          <w:rFonts w:hint="cs"/>
          <w:rtl/>
        </w:rPr>
        <w:t>قال البخاري</w:t>
      </w:r>
      <w:r w:rsidR="000636C2">
        <w:rPr>
          <w:rFonts w:hint="cs"/>
          <w:rtl/>
        </w:rPr>
        <w:t>:{</w:t>
      </w:r>
      <w:r w:rsidRPr="005675B2">
        <w:rPr>
          <w:rFonts w:hint="cs"/>
          <w:rtl/>
        </w:rPr>
        <w:t>إلا مُلكه, ويقال</w:t>
      </w:r>
      <w:r w:rsidR="000636C2">
        <w:rPr>
          <w:rFonts w:hint="cs"/>
          <w:rtl/>
        </w:rPr>
        <w:t>:</w:t>
      </w:r>
      <w:r w:rsidRPr="005675B2">
        <w:rPr>
          <w:rFonts w:hint="cs"/>
          <w:rtl/>
        </w:rPr>
        <w:t xml:space="preserve"> إلا ما أُريد ‏به وجه الله .. أهـ</w:t>
      </w:r>
      <w:r w:rsidR="000636C2">
        <w:rPr>
          <w:rFonts w:hint="cs"/>
          <w:rtl/>
        </w:rPr>
        <w:t>،</w:t>
      </w:r>
      <w:r w:rsidRPr="005675B2">
        <w:rPr>
          <w:rFonts w:hint="cs"/>
          <w:rtl/>
        </w:rPr>
        <w:t xml:space="preserve"> ‏وروى أيضا عن أبي هريرة رضي الله عنه</w:t>
      </w:r>
      <w:r w:rsidR="000636C2">
        <w:rPr>
          <w:rFonts w:hint="cs"/>
          <w:rtl/>
        </w:rPr>
        <w:t>:{</w:t>
      </w:r>
      <w:r w:rsidRPr="005675B2">
        <w:rPr>
          <w:rFonts w:hint="cs"/>
          <w:rtl/>
        </w:rPr>
        <w:t>أن رجلاً أتى النبي صلى الله</w:t>
      </w:r>
      <w:r w:rsidRPr="005675B2">
        <w:rPr>
          <w:rFonts w:hint="cs"/>
        </w:rPr>
        <w:t xml:space="preserve"> </w:t>
      </w:r>
      <w:r w:rsidRPr="005675B2">
        <w:rPr>
          <w:rFonts w:hint="cs"/>
          <w:rtl/>
        </w:rPr>
        <w:t>عليه ‏وسلم فبعث إلى نسائه فقلن</w:t>
      </w:r>
      <w:r w:rsidR="000636C2">
        <w:rPr>
          <w:rFonts w:hint="cs"/>
          <w:rtl/>
        </w:rPr>
        <w:t>:</w:t>
      </w:r>
      <w:r w:rsidRPr="005675B2">
        <w:rPr>
          <w:rFonts w:hint="cs"/>
          <w:rtl/>
        </w:rPr>
        <w:t xml:space="preserve"> ما معنا إلا الماء, فقال رسول الله صلى الله عليه</w:t>
      </w:r>
      <w:r w:rsidRPr="005675B2">
        <w:rPr>
          <w:rFonts w:hint="cs"/>
        </w:rPr>
        <w:t xml:space="preserve"> </w:t>
      </w:r>
      <w:r w:rsidRPr="005675B2">
        <w:rPr>
          <w:rFonts w:hint="cs"/>
          <w:rtl/>
        </w:rPr>
        <w:t>‏وسلم</w:t>
      </w:r>
      <w:r w:rsidR="000636C2">
        <w:rPr>
          <w:rFonts w:hint="cs"/>
          <w:rtl/>
        </w:rPr>
        <w:t>:{</w:t>
      </w:r>
      <w:r w:rsidRPr="005675B2">
        <w:rPr>
          <w:rFonts w:hint="cs"/>
          <w:rtl/>
        </w:rPr>
        <w:t>من يضم}, أو</w:t>
      </w:r>
      <w:r w:rsidR="000636C2">
        <w:rPr>
          <w:rFonts w:hint="cs"/>
          <w:rtl/>
        </w:rPr>
        <w:t>:</w:t>
      </w:r>
      <w:r>
        <w:rPr>
          <w:rFonts w:hint="cs"/>
          <w:rtl/>
        </w:rPr>
        <w:t xml:space="preserve"> </w:t>
      </w:r>
      <w:r w:rsidR="000636C2">
        <w:rPr>
          <w:rFonts w:hint="cs"/>
          <w:rtl/>
        </w:rPr>
        <w:t>{</w:t>
      </w:r>
      <w:r w:rsidRPr="005675B2">
        <w:rPr>
          <w:rFonts w:hint="cs"/>
          <w:rtl/>
        </w:rPr>
        <w:t>يضيف هذا</w:t>
      </w:r>
      <w:r w:rsidR="000636C2">
        <w:rPr>
          <w:rFonts w:hint="cs"/>
          <w:rtl/>
        </w:rPr>
        <w:t>؟</w:t>
      </w:r>
      <w:r w:rsidRPr="005675B2">
        <w:rPr>
          <w:rFonts w:hint="cs"/>
          <w:rtl/>
        </w:rPr>
        <w:t>} فقال رجل من الأنصار</w:t>
      </w:r>
      <w:r w:rsidR="000636C2">
        <w:rPr>
          <w:rFonts w:hint="cs"/>
          <w:rtl/>
        </w:rPr>
        <w:t>:</w:t>
      </w:r>
      <w:r w:rsidRPr="005675B2">
        <w:rPr>
          <w:rFonts w:hint="cs"/>
          <w:rtl/>
        </w:rPr>
        <w:t xml:space="preserve"> أنا .. الحديث إلى أن قال</w:t>
      </w:r>
      <w:r w:rsidR="000636C2">
        <w:rPr>
          <w:rFonts w:hint="cs"/>
          <w:rtl/>
        </w:rPr>
        <w:t>:</w:t>
      </w:r>
      <w:r w:rsidRPr="005675B2">
        <w:rPr>
          <w:rFonts w:hint="cs"/>
          <w:rtl/>
        </w:rPr>
        <w:t xml:space="preserve"> فلما أصبح غدا إلى رسول الله ‏صلى الله عليه وسلم</w:t>
      </w:r>
      <w:r w:rsidRPr="005675B2">
        <w:rPr>
          <w:rFonts w:hint="cs"/>
        </w:rPr>
        <w:t xml:space="preserve"> </w:t>
      </w:r>
      <w:r w:rsidRPr="005675B2">
        <w:rPr>
          <w:rFonts w:hint="cs"/>
          <w:rtl/>
        </w:rPr>
        <w:t>فقال</w:t>
      </w:r>
      <w:r w:rsidR="000636C2">
        <w:rPr>
          <w:rFonts w:hint="cs"/>
          <w:rtl/>
        </w:rPr>
        <w:t>:{</w:t>
      </w:r>
      <w:r w:rsidRPr="005675B2">
        <w:rPr>
          <w:rFonts w:hint="cs"/>
          <w:rtl/>
        </w:rPr>
        <w:t>ضحك الله الليلة}, أو</w:t>
      </w:r>
      <w:r w:rsidR="000636C2">
        <w:rPr>
          <w:rFonts w:hint="cs"/>
          <w:rtl/>
        </w:rPr>
        <w:t>:{</w:t>
      </w:r>
      <w:r w:rsidRPr="005675B2">
        <w:rPr>
          <w:rFonts w:hint="cs"/>
          <w:rtl/>
        </w:rPr>
        <w:t>عجب من فعالكما}</w:t>
      </w:r>
      <w:r w:rsidR="000636C2">
        <w:rPr>
          <w:rFonts w:hint="cs"/>
          <w:rtl/>
        </w:rPr>
        <w:t>،</w:t>
      </w:r>
      <w:r w:rsidRPr="005675B2">
        <w:rPr>
          <w:rFonts w:hint="cs"/>
          <w:rtl/>
        </w:rPr>
        <w:t xml:space="preserve"> فأنزل ‏الله</w:t>
      </w:r>
      <w:r w:rsidR="000636C2">
        <w:rPr>
          <w:rFonts w:hint="cs"/>
          <w:rtl/>
        </w:rPr>
        <w:t>:{</w:t>
      </w:r>
      <w:r w:rsidRPr="005675B2">
        <w:rPr>
          <w:rFonts w:hint="cs"/>
          <w:rtl/>
        </w:rPr>
        <w:t>وَيُؤْثِرُونَ عَلَى</w:t>
      </w:r>
      <w:r w:rsidRPr="005675B2">
        <w:rPr>
          <w:rFonts w:hint="cs"/>
        </w:rPr>
        <w:t xml:space="preserve"> </w:t>
      </w:r>
      <w:r w:rsidRPr="005675B2">
        <w:rPr>
          <w:rFonts w:hint="cs"/>
          <w:rtl/>
        </w:rPr>
        <w:t>أَنفُسِهِمْ وَلَوْ كَانَ بِهِمْ خَصَاصَةٌ وَمَن يُوقَ شُحَّ نَفْسِهِ</w:t>
      </w:r>
      <w:r w:rsidRPr="005675B2">
        <w:rPr>
          <w:rFonts w:hint="cs"/>
        </w:rPr>
        <w:t xml:space="preserve"> </w:t>
      </w:r>
      <w:r w:rsidRPr="005675B2">
        <w:rPr>
          <w:rFonts w:hint="cs"/>
          <w:rtl/>
        </w:rPr>
        <w:t>فَأُوْلَئِكَ هُمُ الْمُفْلِحُونَ</w:t>
      </w:r>
      <w:r w:rsidR="000636C2">
        <w:rPr>
          <w:rFonts w:hint="cs"/>
          <w:rtl/>
        </w:rPr>
        <w:t>}(</w:t>
      </w:r>
      <w:r w:rsidRPr="005675B2">
        <w:rPr>
          <w:rFonts w:hint="cs"/>
          <w:rtl/>
        </w:rPr>
        <w:t>9</w:t>
      </w:r>
      <w:r w:rsidR="000636C2">
        <w:rPr>
          <w:rFonts w:hint="cs"/>
          <w:rtl/>
        </w:rPr>
        <w:t>)[</w:t>
      </w:r>
      <w:r w:rsidRPr="005675B2">
        <w:rPr>
          <w:rFonts w:hint="cs"/>
          <w:rtl/>
        </w:rPr>
        <w:t>سورة الحشر</w:t>
      </w:r>
      <w:r w:rsidR="000636C2">
        <w:rPr>
          <w:rFonts w:hint="cs"/>
          <w:rtl/>
        </w:rPr>
        <w:t>]،</w:t>
      </w:r>
      <w:r w:rsidRPr="005675B2">
        <w:rPr>
          <w:rFonts w:hint="cs"/>
          <w:rtl/>
        </w:rPr>
        <w:t xml:space="preserve"> ‏ قال الحافظ ابن</w:t>
      </w:r>
      <w:r w:rsidRPr="005675B2">
        <w:rPr>
          <w:rFonts w:hint="cs"/>
        </w:rPr>
        <w:t xml:space="preserve"> </w:t>
      </w:r>
      <w:r w:rsidRPr="005675B2">
        <w:rPr>
          <w:rFonts w:hint="cs"/>
          <w:rtl/>
        </w:rPr>
        <w:t>حجر</w:t>
      </w:r>
      <w:r w:rsidR="000636C2">
        <w:rPr>
          <w:rFonts w:hint="cs"/>
          <w:rtl/>
        </w:rPr>
        <w:t xml:space="preserve">: </w:t>
      </w:r>
      <w:r w:rsidRPr="005675B2">
        <w:rPr>
          <w:rFonts w:hint="cs"/>
          <w:rtl/>
        </w:rPr>
        <w:t>ونسبة الضحك والتعجّب إلى الله مجازية والمراد بهما ‏الرضا</w:t>
      </w:r>
      <w:r w:rsidRPr="005675B2">
        <w:rPr>
          <w:rFonts w:hint="cs"/>
        </w:rPr>
        <w:t xml:space="preserve"> </w:t>
      </w:r>
      <w:r w:rsidRPr="005675B2">
        <w:rPr>
          <w:rFonts w:hint="cs"/>
          <w:rtl/>
        </w:rPr>
        <w:t>بصنيعهما</w:t>
      </w:r>
      <w:r w:rsidR="000636C2">
        <w:rPr>
          <w:rFonts w:hint="cs"/>
          <w:rtl/>
        </w:rPr>
        <w:t xml:space="preserve"> </w:t>
      </w:r>
      <w:r w:rsidRPr="005675B2">
        <w:rPr>
          <w:rFonts w:hint="cs"/>
          <w:rtl/>
        </w:rPr>
        <w:t>-</w:t>
      </w:r>
      <w:r w:rsidR="000636C2">
        <w:rPr>
          <w:rFonts w:hint="cs"/>
          <w:rtl/>
        </w:rPr>
        <w:t>،</w:t>
      </w:r>
      <w:r w:rsidRPr="005675B2">
        <w:rPr>
          <w:rFonts w:hint="cs"/>
          <w:rtl/>
        </w:rPr>
        <w:t xml:space="preserve"> ‏</w:t>
      </w:r>
      <w:r w:rsidRPr="005675B2">
        <w:rPr>
          <w:rFonts w:hint="cs"/>
          <w:u w:val="single"/>
          <w:rtl/>
        </w:rPr>
        <w:t>وأوّل البخاري الضحك الوارد في الحديث بالرحمة</w:t>
      </w:r>
      <w:r w:rsidRPr="005675B2">
        <w:rPr>
          <w:rFonts w:hint="cs"/>
          <w:rtl/>
        </w:rPr>
        <w:t xml:space="preserve"> نقل ذلك</w:t>
      </w:r>
      <w:r w:rsidRPr="005675B2">
        <w:rPr>
          <w:rFonts w:hint="cs"/>
        </w:rPr>
        <w:t xml:space="preserve"> </w:t>
      </w:r>
      <w:r w:rsidRPr="005675B2">
        <w:rPr>
          <w:rFonts w:hint="cs"/>
          <w:rtl/>
        </w:rPr>
        <w:t>عنه الخطابي</w:t>
      </w:r>
      <w:r w:rsidR="000636C2">
        <w:rPr>
          <w:rFonts w:hint="cs"/>
          <w:rtl/>
        </w:rPr>
        <w:t xml:space="preserve"> </w:t>
      </w:r>
      <w:r w:rsidRPr="005675B2">
        <w:rPr>
          <w:rFonts w:hint="cs"/>
          <w:rtl/>
        </w:rPr>
        <w:t>‏فقال</w:t>
      </w:r>
      <w:r w:rsidR="000636C2">
        <w:rPr>
          <w:rFonts w:hint="cs"/>
          <w:rtl/>
        </w:rPr>
        <w:t xml:space="preserve">: </w:t>
      </w:r>
      <w:r w:rsidRPr="005675B2">
        <w:rPr>
          <w:rFonts w:hint="cs"/>
          <w:u w:val="single"/>
          <w:rtl/>
        </w:rPr>
        <w:t>وقد تأوّل البخاري الضحك في موضع آخر على معنى الرحمة</w:t>
      </w:r>
      <w:r w:rsidR="000636C2">
        <w:rPr>
          <w:rFonts w:hint="cs"/>
          <w:u w:val="single"/>
          <w:rtl/>
        </w:rPr>
        <w:t>،</w:t>
      </w:r>
      <w:r>
        <w:rPr>
          <w:rFonts w:hint="cs"/>
          <w:u w:val="single"/>
          <w:rtl/>
        </w:rPr>
        <w:t xml:space="preserve"> و</w:t>
      </w:r>
      <w:r w:rsidRPr="005675B2">
        <w:rPr>
          <w:rFonts w:hint="cs"/>
          <w:u w:val="single"/>
          <w:rtl/>
        </w:rPr>
        <w:t>هو</w:t>
      </w:r>
      <w:r w:rsidRPr="005675B2">
        <w:rPr>
          <w:rFonts w:hint="cs"/>
          <w:u w:val="single"/>
        </w:rPr>
        <w:t xml:space="preserve"> </w:t>
      </w:r>
      <w:r w:rsidRPr="005675B2">
        <w:rPr>
          <w:rFonts w:hint="cs"/>
          <w:u w:val="single"/>
          <w:rtl/>
        </w:rPr>
        <w:t>قريب</w:t>
      </w:r>
      <w:r w:rsidRPr="005675B2">
        <w:rPr>
          <w:rFonts w:hint="cs"/>
          <w:rtl/>
        </w:rPr>
        <w:t>, ‏وتأويله على معنى الرضا أقرب</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p>
    <w:p w14:paraId="6C9ABA18" w14:textId="1525A229" w:rsidR="009C32A0" w:rsidRPr="005675B2" w:rsidRDefault="009C32A0" w:rsidP="000636C2">
      <w:pPr>
        <w:rPr>
          <w:b/>
        </w:rPr>
      </w:pPr>
      <w:r w:rsidRPr="005675B2">
        <w:rPr>
          <w:rFonts w:hint="cs"/>
          <w:rtl/>
        </w:rPr>
        <w:t xml:space="preserve"> ‏</w:t>
      </w:r>
      <w:r w:rsidRPr="001C2CCC">
        <w:rPr>
          <w:rFonts w:hint="cs"/>
          <w:bCs/>
          <w:rtl/>
        </w:rPr>
        <w:t>تأويل الإمام</w:t>
      </w:r>
      <w:r w:rsidRPr="001C2CCC">
        <w:rPr>
          <w:rFonts w:hint="cs"/>
          <w:bCs/>
        </w:rPr>
        <w:t xml:space="preserve"> </w:t>
      </w:r>
      <w:r w:rsidRPr="001C2CCC">
        <w:rPr>
          <w:rFonts w:hint="cs"/>
          <w:bCs/>
          <w:rtl/>
        </w:rPr>
        <w:t>البخاري</w:t>
      </w:r>
      <w:r w:rsidRPr="005675B2">
        <w:rPr>
          <w:rFonts w:hint="cs"/>
          <w:rtl/>
        </w:rPr>
        <w:t>,نقله الحافظ البيهقي في الأسماء والصفات ص 470 عن البخاري أنه قال</w:t>
      </w:r>
      <w:r w:rsidR="000636C2">
        <w:rPr>
          <w:rFonts w:hint="cs"/>
          <w:rtl/>
        </w:rPr>
        <w:t>:</w:t>
      </w:r>
      <w:r w:rsidRPr="005675B2">
        <w:rPr>
          <w:rFonts w:hint="cs"/>
          <w:rtl/>
        </w:rPr>
        <w:t xml:space="preserve"> </w:t>
      </w:r>
      <w:r w:rsidR="000636C2">
        <w:rPr>
          <w:rFonts w:hint="cs"/>
          <w:rtl/>
        </w:rPr>
        <w:t>(</w:t>
      </w:r>
      <w:r w:rsidRPr="005675B2">
        <w:rPr>
          <w:rFonts w:hint="cs"/>
          <w:rtl/>
        </w:rPr>
        <w:t>معنى</w:t>
      </w:r>
      <w:r w:rsidRPr="005675B2">
        <w:rPr>
          <w:rFonts w:hint="cs"/>
        </w:rPr>
        <w:t xml:space="preserve"> </w:t>
      </w:r>
      <w:r w:rsidRPr="005675B2">
        <w:rPr>
          <w:rFonts w:hint="cs"/>
          <w:rtl/>
        </w:rPr>
        <w:t>الضحك</w:t>
      </w:r>
      <w:r w:rsidR="000636C2">
        <w:rPr>
          <w:rFonts w:hint="cs"/>
          <w:rtl/>
        </w:rPr>
        <w:t>:</w:t>
      </w:r>
      <w:r w:rsidRPr="005675B2">
        <w:rPr>
          <w:rFonts w:hint="cs"/>
          <w:rtl/>
        </w:rPr>
        <w:t>الرحمة</w:t>
      </w:r>
      <w:r w:rsidR="000636C2">
        <w:rPr>
          <w:rFonts w:hint="cs"/>
          <w:rtl/>
        </w:rPr>
        <w:t>)</w:t>
      </w:r>
      <w:r w:rsidRPr="005675B2">
        <w:rPr>
          <w:rFonts w:hint="cs"/>
          <w:rtl/>
        </w:rPr>
        <w:t>أهـ</w:t>
      </w:r>
      <w:r w:rsidR="000636C2">
        <w:rPr>
          <w:rFonts w:hint="cs"/>
          <w:rtl/>
        </w:rPr>
        <w:t>،</w:t>
      </w:r>
      <w:r w:rsidRPr="005675B2">
        <w:rPr>
          <w:rFonts w:hint="cs"/>
          <w:rtl/>
        </w:rPr>
        <w:t xml:space="preserve"> وقال الحافظ البيهقي ص298</w:t>
      </w:r>
      <w:r w:rsidR="000636C2">
        <w:rPr>
          <w:rFonts w:hint="cs"/>
          <w:rtl/>
        </w:rPr>
        <w:t>:</w:t>
      </w:r>
      <w:r w:rsidRPr="005675B2">
        <w:rPr>
          <w:rFonts w:hint="cs"/>
          <w:rtl/>
        </w:rPr>
        <w:t xml:space="preserve"> </w:t>
      </w:r>
      <w:r w:rsidR="000636C2">
        <w:rPr>
          <w:rFonts w:hint="cs"/>
          <w:rtl/>
        </w:rPr>
        <w:t>(</w:t>
      </w:r>
      <w:r w:rsidRPr="005675B2">
        <w:rPr>
          <w:rFonts w:hint="cs"/>
          <w:rtl/>
        </w:rPr>
        <w:t>روى الفربري عن محمد بن إسماعيل</w:t>
      </w:r>
      <w:r w:rsidRPr="005675B2">
        <w:rPr>
          <w:rFonts w:hint="cs"/>
        </w:rPr>
        <w:t xml:space="preserve"> </w:t>
      </w:r>
      <w:r w:rsidRPr="005675B2">
        <w:rPr>
          <w:rFonts w:hint="cs"/>
          <w:rtl/>
        </w:rPr>
        <w:t>البخاري رحمه الله تعالى أنه قال</w:t>
      </w:r>
      <w:r w:rsidR="000636C2">
        <w:rPr>
          <w:rFonts w:hint="cs"/>
          <w:rtl/>
        </w:rPr>
        <w:t>:</w:t>
      </w:r>
      <w:r w:rsidRPr="005675B2">
        <w:rPr>
          <w:rFonts w:hint="cs"/>
          <w:rtl/>
        </w:rPr>
        <w:t>معنى الضحك فيه - أي الحديث - الرحمة</w:t>
      </w:r>
      <w:r w:rsidR="000636C2">
        <w:rPr>
          <w:rFonts w:hint="cs"/>
          <w:rtl/>
        </w:rPr>
        <w:t>)</w:t>
      </w:r>
      <w:r w:rsidRPr="005675B2">
        <w:rPr>
          <w:rFonts w:hint="cs"/>
          <w:rtl/>
        </w:rPr>
        <w:t>,وقد نقل هذا</w:t>
      </w:r>
      <w:r w:rsidRPr="005675B2">
        <w:rPr>
          <w:rFonts w:hint="cs"/>
        </w:rPr>
        <w:t xml:space="preserve"> </w:t>
      </w:r>
      <w:r w:rsidRPr="005675B2">
        <w:rPr>
          <w:rFonts w:hint="cs"/>
          <w:rtl/>
        </w:rPr>
        <w:t>التأويل الحافظ ابن حجر في الفتح</w:t>
      </w:r>
      <w:r>
        <w:rPr>
          <w:rFonts w:hint="cs"/>
          <w:rtl/>
        </w:rPr>
        <w:t xml:space="preserve"> </w:t>
      </w:r>
      <w:r w:rsidR="000636C2">
        <w:rPr>
          <w:rFonts w:hint="cs"/>
          <w:rtl/>
        </w:rPr>
        <w:t>(</w:t>
      </w:r>
      <w:r w:rsidRPr="005675B2">
        <w:rPr>
          <w:rFonts w:hint="cs"/>
          <w:rtl/>
        </w:rPr>
        <w:t>6/40</w:t>
      </w:r>
      <w:r w:rsidR="000636C2">
        <w:rPr>
          <w:rFonts w:hint="cs"/>
          <w:rtl/>
        </w:rPr>
        <w:t>)،</w:t>
      </w:r>
    </w:p>
    <w:p w14:paraId="06E22920" w14:textId="5B3684AB" w:rsidR="009C32A0" w:rsidRPr="005675B2" w:rsidRDefault="009C32A0" w:rsidP="000636C2">
      <w:pPr>
        <w:rPr>
          <w:b/>
          <w:rtl/>
        </w:rPr>
      </w:pPr>
      <w:r w:rsidRPr="001C2CCC">
        <w:rPr>
          <w:rFonts w:hint="cs"/>
          <w:bCs/>
          <w:rtl/>
        </w:rPr>
        <w:t>تأويل الطبري في تفسيره</w:t>
      </w:r>
      <w:r w:rsidRPr="005675B2">
        <w:rPr>
          <w:rFonts w:hint="cs"/>
          <w:rtl/>
        </w:rPr>
        <w:t xml:space="preserve"> 1/192 عند تأويل قوله تعالى</w:t>
      </w:r>
      <w:r w:rsidR="000636C2">
        <w:rPr>
          <w:rFonts w:hint="cs"/>
          <w:rtl/>
        </w:rPr>
        <w:t>:</w:t>
      </w:r>
      <w:r w:rsidRPr="005675B2">
        <w:rPr>
          <w:rFonts w:hint="cs"/>
          <w:rtl/>
        </w:rPr>
        <w:t>{ثم استوى إلى</w:t>
      </w:r>
      <w:r w:rsidRPr="005675B2">
        <w:rPr>
          <w:rFonts w:hint="cs"/>
        </w:rPr>
        <w:t xml:space="preserve"> </w:t>
      </w:r>
      <w:r w:rsidRPr="005675B2">
        <w:rPr>
          <w:rFonts w:hint="cs"/>
          <w:rtl/>
        </w:rPr>
        <w:t>السماء}ما نصه</w:t>
      </w:r>
      <w:r w:rsidR="000636C2">
        <w:rPr>
          <w:rFonts w:hint="cs"/>
          <w:rtl/>
        </w:rPr>
        <w:t>(</w:t>
      </w:r>
      <w:r w:rsidRPr="005675B2">
        <w:rPr>
          <w:rFonts w:hint="cs"/>
          <w:rtl/>
        </w:rPr>
        <w:t>والعجب ممن أنكر المعنى المفهوم من كلام العرب في تأويل قول الله</w:t>
      </w:r>
      <w:r w:rsidR="000636C2">
        <w:rPr>
          <w:rFonts w:hint="cs"/>
          <w:rtl/>
        </w:rPr>
        <w:t>:</w:t>
      </w:r>
      <w:r w:rsidRPr="005675B2">
        <w:rPr>
          <w:rFonts w:hint="cs"/>
          <w:rtl/>
        </w:rPr>
        <w:t>{ثم</w:t>
      </w:r>
      <w:r w:rsidRPr="005675B2">
        <w:rPr>
          <w:rFonts w:hint="cs"/>
        </w:rPr>
        <w:t xml:space="preserve"> </w:t>
      </w:r>
      <w:r w:rsidRPr="005675B2">
        <w:rPr>
          <w:rFonts w:hint="cs"/>
          <w:rtl/>
        </w:rPr>
        <w:t>استوى إلى السماء}الذي هو بمعنى العلو والارتفاع هربا من عند نفسه من أن يلزمه</w:t>
      </w:r>
      <w:r w:rsidRPr="005675B2">
        <w:rPr>
          <w:rFonts w:hint="cs"/>
        </w:rPr>
        <w:t xml:space="preserve"> </w:t>
      </w:r>
      <w:r w:rsidRPr="005675B2">
        <w:rPr>
          <w:rFonts w:hint="cs"/>
          <w:rtl/>
        </w:rPr>
        <w:t>بزعمه إذا تأوله بمعناه المفهوم كذلك أن يكون إنما علا و ارتفع بعد أن كان تحتها إلى</w:t>
      </w:r>
      <w:r w:rsidRPr="005675B2">
        <w:rPr>
          <w:rFonts w:hint="cs"/>
        </w:rPr>
        <w:t xml:space="preserve"> </w:t>
      </w:r>
      <w:r w:rsidRPr="005675B2">
        <w:rPr>
          <w:rFonts w:hint="cs"/>
          <w:rtl/>
        </w:rPr>
        <w:t>أن تأوله بالمجهول من تأويله المستنكر,ثم لم ينج مما هرب منه ,فيقال له زعمت أن</w:t>
      </w:r>
      <w:r w:rsidRPr="005675B2">
        <w:rPr>
          <w:rFonts w:hint="cs"/>
        </w:rPr>
        <w:t xml:space="preserve"> </w:t>
      </w:r>
      <w:r w:rsidRPr="005675B2">
        <w:rPr>
          <w:rFonts w:hint="cs"/>
          <w:rtl/>
        </w:rPr>
        <w:t xml:space="preserve">تأويل قوله </w:t>
      </w:r>
      <w:r w:rsidR="000636C2">
        <w:rPr>
          <w:rFonts w:hint="cs"/>
          <w:rtl/>
        </w:rPr>
        <w:t>(</w:t>
      </w:r>
      <w:r w:rsidRPr="005675B2">
        <w:rPr>
          <w:rFonts w:hint="cs"/>
          <w:rtl/>
        </w:rPr>
        <w:t>استوى</w:t>
      </w:r>
      <w:r w:rsidR="000636C2">
        <w:rPr>
          <w:rFonts w:hint="cs"/>
          <w:rtl/>
        </w:rPr>
        <w:t>):</w:t>
      </w:r>
      <w:r w:rsidRPr="005675B2">
        <w:rPr>
          <w:rFonts w:hint="cs"/>
          <w:rtl/>
        </w:rPr>
        <w:t>أقبل,أفكان مدبرا عن السماء فأقبل إليها</w:t>
      </w:r>
      <w:r w:rsidR="000636C2">
        <w:rPr>
          <w:rFonts w:hint="cs"/>
          <w:rtl/>
        </w:rPr>
        <w:t>؟</w:t>
      </w:r>
      <w:r w:rsidRPr="005675B2">
        <w:rPr>
          <w:rFonts w:hint="cs"/>
          <w:rtl/>
        </w:rPr>
        <w:t>فإن زعم أن ذلك ليس</w:t>
      </w:r>
      <w:r w:rsidRPr="005675B2">
        <w:rPr>
          <w:rFonts w:hint="cs"/>
        </w:rPr>
        <w:t xml:space="preserve"> </w:t>
      </w:r>
      <w:r w:rsidRPr="005675B2">
        <w:rPr>
          <w:rFonts w:hint="cs"/>
          <w:rtl/>
        </w:rPr>
        <w:t xml:space="preserve">بإقبال فعل </w:t>
      </w:r>
      <w:r w:rsidRPr="005675B2">
        <w:rPr>
          <w:rFonts w:hint="cs"/>
          <w:u w:val="single"/>
          <w:rtl/>
        </w:rPr>
        <w:t>ولكنه إقبال تدبير</w:t>
      </w:r>
      <w:r w:rsidRPr="005675B2">
        <w:rPr>
          <w:rFonts w:hint="cs"/>
          <w:rtl/>
        </w:rPr>
        <w:t>,قيل له</w:t>
      </w:r>
      <w:r w:rsidR="000636C2">
        <w:rPr>
          <w:rFonts w:hint="cs"/>
          <w:rtl/>
        </w:rPr>
        <w:t>:</w:t>
      </w:r>
      <w:r w:rsidRPr="005675B2">
        <w:rPr>
          <w:rFonts w:hint="cs"/>
          <w:rtl/>
        </w:rPr>
        <w:t>فكذلك فقل</w:t>
      </w:r>
      <w:r w:rsidR="000636C2">
        <w:rPr>
          <w:rFonts w:hint="cs"/>
          <w:rtl/>
        </w:rPr>
        <w:t>:</w:t>
      </w:r>
      <w:r w:rsidRPr="005675B2">
        <w:rPr>
          <w:rFonts w:hint="cs"/>
          <w:rtl/>
        </w:rPr>
        <w:t xml:space="preserve">علا عليها </w:t>
      </w:r>
      <w:r w:rsidRPr="005675B2">
        <w:rPr>
          <w:rFonts w:hint="cs"/>
          <w:u w:val="single"/>
          <w:rtl/>
        </w:rPr>
        <w:t>علو ملك وسلطان</w:t>
      </w:r>
      <w:r w:rsidRPr="005675B2">
        <w:rPr>
          <w:rFonts w:hint="cs"/>
          <w:rtl/>
        </w:rPr>
        <w:t xml:space="preserve"> لا علو</w:t>
      </w:r>
      <w:r w:rsidRPr="005675B2">
        <w:rPr>
          <w:rFonts w:hint="cs"/>
        </w:rPr>
        <w:t xml:space="preserve"> </w:t>
      </w:r>
      <w:r w:rsidRPr="005675B2">
        <w:rPr>
          <w:rFonts w:hint="cs"/>
          <w:rtl/>
        </w:rPr>
        <w:t>انتقال وزوال</w:t>
      </w:r>
      <w:r w:rsidR="000636C2">
        <w:rPr>
          <w:rFonts w:hint="cs"/>
          <w:rtl/>
        </w:rPr>
        <w:t>)</w:t>
      </w:r>
      <w:r w:rsidRPr="005675B2">
        <w:rPr>
          <w:rFonts w:hint="cs"/>
          <w:rtl/>
        </w:rPr>
        <w:t xml:space="preserve"> انتهى كلام ابن جرير</w:t>
      </w:r>
      <w:r w:rsidR="000636C2">
        <w:rPr>
          <w:rFonts w:hint="cs"/>
          <w:rtl/>
        </w:rPr>
        <w:t>،</w:t>
      </w:r>
      <w:r w:rsidRPr="005675B2">
        <w:rPr>
          <w:rFonts w:hint="cs"/>
          <w:rtl/>
        </w:rPr>
        <w:t xml:space="preserve"> فاتضح بهذا أن السلف كانوا يؤولون الاستواء بعلو الملك والسلطان</w:t>
      </w:r>
      <w:r w:rsidRPr="005675B2">
        <w:rPr>
          <w:rFonts w:hint="cs"/>
        </w:rPr>
        <w:t xml:space="preserve"> </w:t>
      </w:r>
      <w:r w:rsidRPr="005675B2">
        <w:rPr>
          <w:rFonts w:hint="cs"/>
          <w:rtl/>
        </w:rPr>
        <w:t xml:space="preserve">والقهر وهوعلو رتبة </w:t>
      </w:r>
      <w:r w:rsidR="000636C2">
        <w:rPr>
          <w:rFonts w:hint="cs"/>
          <w:rtl/>
        </w:rPr>
        <w:t>(</w:t>
      </w:r>
      <w:r w:rsidRPr="005675B2">
        <w:rPr>
          <w:rFonts w:hint="cs"/>
          <w:rtl/>
        </w:rPr>
        <w:t>معنوي</w:t>
      </w:r>
      <w:r w:rsidR="000636C2">
        <w:rPr>
          <w:rFonts w:hint="cs"/>
          <w:rtl/>
        </w:rPr>
        <w:t>)</w:t>
      </w:r>
      <w:r w:rsidRPr="005675B2">
        <w:rPr>
          <w:rFonts w:hint="cs"/>
          <w:rtl/>
        </w:rPr>
        <w:t xml:space="preserve"> لا علواً حسياً حقيقياً تعالى الله عن ذلك علواً كبيراً</w:t>
      </w:r>
      <w:r w:rsidR="000636C2">
        <w:rPr>
          <w:rFonts w:hint="cs"/>
          <w:rtl/>
        </w:rPr>
        <w:t>،</w:t>
      </w:r>
    </w:p>
    <w:p w14:paraId="2D507496" w14:textId="0DD63404" w:rsidR="009C32A0" w:rsidRPr="005675B2" w:rsidRDefault="009C32A0" w:rsidP="000636C2">
      <w:pPr>
        <w:rPr>
          <w:b/>
          <w:rtl/>
        </w:rPr>
      </w:pPr>
      <w:r w:rsidRPr="001C2CCC">
        <w:rPr>
          <w:rFonts w:hint="cs"/>
          <w:bCs/>
          <w:rtl/>
        </w:rPr>
        <w:t>أول</w:t>
      </w:r>
      <w:r w:rsidRPr="001C2CCC">
        <w:rPr>
          <w:rFonts w:hint="cs"/>
          <w:bCs/>
        </w:rPr>
        <w:t xml:space="preserve"> </w:t>
      </w:r>
      <w:r w:rsidRPr="001C2CCC">
        <w:rPr>
          <w:rFonts w:hint="cs"/>
          <w:bCs/>
          <w:rtl/>
        </w:rPr>
        <w:t>الحافظ ابن حبان</w:t>
      </w:r>
      <w:r w:rsidRPr="005675B2">
        <w:rPr>
          <w:rFonts w:hint="cs"/>
          <w:rtl/>
        </w:rPr>
        <w:t xml:space="preserve"> </w:t>
      </w:r>
      <w:r w:rsidR="000636C2">
        <w:rPr>
          <w:rFonts w:hint="cs"/>
          <w:rtl/>
        </w:rPr>
        <w:t>(</w:t>
      </w:r>
      <w:r w:rsidRPr="005675B2">
        <w:rPr>
          <w:rFonts w:hint="cs"/>
          <w:rtl/>
        </w:rPr>
        <w:t>ت354 ه</w:t>
      </w:r>
      <w:r w:rsidR="000636C2">
        <w:rPr>
          <w:rFonts w:hint="cs"/>
          <w:rtl/>
        </w:rPr>
        <w:t xml:space="preserve"> </w:t>
      </w:r>
      <w:r w:rsidRPr="005675B2">
        <w:rPr>
          <w:rFonts w:hint="cs"/>
          <w:rtl/>
        </w:rPr>
        <w:t>-</w:t>
      </w:r>
      <w:r w:rsidR="000636C2">
        <w:rPr>
          <w:rFonts w:hint="cs"/>
          <w:rtl/>
        </w:rPr>
        <w:t>)</w:t>
      </w:r>
      <w:r w:rsidRPr="005675B2">
        <w:rPr>
          <w:rFonts w:hint="cs"/>
          <w:rtl/>
        </w:rPr>
        <w:t>في صحيحه1/502 حديث (</w:t>
      </w:r>
      <w:r w:rsidR="000636C2">
        <w:rPr>
          <w:rFonts w:hint="cs"/>
          <w:rtl/>
        </w:rPr>
        <w:t>(</w:t>
      </w:r>
      <w:r w:rsidRPr="005675B2">
        <w:rPr>
          <w:rFonts w:hint="cs"/>
          <w:rtl/>
        </w:rPr>
        <w:t>حتى يضع الرب قدمه فيها</w:t>
      </w:r>
      <w:r w:rsidR="000636C2">
        <w:rPr>
          <w:rFonts w:hint="cs"/>
          <w:rtl/>
        </w:rPr>
        <w:t>)</w:t>
      </w:r>
      <w:r w:rsidRPr="005675B2">
        <w:rPr>
          <w:rFonts w:hint="cs"/>
          <w:rtl/>
        </w:rPr>
        <w:t>)أي جهنم</w:t>
      </w:r>
      <w:r w:rsidRPr="005675B2">
        <w:rPr>
          <w:rFonts w:hint="cs"/>
        </w:rPr>
        <w:t xml:space="preserve"> </w:t>
      </w:r>
      <w:r w:rsidRPr="005675B2">
        <w:rPr>
          <w:rFonts w:hint="cs"/>
          <w:rtl/>
        </w:rPr>
        <w:t>فقال</w:t>
      </w:r>
      <w:r w:rsidR="000636C2">
        <w:rPr>
          <w:rFonts w:hint="cs"/>
          <w:rtl/>
        </w:rPr>
        <w:t>:</w:t>
      </w:r>
      <w:r w:rsidRPr="005675B2">
        <w:rPr>
          <w:rFonts w:hint="cs"/>
          <w:rtl/>
        </w:rPr>
        <w:t xml:space="preserve"> </w:t>
      </w:r>
      <w:r w:rsidR="000636C2">
        <w:rPr>
          <w:rFonts w:hint="cs"/>
          <w:rtl/>
        </w:rPr>
        <w:t>(</w:t>
      </w:r>
      <w:r w:rsidRPr="005675B2">
        <w:rPr>
          <w:rFonts w:hint="cs"/>
          <w:rtl/>
        </w:rPr>
        <w:t>هذا الخبر من الأخبار التي أطلقت بتمثيل المجاورة,وذلك أن يوم القيامة يلقي</w:t>
      </w:r>
      <w:r w:rsidRPr="005675B2">
        <w:rPr>
          <w:rFonts w:hint="cs"/>
        </w:rPr>
        <w:t xml:space="preserve"> </w:t>
      </w:r>
      <w:r w:rsidRPr="005675B2">
        <w:rPr>
          <w:rFonts w:hint="cs"/>
          <w:rtl/>
        </w:rPr>
        <w:t>في النار من الأمم والأمكنة التي يعصى الله فيها ,فلا تزال تستزيد حتى يضع الرب جل</w:t>
      </w:r>
      <w:r w:rsidRPr="005675B2">
        <w:rPr>
          <w:rFonts w:hint="cs"/>
        </w:rPr>
        <w:t xml:space="preserve"> </w:t>
      </w:r>
      <w:r w:rsidRPr="005675B2">
        <w:rPr>
          <w:rFonts w:hint="cs"/>
          <w:rtl/>
        </w:rPr>
        <w:t>وعلا موضعا من الكفار والأمكنة فتمتلئ فتقول قط قط,تريد حسبي حسبي ,لأن العرب تطلق</w:t>
      </w:r>
      <w:r w:rsidRPr="005675B2">
        <w:rPr>
          <w:rFonts w:hint="cs"/>
        </w:rPr>
        <w:t xml:space="preserve"> </w:t>
      </w:r>
      <w:r w:rsidRPr="005675B2">
        <w:rPr>
          <w:rFonts w:hint="cs"/>
          <w:rtl/>
        </w:rPr>
        <w:t>في لغتها اسم القدم على الموضع قال الله جل وعلا</w:t>
      </w:r>
      <w:r w:rsidR="000636C2">
        <w:rPr>
          <w:rFonts w:hint="cs"/>
          <w:rtl/>
        </w:rPr>
        <w:t>:</w:t>
      </w:r>
      <w:r w:rsidRPr="005675B2">
        <w:rPr>
          <w:rFonts w:hint="cs"/>
          <w:rtl/>
        </w:rPr>
        <w:t>{لهم قدم صدق عند ربهم}يريد</w:t>
      </w:r>
      <w:r w:rsidR="000636C2">
        <w:rPr>
          <w:rFonts w:hint="cs"/>
          <w:rtl/>
        </w:rPr>
        <w:t>:</w:t>
      </w:r>
      <w:r w:rsidRPr="005675B2">
        <w:rPr>
          <w:rFonts w:hint="cs"/>
          <w:rtl/>
        </w:rPr>
        <w:t>موضع</w:t>
      </w:r>
      <w:r w:rsidRPr="005675B2">
        <w:rPr>
          <w:rFonts w:hint="cs"/>
        </w:rPr>
        <w:t xml:space="preserve"> </w:t>
      </w:r>
      <w:r w:rsidRPr="005675B2">
        <w:rPr>
          <w:rFonts w:hint="cs"/>
          <w:rtl/>
        </w:rPr>
        <w:t>صدق,لا أن الله جل وعلا يضع قدمه في النار ,جل ربنا وتعالى عن مثل هذا</w:t>
      </w:r>
      <w:r w:rsidRPr="005675B2">
        <w:rPr>
          <w:rFonts w:hint="cs"/>
        </w:rPr>
        <w:t xml:space="preserve"> </w:t>
      </w:r>
      <w:r w:rsidRPr="005675B2">
        <w:rPr>
          <w:rFonts w:hint="cs"/>
          <w:rtl/>
        </w:rPr>
        <w:t>وأشباهه</w:t>
      </w:r>
      <w:r w:rsidR="000636C2">
        <w:rPr>
          <w:rFonts w:hint="cs"/>
          <w:rtl/>
        </w:rPr>
        <w:t>)</w:t>
      </w:r>
      <w:r w:rsidRPr="005675B2">
        <w:rPr>
          <w:rFonts w:hint="cs"/>
          <w:rtl/>
        </w:rPr>
        <w:t>انتهى كلام الحافظ ابن حبان</w:t>
      </w:r>
      <w:r w:rsidR="000636C2">
        <w:rPr>
          <w:rFonts w:hint="cs"/>
          <w:rtl/>
        </w:rPr>
        <w:t>،</w:t>
      </w:r>
    </w:p>
    <w:p w14:paraId="02956EAB" w14:textId="6EA88379" w:rsidR="009C32A0" w:rsidRPr="005675B2" w:rsidRDefault="009C32A0" w:rsidP="000636C2">
      <w:pPr>
        <w:rPr>
          <w:b/>
          <w:rtl/>
        </w:rPr>
      </w:pPr>
      <w:r w:rsidRPr="001C2CCC">
        <w:rPr>
          <w:rFonts w:hint="cs"/>
          <w:bCs/>
          <w:rtl/>
        </w:rPr>
        <w:t>تأويل الإمام مالك رحمه الله تعالى</w:t>
      </w:r>
      <w:r w:rsidRPr="005675B2">
        <w:rPr>
          <w:rFonts w:hint="cs"/>
          <w:rtl/>
        </w:rPr>
        <w:t xml:space="preserve"> ,</w:t>
      </w:r>
      <w:r>
        <w:rPr>
          <w:rFonts w:hint="cs"/>
          <w:rtl/>
        </w:rPr>
        <w:t xml:space="preserve"> </w:t>
      </w:r>
      <w:r w:rsidRPr="005675B2">
        <w:rPr>
          <w:rFonts w:hint="cs"/>
          <w:rtl/>
        </w:rPr>
        <w:t>روى الحافظ ابن عبد البر في</w:t>
      </w:r>
      <w:r w:rsidRPr="005675B2">
        <w:rPr>
          <w:rFonts w:hint="cs"/>
        </w:rPr>
        <w:t xml:space="preserve"> </w:t>
      </w:r>
      <w:r w:rsidRPr="005675B2">
        <w:rPr>
          <w:rFonts w:hint="cs"/>
          <w:rtl/>
        </w:rPr>
        <w:t xml:space="preserve">التمهيد 7/143 وذكر الحافظ الذهبي في </w:t>
      </w:r>
      <w:r w:rsidR="000636C2">
        <w:rPr>
          <w:rFonts w:hint="cs"/>
          <w:rtl/>
        </w:rPr>
        <w:t>(</w:t>
      </w:r>
      <w:r w:rsidRPr="005675B2">
        <w:rPr>
          <w:rFonts w:hint="cs"/>
          <w:rtl/>
        </w:rPr>
        <w:t>سير أعلام النبلاء</w:t>
      </w:r>
      <w:r w:rsidR="000636C2">
        <w:rPr>
          <w:rFonts w:hint="cs"/>
          <w:rtl/>
        </w:rPr>
        <w:t>)</w:t>
      </w:r>
      <w:r w:rsidRPr="005675B2">
        <w:rPr>
          <w:rFonts w:hint="cs"/>
          <w:rtl/>
        </w:rPr>
        <w:t>8/105 أن الإمام مالك أول</w:t>
      </w:r>
      <w:r w:rsidRPr="005675B2">
        <w:rPr>
          <w:rFonts w:hint="cs"/>
        </w:rPr>
        <w:t xml:space="preserve"> </w:t>
      </w:r>
      <w:r w:rsidRPr="005675B2">
        <w:rPr>
          <w:rFonts w:hint="cs"/>
          <w:rtl/>
        </w:rPr>
        <w:t>النزول الوارد في الحديث بنز ول أمره وهذا النص من السير</w:t>
      </w:r>
      <w:r w:rsidR="000636C2">
        <w:rPr>
          <w:rFonts w:hint="cs"/>
          <w:rtl/>
        </w:rPr>
        <w:t>:</w:t>
      </w:r>
      <w:r w:rsidRPr="005675B2">
        <w:rPr>
          <w:rFonts w:hint="cs"/>
          <w:rtl/>
        </w:rPr>
        <w:t xml:space="preserve"> </w:t>
      </w:r>
      <w:r w:rsidR="000636C2">
        <w:rPr>
          <w:rFonts w:hint="cs"/>
          <w:rtl/>
        </w:rPr>
        <w:t>(</w:t>
      </w:r>
      <w:r w:rsidRPr="005675B2">
        <w:rPr>
          <w:rFonts w:hint="cs"/>
          <w:rtl/>
        </w:rPr>
        <w:t>قال ابن عدي</w:t>
      </w:r>
      <w:r w:rsidR="000636C2">
        <w:rPr>
          <w:rFonts w:hint="cs"/>
          <w:rtl/>
        </w:rPr>
        <w:t>:</w:t>
      </w:r>
      <w:r w:rsidRPr="005675B2">
        <w:rPr>
          <w:rFonts w:hint="cs"/>
          <w:rtl/>
        </w:rPr>
        <w:t>حدثنا محمد بن</w:t>
      </w:r>
      <w:r w:rsidRPr="005675B2">
        <w:rPr>
          <w:rFonts w:hint="cs"/>
        </w:rPr>
        <w:t xml:space="preserve"> </w:t>
      </w:r>
      <w:r w:rsidRPr="005675B2">
        <w:rPr>
          <w:rFonts w:hint="cs"/>
          <w:rtl/>
        </w:rPr>
        <w:t>هارون بن حسان,حدثنا صالح بن أيوب حدثنا حبيب ابن أبي حبيب حدثني مالك قال</w:t>
      </w:r>
      <w:r w:rsidR="000636C2">
        <w:rPr>
          <w:rFonts w:hint="cs"/>
          <w:rtl/>
        </w:rPr>
        <w:t>:</w:t>
      </w:r>
      <w:r w:rsidRPr="005675B2">
        <w:rPr>
          <w:rFonts w:hint="cs"/>
          <w:rtl/>
        </w:rPr>
        <w:t xml:space="preserve"> </w:t>
      </w:r>
      <w:r w:rsidR="000636C2">
        <w:rPr>
          <w:rFonts w:hint="cs"/>
          <w:rtl/>
        </w:rPr>
        <w:t>(</w:t>
      </w:r>
      <w:r w:rsidRPr="005675B2">
        <w:rPr>
          <w:rFonts w:hint="cs"/>
          <w:rtl/>
        </w:rPr>
        <w:t>يتنزل</w:t>
      </w:r>
      <w:r w:rsidRPr="005675B2">
        <w:rPr>
          <w:rFonts w:hint="cs"/>
        </w:rPr>
        <w:t xml:space="preserve"> </w:t>
      </w:r>
      <w:r w:rsidRPr="005675B2">
        <w:rPr>
          <w:rFonts w:hint="cs"/>
          <w:rtl/>
        </w:rPr>
        <w:t>ربنا تبارك وتعالى أمره,فأما هو فدائم لا يزول</w:t>
      </w:r>
      <w:r w:rsidR="000636C2">
        <w:rPr>
          <w:rFonts w:hint="cs"/>
          <w:rtl/>
        </w:rPr>
        <w:t>)</w:t>
      </w:r>
      <w:r w:rsidRPr="005675B2">
        <w:rPr>
          <w:rFonts w:hint="cs"/>
          <w:rtl/>
        </w:rPr>
        <w:t>قال صالح</w:t>
      </w:r>
      <w:r w:rsidR="000636C2">
        <w:rPr>
          <w:rFonts w:hint="cs"/>
          <w:rtl/>
        </w:rPr>
        <w:t>:</w:t>
      </w:r>
      <w:r w:rsidRPr="005675B2">
        <w:rPr>
          <w:rFonts w:hint="cs"/>
          <w:rtl/>
        </w:rPr>
        <w:t>فذكرت ذلك ليحيي بن</w:t>
      </w:r>
      <w:r w:rsidRPr="005675B2">
        <w:rPr>
          <w:rFonts w:hint="cs"/>
        </w:rPr>
        <w:t xml:space="preserve"> </w:t>
      </w:r>
      <w:r w:rsidRPr="005675B2">
        <w:rPr>
          <w:rFonts w:hint="cs"/>
          <w:rtl/>
        </w:rPr>
        <w:t>بكير,فقال حسن والله,ولم أسمعه من مالك</w:t>
      </w:r>
      <w:r w:rsidR="000636C2">
        <w:rPr>
          <w:rFonts w:hint="cs"/>
          <w:rtl/>
        </w:rPr>
        <w:t>)</w:t>
      </w:r>
      <w:r w:rsidRPr="005675B2">
        <w:rPr>
          <w:rFonts w:hint="cs"/>
          <w:rtl/>
        </w:rPr>
        <w:t>,ورواية ابن عبد البر من طريق أخرى,وهذا</w:t>
      </w:r>
      <w:r w:rsidRPr="005675B2">
        <w:rPr>
          <w:rFonts w:hint="cs"/>
        </w:rPr>
        <w:t xml:space="preserve"> </w:t>
      </w:r>
      <w:r w:rsidRPr="005675B2">
        <w:rPr>
          <w:rFonts w:hint="cs"/>
          <w:rtl/>
        </w:rPr>
        <w:t>التأويل مشهور عن الإمام مالك غني عن الإسناد فيه ولذلك نقله الإمام النووي في شرح</w:t>
      </w:r>
      <w:r w:rsidRPr="005675B2">
        <w:rPr>
          <w:rFonts w:hint="cs"/>
        </w:rPr>
        <w:t xml:space="preserve"> </w:t>
      </w:r>
      <w:r w:rsidRPr="005675B2">
        <w:rPr>
          <w:rFonts w:hint="cs"/>
          <w:rtl/>
        </w:rPr>
        <w:t>مسلم6/37 عنه</w:t>
      </w:r>
      <w:r w:rsidR="000636C2">
        <w:rPr>
          <w:rFonts w:hint="cs"/>
          <w:rtl/>
        </w:rPr>
        <w:t>،</w:t>
      </w:r>
      <w:r w:rsidRPr="005675B2">
        <w:rPr>
          <w:rFonts w:hint="cs"/>
          <w:rtl/>
        </w:rPr>
        <w:t xml:space="preserve"> ذكر الحافظ الترمذي في سننه 4/692 بعد حديث الرؤية الطويل الذي فيه</w:t>
      </w:r>
      <w:r w:rsidRPr="005675B2">
        <w:rPr>
          <w:rFonts w:hint="cs"/>
        </w:rPr>
        <w:t xml:space="preserve"> </w:t>
      </w:r>
      <w:r w:rsidRPr="005675B2">
        <w:rPr>
          <w:rFonts w:hint="cs"/>
          <w:rtl/>
        </w:rPr>
        <w:t xml:space="preserve">لفظة </w:t>
      </w:r>
      <w:r w:rsidR="000636C2">
        <w:rPr>
          <w:rFonts w:hint="cs"/>
          <w:rtl/>
        </w:rPr>
        <w:t>(</w:t>
      </w:r>
      <w:r w:rsidRPr="005675B2">
        <w:rPr>
          <w:rFonts w:hint="cs"/>
          <w:rtl/>
        </w:rPr>
        <w:t>فيعرفهم نفسه</w:t>
      </w:r>
      <w:r w:rsidR="000636C2">
        <w:rPr>
          <w:rFonts w:hint="cs"/>
          <w:rtl/>
        </w:rPr>
        <w:t>)</w:t>
      </w:r>
      <w:r w:rsidRPr="005675B2">
        <w:rPr>
          <w:rFonts w:hint="cs"/>
          <w:rtl/>
        </w:rPr>
        <w:t xml:space="preserve"> فقال</w:t>
      </w:r>
      <w:r w:rsidR="000636C2">
        <w:rPr>
          <w:rFonts w:hint="cs"/>
          <w:rtl/>
        </w:rPr>
        <w:t>:</w:t>
      </w:r>
      <w:r w:rsidRPr="005675B2">
        <w:rPr>
          <w:rFonts w:hint="cs"/>
          <w:rtl/>
        </w:rPr>
        <w:t xml:space="preserve"> </w:t>
      </w:r>
      <w:r w:rsidR="000636C2">
        <w:rPr>
          <w:rFonts w:hint="cs"/>
          <w:rtl/>
        </w:rPr>
        <w:t>(</w:t>
      </w:r>
      <w:r w:rsidRPr="005675B2">
        <w:rPr>
          <w:rFonts w:hint="cs"/>
          <w:rtl/>
        </w:rPr>
        <w:t>ومعنى قوله في الحديث</w:t>
      </w:r>
      <w:r w:rsidR="000636C2">
        <w:rPr>
          <w:rFonts w:hint="cs"/>
          <w:rtl/>
        </w:rPr>
        <w:t>:</w:t>
      </w:r>
      <w:r w:rsidRPr="005675B2">
        <w:rPr>
          <w:rFonts w:hint="cs"/>
          <w:rtl/>
        </w:rPr>
        <w:t>فيعرفهم نفسه يعني يتجلى لهم</w:t>
      </w:r>
      <w:r w:rsidR="000636C2">
        <w:rPr>
          <w:rFonts w:hint="cs"/>
          <w:rtl/>
        </w:rPr>
        <w:t>،</w:t>
      </w:r>
      <w:r>
        <w:rPr>
          <w:rFonts w:hint="cs"/>
          <w:rtl/>
        </w:rPr>
        <w:t xml:space="preserve"> </w:t>
      </w:r>
    </w:p>
    <w:p w14:paraId="39C3573C" w14:textId="3BE051CD" w:rsidR="009C32A0" w:rsidRPr="005675B2" w:rsidRDefault="009C32A0" w:rsidP="000636C2">
      <w:pPr>
        <w:rPr>
          <w:u w:val="single"/>
          <w:rtl/>
        </w:rPr>
      </w:pPr>
      <w:r w:rsidRPr="001C2CCC">
        <w:rPr>
          <w:rFonts w:hint="cs"/>
          <w:bCs/>
          <w:rtl/>
        </w:rPr>
        <w:t>قال الإمام النووي في المجموع</w:t>
      </w:r>
      <w:r w:rsidRPr="005675B2">
        <w:rPr>
          <w:rFonts w:hint="cs"/>
          <w:rtl/>
        </w:rPr>
        <w:t xml:space="preserve"> 1/46 باب أقسام العلم الشرعي</w:t>
      </w:r>
      <w:r w:rsidR="000636C2">
        <w:rPr>
          <w:rFonts w:hint="cs"/>
          <w:rtl/>
        </w:rPr>
        <w:t>،</w:t>
      </w:r>
      <w:r w:rsidRPr="005675B2">
        <w:rPr>
          <w:rFonts w:hint="cs"/>
          <w:rtl/>
        </w:rPr>
        <w:t>فرع</w:t>
      </w:r>
      <w:r w:rsidR="000636C2">
        <w:rPr>
          <w:rFonts w:hint="cs"/>
          <w:rtl/>
        </w:rPr>
        <w:t>:</w:t>
      </w:r>
      <w:r w:rsidRPr="005675B2">
        <w:rPr>
          <w:rFonts w:hint="cs"/>
          <w:rtl/>
        </w:rPr>
        <w:t>اختلفوا في آيات</w:t>
      </w:r>
      <w:r w:rsidRPr="005675B2">
        <w:rPr>
          <w:rFonts w:hint="cs"/>
        </w:rPr>
        <w:t xml:space="preserve"> </w:t>
      </w:r>
      <w:r w:rsidRPr="005675B2">
        <w:rPr>
          <w:rFonts w:hint="cs"/>
          <w:rtl/>
        </w:rPr>
        <w:t>الصفات وأخبارها</w:t>
      </w:r>
      <w:r w:rsidR="000636C2">
        <w:rPr>
          <w:rFonts w:hint="cs"/>
          <w:rtl/>
        </w:rPr>
        <w:t>:</w:t>
      </w:r>
      <w:r w:rsidRPr="005675B2">
        <w:rPr>
          <w:rFonts w:hint="cs"/>
          <w:rtl/>
        </w:rPr>
        <w:t xml:space="preserve"> هل يخاض فيها بالتأويل , أم لا</w:t>
      </w:r>
      <w:r w:rsidR="000636C2">
        <w:rPr>
          <w:rFonts w:hint="cs"/>
          <w:rtl/>
        </w:rPr>
        <w:t>؟</w:t>
      </w:r>
      <w:r w:rsidRPr="005675B2">
        <w:rPr>
          <w:rFonts w:hint="cs"/>
          <w:rtl/>
        </w:rPr>
        <w:t xml:space="preserve"> فقال قائلون</w:t>
      </w:r>
      <w:r w:rsidR="000636C2">
        <w:rPr>
          <w:rFonts w:hint="cs"/>
          <w:rtl/>
        </w:rPr>
        <w:t>:</w:t>
      </w:r>
      <w:r w:rsidRPr="005675B2">
        <w:rPr>
          <w:rFonts w:hint="cs"/>
          <w:rtl/>
        </w:rPr>
        <w:t xml:space="preserve"> تتأول على ما</w:t>
      </w:r>
      <w:r w:rsidRPr="005675B2">
        <w:rPr>
          <w:rFonts w:hint="cs"/>
        </w:rPr>
        <w:t xml:space="preserve"> </w:t>
      </w:r>
      <w:r w:rsidRPr="005675B2">
        <w:rPr>
          <w:rFonts w:hint="cs"/>
          <w:rtl/>
        </w:rPr>
        <w:t>يليق بها , وهذا أشهر المذهبين للمتكلمين</w:t>
      </w:r>
      <w:r w:rsidR="000636C2">
        <w:rPr>
          <w:rFonts w:hint="cs"/>
          <w:rtl/>
        </w:rPr>
        <w:t>،</w:t>
      </w:r>
      <w:r w:rsidRPr="005675B2">
        <w:rPr>
          <w:rFonts w:hint="cs"/>
          <w:rtl/>
        </w:rPr>
        <w:t xml:space="preserve"> وآخرون</w:t>
      </w:r>
      <w:r w:rsidR="000636C2">
        <w:rPr>
          <w:rFonts w:hint="cs"/>
          <w:rtl/>
        </w:rPr>
        <w:t>:</w:t>
      </w:r>
      <w:r w:rsidRPr="005675B2">
        <w:rPr>
          <w:rFonts w:hint="cs"/>
          <w:rtl/>
        </w:rPr>
        <w:t xml:space="preserve"> لاتتأول بل يمسك عن الكلام في</w:t>
      </w:r>
      <w:r w:rsidRPr="005675B2">
        <w:rPr>
          <w:rFonts w:hint="cs"/>
        </w:rPr>
        <w:t xml:space="preserve"> </w:t>
      </w:r>
      <w:r w:rsidRPr="005675B2">
        <w:rPr>
          <w:rFonts w:hint="cs"/>
          <w:rtl/>
        </w:rPr>
        <w:t>معناها , ويوكل علمها إلى الله تعالى</w:t>
      </w:r>
      <w:r w:rsidR="000636C2">
        <w:rPr>
          <w:rFonts w:hint="cs"/>
          <w:rtl/>
        </w:rPr>
        <w:t>،</w:t>
      </w:r>
      <w:r w:rsidRPr="005675B2">
        <w:rPr>
          <w:rFonts w:hint="cs"/>
          <w:rtl/>
        </w:rPr>
        <w:t xml:space="preserve"> ويعتقد مع ذلك تنزيه الله تعالى , وانتفاء</w:t>
      </w:r>
      <w:r w:rsidRPr="005675B2">
        <w:rPr>
          <w:rFonts w:hint="cs"/>
        </w:rPr>
        <w:t xml:space="preserve"> </w:t>
      </w:r>
      <w:r w:rsidRPr="005675B2">
        <w:rPr>
          <w:rFonts w:hint="cs"/>
          <w:rtl/>
        </w:rPr>
        <w:t>صفات الحادث عنه</w:t>
      </w:r>
      <w:r w:rsidR="000636C2">
        <w:rPr>
          <w:rFonts w:hint="cs"/>
          <w:rtl/>
        </w:rPr>
        <w:t>،</w:t>
      </w:r>
      <w:r w:rsidRPr="005675B2">
        <w:rPr>
          <w:rFonts w:hint="cs"/>
          <w:rtl/>
        </w:rPr>
        <w:t xml:space="preserve"> فيقال مثلا</w:t>
      </w:r>
      <w:r w:rsidR="000636C2">
        <w:rPr>
          <w:rFonts w:hint="cs"/>
          <w:rtl/>
        </w:rPr>
        <w:t>:</w:t>
      </w:r>
      <w:r w:rsidRPr="005675B2">
        <w:rPr>
          <w:rFonts w:hint="cs"/>
          <w:rtl/>
        </w:rPr>
        <w:t xml:space="preserve"> نؤمن بأن الرحمن على العرش إستوى ولا نعلم حقيقة</w:t>
      </w:r>
      <w:r w:rsidRPr="005675B2">
        <w:rPr>
          <w:rFonts w:hint="cs"/>
        </w:rPr>
        <w:t xml:space="preserve"> </w:t>
      </w:r>
      <w:r w:rsidRPr="005675B2">
        <w:rPr>
          <w:rFonts w:hint="cs"/>
          <w:rtl/>
        </w:rPr>
        <w:t xml:space="preserve">معنى ذلك والمراد به , مع أنا نعتقد أن الله تعالى </w:t>
      </w:r>
      <w:r w:rsidR="000636C2">
        <w:rPr>
          <w:rFonts w:hint="cs"/>
          <w:rtl/>
        </w:rPr>
        <w:t>(</w:t>
      </w:r>
      <w:r w:rsidRPr="005675B2">
        <w:rPr>
          <w:rFonts w:hint="cs"/>
          <w:rtl/>
        </w:rPr>
        <w:t>ليس كمثله شيء</w:t>
      </w:r>
      <w:r w:rsidR="000636C2">
        <w:rPr>
          <w:rFonts w:hint="cs"/>
          <w:rtl/>
        </w:rPr>
        <w:t>)</w:t>
      </w:r>
      <w:r w:rsidRPr="005675B2">
        <w:rPr>
          <w:rFonts w:hint="cs"/>
          <w:rtl/>
        </w:rPr>
        <w:t xml:space="preserve"> وأنه منزه عن</w:t>
      </w:r>
      <w:r w:rsidRPr="005675B2">
        <w:rPr>
          <w:rFonts w:hint="cs"/>
        </w:rPr>
        <w:t xml:space="preserve"> </w:t>
      </w:r>
      <w:r w:rsidRPr="005675B2">
        <w:rPr>
          <w:rFonts w:hint="cs"/>
          <w:rtl/>
        </w:rPr>
        <w:t>الحلول وسمات الحوادث , وهذه طريقة السلف أو جماهيرهم, وهي أسلم , إذ لا يطالب</w:t>
      </w:r>
      <w:r w:rsidRPr="005675B2">
        <w:rPr>
          <w:rFonts w:hint="cs"/>
        </w:rPr>
        <w:t xml:space="preserve"> </w:t>
      </w:r>
      <w:r w:rsidRPr="005675B2">
        <w:rPr>
          <w:rFonts w:hint="cs"/>
          <w:rtl/>
        </w:rPr>
        <w:t>الإنسان بالخوض في ذلك ,فإذا اعتقد التنزيه فلا إلى الخوض في ذلك والخاطرة فيما لا</w:t>
      </w:r>
      <w:r w:rsidRPr="005675B2">
        <w:rPr>
          <w:rFonts w:hint="cs"/>
        </w:rPr>
        <w:t xml:space="preserve"> </w:t>
      </w:r>
      <w:r w:rsidRPr="005675B2">
        <w:rPr>
          <w:rFonts w:hint="cs"/>
          <w:rtl/>
        </w:rPr>
        <w:t xml:space="preserve">ضرورة بل لاحاجة إليه </w:t>
      </w:r>
      <w:r w:rsidRPr="005675B2">
        <w:rPr>
          <w:rFonts w:hint="cs"/>
          <w:u w:val="single"/>
          <w:rtl/>
        </w:rPr>
        <w:t>فإن دعت الحاجة إلى التأويل لرد مبتدع ونحوه تأولوا حينئذ</w:t>
      </w:r>
      <w:r w:rsidRPr="005675B2">
        <w:rPr>
          <w:u w:val="single"/>
        </w:rPr>
        <w:t xml:space="preserve"> , </w:t>
      </w:r>
      <w:r w:rsidRPr="005675B2">
        <w:rPr>
          <w:rFonts w:hint="cs"/>
          <w:u w:val="single"/>
          <w:rtl/>
        </w:rPr>
        <w:t>وعلى هذا يحمل ما جاء عن العلماء في هذا, والله أعلم</w:t>
      </w:r>
      <w:r w:rsidR="000636C2">
        <w:rPr>
          <w:rFonts w:hint="cs"/>
          <w:u w:val="single"/>
          <w:rtl/>
        </w:rPr>
        <w:t>،</w:t>
      </w:r>
    </w:p>
    <w:p w14:paraId="15F66CB9" w14:textId="7F601369" w:rsidR="009C32A0" w:rsidRPr="005675B2" w:rsidRDefault="009C32A0" w:rsidP="000636C2">
      <w:pPr>
        <w:rPr>
          <w:b/>
        </w:rPr>
      </w:pPr>
      <w:r w:rsidRPr="001C2CCC">
        <w:rPr>
          <w:rFonts w:hint="cs"/>
          <w:bCs/>
          <w:rtl/>
        </w:rPr>
        <w:t>قال ابن عبد البر رحمه الله في كتابه التمهيد</w:t>
      </w:r>
      <w:r w:rsidRPr="005675B2">
        <w:rPr>
          <w:rFonts w:hint="cs"/>
          <w:rtl/>
        </w:rPr>
        <w:t xml:space="preserve"> 7/137</w:t>
      </w:r>
      <w:r w:rsidR="000636C2">
        <w:rPr>
          <w:rFonts w:hint="cs"/>
          <w:rtl/>
        </w:rPr>
        <w:t>:</w:t>
      </w:r>
      <w:r w:rsidRPr="005675B2">
        <w:t xml:space="preserve"> </w:t>
      </w:r>
      <w:r w:rsidR="000636C2">
        <w:rPr>
          <w:rFonts w:hint="cs"/>
          <w:rtl/>
        </w:rPr>
        <w:t>(</w:t>
      </w:r>
      <w:r w:rsidRPr="005675B2">
        <w:rPr>
          <w:rFonts w:hint="cs"/>
          <w:rtl/>
        </w:rPr>
        <w:t>وليس مجيئه حركة ولا</w:t>
      </w:r>
      <w:r w:rsidRPr="005675B2">
        <w:rPr>
          <w:rFonts w:hint="cs"/>
        </w:rPr>
        <w:t xml:space="preserve"> </w:t>
      </w:r>
      <w:r w:rsidRPr="005675B2">
        <w:rPr>
          <w:rFonts w:hint="cs"/>
          <w:rtl/>
        </w:rPr>
        <w:t>زوالاً ولا انتقالاً، لأن ذلك إنما يكون إذا كان الجائي جسماً أو جوهراً، فلما ثبت</w:t>
      </w:r>
      <w:r w:rsidRPr="005675B2">
        <w:rPr>
          <w:rFonts w:hint="cs"/>
        </w:rPr>
        <w:t xml:space="preserve"> </w:t>
      </w:r>
      <w:r w:rsidRPr="005675B2">
        <w:rPr>
          <w:rFonts w:hint="cs"/>
          <w:rtl/>
        </w:rPr>
        <w:t>أنه ليس بجسم ولا جوهر، لم يجب أن يكون مجيئه حركة ولا نقلة، ولو اعتبرت ذلك بقولهم</w:t>
      </w:r>
      <w:r w:rsidR="000636C2">
        <w:rPr>
          <w:rFonts w:hint="cs"/>
          <w:rtl/>
        </w:rPr>
        <w:t>:</w:t>
      </w:r>
      <w:r w:rsidRPr="005675B2">
        <w:t xml:space="preserve"> </w:t>
      </w:r>
      <w:r w:rsidRPr="005675B2">
        <w:rPr>
          <w:rFonts w:hint="cs"/>
          <w:rtl/>
        </w:rPr>
        <w:t>جاءت فلاناً قيامته، وجاءه الموت، وجاءه المرض، وشبه ذلك، مما هو موجود نازل به،</w:t>
      </w:r>
      <w:r w:rsidRPr="005675B2">
        <w:rPr>
          <w:rFonts w:hint="cs"/>
        </w:rPr>
        <w:t xml:space="preserve"> </w:t>
      </w:r>
      <w:r w:rsidRPr="005675B2">
        <w:rPr>
          <w:rFonts w:hint="cs"/>
          <w:rtl/>
        </w:rPr>
        <w:t>ولا مجيء، لبان لك، وبالله العصمة والتوفيق</w:t>
      </w:r>
      <w:r w:rsidR="000636C2">
        <w:rPr>
          <w:rFonts w:hint="cs"/>
          <w:rtl/>
        </w:rPr>
        <w:t>)</w:t>
      </w:r>
      <w:r w:rsidRPr="005675B2">
        <w:rPr>
          <w:rFonts w:hint="cs"/>
          <w:rtl/>
        </w:rPr>
        <w:t xml:space="preserve"> أهـ</w:t>
      </w:r>
      <w:r w:rsidR="000636C2">
        <w:rPr>
          <w:rFonts w:hint="cs"/>
          <w:rtl/>
        </w:rPr>
        <w:t>،</w:t>
      </w:r>
    </w:p>
    <w:p w14:paraId="29B5AA1C" w14:textId="7CB10117" w:rsidR="009C32A0" w:rsidRPr="005675B2" w:rsidRDefault="009C32A0" w:rsidP="000636C2">
      <w:pPr>
        <w:rPr>
          <w:rtl/>
        </w:rPr>
      </w:pPr>
      <w:r w:rsidRPr="001C2CCC">
        <w:rPr>
          <w:rFonts w:hint="cs"/>
          <w:bCs/>
          <w:rtl/>
        </w:rPr>
        <w:t>وقال الإمام الشوكاني</w:t>
      </w:r>
      <w:r w:rsidR="000636C2">
        <w:rPr>
          <w:rFonts w:hint="cs"/>
          <w:rtl/>
        </w:rPr>
        <w:t>:</w:t>
      </w:r>
      <w:r w:rsidRPr="005675B2">
        <w:rPr>
          <w:rFonts w:hint="cs"/>
          <w:rtl/>
        </w:rPr>
        <w:t xml:space="preserve"> </w:t>
      </w:r>
      <w:r w:rsidR="000636C2">
        <w:rPr>
          <w:rFonts w:hint="cs"/>
          <w:rtl/>
        </w:rPr>
        <w:t>[</w:t>
      </w:r>
      <w:r w:rsidRPr="005675B2">
        <w:rPr>
          <w:rFonts w:hint="cs"/>
          <w:rtl/>
        </w:rPr>
        <w:t>الفصل الثاني</w:t>
      </w:r>
      <w:r w:rsidR="000636C2">
        <w:rPr>
          <w:rFonts w:hint="cs"/>
          <w:rtl/>
        </w:rPr>
        <w:t>:</w:t>
      </w:r>
      <w:r w:rsidRPr="005675B2">
        <w:rPr>
          <w:rFonts w:hint="cs"/>
          <w:rtl/>
        </w:rPr>
        <w:t>فيما يدخله التأويل وهو قسمان أحدهما</w:t>
      </w:r>
      <w:r w:rsidR="000636C2">
        <w:rPr>
          <w:rFonts w:hint="cs"/>
          <w:rtl/>
        </w:rPr>
        <w:t>:</w:t>
      </w:r>
      <w:r w:rsidRPr="005675B2">
        <w:t xml:space="preserve"> </w:t>
      </w:r>
      <w:r w:rsidRPr="005675B2">
        <w:rPr>
          <w:rFonts w:hint="cs"/>
          <w:rtl/>
        </w:rPr>
        <w:t>أغلب الفروع ولاخلاف في ذلك والثاني</w:t>
      </w:r>
      <w:r w:rsidR="000636C2">
        <w:rPr>
          <w:rFonts w:hint="cs"/>
          <w:rtl/>
        </w:rPr>
        <w:t>:</w:t>
      </w:r>
      <w:r w:rsidRPr="005675B2">
        <w:rPr>
          <w:rFonts w:hint="cs"/>
          <w:rtl/>
        </w:rPr>
        <w:t xml:space="preserve"> الأصول كالعقائد وأصول الديانات وصفات</w:t>
      </w:r>
      <w:r w:rsidRPr="005675B2">
        <w:rPr>
          <w:rFonts w:hint="cs"/>
        </w:rPr>
        <w:t xml:space="preserve"> </w:t>
      </w:r>
      <w:r w:rsidRPr="005675B2">
        <w:rPr>
          <w:rFonts w:hint="cs"/>
          <w:rtl/>
        </w:rPr>
        <w:t xml:space="preserve">الباري عزوجل ,وقد اختلفوا في هذا القسم على ثلاثة مذاهب </w:t>
      </w:r>
      <w:r w:rsidR="000636C2">
        <w:rPr>
          <w:rFonts w:hint="cs"/>
          <w:rtl/>
        </w:rPr>
        <w:t>(</w:t>
      </w:r>
      <w:r w:rsidRPr="005675B2">
        <w:rPr>
          <w:rFonts w:hint="cs"/>
          <w:rtl/>
        </w:rPr>
        <w:t>الأول</w:t>
      </w:r>
      <w:r w:rsidR="000636C2">
        <w:rPr>
          <w:rFonts w:hint="cs"/>
          <w:rtl/>
        </w:rPr>
        <w:t>)</w:t>
      </w:r>
      <w:r w:rsidRPr="005675B2">
        <w:rPr>
          <w:rFonts w:hint="cs"/>
          <w:rtl/>
        </w:rPr>
        <w:t>أنه لا مدخل</w:t>
      </w:r>
      <w:r w:rsidRPr="005675B2">
        <w:rPr>
          <w:rFonts w:hint="cs"/>
        </w:rPr>
        <w:t xml:space="preserve"> </w:t>
      </w:r>
      <w:r w:rsidRPr="005675B2">
        <w:rPr>
          <w:rFonts w:hint="cs"/>
          <w:rtl/>
        </w:rPr>
        <w:t>للتأويل فيها يجري على ظاهرها ولا يؤول شيء منها وهذا قول المشبهة ,</w:t>
      </w:r>
      <w:r w:rsidR="000636C2">
        <w:rPr>
          <w:rFonts w:hint="cs"/>
          <w:rtl/>
        </w:rPr>
        <w:t>(</w:t>
      </w:r>
      <w:r w:rsidRPr="005675B2">
        <w:rPr>
          <w:rFonts w:hint="cs"/>
          <w:rtl/>
        </w:rPr>
        <w:t>والثاني</w:t>
      </w:r>
      <w:r w:rsidR="000636C2">
        <w:rPr>
          <w:rFonts w:hint="cs"/>
          <w:rtl/>
        </w:rPr>
        <w:t>)</w:t>
      </w:r>
      <w:r w:rsidRPr="005675B2">
        <w:rPr>
          <w:rFonts w:hint="cs"/>
          <w:rtl/>
        </w:rPr>
        <w:t xml:space="preserve"> أن</w:t>
      </w:r>
      <w:r w:rsidRPr="005675B2">
        <w:rPr>
          <w:rFonts w:hint="cs"/>
        </w:rPr>
        <w:t xml:space="preserve"> </w:t>
      </w:r>
      <w:r w:rsidRPr="005675B2">
        <w:rPr>
          <w:rFonts w:hint="cs"/>
          <w:rtl/>
        </w:rPr>
        <w:t>لها تأويلها ولكنا نمسك عنه</w:t>
      </w:r>
      <w:r w:rsidR="000636C2">
        <w:rPr>
          <w:rFonts w:hint="cs"/>
          <w:rtl/>
        </w:rPr>
        <w:t xml:space="preserve"> </w:t>
      </w:r>
      <w:r w:rsidRPr="005675B2">
        <w:rPr>
          <w:rFonts w:hint="cs"/>
          <w:rtl/>
        </w:rPr>
        <w:t>مع تنزيه اعتقادنا عن التشبيه</w:t>
      </w:r>
      <w:r w:rsidRPr="005675B2">
        <w:rPr>
          <w:rFonts w:hint="cs"/>
        </w:rPr>
        <w:t xml:space="preserve"> </w:t>
      </w:r>
      <w:r w:rsidRPr="005675B2">
        <w:rPr>
          <w:rFonts w:hint="cs"/>
          <w:rtl/>
        </w:rPr>
        <w:t>والتعطيل لقوله تعالى {وما يعلم تأويله إلا الله</w:t>
      </w:r>
      <w:r w:rsidR="000636C2">
        <w:rPr>
          <w:rFonts w:hint="cs"/>
          <w:rtl/>
        </w:rPr>
        <w:t>}</w:t>
      </w:r>
      <w:r w:rsidRPr="005675B2">
        <w:rPr>
          <w:rFonts w:hint="cs"/>
          <w:rtl/>
        </w:rPr>
        <w:t xml:space="preserve"> قال ابن برهان وهذا قول السلف</w:t>
      </w:r>
      <w:r w:rsidRPr="005675B2">
        <w:rPr>
          <w:rFonts w:hint="cs"/>
        </w:rPr>
        <w:t xml:space="preserve"> </w:t>
      </w:r>
      <w:r w:rsidR="000636C2">
        <w:rPr>
          <w:rFonts w:hint="cs"/>
          <w:rtl/>
        </w:rPr>
        <w:t>(</w:t>
      </w:r>
      <w:r w:rsidRPr="005675B2">
        <w:rPr>
          <w:rFonts w:hint="cs"/>
          <w:rtl/>
        </w:rPr>
        <w:t>قلت</w:t>
      </w:r>
      <w:r w:rsidR="000636C2">
        <w:rPr>
          <w:rFonts w:hint="cs"/>
          <w:rtl/>
        </w:rPr>
        <w:t>)</w:t>
      </w:r>
      <w:r w:rsidRPr="005675B2">
        <w:rPr>
          <w:rFonts w:hint="cs"/>
          <w:rtl/>
        </w:rPr>
        <w:t>وهذا هو الطريقة الواضحة والمنهج المصحوب بالسلامة في الوقوع عن مهاوي التأويل</w:t>
      </w:r>
      <w:r w:rsidRPr="005675B2">
        <w:rPr>
          <w:rFonts w:hint="cs"/>
        </w:rPr>
        <w:t xml:space="preserve"> </w:t>
      </w:r>
      <w:r w:rsidRPr="005675B2">
        <w:rPr>
          <w:rFonts w:hint="cs"/>
          <w:rtl/>
        </w:rPr>
        <w:t>لما لا يعلم تأويله إلا الله وكفى بالسلف الصالح قدوة لمن أراد الاقتداء وأسوة لمن</w:t>
      </w:r>
      <w:r w:rsidRPr="005675B2">
        <w:rPr>
          <w:rFonts w:hint="cs"/>
        </w:rPr>
        <w:t xml:space="preserve"> </w:t>
      </w:r>
      <w:r w:rsidRPr="005675B2">
        <w:rPr>
          <w:rFonts w:hint="cs"/>
          <w:rtl/>
        </w:rPr>
        <w:t>أحب التأسي على تقدير عدم ورود الدليل القاضي بالمنع من ذلك فكيف وهو قائم موجود في</w:t>
      </w:r>
      <w:r w:rsidRPr="005675B2">
        <w:rPr>
          <w:rFonts w:hint="cs"/>
        </w:rPr>
        <w:t xml:space="preserve"> </w:t>
      </w:r>
      <w:r w:rsidRPr="005675B2">
        <w:rPr>
          <w:rFonts w:hint="cs"/>
          <w:rtl/>
        </w:rPr>
        <w:t xml:space="preserve">الكتاب والسنة </w:t>
      </w:r>
      <w:r w:rsidR="000636C2">
        <w:rPr>
          <w:rFonts w:hint="cs"/>
          <w:rtl/>
        </w:rPr>
        <w:t>(</w:t>
      </w:r>
      <w:r w:rsidRPr="005675B2">
        <w:rPr>
          <w:rFonts w:hint="cs"/>
          <w:rtl/>
        </w:rPr>
        <w:t>والمذهب الثالث</w:t>
      </w:r>
      <w:r w:rsidR="000636C2">
        <w:rPr>
          <w:rFonts w:hint="cs"/>
          <w:rtl/>
        </w:rPr>
        <w:t>)</w:t>
      </w:r>
      <w:r w:rsidRPr="005675B2">
        <w:rPr>
          <w:rFonts w:hint="cs"/>
          <w:rtl/>
        </w:rPr>
        <w:t>أنها مؤولة ,قال ابن برهان</w:t>
      </w:r>
      <w:r w:rsidR="000636C2">
        <w:rPr>
          <w:rFonts w:hint="cs"/>
          <w:rtl/>
        </w:rPr>
        <w:t>:</w:t>
      </w:r>
      <w:r w:rsidRPr="005675B2">
        <w:rPr>
          <w:rFonts w:hint="cs"/>
          <w:rtl/>
        </w:rPr>
        <w:t>والأول من هذه المذاهب</w:t>
      </w:r>
      <w:r w:rsidRPr="005675B2">
        <w:rPr>
          <w:rFonts w:hint="cs"/>
        </w:rPr>
        <w:t xml:space="preserve"> </w:t>
      </w:r>
      <w:r w:rsidRPr="005675B2">
        <w:rPr>
          <w:rFonts w:hint="cs"/>
          <w:rtl/>
        </w:rPr>
        <w:t xml:space="preserve">باطل </w:t>
      </w:r>
      <w:r w:rsidRPr="005675B2">
        <w:rPr>
          <w:rFonts w:hint="cs"/>
          <w:u w:val="single"/>
          <w:rtl/>
        </w:rPr>
        <w:t>والآخران منقولان عن الصحابة</w:t>
      </w:r>
      <w:r w:rsidRPr="005675B2">
        <w:rPr>
          <w:rFonts w:hint="cs"/>
          <w:rtl/>
        </w:rPr>
        <w:t xml:space="preserve"> ونقل هذا المذهب الثالث عن علي وابن مسعود وابن</w:t>
      </w:r>
      <w:r w:rsidRPr="005675B2">
        <w:rPr>
          <w:rFonts w:hint="cs"/>
        </w:rPr>
        <w:t xml:space="preserve"> </w:t>
      </w:r>
      <w:r w:rsidRPr="005675B2">
        <w:rPr>
          <w:rFonts w:hint="cs"/>
          <w:rtl/>
        </w:rPr>
        <w:t>عباس وأم سلمة أهـ</w:t>
      </w:r>
      <w:r w:rsidR="000636C2">
        <w:rPr>
          <w:rFonts w:hint="cs"/>
          <w:rtl/>
        </w:rPr>
        <w:t xml:space="preserve"> </w:t>
      </w:r>
      <w:r w:rsidRPr="005675B2">
        <w:rPr>
          <w:rFonts w:hint="cs"/>
          <w:rtl/>
        </w:rPr>
        <w:t>[</w:t>
      </w:r>
      <w:r w:rsidRPr="005675B2">
        <w:rPr>
          <w:rFonts w:hint="cs"/>
          <w:bCs/>
          <w:sz w:val="24"/>
          <w:szCs w:val="24"/>
          <w:rtl/>
        </w:rPr>
        <w:t>في كتابه ارشاد الفحول ص155</w:t>
      </w:r>
      <w:r w:rsidRPr="005675B2">
        <w:rPr>
          <w:rFonts w:hint="cs"/>
          <w:rtl/>
        </w:rPr>
        <w:t>]</w:t>
      </w:r>
      <w:r w:rsidRPr="005675B2">
        <w:br/>
      </w:r>
      <w:r w:rsidRPr="005675B2">
        <w:rPr>
          <w:rFonts w:hint="cs"/>
          <w:rtl/>
        </w:rPr>
        <w:t>وتأويل الصفات والايات معروف في كتب العلماء والمفسرين</w:t>
      </w:r>
      <w:r w:rsidR="000636C2">
        <w:rPr>
          <w:rFonts w:hint="cs"/>
          <w:rtl/>
        </w:rPr>
        <w:t>،</w:t>
      </w:r>
      <w:r w:rsidRPr="005675B2">
        <w:rPr>
          <w:rFonts w:hint="cs"/>
          <w:rtl/>
        </w:rPr>
        <w:t>وأما قول الله تعالى</w:t>
      </w:r>
      <w:r w:rsidR="000636C2">
        <w:rPr>
          <w:rFonts w:hint="cs"/>
          <w:rtl/>
        </w:rPr>
        <w:t>:</w:t>
      </w:r>
      <w:r w:rsidRPr="005675B2">
        <w:rPr>
          <w:rFonts w:hint="cs"/>
          <w:rtl/>
        </w:rPr>
        <w:t>{وهو القاهر فوق عباده}،قال ابن جرير</w:t>
      </w:r>
      <w:r w:rsidR="000636C2">
        <w:rPr>
          <w:rFonts w:hint="cs"/>
          <w:rtl/>
        </w:rPr>
        <w:t xml:space="preserve"> </w:t>
      </w:r>
      <w:r w:rsidRPr="005675B2">
        <w:rPr>
          <w:rFonts w:hint="cs"/>
          <w:rtl/>
        </w:rPr>
        <w:t>الطبري</w:t>
      </w:r>
      <w:r w:rsidR="000636C2">
        <w:rPr>
          <w:rFonts w:hint="cs"/>
          <w:rtl/>
        </w:rPr>
        <w:t xml:space="preserve">: </w:t>
      </w:r>
      <w:r w:rsidRPr="005675B2">
        <w:rPr>
          <w:rFonts w:hint="cs"/>
          <w:rtl/>
        </w:rPr>
        <w:t>تعالى ذكره بقوله وهو نفسه يقول والله القاهر فوق</w:t>
      </w:r>
      <w:r w:rsidRPr="005675B2">
        <w:rPr>
          <w:rFonts w:hint="cs"/>
        </w:rPr>
        <w:t xml:space="preserve"> </w:t>
      </w:r>
      <w:r w:rsidRPr="005675B2">
        <w:rPr>
          <w:rFonts w:hint="cs"/>
          <w:rtl/>
        </w:rPr>
        <w:t>عباده،ويعني بقوله القاهر المذلل المستعبد خلقه العالي عليهم،وإنما قال فوق عباده</w:t>
      </w:r>
      <w:r w:rsidRPr="005675B2">
        <w:rPr>
          <w:rFonts w:hint="cs"/>
        </w:rPr>
        <w:t xml:space="preserve"> </w:t>
      </w:r>
      <w:r w:rsidRPr="005675B2">
        <w:rPr>
          <w:rFonts w:hint="cs"/>
          <w:rtl/>
        </w:rPr>
        <w:t>لأنه نفسه تعالى بقهره إياهم ومن صفة كل قاهر أن يكون مستعليا عليه،فمعنى الكلام</w:t>
      </w:r>
      <w:r w:rsidRPr="005675B2">
        <w:rPr>
          <w:rFonts w:hint="cs"/>
        </w:rPr>
        <w:t xml:space="preserve"> </w:t>
      </w:r>
      <w:r w:rsidRPr="005675B2">
        <w:rPr>
          <w:rFonts w:hint="cs"/>
          <w:rtl/>
        </w:rPr>
        <w:t>إذا</w:t>
      </w:r>
      <w:r w:rsidR="000636C2">
        <w:rPr>
          <w:rFonts w:hint="cs"/>
          <w:rtl/>
        </w:rPr>
        <w:t>:</w:t>
      </w:r>
      <w:r w:rsidRPr="005675B2">
        <w:rPr>
          <w:rFonts w:hint="cs"/>
          <w:rtl/>
        </w:rPr>
        <w:t xml:space="preserve">والله الغالب عباده المذل لهم العالي عليهم بتذليله لهم وخلقه إياهم </w:t>
      </w:r>
      <w:r w:rsidRPr="005675B2">
        <w:rPr>
          <w:rFonts w:hint="cs"/>
          <w:u w:val="single"/>
          <w:rtl/>
        </w:rPr>
        <w:t>فهو فوقهم</w:t>
      </w:r>
      <w:r w:rsidRPr="005675B2">
        <w:rPr>
          <w:rFonts w:hint="cs"/>
          <w:u w:val="single"/>
        </w:rPr>
        <w:t xml:space="preserve"> </w:t>
      </w:r>
      <w:r w:rsidRPr="005675B2">
        <w:rPr>
          <w:rFonts w:hint="cs"/>
          <w:u w:val="single"/>
          <w:rtl/>
        </w:rPr>
        <w:t>بقهره إياهم وهم دونه اه‍</w:t>
      </w:r>
      <w:r w:rsidR="000636C2">
        <w:rPr>
          <w:rFonts w:hint="cs"/>
          <w:rtl/>
        </w:rPr>
        <w:t>،</w:t>
      </w:r>
      <w:r w:rsidRPr="005675B2">
        <w:rPr>
          <w:rFonts w:hint="cs"/>
          <w:rtl/>
        </w:rPr>
        <w:t xml:space="preserve"> [</w:t>
      </w:r>
      <w:r w:rsidRPr="005675B2">
        <w:rPr>
          <w:rFonts w:hint="cs"/>
          <w:bCs/>
          <w:sz w:val="24"/>
          <w:szCs w:val="24"/>
          <w:rtl/>
        </w:rPr>
        <w:t>تفسير الطبري</w:t>
      </w:r>
      <w:r w:rsidRPr="005675B2">
        <w:rPr>
          <w:rFonts w:hint="cs"/>
          <w:bCs/>
          <w:sz w:val="24"/>
          <w:szCs w:val="24"/>
        </w:rPr>
        <w:t xml:space="preserve"> </w:t>
      </w:r>
      <w:r w:rsidRPr="005675B2">
        <w:rPr>
          <w:rFonts w:hint="cs"/>
          <w:bCs/>
          <w:sz w:val="24"/>
          <w:szCs w:val="24"/>
          <w:rtl/>
        </w:rPr>
        <w:t>7/103</w:t>
      </w:r>
      <w:r w:rsidRPr="005675B2">
        <w:rPr>
          <w:rFonts w:hint="cs"/>
          <w:rtl/>
        </w:rPr>
        <w:t>] إذا فهي فوقية قهر وربوبية ومكانة</w:t>
      </w:r>
      <w:r w:rsidR="000636C2">
        <w:rPr>
          <w:rFonts w:hint="cs"/>
          <w:rtl/>
        </w:rPr>
        <w:t>،</w:t>
      </w:r>
      <w:r w:rsidRPr="005675B2">
        <w:rPr>
          <w:rFonts w:hint="cs"/>
          <w:rtl/>
        </w:rPr>
        <w:t xml:space="preserve"> راجع الكشاف 1/686</w:t>
      </w:r>
      <w:r w:rsidR="000636C2">
        <w:rPr>
          <w:rFonts w:hint="cs"/>
          <w:rtl/>
        </w:rPr>
        <w:t>،</w:t>
      </w:r>
      <w:r w:rsidRPr="005675B2">
        <w:rPr>
          <w:rFonts w:hint="cs"/>
          <w:rtl/>
        </w:rPr>
        <w:t>والجمل في حاشيته على الجلالين 2/14</w:t>
      </w:r>
      <w:r w:rsidR="000636C2">
        <w:rPr>
          <w:rFonts w:hint="cs"/>
          <w:rtl/>
        </w:rPr>
        <w:t>،</w:t>
      </w:r>
      <w:r w:rsidRPr="005675B2">
        <w:rPr>
          <w:rFonts w:hint="cs"/>
          <w:rtl/>
        </w:rPr>
        <w:t>وأبو حيان 4/89</w:t>
      </w:r>
      <w:r w:rsidR="000636C2">
        <w:rPr>
          <w:rFonts w:hint="cs"/>
          <w:rtl/>
        </w:rPr>
        <w:t>،</w:t>
      </w:r>
      <w:r w:rsidRPr="005675B2">
        <w:rPr>
          <w:rFonts w:hint="cs"/>
          <w:rtl/>
        </w:rPr>
        <w:t>قال القرطبي في تفسيره للآية</w:t>
      </w:r>
      <w:r w:rsidR="000636C2">
        <w:rPr>
          <w:rFonts w:hint="cs"/>
          <w:rtl/>
        </w:rPr>
        <w:t>:</w:t>
      </w:r>
      <w:r w:rsidRPr="005675B2">
        <w:rPr>
          <w:rFonts w:hint="cs"/>
          <w:rtl/>
        </w:rPr>
        <w:t>ومعنى فوق عباده فوقية الاستعلاء بالقهر والغلبة عليهم أي تحت تسخيره لافوقية مكان</w:t>
      </w:r>
      <w:r w:rsidRPr="005675B2">
        <w:rPr>
          <w:rFonts w:hint="cs"/>
        </w:rPr>
        <w:t xml:space="preserve"> </w:t>
      </w:r>
      <w:r w:rsidRPr="005675B2">
        <w:rPr>
          <w:rFonts w:hint="cs"/>
          <w:rtl/>
        </w:rPr>
        <w:t>كما تقول السلطان فوق رعيته أي بالمنزلة والرفعة وفي القهر معنى زائد وهو منع غيره</w:t>
      </w:r>
      <w:r w:rsidRPr="005675B2">
        <w:rPr>
          <w:rFonts w:hint="cs"/>
        </w:rPr>
        <w:t xml:space="preserve"> </w:t>
      </w:r>
      <w:r w:rsidRPr="005675B2">
        <w:rPr>
          <w:rFonts w:hint="cs"/>
          <w:rtl/>
        </w:rPr>
        <w:t>عن بلوغ المراد</w:t>
      </w:r>
      <w:r w:rsidR="000636C2">
        <w:rPr>
          <w:rFonts w:hint="cs"/>
          <w:rtl/>
        </w:rPr>
        <w:t>،</w:t>
      </w:r>
      <w:r w:rsidRPr="005675B2">
        <w:rPr>
          <w:rFonts w:hint="cs"/>
          <w:rtl/>
        </w:rPr>
        <w:t xml:space="preserve"> اه‍</w:t>
      </w:r>
      <w:r w:rsidR="000636C2">
        <w:rPr>
          <w:rFonts w:hint="cs"/>
          <w:rtl/>
        </w:rPr>
        <w:t>،</w:t>
      </w:r>
      <w:r w:rsidRPr="005675B2">
        <w:rPr>
          <w:rFonts w:hint="cs"/>
          <w:rtl/>
        </w:rPr>
        <w:t xml:space="preserve"> {أأمنتم من في السماء}ومعناه أأمنتم من شأنه عظيم،لأن العرب إذا</w:t>
      </w:r>
      <w:r w:rsidRPr="005675B2">
        <w:rPr>
          <w:rFonts w:hint="cs"/>
        </w:rPr>
        <w:t xml:space="preserve"> </w:t>
      </w:r>
      <w:r w:rsidRPr="005675B2">
        <w:rPr>
          <w:rFonts w:hint="cs"/>
          <w:rtl/>
        </w:rPr>
        <w:t>أرادت أن تعظم شيئا وصفته بالعلو فتقول</w:t>
      </w:r>
      <w:r w:rsidR="000636C2">
        <w:rPr>
          <w:rFonts w:hint="cs"/>
          <w:rtl/>
        </w:rPr>
        <w:t>:</w:t>
      </w:r>
      <w:r w:rsidRPr="005675B2">
        <w:rPr>
          <w:rFonts w:hint="cs"/>
          <w:rtl/>
        </w:rPr>
        <w:t>فلان اليوم في السماء</w:t>
      </w:r>
      <w:r w:rsidR="000636C2">
        <w:rPr>
          <w:rFonts w:hint="cs"/>
          <w:rtl/>
        </w:rPr>
        <w:t>،</w:t>
      </w:r>
      <w:r w:rsidRPr="005675B2">
        <w:rPr>
          <w:rFonts w:hint="cs"/>
          <w:rtl/>
        </w:rPr>
        <w:t xml:space="preserve"> راجع أبو حيان 8/302</w:t>
      </w:r>
      <w:r w:rsidR="000636C2">
        <w:rPr>
          <w:rFonts w:hint="cs"/>
          <w:rtl/>
        </w:rPr>
        <w:t>،</w:t>
      </w:r>
      <w:r w:rsidRPr="005675B2">
        <w:rPr>
          <w:rFonts w:hint="cs"/>
          <w:rtl/>
        </w:rPr>
        <w:t>الألوسي 9/130</w:t>
      </w:r>
      <w:r w:rsidR="000636C2">
        <w:rPr>
          <w:rFonts w:hint="cs"/>
          <w:rtl/>
        </w:rPr>
        <w:t>،</w:t>
      </w:r>
      <w:r w:rsidRPr="005675B2">
        <w:rPr>
          <w:rFonts w:hint="cs"/>
          <w:rtl/>
        </w:rPr>
        <w:t>والخطيب في تفسيره 4/330</w:t>
      </w:r>
      <w:r w:rsidR="000636C2">
        <w:rPr>
          <w:rFonts w:hint="cs"/>
          <w:rtl/>
        </w:rPr>
        <w:t>،</w:t>
      </w:r>
      <w:r w:rsidRPr="005675B2">
        <w:rPr>
          <w:rFonts w:hint="cs"/>
          <w:rtl/>
        </w:rPr>
        <w:t>الرازي 8/188ومن الجدير أيضاً</w:t>
      </w:r>
      <w:r w:rsidRPr="005675B2">
        <w:rPr>
          <w:rFonts w:hint="cs"/>
        </w:rPr>
        <w:t xml:space="preserve"> </w:t>
      </w:r>
      <w:r w:rsidRPr="005675B2">
        <w:rPr>
          <w:rFonts w:hint="cs"/>
          <w:rtl/>
        </w:rPr>
        <w:t>مراجعة كتاب عقيدة الإمام الحافظ ابن كثير في آيات الصفات من أئمة السلف الصالح - للشيخ محمد عادل عزيزة</w:t>
      </w:r>
      <w:r w:rsidR="000636C2">
        <w:rPr>
          <w:rFonts w:hint="cs"/>
          <w:rtl/>
        </w:rPr>
        <w:t>،</w:t>
      </w:r>
    </w:p>
    <w:p w14:paraId="394BB0CA" w14:textId="181D0118" w:rsidR="009C32A0" w:rsidRPr="005675B2" w:rsidRDefault="000636C2" w:rsidP="000636C2">
      <w:pPr>
        <w:rPr>
          <w:b/>
        </w:rPr>
      </w:pPr>
      <w:r>
        <w:rPr>
          <w:rFonts w:hint="cs"/>
          <w:bCs/>
          <w:rtl/>
        </w:rPr>
        <w:t>[</w:t>
      </w:r>
      <w:r w:rsidR="009C32A0" w:rsidRPr="001C2CCC">
        <w:rPr>
          <w:rFonts w:hint="cs"/>
          <w:bCs/>
          <w:rtl/>
        </w:rPr>
        <w:t>الأدلة والبراهين</w:t>
      </w:r>
      <w:r>
        <w:rPr>
          <w:rFonts w:hint="cs"/>
          <w:bCs/>
          <w:rtl/>
        </w:rPr>
        <w:t xml:space="preserve">]: </w:t>
      </w:r>
      <w:r w:rsidR="009C32A0" w:rsidRPr="005675B2">
        <w:rPr>
          <w:rFonts w:hint="cs"/>
          <w:rtl/>
        </w:rPr>
        <w:t>يقسم الأشاعرة أصول العقيدة</w:t>
      </w:r>
      <w:r w:rsidR="009C32A0" w:rsidRPr="005675B2">
        <w:rPr>
          <w:rFonts w:hint="cs"/>
        </w:rPr>
        <w:t xml:space="preserve"> </w:t>
      </w:r>
      <w:r w:rsidR="009C32A0" w:rsidRPr="005675B2">
        <w:rPr>
          <w:rFonts w:hint="cs"/>
          <w:rtl/>
        </w:rPr>
        <w:t>بحسب مصدر التلقي إلى ثلاثة أقسام</w:t>
      </w:r>
      <w:r>
        <w:rPr>
          <w:rFonts w:hint="cs"/>
          <w:rtl/>
        </w:rPr>
        <w:t xml:space="preserve">: </w:t>
      </w:r>
      <w:r w:rsidR="009C32A0" w:rsidRPr="005675B2">
        <w:rPr>
          <w:rFonts w:hint="cs"/>
          <w:rtl/>
        </w:rPr>
        <w:t>1 - قسم مصدره العقل وحده</w:t>
      </w:r>
      <w:r w:rsidR="009C32A0" w:rsidRPr="005675B2">
        <w:rPr>
          <w:rFonts w:hint="cs"/>
        </w:rPr>
        <w:t xml:space="preserve"> </w:t>
      </w:r>
      <w:r w:rsidR="009C32A0" w:rsidRPr="005675B2">
        <w:rPr>
          <w:rFonts w:hint="cs"/>
          <w:rtl/>
        </w:rPr>
        <w:t>وهو معظم الأبواب</w:t>
      </w:r>
      <w:r>
        <w:rPr>
          <w:rFonts w:hint="cs"/>
          <w:rtl/>
        </w:rPr>
        <w:t>،</w:t>
      </w:r>
      <w:r w:rsidR="009C32A0" w:rsidRPr="005675B2">
        <w:rPr>
          <w:rFonts w:hint="cs"/>
          <w:rtl/>
        </w:rPr>
        <w:t xml:space="preserve"> ومنه باب الصفات</w:t>
      </w:r>
      <w:r>
        <w:rPr>
          <w:rFonts w:hint="cs"/>
          <w:rtl/>
        </w:rPr>
        <w:t>،</w:t>
      </w:r>
      <w:r w:rsidR="009C32A0" w:rsidRPr="005675B2">
        <w:rPr>
          <w:rFonts w:hint="cs"/>
          <w:rtl/>
        </w:rPr>
        <w:t xml:space="preserve"> ولهذا يسمون الصفات السبع</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عقلية</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وهذا القسم هو</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ما يحكم العقل بوجوبه</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دون توقف على الوحي عندهم</w:t>
      </w:r>
      <w:r>
        <w:rPr>
          <w:rFonts w:hint="cs"/>
          <w:rtl/>
        </w:rPr>
        <w:t>،</w:t>
      </w:r>
      <w:r w:rsidR="009C32A0">
        <w:rPr>
          <w:rFonts w:hint="cs"/>
          <w:rtl/>
        </w:rPr>
        <w:t xml:space="preserve"> </w:t>
      </w:r>
      <w:r w:rsidR="009C32A0" w:rsidRPr="005675B2">
        <w:rPr>
          <w:rFonts w:hint="cs"/>
          <w:rtl/>
        </w:rPr>
        <w:t>2 - قسم مصدره العقل والنقل</w:t>
      </w:r>
      <w:r w:rsidR="009C32A0" w:rsidRPr="005675B2">
        <w:rPr>
          <w:rFonts w:hint="cs"/>
        </w:rPr>
        <w:t xml:space="preserve"> </w:t>
      </w:r>
      <w:r w:rsidR="009C32A0" w:rsidRPr="005675B2">
        <w:rPr>
          <w:rFonts w:hint="cs"/>
          <w:rtl/>
        </w:rPr>
        <w:t>معاً كالرؤية</w:t>
      </w:r>
      <w:r>
        <w:rPr>
          <w:rFonts w:hint="cs"/>
          <w:rtl/>
        </w:rPr>
        <w:t xml:space="preserve"> </w:t>
      </w:r>
      <w:r w:rsidR="009C32A0" w:rsidRPr="005675B2">
        <w:rPr>
          <w:rFonts w:hint="cs"/>
          <w:rtl/>
        </w:rPr>
        <w:t>- على خلاف بينهم فيها</w:t>
      </w:r>
      <w:r>
        <w:rPr>
          <w:rFonts w:hint="cs"/>
          <w:rtl/>
        </w:rPr>
        <w:t xml:space="preserve"> </w:t>
      </w:r>
      <w:r w:rsidR="009C32A0" w:rsidRPr="005675B2">
        <w:rPr>
          <w:rFonts w:hint="cs"/>
          <w:rtl/>
        </w:rPr>
        <w:t>- وهذا القسم هو</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ما يحكم العقل بجوازه استقلالاً أو بمعاضدة الوحي</w:t>
      </w:r>
      <w:r w:rsidR="009C32A0" w:rsidRPr="005675B2">
        <w:rPr>
          <w:rFonts w:hint="cs"/>
        </w:rPr>
        <w:t xml:space="preserve"> </w:t>
      </w:r>
      <w:r w:rsidR="009C32A0" w:rsidRPr="005675B2">
        <w:rPr>
          <w:rFonts w:hint="cs"/>
          <w:rtl/>
        </w:rPr>
        <w:t>"</w:t>
      </w:r>
      <w:r>
        <w:rPr>
          <w:rFonts w:hint="cs"/>
          <w:rtl/>
        </w:rPr>
        <w:t xml:space="preserve">، </w:t>
      </w:r>
      <w:r w:rsidR="009C32A0" w:rsidRPr="005675B2">
        <w:rPr>
          <w:rFonts w:hint="cs"/>
          <w:rtl/>
        </w:rPr>
        <w:t>3 - قسم مصدره النقل وحده</w:t>
      </w:r>
      <w:r w:rsidR="009C32A0" w:rsidRPr="005675B2">
        <w:rPr>
          <w:rFonts w:hint="cs"/>
        </w:rPr>
        <w:t xml:space="preserve"> </w:t>
      </w:r>
      <w:r w:rsidR="009C32A0" w:rsidRPr="005675B2">
        <w:rPr>
          <w:rFonts w:hint="cs"/>
          <w:rtl/>
        </w:rPr>
        <w:t>وهو السمعيات أي المغيبات من أمور الآخرة كعذاب القبر والصراط والميزان وهو عندهم</w:t>
      </w:r>
      <w:r w:rsidR="009C32A0" w:rsidRPr="005675B2">
        <w:rPr>
          <w:rFonts w:hint="cs"/>
        </w:rPr>
        <w:t xml:space="preserve"> </w:t>
      </w:r>
      <w:r w:rsidR="009C32A0" w:rsidRPr="005675B2">
        <w:rPr>
          <w:rFonts w:hint="cs"/>
          <w:rtl/>
        </w:rPr>
        <w:t>"</w:t>
      </w:r>
      <w:r w:rsidR="009C32A0" w:rsidRPr="005675B2">
        <w:rPr>
          <w:rFonts w:hint="cs"/>
        </w:rPr>
        <w:t xml:space="preserve"> </w:t>
      </w:r>
      <w:r w:rsidR="009C32A0" w:rsidRPr="005675B2">
        <w:rPr>
          <w:rFonts w:hint="cs"/>
          <w:rtl/>
        </w:rPr>
        <w:t>ما لا يحكم العقل باستحالته لكن لو لم يرد به</w:t>
      </w:r>
      <w:r w:rsidR="009C32A0" w:rsidRPr="005675B2">
        <w:rPr>
          <w:rFonts w:hint="cs"/>
        </w:rPr>
        <w:t xml:space="preserve"> </w:t>
      </w:r>
      <w:r w:rsidR="009C32A0" w:rsidRPr="005675B2">
        <w:rPr>
          <w:rFonts w:hint="cs"/>
          <w:rtl/>
        </w:rPr>
        <w:t>الوحي لم يستطع العقل إدراكه منفرداً</w:t>
      </w:r>
      <w:r w:rsidR="009C32A0" w:rsidRPr="005675B2">
        <w:rPr>
          <w:rFonts w:hint="cs"/>
        </w:rPr>
        <w:t xml:space="preserve"> </w:t>
      </w:r>
      <w:r w:rsidR="009C32A0" w:rsidRPr="005675B2">
        <w:rPr>
          <w:rFonts w:hint="cs"/>
          <w:rtl/>
        </w:rPr>
        <w:t>" .. .. ..</w:t>
      </w:r>
    </w:p>
    <w:p w14:paraId="27CA0D33" w14:textId="6936A3F2"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1</w:t>
      </w:r>
      <w:r>
        <w:rPr>
          <w:rFonts w:hint="cs"/>
          <w:rtl/>
        </w:rPr>
        <w:t xml:space="preserve"> </w:t>
      </w:r>
      <w:r w:rsidR="009C32A0" w:rsidRPr="005675B2">
        <w:rPr>
          <w:rFonts w:hint="cs"/>
          <w:rtl/>
        </w:rPr>
        <w:t>-</w:t>
      </w:r>
      <w:r>
        <w:rPr>
          <w:rFonts w:hint="cs"/>
          <w:rtl/>
        </w:rPr>
        <w:t xml:space="preserve"> </w:t>
      </w:r>
      <w:r w:rsidR="009C32A0" w:rsidRPr="005675B2">
        <w:rPr>
          <w:rFonts w:hint="cs"/>
          <w:rtl/>
        </w:rPr>
        <w:t>قولكم أن هذا هو مصدر التلقي</w:t>
      </w:r>
      <w:r>
        <w:rPr>
          <w:rFonts w:hint="cs"/>
          <w:rtl/>
        </w:rPr>
        <w:t>،</w:t>
      </w:r>
      <w:r w:rsidR="009C32A0" w:rsidRPr="005675B2">
        <w:rPr>
          <w:rFonts w:hint="cs"/>
          <w:rtl/>
        </w:rPr>
        <w:t>باطل بلا ريب</w:t>
      </w:r>
      <w:r>
        <w:rPr>
          <w:rFonts w:hint="cs"/>
          <w:rtl/>
        </w:rPr>
        <w:t xml:space="preserve"> </w:t>
      </w:r>
      <w:r w:rsidR="009C32A0" w:rsidRPr="005675B2">
        <w:rPr>
          <w:rFonts w:hint="cs"/>
          <w:rtl/>
        </w:rPr>
        <w:t>وهو تخليط بين مسألة الأدلة والبراهين</w:t>
      </w:r>
      <w:r>
        <w:rPr>
          <w:rFonts w:hint="cs"/>
          <w:rtl/>
        </w:rPr>
        <w:t>،</w:t>
      </w:r>
      <w:r w:rsidR="009C32A0" w:rsidRPr="005675B2">
        <w:rPr>
          <w:rFonts w:hint="cs"/>
          <w:rtl/>
        </w:rPr>
        <w:t>وبين مسألة مصدر التلقي ولا أريد أن أقول</w:t>
      </w:r>
      <w:r>
        <w:rPr>
          <w:rFonts w:hint="cs"/>
          <w:rtl/>
        </w:rPr>
        <w:t xml:space="preserve"> </w:t>
      </w:r>
      <w:r w:rsidR="009C32A0" w:rsidRPr="005675B2">
        <w:rPr>
          <w:rFonts w:hint="cs"/>
          <w:rtl/>
        </w:rPr>
        <w:t>إنه تدليس</w:t>
      </w:r>
      <w:r>
        <w:rPr>
          <w:rFonts w:hint="cs"/>
          <w:rtl/>
        </w:rPr>
        <w:t>،</w:t>
      </w:r>
      <w:r w:rsidR="009C32A0" w:rsidRPr="005675B2">
        <w:rPr>
          <w:rFonts w:hint="cs"/>
          <w:rtl/>
        </w:rPr>
        <w:t xml:space="preserve"> بل أقول</w:t>
      </w:r>
      <w:r>
        <w:rPr>
          <w:rFonts w:hint="cs"/>
          <w:rtl/>
        </w:rPr>
        <w:t xml:space="preserve"> </w:t>
      </w:r>
      <w:r w:rsidR="009C32A0" w:rsidRPr="005675B2">
        <w:rPr>
          <w:rFonts w:hint="cs"/>
          <w:rtl/>
        </w:rPr>
        <w:t>إنه مجرد جهل</w:t>
      </w:r>
      <w:r>
        <w:rPr>
          <w:rFonts w:hint="cs"/>
          <w:rtl/>
        </w:rPr>
        <w:t>،</w:t>
      </w:r>
      <w:r w:rsidR="009C32A0" w:rsidRPr="005675B2">
        <w:rPr>
          <w:rFonts w:hint="cs"/>
          <w:rtl/>
        </w:rPr>
        <w:t>وقد سبق أن مصدر التلقي هو الشرع فقط بشرط العقل لأنه لا تكليف على مجنون ونحوه</w:t>
      </w:r>
      <w:r>
        <w:rPr>
          <w:rFonts w:hint="cs"/>
          <w:rtl/>
        </w:rPr>
        <w:t xml:space="preserve">، </w:t>
      </w:r>
      <w:r w:rsidR="009C32A0" w:rsidRPr="005675B2">
        <w:rPr>
          <w:rFonts w:hint="cs"/>
          <w:rtl/>
        </w:rPr>
        <w:t>2</w:t>
      </w:r>
      <w:r>
        <w:rPr>
          <w:rFonts w:hint="cs"/>
          <w:rtl/>
        </w:rPr>
        <w:t xml:space="preserve"> </w:t>
      </w:r>
      <w:r w:rsidR="009C32A0" w:rsidRPr="005675B2">
        <w:rPr>
          <w:rFonts w:hint="cs"/>
          <w:rtl/>
        </w:rPr>
        <w:t>- أما البراهين</w:t>
      </w:r>
      <w:r>
        <w:rPr>
          <w:rFonts w:hint="cs"/>
          <w:rtl/>
        </w:rPr>
        <w:t xml:space="preserve"> </w:t>
      </w:r>
      <w:r w:rsidR="009C32A0" w:rsidRPr="005675B2">
        <w:rPr>
          <w:rFonts w:hint="cs"/>
          <w:rtl/>
        </w:rPr>
        <w:t>فعقلية وشرعية</w:t>
      </w:r>
      <w:r>
        <w:rPr>
          <w:rFonts w:hint="cs"/>
          <w:rtl/>
        </w:rPr>
        <w:t>،</w:t>
      </w:r>
      <w:r w:rsidR="009C32A0" w:rsidRPr="005675B2">
        <w:rPr>
          <w:rFonts w:hint="cs"/>
          <w:rtl/>
        </w:rPr>
        <w:t xml:space="preserve"> وبيان ذلك</w:t>
      </w:r>
      <w:r>
        <w:rPr>
          <w:rFonts w:hint="cs"/>
          <w:rtl/>
        </w:rPr>
        <w:t>:</w:t>
      </w:r>
      <w:r w:rsidR="009C32A0" w:rsidRPr="005675B2">
        <w:rPr>
          <w:rFonts w:hint="cs"/>
          <w:rtl/>
        </w:rPr>
        <w:t>أن الداعي إذا أراد دعوة كافر</w:t>
      </w:r>
      <w:r>
        <w:rPr>
          <w:rFonts w:hint="cs"/>
          <w:rtl/>
        </w:rPr>
        <w:t xml:space="preserve"> </w:t>
      </w:r>
      <w:r w:rsidR="009C32A0" w:rsidRPr="005675B2">
        <w:rPr>
          <w:rFonts w:hint="cs"/>
          <w:rtl/>
        </w:rPr>
        <w:t>إلى دين الإسلام</w:t>
      </w:r>
      <w:r>
        <w:rPr>
          <w:rFonts w:hint="cs"/>
          <w:rtl/>
        </w:rPr>
        <w:t>،</w:t>
      </w:r>
      <w:r w:rsidR="009C32A0">
        <w:rPr>
          <w:rFonts w:hint="cs"/>
          <w:rtl/>
        </w:rPr>
        <w:t xml:space="preserve"> </w:t>
      </w:r>
      <w:r w:rsidR="009C32A0" w:rsidRPr="005675B2">
        <w:rPr>
          <w:rFonts w:hint="cs"/>
          <w:rtl/>
        </w:rPr>
        <w:t>وقال له</w:t>
      </w:r>
      <w:r>
        <w:rPr>
          <w:rFonts w:hint="cs"/>
          <w:rtl/>
        </w:rPr>
        <w:t>:</w:t>
      </w:r>
      <w:r w:rsidR="009C32A0" w:rsidRPr="005675B2">
        <w:rPr>
          <w:rFonts w:hint="cs"/>
          <w:rtl/>
        </w:rPr>
        <w:t>ديننا حق وجاءنا رسول .. فقال له الكافر</w:t>
      </w:r>
      <w:r>
        <w:rPr>
          <w:rFonts w:hint="cs"/>
          <w:rtl/>
        </w:rPr>
        <w:t>:</w:t>
      </w:r>
      <w:r w:rsidR="009C32A0" w:rsidRPr="005675B2">
        <w:rPr>
          <w:rFonts w:hint="cs"/>
          <w:rtl/>
        </w:rPr>
        <w:t xml:space="preserve"> أنت</w:t>
      </w:r>
      <w:r>
        <w:rPr>
          <w:rFonts w:hint="cs"/>
          <w:rtl/>
        </w:rPr>
        <w:t xml:space="preserve"> </w:t>
      </w:r>
      <w:r w:rsidR="009C32A0" w:rsidRPr="005675B2">
        <w:rPr>
          <w:rFonts w:hint="cs"/>
          <w:rtl/>
        </w:rPr>
        <w:t>غير صادق فقال له</w:t>
      </w:r>
      <w:r>
        <w:rPr>
          <w:rFonts w:hint="cs"/>
          <w:rtl/>
        </w:rPr>
        <w:t>:</w:t>
      </w:r>
      <w:r w:rsidR="009C32A0" w:rsidRPr="005675B2">
        <w:rPr>
          <w:rFonts w:hint="cs"/>
          <w:rtl/>
        </w:rPr>
        <w:t xml:space="preserve"> إن</w:t>
      </w:r>
      <w:r>
        <w:rPr>
          <w:rFonts w:hint="cs"/>
          <w:rtl/>
        </w:rPr>
        <w:t xml:space="preserve"> </w:t>
      </w:r>
      <w:r w:rsidR="009C32A0" w:rsidRPr="005675B2">
        <w:rPr>
          <w:rFonts w:hint="cs"/>
          <w:rtl/>
        </w:rPr>
        <w:t>الله قال وقال وسرد عليه الأدلة من القرآن وقال له الكافر أنا لا أصدقك وأنت تتقول على الله</w:t>
      </w:r>
      <w:r>
        <w:rPr>
          <w:rFonts w:hint="cs"/>
          <w:rtl/>
        </w:rPr>
        <w:t>،</w:t>
      </w:r>
      <w:r w:rsidR="009C32A0" w:rsidRPr="005675B2">
        <w:rPr>
          <w:rFonts w:hint="cs"/>
          <w:rtl/>
        </w:rPr>
        <w:t xml:space="preserve"> فلا برهان أمامه إلا البرهان العقلي</w:t>
      </w:r>
      <w:r>
        <w:rPr>
          <w:rFonts w:hint="cs"/>
          <w:rtl/>
        </w:rPr>
        <w:t>،</w:t>
      </w:r>
      <w:r w:rsidR="009C32A0" w:rsidRPr="005675B2">
        <w:rPr>
          <w:rFonts w:hint="cs"/>
          <w:rtl/>
        </w:rPr>
        <w:t>لاحل أبداً إلا أن تبدأ معهم بالبراهين العقلية والحقائق البدهية في حدوث العالم</w:t>
      </w:r>
      <w:r>
        <w:rPr>
          <w:rFonts w:hint="cs"/>
          <w:rtl/>
        </w:rPr>
        <w:t>،</w:t>
      </w:r>
      <w:r w:rsidR="009C32A0" w:rsidRPr="005675B2">
        <w:rPr>
          <w:rFonts w:hint="cs"/>
          <w:rtl/>
        </w:rPr>
        <w:t>وأنه لابد له من محدث</w:t>
      </w:r>
      <w:r>
        <w:rPr>
          <w:rFonts w:hint="cs"/>
          <w:rtl/>
        </w:rPr>
        <w:t>،</w:t>
      </w:r>
      <w:r w:rsidR="009C32A0" w:rsidRPr="005675B2">
        <w:rPr>
          <w:rFonts w:hint="cs"/>
          <w:rtl/>
        </w:rPr>
        <w:t>وإقامة البرهان على ذلك، ثم البراهين الدالة على النبوة</w:t>
      </w:r>
      <w:r>
        <w:rPr>
          <w:rFonts w:hint="cs"/>
          <w:rtl/>
        </w:rPr>
        <w:t>،</w:t>
      </w:r>
      <w:r w:rsidR="009C32A0" w:rsidRPr="005675B2">
        <w:rPr>
          <w:rFonts w:hint="cs"/>
          <w:rtl/>
        </w:rPr>
        <w:t>وضرورتها</w:t>
      </w:r>
      <w:r>
        <w:rPr>
          <w:rFonts w:hint="cs"/>
          <w:rtl/>
        </w:rPr>
        <w:t>،</w:t>
      </w:r>
      <w:r w:rsidR="009C32A0" w:rsidRPr="005675B2">
        <w:rPr>
          <w:rFonts w:hint="cs"/>
          <w:rtl/>
        </w:rPr>
        <w:t xml:space="preserve"> فهذا معنى برهانها عقلي</w:t>
      </w:r>
      <w:r>
        <w:rPr>
          <w:rFonts w:hint="cs"/>
          <w:rtl/>
        </w:rPr>
        <w:t>،</w:t>
      </w:r>
      <w:r w:rsidR="009C32A0" w:rsidRPr="005675B2">
        <w:rPr>
          <w:rFonts w:hint="cs"/>
          <w:rtl/>
        </w:rPr>
        <w:t xml:space="preserve"> فالمسلم يؤمن برسوخ لا مجرد تقليد</w:t>
      </w:r>
      <w:r>
        <w:rPr>
          <w:rFonts w:hint="cs"/>
          <w:rtl/>
        </w:rPr>
        <w:t xml:space="preserve">، </w:t>
      </w:r>
      <w:r w:rsidR="009C32A0" w:rsidRPr="005675B2">
        <w:rPr>
          <w:rFonts w:hint="cs"/>
          <w:rtl/>
        </w:rPr>
        <w:t>3</w:t>
      </w:r>
      <w:r>
        <w:rPr>
          <w:rFonts w:hint="cs"/>
          <w:rtl/>
        </w:rPr>
        <w:t xml:space="preserve"> </w:t>
      </w:r>
      <w:r w:rsidR="009C32A0" w:rsidRPr="005675B2">
        <w:rPr>
          <w:rFonts w:hint="cs"/>
          <w:rtl/>
        </w:rPr>
        <w:t>- مسألة الرؤية</w:t>
      </w:r>
      <w:r>
        <w:rPr>
          <w:rFonts w:hint="cs"/>
          <w:rtl/>
        </w:rPr>
        <w:t>:</w:t>
      </w:r>
      <w:r w:rsidR="009C32A0" w:rsidRPr="005675B2">
        <w:rPr>
          <w:rFonts w:hint="cs"/>
          <w:rtl/>
        </w:rPr>
        <w:t>أهل السنة من الأشاعرة وغيرهم يقولون</w:t>
      </w:r>
      <w:r>
        <w:rPr>
          <w:rFonts w:hint="cs"/>
          <w:rtl/>
        </w:rPr>
        <w:t>:</w:t>
      </w:r>
      <w:r w:rsidR="009C32A0" w:rsidRPr="005675B2">
        <w:rPr>
          <w:rFonts w:hint="cs"/>
          <w:rtl/>
        </w:rPr>
        <w:t>أن الرؤية جائزة عقلاً دنيا وأخرى</w:t>
      </w:r>
      <w:r>
        <w:rPr>
          <w:rFonts w:hint="cs"/>
          <w:rtl/>
        </w:rPr>
        <w:t>،</w:t>
      </w:r>
      <w:r w:rsidR="009C32A0" w:rsidRPr="005675B2">
        <w:rPr>
          <w:rFonts w:hint="cs"/>
          <w:rtl/>
        </w:rPr>
        <w:t xml:space="preserve"> وواجب الإيمان بها شرعاً</w:t>
      </w:r>
      <w:r>
        <w:rPr>
          <w:rFonts w:hint="cs"/>
          <w:rtl/>
        </w:rPr>
        <w:t>،</w:t>
      </w:r>
      <w:r w:rsidR="009C32A0" w:rsidRPr="005675B2">
        <w:rPr>
          <w:rFonts w:hint="cs"/>
          <w:rtl/>
        </w:rPr>
        <w:t xml:space="preserve"> أ هـ</w:t>
      </w:r>
      <w:r>
        <w:rPr>
          <w:rFonts w:hint="cs"/>
          <w:rtl/>
        </w:rPr>
        <w:t xml:space="preserve"> [</w:t>
      </w:r>
      <w:r w:rsidR="009C32A0" w:rsidRPr="005675B2">
        <w:rPr>
          <w:rFonts w:hint="cs"/>
          <w:bCs/>
          <w:sz w:val="24"/>
          <w:szCs w:val="24"/>
          <w:rtl/>
        </w:rPr>
        <w:t>شرح الجوهرة 266</w:t>
      </w:r>
      <w:r w:rsidR="009C32A0" w:rsidRPr="005675B2">
        <w:rPr>
          <w:rFonts w:hint="cs"/>
          <w:rtl/>
        </w:rPr>
        <w:t>] فالجواز العقلي مبني على أن كل موجود يصح أن يرى</w:t>
      </w:r>
      <w:r>
        <w:rPr>
          <w:rFonts w:hint="cs"/>
          <w:rtl/>
        </w:rPr>
        <w:t>،</w:t>
      </w:r>
      <w:r w:rsidR="009C32A0" w:rsidRPr="005675B2">
        <w:rPr>
          <w:rFonts w:hint="cs"/>
          <w:rtl/>
        </w:rPr>
        <w:t xml:space="preserve"> وأما الحكم الشرعي فهو أن الدنيا لا يمكن فيها رؤية الله تعالى إلا لمن استثناه الدليل - وهو</w:t>
      </w:r>
      <w:r>
        <w:rPr>
          <w:rFonts w:hint="cs"/>
          <w:rtl/>
        </w:rPr>
        <w:t xml:space="preserve"> </w:t>
      </w:r>
      <w:r w:rsidR="009C32A0" w:rsidRPr="005675B2">
        <w:rPr>
          <w:rFonts w:hint="cs"/>
          <w:rtl/>
        </w:rPr>
        <w:t>سيدنا محمد صلى الله عليه وسلم ليلة المعراج</w:t>
      </w:r>
      <w:r>
        <w:rPr>
          <w:rFonts w:hint="cs"/>
          <w:rtl/>
        </w:rPr>
        <w:t>،</w:t>
      </w:r>
      <w:r w:rsidR="009C32A0" w:rsidRPr="005675B2">
        <w:rPr>
          <w:rFonts w:hint="cs"/>
          <w:rtl/>
        </w:rPr>
        <w:t>فقد وقع الخلاف بين الصحابة في ذلك</w:t>
      </w:r>
      <w:r>
        <w:rPr>
          <w:rFonts w:hint="cs"/>
          <w:rtl/>
        </w:rPr>
        <w:t>،</w:t>
      </w:r>
      <w:r w:rsidR="009C32A0" w:rsidRPr="005675B2">
        <w:rPr>
          <w:rFonts w:hint="cs"/>
          <w:rtl/>
        </w:rPr>
        <w:t xml:space="preserve"> وأما الآخرة فيجب الإيمان برؤية الله تعالى بلا كيف</w:t>
      </w:r>
      <w:r>
        <w:rPr>
          <w:rFonts w:hint="cs"/>
          <w:rtl/>
        </w:rPr>
        <w:t>،</w:t>
      </w:r>
      <w:r w:rsidR="009C32A0" w:rsidRPr="005675B2">
        <w:rPr>
          <w:rFonts w:hint="cs"/>
          <w:rtl/>
        </w:rPr>
        <w:t xml:space="preserve"> خلافاً للمعتزلة الذين نفوا الرؤية مطلقاً بدليل العقل، </w:t>
      </w:r>
      <w:r w:rsidR="009C32A0" w:rsidRPr="005675B2">
        <w:rPr>
          <w:rFonts w:hint="cs"/>
          <w:u w:val="single"/>
          <w:rtl/>
        </w:rPr>
        <w:t>وخلافاً للكاتب ومن نحا نحوه الذين لا يؤمنون بالرؤية إلا إن كانت في جهة</w:t>
      </w:r>
      <w:r>
        <w:rPr>
          <w:rFonts w:hint="cs"/>
          <w:u w:val="single"/>
          <w:rtl/>
        </w:rPr>
        <w:t>،</w:t>
      </w:r>
      <w:r>
        <w:rPr>
          <w:rFonts w:hint="cs"/>
          <w:rtl/>
        </w:rPr>
        <w:t xml:space="preserve"> </w:t>
      </w:r>
    </w:p>
    <w:p w14:paraId="0D6932E0" w14:textId="14367CD5" w:rsidR="009C32A0" w:rsidRPr="005675B2" w:rsidRDefault="009C32A0" w:rsidP="000636C2">
      <w:pPr>
        <w:rPr>
          <w:b/>
          <w:rtl/>
        </w:rPr>
      </w:pPr>
      <w:r w:rsidRPr="00CC6907">
        <w:rPr>
          <w:rFonts w:hint="cs"/>
          <w:b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النقل وحده</w:t>
      </w:r>
      <w:r w:rsidRPr="005675B2">
        <w:rPr>
          <w:rFonts w:hint="cs"/>
        </w:rPr>
        <w:t xml:space="preserve"> </w:t>
      </w:r>
      <w:r w:rsidRPr="005675B2">
        <w:rPr>
          <w:rFonts w:hint="cs"/>
          <w:rtl/>
        </w:rPr>
        <w:t>وهو السمعيات أي المغيبات من أمور الآخرة كعذاب القبر والصراط والميزان وهو عندهم</w:t>
      </w:r>
      <w:r w:rsidRPr="005675B2">
        <w:rPr>
          <w:rFonts w:hint="cs"/>
        </w:rPr>
        <w:t xml:space="preserve"> </w:t>
      </w:r>
      <w:r w:rsidRPr="005675B2">
        <w:rPr>
          <w:rFonts w:hint="cs"/>
          <w:rtl/>
        </w:rPr>
        <w:t>"</w:t>
      </w:r>
      <w:r w:rsidRPr="005675B2">
        <w:rPr>
          <w:rFonts w:hint="cs"/>
        </w:rPr>
        <w:t xml:space="preserve"> </w:t>
      </w:r>
      <w:r w:rsidRPr="005675B2">
        <w:rPr>
          <w:rFonts w:hint="cs"/>
          <w:rtl/>
        </w:rPr>
        <w:t>ما لا يحكم العقل باستحالته لكن لو لم يرد به</w:t>
      </w:r>
      <w:r w:rsidRPr="005675B2">
        <w:rPr>
          <w:rFonts w:hint="cs"/>
        </w:rPr>
        <w:t xml:space="preserve"> </w:t>
      </w:r>
      <w:r w:rsidRPr="005675B2">
        <w:rPr>
          <w:rFonts w:hint="cs"/>
          <w:rtl/>
        </w:rPr>
        <w:t>الوحي لم يستطع العقل إدراكه منفرداً</w:t>
      </w:r>
      <w:r w:rsidR="000636C2">
        <w:rPr>
          <w:rFonts w:hint="cs"/>
          <w:rtl/>
        </w:rPr>
        <w:t>،)</w:t>
      </w:r>
      <w:r w:rsidRPr="005675B2">
        <w:rPr>
          <w:rFonts w:hint="cs"/>
          <w:rtl/>
        </w:rPr>
        <w:t>أ هـ</w:t>
      </w:r>
      <w:r w:rsidR="000636C2">
        <w:rPr>
          <w:rFonts w:hint="cs"/>
          <w:rtl/>
        </w:rPr>
        <w:t>،</w:t>
      </w:r>
      <w:r>
        <w:rPr>
          <w:rFonts w:hint="cs"/>
          <w:rtl/>
        </w:rPr>
        <w:t xml:space="preserve"> </w:t>
      </w:r>
      <w:r w:rsidRPr="005675B2">
        <w:rPr>
          <w:rFonts w:hint="cs"/>
          <w:rtl/>
        </w:rPr>
        <w:t>لاشك أن من</w:t>
      </w:r>
      <w:r w:rsidR="000636C2">
        <w:rPr>
          <w:rFonts w:hint="cs"/>
          <w:rtl/>
        </w:rPr>
        <w:t xml:space="preserve"> </w:t>
      </w:r>
      <w:r w:rsidRPr="005675B2">
        <w:rPr>
          <w:rFonts w:hint="cs"/>
          <w:rtl/>
        </w:rPr>
        <w:t>مخاطبة الناس بالحشر</w:t>
      </w:r>
      <w:r w:rsidR="000636C2">
        <w:rPr>
          <w:rFonts w:hint="cs"/>
          <w:rtl/>
        </w:rPr>
        <w:t>،</w:t>
      </w:r>
      <w:r w:rsidRPr="005675B2">
        <w:rPr>
          <w:rFonts w:hint="cs"/>
          <w:rtl/>
        </w:rPr>
        <w:t>وعذاب القبر، وعذاب النار، قبل أن يؤمن بالله وبصدق الرسول صلى الله عليه وسلم قد لايجدي</w:t>
      </w:r>
      <w:r w:rsidR="000636C2">
        <w:rPr>
          <w:rFonts w:hint="cs"/>
          <w:rtl/>
        </w:rPr>
        <w:t>،</w:t>
      </w:r>
      <w:r w:rsidRPr="005675B2">
        <w:rPr>
          <w:rFonts w:hint="cs"/>
          <w:rtl/>
        </w:rPr>
        <w:t xml:space="preserve"> ومن لم يؤمن بأن القرآن منزل من الله لا يأتيه الباطل أبداً</w:t>
      </w:r>
      <w:r w:rsidR="000636C2">
        <w:rPr>
          <w:rFonts w:hint="cs"/>
          <w:rtl/>
        </w:rPr>
        <w:t>،</w:t>
      </w:r>
      <w:r w:rsidRPr="005675B2">
        <w:rPr>
          <w:rFonts w:hint="cs"/>
          <w:rtl/>
        </w:rPr>
        <w:t xml:space="preserve"> فكيف تصنع مع التجرييبين الذين لايؤمنون إلا بالمحسوس وبالتجربة والمشاهدة</w:t>
      </w:r>
      <w:r w:rsidR="000636C2">
        <w:rPr>
          <w:rFonts w:hint="cs"/>
          <w:rtl/>
        </w:rPr>
        <w:t xml:space="preserve">؟! </w:t>
      </w:r>
    </w:p>
    <w:p w14:paraId="17D16A95" w14:textId="582723C8" w:rsidR="009C32A0" w:rsidRPr="005675B2" w:rsidRDefault="009C32A0" w:rsidP="000636C2">
      <w:pPr>
        <w:rPr>
          <w:b/>
          <w:rtl/>
        </w:rPr>
      </w:pPr>
      <w:r w:rsidRPr="005675B2">
        <w:rPr>
          <w:rFonts w:hint="cs"/>
          <w:rtl/>
        </w:rPr>
        <w:t>لاحل أبداً إلا أن تبدأ معهم بالبراهين العقلية والحقائق البدهية في حدوث العالم</w:t>
      </w:r>
      <w:r w:rsidR="000636C2">
        <w:rPr>
          <w:rFonts w:hint="cs"/>
          <w:rtl/>
        </w:rPr>
        <w:t>،</w:t>
      </w:r>
      <w:r w:rsidRPr="005675B2">
        <w:rPr>
          <w:rFonts w:hint="cs"/>
          <w:rtl/>
        </w:rPr>
        <w:t>وأنه لابد له من محدث</w:t>
      </w:r>
      <w:r w:rsidR="000636C2">
        <w:rPr>
          <w:rFonts w:hint="cs"/>
          <w:rtl/>
        </w:rPr>
        <w:t>،</w:t>
      </w:r>
      <w:r w:rsidRPr="005675B2">
        <w:rPr>
          <w:rFonts w:hint="cs"/>
          <w:rtl/>
        </w:rPr>
        <w:t>وإقامة البرهان على ذلك، ثم البراهين الدالة على النبوة</w:t>
      </w:r>
      <w:r w:rsidR="000636C2">
        <w:rPr>
          <w:rFonts w:hint="cs"/>
          <w:rtl/>
        </w:rPr>
        <w:t>،</w:t>
      </w:r>
      <w:r w:rsidRPr="005675B2">
        <w:rPr>
          <w:rFonts w:hint="cs"/>
          <w:rtl/>
        </w:rPr>
        <w:t>وضرورتها، ثم البراهين الدالة على صدق الرسول صلى الله عليه وسلم</w:t>
      </w:r>
      <w:r w:rsidR="000636C2">
        <w:rPr>
          <w:rFonts w:hint="cs"/>
          <w:rtl/>
        </w:rPr>
        <w:t>،</w:t>
      </w:r>
      <w:r w:rsidRPr="005675B2">
        <w:rPr>
          <w:rFonts w:hint="cs"/>
          <w:rtl/>
        </w:rPr>
        <w:t xml:space="preserve"> فإذا صدق بكل ذلك فمن الطبيعي أن يصدق بعذاب القبر وأن الميت يجلس في قبره ويسأل</w:t>
      </w:r>
      <w:r w:rsidR="000636C2">
        <w:rPr>
          <w:rFonts w:hint="cs"/>
          <w:rtl/>
        </w:rPr>
        <w:t>،</w:t>
      </w:r>
      <w:r w:rsidRPr="005675B2">
        <w:rPr>
          <w:rFonts w:hint="cs"/>
          <w:rtl/>
        </w:rPr>
        <w:t>وأنه في نعيم أو عذاب</w:t>
      </w:r>
      <w:r w:rsidR="000636C2">
        <w:rPr>
          <w:rFonts w:hint="cs"/>
          <w:rtl/>
        </w:rPr>
        <w:t>،</w:t>
      </w:r>
      <w:r w:rsidRPr="005675B2">
        <w:rPr>
          <w:rFonts w:hint="cs"/>
          <w:rtl/>
        </w:rPr>
        <w:t xml:space="preserve"> ويفتح له في قبره باب إلى الجنة إن كان صالحاً، وهذه الأمور من البعث ونعيم القبر ونحوها</w:t>
      </w:r>
      <w:r w:rsidR="000636C2">
        <w:rPr>
          <w:rFonts w:hint="cs"/>
          <w:rtl/>
        </w:rPr>
        <w:t xml:space="preserve"> </w:t>
      </w:r>
      <w:r w:rsidRPr="005675B2">
        <w:rPr>
          <w:rFonts w:hint="cs"/>
          <w:rtl/>
        </w:rPr>
        <w:t>لا تستطيع إثباته بالعقل</w:t>
      </w:r>
      <w:r w:rsidR="000636C2">
        <w:rPr>
          <w:rFonts w:hint="cs"/>
          <w:rtl/>
        </w:rPr>
        <w:t>،</w:t>
      </w:r>
      <w:r w:rsidRPr="005675B2">
        <w:rPr>
          <w:rFonts w:hint="cs"/>
          <w:rtl/>
        </w:rPr>
        <w:t>وإنما بالنقل فقط</w:t>
      </w:r>
      <w:r w:rsidR="000636C2">
        <w:rPr>
          <w:rFonts w:hint="cs"/>
          <w:rtl/>
        </w:rPr>
        <w:t>،</w:t>
      </w:r>
      <w:r w:rsidRPr="005675B2">
        <w:rPr>
          <w:rFonts w:hint="cs"/>
          <w:rtl/>
        </w:rPr>
        <w:t>فإنها أمور غيبية لاتدرك بمجرد التصور</w:t>
      </w:r>
      <w:r w:rsidR="000636C2">
        <w:rPr>
          <w:rFonts w:hint="cs"/>
          <w:rtl/>
        </w:rPr>
        <w:t>،</w:t>
      </w:r>
      <w:r w:rsidRPr="005675B2">
        <w:rPr>
          <w:rFonts w:hint="cs"/>
          <w:rtl/>
        </w:rPr>
        <w:t xml:space="preserve"> وهذا واضح جداً لكل من له عقل يعي</w:t>
      </w:r>
      <w:r w:rsidR="000636C2">
        <w:rPr>
          <w:rFonts w:hint="cs"/>
          <w:rtl/>
        </w:rPr>
        <w:t>،</w:t>
      </w:r>
      <w:r w:rsidRPr="005675B2">
        <w:rPr>
          <w:rFonts w:hint="cs"/>
          <w:rtl/>
        </w:rPr>
        <w:t>وتجارب في دعوة الملحدين والوجوديين والتجريبيين هذا كل ما في الأمر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راجع لعظيم الفائدة كتاب كبرى اليقينيان الكونية للشيخ محمد رمضان البوطي وفقه الله</w:t>
      </w:r>
      <w:r w:rsidR="000636C2">
        <w:rPr>
          <w:rFonts w:hint="cs"/>
          <w:bCs/>
          <w:sz w:val="24"/>
          <w:szCs w:val="24"/>
          <w:rtl/>
        </w:rPr>
        <w:t>]</w:t>
      </w:r>
    </w:p>
    <w:p w14:paraId="57F29A3D" w14:textId="4FED1385" w:rsidR="009C32A0" w:rsidRPr="005675B2" w:rsidRDefault="009C32A0" w:rsidP="000636C2">
      <w:pPr>
        <w:rPr>
          <w:b/>
        </w:rPr>
      </w:pPr>
      <w:r w:rsidRPr="00CC6907">
        <w:rPr>
          <w:rFonts w:hint="cs"/>
          <w:bCs/>
          <w:rtl/>
        </w:rPr>
        <w:t>استشكالات الكاتب في مسألة</w:t>
      </w:r>
      <w:r w:rsidR="000636C2">
        <w:rPr>
          <w:rFonts w:hint="cs"/>
          <w:bCs/>
          <w:rtl/>
        </w:rPr>
        <w:t xml:space="preserve"> </w:t>
      </w:r>
      <w:r w:rsidRPr="00CC6907">
        <w:rPr>
          <w:rFonts w:hint="cs"/>
          <w:bCs/>
          <w:rtl/>
        </w:rPr>
        <w:t>التكفير</w:t>
      </w:r>
      <w:r w:rsidR="000636C2">
        <w:rPr>
          <w:rFonts w:hint="cs"/>
          <w:rtl/>
        </w:rPr>
        <w:t xml:space="preserve">: </w:t>
      </w:r>
      <w:r w:rsidRPr="005675B2">
        <w:rPr>
          <w:rFonts w:hint="cs"/>
          <w:rtl/>
        </w:rPr>
        <w:t>التكفير عند أهل السنة</w:t>
      </w:r>
      <w:r w:rsidRPr="005675B2">
        <w:rPr>
          <w:rFonts w:hint="cs"/>
        </w:rPr>
        <w:t xml:space="preserve"> </w:t>
      </w:r>
      <w:r w:rsidRPr="005675B2">
        <w:rPr>
          <w:rFonts w:hint="cs"/>
          <w:rtl/>
        </w:rPr>
        <w:t>والجماعة حق لله تعالى لا يطلق إلا على من يستحقه شرعاً ولا تردد في إطلاقه على من</w:t>
      </w:r>
      <w:r w:rsidRPr="005675B2">
        <w:rPr>
          <w:rFonts w:hint="cs"/>
        </w:rPr>
        <w:t xml:space="preserve"> </w:t>
      </w:r>
      <w:r w:rsidRPr="005675B2">
        <w:rPr>
          <w:rFonts w:hint="cs"/>
          <w:rtl/>
        </w:rPr>
        <w:t>ثبت كفره بشروطه الشرعية</w:t>
      </w:r>
      <w:r w:rsidR="000636C2">
        <w:rPr>
          <w:rFonts w:hint="cs"/>
          <w:rtl/>
        </w:rPr>
        <w:t xml:space="preserve">، </w:t>
      </w:r>
      <w:r w:rsidRPr="005675B2">
        <w:rPr>
          <w:rFonts w:hint="cs"/>
          <w:rtl/>
        </w:rPr>
        <w:t>أما الأشاعرة فهم مضطربون</w:t>
      </w:r>
      <w:r w:rsidRPr="005675B2">
        <w:rPr>
          <w:rFonts w:hint="cs"/>
        </w:rPr>
        <w:t xml:space="preserve"> </w:t>
      </w:r>
      <w:r w:rsidRPr="005675B2">
        <w:rPr>
          <w:rFonts w:hint="cs"/>
          <w:rtl/>
        </w:rPr>
        <w:t>اضطراباً كبيراً فتارة يقولون نحن لا نكفر أحداً وتارة يقولون نحن لا نكفر إلا من</w:t>
      </w:r>
      <w:r w:rsidRPr="005675B2">
        <w:rPr>
          <w:rFonts w:hint="cs"/>
        </w:rPr>
        <w:t xml:space="preserve"> </w:t>
      </w:r>
      <w:r w:rsidRPr="005675B2">
        <w:rPr>
          <w:rFonts w:hint="cs"/>
          <w:rtl/>
        </w:rPr>
        <w:t>كفرنا وتارة يكفرون بأمور لا تستوجب أكثر من التفسيق أو التبديع وتارة يكفرون بأمور</w:t>
      </w:r>
      <w:r w:rsidRPr="005675B2">
        <w:rPr>
          <w:rFonts w:hint="cs"/>
        </w:rPr>
        <w:t xml:space="preserve"> </w:t>
      </w:r>
      <w:r w:rsidRPr="005675B2">
        <w:rPr>
          <w:rFonts w:hint="cs"/>
          <w:rtl/>
        </w:rPr>
        <w:t>لا توجب مجرد التفسيق وتارة يكفرون بأمور هي نفسها شرعية ويجب على كل مسلم أن</w:t>
      </w:r>
      <w:r w:rsidRPr="005675B2">
        <w:rPr>
          <w:rFonts w:hint="cs"/>
        </w:rPr>
        <w:t xml:space="preserve"> </w:t>
      </w:r>
      <w:r w:rsidRPr="005675B2">
        <w:rPr>
          <w:rFonts w:hint="cs"/>
          <w:rtl/>
        </w:rPr>
        <w:t>يعتقدها</w:t>
      </w:r>
      <w:r w:rsidR="000636C2">
        <w:rPr>
          <w:rFonts w:hint="cs"/>
          <w:rtl/>
        </w:rPr>
        <w:t xml:space="preserve">، </w:t>
      </w:r>
      <w:r w:rsidRPr="005675B2">
        <w:rPr>
          <w:rFonts w:hint="cs"/>
          <w:rtl/>
        </w:rPr>
        <w:t>فأما قولهم لا نكفر أحداً</w:t>
      </w:r>
      <w:r w:rsidRPr="005675B2">
        <w:rPr>
          <w:rFonts w:hint="cs"/>
        </w:rPr>
        <w:t xml:space="preserve"> </w:t>
      </w:r>
      <w:r w:rsidRPr="005675B2">
        <w:rPr>
          <w:rFonts w:hint="cs"/>
          <w:rtl/>
        </w:rPr>
        <w:t>فباطل قطعاً إذ في المنتسبين إلى الإسلام فضلاً عن غيرهم كفار لاشك في كفرهم</w:t>
      </w:r>
      <w:r w:rsidR="000636C2">
        <w:rPr>
          <w:rFonts w:hint="cs"/>
          <w:rtl/>
        </w:rPr>
        <w:t>،</w:t>
      </w:r>
      <w:r w:rsidRPr="005675B2">
        <w:rPr>
          <w:rFonts w:hint="cs"/>
          <w:rtl/>
        </w:rPr>
        <w:t xml:space="preserve"> وأما</w:t>
      </w:r>
      <w:r w:rsidRPr="005675B2">
        <w:rPr>
          <w:rFonts w:hint="cs"/>
        </w:rPr>
        <w:t xml:space="preserve"> </w:t>
      </w:r>
      <w:r w:rsidRPr="005675B2">
        <w:rPr>
          <w:rFonts w:hint="cs"/>
          <w:rtl/>
        </w:rPr>
        <w:t>قولهم لا نكفر إلا من كفرنا فباطل كذلك إذ ليس تكفير أحد لنا بمسوغ أن نكفره إلا</w:t>
      </w:r>
      <w:r w:rsidRPr="005675B2">
        <w:rPr>
          <w:rFonts w:hint="cs"/>
        </w:rPr>
        <w:t xml:space="preserve"> </w:t>
      </w:r>
      <w:r w:rsidRPr="005675B2">
        <w:rPr>
          <w:rFonts w:hint="cs"/>
          <w:rtl/>
        </w:rPr>
        <w:t>إذا كان يستحق ذلك شرعاً</w:t>
      </w:r>
      <w:r w:rsidR="000636C2">
        <w:rPr>
          <w:rFonts w:hint="cs"/>
          <w:rtl/>
        </w:rPr>
        <w:t>،</w:t>
      </w:r>
      <w:r>
        <w:rPr>
          <w:rFonts w:hint="cs"/>
          <w:rtl/>
        </w:rPr>
        <w:t xml:space="preserve"> </w:t>
      </w:r>
      <w:r w:rsidRPr="005675B2">
        <w:rPr>
          <w:rFonts w:hint="cs"/>
          <w:rtl/>
        </w:rPr>
        <w:t>وأما تكفير من لا يستحق سوى</w:t>
      </w:r>
      <w:r w:rsidRPr="005675B2">
        <w:rPr>
          <w:rFonts w:hint="cs"/>
        </w:rPr>
        <w:t xml:space="preserve"> </w:t>
      </w:r>
      <w:r w:rsidRPr="005675B2">
        <w:rPr>
          <w:rFonts w:hint="cs"/>
          <w:rtl/>
        </w:rPr>
        <w:t>التبديع فمثل تصريحهم في أغلب كتبهم بتكفير من قال إن الله جسم لا كالأجسام وهذا</w:t>
      </w:r>
      <w:r w:rsidRPr="005675B2">
        <w:rPr>
          <w:rFonts w:hint="cs"/>
        </w:rPr>
        <w:t xml:space="preserve"> </w:t>
      </w:r>
      <w:r w:rsidRPr="005675B2">
        <w:rPr>
          <w:rFonts w:hint="cs"/>
          <w:rtl/>
        </w:rPr>
        <w:t>ليس بكافر</w:t>
      </w:r>
      <w:r w:rsidR="000636C2">
        <w:rPr>
          <w:rFonts w:hint="cs"/>
          <w:rtl/>
        </w:rPr>
        <w:t>،</w:t>
      </w:r>
      <w:r w:rsidRPr="005675B2">
        <w:rPr>
          <w:rFonts w:hint="cs"/>
          <w:rtl/>
        </w:rPr>
        <w:t xml:space="preserve"> بل هو ضال مبتدع</w:t>
      </w:r>
      <w:r w:rsidR="000636C2">
        <w:rPr>
          <w:rFonts w:hint="cs"/>
          <w:rtl/>
        </w:rPr>
        <w:t>،</w:t>
      </w:r>
      <w:r w:rsidRPr="005675B2">
        <w:rPr>
          <w:rFonts w:hint="cs"/>
          <w:rtl/>
        </w:rPr>
        <w:t xml:space="preserve"> لأنه أتى بلفظ لم يرد به الشرع والأشاعرة تستعمل ما</w:t>
      </w:r>
      <w:r w:rsidRPr="005675B2">
        <w:rPr>
          <w:rFonts w:hint="cs"/>
        </w:rPr>
        <w:t xml:space="preserve"> </w:t>
      </w:r>
      <w:r w:rsidRPr="005675B2">
        <w:rPr>
          <w:rFonts w:hint="cs"/>
          <w:rtl/>
        </w:rPr>
        <w:t>هو مثله وشر منه</w:t>
      </w:r>
      <w:r w:rsidR="000636C2">
        <w:rPr>
          <w:rFonts w:hint="cs"/>
          <w:rtl/>
        </w:rPr>
        <w:t>،</w:t>
      </w:r>
      <w:r w:rsidRPr="005675B2">
        <w:rPr>
          <w:rFonts w:hint="cs"/>
          <w:rtl/>
        </w:rPr>
        <w:t xml:space="preserve"> وأما تكفير من لا يستحق حتى مجرد الفسق أو المعصية فكما مر في الفقرة</w:t>
      </w:r>
      <w:r w:rsidRPr="005675B2">
        <w:rPr>
          <w:rFonts w:hint="cs"/>
        </w:rPr>
        <w:t xml:space="preserve"> </w:t>
      </w:r>
      <w:r w:rsidRPr="005675B2">
        <w:rPr>
          <w:rFonts w:hint="cs"/>
          <w:rtl/>
        </w:rPr>
        <w:t>السابعة من تكفيرهم من قال أن النار علة الإحراق والطعام علة الشبع</w:t>
      </w:r>
      <w:r w:rsidR="000636C2">
        <w:rPr>
          <w:rFonts w:hint="cs"/>
          <w:rtl/>
        </w:rPr>
        <w:t>،</w:t>
      </w:r>
      <w:r>
        <w:rPr>
          <w:rFonts w:hint="cs"/>
          <w:rtl/>
        </w:rPr>
        <w:t xml:space="preserve"> </w:t>
      </w:r>
      <w:r w:rsidRPr="005675B2">
        <w:rPr>
          <w:rFonts w:hint="cs"/>
          <w:rtl/>
        </w:rPr>
        <w:t>وأما التكفير بما هو حق في</w:t>
      </w:r>
      <w:r w:rsidRPr="005675B2">
        <w:rPr>
          <w:rFonts w:hint="cs"/>
        </w:rPr>
        <w:t xml:space="preserve"> </w:t>
      </w:r>
      <w:r w:rsidRPr="005675B2">
        <w:rPr>
          <w:rFonts w:hint="cs"/>
          <w:rtl/>
        </w:rPr>
        <w:t>نفسه يجب اعتقاده فنحو تكفيرهم لمن يثبت علو الله ومن لم يؤمن بالله على طريقة أهل</w:t>
      </w:r>
      <w:r w:rsidRPr="005675B2">
        <w:rPr>
          <w:rFonts w:hint="cs"/>
        </w:rPr>
        <w:t xml:space="preserve"> </w:t>
      </w:r>
      <w:r w:rsidRPr="005675B2">
        <w:rPr>
          <w:rFonts w:hint="cs"/>
          <w:rtl/>
        </w:rPr>
        <w:t>الكلام وكقولهم أن الأخذ بظواهر النصوص من أصول الكفر وكقولهم أن عبادة الأصنام فرع</w:t>
      </w:r>
      <w:r w:rsidRPr="005675B2">
        <w:rPr>
          <w:rFonts w:hint="cs"/>
        </w:rPr>
        <w:t xml:space="preserve"> </w:t>
      </w:r>
      <w:r w:rsidRPr="005675B2">
        <w:rPr>
          <w:rFonts w:hint="cs"/>
          <w:rtl/>
        </w:rPr>
        <w:t>من مذهب المشبهة ويعنون بهم أهل السنة والجماعة ..</w:t>
      </w:r>
      <w:r w:rsidR="000636C2">
        <w:rPr>
          <w:rFonts w:hint="cs"/>
          <w:rtl/>
        </w:rPr>
        <w:t xml:space="preserve"> </w:t>
      </w:r>
      <w:r w:rsidRPr="005675B2">
        <w:rPr>
          <w:rFonts w:hint="cs"/>
          <w:rtl/>
        </w:rPr>
        <w:t>ومن شواهد تكفير بعضهم</w:t>
      </w:r>
      <w:r w:rsidRPr="005675B2">
        <w:rPr>
          <w:rFonts w:hint="cs"/>
        </w:rPr>
        <w:t xml:space="preserve"> </w:t>
      </w:r>
      <w:r w:rsidRPr="005675B2">
        <w:rPr>
          <w:rFonts w:hint="cs"/>
          <w:rtl/>
        </w:rPr>
        <w:t>قديماً وحديثاً لشيخ الإسلام ابن تيمية وابن القيم وحسبك ما في كتب الكوثري وتلميذه</w:t>
      </w:r>
      <w:r w:rsidRPr="005675B2">
        <w:rPr>
          <w:rFonts w:hint="cs"/>
        </w:rPr>
        <w:t xml:space="preserve"> </w:t>
      </w:r>
      <w:r w:rsidRPr="005675B2">
        <w:rPr>
          <w:rFonts w:hint="cs"/>
          <w:rtl/>
        </w:rPr>
        <w:t>مؤلف براءة الأشعريين</w:t>
      </w:r>
      <w:r w:rsidR="000636C2">
        <w:rPr>
          <w:rFonts w:hint="cs"/>
          <w:rtl/>
        </w:rPr>
        <w:t>،</w:t>
      </w:r>
    </w:p>
    <w:p w14:paraId="1113F446" w14:textId="0B0DAD89" w:rsidR="009C32A0" w:rsidRPr="005675B2" w:rsidRDefault="000636C2" w:rsidP="000636C2">
      <w:pPr>
        <w:rPr>
          <w:b/>
          <w:rtl/>
        </w:rPr>
      </w:pPr>
      <w:r>
        <w:rPr>
          <w:rFonts w:hint="cs"/>
          <w:bCs/>
          <w:rtl/>
        </w:rPr>
        <w:t>[</w:t>
      </w:r>
      <w:r w:rsidR="009C32A0" w:rsidRPr="00CC6907">
        <w:rPr>
          <w:rFonts w:hint="cs"/>
          <w:bCs/>
          <w:rtl/>
        </w:rPr>
        <w:t>الجواب</w:t>
      </w:r>
      <w:r>
        <w:rPr>
          <w:rFonts w:hint="cs"/>
          <w:bCs/>
          <w:rtl/>
        </w:rPr>
        <w:t>]</w:t>
      </w:r>
      <w:r>
        <w:rPr>
          <w:rFonts w:hint="cs"/>
          <w:rtl/>
        </w:rPr>
        <w:t>:</w:t>
      </w:r>
      <w:r w:rsidR="009C32A0" w:rsidRPr="005675B2">
        <w:rPr>
          <w:rFonts w:hint="cs"/>
          <w:rtl/>
        </w:rPr>
        <w:t xml:space="preserve"> أما هذه فاعذرني أن أذكركم بالمثل العربي</w:t>
      </w:r>
      <w:r>
        <w:rPr>
          <w:rFonts w:hint="cs"/>
          <w:rtl/>
        </w:rPr>
        <w:t>:</w:t>
      </w:r>
      <w:r w:rsidR="009C32A0" w:rsidRPr="005675B2">
        <w:rPr>
          <w:rFonts w:hint="cs"/>
          <w:rtl/>
        </w:rPr>
        <w:t xml:space="preserve"> رمتني بدائها وانسلت</w:t>
      </w:r>
      <w:r>
        <w:rPr>
          <w:rFonts w:hint="cs"/>
          <w:rtl/>
        </w:rPr>
        <w:t>،</w:t>
      </w:r>
      <w:r w:rsidR="009C32A0" w:rsidRPr="005675B2">
        <w:rPr>
          <w:rFonts w:hint="cs"/>
          <w:rtl/>
        </w:rPr>
        <w:t xml:space="preserve"> </w:t>
      </w:r>
      <w:r>
        <w:rPr>
          <w:rFonts w:hint="cs"/>
          <w:rtl/>
        </w:rPr>
        <w:t>[</w:t>
      </w:r>
      <w:r w:rsidR="009C32A0" w:rsidRPr="005675B2">
        <w:rPr>
          <w:rFonts w:hint="cs"/>
          <w:bCs/>
          <w:sz w:val="24"/>
          <w:szCs w:val="24"/>
          <w:rtl/>
        </w:rPr>
        <w:t>راجع ما كتب بعالية</w:t>
      </w:r>
      <w:r>
        <w:rPr>
          <w:rFonts w:hint="cs"/>
          <w:bCs/>
          <w:sz w:val="24"/>
          <w:szCs w:val="24"/>
          <w:rtl/>
        </w:rPr>
        <w:t>،</w:t>
      </w:r>
      <w:r w:rsidR="009C32A0" w:rsidRPr="005675B2">
        <w:rPr>
          <w:rFonts w:hint="cs"/>
          <w:bCs/>
          <w:sz w:val="24"/>
          <w:szCs w:val="24"/>
          <w:rtl/>
        </w:rPr>
        <w:t xml:space="preserve"> عند الكلام عن وصية الإمام الرازي</w:t>
      </w:r>
      <w:r>
        <w:rPr>
          <w:rFonts w:hint="cs"/>
          <w:bCs/>
          <w:sz w:val="24"/>
          <w:szCs w:val="24"/>
          <w:rtl/>
        </w:rPr>
        <w:t>]</w:t>
      </w:r>
      <w:r>
        <w:rPr>
          <w:rFonts w:hint="cs"/>
          <w:rtl/>
        </w:rPr>
        <w:t>،</w:t>
      </w:r>
      <w:r w:rsidR="009C32A0">
        <w:rPr>
          <w:rFonts w:hint="cs"/>
          <w:rtl/>
        </w:rPr>
        <w:t xml:space="preserve"> </w:t>
      </w:r>
      <w:r w:rsidR="009C32A0" w:rsidRPr="005675B2">
        <w:rPr>
          <w:rFonts w:hint="cs"/>
          <w:rtl/>
        </w:rPr>
        <w:t>قال ابن تيمية</w:t>
      </w:r>
      <w:r>
        <w:rPr>
          <w:rFonts w:hint="cs"/>
          <w:rtl/>
        </w:rPr>
        <w:t>:</w:t>
      </w:r>
      <w:r w:rsidR="009C32A0" w:rsidRPr="005675B2">
        <w:rPr>
          <w:rFonts w:hint="cs"/>
          <w:rtl/>
        </w:rPr>
        <w:t>فإِنه في آخر شهر رمضان سنة ست وعشرين وسبعمائة جاء أَميران رسولين من عند الملأ المجتمعين من الأمراء والقضاة ومن معهم ..</w:t>
      </w:r>
      <w:r>
        <w:rPr>
          <w:rFonts w:hint="cs"/>
          <w:rtl/>
        </w:rPr>
        <w:t>]</w:t>
      </w:r>
      <w:r w:rsidR="009C32A0" w:rsidRPr="005675B2">
        <w:rPr>
          <w:rFonts w:hint="cs"/>
          <w:rtl/>
        </w:rPr>
        <w:t xml:space="preserve"> ثم قال </w:t>
      </w:r>
      <w:r>
        <w:rPr>
          <w:rFonts w:hint="cs"/>
          <w:rtl/>
        </w:rPr>
        <w:t>[</w:t>
      </w:r>
      <w:r w:rsidR="009C32A0" w:rsidRPr="005675B2">
        <w:rPr>
          <w:rFonts w:hint="cs"/>
          <w:rtl/>
        </w:rPr>
        <w:t xml:space="preserve">فأخذا </w:t>
      </w:r>
      <w:r w:rsidR="009C32A0">
        <w:rPr>
          <w:rFonts w:hint="cs"/>
          <w:rtl/>
        </w:rPr>
        <w:t xml:space="preserve">الجواب </w:t>
      </w:r>
      <w:r w:rsidR="009C32A0" w:rsidRPr="005675B2">
        <w:rPr>
          <w:rFonts w:hint="cs"/>
          <w:rtl/>
        </w:rPr>
        <w:t>وذهبا</w:t>
      </w:r>
      <w:r>
        <w:rPr>
          <w:rFonts w:hint="cs"/>
          <w:rtl/>
        </w:rPr>
        <w:t>،</w:t>
      </w:r>
      <w:r w:rsidR="009C32A0" w:rsidRPr="005675B2">
        <w:rPr>
          <w:rFonts w:hint="cs"/>
          <w:rtl/>
        </w:rPr>
        <w:t xml:space="preserve"> فأطالا الغيبة</w:t>
      </w:r>
      <w:r>
        <w:rPr>
          <w:rFonts w:hint="cs"/>
          <w:rtl/>
        </w:rPr>
        <w:t>،</w:t>
      </w:r>
      <w:r w:rsidR="009C32A0" w:rsidRPr="005675B2">
        <w:rPr>
          <w:rFonts w:hint="cs"/>
          <w:rtl/>
        </w:rPr>
        <w:t xml:space="preserve"> ثم رجعا ولم يأتيا بكلام محصل إِلا طلب الحضور</w:t>
      </w:r>
      <w:r>
        <w:rPr>
          <w:rFonts w:hint="cs"/>
          <w:rtl/>
        </w:rPr>
        <w:t>،</w:t>
      </w:r>
      <w:r w:rsidR="009C32A0" w:rsidRPr="005675B2">
        <w:rPr>
          <w:rFonts w:hint="cs"/>
          <w:rtl/>
        </w:rPr>
        <w:t xml:space="preserve"> فأَغلظت لهم في </w:t>
      </w:r>
      <w:r>
        <w:rPr>
          <w:rFonts w:hint="cs"/>
          <w:rtl/>
        </w:rPr>
        <w:t>[</w:t>
      </w:r>
      <w:r w:rsidR="009C32A0">
        <w:rPr>
          <w:rFonts w:hint="cs"/>
          <w:rtl/>
        </w:rPr>
        <w:t>الجواب</w:t>
      </w:r>
      <w:r>
        <w:rPr>
          <w:rFonts w:hint="cs"/>
          <w:rtl/>
        </w:rPr>
        <w:t>]،</w:t>
      </w:r>
      <w:r w:rsidR="009C32A0" w:rsidRPr="005675B2">
        <w:rPr>
          <w:rFonts w:hint="cs"/>
          <w:rtl/>
        </w:rPr>
        <w:t xml:space="preserve"> وقلت لهم بصوت رفيع</w:t>
      </w:r>
      <w:r>
        <w:rPr>
          <w:rFonts w:hint="cs"/>
          <w:rtl/>
        </w:rPr>
        <w:t>:</w:t>
      </w:r>
      <w:r w:rsidR="009C32A0" w:rsidRPr="005675B2">
        <w:rPr>
          <w:rFonts w:hint="cs"/>
          <w:rtl/>
        </w:rPr>
        <w:t xml:space="preserve"> يا مبدِّلين</w:t>
      </w:r>
      <w:r>
        <w:rPr>
          <w:rFonts w:hint="cs"/>
          <w:rtl/>
        </w:rPr>
        <w:t>،</w:t>
      </w:r>
      <w:r w:rsidR="009C32A0" w:rsidRPr="005675B2">
        <w:rPr>
          <w:rFonts w:hint="cs"/>
          <w:rtl/>
        </w:rPr>
        <w:t xml:space="preserve"> </w:t>
      </w:r>
      <w:r w:rsidR="009C32A0" w:rsidRPr="005675B2">
        <w:rPr>
          <w:rFonts w:hint="cs"/>
          <w:u w:val="single"/>
          <w:rtl/>
        </w:rPr>
        <w:t>يا مرتدين عن الشَّريعة</w:t>
      </w:r>
      <w:r>
        <w:rPr>
          <w:rFonts w:hint="cs"/>
          <w:u w:val="single"/>
          <w:rtl/>
        </w:rPr>
        <w:t>،</w:t>
      </w:r>
      <w:r w:rsidR="009C32A0" w:rsidRPr="005675B2">
        <w:rPr>
          <w:rFonts w:hint="cs"/>
          <w:u w:val="single"/>
          <w:rtl/>
        </w:rPr>
        <w:t xml:space="preserve"> يا زنادقة</w:t>
      </w:r>
      <w:r>
        <w:rPr>
          <w:rFonts w:hint="cs"/>
          <w:u w:val="single"/>
          <w:rtl/>
        </w:rPr>
        <w:t>]</w:t>
      </w:r>
      <w:r w:rsidR="009C32A0" w:rsidRPr="005675B2">
        <w:rPr>
          <w:rFonts w:hint="cs"/>
          <w:rtl/>
        </w:rPr>
        <w:t xml:space="preserve"> </w:t>
      </w:r>
      <w:r>
        <w:rPr>
          <w:rFonts w:hint="cs"/>
          <w:rtl/>
        </w:rPr>
        <w:t>[</w:t>
      </w:r>
      <w:r w:rsidR="009C32A0" w:rsidRPr="005675B2">
        <w:rPr>
          <w:rFonts w:hint="cs"/>
          <w:bCs/>
          <w:sz w:val="24"/>
          <w:szCs w:val="24"/>
          <w:rtl/>
        </w:rPr>
        <w:t>التسعينية لابن تيمية: ص 2</w:t>
      </w:r>
      <w:r>
        <w:rPr>
          <w:rFonts w:hint="cs"/>
          <w:bCs/>
          <w:sz w:val="24"/>
          <w:szCs w:val="24"/>
          <w:rtl/>
        </w:rPr>
        <w:t>،</w:t>
      </w:r>
      <w:r w:rsidR="009C32A0" w:rsidRPr="005675B2">
        <w:rPr>
          <w:rFonts w:hint="cs"/>
          <w:bCs/>
          <w:sz w:val="24"/>
          <w:szCs w:val="24"/>
          <w:rtl/>
        </w:rPr>
        <w:t xml:space="preserve"> 4</w:t>
      </w:r>
      <w:r>
        <w:rPr>
          <w:rFonts w:hint="cs"/>
          <w:bCs/>
          <w:sz w:val="24"/>
          <w:szCs w:val="24"/>
          <w:rtl/>
        </w:rPr>
        <w:t>]</w:t>
      </w:r>
      <w:r>
        <w:rPr>
          <w:rFonts w:hint="cs"/>
          <w:rtl/>
        </w:rPr>
        <w:t>،</w:t>
      </w:r>
      <w:r w:rsidR="009C32A0">
        <w:rPr>
          <w:rFonts w:hint="cs"/>
          <w:rtl/>
        </w:rPr>
        <w:t xml:space="preserve"> </w:t>
      </w:r>
      <w:r w:rsidR="009C32A0" w:rsidRPr="005675B2">
        <w:rPr>
          <w:rFonts w:hint="cs"/>
          <w:rtl/>
        </w:rPr>
        <w:t>وقال ابن تيمية -</w:t>
      </w:r>
      <w:r>
        <w:rPr>
          <w:rFonts w:hint="cs"/>
          <w:rtl/>
        </w:rPr>
        <w:t>:</w:t>
      </w:r>
      <w:r w:rsidR="009C32A0" w:rsidRPr="005675B2">
        <w:rPr>
          <w:rFonts w:hint="cs"/>
          <w:rtl/>
        </w:rPr>
        <w:t xml:space="preserve"> </w:t>
      </w:r>
      <w:r>
        <w:rPr>
          <w:rFonts w:hint="cs"/>
          <w:rtl/>
        </w:rPr>
        <w:t>[</w:t>
      </w:r>
      <w:r w:rsidR="009C32A0" w:rsidRPr="005675B2">
        <w:rPr>
          <w:rFonts w:hint="cs"/>
          <w:rtl/>
        </w:rPr>
        <w:t>كما يقال الأَشعرية مخانيثُ المعتزلة</w:t>
      </w:r>
      <w:r>
        <w:rPr>
          <w:rFonts w:hint="cs"/>
          <w:rtl/>
        </w:rPr>
        <w:t>،</w:t>
      </w:r>
      <w:r w:rsidR="009C32A0" w:rsidRPr="005675B2">
        <w:rPr>
          <w:rFonts w:hint="cs"/>
          <w:rtl/>
        </w:rPr>
        <w:t xml:space="preserve"> والمعتزلة مخانيث الفلاسفة</w:t>
      </w:r>
      <w:r>
        <w:rPr>
          <w:rFonts w:hint="cs"/>
          <w:rtl/>
        </w:rPr>
        <w:t>]،</w:t>
      </w:r>
      <w:r w:rsidR="009C32A0" w:rsidRPr="005675B2">
        <w:rPr>
          <w:rFonts w:hint="cs"/>
          <w:rtl/>
        </w:rPr>
        <w:t xml:space="preserve"> ثم قال</w:t>
      </w:r>
      <w:r>
        <w:rPr>
          <w:rFonts w:hint="cs"/>
          <w:rtl/>
        </w:rPr>
        <w:t>:</w:t>
      </w:r>
      <w:r w:rsidR="009C32A0" w:rsidRPr="005675B2">
        <w:rPr>
          <w:rFonts w:hint="cs"/>
          <w:rtl/>
        </w:rPr>
        <w:t xml:space="preserve"> </w:t>
      </w:r>
      <w:r>
        <w:rPr>
          <w:rFonts w:hint="cs"/>
          <w:rtl/>
        </w:rPr>
        <w:t>[</w:t>
      </w:r>
      <w:r w:rsidR="009C32A0" w:rsidRPr="005675B2">
        <w:rPr>
          <w:rFonts w:hint="cs"/>
          <w:rtl/>
        </w:rPr>
        <w:t>.. وإِنما اعتقادهم أَنَّ القرآن غيرُ موجود</w:t>
      </w:r>
      <w:r>
        <w:rPr>
          <w:rFonts w:hint="cs"/>
          <w:rtl/>
        </w:rPr>
        <w:t>،</w:t>
      </w:r>
      <w:r w:rsidR="009C32A0" w:rsidRPr="005675B2">
        <w:rPr>
          <w:rFonts w:hint="cs"/>
          <w:rtl/>
        </w:rPr>
        <w:t xml:space="preserve"> لفظته الجهمية الذكور بمرَّة والأشعرية الإناث بعشرِ مرات</w:t>
      </w:r>
      <w:r>
        <w:rPr>
          <w:rFonts w:hint="cs"/>
          <w:rtl/>
        </w:rPr>
        <w:t>]</w:t>
      </w:r>
      <w:r w:rsidR="009C32A0" w:rsidRPr="005675B2">
        <w:rPr>
          <w:rFonts w:hint="cs"/>
          <w:rtl/>
        </w:rPr>
        <w:t xml:space="preserve"> [</w:t>
      </w:r>
      <w:r w:rsidR="009C32A0" w:rsidRPr="005675B2">
        <w:rPr>
          <w:rFonts w:hint="cs"/>
          <w:bCs/>
          <w:sz w:val="24"/>
          <w:szCs w:val="24"/>
          <w:rtl/>
        </w:rPr>
        <w:t>المصدر السابق: 272ـ</w:t>
      </w:r>
      <w:r>
        <w:rPr>
          <w:rFonts w:hint="cs"/>
          <w:bCs/>
          <w:sz w:val="24"/>
          <w:szCs w:val="24"/>
          <w:rtl/>
        </w:rPr>
        <w:t xml:space="preserve"> </w:t>
      </w:r>
      <w:r w:rsidR="009C32A0" w:rsidRPr="005675B2">
        <w:rPr>
          <w:rFonts w:hint="cs"/>
          <w:bCs/>
          <w:sz w:val="24"/>
          <w:szCs w:val="24"/>
          <w:rtl/>
        </w:rPr>
        <w:t>276 ورد الشيخ صلاح الدين الأدلبي</w:t>
      </w:r>
      <w:r>
        <w:rPr>
          <w:rFonts w:hint="cs"/>
          <w:bCs/>
          <w:sz w:val="24"/>
          <w:szCs w:val="24"/>
          <w:rtl/>
        </w:rPr>
        <w:t>]</w:t>
      </w:r>
      <w:r>
        <w:rPr>
          <w:rFonts w:hint="cs"/>
          <w:rtl/>
        </w:rPr>
        <w:t>،</w:t>
      </w:r>
      <w:r w:rsidR="009C32A0" w:rsidRPr="005675B2">
        <w:rPr>
          <w:rFonts w:hint="cs"/>
          <w:rtl/>
        </w:rPr>
        <w:t xml:space="preserve"> فهل التلفُّظ بمثل هذا مما يليق بعالم من علماء المسلمين</w:t>
      </w:r>
      <w:r>
        <w:rPr>
          <w:rFonts w:hint="cs"/>
          <w:rtl/>
        </w:rPr>
        <w:t xml:space="preserve">؟، </w:t>
      </w:r>
      <w:r w:rsidR="009C32A0" w:rsidRPr="005675B2">
        <w:rPr>
          <w:rFonts w:hint="cs"/>
          <w:rtl/>
        </w:rPr>
        <w:t>وقال إسحاق بن عبدالرحمن بن حسن</w:t>
      </w:r>
      <w:r>
        <w:rPr>
          <w:rFonts w:hint="cs"/>
          <w:rtl/>
        </w:rPr>
        <w:t xml:space="preserve"> </w:t>
      </w:r>
      <w:r w:rsidR="009C32A0" w:rsidRPr="005675B2">
        <w:rPr>
          <w:rFonts w:hint="cs"/>
          <w:rtl/>
        </w:rPr>
        <w:t>آل الشيخ مثبتاً تكفير الشيخ محمد بن عبدالوهاب لعلماء الإسلام في عصره</w:t>
      </w:r>
      <w:r>
        <w:rPr>
          <w:rFonts w:hint="cs"/>
          <w:rtl/>
        </w:rPr>
        <w:t>:</w:t>
      </w:r>
      <w:r w:rsidR="009C32A0" w:rsidRPr="005675B2">
        <w:rPr>
          <w:rFonts w:hint="cs"/>
          <w:rtl/>
        </w:rPr>
        <w:t xml:space="preserve"> بل العبارة صريحة واضحة في تكفير مثل ابن فيروز وصالح بن عبدالله وأمثالهما كفراً ظاهراً ينقل عن الملة فضلاً عن غيرهما</w:t>
      </w:r>
      <w:r>
        <w:rPr>
          <w:rFonts w:hint="cs"/>
          <w:rtl/>
        </w:rPr>
        <w:t>،!</w:t>
      </w:r>
      <w:r w:rsidR="009C32A0" w:rsidRPr="005675B2">
        <w:rPr>
          <w:rFonts w:hint="cs"/>
          <w:rtl/>
        </w:rPr>
        <w:t xml:space="preserve">! </w:t>
      </w:r>
      <w:r>
        <w:rPr>
          <w:rFonts w:hint="cs"/>
          <w:rtl/>
        </w:rPr>
        <w:t>[</w:t>
      </w:r>
      <w:r w:rsidR="009C32A0" w:rsidRPr="005675B2">
        <w:rPr>
          <w:rFonts w:hint="cs"/>
          <w:bCs/>
          <w:sz w:val="24"/>
          <w:szCs w:val="24"/>
          <w:rtl/>
        </w:rPr>
        <w:t>تكفير المعين والفرق بين قيام الحجة وفهم الحجة ص10 تحقيق عبدالعزيز الفوزان</w:t>
      </w:r>
      <w:r>
        <w:rPr>
          <w:rFonts w:hint="cs"/>
          <w:rtl/>
        </w:rPr>
        <w:t xml:space="preserve">]، </w:t>
      </w:r>
      <w:r w:rsidR="009C32A0" w:rsidRPr="005675B2">
        <w:rPr>
          <w:rFonts w:hint="cs"/>
          <w:rtl/>
        </w:rPr>
        <w:t>وكل الرسالة تدور حول تكفير المسلم بعينه لا مجرد الكفر الوصفي</w:t>
      </w:r>
      <w:r>
        <w:rPr>
          <w:rFonts w:hint="cs"/>
          <w:rtl/>
        </w:rPr>
        <w:t>،</w:t>
      </w:r>
      <w:r w:rsidR="009C32A0" w:rsidRPr="005675B2">
        <w:rPr>
          <w:rFonts w:hint="cs"/>
          <w:rtl/>
        </w:rPr>
        <w:t>وهي مؤلفة للرد على من قال منهم بالتفريق بين كفر الوصف وكفر المعين</w:t>
      </w:r>
      <w:r>
        <w:rPr>
          <w:rFonts w:hint="cs"/>
          <w:rtl/>
        </w:rPr>
        <w:t>،</w:t>
      </w:r>
    </w:p>
    <w:p w14:paraId="458EDA4D" w14:textId="405A6FCC"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فاتهامك الأشاعرة بالتكفير باطل أيما بطلان</w:t>
      </w:r>
      <w:r w:rsidR="000636C2">
        <w:rPr>
          <w:rFonts w:hint="cs"/>
          <w:rtl/>
        </w:rPr>
        <w:t>،</w:t>
      </w:r>
      <w:r w:rsidRPr="005675B2">
        <w:rPr>
          <w:rFonts w:hint="cs"/>
          <w:rtl/>
        </w:rPr>
        <w:t>وتنزيهك للشيخ عن القول بالتكفير باطل وقد تقدم</w:t>
      </w:r>
      <w:r>
        <w:rPr>
          <w:rFonts w:hint="cs"/>
          <w:rtl/>
        </w:rPr>
        <w:t xml:space="preserve"> </w:t>
      </w:r>
      <w:r w:rsidRPr="005675B2">
        <w:rPr>
          <w:rFonts w:hint="cs"/>
          <w:rtl/>
        </w:rPr>
        <w:t>إثبات ذلك</w:t>
      </w:r>
      <w:r w:rsidR="000636C2">
        <w:rPr>
          <w:rFonts w:hint="cs"/>
          <w:rtl/>
        </w:rPr>
        <w:t>،</w:t>
      </w:r>
      <w:r w:rsidRPr="005675B2">
        <w:rPr>
          <w:rFonts w:hint="cs"/>
          <w:rtl/>
        </w:rPr>
        <w:t xml:space="preserve"> بل المنهج يقوم على التكفير بالأعيان الذي يتبعه قتل الأبدان</w:t>
      </w:r>
      <w:r w:rsidR="000636C2">
        <w:rPr>
          <w:rFonts w:hint="cs"/>
          <w:rtl/>
        </w:rPr>
        <w:t>،</w:t>
      </w:r>
      <w:r w:rsidRPr="005675B2">
        <w:rPr>
          <w:rFonts w:hint="cs"/>
          <w:rtl/>
        </w:rPr>
        <w:t>وسفك الدماء في شتى البلدان بدعوى نشر التوحيد في جزيرة العرب لأن الشيطان لم ييأس أن يعبد فيها هذا هو لسان حالهم</w:t>
      </w:r>
      <w:r w:rsidR="000636C2">
        <w:rPr>
          <w:rFonts w:hint="cs"/>
          <w:rtl/>
        </w:rPr>
        <w:t>،</w:t>
      </w:r>
    </w:p>
    <w:p w14:paraId="145990A5" w14:textId="0DD31A28"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أقل لكم كلاماً نفيساً للإمام تقي الدين السبكي الأشعري - رحمه الله -</w:t>
      </w:r>
      <w:r w:rsidR="000636C2">
        <w:rPr>
          <w:rFonts w:hint="cs"/>
          <w:rtl/>
        </w:rPr>
        <w:t xml:space="preserve"> </w:t>
      </w:r>
      <w:r w:rsidRPr="005675B2">
        <w:rPr>
          <w:rFonts w:hint="cs"/>
          <w:rtl/>
        </w:rPr>
        <w:t>قال</w:t>
      </w:r>
      <w:r w:rsidR="000636C2">
        <w:rPr>
          <w:rFonts w:hint="cs"/>
          <w:rtl/>
        </w:rPr>
        <w:t>:</w:t>
      </w:r>
      <w:r w:rsidRPr="005675B2">
        <w:rPr>
          <w:rFonts w:hint="cs"/>
          <w:rtl/>
        </w:rPr>
        <w:t xml:space="preserve"> من كتابه قضاء الأرب من أسئلة حلب قال رحمه الله لتلميذه</w:t>
      </w:r>
      <w:r w:rsidRPr="005675B2">
        <w:rPr>
          <w:rFonts w:hint="cs"/>
        </w:rPr>
        <w:t xml:space="preserve"> </w:t>
      </w:r>
      <w:r w:rsidRPr="005675B2">
        <w:rPr>
          <w:rFonts w:hint="cs"/>
          <w:rtl/>
        </w:rPr>
        <w:t>الإمام شهاب الدين الأذرعي</w:t>
      </w:r>
      <w:r w:rsidR="000636C2">
        <w:rPr>
          <w:rFonts w:hint="cs"/>
          <w:rtl/>
        </w:rPr>
        <w:t>:</w:t>
      </w:r>
      <w:r w:rsidRPr="005675B2">
        <w:rPr>
          <w:rFonts w:hint="cs"/>
          <w:rtl/>
        </w:rPr>
        <w:t>اعلم أنا نستعظم</w:t>
      </w:r>
      <w:r w:rsidRPr="005675B2">
        <w:rPr>
          <w:rFonts w:hint="cs"/>
        </w:rPr>
        <w:t xml:space="preserve"> </w:t>
      </w:r>
      <w:r w:rsidRPr="005675B2">
        <w:rPr>
          <w:rFonts w:hint="cs"/>
          <w:rtl/>
        </w:rPr>
        <w:t>القول بالتكفير لأنه يحتاج إلى أمرين عزيزين</w:t>
      </w:r>
      <w:r w:rsidR="000636C2">
        <w:rPr>
          <w:rFonts w:hint="cs"/>
          <w:rtl/>
        </w:rPr>
        <w:t>:</w:t>
      </w:r>
      <w:r w:rsidRPr="005675B2">
        <w:rPr>
          <w:rFonts w:hint="cs"/>
          <w:rtl/>
        </w:rPr>
        <w:t>أحدهما</w:t>
      </w:r>
      <w:r w:rsidRPr="005675B2">
        <w:rPr>
          <w:rFonts w:hint="cs"/>
        </w:rPr>
        <w:t xml:space="preserve"> </w:t>
      </w:r>
      <w:r w:rsidRPr="005675B2">
        <w:rPr>
          <w:rFonts w:hint="cs"/>
          <w:rtl/>
        </w:rPr>
        <w:t>تحرير المعتقد</w:t>
      </w:r>
      <w:r w:rsidR="000636C2">
        <w:rPr>
          <w:rFonts w:hint="cs"/>
          <w:rtl/>
        </w:rPr>
        <w:t>:</w:t>
      </w:r>
      <w:r w:rsidRPr="005675B2">
        <w:rPr>
          <w:rFonts w:hint="cs"/>
        </w:rPr>
        <w:t xml:space="preserve"> </w:t>
      </w:r>
      <w:r w:rsidRPr="005675B2">
        <w:rPr>
          <w:rFonts w:hint="cs"/>
          <w:rtl/>
        </w:rPr>
        <w:t>وهو صعب من جهة الإطلاع على في القلب</w:t>
      </w:r>
      <w:r w:rsidRPr="005675B2">
        <w:rPr>
          <w:rFonts w:hint="cs"/>
        </w:rPr>
        <w:t xml:space="preserve"> </w:t>
      </w:r>
      <w:r w:rsidRPr="005675B2">
        <w:rPr>
          <w:rFonts w:hint="cs"/>
          <w:rtl/>
        </w:rPr>
        <w:t>وتخليصه عما يشوبه وتحريره ويكاد الشخص يصعب عليه حال نفسه فضلاً عن</w:t>
      </w:r>
      <w:r w:rsidRPr="005675B2">
        <w:rPr>
          <w:rFonts w:hint="cs"/>
        </w:rPr>
        <w:t xml:space="preserve"> </w:t>
      </w:r>
      <w:r w:rsidRPr="005675B2">
        <w:rPr>
          <w:rFonts w:hint="cs"/>
          <w:rtl/>
        </w:rPr>
        <w:t>غيره</w:t>
      </w:r>
      <w:r w:rsidR="000636C2">
        <w:rPr>
          <w:rFonts w:hint="cs"/>
          <w:rtl/>
        </w:rPr>
        <w:t>،</w:t>
      </w:r>
      <w:r w:rsidRPr="005675B2">
        <w:rPr>
          <w:rFonts w:hint="cs"/>
          <w:rtl/>
        </w:rPr>
        <w:t xml:space="preserve"> الأمر الثاني الحكم بأن ذلك كفر</w:t>
      </w:r>
      <w:r w:rsidR="000636C2">
        <w:rPr>
          <w:rFonts w:hint="cs"/>
          <w:rtl/>
        </w:rPr>
        <w:t>:</w:t>
      </w:r>
      <w:r w:rsidRPr="005675B2">
        <w:rPr>
          <w:rFonts w:hint="cs"/>
          <w:rtl/>
        </w:rPr>
        <w:t>وهو صعب من جهة صعوبة علم الكلام ومأخذه وتمييز الحق فيه من غيره وإنما</w:t>
      </w:r>
      <w:r w:rsidRPr="005675B2">
        <w:rPr>
          <w:rFonts w:hint="cs"/>
        </w:rPr>
        <w:t xml:space="preserve"> </w:t>
      </w:r>
      <w:r w:rsidRPr="005675B2">
        <w:rPr>
          <w:rFonts w:hint="cs"/>
          <w:rtl/>
        </w:rPr>
        <w:t>يحصل ذلك لرجل جمع صحة الزهد ورياضة النفس واعتدال المزاج والتهذب بعلوم النظر</w:t>
      </w:r>
      <w:r w:rsidRPr="005675B2">
        <w:rPr>
          <w:rFonts w:hint="cs"/>
        </w:rPr>
        <w:t xml:space="preserve"> </w:t>
      </w:r>
      <w:r w:rsidRPr="005675B2">
        <w:rPr>
          <w:rFonts w:hint="cs"/>
          <w:rtl/>
        </w:rPr>
        <w:t>والامتلاء من علوم الشريعة وعدم الميل إلى الهوى</w:t>
      </w:r>
      <w:r w:rsidRPr="005675B2">
        <w:rPr>
          <w:rFonts w:hint="cs"/>
        </w:rPr>
        <w:t xml:space="preserve"> </w:t>
      </w:r>
      <w:r w:rsidRPr="005675B2">
        <w:rPr>
          <w:rFonts w:hint="cs"/>
          <w:rtl/>
        </w:rPr>
        <w:t>وبعد هذين الأمرين يمكن القول بالتكفير</w:t>
      </w:r>
      <w:r w:rsidRPr="005675B2">
        <w:t xml:space="preserve"> </w:t>
      </w:r>
      <w:r w:rsidRPr="005675B2">
        <w:rPr>
          <w:rFonts w:hint="cs"/>
          <w:rtl/>
        </w:rPr>
        <w:t>ثم ذلك</w:t>
      </w:r>
      <w:r w:rsidR="000636C2">
        <w:rPr>
          <w:rFonts w:hint="cs"/>
          <w:rtl/>
        </w:rPr>
        <w:t>:</w:t>
      </w:r>
      <w:r>
        <w:rPr>
          <w:rFonts w:hint="cs"/>
          <w:rtl/>
        </w:rPr>
        <w:t xml:space="preserve"> </w:t>
      </w:r>
      <w:r w:rsidRPr="005675B2">
        <w:rPr>
          <w:rFonts w:hint="cs"/>
          <w:rtl/>
        </w:rPr>
        <w:t>1</w:t>
      </w:r>
      <w:r w:rsidR="000636C2">
        <w:rPr>
          <w:rFonts w:hint="cs"/>
          <w:rtl/>
        </w:rPr>
        <w:t xml:space="preserve"> </w:t>
      </w:r>
      <w:r w:rsidRPr="005675B2">
        <w:rPr>
          <w:rFonts w:hint="cs"/>
          <w:rtl/>
        </w:rPr>
        <w:t>- إما في شخص خاص</w:t>
      </w:r>
      <w:r w:rsidRPr="005675B2">
        <w:rPr>
          <w:rFonts w:hint="cs"/>
        </w:rPr>
        <w:t xml:space="preserve"> </w:t>
      </w:r>
      <w:r w:rsidRPr="005675B2">
        <w:rPr>
          <w:rFonts w:hint="cs"/>
          <w:rtl/>
        </w:rPr>
        <w:t>وشرطه مع ذلك</w:t>
      </w:r>
      <w:r w:rsidRPr="005675B2">
        <w:rPr>
          <w:rFonts w:hint="cs"/>
        </w:rPr>
        <w:t xml:space="preserve"> </w:t>
      </w:r>
      <w:r w:rsidRPr="005675B2">
        <w:rPr>
          <w:rFonts w:hint="cs"/>
          <w:rtl/>
        </w:rPr>
        <w:t>اعتراف</w:t>
      </w:r>
      <w:r w:rsidRPr="005675B2">
        <w:rPr>
          <w:rFonts w:hint="cs"/>
        </w:rPr>
        <w:t xml:space="preserve"> </w:t>
      </w:r>
      <w:r w:rsidRPr="005675B2">
        <w:rPr>
          <w:rFonts w:hint="cs"/>
          <w:rtl/>
        </w:rPr>
        <w:t>الشخص به وهيهات يحصل</w:t>
      </w:r>
      <w:r w:rsidRPr="005675B2">
        <w:rPr>
          <w:rFonts w:hint="cs"/>
        </w:rPr>
        <w:t xml:space="preserve"> </w:t>
      </w:r>
      <w:r w:rsidRPr="005675B2">
        <w:rPr>
          <w:rFonts w:hint="cs"/>
          <w:rtl/>
        </w:rPr>
        <w:t>وأما البينة</w:t>
      </w:r>
      <w:r w:rsidRPr="005675B2">
        <w:rPr>
          <w:rFonts w:hint="cs"/>
        </w:rPr>
        <w:t xml:space="preserve"> </w:t>
      </w:r>
      <w:r w:rsidRPr="005675B2">
        <w:rPr>
          <w:rFonts w:hint="cs"/>
          <w:rtl/>
        </w:rPr>
        <w:t>في ذلك فصعب قبولها لأنها تحتاج في الفهم إلى ما قدمناه</w:t>
      </w:r>
      <w:r w:rsidRPr="005675B2">
        <w:rPr>
          <w:rFonts w:hint="cs"/>
        </w:rPr>
        <w:t xml:space="preserve"> </w:t>
      </w: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وإما في فرقة</w:t>
      </w:r>
      <w:r w:rsidR="000636C2">
        <w:rPr>
          <w:rFonts w:hint="cs"/>
          <w:rtl/>
        </w:rPr>
        <w:t>:</w:t>
      </w:r>
      <w:r w:rsidRPr="005675B2">
        <w:rPr>
          <w:rFonts w:hint="cs"/>
        </w:rPr>
        <w:t xml:space="preserve"> </w:t>
      </w:r>
      <w:r w:rsidRPr="005675B2">
        <w:rPr>
          <w:rFonts w:hint="cs"/>
          <w:rtl/>
        </w:rPr>
        <w:t>فإنما يقال ذلك من حيث العلم الجملي وأما على</w:t>
      </w:r>
      <w:r w:rsidRPr="005675B2">
        <w:rPr>
          <w:rFonts w:hint="cs"/>
        </w:rPr>
        <w:t xml:space="preserve"> </w:t>
      </w:r>
      <w:r w:rsidRPr="005675B2">
        <w:rPr>
          <w:rFonts w:hint="cs"/>
          <w:rtl/>
        </w:rPr>
        <w:t>ناس بأعيانهم فلا سبيل إلى ذلك إلا بإقرار أو بينة ولا يكفي في ذلك أن يقال هذا من</w:t>
      </w:r>
      <w:r w:rsidRPr="005675B2">
        <w:rPr>
          <w:rFonts w:hint="cs"/>
        </w:rPr>
        <w:t xml:space="preserve"> </w:t>
      </w:r>
      <w:r w:rsidRPr="005675B2">
        <w:rPr>
          <w:rFonts w:hint="cs"/>
          <w:rtl/>
        </w:rPr>
        <w:t>تلك الفرقة لصعوبة ما قدمناه</w:t>
      </w:r>
      <w:r w:rsidRPr="005675B2">
        <w:rPr>
          <w:rFonts w:hint="cs"/>
        </w:rPr>
        <w:t xml:space="preserve"> </w:t>
      </w:r>
      <w:r w:rsidRPr="005675B2">
        <w:rPr>
          <w:rFonts w:hint="cs"/>
          <w:u w:val="single"/>
          <w:rtl/>
        </w:rPr>
        <w:t>والغالب على الفرق عوام لا يعرفون</w:t>
      </w:r>
      <w:r w:rsidRPr="005675B2">
        <w:rPr>
          <w:rFonts w:hint="cs"/>
          <w:u w:val="single"/>
        </w:rPr>
        <w:t xml:space="preserve"> </w:t>
      </w:r>
      <w:r w:rsidRPr="005675B2">
        <w:rPr>
          <w:rFonts w:hint="cs"/>
          <w:u w:val="single"/>
          <w:rtl/>
        </w:rPr>
        <w:t>الاعتقاد وإنما يحبون مذهباً ينتمون إليه من غير إحاطة بكنهه فلو قدمنا على ذلك</w:t>
      </w:r>
      <w:r w:rsidRPr="005675B2">
        <w:rPr>
          <w:rFonts w:hint="cs"/>
          <w:u w:val="single"/>
        </w:rPr>
        <w:t xml:space="preserve"> </w:t>
      </w:r>
      <w:r w:rsidRPr="005675B2">
        <w:rPr>
          <w:rFonts w:hint="cs"/>
          <w:u w:val="single"/>
          <w:rtl/>
        </w:rPr>
        <w:t>وحكمنا بتكفيرهم جر ذلك فساداً عظيما وإن كنا نحكم من حيث الجملة على من اعتقد ذلك</w:t>
      </w:r>
      <w:r w:rsidRPr="005675B2">
        <w:rPr>
          <w:rFonts w:hint="cs"/>
          <w:u w:val="single"/>
        </w:rPr>
        <w:t xml:space="preserve"> </w:t>
      </w:r>
      <w:r w:rsidRPr="005675B2">
        <w:rPr>
          <w:rFonts w:hint="cs"/>
          <w:u w:val="single"/>
          <w:rtl/>
        </w:rPr>
        <w:t>إنه كافر مع التأني في تشخصيه على أن التكفير صعب بكل حال ولا ينكر إذا حصل</w:t>
      </w:r>
      <w:r w:rsidRPr="005675B2">
        <w:rPr>
          <w:rFonts w:hint="cs"/>
          <w:u w:val="single"/>
        </w:rPr>
        <w:t xml:space="preserve"> </w:t>
      </w:r>
      <w:r w:rsidRPr="005675B2">
        <w:rPr>
          <w:rFonts w:hint="cs"/>
          <w:u w:val="single"/>
          <w:rtl/>
        </w:rPr>
        <w:t>شرطه</w:t>
      </w:r>
      <w:r w:rsidR="000636C2">
        <w:rPr>
          <w:rFonts w:hint="cs"/>
          <w:u w:val="single"/>
          <w:rtl/>
        </w:rPr>
        <w:t xml:space="preserve">، </w:t>
      </w:r>
      <w:r w:rsidRPr="005675B2">
        <w:rPr>
          <w:rFonts w:hint="cs"/>
          <w:rtl/>
        </w:rPr>
        <w:t>ولقد رأيت تصانيف جماعة يظن بهم أنهم</w:t>
      </w:r>
      <w:r w:rsidRPr="005675B2">
        <w:rPr>
          <w:rFonts w:hint="cs"/>
        </w:rPr>
        <w:t xml:space="preserve"> </w:t>
      </w:r>
      <w:r w:rsidRPr="005675B2">
        <w:rPr>
          <w:rFonts w:hint="cs"/>
          <w:rtl/>
        </w:rPr>
        <w:t>من أهل العلم ويتعلقون بشيء من رواية الحديث وربما لهم نسك وعبادة وشهرة بالعلم</w:t>
      </w:r>
      <w:r w:rsidRPr="005675B2">
        <w:rPr>
          <w:rFonts w:hint="cs"/>
        </w:rPr>
        <w:t xml:space="preserve"> </w:t>
      </w:r>
      <w:r w:rsidRPr="005675B2">
        <w:rPr>
          <w:rFonts w:hint="cs"/>
          <w:rtl/>
        </w:rPr>
        <w:t>تكلموا بأشياء ورأوا أشياء تُبين عن جهلهم العظيم وتساهلهم في نقل الكذب الصريح</w:t>
      </w:r>
      <w:r w:rsidRPr="005675B2">
        <w:rPr>
          <w:rFonts w:hint="cs"/>
        </w:rPr>
        <w:t xml:space="preserve"> </w:t>
      </w:r>
      <w:r w:rsidRPr="005675B2">
        <w:rPr>
          <w:rFonts w:hint="cs"/>
          <w:rtl/>
        </w:rPr>
        <w:t>ويُقدمون على تكفير من لا يستحق التكفير وما سبب ذلك إلا ما هم عليه من فرط الجهل</w:t>
      </w:r>
      <w:r w:rsidRPr="005675B2">
        <w:rPr>
          <w:rFonts w:hint="cs"/>
        </w:rPr>
        <w:t xml:space="preserve"> </w:t>
      </w:r>
      <w:r w:rsidRPr="005675B2">
        <w:rPr>
          <w:rFonts w:hint="cs"/>
          <w:rtl/>
        </w:rPr>
        <w:t>والتعصب والنشأة على شيء لم يعرفوا سواه وهو باطل ولم يشتغلوا بشيء من العلم حتى</w:t>
      </w:r>
      <w:r w:rsidRPr="005675B2">
        <w:rPr>
          <w:rFonts w:hint="cs"/>
        </w:rPr>
        <w:t xml:space="preserve"> </w:t>
      </w:r>
      <w:r w:rsidRPr="005675B2">
        <w:rPr>
          <w:rFonts w:hint="cs"/>
          <w:rtl/>
        </w:rPr>
        <w:t>يفهموا فالأولى الإعراض عمن هذا شأنه وإن وجدت أحدا يقبل الهدي هديته وتركت عموم</w:t>
      </w:r>
      <w:r w:rsidRPr="005675B2">
        <w:rPr>
          <w:rFonts w:hint="cs"/>
        </w:rPr>
        <w:t xml:space="preserve"> </w:t>
      </w:r>
      <w:r w:rsidRPr="005675B2">
        <w:rPr>
          <w:rFonts w:hint="cs"/>
          <w:rtl/>
        </w:rPr>
        <w:t>الناس موكولين إلى خالقهم العالم بسرائرهم يجازيهم يوم يبعثه</w:t>
      </w:r>
      <w:r w:rsidR="000636C2">
        <w:rPr>
          <w:rFonts w:hint="cs"/>
          <w:rtl/>
        </w:rPr>
        <w:t>،</w:t>
      </w:r>
      <w:r w:rsidRPr="005675B2">
        <w:rPr>
          <w:rFonts w:hint="cs"/>
          <w:rtl/>
        </w:rPr>
        <w:t xml:space="preserve"> انتهي</w:t>
      </w:r>
      <w:r w:rsidRPr="005675B2">
        <w:rPr>
          <w:rFonts w:hint="cs"/>
        </w:rPr>
        <w:t xml:space="preserve"> </w:t>
      </w:r>
      <w:r w:rsidRPr="005675B2">
        <w:rPr>
          <w:rFonts w:hint="cs"/>
          <w:rtl/>
        </w:rPr>
        <w:t>كلامه رحمه الله</w:t>
      </w:r>
      <w:r w:rsidRPr="005675B2">
        <w:rPr>
          <w:rFonts w:hint="cs"/>
        </w:rPr>
        <w:t xml:space="preserve"> </w:t>
      </w:r>
      <w:r w:rsidRPr="005675B2">
        <w:rPr>
          <w:rFonts w:hint="cs"/>
          <w:rtl/>
        </w:rPr>
        <w:t>وقال الإمام السبكي</w:t>
      </w:r>
      <w:r w:rsidR="000636C2">
        <w:rPr>
          <w:rFonts w:hint="cs"/>
          <w:rtl/>
        </w:rPr>
        <w:t>:</w:t>
      </w:r>
      <w:r w:rsidRPr="005675B2">
        <w:t>"</w:t>
      </w:r>
      <w:r w:rsidRPr="005675B2">
        <w:rPr>
          <w:rFonts w:hint="cs"/>
          <w:rtl/>
        </w:rPr>
        <w:t>ولا شك أن من المبتدعة من يقطع بكفره ومنهم من</w:t>
      </w:r>
      <w:r w:rsidRPr="005675B2">
        <w:rPr>
          <w:rFonts w:hint="cs"/>
        </w:rPr>
        <w:t xml:space="preserve"> </w:t>
      </w:r>
      <w:r w:rsidRPr="005675B2">
        <w:rPr>
          <w:rFonts w:hint="cs"/>
          <w:rtl/>
        </w:rPr>
        <w:t>يقطع بعدم كفره ومنهم من هو محل التردد و يختلف الترجيح</w:t>
      </w:r>
      <w:r w:rsidRPr="005675B2">
        <w:rPr>
          <w:rFonts w:hint="cs"/>
        </w:rPr>
        <w:t xml:space="preserve"> </w:t>
      </w:r>
      <w:r w:rsidRPr="005675B2">
        <w:rPr>
          <w:rFonts w:hint="cs"/>
          <w:rtl/>
        </w:rPr>
        <w:t>ومن الكلام المشهور أنا</w:t>
      </w:r>
      <w:r w:rsidRPr="005675B2">
        <w:rPr>
          <w:rFonts w:hint="cs"/>
        </w:rPr>
        <w:t xml:space="preserve"> </w:t>
      </w:r>
      <w:r w:rsidRPr="005675B2">
        <w:rPr>
          <w:rFonts w:hint="cs"/>
          <w:rtl/>
        </w:rPr>
        <w:t>لا نكفر أحدا من أهل القبلة بذنب ومعني هذا أنا لا نكفرهم بالذنوب التي هي المعاصي</w:t>
      </w:r>
      <w:r w:rsidRPr="005675B2">
        <w:rPr>
          <w:rFonts w:hint="cs"/>
        </w:rPr>
        <w:t xml:space="preserve"> </w:t>
      </w:r>
      <w:r w:rsidRPr="005675B2">
        <w:rPr>
          <w:rFonts w:hint="cs"/>
          <w:rtl/>
        </w:rPr>
        <w:t>كالزنا والسرقة وشرب الخمر خلافا للخوارج حيث كفروهم بها أما تكفير بعض المبتدعة</w:t>
      </w:r>
      <w:r w:rsidRPr="005675B2">
        <w:rPr>
          <w:rFonts w:hint="cs"/>
        </w:rPr>
        <w:t xml:space="preserve"> </w:t>
      </w:r>
      <w:r w:rsidRPr="005675B2">
        <w:rPr>
          <w:rFonts w:hint="cs"/>
          <w:rtl/>
        </w:rPr>
        <w:t>بعقيدة تقتضي كفره حيث يقتضي الحال القطع بذلك أو ترجيحه فلا يدخل في ذلك وهو خارج</w:t>
      </w:r>
      <w:r w:rsidRPr="005675B2">
        <w:rPr>
          <w:rFonts w:hint="cs"/>
        </w:rPr>
        <w:t xml:space="preserve"> </w:t>
      </w:r>
      <w:r w:rsidRPr="005675B2">
        <w:rPr>
          <w:rFonts w:hint="cs"/>
          <w:rtl/>
        </w:rPr>
        <w:t xml:space="preserve">بقولنا </w:t>
      </w:r>
      <w:r w:rsidR="000636C2">
        <w:rPr>
          <w:rFonts w:hint="cs"/>
          <w:rtl/>
        </w:rPr>
        <w:t>(</w:t>
      </w:r>
      <w:r w:rsidRPr="005675B2">
        <w:rPr>
          <w:rFonts w:hint="cs"/>
          <w:rtl/>
        </w:rPr>
        <w:t>بذنب</w:t>
      </w:r>
      <w:r w:rsidR="000636C2">
        <w:rPr>
          <w:rFonts w:hint="cs"/>
          <w:rtl/>
        </w:rPr>
        <w:t>)</w:t>
      </w:r>
      <w:r w:rsidRPr="005675B2">
        <w:rPr>
          <w:rFonts w:hint="cs"/>
          <w:rtl/>
        </w:rPr>
        <w:t xml:space="preserve"> </w:t>
      </w:r>
      <w:r w:rsidRPr="005675B2">
        <w:rPr>
          <w:rFonts w:hint="cs"/>
          <w:u w:val="single"/>
          <w:rtl/>
        </w:rPr>
        <w:t>غير أني أقول شيئا</w:t>
      </w:r>
      <w:r w:rsidRPr="005675B2">
        <w:rPr>
          <w:rFonts w:hint="cs"/>
          <w:u w:val="single"/>
        </w:rPr>
        <w:t xml:space="preserve"> </w:t>
      </w:r>
      <w:r w:rsidRPr="005675B2">
        <w:rPr>
          <w:rFonts w:hint="cs"/>
          <w:u w:val="single"/>
          <w:rtl/>
        </w:rPr>
        <w:t>وهو أنه ما دام الإنسان يعتقد</w:t>
      </w:r>
      <w:r w:rsidRPr="005675B2">
        <w:rPr>
          <w:rFonts w:hint="cs"/>
          <w:u w:val="single"/>
        </w:rPr>
        <w:t xml:space="preserve"> </w:t>
      </w:r>
      <w:r w:rsidRPr="005675B2">
        <w:rPr>
          <w:rFonts w:hint="cs"/>
          <w:u w:val="single"/>
          <w:rtl/>
        </w:rPr>
        <w:t>شهادة أن لا إله إلا الله و أن محمدا رسول الله فتكفيره صعب وما يعرض في قلبه من</w:t>
      </w:r>
      <w:r w:rsidRPr="005675B2">
        <w:rPr>
          <w:rFonts w:hint="cs"/>
          <w:u w:val="single"/>
        </w:rPr>
        <w:t xml:space="preserve"> </w:t>
      </w:r>
      <w:r w:rsidRPr="005675B2">
        <w:rPr>
          <w:rFonts w:hint="cs"/>
          <w:u w:val="single"/>
          <w:rtl/>
        </w:rPr>
        <w:t>بدعة إن لم تكن مضادة لذلك لا يكفر</w:t>
      </w:r>
      <w:r w:rsidRPr="005675B2">
        <w:rPr>
          <w:u w:val="single"/>
        </w:rPr>
        <w:br/>
      </w:r>
      <w:r w:rsidRPr="005675B2">
        <w:rPr>
          <w:rFonts w:hint="cs"/>
          <w:u w:val="single"/>
          <w:rtl/>
        </w:rPr>
        <w:t>و إن كانت</w:t>
      </w:r>
      <w:r w:rsidRPr="005675B2">
        <w:rPr>
          <w:rFonts w:hint="cs"/>
          <w:u w:val="single"/>
        </w:rPr>
        <w:t xml:space="preserve"> </w:t>
      </w:r>
      <w:r w:rsidRPr="005675B2">
        <w:rPr>
          <w:rFonts w:hint="cs"/>
          <w:u w:val="single"/>
          <w:rtl/>
        </w:rPr>
        <w:t>مضادة لذلك فإذا فرضت غفلته عنها واعتقاده للشهادتين مستمر فأرجو أن ذلك يكفيه في</w:t>
      </w:r>
      <w:r w:rsidRPr="005675B2">
        <w:rPr>
          <w:rFonts w:hint="cs"/>
          <w:u w:val="single"/>
        </w:rPr>
        <w:t xml:space="preserve"> </w:t>
      </w:r>
      <w:r w:rsidRPr="005675B2">
        <w:rPr>
          <w:rFonts w:hint="cs"/>
          <w:u w:val="single"/>
          <w:rtl/>
        </w:rPr>
        <w:t>الإسلام و أكثر أهل الملة كذلك ويكون كمسلم ارتد ثم أسلم</w:t>
      </w:r>
      <w:r w:rsidRPr="005675B2">
        <w:rPr>
          <w:rFonts w:hint="cs"/>
        </w:rPr>
        <w:t xml:space="preserve"> </w:t>
      </w:r>
      <w:r w:rsidRPr="005675B2">
        <w:rPr>
          <w:rFonts w:hint="cs"/>
          <w:rtl/>
        </w:rPr>
        <w:t>إلا أن يقال إن</w:t>
      </w:r>
      <w:r w:rsidRPr="005675B2">
        <w:rPr>
          <w:rFonts w:hint="cs"/>
        </w:rPr>
        <w:t xml:space="preserve"> </w:t>
      </w:r>
      <w:r w:rsidRPr="005675B2">
        <w:rPr>
          <w:rFonts w:hint="cs"/>
          <w:rtl/>
        </w:rPr>
        <w:t>ما كفر به لا بد في إ سلامه من توبته عنه فهذا محل نظر</w:t>
      </w:r>
      <w:r w:rsidR="000636C2">
        <w:rPr>
          <w:rFonts w:hint="cs"/>
          <w:rtl/>
        </w:rPr>
        <w:t xml:space="preserve"> </w:t>
      </w:r>
      <w:r w:rsidRPr="005675B2">
        <w:rPr>
          <w:rFonts w:hint="cs"/>
          <w:rtl/>
        </w:rPr>
        <w:t>و</w:t>
      </w:r>
      <w:r w:rsidRPr="005675B2">
        <w:rPr>
          <w:rFonts w:hint="cs"/>
        </w:rPr>
        <w:t xml:space="preserve"> </w:t>
      </w:r>
      <w:r w:rsidRPr="005675B2">
        <w:rPr>
          <w:rFonts w:hint="cs"/>
          <w:rtl/>
        </w:rPr>
        <w:t>جميع هذه العقائد التي يكفر بها بعض أهل القبلة قد لا يعتقدها صاحبها</w:t>
      </w:r>
      <w:r w:rsidRPr="005675B2">
        <w:rPr>
          <w:rFonts w:hint="cs"/>
        </w:rPr>
        <w:t xml:space="preserve"> </w:t>
      </w:r>
      <w:r w:rsidRPr="005675B2">
        <w:rPr>
          <w:rFonts w:hint="cs"/>
          <w:rtl/>
        </w:rPr>
        <w:t>إلا حين بحثه فيها لشبهة تعرض له أو مجادلة أو غير ذلك وفي أكثر الأوقات يغفل عنها</w:t>
      </w:r>
      <w:r w:rsidRPr="005675B2">
        <w:rPr>
          <w:rFonts w:hint="cs"/>
        </w:rPr>
        <w:t xml:space="preserve"> </w:t>
      </w:r>
      <w:r w:rsidRPr="005675B2">
        <w:rPr>
          <w:rFonts w:hint="cs"/>
          <w:rtl/>
        </w:rPr>
        <w:t>وهو ذاكر للشهادتين لا سيما عند الموت فإنه لا يحضر في قلبه غيرهما إن شاء الله إلا</w:t>
      </w:r>
      <w:r w:rsidRPr="005675B2">
        <w:rPr>
          <w:rFonts w:hint="cs"/>
        </w:rPr>
        <w:t xml:space="preserve"> </w:t>
      </w:r>
      <w:r w:rsidRPr="005675B2">
        <w:rPr>
          <w:rFonts w:hint="cs"/>
          <w:rtl/>
        </w:rPr>
        <w:t>من أضله الله نسأل الله السلامة</w:t>
      </w:r>
      <w:r w:rsidRPr="005675B2">
        <w:rPr>
          <w:rFonts w:hint="cs"/>
        </w:rPr>
        <w:t xml:space="preserve"> </w:t>
      </w:r>
      <w:r w:rsidRPr="005675B2">
        <w:rPr>
          <w:rFonts w:hint="cs"/>
          <w:rtl/>
        </w:rPr>
        <w:t>انتهي كلام</w:t>
      </w:r>
      <w:r w:rsidRPr="005675B2">
        <w:rPr>
          <w:rFonts w:hint="cs"/>
        </w:rPr>
        <w:t xml:space="preserve"> </w:t>
      </w:r>
      <w:r w:rsidRPr="005675B2">
        <w:rPr>
          <w:rFonts w:hint="cs"/>
          <w:rtl/>
        </w:rPr>
        <w:t>الإمام السبكي رحمه الله</w:t>
      </w:r>
      <w:r w:rsidR="000636C2">
        <w:rPr>
          <w:rFonts w:hint="cs"/>
          <w:rtl/>
        </w:rPr>
        <w:t>،</w:t>
      </w:r>
      <w:r w:rsidRPr="005675B2">
        <w:rPr>
          <w:rFonts w:hint="cs"/>
          <w:rtl/>
        </w:rPr>
        <w:t xml:space="preserve"> من شرحه الموسوم بالابتهاج بشرح المنهاج</w:t>
      </w:r>
      <w:r w:rsidR="000636C2">
        <w:rPr>
          <w:rFonts w:hint="cs"/>
          <w:rtl/>
        </w:rPr>
        <w:t>،</w:t>
      </w:r>
      <w:r w:rsidRPr="005675B2">
        <w:rPr>
          <w:rFonts w:hint="cs"/>
          <w:rtl/>
        </w:rPr>
        <w:t xml:space="preserve"> أي منهاج النووي وهو من كتب الشافعية المشهورة</w:t>
      </w:r>
      <w:r w:rsidR="000636C2">
        <w:rPr>
          <w:rFonts w:hint="cs"/>
          <w:rtl/>
        </w:rPr>
        <w:t>،</w:t>
      </w:r>
    </w:p>
    <w:p w14:paraId="4B0EC728" w14:textId="76E8BCA6" w:rsidR="009C32A0" w:rsidRDefault="009C32A0" w:rsidP="000636C2">
      <w:pPr>
        <w:rPr>
          <w:b/>
          <w:u w:val="single"/>
          <w:rtl/>
        </w:rPr>
      </w:pPr>
      <w:r w:rsidRPr="005675B2">
        <w:rPr>
          <w:rFonts w:hint="cs"/>
          <w:u w:val="single"/>
          <w:rtl/>
        </w:rPr>
        <w:t>3</w:t>
      </w:r>
      <w:r w:rsidR="000636C2">
        <w:rPr>
          <w:rFonts w:hint="cs"/>
          <w:u w:val="single"/>
          <w:rtl/>
        </w:rPr>
        <w:t xml:space="preserve"> </w:t>
      </w:r>
      <w:r w:rsidRPr="005675B2">
        <w:rPr>
          <w:rFonts w:hint="cs"/>
          <w:u w:val="single"/>
          <w:rtl/>
        </w:rPr>
        <w:t>- أن التكفير أصبح يا أخي الفاضل من خصائصكم ولا أريد أن أتكلم أكثر فالحر</w:t>
      </w:r>
      <w:r w:rsidR="000636C2">
        <w:rPr>
          <w:rFonts w:hint="cs"/>
          <w:u w:val="single"/>
          <w:rtl/>
        </w:rPr>
        <w:t xml:space="preserve"> </w:t>
      </w:r>
      <w:r w:rsidRPr="005675B2">
        <w:rPr>
          <w:rFonts w:hint="cs"/>
          <w:u w:val="single"/>
          <w:rtl/>
        </w:rPr>
        <w:t>تكفيه الإشارة</w:t>
      </w:r>
      <w:r w:rsidR="000636C2">
        <w:rPr>
          <w:rFonts w:hint="cs"/>
          <w:u w:val="single"/>
          <w:rtl/>
        </w:rPr>
        <w:t xml:space="preserve">، </w:t>
      </w:r>
    </w:p>
    <w:p w14:paraId="10FB32BC" w14:textId="52ED2A1F"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 xml:space="preserve">- </w:t>
      </w:r>
      <w:r w:rsidR="000636C2">
        <w:rPr>
          <w:rFonts w:hint="cs"/>
          <w:rtl/>
        </w:rPr>
        <w:t>(</w:t>
      </w:r>
      <w:r w:rsidRPr="005675B2">
        <w:rPr>
          <w:rFonts w:hint="cs"/>
          <w:rtl/>
        </w:rPr>
        <w:t>وأما تكفير من لا يستحق سوى</w:t>
      </w:r>
      <w:r w:rsidRPr="005675B2">
        <w:rPr>
          <w:rFonts w:hint="cs"/>
        </w:rPr>
        <w:t xml:space="preserve"> </w:t>
      </w:r>
      <w:r w:rsidRPr="005675B2">
        <w:rPr>
          <w:rFonts w:hint="cs"/>
          <w:rtl/>
        </w:rPr>
        <w:t>التبديع فمثل تصريحهم في أغلب كتبهم بتكفير من قال إن الله جسم لا كالأجسام وهذا</w:t>
      </w:r>
      <w:r w:rsidRPr="005675B2">
        <w:rPr>
          <w:rFonts w:hint="cs"/>
        </w:rPr>
        <w:t xml:space="preserve"> </w:t>
      </w:r>
      <w:r w:rsidRPr="005675B2">
        <w:rPr>
          <w:rFonts w:hint="cs"/>
          <w:rtl/>
        </w:rPr>
        <w:t>ليس بكافر</w:t>
      </w:r>
      <w:r w:rsidR="000636C2">
        <w:rPr>
          <w:rFonts w:hint="cs"/>
          <w:rtl/>
        </w:rPr>
        <w:t>،</w:t>
      </w:r>
      <w:r w:rsidRPr="005675B2">
        <w:rPr>
          <w:rFonts w:hint="cs"/>
          <w:rtl/>
        </w:rPr>
        <w:t xml:space="preserve"> بل هو ضال مبتدع</w:t>
      </w:r>
      <w:r w:rsidR="000636C2">
        <w:rPr>
          <w:rFonts w:hint="cs"/>
          <w:rtl/>
        </w:rPr>
        <w:t>،</w:t>
      </w:r>
      <w:r w:rsidRPr="005675B2">
        <w:rPr>
          <w:rFonts w:hint="cs"/>
          <w:rtl/>
        </w:rPr>
        <w:t xml:space="preserve"> لأنه أتى بلفظ لم يرد به الشرع</w:t>
      </w:r>
      <w:r w:rsidR="000636C2">
        <w:rPr>
          <w:rFonts w:hint="cs"/>
          <w:rtl/>
        </w:rPr>
        <w:t>)</w:t>
      </w:r>
      <w:r>
        <w:rPr>
          <w:rFonts w:hint="cs"/>
          <w:rtl/>
        </w:rPr>
        <w:t xml:space="preserve"> </w:t>
      </w:r>
      <w:r w:rsidRPr="005675B2">
        <w:rPr>
          <w:rFonts w:hint="cs"/>
          <w:rtl/>
        </w:rPr>
        <w:t>المعتمد أنه مبتدع وراجع باب الردة في الفقه لتتبين وراجع ما سبق نقله في الفقرة السابقة</w:t>
      </w:r>
      <w:r w:rsidR="000636C2">
        <w:rPr>
          <w:rFonts w:hint="cs"/>
          <w:rtl/>
        </w:rPr>
        <w:t>،</w:t>
      </w:r>
      <w:r w:rsidRPr="005675B2">
        <w:rPr>
          <w:rFonts w:hint="cs"/>
          <w:rtl/>
        </w:rPr>
        <w:t xml:space="preserve"> فمن أين أتيت بكونهم يكفرونه في أغلب كتبهم هداك الله</w:t>
      </w:r>
      <w:r w:rsidR="000636C2">
        <w:rPr>
          <w:rFonts w:hint="cs"/>
          <w:rtl/>
        </w:rPr>
        <w:t>؟!</w:t>
      </w:r>
      <w:r w:rsidRPr="005675B2">
        <w:rPr>
          <w:rFonts w:hint="cs"/>
          <w:rtl/>
        </w:rPr>
        <w:t>! قال ابن حجر الهيتمي قال الأسنوي</w:t>
      </w:r>
      <w:r w:rsidR="000636C2">
        <w:rPr>
          <w:rFonts w:hint="cs"/>
          <w:rtl/>
        </w:rPr>
        <w:t>:</w:t>
      </w:r>
      <w:r w:rsidRPr="005675B2">
        <w:rPr>
          <w:rFonts w:hint="cs"/>
          <w:rtl/>
        </w:rPr>
        <w:t xml:space="preserve"> المجسمة ملزمون بالألوان وبالاتصال والانفصال ومع أنا لا نكفرهم على المشهور كما دل عليه كلام الشرح والروضة في الشهادات</w:t>
      </w:r>
      <w:r w:rsidR="000636C2">
        <w:rPr>
          <w:rFonts w:hint="cs"/>
          <w:rtl/>
        </w:rPr>
        <w:t>،</w:t>
      </w:r>
      <w:r w:rsidRPr="005675B2">
        <w:rPr>
          <w:rFonts w:hint="cs"/>
          <w:rtl/>
        </w:rPr>
        <w:t xml:space="preserve"> أهـ</w:t>
      </w:r>
      <w:r w:rsidR="000636C2">
        <w:rPr>
          <w:rFonts w:hint="cs"/>
          <w:rtl/>
        </w:rPr>
        <w:t xml:space="preserve"> </w:t>
      </w:r>
      <w:r w:rsidR="000636C2">
        <w:rPr>
          <w:rFonts w:hint="cs"/>
          <w:rtl/>
          <w:lang w:bidi="ar-KW"/>
        </w:rPr>
        <w:t>[</w:t>
      </w:r>
      <w:r w:rsidRPr="005675B2">
        <w:rPr>
          <w:rFonts w:hint="cs"/>
          <w:bCs/>
          <w:sz w:val="24"/>
          <w:szCs w:val="24"/>
          <w:rtl/>
        </w:rPr>
        <w:t>الإعلام بقواطع الإسلام ص25 ط دار الكتب العلمية</w:t>
      </w:r>
      <w:r w:rsidRPr="005675B2">
        <w:rPr>
          <w:rFonts w:hint="cs"/>
          <w:rtl/>
          <w:lang w:bidi="ar-KW"/>
        </w:rPr>
        <w:t>]</w:t>
      </w:r>
      <w:r w:rsidRPr="005675B2">
        <w:rPr>
          <w:rFonts w:hint="cs"/>
          <w:rtl/>
        </w:rPr>
        <w:tab/>
        <w:t>قال الإمام السبكي</w:t>
      </w:r>
      <w:r w:rsidR="000636C2">
        <w:rPr>
          <w:rFonts w:hint="cs"/>
          <w:rtl/>
        </w:rPr>
        <w:t>:</w:t>
      </w:r>
      <w:r w:rsidRPr="005675B2">
        <w:rPr>
          <w:rFonts w:hint="cs"/>
          <w:rtl/>
        </w:rPr>
        <w:t>التكفير حكم شرعي سببه جحد الربوبية أو الوحدانية أو الرسالة أو قول أو</w:t>
      </w:r>
      <w:r w:rsidRPr="005675B2">
        <w:rPr>
          <w:rFonts w:hint="cs"/>
        </w:rPr>
        <w:t xml:space="preserve"> </w:t>
      </w:r>
      <w:r w:rsidRPr="005675B2">
        <w:rPr>
          <w:rFonts w:hint="cs"/>
          <w:rtl/>
        </w:rPr>
        <w:t>فعل حكم الشارع بأنه كفر وإن لم يكن حجدا كَمَا يُحْكَمُ عَلَى مَنْ سَجَدَ لِلصَّنَمِ</w:t>
      </w:r>
      <w:r w:rsidRPr="005675B2">
        <w:rPr>
          <w:rFonts w:hint="cs"/>
        </w:rPr>
        <w:t xml:space="preserve"> </w:t>
      </w:r>
      <w:r w:rsidRPr="005675B2">
        <w:rPr>
          <w:rFonts w:hint="cs"/>
          <w:rtl/>
        </w:rPr>
        <w:t>أَوْ أَلْقَى الْمُصْحَفَ فِي الْقَاذُورَاتِ أو استحل ما عُلِمَ تَحْرِيمُهُ</w:t>
      </w:r>
      <w:r w:rsidRPr="005675B2">
        <w:rPr>
          <w:rFonts w:hint="cs"/>
        </w:rPr>
        <w:t xml:space="preserve"> </w:t>
      </w:r>
      <w:r w:rsidRPr="005675B2">
        <w:rPr>
          <w:rFonts w:hint="cs"/>
          <w:rtl/>
        </w:rPr>
        <w:t>بِالضَّرُورَةِ بِالْكُفْرِ</w:t>
      </w:r>
      <w:r w:rsidR="000636C2">
        <w:rPr>
          <w:rFonts w:hint="cs"/>
          <w:rtl/>
        </w:rPr>
        <w:t>،</w:t>
      </w:r>
      <w:r w:rsidRPr="005675B2">
        <w:rPr>
          <w:rFonts w:hint="cs"/>
          <w:rtl/>
        </w:rPr>
        <w:t xml:space="preserve"> وَإِنْ لَمْ يَجْحَدْ بِقَلْبِهِ لِقِيَامِ</w:t>
      </w:r>
      <w:r w:rsidRPr="005675B2">
        <w:rPr>
          <w:rFonts w:hint="cs"/>
        </w:rPr>
        <w:t xml:space="preserve"> </w:t>
      </w:r>
      <w:r w:rsidRPr="005675B2">
        <w:rPr>
          <w:rFonts w:hint="cs"/>
          <w:rtl/>
        </w:rPr>
        <w:t>الْإِجْمَاعِ عَلَى تَكْفِيرِ فَاعِلِ ذَلِكَ</w:t>
      </w:r>
      <w:r w:rsidRPr="005675B2">
        <w:t xml:space="preserve"> " </w:t>
      </w:r>
      <w:r w:rsidRPr="005675B2">
        <w:rPr>
          <w:rFonts w:hint="cs"/>
          <w:rtl/>
        </w:rPr>
        <w:t>أنتهى كلامه</w:t>
      </w:r>
      <w:r w:rsidR="000636C2">
        <w:rPr>
          <w:rFonts w:hint="cs"/>
          <w:rtl/>
        </w:rPr>
        <w:t xml:space="preserve"> </w:t>
      </w:r>
      <w:r w:rsidRPr="005675B2">
        <w:rPr>
          <w:rFonts w:hint="cs"/>
          <w:rtl/>
        </w:rPr>
        <w:t>وهو مطبوع مع فتاواه</w:t>
      </w:r>
      <w:r w:rsidR="000636C2">
        <w:rPr>
          <w:rFonts w:hint="cs"/>
          <w:rtl/>
        </w:rPr>
        <w:t>،</w:t>
      </w:r>
    </w:p>
    <w:p w14:paraId="0FD60AAD" w14:textId="517B7444" w:rsidR="009C32A0" w:rsidRPr="005675B2" w:rsidRDefault="000636C2" w:rsidP="000636C2">
      <w:pPr>
        <w:rPr>
          <w:b/>
          <w:rtl/>
        </w:rPr>
      </w:pPr>
      <w:r>
        <w:rPr>
          <w:rFonts w:hint="cs"/>
          <w:rtl/>
        </w:rPr>
        <w:t>(</w:t>
      </w:r>
      <w:r w:rsidR="009C32A0" w:rsidRPr="005675B2">
        <w:rPr>
          <w:rFonts w:hint="cs"/>
          <w:rtl/>
        </w:rPr>
        <w:t>تكفيرهم من قال أن النار علة الإحراق والطعام علة الشبع</w:t>
      </w:r>
      <w:r>
        <w:rPr>
          <w:rFonts w:hint="cs"/>
          <w:rtl/>
        </w:rPr>
        <w:t xml:space="preserve">)، </w:t>
      </w:r>
      <w:r w:rsidR="009C32A0" w:rsidRPr="005675B2">
        <w:rPr>
          <w:rFonts w:hint="cs"/>
          <w:rtl/>
        </w:rPr>
        <w:t>سبق أن بينت معنى العلة فالفلاسفة يعتقدون استقلالية العلة في إيجاد المعلول، أي أنها تخلقه فهو شرك في الخالقية هداك الله</w:t>
      </w:r>
      <w:r>
        <w:rPr>
          <w:rFonts w:hint="cs"/>
          <w:rtl/>
        </w:rPr>
        <w:t>،</w:t>
      </w:r>
      <w:r w:rsidR="009C32A0" w:rsidRPr="005675B2">
        <w:rPr>
          <w:rFonts w:hint="cs"/>
          <w:rtl/>
        </w:rPr>
        <w:t xml:space="preserve"> وقد كفرهم ابن القيم في إغاثة اللهفان وغيره</w:t>
      </w:r>
      <w:r>
        <w:rPr>
          <w:rFonts w:hint="cs"/>
          <w:rtl/>
        </w:rPr>
        <w:t>،</w:t>
      </w:r>
      <w:r w:rsidR="009C32A0">
        <w:rPr>
          <w:rFonts w:hint="cs"/>
          <w:rtl/>
        </w:rPr>
        <w:t xml:space="preserve"> </w:t>
      </w:r>
      <w:r>
        <w:rPr>
          <w:rFonts w:hint="cs"/>
          <w:rtl/>
        </w:rPr>
        <w:t>(</w:t>
      </w:r>
      <w:r w:rsidR="009C32A0" w:rsidRPr="005675B2">
        <w:rPr>
          <w:rFonts w:hint="cs"/>
          <w:rtl/>
        </w:rPr>
        <w:t>وأما التكفير بما هو حق في</w:t>
      </w:r>
      <w:r w:rsidR="009C32A0" w:rsidRPr="005675B2">
        <w:rPr>
          <w:rFonts w:hint="cs"/>
        </w:rPr>
        <w:t xml:space="preserve"> </w:t>
      </w:r>
      <w:r w:rsidR="009C32A0" w:rsidRPr="005675B2">
        <w:rPr>
          <w:rFonts w:hint="cs"/>
          <w:rtl/>
        </w:rPr>
        <w:t>نفسه يجب اعتقاده فنحو تكفيرهم لمن يثبت علو الله</w:t>
      </w:r>
      <w:r>
        <w:rPr>
          <w:rFonts w:hint="cs"/>
          <w:rtl/>
        </w:rPr>
        <w:t>)،</w:t>
      </w:r>
      <w:r w:rsidR="009C32A0">
        <w:rPr>
          <w:rFonts w:hint="cs"/>
          <w:rtl/>
        </w:rPr>
        <w:t xml:space="preserve"> </w:t>
      </w:r>
      <w:r w:rsidR="009C32A0" w:rsidRPr="005675B2">
        <w:rPr>
          <w:rFonts w:hint="cs"/>
          <w:rtl/>
        </w:rPr>
        <w:t>هذا افتراء عليهم فهم لا يكفرون من يثبت صفة العلو لله وإلا لزمهم تكفير أنفسهم</w:t>
      </w:r>
      <w:r>
        <w:rPr>
          <w:rFonts w:hint="cs"/>
          <w:rtl/>
        </w:rPr>
        <w:t>،</w:t>
      </w:r>
      <w:r w:rsidR="009C32A0" w:rsidRPr="005675B2">
        <w:rPr>
          <w:rFonts w:hint="cs"/>
          <w:rtl/>
        </w:rPr>
        <w:t>لكن إن قصدت تكفيرهم للقائل بالحلول في العرش أو الجهة ففيه خلاف بين العلماء وعلماء السلف كفروا الجهمية لأنهم قالوا بالحلول</w:t>
      </w:r>
      <w:r>
        <w:rPr>
          <w:rFonts w:hint="cs"/>
          <w:rtl/>
        </w:rPr>
        <w:t>،</w:t>
      </w:r>
      <w:r w:rsidR="009C32A0" w:rsidRPr="005675B2">
        <w:rPr>
          <w:rFonts w:hint="cs"/>
          <w:rtl/>
        </w:rPr>
        <w:t>وهو نقص في حق الله تعالى رغم أن الحلولية إنما أخذوا بظواهر النصوص في الكتاب والسنة</w:t>
      </w:r>
      <w:r>
        <w:rPr>
          <w:rFonts w:hint="cs"/>
          <w:rtl/>
        </w:rPr>
        <w:t>،</w:t>
      </w:r>
      <w:r w:rsidR="009C32A0" w:rsidRPr="005675B2">
        <w:rPr>
          <w:rFonts w:hint="cs"/>
          <w:rtl/>
        </w:rPr>
        <w:t xml:space="preserve"> ورغم ذلك فهم لا يكفرون الجهوية كما تظن</w:t>
      </w:r>
      <w:r>
        <w:rPr>
          <w:rFonts w:hint="cs"/>
          <w:rtl/>
        </w:rPr>
        <w:t xml:space="preserve"> </w:t>
      </w:r>
      <w:r w:rsidR="009C32A0" w:rsidRPr="005675B2">
        <w:rPr>
          <w:rFonts w:hint="cs"/>
          <w:rtl/>
        </w:rPr>
        <w:t>قال ابن حجر الهيتمي</w:t>
      </w:r>
      <w:r>
        <w:rPr>
          <w:rFonts w:hint="cs"/>
          <w:rtl/>
        </w:rPr>
        <w:t>:</w:t>
      </w:r>
      <w:r w:rsidR="009C32A0" w:rsidRPr="005675B2">
        <w:rPr>
          <w:rFonts w:hint="cs"/>
          <w:rtl/>
        </w:rPr>
        <w:t xml:space="preserve"> قال</w:t>
      </w:r>
      <w:r>
        <w:rPr>
          <w:rFonts w:hint="cs"/>
          <w:rtl/>
        </w:rPr>
        <w:t xml:space="preserve"> </w:t>
      </w:r>
      <w:r w:rsidR="009C32A0" w:rsidRPr="005675B2">
        <w:rPr>
          <w:rFonts w:hint="cs"/>
          <w:rtl/>
        </w:rPr>
        <w:t>الشيخ</w:t>
      </w:r>
      <w:r>
        <w:rPr>
          <w:rFonts w:hint="cs"/>
          <w:rtl/>
        </w:rPr>
        <w:t>:</w:t>
      </w:r>
      <w:r w:rsidR="009C32A0" w:rsidRPr="005675B2">
        <w:rPr>
          <w:rFonts w:hint="cs"/>
          <w:rtl/>
        </w:rPr>
        <w:t xml:space="preserve"> من زعم أن الله يحل في شيء من آحاد الناس أو غيرهم فهو كافر</w:t>
      </w:r>
      <w:r>
        <w:rPr>
          <w:rFonts w:hint="cs"/>
          <w:rtl/>
        </w:rPr>
        <w:t>،</w:t>
      </w:r>
      <w:r w:rsidR="009C32A0" w:rsidRPr="005675B2">
        <w:rPr>
          <w:rFonts w:hint="cs"/>
          <w:rtl/>
        </w:rPr>
        <w:t xml:space="preserve"> لأن الشرع إنما عفا عن المجسمة لغلبة التجسيم</w:t>
      </w:r>
      <w:r>
        <w:rPr>
          <w:rFonts w:hint="cs"/>
          <w:rtl/>
        </w:rPr>
        <w:t>،</w:t>
      </w:r>
      <w:r w:rsidR="009C32A0" w:rsidRPr="005675B2">
        <w:rPr>
          <w:rFonts w:hint="cs"/>
          <w:rtl/>
        </w:rPr>
        <w:t>وأنهم لا يفهمون موجوداً في غير جهة بخلاف الحلول فإنه لايعم الابتلاء به</w:t>
      </w:r>
      <w:r>
        <w:rPr>
          <w:rFonts w:hint="cs"/>
          <w:rtl/>
        </w:rPr>
        <w:t>،</w:t>
      </w:r>
      <w:r w:rsidR="009C32A0" w:rsidRPr="005675B2">
        <w:rPr>
          <w:rFonts w:hint="cs"/>
          <w:rtl/>
        </w:rPr>
        <w:t xml:space="preserve"> أهـ</w:t>
      </w:r>
      <w:r>
        <w:rPr>
          <w:rFonts w:hint="cs"/>
          <w:rtl/>
        </w:rPr>
        <w:t xml:space="preserve"> </w:t>
      </w:r>
      <w:r w:rsidR="009C32A0" w:rsidRPr="005675B2">
        <w:rPr>
          <w:rFonts w:hint="cs"/>
          <w:rtl/>
        </w:rPr>
        <w:t>[</w:t>
      </w:r>
      <w:r w:rsidR="009C32A0" w:rsidRPr="005675B2">
        <w:rPr>
          <w:rFonts w:hint="cs"/>
          <w:bCs/>
          <w:sz w:val="24"/>
          <w:szCs w:val="24"/>
          <w:rtl/>
        </w:rPr>
        <w:t>الإعلام بقواطع الإسلام ص25]</w:t>
      </w:r>
    </w:p>
    <w:p w14:paraId="2164410D" w14:textId="368742D7"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وكقولهم أن عبادة الأصنام فرع</w:t>
      </w:r>
      <w:r w:rsidRPr="005675B2">
        <w:rPr>
          <w:rFonts w:hint="cs"/>
        </w:rPr>
        <w:t xml:space="preserve"> </w:t>
      </w:r>
      <w:r w:rsidRPr="005675B2">
        <w:rPr>
          <w:rFonts w:hint="cs"/>
          <w:rtl/>
        </w:rPr>
        <w:t>من مذهب المشبهة ويعنون بهم أهل السنة والجماعة</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 xml:space="preserve">]: </w:t>
      </w:r>
      <w:r w:rsidRPr="005675B2">
        <w:rPr>
          <w:rFonts w:hint="cs"/>
          <w:rtl/>
        </w:rPr>
        <w:t>لا يا أخي من قال أنهم يعنون أهل السنة والجماعة</w:t>
      </w:r>
      <w:r w:rsidR="000636C2">
        <w:rPr>
          <w:rFonts w:hint="cs"/>
          <w:rtl/>
        </w:rPr>
        <w:t>؟</w:t>
      </w:r>
      <w:r>
        <w:rPr>
          <w:rFonts w:hint="cs"/>
          <w:rtl/>
        </w:rPr>
        <w:t xml:space="preserve"> </w:t>
      </w:r>
      <w:r w:rsidRPr="005675B2">
        <w:rPr>
          <w:rFonts w:hint="cs"/>
          <w:rtl/>
        </w:rPr>
        <w:t>أتظنهم يكفرون أنفسهم أو يكفرون الماتريدية أو</w:t>
      </w:r>
      <w:r w:rsidR="000636C2">
        <w:rPr>
          <w:rFonts w:hint="cs"/>
          <w:rtl/>
        </w:rPr>
        <w:t xml:space="preserve"> </w:t>
      </w:r>
      <w:r w:rsidRPr="005675B2">
        <w:rPr>
          <w:rFonts w:hint="cs"/>
          <w:rtl/>
        </w:rPr>
        <w:t>الحنابلة أهل السنة</w:t>
      </w:r>
      <w:r w:rsidR="000636C2">
        <w:rPr>
          <w:rFonts w:hint="cs"/>
          <w:rtl/>
        </w:rPr>
        <w:t>؟!</w:t>
      </w:r>
      <w:r w:rsidRPr="005675B2">
        <w:rPr>
          <w:rFonts w:hint="cs"/>
          <w:rtl/>
        </w:rPr>
        <w:t>إنما المشبهة من يشبهون الله بالمخلوق</w:t>
      </w:r>
      <w:r w:rsidR="000636C2">
        <w:rPr>
          <w:rFonts w:hint="cs"/>
          <w:rtl/>
        </w:rPr>
        <w:t>،</w:t>
      </w:r>
      <w:r w:rsidRPr="005675B2">
        <w:rPr>
          <w:rFonts w:hint="cs"/>
          <w:rtl/>
        </w:rPr>
        <w:t>مثل الجواربي والهشامية والكرامية ون نهج منهجهم</w:t>
      </w:r>
      <w:r w:rsidR="000636C2">
        <w:rPr>
          <w:rFonts w:hint="cs"/>
          <w:rtl/>
        </w:rPr>
        <w:t>،</w:t>
      </w:r>
      <w:r w:rsidRPr="005675B2">
        <w:rPr>
          <w:rFonts w:hint="cs"/>
          <w:rtl/>
        </w:rPr>
        <w:t xml:space="preserve"> أما أهل السنة والجماعة فهم الأشاعرة والماتريدية وأصحاب الحديث من المفوضة لا المعتزلة ولا المشبهة</w:t>
      </w:r>
      <w:r w:rsidR="000636C2">
        <w:rPr>
          <w:rFonts w:hint="cs"/>
          <w:rtl/>
        </w:rPr>
        <w:t>،</w:t>
      </w:r>
      <w:r w:rsidRPr="005675B2">
        <w:rPr>
          <w:rFonts w:hint="cs"/>
          <w:rtl/>
        </w:rPr>
        <w:t xml:space="preserve"> وأما كون المشبه يعبد صنماً فقد قالها ابن القيم وهذا مشهور عنه وقال والمعطل يعبد عدماً</w:t>
      </w:r>
      <w:r w:rsidR="000636C2">
        <w:rPr>
          <w:rFonts w:hint="cs"/>
          <w:rtl/>
        </w:rPr>
        <w:t>،</w:t>
      </w:r>
      <w:r w:rsidRPr="005675B2">
        <w:rPr>
          <w:rFonts w:hint="cs"/>
          <w:rtl/>
        </w:rPr>
        <w:t xml:space="preserve"> ولعله يقصد من يعطل الله عن الصفات لأني لا أظنه يقصد من يعطل الله عن التشبيه</w:t>
      </w:r>
      <w:r w:rsidR="000636C2">
        <w:rPr>
          <w:rFonts w:hint="cs"/>
          <w:rtl/>
        </w:rPr>
        <w:t>،</w:t>
      </w:r>
      <w:r w:rsidRPr="005675B2">
        <w:rPr>
          <w:rFonts w:hint="cs"/>
          <w:rtl/>
        </w:rPr>
        <w:t>أو من يعطل الله عن الحلول</w:t>
      </w:r>
      <w:r w:rsidR="000636C2">
        <w:rPr>
          <w:rFonts w:hint="cs"/>
          <w:rtl/>
        </w:rPr>
        <w:t>،</w:t>
      </w:r>
      <w:r w:rsidRPr="005675B2">
        <w:rPr>
          <w:rFonts w:hint="cs"/>
          <w:rtl/>
        </w:rPr>
        <w:t>أو من يعطل الله عن التحيز إلى جهة من الجهات</w:t>
      </w:r>
      <w:r w:rsidR="000636C2">
        <w:rPr>
          <w:rFonts w:hint="cs"/>
          <w:rtl/>
        </w:rPr>
        <w:t>،</w:t>
      </w:r>
      <w:r w:rsidRPr="005675B2">
        <w:rPr>
          <w:rFonts w:hint="cs"/>
          <w:rtl/>
        </w:rPr>
        <w:t xml:space="preserve"> لأنه لا يقول ذلك رجل من أهل السنة</w:t>
      </w:r>
      <w:r w:rsidR="000636C2">
        <w:rPr>
          <w:rFonts w:hint="cs"/>
          <w:rtl/>
        </w:rPr>
        <w:t>،</w:t>
      </w:r>
    </w:p>
    <w:p w14:paraId="1E205E06" w14:textId="142A4C5C" w:rsidR="009C32A0" w:rsidRPr="005675B2" w:rsidRDefault="009C32A0" w:rsidP="000636C2">
      <w:pPr>
        <w:rPr>
          <w:b/>
          <w:rtl/>
        </w:rPr>
      </w:pPr>
      <w:r w:rsidRPr="005675B2">
        <w:rPr>
          <w:rFonts w:hint="cs"/>
          <w:rtl/>
        </w:rPr>
        <w:t>5</w:t>
      </w:r>
      <w:r w:rsidR="000636C2">
        <w:rPr>
          <w:rFonts w:hint="cs"/>
          <w:rtl/>
        </w:rPr>
        <w:t xml:space="preserve"> </w:t>
      </w:r>
      <w:r w:rsidRPr="005675B2">
        <w:rPr>
          <w:rFonts w:hint="cs"/>
          <w:rtl/>
        </w:rPr>
        <w:t>- الأشاعرة لم يكفروا ابن تيمية</w:t>
      </w:r>
      <w:r w:rsidR="000636C2">
        <w:rPr>
          <w:rFonts w:hint="cs"/>
          <w:rtl/>
        </w:rPr>
        <w:t xml:space="preserve"> </w:t>
      </w:r>
      <w:r w:rsidRPr="005675B2">
        <w:rPr>
          <w:rFonts w:hint="cs"/>
          <w:rtl/>
        </w:rPr>
        <w:t>بل دافع عنه الأشاعرة ومنهم ابن ناصر الدين الدمشقي صاحب كتاب المورد الصادي في مولد الهادي</w:t>
      </w:r>
      <w:r w:rsidR="000636C2">
        <w:rPr>
          <w:rFonts w:hint="cs"/>
          <w:rtl/>
        </w:rPr>
        <w:t>،</w:t>
      </w:r>
      <w:r w:rsidRPr="005675B2">
        <w:rPr>
          <w:rFonts w:hint="cs"/>
          <w:rtl/>
        </w:rPr>
        <w:t>وكذلك ذب عنه ابن حجر</w:t>
      </w:r>
      <w:r w:rsidR="000636C2">
        <w:rPr>
          <w:rFonts w:hint="cs"/>
          <w:rtl/>
        </w:rPr>
        <w:t xml:space="preserve"> </w:t>
      </w:r>
      <w:r w:rsidRPr="005675B2">
        <w:rPr>
          <w:rFonts w:hint="cs"/>
          <w:rtl/>
        </w:rPr>
        <w:t>وغيرهما من</w:t>
      </w:r>
      <w:r w:rsidR="000636C2">
        <w:rPr>
          <w:rFonts w:hint="cs"/>
          <w:rtl/>
        </w:rPr>
        <w:t xml:space="preserve"> </w:t>
      </w:r>
      <w:r w:rsidRPr="005675B2">
        <w:rPr>
          <w:rFonts w:hint="cs"/>
          <w:rtl/>
        </w:rPr>
        <w:t>الأشاعرة</w:t>
      </w:r>
      <w:r w:rsidR="000636C2">
        <w:rPr>
          <w:rFonts w:hint="cs"/>
          <w:rtl/>
        </w:rPr>
        <w:t>،</w:t>
      </w:r>
      <w:r w:rsidRPr="005675B2">
        <w:rPr>
          <w:rFonts w:hint="cs"/>
          <w:rtl/>
        </w:rPr>
        <w:t xml:space="preserve"> واعلم ياأخي أن من</w:t>
      </w:r>
      <w:r w:rsidR="000636C2">
        <w:rPr>
          <w:rFonts w:hint="cs"/>
          <w:rtl/>
        </w:rPr>
        <w:t xml:space="preserve"> </w:t>
      </w:r>
      <w:r w:rsidRPr="005675B2">
        <w:rPr>
          <w:rFonts w:hint="cs"/>
          <w:rtl/>
        </w:rPr>
        <w:t>كفر ابن تيمية [</w:t>
      </w:r>
      <w:r w:rsidRPr="005675B2">
        <w:rPr>
          <w:rFonts w:hint="cs"/>
          <w:bCs/>
          <w:sz w:val="24"/>
          <w:szCs w:val="24"/>
          <w:rtl/>
        </w:rPr>
        <w:t>الذي قال بتكفيره هو الإمام العلاء البخاري غفر الله له ولا بن تيمية , وقد رد عليه علماء الأشاعرة</w:t>
      </w:r>
      <w:r w:rsidR="000636C2">
        <w:rPr>
          <w:rFonts w:hint="cs"/>
          <w:bCs/>
          <w:sz w:val="24"/>
          <w:szCs w:val="24"/>
          <w:rtl/>
        </w:rPr>
        <w:t>،</w:t>
      </w:r>
      <w:r w:rsidRPr="005675B2">
        <w:rPr>
          <w:rFonts w:hint="cs"/>
          <w:bCs/>
          <w:sz w:val="24"/>
          <w:szCs w:val="24"/>
          <w:rtl/>
        </w:rPr>
        <w:t>وللفائدة فهو ليس أشعري وإنما هو</w:t>
      </w:r>
      <w:r w:rsidR="000636C2">
        <w:rPr>
          <w:rFonts w:hint="cs"/>
          <w:bCs/>
          <w:sz w:val="24"/>
          <w:szCs w:val="24"/>
          <w:rtl/>
        </w:rPr>
        <w:t xml:space="preserve"> </w:t>
      </w:r>
      <w:r w:rsidRPr="005675B2">
        <w:rPr>
          <w:rFonts w:hint="cs"/>
          <w:bCs/>
          <w:sz w:val="24"/>
          <w:szCs w:val="24"/>
          <w:rtl/>
        </w:rPr>
        <w:t>(حنفي</w:t>
      </w:r>
      <w:r w:rsidR="000636C2">
        <w:rPr>
          <w:rFonts w:hint="cs"/>
          <w:bCs/>
          <w:sz w:val="24"/>
          <w:szCs w:val="24"/>
          <w:rtl/>
        </w:rPr>
        <w:t>)]</w:t>
      </w:r>
      <w:r w:rsidRPr="005675B2">
        <w:rPr>
          <w:rFonts w:hint="cs"/>
          <w:rtl/>
        </w:rPr>
        <w:t xml:space="preserve"> فقد كفره بمسائل مستبشعة قال بها فمنها مسألة</w:t>
      </w:r>
      <w:r w:rsidR="000636C2">
        <w:rPr>
          <w:rFonts w:hint="cs"/>
          <w:rtl/>
        </w:rPr>
        <w:t xml:space="preserve"> </w:t>
      </w:r>
      <w:r w:rsidRPr="005675B2">
        <w:rPr>
          <w:rFonts w:hint="cs"/>
          <w:rtl/>
        </w:rPr>
        <w:t>تسلسل الحوادث</w:t>
      </w:r>
      <w:r w:rsidR="000636C2">
        <w:rPr>
          <w:rFonts w:hint="cs"/>
          <w:rtl/>
        </w:rPr>
        <w:t>،</w:t>
      </w:r>
      <w:r w:rsidRPr="005675B2">
        <w:rPr>
          <w:rFonts w:hint="cs"/>
          <w:rtl/>
        </w:rPr>
        <w:t>وأن الله محل للحادثات</w:t>
      </w:r>
      <w:r w:rsidR="000636C2">
        <w:rPr>
          <w:rFonts w:hint="cs"/>
          <w:rtl/>
        </w:rPr>
        <w:t>،</w:t>
      </w:r>
      <w:r w:rsidRPr="005675B2">
        <w:rPr>
          <w:rFonts w:hint="cs"/>
          <w:rtl/>
        </w:rPr>
        <w:t>وقوله بأزلية العالم بالنوع</w:t>
      </w:r>
      <w:r w:rsidR="000636C2">
        <w:rPr>
          <w:rFonts w:hint="cs"/>
          <w:rtl/>
        </w:rPr>
        <w:t>،</w:t>
      </w:r>
      <w:r w:rsidRPr="005675B2">
        <w:rPr>
          <w:rFonts w:hint="cs"/>
          <w:rtl/>
        </w:rPr>
        <w:t xml:space="preserve"> وقوله إن الصفات تفسر بالمعنى الحقيقي في اللغة فلا تفوض</w:t>
      </w:r>
      <w:r w:rsidR="000636C2">
        <w:rPr>
          <w:rFonts w:hint="cs"/>
          <w:rtl/>
        </w:rPr>
        <w:t>،</w:t>
      </w:r>
      <w:r w:rsidRPr="005675B2">
        <w:rPr>
          <w:rFonts w:hint="cs"/>
          <w:rtl/>
        </w:rPr>
        <w:t>وتجرى على ظاهرها ولا تؤول،وقد أخطأ</w:t>
      </w:r>
      <w:r w:rsidR="000636C2">
        <w:rPr>
          <w:rFonts w:hint="cs"/>
          <w:rtl/>
        </w:rPr>
        <w:t>،</w:t>
      </w:r>
      <w:r w:rsidRPr="005675B2">
        <w:rPr>
          <w:rFonts w:hint="cs"/>
          <w:rtl/>
        </w:rPr>
        <w:t xml:space="preserve"> و الإمام ابن تيمية قد تاب عن عقائده هذه ورجع إلى عقيدة</w:t>
      </w:r>
      <w:r w:rsidR="000636C2">
        <w:rPr>
          <w:rFonts w:hint="cs"/>
          <w:rtl/>
        </w:rPr>
        <w:t xml:space="preserve"> </w:t>
      </w:r>
      <w:r w:rsidRPr="005675B2">
        <w:rPr>
          <w:rFonts w:hint="cs"/>
          <w:rtl/>
        </w:rPr>
        <w:t>أهل السنة والجماعة وقد تقدم إثبات توبته رحمه الله تعالى</w:t>
      </w:r>
      <w:r w:rsidR="000636C2">
        <w:rPr>
          <w:rFonts w:hint="cs"/>
          <w:rtl/>
        </w:rPr>
        <w:t>،</w:t>
      </w:r>
      <w:r w:rsidRPr="005675B2">
        <w:rPr>
          <w:rFonts w:hint="cs"/>
          <w:rtl/>
        </w:rPr>
        <w:t xml:space="preserve"> رغم أنه ما أراد إلا تنزيه الله</w:t>
      </w:r>
      <w:r w:rsidR="000636C2">
        <w:rPr>
          <w:rFonts w:hint="cs"/>
          <w:rtl/>
        </w:rPr>
        <w:t xml:space="preserve">، </w:t>
      </w:r>
      <w:r w:rsidRPr="005675B2">
        <w:rPr>
          <w:rFonts w:hint="cs"/>
          <w:u w:val="single"/>
          <w:rtl/>
        </w:rPr>
        <w:t>وأما كتبه بوضعها الراهن فلا يعّول عليها في الحكم على الرجل لأسباب منها تناقضها فيثبت في موضع وينفي في موضع آخر</w:t>
      </w:r>
      <w:r w:rsidR="000636C2">
        <w:rPr>
          <w:rFonts w:hint="cs"/>
          <w:u w:val="single"/>
          <w:rtl/>
        </w:rPr>
        <w:t xml:space="preserve">، </w:t>
      </w:r>
      <w:r w:rsidRPr="005675B2">
        <w:rPr>
          <w:rFonts w:hint="cs"/>
          <w:rtl/>
        </w:rPr>
        <w:t>ومنها أنه لم يجمعها بنفسه فإثمها على من يروج للباطل الذي فيها</w:t>
      </w:r>
      <w:r w:rsidR="000636C2">
        <w:rPr>
          <w:rFonts w:hint="cs"/>
          <w:rtl/>
        </w:rPr>
        <w:t>،</w:t>
      </w:r>
      <w:r w:rsidRPr="005675B2">
        <w:rPr>
          <w:rFonts w:hint="cs"/>
          <w:rtl/>
        </w:rPr>
        <w:t xml:space="preserve"> ومنها أنه تاب عن مافيها إن ثبت قطعاً عليه</w:t>
      </w:r>
      <w:r w:rsidR="000636C2">
        <w:rPr>
          <w:rFonts w:hint="cs"/>
          <w:rtl/>
        </w:rPr>
        <w:t xml:space="preserve">، </w:t>
      </w:r>
      <w:r w:rsidRPr="005675B2">
        <w:rPr>
          <w:rFonts w:hint="cs"/>
          <w:rtl/>
        </w:rPr>
        <w:t>ومنها أنك تجد عشرات الأوراق مفقودة فيقول المحقق</w:t>
      </w:r>
      <w:r w:rsidR="000636C2">
        <w:rPr>
          <w:rFonts w:hint="cs"/>
          <w:rtl/>
        </w:rPr>
        <w:t>:</w:t>
      </w:r>
      <w:r w:rsidRPr="005675B2">
        <w:rPr>
          <w:rFonts w:hint="cs"/>
          <w:rtl/>
        </w:rPr>
        <w:t>هنا سقط بمقدار كذا وكذا ورقة</w:t>
      </w:r>
      <w:r w:rsidR="000636C2">
        <w:rPr>
          <w:rFonts w:hint="cs"/>
          <w:rtl/>
        </w:rPr>
        <w:t>،</w:t>
      </w:r>
      <w:r w:rsidRPr="005675B2">
        <w:rPr>
          <w:rFonts w:hint="cs"/>
          <w:rtl/>
        </w:rPr>
        <w:t>أو سطر</w:t>
      </w:r>
      <w:r w:rsidR="000636C2">
        <w:rPr>
          <w:rFonts w:hint="cs"/>
          <w:rtl/>
        </w:rPr>
        <w:t>،</w:t>
      </w:r>
      <w:r w:rsidRPr="005675B2">
        <w:rPr>
          <w:rFonts w:hint="cs"/>
          <w:rtl/>
        </w:rPr>
        <w:t xml:space="preserve"> فكيف ندري بما</w:t>
      </w:r>
      <w:r>
        <w:rPr>
          <w:rFonts w:hint="cs"/>
          <w:rtl/>
        </w:rPr>
        <w:t xml:space="preserve"> </w:t>
      </w:r>
      <w:r w:rsidRPr="005675B2">
        <w:rPr>
          <w:rFonts w:hint="cs"/>
          <w:rtl/>
        </w:rPr>
        <w:t>قال</w:t>
      </w:r>
      <w:r w:rsidR="000636C2">
        <w:rPr>
          <w:rFonts w:hint="cs"/>
          <w:rtl/>
        </w:rPr>
        <w:t>؟!</w:t>
      </w:r>
      <w:r w:rsidRPr="005675B2">
        <w:rPr>
          <w:rFonts w:hint="cs"/>
          <w:rtl/>
        </w:rPr>
        <w:t>!فنبرأ إلى الله من أن ننسب إليه شيئاً من هذه الأوراق التي لا تثبت عنه</w:t>
      </w:r>
      <w:r w:rsidR="000636C2">
        <w:rPr>
          <w:rFonts w:hint="cs"/>
          <w:rtl/>
        </w:rPr>
        <w:t>،</w:t>
      </w:r>
      <w:r>
        <w:rPr>
          <w:rFonts w:hint="cs"/>
          <w:rtl/>
        </w:rPr>
        <w:t xml:space="preserve"> </w:t>
      </w:r>
      <w:r w:rsidRPr="005675B2">
        <w:rPr>
          <w:rFonts w:hint="cs"/>
          <w:rtl/>
        </w:rPr>
        <w:t>ومن حكم عليه بالكفر فهو رأيه</w:t>
      </w:r>
      <w:r w:rsidR="000636C2">
        <w:rPr>
          <w:rFonts w:hint="cs"/>
          <w:rtl/>
        </w:rPr>
        <w:t xml:space="preserve"> </w:t>
      </w:r>
      <w:r w:rsidRPr="005675B2">
        <w:rPr>
          <w:rFonts w:hint="cs"/>
          <w:rtl/>
        </w:rPr>
        <w:t>هداه الله</w:t>
      </w:r>
      <w:r w:rsidR="000636C2">
        <w:rPr>
          <w:rFonts w:hint="cs"/>
          <w:rtl/>
        </w:rPr>
        <w:t>،</w:t>
      </w:r>
      <w:r w:rsidRPr="005675B2">
        <w:rPr>
          <w:rFonts w:hint="cs"/>
          <w:rtl/>
        </w:rPr>
        <w:t xml:space="preserve"> ولو كان كافراً</w:t>
      </w:r>
      <w:r w:rsidR="000636C2">
        <w:rPr>
          <w:rFonts w:hint="cs"/>
          <w:rtl/>
        </w:rPr>
        <w:t xml:space="preserve"> </w:t>
      </w:r>
      <w:r w:rsidRPr="005675B2">
        <w:rPr>
          <w:rFonts w:hint="cs"/>
          <w:rtl/>
        </w:rPr>
        <w:t>لحكم عليه القضاة في</w:t>
      </w:r>
      <w:r>
        <w:rPr>
          <w:rFonts w:hint="cs"/>
          <w:rtl/>
        </w:rPr>
        <w:t xml:space="preserve"> </w:t>
      </w:r>
      <w:r w:rsidRPr="005675B2">
        <w:rPr>
          <w:rFonts w:hint="cs"/>
          <w:rtl/>
        </w:rPr>
        <w:t>عصره بالكفر</w:t>
      </w:r>
      <w:r w:rsidR="000636C2">
        <w:rPr>
          <w:rFonts w:hint="cs"/>
          <w:rtl/>
        </w:rPr>
        <w:t>،</w:t>
      </w:r>
      <w:r w:rsidRPr="005675B2">
        <w:rPr>
          <w:rFonts w:hint="cs"/>
          <w:rtl/>
        </w:rPr>
        <w:t xml:space="preserve"> وأما تكفير الفلاسفة القائلين بالطبع والعلة وغيرها فقد تقدم الكلام في المسألة</w:t>
      </w:r>
      <w:r w:rsidR="000636C2">
        <w:rPr>
          <w:rFonts w:hint="cs"/>
          <w:rtl/>
        </w:rPr>
        <w:t>،</w:t>
      </w:r>
      <w:r w:rsidRPr="005675B2">
        <w:rPr>
          <w:rFonts w:hint="cs"/>
          <w:rtl/>
        </w:rPr>
        <w:t xml:space="preserve"> فهم يعنون بالتأثير أي الخلق</w:t>
      </w:r>
      <w:r w:rsidR="000636C2">
        <w:rPr>
          <w:rFonts w:hint="cs"/>
          <w:rtl/>
        </w:rPr>
        <w:t>،</w:t>
      </w:r>
      <w:r w:rsidRPr="005675B2">
        <w:rPr>
          <w:rFonts w:hint="cs"/>
          <w:rtl/>
        </w:rPr>
        <w:t xml:space="preserve"> وأهل السنة يعتقدون انفراد الله بالخلق وحده بلاشريك ولا معاون</w:t>
      </w:r>
      <w:r w:rsidR="000636C2">
        <w:rPr>
          <w:rFonts w:hint="cs"/>
          <w:rtl/>
        </w:rPr>
        <w:t>،</w:t>
      </w:r>
    </w:p>
    <w:p w14:paraId="5AC3DEE6" w14:textId="22BAFF9F" w:rsidR="009C32A0" w:rsidRPr="005675B2" w:rsidRDefault="009C32A0" w:rsidP="000636C2">
      <w:pPr>
        <w:rPr>
          <w:b/>
          <w:rtl/>
        </w:rPr>
      </w:pPr>
      <w:r w:rsidRPr="00CC6907">
        <w:rPr>
          <w:rFonts w:hint="cs"/>
          <w:bCs/>
          <w:rtl/>
        </w:rPr>
        <w:t>مجازفات</w:t>
      </w:r>
      <w:r w:rsidR="000636C2">
        <w:rPr>
          <w:rFonts w:hint="cs"/>
          <w:bCs/>
          <w:rtl/>
        </w:rPr>
        <w:t xml:space="preserve">: </w:t>
      </w:r>
      <w:r w:rsidRPr="005675B2">
        <w:rPr>
          <w:rFonts w:hint="cs"/>
          <w:rtl/>
        </w:rPr>
        <w:t>قال الكاتب</w:t>
      </w:r>
      <w:r w:rsidR="000636C2">
        <w:rPr>
          <w:rFonts w:hint="cs"/>
          <w:rtl/>
        </w:rPr>
        <w:t>:</w:t>
      </w:r>
      <w:r w:rsidRPr="005675B2">
        <w:rPr>
          <w:rFonts w:hint="cs"/>
          <w:rtl/>
        </w:rPr>
        <w:t xml:space="preserve"> هل بقي شك</w:t>
      </w:r>
      <w:r w:rsidR="000636C2">
        <w:rPr>
          <w:rFonts w:hint="cs"/>
          <w:rtl/>
        </w:rPr>
        <w:t xml:space="preserve">؟ </w:t>
      </w:r>
      <w:r w:rsidRPr="005675B2">
        <w:rPr>
          <w:rFonts w:hint="cs"/>
          <w:rtl/>
        </w:rPr>
        <w:t>بعد هذه المخالفات المنهجية</w:t>
      </w:r>
      <w:r w:rsidRPr="005675B2">
        <w:rPr>
          <w:rFonts w:hint="cs"/>
        </w:rPr>
        <w:t xml:space="preserve"> </w:t>
      </w:r>
      <w:r w:rsidRPr="005675B2">
        <w:rPr>
          <w:rFonts w:hint="cs"/>
          <w:rtl/>
        </w:rPr>
        <w:t>في أبواب العقيدة كلها وبعد هذا التميز الفكري الواضح لمذهب الأشاعرة إضافة إلى</w:t>
      </w:r>
      <w:r w:rsidRPr="005675B2">
        <w:rPr>
          <w:rFonts w:hint="cs"/>
        </w:rPr>
        <w:t xml:space="preserve"> </w:t>
      </w:r>
      <w:r w:rsidRPr="005675B2">
        <w:rPr>
          <w:rFonts w:hint="cs"/>
          <w:rtl/>
        </w:rPr>
        <w:t>التميز التاريخي هل بقي شك في خروجهم عن مذهب أهل السنة والجماعة الذي هو مذهب</w:t>
      </w:r>
      <w:r w:rsidRPr="005675B2">
        <w:rPr>
          <w:rFonts w:hint="cs"/>
        </w:rPr>
        <w:t xml:space="preserve"> </w:t>
      </w:r>
      <w:r w:rsidRPr="005675B2">
        <w:rPr>
          <w:rFonts w:hint="cs"/>
          <w:rtl/>
        </w:rPr>
        <w:t>السلف الصالح</w:t>
      </w:r>
      <w:r w:rsidR="000636C2">
        <w:rPr>
          <w:rFonts w:hint="cs"/>
          <w:rtl/>
        </w:rPr>
        <w:t>،</w:t>
      </w:r>
      <w:r w:rsidRPr="005675B2">
        <w:rPr>
          <w:rFonts w:hint="cs"/>
          <w:rtl/>
        </w:rPr>
        <w:t xml:space="preserve"> لا أظن أي عارف بالمذهبين</w:t>
      </w:r>
      <w:r w:rsidRPr="005675B2">
        <w:rPr>
          <w:rFonts w:hint="cs"/>
        </w:rPr>
        <w:t xml:space="preserve"> </w:t>
      </w:r>
      <w:r w:rsidRPr="005675B2">
        <w:rPr>
          <w:rFonts w:hint="cs"/>
          <w:rtl/>
        </w:rPr>
        <w:t>ولو من خلال ما سبق هنا يتصور ذلك</w:t>
      </w:r>
      <w:r w:rsidR="000636C2">
        <w:rPr>
          <w:rFonts w:hint="cs"/>
          <w:rtl/>
        </w:rPr>
        <w:t>، [</w:t>
      </w:r>
      <w:r>
        <w:rPr>
          <w:rFonts w:hint="cs"/>
          <w:rtl/>
        </w:rPr>
        <w:t>الجواب</w:t>
      </w:r>
      <w:r w:rsidR="000636C2">
        <w:rPr>
          <w:rFonts w:hint="cs"/>
          <w:rtl/>
        </w:rPr>
        <w:t>]:</w:t>
      </w:r>
      <w:r w:rsidRPr="005675B2">
        <w:rPr>
          <w:rFonts w:hint="cs"/>
          <w:rtl/>
        </w:rPr>
        <w:t xml:space="preserve"> لم يبق شك في أنك تسرعت هداك الله</w:t>
      </w:r>
      <w:r w:rsidR="000636C2">
        <w:rPr>
          <w:rFonts w:hint="cs"/>
          <w:rtl/>
        </w:rPr>
        <w:t>،</w:t>
      </w:r>
      <w:r w:rsidRPr="005675B2">
        <w:rPr>
          <w:rFonts w:hint="cs"/>
          <w:rtl/>
        </w:rPr>
        <w:t>وتصورت المسائل على غير ماهي عليه، فنتج عن التصور الفاسد حكم فاسد</w:t>
      </w:r>
      <w:r w:rsidR="000636C2">
        <w:rPr>
          <w:rFonts w:hint="cs"/>
          <w:rtl/>
        </w:rPr>
        <w:t>،</w:t>
      </w:r>
      <w:r w:rsidRPr="005675B2">
        <w:rPr>
          <w:rFonts w:hint="cs"/>
          <w:rtl/>
        </w:rPr>
        <w:t xml:space="preserve"> والتقليد الأعمى لا ينفع في مثل هذه المواطن</w:t>
      </w:r>
      <w:r w:rsidR="000636C2">
        <w:rPr>
          <w:rFonts w:hint="cs"/>
          <w:rtl/>
        </w:rPr>
        <w:t>،</w:t>
      </w:r>
    </w:p>
    <w:p w14:paraId="274B0BC7" w14:textId="14422831" w:rsidR="009C32A0" w:rsidRPr="005675B2" w:rsidRDefault="009C32A0" w:rsidP="000636C2">
      <w:pPr>
        <w:rPr>
          <w:b/>
          <w:rtl/>
        </w:rPr>
      </w:pPr>
      <w:r w:rsidRPr="005675B2">
        <w:rPr>
          <w:rFonts w:hint="cs"/>
          <w:rtl/>
        </w:rPr>
        <w:t>قال الكاتب</w:t>
      </w:r>
      <w:r w:rsidR="000636C2">
        <w:rPr>
          <w:rFonts w:hint="cs"/>
          <w:rtl/>
        </w:rPr>
        <w:t>:</w:t>
      </w:r>
      <w:r w:rsidRPr="005675B2">
        <w:rPr>
          <w:rFonts w:hint="cs"/>
          <w:rtl/>
        </w:rPr>
        <w:t xml:space="preserve"> وكما سيلاحظ القارئ هنا يرجع معظم تناقضهم إلى كونهم لم يسلموا للوحي</w:t>
      </w:r>
      <w:r w:rsidRPr="005675B2">
        <w:rPr>
          <w:rFonts w:hint="cs"/>
        </w:rPr>
        <w:t xml:space="preserve"> </w:t>
      </w:r>
      <w:r w:rsidRPr="005675B2">
        <w:rPr>
          <w:rFonts w:hint="cs"/>
          <w:rtl/>
        </w:rPr>
        <w:t>تسليماً كاملاً ويعرفوا للعقل منزلته الحقيقية وحدوده الشرعية ولم يلتزموا بالعقل</w:t>
      </w:r>
      <w:r w:rsidRPr="005675B2">
        <w:rPr>
          <w:rFonts w:hint="cs"/>
        </w:rPr>
        <w:t xml:space="preserve"> </w:t>
      </w:r>
      <w:r w:rsidRPr="005675B2">
        <w:rPr>
          <w:rFonts w:hint="cs"/>
          <w:rtl/>
        </w:rPr>
        <w:t>التزاماً واضحاً ويرسموا منهجاً عقلياً متكاملاً 6كالمعتزلة والفلاسفة</w:t>
      </w:r>
      <w:r w:rsidR="000636C2">
        <w:rPr>
          <w:rFonts w:hint="cs"/>
          <w:rtl/>
        </w:rPr>
        <w:t>،</w:t>
      </w:r>
      <w:r w:rsidRPr="005675B2">
        <w:rPr>
          <w:rFonts w:hint="cs"/>
          <w:rtl/>
        </w:rPr>
        <w:t xml:space="preserve"> بل خلطوا</w:t>
      </w:r>
      <w:r w:rsidRPr="005675B2">
        <w:rPr>
          <w:rFonts w:hint="cs"/>
        </w:rPr>
        <w:t xml:space="preserve"> </w:t>
      </w:r>
      <w:r w:rsidRPr="005675B2">
        <w:rPr>
          <w:rFonts w:hint="cs"/>
          <w:rtl/>
        </w:rPr>
        <w:t>وركبوا فتناقضوا واضطربوا</w:t>
      </w:r>
      <w:r w:rsidR="000636C2">
        <w:rPr>
          <w:rFonts w:hint="cs"/>
          <w:rtl/>
        </w:rPr>
        <w:t>، [</w:t>
      </w:r>
      <w:r>
        <w:rPr>
          <w:rFonts w:hint="cs"/>
          <w:rtl/>
        </w:rPr>
        <w:t>الجواب</w:t>
      </w:r>
      <w:r w:rsidR="000636C2">
        <w:rPr>
          <w:rFonts w:hint="cs"/>
          <w:rtl/>
        </w:rPr>
        <w:t>]:</w:t>
      </w:r>
      <w:r w:rsidRPr="005675B2">
        <w:rPr>
          <w:rFonts w:hint="cs"/>
          <w:rtl/>
        </w:rPr>
        <w:t xml:space="preserve"> هذه دعاوى باطلة مفادها أن الكاتب يريد أن يكون علماء أهل السنة من الأشاعرة إما حمقى يأخذون النصوص بلا فهم</w:t>
      </w:r>
      <w:r w:rsidR="000636C2">
        <w:rPr>
          <w:rFonts w:hint="cs"/>
          <w:rtl/>
        </w:rPr>
        <w:t>،</w:t>
      </w:r>
      <w:r w:rsidRPr="005675B2">
        <w:rPr>
          <w:rFonts w:hint="cs"/>
          <w:rtl/>
        </w:rPr>
        <w:t xml:space="preserve"> وهذا ما يسميه تلطفاً بالتسليم، أو أن يحكّموا عقولهم في النصوص تحكيماً فاسداً كما فعلت الفلاسفة والمعتزلة</w:t>
      </w:r>
      <w:r w:rsidR="000636C2">
        <w:rPr>
          <w:rFonts w:hint="cs"/>
          <w:rtl/>
        </w:rPr>
        <w:t>،!</w:t>
      </w:r>
      <w:r w:rsidRPr="005675B2">
        <w:rPr>
          <w:rFonts w:hint="cs"/>
          <w:rtl/>
        </w:rPr>
        <w:t>!</w:t>
      </w:r>
      <w:r w:rsidR="000636C2">
        <w:rPr>
          <w:rFonts w:hint="cs"/>
          <w:rtl/>
        </w:rPr>
        <w:t xml:space="preserve"> </w:t>
      </w:r>
      <w:r w:rsidRPr="005675B2">
        <w:rPr>
          <w:rFonts w:hint="cs"/>
          <w:rtl/>
        </w:rPr>
        <w:t>ولكن الله تفضل على علماء أهل السنة والجماعة</w:t>
      </w:r>
      <w:r w:rsidR="000636C2">
        <w:rPr>
          <w:rFonts w:hint="cs"/>
          <w:rtl/>
        </w:rPr>
        <w:t xml:space="preserve"> </w:t>
      </w:r>
      <w:r w:rsidRPr="005675B2">
        <w:rPr>
          <w:rFonts w:hint="cs"/>
          <w:rtl/>
        </w:rPr>
        <w:t>من السادة الأشاعرة وغيرهم بأن كانوا وسطاً</w:t>
      </w:r>
      <w:r w:rsidR="000636C2">
        <w:rPr>
          <w:rFonts w:hint="cs"/>
          <w:rtl/>
        </w:rPr>
        <w:t>،</w:t>
      </w:r>
      <w:r w:rsidRPr="005675B2">
        <w:rPr>
          <w:rFonts w:hint="cs"/>
          <w:rtl/>
        </w:rPr>
        <w:t xml:space="preserve"> فلم يعطلوا عقولهم التي تفضل بها عليهم، ولم يردوا بها النصوص</w:t>
      </w:r>
      <w:r w:rsidR="000636C2">
        <w:rPr>
          <w:rFonts w:hint="cs"/>
          <w:rtl/>
        </w:rPr>
        <w:t>،</w:t>
      </w:r>
    </w:p>
    <w:p w14:paraId="050F8C31" w14:textId="3A9FB699" w:rsidR="009C32A0" w:rsidRPr="005675B2" w:rsidRDefault="009C32A0" w:rsidP="000636C2">
      <w:pPr>
        <w:rPr>
          <w:rtl/>
        </w:rPr>
      </w:pPr>
      <w:r w:rsidRPr="00AD70F4">
        <w:rPr>
          <w:rFonts w:hint="cs"/>
          <w:bCs/>
          <w:rtl/>
        </w:rPr>
        <w:t>أمثلة ظن الكاتب أنها تناقضات</w:t>
      </w:r>
      <w:r w:rsidR="000636C2">
        <w:rPr>
          <w:rFonts w:hint="cs"/>
          <w:bCs/>
          <w:rtl/>
        </w:rPr>
        <w:t>:</w:t>
      </w:r>
      <w:r>
        <w:rPr>
          <w:rFonts w:hint="cs"/>
          <w:bCs/>
          <w:rtl/>
        </w:rPr>
        <w:t xml:space="preserve"> </w:t>
      </w:r>
      <w:r w:rsidRPr="005675B2">
        <w:rPr>
          <w:rFonts w:hint="cs"/>
          <w:rtl/>
        </w:rPr>
        <w:t>قال الكاتب</w:t>
      </w:r>
      <w:r w:rsidR="000636C2">
        <w:rPr>
          <w:rFonts w:hint="cs"/>
          <w:rtl/>
        </w:rPr>
        <w:t>:</w:t>
      </w:r>
      <w:r w:rsidRPr="005675B2">
        <w:rPr>
          <w:rFonts w:hint="cs"/>
          <w:rtl/>
        </w:rPr>
        <w:t xml:space="preserve"> وإليك أمثلة سريعة للتناقض</w:t>
      </w:r>
      <w:r w:rsidRPr="005675B2">
        <w:rPr>
          <w:rFonts w:hint="cs"/>
        </w:rPr>
        <w:t xml:space="preserve"> </w:t>
      </w:r>
      <w:r w:rsidRPr="005675B2">
        <w:rPr>
          <w:rFonts w:hint="cs"/>
          <w:rtl/>
        </w:rPr>
        <w:t>ومكابرة العقل</w:t>
      </w:r>
      <w:r w:rsidR="000636C2">
        <w:rPr>
          <w:rFonts w:hint="cs"/>
          <w:rtl/>
        </w:rPr>
        <w:t>:</w:t>
      </w:r>
    </w:p>
    <w:p w14:paraId="4081DE6F" w14:textId="1CC9A823" w:rsidR="009C32A0" w:rsidRPr="005675B2" w:rsidRDefault="009C32A0" w:rsidP="000636C2">
      <w:pPr>
        <w:rPr>
          <w:b/>
          <w:rtl/>
        </w:rPr>
      </w:pPr>
      <w:r w:rsidRPr="005675B2">
        <w:rPr>
          <w:rFonts w:hint="cs"/>
          <w:rtl/>
        </w:rPr>
        <w:t>1 - قالوا</w:t>
      </w:r>
      <w:r w:rsidR="000636C2">
        <w:rPr>
          <w:rFonts w:hint="cs"/>
          <w:rtl/>
        </w:rPr>
        <w:t>:</w:t>
      </w:r>
      <w:r w:rsidRPr="005675B2">
        <w:rPr>
          <w:rFonts w:hint="cs"/>
          <w:rtl/>
        </w:rPr>
        <w:t xml:space="preserve"> إن الجهة</w:t>
      </w:r>
      <w:r w:rsidRPr="005675B2">
        <w:rPr>
          <w:rFonts w:hint="cs"/>
        </w:rPr>
        <w:t xml:space="preserve"> </w:t>
      </w:r>
      <w:r w:rsidRPr="005675B2">
        <w:rPr>
          <w:rFonts w:hint="cs"/>
          <w:rtl/>
        </w:rPr>
        <w:t>مستحيلة في حق الله ثم قالوا بإثبات الرؤية</w:t>
      </w:r>
      <w:r w:rsidR="000636C2">
        <w:rPr>
          <w:rFonts w:hint="cs"/>
          <w:rtl/>
        </w:rPr>
        <w:t>،</w:t>
      </w:r>
      <w:r w:rsidRPr="005675B2">
        <w:rPr>
          <w:rFonts w:hint="cs"/>
          <w:rtl/>
        </w:rPr>
        <w:t xml:space="preserve"> ولهذا قيل فيهم</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من أنكر الجهة وأثبت الرؤية فقد أضحك الناس على عقله</w:t>
      </w:r>
      <w:r w:rsidRPr="005675B2">
        <w:rPr>
          <w:rFonts w:hint="cs"/>
        </w:rPr>
        <w:t xml:space="preserve"> </w:t>
      </w:r>
      <w:r w:rsidRPr="005675B2">
        <w:rPr>
          <w:rFonts w:hint="cs"/>
          <w:rtl/>
        </w:rPr>
        <w:t>"</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أنتم يا أخي تظنون أن الله مثل المخلوقات</w:t>
      </w:r>
      <w:r w:rsidR="000636C2">
        <w:rPr>
          <w:rFonts w:hint="cs"/>
          <w:rtl/>
        </w:rPr>
        <w:t>،</w:t>
      </w:r>
      <w:r w:rsidRPr="005675B2">
        <w:rPr>
          <w:rFonts w:hint="cs"/>
          <w:rtl/>
        </w:rPr>
        <w:t>فكما أن المخلوق لا يمكن أن يرى إلا في حيز وجهة مقابلة</w:t>
      </w:r>
      <w:r w:rsidR="000636C2">
        <w:rPr>
          <w:rFonts w:hint="cs"/>
          <w:rtl/>
        </w:rPr>
        <w:t>،</w:t>
      </w:r>
      <w:r w:rsidRPr="005675B2">
        <w:rPr>
          <w:rFonts w:hint="cs"/>
          <w:rtl/>
        </w:rPr>
        <w:t xml:space="preserve"> فكذلك الخالق لا يرى إلا كذلك</w:t>
      </w:r>
      <w:r w:rsidR="000636C2">
        <w:rPr>
          <w:rFonts w:hint="cs"/>
          <w:rtl/>
        </w:rPr>
        <w:t>،</w:t>
      </w:r>
      <w:r w:rsidRPr="005675B2">
        <w:rPr>
          <w:rFonts w:hint="cs"/>
          <w:rtl/>
        </w:rPr>
        <w:t xml:space="preserve"> قياساً للخالق على المخلوق</w:t>
      </w:r>
      <w:r w:rsidR="000636C2">
        <w:rPr>
          <w:rFonts w:hint="cs"/>
          <w:rtl/>
        </w:rPr>
        <w:t>،</w:t>
      </w:r>
    </w:p>
    <w:p w14:paraId="513F2FB9" w14:textId="2F5A0A7C" w:rsidR="009C32A0" w:rsidRPr="005675B2" w:rsidRDefault="009C32A0" w:rsidP="000636C2">
      <w:pPr>
        <w:rPr>
          <w:b/>
          <w:rtl/>
        </w:rPr>
      </w:pPr>
      <w:r w:rsidRPr="005675B2">
        <w:rPr>
          <w:rFonts w:hint="cs"/>
          <w:rtl/>
        </w:rPr>
        <w:t>وأما أهل السنة والجماعة فيؤمنون برؤية الله تعالى بلا كيف، ولا تشبيه، ولا تعطيل، فكما أن من خصائص المخلوق أن يكون في مكان وجهة</w:t>
      </w:r>
      <w:r w:rsidR="000636C2">
        <w:rPr>
          <w:rFonts w:hint="cs"/>
          <w:rtl/>
        </w:rPr>
        <w:t>،</w:t>
      </w:r>
      <w:r w:rsidRPr="005675B2">
        <w:rPr>
          <w:rFonts w:hint="cs"/>
          <w:rtl/>
        </w:rPr>
        <w:t>فمن خصائص الخالق أنه لا يحل في مكان ولا جهة</w:t>
      </w:r>
      <w:r w:rsidR="000636C2">
        <w:rPr>
          <w:rFonts w:hint="cs"/>
          <w:rtl/>
        </w:rPr>
        <w:t>،</w:t>
      </w:r>
      <w:r w:rsidRPr="005675B2">
        <w:rPr>
          <w:rFonts w:hint="cs"/>
          <w:rtl/>
        </w:rPr>
        <w:t>ومع ذلك يراه المؤمنون</w:t>
      </w:r>
      <w:r w:rsidR="000636C2">
        <w:rPr>
          <w:rFonts w:hint="cs"/>
          <w:rtl/>
        </w:rPr>
        <w:t>،</w:t>
      </w:r>
      <w:r w:rsidRPr="005675B2">
        <w:rPr>
          <w:rFonts w:hint="cs"/>
          <w:rtl/>
        </w:rPr>
        <w:t xml:space="preserve"> فإن قلت</w:t>
      </w:r>
      <w:r w:rsidR="000636C2">
        <w:rPr>
          <w:rFonts w:hint="cs"/>
          <w:rtl/>
        </w:rPr>
        <w:t xml:space="preserve"> </w:t>
      </w:r>
      <w:r w:rsidRPr="005675B2">
        <w:rPr>
          <w:rFonts w:hint="cs"/>
          <w:rtl/>
        </w:rPr>
        <w:t>كيف يمكن ذلك</w:t>
      </w:r>
      <w:r w:rsidR="000636C2">
        <w:rPr>
          <w:rFonts w:hint="cs"/>
          <w:rtl/>
        </w:rPr>
        <w:t>؟</w:t>
      </w:r>
      <w:r w:rsidRPr="005675B2">
        <w:rPr>
          <w:rFonts w:hint="cs"/>
          <w:rtl/>
        </w:rPr>
        <w:t xml:space="preserve"> قلت لك ما قال السلف</w:t>
      </w:r>
      <w:r w:rsidR="000636C2">
        <w:rPr>
          <w:rFonts w:hint="cs"/>
          <w:rtl/>
        </w:rPr>
        <w:t>:</w:t>
      </w:r>
      <w:r w:rsidRPr="005675B2">
        <w:rPr>
          <w:rFonts w:hint="cs"/>
          <w:rtl/>
        </w:rPr>
        <w:t>آمنا بذلك بلا كيف وكيف عنه مرفوع</w:t>
      </w:r>
      <w:r w:rsidR="000636C2">
        <w:rPr>
          <w:rFonts w:hint="cs"/>
          <w:rtl/>
        </w:rPr>
        <w:t>،</w:t>
      </w:r>
      <w:r w:rsidRPr="005675B2">
        <w:rPr>
          <w:rFonts w:hint="cs"/>
          <w:rtl/>
        </w:rPr>
        <w:t xml:space="preserve"> سلمنا لله و نقف</w:t>
      </w:r>
      <w:r w:rsidR="000636C2">
        <w:rPr>
          <w:rFonts w:hint="cs"/>
          <w:rtl/>
        </w:rPr>
        <w:t xml:space="preserve"> </w:t>
      </w:r>
      <w:r w:rsidRPr="005675B2">
        <w:rPr>
          <w:rFonts w:hint="cs"/>
          <w:rtl/>
        </w:rPr>
        <w:t>عند ذلك لأن ما بعده إلا الضلال</w:t>
      </w:r>
      <w:r w:rsidR="000636C2">
        <w:rPr>
          <w:rFonts w:hint="cs"/>
          <w:rtl/>
        </w:rPr>
        <w:t>؟!،</w:t>
      </w:r>
      <w:r w:rsidR="000636C2">
        <w:rPr>
          <w:rFonts w:hint="cs"/>
          <w:bCs/>
          <w:rtl/>
        </w:rPr>
        <w:t xml:space="preserve"> </w:t>
      </w:r>
      <w:r w:rsidRPr="00AD70F4">
        <w:rPr>
          <w:rFonts w:hint="cs"/>
          <w:bCs/>
          <w:rtl/>
        </w:rPr>
        <w:t>فائدة</w:t>
      </w:r>
      <w:r w:rsidR="000636C2">
        <w:rPr>
          <w:rFonts w:hint="cs"/>
          <w:rtl/>
        </w:rPr>
        <w:t>:</w:t>
      </w:r>
      <w:r w:rsidRPr="005675B2">
        <w:rPr>
          <w:rFonts w:hint="cs"/>
          <w:rtl/>
        </w:rPr>
        <w:t>مذهب أهل السنة من الأشاعرة وغيرهم وسط بين مذهبين</w:t>
      </w:r>
      <w:r w:rsidR="000636C2">
        <w:rPr>
          <w:rFonts w:hint="cs"/>
          <w:rtl/>
        </w:rPr>
        <w:t xml:space="preserve">: </w:t>
      </w:r>
      <w:r w:rsidRPr="005675B2">
        <w:rPr>
          <w:rFonts w:hint="cs"/>
          <w:rtl/>
        </w:rPr>
        <w:t>1</w:t>
      </w:r>
      <w:r w:rsidR="000636C2">
        <w:rPr>
          <w:rFonts w:hint="cs"/>
          <w:rtl/>
        </w:rPr>
        <w:t xml:space="preserve"> </w:t>
      </w:r>
      <w:r w:rsidRPr="005675B2">
        <w:rPr>
          <w:rFonts w:hint="cs"/>
          <w:rtl/>
        </w:rPr>
        <w:t>- مذهب المعطلة الذين ينكرون رؤية الله</w:t>
      </w:r>
      <w:r w:rsidR="000636C2">
        <w:rPr>
          <w:rFonts w:hint="cs"/>
          <w:rtl/>
        </w:rPr>
        <w:t>،</w:t>
      </w:r>
      <w:r>
        <w:rPr>
          <w:rFonts w:hint="cs"/>
          <w:rtl/>
        </w:rPr>
        <w:t xml:space="preserve"> </w:t>
      </w:r>
      <w:r w:rsidRPr="005675B2">
        <w:rPr>
          <w:rFonts w:hint="cs"/>
          <w:rtl/>
        </w:rPr>
        <w:t>2</w:t>
      </w:r>
      <w:r w:rsidR="000636C2">
        <w:rPr>
          <w:rFonts w:hint="cs"/>
          <w:rtl/>
        </w:rPr>
        <w:t xml:space="preserve"> </w:t>
      </w:r>
      <w:r w:rsidRPr="005675B2">
        <w:rPr>
          <w:rFonts w:hint="cs"/>
          <w:rtl/>
        </w:rPr>
        <w:t>- ومذهب المشبهة الذين ينكرون رؤية الله إلا إن كانت في جهة تشبيهاً للخالق بالمخلوق</w:t>
      </w:r>
      <w:r w:rsidR="000636C2">
        <w:rPr>
          <w:rFonts w:hint="cs"/>
          <w:rtl/>
        </w:rPr>
        <w:t xml:space="preserve">، </w:t>
      </w:r>
      <w:r w:rsidRPr="005675B2">
        <w:rPr>
          <w:rFonts w:hint="cs"/>
          <w:rtl/>
        </w:rPr>
        <w:t>وقد تقدم الكلام في كون الدهرية لا يؤمنون بأزلية الله إلا مرتبطة بزمن، فصار كلامهم إلى إثبات أزلي مع الله وهو الزمن</w:t>
      </w:r>
      <w:r w:rsidR="000636C2">
        <w:rPr>
          <w:rFonts w:hint="cs"/>
          <w:rtl/>
        </w:rPr>
        <w:t>،</w:t>
      </w:r>
      <w:r w:rsidRPr="005675B2">
        <w:rPr>
          <w:rFonts w:hint="cs"/>
          <w:rtl/>
        </w:rPr>
        <w:t xml:space="preserve"> والجهوية لا يؤمنون بوجود الله إلا إذا كان في جهة</w:t>
      </w:r>
      <w:r w:rsidR="000636C2">
        <w:rPr>
          <w:rFonts w:hint="cs"/>
          <w:rtl/>
        </w:rPr>
        <w:t>،</w:t>
      </w:r>
      <w:r w:rsidRPr="005675B2">
        <w:rPr>
          <w:rFonts w:hint="cs"/>
          <w:rtl/>
        </w:rPr>
        <w:t xml:space="preserve"> والحلولية لا يؤمنون بوجود الله إلا وهو في كل مكان</w:t>
      </w:r>
      <w:r w:rsidR="000636C2">
        <w:rPr>
          <w:rFonts w:hint="cs"/>
          <w:rtl/>
        </w:rPr>
        <w:t>،</w:t>
      </w:r>
      <w:r w:rsidRPr="005675B2">
        <w:rPr>
          <w:rFonts w:hint="cs"/>
          <w:rtl/>
        </w:rPr>
        <w:t xml:space="preserve"> وقد اغتر الجميع بظاهر</w:t>
      </w:r>
      <w:r w:rsidR="000636C2">
        <w:rPr>
          <w:rFonts w:hint="cs"/>
          <w:rtl/>
        </w:rPr>
        <w:t xml:space="preserve"> </w:t>
      </w:r>
      <w:r w:rsidRPr="005675B2">
        <w:rPr>
          <w:rFonts w:hint="cs"/>
          <w:rtl/>
        </w:rPr>
        <w:t>الفهم لآيات وأحاديث</w:t>
      </w:r>
      <w:r w:rsidR="000636C2">
        <w:rPr>
          <w:rFonts w:hint="cs"/>
          <w:rtl/>
        </w:rPr>
        <w:t>،</w:t>
      </w:r>
      <w:r w:rsidRPr="005675B2">
        <w:rPr>
          <w:rFonts w:hint="cs"/>
          <w:rtl/>
        </w:rPr>
        <w:t>بينما لها</w:t>
      </w:r>
      <w:r w:rsidR="000636C2">
        <w:rPr>
          <w:rFonts w:hint="cs"/>
          <w:rtl/>
        </w:rPr>
        <w:t xml:space="preserve"> </w:t>
      </w:r>
      <w:r w:rsidRPr="005675B2">
        <w:rPr>
          <w:rFonts w:hint="cs"/>
          <w:rtl/>
        </w:rPr>
        <w:t>في اللغة والشرع كثير من المعاني</w:t>
      </w:r>
      <w:r w:rsidR="000636C2">
        <w:rPr>
          <w:rFonts w:hint="cs"/>
          <w:rtl/>
        </w:rPr>
        <w:t>،</w:t>
      </w:r>
      <w:r w:rsidRPr="005675B2">
        <w:rPr>
          <w:rFonts w:hint="cs"/>
          <w:rtl/>
        </w:rPr>
        <w:t>فتمسكوا بالباطل من المعاني وتركوا المعاني الصحيحة اللائقة بالله</w:t>
      </w:r>
      <w:r w:rsidR="000636C2">
        <w:rPr>
          <w:rFonts w:hint="cs"/>
          <w:rtl/>
        </w:rPr>
        <w:t xml:space="preserve">، </w:t>
      </w:r>
      <w:r w:rsidRPr="005675B2">
        <w:rPr>
          <w:rFonts w:hint="cs"/>
          <w:rtl/>
        </w:rPr>
        <w:t>وأهل السنة والجماعة يؤمنون بوجود الله من قبل أن يخلق</w:t>
      </w:r>
      <w:r w:rsidR="000636C2">
        <w:rPr>
          <w:rFonts w:hint="cs"/>
          <w:rtl/>
        </w:rPr>
        <w:t xml:space="preserve"> </w:t>
      </w:r>
      <w:r w:rsidRPr="005675B2">
        <w:rPr>
          <w:rFonts w:hint="cs"/>
          <w:rtl/>
        </w:rPr>
        <w:t>الخلق</w:t>
      </w:r>
      <w:r w:rsidR="000636C2">
        <w:rPr>
          <w:rFonts w:hint="cs"/>
          <w:rtl/>
        </w:rPr>
        <w:t>،</w:t>
      </w:r>
      <w:r w:rsidRPr="005675B2">
        <w:rPr>
          <w:rFonts w:hint="cs"/>
          <w:rtl/>
        </w:rPr>
        <w:t xml:space="preserve"> وهو لايتغير ولا يتبدل</w:t>
      </w:r>
      <w:r w:rsidR="000636C2">
        <w:rPr>
          <w:rFonts w:hint="cs"/>
          <w:rtl/>
        </w:rPr>
        <w:t>،</w:t>
      </w:r>
    </w:p>
    <w:p w14:paraId="0016BF87" w14:textId="79BDDE4C" w:rsidR="009C32A0" w:rsidRPr="005675B2" w:rsidRDefault="009C32A0" w:rsidP="000636C2">
      <w:pPr>
        <w:rPr>
          <w:b/>
          <w:rtl/>
        </w:rPr>
      </w:pPr>
      <w:r w:rsidRPr="005675B2">
        <w:rPr>
          <w:rFonts w:hint="cs"/>
          <w:rtl/>
        </w:rPr>
        <w:t>3 - قالوا</w:t>
      </w:r>
      <w:r w:rsidR="000636C2">
        <w:rPr>
          <w:rFonts w:hint="cs"/>
          <w:rtl/>
        </w:rPr>
        <w:t>:</w:t>
      </w:r>
      <w:r w:rsidRPr="005675B2">
        <w:rPr>
          <w:rFonts w:hint="cs"/>
          <w:rtl/>
        </w:rPr>
        <w:t xml:space="preserve"> إن لله سبع صفات</w:t>
      </w:r>
      <w:r w:rsidRPr="005675B2">
        <w:rPr>
          <w:rFonts w:hint="cs"/>
        </w:rPr>
        <w:t xml:space="preserve"> </w:t>
      </w:r>
      <w:r w:rsidRPr="005675B2">
        <w:rPr>
          <w:rFonts w:hint="cs"/>
          <w:rtl/>
        </w:rPr>
        <w:t>عقلية يسمونها</w:t>
      </w:r>
      <w:r w:rsidRPr="005675B2">
        <w:rPr>
          <w:rFonts w:hint="cs"/>
        </w:rPr>
        <w:t xml:space="preserve"> </w:t>
      </w:r>
      <w:r w:rsidRPr="005675B2">
        <w:rPr>
          <w:rFonts w:hint="cs"/>
          <w:rtl/>
        </w:rPr>
        <w:t>"</w:t>
      </w:r>
      <w:r w:rsidRPr="005675B2">
        <w:rPr>
          <w:rFonts w:hint="cs"/>
        </w:rPr>
        <w:t xml:space="preserve"> </w:t>
      </w:r>
      <w:r w:rsidRPr="005675B2">
        <w:rPr>
          <w:rFonts w:hint="cs"/>
          <w:rtl/>
        </w:rPr>
        <w:t>معاني</w:t>
      </w:r>
      <w:r w:rsidRPr="005675B2">
        <w:rPr>
          <w:rFonts w:hint="cs"/>
        </w:rPr>
        <w:t xml:space="preserve"> </w:t>
      </w:r>
      <w:r w:rsidRPr="005675B2">
        <w:rPr>
          <w:rFonts w:hint="cs"/>
          <w:rtl/>
        </w:rPr>
        <w:t>"</w:t>
      </w:r>
      <w:r w:rsidRPr="005675B2">
        <w:rPr>
          <w:rFonts w:hint="cs"/>
        </w:rPr>
        <w:t xml:space="preserve"> </w:t>
      </w:r>
      <w:r w:rsidRPr="005675B2">
        <w:rPr>
          <w:rFonts w:hint="cs"/>
          <w:rtl/>
        </w:rPr>
        <w:t>هي</w:t>
      </w:r>
      <w:r w:rsidRPr="005675B2">
        <w:rPr>
          <w:rFonts w:hint="cs"/>
        </w:rPr>
        <w:t xml:space="preserve"> </w:t>
      </w:r>
      <w:r w:rsidRPr="005675B2">
        <w:rPr>
          <w:rFonts w:hint="cs"/>
          <w:rtl/>
        </w:rPr>
        <w:t>"</w:t>
      </w:r>
      <w:r w:rsidRPr="005675B2">
        <w:rPr>
          <w:rFonts w:hint="cs"/>
        </w:rPr>
        <w:t xml:space="preserve"> </w:t>
      </w:r>
      <w:r w:rsidRPr="005675B2">
        <w:rPr>
          <w:rFonts w:hint="cs"/>
          <w:rtl/>
        </w:rPr>
        <w:t>الحياة والعلم والقدرة والإرادة والسمع والبصر والكلام</w:t>
      </w:r>
      <w:r w:rsidRPr="005675B2">
        <w:rPr>
          <w:rFonts w:hint="cs"/>
        </w:rPr>
        <w:t xml:space="preserve"> </w:t>
      </w:r>
      <w:r w:rsidRPr="005675B2">
        <w:rPr>
          <w:rFonts w:hint="cs"/>
          <w:rtl/>
        </w:rPr>
        <w:t>"</w:t>
      </w:r>
      <w:r w:rsidRPr="005675B2">
        <w:rPr>
          <w:rFonts w:hint="cs"/>
        </w:rPr>
        <w:t xml:space="preserve"> </w:t>
      </w:r>
      <w:r w:rsidRPr="005675B2">
        <w:rPr>
          <w:rFonts w:hint="cs"/>
          <w:rtl/>
        </w:rPr>
        <w:t>ولم يكتفوا بهذا التحكم المحض</w:t>
      </w:r>
      <w:r w:rsidR="000636C2">
        <w:rPr>
          <w:rFonts w:hint="cs"/>
          <w:rtl/>
        </w:rPr>
        <w:t>،</w:t>
      </w:r>
      <w:r w:rsidRPr="005675B2">
        <w:rPr>
          <w:rFonts w:hint="cs"/>
          <w:rtl/>
        </w:rPr>
        <w:t xml:space="preserve"> بل قالوا</w:t>
      </w:r>
      <w:r w:rsidR="000636C2">
        <w:rPr>
          <w:rFonts w:hint="cs"/>
          <w:rtl/>
        </w:rPr>
        <w:t>:</w:t>
      </w:r>
      <w:r w:rsidRPr="005675B2">
        <w:rPr>
          <w:rFonts w:hint="cs"/>
          <w:rtl/>
        </w:rPr>
        <w:t xml:space="preserve"> إن له سبع صفات أخرى يسمونها</w:t>
      </w:r>
      <w:r w:rsidRPr="005675B2">
        <w:rPr>
          <w:rFonts w:hint="cs"/>
        </w:rPr>
        <w:t xml:space="preserve"> </w:t>
      </w:r>
      <w:r w:rsidRPr="005675B2">
        <w:rPr>
          <w:rFonts w:hint="cs"/>
          <w:rtl/>
        </w:rPr>
        <w:t>"</w:t>
      </w:r>
      <w:r>
        <w:rPr>
          <w:rFonts w:hint="cs"/>
          <w:rtl/>
        </w:rPr>
        <w:t xml:space="preserve"> </w:t>
      </w:r>
      <w:r w:rsidRPr="005675B2">
        <w:rPr>
          <w:rFonts w:hint="cs"/>
          <w:rtl/>
        </w:rPr>
        <w:t>معنوية</w:t>
      </w:r>
      <w:r w:rsidRPr="005675B2">
        <w:rPr>
          <w:rFonts w:hint="cs"/>
        </w:rPr>
        <w:t xml:space="preserve"> </w:t>
      </w:r>
      <w:r w:rsidRPr="005675B2">
        <w:rPr>
          <w:rFonts w:hint="cs"/>
          <w:rtl/>
        </w:rPr>
        <w:t>"</w:t>
      </w:r>
      <w:r w:rsidRPr="005675B2">
        <w:rPr>
          <w:rFonts w:hint="cs"/>
        </w:rPr>
        <w:t xml:space="preserve"> </w:t>
      </w:r>
      <w:r w:rsidRPr="005675B2">
        <w:rPr>
          <w:rFonts w:hint="cs"/>
          <w:rtl/>
        </w:rPr>
        <w:t>وهي</w:t>
      </w:r>
      <w:r w:rsidRPr="005675B2">
        <w:rPr>
          <w:rFonts w:hint="cs"/>
        </w:rPr>
        <w:t xml:space="preserve"> </w:t>
      </w:r>
      <w:r w:rsidRPr="005675B2">
        <w:rPr>
          <w:rFonts w:hint="cs"/>
          <w:rtl/>
        </w:rPr>
        <w:t>"</w:t>
      </w:r>
      <w:r w:rsidRPr="005675B2">
        <w:rPr>
          <w:rFonts w:hint="cs"/>
        </w:rPr>
        <w:t xml:space="preserve"> </w:t>
      </w:r>
      <w:r w:rsidRPr="005675B2">
        <w:rPr>
          <w:rFonts w:hint="cs"/>
          <w:rtl/>
        </w:rPr>
        <w:t>كونه حياً وكونه عالماً وكونه قادراً وكونه مريداً وكونه سميعاً وكونه</w:t>
      </w:r>
      <w:r w:rsidRPr="005675B2">
        <w:rPr>
          <w:rFonts w:hint="cs"/>
        </w:rPr>
        <w:t xml:space="preserve"> </w:t>
      </w:r>
      <w:r w:rsidRPr="005675B2">
        <w:rPr>
          <w:rFonts w:hint="cs"/>
          <w:rtl/>
        </w:rPr>
        <w:t>بصيراً وكونه متكلماً</w:t>
      </w:r>
      <w:r w:rsidRPr="005675B2">
        <w:rPr>
          <w:rFonts w:hint="cs"/>
        </w:rPr>
        <w:t xml:space="preserve"> </w:t>
      </w:r>
      <w:r w:rsidRPr="005675B2">
        <w:rPr>
          <w:rFonts w:hint="cs"/>
          <w:rtl/>
        </w:rPr>
        <w:t>"</w:t>
      </w:r>
      <w:r w:rsidRPr="005675B2">
        <w:rPr>
          <w:rFonts w:hint="cs"/>
        </w:rPr>
        <w:t xml:space="preserve"> </w:t>
      </w:r>
      <w:r w:rsidRPr="005675B2">
        <w:rPr>
          <w:rFonts w:hint="cs"/>
          <w:rtl/>
        </w:rPr>
        <w:t>ثم لم يأتوا في التفريق</w:t>
      </w:r>
      <w:r w:rsidRPr="005675B2">
        <w:rPr>
          <w:rFonts w:hint="cs"/>
        </w:rPr>
        <w:t xml:space="preserve"> </w:t>
      </w:r>
      <w:r w:rsidRPr="005675B2">
        <w:rPr>
          <w:rFonts w:hint="cs"/>
          <w:rtl/>
        </w:rPr>
        <w:t>بين المعاني والمعنوية بما يستسيغه عقل بل غاية ما قالوا أن هذه الأخيرة أحوال فإذا</w:t>
      </w:r>
      <w:r w:rsidRPr="005675B2">
        <w:rPr>
          <w:rFonts w:hint="cs"/>
        </w:rPr>
        <w:t xml:space="preserve"> </w:t>
      </w:r>
      <w:r w:rsidRPr="005675B2">
        <w:rPr>
          <w:rFonts w:hint="cs"/>
          <w:rtl/>
        </w:rPr>
        <w:t>سألتهم ما الحال</w:t>
      </w:r>
      <w:r w:rsidR="000636C2">
        <w:rPr>
          <w:rFonts w:hint="cs"/>
          <w:rtl/>
        </w:rPr>
        <w:t>؟</w:t>
      </w:r>
      <w:r w:rsidRPr="005675B2">
        <w:rPr>
          <w:rFonts w:hint="cs"/>
          <w:rtl/>
        </w:rPr>
        <w:t xml:space="preserve"> قالوا</w:t>
      </w:r>
      <w:r w:rsidR="000636C2">
        <w:rPr>
          <w:rFonts w:hint="cs"/>
          <w:rtl/>
        </w:rPr>
        <w:t>:</w:t>
      </w:r>
      <w:r w:rsidRPr="005675B2">
        <w:rPr>
          <w:rFonts w:hint="cs"/>
          <w:rtl/>
        </w:rPr>
        <w:t xml:space="preserve"> صفة لا معدومة ولا موجودة</w:t>
      </w:r>
      <w:r w:rsidR="000636C2">
        <w:rPr>
          <w:rFonts w:hint="cs"/>
          <w:rtl/>
        </w:rPr>
        <w:t>، [</w:t>
      </w:r>
      <w:r>
        <w:rPr>
          <w:rFonts w:hint="cs"/>
          <w:rtl/>
        </w:rPr>
        <w:t>الجواب</w:t>
      </w:r>
      <w:r w:rsidR="000636C2">
        <w:rPr>
          <w:rFonts w:hint="cs"/>
          <w:rtl/>
        </w:rPr>
        <w:t>]:</w:t>
      </w:r>
      <w:r w:rsidRPr="005675B2">
        <w:rPr>
          <w:rFonts w:hint="cs"/>
          <w:rtl/>
        </w:rPr>
        <w:t xml:space="preserve"> </w:t>
      </w:r>
      <w:r w:rsidR="000636C2">
        <w:rPr>
          <w:rFonts w:hint="cs"/>
          <w:rtl/>
        </w:rPr>
        <w:t>(</w:t>
      </w:r>
      <w:r>
        <w:rPr>
          <w:rFonts w:hint="cs"/>
          <w:rtl/>
        </w:rPr>
        <w:t>أولا</w:t>
      </w:r>
      <w:r w:rsidR="000636C2">
        <w:rPr>
          <w:rFonts w:hint="cs"/>
          <w:rtl/>
        </w:rPr>
        <w:t>):</w:t>
      </w:r>
      <w:r w:rsidRPr="005675B2">
        <w:rPr>
          <w:rFonts w:hint="cs"/>
          <w:rtl/>
        </w:rPr>
        <w:t xml:space="preserve"> الصفات السبع هي بعض صفات الله تعالى</w:t>
      </w:r>
      <w:r w:rsidR="000636C2">
        <w:rPr>
          <w:rFonts w:hint="cs"/>
          <w:rtl/>
        </w:rPr>
        <w:t>،</w:t>
      </w:r>
      <w:r w:rsidRPr="005675B2">
        <w:rPr>
          <w:rFonts w:hint="cs"/>
          <w:rtl/>
        </w:rPr>
        <w:t>وليست كل ما يجب إثباته لله</w:t>
      </w:r>
      <w:r w:rsidR="000636C2">
        <w:rPr>
          <w:rFonts w:hint="cs"/>
          <w:rtl/>
        </w:rPr>
        <w:t>،</w:t>
      </w:r>
      <w:r w:rsidRPr="005675B2">
        <w:rPr>
          <w:rFonts w:hint="cs"/>
          <w:rtl/>
        </w:rPr>
        <w:t>لأن كمالات الله تعالى لا حد لها</w:t>
      </w:r>
      <w:r w:rsidR="000636C2">
        <w:rPr>
          <w:rFonts w:hint="cs"/>
          <w:rtl/>
        </w:rPr>
        <w:t>،</w:t>
      </w:r>
      <w:r w:rsidRPr="005675B2">
        <w:rPr>
          <w:rFonts w:hint="cs"/>
          <w:rtl/>
        </w:rPr>
        <w:t xml:space="preserve"> ولكن لعجزنا عن إحصائها لم يكلفنا الله تعالى بإحصائها تفصيلاً ,وإنما المطلوب أن نؤمن بما علمنا منها وما لا نعلم</w:t>
      </w:r>
      <w:r w:rsidR="000636C2">
        <w:rPr>
          <w:rFonts w:hint="cs"/>
          <w:rtl/>
        </w:rPr>
        <w:t>،</w:t>
      </w:r>
      <w:r w:rsidRPr="005675B2">
        <w:rPr>
          <w:rFonts w:hint="cs"/>
          <w:rtl/>
        </w:rPr>
        <w:t xml:space="preserve"> فمنها من علمه بعض خلقه ومنها من علمه الجميع ومنها ما استأثر بعلمه كما في الحديث في أسمائه جل شأنه</w:t>
      </w:r>
      <w:r w:rsidR="000636C2">
        <w:rPr>
          <w:rFonts w:hint="cs"/>
          <w:rtl/>
        </w:rPr>
        <w:t>،</w:t>
      </w:r>
      <w:r>
        <w:rPr>
          <w:rFonts w:hint="cs"/>
          <w:rtl/>
        </w:rPr>
        <w:t xml:space="preserve"> </w:t>
      </w:r>
      <w:r w:rsidRPr="005675B2">
        <w:rPr>
          <w:rFonts w:hint="cs"/>
          <w:rtl/>
        </w:rPr>
        <w:t>و هذه الصفات السبع قطعية فمن أنكرها فهو ضال</w:t>
      </w:r>
      <w:r w:rsidR="000636C2">
        <w:rPr>
          <w:rFonts w:hint="cs"/>
          <w:rtl/>
        </w:rPr>
        <w:t>،</w:t>
      </w:r>
      <w:r w:rsidRPr="005675B2">
        <w:rPr>
          <w:rFonts w:hint="cs"/>
          <w:rtl/>
        </w:rPr>
        <w:t xml:space="preserve"> فالله حي وله صفة الحياة قال تعالى </w:t>
      </w:r>
      <w:r w:rsidR="000636C2">
        <w:rPr>
          <w:rFonts w:hint="cs"/>
          <w:rtl/>
        </w:rPr>
        <w:t>(</w:t>
      </w:r>
      <w:r w:rsidRPr="005675B2">
        <w:rPr>
          <w:rFonts w:hint="cs"/>
          <w:rtl/>
        </w:rPr>
        <w:t>الله لاإله إلا هو الحي القيوم</w:t>
      </w:r>
      <w:r w:rsidR="000636C2">
        <w:rPr>
          <w:rFonts w:hint="cs"/>
          <w:rtl/>
        </w:rPr>
        <w:t>)،</w:t>
      </w:r>
      <w:r w:rsidRPr="005675B2">
        <w:rPr>
          <w:rFonts w:hint="cs"/>
          <w:rtl/>
        </w:rPr>
        <w:t xml:space="preserve"> ويعلم كل من له عقل أنه لو لم يكن حياً لما كان قادراً ولا متصفاً بالعلم ولا غيره من صفات الذات فهذا دليل عقلي</w:t>
      </w:r>
      <w:r w:rsidR="000636C2">
        <w:rPr>
          <w:rFonts w:hint="cs"/>
          <w:rtl/>
        </w:rPr>
        <w:t>،</w:t>
      </w:r>
      <w:r w:rsidRPr="005675B2">
        <w:rPr>
          <w:rFonts w:hint="cs"/>
          <w:rtl/>
        </w:rPr>
        <w:t xml:space="preserve"> وهو قادر وله صفة القدرة وهكذا في بقية الصفات</w:t>
      </w:r>
      <w:r w:rsidR="000636C2">
        <w:rPr>
          <w:rFonts w:hint="cs"/>
          <w:rtl/>
        </w:rPr>
        <w:t>،</w:t>
      </w:r>
      <w:r w:rsidRPr="005675B2">
        <w:rPr>
          <w:rFonts w:hint="cs"/>
          <w:rtl/>
        </w:rPr>
        <w:t>فليس تحكم محض بل هو إثبات ما أثبته الله تعالى لنفسه من صفات وهو ثابت بالنقل</w:t>
      </w:r>
      <w:r w:rsidR="000636C2">
        <w:rPr>
          <w:rFonts w:hint="cs"/>
          <w:rtl/>
        </w:rPr>
        <w:t xml:space="preserve"> </w:t>
      </w:r>
      <w:r w:rsidRPr="005675B2">
        <w:rPr>
          <w:rFonts w:hint="cs"/>
          <w:rtl/>
        </w:rPr>
        <w:t>والعقل</w:t>
      </w:r>
      <w:r w:rsidR="000636C2">
        <w:rPr>
          <w:rFonts w:hint="cs"/>
          <w:rtl/>
        </w:rPr>
        <w:t>،</w:t>
      </w:r>
      <w:r>
        <w:rPr>
          <w:rFonts w:hint="cs"/>
          <w:rtl/>
        </w:rPr>
        <w:t xml:space="preserve"> </w:t>
      </w:r>
      <w:r w:rsidR="000636C2">
        <w:rPr>
          <w:rFonts w:hint="cs"/>
          <w:rtl/>
        </w:rPr>
        <w:t>(</w:t>
      </w:r>
      <w:r>
        <w:rPr>
          <w:rFonts w:hint="cs"/>
          <w:rtl/>
        </w:rPr>
        <w:t>ثانيا</w:t>
      </w:r>
      <w:r w:rsidR="000636C2">
        <w:rPr>
          <w:rFonts w:hint="cs"/>
          <w:rtl/>
        </w:rPr>
        <w:t>):</w:t>
      </w:r>
      <w:r w:rsidRPr="005675B2">
        <w:rPr>
          <w:rFonts w:hint="cs"/>
          <w:rtl/>
        </w:rPr>
        <w:t xml:space="preserve"> أن معتمد الأشاعرة عند جمهورهم والمحققين منهم عدم إثبات صفات الأحوال</w:t>
      </w:r>
      <w:r w:rsidR="000636C2">
        <w:rPr>
          <w:rFonts w:hint="cs"/>
          <w:rtl/>
        </w:rPr>
        <w:t>،</w:t>
      </w:r>
      <w:r>
        <w:rPr>
          <w:rFonts w:hint="cs"/>
          <w:rtl/>
        </w:rPr>
        <w:t xml:space="preserve"> </w:t>
      </w:r>
      <w:r w:rsidRPr="005675B2">
        <w:rPr>
          <w:rFonts w:hint="cs"/>
          <w:rtl/>
        </w:rPr>
        <w:t>قال الباجوري</w:t>
      </w:r>
      <w:r w:rsidR="000636C2">
        <w:rPr>
          <w:rFonts w:hint="cs"/>
          <w:rtl/>
        </w:rPr>
        <w:t>:</w:t>
      </w:r>
      <w:r w:rsidRPr="005675B2">
        <w:rPr>
          <w:rFonts w:hint="cs"/>
          <w:rtl/>
        </w:rPr>
        <w:t xml:space="preserve"> المختار عند المحققين أنه لا حال وأن الحال محال</w:t>
      </w:r>
      <w:r w:rsidR="000636C2">
        <w:rPr>
          <w:rFonts w:hint="cs"/>
          <w:rtl/>
        </w:rPr>
        <w:t>،</w:t>
      </w:r>
      <w:r w:rsidRPr="005675B2">
        <w:rPr>
          <w:rFonts w:hint="cs"/>
          <w:rtl/>
        </w:rPr>
        <w:t xml:space="preserve"> [</w:t>
      </w:r>
      <w:r w:rsidRPr="005675B2">
        <w:rPr>
          <w:rFonts w:hint="cs"/>
          <w:bCs/>
          <w:sz w:val="24"/>
          <w:szCs w:val="24"/>
          <w:rtl/>
        </w:rPr>
        <w:t>شرح جوهرة التوحيد 188]</w:t>
      </w:r>
      <w:r w:rsidRPr="005675B2">
        <w:rPr>
          <w:rFonts w:hint="cs"/>
          <w:rtl/>
        </w:rPr>
        <w:t xml:space="preserve"> وقال واما إنكار المعنوية بمعنى الأحوال فهو الحق</w:t>
      </w:r>
      <w:r w:rsidR="000636C2">
        <w:rPr>
          <w:rFonts w:hint="cs"/>
          <w:rtl/>
        </w:rPr>
        <w:t>،</w:t>
      </w:r>
      <w:r w:rsidRPr="005675B2">
        <w:rPr>
          <w:rFonts w:hint="cs"/>
          <w:rtl/>
        </w:rPr>
        <w:t xml:space="preserve"> [</w:t>
      </w:r>
      <w:r w:rsidRPr="005675B2">
        <w:rPr>
          <w:rFonts w:hint="cs"/>
          <w:bCs/>
          <w:sz w:val="24"/>
          <w:szCs w:val="24"/>
          <w:rtl/>
        </w:rPr>
        <w:t>شرح الجوهرة 189</w:t>
      </w:r>
      <w:r w:rsidRPr="005675B2">
        <w:rPr>
          <w:rFonts w:hint="cs"/>
          <w:rtl/>
        </w:rPr>
        <w:t>]</w:t>
      </w:r>
    </w:p>
    <w:p w14:paraId="03BE4010" w14:textId="653E2699" w:rsidR="009C32A0" w:rsidRPr="005675B2" w:rsidRDefault="009C32A0" w:rsidP="000636C2">
      <w:pPr>
        <w:rPr>
          <w:b/>
          <w:rtl/>
        </w:rPr>
      </w:pPr>
      <w:r w:rsidRPr="005675B2">
        <w:rPr>
          <w:rFonts w:hint="cs"/>
          <w:rtl/>
        </w:rPr>
        <w:t>ثالثاً</w:t>
      </w:r>
      <w:r w:rsidR="000636C2">
        <w:rPr>
          <w:rFonts w:hint="cs"/>
          <w:rtl/>
        </w:rPr>
        <w:t>:</w:t>
      </w:r>
      <w:r w:rsidRPr="005675B2">
        <w:rPr>
          <w:rFonts w:hint="cs"/>
          <w:rtl/>
        </w:rPr>
        <w:t xml:space="preserve"> من أثبت هذه الأحوال استند إلى كون الموجودات أربعة فمنها</w:t>
      </w:r>
      <w:r w:rsidR="000636C2">
        <w:rPr>
          <w:rFonts w:hint="cs"/>
          <w:rtl/>
        </w:rPr>
        <w:t>:</w:t>
      </w:r>
      <w:r w:rsidRPr="005675B2">
        <w:rPr>
          <w:rFonts w:hint="cs"/>
          <w:rtl/>
        </w:rPr>
        <w:t>الموجودات</w:t>
      </w:r>
      <w:r w:rsidR="000636C2">
        <w:rPr>
          <w:rFonts w:hint="cs"/>
          <w:rtl/>
        </w:rPr>
        <w:t>:</w:t>
      </w:r>
      <w:r w:rsidRPr="005675B2">
        <w:rPr>
          <w:rFonts w:hint="cs"/>
          <w:rtl/>
        </w:rPr>
        <w:t xml:space="preserve"> وهي ما يمكن رؤيته لأنه موجود</w:t>
      </w:r>
      <w:r w:rsidR="000636C2">
        <w:rPr>
          <w:rFonts w:hint="cs"/>
          <w:rtl/>
        </w:rPr>
        <w:t xml:space="preserve">، </w:t>
      </w:r>
      <w:r w:rsidRPr="005675B2">
        <w:rPr>
          <w:rFonts w:hint="cs"/>
          <w:rtl/>
        </w:rPr>
        <w:t>[</w:t>
      </w:r>
      <w:r w:rsidRPr="005675B2">
        <w:rPr>
          <w:rFonts w:hint="cs"/>
          <w:bCs/>
          <w:sz w:val="24"/>
          <w:szCs w:val="24"/>
          <w:rtl/>
        </w:rPr>
        <w:t>طبعاً وجوده في الخارج</w:t>
      </w:r>
      <w:r w:rsidRPr="005675B2">
        <w:rPr>
          <w:rFonts w:hint="cs"/>
          <w:rtl/>
        </w:rPr>
        <w:t>]</w:t>
      </w:r>
      <w:r w:rsidR="000636C2">
        <w:rPr>
          <w:rFonts w:hint="cs"/>
          <w:rtl/>
        </w:rPr>
        <w:t xml:space="preserve"> </w:t>
      </w:r>
      <w:r w:rsidRPr="005675B2">
        <w:rPr>
          <w:rFonts w:hint="cs"/>
          <w:rtl/>
        </w:rPr>
        <w:t>المعدومات</w:t>
      </w:r>
      <w:r w:rsidR="000636C2">
        <w:rPr>
          <w:rFonts w:hint="cs"/>
          <w:rtl/>
        </w:rPr>
        <w:t>:</w:t>
      </w:r>
      <w:r w:rsidRPr="005675B2">
        <w:rPr>
          <w:rFonts w:hint="cs"/>
          <w:rtl/>
        </w:rPr>
        <w:t xml:space="preserve"> وهي التي ليس لها ثبوت أصلاً</w:t>
      </w:r>
      <w:r w:rsidR="000636C2">
        <w:rPr>
          <w:rFonts w:hint="cs"/>
          <w:rtl/>
        </w:rPr>
        <w:t xml:space="preserve">، </w:t>
      </w:r>
      <w:r w:rsidRPr="005675B2">
        <w:rPr>
          <w:rFonts w:hint="cs"/>
          <w:rtl/>
        </w:rPr>
        <w:t>الأحوال</w:t>
      </w:r>
      <w:r w:rsidR="000636C2">
        <w:rPr>
          <w:rFonts w:hint="cs"/>
          <w:rtl/>
        </w:rPr>
        <w:t>:</w:t>
      </w:r>
      <w:r w:rsidRPr="005675B2">
        <w:rPr>
          <w:rFonts w:hint="cs"/>
          <w:rtl/>
        </w:rPr>
        <w:t xml:space="preserve"> وهي التي لها ثبوت ولكن لاترى</w:t>
      </w:r>
      <w:r w:rsidR="000636C2">
        <w:rPr>
          <w:rFonts w:hint="cs"/>
          <w:rtl/>
        </w:rPr>
        <w:t xml:space="preserve"> </w:t>
      </w:r>
      <w:r w:rsidRPr="005675B2">
        <w:rPr>
          <w:rFonts w:hint="cs"/>
          <w:rtl/>
        </w:rPr>
        <w:t>فهي حالة متوسطة بين ما يرى وبين العدم المحض</w:t>
      </w:r>
      <w:r w:rsidR="000636C2">
        <w:rPr>
          <w:rFonts w:hint="cs"/>
          <w:rtl/>
        </w:rPr>
        <w:t>،</w:t>
      </w:r>
      <w:r w:rsidRPr="005675B2">
        <w:rPr>
          <w:rFonts w:hint="cs"/>
          <w:rtl/>
        </w:rPr>
        <w:t xml:space="preserve"> [</w:t>
      </w:r>
      <w:r w:rsidRPr="005675B2">
        <w:rPr>
          <w:rFonts w:hint="cs"/>
          <w:bCs/>
          <w:sz w:val="24"/>
          <w:szCs w:val="24"/>
          <w:rtl/>
        </w:rPr>
        <w:t>شرح الجوهرة 188</w:t>
      </w:r>
      <w:r w:rsidRPr="005675B2">
        <w:rPr>
          <w:rFonts w:hint="cs"/>
          <w:rtl/>
        </w:rPr>
        <w:t>] هذا معنى قولهم صفة حال</w:t>
      </w:r>
      <w:r w:rsidR="000636C2">
        <w:rPr>
          <w:rFonts w:hint="cs"/>
          <w:rtl/>
        </w:rPr>
        <w:t>،</w:t>
      </w:r>
      <w:r w:rsidRPr="005675B2">
        <w:rPr>
          <w:rFonts w:hint="cs"/>
          <w:rtl/>
        </w:rPr>
        <w:t xml:space="preserve"> فشغب الكاتب غفر الله له وكأنه يؤلف الكتب لأناس جهلة بالعلوم</w:t>
      </w:r>
      <w:r w:rsidR="000636C2">
        <w:rPr>
          <w:rFonts w:hint="cs"/>
          <w:rtl/>
        </w:rPr>
        <w:t>!</w:t>
      </w:r>
      <w:r w:rsidRPr="005675B2">
        <w:rPr>
          <w:rFonts w:hint="cs"/>
          <w:rtl/>
        </w:rPr>
        <w:t>!فأين احترام عقول</w:t>
      </w:r>
      <w:r w:rsidR="000636C2">
        <w:rPr>
          <w:rFonts w:hint="cs"/>
          <w:rtl/>
        </w:rPr>
        <w:t xml:space="preserve"> </w:t>
      </w:r>
      <w:r w:rsidRPr="005675B2">
        <w:rPr>
          <w:rFonts w:hint="cs"/>
          <w:rtl/>
        </w:rPr>
        <w:t>القراء</w:t>
      </w:r>
      <w:r w:rsidR="000636C2">
        <w:rPr>
          <w:rFonts w:hint="cs"/>
          <w:rtl/>
        </w:rPr>
        <w:t>؟!</w:t>
      </w:r>
      <w:r w:rsidRPr="005675B2">
        <w:rPr>
          <w:rFonts w:hint="cs"/>
          <w:rtl/>
        </w:rPr>
        <w:t xml:space="preserve"> فلم يبين المسائل ويصور ها</w:t>
      </w:r>
      <w:r w:rsidR="000636C2">
        <w:rPr>
          <w:rFonts w:hint="cs"/>
          <w:rtl/>
        </w:rPr>
        <w:t>،</w:t>
      </w:r>
      <w:r w:rsidRPr="005675B2">
        <w:rPr>
          <w:rFonts w:hint="cs"/>
          <w:rtl/>
        </w:rPr>
        <w:t>ثم إن أراد أن ينقضها فله ذلك ولكن بعد التصوير</w:t>
      </w:r>
      <w:r>
        <w:rPr>
          <w:rFonts w:hint="cs"/>
          <w:rtl/>
        </w:rPr>
        <w:t xml:space="preserve"> </w:t>
      </w:r>
      <w:r w:rsidRPr="005675B2">
        <w:rPr>
          <w:rFonts w:hint="cs"/>
          <w:rtl/>
        </w:rPr>
        <w:t>الحقيقي للمسائل</w:t>
      </w:r>
      <w:r w:rsidR="000636C2">
        <w:rPr>
          <w:rFonts w:hint="cs"/>
          <w:rtl/>
        </w:rPr>
        <w:t>،</w:t>
      </w:r>
    </w:p>
    <w:p w14:paraId="34AC6B20" w14:textId="40BD501D" w:rsidR="009C32A0" w:rsidRPr="005675B2" w:rsidRDefault="009C32A0" w:rsidP="000636C2">
      <w:pPr>
        <w:rPr>
          <w:b/>
          <w:u w:val="single"/>
          <w:rtl/>
        </w:rPr>
      </w:pPr>
      <w:r w:rsidRPr="00AD70F4">
        <w:rPr>
          <w:rFonts w:hint="cs"/>
          <w:bCs/>
          <w:rtl/>
        </w:rPr>
        <w:t>أنواع الخبر</w:t>
      </w:r>
      <w:r w:rsidR="000636C2">
        <w:rPr>
          <w:rFonts w:hint="cs"/>
          <w:rtl/>
        </w:rPr>
        <w:t>:</w:t>
      </w:r>
      <w:r>
        <w:rPr>
          <w:rFonts w:hint="cs"/>
          <w:rtl/>
        </w:rPr>
        <w:t xml:space="preserve"> </w:t>
      </w:r>
      <w:r w:rsidRPr="005675B2">
        <w:rPr>
          <w:rFonts w:hint="cs"/>
          <w:rtl/>
        </w:rPr>
        <w:t>ينقسم الخبر إلى قسمين متواتر وآحاد</w:t>
      </w:r>
      <w:r w:rsidR="000636C2">
        <w:rPr>
          <w:rFonts w:hint="cs"/>
          <w:rtl/>
        </w:rPr>
        <w:t xml:space="preserve">: </w:t>
      </w:r>
      <w:r w:rsidRPr="005675B2">
        <w:rPr>
          <w:rFonts w:hint="cs"/>
          <w:rtl/>
        </w:rPr>
        <w:t>المتواتر يفيد القطع بصحته</w:t>
      </w:r>
      <w:r w:rsidR="000636C2">
        <w:rPr>
          <w:rFonts w:hint="cs"/>
          <w:rtl/>
        </w:rPr>
        <w:t>،</w:t>
      </w:r>
      <w:r w:rsidRPr="005675B2">
        <w:rPr>
          <w:rFonts w:hint="cs"/>
          <w:rtl/>
        </w:rPr>
        <w:t xml:space="preserve"> وكون الخبر المتواتر يفيد العلم أي القطع بصحته هو قول أئمة المسلمين وغيرهم</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انظر التحبير شرح التحرير 1751</w:t>
      </w:r>
      <w:r w:rsidR="000636C2">
        <w:rPr>
          <w:rFonts w:hint="cs"/>
          <w:bCs/>
          <w:sz w:val="24"/>
          <w:szCs w:val="24"/>
          <w:rtl/>
        </w:rPr>
        <w:t xml:space="preserve"> </w:t>
      </w:r>
      <w:r w:rsidRPr="005675B2">
        <w:rPr>
          <w:rFonts w:hint="cs"/>
          <w:bCs/>
          <w:sz w:val="24"/>
          <w:szCs w:val="24"/>
          <w:rtl/>
        </w:rPr>
        <w:t>والمستصفى 1/132</w:t>
      </w:r>
      <w:r w:rsidRPr="005675B2">
        <w:rPr>
          <w:rFonts w:hint="cs"/>
          <w:rtl/>
        </w:rPr>
        <w:t>]</w:t>
      </w:r>
      <w:r w:rsidR="000636C2">
        <w:rPr>
          <w:rFonts w:hint="cs"/>
          <w:rtl/>
        </w:rPr>
        <w:t>،</w:t>
      </w:r>
      <w:r>
        <w:rPr>
          <w:rFonts w:hint="cs"/>
          <w:rtl/>
        </w:rPr>
        <w:t xml:space="preserve"> </w:t>
      </w:r>
      <w:r w:rsidR="000636C2">
        <w:rPr>
          <w:rFonts w:hint="cs"/>
          <w:rtl/>
        </w:rPr>
        <w:t>(</w:t>
      </w:r>
      <w:r w:rsidRPr="005675B2">
        <w:rPr>
          <w:rFonts w:hint="cs"/>
          <w:rtl/>
        </w:rPr>
        <w:t>فائدة</w:t>
      </w:r>
      <w:r w:rsidR="000636C2">
        <w:rPr>
          <w:rFonts w:hint="cs"/>
          <w:rtl/>
        </w:rPr>
        <w:t>):</w:t>
      </w:r>
      <w:r w:rsidRPr="005675B2">
        <w:rPr>
          <w:rFonts w:hint="cs"/>
          <w:rtl/>
        </w:rPr>
        <w:t xml:space="preserve"> أنكرت الملاحدة والرافضة العلم </w:t>
      </w:r>
      <w:r w:rsidR="000636C2">
        <w:rPr>
          <w:rFonts w:hint="cs"/>
          <w:rtl/>
        </w:rPr>
        <w:t>(</w:t>
      </w:r>
      <w:r w:rsidRPr="005675B2">
        <w:rPr>
          <w:rFonts w:hint="cs"/>
          <w:rtl/>
        </w:rPr>
        <w:t>اليقين العقلي</w:t>
      </w:r>
      <w:r w:rsidR="000636C2">
        <w:rPr>
          <w:rFonts w:hint="cs"/>
          <w:rtl/>
        </w:rPr>
        <w:t>)</w:t>
      </w:r>
      <w:r w:rsidRPr="005675B2">
        <w:rPr>
          <w:rFonts w:hint="cs"/>
          <w:rtl/>
        </w:rPr>
        <w:t xml:space="preserve"> وحجتهم اختلاف العقلاء</w:t>
      </w:r>
      <w:r w:rsidR="000636C2">
        <w:rPr>
          <w:rFonts w:hint="cs"/>
          <w:rtl/>
        </w:rPr>
        <w:t>،</w:t>
      </w:r>
      <w:r w:rsidRPr="005675B2">
        <w:rPr>
          <w:rFonts w:hint="cs"/>
          <w:rtl/>
        </w:rPr>
        <w:t xml:space="preserve"> قال المرداوي الحنبلي وهذا تناقض منهم </w:t>
      </w:r>
      <w:r w:rsidRPr="005675B2">
        <w:rPr>
          <w:rFonts w:hint="cs"/>
          <w:u w:val="single"/>
          <w:rtl/>
        </w:rPr>
        <w:t>مع أن العقل حجة الله على خلقه</w:t>
      </w:r>
      <w:r w:rsidR="000636C2">
        <w:rPr>
          <w:rFonts w:hint="cs"/>
          <w:u w:val="single"/>
          <w:rtl/>
        </w:rPr>
        <w:t>،</w:t>
      </w:r>
      <w:r>
        <w:rPr>
          <w:rFonts w:hint="cs"/>
          <w:u w:val="single"/>
          <w:rtl/>
        </w:rPr>
        <w:t xml:space="preserve"> </w:t>
      </w:r>
    </w:p>
    <w:p w14:paraId="55966C6E" w14:textId="6101402D"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للمتواتر شروط بعضها متفق عليه وبعضها مختلف فيه</w:t>
      </w:r>
      <w:r w:rsidR="000636C2">
        <w:rPr>
          <w:rFonts w:hint="cs"/>
          <w:rtl/>
        </w:rPr>
        <w:t xml:space="preserve">، </w:t>
      </w:r>
      <w:r w:rsidRPr="005675B2">
        <w:rPr>
          <w:rFonts w:hint="cs"/>
          <w:rtl/>
        </w:rPr>
        <w:t>فمن المتفق عليه بحسب المخبرين أن يتعدد المخبرون تعدداً يمنع اتفاقهم على الكذب بطريق الاتفاق أو بطريق المواضعة</w:t>
      </w:r>
      <w:r w:rsidR="000636C2">
        <w:rPr>
          <w:rFonts w:hint="cs"/>
          <w:rtl/>
        </w:rPr>
        <w:t>،</w:t>
      </w:r>
      <w:r w:rsidRPr="005675B2">
        <w:rPr>
          <w:rFonts w:hint="cs"/>
          <w:rtl/>
        </w:rPr>
        <w:t xml:space="preserve"> [</w:t>
      </w:r>
      <w:r w:rsidRPr="005675B2">
        <w:rPr>
          <w:rFonts w:hint="cs"/>
          <w:bCs/>
          <w:sz w:val="24"/>
          <w:szCs w:val="24"/>
          <w:rtl/>
        </w:rPr>
        <w:t>التحبير 1778للمرداوي</w:t>
      </w:r>
      <w:r w:rsidRPr="005675B2">
        <w:rPr>
          <w:rFonts w:hint="cs"/>
          <w:rtl/>
        </w:rPr>
        <w:t>]</w:t>
      </w:r>
      <w:r w:rsidR="000636C2">
        <w:rPr>
          <w:rFonts w:hint="cs"/>
          <w:rtl/>
        </w:rPr>
        <w:t>،</w:t>
      </w:r>
      <w:r>
        <w:rPr>
          <w:rFonts w:hint="cs"/>
          <w:rtl/>
        </w:rPr>
        <w:t xml:space="preserve"> </w:t>
      </w:r>
    </w:p>
    <w:p w14:paraId="06CA9C5E" w14:textId="6C8654BD" w:rsidR="009C32A0" w:rsidRPr="005675B2" w:rsidRDefault="009C32A0" w:rsidP="000636C2">
      <w:pPr>
        <w:rPr>
          <w:b/>
          <w:rtl/>
        </w:rPr>
      </w:pPr>
      <w:r w:rsidRPr="005675B2">
        <w:rPr>
          <w:rFonts w:hint="cs"/>
          <w:rtl/>
        </w:rPr>
        <w:t>خبر الآحاد</w:t>
      </w:r>
      <w:r w:rsidR="000636C2">
        <w:rPr>
          <w:rFonts w:hint="cs"/>
          <w:rtl/>
        </w:rPr>
        <w:t>:</w:t>
      </w:r>
      <w:r w:rsidRPr="005675B2">
        <w:rPr>
          <w:rFonts w:hint="cs"/>
          <w:rtl/>
        </w:rPr>
        <w:t xml:space="preserve"> هو مالم يصل إلى رتبة التواتر</w:t>
      </w:r>
      <w:r w:rsidR="000636C2">
        <w:rPr>
          <w:rFonts w:hint="cs"/>
          <w:rtl/>
        </w:rPr>
        <w:t>،</w:t>
      </w:r>
      <w:r w:rsidRPr="005675B2">
        <w:rPr>
          <w:rFonts w:hint="cs"/>
          <w:rtl/>
        </w:rPr>
        <w:t xml:space="preserve"> وأسباب عدم الوصول إلى رتبة التواتر ما يلي</w:t>
      </w:r>
      <w:r w:rsidR="000636C2">
        <w:rPr>
          <w:rFonts w:hint="cs"/>
          <w:rtl/>
        </w:rPr>
        <w:t xml:space="preserve">: </w:t>
      </w:r>
      <w:r w:rsidRPr="005675B2">
        <w:rPr>
          <w:rFonts w:hint="cs"/>
          <w:rtl/>
        </w:rPr>
        <w:t>الأول</w:t>
      </w:r>
      <w:r w:rsidR="000636C2">
        <w:rPr>
          <w:rFonts w:hint="cs"/>
          <w:rtl/>
        </w:rPr>
        <w:t>:</w:t>
      </w:r>
      <w:r w:rsidRPr="005675B2">
        <w:rPr>
          <w:rFonts w:hint="cs"/>
          <w:rtl/>
        </w:rPr>
        <w:t xml:space="preserve"> أن يكون العدد الراوي للخبر لا يصل إلى العدد المشترط في التواتر</w:t>
      </w:r>
      <w:r w:rsidR="000636C2">
        <w:rPr>
          <w:rFonts w:hint="cs"/>
          <w:rtl/>
        </w:rPr>
        <w:t xml:space="preserve"> </w:t>
      </w:r>
      <w:r w:rsidRPr="005675B2">
        <w:rPr>
          <w:rFonts w:hint="cs"/>
          <w:rtl/>
        </w:rPr>
        <w:t>وقد أجمع العلماء أنه لا يحصل بأقل من أربعة ثقات يستحيل تواطؤهم على الكذب</w:t>
      </w:r>
      <w:r w:rsidR="000636C2">
        <w:rPr>
          <w:rFonts w:hint="cs"/>
          <w:rtl/>
        </w:rPr>
        <w:t xml:space="preserve"> </w:t>
      </w:r>
      <w:r w:rsidRPr="005675B2">
        <w:rPr>
          <w:rFonts w:hint="cs"/>
          <w:rtl/>
        </w:rPr>
        <w:t>فلابد أن يكون أكثر هم وقع الخلاف في العدد المعتبر</w:t>
      </w:r>
      <w:r w:rsidR="000636C2">
        <w:rPr>
          <w:rFonts w:hint="cs"/>
          <w:rtl/>
        </w:rPr>
        <w:t xml:space="preserve"> </w:t>
      </w:r>
      <w:r w:rsidRPr="005675B2">
        <w:rPr>
          <w:rFonts w:hint="cs"/>
          <w:rtl/>
        </w:rPr>
        <w:t>فوق الأربعة</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التلخيص 1ـ2/721 والتحبير 1786</w:t>
      </w:r>
      <w:r w:rsidRPr="005675B2">
        <w:rPr>
          <w:rFonts w:hint="cs"/>
          <w:rtl/>
        </w:rPr>
        <w:t>]</w:t>
      </w:r>
      <w:r w:rsidR="000636C2">
        <w:rPr>
          <w:rFonts w:hint="cs"/>
          <w:rtl/>
        </w:rPr>
        <w:t>،</w:t>
      </w:r>
      <w:r>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ماورد من حصوله باثنين هو قول ساقط لا يلتفت إليه هكذا ذكر أهل العلم وهو خلاف الإجماع المحكي في كونه لا يحصل بدون</w:t>
      </w:r>
      <w:r w:rsidR="000636C2">
        <w:rPr>
          <w:rFonts w:hint="cs"/>
          <w:rtl/>
        </w:rPr>
        <w:t xml:space="preserve"> </w:t>
      </w:r>
      <w:r w:rsidRPr="005675B2">
        <w:rPr>
          <w:rFonts w:hint="cs"/>
          <w:rtl/>
        </w:rPr>
        <w:t>أربعة</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التحبير 1786</w:t>
      </w:r>
      <w:r w:rsidRPr="005675B2">
        <w:rPr>
          <w:rFonts w:hint="cs"/>
          <w:rtl/>
        </w:rPr>
        <w:t>]</w:t>
      </w:r>
      <w:r w:rsidR="000636C2">
        <w:rPr>
          <w:rFonts w:hint="cs"/>
          <w:rtl/>
        </w:rPr>
        <w:t>،</w:t>
      </w:r>
      <w:r>
        <w:rPr>
          <w:rFonts w:hint="cs"/>
          <w:rtl/>
        </w:rPr>
        <w:t xml:space="preserve"> </w:t>
      </w:r>
      <w:r w:rsidRPr="005675B2">
        <w:rPr>
          <w:rFonts w:hint="cs"/>
          <w:rtl/>
        </w:rPr>
        <w:t>الثاني</w:t>
      </w:r>
      <w:r w:rsidR="000636C2">
        <w:rPr>
          <w:rFonts w:hint="cs"/>
          <w:rtl/>
        </w:rPr>
        <w:t>:</w:t>
      </w:r>
      <w:r w:rsidRPr="005675B2">
        <w:rPr>
          <w:rFonts w:hint="cs"/>
          <w:rtl/>
        </w:rPr>
        <w:t xml:space="preserve"> أن يكونوا كثرة كاثرة لكن لم ينتهوا إلى إفادة العلم باستحالة تواطئهم على الكذب</w:t>
      </w:r>
      <w:r w:rsidR="000636C2">
        <w:rPr>
          <w:rFonts w:hint="cs"/>
          <w:rtl/>
        </w:rPr>
        <w:t>،</w:t>
      </w:r>
      <w:r>
        <w:rPr>
          <w:rFonts w:hint="cs"/>
          <w:rtl/>
        </w:rPr>
        <w:t xml:space="preserve"> </w:t>
      </w:r>
      <w:r w:rsidRPr="005675B2">
        <w:rPr>
          <w:rFonts w:hint="cs"/>
          <w:rtl/>
        </w:rPr>
        <w:t>الثالث</w:t>
      </w:r>
      <w:r w:rsidR="000636C2">
        <w:rPr>
          <w:rFonts w:hint="cs"/>
          <w:rtl/>
        </w:rPr>
        <w:t>:</w:t>
      </w:r>
      <w:r w:rsidRPr="005675B2">
        <w:rPr>
          <w:rFonts w:hint="cs"/>
          <w:rtl/>
        </w:rPr>
        <w:t xml:space="preserve"> أن يختل الشرط في شيء من الطبقات</w:t>
      </w:r>
      <w:r w:rsidR="000636C2">
        <w:rPr>
          <w:rFonts w:hint="cs"/>
          <w:rtl/>
        </w:rPr>
        <w:t>،</w:t>
      </w:r>
      <w:r>
        <w:rPr>
          <w:rFonts w:hint="cs"/>
          <w:rtl/>
        </w:rPr>
        <w:t xml:space="preserve"> </w:t>
      </w:r>
      <w:r w:rsidRPr="005675B2">
        <w:rPr>
          <w:rFonts w:hint="cs"/>
          <w:rtl/>
        </w:rPr>
        <w:t>إذن فلا يقصرون الآحاد على الواحد بل المقصود مالم يفد</w:t>
      </w:r>
      <w:r w:rsidR="000636C2">
        <w:rPr>
          <w:rFonts w:hint="cs"/>
          <w:rtl/>
        </w:rPr>
        <w:t xml:space="preserve"> </w:t>
      </w:r>
      <w:r w:rsidRPr="005675B2">
        <w:rPr>
          <w:rFonts w:hint="cs"/>
          <w:rtl/>
        </w:rPr>
        <w:t>العلم أي القطع بمطابقة الخبر للواقع</w:t>
      </w:r>
      <w:r w:rsidR="000636C2">
        <w:rPr>
          <w:rFonts w:hint="cs"/>
          <w:rtl/>
        </w:rPr>
        <w:t>،</w:t>
      </w:r>
    </w:p>
    <w:p w14:paraId="25DD84E9" w14:textId="5C1EE2AE" w:rsidR="009C32A0" w:rsidRPr="005675B2" w:rsidRDefault="009C32A0" w:rsidP="000636C2">
      <w:pPr>
        <w:rPr>
          <w:b/>
          <w:rtl/>
        </w:rPr>
      </w:pPr>
      <w:r w:rsidRPr="005675B2">
        <w:rPr>
          <w:rFonts w:hint="cs"/>
          <w:rtl/>
        </w:rPr>
        <w:t>الخلاف في المشهور</w:t>
      </w:r>
      <w:r w:rsidR="000636C2">
        <w:rPr>
          <w:rFonts w:hint="cs"/>
          <w:rtl/>
        </w:rPr>
        <w:t xml:space="preserve">: </w:t>
      </w:r>
      <w:r w:rsidRPr="005675B2">
        <w:rPr>
          <w:rFonts w:hint="cs"/>
          <w:rtl/>
        </w:rPr>
        <w:t xml:space="preserve">قال الآمدي وابن حمدان وبعض الحنابلة أن المستفيض ويسمى </w:t>
      </w:r>
      <w:r w:rsidR="000636C2">
        <w:rPr>
          <w:rFonts w:hint="cs"/>
          <w:rtl/>
        </w:rPr>
        <w:t>(</w:t>
      </w:r>
      <w:r w:rsidRPr="005675B2">
        <w:rPr>
          <w:rFonts w:hint="cs"/>
          <w:rtl/>
        </w:rPr>
        <w:t>المشهور</w:t>
      </w:r>
      <w:r w:rsidR="000636C2">
        <w:rPr>
          <w:rFonts w:hint="cs"/>
          <w:rtl/>
        </w:rPr>
        <w:t>)</w:t>
      </w:r>
      <w:r w:rsidRPr="005675B2">
        <w:rPr>
          <w:rFonts w:hint="cs"/>
          <w:rtl/>
        </w:rPr>
        <w:t>نوع من الآحاد قال البرماوي وهو الأرجح</w:t>
      </w:r>
      <w:r w:rsidR="000636C2">
        <w:rPr>
          <w:rFonts w:hint="cs"/>
          <w:rtl/>
        </w:rPr>
        <w:t>،</w:t>
      </w:r>
      <w:r w:rsidRPr="005675B2">
        <w:rPr>
          <w:rFonts w:hint="cs"/>
          <w:rtl/>
        </w:rPr>
        <w:t xml:space="preserve"> [</w:t>
      </w:r>
      <w:r w:rsidRPr="005675B2">
        <w:rPr>
          <w:rFonts w:hint="cs"/>
          <w:bCs/>
          <w:sz w:val="24"/>
          <w:szCs w:val="24"/>
          <w:rtl/>
        </w:rPr>
        <w:t>ألفية البرماوي نقلاً عن التحبير 1804</w:t>
      </w:r>
      <w:r w:rsidRPr="005675B2">
        <w:rPr>
          <w:rFonts w:hint="cs"/>
          <w:rtl/>
        </w:rPr>
        <w:t>] والقول الثاني</w:t>
      </w:r>
      <w:r w:rsidR="000636C2">
        <w:rPr>
          <w:rFonts w:hint="cs"/>
          <w:rtl/>
        </w:rPr>
        <w:t>:</w:t>
      </w:r>
      <w:r w:rsidRPr="005675B2">
        <w:rPr>
          <w:rFonts w:hint="cs"/>
          <w:rtl/>
        </w:rPr>
        <w:t xml:space="preserve"> أنه قسم ثالث غير المتواتر والآحاد</w:t>
      </w:r>
      <w:r w:rsidR="000636C2">
        <w:rPr>
          <w:rFonts w:hint="cs"/>
          <w:rtl/>
        </w:rPr>
        <w:t>،</w:t>
      </w:r>
    </w:p>
    <w:p w14:paraId="3E40B26A" w14:textId="48CC63F1" w:rsidR="009C32A0" w:rsidRPr="005675B2" w:rsidRDefault="009C32A0" w:rsidP="000636C2">
      <w:pPr>
        <w:rPr>
          <w:b/>
          <w:rtl/>
        </w:rPr>
      </w:pPr>
      <w:r w:rsidRPr="005675B2">
        <w:rPr>
          <w:rFonts w:hint="cs"/>
          <w:rtl/>
        </w:rPr>
        <w:t>وحد المشهور</w:t>
      </w:r>
      <w:r w:rsidR="000636C2">
        <w:rPr>
          <w:rFonts w:hint="cs"/>
          <w:rtl/>
        </w:rPr>
        <w:t>:</w:t>
      </w:r>
      <w:r w:rsidRPr="005675B2">
        <w:rPr>
          <w:rFonts w:hint="cs"/>
          <w:rtl/>
        </w:rPr>
        <w:t xml:space="preserve"> أنه مازاد نقلته عن ثلاثة فلابد أن يكون أربعة فصاعداً مالم يصل إلى حد المتواتر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التحبير 1806 وشرح الكوكب 2/ 346</w:t>
      </w:r>
      <w:r w:rsidRPr="005675B2">
        <w:rPr>
          <w:rFonts w:hint="cs"/>
          <w:rtl/>
        </w:rPr>
        <w:t>]</w:t>
      </w:r>
      <w:r w:rsidR="000636C2">
        <w:rPr>
          <w:rFonts w:hint="cs"/>
          <w:rtl/>
        </w:rPr>
        <w:t>،</w:t>
      </w:r>
      <w:r>
        <w:rPr>
          <w:rFonts w:hint="cs"/>
          <w:rtl/>
        </w:rPr>
        <w:t xml:space="preserve"> </w:t>
      </w:r>
      <w:r w:rsidRPr="005675B2">
        <w:rPr>
          <w:rFonts w:hint="cs"/>
          <w:rtl/>
        </w:rPr>
        <w:t>وعند المحدثين ثلاثة فأكثر</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تدريب الراوي 2/173</w:t>
      </w:r>
      <w:r w:rsidR="000636C2">
        <w:rPr>
          <w:rFonts w:hint="cs"/>
          <w:rtl/>
        </w:rPr>
        <w:t>]</w:t>
      </w:r>
    </w:p>
    <w:p w14:paraId="53096931" w14:textId="7CC6D482" w:rsidR="009C32A0" w:rsidRPr="005675B2" w:rsidRDefault="009C32A0" w:rsidP="000636C2">
      <w:pPr>
        <w:rPr>
          <w:b/>
          <w:rtl/>
        </w:rPr>
      </w:pPr>
      <w:r w:rsidRPr="005675B2">
        <w:rPr>
          <w:rFonts w:hint="cs"/>
          <w:rtl/>
        </w:rPr>
        <w:t>هل خبر الآحاد يفيد الظن</w:t>
      </w:r>
      <w:r w:rsidR="000636C2">
        <w:rPr>
          <w:rFonts w:hint="cs"/>
          <w:rtl/>
        </w:rPr>
        <w:t>:</w:t>
      </w:r>
      <w:r>
        <w:rPr>
          <w:rFonts w:hint="cs"/>
          <w:rtl/>
        </w:rPr>
        <w:t xml:space="preserve"> </w:t>
      </w:r>
      <w:r w:rsidRPr="005675B2">
        <w:rPr>
          <w:rFonts w:hint="cs"/>
          <w:rtl/>
        </w:rPr>
        <w:t>فيه أقوال</w:t>
      </w:r>
      <w:r>
        <w:rPr>
          <w:rFonts w:hint="cs"/>
          <w:rtl/>
        </w:rPr>
        <w:t xml:space="preserve"> </w:t>
      </w:r>
    </w:p>
    <w:p w14:paraId="2B157117" w14:textId="064F131B" w:rsidR="009C32A0" w:rsidRPr="005675B2" w:rsidRDefault="009C32A0" w:rsidP="000636C2">
      <w:pPr>
        <w:rPr>
          <w:b/>
          <w:u w:val="single"/>
          <w:rtl/>
        </w:rPr>
      </w:pPr>
      <w:r w:rsidRPr="005675B2">
        <w:rPr>
          <w:rFonts w:hint="cs"/>
          <w:rtl/>
        </w:rPr>
        <w:t>1</w:t>
      </w:r>
      <w:r w:rsidR="000636C2">
        <w:rPr>
          <w:rFonts w:hint="cs"/>
          <w:rtl/>
        </w:rPr>
        <w:t xml:space="preserve"> </w:t>
      </w:r>
      <w:r w:rsidRPr="005675B2">
        <w:rPr>
          <w:rFonts w:hint="cs"/>
          <w:rtl/>
        </w:rPr>
        <w:t>- أنه يفيد الظن فقط وهو مذهب الإمام أحمد وأكثر العلماء</w:t>
      </w:r>
      <w:r w:rsidR="000636C2">
        <w:rPr>
          <w:rFonts w:hint="cs"/>
          <w:rtl/>
        </w:rPr>
        <w:t>،</w:t>
      </w:r>
      <w:r w:rsidRPr="005675B2">
        <w:rPr>
          <w:rFonts w:hint="cs"/>
          <w:rtl/>
        </w:rPr>
        <w:t xml:space="preserve"> [</w:t>
      </w:r>
      <w:r w:rsidRPr="005675B2">
        <w:rPr>
          <w:rFonts w:hint="cs"/>
          <w:bCs/>
          <w:sz w:val="24"/>
          <w:szCs w:val="24"/>
          <w:rtl/>
        </w:rPr>
        <w:t>انظر العدة 3/898 والتمهيد 3/ 78والمستصفى 1/136</w:t>
      </w:r>
      <w:r w:rsidRPr="005675B2">
        <w:rPr>
          <w:rFonts w:hint="cs"/>
          <w:rtl/>
        </w:rPr>
        <w:t>] وهو الصحيح عن الإمام أحمد وأكثر أصحابه وأكثر العلماء من المذاهب الأخرى</w:t>
      </w:r>
      <w:r w:rsidR="000636C2">
        <w:rPr>
          <w:rFonts w:hint="cs"/>
          <w:rtl/>
        </w:rPr>
        <w:t>،</w:t>
      </w:r>
      <w:r w:rsidRPr="005675B2">
        <w:rPr>
          <w:rFonts w:hint="cs"/>
          <w:rtl/>
        </w:rPr>
        <w:t xml:space="preserve"> نص عليه أحمد في رواية الأثرم</w:t>
      </w:r>
      <w:r w:rsidR="000636C2">
        <w:rPr>
          <w:rFonts w:hint="cs"/>
          <w:rtl/>
        </w:rPr>
        <w:t xml:space="preserve">، </w:t>
      </w:r>
      <w:r w:rsidRPr="005675B2">
        <w:rPr>
          <w:rFonts w:hint="cs"/>
          <w:u w:val="single"/>
          <w:rtl/>
        </w:rPr>
        <w:t>قال الحارث المحاسبي في كتابه (</w:t>
      </w:r>
      <w:r w:rsidR="000636C2">
        <w:rPr>
          <w:rFonts w:hint="cs"/>
          <w:u w:val="single"/>
          <w:rtl/>
        </w:rPr>
        <w:t>(</w:t>
      </w:r>
      <w:r w:rsidRPr="005675B2">
        <w:rPr>
          <w:rFonts w:hint="cs"/>
          <w:u w:val="single"/>
          <w:rtl/>
        </w:rPr>
        <w:t>فهم السنن</w:t>
      </w:r>
      <w:r w:rsidR="000636C2">
        <w:rPr>
          <w:rFonts w:hint="cs"/>
          <w:u w:val="single"/>
          <w:rtl/>
        </w:rPr>
        <w:t>)</w:t>
      </w:r>
      <w:r w:rsidRPr="005675B2">
        <w:rPr>
          <w:rFonts w:hint="cs"/>
          <w:u w:val="single"/>
          <w:rtl/>
        </w:rPr>
        <w:t>)</w:t>
      </w:r>
      <w:r w:rsidR="000636C2">
        <w:rPr>
          <w:rFonts w:hint="cs"/>
          <w:u w:val="single"/>
          <w:rtl/>
        </w:rPr>
        <w:t>:</w:t>
      </w:r>
      <w:r w:rsidRPr="005675B2">
        <w:rPr>
          <w:rFonts w:hint="cs"/>
          <w:u w:val="single"/>
          <w:rtl/>
        </w:rPr>
        <w:t xml:space="preserve"> هو قول أكثر أهل الحديث</w:t>
      </w:r>
      <w:r w:rsidR="000636C2">
        <w:rPr>
          <w:rFonts w:hint="cs"/>
          <w:u w:val="single"/>
          <w:rtl/>
        </w:rPr>
        <w:t>،</w:t>
      </w:r>
      <w:r w:rsidRPr="005675B2">
        <w:rPr>
          <w:rFonts w:hint="cs"/>
          <w:u w:val="single"/>
          <w:rtl/>
        </w:rPr>
        <w:t xml:space="preserve"> </w:t>
      </w:r>
      <w:r w:rsidR="000636C2">
        <w:rPr>
          <w:rFonts w:hint="cs"/>
          <w:u w:val="single"/>
          <w:rtl/>
        </w:rPr>
        <w:t>[</w:t>
      </w:r>
      <w:r w:rsidRPr="005675B2">
        <w:rPr>
          <w:rFonts w:hint="cs"/>
          <w:bCs/>
          <w:sz w:val="24"/>
          <w:szCs w:val="24"/>
          <w:rtl/>
        </w:rPr>
        <w:t>توضيح الأفكار 1/26</w:t>
      </w:r>
      <w:r w:rsidRPr="005675B2">
        <w:rPr>
          <w:rFonts w:hint="cs"/>
          <w:u w:val="single"/>
          <w:rtl/>
        </w:rPr>
        <w:t>]</w:t>
      </w:r>
      <w:r w:rsidR="000636C2">
        <w:rPr>
          <w:rFonts w:hint="cs"/>
          <w:u w:val="single"/>
          <w:rtl/>
        </w:rPr>
        <w:t xml:space="preserve"> </w:t>
      </w:r>
    </w:p>
    <w:p w14:paraId="70A05598" w14:textId="287CB22C"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وقيل يفيد العلم إذا حفت به قرائن كثيرة</w:t>
      </w:r>
      <w:r w:rsidR="000636C2">
        <w:rPr>
          <w:rFonts w:hint="cs"/>
          <w:rtl/>
        </w:rPr>
        <w:t>،</w:t>
      </w:r>
      <w:r w:rsidRPr="005675B2">
        <w:rPr>
          <w:rFonts w:hint="cs"/>
          <w:rtl/>
        </w:rPr>
        <w:t xml:space="preserve"> لكن قال الماوردي القرائن لا يمكن أن تضبط بعبارة</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انظر 16/ 85</w:t>
      </w:r>
      <w:r w:rsidRPr="005675B2">
        <w:rPr>
          <w:rFonts w:hint="cs"/>
          <w:rtl/>
        </w:rPr>
        <w:t>]</w:t>
      </w:r>
      <w:r w:rsidR="000636C2">
        <w:rPr>
          <w:rFonts w:hint="cs"/>
          <w:rtl/>
        </w:rPr>
        <w:t>،</w:t>
      </w:r>
      <w:r>
        <w:rPr>
          <w:rFonts w:hint="cs"/>
          <w:rtl/>
        </w:rPr>
        <w:t xml:space="preserve"> </w:t>
      </w:r>
      <w:r w:rsidRPr="005675B2">
        <w:rPr>
          <w:rFonts w:hint="cs"/>
          <w:rtl/>
        </w:rPr>
        <w:t>فائدة</w:t>
      </w:r>
      <w:r w:rsidR="000636C2">
        <w:rPr>
          <w:rFonts w:hint="cs"/>
          <w:rtl/>
        </w:rPr>
        <w:t>:</w:t>
      </w:r>
      <w:r w:rsidRPr="005675B2">
        <w:rPr>
          <w:rFonts w:hint="cs"/>
          <w:rtl/>
        </w:rPr>
        <w:t xml:space="preserve"> بعد أن تقرر أن أكثر</w:t>
      </w:r>
      <w:r w:rsidR="000636C2">
        <w:rPr>
          <w:rFonts w:hint="cs"/>
          <w:rtl/>
        </w:rPr>
        <w:t xml:space="preserve"> </w:t>
      </w:r>
      <w:r w:rsidRPr="005675B2">
        <w:rPr>
          <w:rFonts w:hint="cs"/>
          <w:rtl/>
        </w:rPr>
        <w:t>العلماء على أن خبر الآحاد لايفيد القطع اختلف الحنابلة هل يعمل [</w:t>
      </w:r>
      <w:r w:rsidRPr="005675B2">
        <w:rPr>
          <w:rFonts w:hint="cs"/>
          <w:bCs/>
          <w:sz w:val="24"/>
          <w:szCs w:val="24"/>
          <w:rtl/>
        </w:rPr>
        <w:t>العمل شيء والعلم شيء أخر فتنبه لذلك]</w:t>
      </w:r>
      <w:r w:rsidRPr="005675B2">
        <w:rPr>
          <w:rFonts w:hint="cs"/>
          <w:rtl/>
        </w:rPr>
        <w:t xml:space="preserve"> بالآحاد في العقيدة</w:t>
      </w:r>
      <w:r w:rsidR="000636C2">
        <w:rPr>
          <w:rFonts w:hint="cs"/>
          <w:rtl/>
        </w:rPr>
        <w:t>،</w:t>
      </w:r>
      <w:r>
        <w:rPr>
          <w:rFonts w:hint="cs"/>
          <w:rtl/>
        </w:rPr>
        <w:t xml:space="preserve"> </w:t>
      </w:r>
      <w:r w:rsidRPr="005675B2">
        <w:rPr>
          <w:rFonts w:hint="cs"/>
          <w:rtl/>
        </w:rPr>
        <w:t>الرواية الأولى</w:t>
      </w:r>
      <w:r w:rsidR="000636C2">
        <w:rPr>
          <w:rFonts w:hint="cs"/>
          <w:rtl/>
        </w:rPr>
        <w:t>:</w:t>
      </w:r>
      <w:r w:rsidRPr="005675B2">
        <w:rPr>
          <w:rFonts w:hint="cs"/>
          <w:rtl/>
        </w:rPr>
        <w:t xml:space="preserve"> أنه لا يعمل به اختارها ابن عقيل والخطابي وغيرهم</w:t>
      </w:r>
      <w:r w:rsidR="000636C2">
        <w:rPr>
          <w:rFonts w:hint="cs"/>
          <w:rtl/>
        </w:rPr>
        <w:t>،</w:t>
      </w:r>
      <w:r>
        <w:rPr>
          <w:rFonts w:hint="cs"/>
          <w:rtl/>
        </w:rPr>
        <w:t xml:space="preserve"> </w:t>
      </w:r>
      <w:r w:rsidRPr="005675B2">
        <w:rPr>
          <w:rFonts w:hint="cs"/>
          <w:rtl/>
        </w:rPr>
        <w:t>الرواية الثانية أن يعمل به بشرط أن تتلقاه الأمة بالقبول</w:t>
      </w:r>
      <w:r w:rsidR="000636C2">
        <w:rPr>
          <w:rFonts w:hint="cs"/>
          <w:rtl/>
        </w:rPr>
        <w:t>،</w:t>
      </w:r>
      <w:r w:rsidRPr="005675B2">
        <w:rPr>
          <w:rFonts w:hint="cs"/>
          <w:rtl/>
        </w:rPr>
        <w:t xml:space="preserve"> قالوا ولهذا قال أحمد</w:t>
      </w:r>
      <w:r w:rsidR="000636C2">
        <w:rPr>
          <w:rFonts w:hint="cs"/>
          <w:rtl/>
        </w:rPr>
        <w:t>:</w:t>
      </w:r>
      <w:r w:rsidRPr="005675B2">
        <w:rPr>
          <w:rFonts w:hint="cs"/>
          <w:rtl/>
        </w:rPr>
        <w:t xml:space="preserve"> قد تلقتها العلماء</w:t>
      </w:r>
      <w:r>
        <w:rPr>
          <w:rFonts w:hint="cs"/>
          <w:rtl/>
        </w:rPr>
        <w:t xml:space="preserve"> </w:t>
      </w:r>
      <w:r w:rsidRPr="005675B2">
        <w:rPr>
          <w:rFonts w:hint="cs"/>
          <w:rtl/>
        </w:rPr>
        <w:t>بالقبول</w:t>
      </w:r>
      <w:r w:rsidR="000636C2">
        <w:rPr>
          <w:rFonts w:hint="cs"/>
          <w:rtl/>
        </w:rPr>
        <w:t>،</w:t>
      </w:r>
      <w:r w:rsidRPr="005675B2">
        <w:rPr>
          <w:rFonts w:hint="cs"/>
          <w:rtl/>
        </w:rPr>
        <w:t xml:space="preserve"> [</w:t>
      </w:r>
      <w:r w:rsidRPr="005675B2">
        <w:rPr>
          <w:rFonts w:hint="cs"/>
          <w:bCs/>
          <w:sz w:val="24"/>
          <w:szCs w:val="24"/>
          <w:rtl/>
        </w:rPr>
        <w:t>أصول ابن مفلح (2/153)</w:t>
      </w:r>
      <w:r w:rsidRPr="005675B2">
        <w:rPr>
          <w:rFonts w:hint="cs"/>
          <w:rtl/>
        </w:rPr>
        <w:t>] وقال الإمام</w:t>
      </w:r>
      <w:r w:rsidR="000636C2">
        <w:rPr>
          <w:rFonts w:hint="cs"/>
          <w:rtl/>
        </w:rPr>
        <w:t xml:space="preserve"> </w:t>
      </w:r>
      <w:r w:rsidRPr="005675B2">
        <w:rPr>
          <w:rFonts w:hint="cs"/>
          <w:rtl/>
        </w:rPr>
        <w:t>ابن قدامة المقدسي - رحمه الله تعالى -</w:t>
      </w:r>
      <w:r w:rsidR="000636C2">
        <w:rPr>
          <w:rFonts w:hint="cs"/>
          <w:rtl/>
        </w:rPr>
        <w:t xml:space="preserve">: </w:t>
      </w:r>
      <w:r w:rsidRPr="005675B2">
        <w:rPr>
          <w:rFonts w:hint="cs"/>
          <w:rtl/>
        </w:rPr>
        <w:t>القسم الثاني</w:t>
      </w:r>
      <w:r w:rsidR="000636C2">
        <w:rPr>
          <w:rFonts w:hint="cs"/>
          <w:rtl/>
        </w:rPr>
        <w:t>:</w:t>
      </w:r>
      <w:r w:rsidRPr="005675B2">
        <w:t xml:space="preserve"> </w:t>
      </w:r>
      <w:r w:rsidRPr="005675B2">
        <w:rPr>
          <w:rFonts w:hint="cs"/>
          <w:rtl/>
        </w:rPr>
        <w:t>أخبار</w:t>
      </w:r>
      <w:r w:rsidRPr="005675B2">
        <w:rPr>
          <w:rFonts w:hint="cs"/>
        </w:rPr>
        <w:t xml:space="preserve"> </w:t>
      </w:r>
      <w:r w:rsidRPr="005675B2">
        <w:rPr>
          <w:rStyle w:val="highlight1"/>
          <w:rFonts w:hint="cs"/>
          <w:rtl/>
        </w:rPr>
        <w:t>الآحاد</w:t>
      </w:r>
      <w:r w:rsidR="000636C2">
        <w:rPr>
          <w:rFonts w:hint="cs"/>
          <w:rtl/>
        </w:rPr>
        <w:t>،</w:t>
      </w:r>
      <w:r w:rsidRPr="005675B2">
        <w:rPr>
          <w:rFonts w:hint="cs"/>
          <w:rtl/>
        </w:rPr>
        <w:t xml:space="preserve"> وهي ماعدا المتواتر</w:t>
      </w:r>
      <w:r w:rsidR="000636C2">
        <w:rPr>
          <w:rFonts w:hint="cs"/>
          <w:rtl/>
        </w:rPr>
        <w:t>،</w:t>
      </w:r>
      <w:r w:rsidRPr="005675B2">
        <w:rPr>
          <w:rFonts w:hint="cs"/>
          <w:rtl/>
        </w:rPr>
        <w:t xml:space="preserve"> اختلفت</w:t>
      </w:r>
      <w:r w:rsidRPr="005675B2">
        <w:rPr>
          <w:rFonts w:hint="cs"/>
        </w:rPr>
        <w:t xml:space="preserve"> </w:t>
      </w:r>
      <w:r w:rsidRPr="005675B2">
        <w:rPr>
          <w:rFonts w:hint="cs"/>
          <w:rtl/>
        </w:rPr>
        <w:t>الرواية عن إمامنا في حصول العلم بخبر الواحد</w:t>
      </w:r>
      <w:r w:rsidR="000636C2">
        <w:rPr>
          <w:rFonts w:hint="cs"/>
          <w:rtl/>
        </w:rPr>
        <w:t>،</w:t>
      </w:r>
      <w:r w:rsidRPr="005675B2">
        <w:rPr>
          <w:rFonts w:hint="cs"/>
        </w:rPr>
        <w:t xml:space="preserve"> </w:t>
      </w:r>
      <w:r w:rsidRPr="005675B2">
        <w:rPr>
          <w:rFonts w:hint="cs"/>
          <w:rtl/>
        </w:rPr>
        <w:t>فروي أنه لا يحصل</w:t>
      </w:r>
      <w:r w:rsidRPr="005675B2">
        <w:rPr>
          <w:rFonts w:hint="cs"/>
        </w:rPr>
        <w:t xml:space="preserve"> </w:t>
      </w:r>
      <w:r w:rsidRPr="005675B2">
        <w:rPr>
          <w:rFonts w:hint="cs"/>
          <w:rtl/>
        </w:rPr>
        <w:t>به</w:t>
      </w:r>
      <w:r w:rsidR="000636C2">
        <w:rPr>
          <w:rFonts w:hint="cs"/>
          <w:rtl/>
        </w:rPr>
        <w:t>،</w:t>
      </w:r>
      <w:r w:rsidRPr="005675B2">
        <w:rPr>
          <w:rFonts w:hint="cs"/>
          <w:rtl/>
        </w:rPr>
        <w:t xml:space="preserve"> وهوقول الأكثرين</w:t>
      </w:r>
      <w:r w:rsidR="000636C2">
        <w:rPr>
          <w:rFonts w:hint="cs"/>
          <w:rtl/>
        </w:rPr>
        <w:t>،</w:t>
      </w:r>
      <w:r w:rsidRPr="005675B2">
        <w:rPr>
          <w:rFonts w:hint="cs"/>
          <w:rtl/>
        </w:rPr>
        <w:t xml:space="preserve"> والمتأخرين من أصحابنا</w:t>
      </w:r>
      <w:r w:rsidR="000636C2">
        <w:rPr>
          <w:rFonts w:hint="cs"/>
          <w:rtl/>
        </w:rPr>
        <w:t>،</w:t>
      </w:r>
      <w:r w:rsidRPr="005675B2">
        <w:rPr>
          <w:rFonts w:hint="cs"/>
          <w:rtl/>
        </w:rPr>
        <w:t xml:space="preserve"> لأنا نعلم ضرورة أنا لا</w:t>
      </w:r>
      <w:r w:rsidRPr="005675B2">
        <w:rPr>
          <w:rFonts w:hint="cs"/>
        </w:rPr>
        <w:t xml:space="preserve"> </w:t>
      </w:r>
      <w:r w:rsidRPr="005675B2">
        <w:rPr>
          <w:rFonts w:hint="cs"/>
          <w:rtl/>
        </w:rPr>
        <w:t>نصدق كل خبر نسمعه</w:t>
      </w:r>
      <w:r w:rsidR="000636C2">
        <w:rPr>
          <w:rFonts w:hint="cs"/>
          <w:rtl/>
        </w:rPr>
        <w:t>،</w:t>
      </w:r>
      <w:r w:rsidRPr="005675B2">
        <w:rPr>
          <w:rFonts w:hint="cs"/>
          <w:rtl/>
        </w:rPr>
        <w:t xml:space="preserve"> ولو كان مفيدا للعلم لما صح ورود خبرين متعارضين</w:t>
      </w:r>
      <w:r w:rsidR="000636C2">
        <w:rPr>
          <w:rFonts w:hint="cs"/>
          <w:rtl/>
        </w:rPr>
        <w:t>،</w:t>
      </w:r>
      <w:r w:rsidRPr="005675B2">
        <w:rPr>
          <w:rFonts w:hint="cs"/>
          <w:rtl/>
        </w:rPr>
        <w:t xml:space="preserve"> لاستحالة</w:t>
      </w:r>
      <w:r w:rsidRPr="005675B2">
        <w:rPr>
          <w:rFonts w:hint="cs"/>
        </w:rPr>
        <w:t xml:space="preserve"> </w:t>
      </w:r>
      <w:r w:rsidRPr="005675B2">
        <w:rPr>
          <w:rFonts w:hint="cs"/>
          <w:rtl/>
        </w:rPr>
        <w:t>اجتماع الضدين</w:t>
      </w:r>
      <w:r w:rsidR="000636C2">
        <w:rPr>
          <w:rFonts w:hint="cs"/>
          <w:rtl/>
        </w:rPr>
        <w:t>،</w:t>
      </w:r>
      <w:r w:rsidRPr="005675B2">
        <w:rPr>
          <w:rFonts w:hint="cs"/>
          <w:rtl/>
        </w:rPr>
        <w:t xml:space="preserve"> ولجاز نسخ القرآن والأخبار المتواترة به</w:t>
      </w:r>
      <w:r w:rsidR="000636C2">
        <w:rPr>
          <w:rFonts w:hint="cs"/>
          <w:rtl/>
        </w:rPr>
        <w:t>،</w:t>
      </w:r>
      <w:r w:rsidRPr="005675B2">
        <w:rPr>
          <w:rFonts w:hint="cs"/>
          <w:rtl/>
        </w:rPr>
        <w:t xml:space="preserve"> لكونه بمنزلتهما في</w:t>
      </w:r>
      <w:r w:rsidRPr="005675B2">
        <w:rPr>
          <w:rFonts w:hint="cs"/>
        </w:rPr>
        <w:t xml:space="preserve"> </w:t>
      </w:r>
      <w:r w:rsidRPr="005675B2">
        <w:rPr>
          <w:rFonts w:hint="cs"/>
          <w:rtl/>
        </w:rPr>
        <w:t>إفادة العلم</w:t>
      </w:r>
      <w:r w:rsidR="000636C2">
        <w:rPr>
          <w:rFonts w:hint="cs"/>
          <w:rtl/>
        </w:rPr>
        <w:t>،</w:t>
      </w:r>
      <w:r w:rsidRPr="005675B2">
        <w:rPr>
          <w:rFonts w:hint="cs"/>
          <w:rtl/>
        </w:rPr>
        <w:t xml:space="preserve"> ولوجب الحكم بالشاهد الواحد ولاستوى في ذلك العدل والفاسق كما في</w:t>
      </w:r>
      <w:r w:rsidRPr="005675B2">
        <w:rPr>
          <w:rFonts w:hint="cs"/>
        </w:rPr>
        <w:t xml:space="preserve"> </w:t>
      </w:r>
      <w:r w:rsidRPr="005675B2">
        <w:rPr>
          <w:rFonts w:hint="cs"/>
          <w:rtl/>
        </w:rPr>
        <w:t>التواتر</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روضة الناظر 1/260</w:t>
      </w:r>
      <w:r w:rsidRPr="005675B2">
        <w:rPr>
          <w:rFonts w:hint="cs"/>
          <w:rtl/>
        </w:rPr>
        <w:t>]</w:t>
      </w:r>
      <w:r w:rsidR="000636C2">
        <w:rPr>
          <w:rFonts w:hint="cs"/>
          <w:rtl/>
        </w:rPr>
        <w:t>،</w:t>
      </w:r>
      <w:r>
        <w:rPr>
          <w:rFonts w:hint="cs"/>
          <w:rtl/>
        </w:rPr>
        <w:t xml:space="preserve"> </w:t>
      </w:r>
      <w:r w:rsidRPr="005675B2">
        <w:rPr>
          <w:rFonts w:hint="cs"/>
          <w:rtl/>
        </w:rPr>
        <w:t>قال البرماوي والزركشي</w:t>
      </w:r>
      <w:r w:rsidR="000636C2">
        <w:rPr>
          <w:rFonts w:hint="cs"/>
          <w:rtl/>
        </w:rPr>
        <w:t>:</w:t>
      </w:r>
      <w:r w:rsidRPr="005675B2">
        <w:rPr>
          <w:rFonts w:hint="cs"/>
          <w:rtl/>
        </w:rPr>
        <w:t xml:space="preserve"> المسألة مبنية على أنه يفيد العلم أم لايفيد</w:t>
      </w:r>
      <w:r w:rsidR="000636C2">
        <w:rPr>
          <w:rFonts w:hint="cs"/>
          <w:rtl/>
        </w:rPr>
        <w:t>؟</w:t>
      </w:r>
      <w:r w:rsidRPr="005675B2">
        <w:rPr>
          <w:rFonts w:hint="cs"/>
          <w:rtl/>
        </w:rPr>
        <w:t>إن قلنا يفيد العلم عمل به فيها وإلا فلا</w:t>
      </w:r>
      <w:r w:rsidR="000636C2">
        <w:rPr>
          <w:rFonts w:hint="cs"/>
          <w:rtl/>
        </w:rPr>
        <w:t xml:space="preserve">، </w:t>
      </w:r>
      <w:r w:rsidRPr="005675B2">
        <w:rPr>
          <w:rFonts w:hint="cs"/>
          <w:rtl/>
        </w:rPr>
        <w:t>[</w:t>
      </w:r>
      <w:r w:rsidRPr="005675B2">
        <w:rPr>
          <w:rFonts w:hint="cs"/>
          <w:bCs/>
          <w:sz w:val="24"/>
          <w:szCs w:val="24"/>
          <w:rtl/>
        </w:rPr>
        <w:t>البحر المحيط 4/ 266 وألفية البرماوي 38أ نقلاً عن التحبير</w:t>
      </w:r>
      <w:r w:rsidRPr="005675B2">
        <w:rPr>
          <w:rFonts w:hint="cs"/>
          <w:rtl/>
        </w:rPr>
        <w:t>]</w:t>
      </w:r>
    </w:p>
    <w:p w14:paraId="5200AB0B" w14:textId="2930F63F" w:rsidR="009C32A0" w:rsidRDefault="009C32A0" w:rsidP="000636C2">
      <w:pPr>
        <w:rPr>
          <w:b/>
          <w:rtl/>
        </w:rPr>
      </w:pPr>
      <w:r w:rsidRPr="005675B2">
        <w:rPr>
          <w:rFonts w:hint="cs"/>
          <w:rtl/>
        </w:rPr>
        <w:t>ثمرة الخلاف</w:t>
      </w:r>
      <w:r w:rsidR="000636C2">
        <w:rPr>
          <w:rFonts w:hint="cs"/>
          <w:rtl/>
        </w:rPr>
        <w:t>:</w:t>
      </w:r>
      <w:r>
        <w:rPr>
          <w:rFonts w:hint="cs"/>
          <w:rtl/>
        </w:rPr>
        <w:t xml:space="preserve"> </w:t>
      </w:r>
      <w:r w:rsidRPr="005675B2">
        <w:rPr>
          <w:rFonts w:hint="cs"/>
          <w:rtl/>
        </w:rPr>
        <w:t>1</w:t>
      </w:r>
      <w:r w:rsidR="000636C2">
        <w:rPr>
          <w:rFonts w:hint="cs"/>
          <w:rtl/>
        </w:rPr>
        <w:t xml:space="preserve"> </w:t>
      </w:r>
      <w:r w:rsidRPr="005675B2">
        <w:rPr>
          <w:rFonts w:hint="cs"/>
          <w:rtl/>
        </w:rPr>
        <w:t>- الخلاف في تكفير منكره</w:t>
      </w:r>
      <w:r w:rsidR="000636C2">
        <w:rPr>
          <w:rFonts w:hint="cs"/>
          <w:rtl/>
        </w:rPr>
        <w:t xml:space="preserve"> </w:t>
      </w:r>
      <w:r w:rsidRPr="005675B2">
        <w:rPr>
          <w:rFonts w:hint="cs"/>
          <w:rtl/>
        </w:rPr>
        <w:t>والصحيح أنه لايكفر</w:t>
      </w:r>
      <w:r w:rsidR="000636C2">
        <w:rPr>
          <w:rFonts w:hint="cs"/>
          <w:rtl/>
        </w:rPr>
        <w:t xml:space="preserve"> </w:t>
      </w:r>
      <w:r w:rsidRPr="005675B2">
        <w:rPr>
          <w:rFonts w:hint="cs"/>
          <w:rtl/>
        </w:rPr>
        <w:t>لأنه لايفيد العلم أي لايفيد القطع به</w:t>
      </w:r>
      <w:r w:rsidR="000636C2">
        <w:rPr>
          <w:rFonts w:hint="cs"/>
          <w:rtl/>
        </w:rPr>
        <w:t>،</w:t>
      </w:r>
      <w:r>
        <w:rPr>
          <w:rFonts w:hint="cs"/>
          <w:rtl/>
        </w:rPr>
        <w:t xml:space="preserve"> </w:t>
      </w:r>
      <w:r w:rsidRPr="005675B2">
        <w:rPr>
          <w:rFonts w:hint="cs"/>
          <w:rtl/>
        </w:rPr>
        <w:t>2</w:t>
      </w:r>
      <w:r w:rsidR="000636C2">
        <w:rPr>
          <w:rFonts w:hint="cs"/>
          <w:rtl/>
        </w:rPr>
        <w:t xml:space="preserve"> </w:t>
      </w:r>
      <w:r w:rsidRPr="005675B2">
        <w:rPr>
          <w:rFonts w:hint="cs"/>
          <w:rtl/>
        </w:rPr>
        <w:t>- إن قلنا يفيد العلم أي القطع</w:t>
      </w:r>
      <w:r w:rsidR="000636C2">
        <w:rPr>
          <w:rFonts w:hint="cs"/>
          <w:rtl/>
        </w:rPr>
        <w:t xml:space="preserve"> </w:t>
      </w:r>
      <w:r w:rsidRPr="005675B2">
        <w:rPr>
          <w:rFonts w:hint="cs"/>
          <w:rtl/>
        </w:rPr>
        <w:t>قبل وإلا فلا</w:t>
      </w:r>
      <w:r w:rsidR="000636C2">
        <w:rPr>
          <w:rFonts w:hint="cs"/>
          <w:rtl/>
        </w:rPr>
        <w:t xml:space="preserve">، </w:t>
      </w:r>
      <w:r w:rsidRPr="005675B2">
        <w:rPr>
          <w:rFonts w:hint="cs"/>
          <w:rtl/>
        </w:rPr>
        <w:t>[</w:t>
      </w:r>
      <w:r w:rsidRPr="005675B2">
        <w:rPr>
          <w:rFonts w:hint="cs"/>
          <w:bCs/>
          <w:sz w:val="24"/>
          <w:szCs w:val="24"/>
          <w:rtl/>
        </w:rPr>
        <w:t>شرح الكوكب المنير 353 والبحر المحيط 266</w:t>
      </w:r>
      <w:r w:rsidRPr="005675B2">
        <w:rPr>
          <w:rFonts w:hint="cs"/>
          <w:rtl/>
        </w:rPr>
        <w:t>]</w:t>
      </w:r>
      <w:r w:rsidR="000636C2">
        <w:rPr>
          <w:rFonts w:hint="cs"/>
          <w:rtl/>
        </w:rPr>
        <w:t>،</w:t>
      </w:r>
      <w:r>
        <w:rPr>
          <w:rFonts w:hint="cs"/>
          <w:rtl/>
        </w:rPr>
        <w:t xml:space="preserve"> </w:t>
      </w:r>
      <w:r w:rsidRPr="005675B2">
        <w:rPr>
          <w:rFonts w:hint="cs"/>
          <w:rtl/>
        </w:rPr>
        <w:t>إذا علمت ما سبق استفدت جهل من يخرج الأشاعرة</w:t>
      </w:r>
      <w:r w:rsidR="000636C2">
        <w:rPr>
          <w:rFonts w:hint="cs"/>
          <w:rtl/>
        </w:rPr>
        <w:t>،</w:t>
      </w:r>
      <w:r w:rsidRPr="005675B2">
        <w:rPr>
          <w:rFonts w:hint="cs"/>
          <w:rtl/>
        </w:rPr>
        <w:t xml:space="preserve"> والماتريدية</w:t>
      </w:r>
      <w:r w:rsidR="000636C2">
        <w:rPr>
          <w:rFonts w:hint="cs"/>
          <w:rtl/>
        </w:rPr>
        <w:t>،</w:t>
      </w:r>
      <w:r w:rsidRPr="005675B2">
        <w:rPr>
          <w:rFonts w:hint="cs"/>
          <w:rtl/>
        </w:rPr>
        <w:t xml:space="preserve"> والحنابلة المفوضة</w:t>
      </w:r>
      <w:r w:rsidR="000636C2">
        <w:rPr>
          <w:rFonts w:hint="cs"/>
          <w:rtl/>
        </w:rPr>
        <w:t xml:space="preserve"> </w:t>
      </w:r>
      <w:r w:rsidRPr="005675B2">
        <w:rPr>
          <w:rFonts w:hint="cs"/>
          <w:rtl/>
        </w:rPr>
        <w:t>من أهل السنة والجماعة</w:t>
      </w:r>
      <w:r w:rsidR="000636C2">
        <w:rPr>
          <w:rFonts w:hint="cs"/>
          <w:rtl/>
        </w:rPr>
        <w:t>،</w:t>
      </w:r>
      <w:r w:rsidRPr="005675B2">
        <w:rPr>
          <w:rFonts w:hint="cs"/>
          <w:rtl/>
        </w:rPr>
        <w:t xml:space="preserve"> ثم يتبنى عقيدة الكرامية في الجهة، وحلول الحوادث بذات الله، وقدم العالم النوعي</w:t>
      </w:r>
      <w:r w:rsidR="000636C2">
        <w:rPr>
          <w:rFonts w:hint="cs"/>
          <w:rtl/>
        </w:rPr>
        <w:t>،</w:t>
      </w:r>
      <w:r w:rsidRPr="005675B2">
        <w:rPr>
          <w:rFonts w:hint="cs"/>
          <w:rtl/>
        </w:rPr>
        <w:t>ويظنها عقيدة السلف الصالح فنسأل الله أن يهدينا وإياهم لما يرضيه</w:t>
      </w:r>
      <w:r w:rsidR="000636C2">
        <w:rPr>
          <w:rFonts w:hint="cs"/>
          <w:rtl/>
        </w:rPr>
        <w:t xml:space="preserve">، </w:t>
      </w:r>
      <w:r w:rsidRPr="005675B2">
        <w:rPr>
          <w:rFonts w:hint="cs"/>
          <w:rtl/>
        </w:rPr>
        <w:t>قال الكاتب هداه الله</w:t>
      </w:r>
      <w:r w:rsidR="000636C2">
        <w:rPr>
          <w:rFonts w:hint="cs"/>
          <w:rtl/>
        </w:rPr>
        <w:t>:</w:t>
      </w:r>
      <w:r w:rsidRPr="005675B2">
        <w:rPr>
          <w:rFonts w:hint="cs"/>
          <w:rtl/>
        </w:rPr>
        <w:t xml:space="preserve"> </w:t>
      </w:r>
      <w:r w:rsidR="000636C2">
        <w:rPr>
          <w:rFonts w:hint="cs"/>
          <w:rtl/>
        </w:rPr>
        <w:t>[</w:t>
      </w:r>
      <w:r w:rsidRPr="005675B2">
        <w:rPr>
          <w:rFonts w:hint="cs"/>
          <w:rtl/>
        </w:rPr>
        <w:t>إن الأجوبة كلها بدهية ولكن</w:t>
      </w:r>
      <w:r w:rsidRPr="005675B2">
        <w:rPr>
          <w:rFonts w:hint="cs"/>
        </w:rPr>
        <w:t xml:space="preserve"> </w:t>
      </w:r>
      <w:r w:rsidRPr="005675B2">
        <w:rPr>
          <w:rFonts w:hint="cs"/>
          <w:rtl/>
        </w:rPr>
        <w:t>ماذا نصنع وقد ابتلينا بمن ينكر البدهيات</w:t>
      </w:r>
      <w:r w:rsidR="000636C2">
        <w:rPr>
          <w:rFonts w:hint="cs"/>
          <w:rtl/>
        </w:rPr>
        <w:t>،</w:t>
      </w:r>
      <w:r w:rsidRPr="005675B2">
        <w:rPr>
          <w:rFonts w:hint="cs"/>
          <w:rtl/>
        </w:rPr>
        <w:t xml:space="preserve"> أيهما الفرقة الناجية</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أما كونه من البدهيات فهذا كلام من لا يفرق بين البدهي والنظري</w:t>
      </w:r>
      <w:r w:rsidR="000636C2">
        <w:rPr>
          <w:rFonts w:hint="cs"/>
          <w:rtl/>
        </w:rPr>
        <w:t>،</w:t>
      </w:r>
      <w:r w:rsidRPr="005675B2">
        <w:rPr>
          <w:rFonts w:hint="cs"/>
          <w:rtl/>
        </w:rPr>
        <w:t>فكيف يحكم أصلاً في مصير أمة بأسرها</w:t>
      </w:r>
      <w:r w:rsidR="000636C2">
        <w:rPr>
          <w:rFonts w:hint="cs"/>
          <w:rtl/>
        </w:rPr>
        <w:t>؟!</w:t>
      </w:r>
      <w:r w:rsidRPr="005675B2">
        <w:rPr>
          <w:rFonts w:hint="cs"/>
          <w:rtl/>
        </w:rPr>
        <w:t>!</w:t>
      </w:r>
      <w:r>
        <w:rPr>
          <w:rFonts w:hint="cs"/>
          <w:rtl/>
        </w:rPr>
        <w:t xml:space="preserve"> </w:t>
      </w:r>
      <w:r w:rsidRPr="005675B2">
        <w:rPr>
          <w:rFonts w:hint="cs"/>
          <w:rtl/>
        </w:rPr>
        <w:t>تعريف البدهي أو البديهي</w:t>
      </w:r>
      <w:r w:rsidR="000636C2">
        <w:rPr>
          <w:rFonts w:hint="cs"/>
          <w:rtl/>
        </w:rPr>
        <w:t>:</w:t>
      </w:r>
      <w:r w:rsidRPr="005675B2">
        <w:rPr>
          <w:rFonts w:hint="cs"/>
          <w:rtl/>
        </w:rPr>
        <w:t xml:space="preserve"> هو الذي لا يتوقف حصوله على نظر وكسب</w:t>
      </w:r>
      <w:r w:rsidR="000636C2">
        <w:rPr>
          <w:rFonts w:hint="cs"/>
          <w:rtl/>
        </w:rPr>
        <w:t xml:space="preserve">، </w:t>
      </w:r>
      <w:r w:rsidRPr="005675B2">
        <w:rPr>
          <w:rFonts w:hint="cs"/>
          <w:rtl/>
        </w:rPr>
        <w:t>[</w:t>
      </w:r>
      <w:r w:rsidRPr="005675B2">
        <w:rPr>
          <w:rFonts w:hint="cs"/>
          <w:bCs/>
          <w:sz w:val="24"/>
          <w:szCs w:val="24"/>
          <w:rtl/>
        </w:rPr>
        <w:t>التعريفات 63</w:t>
      </w:r>
      <w:r w:rsidRPr="005675B2">
        <w:rPr>
          <w:rFonts w:hint="cs"/>
          <w:rtl/>
        </w:rPr>
        <w:t>]</w:t>
      </w:r>
      <w:r w:rsidR="000636C2">
        <w:rPr>
          <w:rFonts w:hint="cs"/>
          <w:rtl/>
        </w:rPr>
        <w:t>،</w:t>
      </w:r>
      <w:r>
        <w:rPr>
          <w:rFonts w:hint="cs"/>
          <w:rtl/>
        </w:rPr>
        <w:t xml:space="preserve"> </w:t>
      </w:r>
      <w:r w:rsidRPr="005675B2">
        <w:rPr>
          <w:rFonts w:hint="cs"/>
          <w:rtl/>
        </w:rPr>
        <w:t>مثال البدهيات</w:t>
      </w:r>
      <w:r w:rsidR="000636C2">
        <w:rPr>
          <w:rFonts w:hint="cs"/>
          <w:rtl/>
        </w:rPr>
        <w:t>:</w:t>
      </w:r>
      <w:r w:rsidRPr="005675B2">
        <w:rPr>
          <w:rFonts w:hint="cs"/>
          <w:rtl/>
        </w:rPr>
        <w:t xml:space="preserve"> أن الواحد نصف الاثنين</w:t>
      </w:r>
      <w:r w:rsidR="000636C2">
        <w:rPr>
          <w:rFonts w:hint="cs"/>
          <w:rtl/>
        </w:rPr>
        <w:t>،</w:t>
      </w:r>
    </w:p>
    <w:p w14:paraId="7EAEA487" w14:textId="38265177" w:rsidR="009C32A0" w:rsidRPr="005675B2" w:rsidRDefault="009C32A0" w:rsidP="000636C2">
      <w:pPr>
        <w:rPr>
          <w:b/>
          <w:rtl/>
        </w:rPr>
      </w:pPr>
      <w:r w:rsidRPr="005675B2">
        <w:rPr>
          <w:rFonts w:hint="cs"/>
          <w:rtl/>
        </w:rPr>
        <w:t>كيف يكون أهل السنة والجماعة ثلاثة مسالك</w:t>
      </w:r>
      <w:r w:rsidR="000636C2">
        <w:rPr>
          <w:rFonts w:hint="cs"/>
          <w:rtl/>
        </w:rPr>
        <w:t xml:space="preserve">؟ </w:t>
      </w:r>
      <w:r w:rsidRPr="005675B2">
        <w:rPr>
          <w:rFonts w:hint="cs"/>
          <w:rtl/>
        </w:rPr>
        <w:t>قال الكاتب</w:t>
      </w:r>
      <w:r w:rsidR="000636C2">
        <w:rPr>
          <w:rFonts w:hint="cs"/>
          <w:rtl/>
        </w:rPr>
        <w:t>:</w:t>
      </w:r>
      <w:r w:rsidRPr="005675B2">
        <w:rPr>
          <w:rFonts w:hint="cs"/>
          <w:rtl/>
        </w:rPr>
        <w:t xml:space="preserve"> قد أوضحنا فيما سبق أن أهل</w:t>
      </w:r>
      <w:r w:rsidRPr="005675B2">
        <w:rPr>
          <w:rFonts w:hint="cs"/>
        </w:rPr>
        <w:t xml:space="preserve"> </w:t>
      </w:r>
      <w:r w:rsidRPr="005675B2">
        <w:rPr>
          <w:rFonts w:hint="cs"/>
          <w:rtl/>
        </w:rPr>
        <w:t>السنة والجماعة والأشاعرة فرقتان مختلفتان</w:t>
      </w:r>
      <w:r w:rsidR="000636C2">
        <w:rPr>
          <w:rFonts w:hint="cs"/>
          <w:rtl/>
        </w:rPr>
        <w:t>،</w:t>
      </w:r>
      <w:r>
        <w:rPr>
          <w:rFonts w:hint="cs"/>
          <w:rtl/>
        </w:rPr>
        <w:t xml:space="preserve"> </w:t>
      </w:r>
      <w:r w:rsidRPr="005675B2">
        <w:rPr>
          <w:rFonts w:hint="cs"/>
          <w:rtl/>
        </w:rPr>
        <w:t>وهذا يستلزم تحديد أيهما الفرقة</w:t>
      </w:r>
      <w:r w:rsidRPr="005675B2">
        <w:rPr>
          <w:rFonts w:hint="cs"/>
        </w:rPr>
        <w:t xml:space="preserve"> </w:t>
      </w:r>
      <w:r w:rsidRPr="005675B2">
        <w:rPr>
          <w:rFonts w:hint="cs"/>
          <w:rtl/>
        </w:rPr>
        <w:t>الناجية</w:t>
      </w:r>
      <w:r w:rsidR="000636C2">
        <w:rPr>
          <w:rFonts w:hint="cs"/>
          <w:rtl/>
        </w:rPr>
        <w:t>؟</w:t>
      </w:r>
      <w:r>
        <w:rPr>
          <w:rFonts w:hint="cs"/>
          <w:rtl/>
        </w:rPr>
        <w:t xml:space="preserve"> </w:t>
      </w:r>
      <w:r w:rsidRPr="005675B2">
        <w:rPr>
          <w:rFonts w:hint="cs"/>
          <w:rtl/>
        </w:rPr>
        <w:t>وما أوضح هذا التحديد</w:t>
      </w:r>
      <w:r w:rsidRPr="005675B2">
        <w:rPr>
          <w:rFonts w:hint="cs"/>
        </w:rPr>
        <w:t xml:space="preserve"> </w:t>
      </w:r>
      <w:r w:rsidRPr="005675B2">
        <w:rPr>
          <w:rFonts w:hint="cs"/>
          <w:rtl/>
        </w:rPr>
        <w:t>وأسهله</w:t>
      </w:r>
      <w:r w:rsidR="000636C2">
        <w:rPr>
          <w:rFonts w:hint="cs"/>
          <w:rtl/>
        </w:rPr>
        <w:t>،</w:t>
      </w:r>
      <w:r w:rsidRPr="005675B2">
        <w:rPr>
          <w:rFonts w:hint="cs"/>
          <w:rtl/>
        </w:rPr>
        <w:t xml:space="preserve"> لكن مكابرة بعض الأشاعرة بادعاء أن الأشاعرة وأهل السنة والجماعة كلاهما</w:t>
      </w:r>
      <w:r w:rsidRPr="005675B2">
        <w:rPr>
          <w:rFonts w:hint="cs"/>
        </w:rPr>
        <w:t xml:space="preserve"> </w:t>
      </w:r>
      <w:r w:rsidRPr="005675B2">
        <w:rPr>
          <w:rFonts w:hint="cs"/>
          <w:rtl/>
        </w:rPr>
        <w:t>ناج يجعلنا نبدأ بإلقاء سؤال عن الفرقة الناجية</w:t>
      </w:r>
      <w:r w:rsidR="000636C2">
        <w:rPr>
          <w:rFonts w:hint="cs"/>
          <w:rtl/>
        </w:rPr>
        <w:t>:</w:t>
      </w:r>
      <w:r>
        <w:rPr>
          <w:rFonts w:hint="cs"/>
          <w:rtl/>
          <w:lang w:bidi="ar-KW"/>
        </w:rPr>
        <w:t xml:space="preserve"> </w:t>
      </w:r>
      <w:r w:rsidRPr="005675B2">
        <w:rPr>
          <w:rFonts w:hint="cs"/>
          <w:rtl/>
        </w:rPr>
        <w:t>أهي فرقة واحدة أم فرقتان</w:t>
      </w:r>
      <w:r w:rsidR="000636C2">
        <w:rPr>
          <w:rFonts w:hint="cs"/>
          <w:rtl/>
        </w:rPr>
        <w:t xml:space="preserve">؟ </w:t>
      </w:r>
      <w:r w:rsidRPr="005675B2">
        <w:rPr>
          <w:rFonts w:hint="cs"/>
          <w:rtl/>
        </w:rPr>
        <w:t>و</w:t>
      </w:r>
      <w:r w:rsidR="000636C2">
        <w:rPr>
          <w:rFonts w:hint="cs"/>
          <w:rtl/>
        </w:rPr>
        <w:t>[</w:t>
      </w:r>
      <w:r>
        <w:rPr>
          <w:rFonts w:hint="cs"/>
          <w:rtl/>
        </w:rPr>
        <w:t>الجواب</w:t>
      </w:r>
      <w:r w:rsidR="000636C2">
        <w:rPr>
          <w:rFonts w:hint="cs"/>
          <w:rtl/>
        </w:rPr>
        <w:t xml:space="preserve">]: </w:t>
      </w:r>
      <w:r w:rsidRPr="005675B2">
        <w:rPr>
          <w:rFonts w:hint="cs"/>
          <w:rtl/>
        </w:rPr>
        <w:t>- مع بداهته لكل</w:t>
      </w:r>
      <w:r w:rsidRPr="005675B2">
        <w:rPr>
          <w:rFonts w:hint="cs"/>
        </w:rPr>
        <w:t xml:space="preserve"> </w:t>
      </w:r>
      <w:r w:rsidRPr="005675B2">
        <w:rPr>
          <w:rFonts w:hint="cs"/>
          <w:rtl/>
        </w:rPr>
        <w:t>ذي عقل</w:t>
      </w:r>
      <w:r w:rsidR="000636C2">
        <w:rPr>
          <w:rFonts w:hint="cs"/>
          <w:rtl/>
        </w:rPr>
        <w:t xml:space="preserve"> </w:t>
      </w:r>
      <w:r w:rsidRPr="005675B2">
        <w:rPr>
          <w:rFonts w:hint="cs"/>
          <w:rtl/>
        </w:rPr>
        <w:t>- مفروغ منه نصاً</w:t>
      </w:r>
      <w:r w:rsidR="000636C2">
        <w:rPr>
          <w:rFonts w:hint="cs"/>
          <w:rtl/>
        </w:rPr>
        <w:t>،</w:t>
      </w:r>
      <w:r w:rsidRPr="005675B2">
        <w:rPr>
          <w:rFonts w:hint="cs"/>
          <w:rtl/>
        </w:rPr>
        <w:t xml:space="preserve"> فقد أخبر النبي صلى الله عليه وسلم في روايات كثيرة</w:t>
      </w:r>
      <w:r w:rsidRPr="005675B2">
        <w:rPr>
          <w:rFonts w:hint="cs"/>
        </w:rPr>
        <w:t xml:space="preserve"> </w:t>
      </w:r>
      <w:r w:rsidRPr="005675B2">
        <w:rPr>
          <w:rFonts w:hint="cs"/>
          <w:rtl/>
        </w:rPr>
        <w:t>لحديث افتراق هذه الأمة على ثلاث وسبعين فرقة</w:t>
      </w:r>
      <w:r w:rsidR="000636C2">
        <w:rPr>
          <w:rFonts w:hint="cs"/>
          <w:rtl/>
        </w:rPr>
        <w:t>:</w:t>
      </w:r>
      <w:r w:rsidRPr="005675B2">
        <w:rPr>
          <w:rFonts w:hint="cs"/>
        </w:rPr>
        <w:t xml:space="preserve"> </w:t>
      </w:r>
      <w:r w:rsidRPr="005675B2">
        <w:rPr>
          <w:rFonts w:hint="cs"/>
          <w:rtl/>
        </w:rPr>
        <w:t>"</w:t>
      </w:r>
      <w:r w:rsidRPr="005675B2">
        <w:rPr>
          <w:rFonts w:hint="cs"/>
        </w:rPr>
        <w:t xml:space="preserve"> </w:t>
      </w:r>
      <w:r w:rsidRPr="005675B2">
        <w:rPr>
          <w:rFonts w:hint="cs"/>
          <w:rtl/>
        </w:rPr>
        <w:t>أنها كلها في النار إلا واحدة</w:t>
      </w:r>
      <w:r w:rsidRPr="005675B2">
        <w:rPr>
          <w:rFonts w:hint="cs"/>
        </w:rPr>
        <w:t xml:space="preserve"> </w:t>
      </w:r>
      <w:r w:rsidRPr="005675B2">
        <w:rPr>
          <w:rFonts w:hint="cs"/>
          <w:rtl/>
        </w:rPr>
        <w:t>"</w:t>
      </w:r>
      <w:r w:rsidR="000636C2">
        <w:rPr>
          <w:rFonts w:hint="cs"/>
          <w:rtl/>
        </w:rPr>
        <w:t>،</w:t>
      </w:r>
      <w:r>
        <w:rPr>
          <w:rFonts w:hint="cs"/>
          <w:rtl/>
        </w:rPr>
        <w:t xml:space="preserve"> </w:t>
      </w:r>
      <w:r w:rsidRPr="005675B2">
        <w:rPr>
          <w:rFonts w:hint="cs"/>
          <w:rtl/>
        </w:rPr>
        <w:t>وما قال صلى الله عليه وسلم</w:t>
      </w:r>
      <w:r w:rsidRPr="005675B2">
        <w:rPr>
          <w:rFonts w:hint="cs"/>
        </w:rPr>
        <w:t xml:space="preserve"> </w:t>
      </w:r>
      <w:r w:rsidRPr="005675B2">
        <w:rPr>
          <w:rFonts w:hint="cs"/>
          <w:rtl/>
        </w:rPr>
        <w:t>ولا أحد من أصحابه ولا تابعيهم إنها اثنتان</w:t>
      </w:r>
      <w:r w:rsidR="000636C2">
        <w:rPr>
          <w:rFonts w:hint="cs"/>
          <w:rtl/>
        </w:rPr>
        <w:t>، [</w:t>
      </w:r>
      <w:r>
        <w:rPr>
          <w:rFonts w:hint="cs"/>
          <w:rtl/>
        </w:rPr>
        <w:t>الجواب</w:t>
      </w:r>
      <w:r w:rsidR="000636C2">
        <w:rPr>
          <w:rFonts w:hint="cs"/>
          <w:rtl/>
        </w:rPr>
        <w:t>]:(</w:t>
      </w:r>
      <w:r>
        <w:rPr>
          <w:rFonts w:hint="cs"/>
          <w:rtl/>
        </w:rPr>
        <w:t>أولا</w:t>
      </w:r>
      <w:r w:rsidR="000636C2">
        <w:rPr>
          <w:rFonts w:hint="cs"/>
          <w:rtl/>
        </w:rPr>
        <w:t>):</w:t>
      </w:r>
      <w:r w:rsidRPr="005675B2">
        <w:rPr>
          <w:rFonts w:hint="cs"/>
          <w:rtl/>
        </w:rPr>
        <w:t>قولكم يا أخي الكريم</w:t>
      </w:r>
      <w:r w:rsidR="000636C2">
        <w:rPr>
          <w:rFonts w:hint="cs"/>
          <w:rtl/>
        </w:rPr>
        <w:t>:(</w:t>
      </w:r>
      <w:r w:rsidRPr="005675B2">
        <w:rPr>
          <w:rFonts w:hint="cs"/>
          <w:rtl/>
        </w:rPr>
        <w:t>و</w:t>
      </w:r>
      <w:r w:rsidR="000636C2">
        <w:rPr>
          <w:rFonts w:hint="cs"/>
          <w:rtl/>
        </w:rPr>
        <w:t>[</w:t>
      </w:r>
      <w:r>
        <w:rPr>
          <w:rFonts w:hint="cs"/>
          <w:rtl/>
        </w:rPr>
        <w:t>الجواب</w:t>
      </w:r>
      <w:r w:rsidR="000636C2">
        <w:rPr>
          <w:rFonts w:hint="cs"/>
          <w:rtl/>
        </w:rPr>
        <w:t xml:space="preserve">]: </w:t>
      </w:r>
      <w:r w:rsidRPr="005675B2">
        <w:rPr>
          <w:rFonts w:hint="cs"/>
          <w:rtl/>
        </w:rPr>
        <w:t>- مع بداهته لكل</w:t>
      </w:r>
      <w:r w:rsidRPr="005675B2">
        <w:rPr>
          <w:rFonts w:hint="cs"/>
        </w:rPr>
        <w:t xml:space="preserve"> </w:t>
      </w:r>
      <w:r w:rsidRPr="005675B2">
        <w:rPr>
          <w:rFonts w:hint="cs"/>
          <w:rtl/>
        </w:rPr>
        <w:t>ذي عقل</w:t>
      </w:r>
      <w:r w:rsidR="000636C2">
        <w:rPr>
          <w:rFonts w:hint="cs"/>
          <w:rtl/>
        </w:rPr>
        <w:t xml:space="preserve"> </w:t>
      </w:r>
      <w:r w:rsidRPr="005675B2">
        <w:rPr>
          <w:rFonts w:hint="cs"/>
          <w:rtl/>
        </w:rPr>
        <w:t>- مفروغ منه نصاً</w:t>
      </w:r>
      <w:r w:rsidR="000636C2">
        <w:rPr>
          <w:rFonts w:hint="cs"/>
          <w:rtl/>
        </w:rPr>
        <w:t>)</w:t>
      </w:r>
      <w:r w:rsidRPr="005675B2">
        <w:rPr>
          <w:rFonts w:hint="cs"/>
          <w:rtl/>
        </w:rPr>
        <w:t>هو قول غير صحيح لأن الحديث ليس بنص في المسألة</w:t>
      </w:r>
      <w:r w:rsidR="000636C2">
        <w:rPr>
          <w:rFonts w:hint="cs"/>
          <w:rtl/>
        </w:rPr>
        <w:t>،</w:t>
      </w:r>
      <w:r w:rsidRPr="005675B2">
        <w:rPr>
          <w:rFonts w:hint="cs"/>
          <w:rtl/>
        </w:rPr>
        <w:t>بل هو محتمل المعنى</w:t>
      </w:r>
      <w:r w:rsidR="000636C2">
        <w:rPr>
          <w:rFonts w:hint="cs"/>
          <w:rtl/>
        </w:rPr>
        <w:t>،</w:t>
      </w:r>
      <w:r w:rsidRPr="005675B2">
        <w:rPr>
          <w:rFonts w:hint="cs"/>
          <w:rtl/>
        </w:rPr>
        <w:t>فقد اختلف العلماء في معنى هذه الأمة التي تفترق على قولين</w:t>
      </w:r>
      <w:r w:rsidR="000636C2">
        <w:rPr>
          <w:rFonts w:hint="cs"/>
          <w:rtl/>
        </w:rPr>
        <w:t>:</w:t>
      </w:r>
      <w:r w:rsidRPr="005675B2">
        <w:rPr>
          <w:rFonts w:hint="cs"/>
          <w:rtl/>
        </w:rPr>
        <w:t xml:space="preserve"> فمنهم من قال إنها أمة الإجابة وهو قول الجمهور</w:t>
      </w:r>
      <w:r w:rsidR="000636C2">
        <w:rPr>
          <w:rFonts w:hint="cs"/>
          <w:rtl/>
        </w:rPr>
        <w:t>،</w:t>
      </w:r>
      <w:r w:rsidRPr="005675B2">
        <w:rPr>
          <w:rFonts w:hint="cs"/>
          <w:rtl/>
        </w:rPr>
        <w:t xml:space="preserve"> ومنهم من قال إنها أمة الدعوة أي جميع من بعث إليهم الرسول صلى الله عليه وسلم،وممن ذكر الخلاف اللجنة الدائمة بفتواها رقم </w:t>
      </w:r>
      <w:r w:rsidR="000636C2">
        <w:rPr>
          <w:rFonts w:hint="cs"/>
          <w:rtl/>
        </w:rPr>
        <w:t>(</w:t>
      </w:r>
      <w:r w:rsidRPr="005675B2">
        <w:rPr>
          <w:rFonts w:hint="cs"/>
          <w:rtl/>
        </w:rPr>
        <w:t>4246</w:t>
      </w:r>
      <w:r w:rsidR="000636C2">
        <w:rPr>
          <w:rFonts w:hint="cs"/>
          <w:rtl/>
        </w:rPr>
        <w:t>)</w:t>
      </w:r>
      <w:r w:rsidRPr="005675B2">
        <w:rPr>
          <w:rFonts w:hint="cs"/>
          <w:rtl/>
        </w:rPr>
        <w:t>فلا تتعجل غفر الله لك</w:t>
      </w:r>
      <w:r w:rsidR="000636C2">
        <w:rPr>
          <w:rFonts w:hint="cs"/>
          <w:rtl/>
        </w:rPr>
        <w:t>، (</w:t>
      </w:r>
      <w:r>
        <w:rPr>
          <w:rFonts w:hint="cs"/>
          <w:rtl/>
        </w:rPr>
        <w:t>ثانيا</w:t>
      </w:r>
      <w:r w:rsidR="000636C2">
        <w:rPr>
          <w:rFonts w:hint="cs"/>
          <w:rtl/>
        </w:rPr>
        <w:t>):</w:t>
      </w:r>
      <w:r w:rsidRPr="005675B2">
        <w:rPr>
          <w:rFonts w:hint="cs"/>
          <w:rtl/>
        </w:rPr>
        <w:t xml:space="preserve"> الخطأ ليس في الحديث ولا في كونها فرقة واحدة</w:t>
      </w:r>
      <w:r w:rsidR="000636C2">
        <w:rPr>
          <w:rFonts w:hint="cs"/>
          <w:rtl/>
        </w:rPr>
        <w:t>،</w:t>
      </w:r>
      <w:r w:rsidRPr="005675B2">
        <w:rPr>
          <w:rFonts w:hint="cs"/>
          <w:rtl/>
        </w:rPr>
        <w:t>ولكن الخطأ هو فهمك للحديث ثم تنزيل</w:t>
      </w:r>
      <w:r>
        <w:rPr>
          <w:rFonts w:hint="cs"/>
          <w:rtl/>
        </w:rPr>
        <w:t xml:space="preserve"> </w:t>
      </w:r>
      <w:r w:rsidRPr="005675B2">
        <w:rPr>
          <w:rFonts w:hint="cs"/>
          <w:rtl/>
        </w:rPr>
        <w:t>ذلك الفهم على الواقع - هداك الله -</w:t>
      </w:r>
      <w:r w:rsidR="000636C2">
        <w:rPr>
          <w:rFonts w:hint="cs"/>
          <w:rtl/>
        </w:rPr>
        <w:t xml:space="preserve">، </w:t>
      </w:r>
      <w:r w:rsidRPr="005675B2">
        <w:rPr>
          <w:rFonts w:hint="cs"/>
          <w:rtl/>
        </w:rPr>
        <w:t>فأما الخطأ في فهم الحديث</w:t>
      </w:r>
      <w:r w:rsidR="000636C2">
        <w:rPr>
          <w:rFonts w:hint="cs"/>
          <w:rtl/>
        </w:rPr>
        <w:t>:</w:t>
      </w:r>
      <w:r w:rsidRPr="005675B2">
        <w:rPr>
          <w:rFonts w:hint="cs"/>
          <w:rtl/>
        </w:rPr>
        <w:t>فهو أنك ظننت أن الاختلاف في المنهج أي في الأسلوب المقرر للعقيدة وكذا</w:t>
      </w:r>
      <w:r w:rsidR="000636C2">
        <w:rPr>
          <w:rFonts w:hint="cs"/>
          <w:rtl/>
        </w:rPr>
        <w:t xml:space="preserve"> </w:t>
      </w:r>
      <w:r w:rsidRPr="005675B2">
        <w:rPr>
          <w:rFonts w:hint="cs"/>
          <w:rtl/>
        </w:rPr>
        <w:t>الخلاف في ظنيات المسائل العقدية هو علامة تميز الفرقة الناجية من غيرها</w:t>
      </w:r>
      <w:r w:rsidR="000636C2">
        <w:rPr>
          <w:rFonts w:hint="cs"/>
          <w:rtl/>
        </w:rPr>
        <w:t>،</w:t>
      </w:r>
      <w:r w:rsidRPr="005675B2">
        <w:rPr>
          <w:rFonts w:hint="cs"/>
          <w:rtl/>
        </w:rPr>
        <w:t xml:space="preserve"> والصواب أن المقصود</w:t>
      </w:r>
      <w:r w:rsidR="000636C2">
        <w:rPr>
          <w:rFonts w:hint="cs"/>
          <w:rtl/>
        </w:rPr>
        <w:t xml:space="preserve"> </w:t>
      </w:r>
      <w:r w:rsidRPr="005675B2">
        <w:rPr>
          <w:rFonts w:hint="cs"/>
          <w:rtl/>
        </w:rPr>
        <w:t>اختلاف في الأمور الاعتقادية القطعية نفسها، لا الظنيات ولا في أسلوب التقرير مادام أن النتائج في القطعيات لا تختلف</w:t>
      </w:r>
      <w:r w:rsidR="000636C2">
        <w:rPr>
          <w:rFonts w:hint="cs"/>
          <w:rtl/>
        </w:rPr>
        <w:t>،</w:t>
      </w:r>
      <w:r w:rsidRPr="005675B2">
        <w:rPr>
          <w:rFonts w:hint="cs"/>
          <w:rtl/>
        </w:rPr>
        <w:t xml:space="preserve"> وإلا للزم تضليل الصحابة لبعضهم في مسألة عقدية كمسألة رؤية الرسول لربه في ليلة الإسراء والمعراج</w:t>
      </w:r>
      <w:r w:rsidR="000636C2">
        <w:rPr>
          <w:rFonts w:hint="cs"/>
          <w:rtl/>
        </w:rPr>
        <w:t>،</w:t>
      </w:r>
      <w:r w:rsidRPr="005675B2">
        <w:rPr>
          <w:rFonts w:hint="cs"/>
          <w:rtl/>
        </w:rPr>
        <w:t xml:space="preserve"> فبينهم خلاف في هذه المسألة العقدية لم يُبنى عليه تضليل</w:t>
      </w:r>
      <w:r w:rsidR="000636C2">
        <w:rPr>
          <w:rFonts w:hint="cs"/>
          <w:rtl/>
        </w:rPr>
        <w:t>،</w:t>
      </w:r>
      <w:r w:rsidRPr="005675B2">
        <w:rPr>
          <w:rFonts w:hint="cs"/>
          <w:rtl/>
        </w:rPr>
        <w:t>لأنه ظني</w:t>
      </w:r>
      <w:r w:rsidR="000636C2">
        <w:rPr>
          <w:rFonts w:hint="cs"/>
          <w:rtl/>
        </w:rPr>
        <w:t>،</w:t>
      </w:r>
      <w:r>
        <w:rPr>
          <w:rFonts w:hint="cs"/>
          <w:rtl/>
        </w:rPr>
        <w:t xml:space="preserve"> </w:t>
      </w:r>
      <w:r w:rsidRPr="005675B2">
        <w:rPr>
          <w:rFonts w:hint="cs"/>
          <w:rtl/>
        </w:rPr>
        <w:t>والاعتقاد</w:t>
      </w:r>
      <w:r w:rsidR="000636C2">
        <w:rPr>
          <w:rFonts w:hint="cs"/>
          <w:rtl/>
        </w:rPr>
        <w:t>:</w:t>
      </w:r>
      <w:r w:rsidRPr="005675B2">
        <w:rPr>
          <w:rFonts w:hint="cs"/>
          <w:rtl/>
        </w:rPr>
        <w:t xml:space="preserve"> هو الحكم الجازم المطابق للواقع</w:t>
      </w:r>
      <w:r w:rsidR="000636C2">
        <w:rPr>
          <w:rFonts w:hint="cs"/>
          <w:rtl/>
        </w:rPr>
        <w:t>،</w:t>
      </w:r>
      <w:r>
        <w:rPr>
          <w:rFonts w:hint="cs"/>
          <w:rtl/>
        </w:rPr>
        <w:t xml:space="preserve"> </w:t>
      </w:r>
      <w:r w:rsidRPr="005675B2">
        <w:rPr>
          <w:rFonts w:hint="cs"/>
          <w:rtl/>
        </w:rPr>
        <w:t>وسبق أن علمنا أن</w:t>
      </w:r>
      <w:r w:rsidR="000636C2">
        <w:rPr>
          <w:rFonts w:hint="cs"/>
          <w:rtl/>
        </w:rPr>
        <w:t xml:space="preserve"> </w:t>
      </w:r>
      <w:r w:rsidRPr="005675B2">
        <w:rPr>
          <w:rFonts w:hint="cs"/>
          <w:rtl/>
        </w:rPr>
        <w:t>الجزم لا يكون إلا بدليل قطعي، وسبق أن بينت ما معنى القطعي والظني</w:t>
      </w:r>
      <w:r w:rsidR="000636C2">
        <w:rPr>
          <w:rFonts w:hint="cs"/>
          <w:rtl/>
        </w:rPr>
        <w:t>،</w:t>
      </w:r>
      <w:r w:rsidRPr="005675B2">
        <w:rPr>
          <w:rFonts w:hint="cs"/>
          <w:rtl/>
        </w:rPr>
        <w:t>وأنواع الظني</w:t>
      </w:r>
      <w:r w:rsidR="000636C2">
        <w:rPr>
          <w:rFonts w:hint="cs"/>
          <w:rtl/>
        </w:rPr>
        <w:t>،</w:t>
      </w:r>
      <w:r>
        <w:rPr>
          <w:rFonts w:hint="cs"/>
          <w:rtl/>
        </w:rPr>
        <w:t xml:space="preserve"> </w:t>
      </w:r>
      <w:r w:rsidRPr="005675B2">
        <w:rPr>
          <w:rFonts w:hint="cs"/>
          <w:rtl/>
        </w:rPr>
        <w:t>الخطأ الثاني</w:t>
      </w:r>
      <w:r w:rsidR="000636C2">
        <w:rPr>
          <w:rFonts w:hint="cs"/>
          <w:rtl/>
        </w:rPr>
        <w:t>:</w:t>
      </w:r>
      <w:r w:rsidRPr="005675B2">
        <w:rPr>
          <w:rFonts w:hint="cs"/>
          <w:rtl/>
        </w:rPr>
        <w:t xml:space="preserve"> هو إنزال حكم على الواقع حسب تصورك المسبق</w:t>
      </w:r>
      <w:r w:rsidR="000636C2">
        <w:rPr>
          <w:rFonts w:hint="cs"/>
          <w:rtl/>
        </w:rPr>
        <w:t>،</w:t>
      </w:r>
      <w:r w:rsidRPr="005675B2">
        <w:rPr>
          <w:rFonts w:hint="cs"/>
          <w:rtl/>
        </w:rPr>
        <w:t xml:space="preserve"> فإذا علمنا أن المقدمة الأولى</w:t>
      </w:r>
      <w:r w:rsidR="000636C2">
        <w:rPr>
          <w:rFonts w:hint="cs"/>
          <w:rtl/>
        </w:rPr>
        <w:t>،</w:t>
      </w:r>
      <w:r>
        <w:rPr>
          <w:rFonts w:hint="cs"/>
          <w:rtl/>
        </w:rPr>
        <w:t xml:space="preserve"> </w:t>
      </w:r>
      <w:r w:rsidRPr="005675B2">
        <w:rPr>
          <w:rFonts w:hint="cs"/>
          <w:rtl/>
        </w:rPr>
        <w:t>وهي تصورك للمسألة تصور خاطىء وظنك أنه في طريقة التقرير</w:t>
      </w:r>
      <w:r w:rsidR="000636C2">
        <w:rPr>
          <w:rFonts w:hint="cs"/>
          <w:rtl/>
        </w:rPr>
        <w:t>،</w:t>
      </w:r>
      <w:r w:rsidRPr="005675B2">
        <w:rPr>
          <w:rFonts w:hint="cs"/>
          <w:rtl/>
        </w:rPr>
        <w:t xml:space="preserve"> ولم تفرق بين المسائل الظنية والقطعية فقد بني عليه حكم خاطىء</w:t>
      </w:r>
      <w:r w:rsidR="000636C2">
        <w:rPr>
          <w:rFonts w:hint="cs"/>
          <w:rtl/>
        </w:rPr>
        <w:t>،</w:t>
      </w:r>
      <w:r w:rsidRPr="005675B2">
        <w:rPr>
          <w:rFonts w:hint="cs"/>
          <w:rtl/>
        </w:rPr>
        <w:t xml:space="preserve"> والقاعدة تقول </w:t>
      </w:r>
      <w:r w:rsidR="000636C2">
        <w:rPr>
          <w:rFonts w:hint="cs"/>
          <w:rtl/>
        </w:rPr>
        <w:t>(</w:t>
      </w:r>
      <w:r w:rsidRPr="005675B2">
        <w:rPr>
          <w:rFonts w:hint="cs"/>
          <w:rtl/>
        </w:rPr>
        <w:t>فساد التصور يسبب فساد الحكم</w:t>
      </w:r>
      <w:r w:rsidR="000636C2">
        <w:rPr>
          <w:rFonts w:hint="cs"/>
          <w:rtl/>
        </w:rPr>
        <w:t>)،</w:t>
      </w:r>
    </w:p>
    <w:p w14:paraId="0CEABF97" w14:textId="4F5CE682" w:rsidR="009C32A0" w:rsidRPr="005675B2" w:rsidRDefault="009C32A0" w:rsidP="000636C2">
      <w:r w:rsidRPr="005675B2">
        <w:rPr>
          <w:rFonts w:hint="cs"/>
          <w:rtl/>
        </w:rPr>
        <w:t>وقول الكاتب</w:t>
      </w:r>
      <w:r w:rsidR="000636C2">
        <w:rPr>
          <w:rFonts w:hint="cs"/>
          <w:rtl/>
        </w:rPr>
        <w:t>:</w:t>
      </w:r>
      <w:r w:rsidRPr="005675B2">
        <w:rPr>
          <w:rFonts w:hint="cs"/>
          <w:rtl/>
        </w:rPr>
        <w:t xml:space="preserve"> </w:t>
      </w:r>
      <w:r w:rsidR="000636C2">
        <w:rPr>
          <w:rFonts w:hint="cs"/>
          <w:rtl/>
        </w:rPr>
        <w:t>(</w:t>
      </w:r>
      <w:r w:rsidRPr="005675B2">
        <w:rPr>
          <w:rFonts w:hint="cs"/>
          <w:rtl/>
        </w:rPr>
        <w:t>أن أهل</w:t>
      </w:r>
      <w:r w:rsidRPr="005675B2">
        <w:rPr>
          <w:rFonts w:hint="cs"/>
        </w:rPr>
        <w:t xml:space="preserve"> </w:t>
      </w:r>
      <w:r w:rsidRPr="005675B2">
        <w:rPr>
          <w:rFonts w:hint="cs"/>
          <w:rtl/>
        </w:rPr>
        <w:t>السنة والجماعة والأشاعرة فرقتان مختلفتان</w:t>
      </w:r>
      <w:r w:rsidR="000636C2">
        <w:rPr>
          <w:rFonts w:hint="cs"/>
          <w:rtl/>
        </w:rPr>
        <w:t>):</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أنها فرقة واحدة هي </w:t>
      </w:r>
      <w:r w:rsidR="000636C2">
        <w:rPr>
          <w:rFonts w:hint="cs"/>
          <w:rtl/>
        </w:rPr>
        <w:t>(</w:t>
      </w:r>
      <w:r w:rsidRPr="005675B2">
        <w:rPr>
          <w:rFonts w:hint="cs"/>
          <w:rtl/>
        </w:rPr>
        <w:t>أهل السنة والجماعة</w:t>
      </w:r>
      <w:r w:rsidR="000636C2">
        <w:rPr>
          <w:rFonts w:hint="cs"/>
          <w:rtl/>
        </w:rPr>
        <w:t>)</w:t>
      </w:r>
      <w:r w:rsidRPr="005675B2">
        <w:rPr>
          <w:rFonts w:hint="cs"/>
          <w:rtl/>
        </w:rPr>
        <w:t>وإنما الحنابلة</w:t>
      </w:r>
      <w:r w:rsidR="000636C2">
        <w:rPr>
          <w:rFonts w:hint="cs"/>
          <w:rtl/>
        </w:rPr>
        <w:t>،</w:t>
      </w:r>
      <w:r w:rsidRPr="005675B2">
        <w:rPr>
          <w:rFonts w:hint="cs"/>
          <w:rtl/>
        </w:rPr>
        <w:t>والأشاعرة</w:t>
      </w:r>
      <w:r w:rsidR="000636C2">
        <w:rPr>
          <w:rFonts w:hint="cs"/>
          <w:rtl/>
        </w:rPr>
        <w:t>،</w:t>
      </w:r>
      <w:r w:rsidRPr="005675B2">
        <w:rPr>
          <w:rFonts w:hint="cs"/>
          <w:rtl/>
        </w:rPr>
        <w:t>والماتريدية هي مسميات فقط</w:t>
      </w:r>
      <w:r w:rsidR="000636C2">
        <w:rPr>
          <w:rFonts w:hint="cs"/>
          <w:rtl/>
        </w:rPr>
        <w:t>،</w:t>
      </w:r>
      <w:r w:rsidRPr="005675B2">
        <w:rPr>
          <w:rFonts w:hint="cs"/>
          <w:rtl/>
        </w:rPr>
        <w:t xml:space="preserve"> سواء أسميناها جماعات، أو مذاهب</w:t>
      </w:r>
      <w:r w:rsidR="000636C2">
        <w:rPr>
          <w:rFonts w:hint="cs"/>
          <w:rtl/>
        </w:rPr>
        <w:t>،</w:t>
      </w:r>
      <w:r w:rsidRPr="005675B2">
        <w:rPr>
          <w:rFonts w:hint="cs"/>
          <w:rtl/>
        </w:rPr>
        <w:t>أو مسالك</w:t>
      </w:r>
      <w:r w:rsidR="000636C2">
        <w:rPr>
          <w:rFonts w:hint="cs"/>
          <w:rtl/>
        </w:rPr>
        <w:t>،</w:t>
      </w:r>
      <w:r w:rsidRPr="005675B2">
        <w:rPr>
          <w:rFonts w:hint="cs"/>
          <w:rtl/>
        </w:rPr>
        <w:t>ولكن كلها داخلة في</w:t>
      </w:r>
      <w:r w:rsidR="000636C2">
        <w:rPr>
          <w:rFonts w:hint="cs"/>
          <w:rtl/>
        </w:rPr>
        <w:t xml:space="preserve"> </w:t>
      </w:r>
      <w:r w:rsidRPr="005675B2">
        <w:rPr>
          <w:rFonts w:hint="cs"/>
          <w:rtl/>
        </w:rPr>
        <w:t>كونها</w:t>
      </w:r>
      <w:r w:rsidR="000636C2">
        <w:rPr>
          <w:rFonts w:hint="cs"/>
          <w:rtl/>
        </w:rPr>
        <w:t xml:space="preserve"> </w:t>
      </w:r>
      <w:r w:rsidRPr="005675B2">
        <w:rPr>
          <w:rFonts w:hint="cs"/>
          <w:rtl/>
        </w:rPr>
        <w:t>فرقة أهل السنة والجماعة، الفرقة الناجية</w:t>
      </w:r>
      <w:r w:rsidR="000636C2">
        <w:rPr>
          <w:rFonts w:hint="cs"/>
          <w:rtl/>
        </w:rPr>
        <w:t>،</w:t>
      </w:r>
      <w:r w:rsidRPr="005675B2">
        <w:rPr>
          <w:rFonts w:hint="cs"/>
          <w:rtl/>
        </w:rPr>
        <w:t xml:space="preserve"> وهذه الثلاث قد تختلف فيما بينها في أمور لاتوجب</w:t>
      </w:r>
      <w:r w:rsidR="000636C2">
        <w:rPr>
          <w:rFonts w:hint="cs"/>
          <w:rtl/>
        </w:rPr>
        <w:t xml:space="preserve"> </w:t>
      </w:r>
      <w:r w:rsidRPr="005675B2">
        <w:rPr>
          <w:rFonts w:hint="cs"/>
          <w:rtl/>
        </w:rPr>
        <w:t>التضليل</w:t>
      </w:r>
      <w:r w:rsidR="000636C2">
        <w:rPr>
          <w:rFonts w:hint="cs"/>
          <w:rtl/>
        </w:rPr>
        <w:t>،</w:t>
      </w:r>
      <w:r>
        <w:rPr>
          <w:rFonts w:hint="cs"/>
          <w:rtl/>
        </w:rPr>
        <w:t xml:space="preserve"> </w:t>
      </w:r>
      <w:r w:rsidRPr="005675B2">
        <w:rPr>
          <w:rFonts w:hint="cs"/>
          <w:rtl/>
        </w:rPr>
        <w:t>قال الكاتب</w:t>
      </w:r>
      <w:r w:rsidR="000636C2">
        <w:rPr>
          <w:rFonts w:hint="cs"/>
          <w:rtl/>
        </w:rPr>
        <w:t>:</w:t>
      </w:r>
      <w:r w:rsidRPr="005675B2">
        <w:rPr>
          <w:rFonts w:hint="cs"/>
          <w:rtl/>
        </w:rPr>
        <w:t xml:space="preserve"> </w:t>
      </w:r>
      <w:r w:rsidR="000636C2">
        <w:rPr>
          <w:rFonts w:hint="cs"/>
          <w:rtl/>
        </w:rPr>
        <w:t>(</w:t>
      </w:r>
      <w:r w:rsidRPr="005675B2">
        <w:rPr>
          <w:rFonts w:hint="cs"/>
          <w:rtl/>
        </w:rPr>
        <w:t>وما قال صلى الله عليه وسلم</w:t>
      </w:r>
      <w:r w:rsidRPr="005675B2">
        <w:rPr>
          <w:rFonts w:hint="cs"/>
        </w:rPr>
        <w:t xml:space="preserve"> </w:t>
      </w:r>
      <w:r w:rsidRPr="005675B2">
        <w:rPr>
          <w:rFonts w:hint="cs"/>
          <w:rtl/>
        </w:rPr>
        <w:t>ولا أحد من أصحابه ولا تابعيهم إنها اثنتان</w:t>
      </w:r>
      <w:r w:rsidR="000636C2">
        <w:rPr>
          <w:rFonts w:hint="cs"/>
          <w:rtl/>
        </w:rPr>
        <w:t>)،</w:t>
      </w:r>
      <w:r>
        <w:rPr>
          <w:rFonts w:hint="cs"/>
          <w:rtl/>
        </w:rPr>
        <w:t xml:space="preserve"> </w:t>
      </w:r>
      <w:r w:rsidRPr="005675B2">
        <w:rPr>
          <w:rFonts w:hint="cs"/>
          <w:rtl/>
        </w:rPr>
        <w:t>إذا كانت الفرق ثلاثا وسبعين فرقة فقط</w:t>
      </w:r>
      <w:r w:rsidR="000636C2">
        <w:rPr>
          <w:rFonts w:hint="cs"/>
          <w:rtl/>
        </w:rPr>
        <w:t>،</w:t>
      </w:r>
      <w:r w:rsidRPr="005675B2">
        <w:rPr>
          <w:rFonts w:hint="cs"/>
          <w:rtl/>
        </w:rPr>
        <w:t xml:space="preserve"> ورجعنا إلى تعداد الفرق وجدنا أنها أكثر من ذلك بكثير وهذا يقود إلى أحد أمرين</w:t>
      </w:r>
      <w:r w:rsidR="000636C2">
        <w:rPr>
          <w:rFonts w:hint="cs"/>
          <w:rtl/>
        </w:rPr>
        <w:t>:</w:t>
      </w:r>
      <w:r w:rsidRPr="005675B2">
        <w:rPr>
          <w:rFonts w:hint="cs"/>
          <w:rtl/>
        </w:rPr>
        <w:t xml:space="preserve"> إما الطعن في ثبوت الحديث وهذا ما ذهب إليه بعضهم</w:t>
      </w:r>
      <w:r w:rsidR="000636C2">
        <w:rPr>
          <w:rFonts w:hint="cs"/>
          <w:rtl/>
        </w:rPr>
        <w:t>،</w:t>
      </w:r>
      <w:r>
        <w:rPr>
          <w:rFonts w:hint="cs"/>
          <w:rtl/>
        </w:rPr>
        <w:t xml:space="preserve"> </w:t>
      </w:r>
      <w:r w:rsidRPr="005675B2">
        <w:rPr>
          <w:rFonts w:hint="cs"/>
          <w:rtl/>
        </w:rPr>
        <w:t>أو أن لذلك توجيه علمي صحيح</w:t>
      </w:r>
      <w:r w:rsidR="000636C2">
        <w:rPr>
          <w:rFonts w:hint="cs"/>
          <w:rtl/>
        </w:rPr>
        <w:t>:</w:t>
      </w:r>
      <w:r w:rsidRPr="005675B2">
        <w:rPr>
          <w:rFonts w:hint="cs"/>
          <w:rtl/>
        </w:rPr>
        <w:t xml:space="preserve"> و التوجيه هو الصواب</w:t>
      </w:r>
      <w:r w:rsidR="000636C2">
        <w:rPr>
          <w:rFonts w:hint="cs"/>
          <w:rtl/>
        </w:rPr>
        <w:t>،</w:t>
      </w:r>
      <w:r w:rsidRPr="005675B2">
        <w:rPr>
          <w:rFonts w:hint="cs"/>
          <w:rtl/>
        </w:rPr>
        <w:t xml:space="preserve"> وتوجيه ذلك أن العبرة بالأصول القطعية في العقيدة</w:t>
      </w:r>
      <w:r w:rsidR="000636C2">
        <w:rPr>
          <w:rFonts w:hint="cs"/>
          <w:rtl/>
        </w:rPr>
        <w:t>،</w:t>
      </w:r>
      <w:r w:rsidRPr="005675B2">
        <w:rPr>
          <w:rFonts w:hint="cs"/>
          <w:rtl/>
        </w:rPr>
        <w:t>وليست العبرة بالمسائل الظنية كمسألة التأويل السائغ والتفويض، وكمسألة اختلاف الصحابة في كون الرسول صلى الله عليه وسلم رأى ربه بالعين الباصرة، وكالاختلاف في بعض الصفات المتشابهة هل هي صفة ذات أم صفة فعل</w:t>
      </w:r>
      <w:r w:rsidR="000636C2">
        <w:rPr>
          <w:rFonts w:hint="cs"/>
          <w:rtl/>
        </w:rPr>
        <w:t>؟</w:t>
      </w:r>
      <w:r>
        <w:rPr>
          <w:rFonts w:hint="cs"/>
          <w:rtl/>
        </w:rPr>
        <w:t xml:space="preserve"> </w:t>
      </w:r>
      <w:r w:rsidRPr="005675B2">
        <w:rPr>
          <w:rFonts w:hint="cs"/>
          <w:rtl/>
        </w:rPr>
        <w:t>وكالاختلاف في صفة التكوين ونحوذلك</w:t>
      </w:r>
      <w:r w:rsidR="000636C2">
        <w:rPr>
          <w:rFonts w:hint="cs"/>
          <w:rtl/>
        </w:rPr>
        <w:t>،</w:t>
      </w:r>
      <w:r>
        <w:rPr>
          <w:rFonts w:hint="cs"/>
          <w:rtl/>
        </w:rPr>
        <w:t xml:space="preserve"> </w:t>
      </w:r>
      <w:r w:rsidRPr="005675B2">
        <w:rPr>
          <w:rFonts w:hint="cs"/>
          <w:rtl/>
        </w:rPr>
        <w:t>وأزيد ذلك بياناً وإيضاحاً</w:t>
      </w:r>
      <w:r w:rsidR="000636C2">
        <w:rPr>
          <w:rFonts w:hint="cs"/>
          <w:rtl/>
        </w:rPr>
        <w:t xml:space="preserve"> </w:t>
      </w:r>
      <w:r w:rsidRPr="005675B2">
        <w:rPr>
          <w:rFonts w:hint="cs"/>
          <w:rtl/>
        </w:rPr>
        <w:t>فأقول</w:t>
      </w:r>
      <w:r w:rsidR="000636C2">
        <w:rPr>
          <w:rFonts w:hint="cs"/>
          <w:rtl/>
        </w:rPr>
        <w:t>:</w:t>
      </w:r>
      <w:r w:rsidRPr="005675B2">
        <w:rPr>
          <w:rFonts w:hint="cs"/>
          <w:rtl/>
        </w:rPr>
        <w:t xml:space="preserve"> الكرامية مثلاً فرقة واحدة واختلافها على مسميات وهي ستة العابدية والتونية والزرينية ..</w:t>
      </w:r>
      <w:r w:rsidR="000636C2">
        <w:rPr>
          <w:rFonts w:hint="cs"/>
          <w:rtl/>
        </w:rPr>
        <w:t>،</w:t>
      </w:r>
      <w:r w:rsidRPr="005675B2">
        <w:rPr>
          <w:rFonts w:hint="cs"/>
          <w:rtl/>
        </w:rPr>
        <w:t xml:space="preserve"> إلخ</w:t>
      </w:r>
      <w:r w:rsidR="000636C2">
        <w:rPr>
          <w:rFonts w:hint="cs"/>
          <w:rtl/>
        </w:rPr>
        <w:t>،</w:t>
      </w:r>
      <w:r w:rsidRPr="005675B2">
        <w:rPr>
          <w:rFonts w:hint="cs"/>
          <w:rtl/>
        </w:rPr>
        <w:t xml:space="preserve"> لا يعني أنها فرق شتى</w:t>
      </w:r>
      <w:r w:rsidR="000636C2">
        <w:rPr>
          <w:rFonts w:hint="cs"/>
          <w:rtl/>
        </w:rPr>
        <w:t>،</w:t>
      </w:r>
      <w:r w:rsidRPr="005675B2">
        <w:rPr>
          <w:rFonts w:hint="cs"/>
          <w:rtl/>
        </w:rPr>
        <w:t>وإلا</w:t>
      </w:r>
      <w:r w:rsidR="000636C2">
        <w:rPr>
          <w:rFonts w:hint="cs"/>
          <w:rtl/>
        </w:rPr>
        <w:t xml:space="preserve"> </w:t>
      </w:r>
      <w:r w:rsidRPr="005675B2">
        <w:rPr>
          <w:rFonts w:hint="cs"/>
          <w:rtl/>
        </w:rPr>
        <w:t>لأصبحت الآف الفرق وليست بثلاث وسبعين</w:t>
      </w:r>
      <w:r w:rsidR="000636C2">
        <w:rPr>
          <w:rFonts w:hint="cs"/>
          <w:rtl/>
        </w:rPr>
        <w:t>،</w:t>
      </w:r>
      <w:r w:rsidRPr="005675B2">
        <w:rPr>
          <w:rFonts w:hint="cs"/>
          <w:rtl/>
        </w:rPr>
        <w:t>وإنما العبرة بالأصول والقطعيات</w:t>
      </w:r>
      <w:r w:rsidR="000636C2">
        <w:rPr>
          <w:rFonts w:hint="cs"/>
          <w:rtl/>
        </w:rPr>
        <w:t>،</w:t>
      </w:r>
      <w:r w:rsidRPr="005675B2">
        <w:rPr>
          <w:rFonts w:hint="cs"/>
          <w:rtl/>
        </w:rPr>
        <w:t>و حينما أقول القطعيات أعني بها حسب الاصطلاح العلمي وقد سبق بيانه،وقل هذا في الخوارج</w:t>
      </w:r>
      <w:r w:rsidR="000636C2">
        <w:rPr>
          <w:rFonts w:hint="cs"/>
          <w:rtl/>
        </w:rPr>
        <w:t xml:space="preserve"> </w:t>
      </w:r>
      <w:r w:rsidRPr="005675B2">
        <w:rPr>
          <w:rFonts w:hint="cs"/>
          <w:rtl/>
        </w:rPr>
        <w:t>على كثرة تعدادها</w:t>
      </w:r>
      <w:r w:rsidR="000636C2">
        <w:rPr>
          <w:rFonts w:hint="cs"/>
          <w:rtl/>
        </w:rPr>
        <w:t>،</w:t>
      </w:r>
      <w:r w:rsidRPr="005675B2">
        <w:rPr>
          <w:rFonts w:hint="cs"/>
          <w:rtl/>
        </w:rPr>
        <w:t>والمعتزلة بطوائفها وغيرهامن الفرق</w:t>
      </w:r>
      <w:r w:rsidR="000636C2">
        <w:rPr>
          <w:rFonts w:hint="cs"/>
          <w:rtl/>
        </w:rPr>
        <w:t xml:space="preserve">، </w:t>
      </w:r>
      <w:r w:rsidRPr="005675B2">
        <w:rPr>
          <w:rFonts w:hint="cs"/>
          <w:rtl/>
        </w:rPr>
        <w:t>ولذا</w:t>
      </w:r>
      <w:r w:rsidR="000636C2">
        <w:rPr>
          <w:rFonts w:hint="cs"/>
          <w:rtl/>
        </w:rPr>
        <w:t xml:space="preserve"> </w:t>
      </w:r>
      <w:r w:rsidRPr="005675B2">
        <w:rPr>
          <w:rFonts w:hint="cs"/>
          <w:rtl/>
        </w:rPr>
        <w:t>فإن أهل السنة والجماعة على</w:t>
      </w:r>
      <w:r w:rsidR="000636C2">
        <w:rPr>
          <w:rFonts w:hint="cs"/>
          <w:rtl/>
        </w:rPr>
        <w:t xml:space="preserve"> </w:t>
      </w:r>
      <w:r w:rsidRPr="005675B2">
        <w:rPr>
          <w:rFonts w:hint="cs"/>
          <w:rtl/>
        </w:rPr>
        <w:t>ثلاثة مسالك</w:t>
      </w:r>
      <w:r w:rsidR="000636C2">
        <w:rPr>
          <w:rFonts w:hint="cs"/>
          <w:rtl/>
        </w:rPr>
        <w:t>:</w:t>
      </w:r>
      <w:r w:rsidRPr="005675B2">
        <w:rPr>
          <w:rFonts w:hint="cs"/>
          <w:rtl/>
        </w:rPr>
        <w:t xml:space="preserve"> الحنابلة </w:t>
      </w:r>
      <w:r w:rsidR="000636C2">
        <w:rPr>
          <w:rFonts w:hint="cs"/>
          <w:rtl/>
        </w:rPr>
        <w:t>(</w:t>
      </w:r>
      <w:r w:rsidRPr="005675B2">
        <w:rPr>
          <w:rFonts w:hint="cs"/>
          <w:rtl/>
        </w:rPr>
        <w:t>والبعض يسميهم أصحاب الحديث أو الأثرية ولا مشاحة في الاصطلاح</w:t>
      </w:r>
      <w:r w:rsidR="000636C2">
        <w:rPr>
          <w:rFonts w:hint="cs"/>
          <w:rtl/>
        </w:rPr>
        <w:t>)</w:t>
      </w:r>
      <w:r w:rsidRPr="005675B2">
        <w:rPr>
          <w:rFonts w:hint="cs"/>
          <w:rtl/>
        </w:rPr>
        <w:t>والأشاعرة والماتريدية</w:t>
      </w:r>
      <w:r w:rsidR="000636C2">
        <w:rPr>
          <w:rFonts w:hint="cs"/>
          <w:rtl/>
        </w:rPr>
        <w:t>،</w:t>
      </w:r>
      <w:r w:rsidRPr="005675B2">
        <w:rPr>
          <w:rFonts w:hint="cs"/>
          <w:rtl/>
        </w:rPr>
        <w:t>لأن خلاف أهل السنة هو في مسائل ظنية</w:t>
      </w:r>
      <w:r w:rsidR="000636C2">
        <w:rPr>
          <w:rFonts w:hint="cs"/>
          <w:rtl/>
        </w:rPr>
        <w:t xml:space="preserve">، </w:t>
      </w:r>
      <w:r w:rsidRPr="005675B2">
        <w:rPr>
          <w:rFonts w:hint="cs"/>
          <w:rtl/>
        </w:rPr>
        <w:t>وأما خلافات</w:t>
      </w:r>
      <w:r w:rsidR="000636C2">
        <w:rPr>
          <w:rFonts w:hint="cs"/>
          <w:rtl/>
        </w:rPr>
        <w:t xml:space="preserve"> </w:t>
      </w:r>
      <w:r w:rsidRPr="005675B2">
        <w:rPr>
          <w:rFonts w:hint="cs"/>
          <w:rtl/>
        </w:rPr>
        <w:t>أهل السنة والجماعة بينهم فلا ضير</w:t>
      </w:r>
      <w:r w:rsidR="000636C2">
        <w:rPr>
          <w:rFonts w:hint="cs"/>
          <w:rtl/>
        </w:rPr>
        <w:t>،</w:t>
      </w:r>
      <w:r w:rsidRPr="005675B2">
        <w:rPr>
          <w:rFonts w:hint="cs"/>
          <w:rtl/>
        </w:rPr>
        <w:t xml:space="preserve"> فإن الخلافات تجري بين العلماء في الظنيات</w:t>
      </w:r>
      <w:r w:rsidR="000636C2">
        <w:rPr>
          <w:rFonts w:hint="cs"/>
          <w:rtl/>
        </w:rPr>
        <w:t>،</w:t>
      </w:r>
      <w:r w:rsidRPr="005675B2">
        <w:rPr>
          <w:rFonts w:hint="cs"/>
          <w:rtl/>
        </w:rPr>
        <w:t xml:space="preserve"> </w:t>
      </w:r>
      <w:r w:rsidRPr="005675B2">
        <w:rPr>
          <w:rFonts w:hint="cs"/>
          <w:u w:val="single"/>
          <w:rtl/>
        </w:rPr>
        <w:t>ولكن لم يخرج أحد منهم أخاه من أهل السنة والجماعة</w:t>
      </w:r>
      <w:r w:rsidR="000636C2">
        <w:rPr>
          <w:rFonts w:hint="cs"/>
          <w:rtl/>
        </w:rPr>
        <w:t>،</w:t>
      </w:r>
      <w:r w:rsidRPr="005675B2">
        <w:rPr>
          <w:rFonts w:hint="cs"/>
          <w:rtl/>
        </w:rPr>
        <w:t>فلم أجد أحداً يقول إن</w:t>
      </w:r>
      <w:r w:rsidR="000636C2">
        <w:rPr>
          <w:rFonts w:hint="cs"/>
          <w:rtl/>
        </w:rPr>
        <w:t xml:space="preserve"> </w:t>
      </w:r>
      <w:r w:rsidRPr="005675B2">
        <w:rPr>
          <w:rFonts w:hint="cs"/>
          <w:rtl/>
        </w:rPr>
        <w:t>الأشاعرة ليسوا من أهل السنة والجماعة</w:t>
      </w:r>
      <w:r w:rsidR="000636C2">
        <w:rPr>
          <w:rFonts w:hint="cs"/>
          <w:rtl/>
        </w:rPr>
        <w:t>،</w:t>
      </w:r>
      <w:r w:rsidRPr="005675B2">
        <w:rPr>
          <w:rFonts w:hint="cs"/>
          <w:rtl/>
        </w:rPr>
        <w:t xml:space="preserve"> ولم أجد من يقول</w:t>
      </w:r>
      <w:r w:rsidR="000636C2">
        <w:rPr>
          <w:rFonts w:hint="cs"/>
          <w:rtl/>
        </w:rPr>
        <w:t>؟</w:t>
      </w:r>
      <w:r w:rsidRPr="005675B2">
        <w:rPr>
          <w:rFonts w:hint="cs"/>
          <w:rtl/>
        </w:rPr>
        <w:t>إن الماتريدية ليسوا من أهل السنة</w:t>
      </w:r>
      <w:r w:rsidR="000636C2">
        <w:rPr>
          <w:rFonts w:hint="cs"/>
          <w:rtl/>
        </w:rPr>
        <w:t>،</w:t>
      </w:r>
      <w:r w:rsidRPr="005675B2">
        <w:rPr>
          <w:rFonts w:hint="cs"/>
          <w:rtl/>
        </w:rPr>
        <w:t xml:space="preserve"> ولم أجد من يقول إن مفوضة الحنابلة ليسوا من أهل السنة والجماعة، </w:t>
      </w:r>
      <w:r w:rsidRPr="005675B2">
        <w:rPr>
          <w:rFonts w:hint="cs"/>
          <w:u w:val="single"/>
          <w:rtl/>
        </w:rPr>
        <w:t>إلا رجل متعصب شذ عن القاعدة فالشاذ لا حكم له</w:t>
      </w:r>
      <w:r w:rsidRPr="005675B2">
        <w:rPr>
          <w:rFonts w:hint="cs"/>
          <w:rtl/>
        </w:rPr>
        <w:t>،فأما ردودهم على بعضهم في فروع العقيدة</w:t>
      </w:r>
      <w:r w:rsidR="000636C2">
        <w:rPr>
          <w:rFonts w:hint="cs"/>
          <w:rtl/>
        </w:rPr>
        <w:t>،</w:t>
      </w:r>
      <w:r w:rsidRPr="005675B2">
        <w:rPr>
          <w:rFonts w:hint="cs"/>
          <w:rtl/>
        </w:rPr>
        <w:t>وهي المسائل الظنية المتعلقة بالأصول الستة</w:t>
      </w:r>
      <w:r w:rsidR="000636C2">
        <w:rPr>
          <w:rFonts w:hint="cs"/>
          <w:rtl/>
        </w:rPr>
        <w:t>،</w:t>
      </w:r>
      <w:r w:rsidRPr="005675B2">
        <w:rPr>
          <w:rFonts w:hint="cs"/>
          <w:rtl/>
        </w:rPr>
        <w:t>كمسألة تقرير الصفات وبيانها هل يكون بأسلوب الإثبات مع التنزيه ثم التأويل</w:t>
      </w:r>
      <w:r w:rsidR="000636C2">
        <w:rPr>
          <w:rFonts w:hint="cs"/>
          <w:rtl/>
        </w:rPr>
        <w:t>،</w:t>
      </w:r>
      <w:r w:rsidRPr="005675B2">
        <w:rPr>
          <w:rFonts w:hint="cs"/>
          <w:rtl/>
        </w:rPr>
        <w:t>أم بأسلوب الإثبات مع التنزيه ثم التفويض</w:t>
      </w:r>
      <w:r w:rsidR="000636C2">
        <w:rPr>
          <w:rFonts w:hint="cs"/>
          <w:rtl/>
        </w:rPr>
        <w:t>؟</w:t>
      </w:r>
      <w:r w:rsidRPr="005675B2">
        <w:rPr>
          <w:rFonts w:hint="cs"/>
          <w:rtl/>
        </w:rPr>
        <w:t>فكل له دليله وقد سبق سوق الأدلة</w:t>
      </w:r>
      <w:r w:rsidR="000636C2">
        <w:rPr>
          <w:rFonts w:hint="cs"/>
          <w:rtl/>
        </w:rPr>
        <w:t>،</w:t>
      </w:r>
      <w:r w:rsidRPr="005675B2">
        <w:rPr>
          <w:rFonts w:hint="cs"/>
          <w:rtl/>
        </w:rPr>
        <w:t>والأمر فيه سعة لمن فقه الخلاف، فكلهم اتفقوا على الإثبات مع التنزيه</w:t>
      </w:r>
      <w:r w:rsidR="000636C2">
        <w:rPr>
          <w:rFonts w:hint="cs"/>
          <w:rtl/>
        </w:rPr>
        <w:t>،</w:t>
      </w:r>
      <w:r w:rsidRPr="005675B2">
        <w:rPr>
          <w:rFonts w:hint="cs"/>
          <w:rtl/>
        </w:rPr>
        <w:t xml:space="preserve"> ثم اختلفوا خلافاً اجتهادياً هل الصحيح</w:t>
      </w:r>
      <w:r w:rsidR="000636C2">
        <w:rPr>
          <w:rFonts w:hint="cs"/>
          <w:rtl/>
        </w:rPr>
        <w:t xml:space="preserve"> </w:t>
      </w:r>
      <w:r w:rsidRPr="005675B2">
        <w:rPr>
          <w:rFonts w:hint="cs"/>
          <w:rtl/>
        </w:rPr>
        <w:t>هو التفويض أم التأويل</w:t>
      </w:r>
      <w:r w:rsidR="000636C2">
        <w:rPr>
          <w:rFonts w:hint="cs"/>
          <w:rtl/>
        </w:rPr>
        <w:t>؟</w:t>
      </w:r>
      <w:r w:rsidRPr="005675B2">
        <w:rPr>
          <w:rFonts w:hint="cs"/>
          <w:rtl/>
        </w:rPr>
        <w:t>أو هل الأولى التفويض أم التأويل</w:t>
      </w:r>
      <w:r w:rsidR="000636C2">
        <w:rPr>
          <w:rFonts w:hint="cs"/>
          <w:rtl/>
        </w:rPr>
        <w:t>؟،</w:t>
      </w:r>
      <w:r w:rsidRPr="005675B2">
        <w:rPr>
          <w:rFonts w:hint="cs"/>
          <w:rtl/>
        </w:rPr>
        <w:t xml:space="preserve"> ومن خلافاتهم الاجتهادية</w:t>
      </w:r>
      <w:r w:rsidR="000636C2">
        <w:rPr>
          <w:rFonts w:hint="cs"/>
          <w:rtl/>
        </w:rPr>
        <w:t>:</w:t>
      </w:r>
      <w:r w:rsidRPr="005675B2">
        <w:rPr>
          <w:rFonts w:hint="cs"/>
          <w:rtl/>
        </w:rPr>
        <w:t xml:space="preserve"> هل الأحاديث الظنية يُثبت بها الصفات أم لا</w:t>
      </w:r>
      <w:r w:rsidR="000636C2">
        <w:rPr>
          <w:rFonts w:hint="cs"/>
          <w:rtl/>
        </w:rPr>
        <w:t xml:space="preserve">؟ </w:t>
      </w:r>
      <w:r w:rsidRPr="005675B2">
        <w:rPr>
          <w:rFonts w:hint="cs"/>
          <w:rtl/>
        </w:rPr>
        <w:t>فالجمهور على أن إثبات الصفات أمر قطعي لايبنى على الظنيات</w:t>
      </w:r>
      <w:r w:rsidR="000636C2">
        <w:rPr>
          <w:rFonts w:hint="cs"/>
          <w:rtl/>
        </w:rPr>
        <w:t>،</w:t>
      </w:r>
      <w:r w:rsidRPr="005675B2">
        <w:rPr>
          <w:rFonts w:hint="cs"/>
          <w:rtl/>
        </w:rPr>
        <w:t xml:space="preserve"> وبعضهم ذهب إلى إثباتها بالمشهور من الأحاديث دون العزيز</w:t>
      </w:r>
      <w:r w:rsidR="000636C2">
        <w:rPr>
          <w:rFonts w:hint="cs"/>
          <w:rtl/>
        </w:rPr>
        <w:t xml:space="preserve">، </w:t>
      </w:r>
      <w:r w:rsidRPr="005675B2">
        <w:rPr>
          <w:rFonts w:hint="cs"/>
          <w:rtl/>
        </w:rPr>
        <w:t>وذهب البعض إلى إثبات ذلك لكن بخبر الواحد مع عدم الإلزام لمخالفه</w:t>
      </w:r>
      <w:r w:rsidR="000636C2">
        <w:rPr>
          <w:rFonts w:hint="cs"/>
          <w:rtl/>
        </w:rPr>
        <w:t>،</w:t>
      </w:r>
      <w:r w:rsidRPr="005675B2">
        <w:rPr>
          <w:rFonts w:hint="cs"/>
          <w:rtl/>
        </w:rPr>
        <w:t xml:space="preserve"> لأن مستنده ظني الثبوت</w:t>
      </w:r>
      <w:r w:rsidR="000636C2">
        <w:rPr>
          <w:rFonts w:hint="cs"/>
          <w:rtl/>
        </w:rPr>
        <w:t>،</w:t>
      </w:r>
      <w:r>
        <w:rPr>
          <w:rFonts w:hint="cs"/>
          <w:rtl/>
        </w:rPr>
        <w:t xml:space="preserve"> </w:t>
      </w:r>
      <w:r w:rsidRPr="005675B2">
        <w:rPr>
          <w:rFonts w:hint="cs"/>
          <w:rtl/>
        </w:rPr>
        <w:t>النتيجة عند الكاتب أن الأشاعرة</w:t>
      </w:r>
      <w:r w:rsidR="000636C2">
        <w:rPr>
          <w:rFonts w:hint="cs"/>
          <w:rtl/>
        </w:rPr>
        <w:t xml:space="preserve"> </w:t>
      </w:r>
      <w:r w:rsidRPr="005675B2">
        <w:rPr>
          <w:rFonts w:hint="cs"/>
          <w:rtl/>
        </w:rPr>
        <w:t>ضلال</w:t>
      </w:r>
      <w:r w:rsidR="000636C2">
        <w:rPr>
          <w:rFonts w:hint="cs"/>
          <w:rtl/>
        </w:rPr>
        <w:t>،</w:t>
      </w:r>
      <w:r>
        <w:rPr>
          <w:rFonts w:hint="cs"/>
          <w:rtl/>
        </w:rPr>
        <w:t xml:space="preserve"> </w:t>
      </w:r>
      <w:r w:rsidRPr="005675B2">
        <w:rPr>
          <w:rFonts w:hint="cs"/>
          <w:rtl/>
        </w:rPr>
        <w:t>قال الكاتب</w:t>
      </w:r>
      <w:r w:rsidR="000636C2">
        <w:rPr>
          <w:rFonts w:hint="cs"/>
          <w:rtl/>
        </w:rPr>
        <w:t>:</w:t>
      </w:r>
      <w:r w:rsidRPr="005675B2">
        <w:rPr>
          <w:rFonts w:hint="cs"/>
          <w:rtl/>
        </w:rPr>
        <w:t>تبين مما تقدم أن الأشاعرة</w:t>
      </w:r>
      <w:r w:rsidRPr="005675B2">
        <w:rPr>
          <w:rFonts w:hint="cs"/>
        </w:rPr>
        <w:t xml:space="preserve"> </w:t>
      </w:r>
      <w:r w:rsidRPr="005675B2">
        <w:rPr>
          <w:rFonts w:hint="cs"/>
          <w:rtl/>
        </w:rPr>
        <w:t>فرقة من الثنتين والسبعين فرقة وأن حكم هذه الفرق الثنتين وسبعين هو</w:t>
      </w:r>
      <w:r w:rsidR="000636C2">
        <w:rPr>
          <w:rFonts w:hint="cs"/>
          <w:rtl/>
        </w:rPr>
        <w:t xml:space="preserve">: </w:t>
      </w:r>
      <w:r w:rsidRPr="005675B2">
        <w:rPr>
          <w:rFonts w:hint="cs"/>
          <w:rtl/>
        </w:rPr>
        <w:t>1 - الضلالة والبدعة</w:t>
      </w:r>
      <w:r w:rsidR="000636C2">
        <w:rPr>
          <w:rFonts w:hint="cs"/>
          <w:rtl/>
        </w:rPr>
        <w:t>،</w:t>
      </w:r>
      <w:r>
        <w:rPr>
          <w:rFonts w:hint="cs"/>
          <w:rtl/>
        </w:rPr>
        <w:t xml:space="preserve"> </w:t>
      </w:r>
      <w:r w:rsidRPr="005675B2">
        <w:rPr>
          <w:rFonts w:hint="cs"/>
          <w:rtl/>
        </w:rPr>
        <w:t>2 - الوعيد بالنار وعدم</w:t>
      </w:r>
      <w:r w:rsidRPr="005675B2">
        <w:rPr>
          <w:rFonts w:hint="cs"/>
        </w:rPr>
        <w:t xml:space="preserve"> </w:t>
      </w:r>
      <w:r w:rsidRPr="005675B2">
        <w:rPr>
          <w:rFonts w:hint="cs"/>
          <w:rtl/>
        </w:rPr>
        <w:t>النجاة</w:t>
      </w:r>
      <w:r w:rsidR="000636C2">
        <w:rPr>
          <w:rFonts w:hint="cs"/>
          <w:rtl/>
        </w:rPr>
        <w:t>،</w:t>
      </w:r>
      <w:r>
        <w:rPr>
          <w:rFonts w:hint="cs"/>
          <w:rtl/>
        </w:rPr>
        <w:t xml:space="preserve"> </w:t>
      </w:r>
      <w:r w:rsidRPr="005675B2">
        <w:rPr>
          <w:rFonts w:hint="cs"/>
          <w:rtl/>
        </w:rPr>
        <w:t>وهذا مثار جدل كبير ولغط</w:t>
      </w:r>
      <w:r w:rsidRPr="005675B2">
        <w:rPr>
          <w:rFonts w:hint="cs"/>
        </w:rPr>
        <w:t xml:space="preserve"> </w:t>
      </w:r>
      <w:r w:rsidRPr="005675B2">
        <w:rPr>
          <w:rFonts w:hint="cs"/>
          <w:rtl/>
        </w:rPr>
        <w:t>كثير ممن يجهلون مذهب أهل السنة والجماعة في الوعد والوعيد</w:t>
      </w:r>
      <w:r w:rsidR="000636C2">
        <w:rPr>
          <w:rFonts w:hint="cs"/>
          <w:rtl/>
        </w:rPr>
        <w:t>،</w:t>
      </w:r>
      <w:r w:rsidRPr="005675B2">
        <w:rPr>
          <w:rFonts w:hint="cs"/>
          <w:rtl/>
        </w:rPr>
        <w:t xml:space="preserve"> إذ ما يكادون يسمعون</w:t>
      </w:r>
      <w:r w:rsidRPr="005675B2">
        <w:rPr>
          <w:rFonts w:hint="cs"/>
        </w:rPr>
        <w:t xml:space="preserve"> </w:t>
      </w:r>
      <w:r w:rsidRPr="005675B2">
        <w:rPr>
          <w:rFonts w:hint="cs"/>
          <w:rtl/>
        </w:rPr>
        <w:t>هذا حتى يرفعون عقيرتهم بأننا ندخل الأشاعرة النار ونحكم عليهم بالخروج من الملة</w:t>
      </w:r>
      <w:r w:rsidRPr="005675B2">
        <w:rPr>
          <w:rFonts w:hint="cs"/>
        </w:rPr>
        <w:t xml:space="preserve"> </w:t>
      </w:r>
      <w:r w:rsidRPr="005675B2">
        <w:rPr>
          <w:rFonts w:hint="cs"/>
          <w:rtl/>
        </w:rPr>
        <w:t>عياذاً بالله</w:t>
      </w:r>
      <w:r w:rsidR="000636C2">
        <w:rPr>
          <w:rFonts w:hint="cs"/>
          <w:rtl/>
        </w:rPr>
        <w:t>،</w:t>
      </w:r>
      <w:r>
        <w:rPr>
          <w:rFonts w:hint="cs"/>
          <w:rtl/>
        </w:rPr>
        <w:t xml:space="preserve"> </w:t>
      </w:r>
      <w:r w:rsidRPr="005675B2">
        <w:rPr>
          <w:rFonts w:hint="cs"/>
          <w:rtl/>
        </w:rPr>
        <w:t>ونحن نقول أنه لا يصح تفسير</w:t>
      </w:r>
      <w:r w:rsidRPr="005675B2">
        <w:rPr>
          <w:rFonts w:hint="cs"/>
        </w:rPr>
        <w:t xml:space="preserve"> </w:t>
      </w:r>
      <w:r w:rsidRPr="005675B2">
        <w:rPr>
          <w:rFonts w:hint="cs"/>
          <w:rtl/>
        </w:rPr>
        <w:t>ألفاظ أو إطلاقات مذهب السلف في الوعد والوعيد إلا من خلال أقوالهم هم وعلى الذين</w:t>
      </w:r>
      <w:r w:rsidRPr="005675B2">
        <w:rPr>
          <w:rFonts w:hint="cs"/>
        </w:rPr>
        <w:t xml:space="preserve"> </w:t>
      </w:r>
      <w:r w:rsidRPr="005675B2">
        <w:rPr>
          <w:rFonts w:hint="cs"/>
          <w:rtl/>
        </w:rPr>
        <w:t>يجهلونه أن يستفصلوا قبل أن يتسرعوا بادعاء التكفير</w:t>
      </w:r>
      <w:r w:rsidR="000636C2">
        <w:rPr>
          <w:rFonts w:hint="cs"/>
          <w:rtl/>
        </w:rPr>
        <w:t>،</w:t>
      </w:r>
      <w:r>
        <w:rPr>
          <w:rFonts w:hint="cs"/>
          <w:rtl/>
        </w:rPr>
        <w:t xml:space="preserve"> </w:t>
      </w:r>
      <w:r w:rsidRPr="005675B2">
        <w:rPr>
          <w:rFonts w:hint="cs"/>
          <w:rtl/>
        </w:rPr>
        <w:t>إلى أن قال</w:t>
      </w:r>
      <w:r w:rsidR="000636C2">
        <w:rPr>
          <w:rFonts w:hint="cs"/>
          <w:rtl/>
        </w:rPr>
        <w:t>:</w:t>
      </w:r>
      <w:r w:rsidRPr="005675B2">
        <w:rPr>
          <w:rFonts w:hint="cs"/>
          <w:rtl/>
        </w:rPr>
        <w:t xml:space="preserve"> .. والحاصل أن قولنا أن</w:t>
      </w:r>
      <w:r w:rsidRPr="005675B2">
        <w:rPr>
          <w:rFonts w:hint="cs"/>
        </w:rPr>
        <w:t xml:space="preserve"> </w:t>
      </w:r>
      <w:r w:rsidRPr="005675B2">
        <w:rPr>
          <w:rFonts w:hint="cs"/>
          <w:rtl/>
        </w:rPr>
        <w:t>الأشاعرة فرقة ضالة يعني أنها منحرفة عن طريق الحق ومنهج السنة ولا يعني مطلقاً</w:t>
      </w:r>
      <w:r w:rsidRPr="005675B2">
        <w:rPr>
          <w:rFonts w:hint="cs"/>
        </w:rPr>
        <w:t xml:space="preserve"> </w:t>
      </w:r>
      <w:r w:rsidRPr="005675B2">
        <w:rPr>
          <w:rFonts w:hint="cs"/>
          <w:rtl/>
        </w:rPr>
        <w:t>خروجها عن الملة وأهل القبلة .. أ هـ</w:t>
      </w:r>
      <w:r w:rsidR="000636C2">
        <w:rPr>
          <w:rFonts w:hint="cs"/>
          <w:rtl/>
        </w:rPr>
        <w:t>،</w:t>
      </w:r>
      <w:r>
        <w:rPr>
          <w:rFonts w:hint="cs"/>
          <w:rtl/>
        </w:rPr>
        <w:t xml:space="preserve"> </w:t>
      </w:r>
    </w:p>
    <w:p w14:paraId="24C4B0BD" w14:textId="4EE17702" w:rsidR="009C32A0" w:rsidRPr="005675B2" w:rsidRDefault="000636C2" w:rsidP="000636C2">
      <w:pPr>
        <w:rPr>
          <w:b/>
        </w:rPr>
      </w:pPr>
      <w:r>
        <w:rPr>
          <w:rFonts w:hint="cs"/>
          <w:bCs/>
          <w:rtl/>
        </w:rPr>
        <w:t>[</w:t>
      </w:r>
      <w:r w:rsidR="009C32A0" w:rsidRPr="00A0541F">
        <w:rPr>
          <w:rFonts w:hint="cs"/>
          <w:bCs/>
          <w:rtl/>
        </w:rPr>
        <w:t>التعليق</w:t>
      </w:r>
      <w:r>
        <w:rPr>
          <w:rFonts w:hint="cs"/>
          <w:bCs/>
          <w:rtl/>
        </w:rPr>
        <w:t>]</w:t>
      </w:r>
      <w:r>
        <w:rPr>
          <w:rFonts w:hint="cs"/>
          <w:rtl/>
        </w:rPr>
        <w:t>:</w:t>
      </w:r>
      <w:r w:rsidR="009C32A0" w:rsidRPr="005675B2">
        <w:rPr>
          <w:rFonts w:hint="cs"/>
          <w:rtl/>
        </w:rPr>
        <w:t xml:space="preserve"> قرر الكاتب حسب تصوره السابق عدة أشياء</w:t>
      </w:r>
      <w:r>
        <w:rPr>
          <w:rFonts w:hint="cs"/>
          <w:rtl/>
        </w:rPr>
        <w:t>:</w:t>
      </w:r>
      <w:r w:rsidR="009C32A0">
        <w:rPr>
          <w:rFonts w:hint="cs"/>
          <w:rtl/>
        </w:rPr>
        <w:t xml:space="preserve"> </w:t>
      </w:r>
      <w:r w:rsidR="009C32A0" w:rsidRPr="005675B2">
        <w:rPr>
          <w:rFonts w:hint="cs"/>
          <w:rtl/>
        </w:rPr>
        <w:t>1</w:t>
      </w:r>
      <w:r>
        <w:rPr>
          <w:rFonts w:hint="cs"/>
          <w:rtl/>
        </w:rPr>
        <w:t xml:space="preserve"> </w:t>
      </w:r>
      <w:r w:rsidR="009C32A0" w:rsidRPr="005675B2">
        <w:rPr>
          <w:rFonts w:hint="cs"/>
          <w:rtl/>
        </w:rPr>
        <w:t>- أن الأشاعرة ليسوا بكفرة كفراً يخرج من الإسلام</w:t>
      </w:r>
      <w:r>
        <w:rPr>
          <w:rFonts w:hint="cs"/>
          <w:rtl/>
        </w:rPr>
        <w:t>،</w:t>
      </w:r>
      <w:r w:rsidR="009C32A0" w:rsidRPr="005675B2">
        <w:rPr>
          <w:rFonts w:hint="cs"/>
          <w:rtl/>
        </w:rPr>
        <w:t xml:space="preserve"> وهذه نعمة فلله الحمد على كل حال</w:t>
      </w:r>
      <w:r>
        <w:rPr>
          <w:rFonts w:hint="cs"/>
          <w:rtl/>
        </w:rPr>
        <w:t xml:space="preserve">! </w:t>
      </w:r>
      <w:r w:rsidR="009C32A0" w:rsidRPr="005675B2">
        <w:rPr>
          <w:rFonts w:hint="cs"/>
          <w:rtl/>
        </w:rPr>
        <w:t>2</w:t>
      </w:r>
      <w:r>
        <w:rPr>
          <w:rFonts w:hint="cs"/>
          <w:rtl/>
        </w:rPr>
        <w:t xml:space="preserve"> </w:t>
      </w:r>
      <w:r w:rsidR="009C32A0" w:rsidRPr="005675B2">
        <w:rPr>
          <w:rFonts w:hint="cs"/>
          <w:rtl/>
        </w:rPr>
        <w:t>- أنها من الاثنتين والسبعين فرقة الضالة عن الحق المتوعدة بالنار</w:t>
      </w:r>
      <w:r>
        <w:rPr>
          <w:rFonts w:hint="cs"/>
          <w:rtl/>
        </w:rPr>
        <w:t>،</w:t>
      </w:r>
      <w:r w:rsidR="009C32A0">
        <w:rPr>
          <w:rFonts w:hint="cs"/>
          <w:rtl/>
        </w:rPr>
        <w:t xml:space="preserve"> </w:t>
      </w:r>
      <w:r w:rsidR="009C32A0" w:rsidRPr="005675B2">
        <w:rPr>
          <w:rFonts w:hint="cs"/>
          <w:rtl/>
        </w:rPr>
        <w:t>3</w:t>
      </w:r>
      <w:r>
        <w:rPr>
          <w:rFonts w:hint="cs"/>
          <w:rtl/>
        </w:rPr>
        <w:t xml:space="preserve"> </w:t>
      </w:r>
      <w:r w:rsidR="009C32A0" w:rsidRPr="005675B2">
        <w:rPr>
          <w:rFonts w:hint="cs"/>
          <w:rtl/>
        </w:rPr>
        <w:t>- أنه لا يجزم بدخولهم النار فالحكم الوصفي غير العيني</w:t>
      </w:r>
      <w:r>
        <w:rPr>
          <w:rFonts w:hint="cs"/>
          <w:rtl/>
        </w:rPr>
        <w:t xml:space="preserve">، </w:t>
      </w:r>
      <w:r w:rsidR="009C32A0" w:rsidRPr="005675B2">
        <w:rPr>
          <w:rFonts w:hint="cs"/>
          <w:rtl/>
        </w:rPr>
        <w:t>4</w:t>
      </w:r>
      <w:r>
        <w:rPr>
          <w:rFonts w:hint="cs"/>
          <w:rtl/>
        </w:rPr>
        <w:t xml:space="preserve"> </w:t>
      </w:r>
      <w:r w:rsidR="009C32A0" w:rsidRPr="005675B2">
        <w:rPr>
          <w:rFonts w:hint="cs"/>
          <w:rtl/>
        </w:rPr>
        <w:t>- أن الأشاعرة ضلال عن الحق</w:t>
      </w:r>
      <w:r>
        <w:rPr>
          <w:rFonts w:hint="cs"/>
          <w:rtl/>
        </w:rPr>
        <w:t>،</w:t>
      </w:r>
      <w:r w:rsidR="009C32A0" w:rsidRPr="005675B2">
        <w:rPr>
          <w:rFonts w:hint="cs"/>
          <w:rtl/>
        </w:rPr>
        <w:t xml:space="preserve"> وهذا كلامه</w:t>
      </w:r>
      <w:r>
        <w:rPr>
          <w:rFonts w:hint="cs"/>
          <w:rtl/>
        </w:rPr>
        <w:t>(</w:t>
      </w:r>
      <w:r w:rsidR="009C32A0" w:rsidRPr="005675B2">
        <w:rPr>
          <w:rFonts w:hint="cs"/>
          <w:rtl/>
        </w:rPr>
        <w:t>والحاصل أن قولنا أن</w:t>
      </w:r>
      <w:r w:rsidR="009C32A0" w:rsidRPr="005675B2">
        <w:rPr>
          <w:rFonts w:hint="cs"/>
        </w:rPr>
        <w:t xml:space="preserve"> </w:t>
      </w:r>
      <w:r w:rsidR="009C32A0" w:rsidRPr="005675B2">
        <w:rPr>
          <w:rFonts w:hint="cs"/>
          <w:rtl/>
        </w:rPr>
        <w:t>الأشاعرة فرقة ضالة يعني أنها منحرفة عن طريق الحق ومنهج السنة ولا يعني مطلقاً</w:t>
      </w:r>
      <w:r w:rsidR="009C32A0" w:rsidRPr="005675B2">
        <w:rPr>
          <w:rFonts w:hint="cs"/>
        </w:rPr>
        <w:t xml:space="preserve"> </w:t>
      </w:r>
      <w:r w:rsidR="009C32A0" w:rsidRPr="005675B2">
        <w:rPr>
          <w:rFonts w:hint="cs"/>
          <w:rtl/>
        </w:rPr>
        <w:t>خروجها عن الملة وأهل القبلة</w:t>
      </w:r>
      <w:r>
        <w:rPr>
          <w:rFonts w:hint="cs"/>
          <w:rtl/>
        </w:rPr>
        <w:t>)،</w:t>
      </w:r>
      <w:r w:rsidR="009C32A0">
        <w:rPr>
          <w:rFonts w:hint="cs"/>
          <w:rtl/>
        </w:rPr>
        <w:t xml:space="preserve"> </w:t>
      </w:r>
      <w:r>
        <w:rPr>
          <w:rFonts w:hint="cs"/>
          <w:rtl/>
        </w:rPr>
        <w:t>(</w:t>
      </w:r>
      <w:r w:rsidR="009C32A0" w:rsidRPr="005675B2">
        <w:rPr>
          <w:rFonts w:hint="cs"/>
          <w:rtl/>
        </w:rPr>
        <w:t>ولهذا نجد أن من كفر</w:t>
      </w:r>
      <w:r w:rsidR="009C32A0" w:rsidRPr="005675B2">
        <w:rPr>
          <w:rFonts w:hint="cs"/>
        </w:rPr>
        <w:t xml:space="preserve"> </w:t>
      </w:r>
      <w:r w:rsidR="009C32A0" w:rsidRPr="005675B2">
        <w:rPr>
          <w:rFonts w:hint="cs"/>
          <w:rtl/>
        </w:rPr>
        <w:t>الجهمية من السلف مثل ابن المبارك ووكيع أخرجوهم من الثنتين وسبعين فرقة وألحقوهم</w:t>
      </w:r>
      <w:r w:rsidR="009C32A0" w:rsidRPr="005675B2">
        <w:rPr>
          <w:rFonts w:hint="cs"/>
        </w:rPr>
        <w:t xml:space="preserve"> </w:t>
      </w:r>
      <w:r w:rsidR="009C32A0" w:rsidRPr="005675B2">
        <w:rPr>
          <w:rFonts w:hint="cs"/>
          <w:rtl/>
        </w:rPr>
        <w:t>بالسبئية والغرابية وأمثالها</w:t>
      </w:r>
      <w:r>
        <w:rPr>
          <w:rFonts w:hint="cs"/>
          <w:rtl/>
        </w:rPr>
        <w:t>،</w:t>
      </w:r>
      <w:r w:rsidR="009C32A0" w:rsidRPr="005675B2">
        <w:rPr>
          <w:rFonts w:hint="cs"/>
          <w:rtl/>
        </w:rPr>
        <w:t xml:space="preserve"> وحتى في المناهج الجامعية</w:t>
      </w:r>
      <w:r w:rsidR="009C32A0" w:rsidRPr="005675B2">
        <w:rPr>
          <w:rFonts w:hint="cs"/>
        </w:rPr>
        <w:t xml:space="preserve"> </w:t>
      </w:r>
      <w:r w:rsidR="009C32A0" w:rsidRPr="005675B2">
        <w:rPr>
          <w:rFonts w:hint="cs"/>
          <w:rtl/>
        </w:rPr>
        <w:t>نجد أن كليات أصول الدين مثل كليتي مكة والمدينة حالياً تفصل بين الفرق الخارجة عن</w:t>
      </w:r>
      <w:r w:rsidR="009C32A0" w:rsidRPr="005675B2">
        <w:rPr>
          <w:rFonts w:hint="cs"/>
        </w:rPr>
        <w:t xml:space="preserve"> </w:t>
      </w:r>
      <w:r w:rsidR="009C32A0" w:rsidRPr="005675B2">
        <w:rPr>
          <w:rFonts w:hint="cs"/>
          <w:rtl/>
        </w:rPr>
        <w:t>الإسلام وبين الفرق الأخرى</w:t>
      </w:r>
      <w:r>
        <w:rPr>
          <w:rFonts w:hint="cs"/>
          <w:rtl/>
        </w:rPr>
        <w:t>،)</w:t>
      </w:r>
      <w:r w:rsidR="009C32A0" w:rsidRPr="005675B2">
        <w:rPr>
          <w:rFonts w:hint="cs"/>
          <w:rtl/>
        </w:rPr>
        <w:t xml:space="preserve"> انتهى كلامه في الدنيا</w:t>
      </w:r>
      <w:r>
        <w:rPr>
          <w:rFonts w:hint="cs"/>
          <w:rtl/>
        </w:rPr>
        <w:t>،</w:t>
      </w:r>
      <w:r w:rsidR="009C32A0" w:rsidRPr="005675B2">
        <w:rPr>
          <w:rFonts w:hint="cs"/>
          <w:rtl/>
        </w:rPr>
        <w:t>وأما الآخرة فلا أدري ما ذا سيقول</w:t>
      </w:r>
      <w:r>
        <w:rPr>
          <w:rFonts w:hint="cs"/>
          <w:rtl/>
        </w:rPr>
        <w:t>!</w:t>
      </w:r>
      <w:r w:rsidR="009C32A0" w:rsidRPr="005675B2">
        <w:rPr>
          <w:rFonts w:hint="cs"/>
          <w:rtl/>
        </w:rPr>
        <w:t>!</w:t>
      </w:r>
      <w:r>
        <w:rPr>
          <w:rFonts w:hint="cs"/>
          <w:rtl/>
        </w:rPr>
        <w:t xml:space="preserve"> </w:t>
      </w:r>
      <w:r w:rsidR="009C32A0" w:rsidRPr="005675B2">
        <w:rPr>
          <w:rFonts w:hint="cs"/>
          <w:rtl/>
        </w:rPr>
        <w:t>التعليق</w:t>
      </w:r>
      <w:r>
        <w:rPr>
          <w:rFonts w:hint="cs"/>
          <w:rtl/>
        </w:rPr>
        <w:t>:</w:t>
      </w:r>
      <w:r w:rsidR="009C32A0" w:rsidRPr="005675B2">
        <w:rPr>
          <w:rFonts w:hint="cs"/>
          <w:rtl/>
        </w:rPr>
        <w:t xml:space="preserve"> ولاجديد هنا فوق ماقرره سابقاً</w:t>
      </w:r>
      <w:r>
        <w:rPr>
          <w:rFonts w:hint="cs"/>
          <w:rtl/>
        </w:rPr>
        <w:t xml:space="preserve">، </w:t>
      </w:r>
      <w:r w:rsidR="009C32A0" w:rsidRPr="005675B2">
        <w:rPr>
          <w:rFonts w:hint="cs"/>
          <w:rtl/>
        </w:rPr>
        <w:t>وإذا تقرر هذا تبين أنه لا</w:t>
      </w:r>
      <w:r w:rsidR="009C32A0" w:rsidRPr="005675B2">
        <w:rPr>
          <w:rFonts w:hint="cs"/>
        </w:rPr>
        <w:t xml:space="preserve"> </w:t>
      </w:r>
      <w:r w:rsidR="009C32A0" w:rsidRPr="005675B2">
        <w:rPr>
          <w:rFonts w:hint="cs"/>
          <w:rtl/>
        </w:rPr>
        <w:t>مبرر لمطالبة الأشاعرة بإدخالهم في أهل السنة والجماعة بدعوى أن هذا يجنبهم تهمة</w:t>
      </w:r>
      <w:r w:rsidR="009C32A0" w:rsidRPr="005675B2">
        <w:rPr>
          <w:rFonts w:hint="cs"/>
        </w:rPr>
        <w:t xml:space="preserve"> </w:t>
      </w:r>
      <w:r w:rsidR="009C32A0" w:rsidRPr="005675B2">
        <w:rPr>
          <w:rFonts w:hint="cs"/>
          <w:rtl/>
        </w:rPr>
        <w:t>الخروج من أهل القبلة لأن ذلك يعني هدم هذه القاعدة كلها</w:t>
      </w:r>
      <w:r>
        <w:rPr>
          <w:rFonts w:hint="cs"/>
          <w:rtl/>
        </w:rPr>
        <w:t>،</w:t>
      </w:r>
      <w:r w:rsidR="009C32A0" w:rsidRPr="005675B2">
        <w:rPr>
          <w:rFonts w:hint="cs"/>
          <w:rtl/>
        </w:rPr>
        <w:t xml:space="preserve"> إذ لو أدخلناهم لأدخلنا</w:t>
      </w:r>
      <w:r w:rsidR="009C32A0" w:rsidRPr="005675B2">
        <w:rPr>
          <w:rFonts w:hint="cs"/>
        </w:rPr>
        <w:t xml:space="preserve"> </w:t>
      </w:r>
      <w:r w:rsidR="009C32A0" w:rsidRPr="005675B2">
        <w:rPr>
          <w:rFonts w:hint="cs"/>
          <w:rtl/>
        </w:rPr>
        <w:t>غيرهم حتى لا يبقى من تلك الفرق الثنتين وسبعين فرقة إلا دخلت</w:t>
      </w:r>
      <w:r>
        <w:rPr>
          <w:rFonts w:hint="cs"/>
          <w:rtl/>
        </w:rPr>
        <w:t>،</w:t>
      </w:r>
      <w:r w:rsidR="009C32A0">
        <w:rPr>
          <w:rFonts w:hint="cs"/>
          <w:rtl/>
        </w:rPr>
        <w:t xml:space="preserve"> </w:t>
      </w:r>
      <w:r w:rsidR="009C32A0" w:rsidRPr="005675B2">
        <w:rPr>
          <w:rFonts w:hint="cs"/>
          <w:rtl/>
        </w:rPr>
        <w:t>وهذا ليس في أيدينا ولا في</w:t>
      </w:r>
      <w:r w:rsidR="009C32A0" w:rsidRPr="005675B2">
        <w:rPr>
          <w:rFonts w:hint="cs"/>
        </w:rPr>
        <w:t xml:space="preserve"> </w:t>
      </w:r>
      <w:r w:rsidR="009C32A0" w:rsidRPr="005675B2">
        <w:rPr>
          <w:rFonts w:hint="cs"/>
          <w:rtl/>
        </w:rPr>
        <w:t>يد بشر</w:t>
      </w:r>
      <w:r>
        <w:rPr>
          <w:rFonts w:hint="cs"/>
          <w:rtl/>
        </w:rPr>
        <w:t>،</w:t>
      </w:r>
      <w:r w:rsidR="009C32A0" w:rsidRPr="005675B2">
        <w:rPr>
          <w:rFonts w:hint="cs"/>
          <w:rtl/>
        </w:rPr>
        <w:t xml:space="preserve"> إنما نحن متبعون لا مبتدعون</w:t>
      </w:r>
      <w:r>
        <w:rPr>
          <w:rFonts w:hint="cs"/>
          <w:rtl/>
        </w:rPr>
        <w:t xml:space="preserve">، </w:t>
      </w:r>
      <w:r w:rsidR="009C32A0" w:rsidRPr="005675B2">
        <w:rPr>
          <w:rFonts w:hint="cs"/>
          <w:rtl/>
        </w:rPr>
        <w:t>أما باب الدخول الحقيقي</w:t>
      </w:r>
      <w:r w:rsidR="009C32A0" w:rsidRPr="005675B2">
        <w:rPr>
          <w:rFonts w:hint="cs"/>
        </w:rPr>
        <w:t xml:space="preserve"> </w:t>
      </w:r>
      <w:r w:rsidR="009C32A0" w:rsidRPr="005675B2">
        <w:rPr>
          <w:rFonts w:hint="cs"/>
          <w:rtl/>
        </w:rPr>
        <w:t>فمفتوح على مصراعيه</w:t>
      </w:r>
      <w:r>
        <w:rPr>
          <w:rFonts w:hint="cs"/>
          <w:rtl/>
        </w:rPr>
        <w:t>،</w:t>
      </w:r>
      <w:r w:rsidR="009C32A0" w:rsidRPr="005675B2">
        <w:rPr>
          <w:rFonts w:hint="cs"/>
          <w:rtl/>
        </w:rPr>
        <w:t xml:space="preserve"> فمن الذي منعهم أن يرجعوا إلى عقيدة أهل السنة والجماعة التي</w:t>
      </w:r>
      <w:r w:rsidR="009C32A0" w:rsidRPr="005675B2">
        <w:rPr>
          <w:rFonts w:hint="cs"/>
        </w:rPr>
        <w:t xml:space="preserve"> </w:t>
      </w:r>
      <w:r w:rsidR="009C32A0" w:rsidRPr="005675B2">
        <w:rPr>
          <w:rFonts w:hint="cs"/>
          <w:rtl/>
        </w:rPr>
        <w:t>هي عقيدة القرون الثلاثة والأئمة الأربعة وسائر أئمة الهدى في هذه الأمة المعصومة</w:t>
      </w:r>
      <w:r>
        <w:rPr>
          <w:rFonts w:hint="cs"/>
          <w:rtl/>
        </w:rPr>
        <w:t>؟</w:t>
      </w:r>
    </w:p>
    <w:p w14:paraId="28BD14EF" w14:textId="42E5AC71"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سبحان الله</w:t>
      </w:r>
      <w:r>
        <w:rPr>
          <w:rFonts w:hint="cs"/>
          <w:rtl/>
        </w:rPr>
        <w:t xml:space="preserve">! </w:t>
      </w:r>
      <w:r w:rsidR="009C32A0" w:rsidRPr="005675B2">
        <w:rPr>
          <w:rFonts w:hint="cs"/>
          <w:rtl/>
        </w:rPr>
        <w:t>ومن الذي أخرجهم من الفرقة الناجية حتى نستجديه إدخالهم</w:t>
      </w:r>
      <w:r>
        <w:rPr>
          <w:rFonts w:hint="cs"/>
          <w:rtl/>
        </w:rPr>
        <w:t>؟!</w:t>
      </w:r>
      <w:r w:rsidR="009C32A0" w:rsidRPr="005675B2">
        <w:rPr>
          <w:rFonts w:hint="cs"/>
          <w:rtl/>
        </w:rPr>
        <w:t>!قد تبين مما سبق أن الأشاعرة رؤوس</w:t>
      </w:r>
      <w:r>
        <w:rPr>
          <w:rFonts w:hint="cs"/>
          <w:rtl/>
        </w:rPr>
        <w:t xml:space="preserve"> </w:t>
      </w:r>
      <w:r w:rsidR="009C32A0" w:rsidRPr="005675B2">
        <w:rPr>
          <w:rFonts w:hint="cs"/>
          <w:rtl/>
        </w:rPr>
        <w:t>أهل السنة والجماعة، ولكن الكاتب هداه الله قد أبعد النجعة من بداية التأليف والدراسة</w:t>
      </w:r>
      <w:r>
        <w:rPr>
          <w:rFonts w:hint="cs"/>
          <w:rtl/>
        </w:rPr>
        <w:t>،</w:t>
      </w:r>
      <w:r w:rsidR="009C32A0" w:rsidRPr="005675B2">
        <w:rPr>
          <w:rFonts w:hint="cs"/>
          <w:rtl/>
        </w:rPr>
        <w:t>وعشعش في ذهنه كثير من الأخطاء العلمية والمعرفية</w:t>
      </w:r>
      <w:r>
        <w:rPr>
          <w:rFonts w:hint="cs"/>
          <w:rtl/>
        </w:rPr>
        <w:t>،</w:t>
      </w:r>
      <w:r w:rsidR="009C32A0" w:rsidRPr="005675B2">
        <w:rPr>
          <w:rFonts w:hint="cs"/>
          <w:rtl/>
        </w:rPr>
        <w:t>وحصر نفسه في كتب</w:t>
      </w:r>
      <w:r>
        <w:rPr>
          <w:rFonts w:hint="cs"/>
          <w:rtl/>
        </w:rPr>
        <w:t xml:space="preserve"> </w:t>
      </w:r>
      <w:r w:rsidR="009C32A0" w:rsidRPr="005675B2">
        <w:rPr>
          <w:rFonts w:hint="cs"/>
          <w:rtl/>
        </w:rPr>
        <w:t>معينه</w:t>
      </w:r>
      <w:r>
        <w:rPr>
          <w:rFonts w:hint="cs"/>
          <w:rtl/>
        </w:rPr>
        <w:t xml:space="preserve"> </w:t>
      </w:r>
      <w:r w:rsidR="009C32A0" w:rsidRPr="005675B2">
        <w:rPr>
          <w:rFonts w:hint="cs"/>
          <w:rtl/>
        </w:rPr>
        <w:t>دون أن يعلم الحقائق العلمية</w:t>
      </w:r>
      <w:r>
        <w:rPr>
          <w:rFonts w:hint="cs"/>
          <w:rtl/>
        </w:rPr>
        <w:t>،</w:t>
      </w:r>
      <w:r w:rsidR="009C32A0" w:rsidRPr="005675B2">
        <w:rPr>
          <w:rFonts w:hint="cs"/>
          <w:rtl/>
        </w:rPr>
        <w:t>والتاريخية كما هي</w:t>
      </w:r>
      <w:r>
        <w:rPr>
          <w:rFonts w:hint="cs"/>
          <w:rtl/>
        </w:rPr>
        <w:t>،</w:t>
      </w:r>
      <w:r w:rsidR="009C32A0" w:rsidRPr="005675B2">
        <w:rPr>
          <w:rFonts w:hint="cs"/>
          <w:rtl/>
        </w:rPr>
        <w:t>ومن عرف من هم</w:t>
      </w:r>
      <w:r>
        <w:rPr>
          <w:rFonts w:hint="cs"/>
          <w:rtl/>
        </w:rPr>
        <w:t xml:space="preserve"> </w:t>
      </w:r>
      <w:r w:rsidR="009C32A0" w:rsidRPr="005675B2">
        <w:rPr>
          <w:rFonts w:hint="cs"/>
          <w:rtl/>
        </w:rPr>
        <w:t>علماء الأشاعرة</w:t>
      </w:r>
      <w:r>
        <w:rPr>
          <w:rFonts w:hint="cs"/>
          <w:rtl/>
        </w:rPr>
        <w:t>،</w:t>
      </w:r>
      <w:r w:rsidR="009C32A0" w:rsidRPr="005675B2">
        <w:rPr>
          <w:rFonts w:hint="cs"/>
          <w:rtl/>
        </w:rPr>
        <w:t>علم</w:t>
      </w:r>
      <w:r>
        <w:rPr>
          <w:rFonts w:hint="cs"/>
          <w:rtl/>
        </w:rPr>
        <w:t xml:space="preserve"> </w:t>
      </w:r>
      <w:r w:rsidR="009C32A0" w:rsidRPr="005675B2">
        <w:rPr>
          <w:rFonts w:hint="cs"/>
          <w:rtl/>
        </w:rPr>
        <w:t>هل مثل هؤلاءالأئمة</w:t>
      </w:r>
      <w:r>
        <w:rPr>
          <w:rFonts w:hint="cs"/>
          <w:rtl/>
        </w:rPr>
        <w:t xml:space="preserve"> </w:t>
      </w:r>
      <w:r w:rsidR="009C32A0" w:rsidRPr="005675B2">
        <w:rPr>
          <w:rFonts w:hint="cs"/>
          <w:rtl/>
        </w:rPr>
        <w:t>يجرأ أحد على تضليلهم بدعوى أن فلانا قال ذلك</w:t>
      </w:r>
      <w:r>
        <w:rPr>
          <w:rFonts w:hint="cs"/>
          <w:rtl/>
        </w:rPr>
        <w:t>؟!</w:t>
      </w:r>
      <w:r w:rsidR="009C32A0" w:rsidRPr="005675B2">
        <w:rPr>
          <w:rFonts w:hint="cs"/>
          <w:rtl/>
        </w:rPr>
        <w:t xml:space="preserve"> وخصوصاً بعد أن تبين لك بالغ</w:t>
      </w:r>
      <w:r>
        <w:rPr>
          <w:rFonts w:hint="cs"/>
          <w:rtl/>
        </w:rPr>
        <w:t xml:space="preserve"> </w:t>
      </w:r>
      <w:r w:rsidR="009C32A0" w:rsidRPr="005675B2">
        <w:rPr>
          <w:rFonts w:hint="cs"/>
          <w:rtl/>
        </w:rPr>
        <w:t>الوهم والغلط عند الكاتب وغيره في فهم كثير من المسائل</w:t>
      </w:r>
      <w:r>
        <w:rPr>
          <w:rFonts w:hint="cs"/>
          <w:rtl/>
        </w:rPr>
        <w:t>،</w:t>
      </w:r>
      <w:r w:rsidR="009C32A0" w:rsidRPr="005675B2">
        <w:rPr>
          <w:rFonts w:hint="cs"/>
          <w:rtl/>
        </w:rPr>
        <w:t xml:space="preserve"> والعبرة ليست فيما يقرأ</w:t>
      </w:r>
      <w:r>
        <w:rPr>
          <w:rFonts w:hint="cs"/>
          <w:rtl/>
        </w:rPr>
        <w:t xml:space="preserve"> </w:t>
      </w:r>
      <w:r w:rsidR="009C32A0" w:rsidRPr="005675B2">
        <w:rPr>
          <w:rFonts w:hint="cs"/>
          <w:rtl/>
        </w:rPr>
        <w:t>ولكن العبرة بفهمها على ما هي عليه فهماً صحيحاً</w:t>
      </w:r>
      <w:r>
        <w:rPr>
          <w:rFonts w:hint="cs"/>
          <w:rtl/>
        </w:rPr>
        <w:t>،</w:t>
      </w:r>
    </w:p>
    <w:p w14:paraId="78D8D93B" w14:textId="4B09501D" w:rsidR="009C32A0" w:rsidRPr="005675B2" w:rsidRDefault="009C32A0" w:rsidP="000636C2">
      <w:pPr>
        <w:rPr>
          <w:b/>
          <w:rtl/>
        </w:rPr>
      </w:pPr>
      <w:r w:rsidRPr="005B622A">
        <w:rPr>
          <w:rFonts w:hint="cs"/>
          <w:bCs/>
          <w:rtl/>
        </w:rPr>
        <w:t>وأخيراً</w:t>
      </w:r>
      <w:r w:rsidR="000636C2">
        <w:rPr>
          <w:rFonts w:hint="cs"/>
          <w:bCs/>
          <w:rtl/>
        </w:rPr>
        <w:t>:</w:t>
      </w:r>
      <w:r w:rsidRPr="005B622A">
        <w:rPr>
          <w:rFonts w:hint="cs"/>
          <w:bCs/>
          <w:rtl/>
        </w:rPr>
        <w:t xml:space="preserve"> كلمة التوحيد</w:t>
      </w:r>
      <w:r w:rsidRPr="005B622A">
        <w:rPr>
          <w:rFonts w:hint="cs"/>
          <w:bCs/>
        </w:rPr>
        <w:t xml:space="preserve"> </w:t>
      </w:r>
      <w:r w:rsidRPr="005B622A">
        <w:rPr>
          <w:rFonts w:hint="cs"/>
          <w:bCs/>
          <w:rtl/>
        </w:rPr>
        <w:t>أساس توحيد الكلمة</w:t>
      </w:r>
      <w:r w:rsidR="000636C2">
        <w:rPr>
          <w:rFonts w:hint="cs"/>
          <w:rtl/>
        </w:rPr>
        <w:t xml:space="preserve">: </w:t>
      </w:r>
      <w:r w:rsidRPr="005675B2">
        <w:rPr>
          <w:rFonts w:hint="cs"/>
          <w:rtl/>
        </w:rPr>
        <w:t>قال الكاتب</w:t>
      </w:r>
      <w:r w:rsidR="000636C2">
        <w:rPr>
          <w:rFonts w:hint="cs"/>
          <w:rtl/>
        </w:rPr>
        <w:t>:،</w:t>
      </w:r>
      <w:r w:rsidRPr="005675B2">
        <w:rPr>
          <w:rFonts w:hint="cs"/>
          <w:rtl/>
        </w:rPr>
        <w:t xml:space="preserve"> إن</w:t>
      </w:r>
      <w:r w:rsidRPr="005675B2">
        <w:rPr>
          <w:rFonts w:hint="cs"/>
        </w:rPr>
        <w:t xml:space="preserve"> </w:t>
      </w:r>
      <w:r w:rsidRPr="005675B2">
        <w:rPr>
          <w:rFonts w:hint="cs"/>
          <w:rtl/>
        </w:rPr>
        <w:t>دعوى تقديم توحيد الكلمة على كلمة التوحيد مصادمة للحق من جهة ولسنن الله في الحياة</w:t>
      </w:r>
      <w:r w:rsidRPr="005675B2">
        <w:rPr>
          <w:rFonts w:hint="cs"/>
        </w:rPr>
        <w:t xml:space="preserve"> </w:t>
      </w:r>
      <w:r w:rsidRPr="005675B2">
        <w:rPr>
          <w:rFonts w:hint="cs"/>
          <w:rtl/>
        </w:rPr>
        <w:t>من جهة أخرى</w:t>
      </w:r>
      <w:r w:rsidR="000636C2">
        <w:rPr>
          <w:rFonts w:hint="cs"/>
          <w:rtl/>
        </w:rPr>
        <w:t>،</w:t>
      </w:r>
      <w:r>
        <w:rPr>
          <w:rFonts w:hint="cs"/>
          <w:rtl/>
        </w:rPr>
        <w:t xml:space="preserve"> </w:t>
      </w:r>
      <w:r w:rsidRPr="005675B2">
        <w:rPr>
          <w:rFonts w:hint="cs"/>
          <w:rtl/>
        </w:rPr>
        <w:t>وأمام القائلين بها</w:t>
      </w:r>
      <w:r w:rsidRPr="005675B2">
        <w:rPr>
          <w:rFonts w:hint="cs"/>
        </w:rPr>
        <w:t xml:space="preserve"> </w:t>
      </w:r>
      <w:r w:rsidRPr="005675B2">
        <w:rPr>
          <w:rFonts w:hint="cs"/>
          <w:rtl/>
        </w:rPr>
        <w:t>خياران لا ثالث لهما</w:t>
      </w:r>
      <w:r w:rsidR="000636C2">
        <w:rPr>
          <w:rFonts w:hint="cs"/>
          <w:rtl/>
        </w:rPr>
        <w:t xml:space="preserve">: </w:t>
      </w:r>
      <w:r w:rsidRPr="005675B2">
        <w:rPr>
          <w:rFonts w:hint="cs"/>
          <w:rtl/>
        </w:rPr>
        <w:t>1 - إما أن يلتزموا تعميم</w:t>
      </w:r>
      <w:r w:rsidRPr="005675B2">
        <w:rPr>
          <w:rFonts w:hint="cs"/>
        </w:rPr>
        <w:t xml:space="preserve"> </w:t>
      </w:r>
      <w:r w:rsidRPr="005675B2">
        <w:rPr>
          <w:rFonts w:hint="cs"/>
          <w:rtl/>
        </w:rPr>
        <w:t>هذا الحكم على كل من انتسب للإسلام</w:t>
      </w:r>
      <w:r w:rsidR="000636C2">
        <w:rPr>
          <w:rFonts w:hint="cs"/>
          <w:rtl/>
        </w:rPr>
        <w:t>،</w:t>
      </w:r>
      <w:r w:rsidRPr="005675B2">
        <w:rPr>
          <w:rFonts w:hint="cs"/>
          <w:rtl/>
        </w:rPr>
        <w:t xml:space="preserve"> وعليه فلا يجوز أن نثير أو نبحث خلافاً أو</w:t>
      </w:r>
      <w:r w:rsidRPr="005675B2">
        <w:rPr>
          <w:rFonts w:hint="cs"/>
        </w:rPr>
        <w:t xml:space="preserve"> </w:t>
      </w:r>
      <w:r w:rsidRPr="005675B2">
        <w:rPr>
          <w:rFonts w:hint="cs"/>
          <w:rtl/>
        </w:rPr>
        <w:t>نكتب رداً على أي فرقة تدعي الإسلام كالقاديانية والبهائية والدروز والنصيرية</w:t>
      </w:r>
      <w:r w:rsidRPr="005675B2">
        <w:rPr>
          <w:rFonts w:hint="cs"/>
        </w:rPr>
        <w:t xml:space="preserve"> </w:t>
      </w:r>
      <w:r w:rsidRPr="005675B2">
        <w:rPr>
          <w:rFonts w:hint="cs"/>
          <w:rtl/>
        </w:rPr>
        <w:t>والروافض والبهرة والصوفية الحلولية وسائر الطوائف الكافرة</w:t>
      </w:r>
      <w:r w:rsidR="000636C2">
        <w:rPr>
          <w:rFonts w:hint="cs"/>
          <w:rtl/>
        </w:rPr>
        <w:t>،</w:t>
      </w:r>
      <w:r w:rsidRPr="005675B2">
        <w:rPr>
          <w:rFonts w:hint="cs"/>
          <w:rtl/>
        </w:rPr>
        <w:t xml:space="preserve"> بل ندعوها جميعاً إلى</w:t>
      </w:r>
      <w:r w:rsidRPr="005675B2">
        <w:rPr>
          <w:rFonts w:hint="cs"/>
        </w:rPr>
        <w:t xml:space="preserve"> </w:t>
      </w:r>
      <w:r w:rsidRPr="005675B2">
        <w:rPr>
          <w:rFonts w:hint="cs"/>
          <w:rtl/>
        </w:rPr>
        <w:t>جمع الصف ووحدة الكلمة لمحاربة الشيوعية والصهيونية وما منها إلا من هو معلن لذلك</w:t>
      </w:r>
      <w:r w:rsidRPr="005675B2">
        <w:rPr>
          <w:rFonts w:hint="cs"/>
        </w:rPr>
        <w:t xml:space="preserve"> </w:t>
      </w:r>
      <w:r w:rsidRPr="005675B2">
        <w:rPr>
          <w:rFonts w:hint="cs"/>
          <w:rtl/>
        </w:rPr>
        <w:t>إن صدقاً وإن كذباً</w:t>
      </w:r>
      <w:r w:rsidR="000636C2">
        <w:rPr>
          <w:rFonts w:hint="cs"/>
          <w:rtl/>
        </w:rPr>
        <w:t>، [</w:t>
      </w:r>
      <w:r>
        <w:rPr>
          <w:rFonts w:hint="cs"/>
          <w:rtl/>
        </w:rPr>
        <w:t>الجواب</w:t>
      </w:r>
      <w:r w:rsidR="000636C2">
        <w:rPr>
          <w:rFonts w:hint="cs"/>
          <w:rtl/>
        </w:rPr>
        <w:t>]:</w:t>
      </w:r>
      <w:r w:rsidRPr="005675B2">
        <w:rPr>
          <w:rFonts w:hint="cs"/>
          <w:rtl/>
        </w:rPr>
        <w:t xml:space="preserve"> لا أدري كيف تخيل الكاتب أن مطالبة المخلصين من علماء أهل السنة بتوحيد الكلمة في وجه أعداء الأمة المتكالبين عليها، أنها تعني طرح كلمة</w:t>
      </w:r>
      <w:r w:rsidR="000636C2">
        <w:rPr>
          <w:rFonts w:hint="cs"/>
          <w:rtl/>
        </w:rPr>
        <w:t xml:space="preserve"> </w:t>
      </w:r>
      <w:r w:rsidRPr="005675B2">
        <w:rPr>
          <w:rFonts w:hint="cs"/>
          <w:rtl/>
        </w:rPr>
        <w:t>التوحيدوأن التناقض بين الوحدة والتوحيد متلازم</w:t>
      </w:r>
      <w:r w:rsidR="000636C2">
        <w:rPr>
          <w:rFonts w:hint="cs"/>
          <w:rtl/>
        </w:rPr>
        <w:t>،</w:t>
      </w:r>
      <w:r w:rsidRPr="005675B2">
        <w:rPr>
          <w:rFonts w:hint="cs"/>
          <w:rtl/>
        </w:rPr>
        <w:t>بيد أن الأمر واضح فالكاتب يتصور أن أهل السنة لا يعتقدون كلمة التوحيد نسأل الله العافية من هذا الضلال والنهج التكفيري المقيت</w:t>
      </w:r>
      <w:r w:rsidR="000636C2">
        <w:rPr>
          <w:rFonts w:hint="cs"/>
          <w:rtl/>
        </w:rPr>
        <w:t>،</w:t>
      </w:r>
      <w:r w:rsidRPr="005675B2">
        <w:rPr>
          <w:rFonts w:hint="cs"/>
          <w:rtl/>
        </w:rPr>
        <w:t xml:space="preserve"> بل</w:t>
      </w:r>
      <w:r w:rsidR="000636C2">
        <w:rPr>
          <w:rFonts w:hint="cs"/>
          <w:rtl/>
        </w:rPr>
        <w:t xml:space="preserve"> </w:t>
      </w:r>
      <w:r w:rsidRPr="005675B2">
        <w:rPr>
          <w:rFonts w:hint="cs"/>
          <w:rtl/>
        </w:rPr>
        <w:t>في هذه الكلمات يصور</w:t>
      </w:r>
      <w:r w:rsidR="000636C2">
        <w:rPr>
          <w:rFonts w:hint="cs"/>
          <w:rtl/>
        </w:rPr>
        <w:t xml:space="preserve"> </w:t>
      </w:r>
      <w:r w:rsidRPr="005675B2">
        <w:rPr>
          <w:rFonts w:hint="cs"/>
          <w:rtl/>
        </w:rPr>
        <w:t>الكاتب أن الأشاعرة يستجدونه لأن يسميهم أهل سنة وجماعة وهو رد منه على طلب الشيخ الصابوني - وفقه الله - الذي أراد لم شمل الأمة وقبول التقارب مع هؤلاء الغلاة وإن كانوا على باطل لأجل وأد الخلاف</w:t>
      </w:r>
      <w:r w:rsidR="000636C2">
        <w:rPr>
          <w:rFonts w:hint="cs"/>
          <w:rtl/>
        </w:rPr>
        <w:t>،</w:t>
      </w:r>
      <w:r w:rsidRPr="005675B2">
        <w:rPr>
          <w:rFonts w:hint="cs"/>
          <w:rtl/>
        </w:rPr>
        <w:t xml:space="preserve"> واتحاد الأمة ضد أعدائها</w:t>
      </w:r>
      <w:r w:rsidR="000636C2">
        <w:rPr>
          <w:rFonts w:hint="cs"/>
          <w:rtl/>
        </w:rPr>
        <w:t>،</w:t>
      </w:r>
      <w:r>
        <w:rPr>
          <w:rFonts w:hint="cs"/>
          <w:rtl/>
        </w:rPr>
        <w:t xml:space="preserve"> </w:t>
      </w:r>
      <w:r w:rsidRPr="005675B2">
        <w:rPr>
          <w:rFonts w:hint="cs"/>
          <w:rtl/>
        </w:rPr>
        <w:t>والكاتب يتصور أن حفظ لسانه عن تبديع</w:t>
      </w:r>
      <w:r w:rsidR="000636C2">
        <w:rPr>
          <w:rFonts w:hint="cs"/>
          <w:rtl/>
        </w:rPr>
        <w:t xml:space="preserve"> </w:t>
      </w:r>
      <w:r w:rsidRPr="005675B2">
        <w:rPr>
          <w:rFonts w:hint="cs"/>
          <w:rtl/>
        </w:rPr>
        <w:t>أهل السنة والجماعة من الأشاعرة</w:t>
      </w:r>
      <w:r w:rsidR="000636C2">
        <w:rPr>
          <w:rFonts w:hint="cs"/>
          <w:rtl/>
        </w:rPr>
        <w:t>،</w:t>
      </w:r>
      <w:r w:rsidRPr="005675B2">
        <w:rPr>
          <w:rFonts w:hint="cs"/>
          <w:rtl/>
        </w:rPr>
        <w:t xml:space="preserve"> هو كالسكوت عن البهرة والقاديانية الكفرة المجمع على كفرهم</w:t>
      </w:r>
      <w:r w:rsidR="000636C2">
        <w:rPr>
          <w:rFonts w:hint="cs"/>
          <w:rtl/>
        </w:rPr>
        <w:t xml:space="preserve"> </w:t>
      </w:r>
      <w:r w:rsidRPr="005675B2">
        <w:rPr>
          <w:rFonts w:hint="cs"/>
          <w:rtl/>
        </w:rPr>
        <w:t>فسبحان الله إلى أين وصل الغلو وسوء الفهم</w:t>
      </w:r>
      <w:r w:rsidR="000636C2">
        <w:rPr>
          <w:rFonts w:hint="cs"/>
          <w:rtl/>
        </w:rPr>
        <w:t>؟!</w:t>
      </w:r>
      <w:r w:rsidRPr="005675B2">
        <w:rPr>
          <w:rFonts w:hint="cs"/>
          <w:rtl/>
        </w:rPr>
        <w:t>!</w:t>
      </w:r>
      <w:r w:rsidR="000636C2">
        <w:rPr>
          <w:rFonts w:hint="cs"/>
          <w:rtl/>
        </w:rPr>
        <w:t>،</w:t>
      </w:r>
    </w:p>
    <w:p w14:paraId="3212A66B" w14:textId="3845675B" w:rsidR="009C32A0" w:rsidRPr="005675B2" w:rsidRDefault="009C32A0" w:rsidP="000636C2">
      <w:pPr>
        <w:rPr>
          <w:b/>
          <w:rtl/>
        </w:rPr>
      </w:pPr>
      <w:r w:rsidRPr="005675B2">
        <w:rPr>
          <w:rFonts w:hint="cs"/>
          <w:rtl/>
        </w:rPr>
        <w:t xml:space="preserve">2 - </w:t>
      </w:r>
      <w:r w:rsidR="000636C2">
        <w:rPr>
          <w:rFonts w:hint="cs"/>
          <w:rtl/>
        </w:rPr>
        <w:t>(</w:t>
      </w:r>
      <w:r w:rsidRPr="005675B2">
        <w:rPr>
          <w:rFonts w:hint="cs"/>
          <w:rtl/>
        </w:rPr>
        <w:t>وإما أن يقولوا</w:t>
      </w:r>
      <w:r w:rsidR="000636C2">
        <w:rPr>
          <w:rFonts w:hint="cs"/>
          <w:rtl/>
        </w:rPr>
        <w:t>:</w:t>
      </w:r>
      <w:r w:rsidRPr="005675B2">
        <w:rPr>
          <w:rFonts w:hint="cs"/>
          <w:rtl/>
        </w:rPr>
        <w:t xml:space="preserve"> كلا</w:t>
      </w:r>
      <w:r w:rsidR="000636C2">
        <w:rPr>
          <w:rFonts w:hint="cs"/>
          <w:rtl/>
        </w:rPr>
        <w:t>،</w:t>
      </w:r>
      <w:r w:rsidRPr="005675B2">
        <w:rPr>
          <w:rFonts w:hint="cs"/>
        </w:rPr>
        <w:t xml:space="preserve"> </w:t>
      </w:r>
      <w:r w:rsidRPr="005675B2">
        <w:rPr>
          <w:rFonts w:hint="cs"/>
          <w:rtl/>
        </w:rPr>
        <w:t>لا يعم هذا الحكم كل المنتسبين للإسلام</w:t>
      </w:r>
      <w:r w:rsidR="000636C2">
        <w:rPr>
          <w:rFonts w:hint="cs"/>
          <w:rtl/>
        </w:rPr>
        <w:t>،</w:t>
      </w:r>
      <w:r w:rsidRPr="005675B2">
        <w:rPr>
          <w:rFonts w:hint="cs"/>
          <w:rtl/>
        </w:rPr>
        <w:t xml:space="preserve"> بل لابد من بيان كفر وضلال تلك الفرق وليس</w:t>
      </w:r>
      <w:r w:rsidRPr="005675B2">
        <w:rPr>
          <w:rFonts w:hint="cs"/>
        </w:rPr>
        <w:t xml:space="preserve"> </w:t>
      </w:r>
      <w:r w:rsidRPr="005675B2">
        <w:rPr>
          <w:rFonts w:hint="cs"/>
          <w:rtl/>
        </w:rPr>
        <w:t>في ذلك تفريق ولا تمزيق</w:t>
      </w:r>
      <w:r w:rsidR="000636C2">
        <w:rPr>
          <w:rFonts w:hint="cs"/>
          <w:rtl/>
        </w:rPr>
        <w:t>،</w:t>
      </w:r>
      <w:r w:rsidRPr="005675B2">
        <w:rPr>
          <w:rFonts w:hint="cs"/>
          <w:rtl/>
        </w:rPr>
        <w:t xml:space="preserve"> وإنما نريد توحيد صف أهل السنة والأشاعرة أو الفرق التي</w:t>
      </w:r>
      <w:r w:rsidRPr="005675B2">
        <w:rPr>
          <w:rFonts w:hint="cs"/>
        </w:rPr>
        <w:t xml:space="preserve"> </w:t>
      </w:r>
      <w:r w:rsidRPr="005675B2">
        <w:rPr>
          <w:rFonts w:hint="cs"/>
          <w:rtl/>
        </w:rPr>
        <w:t>ليست ضالة ولا منحرفة</w:t>
      </w:r>
      <w:r w:rsidR="000636C2">
        <w:rPr>
          <w:rFonts w:hint="cs"/>
          <w:rtl/>
        </w:rPr>
        <w:t>!</w:t>
      </w:r>
      <w:r w:rsidRPr="005675B2">
        <w:rPr>
          <w:rFonts w:hint="cs"/>
          <w:rtl/>
        </w:rPr>
        <w:t>!</w:t>
      </w:r>
      <w:r>
        <w:rPr>
          <w:rFonts w:hint="cs"/>
          <w:rtl/>
        </w:rPr>
        <w:t xml:space="preserve"> </w:t>
      </w:r>
      <w:r w:rsidRPr="005675B2">
        <w:rPr>
          <w:rFonts w:hint="cs"/>
          <w:rtl/>
        </w:rPr>
        <w:t>فنقول لهم حينئذ</w:t>
      </w:r>
      <w:r w:rsidR="000636C2">
        <w:rPr>
          <w:rFonts w:hint="cs"/>
          <w:rtl/>
        </w:rPr>
        <w:t>: (</w:t>
      </w:r>
      <w:r>
        <w:rPr>
          <w:rFonts w:hint="cs"/>
          <w:rtl/>
        </w:rPr>
        <w:t>أولا</w:t>
      </w:r>
      <w:r w:rsidR="000636C2">
        <w:rPr>
          <w:rFonts w:hint="cs"/>
          <w:rtl/>
        </w:rPr>
        <w:t>):</w:t>
      </w:r>
      <w:r w:rsidRPr="005675B2">
        <w:rPr>
          <w:rFonts w:hint="cs"/>
          <w:rtl/>
        </w:rPr>
        <w:t xml:space="preserve"> قد نقضتم قاعدتكم</w:t>
      </w:r>
      <w:r w:rsidRPr="005675B2">
        <w:rPr>
          <w:rFonts w:hint="cs"/>
        </w:rPr>
        <w:t xml:space="preserve"> </w:t>
      </w:r>
      <w:r w:rsidRPr="005675B2">
        <w:rPr>
          <w:rFonts w:hint="cs"/>
          <w:rtl/>
        </w:rPr>
        <w:t>بأنفسكم</w:t>
      </w:r>
      <w:r w:rsidR="000636C2">
        <w:rPr>
          <w:rFonts w:hint="cs"/>
          <w:rtl/>
        </w:rPr>
        <w:t>،</w:t>
      </w:r>
      <w:r w:rsidRPr="005675B2">
        <w:rPr>
          <w:rFonts w:hint="cs"/>
          <w:rtl/>
        </w:rPr>
        <w:t xml:space="preserve"> فلا ترفعوا هذا الشعار إلا مقيداً مشروطاً إن كنتم صادقين</w:t>
      </w:r>
      <w:r w:rsidR="000636C2">
        <w:rPr>
          <w:rFonts w:hint="cs"/>
          <w:rtl/>
        </w:rPr>
        <w:t>،</w:t>
      </w:r>
      <w:r w:rsidRPr="005675B2">
        <w:rPr>
          <w:rFonts w:hint="cs"/>
          <w:rtl/>
        </w:rPr>
        <w:t xml:space="preserve"> لكن أخبرونا</w:t>
      </w:r>
      <w:r w:rsidRPr="005675B2">
        <w:rPr>
          <w:rFonts w:hint="cs"/>
        </w:rPr>
        <w:t xml:space="preserve"> </w:t>
      </w:r>
      <w:r w:rsidRPr="005675B2">
        <w:rPr>
          <w:rFonts w:hint="cs"/>
          <w:rtl/>
        </w:rPr>
        <w:t>بأي معيار من معايير العدل تريدون السكوت عن إثارة الخلاف مع هذه وتحكمون بعدم</w:t>
      </w:r>
      <w:r w:rsidRPr="005675B2">
        <w:rPr>
          <w:rFonts w:hint="cs"/>
        </w:rPr>
        <w:t xml:space="preserve"> </w:t>
      </w:r>
      <w:r w:rsidRPr="005675B2">
        <w:rPr>
          <w:rFonts w:hint="cs"/>
          <w:rtl/>
        </w:rPr>
        <w:t>ضلالها ووجوب إثارته مع تلك وتحكمون</w:t>
      </w:r>
      <w:r w:rsidRPr="005675B2">
        <w:rPr>
          <w:rFonts w:hint="cs"/>
        </w:rPr>
        <w:t xml:space="preserve"> </w:t>
      </w:r>
      <w:r w:rsidRPr="005675B2">
        <w:rPr>
          <w:rFonts w:hint="cs"/>
          <w:rtl/>
        </w:rPr>
        <w:t>بضلالها</w:t>
      </w:r>
      <w:r w:rsidR="000636C2">
        <w:rPr>
          <w:rFonts w:hint="cs"/>
          <w:rtl/>
        </w:rPr>
        <w:t>،</w:t>
      </w:r>
      <w:r w:rsidRPr="005675B2">
        <w:rPr>
          <w:rFonts w:hint="cs"/>
          <w:rtl/>
        </w:rPr>
        <w:t xml:space="preserve"> أنهاجم الإباضية ونتآخى مع الرافضة مثلاً أم العكس</w:t>
      </w:r>
      <w:r w:rsidR="000636C2">
        <w:rPr>
          <w:rFonts w:hint="cs"/>
          <w:rtl/>
        </w:rPr>
        <w:t>؟</w:t>
      </w:r>
      <w:r w:rsidRPr="005675B2">
        <w:rPr>
          <w:rFonts w:hint="cs"/>
          <w:rtl/>
        </w:rPr>
        <w:t xml:space="preserve"> أو نشنع على الرافضة</w:t>
      </w:r>
      <w:r w:rsidRPr="005675B2">
        <w:rPr>
          <w:rFonts w:hint="cs"/>
        </w:rPr>
        <w:t xml:space="preserve"> </w:t>
      </w:r>
      <w:r w:rsidRPr="005675B2">
        <w:rPr>
          <w:rFonts w:hint="cs"/>
          <w:rtl/>
        </w:rPr>
        <w:t>ونصمت عن الصوفية</w:t>
      </w:r>
      <w:r w:rsidR="000636C2">
        <w:rPr>
          <w:rFonts w:hint="cs"/>
          <w:rtl/>
        </w:rPr>
        <w:t>؟</w:t>
      </w:r>
      <w:r w:rsidRPr="005675B2">
        <w:rPr>
          <w:rFonts w:hint="cs"/>
          <w:rtl/>
        </w:rPr>
        <w:t xml:space="preserve"> أم ماذا</w:t>
      </w:r>
      <w:r w:rsidR="000636C2">
        <w:rPr>
          <w:rFonts w:hint="cs"/>
          <w:rtl/>
        </w:rPr>
        <w:t>؟</w:t>
      </w:r>
      <w:r w:rsidRPr="005675B2">
        <w:rPr>
          <w:rFonts w:hint="cs"/>
          <w:rtl/>
        </w:rPr>
        <w:t xml:space="preserve"> ما هو المعيار</w:t>
      </w:r>
      <w:r w:rsidR="000636C2">
        <w:rPr>
          <w:rFonts w:hint="cs"/>
          <w:rtl/>
        </w:rPr>
        <w:t>؟</w:t>
      </w:r>
      <w:r w:rsidRPr="005675B2">
        <w:rPr>
          <w:rFonts w:hint="cs"/>
          <w:rtl/>
        </w:rPr>
        <w:t xml:space="preserve"> وهل هناك حقاً فرق ضالة فأخبروني ما</w:t>
      </w:r>
      <w:r w:rsidRPr="005675B2">
        <w:rPr>
          <w:rFonts w:hint="cs"/>
        </w:rPr>
        <w:t xml:space="preserve"> </w:t>
      </w:r>
      <w:r w:rsidRPr="005675B2">
        <w:rPr>
          <w:rFonts w:hint="cs"/>
          <w:rtl/>
        </w:rPr>
        <w:t>هو الضلال إذن</w:t>
      </w:r>
      <w:r w:rsidR="000636C2">
        <w:rPr>
          <w:rFonts w:hint="cs"/>
          <w:rtl/>
        </w:rPr>
        <w:t xml:space="preserve">؟ </w:t>
      </w:r>
      <w:r w:rsidRPr="005675B2">
        <w:rPr>
          <w:rFonts w:hint="cs"/>
          <w:rtl/>
        </w:rPr>
        <w:t>وهنا يطالب الكاتب بشروط للسكوت عن الخلافات التي يفتعلها مع الأشاعرة</w:t>
      </w:r>
      <w:r w:rsidR="000636C2">
        <w:rPr>
          <w:rFonts w:hint="cs"/>
          <w:rtl/>
        </w:rPr>
        <w:t>،</w:t>
      </w:r>
      <w:r w:rsidRPr="005675B2">
        <w:rPr>
          <w:rFonts w:hint="cs"/>
          <w:rtl/>
        </w:rPr>
        <w:t>ويصور أن الخلافات كلها على نسق واحد</w:t>
      </w:r>
      <w:r w:rsidR="000636C2">
        <w:rPr>
          <w:rFonts w:hint="cs"/>
          <w:rtl/>
        </w:rPr>
        <w:t>،</w:t>
      </w:r>
      <w:r w:rsidRPr="005675B2">
        <w:rPr>
          <w:rFonts w:hint="cs"/>
          <w:rtl/>
        </w:rPr>
        <w:t>فخلط بين الخلاف في القطعيات والخلاف في الظنيات</w:t>
      </w:r>
      <w:r w:rsidR="000636C2">
        <w:rPr>
          <w:rFonts w:hint="cs"/>
          <w:rtl/>
        </w:rPr>
        <w:t xml:space="preserve">، </w:t>
      </w:r>
      <w:r w:rsidRPr="005675B2">
        <w:rPr>
          <w:rFonts w:hint="cs"/>
          <w:rtl/>
        </w:rPr>
        <w:t>وخلط بين مسألة التعاون ضد العدو والكافر الأصلي</w:t>
      </w:r>
      <w:r w:rsidR="000636C2">
        <w:rPr>
          <w:rFonts w:hint="cs"/>
          <w:rtl/>
        </w:rPr>
        <w:t>،</w:t>
      </w:r>
      <w:r w:rsidRPr="005675B2">
        <w:rPr>
          <w:rFonts w:hint="cs"/>
          <w:rtl/>
        </w:rPr>
        <w:t xml:space="preserve"> وبين السكوت عن الرد العلمي الصحيح لبيان</w:t>
      </w:r>
      <w:r>
        <w:rPr>
          <w:rFonts w:hint="cs"/>
          <w:rtl/>
        </w:rPr>
        <w:t xml:space="preserve"> </w:t>
      </w:r>
      <w:r w:rsidRPr="005675B2">
        <w:rPr>
          <w:rFonts w:hint="cs"/>
          <w:rtl/>
        </w:rPr>
        <w:t>بدعة ونحوها</w:t>
      </w:r>
      <w:r w:rsidR="000636C2">
        <w:rPr>
          <w:rFonts w:hint="cs"/>
          <w:rtl/>
        </w:rPr>
        <w:t>،</w:t>
      </w:r>
      <w:r w:rsidRPr="005675B2">
        <w:rPr>
          <w:rFonts w:hint="cs"/>
          <w:rtl/>
        </w:rPr>
        <w:t xml:space="preserve"> وأقول</w:t>
      </w:r>
      <w:r w:rsidR="000636C2">
        <w:rPr>
          <w:rFonts w:hint="cs"/>
          <w:rtl/>
        </w:rPr>
        <w:t xml:space="preserve">: </w:t>
      </w:r>
      <w:r w:rsidRPr="005675B2">
        <w:rPr>
          <w:rFonts w:hint="cs"/>
          <w:rtl/>
        </w:rPr>
        <w:t>إن الكاتب لم يحسن في شيء من الجانبين فلا عدل في ردوده ولا علم بما يكتب فيه</w:t>
      </w:r>
      <w:r w:rsidR="000636C2">
        <w:rPr>
          <w:rFonts w:hint="cs"/>
          <w:rtl/>
        </w:rPr>
        <w:t>،</w:t>
      </w:r>
      <w:r w:rsidRPr="005675B2">
        <w:rPr>
          <w:rFonts w:hint="cs"/>
          <w:rtl/>
        </w:rPr>
        <w:t xml:space="preserve"> ولا سلمنا على وحدة الأمة</w:t>
      </w:r>
      <w:r w:rsidR="000636C2">
        <w:rPr>
          <w:rFonts w:hint="cs"/>
          <w:rtl/>
        </w:rPr>
        <w:t>،</w:t>
      </w:r>
    </w:p>
    <w:p w14:paraId="108725A0" w14:textId="6C2FC47A" w:rsidR="009C32A0" w:rsidRPr="005675B2" w:rsidRDefault="009C32A0" w:rsidP="000636C2">
      <w:pPr>
        <w:rPr>
          <w:b/>
          <w:rtl/>
        </w:rPr>
      </w:pPr>
      <w:r w:rsidRPr="005675B2">
        <w:rPr>
          <w:rFonts w:hint="cs"/>
          <w:rtl/>
        </w:rPr>
        <w:t>قال الكاتب</w:t>
      </w:r>
      <w:r w:rsidR="000636C2">
        <w:rPr>
          <w:rFonts w:hint="cs"/>
          <w:rtl/>
        </w:rPr>
        <w:t>: (</w:t>
      </w:r>
      <w:r w:rsidRPr="005675B2">
        <w:rPr>
          <w:rFonts w:hint="cs"/>
          <w:rtl/>
        </w:rPr>
        <w:t>1</w:t>
      </w:r>
      <w:r w:rsidR="000636C2">
        <w:rPr>
          <w:rFonts w:hint="cs"/>
          <w:rtl/>
        </w:rPr>
        <w:t>)</w:t>
      </w:r>
      <w:r w:rsidRPr="005675B2">
        <w:rPr>
          <w:rFonts w:hint="cs"/>
          <w:rtl/>
        </w:rPr>
        <w:t xml:space="preserve"> إما أنكم أنتم وحدكم أهل</w:t>
      </w:r>
      <w:r w:rsidRPr="005675B2">
        <w:rPr>
          <w:rFonts w:hint="cs"/>
        </w:rPr>
        <w:t xml:space="preserve"> </w:t>
      </w:r>
      <w:r w:rsidRPr="005675B2">
        <w:rPr>
          <w:rFonts w:hint="cs"/>
          <w:rtl/>
        </w:rPr>
        <w:t>السنة والجماعة</w:t>
      </w:r>
      <w:r w:rsidR="000636C2">
        <w:rPr>
          <w:rFonts w:hint="cs"/>
          <w:rtl/>
        </w:rPr>
        <w:t>،</w:t>
      </w:r>
      <w:r w:rsidRPr="005675B2">
        <w:rPr>
          <w:rFonts w:hint="cs"/>
          <w:rtl/>
        </w:rPr>
        <w:t xml:space="preserve"> ولكن تقبلون التوحيد معنا تنازلاً وتفضلا على ما فينا</w:t>
      </w:r>
      <w:r w:rsidR="000636C2">
        <w:rPr>
          <w:rFonts w:hint="cs"/>
          <w:rtl/>
        </w:rPr>
        <w:t xml:space="preserve"> </w:t>
      </w:r>
      <w:r w:rsidRPr="005675B2">
        <w:rPr>
          <w:rFonts w:hint="cs"/>
          <w:rtl/>
        </w:rPr>
        <w:t>- بزعمكم</w:t>
      </w:r>
      <w:r w:rsidR="000636C2">
        <w:rPr>
          <w:rFonts w:hint="cs"/>
          <w:rtl/>
        </w:rPr>
        <w:t xml:space="preserve"> </w:t>
      </w:r>
      <w:r w:rsidRPr="005675B2">
        <w:rPr>
          <w:rFonts w:hint="cs"/>
          <w:rtl/>
        </w:rPr>
        <w:t>- من تشبيه وتجسيم وحشو وكفر وضلال</w:t>
      </w:r>
      <w:r w:rsidR="000636C2">
        <w:rPr>
          <w:rFonts w:hint="cs"/>
          <w:rtl/>
        </w:rPr>
        <w:t>، (</w:t>
      </w:r>
      <w:r w:rsidRPr="005675B2">
        <w:rPr>
          <w:rFonts w:hint="cs"/>
          <w:rtl/>
        </w:rPr>
        <w:t>2</w:t>
      </w:r>
      <w:r w:rsidR="000636C2">
        <w:rPr>
          <w:rFonts w:hint="cs"/>
          <w:rtl/>
        </w:rPr>
        <w:t>)</w:t>
      </w:r>
      <w:r w:rsidRPr="005675B2">
        <w:rPr>
          <w:rFonts w:hint="cs"/>
          <w:rtl/>
        </w:rPr>
        <w:t xml:space="preserve"> و إما أنكم لستم من أهل السنة والجماعة ولكن تريدون التوحد معهم طالبين منهم التنازل والتفضل بقبولكم على ما فيكم من بدعة وضلالة</w:t>
      </w:r>
      <w:r w:rsidR="000636C2">
        <w:rPr>
          <w:rFonts w:hint="cs"/>
          <w:rtl/>
        </w:rPr>
        <w:t xml:space="preserve">، </w:t>
      </w:r>
      <w:r w:rsidRPr="005675B2">
        <w:rPr>
          <w:rFonts w:hint="cs"/>
          <w:rtl/>
        </w:rPr>
        <w:t>فإذا حددتم أحد الموقعين أمكن بعد ذلك عرض موضوعكم إما على أصول العقيدة وقواعدها إن اخترتم الأول</w:t>
      </w:r>
      <w:r w:rsidR="000636C2">
        <w:rPr>
          <w:rFonts w:hint="cs"/>
          <w:rtl/>
        </w:rPr>
        <w:t>،</w:t>
      </w:r>
      <w:r w:rsidRPr="005675B2">
        <w:rPr>
          <w:rFonts w:hint="cs"/>
          <w:rtl/>
        </w:rPr>
        <w:t xml:space="preserve"> وإما على ضوابط المصلحة وحدودها الشرعية إن أقررتم بالآخر فأمامكم الخيار و إنا لفي الانتظار</w:t>
      </w:r>
      <w:r w:rsidR="000636C2">
        <w:rPr>
          <w:rFonts w:hint="cs"/>
          <w:rtl/>
        </w:rPr>
        <w:t xml:space="preserve">، </w:t>
      </w:r>
      <w:r w:rsidRPr="005675B2">
        <w:rPr>
          <w:rFonts w:hint="cs"/>
          <w:rtl/>
        </w:rPr>
        <w:t>أما أن نظل نحن وأنتم مختلفين متصارعين منذ أيام أحمد بن حنبل وابن كلاب ثم أيام البربهاري والأشعري ثم أيام الشريف أبي جعفر وابن القشيري ثم أيام عبدالقادر الجيلاني وأبي الفتوح الإسفرائيني ثم أيام شيخ الإسلام والسبكي ثم</w:t>
      </w:r>
      <w:r>
        <w:rPr>
          <w:rFonts w:hint="cs"/>
          <w:rtl/>
        </w:rPr>
        <w:t xml:space="preserve"> </w:t>
      </w:r>
      <w:r w:rsidRPr="005675B2">
        <w:rPr>
          <w:rFonts w:hint="cs"/>
          <w:rtl/>
        </w:rPr>
        <w:t>أيام محمد بن عبدالوهاب ومعاصريه منكم</w:t>
      </w:r>
      <w:r w:rsidR="000636C2">
        <w:rPr>
          <w:rFonts w:hint="cs"/>
          <w:rtl/>
        </w:rPr>
        <w:t>،</w:t>
      </w:r>
      <w:r w:rsidRPr="005675B2">
        <w:rPr>
          <w:rFonts w:hint="cs"/>
          <w:rtl/>
        </w:rPr>
        <w:t xml:space="preserve"> ثم أيام المعلمي والكوثري ثم أيام الألباني وأبي غدة وأخيرا إلى الفوزان والصابوني ..</w:t>
      </w:r>
      <w:r>
        <w:rPr>
          <w:rFonts w:hint="cs"/>
          <w:rtl/>
        </w:rPr>
        <w:t xml:space="preserve"> </w:t>
      </w:r>
      <w:r w:rsidRPr="005675B2">
        <w:rPr>
          <w:rFonts w:hint="cs"/>
          <w:rtl/>
        </w:rPr>
        <w:t>وبعد هذا كله ومعه تقولون أننا وإياكم فرقة واحدة ومنهج واحد فهذا مالا يعقله عقل ولا يصدقه تاريخ</w:t>
      </w:r>
      <w:r w:rsidR="000636C2">
        <w:rPr>
          <w:rFonts w:hint="cs"/>
          <w:rtl/>
        </w:rPr>
        <w:t xml:space="preserve">، </w:t>
      </w:r>
      <w:r w:rsidRPr="005675B2">
        <w:rPr>
          <w:rFonts w:hint="cs"/>
          <w:rtl/>
        </w:rPr>
        <w:t>غير أننا لابد أن نذكّر بحقيقة كبرى هي أن النبي صلى الله عليه وسلم قد قال</w:t>
      </w:r>
      <w:r w:rsidR="000636C2">
        <w:rPr>
          <w:rFonts w:hint="cs"/>
          <w:rtl/>
        </w:rPr>
        <w:t>:</w:t>
      </w:r>
      <w:r w:rsidRPr="005675B2">
        <w:rPr>
          <w:rFonts w:hint="cs"/>
          <w:rtl/>
        </w:rPr>
        <w:t xml:space="preserve"> " ستفترق هذه الأمة على ثلاث وسبعين فرقة " وهذا الخبر الصادق لا يمكن معه اختصار الفرق إلى سبعين ولا إلى سبع فضلا عن واحدة فالخير إذن كل الخير أن يبحث الإنسان عن الحق ويعتقده ويدعو إليه وإن خالفته الدنيا كلها وأن يجتنب الضلال ويدعو إلى نبذه ولو داهنه أصحابه كلهم</w:t>
      </w:r>
      <w:r w:rsidR="000636C2">
        <w:rPr>
          <w:rFonts w:hint="cs"/>
          <w:rtl/>
        </w:rPr>
        <w:t>،</w:t>
      </w:r>
      <w:r w:rsidRPr="005675B2">
        <w:rPr>
          <w:rFonts w:hint="cs"/>
          <w:rtl/>
        </w:rPr>
        <w:t xml:space="preserve"> هذا هو الذي سار عليه رسل الله وأمر به الله فلا تصادموا سنة الله وتخالفوا منهج رسله والحمد لله رب العالمين</w:t>
      </w:r>
      <w:r w:rsidR="000636C2">
        <w:rPr>
          <w:rFonts w:hint="cs"/>
          <w:rtl/>
        </w:rPr>
        <w:t>،</w:t>
      </w:r>
    </w:p>
    <w:p w14:paraId="2BBB1AEE" w14:textId="16EDBD7D" w:rsidR="009C32A0" w:rsidRPr="005675B2" w:rsidRDefault="000636C2" w:rsidP="000636C2">
      <w:pPr>
        <w:rPr>
          <w:b/>
          <w:rtl/>
        </w:rPr>
      </w:pPr>
      <w:r>
        <w:rPr>
          <w:rFonts w:hint="cs"/>
          <w:rtl/>
        </w:rPr>
        <w:t>[</w:t>
      </w:r>
      <w:r w:rsidR="009C32A0">
        <w:rPr>
          <w:rFonts w:hint="cs"/>
          <w:rtl/>
        </w:rPr>
        <w:t>الجواب</w:t>
      </w:r>
      <w:r>
        <w:rPr>
          <w:rFonts w:hint="cs"/>
          <w:rtl/>
        </w:rPr>
        <w:t>]:</w:t>
      </w:r>
      <w:r w:rsidR="009C32A0" w:rsidRPr="005675B2">
        <w:rPr>
          <w:rFonts w:hint="cs"/>
          <w:rtl/>
        </w:rPr>
        <w:t xml:space="preserve"> في النفس الأخير للكاتب يوضح الصورة أكثر</w:t>
      </w:r>
      <w:r>
        <w:rPr>
          <w:rFonts w:hint="cs"/>
          <w:rtl/>
        </w:rPr>
        <w:t>،</w:t>
      </w:r>
      <w:r w:rsidR="009C32A0" w:rsidRPr="005675B2">
        <w:rPr>
          <w:rFonts w:hint="cs"/>
          <w:rtl/>
        </w:rPr>
        <w:t>وهي اعتقاده أنه على معتقد الحنابلة</w:t>
      </w:r>
      <w:r>
        <w:rPr>
          <w:rFonts w:hint="cs"/>
          <w:rtl/>
        </w:rPr>
        <w:t>،</w:t>
      </w:r>
      <w:r w:rsidR="009C32A0" w:rsidRPr="005675B2">
        <w:rPr>
          <w:rFonts w:hint="cs"/>
          <w:rtl/>
        </w:rPr>
        <w:t xml:space="preserve"> وأقول وبالله التوفيق لعلك ترى أن الكاتب خلط خلطاً شديداً بين الخلافات اليسيرة كالخلاف بين</w:t>
      </w:r>
      <w:r>
        <w:rPr>
          <w:rFonts w:hint="cs"/>
          <w:rtl/>
        </w:rPr>
        <w:t xml:space="preserve"> </w:t>
      </w:r>
      <w:r w:rsidR="009C32A0" w:rsidRPr="005675B2">
        <w:rPr>
          <w:rFonts w:hint="cs"/>
          <w:rtl/>
        </w:rPr>
        <w:t>الإمامين أحمد بن حنبل وعبدالله بن كلاب</w:t>
      </w:r>
      <w:r>
        <w:rPr>
          <w:rFonts w:hint="cs"/>
          <w:rtl/>
        </w:rPr>
        <w:t>،</w:t>
      </w:r>
      <w:r w:rsidR="009C32A0" w:rsidRPr="005675B2">
        <w:rPr>
          <w:rFonts w:hint="cs"/>
          <w:rtl/>
        </w:rPr>
        <w:t xml:space="preserve"> وقد سبق الكلام عنه وظهر</w:t>
      </w:r>
      <w:r>
        <w:rPr>
          <w:rFonts w:hint="cs"/>
          <w:rtl/>
        </w:rPr>
        <w:t xml:space="preserve"> </w:t>
      </w:r>
      <w:r w:rsidR="009C32A0" w:rsidRPr="005675B2">
        <w:rPr>
          <w:rFonts w:hint="cs"/>
          <w:rtl/>
        </w:rPr>
        <w:t>أنها مسألة اجتهادية،والشريف أبي جعفر والقشيري</w:t>
      </w:r>
      <w:r>
        <w:rPr>
          <w:rFonts w:hint="cs"/>
          <w:rtl/>
        </w:rPr>
        <w:t>،</w:t>
      </w:r>
      <w:r w:rsidR="009C32A0" w:rsidRPr="005675B2">
        <w:rPr>
          <w:rFonts w:hint="cs"/>
          <w:rtl/>
        </w:rPr>
        <w:t xml:space="preserve"> وهو خلاف بين التفويض والتأويل وكل له دليله وهي مسألة ظنية سبق الكلام عنها، وكذا خلاف</w:t>
      </w:r>
      <w:r>
        <w:rPr>
          <w:rFonts w:hint="cs"/>
          <w:rtl/>
        </w:rPr>
        <w:t xml:space="preserve"> </w:t>
      </w:r>
      <w:r w:rsidR="009C32A0" w:rsidRPr="005675B2">
        <w:rPr>
          <w:rFonts w:hint="cs"/>
          <w:rtl/>
        </w:rPr>
        <w:t>الإمام عبدالقادر الجيلاني و الإسفراييني</w:t>
      </w:r>
      <w:r>
        <w:rPr>
          <w:rFonts w:hint="cs"/>
          <w:rtl/>
        </w:rPr>
        <w:t>،</w:t>
      </w:r>
      <w:r w:rsidR="009C32A0">
        <w:rPr>
          <w:rFonts w:hint="cs"/>
          <w:rtl/>
        </w:rPr>
        <w:t xml:space="preserve"> </w:t>
      </w:r>
      <w:r w:rsidR="009C32A0" w:rsidRPr="005675B2">
        <w:rPr>
          <w:rFonts w:hint="cs"/>
          <w:rtl/>
        </w:rPr>
        <w:t>وبين خلافات في القطعيات كالخلاف بين ابن تيمية وغيره من علماء القرن الثامن</w:t>
      </w:r>
      <w:r>
        <w:rPr>
          <w:rFonts w:hint="cs"/>
          <w:rtl/>
        </w:rPr>
        <w:t xml:space="preserve"> </w:t>
      </w:r>
      <w:r w:rsidR="009C32A0" w:rsidRPr="005675B2">
        <w:rPr>
          <w:rFonts w:hint="cs"/>
          <w:rtl/>
        </w:rPr>
        <w:t>كالسبكي</w:t>
      </w:r>
      <w:r>
        <w:rPr>
          <w:rFonts w:hint="cs"/>
          <w:rtl/>
        </w:rPr>
        <w:t>،</w:t>
      </w:r>
      <w:r w:rsidR="009C32A0" w:rsidRPr="005675B2">
        <w:rPr>
          <w:rFonts w:hint="cs"/>
          <w:rtl/>
        </w:rPr>
        <w:t>وقد انتهى بتوبة ابن تيمية كما في الدرر الكامنة للحافظ ابن حجر</w:t>
      </w:r>
      <w:r>
        <w:rPr>
          <w:rFonts w:hint="cs"/>
          <w:rtl/>
        </w:rPr>
        <w:t>،</w:t>
      </w:r>
      <w:r w:rsidR="009C32A0" w:rsidRPr="005675B2">
        <w:rPr>
          <w:rFonts w:hint="cs"/>
          <w:rtl/>
        </w:rPr>
        <w:t xml:space="preserve"> وكانت خلافات في قول ابن تيمية وتلميذه بأزلية العالم النوعي</w:t>
      </w:r>
      <w:r>
        <w:rPr>
          <w:rFonts w:hint="cs"/>
          <w:rtl/>
        </w:rPr>
        <w:t>،</w:t>
      </w:r>
      <w:r w:rsidR="009C32A0" w:rsidRPr="005675B2">
        <w:rPr>
          <w:rFonts w:hint="cs"/>
          <w:rtl/>
        </w:rPr>
        <w:t xml:space="preserve"> ومسألة حلول الله في الخلاء العدمي</w:t>
      </w:r>
      <w:r>
        <w:rPr>
          <w:rFonts w:hint="cs"/>
          <w:rtl/>
        </w:rPr>
        <w:t>،</w:t>
      </w:r>
      <w:r w:rsidR="009C32A0" w:rsidRPr="005675B2">
        <w:rPr>
          <w:rFonts w:hint="cs"/>
          <w:rtl/>
        </w:rPr>
        <w:t xml:space="preserve"> ومسألة إدعاء أن الله تحل فيه الحوادث</w:t>
      </w:r>
      <w:r>
        <w:rPr>
          <w:rFonts w:hint="cs"/>
          <w:rtl/>
        </w:rPr>
        <w:t>،</w:t>
      </w:r>
      <w:r w:rsidR="009C32A0">
        <w:rPr>
          <w:rFonts w:hint="cs"/>
          <w:rtl/>
        </w:rPr>
        <w:t xml:space="preserve"> </w:t>
      </w:r>
      <w:r w:rsidR="009C32A0" w:rsidRPr="005675B2">
        <w:rPr>
          <w:rFonts w:hint="cs"/>
          <w:rtl/>
        </w:rPr>
        <w:t>فأقول وبالله التوفيق وعليه التكلان</w:t>
      </w:r>
      <w:r>
        <w:rPr>
          <w:rFonts w:hint="cs"/>
          <w:rtl/>
        </w:rPr>
        <w:t>: (</w:t>
      </w:r>
      <w:r w:rsidR="009C32A0">
        <w:rPr>
          <w:rFonts w:hint="cs"/>
          <w:rtl/>
        </w:rPr>
        <w:t>أولا</w:t>
      </w:r>
      <w:r>
        <w:rPr>
          <w:rFonts w:hint="cs"/>
          <w:rtl/>
        </w:rPr>
        <w:t>):</w:t>
      </w:r>
      <w:r w:rsidR="009C32A0" w:rsidRPr="005675B2">
        <w:rPr>
          <w:rFonts w:hint="cs"/>
          <w:rtl/>
        </w:rPr>
        <w:t xml:space="preserve"> فرق كبير بين عقيدة الحنابلة وعلى رأسهم الإمام أحمد</w:t>
      </w:r>
      <w:r>
        <w:rPr>
          <w:rFonts w:hint="cs"/>
          <w:rtl/>
        </w:rPr>
        <w:t>،</w:t>
      </w:r>
      <w:r w:rsidR="009C32A0" w:rsidRPr="005675B2">
        <w:rPr>
          <w:rFonts w:hint="cs"/>
          <w:rtl/>
        </w:rPr>
        <w:t>وبين عقيدة الأخ الحوالي هداه الله التي أخذها من</w:t>
      </w:r>
      <w:r>
        <w:rPr>
          <w:rFonts w:hint="cs"/>
          <w:rtl/>
        </w:rPr>
        <w:t xml:space="preserve"> </w:t>
      </w:r>
      <w:r w:rsidR="009C32A0" w:rsidRPr="005675B2">
        <w:rPr>
          <w:rFonts w:hint="cs"/>
          <w:rtl/>
        </w:rPr>
        <w:t>كتب تنسب للإمام ابن تيمية رحمه الله</w:t>
      </w:r>
      <w:r>
        <w:rPr>
          <w:rFonts w:hint="cs"/>
          <w:rtl/>
        </w:rPr>
        <w:t>، (</w:t>
      </w:r>
      <w:r w:rsidR="009C32A0">
        <w:rPr>
          <w:rFonts w:hint="cs"/>
          <w:rtl/>
        </w:rPr>
        <w:t>ثانيا</w:t>
      </w:r>
      <w:r>
        <w:rPr>
          <w:rFonts w:hint="cs"/>
          <w:rtl/>
        </w:rPr>
        <w:t>):</w:t>
      </w:r>
      <w:r w:rsidR="009C32A0" w:rsidRPr="005675B2">
        <w:rPr>
          <w:rFonts w:hint="cs"/>
          <w:rtl/>
        </w:rPr>
        <w:t xml:space="preserve"> يلاحظ القارىء الكريم أن هؤلاء الذين جرى بينهم الخلاف يعدون على الأصابع ومن نظر في عدد علماء الحنابلة والأشاعرة على مر السنين وجدهم آلاف مؤلفة</w:t>
      </w:r>
      <w:r>
        <w:rPr>
          <w:rFonts w:hint="cs"/>
          <w:rtl/>
        </w:rPr>
        <w:t>،</w:t>
      </w:r>
    </w:p>
    <w:p w14:paraId="4404F1F4" w14:textId="6107486C" w:rsidR="009C32A0" w:rsidRDefault="009C32A0" w:rsidP="000636C2">
      <w:pPr>
        <w:rPr>
          <w:b/>
          <w:rtl/>
        </w:rPr>
      </w:pPr>
      <w:r w:rsidRPr="005B622A">
        <w:rPr>
          <w:rFonts w:hint="cs"/>
          <w:bCs/>
          <w:rtl/>
        </w:rPr>
        <w:t>متى بدأت الفتنة بين الفريقين</w:t>
      </w:r>
      <w:r w:rsidR="000636C2">
        <w:rPr>
          <w:rFonts w:hint="cs"/>
          <w:rtl/>
        </w:rPr>
        <w:t>:</w:t>
      </w:r>
      <w:r w:rsidRPr="005675B2">
        <w:rPr>
          <w:rFonts w:hint="cs"/>
          <w:rtl/>
        </w:rPr>
        <w:t>وقد كان أهل الحديث والحنابلة مع الأشعرية والماتريدية يداً واحدة على المبتدعة والزنادقة , وكانوا كالشيء الواحد حتى حصلت في القرن الخامس الهجري حادثة عرفت بفتنة بغداد</w:t>
      </w:r>
      <w:r w:rsidR="000636C2">
        <w:rPr>
          <w:rFonts w:hint="cs"/>
          <w:rtl/>
        </w:rPr>
        <w:t xml:space="preserve"> </w:t>
      </w:r>
      <w:r w:rsidRPr="005675B2">
        <w:rPr>
          <w:rFonts w:hint="cs"/>
          <w:rtl/>
        </w:rPr>
        <w:t>تسببت في الفرقة بين الطائفتين , قال الإمام ابن عساكر في كتابه تبيين كذب المفتري ص 163</w:t>
      </w:r>
      <w:r w:rsidR="000636C2">
        <w:rPr>
          <w:rFonts w:hint="cs"/>
          <w:rtl/>
        </w:rPr>
        <w:t>(</w:t>
      </w:r>
      <w:r w:rsidRPr="005675B2">
        <w:rPr>
          <w:rFonts w:hint="cs"/>
          <w:rtl/>
        </w:rPr>
        <w:t>ولم تزل الحنابلة ببغداد في قديم الدهر على ممر الأوقات تعتضد بالأشعرية على أصحاب البدع لأنهم المتكلمون من أهل الإثبات فمن تكلم منهم في الرد على مبتدع فبلسان الأشعرية يتكلم ومن حقق منهم في الأصول في مسألة فمنهم يتعلم فلم يزالوا كذلك حتى حدث الاختلاف في زمن أبي نصر القشيري</w:t>
      </w:r>
      <w:r w:rsidR="000636C2">
        <w:rPr>
          <w:rFonts w:hint="cs"/>
          <w:rtl/>
        </w:rPr>
        <w:t>)</w:t>
      </w:r>
      <w:r w:rsidRPr="005675B2">
        <w:rPr>
          <w:rFonts w:hint="cs"/>
          <w:rtl/>
        </w:rPr>
        <w:t xml:space="preserve"> أهـ</w:t>
      </w:r>
      <w:r w:rsidR="000636C2">
        <w:rPr>
          <w:rFonts w:hint="cs"/>
          <w:rtl/>
        </w:rPr>
        <w:t xml:space="preserve">، </w:t>
      </w:r>
      <w:r w:rsidRPr="005675B2">
        <w:rPr>
          <w:rFonts w:hint="cs"/>
          <w:rtl/>
        </w:rPr>
        <w:t>وقد ذكر هذه الحادثة كثير من أهل التواريخ والسير ومنهم الذهبي في السير وابن رجب في ذيل الطبقات وابن الأثير في الكامل وابن كثير في البداية والنهاية وغيرهم , وانظر مثلا البداية والنهاية 12/115</w:t>
      </w:r>
      <w:r w:rsidR="000636C2">
        <w:rPr>
          <w:rFonts w:hint="cs"/>
          <w:rtl/>
        </w:rPr>
        <w:t xml:space="preserve">، </w:t>
      </w:r>
    </w:p>
    <w:p w14:paraId="0CC30126" w14:textId="6E619BCE" w:rsidR="009C32A0" w:rsidRDefault="009C32A0" w:rsidP="000636C2">
      <w:pPr>
        <w:rPr>
          <w:b/>
          <w:rtl/>
          <w:lang w:bidi="ar-KW"/>
        </w:rPr>
      </w:pPr>
      <w:r w:rsidRPr="005B622A">
        <w:rPr>
          <w:rFonts w:hint="cs"/>
          <w:bCs/>
          <w:rtl/>
        </w:rPr>
        <w:t>موقف الإمام ابن تيمية من تلك الفتنة والخلاف بين الأشاعرة والحنابلة</w:t>
      </w:r>
      <w:r w:rsidR="000636C2">
        <w:rPr>
          <w:rFonts w:hint="cs"/>
          <w:rtl/>
        </w:rPr>
        <w:t>:</w:t>
      </w:r>
      <w:r>
        <w:rPr>
          <w:rFonts w:hint="cs"/>
          <w:rtl/>
        </w:rPr>
        <w:t xml:space="preserve"> </w:t>
      </w:r>
      <w:r w:rsidRPr="005675B2">
        <w:rPr>
          <w:rFonts w:hint="cs"/>
          <w:rtl/>
        </w:rPr>
        <w:t>مع أن الإمام ابن تيمية يخالف الأشاعرة في أشياء إلا أن موقفه منهم لم يكن موقف المعادي بل موقف من يؤلف بين القلوب ويقارب بين وجهات النظر بين الأشعرية والحنبلية حيث قال كما في مجموع الفتاوى 6/53</w:t>
      </w:r>
      <w:r w:rsidR="000636C2">
        <w:rPr>
          <w:rFonts w:hint="cs"/>
          <w:rtl/>
        </w:rPr>
        <w:t>:</w:t>
      </w:r>
      <w:r w:rsidRPr="005675B2">
        <w:rPr>
          <w:rFonts w:hint="cs"/>
          <w:rtl/>
        </w:rPr>
        <w:t xml:space="preserve"> </w:t>
      </w:r>
      <w:r w:rsidR="000636C2">
        <w:rPr>
          <w:rFonts w:hint="cs"/>
          <w:rtl/>
        </w:rPr>
        <w:t>(</w:t>
      </w:r>
      <w:r w:rsidRPr="005675B2">
        <w:rPr>
          <w:rFonts w:hint="cs"/>
          <w:rtl/>
        </w:rPr>
        <w:t>و الأشعرية فيما يثبتونه من السنة فرع على الحنبلية كما أن متكلمة الحنبلية فيما يحتجون به من القياس العقلي فرع عليهم وإنما وقعت الفرقة بسبب فتنة القشيري</w:t>
      </w:r>
      <w:r w:rsidR="000636C2">
        <w:rPr>
          <w:rFonts w:hint="cs"/>
          <w:rtl/>
        </w:rPr>
        <w:t>)</w:t>
      </w:r>
      <w:r w:rsidRPr="005675B2">
        <w:rPr>
          <w:rFonts w:hint="cs"/>
          <w:rtl/>
        </w:rPr>
        <w:t xml:space="preserve"> اه وفي مجموع الفتاوى أيضا 4/17</w:t>
      </w:r>
      <w:r w:rsidR="000636C2">
        <w:rPr>
          <w:rFonts w:hint="cs"/>
          <w:rtl/>
        </w:rPr>
        <w:t>:</w:t>
      </w:r>
      <w:r w:rsidRPr="005675B2">
        <w:rPr>
          <w:rFonts w:hint="cs"/>
          <w:rtl/>
        </w:rPr>
        <w:t xml:space="preserve"> </w:t>
      </w:r>
      <w:r w:rsidR="000636C2">
        <w:rPr>
          <w:rFonts w:hint="cs"/>
          <w:rtl/>
        </w:rPr>
        <w:t>(</w:t>
      </w:r>
      <w:r w:rsidRPr="005675B2">
        <w:rPr>
          <w:rFonts w:hint="cs"/>
          <w:rtl/>
        </w:rPr>
        <w:t>قال أبو القاسم بن عساكر</w:t>
      </w:r>
      <w:r w:rsidR="000636C2">
        <w:rPr>
          <w:rFonts w:hint="cs"/>
          <w:rtl/>
        </w:rPr>
        <w:t>:</w:t>
      </w:r>
      <w:r w:rsidRPr="005675B2">
        <w:rPr>
          <w:rFonts w:hint="cs"/>
          <w:rtl/>
        </w:rPr>
        <w:t xml:space="preserve"> ما زالت الحنابلة والأشاعرة في قديم الدهر متفقين غير مفترقين حتى حدثت فتنة ابن القشيري</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مستفاد من مقال للشيخ عبدالفتاح اليافعي نشر بمنتدى الرياحين وغيره</w:t>
      </w:r>
      <w:r w:rsidR="000636C2">
        <w:rPr>
          <w:rFonts w:hint="cs"/>
          <w:bCs/>
          <w:sz w:val="24"/>
          <w:szCs w:val="24"/>
          <w:rtl/>
        </w:rPr>
        <w:t>]</w:t>
      </w:r>
      <w:r w:rsidR="000636C2">
        <w:rPr>
          <w:rFonts w:hint="cs"/>
          <w:rtl/>
          <w:lang w:bidi="ar-KW"/>
        </w:rPr>
        <w:t>،</w:t>
      </w:r>
      <w:r>
        <w:rPr>
          <w:rFonts w:hint="cs"/>
          <w:rtl/>
          <w:lang w:bidi="ar-KW"/>
        </w:rPr>
        <w:t xml:space="preserve"> </w:t>
      </w:r>
    </w:p>
    <w:p w14:paraId="300FCAAC" w14:textId="7328CFDB" w:rsidR="009C32A0" w:rsidRPr="005B622A" w:rsidRDefault="009C32A0" w:rsidP="000636C2">
      <w:pPr>
        <w:rPr>
          <w:bCs/>
          <w:rtl/>
        </w:rPr>
      </w:pPr>
      <w:r w:rsidRPr="005B622A">
        <w:rPr>
          <w:rFonts w:hint="cs"/>
          <w:bCs/>
          <w:rtl/>
        </w:rPr>
        <w:t>من أقوال علماء أهل السنة والجماعة في بيان من هم أهل السنة والجماعة</w:t>
      </w:r>
      <w:r w:rsidR="000636C2">
        <w:rPr>
          <w:rFonts w:hint="cs"/>
          <w:bCs/>
          <w:rtl/>
        </w:rPr>
        <w:t>؟</w:t>
      </w:r>
    </w:p>
    <w:p w14:paraId="68DF0757" w14:textId="763AB24C" w:rsidR="009C32A0" w:rsidRPr="005675B2" w:rsidRDefault="000636C2" w:rsidP="000636C2">
      <w:pPr>
        <w:rPr>
          <w:b/>
          <w:rtl/>
        </w:rPr>
      </w:pPr>
      <w:r>
        <w:rPr>
          <w:rFonts w:hint="cs"/>
          <w:rtl/>
        </w:rPr>
        <w:t>(</w:t>
      </w:r>
      <w:r w:rsidR="009C32A0">
        <w:rPr>
          <w:rFonts w:hint="cs"/>
          <w:rtl/>
        </w:rPr>
        <w:t>أولا</w:t>
      </w:r>
      <w:r>
        <w:rPr>
          <w:rFonts w:hint="cs"/>
          <w:rtl/>
        </w:rPr>
        <w:t>):</w:t>
      </w:r>
      <w:r w:rsidR="009C32A0">
        <w:rPr>
          <w:rFonts w:hint="cs"/>
          <w:rtl/>
        </w:rPr>
        <w:t xml:space="preserve"> </w:t>
      </w:r>
      <w:r w:rsidR="009C32A0" w:rsidRPr="005675B2">
        <w:rPr>
          <w:rFonts w:hint="cs"/>
          <w:rtl/>
        </w:rPr>
        <w:t>أقوال الحنابلة</w:t>
      </w:r>
      <w:r>
        <w:rPr>
          <w:rFonts w:hint="cs"/>
          <w:rtl/>
        </w:rPr>
        <w:t xml:space="preserve">: </w:t>
      </w:r>
      <w:r w:rsidR="009C32A0" w:rsidRPr="005675B2">
        <w:rPr>
          <w:rFonts w:hint="cs"/>
          <w:rtl/>
        </w:rPr>
        <w:t>قال القاضي أبو يعلى الفرا رحمه الله</w:t>
      </w:r>
      <w:r>
        <w:rPr>
          <w:rFonts w:hint="cs"/>
          <w:rtl/>
        </w:rPr>
        <w:t>:</w:t>
      </w:r>
      <w:r w:rsidR="009C32A0" w:rsidRPr="005675B2">
        <w:rPr>
          <w:rFonts w:hint="cs"/>
          <w:rtl/>
        </w:rPr>
        <w:t xml:space="preserve"> وقد أجمع علماء أهل الحديث</w:t>
      </w:r>
      <w:r>
        <w:rPr>
          <w:rFonts w:hint="cs"/>
          <w:rtl/>
        </w:rPr>
        <w:t>،</w:t>
      </w:r>
      <w:r w:rsidR="009C32A0" w:rsidRPr="005675B2">
        <w:rPr>
          <w:rFonts w:hint="cs"/>
          <w:rtl/>
        </w:rPr>
        <w:t>والأشعرية منهم على قبول هذه الأحاديث</w:t>
      </w:r>
      <w:r>
        <w:rPr>
          <w:rFonts w:hint="cs"/>
          <w:rtl/>
        </w:rPr>
        <w:t>،</w:t>
      </w:r>
      <w:r w:rsidR="009C32A0" w:rsidRPr="005675B2">
        <w:rPr>
          <w:rFonts w:hint="cs"/>
          <w:rtl/>
        </w:rPr>
        <w:t>فمنهم من أقرها على ما جاءت وهم أصحاب الحديث</w:t>
      </w:r>
      <w:r>
        <w:rPr>
          <w:rFonts w:hint="cs"/>
          <w:rtl/>
        </w:rPr>
        <w:t>،</w:t>
      </w:r>
      <w:r w:rsidR="009C32A0" w:rsidRPr="005675B2">
        <w:rPr>
          <w:rFonts w:hint="cs"/>
          <w:rtl/>
        </w:rPr>
        <w:t xml:space="preserve">ومنهم من تأولها وهم الأشعرية </w:t>
      </w:r>
      <w:r w:rsidR="009C32A0" w:rsidRPr="005675B2">
        <w:rPr>
          <w:rFonts w:hint="cs"/>
          <w:u w:val="single"/>
          <w:rtl/>
        </w:rPr>
        <w:t>وتأويلهم إياها قبول منهم لها</w:t>
      </w:r>
      <w:r>
        <w:rPr>
          <w:rFonts w:hint="cs"/>
          <w:u w:val="single"/>
          <w:rtl/>
        </w:rPr>
        <w:t>،</w:t>
      </w:r>
      <w:r w:rsidR="009C32A0" w:rsidRPr="005675B2">
        <w:rPr>
          <w:rFonts w:hint="cs"/>
          <w:u w:val="single"/>
          <w:rtl/>
        </w:rPr>
        <w:t>إذ لو كانت عندهم باطلة لاطرحوها كما اطرحوا سائر الأخبار الباطلة</w:t>
      </w:r>
      <w:r>
        <w:rPr>
          <w:rFonts w:hint="cs"/>
          <w:u w:val="single"/>
          <w:rtl/>
        </w:rPr>
        <w:t>،</w:t>
      </w:r>
      <w:r w:rsidR="009C32A0" w:rsidRPr="005675B2">
        <w:rPr>
          <w:rFonts w:hint="cs"/>
          <w:u w:val="single"/>
          <w:rtl/>
        </w:rPr>
        <w:t xml:space="preserve"> </w:t>
      </w:r>
      <w:r w:rsidR="009C32A0" w:rsidRPr="005675B2">
        <w:rPr>
          <w:rFonts w:hint="cs"/>
          <w:rtl/>
        </w:rPr>
        <w:t>وقد روي عن النبي صلى الله عليه وسلم أنه قال</w:t>
      </w:r>
      <w:r>
        <w:rPr>
          <w:rFonts w:hint="cs"/>
          <w:rtl/>
        </w:rPr>
        <w:t>:</w:t>
      </w:r>
      <w:r w:rsidR="009C32A0" w:rsidRPr="005675B2">
        <w:rPr>
          <w:rFonts w:hint="cs"/>
          <w:rtl/>
        </w:rPr>
        <w:t>" أمتي لا تجتمع على خطأ ولا ضلالة"</w:t>
      </w:r>
      <w:r>
        <w:rPr>
          <w:rFonts w:hint="cs"/>
          <w:rtl/>
        </w:rPr>
        <w:t>،</w:t>
      </w:r>
      <w:r w:rsidR="009C32A0" w:rsidRPr="005675B2">
        <w:rPr>
          <w:rFonts w:hint="cs"/>
          <w:rtl/>
        </w:rPr>
        <w:t xml:space="preserve"> [</w:t>
      </w:r>
      <w:r w:rsidR="009C32A0" w:rsidRPr="005675B2">
        <w:rPr>
          <w:rFonts w:hint="cs"/>
          <w:bCs/>
          <w:sz w:val="24"/>
          <w:szCs w:val="24"/>
          <w:rtl/>
        </w:rPr>
        <w:t>ذكر عقيدته بنصها ولده في طبقات الحنابلة عن ترجمته لوالده . وهذا لا يعني أنه لا يقول بتحريم التأويل</w:t>
      </w:r>
      <w:r>
        <w:rPr>
          <w:rFonts w:hint="cs"/>
          <w:bCs/>
          <w:sz w:val="24"/>
          <w:szCs w:val="24"/>
          <w:rtl/>
        </w:rPr>
        <w:t>،</w:t>
      </w:r>
      <w:r w:rsidR="009C32A0" w:rsidRPr="005675B2">
        <w:rPr>
          <w:rFonts w:hint="cs"/>
          <w:bCs/>
          <w:sz w:val="24"/>
          <w:szCs w:val="24"/>
          <w:rtl/>
        </w:rPr>
        <w:t xml:space="preserve"> بل هو يحرمه خلافاً لجمهور أهل السنة ولكنه لا يخرجهم من أهل السنة والجماعة</w:t>
      </w:r>
      <w:r>
        <w:rPr>
          <w:rFonts w:hint="cs"/>
          <w:bCs/>
          <w:sz w:val="24"/>
          <w:szCs w:val="24"/>
          <w:rtl/>
        </w:rPr>
        <w:t xml:space="preserve"> </w:t>
      </w:r>
      <w:r w:rsidR="009C32A0" w:rsidRPr="005675B2">
        <w:rPr>
          <w:rFonts w:hint="cs"/>
          <w:bCs/>
          <w:sz w:val="24"/>
          <w:szCs w:val="24"/>
          <w:rtl/>
        </w:rPr>
        <w:t>كما فعل الغلاة</w:t>
      </w:r>
      <w:r>
        <w:rPr>
          <w:rFonts w:hint="cs"/>
          <w:bCs/>
          <w:sz w:val="24"/>
          <w:szCs w:val="24"/>
          <w:rtl/>
        </w:rPr>
        <w:t>]</w:t>
      </w:r>
      <w:r>
        <w:rPr>
          <w:rFonts w:hint="cs"/>
          <w:rtl/>
        </w:rPr>
        <w:t>،</w:t>
      </w:r>
      <w:r w:rsidR="009C32A0">
        <w:rPr>
          <w:rFonts w:hint="cs"/>
          <w:rtl/>
        </w:rPr>
        <w:t xml:space="preserve"> </w:t>
      </w:r>
      <w:r w:rsidR="009C32A0" w:rsidRPr="005675B2">
        <w:rPr>
          <w:rFonts w:hint="cs"/>
          <w:rtl/>
        </w:rPr>
        <w:t>وقال الإمام عبد الباقي</w:t>
      </w:r>
      <w:r w:rsidR="009C32A0" w:rsidRPr="005675B2">
        <w:rPr>
          <w:rFonts w:hint="cs"/>
        </w:rPr>
        <w:t xml:space="preserve"> </w:t>
      </w:r>
      <w:r w:rsidR="009C32A0" w:rsidRPr="005675B2">
        <w:rPr>
          <w:rFonts w:hint="cs"/>
          <w:rtl/>
        </w:rPr>
        <w:t>البعلي الحنبلي في العين والأثر</w:t>
      </w:r>
      <w:r>
        <w:rPr>
          <w:rFonts w:hint="cs"/>
          <w:rtl/>
        </w:rPr>
        <w:t xml:space="preserve"> </w:t>
      </w:r>
      <w:r w:rsidR="009C32A0" w:rsidRPr="005675B2">
        <w:rPr>
          <w:rFonts w:hint="cs"/>
          <w:rtl/>
        </w:rPr>
        <w:t>ص59</w:t>
      </w:r>
      <w:r>
        <w:rPr>
          <w:rFonts w:hint="cs"/>
          <w:rtl/>
        </w:rPr>
        <w:t>):</w:t>
      </w:r>
      <w:r w:rsidR="009C32A0" w:rsidRPr="005675B2">
        <w:t xml:space="preserve"> </w:t>
      </w:r>
      <w:r w:rsidR="009C32A0" w:rsidRPr="005675B2">
        <w:rPr>
          <w:rFonts w:hint="cs"/>
          <w:rtl/>
        </w:rPr>
        <w:t>وللكلام على المقصد الثاني</w:t>
      </w:r>
      <w:r w:rsidR="009C32A0">
        <w:rPr>
          <w:rFonts w:hint="cs"/>
          <w:rtl/>
        </w:rPr>
        <w:t xml:space="preserve"> </w:t>
      </w:r>
      <w:r w:rsidR="009C32A0" w:rsidRPr="005675B2">
        <w:rPr>
          <w:rFonts w:hint="cs"/>
          <w:rtl/>
        </w:rPr>
        <w:t>تقدمة، وهي</w:t>
      </w:r>
      <w:r w:rsidR="009C32A0" w:rsidRPr="005675B2">
        <w:rPr>
          <w:rFonts w:hint="cs"/>
        </w:rPr>
        <w:t xml:space="preserve"> </w:t>
      </w:r>
      <w:r w:rsidR="009C32A0" w:rsidRPr="005675B2">
        <w:rPr>
          <w:rFonts w:hint="cs"/>
          <w:rtl/>
        </w:rPr>
        <w:t>أن طوائف أهل السنة ثلاثة</w:t>
      </w:r>
      <w:r>
        <w:rPr>
          <w:rFonts w:hint="cs"/>
          <w:rtl/>
        </w:rPr>
        <w:t>:</w:t>
      </w:r>
      <w:r w:rsidR="009C32A0" w:rsidRPr="005675B2">
        <w:rPr>
          <w:rFonts w:hint="cs"/>
          <w:rtl/>
        </w:rPr>
        <w:t xml:space="preserve"> أشاعرة</w:t>
      </w:r>
      <w:r w:rsidR="009C32A0" w:rsidRPr="005675B2">
        <w:rPr>
          <w:rFonts w:hint="cs"/>
        </w:rPr>
        <w:t xml:space="preserve"> </w:t>
      </w:r>
      <w:r w:rsidR="009C32A0" w:rsidRPr="005675B2">
        <w:rPr>
          <w:rFonts w:hint="cs"/>
          <w:rtl/>
        </w:rPr>
        <w:t>وحنابلة وماتريدية</w:t>
      </w:r>
      <w:r>
        <w:rPr>
          <w:rFonts w:hint="cs"/>
          <w:rtl/>
        </w:rPr>
        <w:t>،</w:t>
      </w:r>
      <w:r w:rsidR="009C32A0" w:rsidRPr="005675B2">
        <w:rPr>
          <w:rFonts w:hint="cs"/>
          <w:rtl/>
        </w:rPr>
        <w:t xml:space="preserve"> أ هـ</w:t>
      </w:r>
      <w:r>
        <w:rPr>
          <w:rFonts w:hint="cs"/>
          <w:rtl/>
        </w:rPr>
        <w:t>،</w:t>
      </w:r>
      <w:r w:rsidR="009C32A0">
        <w:rPr>
          <w:rFonts w:hint="cs"/>
          <w:rtl/>
        </w:rPr>
        <w:t xml:space="preserve"> </w:t>
      </w:r>
      <w:r w:rsidR="009C32A0" w:rsidRPr="005675B2">
        <w:rPr>
          <w:rFonts w:hint="cs"/>
          <w:rtl/>
        </w:rPr>
        <w:t>وقال الإمام السفاريني الحنبلي في لوامع الأنوار</w:t>
      </w:r>
      <w:r>
        <w:rPr>
          <w:rFonts w:hint="cs"/>
          <w:rtl/>
        </w:rPr>
        <w:t>:</w:t>
      </w:r>
      <w:r w:rsidR="009C32A0" w:rsidRPr="005675B2">
        <w:rPr>
          <w:rFonts w:hint="cs"/>
          <w:rtl/>
        </w:rPr>
        <w:t xml:space="preserve"> أهل السنة والجماعة ثلاث فرق</w:t>
      </w:r>
      <w:r>
        <w:rPr>
          <w:rFonts w:hint="cs"/>
          <w:rtl/>
        </w:rPr>
        <w:t>:</w:t>
      </w:r>
      <w:r w:rsidR="009C32A0" w:rsidRPr="005675B2">
        <w:rPr>
          <w:rFonts w:hint="cs"/>
          <w:rtl/>
        </w:rPr>
        <w:t>الأثرية وامامهم</w:t>
      </w:r>
      <w:r w:rsidR="009C32A0">
        <w:rPr>
          <w:rFonts w:hint="cs"/>
          <w:rtl/>
        </w:rPr>
        <w:t xml:space="preserve"> </w:t>
      </w:r>
      <w:r w:rsidR="009C32A0" w:rsidRPr="005675B2">
        <w:rPr>
          <w:rFonts w:hint="cs"/>
          <w:rtl/>
        </w:rPr>
        <w:t>أحمد بن حنبل والأشعرية وامامهم أبو الحسن الأشعري والماتريدية وامامهم أبو منصور الماتريدي واما فرق الضلالة فكثيرة جداً</w:t>
      </w:r>
      <w:r>
        <w:rPr>
          <w:rFonts w:hint="cs"/>
          <w:rtl/>
        </w:rPr>
        <w:t>،</w:t>
      </w:r>
      <w:r w:rsidR="009C32A0" w:rsidRPr="005675B2">
        <w:rPr>
          <w:rFonts w:hint="cs"/>
          <w:rtl/>
        </w:rPr>
        <w:t xml:space="preserve"> أهـ</w:t>
      </w:r>
      <w:r>
        <w:rPr>
          <w:rFonts w:hint="cs"/>
          <w:rtl/>
        </w:rPr>
        <w:t xml:space="preserve"> </w:t>
      </w:r>
      <w:r w:rsidR="009C32A0" w:rsidRPr="005675B2">
        <w:rPr>
          <w:rFonts w:hint="cs"/>
          <w:rtl/>
        </w:rPr>
        <w:t>[</w:t>
      </w:r>
      <w:r w:rsidR="009C32A0" w:rsidRPr="005675B2">
        <w:rPr>
          <w:rFonts w:hint="cs"/>
          <w:bCs/>
          <w:sz w:val="24"/>
          <w:szCs w:val="24"/>
          <w:rtl/>
        </w:rPr>
        <w:t>1/73</w:t>
      </w:r>
      <w:r w:rsidR="009C32A0" w:rsidRPr="005675B2">
        <w:rPr>
          <w:rFonts w:hint="cs"/>
          <w:rtl/>
        </w:rPr>
        <w:t>]</w:t>
      </w:r>
      <w:r>
        <w:rPr>
          <w:rFonts w:hint="cs"/>
          <w:rtl/>
        </w:rPr>
        <w:t>،</w:t>
      </w:r>
      <w:r w:rsidR="009C32A0">
        <w:rPr>
          <w:rFonts w:hint="cs"/>
          <w:rtl/>
        </w:rPr>
        <w:t xml:space="preserve"> </w:t>
      </w:r>
      <w:r w:rsidR="009C32A0" w:rsidRPr="005675B2">
        <w:rPr>
          <w:rFonts w:hint="cs"/>
          <w:rtl/>
        </w:rPr>
        <w:t>ويقول السفاريني الحنبلي</w:t>
      </w:r>
      <w:r>
        <w:rPr>
          <w:rFonts w:hint="cs"/>
          <w:rtl/>
        </w:rPr>
        <w:t xml:space="preserve"> </w:t>
      </w:r>
      <w:r w:rsidR="009C32A0" w:rsidRPr="005675B2">
        <w:rPr>
          <w:rFonts w:hint="cs"/>
          <w:rtl/>
        </w:rPr>
        <w:t>في كتابه الآخر لوائح الأنوار السنية</w:t>
      </w:r>
      <w:r>
        <w:rPr>
          <w:rFonts w:hint="cs"/>
          <w:rtl/>
        </w:rPr>
        <w:t>:</w:t>
      </w:r>
      <w:r w:rsidR="009C32A0" w:rsidRPr="005675B2">
        <w:rPr>
          <w:rFonts w:hint="cs"/>
          <w:rtl/>
        </w:rPr>
        <w:t>فالصفات الذاتية المتفق عليها عند</w:t>
      </w:r>
      <w:r w:rsidR="009C32A0">
        <w:rPr>
          <w:rFonts w:hint="cs"/>
          <w:rtl/>
        </w:rPr>
        <w:t xml:space="preserve"> </w:t>
      </w:r>
      <w:r w:rsidR="009C32A0" w:rsidRPr="005675B2">
        <w:rPr>
          <w:rFonts w:hint="cs"/>
          <w:rtl/>
        </w:rPr>
        <w:t>أهل السنة من الأثرية والأشعرية والماتريدية</w:t>
      </w:r>
      <w:r>
        <w:rPr>
          <w:rFonts w:hint="cs"/>
          <w:rtl/>
        </w:rPr>
        <w:t>،</w:t>
      </w:r>
      <w:r w:rsidR="009C32A0" w:rsidRPr="005675B2">
        <w:rPr>
          <w:rFonts w:hint="cs"/>
          <w:rtl/>
        </w:rPr>
        <w:t xml:space="preserve"> [</w:t>
      </w:r>
      <w:r w:rsidR="009C32A0" w:rsidRPr="005675B2">
        <w:rPr>
          <w:rFonts w:hint="cs"/>
          <w:bCs/>
          <w:sz w:val="24"/>
          <w:szCs w:val="24"/>
          <w:rtl/>
        </w:rPr>
        <w:t>1/260</w:t>
      </w:r>
      <w:r w:rsidR="009C32A0" w:rsidRPr="005675B2">
        <w:rPr>
          <w:rFonts w:hint="cs"/>
          <w:rtl/>
        </w:rPr>
        <w:t>] ويقول</w:t>
      </w:r>
      <w:r>
        <w:rPr>
          <w:rFonts w:hint="cs"/>
          <w:rtl/>
        </w:rPr>
        <w:t>:</w:t>
      </w:r>
      <w:r w:rsidR="009C32A0" w:rsidRPr="005675B2">
        <w:rPr>
          <w:rFonts w:hint="cs"/>
          <w:rtl/>
        </w:rPr>
        <w:t xml:space="preserve"> وهذا قول عامة أهل السنة والجماعة من أهل</w:t>
      </w:r>
      <w:r w:rsidR="009C32A0">
        <w:rPr>
          <w:rFonts w:hint="cs"/>
          <w:rtl/>
        </w:rPr>
        <w:t xml:space="preserve"> </w:t>
      </w:r>
      <w:r w:rsidR="009C32A0" w:rsidRPr="005675B2">
        <w:rPr>
          <w:rFonts w:hint="cs"/>
          <w:rtl/>
        </w:rPr>
        <w:t>الحديث والفقه والكلام من الأثرية والأشعرية والماتريدية</w:t>
      </w:r>
      <w:r>
        <w:rPr>
          <w:rFonts w:hint="cs"/>
          <w:rtl/>
        </w:rPr>
        <w:t xml:space="preserve">، </w:t>
      </w:r>
      <w:r w:rsidR="009C32A0" w:rsidRPr="005675B2">
        <w:rPr>
          <w:rFonts w:hint="cs"/>
          <w:rtl/>
        </w:rPr>
        <w:t>[</w:t>
      </w:r>
      <w:r w:rsidR="009C32A0" w:rsidRPr="005675B2">
        <w:rPr>
          <w:rFonts w:hint="cs"/>
          <w:bCs/>
          <w:sz w:val="24"/>
          <w:szCs w:val="24"/>
          <w:rtl/>
        </w:rPr>
        <w:t>لوائح الأنوار السنية 2/15</w:t>
      </w:r>
      <w:r w:rsidR="009C32A0" w:rsidRPr="005675B2">
        <w:rPr>
          <w:rFonts w:hint="cs"/>
          <w:rtl/>
        </w:rPr>
        <w:t>]</w:t>
      </w:r>
      <w:r>
        <w:rPr>
          <w:rFonts w:hint="cs"/>
          <w:rtl/>
        </w:rPr>
        <w:t>،</w:t>
      </w:r>
      <w:r w:rsidR="009C32A0">
        <w:rPr>
          <w:rFonts w:hint="cs"/>
          <w:rtl/>
        </w:rPr>
        <w:t xml:space="preserve"> </w:t>
      </w:r>
      <w:r w:rsidR="009C32A0" w:rsidRPr="005675B2">
        <w:rPr>
          <w:rFonts w:hint="cs"/>
          <w:rtl/>
        </w:rPr>
        <w:t>وقال الإمام القدومي الحنبلي</w:t>
      </w:r>
      <w:r>
        <w:rPr>
          <w:rFonts w:hint="cs"/>
          <w:rtl/>
        </w:rPr>
        <w:t>:</w:t>
      </w:r>
      <w:r w:rsidR="009C32A0" w:rsidRPr="005675B2">
        <w:rPr>
          <w:rFonts w:hint="cs"/>
          <w:rtl/>
        </w:rPr>
        <w:t xml:space="preserve"> لأن أهل الحديث والأشعرية والماتريدية</w:t>
      </w:r>
      <w:r>
        <w:rPr>
          <w:rFonts w:hint="cs"/>
          <w:rtl/>
        </w:rPr>
        <w:t>:</w:t>
      </w:r>
      <w:r w:rsidR="009C32A0" w:rsidRPr="005675B2">
        <w:rPr>
          <w:rFonts w:hint="cs"/>
          <w:rtl/>
        </w:rPr>
        <w:t xml:space="preserve"> فرقة واحدة متفـقون في أصُول الدين على</w:t>
      </w:r>
      <w:r w:rsidR="009C32A0" w:rsidRPr="005675B2">
        <w:rPr>
          <w:rFonts w:hint="cs"/>
        </w:rPr>
        <w:t xml:space="preserve"> </w:t>
      </w:r>
      <w:r w:rsidR="009C32A0" w:rsidRPr="005675B2">
        <w:rPr>
          <w:rFonts w:hint="cs"/>
          <w:rtl/>
        </w:rPr>
        <w:t>التوحيد، وتقد يــر الخير والشر، وفي شروط النبوة والرسالة، وفي موالاة الصحابة</w:t>
      </w:r>
      <w:r w:rsidR="009C32A0" w:rsidRPr="005675B2">
        <w:rPr>
          <w:rFonts w:hint="cs"/>
        </w:rPr>
        <w:t xml:space="preserve"> </w:t>
      </w:r>
      <w:r w:rsidR="009C32A0" w:rsidRPr="005675B2">
        <w:rPr>
          <w:rFonts w:hint="cs"/>
          <w:rtl/>
        </w:rPr>
        <w:t>كلهم، وما جرى مجرى ذلك</w:t>
      </w:r>
      <w:r>
        <w:rPr>
          <w:rFonts w:hint="cs"/>
          <w:rtl/>
        </w:rPr>
        <w:t>:</w:t>
      </w:r>
      <w:r w:rsidR="009C32A0" w:rsidRPr="005675B2">
        <w:rPr>
          <w:rFonts w:hint="cs"/>
          <w:rtl/>
        </w:rPr>
        <w:t xml:space="preserve"> كعـــد م وجوب الصلاح والأصلح، وفي إثبـات الكسب، وإثبات</w:t>
      </w:r>
      <w:r w:rsidR="009C32A0" w:rsidRPr="005675B2">
        <w:rPr>
          <w:rFonts w:hint="cs"/>
        </w:rPr>
        <w:t xml:space="preserve"> </w:t>
      </w:r>
      <w:r w:rsidR="009C32A0" w:rsidRPr="005675B2">
        <w:rPr>
          <w:rFonts w:hint="cs"/>
          <w:rtl/>
        </w:rPr>
        <w:t>الشفـاعة، وخروج عصاة المُوَحِّـــد يــن من النار</w:t>
      </w:r>
      <w:r>
        <w:rPr>
          <w:rFonts w:hint="cs"/>
          <w:rtl/>
        </w:rPr>
        <w:t>،</w:t>
      </w:r>
      <w:r w:rsidR="009C32A0" w:rsidRPr="005675B2">
        <w:rPr>
          <w:rFonts w:hint="cs"/>
          <w:rtl/>
        </w:rPr>
        <w:t xml:space="preserve"> [</w:t>
      </w:r>
      <w:r w:rsidR="009C32A0" w:rsidRPr="005675B2">
        <w:rPr>
          <w:rFonts w:hint="cs"/>
          <w:bCs/>
          <w:sz w:val="24"/>
          <w:szCs w:val="24"/>
          <w:rtl/>
        </w:rPr>
        <w:t>المنهج الأحمد]</w:t>
      </w:r>
      <w:r w:rsidR="009C32A0" w:rsidRPr="005675B2">
        <w:rPr>
          <w:rFonts w:hint="cs"/>
        </w:rPr>
        <w:t xml:space="preserve"> </w:t>
      </w:r>
      <w:r w:rsidR="009C32A0" w:rsidRPr="005675B2">
        <w:rPr>
          <w:rFonts w:hint="cs"/>
          <w:rtl/>
        </w:rPr>
        <w:t>والخلافُ بينهم في مسائل</w:t>
      </w:r>
      <w:r w:rsidR="009C32A0" w:rsidRPr="005675B2">
        <w:rPr>
          <w:rFonts w:hint="cs"/>
        </w:rPr>
        <w:t xml:space="preserve"> </w:t>
      </w:r>
      <w:r w:rsidR="009C32A0" w:rsidRPr="005675B2">
        <w:rPr>
          <w:rFonts w:hint="cs"/>
          <w:rtl/>
        </w:rPr>
        <w:t>قــليلة</w:t>
      </w:r>
      <w:r>
        <w:rPr>
          <w:rFonts w:hint="cs"/>
          <w:rtl/>
        </w:rPr>
        <w:t>،</w:t>
      </w:r>
    </w:p>
    <w:p w14:paraId="4F299329" w14:textId="022A7A40" w:rsidR="009C32A0" w:rsidRDefault="000636C2" w:rsidP="000636C2">
      <w:pPr>
        <w:rPr>
          <w:b/>
          <w:rtl/>
        </w:rPr>
      </w:pPr>
      <w:r>
        <w:rPr>
          <w:rFonts w:hint="cs"/>
          <w:bCs/>
          <w:rtl/>
        </w:rPr>
        <w:t>(</w:t>
      </w:r>
      <w:r w:rsidR="009C32A0">
        <w:rPr>
          <w:rFonts w:hint="cs"/>
          <w:bCs/>
          <w:rtl/>
        </w:rPr>
        <w:t>ثانيا</w:t>
      </w:r>
      <w:r>
        <w:rPr>
          <w:rFonts w:hint="cs"/>
          <w:bCs/>
          <w:rtl/>
        </w:rPr>
        <w:t>)</w:t>
      </w:r>
      <w:r w:rsidR="009C32A0" w:rsidRPr="005B622A">
        <w:rPr>
          <w:rFonts w:hint="cs"/>
          <w:bCs/>
          <w:rtl/>
        </w:rPr>
        <w:t xml:space="preserve"> من أقوال الأشاعرة</w:t>
      </w:r>
      <w:r>
        <w:rPr>
          <w:rFonts w:hint="cs"/>
          <w:rtl/>
        </w:rPr>
        <w:t xml:space="preserve">: </w:t>
      </w:r>
      <w:r w:rsidR="009C32A0" w:rsidRPr="005675B2">
        <w:rPr>
          <w:rFonts w:hint="cs"/>
          <w:rtl/>
        </w:rPr>
        <w:t>قال تاج الدين السبكي</w:t>
      </w:r>
      <w:r>
        <w:rPr>
          <w:rFonts w:hint="cs"/>
          <w:rtl/>
        </w:rPr>
        <w:t xml:space="preserve">: </w:t>
      </w:r>
      <w:r w:rsidR="009C32A0" w:rsidRPr="005675B2">
        <w:rPr>
          <w:rFonts w:hint="cs"/>
          <w:rtl/>
        </w:rPr>
        <w:t>وهذه المذاهب الأربعة ولله الحمد والمنة</w:t>
      </w:r>
      <w:r>
        <w:rPr>
          <w:rFonts w:hint="cs"/>
          <w:rtl/>
        </w:rPr>
        <w:t>:</w:t>
      </w:r>
      <w:r w:rsidR="009C32A0" w:rsidRPr="005675B2">
        <w:rPr>
          <w:rFonts w:hint="cs"/>
          <w:rtl/>
        </w:rPr>
        <w:t xml:space="preserve"> في العقائد يدٌ</w:t>
      </w:r>
      <w:r w:rsidR="009C32A0" w:rsidRPr="005675B2">
        <w:rPr>
          <w:rFonts w:hint="cs"/>
        </w:rPr>
        <w:t xml:space="preserve"> </w:t>
      </w:r>
      <w:r w:rsidR="009C32A0" w:rsidRPr="005675B2">
        <w:rPr>
          <w:rFonts w:hint="cs"/>
          <w:rtl/>
        </w:rPr>
        <w:t>واحدة، إلا مَـن لحق منها بأهل الاعتزال والتجسيم، وإلا فجمهورها على الحق</w:t>
      </w:r>
      <w:r w:rsidR="009C32A0" w:rsidRPr="005675B2">
        <w:rPr>
          <w:rFonts w:hint="cs"/>
        </w:rPr>
        <w:t xml:space="preserve"> </w:t>
      </w:r>
      <w:r w:rsidR="009C32A0" w:rsidRPr="005675B2">
        <w:rPr>
          <w:rFonts w:hint="cs"/>
          <w:rtl/>
        </w:rPr>
        <w:t>يُـقــرُّون عقيدة أبي جعــفــر الطحاوي التي تلقاها العلماء سلفا ً وخلفا ً</w:t>
      </w:r>
      <w:r w:rsidR="009C32A0" w:rsidRPr="005675B2">
        <w:rPr>
          <w:rFonts w:hint="cs"/>
        </w:rPr>
        <w:t xml:space="preserve"> </w:t>
      </w:r>
      <w:r w:rsidR="009C32A0" w:rsidRPr="005675B2">
        <w:rPr>
          <w:rFonts w:hint="cs"/>
          <w:rtl/>
        </w:rPr>
        <w:t>بالقبول ويدينون الله برأي شيخ السنة أبي الحسن الأشعري الذي لم يعارضه إلا مبتدع</w:t>
      </w:r>
      <w:r>
        <w:rPr>
          <w:rFonts w:hint="cs"/>
          <w:rtl/>
        </w:rPr>
        <w:t xml:space="preserve"> </w:t>
      </w:r>
      <w:r w:rsidR="009C32A0" w:rsidRPr="005675B2">
        <w:rPr>
          <w:rFonts w:hint="cs"/>
          <w:rtl/>
        </w:rPr>
        <w:t>أهـ</w:t>
      </w:r>
      <w:r>
        <w:rPr>
          <w:rFonts w:hint="cs"/>
          <w:rtl/>
        </w:rPr>
        <w:t>،</w:t>
      </w:r>
      <w:r w:rsidR="009C32A0" w:rsidRPr="005675B2">
        <w:rPr>
          <w:rFonts w:hint="cs"/>
          <w:rtl/>
        </w:rPr>
        <w:t xml:space="preserve"> [</w:t>
      </w:r>
      <w:r w:rsidR="009C32A0" w:rsidRPr="005675B2">
        <w:rPr>
          <w:rFonts w:hint="cs"/>
          <w:sz w:val="24"/>
          <w:szCs w:val="24"/>
          <w:rtl/>
        </w:rPr>
        <w:t>(معيد النعم ومبيد النقم) ص 25</w:t>
      </w:r>
      <w:r w:rsidR="009C32A0" w:rsidRPr="005675B2">
        <w:rPr>
          <w:rFonts w:hint="cs"/>
          <w:rtl/>
        </w:rPr>
        <w:t>]</w:t>
      </w:r>
      <w:r>
        <w:rPr>
          <w:rFonts w:hint="cs"/>
          <w:rtl/>
          <w:lang w:bidi="ar-KW"/>
        </w:rPr>
        <w:t xml:space="preserve">، </w:t>
      </w:r>
      <w:r w:rsidR="009C32A0" w:rsidRPr="005675B2">
        <w:rPr>
          <w:rFonts w:hint="cs"/>
          <w:rtl/>
        </w:rPr>
        <w:t>وقال أيضا ً</w:t>
      </w:r>
      <w:r>
        <w:rPr>
          <w:rFonts w:hint="cs"/>
          <w:rtl/>
        </w:rPr>
        <w:t xml:space="preserve">: </w:t>
      </w:r>
      <w:r w:rsidR="009C32A0" w:rsidRPr="005675B2">
        <w:rPr>
          <w:rFonts w:hint="cs"/>
          <w:u w:val="single"/>
          <w:rtl/>
        </w:rPr>
        <w:t>وهؤلاء الحنفية والشافعية والمالكية وفضلاء الحنابلة - ولله الحمد - في العقائد يدٌ واحدة</w:t>
      </w:r>
      <w:r w:rsidR="009C32A0">
        <w:rPr>
          <w:rFonts w:hint="cs"/>
          <w:u w:val="single"/>
          <w:rtl/>
        </w:rPr>
        <w:t xml:space="preserve"> </w:t>
      </w:r>
      <w:r w:rsidR="009C32A0" w:rsidRPr="005675B2">
        <w:rPr>
          <w:rFonts w:hint="cs"/>
          <w:u w:val="single"/>
          <w:rtl/>
        </w:rPr>
        <w:t xml:space="preserve">كلهم على رأي أهل السنة والجماعة </w:t>
      </w:r>
      <w:r w:rsidR="009C32A0" w:rsidRPr="005675B2">
        <w:rPr>
          <w:rFonts w:hint="cs"/>
          <w:rtl/>
        </w:rPr>
        <w:t>[</w:t>
      </w:r>
      <w:r w:rsidR="009C32A0" w:rsidRPr="005675B2">
        <w:rPr>
          <w:rFonts w:hint="cs"/>
          <w:bCs/>
          <w:sz w:val="24"/>
          <w:szCs w:val="24"/>
          <w:rtl/>
        </w:rPr>
        <w:t>معيد النعم ص62</w:t>
      </w:r>
      <w:r w:rsidR="009C32A0" w:rsidRPr="005675B2">
        <w:rPr>
          <w:rFonts w:hint="cs"/>
          <w:rtl/>
        </w:rPr>
        <w:t>]</w:t>
      </w:r>
      <w:r>
        <w:rPr>
          <w:rFonts w:hint="cs"/>
          <w:rtl/>
        </w:rPr>
        <w:t>،</w:t>
      </w:r>
      <w:r w:rsidR="009C32A0">
        <w:rPr>
          <w:rFonts w:hint="cs"/>
          <w:rtl/>
        </w:rPr>
        <w:t xml:space="preserve"> </w:t>
      </w:r>
    </w:p>
    <w:p w14:paraId="08FF5DB8" w14:textId="18AEF4F2" w:rsidR="009C32A0" w:rsidRPr="005675B2" w:rsidRDefault="009C32A0" w:rsidP="000636C2">
      <w:pPr>
        <w:rPr>
          <w:b/>
          <w:rtl/>
        </w:rPr>
      </w:pPr>
      <w:r w:rsidRPr="005675B2">
        <w:rPr>
          <w:rFonts w:hint="cs"/>
          <w:rtl/>
        </w:rPr>
        <w:t>فتوى بعض علماء السعودية منقولة من موقع الشيخ سلمان العودة</w:t>
      </w:r>
      <w:r w:rsidR="000636C2">
        <w:rPr>
          <w:rFonts w:hint="cs"/>
          <w:rtl/>
        </w:rPr>
        <w:t xml:space="preserve"> </w:t>
      </w:r>
      <w:r w:rsidRPr="005675B2">
        <w:rPr>
          <w:rFonts w:hint="cs"/>
          <w:rtl/>
          <w:lang w:bidi="ar-BH"/>
        </w:rPr>
        <w:t>موقع الإسلام اليوم</w:t>
      </w:r>
      <w:r w:rsidR="000636C2">
        <w:rPr>
          <w:rFonts w:hint="cs"/>
          <w:rtl/>
        </w:rPr>
        <w:t>:</w:t>
      </w:r>
      <w:r>
        <w:rPr>
          <w:rFonts w:hint="cs"/>
          <w:rtl/>
        </w:rPr>
        <w:t xml:space="preserve"> </w:t>
      </w:r>
      <w:r w:rsidRPr="005675B2">
        <w:rPr>
          <w:rFonts w:hint="cs"/>
          <w:rtl/>
        </w:rPr>
        <w:t>وفقه الله العنوان</w:t>
      </w:r>
      <w:r w:rsidR="000636C2">
        <w:rPr>
          <w:rFonts w:hint="cs"/>
          <w:rtl/>
        </w:rPr>
        <w:t>:</w:t>
      </w:r>
      <w:r w:rsidRPr="005675B2">
        <w:rPr>
          <w:rFonts w:hint="cs"/>
          <w:rtl/>
        </w:rPr>
        <w:t xml:space="preserve"> الأشاعرة والماتريدية من أهل السنة والجماعة</w:t>
      </w:r>
      <w:r w:rsidR="000636C2">
        <w:rPr>
          <w:rFonts w:hint="cs"/>
          <w:rtl/>
        </w:rPr>
        <w:t>،</w:t>
      </w:r>
      <w:r w:rsidRPr="005675B2">
        <w:rPr>
          <w:rFonts w:hint="cs"/>
          <w:rtl/>
        </w:rPr>
        <w:t xml:space="preserve"> المجيب</w:t>
      </w:r>
      <w:r w:rsidR="000636C2">
        <w:rPr>
          <w:rFonts w:hint="cs"/>
          <w:rtl/>
        </w:rPr>
        <w:t>:</w:t>
      </w:r>
      <w:r w:rsidRPr="005675B2">
        <w:rPr>
          <w:rFonts w:hint="cs"/>
          <w:rtl/>
        </w:rPr>
        <w:t xml:space="preserve"> جمع من العلماء التصنيف</w:t>
      </w:r>
      <w:r w:rsidR="000636C2">
        <w:rPr>
          <w:rFonts w:hint="cs"/>
          <w:rtl/>
        </w:rPr>
        <w:t>:</w:t>
      </w:r>
      <w:r w:rsidRPr="005675B2">
        <w:rPr>
          <w:rFonts w:hint="cs"/>
          <w:rtl/>
        </w:rPr>
        <w:t xml:space="preserve"> الفهرسة/ العقائد والمذاهب الفكرية/الأديان والمذاهب الفكرية المعاصرة التاريخ</w:t>
      </w:r>
      <w:r w:rsidR="000636C2">
        <w:rPr>
          <w:rFonts w:hint="cs"/>
          <w:rtl/>
        </w:rPr>
        <w:t>:</w:t>
      </w:r>
      <w:r w:rsidRPr="005675B2">
        <w:rPr>
          <w:rFonts w:hint="cs"/>
          <w:rtl/>
        </w:rPr>
        <w:t xml:space="preserve"> 29 /06/1427هـ</w:t>
      </w:r>
      <w:r w:rsidR="000636C2">
        <w:rPr>
          <w:rFonts w:hint="cs"/>
          <w:rtl/>
        </w:rPr>
        <w:t>،</w:t>
      </w:r>
      <w:r>
        <w:rPr>
          <w:rFonts w:hint="cs"/>
          <w:rtl/>
        </w:rPr>
        <w:t xml:space="preserve"> </w:t>
      </w:r>
      <w:r w:rsidRPr="005675B2">
        <w:rPr>
          <w:rFonts w:hint="cs"/>
          <w:rtl/>
        </w:rPr>
        <w:t>السؤال</w:t>
      </w:r>
      <w:r w:rsidR="000636C2">
        <w:rPr>
          <w:rFonts w:hint="cs"/>
          <w:rtl/>
        </w:rPr>
        <w:t>:</w:t>
      </w:r>
      <w:r w:rsidRPr="005675B2">
        <w:rPr>
          <w:rFonts w:hint="cs"/>
          <w:rtl/>
        </w:rPr>
        <w:t>ما حكم التعامل مع المخالف لعقيدة السلف الصالح كالأشاعرة والماتريدية ومن نحا نحوهم والتعاون معهم على البر والتقوى والأمور العامة وهل يحرم العمل معهم سواء كانت الإدارة لنا وهم يعملون تحتنا أو العمل تحت إشرافهم</w:t>
      </w:r>
      <w:r w:rsidR="000636C2">
        <w:rPr>
          <w:rFonts w:hint="cs"/>
          <w:rtl/>
        </w:rPr>
        <w:t>؟</w:t>
      </w:r>
      <w:r w:rsidRPr="005675B2">
        <w:rPr>
          <w:rFonts w:hint="cs"/>
          <w:rtl/>
        </w:rPr>
        <w:t xml:space="preserve"> وهل هم من الفرق الضالة الاثنتين والسبعين</w:t>
      </w:r>
      <w:r w:rsidR="000636C2">
        <w:rPr>
          <w:rFonts w:hint="cs"/>
          <w:rtl/>
        </w:rPr>
        <w:t>؟</w:t>
      </w:r>
      <w:r w:rsidRPr="005675B2">
        <w:rPr>
          <w:rFonts w:hint="cs"/>
          <w:rtl/>
        </w:rPr>
        <w:t xml:space="preserve"> وهل التعامل معهم يعد من باب تولي غير المؤمنين</w:t>
      </w:r>
      <w:r w:rsidR="000636C2">
        <w:rPr>
          <w:rFonts w:hint="cs"/>
          <w:rtl/>
        </w:rPr>
        <w:t>؟،[</w:t>
      </w:r>
      <w:r>
        <w:rPr>
          <w:rFonts w:hint="cs"/>
          <w:rtl/>
        </w:rPr>
        <w:t>الجواب</w:t>
      </w:r>
      <w:r w:rsidR="000636C2">
        <w:rPr>
          <w:rFonts w:hint="cs"/>
          <w:rtl/>
        </w:rPr>
        <w:t>]:</w:t>
      </w:r>
      <w:r w:rsidRPr="005675B2">
        <w:rPr>
          <w:rFonts w:hint="cs"/>
          <w:rtl/>
        </w:rPr>
        <w:t>الحمد لله، والصلاة والسلام على رسول الله وبعد</w:t>
      </w:r>
      <w:r w:rsidR="000636C2">
        <w:rPr>
          <w:rFonts w:hint="cs"/>
          <w:rtl/>
        </w:rPr>
        <w:t xml:space="preserve">: </w:t>
      </w:r>
      <w:r w:rsidRPr="005675B2">
        <w:rPr>
          <w:rFonts w:hint="cs"/>
          <w:rtl/>
        </w:rPr>
        <w:t>فجواباً على ذلك نقول</w:t>
      </w:r>
      <w:r w:rsidR="000636C2">
        <w:rPr>
          <w:rFonts w:hint="cs"/>
          <w:rtl/>
        </w:rPr>
        <w:t>:</w:t>
      </w:r>
      <w:r w:rsidRPr="005675B2">
        <w:rPr>
          <w:rFonts w:hint="cs"/>
          <w:rtl/>
        </w:rPr>
        <w:t xml:space="preserve"> الأشاعرة والماتريدية قد خالفوا الصواب حين أولوا بعض صفات الله سبحانه</w:t>
      </w:r>
      <w:r w:rsidR="000636C2">
        <w:rPr>
          <w:rFonts w:hint="cs"/>
          <w:rtl/>
        </w:rPr>
        <w:t>،</w:t>
      </w:r>
      <w:r w:rsidRPr="005675B2">
        <w:rPr>
          <w:rFonts w:hint="cs"/>
          <w:rtl/>
        </w:rPr>
        <w:t xml:space="preserve"> لكنهم من أهل السنة والجماعة، وليسوا من الفرق الضالة الاثنتين والسبعين إلا من غلا منهم في التعطيل، ووافق الجهمية فحكمه حكم الجهمية [</w:t>
      </w:r>
      <w:r w:rsidRPr="005675B2">
        <w:rPr>
          <w:rFonts w:hint="cs"/>
          <w:bCs/>
          <w:sz w:val="24"/>
          <w:szCs w:val="24"/>
          <w:rtl/>
        </w:rPr>
        <w:t>ومن فعل ذلك فلا يكون أشعرياً أصلاً]</w:t>
      </w:r>
      <w:r w:rsidR="000636C2">
        <w:rPr>
          <w:rFonts w:hint="cs"/>
          <w:rtl/>
        </w:rPr>
        <w:t>،</w:t>
      </w:r>
      <w:r w:rsidRPr="005675B2">
        <w:rPr>
          <w:rFonts w:hint="cs"/>
          <w:rtl/>
        </w:rPr>
        <w:t xml:space="preserve"> أما سائر الأشاعرة والماتريدية فليسوا كذلك وهم معذورون في اجتهادهم وإن أخطأوا الحق</w:t>
      </w:r>
      <w:r w:rsidR="000636C2">
        <w:rPr>
          <w:rFonts w:hint="cs"/>
          <w:rtl/>
        </w:rPr>
        <w:t xml:space="preserve"> </w:t>
      </w:r>
      <w:r w:rsidRPr="005675B2">
        <w:rPr>
          <w:rFonts w:hint="cs"/>
          <w:rtl/>
        </w:rPr>
        <w:t>[</w:t>
      </w:r>
      <w:r w:rsidRPr="005675B2">
        <w:rPr>
          <w:rFonts w:hint="cs"/>
          <w:bCs/>
          <w:sz w:val="24"/>
          <w:szCs w:val="24"/>
          <w:rtl/>
        </w:rPr>
        <w:t>دائماً في المسائل الاجتهادية لا يجزم المجتهد أن قوله الحق وإنما يغلب ذلك على ظنه مع أن الحق في نفس الأمر لا يعلمه إلا الله.وهي مسألة أصولية معروفة]</w:t>
      </w:r>
      <w:r w:rsidRPr="005675B2">
        <w:rPr>
          <w:rFonts w:hint="cs"/>
          <w:rtl/>
        </w:rPr>
        <w:t>، ويجوز التعامل والتعاون معهم على البر والإحسان والتقوى، وهذا شيخ الإسلام ابن تيمية رحمه الله قد تتلمذ على كثير من العلماء الأشاعرة، بل قد قاتل تحت راية أمراء المماليك حكام ذلك الزمان وعامتهم أشاعرة، بل كان القائد المجاهد البطل نور الدين زنكي الشهيد، وكذا صلاح الدين الأيوبي من الأشاعرة كما نص عليه الذهبي في سير أعلام النبلاء، وغيرهما كثير من العلماء والقواد والمصلحين، بل إن كثيراً من علماء المسلمين وأئمتهم أشاعرة وماتريدية، كأمثال البيهقي والنووي وابن الصلاح والمزي وابن حجر العسقلاني والعراقي والسخاوي والزيلعي والسيوطي، بل جميع شراح البخاري هم أشاعرة وغيرهم كثير، ومع ذلك استفاد الناس من عملهم، وأقروا لهم بالفضل والإمامة في الدين، مع اعتقاد كونهم معذورين فيما اجتهدوا فيه وأخطأوا، والله يعفو عنهم ويغفر لهم</w:t>
      </w:r>
      <w:r w:rsidR="000636C2">
        <w:rPr>
          <w:rFonts w:hint="cs"/>
          <w:rtl/>
        </w:rPr>
        <w:t>،</w:t>
      </w:r>
      <w:r w:rsidRPr="005675B2">
        <w:rPr>
          <w:rFonts w:hint="cs"/>
          <w:rtl/>
        </w:rPr>
        <w:t xml:space="preserve"> والخليفة المأمون كان جهمياً معتزلياً وكذلك المعتصم والواثق كانوا جهمية ضُلاَّلاً</w:t>
      </w:r>
      <w:r w:rsidR="000636C2">
        <w:rPr>
          <w:rFonts w:hint="cs"/>
          <w:rtl/>
        </w:rPr>
        <w:t>،</w:t>
      </w:r>
      <w:r w:rsidRPr="005675B2">
        <w:rPr>
          <w:rFonts w:hint="cs"/>
          <w:rtl/>
        </w:rPr>
        <w:t xml:space="preserve"> ومع ذلك لم يفت أحد من أئمة الإسلام بعدم جواز الاقتداء بهم في الصلوات والقتال تحت رايتهم في الجهاد، فلم يفت أحد مثلاً بتحريم القتال مع المعتصم يوم عمورية، مع توافر الأئمة في ذلك الزمان كأمثال أحمد والبخاري ومسلم والترمذي وأبي داود وعلي بن المديني ويحيى بن معين وأضرابهم من كبار أئمة القرن الهجري الثالث</w:t>
      </w:r>
      <w:r w:rsidR="000636C2">
        <w:rPr>
          <w:rFonts w:hint="cs"/>
          <w:rtl/>
        </w:rPr>
        <w:t>،</w:t>
      </w:r>
      <w:r w:rsidRPr="005675B2">
        <w:rPr>
          <w:rFonts w:hint="cs"/>
          <w:rtl/>
        </w:rPr>
        <w:t xml:space="preserve"> ولم نسمع أن أحداً منهم حرم التعامل مع أولئك القوم، أو منع الاقتداء بهم، أو القتال</w:t>
      </w:r>
      <w:r>
        <w:rPr>
          <w:rFonts w:hint="cs"/>
          <w:rtl/>
        </w:rPr>
        <w:t xml:space="preserve"> </w:t>
      </w:r>
      <w:r w:rsidRPr="005675B2">
        <w:rPr>
          <w:rFonts w:hint="cs"/>
          <w:rtl/>
        </w:rPr>
        <w:t>تحت رايتهم</w:t>
      </w:r>
      <w:r w:rsidR="000636C2">
        <w:rPr>
          <w:rFonts w:hint="cs"/>
          <w:rtl/>
        </w:rPr>
        <w:t>،</w:t>
      </w:r>
      <w:r w:rsidRPr="005675B2">
        <w:rPr>
          <w:rFonts w:hint="cs"/>
          <w:rtl/>
        </w:rPr>
        <w:t xml:space="preserve"> فيجب أن نتأدب بأدب السلف مع المخالف</w:t>
      </w:r>
      <w:r w:rsidR="000636C2">
        <w:rPr>
          <w:rFonts w:hint="cs"/>
          <w:rtl/>
        </w:rPr>
        <w:t>،</w:t>
      </w:r>
      <w:r>
        <w:rPr>
          <w:rFonts w:hint="cs"/>
          <w:rtl/>
        </w:rPr>
        <w:t xml:space="preserve"> </w:t>
      </w:r>
      <w:r w:rsidRPr="005675B2">
        <w:rPr>
          <w:rFonts w:hint="cs"/>
          <w:rtl/>
        </w:rPr>
        <w:t>والله أعلم وصلى الله على محمد وعلى آله وصحبه وسلم</w:t>
      </w:r>
      <w:r w:rsidR="000636C2">
        <w:rPr>
          <w:rFonts w:hint="cs"/>
          <w:rtl/>
        </w:rPr>
        <w:t>،</w:t>
      </w:r>
      <w:r w:rsidRPr="005675B2">
        <w:rPr>
          <w:rFonts w:hint="cs"/>
          <w:rtl/>
        </w:rPr>
        <w:t xml:space="preserve"> د</w:t>
      </w:r>
      <w:r w:rsidR="000636C2">
        <w:rPr>
          <w:rFonts w:hint="cs"/>
          <w:rtl/>
        </w:rPr>
        <w:t>،</w:t>
      </w:r>
      <w:r w:rsidRPr="005675B2">
        <w:rPr>
          <w:rFonts w:hint="cs"/>
          <w:rtl/>
        </w:rPr>
        <w:t xml:space="preserve"> عبد العزيز بن عبد الفتاح القارئ / عميد كلية القرآن في الجامعة الإسلامية سابقًاد</w:t>
      </w:r>
      <w:r w:rsidR="000636C2">
        <w:rPr>
          <w:rFonts w:hint="cs"/>
          <w:rtl/>
        </w:rPr>
        <w:t>،</w:t>
      </w:r>
      <w:r w:rsidRPr="005675B2">
        <w:rPr>
          <w:rFonts w:hint="cs"/>
          <w:rtl/>
        </w:rPr>
        <w:t xml:space="preserve"> محمد بن ناصر السحيباني / المدرس بالمسجد النبوي </w:t>
      </w:r>
      <w:r w:rsidRPr="005675B2">
        <w:rPr>
          <w:rFonts w:hint="cs"/>
          <w:rtl/>
        </w:rPr>
        <w:br/>
        <w:t>د</w:t>
      </w:r>
      <w:r w:rsidR="000636C2">
        <w:rPr>
          <w:rFonts w:hint="cs"/>
          <w:rtl/>
        </w:rPr>
        <w:t>،</w:t>
      </w:r>
      <w:r w:rsidRPr="005675B2">
        <w:rPr>
          <w:rFonts w:hint="cs"/>
          <w:rtl/>
        </w:rPr>
        <w:t xml:space="preserve"> عبد الله بن محمد الغنيمان / رئيس قسم الدراسات العليا بالجامعة الإسلامية سابقا الذي علق على الفتوى قائلاً</w:t>
      </w:r>
      <w:r w:rsidR="000636C2">
        <w:rPr>
          <w:rFonts w:hint="cs"/>
          <w:rtl/>
        </w:rPr>
        <w:t xml:space="preserve">: </w:t>
      </w:r>
      <w:r w:rsidRPr="005675B2">
        <w:rPr>
          <w:rFonts w:hint="cs"/>
          <w:rtl/>
        </w:rPr>
        <w:t>"هذا جواب سديد صحيح ولا يسع المسلمين إلا ذلك، ولم يزل الخلاف يقع في صفوف العلماء، ولم يكن ذلك مسبباً لاختلاف القلوب والتفرق، وقصة الصحابة لما ذهبوا إلى بني قريظة معروفة مشهورة وغيرها، قاله عبد الله بن محمد الغنيمان</w:t>
      </w:r>
      <w:r w:rsidR="000636C2">
        <w:rPr>
          <w:rFonts w:hint="cs"/>
          <w:rtl/>
        </w:rPr>
        <w:t>،</w:t>
      </w:r>
      <w:r w:rsidRPr="005675B2">
        <w:rPr>
          <w:rFonts w:hint="cs"/>
          <w:rtl/>
        </w:rPr>
        <w:t xml:space="preserve"> تحريراً في 22/4/1427ه</w:t>
      </w:r>
      <w:r w:rsidR="000636C2">
        <w:rPr>
          <w:rFonts w:hint="cs"/>
          <w:rtl/>
        </w:rPr>
        <w:t xml:space="preserve"> </w:t>
      </w:r>
      <w:r w:rsidRPr="005675B2">
        <w:rPr>
          <w:rFonts w:hint="cs"/>
          <w:rtl/>
        </w:rPr>
        <w:t>-</w:t>
      </w:r>
      <w:r w:rsidR="000636C2">
        <w:rPr>
          <w:rFonts w:hint="cs"/>
          <w:rtl/>
        </w:rPr>
        <w:t>)</w:t>
      </w:r>
      <w:r w:rsidRPr="005675B2">
        <w:rPr>
          <w:rFonts w:hint="cs"/>
          <w:rtl/>
        </w:rPr>
        <w:t xml:space="preserve"> انتهت الفتوى</w:t>
      </w:r>
      <w:r w:rsidR="000636C2">
        <w:rPr>
          <w:rFonts w:hint="cs"/>
          <w:rtl/>
        </w:rPr>
        <w:t>،</w:t>
      </w:r>
    </w:p>
    <w:p w14:paraId="47BB1CCE" w14:textId="7A07D81E" w:rsidR="009C32A0" w:rsidRPr="005675B2" w:rsidRDefault="009C32A0" w:rsidP="000636C2">
      <w:pPr>
        <w:rPr>
          <w:b/>
          <w:rtl/>
        </w:rPr>
      </w:pPr>
      <w:r w:rsidRPr="005B622A">
        <w:rPr>
          <w:rFonts w:hint="cs"/>
          <w:bCs/>
          <w:rtl/>
        </w:rPr>
        <w:t>الفرق بين عقيدة أهل الأثر</w:t>
      </w:r>
      <w:r w:rsidR="000636C2">
        <w:rPr>
          <w:rFonts w:hint="cs"/>
          <w:bCs/>
          <w:rtl/>
        </w:rPr>
        <w:t xml:space="preserve"> </w:t>
      </w:r>
      <w:r w:rsidRPr="005B622A">
        <w:rPr>
          <w:rFonts w:hint="cs"/>
          <w:bCs/>
          <w:rtl/>
        </w:rPr>
        <w:t>وعقيدة الكاتب</w:t>
      </w:r>
      <w:r w:rsidR="000636C2">
        <w:rPr>
          <w:rFonts w:hint="cs"/>
          <w:bCs/>
          <w:rtl/>
        </w:rPr>
        <w:t>:</w:t>
      </w:r>
      <w:r>
        <w:rPr>
          <w:rFonts w:hint="cs"/>
          <w:rtl/>
        </w:rPr>
        <w:t xml:space="preserve"> </w:t>
      </w:r>
      <w:r w:rsidRPr="005675B2">
        <w:rPr>
          <w:rFonts w:hint="cs"/>
          <w:rtl/>
        </w:rPr>
        <w:t>الحقيقة أيها الأخوة الكرام أنه هناك فرق شاسع عظيم بين عقيدة الأثرية</w:t>
      </w:r>
      <w:r w:rsidR="000636C2">
        <w:rPr>
          <w:rFonts w:hint="cs"/>
          <w:rtl/>
        </w:rPr>
        <w:t xml:space="preserve"> </w:t>
      </w:r>
      <w:r w:rsidRPr="005675B2">
        <w:rPr>
          <w:rFonts w:hint="cs"/>
          <w:rtl/>
        </w:rPr>
        <w:t>وعلى رأسهم الإمام أحمد</w:t>
      </w:r>
      <w:r w:rsidR="000636C2">
        <w:rPr>
          <w:rFonts w:hint="cs"/>
          <w:rtl/>
        </w:rPr>
        <w:t>،</w:t>
      </w:r>
      <w:r w:rsidRPr="005675B2">
        <w:rPr>
          <w:rFonts w:hint="cs"/>
          <w:rtl/>
        </w:rPr>
        <w:t>وعقيدة الكاتب</w:t>
      </w:r>
      <w:r w:rsidR="000636C2">
        <w:rPr>
          <w:rFonts w:hint="cs"/>
          <w:rtl/>
        </w:rPr>
        <w:t>،</w:t>
      </w:r>
      <w:r>
        <w:rPr>
          <w:rFonts w:hint="cs"/>
          <w:rtl/>
        </w:rPr>
        <w:t xml:space="preserve"> </w:t>
      </w:r>
      <w:r w:rsidRPr="005675B2">
        <w:rPr>
          <w:rFonts w:hint="cs"/>
          <w:rtl/>
        </w:rPr>
        <w:t>وعلى كل إليكم الفوارق بين معتقد أتباع ابن تيمية ومعتقد الحنابلة</w:t>
      </w:r>
      <w:r w:rsidR="000636C2">
        <w:rPr>
          <w:rFonts w:hint="cs"/>
          <w:rtl/>
        </w:rPr>
        <w:t>:</w:t>
      </w:r>
    </w:p>
    <w:p w14:paraId="704CF72E" w14:textId="69888775" w:rsidR="009C32A0" w:rsidRPr="005675B2" w:rsidRDefault="009C32A0" w:rsidP="000636C2">
      <w:pPr>
        <w:rPr>
          <w:b/>
          <w:rtl/>
        </w:rPr>
      </w:pPr>
      <w:r w:rsidRPr="005B622A">
        <w:rPr>
          <w:rFonts w:hint="cs"/>
          <w:bCs/>
          <w:rtl/>
        </w:rPr>
        <w:t>المسألة الأولى</w:t>
      </w:r>
      <w:r w:rsidR="000636C2">
        <w:rPr>
          <w:rFonts w:hint="cs"/>
          <w:bCs/>
          <w:rtl/>
        </w:rPr>
        <w:t>:</w:t>
      </w:r>
      <w:r>
        <w:rPr>
          <w:rFonts w:hint="cs"/>
          <w:bCs/>
          <w:rtl/>
        </w:rPr>
        <w:t xml:space="preserve"> </w:t>
      </w:r>
      <w:r w:rsidRPr="005B622A">
        <w:rPr>
          <w:rFonts w:hint="cs"/>
          <w:bCs/>
          <w:rtl/>
        </w:rPr>
        <w:t>مسألة الجسمية</w:t>
      </w:r>
      <w:r w:rsidR="000636C2">
        <w:rPr>
          <w:rFonts w:hint="cs"/>
          <w:rtl/>
        </w:rPr>
        <w:t>:</w:t>
      </w:r>
      <w:r>
        <w:rPr>
          <w:rFonts w:hint="cs"/>
          <w:rtl/>
        </w:rPr>
        <w:t xml:space="preserve"> </w:t>
      </w:r>
      <w:r w:rsidRPr="005675B2">
        <w:rPr>
          <w:rFonts w:hint="cs"/>
          <w:rtl/>
        </w:rPr>
        <w:t>الكاتب</w:t>
      </w:r>
      <w:r w:rsidR="000636C2">
        <w:rPr>
          <w:rFonts w:hint="cs"/>
          <w:rtl/>
        </w:rPr>
        <w:t xml:space="preserve"> </w:t>
      </w:r>
      <w:r w:rsidRPr="005675B2">
        <w:rPr>
          <w:rFonts w:hint="cs"/>
          <w:rtl/>
        </w:rPr>
        <w:t>لا ينفي عن الله كونه جسماً سبحانه وتعالى</w:t>
      </w:r>
      <w:r w:rsidR="000636C2">
        <w:rPr>
          <w:rFonts w:hint="cs"/>
          <w:rtl/>
        </w:rPr>
        <w:t xml:space="preserve"> </w:t>
      </w:r>
      <w:r w:rsidRPr="005675B2">
        <w:rPr>
          <w:rFonts w:hint="cs"/>
          <w:rtl/>
        </w:rPr>
        <w:t>ولا يثبتها</w:t>
      </w:r>
      <w:r w:rsidR="000636C2">
        <w:rPr>
          <w:rFonts w:hint="cs"/>
          <w:rtl/>
        </w:rPr>
        <w:t>،</w:t>
      </w:r>
      <w:r w:rsidRPr="005675B2">
        <w:rPr>
          <w:rFonts w:hint="cs"/>
          <w:rtl/>
        </w:rPr>
        <w:t xml:space="preserve"> خلافاً للسلف</w:t>
      </w:r>
      <w:r w:rsidR="000636C2">
        <w:rPr>
          <w:rFonts w:hint="cs"/>
          <w:rtl/>
        </w:rPr>
        <w:t>،</w:t>
      </w:r>
      <w:r w:rsidRPr="005675B2">
        <w:rPr>
          <w:rFonts w:hint="cs"/>
          <w:rtl/>
        </w:rPr>
        <w:t>وذلك تقليداً</w:t>
      </w:r>
      <w:r w:rsidR="000636C2">
        <w:rPr>
          <w:rFonts w:hint="cs"/>
          <w:rtl/>
        </w:rPr>
        <w:t xml:space="preserve"> </w:t>
      </w:r>
      <w:r w:rsidRPr="005675B2">
        <w:rPr>
          <w:rFonts w:hint="cs"/>
          <w:rtl/>
        </w:rPr>
        <w:t>للإمام ابن تيمية</w:t>
      </w:r>
      <w:r w:rsidR="000636C2">
        <w:rPr>
          <w:rFonts w:hint="cs"/>
          <w:rtl/>
        </w:rPr>
        <w:t>،</w:t>
      </w:r>
      <w:r w:rsidRPr="005675B2">
        <w:rPr>
          <w:rFonts w:hint="cs"/>
          <w:rtl/>
        </w:rPr>
        <w:t>فقد جاء في كتاب الإمام</w:t>
      </w:r>
      <w:r w:rsidR="000636C2">
        <w:rPr>
          <w:rFonts w:hint="cs"/>
          <w:rtl/>
        </w:rPr>
        <w:t xml:space="preserve"> </w:t>
      </w:r>
      <w:r w:rsidRPr="005675B2">
        <w:rPr>
          <w:rFonts w:hint="cs"/>
          <w:rtl/>
        </w:rPr>
        <w:t>ابن تيمية</w:t>
      </w:r>
      <w:r w:rsidR="000636C2">
        <w:rPr>
          <w:rFonts w:hint="cs"/>
          <w:rtl/>
        </w:rPr>
        <w:t xml:space="preserve"> </w:t>
      </w:r>
      <w:r w:rsidRPr="005675B2">
        <w:rPr>
          <w:rFonts w:hint="cs"/>
          <w:rtl/>
        </w:rPr>
        <w:t>شرح حديث النزول ما نصه [</w:t>
      </w:r>
      <w:r w:rsidRPr="005675B2">
        <w:rPr>
          <w:rFonts w:hint="cs"/>
          <w:bCs/>
          <w:sz w:val="24"/>
          <w:szCs w:val="24"/>
          <w:rtl/>
        </w:rPr>
        <w:t>شرح حديث النزول ص80</w:t>
      </w:r>
      <w:r w:rsidRPr="005675B2">
        <w:rPr>
          <w:rFonts w:hint="cs"/>
          <w:rtl/>
        </w:rPr>
        <w:t xml:space="preserve">]: "وأما الشرع ‏فمعلوم أنه لم ينقل عن أحد من الأنبياء ولا الصحابة ولا التابعين ولا سلف الأمة </w:t>
      </w:r>
      <w:r w:rsidRPr="005675B2">
        <w:rPr>
          <w:rFonts w:hint="cs"/>
          <w:u w:val="single"/>
          <w:rtl/>
        </w:rPr>
        <w:t>أن الله جسم أو أن الله ليس ‏بجسم، بل النفي والإثبات بدعة في الشرع</w:t>
      </w:r>
      <w:r w:rsidRPr="005675B2">
        <w:rPr>
          <w:rFonts w:hint="cs"/>
          <w:rtl/>
        </w:rPr>
        <w:t>" أهـ</w:t>
      </w:r>
      <w:r w:rsidR="000636C2">
        <w:rPr>
          <w:rFonts w:hint="cs"/>
          <w:rtl/>
        </w:rPr>
        <w:t>،</w:t>
      </w:r>
      <w:r w:rsidRPr="005675B2">
        <w:rPr>
          <w:rFonts w:hint="cs"/>
          <w:rtl/>
        </w:rPr>
        <w:t xml:space="preserve"> ‏وقال في الموافقة ما نصه</w:t>
      </w:r>
      <w:r w:rsidR="000636C2">
        <w:rPr>
          <w:rFonts w:hint="cs"/>
          <w:rtl/>
        </w:rPr>
        <w:t>:</w:t>
      </w:r>
      <w:r w:rsidRPr="005675B2">
        <w:rPr>
          <w:rFonts w:hint="cs"/>
          <w:rtl/>
        </w:rPr>
        <w:t xml:space="preserve"> "وكذلك قوله </w:t>
      </w:r>
      <w:r w:rsidR="000636C2">
        <w:rPr>
          <w:rFonts w:hint="cs"/>
          <w:rtl/>
        </w:rPr>
        <w:t>(</w:t>
      </w:r>
      <w:r w:rsidRPr="005675B2">
        <w:rPr>
          <w:rFonts w:hint="cs"/>
          <w:rtl/>
        </w:rPr>
        <w:t>لَيسَ كَمِثلِهِ شَيءٌ وهو السَّمِيعُ البَصِيرُ</w:t>
      </w:r>
      <w:r w:rsidR="000636C2">
        <w:rPr>
          <w:rFonts w:hint="cs"/>
          <w:rtl/>
        </w:rPr>
        <w:t>)</w:t>
      </w:r>
      <w:r w:rsidRPr="005675B2">
        <w:rPr>
          <w:rFonts w:hint="cs"/>
          <w:rtl/>
        </w:rPr>
        <w:t xml:space="preserve"> </w:t>
      </w:r>
      <w:r w:rsidR="000636C2">
        <w:rPr>
          <w:rFonts w:hint="cs"/>
          <w:rtl/>
        </w:rPr>
        <w:t>(</w:t>
      </w:r>
      <w:r w:rsidRPr="005675B2">
        <w:rPr>
          <w:rFonts w:hint="cs"/>
          <w:rtl/>
        </w:rPr>
        <w:t>سورة الشورى/11</w:t>
      </w:r>
      <w:r w:rsidR="000636C2">
        <w:rPr>
          <w:rFonts w:hint="cs"/>
          <w:rtl/>
        </w:rPr>
        <w:t>)،</w:t>
      </w:r>
      <w:r w:rsidRPr="005675B2">
        <w:rPr>
          <w:rFonts w:hint="cs"/>
          <w:rtl/>
        </w:rPr>
        <w:t xml:space="preserve"> ‏وقوله </w:t>
      </w:r>
      <w:r w:rsidR="000636C2">
        <w:rPr>
          <w:rFonts w:hint="cs"/>
          <w:rtl/>
        </w:rPr>
        <w:t>(</w:t>
      </w:r>
      <w:r w:rsidRPr="005675B2">
        <w:rPr>
          <w:rFonts w:hint="cs"/>
          <w:rtl/>
        </w:rPr>
        <w:t>هَل تَعْلَمُ لَهُ سَمِيًّا</w:t>
      </w:r>
      <w:r w:rsidR="000636C2">
        <w:rPr>
          <w:rFonts w:hint="cs"/>
          <w:rtl/>
        </w:rPr>
        <w:t>)</w:t>
      </w:r>
      <w:r w:rsidRPr="005675B2">
        <w:rPr>
          <w:rFonts w:hint="cs"/>
          <w:rtl/>
        </w:rPr>
        <w:t xml:space="preserve"> </w:t>
      </w:r>
      <w:r w:rsidR="000636C2">
        <w:rPr>
          <w:rFonts w:hint="cs"/>
          <w:rtl/>
        </w:rPr>
        <w:t>(</w:t>
      </w:r>
      <w:r w:rsidRPr="005675B2">
        <w:rPr>
          <w:rFonts w:hint="cs"/>
          <w:rtl/>
        </w:rPr>
        <w:t>سورة مريم/65</w:t>
      </w:r>
      <w:r w:rsidR="000636C2">
        <w:rPr>
          <w:rFonts w:hint="cs"/>
          <w:rtl/>
        </w:rPr>
        <w:t>)</w:t>
      </w:r>
      <w:r w:rsidRPr="005675B2">
        <w:rPr>
          <w:rFonts w:hint="cs"/>
          <w:rtl/>
        </w:rPr>
        <w:t xml:space="preserve">، ونحو ذلك فإنه لا يدل على نفي الصفات بوجه من الوجوه بل ولا ‏على نفي ما يسميه أهل </w:t>
      </w:r>
      <w:r w:rsidRPr="005675B2">
        <w:rPr>
          <w:rFonts w:hint="cs"/>
          <w:u w:val="single"/>
          <w:rtl/>
        </w:rPr>
        <w:t>الاصطلاح جسماً بوجه</w:t>
      </w:r>
      <w:r w:rsidRPr="005675B2">
        <w:rPr>
          <w:rFonts w:hint="cs"/>
          <w:rtl/>
        </w:rPr>
        <w:t xml:space="preserve"> من الوجوه" اه</w:t>
      </w:r>
      <w:r w:rsidR="000636C2">
        <w:rPr>
          <w:rFonts w:hint="cs"/>
          <w:rtl/>
        </w:rPr>
        <w:t>،</w:t>
      </w:r>
      <w:r w:rsidRPr="005675B2">
        <w:rPr>
          <w:rFonts w:hint="cs"/>
          <w:rtl/>
        </w:rPr>
        <w:t>[</w:t>
      </w:r>
      <w:r w:rsidRPr="005675B2">
        <w:rPr>
          <w:rFonts w:hint="cs"/>
          <w:bCs/>
          <w:sz w:val="24"/>
          <w:szCs w:val="24"/>
          <w:rtl/>
        </w:rPr>
        <w:t>1/62</w:t>
      </w:r>
      <w:r w:rsidRPr="005675B2">
        <w:rPr>
          <w:rFonts w:hint="cs"/>
          <w:rtl/>
        </w:rPr>
        <w:t>] وقال في المنهاج ما نصه</w:t>
      </w:r>
      <w:r w:rsidR="000636C2">
        <w:rPr>
          <w:rFonts w:hint="cs"/>
          <w:rtl/>
        </w:rPr>
        <w:t>:</w:t>
      </w:r>
      <w:r w:rsidRPr="005675B2">
        <w:rPr>
          <w:rFonts w:hint="cs"/>
          <w:rtl/>
        </w:rPr>
        <w:t xml:space="preserve"> "أما ما ذكره من لفظ الجسم وما يتبع ذلك فإن هذا اللفظ لم ينطق به في صفات ‏الله لا كتاب ولا سنة لا نفيًا ولا إثباتًا، ولا تكلم به أحد من الصحابة والتابعين وتابعيهم لا أهل البيت ولا غيرهم " ‏أهـ</w:t>
      </w:r>
      <w:r w:rsidR="000636C2">
        <w:rPr>
          <w:rFonts w:hint="cs"/>
          <w:rtl/>
        </w:rPr>
        <w:t>،</w:t>
      </w:r>
      <w:r w:rsidRPr="005675B2">
        <w:rPr>
          <w:rFonts w:hint="cs"/>
          <w:rtl/>
        </w:rPr>
        <w:t xml:space="preserve"> ‏[</w:t>
      </w:r>
      <w:r w:rsidRPr="005675B2">
        <w:rPr>
          <w:rFonts w:hint="cs"/>
          <w:bCs/>
          <w:sz w:val="24"/>
          <w:szCs w:val="24"/>
          <w:rtl/>
        </w:rPr>
        <w:t>1/197</w:t>
      </w:r>
      <w:r w:rsidRPr="005675B2">
        <w:rPr>
          <w:rFonts w:hint="cs"/>
          <w:rtl/>
        </w:rPr>
        <w:t>] وقال في مجموع الفتاوى ما نصه</w:t>
      </w:r>
      <w:r w:rsidR="000636C2">
        <w:rPr>
          <w:rFonts w:hint="cs"/>
          <w:rtl/>
        </w:rPr>
        <w:t>:</w:t>
      </w:r>
      <w:r w:rsidRPr="005675B2">
        <w:rPr>
          <w:rFonts w:hint="cs"/>
          <w:rtl/>
        </w:rPr>
        <w:t xml:space="preserve">" ثم لفظ التجسيم لا يوجد في كلام أحد من السلف لا نفيًا ولا إثباتًا، </w:t>
      </w:r>
      <w:r w:rsidRPr="005675B2">
        <w:rPr>
          <w:rFonts w:hint="cs"/>
          <w:u w:val="single"/>
          <w:rtl/>
        </w:rPr>
        <w:t>فكيف يحل ‏أن يقال</w:t>
      </w:r>
      <w:r w:rsidR="000636C2">
        <w:rPr>
          <w:rFonts w:hint="cs"/>
          <w:u w:val="single"/>
          <w:rtl/>
        </w:rPr>
        <w:t>:</w:t>
      </w:r>
      <w:r w:rsidRPr="005675B2">
        <w:rPr>
          <w:rFonts w:hint="cs"/>
          <w:u w:val="single"/>
          <w:rtl/>
        </w:rPr>
        <w:t xml:space="preserve"> مذهب السلف نفي التجسيم</w:t>
      </w:r>
      <w:r w:rsidRPr="005675B2">
        <w:rPr>
          <w:rFonts w:hint="cs"/>
          <w:rtl/>
        </w:rPr>
        <w:t xml:space="preserve"> أو إثباته " أهـ</w:t>
      </w:r>
      <w:r w:rsidR="000636C2">
        <w:rPr>
          <w:rFonts w:hint="cs"/>
          <w:rtl/>
        </w:rPr>
        <w:t>،</w:t>
      </w:r>
      <w:r w:rsidRPr="005675B2">
        <w:rPr>
          <w:rFonts w:hint="cs"/>
          <w:rtl/>
        </w:rPr>
        <w:t xml:space="preserve"> [</w:t>
      </w:r>
      <w:r w:rsidRPr="005675B2">
        <w:rPr>
          <w:rFonts w:hint="cs"/>
          <w:bCs/>
          <w:sz w:val="24"/>
          <w:szCs w:val="24"/>
          <w:rtl/>
        </w:rPr>
        <w:t>مجموع الفتاوي4/152</w:t>
      </w:r>
      <w:r w:rsidRPr="005675B2">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قول من يقول</w:t>
      </w:r>
      <w:r w:rsidR="000636C2">
        <w:rPr>
          <w:rFonts w:hint="cs"/>
          <w:rtl/>
        </w:rPr>
        <w:t>:</w:t>
      </w:r>
      <w:r w:rsidRPr="005675B2">
        <w:rPr>
          <w:rFonts w:hint="cs"/>
          <w:rtl/>
        </w:rPr>
        <w:t xml:space="preserve"> أن الجسم لا يمتنع إطلاقه على الله باطل بلا ريب لأن من يطلقه على الله تعالى فإما أن يطلقه من باب إطلاق الأسماء أو الصفات</w:t>
      </w:r>
      <w:r w:rsidR="000636C2">
        <w:rPr>
          <w:rFonts w:hint="cs"/>
          <w:rtl/>
        </w:rPr>
        <w:t>:،</w:t>
      </w:r>
    </w:p>
    <w:p w14:paraId="53B39293" w14:textId="24D36CF0" w:rsidR="009C32A0" w:rsidRPr="005675B2" w:rsidRDefault="009C32A0" w:rsidP="000636C2">
      <w:pPr>
        <w:rPr>
          <w:b/>
          <w:rtl/>
        </w:rPr>
      </w:pPr>
      <w:r w:rsidRPr="005675B2">
        <w:rPr>
          <w:rFonts w:hint="cs"/>
          <w:rtl/>
        </w:rPr>
        <w:t>1</w:t>
      </w:r>
      <w:r w:rsidR="000636C2">
        <w:rPr>
          <w:rFonts w:hint="cs"/>
          <w:rtl/>
        </w:rPr>
        <w:t xml:space="preserve"> </w:t>
      </w:r>
      <w:r w:rsidRPr="005675B2">
        <w:rPr>
          <w:rFonts w:hint="cs"/>
          <w:rtl/>
        </w:rPr>
        <w:t>- فأما اطلاق مسمى الجسم على الله سبحانه وتعالى فباطل لأنه لم يرد في النصوص الشرعية وهو توقيفي</w:t>
      </w:r>
      <w:r w:rsidR="000636C2">
        <w:rPr>
          <w:rFonts w:hint="cs"/>
          <w:rtl/>
        </w:rPr>
        <w:t>،</w:t>
      </w:r>
      <w:r w:rsidRPr="005675B2">
        <w:rPr>
          <w:rFonts w:hint="cs"/>
          <w:rtl/>
        </w:rPr>
        <w:t xml:space="preserve"> ولذلك فلا يجوز التوقف في رده</w:t>
      </w:r>
      <w:r w:rsidR="000636C2">
        <w:rPr>
          <w:rFonts w:hint="cs"/>
          <w:rtl/>
        </w:rPr>
        <w:t>،</w:t>
      </w:r>
      <w:r w:rsidRPr="005675B2">
        <w:rPr>
          <w:rFonts w:hint="cs"/>
          <w:rtl/>
        </w:rPr>
        <w:t xml:space="preserve"> بل الواجب أن</w:t>
      </w:r>
      <w:r w:rsidR="000636C2">
        <w:rPr>
          <w:rFonts w:hint="cs"/>
          <w:rtl/>
        </w:rPr>
        <w:t xml:space="preserve"> </w:t>
      </w:r>
      <w:r w:rsidRPr="005675B2">
        <w:rPr>
          <w:rFonts w:hint="cs"/>
          <w:rtl/>
        </w:rPr>
        <w:t>يرد رأساً</w:t>
      </w:r>
      <w:r w:rsidR="000636C2">
        <w:rPr>
          <w:rFonts w:hint="cs"/>
          <w:rtl/>
        </w:rPr>
        <w:t>،</w:t>
      </w:r>
    </w:p>
    <w:p w14:paraId="2B0AFCC7" w14:textId="4AFF1044"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وأما إطلاقه من باب إطلاق الصفة على الموصوف فباطل أيضاً لأنه لم يرد وصف الله تعالى بذلك وكل معنى للجسم</w:t>
      </w:r>
      <w:r w:rsidR="000636C2">
        <w:rPr>
          <w:rFonts w:hint="cs"/>
          <w:rtl/>
        </w:rPr>
        <w:t xml:space="preserve"> </w:t>
      </w:r>
      <w:r w:rsidRPr="005675B2">
        <w:rPr>
          <w:rFonts w:hint="cs"/>
          <w:rtl/>
        </w:rPr>
        <w:t>في لغة العرب لا يجوز أن يوصف الله بذلك المعنى</w:t>
      </w:r>
      <w:r w:rsidR="000636C2">
        <w:rPr>
          <w:rFonts w:hint="cs"/>
          <w:rtl/>
        </w:rPr>
        <w:t>،</w:t>
      </w:r>
      <w:r>
        <w:rPr>
          <w:rFonts w:hint="cs"/>
          <w:rtl/>
        </w:rPr>
        <w:t xml:space="preserve"> </w:t>
      </w:r>
      <w:r w:rsidRPr="005675B2">
        <w:rPr>
          <w:rFonts w:hint="cs"/>
          <w:rtl/>
        </w:rPr>
        <w:t>فنتج مما سبق أن قول القائل أن نفي الجسم عن الله بدعة</w:t>
      </w:r>
      <w:r w:rsidR="000636C2">
        <w:rPr>
          <w:rFonts w:hint="cs"/>
          <w:rtl/>
        </w:rPr>
        <w:t>،</w:t>
      </w:r>
      <w:r w:rsidRPr="005675B2">
        <w:rPr>
          <w:rFonts w:hint="cs"/>
          <w:rtl/>
        </w:rPr>
        <w:t>هو تقرير</w:t>
      </w:r>
      <w:r w:rsidR="000636C2">
        <w:rPr>
          <w:rFonts w:hint="cs"/>
          <w:rtl/>
        </w:rPr>
        <w:t xml:space="preserve"> </w:t>
      </w:r>
      <w:r w:rsidRPr="005675B2">
        <w:rPr>
          <w:rFonts w:hint="cs"/>
          <w:rtl/>
        </w:rPr>
        <w:t>باطل لأن امتناع إطلاقه على الله تعالى له أسباب قطعية وهي</w:t>
      </w:r>
      <w:r w:rsidR="000636C2">
        <w:rPr>
          <w:rFonts w:hint="cs"/>
          <w:rtl/>
        </w:rPr>
        <w:t>:</w:t>
      </w:r>
      <w:r>
        <w:rPr>
          <w:rFonts w:hint="cs"/>
          <w:rtl/>
        </w:rPr>
        <w:t xml:space="preserve"> </w:t>
      </w:r>
      <w:r w:rsidRPr="005675B2">
        <w:rPr>
          <w:rFonts w:hint="cs"/>
          <w:rtl/>
        </w:rPr>
        <w:t>1</w:t>
      </w:r>
      <w:r w:rsidR="000636C2">
        <w:rPr>
          <w:rFonts w:hint="cs"/>
          <w:rtl/>
        </w:rPr>
        <w:t xml:space="preserve"> </w:t>
      </w:r>
      <w:r w:rsidRPr="005675B2">
        <w:rPr>
          <w:rFonts w:hint="cs"/>
          <w:rtl/>
        </w:rPr>
        <w:t>- عدم وروده في نصوص الكتاب والسنة</w:t>
      </w:r>
      <w:r w:rsidR="000636C2">
        <w:rPr>
          <w:rFonts w:hint="cs"/>
          <w:rtl/>
        </w:rPr>
        <w:t>،</w:t>
      </w:r>
      <w:r w:rsidRPr="005675B2">
        <w:rPr>
          <w:rFonts w:hint="cs"/>
          <w:rtl/>
        </w:rPr>
        <w:t>ولذا فيحرم إطلاقه على الله تعالى</w:t>
      </w:r>
      <w:r w:rsidR="000636C2">
        <w:rPr>
          <w:rFonts w:hint="cs"/>
          <w:rtl/>
        </w:rPr>
        <w:t>،</w:t>
      </w:r>
      <w:r>
        <w:rPr>
          <w:rFonts w:hint="cs"/>
          <w:rtl/>
        </w:rPr>
        <w:t xml:space="preserve"> </w:t>
      </w:r>
      <w:r w:rsidRPr="005675B2">
        <w:rPr>
          <w:rFonts w:hint="cs"/>
          <w:rtl/>
        </w:rPr>
        <w:t>2</w:t>
      </w:r>
      <w:r w:rsidR="000636C2">
        <w:rPr>
          <w:rFonts w:hint="cs"/>
          <w:rtl/>
        </w:rPr>
        <w:t xml:space="preserve"> </w:t>
      </w:r>
      <w:r w:rsidRPr="005675B2">
        <w:rPr>
          <w:rFonts w:hint="cs"/>
          <w:rtl/>
        </w:rPr>
        <w:t>- أن من</w:t>
      </w:r>
      <w:r w:rsidR="000636C2">
        <w:rPr>
          <w:rFonts w:hint="cs"/>
          <w:rtl/>
        </w:rPr>
        <w:t xml:space="preserve"> </w:t>
      </w:r>
      <w:r w:rsidRPr="005675B2">
        <w:rPr>
          <w:rFonts w:hint="cs"/>
          <w:rtl/>
        </w:rPr>
        <w:t>يرد على الأشاعرة رحمهم الله تعالى لابد أن يعلم معنى الجسمية</w:t>
      </w:r>
      <w:r w:rsidR="000636C2">
        <w:rPr>
          <w:rFonts w:hint="cs"/>
          <w:rtl/>
        </w:rPr>
        <w:t xml:space="preserve"> </w:t>
      </w:r>
      <w:r w:rsidRPr="005675B2">
        <w:rPr>
          <w:rFonts w:hint="cs"/>
          <w:rtl/>
        </w:rPr>
        <w:t>عندهم</w:t>
      </w:r>
      <w:r w:rsidR="000636C2">
        <w:rPr>
          <w:rFonts w:hint="cs"/>
          <w:rtl/>
        </w:rPr>
        <w:t>،</w:t>
      </w:r>
      <w:r w:rsidRPr="005675B2">
        <w:rPr>
          <w:rFonts w:hint="cs"/>
          <w:rtl/>
        </w:rPr>
        <w:t>فلها عندهم معنى</w:t>
      </w:r>
      <w:r>
        <w:rPr>
          <w:rFonts w:hint="cs"/>
          <w:rtl/>
        </w:rPr>
        <w:t xml:space="preserve"> </w:t>
      </w:r>
      <w:r w:rsidRPr="005675B2">
        <w:rPr>
          <w:rFonts w:hint="cs"/>
          <w:rtl/>
        </w:rPr>
        <w:t>اصطلحوا عليه هو الذي ينفونه عن الله</w:t>
      </w:r>
      <w:r w:rsidR="000636C2">
        <w:rPr>
          <w:rFonts w:hint="cs"/>
          <w:rtl/>
        </w:rPr>
        <w:t>،</w:t>
      </w:r>
      <w:r w:rsidRPr="005675B2">
        <w:rPr>
          <w:rFonts w:hint="cs"/>
          <w:rtl/>
        </w:rPr>
        <w:t>فلا وجه للإنكار على أهل السنة من الأشاعرة وغيرهم لنفيهم الجسمية لأن هذا هو الواجب قطعاً</w:t>
      </w:r>
      <w:r w:rsidR="000636C2">
        <w:rPr>
          <w:rFonts w:hint="cs"/>
          <w:rtl/>
        </w:rPr>
        <w:t>،</w:t>
      </w:r>
    </w:p>
    <w:p w14:paraId="5F901CEE" w14:textId="5D8BC117"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أن كل معاني الجسم في اللغة العربية لايجوز إطلاقها على الله تعالى</w:t>
      </w:r>
      <w:r w:rsidR="000636C2">
        <w:rPr>
          <w:rFonts w:hint="cs"/>
          <w:rtl/>
        </w:rPr>
        <w:t>،</w:t>
      </w:r>
      <w:r>
        <w:rPr>
          <w:rFonts w:hint="cs"/>
          <w:rtl/>
        </w:rPr>
        <w:t xml:space="preserve"> </w:t>
      </w:r>
      <w:r w:rsidRPr="005675B2">
        <w:rPr>
          <w:rFonts w:hint="cs"/>
          <w:rtl/>
        </w:rPr>
        <w:t>أما مذهب أهل السنة والجماعة ومنهم الأثرية فهو مايلي</w:t>
      </w:r>
      <w:r w:rsidR="000636C2">
        <w:rPr>
          <w:rFonts w:hint="cs"/>
          <w:rtl/>
        </w:rPr>
        <w:t>:</w:t>
      </w:r>
      <w:r w:rsidRPr="005675B2">
        <w:rPr>
          <w:rFonts w:hint="cs"/>
          <w:rtl/>
        </w:rPr>
        <w:t xml:space="preserve"> 1</w:t>
      </w:r>
      <w:r w:rsidR="000636C2">
        <w:rPr>
          <w:rFonts w:hint="cs"/>
          <w:rtl/>
        </w:rPr>
        <w:t xml:space="preserve"> </w:t>
      </w:r>
      <w:r w:rsidRPr="005675B2">
        <w:rPr>
          <w:rFonts w:hint="cs"/>
          <w:rtl/>
        </w:rPr>
        <w:t>-</w:t>
      </w:r>
      <w:r w:rsidR="000636C2">
        <w:rPr>
          <w:rFonts w:hint="cs"/>
          <w:rtl/>
        </w:rPr>
        <w:t xml:space="preserve"> </w:t>
      </w:r>
      <w:r w:rsidRPr="005675B2">
        <w:rPr>
          <w:rFonts w:hint="cs"/>
          <w:rtl/>
        </w:rPr>
        <w:t>ما نقله أبو الفضل التميمي رئيس الحنابلة ببغداد عن الإمام أحمد قال</w:t>
      </w:r>
      <w:r w:rsidR="000636C2">
        <w:rPr>
          <w:rFonts w:hint="cs"/>
          <w:rtl/>
        </w:rPr>
        <w:t>:</w:t>
      </w:r>
      <w:r w:rsidRPr="005675B2">
        <w:rPr>
          <w:rFonts w:hint="cs"/>
          <w:rtl/>
        </w:rPr>
        <w:t xml:space="preserve"> "</w:t>
      </w:r>
      <w:r w:rsidRPr="005675B2">
        <w:rPr>
          <w:rFonts w:hint="cs"/>
          <w:u w:val="single"/>
          <w:rtl/>
        </w:rPr>
        <w:t>وأنكر أحمد على من يقول بالجسم</w:t>
      </w:r>
      <w:r w:rsidRPr="005675B2">
        <w:rPr>
          <w:rFonts w:hint="cs"/>
          <w:rtl/>
        </w:rPr>
        <w:t xml:space="preserve"> [</w:t>
      </w:r>
      <w:r w:rsidRPr="005675B2">
        <w:rPr>
          <w:rFonts w:hint="cs"/>
          <w:bCs/>
          <w:sz w:val="24"/>
          <w:szCs w:val="24"/>
          <w:rtl/>
        </w:rPr>
        <w:t xml:space="preserve">هذه الجملة </w:t>
      </w:r>
      <w:r w:rsidRPr="005675B2">
        <w:rPr>
          <w:rFonts w:hint="cs"/>
          <w:bCs/>
          <w:sz w:val="24"/>
          <w:szCs w:val="24"/>
          <w:u w:val="single"/>
          <w:rtl/>
        </w:rPr>
        <w:t>(وأنكر أحمد على من يقول بالجسم</w:t>
      </w:r>
      <w:r w:rsidR="000636C2">
        <w:rPr>
          <w:rFonts w:hint="cs"/>
          <w:bCs/>
          <w:sz w:val="24"/>
          <w:szCs w:val="24"/>
          <w:rtl/>
        </w:rPr>
        <w:t>)</w:t>
      </w:r>
      <w:r w:rsidRPr="005675B2">
        <w:rPr>
          <w:rFonts w:hint="cs"/>
          <w:bCs/>
          <w:sz w:val="24"/>
          <w:szCs w:val="24"/>
          <w:rtl/>
        </w:rPr>
        <w:t xml:space="preserve"> لم تكتب في المطبوع رغم وجدودها في المخطوط (ص7ـ8)</w:t>
      </w:r>
      <w:r w:rsidRPr="005675B2">
        <w:rPr>
          <w:rFonts w:hint="cs"/>
          <w:rtl/>
        </w:rPr>
        <w:t>] وقال</w:t>
      </w:r>
      <w:r w:rsidR="000636C2">
        <w:rPr>
          <w:rFonts w:hint="cs"/>
          <w:rtl/>
        </w:rPr>
        <w:t>:</w:t>
      </w:r>
      <w:r w:rsidRPr="005675B2">
        <w:rPr>
          <w:rFonts w:hint="cs"/>
          <w:rtl/>
        </w:rPr>
        <w:t xml:space="preserve"> إن الأسماء مأخوذة من الشريعة واللغة، وأهل اللغة وضعوا هذا ‏الاسم على ذي طول</w:t>
      </w:r>
      <w:r w:rsidR="000636C2">
        <w:rPr>
          <w:rFonts w:hint="cs"/>
          <w:rtl/>
        </w:rPr>
        <w:t xml:space="preserve"> </w:t>
      </w:r>
      <w:r w:rsidRPr="005675B2">
        <w:rPr>
          <w:rFonts w:hint="cs"/>
          <w:rtl/>
        </w:rPr>
        <w:t>وعرض</w:t>
      </w:r>
      <w:r w:rsidR="000636C2">
        <w:rPr>
          <w:rFonts w:hint="cs"/>
          <w:rtl/>
        </w:rPr>
        <w:t>،</w:t>
      </w:r>
      <w:r w:rsidRPr="005675B2">
        <w:rPr>
          <w:rFonts w:hint="cs"/>
          <w:rtl/>
        </w:rPr>
        <w:t xml:space="preserve"> وسمك</w:t>
      </w:r>
      <w:r w:rsidR="000636C2">
        <w:rPr>
          <w:rFonts w:hint="cs"/>
          <w:rtl/>
        </w:rPr>
        <w:t>،</w:t>
      </w:r>
      <w:r w:rsidRPr="005675B2">
        <w:rPr>
          <w:rFonts w:hint="cs"/>
          <w:rtl/>
        </w:rPr>
        <w:t xml:space="preserve"> وتركيب</w:t>
      </w:r>
      <w:r w:rsidR="000636C2">
        <w:rPr>
          <w:rFonts w:hint="cs"/>
          <w:rtl/>
        </w:rPr>
        <w:t>،</w:t>
      </w:r>
      <w:r w:rsidRPr="005675B2">
        <w:rPr>
          <w:rFonts w:hint="cs"/>
          <w:rtl/>
        </w:rPr>
        <w:t xml:space="preserve"> وصورة</w:t>
      </w:r>
      <w:r w:rsidR="000636C2">
        <w:rPr>
          <w:rFonts w:hint="cs"/>
          <w:rtl/>
        </w:rPr>
        <w:t>،</w:t>
      </w:r>
      <w:r w:rsidRPr="005675B2">
        <w:rPr>
          <w:rFonts w:hint="cs"/>
          <w:rtl/>
        </w:rPr>
        <w:t xml:space="preserve"> وتأليف</w:t>
      </w:r>
      <w:r w:rsidR="000636C2">
        <w:rPr>
          <w:rFonts w:hint="cs"/>
          <w:rtl/>
        </w:rPr>
        <w:t>،</w:t>
      </w:r>
      <w:r w:rsidRPr="005675B2">
        <w:rPr>
          <w:rFonts w:hint="cs"/>
          <w:rtl/>
        </w:rPr>
        <w:t xml:space="preserve"> والله تعالى خارج عن ذلك كله، فلم يجز أن يسمى ‏جسمًا لخروجه عن معنى الجسمية، ولم يجىء في الشريعة ذلك فبطل" أ هـ، ونقله الحافظ البيهقي عنه في مناقب</w:t>
      </w:r>
      <w:r w:rsidR="000636C2">
        <w:rPr>
          <w:rFonts w:hint="cs"/>
          <w:rtl/>
        </w:rPr>
        <w:t xml:space="preserve"> </w:t>
      </w:r>
      <w:r w:rsidRPr="005675B2">
        <w:rPr>
          <w:rFonts w:hint="cs"/>
          <w:rtl/>
        </w:rPr>
        <w:t>الإمام أحمد وغير ه</w:t>
      </w:r>
      <w:r w:rsidR="000636C2">
        <w:rPr>
          <w:rFonts w:hint="cs"/>
          <w:rtl/>
        </w:rPr>
        <w:t>،</w:t>
      </w:r>
      <w:r w:rsidRPr="005675B2">
        <w:rPr>
          <w:rFonts w:hint="cs"/>
          <w:rtl/>
        </w:rPr>
        <w:t xml:space="preserve"> ‏ </w:t>
      </w:r>
      <w:r w:rsidR="000636C2">
        <w:rPr>
          <w:rFonts w:hint="cs"/>
          <w:rtl/>
        </w:rPr>
        <w:t>[</w:t>
      </w:r>
      <w:r w:rsidRPr="005675B2">
        <w:rPr>
          <w:rFonts w:hint="cs"/>
          <w:bCs/>
          <w:sz w:val="24"/>
          <w:szCs w:val="24"/>
          <w:rtl/>
        </w:rPr>
        <w:t>اعتقاد الإمام أحمد</w:t>
      </w:r>
      <w:r w:rsidR="000636C2">
        <w:rPr>
          <w:bCs/>
          <w:sz w:val="24"/>
          <w:szCs w:val="24"/>
          <w:rtl/>
        </w:rPr>
        <w:t xml:space="preserve"> </w:t>
      </w:r>
      <w:r w:rsidRPr="005675B2">
        <w:rPr>
          <w:rFonts w:hint="cs"/>
          <w:bCs/>
          <w:sz w:val="24"/>
          <w:szCs w:val="24"/>
          <w:rtl/>
        </w:rPr>
        <w:t>ص47</w:t>
      </w:r>
      <w:r w:rsidRPr="005675B2">
        <w:rPr>
          <w:rFonts w:hint="cs"/>
          <w:rtl/>
        </w:rPr>
        <w:t>]</w:t>
      </w:r>
      <w:r w:rsidR="000636C2">
        <w:rPr>
          <w:rFonts w:hint="cs"/>
          <w:rtl/>
        </w:rPr>
        <w:t xml:space="preserve"> </w:t>
      </w:r>
      <w:r w:rsidRPr="005675B2">
        <w:rPr>
          <w:rFonts w:hint="cs"/>
          <w:rtl/>
        </w:rPr>
        <w:t>وقال الإمام ابن حمدان الحنبلي وهو يقرر عقيدة الحنابلة</w:t>
      </w:r>
      <w:r w:rsidR="000636C2">
        <w:rPr>
          <w:rFonts w:hint="cs"/>
          <w:rtl/>
        </w:rPr>
        <w:t>)</w:t>
      </w:r>
      <w:r w:rsidR="000636C2">
        <w:rPr>
          <w:rtl/>
        </w:rPr>
        <w:t xml:space="preserve"> </w:t>
      </w:r>
      <w:r w:rsidRPr="005675B2">
        <w:rPr>
          <w:rFonts w:hint="cs"/>
          <w:rtl/>
        </w:rPr>
        <w:t>ومن شبه الله بخلقه فقد كفر</w:t>
      </w:r>
      <w:r w:rsidR="000636C2">
        <w:rPr>
          <w:rFonts w:hint="cs"/>
          <w:rtl/>
        </w:rPr>
        <w:t xml:space="preserve"> </w:t>
      </w:r>
      <w:r w:rsidRPr="005675B2">
        <w:rPr>
          <w:rFonts w:hint="cs"/>
          <w:rtl/>
        </w:rPr>
        <w:t>نص عليه الإمام أحمد وكذا من جسم أو قال إنه جسم لاكالأجسام</w:t>
      </w:r>
      <w:r w:rsidR="000636C2">
        <w:rPr>
          <w:rFonts w:hint="cs"/>
          <w:rtl/>
        </w:rPr>
        <w:t>،</w:t>
      </w:r>
      <w:r w:rsidRPr="005675B2">
        <w:rPr>
          <w:rFonts w:hint="cs"/>
          <w:rtl/>
        </w:rPr>
        <w:t xml:space="preserve"> ذكره القاضي أبو يعلى</w:t>
      </w:r>
      <w:r w:rsidR="000636C2">
        <w:rPr>
          <w:rFonts w:hint="cs"/>
          <w:rtl/>
        </w:rPr>
        <w:t>،</w:t>
      </w:r>
      <w:r w:rsidRPr="005675B2">
        <w:rPr>
          <w:rFonts w:hint="cs"/>
          <w:rtl/>
        </w:rPr>
        <w:t xml:space="preserve"> [</w:t>
      </w:r>
      <w:r w:rsidRPr="005675B2">
        <w:rPr>
          <w:rFonts w:hint="cs"/>
          <w:bCs/>
          <w:sz w:val="24"/>
          <w:szCs w:val="24"/>
          <w:rtl/>
        </w:rPr>
        <w:t>نهاية المبتدئين في أصول الدين ص31</w:t>
      </w:r>
      <w:r w:rsidRPr="005675B2">
        <w:rPr>
          <w:rFonts w:hint="cs"/>
          <w:rtl/>
        </w:rPr>
        <w:t>] وهذا الذي صرح به أحمد من تنزيهه الله عن هذه الأشياء الستة</w:t>
      </w:r>
      <w:r w:rsidR="000636C2">
        <w:rPr>
          <w:rFonts w:hint="cs"/>
          <w:rtl/>
        </w:rPr>
        <w:t>،</w:t>
      </w:r>
      <w:r w:rsidRPr="005675B2">
        <w:rPr>
          <w:rFonts w:hint="cs"/>
          <w:rtl/>
        </w:rPr>
        <w:t xml:space="preserve"> هو ما قال به الأشاعرة والماتريدية وهم أهل ‏السنة الموافقون لأحمد وغيره من السلف في أصول المعتقد</w:t>
      </w:r>
      <w:r w:rsidR="000636C2">
        <w:rPr>
          <w:rFonts w:hint="cs"/>
          <w:rtl/>
        </w:rPr>
        <w:t>،</w:t>
      </w:r>
      <w:r w:rsidRPr="005675B2">
        <w:rPr>
          <w:rFonts w:hint="cs"/>
          <w:rtl/>
        </w:rPr>
        <w:t xml:space="preserve"> ‏وقال الإمام الأشعري في كتاب النوادر</w:t>
      </w:r>
      <w:r w:rsidR="000636C2">
        <w:rPr>
          <w:rFonts w:hint="cs"/>
          <w:rtl/>
        </w:rPr>
        <w:t>:</w:t>
      </w:r>
      <w:r w:rsidRPr="005675B2">
        <w:rPr>
          <w:rFonts w:hint="cs"/>
          <w:rtl/>
        </w:rPr>
        <w:t xml:space="preserve"> " من اعتقد أن الله جسم فهو غير عارف بربه، وأنه كافر به" أهـ</w:t>
      </w:r>
      <w:r w:rsidR="000636C2">
        <w:rPr>
          <w:rFonts w:hint="cs"/>
          <w:rtl/>
        </w:rPr>
        <w:t>،</w:t>
      </w:r>
      <w:r w:rsidRPr="005675B2">
        <w:rPr>
          <w:rFonts w:hint="cs"/>
          <w:rtl/>
        </w:rPr>
        <w:t xml:space="preserve"> ‏</w:t>
      </w:r>
      <w:r>
        <w:rPr>
          <w:rFonts w:hint="cs"/>
          <w:rtl/>
        </w:rPr>
        <w:t xml:space="preserve"> </w:t>
      </w:r>
      <w:r w:rsidRPr="005675B2">
        <w:rPr>
          <w:rFonts w:hint="cs"/>
          <w:rtl/>
        </w:rPr>
        <w:t>وقال القاضي أبو يعلى</w:t>
      </w:r>
      <w:r w:rsidR="000636C2">
        <w:rPr>
          <w:rFonts w:hint="cs"/>
          <w:rtl/>
        </w:rPr>
        <w:t>:</w:t>
      </w:r>
      <w:r w:rsidRPr="005675B2">
        <w:rPr>
          <w:rFonts w:hint="cs"/>
          <w:rtl/>
        </w:rPr>
        <w:t xml:space="preserve"> وكل ما يقع في الخواطرمن حد أو تشبيه أو تكييف</w:t>
      </w:r>
      <w:r w:rsidR="000636C2">
        <w:rPr>
          <w:rFonts w:hint="cs"/>
          <w:rtl/>
        </w:rPr>
        <w:t>:</w:t>
      </w:r>
      <w:r w:rsidRPr="005675B2">
        <w:rPr>
          <w:rFonts w:hint="cs"/>
          <w:rtl/>
        </w:rPr>
        <w:t xml:space="preserve"> فالله سبحانه تعالى عن ذلك والله ليس كمثله شيء ولا يوصف بصفات المخلوقين الدالة على حدثهم ولا يجوز عليه ما يجوز عليهم من التغير من حال إلى حال لي</w:t>
      </w:r>
      <w:r w:rsidRPr="005675B2">
        <w:rPr>
          <w:rFonts w:hint="cs"/>
          <w:u w:val="single"/>
          <w:rtl/>
        </w:rPr>
        <w:t xml:space="preserve">س بجسم ولا جوهر ولا عرض وأنه لم </w:t>
      </w:r>
      <w:r w:rsidRPr="005675B2">
        <w:rPr>
          <w:rFonts w:hint="cs"/>
          <w:rtl/>
        </w:rPr>
        <w:t>يزل ولا يزال وأنه الذي لا يتصور في الأوهام وصفاته لا تشبه صفات المخلوقين ليس كمثله شيء وهو السميع البصير</w:t>
      </w:r>
      <w:r w:rsidR="000636C2">
        <w:rPr>
          <w:rFonts w:hint="cs"/>
          <w:rtl/>
        </w:rPr>
        <w:t xml:space="preserve">، </w:t>
      </w:r>
      <w:r w:rsidRPr="005675B2">
        <w:rPr>
          <w:rFonts w:hint="cs"/>
          <w:rtl/>
        </w:rPr>
        <w:t>[</w:t>
      </w:r>
      <w:r w:rsidRPr="005675B2">
        <w:rPr>
          <w:rFonts w:hint="cs"/>
          <w:bCs/>
          <w:sz w:val="24"/>
          <w:szCs w:val="24"/>
          <w:rtl/>
        </w:rPr>
        <w:t>ضمن ترجمة القاضي في طبقات ولده (طبقات الحنابلة</w:t>
      </w:r>
      <w:r w:rsidR="000636C2">
        <w:rPr>
          <w:rFonts w:hint="cs"/>
          <w:bCs/>
          <w:sz w:val="24"/>
          <w:szCs w:val="24"/>
          <w:rtl/>
        </w:rPr>
        <w:t>)</w:t>
      </w:r>
      <w:r w:rsidRPr="005675B2">
        <w:rPr>
          <w:rFonts w:hint="cs"/>
          <w:bCs/>
          <w:sz w:val="24"/>
          <w:szCs w:val="24"/>
          <w:rtl/>
        </w:rPr>
        <w:t>]</w:t>
      </w:r>
      <w:r w:rsidR="000636C2">
        <w:rPr>
          <w:rFonts w:hint="cs"/>
          <w:rtl/>
        </w:rPr>
        <w:t>،</w:t>
      </w:r>
      <w:r>
        <w:rPr>
          <w:rFonts w:hint="cs"/>
          <w:rtl/>
        </w:rPr>
        <w:t xml:space="preserve"> </w:t>
      </w:r>
      <w:r w:rsidRPr="005675B2">
        <w:rPr>
          <w:rFonts w:hint="cs"/>
          <w:rtl/>
        </w:rPr>
        <w:t>وقال ابن أبي يعلى</w:t>
      </w:r>
      <w:r w:rsidR="000636C2">
        <w:rPr>
          <w:rFonts w:hint="cs"/>
          <w:rtl/>
        </w:rPr>
        <w:t>:</w:t>
      </w:r>
      <w:r w:rsidRPr="005675B2">
        <w:rPr>
          <w:rFonts w:hint="cs"/>
          <w:rtl/>
        </w:rPr>
        <w:t xml:space="preserve"> فأما الرد على المجسمة لله</w:t>
      </w:r>
      <w:r w:rsidR="000636C2">
        <w:rPr>
          <w:rFonts w:hint="cs"/>
          <w:rtl/>
        </w:rPr>
        <w:t>:</w:t>
      </w:r>
      <w:r w:rsidRPr="005675B2">
        <w:rPr>
          <w:rFonts w:hint="cs"/>
          <w:rtl/>
        </w:rPr>
        <w:t xml:space="preserve"> فيرده الوالد السعيد بكتاب وذكره أيضاً في أثناء كتبه فقال</w:t>
      </w:r>
      <w:r w:rsidR="000636C2">
        <w:rPr>
          <w:rFonts w:hint="cs"/>
          <w:rtl/>
        </w:rPr>
        <w:t>:</w:t>
      </w:r>
      <w:r w:rsidRPr="005675B2">
        <w:rPr>
          <w:rFonts w:hint="cs"/>
          <w:rtl/>
        </w:rPr>
        <w:t xml:space="preserve"> لا يجوز أن يسمى الله جسماً</w:t>
      </w:r>
      <w:r w:rsidR="000636C2">
        <w:rPr>
          <w:rFonts w:hint="cs"/>
          <w:rtl/>
        </w:rPr>
        <w:t>،</w:t>
      </w:r>
      <w:r w:rsidRPr="005675B2">
        <w:rPr>
          <w:rFonts w:hint="cs"/>
          <w:rtl/>
        </w:rPr>
        <w:t xml:space="preserve"> قال أحمد</w:t>
      </w:r>
      <w:r w:rsidR="000636C2">
        <w:rPr>
          <w:rFonts w:hint="cs"/>
          <w:rtl/>
        </w:rPr>
        <w:t>:</w:t>
      </w:r>
      <w:r w:rsidRPr="005675B2">
        <w:rPr>
          <w:rFonts w:hint="cs"/>
          <w:rtl/>
        </w:rPr>
        <w:t xml:space="preserve"> لا يوصف الله تعالى بأكثر مما وصف به نفسه</w:t>
      </w:r>
      <w:r w:rsidR="000636C2">
        <w:rPr>
          <w:rFonts w:hint="cs"/>
          <w:rtl/>
        </w:rPr>
        <w:t>،</w:t>
      </w:r>
      <w:r w:rsidRPr="005675B2">
        <w:rPr>
          <w:rFonts w:hint="cs"/>
          <w:rtl/>
        </w:rPr>
        <w:t xml:space="preserve"> </w:t>
      </w:r>
      <w:r w:rsidRPr="005675B2">
        <w:rPr>
          <w:rFonts w:hint="cs"/>
          <w:rtl/>
        </w:rPr>
        <w:br/>
        <w:t>قال الوالد السعيد</w:t>
      </w:r>
      <w:r w:rsidR="000636C2">
        <w:rPr>
          <w:rFonts w:hint="cs"/>
          <w:rtl/>
        </w:rPr>
        <w:t>:</w:t>
      </w:r>
      <w:r w:rsidRPr="005675B2">
        <w:rPr>
          <w:rFonts w:hint="cs"/>
          <w:rtl/>
        </w:rPr>
        <w:t xml:space="preserve"> فمن اعتقد أن الله سبحانه جسم من الأجسام وأعطاه حقيقة الجسم من التأليف والانتقال</w:t>
      </w:r>
      <w:r w:rsidR="000636C2">
        <w:rPr>
          <w:rFonts w:hint="cs"/>
          <w:rtl/>
        </w:rPr>
        <w:t>:</w:t>
      </w:r>
      <w:r w:rsidRPr="005675B2">
        <w:rPr>
          <w:rFonts w:hint="cs"/>
          <w:rtl/>
        </w:rPr>
        <w:t xml:space="preserve"> فهو كافر لأنه غير عارف بالله عز وجل لأن الله سبحانه يستحيل وصفه بهذه الصفات وإذا لم يعرف الله سبحانه</w:t>
      </w:r>
      <w:r w:rsidR="000636C2">
        <w:rPr>
          <w:rFonts w:hint="cs"/>
          <w:rtl/>
        </w:rPr>
        <w:t>:</w:t>
      </w:r>
      <w:r w:rsidRPr="005675B2">
        <w:rPr>
          <w:rFonts w:hint="cs"/>
          <w:rtl/>
        </w:rPr>
        <w:t xml:space="preserve"> وجب أن يكون كافراً</w:t>
      </w:r>
      <w:r w:rsidR="000636C2">
        <w:rPr>
          <w:rFonts w:hint="cs"/>
          <w:rtl/>
        </w:rPr>
        <w:t>،</w:t>
      </w:r>
      <w:r w:rsidRPr="005675B2">
        <w:rPr>
          <w:rFonts w:hint="cs"/>
          <w:rtl/>
        </w:rPr>
        <w:t xml:space="preserve"> وهذا الكتاب عدة أوراق</w:t>
      </w:r>
      <w:r w:rsidR="000636C2">
        <w:rPr>
          <w:rFonts w:hint="cs"/>
          <w:rtl/>
        </w:rPr>
        <w:t>،</w:t>
      </w:r>
      <w:r w:rsidRPr="005675B2">
        <w:rPr>
          <w:rFonts w:hint="cs"/>
          <w:rtl/>
        </w:rPr>
        <w:t xml:space="preserve"> انتهى كلامه من ترجمته لوالده القاضي رحمهما الله تعالى</w:t>
      </w:r>
      <w:r w:rsidR="000636C2">
        <w:rPr>
          <w:rFonts w:hint="cs"/>
          <w:rtl/>
        </w:rPr>
        <w:t>،</w:t>
      </w:r>
      <w:r w:rsidRPr="005675B2">
        <w:rPr>
          <w:rFonts w:hint="cs"/>
          <w:rtl/>
        </w:rPr>
        <w:t xml:space="preserve"> في طبقات الحنابلة قال القاضي أبو بكر الباقلاني الأشعري وهو يرد على المجسمة ما نصه</w:t>
      </w:r>
      <w:r w:rsidR="000636C2">
        <w:rPr>
          <w:rFonts w:hint="cs"/>
          <w:rtl/>
        </w:rPr>
        <w:t>:</w:t>
      </w:r>
      <w:r w:rsidRPr="005675B2">
        <w:rPr>
          <w:rFonts w:hint="cs"/>
          <w:rtl/>
        </w:rPr>
        <w:t xml:space="preserve"> "فإن قالوا</w:t>
      </w:r>
      <w:r w:rsidR="000636C2">
        <w:rPr>
          <w:rFonts w:hint="cs"/>
          <w:rtl/>
        </w:rPr>
        <w:t>:</w:t>
      </w:r>
      <w:r w:rsidRPr="005675B2">
        <w:rPr>
          <w:rFonts w:hint="cs"/>
          <w:rtl/>
        </w:rPr>
        <w:t xml:space="preserve"> ولم أنكرتم أن يكون البارىء </w:t>
      </w:r>
      <w:r w:rsidRPr="005675B2">
        <w:rPr>
          <w:rFonts w:hint="cs"/>
          <w:u w:val="single"/>
          <w:rtl/>
        </w:rPr>
        <w:t>سبحانه جسمًا لا ‏كالأجسام</w:t>
      </w:r>
      <w:r w:rsidRPr="005675B2">
        <w:rPr>
          <w:rFonts w:hint="cs"/>
          <w:rtl/>
        </w:rPr>
        <w:t xml:space="preserve"> كما أنه عندكـم شيء لا كالأشياء</w:t>
      </w:r>
      <w:r w:rsidR="000636C2">
        <w:rPr>
          <w:rFonts w:hint="cs"/>
          <w:rtl/>
        </w:rPr>
        <w:t>؟</w:t>
      </w:r>
      <w:r w:rsidRPr="005675B2">
        <w:rPr>
          <w:rFonts w:hint="cs"/>
          <w:rtl/>
        </w:rPr>
        <w:t xml:space="preserve"> قيل لهم</w:t>
      </w:r>
      <w:r w:rsidR="000636C2">
        <w:rPr>
          <w:rFonts w:hint="cs"/>
          <w:rtl/>
        </w:rPr>
        <w:t>:</w:t>
      </w:r>
      <w:r w:rsidRPr="005675B2">
        <w:rPr>
          <w:rFonts w:hint="cs"/>
          <w:rtl/>
        </w:rPr>
        <w:t xml:space="preserve"> لأن قولنا</w:t>
      </w:r>
      <w:r w:rsidR="000636C2">
        <w:rPr>
          <w:rFonts w:hint="cs"/>
          <w:rtl/>
        </w:rPr>
        <w:t>:</w:t>
      </w:r>
      <w:r w:rsidRPr="005675B2">
        <w:rPr>
          <w:rFonts w:hint="cs"/>
          <w:rtl/>
        </w:rPr>
        <w:t xml:space="preserve"> "شيء" لم يبن لجنس دون جنس، ولا لإفادة ‏التأليف، فجاز وجود شيء ليس بجنس من أجناس الحوادث</w:t>
      </w:r>
      <w:r w:rsidR="000636C2">
        <w:rPr>
          <w:rFonts w:hint="cs"/>
          <w:rtl/>
        </w:rPr>
        <w:t>،</w:t>
      </w:r>
      <w:r w:rsidRPr="005675B2">
        <w:rPr>
          <w:rFonts w:hint="cs"/>
          <w:rtl/>
        </w:rPr>
        <w:t xml:space="preserve"> وليس بمؤلَّف، ولم يكن ذلك نقضًا لمعنى تسميته بأنه ‏شيء، وقولنا</w:t>
      </w:r>
      <w:r w:rsidR="000636C2">
        <w:rPr>
          <w:rFonts w:hint="cs"/>
          <w:rtl/>
        </w:rPr>
        <w:t>:</w:t>
      </w:r>
      <w:r w:rsidRPr="005675B2">
        <w:rPr>
          <w:rFonts w:hint="cs"/>
          <w:rtl/>
        </w:rPr>
        <w:t xml:space="preserve"> "جسمٌ" موضوع في </w:t>
      </w:r>
      <w:r w:rsidRPr="005675B2">
        <w:rPr>
          <w:rFonts w:hint="cs"/>
          <w:u w:val="single"/>
          <w:rtl/>
        </w:rPr>
        <w:t xml:space="preserve">اللغة </w:t>
      </w:r>
      <w:r w:rsidRPr="005675B2">
        <w:rPr>
          <w:rFonts w:hint="cs"/>
          <w:rtl/>
        </w:rPr>
        <w:t>للمؤلَّف دون ما ليس بمؤلَّف، كما أن قولنا</w:t>
      </w:r>
      <w:r w:rsidR="000636C2">
        <w:rPr>
          <w:rFonts w:hint="cs"/>
          <w:rtl/>
        </w:rPr>
        <w:t>:</w:t>
      </w:r>
      <w:r w:rsidRPr="005675B2">
        <w:rPr>
          <w:rFonts w:hint="cs"/>
          <w:rtl/>
        </w:rPr>
        <w:t xml:space="preserve"> "إنسان " و"محدَث" اسم لما ‏وُجدَ عن عدم ولما له هذه الصورة دون غيرها، فكما لم يجز أن نثبت القديم سبحانه محدَثا لا كالمحدَثات وإنسانًا لا ‏كالناس قياسًا على أنه شيء لا كالأشياء لم يجز أن نُثبته جسمًا لا كالأجسام</w:t>
      </w:r>
      <w:r w:rsidR="000636C2">
        <w:rPr>
          <w:rFonts w:hint="cs"/>
          <w:rtl/>
        </w:rPr>
        <w:t>،</w:t>
      </w:r>
      <w:r w:rsidRPr="005675B2">
        <w:rPr>
          <w:rFonts w:hint="cs"/>
          <w:rtl/>
        </w:rPr>
        <w:t xml:space="preserve"> لأنه نقض لمعنى الكلام، وإخراج له عن ‏موضوعه [</w:t>
      </w:r>
      <w:r w:rsidRPr="005675B2">
        <w:rPr>
          <w:rFonts w:hint="cs"/>
          <w:bCs/>
          <w:sz w:val="24"/>
          <w:szCs w:val="24"/>
          <w:rtl/>
        </w:rPr>
        <w:t>معنى موضوعه</w:t>
      </w:r>
      <w:r w:rsidR="000636C2">
        <w:rPr>
          <w:rFonts w:hint="cs"/>
          <w:bCs/>
          <w:sz w:val="24"/>
          <w:szCs w:val="24"/>
          <w:rtl/>
        </w:rPr>
        <w:t>:</w:t>
      </w:r>
      <w:r w:rsidRPr="005675B2">
        <w:rPr>
          <w:rFonts w:hint="cs"/>
          <w:bCs/>
          <w:sz w:val="24"/>
          <w:szCs w:val="24"/>
          <w:rtl/>
        </w:rPr>
        <w:t xml:space="preserve"> أي ما تواضعوا عليه في اللغة والاصطلاح</w:t>
      </w:r>
      <w:r w:rsidR="000636C2">
        <w:rPr>
          <w:rFonts w:hint="cs"/>
          <w:bCs/>
          <w:sz w:val="24"/>
          <w:szCs w:val="24"/>
          <w:rtl/>
        </w:rPr>
        <w:t>]</w:t>
      </w:r>
      <w:r w:rsidRPr="005675B2">
        <w:rPr>
          <w:rFonts w:hint="cs"/>
          <w:rtl/>
        </w:rPr>
        <w:t>، وفائدته</w:t>
      </w:r>
      <w:r w:rsidR="000636C2">
        <w:rPr>
          <w:rFonts w:hint="cs"/>
          <w:rtl/>
        </w:rPr>
        <w:t>،</w:t>
      </w:r>
      <w:r w:rsidRPr="005675B2">
        <w:rPr>
          <w:rFonts w:hint="cs"/>
          <w:rtl/>
        </w:rPr>
        <w:t xml:space="preserve"> فإن قالوا</w:t>
      </w:r>
      <w:r w:rsidR="000636C2">
        <w:rPr>
          <w:rFonts w:hint="cs"/>
          <w:rtl/>
        </w:rPr>
        <w:t>:</w:t>
      </w:r>
      <w:r w:rsidRPr="005675B2">
        <w:rPr>
          <w:rFonts w:hint="cs"/>
          <w:rtl/>
        </w:rPr>
        <w:t xml:space="preserve"> فما أنكرتم من جواز تسميته جسمًا وإن لم يكن بحقيقة ما وُضِعَ له هذا الاسم في اللغة</w:t>
      </w:r>
      <w:r w:rsidR="000636C2">
        <w:rPr>
          <w:rFonts w:hint="cs"/>
          <w:rtl/>
        </w:rPr>
        <w:t>؟</w:t>
      </w:r>
      <w:r w:rsidRPr="005675B2">
        <w:rPr>
          <w:rFonts w:hint="cs"/>
          <w:rtl/>
        </w:rPr>
        <w:t xml:space="preserve"> قيل لهم</w:t>
      </w:r>
      <w:r w:rsidR="000636C2">
        <w:rPr>
          <w:rFonts w:hint="cs"/>
          <w:rtl/>
        </w:rPr>
        <w:t>:</w:t>
      </w:r>
      <w:r w:rsidRPr="005675B2">
        <w:rPr>
          <w:rFonts w:hint="cs"/>
          <w:rtl/>
        </w:rPr>
        <w:t xml:space="preserve"> ‏أنكرنا ذلك لأن هذه التسمية لو ثبتت لم تثبت له إلا شرعًا لأن العقل لا يقتضيها إذ لم يكن القديم سبحانه مؤلفًا، ‏وليس في شيء من دلائل السمع من الكتاب والسنة وإجماع الأمة وما يُستخرج من ذلك ما يدل على وجوب هذه ‏التسمية ولا على جوازها أيضًا فبطل ما قلتموه" أهـ</w:t>
      </w:r>
      <w:r w:rsidR="000636C2">
        <w:rPr>
          <w:rFonts w:hint="cs"/>
          <w:rtl/>
        </w:rPr>
        <w:t>،</w:t>
      </w:r>
      <w:r w:rsidRPr="005675B2">
        <w:rPr>
          <w:rFonts w:hint="cs"/>
          <w:rtl/>
        </w:rPr>
        <w:t xml:space="preserve"> [</w:t>
      </w:r>
      <w:r w:rsidRPr="005675B2">
        <w:rPr>
          <w:rFonts w:hint="cs"/>
          <w:bCs/>
          <w:sz w:val="24"/>
          <w:szCs w:val="24"/>
          <w:rtl/>
        </w:rPr>
        <w:t>12) تمهيد الأوانل (ص/ 222)]</w:t>
      </w:r>
      <w:r w:rsidRPr="005675B2">
        <w:rPr>
          <w:rFonts w:hint="cs"/>
          <w:rtl/>
        </w:rPr>
        <w:t>وقال الفقيه المتكلم ابن المعلم القرشي في كتابه نجم المهتدي</w:t>
      </w:r>
      <w:r w:rsidR="000636C2">
        <w:rPr>
          <w:rFonts w:hint="cs"/>
          <w:rtl/>
        </w:rPr>
        <w:t xml:space="preserve"> </w:t>
      </w:r>
      <w:r w:rsidRPr="005675B2">
        <w:rPr>
          <w:rFonts w:hint="cs"/>
          <w:rtl/>
        </w:rPr>
        <w:t>ما نصه</w:t>
      </w:r>
      <w:r w:rsidR="000636C2">
        <w:rPr>
          <w:rFonts w:hint="cs"/>
          <w:rtl/>
        </w:rPr>
        <w:t xml:space="preserve">: </w:t>
      </w:r>
      <w:r w:rsidRPr="005675B2">
        <w:rPr>
          <w:rFonts w:hint="cs"/>
          <w:rtl/>
        </w:rPr>
        <w:t>قال</w:t>
      </w:r>
      <w:r w:rsidR="000636C2">
        <w:rPr>
          <w:rFonts w:hint="cs"/>
          <w:rtl/>
        </w:rPr>
        <w:t>:</w:t>
      </w:r>
      <w:r w:rsidRPr="005675B2">
        <w:rPr>
          <w:rFonts w:hint="cs"/>
          <w:rtl/>
        </w:rPr>
        <w:t xml:space="preserve"> "قال الإمام أبو سعيد المتولي في ‏كتاب غنية المقبول في علم الأصول</w:t>
      </w:r>
      <w:r w:rsidR="000636C2">
        <w:rPr>
          <w:rFonts w:hint="cs"/>
          <w:rtl/>
        </w:rPr>
        <w:t>:</w:t>
      </w:r>
      <w:r w:rsidRPr="005675B2">
        <w:rPr>
          <w:rFonts w:hint="cs"/>
          <w:rtl/>
        </w:rPr>
        <w:t xml:space="preserve"> إن قالوا نحن نريد بقولنا جسم أنه موجود ولا نريد التأليف، قلنا</w:t>
      </w:r>
      <w:r w:rsidR="000636C2">
        <w:rPr>
          <w:rFonts w:hint="cs"/>
          <w:rtl/>
        </w:rPr>
        <w:t>:</w:t>
      </w:r>
      <w:r w:rsidRPr="005675B2">
        <w:rPr>
          <w:rFonts w:hint="cs"/>
          <w:rtl/>
        </w:rPr>
        <w:t xml:space="preserve"> هذة التسمية ‏في اللغة ليس كما ذكرتم وهي مُنبئة عن المستحيل فلِما أطلقتم ذلك من غير ورود سمع [</w:t>
      </w:r>
      <w:r w:rsidRPr="005675B2">
        <w:rPr>
          <w:rFonts w:hint="cs"/>
          <w:bCs/>
          <w:sz w:val="24"/>
          <w:szCs w:val="24"/>
          <w:rtl/>
        </w:rPr>
        <w:t>أي على غير ورود به في الكتاب والسنة</w:t>
      </w:r>
      <w:r w:rsidR="000636C2">
        <w:rPr>
          <w:rFonts w:hint="cs"/>
          <w:bCs/>
          <w:sz w:val="24"/>
          <w:szCs w:val="24"/>
          <w:rtl/>
        </w:rPr>
        <w:t>]</w:t>
      </w:r>
      <w:r w:rsidR="000636C2">
        <w:rPr>
          <w:rFonts w:hint="cs"/>
          <w:rtl/>
        </w:rPr>
        <w:t>؟!</w:t>
      </w:r>
      <w:r w:rsidRPr="005675B2">
        <w:rPr>
          <w:rFonts w:hint="cs"/>
          <w:rtl/>
        </w:rPr>
        <w:t>، وما الفصل بينكم وبين من ‏يسميه جسدًا ويريد به الوجود وإن كان يخالف مقتضى اللغة</w:t>
      </w:r>
      <w:r w:rsidR="000636C2">
        <w:rPr>
          <w:rFonts w:hint="cs"/>
          <w:rtl/>
        </w:rPr>
        <w:t>،</w:t>
      </w:r>
      <w:r w:rsidRPr="005675B2">
        <w:rPr>
          <w:rFonts w:hint="cs"/>
          <w:rtl/>
        </w:rPr>
        <w:t xml:space="preserve"> قال أبو سعيد رحمه الله</w:t>
      </w:r>
      <w:r w:rsidR="000636C2">
        <w:rPr>
          <w:rFonts w:hint="cs"/>
          <w:rtl/>
        </w:rPr>
        <w:t>:</w:t>
      </w:r>
      <w:r w:rsidRPr="005675B2">
        <w:rPr>
          <w:rFonts w:hint="cs"/>
          <w:rtl/>
        </w:rPr>
        <w:t xml:space="preserve"> فإن قيل أليس يسمى نفسًا</w:t>
      </w:r>
      <w:r w:rsidR="000636C2">
        <w:rPr>
          <w:rFonts w:hint="cs"/>
          <w:rtl/>
        </w:rPr>
        <w:t>؟</w:t>
      </w:r>
      <w:r w:rsidRPr="005675B2">
        <w:rPr>
          <w:rFonts w:hint="cs"/>
          <w:rtl/>
        </w:rPr>
        <w:t xml:space="preserve"> ‏قلنا</w:t>
      </w:r>
      <w:r w:rsidR="000636C2">
        <w:rPr>
          <w:rFonts w:hint="cs"/>
          <w:rtl/>
        </w:rPr>
        <w:t>:</w:t>
      </w:r>
      <w:r w:rsidRPr="005675B2">
        <w:rPr>
          <w:rFonts w:hint="cs"/>
          <w:rtl/>
        </w:rPr>
        <w:t xml:space="preserve"> اتبعنا فيه السمع وهو قوله سبحانه</w:t>
      </w:r>
      <w:r w:rsidR="000636C2">
        <w:rPr>
          <w:rFonts w:hint="cs"/>
          <w:rtl/>
        </w:rPr>
        <w:t>:</w:t>
      </w:r>
      <w:r w:rsidRPr="005675B2">
        <w:rPr>
          <w:rFonts w:hint="cs"/>
          <w:rtl/>
        </w:rPr>
        <w:t xml:space="preserve"> </w:t>
      </w:r>
      <w:r w:rsidR="000636C2">
        <w:rPr>
          <w:rFonts w:hint="cs"/>
          <w:rtl/>
        </w:rPr>
        <w:t>(</w:t>
      </w:r>
      <w:r w:rsidRPr="005675B2">
        <w:rPr>
          <w:rFonts w:hint="cs"/>
          <w:rtl/>
        </w:rPr>
        <w:t>تَعْلَمُ مَا فِي نَفْسِي وَلاَ أَعْلَمُ مَا فِي نَفْسِكَ</w:t>
      </w:r>
      <w:r w:rsidR="000636C2">
        <w:rPr>
          <w:rFonts w:hint="cs"/>
          <w:rtl/>
        </w:rPr>
        <w:t>)</w:t>
      </w:r>
      <w:r w:rsidRPr="005675B2">
        <w:rPr>
          <w:rFonts w:hint="cs"/>
          <w:rtl/>
        </w:rPr>
        <w:t xml:space="preserve"> </w:t>
      </w:r>
      <w:r w:rsidR="000636C2">
        <w:rPr>
          <w:rFonts w:hint="cs"/>
          <w:rtl/>
        </w:rPr>
        <w:t>(</w:t>
      </w:r>
      <w:r w:rsidRPr="005675B2">
        <w:rPr>
          <w:rFonts w:hint="cs"/>
          <w:rtl/>
        </w:rPr>
        <w:t>سورة المائدة/116</w:t>
      </w:r>
      <w:r w:rsidR="000636C2">
        <w:rPr>
          <w:rFonts w:hint="cs"/>
          <w:rtl/>
        </w:rPr>
        <w:t>)</w:t>
      </w:r>
      <w:r w:rsidRPr="005675B2">
        <w:rPr>
          <w:rFonts w:hint="cs"/>
          <w:rtl/>
        </w:rPr>
        <w:t>، ولم ‏يرد السمعُ بالجسم</w:t>
      </w:r>
      <w:r w:rsidR="000636C2">
        <w:rPr>
          <w:rFonts w:hint="cs"/>
          <w:rtl/>
        </w:rPr>
        <w:t>،</w:t>
      </w:r>
      <w:r w:rsidRPr="005675B2">
        <w:rPr>
          <w:rFonts w:hint="cs"/>
          <w:rtl/>
        </w:rPr>
        <w:t xml:space="preserve"> أ هـ</w:t>
      </w:r>
      <w:r w:rsidR="000636C2">
        <w:rPr>
          <w:rFonts w:hint="cs"/>
          <w:rtl/>
        </w:rPr>
        <w:t xml:space="preserve"> </w:t>
      </w:r>
      <w:r w:rsidRPr="005675B2">
        <w:rPr>
          <w:rFonts w:hint="cs"/>
          <w:rtl/>
        </w:rPr>
        <w:t>[</w:t>
      </w:r>
      <w:r w:rsidRPr="005675B2">
        <w:rPr>
          <w:rFonts w:hint="cs"/>
          <w:bCs/>
          <w:sz w:val="24"/>
          <w:szCs w:val="24"/>
          <w:rtl/>
        </w:rPr>
        <w:t>190 نجم المهتدي ورجم المعتدي (ص/ 544)</w:t>
      </w:r>
      <w:r>
        <w:rPr>
          <w:rFonts w:hint="cs"/>
          <w:bCs/>
          <w:sz w:val="24"/>
          <w:szCs w:val="24"/>
          <w:rtl/>
        </w:rPr>
        <w:t xml:space="preserve"> </w:t>
      </w:r>
      <w:r w:rsidRPr="005675B2">
        <w:rPr>
          <w:rFonts w:hint="cs"/>
          <w:bCs/>
          <w:sz w:val="24"/>
          <w:szCs w:val="24"/>
          <w:rtl/>
        </w:rPr>
        <w:t>مخطوط</w:t>
      </w:r>
      <w:r w:rsidRPr="005675B2">
        <w:rPr>
          <w:rFonts w:hint="cs"/>
          <w:rtl/>
        </w:rPr>
        <w:t>]</w:t>
      </w:r>
    </w:p>
    <w:p w14:paraId="36B2D0F8" w14:textId="7B90888C" w:rsidR="009C32A0" w:rsidRDefault="009C32A0" w:rsidP="000636C2">
      <w:pPr>
        <w:rPr>
          <w:b/>
          <w:rtl/>
        </w:rPr>
      </w:pPr>
      <w:r w:rsidRPr="005B622A">
        <w:rPr>
          <w:rFonts w:hint="cs"/>
          <w:bCs/>
          <w:rtl/>
        </w:rPr>
        <w:t>المسألة الثانية</w:t>
      </w:r>
      <w:r w:rsidR="000636C2">
        <w:rPr>
          <w:rFonts w:hint="cs"/>
          <w:bCs/>
          <w:rtl/>
        </w:rPr>
        <w:t>:</w:t>
      </w:r>
      <w:r w:rsidRPr="005B622A">
        <w:rPr>
          <w:rFonts w:hint="cs"/>
          <w:bCs/>
          <w:rtl/>
        </w:rPr>
        <w:t>قول ابن تيمية بقيام الحوادث بذات الله تعالى</w:t>
      </w:r>
      <w:r w:rsidR="000636C2">
        <w:rPr>
          <w:rFonts w:hint="cs"/>
          <w:rtl/>
        </w:rPr>
        <w:t>:</w:t>
      </w:r>
      <w:r>
        <w:rPr>
          <w:rFonts w:hint="cs"/>
          <w:rtl/>
        </w:rPr>
        <w:t xml:space="preserve"> </w:t>
      </w:r>
      <w:r w:rsidRPr="005675B2">
        <w:rPr>
          <w:rFonts w:hint="cs"/>
          <w:rtl/>
        </w:rPr>
        <w:t>قال</w:t>
      </w:r>
      <w:r w:rsidR="000636C2">
        <w:rPr>
          <w:rFonts w:hint="cs"/>
          <w:rtl/>
        </w:rPr>
        <w:t xml:space="preserve"> </w:t>
      </w:r>
      <w:r w:rsidRPr="005675B2">
        <w:rPr>
          <w:rFonts w:hint="cs"/>
          <w:rtl/>
        </w:rPr>
        <w:t>ما نصه</w:t>
      </w:r>
      <w:r w:rsidR="000636C2">
        <w:rPr>
          <w:rFonts w:hint="cs"/>
          <w:rtl/>
        </w:rPr>
        <w:t>:</w:t>
      </w:r>
      <w:r w:rsidRPr="005675B2">
        <w:rPr>
          <w:rFonts w:hint="cs"/>
          <w:rtl/>
        </w:rPr>
        <w:t xml:space="preserve"> "ومن قال</w:t>
      </w:r>
      <w:r w:rsidR="000636C2">
        <w:rPr>
          <w:rFonts w:hint="cs"/>
          <w:rtl/>
        </w:rPr>
        <w:t>:</w:t>
      </w:r>
      <w:r w:rsidRPr="005675B2">
        <w:rPr>
          <w:rFonts w:hint="cs"/>
          <w:rtl/>
        </w:rPr>
        <w:t xml:space="preserve"> إن الخلق حادث كالهشامية والكرّامية قال</w:t>
      </w:r>
      <w:r w:rsidR="000636C2">
        <w:rPr>
          <w:rFonts w:hint="cs"/>
          <w:rtl/>
        </w:rPr>
        <w:t>:</w:t>
      </w:r>
      <w:r w:rsidRPr="005675B2">
        <w:rPr>
          <w:rFonts w:hint="cs"/>
          <w:rtl/>
        </w:rPr>
        <w:t xml:space="preserve"> نحن نقول بقيام الحوادث به، ولا دليل على بطلان ذلك، بل العقل والنقل والكتاب والسنة وإجماع السلف يدل على تحقيق ذلك،</w:t>
      </w:r>
      <w:r w:rsidR="000636C2">
        <w:rPr>
          <w:rFonts w:hint="cs"/>
          <w:rtl/>
        </w:rPr>
        <w:t xml:space="preserve"> </w:t>
      </w:r>
      <w:r w:rsidRPr="005675B2">
        <w:rPr>
          <w:rFonts w:hint="cs"/>
          <w:rtl/>
        </w:rPr>
        <w:t>[</w:t>
      </w:r>
      <w:r w:rsidRPr="005675B2">
        <w:rPr>
          <w:rFonts w:hint="cs"/>
          <w:bCs/>
          <w:sz w:val="24"/>
          <w:szCs w:val="24"/>
          <w:rtl/>
        </w:rPr>
        <w:t>لا</w:t>
      </w:r>
      <w:r w:rsidR="000636C2">
        <w:rPr>
          <w:rFonts w:hint="cs"/>
          <w:bCs/>
          <w:sz w:val="24"/>
          <w:szCs w:val="24"/>
          <w:rtl/>
        </w:rPr>
        <w:t xml:space="preserve"> </w:t>
      </w:r>
      <w:r w:rsidRPr="005675B2">
        <w:rPr>
          <w:rFonts w:hint="cs"/>
          <w:bCs/>
          <w:sz w:val="24"/>
          <w:szCs w:val="24"/>
          <w:rtl/>
        </w:rPr>
        <w:t>العقل ولا النقل يؤيد ما ذهب إليه فضلاً عن إجماع السلف وسأنقل من كلام العلماء ما يبطل ذلك</w:t>
      </w:r>
      <w:r w:rsidRPr="005675B2">
        <w:rPr>
          <w:rFonts w:hint="cs"/>
          <w:rtl/>
        </w:rPr>
        <w:t>] كما قد بسط في موضعه</w:t>
      </w:r>
      <w:r w:rsidR="000636C2">
        <w:rPr>
          <w:rFonts w:hint="cs"/>
          <w:rtl/>
        </w:rPr>
        <w:t>،</w:t>
      </w:r>
      <w:r w:rsidRPr="005675B2">
        <w:rPr>
          <w:rFonts w:hint="cs"/>
          <w:rtl/>
        </w:rPr>
        <w:t xml:space="preserve"> ولا يمكن القول بأن الله يدير هذا العالم إلا بذلك، كما اعترف بذلك أقرب الفلاسفة إلى الحق كأبي البركات صاحب " المعتبر" وغيره" أهـ</w:t>
      </w:r>
      <w:r w:rsidR="000636C2">
        <w:rPr>
          <w:rFonts w:hint="cs"/>
          <w:rtl/>
        </w:rPr>
        <w:t>،[</w:t>
      </w:r>
      <w:r w:rsidRPr="005675B2">
        <w:rPr>
          <w:rFonts w:hint="cs"/>
          <w:sz w:val="24"/>
          <w:szCs w:val="24"/>
          <w:rtl/>
        </w:rPr>
        <w:t>مجموعة تفسير من ست سور(ص/309)]</w:t>
      </w:r>
      <w:r w:rsidRPr="005675B2">
        <w:rPr>
          <w:rFonts w:hint="cs"/>
          <w:rtl/>
        </w:rPr>
        <w:t>،</w:t>
      </w:r>
      <w:r w:rsidR="000636C2">
        <w:rPr>
          <w:rFonts w:hint="cs"/>
          <w:rtl/>
        </w:rPr>
        <w:t>[</w:t>
      </w:r>
      <w:r w:rsidRPr="005675B2">
        <w:rPr>
          <w:rFonts w:hint="cs"/>
          <w:bCs/>
          <w:sz w:val="24"/>
          <w:szCs w:val="24"/>
          <w:rtl/>
        </w:rPr>
        <w:t>ولعلها من المسائل التي تاب عنها رحمه الله تعالى]</w:t>
      </w:r>
      <w:r w:rsidRPr="005675B2">
        <w:rPr>
          <w:rFonts w:hint="cs"/>
          <w:rtl/>
        </w:rPr>
        <w:t xml:space="preserve"> و قال أيضاً</w:t>
      </w:r>
      <w:r w:rsidR="000636C2">
        <w:rPr>
          <w:rFonts w:hint="cs"/>
          <w:rtl/>
        </w:rPr>
        <w:t>:</w:t>
      </w:r>
      <w:r w:rsidRPr="005675B2">
        <w:rPr>
          <w:rFonts w:hint="cs"/>
          <w:rtl/>
        </w:rPr>
        <w:t xml:space="preserve"> "وأما إذا قيل</w:t>
      </w:r>
      <w:r w:rsidR="000636C2">
        <w:rPr>
          <w:rFonts w:hint="cs"/>
          <w:rtl/>
        </w:rPr>
        <w:t>:</w:t>
      </w:r>
      <w:r w:rsidRPr="005675B2">
        <w:rPr>
          <w:rFonts w:hint="cs"/>
          <w:rtl/>
        </w:rPr>
        <w:t xml:space="preserve"> قال "كن" وقبل "كن" "كن"، وقبل "كن" "كن"، فهذا ليس بممتنع، فإن هذا تسلسل في آحاد التأثير لا في جنسه، كما أنه في المستقبل يقول "كن" بعد "كن"، ويخلق شيئا بعد شيء إلى غير نهاية" أهـ</w:t>
      </w:r>
      <w:r w:rsidR="000636C2">
        <w:rPr>
          <w:rFonts w:hint="cs"/>
          <w:rtl/>
        </w:rPr>
        <w:t>،</w:t>
      </w:r>
      <w:r w:rsidRPr="005675B2">
        <w:rPr>
          <w:rFonts w:hint="cs"/>
          <w:rtl/>
        </w:rPr>
        <w:t xml:space="preserve"> </w:t>
      </w:r>
      <w:r w:rsidR="000636C2">
        <w:rPr>
          <w:rFonts w:hint="cs"/>
          <w:rtl/>
        </w:rPr>
        <w:t>[</w:t>
      </w:r>
      <w:r w:rsidRPr="005675B2">
        <w:rPr>
          <w:rFonts w:hint="cs"/>
          <w:sz w:val="24"/>
          <w:szCs w:val="24"/>
          <w:rtl/>
        </w:rPr>
        <w:t>مجموعة تفسير (ص/313- 314)</w:t>
      </w:r>
      <w:r w:rsidR="000636C2">
        <w:rPr>
          <w:rFonts w:hint="cs"/>
          <w:sz w:val="24"/>
          <w:szCs w:val="24"/>
          <w:rtl/>
        </w:rPr>
        <w:t>]</w:t>
      </w:r>
      <w:r w:rsidRPr="005675B2">
        <w:rPr>
          <w:rFonts w:hint="cs"/>
          <w:rtl/>
        </w:rPr>
        <w:br/>
        <w:t>وقال في المنهاج ما نصه</w:t>
      </w:r>
      <w:r w:rsidR="000636C2">
        <w:rPr>
          <w:rFonts w:hint="cs"/>
          <w:rtl/>
        </w:rPr>
        <w:t>:</w:t>
      </w:r>
      <w:r w:rsidRPr="005675B2">
        <w:rPr>
          <w:rFonts w:hint="cs"/>
          <w:rtl/>
        </w:rPr>
        <w:t xml:space="preserve"> </w:t>
      </w:r>
      <w:r w:rsidR="000636C2">
        <w:rPr>
          <w:rFonts w:hint="cs"/>
          <w:rtl/>
        </w:rPr>
        <w:t>(</w:t>
      </w:r>
      <w:r w:rsidRPr="005675B2">
        <w:rPr>
          <w:rFonts w:hint="cs"/>
          <w:rtl/>
        </w:rPr>
        <w:t>فإن قلتم لنا</w:t>
      </w:r>
      <w:r w:rsidR="000636C2">
        <w:rPr>
          <w:rFonts w:hint="cs"/>
          <w:rtl/>
        </w:rPr>
        <w:t>:</w:t>
      </w:r>
      <w:r w:rsidRPr="005675B2">
        <w:rPr>
          <w:rFonts w:hint="cs"/>
          <w:rtl/>
        </w:rPr>
        <w:t xml:space="preserve"> فقد قلتم بقيام الحوادث بالرب، قلنا لكم</w:t>
      </w:r>
      <w:r w:rsidR="000636C2">
        <w:rPr>
          <w:rFonts w:hint="cs"/>
          <w:rtl/>
        </w:rPr>
        <w:t>:</w:t>
      </w:r>
      <w:r w:rsidRPr="005675B2">
        <w:rPr>
          <w:rFonts w:hint="cs"/>
          <w:rtl/>
        </w:rPr>
        <w:t xml:space="preserve"> نعم وهذا قولنا الذي دل عليه الشرع العقل"أهـ</w:t>
      </w:r>
      <w:r w:rsidR="000636C2">
        <w:rPr>
          <w:rFonts w:hint="cs"/>
          <w:rtl/>
        </w:rPr>
        <w:t>،</w:t>
      </w:r>
      <w:r w:rsidRPr="005675B2">
        <w:rPr>
          <w:rFonts w:hint="cs"/>
          <w:rtl/>
        </w:rPr>
        <w:t xml:space="preserve"> [</w:t>
      </w:r>
      <w:r w:rsidRPr="005675B2">
        <w:rPr>
          <w:rFonts w:hint="cs"/>
          <w:sz w:val="24"/>
          <w:szCs w:val="24"/>
          <w:rtl/>
        </w:rPr>
        <w:t>منهاج السنة</w:t>
      </w:r>
      <w:r w:rsidR="000636C2">
        <w:rPr>
          <w:rFonts w:hint="cs"/>
          <w:sz w:val="24"/>
          <w:szCs w:val="24"/>
          <w:rtl/>
        </w:rPr>
        <w:t xml:space="preserve"> </w:t>
      </w:r>
      <w:r w:rsidRPr="005675B2">
        <w:rPr>
          <w:rFonts w:hint="cs"/>
          <w:sz w:val="24"/>
          <w:szCs w:val="24"/>
          <w:rtl/>
        </w:rPr>
        <w:t>(1/ 224)</w:t>
      </w:r>
      <w:r w:rsidR="000636C2">
        <w:rPr>
          <w:rFonts w:hint="cs"/>
          <w:sz w:val="24"/>
          <w:szCs w:val="24"/>
          <w:rtl/>
        </w:rPr>
        <w:t>]</w:t>
      </w:r>
      <w:r w:rsidRPr="005675B2">
        <w:rPr>
          <w:rFonts w:hint="cs"/>
          <w:rtl/>
        </w:rPr>
        <w:t xml:space="preserve"> وقال أيضا ما نصه</w:t>
      </w:r>
      <w:r w:rsidR="000636C2">
        <w:rPr>
          <w:rFonts w:hint="cs"/>
          <w:rtl/>
        </w:rPr>
        <w:t>:</w:t>
      </w:r>
      <w:r w:rsidRPr="005675B2">
        <w:rPr>
          <w:rFonts w:hint="cs"/>
          <w:rtl/>
        </w:rPr>
        <w:t xml:space="preserve"> "وأما قولهم</w:t>
      </w:r>
      <w:r w:rsidR="000636C2">
        <w:rPr>
          <w:rFonts w:hint="cs"/>
          <w:rtl/>
        </w:rPr>
        <w:t>:</w:t>
      </w:r>
      <w:r w:rsidRPr="005675B2">
        <w:rPr>
          <w:rFonts w:hint="cs"/>
          <w:rtl/>
        </w:rPr>
        <w:t xml:space="preserve"> وجود ما لا يتناهى من الحوادث محال، فهذا بناء على دليلهم الذي استدلوا به على حدوث العالم وحدوث الأجسام، وهو أنها لا تخلو من الحوادث وما لا يخلو عن الحوادث فهو</w:t>
      </w:r>
      <w:r>
        <w:rPr>
          <w:rFonts w:hint="cs"/>
          <w:rtl/>
        </w:rPr>
        <w:t xml:space="preserve"> </w:t>
      </w:r>
      <w:r w:rsidRPr="005675B2">
        <w:rPr>
          <w:rFonts w:hint="cs"/>
          <w:rtl/>
        </w:rPr>
        <w:t>حادث، وهذا الدليل باطل عقلاً وشرعًا" أهـ</w:t>
      </w:r>
      <w:r w:rsidR="000636C2">
        <w:rPr>
          <w:rFonts w:hint="cs"/>
          <w:rtl/>
        </w:rPr>
        <w:t>،!</w:t>
      </w:r>
      <w:r w:rsidRPr="005675B2">
        <w:rPr>
          <w:rFonts w:hint="cs"/>
          <w:rtl/>
        </w:rPr>
        <w:t>! [</w:t>
      </w:r>
      <w:r w:rsidRPr="005675B2">
        <w:rPr>
          <w:rFonts w:hint="cs"/>
          <w:sz w:val="24"/>
          <w:szCs w:val="24"/>
          <w:rtl/>
        </w:rPr>
        <w:t>مجموع فتاوى (6/ 299)]</w:t>
      </w:r>
      <w:r w:rsidR="000636C2">
        <w:rPr>
          <w:rFonts w:hint="cs"/>
          <w:sz w:val="24"/>
          <w:szCs w:val="24"/>
          <w:rtl/>
        </w:rPr>
        <w:t>،</w:t>
      </w:r>
      <w:r>
        <w:rPr>
          <w:rFonts w:hint="cs"/>
          <w:sz w:val="24"/>
          <w:szCs w:val="24"/>
          <w:rtl/>
        </w:rPr>
        <w:t xml:space="preserve"> </w:t>
      </w:r>
      <w:r w:rsidR="000636C2">
        <w:rPr>
          <w:rFonts w:hint="cs"/>
          <w:rtl/>
        </w:rPr>
        <w:t>[</w:t>
      </w:r>
      <w:r w:rsidRPr="005B622A">
        <w:rPr>
          <w:rFonts w:hint="cs"/>
          <w:bCs/>
          <w:rtl/>
        </w:rPr>
        <w:t>تعليق</w:t>
      </w:r>
      <w:r w:rsidR="000636C2">
        <w:rPr>
          <w:rFonts w:hint="cs"/>
          <w:bCs/>
          <w:rtl/>
        </w:rPr>
        <w:t>]:</w:t>
      </w:r>
      <w:r w:rsidRPr="005675B2">
        <w:rPr>
          <w:rFonts w:hint="cs"/>
          <w:rtl/>
        </w:rPr>
        <w:t xml:space="preserve"> ومن هنا يتضح قول الحافظ تقي الدين السبكي وغيره كما أنه - أي ابن تيمية - جعل الحادث قديمًا والقديمُ حادثًا، ولم يوافق في قوله هذا أحدًا من أئمة الحديث إلا المجسمة</w:t>
      </w:r>
      <w:r w:rsidR="000636C2">
        <w:rPr>
          <w:rFonts w:hint="cs"/>
          <w:rtl/>
        </w:rPr>
        <w:t xml:space="preserve">، </w:t>
      </w:r>
      <w:r w:rsidRPr="005675B2">
        <w:rPr>
          <w:rFonts w:hint="cs"/>
          <w:rtl/>
        </w:rPr>
        <w:t>ومن أدلة</w:t>
      </w:r>
      <w:r w:rsidR="000636C2">
        <w:rPr>
          <w:rFonts w:hint="cs"/>
          <w:rtl/>
        </w:rPr>
        <w:t xml:space="preserve"> </w:t>
      </w:r>
      <w:r w:rsidRPr="005675B2">
        <w:rPr>
          <w:rFonts w:hint="cs"/>
          <w:rtl/>
        </w:rPr>
        <w:t>علماء أهل السنة وغيرهم</w:t>
      </w:r>
      <w:r w:rsidR="000636C2">
        <w:rPr>
          <w:rFonts w:hint="cs"/>
          <w:rtl/>
        </w:rPr>
        <w:t xml:space="preserve"> </w:t>
      </w:r>
      <w:r w:rsidRPr="005675B2">
        <w:rPr>
          <w:rFonts w:hint="cs"/>
          <w:rtl/>
        </w:rPr>
        <w:t>في ذلك هو</w:t>
      </w:r>
      <w:r w:rsidR="000636C2">
        <w:rPr>
          <w:rFonts w:hint="cs"/>
          <w:rtl/>
        </w:rPr>
        <w:t xml:space="preserve"> </w:t>
      </w:r>
      <w:r w:rsidRPr="005675B2">
        <w:rPr>
          <w:rFonts w:hint="cs"/>
          <w:rtl/>
        </w:rPr>
        <w:t>حجة إبراهيم المذكورة في القرآن من احتجاجه بقيام الحوادث بالقمر والكوكب والشمس على عدم ألوهيتهم، وبقيام دلائل الحدوث بهم وهو التحول من حال إلى حال</w:t>
      </w:r>
      <w:r w:rsidR="000636C2">
        <w:rPr>
          <w:rFonts w:hint="cs"/>
          <w:rtl/>
        </w:rPr>
        <w:t>،</w:t>
      </w:r>
      <w:r w:rsidRPr="005675B2">
        <w:rPr>
          <w:rFonts w:hint="cs"/>
          <w:rtl/>
        </w:rPr>
        <w:t xml:space="preserve"> فقال تعالى (</w:t>
      </w:r>
      <w:r w:rsidR="000636C2">
        <w:rPr>
          <w:rFonts w:hint="cs"/>
          <w:rtl/>
        </w:rPr>
        <w:t>(</w:t>
      </w:r>
      <w:r w:rsidRPr="005675B2">
        <w:rPr>
          <w:rFonts w:hint="cs"/>
          <w:rtl/>
        </w:rPr>
        <w:t>فلما أفل قال لاأحب الآفلين</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ومن الأدلة</w:t>
      </w:r>
      <w:r w:rsidR="000636C2">
        <w:rPr>
          <w:rFonts w:hint="cs"/>
          <w:rtl/>
        </w:rPr>
        <w:t>:</w:t>
      </w:r>
      <w:r w:rsidRPr="005675B2">
        <w:rPr>
          <w:rFonts w:hint="cs"/>
          <w:rtl/>
        </w:rPr>
        <w:t>الإجماع نقله</w:t>
      </w:r>
      <w:r w:rsidR="000636C2">
        <w:rPr>
          <w:rFonts w:hint="cs"/>
          <w:rtl/>
        </w:rPr>
        <w:t xml:space="preserve"> </w:t>
      </w:r>
      <w:r w:rsidRPr="005675B2">
        <w:rPr>
          <w:rFonts w:hint="cs"/>
          <w:rtl/>
        </w:rPr>
        <w:t>البيهقي في الأسماء والصفات ص131على أن صفات الله أزلية غير حادثة</w:t>
      </w:r>
      <w:r w:rsidR="000636C2">
        <w:rPr>
          <w:rFonts w:hint="cs"/>
          <w:rtl/>
        </w:rPr>
        <w:t>،</w:t>
      </w:r>
      <w:r w:rsidRPr="005675B2">
        <w:rPr>
          <w:rFonts w:hint="cs"/>
          <w:rtl/>
        </w:rPr>
        <w:t xml:space="preserve"> قال ابن عباس</w:t>
      </w:r>
      <w:r w:rsidR="000636C2">
        <w:rPr>
          <w:rFonts w:hint="cs"/>
          <w:rtl/>
        </w:rPr>
        <w:t>:</w:t>
      </w:r>
      <w:r w:rsidRPr="005675B2">
        <w:rPr>
          <w:rFonts w:hint="cs"/>
          <w:rtl/>
        </w:rPr>
        <w:t xml:space="preserve"> يعلم ما أسر ابن آدم في نفسه</w:t>
      </w:r>
      <w:r w:rsidR="000636C2">
        <w:rPr>
          <w:rFonts w:hint="cs"/>
          <w:rtl/>
        </w:rPr>
        <w:t>،</w:t>
      </w:r>
      <w:r w:rsidRPr="005675B2">
        <w:rPr>
          <w:rFonts w:hint="cs"/>
          <w:rtl/>
        </w:rPr>
        <w:t xml:space="preserve"> وما خفي على ابن آدم مما هو فاعله قبل أن يعلمه فالله يعلم ذلك كله</w:t>
      </w:r>
      <w:r w:rsidR="000636C2">
        <w:rPr>
          <w:rFonts w:hint="cs"/>
          <w:rtl/>
        </w:rPr>
        <w:t>،</w:t>
      </w:r>
      <w:r w:rsidRPr="005675B2">
        <w:rPr>
          <w:rFonts w:hint="cs"/>
          <w:rtl/>
        </w:rPr>
        <w:t>وعلمه فيما مضى من ذلك وما بقي علم واحد</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الأسماء والصفات للبيهقي ص144وفيه نقول كثيرة عن السلف فيراجع</w:t>
      </w:r>
      <w:r w:rsidR="000636C2">
        <w:rPr>
          <w:rFonts w:hint="cs"/>
          <w:bCs/>
          <w:sz w:val="24"/>
          <w:szCs w:val="24"/>
          <w:rtl/>
        </w:rPr>
        <w:t>]</w:t>
      </w:r>
      <w:r w:rsidR="000636C2">
        <w:rPr>
          <w:rFonts w:hint="cs"/>
          <w:rtl/>
        </w:rPr>
        <w:t>،</w:t>
      </w:r>
      <w:r>
        <w:rPr>
          <w:rFonts w:hint="cs"/>
          <w:rtl/>
        </w:rPr>
        <w:t xml:space="preserve"> </w:t>
      </w:r>
      <w:r w:rsidRPr="005675B2">
        <w:rPr>
          <w:rFonts w:hint="cs"/>
          <w:rtl/>
        </w:rPr>
        <w:t>عن ابن مسعود قال</w:t>
      </w:r>
      <w:r w:rsidR="000636C2">
        <w:rPr>
          <w:rFonts w:hint="cs"/>
          <w:rtl/>
        </w:rPr>
        <w:t>:</w:t>
      </w:r>
      <w:r w:rsidRPr="005675B2">
        <w:rPr>
          <w:rFonts w:hint="cs"/>
          <w:rtl/>
        </w:rPr>
        <w:t xml:space="preserve"> اجتمع عند البيت ثلاثة نفر</w:t>
      </w:r>
      <w:r w:rsidR="000636C2">
        <w:rPr>
          <w:rFonts w:hint="cs"/>
          <w:rtl/>
        </w:rPr>
        <w:t>،</w:t>
      </w:r>
      <w:r w:rsidRPr="005675B2">
        <w:rPr>
          <w:rFonts w:hint="cs"/>
          <w:rtl/>
        </w:rPr>
        <w:t>ثقفيان وقرشي</w:t>
      </w:r>
      <w:r w:rsidR="000636C2">
        <w:rPr>
          <w:rFonts w:hint="cs"/>
          <w:rtl/>
        </w:rPr>
        <w:t>،</w:t>
      </w:r>
      <w:r w:rsidRPr="005675B2">
        <w:rPr>
          <w:rFonts w:hint="cs"/>
          <w:rtl/>
        </w:rPr>
        <w:t>قليل فقه قلوبهم</w:t>
      </w:r>
      <w:r w:rsidR="000636C2">
        <w:rPr>
          <w:rFonts w:hint="cs"/>
          <w:rtl/>
        </w:rPr>
        <w:t>،</w:t>
      </w:r>
      <w:r w:rsidRPr="005675B2">
        <w:rPr>
          <w:rFonts w:hint="cs"/>
          <w:rtl/>
        </w:rPr>
        <w:t>كثير شحم بطونهم</w:t>
      </w:r>
      <w:r w:rsidR="000636C2">
        <w:rPr>
          <w:rFonts w:hint="cs"/>
          <w:rtl/>
        </w:rPr>
        <w:t>،</w:t>
      </w:r>
      <w:r w:rsidRPr="005675B2">
        <w:rPr>
          <w:rFonts w:hint="cs"/>
          <w:rtl/>
        </w:rPr>
        <w:t xml:space="preserve"> قال أحدهم أترون أن الله يسمع ما نقول</w:t>
      </w:r>
      <w:r w:rsidR="000636C2">
        <w:rPr>
          <w:rFonts w:hint="cs"/>
          <w:rtl/>
        </w:rPr>
        <w:t>؟</w:t>
      </w:r>
      <w:r w:rsidRPr="005675B2">
        <w:rPr>
          <w:rFonts w:hint="cs"/>
          <w:rtl/>
        </w:rPr>
        <w:t>قال الآخر يسمع إذا جهرنا</w:t>
      </w:r>
      <w:r w:rsidR="000636C2">
        <w:rPr>
          <w:rFonts w:hint="cs"/>
          <w:rtl/>
        </w:rPr>
        <w:t>،</w:t>
      </w:r>
      <w:r w:rsidRPr="005675B2">
        <w:rPr>
          <w:rFonts w:hint="cs"/>
          <w:rtl/>
        </w:rPr>
        <w:t>ولا يسمع إن أخفينا</w:t>
      </w:r>
      <w:r w:rsidR="000636C2">
        <w:rPr>
          <w:rFonts w:hint="cs"/>
          <w:rtl/>
        </w:rPr>
        <w:t>،</w:t>
      </w:r>
      <w:r w:rsidRPr="005675B2">
        <w:rPr>
          <w:rFonts w:hint="cs"/>
          <w:rtl/>
        </w:rPr>
        <w:t>وقال الآخر إن كان يسمع إذا جهرنا فإنه يسمع إذا أخفينا</w:t>
      </w:r>
      <w:r w:rsidR="000636C2">
        <w:rPr>
          <w:rFonts w:hint="cs"/>
          <w:rtl/>
        </w:rPr>
        <w:t>،</w:t>
      </w:r>
      <w:r w:rsidRPr="005675B2">
        <w:rPr>
          <w:rFonts w:hint="cs"/>
          <w:rtl/>
        </w:rPr>
        <w:t xml:space="preserve"> قال ابن مسعود</w:t>
      </w:r>
      <w:r w:rsidR="000636C2">
        <w:rPr>
          <w:rFonts w:hint="cs"/>
          <w:rtl/>
        </w:rPr>
        <w:t>:</w:t>
      </w:r>
      <w:r w:rsidRPr="005675B2">
        <w:rPr>
          <w:rFonts w:hint="cs"/>
          <w:rtl/>
        </w:rPr>
        <w:t xml:space="preserve"> فانزل الله (</w:t>
      </w:r>
      <w:r w:rsidR="000636C2">
        <w:rPr>
          <w:rFonts w:hint="cs"/>
          <w:rtl/>
        </w:rPr>
        <w:t>(</w:t>
      </w:r>
      <w:r w:rsidRPr="005675B2">
        <w:rPr>
          <w:rFonts w:hint="cs"/>
          <w:rtl/>
        </w:rPr>
        <w:t>وما كنتم تستترون أن يشهد عليكم سمعكم ولا أبصاركم ولا جلودكم ولكن ظننتم أن الله لايعلم كثيراً مما تعملون</w:t>
      </w:r>
      <w:r w:rsidR="000636C2">
        <w:rPr>
          <w:rFonts w:hint="cs"/>
          <w:rtl/>
        </w:rPr>
        <w:t>)</w:t>
      </w:r>
      <w:r w:rsidRPr="005675B2">
        <w:rPr>
          <w:rFonts w:hint="cs"/>
          <w:rtl/>
        </w:rPr>
        <w:t>)رواه البخاري في الصحيح</w:t>
      </w:r>
      <w:r w:rsidR="000636C2">
        <w:rPr>
          <w:rFonts w:hint="cs"/>
          <w:rtl/>
        </w:rPr>
        <w:t xml:space="preserve">، </w:t>
      </w:r>
      <w:r w:rsidRPr="005675B2">
        <w:rPr>
          <w:rFonts w:hint="cs"/>
          <w:rtl/>
        </w:rPr>
        <w:t>[</w:t>
      </w:r>
      <w:r w:rsidRPr="005675B2">
        <w:rPr>
          <w:rFonts w:hint="cs"/>
          <w:bCs/>
          <w:sz w:val="24"/>
          <w:szCs w:val="24"/>
          <w:rtl/>
        </w:rPr>
        <w:t>الأسماء والصفات 206</w:t>
      </w:r>
      <w:r w:rsidRPr="005675B2">
        <w:rPr>
          <w:rFonts w:hint="cs"/>
          <w:rtl/>
        </w:rPr>
        <w:t>]</w:t>
      </w:r>
      <w:r w:rsidR="000636C2">
        <w:rPr>
          <w:rFonts w:hint="cs"/>
          <w:rtl/>
        </w:rPr>
        <w:t>،</w:t>
      </w:r>
      <w:r>
        <w:rPr>
          <w:rFonts w:hint="cs"/>
          <w:rtl/>
        </w:rPr>
        <w:t xml:space="preserve"> </w:t>
      </w:r>
      <w:r w:rsidRPr="005675B2">
        <w:rPr>
          <w:rFonts w:hint="cs"/>
          <w:rtl/>
        </w:rPr>
        <w:t>وقارن بين هذا وبين</w:t>
      </w:r>
      <w:r w:rsidR="000636C2">
        <w:rPr>
          <w:rFonts w:hint="cs"/>
          <w:rtl/>
        </w:rPr>
        <w:t xml:space="preserve"> </w:t>
      </w:r>
      <w:r w:rsidRPr="005675B2">
        <w:rPr>
          <w:rFonts w:hint="cs"/>
          <w:rtl/>
        </w:rPr>
        <w:t>ما قاله ابن تيمية غفر الله له قال</w:t>
      </w:r>
      <w:r w:rsidR="000636C2">
        <w:rPr>
          <w:rFonts w:hint="cs"/>
          <w:rtl/>
        </w:rPr>
        <w:t>:</w:t>
      </w:r>
      <w:r w:rsidRPr="005675B2">
        <w:t xml:space="preserve"> </w:t>
      </w:r>
      <w:r w:rsidRPr="005675B2">
        <w:rPr>
          <w:rFonts w:hint="cs"/>
          <w:rtl/>
        </w:rPr>
        <w:t>وثم طائفة كثيرة تقول</w:t>
      </w:r>
      <w:r w:rsidR="000636C2">
        <w:rPr>
          <w:rFonts w:hint="cs"/>
          <w:rtl/>
        </w:rPr>
        <w:t>:</w:t>
      </w:r>
      <w:r w:rsidRPr="005675B2">
        <w:rPr>
          <w:rFonts w:hint="cs"/>
          <w:rtl/>
        </w:rPr>
        <w:t>(</w:t>
      </w:r>
      <w:r w:rsidR="000636C2">
        <w:rPr>
          <w:rFonts w:hint="cs"/>
          <w:rtl/>
        </w:rPr>
        <w:t>(</w:t>
      </w:r>
      <w:r w:rsidRPr="005675B2">
        <w:rPr>
          <w:rFonts w:hint="cs"/>
          <w:rtl/>
        </w:rPr>
        <w:t>أنه تقوم به الحوادث</w:t>
      </w:r>
      <w:r>
        <w:rPr>
          <w:rFonts w:hint="cs"/>
          <w:rtl/>
        </w:rPr>
        <w:t xml:space="preserve"> </w:t>
      </w:r>
      <w:r w:rsidRPr="005675B2">
        <w:rPr>
          <w:rFonts w:hint="cs"/>
          <w:rtl/>
        </w:rPr>
        <w:t>وتزول ..</w:t>
      </w:r>
      <w:r w:rsidR="000636C2">
        <w:rPr>
          <w:rFonts w:hint="cs"/>
          <w:rtl/>
        </w:rPr>
        <w:t>)</w:t>
      </w:r>
      <w:r w:rsidRPr="005675B2">
        <w:rPr>
          <w:rFonts w:hint="cs"/>
          <w:rtl/>
        </w:rPr>
        <w:t>) اهـ [</w:t>
      </w:r>
      <w:r w:rsidRPr="005675B2">
        <w:rPr>
          <w:rFonts w:hint="cs"/>
          <w:bCs/>
          <w:sz w:val="24"/>
          <w:szCs w:val="24"/>
          <w:rtl/>
        </w:rPr>
        <w:t>الفرقان بين الحق والباطل</w:t>
      </w:r>
      <w:r w:rsidR="000636C2">
        <w:rPr>
          <w:rFonts w:hint="cs"/>
          <w:bCs/>
          <w:sz w:val="24"/>
          <w:szCs w:val="24"/>
          <w:rtl/>
        </w:rPr>
        <w:t xml:space="preserve"> </w:t>
      </w:r>
      <w:r w:rsidRPr="005675B2">
        <w:rPr>
          <w:rFonts w:hint="cs"/>
          <w:bCs/>
          <w:sz w:val="24"/>
          <w:szCs w:val="24"/>
          <w:rtl/>
        </w:rPr>
        <w:t>ضمن مجموعة الرسائل الكبرى ج1 / ص117</w:t>
      </w:r>
      <w:r w:rsidRPr="005675B2">
        <w:rPr>
          <w:rFonts w:hint="cs"/>
          <w:rtl/>
        </w:rPr>
        <w:t>]</w:t>
      </w:r>
      <w:r w:rsidR="000636C2">
        <w:rPr>
          <w:rFonts w:hint="cs"/>
          <w:rtl/>
        </w:rPr>
        <w:t>،</w:t>
      </w:r>
      <w:r>
        <w:rPr>
          <w:rFonts w:hint="cs"/>
          <w:rtl/>
        </w:rPr>
        <w:t xml:space="preserve"> </w:t>
      </w:r>
    </w:p>
    <w:p w14:paraId="05079343" w14:textId="31CEC447" w:rsidR="009C32A0" w:rsidRPr="005675B2" w:rsidRDefault="009C32A0" w:rsidP="000636C2">
      <w:pPr>
        <w:rPr>
          <w:b/>
          <w:rtl/>
        </w:rPr>
      </w:pPr>
      <w:r w:rsidRPr="005B622A">
        <w:rPr>
          <w:rFonts w:hint="cs"/>
          <w:bCs/>
          <w:rtl/>
        </w:rPr>
        <w:t>أقوال الحنابلة في المسألة</w:t>
      </w:r>
      <w:r w:rsidR="000636C2">
        <w:rPr>
          <w:rFonts w:hint="cs"/>
          <w:bCs/>
          <w:rtl/>
        </w:rPr>
        <w:t>:</w:t>
      </w:r>
      <w:r w:rsidR="000636C2">
        <w:rPr>
          <w:rFonts w:hint="cs"/>
          <w:rtl/>
        </w:rPr>
        <w:t xml:space="preserve"> </w:t>
      </w:r>
      <w:r w:rsidRPr="005675B2">
        <w:rPr>
          <w:rFonts w:hint="cs"/>
          <w:rtl/>
        </w:rPr>
        <w:t>1</w:t>
      </w:r>
      <w:r w:rsidR="000636C2">
        <w:rPr>
          <w:rFonts w:hint="cs"/>
          <w:rtl/>
        </w:rPr>
        <w:t xml:space="preserve"> </w:t>
      </w:r>
      <w:r w:rsidRPr="005675B2">
        <w:rPr>
          <w:rFonts w:hint="cs"/>
          <w:rtl/>
        </w:rPr>
        <w:t>- مما يبطل قول ابن تيمية بقيام كلام حادث الأفراد</w:t>
      </w:r>
      <w:r w:rsidR="000636C2">
        <w:rPr>
          <w:rFonts w:hint="cs"/>
          <w:rtl/>
        </w:rPr>
        <w:t>،</w:t>
      </w:r>
      <w:r w:rsidRPr="005675B2">
        <w:rPr>
          <w:rFonts w:hint="cs"/>
          <w:rtl/>
        </w:rPr>
        <w:t>أزلي النوع</w:t>
      </w:r>
      <w:r w:rsidR="000636C2">
        <w:rPr>
          <w:rFonts w:hint="cs"/>
          <w:rtl/>
        </w:rPr>
        <w:t>،</w:t>
      </w:r>
      <w:r w:rsidRPr="005675B2">
        <w:rPr>
          <w:rFonts w:hint="cs"/>
          <w:rtl/>
        </w:rPr>
        <w:t xml:space="preserve"> وإرادة حادثة الأفراد</w:t>
      </w:r>
      <w:r w:rsidR="000636C2">
        <w:rPr>
          <w:rFonts w:hint="cs"/>
          <w:rtl/>
        </w:rPr>
        <w:t>،</w:t>
      </w:r>
      <w:r w:rsidRPr="005675B2">
        <w:rPr>
          <w:rFonts w:hint="cs"/>
          <w:rtl/>
        </w:rPr>
        <w:t>قديمة النوع في ذات الله، ما قاله أبو الفضل التميمي في كتابه اعتقاد الإمام أحمد</w:t>
      </w:r>
      <w:r w:rsidR="000636C2">
        <w:rPr>
          <w:rFonts w:hint="cs"/>
          <w:rtl/>
        </w:rPr>
        <w:t>:</w:t>
      </w:r>
      <w:r w:rsidRPr="005675B2">
        <w:rPr>
          <w:rFonts w:hint="cs"/>
          <w:rtl/>
        </w:rPr>
        <w:t xml:space="preserve"> "وذهب أحمد بن حنبل رضي الله عنه إلى أن الله عز وجل يغضب ويرضى وأن له غضبًا ورضا، وقرأ أحمد قوله عز وجـل</w:t>
      </w:r>
      <w:r w:rsidR="000636C2">
        <w:rPr>
          <w:rFonts w:hint="cs"/>
          <w:rtl/>
        </w:rPr>
        <w:t>:</w:t>
      </w:r>
      <w:r w:rsidRPr="005675B2">
        <w:rPr>
          <w:rFonts w:hint="cs"/>
          <w:rtl/>
        </w:rPr>
        <w:t xml:space="preserve"> </w:t>
      </w:r>
      <w:r w:rsidR="000636C2">
        <w:rPr>
          <w:rFonts w:hint="cs"/>
          <w:rtl/>
        </w:rPr>
        <w:t>(</w:t>
      </w:r>
      <w:r w:rsidRPr="005675B2">
        <w:rPr>
          <w:rFonts w:hint="cs"/>
          <w:rtl/>
        </w:rPr>
        <w:t>وَلَا تَطْغَوْا فِيهِ فَيَحِلَّ عَلَيْكُمْ غَضَبِي وَمَن يَحْلِلْ عَلَيْهِ غَضَبِي فَقَدْ هَوَى</w:t>
      </w:r>
      <w:r w:rsidR="000636C2">
        <w:rPr>
          <w:rFonts w:hint="cs"/>
          <w:rtl/>
        </w:rPr>
        <w:t>)</w:t>
      </w:r>
      <w:r w:rsidRPr="005675B2">
        <w:rPr>
          <w:rFonts w:hint="cs"/>
          <w:rtl/>
        </w:rPr>
        <w:t xml:space="preserve"> </w:t>
      </w:r>
      <w:r w:rsidR="000636C2">
        <w:rPr>
          <w:rFonts w:hint="cs"/>
          <w:rtl/>
        </w:rPr>
        <w:t>(</w:t>
      </w:r>
      <w:r w:rsidRPr="005675B2">
        <w:rPr>
          <w:rFonts w:hint="cs"/>
          <w:rtl/>
        </w:rPr>
        <w:t>سورة طه/81</w:t>
      </w:r>
      <w:r w:rsidR="000636C2">
        <w:rPr>
          <w:rFonts w:hint="cs"/>
          <w:rtl/>
        </w:rPr>
        <w:t>)</w:t>
      </w:r>
      <w:r w:rsidRPr="005675B2">
        <w:rPr>
          <w:rFonts w:hint="cs"/>
          <w:rtl/>
        </w:rPr>
        <w:t>، وأضاف الغضب إلى نفسه وقال عز وجل</w:t>
      </w:r>
      <w:r w:rsidR="000636C2">
        <w:rPr>
          <w:rFonts w:hint="cs"/>
          <w:rtl/>
        </w:rPr>
        <w:t>:</w:t>
      </w:r>
      <w:r w:rsidRPr="005675B2">
        <w:rPr>
          <w:rFonts w:hint="cs"/>
          <w:rtl/>
        </w:rPr>
        <w:t xml:space="preserve"> </w:t>
      </w:r>
      <w:r w:rsidR="000636C2">
        <w:rPr>
          <w:rFonts w:hint="cs"/>
          <w:rtl/>
        </w:rPr>
        <w:t>(</w:t>
      </w:r>
      <w:r w:rsidRPr="005675B2">
        <w:rPr>
          <w:rFonts w:hint="cs"/>
          <w:rtl/>
        </w:rPr>
        <w:t>فَلَمَّا آسَفُونَا انتَقَمْنَا مِنْهُمْ</w:t>
      </w:r>
      <w:r w:rsidR="000636C2">
        <w:rPr>
          <w:rFonts w:hint="cs"/>
          <w:rtl/>
        </w:rPr>
        <w:t>)</w:t>
      </w:r>
      <w:r w:rsidRPr="005675B2">
        <w:rPr>
          <w:rFonts w:hint="cs"/>
          <w:rtl/>
        </w:rPr>
        <w:t xml:space="preserve"> </w:t>
      </w:r>
      <w:r w:rsidR="000636C2">
        <w:rPr>
          <w:rFonts w:hint="cs"/>
          <w:rtl/>
        </w:rPr>
        <w:t>(</w:t>
      </w:r>
      <w:r w:rsidRPr="005675B2">
        <w:rPr>
          <w:rFonts w:hint="cs"/>
          <w:rtl/>
        </w:rPr>
        <w:t>سورة الزخرف/55</w:t>
      </w:r>
      <w:r w:rsidR="000636C2">
        <w:rPr>
          <w:rFonts w:hint="cs"/>
          <w:rtl/>
        </w:rPr>
        <w:t>)</w:t>
      </w:r>
      <w:r w:rsidRPr="005675B2">
        <w:rPr>
          <w:rFonts w:hint="cs"/>
          <w:rtl/>
        </w:rPr>
        <w:t xml:space="preserve"> الآية، قال ابن عباس</w:t>
      </w:r>
      <w:r w:rsidR="000636C2">
        <w:rPr>
          <w:rFonts w:hint="cs"/>
          <w:rtl/>
        </w:rPr>
        <w:t>:</w:t>
      </w:r>
      <w:r w:rsidRPr="005675B2">
        <w:rPr>
          <w:rFonts w:hint="cs"/>
          <w:rtl/>
        </w:rPr>
        <w:t xml:space="preserve"> يعني أغضبونا</w:t>
      </w:r>
      <w:r w:rsidR="000636C2">
        <w:rPr>
          <w:rFonts w:hint="cs"/>
          <w:rtl/>
        </w:rPr>
        <w:t>،</w:t>
      </w:r>
      <w:r w:rsidRPr="005675B2">
        <w:rPr>
          <w:rFonts w:hint="cs"/>
          <w:rtl/>
        </w:rPr>
        <w:t xml:space="preserve"> وقوله أيضًا</w:t>
      </w:r>
      <w:r w:rsidR="000636C2">
        <w:rPr>
          <w:rFonts w:hint="cs"/>
          <w:rtl/>
        </w:rPr>
        <w:t>:</w:t>
      </w:r>
      <w:r w:rsidRPr="005675B2">
        <w:rPr>
          <w:rFonts w:hint="cs"/>
          <w:rtl/>
        </w:rPr>
        <w:t xml:space="preserve"> </w:t>
      </w:r>
      <w:r w:rsidR="000636C2">
        <w:rPr>
          <w:rFonts w:hint="cs"/>
          <w:rtl/>
        </w:rPr>
        <w:t>(</w:t>
      </w:r>
      <w:r w:rsidRPr="005675B2">
        <w:rPr>
          <w:rFonts w:hint="cs"/>
          <w:rtl/>
        </w:rPr>
        <w:t>فَجَزَآؤُهُ جَهَنَّمُ خَالِدًا فِيهَا وَغَضِبَ اللّهُ عَلَيْهِ وَلَعَنَه</w:t>
      </w:r>
      <w:r w:rsidR="000636C2">
        <w:rPr>
          <w:rFonts w:hint="cs"/>
          <w:rtl/>
        </w:rPr>
        <w:t>)</w:t>
      </w:r>
      <w:r w:rsidRPr="005675B2">
        <w:rPr>
          <w:rFonts w:hint="cs"/>
          <w:rtl/>
        </w:rPr>
        <w:t xml:space="preserve"> </w:t>
      </w:r>
      <w:r w:rsidR="000636C2">
        <w:rPr>
          <w:rFonts w:hint="cs"/>
          <w:rtl/>
        </w:rPr>
        <w:t>(</w:t>
      </w:r>
      <w:r w:rsidRPr="005675B2">
        <w:rPr>
          <w:rFonts w:hint="cs"/>
          <w:rtl/>
        </w:rPr>
        <w:t>سورة النساء/93</w:t>
      </w:r>
      <w:r w:rsidR="000636C2">
        <w:rPr>
          <w:rFonts w:hint="cs"/>
          <w:rtl/>
        </w:rPr>
        <w:t>)</w:t>
      </w:r>
      <w:r w:rsidRPr="005675B2">
        <w:rPr>
          <w:rFonts w:hint="cs"/>
          <w:rtl/>
        </w:rPr>
        <w:t xml:space="preserve"> الآية، ومثل ذلك في القرآن كثير، والغضب والرضا صفتان له من صفات نفسه لم يزل الله تعالى غاضبًا على ما سبق في علمه أنه يكون مما يغضبه ولم يزل راضيًا على ما سبق في العلم أنه يكون مما يرضيه، وأنكر أصحابه على من يقول إن الرضا والغضب مخلوقان، قالوا فمن قال ذلك لزمه أن غضب الله عز وجل على الكافرين يفنى</w:t>
      </w:r>
      <w:r w:rsidR="000636C2">
        <w:rPr>
          <w:rFonts w:hint="cs"/>
          <w:rtl/>
        </w:rPr>
        <w:t>،</w:t>
      </w:r>
      <w:r w:rsidRPr="005675B2">
        <w:rPr>
          <w:rFonts w:hint="cs"/>
          <w:rtl/>
        </w:rPr>
        <w:t xml:space="preserve">وكذلك رضاه على الأنبياء والمؤمنين حتى لا يكون راضيًا على أوليائه ولا ساخطاً على أعدائه، ويسمَّى ما كان عن الصفة باسم الصفة </w:t>
      </w:r>
      <w:r w:rsidRPr="005675B2">
        <w:rPr>
          <w:rFonts w:hint="cs"/>
          <w:u w:val="single"/>
          <w:rtl/>
        </w:rPr>
        <w:t>مجازًا في بعض الأشياء</w:t>
      </w:r>
      <w:r w:rsidRPr="005675B2">
        <w:rPr>
          <w:rFonts w:hint="cs"/>
          <w:rtl/>
        </w:rPr>
        <w:t>، و يسمَّى عذابُ الله تعالى وعقابه غضبًا وسخطًا لأنهما عن الغضب كانا، وقد أجمع المسلمون لا يتناكرون أنهم إذا رأوا الزلازل والأمطار العظيمة أنهم يقولون هذه قدرة الله تعالى، والمعنى أنها عن قدرةِ كانت، وقد يقول الإنسان في دعائه</w:t>
      </w:r>
      <w:r w:rsidR="000636C2">
        <w:rPr>
          <w:rFonts w:hint="cs"/>
          <w:rtl/>
        </w:rPr>
        <w:t>:</w:t>
      </w:r>
      <w:r w:rsidRPr="005675B2">
        <w:rPr>
          <w:rFonts w:hint="cs"/>
          <w:rtl/>
        </w:rPr>
        <w:t xml:space="preserve"> اللهم اغفر لنا عِلْمَكَ فينا وإنما يريد معلومك الذي علمته، فسموا المعلوم باسم العلم، وكذلك سموا المرتضى باسم الرضي، وسموا المغضوب باسم الغضب" أهـ</w:t>
      </w:r>
      <w:r w:rsidR="000636C2">
        <w:rPr>
          <w:rFonts w:hint="cs"/>
          <w:rtl/>
        </w:rPr>
        <w:t xml:space="preserve">،، </w:t>
      </w:r>
      <w:r w:rsidRPr="005675B2">
        <w:rPr>
          <w:rFonts w:hint="cs"/>
          <w:rtl/>
        </w:rPr>
        <w:t>[</w:t>
      </w:r>
      <w:r w:rsidRPr="005675B2">
        <w:rPr>
          <w:rFonts w:hint="cs"/>
          <w:bCs/>
          <w:sz w:val="24"/>
          <w:szCs w:val="24"/>
          <w:rtl/>
        </w:rPr>
        <w:t>اعتقاد الإمام أحمد ص46</w:t>
      </w:r>
      <w:r w:rsidRPr="005675B2">
        <w:rPr>
          <w:rFonts w:hint="cs"/>
          <w:rtl/>
        </w:rPr>
        <w:t>]</w:t>
      </w:r>
      <w:r w:rsidR="000636C2">
        <w:rPr>
          <w:rFonts w:hint="cs"/>
          <w:rtl/>
        </w:rPr>
        <w:t>،</w:t>
      </w:r>
      <w:r>
        <w:rPr>
          <w:rFonts w:hint="cs"/>
          <w:rtl/>
        </w:rPr>
        <w:t xml:space="preserve"> </w:t>
      </w:r>
      <w:r w:rsidRPr="005675B2">
        <w:rPr>
          <w:rFonts w:hint="cs"/>
          <w:rtl/>
        </w:rPr>
        <w:t>فما أعظم هذه الفائدة</w:t>
      </w:r>
      <w:r w:rsidR="000636C2">
        <w:rPr>
          <w:rFonts w:hint="cs"/>
          <w:rtl/>
        </w:rPr>
        <w:t>،</w:t>
      </w:r>
      <w:r w:rsidRPr="005675B2">
        <w:rPr>
          <w:rFonts w:hint="cs"/>
          <w:rtl/>
        </w:rPr>
        <w:t>ففيها ردّ لما يحتج به من يدعون اتباع السلف</w:t>
      </w:r>
      <w:r w:rsidR="000636C2">
        <w:rPr>
          <w:rFonts w:hint="cs"/>
          <w:rtl/>
        </w:rPr>
        <w:t xml:space="preserve"> </w:t>
      </w:r>
      <w:r w:rsidRPr="005675B2">
        <w:rPr>
          <w:rFonts w:hint="cs"/>
          <w:rtl/>
        </w:rPr>
        <w:t>لحدوث صفات الله تعالى بحديث الشفاعة المشهور أن آدم وغيره يقول</w:t>
      </w:r>
      <w:r w:rsidR="000636C2">
        <w:rPr>
          <w:rFonts w:hint="cs"/>
          <w:rtl/>
        </w:rPr>
        <w:t>:</w:t>
      </w:r>
      <w:r w:rsidRPr="005675B2">
        <w:rPr>
          <w:rFonts w:hint="cs"/>
          <w:rtl/>
        </w:rPr>
        <w:t xml:space="preserve"> "إن الله غضب اليوم غضبًا لم يغضب قبله مثله ولا يغضب بعده مثله"، فزعم هؤلاء</w:t>
      </w:r>
      <w:r w:rsidR="000636C2">
        <w:rPr>
          <w:rFonts w:hint="cs"/>
          <w:rtl/>
        </w:rPr>
        <w:t xml:space="preserve"> </w:t>
      </w:r>
      <w:r w:rsidRPr="005675B2">
        <w:rPr>
          <w:rFonts w:hint="cs"/>
          <w:rtl/>
        </w:rPr>
        <w:t>أن الله يحدث له في ذلك الوقت صفة حادثة في ذاته سبحانه وتعالى عن ذلك فأسماءالله وصفاته وذاته غير حادثة</w:t>
      </w:r>
      <w:r w:rsidR="000636C2">
        <w:rPr>
          <w:rFonts w:hint="cs"/>
          <w:rtl/>
        </w:rPr>
        <w:t>،</w:t>
      </w:r>
    </w:p>
    <w:p w14:paraId="0EA92AAA" w14:textId="3CA0E3D5"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 قال الإمام التميمي إن الإمام أحمد سئل هل الموصوف القديم وصفته قديمان</w:t>
      </w:r>
      <w:r w:rsidR="000636C2">
        <w:rPr>
          <w:rFonts w:hint="cs"/>
          <w:rtl/>
        </w:rPr>
        <w:t xml:space="preserve">؟ </w:t>
      </w:r>
      <w:r w:rsidRPr="005675B2">
        <w:rPr>
          <w:rFonts w:hint="cs"/>
          <w:rtl/>
        </w:rPr>
        <w:t>فقال</w:t>
      </w:r>
      <w:r w:rsidR="000636C2">
        <w:rPr>
          <w:rFonts w:hint="cs"/>
          <w:rtl/>
        </w:rPr>
        <w:t>:</w:t>
      </w:r>
      <w:r w:rsidRPr="005675B2">
        <w:rPr>
          <w:rFonts w:hint="cs"/>
          <w:rtl/>
        </w:rPr>
        <w:t xml:space="preserve"> هذا سؤال خطأ لا يجوز أن ينفرد الله عن صفاته</w:t>
      </w:r>
      <w:r w:rsidR="000636C2">
        <w:rPr>
          <w:rFonts w:hint="cs"/>
          <w:rtl/>
        </w:rPr>
        <w:t>،</w:t>
      </w:r>
      <w:r w:rsidRPr="005675B2">
        <w:rPr>
          <w:rFonts w:hint="cs"/>
          <w:rtl/>
        </w:rPr>
        <w:t xml:space="preserve"> ومعنى ماقاله من ذلك</w:t>
      </w:r>
      <w:r w:rsidR="000636C2">
        <w:rPr>
          <w:rFonts w:hint="cs"/>
          <w:rtl/>
        </w:rPr>
        <w:t>:</w:t>
      </w:r>
      <w:r w:rsidRPr="005675B2">
        <w:rPr>
          <w:rFonts w:hint="cs"/>
          <w:u w:val="single"/>
          <w:rtl/>
        </w:rPr>
        <w:t>أن المحدث محدث على جميع صفاته من غير تفصيل</w:t>
      </w:r>
      <w:r w:rsidR="000636C2">
        <w:rPr>
          <w:rFonts w:hint="cs"/>
          <w:rtl/>
        </w:rPr>
        <w:t>،</w:t>
      </w:r>
      <w:r w:rsidRPr="005675B2">
        <w:rPr>
          <w:rFonts w:hint="cs"/>
          <w:rtl/>
        </w:rPr>
        <w:t xml:space="preserve"> وكذلك </w:t>
      </w:r>
      <w:r w:rsidRPr="005675B2">
        <w:rPr>
          <w:rFonts w:hint="cs"/>
          <w:u w:val="single"/>
          <w:rtl/>
        </w:rPr>
        <w:t>القديم تعالى قديم بجميع صفاته</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اعتقاد الإمام أحمد ص49</w:t>
      </w:r>
      <w:r w:rsidRPr="005675B2">
        <w:rPr>
          <w:rFonts w:hint="cs"/>
          <w:rtl/>
        </w:rPr>
        <w:t>]</w:t>
      </w:r>
    </w:p>
    <w:p w14:paraId="0AD66D84" w14:textId="5EC4FEE9" w:rsidR="009C32A0" w:rsidRPr="005675B2" w:rsidRDefault="009C32A0" w:rsidP="000636C2">
      <w:pPr>
        <w:rPr>
          <w:b/>
          <w:rtl/>
        </w:rPr>
      </w:pPr>
      <w:r w:rsidRPr="005675B2">
        <w:rPr>
          <w:rFonts w:hint="cs"/>
          <w:rtl/>
        </w:rPr>
        <w:t>3</w:t>
      </w:r>
      <w:r w:rsidR="000636C2">
        <w:rPr>
          <w:rFonts w:hint="cs"/>
          <w:rtl/>
        </w:rPr>
        <w:t xml:space="preserve"> </w:t>
      </w:r>
      <w:r w:rsidRPr="005675B2">
        <w:rPr>
          <w:rFonts w:hint="cs"/>
          <w:rtl/>
        </w:rPr>
        <w:t>- وقال الإمام عبدالباقي الحنبلي</w:t>
      </w:r>
      <w:r w:rsidR="000636C2">
        <w:rPr>
          <w:rFonts w:hint="cs"/>
          <w:rtl/>
        </w:rPr>
        <w:t>:</w:t>
      </w:r>
      <w:r w:rsidRPr="005675B2">
        <w:rPr>
          <w:rFonts w:hint="cs"/>
          <w:rtl/>
        </w:rPr>
        <w:t xml:space="preserve"> وبأنه تعالى قائل ومتكلم بكلام قديم ذاتي وجودي غير مخلوق ولا محدث</w:t>
      </w:r>
      <w:r w:rsidRPr="005675B2">
        <w:rPr>
          <w:rFonts w:hint="cs"/>
        </w:rPr>
        <w:t xml:space="preserve"> </w:t>
      </w:r>
      <w:r w:rsidRPr="005675B2">
        <w:rPr>
          <w:rFonts w:hint="cs"/>
          <w:u w:val="single"/>
          <w:rtl/>
        </w:rPr>
        <w:t>ولا حادث بلا</w:t>
      </w:r>
      <w:r w:rsidRPr="005675B2">
        <w:rPr>
          <w:rFonts w:hint="cs"/>
          <w:rtl/>
        </w:rPr>
        <w:t xml:space="preserve"> تمثيل</w:t>
      </w:r>
      <w:r w:rsidR="000636C2">
        <w:rPr>
          <w:rFonts w:hint="cs"/>
          <w:rtl/>
        </w:rPr>
        <w:t>،</w:t>
      </w:r>
      <w:r w:rsidRPr="005675B2">
        <w:rPr>
          <w:rFonts w:hint="cs"/>
          <w:rtl/>
        </w:rPr>
        <w:t>ولا تشبيه، ولا تكييف</w:t>
      </w:r>
      <w:r w:rsidR="000636C2">
        <w:rPr>
          <w:rFonts w:hint="cs"/>
          <w:rtl/>
        </w:rPr>
        <w:t>،</w:t>
      </w:r>
      <w:r w:rsidRPr="005675B2">
        <w:rPr>
          <w:rFonts w:hint="cs"/>
          <w:rtl/>
        </w:rPr>
        <w:t xml:space="preserve"> [</w:t>
      </w:r>
      <w:r w:rsidRPr="005675B2">
        <w:rPr>
          <w:rFonts w:hint="cs"/>
          <w:bCs/>
          <w:sz w:val="24"/>
          <w:szCs w:val="24"/>
          <w:rtl/>
        </w:rPr>
        <w:t>العين والأثر في عقائد أهل الأثر . صفة الكلام</w:t>
      </w:r>
      <w:r w:rsidR="000636C2">
        <w:rPr>
          <w:rFonts w:hint="cs"/>
          <w:bCs/>
          <w:sz w:val="24"/>
          <w:szCs w:val="24"/>
          <w:rtl/>
        </w:rPr>
        <w:t>]</w:t>
      </w:r>
    </w:p>
    <w:p w14:paraId="5F340571" w14:textId="6BA97825" w:rsidR="009C32A0" w:rsidRPr="005675B2" w:rsidRDefault="009C32A0" w:rsidP="000636C2">
      <w:pPr>
        <w:rPr>
          <w:b/>
          <w:rtl/>
        </w:rPr>
      </w:pPr>
      <w:r w:rsidRPr="005675B2">
        <w:rPr>
          <w:rFonts w:hint="cs"/>
          <w:rtl/>
        </w:rPr>
        <w:t>4</w:t>
      </w:r>
      <w:r w:rsidR="000636C2">
        <w:rPr>
          <w:rFonts w:hint="cs"/>
          <w:rtl/>
        </w:rPr>
        <w:t xml:space="preserve"> </w:t>
      </w:r>
      <w:r w:rsidRPr="005675B2">
        <w:rPr>
          <w:rFonts w:hint="cs"/>
          <w:rtl/>
        </w:rPr>
        <w:t>-</w:t>
      </w:r>
      <w:r w:rsidR="000636C2">
        <w:rPr>
          <w:rFonts w:hint="cs"/>
          <w:rtl/>
        </w:rPr>
        <w:t xml:space="preserve"> </w:t>
      </w:r>
      <w:r w:rsidRPr="005675B2">
        <w:rPr>
          <w:rFonts w:hint="cs"/>
          <w:rtl/>
        </w:rPr>
        <w:t>جاء في عقيدة الحنابلة لابن حمدان الحنبلي</w:t>
      </w:r>
      <w:r w:rsidR="000636C2">
        <w:rPr>
          <w:rFonts w:hint="cs"/>
          <w:rtl/>
        </w:rPr>
        <w:t>:</w:t>
      </w:r>
      <w:r w:rsidRPr="005675B2">
        <w:rPr>
          <w:rFonts w:hint="cs"/>
          <w:rtl/>
        </w:rPr>
        <w:t>والله تعالى قائل ومتكلم تكلم ويتكلم بكلام قديم ذاتي وجودي غير</w:t>
      </w:r>
      <w:r w:rsidR="000636C2">
        <w:rPr>
          <w:rFonts w:hint="cs"/>
          <w:rtl/>
        </w:rPr>
        <w:t xml:space="preserve"> </w:t>
      </w:r>
      <w:r w:rsidRPr="005675B2">
        <w:rPr>
          <w:rFonts w:hint="cs"/>
          <w:rtl/>
        </w:rPr>
        <w:t xml:space="preserve">مخلوق </w:t>
      </w:r>
      <w:r w:rsidRPr="005675B2">
        <w:rPr>
          <w:rFonts w:hint="cs"/>
          <w:u w:val="single"/>
          <w:rtl/>
        </w:rPr>
        <w:t>ولا محدث ولا حادث</w:t>
      </w:r>
      <w:r w:rsidRPr="005675B2">
        <w:rPr>
          <w:rFonts w:hint="cs"/>
          <w:rtl/>
        </w:rPr>
        <w:t xml:space="preserve"> لايشبه كلام الناس لم يزل أمراً ونهياً وخبراً على ماهو عليه</w:t>
      </w:r>
      <w:r w:rsidR="000636C2">
        <w:rPr>
          <w:rFonts w:hint="cs"/>
          <w:rtl/>
        </w:rPr>
        <w:t>،</w:t>
      </w:r>
      <w:r w:rsidRPr="005675B2">
        <w:rPr>
          <w:rFonts w:hint="cs"/>
          <w:rtl/>
        </w:rPr>
        <w:t xml:space="preserve"> [</w:t>
      </w:r>
      <w:r w:rsidRPr="005675B2">
        <w:rPr>
          <w:rFonts w:hint="cs"/>
          <w:bCs/>
          <w:sz w:val="24"/>
          <w:szCs w:val="24"/>
          <w:rtl/>
        </w:rPr>
        <w:t>نهاية المبتدئين 26</w:t>
      </w:r>
      <w:r w:rsidRPr="005675B2">
        <w:rPr>
          <w:rFonts w:hint="cs"/>
          <w:rtl/>
        </w:rPr>
        <w:t>] وهذا يخالف عقيدة</w:t>
      </w:r>
      <w:r w:rsidR="000636C2">
        <w:rPr>
          <w:rFonts w:hint="cs"/>
          <w:rtl/>
        </w:rPr>
        <w:t xml:space="preserve"> </w:t>
      </w:r>
      <w:r w:rsidRPr="005675B2">
        <w:rPr>
          <w:rFonts w:hint="cs"/>
          <w:rtl/>
        </w:rPr>
        <w:t>من يقول إن كلام الله قديم النوع حادث الأفراد</w:t>
      </w:r>
      <w:r w:rsidR="000636C2">
        <w:rPr>
          <w:rFonts w:hint="cs"/>
          <w:rtl/>
        </w:rPr>
        <w:t>،</w:t>
      </w:r>
      <w:r w:rsidRPr="005675B2">
        <w:rPr>
          <w:rFonts w:hint="cs"/>
          <w:rtl/>
        </w:rPr>
        <w:t xml:space="preserve"> فهو غير محدث ولا حادث لأنه صفة والقول فيها كالقول في الذات خلافاً للمعتزلة والكرامية القائلين بحدوثها وقلدهم ابن تيمية في كتاباته</w:t>
      </w:r>
      <w:r w:rsidR="000636C2">
        <w:rPr>
          <w:rFonts w:hint="cs"/>
          <w:rtl/>
        </w:rPr>
        <w:t>،</w:t>
      </w:r>
      <w:r>
        <w:rPr>
          <w:rFonts w:hint="cs"/>
          <w:rtl/>
        </w:rPr>
        <w:t xml:space="preserve"> </w:t>
      </w:r>
      <w:r w:rsidRPr="005675B2">
        <w:rPr>
          <w:rFonts w:hint="cs"/>
          <w:rtl/>
        </w:rPr>
        <w:t>وبهذا يتبين أن أقوال ابن تيمية في أن الحوادث تقوم بالله قول باطل، وأن الحق أن الله بصفاته قديم أزلي غير حادث</w:t>
      </w:r>
      <w:r w:rsidR="000636C2">
        <w:rPr>
          <w:rFonts w:hint="cs"/>
          <w:rtl/>
        </w:rPr>
        <w:t>،</w:t>
      </w:r>
      <w:r w:rsidRPr="005675B2">
        <w:rPr>
          <w:rFonts w:hint="cs"/>
          <w:rtl/>
        </w:rPr>
        <w:t xml:space="preserve"> ولم يقل بقول ابن تيمية إلا الكرامية</w:t>
      </w:r>
      <w:r w:rsidR="000636C2">
        <w:rPr>
          <w:rFonts w:hint="cs"/>
          <w:rtl/>
        </w:rPr>
        <w:t>،</w:t>
      </w:r>
      <w:r w:rsidRPr="005675B2">
        <w:rPr>
          <w:rFonts w:hint="cs"/>
          <w:rtl/>
        </w:rPr>
        <w:t xml:space="preserve"> وقد ذكر ابن التلمساني شيئًا من معتقداتهم الفاسدة التي تبنّاها أتباع أقوالهم في هذا الزمان</w:t>
      </w:r>
      <w:r w:rsidR="000636C2">
        <w:rPr>
          <w:rFonts w:hint="cs"/>
          <w:rtl/>
        </w:rPr>
        <w:t>،</w:t>
      </w:r>
      <w:r w:rsidRPr="005675B2">
        <w:rPr>
          <w:rFonts w:hint="cs"/>
          <w:rtl/>
        </w:rPr>
        <w:t xml:space="preserve"> فقال الشيخ شرف الدين بن التلمساني في شرح لمع الأدلة للجويني ما نصه</w:t>
      </w:r>
      <w:r w:rsidR="000636C2">
        <w:rPr>
          <w:rFonts w:hint="cs"/>
          <w:rtl/>
        </w:rPr>
        <w:t>:</w:t>
      </w:r>
      <w:r w:rsidRPr="005675B2">
        <w:rPr>
          <w:rFonts w:hint="cs"/>
          <w:rtl/>
        </w:rPr>
        <w:t xml:space="preserve"> "وخالف إجماع الأمة طائفة نبغوا من سِجستان لقبوا بالكرامية نسبة إلى محمد بن كرّام، وزعموا أن الحوادث تطرأ يعني تتجدد على ذات الله، تعالى عن قولهم، وهذا المذهب نظير مذهب المجوس</w:t>
      </w:r>
      <w:r w:rsidR="000636C2">
        <w:rPr>
          <w:rFonts w:hint="cs"/>
          <w:rtl/>
        </w:rPr>
        <w:t>،</w:t>
      </w:r>
      <w:r w:rsidRPr="005675B2">
        <w:rPr>
          <w:rFonts w:hint="cs"/>
          <w:rtl/>
        </w:rPr>
        <w:t xml:space="preserve"> ووجه مضاهاته لمذهب المجوس أن طائفة منهم تقول بقدم النور وحدوث الظلمة، وأن سبب حدوثها أن يَزْدَان فكَّر فكرة فَحَدَثَ منها شخص من أشخاص الظلمة فأبعده وأقصاه وهو هُرمز، وجميع الشر ينسب إليه</w:t>
      </w:r>
      <w:r w:rsidR="000636C2">
        <w:rPr>
          <w:rFonts w:hint="cs"/>
          <w:rtl/>
        </w:rPr>
        <w:t>،</w:t>
      </w:r>
      <w:r w:rsidRPr="005675B2">
        <w:rPr>
          <w:rFonts w:hint="cs"/>
          <w:rtl/>
        </w:rPr>
        <w:t xml:space="preserve"> وكذلك الكرّامية تزعم أن الله تعالى إذا أراد إحداث محدَث أوجد في ذاته كافًا ونونًا وإرادة حادثة، وعن ذلك تصدر سائر المخلوقات المباينة لذاته " أهـ</w:t>
      </w:r>
      <w:r w:rsidR="000636C2">
        <w:rPr>
          <w:rFonts w:hint="cs"/>
          <w:rtl/>
        </w:rPr>
        <w:t xml:space="preserve">، </w:t>
      </w:r>
      <w:r w:rsidRPr="005675B2">
        <w:rPr>
          <w:rFonts w:hint="cs"/>
          <w:rtl/>
        </w:rPr>
        <w:t>[</w:t>
      </w:r>
      <w:r w:rsidRPr="005675B2">
        <w:rPr>
          <w:rFonts w:hint="cs"/>
          <w:sz w:val="24"/>
          <w:szCs w:val="24"/>
          <w:rtl/>
        </w:rPr>
        <w:t>279شرح لمع الأدلة (ص/ 80-81) مخطوط.).</w:t>
      </w:r>
      <w:r w:rsidR="000636C2">
        <w:rPr>
          <w:rFonts w:hint="cs"/>
          <w:sz w:val="24"/>
          <w:szCs w:val="24"/>
          <w:rtl/>
        </w:rPr>
        <w:t>]</w:t>
      </w:r>
      <w:r w:rsidRPr="005675B2">
        <w:rPr>
          <w:rFonts w:hint="cs"/>
          <w:rtl/>
        </w:rPr>
        <w:t>وقال الإمام أبو المظفر الإسفراييني ما نصه</w:t>
      </w:r>
      <w:r w:rsidR="000636C2">
        <w:rPr>
          <w:rFonts w:hint="cs"/>
          <w:rtl/>
        </w:rPr>
        <w:t>:</w:t>
      </w:r>
      <w:r w:rsidRPr="005675B2">
        <w:rPr>
          <w:rFonts w:hint="cs"/>
          <w:rtl/>
        </w:rPr>
        <w:t xml:space="preserve"> "ومما ابتدعوه - أي الكرَّامية - من الضلالات مما لم يتجاسر على إطلاقه قبلهم واحد من الأمم لعلمهم بافتضاحه هو قولهم</w:t>
      </w:r>
      <w:r w:rsidR="000636C2">
        <w:rPr>
          <w:rFonts w:hint="cs"/>
          <w:rtl/>
        </w:rPr>
        <w:t>:</w:t>
      </w:r>
      <w:r w:rsidRPr="005675B2">
        <w:rPr>
          <w:rFonts w:hint="cs"/>
          <w:rtl/>
        </w:rPr>
        <w:t xml:space="preserve"> بأن معبودهم محل الحوادث تحدث في ذاته أقواله، وإرادته</w:t>
      </w:r>
      <w:r w:rsidR="000636C2">
        <w:rPr>
          <w:rFonts w:hint="cs"/>
          <w:rtl/>
        </w:rPr>
        <w:t>،</w:t>
      </w:r>
      <w:r w:rsidRPr="005675B2">
        <w:rPr>
          <w:rFonts w:hint="cs"/>
          <w:rtl/>
        </w:rPr>
        <w:t xml:space="preserve"> وإدراكه للمسموعات والمبصرات، وسموا ذلك سمعًا وتبصرًا، وكذلك قالوا</w:t>
      </w:r>
      <w:r w:rsidR="000636C2">
        <w:rPr>
          <w:rFonts w:hint="cs"/>
          <w:rtl/>
        </w:rPr>
        <w:t>:</w:t>
      </w:r>
      <w:r w:rsidRPr="005675B2">
        <w:rPr>
          <w:rFonts w:hint="cs"/>
          <w:rtl/>
        </w:rPr>
        <w:t xml:space="preserve"> تحدث في ذاته ملاقاته للصفحة العليا من العرش، زعموا أن هذه أعراض تحدث في ذاته، تعالى الله عن قولهم " أهـ</w:t>
      </w:r>
      <w:r w:rsidR="000636C2">
        <w:rPr>
          <w:rFonts w:hint="cs"/>
          <w:rtl/>
        </w:rPr>
        <w:t xml:space="preserve">، </w:t>
      </w:r>
      <w:r w:rsidRPr="005675B2">
        <w:rPr>
          <w:rFonts w:hint="cs"/>
          <w:rtl/>
        </w:rPr>
        <w:t>[</w:t>
      </w:r>
      <w:r w:rsidRPr="005675B2">
        <w:rPr>
          <w:rFonts w:hint="cs"/>
          <w:bCs/>
          <w:sz w:val="24"/>
          <w:szCs w:val="24"/>
          <w:rtl/>
        </w:rPr>
        <w:t>التبصير في الدين 66ـ67</w:t>
      </w:r>
      <w:r w:rsidRPr="005675B2">
        <w:rPr>
          <w:rFonts w:hint="cs"/>
          <w:rtl/>
        </w:rPr>
        <w:t>] فتبين مما أوردناه أن ابن تيمية غفر الله له ليس له سلف في ذلك من أهل السنة وإنما هذه أقوال الكرامية</w:t>
      </w:r>
      <w:r w:rsidR="000636C2">
        <w:rPr>
          <w:rFonts w:hint="cs"/>
          <w:rtl/>
        </w:rPr>
        <w:t>،</w:t>
      </w:r>
      <w:r w:rsidRPr="005675B2">
        <w:rPr>
          <w:rFonts w:hint="cs"/>
          <w:rtl/>
        </w:rPr>
        <w:t xml:space="preserve"> وقد أجاب الإمام الحجة الإسفراييني في دحض هذه الفرية بقوله</w:t>
      </w:r>
      <w:r w:rsidR="000636C2">
        <w:rPr>
          <w:rFonts w:hint="cs"/>
          <w:rtl/>
        </w:rPr>
        <w:t>:</w:t>
      </w:r>
      <w:r w:rsidRPr="005675B2">
        <w:rPr>
          <w:rFonts w:hint="cs"/>
          <w:rtl/>
        </w:rPr>
        <w:t xml:space="preserve"> "هو أن تعلم أن الحوادث لا يجوز حلولها في ذاته وصفاته لأن ما كان محلاً للحوادث لم يخل منها، وإذا لم يخل منها كان محدثًا مثلها، ولهذا قال الخليل عليه الصلاة والسلام </w:t>
      </w:r>
      <w:r w:rsidR="000636C2">
        <w:rPr>
          <w:rFonts w:hint="cs"/>
          <w:rtl/>
        </w:rPr>
        <w:t>(</w:t>
      </w:r>
      <w:r w:rsidRPr="005675B2">
        <w:rPr>
          <w:rFonts w:hint="cs"/>
          <w:rtl/>
        </w:rPr>
        <w:t>لاَ أُحِبُّ الآَفِلينَ</w:t>
      </w:r>
      <w:r w:rsidR="000636C2">
        <w:rPr>
          <w:rFonts w:hint="cs"/>
          <w:rtl/>
        </w:rPr>
        <w:t>)</w:t>
      </w:r>
      <w:r w:rsidRPr="005675B2">
        <w:rPr>
          <w:rFonts w:hint="cs"/>
          <w:rtl/>
        </w:rPr>
        <w:t xml:space="preserve"> </w:t>
      </w:r>
      <w:r w:rsidR="000636C2">
        <w:rPr>
          <w:rFonts w:hint="cs"/>
          <w:rtl/>
        </w:rPr>
        <w:t>(</w:t>
      </w:r>
      <w:r w:rsidRPr="005675B2">
        <w:rPr>
          <w:rFonts w:hint="cs"/>
          <w:rtl/>
        </w:rPr>
        <w:t>سورة الأنعام/76</w:t>
      </w:r>
      <w:r w:rsidR="000636C2">
        <w:rPr>
          <w:rFonts w:hint="cs"/>
          <w:rtl/>
        </w:rPr>
        <w:t>)</w:t>
      </w:r>
      <w:r w:rsidRPr="005675B2">
        <w:rPr>
          <w:rFonts w:hint="cs"/>
          <w:rtl/>
        </w:rPr>
        <w:t>، بيَّن به أن من حلّ به من المعاني ما يغيره من حال إلى حال كان محدَثا لا يصح أن يكون إلهًا" أهـ</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التبصير في الدين 97ـ98</w:t>
      </w:r>
      <w:r w:rsidRPr="005675B2">
        <w:rPr>
          <w:rFonts w:hint="cs"/>
          <w:rtl/>
        </w:rPr>
        <w:t>] فيكون بهذا ما توسع به ابن تيمية في كتبه من تجويز قيام الحوادث به تعالى</w:t>
      </w:r>
      <w:r w:rsidR="000636C2">
        <w:rPr>
          <w:rFonts w:hint="cs"/>
          <w:rtl/>
        </w:rPr>
        <w:t>،</w:t>
      </w:r>
      <w:r w:rsidRPr="005675B2">
        <w:rPr>
          <w:rFonts w:hint="cs"/>
          <w:rtl/>
        </w:rPr>
        <w:t>وحلولها فيه، خارجًا عن معتقد أهل السنة والجماعة، أهل الحق</w:t>
      </w:r>
      <w:r w:rsidR="000636C2">
        <w:rPr>
          <w:rFonts w:hint="cs"/>
          <w:rtl/>
        </w:rPr>
        <w:t>،</w:t>
      </w:r>
      <w:r w:rsidRPr="005675B2">
        <w:rPr>
          <w:rFonts w:hint="cs"/>
          <w:rtl/>
        </w:rPr>
        <w:t xml:space="preserve"> غفر الله لنا وله</w:t>
      </w:r>
      <w:r w:rsidR="000636C2">
        <w:rPr>
          <w:rFonts w:hint="cs"/>
          <w:rtl/>
        </w:rPr>
        <w:t>،</w:t>
      </w:r>
    </w:p>
    <w:p w14:paraId="69C1AB7F" w14:textId="5C0C26A4" w:rsidR="009C32A0" w:rsidRDefault="009C32A0" w:rsidP="000636C2">
      <w:pPr>
        <w:rPr>
          <w:b/>
          <w:bCs/>
          <w:sz w:val="24"/>
          <w:szCs w:val="24"/>
          <w:rtl/>
        </w:rPr>
      </w:pPr>
      <w:r w:rsidRPr="00637CA8">
        <w:rPr>
          <w:rFonts w:hint="cs"/>
          <w:bCs/>
          <w:kern w:val="36"/>
          <w:rtl/>
        </w:rPr>
        <w:t>المسألة الثالثة</w:t>
      </w:r>
      <w:r w:rsidR="000636C2">
        <w:rPr>
          <w:rFonts w:hint="cs"/>
          <w:bCs/>
          <w:kern w:val="36"/>
          <w:rtl/>
        </w:rPr>
        <w:t>:</w:t>
      </w:r>
      <w:r w:rsidRPr="00637CA8">
        <w:rPr>
          <w:rFonts w:hint="cs"/>
          <w:bCs/>
          <w:kern w:val="36"/>
          <w:rtl/>
        </w:rPr>
        <w:t xml:space="preserve"> الرد على ابن تيمية في قوله أن نوع العالم أزلي</w:t>
      </w:r>
      <w:r w:rsidR="000636C2">
        <w:rPr>
          <w:rFonts w:hint="cs"/>
          <w:kern w:val="36"/>
          <w:rtl/>
        </w:rPr>
        <w:t>:</w:t>
      </w:r>
      <w:r>
        <w:rPr>
          <w:rFonts w:hint="cs"/>
          <w:rtl/>
        </w:rPr>
        <w:t xml:space="preserve"> </w:t>
      </w:r>
      <w:r w:rsidR="000636C2">
        <w:rPr>
          <w:rFonts w:hint="cs"/>
          <w:rtl/>
        </w:rPr>
        <w:t>(</w:t>
      </w:r>
      <w:r>
        <w:rPr>
          <w:rFonts w:hint="cs"/>
          <w:rtl/>
        </w:rPr>
        <w:t>أولا</w:t>
      </w:r>
      <w:r w:rsidR="000636C2">
        <w:rPr>
          <w:rFonts w:hint="cs"/>
          <w:rtl/>
        </w:rPr>
        <w:t>):</w:t>
      </w:r>
      <w:r w:rsidRPr="005675B2">
        <w:rPr>
          <w:rFonts w:hint="cs"/>
          <w:rtl/>
        </w:rPr>
        <w:t xml:space="preserve"> راجع لفهم تفاصيل المسألة والتوسع فيها رد الإمام الأخميمي - رحمه الله ـ</w:t>
      </w:r>
      <w:r w:rsidR="000636C2">
        <w:rPr>
          <w:rFonts w:hint="cs"/>
          <w:rtl/>
        </w:rPr>
        <w:t xml:space="preserve"> </w:t>
      </w:r>
      <w:r w:rsidRPr="005675B2">
        <w:rPr>
          <w:rFonts w:hint="cs"/>
          <w:rtl/>
        </w:rPr>
        <w:t>- على ابن تيمية بتحقيق نفيس للشيخ سعيدالفودة للتوسع وبراءة الذمة</w:t>
      </w:r>
      <w:r w:rsidR="000636C2">
        <w:rPr>
          <w:rFonts w:hint="cs"/>
          <w:rtl/>
        </w:rPr>
        <w:t>،</w:t>
      </w:r>
      <w:r w:rsidRPr="005675B2">
        <w:rPr>
          <w:rFonts w:hint="cs"/>
          <w:rtl/>
        </w:rPr>
        <w:t xml:space="preserve"> وهو موجود في مكتبات العالم الإسلامي</w:t>
      </w:r>
      <w:r w:rsidR="000636C2">
        <w:rPr>
          <w:rFonts w:hint="cs"/>
          <w:rtl/>
        </w:rPr>
        <w:t>،</w:t>
      </w:r>
      <w:r w:rsidRPr="005675B2">
        <w:rPr>
          <w:rFonts w:hint="cs"/>
          <w:rtl/>
        </w:rPr>
        <w:t xml:space="preserve"> بل وموجود على شبكة النت</w:t>
      </w:r>
      <w:r w:rsidR="000636C2">
        <w:rPr>
          <w:rFonts w:hint="cs"/>
          <w:rtl/>
        </w:rPr>
        <w:t xml:space="preserve"> </w:t>
      </w:r>
      <w:r w:rsidRPr="005675B2">
        <w:rPr>
          <w:rFonts w:hint="cs"/>
          <w:rtl/>
        </w:rPr>
        <w:t>في موقع الإمام فخر الدين الرازي</w:t>
      </w:r>
      <w:r w:rsidR="000636C2">
        <w:rPr>
          <w:rFonts w:hint="cs"/>
          <w:rtl/>
        </w:rPr>
        <w:t>،</w:t>
      </w:r>
      <w:r>
        <w:rPr>
          <w:rFonts w:hint="cs"/>
          <w:kern w:val="36"/>
          <w:rtl/>
        </w:rPr>
        <w:t xml:space="preserve"> </w:t>
      </w:r>
      <w:r w:rsidR="000636C2">
        <w:rPr>
          <w:rFonts w:hint="cs"/>
          <w:rtl/>
        </w:rPr>
        <w:t>(</w:t>
      </w:r>
      <w:r>
        <w:rPr>
          <w:rFonts w:hint="cs"/>
          <w:rtl/>
        </w:rPr>
        <w:t>ثانيا</w:t>
      </w:r>
      <w:r w:rsidR="000636C2">
        <w:rPr>
          <w:rFonts w:hint="cs"/>
          <w:rtl/>
        </w:rPr>
        <w:t>):</w:t>
      </w:r>
      <w:r w:rsidRPr="005675B2">
        <w:rPr>
          <w:rFonts w:hint="cs"/>
          <w:rtl/>
        </w:rPr>
        <w:t xml:space="preserve"> قول ابن تيمية بحوادث لا أوّل لها لم تزل مع الله</w:t>
      </w:r>
      <w:r w:rsidR="000636C2">
        <w:rPr>
          <w:rFonts w:hint="cs"/>
          <w:rtl/>
        </w:rPr>
        <w:t>،</w:t>
      </w:r>
      <w:r w:rsidRPr="005675B2">
        <w:rPr>
          <w:rFonts w:hint="cs"/>
          <w:rtl/>
        </w:rPr>
        <w:t>أي أن كل فردمن أفراد الحوادث بعينه حادث مخلوق، وأما نوع</w:t>
      </w:r>
      <w:r w:rsidR="000636C2">
        <w:rPr>
          <w:rFonts w:hint="cs"/>
          <w:rtl/>
        </w:rPr>
        <w:t xml:space="preserve"> </w:t>
      </w:r>
      <w:r w:rsidRPr="005675B2">
        <w:rPr>
          <w:rFonts w:hint="cs"/>
          <w:rtl/>
        </w:rPr>
        <w:t xml:space="preserve">الحوادث فهو أزلي </w:t>
      </w:r>
      <w:r w:rsidR="000636C2">
        <w:rPr>
          <w:rFonts w:hint="cs"/>
          <w:rtl/>
        </w:rPr>
        <w:t>[</w:t>
      </w:r>
      <w:r w:rsidRPr="005675B2">
        <w:rPr>
          <w:rFonts w:hint="cs"/>
          <w:bCs/>
          <w:sz w:val="24"/>
          <w:szCs w:val="24"/>
          <w:rtl/>
        </w:rPr>
        <w:t>رأيت منافحات عن هذه المسألة</w:t>
      </w:r>
      <w:r w:rsidR="000636C2">
        <w:rPr>
          <w:rFonts w:hint="cs"/>
          <w:bCs/>
          <w:sz w:val="24"/>
          <w:szCs w:val="24"/>
          <w:rtl/>
        </w:rPr>
        <w:t xml:space="preserve"> </w:t>
      </w:r>
      <w:r w:rsidRPr="005675B2">
        <w:rPr>
          <w:rFonts w:hint="cs"/>
          <w:bCs/>
          <w:sz w:val="24"/>
          <w:szCs w:val="24"/>
          <w:rtl/>
        </w:rPr>
        <w:t>من بعض المتعصبين للإمام ابن تيمية من طلاب وطالبات العلم</w:t>
      </w:r>
      <w:r w:rsidR="000636C2">
        <w:rPr>
          <w:rFonts w:hint="cs"/>
          <w:bCs/>
          <w:sz w:val="24"/>
          <w:szCs w:val="24"/>
          <w:rtl/>
        </w:rPr>
        <w:t>،</w:t>
      </w:r>
      <w:r w:rsidRPr="005675B2">
        <w:rPr>
          <w:rFonts w:hint="cs"/>
          <w:bCs/>
          <w:sz w:val="24"/>
          <w:szCs w:val="24"/>
          <w:rtl/>
        </w:rPr>
        <w:t>ورأيت في كلامهم طرح عاطفي غير علمي وتشجيع لهذه المقالة الباطلة .كل ذلك للتعصب فقط وكأنهم تناسوا أن الأمر دين غفر الله لهم.وبعضهم كان همه أن يفرق بين قول الفلاسفة بقدم العالم وقول ابن تيمية بقدم النوع ولا شك في الفرق .ولا شك أيضاً أن كلا القولين بدعة عقدية فاسدة من تبناها أو رضي بها وسلم على إسلامه فهذه نعمة، أما خروجها</w:t>
      </w:r>
      <w:r w:rsidR="000636C2">
        <w:rPr>
          <w:rFonts w:hint="cs"/>
          <w:bCs/>
          <w:sz w:val="24"/>
          <w:szCs w:val="24"/>
          <w:rtl/>
        </w:rPr>
        <w:t xml:space="preserve"> </w:t>
      </w:r>
      <w:r w:rsidRPr="005675B2">
        <w:rPr>
          <w:rFonts w:hint="cs"/>
          <w:bCs/>
          <w:sz w:val="24"/>
          <w:szCs w:val="24"/>
          <w:rtl/>
        </w:rPr>
        <w:t>عن عقيدة أهل السنة والسلف فلا شك فيه.ولذا أنتقدها الألباني وغيره على ابن تيمية]</w:t>
      </w:r>
      <w:r w:rsidRPr="005675B2">
        <w:rPr>
          <w:rFonts w:hint="cs"/>
          <w:rtl/>
        </w:rPr>
        <w:t xml:space="preserve"> وهذه المسألة من أبشع المسائل الاعتقادية المنسوبة إلى الإمام تقي الدين ابن تيمية</w:t>
      </w:r>
      <w:r w:rsidR="000636C2">
        <w:rPr>
          <w:rFonts w:hint="cs"/>
          <w:rtl/>
        </w:rPr>
        <w:t>،</w:t>
      </w:r>
      <w:r w:rsidRPr="005675B2">
        <w:rPr>
          <w:rFonts w:hint="cs"/>
          <w:rtl/>
        </w:rPr>
        <w:t>خالف بها أدلة العقل</w:t>
      </w:r>
      <w:r w:rsidR="000636C2">
        <w:rPr>
          <w:rFonts w:hint="cs"/>
          <w:rtl/>
        </w:rPr>
        <w:t>،</w:t>
      </w:r>
      <w:r w:rsidRPr="005675B2">
        <w:rPr>
          <w:rFonts w:hint="cs"/>
          <w:rtl/>
        </w:rPr>
        <w:t>وصريح النقل</w:t>
      </w:r>
      <w:r w:rsidR="000636C2">
        <w:rPr>
          <w:rFonts w:hint="cs"/>
          <w:rtl/>
        </w:rPr>
        <w:t>،</w:t>
      </w:r>
      <w:r w:rsidRPr="005675B2">
        <w:rPr>
          <w:rFonts w:hint="cs"/>
          <w:rtl/>
        </w:rPr>
        <w:t>وإجماع المسلمين، ذكر هذه العقيدة في سبعة من كتبه</w:t>
      </w:r>
      <w:r w:rsidR="000636C2">
        <w:rPr>
          <w:rFonts w:hint="cs"/>
          <w:rtl/>
        </w:rPr>
        <w:t>:</w:t>
      </w:r>
      <w:r w:rsidRPr="005675B2">
        <w:rPr>
          <w:rFonts w:hint="cs"/>
          <w:rtl/>
        </w:rPr>
        <w:t xml:space="preserve"> موافقة صريح المعقول لصحيح المنقول، ومنهاج السنّة النبوية، وكتاب شرح حديث النزول، وكتاب شرح حديث عمران بن حصين، وكتاب نقد مراتب الإجماع [</w:t>
      </w:r>
      <w:r w:rsidRPr="005675B2">
        <w:rPr>
          <w:rFonts w:hint="cs"/>
          <w:bCs/>
          <w:sz w:val="24"/>
          <w:szCs w:val="24"/>
          <w:rtl/>
        </w:rPr>
        <w:t>المطبوع مع مراتب الإجماع ص304 . ط دار ابن حزم]</w:t>
      </w:r>
      <w:r w:rsidRPr="005675B2">
        <w:rPr>
          <w:rFonts w:hint="cs"/>
          <w:rtl/>
        </w:rPr>
        <w:t>، ومجموعة تفسير من ست سور، وكتابه الفتاوى، وكل هذه الكتب مطبوعة</w:t>
      </w:r>
      <w:r w:rsidR="000636C2">
        <w:rPr>
          <w:rFonts w:hint="cs"/>
          <w:rtl/>
        </w:rPr>
        <w:t>،</w:t>
      </w:r>
      <w:r w:rsidRPr="005675B2">
        <w:rPr>
          <w:rFonts w:hint="cs"/>
          <w:rtl/>
        </w:rPr>
        <w:t xml:space="preserve"> أمّا عبارته في الموافقة فهي ما نصّه</w:t>
      </w:r>
      <w:r w:rsidR="000636C2">
        <w:rPr>
          <w:rFonts w:hint="cs"/>
          <w:rtl/>
        </w:rPr>
        <w:t>:</w:t>
      </w:r>
      <w:r w:rsidRPr="005675B2">
        <w:rPr>
          <w:rFonts w:hint="cs"/>
          <w:rtl/>
        </w:rPr>
        <w:t xml:space="preserve"> "وأما أكثر أهل الحديث ومن وافقهم فإنهم لا يجعلون النوع حادثاً</w:t>
      </w:r>
      <w:r>
        <w:rPr>
          <w:rFonts w:hint="cs"/>
          <w:rtl/>
        </w:rPr>
        <w:t xml:space="preserve"> </w:t>
      </w:r>
      <w:r w:rsidRPr="005675B2">
        <w:rPr>
          <w:rFonts w:hint="cs"/>
          <w:rtl/>
        </w:rPr>
        <w:t>بل قديمًا، ويفرقون بين حدوث النوع وحدوث الفرد من أفراده</w:t>
      </w:r>
      <w:r w:rsidR="000636C2">
        <w:rPr>
          <w:rFonts w:hint="cs"/>
          <w:rtl/>
        </w:rPr>
        <w:t>،</w:t>
      </w:r>
      <w:r w:rsidRPr="005675B2">
        <w:rPr>
          <w:rFonts w:hint="cs"/>
          <w:rtl/>
        </w:rPr>
        <w:t>كما يفرق جمهور العقلاء بين دوام النوع</w:t>
      </w:r>
      <w:r>
        <w:rPr>
          <w:rFonts w:hint="cs"/>
          <w:rtl/>
        </w:rPr>
        <w:t xml:space="preserve"> </w:t>
      </w:r>
      <w:r w:rsidRPr="005675B2">
        <w:rPr>
          <w:rFonts w:hint="cs"/>
          <w:rtl/>
        </w:rPr>
        <w:t>ودوام الواحد من أعيانه "</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2/ 75</w:t>
      </w:r>
      <w:r w:rsidR="000636C2">
        <w:rPr>
          <w:rFonts w:hint="cs"/>
          <w:bCs/>
          <w:sz w:val="24"/>
          <w:szCs w:val="24"/>
          <w:rtl/>
        </w:rPr>
        <w:t>]</w:t>
      </w:r>
      <w:r w:rsidR="000636C2">
        <w:rPr>
          <w:rFonts w:hint="cs"/>
          <w:rtl/>
        </w:rPr>
        <w:t>،</w:t>
      </w:r>
      <w:r>
        <w:rPr>
          <w:rFonts w:hint="cs"/>
          <w:rtl/>
        </w:rPr>
        <w:t xml:space="preserve"> </w:t>
      </w:r>
      <w:r w:rsidRPr="005675B2">
        <w:rPr>
          <w:rFonts w:hint="cs"/>
          <w:rtl/>
        </w:rPr>
        <w:t>وقال في موضع آخر في ردّ قاعدة ما لا يخلو من الحادث حادث لأنه لو لم يكن كذلك لكان الحادث</w:t>
      </w:r>
      <w:r>
        <w:rPr>
          <w:rFonts w:hint="cs"/>
          <w:rtl/>
        </w:rPr>
        <w:t xml:space="preserve"> </w:t>
      </w:r>
      <w:r w:rsidRPr="005675B2">
        <w:rPr>
          <w:rFonts w:hint="cs"/>
          <w:rtl/>
        </w:rPr>
        <w:t>أزليًا بعدما نقل عن الأبهري أنه قال</w:t>
      </w:r>
      <w:r w:rsidR="000636C2">
        <w:rPr>
          <w:rFonts w:hint="cs"/>
          <w:rtl/>
        </w:rPr>
        <w:t>:</w:t>
      </w:r>
      <w:r w:rsidRPr="005675B2">
        <w:rPr>
          <w:rFonts w:hint="cs"/>
          <w:rtl/>
        </w:rPr>
        <w:t xml:space="preserve"> قلنا لا نسلم وإنما يلزم ذلك لو كان شيء من الحركات بعينها</w:t>
      </w:r>
      <w:r>
        <w:rPr>
          <w:rFonts w:hint="cs"/>
          <w:rtl/>
        </w:rPr>
        <w:t xml:space="preserve"> </w:t>
      </w:r>
      <w:r w:rsidRPr="005675B2">
        <w:rPr>
          <w:rFonts w:hint="cs"/>
          <w:rtl/>
        </w:rPr>
        <w:t xml:space="preserve">لازمًا للجسم، وليس كذلك بل قبل </w:t>
      </w:r>
      <w:r w:rsidRPr="005675B2">
        <w:rPr>
          <w:rFonts w:hint="cs"/>
          <w:u w:val="single"/>
          <w:rtl/>
        </w:rPr>
        <w:t>كل حركة حركة لا إلى أول</w:t>
      </w:r>
      <w:r w:rsidRPr="005675B2">
        <w:rPr>
          <w:rFonts w:hint="cs"/>
          <w:rtl/>
        </w:rPr>
        <w:t>، ما نصه</w:t>
      </w:r>
      <w:r w:rsidR="000636C2">
        <w:rPr>
          <w:rFonts w:hint="cs"/>
          <w:rtl/>
        </w:rPr>
        <w:t>:</w:t>
      </w:r>
      <w:r w:rsidRPr="005675B2">
        <w:rPr>
          <w:rFonts w:hint="cs"/>
          <w:rtl/>
        </w:rPr>
        <w:t xml:space="preserve"> "قلت هذا من نمط الذي قبله </w:t>
      </w:r>
      <w:r w:rsidRPr="005675B2">
        <w:rPr>
          <w:rFonts w:hint="cs"/>
          <w:u w:val="single"/>
          <w:rtl/>
        </w:rPr>
        <w:t>فإن الأزلي اللازم هو نوع الحادث لا عين الحادث</w:t>
      </w:r>
      <w:r w:rsidRPr="005675B2">
        <w:rPr>
          <w:rFonts w:hint="cs"/>
          <w:rtl/>
        </w:rPr>
        <w:t>، قوله لو كانت حادثة في الأزل لكان الحادث اليومي موقوفا على انقضاء ما لا نهاية له، قلنا</w:t>
      </w:r>
      <w:r w:rsidR="000636C2">
        <w:rPr>
          <w:rFonts w:hint="cs"/>
          <w:rtl/>
        </w:rPr>
        <w:t>:</w:t>
      </w:r>
      <w:r w:rsidRPr="005675B2">
        <w:rPr>
          <w:rFonts w:hint="cs"/>
          <w:rtl/>
        </w:rPr>
        <w:t xml:space="preserve"> لا نسلم بل يكون الحادث اليومي مسبوقًا بحوادث لا أول لها"</w:t>
      </w:r>
      <w:r w:rsidR="000636C2">
        <w:rPr>
          <w:rFonts w:hint="cs"/>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انظر الموافقة (1/ 245)]</w:t>
      </w:r>
      <w:r w:rsidRPr="005675B2">
        <w:rPr>
          <w:rFonts w:hint="cs"/>
          <w:rtl/>
        </w:rPr>
        <w:t>ويقول فيها أيضا ما نصه</w:t>
      </w:r>
      <w:r w:rsidR="000636C2">
        <w:rPr>
          <w:rFonts w:hint="cs"/>
          <w:rtl/>
        </w:rPr>
        <w:t>:</w:t>
      </w:r>
      <w:r w:rsidRPr="005675B2">
        <w:rPr>
          <w:rFonts w:hint="cs"/>
          <w:rtl/>
        </w:rPr>
        <w:t xml:space="preserve"> ”فمن أين في القرآن ما يدل دلالة ظاهرة على أن كل متحرك محدث أو ممكن، وأن الحركة لا تقوم إلا بحادث أو ممكن، وأن ما قامت به الحوادث لم يخل منها، وأن ما لا يخلو من الحوادث فهو حادث، </w:t>
      </w:r>
      <w:r w:rsidRPr="005675B2">
        <w:rPr>
          <w:rFonts w:hint="cs"/>
          <w:u w:val="single"/>
          <w:rtl/>
        </w:rPr>
        <w:t>وأين في القرآن امتناع حوادث لا أول لها"</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انظر الموافقة (1/ 64)]</w:t>
      </w:r>
      <w:r w:rsidRPr="005675B2">
        <w:rPr>
          <w:rFonts w:hint="cs"/>
          <w:rtl/>
        </w:rPr>
        <w:t xml:space="preserve"> فهذا من عجائب ابن تيمية الدالّة على قوله بقدم العالم -</w:t>
      </w:r>
      <w:r w:rsidR="000636C2">
        <w:rPr>
          <w:rFonts w:hint="cs"/>
          <w:rtl/>
        </w:rPr>
        <w:t xml:space="preserve"> </w:t>
      </w:r>
      <w:r w:rsidRPr="005675B2">
        <w:rPr>
          <w:rFonts w:hint="cs"/>
          <w:rtl/>
        </w:rPr>
        <w:t>القدم النوعي - مع حدوث كل فرد معين من أفراد العالم</w:t>
      </w:r>
      <w:r w:rsidR="000636C2">
        <w:rPr>
          <w:rFonts w:hint="cs"/>
          <w:rtl/>
        </w:rPr>
        <w:t>،</w:t>
      </w:r>
      <w:r w:rsidRPr="005675B2">
        <w:rPr>
          <w:rFonts w:hint="cs"/>
          <w:rtl/>
        </w:rPr>
        <w:t xml:space="preserve"> وقال في موضع آخر ما نصّه</w:t>
      </w:r>
      <w:r w:rsidR="000636C2">
        <w:rPr>
          <w:rFonts w:hint="cs"/>
          <w:rtl/>
        </w:rPr>
        <w:t>:</w:t>
      </w:r>
      <w:r w:rsidRPr="005675B2">
        <w:rPr>
          <w:rFonts w:hint="cs"/>
          <w:rtl/>
        </w:rPr>
        <w:t xml:space="preserve"> "وحينئذٍ فيمتنع كون شيء من العالم أزليًا وإن جاز أن </w:t>
      </w:r>
      <w:r w:rsidRPr="005675B2">
        <w:rPr>
          <w:rFonts w:hint="cs"/>
          <w:u w:val="single"/>
          <w:rtl/>
        </w:rPr>
        <w:t>يكون نوع الحوادث دائمًا لم يزل،</w:t>
      </w:r>
      <w:r w:rsidRPr="005675B2">
        <w:rPr>
          <w:rFonts w:hint="cs"/>
          <w:rtl/>
        </w:rPr>
        <w:t xml:space="preserve"> فإن الأزل ليس هو عبارة عن شيء محدد، بل ما من وقت يقدر إلا وقبله وقت</w:t>
      </w:r>
      <w:r w:rsidR="000636C2">
        <w:rPr>
          <w:rFonts w:hint="cs"/>
          <w:rtl/>
        </w:rPr>
        <w:t xml:space="preserve"> </w:t>
      </w:r>
      <w:r w:rsidRPr="005675B2">
        <w:rPr>
          <w:rFonts w:hint="cs"/>
          <w:rtl/>
        </w:rPr>
        <w:t>آ خر، فلا يلزم من دوام النوع قدم شيء بعينه [</w:t>
      </w:r>
      <w:r w:rsidRPr="005675B2">
        <w:rPr>
          <w:rFonts w:hint="cs"/>
          <w:bCs/>
          <w:sz w:val="24"/>
          <w:szCs w:val="24"/>
          <w:rtl/>
        </w:rPr>
        <w:t>انظر المنهاج (1/ 109).</w:t>
      </w:r>
      <w:r w:rsidR="000636C2">
        <w:rPr>
          <w:rFonts w:hint="cs"/>
          <w:bCs/>
          <w:sz w:val="24"/>
          <w:szCs w:val="24"/>
          <w:rtl/>
        </w:rPr>
        <w:t>]</w:t>
      </w:r>
      <w:r w:rsidRPr="005675B2">
        <w:rPr>
          <w:rFonts w:hint="cs"/>
          <w:rtl/>
        </w:rPr>
        <w:t xml:space="preserve"> أهـ</w:t>
      </w:r>
      <w:r w:rsidR="000636C2">
        <w:rPr>
          <w:rFonts w:hint="cs"/>
          <w:rtl/>
        </w:rPr>
        <w:t>،</w:t>
      </w:r>
      <w:r w:rsidRPr="005675B2">
        <w:rPr>
          <w:rFonts w:hint="cs"/>
          <w:rtl/>
        </w:rPr>
        <w:t xml:space="preserve"> [</w:t>
      </w:r>
      <w:r w:rsidRPr="005675B2">
        <w:rPr>
          <w:rFonts w:hint="cs"/>
          <w:bCs/>
          <w:sz w:val="24"/>
          <w:szCs w:val="24"/>
          <w:rtl/>
        </w:rPr>
        <w:t>وقال في موضع ءاخر من المنهاج 1/ 224 . ما نصه: "ومنهم من يقول بمشيئته وقدرته- أي أن فعل الله بمشيئته وقدرته- شيئا فشيئا، لكنه لم يزل متصفا به فهو حادث الآحاد قديم النوع كما يقول ذلك من يقوله من أئمة أصحاب الحديث وغيرهم من أصحاب الشافعي وأحمد وسائر الطوائف ا.هـ. فانظروا كيف نسب</w:t>
      </w:r>
      <w:r w:rsidR="000636C2">
        <w:rPr>
          <w:rFonts w:hint="cs"/>
          <w:bCs/>
          <w:sz w:val="24"/>
          <w:szCs w:val="24"/>
          <w:rtl/>
        </w:rPr>
        <w:t xml:space="preserve"> </w:t>
      </w:r>
      <w:r w:rsidRPr="005675B2">
        <w:rPr>
          <w:rFonts w:hint="cs"/>
          <w:bCs/>
          <w:sz w:val="24"/>
          <w:szCs w:val="24"/>
          <w:rtl/>
        </w:rPr>
        <w:t>هذه المقولة</w:t>
      </w:r>
      <w:r w:rsidR="000636C2">
        <w:rPr>
          <w:rFonts w:hint="cs"/>
          <w:bCs/>
          <w:sz w:val="24"/>
          <w:szCs w:val="24"/>
          <w:rtl/>
        </w:rPr>
        <w:t xml:space="preserve"> </w:t>
      </w:r>
      <w:r w:rsidRPr="005675B2">
        <w:rPr>
          <w:rFonts w:hint="cs"/>
          <w:bCs/>
          <w:sz w:val="24"/>
          <w:szCs w:val="24"/>
          <w:rtl/>
        </w:rPr>
        <w:t xml:space="preserve">على أئمة الحديث، وهذا شيء انفرد به ووافق به متأخري الفلاسفةو هذا لايروج حتى </w:t>
      </w:r>
      <w:r w:rsidRPr="005675B2">
        <w:rPr>
          <w:rFonts w:hint="cs"/>
          <w:bCs/>
          <w:sz w:val="24"/>
          <w:szCs w:val="24"/>
          <w:rtl/>
        </w:rPr>
        <w:br/>
        <w:t>وقد ردّ ابن تيمية على ابن حزم في نقد مراتب الإجماع ص/ 168</w:t>
      </w:r>
      <w:r w:rsidR="000636C2">
        <w:rPr>
          <w:rFonts w:hint="cs"/>
          <w:bCs/>
          <w:sz w:val="24"/>
          <w:szCs w:val="24"/>
          <w:rtl/>
        </w:rPr>
        <w:t xml:space="preserve">، </w:t>
      </w:r>
      <w:r w:rsidRPr="005675B2">
        <w:rPr>
          <w:rFonts w:hint="cs"/>
          <w:bCs/>
          <w:sz w:val="24"/>
          <w:szCs w:val="24"/>
          <w:rtl/>
        </w:rPr>
        <w:t>لنقله الإجماع على أن الله لـم يزل وحده ولا شيء غيره معه، وأن المخالف بذلك كافر باتفاق المسلمين، فقال ابن تيمية بعد كلام ما نصه: "وأعجب من ذلك حكايته الإجماع على كفر من نازع أنه سبحانه لم يزل وحده ولا شيء غيره معه ". ا.هـ. وعبارته هذه صريحة في اعتقاده أن جنس العالم أزلي مع الله</w:t>
      </w:r>
      <w:r w:rsidR="000636C2">
        <w:rPr>
          <w:rFonts w:hint="cs"/>
          <w:bCs/>
          <w:sz w:val="24"/>
          <w:szCs w:val="24"/>
          <w:rtl/>
        </w:rPr>
        <w:t>]</w:t>
      </w:r>
    </w:p>
    <w:p w14:paraId="45DD131C" w14:textId="5250DE27" w:rsidR="009C32A0" w:rsidRPr="005675B2" w:rsidRDefault="009C32A0" w:rsidP="000636C2">
      <w:pPr>
        <w:rPr>
          <w:b/>
          <w:rtl/>
        </w:rPr>
      </w:pPr>
      <w:r w:rsidRPr="00637CA8">
        <w:rPr>
          <w:rFonts w:hint="cs"/>
          <w:bCs/>
          <w:rtl/>
        </w:rPr>
        <w:t>أقوال الحنابلة في المسألة</w:t>
      </w:r>
      <w:r w:rsidR="000636C2">
        <w:rPr>
          <w:rFonts w:hint="cs"/>
          <w:bCs/>
          <w:rtl/>
        </w:rPr>
        <w:t>:</w:t>
      </w:r>
      <w:r>
        <w:rPr>
          <w:rFonts w:hint="cs"/>
          <w:bCs/>
          <w:rtl/>
        </w:rPr>
        <w:t xml:space="preserve"> </w:t>
      </w:r>
      <w:r w:rsidRPr="005675B2">
        <w:rPr>
          <w:rFonts w:hint="cs"/>
          <w:rtl/>
        </w:rPr>
        <w:t>1</w:t>
      </w:r>
      <w:r w:rsidR="000636C2">
        <w:rPr>
          <w:rFonts w:hint="cs"/>
          <w:rtl/>
        </w:rPr>
        <w:t xml:space="preserve"> </w:t>
      </w:r>
      <w:r w:rsidRPr="005675B2">
        <w:rPr>
          <w:rFonts w:hint="cs"/>
          <w:rtl/>
        </w:rPr>
        <w:t>- قال القاضي</w:t>
      </w:r>
      <w:r w:rsidR="000636C2">
        <w:rPr>
          <w:rFonts w:hint="cs"/>
          <w:rtl/>
        </w:rPr>
        <w:t xml:space="preserve"> </w:t>
      </w:r>
      <w:r w:rsidRPr="005675B2">
        <w:rPr>
          <w:rFonts w:hint="cs"/>
          <w:rtl/>
        </w:rPr>
        <w:t>أبو يعلى الحنبلي في "المعتمد"</w:t>
      </w:r>
      <w:r w:rsidR="000636C2">
        <w:rPr>
          <w:rFonts w:hint="cs"/>
          <w:rtl/>
        </w:rPr>
        <w:t>:</w:t>
      </w:r>
      <w:r w:rsidRPr="005675B2">
        <w:rPr>
          <w:rFonts w:hint="cs"/>
          <w:rtl/>
        </w:rPr>
        <w:t xml:space="preserve"> والحوادث لها أول ابتدأت منه خلافاًللملحدة</w:t>
      </w:r>
      <w:r w:rsidR="000636C2">
        <w:rPr>
          <w:rFonts w:hint="cs"/>
          <w:rtl/>
        </w:rPr>
        <w:t>،</w:t>
      </w:r>
      <w:r w:rsidRPr="005675B2">
        <w:rPr>
          <w:rFonts w:hint="cs"/>
          <w:rtl/>
        </w:rPr>
        <w:t xml:space="preserve"> أ هـ</w:t>
      </w:r>
      <w:r w:rsidR="000636C2">
        <w:rPr>
          <w:rFonts w:hint="cs"/>
          <w:rtl/>
        </w:rPr>
        <w:t>،</w:t>
      </w:r>
      <w:r>
        <w:rPr>
          <w:rFonts w:hint="cs"/>
          <w:rtl/>
        </w:rPr>
        <w:t xml:space="preserve"> </w:t>
      </w:r>
      <w:r w:rsidRPr="005675B2">
        <w:rPr>
          <w:rFonts w:hint="cs"/>
          <w:rtl/>
        </w:rPr>
        <w:t>2</w:t>
      </w:r>
      <w:r w:rsidR="000636C2">
        <w:rPr>
          <w:rFonts w:hint="cs"/>
          <w:rtl/>
        </w:rPr>
        <w:t xml:space="preserve"> </w:t>
      </w:r>
      <w:r w:rsidRPr="005675B2">
        <w:rPr>
          <w:rFonts w:hint="cs"/>
          <w:rtl/>
        </w:rPr>
        <w:t>- وقال ابن حمدان رحمه الله</w:t>
      </w:r>
      <w:r w:rsidR="000636C2">
        <w:rPr>
          <w:rFonts w:hint="cs"/>
          <w:rtl/>
        </w:rPr>
        <w:t>:</w:t>
      </w:r>
      <w:r w:rsidRPr="005675B2">
        <w:rPr>
          <w:rFonts w:hint="cs"/>
          <w:rtl/>
        </w:rPr>
        <w:t xml:space="preserve"> </w:t>
      </w:r>
      <w:r w:rsidRPr="005675B2">
        <w:rPr>
          <w:rFonts w:hint="cs"/>
          <w:u w:val="single"/>
          <w:rtl/>
        </w:rPr>
        <w:t>كل شيء سوى الله وصفاته حادث</w:t>
      </w:r>
      <w:r w:rsidR="000636C2">
        <w:rPr>
          <w:rFonts w:hint="cs"/>
          <w:rtl/>
        </w:rPr>
        <w:t>،</w:t>
      </w:r>
      <w:r w:rsidRPr="005675B2">
        <w:rPr>
          <w:rFonts w:hint="cs"/>
          <w:rtl/>
        </w:rPr>
        <w:t xml:space="preserve"> [</w:t>
      </w:r>
      <w:r w:rsidRPr="005675B2">
        <w:rPr>
          <w:rFonts w:hint="cs"/>
          <w:bCs/>
          <w:sz w:val="24"/>
          <w:szCs w:val="24"/>
          <w:rtl/>
        </w:rPr>
        <w:t>نهاية المبتدئين ص40</w:t>
      </w:r>
      <w:r w:rsidRPr="005675B2">
        <w:rPr>
          <w:rFonts w:hint="cs"/>
          <w:rtl/>
        </w:rPr>
        <w:t>]</w:t>
      </w:r>
      <w:r w:rsidR="000636C2">
        <w:rPr>
          <w:rFonts w:hint="cs"/>
          <w:rtl/>
        </w:rPr>
        <w:t>،</w:t>
      </w:r>
      <w:r>
        <w:rPr>
          <w:rFonts w:hint="cs"/>
          <w:rtl/>
        </w:rPr>
        <w:t xml:space="preserve"> </w:t>
      </w:r>
      <w:r w:rsidRPr="005675B2">
        <w:rPr>
          <w:rFonts w:hint="cs"/>
          <w:rtl/>
        </w:rPr>
        <w:t>قال الحافظ ابن حجر العسقلاني في فتح الباري</w:t>
      </w:r>
      <w:r w:rsidR="000636C2">
        <w:rPr>
          <w:rFonts w:hint="cs"/>
          <w:rtl/>
        </w:rPr>
        <w:t>(</w:t>
      </w:r>
      <w:r w:rsidRPr="005675B2">
        <w:rPr>
          <w:rFonts w:hint="cs"/>
          <w:rtl/>
        </w:rPr>
        <w:t>21</w:t>
      </w:r>
      <w:r w:rsidR="000636C2">
        <w:rPr>
          <w:rFonts w:hint="cs"/>
          <w:rtl/>
        </w:rPr>
        <w:t>)</w:t>
      </w:r>
      <w:r w:rsidRPr="005675B2">
        <w:rPr>
          <w:rFonts w:hint="cs"/>
          <w:rtl/>
        </w:rPr>
        <w:t xml:space="preserve"> ما نصه</w:t>
      </w:r>
      <w:r w:rsidR="000636C2">
        <w:rPr>
          <w:rFonts w:hint="cs"/>
          <w:rtl/>
        </w:rPr>
        <w:t>:</w:t>
      </w:r>
      <w:r w:rsidRPr="005675B2">
        <w:rPr>
          <w:rFonts w:hint="cs"/>
          <w:rtl/>
        </w:rPr>
        <w:t xml:space="preserve"> "قال شيخنا - يعني العراقي - في شرح الترمذي</w:t>
      </w:r>
      <w:r w:rsidR="000636C2">
        <w:rPr>
          <w:rFonts w:hint="cs"/>
          <w:rtl/>
        </w:rPr>
        <w:t>:</w:t>
      </w:r>
      <w:r w:rsidRPr="005675B2">
        <w:rPr>
          <w:rFonts w:hint="cs"/>
          <w:rtl/>
        </w:rPr>
        <w:t xml:space="preserve"> الصحيح في تكفير منكر الإجماع تقييده بإنكار ما يعلم وجوبه من الدين بالضرورة كالصلوات الخمس، ومنهم من عبر بإنكار ما علم وجوبه بالتواتر، ومنه القول بحدوث العالم، وقد حكى القاضي عياض </w:t>
      </w:r>
      <w:r w:rsidRPr="005675B2">
        <w:rPr>
          <w:rFonts w:hint="cs"/>
          <w:u w:val="single"/>
          <w:rtl/>
        </w:rPr>
        <w:t>وغيره الإجماع على تكفير من يقول بقدم العالم</w:t>
      </w:r>
      <w:r w:rsidRPr="005675B2">
        <w:rPr>
          <w:rFonts w:hint="cs"/>
          <w:rtl/>
        </w:rPr>
        <w:t>، وقال ابن دقيق العيد</w:t>
      </w:r>
      <w:r w:rsidR="000636C2">
        <w:rPr>
          <w:rFonts w:hint="cs"/>
          <w:rtl/>
        </w:rPr>
        <w:t>:</w:t>
      </w:r>
      <w:r w:rsidRPr="005675B2">
        <w:rPr>
          <w:rFonts w:hint="cs"/>
          <w:rtl/>
        </w:rPr>
        <w:t xml:space="preserve"> وقع هنا من يدّعي الحذق في المعقولات ويميل إلى الفلسفة فظن أن المخالف في حدوث العالم لا يكفر لأنه من قبيل مخالفة الإجماع، وتمسك بقولنا</w:t>
      </w:r>
      <w:r w:rsidR="000636C2">
        <w:rPr>
          <w:rFonts w:hint="cs"/>
          <w:rtl/>
        </w:rPr>
        <w:t>:</w:t>
      </w:r>
      <w:r w:rsidRPr="005675B2">
        <w:rPr>
          <w:rFonts w:hint="cs"/>
          <w:rtl/>
        </w:rPr>
        <w:t xml:space="preserve"> إن منكر الإجماع لا يكفر على الإطلاق حتى يثبت النقل بذلك متواترًا عن صاحب الشرع، قال</w:t>
      </w:r>
      <w:r w:rsidR="000636C2">
        <w:rPr>
          <w:rFonts w:hint="cs"/>
          <w:rtl/>
        </w:rPr>
        <w:t>:</w:t>
      </w:r>
      <w:r w:rsidRPr="005675B2">
        <w:rPr>
          <w:rFonts w:hint="cs"/>
          <w:rtl/>
        </w:rPr>
        <w:t xml:space="preserve"> وهو تمسك ساقط إما عن عمى في البصيرة أو تعام، لأن حدوث العالم من قبيل ما اجتمع فيه الإجماع والتواتر بالنقل " أهـ</w:t>
      </w:r>
      <w:r w:rsidR="000636C2">
        <w:rPr>
          <w:rFonts w:hint="cs"/>
          <w:rtl/>
        </w:rPr>
        <w:t>،</w:t>
      </w:r>
      <w:r w:rsidRPr="005675B2">
        <w:rPr>
          <w:rFonts w:hint="cs"/>
          <w:rtl/>
        </w:rPr>
        <w:t xml:space="preserve"> [</w:t>
      </w:r>
      <w:r w:rsidRPr="005675B2">
        <w:rPr>
          <w:rFonts w:hint="cs"/>
          <w:bCs/>
          <w:sz w:val="24"/>
          <w:szCs w:val="24"/>
          <w:rtl/>
        </w:rPr>
        <w:t>فتح الباري (12/ 252)]</w:t>
      </w:r>
      <w:r w:rsidRPr="005675B2">
        <w:rPr>
          <w:rFonts w:hint="cs"/>
          <w:rtl/>
        </w:rPr>
        <w:t>وقال السبكي في شرح عقيدة ابن الحاجب</w:t>
      </w:r>
      <w:r w:rsidR="000636C2">
        <w:rPr>
          <w:rFonts w:hint="cs"/>
          <w:rtl/>
        </w:rPr>
        <w:t>:</w:t>
      </w:r>
      <w:r w:rsidRPr="005675B2">
        <w:rPr>
          <w:rFonts w:hint="cs"/>
          <w:rtl/>
        </w:rPr>
        <w:t xml:space="preserve"> اعلم أن حكم الجواهر والأعراض كلها الحدوث، فإذًا العالم كله حادث، وعلى هذا إجماع المسلمين بل وكل الملل، ومن خالف في ذلك فهو كافر لمخالفة الإجماع القطعي"أه-، [</w:t>
      </w:r>
      <w:r w:rsidRPr="005675B2">
        <w:rPr>
          <w:rFonts w:hint="cs"/>
          <w:bCs/>
          <w:sz w:val="24"/>
          <w:szCs w:val="24"/>
          <w:rtl/>
        </w:rPr>
        <w:t>إتحاف السادة المتقين (2/ 94)</w:t>
      </w:r>
      <w:r w:rsidRPr="005675B2">
        <w:rPr>
          <w:rFonts w:hint="cs"/>
          <w:rtl/>
        </w:rPr>
        <w:t>] فقول ابن تيمية رحمه الله تعالى</w:t>
      </w:r>
      <w:r w:rsidR="000636C2">
        <w:rPr>
          <w:rFonts w:hint="cs"/>
          <w:rtl/>
        </w:rPr>
        <w:t xml:space="preserve"> </w:t>
      </w:r>
      <w:r w:rsidRPr="005675B2">
        <w:rPr>
          <w:rFonts w:hint="cs"/>
          <w:rtl/>
        </w:rPr>
        <w:t>بأزلية نوع العالم مخالف للقرآن والحديث الصريح وإجماع الأمة وقضية العقل</w:t>
      </w:r>
      <w:r w:rsidR="000636C2">
        <w:rPr>
          <w:rFonts w:hint="cs"/>
          <w:rtl/>
        </w:rPr>
        <w:t>،</w:t>
      </w:r>
      <w:r>
        <w:rPr>
          <w:rFonts w:hint="cs"/>
          <w:rtl/>
        </w:rPr>
        <w:t xml:space="preserve"> </w:t>
      </w:r>
      <w:r w:rsidRPr="005675B2">
        <w:rPr>
          <w:rFonts w:hint="cs"/>
          <w:rtl/>
        </w:rPr>
        <w:t>أمّا القرآن فقوله تعالى</w:t>
      </w:r>
      <w:r w:rsidR="000636C2">
        <w:rPr>
          <w:rFonts w:hint="cs"/>
          <w:rtl/>
        </w:rPr>
        <w:t>:</w:t>
      </w:r>
      <w:r w:rsidRPr="005675B2">
        <w:rPr>
          <w:rFonts w:hint="cs"/>
          <w:rtl/>
        </w:rPr>
        <w:t xml:space="preserve"> </w:t>
      </w:r>
      <w:r w:rsidR="000636C2">
        <w:rPr>
          <w:rFonts w:hint="cs"/>
          <w:rtl/>
        </w:rPr>
        <w:t>(</w:t>
      </w:r>
      <w:r w:rsidRPr="005675B2">
        <w:rPr>
          <w:rFonts w:hint="cs"/>
          <w:rtl/>
        </w:rPr>
        <w:t>هؤ الأوَّلُ والآخر</w:t>
      </w:r>
      <w:r w:rsidR="000636C2">
        <w:rPr>
          <w:rFonts w:hint="cs"/>
          <w:rtl/>
        </w:rPr>
        <w:t>)(</w:t>
      </w:r>
      <w:r w:rsidRPr="005675B2">
        <w:rPr>
          <w:rFonts w:hint="cs"/>
          <w:rtl/>
        </w:rPr>
        <w:t>سورة الحديد/3</w:t>
      </w:r>
      <w:r w:rsidR="000636C2">
        <w:rPr>
          <w:rFonts w:hint="cs"/>
          <w:rtl/>
        </w:rPr>
        <w:t>)</w:t>
      </w:r>
      <w:r w:rsidRPr="005675B2">
        <w:rPr>
          <w:rFonts w:hint="cs"/>
          <w:rtl/>
        </w:rPr>
        <w:t>، فليس معنى هو الأول إلا أنه هو الأزلي الذي لا أزلي سواه أي أن الأولية المطلقة لله فقط لا تكون لغيره</w:t>
      </w:r>
      <w:r w:rsidR="000636C2">
        <w:rPr>
          <w:rFonts w:hint="cs"/>
          <w:rtl/>
        </w:rPr>
        <w:t>،</w:t>
      </w:r>
      <w:r>
        <w:rPr>
          <w:rFonts w:hint="cs"/>
          <w:rtl/>
        </w:rPr>
        <w:t xml:space="preserve"> </w:t>
      </w:r>
      <w:r w:rsidRPr="005675B2">
        <w:rPr>
          <w:rFonts w:hint="cs"/>
          <w:rtl/>
        </w:rPr>
        <w:t>وأما الحديث فقوله صلّى الله عليه وسلّم الذي رواه البخاري</w:t>
      </w:r>
      <w:r w:rsidR="000636C2">
        <w:rPr>
          <w:rFonts w:hint="cs"/>
          <w:rtl/>
        </w:rPr>
        <w:t xml:space="preserve"> </w:t>
      </w:r>
      <w:r w:rsidRPr="005675B2">
        <w:rPr>
          <w:rFonts w:hint="cs"/>
          <w:rtl/>
        </w:rPr>
        <w:t>في كتاب بدء الخلق وغيرُه</w:t>
      </w:r>
      <w:r w:rsidR="000636C2">
        <w:rPr>
          <w:rFonts w:hint="cs"/>
          <w:rtl/>
        </w:rPr>
        <w:t>:</w:t>
      </w:r>
      <w:r w:rsidRPr="005675B2">
        <w:rPr>
          <w:rFonts w:hint="cs"/>
          <w:rtl/>
        </w:rPr>
        <w:t xml:space="preserve"> "كان الله</w:t>
      </w:r>
      <w:r w:rsidR="000636C2">
        <w:rPr>
          <w:rFonts w:hint="cs"/>
          <w:rtl/>
        </w:rPr>
        <w:t>،</w:t>
      </w:r>
      <w:r>
        <w:rPr>
          <w:rFonts w:hint="cs"/>
          <w:rtl/>
        </w:rPr>
        <w:t xml:space="preserve"> </w:t>
      </w:r>
      <w:r w:rsidRPr="005675B2">
        <w:rPr>
          <w:rFonts w:hint="cs"/>
          <w:rtl/>
        </w:rPr>
        <w:t>ولم يكن شيء غيره" الذي توافقه الرواية الأخرى رواية أبي معاوية</w:t>
      </w:r>
      <w:r w:rsidR="000636C2">
        <w:rPr>
          <w:rFonts w:hint="cs"/>
          <w:rtl/>
        </w:rPr>
        <w:t>:</w:t>
      </w:r>
      <w:r w:rsidRPr="005675B2">
        <w:rPr>
          <w:rFonts w:hint="cs"/>
          <w:rtl/>
        </w:rPr>
        <w:t xml:space="preserve"> </w:t>
      </w:r>
      <w:r w:rsidR="000636C2">
        <w:rPr>
          <w:rFonts w:hint="cs"/>
          <w:rtl/>
        </w:rPr>
        <w:t>(</w:t>
      </w:r>
      <w:r w:rsidRPr="005675B2">
        <w:rPr>
          <w:rFonts w:hint="cs"/>
          <w:rtl/>
        </w:rPr>
        <w:t>كان الله قبل كُلِّ شيء</w:t>
      </w:r>
      <w:r w:rsidR="000636C2">
        <w:rPr>
          <w:rFonts w:hint="cs"/>
          <w:rtl/>
        </w:rPr>
        <w:t xml:space="preserve">) </w:t>
      </w:r>
      <w:r w:rsidRPr="005675B2">
        <w:rPr>
          <w:rFonts w:hint="cs"/>
          <w:rtl/>
        </w:rPr>
        <w:t>, ورواية</w:t>
      </w:r>
      <w:r w:rsidR="000636C2">
        <w:rPr>
          <w:rFonts w:hint="cs"/>
          <w:rtl/>
        </w:rPr>
        <w:t>:</w:t>
      </w:r>
      <w:r w:rsidRPr="005675B2">
        <w:rPr>
          <w:rFonts w:hint="cs"/>
          <w:rtl/>
        </w:rPr>
        <w:t xml:space="preserve"> </w:t>
      </w:r>
      <w:r w:rsidR="000636C2">
        <w:rPr>
          <w:rFonts w:hint="cs"/>
          <w:rtl/>
        </w:rPr>
        <w:t>(</w:t>
      </w:r>
      <w:r w:rsidRPr="005675B2">
        <w:rPr>
          <w:rFonts w:hint="cs"/>
          <w:rtl/>
        </w:rPr>
        <w:t>كان الله ولم يكن معه شيء</w:t>
      </w:r>
      <w:r w:rsidR="000636C2">
        <w:rPr>
          <w:rFonts w:hint="cs"/>
          <w:rtl/>
        </w:rPr>
        <w:t>)،</w:t>
      </w:r>
      <w:r w:rsidRPr="005675B2">
        <w:rPr>
          <w:rFonts w:hint="cs"/>
          <w:rtl/>
        </w:rPr>
        <w:t xml:space="preserve"> ولا يجوز ترجيح رواية</w:t>
      </w:r>
      <w:r w:rsidR="000636C2">
        <w:rPr>
          <w:rFonts w:hint="cs"/>
          <w:rtl/>
        </w:rPr>
        <w:t>:</w:t>
      </w:r>
      <w:r w:rsidRPr="005675B2">
        <w:rPr>
          <w:rFonts w:hint="cs"/>
          <w:rtl/>
        </w:rPr>
        <w:t xml:space="preserve"> </w:t>
      </w:r>
      <w:r w:rsidR="000636C2">
        <w:rPr>
          <w:rFonts w:hint="cs"/>
          <w:rtl/>
        </w:rPr>
        <w:t>(</w:t>
      </w:r>
      <w:r w:rsidRPr="005675B2">
        <w:rPr>
          <w:rFonts w:hint="cs"/>
          <w:rtl/>
        </w:rPr>
        <w:t>كان الله ولم يكن شيء قبله" على رواية</w:t>
      </w:r>
      <w:r w:rsidR="000636C2">
        <w:rPr>
          <w:rFonts w:hint="cs"/>
          <w:rtl/>
        </w:rPr>
        <w:t>:</w:t>
      </w:r>
      <w:r w:rsidRPr="005675B2">
        <w:rPr>
          <w:rFonts w:hint="cs"/>
          <w:rtl/>
        </w:rPr>
        <w:t xml:space="preserve"> "كان الله ولم يكن شيء غيره " لأن ظاهر رواية</w:t>
      </w:r>
      <w:r w:rsidR="000636C2">
        <w:rPr>
          <w:rFonts w:hint="cs"/>
          <w:rtl/>
        </w:rPr>
        <w:t>:</w:t>
      </w:r>
      <w:r w:rsidRPr="005675B2">
        <w:rPr>
          <w:rFonts w:hint="cs"/>
          <w:rtl/>
        </w:rPr>
        <w:t xml:space="preserve"> "كان الله ولم يكن شيء قبله" يوافق ما يدعيه أصحاب القدم النوعي للمخلوقات</w:t>
      </w:r>
      <w:r w:rsidR="000636C2">
        <w:rPr>
          <w:rFonts w:hint="cs"/>
          <w:rtl/>
        </w:rPr>
        <w:t>،</w:t>
      </w:r>
      <w:r w:rsidRPr="005675B2">
        <w:rPr>
          <w:rFonts w:hint="cs"/>
          <w:rtl/>
        </w:rPr>
        <w:t xml:space="preserve"> كما أشار لذلك الحافظ ابن حجر في شرح البخاري</w:t>
      </w:r>
      <w:r w:rsidR="000636C2">
        <w:rPr>
          <w:rFonts w:hint="cs"/>
          <w:rtl/>
        </w:rPr>
        <w:t xml:space="preserve"> </w:t>
      </w:r>
      <w:r w:rsidRPr="005675B2">
        <w:rPr>
          <w:rFonts w:hint="cs"/>
          <w:rtl/>
        </w:rPr>
        <w:t>عند ذكر حديث</w:t>
      </w:r>
      <w:r w:rsidR="000636C2">
        <w:rPr>
          <w:rFonts w:hint="cs"/>
          <w:rtl/>
        </w:rPr>
        <w:t>:</w:t>
      </w:r>
      <w:r w:rsidRPr="005675B2">
        <w:rPr>
          <w:rFonts w:hint="cs"/>
          <w:rtl/>
        </w:rPr>
        <w:t xml:space="preserve"> "كان الله ولم يكن شيء قبله " فقال</w:t>
      </w:r>
      <w:r w:rsidR="000636C2">
        <w:rPr>
          <w:rFonts w:hint="cs"/>
          <w:rtl/>
        </w:rPr>
        <w:t>:</w:t>
      </w:r>
      <w:r w:rsidRPr="005675B2">
        <w:rPr>
          <w:rFonts w:hint="cs"/>
          <w:rtl/>
        </w:rPr>
        <w:t xml:space="preserve"> فيما حاول</w:t>
      </w:r>
      <w:r w:rsidR="000636C2">
        <w:rPr>
          <w:rFonts w:hint="cs"/>
          <w:rtl/>
        </w:rPr>
        <w:t xml:space="preserve"> </w:t>
      </w:r>
      <w:r w:rsidRPr="005675B2">
        <w:rPr>
          <w:rFonts w:hint="cs"/>
          <w:rtl/>
        </w:rPr>
        <w:t>الإمام ابن تيمية من ترجيح هذه الرواية على تلك الرواية توصلاً إلى</w:t>
      </w:r>
      <w:r w:rsidR="000636C2">
        <w:rPr>
          <w:rFonts w:hint="cs"/>
          <w:rtl/>
        </w:rPr>
        <w:t xml:space="preserve"> </w:t>
      </w:r>
      <w:r w:rsidRPr="005675B2">
        <w:rPr>
          <w:rFonts w:hint="cs"/>
          <w:rtl/>
        </w:rPr>
        <w:t>إثبات حوادث لا أول لهاــــــ</w:t>
      </w:r>
      <w:r w:rsidR="000636C2">
        <w:rPr>
          <w:rFonts w:hint="cs"/>
          <w:rtl/>
        </w:rPr>
        <w:t xml:space="preserve"> </w:t>
      </w:r>
      <w:r w:rsidRPr="005675B2">
        <w:rPr>
          <w:rFonts w:hint="cs"/>
          <w:rtl/>
        </w:rPr>
        <w:t>-</w:t>
      </w:r>
      <w:r w:rsidR="000636C2">
        <w:rPr>
          <w:rFonts w:hint="cs"/>
          <w:rtl/>
        </w:rPr>
        <w:t xml:space="preserve"> </w:t>
      </w:r>
      <w:r w:rsidRPr="005675B2">
        <w:rPr>
          <w:rFonts w:hint="cs"/>
          <w:rtl/>
        </w:rPr>
        <w:t>ما نصه</w:t>
      </w:r>
      <w:r w:rsidR="000636C2">
        <w:rPr>
          <w:rFonts w:hint="cs"/>
          <w:rtl/>
        </w:rPr>
        <w:t>:</w:t>
      </w:r>
      <w:r w:rsidRPr="005675B2">
        <w:rPr>
          <w:rFonts w:hint="cs"/>
          <w:rtl/>
        </w:rPr>
        <w:t xml:space="preserve"> "وهذه من أشنع المسائل المنسوبة له " - يعني ابن تيمية -</w:t>
      </w:r>
      <w:r w:rsidR="000636C2">
        <w:rPr>
          <w:rFonts w:hint="cs"/>
          <w:rtl/>
        </w:rPr>
        <w:t>،</w:t>
      </w:r>
      <w:r w:rsidRPr="005675B2">
        <w:rPr>
          <w:rFonts w:hint="cs"/>
          <w:rtl/>
        </w:rPr>
        <w:t xml:space="preserve"> أهـ</w:t>
      </w:r>
      <w:r w:rsidR="000636C2">
        <w:rPr>
          <w:rFonts w:hint="cs"/>
          <w:rtl/>
        </w:rPr>
        <w:t>،</w:t>
      </w:r>
      <w:r w:rsidRPr="005675B2">
        <w:rPr>
          <w:rFonts w:hint="cs"/>
          <w:rtl/>
        </w:rPr>
        <w:t xml:space="preserve"> وكذلك رواية مسلم</w:t>
      </w:r>
      <w:r w:rsidR="000636C2">
        <w:rPr>
          <w:rFonts w:hint="cs"/>
          <w:rtl/>
        </w:rPr>
        <w:t>:</w:t>
      </w:r>
      <w:r w:rsidRPr="005675B2">
        <w:rPr>
          <w:rFonts w:hint="cs"/>
          <w:rtl/>
        </w:rPr>
        <w:t xml:space="preserve"> "اللهم أنت الأول فليس قبلك شيء" ترد إلى رواية البخاري</w:t>
      </w:r>
      <w:r w:rsidR="000636C2">
        <w:rPr>
          <w:rFonts w:hint="cs"/>
          <w:rtl/>
        </w:rPr>
        <w:t>:</w:t>
      </w:r>
      <w:r w:rsidRPr="005675B2">
        <w:rPr>
          <w:rFonts w:hint="cs"/>
          <w:rtl/>
        </w:rPr>
        <w:t xml:space="preserve"> "كان الله ولم يكن شيء غيره " فإن لم ترد ورجحت رواية مسلم كان ذلك رجوعًا إلى قول الفلاسفة وإلغاء لرواية البخاري</w:t>
      </w:r>
      <w:r w:rsidR="000636C2">
        <w:rPr>
          <w:rFonts w:hint="cs"/>
          <w:rtl/>
        </w:rPr>
        <w:t>،</w:t>
      </w:r>
    </w:p>
    <w:p w14:paraId="4D32E932" w14:textId="32750BA9" w:rsidR="009C32A0" w:rsidRPr="005675B2" w:rsidRDefault="009C32A0" w:rsidP="000636C2">
      <w:pPr>
        <w:rPr>
          <w:b/>
          <w:rtl/>
        </w:rPr>
      </w:pPr>
      <w:r w:rsidRPr="00637CA8">
        <w:rPr>
          <w:rFonts w:hint="cs"/>
          <w:bCs/>
          <w:rtl/>
        </w:rPr>
        <w:t>أخطر المسائل التي تبناها الشيخ الموجان</w:t>
      </w:r>
      <w:r w:rsidR="000636C2">
        <w:rPr>
          <w:rFonts w:hint="cs"/>
          <w:rtl/>
        </w:rPr>
        <w:t>:</w:t>
      </w:r>
      <w:r w:rsidRPr="005675B2">
        <w:rPr>
          <w:rFonts w:hint="cs"/>
          <w:rtl/>
        </w:rPr>
        <w:t>يقول الشيخ الموجان</w:t>
      </w:r>
      <w:r w:rsidR="000636C2">
        <w:rPr>
          <w:rFonts w:hint="cs"/>
          <w:rtl/>
        </w:rPr>
        <w:t>:</w:t>
      </w:r>
      <w:r w:rsidRPr="005675B2">
        <w:rPr>
          <w:rFonts w:hint="cs"/>
          <w:rtl/>
        </w:rPr>
        <w:t xml:space="preserve"> فإن كلامه </w:t>
      </w:r>
      <w:r w:rsidR="000636C2">
        <w:rPr>
          <w:rFonts w:hint="cs"/>
          <w:rtl/>
        </w:rPr>
        <w:t>(</w:t>
      </w:r>
      <w:r w:rsidRPr="005675B2">
        <w:rPr>
          <w:rFonts w:hint="cs"/>
          <w:rtl/>
        </w:rPr>
        <w:t>ابن دقيق العيد</w:t>
      </w:r>
      <w:r w:rsidR="000636C2">
        <w:rPr>
          <w:rFonts w:hint="cs"/>
          <w:rtl/>
        </w:rPr>
        <w:t>)</w:t>
      </w:r>
      <w:r w:rsidRPr="005675B2">
        <w:rPr>
          <w:rFonts w:hint="cs"/>
          <w:rtl/>
        </w:rPr>
        <w:t xml:space="preserve"> حول مسألة حدوث العالم أو قدم العالم ومسألتنا على قدم أفعال الرب تعالى</w:t>
      </w:r>
      <w:r w:rsidR="000636C2">
        <w:rPr>
          <w:rFonts w:hint="cs"/>
          <w:rtl/>
        </w:rPr>
        <w:t>،</w:t>
      </w:r>
      <w:r w:rsidRPr="005675B2">
        <w:rPr>
          <w:rFonts w:hint="cs"/>
          <w:rtl/>
        </w:rPr>
        <w:t xml:space="preserve"> فحرف المسألة أن الحوادث إما أن يراد بها فعل الرب فلا أول لها</w:t>
      </w:r>
      <w:r w:rsidR="000636C2">
        <w:rPr>
          <w:rFonts w:hint="cs"/>
          <w:rtl/>
        </w:rPr>
        <w:t>،</w:t>
      </w:r>
      <w:r w:rsidRPr="005675B2">
        <w:rPr>
          <w:rFonts w:hint="cs"/>
          <w:rtl/>
        </w:rPr>
        <w:t xml:space="preserve"> </w:t>
      </w:r>
      <w:r w:rsidRPr="005675B2">
        <w:rPr>
          <w:rFonts w:hint="cs"/>
          <w:u w:val="single"/>
          <w:rtl/>
        </w:rPr>
        <w:t>أو أنها المخلوقات</w:t>
      </w:r>
      <w:r w:rsidRPr="005675B2">
        <w:rPr>
          <w:rFonts w:hint="cs"/>
          <w:rtl/>
        </w:rPr>
        <w:t xml:space="preserve"> فهذه لها أول من حيث أفرادها وآحادها</w:t>
      </w:r>
      <w:r w:rsidR="000636C2">
        <w:rPr>
          <w:rFonts w:hint="cs"/>
          <w:rtl/>
        </w:rPr>
        <w:t>،</w:t>
      </w:r>
      <w:r w:rsidRPr="005675B2">
        <w:rPr>
          <w:rFonts w:hint="cs"/>
          <w:rtl/>
        </w:rPr>
        <w:t>لأنها مسبوقة بعدم</w:t>
      </w:r>
      <w:r w:rsidR="000636C2">
        <w:rPr>
          <w:rFonts w:hint="cs"/>
          <w:rtl/>
        </w:rPr>
        <w:t>،</w:t>
      </w:r>
      <w:r w:rsidRPr="005675B2">
        <w:rPr>
          <w:rFonts w:hint="cs"/>
          <w:rtl/>
        </w:rPr>
        <w:t xml:space="preserve"> أما من حيث جنسها ونوعها فهي قديمة لتعلقها بأفعال الرب تعالى</w:t>
      </w:r>
      <w:r w:rsidR="000636C2">
        <w:rPr>
          <w:rFonts w:hint="cs"/>
          <w:rtl/>
        </w:rPr>
        <w:t>،</w:t>
      </w:r>
      <w:r w:rsidRPr="005675B2">
        <w:rPr>
          <w:rFonts w:hint="cs"/>
          <w:rtl/>
        </w:rPr>
        <w:t xml:space="preserve"> أهـ</w:t>
      </w:r>
      <w:r w:rsidR="000636C2">
        <w:rPr>
          <w:rFonts w:hint="cs"/>
          <w:rtl/>
        </w:rPr>
        <w:t xml:space="preserve"> </w:t>
      </w:r>
      <w:r w:rsidRPr="005675B2">
        <w:rPr>
          <w:rFonts w:hint="cs"/>
          <w:rtl/>
        </w:rPr>
        <w:t>[</w:t>
      </w:r>
      <w:r w:rsidRPr="005675B2">
        <w:rPr>
          <w:rFonts w:hint="cs"/>
          <w:bCs/>
          <w:sz w:val="24"/>
          <w:szCs w:val="24"/>
          <w:rtl/>
        </w:rPr>
        <w:t>الرد الشامل ص85</w:t>
      </w:r>
      <w:r w:rsidRPr="005675B2">
        <w:rPr>
          <w:rFonts w:hint="cs"/>
          <w:rtl/>
        </w:rPr>
        <w:t>] هذا هو معتقد الموجان بحروفه من كتابه - هداه الله - والقارىء يعلم أن الموجان بهذا الكلام وقع في عقيدة القدم النوعي تعصباً</w:t>
      </w:r>
      <w:r w:rsidR="000636C2">
        <w:rPr>
          <w:rFonts w:hint="cs"/>
          <w:rtl/>
        </w:rPr>
        <w:t>،</w:t>
      </w:r>
    </w:p>
    <w:p w14:paraId="3528FCB4" w14:textId="507666EE" w:rsidR="009C32A0" w:rsidRPr="005675B2" w:rsidRDefault="009C32A0" w:rsidP="000636C2">
      <w:pPr>
        <w:rPr>
          <w:b/>
          <w:rtl/>
        </w:rPr>
      </w:pPr>
      <w:r w:rsidRPr="005675B2">
        <w:rPr>
          <w:rFonts w:hint="cs"/>
          <w:rtl/>
        </w:rPr>
        <w:t>و</w:t>
      </w:r>
      <w:r>
        <w:rPr>
          <w:rFonts w:hint="cs"/>
          <w:rtl/>
        </w:rPr>
        <w:t xml:space="preserve"> </w:t>
      </w:r>
      <w:r w:rsidR="000636C2">
        <w:rPr>
          <w:rFonts w:hint="cs"/>
          <w:rtl/>
        </w:rPr>
        <w:t>[</w:t>
      </w:r>
      <w:r>
        <w:rPr>
          <w:rFonts w:hint="cs"/>
          <w:rtl/>
        </w:rPr>
        <w:t>الجواب</w:t>
      </w:r>
      <w:r w:rsidR="000636C2">
        <w:rPr>
          <w:rFonts w:hint="cs"/>
          <w:rtl/>
        </w:rPr>
        <w:t>]:</w:t>
      </w:r>
      <w:r w:rsidRPr="005675B2">
        <w:rPr>
          <w:rFonts w:hint="cs"/>
          <w:rtl/>
        </w:rPr>
        <w:t xml:space="preserve"> 1</w:t>
      </w:r>
      <w:r w:rsidR="000636C2">
        <w:rPr>
          <w:rFonts w:hint="cs"/>
          <w:rtl/>
        </w:rPr>
        <w:t xml:space="preserve"> </w:t>
      </w:r>
      <w:r w:rsidRPr="005675B2">
        <w:rPr>
          <w:rFonts w:hint="cs"/>
          <w:rtl/>
        </w:rPr>
        <w:t>- قدم أفعال الرب</w:t>
      </w:r>
      <w:r w:rsidR="000636C2">
        <w:rPr>
          <w:rFonts w:hint="cs"/>
          <w:rtl/>
        </w:rPr>
        <w:t>:</w:t>
      </w:r>
      <w:r w:rsidRPr="005675B2">
        <w:rPr>
          <w:rFonts w:hint="cs"/>
          <w:rtl/>
        </w:rPr>
        <w:t>لابد أن يفهم الكاتب الفرق يبن قدم صفات التكوين أو ما تسمى بالأفعال وبين قدم الأفعال نفسها بنوعها أو فردها</w:t>
      </w:r>
      <w:r w:rsidR="000636C2">
        <w:rPr>
          <w:rFonts w:hint="cs"/>
          <w:rtl/>
        </w:rPr>
        <w:t>،</w:t>
      </w:r>
      <w:r w:rsidRPr="005675B2">
        <w:rPr>
          <w:rFonts w:hint="cs"/>
          <w:rtl/>
        </w:rPr>
        <w:t xml:space="preserve"> فقدم الصفة كصفة الخلق ومعناهاأن الله متصف بكونه يستطيع أن يخلق فهذا لا نزاع فيه وإن كان الأشاعرة يردونه إلى القدرة</w:t>
      </w:r>
      <w:r w:rsidR="000636C2">
        <w:rPr>
          <w:rFonts w:hint="cs"/>
          <w:rtl/>
        </w:rPr>
        <w:t>،</w:t>
      </w:r>
      <w:r w:rsidRPr="005675B2">
        <w:rPr>
          <w:rFonts w:hint="cs"/>
          <w:rtl/>
        </w:rPr>
        <w:t xml:space="preserve"> والماتريدية إلى صفة التكوين وعلماء الحنفية من بلاد ما وراء النهر يردونه إلى كل صفة منها باستقلالها كصفة الخلق والرزق والإحياء والأماتة فالنزاع في ذلك لا يترتب عليه شيء كما وضح ذلك الإمامان</w:t>
      </w:r>
      <w:r w:rsidR="000636C2">
        <w:rPr>
          <w:rFonts w:hint="cs"/>
          <w:rtl/>
        </w:rPr>
        <w:t xml:space="preserve"> </w:t>
      </w:r>
      <w:r w:rsidRPr="005675B2">
        <w:rPr>
          <w:rFonts w:hint="cs"/>
          <w:rtl/>
        </w:rPr>
        <w:t>ابن الهمام وابن أبي شريف في كتاب المسامرة شرح المسايرة</w:t>
      </w:r>
      <w:r w:rsidR="000636C2">
        <w:rPr>
          <w:rFonts w:hint="cs"/>
          <w:rtl/>
        </w:rPr>
        <w:t>،</w:t>
      </w:r>
      <w:r w:rsidRPr="005675B2">
        <w:rPr>
          <w:rFonts w:hint="cs"/>
          <w:rtl/>
        </w:rPr>
        <w:t xml:space="preserve"> وأما الفعل</w:t>
      </w:r>
      <w:r w:rsidR="000636C2">
        <w:rPr>
          <w:rFonts w:hint="cs"/>
          <w:rtl/>
        </w:rPr>
        <w:t>:</w:t>
      </w:r>
      <w:r w:rsidRPr="005675B2">
        <w:rPr>
          <w:rFonts w:hint="cs"/>
          <w:rtl/>
        </w:rPr>
        <w:t xml:space="preserve"> فهو إيجادالمخلوقات من العدم إلى الوجود </w:t>
      </w:r>
      <w:r w:rsidRPr="005675B2">
        <w:rPr>
          <w:rFonts w:hint="cs"/>
          <w:u w:val="single"/>
          <w:rtl/>
        </w:rPr>
        <w:t>عملياً</w:t>
      </w:r>
      <w:r w:rsidR="000636C2">
        <w:rPr>
          <w:rFonts w:hint="cs"/>
          <w:rtl/>
        </w:rPr>
        <w:t>،</w:t>
      </w:r>
      <w:r w:rsidRPr="005675B2">
        <w:rPr>
          <w:rFonts w:hint="cs"/>
          <w:rtl/>
        </w:rPr>
        <w:t xml:space="preserve"> - وأنا مضطر لهذا الأسلوب في التعليم ليفهم الجميع - فهذا أيضاً موطن إجماع كما قال ابن حزم في مراتب الإجماع قال ابن حزم</w:t>
      </w:r>
      <w:r w:rsidR="000636C2">
        <w:rPr>
          <w:rFonts w:hint="cs"/>
          <w:rtl/>
        </w:rPr>
        <w:t>:</w:t>
      </w:r>
      <w:r w:rsidRPr="005675B2">
        <w:rPr>
          <w:rFonts w:hint="cs"/>
          <w:rtl/>
        </w:rPr>
        <w:t xml:space="preserve"> اتفقوا أن الله عزوجل وحده لا شريك له</w:t>
      </w:r>
      <w:r w:rsidR="000636C2">
        <w:rPr>
          <w:rFonts w:hint="cs"/>
          <w:rtl/>
        </w:rPr>
        <w:t>،</w:t>
      </w:r>
      <w:r w:rsidRPr="005675B2">
        <w:rPr>
          <w:rFonts w:hint="cs"/>
          <w:rtl/>
        </w:rPr>
        <w:t xml:space="preserve"> خالق كل شيء غيره</w:t>
      </w:r>
      <w:r w:rsidR="000636C2">
        <w:rPr>
          <w:rFonts w:hint="cs"/>
          <w:rtl/>
        </w:rPr>
        <w:t>،</w:t>
      </w:r>
      <w:r w:rsidRPr="005675B2">
        <w:rPr>
          <w:rFonts w:hint="cs"/>
          <w:rtl/>
        </w:rPr>
        <w:t>وأنه تعالى لم يزل وحده ولا شيء معه</w:t>
      </w:r>
      <w:r w:rsidR="000636C2">
        <w:rPr>
          <w:rFonts w:hint="cs"/>
          <w:rtl/>
        </w:rPr>
        <w:t>،</w:t>
      </w:r>
      <w:r w:rsidRPr="005675B2">
        <w:rPr>
          <w:rFonts w:hint="cs"/>
          <w:rtl/>
        </w:rPr>
        <w:t xml:space="preserve"> ثم خلق الأشياء</w:t>
      </w:r>
      <w:r w:rsidR="000636C2">
        <w:rPr>
          <w:rFonts w:hint="cs"/>
          <w:rtl/>
        </w:rPr>
        <w:t>،</w:t>
      </w:r>
      <w:r w:rsidRPr="005675B2">
        <w:rPr>
          <w:rFonts w:hint="cs"/>
          <w:rtl/>
        </w:rPr>
        <w:t xml:space="preserve"> انتهى</w:t>
      </w:r>
      <w:r w:rsidR="000636C2">
        <w:rPr>
          <w:rFonts w:hint="cs"/>
          <w:rtl/>
        </w:rPr>
        <w:t>،</w:t>
      </w:r>
      <w:r w:rsidRPr="005675B2">
        <w:rPr>
          <w:rFonts w:hint="cs"/>
          <w:rtl/>
        </w:rPr>
        <w:t xml:space="preserve"> فهذا الموطن هو الذي اعترض فيه ابن تيمية على ابن حزم وادعى القدم النوعي للمخلوقات</w:t>
      </w:r>
      <w:r w:rsidR="000636C2">
        <w:rPr>
          <w:rFonts w:hint="cs"/>
          <w:rtl/>
        </w:rPr>
        <w:t>،</w:t>
      </w:r>
      <w:r w:rsidRPr="005675B2">
        <w:rPr>
          <w:rFonts w:hint="cs"/>
          <w:rtl/>
        </w:rPr>
        <w:t xml:space="preserve"> لا للصفات</w:t>
      </w:r>
      <w:r w:rsidR="000636C2">
        <w:rPr>
          <w:rFonts w:hint="cs"/>
          <w:rtl/>
        </w:rPr>
        <w:t>،</w:t>
      </w:r>
    </w:p>
    <w:p w14:paraId="0073618E" w14:textId="6C61D580" w:rsidR="009C32A0" w:rsidRPr="005675B2" w:rsidRDefault="009C32A0" w:rsidP="000636C2">
      <w:pPr>
        <w:rPr>
          <w:b/>
          <w:rtl/>
        </w:rPr>
      </w:pPr>
      <w:r w:rsidRPr="005675B2">
        <w:rPr>
          <w:rFonts w:hint="cs"/>
          <w:rtl/>
        </w:rPr>
        <w:t>2</w:t>
      </w:r>
      <w:r w:rsidR="000636C2">
        <w:rPr>
          <w:rFonts w:hint="cs"/>
          <w:rtl/>
        </w:rPr>
        <w:t xml:space="preserve"> </w:t>
      </w:r>
      <w:r w:rsidRPr="005675B2">
        <w:rPr>
          <w:rFonts w:hint="cs"/>
          <w:rtl/>
        </w:rPr>
        <w:t>-</w:t>
      </w:r>
      <w:r w:rsidR="000636C2">
        <w:rPr>
          <w:rFonts w:hint="cs"/>
          <w:rtl/>
        </w:rPr>
        <w:t xml:space="preserve"> </w:t>
      </w:r>
      <w:r w:rsidRPr="005675B2">
        <w:rPr>
          <w:rFonts w:hint="cs"/>
          <w:rtl/>
        </w:rPr>
        <w:t>قولك يا أخي</w:t>
      </w:r>
      <w:r w:rsidR="000636C2">
        <w:rPr>
          <w:rFonts w:hint="cs"/>
          <w:rtl/>
        </w:rPr>
        <w:t>:</w:t>
      </w:r>
      <w:r w:rsidRPr="005675B2">
        <w:rPr>
          <w:rFonts w:hint="cs"/>
          <w:rtl/>
        </w:rPr>
        <w:t xml:space="preserve"> (</w:t>
      </w:r>
      <w:r w:rsidR="000636C2">
        <w:rPr>
          <w:rFonts w:hint="cs"/>
          <w:rtl/>
        </w:rPr>
        <w:t>(</w:t>
      </w:r>
      <w:r w:rsidRPr="005675B2">
        <w:rPr>
          <w:rFonts w:hint="cs"/>
          <w:rtl/>
        </w:rPr>
        <w:t>المخلوقات فهذه لها أول من حيث أفرادها وآحادها</w:t>
      </w:r>
      <w:r w:rsidR="000636C2">
        <w:rPr>
          <w:rFonts w:hint="cs"/>
          <w:rtl/>
        </w:rPr>
        <w:t>،</w:t>
      </w:r>
      <w:r w:rsidRPr="005675B2">
        <w:rPr>
          <w:rFonts w:hint="cs"/>
          <w:rtl/>
        </w:rPr>
        <w:t>لأنها مسبوقة بعدم</w:t>
      </w:r>
      <w:r w:rsidR="000636C2">
        <w:rPr>
          <w:rFonts w:hint="cs"/>
          <w:rtl/>
        </w:rPr>
        <w:t>،</w:t>
      </w:r>
      <w:r w:rsidRPr="005675B2">
        <w:rPr>
          <w:rFonts w:hint="cs"/>
          <w:rtl/>
        </w:rPr>
        <w:t xml:space="preserve"> أما من حيث جنسها ونوعها فهي قديمة لتعلقها بأفعال الرب تعالى</w:t>
      </w:r>
      <w:r w:rsidR="000636C2">
        <w:rPr>
          <w:rFonts w:hint="cs"/>
          <w:rtl/>
        </w:rPr>
        <w:t>)</w:t>
      </w:r>
      <w:r w:rsidRPr="005675B2">
        <w:rPr>
          <w:rFonts w:hint="cs"/>
          <w:rtl/>
        </w:rPr>
        <w:t>)</w:t>
      </w:r>
      <w:r w:rsidR="000636C2">
        <w:rPr>
          <w:rFonts w:hint="cs"/>
          <w:rtl/>
        </w:rPr>
        <w:t>،</w:t>
      </w:r>
      <w:r>
        <w:rPr>
          <w:rFonts w:hint="cs"/>
          <w:rtl/>
        </w:rPr>
        <w:t xml:space="preserve"> </w:t>
      </w:r>
      <w:r w:rsidRPr="005675B2">
        <w:rPr>
          <w:rFonts w:hint="cs"/>
          <w:rtl/>
        </w:rPr>
        <w:t>هنا المصيبة التي تخالف النقول والعقول والإجماع</w:t>
      </w:r>
      <w:r w:rsidR="000636C2">
        <w:rPr>
          <w:rFonts w:hint="cs"/>
          <w:rtl/>
        </w:rPr>
        <w:t>،</w:t>
      </w:r>
      <w:r w:rsidRPr="005675B2">
        <w:rPr>
          <w:rFonts w:hint="cs"/>
          <w:rtl/>
        </w:rPr>
        <w:t xml:space="preserve"> فتأمل في قولك</w:t>
      </w:r>
      <w:r w:rsidR="000636C2">
        <w:rPr>
          <w:rFonts w:hint="cs"/>
          <w:rtl/>
        </w:rPr>
        <w:t>:</w:t>
      </w:r>
      <w:r w:rsidRPr="005675B2">
        <w:rPr>
          <w:rFonts w:hint="cs"/>
          <w:rtl/>
        </w:rPr>
        <w:t xml:space="preserve">المخلوقات .. من حيث جنسها ونوعها فهي </w:t>
      </w:r>
      <w:r w:rsidRPr="005675B2">
        <w:rPr>
          <w:rFonts w:hint="cs"/>
          <w:u w:val="single"/>
          <w:rtl/>
        </w:rPr>
        <w:t>قديمة</w:t>
      </w:r>
      <w:r w:rsidR="000636C2">
        <w:rPr>
          <w:rFonts w:hint="cs"/>
          <w:u w:val="single"/>
          <w:rtl/>
        </w:rPr>
        <w:t>،</w:t>
      </w:r>
      <w:r w:rsidRPr="005675B2">
        <w:rPr>
          <w:rFonts w:hint="cs"/>
          <w:u w:val="single"/>
          <w:rtl/>
        </w:rPr>
        <w:t xml:space="preserve"> </w:t>
      </w:r>
      <w:r w:rsidRPr="005675B2">
        <w:rPr>
          <w:rFonts w:hint="cs"/>
          <w:rtl/>
        </w:rPr>
        <w:t>فهذا القول شرك بالله في الأزلية</w:t>
      </w:r>
      <w:r w:rsidR="000636C2">
        <w:rPr>
          <w:rFonts w:hint="cs"/>
          <w:rtl/>
        </w:rPr>
        <w:t>،</w:t>
      </w:r>
      <w:r w:rsidRPr="005675B2">
        <w:rPr>
          <w:rFonts w:hint="cs"/>
          <w:rtl/>
        </w:rPr>
        <w:t xml:space="preserve"> وإن كان القائل به قد يكون جاهلاً</w:t>
      </w:r>
      <w:r w:rsidR="000636C2">
        <w:rPr>
          <w:rFonts w:hint="cs"/>
          <w:rtl/>
        </w:rPr>
        <w:t>،</w:t>
      </w:r>
      <w:r w:rsidRPr="005675B2">
        <w:rPr>
          <w:rFonts w:hint="cs"/>
          <w:rtl/>
        </w:rPr>
        <w:t xml:space="preserve"> فراجع نفسك ودع التعصب غفر الله لنا ولك</w:t>
      </w:r>
      <w:r w:rsidR="000636C2">
        <w:rPr>
          <w:rFonts w:hint="cs"/>
          <w:rtl/>
        </w:rPr>
        <w:t>،</w:t>
      </w:r>
      <w:r w:rsidRPr="005675B2">
        <w:rPr>
          <w:rFonts w:hint="cs"/>
          <w:rtl/>
        </w:rPr>
        <w:t xml:space="preserve"> فحتى على أحسن</w:t>
      </w:r>
      <w:r w:rsidR="000636C2">
        <w:rPr>
          <w:rFonts w:hint="cs"/>
          <w:rtl/>
        </w:rPr>
        <w:t xml:space="preserve"> </w:t>
      </w:r>
      <w:r w:rsidRPr="005675B2">
        <w:rPr>
          <w:rFonts w:hint="cs"/>
          <w:rtl/>
        </w:rPr>
        <w:t>الظن - وإن كان خلاف القطعي من ظاهر كلامك - فلنفرض أنك تقصد الصفات لا الأفعال فلا يقال إن المخلوقات من حيث نوعها قديمة لتعلق الصفة بها</w:t>
      </w:r>
      <w:r w:rsidR="000636C2">
        <w:rPr>
          <w:rFonts w:hint="cs"/>
          <w:rtl/>
        </w:rPr>
        <w:t>،</w:t>
      </w:r>
      <w:r w:rsidRPr="005675B2">
        <w:rPr>
          <w:rFonts w:hint="cs"/>
          <w:rtl/>
        </w:rPr>
        <w:t xml:space="preserve"> لأن قدم الصفة شيء ووجود أثرها شيء آخر</w:t>
      </w:r>
      <w:r w:rsidR="000636C2">
        <w:rPr>
          <w:rFonts w:hint="cs"/>
          <w:rtl/>
        </w:rPr>
        <w:t>،</w:t>
      </w:r>
      <w:r w:rsidRPr="005675B2">
        <w:rPr>
          <w:rFonts w:hint="cs"/>
          <w:rtl/>
        </w:rPr>
        <w:t xml:space="preserve"> فلو لم يخلق الله مخلوقاً قط لم يسلبه ذلك صفة الخالقية لأن صفات الله متعلقة بذاته لا مكتسبة من مخلوقاته</w:t>
      </w:r>
      <w:r w:rsidR="000636C2">
        <w:rPr>
          <w:rFonts w:hint="cs"/>
          <w:rtl/>
        </w:rPr>
        <w:t>،</w:t>
      </w:r>
      <w:r w:rsidRPr="005675B2">
        <w:rPr>
          <w:rFonts w:hint="cs"/>
          <w:rtl/>
        </w:rPr>
        <w:t xml:space="preserve"> وهو صريح الآيات</w:t>
      </w:r>
      <w:r w:rsidR="000636C2">
        <w:rPr>
          <w:rFonts w:hint="cs"/>
          <w:rtl/>
        </w:rPr>
        <w:t>،</w:t>
      </w:r>
      <w:r w:rsidRPr="005675B2">
        <w:rPr>
          <w:rFonts w:hint="cs"/>
          <w:rtl/>
        </w:rPr>
        <w:t>والأحاديث</w:t>
      </w:r>
      <w:r w:rsidR="000636C2">
        <w:rPr>
          <w:rFonts w:hint="cs"/>
          <w:rtl/>
        </w:rPr>
        <w:t>،</w:t>
      </w:r>
      <w:r w:rsidRPr="005675B2">
        <w:rPr>
          <w:rFonts w:hint="cs"/>
          <w:rtl/>
        </w:rPr>
        <w:t>والإجماع وهو صريح قول الطحاوي في العقيدة الطحاوية</w:t>
      </w:r>
      <w:r w:rsidR="000636C2">
        <w:rPr>
          <w:rFonts w:hint="cs"/>
          <w:rtl/>
        </w:rPr>
        <w:t>:</w:t>
      </w:r>
      <w:r w:rsidRPr="005675B2">
        <w:rPr>
          <w:rFonts w:hint="cs"/>
          <w:rtl/>
        </w:rPr>
        <w:t xml:space="preserve"> </w:t>
      </w:r>
      <w:r w:rsidR="000636C2">
        <w:rPr>
          <w:rFonts w:hint="cs"/>
          <w:rtl/>
        </w:rPr>
        <w:t>(</w:t>
      </w:r>
      <w:r w:rsidRPr="005675B2">
        <w:rPr>
          <w:rFonts w:hint="cs"/>
          <w:rtl/>
        </w:rPr>
        <w:t>ليس بعد خلق الخلق استفاد اسم الخالق</w:t>
      </w:r>
      <w:r w:rsidR="000636C2">
        <w:rPr>
          <w:rFonts w:hint="cs"/>
          <w:rtl/>
        </w:rPr>
        <w:t>)،</w:t>
      </w:r>
      <w:r>
        <w:rPr>
          <w:rFonts w:hint="cs"/>
          <w:rtl/>
        </w:rPr>
        <w:t xml:space="preserve"> </w:t>
      </w:r>
      <w:r w:rsidR="000636C2">
        <w:rPr>
          <w:rFonts w:hint="cs"/>
          <w:rtl/>
        </w:rPr>
        <w:t>(</w:t>
      </w:r>
      <w:r>
        <w:rPr>
          <w:rFonts w:hint="cs"/>
          <w:rtl/>
        </w:rPr>
        <w:t>تنبيه</w:t>
      </w:r>
      <w:r w:rsidR="000636C2">
        <w:rPr>
          <w:rFonts w:hint="cs"/>
          <w:rtl/>
        </w:rPr>
        <w:t>):</w:t>
      </w:r>
      <w:r w:rsidRPr="005675B2">
        <w:rPr>
          <w:rFonts w:hint="cs"/>
          <w:rtl/>
        </w:rPr>
        <w:t xml:space="preserve"> رأى ابنُ تيمية قولَ ابنِ حزمٍ </w:t>
      </w:r>
      <w:r w:rsidR="000636C2">
        <w:rPr>
          <w:rFonts w:hint="cs"/>
          <w:rtl/>
        </w:rPr>
        <w:t>[</w:t>
      </w:r>
      <w:r w:rsidRPr="005675B2">
        <w:rPr>
          <w:rFonts w:hint="cs"/>
          <w:rtl/>
        </w:rPr>
        <w:t>وأن الله تعالى لم يزل وحده ولا شيء غيره معه</w:t>
      </w:r>
      <w:r w:rsidR="000636C2">
        <w:rPr>
          <w:rFonts w:hint="cs"/>
          <w:rtl/>
        </w:rPr>
        <w:t>]</w:t>
      </w:r>
      <w:r w:rsidRPr="005675B2">
        <w:rPr>
          <w:rFonts w:hint="cs"/>
          <w:rtl/>
        </w:rPr>
        <w:t xml:space="preserve"> فعلَّق ابنُ تيمية قائلاً</w:t>
      </w:r>
      <w:r w:rsidR="000636C2">
        <w:rPr>
          <w:rFonts w:hint="cs"/>
          <w:rtl/>
        </w:rPr>
        <w:t>:</w:t>
      </w:r>
      <w:r w:rsidRPr="005675B2">
        <w:rPr>
          <w:rFonts w:hint="cs"/>
          <w:rtl/>
        </w:rPr>
        <w:t xml:space="preserve"> </w:t>
      </w:r>
      <w:r w:rsidR="000636C2">
        <w:rPr>
          <w:rFonts w:hint="cs"/>
          <w:rtl/>
        </w:rPr>
        <w:t>[</w:t>
      </w:r>
      <w:r w:rsidRPr="005675B2">
        <w:rPr>
          <w:rFonts w:hint="cs"/>
          <w:rtl/>
        </w:rPr>
        <w:t>هذه العبارة ليست في كتاب الله</w:t>
      </w:r>
      <w:r w:rsidR="000636C2">
        <w:rPr>
          <w:rFonts w:hint="cs"/>
          <w:rtl/>
        </w:rPr>
        <w:t>،</w:t>
      </w:r>
      <w:r w:rsidRPr="005675B2">
        <w:rPr>
          <w:rFonts w:hint="cs"/>
          <w:rtl/>
        </w:rPr>
        <w:t xml:space="preserve"> ولا تنسب إلى رسول الله صلى الله عليه وسلم ..</w:t>
      </w:r>
      <w:r w:rsidR="000636C2">
        <w:rPr>
          <w:rFonts w:hint="cs"/>
          <w:rtl/>
        </w:rPr>
        <w:t>،</w:t>
      </w:r>
      <w:r w:rsidRPr="005675B2">
        <w:rPr>
          <w:rFonts w:hint="cs"/>
          <w:rtl/>
        </w:rPr>
        <w:t xml:space="preserve"> ولا نعرف هذه العبارة عن الصحابة والتابعين وأئمة المسلمين</w:t>
      </w:r>
      <w:r w:rsidR="000636C2">
        <w:rPr>
          <w:rFonts w:hint="cs"/>
          <w:rtl/>
        </w:rPr>
        <w:t>]</w:t>
      </w:r>
      <w:r w:rsidRPr="005675B2">
        <w:rPr>
          <w:rFonts w:hint="cs"/>
          <w:rtl/>
        </w:rPr>
        <w:t xml:space="preserve"> [</w:t>
      </w:r>
      <w:r w:rsidRPr="005675B2">
        <w:rPr>
          <w:rFonts w:hint="cs"/>
          <w:bCs/>
          <w:sz w:val="24"/>
          <w:szCs w:val="24"/>
          <w:rtl/>
        </w:rPr>
        <w:t>نقد مراتب الإجماع المطبوع بنهاية مراتب الإجماع ص304</w:t>
      </w:r>
      <w:r w:rsidRPr="005675B2">
        <w:rPr>
          <w:rFonts w:hint="cs"/>
          <w:rtl/>
        </w:rPr>
        <w:t>]</w:t>
      </w:r>
      <w:r w:rsidR="000636C2">
        <w:rPr>
          <w:rFonts w:hint="cs"/>
          <w:rtl/>
        </w:rPr>
        <w:t xml:space="preserve">، </w:t>
      </w:r>
      <w:r w:rsidR="000636C2">
        <w:rPr>
          <w:rFonts w:hint="cs"/>
          <w:bCs/>
          <w:rtl/>
        </w:rPr>
        <w:t>[</w:t>
      </w:r>
      <w:r w:rsidRPr="00637CA8">
        <w:rPr>
          <w:rFonts w:hint="cs"/>
          <w:bCs/>
          <w:rtl/>
        </w:rPr>
        <w:t>الجواب</w:t>
      </w:r>
      <w:r w:rsidR="000636C2">
        <w:rPr>
          <w:rFonts w:hint="cs"/>
          <w:bCs/>
          <w:rtl/>
        </w:rPr>
        <w:t>]</w:t>
      </w:r>
      <w:r w:rsidR="000636C2">
        <w:rPr>
          <w:rFonts w:hint="cs"/>
          <w:rtl/>
        </w:rPr>
        <w:t>:</w:t>
      </w:r>
      <w:r w:rsidRPr="005675B2">
        <w:rPr>
          <w:rFonts w:hint="cs"/>
          <w:rtl/>
        </w:rPr>
        <w:t xml:space="preserve"> قد قال الرسول</w:t>
      </w:r>
      <w:r w:rsidR="000636C2">
        <w:rPr>
          <w:rFonts w:hint="cs"/>
          <w:rtl/>
        </w:rPr>
        <w:t xml:space="preserve"> </w:t>
      </w:r>
      <w:r w:rsidRPr="005675B2">
        <w:rPr>
          <w:rFonts w:hint="cs"/>
          <w:rtl/>
        </w:rPr>
        <w:t xml:space="preserve">صلى الله عليه وسلم </w:t>
      </w:r>
      <w:r w:rsidR="000636C2">
        <w:rPr>
          <w:rFonts w:hint="cs"/>
          <w:rtl/>
        </w:rPr>
        <w:t>[</w:t>
      </w:r>
      <w:r w:rsidRPr="005675B2">
        <w:rPr>
          <w:rFonts w:hint="cs"/>
          <w:rtl/>
        </w:rPr>
        <w:t>كان الله ولم يكن شيء غيره</w:t>
      </w:r>
      <w:r w:rsidR="000636C2">
        <w:rPr>
          <w:rFonts w:hint="cs"/>
          <w:rtl/>
        </w:rPr>
        <w:t>]؟!</w:t>
      </w:r>
      <w:r w:rsidRPr="005675B2">
        <w:rPr>
          <w:rFonts w:hint="cs"/>
          <w:rtl/>
        </w:rPr>
        <w:t>! [</w:t>
      </w:r>
      <w:r w:rsidRPr="005675B2">
        <w:rPr>
          <w:rFonts w:hint="cs"/>
          <w:bCs/>
          <w:sz w:val="24"/>
          <w:szCs w:val="24"/>
          <w:rtl/>
        </w:rPr>
        <w:t>صحيح البخاري: كتاب بدء الخلق</w:t>
      </w:r>
      <w:r w:rsidR="000636C2">
        <w:rPr>
          <w:rFonts w:hint="cs"/>
          <w:bCs/>
          <w:sz w:val="24"/>
          <w:szCs w:val="24"/>
          <w:rtl/>
        </w:rPr>
        <w:t>،</w:t>
      </w:r>
      <w:r w:rsidRPr="005675B2">
        <w:rPr>
          <w:rFonts w:hint="cs"/>
          <w:bCs/>
          <w:sz w:val="24"/>
          <w:szCs w:val="24"/>
          <w:rtl/>
        </w:rPr>
        <w:t xml:space="preserve"> باب وهو الذي يبدأ الخلق ثم يعيده</w:t>
      </w:r>
      <w:r w:rsidR="000636C2">
        <w:rPr>
          <w:rFonts w:hint="cs"/>
          <w:bCs/>
          <w:sz w:val="24"/>
          <w:szCs w:val="24"/>
          <w:rtl/>
        </w:rPr>
        <w:t>]</w:t>
      </w:r>
      <w:r w:rsidR="000636C2">
        <w:rPr>
          <w:rFonts w:hint="cs"/>
          <w:rtl/>
        </w:rPr>
        <w:t>،</w:t>
      </w:r>
      <w:r w:rsidRPr="005675B2">
        <w:rPr>
          <w:rFonts w:hint="cs"/>
          <w:rtl/>
        </w:rPr>
        <w:t xml:space="preserve"> ومعناها منقول عن عدد من أئمة المسلمين منهم يزيد بن هارون - شيخ الإمام أحمد -</w:t>
      </w:r>
      <w:r w:rsidR="000636C2">
        <w:rPr>
          <w:rFonts w:hint="cs"/>
          <w:rtl/>
        </w:rPr>
        <w:t>،</w:t>
      </w:r>
      <w:r w:rsidRPr="005675B2">
        <w:rPr>
          <w:rFonts w:hint="cs"/>
          <w:rtl/>
        </w:rPr>
        <w:t xml:space="preserve"> والإمام أحمد</w:t>
      </w:r>
      <w:r w:rsidR="000636C2">
        <w:rPr>
          <w:rFonts w:hint="cs"/>
          <w:rtl/>
        </w:rPr>
        <w:t>،</w:t>
      </w:r>
      <w:r w:rsidRPr="005675B2">
        <w:rPr>
          <w:rFonts w:hint="cs"/>
          <w:rtl/>
        </w:rPr>
        <w:t xml:space="preserve"> وابن جرير الطبري</w:t>
      </w:r>
      <w:r w:rsidR="000636C2">
        <w:rPr>
          <w:rFonts w:hint="cs"/>
          <w:rtl/>
        </w:rPr>
        <w:t>،</w:t>
      </w:r>
      <w:r w:rsidRPr="005675B2">
        <w:rPr>
          <w:rFonts w:hint="cs"/>
          <w:rtl/>
        </w:rPr>
        <w:t>والطحاوي في الطحاوية</w:t>
      </w:r>
      <w:r w:rsidR="000636C2">
        <w:rPr>
          <w:rFonts w:hint="cs"/>
          <w:rtl/>
        </w:rPr>
        <w:t>،</w:t>
      </w:r>
      <w:r w:rsidRPr="005675B2">
        <w:rPr>
          <w:rFonts w:hint="cs"/>
          <w:rtl/>
        </w:rPr>
        <w:t xml:space="preserve"> وابن حبان</w:t>
      </w:r>
      <w:r w:rsidR="000636C2">
        <w:rPr>
          <w:rFonts w:hint="cs"/>
          <w:rtl/>
        </w:rPr>
        <w:t>،</w:t>
      </w:r>
      <w:r w:rsidRPr="005675B2">
        <w:rPr>
          <w:rFonts w:hint="cs"/>
          <w:rtl/>
        </w:rPr>
        <w:t xml:space="preserve"> والبيهقي</w:t>
      </w:r>
      <w:r w:rsidR="000636C2">
        <w:rPr>
          <w:rFonts w:hint="cs"/>
          <w:rtl/>
        </w:rPr>
        <w:t>،</w:t>
      </w:r>
      <w:r w:rsidRPr="005675B2">
        <w:rPr>
          <w:rFonts w:hint="cs"/>
          <w:rtl/>
        </w:rPr>
        <w:t xml:space="preserve"> والقاضي الفرا</w:t>
      </w:r>
      <w:r w:rsidR="000636C2">
        <w:rPr>
          <w:rFonts w:hint="cs"/>
          <w:rtl/>
        </w:rPr>
        <w:t>،</w:t>
      </w:r>
      <w:r w:rsidRPr="005675B2">
        <w:rPr>
          <w:rFonts w:hint="cs"/>
          <w:rtl/>
        </w:rPr>
        <w:t xml:space="preserve"> وغيرهم</w:t>
      </w:r>
      <w:r w:rsidR="000636C2">
        <w:rPr>
          <w:rFonts w:hint="cs"/>
          <w:rtl/>
        </w:rPr>
        <w:t>،</w:t>
      </w:r>
      <w:r w:rsidRPr="005675B2">
        <w:rPr>
          <w:rFonts w:hint="cs"/>
          <w:rtl/>
        </w:rPr>
        <w:t xml:space="preserve"> وجاء معناها في الاعتقاد القادري الذي كتب للخليفة العباسي القادر بالله</w:t>
      </w:r>
      <w:r w:rsidR="000636C2">
        <w:rPr>
          <w:rFonts w:hint="cs"/>
          <w:rtl/>
        </w:rPr>
        <w:t>!</w:t>
      </w:r>
      <w:r w:rsidRPr="005675B2">
        <w:rPr>
          <w:rFonts w:hint="cs"/>
          <w:rtl/>
        </w:rPr>
        <w:t xml:space="preserve"> فكيف غفل ابن تيمية عن هذا</w:t>
      </w:r>
      <w:r w:rsidR="000636C2">
        <w:rPr>
          <w:rFonts w:hint="cs"/>
          <w:rtl/>
        </w:rPr>
        <w:t>؟،</w:t>
      </w:r>
      <w:r w:rsidRPr="005675B2">
        <w:rPr>
          <w:rFonts w:hint="cs"/>
          <w:rtl/>
        </w:rPr>
        <w:t xml:space="preserve"> وابن تيمية</w:t>
      </w:r>
      <w:r w:rsidR="000636C2">
        <w:rPr>
          <w:rFonts w:hint="cs"/>
          <w:rtl/>
        </w:rPr>
        <w:t xml:space="preserve"> </w:t>
      </w:r>
      <w:r w:rsidRPr="005675B2">
        <w:rPr>
          <w:rFonts w:hint="cs"/>
          <w:rtl/>
        </w:rPr>
        <w:t>ينقل في معرض الثناء والإقرار قول عمرو بن عثمان المكي رحمه الله</w:t>
      </w:r>
      <w:r w:rsidR="000636C2">
        <w:rPr>
          <w:rFonts w:hint="cs"/>
          <w:rtl/>
        </w:rPr>
        <w:t>:</w:t>
      </w:r>
      <w:r w:rsidRPr="005675B2">
        <w:rPr>
          <w:rFonts w:hint="cs"/>
          <w:rtl/>
        </w:rPr>
        <w:t xml:space="preserve"> </w:t>
      </w:r>
      <w:r w:rsidR="000636C2">
        <w:rPr>
          <w:rFonts w:hint="cs"/>
          <w:rtl/>
        </w:rPr>
        <w:t>[</w:t>
      </w:r>
      <w:r w:rsidRPr="005675B2">
        <w:rPr>
          <w:rFonts w:hint="cs"/>
          <w:rtl/>
        </w:rPr>
        <w:t>الله تعالى واحد لا كالآحاد ..</w:t>
      </w:r>
      <w:r w:rsidR="000636C2">
        <w:rPr>
          <w:rFonts w:hint="cs"/>
          <w:rtl/>
        </w:rPr>
        <w:t>،</w:t>
      </w:r>
      <w:r w:rsidRPr="005675B2">
        <w:rPr>
          <w:rFonts w:hint="cs"/>
          <w:rtl/>
        </w:rPr>
        <w:t xml:space="preserve"> خلصت له الأسماء السنية</w:t>
      </w:r>
      <w:r w:rsidR="000636C2">
        <w:rPr>
          <w:rFonts w:hint="cs"/>
          <w:rtl/>
        </w:rPr>
        <w:t>،</w:t>
      </w:r>
      <w:r w:rsidRPr="005675B2">
        <w:rPr>
          <w:rFonts w:hint="cs"/>
          <w:rtl/>
        </w:rPr>
        <w:t xml:space="preserve"> فكانت واقعة في قديم الأزل بصدق الحقائق ..</w:t>
      </w:r>
      <w:r w:rsidR="000636C2">
        <w:rPr>
          <w:rFonts w:hint="cs"/>
          <w:rtl/>
        </w:rPr>
        <w:t>،</w:t>
      </w:r>
      <w:r w:rsidRPr="005675B2">
        <w:rPr>
          <w:rFonts w:hint="cs"/>
          <w:rtl/>
        </w:rPr>
        <w:t xml:space="preserve"> فكان هادياً سيهدي</w:t>
      </w:r>
      <w:r w:rsidR="000636C2">
        <w:rPr>
          <w:rFonts w:hint="cs"/>
          <w:rtl/>
        </w:rPr>
        <w:t>،</w:t>
      </w:r>
      <w:r w:rsidRPr="005675B2">
        <w:rPr>
          <w:rFonts w:hint="cs"/>
          <w:rtl/>
        </w:rPr>
        <w:t xml:space="preserve"> وخالقاً سيخلق</w:t>
      </w:r>
      <w:r w:rsidR="000636C2">
        <w:rPr>
          <w:rFonts w:hint="cs"/>
          <w:rtl/>
        </w:rPr>
        <w:t>،</w:t>
      </w:r>
      <w:r w:rsidRPr="005675B2">
        <w:rPr>
          <w:rFonts w:hint="cs"/>
          <w:rtl/>
        </w:rPr>
        <w:t xml:space="preserve"> ورازقاً سيرزق</w:t>
      </w:r>
      <w:r w:rsidR="000636C2">
        <w:rPr>
          <w:rFonts w:hint="cs"/>
          <w:rtl/>
        </w:rPr>
        <w:t>،</w:t>
      </w:r>
      <w:r w:rsidRPr="005675B2">
        <w:rPr>
          <w:rFonts w:hint="cs"/>
          <w:rtl/>
        </w:rPr>
        <w:t xml:space="preserve"> وفاعلاً سيفعل</w:t>
      </w:r>
      <w:r w:rsidR="000636C2">
        <w:rPr>
          <w:rFonts w:hint="cs"/>
          <w:rtl/>
        </w:rPr>
        <w:t>]</w:t>
      </w:r>
      <w:r w:rsidRPr="005675B2">
        <w:rPr>
          <w:rFonts w:hint="cs"/>
          <w:rtl/>
        </w:rPr>
        <w:t xml:space="preserve"> [</w:t>
      </w:r>
      <w:r w:rsidRPr="005675B2">
        <w:rPr>
          <w:rFonts w:hint="cs"/>
          <w:sz w:val="24"/>
          <w:szCs w:val="24"/>
          <w:rtl/>
        </w:rPr>
        <w:t>مجموع فتاوى ابن تيمية: 5 / 63 . وعمروبن عثمان المكي ترجمه الذهبي في سير أعلام النبلاء</w:t>
      </w:r>
      <w:r w:rsidR="000636C2">
        <w:rPr>
          <w:rFonts w:hint="cs"/>
          <w:sz w:val="24"/>
          <w:szCs w:val="24"/>
          <w:rtl/>
        </w:rPr>
        <w:t xml:space="preserve"> </w:t>
      </w:r>
      <w:r w:rsidRPr="005675B2">
        <w:rPr>
          <w:rFonts w:hint="cs"/>
          <w:sz w:val="24"/>
          <w:szCs w:val="24"/>
          <w:rtl/>
        </w:rPr>
        <w:t>توفي بعد الثلاثمائة</w:t>
      </w:r>
      <w:r w:rsidR="000636C2">
        <w:rPr>
          <w:rFonts w:hint="cs"/>
          <w:sz w:val="24"/>
          <w:szCs w:val="24"/>
          <w:rtl/>
        </w:rPr>
        <w:t xml:space="preserve"> </w:t>
      </w:r>
      <w:r w:rsidRPr="005675B2">
        <w:rPr>
          <w:rFonts w:hint="cs"/>
          <w:sz w:val="24"/>
          <w:szCs w:val="24"/>
          <w:rtl/>
        </w:rPr>
        <w:t>14 / 57 – 58</w:t>
      </w:r>
      <w:r w:rsidR="000636C2">
        <w:rPr>
          <w:rFonts w:hint="cs"/>
          <w:sz w:val="24"/>
          <w:szCs w:val="24"/>
          <w:rtl/>
        </w:rPr>
        <w:t xml:space="preserve"> </w:t>
      </w:r>
      <w:r w:rsidRPr="005675B2">
        <w:rPr>
          <w:rFonts w:hint="cs"/>
          <w:sz w:val="24"/>
          <w:szCs w:val="24"/>
          <w:rtl/>
        </w:rPr>
        <w:t>. ورد الشيخ صلاح الدِّين بن أَحمد الإدلبي</w:t>
      </w:r>
      <w:r w:rsidRPr="005675B2">
        <w:rPr>
          <w:rFonts w:hint="cs"/>
          <w:rtl/>
        </w:rPr>
        <w:t>]</w:t>
      </w:r>
      <w:r w:rsidR="000636C2">
        <w:rPr>
          <w:rFonts w:hint="cs"/>
          <w:rtl/>
        </w:rPr>
        <w:t>،</w:t>
      </w:r>
    </w:p>
    <w:p w14:paraId="65724818" w14:textId="3796B951" w:rsidR="009C32A0" w:rsidRPr="005675B2" w:rsidRDefault="009C32A0" w:rsidP="000636C2">
      <w:pPr>
        <w:rPr>
          <w:b/>
          <w:rtl/>
        </w:rPr>
      </w:pPr>
      <w:r w:rsidRPr="005675B2">
        <w:rPr>
          <w:rFonts w:hint="cs"/>
          <w:rtl/>
        </w:rPr>
        <w:t>أخيراً</w:t>
      </w:r>
      <w:r w:rsidR="000636C2">
        <w:rPr>
          <w:rFonts w:hint="cs"/>
          <w:rtl/>
        </w:rPr>
        <w:t>:</w:t>
      </w:r>
      <w:r w:rsidRPr="005675B2">
        <w:rPr>
          <w:rFonts w:hint="cs"/>
          <w:rtl/>
        </w:rPr>
        <w:t xml:space="preserve"> فليعلم الجميع أن المسألة قطعية لا اجتهادية</w:t>
      </w:r>
      <w:r w:rsidR="000636C2">
        <w:rPr>
          <w:rFonts w:hint="cs"/>
          <w:rtl/>
        </w:rPr>
        <w:t>،</w:t>
      </w:r>
      <w:r w:rsidRPr="005675B2">
        <w:rPr>
          <w:rFonts w:hint="cs"/>
          <w:rtl/>
        </w:rPr>
        <w:t xml:space="preserve"> ولا يجوز المداهنات في هذا</w:t>
      </w:r>
      <w:r w:rsidR="000636C2">
        <w:rPr>
          <w:rFonts w:hint="cs"/>
          <w:rtl/>
        </w:rPr>
        <w:t>،</w:t>
      </w:r>
      <w:r w:rsidRPr="005675B2">
        <w:rPr>
          <w:rFonts w:hint="cs"/>
          <w:rtl/>
        </w:rPr>
        <w:t>والواجب هو النصح والبيان</w:t>
      </w:r>
      <w:r w:rsidR="000636C2">
        <w:rPr>
          <w:rFonts w:hint="cs"/>
          <w:rtl/>
        </w:rPr>
        <w:t xml:space="preserve"> </w:t>
      </w:r>
      <w:r w:rsidRPr="005675B2">
        <w:rPr>
          <w:rFonts w:hint="cs"/>
          <w:rtl/>
        </w:rPr>
        <w:t>فالدين النصيحة</w:t>
      </w:r>
      <w:r w:rsidR="000636C2">
        <w:rPr>
          <w:rFonts w:hint="cs"/>
          <w:rtl/>
        </w:rPr>
        <w:t>،</w:t>
      </w:r>
      <w:r>
        <w:rPr>
          <w:rFonts w:hint="cs"/>
          <w:rtl/>
        </w:rPr>
        <w:t xml:space="preserve"> </w:t>
      </w:r>
      <w:r w:rsidRPr="005675B2">
        <w:rPr>
          <w:rFonts w:hint="cs"/>
          <w:rtl/>
        </w:rPr>
        <w:t>قال ملا علي القاري في شرح الفقه الأكبر ما نصه</w:t>
      </w:r>
      <w:r w:rsidR="000636C2">
        <w:rPr>
          <w:rFonts w:hint="cs"/>
          <w:rtl/>
        </w:rPr>
        <w:t>:</w:t>
      </w:r>
      <w:r w:rsidRPr="005675B2">
        <w:rPr>
          <w:rFonts w:hint="cs"/>
          <w:rtl/>
        </w:rPr>
        <w:t xml:space="preserve"> "ثم اعلم أن المراد بأهل القبلة الذين اتفقوا على ما هو من ضروريات الدين، كحدوث العالم وحشر الأجساد، وعلم الله بالكليات</w:t>
      </w:r>
      <w:r w:rsidR="000636C2">
        <w:rPr>
          <w:rFonts w:hint="cs"/>
          <w:rtl/>
        </w:rPr>
        <w:t>،</w:t>
      </w:r>
      <w:r w:rsidRPr="005675B2">
        <w:rPr>
          <w:rFonts w:hint="cs"/>
          <w:rtl/>
        </w:rPr>
        <w:t>والجزئيات</w:t>
      </w:r>
      <w:r w:rsidR="000636C2">
        <w:rPr>
          <w:rFonts w:hint="cs"/>
          <w:rtl/>
        </w:rPr>
        <w:t>،</w:t>
      </w:r>
      <w:r w:rsidRPr="005675B2">
        <w:rPr>
          <w:rFonts w:hint="cs"/>
          <w:rtl/>
        </w:rPr>
        <w:t>وما أشبه ذلك من المسائل، فمن واظب طول عمره على الطاعات</w:t>
      </w:r>
      <w:r w:rsidR="000636C2">
        <w:rPr>
          <w:rFonts w:hint="cs"/>
          <w:rtl/>
        </w:rPr>
        <w:t>،</w:t>
      </w:r>
      <w:r w:rsidRPr="005675B2">
        <w:rPr>
          <w:rFonts w:hint="cs"/>
          <w:rtl/>
        </w:rPr>
        <w:t>والعبادات</w:t>
      </w:r>
      <w:r w:rsidR="000636C2">
        <w:rPr>
          <w:rFonts w:hint="cs"/>
          <w:rtl/>
        </w:rPr>
        <w:t>،</w:t>
      </w:r>
      <w:r w:rsidRPr="005675B2">
        <w:rPr>
          <w:rFonts w:hint="cs"/>
          <w:rtl/>
        </w:rPr>
        <w:t>مع اعتقاد قدم العالم، أو نفي الشر، أو نفي علمه سبحانه بالجزئيات لا يكون من أهل القبلة" أهـ</w:t>
      </w:r>
      <w:r w:rsidR="000636C2">
        <w:rPr>
          <w:rFonts w:hint="cs"/>
          <w:rtl/>
        </w:rPr>
        <w:t>،</w:t>
      </w:r>
      <w:r w:rsidRPr="005675B2">
        <w:rPr>
          <w:rFonts w:hint="cs"/>
          <w:rtl/>
        </w:rPr>
        <w:t xml:space="preserve"> </w:t>
      </w:r>
      <w:r w:rsidR="000636C2">
        <w:rPr>
          <w:rFonts w:hint="cs"/>
          <w:rtl/>
        </w:rPr>
        <w:t>[</w:t>
      </w:r>
      <w:r w:rsidRPr="005675B2">
        <w:rPr>
          <w:rFonts w:hint="cs"/>
          <w:bCs/>
          <w:sz w:val="24"/>
          <w:szCs w:val="24"/>
          <w:rtl/>
        </w:rPr>
        <w:t>شرح الفقه الأكبر (ص/ 154- 155)</w:t>
      </w:r>
      <w:r w:rsidRPr="005675B2">
        <w:rPr>
          <w:rFonts w:hint="cs"/>
          <w:rtl/>
        </w:rPr>
        <w:t>]</w:t>
      </w:r>
      <w:r w:rsidR="000636C2">
        <w:rPr>
          <w:rFonts w:hint="cs"/>
          <w:rtl/>
        </w:rPr>
        <w:t>،</w:t>
      </w:r>
    </w:p>
    <w:p w14:paraId="6C44B3CF" w14:textId="76BE6C2D" w:rsidR="009C32A0" w:rsidRPr="005675B2" w:rsidRDefault="009C32A0" w:rsidP="000636C2">
      <w:pPr>
        <w:rPr>
          <w:b/>
          <w:rtl/>
        </w:rPr>
      </w:pPr>
      <w:r w:rsidRPr="00637CA8">
        <w:rPr>
          <w:rFonts w:hint="cs"/>
          <w:bCs/>
          <w:rtl/>
        </w:rPr>
        <w:t>المسألة الرابعة</w:t>
      </w:r>
      <w:r w:rsidR="000636C2">
        <w:rPr>
          <w:rFonts w:hint="cs"/>
          <w:bCs/>
          <w:rtl/>
        </w:rPr>
        <w:t xml:space="preserve"> </w:t>
      </w:r>
      <w:r w:rsidRPr="00637CA8">
        <w:rPr>
          <w:rFonts w:hint="cs"/>
          <w:bCs/>
          <w:rtl/>
        </w:rPr>
        <w:t>مسألة القول بفناء النار</w:t>
      </w:r>
      <w:r w:rsidR="000636C2">
        <w:rPr>
          <w:rFonts w:hint="cs"/>
          <w:rtl/>
        </w:rPr>
        <w:t>:</w:t>
      </w:r>
      <w:r>
        <w:rPr>
          <w:rFonts w:hint="cs"/>
          <w:rtl/>
        </w:rPr>
        <w:t xml:space="preserve"> </w:t>
      </w:r>
      <w:r w:rsidRPr="005675B2">
        <w:rPr>
          <w:rFonts w:hint="cs"/>
          <w:rtl/>
        </w:rPr>
        <w:t>فالقول بأن النار تفنى قول باطل ألفت فيه رسالة لابن تيمية غفر الله له</w:t>
      </w:r>
      <w:r w:rsidR="000636C2">
        <w:rPr>
          <w:rFonts w:hint="cs"/>
          <w:rtl/>
        </w:rPr>
        <w:t>،</w:t>
      </w:r>
      <w:r w:rsidRPr="005675B2">
        <w:rPr>
          <w:rFonts w:hint="cs"/>
          <w:rtl/>
        </w:rPr>
        <w:t>وذكر ابن القيم أنها مسألة اجتهادية</w:t>
      </w:r>
      <w:r w:rsidR="000636C2">
        <w:rPr>
          <w:rFonts w:hint="cs"/>
          <w:rtl/>
        </w:rPr>
        <w:t>،</w:t>
      </w:r>
      <w:r w:rsidRPr="005675B2">
        <w:rPr>
          <w:rFonts w:hint="cs"/>
          <w:rtl/>
        </w:rPr>
        <w:t xml:space="preserve"> وللعلم فليس كل السلفية يقولون بفناء النار</w:t>
      </w:r>
      <w:r w:rsidR="000636C2">
        <w:rPr>
          <w:rFonts w:hint="cs"/>
          <w:rtl/>
        </w:rPr>
        <w:t>،</w:t>
      </w:r>
      <w:r w:rsidRPr="005675B2">
        <w:rPr>
          <w:rFonts w:hint="cs"/>
          <w:rtl/>
        </w:rPr>
        <w:t xml:space="preserve"> لكن أكثرهم يقول أنها مسألة اجتهادية</w:t>
      </w:r>
      <w:r w:rsidR="000636C2">
        <w:rPr>
          <w:rFonts w:hint="cs"/>
          <w:rtl/>
        </w:rPr>
        <w:t>،</w:t>
      </w:r>
      <w:r w:rsidRPr="005675B2">
        <w:rPr>
          <w:rFonts w:hint="cs"/>
          <w:rtl/>
        </w:rPr>
        <w:t>وهذا القول باطل</w:t>
      </w:r>
      <w:r w:rsidR="000636C2">
        <w:rPr>
          <w:rFonts w:hint="cs"/>
          <w:rtl/>
        </w:rPr>
        <w:t>،</w:t>
      </w:r>
      <w:r w:rsidRPr="005675B2">
        <w:rPr>
          <w:rFonts w:hint="cs"/>
          <w:rtl/>
        </w:rPr>
        <w:t>وقد كُتبت</w:t>
      </w:r>
      <w:r w:rsidR="000636C2">
        <w:rPr>
          <w:rFonts w:hint="cs"/>
          <w:rtl/>
        </w:rPr>
        <w:t xml:space="preserve"> </w:t>
      </w:r>
      <w:r w:rsidRPr="005675B2">
        <w:rPr>
          <w:rFonts w:hint="cs"/>
          <w:rtl/>
        </w:rPr>
        <w:t>ردود كثيرة على هذه المسألة رغم أنها</w:t>
      </w:r>
      <w:r w:rsidR="000636C2">
        <w:rPr>
          <w:rFonts w:hint="cs"/>
          <w:rtl/>
        </w:rPr>
        <w:t xml:space="preserve"> </w:t>
      </w:r>
      <w:r w:rsidRPr="005675B2">
        <w:rPr>
          <w:rFonts w:hint="cs"/>
          <w:rtl/>
        </w:rPr>
        <w:t>مسألة واضحة أجمع العلماء على أن النار تفنى وفيها نصوص قطعية من الكتاب</w:t>
      </w:r>
      <w:r w:rsidR="000636C2">
        <w:rPr>
          <w:rFonts w:hint="cs"/>
          <w:rtl/>
        </w:rPr>
        <w:t>،</w:t>
      </w:r>
      <w:r w:rsidRPr="005675B2">
        <w:rPr>
          <w:rFonts w:hint="cs"/>
          <w:rtl/>
        </w:rPr>
        <w:t xml:space="preserve"> </w:t>
      </w:r>
      <w:r w:rsidRPr="005675B2">
        <w:rPr>
          <w:rFonts w:hint="cs"/>
          <w:spacing w:val="-4"/>
          <w:rtl/>
        </w:rPr>
        <w:t xml:space="preserve">وقد أحصى العلماء آيات كثيرة تصرح بخلود الكفار في النار إما </w:t>
      </w:r>
      <w:r w:rsidRPr="005675B2">
        <w:rPr>
          <w:rFonts w:hint="cs"/>
          <w:rtl/>
        </w:rPr>
        <w:t>لفظاً ومعنى أو بالمعنى فقط منها أربع آيات تذكر التأبيد مما ينفي تماماً أي احتمال للتأويل فالأبد هو</w:t>
      </w:r>
      <w:r w:rsidR="000636C2">
        <w:rPr>
          <w:rFonts w:hint="cs"/>
          <w:rtl/>
        </w:rPr>
        <w:t>:</w:t>
      </w:r>
      <w:r w:rsidRPr="005675B2">
        <w:rPr>
          <w:rFonts w:hint="cs"/>
          <w:rtl/>
        </w:rPr>
        <w:t xml:space="preserve"> الدائم كما فسرته كتب اللغة وهو الشيء الذي لا نهاية له «</w:t>
      </w:r>
      <w:r w:rsidR="000636C2">
        <w:rPr>
          <w:rFonts w:hint="cs"/>
          <w:rtl/>
        </w:rPr>
        <w:t xml:space="preserve"> </w:t>
      </w:r>
      <w:r w:rsidRPr="005675B2">
        <w:rPr>
          <w:rFonts w:hint="cs"/>
          <w:rtl/>
        </w:rPr>
        <w:t>كما شرحه العلماء والآيات التي ذكر فيها التأبيد هي</w:t>
      </w:r>
      <w:r w:rsidR="000636C2">
        <w:rPr>
          <w:rFonts w:hint="cs"/>
          <w:rtl/>
        </w:rPr>
        <w:t xml:space="preserve">: </w:t>
      </w:r>
      <w:r w:rsidRPr="005675B2">
        <w:rPr>
          <w:rFonts w:hint="cs"/>
          <w:rtl/>
        </w:rPr>
        <w:t>أ -</w:t>
      </w:r>
      <w:r w:rsidR="000636C2">
        <w:rPr>
          <w:rFonts w:hint="cs"/>
          <w:rtl/>
        </w:rPr>
        <w:t>}</w:t>
      </w:r>
      <w:r w:rsidRPr="005675B2">
        <w:rPr>
          <w:rFonts w:hint="cs"/>
          <w:rtl/>
        </w:rPr>
        <w:t xml:space="preserve"> إن الذين كفروا وظلموا لم يكن الله ليغفر لهم وليهديهم طريقا إلا طريق جهنم خالدين فيها أبداً </w:t>
      </w:r>
      <w:r w:rsidR="000636C2">
        <w:rPr>
          <w:rtl/>
        </w:rPr>
        <w:t>{</w:t>
      </w:r>
      <w:r w:rsidRPr="005675B2">
        <w:rPr>
          <w:rFonts w:hint="cs"/>
          <w:rtl/>
        </w:rPr>
        <w:t>النساء</w:t>
      </w:r>
      <w:r w:rsidR="000636C2">
        <w:rPr>
          <w:rFonts w:hint="cs"/>
          <w:rtl/>
        </w:rPr>
        <w:t>:</w:t>
      </w:r>
      <w:r w:rsidRPr="005675B2">
        <w:rPr>
          <w:rFonts w:hint="cs"/>
          <w:rtl/>
        </w:rPr>
        <w:t xml:space="preserve"> 168، 169</w:t>
      </w:r>
      <w:r w:rsidR="000636C2">
        <w:rPr>
          <w:rFonts w:hint="cs"/>
          <w:rtl/>
        </w:rPr>
        <w:t>،</w:t>
      </w:r>
      <w:r>
        <w:rPr>
          <w:rFonts w:hint="cs"/>
          <w:rtl/>
        </w:rPr>
        <w:t xml:space="preserve"> </w:t>
      </w:r>
      <w:r w:rsidRPr="005675B2">
        <w:rPr>
          <w:rFonts w:hint="cs"/>
          <w:rtl/>
        </w:rPr>
        <w:t>ب -</w:t>
      </w:r>
      <w:r w:rsidR="000636C2">
        <w:rPr>
          <w:rFonts w:hint="cs"/>
          <w:rtl/>
        </w:rPr>
        <w:t>]</w:t>
      </w:r>
      <w:r w:rsidRPr="005675B2">
        <w:rPr>
          <w:rFonts w:hint="cs"/>
          <w:rtl/>
        </w:rPr>
        <w:t xml:space="preserve"> إن الله لعن الكافرين وأعد لهم سعيراً خالدين فيها أبداً لا يجدون وليا ولا نصيراً</w:t>
      </w:r>
      <w:r w:rsidR="000636C2">
        <w:rPr>
          <w:rFonts w:hint="cs"/>
          <w:rtl/>
        </w:rPr>
        <w:t>[</w:t>
      </w:r>
      <w:r w:rsidRPr="005675B2">
        <w:rPr>
          <w:rFonts w:hint="cs"/>
          <w:rtl/>
        </w:rPr>
        <w:t>الأحزاب</w:t>
      </w:r>
      <w:r w:rsidR="000636C2">
        <w:rPr>
          <w:rFonts w:hint="cs"/>
          <w:rtl/>
        </w:rPr>
        <w:t>:</w:t>
      </w:r>
      <w:r w:rsidRPr="005675B2">
        <w:rPr>
          <w:rFonts w:hint="cs"/>
          <w:rtl/>
        </w:rPr>
        <w:t xml:space="preserve"> 64، 65</w:t>
      </w:r>
      <w:r w:rsidR="000636C2">
        <w:rPr>
          <w:rFonts w:hint="cs"/>
          <w:rtl/>
        </w:rPr>
        <w:t>،</w:t>
      </w:r>
      <w:r>
        <w:rPr>
          <w:rFonts w:hint="cs"/>
          <w:rtl/>
        </w:rPr>
        <w:t xml:space="preserve"> </w:t>
      </w:r>
      <w:r w:rsidRPr="005675B2">
        <w:rPr>
          <w:rFonts w:hint="cs"/>
          <w:rtl/>
        </w:rPr>
        <w:t>ج</w:t>
      </w:r>
      <w:r w:rsidR="000636C2">
        <w:rPr>
          <w:rFonts w:hint="cs"/>
          <w:rtl/>
        </w:rPr>
        <w:t xml:space="preserve"> </w:t>
      </w:r>
      <w:r w:rsidRPr="005675B2">
        <w:rPr>
          <w:rFonts w:hint="cs"/>
          <w:rtl/>
        </w:rPr>
        <w:t xml:space="preserve">- </w:t>
      </w:r>
      <w:r w:rsidR="000636C2">
        <w:rPr>
          <w:rFonts w:hint="cs"/>
          <w:rtl/>
        </w:rPr>
        <w:t>{</w:t>
      </w:r>
      <w:r w:rsidRPr="005675B2">
        <w:rPr>
          <w:rFonts w:hint="cs"/>
          <w:rtl/>
        </w:rPr>
        <w:t>إلا بلاغا من الله ورسالاته ومن يعص الله ورسوله فإن له نار جهنم خالدين فيها أبداً}الجن</w:t>
      </w:r>
      <w:r w:rsidR="000636C2">
        <w:rPr>
          <w:rFonts w:hint="cs"/>
          <w:rtl/>
        </w:rPr>
        <w:t>:</w:t>
      </w:r>
      <w:r w:rsidRPr="005675B2">
        <w:rPr>
          <w:rFonts w:hint="cs"/>
          <w:rtl/>
        </w:rPr>
        <w:t xml:space="preserve"> 32</w:t>
      </w:r>
      <w:r w:rsidR="000636C2">
        <w:rPr>
          <w:rFonts w:hint="cs"/>
          <w:rtl/>
        </w:rPr>
        <w:t>،</w:t>
      </w:r>
      <w:r>
        <w:rPr>
          <w:rFonts w:hint="cs"/>
          <w:rtl/>
        </w:rPr>
        <w:t xml:space="preserve"> </w:t>
      </w:r>
      <w:r w:rsidRPr="005675B2">
        <w:rPr>
          <w:rFonts w:hint="cs"/>
          <w:rtl/>
        </w:rPr>
        <w:t>د</w:t>
      </w:r>
      <w:r w:rsidR="000636C2">
        <w:rPr>
          <w:rFonts w:hint="cs"/>
          <w:rtl/>
        </w:rPr>
        <w:t xml:space="preserve"> </w:t>
      </w:r>
      <w:r w:rsidRPr="005675B2">
        <w:rPr>
          <w:rFonts w:hint="cs"/>
          <w:rtl/>
        </w:rPr>
        <w:t>- {إنهم إن يظهروا عليكم يرجموكم أو يعيدوكم في ملتهم ولن تفلحوا إذا أبداً</w:t>
      </w:r>
      <w:r w:rsidR="000636C2">
        <w:rPr>
          <w:rFonts w:hint="cs"/>
          <w:rtl/>
        </w:rPr>
        <w:t>}</w:t>
      </w:r>
      <w:r w:rsidRPr="005675B2">
        <w:rPr>
          <w:rFonts w:hint="cs"/>
          <w:rtl/>
        </w:rPr>
        <w:t>الكهف</w:t>
      </w:r>
      <w:r w:rsidR="000636C2">
        <w:rPr>
          <w:rFonts w:hint="cs"/>
          <w:rtl/>
        </w:rPr>
        <w:t>:</w:t>
      </w:r>
      <w:r w:rsidRPr="005675B2">
        <w:rPr>
          <w:rFonts w:hint="cs"/>
          <w:rtl/>
        </w:rPr>
        <w:t xml:space="preserve"> 20</w:t>
      </w:r>
      <w:r w:rsidR="000636C2">
        <w:rPr>
          <w:rFonts w:hint="cs"/>
          <w:rtl/>
        </w:rPr>
        <w:t>،</w:t>
      </w:r>
      <w:r>
        <w:rPr>
          <w:rFonts w:hint="cs"/>
          <w:rtl/>
        </w:rPr>
        <w:t xml:space="preserve"> </w:t>
      </w:r>
      <w:r w:rsidR="000636C2">
        <w:rPr>
          <w:rFonts w:hint="cs"/>
          <w:rtl/>
        </w:rPr>
        <w:t>(</w:t>
      </w:r>
      <w:r>
        <w:rPr>
          <w:rFonts w:hint="cs"/>
          <w:rtl/>
        </w:rPr>
        <w:t>ثانيا</w:t>
      </w:r>
      <w:r w:rsidR="000636C2">
        <w:rPr>
          <w:rFonts w:hint="cs"/>
          <w:rtl/>
        </w:rPr>
        <w:t>):</w:t>
      </w:r>
      <w:r w:rsidRPr="005675B2">
        <w:rPr>
          <w:rFonts w:hint="cs"/>
          <w:rtl/>
        </w:rPr>
        <w:t xml:space="preserve"> هناك أربع وثلاثون آية أخرى غير ما سبق ذكر فيها لفظ الخلود فقط بدون التأبيد</w:t>
      </w:r>
      <w:r w:rsidR="000636C2">
        <w:rPr>
          <w:rFonts w:hint="cs"/>
          <w:rtl/>
        </w:rPr>
        <w:t xml:space="preserve">، </w:t>
      </w:r>
      <w:r w:rsidRPr="005675B2">
        <w:rPr>
          <w:rFonts w:hint="cs"/>
          <w:rtl/>
        </w:rPr>
        <w:t>ثالثاً</w:t>
      </w:r>
      <w:r w:rsidR="000636C2">
        <w:rPr>
          <w:rFonts w:hint="cs"/>
          <w:rtl/>
        </w:rPr>
        <w:t>:</w:t>
      </w:r>
      <w:r w:rsidRPr="005675B2">
        <w:rPr>
          <w:rFonts w:hint="cs"/>
          <w:rtl/>
        </w:rPr>
        <w:t xml:space="preserve"> هناك</w:t>
      </w:r>
      <w:r w:rsidR="000636C2">
        <w:rPr>
          <w:rFonts w:hint="cs"/>
          <w:rtl/>
        </w:rPr>
        <w:t xml:space="preserve"> </w:t>
      </w:r>
      <w:r w:rsidRPr="005675B2">
        <w:rPr>
          <w:rFonts w:hint="cs"/>
          <w:rtl/>
        </w:rPr>
        <w:t>تسع وعشرون آية تتضمن معنى الخلود والتأبيد للكفار في جهنم فمنها على سبيل المثال</w:t>
      </w:r>
      <w:r w:rsidR="000636C2">
        <w:rPr>
          <w:rFonts w:hint="cs"/>
          <w:rtl/>
        </w:rPr>
        <w:t>:</w:t>
      </w:r>
      <w:r w:rsidRPr="005675B2">
        <w:rPr>
          <w:rFonts w:hint="cs"/>
          <w:rtl/>
        </w:rPr>
        <w:t xml:space="preserve"> قوله تعالى</w:t>
      </w:r>
      <w:r w:rsidR="000636C2">
        <w:rPr>
          <w:rFonts w:hint="cs"/>
          <w:rtl/>
        </w:rPr>
        <w:t>:</w:t>
      </w:r>
      <w:r w:rsidRPr="005675B2">
        <w:rPr>
          <w:rFonts w:hint="cs"/>
          <w:rtl/>
        </w:rPr>
        <w:t xml:space="preserve"> {إن الذين كفروا بآياتنا سوف نصليهم ناراً كلما نضجت جلودهم بدلناهم جلوداً غيرها ليذوقوا العذاب}</w:t>
      </w:r>
      <w:r w:rsidR="000636C2">
        <w:rPr>
          <w:rFonts w:hint="cs"/>
          <w:rtl/>
        </w:rPr>
        <w:t>،</w:t>
      </w:r>
      <w:r w:rsidRPr="005675B2">
        <w:rPr>
          <w:rFonts w:hint="cs"/>
          <w:rtl/>
        </w:rPr>
        <w:t xml:space="preserve"> تبدل في كل ساعة مائة مرة وقال الحسن</w:t>
      </w:r>
      <w:r w:rsidR="000636C2">
        <w:rPr>
          <w:rFonts w:hint="cs"/>
          <w:rtl/>
        </w:rPr>
        <w:t>:</w:t>
      </w:r>
      <w:r w:rsidRPr="005675B2">
        <w:rPr>
          <w:rFonts w:hint="cs"/>
          <w:rtl/>
        </w:rPr>
        <w:t xml:space="preserve"> تأكلهم النار كل يوم سبعين ألف مرة {إن الله كان عزيزاً} أي شديد النقمة على من عصاه</w:t>
      </w:r>
      <w:r w:rsidR="000636C2">
        <w:rPr>
          <w:rFonts w:hint="cs"/>
          <w:rtl/>
        </w:rPr>
        <w:t>،</w:t>
      </w:r>
      <w:r>
        <w:rPr>
          <w:rFonts w:hint="cs"/>
          <w:rtl/>
        </w:rPr>
        <w:t xml:space="preserve"> </w:t>
      </w:r>
      <w:r w:rsidRPr="005675B2">
        <w:rPr>
          <w:rFonts w:hint="cs"/>
          <w:rtl/>
        </w:rPr>
        <w:t>وقال تعالى</w:t>
      </w:r>
      <w:r w:rsidR="000636C2">
        <w:rPr>
          <w:rFonts w:hint="cs"/>
          <w:rtl/>
        </w:rPr>
        <w:t>:</w:t>
      </w:r>
      <w:r w:rsidRPr="005675B2">
        <w:rPr>
          <w:rFonts w:hint="cs"/>
          <w:rtl/>
        </w:rPr>
        <w:t xml:space="preserve"> {فالذين كفروا قطعت لهم ثياب من نار يصب من فوق رءوسهم الحميم</w:t>
      </w:r>
      <w:r w:rsidR="000636C2">
        <w:rPr>
          <w:rFonts w:hint="cs"/>
          <w:rtl/>
        </w:rPr>
        <w:t>،</w:t>
      </w:r>
      <w:r w:rsidRPr="005675B2">
        <w:rPr>
          <w:rFonts w:hint="cs"/>
          <w:rtl/>
        </w:rPr>
        <w:t xml:space="preserve"> يصهر به ما في بطونهم والجلود</w:t>
      </w:r>
      <w:r w:rsidR="000636C2">
        <w:rPr>
          <w:rFonts w:hint="cs"/>
          <w:rtl/>
        </w:rPr>
        <w:t>،</w:t>
      </w:r>
      <w:r w:rsidRPr="005675B2">
        <w:rPr>
          <w:rFonts w:hint="cs"/>
          <w:rtl/>
        </w:rPr>
        <w:t xml:space="preserve"> ولهم مقامع من حديد كلما أرادوا أن يخرجوا منها من غم</w:t>
      </w:r>
      <w:r w:rsidRPr="005675B2">
        <w:rPr>
          <w:rFonts w:hint="cs"/>
          <w:vertAlign w:val="superscript"/>
          <w:rtl/>
        </w:rPr>
        <w:t xml:space="preserve"> </w:t>
      </w:r>
      <w:r w:rsidRPr="005675B2">
        <w:rPr>
          <w:rFonts w:hint="cs"/>
          <w:rtl/>
        </w:rPr>
        <w:t>أعيدوا فيها وذوقوا عذاب الحريق} الآيات 19</w:t>
      </w:r>
      <w:r w:rsidR="000636C2">
        <w:rPr>
          <w:rFonts w:hint="cs"/>
          <w:rtl/>
        </w:rPr>
        <w:t xml:space="preserve"> </w:t>
      </w:r>
      <w:r w:rsidRPr="005675B2">
        <w:rPr>
          <w:rFonts w:hint="cs"/>
          <w:rtl/>
        </w:rPr>
        <w:t>- 22، من</w:t>
      </w:r>
      <w:r w:rsidR="000636C2">
        <w:rPr>
          <w:rFonts w:hint="cs"/>
          <w:rtl/>
        </w:rPr>
        <w:t xml:space="preserve"> </w:t>
      </w:r>
      <w:r w:rsidRPr="005675B2">
        <w:rPr>
          <w:rFonts w:hint="cs"/>
          <w:rtl/>
        </w:rPr>
        <w:t>سورة الحج .. وقال</w:t>
      </w:r>
      <w:r w:rsidR="000636C2">
        <w:rPr>
          <w:rFonts w:hint="cs"/>
          <w:rtl/>
        </w:rPr>
        <w:t>:</w:t>
      </w:r>
      <w:r w:rsidRPr="005675B2">
        <w:rPr>
          <w:rFonts w:hint="cs"/>
          <w:rtl/>
        </w:rPr>
        <w:t xml:space="preserve"> {فلن نزيدكم إلا عَذَابا}</w:t>
      </w:r>
      <w:r w:rsidR="000636C2">
        <w:rPr>
          <w:rFonts w:hint="cs"/>
          <w:rtl/>
        </w:rPr>
        <w:t>،</w:t>
      </w:r>
      <w:r w:rsidRPr="005675B2">
        <w:rPr>
          <w:rFonts w:hint="cs"/>
          <w:rtl/>
        </w:rPr>
        <w:t xml:space="preserve"> الآية 30، من سورة النبأ</w:t>
      </w:r>
      <w:r w:rsidR="000636C2">
        <w:rPr>
          <w:rFonts w:hint="cs"/>
          <w:rtl/>
        </w:rPr>
        <w:t>،</w:t>
      </w:r>
      <w:r w:rsidRPr="005675B2">
        <w:rPr>
          <w:rFonts w:hint="cs"/>
          <w:rtl/>
        </w:rPr>
        <w:t xml:space="preserve"> وقال تعالى</w:t>
      </w:r>
      <w:r w:rsidR="000636C2">
        <w:rPr>
          <w:rFonts w:hint="cs"/>
          <w:rtl/>
        </w:rPr>
        <w:t>:</w:t>
      </w:r>
      <w:r w:rsidRPr="005675B2">
        <w:rPr>
          <w:rFonts w:hint="cs"/>
          <w:rtl/>
        </w:rPr>
        <w:t xml:space="preserve"> {يريدون أن يخرجوا من النار وما هم بخارجين منها ولهم عذاب مقيم}</w:t>
      </w:r>
      <w:r w:rsidRPr="005675B2">
        <w:rPr>
          <w:rFonts w:hint="cs"/>
          <w:vertAlign w:val="superscript"/>
          <w:rtl/>
        </w:rPr>
        <w:t xml:space="preserve"> </w:t>
      </w:r>
      <w:r w:rsidRPr="005675B2">
        <w:rPr>
          <w:rFonts w:hint="cs"/>
          <w:rtl/>
        </w:rPr>
        <w:t>الآية 37، من سورة المائدة</w:t>
      </w:r>
      <w:r w:rsidR="000636C2">
        <w:rPr>
          <w:rFonts w:hint="cs"/>
          <w:rtl/>
        </w:rPr>
        <w:t>،</w:t>
      </w:r>
      <w:r w:rsidRPr="005675B2">
        <w:rPr>
          <w:rFonts w:hint="cs"/>
          <w:rtl/>
        </w:rPr>
        <w:t xml:space="preserve"> وغيرها من الآيات الكثيرة</w:t>
      </w:r>
      <w:r w:rsidR="000636C2">
        <w:rPr>
          <w:rFonts w:hint="cs"/>
          <w:rtl/>
        </w:rPr>
        <w:t xml:space="preserve">، </w:t>
      </w:r>
      <w:r w:rsidRPr="005675B2">
        <w:rPr>
          <w:rFonts w:hint="cs"/>
          <w:rtl/>
        </w:rPr>
        <w:t>ومن أراد الاستزادة فعليه بكتاب كشف الأستار للصنعاني مع مقدمة الألباني للكتاب وكذا كتاب الإمام السبكي الاعتبار ببقاء الجنة والنار وكتاب سلامة العزامي البراهين الساطعة وغيرها مما بحث المسألة</w:t>
      </w:r>
      <w:r w:rsidR="000636C2">
        <w:rPr>
          <w:rFonts w:hint="cs"/>
          <w:rtl/>
        </w:rPr>
        <w:t>،</w:t>
      </w:r>
      <w:r w:rsidRPr="005675B2">
        <w:rPr>
          <w:rFonts w:hint="cs"/>
          <w:rtl/>
        </w:rPr>
        <w:t xml:space="preserve"> وأخيراً فالمسائل المختلف فيها أكثر مماذكر</w:t>
      </w:r>
      <w:r w:rsidR="000636C2">
        <w:rPr>
          <w:rFonts w:hint="cs"/>
          <w:rtl/>
        </w:rPr>
        <w:t>،</w:t>
      </w:r>
      <w:r w:rsidRPr="005675B2">
        <w:rPr>
          <w:rFonts w:hint="cs"/>
          <w:rtl/>
        </w:rPr>
        <w:t xml:space="preserve"> وإنما أردت فقط توضيح بعض الانحرافات العقدية عن مسار أهل السنة والجماعة بمافيهم أهل الحديث</w:t>
      </w:r>
      <w:r w:rsidR="000636C2">
        <w:rPr>
          <w:rFonts w:hint="cs"/>
          <w:rtl/>
        </w:rPr>
        <w:t>،</w:t>
      </w:r>
      <w:r w:rsidRPr="005675B2">
        <w:rPr>
          <w:rFonts w:hint="cs"/>
          <w:rtl/>
        </w:rPr>
        <w:t xml:space="preserve"> وعسى أن يكون في ذلك نفع للأمة وللإخوة طلاب الحق ممن ينشدون طريق أهل السنة، وكم من مريد للحق لم يصله</w:t>
      </w:r>
      <w:r w:rsidR="000636C2">
        <w:rPr>
          <w:rFonts w:hint="cs"/>
          <w:rtl/>
        </w:rPr>
        <w:t>؟</w:t>
      </w:r>
      <w:r w:rsidRPr="005675B2">
        <w:rPr>
          <w:rFonts w:hint="cs"/>
          <w:rtl/>
        </w:rPr>
        <w:t xml:space="preserve"> إما لأن الهادي إليه مغرر</w:t>
      </w:r>
      <w:r w:rsidR="000636C2">
        <w:rPr>
          <w:rFonts w:hint="cs"/>
          <w:rtl/>
        </w:rPr>
        <w:t xml:space="preserve"> </w:t>
      </w:r>
      <w:r w:rsidRPr="005675B2">
        <w:rPr>
          <w:rFonts w:hint="cs"/>
          <w:rtl/>
        </w:rPr>
        <w:t>به فيشتبه عليه الحق</w:t>
      </w:r>
      <w:r w:rsidR="000636C2">
        <w:rPr>
          <w:rFonts w:hint="cs"/>
          <w:rtl/>
        </w:rPr>
        <w:t>،</w:t>
      </w:r>
      <w:r w:rsidRPr="005675B2">
        <w:rPr>
          <w:rFonts w:hint="cs"/>
          <w:rtl/>
        </w:rPr>
        <w:t xml:space="preserve"> وإما أن يكون مكابراً معانداً ينشد مدحاً، أو مركز اً وصل إليه، أو مغروراً</w:t>
      </w:r>
      <w:r w:rsidR="000636C2">
        <w:rPr>
          <w:rFonts w:hint="cs"/>
          <w:rtl/>
        </w:rPr>
        <w:t xml:space="preserve"> </w:t>
      </w:r>
      <w:r w:rsidRPr="005675B2">
        <w:rPr>
          <w:rFonts w:hint="cs"/>
          <w:rtl/>
        </w:rPr>
        <w:t>بنفسه</w:t>
      </w:r>
      <w:r w:rsidR="000636C2">
        <w:rPr>
          <w:rFonts w:hint="cs"/>
          <w:rtl/>
        </w:rPr>
        <w:t>،</w:t>
      </w:r>
      <w:r w:rsidRPr="005675B2">
        <w:rPr>
          <w:rFonts w:hint="cs"/>
          <w:rtl/>
        </w:rPr>
        <w:t>غره تطبيل العوام له، فهو لا يقبل الحق أنفة من ترك جاهه، وسمعته</w:t>
      </w:r>
      <w:r w:rsidR="000636C2">
        <w:rPr>
          <w:rFonts w:hint="cs"/>
          <w:rtl/>
        </w:rPr>
        <w:t>،</w:t>
      </w:r>
      <w:r w:rsidRPr="005675B2">
        <w:rPr>
          <w:rFonts w:hint="cs"/>
          <w:rtl/>
        </w:rPr>
        <w:t xml:space="preserve"> وكما قيل حب الظهور يقصم الظهور</w:t>
      </w:r>
      <w:r w:rsidR="000636C2">
        <w:rPr>
          <w:rFonts w:hint="cs"/>
          <w:rtl/>
        </w:rPr>
        <w:t>،</w:t>
      </w:r>
      <w:r>
        <w:rPr>
          <w:rFonts w:hint="cs"/>
          <w:rtl/>
        </w:rPr>
        <w:t xml:space="preserve"> </w:t>
      </w:r>
      <w:r w:rsidRPr="005675B2">
        <w:rPr>
          <w:rFonts w:hint="cs"/>
          <w:rtl/>
        </w:rPr>
        <w:t>وهذه نصيحة أردت بها وجه الله والدار الآخرة</w:t>
      </w:r>
      <w:r w:rsidR="000636C2">
        <w:rPr>
          <w:rFonts w:hint="cs"/>
          <w:rtl/>
        </w:rPr>
        <w:t>،</w:t>
      </w:r>
      <w:r w:rsidRPr="005675B2">
        <w:rPr>
          <w:rFonts w:hint="cs"/>
          <w:rtl/>
        </w:rPr>
        <w:t>سأتذاكرها مع الكاتبين</w:t>
      </w:r>
      <w:r w:rsidR="000636C2">
        <w:rPr>
          <w:rFonts w:hint="cs"/>
          <w:rtl/>
        </w:rPr>
        <w:t xml:space="preserve"> </w:t>
      </w:r>
      <w:r w:rsidRPr="005675B2">
        <w:rPr>
          <w:rFonts w:hint="cs"/>
          <w:rtl/>
        </w:rPr>
        <w:t>في الموقف الأكبر بإذن الله</w:t>
      </w:r>
      <w:r w:rsidR="000636C2">
        <w:rPr>
          <w:rFonts w:hint="cs"/>
          <w:rtl/>
        </w:rPr>
        <w:t>،</w:t>
      </w:r>
      <w:r w:rsidRPr="005675B2">
        <w:rPr>
          <w:rFonts w:hint="cs"/>
          <w:rtl/>
        </w:rPr>
        <w:t>فأسأل الله أن يكون تذاكر نا</w:t>
      </w:r>
      <w:r w:rsidR="000636C2">
        <w:rPr>
          <w:rFonts w:hint="cs"/>
          <w:rtl/>
        </w:rPr>
        <w:t xml:space="preserve"> </w:t>
      </w:r>
      <w:r w:rsidRPr="005675B2">
        <w:rPr>
          <w:rFonts w:hint="cs"/>
          <w:rtl/>
        </w:rPr>
        <w:t>يسعد به الجميع</w:t>
      </w:r>
      <w:r w:rsidR="000636C2">
        <w:rPr>
          <w:rFonts w:hint="cs"/>
          <w:rtl/>
        </w:rPr>
        <w:t>،</w:t>
      </w:r>
      <w:r w:rsidRPr="005675B2">
        <w:rPr>
          <w:rFonts w:hint="cs"/>
          <w:rtl/>
        </w:rPr>
        <w:t xml:space="preserve"> وأن يهدينا</w:t>
      </w:r>
      <w:r w:rsidR="000636C2">
        <w:rPr>
          <w:rFonts w:hint="cs"/>
          <w:rtl/>
        </w:rPr>
        <w:t xml:space="preserve"> </w:t>
      </w:r>
      <w:r w:rsidRPr="005675B2">
        <w:rPr>
          <w:rFonts w:hint="cs"/>
          <w:rtl/>
        </w:rPr>
        <w:t>جميعاً للصواب</w:t>
      </w:r>
      <w:r w:rsidR="000636C2">
        <w:rPr>
          <w:rFonts w:hint="cs"/>
          <w:rtl/>
        </w:rPr>
        <w:t>،</w:t>
      </w:r>
      <w:r w:rsidRPr="005675B2">
        <w:rPr>
          <w:rFonts w:hint="cs"/>
          <w:rtl/>
        </w:rPr>
        <w:t>وأن يجعل في هذا ذباً عن علماءا لأمة كابن حجر</w:t>
      </w:r>
      <w:r w:rsidR="000636C2">
        <w:rPr>
          <w:rFonts w:hint="cs"/>
          <w:rtl/>
        </w:rPr>
        <w:t>،</w:t>
      </w:r>
      <w:r w:rsidRPr="005675B2">
        <w:rPr>
          <w:rFonts w:hint="cs"/>
          <w:rtl/>
        </w:rPr>
        <w:t>والنووي</w:t>
      </w:r>
      <w:r w:rsidR="000636C2">
        <w:rPr>
          <w:rFonts w:hint="cs"/>
          <w:rtl/>
        </w:rPr>
        <w:t>،</w:t>
      </w:r>
      <w:r w:rsidRPr="005675B2">
        <w:rPr>
          <w:rFonts w:hint="cs"/>
          <w:rtl/>
        </w:rPr>
        <w:t>والعز بن عبد السلام</w:t>
      </w:r>
      <w:r w:rsidR="000636C2">
        <w:rPr>
          <w:rFonts w:hint="cs"/>
          <w:rtl/>
        </w:rPr>
        <w:t>،</w:t>
      </w:r>
      <w:r w:rsidRPr="005675B2">
        <w:rPr>
          <w:rFonts w:hint="cs"/>
          <w:rtl/>
        </w:rPr>
        <w:t>والغزالي</w:t>
      </w:r>
      <w:r w:rsidR="000636C2">
        <w:rPr>
          <w:rFonts w:hint="cs"/>
          <w:rtl/>
        </w:rPr>
        <w:t>،</w:t>
      </w:r>
      <w:r w:rsidRPr="005675B2">
        <w:rPr>
          <w:rFonts w:hint="cs"/>
          <w:rtl/>
        </w:rPr>
        <w:t>والرازي</w:t>
      </w:r>
      <w:r w:rsidR="000636C2">
        <w:rPr>
          <w:rFonts w:hint="cs"/>
          <w:rtl/>
        </w:rPr>
        <w:t>،</w:t>
      </w:r>
      <w:r w:rsidRPr="005675B2">
        <w:rPr>
          <w:rFonts w:hint="cs"/>
          <w:rtl/>
        </w:rPr>
        <w:t>وابن عساكر وغيرهم الآف مؤلفة</w:t>
      </w:r>
      <w:r w:rsidR="000636C2">
        <w:rPr>
          <w:rFonts w:hint="cs"/>
          <w:rtl/>
        </w:rPr>
        <w:t>،</w:t>
      </w:r>
      <w:r w:rsidRPr="005675B2">
        <w:rPr>
          <w:rFonts w:hint="cs"/>
          <w:rtl/>
        </w:rPr>
        <w:t>وكذا فيه اعتذار عن الإمام ابن تيمية وغيره ممن تعصب لغير الحق</w:t>
      </w:r>
      <w:r w:rsidR="000636C2">
        <w:rPr>
          <w:rFonts w:hint="cs"/>
          <w:rtl/>
        </w:rPr>
        <w:t>،</w:t>
      </w:r>
    </w:p>
    <w:p w14:paraId="22B2F181" w14:textId="594CAA5F" w:rsidR="009C32A0" w:rsidRPr="005675B2" w:rsidRDefault="009C32A0" w:rsidP="000636C2">
      <w:pPr>
        <w:rPr>
          <w:b/>
          <w:rtl/>
          <w:lang w:bidi="ar-KW"/>
        </w:rPr>
      </w:pPr>
      <w:r w:rsidRPr="00F271F4">
        <w:rPr>
          <w:rFonts w:hint="cs"/>
          <w:bCs/>
          <w:rtl/>
        </w:rPr>
        <w:t>الخاتمة</w:t>
      </w:r>
      <w:r w:rsidR="000636C2">
        <w:rPr>
          <w:rFonts w:hint="cs"/>
          <w:bCs/>
          <w:rtl/>
        </w:rPr>
        <w:t>:</w:t>
      </w:r>
      <w:r w:rsidRPr="005675B2">
        <w:rPr>
          <w:rFonts w:hint="cs"/>
          <w:rtl/>
        </w:rPr>
        <w:t xml:space="preserve"> اسأل المولى عزوجل أن أكون قد وفقت لما فيه صلاح أمتنا الإسلامية، وأن ينفعني بما كتبت يوم ألقاه</w:t>
      </w:r>
      <w:r w:rsidR="000636C2">
        <w:rPr>
          <w:rFonts w:hint="cs"/>
          <w:rtl/>
        </w:rPr>
        <w:t>،</w:t>
      </w:r>
      <w:r w:rsidRPr="005675B2">
        <w:rPr>
          <w:rFonts w:hint="cs"/>
          <w:rtl/>
        </w:rPr>
        <w:t>وأن يهدي بها أحبة لنا لهم عظيم الهمم في بلوغ الحق والرجوع إليه</w:t>
      </w:r>
      <w:r w:rsidR="000636C2">
        <w:rPr>
          <w:rFonts w:hint="cs"/>
          <w:rtl/>
        </w:rPr>
        <w:t>،</w:t>
      </w:r>
      <w:r w:rsidRPr="005675B2">
        <w:rPr>
          <w:rFonts w:hint="cs"/>
          <w:rtl/>
        </w:rPr>
        <w:t>فإن الرجوع إلى الحق خير من التمادي في الباطل</w:t>
      </w:r>
      <w:r w:rsidR="000636C2">
        <w:rPr>
          <w:rFonts w:hint="cs"/>
          <w:rtl/>
        </w:rPr>
        <w:t>،</w:t>
      </w:r>
      <w:r w:rsidRPr="005675B2">
        <w:rPr>
          <w:rFonts w:hint="cs"/>
          <w:rtl/>
        </w:rPr>
        <w:t xml:space="preserve"> وحيهلاً باجتماع لأهل السنة والجماعة</w:t>
      </w:r>
      <w:r w:rsidR="000636C2">
        <w:rPr>
          <w:rFonts w:hint="cs"/>
          <w:rtl/>
        </w:rPr>
        <w:t>،</w:t>
      </w:r>
      <w:r w:rsidRPr="005675B2">
        <w:rPr>
          <w:rFonts w:hint="cs"/>
          <w:rtl/>
        </w:rPr>
        <w:t xml:space="preserve"> وتوفير لحسنات ضاعت في غيبتهم والاستهزاء بهم</w:t>
      </w:r>
      <w:r w:rsidR="000636C2">
        <w:rPr>
          <w:rFonts w:hint="cs"/>
          <w:rtl/>
        </w:rPr>
        <w:t>،</w:t>
      </w:r>
      <w:r w:rsidRPr="005675B2">
        <w:rPr>
          <w:rFonts w:hint="cs"/>
          <w:rtl/>
        </w:rPr>
        <w:t>وتوفير لنقود صرفت في ثلبهم واستنقاصهم في فضائيات</w:t>
      </w:r>
      <w:r w:rsidR="000636C2">
        <w:rPr>
          <w:rFonts w:hint="cs"/>
          <w:rtl/>
        </w:rPr>
        <w:t>،</w:t>
      </w:r>
      <w:r w:rsidRPr="005675B2">
        <w:rPr>
          <w:rFonts w:hint="cs"/>
          <w:rtl/>
        </w:rPr>
        <w:t>وكتب</w:t>
      </w:r>
      <w:r w:rsidR="000636C2">
        <w:rPr>
          <w:rFonts w:hint="cs"/>
          <w:rtl/>
        </w:rPr>
        <w:t>،</w:t>
      </w:r>
      <w:r w:rsidRPr="005675B2">
        <w:rPr>
          <w:rFonts w:hint="cs"/>
          <w:rtl/>
        </w:rPr>
        <w:t>ومجلات وأشرطة، ودورات باطلة، تبنى على الظلم والتجني والتقليد الأعمى</w:t>
      </w:r>
      <w:r w:rsidR="000636C2">
        <w:rPr>
          <w:rFonts w:hint="cs"/>
          <w:rtl/>
        </w:rPr>
        <w:t>،</w:t>
      </w:r>
      <w:r w:rsidRPr="005675B2">
        <w:rPr>
          <w:rFonts w:hint="cs"/>
          <w:rtl/>
        </w:rPr>
        <w:t xml:space="preserve"> وتحريك الهمم لطلب العلم وفق منهج العلماء رحمهم الله تعالى</w:t>
      </w:r>
      <w:r w:rsidR="000636C2">
        <w:rPr>
          <w:rFonts w:hint="cs"/>
          <w:rtl/>
        </w:rPr>
        <w:t>،</w:t>
      </w:r>
      <w:r w:rsidRPr="005675B2">
        <w:rPr>
          <w:rFonts w:hint="cs"/>
          <w:rtl/>
        </w:rPr>
        <w:t xml:space="preserve"> واستفادة من درر علمهم وخزائن معارفهم</w:t>
      </w:r>
      <w:r w:rsidR="000636C2">
        <w:rPr>
          <w:rFonts w:hint="cs"/>
          <w:rtl/>
        </w:rPr>
        <w:t>،</w:t>
      </w:r>
      <w:r w:rsidRPr="005675B2">
        <w:rPr>
          <w:rFonts w:hint="cs"/>
          <w:rtl/>
        </w:rPr>
        <w:t xml:space="preserve"> وتوجه طلبة العلم لدعوة الناس للإسلام والرد على العلمانيين، والحداثيين</w:t>
      </w:r>
      <w:r w:rsidR="000636C2">
        <w:rPr>
          <w:rFonts w:hint="cs"/>
          <w:rtl/>
        </w:rPr>
        <w:t>،</w:t>
      </w:r>
      <w:r w:rsidRPr="005675B2">
        <w:rPr>
          <w:rFonts w:hint="cs"/>
          <w:rtl/>
        </w:rPr>
        <w:t xml:space="preserve"> وتكثيف الجهود في ذلك</w:t>
      </w:r>
      <w:r w:rsidR="000636C2">
        <w:rPr>
          <w:rFonts w:hint="cs"/>
          <w:rtl/>
        </w:rPr>
        <w:t>،</w:t>
      </w:r>
      <w:r w:rsidRPr="005675B2">
        <w:rPr>
          <w:rFonts w:hint="cs"/>
          <w:rtl/>
        </w:rPr>
        <w:t xml:space="preserve"> وفي الخاتمة نسأل الله حسن الخاتمة</w:t>
      </w:r>
      <w:r w:rsidR="000636C2">
        <w:rPr>
          <w:rFonts w:hint="cs"/>
          <w:rtl/>
        </w:rPr>
        <w:t>،</w:t>
      </w:r>
      <w:r w:rsidRPr="005675B2">
        <w:rPr>
          <w:rFonts w:hint="cs"/>
          <w:rtl/>
        </w:rPr>
        <w:t xml:space="preserve"> وآخر دعوانا أن الحمد لله رب العالمين والصلاة والسلام على أشرف الأنبياء والمرسلين وعلى آله وصحبه أجمعين</w:t>
      </w:r>
      <w:r w:rsidR="000636C2">
        <w:rPr>
          <w:rFonts w:hint="cs"/>
          <w:rtl/>
        </w:rPr>
        <w:t>،</w:t>
      </w:r>
      <w:r w:rsidRPr="005675B2">
        <w:rPr>
          <w:rFonts w:hint="cs"/>
          <w:rtl/>
        </w:rPr>
        <w:t xml:space="preserve"> وكتبه</w:t>
      </w:r>
      <w:r w:rsidR="000636C2">
        <w:rPr>
          <w:rFonts w:hint="cs"/>
          <w:rtl/>
        </w:rPr>
        <w:t>:</w:t>
      </w:r>
      <w:r w:rsidRPr="005675B2">
        <w:rPr>
          <w:rFonts w:hint="cs"/>
          <w:rtl/>
        </w:rPr>
        <w:t xml:space="preserve"> غيث بن عبدالله الغالبي</w:t>
      </w:r>
      <w:r w:rsidRPr="005675B2">
        <w:rPr>
          <w:rFonts w:hint="cs"/>
          <w:rtl/>
          <w:lang w:bidi="ar-KW"/>
        </w:rPr>
        <w:t xml:space="preserve"> </w:t>
      </w:r>
    </w:p>
    <w:p w14:paraId="45E7AB85" w14:textId="77777777" w:rsidR="009C32A0" w:rsidRPr="005675B2" w:rsidRDefault="009C32A0" w:rsidP="000636C2">
      <w:pPr>
        <w:jc w:val="center"/>
        <w:rPr>
          <w:sz w:val="22"/>
          <w:rtl/>
        </w:rPr>
      </w:pPr>
      <w:r>
        <w:rPr>
          <w:rFonts w:hint="cs"/>
          <w:sz w:val="22"/>
          <w:rtl/>
        </w:rPr>
        <w:t>***</w:t>
      </w:r>
      <w:r w:rsidRPr="005675B2">
        <w:rPr>
          <w:rFonts w:hint="cs"/>
          <w:sz w:val="22"/>
          <w:rtl/>
        </w:rPr>
        <w:t xml:space="preserve"> </w:t>
      </w:r>
    </w:p>
    <w:p w14:paraId="63ABD5FF" w14:textId="77777777" w:rsidR="009C32A0" w:rsidRDefault="009C32A0" w:rsidP="000636C2">
      <w:pPr>
        <w:jc w:val="center"/>
        <w:rPr>
          <w:sz w:val="22"/>
          <w:rtl/>
        </w:rPr>
      </w:pPr>
    </w:p>
    <w:p w14:paraId="523D78D1" w14:textId="77777777" w:rsidR="009C32A0" w:rsidRDefault="009C32A0" w:rsidP="000636C2">
      <w:pPr>
        <w:jc w:val="center"/>
        <w:rPr>
          <w:sz w:val="22"/>
          <w:rtl/>
        </w:rPr>
      </w:pPr>
    </w:p>
    <w:p w14:paraId="1B50DA52" w14:textId="77777777" w:rsidR="009C32A0" w:rsidRPr="005675B2" w:rsidRDefault="009C32A0" w:rsidP="000636C2">
      <w:pPr>
        <w:jc w:val="center"/>
        <w:rPr>
          <w:sz w:val="22"/>
          <w:rtl/>
        </w:rPr>
      </w:pPr>
    </w:p>
    <w:p w14:paraId="07D440F4" w14:textId="77777777" w:rsidR="009C32A0" w:rsidRPr="005675B2" w:rsidRDefault="009C32A0" w:rsidP="000636C2">
      <w:pPr>
        <w:pBdr>
          <w:top w:val="dashDotStroked" w:sz="24" w:space="1" w:color="auto"/>
          <w:left w:val="dashDotStroked" w:sz="24" w:space="4" w:color="auto"/>
          <w:bottom w:val="dashDotStroked" w:sz="24" w:space="1" w:color="auto"/>
          <w:right w:val="dashDotStroked" w:sz="24" w:space="4" w:color="auto"/>
        </w:pBdr>
        <w:jc w:val="center"/>
        <w:rPr>
          <w:b/>
          <w:bCs/>
          <w:rtl/>
        </w:rPr>
      </w:pPr>
    </w:p>
    <w:p w14:paraId="71A537DA" w14:textId="41C87772" w:rsidR="009C32A0" w:rsidRPr="00182D66" w:rsidRDefault="009C32A0" w:rsidP="00182D66">
      <w:pPr>
        <w:pStyle w:val="1"/>
        <w:rPr>
          <w:u w:val="none"/>
          <w:rtl/>
        </w:rPr>
      </w:pPr>
      <w:r w:rsidRPr="00182D66">
        <w:rPr>
          <w:u w:val="none"/>
          <w:rtl/>
        </w:rPr>
        <w:t xml:space="preserve">الملحق </w:t>
      </w:r>
      <w:r w:rsidRPr="00182D66">
        <w:rPr>
          <w:rFonts w:hint="cs"/>
          <w:u w:val="none"/>
          <w:rtl/>
        </w:rPr>
        <w:t>السادس</w:t>
      </w:r>
      <w:r w:rsidR="00627D1B" w:rsidRPr="00182D66">
        <w:rPr>
          <w:rFonts w:hint="cs"/>
          <w:u w:val="none"/>
          <w:rtl/>
        </w:rPr>
        <w:t xml:space="preserve"> </w:t>
      </w:r>
      <w:r w:rsidRPr="00182D66">
        <w:rPr>
          <w:u w:val="none"/>
          <w:rtl/>
        </w:rPr>
        <w:t>النقد والتقويم لمنتقد عقائد الماتريدية للشيخ سعيد فودة</w:t>
      </w:r>
      <w:r w:rsidRPr="00182D66">
        <w:rPr>
          <w:rFonts w:hint="cs"/>
          <w:u w:val="none"/>
          <w:rtl/>
        </w:rPr>
        <w:t xml:space="preserve"> حفظه الله</w:t>
      </w:r>
    </w:p>
    <w:p w14:paraId="0045BEC6" w14:textId="77777777" w:rsidR="009C32A0" w:rsidRDefault="009C32A0" w:rsidP="000636C2">
      <w:pPr>
        <w:spacing w:after="240"/>
        <w:rPr>
          <w:rtl/>
        </w:rPr>
      </w:pPr>
    </w:p>
    <w:p w14:paraId="0EB45A8B" w14:textId="3ECE88C0" w:rsidR="009C32A0" w:rsidRPr="005675B2" w:rsidRDefault="009C32A0" w:rsidP="000636C2">
      <w:pPr>
        <w:spacing w:after="240"/>
        <w:rPr>
          <w:rFonts w:eastAsia="MS Mincho"/>
          <w:b/>
        </w:rPr>
      </w:pPr>
      <w:r w:rsidRPr="006E3F54">
        <w:rPr>
          <w:rFonts w:hint="cs"/>
          <w:bCs/>
          <w:rtl/>
        </w:rPr>
        <w:t xml:space="preserve">جاء في كتاب </w:t>
      </w:r>
      <w:r w:rsidRPr="006E3F54">
        <w:rPr>
          <w:rFonts w:hint="cs"/>
          <w:bCs/>
          <w:rtl/>
          <w:lang w:bidi="ar-KW"/>
        </w:rPr>
        <w:t>النقد والتقويم لمنتقد عقائد الماتريدية للشيخ سعيد فودة</w:t>
      </w:r>
      <w:r w:rsidR="000636C2">
        <w:rPr>
          <w:rFonts w:hint="cs"/>
          <w:rtl/>
          <w:lang w:bidi="ar-KW"/>
        </w:rPr>
        <w:t>:</w:t>
      </w:r>
      <w:r w:rsidRPr="005675B2">
        <w:rPr>
          <w:rFonts w:hint="cs"/>
          <w:rtl/>
          <w:lang w:bidi="ar-KW"/>
        </w:rPr>
        <w:t xml:space="preserve"> [</w:t>
      </w:r>
      <w:r w:rsidR="000636C2">
        <w:rPr>
          <w:rFonts w:hint="cs"/>
          <w:rtl/>
          <w:lang w:bidi="ar-KW"/>
        </w:rPr>
        <w:t>[</w:t>
      </w:r>
      <w:r w:rsidRPr="005675B2">
        <w:rPr>
          <w:rFonts w:eastAsia="MS Mincho" w:hint="cs"/>
          <w:rtl/>
        </w:rPr>
        <w:t>بِسمِ اللَّه الرَّحْمنِ الرحيمِ</w:t>
      </w:r>
      <w:r w:rsidR="000636C2">
        <w:rPr>
          <w:rFonts w:hint="cs"/>
          <w:rtl/>
        </w:rPr>
        <w:t>،</w:t>
      </w:r>
      <w:r w:rsidRPr="005675B2">
        <w:rPr>
          <w:rFonts w:hint="cs"/>
          <w:rtl/>
        </w:rPr>
        <w:t xml:space="preserve"> </w:t>
      </w:r>
      <w:r w:rsidRPr="005675B2">
        <w:rPr>
          <w:rFonts w:eastAsia="MS Mincho" w:hint="cs"/>
          <w:bCs/>
          <w:rtl/>
        </w:rPr>
        <w:t>مقدمة</w:t>
      </w:r>
      <w:r w:rsidR="000636C2">
        <w:rPr>
          <w:rFonts w:hint="cs"/>
          <w:rtl/>
        </w:rPr>
        <w:t>:</w:t>
      </w:r>
      <w:r w:rsidRPr="005675B2">
        <w:rPr>
          <w:rFonts w:hint="cs"/>
          <w:rtl/>
        </w:rPr>
        <w:t xml:space="preserve"> </w:t>
      </w:r>
      <w:r w:rsidRPr="005675B2">
        <w:rPr>
          <w:rFonts w:eastAsia="MS Mincho" w:hint="cs"/>
          <w:rtl/>
        </w:rPr>
        <w:t>الحمد لله والصلاة والسلام على سيدنا محمد سيد الأنبياء والمرسلين</w:t>
      </w:r>
      <w:r w:rsidR="000636C2">
        <w:rPr>
          <w:rFonts w:eastAsia="MS Mincho" w:hint="cs"/>
          <w:rtl/>
        </w:rPr>
        <w:t>،</w:t>
      </w:r>
      <w:r w:rsidRPr="005675B2">
        <w:rPr>
          <w:rFonts w:eastAsia="MS Mincho" w:hint="cs"/>
          <w:rtl/>
        </w:rPr>
        <w:t xml:space="preserve"> وبعد</w:t>
      </w:r>
      <w:r w:rsidR="000636C2">
        <w:rPr>
          <w:rFonts w:eastAsia="MS Mincho" w:hint="cs"/>
          <w:rtl/>
        </w:rPr>
        <w:t>:</w:t>
      </w:r>
      <w:r w:rsidRPr="005675B2">
        <w:rPr>
          <w:rFonts w:eastAsia="MS Mincho" w:hint="cs"/>
          <w:rtl/>
        </w:rPr>
        <w:t xml:space="preserve"> فلما كان الدفاع عن الدين واجبا على كل قادر</w:t>
      </w:r>
      <w:r w:rsidR="000636C2">
        <w:rPr>
          <w:rFonts w:eastAsia="MS Mincho" w:hint="cs"/>
          <w:rtl/>
        </w:rPr>
        <w:t>،</w:t>
      </w:r>
      <w:r w:rsidRPr="005675B2">
        <w:rPr>
          <w:rFonts w:eastAsia="MS Mincho" w:hint="cs"/>
          <w:rtl/>
        </w:rPr>
        <w:t xml:space="preserve"> وكذلك التمييز بين الصحيح والباطل مما يقوله من ينصب نفسه دالاً على الحق الذي يراه فيه</w:t>
      </w:r>
      <w:r w:rsidR="000636C2">
        <w:rPr>
          <w:rFonts w:eastAsia="MS Mincho" w:hint="cs"/>
          <w:rtl/>
        </w:rPr>
        <w:t>،</w:t>
      </w:r>
      <w:r w:rsidRPr="005675B2">
        <w:rPr>
          <w:rFonts w:eastAsia="MS Mincho" w:hint="cs"/>
          <w:rtl/>
        </w:rPr>
        <w:t xml:space="preserve"> أو ينصبه غيره ليقوله</w:t>
      </w:r>
      <w:r w:rsidR="000636C2">
        <w:rPr>
          <w:rFonts w:eastAsia="MS Mincho" w:hint="cs"/>
          <w:rtl/>
        </w:rPr>
        <w:t>،</w:t>
      </w:r>
      <w:r w:rsidRPr="005675B2">
        <w:rPr>
          <w:rFonts w:eastAsia="MS Mincho" w:hint="cs"/>
          <w:rtl/>
        </w:rPr>
        <w:t xml:space="preserve"> والجدال بالتي هي أحسن لا شك أنه واجب لا يجوز لمسلم أن يتخلص عنه إذا كان قادرا عليه</w:t>
      </w:r>
      <w:r w:rsidR="000636C2">
        <w:rPr>
          <w:rFonts w:eastAsia="MS Mincho" w:hint="cs"/>
          <w:rtl/>
        </w:rPr>
        <w:t>،</w:t>
      </w:r>
      <w:r w:rsidRPr="005675B2">
        <w:rPr>
          <w:rFonts w:eastAsia="MS Mincho" w:hint="cs"/>
          <w:rtl/>
        </w:rPr>
        <w:t xml:space="preserve"> ونقد الكتب والمؤلفات لا شك أنه من هذا الباب</w:t>
      </w:r>
      <w:r w:rsidR="000636C2">
        <w:rPr>
          <w:rFonts w:eastAsia="MS Mincho" w:hint="cs"/>
          <w:rtl/>
        </w:rPr>
        <w:t>،</w:t>
      </w:r>
      <w:r w:rsidRPr="005675B2">
        <w:rPr>
          <w:rFonts w:eastAsia="MS Mincho" w:hint="cs"/>
          <w:rtl/>
        </w:rPr>
        <w:t xml:space="preserve"> وبيان الصحيح منها من الباطل لا شك في وجوبه</w:t>
      </w:r>
      <w:r w:rsidR="000636C2">
        <w:rPr>
          <w:rFonts w:eastAsia="MS Mincho" w:hint="cs"/>
          <w:rtl/>
        </w:rPr>
        <w:t>،</w:t>
      </w:r>
      <w:r w:rsidRPr="005675B2">
        <w:rPr>
          <w:rFonts w:eastAsia="MS Mincho" w:hint="cs"/>
          <w:rtl/>
        </w:rPr>
        <w:t xml:space="preserve"> ويجب على الإنسان أن ينصر ما يعتقد أنه الحق</w:t>
      </w:r>
      <w:r w:rsidR="000636C2">
        <w:rPr>
          <w:rFonts w:eastAsia="MS Mincho" w:hint="cs"/>
          <w:rtl/>
        </w:rPr>
        <w:t>،</w:t>
      </w:r>
      <w:r w:rsidRPr="005675B2">
        <w:rPr>
          <w:rFonts w:eastAsia="MS Mincho" w:hint="cs"/>
          <w:rtl/>
        </w:rPr>
        <w:t xml:space="preserve"> ودَفْعُ ما يعتقد أنه الباطل</w:t>
      </w:r>
      <w:r w:rsidR="000636C2">
        <w:rPr>
          <w:rFonts w:eastAsia="MS Mincho" w:hint="cs"/>
          <w:rtl/>
        </w:rPr>
        <w:t>،</w:t>
      </w:r>
      <w:r w:rsidRPr="005675B2">
        <w:rPr>
          <w:rFonts w:eastAsia="MS Mincho" w:hint="cs"/>
          <w:rtl/>
        </w:rPr>
        <w:t xml:space="preserve"> سواءا كان هذا الباطل صادرا من مسلم حسن النية والقصد أو من سيء النية والقصد</w:t>
      </w:r>
      <w:r w:rsidR="000636C2">
        <w:rPr>
          <w:rFonts w:eastAsia="MS Mincho" w:hint="cs"/>
          <w:rtl/>
        </w:rPr>
        <w:t>،</w:t>
      </w:r>
      <w:r w:rsidRPr="005675B2">
        <w:rPr>
          <w:rFonts w:eastAsia="MS Mincho" w:hint="cs"/>
          <w:rtl/>
        </w:rPr>
        <w:t xml:space="preserve"> وسواءا كان هذا الباطل من عالم أو من مدع</w:t>
      </w:r>
      <w:r w:rsidRPr="005675B2">
        <w:rPr>
          <w:rFonts w:eastAsia="MS Mincho" w:hint="cs"/>
        </w:rPr>
        <w:t xml:space="preserve"> </w:t>
      </w:r>
      <w:r w:rsidRPr="005675B2">
        <w:rPr>
          <w:rFonts w:eastAsia="MS Mincho" w:hint="cs"/>
          <w:rtl/>
        </w:rPr>
        <w:t>للعلم وهو في الحقيقة عارٍ عنه وجاهل به</w:t>
      </w:r>
      <w:r w:rsidR="000636C2">
        <w:rPr>
          <w:rFonts w:eastAsia="MS Mincho" w:hint="cs"/>
          <w:rtl/>
        </w:rPr>
        <w:t>،</w:t>
      </w:r>
      <w:r w:rsidRPr="005675B2">
        <w:rPr>
          <w:rFonts w:eastAsia="MS Mincho" w:hint="cs"/>
          <w:rtl/>
        </w:rPr>
        <w:t xml:space="preserve"> ويندرج في هذا من ينتسب إلى أهل السنة ومن يتبرأ منهم ويظن أنه من الناجين ومن المهتدين</w:t>
      </w:r>
      <w:r w:rsidR="000636C2">
        <w:rPr>
          <w:rFonts w:eastAsia="MS Mincho" w:hint="cs"/>
          <w:rtl/>
        </w:rPr>
        <w:t>،</w:t>
      </w:r>
      <w:r w:rsidRPr="005675B2">
        <w:rPr>
          <w:rFonts w:eastAsia="MS Mincho" w:hint="cs"/>
          <w:rtl/>
        </w:rPr>
        <w:t xml:space="preserve"> لهذا كله</w:t>
      </w:r>
      <w:r w:rsidR="000636C2">
        <w:rPr>
          <w:rFonts w:eastAsia="MS Mincho" w:hint="cs"/>
          <w:rtl/>
        </w:rPr>
        <w:t>،</w:t>
      </w:r>
      <w:r w:rsidRPr="005675B2">
        <w:rPr>
          <w:rFonts w:eastAsia="MS Mincho" w:hint="cs"/>
          <w:rtl/>
        </w:rPr>
        <w:t xml:space="preserve"> ولغيره</w:t>
      </w:r>
      <w:r w:rsidR="000636C2">
        <w:rPr>
          <w:rFonts w:eastAsia="MS Mincho" w:hint="cs"/>
          <w:rtl/>
        </w:rPr>
        <w:t>،</w:t>
      </w:r>
      <w:r w:rsidRPr="005675B2">
        <w:rPr>
          <w:rFonts w:eastAsia="MS Mincho" w:hint="cs"/>
          <w:rtl/>
        </w:rPr>
        <w:t xml:space="preserve"> رأيت أنه يتحتم عليَّ أن أقيد بعض الملاحظات على الكتاب الموسوم ب</w:t>
      </w:r>
      <w:r w:rsidR="000636C2">
        <w:rPr>
          <w:rFonts w:eastAsia="MS Mincho" w:hint="cs"/>
          <w:rtl/>
        </w:rPr>
        <w:t xml:space="preserve"> </w:t>
      </w:r>
      <w:r w:rsidRPr="005675B2">
        <w:rPr>
          <w:rFonts w:eastAsia="MS Mincho" w:hint="cs"/>
          <w:rtl/>
        </w:rPr>
        <w:t>- " منهج الماتريدية في العقيدة"</w:t>
      </w:r>
      <w:r w:rsidR="000636C2">
        <w:rPr>
          <w:rFonts w:eastAsia="MS Mincho" w:hint="cs"/>
          <w:rtl/>
        </w:rPr>
        <w:t>،</w:t>
      </w:r>
      <w:r w:rsidRPr="005675B2">
        <w:rPr>
          <w:rFonts w:eastAsia="MS Mincho" w:hint="cs"/>
          <w:rtl/>
        </w:rPr>
        <w:t xml:space="preserve"> ولضيق الوقت الذي أملكه أخَّرْتُ ذلك مراراً وأياما بل وشهوراً</w:t>
      </w:r>
      <w:r w:rsidR="000636C2">
        <w:rPr>
          <w:rFonts w:eastAsia="MS Mincho" w:hint="cs"/>
          <w:rtl/>
        </w:rPr>
        <w:t>،</w:t>
      </w:r>
      <w:r w:rsidRPr="005675B2">
        <w:rPr>
          <w:rFonts w:eastAsia="MS Mincho" w:hint="cs"/>
          <w:rtl/>
        </w:rPr>
        <w:t xml:space="preserve"> آملا أن أحصل على زمان كافٍ أقيد فيه بتفصيل ما أريد قوله في هذا الباب</w:t>
      </w:r>
      <w:r w:rsidR="000636C2">
        <w:rPr>
          <w:rFonts w:eastAsia="MS Mincho" w:hint="cs"/>
          <w:rtl/>
        </w:rPr>
        <w:t>،</w:t>
      </w:r>
      <w:r w:rsidRPr="005675B2">
        <w:rPr>
          <w:rFonts w:eastAsia="MS Mincho" w:hint="cs"/>
          <w:rtl/>
        </w:rPr>
        <w:t xml:space="preserve"> وأعتمد في ذلك على الأدلة والنقول المفصلة</w:t>
      </w:r>
      <w:r w:rsidR="000636C2">
        <w:rPr>
          <w:rFonts w:eastAsia="MS Mincho" w:hint="cs"/>
          <w:rtl/>
        </w:rPr>
        <w:t>،</w:t>
      </w:r>
      <w:r w:rsidRPr="005675B2">
        <w:rPr>
          <w:rFonts w:eastAsia="MS Mincho" w:hint="cs"/>
          <w:rtl/>
        </w:rPr>
        <w:t xml:space="preserve"> ليكون حجة واضحة بذاته على كل من يقرأه</w:t>
      </w:r>
      <w:r w:rsidR="000636C2">
        <w:rPr>
          <w:rFonts w:eastAsia="MS Mincho" w:hint="cs"/>
          <w:rtl/>
        </w:rPr>
        <w:t>،</w:t>
      </w:r>
      <w:r w:rsidRPr="005675B2">
        <w:rPr>
          <w:rFonts w:eastAsia="MS Mincho" w:hint="cs"/>
          <w:rtl/>
        </w:rPr>
        <w:t xml:space="preserve"> ولكن لما طلب بعض الإخوة مني أن أكتب ردا ولو مختصرا على هذا الكتاب دفعني هذا إلى تغيير العزم</w:t>
      </w:r>
      <w:r w:rsidR="000636C2">
        <w:rPr>
          <w:rFonts w:eastAsia="MS Mincho" w:hint="cs"/>
          <w:rtl/>
        </w:rPr>
        <w:t>،</w:t>
      </w:r>
      <w:r w:rsidRPr="005675B2">
        <w:rPr>
          <w:rFonts w:eastAsia="MS Mincho" w:hint="cs"/>
          <w:rtl/>
        </w:rPr>
        <w:t xml:space="preserve"> والاقتصار على </w:t>
      </w:r>
      <w:r w:rsidR="000636C2">
        <w:rPr>
          <w:rFonts w:eastAsia="MS Mincho" w:hint="cs"/>
          <w:rtl/>
        </w:rPr>
        <w:t>(</w:t>
      </w:r>
      <w:r>
        <w:rPr>
          <w:rFonts w:eastAsia="MS Mincho" w:hint="cs"/>
          <w:rtl/>
        </w:rPr>
        <w:t>تنبيه</w:t>
      </w:r>
      <w:r w:rsidR="000636C2">
        <w:rPr>
          <w:rFonts w:eastAsia="MS Mincho" w:hint="cs"/>
          <w:rtl/>
        </w:rPr>
        <w:t>)</w:t>
      </w:r>
      <w:r w:rsidRPr="005675B2">
        <w:rPr>
          <w:rFonts w:eastAsia="MS Mincho" w:hint="cs"/>
          <w:rtl/>
        </w:rPr>
        <w:t>ات جليلة</w:t>
      </w:r>
      <w:r w:rsidR="000636C2">
        <w:rPr>
          <w:rFonts w:eastAsia="MS Mincho" w:hint="cs"/>
          <w:rtl/>
        </w:rPr>
        <w:t>،</w:t>
      </w:r>
      <w:r w:rsidRPr="005675B2">
        <w:rPr>
          <w:rFonts w:eastAsia="MS Mincho" w:hint="cs"/>
          <w:rtl/>
        </w:rPr>
        <w:t xml:space="preserve"> وإشارات دقيقة</w:t>
      </w:r>
      <w:r w:rsidR="000636C2">
        <w:rPr>
          <w:rFonts w:eastAsia="MS Mincho" w:hint="cs"/>
          <w:rtl/>
        </w:rPr>
        <w:t>،</w:t>
      </w:r>
      <w:r w:rsidRPr="005675B2">
        <w:rPr>
          <w:rFonts w:eastAsia="MS Mincho" w:hint="cs"/>
          <w:rtl/>
        </w:rPr>
        <w:t xml:space="preserve"> لا تخلو من استدلالات لطيفة</w:t>
      </w:r>
      <w:r w:rsidR="000636C2">
        <w:rPr>
          <w:rFonts w:eastAsia="MS Mincho" w:hint="cs"/>
          <w:rtl/>
        </w:rPr>
        <w:t>،</w:t>
      </w:r>
      <w:r w:rsidRPr="005675B2">
        <w:rPr>
          <w:rFonts w:eastAsia="MS Mincho" w:hint="cs"/>
          <w:rtl/>
        </w:rPr>
        <w:t xml:space="preserve"> فما لا يدرك جله ؛ لا يترك كله</w:t>
      </w:r>
      <w:r w:rsidR="000636C2">
        <w:rPr>
          <w:rFonts w:eastAsia="MS Mincho" w:hint="cs"/>
          <w:rtl/>
        </w:rPr>
        <w:t>،</w:t>
      </w:r>
      <w:r w:rsidRPr="005675B2">
        <w:rPr>
          <w:rFonts w:eastAsia="MS Mincho" w:hint="cs"/>
          <w:rtl/>
        </w:rPr>
        <w:t xml:space="preserve"> وأنا في ذلك موقن أن الله تعالى لا يترك من هو مخلص النية يريد الاهتداء إلى الحق الصريح إذا خلص نفسه من الشوائب</w:t>
      </w:r>
      <w:r w:rsidR="000636C2">
        <w:rPr>
          <w:rFonts w:eastAsia="MS Mincho" w:hint="cs"/>
          <w:rtl/>
        </w:rPr>
        <w:t>،</w:t>
      </w:r>
      <w:r w:rsidRPr="005675B2">
        <w:rPr>
          <w:rFonts w:eastAsia="MS Mincho" w:hint="cs"/>
          <w:rtl/>
        </w:rPr>
        <w:t xml:space="preserve"> ولا توفيق إلا من الله تعالى</w:t>
      </w:r>
      <w:r w:rsidR="000636C2">
        <w:rPr>
          <w:rFonts w:eastAsia="MS Mincho" w:hint="cs"/>
          <w:rtl/>
        </w:rPr>
        <w:t>،</w:t>
      </w:r>
      <w:r w:rsidRPr="005675B2">
        <w:rPr>
          <w:rFonts w:eastAsia="MS Mincho" w:hint="cs"/>
          <w:rtl/>
        </w:rPr>
        <w:t xml:space="preserve"> وهو القوي الحكيم</w:t>
      </w:r>
      <w:r w:rsidR="000636C2">
        <w:rPr>
          <w:rFonts w:eastAsia="MS Mincho" w:hint="cs"/>
          <w:rtl/>
        </w:rPr>
        <w:t>،</w:t>
      </w:r>
      <w:r w:rsidRPr="005675B2">
        <w:rPr>
          <w:rFonts w:eastAsia="MS Mincho" w:hint="cs"/>
          <w:rtl/>
        </w:rPr>
        <w:t xml:space="preserve"> </w:t>
      </w:r>
    </w:p>
    <w:p w14:paraId="38024B35" w14:textId="69FB822A" w:rsidR="009C32A0" w:rsidRPr="005675B2" w:rsidRDefault="009C32A0" w:rsidP="000636C2">
      <w:pPr>
        <w:spacing w:after="240"/>
        <w:rPr>
          <w:rFonts w:eastAsia="MS Mincho"/>
          <w:b/>
          <w:rtl/>
        </w:rPr>
      </w:pPr>
      <w:r w:rsidRPr="005675B2">
        <w:rPr>
          <w:rFonts w:eastAsia="MS Mincho" w:hint="cs"/>
          <w:bCs/>
          <w:rtl/>
        </w:rPr>
        <w:t>نبذة عن الكتاب متعلَّق النقد</w:t>
      </w:r>
      <w:r w:rsidR="000636C2">
        <w:rPr>
          <w:rFonts w:hint="cs"/>
          <w:rtl/>
        </w:rPr>
        <w:t>:</w:t>
      </w:r>
      <w:r w:rsidRPr="005675B2">
        <w:rPr>
          <w:rFonts w:hint="cs"/>
          <w:rtl/>
        </w:rPr>
        <w:t xml:space="preserve"> </w:t>
      </w:r>
      <w:r w:rsidRPr="005675B2">
        <w:rPr>
          <w:rFonts w:eastAsia="MS Mincho" w:hint="cs"/>
          <w:rtl/>
        </w:rPr>
        <w:t>هذا الكتاب صادر عن عدم دراية بحقيقة علم التوحيد</w:t>
      </w:r>
      <w:r w:rsidR="000636C2">
        <w:rPr>
          <w:rFonts w:eastAsia="MS Mincho" w:hint="cs"/>
          <w:rtl/>
        </w:rPr>
        <w:t>،</w:t>
      </w:r>
      <w:r w:rsidRPr="005675B2">
        <w:rPr>
          <w:rFonts w:eastAsia="MS Mincho" w:hint="cs"/>
          <w:rtl/>
        </w:rPr>
        <w:t xml:space="preserve"> وتقليد محض وتعصب شديد</w:t>
      </w:r>
      <w:r w:rsidR="000636C2">
        <w:rPr>
          <w:rFonts w:eastAsia="MS Mincho" w:hint="cs"/>
          <w:rtl/>
        </w:rPr>
        <w:t>،</w:t>
      </w:r>
      <w:r w:rsidRPr="005675B2">
        <w:rPr>
          <w:rFonts w:eastAsia="MS Mincho" w:hint="cs"/>
          <w:rtl/>
        </w:rPr>
        <w:t xml:space="preserve"> كل هذا منا الآن ادعاءٌ</w:t>
      </w:r>
      <w:r w:rsidR="000636C2">
        <w:rPr>
          <w:rFonts w:eastAsia="MS Mincho" w:hint="cs"/>
          <w:rtl/>
        </w:rPr>
        <w:t>،</w:t>
      </w:r>
      <w:r w:rsidRPr="005675B2">
        <w:rPr>
          <w:rFonts w:eastAsia="MS Mincho" w:hint="cs"/>
          <w:rtl/>
        </w:rPr>
        <w:t xml:space="preserve"> دليله ما سيأتي من كلام</w:t>
      </w:r>
      <w:r w:rsidR="000636C2">
        <w:rPr>
          <w:rFonts w:eastAsia="MS Mincho" w:hint="cs"/>
          <w:rtl/>
        </w:rPr>
        <w:t>،</w:t>
      </w:r>
      <w:r w:rsidRPr="005675B2">
        <w:rPr>
          <w:rFonts w:eastAsia="MS Mincho" w:hint="cs"/>
          <w:rtl/>
        </w:rPr>
        <w:t xml:space="preserve"> وصاحب الكتاب د</w:t>
      </w:r>
      <w:r w:rsidR="000636C2">
        <w:rPr>
          <w:rFonts w:eastAsia="MS Mincho" w:hint="cs"/>
          <w:rtl/>
        </w:rPr>
        <w:t>،</w:t>
      </w:r>
      <w:r w:rsidRPr="005675B2">
        <w:rPr>
          <w:rFonts w:eastAsia="MS Mincho" w:hint="cs"/>
          <w:rtl/>
        </w:rPr>
        <w:t xml:space="preserve"> محمد بن عبد الرحمن آلخميس</w:t>
      </w:r>
      <w:r w:rsidR="000636C2">
        <w:rPr>
          <w:rFonts w:eastAsia="MS Mincho" w:hint="cs"/>
          <w:rtl/>
        </w:rPr>
        <w:t>،</w:t>
      </w:r>
      <w:r w:rsidRPr="005675B2">
        <w:rPr>
          <w:rFonts w:eastAsia="MS Mincho" w:hint="cs"/>
          <w:rtl/>
        </w:rPr>
        <w:t xml:space="preserve"> سائرٌ على خُطى صاحبه الآخر المشتد في تعصبه وعدم معرفته بكثير من الأمور التي يكتب فيها المدعو بسفر الحوالي</w:t>
      </w:r>
      <w:r w:rsidR="000636C2">
        <w:rPr>
          <w:rFonts w:eastAsia="MS Mincho" w:hint="cs"/>
          <w:rtl/>
        </w:rPr>
        <w:t>،</w:t>
      </w:r>
      <w:r w:rsidRPr="005675B2">
        <w:rPr>
          <w:rFonts w:eastAsia="MS Mincho" w:hint="cs"/>
          <w:rtl/>
        </w:rPr>
        <w:t xml:space="preserve"> في كتابه المسمى بمنهج الأشاعرة في العقيدة</w:t>
      </w:r>
      <w:r w:rsidR="000636C2">
        <w:rPr>
          <w:rFonts w:eastAsia="MS Mincho" w:hint="cs"/>
          <w:rtl/>
        </w:rPr>
        <w:t>،</w:t>
      </w:r>
      <w:r w:rsidRPr="005675B2">
        <w:rPr>
          <w:rFonts w:eastAsia="MS Mincho" w:hint="cs"/>
          <w:rtl/>
        </w:rPr>
        <w:t xml:space="preserve"> وكلٌّ منهما يشترك مع الآخر في صفات أهمها</w:t>
      </w:r>
      <w:r w:rsidR="000636C2">
        <w:rPr>
          <w:rFonts w:eastAsia="MS Mincho" w:hint="cs"/>
          <w:rtl/>
        </w:rPr>
        <w:t xml:space="preserve">: </w:t>
      </w:r>
      <w:r w:rsidRPr="005675B2">
        <w:rPr>
          <w:rFonts w:eastAsia="MS Mincho" w:hint="cs"/>
          <w:rtl/>
        </w:rPr>
        <w:t>- الجهل الكبير بعقائد أهل السنة والجماعة</w:t>
      </w:r>
      <w:r w:rsidR="000636C2">
        <w:rPr>
          <w:rFonts w:eastAsia="MS Mincho" w:hint="cs"/>
          <w:rtl/>
        </w:rPr>
        <w:t>،</w:t>
      </w:r>
      <w:r w:rsidRPr="005675B2">
        <w:rPr>
          <w:rFonts w:eastAsia="MS Mincho" w:hint="cs"/>
          <w:rtl/>
        </w:rPr>
        <w:t xml:space="preserve"> وهم أهل الحق</w:t>
      </w:r>
      <w:r w:rsidR="000636C2">
        <w:rPr>
          <w:rFonts w:eastAsia="MS Mincho" w:hint="cs"/>
          <w:rtl/>
        </w:rPr>
        <w:t xml:space="preserve"> (</w:t>
      </w:r>
      <w:r w:rsidRPr="005675B2">
        <w:rPr>
          <w:rFonts w:eastAsia="MS Mincho" w:hint="cs"/>
          <w:rtl/>
        </w:rPr>
        <w:t>الأشاعرة والماتريدية</w:t>
      </w:r>
      <w:r w:rsidR="000636C2">
        <w:rPr>
          <w:rFonts w:eastAsia="MS Mincho" w:hint="cs"/>
          <w:rtl/>
        </w:rPr>
        <w:t>)،</w:t>
      </w:r>
      <w:r w:rsidRPr="005675B2">
        <w:rPr>
          <w:rFonts w:eastAsia="MS Mincho" w:hint="cs"/>
          <w:rtl/>
        </w:rPr>
        <w:t xml:space="preserve"> - عدم القدرة على الخوض في العقائد خوض المجتهدين</w:t>
      </w:r>
      <w:r w:rsidR="000636C2">
        <w:rPr>
          <w:rFonts w:eastAsia="MS Mincho" w:hint="cs"/>
          <w:rtl/>
        </w:rPr>
        <w:t>،</w:t>
      </w:r>
      <w:r w:rsidRPr="005675B2">
        <w:rPr>
          <w:rFonts w:eastAsia="MS Mincho" w:hint="cs"/>
          <w:rtl/>
        </w:rPr>
        <w:t xml:space="preserve"> بل كل منهما لم يخرج لجهله ولضيق أفق عقله عن رتبة التقليد</w:t>
      </w:r>
      <w:r w:rsidR="000636C2">
        <w:rPr>
          <w:rFonts w:eastAsia="MS Mincho" w:hint="cs"/>
          <w:rtl/>
        </w:rPr>
        <w:t xml:space="preserve">، </w:t>
      </w:r>
      <w:r w:rsidRPr="005675B2">
        <w:rPr>
          <w:rFonts w:eastAsia="MS Mincho" w:hint="cs"/>
          <w:rtl/>
        </w:rPr>
        <w:t>- وهما بعد ذلك يقدسان كلام ابن تيمية</w:t>
      </w:r>
      <w:r w:rsidR="000636C2">
        <w:rPr>
          <w:rFonts w:eastAsia="MS Mincho" w:hint="cs"/>
          <w:rtl/>
        </w:rPr>
        <w:t>،</w:t>
      </w:r>
      <w:r w:rsidRPr="005675B2">
        <w:rPr>
          <w:rFonts w:eastAsia="MS Mincho" w:hint="cs"/>
          <w:rtl/>
        </w:rPr>
        <w:t xml:space="preserve"> ويأخذان</w:t>
      </w:r>
      <w:r w:rsidRPr="005675B2">
        <w:rPr>
          <w:rFonts w:eastAsia="MS Mincho" w:hint="cs"/>
        </w:rPr>
        <w:t xml:space="preserve"> </w:t>
      </w:r>
      <w:r w:rsidRPr="005675B2">
        <w:rPr>
          <w:rFonts w:eastAsia="MS Mincho" w:hint="cs"/>
          <w:rtl/>
        </w:rPr>
        <w:t>ردودهما وانتقاداتهما على الأشاعرة والماتريدية من كلامه</w:t>
      </w:r>
      <w:r w:rsidR="000636C2">
        <w:rPr>
          <w:rFonts w:eastAsia="MS Mincho" w:hint="cs"/>
          <w:rtl/>
        </w:rPr>
        <w:t>،</w:t>
      </w:r>
      <w:r w:rsidRPr="005675B2">
        <w:rPr>
          <w:rFonts w:eastAsia="MS Mincho" w:hint="cs"/>
          <w:rtl/>
        </w:rPr>
        <w:t xml:space="preserve"> ومعلوم أن ابن تيمية من أشد أعداء هؤلاء</w:t>
      </w:r>
      <w:r w:rsidR="000636C2">
        <w:rPr>
          <w:rFonts w:eastAsia="MS Mincho" w:hint="cs"/>
          <w:rtl/>
        </w:rPr>
        <w:t>،</w:t>
      </w:r>
      <w:r w:rsidRPr="005675B2">
        <w:rPr>
          <w:rFonts w:eastAsia="MS Mincho" w:hint="cs"/>
          <w:rtl/>
        </w:rPr>
        <w:t xml:space="preserve"> وقد بينا نحن في غير موضع أن ما ينقله ويشرحه من مذهب أهل السنة لا يُرْكَنُ إليه</w:t>
      </w:r>
      <w:r w:rsidR="000636C2">
        <w:rPr>
          <w:rFonts w:eastAsia="MS Mincho" w:hint="cs"/>
          <w:rtl/>
        </w:rPr>
        <w:t>،</w:t>
      </w:r>
      <w:r w:rsidRPr="005675B2">
        <w:rPr>
          <w:rFonts w:eastAsia="MS Mincho" w:hint="cs"/>
          <w:rtl/>
        </w:rPr>
        <w:t xml:space="preserve"> سواءا أكانت باللفظ أو بالمعنى</w:t>
      </w:r>
      <w:r w:rsidR="000636C2">
        <w:rPr>
          <w:rFonts w:eastAsia="MS Mincho" w:hint="cs"/>
          <w:rtl/>
        </w:rPr>
        <w:t>،</w:t>
      </w:r>
      <w:r w:rsidRPr="005675B2">
        <w:rPr>
          <w:rFonts w:eastAsia="MS Mincho" w:hint="cs"/>
          <w:rtl/>
        </w:rPr>
        <w:t xml:space="preserve"> وهو من حيث المعنى لا يكاد ينقله عن خصومه كما يريدونه هم</w:t>
      </w:r>
      <w:r w:rsidR="000636C2">
        <w:rPr>
          <w:rFonts w:eastAsia="MS Mincho" w:hint="cs"/>
          <w:rtl/>
        </w:rPr>
        <w:t>،</w:t>
      </w:r>
      <w:r w:rsidRPr="005675B2">
        <w:rPr>
          <w:rFonts w:eastAsia="MS Mincho" w:hint="cs"/>
          <w:rtl/>
        </w:rPr>
        <w:t xml:space="preserve"> بل يفسره ويوضحه كما يحلو له هو ثم يشرع في التشنيع عليهم بناءاً على نسبة هذا المعنى اليهم</w:t>
      </w:r>
      <w:r w:rsidR="000636C2">
        <w:rPr>
          <w:rFonts w:eastAsia="MS Mincho" w:hint="cs"/>
          <w:rtl/>
        </w:rPr>
        <w:t>،</w:t>
      </w:r>
      <w:r w:rsidRPr="005675B2">
        <w:rPr>
          <w:rFonts w:eastAsia="MS Mincho" w:hint="cs"/>
          <w:rtl/>
        </w:rPr>
        <w:t xml:space="preserve"> وهذا يستدعي الغاية من العجب</w:t>
      </w:r>
      <w:r w:rsidR="000636C2">
        <w:rPr>
          <w:rFonts w:eastAsia="MS Mincho" w:hint="cs"/>
          <w:rtl/>
        </w:rPr>
        <w:t xml:space="preserve">، </w:t>
      </w:r>
      <w:r w:rsidRPr="005675B2">
        <w:rPr>
          <w:rFonts w:eastAsia="MS Mincho" w:hint="cs"/>
          <w:rtl/>
        </w:rPr>
        <w:t>- وفوق هذا</w:t>
      </w:r>
      <w:r w:rsidR="000636C2">
        <w:rPr>
          <w:rFonts w:eastAsia="MS Mincho" w:hint="cs"/>
          <w:rtl/>
        </w:rPr>
        <w:t>،</w:t>
      </w:r>
      <w:r w:rsidRPr="005675B2">
        <w:rPr>
          <w:rFonts w:eastAsia="MS Mincho" w:hint="cs"/>
          <w:rtl/>
        </w:rPr>
        <w:t xml:space="preserve"> فهما لما سبق يشتركان في الجهل الكبير بمعنى النصوص الشرعية التي وقع الخلاف في معناها</w:t>
      </w:r>
      <w:r w:rsidR="000636C2">
        <w:rPr>
          <w:rFonts w:eastAsia="MS Mincho" w:hint="cs"/>
          <w:rtl/>
        </w:rPr>
        <w:t>،</w:t>
      </w:r>
      <w:r w:rsidRPr="005675B2">
        <w:rPr>
          <w:rFonts w:eastAsia="MS Mincho" w:hint="cs"/>
          <w:rtl/>
        </w:rPr>
        <w:t xml:space="preserve"> وبالتالي فلا أحد منهما عنده القدرة على الانصاف</w:t>
      </w:r>
      <w:r w:rsidR="000636C2">
        <w:rPr>
          <w:rFonts w:eastAsia="MS Mincho" w:hint="cs"/>
          <w:rtl/>
        </w:rPr>
        <w:t>،</w:t>
      </w:r>
      <w:r w:rsidRPr="005675B2">
        <w:rPr>
          <w:rFonts w:eastAsia="MS Mincho" w:hint="cs"/>
          <w:rtl/>
        </w:rPr>
        <w:t xml:space="preserve"> لتلبسه بما يضادُّه</w:t>
      </w:r>
      <w:r w:rsidR="000636C2">
        <w:rPr>
          <w:rFonts w:eastAsia="MS Mincho" w:hint="cs"/>
          <w:rtl/>
        </w:rPr>
        <w:t>،</w:t>
      </w:r>
      <w:r w:rsidRPr="005675B2">
        <w:rPr>
          <w:rFonts w:eastAsia="MS Mincho" w:hint="cs"/>
          <w:rtl/>
        </w:rPr>
        <w:t xml:space="preserve"> وتوجد أسباب أخرى غير ما ذكرنا هنا</w:t>
      </w:r>
      <w:r w:rsidR="000636C2">
        <w:rPr>
          <w:rFonts w:eastAsia="MS Mincho" w:hint="cs"/>
          <w:rtl/>
        </w:rPr>
        <w:t>،</w:t>
      </w:r>
      <w:r w:rsidRPr="005675B2">
        <w:rPr>
          <w:rFonts w:eastAsia="MS Mincho" w:hint="cs"/>
          <w:rtl/>
        </w:rPr>
        <w:t xml:space="preserve"> لم نعرج عليها للاختصار</w:t>
      </w:r>
      <w:r w:rsidR="000636C2">
        <w:rPr>
          <w:rFonts w:eastAsia="MS Mincho" w:hint="cs"/>
          <w:rtl/>
        </w:rPr>
        <w:t>،</w:t>
      </w:r>
      <w:r w:rsidRPr="005675B2">
        <w:rPr>
          <w:rFonts w:eastAsia="MS Mincho" w:hint="cs"/>
          <w:rtl/>
        </w:rPr>
        <w:t xml:space="preserve"> </w:t>
      </w:r>
    </w:p>
    <w:p w14:paraId="4B0C07C0" w14:textId="214765D6" w:rsidR="009C32A0" w:rsidRPr="005675B2" w:rsidRDefault="009C32A0" w:rsidP="000636C2">
      <w:pPr>
        <w:rPr>
          <w:b/>
          <w:rtl/>
        </w:rPr>
      </w:pPr>
      <w:r w:rsidRPr="005675B2">
        <w:rPr>
          <w:rFonts w:hint="cs"/>
          <w:bCs/>
          <w:rtl/>
        </w:rPr>
        <w:t>منهجنا في النقد</w:t>
      </w:r>
      <w:r w:rsidR="000636C2">
        <w:rPr>
          <w:rFonts w:hint="cs"/>
          <w:rtl/>
        </w:rPr>
        <w:t>:</w:t>
      </w:r>
      <w:r w:rsidRPr="005675B2">
        <w:rPr>
          <w:rFonts w:hint="cs"/>
          <w:rtl/>
        </w:rPr>
        <w:t xml:space="preserve"> إذا كانت المسألة التي يعترض عليها المؤلف المذكور بينة ولم يكن لاعتراضه وجه</w:t>
      </w:r>
      <w:r w:rsidR="000636C2">
        <w:rPr>
          <w:rFonts w:hint="cs"/>
          <w:rtl/>
        </w:rPr>
        <w:t>،</w:t>
      </w:r>
      <w:r w:rsidRPr="005675B2">
        <w:rPr>
          <w:rFonts w:hint="cs"/>
          <w:rtl/>
        </w:rPr>
        <w:t xml:space="preserve"> اكتفينا بالكلام المختصر الكافي في دفع شبهته وبيان وجه الحق في المسألة</w:t>
      </w:r>
      <w:r w:rsidR="000636C2">
        <w:rPr>
          <w:rFonts w:hint="cs"/>
          <w:rtl/>
        </w:rPr>
        <w:t>،</w:t>
      </w:r>
      <w:r w:rsidRPr="005675B2">
        <w:rPr>
          <w:rFonts w:hint="cs"/>
          <w:rtl/>
        </w:rPr>
        <w:t xml:space="preserve"> وإذا نقل نقلا</w:t>
      </w:r>
      <w:r w:rsidR="000636C2">
        <w:rPr>
          <w:rFonts w:hint="cs"/>
          <w:rtl/>
        </w:rPr>
        <w:t>،</w:t>
      </w:r>
      <w:r w:rsidRPr="005675B2">
        <w:rPr>
          <w:rFonts w:hint="cs"/>
          <w:rtl/>
        </w:rPr>
        <w:t xml:space="preserve"> فإن سلمناه له بينا المراد من الكلام المنقول</w:t>
      </w:r>
      <w:r w:rsidR="000636C2">
        <w:rPr>
          <w:rFonts w:hint="cs"/>
          <w:rtl/>
        </w:rPr>
        <w:t>،</w:t>
      </w:r>
      <w:r w:rsidRPr="005675B2">
        <w:rPr>
          <w:rFonts w:hint="cs"/>
          <w:rtl/>
        </w:rPr>
        <w:t xml:space="preserve"> وإلا رددناه عليه وبينا النقل الصحيح</w:t>
      </w:r>
      <w:r w:rsidR="000636C2">
        <w:rPr>
          <w:rFonts w:hint="cs"/>
          <w:rtl/>
        </w:rPr>
        <w:t>،</w:t>
      </w:r>
      <w:r w:rsidRPr="005675B2">
        <w:rPr>
          <w:rFonts w:hint="cs"/>
          <w:rtl/>
        </w:rPr>
        <w:t xml:space="preserve"> وإذا احتج بدليل أو نص ناقشناه فيه وبيَّـنَّـا ضعف كلامه وسقم أحواله</w:t>
      </w:r>
      <w:r w:rsidR="000636C2">
        <w:rPr>
          <w:rFonts w:hint="cs"/>
          <w:rtl/>
        </w:rPr>
        <w:t>،</w:t>
      </w:r>
      <w:r w:rsidRPr="005675B2">
        <w:rPr>
          <w:rFonts w:hint="cs"/>
          <w:rtl/>
        </w:rPr>
        <w:t xml:space="preserve"> وأتينا بالوجه الصحيح للنص</w:t>
      </w:r>
      <w:r w:rsidR="000636C2">
        <w:rPr>
          <w:rFonts w:hint="cs"/>
          <w:rtl/>
        </w:rPr>
        <w:t>،</w:t>
      </w:r>
      <w:r w:rsidRPr="005675B2">
        <w:rPr>
          <w:rFonts w:hint="cs"/>
          <w:rtl/>
        </w:rPr>
        <w:t xml:space="preserve"> وذكرنا الدليل الصحيح بإشارة أو عبارة</w:t>
      </w:r>
      <w:r w:rsidR="000636C2">
        <w:rPr>
          <w:rFonts w:hint="cs"/>
          <w:rtl/>
        </w:rPr>
        <w:t>،</w:t>
      </w:r>
      <w:r w:rsidRPr="005675B2">
        <w:rPr>
          <w:rFonts w:hint="cs"/>
          <w:rtl/>
        </w:rPr>
        <w:t xml:space="preserve"> والتفسيرات الباطلة نردها عليه</w:t>
      </w:r>
      <w:r w:rsidR="000636C2">
        <w:rPr>
          <w:rFonts w:hint="cs"/>
          <w:rtl/>
        </w:rPr>
        <w:t>،</w:t>
      </w:r>
      <w:r w:rsidRPr="005675B2">
        <w:rPr>
          <w:rFonts w:hint="cs"/>
          <w:rtl/>
        </w:rPr>
        <w:t xml:space="preserve"> ونبين الصحيح</w:t>
      </w:r>
      <w:r w:rsidR="000636C2">
        <w:rPr>
          <w:rFonts w:hint="cs"/>
          <w:rtl/>
        </w:rPr>
        <w:t>،</w:t>
      </w:r>
      <w:r w:rsidRPr="005675B2">
        <w:rPr>
          <w:rFonts w:hint="cs"/>
          <w:rtl/>
        </w:rPr>
        <w:t xml:space="preserve"> والتهويلات ؛ في حال كون المسألة مُحتملةً للخلاف</w:t>
      </w:r>
      <w:r w:rsidR="000636C2">
        <w:rPr>
          <w:rFonts w:hint="cs"/>
          <w:rtl/>
        </w:rPr>
        <w:t>،</w:t>
      </w:r>
      <w:r w:rsidRPr="005675B2">
        <w:rPr>
          <w:rFonts w:hint="cs"/>
          <w:rtl/>
        </w:rPr>
        <w:t xml:space="preserve"> نقلِّلُ من شأنها</w:t>
      </w:r>
      <w:r w:rsidR="000636C2">
        <w:rPr>
          <w:rFonts w:hint="cs"/>
          <w:rtl/>
        </w:rPr>
        <w:t>،</w:t>
      </w:r>
      <w:r w:rsidRPr="005675B2">
        <w:rPr>
          <w:rFonts w:hint="cs"/>
          <w:rtl/>
        </w:rPr>
        <w:t xml:space="preserve"> ونهوِّنُ على القارئ الأمر</w:t>
      </w:r>
      <w:r w:rsidR="000636C2">
        <w:rPr>
          <w:rFonts w:hint="cs"/>
          <w:rtl/>
        </w:rPr>
        <w:t>،</w:t>
      </w:r>
      <w:r w:rsidRPr="005675B2">
        <w:rPr>
          <w:rFonts w:hint="cs"/>
          <w:rtl/>
        </w:rPr>
        <w:t xml:space="preserve"> بإيضاح المقام الصحيح للمسألة</w:t>
      </w:r>
      <w:r w:rsidR="000636C2">
        <w:rPr>
          <w:rFonts w:hint="cs"/>
          <w:rtl/>
        </w:rPr>
        <w:t>،</w:t>
      </w:r>
      <w:r w:rsidRPr="005675B2">
        <w:rPr>
          <w:rFonts w:hint="cs"/>
          <w:rtl/>
        </w:rPr>
        <w:t xml:space="preserve"> إلى غير ذلك مما ستلاحظه</w:t>
      </w:r>
      <w:r w:rsidR="000636C2">
        <w:rPr>
          <w:rFonts w:hint="cs"/>
          <w:rtl/>
        </w:rPr>
        <w:t>،</w:t>
      </w:r>
      <w:r w:rsidRPr="005675B2">
        <w:rPr>
          <w:rFonts w:hint="cs"/>
          <w:rtl/>
        </w:rPr>
        <w:t xml:space="preserve"> واعتمادنا الأول بعد ذلك هو في إرجاع القارئ إلى المصادر الأصلية لعقائد أهل السنة والجماعة أهل الحق</w:t>
      </w:r>
      <w:r w:rsidR="000636C2">
        <w:rPr>
          <w:rFonts w:hint="cs"/>
          <w:rtl/>
        </w:rPr>
        <w:t>،</w:t>
      </w:r>
      <w:r w:rsidRPr="005675B2">
        <w:rPr>
          <w:rFonts w:hint="cs"/>
          <w:rtl/>
        </w:rPr>
        <w:t xml:space="preserve"> ليتضح له الحال</w:t>
      </w:r>
      <w:r w:rsidR="000636C2">
        <w:rPr>
          <w:rFonts w:hint="cs"/>
          <w:rtl/>
        </w:rPr>
        <w:t>،</w:t>
      </w:r>
      <w:r w:rsidRPr="005675B2">
        <w:rPr>
          <w:rFonts w:hint="cs"/>
          <w:rtl/>
        </w:rPr>
        <w:t xml:space="preserve"> ويتبين له الحق من الضلال</w:t>
      </w:r>
      <w:r w:rsidR="000636C2">
        <w:rPr>
          <w:rFonts w:hint="cs"/>
          <w:rtl/>
        </w:rPr>
        <w:t>،</w:t>
      </w:r>
      <w:r w:rsidRPr="005675B2">
        <w:rPr>
          <w:rFonts w:hint="cs"/>
          <w:rtl/>
        </w:rPr>
        <w:t xml:space="preserve"> وسنذكر كلامه قبل الرد عليه وذلك إذا كان الرد موجها عليه مباشرة ولا يشترك فيه مع غيره ؛ دون تلبيس</w:t>
      </w:r>
      <w:r w:rsidR="000636C2">
        <w:rPr>
          <w:rFonts w:hint="cs"/>
          <w:rtl/>
        </w:rPr>
        <w:t>،</w:t>
      </w:r>
      <w:r w:rsidRPr="005675B2">
        <w:rPr>
          <w:rFonts w:hint="cs"/>
          <w:rtl/>
        </w:rPr>
        <w:t xml:space="preserve"> فإنه وسيلة الجاهل الضعيف</w:t>
      </w:r>
      <w:r w:rsidR="000636C2">
        <w:rPr>
          <w:rFonts w:hint="cs"/>
          <w:rtl/>
        </w:rPr>
        <w:t>،</w:t>
      </w:r>
      <w:r w:rsidRPr="005675B2">
        <w:rPr>
          <w:rFonts w:hint="cs"/>
          <w:rtl/>
        </w:rPr>
        <w:t xml:space="preserve"> وإلا اكتفينا بذكر المعنى متعلَّقِ الرد</w:t>
      </w:r>
      <w:r w:rsidR="000636C2">
        <w:rPr>
          <w:rFonts w:hint="cs"/>
          <w:rtl/>
        </w:rPr>
        <w:t>،</w:t>
      </w:r>
      <w:r w:rsidRPr="005675B2">
        <w:rPr>
          <w:rFonts w:hint="cs"/>
          <w:rtl/>
        </w:rPr>
        <w:t xml:space="preserve"> </w:t>
      </w:r>
      <w:r w:rsidRPr="005675B2">
        <w:rPr>
          <w:rFonts w:hint="cs"/>
          <w:bCs/>
          <w:rtl/>
        </w:rPr>
        <w:t>الشروع في نقد ما في هذا الكتاب</w:t>
      </w:r>
      <w:r w:rsidR="000636C2">
        <w:rPr>
          <w:rFonts w:hint="cs"/>
          <w:bCs/>
          <w:rtl/>
        </w:rPr>
        <w:t>:</w:t>
      </w:r>
      <w:r w:rsidRPr="005675B2">
        <w:rPr>
          <w:rFonts w:hint="cs"/>
          <w:bCs/>
          <w:rtl/>
        </w:rPr>
        <w:t xml:space="preserve"> </w:t>
      </w:r>
    </w:p>
    <w:p w14:paraId="27923874" w14:textId="047445AB" w:rsidR="009C32A0" w:rsidRPr="005675B2" w:rsidRDefault="009C32A0" w:rsidP="000636C2">
      <w:pPr>
        <w:rPr>
          <w:b/>
          <w:rtl/>
        </w:rPr>
      </w:pPr>
      <w:r w:rsidRPr="005675B2">
        <w:rPr>
          <w:rFonts w:hint="cs"/>
          <w:rtl/>
        </w:rPr>
        <w:t xml:space="preserve"> </w:t>
      </w:r>
      <w:r w:rsidR="000636C2">
        <w:rPr>
          <w:rFonts w:hint="cs"/>
          <w:bCs/>
          <w:rtl/>
        </w:rPr>
        <w:t>(</w:t>
      </w:r>
      <w:r w:rsidRPr="005675B2">
        <w:rPr>
          <w:rFonts w:hint="cs"/>
          <w:bCs/>
          <w:rtl/>
        </w:rPr>
        <w:t>أولا</w:t>
      </w:r>
      <w:r w:rsidR="000636C2">
        <w:rPr>
          <w:rFonts w:hint="cs"/>
          <w:bCs/>
          <w:rtl/>
        </w:rPr>
        <w:t>):</w:t>
      </w:r>
      <w:r w:rsidRPr="005675B2">
        <w:rPr>
          <w:rFonts w:hint="cs"/>
          <w:bCs/>
          <w:rtl/>
        </w:rPr>
        <w:t xml:space="preserve"> كلام عن الفطرة</w:t>
      </w:r>
      <w:r w:rsidR="000636C2">
        <w:rPr>
          <w:rFonts w:hint="cs"/>
          <w:bCs/>
          <w:rtl/>
        </w:rPr>
        <w:t>:</w:t>
      </w:r>
      <w:r w:rsidRPr="005675B2">
        <w:rPr>
          <w:rFonts w:hint="cs"/>
          <w:bCs/>
          <w:rtl/>
        </w:rPr>
        <w:t xml:space="preserve"> </w:t>
      </w:r>
      <w:r w:rsidRPr="005675B2">
        <w:rPr>
          <w:rFonts w:hint="cs"/>
          <w:rtl/>
        </w:rPr>
        <w:t>في صفحة</w:t>
      </w:r>
      <w:r w:rsidR="000636C2">
        <w:rPr>
          <w:rFonts w:hint="cs"/>
          <w:rtl/>
        </w:rPr>
        <w:t xml:space="preserve"> (</w:t>
      </w:r>
      <w:r w:rsidRPr="005675B2">
        <w:rPr>
          <w:rFonts w:hint="cs"/>
          <w:rtl/>
        </w:rPr>
        <w:t>5</w:t>
      </w:r>
      <w:r w:rsidR="000636C2">
        <w:rPr>
          <w:rFonts w:hint="cs"/>
          <w:rtl/>
        </w:rPr>
        <w:t>)</w:t>
      </w:r>
      <w:r w:rsidRPr="005675B2">
        <w:rPr>
          <w:rFonts w:hint="cs"/>
          <w:rtl/>
        </w:rPr>
        <w:t xml:space="preserve"> يقول</w:t>
      </w:r>
      <w:r w:rsidR="000636C2">
        <w:rPr>
          <w:rFonts w:hint="cs"/>
          <w:rtl/>
        </w:rPr>
        <w:t>:</w:t>
      </w:r>
      <w:r w:rsidRPr="005675B2">
        <w:rPr>
          <w:rFonts w:hint="cs"/>
          <w:rtl/>
        </w:rPr>
        <w:t xml:space="preserve"> ولو أن الناس تُرِكوا دونما مؤثرات خارجية</w:t>
      </w:r>
      <w:r w:rsidR="000636C2">
        <w:rPr>
          <w:rFonts w:hint="cs"/>
          <w:rtl/>
        </w:rPr>
        <w:t>،</w:t>
      </w:r>
      <w:r w:rsidRPr="005675B2">
        <w:rPr>
          <w:rFonts w:hint="cs"/>
          <w:rtl/>
        </w:rPr>
        <w:t xml:space="preserve"> لنشأوا كلهم على الإسلام</w:t>
      </w:r>
      <w:r w:rsidR="000636C2">
        <w:rPr>
          <w:rFonts w:hint="cs"/>
          <w:rtl/>
        </w:rPr>
        <w:t>،</w:t>
      </w:r>
      <w:r w:rsidRPr="005675B2">
        <w:rPr>
          <w:rFonts w:hint="cs"/>
          <w:rtl/>
        </w:rPr>
        <w:t xml:space="preserve"> إذ هو الفطرة الصحيحة أهـ</w:t>
      </w:r>
      <w:r w:rsidR="000636C2">
        <w:rPr>
          <w:rFonts w:hint="cs"/>
          <w:rtl/>
        </w:rPr>
        <w:t>،</w:t>
      </w:r>
      <w:r w:rsidRPr="005675B2">
        <w:rPr>
          <w:rFonts w:hint="cs"/>
          <w:rtl/>
        </w:rPr>
        <w:t xml:space="preserve"> ثم قال في صفحة</w:t>
      </w:r>
      <w:r w:rsidR="000636C2">
        <w:rPr>
          <w:rFonts w:hint="cs"/>
          <w:rtl/>
        </w:rPr>
        <w:t xml:space="preserve"> (</w:t>
      </w:r>
      <w:r w:rsidRPr="005675B2">
        <w:rPr>
          <w:rFonts w:hint="cs"/>
          <w:rtl/>
        </w:rPr>
        <w:t>6</w:t>
      </w:r>
      <w:r w:rsidR="000636C2">
        <w:rPr>
          <w:rFonts w:hint="cs"/>
          <w:rtl/>
        </w:rPr>
        <w:t>):</w:t>
      </w:r>
      <w:r w:rsidRPr="005675B2">
        <w:rPr>
          <w:rFonts w:hint="cs"/>
          <w:rtl/>
        </w:rPr>
        <w:t xml:space="preserve"> فالإنسان ليس بحاجة إلى قواعد علىالكلام والى استدلالات الفلاسفة والنظار وغيرهم حتى يتوصل إلى الاقرار بوجود الله تعالى</w:t>
      </w:r>
      <w:r w:rsidR="000636C2">
        <w:rPr>
          <w:rFonts w:hint="cs"/>
          <w:rtl/>
        </w:rPr>
        <w:t>،</w:t>
      </w:r>
      <w:r w:rsidRPr="005675B2">
        <w:rPr>
          <w:rFonts w:hint="cs"/>
          <w:rtl/>
        </w:rPr>
        <w:t xml:space="preserve"> فإن هذا لشيء جبلت عليه النفوس وفطرت عليه العقول أهـ</w:t>
      </w:r>
      <w:r w:rsidR="000636C2">
        <w:rPr>
          <w:rFonts w:hint="cs"/>
          <w:rtl/>
        </w:rPr>
        <w:t>،</w:t>
      </w:r>
      <w:r w:rsidRPr="005675B2">
        <w:rPr>
          <w:rFonts w:hint="cs"/>
          <w:rtl/>
        </w:rPr>
        <w:t xml:space="preserve"> يريد بهذا الكلام أن يكرر ما هو معهود ممن هو مثله من أنه لا حاجة للناس إلى الاستدلال ولا حاجة لهم إلى علم الكلام</w:t>
      </w:r>
      <w:r w:rsidR="000636C2">
        <w:rPr>
          <w:rFonts w:hint="cs"/>
          <w:rtl/>
        </w:rPr>
        <w:t>،</w:t>
      </w:r>
      <w:r w:rsidRPr="005675B2">
        <w:rPr>
          <w:rFonts w:hint="cs"/>
          <w:rtl/>
        </w:rPr>
        <w:t xml:space="preserve"> ويلجأ هو وأمثاله في بيان عدم الحاجة إلى القول بأن وجود الله تعالى أمر فطري مفطور عليه الإنسان</w:t>
      </w:r>
      <w:r w:rsidR="000636C2">
        <w:rPr>
          <w:rFonts w:hint="cs"/>
          <w:rtl/>
        </w:rPr>
        <w:t>،</w:t>
      </w:r>
      <w:r w:rsidRPr="005675B2">
        <w:rPr>
          <w:rFonts w:hint="cs"/>
          <w:rtl/>
        </w:rPr>
        <w:t xml:space="preserve"> بل يقولون أن كل العقائد هي مفطورة في الإنسان ولذلك</w:t>
      </w:r>
      <w:r w:rsidR="000636C2">
        <w:rPr>
          <w:rFonts w:hint="cs"/>
          <w:rtl/>
        </w:rPr>
        <w:t xml:space="preserve"> </w:t>
      </w:r>
      <w:r w:rsidRPr="005675B2">
        <w:rPr>
          <w:rFonts w:hint="cs"/>
          <w:rtl/>
        </w:rPr>
        <w:t>تراهم يستدلون على عقائدهم بالفطرة</w:t>
      </w:r>
      <w:r w:rsidR="000636C2">
        <w:rPr>
          <w:rFonts w:hint="cs"/>
          <w:rtl/>
        </w:rPr>
        <w:t xml:space="preserve">؟! </w:t>
      </w:r>
      <w:r w:rsidRPr="005675B2">
        <w:rPr>
          <w:rFonts w:hint="cs"/>
          <w:rtl/>
        </w:rPr>
        <w:t>ولذلك تراهم يُرجعون إلى الفطرة جميع عقائدهم</w:t>
      </w:r>
      <w:r w:rsidR="000636C2">
        <w:rPr>
          <w:rFonts w:hint="cs"/>
          <w:rtl/>
        </w:rPr>
        <w:t>،</w:t>
      </w:r>
      <w:r w:rsidRPr="005675B2">
        <w:rPr>
          <w:rFonts w:hint="cs"/>
          <w:rtl/>
        </w:rPr>
        <w:t xml:space="preserve"> عقائد التشبيه والتجسيم من كون الله تعالى في جهة وأنه يتحرك وأن له حيزا إلى غير ذلك</w:t>
      </w:r>
      <w:r w:rsidR="000636C2">
        <w:rPr>
          <w:rFonts w:hint="cs"/>
          <w:rtl/>
        </w:rPr>
        <w:t>،</w:t>
      </w:r>
      <w:r w:rsidRPr="005675B2">
        <w:rPr>
          <w:rFonts w:hint="cs"/>
          <w:rtl/>
        </w:rPr>
        <w:t xml:space="preserve"> ويدعون أن كل ذلك معلوم بالفطرة</w:t>
      </w:r>
      <w:r w:rsidR="000636C2">
        <w:rPr>
          <w:rFonts w:hint="cs"/>
          <w:rtl/>
        </w:rPr>
        <w:t>،</w:t>
      </w:r>
      <w:r w:rsidRPr="005675B2">
        <w:rPr>
          <w:rFonts w:hint="cs"/>
          <w:rtl/>
        </w:rPr>
        <w:t xml:space="preserve"> ويستدلون عادة بقوله تعالى</w:t>
      </w:r>
      <w:r w:rsidR="000636C2">
        <w:rPr>
          <w:rFonts w:hint="cs"/>
          <w:rtl/>
        </w:rPr>
        <w:t>:</w:t>
      </w:r>
      <w:r w:rsidRPr="005675B2">
        <w:rPr>
          <w:rFonts w:hint="cs"/>
          <w:rtl/>
        </w:rPr>
        <w:t xml:space="preserve"> </w:t>
      </w:r>
      <w:r w:rsidR="000636C2">
        <w:rPr>
          <w:rFonts w:hint="cs"/>
          <w:rtl/>
        </w:rPr>
        <w:t>{</w:t>
      </w:r>
      <w:r w:rsidRPr="005675B2">
        <w:rPr>
          <w:rFonts w:hint="cs"/>
          <w:rtl/>
        </w:rPr>
        <w:t>فطرة الله التي فطر الناس عليها</w:t>
      </w:r>
      <w:r w:rsidR="000636C2">
        <w:rPr>
          <w:rFonts w:hint="cs"/>
          <w:rtl/>
        </w:rPr>
        <w:t>}،</w:t>
      </w:r>
      <w:r w:rsidRPr="005675B2">
        <w:rPr>
          <w:rFonts w:hint="cs"/>
          <w:rtl/>
        </w:rPr>
        <w:t xml:space="preserve"> وبقول الرسول عليه الصلاة والسلام</w:t>
      </w:r>
      <w:r w:rsidR="000636C2">
        <w:rPr>
          <w:rFonts w:hint="cs"/>
          <w:rtl/>
        </w:rPr>
        <w:t>:</w:t>
      </w:r>
      <w:r w:rsidRPr="005675B2">
        <w:rPr>
          <w:rFonts w:hint="cs"/>
          <w:rtl/>
        </w:rPr>
        <w:t xml:space="preserve"> (</w:t>
      </w:r>
      <w:r w:rsidR="000636C2">
        <w:rPr>
          <w:rFonts w:hint="cs"/>
          <w:rtl/>
        </w:rPr>
        <w:t>(</w:t>
      </w:r>
      <w:r w:rsidRPr="005675B2">
        <w:rPr>
          <w:rFonts w:hint="cs"/>
          <w:rtl/>
        </w:rPr>
        <w:t>ما من مولود الا يولد على الفطرة</w:t>
      </w:r>
      <w:r w:rsidR="000636C2">
        <w:rPr>
          <w:rFonts w:hint="cs"/>
          <w:rtl/>
        </w:rPr>
        <w:t>،</w:t>
      </w:r>
      <w:r w:rsidRPr="005675B2">
        <w:rPr>
          <w:rFonts w:hint="cs"/>
          <w:rtl/>
        </w:rPr>
        <w:t xml:space="preserve"> أبواه يهودانه أو ينصرانه أو يمجسانه ..</w:t>
      </w:r>
      <w:r w:rsidR="000636C2">
        <w:rPr>
          <w:rFonts w:hint="cs"/>
          <w:rtl/>
        </w:rPr>
        <w:t>)</w:t>
      </w:r>
      <w:r w:rsidRPr="005675B2">
        <w:rPr>
          <w:rFonts w:hint="cs"/>
          <w:rtl/>
        </w:rPr>
        <w:t>)</w:t>
      </w:r>
      <w:r w:rsidR="000636C2">
        <w:rPr>
          <w:rFonts w:hint="cs"/>
          <w:rtl/>
        </w:rPr>
        <w:t>،</w:t>
      </w:r>
      <w:r w:rsidRPr="005675B2">
        <w:rPr>
          <w:rFonts w:hint="cs"/>
          <w:rtl/>
        </w:rPr>
        <w:t xml:space="preserve"> ولا يذكرون تكملة الحديث كما سنذكرها لأنها تنقض عليهم ما يريدون إثباته</w:t>
      </w:r>
      <w:r w:rsidR="000636C2">
        <w:rPr>
          <w:rFonts w:hint="cs"/>
          <w:rtl/>
        </w:rPr>
        <w:t>،</w:t>
      </w:r>
      <w:r w:rsidRPr="005675B2">
        <w:rPr>
          <w:rFonts w:hint="cs"/>
          <w:rtl/>
        </w:rPr>
        <w:t xml:space="preserve"> ويوردون الحديث القدسي</w:t>
      </w:r>
      <w:r w:rsidR="000636C2">
        <w:rPr>
          <w:rFonts w:hint="cs"/>
          <w:rtl/>
        </w:rPr>
        <w:t>:</w:t>
      </w:r>
      <w:r w:rsidRPr="005675B2">
        <w:rPr>
          <w:rFonts w:hint="cs"/>
          <w:rtl/>
        </w:rPr>
        <w:t xml:space="preserve"> (</w:t>
      </w:r>
      <w:r w:rsidR="000636C2">
        <w:rPr>
          <w:rFonts w:hint="cs"/>
          <w:rtl/>
        </w:rPr>
        <w:t>(</w:t>
      </w:r>
      <w:r w:rsidRPr="005675B2">
        <w:rPr>
          <w:rFonts w:hint="cs"/>
          <w:rtl/>
        </w:rPr>
        <w:t>وإني خلقت عبادي حنفاء كلهم</w:t>
      </w:r>
      <w:r w:rsidR="000636C2">
        <w:rPr>
          <w:rFonts w:hint="cs"/>
          <w:rtl/>
        </w:rPr>
        <w:t>،</w:t>
      </w:r>
      <w:r w:rsidRPr="005675B2">
        <w:rPr>
          <w:rFonts w:hint="cs"/>
          <w:rtl/>
        </w:rPr>
        <w:t xml:space="preserve"> وانهم أتتهم الشياطين فاجتالتهم عن دينهم</w:t>
      </w:r>
      <w:r w:rsidR="000636C2">
        <w:rPr>
          <w:rFonts w:hint="cs"/>
          <w:rtl/>
        </w:rPr>
        <w:t>)</w:t>
      </w:r>
      <w:r w:rsidRPr="005675B2">
        <w:rPr>
          <w:rFonts w:hint="cs"/>
          <w:rtl/>
        </w:rPr>
        <w:t>)</w:t>
      </w:r>
      <w:r w:rsidR="000636C2">
        <w:rPr>
          <w:rFonts w:hint="cs"/>
          <w:rtl/>
        </w:rPr>
        <w:t>،</w:t>
      </w:r>
      <w:r w:rsidRPr="005675B2">
        <w:rPr>
          <w:rFonts w:hint="cs"/>
          <w:rtl/>
        </w:rPr>
        <w:t xml:space="preserve"> كما فعل كاتب هذا الكتاب</w:t>
      </w:r>
      <w:r w:rsidR="000636C2">
        <w:rPr>
          <w:rFonts w:hint="cs"/>
          <w:rtl/>
        </w:rPr>
        <w:t>،</w:t>
      </w:r>
      <w:r w:rsidRPr="005675B2">
        <w:rPr>
          <w:rFonts w:hint="cs"/>
          <w:rtl/>
        </w:rPr>
        <w:t xml:space="preserve"> ونحن سوف نناقش هذه الجهات باختصار بما يكفي اللبيب والعامي</w:t>
      </w:r>
      <w:r w:rsidR="000636C2">
        <w:rPr>
          <w:rFonts w:hint="cs"/>
          <w:rtl/>
        </w:rPr>
        <w:t>،</w:t>
      </w:r>
      <w:r w:rsidRPr="005675B2">
        <w:rPr>
          <w:rFonts w:hint="cs"/>
          <w:rtl/>
        </w:rPr>
        <w:t xml:space="preserve"> فأما معنى الفطرة ؛ فقد قال ابن فارس في المقاييس</w:t>
      </w:r>
      <w:r w:rsidR="000636C2">
        <w:rPr>
          <w:rFonts w:hint="cs"/>
          <w:rtl/>
        </w:rPr>
        <w:t>:</w:t>
      </w:r>
      <w:r w:rsidRPr="005675B2">
        <w:rPr>
          <w:rFonts w:hint="cs"/>
          <w:rtl/>
        </w:rPr>
        <w:t xml:space="preserve"> فَطَرَ</w:t>
      </w:r>
      <w:r w:rsidR="000636C2">
        <w:rPr>
          <w:rFonts w:hint="cs"/>
          <w:rtl/>
        </w:rPr>
        <w:t>:</w:t>
      </w:r>
      <w:r w:rsidRPr="005675B2">
        <w:rPr>
          <w:rFonts w:hint="cs"/>
          <w:rtl/>
        </w:rPr>
        <w:t xml:space="preserve"> الفاء والراء أصل صحيح يدل على فتح الشيء وإبرازه</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والفطرة</w:t>
      </w:r>
      <w:r w:rsidR="000636C2">
        <w:rPr>
          <w:rFonts w:hint="cs"/>
          <w:rtl/>
        </w:rPr>
        <w:t>:</w:t>
      </w:r>
      <w:r w:rsidRPr="005675B2">
        <w:rPr>
          <w:rFonts w:hint="cs"/>
          <w:rtl/>
        </w:rPr>
        <w:t xml:space="preserve"> الخِلقةُ أهـ</w:t>
      </w:r>
      <w:r w:rsidR="000636C2">
        <w:rPr>
          <w:rFonts w:hint="cs"/>
          <w:rtl/>
        </w:rPr>
        <w:t>،</w:t>
      </w:r>
      <w:r w:rsidRPr="005675B2">
        <w:rPr>
          <w:rFonts w:hint="cs"/>
          <w:rtl/>
        </w:rPr>
        <w:t xml:space="preserve"> وذكر الراغب الأصفهاني هذا المعنى في المفردات</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وفطرت العجين إذا عجنته فخبزته من وقته</w:t>
      </w:r>
      <w:r w:rsidR="000636C2">
        <w:rPr>
          <w:rFonts w:hint="cs"/>
          <w:rtl/>
        </w:rPr>
        <w:t>،</w:t>
      </w:r>
      <w:r w:rsidRPr="005675B2">
        <w:rPr>
          <w:rFonts w:hint="cs"/>
          <w:rtl/>
        </w:rPr>
        <w:t xml:space="preserve"> ومنه الفطرة</w:t>
      </w:r>
      <w:r w:rsidR="000636C2">
        <w:rPr>
          <w:rFonts w:hint="cs"/>
          <w:rtl/>
        </w:rPr>
        <w:t>،</w:t>
      </w:r>
      <w:r w:rsidRPr="005675B2">
        <w:rPr>
          <w:rFonts w:hint="cs"/>
          <w:rtl/>
        </w:rPr>
        <w:t xml:space="preserve"> وفطر الله الخلق</w:t>
      </w:r>
      <w:r w:rsidR="000636C2">
        <w:rPr>
          <w:rFonts w:hint="cs"/>
          <w:rtl/>
        </w:rPr>
        <w:t>،</w:t>
      </w:r>
      <w:r w:rsidRPr="005675B2">
        <w:rPr>
          <w:rFonts w:hint="cs"/>
          <w:rtl/>
        </w:rPr>
        <w:t xml:space="preserve"> وهو ايجاده الشيء وإبداعه على هيئة مترشحة لفعلٍ من الأفعال أهـ</w:t>
      </w:r>
      <w:r w:rsidR="000636C2">
        <w:rPr>
          <w:rFonts w:hint="cs"/>
          <w:rtl/>
        </w:rPr>
        <w:t>،</w:t>
      </w:r>
      <w:r w:rsidRPr="005675B2">
        <w:rPr>
          <w:rFonts w:hint="cs"/>
          <w:rtl/>
        </w:rPr>
        <w:t xml:space="preserve"> فالفطرة في اللغة معناها</w:t>
      </w:r>
      <w:r w:rsidR="000636C2">
        <w:rPr>
          <w:rFonts w:hint="cs"/>
          <w:rtl/>
        </w:rPr>
        <w:t>:</w:t>
      </w:r>
      <w:r w:rsidRPr="005675B2">
        <w:rPr>
          <w:rFonts w:hint="cs"/>
          <w:rtl/>
        </w:rPr>
        <w:t xml:space="preserve"> الخِلقةُ على هيئة معينة</w:t>
      </w:r>
      <w:r w:rsidR="000636C2">
        <w:rPr>
          <w:rFonts w:hint="cs"/>
          <w:rtl/>
        </w:rPr>
        <w:t>،</w:t>
      </w:r>
      <w:r w:rsidRPr="005675B2">
        <w:rPr>
          <w:rFonts w:hint="cs"/>
          <w:rtl/>
        </w:rPr>
        <w:t xml:space="preserve"> وهذا المعنى اللغوي هو أصل المعنى المراد في الحديث والآية</w:t>
      </w:r>
      <w:r w:rsidR="000636C2">
        <w:rPr>
          <w:rFonts w:hint="cs"/>
          <w:rtl/>
        </w:rPr>
        <w:t>،</w:t>
      </w:r>
      <w:r w:rsidRPr="005675B2">
        <w:rPr>
          <w:rFonts w:hint="cs"/>
          <w:rtl/>
        </w:rPr>
        <w:t xml:space="preserve"> فالله تعالى خلق</w:t>
      </w:r>
      <w:r w:rsidR="000636C2">
        <w:rPr>
          <w:rFonts w:hint="cs"/>
          <w:rtl/>
        </w:rPr>
        <w:t xml:space="preserve"> </w:t>
      </w:r>
      <w:r w:rsidRPr="005675B2">
        <w:rPr>
          <w:rFonts w:hint="cs"/>
          <w:rtl/>
        </w:rPr>
        <w:t>الناس على هيئة معينة</w:t>
      </w:r>
      <w:r w:rsidR="000636C2">
        <w:rPr>
          <w:rFonts w:hint="cs"/>
          <w:rtl/>
        </w:rPr>
        <w:t>،</w:t>
      </w:r>
      <w:r w:rsidRPr="005675B2">
        <w:rPr>
          <w:rFonts w:hint="cs"/>
          <w:rtl/>
        </w:rPr>
        <w:t xml:space="preserve"> وأودع فيهم من القوى ما لو استعملوها استعمالا صحيحا سليما لأدى بهم هذا الاستعمال إلى الدين الحق الذي هو الإسلام</w:t>
      </w:r>
      <w:r w:rsidR="000636C2">
        <w:rPr>
          <w:rFonts w:hint="cs"/>
          <w:rtl/>
        </w:rPr>
        <w:t>،</w:t>
      </w:r>
      <w:r w:rsidRPr="005675B2">
        <w:rPr>
          <w:rFonts w:hint="cs"/>
          <w:rtl/>
        </w:rPr>
        <w:t xml:space="preserve"> ولهذا قال الاصفهاني</w:t>
      </w:r>
      <w:r w:rsidR="000636C2">
        <w:rPr>
          <w:rFonts w:hint="cs"/>
          <w:rtl/>
        </w:rPr>
        <w:t>:</w:t>
      </w:r>
      <w:r w:rsidRPr="005675B2">
        <w:rPr>
          <w:rFonts w:hint="cs"/>
          <w:rtl/>
        </w:rPr>
        <w:t xml:space="preserve"> " وفطرة الله هي ما ركز فيه من قوته على معرفة الإيمان " أهـ</w:t>
      </w:r>
      <w:r w:rsidR="000636C2">
        <w:rPr>
          <w:rFonts w:hint="cs"/>
          <w:rtl/>
        </w:rPr>
        <w:t>،</w:t>
      </w:r>
      <w:r w:rsidRPr="005675B2">
        <w:rPr>
          <w:rFonts w:hint="cs"/>
          <w:rtl/>
        </w:rPr>
        <w:t xml:space="preserve"> فهي إذن القوة المودعة</w:t>
      </w:r>
      <w:r w:rsidR="000636C2">
        <w:rPr>
          <w:rFonts w:hint="cs"/>
          <w:rtl/>
        </w:rPr>
        <w:t xml:space="preserve"> </w:t>
      </w:r>
      <w:r w:rsidRPr="005675B2">
        <w:rPr>
          <w:rFonts w:hint="cs"/>
          <w:rtl/>
        </w:rPr>
        <w:t>- بلا تأثير خَلقيٍّ للعبد</w:t>
      </w:r>
      <w:r w:rsidR="000636C2">
        <w:rPr>
          <w:rFonts w:hint="cs"/>
          <w:rtl/>
        </w:rPr>
        <w:t xml:space="preserve"> </w:t>
      </w:r>
      <w:r w:rsidRPr="005675B2">
        <w:rPr>
          <w:rFonts w:hint="cs"/>
          <w:rtl/>
        </w:rPr>
        <w:t>- من الله تعالى هبة وتفضلا</w:t>
      </w:r>
      <w:r w:rsidR="000636C2">
        <w:rPr>
          <w:rFonts w:hint="cs"/>
          <w:rtl/>
        </w:rPr>
        <w:t>،</w:t>
      </w:r>
      <w:r w:rsidRPr="005675B2">
        <w:rPr>
          <w:rFonts w:hint="cs"/>
          <w:rtl/>
        </w:rPr>
        <w:t xml:space="preserve"> يخلق الله عند استعمالها استعمالا صحيحا نتائجها من العلم بالله تعالى وبدينه الحق وغير ذلك</w:t>
      </w:r>
      <w:r w:rsidR="000636C2">
        <w:rPr>
          <w:rFonts w:hint="cs"/>
          <w:rtl/>
        </w:rPr>
        <w:t>،</w:t>
      </w:r>
      <w:r w:rsidRPr="005675B2">
        <w:rPr>
          <w:rFonts w:hint="cs"/>
          <w:rtl/>
        </w:rPr>
        <w:t xml:space="preserve"> وقد أوردت نصوصا كافية في هذا المعنى في بحثي المختصر في معنى الفطرة</w:t>
      </w:r>
      <w:r w:rsidR="000636C2">
        <w:rPr>
          <w:rFonts w:hint="cs"/>
          <w:rtl/>
        </w:rPr>
        <w:t>،</w:t>
      </w:r>
      <w:r w:rsidRPr="005675B2">
        <w:rPr>
          <w:rFonts w:hint="cs"/>
          <w:rtl/>
        </w:rPr>
        <w:t xml:space="preserve"> ومن تلك النصوص</w:t>
      </w:r>
      <w:r w:rsidR="000636C2">
        <w:rPr>
          <w:rFonts w:hint="cs"/>
          <w:rtl/>
        </w:rPr>
        <w:t>:</w:t>
      </w:r>
      <w:r w:rsidRPr="005675B2">
        <w:rPr>
          <w:rFonts w:hint="cs"/>
          <w:rtl/>
        </w:rPr>
        <w:t xml:space="preserve"> ذكر الإمام مسلم في صحيحه</w:t>
      </w:r>
      <w:r w:rsidR="000636C2">
        <w:rPr>
          <w:rFonts w:hint="cs"/>
          <w:rtl/>
        </w:rPr>
        <w:t xml:space="preserve"> (</w:t>
      </w:r>
      <w:r w:rsidRPr="005675B2">
        <w:rPr>
          <w:rFonts w:hint="cs"/>
          <w:rtl/>
        </w:rPr>
        <w:t>10</w:t>
      </w:r>
      <w:r w:rsidR="000636C2">
        <w:rPr>
          <w:rFonts w:hint="cs"/>
          <w:rtl/>
        </w:rPr>
        <w:t>:</w:t>
      </w:r>
      <w:r w:rsidRPr="005675B2">
        <w:rPr>
          <w:rFonts w:hint="cs"/>
          <w:rtl/>
        </w:rPr>
        <w:t xml:space="preserve"> 88</w:t>
      </w:r>
      <w:r w:rsidR="000636C2">
        <w:rPr>
          <w:rFonts w:hint="cs"/>
          <w:rtl/>
        </w:rPr>
        <w:t>)</w:t>
      </w:r>
      <w:r w:rsidRPr="005675B2">
        <w:rPr>
          <w:rFonts w:hint="cs"/>
          <w:rtl/>
        </w:rPr>
        <w:t xml:space="preserve"> المطبوع على هامش إرشاد الساري</w:t>
      </w:r>
      <w:r w:rsidR="000636C2">
        <w:rPr>
          <w:rFonts w:hint="cs"/>
          <w:rtl/>
        </w:rPr>
        <w:t>،</w:t>
      </w:r>
      <w:r w:rsidRPr="005675B2">
        <w:rPr>
          <w:rFonts w:hint="cs"/>
          <w:rtl/>
        </w:rPr>
        <w:t xml:space="preserve"> "باب معنى كل مولود يولد على الفطرة</w:t>
      </w:r>
      <w:r w:rsidR="000636C2">
        <w:rPr>
          <w:rFonts w:hint="cs"/>
          <w:rtl/>
        </w:rPr>
        <w:t>،</w:t>
      </w:r>
      <w:r w:rsidRPr="005675B2">
        <w:rPr>
          <w:rFonts w:hint="cs"/>
          <w:rtl/>
        </w:rPr>
        <w:t xml:space="preserve"> وحكم موتى أطفال الكفار وأطفال المسلمين"</w:t>
      </w:r>
      <w:r w:rsidR="000636C2">
        <w:rPr>
          <w:rFonts w:hint="cs"/>
          <w:rtl/>
        </w:rPr>
        <w:t>،</w:t>
      </w:r>
      <w:r w:rsidRPr="005675B2">
        <w:rPr>
          <w:rFonts w:hint="cs"/>
          <w:rtl/>
        </w:rPr>
        <w:t xml:space="preserve"> قوله صلى الله عليه وسلم ما من مولود إلا ويولد على الفطرة فأبواه يهودانه وينصرانه ويمجسانه</w:t>
      </w:r>
      <w:r w:rsidR="000636C2">
        <w:rPr>
          <w:rFonts w:hint="cs"/>
          <w:rtl/>
        </w:rPr>
        <w:t>،</w:t>
      </w:r>
      <w:r w:rsidRPr="005675B2">
        <w:rPr>
          <w:rFonts w:hint="cs"/>
          <w:rtl/>
        </w:rPr>
        <w:t xml:space="preserve"> كما تنتج البهيمة بهيمة جمعاء هل تحسون فيها من جدعاء</w:t>
      </w:r>
      <w:r w:rsidR="000636C2">
        <w:rPr>
          <w:rFonts w:hint="cs"/>
          <w:rtl/>
        </w:rPr>
        <w:t>،</w:t>
      </w:r>
      <w:r w:rsidRPr="005675B2">
        <w:rPr>
          <w:rFonts w:hint="cs"/>
          <w:rtl/>
        </w:rPr>
        <w:t xml:space="preserve"> ثم يقول أبو هريرة واقرؤا أن شئتم "فطرة الله التي فطر الناس عليها لا تبديل لخلق الله ..</w:t>
      </w:r>
      <w:r w:rsidR="000636C2">
        <w:rPr>
          <w:rFonts w:hint="cs"/>
          <w:rtl/>
        </w:rPr>
        <w:t>)</w:t>
      </w:r>
      <w:r w:rsidRPr="005675B2">
        <w:rPr>
          <w:rFonts w:hint="cs"/>
          <w:rtl/>
        </w:rPr>
        <w:t xml:space="preserve"> [30</w:t>
      </w:r>
      <w:r w:rsidR="000636C2">
        <w:rPr>
          <w:rFonts w:hint="cs"/>
          <w:rtl/>
        </w:rPr>
        <w:t>:</w:t>
      </w:r>
      <w:r w:rsidRPr="005675B2">
        <w:rPr>
          <w:rFonts w:hint="cs"/>
          <w:rtl/>
        </w:rPr>
        <w:t xml:space="preserve"> الروم]</w:t>
      </w:r>
      <w:r w:rsidR="000636C2">
        <w:rPr>
          <w:rFonts w:hint="cs"/>
          <w:rtl/>
        </w:rPr>
        <w:t>،</w:t>
      </w:r>
      <w:r w:rsidRPr="005675B2">
        <w:rPr>
          <w:rFonts w:hint="cs"/>
          <w:rtl/>
        </w:rPr>
        <w:t xml:space="preserve"> وذكر أحاديث وروايات أخرى</w:t>
      </w:r>
      <w:r w:rsidR="000636C2">
        <w:rPr>
          <w:rFonts w:hint="cs"/>
          <w:rtl/>
        </w:rPr>
        <w:t>،</w:t>
      </w:r>
      <w:r w:rsidRPr="005675B2">
        <w:rPr>
          <w:rFonts w:hint="cs"/>
          <w:rtl/>
        </w:rPr>
        <w:t xml:space="preserve"> وفي شرح الإمام النووي قال في معنى الفطرة</w:t>
      </w:r>
      <w:r w:rsidR="000636C2">
        <w:rPr>
          <w:rFonts w:hint="cs"/>
          <w:rtl/>
        </w:rPr>
        <w:t>:</w:t>
      </w:r>
      <w:r w:rsidRPr="005675B2">
        <w:rPr>
          <w:rFonts w:hint="cs"/>
          <w:rtl/>
        </w:rPr>
        <w:t xml:space="preserve"> "والأصح أن معناه أن كل مولود يولد متهيئا للإسلام</w:t>
      </w:r>
      <w:r w:rsidR="000636C2">
        <w:rPr>
          <w:rFonts w:hint="cs"/>
          <w:rtl/>
        </w:rPr>
        <w:t>،</w:t>
      </w:r>
      <w:r w:rsidRPr="005675B2">
        <w:rPr>
          <w:rFonts w:hint="cs"/>
          <w:rtl/>
        </w:rPr>
        <w:t xml:space="preserve"> فمن كان أبواه أو أحدهما مسلما استمر على الإسلام في أحكام الآخرة والدنيا</w:t>
      </w:r>
      <w:r w:rsidR="000636C2">
        <w:rPr>
          <w:rFonts w:hint="cs"/>
          <w:rtl/>
        </w:rPr>
        <w:t>،</w:t>
      </w:r>
      <w:r w:rsidRPr="005675B2">
        <w:rPr>
          <w:rFonts w:hint="cs"/>
          <w:rtl/>
        </w:rPr>
        <w:t xml:space="preserve"> وإن كان أبواه كافرين جرى عليه حكمهما في أحكام الدنيا</w:t>
      </w:r>
      <w:r w:rsidR="000636C2">
        <w:rPr>
          <w:rFonts w:hint="cs"/>
          <w:rtl/>
        </w:rPr>
        <w:t>،</w:t>
      </w:r>
      <w:r w:rsidRPr="005675B2">
        <w:rPr>
          <w:rFonts w:hint="cs"/>
          <w:rtl/>
        </w:rPr>
        <w:t xml:space="preserve"> وهذا معنى يهودانه وينصرانه ويمجسانه</w:t>
      </w:r>
      <w:r w:rsidR="000636C2">
        <w:rPr>
          <w:rFonts w:hint="cs"/>
          <w:rtl/>
        </w:rPr>
        <w:t>،</w:t>
      </w:r>
      <w:r w:rsidRPr="005675B2">
        <w:rPr>
          <w:rFonts w:hint="cs"/>
          <w:rtl/>
        </w:rPr>
        <w:t xml:space="preserve"> أي يحكم له بحكمهما في الدنيا</w:t>
      </w:r>
      <w:r w:rsidR="000636C2">
        <w:rPr>
          <w:rFonts w:hint="cs"/>
          <w:rtl/>
        </w:rPr>
        <w:t>،</w:t>
      </w:r>
      <w:r w:rsidRPr="005675B2">
        <w:rPr>
          <w:rFonts w:hint="cs"/>
          <w:rtl/>
        </w:rPr>
        <w:t xml:space="preserve"> فإن بلغ استمر عليه حكم الكفر ودينهما فإن كانت سبقت له سعادة أسلم</w:t>
      </w:r>
      <w:r w:rsidR="000636C2">
        <w:rPr>
          <w:rFonts w:hint="cs"/>
          <w:rtl/>
        </w:rPr>
        <w:t>،</w:t>
      </w:r>
      <w:r w:rsidRPr="005675B2">
        <w:rPr>
          <w:rFonts w:hint="cs"/>
          <w:rtl/>
        </w:rPr>
        <w:t xml:space="preserve"> وإلا مات على كفره " أهـ</w:t>
      </w:r>
      <w:r w:rsidR="000636C2">
        <w:rPr>
          <w:rFonts w:hint="cs"/>
          <w:rtl/>
        </w:rPr>
        <w:t xml:space="preserve">، </w:t>
      </w:r>
      <w:r w:rsidRPr="005675B2">
        <w:rPr>
          <w:rFonts w:hint="cs"/>
          <w:rtl/>
        </w:rPr>
        <w:t>وأما الحديث الذي ذكره هذا المؤلف ويذكره معه أصحابه</w:t>
      </w:r>
      <w:r w:rsidR="000636C2">
        <w:rPr>
          <w:rFonts w:hint="cs"/>
          <w:rtl/>
        </w:rPr>
        <w:t>،</w:t>
      </w:r>
      <w:r w:rsidRPr="005675B2">
        <w:rPr>
          <w:rFonts w:hint="cs"/>
          <w:rtl/>
        </w:rPr>
        <w:t xml:space="preserve"> فلطالما تمنيت أن يشير أحدهم إلى الرواية الكاملة له ويذكرها</w:t>
      </w:r>
      <w:r w:rsidR="000636C2">
        <w:rPr>
          <w:rFonts w:hint="cs"/>
          <w:rtl/>
        </w:rPr>
        <w:t>،</w:t>
      </w:r>
      <w:r w:rsidRPr="005675B2">
        <w:rPr>
          <w:rFonts w:hint="cs"/>
          <w:rtl/>
        </w:rPr>
        <w:t xml:space="preserve"> ويفسره تفسيرا صحيحا بملاحظة جميعه لا بملاحظة بعضه كما ذكره هنا</w:t>
      </w:r>
      <w:r w:rsidR="000636C2">
        <w:rPr>
          <w:rFonts w:hint="cs"/>
          <w:rtl/>
        </w:rPr>
        <w:t>،</w:t>
      </w:r>
      <w:r w:rsidRPr="005675B2">
        <w:rPr>
          <w:rFonts w:hint="cs"/>
          <w:rtl/>
        </w:rPr>
        <w:t xml:space="preserve"> ولكن إلى هذا الزمان لم أجد أحدا منهم يورده كاملا</w:t>
      </w:r>
      <w:r w:rsidR="000636C2">
        <w:rPr>
          <w:rFonts w:hint="cs"/>
          <w:rtl/>
        </w:rPr>
        <w:t>،</w:t>
      </w:r>
      <w:r w:rsidRPr="005675B2">
        <w:rPr>
          <w:rFonts w:hint="cs"/>
          <w:rtl/>
        </w:rPr>
        <w:t xml:space="preserve"> وما ذاك الا لأنهم يعلمون أن آخر الحديث يرد على ما يريدون هم اثباته بما يذكرونه منه ويقتصرون عليه</w:t>
      </w:r>
      <w:r w:rsidR="000636C2">
        <w:rPr>
          <w:rFonts w:hint="cs"/>
          <w:rtl/>
        </w:rPr>
        <w:t>،</w:t>
      </w:r>
      <w:r w:rsidRPr="005675B2">
        <w:rPr>
          <w:rFonts w:hint="cs"/>
          <w:rtl/>
        </w:rPr>
        <w:t xml:space="preserve"> وقد ذكرنا نحن هذا الحديث كاملا في بحث الفطرة المذكور</w:t>
      </w:r>
      <w:r w:rsidR="000636C2">
        <w:rPr>
          <w:rFonts w:hint="cs"/>
          <w:rtl/>
        </w:rPr>
        <w:t>،</w:t>
      </w:r>
      <w:r w:rsidRPr="005675B2">
        <w:rPr>
          <w:rFonts w:hint="cs"/>
          <w:rtl/>
        </w:rPr>
        <w:t xml:space="preserve"> وأشرنا إلى أقوال العلماء فيه</w:t>
      </w:r>
      <w:r w:rsidR="000636C2">
        <w:rPr>
          <w:rFonts w:hint="cs"/>
          <w:rtl/>
        </w:rPr>
        <w:t>،</w:t>
      </w:r>
      <w:r w:rsidRPr="005675B2">
        <w:rPr>
          <w:rFonts w:hint="cs"/>
          <w:rtl/>
        </w:rPr>
        <w:t xml:space="preserve"> ونكتفي هنا بذكر</w:t>
      </w:r>
      <w:r w:rsidRPr="005675B2">
        <w:rPr>
          <w:rFonts w:hint="cs"/>
        </w:rPr>
        <w:t xml:space="preserve"> </w:t>
      </w:r>
      <w:r w:rsidRPr="005675B2">
        <w:rPr>
          <w:rFonts w:hint="cs"/>
          <w:rtl/>
        </w:rPr>
        <w:t>ما تقوم به الحجة</w:t>
      </w:r>
      <w:r w:rsidR="000636C2">
        <w:rPr>
          <w:rFonts w:hint="cs"/>
          <w:rtl/>
        </w:rPr>
        <w:t>،</w:t>
      </w:r>
      <w:r w:rsidRPr="005675B2">
        <w:rPr>
          <w:rFonts w:hint="cs"/>
          <w:rtl/>
        </w:rPr>
        <w:t xml:space="preserve"> ففي نهاية الحديث كما في بعض الروايات الصحيحة التي رواها الامام مسلم وغيره كالبيهقي</w:t>
      </w:r>
      <w:r w:rsidR="000636C2">
        <w:rPr>
          <w:rFonts w:hint="cs"/>
          <w:rtl/>
        </w:rPr>
        <w:t>،</w:t>
      </w:r>
      <w:r w:rsidRPr="005675B2">
        <w:rPr>
          <w:rFonts w:hint="cs"/>
          <w:rtl/>
        </w:rPr>
        <w:t xml:space="preserve"> وذكرها الامام السيوطي في الجامع الصغير .. يقول الرسول الكريم بعد قوله " يهودانه أو ينصرانه أو يمجسانه"</w:t>
      </w:r>
      <w:r w:rsidR="000636C2">
        <w:rPr>
          <w:rFonts w:hint="cs"/>
          <w:rtl/>
        </w:rPr>
        <w:t>،</w:t>
      </w:r>
      <w:r w:rsidRPr="005675B2">
        <w:rPr>
          <w:rFonts w:hint="cs"/>
          <w:rtl/>
        </w:rPr>
        <w:t xml:space="preserve"> "فإن كانا مسلمين فمسلم"</w:t>
      </w:r>
      <w:r w:rsidR="000636C2">
        <w:rPr>
          <w:rFonts w:hint="cs"/>
          <w:rtl/>
        </w:rPr>
        <w:t>،</w:t>
      </w:r>
      <w:r w:rsidRPr="005675B2">
        <w:rPr>
          <w:rFonts w:hint="cs"/>
          <w:rtl/>
        </w:rPr>
        <w:t xml:space="preserve"> هذه الزيادة التي لم أرَ أحدا من اصحاب هذا المؤلف المشار اليه يذكرها</w:t>
      </w:r>
      <w:r w:rsidR="000636C2">
        <w:rPr>
          <w:rFonts w:hint="cs"/>
          <w:rtl/>
        </w:rPr>
        <w:t>،</w:t>
      </w:r>
      <w:r w:rsidRPr="005675B2">
        <w:rPr>
          <w:rFonts w:hint="cs"/>
          <w:rtl/>
        </w:rPr>
        <w:t xml:space="preserve"> وهي تنص صراحة على أن الطفل كما يتأثر بوالديه ويلحق بهم في الحكم أن كانا نصرانيين أو يهوديين أو مجوسيين</w:t>
      </w:r>
      <w:r w:rsidR="000636C2">
        <w:rPr>
          <w:rFonts w:hint="cs"/>
          <w:rtl/>
        </w:rPr>
        <w:t>،</w:t>
      </w:r>
      <w:r w:rsidRPr="005675B2">
        <w:rPr>
          <w:rFonts w:hint="cs"/>
          <w:rtl/>
        </w:rPr>
        <w:t xml:space="preserve"> فكذلك يتأثر بهما ويلحق بهما في الحكم أن كانا مسلمين</w:t>
      </w:r>
      <w:r w:rsidR="000636C2">
        <w:rPr>
          <w:rFonts w:hint="cs"/>
          <w:rtl/>
        </w:rPr>
        <w:t>،</w:t>
      </w:r>
      <w:r w:rsidRPr="005675B2">
        <w:rPr>
          <w:rFonts w:hint="cs"/>
          <w:rtl/>
        </w:rPr>
        <w:t xml:space="preserve"> وهذا يدل على أن الطفل في الأصل لا يقال له مسلم أو كافر</w:t>
      </w:r>
      <w:r w:rsidR="000636C2">
        <w:rPr>
          <w:rFonts w:hint="cs"/>
          <w:rtl/>
        </w:rPr>
        <w:t>،</w:t>
      </w:r>
      <w:r w:rsidRPr="005675B2">
        <w:rPr>
          <w:rFonts w:hint="cs"/>
          <w:rtl/>
        </w:rPr>
        <w:t xml:space="preserve"> ولكن الحكم عليه بالكفر أو الإيمان أي الإسلام</w:t>
      </w:r>
      <w:r w:rsidR="000636C2">
        <w:rPr>
          <w:rFonts w:hint="cs"/>
          <w:rtl/>
        </w:rPr>
        <w:t>،</w:t>
      </w:r>
      <w:r w:rsidRPr="005675B2">
        <w:rPr>
          <w:rFonts w:hint="cs"/>
          <w:rtl/>
        </w:rPr>
        <w:t xml:space="preserve"> إنما هو حكم تبعي إلحاقيٌّ لا أصلي</w:t>
      </w:r>
      <w:r w:rsidR="000636C2">
        <w:rPr>
          <w:rFonts w:hint="cs"/>
          <w:rtl/>
        </w:rPr>
        <w:t>،</w:t>
      </w:r>
      <w:r w:rsidRPr="005675B2">
        <w:rPr>
          <w:rFonts w:hint="cs"/>
          <w:rtl/>
        </w:rPr>
        <w:t xml:space="preserve"> أي أن حاله يلحق بحال والديه أو الدار التي وجد فيها أو غير ذلك</w:t>
      </w:r>
      <w:r w:rsidR="000636C2">
        <w:rPr>
          <w:rFonts w:hint="cs"/>
          <w:rtl/>
        </w:rPr>
        <w:t>،</w:t>
      </w:r>
      <w:r w:rsidRPr="005675B2">
        <w:rPr>
          <w:rFonts w:hint="cs"/>
          <w:rtl/>
        </w:rPr>
        <w:t xml:space="preserve"> مما هو مذكور في كتب الفقه</w:t>
      </w:r>
      <w:r w:rsidR="000636C2">
        <w:rPr>
          <w:rFonts w:hint="cs"/>
          <w:vertAlign w:val="superscript"/>
          <w:rtl/>
        </w:rPr>
        <w:t>،</w:t>
      </w:r>
      <w:r w:rsidRPr="005675B2">
        <w:rPr>
          <w:rFonts w:hint="cs"/>
          <w:rtl/>
        </w:rPr>
        <w:t xml:space="preserve"> ومن ذلك</w:t>
      </w:r>
      <w:r w:rsidR="000636C2">
        <w:rPr>
          <w:rFonts w:hint="cs"/>
          <w:rtl/>
        </w:rPr>
        <w:t>:</w:t>
      </w:r>
      <w:r w:rsidRPr="005675B2">
        <w:rPr>
          <w:rFonts w:hint="cs"/>
          <w:rtl/>
        </w:rPr>
        <w:t xml:space="preserve"> روى الإمام مسلم في "باب معنى كل مولود يولد على الفطرة" عن أبي هريرة أن رسول الله صلى الله عليه وسلم قال</w:t>
      </w:r>
      <w:r w:rsidR="000636C2">
        <w:rPr>
          <w:rFonts w:hint="cs"/>
          <w:rtl/>
        </w:rPr>
        <w:t>:</w:t>
      </w:r>
      <w:r w:rsidRPr="005675B2">
        <w:rPr>
          <w:rFonts w:hint="cs"/>
          <w:rtl/>
        </w:rPr>
        <w:t xml:space="preserve"> كل مولود يولد على الفطرة</w:t>
      </w:r>
      <w:r w:rsidR="000636C2">
        <w:rPr>
          <w:rFonts w:hint="cs"/>
          <w:rtl/>
        </w:rPr>
        <w:t>،</w:t>
      </w:r>
      <w:r w:rsidRPr="005675B2">
        <w:rPr>
          <w:rFonts w:hint="cs"/>
          <w:rtl/>
        </w:rPr>
        <w:t xml:space="preserve"> وأبواه بعدُ يهودانه أو ينصرانه أو يمجسانه</w:t>
      </w:r>
      <w:r w:rsidR="000636C2">
        <w:rPr>
          <w:rFonts w:hint="cs"/>
          <w:rtl/>
        </w:rPr>
        <w:t>،</w:t>
      </w:r>
      <w:r w:rsidRPr="005675B2">
        <w:rPr>
          <w:rFonts w:hint="cs"/>
          <w:rtl/>
        </w:rPr>
        <w:t xml:space="preserve"> فإن كانا مسلمين فمسلم</w:t>
      </w:r>
      <w:r w:rsidR="000636C2">
        <w:rPr>
          <w:rFonts w:hint="cs"/>
          <w:rtl/>
        </w:rPr>
        <w:t>،</w:t>
      </w:r>
      <w:r w:rsidRPr="005675B2">
        <w:rPr>
          <w:rFonts w:hint="cs"/>
          <w:rtl/>
        </w:rPr>
        <w:t xml:space="preserve"> كل إنسان تلده أمه يلكزه الشيطان في حضنيه إلا مريم وابنها"</w:t>
      </w:r>
      <w:r w:rsidR="000636C2">
        <w:rPr>
          <w:rFonts w:hint="cs"/>
          <w:rtl/>
        </w:rPr>
        <w:t>،</w:t>
      </w:r>
      <w:r w:rsidRPr="005675B2">
        <w:rPr>
          <w:rFonts w:hint="cs"/>
          <w:rtl/>
        </w:rPr>
        <w:t xml:space="preserve"> وفي كتاب الاعتقاد للبيهقي ص107</w:t>
      </w:r>
      <w:r w:rsidR="000636C2">
        <w:rPr>
          <w:rFonts w:hint="cs"/>
          <w:rtl/>
        </w:rPr>
        <w:t>:</w:t>
      </w:r>
      <w:r w:rsidRPr="005675B2">
        <w:rPr>
          <w:rFonts w:hint="cs"/>
          <w:rtl/>
        </w:rPr>
        <w:t xml:space="preserve"> قال الإمام الشافعي رضي الله عنه في رواية أبي عبد الرحمن البغدادي عند قول النبي صلى الله عليه وسلم كل مولود يولد على الفطرة</w:t>
      </w:r>
      <w:r w:rsidR="000636C2">
        <w:rPr>
          <w:rFonts w:hint="cs"/>
          <w:rtl/>
        </w:rPr>
        <w:t>:</w:t>
      </w:r>
      <w:r w:rsidRPr="005675B2">
        <w:rPr>
          <w:rFonts w:hint="cs"/>
          <w:rtl/>
        </w:rPr>
        <w:t xml:space="preserve"> هي الفطرة التي فطر الله عليها الخلق</w:t>
      </w:r>
      <w:r w:rsidR="000636C2">
        <w:rPr>
          <w:rFonts w:hint="cs"/>
          <w:rtl/>
        </w:rPr>
        <w:t>،</w:t>
      </w:r>
      <w:r w:rsidRPr="005675B2">
        <w:rPr>
          <w:rFonts w:hint="cs"/>
          <w:rtl/>
        </w:rPr>
        <w:t xml:space="preserve"> فجعلهم رسول الله ما لم يفصحوا بالقول فيختاروا أحد القولين الإيمان أو الكفر</w:t>
      </w:r>
      <w:r w:rsidR="000636C2">
        <w:rPr>
          <w:rFonts w:hint="cs"/>
          <w:rtl/>
        </w:rPr>
        <w:t>،</w:t>
      </w:r>
      <w:r w:rsidRPr="005675B2">
        <w:rPr>
          <w:rFonts w:hint="cs"/>
          <w:rtl/>
        </w:rPr>
        <w:t xml:space="preserve"> لا حكم لهم في أنفسهم إنما الحكم لهم بآبائهم</w:t>
      </w:r>
      <w:r w:rsidR="000636C2">
        <w:rPr>
          <w:rFonts w:hint="cs"/>
          <w:rtl/>
        </w:rPr>
        <w:t>،</w:t>
      </w:r>
      <w:r w:rsidRPr="005675B2">
        <w:rPr>
          <w:rFonts w:hint="cs"/>
          <w:rtl/>
        </w:rPr>
        <w:t xml:space="preserve"> فمن كان آباؤهم يوم يولدون فهم بحالهم إما مؤمن فعلى إيمانه وإما كافر فعلى كفره</w:t>
      </w:r>
      <w:r w:rsidR="000636C2">
        <w:rPr>
          <w:rFonts w:hint="cs"/>
          <w:rtl/>
        </w:rPr>
        <w:t>،</w:t>
      </w:r>
      <w:r w:rsidRPr="005675B2">
        <w:rPr>
          <w:rFonts w:hint="cs"/>
          <w:rtl/>
        </w:rPr>
        <w:t xml:space="preserve"> قال الشيخ </w:t>
      </w:r>
      <w:r w:rsidR="000636C2">
        <w:rPr>
          <w:rFonts w:hint="cs"/>
          <w:rtl/>
        </w:rPr>
        <w:t>[</w:t>
      </w:r>
      <w:r w:rsidRPr="005675B2">
        <w:rPr>
          <w:rFonts w:hint="cs"/>
          <w:rtl/>
        </w:rPr>
        <w:t>البيهقي</w:t>
      </w:r>
      <w:r w:rsidR="000636C2">
        <w:rPr>
          <w:rFonts w:hint="cs"/>
          <w:rtl/>
        </w:rPr>
        <w:t>]</w:t>
      </w:r>
      <w:r w:rsidRPr="005675B2">
        <w:rPr>
          <w:rFonts w:hint="cs"/>
          <w:rtl/>
        </w:rPr>
        <w:t xml:space="preserve"> رحمه الله</w:t>
      </w:r>
      <w:r w:rsidR="000636C2">
        <w:rPr>
          <w:rFonts w:hint="cs"/>
          <w:rtl/>
        </w:rPr>
        <w:t>:</w:t>
      </w:r>
      <w:r w:rsidRPr="005675B2">
        <w:rPr>
          <w:rFonts w:hint="cs"/>
          <w:rtl/>
        </w:rPr>
        <w:t xml:space="preserve"> الذي يؤكد هذا ما روى العلاء بن عبد الرحمن عن أبيه عن أبي هريرة عن النبي صلى الله عليه وسلم في هذا الحديث</w:t>
      </w:r>
      <w:r w:rsidR="000636C2">
        <w:rPr>
          <w:rFonts w:hint="cs"/>
          <w:rtl/>
        </w:rPr>
        <w:t>:</w:t>
      </w:r>
      <w:r w:rsidRPr="005675B2">
        <w:rPr>
          <w:rFonts w:hint="cs"/>
          <w:rtl/>
        </w:rPr>
        <w:t xml:space="preserve"> فإن كانا مسليمن فمسلم أهـ</w:t>
      </w:r>
      <w:r w:rsidR="000636C2">
        <w:rPr>
          <w:rFonts w:hint="cs"/>
          <w:rtl/>
        </w:rPr>
        <w:t>،</w:t>
      </w:r>
      <w:r w:rsidRPr="005675B2">
        <w:rPr>
          <w:rFonts w:hint="cs"/>
          <w:rtl/>
        </w:rPr>
        <w:t xml:space="preserve"> وعندي أن المسألة أوضح من أن تحتاج إلى استدلال فإن ما يدَّعونَ أنه مفطور في الناس من العلم بوجود الله تعالى وصفاته</w:t>
      </w:r>
      <w:r w:rsidR="000636C2">
        <w:rPr>
          <w:rFonts w:hint="cs"/>
          <w:rtl/>
        </w:rPr>
        <w:t>،</w:t>
      </w:r>
      <w:r w:rsidRPr="005675B2">
        <w:rPr>
          <w:rFonts w:hint="cs"/>
          <w:rtl/>
        </w:rPr>
        <w:t xml:space="preserve"> لا يشعر به أحد منهم ولا من غيرهم في أنفسهم عندما كانوا أطفالا</w:t>
      </w:r>
      <w:r w:rsidR="000636C2">
        <w:rPr>
          <w:rFonts w:hint="cs"/>
          <w:rtl/>
        </w:rPr>
        <w:t>،</w:t>
      </w:r>
      <w:r w:rsidRPr="005675B2">
        <w:rPr>
          <w:rFonts w:hint="cs"/>
          <w:rtl/>
        </w:rPr>
        <w:t xml:space="preserve"> وكذلك لا يشعرون به في الأطفال الذين نراهم ويرونهم</w:t>
      </w:r>
      <w:r w:rsidR="000636C2">
        <w:rPr>
          <w:rFonts w:hint="cs"/>
          <w:rtl/>
        </w:rPr>
        <w:t>،</w:t>
      </w:r>
      <w:r w:rsidRPr="005675B2">
        <w:rPr>
          <w:rFonts w:hint="cs"/>
          <w:rtl/>
        </w:rPr>
        <w:t xml:space="preserve"> وإنما يثبت هذه العلوم من يثبتها ويتوهم وجودها في الفطرة عندما يخلق الإنسان ويخرج من بطن أمه لفرط تعصبه وضيق عقله</w:t>
      </w:r>
      <w:r w:rsidR="000636C2">
        <w:rPr>
          <w:rFonts w:hint="cs"/>
          <w:rtl/>
        </w:rPr>
        <w:t>،</w:t>
      </w:r>
      <w:r w:rsidRPr="005675B2">
        <w:rPr>
          <w:rFonts w:hint="cs"/>
          <w:rtl/>
        </w:rPr>
        <w:t xml:space="preserve"> وأما ما قد يرونه من بعض الناس عندما يقولون بما يقول به هؤلاء من عقائد وأقاويل</w:t>
      </w:r>
      <w:r w:rsidR="000636C2">
        <w:rPr>
          <w:rFonts w:hint="cs"/>
          <w:rtl/>
        </w:rPr>
        <w:t>،</w:t>
      </w:r>
      <w:r w:rsidRPr="005675B2">
        <w:rPr>
          <w:rFonts w:hint="cs"/>
          <w:rtl/>
        </w:rPr>
        <w:t xml:space="preserve"> فإنما هو أثرٌ لتقليده غيرَه</w:t>
      </w:r>
      <w:r w:rsidR="000636C2">
        <w:rPr>
          <w:rFonts w:hint="cs"/>
          <w:rtl/>
        </w:rPr>
        <w:t>،</w:t>
      </w:r>
      <w:r w:rsidRPr="005675B2">
        <w:rPr>
          <w:rFonts w:hint="cs"/>
          <w:rtl/>
        </w:rPr>
        <w:t xml:space="preserve"> فلا أحد من الصغار ولا الكبار من توجد معه هذه العقائد بل ولا غيرها من العلوم عندما يخرج من بطن أمه</w:t>
      </w:r>
      <w:r w:rsidR="000636C2">
        <w:rPr>
          <w:rFonts w:hint="cs"/>
          <w:rtl/>
        </w:rPr>
        <w:t>،</w:t>
      </w:r>
      <w:r w:rsidRPr="005675B2">
        <w:rPr>
          <w:rFonts w:hint="cs"/>
          <w:rtl/>
        </w:rPr>
        <w:t xml:space="preserve"> لأن الإنسان يخرج إلى هذا العالم عاريا عن أي علم</w:t>
      </w:r>
      <w:r w:rsidR="000636C2">
        <w:rPr>
          <w:rFonts w:hint="cs"/>
          <w:rtl/>
        </w:rPr>
        <w:t>،</w:t>
      </w:r>
      <w:r w:rsidRPr="005675B2">
        <w:rPr>
          <w:rFonts w:hint="cs"/>
          <w:rtl/>
        </w:rPr>
        <w:t xml:space="preserve"> وقابلا لأن يتعلم كما هو مذكور في نص الآية التي سنذكرها</w:t>
      </w:r>
      <w:r w:rsidR="000636C2">
        <w:rPr>
          <w:rFonts w:hint="cs"/>
          <w:rtl/>
        </w:rPr>
        <w:t>،</w:t>
      </w:r>
      <w:r w:rsidRPr="005675B2">
        <w:rPr>
          <w:rFonts w:hint="cs"/>
          <w:rtl/>
        </w:rPr>
        <w:t xml:space="preserve"> وأيضا فهذه الأمور المفطورة كما يدعي هؤلاء في الناس منذ خلقهم</w:t>
      </w:r>
      <w:r w:rsidR="000636C2">
        <w:rPr>
          <w:rFonts w:hint="cs"/>
          <w:rtl/>
        </w:rPr>
        <w:t>!</w:t>
      </w:r>
      <w:r w:rsidRPr="005675B2">
        <w:rPr>
          <w:rFonts w:hint="cs"/>
          <w:rtl/>
        </w:rPr>
        <w:t xml:space="preserve"> هي لا شك علومٌ توجد معهم منذ الخلقة والولادة على ما يدعيه هؤلاء</w:t>
      </w:r>
      <w:r w:rsidR="000636C2">
        <w:rPr>
          <w:rFonts w:hint="cs"/>
          <w:rtl/>
        </w:rPr>
        <w:t xml:space="preserve">! </w:t>
      </w:r>
      <w:r w:rsidRPr="005675B2">
        <w:rPr>
          <w:rFonts w:hint="cs"/>
          <w:rtl/>
        </w:rPr>
        <w:t>وهذا باطل</w:t>
      </w:r>
      <w:r w:rsidR="000636C2">
        <w:rPr>
          <w:rFonts w:hint="cs"/>
          <w:rtl/>
        </w:rPr>
        <w:t>،</w:t>
      </w:r>
      <w:r w:rsidRPr="005675B2">
        <w:rPr>
          <w:rFonts w:hint="cs"/>
          <w:rtl/>
        </w:rPr>
        <w:t xml:space="preserve"> كيف يكون صحيحا والله تعالى يقول في كتابه العظيم "والله أخرجكم من بطون أمهاتكم لا تعلمون شيئا"</w:t>
      </w:r>
      <w:r w:rsidR="000636C2">
        <w:rPr>
          <w:rFonts w:hint="cs"/>
          <w:rtl/>
        </w:rPr>
        <w:t>،</w:t>
      </w:r>
      <w:r w:rsidRPr="005675B2">
        <w:rPr>
          <w:rFonts w:hint="cs"/>
          <w:rtl/>
        </w:rPr>
        <w:t xml:space="preserve"> فأنت ترى الآية قد نفت وجود أي علم</w:t>
      </w:r>
      <w:r w:rsidR="000636C2">
        <w:rPr>
          <w:rFonts w:hint="cs"/>
          <w:rtl/>
        </w:rPr>
        <w:t>،</w:t>
      </w:r>
      <w:r w:rsidRPr="005675B2">
        <w:rPr>
          <w:rFonts w:hint="cs"/>
          <w:rtl/>
        </w:rPr>
        <w:t xml:space="preserve"> والنفي المسلط على النكرة يفيد العموم كما تعلم</w:t>
      </w:r>
      <w:r w:rsidR="000636C2">
        <w:rPr>
          <w:rFonts w:hint="cs"/>
          <w:rtl/>
        </w:rPr>
        <w:t>،</w:t>
      </w:r>
      <w:r w:rsidRPr="005675B2">
        <w:rPr>
          <w:rFonts w:hint="cs"/>
          <w:rtl/>
        </w:rPr>
        <w:t xml:space="preserve"> فهذا يستلزم عدم وجود أي علم في الإنسان حين ولادته</w:t>
      </w:r>
      <w:r w:rsidR="000636C2">
        <w:rPr>
          <w:rFonts w:hint="cs"/>
          <w:rtl/>
        </w:rPr>
        <w:t>،</w:t>
      </w:r>
      <w:r w:rsidRPr="005675B2">
        <w:rPr>
          <w:rFonts w:hint="cs"/>
          <w:rtl/>
        </w:rPr>
        <w:t xml:space="preserve"> وهذا نص صريح على عدم وجود أي نوع من انواع العلوم في فطرة الإنسان</w:t>
      </w:r>
      <w:r w:rsidR="000636C2">
        <w:rPr>
          <w:rFonts w:hint="cs"/>
          <w:rtl/>
        </w:rPr>
        <w:t>،</w:t>
      </w:r>
      <w:r w:rsidRPr="005675B2">
        <w:rPr>
          <w:rFonts w:hint="cs"/>
          <w:rtl/>
        </w:rPr>
        <w:t xml:space="preserve"> بل كل ما فيه من هذا الجانب إنما هي قوى قادرة على الوصول إلى العلوم والادراكات</w:t>
      </w:r>
      <w:r w:rsidR="000636C2">
        <w:rPr>
          <w:rFonts w:hint="cs"/>
          <w:rtl/>
        </w:rPr>
        <w:t>،</w:t>
      </w:r>
      <w:r w:rsidRPr="005675B2">
        <w:rPr>
          <w:rFonts w:hint="cs"/>
          <w:rtl/>
        </w:rPr>
        <w:t xml:space="preserve"> وقد ناظَرْتُ احدَهم في هذا بعد أن ادعى نفس الادعاء المذكور فقلت له</w:t>
      </w:r>
      <w:r w:rsidR="000636C2">
        <w:rPr>
          <w:rFonts w:hint="cs"/>
          <w:rtl/>
        </w:rPr>
        <w:t>:</w:t>
      </w:r>
      <w:r w:rsidRPr="005675B2">
        <w:rPr>
          <w:rFonts w:hint="cs"/>
          <w:rtl/>
        </w:rPr>
        <w:t xml:space="preserve"> هل هذه الامور التي تدعيها هي مخلوقة مع الإنسان منذ الولادة</w:t>
      </w:r>
      <w:r w:rsidR="000636C2">
        <w:rPr>
          <w:rFonts w:hint="cs"/>
          <w:rtl/>
        </w:rPr>
        <w:t xml:space="preserve">؟ </w:t>
      </w:r>
      <w:r w:rsidRPr="005675B2">
        <w:rPr>
          <w:rFonts w:hint="cs"/>
          <w:rtl/>
        </w:rPr>
        <w:t>فقال</w:t>
      </w:r>
      <w:r w:rsidR="000636C2">
        <w:rPr>
          <w:rFonts w:hint="cs"/>
          <w:rtl/>
        </w:rPr>
        <w:t>:</w:t>
      </w:r>
      <w:r w:rsidRPr="005675B2">
        <w:rPr>
          <w:rFonts w:hint="cs"/>
          <w:rtl/>
        </w:rPr>
        <w:t xml:space="preserve"> نعم</w:t>
      </w:r>
      <w:r w:rsidR="000636C2">
        <w:rPr>
          <w:rFonts w:hint="cs"/>
          <w:rtl/>
        </w:rPr>
        <w:t>،</w:t>
      </w:r>
      <w:r w:rsidRPr="005675B2">
        <w:rPr>
          <w:rFonts w:hint="cs"/>
          <w:rtl/>
        </w:rPr>
        <w:t xml:space="preserve"> قلت</w:t>
      </w:r>
      <w:r w:rsidR="000636C2">
        <w:rPr>
          <w:rFonts w:hint="cs"/>
          <w:rtl/>
        </w:rPr>
        <w:t>:</w:t>
      </w:r>
      <w:r w:rsidRPr="005675B2">
        <w:rPr>
          <w:rFonts w:hint="cs"/>
          <w:rtl/>
        </w:rPr>
        <w:t xml:space="preserve"> هل هي علوم معينة بما تدعيه من وجود الله تعالى وغير ذلك</w:t>
      </w:r>
      <w:r w:rsidR="000636C2">
        <w:rPr>
          <w:rFonts w:hint="cs"/>
          <w:rtl/>
        </w:rPr>
        <w:t xml:space="preserve">؟ </w:t>
      </w:r>
      <w:r w:rsidRPr="005675B2">
        <w:rPr>
          <w:rFonts w:hint="cs"/>
          <w:rtl/>
        </w:rPr>
        <w:t>قال</w:t>
      </w:r>
      <w:r w:rsidR="000636C2">
        <w:rPr>
          <w:rFonts w:hint="cs"/>
          <w:rtl/>
        </w:rPr>
        <w:t>:</w:t>
      </w:r>
      <w:r w:rsidRPr="005675B2">
        <w:rPr>
          <w:rFonts w:hint="cs"/>
          <w:rtl/>
        </w:rPr>
        <w:t xml:space="preserve"> نعم</w:t>
      </w:r>
      <w:r w:rsidR="000636C2">
        <w:rPr>
          <w:rFonts w:hint="cs"/>
          <w:rtl/>
        </w:rPr>
        <w:t>،</w:t>
      </w:r>
      <w:r w:rsidRPr="005675B2">
        <w:rPr>
          <w:rFonts w:hint="cs"/>
          <w:rtl/>
        </w:rPr>
        <w:t xml:space="preserve"> قلت</w:t>
      </w:r>
      <w:r w:rsidR="000636C2">
        <w:rPr>
          <w:rFonts w:hint="cs"/>
          <w:rtl/>
        </w:rPr>
        <w:t>،</w:t>
      </w:r>
      <w:r w:rsidRPr="005675B2">
        <w:rPr>
          <w:rFonts w:hint="cs"/>
          <w:rtl/>
        </w:rPr>
        <w:t xml:space="preserve"> فأنت تقول بأن الإنسان يُخلق معه علومٌ وهو خارج من بطن أمه</w:t>
      </w:r>
      <w:r w:rsidR="000636C2">
        <w:rPr>
          <w:rFonts w:hint="cs"/>
          <w:rtl/>
        </w:rPr>
        <w:t xml:space="preserve">؟! </w:t>
      </w:r>
      <w:r w:rsidRPr="005675B2">
        <w:rPr>
          <w:rFonts w:hint="cs"/>
          <w:rtl/>
        </w:rPr>
        <w:t>قال</w:t>
      </w:r>
      <w:r w:rsidR="000636C2">
        <w:rPr>
          <w:rFonts w:hint="cs"/>
          <w:rtl/>
        </w:rPr>
        <w:t>:</w:t>
      </w:r>
      <w:r w:rsidRPr="005675B2">
        <w:rPr>
          <w:rFonts w:hint="cs"/>
          <w:rtl/>
        </w:rPr>
        <w:t xml:space="preserve"> نعم</w:t>
      </w:r>
      <w:r w:rsidR="000636C2">
        <w:rPr>
          <w:rFonts w:hint="cs"/>
          <w:rtl/>
        </w:rPr>
        <w:t xml:space="preserve">! </w:t>
      </w:r>
      <w:r w:rsidRPr="005675B2">
        <w:rPr>
          <w:rFonts w:hint="cs"/>
          <w:rtl/>
        </w:rPr>
        <w:t>قلت</w:t>
      </w:r>
      <w:r w:rsidR="000636C2">
        <w:rPr>
          <w:rFonts w:hint="cs"/>
          <w:rtl/>
        </w:rPr>
        <w:t>:</w:t>
      </w:r>
      <w:r w:rsidRPr="005675B2">
        <w:rPr>
          <w:rFonts w:hint="cs"/>
          <w:rtl/>
        </w:rPr>
        <w:t xml:space="preserve"> فهذه مخالفة صريحة لنص الآية</w:t>
      </w:r>
      <w:r w:rsidR="000636C2">
        <w:rPr>
          <w:rFonts w:hint="cs"/>
          <w:rtl/>
        </w:rPr>
        <w:t>:</w:t>
      </w:r>
      <w:r w:rsidRPr="005675B2">
        <w:rPr>
          <w:rFonts w:hint="cs"/>
          <w:rtl/>
        </w:rPr>
        <w:t xml:space="preserve"> </w:t>
      </w:r>
      <w:r w:rsidR="000636C2">
        <w:rPr>
          <w:rFonts w:hint="cs"/>
          <w:rtl/>
        </w:rPr>
        <w:t>{</w:t>
      </w:r>
      <w:r w:rsidRPr="005675B2">
        <w:rPr>
          <w:rFonts w:hint="cs"/>
          <w:rtl/>
        </w:rPr>
        <w:t>والله أخرجكم من بطون أمهاتكم لا تعلمون شيئا</w:t>
      </w:r>
      <w:r w:rsidR="000636C2">
        <w:rPr>
          <w:rFonts w:hint="cs"/>
          <w:rtl/>
        </w:rPr>
        <w:t>}،</w:t>
      </w:r>
      <w:r w:rsidRPr="005675B2">
        <w:rPr>
          <w:rFonts w:hint="cs"/>
          <w:rtl/>
        </w:rPr>
        <w:t xml:space="preserve"> فسكت</w:t>
      </w:r>
      <w:r w:rsidR="000636C2">
        <w:rPr>
          <w:rFonts w:hint="cs"/>
          <w:rtl/>
        </w:rPr>
        <w:t>،</w:t>
      </w:r>
      <w:r w:rsidRPr="005675B2">
        <w:rPr>
          <w:rFonts w:hint="cs"/>
          <w:rtl/>
        </w:rPr>
        <w:t xml:space="preserve"> وبُـهر</w:t>
      </w:r>
      <w:r w:rsidR="000636C2">
        <w:rPr>
          <w:rFonts w:hint="cs"/>
          <w:rtl/>
        </w:rPr>
        <w:t>،</w:t>
      </w:r>
      <w:r w:rsidRPr="005675B2">
        <w:rPr>
          <w:rFonts w:hint="cs"/>
          <w:rtl/>
        </w:rPr>
        <w:t xml:space="preserve"> واعترف بالغلط</w:t>
      </w:r>
      <w:r w:rsidR="000636C2">
        <w:rPr>
          <w:rFonts w:hint="cs"/>
          <w:rtl/>
        </w:rPr>
        <w:t>،</w:t>
      </w:r>
      <w:r w:rsidRPr="005675B2">
        <w:rPr>
          <w:rFonts w:hint="cs"/>
          <w:rtl/>
        </w:rPr>
        <w:t xml:space="preserve"> فقلت له</w:t>
      </w:r>
      <w:r w:rsidR="000636C2">
        <w:rPr>
          <w:rFonts w:hint="cs"/>
          <w:rtl/>
        </w:rPr>
        <w:t>:</w:t>
      </w:r>
      <w:r w:rsidRPr="005675B2">
        <w:rPr>
          <w:rFonts w:hint="cs"/>
          <w:rtl/>
        </w:rPr>
        <w:t xml:space="preserve"> فالفطرة المذكورة لا يمكن أن تكون من جنس العلوم بنص الآية</w:t>
      </w:r>
      <w:r w:rsidR="000636C2">
        <w:rPr>
          <w:rFonts w:hint="cs"/>
          <w:rtl/>
        </w:rPr>
        <w:t>،</w:t>
      </w:r>
      <w:r w:rsidRPr="005675B2">
        <w:rPr>
          <w:rFonts w:hint="cs"/>
          <w:rtl/>
        </w:rPr>
        <w:t xml:space="preserve"> فلزم أن تكون من قبيل الشروط أو الاسباب للعلوم</w:t>
      </w:r>
      <w:r w:rsidR="000636C2">
        <w:rPr>
          <w:rFonts w:hint="cs"/>
          <w:rtl/>
        </w:rPr>
        <w:t>،</w:t>
      </w:r>
      <w:r w:rsidRPr="005675B2">
        <w:rPr>
          <w:rFonts w:hint="cs"/>
          <w:rtl/>
        </w:rPr>
        <w:t xml:space="preserve"> والقابلية</w:t>
      </w:r>
      <w:r w:rsidR="000636C2">
        <w:rPr>
          <w:rFonts w:hint="cs"/>
          <w:rtl/>
        </w:rPr>
        <w:t>،</w:t>
      </w:r>
      <w:r w:rsidRPr="005675B2">
        <w:rPr>
          <w:rFonts w:hint="cs"/>
          <w:rtl/>
        </w:rPr>
        <w:t xml:space="preserve"> وهذا هو ما نص عليه المحققون من العلماء المتقدمين والمتأخرين</w:t>
      </w:r>
      <w:r w:rsidR="000636C2">
        <w:rPr>
          <w:rFonts w:hint="cs"/>
          <w:rtl/>
        </w:rPr>
        <w:t>،</w:t>
      </w:r>
      <w:r w:rsidRPr="005675B2">
        <w:rPr>
          <w:rFonts w:hint="cs"/>
          <w:rtl/>
        </w:rPr>
        <w:t xml:space="preserve"> وهذه الفطرة من شأنها أن تكون مائلة إلى الدين</w:t>
      </w:r>
      <w:r w:rsidR="000636C2">
        <w:rPr>
          <w:rFonts w:hint="cs"/>
          <w:rtl/>
        </w:rPr>
        <w:t>،</w:t>
      </w:r>
      <w:r w:rsidRPr="005675B2">
        <w:rPr>
          <w:rFonts w:hint="cs"/>
          <w:rtl/>
        </w:rPr>
        <w:t xml:space="preserve"> بالقوة</w:t>
      </w:r>
      <w:r w:rsidR="000636C2">
        <w:rPr>
          <w:rFonts w:hint="cs"/>
          <w:rtl/>
        </w:rPr>
        <w:t>،</w:t>
      </w:r>
      <w:r w:rsidRPr="005675B2">
        <w:rPr>
          <w:rFonts w:hint="cs"/>
          <w:rtl/>
        </w:rPr>
        <w:t xml:space="preserve"> لا بالفعل</w:t>
      </w:r>
      <w:r w:rsidR="000636C2">
        <w:rPr>
          <w:rFonts w:hint="cs"/>
          <w:rtl/>
        </w:rPr>
        <w:t>،</w:t>
      </w:r>
      <w:r w:rsidRPr="005675B2">
        <w:rPr>
          <w:rFonts w:hint="cs"/>
          <w:rtl/>
        </w:rPr>
        <w:t xml:space="preserve"> وقد ذكرت في في بحث الفطرة قول الإمام المناوي في فيض القدير </w:t>
      </w:r>
      <w:r w:rsidR="000636C2">
        <w:rPr>
          <w:rFonts w:hint="cs"/>
          <w:rtl/>
        </w:rPr>
        <w:t>(</w:t>
      </w:r>
      <w:r w:rsidRPr="005675B2">
        <w:rPr>
          <w:rFonts w:hint="cs"/>
          <w:rtl/>
        </w:rPr>
        <w:t>5/33</w:t>
      </w:r>
      <w:r w:rsidR="000636C2">
        <w:rPr>
          <w:rFonts w:hint="cs"/>
          <w:rtl/>
        </w:rPr>
        <w:t>):</w:t>
      </w:r>
      <w:r w:rsidRPr="005675B2">
        <w:rPr>
          <w:rFonts w:hint="cs"/>
          <w:rtl/>
        </w:rPr>
        <w:t xml:space="preserve"> " </w:t>
      </w:r>
      <w:r w:rsidR="000636C2">
        <w:rPr>
          <w:rFonts w:hint="cs"/>
          <w:rtl/>
        </w:rPr>
        <w:t>(</w:t>
      </w:r>
      <w:r w:rsidRPr="005675B2">
        <w:rPr>
          <w:rFonts w:hint="cs"/>
          <w:rtl/>
        </w:rPr>
        <w:t>كل مولود</w:t>
      </w:r>
      <w:r w:rsidR="000636C2">
        <w:rPr>
          <w:rFonts w:hint="cs"/>
          <w:rtl/>
        </w:rPr>
        <w:t>)</w:t>
      </w:r>
      <w:r w:rsidRPr="005675B2">
        <w:rPr>
          <w:rFonts w:hint="cs"/>
          <w:rtl/>
        </w:rPr>
        <w:t xml:space="preserve"> من بني آدم</w:t>
      </w:r>
      <w:r w:rsidR="000636C2">
        <w:rPr>
          <w:rFonts w:hint="cs"/>
          <w:rtl/>
        </w:rPr>
        <w:t xml:space="preserve"> (</w:t>
      </w:r>
      <w:r w:rsidRPr="005675B2">
        <w:rPr>
          <w:rFonts w:hint="cs"/>
          <w:rtl/>
        </w:rPr>
        <w:t>يولد على الفطرة</w:t>
      </w:r>
      <w:r w:rsidR="000636C2">
        <w:rPr>
          <w:rFonts w:hint="cs"/>
          <w:rtl/>
        </w:rPr>
        <w:t>)</w:t>
      </w:r>
      <w:r w:rsidRPr="005675B2">
        <w:rPr>
          <w:rFonts w:hint="cs"/>
          <w:rtl/>
        </w:rPr>
        <w:t xml:space="preserve"> اللام للعهد</w:t>
      </w:r>
      <w:r w:rsidR="000636C2">
        <w:rPr>
          <w:rFonts w:hint="cs"/>
          <w:rtl/>
        </w:rPr>
        <w:t>،</w:t>
      </w:r>
      <w:r w:rsidRPr="005675B2">
        <w:rPr>
          <w:rFonts w:hint="cs"/>
          <w:rtl/>
        </w:rPr>
        <w:t xml:space="preserve"> والمعهود فطرة الله التي فطر الناس عليها</w:t>
      </w:r>
      <w:r w:rsidR="000636C2">
        <w:rPr>
          <w:rFonts w:hint="cs"/>
          <w:rtl/>
        </w:rPr>
        <w:t>،</w:t>
      </w:r>
      <w:r w:rsidRPr="005675B2">
        <w:rPr>
          <w:rFonts w:hint="cs"/>
          <w:rtl/>
        </w:rPr>
        <w:t xml:space="preserve"> أي الخلقة التي خلق الناس عليها</w:t>
      </w:r>
      <w:r w:rsidR="000636C2">
        <w:rPr>
          <w:rFonts w:hint="cs"/>
          <w:rtl/>
        </w:rPr>
        <w:t>،</w:t>
      </w:r>
      <w:r w:rsidRPr="005675B2">
        <w:rPr>
          <w:rFonts w:hint="cs"/>
          <w:rtl/>
        </w:rPr>
        <w:t xml:space="preserve"> من الاستعداد لقبول الدين والتهيؤ للتجلي بالحق وقبول الاستعداد والتأبي عن الباطل والتمييز بين الخطأ والصواب</w:t>
      </w:r>
      <w:r w:rsidR="000636C2">
        <w:rPr>
          <w:rFonts w:hint="cs"/>
          <w:rtl/>
        </w:rPr>
        <w:t xml:space="preserve"> (</w:t>
      </w:r>
      <w:r w:rsidRPr="005675B2">
        <w:rPr>
          <w:rFonts w:hint="cs"/>
          <w:rtl/>
        </w:rPr>
        <w:t>حتى يعرب عنه لسانه</w:t>
      </w:r>
      <w:r w:rsidR="000636C2">
        <w:rPr>
          <w:rFonts w:hint="cs"/>
          <w:rtl/>
        </w:rPr>
        <w:t>)</w:t>
      </w:r>
      <w:r w:rsidRPr="005675B2">
        <w:rPr>
          <w:rFonts w:hint="cs"/>
          <w:rtl/>
        </w:rPr>
        <w:t xml:space="preserve"> فحينئذ أن ترك بحاله وخلي وطبعه ولم يتعرض له من الخارج مَن يصده عن النظر الصحيح من فساد التربية وتقليد الأبوين والإلف بالمحسوسات والانهماك في الشهوات ونحو ذلك</w:t>
      </w:r>
      <w:r w:rsidR="000636C2">
        <w:rPr>
          <w:rFonts w:hint="cs"/>
          <w:rtl/>
        </w:rPr>
        <w:t>،</w:t>
      </w:r>
      <w:r w:rsidRPr="005675B2">
        <w:rPr>
          <w:rFonts w:hint="cs"/>
          <w:rtl/>
        </w:rPr>
        <w:t xml:space="preserve"> لينظر فيما نصب من الدلالة الجلية على التوحيد وصدق الرسول صلى الله عليه وسلم</w:t>
      </w:r>
      <w:r w:rsidR="000636C2">
        <w:rPr>
          <w:rFonts w:hint="cs"/>
          <w:rtl/>
        </w:rPr>
        <w:t>،</w:t>
      </w:r>
      <w:r w:rsidRPr="005675B2">
        <w:rPr>
          <w:rFonts w:hint="cs"/>
          <w:rtl/>
        </w:rPr>
        <w:t xml:space="preserve"> وغير ذلك نظرا صحيحا يوصله إلى الحق وإلى الرشد</w:t>
      </w:r>
      <w:r w:rsidR="000636C2">
        <w:rPr>
          <w:rFonts w:hint="cs"/>
          <w:rtl/>
        </w:rPr>
        <w:t>،</w:t>
      </w:r>
      <w:r w:rsidRPr="005675B2">
        <w:rPr>
          <w:rFonts w:hint="cs"/>
          <w:rtl/>
        </w:rPr>
        <w:t xml:space="preserve"> عرف الصواب ولزم ما طبع عليه في الأصل ولم يختر إلا الملة الحنيفية</w:t>
      </w:r>
      <w:r w:rsidR="000636C2">
        <w:rPr>
          <w:rFonts w:hint="cs"/>
          <w:rtl/>
        </w:rPr>
        <w:t>،</w:t>
      </w:r>
      <w:r w:rsidRPr="005675B2">
        <w:rPr>
          <w:rFonts w:hint="cs"/>
          <w:rtl/>
        </w:rPr>
        <w:t xml:space="preserve"> وإن لم يُترَك بحاله بأن كان أبواه نحو يهوديين أو نصرانيين</w:t>
      </w:r>
      <w:r w:rsidR="000636C2">
        <w:rPr>
          <w:rFonts w:hint="cs"/>
          <w:rtl/>
        </w:rPr>
        <w:t xml:space="preserve"> (</w:t>
      </w:r>
      <w:r w:rsidRPr="005675B2">
        <w:rPr>
          <w:rFonts w:hint="cs"/>
          <w:rtl/>
        </w:rPr>
        <w:t>فأبواه</w:t>
      </w:r>
      <w:r w:rsidR="000636C2">
        <w:rPr>
          <w:rFonts w:hint="cs"/>
          <w:rtl/>
        </w:rPr>
        <w:t>)</w:t>
      </w:r>
      <w:r w:rsidRPr="005675B2">
        <w:rPr>
          <w:rFonts w:hint="cs"/>
          <w:rtl/>
        </w:rPr>
        <w:t xml:space="preserve"> هما اللذان</w:t>
      </w:r>
      <w:r w:rsidR="000636C2">
        <w:rPr>
          <w:rFonts w:hint="cs"/>
          <w:rtl/>
        </w:rPr>
        <w:t xml:space="preserve"> (</w:t>
      </w:r>
      <w:r w:rsidRPr="005675B2">
        <w:rPr>
          <w:rFonts w:hint="cs"/>
          <w:rtl/>
        </w:rPr>
        <w:t>يهودانه</w:t>
      </w:r>
      <w:r w:rsidR="000636C2">
        <w:rPr>
          <w:rFonts w:hint="cs"/>
          <w:rtl/>
        </w:rPr>
        <w:t>)</w:t>
      </w:r>
      <w:r w:rsidRPr="005675B2">
        <w:rPr>
          <w:rFonts w:hint="cs"/>
          <w:rtl/>
        </w:rPr>
        <w:t xml:space="preserve"> أي يصيرانه يهوديا بأن يدخلاه في دين اليهودية المحرف المبدل بتفويتهما له </w:t>
      </w:r>
      <w:r w:rsidR="000636C2">
        <w:rPr>
          <w:rFonts w:hint="cs"/>
          <w:rtl/>
        </w:rPr>
        <w:t>(</w:t>
      </w:r>
      <w:r w:rsidRPr="005675B2">
        <w:rPr>
          <w:rFonts w:hint="cs"/>
          <w:rtl/>
        </w:rPr>
        <w:t>أو ينصرانه</w:t>
      </w:r>
      <w:r w:rsidR="000636C2">
        <w:rPr>
          <w:rFonts w:hint="cs"/>
          <w:rtl/>
        </w:rPr>
        <w:t>)</w:t>
      </w:r>
      <w:r w:rsidRPr="005675B2">
        <w:rPr>
          <w:rFonts w:hint="cs"/>
          <w:rtl/>
        </w:rPr>
        <w:t xml:space="preserve"> أي يصيرانه نصرانيا</w:t>
      </w:r>
      <w:r w:rsidR="000636C2">
        <w:rPr>
          <w:rFonts w:hint="cs"/>
          <w:rtl/>
        </w:rPr>
        <w:t xml:space="preserve"> (</w:t>
      </w:r>
      <w:r w:rsidRPr="005675B2">
        <w:rPr>
          <w:rFonts w:hint="cs"/>
          <w:rtl/>
        </w:rPr>
        <w:t>أو يمجسانه</w:t>
      </w:r>
      <w:r w:rsidR="000636C2">
        <w:rPr>
          <w:rFonts w:hint="cs"/>
          <w:rtl/>
        </w:rPr>
        <w:t>)</w:t>
      </w:r>
      <w:r w:rsidRPr="005675B2">
        <w:rPr>
          <w:rFonts w:hint="cs"/>
          <w:rtl/>
        </w:rPr>
        <w:t xml:space="preserve"> أهـ</w:t>
      </w:r>
      <w:r w:rsidR="000636C2">
        <w:rPr>
          <w:rFonts w:hint="cs"/>
          <w:rtl/>
        </w:rPr>
        <w:t>،</w:t>
      </w:r>
      <w:r w:rsidRPr="005675B2">
        <w:rPr>
          <w:rFonts w:hint="cs"/>
          <w:rtl/>
        </w:rPr>
        <w:t xml:space="preserve"> ثم قال</w:t>
      </w:r>
      <w:r w:rsidR="000636C2">
        <w:rPr>
          <w:rFonts w:hint="cs"/>
          <w:rtl/>
        </w:rPr>
        <w:t>:</w:t>
      </w:r>
      <w:r w:rsidRPr="005675B2">
        <w:rPr>
          <w:rFonts w:hint="cs"/>
          <w:rtl/>
        </w:rPr>
        <w:t xml:space="preserve"> والحاصل أن الإنسان مفطور على التهيؤ للإسلام بالقوة</w:t>
      </w:r>
      <w:r w:rsidR="000636C2">
        <w:rPr>
          <w:rFonts w:hint="cs"/>
          <w:rtl/>
        </w:rPr>
        <w:t>،</w:t>
      </w:r>
      <w:r w:rsidRPr="005675B2">
        <w:rPr>
          <w:rFonts w:hint="cs"/>
          <w:rtl/>
        </w:rPr>
        <w:t xml:space="preserve"> لكن لا بُدَّ من تعلمه بالفعل " أهـ</w:t>
      </w:r>
      <w:r w:rsidR="000636C2">
        <w:rPr>
          <w:rFonts w:hint="cs"/>
          <w:rtl/>
        </w:rPr>
        <w:t xml:space="preserve">، </w:t>
      </w:r>
      <w:r w:rsidRPr="005675B2">
        <w:rPr>
          <w:rFonts w:hint="cs"/>
          <w:rtl/>
        </w:rPr>
        <w:t>فمعنى أن الإنسان مائل إلى الإسلام بالقوة لا بالفعل أنه إذا استعمل قواه التي أودعها الله تعالى فيه على الطريقة الصحيحة</w:t>
      </w:r>
      <w:r w:rsidR="000636C2">
        <w:rPr>
          <w:rFonts w:hint="cs"/>
          <w:rtl/>
        </w:rPr>
        <w:t>،</w:t>
      </w:r>
      <w:r w:rsidRPr="005675B2">
        <w:rPr>
          <w:rFonts w:hint="cs"/>
          <w:rtl/>
        </w:rPr>
        <w:t xml:space="preserve"> فإنها ستوصله حتما إلى الإيمان بالإسلام أو على الأقل إلى معرفة أن الإسلام هو الحق</w:t>
      </w:r>
      <w:r w:rsidR="000636C2">
        <w:rPr>
          <w:rFonts w:hint="cs"/>
          <w:rtl/>
        </w:rPr>
        <w:t>،</w:t>
      </w:r>
      <w:r w:rsidRPr="005675B2">
        <w:rPr>
          <w:rFonts w:hint="cs"/>
          <w:rtl/>
        </w:rPr>
        <w:t xml:space="preserve"> وهذا هو معنى قوله تعالى</w:t>
      </w:r>
      <w:r w:rsidR="000636C2">
        <w:rPr>
          <w:rFonts w:hint="cs"/>
          <w:rtl/>
        </w:rPr>
        <w:t>:</w:t>
      </w:r>
      <w:r w:rsidRPr="005675B2">
        <w:rPr>
          <w:rFonts w:hint="cs"/>
          <w:rtl/>
        </w:rPr>
        <w:t xml:space="preserve"> </w:t>
      </w:r>
      <w:r w:rsidR="000636C2">
        <w:rPr>
          <w:rFonts w:hint="cs"/>
          <w:rtl/>
        </w:rPr>
        <w:t>{</w:t>
      </w:r>
      <w:r w:rsidRPr="005675B2">
        <w:rPr>
          <w:rFonts w:hint="cs"/>
          <w:rtl/>
        </w:rPr>
        <w:t>حنيفا مسلما</w:t>
      </w:r>
      <w:r w:rsidR="000636C2">
        <w:rPr>
          <w:rFonts w:hint="cs"/>
          <w:rtl/>
        </w:rPr>
        <w:t>}،</w:t>
      </w:r>
      <w:r w:rsidRPr="005675B2">
        <w:rPr>
          <w:rFonts w:hint="cs"/>
          <w:rtl/>
        </w:rPr>
        <w:t xml:space="preserve"> فالأصل أن يكون الوصف مقيدا</w:t>
      </w:r>
      <w:r w:rsidR="000636C2">
        <w:rPr>
          <w:rFonts w:hint="cs"/>
          <w:rtl/>
        </w:rPr>
        <w:t>،</w:t>
      </w:r>
      <w:r w:rsidRPr="005675B2">
        <w:rPr>
          <w:rFonts w:hint="cs"/>
          <w:rtl/>
        </w:rPr>
        <w:t xml:space="preserve"> لا كاشفا لأن هذا هو المستلزم لزيادة الفائدة</w:t>
      </w:r>
      <w:r w:rsidR="000636C2">
        <w:rPr>
          <w:rFonts w:hint="cs"/>
          <w:rtl/>
        </w:rPr>
        <w:t>،</w:t>
      </w:r>
      <w:r w:rsidRPr="005675B2">
        <w:rPr>
          <w:rFonts w:hint="cs"/>
          <w:rtl/>
        </w:rPr>
        <w:t xml:space="preserve"> لا مجرد تأكيدها</w:t>
      </w:r>
      <w:r w:rsidR="000636C2">
        <w:rPr>
          <w:rFonts w:hint="cs"/>
          <w:rtl/>
        </w:rPr>
        <w:t>،</w:t>
      </w:r>
      <w:r w:rsidRPr="005675B2">
        <w:rPr>
          <w:rFonts w:hint="cs"/>
          <w:rtl/>
        </w:rPr>
        <w:t xml:space="preserve"> خاصة في حال عدم وجود منكر</w:t>
      </w:r>
      <w:r w:rsidR="000636C2">
        <w:rPr>
          <w:rFonts w:hint="cs"/>
          <w:rtl/>
        </w:rPr>
        <w:t>،</w:t>
      </w:r>
      <w:r w:rsidRPr="005675B2">
        <w:rPr>
          <w:rFonts w:hint="cs"/>
          <w:rtl/>
        </w:rPr>
        <w:t xml:space="preserve"> فالكل يعلم أن إبراهيم كان حنيفا</w:t>
      </w:r>
      <w:r w:rsidR="000636C2">
        <w:rPr>
          <w:rFonts w:hint="cs"/>
          <w:rtl/>
        </w:rPr>
        <w:t>،</w:t>
      </w:r>
      <w:r w:rsidRPr="005675B2">
        <w:rPr>
          <w:rFonts w:hint="cs"/>
          <w:rtl/>
        </w:rPr>
        <w:t xml:space="preserve"> فالزيادة بالوف هنا يفيد التقييد</w:t>
      </w:r>
      <w:r w:rsidR="000636C2">
        <w:rPr>
          <w:rFonts w:hint="cs"/>
          <w:rtl/>
        </w:rPr>
        <w:t>،</w:t>
      </w:r>
      <w:r w:rsidRPr="005675B2">
        <w:rPr>
          <w:rFonts w:hint="cs"/>
          <w:rtl/>
        </w:rPr>
        <w:t xml:space="preserve"> لا مجرد الكشف</w:t>
      </w:r>
      <w:r w:rsidR="000636C2">
        <w:rPr>
          <w:rFonts w:hint="cs"/>
          <w:rtl/>
        </w:rPr>
        <w:t>،</w:t>
      </w:r>
      <w:r w:rsidRPr="005675B2">
        <w:rPr>
          <w:rFonts w:hint="cs"/>
          <w:rtl/>
        </w:rPr>
        <w:t xml:space="preserve"> والتقييد نوع من التخصيص</w:t>
      </w:r>
      <w:r w:rsidR="000636C2">
        <w:rPr>
          <w:rFonts w:hint="cs"/>
          <w:rtl/>
        </w:rPr>
        <w:t>،</w:t>
      </w:r>
      <w:r w:rsidRPr="005675B2">
        <w:rPr>
          <w:rFonts w:hint="cs"/>
          <w:rtl/>
        </w:rPr>
        <w:t xml:space="preserve"> فالحنيفية أعم إذن من الإسلام</w:t>
      </w:r>
      <w:r w:rsidR="000636C2">
        <w:rPr>
          <w:rFonts w:hint="cs"/>
          <w:rtl/>
        </w:rPr>
        <w:t>،</w:t>
      </w:r>
      <w:r w:rsidRPr="005675B2">
        <w:rPr>
          <w:rFonts w:hint="cs"/>
          <w:rtl/>
        </w:rPr>
        <w:t xml:space="preserve"> والأعم لا يساوي الأخص كما هو واضح</w:t>
      </w:r>
      <w:r w:rsidR="000636C2">
        <w:rPr>
          <w:rFonts w:hint="cs"/>
          <w:rtl/>
        </w:rPr>
        <w:t>،</w:t>
      </w:r>
      <w:r w:rsidRPr="005675B2">
        <w:rPr>
          <w:rFonts w:hint="cs"/>
          <w:rtl/>
        </w:rPr>
        <w:t xml:space="preserve"> فالناتج إذن أن الحنيفية ليست هتي عين الإسلام</w:t>
      </w:r>
      <w:r w:rsidR="000636C2">
        <w:rPr>
          <w:rFonts w:hint="cs"/>
          <w:rtl/>
        </w:rPr>
        <w:t>،</w:t>
      </w:r>
      <w:r w:rsidRPr="005675B2">
        <w:rPr>
          <w:rFonts w:hint="cs"/>
          <w:rtl/>
        </w:rPr>
        <w:t xml:space="preserve"> والحنيفية هي الفطرة</w:t>
      </w:r>
      <w:r w:rsidR="000636C2">
        <w:rPr>
          <w:rFonts w:hint="cs"/>
          <w:rtl/>
        </w:rPr>
        <w:t>،</w:t>
      </w:r>
      <w:r w:rsidRPr="005675B2">
        <w:rPr>
          <w:rFonts w:hint="cs"/>
          <w:rtl/>
        </w:rPr>
        <w:t xml:space="preserve"> فلو كانت الحنيفية هي نفس الإسلام لما جاز وصفها به</w:t>
      </w:r>
      <w:r w:rsidR="000636C2">
        <w:rPr>
          <w:rFonts w:hint="cs"/>
          <w:rtl/>
        </w:rPr>
        <w:t>،</w:t>
      </w:r>
      <w:r w:rsidRPr="005675B2">
        <w:rPr>
          <w:rFonts w:hint="cs"/>
          <w:rtl/>
        </w:rPr>
        <w:t xml:space="preserve"> ولكنها تستلزمه</w:t>
      </w:r>
      <w:r w:rsidR="000636C2">
        <w:rPr>
          <w:rFonts w:hint="cs"/>
          <w:rtl/>
        </w:rPr>
        <w:t>،</w:t>
      </w:r>
      <w:r w:rsidRPr="005675B2">
        <w:rPr>
          <w:rFonts w:hint="cs"/>
          <w:rtl/>
        </w:rPr>
        <w:t xml:space="preserve"> فوصفت به</w:t>
      </w:r>
      <w:r w:rsidR="000636C2">
        <w:rPr>
          <w:rFonts w:hint="cs"/>
          <w:rtl/>
        </w:rPr>
        <w:t>،</w:t>
      </w:r>
      <w:r w:rsidRPr="005675B2">
        <w:rPr>
          <w:rFonts w:hint="cs"/>
          <w:rtl/>
        </w:rPr>
        <w:t>والإسلام غيرها</w:t>
      </w:r>
      <w:r w:rsidR="000636C2">
        <w:rPr>
          <w:rFonts w:hint="cs"/>
          <w:rtl/>
        </w:rPr>
        <w:t>،</w:t>
      </w:r>
      <w:r w:rsidRPr="005675B2">
        <w:rPr>
          <w:rFonts w:hint="cs"/>
          <w:rtl/>
        </w:rPr>
        <w:t xml:space="preserve"> ولكنه لازم عنها</w:t>
      </w:r>
      <w:r w:rsidR="000636C2">
        <w:rPr>
          <w:rFonts w:hint="cs"/>
          <w:rtl/>
        </w:rPr>
        <w:t>،</w:t>
      </w:r>
      <w:r w:rsidRPr="005675B2">
        <w:rPr>
          <w:rFonts w:hint="cs"/>
          <w:rtl/>
        </w:rPr>
        <w:t xml:space="preserve"> وغير متعارض معها</w:t>
      </w:r>
      <w:r w:rsidR="000636C2">
        <w:rPr>
          <w:rFonts w:hint="cs"/>
          <w:rtl/>
        </w:rPr>
        <w:t>،</w:t>
      </w:r>
      <w:r w:rsidRPr="005675B2">
        <w:rPr>
          <w:rFonts w:hint="cs"/>
          <w:rtl/>
        </w:rPr>
        <w:t xml:space="preserve"> وظاهر كلام المؤلف المذكور</w:t>
      </w:r>
      <w:r w:rsidR="000636C2">
        <w:rPr>
          <w:rFonts w:hint="cs"/>
          <w:rtl/>
        </w:rPr>
        <w:t>،</w:t>
      </w:r>
      <w:r w:rsidRPr="005675B2">
        <w:rPr>
          <w:rFonts w:hint="cs"/>
          <w:rtl/>
        </w:rPr>
        <w:t xml:space="preserve"> أن الفطرة هي علوم توجد مع الإنسان</w:t>
      </w:r>
      <w:r w:rsidR="000636C2">
        <w:rPr>
          <w:rFonts w:hint="cs"/>
          <w:rtl/>
        </w:rPr>
        <w:t>،</w:t>
      </w:r>
      <w:r w:rsidRPr="005675B2">
        <w:rPr>
          <w:rFonts w:hint="cs"/>
          <w:rtl/>
        </w:rPr>
        <w:t xml:space="preserve"> وظاهرٌ أن هذا باطل</w:t>
      </w:r>
      <w:r w:rsidR="000636C2">
        <w:rPr>
          <w:rFonts w:hint="cs"/>
          <w:rtl/>
        </w:rPr>
        <w:t>،</w:t>
      </w:r>
      <w:r w:rsidRPr="005675B2">
        <w:rPr>
          <w:rFonts w:hint="cs"/>
          <w:rtl/>
        </w:rPr>
        <w:t xml:space="preserve"> فإن قصد أن الفطرة هي القابلية والتأهل لالتزام الدين والأخذ به</w:t>
      </w:r>
      <w:r w:rsidR="000636C2">
        <w:rPr>
          <w:rFonts w:hint="cs"/>
          <w:rtl/>
        </w:rPr>
        <w:t>،</w:t>
      </w:r>
      <w:r w:rsidRPr="005675B2">
        <w:rPr>
          <w:rFonts w:hint="cs"/>
          <w:rtl/>
        </w:rPr>
        <w:t xml:space="preserve"> فلا نخالفه في ذلك</w:t>
      </w:r>
      <w:r w:rsidR="000636C2">
        <w:rPr>
          <w:rFonts w:hint="cs"/>
          <w:rtl/>
        </w:rPr>
        <w:t>،</w:t>
      </w:r>
      <w:r w:rsidRPr="005675B2">
        <w:rPr>
          <w:rFonts w:hint="cs"/>
          <w:rtl/>
        </w:rPr>
        <w:t xml:space="preserve"> وليس ذلك ما يقصده</w:t>
      </w:r>
      <w:r w:rsidR="000636C2">
        <w:rPr>
          <w:rFonts w:hint="cs"/>
          <w:rtl/>
        </w:rPr>
        <w:t>،</w:t>
      </w:r>
      <w:r w:rsidRPr="005675B2">
        <w:rPr>
          <w:rFonts w:hint="cs"/>
          <w:rtl/>
        </w:rPr>
        <w:t xml:space="preserve"> ولكن نخالفه أنها هي فقط كافية مطلقا للدلالة إلى الدين</w:t>
      </w:r>
      <w:r w:rsidR="000636C2">
        <w:rPr>
          <w:rFonts w:hint="cs"/>
          <w:rtl/>
        </w:rPr>
        <w:t>،</w:t>
      </w:r>
      <w:r w:rsidRPr="005675B2">
        <w:rPr>
          <w:rFonts w:hint="cs"/>
          <w:rtl/>
        </w:rPr>
        <w:t xml:space="preserve"> بل نقول إنه يلزمها قواعد عقلية أو وجدانية قلبية</w:t>
      </w:r>
      <w:r w:rsidR="000636C2">
        <w:rPr>
          <w:rFonts w:hint="cs"/>
          <w:rtl/>
        </w:rPr>
        <w:t>،</w:t>
      </w:r>
      <w:r w:rsidRPr="005675B2">
        <w:rPr>
          <w:rFonts w:hint="cs"/>
          <w:rtl/>
        </w:rPr>
        <w:t xml:space="preserve"> وهي تكون منبعثة عنها بالإرادة الإنسانية الجازمة المتوجهة نحو اقتناص العلوم والمعارف</w:t>
      </w:r>
      <w:r w:rsidR="000636C2">
        <w:rPr>
          <w:rFonts w:hint="cs"/>
          <w:rtl/>
        </w:rPr>
        <w:t>،</w:t>
      </w:r>
      <w:r w:rsidRPr="005675B2">
        <w:rPr>
          <w:rFonts w:hint="cs"/>
          <w:rtl/>
        </w:rPr>
        <w:t xml:space="preserve"> وتكون مقوية حارسة للفطرة</w:t>
      </w:r>
      <w:r w:rsidR="000636C2">
        <w:rPr>
          <w:rFonts w:hint="cs"/>
          <w:rtl/>
        </w:rPr>
        <w:t>،</w:t>
      </w:r>
      <w:r w:rsidRPr="005675B2">
        <w:rPr>
          <w:rFonts w:hint="cs"/>
          <w:rtl/>
        </w:rPr>
        <w:t xml:space="preserve"> وبهذا يثبت أن البحث والنظر لازم لا يمكن أن ينفك</w:t>
      </w:r>
      <w:r w:rsidRPr="005675B2">
        <w:rPr>
          <w:rFonts w:hint="cs"/>
        </w:rPr>
        <w:t xml:space="preserve"> </w:t>
      </w:r>
      <w:r w:rsidRPr="005675B2">
        <w:rPr>
          <w:rFonts w:hint="cs"/>
          <w:rtl/>
        </w:rPr>
        <w:t>الإنسان عنه</w:t>
      </w:r>
      <w:r w:rsidR="000636C2">
        <w:rPr>
          <w:rFonts w:hint="cs"/>
          <w:rtl/>
        </w:rPr>
        <w:t>،</w:t>
      </w:r>
      <w:r w:rsidRPr="005675B2">
        <w:rPr>
          <w:rFonts w:hint="cs"/>
          <w:rtl/>
        </w:rPr>
        <w:t xml:space="preserve"> وهو المقصود بكلام الأعرابي الذي سئل عن كيفية معرفته لله تعالى</w:t>
      </w:r>
      <w:r w:rsidR="000636C2">
        <w:rPr>
          <w:rFonts w:hint="cs"/>
          <w:rtl/>
        </w:rPr>
        <w:t>،</w:t>
      </w:r>
      <w:r w:rsidRPr="005675B2">
        <w:rPr>
          <w:rFonts w:hint="cs"/>
          <w:rtl/>
        </w:rPr>
        <w:t xml:space="preserve"> فاستدل لهم بالكون وعظمته وظهور الحكمة فيه</w:t>
      </w:r>
      <w:r w:rsidR="000636C2">
        <w:rPr>
          <w:rFonts w:hint="cs"/>
          <w:rtl/>
        </w:rPr>
        <w:t>،</w:t>
      </w:r>
      <w:r w:rsidRPr="005675B2">
        <w:rPr>
          <w:rFonts w:hint="cs"/>
          <w:rtl/>
        </w:rPr>
        <w:t xml:space="preserve"> وقد ذكر المؤلف هذه القصة</w:t>
      </w:r>
      <w:r w:rsidR="000636C2">
        <w:rPr>
          <w:rFonts w:hint="cs"/>
          <w:rtl/>
        </w:rPr>
        <w:t>،</w:t>
      </w:r>
      <w:r w:rsidRPr="005675B2">
        <w:rPr>
          <w:rFonts w:hint="cs"/>
          <w:rtl/>
        </w:rPr>
        <w:t xml:space="preserve"> وهي دليل عليه لا له</w:t>
      </w:r>
      <w:r w:rsidR="000636C2">
        <w:rPr>
          <w:rFonts w:hint="cs"/>
          <w:rtl/>
        </w:rPr>
        <w:t>،</w:t>
      </w:r>
      <w:r w:rsidRPr="005675B2">
        <w:rPr>
          <w:rFonts w:hint="cs"/>
          <w:rtl/>
        </w:rPr>
        <w:t xml:space="preserve"> وبهذا نكون قد أشرنا إلى نقاطٍ كافية ترشد الطالب إلى الحق في هذه المسألة</w:t>
      </w:r>
      <w:r w:rsidR="000636C2">
        <w:rPr>
          <w:rFonts w:hint="cs"/>
          <w:rtl/>
        </w:rPr>
        <w:t>،</w:t>
      </w:r>
      <w:r w:rsidRPr="005675B2">
        <w:rPr>
          <w:rFonts w:hint="cs"/>
          <w:rtl/>
        </w:rPr>
        <w:t xml:space="preserve"> </w:t>
      </w:r>
    </w:p>
    <w:p w14:paraId="2F8C7C9A" w14:textId="7A88C8A5" w:rsidR="009C32A0" w:rsidRPr="005675B2" w:rsidRDefault="000636C2" w:rsidP="000636C2">
      <w:pPr>
        <w:rPr>
          <w:b/>
          <w:rtl/>
        </w:rPr>
      </w:pPr>
      <w:r>
        <w:rPr>
          <w:rFonts w:hint="cs"/>
          <w:bCs/>
          <w:rtl/>
        </w:rPr>
        <w:t>(</w:t>
      </w:r>
      <w:r w:rsidR="009C32A0" w:rsidRPr="005675B2">
        <w:rPr>
          <w:rFonts w:hint="cs"/>
          <w:bCs/>
          <w:rtl/>
        </w:rPr>
        <w:t>ثانياً</w:t>
      </w:r>
      <w:r>
        <w:rPr>
          <w:rFonts w:hint="cs"/>
          <w:bCs/>
          <w:rtl/>
        </w:rPr>
        <w:t>):</w:t>
      </w:r>
      <w:r w:rsidR="009C32A0" w:rsidRPr="005675B2">
        <w:rPr>
          <w:rFonts w:hint="cs"/>
          <w:bCs/>
          <w:rtl/>
        </w:rPr>
        <w:t xml:space="preserve"> إشاعات تراجع الأشاعرة</w:t>
      </w:r>
      <w:r>
        <w:rPr>
          <w:rFonts w:hint="cs"/>
          <w:bCs/>
          <w:rtl/>
        </w:rPr>
        <w:t>:</w:t>
      </w:r>
      <w:r w:rsidR="009C32A0" w:rsidRPr="005675B2">
        <w:rPr>
          <w:rFonts w:hint="cs"/>
          <w:rtl/>
        </w:rPr>
        <w:t xml:space="preserve"> وأما ما ذكره بعد ذلك من كلام حول تراجع بعض العلماء عن علم الكلام</w:t>
      </w:r>
      <w:r>
        <w:rPr>
          <w:rFonts w:hint="cs"/>
          <w:rtl/>
        </w:rPr>
        <w:t>،</w:t>
      </w:r>
      <w:r w:rsidR="009C32A0" w:rsidRPr="005675B2">
        <w:rPr>
          <w:rFonts w:hint="cs"/>
          <w:rtl/>
        </w:rPr>
        <w:t xml:space="preserve"> وشكهم وترددهم في حياتهم</w:t>
      </w:r>
      <w:r>
        <w:rPr>
          <w:rFonts w:hint="cs"/>
          <w:rtl/>
        </w:rPr>
        <w:t>!</w:t>
      </w:r>
      <w:r w:rsidR="009C32A0" w:rsidRPr="005675B2">
        <w:rPr>
          <w:rFonts w:hint="cs"/>
          <w:rtl/>
        </w:rPr>
        <w:t>!</w:t>
      </w:r>
      <w:r>
        <w:rPr>
          <w:rFonts w:hint="cs"/>
          <w:rtl/>
        </w:rPr>
        <w:t xml:space="preserve"> </w:t>
      </w:r>
      <w:r w:rsidR="009C32A0" w:rsidRPr="005675B2">
        <w:rPr>
          <w:rFonts w:hint="cs"/>
          <w:rtl/>
        </w:rPr>
        <w:t>فهذا كلام باطل وقد أشبعنا الكلام عليه في أكثر من موضع</w:t>
      </w:r>
      <w:r>
        <w:rPr>
          <w:rFonts w:hint="cs"/>
          <w:rtl/>
        </w:rPr>
        <w:t>،</w:t>
      </w:r>
      <w:r w:rsidR="009C32A0" w:rsidRPr="005675B2">
        <w:rPr>
          <w:rFonts w:hint="cs"/>
          <w:rtl/>
        </w:rPr>
        <w:t xml:space="preserve"> وقد أفردت لكل واحد من العلماء الذين نسب اليهم هذا الأمر مقالا ورسالة توضح حالهم وتهافت ما نسب اليهم</w:t>
      </w:r>
      <w:r>
        <w:rPr>
          <w:rFonts w:hint="cs"/>
          <w:rtl/>
        </w:rPr>
        <w:t>،</w:t>
      </w:r>
      <w:r w:rsidR="009C32A0" w:rsidRPr="005675B2">
        <w:rPr>
          <w:rFonts w:hint="cs"/>
          <w:rtl/>
        </w:rPr>
        <w:t xml:space="preserve"> ومقاصد من نسب اليهم ذلك</w:t>
      </w:r>
      <w:r>
        <w:rPr>
          <w:rFonts w:hint="cs"/>
          <w:rtl/>
        </w:rPr>
        <w:t>،</w:t>
      </w:r>
      <w:r w:rsidR="009C32A0" w:rsidRPr="005675B2">
        <w:rPr>
          <w:rFonts w:hint="cs"/>
          <w:rtl/>
        </w:rPr>
        <w:t xml:space="preserve"> فلتراجع</w:t>
      </w:r>
      <w:r>
        <w:rPr>
          <w:rFonts w:hint="cs"/>
          <w:rtl/>
        </w:rPr>
        <w:t>،</w:t>
      </w:r>
      <w:r w:rsidR="009C32A0" w:rsidRPr="005675B2">
        <w:rPr>
          <w:rFonts w:hint="cs"/>
          <w:rtl/>
        </w:rPr>
        <w:t xml:space="preserve"> </w:t>
      </w:r>
    </w:p>
    <w:p w14:paraId="3B94FE35" w14:textId="7B786B49" w:rsidR="009C32A0" w:rsidRPr="005675B2" w:rsidRDefault="000636C2" w:rsidP="000636C2">
      <w:pPr>
        <w:rPr>
          <w:b/>
          <w:rtl/>
        </w:rPr>
      </w:pPr>
      <w:r>
        <w:rPr>
          <w:rFonts w:hint="cs"/>
          <w:bCs/>
          <w:rtl/>
        </w:rPr>
        <w:t>(</w:t>
      </w:r>
      <w:r w:rsidR="009C32A0" w:rsidRPr="005675B2">
        <w:rPr>
          <w:rFonts w:hint="cs"/>
          <w:bCs/>
          <w:rtl/>
        </w:rPr>
        <w:t>ثالثاً</w:t>
      </w:r>
      <w:r>
        <w:rPr>
          <w:rFonts w:hint="cs"/>
          <w:bCs/>
          <w:rtl/>
        </w:rPr>
        <w:t>):</w:t>
      </w:r>
      <w:r w:rsidR="009C32A0" w:rsidRPr="005675B2">
        <w:rPr>
          <w:rFonts w:hint="cs"/>
          <w:bCs/>
          <w:rtl/>
        </w:rPr>
        <w:t xml:space="preserve"> الموقف من علم الكلام</w:t>
      </w:r>
      <w:r>
        <w:rPr>
          <w:rFonts w:hint="cs"/>
          <w:bCs/>
          <w:rtl/>
        </w:rPr>
        <w:t>:</w:t>
      </w:r>
      <w:r w:rsidR="009C32A0" w:rsidRPr="005675B2">
        <w:rPr>
          <w:rFonts w:hint="cs"/>
          <w:rtl/>
        </w:rPr>
        <w:t xml:space="preserve"> لما لم تكن المعارف والعلوم مخلوقة في الإنسان منذ الولادة</w:t>
      </w:r>
      <w:r>
        <w:rPr>
          <w:rFonts w:hint="cs"/>
          <w:rtl/>
        </w:rPr>
        <w:t>،</w:t>
      </w:r>
      <w:r w:rsidR="009C32A0" w:rsidRPr="005675B2">
        <w:rPr>
          <w:rFonts w:hint="cs"/>
          <w:rtl/>
        </w:rPr>
        <w:t xml:space="preserve"> وكانت العلوم الدينية هي أكثر العلوم فائدة للإنسان</w:t>
      </w:r>
      <w:r>
        <w:rPr>
          <w:rFonts w:hint="cs"/>
          <w:rtl/>
        </w:rPr>
        <w:t>،</w:t>
      </w:r>
      <w:r w:rsidR="009C32A0" w:rsidRPr="005675B2">
        <w:rPr>
          <w:rFonts w:hint="cs"/>
          <w:rtl/>
        </w:rPr>
        <w:t xml:space="preserve"> ولا يتم صلاح الإنسان الا بها</w:t>
      </w:r>
      <w:r>
        <w:rPr>
          <w:rFonts w:hint="cs"/>
          <w:rtl/>
        </w:rPr>
        <w:t>،</w:t>
      </w:r>
      <w:r w:rsidR="009C32A0" w:rsidRPr="005675B2">
        <w:rPr>
          <w:rFonts w:hint="cs"/>
          <w:rtl/>
        </w:rPr>
        <w:t xml:space="preserve"> فقد لزم ضرورة أن يوجد علم يبني الأدلة القاطعة على هذه العلوم</w:t>
      </w:r>
      <w:r>
        <w:rPr>
          <w:rFonts w:hint="cs"/>
          <w:rtl/>
        </w:rPr>
        <w:t>،</w:t>
      </w:r>
      <w:r w:rsidR="009C32A0" w:rsidRPr="005675B2">
        <w:rPr>
          <w:rFonts w:hint="cs"/>
          <w:rtl/>
        </w:rPr>
        <w:t xml:space="preserve"> ويرد الشبهات والتشكيكات التي يوردها الملحدون ومنكرو الاديان والمبتدعة المنحرفون عن النهج الصحيح</w:t>
      </w:r>
      <w:r>
        <w:rPr>
          <w:rFonts w:hint="cs"/>
          <w:rtl/>
        </w:rPr>
        <w:t>،</w:t>
      </w:r>
      <w:r w:rsidR="009C32A0" w:rsidRPr="005675B2">
        <w:rPr>
          <w:rFonts w:hint="cs"/>
          <w:rtl/>
        </w:rPr>
        <w:t xml:space="preserve"> ولا يستطيع أي إنسان أن يدعي أن الفطرة تكفي في كل ذلك</w:t>
      </w:r>
      <w:r>
        <w:rPr>
          <w:rFonts w:hint="cs"/>
          <w:rtl/>
        </w:rPr>
        <w:t>،</w:t>
      </w:r>
      <w:r w:rsidR="009C32A0" w:rsidRPr="005675B2">
        <w:rPr>
          <w:rFonts w:hint="cs"/>
          <w:rtl/>
        </w:rPr>
        <w:t>فإن هذا يدل بكلامه على عمق جهله</w:t>
      </w:r>
      <w:r>
        <w:rPr>
          <w:rFonts w:hint="cs"/>
          <w:rtl/>
        </w:rPr>
        <w:t>،</w:t>
      </w:r>
      <w:r w:rsidR="009C32A0" w:rsidRPr="005675B2">
        <w:rPr>
          <w:rFonts w:hint="cs"/>
          <w:rtl/>
        </w:rPr>
        <w:t xml:space="preserve"> وهذا يكفي في سقوط الكلام معه</w:t>
      </w:r>
      <w:r>
        <w:rPr>
          <w:rFonts w:hint="cs"/>
          <w:rtl/>
        </w:rPr>
        <w:t>،</w:t>
      </w:r>
      <w:r w:rsidR="009C32A0" w:rsidRPr="005675B2">
        <w:rPr>
          <w:rFonts w:hint="cs"/>
          <w:rtl/>
        </w:rPr>
        <w:t xml:space="preserve"> ولو كان الأمر كذلك</w:t>
      </w:r>
      <w:r>
        <w:rPr>
          <w:rFonts w:hint="cs"/>
          <w:rtl/>
        </w:rPr>
        <w:t>،</w:t>
      </w:r>
      <w:r w:rsidR="009C32A0" w:rsidRPr="005675B2">
        <w:rPr>
          <w:rFonts w:hint="cs"/>
          <w:rtl/>
        </w:rPr>
        <w:t xml:space="preserve"> لما تكاثرت الآيات في القرآن الكريم التي تحض الناس على الالتفات إلى دقيق صنع الله تعالى والى التفكر في السموات والأرض</w:t>
      </w:r>
      <w:r>
        <w:rPr>
          <w:rFonts w:hint="cs"/>
          <w:rtl/>
        </w:rPr>
        <w:t>،</w:t>
      </w:r>
      <w:r w:rsidR="009C32A0" w:rsidRPr="005675B2">
        <w:rPr>
          <w:rFonts w:hint="cs"/>
          <w:rtl/>
        </w:rPr>
        <w:t xml:space="preserve"> والى الإشارات البليغة في مناقشة الكفار واليهود والنصارى وغيرهم</w:t>
      </w:r>
      <w:r>
        <w:rPr>
          <w:rFonts w:hint="cs"/>
          <w:rtl/>
        </w:rPr>
        <w:t>،</w:t>
      </w:r>
      <w:r w:rsidR="009C32A0" w:rsidRPr="005675B2">
        <w:rPr>
          <w:rFonts w:hint="cs"/>
          <w:rtl/>
        </w:rPr>
        <w:t xml:space="preserve"> والعلم الذي يؤدي هذه الوظيفة في الدين الإسلامي</w:t>
      </w:r>
      <w:r>
        <w:rPr>
          <w:rFonts w:hint="cs"/>
          <w:rtl/>
        </w:rPr>
        <w:t>،</w:t>
      </w:r>
      <w:r w:rsidR="009C32A0" w:rsidRPr="005675B2">
        <w:rPr>
          <w:rFonts w:hint="cs"/>
          <w:rtl/>
        </w:rPr>
        <w:t xml:space="preserve"> وعند المسلمين هو العلم المسمى بعلم الكلام أو علم التوحيد أو علم أصول الدين أو غير ذلك من الأسماء</w:t>
      </w:r>
      <w:r>
        <w:rPr>
          <w:rFonts w:hint="cs"/>
          <w:rtl/>
        </w:rPr>
        <w:t>،</w:t>
      </w:r>
      <w:r w:rsidR="009C32A0" w:rsidRPr="005675B2">
        <w:rPr>
          <w:rFonts w:hint="cs"/>
          <w:rtl/>
        </w:rPr>
        <w:t xml:space="preserve"> ولا يستطيع أحد أن ينكر إنكارا صحيحا وجه الحاجة إلى مثل هذا العلم الجليل</w:t>
      </w:r>
      <w:r>
        <w:rPr>
          <w:rFonts w:hint="cs"/>
          <w:rtl/>
        </w:rPr>
        <w:t>،</w:t>
      </w:r>
      <w:r w:rsidR="009C32A0" w:rsidRPr="005675B2">
        <w:rPr>
          <w:rFonts w:hint="cs"/>
          <w:rtl/>
        </w:rPr>
        <w:t xml:space="preserve"> وقد يتم النقاش والجدال حول أحد الأدلة أو بعضها المستخدمة في هذا العلم والواردة في بعض الكتب فيه</w:t>
      </w:r>
      <w:r>
        <w:rPr>
          <w:rFonts w:hint="cs"/>
          <w:rtl/>
        </w:rPr>
        <w:t>،</w:t>
      </w:r>
      <w:r w:rsidR="009C32A0" w:rsidRPr="005675B2">
        <w:rPr>
          <w:rFonts w:hint="cs"/>
          <w:rtl/>
        </w:rPr>
        <w:t xml:space="preserve"> أو بعض الآراء التي قال بها بعض العلماء في هذا العلم</w:t>
      </w:r>
      <w:r>
        <w:rPr>
          <w:rFonts w:hint="cs"/>
          <w:rtl/>
        </w:rPr>
        <w:t>،</w:t>
      </w:r>
      <w:r w:rsidR="009C32A0" w:rsidRPr="005675B2">
        <w:rPr>
          <w:rFonts w:hint="cs"/>
          <w:rtl/>
        </w:rPr>
        <w:t xml:space="preserve"> ولكن أن يتم القدح في أصل الحاجة إلى هذا العلم فهذا هو الأمر الغريب الذي لا يقول به الا كل جاهل</w:t>
      </w:r>
      <w:r>
        <w:rPr>
          <w:rFonts w:hint="cs"/>
          <w:rtl/>
        </w:rPr>
        <w:t>،</w:t>
      </w:r>
      <w:r w:rsidR="009C32A0" w:rsidRPr="005675B2">
        <w:rPr>
          <w:rFonts w:hint="cs"/>
          <w:rtl/>
        </w:rPr>
        <w:t xml:space="preserve"> وأن نخالف بعض العلماء في بعض ما قالوا</w:t>
      </w:r>
      <w:r>
        <w:rPr>
          <w:rFonts w:hint="cs"/>
          <w:rtl/>
        </w:rPr>
        <w:t>،</w:t>
      </w:r>
      <w:r w:rsidR="009C32A0" w:rsidRPr="005675B2">
        <w:rPr>
          <w:rFonts w:hint="cs"/>
          <w:rtl/>
        </w:rPr>
        <w:t xml:space="preserve"> فهذا لا شيء فيه</w:t>
      </w:r>
      <w:r>
        <w:rPr>
          <w:rFonts w:hint="cs"/>
          <w:rtl/>
        </w:rPr>
        <w:t>،</w:t>
      </w:r>
      <w:r w:rsidR="009C32A0" w:rsidRPr="005675B2">
        <w:rPr>
          <w:rFonts w:hint="cs"/>
          <w:rtl/>
        </w:rPr>
        <w:t xml:space="preserve"> وإنما هو من باب الاجتهاد</w:t>
      </w:r>
      <w:r>
        <w:rPr>
          <w:rFonts w:hint="cs"/>
          <w:rtl/>
        </w:rPr>
        <w:t>،</w:t>
      </w:r>
      <w:r w:rsidR="009C32A0" w:rsidRPr="005675B2">
        <w:rPr>
          <w:rFonts w:hint="cs"/>
          <w:rtl/>
        </w:rPr>
        <w:t xml:space="preserve"> لأن الإنسان يخطئ ويصيب</w:t>
      </w:r>
      <w:r>
        <w:rPr>
          <w:rFonts w:hint="cs"/>
          <w:rtl/>
        </w:rPr>
        <w:t>،</w:t>
      </w:r>
      <w:r w:rsidR="009C32A0" w:rsidRPr="005675B2">
        <w:rPr>
          <w:rFonts w:hint="cs"/>
          <w:rtl/>
        </w:rPr>
        <w:t xml:space="preserve"> ولكن لا شك في وجود قواعد راسخة يشترك فيها المسلمون جميعا لا يمكن لأحد أن يخدشها</w:t>
      </w:r>
      <w:r>
        <w:rPr>
          <w:rFonts w:hint="cs"/>
          <w:rtl/>
        </w:rPr>
        <w:t>،</w:t>
      </w:r>
      <w:r w:rsidR="009C32A0" w:rsidRPr="005675B2">
        <w:rPr>
          <w:rFonts w:hint="cs"/>
          <w:rtl/>
        </w:rPr>
        <w:t xml:space="preserve"> ولا أشك أن صاحبنا هنا</w:t>
      </w:r>
      <w:r>
        <w:rPr>
          <w:rFonts w:hint="cs"/>
          <w:rtl/>
        </w:rPr>
        <w:t>،</w:t>
      </w:r>
      <w:r w:rsidR="009C32A0" w:rsidRPr="005675B2">
        <w:rPr>
          <w:rFonts w:hint="cs"/>
          <w:rtl/>
        </w:rPr>
        <w:t xml:space="preserve"> الذي يقدح في علم الكلام لا يدري من مباحثه شيئا</w:t>
      </w:r>
      <w:r>
        <w:rPr>
          <w:rFonts w:hint="cs"/>
          <w:rtl/>
        </w:rPr>
        <w:t>،</w:t>
      </w:r>
      <w:r w:rsidR="009C32A0" w:rsidRPr="005675B2">
        <w:rPr>
          <w:rFonts w:hint="cs"/>
          <w:rtl/>
        </w:rPr>
        <w:t xml:space="preserve"> ولا يعرف الا كلمات التقطها من هنا ومن هناك</w:t>
      </w:r>
      <w:r>
        <w:rPr>
          <w:rFonts w:hint="cs"/>
          <w:rtl/>
        </w:rPr>
        <w:t>،</w:t>
      </w:r>
      <w:r w:rsidR="009C32A0" w:rsidRPr="005675B2">
        <w:rPr>
          <w:rFonts w:hint="cs"/>
          <w:rtl/>
        </w:rPr>
        <w:t xml:space="preserve"> والجاهل بالشيء هو أول من يعاديه</w:t>
      </w:r>
      <w:r>
        <w:rPr>
          <w:rFonts w:hint="cs"/>
          <w:rtl/>
        </w:rPr>
        <w:t>،</w:t>
      </w:r>
      <w:r w:rsidR="009C32A0" w:rsidRPr="005675B2">
        <w:rPr>
          <w:rFonts w:hint="cs"/>
          <w:rtl/>
        </w:rPr>
        <w:t xml:space="preserve"> لأنه يتصور كل المفاسد فيه</w:t>
      </w:r>
      <w:r>
        <w:rPr>
          <w:rFonts w:hint="cs"/>
          <w:rtl/>
        </w:rPr>
        <w:t xml:space="preserve">! </w:t>
      </w:r>
      <w:r w:rsidR="009C32A0" w:rsidRPr="005675B2">
        <w:rPr>
          <w:rFonts w:hint="cs"/>
          <w:rtl/>
        </w:rPr>
        <w:t>ويجب أن يكون معلوما أنه لم يوجب أحد من العلماء المعتبرين على عوام الناس أن يعرفوا الله تعالى على طريقة المتكلمين ونصوصهم صريحة منتشرة في هذا الأمر في كتبهم</w:t>
      </w:r>
      <w:r>
        <w:rPr>
          <w:rFonts w:hint="cs"/>
          <w:rtl/>
        </w:rPr>
        <w:t>،</w:t>
      </w:r>
      <w:r w:rsidR="009C32A0" w:rsidRPr="005675B2">
        <w:rPr>
          <w:rFonts w:hint="cs"/>
          <w:rtl/>
        </w:rPr>
        <w:t xml:space="preserve"> بل الواجب عليهم أي على العوام هو معرفة الله تعالى من غير تحديدٍ لوجه الدليل شرط أن يكون صحيحا ولو إجمالياً</w:t>
      </w:r>
      <w:r>
        <w:rPr>
          <w:rFonts w:hint="cs"/>
          <w:rtl/>
        </w:rPr>
        <w:t>،</w:t>
      </w:r>
      <w:r w:rsidR="009C32A0" w:rsidRPr="005675B2">
        <w:rPr>
          <w:rFonts w:hint="cs"/>
          <w:rtl/>
        </w:rPr>
        <w:t>كقول الأعرابي " البعرة تدل على البعير والسير يدل على أثر المسير</w:t>
      </w:r>
      <w:r>
        <w:rPr>
          <w:rFonts w:hint="cs"/>
          <w:rtl/>
        </w:rPr>
        <w:t>،</w:t>
      </w:r>
      <w:r w:rsidR="009C32A0" w:rsidRPr="005675B2">
        <w:rPr>
          <w:rFonts w:hint="cs"/>
          <w:rtl/>
        </w:rPr>
        <w:t xml:space="preserve"> أسَماءٌ ذات أبراج</w:t>
      </w:r>
      <w:r>
        <w:rPr>
          <w:rFonts w:hint="cs"/>
          <w:rtl/>
        </w:rPr>
        <w:t>،</w:t>
      </w:r>
      <w:r w:rsidR="009C32A0" w:rsidRPr="005675B2">
        <w:rPr>
          <w:rFonts w:hint="cs"/>
          <w:rtl/>
        </w:rPr>
        <w:t xml:space="preserve"> وأرضٌ ذات فجاج</w:t>
      </w:r>
      <w:r>
        <w:rPr>
          <w:rFonts w:hint="cs"/>
          <w:rtl/>
        </w:rPr>
        <w:t>،</w:t>
      </w:r>
      <w:r w:rsidR="009C32A0" w:rsidRPr="005675B2">
        <w:rPr>
          <w:rFonts w:hint="cs"/>
          <w:rtl/>
        </w:rPr>
        <w:t xml:space="preserve"> ألا تدل على اللطيف الخبير "</w:t>
      </w:r>
      <w:r>
        <w:rPr>
          <w:rFonts w:hint="cs"/>
          <w:rtl/>
        </w:rPr>
        <w:t>،</w:t>
      </w:r>
      <w:r w:rsidR="009C32A0" w:rsidRPr="005675B2">
        <w:rPr>
          <w:rFonts w:hint="cs"/>
          <w:rtl/>
        </w:rPr>
        <w:t xml:space="preserve"> وقد نص العلماء في كتبهم على أن مثل هذا الاستدلال الاجمالي كاف في هذا الباب</w:t>
      </w:r>
      <w:r>
        <w:rPr>
          <w:rFonts w:hint="cs"/>
          <w:rtl/>
        </w:rPr>
        <w:t>،</w:t>
      </w:r>
      <w:r w:rsidR="009C32A0" w:rsidRPr="005675B2">
        <w:rPr>
          <w:rFonts w:hint="cs"/>
          <w:rtl/>
        </w:rPr>
        <w:t xml:space="preserve"> وكذا في باقي المسائل في علم التوحيد</w:t>
      </w:r>
      <w:r>
        <w:rPr>
          <w:rFonts w:hint="cs"/>
          <w:rtl/>
        </w:rPr>
        <w:t>،</w:t>
      </w:r>
      <w:r w:rsidR="009C32A0" w:rsidRPr="005675B2">
        <w:rPr>
          <w:rFonts w:hint="cs"/>
          <w:rtl/>
        </w:rPr>
        <w:t xml:space="preserve"> </w:t>
      </w:r>
    </w:p>
    <w:p w14:paraId="5DE8FE0F" w14:textId="2FAF2AD1" w:rsidR="009C32A0" w:rsidRPr="005675B2" w:rsidRDefault="000636C2" w:rsidP="000636C2">
      <w:pPr>
        <w:rPr>
          <w:b/>
          <w:rtl/>
        </w:rPr>
      </w:pPr>
      <w:r>
        <w:rPr>
          <w:rFonts w:hint="cs"/>
          <w:bCs/>
          <w:rtl/>
        </w:rPr>
        <w:t>(</w:t>
      </w:r>
      <w:r w:rsidR="009C32A0" w:rsidRPr="005675B2">
        <w:rPr>
          <w:rFonts w:hint="cs"/>
          <w:bCs/>
          <w:rtl/>
        </w:rPr>
        <w:t>رابعاً</w:t>
      </w:r>
      <w:r>
        <w:rPr>
          <w:rFonts w:hint="cs"/>
          <w:bCs/>
          <w:rtl/>
        </w:rPr>
        <w:t>):</w:t>
      </w:r>
      <w:r w:rsidR="009C32A0" w:rsidRPr="005675B2">
        <w:rPr>
          <w:rFonts w:hint="cs"/>
          <w:bCs/>
          <w:rtl/>
        </w:rPr>
        <w:t xml:space="preserve"> إشارة إلى خدمات المتكلمين للدين</w:t>
      </w:r>
      <w:r>
        <w:rPr>
          <w:rFonts w:hint="cs"/>
          <w:bCs/>
          <w:rtl/>
        </w:rPr>
        <w:t>:</w:t>
      </w:r>
      <w:r w:rsidR="009C32A0" w:rsidRPr="005675B2">
        <w:rPr>
          <w:rFonts w:hint="cs"/>
          <w:rtl/>
        </w:rPr>
        <w:t xml:space="preserve"> هناك عبارات يكثر بعض الناس من تردادها</w:t>
      </w:r>
      <w:r>
        <w:rPr>
          <w:rFonts w:hint="cs"/>
          <w:rtl/>
        </w:rPr>
        <w:t>،</w:t>
      </w:r>
      <w:r w:rsidR="009C32A0" w:rsidRPr="005675B2">
        <w:rPr>
          <w:rFonts w:hint="cs"/>
          <w:rtl/>
        </w:rPr>
        <w:t xml:space="preserve"> وهي أن المتكلمين اتبعوا الفلاسفة</w:t>
      </w:r>
      <w:r>
        <w:rPr>
          <w:rFonts w:hint="cs"/>
          <w:rtl/>
        </w:rPr>
        <w:t>،</w:t>
      </w:r>
      <w:r w:rsidR="009C32A0" w:rsidRPr="005675B2">
        <w:rPr>
          <w:rFonts w:hint="cs"/>
          <w:rtl/>
        </w:rPr>
        <w:t xml:space="preserve"> وأنهم قلدوهم في العلوم</w:t>
      </w:r>
      <w:r>
        <w:rPr>
          <w:rFonts w:hint="cs"/>
          <w:rtl/>
        </w:rPr>
        <w:t>،</w:t>
      </w:r>
      <w:r w:rsidR="009C32A0" w:rsidRPr="005675B2">
        <w:rPr>
          <w:rFonts w:hint="cs"/>
          <w:rtl/>
        </w:rPr>
        <w:t xml:space="preserve"> ولعمري أن هذه تهمة عظيمة تدل على جهل عظيم بالفلسفة وعلى الكلام</w:t>
      </w:r>
      <w:r>
        <w:rPr>
          <w:rFonts w:hint="cs"/>
          <w:rtl/>
        </w:rPr>
        <w:t xml:space="preserve">! </w:t>
      </w:r>
      <w:r w:rsidR="009C32A0" w:rsidRPr="005675B2">
        <w:rPr>
          <w:rFonts w:hint="cs"/>
          <w:rtl/>
        </w:rPr>
        <w:t>فإن أول الناس الذين بينوا عوار الفاسد من المذاهب الفلسفية هم أصحاب علم الكلام</w:t>
      </w:r>
      <w:r>
        <w:rPr>
          <w:rFonts w:hint="cs"/>
          <w:rtl/>
        </w:rPr>
        <w:t>،</w:t>
      </w:r>
      <w:r w:rsidR="009C32A0" w:rsidRPr="005675B2">
        <w:rPr>
          <w:rFonts w:hint="cs"/>
          <w:rtl/>
        </w:rPr>
        <w:t xml:space="preserve"> وإن الذين وقفوا في وجه الملحدين من فلاسفة الشرق والغرب وكل من ادعى الحكمة وخالف أمرا من أمور الدين</w:t>
      </w:r>
      <w:r>
        <w:rPr>
          <w:rFonts w:hint="cs"/>
          <w:rtl/>
        </w:rPr>
        <w:t>،</w:t>
      </w:r>
      <w:r w:rsidR="009C32A0" w:rsidRPr="005675B2">
        <w:rPr>
          <w:rFonts w:hint="cs"/>
          <w:rtl/>
        </w:rPr>
        <w:t xml:space="preserve"> هم المتكلمون</w:t>
      </w:r>
      <w:r>
        <w:rPr>
          <w:rFonts w:hint="cs"/>
          <w:rtl/>
        </w:rPr>
        <w:t>،</w:t>
      </w:r>
      <w:r w:rsidR="009C32A0" w:rsidRPr="005675B2">
        <w:rPr>
          <w:rFonts w:hint="cs"/>
          <w:rtl/>
        </w:rPr>
        <w:t xml:space="preserve"> وكتبهم دليل على ذلك</w:t>
      </w:r>
      <w:r>
        <w:rPr>
          <w:rFonts w:hint="cs"/>
          <w:rtl/>
        </w:rPr>
        <w:t>،</w:t>
      </w:r>
      <w:r w:rsidR="009C32A0" w:rsidRPr="005675B2">
        <w:rPr>
          <w:rFonts w:hint="cs"/>
          <w:rtl/>
        </w:rPr>
        <w:t xml:space="preserve"> وقد شهد القاصي والداني أن علم الفلسفة قد اندحرت جيوشه في الشرق بأثرٍ من هجوم المتكلمين عليهم</w:t>
      </w:r>
      <w:r>
        <w:rPr>
          <w:rFonts w:hint="cs"/>
          <w:rtl/>
        </w:rPr>
        <w:t>،</w:t>
      </w:r>
      <w:r w:rsidR="009C32A0" w:rsidRPr="005675B2">
        <w:rPr>
          <w:rFonts w:hint="cs"/>
          <w:rtl/>
        </w:rPr>
        <w:t xml:space="preserve"> وأحل المتكلمون نظريات خاصة بهم وأدلة سديدة استندوا في اكثرها إلى ما فهموه من النصوص الشرعية</w:t>
      </w:r>
      <w:r>
        <w:rPr>
          <w:rFonts w:hint="cs"/>
          <w:rtl/>
        </w:rPr>
        <w:t>،</w:t>
      </w:r>
      <w:r w:rsidR="009C32A0" w:rsidRPr="005675B2">
        <w:rPr>
          <w:rFonts w:hint="cs"/>
          <w:rtl/>
        </w:rPr>
        <w:t xml:space="preserve"> خصوصا في مجال الالهيات</w:t>
      </w:r>
      <w:r>
        <w:rPr>
          <w:rFonts w:hint="cs"/>
          <w:rtl/>
        </w:rPr>
        <w:t>،</w:t>
      </w:r>
      <w:r w:rsidR="009C32A0" w:rsidRPr="005675B2">
        <w:rPr>
          <w:rFonts w:hint="cs"/>
          <w:rtl/>
        </w:rPr>
        <w:t xml:space="preserve"> وأما المنطق وعلم المقولات ومناهج الاستدلال وطرق التفكير الصحيح فلا تسل عن مقدار وجلالة الخدمات التي قدمها المتكلمون</w:t>
      </w:r>
      <w:r>
        <w:rPr>
          <w:rFonts w:hint="cs"/>
          <w:rtl/>
        </w:rPr>
        <w:t>،</w:t>
      </w:r>
      <w:r w:rsidR="009C32A0" w:rsidRPr="005675B2">
        <w:rPr>
          <w:rFonts w:hint="cs"/>
          <w:rtl/>
        </w:rPr>
        <w:t xml:space="preserve"> حتى صارت نظرياتهم وآراؤهم هي الأساس الذي استند اليه الغربيين في إقامة دعائم العلوم التجريبية الحديثة</w:t>
      </w:r>
      <w:r>
        <w:rPr>
          <w:rFonts w:hint="cs"/>
          <w:rtl/>
        </w:rPr>
        <w:t>،</w:t>
      </w:r>
      <w:r w:rsidR="009C32A0" w:rsidRPr="005675B2">
        <w:rPr>
          <w:rFonts w:hint="cs"/>
          <w:rtl/>
        </w:rPr>
        <w:t xml:space="preserve"> وهذا لا ينكره أحد عنده شيء من العلم</w:t>
      </w:r>
      <w:r>
        <w:rPr>
          <w:rFonts w:hint="cs"/>
          <w:rtl/>
        </w:rPr>
        <w:t>،</w:t>
      </w:r>
      <w:r w:rsidR="009C32A0" w:rsidRPr="005675B2">
        <w:rPr>
          <w:rFonts w:hint="cs"/>
          <w:rtl/>
        </w:rPr>
        <w:t xml:space="preserve"> وأما النظرة في حقيقة الوجود</w:t>
      </w:r>
      <w:r>
        <w:rPr>
          <w:rFonts w:hint="cs"/>
          <w:rtl/>
        </w:rPr>
        <w:t>،</w:t>
      </w:r>
      <w:r w:rsidR="009C32A0" w:rsidRPr="005675B2">
        <w:rPr>
          <w:rFonts w:hint="cs"/>
          <w:rtl/>
        </w:rPr>
        <w:t xml:space="preserve"> فبالله أسألُ هذا المدعي أن يدلنا على شيء ساير فيه المتكلمون أهل الفلسفة في ذلك</w:t>
      </w:r>
      <w:r>
        <w:rPr>
          <w:rFonts w:hint="cs"/>
          <w:rtl/>
        </w:rPr>
        <w:t>؟</w:t>
      </w:r>
      <w:r w:rsidR="009C32A0" w:rsidRPr="005675B2">
        <w:rPr>
          <w:rFonts w:hint="cs"/>
          <w:rtl/>
        </w:rPr>
        <w:t xml:space="preserve"> الا أن يكون أمرا صحيحا لا يجوز عقلا ولا شرعا إنكاره</w:t>
      </w:r>
      <w:r>
        <w:rPr>
          <w:rFonts w:hint="cs"/>
          <w:rtl/>
        </w:rPr>
        <w:t>،</w:t>
      </w:r>
      <w:r w:rsidR="009C32A0" w:rsidRPr="005675B2">
        <w:rPr>
          <w:rFonts w:hint="cs"/>
          <w:rtl/>
        </w:rPr>
        <w:t xml:space="preserve"> وإلا فإن الأصول الباطلة التي بنى عليها الفلاسفة أو لنقل بعضُهم أقوالَهم</w:t>
      </w:r>
      <w:r>
        <w:rPr>
          <w:rFonts w:hint="cs"/>
          <w:rtl/>
        </w:rPr>
        <w:t>،</w:t>
      </w:r>
      <w:r w:rsidR="009C32A0" w:rsidRPr="005675B2">
        <w:rPr>
          <w:rFonts w:hint="cs"/>
          <w:rtl/>
        </w:rPr>
        <w:t xml:space="preserve"> قد ردها المتكلمون من الملة الحنيفية</w:t>
      </w:r>
      <w:r>
        <w:rPr>
          <w:rFonts w:hint="cs"/>
          <w:rtl/>
        </w:rPr>
        <w:t>،</w:t>
      </w:r>
      <w:r w:rsidR="009C32A0" w:rsidRPr="005675B2">
        <w:rPr>
          <w:rFonts w:hint="cs"/>
          <w:rtl/>
        </w:rPr>
        <w:t xml:space="preserve"> </w:t>
      </w:r>
    </w:p>
    <w:p w14:paraId="4E67783D" w14:textId="1F3CC877" w:rsidR="009C32A0" w:rsidRPr="005675B2" w:rsidRDefault="009C32A0" w:rsidP="000636C2">
      <w:pPr>
        <w:rPr>
          <w:b/>
          <w:rtl/>
        </w:rPr>
      </w:pPr>
      <w:r w:rsidRPr="005675B2">
        <w:rPr>
          <w:rFonts w:hint="cs"/>
          <w:bCs/>
          <w:rtl/>
        </w:rPr>
        <w:t>خامساً</w:t>
      </w:r>
      <w:r w:rsidR="000636C2">
        <w:rPr>
          <w:rFonts w:hint="cs"/>
          <w:bCs/>
          <w:rtl/>
        </w:rPr>
        <w:t>:</w:t>
      </w:r>
      <w:r w:rsidRPr="005675B2">
        <w:rPr>
          <w:rFonts w:hint="cs"/>
          <w:bCs/>
          <w:rtl/>
        </w:rPr>
        <w:t xml:space="preserve"> حول التأويل والظاهر</w:t>
      </w:r>
      <w:r w:rsidR="000636C2">
        <w:rPr>
          <w:rFonts w:hint="cs"/>
          <w:bCs/>
          <w:rtl/>
        </w:rPr>
        <w:t>:</w:t>
      </w:r>
      <w:r w:rsidRPr="005675B2">
        <w:rPr>
          <w:rFonts w:hint="cs"/>
          <w:rtl/>
        </w:rPr>
        <w:t xml:space="preserve"> عندما يقول أهل السنة وأهل الحق وهم الأشاعرة والماتريدية</w:t>
      </w:r>
      <w:r w:rsidR="000636C2">
        <w:rPr>
          <w:rFonts w:hint="cs"/>
          <w:rtl/>
        </w:rPr>
        <w:t>،</w:t>
      </w:r>
      <w:r w:rsidRPr="005675B2">
        <w:rPr>
          <w:rFonts w:hint="cs"/>
          <w:rtl/>
        </w:rPr>
        <w:t xml:space="preserve"> أن بعض الناس مجسمة</w:t>
      </w:r>
      <w:r w:rsidR="000636C2">
        <w:rPr>
          <w:rFonts w:hint="cs"/>
          <w:rtl/>
        </w:rPr>
        <w:t>،</w:t>
      </w:r>
      <w:r w:rsidRPr="005675B2">
        <w:rPr>
          <w:rFonts w:hint="cs"/>
          <w:rtl/>
        </w:rPr>
        <w:t xml:space="preserve"> فهذا لا يعني على الاطلاق أن النصوص التي اعتمد عليها هؤلاء ظانِّين أنها تؤيد ما يقولون</w:t>
      </w:r>
      <w:r w:rsidR="000636C2">
        <w:rPr>
          <w:rFonts w:hint="cs"/>
          <w:rtl/>
        </w:rPr>
        <w:t>،</w:t>
      </w:r>
      <w:r w:rsidRPr="005675B2">
        <w:rPr>
          <w:rFonts w:hint="cs"/>
          <w:rtl/>
        </w:rPr>
        <w:t xml:space="preserve"> هي الموحية لهم بأفكار التجسيم</w:t>
      </w:r>
      <w:r w:rsidR="000636C2">
        <w:rPr>
          <w:rFonts w:hint="cs"/>
          <w:rtl/>
        </w:rPr>
        <w:t>،</w:t>
      </w:r>
      <w:r w:rsidRPr="005675B2">
        <w:rPr>
          <w:rFonts w:hint="cs"/>
          <w:rtl/>
        </w:rPr>
        <w:t xml:space="preserve"> ولذلك فإنهم عندما يردون عليهم ويفندون أقوالهم ويبطلون آراءهم</w:t>
      </w:r>
      <w:r w:rsidR="000636C2">
        <w:rPr>
          <w:rFonts w:hint="cs"/>
          <w:rtl/>
        </w:rPr>
        <w:t>،</w:t>
      </w:r>
      <w:r w:rsidRPr="005675B2">
        <w:rPr>
          <w:rFonts w:hint="cs"/>
          <w:rtl/>
        </w:rPr>
        <w:t xml:space="preserve"> فهم لا يردون على القرآن والسنة كما يدعي هؤلاء المجسمة</w:t>
      </w:r>
      <w:r w:rsidR="000636C2">
        <w:rPr>
          <w:rFonts w:hint="cs"/>
          <w:rtl/>
        </w:rPr>
        <w:t>،</w:t>
      </w:r>
      <w:r w:rsidRPr="005675B2">
        <w:rPr>
          <w:rFonts w:hint="cs"/>
          <w:rtl/>
        </w:rPr>
        <w:t xml:space="preserve"> ولكنهم إنما يبطلون ما فهمه هؤلاء المجسمة من الكتاب والسنة ويبينون أن هذه الأفهام ليست مأخوذة من الكتاب والسنة</w:t>
      </w:r>
      <w:r w:rsidR="000636C2">
        <w:rPr>
          <w:rFonts w:hint="cs"/>
          <w:rtl/>
        </w:rPr>
        <w:t>،</w:t>
      </w:r>
      <w:r w:rsidRPr="005675B2">
        <w:rPr>
          <w:rFonts w:hint="cs"/>
          <w:rtl/>
        </w:rPr>
        <w:t xml:space="preserve"> وأن ما يدعي هؤلاء أنه ظاهر النصوص الشرعية</w:t>
      </w:r>
      <w:r w:rsidR="000636C2">
        <w:rPr>
          <w:rFonts w:hint="cs"/>
          <w:rtl/>
        </w:rPr>
        <w:t>،</w:t>
      </w:r>
      <w:r w:rsidRPr="005675B2">
        <w:rPr>
          <w:rFonts w:hint="cs"/>
          <w:rtl/>
        </w:rPr>
        <w:t xml:space="preserve"> فإنما هو ما ظهر لعقولهم أي لنفوسهم</w:t>
      </w:r>
      <w:r w:rsidR="000636C2">
        <w:rPr>
          <w:rFonts w:hint="cs"/>
          <w:rtl/>
        </w:rPr>
        <w:t>،</w:t>
      </w:r>
      <w:r w:rsidRPr="005675B2">
        <w:rPr>
          <w:rFonts w:hint="cs"/>
          <w:rtl/>
        </w:rPr>
        <w:t xml:space="preserve"> ونقول أن هذا المعنى الباطل قد ظهر لنفوسهم ولم يظهر لنا</w:t>
      </w:r>
      <w:r w:rsidR="000636C2">
        <w:rPr>
          <w:rFonts w:hint="cs"/>
          <w:rtl/>
        </w:rPr>
        <w:t>،</w:t>
      </w:r>
      <w:r w:rsidRPr="005675B2">
        <w:rPr>
          <w:rFonts w:hint="cs"/>
          <w:rtl/>
        </w:rPr>
        <w:t xml:space="preserve"> فلا بد أن يكونوا قد اتبعوا أساليب في الفهم تخالف ما اتبعناه</w:t>
      </w:r>
      <w:r w:rsidR="000636C2">
        <w:rPr>
          <w:rFonts w:hint="cs"/>
          <w:rtl/>
        </w:rPr>
        <w:t>،</w:t>
      </w:r>
      <w:r w:rsidRPr="005675B2">
        <w:rPr>
          <w:rFonts w:hint="cs"/>
          <w:rtl/>
        </w:rPr>
        <w:t xml:space="preserve"> وإلا لو كان الظهور لمجرد الفطرة لكانت فطرتهم تستلزم التجسيم وفطرتنا تستلزم التنزيه لنفس الفطرة</w:t>
      </w:r>
      <w:r w:rsidR="000636C2">
        <w:rPr>
          <w:rFonts w:hint="cs"/>
          <w:rtl/>
        </w:rPr>
        <w:t>،</w:t>
      </w:r>
      <w:r w:rsidRPr="005675B2">
        <w:rPr>
          <w:rFonts w:hint="cs"/>
          <w:rtl/>
        </w:rPr>
        <w:t xml:space="preserve"> ومعلوم بطلان ذلك</w:t>
      </w:r>
      <w:r w:rsidR="000636C2">
        <w:rPr>
          <w:rFonts w:hint="cs"/>
          <w:rtl/>
        </w:rPr>
        <w:t>،</w:t>
      </w:r>
      <w:r w:rsidRPr="005675B2">
        <w:rPr>
          <w:rFonts w:hint="cs"/>
          <w:rtl/>
        </w:rPr>
        <w:t xml:space="preserve"> إذن الوسائل التي اتبعوها في الفهم هي التي أدت بهم إلى فهم واستظهار هذا المعنى المؤدي إلى اعتبار الله تعالى جسما ومحدودا</w:t>
      </w:r>
      <w:r w:rsidR="000636C2">
        <w:rPr>
          <w:rFonts w:hint="cs"/>
          <w:rtl/>
        </w:rPr>
        <w:t>،</w:t>
      </w:r>
      <w:r w:rsidRPr="005675B2">
        <w:rPr>
          <w:rFonts w:hint="cs"/>
          <w:rtl/>
        </w:rPr>
        <w:t xml:space="preserve"> ونسبوا فهمهم هذا إلى النصوص الشرعية</w:t>
      </w:r>
      <w:r w:rsidR="000636C2">
        <w:rPr>
          <w:rFonts w:hint="cs"/>
          <w:rtl/>
        </w:rPr>
        <w:t>،</w:t>
      </w:r>
      <w:r w:rsidRPr="005675B2">
        <w:rPr>
          <w:rFonts w:hint="cs"/>
          <w:rtl/>
        </w:rPr>
        <w:t xml:space="preserve"> وهذا باطل</w:t>
      </w:r>
      <w:r w:rsidR="000636C2">
        <w:rPr>
          <w:rFonts w:hint="cs"/>
          <w:rtl/>
        </w:rPr>
        <w:t>،</w:t>
      </w:r>
      <w:r w:rsidRPr="005675B2">
        <w:rPr>
          <w:rFonts w:hint="cs"/>
          <w:rtl/>
        </w:rPr>
        <w:t xml:space="preserve"> فلو كانت النصوص الشرعية تستلزم لذاتها هذا المعنى</w:t>
      </w:r>
      <w:r w:rsidR="000636C2">
        <w:rPr>
          <w:rFonts w:hint="cs"/>
          <w:rtl/>
        </w:rPr>
        <w:t>،</w:t>
      </w:r>
      <w:r w:rsidRPr="005675B2">
        <w:rPr>
          <w:rFonts w:hint="cs"/>
          <w:rtl/>
        </w:rPr>
        <w:t xml:space="preserve"> لفهمه كل واحد ممن نظر فيها</w:t>
      </w:r>
      <w:r w:rsidR="000636C2">
        <w:rPr>
          <w:rFonts w:hint="cs"/>
          <w:rtl/>
        </w:rPr>
        <w:t>،</w:t>
      </w:r>
      <w:r w:rsidRPr="005675B2">
        <w:rPr>
          <w:rFonts w:hint="cs"/>
          <w:rtl/>
        </w:rPr>
        <w:t xml:space="preserve"> وليس الأمر كذلك</w:t>
      </w:r>
      <w:r w:rsidR="000636C2">
        <w:rPr>
          <w:rFonts w:hint="cs"/>
          <w:rtl/>
        </w:rPr>
        <w:t>،</w:t>
      </w:r>
      <w:r w:rsidRPr="005675B2">
        <w:rPr>
          <w:rFonts w:hint="cs"/>
          <w:rtl/>
        </w:rPr>
        <w:t xml:space="preserve"> ولذلك نص العلماء على أن معاني الجسمية ظهرت لأوهام المجسمة</w:t>
      </w:r>
      <w:r w:rsidR="000636C2">
        <w:rPr>
          <w:rFonts w:hint="cs"/>
          <w:rtl/>
        </w:rPr>
        <w:t>،</w:t>
      </w:r>
      <w:r w:rsidRPr="005675B2">
        <w:rPr>
          <w:rFonts w:hint="cs"/>
          <w:rtl/>
        </w:rPr>
        <w:t xml:space="preserve"> فنسبوها إلى النصوص الشرعية</w:t>
      </w:r>
      <w:r w:rsidR="000636C2">
        <w:rPr>
          <w:rFonts w:hint="cs"/>
          <w:rtl/>
        </w:rPr>
        <w:t>،</w:t>
      </w:r>
      <w:r w:rsidRPr="005675B2">
        <w:rPr>
          <w:rFonts w:hint="cs"/>
          <w:rtl/>
        </w:rPr>
        <w:t xml:space="preserve"> فتراهم بعد ذلك يتهمون كل من ينفي الجسمية والحد عن الله تعالى بمخالفة النصوص</w:t>
      </w:r>
      <w:r w:rsidR="000636C2">
        <w:rPr>
          <w:rFonts w:hint="cs"/>
          <w:rtl/>
        </w:rPr>
        <w:t>،</w:t>
      </w:r>
      <w:r w:rsidRPr="005675B2">
        <w:rPr>
          <w:rFonts w:hint="cs"/>
          <w:rtl/>
        </w:rPr>
        <w:t xml:space="preserve"> وهو إنما يخالف ما نسبوه هم إلى النصوص الشرعية</w:t>
      </w:r>
      <w:r w:rsidR="000636C2">
        <w:rPr>
          <w:rFonts w:hint="cs"/>
          <w:rtl/>
        </w:rPr>
        <w:t>،</w:t>
      </w:r>
      <w:r w:rsidRPr="005675B2">
        <w:rPr>
          <w:rFonts w:hint="cs"/>
          <w:rtl/>
        </w:rPr>
        <w:t xml:space="preserve"> ولا يسلم لهم بذلك</w:t>
      </w:r>
      <w:r w:rsidR="000636C2">
        <w:rPr>
          <w:rFonts w:hint="cs"/>
          <w:rtl/>
        </w:rPr>
        <w:t>،</w:t>
      </w:r>
      <w:r w:rsidRPr="005675B2">
        <w:rPr>
          <w:rFonts w:hint="cs"/>
          <w:rtl/>
        </w:rPr>
        <w:t xml:space="preserve"> فنحن نُبطل أن تكون نفوسهم قد اتبعت الطرق السليمة في التفكير وفي فهم النصوص</w:t>
      </w:r>
      <w:r w:rsidR="000636C2">
        <w:rPr>
          <w:rFonts w:hint="cs"/>
          <w:rtl/>
        </w:rPr>
        <w:t>،</w:t>
      </w:r>
      <w:r w:rsidRPr="005675B2">
        <w:rPr>
          <w:rFonts w:hint="cs"/>
          <w:rtl/>
        </w:rPr>
        <w:t xml:space="preserve"> وإلا لما امكن لهم أن يصلوا إلى مثل هذه الآراء الباطلة من القول بالحد والجسمية والأعضاء والحركة والجلوس وحلول الحوادث في الذات الإلهية</w:t>
      </w:r>
      <w:r w:rsidR="000636C2">
        <w:rPr>
          <w:rFonts w:hint="cs"/>
          <w:rtl/>
        </w:rPr>
        <w:t>،</w:t>
      </w:r>
      <w:r w:rsidRPr="005675B2">
        <w:rPr>
          <w:rFonts w:hint="cs"/>
          <w:rtl/>
        </w:rPr>
        <w:t xml:space="preserve"> وغير ذلك من الآراء الباطلة</w:t>
      </w:r>
      <w:r w:rsidR="000636C2">
        <w:rPr>
          <w:rFonts w:hint="cs"/>
          <w:rtl/>
        </w:rPr>
        <w:t>،</w:t>
      </w:r>
      <w:r w:rsidRPr="005675B2">
        <w:rPr>
          <w:rFonts w:hint="cs"/>
          <w:rtl/>
        </w:rPr>
        <w:t xml:space="preserve"> وذلك لأن الإنسان العاقل لا يصل إلى الآراء الباطلة</w:t>
      </w:r>
      <w:r w:rsidR="000636C2">
        <w:rPr>
          <w:rFonts w:hint="cs"/>
          <w:rtl/>
        </w:rPr>
        <w:t>،</w:t>
      </w:r>
      <w:r w:rsidRPr="005675B2">
        <w:rPr>
          <w:rFonts w:hint="cs"/>
          <w:rtl/>
        </w:rPr>
        <w:t xml:space="preserve"> وأهل الحق في نفس الوقت يقولون أن من يرد ما ثبت بالنص أو بالقطع أنه من الشرع فهو كافر</w:t>
      </w:r>
      <w:r w:rsidR="000636C2">
        <w:rPr>
          <w:rFonts w:hint="cs"/>
          <w:rtl/>
        </w:rPr>
        <w:t>،</w:t>
      </w:r>
      <w:r w:rsidRPr="005675B2">
        <w:rPr>
          <w:rFonts w:hint="cs"/>
          <w:rtl/>
        </w:rPr>
        <w:t xml:space="preserve"> ولذلك لا يجوز أن ينسب اليهم أحد أنهم يخالفون النصوص أو يردون الأحاديث بعد أن علموا أنها ثابتة</w:t>
      </w:r>
      <w:r w:rsidR="000636C2">
        <w:rPr>
          <w:rFonts w:hint="cs"/>
          <w:rtl/>
        </w:rPr>
        <w:t>،</w:t>
      </w:r>
      <w:r w:rsidRPr="005675B2">
        <w:rPr>
          <w:rFonts w:hint="cs"/>
          <w:rtl/>
        </w:rPr>
        <w:t xml:space="preserve"> وأهل الحق لا ينسبون إلى احد من المخالفين من أهل الإسلام أنه يرد ما علم كونه من الدين بالضرورة</w:t>
      </w:r>
      <w:r w:rsidR="000636C2">
        <w:rPr>
          <w:rFonts w:hint="cs"/>
          <w:rtl/>
        </w:rPr>
        <w:t>،</w:t>
      </w:r>
      <w:r w:rsidRPr="005675B2">
        <w:rPr>
          <w:rFonts w:hint="cs"/>
          <w:rtl/>
        </w:rPr>
        <w:t xml:space="preserve"> أقصد أهل الإسلام المعتبرين</w:t>
      </w:r>
      <w:r w:rsidR="000636C2">
        <w:rPr>
          <w:rFonts w:hint="cs"/>
          <w:rtl/>
        </w:rPr>
        <w:t>،</w:t>
      </w:r>
      <w:r w:rsidRPr="005675B2">
        <w:rPr>
          <w:rFonts w:hint="cs"/>
          <w:rtl/>
        </w:rPr>
        <w:t xml:space="preserve"> ولذلك فلهم في تكفير الفرق أقوال</w:t>
      </w:r>
      <w:r w:rsidR="000636C2">
        <w:rPr>
          <w:rFonts w:hint="cs"/>
          <w:rtl/>
        </w:rPr>
        <w:t>،</w:t>
      </w:r>
      <w:r w:rsidRPr="005675B2">
        <w:rPr>
          <w:rFonts w:hint="cs"/>
          <w:rtl/>
        </w:rPr>
        <w:t xml:space="preserve"> أرجحها عند الجمهور منهم عدم التكفير إلا بما وضحوه من مقاييس ذكروها في كتب الفقه وأصول الدين</w:t>
      </w:r>
      <w:r w:rsidR="000636C2">
        <w:rPr>
          <w:rFonts w:hint="cs"/>
          <w:rtl/>
        </w:rPr>
        <w:t>،</w:t>
      </w:r>
      <w:r w:rsidRPr="005675B2">
        <w:rPr>
          <w:rFonts w:hint="cs"/>
          <w:rtl/>
        </w:rPr>
        <w:t xml:space="preserve"> ونحن نرى في نفس الوقت أن المجسمة من المنتسبين إلى الإسلام يدعون أن الأشاعرة والماتريدية وهم أهل السنة على الحقيقة</w:t>
      </w:r>
      <w:r w:rsidR="000636C2">
        <w:rPr>
          <w:rFonts w:hint="cs"/>
          <w:rtl/>
        </w:rPr>
        <w:t>،</w:t>
      </w:r>
      <w:r w:rsidRPr="005675B2">
        <w:rPr>
          <w:rFonts w:hint="cs"/>
          <w:rtl/>
        </w:rPr>
        <w:t xml:space="preserve"> يخالفون الثابت من النصوص بالعقل</w:t>
      </w:r>
      <w:r w:rsidR="000636C2">
        <w:rPr>
          <w:rFonts w:hint="cs"/>
          <w:rtl/>
        </w:rPr>
        <w:t>،</w:t>
      </w:r>
      <w:r w:rsidRPr="005675B2">
        <w:rPr>
          <w:rFonts w:hint="cs"/>
          <w:rtl/>
        </w:rPr>
        <w:t xml:space="preserve"> ويردون النصوص وسائر النقول اذا خالفت ما يقولون به هم</w:t>
      </w:r>
      <w:r w:rsidR="000636C2">
        <w:rPr>
          <w:rFonts w:hint="cs"/>
          <w:rtl/>
        </w:rPr>
        <w:t>،</w:t>
      </w:r>
      <w:r w:rsidRPr="005675B2">
        <w:rPr>
          <w:rFonts w:hint="cs"/>
          <w:rtl/>
        </w:rPr>
        <w:t xml:space="preserve"> فيصورونهم كالملحدة والكفار الذين لا يعتدون بالنصوص الدينية</w:t>
      </w:r>
      <w:r w:rsidR="000636C2">
        <w:rPr>
          <w:rFonts w:hint="cs"/>
          <w:rtl/>
        </w:rPr>
        <w:t>،</w:t>
      </w:r>
      <w:r w:rsidRPr="005675B2">
        <w:rPr>
          <w:rFonts w:hint="cs"/>
          <w:rtl/>
        </w:rPr>
        <w:t xml:space="preserve"> والأمر بخلاف هذا قطعا</w:t>
      </w:r>
      <w:r w:rsidR="000636C2">
        <w:rPr>
          <w:rFonts w:hint="cs"/>
          <w:rtl/>
        </w:rPr>
        <w:t>،</w:t>
      </w:r>
      <w:r w:rsidRPr="005675B2">
        <w:rPr>
          <w:rFonts w:hint="cs"/>
          <w:rtl/>
        </w:rPr>
        <w:t xml:space="preserve"> وهؤلاء يكذبون على أهل الحق كعادتهم في كثير من كتبهم</w:t>
      </w:r>
      <w:r w:rsidR="000636C2">
        <w:rPr>
          <w:rFonts w:hint="cs"/>
          <w:rtl/>
        </w:rPr>
        <w:t>،</w:t>
      </w:r>
      <w:r w:rsidRPr="005675B2">
        <w:rPr>
          <w:rFonts w:hint="cs"/>
          <w:rtl/>
        </w:rPr>
        <w:t xml:space="preserve"> وسوف تتضح لك بعض الأمثلة على ما نقول هنا فيما يلي إن شاء الله تعالى </w:t>
      </w:r>
    </w:p>
    <w:p w14:paraId="727CA07D" w14:textId="7C8084AA" w:rsidR="009C32A0" w:rsidRPr="005675B2" w:rsidRDefault="009C32A0" w:rsidP="000636C2">
      <w:pPr>
        <w:rPr>
          <w:b/>
          <w:rtl/>
        </w:rPr>
      </w:pPr>
      <w:r w:rsidRPr="005675B2">
        <w:rPr>
          <w:rFonts w:hint="cs"/>
          <w:bCs/>
          <w:rtl/>
        </w:rPr>
        <w:t>سادساً</w:t>
      </w:r>
      <w:r w:rsidR="000636C2">
        <w:rPr>
          <w:rFonts w:hint="cs"/>
          <w:bCs/>
          <w:rtl/>
        </w:rPr>
        <w:t>:</w:t>
      </w:r>
      <w:r w:rsidRPr="005675B2">
        <w:rPr>
          <w:rFonts w:hint="cs"/>
          <w:bCs/>
          <w:rtl/>
        </w:rPr>
        <w:t xml:space="preserve"> أهل السنة والمجسمة</w:t>
      </w:r>
      <w:r w:rsidR="000636C2">
        <w:rPr>
          <w:rFonts w:hint="cs"/>
          <w:bCs/>
          <w:rtl/>
        </w:rPr>
        <w:t>:</w:t>
      </w:r>
      <w:r w:rsidRPr="005675B2">
        <w:rPr>
          <w:rFonts w:hint="cs"/>
          <w:rtl/>
        </w:rPr>
        <w:t xml:space="preserve"> يقول هذا المؤلف في صفحة 9</w:t>
      </w:r>
      <w:r w:rsidR="000636C2">
        <w:rPr>
          <w:rFonts w:hint="cs"/>
          <w:rtl/>
        </w:rPr>
        <w:t>:</w:t>
      </w:r>
      <w:r w:rsidRPr="005675B2">
        <w:rPr>
          <w:rFonts w:hint="cs"/>
          <w:rtl/>
        </w:rPr>
        <w:t xml:space="preserve"> "وقد هالني ادعاء بعضهم أن أهل السنة والجماعة هم الأشعرية والماتريدية</w:t>
      </w:r>
      <w:r w:rsidR="000636C2">
        <w:rPr>
          <w:rFonts w:hint="cs"/>
          <w:rtl/>
        </w:rPr>
        <w:t>،</w:t>
      </w:r>
      <w:r w:rsidRPr="005675B2">
        <w:rPr>
          <w:rFonts w:hint="cs"/>
          <w:rtl/>
        </w:rPr>
        <w:t xml:space="preserve"> ورموا السلف بالتجسيم والتشبيه"</w:t>
      </w:r>
      <w:r w:rsidR="000636C2">
        <w:rPr>
          <w:rFonts w:hint="cs"/>
          <w:rtl/>
        </w:rPr>
        <w:t>،</w:t>
      </w:r>
      <w:r w:rsidRPr="005675B2">
        <w:rPr>
          <w:rFonts w:hint="cs"/>
          <w:rtl/>
        </w:rPr>
        <w:t xml:space="preserve"> كذا قال</w:t>
      </w:r>
      <w:r w:rsidR="000636C2">
        <w:rPr>
          <w:rFonts w:hint="cs"/>
          <w:rtl/>
        </w:rPr>
        <w:t>،</w:t>
      </w:r>
      <w:r w:rsidRPr="005675B2">
        <w:rPr>
          <w:rFonts w:hint="cs"/>
          <w:rtl/>
        </w:rPr>
        <w:t xml:space="preserve"> وكونه قد استغرب لماّ سمع هذا الكلام</w:t>
      </w:r>
      <w:r w:rsidR="000636C2">
        <w:rPr>
          <w:rFonts w:hint="cs"/>
          <w:rtl/>
        </w:rPr>
        <w:t>،</w:t>
      </w:r>
      <w:r w:rsidRPr="005675B2">
        <w:rPr>
          <w:rFonts w:hint="cs"/>
          <w:rtl/>
        </w:rPr>
        <w:t xml:space="preserve"> يدل استغرابه هذا على مدى الجهل الذي هو واقع فيه بحيث يدفعه إلى الاستغراب من أمر أصبح مشهورا في كتب عامة اهل العلم</w:t>
      </w:r>
      <w:r w:rsidR="000636C2">
        <w:rPr>
          <w:rFonts w:hint="cs"/>
          <w:rtl/>
        </w:rPr>
        <w:t>،</w:t>
      </w:r>
      <w:r w:rsidRPr="005675B2">
        <w:rPr>
          <w:rFonts w:hint="cs"/>
          <w:rtl/>
        </w:rPr>
        <w:t xml:space="preserve"> وهذا ينبئك على مقدار وضحالة المعلومات التي يملكها هذا المستغرب في هذا الموضوع الذي يتصدى للكتابة فيه</w:t>
      </w:r>
      <w:r w:rsidR="000636C2">
        <w:rPr>
          <w:rFonts w:hint="cs"/>
          <w:rtl/>
        </w:rPr>
        <w:t>،</w:t>
      </w:r>
      <w:r w:rsidRPr="005675B2">
        <w:rPr>
          <w:rFonts w:hint="cs"/>
          <w:rtl/>
        </w:rPr>
        <w:t xml:space="preserve"> ولنا على كلامه بعد ذلك ملاحظات</w:t>
      </w:r>
      <w:r w:rsidR="000636C2">
        <w:rPr>
          <w:rFonts w:hint="cs"/>
          <w:rtl/>
        </w:rPr>
        <w:t>،</w:t>
      </w:r>
      <w:r w:rsidRPr="005675B2">
        <w:rPr>
          <w:rFonts w:hint="cs"/>
          <w:rtl/>
        </w:rPr>
        <w:t xml:space="preserve"> أما أن البعض</w:t>
      </w:r>
      <w:r w:rsidR="000636C2">
        <w:rPr>
          <w:rFonts w:hint="cs"/>
          <w:rtl/>
        </w:rPr>
        <w:t>؟!</w:t>
      </w:r>
      <w:r w:rsidRPr="005675B2">
        <w:rPr>
          <w:rFonts w:hint="cs"/>
          <w:rtl/>
        </w:rPr>
        <w:t xml:space="preserve"> هم من ادعى أن الأشاعرة والماتريدية هم أهل السنة فهذا باطل</w:t>
      </w:r>
      <w:r w:rsidR="000636C2">
        <w:rPr>
          <w:rFonts w:hint="cs"/>
          <w:rtl/>
        </w:rPr>
        <w:t>،</w:t>
      </w:r>
      <w:r w:rsidRPr="005675B2">
        <w:rPr>
          <w:rFonts w:hint="cs"/>
          <w:rtl/>
        </w:rPr>
        <w:t xml:space="preserve"> فمن ادعى ذلك ليس البعض فقط</w:t>
      </w:r>
      <w:r w:rsidR="000636C2">
        <w:rPr>
          <w:rFonts w:hint="cs"/>
          <w:rtl/>
        </w:rPr>
        <w:t>،</w:t>
      </w:r>
      <w:r w:rsidRPr="005675B2">
        <w:rPr>
          <w:rFonts w:hint="cs"/>
          <w:rtl/>
        </w:rPr>
        <w:t xml:space="preserve"> بل هم جماهير أهل السنة</w:t>
      </w:r>
      <w:r w:rsidR="000636C2">
        <w:rPr>
          <w:rFonts w:hint="cs"/>
          <w:rtl/>
        </w:rPr>
        <w:t>،</w:t>
      </w:r>
      <w:r w:rsidRPr="005675B2">
        <w:rPr>
          <w:rFonts w:hint="cs"/>
          <w:rtl/>
        </w:rPr>
        <w:t xml:space="preserve"> وجماهير العلماء من المسلمين على الاطلاق</w:t>
      </w:r>
      <w:r w:rsidR="000636C2">
        <w:rPr>
          <w:rFonts w:hint="cs"/>
          <w:rtl/>
        </w:rPr>
        <w:t>،</w:t>
      </w:r>
      <w:r w:rsidRPr="005675B2">
        <w:rPr>
          <w:rFonts w:hint="cs"/>
          <w:rtl/>
        </w:rPr>
        <w:t xml:space="preserve"> ونحن هنا لا نريد أن نعدد أسماء كبار العلماء من الأشاعرة أو ممن يوافقونهم في العقائد</w:t>
      </w:r>
      <w:r w:rsidR="000636C2">
        <w:rPr>
          <w:rFonts w:hint="cs"/>
          <w:rtl/>
        </w:rPr>
        <w:t>،</w:t>
      </w:r>
      <w:r w:rsidRPr="005675B2">
        <w:rPr>
          <w:rFonts w:hint="cs"/>
          <w:rtl/>
        </w:rPr>
        <w:t xml:space="preserve"> فإن هذا الأمر أشهر من أن يذكر هنا</w:t>
      </w:r>
      <w:r w:rsidR="000636C2">
        <w:rPr>
          <w:rFonts w:hint="cs"/>
          <w:rtl/>
        </w:rPr>
        <w:t>،</w:t>
      </w:r>
      <w:r w:rsidRPr="005675B2">
        <w:rPr>
          <w:rFonts w:hint="cs"/>
          <w:rtl/>
        </w:rPr>
        <w:t xml:space="preserve"> بل أن أغلب الفحول والعلماء من أهل الإسلام لا يخالفون الأشاعرة الا في بعض المسائل التي ينتمي معظمها إلى فروع الدين لا إلى أصوله</w:t>
      </w:r>
      <w:r w:rsidR="000636C2">
        <w:rPr>
          <w:rFonts w:hint="cs"/>
          <w:rtl/>
        </w:rPr>
        <w:t>،</w:t>
      </w:r>
      <w:r w:rsidRPr="005675B2">
        <w:rPr>
          <w:rFonts w:hint="cs"/>
          <w:rtl/>
        </w:rPr>
        <w:t xml:space="preserve"> وهذا يعلمه من عنده أدنى إنصاف ويقول به</w:t>
      </w:r>
      <w:r w:rsidR="000636C2">
        <w:rPr>
          <w:rFonts w:hint="cs"/>
          <w:rtl/>
        </w:rPr>
        <w:t>،</w:t>
      </w:r>
      <w:r w:rsidRPr="005675B2">
        <w:rPr>
          <w:rFonts w:hint="cs"/>
          <w:rtl/>
        </w:rPr>
        <w:t xml:space="preserve"> واما عند من اصبح الدين كله عنده أصولا</w:t>
      </w:r>
      <w:r w:rsidR="000636C2">
        <w:rPr>
          <w:rFonts w:hint="cs"/>
          <w:rtl/>
        </w:rPr>
        <w:t>،</w:t>
      </w:r>
      <w:r w:rsidRPr="005675B2">
        <w:rPr>
          <w:rFonts w:hint="cs"/>
          <w:rtl/>
        </w:rPr>
        <w:t xml:space="preserve"> حتى سحب هذه الأصولية على ما قال به هو من الأقوال التافهة فإنه لا يدري ما هو المقصود من الأصول والفروع</w:t>
      </w:r>
      <w:r w:rsidR="000636C2">
        <w:rPr>
          <w:rFonts w:hint="cs"/>
          <w:rtl/>
        </w:rPr>
        <w:t>،</w:t>
      </w:r>
      <w:r w:rsidRPr="005675B2">
        <w:rPr>
          <w:rFonts w:hint="cs"/>
          <w:rtl/>
        </w:rPr>
        <w:t xml:space="preserve"> ويكفي لمعرفة ما قلناه الرجوع إلى كتب طبقات العلماء وتراجمهم من المتقدمين والمتأخرين كمثل ما قاله ابن السبكي وابن عساكر وابن حجر والسخاوي والقاضي عياض وطاش كبرى زاده ونجم الدين الغزي وغيرهم كثير</w:t>
      </w:r>
      <w:r w:rsidR="000636C2">
        <w:rPr>
          <w:rFonts w:hint="cs"/>
          <w:rtl/>
        </w:rPr>
        <w:t>،</w:t>
      </w:r>
      <w:r w:rsidRPr="005675B2">
        <w:rPr>
          <w:rFonts w:hint="cs"/>
          <w:rtl/>
        </w:rPr>
        <w:t xml:space="preserve"> أما ما ادعاه من أن أهل الحق رموا السلف بالتجسيم</w:t>
      </w:r>
      <w:r w:rsidR="000636C2">
        <w:rPr>
          <w:rFonts w:hint="cs"/>
          <w:rtl/>
        </w:rPr>
        <w:t>،</w:t>
      </w:r>
      <w:r w:rsidRPr="005675B2">
        <w:rPr>
          <w:rFonts w:hint="cs"/>
          <w:rtl/>
        </w:rPr>
        <w:t xml:space="preserve"> فقوله هذا تلبيس</w:t>
      </w:r>
      <w:r w:rsidR="000636C2">
        <w:rPr>
          <w:rFonts w:hint="cs"/>
          <w:rtl/>
        </w:rPr>
        <w:t>،</w:t>
      </w:r>
      <w:r w:rsidRPr="005675B2">
        <w:rPr>
          <w:rFonts w:hint="cs"/>
          <w:rtl/>
        </w:rPr>
        <w:t xml:space="preserve"> فإن كلمة السلف إذا أطلقت أريد بها أهل القرون الثلاثة من الصحابة والتابعين وتابعيهم</w:t>
      </w:r>
      <w:r w:rsidR="000636C2">
        <w:rPr>
          <w:rFonts w:hint="cs"/>
          <w:rtl/>
        </w:rPr>
        <w:t>،</w:t>
      </w:r>
      <w:r w:rsidRPr="005675B2">
        <w:rPr>
          <w:rFonts w:hint="cs"/>
          <w:rtl/>
        </w:rPr>
        <w:t xml:space="preserve"> فهل يوجد أحد من الأشاعرة أو الماتريدية رمى هؤلاء بالتجسيم</w:t>
      </w:r>
      <w:r w:rsidR="000636C2">
        <w:rPr>
          <w:rFonts w:hint="cs"/>
          <w:rtl/>
        </w:rPr>
        <w:t xml:space="preserve">؟! </w:t>
      </w:r>
      <w:r w:rsidRPr="005675B2">
        <w:rPr>
          <w:rFonts w:hint="cs"/>
          <w:rtl/>
        </w:rPr>
        <w:t>إذا لم يوجد وهو لا يوجد ولن يوجد</w:t>
      </w:r>
      <w:r w:rsidR="000636C2">
        <w:rPr>
          <w:rFonts w:hint="cs"/>
          <w:rtl/>
        </w:rPr>
        <w:t>،</w:t>
      </w:r>
      <w:r w:rsidRPr="005675B2">
        <w:rPr>
          <w:rFonts w:hint="cs"/>
          <w:rtl/>
        </w:rPr>
        <w:t xml:space="preserve"> فكيف أجاز هذا الرجل لنفسه إطلاق مثل هذا القول</w:t>
      </w:r>
      <w:r w:rsidR="000636C2">
        <w:rPr>
          <w:rFonts w:hint="cs"/>
          <w:rtl/>
        </w:rPr>
        <w:t>،</w:t>
      </w:r>
      <w:r w:rsidRPr="005675B2">
        <w:rPr>
          <w:rFonts w:hint="cs"/>
          <w:rtl/>
        </w:rPr>
        <w:t xml:space="preserve"> إلا لأنه متعصب مشتد في غلوِّهِ</w:t>
      </w:r>
      <w:r w:rsidR="000636C2">
        <w:rPr>
          <w:rFonts w:hint="cs"/>
          <w:rtl/>
        </w:rPr>
        <w:t xml:space="preserve">! </w:t>
      </w:r>
      <w:r w:rsidRPr="005675B2">
        <w:rPr>
          <w:rFonts w:hint="cs"/>
          <w:rtl/>
        </w:rPr>
        <w:t>وإذا قصد أنهم قالوا أن طائفة ممن وجد في زمان السلف الصالح هم مجسمة</w:t>
      </w:r>
      <w:r w:rsidR="000636C2">
        <w:rPr>
          <w:rFonts w:hint="cs"/>
          <w:rtl/>
        </w:rPr>
        <w:t>،</w:t>
      </w:r>
      <w:r w:rsidRPr="005675B2">
        <w:rPr>
          <w:rFonts w:hint="cs"/>
          <w:rtl/>
        </w:rPr>
        <w:t xml:space="preserve"> فهذا صحيح</w:t>
      </w:r>
      <w:r w:rsidR="000636C2">
        <w:rPr>
          <w:rFonts w:hint="cs"/>
          <w:rtl/>
        </w:rPr>
        <w:t>،</w:t>
      </w:r>
      <w:r w:rsidRPr="005675B2">
        <w:rPr>
          <w:rFonts w:hint="cs"/>
          <w:rtl/>
        </w:rPr>
        <w:t xml:space="preserve"> وهو لا يقصد هذا المعنى</w:t>
      </w:r>
      <w:r w:rsidR="000636C2">
        <w:rPr>
          <w:rFonts w:hint="cs"/>
          <w:rtl/>
        </w:rPr>
        <w:t>،</w:t>
      </w:r>
      <w:r w:rsidRPr="005675B2">
        <w:rPr>
          <w:rFonts w:hint="cs"/>
          <w:rtl/>
        </w:rPr>
        <w:t xml:space="preserve"> فقد وجد فيهم الخوارج ومن قال بنبوة الامام على ابن أبي طالب كرم الله تعالى وجهه</w:t>
      </w:r>
      <w:r w:rsidR="000636C2">
        <w:rPr>
          <w:rFonts w:hint="cs"/>
          <w:rtl/>
        </w:rPr>
        <w:t>،</w:t>
      </w:r>
      <w:r w:rsidRPr="005675B2">
        <w:rPr>
          <w:rFonts w:hint="cs"/>
        </w:rPr>
        <w:t xml:space="preserve"> </w:t>
      </w:r>
      <w:r w:rsidRPr="005675B2">
        <w:rPr>
          <w:rFonts w:hint="cs"/>
          <w:rtl/>
        </w:rPr>
        <w:t>بل منهم من قال بألوهيته</w:t>
      </w:r>
      <w:r w:rsidR="000636C2">
        <w:rPr>
          <w:rFonts w:hint="cs"/>
          <w:rtl/>
        </w:rPr>
        <w:t>،</w:t>
      </w:r>
      <w:r w:rsidRPr="005675B2">
        <w:rPr>
          <w:rFonts w:hint="cs"/>
          <w:rtl/>
        </w:rPr>
        <w:t xml:space="preserve"> رضي الله عنه</w:t>
      </w:r>
      <w:r w:rsidR="000636C2">
        <w:rPr>
          <w:rFonts w:hint="cs"/>
          <w:rtl/>
        </w:rPr>
        <w:t>،</w:t>
      </w:r>
      <w:r w:rsidRPr="005675B2">
        <w:rPr>
          <w:rFonts w:hint="cs"/>
          <w:rtl/>
        </w:rPr>
        <w:t>ووجد المعتزلة في زمان السلف</w:t>
      </w:r>
      <w:r w:rsidR="000636C2">
        <w:rPr>
          <w:rFonts w:hint="cs"/>
          <w:rtl/>
        </w:rPr>
        <w:t>،</w:t>
      </w:r>
      <w:r w:rsidRPr="005675B2">
        <w:rPr>
          <w:rFonts w:hint="cs"/>
          <w:rtl/>
        </w:rPr>
        <w:t xml:space="preserve"> ولا يستطيع أن ينكر هذا منكر</w:t>
      </w:r>
      <w:r w:rsidR="000636C2">
        <w:rPr>
          <w:rFonts w:hint="cs"/>
          <w:rtl/>
        </w:rPr>
        <w:t>،</w:t>
      </w:r>
      <w:r w:rsidRPr="005675B2">
        <w:rPr>
          <w:rFonts w:hint="cs"/>
          <w:rtl/>
        </w:rPr>
        <w:t xml:space="preserve"> كما وجد الجهمية والجعدية وغيرهم ممن عرفنا عنهم الضلال في زمان السلف الصالح</w:t>
      </w:r>
      <w:r w:rsidR="000636C2">
        <w:rPr>
          <w:rFonts w:hint="cs"/>
          <w:rtl/>
        </w:rPr>
        <w:t>،</w:t>
      </w:r>
      <w:r w:rsidRPr="005675B2">
        <w:rPr>
          <w:rFonts w:hint="cs"/>
          <w:rtl/>
        </w:rPr>
        <w:t xml:space="preserve"> والحق أن الأشاعرة والماتريدية إنما رموا بعض من ادعى التمسك بظواهر النصوص من القرآن والسنة</w:t>
      </w:r>
      <w:r w:rsidR="000636C2">
        <w:rPr>
          <w:rFonts w:hint="cs"/>
          <w:rtl/>
        </w:rPr>
        <w:t>،</w:t>
      </w:r>
      <w:r w:rsidRPr="005675B2">
        <w:rPr>
          <w:rFonts w:hint="cs"/>
          <w:rtl/>
        </w:rPr>
        <w:t xml:space="preserve"> وهو على ما هو عليه من شدة الجهل والمكابرة مع عدم الانصاف</w:t>
      </w:r>
      <w:r w:rsidR="000636C2">
        <w:rPr>
          <w:rFonts w:hint="cs"/>
          <w:rtl/>
        </w:rPr>
        <w:t>،</w:t>
      </w:r>
      <w:r w:rsidRPr="005675B2">
        <w:rPr>
          <w:rFonts w:hint="cs"/>
          <w:rtl/>
        </w:rPr>
        <w:t xml:space="preserve"> رموا هذه الطائفة بالتجسيم</w:t>
      </w:r>
      <w:r w:rsidR="000636C2">
        <w:rPr>
          <w:rFonts w:hint="cs"/>
          <w:rtl/>
        </w:rPr>
        <w:t>،</w:t>
      </w:r>
      <w:r w:rsidRPr="005675B2">
        <w:rPr>
          <w:rFonts w:hint="cs"/>
          <w:rtl/>
        </w:rPr>
        <w:t xml:space="preserve"> وكلامهم صحيح في نسبة هؤلاء إلى التجسيم</w:t>
      </w:r>
      <w:r w:rsidR="000636C2">
        <w:rPr>
          <w:rFonts w:hint="cs"/>
          <w:rtl/>
        </w:rPr>
        <w:t>،</w:t>
      </w:r>
      <w:r w:rsidRPr="005675B2">
        <w:rPr>
          <w:rFonts w:hint="cs"/>
          <w:rtl/>
        </w:rPr>
        <w:t xml:space="preserve"> ويحاول المجسمة في كل زمان ومكان التمسح بنصوص الكتاب والسنة وإلصاق المعاني الباطلة بهما إلصاقاً بلا دليل</w:t>
      </w:r>
      <w:r w:rsidR="000636C2">
        <w:rPr>
          <w:rFonts w:hint="cs"/>
          <w:rtl/>
        </w:rPr>
        <w:t>،</w:t>
      </w:r>
      <w:r w:rsidRPr="005675B2">
        <w:rPr>
          <w:rFonts w:hint="cs"/>
          <w:rtl/>
        </w:rPr>
        <w:t xml:space="preserve"> وإظهار التقوى والورع واللين وحسن الأخلاق</w:t>
      </w:r>
      <w:r w:rsidR="000636C2">
        <w:rPr>
          <w:rFonts w:hint="cs"/>
          <w:rtl/>
        </w:rPr>
        <w:t>،</w:t>
      </w:r>
      <w:r w:rsidRPr="005675B2">
        <w:rPr>
          <w:rFonts w:hint="cs"/>
          <w:rtl/>
        </w:rPr>
        <w:t xml:space="preserve"> وهم عارون عن ذلك كله</w:t>
      </w:r>
      <w:r w:rsidR="000636C2">
        <w:rPr>
          <w:rFonts w:hint="cs"/>
          <w:rtl/>
        </w:rPr>
        <w:t>،</w:t>
      </w:r>
      <w:r w:rsidRPr="005675B2">
        <w:rPr>
          <w:rFonts w:hint="cs"/>
          <w:rtl/>
        </w:rPr>
        <w:t xml:space="preserve"> وأشهر دليل على ذلك ما نراه ممن ينتسب إلى السلفية في زماننا هذا</w:t>
      </w:r>
      <w:r w:rsidR="000636C2">
        <w:rPr>
          <w:rFonts w:hint="cs"/>
          <w:rtl/>
        </w:rPr>
        <w:t>،</w:t>
      </w:r>
      <w:r w:rsidRPr="005675B2">
        <w:rPr>
          <w:rFonts w:hint="cs"/>
          <w:rtl/>
        </w:rPr>
        <w:t xml:space="preserve"> وهم أتباع وفروع الكرامية والمجسمة ممن انتسبوا إلى الإمام أحمد وهو منهم براء</w:t>
      </w:r>
      <w:r w:rsidR="000636C2">
        <w:rPr>
          <w:rFonts w:hint="cs"/>
          <w:rtl/>
        </w:rPr>
        <w:t>،</w:t>
      </w:r>
      <w:r w:rsidRPr="005675B2">
        <w:rPr>
          <w:rFonts w:hint="cs"/>
          <w:rtl/>
        </w:rPr>
        <w:t xml:space="preserve"> والحق أن الأشاعرة والماتريدية هم المدافعون عن عقيدة أهل السنة والجماعة على مر التاريخ والأزمان إلى هذا الزمان</w:t>
      </w:r>
      <w:r w:rsidR="000636C2">
        <w:rPr>
          <w:rFonts w:hint="cs"/>
          <w:rtl/>
        </w:rPr>
        <w:t>،</w:t>
      </w:r>
      <w:r w:rsidRPr="005675B2">
        <w:rPr>
          <w:rFonts w:hint="cs"/>
          <w:rtl/>
        </w:rPr>
        <w:t xml:space="preserve"> ولا يجهل هذا الا من لا اعتبار له أو حاقد متعصب مُغَرَّرٌ به</w:t>
      </w:r>
      <w:r w:rsidR="000636C2">
        <w:rPr>
          <w:rFonts w:hint="cs"/>
          <w:rtl/>
        </w:rPr>
        <w:t>،</w:t>
      </w:r>
      <w:r w:rsidRPr="005675B2">
        <w:rPr>
          <w:rFonts w:hint="cs"/>
          <w:rtl/>
        </w:rPr>
        <w:t xml:space="preserve"> وقد قسم مؤلف هذا الكتاب ما ذكره إلى مباحث ومسائل</w:t>
      </w:r>
      <w:r w:rsidR="000636C2">
        <w:rPr>
          <w:rFonts w:hint="cs"/>
          <w:rtl/>
        </w:rPr>
        <w:t>،</w:t>
      </w:r>
      <w:r w:rsidRPr="005675B2">
        <w:rPr>
          <w:rFonts w:hint="cs"/>
          <w:rtl/>
        </w:rPr>
        <w:t xml:space="preserve"> وسنتابعه وننقده فيه مسألةً مسألةً</w:t>
      </w:r>
      <w:r w:rsidR="000636C2">
        <w:rPr>
          <w:rFonts w:hint="cs"/>
          <w:rtl/>
        </w:rPr>
        <w:t>،</w:t>
      </w:r>
      <w:r w:rsidRPr="005675B2">
        <w:rPr>
          <w:rFonts w:hint="cs"/>
          <w:rtl/>
        </w:rPr>
        <w:t xml:space="preserve"> </w:t>
      </w:r>
    </w:p>
    <w:p w14:paraId="3225BD91" w14:textId="49E64C91" w:rsidR="009C32A0" w:rsidRPr="005675B2" w:rsidRDefault="000636C2" w:rsidP="000636C2">
      <w:pPr>
        <w:rPr>
          <w:b/>
          <w:rtl/>
        </w:rPr>
      </w:pPr>
      <w:r>
        <w:rPr>
          <w:rFonts w:hint="cs"/>
          <w:bCs/>
          <w:rtl/>
        </w:rPr>
        <w:t>[</w:t>
      </w:r>
      <w:r w:rsidR="009C32A0" w:rsidRPr="005675B2">
        <w:rPr>
          <w:rFonts w:hint="cs"/>
          <w:bCs/>
          <w:rtl/>
        </w:rPr>
        <w:t>المبحث الأول</w:t>
      </w:r>
      <w:r>
        <w:rPr>
          <w:rFonts w:hint="cs"/>
          <w:bCs/>
          <w:rtl/>
        </w:rPr>
        <w:t>]</w:t>
      </w:r>
      <w:r>
        <w:rPr>
          <w:rFonts w:hint="cs"/>
          <w:rtl/>
        </w:rPr>
        <w:t>:</w:t>
      </w:r>
      <w:r w:rsidR="009C32A0" w:rsidRPr="005675B2">
        <w:rPr>
          <w:rFonts w:hint="cs"/>
          <w:rtl/>
        </w:rPr>
        <w:t xml:space="preserve"> </w:t>
      </w:r>
      <w:r w:rsidR="009C32A0" w:rsidRPr="005675B2">
        <w:rPr>
          <w:rFonts w:hint="cs"/>
          <w:bCs/>
          <w:rtl/>
        </w:rPr>
        <w:t>أ - مصدر التلقي عند الماتريدية</w:t>
      </w:r>
      <w:r>
        <w:rPr>
          <w:rFonts w:hint="cs"/>
          <w:bCs/>
          <w:rtl/>
        </w:rPr>
        <w:t>:</w:t>
      </w:r>
      <w:r w:rsidR="009C32A0" w:rsidRPr="005675B2">
        <w:rPr>
          <w:rFonts w:hint="cs"/>
          <w:bCs/>
          <w:rtl/>
        </w:rPr>
        <w:t xml:space="preserve"> </w:t>
      </w:r>
      <w:r w:rsidR="009C32A0" w:rsidRPr="005675B2">
        <w:rPr>
          <w:rFonts w:hint="cs"/>
          <w:rtl/>
        </w:rPr>
        <w:t>قال مؤلف الكتاب أن مصدر التلقي الأول في معظم ابواب التوحيد هو العقل دون النقل</w:t>
      </w:r>
      <w:r>
        <w:rPr>
          <w:rFonts w:hint="cs"/>
          <w:rtl/>
        </w:rPr>
        <w:t>،</w:t>
      </w:r>
      <w:r w:rsidR="009C32A0" w:rsidRPr="005675B2">
        <w:rPr>
          <w:rFonts w:hint="cs"/>
          <w:rtl/>
        </w:rPr>
        <w:t xml:space="preserve"> وعلل ذلك بقوله</w:t>
      </w:r>
      <w:r>
        <w:rPr>
          <w:rFonts w:hint="cs"/>
          <w:rtl/>
        </w:rPr>
        <w:t>:</w:t>
      </w:r>
      <w:r w:rsidR="009C32A0" w:rsidRPr="005675B2">
        <w:rPr>
          <w:rFonts w:hint="cs"/>
          <w:rtl/>
        </w:rPr>
        <w:t xml:space="preserve"> لأن الأدلة العقلية عندهم قطعية اما السمعية فإنها هي ظواهر ظنية</w:t>
      </w:r>
      <w:r>
        <w:rPr>
          <w:rFonts w:hint="cs"/>
          <w:rtl/>
        </w:rPr>
        <w:t>،</w:t>
      </w:r>
      <w:r w:rsidR="009C32A0" w:rsidRPr="005675B2">
        <w:rPr>
          <w:rFonts w:hint="cs"/>
          <w:rtl/>
        </w:rPr>
        <w:t xml:space="preserve"> أهـ</w:t>
      </w:r>
      <w:r>
        <w:rPr>
          <w:rFonts w:hint="cs"/>
          <w:rtl/>
        </w:rPr>
        <w:t>،</w:t>
      </w:r>
      <w:r w:rsidR="009C32A0" w:rsidRPr="005675B2">
        <w:rPr>
          <w:rFonts w:hint="cs"/>
          <w:rtl/>
        </w:rPr>
        <w:t xml:space="preserve"> كذا وضح مذهب القوم</w:t>
      </w:r>
      <w:r>
        <w:rPr>
          <w:rFonts w:hint="cs"/>
          <w:rtl/>
        </w:rPr>
        <w:t>،</w:t>
      </w:r>
      <w:r w:rsidR="009C32A0" w:rsidRPr="005675B2">
        <w:rPr>
          <w:rFonts w:hint="cs"/>
          <w:rtl/>
        </w:rPr>
        <w:t xml:space="preserve"> وهذا العرض منه لمذهبهم يدل على معرفته الناقصة الملفقة لما يقولون</w:t>
      </w:r>
      <w:r>
        <w:rPr>
          <w:rFonts w:hint="cs"/>
          <w:rtl/>
        </w:rPr>
        <w:t>،</w:t>
      </w:r>
      <w:r w:rsidR="009C32A0" w:rsidRPr="005675B2">
        <w:rPr>
          <w:rFonts w:hint="cs"/>
          <w:rtl/>
        </w:rPr>
        <w:t xml:space="preserve"> هذا إذا أحسنا فيه الظن</w:t>
      </w:r>
      <w:r>
        <w:rPr>
          <w:rFonts w:hint="cs"/>
          <w:rtl/>
        </w:rPr>
        <w:t>،</w:t>
      </w:r>
      <w:r w:rsidR="009C32A0" w:rsidRPr="005675B2">
        <w:rPr>
          <w:rFonts w:hint="cs"/>
          <w:rtl/>
        </w:rPr>
        <w:t xml:space="preserve"> ولما كثر الكلام في هذه المسألة أي مسألة العقل والنقل وموقف الأشاعرة والماتريدية</w:t>
      </w:r>
      <w:r>
        <w:rPr>
          <w:rFonts w:hint="cs"/>
          <w:rtl/>
        </w:rPr>
        <w:t xml:space="preserve"> </w:t>
      </w:r>
      <w:r w:rsidR="009C32A0" w:rsidRPr="005675B2">
        <w:rPr>
          <w:rFonts w:hint="cs"/>
          <w:rtl/>
        </w:rPr>
        <w:t>- أهل الحق</w:t>
      </w:r>
      <w:r>
        <w:rPr>
          <w:rFonts w:hint="cs"/>
          <w:rtl/>
        </w:rPr>
        <w:t xml:space="preserve"> </w:t>
      </w:r>
      <w:r w:rsidR="009C32A0" w:rsidRPr="005675B2">
        <w:rPr>
          <w:rFonts w:hint="cs"/>
          <w:rtl/>
        </w:rPr>
        <w:t>- منهما</w:t>
      </w:r>
      <w:r>
        <w:rPr>
          <w:rFonts w:hint="cs"/>
          <w:rtl/>
        </w:rPr>
        <w:t>،</w:t>
      </w:r>
      <w:r w:rsidR="009C32A0" w:rsidRPr="005675B2">
        <w:rPr>
          <w:rFonts w:hint="cs"/>
          <w:rtl/>
        </w:rPr>
        <w:t xml:space="preserve"> وصار الكلام فيها مكررا فإننا سنوضحه هنا باختصار كاف منبهين على أصول المعاني</w:t>
      </w:r>
      <w:r>
        <w:rPr>
          <w:rFonts w:hint="cs"/>
          <w:rtl/>
        </w:rPr>
        <w:t>،</w:t>
      </w:r>
      <w:r w:rsidR="009C32A0" w:rsidRPr="005675B2">
        <w:rPr>
          <w:rFonts w:hint="cs"/>
          <w:rtl/>
        </w:rPr>
        <w:t xml:space="preserve"> لا سيما أننا قد فصلنا فيها في أكثر من موضع في ما كتبناه من الردود والكتب في العقائد وأصول الفقه</w:t>
      </w:r>
      <w:r>
        <w:rPr>
          <w:rFonts w:hint="cs"/>
          <w:rtl/>
        </w:rPr>
        <w:t>،</w:t>
      </w:r>
      <w:r w:rsidR="009C32A0" w:rsidRPr="005675B2">
        <w:rPr>
          <w:rFonts w:hint="cs"/>
          <w:rtl/>
        </w:rPr>
        <w:t xml:space="preserve"> وأما هذا المؤلف فإنه اتخذ سبيل التلبيس كعادة أصحابه</w:t>
      </w:r>
      <w:r>
        <w:rPr>
          <w:rFonts w:hint="cs"/>
          <w:rtl/>
        </w:rPr>
        <w:t>،</w:t>
      </w:r>
      <w:r w:rsidR="009C32A0" w:rsidRPr="005675B2">
        <w:rPr>
          <w:rFonts w:hint="cs"/>
          <w:rtl/>
        </w:rPr>
        <w:t xml:space="preserve"> فأطلق القول عليهم بأنهم يقولون أن</w:t>
      </w:r>
      <w:r>
        <w:rPr>
          <w:rFonts w:hint="cs"/>
          <w:rtl/>
        </w:rPr>
        <w:t xml:space="preserve"> </w:t>
      </w:r>
      <w:r w:rsidR="009C32A0" w:rsidRPr="005675B2">
        <w:rPr>
          <w:rFonts w:hint="cs"/>
          <w:rtl/>
        </w:rPr>
        <w:t>العقل هو مصدر التلقي في معظم العقائد</w:t>
      </w:r>
      <w:r>
        <w:rPr>
          <w:rFonts w:hint="cs"/>
          <w:rtl/>
        </w:rPr>
        <w:t>،</w:t>
      </w:r>
      <w:r w:rsidR="009C32A0" w:rsidRPr="005675B2">
        <w:rPr>
          <w:rFonts w:hint="cs"/>
          <w:rtl/>
        </w:rPr>
        <w:t xml:space="preserve"> وظاهر كلامه أنهم يأخذون العقائد من حيث هي دين وشرع وملة من العقل</w:t>
      </w:r>
      <w:r>
        <w:rPr>
          <w:rFonts w:hint="cs"/>
          <w:rtl/>
        </w:rPr>
        <w:t>،</w:t>
      </w:r>
      <w:r w:rsidR="009C32A0" w:rsidRPr="005675B2">
        <w:rPr>
          <w:rFonts w:hint="cs"/>
          <w:rtl/>
        </w:rPr>
        <w:t xml:space="preserve"> ويوجبون ذلك بحيث يترتب العقاب والثواب على ذلك</w:t>
      </w:r>
      <w:r>
        <w:rPr>
          <w:rFonts w:hint="cs"/>
          <w:rtl/>
        </w:rPr>
        <w:t>،</w:t>
      </w:r>
      <w:r w:rsidR="009C32A0" w:rsidRPr="005675B2">
        <w:rPr>
          <w:rFonts w:hint="cs"/>
          <w:rtl/>
        </w:rPr>
        <w:t xml:space="preserve"> وهذا القول باطل كما هو معلوم من نصوصهم في كتبهم المشهورة</w:t>
      </w:r>
      <w:r>
        <w:rPr>
          <w:rFonts w:hint="cs"/>
          <w:rtl/>
        </w:rPr>
        <w:t>،</w:t>
      </w:r>
      <w:r w:rsidR="009C32A0" w:rsidRPr="005675B2">
        <w:rPr>
          <w:rFonts w:hint="cs"/>
          <w:rtl/>
        </w:rPr>
        <w:t xml:space="preserve"> فالذي يقولون به إنما هو أن العقل آلة لمعرفة الوجوب الثابت لله تعالى</w:t>
      </w:r>
      <w:r>
        <w:rPr>
          <w:rFonts w:hint="cs"/>
          <w:rtl/>
        </w:rPr>
        <w:t>،</w:t>
      </w:r>
      <w:r w:rsidR="009C32A0" w:rsidRPr="005675B2">
        <w:rPr>
          <w:rFonts w:hint="cs"/>
          <w:rtl/>
        </w:rPr>
        <w:t xml:space="preserve"> فهو كاشف لا مثبت</w:t>
      </w:r>
      <w:r>
        <w:rPr>
          <w:rFonts w:hint="cs"/>
          <w:rtl/>
        </w:rPr>
        <w:t>،</w:t>
      </w:r>
      <w:r w:rsidR="009C32A0" w:rsidRPr="005675B2">
        <w:rPr>
          <w:rFonts w:hint="cs"/>
          <w:rtl/>
        </w:rPr>
        <w:t xml:space="preserve"> والماتريدية خصصوا الكلام في أن العقل يدرك ثبوت وجوب معرفة الله تعالى خاصة</w:t>
      </w:r>
      <w:r>
        <w:rPr>
          <w:rFonts w:hint="cs"/>
          <w:rtl/>
        </w:rPr>
        <w:t>،</w:t>
      </w:r>
      <w:r w:rsidR="009C32A0" w:rsidRPr="005675B2">
        <w:rPr>
          <w:rFonts w:hint="cs"/>
          <w:rtl/>
        </w:rPr>
        <w:t xml:space="preserve"> ولهذا قال الامام البياضي في إشارات المرام صفحة 75</w:t>
      </w:r>
      <w:r>
        <w:rPr>
          <w:rFonts w:hint="cs"/>
          <w:rtl/>
        </w:rPr>
        <w:t>:</w:t>
      </w:r>
      <w:r w:rsidR="009C32A0" w:rsidRPr="005675B2">
        <w:rPr>
          <w:rFonts w:hint="cs"/>
          <w:rtl/>
        </w:rPr>
        <w:t xml:space="preserve"> " العقل آلة لمعرفة الوجوب الثابت لله تعالى ولمعرفة الحسن اللازم لا موجب كما قالت المعتزلة</w:t>
      </w:r>
      <w:r>
        <w:rPr>
          <w:rFonts w:hint="cs"/>
          <w:rtl/>
        </w:rPr>
        <w:t>،</w:t>
      </w:r>
      <w:r w:rsidR="009C32A0" w:rsidRPr="005675B2">
        <w:rPr>
          <w:rFonts w:hint="cs"/>
          <w:rtl/>
        </w:rPr>
        <w:t xml:space="preserve"> ثم قال</w:t>
      </w:r>
      <w:r>
        <w:rPr>
          <w:rFonts w:hint="cs"/>
          <w:rtl/>
        </w:rPr>
        <w:t>:</w:t>
      </w:r>
      <w:r w:rsidR="009C32A0" w:rsidRPr="005675B2">
        <w:rPr>
          <w:rFonts w:hint="cs"/>
          <w:rtl/>
        </w:rPr>
        <w:t xml:space="preserve"> وهو معتبر وآلة لمعرفة ذلك بدون السمع</w:t>
      </w:r>
      <w:r>
        <w:rPr>
          <w:rFonts w:hint="cs"/>
          <w:rtl/>
        </w:rPr>
        <w:t>،</w:t>
      </w:r>
      <w:r w:rsidR="009C32A0" w:rsidRPr="005675B2">
        <w:rPr>
          <w:rFonts w:hint="cs"/>
          <w:rtl/>
        </w:rPr>
        <w:t xml:space="preserve"> أهـ</w:t>
      </w:r>
      <w:r>
        <w:rPr>
          <w:rFonts w:hint="cs"/>
          <w:rtl/>
        </w:rPr>
        <w:t>،</w:t>
      </w:r>
      <w:r w:rsidR="009C32A0" w:rsidRPr="005675B2">
        <w:rPr>
          <w:rFonts w:hint="cs"/>
          <w:rtl/>
        </w:rPr>
        <w:t xml:space="preserve"> فأين هذا الكلام من كلام هذا الكاتب الذي لا يدري في أي موضوع يتكلم وفي أي بحر يغوص</w:t>
      </w:r>
      <w:r>
        <w:rPr>
          <w:rFonts w:hint="cs"/>
          <w:rtl/>
        </w:rPr>
        <w:t>،</w:t>
      </w:r>
      <w:r w:rsidR="009C32A0" w:rsidRPr="005675B2">
        <w:rPr>
          <w:rFonts w:hint="cs"/>
          <w:rtl/>
        </w:rPr>
        <w:t xml:space="preserve"> وهذا الكاتب يريد أن ينسب إلى الأحناف الماتريدية أنهم يقولون أن العقل هو الذي يملي علينا الدين لا الشرع</w:t>
      </w:r>
      <w:r>
        <w:rPr>
          <w:rFonts w:hint="cs"/>
          <w:rtl/>
        </w:rPr>
        <w:t>،</w:t>
      </w:r>
      <w:r w:rsidR="009C32A0" w:rsidRPr="005675B2">
        <w:rPr>
          <w:rFonts w:hint="cs"/>
          <w:rtl/>
        </w:rPr>
        <w:t xml:space="preserve"> وهذا القول ليس ما يذهبون إليه</w:t>
      </w:r>
      <w:r>
        <w:rPr>
          <w:rFonts w:hint="cs"/>
          <w:rtl/>
        </w:rPr>
        <w:t>،</w:t>
      </w:r>
      <w:r w:rsidR="009C32A0" w:rsidRPr="005675B2">
        <w:rPr>
          <w:rFonts w:hint="cs"/>
          <w:rtl/>
        </w:rPr>
        <w:t xml:space="preserve"> فانتبه لذلك</w:t>
      </w:r>
      <w:r>
        <w:rPr>
          <w:rFonts w:hint="cs"/>
          <w:rtl/>
        </w:rPr>
        <w:t>،</w:t>
      </w:r>
      <w:r w:rsidR="009C32A0" w:rsidRPr="005675B2">
        <w:rPr>
          <w:rFonts w:hint="cs"/>
          <w:rtl/>
        </w:rPr>
        <w:t xml:space="preserve"> وهو يقصد بذلك أن يقدمهم إلى القارئ على أنهم يقدمون العقل على النقل</w:t>
      </w:r>
      <w:r>
        <w:rPr>
          <w:rFonts w:hint="cs"/>
          <w:rtl/>
        </w:rPr>
        <w:t>،</w:t>
      </w:r>
      <w:r w:rsidR="009C32A0" w:rsidRPr="005675B2">
        <w:rPr>
          <w:rFonts w:hint="cs"/>
          <w:rtl/>
        </w:rPr>
        <w:t xml:space="preserve"> ويهملون النقل</w:t>
      </w:r>
      <w:r>
        <w:rPr>
          <w:rFonts w:hint="cs"/>
          <w:rtl/>
        </w:rPr>
        <w:t>،</w:t>
      </w:r>
      <w:r w:rsidR="009C32A0" w:rsidRPr="005675B2">
        <w:rPr>
          <w:rFonts w:hint="cs"/>
          <w:rtl/>
        </w:rPr>
        <w:t xml:space="preserve"> ثم انظر إلى سذاجته في التفكير وفي العرض وإلى تلبيسه عليهم وهو يقول</w:t>
      </w:r>
      <w:r>
        <w:rPr>
          <w:rFonts w:hint="cs"/>
          <w:rtl/>
        </w:rPr>
        <w:t>:</w:t>
      </w:r>
      <w:r w:rsidR="009C32A0" w:rsidRPr="005675B2">
        <w:rPr>
          <w:rFonts w:hint="cs"/>
          <w:rtl/>
        </w:rPr>
        <w:t xml:space="preserve"> إن السبب في القول الذي يقولون به</w:t>
      </w:r>
      <w:r>
        <w:rPr>
          <w:rFonts w:hint="cs"/>
          <w:rtl/>
        </w:rPr>
        <w:t xml:space="preserve"> </w:t>
      </w:r>
      <w:r w:rsidR="009C32A0" w:rsidRPr="005675B2">
        <w:rPr>
          <w:rFonts w:hint="cs"/>
          <w:rtl/>
        </w:rPr>
        <w:t>- على زعمه</w:t>
      </w:r>
      <w:r>
        <w:rPr>
          <w:rFonts w:hint="cs"/>
          <w:rtl/>
        </w:rPr>
        <w:t xml:space="preserve"> </w:t>
      </w:r>
      <w:r w:rsidR="009C32A0" w:rsidRPr="005675B2">
        <w:rPr>
          <w:rFonts w:hint="cs"/>
          <w:rtl/>
        </w:rPr>
        <w:t>- هو أنهم يقولون أن العقل دلائله قطعية أما السمع فدلائله ظنية</w:t>
      </w:r>
      <w:r>
        <w:rPr>
          <w:rFonts w:hint="cs"/>
          <w:rtl/>
        </w:rPr>
        <w:t>،</w:t>
      </w:r>
      <w:r w:rsidR="009C32A0" w:rsidRPr="005675B2">
        <w:rPr>
          <w:rFonts w:hint="cs"/>
          <w:rtl/>
        </w:rPr>
        <w:t xml:space="preserve"> ولا أرى هذا إلا سخافة في تأصيل المسائل وفي بيان حقائق المذاهب</w:t>
      </w:r>
      <w:r>
        <w:rPr>
          <w:rFonts w:hint="cs"/>
          <w:rtl/>
        </w:rPr>
        <w:t>،</w:t>
      </w:r>
      <w:r w:rsidR="009C32A0" w:rsidRPr="005675B2">
        <w:rPr>
          <w:rFonts w:hint="cs"/>
          <w:rtl/>
        </w:rPr>
        <w:t xml:space="preserve"> فلا علاقة أصلا للمسألة الأولى بالثانية</w:t>
      </w:r>
      <w:r>
        <w:rPr>
          <w:rFonts w:hint="cs"/>
          <w:rtl/>
        </w:rPr>
        <w:t>،</w:t>
      </w:r>
      <w:r w:rsidR="009C32A0" w:rsidRPr="005675B2">
        <w:rPr>
          <w:rFonts w:hint="cs"/>
          <w:rtl/>
        </w:rPr>
        <w:t xml:space="preserve"> بل هي مسألة أخرى</w:t>
      </w:r>
      <w:r>
        <w:rPr>
          <w:rFonts w:hint="cs"/>
          <w:rtl/>
        </w:rPr>
        <w:t>،</w:t>
      </w:r>
      <w:r w:rsidR="009C32A0" w:rsidRPr="005675B2">
        <w:rPr>
          <w:rFonts w:hint="cs"/>
          <w:rtl/>
        </w:rPr>
        <w:t xml:space="preserve"> وذلك أن الأخذ بما هو أخذ يتضمن التدين والإذعان والخضوع</w:t>
      </w:r>
      <w:r>
        <w:rPr>
          <w:rFonts w:hint="cs"/>
          <w:rtl/>
        </w:rPr>
        <w:t>،</w:t>
      </w:r>
      <w:r w:rsidR="009C32A0" w:rsidRPr="005675B2">
        <w:rPr>
          <w:rFonts w:hint="cs"/>
          <w:rtl/>
        </w:rPr>
        <w:t xml:space="preserve"> وهذا الأمر لا يتوقف فقط على كون المأخوذ قطعيا</w:t>
      </w:r>
      <w:r>
        <w:rPr>
          <w:rFonts w:hint="cs"/>
          <w:rtl/>
        </w:rPr>
        <w:t>،</w:t>
      </w:r>
      <w:r w:rsidR="009C32A0" w:rsidRPr="005675B2">
        <w:rPr>
          <w:rFonts w:hint="cs"/>
          <w:rtl/>
        </w:rPr>
        <w:t xml:space="preserve"> بل يمكن أن ينبني أيضا على مجرد كونه ظنيا</w:t>
      </w:r>
      <w:r>
        <w:rPr>
          <w:rFonts w:hint="cs"/>
          <w:rtl/>
        </w:rPr>
        <w:t>،</w:t>
      </w:r>
      <w:r w:rsidR="009C32A0" w:rsidRPr="005675B2">
        <w:rPr>
          <w:rFonts w:hint="cs"/>
          <w:rtl/>
        </w:rPr>
        <w:t xml:space="preserve"> والشرط في الأخذ بهذا المعنى هو كون مصدر الأخذ هو الله تعالى أو الرسول عليه السلام</w:t>
      </w:r>
      <w:r>
        <w:rPr>
          <w:rFonts w:hint="cs"/>
          <w:rtl/>
        </w:rPr>
        <w:t>،</w:t>
      </w:r>
      <w:r w:rsidR="009C32A0" w:rsidRPr="005675B2">
        <w:rPr>
          <w:rFonts w:hint="cs"/>
          <w:rtl/>
        </w:rPr>
        <w:t xml:space="preserve"> ولا يهم بعد ذلك كون المأخوذ قطعيا أو ظنيا</w:t>
      </w:r>
      <w:r>
        <w:rPr>
          <w:rFonts w:hint="cs"/>
          <w:rtl/>
        </w:rPr>
        <w:t>،</w:t>
      </w:r>
      <w:r w:rsidR="009C32A0" w:rsidRPr="005675B2">
        <w:rPr>
          <w:rFonts w:hint="cs"/>
          <w:rtl/>
        </w:rPr>
        <w:t xml:space="preserve"> كغالب الأمور التعبدية</w:t>
      </w:r>
      <w:r>
        <w:rPr>
          <w:rFonts w:hint="cs"/>
          <w:rtl/>
        </w:rPr>
        <w:t>،</w:t>
      </w:r>
      <w:r w:rsidR="009C32A0" w:rsidRPr="005675B2">
        <w:rPr>
          <w:rFonts w:hint="cs"/>
          <w:rtl/>
        </w:rPr>
        <w:t xml:space="preserve"> ولكن العقائد اشترط فيها كونها قطعية لما لها من محل كبير في الدين</w:t>
      </w:r>
      <w:r>
        <w:rPr>
          <w:rFonts w:hint="cs"/>
          <w:rtl/>
        </w:rPr>
        <w:t>،</w:t>
      </w:r>
      <w:r w:rsidR="009C32A0" w:rsidRPr="005675B2">
        <w:rPr>
          <w:rFonts w:hint="cs"/>
          <w:rtl/>
        </w:rPr>
        <w:t xml:space="preserve"> ولكونها أصولا يقوم الدين عليها</w:t>
      </w:r>
      <w:r>
        <w:rPr>
          <w:rFonts w:hint="cs"/>
          <w:rtl/>
        </w:rPr>
        <w:t>،</w:t>
      </w:r>
      <w:r w:rsidR="009C32A0" w:rsidRPr="005675B2">
        <w:rPr>
          <w:rFonts w:hint="cs"/>
          <w:rtl/>
        </w:rPr>
        <w:t xml:space="preserve"> وزيادة شرط القطع في العقائد</w:t>
      </w:r>
      <w:r>
        <w:rPr>
          <w:rFonts w:hint="cs"/>
          <w:rtl/>
        </w:rPr>
        <w:t>،</w:t>
      </w:r>
      <w:r w:rsidR="009C32A0" w:rsidRPr="005675B2">
        <w:rPr>
          <w:rFonts w:hint="cs"/>
          <w:rtl/>
        </w:rPr>
        <w:t xml:space="preserve"> لا يستلزم عدم الأخذ من الله تعالى</w:t>
      </w:r>
      <w:r>
        <w:rPr>
          <w:rFonts w:hint="cs"/>
          <w:rtl/>
        </w:rPr>
        <w:t>،</w:t>
      </w:r>
      <w:r w:rsidR="009C32A0" w:rsidRPr="005675B2">
        <w:rPr>
          <w:rFonts w:hint="cs"/>
          <w:rtl/>
        </w:rPr>
        <w:t xml:space="preserve"> لأن القطع يتحقق أيضا في المنقول من الشرائع</w:t>
      </w:r>
      <w:r>
        <w:rPr>
          <w:rFonts w:hint="cs"/>
          <w:rtl/>
        </w:rPr>
        <w:t>،</w:t>
      </w:r>
      <w:r w:rsidR="009C32A0" w:rsidRPr="005675B2">
        <w:rPr>
          <w:rFonts w:hint="cs"/>
          <w:rtl/>
        </w:rPr>
        <w:t xml:space="preserve"> ولكن اشتراط كون المأخوذ منه هو الله أو الرسول لكي يعتبر تدينا</w:t>
      </w:r>
      <w:r>
        <w:rPr>
          <w:rFonts w:hint="cs"/>
          <w:rtl/>
        </w:rPr>
        <w:t>،</w:t>
      </w:r>
      <w:r w:rsidR="009C32A0" w:rsidRPr="005675B2">
        <w:rPr>
          <w:rFonts w:hint="cs"/>
          <w:rtl/>
        </w:rPr>
        <w:t xml:space="preserve"> هو إبطال لاعتبار مجرد العقل في التدين</w:t>
      </w:r>
      <w:r>
        <w:rPr>
          <w:rFonts w:hint="cs"/>
          <w:rtl/>
        </w:rPr>
        <w:t>،</w:t>
      </w:r>
      <w:r w:rsidR="009C32A0" w:rsidRPr="005675B2">
        <w:rPr>
          <w:rFonts w:hint="cs"/>
          <w:rtl/>
        </w:rPr>
        <w:t xml:space="preserve"> كما هو معلوم في أصول الدين</w:t>
      </w:r>
      <w:r>
        <w:rPr>
          <w:rFonts w:hint="cs"/>
          <w:rtl/>
        </w:rPr>
        <w:t>،</w:t>
      </w:r>
      <w:r w:rsidR="009C32A0" w:rsidRPr="005675B2">
        <w:rPr>
          <w:rFonts w:hint="cs"/>
          <w:rtl/>
        </w:rPr>
        <w:t xml:space="preserve"> وهذا هو المعبر عنه عند علماء أهل السنة بأنه لا حكم إلا لله تعالى</w:t>
      </w:r>
      <w:r>
        <w:rPr>
          <w:rFonts w:hint="cs"/>
          <w:rtl/>
        </w:rPr>
        <w:t>،</w:t>
      </w:r>
      <w:r w:rsidR="009C32A0" w:rsidRPr="005675B2">
        <w:rPr>
          <w:rFonts w:hint="cs"/>
          <w:rtl/>
        </w:rPr>
        <w:t xml:space="preserve"> وأنه لا حكم للعقل</w:t>
      </w:r>
      <w:r>
        <w:rPr>
          <w:rFonts w:hint="cs"/>
          <w:rtl/>
        </w:rPr>
        <w:t>،</w:t>
      </w:r>
      <w:r w:rsidR="009C32A0" w:rsidRPr="005675B2">
        <w:rPr>
          <w:rFonts w:hint="cs"/>
          <w:rtl/>
        </w:rPr>
        <w:t xml:space="preserve"> يقصدون بالحكم الحكم الشرعي المأخوذ للتدين</w:t>
      </w:r>
      <w:r>
        <w:rPr>
          <w:rFonts w:hint="cs"/>
          <w:rtl/>
        </w:rPr>
        <w:t>،</w:t>
      </w:r>
      <w:r w:rsidR="009C32A0" w:rsidRPr="005675B2">
        <w:rPr>
          <w:rFonts w:hint="cs"/>
          <w:rtl/>
        </w:rPr>
        <w:t xml:space="preserve"> ثم هل يجهل هذا الكاتب أن المحققين من الأشاعرة والماتريدية قالوا بأن النصوص والنقول الشرعية بعضها يفيد القطع وبعضها يفيد الظن</w:t>
      </w:r>
      <w:r>
        <w:rPr>
          <w:rFonts w:hint="cs"/>
          <w:rtl/>
        </w:rPr>
        <w:t>،</w:t>
      </w:r>
      <w:r w:rsidR="009C32A0" w:rsidRPr="005675B2">
        <w:rPr>
          <w:rFonts w:hint="cs"/>
          <w:rtl/>
        </w:rPr>
        <w:t xml:space="preserve"> وذلك حسب قوة النقل المتفاوت من</w:t>
      </w:r>
      <w:r w:rsidR="009C32A0" w:rsidRPr="005675B2">
        <w:rPr>
          <w:rFonts w:hint="cs"/>
        </w:rPr>
        <w:t xml:space="preserve"> </w:t>
      </w:r>
      <w:r w:rsidR="009C32A0" w:rsidRPr="005675B2">
        <w:rPr>
          <w:rFonts w:hint="cs"/>
          <w:rtl/>
        </w:rPr>
        <w:t>المتواتر إلى الآحاد</w:t>
      </w:r>
      <w:r>
        <w:rPr>
          <w:rFonts w:hint="cs"/>
          <w:rtl/>
        </w:rPr>
        <w:t>،</w:t>
      </w:r>
      <w:r w:rsidR="009C32A0" w:rsidRPr="005675B2">
        <w:rPr>
          <w:rFonts w:hint="cs"/>
          <w:rtl/>
        </w:rPr>
        <w:t xml:space="preserve"> لا أظن أن أحدا يجهل هذا الأمر</w:t>
      </w:r>
      <w:r>
        <w:rPr>
          <w:rFonts w:hint="cs"/>
          <w:rtl/>
        </w:rPr>
        <w:t>،</w:t>
      </w:r>
      <w:r w:rsidR="009C32A0" w:rsidRPr="005675B2">
        <w:rPr>
          <w:rFonts w:hint="cs"/>
          <w:rtl/>
        </w:rPr>
        <w:t xml:space="preserve"> لأنه من الوضوح بمنزلة الشمس</w:t>
      </w:r>
      <w:r>
        <w:rPr>
          <w:rFonts w:hint="cs"/>
          <w:rtl/>
        </w:rPr>
        <w:t>،</w:t>
      </w:r>
      <w:r w:rsidR="009C32A0" w:rsidRPr="005675B2">
        <w:rPr>
          <w:rFonts w:hint="cs"/>
          <w:rtl/>
        </w:rPr>
        <w:t xml:space="preserve"> ولكن هو الزيغ عن طريق الرشاد والحق</w:t>
      </w:r>
      <w:r>
        <w:rPr>
          <w:rFonts w:hint="cs"/>
          <w:rtl/>
        </w:rPr>
        <w:t>،</w:t>
      </w:r>
      <w:r w:rsidR="009C32A0" w:rsidRPr="005675B2">
        <w:rPr>
          <w:rFonts w:hint="cs"/>
          <w:rtl/>
        </w:rPr>
        <w:t xml:space="preserve"> وهو التلبيس على عامة الناس الذي يوجه كتابه هذا اليهم</w:t>
      </w:r>
      <w:r>
        <w:rPr>
          <w:rFonts w:hint="cs"/>
          <w:rtl/>
        </w:rPr>
        <w:t>،</w:t>
      </w:r>
      <w:r w:rsidR="009C32A0" w:rsidRPr="005675B2">
        <w:rPr>
          <w:rFonts w:hint="cs"/>
          <w:rtl/>
        </w:rPr>
        <w:t xml:space="preserve"> وقد قرر أهل السنة من الأشاعرة والماتريدية قبل أن يأتي مشايخ هذا الكاتب المفتون</w:t>
      </w:r>
      <w:r>
        <w:rPr>
          <w:rFonts w:hint="cs"/>
          <w:rtl/>
        </w:rPr>
        <w:t>،</w:t>
      </w:r>
      <w:r w:rsidR="009C32A0" w:rsidRPr="005675B2">
        <w:rPr>
          <w:rFonts w:hint="cs"/>
          <w:rtl/>
        </w:rPr>
        <w:t xml:space="preserve"> أن النقل الصحيح الثابت المعنى لا يمكن أن يتعارض مع البراهين العقلية</w:t>
      </w:r>
      <w:r>
        <w:rPr>
          <w:rFonts w:hint="cs"/>
          <w:rtl/>
        </w:rPr>
        <w:t>،</w:t>
      </w:r>
      <w:r w:rsidR="009C32A0" w:rsidRPr="005675B2">
        <w:rPr>
          <w:rFonts w:hint="cs"/>
          <w:rtl/>
        </w:rPr>
        <w:t xml:space="preserve"> ثم إنه لم يقل أحد منهم أن الأدلة العقلية كلها قطعية</w:t>
      </w:r>
      <w:r>
        <w:rPr>
          <w:rFonts w:hint="cs"/>
          <w:rtl/>
        </w:rPr>
        <w:t>،</w:t>
      </w:r>
      <w:r w:rsidR="009C32A0" w:rsidRPr="005675B2">
        <w:rPr>
          <w:rFonts w:hint="cs"/>
          <w:rtl/>
        </w:rPr>
        <w:t xml:space="preserve"> ولذلك اهتموا بترتيب مراتب الحجج وبيان القوي منها والضعيف سواء في كتب المنطق أو في كتب علم أصول الفقه وعلم التوحيد</w:t>
      </w:r>
      <w:r>
        <w:rPr>
          <w:rFonts w:hint="cs"/>
          <w:rtl/>
        </w:rPr>
        <w:t>،</w:t>
      </w:r>
      <w:r w:rsidR="009C32A0" w:rsidRPr="005675B2">
        <w:rPr>
          <w:rFonts w:hint="cs"/>
          <w:rtl/>
        </w:rPr>
        <w:t xml:space="preserve"> وأما القاعدة التي يكثر هؤلاء المجسمة في هذا العصر من الكلام عليها وهي ما يُطلق عليه اسم</w:t>
      </w:r>
      <w:r>
        <w:rPr>
          <w:rFonts w:hint="cs"/>
          <w:rtl/>
        </w:rPr>
        <w:t xml:space="preserve"> (</w:t>
      </w:r>
      <w:r w:rsidR="009C32A0" w:rsidRPr="005675B2">
        <w:rPr>
          <w:rFonts w:hint="cs"/>
          <w:rtl/>
        </w:rPr>
        <w:t>القانون الكلي</w:t>
      </w:r>
      <w:r>
        <w:rPr>
          <w:rFonts w:hint="cs"/>
          <w:rtl/>
        </w:rPr>
        <w:t>)</w:t>
      </w:r>
      <w:r w:rsidR="009C32A0" w:rsidRPr="005675B2">
        <w:rPr>
          <w:rFonts w:hint="cs"/>
          <w:rtl/>
        </w:rPr>
        <w:t xml:space="preserve"> فقد تكلمت عليه في غير موضع ووضحت معناه بحيث لا يخفى على أحد</w:t>
      </w:r>
      <w:r>
        <w:rPr>
          <w:rFonts w:hint="cs"/>
          <w:vertAlign w:val="superscript"/>
          <w:rtl/>
        </w:rPr>
        <w:t>،</w:t>
      </w:r>
      <w:r w:rsidR="009C32A0" w:rsidRPr="005675B2">
        <w:rPr>
          <w:rFonts w:hint="cs"/>
          <w:rtl/>
        </w:rPr>
        <w:t xml:space="preserve"> [</w:t>
      </w:r>
      <w:r>
        <w:rPr>
          <w:rFonts w:hint="cs"/>
          <w:rtl/>
        </w:rPr>
        <w:t>[</w:t>
      </w:r>
      <w:r w:rsidR="009C32A0" w:rsidRPr="005675B2">
        <w:rPr>
          <w:rFonts w:hint="cs"/>
          <w:rtl/>
        </w:rPr>
        <w:t>أنقل هنا بعض ما قلته في ردي على كتاب "العقلانيون أفراخ المعتزلة العصريون"</w:t>
      </w:r>
      <w:r>
        <w:rPr>
          <w:rFonts w:hint="cs"/>
          <w:rtl/>
        </w:rPr>
        <w:t>:</w:t>
      </w:r>
      <w:r w:rsidR="009C32A0" w:rsidRPr="005675B2">
        <w:rPr>
          <w:rFonts w:hint="cs"/>
          <w:rtl/>
        </w:rPr>
        <w:t xml:space="preserve"> مؤلفه هو </w:t>
      </w:r>
      <w:r>
        <w:rPr>
          <w:rFonts w:hint="cs"/>
          <w:rtl/>
        </w:rPr>
        <w:t>(</w:t>
      </w:r>
      <w:r w:rsidR="009C32A0" w:rsidRPr="005675B2">
        <w:rPr>
          <w:rFonts w:hint="cs"/>
          <w:rtl/>
        </w:rPr>
        <w:t>علي الحلبي</w:t>
      </w:r>
      <w:r>
        <w:rPr>
          <w:rFonts w:hint="cs"/>
          <w:rtl/>
        </w:rPr>
        <w:t>)</w:t>
      </w:r>
      <w:r w:rsidR="009C32A0" w:rsidRPr="005675B2">
        <w:rPr>
          <w:rFonts w:hint="cs"/>
          <w:rtl/>
        </w:rPr>
        <w:t xml:space="preserve"> أحد الدعاة إلى ما يسمونه بمذهب السلف وهو في الحقيقة خليط من مذهب المجسمة والظاهرية ممتزجا هذا كله بمصالح دنيوية</w:t>
      </w:r>
      <w:r>
        <w:rPr>
          <w:rFonts w:hint="cs"/>
          <w:rtl/>
        </w:rPr>
        <w:t>:</w:t>
      </w:r>
      <w:r w:rsidR="009C32A0" w:rsidRPr="005675B2">
        <w:rPr>
          <w:rFonts w:hint="cs"/>
          <w:rtl/>
        </w:rPr>
        <w:t xml:space="preserve"> لما خلق الله تعالى الإنسان، وهب له وسائل للعلم، وجعله مكلفا بناءا على وجود هذه الوسائل كما ذكر بالنص البين الذي لا يمكن تأويله</w:t>
      </w:r>
      <w:r>
        <w:rPr>
          <w:rFonts w:hint="cs"/>
          <w:rtl/>
        </w:rPr>
        <w:t>(</w:t>
      </w:r>
      <w:r w:rsidR="009C32A0" w:rsidRPr="005675B2">
        <w:rPr>
          <w:rFonts w:hint="cs"/>
          <w:rtl/>
        </w:rPr>
        <w:t>والله أخرجكم من بطون أمهاتكم لا تعلمون شيئا وجعل لكم السمع والأبصار والأفئدة لعلكم تشكرون</w:t>
      </w:r>
      <w:r>
        <w:rPr>
          <w:rFonts w:hint="cs"/>
          <w:rtl/>
        </w:rPr>
        <w:t>)</w:t>
      </w:r>
      <w:r w:rsidR="009C32A0" w:rsidRPr="005675B2">
        <w:rPr>
          <w:rFonts w:hint="cs"/>
          <w:rtl/>
        </w:rPr>
        <w:t>، فانظر رحمك الله كيف جعل الشكر مترتبا على وجود وسائل المعرفة المذكورة، وهي السمع والأبصار والأفئدة</w:t>
      </w:r>
      <w:r>
        <w:rPr>
          <w:rFonts w:hint="cs"/>
          <w:rtl/>
        </w:rPr>
        <w:t>،</w:t>
      </w:r>
      <w:r w:rsidR="009C32A0" w:rsidRPr="005675B2">
        <w:rPr>
          <w:rFonts w:hint="cs"/>
          <w:rtl/>
        </w:rPr>
        <w:t xml:space="preserve"> وقد أمرَنا الله تعالى أن لا نتبع شيئا إلا إذا وصَلَنا عن طريق من هذه الطرق وذلك في قوله تعالى</w:t>
      </w:r>
      <w:r>
        <w:rPr>
          <w:rFonts w:hint="cs"/>
          <w:rtl/>
        </w:rPr>
        <w:t>:</w:t>
      </w:r>
      <w:r w:rsidR="009C32A0" w:rsidRPr="005675B2">
        <w:rPr>
          <w:rFonts w:hint="cs"/>
          <w:rtl/>
        </w:rPr>
        <w:t xml:space="preserve"> </w:t>
      </w:r>
      <w:r>
        <w:rPr>
          <w:rFonts w:hint="cs"/>
          <w:rtl/>
        </w:rPr>
        <w:t>{</w:t>
      </w:r>
      <w:r w:rsidR="009C32A0" w:rsidRPr="005675B2">
        <w:rPr>
          <w:rFonts w:hint="cs"/>
          <w:rtl/>
        </w:rPr>
        <w:t>ولا تقف ما ليس لك به علم، إن السمع والبصر والفؤاد كل أولئك كان عنه مسئولا</w:t>
      </w:r>
      <w:r>
        <w:rPr>
          <w:rFonts w:hint="cs"/>
          <w:rtl/>
        </w:rPr>
        <w:t>}،</w:t>
      </w:r>
      <w:r w:rsidR="009C32A0" w:rsidRPr="005675B2">
        <w:rPr>
          <w:rFonts w:hint="cs"/>
          <w:rtl/>
        </w:rPr>
        <w:t xml:space="preserve"> وفي هذا مدح لكل وسيلة من هذه الوسائل من حيث كونها طريقا إلى العلم</w:t>
      </w:r>
      <w:r>
        <w:rPr>
          <w:rFonts w:hint="cs"/>
          <w:rtl/>
        </w:rPr>
        <w:t>،</w:t>
      </w:r>
      <w:r w:rsidR="009C32A0" w:rsidRPr="005675B2">
        <w:rPr>
          <w:rFonts w:hint="cs"/>
          <w:rtl/>
        </w:rPr>
        <w:t xml:space="preserve"> وقد ذم الله تعالى الكفار لأنهم يتبعون مطلق الظن والعائد إلى الشهوة النفسية، وشنع عليهم بأنهم لا يملكونعلما</w:t>
      </w:r>
      <w:r>
        <w:rPr>
          <w:rFonts w:hint="cs"/>
          <w:rtl/>
        </w:rPr>
        <w:t>،</w:t>
      </w:r>
      <w:r w:rsidR="009C32A0" w:rsidRPr="005675B2">
        <w:rPr>
          <w:rFonts w:hint="cs"/>
          <w:rtl/>
        </w:rPr>
        <w:t xml:space="preserve"> وفي هذا لفت للنظر إلى وجوب استخدام هذه الوسائل، لأنها طرق العلم</w:t>
      </w:r>
      <w:r>
        <w:rPr>
          <w:rFonts w:hint="cs"/>
          <w:rtl/>
        </w:rPr>
        <w:t>،</w:t>
      </w:r>
      <w:r w:rsidR="009C32A0" w:rsidRPr="005675B2">
        <w:rPr>
          <w:rFonts w:hint="cs"/>
          <w:rtl/>
        </w:rPr>
        <w:t xml:space="preserve"> فالله تعالى هو الذي نصب هذه الوسائل طرقا للمعرفة والعلوم، وقد مدح الله أقواما لأنهم لا يعقلون، وهذا إشارة إلى مدح مطلق العقل، وأنه لا يوجد شيء اسمه عقل مذموم إلا على سبيل المجاز، إذ كيف يكون عقلا ومذموما، فهذا يناظر أن يقال</w:t>
      </w:r>
      <w:r>
        <w:rPr>
          <w:rFonts w:hint="cs"/>
          <w:rtl/>
        </w:rPr>
        <w:t>:</w:t>
      </w:r>
      <w:r w:rsidR="009C32A0" w:rsidRPr="005675B2">
        <w:rPr>
          <w:rFonts w:hint="cs"/>
          <w:rtl/>
        </w:rPr>
        <w:t>علم غلط، وهو جمع بين الضدين أو حتى بين النقيضين</w:t>
      </w:r>
      <w:r>
        <w:rPr>
          <w:rFonts w:hint="cs"/>
          <w:rtl/>
        </w:rPr>
        <w:t>،</w:t>
      </w:r>
      <w:r w:rsidR="009C32A0" w:rsidRPr="005675B2">
        <w:rPr>
          <w:rFonts w:hint="cs"/>
          <w:rtl/>
        </w:rPr>
        <w:t xml:space="preserve"> فالعقل ممدوح مطلقا، لأن الله تعالى مدحه مطلقا ومدح المتصف بالعقل، ولم يرد في نصٍّ ذمٌّ للعقل، ولا يجوز شرعا ذمه</w:t>
      </w:r>
      <w:r>
        <w:rPr>
          <w:rFonts w:hint="cs"/>
          <w:rtl/>
        </w:rPr>
        <w:t>،</w:t>
      </w:r>
      <w:r w:rsidR="009C32A0" w:rsidRPr="005675B2">
        <w:rPr>
          <w:rFonts w:hint="cs"/>
          <w:rtl/>
        </w:rPr>
        <w:t xml:space="preserve"> ولا خلاف بين العلماء أن العقل إن لم يكن هو نفسه هذه الوسائل الثلاثة أو واحدا منها، فلا بد أن يكون لا زما عنها، وما كان لازما للحق فهو حق، ويستحيل وجود لازم للحق وهو باطل</w:t>
      </w:r>
      <w:r>
        <w:rPr>
          <w:rFonts w:hint="cs"/>
          <w:rtl/>
        </w:rPr>
        <w:t>،</w:t>
      </w:r>
      <w:r w:rsidR="009C32A0" w:rsidRPr="005675B2">
        <w:rPr>
          <w:rFonts w:hint="cs"/>
          <w:rtl/>
        </w:rPr>
        <w:t xml:space="preserve"> ولما أرشدنا الله تعالى إلى وسائل المعرفة عطفها على بعض بالواو التي تفيد مطلق الجمع وما هذا إلا إشارة إلى أنه لا تعارض بين أي واحد من هذه الثلاثة، ولا يجوز وجود تعارض، ومع عدم وجود التعارض يستحيل وجود ترجيح، لأنه فرع التعارض</w:t>
      </w:r>
      <w:r>
        <w:rPr>
          <w:rFonts w:hint="cs"/>
          <w:rtl/>
        </w:rPr>
        <w:t>،</w:t>
      </w:r>
      <w:r w:rsidR="009C32A0" w:rsidRPr="005675B2">
        <w:rPr>
          <w:rFonts w:hint="cs"/>
          <w:rtl/>
        </w:rPr>
        <w:t xml:space="preserve"> وعلى هذا يكون من رجح أمرا على أمر منها مخالفا لنص القرآن</w:t>
      </w:r>
      <w:r>
        <w:rPr>
          <w:rFonts w:hint="cs"/>
          <w:rtl/>
        </w:rPr>
        <w:t>،</w:t>
      </w:r>
      <w:r w:rsidR="009C32A0" w:rsidRPr="005675B2">
        <w:rPr>
          <w:rFonts w:hint="cs"/>
          <w:rtl/>
        </w:rPr>
        <w:t xml:space="preserve"> وهذا الكلام لا يجوز أن يخالف فيه إلا من لا يحصِّلُ معانيه</w:t>
      </w:r>
      <w:r>
        <w:rPr>
          <w:rFonts w:hint="cs"/>
          <w:rtl/>
        </w:rPr>
        <w:t>،</w:t>
      </w:r>
      <w:r w:rsidR="009C32A0" w:rsidRPr="005675B2">
        <w:rPr>
          <w:rFonts w:hint="cs"/>
          <w:rtl/>
        </w:rPr>
        <w:t xml:space="preserve"> فهذه مقدمة مهمة جدا في بيان الأصل الذي تقوم عليه هذه المسألة</w:t>
      </w:r>
      <w:r>
        <w:rPr>
          <w:rFonts w:hint="cs"/>
          <w:rtl/>
        </w:rPr>
        <w:t>،</w:t>
      </w:r>
      <w:r w:rsidR="009C32A0" w:rsidRPr="005675B2">
        <w:rPr>
          <w:rFonts w:hint="cs"/>
          <w:rtl/>
        </w:rPr>
        <w:t xml:space="preserve"> ومعلوم لدى كل إنسان عاقل أنه يحكم على بعض الأمور أحيانا على سبيل الجزم وأحيانا على سبيل الظن، فتبين التفرقة الضرورية بين منزلة الظن والقطع</w:t>
      </w:r>
      <w:r>
        <w:rPr>
          <w:rFonts w:hint="cs"/>
          <w:rtl/>
        </w:rPr>
        <w:t>،</w:t>
      </w:r>
      <w:r w:rsidR="009C32A0" w:rsidRPr="005675B2">
        <w:rPr>
          <w:rFonts w:hint="cs"/>
          <w:rtl/>
        </w:rPr>
        <w:t xml:space="preserve"> ومعلوم لدى كل عاقل أيضا أن للألفاظ مراتب في دلالتها وهذا الأمر اتفق عليه علماء الدين، فبعض الألفاظ لا تحتمل إلا معنى واحدا في دلالتها، وبعضها تحتمل أكثر من معنى مع رجحان في واحد أو بدونه، وهذا أيضا معلوم، فلا يشترط في اللفظ أن يدل على معنى واحد فقط</w:t>
      </w:r>
      <w:r>
        <w:rPr>
          <w:rFonts w:hint="cs"/>
          <w:rtl/>
        </w:rPr>
        <w:t>،</w:t>
      </w:r>
      <w:r w:rsidR="009C32A0" w:rsidRPr="005675B2">
        <w:rPr>
          <w:rFonts w:hint="cs"/>
          <w:rtl/>
        </w:rPr>
        <w:t xml:space="preserve"> وقد مضى بيان أن العلم يمكن أن يأتي عن طريق السمع، ويمكن أن يأتي عن طريق الفؤاد، ولا يمكن تعارض العلوم مهما كانت وسائلها</w:t>
      </w:r>
      <w:r>
        <w:rPr>
          <w:rFonts w:hint="cs"/>
          <w:rtl/>
        </w:rPr>
        <w:t>،</w:t>
      </w:r>
      <w:r w:rsidR="009C32A0" w:rsidRPr="005675B2">
        <w:rPr>
          <w:rFonts w:hint="cs"/>
          <w:rtl/>
        </w:rPr>
        <w:t xml:space="preserve"> وحيثما وقع تعارض فلا بد من وجود غلط في نسبة أحد المعنيين أو كليهما إلى وسائل المعرفة</w:t>
      </w:r>
      <w:r>
        <w:rPr>
          <w:rFonts w:hint="cs"/>
          <w:rtl/>
        </w:rPr>
        <w:t>،</w:t>
      </w:r>
      <w:r w:rsidR="009C32A0" w:rsidRPr="005675B2">
        <w:rPr>
          <w:rFonts w:hint="cs"/>
          <w:rtl/>
        </w:rPr>
        <w:t xml:space="preserve"> وحيثما وقع التعارض فيجب ترجيح العلم والقطع على غيره، بغض النظر عن مصدر أي منهما</w:t>
      </w:r>
      <w:r>
        <w:rPr>
          <w:rFonts w:hint="cs"/>
          <w:rtl/>
        </w:rPr>
        <w:t>،</w:t>
      </w:r>
      <w:r w:rsidR="009C32A0" w:rsidRPr="005675B2">
        <w:rPr>
          <w:rFonts w:hint="cs"/>
          <w:rtl/>
        </w:rPr>
        <w:t xml:space="preserve"> وأما إن كان المتعارضان طنيين فينظر في القرائن والغلبة</w:t>
      </w:r>
      <w:r>
        <w:rPr>
          <w:rFonts w:hint="cs"/>
          <w:rtl/>
        </w:rPr>
        <w:t>،</w:t>
      </w:r>
      <w:r w:rsidR="009C32A0" w:rsidRPr="005675B2">
        <w:rPr>
          <w:rFonts w:hint="cs"/>
          <w:rtl/>
        </w:rPr>
        <w:t xml:space="preserve"> والمرتبة التي يدون عليها الكلام في القانون الكلي الذي ذكره العلماء، هي تعارض القطعيات مع الظنيات مطلقا، ما هو الذي يرجح عند ذاك، الإجماع قائم على تقديم القطع مهما كان مصدره</w:t>
      </w:r>
      <w:r>
        <w:rPr>
          <w:rFonts w:hint="cs"/>
          <w:rtl/>
        </w:rPr>
        <w:t>،</w:t>
      </w:r>
      <w:r w:rsidR="009C32A0" w:rsidRPr="005675B2">
        <w:rPr>
          <w:rFonts w:hint="cs"/>
          <w:rtl/>
        </w:rPr>
        <w:t xml:space="preserve"> هذه هي المسألة بوضوح واختصار، وهذا هو المعنى الذي يذكره الإمام الرازي في القانون المعلوم، فهو يفرض فرضا عقليا تعارض قواطع عقلية مع ظواهر نقلية شرعية أي محتملة، فالواجب</w:t>
      </w:r>
      <w:r>
        <w:rPr>
          <w:rFonts w:hint="cs"/>
          <w:rtl/>
        </w:rPr>
        <w:t>،</w:t>
      </w:r>
      <w:r w:rsidR="009C32A0" w:rsidRPr="005675B2">
        <w:rPr>
          <w:rFonts w:hint="cs"/>
          <w:rtl/>
        </w:rPr>
        <w:t xml:space="preserve"> حتما ترجيح القطعي، لا لكونه عقليا بل لكونه قطعيا، وحينئذ للنقلي احتمالان إما أن يكون باطلا من حيث السند، أو يكون المعنى المتوهم أنه ظاهر منه، ليس كذلك، بل يكون المعنى المراد به معنى آخر بدلالة قرائن أخرى، غفل عنها الناظر لأول وهلة، وهذه الدلائل بها يظهر معنى آخر</w:t>
      </w:r>
      <w:r>
        <w:rPr>
          <w:rFonts w:hint="cs"/>
          <w:rtl/>
        </w:rPr>
        <w:t>،</w:t>
      </w:r>
      <w:r w:rsidR="009C32A0" w:rsidRPr="005675B2">
        <w:rPr>
          <w:rFonts w:hint="cs"/>
          <w:rtl/>
        </w:rPr>
        <w:t xml:space="preserve"> هذا هو القانون الكلي الذي أقام المجسمة وأتباعهم</w:t>
      </w:r>
      <w:r>
        <w:rPr>
          <w:rFonts w:hint="cs"/>
          <w:rtl/>
        </w:rPr>
        <w:t xml:space="preserve"> </w:t>
      </w:r>
      <w:r w:rsidR="009C32A0" w:rsidRPr="005675B2">
        <w:rPr>
          <w:rFonts w:hint="cs"/>
          <w:rtl/>
        </w:rPr>
        <w:t>الدنيا وأقعدوها أو لم يقعدوها</w:t>
      </w:r>
      <w:r>
        <w:rPr>
          <w:rFonts w:hint="cs"/>
          <w:rtl/>
        </w:rPr>
        <w:t>،</w:t>
      </w:r>
      <w:r w:rsidR="009C32A0" w:rsidRPr="005675B2">
        <w:rPr>
          <w:rFonts w:hint="cs"/>
          <w:rtl/>
        </w:rPr>
        <w:t xml:space="preserve"> وهذا الفعل منهم يبين كم هي نفوسهم ضحلة، ولا يعيشون إلا في ضباب</w:t>
      </w:r>
      <w:r>
        <w:rPr>
          <w:rFonts w:hint="cs"/>
          <w:rtl/>
        </w:rPr>
        <w:t>،</w:t>
      </w:r>
      <w:r w:rsidR="009C32A0" w:rsidRPr="005675B2">
        <w:rPr>
          <w:rFonts w:hint="cs"/>
          <w:rtl/>
        </w:rPr>
        <w:t xml:space="preserve"> وقد تكلم الإمام الرازي في كتبه على احتمال واحد من الاحتمالات العديدة فقال مثلا في كتاب أساس التقديس ص172</w:t>
      </w:r>
      <w:r>
        <w:rPr>
          <w:rFonts w:hint="cs"/>
          <w:rtl/>
        </w:rPr>
        <w:t>:</w:t>
      </w:r>
      <w:r w:rsidR="009C32A0" w:rsidRPr="005675B2">
        <w:rPr>
          <w:rFonts w:hint="cs"/>
          <w:rtl/>
        </w:rPr>
        <w:t xml:space="preserve"> " الفصل الثاني والثلاثون في أن البراهين العقلية إذا صارت معارضة بالظواهر النقلية فكيف يكون الحال فيها " أهـ</w:t>
      </w:r>
      <w:r>
        <w:rPr>
          <w:rFonts w:hint="cs"/>
          <w:rtl/>
        </w:rPr>
        <w:t>،</w:t>
      </w:r>
      <w:r w:rsidR="009C32A0" w:rsidRPr="005675B2">
        <w:rPr>
          <w:rFonts w:hint="cs"/>
          <w:rtl/>
        </w:rPr>
        <w:t xml:space="preserve"> والقانون الذي ذكره مبني على هذا الاحتمال، وهذا احتمال ممكن، وكونه ممكنا يدرك بمجرد فهم معنى الظاهر ومعنى البرهان كما أشرنا، فالظاهر لفظ محتمل مع رجحانه إذا أخذ منفردا في معنى، وأما البرهان فهو لا يستعمل إلا في القطعي من الأدلة، فصار كما لو كانت المسألة</w:t>
      </w:r>
      <w:r>
        <w:rPr>
          <w:rFonts w:hint="cs"/>
          <w:rtl/>
        </w:rPr>
        <w:t>:</w:t>
      </w:r>
      <w:r w:rsidR="009C32A0" w:rsidRPr="005675B2">
        <w:rPr>
          <w:rFonts w:hint="cs"/>
          <w:rtl/>
        </w:rPr>
        <w:t xml:space="preserve"> لو تعارض قطعي وظني فكيف يكون الحال فيها، فالذي يقول إننا نقدم الظني على القطعي فهو مخطئ كما لا يخفى</w:t>
      </w:r>
      <w:r>
        <w:rPr>
          <w:rFonts w:hint="cs"/>
          <w:rtl/>
        </w:rPr>
        <w:t>،</w:t>
      </w:r>
      <w:r w:rsidR="009C32A0" w:rsidRPr="005675B2">
        <w:rPr>
          <w:rFonts w:hint="cs"/>
          <w:rtl/>
        </w:rPr>
        <w:t xml:space="preserve"> المسألة هكذا، بهذا البداهة، وبهذا الوضوح، إلا عند المتلاعبين من المجسمة</w:t>
      </w:r>
      <w:r>
        <w:rPr>
          <w:rFonts w:hint="cs"/>
          <w:rtl/>
        </w:rPr>
        <w:t>،</w:t>
      </w:r>
      <w:r w:rsidR="009C32A0" w:rsidRPr="005675B2">
        <w:rPr>
          <w:rFonts w:hint="cs"/>
          <w:rtl/>
        </w:rPr>
        <w:t xml:space="preserve"> وقد قلتُ في تعليقاتي على كتاب درء التعارض لابن تيمية زعيم هؤلاء المجسمة ذوي الأصول الكرامية الدارمية، كلاما هو خلاصة هذه المسألة نذكره هنا لما فيه من فائدة</w:t>
      </w:r>
      <w:r>
        <w:rPr>
          <w:rFonts w:hint="cs"/>
          <w:rtl/>
        </w:rPr>
        <w:t>:</w:t>
      </w:r>
      <w:r w:rsidR="009C32A0" w:rsidRPr="005675B2">
        <w:rPr>
          <w:rFonts w:hint="cs"/>
          <w:rtl/>
        </w:rPr>
        <w:t xml:space="preserve"> والحاصل من كلام الرازي أن العقل القطعي والنقل القطعي لا يتعارضان قطعا، ولا يمكن تصور ثبوت التعارض، وكل دليل عقلي إما أن يكون دليلا برهانيا أي قطعيا أو غير قطعي أي ظنيا، وكذا الدليل النقلي إما أن يكون قطعيا ونقصد هنا القطعية في الدلالة والثبوت معا أو ظنيا في أحدهما أو كليهما، فالتعارض غير متصور بين العقلي والنقلي القطعي ومتصور في غير هذا، فإذا وقع تعارض فالمقدم هو القطعي مطلقا سواء كان النقلي أم العقلي، فوجه الترجيح والتقديم ليس هو كون الدليل عقليا أو نقليا بل كونه قطعيا أو لا، وإذا تعارض ظنيان كان المقدم هو الأقوى</w:t>
      </w:r>
      <w:r>
        <w:rPr>
          <w:rFonts w:hint="cs"/>
          <w:rtl/>
        </w:rPr>
        <w:t>،</w:t>
      </w:r>
      <w:r w:rsidR="009C32A0" w:rsidRPr="005675B2">
        <w:rPr>
          <w:rFonts w:hint="cs"/>
          <w:rtl/>
        </w:rPr>
        <w:t xml:space="preserve"> هذا هو خلاصة معنى كلام الرازي كما هو ظاهر، وقد خصص الكلام على حالة واحدة هي إذا كان التعارض واقعا بين قطعي عقلي وظني نقلي، فالصحيح إنه يجب تقديم القطعي العقلي أيضا، وعدم تسليم ما ينسب إلى النص النقلي أي عدم التسليم بأن المعنى الفلاني هو الظاهر، بل هو غير ظاهر لأنه قام الدليل على استحالة كونه مقصودا، أو يقال بالتفويض</w:t>
      </w:r>
      <w:r>
        <w:rPr>
          <w:rFonts w:hint="cs"/>
          <w:rtl/>
        </w:rPr>
        <w:t>،</w:t>
      </w:r>
      <w:r w:rsidR="009C32A0" w:rsidRPr="005675B2">
        <w:rPr>
          <w:rFonts w:hint="cs"/>
          <w:rtl/>
        </w:rPr>
        <w:t xml:space="preserve"> أما ابن تيمية، فليس كلامه هنا في نقض هذا الكلام مجردا أن إنه لا يقصد منه الوصول إلى نظرية في المعرفة شاملة وعامة، بل كل مراده هو الدفاع عن عقيدته التي يعتقدها</w:t>
      </w:r>
      <w:r>
        <w:rPr>
          <w:rFonts w:hint="cs"/>
          <w:rtl/>
        </w:rPr>
        <w:t>،</w:t>
      </w:r>
      <w:r w:rsidR="009C32A0" w:rsidRPr="005675B2">
        <w:rPr>
          <w:rFonts w:hint="cs"/>
          <w:rtl/>
        </w:rPr>
        <w:t xml:space="preserve"> وهي التي أوضحناها فيما تقدم من كتابتنا هذه، وهي القول بالحيز والجهة والأعضاء وغير ذلك من التجسيم، فهو يحاول في كتابه هذا أن يصور أن الرازي ومن يشايعه وهم أهل السنة يردون النقلَ بالعقلِ، حتى لو كانت عقولهم ضعيفة والنصوص صريحة، وهذا تشنيع منه عليهم لا يستند إلى دليل كما سنرى أثناء تتبعنا لكلامه من كتابه هذا</w:t>
      </w:r>
      <w:r>
        <w:rPr>
          <w:rFonts w:hint="cs"/>
          <w:rtl/>
        </w:rPr>
        <w:t>،</w:t>
      </w:r>
      <w:r w:rsidR="009C32A0" w:rsidRPr="005675B2">
        <w:rPr>
          <w:rFonts w:hint="cs"/>
          <w:rtl/>
        </w:rPr>
        <w:t xml:space="preserve"> وكل من يقرأ بداية كتابه -أي درء التعارض - يقع في نفسه لجهالته أن هؤلاء العلماء فعلا يقدمون العقل على النقل، فيشرع بالتشنيع عليهم والتشيُّع لابن تيمية وغيره من أتباعه، وهو لا يعرف حقيقة الإشكال</w:t>
      </w:r>
      <w:r>
        <w:rPr>
          <w:rFonts w:hint="cs"/>
          <w:rtl/>
        </w:rPr>
        <w:t>]</w:t>
      </w:r>
      <w:r w:rsidR="009C32A0" w:rsidRPr="005675B2">
        <w:rPr>
          <w:rFonts w:hint="cs"/>
          <w:rtl/>
        </w:rPr>
        <w:t>]</w:t>
      </w:r>
      <w:r>
        <w:rPr>
          <w:rFonts w:hint="cs"/>
          <w:rtl/>
        </w:rPr>
        <w:t>،</w:t>
      </w:r>
      <w:r w:rsidR="009C32A0" w:rsidRPr="005675B2">
        <w:rPr>
          <w:rFonts w:hint="cs"/>
          <w:rtl/>
        </w:rPr>
        <w:t xml:space="preserve"> وهذا الكاتب الساذج قد اعترض على القانون الذي ذكره أهل السنة</w:t>
      </w:r>
      <w:r>
        <w:rPr>
          <w:rFonts w:hint="cs"/>
          <w:rtl/>
        </w:rPr>
        <w:t>،</w:t>
      </w:r>
      <w:r w:rsidR="009C32A0" w:rsidRPr="005675B2">
        <w:rPr>
          <w:rFonts w:hint="cs"/>
          <w:rtl/>
        </w:rPr>
        <w:t xml:space="preserve"> ثم أعاده بمعناه في آخر كلامه</w:t>
      </w:r>
      <w:r>
        <w:rPr>
          <w:rFonts w:hint="cs"/>
          <w:rtl/>
        </w:rPr>
        <w:t>،</w:t>
      </w:r>
      <w:r w:rsidR="009C32A0" w:rsidRPr="005675B2">
        <w:rPr>
          <w:rFonts w:hint="cs"/>
          <w:rtl/>
        </w:rPr>
        <w:t xml:space="preserve"> تماما كما فعل زميله الآخر سفر الحوالي في كتابه المتهافت الذي أشرنا اليه في أول الكلام</w:t>
      </w:r>
      <w:r>
        <w:rPr>
          <w:rFonts w:hint="cs"/>
          <w:rtl/>
        </w:rPr>
        <w:t>،</w:t>
      </w:r>
      <w:r w:rsidR="009C32A0" w:rsidRPr="005675B2">
        <w:rPr>
          <w:rFonts w:hint="cs"/>
          <w:rtl/>
        </w:rPr>
        <w:t xml:space="preserve"> </w:t>
      </w:r>
    </w:p>
    <w:p w14:paraId="6CE63BB7" w14:textId="614DE685" w:rsidR="009C32A0" w:rsidRPr="005675B2" w:rsidRDefault="009C32A0" w:rsidP="000636C2">
      <w:pPr>
        <w:rPr>
          <w:b/>
          <w:rtl/>
        </w:rPr>
      </w:pPr>
      <w:r w:rsidRPr="005675B2">
        <w:rPr>
          <w:rFonts w:hint="cs"/>
          <w:bCs/>
          <w:rtl/>
        </w:rPr>
        <w:t>ب - حكم تأويل النقل</w:t>
      </w:r>
      <w:r w:rsidR="000636C2">
        <w:rPr>
          <w:rFonts w:hint="cs"/>
          <w:rtl/>
        </w:rPr>
        <w:t>:</w:t>
      </w:r>
      <w:r w:rsidRPr="005675B2">
        <w:rPr>
          <w:rFonts w:hint="cs"/>
          <w:rtl/>
        </w:rPr>
        <w:t xml:space="preserve"> أما مسألة التأويل</w:t>
      </w:r>
      <w:r w:rsidR="000636C2">
        <w:rPr>
          <w:rFonts w:hint="cs"/>
          <w:rtl/>
        </w:rPr>
        <w:t>،</w:t>
      </w:r>
      <w:r w:rsidRPr="005675B2">
        <w:rPr>
          <w:rFonts w:hint="cs"/>
          <w:rtl/>
        </w:rPr>
        <w:t xml:space="preserve"> فهي أظهر من أن تحتاج إلى توضيح</w:t>
      </w:r>
      <w:r w:rsidR="000636C2">
        <w:rPr>
          <w:rFonts w:hint="cs"/>
          <w:rtl/>
        </w:rPr>
        <w:t>،</w:t>
      </w:r>
      <w:r w:rsidRPr="005675B2">
        <w:rPr>
          <w:rFonts w:hint="cs"/>
          <w:rtl/>
        </w:rPr>
        <w:t xml:space="preserve"> ونحن لا نتكلم مع هذا المدعي فيها هنا بعد أن تكلم عليها فحول العلماء من المتقدمين والمتأخرين</w:t>
      </w:r>
      <w:r w:rsidR="000636C2">
        <w:rPr>
          <w:rFonts w:hint="cs"/>
          <w:rtl/>
        </w:rPr>
        <w:t>،</w:t>
      </w:r>
      <w:r w:rsidRPr="005675B2">
        <w:rPr>
          <w:rFonts w:hint="cs"/>
          <w:rtl/>
        </w:rPr>
        <w:t xml:space="preserve"> وأجازوا التأويل بشروطه المذكورة في كتبهم</w:t>
      </w:r>
      <w:r w:rsidR="000636C2">
        <w:rPr>
          <w:rFonts w:hint="cs"/>
          <w:rtl/>
        </w:rPr>
        <w:t>،</w:t>
      </w:r>
      <w:r w:rsidRPr="005675B2">
        <w:rPr>
          <w:rFonts w:hint="cs"/>
          <w:rtl/>
        </w:rPr>
        <w:t xml:space="preserve"> والتحقيق في الدافع الذي يدفع هذا الكاتب وأمثاله إلى الكلام في هذه المسألة</w:t>
      </w:r>
      <w:r w:rsidR="000636C2">
        <w:rPr>
          <w:rFonts w:hint="cs"/>
          <w:rtl/>
        </w:rPr>
        <w:t>،</w:t>
      </w:r>
      <w:r w:rsidRPr="005675B2">
        <w:rPr>
          <w:rFonts w:hint="cs"/>
          <w:rtl/>
        </w:rPr>
        <w:t xml:space="preserve"> هو كما يلي</w:t>
      </w:r>
      <w:r w:rsidR="000636C2">
        <w:rPr>
          <w:rFonts w:hint="cs"/>
          <w:rtl/>
        </w:rPr>
        <w:t>:</w:t>
      </w:r>
      <w:r w:rsidRPr="005675B2">
        <w:rPr>
          <w:rFonts w:hint="cs"/>
          <w:rtl/>
        </w:rPr>
        <w:t xml:space="preserve"> ان هؤلاء عبارة عن بقايا فرق المجسمة والكرامية</w:t>
      </w:r>
      <w:r w:rsidR="000636C2">
        <w:rPr>
          <w:rFonts w:hint="cs"/>
          <w:rtl/>
        </w:rPr>
        <w:t>،</w:t>
      </w:r>
      <w:r w:rsidRPr="005675B2">
        <w:rPr>
          <w:rFonts w:hint="cs"/>
          <w:rtl/>
        </w:rPr>
        <w:t xml:space="preserve"> وإحياء لهم في هذا الزمان</w:t>
      </w:r>
      <w:r w:rsidR="000636C2">
        <w:rPr>
          <w:rFonts w:hint="cs"/>
          <w:rtl/>
        </w:rPr>
        <w:t>،</w:t>
      </w:r>
      <w:r w:rsidRPr="005675B2">
        <w:rPr>
          <w:rFonts w:hint="cs"/>
          <w:rtl/>
        </w:rPr>
        <w:t xml:space="preserve"> وهم لا يهتمون من علم التوحيد بأكثر من نسبة الحد والجهة والمكان والأعضاء وغير ذلك إلى الله تعالى</w:t>
      </w:r>
      <w:r w:rsidR="000636C2">
        <w:rPr>
          <w:rFonts w:hint="cs"/>
          <w:rtl/>
        </w:rPr>
        <w:t>،</w:t>
      </w:r>
      <w:r w:rsidRPr="005675B2">
        <w:rPr>
          <w:rFonts w:hint="cs"/>
          <w:rtl/>
        </w:rPr>
        <w:t xml:space="preserve"> ولما كانوا لا يملكون من العقول والنفوس الصافية المخلصة ما يؤهلهم للدفاع عن قولهم بأدلة معتبرة</w:t>
      </w:r>
      <w:r w:rsidR="000636C2">
        <w:rPr>
          <w:rFonts w:hint="cs"/>
          <w:rtl/>
        </w:rPr>
        <w:t>،</w:t>
      </w:r>
      <w:r w:rsidRPr="005675B2">
        <w:rPr>
          <w:rFonts w:hint="cs"/>
          <w:rtl/>
        </w:rPr>
        <w:t xml:space="preserve"> لجأوا إلى القدح في كل وسيلة يستخدمها جماهير المسلمين مثل النظر العقلي وأساليب اللغة المختلفة وغير ذلك</w:t>
      </w:r>
      <w:r w:rsidR="000636C2">
        <w:rPr>
          <w:rFonts w:hint="cs"/>
          <w:rtl/>
        </w:rPr>
        <w:t>،</w:t>
      </w:r>
      <w:r w:rsidRPr="005675B2">
        <w:rPr>
          <w:rFonts w:hint="cs"/>
          <w:rtl/>
        </w:rPr>
        <w:t xml:space="preserve"> ومن هذه الأساليب التأويل الذي هو فرع في إثبات المجاز والاستعارة والكناية وغيرها من أساليب اللغة العربية الأصيلة في البيان</w:t>
      </w:r>
      <w:r w:rsidR="000636C2">
        <w:rPr>
          <w:rFonts w:hint="cs"/>
          <w:rtl/>
        </w:rPr>
        <w:t>،</w:t>
      </w:r>
      <w:r w:rsidRPr="005675B2">
        <w:rPr>
          <w:rFonts w:hint="cs"/>
          <w:rtl/>
        </w:rPr>
        <w:t xml:space="preserve"> قدحوا في هذا كله ليتمكنوا بعد ذلك من أن يثبتوا ما يريدون إثباته مما يتوهمون أنه ظواهر نصوص شرعية</w:t>
      </w:r>
      <w:r w:rsidR="000636C2">
        <w:rPr>
          <w:rFonts w:hint="cs"/>
          <w:rtl/>
        </w:rPr>
        <w:t>،</w:t>
      </w:r>
      <w:r w:rsidRPr="005675B2">
        <w:rPr>
          <w:rFonts w:hint="cs"/>
          <w:rtl/>
        </w:rPr>
        <w:t xml:space="preserve"> والسلف لم يثبتوا كيفيةً أصلا ويفوضوا العلم بها إلى الله تعالى</w:t>
      </w:r>
      <w:r w:rsidR="000636C2">
        <w:rPr>
          <w:rFonts w:hint="cs"/>
          <w:rtl/>
        </w:rPr>
        <w:t>،</w:t>
      </w:r>
      <w:r w:rsidRPr="005675B2">
        <w:rPr>
          <w:rFonts w:hint="cs"/>
          <w:rtl/>
        </w:rPr>
        <w:t>بل لم يتكلموا أصلا في هذه المسألة</w:t>
      </w:r>
      <w:r w:rsidR="000636C2">
        <w:rPr>
          <w:rFonts w:hint="cs"/>
          <w:rtl/>
        </w:rPr>
        <w:t>،</w:t>
      </w:r>
      <w:r w:rsidRPr="005675B2">
        <w:rPr>
          <w:rFonts w:hint="cs"/>
          <w:rtl/>
        </w:rPr>
        <w:t xml:space="preserve"> لأنهم أمرُّوا النصوص لوضوحها كما جاءت</w:t>
      </w:r>
      <w:r w:rsidR="000636C2">
        <w:rPr>
          <w:rFonts w:hint="cs"/>
          <w:rtl/>
        </w:rPr>
        <w:t>،</w:t>
      </w:r>
      <w:r w:rsidRPr="005675B2">
        <w:rPr>
          <w:rFonts w:hint="cs"/>
          <w:rtl/>
        </w:rPr>
        <w:t xml:space="preserve"> وهذا هو مذهب التفويض الذي قدح فيه هذا الكاتب بعد أن صوَّره تصويرا باطلا</w:t>
      </w:r>
      <w:r w:rsidR="000636C2">
        <w:rPr>
          <w:rFonts w:hint="cs"/>
          <w:rtl/>
        </w:rPr>
        <w:t>،</w:t>
      </w:r>
      <w:r w:rsidRPr="005675B2">
        <w:rPr>
          <w:rFonts w:hint="cs"/>
          <w:rtl/>
        </w:rPr>
        <w:t xml:space="preserve"> فقال إنهم يمرون بناءا على التفويض على النصوص التي فيها الخلاف كآية الاستواء وآية اليدين وغيرهما كما يمرون على الحروف المقطعة</w:t>
      </w:r>
      <w:r w:rsidR="000636C2">
        <w:rPr>
          <w:rFonts w:hint="cs"/>
          <w:rtl/>
        </w:rPr>
        <w:t>،</w:t>
      </w:r>
      <w:r w:rsidRPr="005675B2">
        <w:rPr>
          <w:rFonts w:hint="cs"/>
          <w:rtl/>
        </w:rPr>
        <w:t xml:space="preserve"> وشتان بين هذا القول وبين ما يعتقده أهل السنة من مذهب التفويض حيث أجمعوا كلهم على أن التفويض إنما هو تأويل إجمالي والتأويل تفصيلي</w:t>
      </w:r>
      <w:r w:rsidR="000636C2">
        <w:rPr>
          <w:rFonts w:hint="cs"/>
          <w:rtl/>
        </w:rPr>
        <w:t>،</w:t>
      </w:r>
      <w:r w:rsidRPr="005675B2">
        <w:rPr>
          <w:rFonts w:hint="cs"/>
          <w:rtl/>
        </w:rPr>
        <w:t xml:space="preserve"> وهؤلاء الذين ينتمون إلى السلف في هذا العصر يُقَوِّلونهم ما لا يقولون</w:t>
      </w:r>
      <w:r w:rsidR="000636C2">
        <w:rPr>
          <w:rFonts w:hint="cs"/>
          <w:rtl/>
        </w:rPr>
        <w:t>،</w:t>
      </w:r>
      <w:r w:rsidRPr="005675B2">
        <w:rPr>
          <w:rFonts w:hint="cs"/>
          <w:rtl/>
        </w:rPr>
        <w:t xml:space="preserve"> وينسبون اليهم الفاسد من الآراء والمعانى</w:t>
      </w:r>
      <w:r w:rsidR="000636C2">
        <w:rPr>
          <w:rFonts w:hint="cs"/>
          <w:rtl/>
        </w:rPr>
        <w:t>،</w:t>
      </w:r>
      <w:r w:rsidRPr="005675B2">
        <w:rPr>
          <w:rFonts w:hint="cs"/>
          <w:rtl/>
        </w:rPr>
        <w:t xml:space="preserve"> لا لشىء إلا لأن أوهامهم صورت لهم أن هذا هو الحق والمذهب الصحيح وهو في الحقيقة قول فاسد مبتدع لا دليل لهم عليه قائم بذاته إن هى إلا أقاويلهم وادعاءاتهم وتهويلاتهم</w:t>
      </w:r>
      <w:r w:rsidR="000636C2">
        <w:rPr>
          <w:rFonts w:hint="cs"/>
          <w:rtl/>
        </w:rPr>
        <w:t>،</w:t>
      </w:r>
      <w:r w:rsidRPr="005675B2">
        <w:rPr>
          <w:rFonts w:hint="cs"/>
          <w:rtl/>
        </w:rPr>
        <w:t xml:space="preserve"> السلف لم يقولوا أن الاستواء معناه الجلوس والاستقرار</w:t>
      </w:r>
      <w:r w:rsidR="000636C2">
        <w:rPr>
          <w:rFonts w:hint="cs"/>
          <w:rtl/>
        </w:rPr>
        <w:t>،</w:t>
      </w:r>
      <w:r w:rsidRPr="005675B2">
        <w:rPr>
          <w:rFonts w:hint="cs"/>
          <w:rtl/>
        </w:rPr>
        <w:t xml:space="preserve"> ولم يقولوا أن الله في مكان أو جهة وله حد من جميع الجهات وهو يتحرك بالانتقال من حيز إلى حيز؛ وأنه تقوم به الحوادث والتغيرات وأن خلقه يؤثرون به وأنه ينفعل منهم وبهم</w:t>
      </w:r>
      <w:r w:rsidR="000636C2">
        <w:rPr>
          <w:rFonts w:hint="cs"/>
          <w:rtl/>
        </w:rPr>
        <w:t>،</w:t>
      </w:r>
      <w:r w:rsidRPr="005675B2">
        <w:rPr>
          <w:rFonts w:hint="cs"/>
          <w:rtl/>
        </w:rPr>
        <w:t xml:space="preserve"> الى غير ذلك من الترهات</w:t>
      </w:r>
      <w:r w:rsidR="000636C2">
        <w:rPr>
          <w:rFonts w:hint="cs"/>
          <w:rtl/>
        </w:rPr>
        <w:t>،</w:t>
      </w:r>
      <w:r w:rsidRPr="005675B2">
        <w:rPr>
          <w:rFonts w:hint="cs"/>
          <w:rtl/>
        </w:rPr>
        <w:t xml:space="preserve"> وأما عقائد أهل السنة أهل الحق فهى معروفة معلومة عند كل من له عقل</w:t>
      </w:r>
      <w:r w:rsidR="000636C2">
        <w:rPr>
          <w:rFonts w:hint="cs"/>
          <w:rtl/>
        </w:rPr>
        <w:t>،</w:t>
      </w:r>
      <w:r w:rsidRPr="005675B2">
        <w:rPr>
          <w:rFonts w:hint="cs"/>
          <w:rtl/>
        </w:rPr>
        <w:t xml:space="preserve"> </w:t>
      </w:r>
    </w:p>
    <w:p w14:paraId="578DC5BA" w14:textId="6DB029D4" w:rsidR="009C32A0" w:rsidRPr="005675B2" w:rsidRDefault="009C32A0" w:rsidP="000636C2">
      <w:pPr>
        <w:rPr>
          <w:b/>
          <w:rtl/>
        </w:rPr>
      </w:pPr>
      <w:r w:rsidRPr="005675B2">
        <w:rPr>
          <w:rFonts w:hint="cs"/>
          <w:bCs/>
          <w:rtl/>
        </w:rPr>
        <w:t>ج - علم الكلام</w:t>
      </w:r>
      <w:r w:rsidR="000636C2">
        <w:rPr>
          <w:rFonts w:hint="cs"/>
          <w:bCs/>
          <w:rtl/>
        </w:rPr>
        <w:t>،</w:t>
      </w:r>
      <w:r w:rsidRPr="005675B2">
        <w:rPr>
          <w:rFonts w:hint="cs"/>
          <w:bCs/>
          <w:rtl/>
        </w:rPr>
        <w:t xml:space="preserve"> الموقف منه</w:t>
      </w:r>
      <w:r w:rsidR="000636C2">
        <w:rPr>
          <w:rFonts w:hint="cs"/>
          <w:bCs/>
          <w:rtl/>
        </w:rPr>
        <w:t>:</w:t>
      </w:r>
      <w:r w:rsidRPr="005675B2">
        <w:rPr>
          <w:rFonts w:hint="cs"/>
          <w:bCs/>
          <w:rtl/>
        </w:rPr>
        <w:t xml:space="preserve"> </w:t>
      </w:r>
      <w:r w:rsidRPr="005675B2">
        <w:rPr>
          <w:rFonts w:hint="cs"/>
          <w:rtl/>
        </w:rPr>
        <w:t>الموقف من علم الكلام</w:t>
      </w:r>
      <w:r w:rsidR="000636C2">
        <w:rPr>
          <w:rFonts w:hint="cs"/>
          <w:rtl/>
        </w:rPr>
        <w:t>،</w:t>
      </w:r>
      <w:r w:rsidRPr="005675B2">
        <w:rPr>
          <w:rFonts w:hint="cs"/>
          <w:rtl/>
        </w:rPr>
        <w:t xml:space="preserve"> هذا الموقف الذى ينسبونه إلى السلف وهو موقف الرد التام والتبديع والتفسيق</w:t>
      </w:r>
      <w:r w:rsidR="000636C2">
        <w:rPr>
          <w:rFonts w:hint="cs"/>
          <w:rtl/>
        </w:rPr>
        <w:t>،</w:t>
      </w:r>
      <w:r w:rsidRPr="005675B2">
        <w:rPr>
          <w:rFonts w:hint="cs"/>
          <w:rtl/>
        </w:rPr>
        <w:t xml:space="preserve"> بل التكفير في كثير من الأوقات</w:t>
      </w:r>
      <w:r w:rsidR="000636C2">
        <w:rPr>
          <w:rFonts w:hint="cs"/>
          <w:rtl/>
        </w:rPr>
        <w:t>،</w:t>
      </w:r>
      <w:r w:rsidRPr="005675B2">
        <w:rPr>
          <w:rFonts w:hint="cs"/>
          <w:rtl/>
        </w:rPr>
        <w:t xml:space="preserve"> هذا الموقف هو ضحكة المتقدمين والمتأخرين</w:t>
      </w:r>
      <w:r w:rsidR="000636C2">
        <w:rPr>
          <w:rFonts w:hint="cs"/>
          <w:rtl/>
        </w:rPr>
        <w:t>،</w:t>
      </w:r>
      <w:r w:rsidRPr="005675B2">
        <w:rPr>
          <w:rFonts w:hint="cs"/>
          <w:rtl/>
        </w:rPr>
        <w:t xml:space="preserve"> وهو السوط الذى يرهبون به كل من يقترب من علم الكلام</w:t>
      </w:r>
      <w:r w:rsidR="000636C2">
        <w:rPr>
          <w:rFonts w:hint="cs"/>
          <w:rtl/>
        </w:rPr>
        <w:t>،</w:t>
      </w:r>
      <w:r w:rsidRPr="005675B2">
        <w:rPr>
          <w:rFonts w:hint="cs"/>
          <w:rtl/>
        </w:rPr>
        <w:t xml:space="preserve"> والحقيقة أن فحول العلماء من أهل الإسلام</w:t>
      </w:r>
      <w:r w:rsidR="000636C2">
        <w:rPr>
          <w:rFonts w:hint="cs"/>
          <w:rtl/>
        </w:rPr>
        <w:t>،</w:t>
      </w:r>
      <w:r w:rsidRPr="005675B2">
        <w:rPr>
          <w:rFonts w:hint="cs"/>
          <w:rtl/>
        </w:rPr>
        <w:t xml:space="preserve"> لا أقول الأشاعرة والماتريدية</w:t>
      </w:r>
      <w:r w:rsidR="000636C2">
        <w:rPr>
          <w:rFonts w:hint="cs"/>
          <w:rtl/>
        </w:rPr>
        <w:t>،</w:t>
      </w:r>
      <w:r w:rsidRPr="005675B2">
        <w:rPr>
          <w:rFonts w:hint="cs"/>
          <w:rtl/>
        </w:rPr>
        <w:t xml:space="preserve"> بل جميع من انتمى إلى الإسلام</w:t>
      </w:r>
      <w:r w:rsidR="000636C2">
        <w:rPr>
          <w:rFonts w:hint="cs"/>
          <w:rtl/>
        </w:rPr>
        <w:t>،</w:t>
      </w:r>
      <w:r w:rsidRPr="005675B2">
        <w:rPr>
          <w:rFonts w:hint="cs"/>
          <w:rtl/>
        </w:rPr>
        <w:t xml:space="preserve"> تمسك بهذا العلم واتبع مناهجه</w:t>
      </w:r>
      <w:r w:rsidR="000636C2">
        <w:rPr>
          <w:rFonts w:hint="cs"/>
          <w:rtl/>
        </w:rPr>
        <w:t>،</w:t>
      </w:r>
      <w:r w:rsidRPr="005675B2">
        <w:rPr>
          <w:rFonts w:hint="cs"/>
          <w:rtl/>
        </w:rPr>
        <w:t xml:space="preserve"> وكل فرقة وطائفة لها إبداعاتها فيه</w:t>
      </w:r>
      <w:r w:rsidR="000636C2">
        <w:rPr>
          <w:rFonts w:hint="cs"/>
          <w:rtl/>
        </w:rPr>
        <w:t>،</w:t>
      </w:r>
      <w:r w:rsidRPr="005675B2">
        <w:rPr>
          <w:rFonts w:hint="cs"/>
          <w:rtl/>
        </w:rPr>
        <w:t xml:space="preserve"> وأهل السنة</w:t>
      </w:r>
      <w:r w:rsidR="000636C2">
        <w:rPr>
          <w:rFonts w:hint="cs"/>
          <w:rtl/>
        </w:rPr>
        <w:t xml:space="preserve"> </w:t>
      </w:r>
      <w:r w:rsidRPr="005675B2">
        <w:rPr>
          <w:rFonts w:hint="cs"/>
          <w:rtl/>
        </w:rPr>
        <w:t>- الأشاعرة والماتريدية</w:t>
      </w:r>
      <w:r w:rsidR="000636C2">
        <w:rPr>
          <w:rFonts w:hint="cs"/>
          <w:rtl/>
        </w:rPr>
        <w:t xml:space="preserve"> </w:t>
      </w:r>
      <w:r w:rsidRPr="005675B2">
        <w:rPr>
          <w:rFonts w:hint="cs"/>
          <w:rtl/>
        </w:rPr>
        <w:t>- هم باعتراف الجميع وصلوا إلى أعلى الدرجات التحقيقية فيه</w:t>
      </w:r>
      <w:r w:rsidR="000636C2">
        <w:rPr>
          <w:rFonts w:hint="cs"/>
          <w:rtl/>
        </w:rPr>
        <w:t>،</w:t>
      </w:r>
      <w:r w:rsidRPr="005675B2">
        <w:rPr>
          <w:rFonts w:hint="cs"/>
          <w:rtl/>
        </w:rPr>
        <w:t xml:space="preserve"> وهذا العلم</w:t>
      </w:r>
      <w:r w:rsidR="000636C2">
        <w:rPr>
          <w:rFonts w:hint="cs"/>
          <w:rtl/>
        </w:rPr>
        <w:t>،</w:t>
      </w:r>
      <w:r w:rsidRPr="005675B2">
        <w:rPr>
          <w:rFonts w:hint="cs"/>
          <w:rtl/>
        </w:rPr>
        <w:t xml:space="preserve"> لا يخلو إما أن يكون حقا أو باطلا</w:t>
      </w:r>
      <w:r w:rsidR="000636C2">
        <w:rPr>
          <w:rFonts w:hint="cs"/>
          <w:rtl/>
        </w:rPr>
        <w:t>،</w:t>
      </w:r>
      <w:r w:rsidRPr="005675B2">
        <w:rPr>
          <w:rFonts w:hint="cs"/>
          <w:rtl/>
        </w:rPr>
        <w:t xml:space="preserve"> فإن كان باطلا</w:t>
      </w:r>
      <w:r w:rsidR="000636C2">
        <w:rPr>
          <w:rFonts w:hint="cs"/>
          <w:rtl/>
        </w:rPr>
        <w:t>،</w:t>
      </w:r>
      <w:r w:rsidRPr="005675B2">
        <w:rPr>
          <w:rFonts w:hint="cs"/>
          <w:rtl/>
        </w:rPr>
        <w:t xml:space="preserve"> فلنقل أن جماهير علماء المسلمين تمسكوا بالباطل وهذا مستحيل وإلا فهو حق في ذاته</w:t>
      </w:r>
      <w:r w:rsidR="000636C2">
        <w:rPr>
          <w:rFonts w:hint="cs"/>
          <w:rtl/>
        </w:rPr>
        <w:t>،</w:t>
      </w:r>
      <w:r w:rsidRPr="005675B2">
        <w:rPr>
          <w:rFonts w:hint="cs"/>
          <w:rtl/>
        </w:rPr>
        <w:t xml:space="preserve"> وأما من قدح فيه من الأولين</w:t>
      </w:r>
      <w:r w:rsidR="000636C2">
        <w:rPr>
          <w:rFonts w:hint="cs"/>
          <w:rtl/>
        </w:rPr>
        <w:t>،</w:t>
      </w:r>
      <w:r w:rsidRPr="005675B2">
        <w:rPr>
          <w:rFonts w:hint="cs"/>
          <w:rtl/>
        </w:rPr>
        <w:t xml:space="preserve"> فإنما كان قدحه متوجها على من تكلم فيه وغلط</w:t>
      </w:r>
      <w:r w:rsidR="000636C2">
        <w:rPr>
          <w:rFonts w:hint="cs"/>
          <w:rtl/>
        </w:rPr>
        <w:t>،</w:t>
      </w:r>
      <w:r w:rsidRPr="005675B2">
        <w:rPr>
          <w:rFonts w:hint="cs"/>
          <w:rtl/>
        </w:rPr>
        <w:t xml:space="preserve"> ولا يمكن أن يكون قادحا في من تكلم فيه وأصاب وإلا وجب ردُّ قدْحِه وجرحه كائنا من كان</w:t>
      </w:r>
      <w:r w:rsidR="000636C2">
        <w:rPr>
          <w:rFonts w:hint="cs"/>
          <w:rtl/>
        </w:rPr>
        <w:t>،</w:t>
      </w:r>
      <w:r w:rsidRPr="005675B2">
        <w:rPr>
          <w:rFonts w:hint="cs"/>
          <w:rtl/>
        </w:rPr>
        <w:t xml:space="preserve"> وعلم الكلام في حقيقة الأمر</w:t>
      </w:r>
      <w:r w:rsidR="000636C2">
        <w:rPr>
          <w:rFonts w:hint="cs"/>
          <w:rtl/>
        </w:rPr>
        <w:t>،</w:t>
      </w:r>
      <w:r w:rsidRPr="005675B2">
        <w:rPr>
          <w:rFonts w:hint="cs"/>
          <w:rtl/>
        </w:rPr>
        <w:t xml:space="preserve"> هو بحث عن الأدلة اليقينية العقلية والنقلية التي تدعم قواعد الدين</w:t>
      </w:r>
      <w:r w:rsidR="000636C2">
        <w:rPr>
          <w:rFonts w:hint="cs"/>
          <w:rtl/>
        </w:rPr>
        <w:t>،</w:t>
      </w:r>
      <w:r w:rsidRPr="005675B2">
        <w:rPr>
          <w:rFonts w:hint="cs"/>
          <w:rtl/>
        </w:rPr>
        <w:t xml:space="preserve"> فهو ليس عبارة عن كلمات جامدة</w:t>
      </w:r>
      <w:r w:rsidR="000636C2">
        <w:rPr>
          <w:rFonts w:hint="cs"/>
          <w:rtl/>
        </w:rPr>
        <w:t>،</w:t>
      </w:r>
      <w:r w:rsidRPr="005675B2">
        <w:rPr>
          <w:rFonts w:hint="cs"/>
          <w:rtl/>
        </w:rPr>
        <w:t xml:space="preserve"> ولا أحكام متعنتة ولا تعصبات عمياء</w:t>
      </w:r>
      <w:r w:rsidR="000636C2">
        <w:rPr>
          <w:rFonts w:hint="cs"/>
          <w:rtl/>
        </w:rPr>
        <w:t>،</w:t>
      </w:r>
      <w:r w:rsidRPr="005675B2">
        <w:rPr>
          <w:rFonts w:hint="cs"/>
          <w:rtl/>
        </w:rPr>
        <w:t xml:space="preserve"> بل هو بحث واجتهاد وابتكار</w:t>
      </w:r>
      <w:r w:rsidR="000636C2">
        <w:rPr>
          <w:rFonts w:hint="cs"/>
          <w:rtl/>
        </w:rPr>
        <w:t>،</w:t>
      </w:r>
      <w:r w:rsidRPr="005675B2">
        <w:rPr>
          <w:rFonts w:hint="cs"/>
          <w:rtl/>
        </w:rPr>
        <w:t xml:space="preserve"> بل لا نجد في علم من العلوم الإسلامية ما يبرز الهوية الإسلامية مثلما نجد فيه</w:t>
      </w:r>
      <w:r w:rsidR="000636C2">
        <w:rPr>
          <w:rFonts w:hint="cs"/>
          <w:rtl/>
        </w:rPr>
        <w:t>،</w:t>
      </w:r>
      <w:r w:rsidRPr="005675B2">
        <w:rPr>
          <w:rFonts w:hint="cs"/>
          <w:rtl/>
        </w:rPr>
        <w:t xml:space="preserve"> ولا يقدح في هذا العلم على الإطلاق إلا كل جاهل</w:t>
      </w:r>
      <w:r w:rsidR="000636C2">
        <w:rPr>
          <w:rFonts w:hint="cs"/>
          <w:rtl/>
        </w:rPr>
        <w:t>،</w:t>
      </w:r>
      <w:r w:rsidRPr="005675B2">
        <w:rPr>
          <w:rFonts w:hint="cs"/>
          <w:rtl/>
        </w:rPr>
        <w:t xml:space="preserve"> أو غير عالم بما فيه</w:t>
      </w:r>
      <w:r w:rsidR="000636C2">
        <w:rPr>
          <w:rFonts w:hint="cs"/>
          <w:rtl/>
        </w:rPr>
        <w:t>،</w:t>
      </w:r>
      <w:r w:rsidRPr="005675B2">
        <w:rPr>
          <w:rFonts w:hint="cs"/>
          <w:rtl/>
        </w:rPr>
        <w:t xml:space="preserve"> ولنا كلام طويل في هذا المبحث في أكثر من موضع</w:t>
      </w:r>
      <w:r w:rsidR="000636C2">
        <w:rPr>
          <w:rFonts w:hint="cs"/>
          <w:vertAlign w:val="superscript"/>
          <w:rtl/>
        </w:rPr>
        <w:t xml:space="preserve"> </w:t>
      </w:r>
      <w:r w:rsidR="000636C2">
        <w:rPr>
          <w:rFonts w:hint="cs"/>
          <w:rtl/>
        </w:rPr>
        <w:t>[</w:t>
      </w:r>
      <w:r w:rsidRPr="005675B2">
        <w:rPr>
          <w:rFonts w:hint="cs"/>
          <w:rtl/>
        </w:rPr>
        <w:t>راجع كتابنا</w:t>
      </w:r>
      <w:r w:rsidR="000636C2">
        <w:rPr>
          <w:rFonts w:hint="cs"/>
          <w:rtl/>
        </w:rPr>
        <w:t>:</w:t>
      </w:r>
      <w:r w:rsidRPr="005675B2">
        <w:rPr>
          <w:rFonts w:hint="cs"/>
          <w:rtl/>
        </w:rPr>
        <w:t xml:space="preserve"> تدعيم المنطق والكلام</w:t>
      </w:r>
      <w:r w:rsidR="000636C2">
        <w:rPr>
          <w:rFonts w:hint="cs"/>
          <w:rtl/>
        </w:rPr>
        <w:t>]،</w:t>
      </w:r>
      <w:r w:rsidRPr="005675B2">
        <w:rPr>
          <w:rFonts w:hint="cs"/>
          <w:rtl/>
        </w:rPr>
        <w:t xml:space="preserve"> وهل يستطيع أحد أن يدعي أن أحدا غير المتكلمين تصدى للفلاسفة</w:t>
      </w:r>
      <w:r w:rsidR="000636C2">
        <w:rPr>
          <w:rFonts w:hint="cs"/>
          <w:rtl/>
        </w:rPr>
        <w:t>،</w:t>
      </w:r>
      <w:r w:rsidRPr="005675B2">
        <w:rPr>
          <w:rFonts w:hint="cs"/>
          <w:rtl/>
        </w:rPr>
        <w:t xml:space="preserve"> هل سمعت عن حشوي أو مجسم تصدى للرد على نظريات الملحدين الكفار</w:t>
      </w:r>
      <w:r w:rsidR="000636C2">
        <w:rPr>
          <w:rFonts w:hint="cs"/>
          <w:rtl/>
        </w:rPr>
        <w:t>،</w:t>
      </w:r>
      <w:r w:rsidRPr="005675B2">
        <w:rPr>
          <w:rFonts w:hint="cs"/>
          <w:rtl/>
        </w:rPr>
        <w:t xml:space="preserve"> وغيرهم ممن يقدحون في أصول الدين وفروعه</w:t>
      </w:r>
      <w:r w:rsidR="000636C2">
        <w:rPr>
          <w:rFonts w:hint="cs"/>
          <w:rtl/>
        </w:rPr>
        <w:t>،</w:t>
      </w:r>
      <w:r w:rsidRPr="005675B2">
        <w:rPr>
          <w:rFonts w:hint="cs"/>
          <w:rtl/>
        </w:rPr>
        <w:t xml:space="preserve"> سواءا في العصور القديمة أو الحديثة</w:t>
      </w:r>
      <w:r w:rsidR="000636C2">
        <w:rPr>
          <w:rFonts w:hint="cs"/>
          <w:rtl/>
        </w:rPr>
        <w:t>،</w:t>
      </w:r>
      <w:r w:rsidRPr="005675B2">
        <w:rPr>
          <w:rFonts w:hint="cs"/>
          <w:rtl/>
        </w:rPr>
        <w:t xml:space="preserve"> بل نحن في هذا الزمان أشد ما نكون حاجة إلى هذا العلم وإظهاره وإبراز محاسنه وتشجيع الأذكياء من الناس على التمسك بما فيه</w:t>
      </w:r>
      <w:r w:rsidR="000636C2">
        <w:rPr>
          <w:rFonts w:hint="cs"/>
          <w:rtl/>
        </w:rPr>
        <w:t>،</w:t>
      </w:r>
      <w:r w:rsidRPr="005675B2">
        <w:rPr>
          <w:rFonts w:hint="cs"/>
          <w:rtl/>
        </w:rPr>
        <w:t xml:space="preserve"> والخوض على قواعده ونشر الدين والدفاع عنه بناءا على ما فيه</w:t>
      </w:r>
      <w:r w:rsidR="000636C2">
        <w:rPr>
          <w:rFonts w:hint="cs"/>
          <w:rtl/>
        </w:rPr>
        <w:t>،</w:t>
      </w:r>
      <w:r w:rsidRPr="005675B2">
        <w:rPr>
          <w:rFonts w:hint="cs"/>
          <w:rtl/>
        </w:rPr>
        <w:t xml:space="preserve"> ومن يدعي أن المتكلمين قد قلدوا الفلاسفة من اليونان والهنود وغيرهم</w:t>
      </w:r>
      <w:r w:rsidR="000636C2">
        <w:rPr>
          <w:rFonts w:hint="cs"/>
          <w:rtl/>
        </w:rPr>
        <w:t>،</w:t>
      </w:r>
      <w:r w:rsidRPr="005675B2">
        <w:rPr>
          <w:rFonts w:hint="cs"/>
          <w:rtl/>
        </w:rPr>
        <w:t xml:space="preserve"> فهو جاهل لا يعي ما يقول</w:t>
      </w:r>
      <w:r w:rsidR="000636C2">
        <w:rPr>
          <w:rFonts w:hint="cs"/>
          <w:rtl/>
        </w:rPr>
        <w:t>،</w:t>
      </w:r>
      <w:r w:rsidRPr="005675B2">
        <w:rPr>
          <w:rFonts w:hint="cs"/>
          <w:rtl/>
        </w:rPr>
        <w:t xml:space="preserve"> فإن الناظر في كتب هؤلاء والعارف بما ذكره المتكلمون يعلم أنه لم يوجد نقد عقلي قوي ورد للفاسد من آراء البشر الا في كتب المتكلمين</w:t>
      </w:r>
      <w:r w:rsidR="000636C2">
        <w:rPr>
          <w:rFonts w:hint="cs"/>
          <w:rtl/>
        </w:rPr>
        <w:t>،</w:t>
      </w:r>
      <w:r w:rsidRPr="005675B2">
        <w:rPr>
          <w:rFonts w:hint="cs"/>
          <w:rtl/>
        </w:rPr>
        <w:t xml:space="preserve"> كل هذا بالحجة والتدليل</w:t>
      </w:r>
      <w:r w:rsidR="000636C2">
        <w:rPr>
          <w:rFonts w:hint="cs"/>
          <w:rtl/>
        </w:rPr>
        <w:t>،</w:t>
      </w:r>
      <w:r w:rsidRPr="005675B2">
        <w:rPr>
          <w:rFonts w:hint="cs"/>
          <w:rtl/>
        </w:rPr>
        <w:t xml:space="preserve"> لا بالصراخ والعويل</w:t>
      </w:r>
      <w:r w:rsidR="000636C2">
        <w:rPr>
          <w:rFonts w:hint="cs"/>
          <w:rtl/>
        </w:rPr>
        <w:t>!</w:t>
      </w:r>
    </w:p>
    <w:p w14:paraId="74E76049" w14:textId="415F9A35" w:rsidR="009C32A0" w:rsidRPr="005675B2" w:rsidRDefault="000636C2" w:rsidP="000636C2">
      <w:pPr>
        <w:rPr>
          <w:b/>
          <w:rtl/>
        </w:rPr>
      </w:pPr>
      <w:r>
        <w:rPr>
          <w:rFonts w:hint="cs"/>
          <w:bCs/>
          <w:rtl/>
        </w:rPr>
        <w:t>[</w:t>
      </w:r>
      <w:r w:rsidR="009C32A0" w:rsidRPr="005675B2">
        <w:rPr>
          <w:rFonts w:hint="cs"/>
          <w:bCs/>
          <w:rtl/>
        </w:rPr>
        <w:t>المبحث الثاني</w:t>
      </w:r>
      <w:r>
        <w:rPr>
          <w:rFonts w:hint="cs"/>
          <w:bCs/>
          <w:rtl/>
        </w:rPr>
        <w:t>:</w:t>
      </w:r>
      <w:r w:rsidR="009C32A0" w:rsidRPr="005675B2">
        <w:rPr>
          <w:rFonts w:hint="cs"/>
          <w:bCs/>
          <w:rtl/>
        </w:rPr>
        <w:t xml:space="preserve"> بيان عقائد الماتريدية إجمالا</w:t>
      </w:r>
      <w:r>
        <w:rPr>
          <w:rFonts w:hint="cs"/>
          <w:bCs/>
          <w:rtl/>
        </w:rPr>
        <w:t>]:</w:t>
      </w:r>
      <w:r w:rsidR="009C32A0" w:rsidRPr="005675B2">
        <w:rPr>
          <w:rFonts w:hint="cs"/>
          <w:bCs/>
          <w:rtl/>
        </w:rPr>
        <w:t xml:space="preserve"> أ - الاستدلال على وجود الله</w:t>
      </w:r>
      <w:r>
        <w:rPr>
          <w:rFonts w:hint="cs"/>
          <w:bCs/>
          <w:rtl/>
        </w:rPr>
        <w:t>:</w:t>
      </w:r>
      <w:r w:rsidR="009C32A0" w:rsidRPr="005675B2">
        <w:rPr>
          <w:rFonts w:hint="cs"/>
          <w:bCs/>
          <w:rtl/>
        </w:rPr>
        <w:t xml:space="preserve"> </w:t>
      </w:r>
      <w:r w:rsidR="009C32A0" w:rsidRPr="005675B2">
        <w:rPr>
          <w:rFonts w:hint="cs"/>
          <w:rtl/>
        </w:rPr>
        <w:t>من المعلوم أن علماء المسلمين</w:t>
      </w:r>
      <w:r>
        <w:rPr>
          <w:rFonts w:hint="cs"/>
          <w:rtl/>
        </w:rPr>
        <w:t>،</w:t>
      </w:r>
      <w:r w:rsidR="009C32A0" w:rsidRPr="005675B2">
        <w:rPr>
          <w:rFonts w:hint="cs"/>
          <w:rtl/>
        </w:rPr>
        <w:t xml:space="preserve"> وفي مقدمتهم الأشاعرة والماتريدية قد اتبعوا كثيرا من الطرق في إثبات وجود الله تعالى والاستدلال على صفاته الجليلة</w:t>
      </w:r>
      <w:r>
        <w:rPr>
          <w:rFonts w:hint="cs"/>
          <w:rtl/>
        </w:rPr>
        <w:t>،</w:t>
      </w:r>
      <w:r w:rsidR="009C32A0" w:rsidRPr="005675B2">
        <w:rPr>
          <w:rFonts w:hint="cs"/>
          <w:rtl/>
        </w:rPr>
        <w:t xml:space="preserve"> وهم لم يحصروا طرق الاستدلال في عدد معين بل أن حصروه فإنهم يحصرونه كما تقتضيه الأدلة بجهات معينة</w:t>
      </w:r>
      <w:r>
        <w:rPr>
          <w:rFonts w:hint="cs"/>
          <w:rtl/>
        </w:rPr>
        <w:t>،</w:t>
      </w:r>
      <w:r w:rsidR="009C32A0" w:rsidRPr="005675B2">
        <w:rPr>
          <w:rFonts w:hint="cs"/>
          <w:rtl/>
        </w:rPr>
        <w:t xml:space="preserve"> كالاستدلال على وجوده تعالى من جهة إثبات أن العالم ممكن</w:t>
      </w:r>
      <w:r>
        <w:rPr>
          <w:rFonts w:hint="cs"/>
          <w:rtl/>
        </w:rPr>
        <w:t>،</w:t>
      </w:r>
      <w:r w:rsidR="009C32A0" w:rsidRPr="005675B2">
        <w:rPr>
          <w:rFonts w:hint="cs"/>
          <w:rtl/>
        </w:rPr>
        <w:t xml:space="preserve"> أو الاستدلال على ذلك من جهة كون العالم حادثا</w:t>
      </w:r>
      <w:r>
        <w:rPr>
          <w:rFonts w:hint="cs"/>
          <w:rtl/>
        </w:rPr>
        <w:t>،</w:t>
      </w:r>
      <w:r w:rsidR="009C32A0" w:rsidRPr="005675B2">
        <w:rPr>
          <w:rFonts w:hint="cs"/>
          <w:rtl/>
        </w:rPr>
        <w:t xml:space="preserve"> أو من جهة الاحتياج الكائن في العالم</w:t>
      </w:r>
      <w:r>
        <w:rPr>
          <w:rFonts w:hint="cs"/>
          <w:rtl/>
        </w:rPr>
        <w:t>،</w:t>
      </w:r>
      <w:r w:rsidR="009C32A0" w:rsidRPr="005675B2">
        <w:rPr>
          <w:rFonts w:hint="cs"/>
          <w:rtl/>
        </w:rPr>
        <w:t xml:space="preserve"> أو من جهة الحكمة الظاهرة فيه</w:t>
      </w:r>
      <w:r>
        <w:rPr>
          <w:rFonts w:hint="cs"/>
          <w:rtl/>
        </w:rPr>
        <w:t>،</w:t>
      </w:r>
      <w:r w:rsidR="009C32A0" w:rsidRPr="005675B2">
        <w:rPr>
          <w:rFonts w:hint="cs"/>
          <w:rtl/>
        </w:rPr>
        <w:t xml:space="preserve"> وهكذا</w:t>
      </w:r>
      <w:r>
        <w:rPr>
          <w:rFonts w:hint="cs"/>
          <w:rtl/>
        </w:rPr>
        <w:t>،</w:t>
      </w:r>
      <w:r w:rsidR="009C32A0" w:rsidRPr="005675B2">
        <w:rPr>
          <w:rFonts w:hint="cs"/>
          <w:rtl/>
        </w:rPr>
        <w:t xml:space="preserve"> ولكل جهة من هذه الجهات صور عديدة متكاثرة لا تنحصر تحت عدد</w:t>
      </w:r>
      <w:r>
        <w:rPr>
          <w:rFonts w:hint="cs"/>
          <w:rtl/>
        </w:rPr>
        <w:t>،</w:t>
      </w:r>
      <w:r w:rsidR="009C32A0" w:rsidRPr="005675B2">
        <w:rPr>
          <w:rFonts w:hint="cs"/>
          <w:rtl/>
        </w:rPr>
        <w:t xml:space="preserve"> وقد اشتهر من بين الأدلة الكثيرة التي حققها أهل السنة عدد معين من الادلة</w:t>
      </w:r>
      <w:r>
        <w:rPr>
          <w:rFonts w:hint="cs"/>
          <w:rtl/>
        </w:rPr>
        <w:t>،</w:t>
      </w:r>
      <w:r w:rsidR="009C32A0" w:rsidRPr="005675B2">
        <w:rPr>
          <w:rFonts w:hint="cs"/>
          <w:rtl/>
        </w:rPr>
        <w:t xml:space="preserve"> كدليل الحدوث المعلوم بصورته المعهودة</w:t>
      </w:r>
      <w:r>
        <w:rPr>
          <w:rFonts w:hint="cs"/>
          <w:rtl/>
        </w:rPr>
        <w:t>،</w:t>
      </w:r>
      <w:r w:rsidR="009C32A0" w:rsidRPr="005675B2">
        <w:rPr>
          <w:rFonts w:hint="cs"/>
          <w:rtl/>
        </w:rPr>
        <w:t xml:space="preserve"> وهي الاستدلال على وجود الله تعالى وصفاته بإثبات أن العالم حادث</w:t>
      </w:r>
      <w:r>
        <w:rPr>
          <w:rFonts w:hint="cs"/>
          <w:rtl/>
        </w:rPr>
        <w:t>،</w:t>
      </w:r>
      <w:r w:rsidR="009C32A0" w:rsidRPr="005675B2">
        <w:rPr>
          <w:rFonts w:hint="cs"/>
          <w:rtl/>
        </w:rPr>
        <w:t xml:space="preserve"> وهذا يتم بأشكال عديدة من القياس</w:t>
      </w:r>
      <w:r>
        <w:rPr>
          <w:rFonts w:hint="cs"/>
          <w:rtl/>
        </w:rPr>
        <w:t>،</w:t>
      </w:r>
      <w:r w:rsidR="009C32A0" w:rsidRPr="005675B2">
        <w:rPr>
          <w:rFonts w:hint="cs"/>
          <w:rtl/>
        </w:rPr>
        <w:t xml:space="preserve"> ومن مقدمات متعددة متغايرة</w:t>
      </w:r>
      <w:r>
        <w:rPr>
          <w:rFonts w:hint="cs"/>
          <w:rtl/>
        </w:rPr>
        <w:t>،</w:t>
      </w:r>
      <w:r w:rsidR="009C32A0" w:rsidRPr="005675B2">
        <w:rPr>
          <w:rFonts w:hint="cs"/>
          <w:rtl/>
        </w:rPr>
        <w:t xml:space="preserve"> ولكنها غير متضادة ولا متنافرة</w:t>
      </w:r>
      <w:r>
        <w:rPr>
          <w:rFonts w:hint="cs"/>
          <w:rtl/>
        </w:rPr>
        <w:t>،</w:t>
      </w:r>
      <w:r w:rsidR="009C32A0" w:rsidRPr="005675B2">
        <w:rPr>
          <w:rFonts w:hint="cs"/>
          <w:rtl/>
        </w:rPr>
        <w:t xml:space="preserve"> وقد اشتهر من بين هذه الصور القياسية والمقدمات العديدة</w:t>
      </w:r>
      <w:r>
        <w:rPr>
          <w:rFonts w:hint="cs"/>
          <w:rtl/>
        </w:rPr>
        <w:t>،</w:t>
      </w:r>
      <w:r w:rsidR="009C32A0" w:rsidRPr="005675B2">
        <w:rPr>
          <w:rFonts w:hint="cs"/>
          <w:rtl/>
        </w:rPr>
        <w:t xml:space="preserve"> تلك التي تنبني على تقسيم الموجودات إلى أعيان</w:t>
      </w:r>
      <w:r>
        <w:rPr>
          <w:rFonts w:hint="cs"/>
          <w:rtl/>
        </w:rPr>
        <w:t>،</w:t>
      </w:r>
      <w:r w:rsidR="009C32A0" w:rsidRPr="005675B2">
        <w:rPr>
          <w:rFonts w:hint="cs"/>
          <w:rtl/>
        </w:rPr>
        <w:t xml:space="preserve"> وهي الأجسام وأجزاؤها الفردة</w:t>
      </w:r>
      <w:r>
        <w:rPr>
          <w:rFonts w:hint="cs"/>
          <w:rtl/>
        </w:rPr>
        <w:t>،</w:t>
      </w:r>
      <w:r w:rsidR="009C32A0" w:rsidRPr="005675B2">
        <w:rPr>
          <w:rFonts w:hint="cs"/>
          <w:rtl/>
        </w:rPr>
        <w:t xml:space="preserve"> ومن الأعراض وهي كيفيات تقوم بالأعيان</w:t>
      </w:r>
      <w:r>
        <w:rPr>
          <w:rFonts w:hint="cs"/>
          <w:rtl/>
        </w:rPr>
        <w:t>،</w:t>
      </w:r>
      <w:r w:rsidR="009C32A0" w:rsidRPr="005675B2">
        <w:rPr>
          <w:rFonts w:hint="cs"/>
          <w:rtl/>
        </w:rPr>
        <w:t xml:space="preserve"> وهذا الدليل بمقدماته وتدرجاته المعلومة عند من له أدنى اطلاع</w:t>
      </w:r>
      <w:r>
        <w:rPr>
          <w:rFonts w:hint="cs"/>
          <w:rtl/>
        </w:rPr>
        <w:t>،</w:t>
      </w:r>
      <w:r w:rsidR="009C32A0" w:rsidRPr="005675B2">
        <w:rPr>
          <w:rFonts w:hint="cs"/>
          <w:rtl/>
        </w:rPr>
        <w:t xml:space="preserve"> قد اشتهرت بين الناس العامة والخاصة</w:t>
      </w:r>
      <w:r>
        <w:rPr>
          <w:rFonts w:hint="cs"/>
          <w:rtl/>
        </w:rPr>
        <w:t>،</w:t>
      </w:r>
      <w:r w:rsidR="009C32A0" w:rsidRPr="005675B2">
        <w:rPr>
          <w:rFonts w:hint="cs"/>
          <w:rtl/>
        </w:rPr>
        <w:t xml:space="preserve"> اشد الاشتهار</w:t>
      </w:r>
      <w:r>
        <w:rPr>
          <w:rFonts w:hint="cs"/>
          <w:rtl/>
        </w:rPr>
        <w:t>،</w:t>
      </w:r>
      <w:r w:rsidR="009C32A0" w:rsidRPr="005675B2">
        <w:rPr>
          <w:rFonts w:hint="cs"/>
          <w:rtl/>
        </w:rPr>
        <w:t xml:space="preserve"> حتى توهم البعض انه لا يوجد دليل عند علماء الأشاعرة والماتريدية على وجود الله تعالى الا هذه الصور والمقدمات والقياسات</w:t>
      </w:r>
      <w:r>
        <w:rPr>
          <w:rFonts w:hint="cs"/>
          <w:rtl/>
        </w:rPr>
        <w:t>،</w:t>
      </w:r>
      <w:r w:rsidR="009C32A0" w:rsidRPr="005675B2">
        <w:rPr>
          <w:rFonts w:hint="cs"/>
          <w:rtl/>
        </w:rPr>
        <w:t xml:space="preserve"> وهذا التوهم إنما هو لعدم معرفتهم بما يقوله علماء أهل السنة المحققون الذين تتقاصر نفوس هؤلاء المعترضين عن أن تمس معاني أقوالهم</w:t>
      </w:r>
      <w:r>
        <w:rPr>
          <w:rFonts w:hint="cs"/>
          <w:rtl/>
        </w:rPr>
        <w:t>،</w:t>
      </w:r>
      <w:r w:rsidR="009C32A0" w:rsidRPr="005675B2">
        <w:rPr>
          <w:rFonts w:hint="cs"/>
          <w:rtl/>
        </w:rPr>
        <w:t xml:space="preserve"> فتراهم دائما إنما يتعلقون بما يتوهمون من أقوالهم</w:t>
      </w:r>
      <w:r>
        <w:rPr>
          <w:rFonts w:hint="cs"/>
          <w:rtl/>
        </w:rPr>
        <w:t>،</w:t>
      </w:r>
      <w:r w:rsidR="009C32A0" w:rsidRPr="005675B2">
        <w:rPr>
          <w:rFonts w:hint="cs"/>
          <w:rtl/>
        </w:rPr>
        <w:t xml:space="preserve"> وهو ليس كذلك</w:t>
      </w:r>
      <w:r>
        <w:rPr>
          <w:rFonts w:hint="cs"/>
          <w:rtl/>
        </w:rPr>
        <w:t>،</w:t>
      </w:r>
      <w:r w:rsidR="009C32A0" w:rsidRPr="005675B2">
        <w:rPr>
          <w:rFonts w:hint="cs"/>
          <w:rtl/>
        </w:rPr>
        <w:t xml:space="preserve"> وبناءا على هذه المقدمة المختصرة فيما يتعلق بهذه المسألة نقول</w:t>
      </w:r>
      <w:r>
        <w:rPr>
          <w:rFonts w:hint="cs"/>
          <w:rtl/>
        </w:rPr>
        <w:t>،</w:t>
      </w:r>
      <w:r w:rsidR="009C32A0" w:rsidRPr="005675B2">
        <w:rPr>
          <w:rFonts w:hint="cs"/>
          <w:rtl/>
        </w:rPr>
        <w:t xml:space="preserve"> لقد شرع مؤلف الكتاب المذكور بالاعتراض على علماء الإسلام وهم من ذكرناهم لك</w:t>
      </w:r>
      <w:r>
        <w:rPr>
          <w:rFonts w:hint="cs"/>
          <w:rtl/>
        </w:rPr>
        <w:t>،</w:t>
      </w:r>
      <w:r w:rsidR="009C32A0" w:rsidRPr="005675B2">
        <w:rPr>
          <w:rFonts w:hint="cs"/>
          <w:rtl/>
        </w:rPr>
        <w:t xml:space="preserve"> وعرفناك بهم</w:t>
      </w:r>
      <w:r>
        <w:rPr>
          <w:rFonts w:hint="cs"/>
          <w:rtl/>
        </w:rPr>
        <w:t>،</w:t>
      </w:r>
      <w:r w:rsidR="009C32A0" w:rsidRPr="005675B2">
        <w:rPr>
          <w:rFonts w:hint="cs"/>
          <w:rtl/>
        </w:rPr>
        <w:t xml:space="preserve"> واتهمهم بأنهم لا يتبعون طريقة القرآن الكريم في الاستدلال على وجود الخالق</w:t>
      </w:r>
      <w:r>
        <w:rPr>
          <w:rFonts w:hint="cs"/>
          <w:rtl/>
        </w:rPr>
        <w:t>،</w:t>
      </w:r>
      <w:r w:rsidR="009C32A0" w:rsidRPr="005675B2">
        <w:rPr>
          <w:rFonts w:hint="cs"/>
          <w:rtl/>
        </w:rPr>
        <w:t xml:space="preserve"> وهذا الكلام منه يستدعي الغاية من العجب</w:t>
      </w:r>
      <w:r>
        <w:rPr>
          <w:rFonts w:hint="cs"/>
          <w:rtl/>
        </w:rPr>
        <w:t>،</w:t>
      </w:r>
      <w:r w:rsidR="009C32A0" w:rsidRPr="005675B2">
        <w:rPr>
          <w:rFonts w:hint="cs"/>
          <w:rtl/>
        </w:rPr>
        <w:t xml:space="preserve"> فقد حض القرآن الكريم في أكثر موضع على النظر في الكون وفي النفس الإنسانية بأكثر من أسلوب وفي أكثر من آية</w:t>
      </w:r>
      <w:r>
        <w:rPr>
          <w:rFonts w:hint="cs"/>
          <w:rtl/>
        </w:rPr>
        <w:t>،</w:t>
      </w:r>
      <w:r w:rsidR="009C32A0" w:rsidRPr="005675B2">
        <w:rPr>
          <w:rFonts w:hint="cs"/>
          <w:rtl/>
        </w:rPr>
        <w:t xml:space="preserve"> وكذلك حث على التفكر في الكون من حيث وجود الحكمة التامة فيه</w:t>
      </w:r>
      <w:r>
        <w:rPr>
          <w:rFonts w:hint="cs"/>
          <w:rtl/>
        </w:rPr>
        <w:t>،</w:t>
      </w:r>
      <w:r w:rsidR="009C32A0" w:rsidRPr="005675B2">
        <w:rPr>
          <w:rFonts w:hint="cs"/>
          <w:rtl/>
        </w:rPr>
        <w:t xml:space="preserve"> فهذا يستدعي إثبات وجود الخالق</w:t>
      </w:r>
      <w:r>
        <w:rPr>
          <w:rFonts w:hint="cs"/>
          <w:rtl/>
        </w:rPr>
        <w:t>،</w:t>
      </w:r>
      <w:r w:rsidR="009C32A0" w:rsidRPr="005675B2">
        <w:rPr>
          <w:rFonts w:hint="cs"/>
          <w:rtl/>
        </w:rPr>
        <w:t xml:space="preserve"> إلى غير ذلك من جوانب</w:t>
      </w:r>
      <w:r>
        <w:rPr>
          <w:rFonts w:hint="cs"/>
          <w:rtl/>
        </w:rPr>
        <w:t>،</w:t>
      </w:r>
      <w:r w:rsidR="009C32A0" w:rsidRPr="005675B2">
        <w:rPr>
          <w:rFonts w:hint="cs"/>
          <w:rtl/>
        </w:rPr>
        <w:t xml:space="preserve"> ونحن كما ذكرنا لك فإن أدلة المتكلمين وعلماء أهل الحق لا تتعدى هذه الصور والرسوم</w:t>
      </w:r>
      <w:r>
        <w:rPr>
          <w:rFonts w:hint="cs"/>
          <w:rtl/>
        </w:rPr>
        <w:t>،</w:t>
      </w:r>
      <w:r w:rsidR="009C32A0" w:rsidRPr="005675B2">
        <w:rPr>
          <w:rFonts w:hint="cs"/>
          <w:rtl/>
        </w:rPr>
        <w:t xml:space="preserve"> بل هي في أكثرها</w:t>
      </w:r>
      <w:r>
        <w:rPr>
          <w:rFonts w:hint="cs"/>
          <w:rtl/>
        </w:rPr>
        <w:t xml:space="preserve"> </w:t>
      </w:r>
      <w:r w:rsidR="009C32A0" w:rsidRPr="005675B2">
        <w:rPr>
          <w:rFonts w:hint="cs"/>
          <w:rtl/>
        </w:rPr>
        <w:t>مستنبطة بتفاصيلها من القرآن الكريم</w:t>
      </w:r>
      <w:r>
        <w:rPr>
          <w:rFonts w:hint="cs"/>
          <w:rtl/>
        </w:rPr>
        <w:t>،</w:t>
      </w:r>
      <w:r w:rsidR="009C32A0" w:rsidRPr="005675B2">
        <w:rPr>
          <w:rFonts w:hint="cs"/>
          <w:rtl/>
        </w:rPr>
        <w:t xml:space="preserve"> فكيف يجوز لهذا المدعي الآن أن يقول أن طريقتهم ليست هي طريقة القرآن</w:t>
      </w:r>
      <w:r>
        <w:rPr>
          <w:rFonts w:hint="cs"/>
          <w:rtl/>
        </w:rPr>
        <w:t xml:space="preserve">؟! </w:t>
      </w:r>
      <w:r w:rsidR="009C32A0" w:rsidRPr="005675B2">
        <w:rPr>
          <w:rFonts w:hint="cs"/>
          <w:rtl/>
        </w:rPr>
        <w:t>وماذا يعني هذا القائل بطريقة القرآن</w:t>
      </w:r>
      <w:r>
        <w:rPr>
          <w:rFonts w:hint="cs"/>
          <w:rtl/>
        </w:rPr>
        <w:t>؟</w:t>
      </w:r>
      <w:r w:rsidR="009C32A0" w:rsidRPr="005675B2">
        <w:rPr>
          <w:rFonts w:hint="cs"/>
          <w:rtl/>
        </w:rPr>
        <w:t xml:space="preserve"> فلننظر فيما يقول</w:t>
      </w:r>
      <w:r>
        <w:rPr>
          <w:rFonts w:hint="cs"/>
          <w:rtl/>
        </w:rPr>
        <w:t>؟،</w:t>
      </w:r>
      <w:r w:rsidR="009C32A0" w:rsidRPr="005675B2">
        <w:rPr>
          <w:rFonts w:hint="cs"/>
          <w:rtl/>
        </w:rPr>
        <w:t xml:space="preserve"> قال في صفحة 33 عن منهج السلف في ذلك الذي ينسبه اليهم ويدعي أنه هو طريق القرآن " فقد استدلوا بالفطرة السليمة المضطرة بطبعها إلى الاقرار بوجود الله تعالى والاعتراف بالخالق " أهـ</w:t>
      </w:r>
      <w:r>
        <w:rPr>
          <w:rFonts w:hint="cs"/>
          <w:rtl/>
        </w:rPr>
        <w:t>،</w:t>
      </w:r>
      <w:r w:rsidR="009C32A0" w:rsidRPr="005675B2">
        <w:rPr>
          <w:rFonts w:hint="cs"/>
          <w:rtl/>
        </w:rPr>
        <w:t xml:space="preserve"> ولنسأله عما يريده بالفطرة السليمة</w:t>
      </w:r>
      <w:r>
        <w:rPr>
          <w:rFonts w:hint="cs"/>
          <w:rtl/>
        </w:rPr>
        <w:t>،</w:t>
      </w:r>
      <w:r w:rsidR="009C32A0" w:rsidRPr="005675B2">
        <w:rPr>
          <w:rFonts w:hint="cs"/>
          <w:rtl/>
        </w:rPr>
        <w:t xml:space="preserve"> هل يوجد فطرة غير سليمة</w:t>
      </w:r>
      <w:r>
        <w:rPr>
          <w:rFonts w:hint="cs"/>
          <w:rtl/>
        </w:rPr>
        <w:t xml:space="preserve">؟! </w:t>
      </w:r>
      <w:r w:rsidR="009C32A0" w:rsidRPr="005675B2">
        <w:rPr>
          <w:rFonts w:hint="cs"/>
          <w:rtl/>
        </w:rPr>
        <w:t>وكيف تكون الفطرة غير السليمة موجودة</w:t>
      </w:r>
      <w:r>
        <w:rPr>
          <w:rFonts w:hint="cs"/>
          <w:rtl/>
        </w:rPr>
        <w:t>،</w:t>
      </w:r>
      <w:r w:rsidR="009C32A0" w:rsidRPr="005675B2">
        <w:rPr>
          <w:rFonts w:hint="cs"/>
          <w:rtl/>
        </w:rPr>
        <w:t xml:space="preserve"> وقد ادعى أن الفطرة هي الخلقة التي خلق الله تعالى الناس عليها</w:t>
      </w:r>
      <w:r>
        <w:rPr>
          <w:rFonts w:hint="cs"/>
          <w:rtl/>
        </w:rPr>
        <w:t>،</w:t>
      </w:r>
      <w:r w:rsidR="009C32A0" w:rsidRPr="005675B2">
        <w:rPr>
          <w:rFonts w:hint="cs"/>
          <w:rtl/>
        </w:rPr>
        <w:t xml:space="preserve"> وهي علوم ومعارف</w:t>
      </w:r>
      <w:r>
        <w:rPr>
          <w:rFonts w:hint="cs"/>
          <w:rtl/>
        </w:rPr>
        <w:t>،</w:t>
      </w:r>
      <w:r w:rsidR="009C32A0" w:rsidRPr="005675B2">
        <w:rPr>
          <w:rFonts w:hint="cs"/>
          <w:rtl/>
        </w:rPr>
        <w:t xml:space="preserve"> فهل تكون هذه العلوم التي خلقها الله تعالى في الناس دلالة لهم إلى الحق غير سليمة</w:t>
      </w:r>
      <w:r>
        <w:rPr>
          <w:rFonts w:hint="cs"/>
          <w:rtl/>
        </w:rPr>
        <w:t>؟!</w:t>
      </w:r>
      <w:r w:rsidR="009C32A0" w:rsidRPr="005675B2">
        <w:rPr>
          <w:rFonts w:hint="cs"/>
          <w:rtl/>
        </w:rPr>
        <w:t xml:space="preserve"> وهل توجد إمكانية لتغيير الخلقة التي يخلقها الله تعالى لهدف معين على زعمهم</w:t>
      </w:r>
      <w:r>
        <w:rPr>
          <w:rFonts w:hint="cs"/>
          <w:rtl/>
        </w:rPr>
        <w:t>،</w:t>
      </w:r>
      <w:r w:rsidR="009C32A0" w:rsidRPr="005675B2">
        <w:rPr>
          <w:rFonts w:hint="cs"/>
          <w:rtl/>
        </w:rPr>
        <w:t xml:space="preserve"> لتصبح غير سليمة</w:t>
      </w:r>
      <w:r>
        <w:rPr>
          <w:rFonts w:hint="cs"/>
          <w:rtl/>
        </w:rPr>
        <w:t>،</w:t>
      </w:r>
      <w:r w:rsidR="009C32A0" w:rsidRPr="005675B2">
        <w:rPr>
          <w:rFonts w:hint="cs"/>
          <w:rtl/>
        </w:rPr>
        <w:t xml:space="preserve"> وبالتالي لا توجه الإنسان إلى ما هو مراد منه</w:t>
      </w:r>
      <w:r>
        <w:rPr>
          <w:rFonts w:hint="cs"/>
          <w:rtl/>
        </w:rPr>
        <w:t xml:space="preserve">؟! </w:t>
      </w:r>
      <w:r w:rsidR="009C32A0" w:rsidRPr="005675B2">
        <w:rPr>
          <w:rFonts w:hint="cs"/>
          <w:rtl/>
        </w:rPr>
        <w:t>إن هذا الكلام في غاية الاضطراب كما يظهر لك</w:t>
      </w:r>
      <w:r>
        <w:rPr>
          <w:rFonts w:hint="cs"/>
          <w:rtl/>
        </w:rPr>
        <w:t>،</w:t>
      </w:r>
      <w:r w:rsidR="009C32A0" w:rsidRPr="005675B2">
        <w:rPr>
          <w:rFonts w:hint="cs"/>
          <w:rtl/>
        </w:rPr>
        <w:t xml:space="preserve"> والحق أن الفطرة ليست أمرا غير ما ذكرته لك في أول هذا الكتاب</w:t>
      </w:r>
      <w:r>
        <w:rPr>
          <w:rFonts w:hint="cs"/>
          <w:rtl/>
        </w:rPr>
        <w:t>،</w:t>
      </w:r>
      <w:r w:rsidR="009C32A0" w:rsidRPr="005675B2">
        <w:rPr>
          <w:rFonts w:hint="cs"/>
          <w:rtl/>
        </w:rPr>
        <w:t xml:space="preserve"> وأن العلماء من أهل السنة لم يستخدموا في الاستدلال غير القوى التي منحها الله تعالى لهم</w:t>
      </w:r>
      <w:r>
        <w:rPr>
          <w:rFonts w:hint="cs"/>
          <w:rtl/>
        </w:rPr>
        <w:t>،</w:t>
      </w:r>
      <w:r w:rsidR="009C32A0" w:rsidRPr="005675B2">
        <w:rPr>
          <w:rFonts w:hint="cs"/>
          <w:rtl/>
        </w:rPr>
        <w:t xml:space="preserve"> ليصلوا إلى الخالق</w:t>
      </w:r>
      <w:r>
        <w:rPr>
          <w:rFonts w:hint="cs"/>
          <w:rtl/>
        </w:rPr>
        <w:t>،</w:t>
      </w:r>
      <w:r w:rsidR="009C32A0" w:rsidRPr="005675B2">
        <w:rPr>
          <w:rFonts w:hint="cs"/>
          <w:rtl/>
        </w:rPr>
        <w:t xml:space="preserve"> وبهذا يتضح لك شدة فساد هذا المدعي هنا وأصحابه في كلامهم</w:t>
      </w:r>
      <w:r>
        <w:rPr>
          <w:rFonts w:hint="cs"/>
          <w:rtl/>
        </w:rPr>
        <w:t>،</w:t>
      </w:r>
      <w:r w:rsidR="009C32A0" w:rsidRPr="005675B2">
        <w:rPr>
          <w:rFonts w:hint="cs"/>
          <w:rtl/>
        </w:rPr>
        <w:t xml:space="preserve"> ونحن لا نقول أن كل الأدلة التي يوردها المتكلمون في كتبهم يستطيع أي إنسان أن يفهمها ويدقق فيها من أول نظرة</w:t>
      </w:r>
      <w:r>
        <w:rPr>
          <w:rFonts w:hint="cs"/>
          <w:rtl/>
        </w:rPr>
        <w:t>،</w:t>
      </w:r>
      <w:r w:rsidR="009C32A0" w:rsidRPr="005675B2">
        <w:rPr>
          <w:rFonts w:hint="cs"/>
          <w:rtl/>
        </w:rPr>
        <w:t xml:space="preserve"> أو بجهد قليل</w:t>
      </w:r>
      <w:r>
        <w:rPr>
          <w:rFonts w:hint="cs"/>
          <w:rtl/>
        </w:rPr>
        <w:t>،</w:t>
      </w:r>
      <w:r w:rsidR="009C32A0" w:rsidRPr="005675B2">
        <w:rPr>
          <w:rFonts w:hint="cs"/>
          <w:rtl/>
        </w:rPr>
        <w:t xml:space="preserve"> بل إننا نقول أن بعض الأدلة التي يوردونها تحتاج لعقل جامع وقلب ذكي وجهد عظيم</w:t>
      </w:r>
      <w:r>
        <w:rPr>
          <w:rFonts w:hint="cs"/>
          <w:rtl/>
        </w:rPr>
        <w:t>،</w:t>
      </w:r>
      <w:r w:rsidR="009C32A0" w:rsidRPr="005675B2">
        <w:rPr>
          <w:rFonts w:hint="cs"/>
          <w:rtl/>
        </w:rPr>
        <w:t xml:space="preserve"> وهذه الامور لا تتوفر في كثير من الناس</w:t>
      </w:r>
      <w:r>
        <w:rPr>
          <w:rFonts w:hint="cs"/>
          <w:rtl/>
        </w:rPr>
        <w:t>،</w:t>
      </w:r>
      <w:r w:rsidR="009C32A0" w:rsidRPr="005675B2">
        <w:rPr>
          <w:rFonts w:hint="cs"/>
          <w:rtl/>
        </w:rPr>
        <w:t xml:space="preserve"> وأيضا توجد بعض الادلة يسهل على عامة الناس أن يفهموها</w:t>
      </w:r>
      <w:r>
        <w:rPr>
          <w:rFonts w:hint="cs"/>
          <w:rtl/>
        </w:rPr>
        <w:t>،</w:t>
      </w:r>
      <w:r w:rsidR="009C32A0" w:rsidRPr="005675B2">
        <w:rPr>
          <w:rFonts w:hint="cs"/>
          <w:rtl/>
        </w:rPr>
        <w:t xml:space="preserve"> وهنا تكمن عبقرية علماء الكلام</w:t>
      </w:r>
      <w:r>
        <w:rPr>
          <w:rFonts w:hint="cs"/>
          <w:rtl/>
        </w:rPr>
        <w:t>،</w:t>
      </w:r>
      <w:r w:rsidR="009C32A0" w:rsidRPr="005675B2">
        <w:rPr>
          <w:rFonts w:hint="cs"/>
          <w:rtl/>
        </w:rPr>
        <w:t xml:space="preserve"> فإنهم لاحظوا اختلاف درجات الناس في الفهم والذكاء</w:t>
      </w:r>
      <w:r>
        <w:rPr>
          <w:rFonts w:hint="cs"/>
          <w:rtl/>
        </w:rPr>
        <w:t>،</w:t>
      </w:r>
      <w:r w:rsidR="009C32A0" w:rsidRPr="005675B2">
        <w:rPr>
          <w:rFonts w:hint="cs"/>
          <w:rtl/>
        </w:rPr>
        <w:t xml:space="preserve"> فوضعوا لكل طائفة منهم ما يناسبهم من الأدلة</w:t>
      </w:r>
      <w:r>
        <w:rPr>
          <w:rFonts w:hint="cs"/>
          <w:rtl/>
        </w:rPr>
        <w:t>،</w:t>
      </w:r>
      <w:r w:rsidR="009C32A0" w:rsidRPr="005675B2">
        <w:rPr>
          <w:rFonts w:hint="cs"/>
          <w:rtl/>
        </w:rPr>
        <w:t xml:space="preserve"> فمن يريد التدقيق والتحقيق يجد ذلك ومن يريد الدليل العام الاجمالي والوعظ الكافي والحجة الخطابية فإنه يجده أيضا</w:t>
      </w:r>
      <w:r>
        <w:rPr>
          <w:rFonts w:hint="cs"/>
          <w:rtl/>
        </w:rPr>
        <w:t>،</w:t>
      </w:r>
      <w:r w:rsidR="009C32A0" w:rsidRPr="005675B2">
        <w:rPr>
          <w:rFonts w:hint="cs"/>
          <w:rtl/>
        </w:rPr>
        <w:t xml:space="preserve"> ولا ينبغي أن يعترض على هذا المنهج أحد من العقلاء</w:t>
      </w:r>
      <w:r>
        <w:rPr>
          <w:rFonts w:hint="cs"/>
          <w:rtl/>
        </w:rPr>
        <w:t>،</w:t>
      </w:r>
      <w:r w:rsidR="009C32A0" w:rsidRPr="005675B2">
        <w:rPr>
          <w:rFonts w:hint="cs"/>
          <w:rtl/>
        </w:rPr>
        <w:t xml:space="preserve"> فلا يجوز لأحد أن يقول أن الدليل يجب أن يكون واحدا لجميع الناس لأن من يقول هذا يخالف صريح العقل وواضح البيان</w:t>
      </w:r>
      <w:r>
        <w:rPr>
          <w:rFonts w:hint="cs"/>
          <w:rtl/>
        </w:rPr>
        <w:t>،</w:t>
      </w:r>
      <w:r w:rsidR="009C32A0" w:rsidRPr="005675B2">
        <w:rPr>
          <w:rFonts w:hint="cs"/>
          <w:rtl/>
        </w:rPr>
        <w:t xml:space="preserve"> ولهذا فإننا نقول أن منهج المتكلمين قد بلغ بهذا الوجه مرتبة عالية من الحكمة</w:t>
      </w:r>
      <w:r>
        <w:rPr>
          <w:rFonts w:hint="cs"/>
          <w:rtl/>
        </w:rPr>
        <w:t>،</w:t>
      </w:r>
      <w:r w:rsidR="009C32A0" w:rsidRPr="005675B2">
        <w:rPr>
          <w:rFonts w:hint="cs"/>
          <w:rtl/>
        </w:rPr>
        <w:t xml:space="preserve"> بخلاف غيرهم ممن لا يطيق ذلك</w:t>
      </w:r>
      <w:r>
        <w:rPr>
          <w:rFonts w:hint="cs"/>
          <w:rtl/>
        </w:rPr>
        <w:t>،</w:t>
      </w:r>
      <w:r w:rsidR="009C32A0" w:rsidRPr="005675B2">
        <w:rPr>
          <w:rFonts w:hint="cs"/>
          <w:rtl/>
        </w:rPr>
        <w:t xml:space="preserve"> </w:t>
      </w:r>
    </w:p>
    <w:p w14:paraId="6B65CA0D" w14:textId="60B573C2" w:rsidR="009C32A0" w:rsidRPr="005675B2" w:rsidRDefault="009C32A0" w:rsidP="000636C2">
      <w:pPr>
        <w:rPr>
          <w:b/>
          <w:rtl/>
        </w:rPr>
      </w:pPr>
      <w:r w:rsidRPr="005675B2">
        <w:rPr>
          <w:rFonts w:hint="cs"/>
          <w:bCs/>
          <w:rtl/>
        </w:rPr>
        <w:t>ب - التوحيد</w:t>
      </w:r>
      <w:r w:rsidR="000636C2">
        <w:rPr>
          <w:rFonts w:hint="cs"/>
          <w:bCs/>
          <w:rtl/>
        </w:rPr>
        <w:t>:</w:t>
      </w:r>
      <w:r w:rsidRPr="005675B2">
        <w:rPr>
          <w:rFonts w:hint="cs"/>
          <w:bCs/>
          <w:rtl/>
        </w:rPr>
        <w:t xml:space="preserve"> </w:t>
      </w:r>
      <w:r w:rsidR="000636C2">
        <w:rPr>
          <w:rFonts w:hint="cs"/>
          <w:rtl/>
        </w:rPr>
        <w:t>(</w:t>
      </w:r>
      <w:r w:rsidRPr="005675B2">
        <w:rPr>
          <w:rFonts w:hint="cs"/>
          <w:rtl/>
        </w:rPr>
        <w:t>أقسام التوحيد</w:t>
      </w:r>
      <w:r w:rsidR="000636C2">
        <w:rPr>
          <w:rFonts w:hint="cs"/>
          <w:rtl/>
        </w:rPr>
        <w:t>):</w:t>
      </w:r>
      <w:r w:rsidRPr="005675B2">
        <w:rPr>
          <w:rFonts w:hint="cs"/>
          <w:rtl/>
        </w:rPr>
        <w:t xml:space="preserve"> التوحيد والوحدانية عند أهل السنة يندرج تحتها مسائل</w:t>
      </w:r>
      <w:r w:rsidR="000636C2">
        <w:rPr>
          <w:rFonts w:hint="cs"/>
          <w:rtl/>
        </w:rPr>
        <w:t>،</w:t>
      </w:r>
      <w:r w:rsidRPr="005675B2">
        <w:rPr>
          <w:rFonts w:hint="cs"/>
          <w:rtl/>
        </w:rPr>
        <w:t xml:space="preserve"> منها ما يتعلق بالذات</w:t>
      </w:r>
      <w:r w:rsidR="000636C2">
        <w:rPr>
          <w:rFonts w:hint="cs"/>
          <w:rtl/>
        </w:rPr>
        <w:t>،</w:t>
      </w:r>
      <w:r w:rsidRPr="005675B2">
        <w:rPr>
          <w:rFonts w:hint="cs"/>
          <w:rtl/>
        </w:rPr>
        <w:t xml:space="preserve"> ومنها ما يتعلق بالمخلوقات في علاقتهم مع الذات الالهية</w:t>
      </w:r>
      <w:r w:rsidR="000636C2">
        <w:rPr>
          <w:rFonts w:hint="cs"/>
          <w:rtl/>
        </w:rPr>
        <w:t>،</w:t>
      </w:r>
      <w:r w:rsidRPr="005675B2">
        <w:rPr>
          <w:rFonts w:hint="cs"/>
          <w:rtl/>
        </w:rPr>
        <w:t xml:space="preserve"> فأما ما يتعلق بالذات</w:t>
      </w:r>
      <w:r w:rsidR="000636C2">
        <w:rPr>
          <w:rFonts w:hint="cs"/>
          <w:rtl/>
        </w:rPr>
        <w:t>،</w:t>
      </w:r>
      <w:r w:rsidRPr="005675B2">
        <w:rPr>
          <w:rFonts w:hint="cs"/>
          <w:rtl/>
        </w:rPr>
        <w:t xml:space="preserve"> فيجب الاعتقاد أن الذات الالهية واحدة وحدة مطلقة من حيث هي ذات</w:t>
      </w:r>
      <w:r w:rsidR="000636C2">
        <w:rPr>
          <w:rFonts w:hint="cs"/>
          <w:rtl/>
        </w:rPr>
        <w:t>،</w:t>
      </w:r>
      <w:r w:rsidRPr="005675B2">
        <w:rPr>
          <w:rFonts w:hint="cs"/>
          <w:rtl/>
        </w:rPr>
        <w:t xml:space="preserve"> متصفة بصفات جليلة</w:t>
      </w:r>
      <w:r w:rsidR="000636C2">
        <w:rPr>
          <w:rFonts w:hint="cs"/>
          <w:rtl/>
        </w:rPr>
        <w:t>،</w:t>
      </w:r>
      <w:r w:rsidRPr="005675B2">
        <w:rPr>
          <w:rFonts w:hint="cs"/>
          <w:rtl/>
        </w:rPr>
        <w:t xml:space="preserve"> منزهة عن شوائب النقص</w:t>
      </w:r>
      <w:r w:rsidR="000636C2">
        <w:rPr>
          <w:rFonts w:hint="cs"/>
          <w:rtl/>
        </w:rPr>
        <w:t>،</w:t>
      </w:r>
      <w:r w:rsidRPr="005675B2">
        <w:rPr>
          <w:rFonts w:hint="cs"/>
          <w:rtl/>
        </w:rPr>
        <w:t xml:space="preserve"> وعن الحدوث ومستلزماته وعن مشابهة الحوادث من حيث هي حادثة من أي وجه كان</w:t>
      </w:r>
      <w:r w:rsidR="000636C2">
        <w:rPr>
          <w:rFonts w:hint="cs"/>
          <w:rtl/>
        </w:rPr>
        <w:t>،</w:t>
      </w:r>
      <w:r w:rsidRPr="005675B2">
        <w:rPr>
          <w:rFonts w:hint="cs"/>
          <w:rtl/>
        </w:rPr>
        <w:t xml:space="preserve"> ويجب تنزيه الله تعالى والقول بوحدانيته في ذاته وصفاته وأفعاله لأن الله تعالى موجود وله صفات وله أفعال</w:t>
      </w:r>
      <w:r w:rsidR="000636C2">
        <w:rPr>
          <w:rFonts w:hint="cs"/>
          <w:rtl/>
        </w:rPr>
        <w:t>،</w:t>
      </w:r>
      <w:r w:rsidRPr="005675B2">
        <w:rPr>
          <w:rFonts w:hint="cs"/>
          <w:rtl/>
        </w:rPr>
        <w:t xml:space="preserve"> فالوحدانية تتعلق بكل أمر من هذه الثلاثة</w:t>
      </w:r>
      <w:r w:rsidR="000636C2">
        <w:rPr>
          <w:rFonts w:hint="cs"/>
          <w:rtl/>
        </w:rPr>
        <w:t>،</w:t>
      </w:r>
      <w:r w:rsidRPr="005675B2">
        <w:rPr>
          <w:rFonts w:hint="cs"/>
          <w:rtl/>
        </w:rPr>
        <w:t xml:space="preserve"> فالوحدانية في الذات</w:t>
      </w:r>
      <w:r w:rsidR="000636C2">
        <w:rPr>
          <w:rFonts w:hint="cs"/>
          <w:rtl/>
        </w:rPr>
        <w:t>:</w:t>
      </w:r>
      <w:r w:rsidRPr="005675B2">
        <w:rPr>
          <w:rFonts w:hint="cs"/>
          <w:rtl/>
        </w:rPr>
        <w:t xml:space="preserve"> كون الذات لا يشبهها شيء فلا يوجد ذات متصفة بالكمال المطلق غير ذات الله تعالى وأيضا فهي واحدة لا تتكون من أجزاء وليست مركبة لأن التركيب والأجزاء من سمات الحدوث</w:t>
      </w:r>
      <w:r w:rsidR="000636C2">
        <w:rPr>
          <w:rFonts w:hint="cs"/>
          <w:rtl/>
        </w:rPr>
        <w:t>،</w:t>
      </w:r>
      <w:r w:rsidRPr="005675B2">
        <w:rPr>
          <w:rFonts w:hint="cs"/>
          <w:rtl/>
        </w:rPr>
        <w:t xml:space="preserve"> والوحدانية في الصفات</w:t>
      </w:r>
      <w:r w:rsidR="000636C2">
        <w:rPr>
          <w:rFonts w:hint="cs"/>
          <w:rtl/>
        </w:rPr>
        <w:t>:</w:t>
      </w:r>
      <w:r w:rsidRPr="005675B2">
        <w:rPr>
          <w:rFonts w:hint="cs"/>
          <w:rtl/>
        </w:rPr>
        <w:t xml:space="preserve"> كون الذات موصوفة ومتصفة بصفات الكمال المطلق وأن هذه الصفات لا تنسب الى غير الله كما تنسب اليه تعالى</w:t>
      </w:r>
      <w:r w:rsidR="000636C2">
        <w:rPr>
          <w:rFonts w:hint="cs"/>
          <w:rtl/>
        </w:rPr>
        <w:t>،</w:t>
      </w:r>
      <w:r w:rsidRPr="005675B2">
        <w:rPr>
          <w:rFonts w:hint="cs"/>
          <w:rtl/>
        </w:rPr>
        <w:t xml:space="preserve"> والوحدانية في الأفعال</w:t>
      </w:r>
      <w:r w:rsidR="000636C2">
        <w:rPr>
          <w:rFonts w:hint="cs"/>
          <w:rtl/>
        </w:rPr>
        <w:t>:</w:t>
      </w:r>
      <w:r w:rsidRPr="005675B2">
        <w:rPr>
          <w:rFonts w:hint="cs"/>
          <w:rtl/>
        </w:rPr>
        <w:t xml:space="preserve"> كون الله تعالى متصفا بأنه فاعل خالق مختار اختيارا مطلقا</w:t>
      </w:r>
      <w:r w:rsidR="000636C2">
        <w:rPr>
          <w:rFonts w:hint="cs"/>
          <w:rtl/>
        </w:rPr>
        <w:t>،</w:t>
      </w:r>
      <w:r w:rsidRPr="005675B2">
        <w:rPr>
          <w:rFonts w:hint="cs"/>
          <w:rtl/>
        </w:rPr>
        <w:t xml:space="preserve"> لا يمنعه شيء عما يريد</w:t>
      </w:r>
      <w:r w:rsidR="000636C2">
        <w:rPr>
          <w:rFonts w:hint="cs"/>
          <w:rtl/>
        </w:rPr>
        <w:t>،</w:t>
      </w:r>
      <w:r w:rsidRPr="005675B2">
        <w:rPr>
          <w:rFonts w:hint="cs"/>
          <w:rtl/>
        </w:rPr>
        <w:t xml:space="preserve"> ولا بذلك الا هو تعالى</w:t>
      </w:r>
      <w:r w:rsidR="000636C2">
        <w:rPr>
          <w:rFonts w:hint="cs"/>
          <w:rtl/>
        </w:rPr>
        <w:t>،</w:t>
      </w:r>
      <w:r w:rsidRPr="005675B2">
        <w:rPr>
          <w:rFonts w:hint="cs"/>
          <w:rtl/>
        </w:rPr>
        <w:t xml:space="preserve"> فلا يجوز أن ينسب معنى أفعال الله تعالى وهو الخلق والابداع إلى غيره</w:t>
      </w:r>
      <w:r w:rsidR="000636C2">
        <w:rPr>
          <w:rFonts w:hint="cs"/>
          <w:rtl/>
        </w:rPr>
        <w:t>،</w:t>
      </w:r>
      <w:r w:rsidRPr="005675B2">
        <w:rPr>
          <w:rFonts w:hint="cs"/>
          <w:rtl/>
        </w:rPr>
        <w:t xml:space="preserve"> فهذه كلمات مختصرة توضح المراد بالتوحيد والوحدانية عند اهل السنة</w:t>
      </w:r>
      <w:r w:rsidR="000636C2">
        <w:rPr>
          <w:rFonts w:hint="cs"/>
          <w:rtl/>
        </w:rPr>
        <w:t>،</w:t>
      </w:r>
      <w:r w:rsidRPr="005675B2">
        <w:rPr>
          <w:rFonts w:hint="cs"/>
          <w:rtl/>
        </w:rPr>
        <w:t xml:space="preserve"> وقد اتفق على هذه المعاني جميع المسلمين</w:t>
      </w:r>
      <w:r w:rsidR="000636C2">
        <w:rPr>
          <w:rFonts w:hint="cs"/>
          <w:rtl/>
        </w:rPr>
        <w:t>،</w:t>
      </w:r>
      <w:r w:rsidRPr="005675B2">
        <w:rPr>
          <w:rFonts w:hint="cs"/>
          <w:rtl/>
        </w:rPr>
        <w:t xml:space="preserve"> ولكن قد جرى النزاع في أمور ادعاها البعض من غير أهل السنة فقال أن للتوحيد غير ما ذكرتم</w:t>
      </w:r>
      <w:r w:rsidR="000636C2">
        <w:rPr>
          <w:rFonts w:hint="cs"/>
          <w:rtl/>
        </w:rPr>
        <w:t>،</w:t>
      </w:r>
      <w:r w:rsidRPr="005675B2">
        <w:rPr>
          <w:rFonts w:hint="cs"/>
          <w:rtl/>
        </w:rPr>
        <w:t xml:space="preserve"> وهى</w:t>
      </w:r>
      <w:r w:rsidR="000636C2">
        <w:rPr>
          <w:rFonts w:hint="cs"/>
          <w:rtl/>
        </w:rPr>
        <w:t xml:space="preserve">: </w:t>
      </w:r>
      <w:r w:rsidRPr="005675B2">
        <w:rPr>
          <w:rFonts w:hint="cs"/>
          <w:rtl/>
        </w:rPr>
        <w:t>- التوحيد في الربوبية</w:t>
      </w:r>
      <w:r w:rsidR="000636C2">
        <w:rPr>
          <w:rFonts w:hint="cs"/>
          <w:rtl/>
        </w:rPr>
        <w:t xml:space="preserve">، </w:t>
      </w:r>
      <w:r w:rsidRPr="005675B2">
        <w:rPr>
          <w:rFonts w:hint="cs"/>
          <w:rtl/>
        </w:rPr>
        <w:t>- التوحيد في الألوهية</w:t>
      </w:r>
      <w:r w:rsidR="000636C2">
        <w:rPr>
          <w:rFonts w:hint="cs"/>
          <w:rtl/>
        </w:rPr>
        <w:t xml:space="preserve">، </w:t>
      </w:r>
      <w:r w:rsidRPr="005675B2">
        <w:rPr>
          <w:rFonts w:hint="cs"/>
          <w:rtl/>
        </w:rPr>
        <w:t>- التوحيد في الأسماء والصفات</w:t>
      </w:r>
      <w:r w:rsidR="000636C2">
        <w:rPr>
          <w:rFonts w:hint="cs"/>
          <w:rtl/>
        </w:rPr>
        <w:t>،</w:t>
      </w:r>
      <w:r w:rsidRPr="005675B2">
        <w:rPr>
          <w:rFonts w:hint="cs"/>
          <w:rtl/>
        </w:rPr>
        <w:t xml:space="preserve"> وادعى أن تقسيم التوحيد بهذا الأسلوب وما عليه السلف</w:t>
      </w:r>
      <w:r w:rsidR="000636C2">
        <w:rPr>
          <w:rFonts w:hint="cs"/>
          <w:rtl/>
        </w:rPr>
        <w:t>،</w:t>
      </w:r>
      <w:r w:rsidRPr="005675B2">
        <w:rPr>
          <w:rFonts w:hint="cs"/>
          <w:rtl/>
        </w:rPr>
        <w:t xml:space="preserve"> وهو موجود في كتبهم قاطبة</w:t>
      </w:r>
      <w:r w:rsidR="000636C2">
        <w:rPr>
          <w:rFonts w:hint="cs"/>
          <w:rtl/>
        </w:rPr>
        <w:t>،</w:t>
      </w:r>
      <w:r w:rsidRPr="005675B2">
        <w:rPr>
          <w:rFonts w:hint="cs"/>
          <w:rtl/>
        </w:rPr>
        <w:t xml:space="preserve"> وهذا ادعاء ليس عليه دليل بل هو باطل بالاستقراء نفسه الذى يدعيه هو دليلا عليه</w:t>
      </w:r>
      <w:r w:rsidR="000636C2">
        <w:rPr>
          <w:rFonts w:hint="cs"/>
          <w:rtl/>
        </w:rPr>
        <w:t>،</w:t>
      </w:r>
      <w:r w:rsidRPr="005675B2">
        <w:rPr>
          <w:rFonts w:hint="cs"/>
          <w:rtl/>
        </w:rPr>
        <w:t xml:space="preserve"> وحقيقة هذه المسألة وهى تقسيم التوحيد قد تكلمنا عليها في أكثر من موضع مما كتبناه</w:t>
      </w:r>
      <w:r w:rsidR="000636C2">
        <w:rPr>
          <w:rFonts w:hint="cs"/>
          <w:rtl/>
        </w:rPr>
        <w:t>،</w:t>
      </w:r>
      <w:r w:rsidRPr="005675B2">
        <w:rPr>
          <w:rFonts w:hint="cs"/>
          <w:rtl/>
        </w:rPr>
        <w:t xml:space="preserve"> وذكرها العديد من العلماء</w:t>
      </w:r>
      <w:r w:rsidR="000636C2">
        <w:rPr>
          <w:rFonts w:hint="cs"/>
          <w:rtl/>
        </w:rPr>
        <w:t>،</w:t>
      </w:r>
      <w:r w:rsidRPr="005675B2">
        <w:rPr>
          <w:rFonts w:hint="cs"/>
          <w:rtl/>
        </w:rPr>
        <w:t xml:space="preserve"> فالكلام فيها مشهور وتلخيص الكلام</w:t>
      </w:r>
      <w:r w:rsidR="000636C2">
        <w:rPr>
          <w:rFonts w:hint="cs"/>
          <w:rtl/>
        </w:rPr>
        <w:t>:</w:t>
      </w:r>
      <w:r w:rsidRPr="005675B2">
        <w:rPr>
          <w:rFonts w:hint="cs"/>
          <w:rtl/>
        </w:rPr>
        <w:t xml:space="preserve"> أن هذا التقسيم أن كان المراد به هو التسهيل على الأفهام التوضيح والتدريس لعامة الناس وطلاب العلم</w:t>
      </w:r>
      <w:r w:rsidR="000636C2">
        <w:rPr>
          <w:rFonts w:hint="cs"/>
          <w:rtl/>
        </w:rPr>
        <w:t>،</w:t>
      </w:r>
      <w:r w:rsidRPr="005675B2">
        <w:rPr>
          <w:rFonts w:hint="cs"/>
          <w:rtl/>
        </w:rPr>
        <w:t xml:space="preserve"> فقد يتسامح فيه بشرط عدم حصر الأقسام بما ذكروا</w:t>
      </w:r>
      <w:r w:rsidR="000636C2">
        <w:rPr>
          <w:rFonts w:hint="cs"/>
          <w:rtl/>
        </w:rPr>
        <w:t>،</w:t>
      </w:r>
      <w:r w:rsidRPr="005675B2">
        <w:rPr>
          <w:rFonts w:hint="cs"/>
          <w:rtl/>
        </w:rPr>
        <w:t xml:space="preserve"> وهذا إذا خلا عن الغلط في تقسيم المعاني</w:t>
      </w:r>
      <w:r w:rsidR="000636C2">
        <w:rPr>
          <w:rFonts w:hint="cs"/>
          <w:rtl/>
        </w:rPr>
        <w:t>،</w:t>
      </w:r>
      <w:r w:rsidRPr="005675B2">
        <w:rPr>
          <w:rFonts w:hint="cs"/>
          <w:rtl/>
        </w:rPr>
        <w:t xml:space="preserve"> ولكن الحال غير هذا</w:t>
      </w:r>
      <w:r w:rsidR="000636C2">
        <w:rPr>
          <w:rFonts w:hint="cs"/>
          <w:rtl/>
        </w:rPr>
        <w:t>،</w:t>
      </w:r>
      <w:r w:rsidRPr="005675B2">
        <w:rPr>
          <w:rFonts w:hint="cs"/>
          <w:rtl/>
        </w:rPr>
        <w:t xml:space="preserve"> فقد بينا نحن أن معانى هذا التقسيم المذكور ليست بمستقيمة ولا تامة وفيها تلفيق وذكرنا أنها وضعت أصلا كتقسيم في القرن الثامن الهجري من قبل بعض المجسمة أراد بها الرد على ما ذكره أهل السنة من كلام في هذا الباب</w:t>
      </w:r>
      <w:r w:rsidR="000636C2">
        <w:rPr>
          <w:rFonts w:hint="cs"/>
          <w:rtl/>
        </w:rPr>
        <w:t>،</w:t>
      </w:r>
      <w:r w:rsidRPr="005675B2">
        <w:rPr>
          <w:rFonts w:hint="cs"/>
          <w:rtl/>
        </w:rPr>
        <w:t xml:space="preserve"> ولم يكن همه استقراء المعاني الشرعية وتحقيقها ثم ذكر خلاصة ما بان له وظهر في المسألة</w:t>
      </w:r>
      <w:r w:rsidR="000636C2">
        <w:rPr>
          <w:rFonts w:hint="cs"/>
          <w:rtl/>
        </w:rPr>
        <w:t>،</w:t>
      </w:r>
      <w:r w:rsidRPr="005675B2">
        <w:rPr>
          <w:rFonts w:hint="cs"/>
          <w:rtl/>
        </w:rPr>
        <w:t xml:space="preserve"> وحتى لو سلمنا لهم هذا التقسيم المذكور</w:t>
      </w:r>
      <w:r w:rsidR="000636C2">
        <w:rPr>
          <w:rFonts w:hint="cs"/>
          <w:rtl/>
        </w:rPr>
        <w:t>،</w:t>
      </w:r>
      <w:r w:rsidRPr="005675B2">
        <w:rPr>
          <w:rFonts w:hint="cs"/>
          <w:rtl/>
        </w:rPr>
        <w:t xml:space="preserve"> فلم يصرون على أنه هو الذى اختاره السلف</w:t>
      </w:r>
      <w:r w:rsidR="000636C2">
        <w:rPr>
          <w:rFonts w:hint="cs"/>
          <w:rtl/>
        </w:rPr>
        <w:t xml:space="preserve"> </w:t>
      </w:r>
      <w:r w:rsidRPr="005675B2">
        <w:rPr>
          <w:rFonts w:hint="cs"/>
          <w:rtl/>
        </w:rPr>
        <w:t>- أي الصحابة والتابعون وتابعوا التابعين</w:t>
      </w:r>
      <w:r w:rsidR="000636C2">
        <w:rPr>
          <w:rFonts w:hint="cs"/>
          <w:rtl/>
        </w:rPr>
        <w:t xml:space="preserve"> </w:t>
      </w:r>
      <w:r w:rsidRPr="005675B2">
        <w:rPr>
          <w:rFonts w:hint="cs"/>
          <w:rtl/>
        </w:rPr>
        <w:t>- وردوا غيره</w:t>
      </w:r>
      <w:r w:rsidR="000636C2">
        <w:rPr>
          <w:rFonts w:hint="cs"/>
          <w:rtl/>
        </w:rPr>
        <w:t>،</w:t>
      </w:r>
      <w:r w:rsidRPr="005675B2">
        <w:rPr>
          <w:rFonts w:hint="cs"/>
          <w:rtl/>
        </w:rPr>
        <w:t xml:space="preserve"> في حين أننا نعلم وهم يعلمون أنه لم يظهر هذا التقسيم إلى حيز الوجود إلا في القرن الثامن الهجري على يد شيخهم ابن تيمية</w:t>
      </w:r>
      <w:r w:rsidR="000636C2">
        <w:rPr>
          <w:rFonts w:hint="cs"/>
          <w:rtl/>
        </w:rPr>
        <w:t xml:space="preserve">؟ </w:t>
      </w:r>
      <w:r w:rsidRPr="005675B2">
        <w:rPr>
          <w:rFonts w:hint="cs"/>
          <w:rtl/>
        </w:rPr>
        <w:t>وكل ما ورد من عبارات على لسان المتقدمين فإنما هو إشارات وبيان لمعاني الربوبية والألوهية والأسماء والصفات</w:t>
      </w:r>
      <w:r w:rsidR="000636C2">
        <w:rPr>
          <w:rFonts w:hint="cs"/>
          <w:rtl/>
        </w:rPr>
        <w:t>،</w:t>
      </w:r>
      <w:r w:rsidRPr="005675B2">
        <w:rPr>
          <w:rFonts w:hint="cs"/>
          <w:rtl/>
        </w:rPr>
        <w:t xml:space="preserve"> وردت متناثرة ولم يريدوا بها حقيقة التقسيم حتى جاء هؤلاء المدعون</w:t>
      </w:r>
      <w:r w:rsidR="000636C2">
        <w:rPr>
          <w:rFonts w:hint="cs"/>
          <w:rtl/>
        </w:rPr>
        <w:t>،</w:t>
      </w:r>
      <w:r w:rsidRPr="005675B2">
        <w:rPr>
          <w:rFonts w:hint="cs"/>
          <w:rtl/>
        </w:rPr>
        <w:t xml:space="preserve"> وصاروا يتوهمون أن كل إنسان تلفظ بكلمة الألوهية أو الربوبية فقد أراد بها ذكر قسم من أقسام التوحيد</w:t>
      </w:r>
      <w:r w:rsidR="000636C2">
        <w:rPr>
          <w:rFonts w:hint="cs"/>
          <w:rtl/>
        </w:rPr>
        <w:t>،</w:t>
      </w:r>
      <w:r w:rsidRPr="005675B2">
        <w:rPr>
          <w:rFonts w:hint="cs"/>
          <w:rtl/>
        </w:rPr>
        <w:t xml:space="preserve"> ثم هم قالوا بناء على هذا التقسيم أن توحيد الربوبية ليس كاف في الدخول في الإيمان والإسلام</w:t>
      </w:r>
      <w:r w:rsidR="000636C2">
        <w:rPr>
          <w:rFonts w:hint="cs"/>
          <w:rtl/>
        </w:rPr>
        <w:t>،</w:t>
      </w:r>
      <w:r w:rsidRPr="005675B2">
        <w:rPr>
          <w:rFonts w:hint="cs"/>
          <w:rtl/>
        </w:rPr>
        <w:t xml:space="preserve"> وأن المشركين كانوا موحدين توحيد الربوبية</w:t>
      </w:r>
      <w:r w:rsidR="000636C2">
        <w:rPr>
          <w:rFonts w:hint="cs"/>
          <w:rtl/>
        </w:rPr>
        <w:t>،</w:t>
      </w:r>
      <w:r w:rsidRPr="005675B2">
        <w:rPr>
          <w:rFonts w:hint="cs"/>
          <w:rtl/>
        </w:rPr>
        <w:t xml:space="preserve"> وهذا الكلام في غاية البطلان لما ورد في نصوص القرآن من أن النصارى اتخذوا أحبارهم ورهبانهم أربابا من دون الله</w:t>
      </w:r>
      <w:r w:rsidR="000636C2">
        <w:rPr>
          <w:rFonts w:hint="cs"/>
          <w:rtl/>
        </w:rPr>
        <w:t>،</w:t>
      </w:r>
      <w:r w:rsidRPr="005675B2">
        <w:rPr>
          <w:rFonts w:hint="cs"/>
          <w:rtl/>
        </w:rPr>
        <w:t xml:space="preserve"> ولما ورد فيه من أن مشركي العرب كانوا يعبدون غير الله معتقدين انه ينفعهم ويضرهم</w:t>
      </w:r>
      <w:r w:rsidR="000636C2">
        <w:rPr>
          <w:rFonts w:hint="cs"/>
          <w:rtl/>
        </w:rPr>
        <w:t>،</w:t>
      </w:r>
      <w:r w:rsidRPr="005675B2">
        <w:rPr>
          <w:rFonts w:hint="cs"/>
          <w:rtl/>
        </w:rPr>
        <w:t xml:space="preserve"> كما ذكرنا هذا بتفصيل في محل آخر</w:t>
      </w:r>
      <w:r w:rsidR="000636C2">
        <w:rPr>
          <w:rFonts w:hint="cs"/>
          <w:rtl/>
        </w:rPr>
        <w:t>،</w:t>
      </w:r>
      <w:r w:rsidRPr="005675B2">
        <w:rPr>
          <w:rFonts w:hint="cs"/>
          <w:rtl/>
        </w:rPr>
        <w:t xml:space="preserve"> ثم زادوا على ذلك بأن قالوا أن سائر الأشاعرة والماتريدية لم يحققوا من أقسام التوحيد إلا توحيد الربوبية</w:t>
      </w:r>
      <w:r w:rsidR="000636C2">
        <w:rPr>
          <w:rFonts w:hint="cs"/>
          <w:rtl/>
        </w:rPr>
        <w:t>،</w:t>
      </w:r>
      <w:r w:rsidRPr="005675B2">
        <w:rPr>
          <w:rFonts w:hint="cs"/>
          <w:rtl/>
        </w:rPr>
        <w:t xml:space="preserve"> فساووا</w:t>
      </w:r>
      <w:r w:rsidRPr="005675B2">
        <w:rPr>
          <w:rFonts w:hint="cs"/>
        </w:rPr>
        <w:t xml:space="preserve"> </w:t>
      </w:r>
      <w:r w:rsidRPr="005675B2">
        <w:rPr>
          <w:rFonts w:hint="cs"/>
          <w:rtl/>
        </w:rPr>
        <w:t>بينهم وبين المشركين</w:t>
      </w:r>
      <w:r w:rsidR="000636C2">
        <w:rPr>
          <w:rFonts w:hint="cs"/>
          <w:rtl/>
        </w:rPr>
        <w:t>؟!</w:t>
      </w:r>
      <w:r w:rsidRPr="005675B2">
        <w:rPr>
          <w:rFonts w:hint="cs"/>
          <w:rtl/>
        </w:rPr>
        <w:t xml:space="preserve"> وتناسوا أن الغالبية العظمى من علماء الدين هم أشاعرة وماتريدية</w:t>
      </w:r>
      <w:r w:rsidR="000636C2">
        <w:rPr>
          <w:rFonts w:hint="cs"/>
          <w:rtl/>
        </w:rPr>
        <w:t>،</w:t>
      </w:r>
      <w:r w:rsidRPr="005675B2">
        <w:rPr>
          <w:rFonts w:hint="cs"/>
          <w:rtl/>
        </w:rPr>
        <w:t xml:space="preserve"> أبدعوا في سائر العلوم وسيبقى هذا من مفاخرهم وشوكة في عيون هؤلاء المجسمة عديمى التحصيل</w:t>
      </w:r>
      <w:r w:rsidR="000636C2">
        <w:rPr>
          <w:rFonts w:hint="cs"/>
          <w:rtl/>
        </w:rPr>
        <w:t>،</w:t>
      </w:r>
      <w:r w:rsidRPr="005675B2">
        <w:rPr>
          <w:rFonts w:hint="cs"/>
          <w:rtl/>
        </w:rPr>
        <w:t xml:space="preserve"> وهؤلاء لا ينكرون أن أغلب العلماء من المسلمين والعامة هم أشاعرة وماتريدية وذلك على طول القرون إلى هذه الأيام</w:t>
      </w:r>
      <w:r w:rsidR="000636C2">
        <w:rPr>
          <w:rFonts w:hint="cs"/>
          <w:rtl/>
        </w:rPr>
        <w:t>،</w:t>
      </w:r>
      <w:r w:rsidRPr="005675B2">
        <w:rPr>
          <w:rFonts w:hint="cs"/>
          <w:rtl/>
        </w:rPr>
        <w:t xml:space="preserve"> ولكنهم يكابرون ويقولون لا يضرنا مخالفة الأكثرين حتى وإن كانوا من اعلم علماء المسلمين</w:t>
      </w:r>
      <w:r w:rsidR="000636C2">
        <w:rPr>
          <w:rFonts w:hint="cs"/>
          <w:rtl/>
        </w:rPr>
        <w:t>،</w:t>
      </w:r>
      <w:r w:rsidRPr="005675B2">
        <w:rPr>
          <w:rFonts w:hint="cs"/>
          <w:rtl/>
        </w:rPr>
        <w:t xml:space="preserve"> وعجبا لهم مع أن من برز اسمه منهم وجاز له أن يتكلم مع اعوجاج رأيه وسقم تفكيره لم يتجاوز عددهم أصابع اليدين</w:t>
      </w:r>
      <w:r w:rsidR="000636C2">
        <w:rPr>
          <w:rFonts w:hint="cs"/>
          <w:rtl/>
        </w:rPr>
        <w:t>،</w:t>
      </w:r>
      <w:r w:rsidRPr="005675B2">
        <w:rPr>
          <w:rFonts w:hint="cs"/>
          <w:rtl/>
        </w:rPr>
        <w:t xml:space="preserve"> الا انهم يرون انفسهم قد حازوا</w:t>
      </w:r>
      <w:r w:rsidRPr="005675B2">
        <w:rPr>
          <w:rFonts w:hint="cs"/>
        </w:rPr>
        <w:t xml:space="preserve"> </w:t>
      </w:r>
      <w:r w:rsidRPr="005675B2">
        <w:rPr>
          <w:rFonts w:hint="cs"/>
          <w:rtl/>
        </w:rPr>
        <w:t>علوم المتقدمين والمتأخرين</w:t>
      </w:r>
      <w:r w:rsidR="000636C2">
        <w:rPr>
          <w:rFonts w:hint="cs"/>
          <w:rtl/>
        </w:rPr>
        <w:t>؟!</w:t>
      </w:r>
      <w:r w:rsidRPr="005675B2">
        <w:rPr>
          <w:rFonts w:hint="cs"/>
          <w:rtl/>
        </w:rPr>
        <w:t xml:space="preserve"> وما هذا الا غاية في الضلال والجهل</w:t>
      </w:r>
      <w:r w:rsidR="000636C2">
        <w:rPr>
          <w:rFonts w:hint="cs"/>
          <w:rtl/>
        </w:rPr>
        <w:t>،</w:t>
      </w:r>
      <w:r w:rsidRPr="005675B2">
        <w:rPr>
          <w:rFonts w:hint="cs"/>
          <w:rtl/>
        </w:rPr>
        <w:t xml:space="preserve"> وهؤلاء أدخلوا قضايا التجسيم في صفات الله تعالى</w:t>
      </w:r>
      <w:r w:rsidR="000636C2">
        <w:rPr>
          <w:rFonts w:hint="cs"/>
          <w:rtl/>
        </w:rPr>
        <w:t>،</w:t>
      </w:r>
      <w:r w:rsidRPr="005675B2">
        <w:rPr>
          <w:rFonts w:hint="cs"/>
          <w:rtl/>
        </w:rPr>
        <w:t xml:space="preserve"> فقالوا له حد من جميع الجهات</w:t>
      </w:r>
      <w:r w:rsidR="000636C2">
        <w:rPr>
          <w:rFonts w:hint="cs"/>
          <w:rtl/>
        </w:rPr>
        <w:t>،</w:t>
      </w:r>
      <w:r w:rsidRPr="005675B2">
        <w:rPr>
          <w:rFonts w:hint="cs"/>
          <w:rtl/>
        </w:rPr>
        <w:t xml:space="preserve"> وهو في جهة وفي مكان سموه عدميا</w:t>
      </w:r>
      <w:r w:rsidR="000636C2">
        <w:rPr>
          <w:rFonts w:hint="cs"/>
          <w:rtl/>
        </w:rPr>
        <w:t>،</w:t>
      </w:r>
      <w:r w:rsidRPr="005675B2">
        <w:rPr>
          <w:rFonts w:hint="cs"/>
          <w:rtl/>
        </w:rPr>
        <w:t xml:space="preserve"> وبعضهم وجوديا</w:t>
      </w:r>
      <w:r w:rsidR="000636C2">
        <w:rPr>
          <w:rFonts w:hint="cs"/>
          <w:rtl/>
        </w:rPr>
        <w:t>،</w:t>
      </w:r>
      <w:r w:rsidRPr="005675B2">
        <w:rPr>
          <w:rFonts w:hint="cs"/>
          <w:rtl/>
        </w:rPr>
        <w:t xml:space="preserve"> ونسبوا إلى الله تعالى الحركة والانتقال من محل إلى محل</w:t>
      </w:r>
      <w:r w:rsidR="000636C2">
        <w:rPr>
          <w:rFonts w:hint="cs"/>
          <w:rtl/>
        </w:rPr>
        <w:t>،</w:t>
      </w:r>
      <w:r w:rsidRPr="005675B2">
        <w:rPr>
          <w:rFonts w:hint="cs"/>
          <w:rtl/>
        </w:rPr>
        <w:t xml:space="preserve"> والقول بأن الحوادث تقوم بذات الله تعالى</w:t>
      </w:r>
      <w:r w:rsidR="000636C2">
        <w:rPr>
          <w:rFonts w:hint="cs"/>
          <w:rtl/>
        </w:rPr>
        <w:t>،</w:t>
      </w:r>
      <w:r w:rsidRPr="005675B2">
        <w:rPr>
          <w:rFonts w:hint="cs"/>
          <w:rtl/>
        </w:rPr>
        <w:t xml:space="preserve"> وأن التغير يطرأ عليه</w:t>
      </w:r>
      <w:r w:rsidR="000636C2">
        <w:rPr>
          <w:rFonts w:hint="cs"/>
          <w:rtl/>
        </w:rPr>
        <w:t>،</w:t>
      </w:r>
      <w:r w:rsidRPr="005675B2">
        <w:rPr>
          <w:rFonts w:hint="cs"/>
          <w:rtl/>
        </w:rPr>
        <w:t xml:space="preserve"> جل شأنه</w:t>
      </w:r>
      <w:r w:rsidR="000636C2">
        <w:rPr>
          <w:rFonts w:hint="cs"/>
          <w:rtl/>
        </w:rPr>
        <w:t>،</w:t>
      </w:r>
      <w:r w:rsidRPr="005675B2">
        <w:rPr>
          <w:rFonts w:hint="cs"/>
          <w:rtl/>
        </w:rPr>
        <w:t xml:space="preserve"> إلى غير ذلك من القضايا الفاسدة</w:t>
      </w:r>
      <w:r w:rsidR="000636C2">
        <w:rPr>
          <w:rFonts w:hint="cs"/>
          <w:rtl/>
        </w:rPr>
        <w:t>،</w:t>
      </w:r>
      <w:r w:rsidRPr="005675B2">
        <w:rPr>
          <w:rFonts w:hint="cs"/>
          <w:rtl/>
        </w:rPr>
        <w:t xml:space="preserve"> كنسبة العين واليدين اليه تعالى مع عدم نفي كونهما أعضاء</w:t>
      </w:r>
      <w:r w:rsidR="000636C2">
        <w:rPr>
          <w:rFonts w:hint="cs"/>
          <w:rtl/>
        </w:rPr>
        <w:t>،</w:t>
      </w:r>
      <w:r w:rsidRPr="005675B2">
        <w:rPr>
          <w:rFonts w:hint="cs"/>
          <w:rtl/>
        </w:rPr>
        <w:t xml:space="preserve"> بل هم يعتقدون كونها أعضاء وأجزاء لله تعالى عن ذلك</w:t>
      </w:r>
      <w:r w:rsidR="000636C2">
        <w:rPr>
          <w:rFonts w:hint="cs"/>
          <w:rtl/>
        </w:rPr>
        <w:t>،</w:t>
      </w:r>
      <w:r w:rsidRPr="005675B2">
        <w:rPr>
          <w:rFonts w:hint="cs"/>
          <w:rtl/>
        </w:rPr>
        <w:t xml:space="preserve"> ونسبوا اليه تعالى الاستقرار والجلوس على العرش </w:t>
      </w:r>
      <w:r w:rsidR="000636C2">
        <w:rPr>
          <w:rFonts w:hint="cs"/>
          <w:rtl/>
        </w:rPr>
        <w:t>[</w:t>
      </w:r>
      <w:r w:rsidRPr="005675B2">
        <w:rPr>
          <w:rFonts w:hint="cs"/>
          <w:rtl/>
        </w:rPr>
        <w:t>راجع كتابنا</w:t>
      </w:r>
      <w:r w:rsidR="000636C2">
        <w:rPr>
          <w:rFonts w:hint="cs"/>
          <w:rtl/>
        </w:rPr>
        <w:t>:</w:t>
      </w:r>
      <w:r w:rsidRPr="005675B2">
        <w:rPr>
          <w:rFonts w:hint="cs"/>
          <w:rtl/>
        </w:rPr>
        <w:t xml:space="preserve"> الكاشف الصغير عن عقائد ابن تيمية</w:t>
      </w:r>
      <w:r w:rsidR="000636C2">
        <w:rPr>
          <w:rFonts w:hint="cs"/>
          <w:rtl/>
        </w:rPr>
        <w:t>]،</w:t>
      </w:r>
      <w:r w:rsidRPr="005675B2">
        <w:rPr>
          <w:rFonts w:hint="cs"/>
          <w:rtl/>
        </w:rPr>
        <w:t xml:space="preserve"> أدخلوا كل هذه المفاسد في قسم الاسماء والصفات</w:t>
      </w:r>
      <w:r w:rsidR="000636C2">
        <w:rPr>
          <w:rFonts w:hint="cs"/>
          <w:rtl/>
        </w:rPr>
        <w:t>،</w:t>
      </w:r>
      <w:r w:rsidRPr="005675B2">
        <w:rPr>
          <w:rFonts w:hint="cs"/>
          <w:rtl/>
        </w:rPr>
        <w:t xml:space="preserve"> واعتبروه قسما من أقسام التوحيد</w:t>
      </w:r>
      <w:r w:rsidR="000636C2">
        <w:rPr>
          <w:rFonts w:hint="cs"/>
          <w:rtl/>
        </w:rPr>
        <w:t>،</w:t>
      </w:r>
      <w:r w:rsidRPr="005675B2">
        <w:rPr>
          <w:rFonts w:hint="cs"/>
          <w:rtl/>
        </w:rPr>
        <w:t xml:space="preserve"> وصاروا يبدعون كل من خالفهم فيه معتبرين أنفسهم أهل الحق والتحقيق</w:t>
      </w:r>
      <w:r w:rsidR="000636C2">
        <w:rPr>
          <w:rFonts w:hint="cs"/>
          <w:rtl/>
        </w:rPr>
        <w:t>،</w:t>
      </w:r>
      <w:r w:rsidRPr="005675B2">
        <w:rPr>
          <w:rFonts w:hint="cs"/>
          <w:rtl/>
        </w:rPr>
        <w:t xml:space="preserve"> واستصغروا سائر علماء الأمة ونسبوا اليم الضلال</w:t>
      </w:r>
      <w:r w:rsidR="000636C2">
        <w:rPr>
          <w:rFonts w:hint="cs"/>
          <w:rtl/>
        </w:rPr>
        <w:t>،</w:t>
      </w:r>
      <w:r w:rsidRPr="005675B2">
        <w:rPr>
          <w:rFonts w:hint="cs"/>
          <w:rtl/>
        </w:rPr>
        <w:t xml:space="preserve"> ولم يحكموا بالجنة الا لمن سار على دربهم الفاسد هذا</w:t>
      </w:r>
      <w:r w:rsidR="000636C2">
        <w:rPr>
          <w:rFonts w:hint="cs"/>
          <w:rtl/>
        </w:rPr>
        <w:t>،</w:t>
      </w:r>
      <w:r w:rsidRPr="005675B2">
        <w:rPr>
          <w:rFonts w:hint="cs"/>
          <w:rtl/>
        </w:rPr>
        <w:t xml:space="preserve"> - </w:t>
      </w:r>
      <w:r w:rsidRPr="005675B2">
        <w:rPr>
          <w:rFonts w:hint="cs"/>
          <w:bCs/>
          <w:rtl/>
        </w:rPr>
        <w:t>أول واجب على المكلف</w:t>
      </w:r>
      <w:r w:rsidR="000636C2">
        <w:rPr>
          <w:rFonts w:hint="cs"/>
          <w:bCs/>
          <w:rtl/>
        </w:rPr>
        <w:t>:</w:t>
      </w:r>
      <w:r w:rsidRPr="005675B2">
        <w:rPr>
          <w:rFonts w:hint="cs"/>
          <w:bCs/>
          <w:rtl/>
        </w:rPr>
        <w:t xml:space="preserve"> </w:t>
      </w:r>
      <w:r w:rsidRPr="005675B2">
        <w:rPr>
          <w:rFonts w:hint="cs"/>
          <w:rtl/>
        </w:rPr>
        <w:t>اشتهر عند أهل السنة أن أول واجب هو معرفة الله تعالى</w:t>
      </w:r>
      <w:r w:rsidR="000636C2">
        <w:rPr>
          <w:rFonts w:hint="cs"/>
          <w:rtl/>
        </w:rPr>
        <w:t>،</w:t>
      </w:r>
      <w:r w:rsidRPr="005675B2">
        <w:rPr>
          <w:rFonts w:hint="cs"/>
          <w:rtl/>
        </w:rPr>
        <w:t xml:space="preserve"> وأنه لا يشترط لصحة المعرفة كونها عن دليل ونظر</w:t>
      </w:r>
      <w:r w:rsidR="000636C2">
        <w:rPr>
          <w:rFonts w:hint="cs"/>
          <w:rtl/>
        </w:rPr>
        <w:t>،</w:t>
      </w:r>
      <w:r w:rsidRPr="005675B2">
        <w:rPr>
          <w:rFonts w:hint="cs"/>
          <w:rtl/>
        </w:rPr>
        <w:t xml:space="preserve"> ولكن هذا زيادة في الكمال</w:t>
      </w:r>
      <w:r w:rsidR="000636C2">
        <w:rPr>
          <w:rFonts w:hint="cs"/>
          <w:rtl/>
        </w:rPr>
        <w:t>،</w:t>
      </w:r>
      <w:r w:rsidRPr="005675B2">
        <w:rPr>
          <w:rFonts w:hint="cs"/>
          <w:rtl/>
        </w:rPr>
        <w:t xml:space="preserve"> وذكروا أن الإنسان لكي ينال ثواب كلمة الشهادة لا بد أن يكون عارفا بمعناها وان من قالها من دون فهم معناها ودون تصديق واعتقاد لها فلا تفيده شيئا</w:t>
      </w:r>
      <w:r w:rsidR="000636C2">
        <w:rPr>
          <w:rFonts w:hint="cs"/>
          <w:rtl/>
        </w:rPr>
        <w:t>،</w:t>
      </w:r>
      <w:r w:rsidRPr="005675B2">
        <w:rPr>
          <w:rFonts w:hint="cs"/>
          <w:rtl/>
        </w:rPr>
        <w:t xml:space="preserve"> وقرروا أن الإنسان لا يمكن أن يُعرَفَ دخوله في الدين شرعا الا بأن ينطق بكلمة التوحيد</w:t>
      </w:r>
      <w:r w:rsidR="000636C2">
        <w:rPr>
          <w:rFonts w:hint="cs"/>
          <w:rtl/>
        </w:rPr>
        <w:t>،</w:t>
      </w:r>
      <w:r w:rsidRPr="005675B2">
        <w:rPr>
          <w:rFonts w:hint="cs"/>
          <w:rtl/>
        </w:rPr>
        <w:t xml:space="preserve"> ولهذا قالوا أن نطق المكلف بالشهادتين هو شرط لإجراء أحكام الإسلام عليه</w:t>
      </w:r>
      <w:r w:rsidR="000636C2">
        <w:rPr>
          <w:rFonts w:hint="cs"/>
          <w:rtl/>
        </w:rPr>
        <w:t>،</w:t>
      </w:r>
      <w:r w:rsidRPr="005675B2">
        <w:rPr>
          <w:rFonts w:hint="cs"/>
          <w:rtl/>
        </w:rPr>
        <w:t xml:space="preserve"> وهذا الكلام في غاية التحقيق</w:t>
      </w:r>
      <w:r w:rsidR="000636C2">
        <w:rPr>
          <w:rFonts w:hint="cs"/>
          <w:rtl/>
        </w:rPr>
        <w:t>،</w:t>
      </w:r>
      <w:r w:rsidRPr="005675B2">
        <w:rPr>
          <w:rFonts w:hint="cs"/>
          <w:rtl/>
        </w:rPr>
        <w:t xml:space="preserve"> وأما الكلام الذي ذكره المؤلف المذكور فهو يدل على جهله التام بما في كتب القوم</w:t>
      </w:r>
      <w:r w:rsidR="000636C2">
        <w:rPr>
          <w:rFonts w:hint="cs"/>
          <w:rtl/>
        </w:rPr>
        <w:t>،</w:t>
      </w:r>
      <w:r w:rsidRPr="005675B2">
        <w:rPr>
          <w:rFonts w:hint="cs"/>
          <w:rtl/>
        </w:rPr>
        <w:t xml:space="preserve"> وليس هو الا ثرثرة زائدة</w:t>
      </w:r>
      <w:r w:rsidR="000636C2">
        <w:rPr>
          <w:rFonts w:hint="cs"/>
          <w:rtl/>
        </w:rPr>
        <w:t>،</w:t>
      </w:r>
      <w:r w:rsidRPr="005675B2">
        <w:rPr>
          <w:rFonts w:hint="cs"/>
          <w:rtl/>
        </w:rPr>
        <w:t xml:space="preserve"> فلا يستطيع أحد أن يخالف ويقول أن النظر في حقيقة الدين ليس واجبا وان الأخذ بالأدلة غير واجب</w:t>
      </w:r>
      <w:r w:rsidR="000636C2">
        <w:rPr>
          <w:rFonts w:hint="cs"/>
          <w:rtl/>
        </w:rPr>
        <w:t>،</w:t>
      </w:r>
      <w:r w:rsidRPr="005675B2">
        <w:rPr>
          <w:rFonts w:hint="cs"/>
          <w:rtl/>
        </w:rPr>
        <w:t xml:space="preserve"> بل هما واجبان</w:t>
      </w:r>
      <w:r w:rsidR="000636C2">
        <w:rPr>
          <w:rFonts w:hint="cs"/>
          <w:rtl/>
        </w:rPr>
        <w:t>،</w:t>
      </w:r>
      <w:r w:rsidRPr="005675B2">
        <w:rPr>
          <w:rFonts w:hint="cs"/>
          <w:rtl/>
        </w:rPr>
        <w:t xml:space="preserve"> ولكن إيمان المقلد صحيح مثاب عليه مع تقصيره في النظر والبحث</w:t>
      </w:r>
      <w:r w:rsidR="000636C2">
        <w:rPr>
          <w:rFonts w:hint="cs"/>
          <w:rtl/>
        </w:rPr>
        <w:t>،</w:t>
      </w:r>
      <w:r w:rsidRPr="005675B2">
        <w:rPr>
          <w:rFonts w:hint="cs"/>
          <w:rtl/>
        </w:rPr>
        <w:t xml:space="preserve"> ولم يقل أحد من الأشاعرة والماتريدية أن الكافر لا يجب عليه أول ما يجب لكي يعصم دمه أن ينطق بكلمة التوحيد</w:t>
      </w:r>
      <w:r w:rsidR="000636C2">
        <w:rPr>
          <w:rFonts w:hint="cs"/>
          <w:rtl/>
        </w:rPr>
        <w:t>،</w:t>
      </w:r>
      <w:r w:rsidRPr="005675B2">
        <w:rPr>
          <w:rFonts w:hint="cs"/>
          <w:rtl/>
        </w:rPr>
        <w:t xml:space="preserve"> ولكن الخلاف وموضع الكلام عندهم أنها لا تكفيه عند الله تعالى الا أن كانت معانيها عنده صحيحة معتقدا بها مستقرا إلى هذا الاعتقاد</w:t>
      </w:r>
      <w:r w:rsidR="000636C2">
        <w:rPr>
          <w:rFonts w:hint="cs"/>
          <w:rtl/>
        </w:rPr>
        <w:t>،</w:t>
      </w:r>
      <w:r w:rsidRPr="005675B2">
        <w:rPr>
          <w:rFonts w:hint="cs"/>
          <w:rtl/>
        </w:rPr>
        <w:t xml:space="preserve"> والتطويل في هذا الموضوع زيادة على ما ذكر لا يفيد</w:t>
      </w:r>
      <w:r w:rsidR="000636C2">
        <w:rPr>
          <w:rFonts w:hint="cs"/>
          <w:rtl/>
        </w:rPr>
        <w:t>،</w:t>
      </w:r>
      <w:r w:rsidRPr="005675B2">
        <w:rPr>
          <w:rFonts w:hint="cs"/>
          <w:rtl/>
        </w:rPr>
        <w:t xml:space="preserve"> </w:t>
      </w:r>
    </w:p>
    <w:p w14:paraId="3B05468A" w14:textId="4E0EE704" w:rsidR="009C32A0" w:rsidRPr="005675B2" w:rsidRDefault="009C32A0" w:rsidP="000636C2">
      <w:pPr>
        <w:rPr>
          <w:b/>
          <w:rtl/>
        </w:rPr>
      </w:pPr>
      <w:r w:rsidRPr="005675B2">
        <w:rPr>
          <w:rFonts w:hint="cs"/>
          <w:bCs/>
          <w:rtl/>
        </w:rPr>
        <w:t>ج</w:t>
      </w:r>
      <w:r w:rsidR="000636C2">
        <w:rPr>
          <w:rFonts w:hint="cs"/>
          <w:bCs/>
          <w:rtl/>
        </w:rPr>
        <w:t xml:space="preserve"> </w:t>
      </w:r>
      <w:r w:rsidRPr="005675B2">
        <w:rPr>
          <w:rFonts w:hint="cs"/>
          <w:bCs/>
          <w:rtl/>
        </w:rPr>
        <w:t>- - الصفات</w:t>
      </w:r>
      <w:r w:rsidR="000636C2">
        <w:rPr>
          <w:rFonts w:hint="cs"/>
          <w:bCs/>
          <w:rtl/>
        </w:rPr>
        <w:t>:</w:t>
      </w:r>
      <w:r w:rsidRPr="005675B2">
        <w:rPr>
          <w:rFonts w:hint="cs"/>
          <w:bCs/>
          <w:rtl/>
        </w:rPr>
        <w:t xml:space="preserve"> </w:t>
      </w:r>
      <w:r w:rsidRPr="005675B2">
        <w:rPr>
          <w:rFonts w:hint="cs"/>
          <w:rtl/>
        </w:rPr>
        <w:t>أما الصفات والخلاف فيها</w:t>
      </w:r>
      <w:r w:rsidR="000636C2">
        <w:rPr>
          <w:rFonts w:hint="cs"/>
          <w:rtl/>
        </w:rPr>
        <w:t>،</w:t>
      </w:r>
      <w:r w:rsidRPr="005675B2">
        <w:rPr>
          <w:rFonts w:hint="cs"/>
          <w:rtl/>
        </w:rPr>
        <w:t xml:space="preserve"> فتلخيصه أن الأشاعرة والماتريدية ينفون عن الله تعالى صفات الحوادث والأجسام كالحد والمقدار والحركة والحيز والجهة والتركيب والاجزاء والانفعال والتأثر بالغير</w:t>
      </w:r>
      <w:r w:rsidR="000636C2">
        <w:rPr>
          <w:rFonts w:hint="cs"/>
          <w:rtl/>
        </w:rPr>
        <w:t>،</w:t>
      </w:r>
      <w:r w:rsidRPr="005675B2">
        <w:rPr>
          <w:rFonts w:hint="cs"/>
          <w:rtl/>
        </w:rPr>
        <w:t xml:space="preserve"> وهؤلاء الذين يخالفونهم يثبتون كل ذلك</w:t>
      </w:r>
      <w:r w:rsidR="000636C2">
        <w:rPr>
          <w:rFonts w:hint="cs"/>
          <w:rtl/>
        </w:rPr>
        <w:t>،</w:t>
      </w:r>
      <w:r w:rsidRPr="005675B2">
        <w:rPr>
          <w:rFonts w:hint="cs"/>
          <w:rtl/>
        </w:rPr>
        <w:t xml:space="preserve"> وليس الخلاف حول صفة ثبتت أصلا لله تعالى</w:t>
      </w:r>
      <w:r w:rsidR="000636C2">
        <w:rPr>
          <w:rFonts w:hint="cs"/>
          <w:rtl/>
        </w:rPr>
        <w:t>،</w:t>
      </w:r>
      <w:r w:rsidRPr="005675B2">
        <w:rPr>
          <w:rFonts w:hint="cs"/>
          <w:rtl/>
        </w:rPr>
        <w:t xml:space="preserve"> فلو نفى هؤلاء المجسمة ما أشرنا اليه</w:t>
      </w:r>
      <w:r w:rsidR="000636C2">
        <w:rPr>
          <w:rFonts w:hint="cs"/>
          <w:rtl/>
        </w:rPr>
        <w:t>،</w:t>
      </w:r>
      <w:r w:rsidRPr="005675B2">
        <w:rPr>
          <w:rFonts w:hint="cs"/>
          <w:rtl/>
        </w:rPr>
        <w:t xml:space="preserve"> لبطل الخلاف وانمحى</w:t>
      </w:r>
      <w:r w:rsidR="000636C2">
        <w:rPr>
          <w:rFonts w:hint="cs"/>
          <w:rtl/>
        </w:rPr>
        <w:t>،</w:t>
      </w:r>
      <w:r w:rsidRPr="005675B2">
        <w:rPr>
          <w:rFonts w:hint="cs"/>
          <w:rtl/>
        </w:rPr>
        <w:t xml:space="preserve"> ولا تتوهم أن الخلاف هو في أنه هل يوجد لله يد ووجه أم لا</w:t>
      </w:r>
      <w:r w:rsidR="000636C2">
        <w:rPr>
          <w:rFonts w:hint="cs"/>
          <w:rtl/>
        </w:rPr>
        <w:t>،</w:t>
      </w:r>
      <w:r w:rsidRPr="005675B2">
        <w:rPr>
          <w:rFonts w:hint="cs"/>
          <w:rtl/>
        </w:rPr>
        <w:t xml:space="preserve"> فكثير من الأشاعرة قالوا لله وجه</w:t>
      </w:r>
      <w:r w:rsidR="000636C2">
        <w:rPr>
          <w:rFonts w:hint="cs"/>
          <w:rtl/>
        </w:rPr>
        <w:t>،</w:t>
      </w:r>
      <w:r w:rsidRPr="005675B2">
        <w:rPr>
          <w:rFonts w:hint="cs"/>
          <w:rtl/>
        </w:rPr>
        <w:t xml:space="preserve"> ولكن الخلاف هو هل هذا الوجه هو من قبيل الأعضاء والاجزاء ام لا</w:t>
      </w:r>
      <w:r w:rsidR="000636C2">
        <w:rPr>
          <w:rFonts w:hint="cs"/>
          <w:rtl/>
        </w:rPr>
        <w:t xml:space="preserve">؟ </w:t>
      </w:r>
      <w:r w:rsidRPr="005675B2">
        <w:rPr>
          <w:rFonts w:hint="cs"/>
          <w:rtl/>
        </w:rPr>
        <w:t>فكل الأشاعرة نفوا ذلك</w:t>
      </w:r>
      <w:r w:rsidR="000636C2">
        <w:rPr>
          <w:rFonts w:hint="cs"/>
          <w:rtl/>
        </w:rPr>
        <w:t>،</w:t>
      </w:r>
      <w:r w:rsidRPr="005675B2">
        <w:rPr>
          <w:rFonts w:hint="cs"/>
          <w:rtl/>
        </w:rPr>
        <w:t xml:space="preserve"> وكل المجسمة ممن خالفوهم لم ينفوه</w:t>
      </w:r>
      <w:r w:rsidR="000636C2">
        <w:rPr>
          <w:rFonts w:hint="cs"/>
          <w:rtl/>
        </w:rPr>
        <w:t>،</w:t>
      </w:r>
      <w:r w:rsidRPr="005675B2">
        <w:rPr>
          <w:rFonts w:hint="cs"/>
          <w:rtl/>
        </w:rPr>
        <w:t xml:space="preserve"> وكذلك في اليد وغيرها</w:t>
      </w:r>
      <w:r w:rsidR="000636C2">
        <w:rPr>
          <w:rFonts w:hint="cs"/>
          <w:rtl/>
        </w:rPr>
        <w:t>،</w:t>
      </w:r>
      <w:r w:rsidRPr="005675B2">
        <w:rPr>
          <w:rFonts w:hint="cs"/>
          <w:rtl/>
        </w:rPr>
        <w:t xml:space="preserve"> واما الاستواء فقالت المجسمة هو الجلوس والحلول والاستقرار على العرش والكون في مكان</w:t>
      </w:r>
      <w:r w:rsidR="000636C2">
        <w:rPr>
          <w:rFonts w:hint="cs"/>
          <w:rtl/>
        </w:rPr>
        <w:t>،</w:t>
      </w:r>
      <w:r w:rsidRPr="005675B2">
        <w:rPr>
          <w:rFonts w:hint="cs"/>
          <w:rtl/>
        </w:rPr>
        <w:t xml:space="preserve"> وعند الاشاعرة</w:t>
      </w:r>
      <w:r w:rsidR="000636C2">
        <w:rPr>
          <w:rFonts w:hint="cs"/>
          <w:rtl/>
        </w:rPr>
        <w:t>:</w:t>
      </w:r>
      <w:r w:rsidRPr="005675B2">
        <w:rPr>
          <w:rFonts w:hint="cs"/>
          <w:rtl/>
        </w:rPr>
        <w:t xml:space="preserve"> لا ضرر في إثبات الاستواء لله تعالى بل يجب اثباته ولكن لا على سبيل الكون في مكان والجلوس كما تقول المجسمة</w:t>
      </w:r>
      <w:r w:rsidR="000636C2">
        <w:rPr>
          <w:rFonts w:hint="cs"/>
          <w:rtl/>
        </w:rPr>
        <w:t>،</w:t>
      </w:r>
      <w:r w:rsidRPr="005675B2">
        <w:rPr>
          <w:rFonts w:hint="cs"/>
          <w:rtl/>
        </w:rPr>
        <w:t xml:space="preserve"> هذا هو أصل الكلام</w:t>
      </w:r>
      <w:r w:rsidR="000636C2">
        <w:rPr>
          <w:rFonts w:hint="cs"/>
          <w:rtl/>
        </w:rPr>
        <w:t>،</w:t>
      </w:r>
      <w:r w:rsidRPr="005675B2">
        <w:rPr>
          <w:rFonts w:hint="cs"/>
          <w:rtl/>
        </w:rPr>
        <w:t xml:space="preserve"> وكل ما سواه فهو تهويل لا يراد به وجه الله تعالى</w:t>
      </w:r>
      <w:r w:rsidR="000636C2">
        <w:rPr>
          <w:rFonts w:hint="cs"/>
          <w:rtl/>
        </w:rPr>
        <w:t>،</w:t>
      </w:r>
      <w:r w:rsidRPr="005675B2">
        <w:rPr>
          <w:rFonts w:hint="cs"/>
          <w:rtl/>
        </w:rPr>
        <w:t xml:space="preserve"> فما دام الامر كذلك</w:t>
      </w:r>
      <w:r w:rsidR="000636C2">
        <w:rPr>
          <w:rFonts w:hint="cs"/>
          <w:rtl/>
        </w:rPr>
        <w:t>،</w:t>
      </w:r>
      <w:r w:rsidRPr="005675B2">
        <w:rPr>
          <w:rFonts w:hint="cs"/>
          <w:rtl/>
        </w:rPr>
        <w:t xml:space="preserve"> فمن هو أقرب إلى الصواب</w:t>
      </w:r>
      <w:r w:rsidR="000636C2">
        <w:rPr>
          <w:rFonts w:hint="cs"/>
          <w:rtl/>
        </w:rPr>
        <w:t>،</w:t>
      </w:r>
      <w:r w:rsidRPr="005675B2">
        <w:rPr>
          <w:rFonts w:hint="cs"/>
          <w:rtl/>
        </w:rPr>
        <w:t xml:space="preserve"> الذي ينزه اله تعالى عن مشابهة الحوادث أم من يقول بذلك</w:t>
      </w:r>
      <w:r w:rsidR="000636C2">
        <w:rPr>
          <w:rFonts w:hint="cs"/>
          <w:rtl/>
        </w:rPr>
        <w:t xml:space="preserve">؟! </w:t>
      </w:r>
      <w:r w:rsidRPr="005675B2">
        <w:rPr>
          <w:rFonts w:hint="cs"/>
          <w:rtl/>
        </w:rPr>
        <w:t>وأما قولهم أن الأشاعرة لا يثبتون الا سبعة صفات أو ثمانية أو غير ذلك من الاعداد</w:t>
      </w:r>
      <w:r w:rsidR="000636C2">
        <w:rPr>
          <w:rFonts w:hint="cs"/>
          <w:rtl/>
        </w:rPr>
        <w:t>،</w:t>
      </w:r>
      <w:r w:rsidRPr="005675B2">
        <w:rPr>
          <w:rFonts w:hint="cs"/>
          <w:rtl/>
        </w:rPr>
        <w:t xml:space="preserve"> فما هو الا كذب عليهم</w:t>
      </w:r>
      <w:r w:rsidR="000636C2">
        <w:rPr>
          <w:rFonts w:hint="cs"/>
          <w:rtl/>
        </w:rPr>
        <w:t>،</w:t>
      </w:r>
      <w:r w:rsidRPr="005675B2">
        <w:rPr>
          <w:rFonts w:hint="cs"/>
          <w:rtl/>
        </w:rPr>
        <w:t xml:space="preserve"> لأنهم كلهم أجمعوا على أن كمالات الله تعالى التي هي صفاته لا يدرك حدها لأنه لا حد لها</w:t>
      </w:r>
      <w:r w:rsidR="000636C2">
        <w:rPr>
          <w:rFonts w:hint="cs"/>
          <w:rtl/>
        </w:rPr>
        <w:t>،</w:t>
      </w:r>
      <w:r w:rsidRPr="005675B2">
        <w:rPr>
          <w:rFonts w:hint="cs"/>
          <w:rtl/>
        </w:rPr>
        <w:t xml:space="preserve"> فلا نهاية لكمالاته تعالى</w:t>
      </w:r>
      <w:r w:rsidR="000636C2">
        <w:rPr>
          <w:rFonts w:hint="cs"/>
          <w:rtl/>
        </w:rPr>
        <w:t>،</w:t>
      </w:r>
      <w:r w:rsidRPr="005675B2">
        <w:rPr>
          <w:rFonts w:hint="cs"/>
          <w:rtl/>
        </w:rPr>
        <w:t xml:space="preserve"> واما العدد المذكور في كتب التوحيد فليس هو حصرا لصفات الله تعالى</w:t>
      </w:r>
      <w:r w:rsidR="000636C2">
        <w:rPr>
          <w:rFonts w:hint="cs"/>
          <w:rtl/>
        </w:rPr>
        <w:t>،</w:t>
      </w:r>
      <w:r w:rsidRPr="005675B2">
        <w:rPr>
          <w:rFonts w:hint="cs"/>
          <w:rtl/>
        </w:rPr>
        <w:t xml:space="preserve"> بل هو توضيح وتعليم لعامة الناس أقل ما يجب عليهم أن يعلموه لكي يصح إيمانهم ويستقيم إسلامهم</w:t>
      </w:r>
      <w:r w:rsidR="000636C2">
        <w:rPr>
          <w:rFonts w:hint="cs"/>
          <w:rtl/>
        </w:rPr>
        <w:t>،</w:t>
      </w:r>
      <w:r w:rsidRPr="005675B2">
        <w:rPr>
          <w:rFonts w:hint="cs"/>
          <w:rtl/>
        </w:rPr>
        <w:t xml:space="preserve"> وإلا فإن الله تعالى لم يكلفنا بمعرفة جميع صفاته وأسمائه</w:t>
      </w:r>
      <w:r w:rsidR="000636C2">
        <w:rPr>
          <w:rFonts w:hint="cs"/>
          <w:rtl/>
        </w:rPr>
        <w:t>،</w:t>
      </w:r>
      <w:r w:rsidRPr="005675B2">
        <w:rPr>
          <w:rFonts w:hint="cs"/>
          <w:rtl/>
        </w:rPr>
        <w:t xml:space="preserve"> لأن ذلك من تكليف ما لا يطاق</w:t>
      </w:r>
      <w:r w:rsidR="000636C2">
        <w:rPr>
          <w:rFonts w:hint="cs"/>
          <w:rtl/>
        </w:rPr>
        <w:t>،</w:t>
      </w:r>
      <w:r w:rsidRPr="005675B2">
        <w:rPr>
          <w:rFonts w:hint="cs"/>
          <w:rtl/>
        </w:rPr>
        <w:t xml:space="preserve"> </w:t>
      </w:r>
    </w:p>
    <w:p w14:paraId="546FF2AD" w14:textId="13C95836" w:rsidR="009C32A0" w:rsidRPr="005675B2" w:rsidRDefault="009C32A0" w:rsidP="000636C2">
      <w:pPr>
        <w:rPr>
          <w:b/>
          <w:rtl/>
        </w:rPr>
      </w:pPr>
      <w:r w:rsidRPr="005675B2">
        <w:rPr>
          <w:rFonts w:hint="cs"/>
          <w:bCs/>
          <w:rtl/>
        </w:rPr>
        <w:t>د - الإيمان</w:t>
      </w:r>
      <w:r w:rsidR="000636C2">
        <w:rPr>
          <w:rFonts w:hint="cs"/>
          <w:bCs/>
          <w:rtl/>
        </w:rPr>
        <w:t>:</w:t>
      </w:r>
      <w:r w:rsidRPr="005675B2">
        <w:rPr>
          <w:rFonts w:hint="cs"/>
          <w:bCs/>
          <w:rtl/>
        </w:rPr>
        <w:t xml:space="preserve"> </w:t>
      </w:r>
      <w:r w:rsidRPr="005675B2">
        <w:rPr>
          <w:rFonts w:hint="cs"/>
          <w:rtl/>
        </w:rPr>
        <w:t>لما نظر أهل السنة في هذه المسألة وسبروا جوانبها وحققوا نواحيها وجدوا أن الحاصل ثبوت ثلاثة معاني</w:t>
      </w:r>
      <w:r w:rsidR="000636C2">
        <w:rPr>
          <w:rFonts w:hint="cs"/>
          <w:rtl/>
        </w:rPr>
        <w:t>:</w:t>
      </w:r>
      <w:r w:rsidRPr="005675B2">
        <w:rPr>
          <w:rFonts w:hint="cs"/>
          <w:rtl/>
        </w:rPr>
        <w:t xml:space="preserve"> الأول</w:t>
      </w:r>
      <w:r w:rsidR="000636C2">
        <w:rPr>
          <w:rFonts w:hint="cs"/>
          <w:rtl/>
        </w:rPr>
        <w:t>:</w:t>
      </w:r>
      <w:r w:rsidRPr="005675B2">
        <w:rPr>
          <w:rFonts w:hint="cs"/>
          <w:rtl/>
        </w:rPr>
        <w:t xml:space="preserve"> التصديق القلبي وهو مع الإقرار والإذعان</w:t>
      </w:r>
      <w:r w:rsidR="000636C2">
        <w:rPr>
          <w:rFonts w:hint="cs"/>
          <w:rtl/>
        </w:rPr>
        <w:t>،</w:t>
      </w:r>
      <w:r w:rsidRPr="005675B2">
        <w:rPr>
          <w:rFonts w:hint="cs"/>
          <w:rtl/>
        </w:rPr>
        <w:t xml:space="preserve"> الثاني</w:t>
      </w:r>
      <w:r w:rsidR="000636C2">
        <w:rPr>
          <w:rFonts w:hint="cs"/>
          <w:rtl/>
        </w:rPr>
        <w:t>:</w:t>
      </w:r>
      <w:r w:rsidRPr="005675B2">
        <w:rPr>
          <w:rFonts w:hint="cs"/>
          <w:rtl/>
        </w:rPr>
        <w:t xml:space="preserve"> التلفظ باللسان بكلمة الشهادة</w:t>
      </w:r>
      <w:r w:rsidR="000636C2">
        <w:rPr>
          <w:rFonts w:hint="cs"/>
          <w:rtl/>
        </w:rPr>
        <w:t>،</w:t>
      </w:r>
      <w:r w:rsidRPr="005675B2">
        <w:rPr>
          <w:rFonts w:hint="cs"/>
          <w:rtl/>
        </w:rPr>
        <w:t xml:space="preserve"> الثالث</w:t>
      </w:r>
      <w:r w:rsidR="000636C2">
        <w:rPr>
          <w:rFonts w:hint="cs"/>
          <w:rtl/>
        </w:rPr>
        <w:t>:</w:t>
      </w:r>
      <w:r w:rsidRPr="005675B2">
        <w:rPr>
          <w:rFonts w:hint="cs"/>
          <w:rtl/>
        </w:rPr>
        <w:t xml:space="preserve"> العمل بالأوامر الشرعية</w:t>
      </w:r>
      <w:r w:rsidR="000636C2">
        <w:rPr>
          <w:rFonts w:hint="cs"/>
          <w:rtl/>
        </w:rPr>
        <w:t>،</w:t>
      </w:r>
      <w:r w:rsidRPr="005675B2">
        <w:rPr>
          <w:rFonts w:hint="cs"/>
          <w:rtl/>
        </w:rPr>
        <w:t xml:space="preserve"> كالكف عن شرب الخمر وأداء الصلاة</w:t>
      </w:r>
      <w:r w:rsidR="000636C2">
        <w:rPr>
          <w:rFonts w:hint="cs"/>
          <w:rtl/>
        </w:rPr>
        <w:t>،</w:t>
      </w:r>
      <w:r w:rsidRPr="005675B2">
        <w:rPr>
          <w:rFonts w:hint="cs"/>
          <w:rtl/>
        </w:rPr>
        <w:t xml:space="preserve"> ووجدوا الشرع لا يحكم بكفر من شرب الخمر ولا من ترك أيَّ</w:t>
      </w:r>
      <w:r w:rsidR="000636C2">
        <w:rPr>
          <w:rFonts w:hint="cs"/>
          <w:rtl/>
        </w:rPr>
        <w:t xml:space="preserve"> </w:t>
      </w:r>
      <w:r w:rsidRPr="005675B2">
        <w:rPr>
          <w:rFonts w:hint="cs"/>
          <w:rtl/>
        </w:rPr>
        <w:t>أمر</w:t>
      </w:r>
      <w:r w:rsidRPr="005675B2">
        <w:rPr>
          <w:rFonts w:hint="cs"/>
        </w:rPr>
        <w:t xml:space="preserve"> </w:t>
      </w:r>
      <w:r w:rsidRPr="005675B2">
        <w:rPr>
          <w:rFonts w:hint="cs"/>
          <w:rtl/>
        </w:rPr>
        <w:t>من أوامر الشريعة</w:t>
      </w:r>
      <w:r w:rsidR="000636C2">
        <w:rPr>
          <w:rFonts w:hint="cs"/>
          <w:rtl/>
        </w:rPr>
        <w:t>،</w:t>
      </w:r>
      <w:r w:rsidRPr="005675B2">
        <w:rPr>
          <w:rFonts w:hint="cs"/>
          <w:rtl/>
        </w:rPr>
        <w:t xml:space="preserve"> إلا أن يكون مستخفا مستهينا او معاندا</w:t>
      </w:r>
      <w:r w:rsidR="000636C2">
        <w:rPr>
          <w:rFonts w:hint="cs"/>
          <w:rtl/>
        </w:rPr>
        <w:t>،</w:t>
      </w:r>
      <w:r w:rsidRPr="005675B2">
        <w:rPr>
          <w:rFonts w:hint="cs"/>
          <w:rtl/>
        </w:rPr>
        <w:t xml:space="preserve"> علموا أن العمل ليس داخلا في ماهية الإيمان الذي يتم بناء عليه عدم الخلود في النار</w:t>
      </w:r>
      <w:r w:rsidR="000636C2">
        <w:rPr>
          <w:rFonts w:hint="cs"/>
          <w:rtl/>
        </w:rPr>
        <w:t>،</w:t>
      </w:r>
      <w:r w:rsidRPr="005675B2">
        <w:rPr>
          <w:rFonts w:hint="cs"/>
          <w:rtl/>
        </w:rPr>
        <w:t xml:space="preserve"> ووجدوا عدم دخول الأعمال في ماهية وحقيقة الإيمان واضحا</w:t>
      </w:r>
      <w:r w:rsidR="000636C2">
        <w:rPr>
          <w:rFonts w:hint="cs"/>
          <w:rtl/>
        </w:rPr>
        <w:t>،</w:t>
      </w:r>
      <w:r w:rsidRPr="005675B2">
        <w:rPr>
          <w:rFonts w:hint="cs"/>
          <w:rtl/>
        </w:rPr>
        <w:t xml:space="preserve"> فلم يحصل خلاف بينهم فيها</w:t>
      </w:r>
      <w:r w:rsidR="000636C2">
        <w:rPr>
          <w:rFonts w:hint="cs"/>
          <w:rtl/>
        </w:rPr>
        <w:t>،</w:t>
      </w:r>
      <w:r w:rsidRPr="005675B2">
        <w:rPr>
          <w:rFonts w:hint="cs"/>
          <w:rtl/>
        </w:rPr>
        <w:t xml:space="preserve"> أما التلفظ فلما رأوا أن الشارع حكم بايمان الأخرس وإن لم يتلفظ لأنه لا يستطيع</w:t>
      </w:r>
      <w:r w:rsidR="000636C2">
        <w:rPr>
          <w:rFonts w:hint="cs"/>
          <w:rtl/>
        </w:rPr>
        <w:t>،</w:t>
      </w:r>
      <w:r w:rsidRPr="005675B2">
        <w:rPr>
          <w:rFonts w:hint="cs"/>
          <w:rtl/>
        </w:rPr>
        <w:t xml:space="preserve"> ووجدوا العديد من الآيات تدل على أن الإيمان المذكور أصله في القلب أيضا</w:t>
      </w:r>
      <w:r w:rsidR="000636C2">
        <w:rPr>
          <w:rFonts w:hint="cs"/>
          <w:rtl/>
        </w:rPr>
        <w:t>،</w:t>
      </w:r>
      <w:r w:rsidRPr="005675B2">
        <w:rPr>
          <w:rFonts w:hint="cs"/>
          <w:rtl/>
        </w:rPr>
        <w:t xml:space="preserve"> ثم لما لاحظوا أن الشارع رتب الحكم على الإنسان بالكفر أو عدمه بكونه قائلا بكلمة التوحيد أو لا</w:t>
      </w:r>
      <w:r w:rsidR="000636C2">
        <w:rPr>
          <w:rFonts w:hint="cs"/>
          <w:rtl/>
        </w:rPr>
        <w:t>،</w:t>
      </w:r>
      <w:r w:rsidRPr="005675B2">
        <w:rPr>
          <w:rFonts w:hint="cs"/>
          <w:rtl/>
        </w:rPr>
        <w:t xml:space="preserve"> قالوا أن التلفظ هو شرط لإجراء أحكام المؤمنين عليه</w:t>
      </w:r>
      <w:r w:rsidR="000636C2">
        <w:rPr>
          <w:rFonts w:hint="cs"/>
          <w:rtl/>
        </w:rPr>
        <w:t>،</w:t>
      </w:r>
      <w:r w:rsidRPr="005675B2">
        <w:rPr>
          <w:rFonts w:hint="cs"/>
          <w:rtl/>
        </w:rPr>
        <w:t>لأننا لا يمكن أن نعرف المؤمن من غيره الا إذا قال أو فعل فعلا يدل على ذلك</w:t>
      </w:r>
      <w:r w:rsidR="000636C2">
        <w:rPr>
          <w:rFonts w:hint="cs"/>
          <w:rtl/>
        </w:rPr>
        <w:t>،</w:t>
      </w:r>
      <w:r w:rsidRPr="005675B2">
        <w:rPr>
          <w:rFonts w:hint="cs"/>
          <w:rtl/>
        </w:rPr>
        <w:t xml:space="preserve"> وأقرب الأمور الدالة على ذلك هي القول والتلفظ بكلمة التوحيد</w:t>
      </w:r>
      <w:r w:rsidR="000636C2">
        <w:rPr>
          <w:rFonts w:hint="cs"/>
          <w:rtl/>
        </w:rPr>
        <w:t>،</w:t>
      </w:r>
      <w:r w:rsidRPr="005675B2">
        <w:rPr>
          <w:rFonts w:hint="cs"/>
          <w:rtl/>
        </w:rPr>
        <w:t xml:space="preserve"> واما التصديق القلبي مع الاذعان المذكور فلا خلاف بين المسلمين أنه داخل في حقيقة الإيمان المعتبر شرعا في الحكم بنجاة الإنسان والمكلف من الخلود في النار وإن دخلها لمعصية فعلها</w:t>
      </w:r>
      <w:r w:rsidR="000636C2">
        <w:rPr>
          <w:rFonts w:hint="cs"/>
          <w:rtl/>
        </w:rPr>
        <w:t>،</w:t>
      </w:r>
      <w:r w:rsidRPr="005675B2">
        <w:rPr>
          <w:rFonts w:hint="cs"/>
          <w:rtl/>
        </w:rPr>
        <w:t xml:space="preserve"> فهذا هو ما عليه المحققون وجمهور العلماء</w:t>
      </w:r>
      <w:r w:rsidR="000636C2">
        <w:rPr>
          <w:rFonts w:hint="cs"/>
          <w:rtl/>
        </w:rPr>
        <w:t>،</w:t>
      </w:r>
      <w:r w:rsidRPr="005675B2">
        <w:rPr>
          <w:rFonts w:hint="cs"/>
          <w:rtl/>
        </w:rPr>
        <w:t xml:space="preserve"> وهو التحقيق في هذه المسألة</w:t>
      </w:r>
      <w:r w:rsidR="000636C2">
        <w:rPr>
          <w:rFonts w:hint="cs"/>
          <w:rtl/>
        </w:rPr>
        <w:t>،</w:t>
      </w:r>
      <w:r w:rsidRPr="005675B2">
        <w:rPr>
          <w:rFonts w:hint="cs"/>
          <w:rtl/>
        </w:rPr>
        <w:t xml:space="preserve"> ونقل الخلاف عن ابي حنيفة</w:t>
      </w:r>
      <w:r w:rsidR="000636C2">
        <w:rPr>
          <w:rFonts w:hint="cs"/>
          <w:rtl/>
        </w:rPr>
        <w:t>،</w:t>
      </w:r>
      <w:r w:rsidRPr="005675B2">
        <w:rPr>
          <w:rFonts w:hint="cs"/>
          <w:rtl/>
        </w:rPr>
        <w:t xml:space="preserve"> أنه اعتبر التلفظ جزءا من حقيقة الإيمان</w:t>
      </w:r>
      <w:r w:rsidR="000636C2">
        <w:rPr>
          <w:rFonts w:hint="cs"/>
          <w:rtl/>
        </w:rPr>
        <w:t>،</w:t>
      </w:r>
      <w:r w:rsidRPr="005675B2">
        <w:rPr>
          <w:rFonts w:hint="cs"/>
          <w:rtl/>
        </w:rPr>
        <w:t xml:space="preserve"> ويكاد الخلاف يكون لفظيا بين هذا القول وبين ما قال به الجمهور من المحققين</w:t>
      </w:r>
      <w:r w:rsidR="000636C2">
        <w:rPr>
          <w:rFonts w:hint="cs"/>
          <w:rtl/>
        </w:rPr>
        <w:t>،</w:t>
      </w:r>
      <w:r w:rsidRPr="005675B2">
        <w:rPr>
          <w:rFonts w:hint="cs"/>
          <w:rtl/>
        </w:rPr>
        <w:t xml:space="preserve"> أما الأعمال</w:t>
      </w:r>
      <w:r w:rsidR="000636C2">
        <w:rPr>
          <w:rFonts w:hint="cs"/>
          <w:rtl/>
        </w:rPr>
        <w:t>،</w:t>
      </w:r>
      <w:r w:rsidRPr="005675B2">
        <w:rPr>
          <w:rFonts w:hint="cs"/>
          <w:rtl/>
        </w:rPr>
        <w:t xml:space="preserve"> فقد بالغ الحشوية المجسمة في القول بأنها تدخل في صميم الإيمان</w:t>
      </w:r>
      <w:r w:rsidR="000636C2">
        <w:rPr>
          <w:rFonts w:hint="cs"/>
          <w:rtl/>
        </w:rPr>
        <w:t>،</w:t>
      </w:r>
      <w:r w:rsidRPr="005675B2">
        <w:rPr>
          <w:rFonts w:hint="cs"/>
          <w:rtl/>
        </w:rPr>
        <w:t xml:space="preserve"> ومع ذلك لم يحكموا بالكفر على كل من ترك عملا</w:t>
      </w:r>
      <w:r w:rsidR="000636C2">
        <w:rPr>
          <w:rFonts w:hint="cs"/>
          <w:rtl/>
        </w:rPr>
        <w:t>،</w:t>
      </w:r>
      <w:r w:rsidRPr="005675B2">
        <w:rPr>
          <w:rFonts w:hint="cs"/>
          <w:rtl/>
        </w:rPr>
        <w:t xml:space="preserve"> وهو تناقض صريح</w:t>
      </w:r>
      <w:r w:rsidR="000636C2">
        <w:rPr>
          <w:rFonts w:hint="cs"/>
          <w:rtl/>
        </w:rPr>
        <w:t>،</w:t>
      </w:r>
      <w:r w:rsidRPr="005675B2">
        <w:rPr>
          <w:rFonts w:hint="cs"/>
          <w:rtl/>
        </w:rPr>
        <w:t xml:space="preserve"> وسبب غلطهم أنهم لم يفرقوا بين أنه يطلق على الأعمال أنها إيمان</w:t>
      </w:r>
      <w:r w:rsidR="000636C2">
        <w:rPr>
          <w:rFonts w:hint="cs"/>
          <w:rtl/>
        </w:rPr>
        <w:t>،</w:t>
      </w:r>
      <w:r w:rsidRPr="005675B2">
        <w:rPr>
          <w:rFonts w:hint="cs"/>
          <w:rtl/>
        </w:rPr>
        <w:t xml:space="preserve"> وبين كونها هي الإيمان أو جزءا من الإيمان أصل المسألة</w:t>
      </w:r>
      <w:r w:rsidR="000636C2">
        <w:rPr>
          <w:rFonts w:hint="cs"/>
          <w:rtl/>
        </w:rPr>
        <w:t>،</w:t>
      </w:r>
      <w:r w:rsidRPr="005675B2">
        <w:rPr>
          <w:rFonts w:hint="cs"/>
          <w:rtl/>
        </w:rPr>
        <w:t xml:space="preserve"> فلا شك أنه يطلق على الأعمال شرعا ولغة أنها إيمان</w:t>
      </w:r>
      <w:r w:rsidR="000636C2">
        <w:rPr>
          <w:rFonts w:hint="cs"/>
          <w:rtl/>
        </w:rPr>
        <w:t>،</w:t>
      </w:r>
      <w:r w:rsidRPr="005675B2">
        <w:rPr>
          <w:rFonts w:hint="cs"/>
          <w:rtl/>
        </w:rPr>
        <w:t xml:space="preserve"> وكذلك على الأقوال</w:t>
      </w:r>
      <w:r w:rsidR="000636C2">
        <w:rPr>
          <w:rFonts w:hint="cs"/>
          <w:rtl/>
        </w:rPr>
        <w:t>،</w:t>
      </w:r>
      <w:r w:rsidRPr="005675B2">
        <w:rPr>
          <w:rFonts w:hint="cs"/>
          <w:rtl/>
        </w:rPr>
        <w:t xml:space="preserve"> كما يطلق على التصديقات</w:t>
      </w:r>
      <w:r w:rsidR="000636C2">
        <w:rPr>
          <w:rFonts w:hint="cs"/>
          <w:rtl/>
        </w:rPr>
        <w:t>،</w:t>
      </w:r>
      <w:r w:rsidRPr="005675B2">
        <w:rPr>
          <w:rFonts w:hint="cs"/>
          <w:rtl/>
        </w:rPr>
        <w:t xml:space="preserve"> وكل إطلاق من حيثية معينة</w:t>
      </w:r>
      <w:r w:rsidR="000636C2">
        <w:rPr>
          <w:rFonts w:hint="cs"/>
          <w:rtl/>
        </w:rPr>
        <w:t>،</w:t>
      </w:r>
      <w:r w:rsidRPr="005675B2">
        <w:rPr>
          <w:rFonts w:hint="cs"/>
          <w:rtl/>
        </w:rPr>
        <w:t xml:space="preserve"> ولكن الخلاف أصلا</w:t>
      </w:r>
      <w:r w:rsidR="000636C2">
        <w:rPr>
          <w:rFonts w:hint="cs"/>
          <w:rtl/>
        </w:rPr>
        <w:t>،</w:t>
      </w:r>
      <w:r w:rsidRPr="005675B2">
        <w:rPr>
          <w:rFonts w:hint="cs"/>
          <w:rtl/>
        </w:rPr>
        <w:t xml:space="preserve"> بل أصل المسألة هي ما هو أقل قدر يجب على المكلف أن يحققه</w:t>
      </w:r>
      <w:r w:rsidR="000636C2">
        <w:rPr>
          <w:rFonts w:hint="cs"/>
          <w:rtl/>
        </w:rPr>
        <w:t>،</w:t>
      </w:r>
      <w:r w:rsidRPr="005675B2">
        <w:rPr>
          <w:rFonts w:hint="cs"/>
          <w:rtl/>
        </w:rPr>
        <w:t xml:space="preserve"> لكي ينجو من الخلود من النار</w:t>
      </w:r>
      <w:r w:rsidR="000636C2">
        <w:rPr>
          <w:rFonts w:hint="cs"/>
          <w:rtl/>
        </w:rPr>
        <w:t>،</w:t>
      </w:r>
      <w:r w:rsidRPr="005675B2">
        <w:rPr>
          <w:rFonts w:hint="cs"/>
          <w:rtl/>
        </w:rPr>
        <w:t xml:space="preserve"> هذا هو أصل المسألة</w:t>
      </w:r>
      <w:r w:rsidR="000636C2">
        <w:rPr>
          <w:rFonts w:hint="cs"/>
          <w:rtl/>
        </w:rPr>
        <w:t>،</w:t>
      </w:r>
      <w:r w:rsidRPr="005675B2">
        <w:rPr>
          <w:rFonts w:hint="cs"/>
          <w:rtl/>
        </w:rPr>
        <w:t xml:space="preserve"> وليست المسألة هي هل يطلق على الأعمال ايمان أو لا يطلق</w:t>
      </w:r>
      <w:r w:rsidR="000636C2">
        <w:rPr>
          <w:rFonts w:hint="cs"/>
          <w:rtl/>
        </w:rPr>
        <w:t>،</w:t>
      </w:r>
      <w:r w:rsidRPr="005675B2">
        <w:rPr>
          <w:rFonts w:hint="cs"/>
          <w:rtl/>
        </w:rPr>
        <w:t xml:space="preserve"> واما كلام المؤلف في هذا المبحث</w:t>
      </w:r>
      <w:r w:rsidR="000636C2">
        <w:rPr>
          <w:rFonts w:hint="cs"/>
          <w:rtl/>
        </w:rPr>
        <w:t>،</w:t>
      </w:r>
      <w:r w:rsidRPr="005675B2">
        <w:rPr>
          <w:rFonts w:hint="cs"/>
          <w:rtl/>
        </w:rPr>
        <w:t xml:space="preserve"> فهو كلام غير مستقيم ولا يفيد وليس فيه جنس التحقيق</w:t>
      </w:r>
      <w:r w:rsidR="000636C2">
        <w:rPr>
          <w:rFonts w:hint="cs"/>
          <w:rtl/>
        </w:rPr>
        <w:t>،</w:t>
      </w:r>
      <w:r w:rsidRPr="005675B2">
        <w:rPr>
          <w:rFonts w:hint="cs"/>
          <w:rtl/>
        </w:rPr>
        <w:t xml:space="preserve"> وكل ما يمكن أن يقال بناء على غير هذا الأصل</w:t>
      </w:r>
      <w:r w:rsidR="000636C2">
        <w:rPr>
          <w:rFonts w:hint="cs"/>
          <w:rtl/>
        </w:rPr>
        <w:t>،</w:t>
      </w:r>
      <w:r w:rsidRPr="005675B2">
        <w:rPr>
          <w:rFonts w:hint="cs"/>
          <w:rtl/>
        </w:rPr>
        <w:t xml:space="preserve"> فهو كلام لا يلتفت اليه</w:t>
      </w:r>
      <w:r w:rsidR="000636C2">
        <w:rPr>
          <w:rFonts w:hint="cs"/>
          <w:rtl/>
        </w:rPr>
        <w:t>،</w:t>
      </w:r>
      <w:r w:rsidRPr="005675B2">
        <w:rPr>
          <w:rFonts w:hint="cs"/>
          <w:rtl/>
        </w:rPr>
        <w:t xml:space="preserve"> </w:t>
      </w:r>
    </w:p>
    <w:p w14:paraId="65BDA8D1" w14:textId="5F9D3814" w:rsidR="009C32A0" w:rsidRPr="005675B2" w:rsidRDefault="009C32A0" w:rsidP="000636C2">
      <w:pPr>
        <w:rPr>
          <w:b/>
          <w:rtl/>
        </w:rPr>
      </w:pPr>
      <w:r w:rsidRPr="005675B2">
        <w:rPr>
          <w:rFonts w:hint="cs"/>
          <w:bCs/>
          <w:rtl/>
        </w:rPr>
        <w:t>هـ - النبوات</w:t>
      </w:r>
      <w:r w:rsidR="000636C2">
        <w:rPr>
          <w:rFonts w:hint="cs"/>
          <w:bCs/>
          <w:rtl/>
        </w:rPr>
        <w:t>،</w:t>
      </w:r>
      <w:r w:rsidRPr="005675B2">
        <w:rPr>
          <w:rFonts w:hint="cs"/>
          <w:bCs/>
          <w:rtl/>
        </w:rPr>
        <w:t xml:space="preserve"> مبحث العصمة</w:t>
      </w:r>
      <w:r w:rsidR="000636C2">
        <w:rPr>
          <w:rFonts w:hint="cs"/>
          <w:bCs/>
          <w:rtl/>
        </w:rPr>
        <w:t>:</w:t>
      </w:r>
      <w:r w:rsidRPr="005675B2">
        <w:rPr>
          <w:rFonts w:hint="cs"/>
          <w:bCs/>
          <w:rtl/>
        </w:rPr>
        <w:t xml:space="preserve"> </w:t>
      </w:r>
      <w:r w:rsidRPr="005675B2">
        <w:rPr>
          <w:rFonts w:hint="cs"/>
          <w:rtl/>
        </w:rPr>
        <w:t>لخص شيخ الإسلام زكريا الانصاري مسألة عصمة الأنبياء في كتاب غاية الوصول</w:t>
      </w:r>
      <w:r w:rsidR="000636C2">
        <w:rPr>
          <w:rFonts w:hint="cs"/>
          <w:rtl/>
        </w:rPr>
        <w:t>،</w:t>
      </w:r>
      <w:r w:rsidRPr="005675B2">
        <w:rPr>
          <w:rFonts w:hint="cs"/>
          <w:rtl/>
        </w:rPr>
        <w:t xml:space="preserve"> تلخيصَ تحقيق كما هو المعهود منه فقال في ص91</w:t>
      </w:r>
      <w:r w:rsidR="000636C2">
        <w:rPr>
          <w:rFonts w:hint="cs"/>
          <w:rtl/>
        </w:rPr>
        <w:t>:</w:t>
      </w:r>
      <w:r w:rsidRPr="005675B2">
        <w:rPr>
          <w:rFonts w:hint="cs"/>
          <w:rtl/>
        </w:rPr>
        <w:t xml:space="preserve"> " الأنبياء عليهم الصلاة والسلام معصومون</w:t>
      </w:r>
      <w:r w:rsidR="000636C2">
        <w:rPr>
          <w:rFonts w:hint="cs"/>
          <w:rtl/>
        </w:rPr>
        <w:t>،</w:t>
      </w:r>
      <w:r w:rsidRPr="005675B2">
        <w:rPr>
          <w:rFonts w:hint="cs"/>
          <w:rtl/>
        </w:rPr>
        <w:t xml:space="preserve"> حتى عن صغيرةٍ سهوا فلا يصدر عنهم ذنبٌ</w:t>
      </w:r>
      <w:r w:rsidR="000636C2">
        <w:rPr>
          <w:rFonts w:hint="cs"/>
          <w:rtl/>
        </w:rPr>
        <w:t>،</w:t>
      </w:r>
      <w:r w:rsidRPr="005675B2">
        <w:rPr>
          <w:rFonts w:hint="cs"/>
          <w:rtl/>
        </w:rPr>
        <w:t>لا كبيرة ولا صغيرة لا عمدا ولا سهوا</w:t>
      </w:r>
      <w:r w:rsidR="000636C2">
        <w:rPr>
          <w:rFonts w:hint="cs"/>
          <w:rtl/>
        </w:rPr>
        <w:t>،</w:t>
      </w:r>
      <w:r w:rsidRPr="005675B2">
        <w:rPr>
          <w:rFonts w:hint="cs"/>
          <w:rtl/>
        </w:rPr>
        <w:t xml:space="preserve"> فإنْ قلتَ</w:t>
      </w:r>
      <w:r w:rsidR="000636C2">
        <w:rPr>
          <w:rFonts w:hint="cs"/>
          <w:rtl/>
        </w:rPr>
        <w:t>:</w:t>
      </w:r>
      <w:r w:rsidRPr="005675B2">
        <w:rPr>
          <w:rFonts w:hint="cs"/>
          <w:rtl/>
        </w:rPr>
        <w:t xml:space="preserve"> يُشكِلُ بأنه صلى الله عليه وسلم سها في صلاته حيث نسي فصلى الظهر خمسا وسلم في الظهر أو العصر عن ركعتين وتكلم</w:t>
      </w:r>
      <w:r w:rsidR="000636C2">
        <w:rPr>
          <w:rFonts w:hint="cs"/>
          <w:rtl/>
        </w:rPr>
        <w:t>،</w:t>
      </w:r>
      <w:r w:rsidRPr="005675B2">
        <w:rPr>
          <w:rFonts w:hint="cs"/>
          <w:rtl/>
        </w:rPr>
        <w:t xml:space="preserve"> قلتُ</w:t>
      </w:r>
      <w:r w:rsidR="000636C2">
        <w:rPr>
          <w:rFonts w:hint="cs"/>
          <w:rtl/>
        </w:rPr>
        <w:t>:</w:t>
      </w:r>
      <w:r w:rsidRPr="005675B2">
        <w:rPr>
          <w:rFonts w:hint="cs"/>
          <w:rtl/>
        </w:rPr>
        <w:t xml:space="preserve"> لا إشكال على قول الأكثر الآتي ويدل له خبر البخاري إني أنسى كما تنسون</w:t>
      </w:r>
      <w:r w:rsidR="000636C2">
        <w:rPr>
          <w:rFonts w:hint="cs"/>
          <w:rtl/>
        </w:rPr>
        <w:t>،</w:t>
      </w:r>
      <w:r w:rsidRPr="005675B2">
        <w:rPr>
          <w:rFonts w:hint="cs"/>
          <w:rtl/>
        </w:rPr>
        <w:t xml:space="preserve"> فإذا نسيت فذكروني</w:t>
      </w:r>
      <w:r w:rsidR="000636C2">
        <w:rPr>
          <w:rFonts w:hint="cs"/>
          <w:rtl/>
        </w:rPr>
        <w:t>،</w:t>
      </w:r>
      <w:r w:rsidRPr="005675B2">
        <w:rPr>
          <w:rFonts w:hint="cs"/>
          <w:rtl/>
        </w:rPr>
        <w:t xml:space="preserve"> وأما على القول المذكور فيجاب عنه</w:t>
      </w:r>
      <w:r w:rsidR="000636C2">
        <w:rPr>
          <w:rFonts w:hint="cs"/>
          <w:rtl/>
        </w:rPr>
        <w:t>،</w:t>
      </w:r>
      <w:r w:rsidRPr="005675B2">
        <w:rPr>
          <w:rFonts w:hint="cs"/>
          <w:rtl/>
        </w:rPr>
        <w:t>بأن المنع من السهو معناه المنع من استدامته لا من ابتدائه</w:t>
      </w:r>
      <w:r w:rsidR="000636C2">
        <w:rPr>
          <w:rFonts w:hint="cs"/>
          <w:rtl/>
        </w:rPr>
        <w:t>،</w:t>
      </w:r>
      <w:r w:rsidRPr="005675B2">
        <w:rPr>
          <w:rFonts w:hint="cs"/>
          <w:rtl/>
        </w:rPr>
        <w:t xml:space="preserve"> وبأن محله في القول مطلقا وفي الفعل اذا لم يترتب عليه حكمٌ شرعيٌّ</w:t>
      </w:r>
      <w:r w:rsidR="000636C2">
        <w:rPr>
          <w:rFonts w:hint="cs"/>
          <w:rtl/>
        </w:rPr>
        <w:t>،</w:t>
      </w:r>
      <w:r w:rsidRPr="005675B2">
        <w:rPr>
          <w:rFonts w:hint="cs"/>
          <w:rtl/>
        </w:rPr>
        <w:t xml:space="preserve"> بدليل الخبر المذكور</w:t>
      </w:r>
      <w:r w:rsidR="000636C2">
        <w:rPr>
          <w:rFonts w:hint="cs"/>
          <w:rtl/>
        </w:rPr>
        <w:t>،</w:t>
      </w:r>
      <w:r w:rsidRPr="005675B2">
        <w:rPr>
          <w:rFonts w:hint="cs"/>
          <w:rtl/>
        </w:rPr>
        <w:t xml:space="preserve"> لأنه صلى الله عليه وسلم بُعِثَ لبيان الشرعيات</w:t>
      </w:r>
      <w:r w:rsidR="000636C2">
        <w:rPr>
          <w:rFonts w:hint="cs"/>
          <w:rtl/>
        </w:rPr>
        <w:t>،</w:t>
      </w:r>
      <w:r w:rsidRPr="005675B2">
        <w:rPr>
          <w:rFonts w:hint="cs"/>
          <w:rtl/>
        </w:rPr>
        <w:t xml:space="preserve"> ثم رأيتُ القاضي عياضاً ذكر حاصل ذلك ثم قال</w:t>
      </w:r>
      <w:r w:rsidR="000636C2">
        <w:rPr>
          <w:rFonts w:hint="cs"/>
          <w:rtl/>
        </w:rPr>
        <w:t>:</w:t>
      </w:r>
      <w:r w:rsidRPr="005675B2">
        <w:rPr>
          <w:rFonts w:hint="cs"/>
          <w:rtl/>
        </w:rPr>
        <w:t xml:space="preserve"> " إن السهو في الفعل في</w:t>
      </w:r>
      <w:r w:rsidRPr="005675B2">
        <w:rPr>
          <w:rFonts w:hint="cs"/>
        </w:rPr>
        <w:t xml:space="preserve"> </w:t>
      </w:r>
      <w:r w:rsidRPr="005675B2">
        <w:rPr>
          <w:rFonts w:hint="cs"/>
          <w:rtl/>
        </w:rPr>
        <w:t>حقه صلى الله عليه وسلم غير مضاد للمعجزة</w:t>
      </w:r>
      <w:r w:rsidR="000636C2">
        <w:rPr>
          <w:rFonts w:hint="cs"/>
          <w:rtl/>
        </w:rPr>
        <w:t>،</w:t>
      </w:r>
      <w:r w:rsidRPr="005675B2">
        <w:rPr>
          <w:rFonts w:hint="cs"/>
          <w:rtl/>
        </w:rPr>
        <w:t xml:space="preserve"> ولا قادح في التصديق "</w:t>
      </w:r>
      <w:r w:rsidR="000636C2">
        <w:rPr>
          <w:rFonts w:hint="cs"/>
          <w:rtl/>
        </w:rPr>
        <w:t>،</w:t>
      </w:r>
      <w:r w:rsidRPr="005675B2">
        <w:rPr>
          <w:rFonts w:hint="cs"/>
          <w:rtl/>
        </w:rPr>
        <w:t xml:space="preserve"> والأكثر على جواز صدور الصغيرة عنهم سهوا الا الدالة على الخِسَّةِ كسرقة لقمة والتطفيف بتمرة</w:t>
      </w:r>
      <w:r w:rsidR="000636C2">
        <w:rPr>
          <w:rFonts w:hint="cs"/>
          <w:rtl/>
        </w:rPr>
        <w:t>،</w:t>
      </w:r>
      <w:r w:rsidRPr="005675B2">
        <w:rPr>
          <w:rFonts w:hint="cs"/>
          <w:rtl/>
        </w:rPr>
        <w:t xml:space="preserve"> وينبهون عليها لو صدرت أهـ</w:t>
      </w:r>
      <w:r w:rsidR="000636C2">
        <w:rPr>
          <w:rFonts w:hint="cs"/>
          <w:rtl/>
        </w:rPr>
        <w:t>،</w:t>
      </w:r>
      <w:r w:rsidRPr="005675B2">
        <w:rPr>
          <w:rFonts w:hint="cs"/>
          <w:rtl/>
        </w:rPr>
        <w:t xml:space="preserve"> فهذا هو حاصل مذهب الأشاعرة والماتريدية</w:t>
      </w:r>
      <w:r w:rsidR="000636C2">
        <w:rPr>
          <w:rFonts w:hint="cs"/>
          <w:rtl/>
        </w:rPr>
        <w:t>،</w:t>
      </w:r>
      <w:r w:rsidRPr="005675B2">
        <w:rPr>
          <w:rFonts w:hint="cs"/>
          <w:rtl/>
        </w:rPr>
        <w:t xml:space="preserve"> ولا يلزم على هذا القول محال ولا استخفاف بنصوص الشرع كما قال هذا المدعي</w:t>
      </w:r>
      <w:r w:rsidR="000636C2">
        <w:rPr>
          <w:rFonts w:hint="cs"/>
          <w:rtl/>
        </w:rPr>
        <w:t>،</w:t>
      </w:r>
      <w:r w:rsidRPr="005675B2">
        <w:rPr>
          <w:rFonts w:hint="cs"/>
          <w:rtl/>
        </w:rPr>
        <w:t xml:space="preserve"> ولا تأويل لما ورد منها</w:t>
      </w:r>
      <w:r w:rsidR="000636C2">
        <w:rPr>
          <w:rFonts w:hint="cs"/>
          <w:rtl/>
        </w:rPr>
        <w:t>،</w:t>
      </w:r>
      <w:r w:rsidRPr="005675B2">
        <w:rPr>
          <w:rFonts w:hint="cs"/>
          <w:rtl/>
        </w:rPr>
        <w:t xml:space="preserve"> لأن من قال انها تدل على جواز صدور الذنوب والخطأ منهم</w:t>
      </w:r>
      <w:r w:rsidR="000636C2">
        <w:rPr>
          <w:rFonts w:hint="cs"/>
          <w:rtl/>
        </w:rPr>
        <w:t>،</w:t>
      </w:r>
      <w:r w:rsidRPr="005675B2">
        <w:rPr>
          <w:rFonts w:hint="cs"/>
          <w:rtl/>
        </w:rPr>
        <w:t xml:space="preserve"> إنما يقول هذا بفهمه المردود المعارض لما قاله هؤلاء العلماء</w:t>
      </w:r>
      <w:r w:rsidR="000636C2">
        <w:rPr>
          <w:rFonts w:hint="cs"/>
          <w:rtl/>
        </w:rPr>
        <w:t>،</w:t>
      </w:r>
      <w:r w:rsidRPr="005675B2">
        <w:rPr>
          <w:rFonts w:hint="cs"/>
          <w:rtl/>
        </w:rPr>
        <w:t xml:space="preserve"> مع عدم الانتباه لما قاله المشايخ</w:t>
      </w:r>
      <w:r w:rsidR="000636C2">
        <w:rPr>
          <w:rFonts w:hint="cs"/>
          <w:rtl/>
        </w:rPr>
        <w:t>،</w:t>
      </w:r>
      <w:r w:rsidRPr="005675B2">
        <w:rPr>
          <w:rFonts w:hint="cs"/>
          <w:rtl/>
        </w:rPr>
        <w:t xml:space="preserve"> وما دام قد تقرر مذهب أهل السنة كما مضى</w:t>
      </w:r>
      <w:r w:rsidR="000636C2">
        <w:rPr>
          <w:rFonts w:hint="cs"/>
          <w:rtl/>
        </w:rPr>
        <w:t>،</w:t>
      </w:r>
      <w:r w:rsidRPr="005675B2">
        <w:rPr>
          <w:rFonts w:hint="cs"/>
          <w:rtl/>
        </w:rPr>
        <w:t xml:space="preserve"> فقد حددوا موقفهم وطرقتهم في فهم النصوص بناء على الاستقراء والبرهان</w:t>
      </w:r>
      <w:r w:rsidR="000636C2">
        <w:rPr>
          <w:rFonts w:hint="cs"/>
          <w:rtl/>
        </w:rPr>
        <w:t>،</w:t>
      </w:r>
      <w:r w:rsidRPr="005675B2">
        <w:rPr>
          <w:rFonts w:hint="cs"/>
          <w:rtl/>
        </w:rPr>
        <w:t xml:space="preserve"> فقال الامام السعد التفتازاني في ص191</w:t>
      </w:r>
      <w:r w:rsidR="000636C2">
        <w:rPr>
          <w:rFonts w:hint="cs"/>
          <w:rtl/>
        </w:rPr>
        <w:t>:</w:t>
      </w:r>
      <w:r w:rsidRPr="005675B2">
        <w:rPr>
          <w:rFonts w:hint="cs"/>
          <w:rtl/>
        </w:rPr>
        <w:t xml:space="preserve"> " اذا تقرر هذه</w:t>
      </w:r>
      <w:r w:rsidR="000636C2">
        <w:rPr>
          <w:rFonts w:hint="cs"/>
          <w:rtl/>
        </w:rPr>
        <w:t>،</w:t>
      </w:r>
      <w:r w:rsidRPr="005675B2">
        <w:rPr>
          <w:rFonts w:hint="cs"/>
          <w:rtl/>
        </w:rPr>
        <w:t xml:space="preserve"> فما نُقل عن الأنبياء مما يشعر بكذب أو معصية</w:t>
      </w:r>
      <w:r w:rsidR="000636C2">
        <w:rPr>
          <w:rFonts w:hint="cs"/>
          <w:rtl/>
        </w:rPr>
        <w:t>،</w:t>
      </w:r>
      <w:r w:rsidRPr="005675B2">
        <w:rPr>
          <w:rFonts w:hint="cs"/>
          <w:rtl/>
        </w:rPr>
        <w:t xml:space="preserve"> فما كان منقولا بطريق الآحاد فمردود</w:t>
      </w:r>
      <w:r w:rsidR="000636C2">
        <w:rPr>
          <w:rFonts w:hint="cs"/>
          <w:rtl/>
        </w:rPr>
        <w:t>،</w:t>
      </w:r>
      <w:r w:rsidRPr="005675B2">
        <w:rPr>
          <w:rFonts w:hint="cs"/>
          <w:rtl/>
        </w:rPr>
        <w:t xml:space="preserve"> وما كان بطريق التواتر فمصروف عن ظاهره أن أمكنَ</w:t>
      </w:r>
      <w:r w:rsidR="000636C2">
        <w:rPr>
          <w:rFonts w:hint="cs"/>
          <w:rtl/>
        </w:rPr>
        <w:t>،</w:t>
      </w:r>
      <w:r w:rsidRPr="005675B2">
        <w:rPr>
          <w:rFonts w:hint="cs"/>
          <w:rtl/>
        </w:rPr>
        <w:t xml:space="preserve"> وإلا فمحمول على ترك الأولى أو كونه قبل البعثة "</w:t>
      </w:r>
      <w:r w:rsidR="000636C2">
        <w:rPr>
          <w:rFonts w:hint="cs"/>
          <w:rtl/>
        </w:rPr>
        <w:t xml:space="preserve"> </w:t>
      </w:r>
      <w:r w:rsidRPr="005675B2">
        <w:rPr>
          <w:rFonts w:hint="cs"/>
          <w:rtl/>
        </w:rPr>
        <w:t>أهـ</w:t>
      </w:r>
      <w:r w:rsidR="000636C2">
        <w:rPr>
          <w:rFonts w:hint="cs"/>
          <w:rtl/>
        </w:rPr>
        <w:t>،</w:t>
      </w:r>
      <w:r w:rsidRPr="005675B2">
        <w:rPr>
          <w:rFonts w:hint="cs"/>
          <w:rtl/>
        </w:rPr>
        <w:t xml:space="preserve"> وهذا ما أطلق عليه مصنف الكتاب متعلَّق هذا النقد بأنه تحريف قبيح</w:t>
      </w:r>
      <w:r w:rsidR="000636C2">
        <w:rPr>
          <w:rFonts w:hint="cs"/>
          <w:rtl/>
        </w:rPr>
        <w:t>،</w:t>
      </w:r>
      <w:r w:rsidRPr="005675B2">
        <w:rPr>
          <w:rFonts w:hint="cs"/>
          <w:rtl/>
        </w:rPr>
        <w:t xml:space="preserve"> وكلامه هذا قبح منه يدل على سخف عقله وسماجة فكره</w:t>
      </w:r>
      <w:r w:rsidR="000636C2">
        <w:rPr>
          <w:rFonts w:hint="cs"/>
          <w:rtl/>
        </w:rPr>
        <w:t>،</w:t>
      </w:r>
      <w:r w:rsidRPr="005675B2">
        <w:rPr>
          <w:rFonts w:hint="cs"/>
          <w:rtl/>
        </w:rPr>
        <w:t xml:space="preserve"> وبهذا نكون قد أتينا على ما أردنا ذكره في هذه التعليقة المختصرة</w:t>
      </w:r>
      <w:r w:rsidR="000636C2">
        <w:rPr>
          <w:rFonts w:hint="cs"/>
          <w:rtl/>
        </w:rPr>
        <w:t>،</w:t>
      </w:r>
      <w:r w:rsidRPr="005675B2">
        <w:rPr>
          <w:rFonts w:hint="cs"/>
          <w:rtl/>
        </w:rPr>
        <w:t xml:space="preserve"> وأدعو الله تعالى أن ينفعنا بها والمسلمين</w:t>
      </w:r>
      <w:r w:rsidR="000636C2">
        <w:rPr>
          <w:rFonts w:hint="cs"/>
          <w:rtl/>
        </w:rPr>
        <w:t>،</w:t>
      </w:r>
      <w:r w:rsidRPr="005675B2">
        <w:rPr>
          <w:rFonts w:hint="cs"/>
          <w:rtl/>
        </w:rPr>
        <w:t xml:space="preserve"> </w:t>
      </w:r>
    </w:p>
    <w:p w14:paraId="38024F30" w14:textId="699A38E9" w:rsidR="009C32A0" w:rsidRPr="005675B2" w:rsidRDefault="000636C2" w:rsidP="000636C2">
      <w:pPr>
        <w:rPr>
          <w:b/>
          <w:rtl/>
          <w:lang w:bidi="ar-KW"/>
        </w:rPr>
      </w:pPr>
      <w:r>
        <w:rPr>
          <w:rFonts w:hint="cs"/>
          <w:bCs/>
          <w:rtl/>
        </w:rPr>
        <w:t>[</w:t>
      </w:r>
      <w:r w:rsidR="009C32A0" w:rsidRPr="005675B2">
        <w:rPr>
          <w:rFonts w:hint="cs"/>
          <w:bCs/>
          <w:rtl/>
        </w:rPr>
        <w:t>خاتمة</w:t>
      </w:r>
      <w:r>
        <w:rPr>
          <w:rFonts w:hint="cs"/>
          <w:bCs/>
          <w:rtl/>
        </w:rPr>
        <w:t>:</w:t>
      </w:r>
      <w:r w:rsidR="009C32A0" w:rsidRPr="005675B2">
        <w:rPr>
          <w:rFonts w:hint="cs"/>
          <w:bCs/>
          <w:rtl/>
        </w:rPr>
        <w:t xml:space="preserve"> في بيان من هم أهل السنة</w:t>
      </w:r>
      <w:r>
        <w:rPr>
          <w:rFonts w:hint="cs"/>
          <w:bCs/>
          <w:rtl/>
        </w:rPr>
        <w:t>]</w:t>
      </w:r>
      <w:r>
        <w:rPr>
          <w:rFonts w:hint="cs"/>
          <w:rtl/>
        </w:rPr>
        <w:t>:</w:t>
      </w:r>
      <w:r w:rsidR="009C32A0" w:rsidRPr="005675B2">
        <w:rPr>
          <w:rFonts w:hint="cs"/>
          <w:rtl/>
        </w:rPr>
        <w:t xml:space="preserve"> وقد أحببنا أن نختم هذا التعليق اللطيف والنقد المنيف ببيان من هم أهل السنة والجماعة على التحقيق</w:t>
      </w:r>
      <w:r>
        <w:rPr>
          <w:rFonts w:hint="cs"/>
          <w:rtl/>
        </w:rPr>
        <w:t>،</w:t>
      </w:r>
      <w:r w:rsidR="009C32A0" w:rsidRPr="005675B2">
        <w:rPr>
          <w:rFonts w:hint="cs"/>
          <w:rtl/>
        </w:rPr>
        <w:t xml:space="preserve"> وذلك بذكر كلام ابن السبكي التاج رحمه الله تعالى الذي ذكره في شرح عقيدة ابن الحاجب وأورده محقق كتاب "إشارات المرام من عبارات الإمام " للعلامة البياضي رحمه الله تعالى في ص298</w:t>
      </w:r>
      <w:r>
        <w:rPr>
          <w:rFonts w:hint="cs"/>
          <w:rtl/>
        </w:rPr>
        <w:t>:</w:t>
      </w:r>
      <w:r w:rsidR="009C32A0" w:rsidRPr="005675B2">
        <w:rPr>
          <w:rFonts w:hint="cs"/>
          <w:rtl/>
        </w:rPr>
        <w:t xml:space="preserve"> " إذا أطلق أهل السنة والجماعة فالمراد بهم الاشاعرة والماتريدية</w:t>
      </w:r>
      <w:r>
        <w:rPr>
          <w:rFonts w:hint="cs"/>
          <w:rtl/>
        </w:rPr>
        <w:t>،</w:t>
      </w:r>
      <w:r w:rsidR="009C32A0" w:rsidRPr="005675B2">
        <w:rPr>
          <w:rFonts w:hint="cs"/>
          <w:rtl/>
        </w:rPr>
        <w:t xml:space="preserve"> وقال ابن السبكي في شرح عقيدة ابن الحاجب</w:t>
      </w:r>
      <w:r>
        <w:rPr>
          <w:rFonts w:hint="cs"/>
          <w:rtl/>
        </w:rPr>
        <w:t>:</w:t>
      </w:r>
      <w:r w:rsidR="009C32A0" w:rsidRPr="005675B2">
        <w:rPr>
          <w:rFonts w:hint="cs"/>
          <w:rtl/>
        </w:rPr>
        <w:t xml:space="preserve"> " اعلم أن أهل السنة والجماعة كلهم قد اتفقوا على معتقد واحد فيما يجب ويجوز ويستحيل وإن اختلفوا في الطرق والمبادئ الموصلة لذلك</w:t>
      </w:r>
      <w:r>
        <w:rPr>
          <w:rFonts w:hint="cs"/>
          <w:rtl/>
        </w:rPr>
        <w:t>،</w:t>
      </w:r>
      <w:r w:rsidR="009C32A0" w:rsidRPr="005675B2">
        <w:rPr>
          <w:rFonts w:hint="cs"/>
          <w:rtl/>
        </w:rPr>
        <w:t xml:space="preserve"> وبالجملة فهم بالاستقراء ثلاث طوائف</w:t>
      </w:r>
      <w:r>
        <w:rPr>
          <w:rFonts w:hint="cs"/>
          <w:rtl/>
        </w:rPr>
        <w:t>:</w:t>
      </w:r>
      <w:r w:rsidR="009C32A0" w:rsidRPr="005675B2">
        <w:rPr>
          <w:rFonts w:hint="cs"/>
          <w:rtl/>
        </w:rPr>
        <w:t xml:space="preserve"> الأولى</w:t>
      </w:r>
      <w:r>
        <w:rPr>
          <w:rFonts w:hint="cs"/>
          <w:rtl/>
        </w:rPr>
        <w:t>:</w:t>
      </w:r>
      <w:r w:rsidR="009C32A0" w:rsidRPr="005675B2">
        <w:rPr>
          <w:rFonts w:hint="cs"/>
          <w:rtl/>
        </w:rPr>
        <w:t xml:space="preserve"> أهل الحديث</w:t>
      </w:r>
      <w:r>
        <w:rPr>
          <w:rFonts w:hint="cs"/>
          <w:rtl/>
        </w:rPr>
        <w:t>،</w:t>
      </w:r>
      <w:r w:rsidR="009C32A0" w:rsidRPr="005675B2">
        <w:rPr>
          <w:rFonts w:hint="cs"/>
          <w:rtl/>
        </w:rPr>
        <w:t xml:space="preserve"> ومعتقد مباديهم الأدلة السمعية</w:t>
      </w:r>
      <w:r>
        <w:rPr>
          <w:rFonts w:hint="cs"/>
          <w:rtl/>
        </w:rPr>
        <w:t xml:space="preserve"> </w:t>
      </w:r>
      <w:r w:rsidR="009C32A0" w:rsidRPr="005675B2">
        <w:rPr>
          <w:rFonts w:hint="cs"/>
          <w:rtl/>
        </w:rPr>
        <w:t>- الكتاب والسنة والاجماع</w:t>
      </w:r>
      <w:r>
        <w:rPr>
          <w:rFonts w:hint="cs"/>
          <w:rtl/>
        </w:rPr>
        <w:t>،</w:t>
      </w:r>
      <w:r w:rsidR="009C32A0" w:rsidRPr="005675B2">
        <w:rPr>
          <w:rFonts w:hint="cs"/>
          <w:rtl/>
        </w:rPr>
        <w:t xml:space="preserve"> الثانية</w:t>
      </w:r>
      <w:r>
        <w:rPr>
          <w:rFonts w:hint="cs"/>
          <w:rtl/>
        </w:rPr>
        <w:t>:</w:t>
      </w:r>
      <w:r w:rsidR="009C32A0" w:rsidRPr="005675B2">
        <w:rPr>
          <w:rFonts w:hint="cs"/>
          <w:rtl/>
        </w:rPr>
        <w:t xml:space="preserve"> أهل النظر العقلي وهم الأشعرية والحنفية</w:t>
      </w:r>
      <w:r>
        <w:rPr>
          <w:rFonts w:hint="cs"/>
          <w:rtl/>
        </w:rPr>
        <w:t xml:space="preserve"> (</w:t>
      </w:r>
      <w:r w:rsidR="009C32A0" w:rsidRPr="005675B2">
        <w:rPr>
          <w:rFonts w:hint="cs"/>
          <w:rtl/>
        </w:rPr>
        <w:t>الماتريدية</w:t>
      </w:r>
      <w:r>
        <w:rPr>
          <w:rFonts w:hint="cs"/>
          <w:rtl/>
        </w:rPr>
        <w:t>)</w:t>
      </w:r>
      <w:r w:rsidR="009C32A0" w:rsidRPr="005675B2">
        <w:rPr>
          <w:rFonts w:hint="cs"/>
          <w:rtl/>
        </w:rPr>
        <w:t xml:space="preserve"> وشيخ الأشعرية أبو الحسن الأشعري</w:t>
      </w:r>
      <w:r>
        <w:rPr>
          <w:rFonts w:hint="cs"/>
          <w:rtl/>
        </w:rPr>
        <w:t>،</w:t>
      </w:r>
      <w:r w:rsidR="009C32A0" w:rsidRPr="005675B2">
        <w:rPr>
          <w:rFonts w:hint="cs"/>
          <w:rtl/>
        </w:rPr>
        <w:t xml:space="preserve"> وشيخ الحنفية أبو منصور الماتريدي</w:t>
      </w:r>
      <w:r>
        <w:rPr>
          <w:rFonts w:hint="cs"/>
          <w:rtl/>
        </w:rPr>
        <w:t>،</w:t>
      </w:r>
      <w:r w:rsidR="009C32A0" w:rsidRPr="005675B2">
        <w:rPr>
          <w:rFonts w:hint="cs"/>
          <w:rtl/>
        </w:rPr>
        <w:t xml:space="preserve"> وهم متفقون في المبادئ العقلية في كل مطلب يتوقف السمع عليه</w:t>
      </w:r>
      <w:r>
        <w:rPr>
          <w:rFonts w:hint="cs"/>
          <w:rtl/>
        </w:rPr>
        <w:t>،</w:t>
      </w:r>
      <w:r w:rsidR="009C32A0" w:rsidRPr="005675B2">
        <w:rPr>
          <w:rFonts w:hint="cs"/>
          <w:rtl/>
        </w:rPr>
        <w:t xml:space="preserve"> وفي المبادئ السمعية فيما يدرك العقل جوازه فقط والعقلية والسمعية في غيرها</w:t>
      </w:r>
      <w:r>
        <w:rPr>
          <w:rFonts w:hint="cs"/>
          <w:rtl/>
        </w:rPr>
        <w:t>،</w:t>
      </w:r>
      <w:r w:rsidR="009C32A0" w:rsidRPr="005675B2">
        <w:rPr>
          <w:rFonts w:hint="cs"/>
          <w:rtl/>
        </w:rPr>
        <w:t>واتفقوا في جميع المطالب الاعتقادية الا في مسائل</w:t>
      </w:r>
      <w:r>
        <w:rPr>
          <w:rFonts w:hint="cs"/>
          <w:rtl/>
        </w:rPr>
        <w:t>،</w:t>
      </w:r>
      <w:r w:rsidR="009C32A0" w:rsidRPr="005675B2">
        <w:rPr>
          <w:rFonts w:hint="cs"/>
          <w:rtl/>
        </w:rPr>
        <w:t xml:space="preserve"> الثالثة</w:t>
      </w:r>
      <w:r>
        <w:rPr>
          <w:rFonts w:hint="cs"/>
          <w:rtl/>
        </w:rPr>
        <w:t>:</w:t>
      </w:r>
      <w:r w:rsidR="009C32A0" w:rsidRPr="005675B2">
        <w:rPr>
          <w:rFonts w:hint="cs"/>
          <w:rtl/>
        </w:rPr>
        <w:t xml:space="preserve"> أهل الوجدان والكشف وهم الصوفية</w:t>
      </w:r>
      <w:r>
        <w:rPr>
          <w:rFonts w:hint="cs"/>
          <w:rtl/>
        </w:rPr>
        <w:t>،</w:t>
      </w:r>
      <w:r w:rsidR="009C32A0" w:rsidRPr="005675B2">
        <w:rPr>
          <w:rFonts w:hint="cs"/>
          <w:rtl/>
        </w:rPr>
        <w:t xml:space="preserve"> ومباديهم مبادي أهل النظر والحديث في البداية والكشف والإلهام في النهاية"</w:t>
      </w:r>
      <w:r>
        <w:rPr>
          <w:rFonts w:hint="cs"/>
          <w:rtl/>
        </w:rPr>
        <w:t xml:space="preserve"> </w:t>
      </w:r>
      <w:r w:rsidR="009C32A0" w:rsidRPr="005675B2">
        <w:rPr>
          <w:rFonts w:hint="cs"/>
          <w:rtl/>
        </w:rPr>
        <w:t>أهـ</w:t>
      </w:r>
      <w:r>
        <w:rPr>
          <w:rFonts w:hint="cs"/>
          <w:rtl/>
        </w:rPr>
        <w:t>،</w:t>
      </w:r>
      <w:r w:rsidR="009C32A0" w:rsidRPr="005675B2">
        <w:rPr>
          <w:rFonts w:hint="cs"/>
          <w:rtl/>
        </w:rPr>
        <w:t xml:space="preserve"> وهو كلام في غاية الإفادة</w:t>
      </w:r>
      <w:r>
        <w:rPr>
          <w:rFonts w:hint="cs"/>
          <w:rtl/>
        </w:rPr>
        <w:t>،</w:t>
      </w:r>
      <w:r w:rsidR="009C32A0" w:rsidRPr="005675B2">
        <w:rPr>
          <w:rFonts w:hint="cs"/>
          <w:rtl/>
        </w:rPr>
        <w:t xml:space="preserve"> ولاحظ أن مورد قسمة أهل السنة إلى هذه الطوائف الثلاثة إنما هو راجع إلى مصدر أخذهم للعقائد</w:t>
      </w:r>
      <w:r>
        <w:rPr>
          <w:rFonts w:hint="cs"/>
          <w:rtl/>
        </w:rPr>
        <w:t>،</w:t>
      </w:r>
      <w:r w:rsidR="009C32A0" w:rsidRPr="005675B2">
        <w:rPr>
          <w:rFonts w:hint="cs"/>
          <w:rtl/>
        </w:rPr>
        <w:t xml:space="preserve"> بمعنى إن الجميع من أهل السنة يأخذون بالكتاب والسنة والعقل</w:t>
      </w:r>
      <w:r>
        <w:rPr>
          <w:rFonts w:hint="cs"/>
          <w:rtl/>
        </w:rPr>
        <w:t>،</w:t>
      </w:r>
      <w:r w:rsidR="009C32A0" w:rsidRPr="005675B2">
        <w:rPr>
          <w:rFonts w:hint="cs"/>
          <w:rtl/>
        </w:rPr>
        <w:t xml:space="preserve"> ولكن بعضهم يركز في تثبيته للعقائد على النصوص الشرعية من الكتاب والسنة</w:t>
      </w:r>
      <w:r>
        <w:rPr>
          <w:rFonts w:hint="cs"/>
          <w:rtl/>
        </w:rPr>
        <w:t>،</w:t>
      </w:r>
      <w:r w:rsidR="009C32A0" w:rsidRPr="005675B2">
        <w:rPr>
          <w:rFonts w:hint="cs"/>
          <w:rtl/>
        </w:rPr>
        <w:t xml:space="preserve"> وهؤلاء نحو الإمام البيهقي وغيره</w:t>
      </w:r>
      <w:r>
        <w:rPr>
          <w:rFonts w:hint="cs"/>
          <w:rtl/>
        </w:rPr>
        <w:t>،</w:t>
      </w:r>
      <w:r w:rsidR="009C32A0" w:rsidRPr="005675B2">
        <w:rPr>
          <w:rFonts w:hint="cs"/>
          <w:rtl/>
        </w:rPr>
        <w:t xml:space="preserve"> وهؤلاء لا يغفلون العقل ولا النظر العقلي</w:t>
      </w:r>
      <w:r>
        <w:rPr>
          <w:rFonts w:hint="cs"/>
          <w:rtl/>
        </w:rPr>
        <w:t>،</w:t>
      </w:r>
      <w:r w:rsidR="009C32A0" w:rsidRPr="005675B2">
        <w:rPr>
          <w:rFonts w:hint="cs"/>
          <w:rtl/>
        </w:rPr>
        <w:t xml:space="preserve"> ولكن أكثر معتمدهم على المنقول</w:t>
      </w:r>
      <w:r>
        <w:rPr>
          <w:rFonts w:hint="cs"/>
          <w:rtl/>
        </w:rPr>
        <w:t>،</w:t>
      </w:r>
      <w:r w:rsidR="009C32A0" w:rsidRPr="005675B2">
        <w:rPr>
          <w:rFonts w:hint="cs"/>
          <w:rtl/>
        </w:rPr>
        <w:t xml:space="preserve"> وهؤلاء يسمون بأهل الحديث</w:t>
      </w:r>
      <w:r>
        <w:rPr>
          <w:rFonts w:hint="cs"/>
          <w:rtl/>
        </w:rPr>
        <w:t>،</w:t>
      </w:r>
      <w:r w:rsidR="009C32A0" w:rsidRPr="005675B2">
        <w:rPr>
          <w:rFonts w:hint="cs"/>
          <w:rtl/>
        </w:rPr>
        <w:t xml:space="preserve"> ومن أهل السنة مَن يركز أكثر على الأدلة العقلية والبراهين النظرية</w:t>
      </w:r>
      <w:r>
        <w:rPr>
          <w:rFonts w:hint="cs"/>
          <w:rtl/>
        </w:rPr>
        <w:t>،</w:t>
      </w:r>
      <w:r w:rsidR="009C32A0" w:rsidRPr="005675B2">
        <w:rPr>
          <w:rFonts w:hint="cs"/>
          <w:rtl/>
        </w:rPr>
        <w:t xml:space="preserve"> كالإمام الرازي والغزالي والتفتازاني وغيرهم من العلماء</w:t>
      </w:r>
      <w:r>
        <w:rPr>
          <w:rFonts w:hint="cs"/>
          <w:rtl/>
        </w:rPr>
        <w:t>،</w:t>
      </w:r>
      <w:r w:rsidR="009C32A0" w:rsidRPr="005675B2">
        <w:rPr>
          <w:rFonts w:hint="cs"/>
          <w:rtl/>
        </w:rPr>
        <w:t xml:space="preserve"> وهؤلاء لا يقال إنهم يغفلون الأخذ بالكتاب والسنة ولا يقال إنهم يتهاونون بها</w:t>
      </w:r>
      <w:r>
        <w:rPr>
          <w:rFonts w:hint="cs"/>
          <w:rtl/>
        </w:rPr>
        <w:t>،</w:t>
      </w:r>
      <w:r w:rsidR="009C32A0" w:rsidRPr="005675B2">
        <w:rPr>
          <w:rFonts w:hint="cs"/>
          <w:rtl/>
        </w:rPr>
        <w:t xml:space="preserve"> ولكنهم وجهوا أنظارهم إلى تحقيق الأدلة النظرية</w:t>
      </w:r>
      <w:r>
        <w:rPr>
          <w:rFonts w:hint="cs"/>
          <w:rtl/>
        </w:rPr>
        <w:t>،</w:t>
      </w:r>
      <w:r w:rsidR="009C32A0" w:rsidRPr="005675B2">
        <w:rPr>
          <w:rFonts w:hint="cs"/>
          <w:rtl/>
        </w:rPr>
        <w:t xml:space="preserve"> وهؤلاء يكملون ما بدأته الطائفة الأولى</w:t>
      </w:r>
      <w:r>
        <w:rPr>
          <w:rFonts w:hint="cs"/>
          <w:rtl/>
        </w:rPr>
        <w:t>،</w:t>
      </w:r>
      <w:r w:rsidR="009C32A0" w:rsidRPr="005675B2">
        <w:rPr>
          <w:rFonts w:hint="cs"/>
          <w:rtl/>
        </w:rPr>
        <w:t xml:space="preserve"> ويسمون أهل الكلام والنظر</w:t>
      </w:r>
      <w:r>
        <w:rPr>
          <w:rFonts w:hint="cs"/>
          <w:rtl/>
        </w:rPr>
        <w:t>،</w:t>
      </w:r>
      <w:r w:rsidR="009C32A0" w:rsidRPr="005675B2">
        <w:rPr>
          <w:rFonts w:hint="cs"/>
          <w:rtl/>
        </w:rPr>
        <w:t xml:space="preserve"> وطائفة من أهل السنة من يركزون أكثر على المعاملة</w:t>
      </w:r>
      <w:r>
        <w:rPr>
          <w:rFonts w:hint="cs"/>
          <w:rtl/>
        </w:rPr>
        <w:t>،</w:t>
      </w:r>
      <w:r w:rsidR="009C32A0" w:rsidRPr="005675B2">
        <w:rPr>
          <w:rFonts w:hint="cs"/>
          <w:rtl/>
        </w:rPr>
        <w:t xml:space="preserve"> والمقصود من هذا أنهم يرجعون في الاعتقاد إلى طريقة أهل الحديث والنظر</w:t>
      </w:r>
      <w:r>
        <w:rPr>
          <w:rFonts w:hint="cs"/>
          <w:rtl/>
        </w:rPr>
        <w:t>،</w:t>
      </w:r>
      <w:r w:rsidR="009C32A0" w:rsidRPr="005675B2">
        <w:rPr>
          <w:rFonts w:hint="cs"/>
          <w:rtl/>
        </w:rPr>
        <w:t xml:space="preserve"> ولكنهم يتميزون ببيان نتائج العقائد الدينية على روح الإنسان</w:t>
      </w:r>
      <w:r>
        <w:rPr>
          <w:rFonts w:hint="cs"/>
          <w:rtl/>
        </w:rPr>
        <w:t>،</w:t>
      </w:r>
      <w:r w:rsidR="009C32A0" w:rsidRPr="005675B2">
        <w:rPr>
          <w:rFonts w:hint="cs"/>
          <w:rtl/>
        </w:rPr>
        <w:t xml:space="preserve"> ويحاولون بيان ما يشعرون به في جنانهم باللسان</w:t>
      </w:r>
      <w:r>
        <w:rPr>
          <w:rFonts w:hint="cs"/>
          <w:rtl/>
        </w:rPr>
        <w:t>،</w:t>
      </w:r>
      <w:r w:rsidR="009C32A0" w:rsidRPr="005675B2">
        <w:rPr>
          <w:rFonts w:hint="cs"/>
          <w:rtl/>
        </w:rPr>
        <w:t xml:space="preserve"> ومنهم أبو القاسم الجنيد والحارث المحاسبي وغيرهم</w:t>
      </w:r>
      <w:r>
        <w:rPr>
          <w:rFonts w:hint="cs"/>
          <w:rtl/>
        </w:rPr>
        <w:t>،</w:t>
      </w:r>
      <w:r w:rsidR="009C32A0" w:rsidRPr="005675B2">
        <w:rPr>
          <w:rFonts w:hint="cs"/>
          <w:rtl/>
        </w:rPr>
        <w:t xml:space="preserve"> ويحاولون إرشاد الإنسان إلى الطرق العملية التي تساعد على تثبيت العقائد المأخوذة بالطرق السابقة</w:t>
      </w:r>
      <w:r>
        <w:rPr>
          <w:rFonts w:hint="cs"/>
          <w:rtl/>
        </w:rPr>
        <w:t>،</w:t>
      </w:r>
      <w:r w:rsidR="009C32A0" w:rsidRPr="005675B2">
        <w:rPr>
          <w:rFonts w:hint="cs"/>
          <w:rtl/>
        </w:rPr>
        <w:t xml:space="preserve"> وهؤلاء يسمون بالصوفية أو أهل الذوق</w:t>
      </w:r>
      <w:r>
        <w:rPr>
          <w:rFonts w:hint="cs"/>
          <w:rtl/>
        </w:rPr>
        <w:t>،</w:t>
      </w:r>
      <w:r w:rsidR="009C32A0" w:rsidRPr="005675B2">
        <w:rPr>
          <w:rFonts w:hint="cs"/>
          <w:rtl/>
        </w:rPr>
        <w:t xml:space="preserve"> فالحاصل أن جميع هذه الطوائف عقائدهم واحدة</w:t>
      </w:r>
      <w:r>
        <w:rPr>
          <w:rFonts w:hint="cs"/>
          <w:rtl/>
        </w:rPr>
        <w:t>،</w:t>
      </w:r>
      <w:r w:rsidR="009C32A0" w:rsidRPr="005675B2">
        <w:rPr>
          <w:rFonts w:hint="cs"/>
          <w:rtl/>
        </w:rPr>
        <w:t xml:space="preserve"> ولكن مآخذهم متنوعة</w:t>
      </w:r>
      <w:r>
        <w:rPr>
          <w:rFonts w:hint="cs"/>
          <w:rtl/>
        </w:rPr>
        <w:t>،</w:t>
      </w:r>
      <w:r w:rsidR="009C32A0" w:rsidRPr="005675B2">
        <w:rPr>
          <w:rFonts w:hint="cs"/>
          <w:rtl/>
        </w:rPr>
        <w:t xml:space="preserve"> ونلاحظ أن كل واحدة من هذه الطوائف لا تنكر مأخذ غيرها</w:t>
      </w:r>
      <w:r>
        <w:rPr>
          <w:rFonts w:hint="cs"/>
          <w:rtl/>
        </w:rPr>
        <w:t>،</w:t>
      </w:r>
      <w:r w:rsidR="009C32A0" w:rsidRPr="005675B2">
        <w:rPr>
          <w:rFonts w:hint="cs"/>
          <w:rtl/>
        </w:rPr>
        <w:t xml:space="preserve"> ولكن كل واحدة تتميز بزيادة اعتمادها على نوع من الأدلة</w:t>
      </w:r>
      <w:r>
        <w:rPr>
          <w:rFonts w:hint="cs"/>
          <w:rtl/>
        </w:rPr>
        <w:t>،</w:t>
      </w:r>
      <w:r w:rsidR="009C32A0" w:rsidRPr="005675B2">
        <w:rPr>
          <w:rFonts w:hint="cs"/>
          <w:rtl/>
        </w:rPr>
        <w:t xml:space="preserve"> فهو تنوع تابع لتغاير طرق الاستدلال</w:t>
      </w:r>
      <w:r>
        <w:rPr>
          <w:rFonts w:hint="cs"/>
          <w:rtl/>
        </w:rPr>
        <w:t>،</w:t>
      </w:r>
      <w:r w:rsidR="009C32A0" w:rsidRPr="005675B2">
        <w:rPr>
          <w:rFonts w:hint="cs"/>
          <w:rtl/>
        </w:rPr>
        <w:t xml:space="preserve"> وليس تابعا لتغاير المستدل عليه</w:t>
      </w:r>
      <w:r>
        <w:rPr>
          <w:rFonts w:hint="cs"/>
          <w:rtl/>
        </w:rPr>
        <w:t>،</w:t>
      </w:r>
      <w:r w:rsidR="009C32A0" w:rsidRPr="005675B2">
        <w:rPr>
          <w:rFonts w:hint="cs"/>
          <w:rtl/>
        </w:rPr>
        <w:t xml:space="preserve"> بمعنى أن عقائد الجميع واحدة</w:t>
      </w:r>
      <w:r>
        <w:rPr>
          <w:rFonts w:hint="cs"/>
          <w:rtl/>
        </w:rPr>
        <w:t>،</w:t>
      </w:r>
      <w:r w:rsidR="009C32A0" w:rsidRPr="005675B2">
        <w:rPr>
          <w:rFonts w:hint="cs"/>
          <w:rtl/>
        </w:rPr>
        <w:t xml:space="preserve"> ولا يجوز أن يعتقد المحدث خلاف ما يعتقد به المتكلم</w:t>
      </w:r>
      <w:r>
        <w:rPr>
          <w:rFonts w:hint="cs"/>
          <w:rtl/>
        </w:rPr>
        <w:t>،</w:t>
      </w:r>
      <w:r w:rsidR="009C32A0" w:rsidRPr="005675B2">
        <w:rPr>
          <w:rFonts w:hint="cs"/>
          <w:rtl/>
        </w:rPr>
        <w:t xml:space="preserve"> ولا يخالف الصوفي المتكلم</w:t>
      </w:r>
      <w:r>
        <w:rPr>
          <w:rFonts w:hint="cs"/>
          <w:rtl/>
        </w:rPr>
        <w:t>،</w:t>
      </w:r>
      <w:r w:rsidR="009C32A0" w:rsidRPr="005675B2">
        <w:rPr>
          <w:rFonts w:hint="cs"/>
          <w:rtl/>
        </w:rPr>
        <w:t xml:space="preserve"> بل الجميع ملتهم واحدة</w:t>
      </w:r>
      <w:r>
        <w:rPr>
          <w:rFonts w:hint="cs"/>
          <w:rtl/>
        </w:rPr>
        <w:t>،</w:t>
      </w:r>
      <w:r w:rsidR="009C32A0" w:rsidRPr="005675B2">
        <w:rPr>
          <w:rFonts w:hint="cs"/>
          <w:rtl/>
        </w:rPr>
        <w:t xml:space="preserve"> وعقيدتهم واحدة</w:t>
      </w:r>
      <w:r>
        <w:rPr>
          <w:rFonts w:hint="cs"/>
          <w:rtl/>
        </w:rPr>
        <w:t>،</w:t>
      </w:r>
      <w:r w:rsidR="009C32A0" w:rsidRPr="005675B2">
        <w:rPr>
          <w:rFonts w:hint="cs"/>
          <w:rtl/>
        </w:rPr>
        <w:t xml:space="preserve"> وهم على قلب رجل واحد</w:t>
      </w:r>
      <w:r>
        <w:rPr>
          <w:rFonts w:hint="cs"/>
          <w:rtl/>
        </w:rPr>
        <w:t>،</w:t>
      </w:r>
      <w:r w:rsidR="009C32A0" w:rsidRPr="005675B2">
        <w:rPr>
          <w:rFonts w:hint="cs"/>
          <w:rtl/>
        </w:rPr>
        <w:t xml:space="preserve"> واختلاف طرقهم لاختلاف طبائع الناس</w:t>
      </w:r>
      <w:r>
        <w:rPr>
          <w:rFonts w:hint="cs"/>
          <w:rtl/>
        </w:rPr>
        <w:t>،</w:t>
      </w:r>
      <w:r w:rsidR="009C32A0" w:rsidRPr="005675B2">
        <w:rPr>
          <w:rFonts w:hint="cs"/>
          <w:rtl/>
        </w:rPr>
        <w:t xml:space="preserve"> فمن الناس من يميل بطبيعته إلى الذوق ومنهم من يميل إلى النظر ومنهم من يميل إلى النقل بمجرده</w:t>
      </w:r>
      <w:r>
        <w:rPr>
          <w:rFonts w:hint="cs"/>
          <w:rtl/>
        </w:rPr>
        <w:t>،</w:t>
      </w:r>
      <w:r w:rsidR="009C32A0" w:rsidRPr="005675B2">
        <w:rPr>
          <w:rFonts w:hint="cs"/>
          <w:rtl/>
        </w:rPr>
        <w:t xml:space="preserve"> وكل منهم ممدوح ليس بمقدوح</w:t>
      </w:r>
      <w:r>
        <w:rPr>
          <w:rFonts w:hint="cs"/>
          <w:rtl/>
        </w:rPr>
        <w:t>،</w:t>
      </w:r>
      <w:r w:rsidR="009C32A0" w:rsidRPr="005675B2">
        <w:rPr>
          <w:rFonts w:hint="cs"/>
          <w:rtl/>
        </w:rPr>
        <w:t xml:space="preserve"> ولا اعتراض على واحد منهم</w:t>
      </w:r>
      <w:r>
        <w:rPr>
          <w:rFonts w:hint="cs"/>
          <w:rtl/>
        </w:rPr>
        <w:t>،</w:t>
      </w:r>
      <w:r w:rsidR="009C32A0" w:rsidRPr="005675B2">
        <w:rPr>
          <w:rFonts w:hint="cs"/>
          <w:rtl/>
        </w:rPr>
        <w:t xml:space="preserve"> ولا يخفى أن بعض الذين انتموا إلى الإسلام وانتسبوا إلى المحدثين قد ضلوا</w:t>
      </w:r>
      <w:r>
        <w:rPr>
          <w:rFonts w:hint="cs"/>
          <w:rtl/>
        </w:rPr>
        <w:t>،</w:t>
      </w:r>
      <w:r w:rsidR="009C32A0" w:rsidRPr="005675B2">
        <w:rPr>
          <w:rFonts w:hint="cs"/>
          <w:rtl/>
        </w:rPr>
        <w:t xml:space="preserve"> فمالوا إلى التجسيم أو غيرها من البدع</w:t>
      </w:r>
      <w:r>
        <w:rPr>
          <w:rFonts w:hint="cs"/>
          <w:rtl/>
        </w:rPr>
        <w:t>،</w:t>
      </w:r>
      <w:r w:rsidR="009C32A0" w:rsidRPr="005675B2">
        <w:rPr>
          <w:rFonts w:hint="cs"/>
          <w:rtl/>
        </w:rPr>
        <w:t xml:space="preserve"> وأن بعض من انتمى إلى الإسلام وانتمى إلى أهل النظر والكلام</w:t>
      </w:r>
      <w:r>
        <w:rPr>
          <w:rFonts w:hint="cs"/>
          <w:rtl/>
        </w:rPr>
        <w:t>،</w:t>
      </w:r>
      <w:r w:rsidR="009C32A0" w:rsidRPr="005675B2">
        <w:rPr>
          <w:rFonts w:hint="cs"/>
          <w:rtl/>
        </w:rPr>
        <w:t xml:space="preserve"> قد قال ببعض ضلالات الفلاسفة وغيرهم</w:t>
      </w:r>
      <w:r>
        <w:rPr>
          <w:rFonts w:hint="cs"/>
          <w:rtl/>
        </w:rPr>
        <w:t>،</w:t>
      </w:r>
      <w:r w:rsidR="009C32A0" w:rsidRPr="005675B2">
        <w:rPr>
          <w:rFonts w:hint="cs"/>
          <w:rtl/>
        </w:rPr>
        <w:t xml:space="preserve"> وأن من انتمى إلى الصوفية قد قال ببعض ضلالات الباطنية</w:t>
      </w:r>
      <w:r>
        <w:rPr>
          <w:rFonts w:hint="cs"/>
          <w:rtl/>
        </w:rPr>
        <w:t>،</w:t>
      </w:r>
      <w:r w:rsidR="009C32A0" w:rsidRPr="005675B2">
        <w:rPr>
          <w:rFonts w:hint="cs"/>
          <w:rtl/>
        </w:rPr>
        <w:t xml:space="preserve"> ولكن وجود هؤلاء المنحرفين لا يعني ذم أصل الطريقة</w:t>
      </w:r>
      <w:r>
        <w:rPr>
          <w:rFonts w:hint="cs"/>
          <w:rtl/>
        </w:rPr>
        <w:t>،</w:t>
      </w:r>
      <w:r w:rsidR="009C32A0" w:rsidRPr="005675B2">
        <w:rPr>
          <w:rFonts w:hint="cs"/>
          <w:rtl/>
        </w:rPr>
        <w:t xml:space="preserve"> وندعو الله تعالى أن يضع هذا الكتاب في كفة الحسنات في يوم الدين</w:t>
      </w:r>
      <w:r>
        <w:rPr>
          <w:rFonts w:hint="cs"/>
          <w:rtl/>
        </w:rPr>
        <w:t>،</w:t>
      </w:r>
      <w:r w:rsidR="009C32A0" w:rsidRPr="005675B2">
        <w:rPr>
          <w:rFonts w:hint="cs"/>
          <w:rtl/>
        </w:rPr>
        <w:t xml:space="preserve"> وينفع به المسلمين</w:t>
      </w:r>
      <w:r>
        <w:rPr>
          <w:rFonts w:hint="cs"/>
          <w:rtl/>
        </w:rPr>
        <w:t>،</w:t>
      </w:r>
      <w:r w:rsidR="009C32A0" w:rsidRPr="005675B2">
        <w:rPr>
          <w:rFonts w:hint="cs"/>
          <w:rtl/>
        </w:rPr>
        <w:t xml:space="preserve"> وليس لنا إلى غير الله تعالى حاجة ولا مذهب .. سعيد فودة</w:t>
      </w:r>
      <w:r>
        <w:rPr>
          <w:rFonts w:hint="cs"/>
          <w:rtl/>
        </w:rPr>
        <w:t>]</w:t>
      </w:r>
      <w:r w:rsidR="009C32A0" w:rsidRPr="005675B2">
        <w:rPr>
          <w:rFonts w:hint="cs"/>
          <w:rtl/>
        </w:rPr>
        <w:t xml:space="preserve">] انتهى من كتاب </w:t>
      </w:r>
      <w:r w:rsidR="009C32A0" w:rsidRPr="005675B2">
        <w:rPr>
          <w:rtl/>
          <w:lang w:bidi="ar-KW"/>
        </w:rPr>
        <w:t>النقد والتقويم لمنتقد عقائد الماتريدية للشيخ سعيد فودة</w:t>
      </w:r>
      <w:r>
        <w:rPr>
          <w:rFonts w:hint="cs"/>
          <w:rtl/>
          <w:lang w:bidi="ar-KW"/>
        </w:rPr>
        <w:t>،</w:t>
      </w:r>
      <w:r w:rsidR="009C32A0" w:rsidRPr="005675B2">
        <w:rPr>
          <w:rFonts w:hint="cs"/>
          <w:rtl/>
          <w:lang w:bidi="ar-KW"/>
        </w:rPr>
        <w:t xml:space="preserve"> </w:t>
      </w:r>
    </w:p>
    <w:p w14:paraId="4BA4C88B" w14:textId="77777777" w:rsidR="009C32A0" w:rsidRPr="005675B2" w:rsidRDefault="009C32A0" w:rsidP="000636C2">
      <w:pPr>
        <w:jc w:val="center"/>
        <w:rPr>
          <w:sz w:val="22"/>
          <w:rtl/>
        </w:rPr>
      </w:pPr>
      <w:r>
        <w:rPr>
          <w:rFonts w:hint="cs"/>
          <w:sz w:val="22"/>
          <w:rtl/>
        </w:rPr>
        <w:t>***</w:t>
      </w:r>
    </w:p>
    <w:p w14:paraId="0BAE49C0" w14:textId="77777777" w:rsidR="009C32A0" w:rsidRPr="005675B2" w:rsidRDefault="009C32A0" w:rsidP="000636C2">
      <w:pPr>
        <w:jc w:val="center"/>
        <w:rPr>
          <w:b/>
          <w:bCs/>
          <w:rtl/>
        </w:rPr>
      </w:pPr>
    </w:p>
    <w:p w14:paraId="385008A4" w14:textId="0F3939EA" w:rsidR="009C32A0" w:rsidRPr="00627D1B" w:rsidRDefault="009C32A0" w:rsidP="00627D1B">
      <w:pPr>
        <w:pStyle w:val="1"/>
        <w:rPr>
          <w:sz w:val="22"/>
          <w:u w:val="none"/>
          <w:rtl/>
        </w:rPr>
      </w:pPr>
      <w:r w:rsidRPr="00627D1B">
        <w:rPr>
          <w:u w:val="none"/>
          <w:rtl/>
        </w:rPr>
        <w:t>الخاتمة</w:t>
      </w:r>
      <w:r w:rsidR="000636C2" w:rsidRPr="00627D1B">
        <w:rPr>
          <w:u w:val="none"/>
          <w:rtl/>
        </w:rPr>
        <w:t>:</w:t>
      </w:r>
      <w:r w:rsidRPr="00627D1B">
        <w:rPr>
          <w:u w:val="none"/>
          <w:rtl/>
        </w:rPr>
        <w:t xml:space="preserve"> وأهم توصيات الرسالـة</w:t>
      </w:r>
    </w:p>
    <w:p w14:paraId="716856C3" w14:textId="2418C384" w:rsidR="009C32A0" w:rsidRPr="005675B2" w:rsidRDefault="009C32A0" w:rsidP="000636C2">
      <w:pPr>
        <w:rPr>
          <w:b/>
          <w:rtl/>
          <w:lang w:bidi="ar-KW"/>
        </w:rPr>
      </w:pPr>
      <w:r w:rsidRPr="005675B2">
        <w:rPr>
          <w:rFonts w:hint="cs"/>
          <w:rtl/>
          <w:lang w:bidi="ar-KW"/>
        </w:rPr>
        <w:t>الأصول الصحيحة للمذهب الأشعري والماتريدي</w:t>
      </w:r>
      <w:r w:rsidR="000636C2">
        <w:rPr>
          <w:rFonts w:hint="cs"/>
          <w:rtl/>
          <w:lang w:bidi="ar-KW"/>
        </w:rPr>
        <w:t xml:space="preserve">: </w:t>
      </w:r>
      <w:r w:rsidRPr="005675B2">
        <w:rPr>
          <w:rFonts w:hint="cs"/>
          <w:rtl/>
          <w:lang w:bidi="ar-KW"/>
        </w:rPr>
        <w:t>وهي ذاتها الأصول التي دل عليها فقه الكتاب والسنة وفقه الصحابة الكرام ومن سار على هديهم من السلف الصالح</w:t>
      </w:r>
      <w:r w:rsidR="000636C2">
        <w:rPr>
          <w:rFonts w:hint="cs"/>
          <w:rtl/>
          <w:lang w:bidi="ar-KW"/>
        </w:rPr>
        <w:t>،</w:t>
      </w:r>
      <w:r w:rsidRPr="005675B2">
        <w:rPr>
          <w:rFonts w:hint="cs"/>
          <w:rtl/>
          <w:lang w:bidi="ar-KW"/>
        </w:rPr>
        <w:t xml:space="preserve"> وهي ذاتها الأصول العقائدية لمذهب أهل السنة والجماعة الفرقة الناجية</w:t>
      </w:r>
      <w:r w:rsidR="000636C2">
        <w:rPr>
          <w:rFonts w:hint="cs"/>
          <w:rtl/>
          <w:lang w:bidi="ar-KW"/>
        </w:rPr>
        <w:t>،</w:t>
      </w:r>
      <w:r>
        <w:rPr>
          <w:rFonts w:hint="cs"/>
          <w:rtl/>
          <w:lang w:bidi="ar-KW"/>
        </w:rPr>
        <w:t xml:space="preserve"> </w:t>
      </w:r>
      <w:r w:rsidRPr="005675B2">
        <w:rPr>
          <w:rFonts w:hint="cs"/>
          <w:rtl/>
          <w:lang w:bidi="ar-KW"/>
        </w:rPr>
        <w:t>إنهم وسط بين الحشوية والمجسمة من جهة وبين الجهمية والمعتزلة من جهة أخرى</w:t>
      </w:r>
      <w:r w:rsidR="000636C2">
        <w:rPr>
          <w:rFonts w:hint="cs"/>
          <w:rtl/>
          <w:lang w:bidi="ar-KW"/>
        </w:rPr>
        <w:t>،</w:t>
      </w:r>
      <w:r>
        <w:rPr>
          <w:rFonts w:hint="cs"/>
          <w:rtl/>
          <w:lang w:bidi="ar-KW"/>
        </w:rPr>
        <w:t xml:space="preserve"> </w:t>
      </w:r>
      <w:r w:rsidRPr="005675B2">
        <w:rPr>
          <w:rFonts w:hint="cs"/>
          <w:rtl/>
          <w:lang w:bidi="ar-KW"/>
        </w:rPr>
        <w:t>إنهم وحدهم من حق التوازن الصحيح بين التنزيه والإثبات بلا تفريط ولا إفراط</w:t>
      </w:r>
      <w:r w:rsidR="000636C2">
        <w:rPr>
          <w:rFonts w:hint="cs"/>
          <w:rtl/>
          <w:lang w:bidi="ar-KW"/>
        </w:rPr>
        <w:t>،</w:t>
      </w:r>
      <w:r>
        <w:rPr>
          <w:rFonts w:hint="cs"/>
          <w:rtl/>
          <w:lang w:bidi="ar-KW"/>
        </w:rPr>
        <w:t xml:space="preserve"> </w:t>
      </w:r>
      <w:r w:rsidRPr="005675B2">
        <w:rPr>
          <w:rFonts w:hint="cs"/>
          <w:rtl/>
          <w:lang w:bidi="ar-KW"/>
        </w:rPr>
        <w:t>أفرط الحشوية والمجسمة والمشبهة عندما جهلوا قواعد التنزيه التي لو تعلمها أحدهم في خمس دقائق لما عاث في العقائد يتكلم بجهل في حق ذات الله وأسمائه وصفاته وأفعاله حتى حدوه وحيزوه في مخلوقاته وأقعدوه على أحد مخلوقاته وكانه محتاج إليها</w:t>
      </w:r>
      <w:r w:rsidR="000636C2">
        <w:rPr>
          <w:rFonts w:hint="cs"/>
          <w:rtl/>
          <w:lang w:bidi="ar-KW"/>
        </w:rPr>
        <w:t>،</w:t>
      </w:r>
      <w:r w:rsidRPr="005675B2">
        <w:rPr>
          <w:rFonts w:hint="cs"/>
          <w:rtl/>
          <w:lang w:bidi="ar-KW"/>
        </w:rPr>
        <w:t xml:space="preserve"> فهم لا يعرفون الواجب والجائز والمستحيل في حق الرب العظيم ويتكلمون فيها بجهل عظيم</w:t>
      </w:r>
      <w:r w:rsidR="000636C2">
        <w:rPr>
          <w:rFonts w:hint="cs"/>
          <w:rtl/>
          <w:lang w:bidi="ar-KW"/>
        </w:rPr>
        <w:t>،</w:t>
      </w:r>
      <w:r w:rsidRPr="005675B2">
        <w:rPr>
          <w:rFonts w:hint="cs"/>
          <w:rtl/>
          <w:lang w:bidi="ar-KW"/>
        </w:rPr>
        <w:t xml:space="preserve"> ولا يكتفون بذلك حتى يبدعوا من يخالفهم ويكفروه وصدق من قال</w:t>
      </w:r>
      <w:r w:rsidR="000636C2">
        <w:rPr>
          <w:rFonts w:hint="cs"/>
          <w:rtl/>
          <w:lang w:bidi="ar-KW"/>
        </w:rPr>
        <w:t>:</w:t>
      </w:r>
      <w:r w:rsidRPr="005675B2">
        <w:rPr>
          <w:rFonts w:hint="cs"/>
          <w:rtl/>
          <w:lang w:bidi="ar-KW"/>
        </w:rPr>
        <w:t xml:space="preserve"> الناس أعداء لما جهلوا</w:t>
      </w:r>
      <w:r w:rsidR="000636C2">
        <w:rPr>
          <w:rFonts w:hint="cs"/>
          <w:rtl/>
          <w:lang w:bidi="ar-KW"/>
        </w:rPr>
        <w:t>،</w:t>
      </w:r>
      <w:r w:rsidRPr="005675B2">
        <w:rPr>
          <w:rFonts w:hint="cs"/>
          <w:rtl/>
          <w:lang w:bidi="ar-KW"/>
        </w:rPr>
        <w:t xml:space="preserve"> وأذكر أنني ناقشت أحدهم عليظ الطبع جلف ناقص العقل</w:t>
      </w:r>
      <w:r w:rsidR="000636C2">
        <w:rPr>
          <w:rFonts w:hint="cs"/>
          <w:rtl/>
          <w:lang w:bidi="ar-KW"/>
        </w:rPr>
        <w:t>،</w:t>
      </w:r>
      <w:r w:rsidRPr="005675B2">
        <w:rPr>
          <w:rFonts w:hint="cs"/>
          <w:rtl/>
          <w:lang w:bidi="ar-KW"/>
        </w:rPr>
        <w:t xml:space="preserve"> وكان موضوعنا عن قدرة الله فقلت انها تتعلق بالجائز في حق الله</w:t>
      </w:r>
      <w:r w:rsidR="000636C2">
        <w:rPr>
          <w:rFonts w:hint="cs"/>
          <w:rtl/>
          <w:lang w:bidi="ar-KW"/>
        </w:rPr>
        <w:t>،</w:t>
      </w:r>
      <w:r w:rsidRPr="005675B2">
        <w:rPr>
          <w:rFonts w:hint="cs"/>
          <w:rtl/>
          <w:lang w:bidi="ar-KW"/>
        </w:rPr>
        <w:t xml:space="preserve"> فانتفض وانتفخت أوداجه وقال قدرة الله لا تتعلق بجائز ولا غيره إنها تتعلق بكل شي إن </w:t>
      </w:r>
      <w:r w:rsidR="000636C2">
        <w:rPr>
          <w:rFonts w:hint="cs"/>
          <w:rtl/>
          <w:lang w:bidi="ar-KW"/>
        </w:rPr>
        <w:t>(</w:t>
      </w:r>
      <w:r w:rsidRPr="005675B2">
        <w:rPr>
          <w:rFonts w:hint="cs"/>
          <w:rtl/>
          <w:lang w:bidi="ar-KW"/>
        </w:rPr>
        <w:t>الله على كل شيء قدير</w:t>
      </w:r>
      <w:r w:rsidR="000636C2">
        <w:rPr>
          <w:rFonts w:hint="cs"/>
          <w:rtl/>
          <w:lang w:bidi="ar-KW"/>
        </w:rPr>
        <w:t>)</w:t>
      </w:r>
      <w:r w:rsidRPr="005675B2">
        <w:rPr>
          <w:rFonts w:hint="cs"/>
          <w:rtl/>
          <w:lang w:bidi="ar-KW"/>
        </w:rPr>
        <w:t xml:space="preserve"> فقلت له وأنا أعلم أنه مسكين جاهل</w:t>
      </w:r>
      <w:r w:rsidR="000636C2">
        <w:rPr>
          <w:rFonts w:hint="cs"/>
          <w:rtl/>
          <w:lang w:bidi="ar-KW"/>
        </w:rPr>
        <w:t>،</w:t>
      </w:r>
      <w:r w:rsidRPr="005675B2">
        <w:rPr>
          <w:rFonts w:hint="cs"/>
          <w:rtl/>
          <w:lang w:bidi="ar-KW"/>
        </w:rPr>
        <w:t xml:space="preserve"> أسألك سؤالا</w:t>
      </w:r>
      <w:r w:rsidR="000636C2">
        <w:rPr>
          <w:rFonts w:hint="cs"/>
          <w:rtl/>
          <w:lang w:bidi="ar-KW"/>
        </w:rPr>
        <w:t>:</w:t>
      </w:r>
      <w:r w:rsidRPr="005675B2">
        <w:rPr>
          <w:rFonts w:hint="cs"/>
          <w:rtl/>
          <w:lang w:bidi="ar-KW"/>
        </w:rPr>
        <w:t xml:space="preserve"> هل تتعلق قدرة الله بأن يخلق إلها ربا عظيما مثله</w:t>
      </w:r>
      <w:r w:rsidR="000636C2">
        <w:rPr>
          <w:rFonts w:hint="cs"/>
          <w:rtl/>
          <w:lang w:bidi="ar-KW"/>
        </w:rPr>
        <w:t>؟</w:t>
      </w:r>
      <w:r w:rsidRPr="005675B2">
        <w:rPr>
          <w:rFonts w:hint="cs"/>
          <w:rtl/>
          <w:lang w:bidi="ar-KW"/>
        </w:rPr>
        <w:t xml:space="preserve"> فأسقط في يده ثم زاغت عيناه وقال هذا السؤال كفر ما أخترعه غير إبليس وأخذ يهذي بما لا يعلم ولا يفقه ولم يدر جوابا</w:t>
      </w:r>
      <w:r w:rsidR="000636C2">
        <w:rPr>
          <w:rFonts w:hint="cs"/>
          <w:rtl/>
          <w:lang w:bidi="ar-KW"/>
        </w:rPr>
        <w:t>،</w:t>
      </w:r>
      <w:r w:rsidRPr="005675B2">
        <w:rPr>
          <w:rFonts w:hint="cs"/>
          <w:rtl/>
          <w:lang w:bidi="ar-KW"/>
        </w:rPr>
        <w:t xml:space="preserve"> فقلت له دعك عن هذا السؤال</w:t>
      </w:r>
      <w:r w:rsidR="000636C2">
        <w:rPr>
          <w:rFonts w:hint="cs"/>
          <w:rtl/>
          <w:lang w:bidi="ar-KW"/>
        </w:rPr>
        <w:t>،</w:t>
      </w:r>
      <w:r w:rsidRPr="005675B2">
        <w:rPr>
          <w:rFonts w:hint="cs"/>
          <w:rtl/>
          <w:lang w:bidi="ar-KW"/>
        </w:rPr>
        <w:t xml:space="preserve"> واجب على آخر</w:t>
      </w:r>
      <w:r w:rsidR="000636C2">
        <w:rPr>
          <w:rFonts w:hint="cs"/>
          <w:rtl/>
          <w:lang w:bidi="ar-KW"/>
        </w:rPr>
        <w:t>:</w:t>
      </w:r>
      <w:r w:rsidRPr="005675B2">
        <w:rPr>
          <w:rFonts w:hint="cs"/>
          <w:rtl/>
          <w:lang w:bidi="ar-KW"/>
        </w:rPr>
        <w:t xml:space="preserve"> هل تتعلق قدرة الله بعلم الله</w:t>
      </w:r>
      <w:r w:rsidR="000636C2">
        <w:rPr>
          <w:rFonts w:hint="cs"/>
          <w:rtl/>
          <w:lang w:bidi="ar-KW"/>
        </w:rPr>
        <w:t>؟</w:t>
      </w:r>
      <w:r w:rsidRPr="005675B2">
        <w:rPr>
          <w:rFonts w:hint="cs"/>
          <w:rtl/>
          <w:lang w:bidi="ar-KW"/>
        </w:rPr>
        <w:t xml:space="preserve"> فقال ما أفهم</w:t>
      </w:r>
      <w:r w:rsidR="000636C2">
        <w:rPr>
          <w:rFonts w:hint="cs"/>
          <w:rtl/>
          <w:lang w:bidi="ar-KW"/>
        </w:rPr>
        <w:t>،</w:t>
      </w:r>
      <w:r w:rsidRPr="005675B2">
        <w:rPr>
          <w:rFonts w:hint="cs"/>
          <w:rtl/>
          <w:lang w:bidi="ar-KW"/>
        </w:rPr>
        <w:t xml:space="preserve"> فقلت له هل تتعلق قدرة الله بعلمه بمعنى أن يعلم متى شاء ويجهل _ والعياذ بالله _ متى شاء</w:t>
      </w:r>
      <w:r w:rsidR="000636C2">
        <w:rPr>
          <w:rFonts w:hint="cs"/>
          <w:rtl/>
          <w:lang w:bidi="ar-KW"/>
        </w:rPr>
        <w:t>،</w:t>
      </w:r>
      <w:r w:rsidRPr="005675B2">
        <w:rPr>
          <w:rFonts w:hint="cs"/>
          <w:rtl/>
          <w:lang w:bidi="ar-KW"/>
        </w:rPr>
        <w:t xml:space="preserve"> وهل تتعلق قدرة الله ببصر الله فيبصر متى شاء ولا يبصر ما يجري في ملكه متى شاء</w:t>
      </w:r>
      <w:r w:rsidR="000636C2">
        <w:rPr>
          <w:rFonts w:hint="cs"/>
          <w:rtl/>
          <w:lang w:bidi="ar-KW"/>
        </w:rPr>
        <w:t>،</w:t>
      </w:r>
      <w:r w:rsidRPr="005675B2">
        <w:rPr>
          <w:rFonts w:hint="cs"/>
          <w:rtl/>
          <w:lang w:bidi="ar-KW"/>
        </w:rPr>
        <w:t>وهل تتعلق قدرة الله بسمع الله فيسمع متى شاء ولا يسمع ما يجري في ملكه متى شاء</w:t>
      </w:r>
      <w:r w:rsidR="000636C2">
        <w:rPr>
          <w:rFonts w:hint="cs"/>
          <w:rtl/>
          <w:lang w:bidi="ar-KW"/>
        </w:rPr>
        <w:t>،</w:t>
      </w:r>
      <w:r w:rsidRPr="005675B2">
        <w:rPr>
          <w:rFonts w:hint="cs"/>
          <w:rtl/>
          <w:lang w:bidi="ar-KW"/>
        </w:rPr>
        <w:t xml:space="preserve"> فقال الرجل وكان منصفا هذه المرة</w:t>
      </w:r>
      <w:r w:rsidR="000636C2">
        <w:rPr>
          <w:rFonts w:hint="cs"/>
          <w:rtl/>
          <w:lang w:bidi="ar-KW"/>
        </w:rPr>
        <w:t>:</w:t>
      </w:r>
      <w:r w:rsidRPr="005675B2">
        <w:rPr>
          <w:rFonts w:hint="cs"/>
          <w:rtl/>
          <w:lang w:bidi="ar-KW"/>
        </w:rPr>
        <w:t xml:space="preserve"> لا فإن علم الله كامل تام وكذا سمعه وكذا بصره</w:t>
      </w:r>
      <w:r w:rsidR="000636C2">
        <w:rPr>
          <w:rFonts w:hint="cs"/>
          <w:rtl/>
          <w:lang w:bidi="ar-KW"/>
        </w:rPr>
        <w:t>،</w:t>
      </w:r>
      <w:r w:rsidRPr="005675B2">
        <w:rPr>
          <w:rFonts w:hint="cs"/>
          <w:rtl/>
          <w:lang w:bidi="ar-KW"/>
        </w:rPr>
        <w:t xml:space="preserve"> فقلت له لذلك نقول بفقه في دين الله وعلم أن هناك الواجب في حق الله كالحياة والعلم والسمع والبصر والكلام وهناك الجائز في حق الله كالخلق والرزق وهناك المستحيل في حق الله كالموت والجهل وكل نقص يتنزه عنه كمال الله</w:t>
      </w:r>
      <w:r w:rsidR="000636C2">
        <w:rPr>
          <w:rFonts w:hint="cs"/>
          <w:rtl/>
          <w:lang w:bidi="ar-KW"/>
        </w:rPr>
        <w:t>،</w:t>
      </w:r>
      <w:r w:rsidRPr="005675B2">
        <w:rPr>
          <w:rFonts w:hint="cs"/>
          <w:rtl/>
          <w:lang w:bidi="ar-KW"/>
        </w:rPr>
        <w:t xml:space="preserve"> وقدرة الله لا تتعلق لا بالواجب لانه واجب يستحيل ضده ولا بالمستحيل لأنه نقص يضاد ألوهيته وربوبيته وكمال ذاته وصفاته</w:t>
      </w:r>
      <w:r w:rsidR="000636C2">
        <w:rPr>
          <w:rFonts w:hint="cs"/>
          <w:rtl/>
          <w:lang w:bidi="ar-KW"/>
        </w:rPr>
        <w:t>،</w:t>
      </w:r>
      <w:r w:rsidRPr="005675B2">
        <w:rPr>
          <w:rFonts w:hint="cs"/>
          <w:rtl/>
          <w:lang w:bidi="ar-KW"/>
        </w:rPr>
        <w:t xml:space="preserve"> وهنا هدأ الرجل الذي كان يزعم من دقائق معدودة انه علامة السلف والسلفية وأنه الملهم الذي ينطق بما قال به السلف وان من خالفه فهو مبتدع ضال من الفرق الهالكة</w:t>
      </w:r>
      <w:r w:rsidR="000636C2">
        <w:rPr>
          <w:rFonts w:hint="cs"/>
          <w:rtl/>
          <w:lang w:bidi="ar-KW"/>
        </w:rPr>
        <w:t>،</w:t>
      </w:r>
      <w:r w:rsidRPr="005675B2">
        <w:rPr>
          <w:rFonts w:hint="cs"/>
          <w:rtl/>
          <w:lang w:bidi="ar-KW"/>
        </w:rPr>
        <w:t xml:space="preserve"> ثم اعتدل وقال الأشاعرة والماتريدية لم يثبتوا لله سوى بعض الصفات وأولوا الباقي</w:t>
      </w:r>
      <w:r w:rsidR="000636C2">
        <w:rPr>
          <w:rFonts w:hint="cs"/>
          <w:rtl/>
          <w:lang w:bidi="ar-KW"/>
        </w:rPr>
        <w:t>،</w:t>
      </w:r>
      <w:r w:rsidRPr="005675B2">
        <w:rPr>
          <w:rFonts w:hint="cs"/>
          <w:rtl/>
          <w:lang w:bidi="ar-KW"/>
        </w:rPr>
        <w:t xml:space="preserve"> فقلت هذا من الجهل المبين بمذهبهم</w:t>
      </w:r>
      <w:r w:rsidR="000636C2">
        <w:rPr>
          <w:rFonts w:hint="cs"/>
          <w:rtl/>
          <w:lang w:bidi="ar-KW"/>
        </w:rPr>
        <w:t>،</w:t>
      </w:r>
      <w:r w:rsidRPr="005675B2">
        <w:rPr>
          <w:rFonts w:hint="cs"/>
          <w:rtl/>
          <w:lang w:bidi="ar-KW"/>
        </w:rPr>
        <w:t xml:space="preserve"> هل تعلم أن هذه الصفات هي الواجبة في حقه فلا يصح ضدها ولا يكون</w:t>
      </w:r>
      <w:r w:rsidR="000636C2">
        <w:rPr>
          <w:rFonts w:hint="cs"/>
          <w:rtl/>
          <w:lang w:bidi="ar-KW"/>
        </w:rPr>
        <w:t>،</w:t>
      </w:r>
      <w:r w:rsidRPr="005675B2">
        <w:rPr>
          <w:rFonts w:hint="cs"/>
          <w:rtl/>
          <w:lang w:bidi="ar-KW"/>
        </w:rPr>
        <w:t xml:space="preserve"> وهناك الصفات الجائزة في حقه لبعض خلقه كالرحمة والمودة والرضا وضدها جائز لبعض خلقه كالغضب والإنتقام وهناك الصفات المستحيلة في حقه كالنسيان والجهل وغيرها من صفات النقص</w:t>
      </w:r>
      <w:r w:rsidR="000636C2">
        <w:rPr>
          <w:rFonts w:hint="cs"/>
          <w:rtl/>
          <w:lang w:bidi="ar-KW"/>
        </w:rPr>
        <w:t>،</w:t>
      </w:r>
    </w:p>
    <w:p w14:paraId="4AD57937" w14:textId="5BBA7F4A" w:rsidR="009C32A0" w:rsidRPr="005675B2" w:rsidRDefault="009C32A0" w:rsidP="000636C2">
      <w:pPr>
        <w:rPr>
          <w:sz w:val="22"/>
          <w:rtl/>
        </w:rPr>
      </w:pPr>
      <w:r w:rsidRPr="005675B2">
        <w:rPr>
          <w:rFonts w:hint="cs"/>
          <w:rtl/>
        </w:rPr>
        <w:t>دور الأشاعرة في تجديد العقائد وحمايتها</w:t>
      </w:r>
      <w:r w:rsidR="000636C2">
        <w:rPr>
          <w:rFonts w:hint="cs"/>
          <w:rtl/>
        </w:rPr>
        <w:t xml:space="preserve">: </w:t>
      </w:r>
      <w:r w:rsidRPr="005675B2">
        <w:rPr>
          <w:rFonts w:hint="cs"/>
          <w:rtl/>
        </w:rPr>
        <w:t>لم تخل النقس البشرية يوما من الأيام من تشوقها إلى معرفة كنه خالقها الذي حجب العقول عن معرفة منه ذاته كما حجب الأبصار عن إدراكه، وكان الوحي السماوي هو الذي يضع الأسوار أمام العقل إذا تشوق متطلعا إلى تلك الأسرار</w:t>
      </w:r>
      <w:r w:rsidR="000636C2">
        <w:rPr>
          <w:rFonts w:hint="cs"/>
          <w:rtl/>
        </w:rPr>
        <w:t>،</w:t>
      </w:r>
      <w:r w:rsidRPr="005675B2">
        <w:rPr>
          <w:rFonts w:hint="cs"/>
          <w:rtl/>
        </w:rPr>
        <w:t xml:space="preserve"> وكلما ابتعدت البشرية عن الإيمان بوحي الله أو فهم نصوصه ركنت إلى تشوق النفوس فأسبغت على وصف الخالق بعض ما تألفه من أحكام الأجسام وأوصافها كالثقل والحجم والمقدار والتمكن في المكان</w:t>
      </w:r>
      <w:r w:rsidR="000636C2">
        <w:rPr>
          <w:rFonts w:hint="cs"/>
          <w:rtl/>
        </w:rPr>
        <w:t>،</w:t>
      </w:r>
      <w:r w:rsidRPr="005675B2">
        <w:rPr>
          <w:rFonts w:hint="cs"/>
          <w:rtl/>
        </w:rPr>
        <w:t xml:space="preserve"> ولو تتبعنا آثار التجسيم في الفكر الإسلامي لنعرف أصله ونشأته لوصلنا إلى مطلع القرن الهجري الثاني، هذا العصر الذي داهمت فيه العقيدة الإسلامية أعشاش الوثنية والنصرانية والمجوسية وغيرها من الملل والنحل فكشفت عن زيغها وعوارها حتى تركها من كان مقيماً عليها كابراً عن كابر إلى دين الإسلام ودخل أهلها فيه أفواجاً أفواجاً</w:t>
      </w:r>
      <w:r w:rsidR="000636C2">
        <w:rPr>
          <w:rFonts w:hint="cs"/>
          <w:rtl/>
        </w:rPr>
        <w:t>،</w:t>
      </w:r>
      <w:r w:rsidRPr="005675B2">
        <w:rPr>
          <w:rFonts w:hint="cs"/>
          <w:rtl/>
        </w:rPr>
        <w:t xml:space="preserve"> ولكن مع انتشار الاسلام هذا الإنتشار الإنفجاري السريع ظهرت مشاكلُ فكريةٌ لم تكن معروفة في زمن الرسالة، ومن أهم هذه المشاكل اختلاطُ العرب بالعجم وظهورُ اللحن الذي دفع العرب إلى جمع اللغة ووضعِ علومها وتقعيدها</w:t>
      </w:r>
      <w:r w:rsidR="000636C2">
        <w:rPr>
          <w:rFonts w:hint="cs"/>
          <w:rtl/>
        </w:rPr>
        <w:t>،</w:t>
      </w:r>
      <w:r w:rsidRPr="005675B2">
        <w:rPr>
          <w:rFonts w:hint="cs"/>
          <w:rtl/>
        </w:rPr>
        <w:t xml:space="preserve"> وهذه المشكلة اللغوية كانت عاملاً مهماً من عوامل ظهور التجسيم في الفكر الإسلامي، فلما دخل في دين الإسلام أفواج من أمم لم يتذوقوا بيان العربية وقفوا على بعض الألفاظ القرآنية مجردةً عن سياقها وسباقها ثم ساعد على وهمهم في فهمها وجود جذور لمخالفة التنزيه في الوثنية والأديان المحرفة والمخترعة</w:t>
      </w:r>
      <w:r w:rsidR="000636C2">
        <w:rPr>
          <w:rFonts w:hint="cs"/>
          <w:rtl/>
        </w:rPr>
        <w:t>،</w:t>
      </w:r>
      <w:r w:rsidRPr="005675B2">
        <w:rPr>
          <w:rFonts w:hint="cs"/>
          <w:rtl/>
        </w:rPr>
        <w:t xml:space="preserve"> وصار من كان معتنقاً لهذه الملل يشكل عليه هذه وجود هذه الألفاظ فصارت في حقه موهمة للتجسيم والتشبيه</w:t>
      </w:r>
      <w:r w:rsidR="000636C2">
        <w:rPr>
          <w:rFonts w:hint="cs"/>
          <w:rtl/>
        </w:rPr>
        <w:t>،</w:t>
      </w:r>
      <w:r w:rsidRPr="005675B2">
        <w:rPr>
          <w:rFonts w:hint="cs"/>
          <w:rtl/>
        </w:rPr>
        <w:t xml:space="preserve"> ولهذا كان في السلف من ينكر التحديث بمثل هذه الأحاديث الموهمة إشفاقاً على هؤلاء العجم مِن توهمِ التجسيم</w:t>
      </w:r>
      <w:r w:rsidR="000636C2">
        <w:rPr>
          <w:rFonts w:hint="cs"/>
          <w:rtl/>
        </w:rPr>
        <w:t>،</w:t>
      </w:r>
      <w:r w:rsidRPr="005675B2">
        <w:rPr>
          <w:rFonts w:hint="cs"/>
          <w:rtl/>
        </w:rPr>
        <w:t xml:space="preserve"> وفي ذلك يقول القاضي عياض رحمه الله</w:t>
      </w:r>
      <w:r w:rsidR="000636C2">
        <w:rPr>
          <w:rFonts w:hint="cs"/>
          <w:rtl/>
        </w:rPr>
        <w:t>:</w:t>
      </w:r>
      <w:r w:rsidRPr="005675B2">
        <w:rPr>
          <w:rFonts w:hint="cs"/>
          <w:rtl/>
        </w:rPr>
        <w:t xml:space="preserve"> </w:t>
      </w:r>
      <w:r w:rsidR="000636C2">
        <w:rPr>
          <w:rFonts w:hint="cs"/>
          <w:rtl/>
        </w:rPr>
        <w:t>(</w:t>
      </w:r>
      <w:r w:rsidRPr="005675B2">
        <w:rPr>
          <w:rFonts w:hint="cs"/>
          <w:rtl/>
        </w:rPr>
        <w:t>.. رحم الله الإمام مالكاً فلقد كره التحديث بمثل هذه الأحاديث الموهمة للتشبيه والمشكلة المعنى .. والنبي صلى الله عليه وسلم أوردها على قوم عرب يفهمون كلام العرب على وجهه وتصرفاتهم في حقيقته ومجازه واستعارته وبليغه وإيجازه فلم تكن في حقهم مشكلة، ثم جاء من غلبت عليه العجمة وداخلته الأمية فلا يكاد يفهم من مقاصد العرب إلا نصَّها وصريحها .. فتفرقوا في تأويلها أو حملها على ظاهرها شذر مذر فمنهم من آمن ومنهم من كفر</w:t>
      </w:r>
      <w:r w:rsidR="000636C2">
        <w:rPr>
          <w:rFonts w:hint="cs"/>
          <w:rtl/>
        </w:rPr>
        <w:t>)[</w:t>
      </w:r>
      <w:r w:rsidRPr="005675B2">
        <w:rPr>
          <w:rFonts w:hint="cs"/>
          <w:sz w:val="24"/>
          <w:szCs w:val="24"/>
          <w:rtl/>
        </w:rPr>
        <w:t>الشفا 2/542]</w:t>
      </w:r>
      <w:r w:rsidR="000636C2">
        <w:rPr>
          <w:rFonts w:hint="cs"/>
          <w:vertAlign w:val="superscript"/>
          <w:rtl/>
        </w:rPr>
        <w:t>،</w:t>
      </w:r>
      <w:r>
        <w:rPr>
          <w:rFonts w:hint="cs"/>
          <w:rtl/>
        </w:rPr>
        <w:t xml:space="preserve"> </w:t>
      </w:r>
      <w:r w:rsidRPr="005675B2">
        <w:rPr>
          <w:rFonts w:hint="cs"/>
          <w:rtl/>
        </w:rPr>
        <w:t>ومما يؤكد ما سبق أن أول ظهور لمقالة التشبيه والتجسيم كان في بلاد بعيدةٍ عن مركز الفكر الإسلامي ومنبعه، وذلك في بلخ من بلاد خراسان حيث أظهر مقاتل بن سليمان مقالته فقال</w:t>
      </w:r>
      <w:r w:rsidR="000636C2">
        <w:rPr>
          <w:rFonts w:hint="cs"/>
          <w:rtl/>
        </w:rPr>
        <w:t>:</w:t>
      </w:r>
      <w:r w:rsidRPr="005675B2">
        <w:rPr>
          <w:rFonts w:hint="cs"/>
          <w:rtl/>
        </w:rPr>
        <w:t xml:space="preserve"> إن الله جسم وله جوارح وأعضاء من يد ورجل وعينين، وهناك أيضا ظهرت مقالة هشام بن الحكم فقال</w:t>
      </w:r>
      <w:r w:rsidR="000636C2">
        <w:rPr>
          <w:rFonts w:hint="cs"/>
          <w:rtl/>
        </w:rPr>
        <w:t>:</w:t>
      </w:r>
      <w:r w:rsidRPr="005675B2">
        <w:rPr>
          <w:rFonts w:hint="cs"/>
          <w:rtl/>
        </w:rPr>
        <w:t xml:space="preserve"> إن لله جسماً يقوم ويتحرك [</w:t>
      </w:r>
      <w:r w:rsidRPr="005675B2">
        <w:rPr>
          <w:rFonts w:hint="cs"/>
          <w:sz w:val="24"/>
          <w:szCs w:val="24"/>
          <w:rtl/>
        </w:rPr>
        <w:t>انظر ص (64) و (76) من هذا الكتاب في ترجمتهما وتفصيل مقالتهما</w:t>
      </w:r>
      <w:r w:rsidRPr="005675B2">
        <w:rPr>
          <w:rFonts w:hint="cs"/>
          <w:rtl/>
        </w:rPr>
        <w:t>]</w:t>
      </w:r>
      <w:r w:rsidR="000636C2">
        <w:rPr>
          <w:rFonts w:hint="cs"/>
          <w:rtl/>
        </w:rPr>
        <w:t>،</w:t>
      </w:r>
      <w:r>
        <w:rPr>
          <w:rFonts w:hint="cs"/>
          <w:rtl/>
        </w:rPr>
        <w:t xml:space="preserve"> </w:t>
      </w:r>
      <w:r w:rsidRPr="005675B2">
        <w:rPr>
          <w:rFonts w:hint="cs"/>
          <w:rtl/>
        </w:rPr>
        <w:t>وهناك أيضا ظهرت مقالة الجهم بن صفوان الذي تصدى لمقالة مقاتل وهشام، غير أنه أفرط في النفي كما أفرط خصومه في الإثبات</w:t>
      </w:r>
      <w:r w:rsidR="000636C2">
        <w:rPr>
          <w:rFonts w:hint="cs"/>
          <w:rtl/>
        </w:rPr>
        <w:t>،</w:t>
      </w:r>
      <w:r w:rsidRPr="005675B2">
        <w:rPr>
          <w:rFonts w:hint="cs"/>
          <w:rtl/>
        </w:rPr>
        <w:t xml:space="preserve"> وجرت بين الفريقين مناظرات انتقل صداها إلى علماء المسلمين من السلف الصالح رضوان الله عليهم لما سارع العوام إليهم يسألون عن الحق في ما أحدثه هذا النزاع من الإفراط والتفريط</w:t>
      </w:r>
      <w:r w:rsidR="000636C2">
        <w:rPr>
          <w:rFonts w:hint="cs"/>
          <w:rtl/>
        </w:rPr>
        <w:t>،</w:t>
      </w:r>
      <w:r w:rsidRPr="005675B2">
        <w:rPr>
          <w:rFonts w:hint="cs"/>
          <w:rtl/>
        </w:rPr>
        <w:t xml:space="preserve"> وفي ذلك يقول الإمام أبو حنيفة رحمه الله</w:t>
      </w:r>
      <w:r w:rsidR="000636C2">
        <w:rPr>
          <w:rFonts w:hint="cs"/>
          <w:rtl/>
        </w:rPr>
        <w:t>:</w:t>
      </w:r>
      <w:r w:rsidRPr="005675B2">
        <w:rPr>
          <w:rFonts w:hint="cs"/>
          <w:rtl/>
        </w:rPr>
        <w:t xml:space="preserve"> </w:t>
      </w:r>
      <w:r w:rsidR="000636C2">
        <w:rPr>
          <w:rFonts w:hint="cs"/>
          <w:rtl/>
        </w:rPr>
        <w:t>(</w:t>
      </w:r>
      <w:r w:rsidRPr="005675B2">
        <w:rPr>
          <w:rFonts w:hint="cs"/>
          <w:rtl/>
        </w:rPr>
        <w:t>أتانا من المشرق رأيان خبيثان، جهمٌ معطلٌ ومقاتلٌ مشبه</w:t>
      </w:r>
      <w:r w:rsidR="000636C2">
        <w:rPr>
          <w:rFonts w:hint="cs"/>
          <w:rtl/>
        </w:rPr>
        <w:t>)</w:t>
      </w:r>
      <w:r w:rsidRPr="005675B2">
        <w:rPr>
          <w:rFonts w:hint="cs"/>
          <w:vertAlign w:val="superscript"/>
          <w:rtl/>
        </w:rPr>
        <w:t xml:space="preserve"> </w:t>
      </w:r>
      <w:r w:rsidRPr="005675B2">
        <w:rPr>
          <w:rFonts w:hint="cs"/>
          <w:rtl/>
        </w:rPr>
        <w:t>[</w:t>
      </w:r>
      <w:r w:rsidRPr="005675B2">
        <w:rPr>
          <w:rFonts w:hint="cs"/>
          <w:sz w:val="24"/>
          <w:szCs w:val="24"/>
          <w:rtl/>
        </w:rPr>
        <w:t>انظر تاريخ بغداد 13/164]</w:t>
      </w:r>
      <w:r w:rsidRPr="005675B2">
        <w:rPr>
          <w:rFonts w:hint="cs"/>
          <w:rtl/>
        </w:rPr>
        <w:t xml:space="preserve"> ويقول أيضا</w:t>
      </w:r>
      <w:r w:rsidR="000636C2">
        <w:rPr>
          <w:rFonts w:hint="cs"/>
          <w:rtl/>
        </w:rPr>
        <w:t>:(</w:t>
      </w:r>
      <w:r w:rsidRPr="005675B2">
        <w:rPr>
          <w:rFonts w:hint="cs"/>
          <w:rtl/>
        </w:rPr>
        <w:t>أفرط جهم في النفي حتى قال إنه ليس بشيء وأفرط مقاتل في الاثبات حتى جعل الله تعالى مثل خلقه</w:t>
      </w:r>
      <w:r w:rsidR="000636C2">
        <w:rPr>
          <w:rFonts w:hint="cs"/>
          <w:rtl/>
        </w:rPr>
        <w:t>)</w:t>
      </w:r>
      <w:r w:rsidRPr="005675B2">
        <w:rPr>
          <w:rFonts w:hint="cs"/>
          <w:vertAlign w:val="superscript"/>
          <w:rtl/>
        </w:rPr>
        <w:t xml:space="preserve"> </w:t>
      </w:r>
      <w:r w:rsidRPr="005675B2">
        <w:rPr>
          <w:rFonts w:hint="cs"/>
          <w:rtl/>
        </w:rPr>
        <w:t>[</w:t>
      </w:r>
      <w:r w:rsidRPr="005675B2">
        <w:rPr>
          <w:rFonts w:hint="cs"/>
          <w:sz w:val="24"/>
          <w:szCs w:val="24"/>
          <w:rtl/>
        </w:rPr>
        <w:t>انظر تاريخ بغداد 13/164 وسير أعلام النبلاء 7/202 وتهذيب التهذيب10/251]</w:t>
      </w:r>
      <w:r w:rsidRPr="005675B2">
        <w:rPr>
          <w:rFonts w:hint="cs"/>
          <w:rtl/>
        </w:rPr>
        <w:t xml:space="preserve"> وكان موقف السلف في أول ظهور هذه البدعة هو إظهار الطعن والبراءة من الخائض فيها من الفريقين كما سبق عن الإمام أبي حنيفة</w:t>
      </w:r>
      <w:r w:rsidRPr="005675B2">
        <w:rPr>
          <w:rFonts w:hint="cs"/>
          <w:vertAlign w:val="superscript"/>
          <w:rtl/>
        </w:rPr>
        <w:t xml:space="preserve"> </w:t>
      </w:r>
      <w:r w:rsidRPr="005675B2">
        <w:rPr>
          <w:rFonts w:hint="cs"/>
          <w:rtl/>
        </w:rPr>
        <w:t>[</w:t>
      </w:r>
      <w:r w:rsidRPr="005675B2">
        <w:rPr>
          <w:rFonts w:hint="cs"/>
          <w:sz w:val="24"/>
          <w:szCs w:val="24"/>
          <w:rtl/>
        </w:rPr>
        <w:t>وانظر نحو هذا الموقف عن غيره من السلف في مراجع الفقرة السابقة والسنة لعبد الله بن أحمد 1/108]</w:t>
      </w:r>
      <w:r w:rsidRPr="005675B2">
        <w:rPr>
          <w:rFonts w:hint="cs"/>
          <w:rtl/>
        </w:rPr>
        <w:t xml:space="preserve"> وكانوا أيضاً يبدعون السائل ويزجرونه، ومن ذلك الحكاية المشهورة عن الإمام مالك رحمه الله في ما أخرج البيهقي</w:t>
      </w:r>
      <w:r w:rsidR="000636C2">
        <w:rPr>
          <w:rFonts w:hint="cs"/>
          <w:rtl/>
        </w:rPr>
        <w:t>:</w:t>
      </w:r>
      <w:r w:rsidRPr="005675B2">
        <w:rPr>
          <w:rFonts w:hint="cs"/>
          <w:rtl/>
        </w:rPr>
        <w:t xml:space="preserve"> </w:t>
      </w:r>
      <w:r w:rsidR="000636C2">
        <w:rPr>
          <w:rFonts w:hint="cs"/>
          <w:rtl/>
        </w:rPr>
        <w:t>(</w:t>
      </w:r>
      <w:r w:rsidRPr="005675B2">
        <w:rPr>
          <w:rFonts w:hint="cs"/>
          <w:rtl/>
        </w:rPr>
        <w:t>أن رجلاً دخل على الإمام مالك فقال</w:t>
      </w:r>
      <w:r w:rsidR="000636C2">
        <w:rPr>
          <w:rFonts w:hint="cs"/>
          <w:rtl/>
        </w:rPr>
        <w:t>:</w:t>
      </w:r>
      <w:r w:rsidRPr="005675B2">
        <w:rPr>
          <w:rFonts w:hint="cs"/>
          <w:rtl/>
        </w:rPr>
        <w:t xml:space="preserve"> يا أبا عبد الله " الرحمن على العرش استوى" </w:t>
      </w:r>
      <w:r w:rsidR="000636C2">
        <w:rPr>
          <w:rFonts w:hint="cs"/>
          <w:rtl/>
        </w:rPr>
        <w:t>[</w:t>
      </w:r>
      <w:r w:rsidRPr="005675B2">
        <w:rPr>
          <w:rFonts w:hint="cs"/>
          <w:sz w:val="24"/>
          <w:szCs w:val="24"/>
          <w:rtl/>
        </w:rPr>
        <w:t>الآية (5) من سورة طه]</w:t>
      </w:r>
      <w:r w:rsidRPr="005675B2">
        <w:rPr>
          <w:rFonts w:hint="cs"/>
          <w:rtl/>
        </w:rPr>
        <w:t xml:space="preserve"> كيف استواؤه</w:t>
      </w:r>
      <w:r w:rsidR="000636C2">
        <w:rPr>
          <w:rFonts w:hint="cs"/>
          <w:rtl/>
        </w:rPr>
        <w:t>؟</w:t>
      </w:r>
      <w:r w:rsidRPr="005675B2">
        <w:rPr>
          <w:rFonts w:hint="cs"/>
          <w:rtl/>
        </w:rPr>
        <w:t xml:space="preserve"> قال</w:t>
      </w:r>
      <w:r w:rsidR="000636C2">
        <w:rPr>
          <w:rFonts w:hint="cs"/>
          <w:rtl/>
        </w:rPr>
        <w:t>:</w:t>
      </w:r>
      <w:r w:rsidRPr="005675B2">
        <w:rPr>
          <w:rFonts w:hint="cs"/>
          <w:rtl/>
        </w:rPr>
        <w:t xml:space="preserve"> فأطرق مالك وأخذته الرُّخصاء، ثم رفع رأسه فقال</w:t>
      </w:r>
      <w:r w:rsidR="000636C2">
        <w:rPr>
          <w:rFonts w:hint="cs"/>
          <w:rtl/>
        </w:rPr>
        <w:t>:</w:t>
      </w:r>
      <w:r w:rsidRPr="005675B2">
        <w:rPr>
          <w:rFonts w:hint="cs"/>
          <w:rtl/>
        </w:rPr>
        <w:t xml:space="preserve"> الرحمن على العرش استوى كما وصف نفسه، ولا يقال كيف، وكيف عنه مرفوع، وأنت رجل سوء صاحب بدعة، أخرجوه، فأُخرج الرجل</w:t>
      </w:r>
      <w:r w:rsidR="000636C2">
        <w:rPr>
          <w:rFonts w:hint="cs"/>
          <w:rtl/>
        </w:rPr>
        <w:t>)</w:t>
      </w:r>
      <w:r w:rsidRPr="005675B2">
        <w:rPr>
          <w:rFonts w:hint="cs"/>
          <w:rtl/>
        </w:rPr>
        <w:t xml:space="preserve"> وفي رواية </w:t>
      </w:r>
      <w:r w:rsidR="000636C2">
        <w:rPr>
          <w:rFonts w:hint="cs"/>
          <w:rtl/>
        </w:rPr>
        <w:t>(</w:t>
      </w:r>
      <w:r w:rsidRPr="005675B2">
        <w:rPr>
          <w:rFonts w:hint="cs"/>
          <w:rtl/>
        </w:rPr>
        <w:t>والكيف غير معقول</w:t>
      </w:r>
      <w:r w:rsidR="000636C2">
        <w:rPr>
          <w:rFonts w:hint="cs"/>
          <w:rtl/>
        </w:rPr>
        <w:t>)</w:t>
      </w:r>
      <w:r w:rsidRPr="005675B2">
        <w:rPr>
          <w:rFonts w:hint="cs"/>
          <w:rtl/>
        </w:rPr>
        <w:t>[</w:t>
      </w:r>
      <w:r w:rsidRPr="005675B2">
        <w:rPr>
          <w:rFonts w:hint="cs"/>
          <w:sz w:val="24"/>
          <w:szCs w:val="24"/>
          <w:rtl/>
        </w:rPr>
        <w:t>الأسماء والصفات 515]</w:t>
      </w:r>
      <w:r w:rsidR="000636C2">
        <w:rPr>
          <w:rFonts w:hint="cs"/>
          <w:rtl/>
        </w:rPr>
        <w:t>،</w:t>
      </w:r>
      <w:r>
        <w:rPr>
          <w:rFonts w:hint="cs"/>
          <w:rtl/>
        </w:rPr>
        <w:t xml:space="preserve"> </w:t>
      </w:r>
      <w:r w:rsidRPr="005675B2">
        <w:rPr>
          <w:rFonts w:hint="cs"/>
          <w:rtl/>
        </w:rPr>
        <w:t>ولكن لما عمت البلوى وانتشرت البدعة نهض العلماء لقمعها وخاضوا في ما كرهوا الخوض فيه، وكانوا أغنى الخلق عن هذا البحث لولا انتشار البدعة، ولم يعد مقبولاً سكوت الأمة عن هذه البدعة فتعين على بعضها الفرض الكفائي في الذب عن السنة ومحاربة هذه البدعة</w:t>
      </w:r>
      <w:r w:rsidR="000636C2">
        <w:rPr>
          <w:rFonts w:hint="cs"/>
          <w:rtl/>
        </w:rPr>
        <w:t>،</w:t>
      </w:r>
      <w:r>
        <w:rPr>
          <w:rFonts w:hint="cs"/>
          <w:rtl/>
        </w:rPr>
        <w:t xml:space="preserve"> </w:t>
      </w:r>
      <w:r w:rsidRPr="005675B2">
        <w:rPr>
          <w:rFonts w:hint="cs"/>
          <w:rtl/>
        </w:rPr>
        <w:t>واتفق جميع أهل المذاهب على ترك السكوت فتكلم في ذلك من المحدثين والفقهاء والمتكلمين مَن تكلم حتى كثر فيه الكلام والاختلاف وتمايزت فيه فرقٌ ومقالات صارت مستقلة معروفة فيما بعد</w:t>
      </w:r>
      <w:r w:rsidR="000636C2">
        <w:rPr>
          <w:rFonts w:hint="cs"/>
          <w:rtl/>
        </w:rPr>
        <w:t>،</w:t>
      </w:r>
      <w:r w:rsidRPr="005675B2">
        <w:rPr>
          <w:rFonts w:hint="cs"/>
          <w:rtl/>
        </w:rPr>
        <w:t xml:space="preserve"> وتباينت المواقف في القرب من أحد المذهبين</w:t>
      </w:r>
      <w:r w:rsidR="000636C2">
        <w:rPr>
          <w:rFonts w:hint="cs"/>
          <w:rtl/>
        </w:rPr>
        <w:t>،</w:t>
      </w:r>
      <w:r w:rsidRPr="005675B2">
        <w:rPr>
          <w:rFonts w:hint="cs"/>
          <w:rtl/>
        </w:rPr>
        <w:t xml:space="preserve"> فظهرت المعتزلة التي أنكرت القول بالتجسيم والتشبيه ومالوا إلى رأي الجهم في نفي بعض الصفات والقول بخلق القرآن، ولما أفرط المعتزلة بالنفي قابلهم بعض المحدثين بالغلو في الإثبات فأثبتوا بعض الأخبار الواهية المنكرة وجمعوا الصحيح مع الضعيف المنكر في مصنفات جمعوا فيها ما يسمونه أخبار الصفات</w:t>
      </w:r>
      <w:r w:rsidR="000636C2">
        <w:rPr>
          <w:rFonts w:hint="cs"/>
          <w:rtl/>
        </w:rPr>
        <w:t>،</w:t>
      </w:r>
      <w:r w:rsidRPr="005675B2">
        <w:rPr>
          <w:rFonts w:hint="cs"/>
          <w:rtl/>
        </w:rPr>
        <w:t xml:space="preserve"> وسموا هذه المصنفاتِ بالتوحيد أو السنة أو الرد على الجهمية</w:t>
      </w:r>
      <w:r w:rsidR="000636C2">
        <w:rPr>
          <w:rFonts w:hint="cs"/>
          <w:rtl/>
        </w:rPr>
        <w:t>،</w:t>
      </w:r>
      <w:r w:rsidRPr="005675B2">
        <w:rPr>
          <w:rFonts w:hint="cs"/>
          <w:rtl/>
        </w:rPr>
        <w:t xml:space="preserve"> ولم يكن هذا الإفراط المقابل بالتفريط إلا وبالاً على فكر المسلمين، تعمَّق به الخلاف والتنازع، واشتد به الصراع الفكري، وبعدت الشقة بين المتنازعين حتى أقبل القرن الرابع الهجري، وظهرت فيه التيارات الوسطية المعتدلة في عدد من بقاع العالم الإسلامي فظهرت الطحاوية في مصر على يد أبي جعفر الطحاوي [</w:t>
      </w:r>
      <w:r w:rsidRPr="005675B2">
        <w:rPr>
          <w:rFonts w:hint="cs"/>
          <w:sz w:val="24"/>
          <w:szCs w:val="24"/>
          <w:rtl/>
        </w:rPr>
        <w:t>هو أحمد بن محمد بن سلامة أبو جعفرالطحاوي المصري الفقيه الحنفي وكان ثقة نبيلا فقيها له كتاب شرح الآثار(321هـ) وهو صاحب العقيدة المشهورة بالعقيدة الطحاوية، صحب المزني وتفقه به ثم ترك مذهبه وصار حنفي المذهب انظر طبقات الحنفية1/102</w:t>
      </w:r>
      <w:r w:rsidRPr="005675B2">
        <w:rPr>
          <w:rFonts w:hint="cs"/>
          <w:rtl/>
        </w:rPr>
        <w:t>] والماتريدية في سمرقند نسبة إلى الإمام أبي منصور الماتريدي [</w:t>
      </w:r>
      <w:r w:rsidRPr="005675B2">
        <w:rPr>
          <w:rFonts w:hint="cs"/>
          <w:sz w:val="24"/>
          <w:szCs w:val="24"/>
          <w:rtl/>
        </w:rPr>
        <w:t>هو محمد بن محمد بن محمود أبو منصور الماتريدي من كبار العلماء كان يقال له إمام الهدى له كتاب التوحيد وكتاب المقالات وكتاب تأويلات القرآن وهو كتاب لا يوازيه فيه كتاب بل لا يدانيه شيئ من تصانيف من سبقه فى ذلك الفن، مات سنة ثلاث وثلاثين وثلاث مائة بعد وفاة أبي الحسن الأشعري بقليل. انظر طبقات الحنفية 1/130</w:t>
      </w:r>
      <w:r w:rsidRPr="005675B2">
        <w:rPr>
          <w:rFonts w:hint="cs"/>
          <w:rtl/>
        </w:rPr>
        <w:t>] والأشاعرة في بغداد على يد الإمام أبي الحسن الأشعري</w:t>
      </w:r>
      <w:r w:rsidR="000636C2">
        <w:rPr>
          <w:rFonts w:hint="cs"/>
          <w:rtl/>
        </w:rPr>
        <w:t>،</w:t>
      </w:r>
      <w:r w:rsidRPr="005675B2">
        <w:rPr>
          <w:rFonts w:hint="cs"/>
          <w:rtl/>
        </w:rPr>
        <w:t xml:space="preserve"> واستطاع المذهب الأشعري أن يسود ويغلب لأنه نشأ في عاصمة الخلافة بغداد وملتقى علماء الأمة ورجالها فسهل الله له منهم من يقوم بنصرة المذهب وتنقيحه وتأصيله</w:t>
      </w:r>
      <w:r w:rsidR="000636C2">
        <w:rPr>
          <w:rFonts w:hint="cs"/>
          <w:rtl/>
        </w:rPr>
        <w:t xml:space="preserve">، </w:t>
      </w:r>
      <w:r w:rsidRPr="005675B2">
        <w:rPr>
          <w:rFonts w:hint="cs"/>
          <w:rtl/>
        </w:rPr>
        <w:t>وكان على رأسهم من أخرجه الله عز وجل من نسل أبى موسى الأشعري رضى الله عنه إماماً قام بنصرة دين الله وجاهد بلسانه وبيانه، وزاد في التبيين لأهل اليقين أن ما جاء به الكتاب والسنة وما كان عليه سلف هذه الأمة مستقيم على العقول الصحيحة [</w:t>
      </w:r>
      <w:r w:rsidRPr="005675B2">
        <w:rPr>
          <w:rFonts w:hint="cs"/>
          <w:sz w:val="24"/>
          <w:szCs w:val="24"/>
          <w:rtl/>
        </w:rPr>
        <w:t>انظر تبيين كذب المفتري لابن عساكر 100- 105 وطبقات الشافعية الكبرى3/395 - 398</w:t>
      </w:r>
      <w:r w:rsidRPr="005675B2">
        <w:rPr>
          <w:rFonts w:hint="cs"/>
          <w:rtl/>
        </w:rPr>
        <w:t>]</w:t>
      </w:r>
      <w:r w:rsidR="000636C2">
        <w:rPr>
          <w:rFonts w:hint="cs"/>
          <w:rtl/>
        </w:rPr>
        <w:t xml:space="preserve">، </w:t>
      </w:r>
      <w:r w:rsidRPr="005675B2">
        <w:rPr>
          <w:rFonts w:hint="cs"/>
          <w:rtl/>
        </w:rPr>
        <w:t>وبظهور المذهب الأشعري انحسر تيار المعتزلة وتوالف المحدثون والحنابلة مع المتكلمين الأشاعرة</w:t>
      </w:r>
      <w:r w:rsidR="000636C2">
        <w:rPr>
          <w:rFonts w:hint="cs"/>
          <w:rtl/>
        </w:rPr>
        <w:t>،</w:t>
      </w:r>
      <w:r w:rsidRPr="005675B2">
        <w:rPr>
          <w:rFonts w:hint="cs"/>
          <w:rtl/>
        </w:rPr>
        <w:t xml:space="preserve"> فمن ثناء المحدثين على أبي الحسن الأشعري قول محدث زمانه وشيخ السنة فى وقته الحافظ البيهقي في كلام طويل نقله الحافظ ابن عساكر</w:t>
      </w:r>
      <w:r w:rsidR="000636C2">
        <w:rPr>
          <w:rFonts w:hint="cs"/>
          <w:rtl/>
        </w:rPr>
        <w:t>:(</w:t>
      </w:r>
      <w:r w:rsidRPr="005675B2">
        <w:rPr>
          <w:rFonts w:hint="cs"/>
          <w:rtl/>
        </w:rPr>
        <w:t>.. لا يخفى حال شيخنا أبى الحسن الأشعرى رحمةُ الله عليه ورضوانُه وما يرجع إليه من شرف الأصل وكبر المحل فى العلم والفضل وكثرة الأصحاب من الحنفية والمالكية والشافعية الذين رغبوا فى علم الأصول وأحبوا معرفة دلائل العقول .. وفضائل الشيخ أبى الحسن ومناقبه أكثر من أن يمكن ذكرها .. لكنى أذكر بمشيئة الله تعالى من شرفه بآبائه وأجداده وفضله بعلمه وحسن اعتقاده وكبر محله بكثرة أصحابه ما يحمل على الذب عنه وعن أتباعه… -</w:t>
      </w:r>
      <w:r w:rsidR="000636C2">
        <w:rPr>
          <w:rFonts w:hint="cs"/>
          <w:rtl/>
        </w:rPr>
        <w:t xml:space="preserve"> </w:t>
      </w:r>
      <w:r w:rsidRPr="005675B2">
        <w:rPr>
          <w:rFonts w:hint="cs"/>
          <w:rtl/>
        </w:rPr>
        <w:t>ثم أخذ البيهقى فى ذكر ترجمة الشيخ وذكر نسبه ثم قال</w:t>
      </w:r>
      <w:r w:rsidR="000636C2">
        <w:rPr>
          <w:rFonts w:hint="cs"/>
          <w:rtl/>
        </w:rPr>
        <w:t xml:space="preserve"> </w:t>
      </w:r>
      <w:r w:rsidRPr="005675B2">
        <w:rPr>
          <w:rFonts w:hint="cs"/>
          <w:rtl/>
        </w:rPr>
        <w:t>-</w:t>
      </w:r>
      <w:r w:rsidR="000636C2">
        <w:rPr>
          <w:rFonts w:hint="cs"/>
          <w:rtl/>
        </w:rPr>
        <w:t xml:space="preserve"> </w:t>
      </w:r>
      <w:r w:rsidRPr="005675B2">
        <w:rPr>
          <w:rFonts w:hint="cs"/>
          <w:rtl/>
        </w:rPr>
        <w:t>فلم يحدث فى دين الله حدثاً ولم يأت فيه ببدعة بل أخذ أقاويل الصحابة والتابعين ومَن بعدهم من الأئمة فى أصول الدين فنصرها بزيادة شرح وتبيين، وأن ما قالوا وجاء به الشرع فى الأصول صحيح فى العقول بخلاف ما زعم أهل الأهواء من أن بعضه لا يستقيم فى الآراء، فكان فى بيانه وثبوته ما لم يدل عليه أهل السنة والجماعة، ونصر أقاويل من مضى من الأئمة كأبى حنيفة وسفيان الثورى من أهل الكوفة والأوزاعى وغيره من أهل الشام .. وصار رأساً فى العلم من أهل السنة فى قديم الدهر وحديثه</w:t>
      </w:r>
      <w:r w:rsidR="000636C2">
        <w:rPr>
          <w:rFonts w:hint="cs"/>
          <w:rtl/>
        </w:rPr>
        <w:t>)</w:t>
      </w:r>
      <w:r w:rsidRPr="005675B2">
        <w:rPr>
          <w:rFonts w:hint="cs"/>
          <w:vertAlign w:val="superscript"/>
          <w:rtl/>
        </w:rPr>
        <w:t xml:space="preserve"> </w:t>
      </w:r>
      <w:r w:rsidRPr="005675B2">
        <w:rPr>
          <w:rFonts w:hint="cs"/>
          <w:rtl/>
        </w:rPr>
        <w:t>[</w:t>
      </w:r>
      <w:r w:rsidRPr="005675B2">
        <w:rPr>
          <w:rFonts w:hint="cs"/>
          <w:sz w:val="24"/>
          <w:szCs w:val="24"/>
          <w:rtl/>
        </w:rPr>
        <w:t>تبيين كذب المفتري لابن عساكر 100- 105 وطبقات الشافعية الكبرى3/395 - 398 وينبغي على كل من جهل منزلة الأشعري عند أهل الحديث أن يطلع على أقوالهم التي جمعها ابن عساكر في تبيين كذب المفتري]</w:t>
      </w:r>
      <w:r w:rsidR="000636C2">
        <w:rPr>
          <w:rFonts w:hint="cs"/>
          <w:rtl/>
        </w:rPr>
        <w:t xml:space="preserve">، </w:t>
      </w:r>
      <w:r w:rsidRPr="005675B2">
        <w:rPr>
          <w:rFonts w:hint="cs"/>
          <w:rtl/>
        </w:rPr>
        <w:t>واستحسن العلماء من المحدثين والفقهاء والمفسرين والمتكلمين طريقةَ أبي الحسن الأشعري</w:t>
      </w:r>
      <w:r w:rsidR="000636C2">
        <w:rPr>
          <w:rFonts w:hint="cs"/>
          <w:rtl/>
        </w:rPr>
        <w:t>،</w:t>
      </w:r>
      <w:r w:rsidRPr="005675B2">
        <w:rPr>
          <w:rFonts w:hint="cs"/>
          <w:rtl/>
        </w:rPr>
        <w:t xml:space="preserve"> وقد اجتهد ابن السبكي ومِن قبله ابنُ عساكر وغيرهم في ترجمة رجال هذا المذهب فلم يأتوا على ذكر أكابره فضلاً عن المنتسبين أو المستحسنين</w:t>
      </w:r>
      <w:r w:rsidR="000636C2">
        <w:rPr>
          <w:rFonts w:hint="cs"/>
          <w:rtl/>
        </w:rPr>
        <w:t>،</w:t>
      </w:r>
      <w:r w:rsidRPr="005675B2">
        <w:rPr>
          <w:rFonts w:hint="cs"/>
          <w:rtl/>
        </w:rPr>
        <w:t xml:space="preserve"> وكيف يمكن ذلك وهم الجمهور الأعظم من علماء الأمة وساداتها، كما قال ابن عساكر</w:t>
      </w:r>
      <w:r w:rsidR="000636C2">
        <w:rPr>
          <w:rFonts w:hint="cs"/>
          <w:rtl/>
        </w:rPr>
        <w:t>:</w:t>
      </w:r>
      <w:r w:rsidRPr="005675B2">
        <w:rPr>
          <w:rFonts w:hint="cs"/>
          <w:rtl/>
        </w:rPr>
        <w:t xml:space="preserve"> </w:t>
      </w:r>
      <w:r w:rsidR="000636C2">
        <w:rPr>
          <w:rFonts w:hint="cs"/>
          <w:rtl/>
        </w:rPr>
        <w:t>(</w:t>
      </w:r>
      <w:r w:rsidRPr="005675B2">
        <w:rPr>
          <w:rFonts w:hint="cs"/>
          <w:rtl/>
        </w:rPr>
        <w:t>هل من الفقهاء الحنفية والمالكية والشافعية إلا موافق للأشعري ومنتسبٌ إليه وراضٍ بحميد سعيه في دين الله ومُثنٍ بكثرة العلم عليه غيرُ شرذمة قليلة تضمر التشبيه وتعادى كل موحد يعتقد التنزيه</w:t>
      </w:r>
      <w:r w:rsidR="000636C2">
        <w:rPr>
          <w:rFonts w:hint="cs"/>
          <w:rtl/>
        </w:rPr>
        <w:t>)</w:t>
      </w:r>
      <w:r w:rsidRPr="005675B2">
        <w:rPr>
          <w:rFonts w:hint="cs"/>
          <w:rtl/>
        </w:rPr>
        <w:t xml:space="preserve"> </w:t>
      </w:r>
      <w:r w:rsidR="000636C2">
        <w:rPr>
          <w:rFonts w:hint="cs"/>
          <w:rtl/>
        </w:rPr>
        <w:t>[</w:t>
      </w:r>
      <w:r w:rsidRPr="005675B2">
        <w:rPr>
          <w:rFonts w:hint="cs"/>
          <w:sz w:val="24"/>
          <w:szCs w:val="24"/>
          <w:rtl/>
        </w:rPr>
        <w:t>انظر تبيين كذب المفتري410 وطبقات الشافعية الكبرى 3/374</w:t>
      </w:r>
      <w:r w:rsidRPr="005675B2">
        <w:rPr>
          <w:rFonts w:hint="cs"/>
          <w:rtl/>
        </w:rPr>
        <w:t>]</w:t>
      </w:r>
      <w:r w:rsidR="000636C2">
        <w:rPr>
          <w:rFonts w:hint="cs"/>
          <w:rtl/>
        </w:rPr>
        <w:t>،</w:t>
      </w:r>
      <w:r>
        <w:rPr>
          <w:rFonts w:hint="cs"/>
          <w:rtl/>
        </w:rPr>
        <w:t xml:space="preserve"> </w:t>
      </w:r>
      <w:r w:rsidRPr="005675B2">
        <w:rPr>
          <w:rtl/>
        </w:rPr>
        <w:t>واستمر التوافق بين الحنابلة والأشاعرة بعد أبي الحسن، حتى أن شيخ الحنابلة ببغداد أبا الفضل التميمي حضر جنازة الإمام الباقلاني شيخ الأشاعرة بعد أبي الحسن وأمر منادياً يقول بين يدي جنازته هذا ناصر الدين والذاب عن الشريعة هذا الذي صنف سبعين ألف ورقة، ثم كان يزور قبره كل عام</w:t>
      </w:r>
      <w:r w:rsidR="000636C2">
        <w:rPr>
          <w:vertAlign w:val="superscript"/>
          <w:rtl/>
        </w:rPr>
        <w:t xml:space="preserve"> </w:t>
      </w:r>
      <w:r w:rsidRPr="005675B2">
        <w:rPr>
          <w:rtl/>
        </w:rPr>
        <w:t>[</w:t>
      </w:r>
      <w:r w:rsidRPr="005675B2">
        <w:rPr>
          <w:sz w:val="24"/>
          <w:szCs w:val="24"/>
          <w:rtl/>
        </w:rPr>
        <w:t>انظر سير أعلام النبلاء 17/193</w:t>
      </w:r>
      <w:r w:rsidRPr="005675B2">
        <w:rPr>
          <w:rtl/>
        </w:rPr>
        <w:t>] والحاصل أنه بظهور مذهب الأشعري انحصر خلاف العقلاء المتنزهين عن الهوى والعصبية في الألفاظ الموهمة في مسلكين</w:t>
      </w:r>
      <w:r w:rsidR="000636C2">
        <w:rPr>
          <w:rtl/>
        </w:rPr>
        <w:t>:</w:t>
      </w:r>
      <w:r w:rsidRPr="005675B2">
        <w:rPr>
          <w:rtl/>
        </w:rPr>
        <w:t xml:space="preserve"> التفويض والتأويل، واستنكف بعض المحدثين مما أقام الأشاعرة على حجيته قواطع العقل والنقل وشواهدَ العربية وأبى إلا أن يختار مذهباً ملفقاً غير منضبط ولا ضابط ثم أغرب في عزوه إلى السلف</w:t>
      </w:r>
      <w:r w:rsidR="000636C2">
        <w:rPr>
          <w:rtl/>
        </w:rPr>
        <w:t>،</w:t>
      </w:r>
      <w:r w:rsidRPr="005675B2">
        <w:rPr>
          <w:rtl/>
        </w:rPr>
        <w:t xml:space="preserve"> فلا بد من الحديث عن هذه المسالك الثلاثة</w:t>
      </w:r>
      <w:r w:rsidR="000636C2">
        <w:rPr>
          <w:rtl/>
        </w:rPr>
        <w:t>،؟؟</w:t>
      </w:r>
      <w:r w:rsidRPr="005675B2">
        <w:rPr>
          <w:rFonts w:hint="cs"/>
          <w:sz w:val="22"/>
          <w:rtl/>
        </w:rPr>
        <w:t xml:space="preserve"> </w:t>
      </w:r>
    </w:p>
    <w:p w14:paraId="7A980EEA" w14:textId="77777777" w:rsidR="009C32A0" w:rsidRDefault="009C32A0" w:rsidP="000636C2">
      <w:pPr>
        <w:jc w:val="center"/>
        <w:rPr>
          <w:sz w:val="22"/>
          <w:rtl/>
        </w:rPr>
      </w:pPr>
      <w:r>
        <w:rPr>
          <w:rFonts w:hint="cs"/>
          <w:sz w:val="22"/>
          <w:rtl/>
        </w:rPr>
        <w:t xml:space="preserve">*** </w:t>
      </w:r>
    </w:p>
    <w:p w14:paraId="36812257" w14:textId="77777777" w:rsidR="009C32A0" w:rsidRPr="00627D1B" w:rsidRDefault="009C32A0" w:rsidP="00627D1B">
      <w:pPr>
        <w:pStyle w:val="1"/>
        <w:rPr>
          <w:u w:val="none"/>
          <w:rtl/>
        </w:rPr>
      </w:pPr>
      <w:r w:rsidRPr="00627D1B">
        <w:rPr>
          <w:rFonts w:hint="cs"/>
          <w:u w:val="none"/>
          <w:rtl/>
        </w:rPr>
        <w:t>الفهارس</w:t>
      </w:r>
    </w:p>
    <w:p w14:paraId="130F3CD9" w14:textId="40E835D8" w:rsidR="009C32A0" w:rsidRDefault="009C32A0" w:rsidP="000636C2">
      <w:pPr>
        <w:rPr>
          <w:b/>
          <w:bCs/>
        </w:rPr>
      </w:pPr>
      <w:r>
        <w:rPr>
          <w:rFonts w:hint="cs"/>
          <w:bCs/>
          <w:rtl/>
        </w:rPr>
        <w:t>مدخل أول</w:t>
      </w:r>
      <w:r w:rsidR="000636C2">
        <w:rPr>
          <w:rFonts w:hint="cs"/>
          <w:bCs/>
          <w:rtl/>
        </w:rPr>
        <w:t>:</w:t>
      </w:r>
      <w:r>
        <w:rPr>
          <w:rFonts w:hint="cs"/>
          <w:bCs/>
          <w:rtl/>
        </w:rPr>
        <w:t xml:space="preserve"> لبيان فضل الأثرية وأنّهم امتداد السلف الصالح </w:t>
      </w:r>
    </w:p>
    <w:p w14:paraId="4A9E111F" w14:textId="20FB00DD" w:rsidR="009C32A0" w:rsidRDefault="009C32A0" w:rsidP="000636C2">
      <w:pPr>
        <w:rPr>
          <w:b/>
          <w:rtl/>
          <w:lang w:bidi="ar-KW"/>
        </w:rPr>
      </w:pPr>
      <w:r>
        <w:rPr>
          <w:rFonts w:hint="cs"/>
          <w:bCs/>
          <w:rtl/>
        </w:rPr>
        <w:t>مدخل ثان</w:t>
      </w:r>
      <w:r w:rsidR="000636C2">
        <w:rPr>
          <w:rFonts w:hint="cs"/>
          <w:bCs/>
          <w:rtl/>
        </w:rPr>
        <w:t>:</w:t>
      </w:r>
      <w:r>
        <w:rPr>
          <w:rFonts w:hint="cs"/>
          <w:rtl/>
        </w:rPr>
        <w:t xml:space="preserve"> </w:t>
      </w:r>
      <w:r>
        <w:rPr>
          <w:rFonts w:hint="cs"/>
          <w:rtl/>
          <w:lang w:bidi="ar-KW"/>
        </w:rPr>
        <w:t xml:space="preserve">لبيان فضل الأشاعرة والماتريدية وأنّهم هم المتخصصون في العقيدة على منهاج أهل السنّة </w:t>
      </w:r>
    </w:p>
    <w:p w14:paraId="2D03A642" w14:textId="0103DCAC" w:rsidR="009C32A0" w:rsidRDefault="009C32A0" w:rsidP="000636C2">
      <w:pPr>
        <w:rPr>
          <w:b/>
          <w:bCs/>
          <w:rtl/>
          <w:lang w:bidi="ar-KW"/>
        </w:rPr>
      </w:pPr>
      <w:r>
        <w:rPr>
          <w:bCs/>
          <w:rtl/>
          <w:lang w:bidi="ar-KW"/>
        </w:rPr>
        <w:t>مدخل ثالث</w:t>
      </w:r>
      <w:r w:rsidR="000636C2">
        <w:rPr>
          <w:rtl/>
          <w:lang w:bidi="ar-KW"/>
        </w:rPr>
        <w:t>:</w:t>
      </w:r>
      <w:r>
        <w:rPr>
          <w:rtl/>
          <w:lang w:bidi="ar-KW"/>
        </w:rPr>
        <w:t xml:space="preserve"> لبيان خطر الحشوية وأنّهم ليسوا من السلفية في شيء</w:t>
      </w:r>
    </w:p>
    <w:p w14:paraId="000DFD35" w14:textId="783938AA" w:rsidR="009C32A0" w:rsidRDefault="009C32A0" w:rsidP="000636C2">
      <w:pPr>
        <w:rPr>
          <w:b/>
          <w:bCs/>
          <w:rtl/>
          <w:lang w:bidi="ar-KW"/>
        </w:rPr>
      </w:pPr>
      <w:r>
        <w:rPr>
          <w:bCs/>
          <w:rtl/>
          <w:lang w:bidi="ar-KW"/>
        </w:rPr>
        <w:t>الملحق الأول</w:t>
      </w:r>
      <w:r w:rsidR="000636C2">
        <w:rPr>
          <w:rtl/>
          <w:lang w:bidi="ar-KW"/>
        </w:rPr>
        <w:t>:</w:t>
      </w:r>
      <w:r>
        <w:rPr>
          <w:rtl/>
          <w:lang w:bidi="ar-KW"/>
        </w:rPr>
        <w:t xml:space="preserve"> كتاب دفع شبه التشبيه بأكف التنزيه للحافظ الأثري ابن الجوزي</w:t>
      </w:r>
    </w:p>
    <w:p w14:paraId="33B79BD1" w14:textId="1A598127" w:rsidR="009C32A0" w:rsidRPr="005675B2" w:rsidRDefault="009C32A0" w:rsidP="000636C2">
      <w:pPr>
        <w:rPr>
          <w:b/>
          <w:rtl/>
        </w:rPr>
      </w:pPr>
      <w:r w:rsidRPr="005675B2">
        <w:rPr>
          <w:rFonts w:hint="cs"/>
          <w:bCs/>
          <w:rtl/>
          <w:lang w:bidi="ar-KW"/>
        </w:rPr>
        <w:t xml:space="preserve">الملحق </w:t>
      </w:r>
      <w:r>
        <w:rPr>
          <w:rFonts w:hint="cs"/>
          <w:bCs/>
          <w:rtl/>
          <w:lang w:bidi="ar-KW"/>
        </w:rPr>
        <w:t>الثاني</w:t>
      </w:r>
      <w:r w:rsidR="000636C2">
        <w:rPr>
          <w:rFonts w:hint="cs"/>
          <w:bCs/>
          <w:rtl/>
          <w:lang w:bidi="ar-KW"/>
        </w:rPr>
        <w:t>:</w:t>
      </w:r>
      <w:r w:rsidRPr="005675B2">
        <w:rPr>
          <w:rFonts w:hint="cs"/>
          <w:rtl/>
          <w:lang w:bidi="ar-KW"/>
        </w:rPr>
        <w:t xml:space="preserve"> كتاب </w:t>
      </w:r>
      <w:r w:rsidRPr="005675B2">
        <w:rPr>
          <w:rFonts w:hint="cs"/>
          <w:rtl/>
        </w:rPr>
        <w:t>أ</w:t>
      </w:r>
      <w:r w:rsidRPr="005675B2">
        <w:rPr>
          <w:rtl/>
        </w:rPr>
        <w:t xml:space="preserve">هل السنة الأشاعرة جمع وإعداد </w:t>
      </w:r>
      <w:r w:rsidRPr="005675B2">
        <w:rPr>
          <w:rFonts w:hint="cs"/>
          <w:rtl/>
        </w:rPr>
        <w:t xml:space="preserve">الشيخ </w:t>
      </w:r>
      <w:r w:rsidRPr="005675B2">
        <w:rPr>
          <w:rtl/>
        </w:rPr>
        <w:t>حمد سنان</w:t>
      </w:r>
      <w:r w:rsidR="000636C2">
        <w:rPr>
          <w:rtl/>
        </w:rPr>
        <w:t>،</w:t>
      </w:r>
      <w:r w:rsidRPr="005675B2">
        <w:rPr>
          <w:rFonts w:hint="cs"/>
          <w:rtl/>
        </w:rPr>
        <w:t xml:space="preserve"> والشيخ </w:t>
      </w:r>
      <w:r w:rsidRPr="005675B2">
        <w:rPr>
          <w:rtl/>
        </w:rPr>
        <w:t>فوزي العنجري</w:t>
      </w:r>
      <w:r w:rsidR="000636C2">
        <w:rPr>
          <w:rFonts w:hint="cs"/>
          <w:rtl/>
        </w:rPr>
        <w:t>،</w:t>
      </w:r>
      <w:r w:rsidRPr="005675B2">
        <w:rPr>
          <w:rFonts w:hint="cs"/>
          <w:rtl/>
        </w:rPr>
        <w:t xml:space="preserve"> </w:t>
      </w:r>
    </w:p>
    <w:p w14:paraId="25E1784C" w14:textId="350A337C" w:rsidR="009C32A0" w:rsidRPr="005675B2" w:rsidRDefault="009C32A0" w:rsidP="000636C2">
      <w:pPr>
        <w:rPr>
          <w:b/>
          <w:rtl/>
          <w:lang w:bidi="ar-KW"/>
        </w:rPr>
      </w:pPr>
      <w:r w:rsidRPr="005675B2">
        <w:rPr>
          <w:rFonts w:hint="cs"/>
          <w:bCs/>
          <w:rtl/>
        </w:rPr>
        <w:t>الملحق الثا</w:t>
      </w:r>
      <w:r>
        <w:rPr>
          <w:rFonts w:hint="cs"/>
          <w:bCs/>
          <w:rtl/>
        </w:rPr>
        <w:t>لث</w:t>
      </w:r>
      <w:r w:rsidR="000636C2">
        <w:rPr>
          <w:rFonts w:hint="cs"/>
          <w:rtl/>
        </w:rPr>
        <w:t>:</w:t>
      </w:r>
      <w:r w:rsidRPr="005675B2">
        <w:rPr>
          <w:rFonts w:hint="cs"/>
          <w:rtl/>
        </w:rPr>
        <w:t xml:space="preserve"> كتاب </w:t>
      </w:r>
      <w:r w:rsidRPr="005675B2">
        <w:rPr>
          <w:rtl/>
          <w:lang w:bidi="ar-KW"/>
        </w:rPr>
        <w:t xml:space="preserve">عقائد الأشاعرة </w:t>
      </w:r>
      <w:r w:rsidRPr="005675B2">
        <w:rPr>
          <w:rtl/>
        </w:rPr>
        <w:t>في حوارٍ هادئٍ مع شُبهاتِ المناوئين</w:t>
      </w:r>
      <w:r w:rsidRPr="005675B2">
        <w:rPr>
          <w:rtl/>
          <w:lang w:bidi="ar-KW"/>
        </w:rPr>
        <w:t xml:space="preserve"> للشيخ صلاح الدين الإدلبي</w:t>
      </w:r>
    </w:p>
    <w:p w14:paraId="55D0B4C7" w14:textId="7F0D46F7" w:rsidR="009C32A0" w:rsidRPr="005675B2" w:rsidRDefault="009C32A0" w:rsidP="000636C2">
      <w:pPr>
        <w:rPr>
          <w:b/>
          <w:rtl/>
          <w:lang w:bidi="ar-KW"/>
        </w:rPr>
      </w:pPr>
      <w:r>
        <w:rPr>
          <w:rFonts w:hint="cs"/>
          <w:bCs/>
          <w:rtl/>
          <w:lang w:bidi="ar-KW"/>
        </w:rPr>
        <w:t>الملحق الرابع</w:t>
      </w:r>
      <w:r w:rsidR="000636C2">
        <w:rPr>
          <w:rFonts w:hint="cs"/>
          <w:rtl/>
          <w:lang w:bidi="ar-KW"/>
        </w:rPr>
        <w:t>:</w:t>
      </w:r>
      <w:r w:rsidRPr="005675B2">
        <w:rPr>
          <w:rFonts w:hint="cs"/>
          <w:rtl/>
          <w:lang w:bidi="ar-KW"/>
        </w:rPr>
        <w:t xml:space="preserve"> </w:t>
      </w:r>
      <w:r w:rsidRPr="005675B2">
        <w:rPr>
          <w:rFonts w:hint="cs"/>
          <w:rtl/>
        </w:rPr>
        <w:t xml:space="preserve">كتاب </w:t>
      </w:r>
      <w:r w:rsidRPr="005675B2">
        <w:rPr>
          <w:rtl/>
        </w:rPr>
        <w:t>منهج الأشاعرة في العقيدة بين الحقائق والأوهام</w:t>
      </w:r>
      <w:r w:rsidRPr="005675B2">
        <w:rPr>
          <w:rFonts w:hint="cs"/>
          <w:rtl/>
        </w:rPr>
        <w:t xml:space="preserve"> للشيخ محمد صالح الغرسي</w:t>
      </w:r>
      <w:r w:rsidRPr="005675B2">
        <w:rPr>
          <w:rtl/>
          <w:lang w:bidi="ar-KW"/>
        </w:rPr>
        <w:t xml:space="preserve"> </w:t>
      </w:r>
    </w:p>
    <w:p w14:paraId="42B426D6" w14:textId="777A94DD" w:rsidR="009C32A0" w:rsidRPr="005675B2" w:rsidRDefault="009C32A0" w:rsidP="000636C2">
      <w:pPr>
        <w:rPr>
          <w:b/>
          <w:bCs/>
          <w:rtl/>
        </w:rPr>
      </w:pPr>
      <w:r w:rsidRPr="005675B2">
        <w:rPr>
          <w:rFonts w:hint="cs"/>
          <w:bCs/>
          <w:rtl/>
        </w:rPr>
        <w:t xml:space="preserve">الملحق </w:t>
      </w:r>
      <w:r>
        <w:rPr>
          <w:rFonts w:hint="cs"/>
          <w:bCs/>
          <w:rtl/>
        </w:rPr>
        <w:t>الخامس</w:t>
      </w:r>
      <w:r w:rsidR="000636C2">
        <w:rPr>
          <w:rFonts w:hint="cs"/>
          <w:rtl/>
        </w:rPr>
        <w:t>:</w:t>
      </w:r>
      <w:r w:rsidRPr="005675B2">
        <w:rPr>
          <w:rFonts w:hint="cs"/>
          <w:rtl/>
        </w:rPr>
        <w:t xml:space="preserve"> </w:t>
      </w:r>
      <w:r w:rsidRPr="005675B2">
        <w:rPr>
          <w:rtl/>
          <w:lang w:bidi="ar-KW"/>
        </w:rPr>
        <w:t>كتاب درر الألفاظ العوالي في الرد على الموجان والحوالي دفاع عن الأشاعرة</w:t>
      </w:r>
      <w:r w:rsidR="000636C2">
        <w:rPr>
          <w:rFonts w:hint="cs"/>
          <w:bCs/>
          <w:rtl/>
        </w:rPr>
        <w:t>،</w:t>
      </w:r>
      <w:r w:rsidRPr="005675B2">
        <w:rPr>
          <w:rFonts w:hint="cs"/>
          <w:bCs/>
          <w:rtl/>
        </w:rPr>
        <w:t xml:space="preserve"> </w:t>
      </w:r>
    </w:p>
    <w:p w14:paraId="1442B2D7" w14:textId="0EA59DD9" w:rsidR="009C32A0" w:rsidRPr="005675B2" w:rsidRDefault="009C32A0" w:rsidP="000636C2">
      <w:pPr>
        <w:rPr>
          <w:b/>
          <w:bCs/>
          <w:rtl/>
        </w:rPr>
      </w:pPr>
      <w:r w:rsidRPr="005675B2">
        <w:rPr>
          <w:rFonts w:hint="cs"/>
          <w:bCs/>
          <w:rtl/>
        </w:rPr>
        <w:t xml:space="preserve">الملحق </w:t>
      </w:r>
      <w:r>
        <w:rPr>
          <w:rFonts w:hint="cs"/>
          <w:bCs/>
          <w:rtl/>
        </w:rPr>
        <w:t>السادس</w:t>
      </w:r>
      <w:r w:rsidR="000636C2">
        <w:rPr>
          <w:rFonts w:hint="cs"/>
          <w:bCs/>
          <w:rtl/>
        </w:rPr>
        <w:t>:</w:t>
      </w:r>
      <w:r w:rsidRPr="005675B2">
        <w:rPr>
          <w:rFonts w:hint="cs"/>
          <w:bCs/>
          <w:rtl/>
        </w:rPr>
        <w:t xml:space="preserve"> </w:t>
      </w:r>
      <w:r w:rsidRPr="005675B2">
        <w:rPr>
          <w:rFonts w:eastAsia="MS Mincho"/>
          <w:rtl/>
        </w:rPr>
        <w:t>النقد والتقويم لمنتقد عقائد الماتريدية</w:t>
      </w:r>
      <w:r w:rsidRPr="005675B2">
        <w:rPr>
          <w:rFonts w:eastAsia="MS Mincho" w:hint="cs"/>
          <w:rtl/>
        </w:rPr>
        <w:t xml:space="preserve"> للشيخ سعيد فودة</w:t>
      </w:r>
      <w:r w:rsidR="000636C2">
        <w:rPr>
          <w:rFonts w:eastAsia="MS Mincho" w:hint="cs"/>
          <w:rtl/>
        </w:rPr>
        <w:t>،</w:t>
      </w:r>
      <w:r w:rsidRPr="005675B2">
        <w:rPr>
          <w:rFonts w:eastAsia="MS Mincho" w:hint="cs"/>
          <w:rtl/>
        </w:rPr>
        <w:t xml:space="preserve"> </w:t>
      </w:r>
    </w:p>
    <w:p w14:paraId="5DD3A670" w14:textId="1B484889" w:rsidR="009C32A0" w:rsidRDefault="009C32A0" w:rsidP="000636C2">
      <w:pPr>
        <w:rPr>
          <w:sz w:val="22"/>
          <w:rtl/>
          <w:lang w:bidi="ar-KW"/>
        </w:rPr>
      </w:pPr>
      <w:r w:rsidRPr="005675B2">
        <w:rPr>
          <w:rFonts w:hint="cs"/>
          <w:bCs/>
          <w:rtl/>
        </w:rPr>
        <w:t>الخاتمة</w:t>
      </w:r>
      <w:r w:rsidR="000636C2">
        <w:rPr>
          <w:rFonts w:hint="cs"/>
          <w:rtl/>
        </w:rPr>
        <w:t>:</w:t>
      </w:r>
      <w:r w:rsidRPr="005675B2">
        <w:rPr>
          <w:rFonts w:hint="cs"/>
          <w:rtl/>
        </w:rPr>
        <w:t xml:space="preserve"> وأهم توصيات الرسالـة</w:t>
      </w:r>
      <w:r w:rsidR="000636C2">
        <w:rPr>
          <w:rFonts w:hint="cs"/>
          <w:rtl/>
        </w:rPr>
        <w:t>،</w:t>
      </w:r>
    </w:p>
    <w:p w14:paraId="1BA509B4" w14:textId="77777777" w:rsidR="009C32A0" w:rsidRDefault="009C32A0" w:rsidP="000636C2">
      <w:pPr>
        <w:jc w:val="center"/>
        <w:rPr>
          <w:sz w:val="22"/>
          <w:rtl/>
          <w:lang w:bidi="ar-KW"/>
        </w:rPr>
      </w:pPr>
      <w:r>
        <w:rPr>
          <w:rFonts w:hint="cs"/>
          <w:sz w:val="22"/>
          <w:rtl/>
          <w:lang w:bidi="ar-KW"/>
        </w:rPr>
        <w:t>***</w:t>
      </w:r>
    </w:p>
    <w:p w14:paraId="25721143" w14:textId="77777777" w:rsidR="009C32A0" w:rsidRDefault="009C32A0" w:rsidP="000636C2">
      <w:pPr>
        <w:rPr>
          <w:sz w:val="22"/>
          <w:rtl/>
          <w:lang w:bidi="ar-KW"/>
        </w:rPr>
      </w:pPr>
    </w:p>
    <w:p w14:paraId="166B2B24" w14:textId="77777777" w:rsidR="008D50AB" w:rsidRDefault="008D50AB"/>
    <w:sectPr w:rsidR="008D50AB" w:rsidSect="000636C2">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066B6A" w14:textId="77777777" w:rsidR="00FB1249" w:rsidRDefault="00FB1249">
      <w:pPr>
        <w:spacing w:after="0" w:line="240" w:lineRule="auto"/>
      </w:pPr>
      <w:r>
        <w:separator/>
      </w:r>
    </w:p>
  </w:endnote>
  <w:endnote w:type="continuationSeparator" w:id="0">
    <w:p w14:paraId="2F9AEA13" w14:textId="77777777" w:rsidR="00FB1249" w:rsidRDefault="00FB1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otus Linotype">
    <w:altName w:val="Times New Roman"/>
    <w:charset w:val="00"/>
    <w:family w:val="auto"/>
    <w:pitch w:val="variable"/>
    <w:sig w:usb0="00000000" w:usb1="80000000" w:usb2="00000008" w:usb3="00000000" w:csb0="00000043" w:csb1="00000000"/>
  </w:font>
  <w:font w:name="MCS Madinah S_I normal.">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onotype Koufi">
    <w:panose1 w:val="00000000000000000000"/>
    <w:charset w:val="B2"/>
    <w:family w:val="auto"/>
    <w:pitch w:val="variable"/>
    <w:sig w:usb0="02942001" w:usb1="03D40006" w:usb2="02620000" w:usb3="00000000" w:csb0="00000040"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D0D23" w14:textId="77777777" w:rsidR="00C07A88" w:rsidRDefault="00C07A88" w:rsidP="000636C2">
    <w:pPr>
      <w:pStyle w:val="a8"/>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14:paraId="23BDAA5E" w14:textId="77777777" w:rsidR="00C07A88" w:rsidRDefault="00C07A8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091979846"/>
      <w:docPartObj>
        <w:docPartGallery w:val="Page Numbers (Bottom of Page)"/>
        <w:docPartUnique/>
      </w:docPartObj>
    </w:sdtPr>
    <w:sdtContent>
      <w:p w14:paraId="4639F482" w14:textId="3AE2D4EB" w:rsidR="0008146C" w:rsidRDefault="0008146C">
        <w:pPr>
          <w:pStyle w:val="a8"/>
          <w:jc w:val="center"/>
        </w:pPr>
        <w:r>
          <w:fldChar w:fldCharType="begin"/>
        </w:r>
        <w:r>
          <w:instrText>PAGE   \* MERGEFORMAT</w:instrText>
        </w:r>
        <w:r>
          <w:fldChar w:fldCharType="separate"/>
        </w:r>
        <w:r>
          <w:rPr>
            <w:rtl/>
            <w:lang w:val="ar-SA"/>
          </w:rPr>
          <w:t>2</w:t>
        </w:r>
        <w:r>
          <w:fldChar w:fldCharType="end"/>
        </w:r>
      </w:p>
    </w:sdtContent>
  </w:sdt>
  <w:p w14:paraId="678F73D6" w14:textId="77777777" w:rsidR="0008146C" w:rsidRDefault="0008146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2BEB9" w14:textId="77777777" w:rsidR="00FB1249" w:rsidRDefault="00FB1249">
      <w:pPr>
        <w:spacing w:after="0" w:line="240" w:lineRule="auto"/>
      </w:pPr>
      <w:r>
        <w:separator/>
      </w:r>
    </w:p>
  </w:footnote>
  <w:footnote w:type="continuationSeparator" w:id="0">
    <w:p w14:paraId="44E75000" w14:textId="77777777" w:rsidR="00FB1249" w:rsidRDefault="00FB1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866F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40E6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9240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5028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9B4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1438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CEF8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7600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646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CE47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B2E79"/>
    <w:multiLevelType w:val="hybridMultilevel"/>
    <w:tmpl w:val="DC5AF1F6"/>
    <w:lvl w:ilvl="0" w:tplc="F3081C34">
      <w:start w:val="4"/>
      <w:numFmt w:val="decimal"/>
      <w:lvlText w:val="%1."/>
      <w:lvlJc w:val="left"/>
      <w:pPr>
        <w:tabs>
          <w:tab w:val="num" w:pos="720"/>
        </w:tabs>
        <w:ind w:left="720" w:hanging="360"/>
      </w:pPr>
      <w:rPr>
        <w:rFonts w:ascii="Lotus Linotype" w:hAnsi="Lotus Linotype" w:cs="Lotus Linotype"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A53C6E"/>
    <w:multiLevelType w:val="singleLevel"/>
    <w:tmpl w:val="1F707C40"/>
    <w:lvl w:ilvl="0">
      <w:start w:val="1"/>
      <w:numFmt w:val="decimal"/>
      <w:lvlText w:val="%1-"/>
      <w:lvlJc w:val="left"/>
      <w:pPr>
        <w:tabs>
          <w:tab w:val="num" w:pos="927"/>
        </w:tabs>
        <w:ind w:hanging="360"/>
      </w:pPr>
      <w:rPr>
        <w:rFonts w:ascii="Times New Roman" w:hAnsi="Times New Roman" w:cs="Times New Roman" w:hint="default"/>
      </w:rPr>
    </w:lvl>
  </w:abstractNum>
  <w:abstractNum w:abstractNumId="12" w15:restartNumberingAfterBreak="0">
    <w:nsid w:val="10413218"/>
    <w:multiLevelType w:val="hybridMultilevel"/>
    <w:tmpl w:val="F76EB818"/>
    <w:lvl w:ilvl="0" w:tplc="E50E105E">
      <w:start w:val="7"/>
      <w:numFmt w:val="decimal"/>
      <w:lvlText w:val="%1."/>
      <w:lvlJc w:val="left"/>
      <w:pPr>
        <w:tabs>
          <w:tab w:val="num" w:pos="720"/>
        </w:tabs>
        <w:ind w:left="720" w:hanging="360"/>
      </w:pPr>
      <w:rPr>
        <w:rFonts w:cs="MCS Madinah S_I normal." w:hint="default"/>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1E0F7B"/>
    <w:multiLevelType w:val="hybridMultilevel"/>
    <w:tmpl w:val="19E4C658"/>
    <w:lvl w:ilvl="0" w:tplc="04010007">
      <w:start w:val="1"/>
      <w:numFmt w:val="bullet"/>
      <w:lvlText w:val=""/>
      <w:lvlJc w:val="left"/>
      <w:pPr>
        <w:tabs>
          <w:tab w:val="num" w:pos="1287"/>
        </w:tabs>
        <w:ind w:left="1287" w:right="1287" w:hanging="360"/>
      </w:pPr>
      <w:rPr>
        <w:rFonts w:ascii="Wingdings" w:hAnsi="Wingdings" w:hint="default"/>
        <w:sz w:val="16"/>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14" w15:restartNumberingAfterBreak="0">
    <w:nsid w:val="1C412F9A"/>
    <w:multiLevelType w:val="hybridMultilevel"/>
    <w:tmpl w:val="3268307A"/>
    <w:lvl w:ilvl="0" w:tplc="EE3E5368">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21D58E2"/>
    <w:multiLevelType w:val="hybridMultilevel"/>
    <w:tmpl w:val="923444DE"/>
    <w:lvl w:ilvl="0" w:tplc="94CCF578">
      <w:start w:val="1"/>
      <w:numFmt w:val="decimal"/>
      <w:lvlText w:val="%1-"/>
      <w:lvlJc w:val="left"/>
      <w:pPr>
        <w:tabs>
          <w:tab w:val="num" w:pos="1110"/>
        </w:tabs>
        <w:ind w:left="1110" w:right="1110" w:hanging="390"/>
      </w:pPr>
      <w:rPr>
        <w:rFonts w:hint="cs"/>
      </w:r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16" w15:restartNumberingAfterBreak="0">
    <w:nsid w:val="268E4095"/>
    <w:multiLevelType w:val="singleLevel"/>
    <w:tmpl w:val="BF1E7B98"/>
    <w:lvl w:ilvl="0">
      <w:start w:val="1"/>
      <w:numFmt w:val="decimal"/>
      <w:lvlText w:val="%1-"/>
      <w:lvlJc w:val="left"/>
      <w:pPr>
        <w:tabs>
          <w:tab w:val="num" w:pos="927"/>
        </w:tabs>
        <w:ind w:hanging="360"/>
      </w:pPr>
      <w:rPr>
        <w:rFonts w:ascii="Times New Roman" w:hAnsi="Times New Roman" w:cs="Times New Roman" w:hint="default"/>
      </w:rPr>
    </w:lvl>
  </w:abstractNum>
  <w:abstractNum w:abstractNumId="17" w15:restartNumberingAfterBreak="0">
    <w:nsid w:val="27A229DF"/>
    <w:multiLevelType w:val="hybridMultilevel"/>
    <w:tmpl w:val="319A264C"/>
    <w:lvl w:ilvl="0" w:tplc="04010001">
      <w:start w:val="1"/>
      <w:numFmt w:val="bullet"/>
      <w:lvlText w:val=""/>
      <w:lvlJc w:val="left"/>
      <w:pPr>
        <w:tabs>
          <w:tab w:val="num" w:pos="1287"/>
        </w:tabs>
        <w:ind w:left="1287" w:right="1287" w:hanging="360"/>
      </w:pPr>
      <w:rPr>
        <w:rFonts w:ascii="Symbol" w:hAnsi="Symbol" w:hint="default"/>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18" w15:restartNumberingAfterBreak="0">
    <w:nsid w:val="28515B09"/>
    <w:multiLevelType w:val="hybridMultilevel"/>
    <w:tmpl w:val="1AE63D74"/>
    <w:lvl w:ilvl="0" w:tplc="3F90C75E">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0F6103F"/>
    <w:multiLevelType w:val="hybridMultilevel"/>
    <w:tmpl w:val="C41E3C8E"/>
    <w:lvl w:ilvl="0" w:tplc="0409000F">
      <w:start w:val="1"/>
      <w:numFmt w:val="decimal"/>
      <w:lvlText w:val="%1."/>
      <w:lvlJc w:val="left"/>
      <w:pPr>
        <w:tabs>
          <w:tab w:val="num" w:pos="1043"/>
        </w:tabs>
        <w:ind w:left="104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9291F75"/>
    <w:multiLevelType w:val="hybridMultilevel"/>
    <w:tmpl w:val="EF48303E"/>
    <w:lvl w:ilvl="0" w:tplc="30769FBA">
      <w:numFmt w:val="bullet"/>
      <w:lvlText w:val=""/>
      <w:lvlJc w:val="left"/>
      <w:pPr>
        <w:tabs>
          <w:tab w:val="num" w:pos="720"/>
        </w:tabs>
        <w:ind w:left="720" w:hanging="360"/>
      </w:pPr>
      <w:rPr>
        <w:rFonts w:ascii="Symbol" w:eastAsia="SimSun" w:hAnsi="Symbol" w:cs="Arabic Transparent"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081437C"/>
    <w:multiLevelType w:val="hybridMultilevel"/>
    <w:tmpl w:val="6FE8B586"/>
    <w:lvl w:ilvl="0" w:tplc="290C14FC">
      <w:start w:val="1"/>
      <w:numFmt w:val="decimal"/>
      <w:lvlText w:val="%1-"/>
      <w:lvlJc w:val="left"/>
      <w:pPr>
        <w:tabs>
          <w:tab w:val="num" w:pos="965"/>
        </w:tabs>
        <w:ind w:left="965"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tentative="1">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22" w15:restartNumberingAfterBreak="0">
    <w:nsid w:val="40EB42A5"/>
    <w:multiLevelType w:val="hybridMultilevel"/>
    <w:tmpl w:val="FB2EA81A"/>
    <w:lvl w:ilvl="0" w:tplc="04010001">
      <w:start w:val="1"/>
      <w:numFmt w:val="bullet"/>
      <w:lvlText w:val=""/>
      <w:lvlJc w:val="left"/>
      <w:pPr>
        <w:tabs>
          <w:tab w:val="num" w:pos="1287"/>
        </w:tabs>
        <w:ind w:left="1287" w:right="1287" w:hanging="360"/>
      </w:pPr>
      <w:rPr>
        <w:rFonts w:ascii="Symbol" w:hAnsi="Symbol" w:hint="default"/>
      </w:rPr>
    </w:lvl>
    <w:lvl w:ilvl="1" w:tplc="04010007">
      <w:start w:val="1"/>
      <w:numFmt w:val="bullet"/>
      <w:lvlText w:val=""/>
      <w:lvlJc w:val="left"/>
      <w:pPr>
        <w:tabs>
          <w:tab w:val="num" w:pos="2007"/>
        </w:tabs>
        <w:ind w:left="2007" w:right="2007" w:hanging="360"/>
      </w:pPr>
      <w:rPr>
        <w:rFonts w:ascii="Wingdings" w:hAnsi="Wingdings" w:hint="default"/>
        <w:sz w:val="16"/>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23" w15:restartNumberingAfterBreak="0">
    <w:nsid w:val="44524149"/>
    <w:multiLevelType w:val="hybridMultilevel"/>
    <w:tmpl w:val="99221498"/>
    <w:lvl w:ilvl="0" w:tplc="E5DEF3C6">
      <w:numFmt w:val="bullet"/>
      <w:lvlText w:val=""/>
      <w:lvlJc w:val="left"/>
      <w:pPr>
        <w:tabs>
          <w:tab w:val="num" w:pos="720"/>
        </w:tabs>
        <w:ind w:left="720" w:hanging="360"/>
      </w:pPr>
      <w:rPr>
        <w:rFonts w:ascii="Symbol" w:eastAsia="Times New Roman" w:hAnsi="Symbol" w:cs="Simplified Arabic"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454F2E29"/>
    <w:multiLevelType w:val="hybridMultilevel"/>
    <w:tmpl w:val="FB2EA81A"/>
    <w:lvl w:ilvl="0" w:tplc="04010001">
      <w:start w:val="1"/>
      <w:numFmt w:val="bullet"/>
      <w:lvlText w:val=""/>
      <w:lvlJc w:val="left"/>
      <w:pPr>
        <w:tabs>
          <w:tab w:val="num" w:pos="1287"/>
        </w:tabs>
        <w:ind w:left="1287" w:right="1287" w:hanging="360"/>
      </w:pPr>
      <w:rPr>
        <w:rFonts w:ascii="Symbol" w:hAnsi="Symbol" w:hint="default"/>
      </w:rPr>
    </w:lvl>
    <w:lvl w:ilvl="1" w:tplc="04010005">
      <w:start w:val="1"/>
      <w:numFmt w:val="bullet"/>
      <w:lvlText w:val=""/>
      <w:lvlJc w:val="left"/>
      <w:pPr>
        <w:tabs>
          <w:tab w:val="num" w:pos="2007"/>
        </w:tabs>
        <w:ind w:left="2007" w:right="2007" w:hanging="360"/>
      </w:pPr>
      <w:rPr>
        <w:rFonts w:ascii="Wingdings" w:hAnsi="Wingdings"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25" w15:restartNumberingAfterBreak="0">
    <w:nsid w:val="4C952FA6"/>
    <w:multiLevelType w:val="hybridMultilevel"/>
    <w:tmpl w:val="3C121300"/>
    <w:lvl w:ilvl="0" w:tplc="04010001">
      <w:start w:val="1"/>
      <w:numFmt w:val="bullet"/>
      <w:lvlText w:val=""/>
      <w:lvlJc w:val="left"/>
      <w:pPr>
        <w:tabs>
          <w:tab w:val="num" w:pos="720"/>
        </w:tabs>
        <w:ind w:left="720" w:right="720" w:hanging="360"/>
      </w:pPr>
      <w:rPr>
        <w:rFonts w:ascii="Symbol" w:hAnsi="Symbol"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527215AE"/>
    <w:multiLevelType w:val="hybridMultilevel"/>
    <w:tmpl w:val="13C00348"/>
    <w:lvl w:ilvl="0" w:tplc="43321FD0">
      <w:start w:val="1"/>
      <w:numFmt w:val="decimal"/>
      <w:lvlText w:val="%1-"/>
      <w:lvlJc w:val="left"/>
      <w:pPr>
        <w:tabs>
          <w:tab w:val="num" w:pos="1080"/>
        </w:tabs>
        <w:ind w:left="1080" w:right="1080" w:hanging="360"/>
      </w:pPr>
      <w:rPr>
        <w:rFonts w:cs="Times New Roman" w:hint="default"/>
      </w:rPr>
    </w:lvl>
    <w:lvl w:ilvl="1" w:tplc="04010019">
      <w:start w:val="1"/>
      <w:numFmt w:val="lowerLetter"/>
      <w:lvlText w:val="%2."/>
      <w:lvlJc w:val="left"/>
      <w:pPr>
        <w:tabs>
          <w:tab w:val="num" w:pos="1800"/>
        </w:tabs>
        <w:ind w:left="1800" w:right="1800" w:hanging="360"/>
      </w:pPr>
      <w:rPr>
        <w:rFonts w:cs="Times New Roman"/>
      </w:rPr>
    </w:lvl>
    <w:lvl w:ilvl="2" w:tplc="0401001B">
      <w:start w:val="1"/>
      <w:numFmt w:val="lowerRoman"/>
      <w:lvlText w:val="%3."/>
      <w:lvlJc w:val="right"/>
      <w:pPr>
        <w:tabs>
          <w:tab w:val="num" w:pos="2520"/>
        </w:tabs>
        <w:ind w:left="2520" w:right="2520" w:hanging="180"/>
      </w:pPr>
      <w:rPr>
        <w:rFonts w:cs="Times New Roman"/>
      </w:rPr>
    </w:lvl>
    <w:lvl w:ilvl="3" w:tplc="0401000F">
      <w:start w:val="1"/>
      <w:numFmt w:val="decimal"/>
      <w:lvlText w:val="%4."/>
      <w:lvlJc w:val="left"/>
      <w:pPr>
        <w:tabs>
          <w:tab w:val="num" w:pos="3240"/>
        </w:tabs>
        <w:ind w:left="3240" w:right="3240" w:hanging="360"/>
      </w:pPr>
      <w:rPr>
        <w:rFonts w:cs="Times New Roman"/>
      </w:rPr>
    </w:lvl>
    <w:lvl w:ilvl="4" w:tplc="04010019">
      <w:start w:val="1"/>
      <w:numFmt w:val="lowerLetter"/>
      <w:lvlText w:val="%5."/>
      <w:lvlJc w:val="left"/>
      <w:pPr>
        <w:tabs>
          <w:tab w:val="num" w:pos="3960"/>
        </w:tabs>
        <w:ind w:left="3960" w:right="3960" w:hanging="360"/>
      </w:pPr>
      <w:rPr>
        <w:rFonts w:cs="Times New Roman"/>
      </w:rPr>
    </w:lvl>
    <w:lvl w:ilvl="5" w:tplc="0401001B">
      <w:start w:val="1"/>
      <w:numFmt w:val="lowerRoman"/>
      <w:lvlText w:val="%6."/>
      <w:lvlJc w:val="right"/>
      <w:pPr>
        <w:tabs>
          <w:tab w:val="num" w:pos="4680"/>
        </w:tabs>
        <w:ind w:left="4680" w:right="4680" w:hanging="180"/>
      </w:pPr>
      <w:rPr>
        <w:rFonts w:cs="Times New Roman"/>
      </w:rPr>
    </w:lvl>
    <w:lvl w:ilvl="6" w:tplc="0401000F">
      <w:start w:val="1"/>
      <w:numFmt w:val="decimal"/>
      <w:lvlText w:val="%7."/>
      <w:lvlJc w:val="left"/>
      <w:pPr>
        <w:tabs>
          <w:tab w:val="num" w:pos="5400"/>
        </w:tabs>
        <w:ind w:left="5400" w:right="5400" w:hanging="360"/>
      </w:pPr>
      <w:rPr>
        <w:rFonts w:cs="Times New Roman"/>
      </w:rPr>
    </w:lvl>
    <w:lvl w:ilvl="7" w:tplc="04010019">
      <w:start w:val="1"/>
      <w:numFmt w:val="lowerLetter"/>
      <w:lvlText w:val="%8."/>
      <w:lvlJc w:val="left"/>
      <w:pPr>
        <w:tabs>
          <w:tab w:val="num" w:pos="6120"/>
        </w:tabs>
        <w:ind w:left="6120" w:right="6120" w:hanging="360"/>
      </w:pPr>
      <w:rPr>
        <w:rFonts w:cs="Times New Roman"/>
      </w:rPr>
    </w:lvl>
    <w:lvl w:ilvl="8" w:tplc="0401001B">
      <w:start w:val="1"/>
      <w:numFmt w:val="lowerRoman"/>
      <w:lvlText w:val="%9."/>
      <w:lvlJc w:val="right"/>
      <w:pPr>
        <w:tabs>
          <w:tab w:val="num" w:pos="6840"/>
        </w:tabs>
        <w:ind w:left="6840" w:right="6840" w:hanging="180"/>
      </w:pPr>
      <w:rPr>
        <w:rFonts w:cs="Times New Roman"/>
      </w:rPr>
    </w:lvl>
  </w:abstractNum>
  <w:abstractNum w:abstractNumId="27" w15:restartNumberingAfterBreak="0">
    <w:nsid w:val="540A4616"/>
    <w:multiLevelType w:val="hybridMultilevel"/>
    <w:tmpl w:val="6FC2E5CA"/>
    <w:lvl w:ilvl="0" w:tplc="70BC4D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C5636F"/>
    <w:multiLevelType w:val="hybridMultilevel"/>
    <w:tmpl w:val="4FF26146"/>
    <w:lvl w:ilvl="0" w:tplc="2D684FE6">
      <w:start w:val="1"/>
      <w:numFmt w:val="decimal"/>
      <w:lvlText w:val="%1-"/>
      <w:lvlJc w:val="left"/>
      <w:pPr>
        <w:tabs>
          <w:tab w:val="num" w:pos="1025"/>
        </w:tabs>
        <w:ind w:left="1025" w:hanging="420"/>
      </w:pPr>
      <w:rPr>
        <w:rFonts w:hint="default"/>
        <w:lang w:val="en-US"/>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tentative="1">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29" w15:restartNumberingAfterBreak="0">
    <w:nsid w:val="570A541C"/>
    <w:multiLevelType w:val="hybridMultilevel"/>
    <w:tmpl w:val="F32213AA"/>
    <w:lvl w:ilvl="0" w:tplc="04010007">
      <w:start w:val="1"/>
      <w:numFmt w:val="bullet"/>
      <w:lvlText w:val=""/>
      <w:lvlJc w:val="left"/>
      <w:pPr>
        <w:tabs>
          <w:tab w:val="num" w:pos="1287"/>
        </w:tabs>
        <w:ind w:left="1287" w:right="1287" w:hanging="360"/>
      </w:pPr>
      <w:rPr>
        <w:rFonts w:ascii="Wingdings" w:hAnsi="Wingdings" w:hint="default"/>
        <w:sz w:val="16"/>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30" w15:restartNumberingAfterBreak="0">
    <w:nsid w:val="59142F03"/>
    <w:multiLevelType w:val="hybridMultilevel"/>
    <w:tmpl w:val="8C6A3702"/>
    <w:lvl w:ilvl="0" w:tplc="04090001">
      <w:start w:val="1"/>
      <w:numFmt w:val="bullet"/>
      <w:lvlText w:val=""/>
      <w:lvlJc w:val="left"/>
      <w:pPr>
        <w:tabs>
          <w:tab w:val="num" w:pos="1145"/>
        </w:tabs>
        <w:ind w:left="114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59A847B4"/>
    <w:multiLevelType w:val="hybridMultilevel"/>
    <w:tmpl w:val="9A54000A"/>
    <w:lvl w:ilvl="0" w:tplc="6FB8480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736229"/>
    <w:multiLevelType w:val="hybridMultilevel"/>
    <w:tmpl w:val="1EA852EC"/>
    <w:lvl w:ilvl="0" w:tplc="04010001">
      <w:start w:val="1"/>
      <w:numFmt w:val="bullet"/>
      <w:lvlText w:val=""/>
      <w:lvlJc w:val="left"/>
      <w:pPr>
        <w:tabs>
          <w:tab w:val="num" w:pos="1287"/>
        </w:tabs>
        <w:ind w:left="1287" w:right="1287" w:hanging="360"/>
      </w:pPr>
      <w:rPr>
        <w:rFonts w:ascii="Symbol" w:hAnsi="Symbol" w:hint="default"/>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33" w15:restartNumberingAfterBreak="0">
    <w:nsid w:val="5C765358"/>
    <w:multiLevelType w:val="hybridMultilevel"/>
    <w:tmpl w:val="53382640"/>
    <w:lvl w:ilvl="0" w:tplc="04010001">
      <w:start w:val="1"/>
      <w:numFmt w:val="bullet"/>
      <w:lvlText w:val=""/>
      <w:lvlJc w:val="left"/>
      <w:pPr>
        <w:tabs>
          <w:tab w:val="num" w:pos="1287"/>
        </w:tabs>
        <w:ind w:left="1287" w:right="1287" w:hanging="360"/>
      </w:pPr>
      <w:rPr>
        <w:rFonts w:ascii="Symbol" w:hAnsi="Symbol" w:hint="default"/>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34" w15:restartNumberingAfterBreak="0">
    <w:nsid w:val="6B446492"/>
    <w:multiLevelType w:val="hybridMultilevel"/>
    <w:tmpl w:val="DFAC8DC4"/>
    <w:lvl w:ilvl="0" w:tplc="04010007">
      <w:start w:val="1"/>
      <w:numFmt w:val="bullet"/>
      <w:lvlText w:val=""/>
      <w:lvlJc w:val="left"/>
      <w:pPr>
        <w:tabs>
          <w:tab w:val="num" w:pos="1287"/>
        </w:tabs>
        <w:ind w:left="1287" w:right="1287" w:hanging="360"/>
      </w:pPr>
      <w:rPr>
        <w:rFonts w:ascii="Wingdings" w:hAnsi="Wingdings" w:hint="default"/>
        <w:sz w:val="16"/>
      </w:rPr>
    </w:lvl>
    <w:lvl w:ilvl="1" w:tplc="04010003" w:tentative="1">
      <w:start w:val="1"/>
      <w:numFmt w:val="bullet"/>
      <w:lvlText w:val="o"/>
      <w:lvlJc w:val="left"/>
      <w:pPr>
        <w:tabs>
          <w:tab w:val="num" w:pos="2007"/>
        </w:tabs>
        <w:ind w:left="2007" w:right="2007" w:hanging="360"/>
      </w:pPr>
      <w:rPr>
        <w:rFonts w:ascii="Courier New" w:hAnsi="Courier New" w:hint="default"/>
      </w:rPr>
    </w:lvl>
    <w:lvl w:ilvl="2" w:tplc="04010005" w:tentative="1">
      <w:start w:val="1"/>
      <w:numFmt w:val="bullet"/>
      <w:lvlText w:val=""/>
      <w:lvlJc w:val="left"/>
      <w:pPr>
        <w:tabs>
          <w:tab w:val="num" w:pos="2727"/>
        </w:tabs>
        <w:ind w:left="2727" w:right="2727" w:hanging="360"/>
      </w:pPr>
      <w:rPr>
        <w:rFonts w:ascii="Wingdings" w:hAnsi="Wingdings" w:hint="default"/>
      </w:rPr>
    </w:lvl>
    <w:lvl w:ilvl="3" w:tplc="04010001" w:tentative="1">
      <w:start w:val="1"/>
      <w:numFmt w:val="bullet"/>
      <w:lvlText w:val=""/>
      <w:lvlJc w:val="left"/>
      <w:pPr>
        <w:tabs>
          <w:tab w:val="num" w:pos="3447"/>
        </w:tabs>
        <w:ind w:left="3447" w:right="3447" w:hanging="360"/>
      </w:pPr>
      <w:rPr>
        <w:rFonts w:ascii="Symbol" w:hAnsi="Symbol" w:hint="default"/>
      </w:rPr>
    </w:lvl>
    <w:lvl w:ilvl="4" w:tplc="04010003" w:tentative="1">
      <w:start w:val="1"/>
      <w:numFmt w:val="bullet"/>
      <w:lvlText w:val="o"/>
      <w:lvlJc w:val="left"/>
      <w:pPr>
        <w:tabs>
          <w:tab w:val="num" w:pos="4167"/>
        </w:tabs>
        <w:ind w:left="4167" w:right="4167" w:hanging="360"/>
      </w:pPr>
      <w:rPr>
        <w:rFonts w:ascii="Courier New" w:hAnsi="Courier New" w:hint="default"/>
      </w:rPr>
    </w:lvl>
    <w:lvl w:ilvl="5" w:tplc="04010005" w:tentative="1">
      <w:start w:val="1"/>
      <w:numFmt w:val="bullet"/>
      <w:lvlText w:val=""/>
      <w:lvlJc w:val="left"/>
      <w:pPr>
        <w:tabs>
          <w:tab w:val="num" w:pos="4887"/>
        </w:tabs>
        <w:ind w:left="4887" w:right="4887" w:hanging="360"/>
      </w:pPr>
      <w:rPr>
        <w:rFonts w:ascii="Wingdings" w:hAnsi="Wingdings" w:hint="default"/>
      </w:rPr>
    </w:lvl>
    <w:lvl w:ilvl="6" w:tplc="04010001" w:tentative="1">
      <w:start w:val="1"/>
      <w:numFmt w:val="bullet"/>
      <w:lvlText w:val=""/>
      <w:lvlJc w:val="left"/>
      <w:pPr>
        <w:tabs>
          <w:tab w:val="num" w:pos="5607"/>
        </w:tabs>
        <w:ind w:left="5607" w:right="5607" w:hanging="360"/>
      </w:pPr>
      <w:rPr>
        <w:rFonts w:ascii="Symbol" w:hAnsi="Symbol" w:hint="default"/>
      </w:rPr>
    </w:lvl>
    <w:lvl w:ilvl="7" w:tplc="04010003" w:tentative="1">
      <w:start w:val="1"/>
      <w:numFmt w:val="bullet"/>
      <w:lvlText w:val="o"/>
      <w:lvlJc w:val="left"/>
      <w:pPr>
        <w:tabs>
          <w:tab w:val="num" w:pos="6327"/>
        </w:tabs>
        <w:ind w:left="6327" w:right="6327" w:hanging="360"/>
      </w:pPr>
      <w:rPr>
        <w:rFonts w:ascii="Courier New" w:hAnsi="Courier New" w:hint="default"/>
      </w:rPr>
    </w:lvl>
    <w:lvl w:ilvl="8" w:tplc="04010005" w:tentative="1">
      <w:start w:val="1"/>
      <w:numFmt w:val="bullet"/>
      <w:lvlText w:val=""/>
      <w:lvlJc w:val="left"/>
      <w:pPr>
        <w:tabs>
          <w:tab w:val="num" w:pos="7047"/>
        </w:tabs>
        <w:ind w:left="7047" w:right="7047" w:hanging="360"/>
      </w:pPr>
      <w:rPr>
        <w:rFonts w:ascii="Wingdings" w:hAnsi="Wingdings" w:hint="default"/>
      </w:rPr>
    </w:lvl>
  </w:abstractNum>
  <w:abstractNum w:abstractNumId="35" w15:restartNumberingAfterBreak="0">
    <w:nsid w:val="6C067244"/>
    <w:multiLevelType w:val="hybridMultilevel"/>
    <w:tmpl w:val="26525FFC"/>
    <w:lvl w:ilvl="0" w:tplc="A08816A8">
      <w:numFmt w:val="bullet"/>
      <w:lvlText w:val=""/>
      <w:lvlJc w:val="left"/>
      <w:pPr>
        <w:tabs>
          <w:tab w:val="num" w:pos="720"/>
        </w:tabs>
        <w:ind w:left="720" w:hanging="360"/>
      </w:pPr>
      <w:rPr>
        <w:rFonts w:ascii="Symbol" w:eastAsia="SimSun" w:hAnsi="Symbol" w:cs="Traditional Arabic" w:hint="default"/>
        <w:sz w:val="32"/>
        <w:szCs w:val="32"/>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CEF6178"/>
    <w:multiLevelType w:val="hybridMultilevel"/>
    <w:tmpl w:val="9C200CC2"/>
    <w:lvl w:ilvl="0" w:tplc="6FD6E108">
      <w:start w:val="2"/>
      <w:numFmt w:val="decimal"/>
      <w:lvlText w:val="%1-"/>
      <w:lvlJc w:val="left"/>
      <w:pPr>
        <w:tabs>
          <w:tab w:val="num" w:pos="720"/>
        </w:tabs>
        <w:ind w:left="720" w:right="720" w:hanging="360"/>
      </w:pPr>
      <w:rPr>
        <w:rFonts w:hint="cs"/>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7" w15:restartNumberingAfterBreak="0">
    <w:nsid w:val="740B2979"/>
    <w:multiLevelType w:val="hybridMultilevel"/>
    <w:tmpl w:val="CF96528A"/>
    <w:lvl w:ilvl="0" w:tplc="09D45B16">
      <w:start w:val="1"/>
      <w:numFmt w:val="decimal"/>
      <w:lvlText w:val="%1"/>
      <w:lvlJc w:val="left"/>
      <w:pPr>
        <w:tabs>
          <w:tab w:val="num" w:pos="720"/>
        </w:tabs>
        <w:ind w:left="720" w:right="720" w:hanging="360"/>
      </w:pPr>
      <w:rPr>
        <w:rFonts w:hint="cs"/>
      </w:r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8" w15:restartNumberingAfterBreak="0">
    <w:nsid w:val="765A30A2"/>
    <w:multiLevelType w:val="hybridMultilevel"/>
    <w:tmpl w:val="310A9356"/>
    <w:lvl w:ilvl="0" w:tplc="525E58DA">
      <w:start w:val="1"/>
      <w:numFmt w:val="arabicAlpha"/>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C14827"/>
    <w:multiLevelType w:val="hybridMultilevel"/>
    <w:tmpl w:val="08702C34"/>
    <w:lvl w:ilvl="0" w:tplc="04090001">
      <w:start w:val="1"/>
      <w:numFmt w:val="bullet"/>
      <w:lvlText w:val=""/>
      <w:lvlJc w:val="left"/>
      <w:pPr>
        <w:tabs>
          <w:tab w:val="num" w:pos="1145"/>
        </w:tabs>
        <w:ind w:left="114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6"/>
  </w:num>
  <w:num w:numId="17">
    <w:abstractNumId w:val="11"/>
  </w:num>
  <w:num w:numId="18">
    <w:abstractNumId w:val="34"/>
  </w:num>
  <w:num w:numId="19">
    <w:abstractNumId w:val="13"/>
  </w:num>
  <w:num w:numId="20">
    <w:abstractNumId w:val="29"/>
  </w:num>
  <w:num w:numId="21">
    <w:abstractNumId w:val="33"/>
  </w:num>
  <w:num w:numId="22">
    <w:abstractNumId w:val="32"/>
  </w:num>
  <w:num w:numId="23">
    <w:abstractNumId w:val="17"/>
  </w:num>
  <w:num w:numId="24">
    <w:abstractNumId w:val="22"/>
  </w:num>
  <w:num w:numId="25">
    <w:abstractNumId w:val="24"/>
  </w:num>
  <w:num w:numId="26">
    <w:abstractNumId w:val="37"/>
  </w:num>
  <w:num w:numId="27">
    <w:abstractNumId w:val="25"/>
  </w:num>
  <w:num w:numId="28">
    <w:abstractNumId w:val="15"/>
  </w:num>
  <w:num w:numId="29">
    <w:abstractNumId w:val="36"/>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1"/>
  </w:num>
  <w:num w:numId="41">
    <w:abstractNumId w:val="28"/>
  </w:num>
  <w:num w:numId="42">
    <w:abstractNumId w:val="10"/>
  </w:num>
  <w:num w:numId="43">
    <w:abstractNumId w:val="38"/>
  </w:num>
  <w:num w:numId="44">
    <w:abstractNumId w:val="12"/>
  </w:num>
  <w:num w:numId="45">
    <w:abstractNumId w:val="31"/>
  </w:num>
  <w:num w:numId="46">
    <w:abstractNumId w:val="27"/>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5"/>
    <w:rsid w:val="000636C2"/>
    <w:rsid w:val="0008146C"/>
    <w:rsid w:val="00182D66"/>
    <w:rsid w:val="0030025A"/>
    <w:rsid w:val="00306AAB"/>
    <w:rsid w:val="00404B60"/>
    <w:rsid w:val="004B2AA4"/>
    <w:rsid w:val="004F3EF0"/>
    <w:rsid w:val="0057784E"/>
    <w:rsid w:val="005E4107"/>
    <w:rsid w:val="00627135"/>
    <w:rsid w:val="00627D1B"/>
    <w:rsid w:val="00776780"/>
    <w:rsid w:val="008D50AB"/>
    <w:rsid w:val="008F61E0"/>
    <w:rsid w:val="009C32A0"/>
    <w:rsid w:val="00AD724E"/>
    <w:rsid w:val="00B83267"/>
    <w:rsid w:val="00BB1F97"/>
    <w:rsid w:val="00C07A88"/>
    <w:rsid w:val="00C10044"/>
    <w:rsid w:val="00CC503D"/>
    <w:rsid w:val="00EE70CF"/>
    <w:rsid w:val="00F8614E"/>
    <w:rsid w:val="00FB12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29B7E8E9"/>
  <w15:chartTrackingRefBased/>
  <w15:docId w15:val="{2EE94E98-88E3-4706-94C7-84953475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paragraph" w:styleId="a4">
    <w:name w:val="footnote text"/>
    <w:basedOn w:val="a"/>
    <w:link w:val="Char0"/>
    <w:semiHidden/>
    <w:rsid w:val="009C32A0"/>
    <w:pPr>
      <w:spacing w:after="0" w:line="240" w:lineRule="auto"/>
      <w:jc w:val="left"/>
    </w:pPr>
    <w:rPr>
      <w:rFonts w:ascii="Times New Roman" w:eastAsia="SimSun" w:hAnsi="Times New Roman" w:cs="Times New Roman"/>
      <w:kern w:val="0"/>
      <w:sz w:val="20"/>
      <w:szCs w:val="20"/>
      <w:lang w:eastAsia="zh-CN" w:bidi="ar-KW"/>
    </w:rPr>
  </w:style>
  <w:style w:type="character" w:customStyle="1" w:styleId="Char0">
    <w:name w:val="نص حاشية سفلية Char"/>
    <w:basedOn w:val="a0"/>
    <w:link w:val="a4"/>
    <w:semiHidden/>
    <w:rsid w:val="009C32A0"/>
    <w:rPr>
      <w:rFonts w:ascii="Times New Roman" w:eastAsia="SimSun" w:hAnsi="Times New Roman" w:cs="Times New Roman"/>
      <w:kern w:val="0"/>
      <w:sz w:val="20"/>
      <w:szCs w:val="20"/>
      <w:lang w:eastAsia="zh-CN" w:bidi="ar-KW"/>
    </w:rPr>
  </w:style>
  <w:style w:type="character" w:styleId="a5">
    <w:name w:val="footnote reference"/>
    <w:semiHidden/>
    <w:rsid w:val="009C32A0"/>
    <w:rPr>
      <w:vertAlign w:val="superscript"/>
    </w:rPr>
  </w:style>
  <w:style w:type="character" w:customStyle="1" w:styleId="heading-11">
    <w:name w:val="heading-11"/>
    <w:rsid w:val="009C32A0"/>
    <w:rPr>
      <w:rFonts w:ascii="Tahoma" w:hAnsi="Tahoma" w:cs="Tahoma" w:hint="default"/>
      <w:b/>
      <w:bCs/>
      <w:strike w:val="0"/>
      <w:dstrike w:val="0"/>
      <w:color w:val="37641C"/>
      <w:sz w:val="27"/>
      <w:szCs w:val="27"/>
      <w:u w:val="none"/>
      <w:effect w:val="none"/>
    </w:rPr>
  </w:style>
  <w:style w:type="paragraph" w:styleId="a6">
    <w:name w:val="Body Text"/>
    <w:basedOn w:val="a"/>
    <w:link w:val="Char1"/>
    <w:rsid w:val="009C32A0"/>
    <w:pPr>
      <w:spacing w:after="0" w:line="240" w:lineRule="auto"/>
      <w:jc w:val="left"/>
    </w:pPr>
    <w:rPr>
      <w:rFonts w:ascii="Times New Roman" w:eastAsia="Times New Roman" w:hAnsi="Times New Roman" w:cs="Times New Roman"/>
      <w:kern w:val="0"/>
      <w:sz w:val="32"/>
      <w:szCs w:val="32"/>
      <w:lang w:eastAsia="ar-SA"/>
    </w:rPr>
  </w:style>
  <w:style w:type="character" w:customStyle="1" w:styleId="Char1">
    <w:name w:val="نص أساسي Char"/>
    <w:basedOn w:val="a0"/>
    <w:link w:val="a6"/>
    <w:rsid w:val="009C32A0"/>
    <w:rPr>
      <w:rFonts w:ascii="Times New Roman" w:eastAsia="Times New Roman" w:hAnsi="Times New Roman" w:cs="Times New Roman"/>
      <w:kern w:val="0"/>
      <w:sz w:val="32"/>
      <w:szCs w:val="32"/>
      <w:lang w:eastAsia="ar-SA"/>
    </w:rPr>
  </w:style>
  <w:style w:type="paragraph" w:styleId="a7">
    <w:name w:val="Title"/>
    <w:basedOn w:val="a"/>
    <w:link w:val="Char2"/>
    <w:qFormat/>
    <w:rsid w:val="009C32A0"/>
    <w:pPr>
      <w:spacing w:after="0" w:line="240" w:lineRule="auto"/>
      <w:jc w:val="center"/>
    </w:pPr>
    <w:rPr>
      <w:rFonts w:ascii="Times New Roman" w:eastAsia="Times New Roman" w:hAnsi="Times New Roman" w:cs="Times New Roman"/>
      <w:b/>
      <w:bCs/>
      <w:i/>
      <w:iCs/>
      <w:kern w:val="0"/>
      <w:sz w:val="40"/>
      <w:szCs w:val="40"/>
      <w:lang w:eastAsia="ar-SA"/>
    </w:rPr>
  </w:style>
  <w:style w:type="character" w:customStyle="1" w:styleId="Char2">
    <w:name w:val="العنوان Char"/>
    <w:basedOn w:val="a0"/>
    <w:link w:val="a7"/>
    <w:rsid w:val="009C32A0"/>
    <w:rPr>
      <w:rFonts w:ascii="Times New Roman" w:eastAsia="Times New Roman" w:hAnsi="Times New Roman" w:cs="Times New Roman"/>
      <w:b/>
      <w:bCs/>
      <w:i/>
      <w:iCs/>
      <w:kern w:val="0"/>
      <w:sz w:val="40"/>
      <w:szCs w:val="40"/>
      <w:lang w:eastAsia="ar-SA"/>
    </w:rPr>
  </w:style>
  <w:style w:type="paragraph" w:styleId="a8">
    <w:name w:val="footer"/>
    <w:basedOn w:val="a"/>
    <w:link w:val="Char3"/>
    <w:uiPriority w:val="99"/>
    <w:rsid w:val="009C32A0"/>
    <w:pPr>
      <w:tabs>
        <w:tab w:val="center" w:pos="4153"/>
        <w:tab w:val="right" w:pos="8306"/>
      </w:tabs>
      <w:spacing w:after="0" w:line="240" w:lineRule="auto"/>
      <w:jc w:val="left"/>
    </w:pPr>
    <w:rPr>
      <w:rFonts w:ascii="Times New Roman" w:eastAsia="Times New Roman" w:hAnsi="Times New Roman" w:cs="Times New Roman"/>
      <w:kern w:val="0"/>
      <w:sz w:val="24"/>
      <w:szCs w:val="24"/>
      <w:lang w:eastAsia="ar-SA"/>
    </w:rPr>
  </w:style>
  <w:style w:type="character" w:customStyle="1" w:styleId="Char3">
    <w:name w:val="تذييل الصفحة Char"/>
    <w:basedOn w:val="a0"/>
    <w:link w:val="a8"/>
    <w:uiPriority w:val="99"/>
    <w:rsid w:val="009C32A0"/>
    <w:rPr>
      <w:rFonts w:ascii="Times New Roman" w:eastAsia="Times New Roman" w:hAnsi="Times New Roman" w:cs="Times New Roman"/>
      <w:kern w:val="0"/>
      <w:sz w:val="24"/>
      <w:szCs w:val="24"/>
      <w:lang w:eastAsia="ar-SA"/>
    </w:rPr>
  </w:style>
  <w:style w:type="character" w:styleId="a9">
    <w:name w:val="page number"/>
    <w:rsid w:val="009C32A0"/>
    <w:rPr>
      <w:rFonts w:cs="Times New Roman"/>
    </w:rPr>
  </w:style>
  <w:style w:type="paragraph" w:styleId="aa">
    <w:name w:val="Document Map"/>
    <w:basedOn w:val="a"/>
    <w:link w:val="Char4"/>
    <w:semiHidden/>
    <w:rsid w:val="009C32A0"/>
    <w:pPr>
      <w:shd w:val="clear" w:color="auto" w:fill="000080"/>
      <w:spacing w:after="0" w:line="240" w:lineRule="auto"/>
      <w:jc w:val="left"/>
    </w:pPr>
    <w:rPr>
      <w:rFonts w:ascii="Tahoma" w:eastAsia="Times New Roman" w:hAnsi="Times New Roman" w:cs="Tahoma"/>
      <w:noProof/>
      <w:kern w:val="0"/>
      <w:sz w:val="24"/>
      <w:lang w:eastAsia="ar-SA"/>
    </w:rPr>
  </w:style>
  <w:style w:type="character" w:customStyle="1" w:styleId="Char4">
    <w:name w:val="خريطة المستند Char"/>
    <w:basedOn w:val="a0"/>
    <w:link w:val="aa"/>
    <w:semiHidden/>
    <w:rsid w:val="009C32A0"/>
    <w:rPr>
      <w:rFonts w:ascii="Tahoma" w:eastAsia="Times New Roman" w:hAnsi="Times New Roman" w:cs="Tahoma"/>
      <w:noProof/>
      <w:kern w:val="0"/>
      <w:sz w:val="24"/>
      <w:shd w:val="clear" w:color="auto" w:fill="000080"/>
      <w:lang w:eastAsia="ar-SA"/>
    </w:rPr>
  </w:style>
  <w:style w:type="paragraph" w:styleId="ab">
    <w:name w:val="Plain Text"/>
    <w:basedOn w:val="a"/>
    <w:link w:val="Char5"/>
    <w:rsid w:val="009C32A0"/>
    <w:pPr>
      <w:spacing w:after="120" w:line="240" w:lineRule="auto"/>
      <w:ind w:firstLine="567"/>
    </w:pPr>
    <w:rPr>
      <w:rFonts w:ascii="Times New Roman" w:eastAsia="Times New Roman" w:hAnsi="Times New Roman" w:cs="Times New Roman"/>
      <w:kern w:val="0"/>
      <w:sz w:val="26"/>
      <w:szCs w:val="26"/>
    </w:rPr>
  </w:style>
  <w:style w:type="character" w:customStyle="1" w:styleId="Char5">
    <w:name w:val="نص عادي Char"/>
    <w:basedOn w:val="a0"/>
    <w:link w:val="ab"/>
    <w:rsid w:val="009C32A0"/>
    <w:rPr>
      <w:rFonts w:ascii="Times New Roman" w:eastAsia="Times New Roman" w:hAnsi="Times New Roman" w:cs="Times New Roman"/>
      <w:kern w:val="0"/>
      <w:sz w:val="26"/>
      <w:szCs w:val="26"/>
    </w:rPr>
  </w:style>
  <w:style w:type="paragraph" w:customStyle="1" w:styleId="ac">
    <w:name w:val="عنوان رئيسي"/>
    <w:basedOn w:val="ab"/>
    <w:rsid w:val="009C32A0"/>
    <w:pPr>
      <w:spacing w:after="0"/>
      <w:jc w:val="center"/>
    </w:pPr>
    <w:rPr>
      <w:b/>
      <w:bCs/>
      <w:sz w:val="30"/>
      <w:szCs w:val="32"/>
      <w:u w:val="single"/>
    </w:rPr>
  </w:style>
  <w:style w:type="paragraph" w:customStyle="1" w:styleId="ad">
    <w:name w:val="جانبي"/>
    <w:basedOn w:val="a"/>
    <w:rsid w:val="009C32A0"/>
    <w:pPr>
      <w:spacing w:before="120" w:after="120" w:line="240" w:lineRule="auto"/>
      <w:ind w:firstLine="11"/>
    </w:pPr>
    <w:rPr>
      <w:rFonts w:ascii="Times New Roman" w:eastAsia="Times New Roman" w:hAnsi="Times New Roman" w:cs="Times New Roman"/>
      <w:b/>
      <w:bCs/>
      <w:kern w:val="0"/>
      <w:sz w:val="24"/>
      <w:szCs w:val="30"/>
    </w:rPr>
  </w:style>
  <w:style w:type="paragraph" w:styleId="ae">
    <w:name w:val="Body Text Indent"/>
    <w:basedOn w:val="a"/>
    <w:link w:val="Char6"/>
    <w:rsid w:val="009C32A0"/>
    <w:pPr>
      <w:spacing w:after="0" w:line="240" w:lineRule="auto"/>
    </w:pPr>
    <w:rPr>
      <w:rFonts w:ascii="Times New Roman" w:eastAsia="Times New Roman" w:hAnsi="Times New Roman" w:cs="Times New Roman"/>
      <w:noProof/>
      <w:kern w:val="0"/>
      <w:sz w:val="26"/>
      <w:szCs w:val="31"/>
      <w:lang w:eastAsia="ar-SA"/>
    </w:rPr>
  </w:style>
  <w:style w:type="character" w:customStyle="1" w:styleId="Char6">
    <w:name w:val="نص أساسي بمسافة بادئة Char"/>
    <w:basedOn w:val="a0"/>
    <w:link w:val="ae"/>
    <w:rsid w:val="009C32A0"/>
    <w:rPr>
      <w:rFonts w:ascii="Times New Roman" w:eastAsia="Times New Roman" w:hAnsi="Times New Roman" w:cs="Times New Roman"/>
      <w:noProof/>
      <w:kern w:val="0"/>
      <w:sz w:val="26"/>
      <w:szCs w:val="31"/>
      <w:lang w:eastAsia="ar-SA"/>
    </w:rPr>
  </w:style>
  <w:style w:type="paragraph" w:customStyle="1" w:styleId="af">
    <w:name w:val="قسم"/>
    <w:basedOn w:val="ab"/>
    <w:rsid w:val="009C32A0"/>
    <w:pPr>
      <w:spacing w:after="0"/>
      <w:ind w:firstLine="10"/>
    </w:pPr>
    <w:rPr>
      <w:b/>
      <w:bCs/>
    </w:rPr>
  </w:style>
  <w:style w:type="paragraph" w:customStyle="1" w:styleId="123">
    <w:name w:val="1 2 3"/>
    <w:basedOn w:val="ab"/>
    <w:rsid w:val="009C32A0"/>
    <w:pPr>
      <w:ind w:right="760" w:hanging="374"/>
    </w:pPr>
  </w:style>
  <w:style w:type="character" w:customStyle="1" w:styleId="Char7">
    <w:name w:val="في الجدول Char"/>
    <w:basedOn w:val="Char5"/>
    <w:rsid w:val="009C32A0"/>
    <w:rPr>
      <w:rFonts w:ascii="Times New Roman" w:eastAsia="Times New Roman" w:hAnsi="Times New Roman" w:cs="Simplified Arabic"/>
      <w:b/>
      <w:kern w:val="0"/>
      <w:sz w:val="31"/>
      <w:szCs w:val="31"/>
      <w:lang w:val="en-US" w:eastAsia="ar-SA" w:bidi="ar-SA"/>
    </w:rPr>
  </w:style>
  <w:style w:type="character" w:styleId="af0">
    <w:name w:val="FollowedHyperlink"/>
    <w:rsid w:val="009C32A0"/>
    <w:rPr>
      <w:rFonts w:ascii="Times New Roman" w:hAnsi="Times New Roman" w:cs="Times New Roman"/>
      <w:color w:val="800080"/>
      <w:u w:val="single"/>
    </w:rPr>
  </w:style>
  <w:style w:type="paragraph" w:customStyle="1" w:styleId="af1">
    <w:name w:val="الموضوع"/>
    <w:basedOn w:val="ab"/>
    <w:rsid w:val="009C32A0"/>
    <w:pPr>
      <w:bidi w:val="0"/>
      <w:spacing w:before="240"/>
      <w:jc w:val="center"/>
    </w:pPr>
    <w:rPr>
      <w:b/>
      <w:bCs/>
    </w:rPr>
  </w:style>
  <w:style w:type="paragraph" w:styleId="af2">
    <w:name w:val="header"/>
    <w:basedOn w:val="a"/>
    <w:link w:val="Char8"/>
    <w:rsid w:val="009C32A0"/>
    <w:pPr>
      <w:tabs>
        <w:tab w:val="center" w:pos="4153"/>
        <w:tab w:val="right" w:pos="8306"/>
      </w:tabs>
      <w:spacing w:after="0" w:line="240" w:lineRule="auto"/>
      <w:jc w:val="left"/>
    </w:pPr>
    <w:rPr>
      <w:rFonts w:ascii="Times New Roman" w:eastAsia="Times New Roman" w:hAnsi="Times New Roman" w:cs="Times New Roman"/>
      <w:kern w:val="0"/>
      <w:sz w:val="24"/>
      <w:szCs w:val="24"/>
      <w:lang w:eastAsia="ar-SA"/>
    </w:rPr>
  </w:style>
  <w:style w:type="character" w:customStyle="1" w:styleId="Char8">
    <w:name w:val="رأس الصفحة Char"/>
    <w:basedOn w:val="a0"/>
    <w:link w:val="af2"/>
    <w:rsid w:val="009C32A0"/>
    <w:rPr>
      <w:rFonts w:ascii="Times New Roman" w:eastAsia="Times New Roman" w:hAnsi="Times New Roman" w:cs="Times New Roman"/>
      <w:kern w:val="0"/>
      <w:sz w:val="24"/>
      <w:szCs w:val="24"/>
      <w:lang w:eastAsia="ar-SA"/>
    </w:rPr>
  </w:style>
  <w:style w:type="character" w:styleId="af3">
    <w:name w:val="annotation reference"/>
    <w:aliases w:val="حاشية أبو العز"/>
    <w:semiHidden/>
    <w:rsid w:val="009C32A0"/>
    <w:rPr>
      <w:sz w:val="16"/>
      <w:szCs w:val="20"/>
    </w:rPr>
  </w:style>
  <w:style w:type="paragraph" w:customStyle="1" w:styleId="af4">
    <w:name w:val="قال الباحث"/>
    <w:basedOn w:val="a"/>
    <w:rsid w:val="009C32A0"/>
    <w:pPr>
      <w:pBdr>
        <w:top w:val="single" w:sz="4" w:space="1" w:color="auto"/>
        <w:left w:val="single" w:sz="4" w:space="4" w:color="auto"/>
        <w:bottom w:val="single" w:sz="4" w:space="1" w:color="auto"/>
        <w:right w:val="single" w:sz="4" w:space="4" w:color="auto"/>
      </w:pBdr>
      <w:spacing w:after="120" w:line="240" w:lineRule="auto"/>
      <w:ind w:left="746"/>
    </w:pPr>
    <w:rPr>
      <w:rFonts w:ascii="Times New Roman" w:eastAsia="Times New Roman" w:hAnsi="Times New Roman"/>
      <w:b/>
      <w:bCs/>
      <w:color w:val="000000"/>
      <w:kern w:val="0"/>
      <w:sz w:val="26"/>
      <w:szCs w:val="26"/>
      <w:lang w:eastAsia="ar-SA"/>
    </w:rPr>
  </w:style>
  <w:style w:type="paragraph" w:customStyle="1" w:styleId="af5">
    <w:name w:val="كبير"/>
    <w:basedOn w:val="ac"/>
    <w:rsid w:val="009C32A0"/>
    <w:pPr>
      <w:spacing w:after="120"/>
      <w:ind w:firstLine="432"/>
    </w:pPr>
    <w:rPr>
      <w:rFonts w:cs="Traditional Arabic"/>
      <w:sz w:val="40"/>
      <w:szCs w:val="40"/>
    </w:rPr>
  </w:style>
  <w:style w:type="paragraph" w:customStyle="1" w:styleId="StyleComplexSimplifiedArabic13ptBlackJustifyLowFirst">
    <w:name w:val="Style (Complex) Simplified Arabic 13 pt Black Justify Low First..."/>
    <w:basedOn w:val="a"/>
    <w:rsid w:val="009C32A0"/>
    <w:pPr>
      <w:spacing w:after="120" w:line="240" w:lineRule="auto"/>
      <w:ind w:firstLine="432"/>
      <w:jc w:val="lowKashida"/>
    </w:pPr>
    <w:rPr>
      <w:rFonts w:ascii="Univers" w:eastAsia="Times New Roman" w:hAnsi="Univers"/>
      <w:color w:val="000000"/>
      <w:kern w:val="0"/>
      <w:sz w:val="16"/>
      <w:szCs w:val="26"/>
      <w:lang w:eastAsia="ar-SA"/>
    </w:rPr>
  </w:style>
  <w:style w:type="paragraph" w:customStyle="1" w:styleId="11">
    <w:name w:val="نص عادي1"/>
    <w:basedOn w:val="a"/>
    <w:rsid w:val="009C32A0"/>
    <w:pPr>
      <w:spacing w:after="120" w:line="240" w:lineRule="auto"/>
      <w:ind w:firstLine="567"/>
    </w:pPr>
    <w:rPr>
      <w:rFonts w:ascii="Times New Roman" w:eastAsia="Times New Roman" w:hAnsi="Times New Roman" w:cs="Times New Roman"/>
      <w:kern w:val="0"/>
      <w:sz w:val="26"/>
      <w:szCs w:val="26"/>
    </w:rPr>
  </w:style>
  <w:style w:type="paragraph" w:styleId="af6">
    <w:name w:val="Subtitle"/>
    <w:basedOn w:val="a"/>
    <w:link w:val="Char9"/>
    <w:qFormat/>
    <w:rsid w:val="009C32A0"/>
    <w:pPr>
      <w:tabs>
        <w:tab w:val="right" w:leader="dot" w:pos="7938"/>
      </w:tabs>
      <w:spacing w:after="0" w:line="240" w:lineRule="auto"/>
      <w:jc w:val="center"/>
    </w:pPr>
    <w:rPr>
      <w:rFonts w:ascii="Times New Roman" w:eastAsia="Times New Roman" w:hAnsi="Times New Roman" w:cs="Traditional Arabic"/>
      <w:kern w:val="0"/>
      <w:sz w:val="36"/>
      <w:szCs w:val="34"/>
      <w:lang w:eastAsia="ar-SA"/>
    </w:rPr>
  </w:style>
  <w:style w:type="character" w:customStyle="1" w:styleId="Char9">
    <w:name w:val="عنوان فرعي Char"/>
    <w:basedOn w:val="a0"/>
    <w:link w:val="af6"/>
    <w:rsid w:val="009C32A0"/>
    <w:rPr>
      <w:rFonts w:ascii="Times New Roman" w:eastAsia="Times New Roman" w:hAnsi="Times New Roman" w:cs="Traditional Arabic"/>
      <w:kern w:val="0"/>
      <w:sz w:val="36"/>
      <w:szCs w:val="34"/>
      <w:lang w:eastAsia="ar-SA"/>
    </w:rPr>
  </w:style>
  <w:style w:type="paragraph" w:styleId="af7">
    <w:name w:val="Normal (Web)"/>
    <w:basedOn w:val="a"/>
    <w:rsid w:val="009C32A0"/>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ayat1">
    <w:name w:val="ayat1"/>
    <w:rsid w:val="009C32A0"/>
    <w:rPr>
      <w:color w:val="990033"/>
    </w:rPr>
  </w:style>
  <w:style w:type="character" w:customStyle="1" w:styleId="fouaid1">
    <w:name w:val="fouaid1"/>
    <w:rsid w:val="009C32A0"/>
    <w:rPr>
      <w:color w:val="000000"/>
    </w:rPr>
  </w:style>
  <w:style w:type="paragraph" w:customStyle="1" w:styleId="af8">
    <w:name w:val="ÇÕáì"/>
    <w:rsid w:val="009C32A0"/>
    <w:pPr>
      <w:widowControl w:val="0"/>
      <w:autoSpaceDE w:val="0"/>
      <w:autoSpaceDN w:val="0"/>
      <w:adjustRightInd w:val="0"/>
      <w:spacing w:after="0" w:line="398" w:lineRule="auto"/>
    </w:pPr>
    <w:rPr>
      <w:rFonts w:ascii="Times New Roman" w:eastAsia="Times New Roman" w:hAnsi="Times New Roman" w:cs="Times New Roman"/>
      <w:b/>
      <w:kern w:val="0"/>
      <w:szCs w:val="20"/>
    </w:rPr>
  </w:style>
  <w:style w:type="character" w:styleId="af9">
    <w:name w:val="Strong"/>
    <w:qFormat/>
    <w:rsid w:val="009C32A0"/>
    <w:rPr>
      <w:b/>
      <w:bCs/>
    </w:rPr>
  </w:style>
  <w:style w:type="character" w:customStyle="1" w:styleId="quran">
    <w:name w:val="quran"/>
    <w:basedOn w:val="a0"/>
    <w:rsid w:val="009C32A0"/>
  </w:style>
  <w:style w:type="character" w:styleId="Hyperlink">
    <w:name w:val="Hyperlink"/>
    <w:rsid w:val="009C32A0"/>
    <w:rPr>
      <w:strike w:val="0"/>
      <w:dstrike w:val="0"/>
      <w:color w:val="0000FF"/>
      <w:u w:val="none"/>
      <w:effect w:val="none"/>
    </w:rPr>
  </w:style>
  <w:style w:type="character" w:customStyle="1" w:styleId="text1">
    <w:name w:val="text1"/>
    <w:rsid w:val="009C32A0"/>
    <w:rPr>
      <w:rFonts w:ascii="Tahoma" w:hAnsi="Tahoma" w:cs="Tahoma" w:hint="default"/>
      <w:sz w:val="20"/>
      <w:szCs w:val="20"/>
    </w:rPr>
  </w:style>
  <w:style w:type="paragraph" w:customStyle="1" w:styleId="12">
    <w:name w:val="عادي1"/>
    <w:basedOn w:val="a"/>
    <w:rsid w:val="009C32A0"/>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highlight1">
    <w:name w:val="highlight1"/>
    <w:rsid w:val="009C32A0"/>
    <w:rPr>
      <w:b/>
      <w:bCs/>
      <w:color w:val="FF0000"/>
    </w:rPr>
  </w:style>
  <w:style w:type="table" w:styleId="afa">
    <w:name w:val="Table Grid"/>
    <w:basedOn w:val="a1"/>
    <w:rsid w:val="009C32A0"/>
    <w:pPr>
      <w:spacing w:after="0" w:line="240" w:lineRule="auto"/>
      <w:jc w:val="left"/>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a0"/>
    <w:rsid w:val="009C32A0"/>
  </w:style>
  <w:style w:type="paragraph" w:styleId="afb">
    <w:name w:val="List Paragraph"/>
    <w:basedOn w:val="a"/>
    <w:uiPriority w:val="34"/>
    <w:qFormat/>
    <w:rsid w:val="009C32A0"/>
    <w:pPr>
      <w:spacing w:after="200" w:line="276" w:lineRule="auto"/>
      <w:ind w:left="720"/>
      <w:contextualSpacing/>
      <w:jc w:val="left"/>
    </w:pPr>
    <w:rPr>
      <w:rFonts w:ascii="Traditional Arabic" w:hAnsi="Traditional Arabic" w:cs="Traditional Arabic"/>
      <w:b/>
      <w:kern w:val="0"/>
      <w:sz w:val="32"/>
      <w:szCs w:val="32"/>
    </w:rPr>
  </w:style>
  <w:style w:type="character" w:customStyle="1" w:styleId="aaya">
    <w:name w:val="aaya"/>
    <w:basedOn w:val="a0"/>
    <w:rsid w:val="009C32A0"/>
  </w:style>
  <w:style w:type="character" w:customStyle="1" w:styleId="sora">
    <w:name w:val="sora"/>
    <w:basedOn w:val="a0"/>
    <w:rsid w:val="009C32A0"/>
  </w:style>
  <w:style w:type="character" w:customStyle="1" w:styleId="hd2">
    <w:name w:val="hd2"/>
    <w:basedOn w:val="a0"/>
    <w:rsid w:val="009C32A0"/>
    <w:rPr>
      <w:rFonts w:ascii="Traditional Arabic" w:hAnsi="Traditional Arabic" w:cs="Traditional Arabic" w:hint="default"/>
      <w:color w:val="003300"/>
      <w:sz w:val="32"/>
      <w:szCs w:val="32"/>
    </w:rPr>
  </w:style>
  <w:style w:type="character" w:customStyle="1" w:styleId="hd11">
    <w:name w:val="hd11"/>
    <w:basedOn w:val="a0"/>
    <w:rsid w:val="009C32A0"/>
    <w:rPr>
      <w:rFonts w:ascii="Traditional Arabic" w:hAnsi="Traditional Arabic" w:cs="Traditional Arabic" w:hint="default"/>
      <w:color w:val="FF0000"/>
      <w:sz w:val="32"/>
      <w:szCs w:val="32"/>
    </w:rPr>
  </w:style>
  <w:style w:type="character" w:customStyle="1" w:styleId="hd4">
    <w:name w:val="hd4"/>
    <w:basedOn w:val="a0"/>
    <w:rsid w:val="009C32A0"/>
    <w:rPr>
      <w:rFonts w:ascii="Traditional Arabic" w:hAnsi="Traditional Arabic" w:cs="Traditional Arabic" w:hint="default"/>
      <w:color w:val="FF0000"/>
      <w:sz w:val="32"/>
      <w:szCs w:val="32"/>
    </w:rPr>
  </w:style>
  <w:style w:type="character" w:customStyle="1" w:styleId="breadcrambspan1">
    <w:name w:val="breadcrambspan1"/>
    <w:basedOn w:val="a0"/>
    <w:rsid w:val="009C3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306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334</Pages>
  <Words>328627</Words>
  <Characters>1873180</Characters>
  <Application>Microsoft Office Word</Application>
  <DocSecurity>0</DocSecurity>
  <Lines>15609</Lines>
  <Paragraphs>4394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2197413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2026-05-25T22:01:00Z</dcterms:created>
  <dcterms:modified xsi:type="dcterms:W3CDTF">2026-06-06T07:56:00Z</dcterms:modified>
</cp:coreProperties>
</file>